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53C5" w:rsidRDefault="005953C5" w:rsidP="00620060">
      <w:pPr>
        <w:rPr>
          <w:b/>
          <w:bCs/>
          <w:sz w:val="20"/>
          <w:szCs w:val="20"/>
          <w:rtl/>
        </w:rPr>
      </w:pPr>
    </w:p>
    <w:p w:rsidR="005953C5" w:rsidRPr="00194EF7" w:rsidRDefault="005953C5" w:rsidP="005953C5">
      <w:pPr>
        <w:rPr>
          <w:sz w:val="24"/>
          <w:szCs w:val="24"/>
          <w:rtl/>
        </w:rPr>
      </w:pPr>
      <w:r w:rsidRPr="00194EF7">
        <w:rPr>
          <w:rFonts w:hint="cs"/>
          <w:sz w:val="24"/>
          <w:szCs w:val="24"/>
          <w:rtl/>
        </w:rPr>
        <w:t>בעזרת ה' יתברך</w:t>
      </w:r>
    </w:p>
    <w:p w:rsidR="005953C5" w:rsidRPr="00194EF7" w:rsidRDefault="005953C5" w:rsidP="005953C5">
      <w:pPr>
        <w:rPr>
          <w:sz w:val="24"/>
          <w:szCs w:val="24"/>
          <w:rtl/>
        </w:rPr>
      </w:pPr>
      <w:r w:rsidRPr="00194EF7">
        <w:rPr>
          <w:rFonts w:hint="cs"/>
          <w:sz w:val="24"/>
          <w:szCs w:val="24"/>
          <w:rtl/>
        </w:rPr>
        <w:t>סיכו</w:t>
      </w:r>
      <w:r>
        <w:rPr>
          <w:rFonts w:hint="cs"/>
          <w:sz w:val="24"/>
          <w:szCs w:val="24"/>
          <w:rtl/>
        </w:rPr>
        <w:t>ם הלכות נידה</w:t>
      </w:r>
    </w:p>
    <w:p w:rsidR="005953C5" w:rsidRPr="00194EF7" w:rsidRDefault="005953C5" w:rsidP="005D6582">
      <w:pPr>
        <w:rPr>
          <w:sz w:val="24"/>
          <w:szCs w:val="24"/>
          <w:rtl/>
        </w:rPr>
      </w:pPr>
      <w:r w:rsidRPr="00194EF7">
        <w:rPr>
          <w:rFonts w:hint="cs"/>
          <w:sz w:val="24"/>
          <w:szCs w:val="24"/>
          <w:rtl/>
        </w:rPr>
        <w:t>סיכו</w:t>
      </w:r>
      <w:r w:rsidR="005D6582">
        <w:rPr>
          <w:rFonts w:hint="cs"/>
          <w:sz w:val="24"/>
          <w:szCs w:val="24"/>
          <w:rtl/>
        </w:rPr>
        <w:t>ם</w:t>
      </w:r>
      <w:r w:rsidRPr="00194EF7">
        <w:rPr>
          <w:rFonts w:hint="cs"/>
          <w:sz w:val="24"/>
          <w:szCs w:val="24"/>
          <w:rtl/>
        </w:rPr>
        <w:t xml:space="preserve"> </w:t>
      </w:r>
      <w:r w:rsidR="005D6582">
        <w:rPr>
          <w:rFonts w:hint="cs"/>
          <w:sz w:val="24"/>
          <w:szCs w:val="24"/>
          <w:rtl/>
        </w:rPr>
        <w:t>זה</w:t>
      </w:r>
      <w:r w:rsidRPr="00194EF7">
        <w:rPr>
          <w:rFonts w:hint="cs"/>
          <w:sz w:val="24"/>
          <w:szCs w:val="24"/>
          <w:rtl/>
        </w:rPr>
        <w:t xml:space="preserve"> נער</w:t>
      </w:r>
      <w:r w:rsidR="005D6582">
        <w:rPr>
          <w:rFonts w:hint="cs"/>
          <w:sz w:val="24"/>
          <w:szCs w:val="24"/>
          <w:rtl/>
        </w:rPr>
        <w:t>ך</w:t>
      </w:r>
      <w:r w:rsidRPr="00194EF7">
        <w:rPr>
          <w:rFonts w:hint="cs"/>
          <w:sz w:val="24"/>
          <w:szCs w:val="24"/>
          <w:rtl/>
        </w:rPr>
        <w:t xml:space="preserve"> ע"י הראל דויטש, כולל הלכה ישיבת שעלבים. </w:t>
      </w:r>
      <w:r w:rsidRPr="00194EF7">
        <w:rPr>
          <w:sz w:val="24"/>
          <w:szCs w:val="24"/>
          <w:rtl/>
        </w:rPr>
        <w:br/>
      </w:r>
      <w:r w:rsidRPr="00194EF7">
        <w:rPr>
          <w:rFonts w:hint="cs"/>
          <w:sz w:val="24"/>
          <w:szCs w:val="24"/>
          <w:u w:val="single"/>
          <w:rtl/>
        </w:rPr>
        <w:t>אשמח מאוד</w:t>
      </w:r>
      <w:r w:rsidRPr="00194EF7">
        <w:rPr>
          <w:rFonts w:hint="cs"/>
          <w:sz w:val="24"/>
          <w:szCs w:val="24"/>
          <w:rtl/>
        </w:rPr>
        <w:t xml:space="preserve"> לקבל הערות למייל, הן הערות בלימוד והן הצעות לשיפור העריכה והסגנון. </w:t>
      </w:r>
      <w:hyperlink r:id="rId8" w:history="1">
        <w:r w:rsidRPr="00194EF7">
          <w:rPr>
            <w:rStyle w:val="Hyperlink"/>
            <w:sz w:val="24"/>
            <w:szCs w:val="24"/>
          </w:rPr>
          <w:t>hareldo22@gmail.com</w:t>
        </w:r>
      </w:hyperlink>
    </w:p>
    <w:p w:rsidR="005953C5" w:rsidRPr="00194EF7" w:rsidRDefault="005953C5" w:rsidP="005D6582">
      <w:pPr>
        <w:rPr>
          <w:sz w:val="24"/>
          <w:szCs w:val="24"/>
          <w:rtl/>
        </w:rPr>
      </w:pPr>
      <w:r w:rsidRPr="00194EF7">
        <w:rPr>
          <w:rFonts w:hint="cs"/>
          <w:sz w:val="24"/>
          <w:szCs w:val="24"/>
          <w:rtl/>
        </w:rPr>
        <w:t>הסימנים המסוכמים כאן, כוללים את כל הסימנים לבחינת הרבנות הראשית</w:t>
      </w:r>
      <w:r w:rsidR="005D6582">
        <w:rPr>
          <w:rFonts w:hint="cs"/>
          <w:sz w:val="24"/>
          <w:szCs w:val="24"/>
          <w:rtl/>
        </w:rPr>
        <w:t>.</w:t>
      </w:r>
    </w:p>
    <w:p w:rsidR="005953C5" w:rsidRPr="00194EF7" w:rsidRDefault="005953C5" w:rsidP="005D6582">
      <w:pPr>
        <w:rPr>
          <w:sz w:val="20"/>
          <w:szCs w:val="20"/>
          <w:rtl/>
        </w:rPr>
      </w:pPr>
      <w:r w:rsidRPr="00194EF7">
        <w:rPr>
          <w:rFonts w:hint="cs"/>
          <w:sz w:val="24"/>
          <w:szCs w:val="24"/>
          <w:u w:val="single"/>
          <w:rtl/>
        </w:rPr>
        <w:t>הסבר על אופן הסיכום באופן כללי</w:t>
      </w:r>
      <w:r w:rsidRPr="00194EF7">
        <w:rPr>
          <w:rFonts w:hint="cs"/>
          <w:sz w:val="24"/>
          <w:szCs w:val="24"/>
          <w:u w:val="single"/>
          <w:rtl/>
        </w:rPr>
        <w:br/>
      </w:r>
      <w:r w:rsidRPr="00194EF7">
        <w:rPr>
          <w:rFonts w:hint="cs"/>
          <w:sz w:val="24"/>
          <w:szCs w:val="24"/>
          <w:rtl/>
        </w:rPr>
        <w:t xml:space="preserve">בתחילת כל סעיף מובא ציטוט הגמרא השייכת לסעיף; שיטות הראשונים וטעמי כל שיטה בקצרה; פסיקת המחבר והרמ"א </w:t>
      </w:r>
      <w:r w:rsidRPr="00194EF7">
        <w:rPr>
          <w:rFonts w:hint="cs"/>
          <w:rtl/>
        </w:rPr>
        <w:t>(ציטוט)</w:t>
      </w:r>
      <w:r w:rsidRPr="00194EF7">
        <w:rPr>
          <w:rFonts w:hint="cs"/>
          <w:sz w:val="24"/>
          <w:szCs w:val="24"/>
          <w:rtl/>
        </w:rPr>
        <w:t>; ו</w:t>
      </w:r>
      <w:r w:rsidR="005D6582">
        <w:rPr>
          <w:rFonts w:hint="cs"/>
          <w:sz w:val="24"/>
          <w:szCs w:val="24"/>
          <w:rtl/>
        </w:rPr>
        <w:t xml:space="preserve">עיקר </w:t>
      </w:r>
      <w:r w:rsidRPr="00194EF7">
        <w:rPr>
          <w:rFonts w:hint="cs"/>
          <w:sz w:val="24"/>
          <w:szCs w:val="24"/>
          <w:rtl/>
        </w:rPr>
        <w:t xml:space="preserve">דברי האחרונים </w:t>
      </w:r>
      <w:r w:rsidRPr="00194EF7">
        <w:rPr>
          <w:rFonts w:hint="cs"/>
          <w:rtl/>
        </w:rPr>
        <w:t>(</w:t>
      </w:r>
      <w:r w:rsidR="005D6582">
        <w:rPr>
          <w:rFonts w:hint="cs"/>
          <w:rtl/>
        </w:rPr>
        <w:t xml:space="preserve">ט"ז, </w:t>
      </w:r>
      <w:r w:rsidRPr="00194EF7">
        <w:rPr>
          <w:rFonts w:hint="cs"/>
          <w:rtl/>
        </w:rPr>
        <w:t>ש"ך</w:t>
      </w:r>
      <w:r w:rsidR="005D6582">
        <w:rPr>
          <w:rFonts w:hint="cs"/>
          <w:rtl/>
        </w:rPr>
        <w:t xml:space="preserve"> </w:t>
      </w:r>
      <w:r w:rsidRPr="00194EF7">
        <w:rPr>
          <w:rFonts w:hint="cs"/>
          <w:rtl/>
        </w:rPr>
        <w:t>ופת"ש)</w:t>
      </w:r>
      <w:r w:rsidRPr="00194EF7">
        <w:rPr>
          <w:rFonts w:hint="cs"/>
          <w:sz w:val="24"/>
          <w:szCs w:val="24"/>
          <w:rtl/>
        </w:rPr>
        <w:t xml:space="preserve"> שנכתבו על סעיף זה.</w:t>
      </w:r>
      <w:r w:rsidRPr="00194EF7">
        <w:rPr>
          <w:sz w:val="24"/>
          <w:szCs w:val="24"/>
          <w:rtl/>
        </w:rPr>
        <w:br/>
      </w:r>
      <w:r w:rsidRPr="00194EF7">
        <w:rPr>
          <w:rFonts w:hint="cs"/>
          <w:sz w:val="24"/>
          <w:szCs w:val="24"/>
          <w:rtl/>
        </w:rPr>
        <w:t>בסוף כל סעיף יש סיכום קצרצר של הנקודות העיקריות בסעיף</w:t>
      </w:r>
      <w:r>
        <w:rPr>
          <w:rFonts w:hint="cs"/>
          <w:sz w:val="24"/>
          <w:szCs w:val="24"/>
          <w:rtl/>
        </w:rPr>
        <w:t>, מומלץ מאוד להיעזר בכך בחזרות האחרונות למבחן</w:t>
      </w:r>
      <w:r w:rsidRPr="00194EF7">
        <w:rPr>
          <w:rFonts w:hint="cs"/>
          <w:sz w:val="24"/>
          <w:szCs w:val="24"/>
          <w:rtl/>
        </w:rPr>
        <w:t>.</w:t>
      </w:r>
    </w:p>
    <w:p w:rsidR="005953C5" w:rsidRPr="006D1DE2" w:rsidRDefault="005953C5" w:rsidP="005953C5">
      <w:pPr>
        <w:rPr>
          <w:sz w:val="24"/>
          <w:szCs w:val="24"/>
          <w:rtl/>
        </w:rPr>
      </w:pPr>
      <w:r w:rsidRPr="00194EF7">
        <w:rPr>
          <w:rFonts w:hint="cs"/>
          <w:sz w:val="24"/>
          <w:szCs w:val="24"/>
          <w:u w:val="single"/>
          <w:rtl/>
        </w:rPr>
        <w:t>הסבר על סוגי הכותרות</w:t>
      </w:r>
      <w:r w:rsidRPr="00194EF7">
        <w:rPr>
          <w:sz w:val="24"/>
          <w:szCs w:val="24"/>
          <w:u w:val="single"/>
          <w:rtl/>
        </w:rPr>
        <w:br/>
      </w:r>
      <w:r w:rsidRPr="00194EF7">
        <w:rPr>
          <w:rFonts w:hint="cs"/>
          <w:sz w:val="24"/>
          <w:szCs w:val="24"/>
          <w:rtl/>
        </w:rPr>
        <w:t xml:space="preserve">כותרת הכתובה </w:t>
      </w:r>
      <w:r w:rsidRPr="00194EF7">
        <w:rPr>
          <w:rFonts w:hint="cs"/>
          <w:b/>
          <w:bCs/>
          <w:sz w:val="24"/>
          <w:szCs w:val="24"/>
          <w:rtl/>
        </w:rPr>
        <w:t>בכתב מודגש</w:t>
      </w:r>
      <w:r>
        <w:rPr>
          <w:rFonts w:hint="cs"/>
          <w:sz w:val="24"/>
          <w:szCs w:val="24"/>
          <w:rtl/>
        </w:rPr>
        <w:t xml:space="preserve"> משמעותה היא שמדובר בנושא חדש בסעיף, נושא שהשו"ע יתייחס אליו בהמשך. לעומת זאת, </w:t>
      </w:r>
      <w:r w:rsidRPr="006D1DE2">
        <w:rPr>
          <w:rFonts w:hint="cs"/>
          <w:sz w:val="24"/>
          <w:szCs w:val="24"/>
          <w:u w:val="single"/>
          <w:rtl/>
        </w:rPr>
        <w:t>כותרת עם קו תחת</w:t>
      </w:r>
      <w:r>
        <w:rPr>
          <w:rFonts w:hint="cs"/>
          <w:sz w:val="24"/>
          <w:szCs w:val="24"/>
          <w:u w:val="single"/>
          <w:rtl/>
        </w:rPr>
        <w:t>ון</w:t>
      </w:r>
      <w:r>
        <w:rPr>
          <w:rFonts w:hint="cs"/>
          <w:sz w:val="24"/>
          <w:szCs w:val="24"/>
          <w:rtl/>
        </w:rPr>
        <w:t xml:space="preserve"> היא תת כותרת, ומשמעותה היא שכעת יבוא דיון הנמשך מהנושא הקודם.</w:t>
      </w:r>
    </w:p>
    <w:p w:rsidR="005953C5" w:rsidRDefault="005D6582" w:rsidP="005D6582">
      <w:pPr>
        <w:rPr>
          <w:sz w:val="24"/>
          <w:szCs w:val="24"/>
          <w:rtl/>
        </w:rPr>
      </w:pPr>
      <w:r w:rsidRPr="005D6582">
        <w:rPr>
          <w:rFonts w:hint="cs"/>
          <w:sz w:val="24"/>
          <w:szCs w:val="24"/>
          <w:u w:val="single"/>
          <w:rtl/>
        </w:rPr>
        <w:t>הוספות</w:t>
      </w:r>
      <w:r w:rsidRPr="005D6582">
        <w:rPr>
          <w:sz w:val="24"/>
          <w:szCs w:val="24"/>
          <w:u w:val="single"/>
          <w:rtl/>
        </w:rPr>
        <w:br/>
      </w:r>
      <w:r>
        <w:rPr>
          <w:rFonts w:hint="cs"/>
          <w:sz w:val="24"/>
          <w:szCs w:val="24"/>
          <w:rtl/>
        </w:rPr>
        <w:t xml:space="preserve">השתדלתי להרחיב מעט במקומות בהם נראה כי קיימת השלכה מעשית חשובה לזמנינו. השתמשתי בשיעורי שבט הלוי </w:t>
      </w:r>
      <w:r w:rsidRPr="005D6582">
        <w:rPr>
          <w:rFonts w:hint="cs"/>
          <w:rtl/>
        </w:rPr>
        <w:t xml:space="preserve">(ששבה"ל) </w:t>
      </w:r>
      <w:r>
        <w:rPr>
          <w:rFonts w:hint="cs"/>
          <w:sz w:val="24"/>
          <w:szCs w:val="24"/>
          <w:rtl/>
        </w:rPr>
        <w:t>וכן בטהרת הבית, וברוב המקומות בסיכום הם מוזכרים בשמם.</w:t>
      </w:r>
    </w:p>
    <w:p w:rsidR="005D6582" w:rsidRPr="005D6582" w:rsidRDefault="005D6582" w:rsidP="005D6582">
      <w:pPr>
        <w:rPr>
          <w:sz w:val="24"/>
          <w:szCs w:val="24"/>
          <w:rtl/>
        </w:rPr>
      </w:pPr>
      <w:r>
        <w:rPr>
          <w:rFonts w:hint="cs"/>
          <w:sz w:val="24"/>
          <w:szCs w:val="24"/>
          <w:rtl/>
        </w:rPr>
        <w:t>פעמים ספורות שנכתב דין בסיכום בשם 'אחרונים' ללא הזכרת פוסק מסויים, הכוונה היא שראש הכולל כתב כך בדפי המקורות וסמכתי עליו ללא עיון בספרי האחרונים עצמם.</w:t>
      </w:r>
    </w:p>
    <w:p w:rsidR="005953C5" w:rsidRPr="00930B16" w:rsidRDefault="00930B16" w:rsidP="00930B16">
      <w:pPr>
        <w:rPr>
          <w:sz w:val="24"/>
          <w:szCs w:val="24"/>
          <w:rtl/>
        </w:rPr>
      </w:pPr>
      <w:r>
        <w:rPr>
          <w:rFonts w:hint="cs"/>
          <w:sz w:val="24"/>
          <w:szCs w:val="24"/>
          <w:rtl/>
        </w:rPr>
        <w:t>בהכנת הסיכום נעזרתי פעמים רבות בספרו היקר של הרב הלל מרצבך 'שירת הים', ועל כך אני מודה לו מאוד!</w:t>
      </w:r>
      <w:r>
        <w:rPr>
          <w:sz w:val="24"/>
          <w:szCs w:val="24"/>
          <w:u w:val="single"/>
          <w:rtl/>
        </w:rPr>
        <w:br/>
      </w:r>
    </w:p>
    <w:p w:rsidR="005953C5" w:rsidRPr="005D6582" w:rsidRDefault="005953C5" w:rsidP="00620060">
      <w:pPr>
        <w:rPr>
          <w:b/>
          <w:bCs/>
          <w:sz w:val="24"/>
          <w:szCs w:val="24"/>
          <w:rtl/>
        </w:rPr>
      </w:pPr>
    </w:p>
    <w:p w:rsidR="005953C5" w:rsidRDefault="005953C5" w:rsidP="00620060">
      <w:pPr>
        <w:rPr>
          <w:b/>
          <w:bCs/>
          <w:sz w:val="20"/>
          <w:szCs w:val="20"/>
          <w:rtl/>
        </w:rPr>
      </w:pPr>
    </w:p>
    <w:p w:rsidR="005953C5" w:rsidRDefault="005953C5" w:rsidP="00620060">
      <w:pPr>
        <w:rPr>
          <w:b/>
          <w:bCs/>
          <w:sz w:val="20"/>
          <w:szCs w:val="20"/>
          <w:rtl/>
        </w:rPr>
      </w:pPr>
    </w:p>
    <w:p w:rsidR="005953C5" w:rsidRDefault="005953C5" w:rsidP="00620060">
      <w:pPr>
        <w:rPr>
          <w:b/>
          <w:bCs/>
          <w:sz w:val="20"/>
          <w:szCs w:val="20"/>
          <w:rtl/>
        </w:rPr>
      </w:pPr>
    </w:p>
    <w:p w:rsidR="005953C5" w:rsidRDefault="005953C5" w:rsidP="00620060">
      <w:pPr>
        <w:rPr>
          <w:b/>
          <w:bCs/>
          <w:sz w:val="20"/>
          <w:szCs w:val="20"/>
          <w:rtl/>
        </w:rPr>
      </w:pPr>
    </w:p>
    <w:p w:rsidR="005953C5" w:rsidRDefault="005953C5" w:rsidP="00620060">
      <w:pPr>
        <w:rPr>
          <w:b/>
          <w:bCs/>
          <w:sz w:val="20"/>
          <w:szCs w:val="20"/>
          <w:rtl/>
        </w:rPr>
      </w:pPr>
    </w:p>
    <w:p w:rsidR="005953C5" w:rsidRDefault="005953C5" w:rsidP="00620060">
      <w:pPr>
        <w:rPr>
          <w:b/>
          <w:bCs/>
          <w:sz w:val="20"/>
          <w:szCs w:val="20"/>
          <w:rtl/>
        </w:rPr>
      </w:pPr>
    </w:p>
    <w:p w:rsidR="005953C5" w:rsidRDefault="005953C5" w:rsidP="00620060">
      <w:pPr>
        <w:rPr>
          <w:b/>
          <w:bCs/>
          <w:sz w:val="20"/>
          <w:szCs w:val="20"/>
          <w:rtl/>
        </w:rPr>
      </w:pPr>
    </w:p>
    <w:p w:rsidR="00620060" w:rsidRPr="00C7188C" w:rsidRDefault="00620060" w:rsidP="00620060">
      <w:pPr>
        <w:rPr>
          <w:b/>
          <w:bCs/>
          <w:sz w:val="20"/>
          <w:szCs w:val="20"/>
          <w:rtl/>
        </w:rPr>
      </w:pPr>
      <w:r w:rsidRPr="00C7188C">
        <w:rPr>
          <w:rFonts w:hint="cs"/>
          <w:b/>
          <w:bCs/>
          <w:sz w:val="20"/>
          <w:szCs w:val="20"/>
          <w:rtl/>
        </w:rPr>
        <w:lastRenderedPageBreak/>
        <w:t>בעז</w:t>
      </w:r>
      <w:r>
        <w:rPr>
          <w:rFonts w:hint="cs"/>
          <w:b/>
          <w:bCs/>
          <w:sz w:val="20"/>
          <w:szCs w:val="20"/>
          <w:rtl/>
        </w:rPr>
        <w:t>ר</w:t>
      </w:r>
      <w:r w:rsidRPr="00C7188C">
        <w:rPr>
          <w:rFonts w:hint="cs"/>
          <w:b/>
          <w:bCs/>
          <w:sz w:val="20"/>
          <w:szCs w:val="20"/>
          <w:rtl/>
        </w:rPr>
        <w:t>ת ה' יתברך</w:t>
      </w:r>
    </w:p>
    <w:p w:rsidR="00620060" w:rsidRPr="00C7188C" w:rsidRDefault="00620060" w:rsidP="00620060">
      <w:pPr>
        <w:rPr>
          <w:b/>
          <w:bCs/>
          <w:sz w:val="20"/>
          <w:szCs w:val="20"/>
          <w:rtl/>
        </w:rPr>
      </w:pPr>
      <w:r w:rsidRPr="00C7188C">
        <w:rPr>
          <w:rFonts w:hint="cs"/>
          <w:b/>
          <w:bCs/>
          <w:sz w:val="20"/>
          <w:szCs w:val="20"/>
          <w:rtl/>
        </w:rPr>
        <w:t xml:space="preserve">סימן קפג </w:t>
      </w:r>
      <w:r w:rsidRPr="00C7188C">
        <w:rPr>
          <w:b/>
          <w:bCs/>
          <w:sz w:val="20"/>
          <w:szCs w:val="20"/>
          <w:rtl/>
        </w:rPr>
        <w:t>–</w:t>
      </w:r>
      <w:r w:rsidRPr="00C7188C">
        <w:rPr>
          <w:rFonts w:hint="cs"/>
          <w:b/>
          <w:bCs/>
          <w:sz w:val="20"/>
          <w:szCs w:val="20"/>
          <w:rtl/>
        </w:rPr>
        <w:t xml:space="preserve"> דיני נידה וזבה</w:t>
      </w:r>
      <w:r w:rsidRPr="008F330F">
        <w:rPr>
          <w:rStyle w:val="a5"/>
          <w:sz w:val="20"/>
          <w:szCs w:val="20"/>
          <w:rtl/>
        </w:rPr>
        <w:footnoteReference w:id="1"/>
      </w:r>
    </w:p>
    <w:p w:rsidR="00620060" w:rsidRDefault="00620060" w:rsidP="00620060">
      <w:pPr>
        <w:rPr>
          <w:b/>
          <w:bCs/>
          <w:sz w:val="20"/>
          <w:szCs w:val="20"/>
          <w:rtl/>
        </w:rPr>
      </w:pPr>
      <w:r w:rsidRPr="00C7188C">
        <w:rPr>
          <w:rFonts w:hint="cs"/>
          <w:b/>
          <w:bCs/>
          <w:sz w:val="20"/>
          <w:szCs w:val="20"/>
          <w:rtl/>
        </w:rPr>
        <w:t xml:space="preserve">סעיף א </w:t>
      </w:r>
      <w:r w:rsidRPr="00C7188C">
        <w:rPr>
          <w:b/>
          <w:bCs/>
          <w:sz w:val="20"/>
          <w:szCs w:val="20"/>
          <w:rtl/>
        </w:rPr>
        <w:t>–</w:t>
      </w:r>
      <w:r w:rsidRPr="00C7188C">
        <w:rPr>
          <w:rFonts w:hint="cs"/>
          <w:b/>
          <w:bCs/>
          <w:sz w:val="20"/>
          <w:szCs w:val="20"/>
          <w:rtl/>
        </w:rPr>
        <w:t xml:space="preserve"> דיני נידה וזבה מדאורייתא ומדרבנן</w:t>
      </w:r>
    </w:p>
    <w:p w:rsidR="00620060" w:rsidRDefault="00620060" w:rsidP="00620060">
      <w:pPr>
        <w:rPr>
          <w:b/>
          <w:bCs/>
          <w:sz w:val="20"/>
          <w:szCs w:val="20"/>
          <w:rtl/>
        </w:rPr>
      </w:pPr>
      <w:r w:rsidRPr="00D52538">
        <w:rPr>
          <w:rStyle w:val="10"/>
          <w:rFonts w:hint="cs"/>
          <w:rtl/>
        </w:rPr>
        <w:t>דינים כלליים בנידה</w:t>
      </w:r>
      <w:r>
        <w:rPr>
          <w:b/>
          <w:bCs/>
          <w:sz w:val="20"/>
          <w:szCs w:val="20"/>
          <w:rtl/>
        </w:rPr>
        <w:br/>
      </w:r>
      <w:r>
        <w:rPr>
          <w:rFonts w:hint="cs"/>
          <w:b/>
          <w:bCs/>
          <w:sz w:val="20"/>
          <w:szCs w:val="20"/>
          <w:rtl/>
        </w:rPr>
        <w:t>רק</w:t>
      </w:r>
      <w:r w:rsidRPr="002A73F7">
        <w:rPr>
          <w:rFonts w:hint="cs"/>
          <w:b/>
          <w:bCs/>
          <w:sz w:val="20"/>
          <w:szCs w:val="20"/>
          <w:rtl/>
        </w:rPr>
        <w:t xml:space="preserve"> דם מקור מטמא</w:t>
      </w:r>
      <w:r>
        <w:rPr>
          <w:rFonts w:hint="cs"/>
          <w:sz w:val="20"/>
          <w:szCs w:val="20"/>
          <w:rtl/>
        </w:rPr>
        <w:br/>
      </w:r>
      <w:r w:rsidRPr="00DD1D44">
        <w:rPr>
          <w:rFonts w:hint="cs"/>
          <w:b/>
          <w:bCs/>
          <w:sz w:val="20"/>
          <w:szCs w:val="20"/>
          <w:rtl/>
        </w:rPr>
        <w:t>ספר ויקרא</w:t>
      </w:r>
      <w:r>
        <w:rPr>
          <w:rFonts w:hint="cs"/>
          <w:sz w:val="20"/>
          <w:szCs w:val="20"/>
          <w:rtl/>
        </w:rPr>
        <w:t xml:space="preserve"> </w:t>
      </w:r>
      <w:r w:rsidRPr="00DD1D44">
        <w:rPr>
          <w:rFonts w:hint="cs"/>
          <w:sz w:val="18"/>
          <w:szCs w:val="18"/>
          <w:rtl/>
        </w:rPr>
        <w:t xml:space="preserve">(טו, יט) </w:t>
      </w:r>
      <w:r>
        <w:rPr>
          <w:sz w:val="20"/>
          <w:szCs w:val="20"/>
          <w:rtl/>
        </w:rPr>
        <w:t>–</w:t>
      </w:r>
      <w:r>
        <w:rPr>
          <w:rFonts w:hint="cs"/>
          <w:sz w:val="20"/>
          <w:szCs w:val="20"/>
          <w:rtl/>
        </w:rPr>
        <w:t xml:space="preserve"> </w:t>
      </w:r>
      <w:r w:rsidRPr="00DD1D44">
        <w:rPr>
          <w:rFonts w:hint="cs"/>
          <w:sz w:val="20"/>
          <w:szCs w:val="20"/>
          <w:rtl/>
        </w:rPr>
        <w:t>"</w:t>
      </w:r>
      <w:r w:rsidRPr="00DD1D44">
        <w:rPr>
          <w:rFonts w:cs="Arial" w:hint="cs"/>
          <w:sz w:val="20"/>
          <w:szCs w:val="20"/>
          <w:rtl/>
        </w:rPr>
        <w:t>וְאִשָּׁה</w:t>
      </w:r>
      <w:r w:rsidRPr="00DD1D44">
        <w:rPr>
          <w:rFonts w:cs="Arial"/>
          <w:sz w:val="20"/>
          <w:szCs w:val="20"/>
          <w:rtl/>
        </w:rPr>
        <w:t xml:space="preserve"> </w:t>
      </w:r>
      <w:r w:rsidRPr="00DD1D44">
        <w:rPr>
          <w:rFonts w:cs="Arial" w:hint="cs"/>
          <w:sz w:val="20"/>
          <w:szCs w:val="20"/>
          <w:rtl/>
        </w:rPr>
        <w:t>כִּי</w:t>
      </w:r>
      <w:r w:rsidRPr="00DD1D44">
        <w:rPr>
          <w:rFonts w:cs="Arial"/>
          <w:sz w:val="20"/>
          <w:szCs w:val="20"/>
          <w:rtl/>
        </w:rPr>
        <w:t xml:space="preserve"> </w:t>
      </w:r>
      <w:r w:rsidRPr="00DD1D44">
        <w:rPr>
          <w:rFonts w:cs="Arial" w:hint="cs"/>
          <w:sz w:val="20"/>
          <w:szCs w:val="20"/>
          <w:rtl/>
        </w:rPr>
        <w:t>תִהְיֶה</w:t>
      </w:r>
      <w:r w:rsidRPr="00DD1D44">
        <w:rPr>
          <w:rFonts w:cs="Arial"/>
          <w:sz w:val="20"/>
          <w:szCs w:val="20"/>
          <w:rtl/>
        </w:rPr>
        <w:t xml:space="preserve"> </w:t>
      </w:r>
      <w:r w:rsidRPr="00DD1D44">
        <w:rPr>
          <w:rFonts w:cs="Arial" w:hint="cs"/>
          <w:sz w:val="20"/>
          <w:szCs w:val="20"/>
          <w:rtl/>
        </w:rPr>
        <w:t>זָבָה</w:t>
      </w:r>
      <w:r w:rsidRPr="00DD1D44">
        <w:rPr>
          <w:rFonts w:cs="Arial"/>
          <w:sz w:val="20"/>
          <w:szCs w:val="20"/>
          <w:rtl/>
        </w:rPr>
        <w:t xml:space="preserve"> </w:t>
      </w:r>
      <w:r w:rsidRPr="00DD1D44">
        <w:rPr>
          <w:rFonts w:cs="Arial" w:hint="cs"/>
          <w:sz w:val="20"/>
          <w:szCs w:val="20"/>
          <w:rtl/>
        </w:rPr>
        <w:t>דָּם</w:t>
      </w:r>
      <w:r w:rsidRPr="00DD1D44">
        <w:rPr>
          <w:rFonts w:cs="Arial"/>
          <w:sz w:val="20"/>
          <w:szCs w:val="20"/>
          <w:rtl/>
        </w:rPr>
        <w:t xml:space="preserve"> </w:t>
      </w:r>
      <w:r w:rsidRPr="00DD1D44">
        <w:rPr>
          <w:rFonts w:cs="Arial" w:hint="cs"/>
          <w:sz w:val="20"/>
          <w:szCs w:val="20"/>
          <w:rtl/>
        </w:rPr>
        <w:t>יִהְיֶה</w:t>
      </w:r>
      <w:r w:rsidRPr="00DD1D44">
        <w:rPr>
          <w:rFonts w:cs="Arial"/>
          <w:sz w:val="20"/>
          <w:szCs w:val="20"/>
          <w:rtl/>
        </w:rPr>
        <w:t xml:space="preserve"> </w:t>
      </w:r>
      <w:r w:rsidRPr="00DD1D44">
        <w:rPr>
          <w:rFonts w:cs="Arial" w:hint="cs"/>
          <w:sz w:val="20"/>
          <w:szCs w:val="20"/>
          <w:rtl/>
        </w:rPr>
        <w:t>זֹבָהּ</w:t>
      </w:r>
      <w:r w:rsidRPr="00DD1D44">
        <w:rPr>
          <w:rFonts w:cs="Arial"/>
          <w:sz w:val="20"/>
          <w:szCs w:val="20"/>
          <w:rtl/>
        </w:rPr>
        <w:t xml:space="preserve"> </w:t>
      </w:r>
      <w:r w:rsidRPr="00DD1D44">
        <w:rPr>
          <w:rFonts w:cs="Arial" w:hint="cs"/>
          <w:sz w:val="20"/>
          <w:szCs w:val="20"/>
          <w:rtl/>
        </w:rPr>
        <w:t>בִּבְשָׂרָהּ</w:t>
      </w:r>
      <w:r w:rsidRPr="00DD1D44">
        <w:rPr>
          <w:rFonts w:cs="Arial"/>
          <w:sz w:val="20"/>
          <w:szCs w:val="20"/>
          <w:rtl/>
        </w:rPr>
        <w:t xml:space="preserve"> </w:t>
      </w:r>
      <w:r w:rsidRPr="00DD1D44">
        <w:rPr>
          <w:rFonts w:cs="Arial" w:hint="cs"/>
          <w:sz w:val="20"/>
          <w:szCs w:val="20"/>
          <w:rtl/>
        </w:rPr>
        <w:t>שִׁבְעַת</w:t>
      </w:r>
      <w:r w:rsidRPr="00DD1D44">
        <w:rPr>
          <w:rFonts w:cs="Arial"/>
          <w:sz w:val="20"/>
          <w:szCs w:val="20"/>
          <w:rtl/>
        </w:rPr>
        <w:t xml:space="preserve"> </w:t>
      </w:r>
      <w:r w:rsidRPr="00DD1D44">
        <w:rPr>
          <w:rFonts w:cs="Arial" w:hint="cs"/>
          <w:sz w:val="20"/>
          <w:szCs w:val="20"/>
          <w:rtl/>
        </w:rPr>
        <w:t>יָמִים</w:t>
      </w:r>
      <w:r w:rsidRPr="00DD1D44">
        <w:rPr>
          <w:rFonts w:cs="Arial"/>
          <w:sz w:val="20"/>
          <w:szCs w:val="20"/>
          <w:rtl/>
        </w:rPr>
        <w:t xml:space="preserve"> </w:t>
      </w:r>
      <w:r w:rsidRPr="00DD1D44">
        <w:rPr>
          <w:rFonts w:cs="Arial" w:hint="cs"/>
          <w:sz w:val="20"/>
          <w:szCs w:val="20"/>
          <w:rtl/>
        </w:rPr>
        <w:t>תִּהְיֶה</w:t>
      </w:r>
      <w:r w:rsidRPr="00DD1D44">
        <w:rPr>
          <w:rFonts w:cs="Arial"/>
          <w:sz w:val="20"/>
          <w:szCs w:val="20"/>
          <w:rtl/>
        </w:rPr>
        <w:t xml:space="preserve"> </w:t>
      </w:r>
      <w:r w:rsidRPr="00DD1D44">
        <w:rPr>
          <w:rFonts w:cs="Arial" w:hint="cs"/>
          <w:sz w:val="20"/>
          <w:szCs w:val="20"/>
          <w:rtl/>
        </w:rPr>
        <w:t>בְנִדָּתָהּ</w:t>
      </w:r>
      <w:r w:rsidRPr="00DD1D44">
        <w:rPr>
          <w:rFonts w:cs="Arial"/>
          <w:sz w:val="20"/>
          <w:szCs w:val="20"/>
          <w:rtl/>
        </w:rPr>
        <w:t xml:space="preserve"> </w:t>
      </w:r>
      <w:r w:rsidRPr="00DD1D44">
        <w:rPr>
          <w:rFonts w:cs="Arial" w:hint="cs"/>
          <w:sz w:val="20"/>
          <w:szCs w:val="20"/>
          <w:rtl/>
        </w:rPr>
        <w:t>וְכָל</w:t>
      </w:r>
      <w:r w:rsidRPr="00DD1D44">
        <w:rPr>
          <w:rFonts w:cs="Arial"/>
          <w:sz w:val="20"/>
          <w:szCs w:val="20"/>
          <w:rtl/>
        </w:rPr>
        <w:t xml:space="preserve"> </w:t>
      </w:r>
      <w:r w:rsidRPr="00DD1D44">
        <w:rPr>
          <w:rFonts w:cs="Arial" w:hint="cs"/>
          <w:sz w:val="20"/>
          <w:szCs w:val="20"/>
          <w:rtl/>
        </w:rPr>
        <w:t>הַנֹּגֵעַ</w:t>
      </w:r>
      <w:r w:rsidRPr="00DD1D44">
        <w:rPr>
          <w:rFonts w:cs="Arial"/>
          <w:sz w:val="20"/>
          <w:szCs w:val="20"/>
          <w:rtl/>
        </w:rPr>
        <w:t xml:space="preserve"> </w:t>
      </w:r>
      <w:r w:rsidRPr="00DD1D44">
        <w:rPr>
          <w:rFonts w:cs="Arial" w:hint="cs"/>
          <w:sz w:val="20"/>
          <w:szCs w:val="20"/>
          <w:rtl/>
        </w:rPr>
        <w:t>בָּהּ</w:t>
      </w:r>
      <w:r w:rsidRPr="00DD1D44">
        <w:rPr>
          <w:rFonts w:cs="Arial"/>
          <w:sz w:val="20"/>
          <w:szCs w:val="20"/>
          <w:rtl/>
        </w:rPr>
        <w:t xml:space="preserve"> </w:t>
      </w:r>
      <w:r w:rsidRPr="00DD1D44">
        <w:rPr>
          <w:rFonts w:cs="Arial" w:hint="cs"/>
          <w:sz w:val="20"/>
          <w:szCs w:val="20"/>
          <w:rtl/>
        </w:rPr>
        <w:t>יִטְמָא</w:t>
      </w:r>
      <w:r w:rsidRPr="00DD1D44">
        <w:rPr>
          <w:rFonts w:cs="Arial"/>
          <w:sz w:val="20"/>
          <w:szCs w:val="20"/>
          <w:rtl/>
        </w:rPr>
        <w:t xml:space="preserve"> </w:t>
      </w:r>
      <w:r w:rsidRPr="00DD1D44">
        <w:rPr>
          <w:rFonts w:cs="Arial" w:hint="cs"/>
          <w:sz w:val="20"/>
          <w:szCs w:val="20"/>
          <w:rtl/>
        </w:rPr>
        <w:t>עַד</w:t>
      </w:r>
      <w:r w:rsidRPr="00DD1D44">
        <w:rPr>
          <w:rFonts w:cs="Arial"/>
          <w:sz w:val="20"/>
          <w:szCs w:val="20"/>
          <w:rtl/>
        </w:rPr>
        <w:t xml:space="preserve">  </w:t>
      </w:r>
      <w:r w:rsidRPr="00DD1D44">
        <w:rPr>
          <w:rFonts w:cs="Arial" w:hint="cs"/>
          <w:sz w:val="20"/>
          <w:szCs w:val="20"/>
          <w:rtl/>
        </w:rPr>
        <w:t>הָעָרֶב".</w:t>
      </w:r>
      <w:r>
        <w:rPr>
          <w:b/>
          <w:bCs/>
          <w:sz w:val="20"/>
          <w:szCs w:val="20"/>
          <w:rtl/>
        </w:rPr>
        <w:br/>
      </w:r>
      <w:r>
        <w:rPr>
          <w:rFonts w:hint="cs"/>
          <w:b/>
          <w:bCs/>
          <w:sz w:val="20"/>
          <w:szCs w:val="20"/>
          <w:rtl/>
        </w:rPr>
        <w:t xml:space="preserve">ספר ויקרא </w:t>
      </w:r>
      <w:r w:rsidRPr="00DD1D44">
        <w:rPr>
          <w:rFonts w:hint="cs"/>
          <w:sz w:val="18"/>
          <w:szCs w:val="18"/>
          <w:rtl/>
        </w:rPr>
        <w:t xml:space="preserve">(כ, יח) </w:t>
      </w:r>
      <w:r w:rsidRPr="00DD1D44">
        <w:rPr>
          <w:sz w:val="20"/>
          <w:szCs w:val="20"/>
          <w:rtl/>
        </w:rPr>
        <w:t>–</w:t>
      </w:r>
      <w:r w:rsidRPr="00DD1D44">
        <w:rPr>
          <w:rFonts w:hint="cs"/>
          <w:sz w:val="20"/>
          <w:szCs w:val="20"/>
          <w:rtl/>
        </w:rPr>
        <w:t xml:space="preserve"> "</w:t>
      </w:r>
      <w:r w:rsidRPr="00DD1D44">
        <w:rPr>
          <w:rFonts w:cs="Arial" w:hint="cs"/>
          <w:sz w:val="20"/>
          <w:szCs w:val="20"/>
          <w:rtl/>
        </w:rPr>
        <w:t>וְאִישׁ</w:t>
      </w:r>
      <w:r w:rsidRPr="00DD1D44">
        <w:rPr>
          <w:rFonts w:cs="Arial"/>
          <w:sz w:val="20"/>
          <w:szCs w:val="20"/>
          <w:rtl/>
        </w:rPr>
        <w:t xml:space="preserve"> </w:t>
      </w:r>
      <w:r w:rsidRPr="00DD1D44">
        <w:rPr>
          <w:rFonts w:cs="Arial" w:hint="cs"/>
          <w:sz w:val="20"/>
          <w:szCs w:val="20"/>
          <w:rtl/>
        </w:rPr>
        <w:t>אֲשֶׁר</w:t>
      </w:r>
      <w:r w:rsidRPr="00DD1D44">
        <w:rPr>
          <w:rFonts w:cs="Arial"/>
          <w:sz w:val="20"/>
          <w:szCs w:val="20"/>
          <w:rtl/>
        </w:rPr>
        <w:t xml:space="preserve"> </w:t>
      </w:r>
      <w:r w:rsidRPr="00DD1D44">
        <w:rPr>
          <w:rFonts w:cs="Arial" w:hint="cs"/>
          <w:sz w:val="20"/>
          <w:szCs w:val="20"/>
          <w:rtl/>
        </w:rPr>
        <w:t>יִשְׁכַּב</w:t>
      </w:r>
      <w:r w:rsidRPr="00DD1D44">
        <w:rPr>
          <w:rFonts w:cs="Arial"/>
          <w:sz w:val="20"/>
          <w:szCs w:val="20"/>
          <w:rtl/>
        </w:rPr>
        <w:t xml:space="preserve"> </w:t>
      </w:r>
      <w:r w:rsidRPr="00DD1D44">
        <w:rPr>
          <w:rFonts w:cs="Arial" w:hint="cs"/>
          <w:sz w:val="20"/>
          <w:szCs w:val="20"/>
          <w:rtl/>
        </w:rPr>
        <w:t>אֶת</w:t>
      </w:r>
      <w:r w:rsidRPr="00DD1D44">
        <w:rPr>
          <w:rFonts w:cs="Arial"/>
          <w:sz w:val="20"/>
          <w:szCs w:val="20"/>
          <w:rtl/>
        </w:rPr>
        <w:t xml:space="preserve"> </w:t>
      </w:r>
      <w:r w:rsidRPr="00DD1D44">
        <w:rPr>
          <w:rFonts w:cs="Arial" w:hint="cs"/>
          <w:sz w:val="20"/>
          <w:szCs w:val="20"/>
          <w:rtl/>
        </w:rPr>
        <w:t>אִשָּׁה</w:t>
      </w:r>
      <w:r w:rsidRPr="00DD1D44">
        <w:rPr>
          <w:rFonts w:cs="Arial"/>
          <w:sz w:val="20"/>
          <w:szCs w:val="20"/>
          <w:rtl/>
        </w:rPr>
        <w:t xml:space="preserve"> </w:t>
      </w:r>
      <w:r w:rsidRPr="00DD1D44">
        <w:rPr>
          <w:rFonts w:cs="Arial" w:hint="cs"/>
          <w:sz w:val="20"/>
          <w:szCs w:val="20"/>
          <w:rtl/>
        </w:rPr>
        <w:t>דָּוָה</w:t>
      </w:r>
      <w:r w:rsidRPr="00DD1D44">
        <w:rPr>
          <w:rFonts w:cs="Arial"/>
          <w:sz w:val="20"/>
          <w:szCs w:val="20"/>
          <w:rtl/>
        </w:rPr>
        <w:t xml:space="preserve"> </w:t>
      </w:r>
      <w:r w:rsidRPr="00DD1D44">
        <w:rPr>
          <w:rFonts w:cs="Arial" w:hint="cs"/>
          <w:sz w:val="20"/>
          <w:szCs w:val="20"/>
          <w:rtl/>
        </w:rPr>
        <w:t>וְגִלָּה</w:t>
      </w:r>
      <w:r w:rsidRPr="00DD1D44">
        <w:rPr>
          <w:rFonts w:cs="Arial"/>
          <w:sz w:val="20"/>
          <w:szCs w:val="20"/>
          <w:rtl/>
        </w:rPr>
        <w:t xml:space="preserve"> </w:t>
      </w:r>
      <w:r w:rsidRPr="00DD1D44">
        <w:rPr>
          <w:rFonts w:cs="Arial" w:hint="cs"/>
          <w:sz w:val="20"/>
          <w:szCs w:val="20"/>
          <w:rtl/>
        </w:rPr>
        <w:t>אֶת</w:t>
      </w:r>
      <w:r w:rsidRPr="00DD1D44">
        <w:rPr>
          <w:rFonts w:cs="Arial"/>
          <w:sz w:val="20"/>
          <w:szCs w:val="20"/>
          <w:rtl/>
        </w:rPr>
        <w:t xml:space="preserve"> </w:t>
      </w:r>
      <w:r w:rsidRPr="00DD1D44">
        <w:rPr>
          <w:rFonts w:cs="Arial" w:hint="cs"/>
          <w:sz w:val="20"/>
          <w:szCs w:val="20"/>
          <w:rtl/>
        </w:rPr>
        <w:t>עֶרְוָתָהּ</w:t>
      </w:r>
      <w:r w:rsidRPr="00DD1D44">
        <w:rPr>
          <w:rFonts w:cs="Arial"/>
          <w:sz w:val="20"/>
          <w:szCs w:val="20"/>
          <w:rtl/>
        </w:rPr>
        <w:t xml:space="preserve"> </w:t>
      </w:r>
      <w:r w:rsidRPr="00DD1D44">
        <w:rPr>
          <w:rFonts w:cs="Arial" w:hint="cs"/>
          <w:sz w:val="20"/>
          <w:szCs w:val="20"/>
          <w:rtl/>
        </w:rPr>
        <w:t>אֶת</w:t>
      </w:r>
      <w:r w:rsidRPr="00DD1D44">
        <w:rPr>
          <w:rFonts w:cs="Arial"/>
          <w:sz w:val="20"/>
          <w:szCs w:val="20"/>
          <w:rtl/>
        </w:rPr>
        <w:t xml:space="preserve"> </w:t>
      </w:r>
      <w:r w:rsidRPr="00DD1D44">
        <w:rPr>
          <w:rFonts w:cs="Arial" w:hint="cs"/>
          <w:sz w:val="20"/>
          <w:szCs w:val="20"/>
          <w:rtl/>
        </w:rPr>
        <w:t>מְקֹרָהּ</w:t>
      </w:r>
      <w:r w:rsidRPr="00DD1D44">
        <w:rPr>
          <w:rFonts w:cs="Arial"/>
          <w:sz w:val="20"/>
          <w:szCs w:val="20"/>
          <w:rtl/>
        </w:rPr>
        <w:t xml:space="preserve"> </w:t>
      </w:r>
      <w:r w:rsidRPr="00DD1D44">
        <w:rPr>
          <w:rFonts w:cs="Arial" w:hint="cs"/>
          <w:sz w:val="20"/>
          <w:szCs w:val="20"/>
          <w:rtl/>
        </w:rPr>
        <w:t>הֶעֱרָה</w:t>
      </w:r>
      <w:r w:rsidRPr="00DD1D44">
        <w:rPr>
          <w:rFonts w:cs="Arial"/>
          <w:sz w:val="20"/>
          <w:szCs w:val="20"/>
          <w:rtl/>
        </w:rPr>
        <w:t xml:space="preserve"> </w:t>
      </w:r>
      <w:r w:rsidRPr="00DD1D44">
        <w:rPr>
          <w:rFonts w:cs="Arial" w:hint="cs"/>
          <w:sz w:val="20"/>
          <w:szCs w:val="20"/>
          <w:rtl/>
        </w:rPr>
        <w:t>וְהִוא</w:t>
      </w:r>
      <w:r w:rsidRPr="00DD1D44">
        <w:rPr>
          <w:rFonts w:cs="Arial"/>
          <w:sz w:val="20"/>
          <w:szCs w:val="20"/>
          <w:rtl/>
        </w:rPr>
        <w:t xml:space="preserve"> </w:t>
      </w:r>
      <w:r w:rsidRPr="00DD1D44">
        <w:rPr>
          <w:rFonts w:cs="Arial" w:hint="cs"/>
          <w:sz w:val="20"/>
          <w:szCs w:val="20"/>
          <w:rtl/>
        </w:rPr>
        <w:t>גִּלְּתָה</w:t>
      </w:r>
      <w:r w:rsidRPr="00DD1D44">
        <w:rPr>
          <w:rFonts w:cs="Arial"/>
          <w:sz w:val="20"/>
          <w:szCs w:val="20"/>
          <w:rtl/>
        </w:rPr>
        <w:t xml:space="preserve"> </w:t>
      </w:r>
      <w:r w:rsidRPr="00DD1D44">
        <w:rPr>
          <w:rFonts w:cs="Arial" w:hint="cs"/>
          <w:sz w:val="20"/>
          <w:szCs w:val="20"/>
          <w:rtl/>
        </w:rPr>
        <w:t>אֶת</w:t>
      </w:r>
      <w:r w:rsidRPr="00DD1D44">
        <w:rPr>
          <w:rFonts w:cs="Arial"/>
          <w:sz w:val="20"/>
          <w:szCs w:val="20"/>
          <w:rtl/>
        </w:rPr>
        <w:t xml:space="preserve"> </w:t>
      </w:r>
      <w:r w:rsidRPr="00DD1D44">
        <w:rPr>
          <w:rFonts w:cs="Arial" w:hint="cs"/>
          <w:sz w:val="20"/>
          <w:szCs w:val="20"/>
          <w:rtl/>
        </w:rPr>
        <w:t>מְקוֹר</w:t>
      </w:r>
      <w:r w:rsidRPr="00DD1D44">
        <w:rPr>
          <w:rFonts w:cs="Arial"/>
          <w:sz w:val="20"/>
          <w:szCs w:val="20"/>
          <w:rtl/>
        </w:rPr>
        <w:t xml:space="preserve"> </w:t>
      </w:r>
      <w:r w:rsidRPr="00DD1D44">
        <w:rPr>
          <w:rFonts w:cs="Arial" w:hint="cs"/>
          <w:sz w:val="20"/>
          <w:szCs w:val="20"/>
          <w:rtl/>
        </w:rPr>
        <w:t>דָּמֶיהָ</w:t>
      </w:r>
      <w:r w:rsidRPr="00DD1D44">
        <w:rPr>
          <w:rFonts w:cs="Arial"/>
          <w:sz w:val="20"/>
          <w:szCs w:val="20"/>
          <w:rtl/>
        </w:rPr>
        <w:t xml:space="preserve"> </w:t>
      </w:r>
      <w:r w:rsidRPr="00DD1D44">
        <w:rPr>
          <w:rFonts w:cs="Arial" w:hint="cs"/>
          <w:sz w:val="20"/>
          <w:szCs w:val="20"/>
          <w:rtl/>
        </w:rPr>
        <w:t>וְנִכְרְתוּ</w:t>
      </w:r>
      <w:r w:rsidRPr="00DD1D44">
        <w:rPr>
          <w:rFonts w:cs="Arial"/>
          <w:sz w:val="20"/>
          <w:szCs w:val="20"/>
          <w:rtl/>
        </w:rPr>
        <w:t xml:space="preserve"> </w:t>
      </w:r>
      <w:r w:rsidRPr="00DD1D44">
        <w:rPr>
          <w:rFonts w:cs="Arial" w:hint="cs"/>
          <w:sz w:val="20"/>
          <w:szCs w:val="20"/>
          <w:rtl/>
        </w:rPr>
        <w:t>שְׁנֵיהֶם</w:t>
      </w:r>
      <w:r w:rsidRPr="00DD1D44">
        <w:rPr>
          <w:rFonts w:cs="Arial"/>
          <w:sz w:val="20"/>
          <w:szCs w:val="20"/>
          <w:rtl/>
        </w:rPr>
        <w:t xml:space="preserve"> </w:t>
      </w:r>
      <w:r w:rsidRPr="00DD1D44">
        <w:rPr>
          <w:rFonts w:cs="Arial" w:hint="cs"/>
          <w:sz w:val="20"/>
          <w:szCs w:val="20"/>
          <w:rtl/>
        </w:rPr>
        <w:t>מִקֶּרֶב</w:t>
      </w:r>
      <w:r w:rsidRPr="00DD1D44">
        <w:rPr>
          <w:rFonts w:cs="Arial"/>
          <w:sz w:val="20"/>
          <w:szCs w:val="20"/>
          <w:rtl/>
        </w:rPr>
        <w:t xml:space="preserve"> </w:t>
      </w:r>
      <w:r w:rsidRPr="00DD1D44">
        <w:rPr>
          <w:rFonts w:cs="Arial" w:hint="cs"/>
          <w:sz w:val="20"/>
          <w:szCs w:val="20"/>
          <w:rtl/>
        </w:rPr>
        <w:t>עַמָּם".</w:t>
      </w:r>
    </w:p>
    <w:p w:rsidR="00620060" w:rsidRDefault="00620060" w:rsidP="00620060">
      <w:pPr>
        <w:rPr>
          <w:sz w:val="20"/>
          <w:szCs w:val="20"/>
          <w:rtl/>
        </w:rPr>
      </w:pPr>
      <w:r>
        <w:rPr>
          <w:rFonts w:hint="cs"/>
          <w:b/>
          <w:bCs/>
          <w:sz w:val="20"/>
          <w:szCs w:val="20"/>
          <w:rtl/>
        </w:rPr>
        <w:t xml:space="preserve">ספרא תורת כהנים </w:t>
      </w:r>
      <w:r>
        <w:rPr>
          <w:sz w:val="20"/>
          <w:szCs w:val="20"/>
          <w:rtl/>
        </w:rPr>
        <w:t>–</w:t>
      </w:r>
      <w:r>
        <w:rPr>
          <w:rFonts w:hint="cs"/>
          <w:sz w:val="20"/>
          <w:szCs w:val="20"/>
          <w:rtl/>
        </w:rPr>
        <w:t xml:space="preserve"> "</w:t>
      </w:r>
      <w:r w:rsidRPr="00DF0888">
        <w:rPr>
          <w:rFonts w:cs="Arial" w:hint="cs"/>
          <w:sz w:val="20"/>
          <w:szCs w:val="20"/>
          <w:rtl/>
        </w:rPr>
        <w:t>ואשה</w:t>
      </w:r>
      <w:r w:rsidRPr="00DF0888">
        <w:rPr>
          <w:rFonts w:cs="Arial"/>
          <w:sz w:val="20"/>
          <w:szCs w:val="20"/>
          <w:rtl/>
        </w:rPr>
        <w:t xml:space="preserve"> </w:t>
      </w:r>
      <w:r w:rsidRPr="00DF0888">
        <w:rPr>
          <w:rFonts w:cs="Arial" w:hint="cs"/>
          <w:sz w:val="20"/>
          <w:szCs w:val="20"/>
          <w:rtl/>
        </w:rPr>
        <w:t>כי</w:t>
      </w:r>
      <w:r w:rsidRPr="00DF0888">
        <w:rPr>
          <w:rFonts w:cs="Arial"/>
          <w:sz w:val="20"/>
          <w:szCs w:val="20"/>
          <w:rtl/>
        </w:rPr>
        <w:t xml:space="preserve"> </w:t>
      </w:r>
      <w:r w:rsidRPr="00DF0888">
        <w:rPr>
          <w:rFonts w:cs="Arial" w:hint="cs"/>
          <w:sz w:val="20"/>
          <w:szCs w:val="20"/>
          <w:rtl/>
        </w:rPr>
        <w:t>תהיה</w:t>
      </w:r>
      <w:r w:rsidRPr="00DF0888">
        <w:rPr>
          <w:rFonts w:cs="Arial"/>
          <w:sz w:val="20"/>
          <w:szCs w:val="20"/>
          <w:rtl/>
        </w:rPr>
        <w:t xml:space="preserve"> </w:t>
      </w:r>
      <w:r w:rsidRPr="00DF0888">
        <w:rPr>
          <w:rFonts w:cs="Arial" w:hint="cs"/>
          <w:sz w:val="20"/>
          <w:szCs w:val="20"/>
          <w:rtl/>
        </w:rPr>
        <w:t>זבה</w:t>
      </w:r>
      <w:r>
        <w:rPr>
          <w:rFonts w:cs="Arial" w:hint="cs"/>
          <w:sz w:val="20"/>
          <w:szCs w:val="20"/>
          <w:rtl/>
        </w:rPr>
        <w:t>"</w:t>
      </w:r>
      <w:r w:rsidRPr="00DF0888">
        <w:rPr>
          <w:rFonts w:cs="Arial"/>
          <w:sz w:val="20"/>
          <w:szCs w:val="20"/>
          <w:rtl/>
        </w:rPr>
        <w:t xml:space="preserve"> </w:t>
      </w:r>
      <w:r w:rsidRPr="00DF0888">
        <w:rPr>
          <w:rFonts w:cs="Arial" w:hint="cs"/>
          <w:sz w:val="20"/>
          <w:szCs w:val="20"/>
          <w:rtl/>
        </w:rPr>
        <w:t>יכול</w:t>
      </w:r>
      <w:r w:rsidRPr="00DF0888">
        <w:rPr>
          <w:rFonts w:cs="Arial"/>
          <w:sz w:val="20"/>
          <w:szCs w:val="20"/>
          <w:rtl/>
        </w:rPr>
        <w:t xml:space="preserve"> </w:t>
      </w:r>
      <w:r w:rsidRPr="00DF0888">
        <w:rPr>
          <w:rFonts w:cs="Arial" w:hint="cs"/>
          <w:sz w:val="20"/>
          <w:szCs w:val="20"/>
          <w:rtl/>
        </w:rPr>
        <w:t>אפילו</w:t>
      </w:r>
      <w:r w:rsidRPr="00DF0888">
        <w:rPr>
          <w:rFonts w:cs="Arial"/>
          <w:sz w:val="20"/>
          <w:szCs w:val="20"/>
          <w:rtl/>
        </w:rPr>
        <w:t xml:space="preserve"> </w:t>
      </w:r>
      <w:r w:rsidRPr="00DF0888">
        <w:rPr>
          <w:rFonts w:cs="Arial" w:hint="cs"/>
          <w:sz w:val="20"/>
          <w:szCs w:val="20"/>
          <w:rtl/>
        </w:rPr>
        <w:t>זבה</w:t>
      </w:r>
      <w:r w:rsidRPr="00DF0888">
        <w:rPr>
          <w:rFonts w:cs="Arial"/>
          <w:sz w:val="20"/>
          <w:szCs w:val="20"/>
          <w:rtl/>
        </w:rPr>
        <w:t xml:space="preserve"> </w:t>
      </w:r>
      <w:r w:rsidRPr="00DF0888">
        <w:rPr>
          <w:rFonts w:cs="Arial" w:hint="cs"/>
          <w:sz w:val="20"/>
          <w:szCs w:val="20"/>
          <w:rtl/>
        </w:rPr>
        <w:t>מכל</w:t>
      </w:r>
      <w:r w:rsidRPr="00DF0888">
        <w:rPr>
          <w:rFonts w:cs="Arial"/>
          <w:sz w:val="20"/>
          <w:szCs w:val="20"/>
          <w:rtl/>
        </w:rPr>
        <w:t xml:space="preserve"> </w:t>
      </w:r>
      <w:r w:rsidRPr="00DF0888">
        <w:rPr>
          <w:rFonts w:cs="Arial" w:hint="cs"/>
          <w:sz w:val="20"/>
          <w:szCs w:val="20"/>
          <w:rtl/>
        </w:rPr>
        <w:t>מקום</w:t>
      </w:r>
      <w:r>
        <w:rPr>
          <w:rFonts w:cs="Arial" w:hint="cs"/>
          <w:sz w:val="20"/>
          <w:szCs w:val="20"/>
          <w:rtl/>
        </w:rPr>
        <w:t xml:space="preserve"> </w:t>
      </w:r>
      <w:r w:rsidRPr="00DF0888">
        <w:rPr>
          <w:rFonts w:cs="Arial" w:hint="cs"/>
          <w:sz w:val="18"/>
          <w:szCs w:val="18"/>
          <w:rtl/>
        </w:rPr>
        <w:t>(בגופה)</w:t>
      </w:r>
      <w:r w:rsidRPr="00DF0888">
        <w:rPr>
          <w:rFonts w:cs="Arial"/>
          <w:sz w:val="18"/>
          <w:szCs w:val="18"/>
          <w:rtl/>
        </w:rPr>
        <w:t xml:space="preserve"> </w:t>
      </w:r>
      <w:r w:rsidRPr="00DF0888">
        <w:rPr>
          <w:rFonts w:cs="Arial" w:hint="cs"/>
          <w:sz w:val="20"/>
          <w:szCs w:val="20"/>
          <w:rtl/>
        </w:rPr>
        <w:t>תהא</w:t>
      </w:r>
      <w:r w:rsidRPr="00DF0888">
        <w:rPr>
          <w:rFonts w:cs="Arial"/>
          <w:sz w:val="20"/>
          <w:szCs w:val="20"/>
          <w:rtl/>
        </w:rPr>
        <w:t xml:space="preserve"> </w:t>
      </w:r>
      <w:r w:rsidRPr="00DF0888">
        <w:rPr>
          <w:rFonts w:cs="Arial" w:hint="cs"/>
          <w:sz w:val="20"/>
          <w:szCs w:val="20"/>
          <w:rtl/>
        </w:rPr>
        <w:t>טמאה</w:t>
      </w:r>
      <w:r>
        <w:rPr>
          <w:rFonts w:cs="Arial" w:hint="cs"/>
          <w:sz w:val="20"/>
          <w:szCs w:val="20"/>
          <w:rtl/>
        </w:rPr>
        <w:t>?</w:t>
      </w:r>
      <w:r w:rsidRPr="00DF0888">
        <w:rPr>
          <w:rFonts w:cs="Arial"/>
          <w:sz w:val="20"/>
          <w:szCs w:val="20"/>
          <w:rtl/>
        </w:rPr>
        <w:t xml:space="preserve"> </w:t>
      </w:r>
      <w:r>
        <w:rPr>
          <w:rFonts w:cs="Arial" w:hint="cs"/>
          <w:sz w:val="20"/>
          <w:szCs w:val="20"/>
          <w:rtl/>
        </w:rPr>
        <w:t xml:space="preserve">- </w:t>
      </w:r>
      <w:r w:rsidRPr="00DF0888">
        <w:rPr>
          <w:rFonts w:cs="Arial" w:hint="cs"/>
          <w:sz w:val="20"/>
          <w:szCs w:val="20"/>
          <w:rtl/>
        </w:rPr>
        <w:t>תלמוד</w:t>
      </w:r>
      <w:r w:rsidRPr="00DF0888">
        <w:rPr>
          <w:rFonts w:cs="Arial"/>
          <w:sz w:val="20"/>
          <w:szCs w:val="20"/>
          <w:rtl/>
        </w:rPr>
        <w:t xml:space="preserve"> </w:t>
      </w:r>
      <w:r w:rsidRPr="00DF0888">
        <w:rPr>
          <w:rFonts w:cs="Arial" w:hint="cs"/>
          <w:sz w:val="20"/>
          <w:szCs w:val="20"/>
          <w:rtl/>
        </w:rPr>
        <w:t>לומר</w:t>
      </w:r>
      <w:r w:rsidRPr="00DF0888">
        <w:rPr>
          <w:rFonts w:cs="Arial"/>
          <w:sz w:val="20"/>
          <w:szCs w:val="20"/>
          <w:rtl/>
        </w:rPr>
        <w:t xml:space="preserve"> </w:t>
      </w:r>
      <w:r>
        <w:rPr>
          <w:rFonts w:cs="Arial" w:hint="cs"/>
          <w:sz w:val="20"/>
          <w:szCs w:val="20"/>
          <w:rtl/>
        </w:rPr>
        <w:t>"</w:t>
      </w:r>
      <w:r w:rsidRPr="00DF0888">
        <w:rPr>
          <w:rFonts w:cs="Arial" w:hint="cs"/>
          <w:sz w:val="20"/>
          <w:szCs w:val="20"/>
          <w:rtl/>
        </w:rPr>
        <w:t>והיא</w:t>
      </w:r>
      <w:r w:rsidRPr="00DF0888">
        <w:rPr>
          <w:rFonts w:cs="Arial"/>
          <w:sz w:val="20"/>
          <w:szCs w:val="20"/>
          <w:rtl/>
        </w:rPr>
        <w:t xml:space="preserve"> </w:t>
      </w:r>
      <w:r w:rsidRPr="00DF0888">
        <w:rPr>
          <w:rFonts w:cs="Arial" w:hint="cs"/>
          <w:sz w:val="20"/>
          <w:szCs w:val="20"/>
          <w:rtl/>
        </w:rPr>
        <w:t>גלתה</w:t>
      </w:r>
      <w:r w:rsidRPr="00DF0888">
        <w:rPr>
          <w:rFonts w:cs="Arial"/>
          <w:sz w:val="20"/>
          <w:szCs w:val="20"/>
          <w:rtl/>
        </w:rPr>
        <w:t xml:space="preserve"> </w:t>
      </w:r>
      <w:r w:rsidRPr="00DF0888">
        <w:rPr>
          <w:rFonts w:cs="Arial" w:hint="cs"/>
          <w:sz w:val="20"/>
          <w:szCs w:val="20"/>
          <w:rtl/>
        </w:rPr>
        <w:t>את</w:t>
      </w:r>
      <w:r w:rsidRPr="00DF0888">
        <w:rPr>
          <w:rFonts w:cs="Arial"/>
          <w:sz w:val="20"/>
          <w:szCs w:val="20"/>
          <w:rtl/>
        </w:rPr>
        <w:t xml:space="preserve"> </w:t>
      </w:r>
      <w:r w:rsidRPr="00DF0888">
        <w:rPr>
          <w:rFonts w:cs="Arial" w:hint="cs"/>
          <w:sz w:val="20"/>
          <w:szCs w:val="20"/>
          <w:rtl/>
        </w:rPr>
        <w:t>מקור</w:t>
      </w:r>
      <w:r w:rsidRPr="00DF0888">
        <w:rPr>
          <w:rFonts w:cs="Arial"/>
          <w:sz w:val="20"/>
          <w:szCs w:val="20"/>
          <w:rtl/>
        </w:rPr>
        <w:t xml:space="preserve"> </w:t>
      </w:r>
      <w:r w:rsidRPr="00DF0888">
        <w:rPr>
          <w:rFonts w:cs="Arial" w:hint="cs"/>
          <w:sz w:val="20"/>
          <w:szCs w:val="20"/>
          <w:rtl/>
        </w:rPr>
        <w:t>דמיה</w:t>
      </w:r>
      <w:r>
        <w:rPr>
          <w:rFonts w:cs="Arial" w:hint="cs"/>
          <w:sz w:val="20"/>
          <w:szCs w:val="20"/>
          <w:rtl/>
        </w:rPr>
        <w:t>"</w:t>
      </w:r>
      <w:r w:rsidRPr="00DF0888">
        <w:rPr>
          <w:rFonts w:cs="Arial"/>
          <w:sz w:val="20"/>
          <w:szCs w:val="20"/>
          <w:rtl/>
        </w:rPr>
        <w:t xml:space="preserve"> </w:t>
      </w:r>
      <w:r w:rsidRPr="00DF0888">
        <w:rPr>
          <w:rFonts w:cs="Arial" w:hint="cs"/>
          <w:sz w:val="20"/>
          <w:szCs w:val="20"/>
          <w:rtl/>
        </w:rPr>
        <w:t>לימד</w:t>
      </w:r>
      <w:r w:rsidRPr="00DF0888">
        <w:rPr>
          <w:rFonts w:cs="Arial"/>
          <w:sz w:val="20"/>
          <w:szCs w:val="20"/>
          <w:rtl/>
        </w:rPr>
        <w:t xml:space="preserve"> </w:t>
      </w:r>
      <w:r w:rsidRPr="00DF0888">
        <w:rPr>
          <w:rFonts w:cs="Arial" w:hint="cs"/>
          <w:sz w:val="20"/>
          <w:szCs w:val="20"/>
          <w:rtl/>
        </w:rPr>
        <w:t>על</w:t>
      </w:r>
      <w:r w:rsidRPr="00DF0888">
        <w:rPr>
          <w:rFonts w:cs="Arial"/>
          <w:sz w:val="20"/>
          <w:szCs w:val="20"/>
          <w:rtl/>
        </w:rPr>
        <w:t xml:space="preserve"> </w:t>
      </w:r>
      <w:r w:rsidRPr="00DF0888">
        <w:rPr>
          <w:rFonts w:cs="Arial" w:hint="cs"/>
          <w:sz w:val="20"/>
          <w:szCs w:val="20"/>
          <w:rtl/>
        </w:rPr>
        <w:t>הדמים</w:t>
      </w:r>
      <w:r w:rsidRPr="00DF0888">
        <w:rPr>
          <w:rFonts w:cs="Arial"/>
          <w:sz w:val="20"/>
          <w:szCs w:val="20"/>
          <w:rtl/>
        </w:rPr>
        <w:t xml:space="preserve"> </w:t>
      </w:r>
      <w:r w:rsidRPr="00DF0888">
        <w:rPr>
          <w:rFonts w:cs="Arial" w:hint="cs"/>
          <w:sz w:val="20"/>
          <w:szCs w:val="20"/>
          <w:rtl/>
        </w:rPr>
        <w:t>שאינם</w:t>
      </w:r>
      <w:r w:rsidRPr="00DF0888">
        <w:rPr>
          <w:rFonts w:cs="Arial"/>
          <w:sz w:val="20"/>
          <w:szCs w:val="20"/>
          <w:rtl/>
        </w:rPr>
        <w:t xml:space="preserve"> </w:t>
      </w:r>
      <w:r w:rsidRPr="00DF0888">
        <w:rPr>
          <w:rFonts w:cs="Arial" w:hint="cs"/>
          <w:sz w:val="20"/>
          <w:szCs w:val="20"/>
          <w:rtl/>
        </w:rPr>
        <w:t>אלא</w:t>
      </w:r>
      <w:r w:rsidRPr="00DF0888">
        <w:rPr>
          <w:rFonts w:cs="Arial"/>
          <w:sz w:val="20"/>
          <w:szCs w:val="20"/>
          <w:rtl/>
        </w:rPr>
        <w:t xml:space="preserve"> </w:t>
      </w:r>
      <w:r w:rsidRPr="00DF0888">
        <w:rPr>
          <w:rFonts w:cs="Arial" w:hint="cs"/>
          <w:sz w:val="20"/>
          <w:szCs w:val="20"/>
          <w:rtl/>
        </w:rPr>
        <w:t>מן</w:t>
      </w:r>
      <w:r w:rsidRPr="00DF0888">
        <w:rPr>
          <w:rFonts w:cs="Arial"/>
          <w:sz w:val="20"/>
          <w:szCs w:val="20"/>
          <w:rtl/>
        </w:rPr>
        <w:t xml:space="preserve"> </w:t>
      </w:r>
      <w:r w:rsidRPr="00DF0888">
        <w:rPr>
          <w:rFonts w:cs="Arial" w:hint="cs"/>
          <w:sz w:val="20"/>
          <w:szCs w:val="20"/>
          <w:rtl/>
        </w:rPr>
        <w:t>המקור</w:t>
      </w:r>
      <w:r>
        <w:rPr>
          <w:rFonts w:cs="Arial" w:hint="cs"/>
          <w:sz w:val="20"/>
          <w:szCs w:val="20"/>
          <w:rtl/>
        </w:rPr>
        <w:t>.</w:t>
      </w:r>
    </w:p>
    <w:p w:rsidR="00620060" w:rsidRDefault="00620060" w:rsidP="00620060">
      <w:pPr>
        <w:rPr>
          <w:sz w:val="20"/>
          <w:szCs w:val="20"/>
          <w:rtl/>
        </w:rPr>
      </w:pPr>
      <w:r w:rsidRPr="002A73F7">
        <w:rPr>
          <w:rFonts w:hint="cs"/>
          <w:b/>
          <w:bCs/>
          <w:sz w:val="20"/>
          <w:szCs w:val="20"/>
          <w:rtl/>
        </w:rPr>
        <w:t>צבע דם המטמא</w:t>
      </w:r>
      <w:r>
        <w:rPr>
          <w:rFonts w:hint="cs"/>
          <w:sz w:val="20"/>
          <w:szCs w:val="20"/>
          <w:u w:val="single"/>
          <w:rtl/>
        </w:rPr>
        <w:br/>
      </w:r>
      <w:r>
        <w:rPr>
          <w:rFonts w:hint="cs"/>
          <w:b/>
          <w:bCs/>
          <w:sz w:val="20"/>
          <w:szCs w:val="20"/>
          <w:rtl/>
        </w:rPr>
        <w:t xml:space="preserve">ספרא תורת כהנים </w:t>
      </w:r>
      <w:r>
        <w:rPr>
          <w:sz w:val="20"/>
          <w:szCs w:val="20"/>
          <w:rtl/>
        </w:rPr>
        <w:t>–</w:t>
      </w:r>
      <w:r>
        <w:rPr>
          <w:rFonts w:hint="cs"/>
          <w:sz w:val="20"/>
          <w:szCs w:val="20"/>
          <w:rtl/>
        </w:rPr>
        <w:t xml:space="preserve"> </w:t>
      </w:r>
      <w:r>
        <w:rPr>
          <w:rFonts w:cs="Arial" w:hint="cs"/>
          <w:sz w:val="20"/>
          <w:szCs w:val="20"/>
          <w:rtl/>
        </w:rPr>
        <w:t>"</w:t>
      </w:r>
      <w:r w:rsidRPr="008A2F86">
        <w:rPr>
          <w:rFonts w:cs="Arial" w:hint="cs"/>
          <w:sz w:val="20"/>
          <w:szCs w:val="20"/>
          <w:rtl/>
        </w:rPr>
        <w:t>יכול</w:t>
      </w:r>
      <w:r w:rsidRPr="008A2F86">
        <w:rPr>
          <w:rFonts w:cs="Arial"/>
          <w:sz w:val="20"/>
          <w:szCs w:val="20"/>
          <w:rtl/>
        </w:rPr>
        <w:t xml:space="preserve"> </w:t>
      </w:r>
      <w:r w:rsidRPr="008A2F86">
        <w:rPr>
          <w:rFonts w:cs="Arial" w:hint="cs"/>
          <w:sz w:val="20"/>
          <w:szCs w:val="20"/>
          <w:rtl/>
        </w:rPr>
        <w:t>על</w:t>
      </w:r>
      <w:r w:rsidRPr="008A2F86">
        <w:rPr>
          <w:rFonts w:cs="Arial"/>
          <w:sz w:val="20"/>
          <w:szCs w:val="20"/>
          <w:rtl/>
        </w:rPr>
        <w:t xml:space="preserve"> </w:t>
      </w:r>
      <w:r w:rsidRPr="008A2F86">
        <w:rPr>
          <w:rFonts w:cs="Arial" w:hint="cs"/>
          <w:sz w:val="20"/>
          <w:szCs w:val="20"/>
          <w:rtl/>
        </w:rPr>
        <w:t>כל</w:t>
      </w:r>
      <w:r w:rsidRPr="008A2F86">
        <w:rPr>
          <w:rFonts w:cs="Arial"/>
          <w:sz w:val="20"/>
          <w:szCs w:val="20"/>
          <w:rtl/>
        </w:rPr>
        <w:t xml:space="preserve"> </w:t>
      </w:r>
      <w:r w:rsidRPr="008A2F86">
        <w:rPr>
          <w:rFonts w:cs="Arial" w:hint="cs"/>
          <w:sz w:val="20"/>
          <w:szCs w:val="20"/>
          <w:rtl/>
        </w:rPr>
        <w:t>מראה</w:t>
      </w:r>
      <w:r w:rsidRPr="008A2F86">
        <w:rPr>
          <w:rFonts w:cs="Arial"/>
          <w:sz w:val="20"/>
          <w:szCs w:val="20"/>
          <w:rtl/>
        </w:rPr>
        <w:t xml:space="preserve"> </w:t>
      </w:r>
      <w:r w:rsidRPr="008A2F86">
        <w:rPr>
          <w:rFonts w:cs="Arial" w:hint="cs"/>
          <w:sz w:val="20"/>
          <w:szCs w:val="20"/>
          <w:rtl/>
        </w:rPr>
        <w:t>זוב</w:t>
      </w:r>
      <w:r w:rsidRPr="008A2F86">
        <w:rPr>
          <w:rFonts w:cs="Arial"/>
          <w:sz w:val="20"/>
          <w:szCs w:val="20"/>
          <w:rtl/>
        </w:rPr>
        <w:t xml:space="preserve"> </w:t>
      </w:r>
      <w:r w:rsidRPr="008A2F86">
        <w:rPr>
          <w:rFonts w:cs="Arial" w:hint="cs"/>
          <w:sz w:val="20"/>
          <w:szCs w:val="20"/>
          <w:rtl/>
        </w:rPr>
        <w:t>תהא</w:t>
      </w:r>
      <w:r w:rsidRPr="008A2F86">
        <w:rPr>
          <w:rFonts w:cs="Arial"/>
          <w:sz w:val="20"/>
          <w:szCs w:val="20"/>
          <w:rtl/>
        </w:rPr>
        <w:t xml:space="preserve"> </w:t>
      </w:r>
      <w:r w:rsidRPr="008A2F86">
        <w:rPr>
          <w:rFonts w:cs="Arial" w:hint="cs"/>
          <w:sz w:val="20"/>
          <w:szCs w:val="20"/>
          <w:rtl/>
        </w:rPr>
        <w:t>טמאה</w:t>
      </w:r>
      <w:r>
        <w:rPr>
          <w:rFonts w:cs="Arial" w:hint="cs"/>
          <w:sz w:val="20"/>
          <w:szCs w:val="20"/>
          <w:rtl/>
        </w:rPr>
        <w:t>? -</w:t>
      </w:r>
      <w:r w:rsidRPr="008A2F86">
        <w:rPr>
          <w:rFonts w:cs="Arial"/>
          <w:sz w:val="20"/>
          <w:szCs w:val="20"/>
          <w:rtl/>
        </w:rPr>
        <w:t xml:space="preserve"> </w:t>
      </w:r>
      <w:r w:rsidRPr="008A2F86">
        <w:rPr>
          <w:rFonts w:cs="Arial" w:hint="cs"/>
          <w:sz w:val="20"/>
          <w:szCs w:val="20"/>
          <w:rtl/>
        </w:rPr>
        <w:t>תלמוד</w:t>
      </w:r>
      <w:r w:rsidRPr="008A2F86">
        <w:rPr>
          <w:rFonts w:cs="Arial"/>
          <w:sz w:val="20"/>
          <w:szCs w:val="20"/>
          <w:rtl/>
        </w:rPr>
        <w:t xml:space="preserve"> </w:t>
      </w:r>
      <w:r w:rsidRPr="008A2F86">
        <w:rPr>
          <w:rFonts w:cs="Arial" w:hint="cs"/>
          <w:sz w:val="20"/>
          <w:szCs w:val="20"/>
          <w:rtl/>
        </w:rPr>
        <w:t>לומר</w:t>
      </w:r>
      <w:r w:rsidRPr="008A2F86">
        <w:rPr>
          <w:rFonts w:cs="Arial"/>
          <w:sz w:val="20"/>
          <w:szCs w:val="20"/>
          <w:rtl/>
        </w:rPr>
        <w:t xml:space="preserve"> </w:t>
      </w:r>
      <w:r>
        <w:rPr>
          <w:rFonts w:cs="Arial" w:hint="cs"/>
          <w:sz w:val="20"/>
          <w:szCs w:val="20"/>
          <w:rtl/>
        </w:rPr>
        <w:t>"</w:t>
      </w:r>
      <w:r w:rsidRPr="008A2F86">
        <w:rPr>
          <w:rFonts w:cs="Arial" w:hint="cs"/>
          <w:sz w:val="20"/>
          <w:szCs w:val="20"/>
          <w:rtl/>
        </w:rPr>
        <w:t>דם</w:t>
      </w:r>
      <w:r>
        <w:rPr>
          <w:rFonts w:cs="Arial" w:hint="cs"/>
          <w:sz w:val="20"/>
          <w:szCs w:val="20"/>
          <w:rtl/>
        </w:rPr>
        <w:t>"</w:t>
      </w:r>
      <w:r w:rsidRPr="008A2F86">
        <w:rPr>
          <w:rFonts w:cs="Arial"/>
          <w:sz w:val="20"/>
          <w:szCs w:val="20"/>
          <w:rtl/>
        </w:rPr>
        <w:t xml:space="preserve"> </w:t>
      </w:r>
      <w:r w:rsidRPr="008A2F86">
        <w:rPr>
          <w:rFonts w:cs="Arial" w:hint="cs"/>
          <w:sz w:val="20"/>
          <w:szCs w:val="20"/>
          <w:rtl/>
        </w:rPr>
        <w:t>ואין</w:t>
      </w:r>
      <w:r w:rsidRPr="008A2F86">
        <w:rPr>
          <w:rFonts w:cs="Arial"/>
          <w:sz w:val="20"/>
          <w:szCs w:val="20"/>
          <w:rtl/>
        </w:rPr>
        <w:t xml:space="preserve"> </w:t>
      </w:r>
      <w:r w:rsidRPr="008A2F86">
        <w:rPr>
          <w:rFonts w:cs="Arial" w:hint="cs"/>
          <w:sz w:val="20"/>
          <w:szCs w:val="20"/>
          <w:rtl/>
        </w:rPr>
        <w:t>דם</w:t>
      </w:r>
      <w:r w:rsidRPr="008A2F86">
        <w:rPr>
          <w:rFonts w:cs="Arial"/>
          <w:sz w:val="20"/>
          <w:szCs w:val="20"/>
          <w:rtl/>
        </w:rPr>
        <w:t xml:space="preserve"> </w:t>
      </w:r>
      <w:r w:rsidRPr="008A2F86">
        <w:rPr>
          <w:rFonts w:cs="Arial" w:hint="cs"/>
          <w:sz w:val="20"/>
          <w:szCs w:val="20"/>
          <w:rtl/>
        </w:rPr>
        <w:t>אלא</w:t>
      </w:r>
      <w:r w:rsidRPr="008A2F86">
        <w:rPr>
          <w:rFonts w:cs="Arial"/>
          <w:sz w:val="20"/>
          <w:szCs w:val="20"/>
          <w:rtl/>
        </w:rPr>
        <w:t xml:space="preserve"> </w:t>
      </w:r>
      <w:r w:rsidRPr="008A2F86">
        <w:rPr>
          <w:rFonts w:cs="Arial" w:hint="cs"/>
          <w:sz w:val="20"/>
          <w:szCs w:val="20"/>
          <w:rtl/>
        </w:rPr>
        <w:t>אדום</w:t>
      </w:r>
      <w:r>
        <w:rPr>
          <w:rFonts w:cs="Arial" w:hint="cs"/>
          <w:sz w:val="20"/>
          <w:szCs w:val="20"/>
          <w:rtl/>
        </w:rPr>
        <w:t>;</w:t>
      </w:r>
      <w:r w:rsidRPr="008A2F86">
        <w:rPr>
          <w:rFonts w:cs="Arial"/>
          <w:sz w:val="20"/>
          <w:szCs w:val="20"/>
          <w:rtl/>
        </w:rPr>
        <w:t xml:space="preserve"> </w:t>
      </w:r>
      <w:r w:rsidRPr="008A2F86">
        <w:rPr>
          <w:rFonts w:cs="Arial" w:hint="cs"/>
          <w:sz w:val="20"/>
          <w:szCs w:val="20"/>
          <w:rtl/>
        </w:rPr>
        <w:t>כשהוא</w:t>
      </w:r>
      <w:r w:rsidRPr="008A2F86">
        <w:rPr>
          <w:rFonts w:cs="Arial"/>
          <w:sz w:val="20"/>
          <w:szCs w:val="20"/>
          <w:rtl/>
        </w:rPr>
        <w:t xml:space="preserve"> </w:t>
      </w:r>
      <w:r w:rsidRPr="008A2F86">
        <w:rPr>
          <w:rFonts w:cs="Arial" w:hint="cs"/>
          <w:sz w:val="20"/>
          <w:szCs w:val="20"/>
          <w:rtl/>
        </w:rPr>
        <w:t>אומר</w:t>
      </w:r>
      <w:r w:rsidRPr="008A2F86">
        <w:rPr>
          <w:rFonts w:cs="Arial"/>
          <w:sz w:val="20"/>
          <w:szCs w:val="20"/>
          <w:rtl/>
        </w:rPr>
        <w:t xml:space="preserve"> </w:t>
      </w:r>
      <w:r>
        <w:rPr>
          <w:rFonts w:cs="Arial" w:hint="cs"/>
          <w:sz w:val="20"/>
          <w:szCs w:val="20"/>
          <w:rtl/>
        </w:rPr>
        <w:t>"</w:t>
      </w:r>
      <w:r w:rsidRPr="008A2F86">
        <w:rPr>
          <w:rFonts w:cs="Arial" w:hint="cs"/>
          <w:sz w:val="20"/>
          <w:szCs w:val="20"/>
          <w:rtl/>
        </w:rPr>
        <w:t>דמיה</w:t>
      </w:r>
      <w:r>
        <w:rPr>
          <w:rFonts w:cs="Arial" w:hint="cs"/>
          <w:sz w:val="20"/>
          <w:szCs w:val="20"/>
          <w:rtl/>
        </w:rPr>
        <w:t>"</w:t>
      </w:r>
      <w:r w:rsidRPr="008A2F86">
        <w:rPr>
          <w:rFonts w:cs="Arial"/>
          <w:sz w:val="20"/>
          <w:szCs w:val="20"/>
          <w:rtl/>
        </w:rPr>
        <w:t xml:space="preserve"> </w:t>
      </w:r>
      <w:r w:rsidRPr="008A2F86">
        <w:rPr>
          <w:rFonts w:cs="Arial" w:hint="cs"/>
          <w:sz w:val="20"/>
          <w:szCs w:val="20"/>
          <w:rtl/>
        </w:rPr>
        <w:t>מלמד</w:t>
      </w:r>
      <w:r w:rsidRPr="008A2F86">
        <w:rPr>
          <w:rFonts w:cs="Arial"/>
          <w:sz w:val="20"/>
          <w:szCs w:val="20"/>
          <w:rtl/>
        </w:rPr>
        <w:t xml:space="preserve"> </w:t>
      </w:r>
      <w:r w:rsidRPr="008A2F86">
        <w:rPr>
          <w:rFonts w:cs="Arial" w:hint="cs"/>
          <w:sz w:val="20"/>
          <w:szCs w:val="20"/>
          <w:rtl/>
        </w:rPr>
        <w:t>שדמים</w:t>
      </w:r>
      <w:r w:rsidRPr="008A2F86">
        <w:rPr>
          <w:rFonts w:cs="Arial"/>
          <w:sz w:val="20"/>
          <w:szCs w:val="20"/>
          <w:rtl/>
        </w:rPr>
        <w:t xml:space="preserve"> </w:t>
      </w:r>
      <w:r w:rsidRPr="008A2F86">
        <w:rPr>
          <w:rFonts w:cs="Arial" w:hint="cs"/>
          <w:sz w:val="20"/>
          <w:szCs w:val="20"/>
          <w:rtl/>
        </w:rPr>
        <w:t>הרבה</w:t>
      </w:r>
      <w:r w:rsidRPr="008A2F86">
        <w:rPr>
          <w:rFonts w:cs="Arial"/>
          <w:sz w:val="20"/>
          <w:szCs w:val="20"/>
          <w:rtl/>
        </w:rPr>
        <w:t xml:space="preserve"> </w:t>
      </w:r>
      <w:r w:rsidRPr="008A2F86">
        <w:rPr>
          <w:rFonts w:cs="Arial" w:hint="cs"/>
          <w:sz w:val="20"/>
          <w:szCs w:val="20"/>
          <w:rtl/>
        </w:rPr>
        <w:t>טמאים</w:t>
      </w:r>
      <w:r w:rsidRPr="008A2F86">
        <w:rPr>
          <w:rFonts w:cs="Arial"/>
          <w:sz w:val="20"/>
          <w:szCs w:val="20"/>
          <w:rtl/>
        </w:rPr>
        <w:t xml:space="preserve"> </w:t>
      </w:r>
      <w:r w:rsidRPr="008A2F86">
        <w:rPr>
          <w:rFonts w:cs="Arial" w:hint="cs"/>
          <w:sz w:val="20"/>
          <w:szCs w:val="20"/>
          <w:rtl/>
        </w:rPr>
        <w:t>בה</w:t>
      </w:r>
      <w:r>
        <w:rPr>
          <w:rFonts w:cs="Arial" w:hint="cs"/>
          <w:sz w:val="20"/>
          <w:szCs w:val="20"/>
          <w:rtl/>
        </w:rPr>
        <w:t>,</w:t>
      </w:r>
      <w:r w:rsidRPr="008A2F86">
        <w:rPr>
          <w:rFonts w:cs="Arial"/>
          <w:sz w:val="20"/>
          <w:szCs w:val="20"/>
          <w:rtl/>
        </w:rPr>
        <w:t xml:space="preserve"> </w:t>
      </w:r>
      <w:r w:rsidRPr="008A2F86">
        <w:rPr>
          <w:rFonts w:cs="Arial" w:hint="cs"/>
          <w:sz w:val="20"/>
          <w:szCs w:val="20"/>
          <w:rtl/>
        </w:rPr>
        <w:t>האדום</w:t>
      </w:r>
      <w:r w:rsidRPr="008A2F86">
        <w:rPr>
          <w:rFonts w:cs="Arial"/>
          <w:sz w:val="20"/>
          <w:szCs w:val="20"/>
          <w:rtl/>
        </w:rPr>
        <w:t xml:space="preserve"> </w:t>
      </w:r>
      <w:r w:rsidRPr="008A2F86">
        <w:rPr>
          <w:rFonts w:cs="Arial" w:hint="cs"/>
          <w:sz w:val="20"/>
          <w:szCs w:val="20"/>
          <w:rtl/>
        </w:rPr>
        <w:t>והשחור</w:t>
      </w:r>
      <w:r w:rsidRPr="008A2F86">
        <w:rPr>
          <w:rFonts w:cs="Arial"/>
          <w:sz w:val="20"/>
          <w:szCs w:val="20"/>
          <w:rtl/>
        </w:rPr>
        <w:t xml:space="preserve"> </w:t>
      </w:r>
      <w:r w:rsidRPr="008A2F86">
        <w:rPr>
          <w:rFonts w:cs="Arial" w:hint="cs"/>
          <w:sz w:val="20"/>
          <w:szCs w:val="20"/>
          <w:rtl/>
        </w:rPr>
        <w:t>וכקרן</w:t>
      </w:r>
      <w:r w:rsidRPr="008A2F86">
        <w:rPr>
          <w:rFonts w:cs="Arial"/>
          <w:sz w:val="20"/>
          <w:szCs w:val="20"/>
          <w:rtl/>
        </w:rPr>
        <w:t xml:space="preserve"> </w:t>
      </w:r>
      <w:r w:rsidRPr="008A2F86">
        <w:rPr>
          <w:rFonts w:cs="Arial" w:hint="cs"/>
          <w:sz w:val="20"/>
          <w:szCs w:val="20"/>
          <w:rtl/>
        </w:rPr>
        <w:t>כרכום</w:t>
      </w:r>
      <w:r w:rsidRPr="008A2F86">
        <w:rPr>
          <w:rFonts w:cs="Arial"/>
          <w:sz w:val="20"/>
          <w:szCs w:val="20"/>
          <w:rtl/>
        </w:rPr>
        <w:t xml:space="preserve"> </w:t>
      </w:r>
      <w:r w:rsidRPr="008A2F86">
        <w:rPr>
          <w:rFonts w:cs="Arial" w:hint="cs"/>
          <w:sz w:val="20"/>
          <w:szCs w:val="20"/>
          <w:rtl/>
        </w:rPr>
        <w:t>וכמימי</w:t>
      </w:r>
      <w:r w:rsidRPr="008A2F86">
        <w:rPr>
          <w:rFonts w:cs="Arial"/>
          <w:sz w:val="20"/>
          <w:szCs w:val="20"/>
          <w:rtl/>
        </w:rPr>
        <w:t xml:space="preserve"> </w:t>
      </w:r>
      <w:r w:rsidRPr="008A2F86">
        <w:rPr>
          <w:rFonts w:cs="Arial" w:hint="cs"/>
          <w:sz w:val="20"/>
          <w:szCs w:val="20"/>
          <w:rtl/>
        </w:rPr>
        <w:t>אדמה</w:t>
      </w:r>
      <w:r w:rsidRPr="008A2F86">
        <w:rPr>
          <w:rFonts w:cs="Arial"/>
          <w:sz w:val="20"/>
          <w:szCs w:val="20"/>
          <w:rtl/>
        </w:rPr>
        <w:t xml:space="preserve"> </w:t>
      </w:r>
      <w:r w:rsidRPr="008A2F86">
        <w:rPr>
          <w:rFonts w:cs="Arial" w:hint="cs"/>
          <w:sz w:val="20"/>
          <w:szCs w:val="20"/>
          <w:rtl/>
        </w:rPr>
        <w:t>וכמזוג</w:t>
      </w:r>
      <w:r>
        <w:rPr>
          <w:rFonts w:cs="Arial" w:hint="cs"/>
          <w:sz w:val="20"/>
          <w:szCs w:val="20"/>
          <w:rtl/>
        </w:rPr>
        <w:t>".</w:t>
      </w:r>
      <w:r>
        <w:rPr>
          <w:rFonts w:hint="cs"/>
          <w:sz w:val="20"/>
          <w:szCs w:val="20"/>
          <w:rtl/>
        </w:rPr>
        <w:br/>
      </w:r>
      <w:r w:rsidRPr="005D08FE">
        <w:rPr>
          <w:rFonts w:hint="cs"/>
          <w:b/>
          <w:bCs/>
          <w:sz w:val="20"/>
          <w:szCs w:val="20"/>
          <w:rtl/>
        </w:rPr>
        <w:t xml:space="preserve">טור </w:t>
      </w:r>
      <w:r>
        <w:rPr>
          <w:sz w:val="20"/>
          <w:szCs w:val="20"/>
          <w:rtl/>
        </w:rPr>
        <w:t>–</w:t>
      </w:r>
      <w:r>
        <w:rPr>
          <w:rFonts w:hint="cs"/>
          <w:sz w:val="20"/>
          <w:szCs w:val="20"/>
          <w:rtl/>
        </w:rPr>
        <w:t xml:space="preserve"> "</w:t>
      </w:r>
      <w:r w:rsidRPr="002B50A0">
        <w:rPr>
          <w:rFonts w:cs="Arial" w:hint="cs"/>
          <w:sz w:val="20"/>
          <w:szCs w:val="20"/>
          <w:rtl/>
        </w:rPr>
        <w:t>ולא</w:t>
      </w:r>
      <w:r w:rsidRPr="002B50A0">
        <w:rPr>
          <w:rFonts w:cs="Arial"/>
          <w:sz w:val="20"/>
          <w:szCs w:val="20"/>
          <w:rtl/>
        </w:rPr>
        <w:t xml:space="preserve"> </w:t>
      </w:r>
      <w:r w:rsidRPr="002B50A0">
        <w:rPr>
          <w:rFonts w:cs="Arial" w:hint="cs"/>
          <w:sz w:val="20"/>
          <w:szCs w:val="20"/>
          <w:rtl/>
        </w:rPr>
        <w:t>כל</w:t>
      </w:r>
      <w:r w:rsidRPr="002B50A0">
        <w:rPr>
          <w:rFonts w:cs="Arial"/>
          <w:sz w:val="20"/>
          <w:szCs w:val="20"/>
          <w:rtl/>
        </w:rPr>
        <w:t xml:space="preserve"> </w:t>
      </w:r>
      <w:r w:rsidRPr="002B50A0">
        <w:rPr>
          <w:rFonts w:cs="Arial" w:hint="cs"/>
          <w:sz w:val="20"/>
          <w:szCs w:val="20"/>
          <w:rtl/>
        </w:rPr>
        <w:t>דם</w:t>
      </w:r>
      <w:r w:rsidRPr="002B50A0">
        <w:rPr>
          <w:rFonts w:cs="Arial"/>
          <w:sz w:val="20"/>
          <w:szCs w:val="20"/>
          <w:rtl/>
        </w:rPr>
        <w:t xml:space="preserve"> </w:t>
      </w:r>
      <w:r w:rsidRPr="002B50A0">
        <w:rPr>
          <w:rFonts w:cs="Arial" w:hint="cs"/>
          <w:sz w:val="20"/>
          <w:szCs w:val="20"/>
          <w:rtl/>
        </w:rPr>
        <w:t>הבא</w:t>
      </w:r>
      <w:r w:rsidRPr="002B50A0">
        <w:rPr>
          <w:rFonts w:cs="Arial"/>
          <w:sz w:val="20"/>
          <w:szCs w:val="20"/>
          <w:rtl/>
        </w:rPr>
        <w:t xml:space="preserve"> </w:t>
      </w:r>
      <w:r w:rsidRPr="002B50A0">
        <w:rPr>
          <w:rFonts w:cs="Arial" w:hint="cs"/>
          <w:sz w:val="20"/>
          <w:szCs w:val="20"/>
          <w:rtl/>
        </w:rPr>
        <w:t>מן</w:t>
      </w:r>
      <w:r w:rsidRPr="002B50A0">
        <w:rPr>
          <w:rFonts w:cs="Arial"/>
          <w:sz w:val="20"/>
          <w:szCs w:val="20"/>
          <w:rtl/>
        </w:rPr>
        <w:t xml:space="preserve"> </w:t>
      </w:r>
      <w:r w:rsidRPr="002B50A0">
        <w:rPr>
          <w:rFonts w:cs="Arial" w:hint="cs"/>
          <w:sz w:val="20"/>
          <w:szCs w:val="20"/>
          <w:rtl/>
        </w:rPr>
        <w:t>המקור</w:t>
      </w:r>
      <w:r w:rsidRPr="002B50A0">
        <w:rPr>
          <w:rFonts w:cs="Arial"/>
          <w:sz w:val="20"/>
          <w:szCs w:val="20"/>
          <w:rtl/>
        </w:rPr>
        <w:t xml:space="preserve"> </w:t>
      </w:r>
      <w:r w:rsidRPr="002B50A0">
        <w:rPr>
          <w:rFonts w:cs="Arial" w:hint="cs"/>
          <w:sz w:val="20"/>
          <w:szCs w:val="20"/>
          <w:rtl/>
        </w:rPr>
        <w:t>טמא</w:t>
      </w:r>
      <w:r w:rsidRPr="002B50A0">
        <w:rPr>
          <w:rFonts w:cs="Arial"/>
          <w:sz w:val="20"/>
          <w:szCs w:val="20"/>
          <w:rtl/>
        </w:rPr>
        <w:t xml:space="preserve"> </w:t>
      </w:r>
      <w:r w:rsidRPr="002B50A0">
        <w:rPr>
          <w:rFonts w:cs="Arial" w:hint="cs"/>
          <w:sz w:val="20"/>
          <w:szCs w:val="20"/>
          <w:rtl/>
        </w:rPr>
        <w:t>אלא</w:t>
      </w:r>
      <w:r w:rsidRPr="002B50A0">
        <w:rPr>
          <w:rFonts w:cs="Arial"/>
          <w:sz w:val="20"/>
          <w:szCs w:val="20"/>
          <w:rtl/>
        </w:rPr>
        <w:t xml:space="preserve"> </w:t>
      </w:r>
      <w:r w:rsidRPr="002B50A0">
        <w:rPr>
          <w:rFonts w:cs="Arial" w:hint="cs"/>
          <w:sz w:val="20"/>
          <w:szCs w:val="20"/>
          <w:rtl/>
        </w:rPr>
        <w:t>דוקא</w:t>
      </w:r>
      <w:r w:rsidRPr="002B50A0">
        <w:rPr>
          <w:rFonts w:cs="Arial"/>
          <w:sz w:val="20"/>
          <w:szCs w:val="20"/>
          <w:rtl/>
        </w:rPr>
        <w:t xml:space="preserve"> </w:t>
      </w:r>
      <w:r w:rsidRPr="002B50A0">
        <w:rPr>
          <w:rFonts w:cs="Arial" w:hint="cs"/>
          <w:sz w:val="20"/>
          <w:szCs w:val="20"/>
          <w:rtl/>
        </w:rPr>
        <w:t>ה</w:t>
      </w:r>
      <w:r w:rsidRPr="002B50A0">
        <w:rPr>
          <w:rFonts w:cs="Arial"/>
          <w:sz w:val="20"/>
          <w:szCs w:val="20"/>
          <w:rtl/>
        </w:rPr>
        <w:t xml:space="preserve">' </w:t>
      </w:r>
      <w:r w:rsidRPr="002B50A0">
        <w:rPr>
          <w:rFonts w:cs="Arial" w:hint="cs"/>
          <w:sz w:val="20"/>
          <w:szCs w:val="20"/>
          <w:rtl/>
        </w:rPr>
        <w:t>מיני</w:t>
      </w:r>
      <w:r w:rsidRPr="002B50A0">
        <w:rPr>
          <w:rFonts w:cs="Arial"/>
          <w:sz w:val="20"/>
          <w:szCs w:val="20"/>
          <w:rtl/>
        </w:rPr>
        <w:t xml:space="preserve"> </w:t>
      </w:r>
      <w:r w:rsidRPr="002B50A0">
        <w:rPr>
          <w:rFonts w:cs="Arial" w:hint="cs"/>
          <w:sz w:val="20"/>
          <w:szCs w:val="20"/>
          <w:rtl/>
        </w:rPr>
        <w:t>דמים</w:t>
      </w:r>
      <w:r w:rsidRPr="002B50A0">
        <w:rPr>
          <w:rFonts w:cs="Arial"/>
          <w:sz w:val="20"/>
          <w:szCs w:val="20"/>
          <w:rtl/>
        </w:rPr>
        <w:t xml:space="preserve"> </w:t>
      </w:r>
      <w:r w:rsidRPr="002B50A0">
        <w:rPr>
          <w:rFonts w:cs="Arial" w:hint="cs"/>
          <w:sz w:val="20"/>
          <w:szCs w:val="20"/>
          <w:rtl/>
        </w:rPr>
        <w:t>כאשר</w:t>
      </w:r>
      <w:r w:rsidRPr="002B50A0">
        <w:rPr>
          <w:rFonts w:cs="Arial"/>
          <w:sz w:val="20"/>
          <w:szCs w:val="20"/>
          <w:rtl/>
        </w:rPr>
        <w:t xml:space="preserve"> </w:t>
      </w:r>
      <w:r w:rsidRPr="002B50A0">
        <w:rPr>
          <w:rFonts w:cs="Arial" w:hint="cs"/>
          <w:sz w:val="20"/>
          <w:szCs w:val="20"/>
          <w:rtl/>
        </w:rPr>
        <w:t>יתבאר</w:t>
      </w:r>
      <w:r w:rsidRPr="002B50A0">
        <w:rPr>
          <w:rFonts w:cs="Arial"/>
          <w:sz w:val="20"/>
          <w:szCs w:val="20"/>
          <w:rtl/>
        </w:rPr>
        <w:t xml:space="preserve"> </w:t>
      </w:r>
      <w:r w:rsidRPr="002B50A0">
        <w:rPr>
          <w:rFonts w:cs="Arial" w:hint="cs"/>
          <w:sz w:val="20"/>
          <w:szCs w:val="20"/>
          <w:rtl/>
        </w:rPr>
        <w:t>בעז</w:t>
      </w:r>
      <w:r w:rsidRPr="002B50A0">
        <w:rPr>
          <w:rFonts w:cs="Arial"/>
          <w:sz w:val="20"/>
          <w:szCs w:val="20"/>
          <w:rtl/>
        </w:rPr>
        <w:t>"</w:t>
      </w:r>
      <w:r w:rsidRPr="002B50A0">
        <w:rPr>
          <w:rFonts w:cs="Arial" w:hint="cs"/>
          <w:sz w:val="20"/>
          <w:szCs w:val="20"/>
          <w:rtl/>
        </w:rPr>
        <w:t>ה</w:t>
      </w:r>
      <w:r>
        <w:rPr>
          <w:rFonts w:cs="Arial" w:hint="cs"/>
          <w:sz w:val="20"/>
          <w:szCs w:val="20"/>
          <w:rtl/>
        </w:rPr>
        <w:t xml:space="preserve">" </w:t>
      </w:r>
      <w:r w:rsidRPr="002B50A0">
        <w:rPr>
          <w:rFonts w:cs="Arial" w:hint="cs"/>
          <w:sz w:val="18"/>
          <w:szCs w:val="18"/>
          <w:rtl/>
        </w:rPr>
        <w:t>(בסימן קפח)</w:t>
      </w:r>
      <w:r>
        <w:rPr>
          <w:rFonts w:cs="Arial" w:hint="cs"/>
          <w:sz w:val="20"/>
          <w:szCs w:val="20"/>
          <w:rtl/>
        </w:rPr>
        <w:t>.</w:t>
      </w:r>
    </w:p>
    <w:p w:rsidR="00620060" w:rsidRDefault="00620060" w:rsidP="00620060">
      <w:pPr>
        <w:rPr>
          <w:sz w:val="20"/>
          <w:szCs w:val="20"/>
          <w:rtl/>
        </w:rPr>
      </w:pPr>
      <w:r>
        <w:rPr>
          <w:rFonts w:hint="cs"/>
          <w:b/>
          <w:bCs/>
          <w:sz w:val="20"/>
          <w:szCs w:val="20"/>
          <w:rtl/>
        </w:rPr>
        <w:t>ראתה דם באונס</w:t>
      </w:r>
      <w:r>
        <w:rPr>
          <w:b/>
          <w:bCs/>
          <w:sz w:val="20"/>
          <w:szCs w:val="20"/>
          <w:rtl/>
        </w:rPr>
        <w:br/>
      </w:r>
      <w:r>
        <w:rPr>
          <w:rFonts w:hint="cs"/>
          <w:b/>
          <w:bCs/>
          <w:sz w:val="20"/>
          <w:szCs w:val="20"/>
          <w:rtl/>
        </w:rPr>
        <w:t xml:space="preserve">גמרא </w:t>
      </w:r>
      <w:r>
        <w:rPr>
          <w:rFonts w:hint="cs"/>
          <w:sz w:val="20"/>
          <w:szCs w:val="20"/>
          <w:rtl/>
        </w:rPr>
        <w:t>נידה (לו:) "</w:t>
      </w:r>
      <w:r w:rsidRPr="002A73F7">
        <w:rPr>
          <w:rFonts w:cs="Arial" w:hint="cs"/>
          <w:sz w:val="20"/>
          <w:szCs w:val="20"/>
          <w:rtl/>
        </w:rPr>
        <w:t>ת</w:t>
      </w:r>
      <w:r>
        <w:rPr>
          <w:rFonts w:cs="Arial" w:hint="cs"/>
          <w:sz w:val="20"/>
          <w:szCs w:val="20"/>
          <w:rtl/>
        </w:rPr>
        <w:t>נו רבנן</w:t>
      </w:r>
      <w:r w:rsidRPr="002A73F7">
        <w:rPr>
          <w:rFonts w:cs="Arial"/>
          <w:sz w:val="20"/>
          <w:szCs w:val="20"/>
          <w:rtl/>
        </w:rPr>
        <w:t xml:space="preserve">: </w:t>
      </w:r>
      <w:r w:rsidRPr="002A73F7">
        <w:rPr>
          <w:rFonts w:cs="Arial" w:hint="cs"/>
          <w:sz w:val="20"/>
          <w:szCs w:val="20"/>
          <w:rtl/>
        </w:rPr>
        <w:t>דמה</w:t>
      </w:r>
      <w:r w:rsidRPr="002A73F7">
        <w:rPr>
          <w:rFonts w:cs="Arial"/>
          <w:sz w:val="20"/>
          <w:szCs w:val="20"/>
          <w:rtl/>
        </w:rPr>
        <w:t xml:space="preserve"> - </w:t>
      </w:r>
      <w:r w:rsidRPr="002A73F7">
        <w:rPr>
          <w:rFonts w:cs="Arial" w:hint="cs"/>
          <w:sz w:val="20"/>
          <w:szCs w:val="20"/>
          <w:rtl/>
        </w:rPr>
        <w:t>דמה</w:t>
      </w:r>
      <w:r w:rsidRPr="002A73F7">
        <w:rPr>
          <w:rFonts w:cs="Arial"/>
          <w:sz w:val="20"/>
          <w:szCs w:val="20"/>
          <w:rtl/>
        </w:rPr>
        <w:t xml:space="preserve"> </w:t>
      </w:r>
      <w:r w:rsidRPr="002A73F7">
        <w:rPr>
          <w:rFonts w:cs="Arial" w:hint="cs"/>
          <w:sz w:val="20"/>
          <w:szCs w:val="20"/>
          <w:rtl/>
        </w:rPr>
        <w:t>מחמת</w:t>
      </w:r>
      <w:r w:rsidRPr="002A73F7">
        <w:rPr>
          <w:rFonts w:cs="Arial"/>
          <w:sz w:val="20"/>
          <w:szCs w:val="20"/>
          <w:rtl/>
        </w:rPr>
        <w:t xml:space="preserve"> </w:t>
      </w:r>
      <w:r w:rsidRPr="002A73F7">
        <w:rPr>
          <w:rFonts w:cs="Arial" w:hint="cs"/>
          <w:sz w:val="20"/>
          <w:szCs w:val="20"/>
          <w:rtl/>
        </w:rPr>
        <w:t>עצמה</w:t>
      </w:r>
      <w:r w:rsidRPr="002A73F7">
        <w:rPr>
          <w:rFonts w:cs="Arial"/>
          <w:sz w:val="20"/>
          <w:szCs w:val="20"/>
          <w:rtl/>
        </w:rPr>
        <w:t xml:space="preserve"> </w:t>
      </w:r>
      <w:r w:rsidRPr="002A73F7">
        <w:rPr>
          <w:rFonts w:cs="Arial" w:hint="cs"/>
          <w:sz w:val="20"/>
          <w:szCs w:val="20"/>
          <w:rtl/>
        </w:rPr>
        <w:t>ולא</w:t>
      </w:r>
      <w:r w:rsidRPr="002A73F7">
        <w:rPr>
          <w:rFonts w:cs="Arial"/>
          <w:sz w:val="20"/>
          <w:szCs w:val="20"/>
          <w:rtl/>
        </w:rPr>
        <w:t xml:space="preserve"> </w:t>
      </w:r>
      <w:r w:rsidRPr="002A73F7">
        <w:rPr>
          <w:rFonts w:cs="Arial" w:hint="cs"/>
          <w:sz w:val="20"/>
          <w:szCs w:val="20"/>
          <w:rtl/>
        </w:rPr>
        <w:t>מחמת</w:t>
      </w:r>
      <w:r w:rsidRPr="002A73F7">
        <w:rPr>
          <w:rFonts w:cs="Arial"/>
          <w:sz w:val="20"/>
          <w:szCs w:val="20"/>
          <w:rtl/>
        </w:rPr>
        <w:t xml:space="preserve"> </w:t>
      </w:r>
      <w:r w:rsidRPr="002A73F7">
        <w:rPr>
          <w:rFonts w:cs="Arial" w:hint="cs"/>
          <w:sz w:val="20"/>
          <w:szCs w:val="20"/>
          <w:rtl/>
        </w:rPr>
        <w:t>ולד</w:t>
      </w:r>
      <w:r w:rsidRPr="002A73F7">
        <w:rPr>
          <w:rFonts w:cs="Arial"/>
          <w:sz w:val="20"/>
          <w:szCs w:val="20"/>
          <w:rtl/>
        </w:rPr>
        <w:t xml:space="preserve">, </w:t>
      </w:r>
      <w:r w:rsidRPr="002A73F7">
        <w:rPr>
          <w:rFonts w:cs="Arial" w:hint="cs"/>
          <w:sz w:val="20"/>
          <w:szCs w:val="20"/>
          <w:rtl/>
        </w:rPr>
        <w:t>אתה</w:t>
      </w:r>
      <w:r w:rsidRPr="002A73F7">
        <w:rPr>
          <w:rFonts w:cs="Arial"/>
          <w:sz w:val="20"/>
          <w:szCs w:val="20"/>
          <w:rtl/>
        </w:rPr>
        <w:t xml:space="preserve"> </w:t>
      </w:r>
      <w:r w:rsidRPr="002A73F7">
        <w:rPr>
          <w:rFonts w:cs="Arial" w:hint="cs"/>
          <w:sz w:val="20"/>
          <w:szCs w:val="20"/>
          <w:rtl/>
        </w:rPr>
        <w:t>אומר</w:t>
      </w:r>
      <w:r w:rsidRPr="002A73F7">
        <w:rPr>
          <w:rFonts w:cs="Arial"/>
          <w:sz w:val="20"/>
          <w:szCs w:val="20"/>
          <w:rtl/>
        </w:rPr>
        <w:t xml:space="preserve"> </w:t>
      </w:r>
      <w:r w:rsidRPr="002A73F7">
        <w:rPr>
          <w:rFonts w:cs="Arial" w:hint="cs"/>
          <w:sz w:val="20"/>
          <w:szCs w:val="20"/>
          <w:rtl/>
        </w:rPr>
        <w:t>מחמת</w:t>
      </w:r>
      <w:r w:rsidRPr="002A73F7">
        <w:rPr>
          <w:rFonts w:cs="Arial"/>
          <w:sz w:val="20"/>
          <w:szCs w:val="20"/>
          <w:rtl/>
        </w:rPr>
        <w:t xml:space="preserve"> </w:t>
      </w:r>
      <w:r w:rsidRPr="002A73F7">
        <w:rPr>
          <w:rFonts w:cs="Arial" w:hint="cs"/>
          <w:sz w:val="20"/>
          <w:szCs w:val="20"/>
          <w:rtl/>
        </w:rPr>
        <w:t>ולד</w:t>
      </w:r>
      <w:r w:rsidRPr="002A73F7">
        <w:rPr>
          <w:rFonts w:cs="Arial"/>
          <w:sz w:val="20"/>
          <w:szCs w:val="20"/>
          <w:rtl/>
        </w:rPr>
        <w:t xml:space="preserve">, </w:t>
      </w:r>
      <w:r w:rsidRPr="002A73F7">
        <w:rPr>
          <w:rFonts w:cs="Arial" w:hint="cs"/>
          <w:sz w:val="20"/>
          <w:szCs w:val="20"/>
          <w:rtl/>
        </w:rPr>
        <w:t>או</w:t>
      </w:r>
      <w:r w:rsidRPr="002A73F7">
        <w:rPr>
          <w:rFonts w:cs="Arial"/>
          <w:sz w:val="20"/>
          <w:szCs w:val="20"/>
          <w:rtl/>
        </w:rPr>
        <w:t xml:space="preserve"> </w:t>
      </w:r>
      <w:r w:rsidRPr="002A73F7">
        <w:rPr>
          <w:rFonts w:cs="Arial" w:hint="cs"/>
          <w:sz w:val="20"/>
          <w:szCs w:val="20"/>
          <w:rtl/>
        </w:rPr>
        <w:t>אינו</w:t>
      </w:r>
      <w:r w:rsidRPr="002A73F7">
        <w:rPr>
          <w:rFonts w:cs="Arial"/>
          <w:sz w:val="20"/>
          <w:szCs w:val="20"/>
          <w:rtl/>
        </w:rPr>
        <w:t xml:space="preserve"> </w:t>
      </w:r>
      <w:r w:rsidRPr="002A73F7">
        <w:rPr>
          <w:rFonts w:cs="Arial" w:hint="cs"/>
          <w:sz w:val="20"/>
          <w:szCs w:val="20"/>
          <w:rtl/>
        </w:rPr>
        <w:t>אלא</w:t>
      </w:r>
      <w:r w:rsidRPr="002A73F7">
        <w:rPr>
          <w:rFonts w:cs="Arial"/>
          <w:sz w:val="20"/>
          <w:szCs w:val="20"/>
          <w:rtl/>
        </w:rPr>
        <w:t xml:space="preserve"> </w:t>
      </w:r>
      <w:r w:rsidRPr="002A73F7">
        <w:rPr>
          <w:rFonts w:cs="Arial" w:hint="cs"/>
          <w:sz w:val="20"/>
          <w:szCs w:val="20"/>
          <w:rtl/>
        </w:rPr>
        <w:t>מחמת</w:t>
      </w:r>
      <w:r w:rsidRPr="002A73F7">
        <w:rPr>
          <w:rFonts w:cs="Arial"/>
          <w:sz w:val="20"/>
          <w:szCs w:val="20"/>
          <w:rtl/>
        </w:rPr>
        <w:t xml:space="preserve"> </w:t>
      </w:r>
      <w:r w:rsidRPr="002A73F7">
        <w:rPr>
          <w:rFonts w:cs="Arial" w:hint="cs"/>
          <w:sz w:val="20"/>
          <w:szCs w:val="20"/>
          <w:rtl/>
        </w:rPr>
        <w:t>אונס</w:t>
      </w:r>
      <w:r w:rsidRPr="002A73F7">
        <w:rPr>
          <w:rFonts w:cs="Arial"/>
          <w:sz w:val="20"/>
          <w:szCs w:val="20"/>
          <w:rtl/>
        </w:rPr>
        <w:t xml:space="preserve">? </w:t>
      </w:r>
      <w:r w:rsidRPr="002A73F7">
        <w:rPr>
          <w:rFonts w:cs="Arial" w:hint="cs"/>
          <w:sz w:val="20"/>
          <w:szCs w:val="20"/>
          <w:rtl/>
        </w:rPr>
        <w:t>כשהוא</w:t>
      </w:r>
      <w:r w:rsidRPr="002A73F7">
        <w:rPr>
          <w:rFonts w:cs="Arial"/>
          <w:sz w:val="20"/>
          <w:szCs w:val="20"/>
          <w:rtl/>
        </w:rPr>
        <w:t xml:space="preserve"> </w:t>
      </w:r>
      <w:r w:rsidRPr="002A73F7">
        <w:rPr>
          <w:rFonts w:cs="Arial" w:hint="cs"/>
          <w:sz w:val="20"/>
          <w:szCs w:val="20"/>
          <w:rtl/>
        </w:rPr>
        <w:t>אומר</w:t>
      </w:r>
      <w:r w:rsidRPr="002A73F7">
        <w:rPr>
          <w:rFonts w:cs="Arial"/>
          <w:sz w:val="20"/>
          <w:szCs w:val="20"/>
          <w:rtl/>
        </w:rPr>
        <w:t xml:space="preserve"> </w:t>
      </w:r>
      <w:r w:rsidRPr="002A73F7">
        <w:rPr>
          <w:rFonts w:cs="Arial" w:hint="cs"/>
          <w:sz w:val="20"/>
          <w:szCs w:val="20"/>
          <w:rtl/>
        </w:rPr>
        <w:t>ואשה</w:t>
      </w:r>
      <w:r w:rsidRPr="002A73F7">
        <w:rPr>
          <w:rFonts w:cs="Arial"/>
          <w:sz w:val="20"/>
          <w:szCs w:val="20"/>
          <w:rtl/>
        </w:rPr>
        <w:t xml:space="preserve"> </w:t>
      </w:r>
      <w:r w:rsidRPr="002A73F7">
        <w:rPr>
          <w:rFonts w:cs="Arial" w:hint="cs"/>
          <w:sz w:val="20"/>
          <w:szCs w:val="20"/>
          <w:rtl/>
        </w:rPr>
        <w:t>כי</w:t>
      </w:r>
      <w:r w:rsidRPr="002A73F7">
        <w:rPr>
          <w:rFonts w:cs="Arial"/>
          <w:sz w:val="20"/>
          <w:szCs w:val="20"/>
          <w:rtl/>
        </w:rPr>
        <w:t xml:space="preserve"> </w:t>
      </w:r>
      <w:r w:rsidRPr="002A73F7">
        <w:rPr>
          <w:rFonts w:cs="Arial" w:hint="cs"/>
          <w:sz w:val="20"/>
          <w:szCs w:val="20"/>
          <w:rtl/>
        </w:rPr>
        <w:t>יזוב</w:t>
      </w:r>
      <w:r w:rsidRPr="002A73F7">
        <w:rPr>
          <w:rFonts w:cs="Arial"/>
          <w:sz w:val="20"/>
          <w:szCs w:val="20"/>
          <w:rtl/>
        </w:rPr>
        <w:t xml:space="preserve"> </w:t>
      </w:r>
      <w:r w:rsidRPr="002A73F7">
        <w:rPr>
          <w:rFonts w:cs="Arial" w:hint="cs"/>
          <w:sz w:val="20"/>
          <w:szCs w:val="20"/>
          <w:rtl/>
        </w:rPr>
        <w:t>זוב</w:t>
      </w:r>
      <w:r w:rsidRPr="002A73F7">
        <w:rPr>
          <w:rFonts w:cs="Arial"/>
          <w:sz w:val="20"/>
          <w:szCs w:val="20"/>
          <w:rtl/>
        </w:rPr>
        <w:t xml:space="preserve"> </w:t>
      </w:r>
      <w:r w:rsidRPr="002A73F7">
        <w:rPr>
          <w:rFonts w:cs="Arial" w:hint="cs"/>
          <w:sz w:val="20"/>
          <w:szCs w:val="20"/>
          <w:rtl/>
        </w:rPr>
        <w:t>דמה</w:t>
      </w:r>
      <w:r w:rsidRPr="002A73F7">
        <w:rPr>
          <w:rFonts w:cs="Arial"/>
          <w:sz w:val="20"/>
          <w:szCs w:val="20"/>
          <w:rtl/>
        </w:rPr>
        <w:t xml:space="preserve"> - </w:t>
      </w:r>
      <w:r w:rsidRPr="002A73F7">
        <w:rPr>
          <w:rFonts w:cs="Arial" w:hint="cs"/>
          <w:sz w:val="20"/>
          <w:szCs w:val="20"/>
          <w:rtl/>
        </w:rPr>
        <w:t>הרי</w:t>
      </w:r>
      <w:r w:rsidRPr="002A73F7">
        <w:rPr>
          <w:rFonts w:cs="Arial"/>
          <w:sz w:val="20"/>
          <w:szCs w:val="20"/>
          <w:rtl/>
        </w:rPr>
        <w:t xml:space="preserve"> </w:t>
      </w:r>
      <w:r w:rsidRPr="002A73F7">
        <w:rPr>
          <w:rFonts w:cs="Arial" w:hint="cs"/>
          <w:sz w:val="20"/>
          <w:szCs w:val="20"/>
          <w:rtl/>
        </w:rPr>
        <w:t>אונס</w:t>
      </w:r>
      <w:r w:rsidRPr="002A73F7">
        <w:rPr>
          <w:rFonts w:cs="Arial"/>
          <w:sz w:val="20"/>
          <w:szCs w:val="20"/>
          <w:rtl/>
        </w:rPr>
        <w:t xml:space="preserve"> </w:t>
      </w:r>
      <w:r w:rsidRPr="002A73F7">
        <w:rPr>
          <w:rFonts w:cs="Arial" w:hint="cs"/>
          <w:sz w:val="20"/>
          <w:szCs w:val="20"/>
          <w:rtl/>
        </w:rPr>
        <w:t>אמור</w:t>
      </w:r>
      <w:r w:rsidRPr="002A73F7">
        <w:rPr>
          <w:rFonts w:cs="Arial"/>
          <w:sz w:val="20"/>
          <w:szCs w:val="20"/>
          <w:rtl/>
        </w:rPr>
        <w:t xml:space="preserve">, </w:t>
      </w:r>
      <w:r w:rsidRPr="002A73F7">
        <w:rPr>
          <w:rFonts w:cs="Arial" w:hint="cs"/>
          <w:sz w:val="20"/>
          <w:szCs w:val="20"/>
          <w:rtl/>
        </w:rPr>
        <w:t>הא</w:t>
      </w:r>
      <w:r w:rsidRPr="002A73F7">
        <w:rPr>
          <w:rFonts w:cs="Arial"/>
          <w:sz w:val="20"/>
          <w:szCs w:val="20"/>
          <w:rtl/>
        </w:rPr>
        <w:t xml:space="preserve"> </w:t>
      </w:r>
      <w:r w:rsidRPr="002A73F7">
        <w:rPr>
          <w:rFonts w:cs="Arial" w:hint="cs"/>
          <w:sz w:val="20"/>
          <w:szCs w:val="20"/>
          <w:rtl/>
        </w:rPr>
        <w:t>מה</w:t>
      </w:r>
      <w:r w:rsidRPr="002A73F7">
        <w:rPr>
          <w:rFonts w:cs="Arial"/>
          <w:sz w:val="20"/>
          <w:szCs w:val="20"/>
          <w:rtl/>
        </w:rPr>
        <w:t xml:space="preserve"> </w:t>
      </w:r>
      <w:r w:rsidRPr="002A73F7">
        <w:rPr>
          <w:rFonts w:cs="Arial" w:hint="cs"/>
          <w:sz w:val="20"/>
          <w:szCs w:val="20"/>
          <w:rtl/>
        </w:rPr>
        <w:t>אני</w:t>
      </w:r>
      <w:r w:rsidRPr="002A73F7">
        <w:rPr>
          <w:rFonts w:cs="Arial"/>
          <w:sz w:val="20"/>
          <w:szCs w:val="20"/>
          <w:rtl/>
        </w:rPr>
        <w:t xml:space="preserve"> </w:t>
      </w:r>
      <w:r w:rsidRPr="002A73F7">
        <w:rPr>
          <w:rFonts w:cs="Arial" w:hint="cs"/>
          <w:sz w:val="20"/>
          <w:szCs w:val="20"/>
          <w:rtl/>
        </w:rPr>
        <w:t>מקיים</w:t>
      </w:r>
      <w:r w:rsidRPr="002A73F7">
        <w:rPr>
          <w:rFonts w:cs="Arial"/>
          <w:sz w:val="20"/>
          <w:szCs w:val="20"/>
          <w:rtl/>
        </w:rPr>
        <w:t xml:space="preserve"> </w:t>
      </w:r>
      <w:r w:rsidRPr="002A73F7">
        <w:rPr>
          <w:rFonts w:cs="Arial" w:hint="cs"/>
          <w:sz w:val="20"/>
          <w:szCs w:val="20"/>
          <w:rtl/>
        </w:rPr>
        <w:t>דמה</w:t>
      </w:r>
      <w:r w:rsidRPr="002A73F7">
        <w:rPr>
          <w:rFonts w:cs="Arial"/>
          <w:sz w:val="20"/>
          <w:szCs w:val="20"/>
          <w:rtl/>
        </w:rPr>
        <w:t xml:space="preserve"> - </w:t>
      </w:r>
      <w:r w:rsidRPr="002A73F7">
        <w:rPr>
          <w:rFonts w:cs="Arial" w:hint="cs"/>
          <w:sz w:val="20"/>
          <w:szCs w:val="20"/>
          <w:rtl/>
        </w:rPr>
        <w:t>דמה</w:t>
      </w:r>
      <w:r w:rsidRPr="002A73F7">
        <w:rPr>
          <w:rFonts w:cs="Arial"/>
          <w:sz w:val="20"/>
          <w:szCs w:val="20"/>
          <w:rtl/>
        </w:rPr>
        <w:t xml:space="preserve"> </w:t>
      </w:r>
      <w:r w:rsidRPr="002A73F7">
        <w:rPr>
          <w:rFonts w:cs="Arial" w:hint="cs"/>
          <w:sz w:val="20"/>
          <w:szCs w:val="20"/>
          <w:rtl/>
        </w:rPr>
        <w:t>מחמת</w:t>
      </w:r>
      <w:r w:rsidRPr="002A73F7">
        <w:rPr>
          <w:rFonts w:cs="Arial"/>
          <w:sz w:val="20"/>
          <w:szCs w:val="20"/>
          <w:rtl/>
        </w:rPr>
        <w:t xml:space="preserve"> </w:t>
      </w:r>
      <w:r w:rsidRPr="002A73F7">
        <w:rPr>
          <w:rFonts w:cs="Arial" w:hint="cs"/>
          <w:sz w:val="20"/>
          <w:szCs w:val="20"/>
          <w:rtl/>
        </w:rPr>
        <w:t>עצמה</w:t>
      </w:r>
      <w:r w:rsidRPr="002A73F7">
        <w:rPr>
          <w:rFonts w:cs="Arial"/>
          <w:sz w:val="20"/>
          <w:szCs w:val="20"/>
          <w:rtl/>
        </w:rPr>
        <w:t xml:space="preserve"> </w:t>
      </w:r>
      <w:r w:rsidRPr="002A73F7">
        <w:rPr>
          <w:rFonts w:cs="Arial" w:hint="cs"/>
          <w:sz w:val="20"/>
          <w:szCs w:val="20"/>
          <w:rtl/>
        </w:rPr>
        <w:t>ולא</w:t>
      </w:r>
      <w:r w:rsidRPr="002A73F7">
        <w:rPr>
          <w:rFonts w:cs="Arial"/>
          <w:sz w:val="20"/>
          <w:szCs w:val="20"/>
          <w:rtl/>
        </w:rPr>
        <w:t xml:space="preserve"> </w:t>
      </w:r>
      <w:r w:rsidRPr="002A73F7">
        <w:rPr>
          <w:rFonts w:cs="Arial" w:hint="cs"/>
          <w:sz w:val="20"/>
          <w:szCs w:val="20"/>
          <w:rtl/>
        </w:rPr>
        <w:t>מחמת</w:t>
      </w:r>
      <w:r w:rsidRPr="002A73F7">
        <w:rPr>
          <w:rFonts w:cs="Arial"/>
          <w:sz w:val="20"/>
          <w:szCs w:val="20"/>
          <w:rtl/>
        </w:rPr>
        <w:t xml:space="preserve"> </w:t>
      </w:r>
      <w:r w:rsidRPr="002A73F7">
        <w:rPr>
          <w:rFonts w:cs="Arial" w:hint="cs"/>
          <w:sz w:val="20"/>
          <w:szCs w:val="20"/>
          <w:rtl/>
        </w:rPr>
        <w:t>ולד</w:t>
      </w:r>
      <w:r>
        <w:rPr>
          <w:rFonts w:cs="Arial" w:hint="cs"/>
          <w:sz w:val="20"/>
          <w:szCs w:val="20"/>
          <w:rtl/>
        </w:rPr>
        <w:t>".</w:t>
      </w:r>
    </w:p>
    <w:p w:rsidR="00620060" w:rsidRDefault="00620060" w:rsidP="00620060">
      <w:pPr>
        <w:rPr>
          <w:sz w:val="20"/>
          <w:szCs w:val="20"/>
          <w:rtl/>
        </w:rPr>
      </w:pPr>
      <w:r>
        <w:rPr>
          <w:rFonts w:hint="cs"/>
          <w:b/>
          <w:bCs/>
          <w:sz w:val="20"/>
          <w:szCs w:val="20"/>
          <w:rtl/>
        </w:rPr>
        <w:t>כמות הדם המטמא</w:t>
      </w:r>
      <w:r>
        <w:rPr>
          <w:b/>
          <w:bCs/>
          <w:sz w:val="20"/>
          <w:szCs w:val="20"/>
          <w:rtl/>
        </w:rPr>
        <w:br/>
      </w:r>
      <w:r>
        <w:rPr>
          <w:rFonts w:hint="cs"/>
          <w:b/>
          <w:bCs/>
          <w:sz w:val="20"/>
          <w:szCs w:val="20"/>
          <w:rtl/>
        </w:rPr>
        <w:t xml:space="preserve">גמרא </w:t>
      </w:r>
      <w:r>
        <w:rPr>
          <w:rFonts w:hint="cs"/>
          <w:sz w:val="20"/>
          <w:szCs w:val="20"/>
          <w:rtl/>
        </w:rPr>
        <w:t>שם (מ.) "</w:t>
      </w:r>
      <w:r w:rsidRPr="00FC2520">
        <w:rPr>
          <w:rFonts w:cs="Arial" w:hint="cs"/>
          <w:sz w:val="20"/>
          <w:szCs w:val="20"/>
          <w:rtl/>
        </w:rPr>
        <w:t>כל</w:t>
      </w:r>
      <w:r w:rsidRPr="00FC2520">
        <w:rPr>
          <w:rFonts w:cs="Arial"/>
          <w:sz w:val="20"/>
          <w:szCs w:val="20"/>
          <w:rtl/>
        </w:rPr>
        <w:t xml:space="preserve"> </w:t>
      </w:r>
      <w:r w:rsidRPr="00FC2520">
        <w:rPr>
          <w:rFonts w:cs="Arial" w:hint="cs"/>
          <w:sz w:val="20"/>
          <w:szCs w:val="20"/>
          <w:rtl/>
        </w:rPr>
        <w:t>הנשים</w:t>
      </w:r>
      <w:r w:rsidRPr="00FC2520">
        <w:rPr>
          <w:rFonts w:cs="Arial"/>
          <w:sz w:val="20"/>
          <w:szCs w:val="20"/>
          <w:rtl/>
        </w:rPr>
        <w:t xml:space="preserve"> </w:t>
      </w:r>
      <w:r w:rsidRPr="00FC2520">
        <w:rPr>
          <w:rFonts w:cs="Arial" w:hint="cs"/>
          <w:sz w:val="20"/>
          <w:szCs w:val="20"/>
          <w:rtl/>
        </w:rPr>
        <w:t>מטמאות</w:t>
      </w:r>
      <w:r>
        <w:rPr>
          <w:rFonts w:cs="Arial" w:hint="cs"/>
          <w:sz w:val="20"/>
          <w:szCs w:val="20"/>
          <w:rtl/>
        </w:rPr>
        <w:t xml:space="preserve">... </w:t>
      </w:r>
      <w:r w:rsidRPr="00FC2520">
        <w:rPr>
          <w:rFonts w:cs="Arial" w:hint="cs"/>
          <w:sz w:val="20"/>
          <w:szCs w:val="20"/>
          <w:rtl/>
        </w:rPr>
        <w:t>בכל</w:t>
      </w:r>
      <w:r w:rsidRPr="00FC2520">
        <w:rPr>
          <w:rFonts w:cs="Arial"/>
          <w:sz w:val="20"/>
          <w:szCs w:val="20"/>
          <w:rtl/>
        </w:rPr>
        <w:t xml:space="preserve"> </w:t>
      </w:r>
      <w:r w:rsidRPr="00FC2520">
        <w:rPr>
          <w:rFonts w:cs="Arial" w:hint="cs"/>
          <w:sz w:val="20"/>
          <w:szCs w:val="20"/>
          <w:rtl/>
        </w:rPr>
        <w:t>שהוא</w:t>
      </w:r>
      <w:r w:rsidRPr="00FC2520">
        <w:rPr>
          <w:rFonts w:cs="Arial"/>
          <w:sz w:val="20"/>
          <w:szCs w:val="20"/>
          <w:rtl/>
        </w:rPr>
        <w:t xml:space="preserve">, </w:t>
      </w:r>
      <w:r w:rsidRPr="00FC2520">
        <w:rPr>
          <w:rFonts w:cs="Arial" w:hint="cs"/>
          <w:sz w:val="20"/>
          <w:szCs w:val="20"/>
          <w:rtl/>
        </w:rPr>
        <w:t>אפילו</w:t>
      </w:r>
      <w:r w:rsidRPr="00FC2520">
        <w:rPr>
          <w:rFonts w:cs="Arial"/>
          <w:sz w:val="20"/>
          <w:szCs w:val="20"/>
          <w:rtl/>
        </w:rPr>
        <w:t xml:space="preserve"> </w:t>
      </w:r>
      <w:r w:rsidRPr="00FC2520">
        <w:rPr>
          <w:rFonts w:cs="Arial" w:hint="cs"/>
          <w:sz w:val="20"/>
          <w:szCs w:val="20"/>
          <w:rtl/>
        </w:rPr>
        <w:t>כעין</w:t>
      </w:r>
      <w:r w:rsidRPr="00FC2520">
        <w:rPr>
          <w:rFonts w:cs="Arial"/>
          <w:sz w:val="20"/>
          <w:szCs w:val="20"/>
          <w:rtl/>
        </w:rPr>
        <w:t xml:space="preserve"> </w:t>
      </w:r>
      <w:r w:rsidRPr="00FC2520">
        <w:rPr>
          <w:rFonts w:cs="Arial" w:hint="cs"/>
          <w:sz w:val="20"/>
          <w:szCs w:val="20"/>
          <w:rtl/>
        </w:rPr>
        <w:t>החרדל</w:t>
      </w:r>
      <w:r w:rsidRPr="00FC2520">
        <w:rPr>
          <w:rFonts w:cs="Arial"/>
          <w:sz w:val="20"/>
          <w:szCs w:val="20"/>
          <w:rtl/>
        </w:rPr>
        <w:t xml:space="preserve"> </w:t>
      </w:r>
      <w:r w:rsidRPr="00FC2520">
        <w:rPr>
          <w:rFonts w:cs="Arial" w:hint="cs"/>
          <w:sz w:val="20"/>
          <w:szCs w:val="20"/>
          <w:rtl/>
        </w:rPr>
        <w:t>ובפחות</w:t>
      </w:r>
      <w:r w:rsidRPr="00FC2520">
        <w:rPr>
          <w:rFonts w:cs="Arial"/>
          <w:sz w:val="20"/>
          <w:szCs w:val="20"/>
          <w:rtl/>
        </w:rPr>
        <w:t xml:space="preserve"> </w:t>
      </w:r>
      <w:r w:rsidRPr="00FC2520">
        <w:rPr>
          <w:rFonts w:cs="Arial" w:hint="cs"/>
          <w:sz w:val="20"/>
          <w:szCs w:val="20"/>
          <w:rtl/>
        </w:rPr>
        <w:t>מכן</w:t>
      </w:r>
      <w:r>
        <w:rPr>
          <w:rFonts w:cs="Arial" w:hint="cs"/>
          <w:sz w:val="20"/>
          <w:szCs w:val="20"/>
          <w:rtl/>
        </w:rPr>
        <w:t>".</w:t>
      </w:r>
    </w:p>
    <w:p w:rsidR="00620060" w:rsidRDefault="00620060" w:rsidP="00620060">
      <w:pPr>
        <w:rPr>
          <w:sz w:val="20"/>
          <w:szCs w:val="20"/>
          <w:rtl/>
        </w:rPr>
      </w:pPr>
      <w:r>
        <w:rPr>
          <w:rFonts w:hint="cs"/>
          <w:b/>
          <w:bCs/>
          <w:sz w:val="20"/>
          <w:szCs w:val="20"/>
          <w:rtl/>
        </w:rPr>
        <w:t>הרגשת הווסת</w:t>
      </w:r>
      <w:r w:rsidRPr="008E2E36">
        <w:rPr>
          <w:rStyle w:val="a5"/>
          <w:sz w:val="20"/>
          <w:szCs w:val="20"/>
          <w:rtl/>
        </w:rPr>
        <w:footnoteReference w:id="2"/>
      </w:r>
      <w:r>
        <w:rPr>
          <w:rFonts w:hint="cs"/>
          <w:sz w:val="20"/>
          <w:szCs w:val="20"/>
          <w:rtl/>
        </w:rPr>
        <w:br/>
      </w:r>
      <w:r w:rsidRPr="008E2E36">
        <w:rPr>
          <w:rFonts w:hint="cs"/>
          <w:b/>
          <w:bCs/>
          <w:sz w:val="20"/>
          <w:szCs w:val="20"/>
          <w:rtl/>
        </w:rPr>
        <w:t>גמרא</w:t>
      </w:r>
      <w:r>
        <w:rPr>
          <w:rFonts w:hint="cs"/>
          <w:sz w:val="20"/>
          <w:szCs w:val="20"/>
          <w:rtl/>
        </w:rPr>
        <w:t xml:space="preserve"> שם (נז:) "</w:t>
      </w:r>
      <w:r w:rsidRPr="008E2E36">
        <w:rPr>
          <w:rFonts w:cs="Arial" w:hint="cs"/>
          <w:sz w:val="20"/>
          <w:szCs w:val="20"/>
          <w:rtl/>
        </w:rPr>
        <w:t>אמר</w:t>
      </w:r>
      <w:r w:rsidRPr="008E2E36">
        <w:rPr>
          <w:rFonts w:cs="Arial"/>
          <w:sz w:val="20"/>
          <w:szCs w:val="20"/>
          <w:rtl/>
        </w:rPr>
        <w:t xml:space="preserve"> </w:t>
      </w:r>
      <w:r w:rsidRPr="008E2E36">
        <w:rPr>
          <w:rFonts w:cs="Arial" w:hint="cs"/>
          <w:sz w:val="20"/>
          <w:szCs w:val="20"/>
          <w:rtl/>
        </w:rPr>
        <w:t>שמואל</w:t>
      </w:r>
      <w:r w:rsidRPr="008E2E36">
        <w:rPr>
          <w:rFonts w:cs="Arial"/>
          <w:sz w:val="20"/>
          <w:szCs w:val="20"/>
          <w:rtl/>
        </w:rPr>
        <w:t xml:space="preserve">: </w:t>
      </w:r>
      <w:r w:rsidRPr="008E2E36">
        <w:rPr>
          <w:rFonts w:cs="Arial" w:hint="cs"/>
          <w:sz w:val="20"/>
          <w:szCs w:val="20"/>
          <w:rtl/>
        </w:rPr>
        <w:t>בדקה</w:t>
      </w:r>
      <w:r w:rsidRPr="008E2E36">
        <w:rPr>
          <w:rFonts w:cs="Arial"/>
          <w:sz w:val="20"/>
          <w:szCs w:val="20"/>
          <w:rtl/>
        </w:rPr>
        <w:t xml:space="preserve"> </w:t>
      </w:r>
      <w:r w:rsidRPr="008E2E36">
        <w:rPr>
          <w:rFonts w:cs="Arial" w:hint="cs"/>
          <w:sz w:val="20"/>
          <w:szCs w:val="20"/>
          <w:rtl/>
        </w:rPr>
        <w:t>קרקע</w:t>
      </w:r>
      <w:r w:rsidRPr="008E2E36">
        <w:rPr>
          <w:rFonts w:cs="Arial"/>
          <w:sz w:val="20"/>
          <w:szCs w:val="20"/>
          <w:rtl/>
        </w:rPr>
        <w:t xml:space="preserve"> </w:t>
      </w:r>
      <w:r w:rsidRPr="008E2E36">
        <w:rPr>
          <w:rFonts w:cs="Arial" w:hint="cs"/>
          <w:sz w:val="20"/>
          <w:szCs w:val="20"/>
          <w:rtl/>
        </w:rPr>
        <w:t>עולם</w:t>
      </w:r>
      <w:r w:rsidRPr="008E2E36">
        <w:rPr>
          <w:rFonts w:cs="Arial"/>
          <w:sz w:val="20"/>
          <w:szCs w:val="20"/>
          <w:rtl/>
        </w:rPr>
        <w:t xml:space="preserve"> </w:t>
      </w:r>
      <w:r w:rsidRPr="008E2E36">
        <w:rPr>
          <w:rFonts w:cs="Arial" w:hint="cs"/>
          <w:sz w:val="20"/>
          <w:szCs w:val="20"/>
          <w:rtl/>
        </w:rPr>
        <w:t>וישבה</w:t>
      </w:r>
      <w:r w:rsidRPr="008E2E36">
        <w:rPr>
          <w:rFonts w:cs="Arial"/>
          <w:sz w:val="20"/>
          <w:szCs w:val="20"/>
          <w:rtl/>
        </w:rPr>
        <w:t xml:space="preserve"> </w:t>
      </w:r>
      <w:r w:rsidRPr="008E2E36">
        <w:rPr>
          <w:rFonts w:cs="Arial" w:hint="cs"/>
          <w:sz w:val="20"/>
          <w:szCs w:val="20"/>
          <w:rtl/>
        </w:rPr>
        <w:t>עליה</w:t>
      </w:r>
      <w:r w:rsidRPr="008E2E36">
        <w:rPr>
          <w:rFonts w:cs="Arial"/>
          <w:sz w:val="20"/>
          <w:szCs w:val="20"/>
          <w:rtl/>
        </w:rPr>
        <w:t xml:space="preserve">, </w:t>
      </w:r>
      <w:r w:rsidRPr="008E2E36">
        <w:rPr>
          <w:rFonts w:cs="Arial" w:hint="cs"/>
          <w:sz w:val="20"/>
          <w:szCs w:val="20"/>
          <w:rtl/>
        </w:rPr>
        <w:t>ומצאה</w:t>
      </w:r>
      <w:r w:rsidRPr="008E2E36">
        <w:rPr>
          <w:rFonts w:cs="Arial"/>
          <w:sz w:val="20"/>
          <w:szCs w:val="20"/>
          <w:rtl/>
        </w:rPr>
        <w:t xml:space="preserve"> </w:t>
      </w:r>
      <w:r w:rsidRPr="008E2E36">
        <w:rPr>
          <w:rFonts w:cs="Arial" w:hint="cs"/>
          <w:sz w:val="20"/>
          <w:szCs w:val="20"/>
          <w:rtl/>
        </w:rPr>
        <w:t>דם</w:t>
      </w:r>
      <w:r w:rsidRPr="008E2E36">
        <w:rPr>
          <w:rFonts w:cs="Arial"/>
          <w:sz w:val="20"/>
          <w:szCs w:val="20"/>
          <w:rtl/>
        </w:rPr>
        <w:t xml:space="preserve"> </w:t>
      </w:r>
      <w:r w:rsidRPr="008E2E36">
        <w:rPr>
          <w:rFonts w:cs="Arial" w:hint="cs"/>
          <w:sz w:val="20"/>
          <w:szCs w:val="20"/>
          <w:rtl/>
        </w:rPr>
        <w:t>עליה</w:t>
      </w:r>
      <w:r w:rsidRPr="008E2E36">
        <w:rPr>
          <w:rFonts w:cs="Arial"/>
          <w:sz w:val="20"/>
          <w:szCs w:val="20"/>
          <w:rtl/>
        </w:rPr>
        <w:t xml:space="preserve"> - </w:t>
      </w:r>
      <w:r w:rsidRPr="008E2E36">
        <w:rPr>
          <w:rFonts w:cs="Arial" w:hint="cs"/>
          <w:sz w:val="20"/>
          <w:szCs w:val="20"/>
          <w:rtl/>
        </w:rPr>
        <w:t>טהורה</w:t>
      </w:r>
      <w:r w:rsidRPr="008E2E36">
        <w:rPr>
          <w:rFonts w:cs="Arial"/>
          <w:sz w:val="20"/>
          <w:szCs w:val="20"/>
          <w:rtl/>
        </w:rPr>
        <w:t xml:space="preserve">, </w:t>
      </w:r>
      <w:r w:rsidRPr="008E2E36">
        <w:rPr>
          <w:rFonts w:cs="Arial" w:hint="cs"/>
          <w:sz w:val="20"/>
          <w:szCs w:val="20"/>
          <w:rtl/>
        </w:rPr>
        <w:t>שנאמר</w:t>
      </w:r>
      <w:r w:rsidRPr="008E2E36">
        <w:rPr>
          <w:rFonts w:cs="Arial"/>
          <w:sz w:val="20"/>
          <w:szCs w:val="20"/>
          <w:rtl/>
        </w:rPr>
        <w:t xml:space="preserve"> </w:t>
      </w:r>
      <w:r w:rsidRPr="008E2E36">
        <w:rPr>
          <w:rFonts w:cs="Arial" w:hint="cs"/>
          <w:sz w:val="20"/>
          <w:szCs w:val="20"/>
          <w:rtl/>
        </w:rPr>
        <w:t>בבשרה</w:t>
      </w:r>
      <w:r w:rsidRPr="008E2E36">
        <w:rPr>
          <w:rFonts w:cs="Arial"/>
          <w:sz w:val="20"/>
          <w:szCs w:val="20"/>
          <w:rtl/>
        </w:rPr>
        <w:t xml:space="preserve"> - </w:t>
      </w:r>
      <w:r w:rsidRPr="008E2E36">
        <w:rPr>
          <w:rFonts w:cs="Arial" w:hint="cs"/>
          <w:sz w:val="20"/>
          <w:szCs w:val="20"/>
          <w:rtl/>
        </w:rPr>
        <w:t>עד</w:t>
      </w:r>
      <w:r w:rsidRPr="008E2E36">
        <w:rPr>
          <w:rFonts w:cs="Arial"/>
          <w:sz w:val="20"/>
          <w:szCs w:val="20"/>
          <w:rtl/>
        </w:rPr>
        <w:t xml:space="preserve"> </w:t>
      </w:r>
      <w:r w:rsidRPr="008E2E36">
        <w:rPr>
          <w:rFonts w:cs="Arial" w:hint="cs"/>
          <w:sz w:val="20"/>
          <w:szCs w:val="20"/>
          <w:rtl/>
        </w:rPr>
        <w:t>שתרגיש</w:t>
      </w:r>
      <w:r w:rsidRPr="008E2E36">
        <w:rPr>
          <w:rFonts w:cs="Arial"/>
          <w:sz w:val="20"/>
          <w:szCs w:val="20"/>
          <w:rtl/>
        </w:rPr>
        <w:t xml:space="preserve"> </w:t>
      </w:r>
      <w:r w:rsidRPr="008E2E36">
        <w:rPr>
          <w:rFonts w:cs="Arial" w:hint="cs"/>
          <w:sz w:val="20"/>
          <w:szCs w:val="20"/>
          <w:rtl/>
        </w:rPr>
        <w:t>בבשרה</w:t>
      </w:r>
      <w:r>
        <w:rPr>
          <w:rFonts w:cs="Arial" w:hint="cs"/>
          <w:sz w:val="20"/>
          <w:szCs w:val="20"/>
          <w:rtl/>
        </w:rPr>
        <w:t>".</w:t>
      </w:r>
      <w:r>
        <w:rPr>
          <w:rStyle w:val="a5"/>
          <w:sz w:val="20"/>
          <w:szCs w:val="20"/>
          <w:rtl/>
        </w:rPr>
        <w:footnoteReference w:id="3"/>
      </w:r>
      <w:r>
        <w:rPr>
          <w:rFonts w:hint="cs"/>
          <w:sz w:val="20"/>
          <w:szCs w:val="20"/>
          <w:rtl/>
        </w:rPr>
        <w:br/>
        <w:t xml:space="preserve">ואמנם, דין זה מדאורייתא, מדרבנן טמאה אף ללא הרגשה, </w:t>
      </w:r>
      <w:r w:rsidRPr="001C6DB0">
        <w:rPr>
          <w:rFonts w:hint="cs"/>
          <w:b/>
          <w:bCs/>
          <w:sz w:val="20"/>
          <w:szCs w:val="20"/>
          <w:rtl/>
        </w:rPr>
        <w:t>ש"ך</w:t>
      </w:r>
      <w:r>
        <w:rPr>
          <w:rFonts w:hint="cs"/>
          <w:sz w:val="20"/>
          <w:szCs w:val="20"/>
          <w:rtl/>
        </w:rPr>
        <w:t>.</w:t>
      </w:r>
    </w:p>
    <w:p w:rsidR="00620060" w:rsidRDefault="00620060" w:rsidP="00620060">
      <w:pPr>
        <w:rPr>
          <w:sz w:val="20"/>
          <w:szCs w:val="20"/>
          <w:rtl/>
        </w:rPr>
      </w:pPr>
      <w:r>
        <w:rPr>
          <w:rFonts w:hint="cs"/>
          <w:b/>
          <w:bCs/>
          <w:sz w:val="20"/>
          <w:szCs w:val="20"/>
          <w:rtl/>
        </w:rPr>
        <w:t>הרגישה ולא יצא דם לחוץ</w:t>
      </w:r>
      <w:r>
        <w:rPr>
          <w:rFonts w:hint="cs"/>
          <w:b/>
          <w:bCs/>
          <w:sz w:val="20"/>
          <w:szCs w:val="20"/>
          <w:rtl/>
        </w:rPr>
        <w:br/>
        <w:t xml:space="preserve">משנה </w:t>
      </w:r>
      <w:r>
        <w:rPr>
          <w:rFonts w:hint="cs"/>
          <w:sz w:val="20"/>
          <w:szCs w:val="20"/>
          <w:rtl/>
        </w:rPr>
        <w:t>שם (מ.) "</w:t>
      </w:r>
      <w:r w:rsidRPr="007E77D8">
        <w:rPr>
          <w:rFonts w:cs="Arial" w:hint="cs"/>
          <w:sz w:val="20"/>
          <w:szCs w:val="20"/>
          <w:rtl/>
        </w:rPr>
        <w:t>כל</w:t>
      </w:r>
      <w:r w:rsidRPr="007E77D8">
        <w:rPr>
          <w:rFonts w:cs="Arial"/>
          <w:sz w:val="20"/>
          <w:szCs w:val="20"/>
          <w:rtl/>
        </w:rPr>
        <w:t xml:space="preserve"> </w:t>
      </w:r>
      <w:r w:rsidRPr="007E77D8">
        <w:rPr>
          <w:rFonts w:cs="Arial" w:hint="cs"/>
          <w:sz w:val="20"/>
          <w:szCs w:val="20"/>
          <w:rtl/>
        </w:rPr>
        <w:t>הנשים</w:t>
      </w:r>
      <w:r w:rsidRPr="007E77D8">
        <w:rPr>
          <w:rFonts w:cs="Arial"/>
          <w:sz w:val="20"/>
          <w:szCs w:val="20"/>
          <w:rtl/>
        </w:rPr>
        <w:t xml:space="preserve"> </w:t>
      </w:r>
      <w:r w:rsidRPr="007E77D8">
        <w:rPr>
          <w:rFonts w:cs="Arial" w:hint="cs"/>
          <w:sz w:val="20"/>
          <w:szCs w:val="20"/>
          <w:rtl/>
        </w:rPr>
        <w:t>מטמאות</w:t>
      </w:r>
      <w:r w:rsidRPr="007E77D8">
        <w:rPr>
          <w:rFonts w:cs="Arial"/>
          <w:sz w:val="20"/>
          <w:szCs w:val="20"/>
          <w:rtl/>
        </w:rPr>
        <w:t xml:space="preserve"> </w:t>
      </w:r>
      <w:r w:rsidRPr="007E77D8">
        <w:rPr>
          <w:rFonts w:cs="Arial" w:hint="cs"/>
          <w:sz w:val="20"/>
          <w:szCs w:val="20"/>
          <w:rtl/>
        </w:rPr>
        <w:t>בבית</w:t>
      </w:r>
      <w:r w:rsidRPr="007E77D8">
        <w:rPr>
          <w:rFonts w:cs="Arial"/>
          <w:sz w:val="20"/>
          <w:szCs w:val="20"/>
          <w:rtl/>
        </w:rPr>
        <w:t xml:space="preserve"> </w:t>
      </w:r>
      <w:r w:rsidRPr="007E77D8">
        <w:rPr>
          <w:rFonts w:cs="Arial" w:hint="cs"/>
          <w:sz w:val="20"/>
          <w:szCs w:val="20"/>
          <w:rtl/>
        </w:rPr>
        <w:t>החיצון</w:t>
      </w:r>
      <w:r>
        <w:rPr>
          <w:rFonts w:cs="Arial" w:hint="cs"/>
          <w:sz w:val="20"/>
          <w:szCs w:val="20"/>
          <w:rtl/>
        </w:rPr>
        <w:t xml:space="preserve"> </w:t>
      </w:r>
      <w:r w:rsidRPr="008A5A26">
        <w:rPr>
          <w:rFonts w:cs="Arial" w:hint="cs"/>
          <w:sz w:val="18"/>
          <w:szCs w:val="18"/>
          <w:rtl/>
        </w:rPr>
        <w:t>(למרות שלא יצא דם מחוץ לגופה)</w:t>
      </w:r>
      <w:r w:rsidRPr="007E77D8">
        <w:rPr>
          <w:rFonts w:cs="Arial"/>
          <w:sz w:val="20"/>
          <w:szCs w:val="20"/>
          <w:rtl/>
        </w:rPr>
        <w:t xml:space="preserve">, </w:t>
      </w:r>
      <w:r w:rsidRPr="007E77D8">
        <w:rPr>
          <w:rFonts w:cs="Arial" w:hint="cs"/>
          <w:sz w:val="20"/>
          <w:szCs w:val="20"/>
          <w:rtl/>
        </w:rPr>
        <w:t>שנאמר</w:t>
      </w:r>
      <w:r w:rsidRPr="007E77D8">
        <w:rPr>
          <w:rFonts w:cs="Arial"/>
          <w:sz w:val="20"/>
          <w:szCs w:val="20"/>
          <w:rtl/>
        </w:rPr>
        <w:t xml:space="preserve"> </w:t>
      </w:r>
      <w:r w:rsidRPr="007E77D8">
        <w:rPr>
          <w:rFonts w:cs="Arial" w:hint="cs"/>
          <w:sz w:val="20"/>
          <w:szCs w:val="20"/>
          <w:rtl/>
        </w:rPr>
        <w:t>דם</w:t>
      </w:r>
      <w:r w:rsidRPr="007E77D8">
        <w:rPr>
          <w:rFonts w:cs="Arial"/>
          <w:sz w:val="20"/>
          <w:szCs w:val="20"/>
          <w:rtl/>
        </w:rPr>
        <w:t xml:space="preserve"> </w:t>
      </w:r>
      <w:r w:rsidRPr="007E77D8">
        <w:rPr>
          <w:rFonts w:cs="Arial" w:hint="cs"/>
          <w:sz w:val="20"/>
          <w:szCs w:val="20"/>
          <w:rtl/>
        </w:rPr>
        <w:t>יהיה</w:t>
      </w:r>
      <w:r w:rsidRPr="007E77D8">
        <w:rPr>
          <w:rFonts w:cs="Arial"/>
          <w:sz w:val="20"/>
          <w:szCs w:val="20"/>
          <w:rtl/>
        </w:rPr>
        <w:t xml:space="preserve"> </w:t>
      </w:r>
      <w:r w:rsidRPr="007E77D8">
        <w:rPr>
          <w:rFonts w:cs="Arial" w:hint="cs"/>
          <w:sz w:val="20"/>
          <w:szCs w:val="20"/>
          <w:rtl/>
        </w:rPr>
        <w:t>זובה</w:t>
      </w:r>
      <w:r w:rsidRPr="007E77D8">
        <w:rPr>
          <w:rFonts w:cs="Arial"/>
          <w:sz w:val="20"/>
          <w:szCs w:val="20"/>
          <w:rtl/>
        </w:rPr>
        <w:t xml:space="preserve"> </w:t>
      </w:r>
      <w:r w:rsidRPr="007E77D8">
        <w:rPr>
          <w:rFonts w:cs="Arial" w:hint="cs"/>
          <w:sz w:val="20"/>
          <w:szCs w:val="20"/>
          <w:rtl/>
        </w:rPr>
        <w:t>בבשרה</w:t>
      </w:r>
      <w:r>
        <w:rPr>
          <w:rFonts w:cs="Arial" w:hint="cs"/>
          <w:sz w:val="20"/>
          <w:szCs w:val="20"/>
          <w:rtl/>
        </w:rPr>
        <w:t xml:space="preserve"> </w:t>
      </w:r>
      <w:r w:rsidRPr="008A5A26">
        <w:rPr>
          <w:rFonts w:cs="Arial" w:hint="cs"/>
          <w:sz w:val="18"/>
          <w:szCs w:val="18"/>
          <w:rtl/>
        </w:rPr>
        <w:t xml:space="preserve">(רש"י </w:t>
      </w:r>
      <w:r w:rsidRPr="008A5A26">
        <w:rPr>
          <w:rFonts w:cs="Arial"/>
          <w:sz w:val="18"/>
          <w:szCs w:val="18"/>
          <w:rtl/>
        </w:rPr>
        <w:t>–</w:t>
      </w:r>
      <w:r w:rsidRPr="008A5A26">
        <w:rPr>
          <w:rFonts w:cs="Arial" w:hint="cs"/>
          <w:sz w:val="18"/>
          <w:szCs w:val="18"/>
          <w:rtl/>
        </w:rPr>
        <w:t xml:space="preserve"> משמע בתוך בשרה)</w:t>
      </w:r>
      <w:r>
        <w:rPr>
          <w:rFonts w:cs="Arial" w:hint="cs"/>
          <w:sz w:val="20"/>
          <w:szCs w:val="20"/>
          <w:rtl/>
        </w:rPr>
        <w:t>".</w:t>
      </w:r>
      <w:r>
        <w:rPr>
          <w:rFonts w:hint="cs"/>
          <w:b/>
          <w:bCs/>
          <w:sz w:val="20"/>
          <w:szCs w:val="20"/>
          <w:rtl/>
        </w:rPr>
        <w:t xml:space="preserve"> </w:t>
      </w:r>
      <w:r>
        <w:rPr>
          <w:rFonts w:hint="cs"/>
          <w:sz w:val="20"/>
          <w:szCs w:val="20"/>
          <w:rtl/>
        </w:rPr>
        <w:br/>
      </w:r>
      <w:r>
        <w:rPr>
          <w:sz w:val="20"/>
          <w:szCs w:val="20"/>
          <w:u w:val="single"/>
          <w:rtl/>
        </w:rPr>
        <w:br/>
      </w:r>
      <w:r w:rsidRPr="00CE51B7">
        <w:rPr>
          <w:rFonts w:hint="cs"/>
          <w:sz w:val="20"/>
          <w:szCs w:val="20"/>
          <w:u w:val="single"/>
          <w:rtl/>
        </w:rPr>
        <w:t>מהו בית החיצון</w:t>
      </w:r>
      <w:r>
        <w:rPr>
          <w:rFonts w:hint="cs"/>
          <w:sz w:val="20"/>
          <w:szCs w:val="20"/>
          <w:rtl/>
        </w:rPr>
        <w:br/>
      </w:r>
      <w:r w:rsidRPr="00F052AD">
        <w:rPr>
          <w:rFonts w:hint="cs"/>
          <w:b/>
          <w:bCs/>
          <w:sz w:val="20"/>
          <w:szCs w:val="20"/>
          <w:rtl/>
        </w:rPr>
        <w:t xml:space="preserve">גמרא </w:t>
      </w:r>
      <w:r>
        <w:rPr>
          <w:rFonts w:hint="cs"/>
          <w:sz w:val="20"/>
          <w:szCs w:val="20"/>
          <w:rtl/>
        </w:rPr>
        <w:t>שם (מא:) "</w:t>
      </w:r>
      <w:r w:rsidRPr="00CE51B7">
        <w:rPr>
          <w:rFonts w:cs="Arial" w:hint="cs"/>
          <w:sz w:val="20"/>
          <w:szCs w:val="20"/>
          <w:rtl/>
        </w:rPr>
        <w:t>הי</w:t>
      </w:r>
      <w:r w:rsidRPr="00CE51B7">
        <w:rPr>
          <w:rFonts w:cs="Arial"/>
          <w:sz w:val="20"/>
          <w:szCs w:val="20"/>
          <w:rtl/>
        </w:rPr>
        <w:t xml:space="preserve"> </w:t>
      </w:r>
      <w:r w:rsidRPr="00CE51B7">
        <w:rPr>
          <w:rFonts w:cs="Arial" w:hint="cs"/>
          <w:sz w:val="20"/>
          <w:szCs w:val="20"/>
          <w:rtl/>
        </w:rPr>
        <w:t>ניהו</w:t>
      </w:r>
      <w:r w:rsidRPr="00CE51B7">
        <w:rPr>
          <w:rFonts w:cs="Arial"/>
          <w:sz w:val="20"/>
          <w:szCs w:val="20"/>
          <w:rtl/>
        </w:rPr>
        <w:t xml:space="preserve"> </w:t>
      </w:r>
      <w:r w:rsidRPr="00CE51B7">
        <w:rPr>
          <w:rFonts w:cs="Arial" w:hint="cs"/>
          <w:sz w:val="20"/>
          <w:szCs w:val="20"/>
          <w:rtl/>
        </w:rPr>
        <w:t>בית</w:t>
      </w:r>
      <w:r w:rsidRPr="00CE51B7">
        <w:rPr>
          <w:rFonts w:cs="Arial"/>
          <w:sz w:val="20"/>
          <w:szCs w:val="20"/>
          <w:rtl/>
        </w:rPr>
        <w:t xml:space="preserve"> </w:t>
      </w:r>
      <w:r w:rsidRPr="00CE51B7">
        <w:rPr>
          <w:rFonts w:cs="Arial" w:hint="cs"/>
          <w:sz w:val="20"/>
          <w:szCs w:val="20"/>
          <w:rtl/>
        </w:rPr>
        <w:t>החיצון</w:t>
      </w:r>
      <w:r>
        <w:rPr>
          <w:rFonts w:cs="Arial" w:hint="cs"/>
          <w:sz w:val="20"/>
          <w:szCs w:val="20"/>
          <w:rtl/>
        </w:rPr>
        <w:t>?...</w:t>
      </w:r>
      <w:r w:rsidRPr="00CE51B7">
        <w:rPr>
          <w:rFonts w:cs="Arial"/>
          <w:sz w:val="20"/>
          <w:szCs w:val="20"/>
          <w:rtl/>
        </w:rPr>
        <w:t xml:space="preserve"> </w:t>
      </w:r>
      <w:r w:rsidRPr="00CE51B7">
        <w:rPr>
          <w:rFonts w:cs="Arial" w:hint="cs"/>
          <w:sz w:val="20"/>
          <w:szCs w:val="20"/>
          <w:rtl/>
        </w:rPr>
        <w:t>אמר</w:t>
      </w:r>
      <w:r w:rsidRPr="00CE51B7">
        <w:rPr>
          <w:rFonts w:cs="Arial"/>
          <w:sz w:val="20"/>
          <w:szCs w:val="20"/>
          <w:rtl/>
        </w:rPr>
        <w:t xml:space="preserve"> </w:t>
      </w:r>
      <w:r w:rsidRPr="00CE51B7">
        <w:rPr>
          <w:rFonts w:cs="Arial" w:hint="cs"/>
          <w:sz w:val="20"/>
          <w:szCs w:val="20"/>
          <w:rtl/>
        </w:rPr>
        <w:t>רבי</w:t>
      </w:r>
      <w:r w:rsidRPr="00CE51B7">
        <w:rPr>
          <w:rFonts w:cs="Arial"/>
          <w:sz w:val="20"/>
          <w:szCs w:val="20"/>
          <w:rtl/>
        </w:rPr>
        <w:t xml:space="preserve"> </w:t>
      </w:r>
      <w:r w:rsidRPr="00CE51B7">
        <w:rPr>
          <w:rFonts w:cs="Arial" w:hint="cs"/>
          <w:sz w:val="20"/>
          <w:szCs w:val="20"/>
          <w:rtl/>
        </w:rPr>
        <w:t>יוחנן</w:t>
      </w:r>
      <w:r w:rsidRPr="00CE51B7">
        <w:rPr>
          <w:rFonts w:cs="Arial"/>
          <w:sz w:val="20"/>
          <w:szCs w:val="20"/>
          <w:rtl/>
        </w:rPr>
        <w:t xml:space="preserve">: </w:t>
      </w:r>
      <w:r w:rsidRPr="00CE51B7">
        <w:rPr>
          <w:rFonts w:cs="Arial" w:hint="cs"/>
          <w:sz w:val="20"/>
          <w:szCs w:val="20"/>
          <w:rtl/>
        </w:rPr>
        <w:t>עד</w:t>
      </w:r>
      <w:r w:rsidRPr="00CE51B7">
        <w:rPr>
          <w:rFonts w:cs="Arial"/>
          <w:sz w:val="20"/>
          <w:szCs w:val="20"/>
          <w:rtl/>
        </w:rPr>
        <w:t xml:space="preserve"> </w:t>
      </w:r>
      <w:r w:rsidRPr="00CE51B7">
        <w:rPr>
          <w:rFonts w:cs="Arial" w:hint="cs"/>
          <w:sz w:val="20"/>
          <w:szCs w:val="20"/>
          <w:rtl/>
        </w:rPr>
        <w:t>בין</w:t>
      </w:r>
      <w:r w:rsidRPr="00CE51B7">
        <w:rPr>
          <w:rFonts w:cs="Arial"/>
          <w:sz w:val="20"/>
          <w:szCs w:val="20"/>
          <w:rtl/>
        </w:rPr>
        <w:t xml:space="preserve"> </w:t>
      </w:r>
      <w:r w:rsidRPr="00CE51B7">
        <w:rPr>
          <w:rFonts w:cs="Arial" w:hint="cs"/>
          <w:sz w:val="20"/>
          <w:szCs w:val="20"/>
          <w:rtl/>
        </w:rPr>
        <w:t>השיניים</w:t>
      </w:r>
      <w:r>
        <w:rPr>
          <w:rFonts w:cs="Arial" w:hint="cs"/>
          <w:sz w:val="20"/>
          <w:szCs w:val="20"/>
          <w:rtl/>
        </w:rPr>
        <w:t xml:space="preserve"> </w:t>
      </w:r>
      <w:r w:rsidRPr="00F052AD">
        <w:rPr>
          <w:rFonts w:cs="Arial" w:hint="cs"/>
          <w:sz w:val="18"/>
          <w:szCs w:val="18"/>
          <w:rtl/>
        </w:rPr>
        <w:t>(רש"י - כמין</w:t>
      </w:r>
      <w:r w:rsidRPr="00F052AD">
        <w:rPr>
          <w:rFonts w:cs="Arial"/>
          <w:sz w:val="18"/>
          <w:szCs w:val="18"/>
          <w:rtl/>
        </w:rPr>
        <w:t xml:space="preserve"> </w:t>
      </w:r>
      <w:r w:rsidRPr="00F052AD">
        <w:rPr>
          <w:rFonts w:cs="Arial" w:hint="cs"/>
          <w:sz w:val="18"/>
          <w:szCs w:val="18"/>
          <w:rtl/>
        </w:rPr>
        <w:t>שינים יש</w:t>
      </w:r>
      <w:r w:rsidRPr="00F052AD">
        <w:rPr>
          <w:rFonts w:cs="Arial"/>
          <w:sz w:val="18"/>
          <w:szCs w:val="18"/>
          <w:rtl/>
        </w:rPr>
        <w:t xml:space="preserve"> </w:t>
      </w:r>
      <w:r w:rsidRPr="00F052AD">
        <w:rPr>
          <w:rFonts w:cs="Arial" w:hint="cs"/>
          <w:sz w:val="18"/>
          <w:szCs w:val="18"/>
          <w:rtl/>
        </w:rPr>
        <w:t>בתוך</w:t>
      </w:r>
      <w:r w:rsidRPr="00F052AD">
        <w:rPr>
          <w:rFonts w:cs="Arial"/>
          <w:sz w:val="18"/>
          <w:szCs w:val="18"/>
          <w:rtl/>
        </w:rPr>
        <w:t xml:space="preserve"> </w:t>
      </w:r>
      <w:r w:rsidRPr="00F052AD">
        <w:rPr>
          <w:rFonts w:cs="Arial" w:hint="cs"/>
          <w:sz w:val="18"/>
          <w:szCs w:val="18"/>
          <w:rtl/>
        </w:rPr>
        <w:t>הרחם</w:t>
      </w:r>
      <w:r w:rsidRPr="00F052AD">
        <w:rPr>
          <w:rFonts w:cs="Arial"/>
          <w:sz w:val="18"/>
          <w:szCs w:val="18"/>
          <w:rtl/>
        </w:rPr>
        <w:t xml:space="preserve"> </w:t>
      </w:r>
      <w:r w:rsidRPr="00F052AD">
        <w:rPr>
          <w:rFonts w:cs="Arial" w:hint="cs"/>
          <w:sz w:val="18"/>
          <w:szCs w:val="18"/>
          <w:rtl/>
        </w:rPr>
        <w:t>תלתולי</w:t>
      </w:r>
      <w:r w:rsidRPr="00F052AD">
        <w:rPr>
          <w:rFonts w:cs="Arial"/>
          <w:sz w:val="18"/>
          <w:szCs w:val="18"/>
          <w:rtl/>
        </w:rPr>
        <w:t xml:space="preserve"> </w:t>
      </w:r>
      <w:r w:rsidRPr="00F052AD">
        <w:rPr>
          <w:rFonts w:cs="Arial" w:hint="cs"/>
          <w:sz w:val="18"/>
          <w:szCs w:val="18"/>
          <w:rtl/>
        </w:rPr>
        <w:t>בשר)</w:t>
      </w:r>
      <w:r w:rsidRPr="00CE51B7">
        <w:rPr>
          <w:rFonts w:cs="Arial"/>
          <w:sz w:val="20"/>
          <w:szCs w:val="20"/>
          <w:rtl/>
        </w:rPr>
        <w:t xml:space="preserve">. </w:t>
      </w:r>
      <w:r w:rsidRPr="00CE51B7">
        <w:rPr>
          <w:rFonts w:cs="Arial" w:hint="cs"/>
          <w:sz w:val="20"/>
          <w:szCs w:val="20"/>
          <w:rtl/>
        </w:rPr>
        <w:t>איבעיא</w:t>
      </w:r>
      <w:r w:rsidRPr="00CE51B7">
        <w:rPr>
          <w:rFonts w:cs="Arial"/>
          <w:sz w:val="20"/>
          <w:szCs w:val="20"/>
          <w:rtl/>
        </w:rPr>
        <w:t xml:space="preserve"> </w:t>
      </w:r>
      <w:r w:rsidRPr="00CE51B7">
        <w:rPr>
          <w:rFonts w:cs="Arial" w:hint="cs"/>
          <w:sz w:val="20"/>
          <w:szCs w:val="20"/>
          <w:rtl/>
        </w:rPr>
        <w:t>להו</w:t>
      </w:r>
      <w:r w:rsidRPr="00CE51B7">
        <w:rPr>
          <w:rFonts w:cs="Arial"/>
          <w:sz w:val="20"/>
          <w:szCs w:val="20"/>
          <w:rtl/>
        </w:rPr>
        <w:t xml:space="preserve">: </w:t>
      </w:r>
      <w:r w:rsidRPr="00CE51B7">
        <w:rPr>
          <w:rFonts w:cs="Arial" w:hint="cs"/>
          <w:sz w:val="20"/>
          <w:szCs w:val="20"/>
          <w:rtl/>
        </w:rPr>
        <w:t>בין</w:t>
      </w:r>
      <w:r w:rsidRPr="00CE51B7">
        <w:rPr>
          <w:rFonts w:cs="Arial"/>
          <w:sz w:val="20"/>
          <w:szCs w:val="20"/>
          <w:rtl/>
        </w:rPr>
        <w:t xml:space="preserve"> </w:t>
      </w:r>
      <w:r w:rsidRPr="00CE51B7">
        <w:rPr>
          <w:rFonts w:cs="Arial" w:hint="cs"/>
          <w:sz w:val="20"/>
          <w:szCs w:val="20"/>
          <w:rtl/>
        </w:rPr>
        <w:t>השיניים</w:t>
      </w:r>
      <w:r w:rsidRPr="00CE51B7">
        <w:rPr>
          <w:rFonts w:cs="Arial"/>
          <w:sz w:val="20"/>
          <w:szCs w:val="20"/>
          <w:rtl/>
        </w:rPr>
        <w:t xml:space="preserve">. </w:t>
      </w:r>
      <w:r w:rsidRPr="00CE51B7">
        <w:rPr>
          <w:rFonts w:cs="Arial" w:hint="cs"/>
          <w:sz w:val="20"/>
          <w:szCs w:val="20"/>
          <w:rtl/>
        </w:rPr>
        <w:t>כלפנים</w:t>
      </w:r>
      <w:r w:rsidRPr="00CE51B7">
        <w:rPr>
          <w:rFonts w:cs="Arial"/>
          <w:sz w:val="20"/>
          <w:szCs w:val="20"/>
          <w:rtl/>
        </w:rPr>
        <w:t xml:space="preserve"> </w:t>
      </w:r>
      <w:r w:rsidRPr="00CE51B7">
        <w:rPr>
          <w:rFonts w:cs="Arial" w:hint="cs"/>
          <w:sz w:val="20"/>
          <w:szCs w:val="20"/>
          <w:rtl/>
        </w:rPr>
        <w:t>או</w:t>
      </w:r>
      <w:r w:rsidRPr="00CE51B7">
        <w:rPr>
          <w:rFonts w:cs="Arial"/>
          <w:sz w:val="20"/>
          <w:szCs w:val="20"/>
          <w:rtl/>
        </w:rPr>
        <w:t xml:space="preserve"> </w:t>
      </w:r>
      <w:r w:rsidRPr="00CE51B7">
        <w:rPr>
          <w:rFonts w:cs="Arial" w:hint="cs"/>
          <w:sz w:val="20"/>
          <w:szCs w:val="20"/>
          <w:rtl/>
        </w:rPr>
        <w:t>כלחוץ</w:t>
      </w:r>
      <w:r w:rsidRPr="00CE51B7">
        <w:rPr>
          <w:rFonts w:cs="Arial"/>
          <w:sz w:val="20"/>
          <w:szCs w:val="20"/>
          <w:rtl/>
        </w:rPr>
        <w:t xml:space="preserve">? </w:t>
      </w:r>
      <w:r w:rsidRPr="00CE51B7">
        <w:rPr>
          <w:rFonts w:cs="Arial" w:hint="cs"/>
          <w:sz w:val="20"/>
          <w:szCs w:val="20"/>
          <w:rtl/>
        </w:rPr>
        <w:t>ת</w:t>
      </w:r>
      <w:r>
        <w:rPr>
          <w:rFonts w:cs="Arial" w:hint="cs"/>
          <w:sz w:val="20"/>
          <w:szCs w:val="20"/>
          <w:rtl/>
        </w:rPr>
        <w:t xml:space="preserve">א </w:t>
      </w:r>
      <w:r w:rsidRPr="00CE51B7">
        <w:rPr>
          <w:rFonts w:cs="Arial" w:hint="cs"/>
          <w:sz w:val="20"/>
          <w:szCs w:val="20"/>
          <w:rtl/>
        </w:rPr>
        <w:t>ש</w:t>
      </w:r>
      <w:r>
        <w:rPr>
          <w:rFonts w:cs="Arial" w:hint="cs"/>
          <w:sz w:val="20"/>
          <w:szCs w:val="20"/>
          <w:rtl/>
        </w:rPr>
        <w:t>מע</w:t>
      </w:r>
      <w:r w:rsidRPr="00CE51B7">
        <w:rPr>
          <w:rFonts w:cs="Arial"/>
          <w:sz w:val="20"/>
          <w:szCs w:val="20"/>
          <w:rtl/>
        </w:rPr>
        <w:t xml:space="preserve"> </w:t>
      </w:r>
      <w:r w:rsidRPr="00CE51B7">
        <w:rPr>
          <w:rFonts w:cs="Arial" w:hint="cs"/>
          <w:sz w:val="20"/>
          <w:szCs w:val="20"/>
          <w:rtl/>
        </w:rPr>
        <w:t>דתני</w:t>
      </w:r>
      <w:r w:rsidRPr="00CE51B7">
        <w:rPr>
          <w:rFonts w:cs="Arial"/>
          <w:sz w:val="20"/>
          <w:szCs w:val="20"/>
          <w:rtl/>
        </w:rPr>
        <w:t xml:space="preserve"> </w:t>
      </w:r>
      <w:r w:rsidRPr="00CE51B7">
        <w:rPr>
          <w:rFonts w:cs="Arial" w:hint="cs"/>
          <w:sz w:val="20"/>
          <w:szCs w:val="20"/>
          <w:rtl/>
        </w:rPr>
        <w:t>רבי</w:t>
      </w:r>
      <w:r w:rsidRPr="00CE51B7">
        <w:rPr>
          <w:rFonts w:cs="Arial"/>
          <w:sz w:val="20"/>
          <w:szCs w:val="20"/>
          <w:rtl/>
        </w:rPr>
        <w:t xml:space="preserve"> </w:t>
      </w:r>
      <w:r w:rsidRPr="00CE51B7">
        <w:rPr>
          <w:rFonts w:cs="Arial" w:hint="cs"/>
          <w:sz w:val="20"/>
          <w:szCs w:val="20"/>
          <w:rtl/>
        </w:rPr>
        <w:t>זכאי</w:t>
      </w:r>
      <w:r w:rsidRPr="00CE51B7">
        <w:rPr>
          <w:rFonts w:cs="Arial"/>
          <w:sz w:val="20"/>
          <w:szCs w:val="20"/>
          <w:rtl/>
        </w:rPr>
        <w:t xml:space="preserve">: </w:t>
      </w:r>
      <w:r w:rsidRPr="00CE51B7">
        <w:rPr>
          <w:rFonts w:cs="Arial" w:hint="cs"/>
          <w:sz w:val="20"/>
          <w:szCs w:val="20"/>
          <w:rtl/>
        </w:rPr>
        <w:t>עד</w:t>
      </w:r>
      <w:r w:rsidRPr="00CE51B7">
        <w:rPr>
          <w:rFonts w:cs="Arial"/>
          <w:sz w:val="20"/>
          <w:szCs w:val="20"/>
          <w:rtl/>
        </w:rPr>
        <w:t xml:space="preserve"> </w:t>
      </w:r>
      <w:r w:rsidRPr="00CE51B7">
        <w:rPr>
          <w:rFonts w:cs="Arial" w:hint="cs"/>
          <w:sz w:val="20"/>
          <w:szCs w:val="20"/>
          <w:rtl/>
        </w:rPr>
        <w:t>בין</w:t>
      </w:r>
      <w:r w:rsidRPr="00CE51B7">
        <w:rPr>
          <w:rFonts w:cs="Arial"/>
          <w:sz w:val="20"/>
          <w:szCs w:val="20"/>
          <w:rtl/>
        </w:rPr>
        <w:t xml:space="preserve"> </w:t>
      </w:r>
      <w:r w:rsidRPr="00CE51B7">
        <w:rPr>
          <w:rFonts w:cs="Arial" w:hint="cs"/>
          <w:sz w:val="20"/>
          <w:szCs w:val="20"/>
          <w:rtl/>
        </w:rPr>
        <w:t>השינ</w:t>
      </w:r>
      <w:r>
        <w:rPr>
          <w:rFonts w:cs="Arial" w:hint="cs"/>
          <w:sz w:val="20"/>
          <w:szCs w:val="20"/>
          <w:rtl/>
        </w:rPr>
        <w:t>י</w:t>
      </w:r>
      <w:r w:rsidRPr="00CE51B7">
        <w:rPr>
          <w:rFonts w:cs="Arial" w:hint="cs"/>
          <w:sz w:val="20"/>
          <w:szCs w:val="20"/>
          <w:rtl/>
        </w:rPr>
        <w:t>ים</w:t>
      </w:r>
      <w:r w:rsidRPr="00CE51B7">
        <w:rPr>
          <w:rFonts w:cs="Arial"/>
          <w:sz w:val="20"/>
          <w:szCs w:val="20"/>
          <w:rtl/>
        </w:rPr>
        <w:t xml:space="preserve">, </w:t>
      </w:r>
      <w:r w:rsidRPr="00CE51B7">
        <w:rPr>
          <w:rFonts w:cs="Arial" w:hint="cs"/>
          <w:sz w:val="20"/>
          <w:szCs w:val="20"/>
          <w:rtl/>
        </w:rPr>
        <w:t>בין</w:t>
      </w:r>
      <w:r w:rsidRPr="00CE51B7">
        <w:rPr>
          <w:rFonts w:cs="Arial"/>
          <w:sz w:val="20"/>
          <w:szCs w:val="20"/>
          <w:rtl/>
        </w:rPr>
        <w:t xml:space="preserve"> </w:t>
      </w:r>
      <w:r w:rsidRPr="00CE51B7">
        <w:rPr>
          <w:rFonts w:cs="Arial" w:hint="cs"/>
          <w:sz w:val="20"/>
          <w:szCs w:val="20"/>
          <w:rtl/>
        </w:rPr>
        <w:t>השיני</w:t>
      </w:r>
      <w:r>
        <w:rPr>
          <w:rFonts w:cs="Arial" w:hint="cs"/>
          <w:sz w:val="20"/>
          <w:szCs w:val="20"/>
          <w:rtl/>
        </w:rPr>
        <w:t>י</w:t>
      </w:r>
      <w:r w:rsidRPr="00CE51B7">
        <w:rPr>
          <w:rFonts w:cs="Arial" w:hint="cs"/>
          <w:sz w:val="20"/>
          <w:szCs w:val="20"/>
          <w:rtl/>
        </w:rPr>
        <w:t>ם</w:t>
      </w:r>
      <w:r w:rsidRPr="00CE51B7">
        <w:rPr>
          <w:rFonts w:cs="Arial"/>
          <w:sz w:val="20"/>
          <w:szCs w:val="20"/>
          <w:rtl/>
        </w:rPr>
        <w:t xml:space="preserve"> </w:t>
      </w:r>
      <w:r w:rsidRPr="00CE51B7">
        <w:rPr>
          <w:rFonts w:cs="Arial" w:hint="cs"/>
          <w:sz w:val="20"/>
          <w:szCs w:val="20"/>
          <w:rtl/>
        </w:rPr>
        <w:t>עצמן</w:t>
      </w:r>
      <w:r w:rsidRPr="00CE51B7">
        <w:rPr>
          <w:rFonts w:cs="Arial"/>
          <w:sz w:val="20"/>
          <w:szCs w:val="20"/>
          <w:rtl/>
        </w:rPr>
        <w:t xml:space="preserve"> </w:t>
      </w:r>
      <w:r>
        <w:rPr>
          <w:rFonts w:cs="Arial"/>
          <w:sz w:val="20"/>
          <w:szCs w:val="20"/>
          <w:rtl/>
        </w:rPr>
        <w:t>–</w:t>
      </w:r>
      <w:r w:rsidRPr="00CE51B7">
        <w:rPr>
          <w:rFonts w:cs="Arial"/>
          <w:sz w:val="20"/>
          <w:szCs w:val="20"/>
          <w:rtl/>
        </w:rPr>
        <w:t xml:space="preserve"> </w:t>
      </w:r>
      <w:r w:rsidRPr="00CE51B7">
        <w:rPr>
          <w:rFonts w:cs="Arial" w:hint="cs"/>
          <w:sz w:val="20"/>
          <w:szCs w:val="20"/>
          <w:rtl/>
        </w:rPr>
        <w:t>כלפנים</w:t>
      </w:r>
      <w:r>
        <w:rPr>
          <w:rFonts w:cs="Arial" w:hint="cs"/>
          <w:sz w:val="20"/>
          <w:szCs w:val="20"/>
          <w:rtl/>
        </w:rPr>
        <w:t>".</w:t>
      </w:r>
    </w:p>
    <w:p w:rsidR="00620060" w:rsidRDefault="00620060" w:rsidP="00620060">
      <w:pPr>
        <w:pStyle w:val="1"/>
        <w:rPr>
          <w:rtl/>
        </w:rPr>
      </w:pPr>
      <w:r>
        <w:rPr>
          <w:rFonts w:hint="cs"/>
          <w:rtl/>
        </w:rPr>
        <w:t>דיני זבה ונידה מדאורייתא</w:t>
      </w:r>
    </w:p>
    <w:p w:rsidR="00620060" w:rsidRDefault="00620060" w:rsidP="00620060">
      <w:pPr>
        <w:rPr>
          <w:b/>
          <w:bCs/>
          <w:sz w:val="20"/>
          <w:szCs w:val="20"/>
          <w:rtl/>
        </w:rPr>
      </w:pPr>
      <w:r>
        <w:rPr>
          <w:rFonts w:hint="cs"/>
          <w:b/>
          <w:bCs/>
          <w:sz w:val="20"/>
          <w:szCs w:val="20"/>
          <w:rtl/>
        </w:rPr>
        <w:t xml:space="preserve">דין נידה </w:t>
      </w:r>
      <w:r>
        <w:rPr>
          <w:b/>
          <w:bCs/>
          <w:sz w:val="20"/>
          <w:szCs w:val="20"/>
          <w:rtl/>
        </w:rPr>
        <w:br/>
      </w:r>
      <w:r w:rsidRPr="00DD1D44">
        <w:rPr>
          <w:rFonts w:hint="cs"/>
          <w:b/>
          <w:bCs/>
          <w:sz w:val="20"/>
          <w:szCs w:val="20"/>
          <w:rtl/>
        </w:rPr>
        <w:t>ספר ויקרא</w:t>
      </w:r>
      <w:r>
        <w:rPr>
          <w:rFonts w:hint="cs"/>
          <w:sz w:val="20"/>
          <w:szCs w:val="20"/>
          <w:rtl/>
        </w:rPr>
        <w:t xml:space="preserve"> </w:t>
      </w:r>
      <w:r w:rsidRPr="00DD1D44">
        <w:rPr>
          <w:rFonts w:hint="cs"/>
          <w:sz w:val="18"/>
          <w:szCs w:val="18"/>
          <w:rtl/>
        </w:rPr>
        <w:t xml:space="preserve">(טו, יט) </w:t>
      </w:r>
      <w:r>
        <w:rPr>
          <w:sz w:val="20"/>
          <w:szCs w:val="20"/>
          <w:rtl/>
        </w:rPr>
        <w:t>–</w:t>
      </w:r>
      <w:r>
        <w:rPr>
          <w:rFonts w:hint="cs"/>
          <w:sz w:val="20"/>
          <w:szCs w:val="20"/>
          <w:rtl/>
        </w:rPr>
        <w:t xml:space="preserve"> </w:t>
      </w:r>
      <w:r w:rsidRPr="00DD1D44">
        <w:rPr>
          <w:rFonts w:hint="cs"/>
          <w:sz w:val="20"/>
          <w:szCs w:val="20"/>
          <w:rtl/>
        </w:rPr>
        <w:t>"</w:t>
      </w:r>
      <w:r w:rsidRPr="00DD1D44">
        <w:rPr>
          <w:rFonts w:cs="Arial" w:hint="cs"/>
          <w:sz w:val="20"/>
          <w:szCs w:val="20"/>
          <w:rtl/>
        </w:rPr>
        <w:t>וְאִשָּׁה</w:t>
      </w:r>
      <w:r w:rsidRPr="00DD1D44">
        <w:rPr>
          <w:rFonts w:cs="Arial"/>
          <w:sz w:val="20"/>
          <w:szCs w:val="20"/>
          <w:rtl/>
        </w:rPr>
        <w:t xml:space="preserve"> </w:t>
      </w:r>
      <w:r w:rsidRPr="00DD1D44">
        <w:rPr>
          <w:rFonts w:cs="Arial" w:hint="cs"/>
          <w:sz w:val="20"/>
          <w:szCs w:val="20"/>
          <w:rtl/>
        </w:rPr>
        <w:t>כִּי</w:t>
      </w:r>
      <w:r w:rsidRPr="00DD1D44">
        <w:rPr>
          <w:rFonts w:cs="Arial"/>
          <w:sz w:val="20"/>
          <w:szCs w:val="20"/>
          <w:rtl/>
        </w:rPr>
        <w:t xml:space="preserve"> </w:t>
      </w:r>
      <w:r w:rsidRPr="00DD1D44">
        <w:rPr>
          <w:rFonts w:cs="Arial" w:hint="cs"/>
          <w:sz w:val="20"/>
          <w:szCs w:val="20"/>
          <w:rtl/>
        </w:rPr>
        <w:t>תִהְיֶה</w:t>
      </w:r>
      <w:r w:rsidRPr="00DD1D44">
        <w:rPr>
          <w:rFonts w:cs="Arial"/>
          <w:sz w:val="20"/>
          <w:szCs w:val="20"/>
          <w:rtl/>
        </w:rPr>
        <w:t xml:space="preserve"> </w:t>
      </w:r>
      <w:r w:rsidRPr="00DD1D44">
        <w:rPr>
          <w:rFonts w:cs="Arial" w:hint="cs"/>
          <w:sz w:val="20"/>
          <w:szCs w:val="20"/>
          <w:rtl/>
        </w:rPr>
        <w:t>זָבָה</w:t>
      </w:r>
      <w:r w:rsidRPr="00DD1D44">
        <w:rPr>
          <w:rFonts w:cs="Arial"/>
          <w:sz w:val="20"/>
          <w:szCs w:val="20"/>
          <w:rtl/>
        </w:rPr>
        <w:t xml:space="preserve"> </w:t>
      </w:r>
      <w:r w:rsidRPr="00DD1D44">
        <w:rPr>
          <w:rFonts w:cs="Arial" w:hint="cs"/>
          <w:sz w:val="20"/>
          <w:szCs w:val="20"/>
          <w:rtl/>
        </w:rPr>
        <w:t>דָּם</w:t>
      </w:r>
      <w:r w:rsidRPr="00DD1D44">
        <w:rPr>
          <w:rFonts w:cs="Arial"/>
          <w:sz w:val="20"/>
          <w:szCs w:val="20"/>
          <w:rtl/>
        </w:rPr>
        <w:t xml:space="preserve"> </w:t>
      </w:r>
      <w:r w:rsidRPr="00DD1D44">
        <w:rPr>
          <w:rFonts w:cs="Arial" w:hint="cs"/>
          <w:sz w:val="20"/>
          <w:szCs w:val="20"/>
          <w:rtl/>
        </w:rPr>
        <w:t>יִהְיֶה</w:t>
      </w:r>
      <w:r w:rsidRPr="00DD1D44">
        <w:rPr>
          <w:rFonts w:cs="Arial"/>
          <w:sz w:val="20"/>
          <w:szCs w:val="20"/>
          <w:rtl/>
        </w:rPr>
        <w:t xml:space="preserve"> </w:t>
      </w:r>
      <w:r w:rsidRPr="00DD1D44">
        <w:rPr>
          <w:rFonts w:cs="Arial" w:hint="cs"/>
          <w:sz w:val="20"/>
          <w:szCs w:val="20"/>
          <w:rtl/>
        </w:rPr>
        <w:t>זֹבָהּ</w:t>
      </w:r>
      <w:r w:rsidRPr="00DD1D44">
        <w:rPr>
          <w:rFonts w:cs="Arial"/>
          <w:sz w:val="20"/>
          <w:szCs w:val="20"/>
          <w:rtl/>
        </w:rPr>
        <w:t xml:space="preserve"> </w:t>
      </w:r>
      <w:r w:rsidRPr="00DD1D44">
        <w:rPr>
          <w:rFonts w:cs="Arial" w:hint="cs"/>
          <w:sz w:val="20"/>
          <w:szCs w:val="20"/>
          <w:rtl/>
        </w:rPr>
        <w:t>בִּבְשָׂרָהּ</w:t>
      </w:r>
      <w:r w:rsidRPr="00DD1D44">
        <w:rPr>
          <w:rFonts w:cs="Arial"/>
          <w:sz w:val="20"/>
          <w:szCs w:val="20"/>
          <w:rtl/>
        </w:rPr>
        <w:t xml:space="preserve"> </w:t>
      </w:r>
      <w:r w:rsidRPr="00DD1D44">
        <w:rPr>
          <w:rFonts w:cs="Arial" w:hint="cs"/>
          <w:sz w:val="20"/>
          <w:szCs w:val="20"/>
          <w:rtl/>
        </w:rPr>
        <w:t>שִׁבְעַת</w:t>
      </w:r>
      <w:r w:rsidRPr="00DD1D44">
        <w:rPr>
          <w:rFonts w:cs="Arial"/>
          <w:sz w:val="20"/>
          <w:szCs w:val="20"/>
          <w:rtl/>
        </w:rPr>
        <w:t xml:space="preserve"> </w:t>
      </w:r>
      <w:r w:rsidRPr="00DD1D44">
        <w:rPr>
          <w:rFonts w:cs="Arial" w:hint="cs"/>
          <w:sz w:val="20"/>
          <w:szCs w:val="20"/>
          <w:rtl/>
        </w:rPr>
        <w:t>יָמִים</w:t>
      </w:r>
      <w:r w:rsidRPr="00DD1D44">
        <w:rPr>
          <w:rFonts w:cs="Arial"/>
          <w:sz w:val="20"/>
          <w:szCs w:val="20"/>
          <w:rtl/>
        </w:rPr>
        <w:t xml:space="preserve"> </w:t>
      </w:r>
      <w:r w:rsidRPr="00DD1D44">
        <w:rPr>
          <w:rFonts w:cs="Arial" w:hint="cs"/>
          <w:sz w:val="20"/>
          <w:szCs w:val="20"/>
          <w:rtl/>
        </w:rPr>
        <w:t>תִּהְיֶה</w:t>
      </w:r>
      <w:r w:rsidRPr="00DD1D44">
        <w:rPr>
          <w:rFonts w:cs="Arial"/>
          <w:sz w:val="20"/>
          <w:szCs w:val="20"/>
          <w:rtl/>
        </w:rPr>
        <w:t xml:space="preserve"> </w:t>
      </w:r>
      <w:r w:rsidRPr="00DD1D44">
        <w:rPr>
          <w:rFonts w:cs="Arial" w:hint="cs"/>
          <w:sz w:val="20"/>
          <w:szCs w:val="20"/>
          <w:rtl/>
        </w:rPr>
        <w:t>בְנִדָּתָהּ</w:t>
      </w:r>
      <w:r w:rsidRPr="00DD1D44">
        <w:rPr>
          <w:rFonts w:cs="Arial"/>
          <w:sz w:val="20"/>
          <w:szCs w:val="20"/>
          <w:rtl/>
        </w:rPr>
        <w:t xml:space="preserve"> </w:t>
      </w:r>
      <w:r w:rsidRPr="00DD1D44">
        <w:rPr>
          <w:rFonts w:cs="Arial" w:hint="cs"/>
          <w:sz w:val="20"/>
          <w:szCs w:val="20"/>
          <w:rtl/>
        </w:rPr>
        <w:t>וְכָל</w:t>
      </w:r>
      <w:r w:rsidRPr="00DD1D44">
        <w:rPr>
          <w:rFonts w:cs="Arial"/>
          <w:sz w:val="20"/>
          <w:szCs w:val="20"/>
          <w:rtl/>
        </w:rPr>
        <w:t xml:space="preserve"> </w:t>
      </w:r>
      <w:r w:rsidRPr="00DD1D44">
        <w:rPr>
          <w:rFonts w:cs="Arial" w:hint="cs"/>
          <w:sz w:val="20"/>
          <w:szCs w:val="20"/>
          <w:rtl/>
        </w:rPr>
        <w:t>הַנֹּגֵעַ</w:t>
      </w:r>
      <w:r w:rsidRPr="00DD1D44">
        <w:rPr>
          <w:rFonts w:cs="Arial"/>
          <w:sz w:val="20"/>
          <w:szCs w:val="20"/>
          <w:rtl/>
        </w:rPr>
        <w:t xml:space="preserve"> </w:t>
      </w:r>
      <w:r w:rsidRPr="00DD1D44">
        <w:rPr>
          <w:rFonts w:cs="Arial" w:hint="cs"/>
          <w:sz w:val="20"/>
          <w:szCs w:val="20"/>
          <w:rtl/>
        </w:rPr>
        <w:t>בָּהּ</w:t>
      </w:r>
      <w:r w:rsidRPr="00DD1D44">
        <w:rPr>
          <w:rFonts w:cs="Arial"/>
          <w:sz w:val="20"/>
          <w:szCs w:val="20"/>
          <w:rtl/>
        </w:rPr>
        <w:t xml:space="preserve"> </w:t>
      </w:r>
      <w:r w:rsidRPr="00DD1D44">
        <w:rPr>
          <w:rFonts w:cs="Arial" w:hint="cs"/>
          <w:sz w:val="20"/>
          <w:szCs w:val="20"/>
          <w:rtl/>
        </w:rPr>
        <w:t>יִטְמָא</w:t>
      </w:r>
      <w:r w:rsidRPr="00DD1D44">
        <w:rPr>
          <w:rFonts w:cs="Arial"/>
          <w:sz w:val="20"/>
          <w:szCs w:val="20"/>
          <w:rtl/>
        </w:rPr>
        <w:t xml:space="preserve"> </w:t>
      </w:r>
      <w:r w:rsidRPr="00DD1D44">
        <w:rPr>
          <w:rFonts w:cs="Arial" w:hint="cs"/>
          <w:sz w:val="20"/>
          <w:szCs w:val="20"/>
          <w:rtl/>
        </w:rPr>
        <w:t>עַד</w:t>
      </w:r>
      <w:r w:rsidRPr="00DD1D44">
        <w:rPr>
          <w:rFonts w:cs="Arial"/>
          <w:sz w:val="20"/>
          <w:szCs w:val="20"/>
          <w:rtl/>
        </w:rPr>
        <w:t xml:space="preserve">  </w:t>
      </w:r>
      <w:r w:rsidRPr="00DD1D44">
        <w:rPr>
          <w:rFonts w:cs="Arial" w:hint="cs"/>
          <w:sz w:val="20"/>
          <w:szCs w:val="20"/>
          <w:rtl/>
        </w:rPr>
        <w:t>הָעָרֶב".</w:t>
      </w:r>
      <w:r>
        <w:rPr>
          <w:rFonts w:cs="Arial"/>
          <w:sz w:val="20"/>
          <w:szCs w:val="20"/>
          <w:rtl/>
        </w:rPr>
        <w:br/>
      </w:r>
      <w:r w:rsidRPr="000019BE">
        <w:rPr>
          <w:rFonts w:cs="Arial" w:hint="cs"/>
          <w:b/>
          <w:bCs/>
          <w:sz w:val="20"/>
          <w:szCs w:val="20"/>
          <w:rtl/>
        </w:rPr>
        <w:lastRenderedPageBreak/>
        <w:t>טור</w:t>
      </w:r>
      <w:r>
        <w:rPr>
          <w:rFonts w:cs="Arial" w:hint="cs"/>
          <w:sz w:val="20"/>
          <w:szCs w:val="20"/>
          <w:rtl/>
        </w:rPr>
        <w:t xml:space="preserve"> </w:t>
      </w:r>
      <w:r>
        <w:rPr>
          <w:rFonts w:cs="Arial"/>
          <w:sz w:val="20"/>
          <w:szCs w:val="20"/>
          <w:rtl/>
        </w:rPr>
        <w:t>–</w:t>
      </w:r>
      <w:r>
        <w:rPr>
          <w:rFonts w:cs="Arial" w:hint="cs"/>
          <w:sz w:val="20"/>
          <w:szCs w:val="20"/>
          <w:rtl/>
        </w:rPr>
        <w:t xml:space="preserve"> "</w:t>
      </w:r>
      <w:r w:rsidRPr="000019BE">
        <w:rPr>
          <w:rFonts w:cs="Arial" w:hint="cs"/>
          <w:sz w:val="20"/>
          <w:szCs w:val="20"/>
          <w:rtl/>
        </w:rPr>
        <w:t>וזה</w:t>
      </w:r>
      <w:r w:rsidRPr="000019BE">
        <w:rPr>
          <w:rFonts w:cs="Arial"/>
          <w:sz w:val="20"/>
          <w:szCs w:val="20"/>
          <w:rtl/>
        </w:rPr>
        <w:t xml:space="preserve"> </w:t>
      </w:r>
      <w:r w:rsidRPr="000019BE">
        <w:rPr>
          <w:rFonts w:cs="Arial" w:hint="cs"/>
          <w:sz w:val="20"/>
          <w:szCs w:val="20"/>
          <w:rtl/>
        </w:rPr>
        <w:t>משפטה</w:t>
      </w:r>
      <w:r>
        <w:rPr>
          <w:rFonts w:cs="Arial" w:hint="cs"/>
          <w:sz w:val="20"/>
          <w:szCs w:val="20"/>
          <w:rtl/>
        </w:rPr>
        <w:t>:</w:t>
      </w:r>
      <w:r w:rsidRPr="000019BE">
        <w:rPr>
          <w:rFonts w:cs="Arial"/>
          <w:sz w:val="20"/>
          <w:szCs w:val="20"/>
          <w:rtl/>
        </w:rPr>
        <w:t xml:space="preserve"> </w:t>
      </w:r>
      <w:r w:rsidRPr="000019BE">
        <w:rPr>
          <w:rFonts w:cs="Arial" w:hint="cs"/>
          <w:sz w:val="20"/>
          <w:szCs w:val="20"/>
          <w:rtl/>
        </w:rPr>
        <w:t>משתראה</w:t>
      </w:r>
      <w:r w:rsidRPr="000019BE">
        <w:rPr>
          <w:rFonts w:cs="Arial"/>
          <w:sz w:val="20"/>
          <w:szCs w:val="20"/>
          <w:rtl/>
        </w:rPr>
        <w:t xml:space="preserve"> </w:t>
      </w:r>
      <w:r w:rsidRPr="000019BE">
        <w:rPr>
          <w:rFonts w:cs="Arial" w:hint="cs"/>
          <w:sz w:val="20"/>
          <w:szCs w:val="20"/>
          <w:rtl/>
        </w:rPr>
        <w:t>טיפת</w:t>
      </w:r>
      <w:r w:rsidRPr="000019BE">
        <w:rPr>
          <w:rFonts w:cs="Arial"/>
          <w:sz w:val="20"/>
          <w:szCs w:val="20"/>
          <w:rtl/>
        </w:rPr>
        <w:t xml:space="preserve"> </w:t>
      </w:r>
      <w:r w:rsidRPr="000019BE">
        <w:rPr>
          <w:rFonts w:cs="Arial" w:hint="cs"/>
          <w:sz w:val="20"/>
          <w:szCs w:val="20"/>
          <w:rtl/>
        </w:rPr>
        <w:t>דם</w:t>
      </w:r>
      <w:r>
        <w:rPr>
          <w:rFonts w:cs="Arial" w:hint="cs"/>
          <w:sz w:val="20"/>
          <w:szCs w:val="20"/>
          <w:rtl/>
        </w:rPr>
        <w:t xml:space="preserve">... </w:t>
      </w:r>
      <w:r w:rsidRPr="000019BE">
        <w:rPr>
          <w:rFonts w:cs="Arial" w:hint="cs"/>
          <w:sz w:val="20"/>
          <w:szCs w:val="20"/>
          <w:rtl/>
        </w:rPr>
        <w:t>מונה</w:t>
      </w:r>
      <w:r w:rsidRPr="000019BE">
        <w:rPr>
          <w:rFonts w:cs="Arial"/>
          <w:sz w:val="20"/>
          <w:szCs w:val="20"/>
          <w:rtl/>
        </w:rPr>
        <w:t xml:space="preserve"> </w:t>
      </w:r>
      <w:r w:rsidRPr="000019BE">
        <w:rPr>
          <w:rFonts w:cs="Arial" w:hint="cs"/>
          <w:sz w:val="20"/>
          <w:szCs w:val="20"/>
          <w:rtl/>
        </w:rPr>
        <w:t>ז</w:t>
      </w:r>
      <w:r w:rsidRPr="000019BE">
        <w:rPr>
          <w:rFonts w:cs="Arial"/>
          <w:sz w:val="20"/>
          <w:szCs w:val="20"/>
          <w:rtl/>
        </w:rPr>
        <w:t xml:space="preserve">' </w:t>
      </w:r>
      <w:r w:rsidRPr="000019BE">
        <w:rPr>
          <w:rFonts w:cs="Arial" w:hint="cs"/>
          <w:sz w:val="20"/>
          <w:szCs w:val="20"/>
          <w:rtl/>
        </w:rPr>
        <w:t>ימים</w:t>
      </w:r>
      <w:r w:rsidRPr="000019BE">
        <w:rPr>
          <w:rFonts w:cs="Arial"/>
          <w:sz w:val="20"/>
          <w:szCs w:val="20"/>
          <w:rtl/>
        </w:rPr>
        <w:t xml:space="preserve"> </w:t>
      </w:r>
      <w:r w:rsidRPr="000019BE">
        <w:rPr>
          <w:rFonts w:cs="Arial" w:hint="cs"/>
          <w:sz w:val="20"/>
          <w:szCs w:val="20"/>
          <w:rtl/>
        </w:rPr>
        <w:t>עם</w:t>
      </w:r>
      <w:r w:rsidRPr="000019BE">
        <w:rPr>
          <w:rFonts w:cs="Arial"/>
          <w:sz w:val="20"/>
          <w:szCs w:val="20"/>
          <w:rtl/>
        </w:rPr>
        <w:t xml:space="preserve"> </w:t>
      </w:r>
      <w:r w:rsidRPr="000019BE">
        <w:rPr>
          <w:rFonts w:cs="Arial" w:hint="cs"/>
          <w:sz w:val="20"/>
          <w:szCs w:val="20"/>
          <w:rtl/>
        </w:rPr>
        <w:t>יום</w:t>
      </w:r>
      <w:r w:rsidRPr="000019BE">
        <w:rPr>
          <w:rFonts w:cs="Arial"/>
          <w:sz w:val="20"/>
          <w:szCs w:val="20"/>
          <w:rtl/>
        </w:rPr>
        <w:t xml:space="preserve"> </w:t>
      </w:r>
      <w:r w:rsidRPr="000019BE">
        <w:rPr>
          <w:rFonts w:cs="Arial" w:hint="cs"/>
          <w:sz w:val="20"/>
          <w:szCs w:val="20"/>
          <w:rtl/>
        </w:rPr>
        <w:t>ראייתה</w:t>
      </w:r>
      <w:r w:rsidRPr="000019BE">
        <w:rPr>
          <w:rFonts w:cs="Arial"/>
          <w:sz w:val="20"/>
          <w:szCs w:val="20"/>
          <w:rtl/>
        </w:rPr>
        <w:t xml:space="preserve"> </w:t>
      </w:r>
      <w:r w:rsidRPr="000019BE">
        <w:rPr>
          <w:rFonts w:cs="Arial" w:hint="cs"/>
          <w:sz w:val="20"/>
          <w:szCs w:val="20"/>
          <w:rtl/>
        </w:rPr>
        <w:t>וטובלת</w:t>
      </w:r>
      <w:r w:rsidRPr="000019BE">
        <w:rPr>
          <w:rFonts w:cs="Arial"/>
          <w:sz w:val="20"/>
          <w:szCs w:val="20"/>
          <w:rtl/>
        </w:rPr>
        <w:t xml:space="preserve"> </w:t>
      </w:r>
      <w:r w:rsidRPr="000019BE">
        <w:rPr>
          <w:rFonts w:cs="Arial" w:hint="cs"/>
          <w:sz w:val="20"/>
          <w:szCs w:val="20"/>
          <w:rtl/>
        </w:rPr>
        <w:t>בליל</w:t>
      </w:r>
      <w:r w:rsidRPr="000019BE">
        <w:rPr>
          <w:rFonts w:cs="Arial"/>
          <w:sz w:val="20"/>
          <w:szCs w:val="20"/>
          <w:rtl/>
        </w:rPr>
        <w:t xml:space="preserve"> </w:t>
      </w:r>
      <w:r w:rsidRPr="000019BE">
        <w:rPr>
          <w:rFonts w:cs="Arial" w:hint="cs"/>
          <w:sz w:val="20"/>
          <w:szCs w:val="20"/>
          <w:rtl/>
        </w:rPr>
        <w:t>ח</w:t>
      </w:r>
      <w:r w:rsidRPr="000019BE">
        <w:rPr>
          <w:rFonts w:cs="Arial"/>
          <w:sz w:val="20"/>
          <w:szCs w:val="20"/>
          <w:rtl/>
        </w:rPr>
        <w:t>'</w:t>
      </w:r>
      <w:r>
        <w:rPr>
          <w:rFonts w:cs="Arial" w:hint="cs"/>
          <w:sz w:val="20"/>
          <w:szCs w:val="20"/>
          <w:rtl/>
        </w:rPr>
        <w:t>,</w:t>
      </w:r>
      <w:r w:rsidRPr="000019BE">
        <w:rPr>
          <w:rFonts w:cs="Arial"/>
          <w:sz w:val="20"/>
          <w:szCs w:val="20"/>
          <w:rtl/>
        </w:rPr>
        <w:t xml:space="preserve"> </w:t>
      </w:r>
      <w:r w:rsidRPr="000019BE">
        <w:rPr>
          <w:rFonts w:cs="Arial" w:hint="cs"/>
          <w:sz w:val="20"/>
          <w:szCs w:val="20"/>
          <w:rtl/>
        </w:rPr>
        <w:t>וכך</w:t>
      </w:r>
      <w:r w:rsidRPr="000019BE">
        <w:rPr>
          <w:rFonts w:cs="Arial"/>
          <w:sz w:val="20"/>
          <w:szCs w:val="20"/>
          <w:rtl/>
        </w:rPr>
        <w:t xml:space="preserve"> </w:t>
      </w:r>
      <w:r w:rsidRPr="000019BE">
        <w:rPr>
          <w:rFonts w:cs="Arial" w:hint="cs"/>
          <w:sz w:val="20"/>
          <w:szCs w:val="20"/>
          <w:rtl/>
        </w:rPr>
        <w:t>הדין</w:t>
      </w:r>
      <w:r w:rsidRPr="000019BE">
        <w:rPr>
          <w:rFonts w:cs="Arial"/>
          <w:sz w:val="20"/>
          <w:szCs w:val="20"/>
          <w:rtl/>
        </w:rPr>
        <w:t xml:space="preserve"> </w:t>
      </w:r>
      <w:r w:rsidRPr="000019BE">
        <w:rPr>
          <w:rFonts w:cs="Arial" w:hint="cs"/>
          <w:sz w:val="20"/>
          <w:szCs w:val="20"/>
          <w:rtl/>
        </w:rPr>
        <w:t>אפילו</w:t>
      </w:r>
      <w:r w:rsidRPr="000019BE">
        <w:rPr>
          <w:rFonts w:cs="Arial"/>
          <w:sz w:val="20"/>
          <w:szCs w:val="20"/>
          <w:rtl/>
        </w:rPr>
        <w:t xml:space="preserve"> </w:t>
      </w:r>
      <w:r w:rsidRPr="000019BE">
        <w:rPr>
          <w:rFonts w:cs="Arial" w:hint="cs"/>
          <w:sz w:val="20"/>
          <w:szCs w:val="20"/>
          <w:rtl/>
        </w:rPr>
        <w:t>שופעת</w:t>
      </w:r>
      <w:r w:rsidRPr="000019BE">
        <w:rPr>
          <w:rFonts w:cs="Arial"/>
          <w:sz w:val="20"/>
          <w:szCs w:val="20"/>
          <w:rtl/>
        </w:rPr>
        <w:t xml:space="preserve"> </w:t>
      </w:r>
      <w:r w:rsidRPr="000019BE">
        <w:rPr>
          <w:rFonts w:cs="Arial" w:hint="cs"/>
          <w:sz w:val="20"/>
          <w:szCs w:val="20"/>
          <w:rtl/>
        </w:rPr>
        <w:t>כל</w:t>
      </w:r>
      <w:r w:rsidRPr="000019BE">
        <w:rPr>
          <w:rFonts w:cs="Arial"/>
          <w:sz w:val="20"/>
          <w:szCs w:val="20"/>
          <w:rtl/>
        </w:rPr>
        <w:t xml:space="preserve"> </w:t>
      </w:r>
      <w:r w:rsidRPr="000019BE">
        <w:rPr>
          <w:rFonts w:cs="Arial" w:hint="cs"/>
          <w:sz w:val="20"/>
          <w:szCs w:val="20"/>
          <w:rtl/>
        </w:rPr>
        <w:t>ז</w:t>
      </w:r>
      <w:r w:rsidRPr="000019BE">
        <w:rPr>
          <w:rFonts w:cs="Arial"/>
          <w:sz w:val="20"/>
          <w:szCs w:val="20"/>
          <w:rtl/>
        </w:rPr>
        <w:t>'</w:t>
      </w:r>
      <w:r>
        <w:rPr>
          <w:rFonts w:cs="Arial" w:hint="cs"/>
          <w:sz w:val="20"/>
          <w:szCs w:val="20"/>
          <w:rtl/>
        </w:rPr>
        <w:t>,</w:t>
      </w:r>
      <w:r w:rsidRPr="000019BE">
        <w:rPr>
          <w:rFonts w:cs="Arial"/>
          <w:sz w:val="20"/>
          <w:szCs w:val="20"/>
          <w:rtl/>
        </w:rPr>
        <w:t xml:space="preserve"> </w:t>
      </w:r>
      <w:r w:rsidRPr="000019BE">
        <w:rPr>
          <w:rFonts w:cs="Arial" w:hint="cs"/>
          <w:sz w:val="20"/>
          <w:szCs w:val="20"/>
          <w:rtl/>
        </w:rPr>
        <w:t>רק</w:t>
      </w:r>
      <w:r w:rsidRPr="000019BE">
        <w:rPr>
          <w:rFonts w:cs="Arial"/>
          <w:sz w:val="20"/>
          <w:szCs w:val="20"/>
          <w:rtl/>
        </w:rPr>
        <w:t xml:space="preserve"> </w:t>
      </w:r>
      <w:r w:rsidRPr="000019BE">
        <w:rPr>
          <w:rFonts w:cs="Arial" w:hint="cs"/>
          <w:sz w:val="20"/>
          <w:szCs w:val="20"/>
          <w:rtl/>
        </w:rPr>
        <w:t>שתפסוק</w:t>
      </w:r>
      <w:r w:rsidRPr="000019BE">
        <w:rPr>
          <w:rFonts w:cs="Arial"/>
          <w:sz w:val="20"/>
          <w:szCs w:val="20"/>
          <w:rtl/>
        </w:rPr>
        <w:t xml:space="preserve"> </w:t>
      </w:r>
      <w:r w:rsidRPr="000019BE">
        <w:rPr>
          <w:rFonts w:cs="Arial" w:hint="cs"/>
          <w:sz w:val="20"/>
          <w:szCs w:val="20"/>
          <w:rtl/>
        </w:rPr>
        <w:t>בטהרה</w:t>
      </w:r>
      <w:r w:rsidRPr="000019BE">
        <w:rPr>
          <w:rFonts w:cs="Arial"/>
          <w:sz w:val="20"/>
          <w:szCs w:val="20"/>
          <w:rtl/>
        </w:rPr>
        <w:t xml:space="preserve"> </w:t>
      </w:r>
      <w:r w:rsidRPr="000019BE">
        <w:rPr>
          <w:rFonts w:cs="Arial" w:hint="cs"/>
          <w:sz w:val="20"/>
          <w:szCs w:val="20"/>
          <w:rtl/>
        </w:rPr>
        <w:t>ביום</w:t>
      </w:r>
      <w:r w:rsidRPr="000019BE">
        <w:rPr>
          <w:rFonts w:cs="Arial"/>
          <w:sz w:val="20"/>
          <w:szCs w:val="20"/>
          <w:rtl/>
        </w:rPr>
        <w:t xml:space="preserve"> </w:t>
      </w:r>
      <w:r w:rsidRPr="000019BE">
        <w:rPr>
          <w:rFonts w:cs="Arial" w:hint="cs"/>
          <w:sz w:val="20"/>
          <w:szCs w:val="20"/>
          <w:rtl/>
        </w:rPr>
        <w:t>ז</w:t>
      </w:r>
      <w:r w:rsidRPr="000019BE">
        <w:rPr>
          <w:rFonts w:cs="Arial"/>
          <w:sz w:val="20"/>
          <w:szCs w:val="20"/>
          <w:rtl/>
        </w:rPr>
        <w:t xml:space="preserve">' </w:t>
      </w:r>
      <w:r w:rsidRPr="000019BE">
        <w:rPr>
          <w:rFonts w:cs="Arial" w:hint="cs"/>
          <w:sz w:val="20"/>
          <w:szCs w:val="20"/>
          <w:rtl/>
        </w:rPr>
        <w:t>קודם</w:t>
      </w:r>
      <w:r w:rsidRPr="000019BE">
        <w:rPr>
          <w:rFonts w:cs="Arial"/>
          <w:sz w:val="20"/>
          <w:szCs w:val="20"/>
          <w:rtl/>
        </w:rPr>
        <w:t xml:space="preserve"> </w:t>
      </w:r>
      <w:r w:rsidRPr="000019BE">
        <w:rPr>
          <w:rFonts w:cs="Arial" w:hint="cs"/>
          <w:sz w:val="20"/>
          <w:szCs w:val="20"/>
          <w:rtl/>
        </w:rPr>
        <w:t>בין</w:t>
      </w:r>
      <w:r w:rsidRPr="000019BE">
        <w:rPr>
          <w:rFonts w:cs="Arial"/>
          <w:sz w:val="20"/>
          <w:szCs w:val="20"/>
          <w:rtl/>
        </w:rPr>
        <w:t xml:space="preserve"> </w:t>
      </w:r>
      <w:r w:rsidRPr="000019BE">
        <w:rPr>
          <w:rFonts w:cs="Arial" w:hint="cs"/>
          <w:sz w:val="20"/>
          <w:szCs w:val="20"/>
          <w:rtl/>
        </w:rPr>
        <w:t>השמשות</w:t>
      </w:r>
      <w:r>
        <w:rPr>
          <w:rFonts w:cs="Arial" w:hint="cs"/>
          <w:sz w:val="20"/>
          <w:szCs w:val="20"/>
          <w:rtl/>
        </w:rPr>
        <w:t>,</w:t>
      </w:r>
      <w:r w:rsidRPr="000019BE">
        <w:rPr>
          <w:rFonts w:cs="Arial"/>
          <w:sz w:val="20"/>
          <w:szCs w:val="20"/>
          <w:rtl/>
        </w:rPr>
        <w:t xml:space="preserve"> </w:t>
      </w:r>
      <w:r w:rsidRPr="000019BE">
        <w:rPr>
          <w:rFonts w:cs="Arial" w:hint="cs"/>
          <w:sz w:val="20"/>
          <w:szCs w:val="20"/>
          <w:rtl/>
        </w:rPr>
        <w:t>ובערב</w:t>
      </w:r>
      <w:r w:rsidRPr="000019BE">
        <w:rPr>
          <w:rFonts w:cs="Arial"/>
          <w:sz w:val="20"/>
          <w:szCs w:val="20"/>
          <w:rtl/>
        </w:rPr>
        <w:t xml:space="preserve"> </w:t>
      </w:r>
      <w:r w:rsidRPr="000019BE">
        <w:rPr>
          <w:rFonts w:cs="Arial" w:hint="cs"/>
          <w:sz w:val="20"/>
          <w:szCs w:val="20"/>
          <w:rtl/>
        </w:rPr>
        <w:t>טובלת</w:t>
      </w:r>
      <w:r w:rsidRPr="000019BE">
        <w:rPr>
          <w:rFonts w:cs="Arial"/>
          <w:sz w:val="20"/>
          <w:szCs w:val="20"/>
          <w:rtl/>
        </w:rPr>
        <w:t xml:space="preserve"> </w:t>
      </w:r>
      <w:r w:rsidRPr="000019BE">
        <w:rPr>
          <w:rFonts w:cs="Arial" w:hint="cs"/>
          <w:sz w:val="20"/>
          <w:szCs w:val="20"/>
          <w:rtl/>
        </w:rPr>
        <w:t>בליל</w:t>
      </w:r>
      <w:r w:rsidRPr="000019BE">
        <w:rPr>
          <w:rFonts w:cs="Arial"/>
          <w:sz w:val="20"/>
          <w:szCs w:val="20"/>
          <w:rtl/>
        </w:rPr>
        <w:t xml:space="preserve"> </w:t>
      </w:r>
      <w:r w:rsidRPr="000019BE">
        <w:rPr>
          <w:rFonts w:cs="Arial" w:hint="cs"/>
          <w:sz w:val="20"/>
          <w:szCs w:val="20"/>
          <w:rtl/>
        </w:rPr>
        <w:t>ח</w:t>
      </w:r>
      <w:r w:rsidRPr="000019BE">
        <w:rPr>
          <w:rFonts w:cs="Arial"/>
          <w:sz w:val="20"/>
          <w:szCs w:val="20"/>
          <w:rtl/>
        </w:rPr>
        <w:t>'</w:t>
      </w:r>
      <w:r>
        <w:rPr>
          <w:rFonts w:cs="Arial" w:hint="cs"/>
          <w:sz w:val="20"/>
          <w:szCs w:val="20"/>
          <w:rtl/>
        </w:rPr>
        <w:t>".</w:t>
      </w:r>
    </w:p>
    <w:p w:rsidR="00620060" w:rsidRDefault="00620060" w:rsidP="00620060">
      <w:pPr>
        <w:rPr>
          <w:sz w:val="20"/>
          <w:szCs w:val="20"/>
          <w:rtl/>
        </w:rPr>
      </w:pPr>
      <w:r w:rsidRPr="000019BE">
        <w:rPr>
          <w:rFonts w:hint="cs"/>
          <w:b/>
          <w:bCs/>
          <w:sz w:val="20"/>
          <w:szCs w:val="20"/>
          <w:rtl/>
        </w:rPr>
        <w:t>דין זב</w:t>
      </w:r>
      <w:r>
        <w:rPr>
          <w:rFonts w:hint="cs"/>
          <w:b/>
          <w:bCs/>
          <w:sz w:val="20"/>
          <w:szCs w:val="20"/>
          <w:rtl/>
        </w:rPr>
        <w:t>ה</w:t>
      </w:r>
      <w:r w:rsidRPr="000019BE">
        <w:rPr>
          <w:rFonts w:hint="cs"/>
          <w:b/>
          <w:bCs/>
          <w:sz w:val="20"/>
          <w:szCs w:val="20"/>
          <w:rtl/>
        </w:rPr>
        <w:t xml:space="preserve"> </w:t>
      </w:r>
      <w:r>
        <w:rPr>
          <w:b/>
          <w:bCs/>
          <w:sz w:val="20"/>
          <w:szCs w:val="20"/>
          <w:rtl/>
        </w:rPr>
        <w:br/>
      </w:r>
      <w:r>
        <w:rPr>
          <w:rFonts w:hint="cs"/>
          <w:b/>
          <w:bCs/>
          <w:sz w:val="20"/>
          <w:szCs w:val="20"/>
          <w:rtl/>
        </w:rPr>
        <w:t xml:space="preserve">ספר ויקרא </w:t>
      </w:r>
      <w:r w:rsidRPr="007836B3">
        <w:rPr>
          <w:rFonts w:hint="cs"/>
          <w:sz w:val="18"/>
          <w:szCs w:val="18"/>
          <w:rtl/>
        </w:rPr>
        <w:t xml:space="preserve">(טו, כה </w:t>
      </w:r>
      <w:r w:rsidRPr="007836B3">
        <w:rPr>
          <w:sz w:val="18"/>
          <w:szCs w:val="18"/>
          <w:rtl/>
        </w:rPr>
        <w:t>–</w:t>
      </w:r>
      <w:r w:rsidRPr="007836B3">
        <w:rPr>
          <w:rFonts w:hint="cs"/>
          <w:sz w:val="18"/>
          <w:szCs w:val="18"/>
          <w:rtl/>
        </w:rPr>
        <w:t xml:space="preserve"> כח) </w:t>
      </w:r>
      <w:r>
        <w:rPr>
          <w:rFonts w:hint="cs"/>
          <w:sz w:val="20"/>
          <w:szCs w:val="20"/>
          <w:rtl/>
        </w:rPr>
        <w:t>"</w:t>
      </w:r>
      <w:r w:rsidRPr="007836B3">
        <w:rPr>
          <w:rFonts w:cs="Arial" w:hint="cs"/>
          <w:sz w:val="20"/>
          <w:szCs w:val="20"/>
          <w:rtl/>
        </w:rPr>
        <w:t>וְאִשָּׁה</w:t>
      </w:r>
      <w:r w:rsidRPr="007836B3">
        <w:rPr>
          <w:rFonts w:cs="Arial"/>
          <w:sz w:val="20"/>
          <w:szCs w:val="20"/>
          <w:rtl/>
        </w:rPr>
        <w:t xml:space="preserve"> </w:t>
      </w:r>
      <w:r w:rsidRPr="007836B3">
        <w:rPr>
          <w:rFonts w:cs="Arial" w:hint="cs"/>
          <w:sz w:val="20"/>
          <w:szCs w:val="20"/>
          <w:rtl/>
        </w:rPr>
        <w:t>כִּי</w:t>
      </w:r>
      <w:r w:rsidRPr="007836B3">
        <w:rPr>
          <w:rFonts w:cs="Arial"/>
          <w:sz w:val="20"/>
          <w:szCs w:val="20"/>
          <w:rtl/>
        </w:rPr>
        <w:t xml:space="preserve"> </w:t>
      </w:r>
      <w:r w:rsidRPr="007836B3">
        <w:rPr>
          <w:rFonts w:cs="Arial" w:hint="cs"/>
          <w:sz w:val="20"/>
          <w:szCs w:val="20"/>
          <w:rtl/>
        </w:rPr>
        <w:t>יָזוּב</w:t>
      </w:r>
      <w:r w:rsidRPr="007836B3">
        <w:rPr>
          <w:rFonts w:cs="Arial"/>
          <w:sz w:val="20"/>
          <w:szCs w:val="20"/>
          <w:rtl/>
        </w:rPr>
        <w:t xml:space="preserve"> </w:t>
      </w:r>
      <w:r w:rsidRPr="007836B3">
        <w:rPr>
          <w:rFonts w:cs="Arial" w:hint="cs"/>
          <w:sz w:val="20"/>
          <w:szCs w:val="20"/>
          <w:rtl/>
        </w:rPr>
        <w:t>זוֹב</w:t>
      </w:r>
      <w:r w:rsidRPr="007836B3">
        <w:rPr>
          <w:rFonts w:cs="Arial"/>
          <w:sz w:val="20"/>
          <w:szCs w:val="20"/>
          <w:rtl/>
        </w:rPr>
        <w:t xml:space="preserve"> </w:t>
      </w:r>
      <w:r w:rsidRPr="007836B3">
        <w:rPr>
          <w:rFonts w:cs="Arial" w:hint="cs"/>
          <w:sz w:val="20"/>
          <w:szCs w:val="20"/>
          <w:rtl/>
        </w:rPr>
        <w:t>דָּמָהּ</w:t>
      </w:r>
      <w:r w:rsidRPr="007836B3">
        <w:rPr>
          <w:rFonts w:cs="Arial"/>
          <w:sz w:val="20"/>
          <w:szCs w:val="20"/>
          <w:rtl/>
        </w:rPr>
        <w:t xml:space="preserve"> </w:t>
      </w:r>
      <w:r w:rsidRPr="007836B3">
        <w:rPr>
          <w:rFonts w:cs="Arial" w:hint="cs"/>
          <w:sz w:val="20"/>
          <w:szCs w:val="20"/>
          <w:rtl/>
        </w:rPr>
        <w:t>יָמִים</w:t>
      </w:r>
      <w:r w:rsidRPr="007836B3">
        <w:rPr>
          <w:rFonts w:cs="Arial"/>
          <w:sz w:val="20"/>
          <w:szCs w:val="20"/>
          <w:rtl/>
        </w:rPr>
        <w:t xml:space="preserve"> </w:t>
      </w:r>
      <w:r w:rsidRPr="007836B3">
        <w:rPr>
          <w:rFonts w:cs="Arial" w:hint="cs"/>
          <w:sz w:val="20"/>
          <w:szCs w:val="20"/>
          <w:rtl/>
        </w:rPr>
        <w:t>רַבִּים</w:t>
      </w:r>
      <w:r w:rsidRPr="007836B3">
        <w:rPr>
          <w:rFonts w:cs="Arial"/>
          <w:sz w:val="20"/>
          <w:szCs w:val="20"/>
          <w:rtl/>
        </w:rPr>
        <w:t xml:space="preserve"> </w:t>
      </w:r>
      <w:r w:rsidRPr="00123445">
        <w:rPr>
          <w:rFonts w:cs="Arial" w:hint="cs"/>
          <w:sz w:val="18"/>
          <w:szCs w:val="18"/>
          <w:rtl/>
        </w:rPr>
        <w:t xml:space="preserve">(ספרא: ימים </w:t>
      </w:r>
      <w:r w:rsidRPr="00123445">
        <w:rPr>
          <w:rFonts w:cs="Arial"/>
          <w:sz w:val="18"/>
          <w:szCs w:val="18"/>
          <w:rtl/>
        </w:rPr>
        <w:t>–</w:t>
      </w:r>
      <w:r w:rsidRPr="00123445">
        <w:rPr>
          <w:rFonts w:cs="Arial" w:hint="cs"/>
          <w:sz w:val="18"/>
          <w:szCs w:val="18"/>
          <w:rtl/>
        </w:rPr>
        <w:t xml:space="preserve"> שניים; רבים </w:t>
      </w:r>
      <w:r w:rsidRPr="00123445">
        <w:rPr>
          <w:rFonts w:cs="Arial"/>
          <w:sz w:val="18"/>
          <w:szCs w:val="18"/>
          <w:rtl/>
        </w:rPr>
        <w:t>–</w:t>
      </w:r>
      <w:r w:rsidRPr="00123445">
        <w:rPr>
          <w:rFonts w:cs="Arial" w:hint="cs"/>
          <w:sz w:val="18"/>
          <w:szCs w:val="18"/>
          <w:rtl/>
        </w:rPr>
        <w:t xml:space="preserve"> שלושה) </w:t>
      </w:r>
      <w:r w:rsidRPr="007836B3">
        <w:rPr>
          <w:rFonts w:cs="Arial" w:hint="cs"/>
          <w:sz w:val="20"/>
          <w:szCs w:val="20"/>
          <w:rtl/>
        </w:rPr>
        <w:t>בְּלֹא</w:t>
      </w:r>
      <w:r w:rsidRPr="007836B3">
        <w:rPr>
          <w:rFonts w:cs="Arial"/>
          <w:sz w:val="20"/>
          <w:szCs w:val="20"/>
          <w:rtl/>
        </w:rPr>
        <w:t xml:space="preserve"> </w:t>
      </w:r>
      <w:r w:rsidRPr="007836B3">
        <w:rPr>
          <w:rFonts w:cs="Arial" w:hint="cs"/>
          <w:sz w:val="20"/>
          <w:szCs w:val="20"/>
          <w:rtl/>
        </w:rPr>
        <w:t>עֶת</w:t>
      </w:r>
      <w:r w:rsidRPr="007836B3">
        <w:rPr>
          <w:rFonts w:cs="Arial"/>
          <w:sz w:val="20"/>
          <w:szCs w:val="20"/>
          <w:rtl/>
        </w:rPr>
        <w:t xml:space="preserve"> </w:t>
      </w:r>
      <w:r w:rsidRPr="007836B3">
        <w:rPr>
          <w:rFonts w:cs="Arial" w:hint="cs"/>
          <w:sz w:val="20"/>
          <w:szCs w:val="20"/>
          <w:rtl/>
        </w:rPr>
        <w:t>נִדָּתָהּ</w:t>
      </w:r>
      <w:r w:rsidRPr="007836B3">
        <w:rPr>
          <w:rFonts w:cs="Arial"/>
          <w:sz w:val="20"/>
          <w:szCs w:val="20"/>
          <w:rtl/>
        </w:rPr>
        <w:t xml:space="preserve"> </w:t>
      </w:r>
      <w:r w:rsidRPr="007836B3">
        <w:rPr>
          <w:rFonts w:cs="Arial" w:hint="cs"/>
          <w:sz w:val="20"/>
          <w:szCs w:val="20"/>
          <w:rtl/>
        </w:rPr>
        <w:t>אוֹ</w:t>
      </w:r>
      <w:r w:rsidRPr="007836B3">
        <w:rPr>
          <w:rFonts w:cs="Arial"/>
          <w:sz w:val="20"/>
          <w:szCs w:val="20"/>
          <w:rtl/>
        </w:rPr>
        <w:t xml:space="preserve"> </w:t>
      </w:r>
      <w:r w:rsidRPr="007836B3">
        <w:rPr>
          <w:rFonts w:cs="Arial" w:hint="cs"/>
          <w:sz w:val="20"/>
          <w:szCs w:val="20"/>
          <w:rtl/>
        </w:rPr>
        <w:t>כִי</w:t>
      </w:r>
      <w:r w:rsidRPr="007836B3">
        <w:rPr>
          <w:rFonts w:cs="Arial"/>
          <w:sz w:val="20"/>
          <w:szCs w:val="20"/>
          <w:rtl/>
        </w:rPr>
        <w:t xml:space="preserve"> </w:t>
      </w:r>
      <w:r w:rsidRPr="007836B3">
        <w:rPr>
          <w:rFonts w:cs="Arial" w:hint="cs"/>
          <w:sz w:val="20"/>
          <w:szCs w:val="20"/>
          <w:rtl/>
        </w:rPr>
        <w:t>תָזוּב</w:t>
      </w:r>
      <w:r w:rsidRPr="007836B3">
        <w:rPr>
          <w:rFonts w:cs="Arial"/>
          <w:sz w:val="20"/>
          <w:szCs w:val="20"/>
          <w:rtl/>
        </w:rPr>
        <w:t xml:space="preserve"> </w:t>
      </w:r>
      <w:r w:rsidRPr="007836B3">
        <w:rPr>
          <w:rFonts w:cs="Arial" w:hint="cs"/>
          <w:sz w:val="20"/>
          <w:szCs w:val="20"/>
          <w:rtl/>
        </w:rPr>
        <w:t>עַל</w:t>
      </w:r>
      <w:r w:rsidRPr="007836B3">
        <w:rPr>
          <w:rFonts w:cs="Arial"/>
          <w:sz w:val="20"/>
          <w:szCs w:val="20"/>
          <w:rtl/>
        </w:rPr>
        <w:t xml:space="preserve"> </w:t>
      </w:r>
      <w:r w:rsidRPr="007836B3">
        <w:rPr>
          <w:rFonts w:cs="Arial" w:hint="cs"/>
          <w:sz w:val="20"/>
          <w:szCs w:val="20"/>
          <w:rtl/>
        </w:rPr>
        <w:t>נִדָּתָהּ</w:t>
      </w:r>
      <w:r w:rsidRPr="007836B3">
        <w:rPr>
          <w:rFonts w:cs="Arial"/>
          <w:sz w:val="20"/>
          <w:szCs w:val="20"/>
          <w:rtl/>
        </w:rPr>
        <w:t xml:space="preserve"> </w:t>
      </w:r>
      <w:r w:rsidRPr="007836B3">
        <w:rPr>
          <w:rFonts w:cs="Arial" w:hint="cs"/>
          <w:sz w:val="20"/>
          <w:szCs w:val="20"/>
          <w:rtl/>
        </w:rPr>
        <w:t>כָּל</w:t>
      </w:r>
      <w:r w:rsidRPr="007836B3">
        <w:rPr>
          <w:rFonts w:cs="Arial"/>
          <w:sz w:val="20"/>
          <w:szCs w:val="20"/>
          <w:rtl/>
        </w:rPr>
        <w:t xml:space="preserve"> </w:t>
      </w:r>
      <w:r w:rsidRPr="007836B3">
        <w:rPr>
          <w:rFonts w:cs="Arial" w:hint="cs"/>
          <w:sz w:val="20"/>
          <w:szCs w:val="20"/>
          <w:rtl/>
        </w:rPr>
        <w:t>יְמֵי</w:t>
      </w:r>
      <w:r w:rsidRPr="007836B3">
        <w:rPr>
          <w:rFonts w:cs="Arial"/>
          <w:sz w:val="20"/>
          <w:szCs w:val="20"/>
          <w:rtl/>
        </w:rPr>
        <w:t xml:space="preserve"> </w:t>
      </w:r>
      <w:r w:rsidRPr="007836B3">
        <w:rPr>
          <w:rFonts w:cs="Arial" w:hint="cs"/>
          <w:sz w:val="20"/>
          <w:szCs w:val="20"/>
          <w:rtl/>
        </w:rPr>
        <w:t>זוֹב</w:t>
      </w:r>
      <w:r w:rsidRPr="007836B3">
        <w:rPr>
          <w:rFonts w:cs="Arial"/>
          <w:sz w:val="20"/>
          <w:szCs w:val="20"/>
          <w:rtl/>
        </w:rPr>
        <w:t xml:space="preserve"> </w:t>
      </w:r>
      <w:r w:rsidRPr="007836B3">
        <w:rPr>
          <w:rFonts w:cs="Arial" w:hint="cs"/>
          <w:sz w:val="20"/>
          <w:szCs w:val="20"/>
          <w:rtl/>
        </w:rPr>
        <w:t>טֻמְאָתָהּ</w:t>
      </w:r>
      <w:r w:rsidRPr="007836B3">
        <w:rPr>
          <w:rFonts w:cs="Arial"/>
          <w:sz w:val="20"/>
          <w:szCs w:val="20"/>
          <w:rtl/>
        </w:rPr>
        <w:t xml:space="preserve"> </w:t>
      </w:r>
      <w:r w:rsidRPr="007836B3">
        <w:rPr>
          <w:rFonts w:cs="Arial" w:hint="cs"/>
          <w:sz w:val="20"/>
          <w:szCs w:val="20"/>
          <w:rtl/>
        </w:rPr>
        <w:t>כִּימֵי</w:t>
      </w:r>
      <w:r w:rsidRPr="007836B3">
        <w:rPr>
          <w:rFonts w:cs="Arial"/>
          <w:sz w:val="20"/>
          <w:szCs w:val="20"/>
          <w:rtl/>
        </w:rPr>
        <w:t xml:space="preserve"> </w:t>
      </w:r>
      <w:r w:rsidRPr="007836B3">
        <w:rPr>
          <w:rFonts w:cs="Arial" w:hint="cs"/>
          <w:sz w:val="20"/>
          <w:szCs w:val="20"/>
          <w:rtl/>
        </w:rPr>
        <w:t>נִדָּתָהּ</w:t>
      </w:r>
      <w:r w:rsidRPr="007836B3">
        <w:rPr>
          <w:rFonts w:cs="Arial"/>
          <w:sz w:val="20"/>
          <w:szCs w:val="20"/>
          <w:rtl/>
        </w:rPr>
        <w:t xml:space="preserve"> </w:t>
      </w:r>
      <w:r w:rsidRPr="007836B3">
        <w:rPr>
          <w:rFonts w:cs="Arial" w:hint="cs"/>
          <w:sz w:val="20"/>
          <w:szCs w:val="20"/>
          <w:rtl/>
        </w:rPr>
        <w:t>תִּהְיֶה</w:t>
      </w:r>
      <w:r w:rsidRPr="007836B3">
        <w:rPr>
          <w:rFonts w:cs="Arial"/>
          <w:sz w:val="20"/>
          <w:szCs w:val="20"/>
          <w:rtl/>
        </w:rPr>
        <w:t xml:space="preserve"> </w:t>
      </w:r>
      <w:r w:rsidRPr="007836B3">
        <w:rPr>
          <w:rFonts w:cs="Arial" w:hint="cs"/>
          <w:sz w:val="20"/>
          <w:szCs w:val="20"/>
          <w:rtl/>
        </w:rPr>
        <w:t>טְמֵאָה</w:t>
      </w:r>
      <w:r w:rsidRPr="007836B3">
        <w:rPr>
          <w:rFonts w:cs="Arial"/>
          <w:sz w:val="20"/>
          <w:szCs w:val="20"/>
          <w:rtl/>
        </w:rPr>
        <w:t xml:space="preserve"> </w:t>
      </w:r>
      <w:r w:rsidRPr="007836B3">
        <w:rPr>
          <w:rFonts w:cs="Arial" w:hint="cs"/>
          <w:sz w:val="20"/>
          <w:szCs w:val="20"/>
          <w:rtl/>
        </w:rPr>
        <w:t>הִוא</w:t>
      </w:r>
      <w:r>
        <w:rPr>
          <w:rFonts w:cs="Arial"/>
          <w:sz w:val="20"/>
          <w:szCs w:val="20"/>
          <w:rtl/>
        </w:rPr>
        <w:t>:</w:t>
      </w:r>
      <w:r>
        <w:rPr>
          <w:rFonts w:cs="Arial" w:hint="cs"/>
          <w:sz w:val="20"/>
          <w:szCs w:val="20"/>
          <w:rtl/>
        </w:rPr>
        <w:t xml:space="preserve"> </w:t>
      </w:r>
      <w:r w:rsidRPr="007836B3">
        <w:rPr>
          <w:rFonts w:cs="Arial" w:hint="cs"/>
          <w:sz w:val="20"/>
          <w:szCs w:val="20"/>
          <w:rtl/>
        </w:rPr>
        <w:t>וְאִם</w:t>
      </w:r>
      <w:r w:rsidRPr="007836B3">
        <w:rPr>
          <w:rFonts w:cs="Arial"/>
          <w:sz w:val="20"/>
          <w:szCs w:val="20"/>
          <w:rtl/>
        </w:rPr>
        <w:t xml:space="preserve"> </w:t>
      </w:r>
      <w:r w:rsidRPr="007836B3">
        <w:rPr>
          <w:rFonts w:cs="Arial" w:hint="cs"/>
          <w:sz w:val="20"/>
          <w:szCs w:val="20"/>
          <w:rtl/>
        </w:rPr>
        <w:t>טָהֲרָה</w:t>
      </w:r>
      <w:r w:rsidRPr="007836B3">
        <w:rPr>
          <w:rFonts w:cs="Arial"/>
          <w:sz w:val="20"/>
          <w:szCs w:val="20"/>
          <w:rtl/>
        </w:rPr>
        <w:t xml:space="preserve"> </w:t>
      </w:r>
      <w:r w:rsidRPr="007836B3">
        <w:rPr>
          <w:rFonts w:cs="Arial" w:hint="cs"/>
          <w:sz w:val="20"/>
          <w:szCs w:val="20"/>
          <w:rtl/>
        </w:rPr>
        <w:t>מִזּוֹבָהּ</w:t>
      </w:r>
      <w:r w:rsidRPr="007836B3">
        <w:rPr>
          <w:rFonts w:cs="Arial"/>
          <w:sz w:val="20"/>
          <w:szCs w:val="20"/>
          <w:rtl/>
        </w:rPr>
        <w:t xml:space="preserve"> </w:t>
      </w:r>
      <w:r w:rsidRPr="007836B3">
        <w:rPr>
          <w:rFonts w:cs="Arial" w:hint="cs"/>
          <w:sz w:val="20"/>
          <w:szCs w:val="20"/>
          <w:rtl/>
        </w:rPr>
        <w:t>וְסָפְרָה</w:t>
      </w:r>
      <w:r w:rsidRPr="007836B3">
        <w:rPr>
          <w:rFonts w:cs="Arial"/>
          <w:sz w:val="20"/>
          <w:szCs w:val="20"/>
          <w:rtl/>
        </w:rPr>
        <w:t xml:space="preserve"> </w:t>
      </w:r>
      <w:r w:rsidRPr="007836B3">
        <w:rPr>
          <w:rFonts w:cs="Arial" w:hint="cs"/>
          <w:sz w:val="20"/>
          <w:szCs w:val="20"/>
          <w:rtl/>
        </w:rPr>
        <w:t>לָּהּ</w:t>
      </w:r>
      <w:r w:rsidRPr="007836B3">
        <w:rPr>
          <w:rFonts w:cs="Arial"/>
          <w:sz w:val="20"/>
          <w:szCs w:val="20"/>
          <w:rtl/>
        </w:rPr>
        <w:t xml:space="preserve"> </w:t>
      </w:r>
      <w:r w:rsidRPr="007836B3">
        <w:rPr>
          <w:rFonts w:cs="Arial" w:hint="cs"/>
          <w:sz w:val="20"/>
          <w:szCs w:val="20"/>
          <w:rtl/>
        </w:rPr>
        <w:t>שִׁבְעַת</w:t>
      </w:r>
      <w:r w:rsidRPr="007836B3">
        <w:rPr>
          <w:rFonts w:cs="Arial"/>
          <w:sz w:val="20"/>
          <w:szCs w:val="20"/>
          <w:rtl/>
        </w:rPr>
        <w:t xml:space="preserve"> </w:t>
      </w:r>
      <w:r w:rsidRPr="007836B3">
        <w:rPr>
          <w:rFonts w:cs="Arial" w:hint="cs"/>
          <w:sz w:val="20"/>
          <w:szCs w:val="20"/>
          <w:rtl/>
        </w:rPr>
        <w:t>יָמִים</w:t>
      </w:r>
      <w:r w:rsidRPr="007836B3">
        <w:rPr>
          <w:rFonts w:cs="Arial"/>
          <w:sz w:val="20"/>
          <w:szCs w:val="20"/>
          <w:rtl/>
        </w:rPr>
        <w:t xml:space="preserve"> </w:t>
      </w:r>
      <w:r w:rsidRPr="007836B3">
        <w:rPr>
          <w:rFonts w:cs="Arial" w:hint="cs"/>
          <w:sz w:val="20"/>
          <w:szCs w:val="20"/>
          <w:rtl/>
        </w:rPr>
        <w:t>וְאַחַר</w:t>
      </w:r>
      <w:r w:rsidRPr="007836B3">
        <w:rPr>
          <w:rFonts w:cs="Arial"/>
          <w:sz w:val="20"/>
          <w:szCs w:val="20"/>
          <w:rtl/>
        </w:rPr>
        <w:t xml:space="preserve"> </w:t>
      </w:r>
      <w:r w:rsidRPr="007836B3">
        <w:rPr>
          <w:rFonts w:cs="Arial" w:hint="cs"/>
          <w:sz w:val="20"/>
          <w:szCs w:val="20"/>
          <w:rtl/>
        </w:rPr>
        <w:t>תִּטְהָר</w:t>
      </w:r>
      <w:r>
        <w:rPr>
          <w:rFonts w:cs="Arial" w:hint="cs"/>
          <w:sz w:val="20"/>
          <w:szCs w:val="20"/>
          <w:rtl/>
        </w:rPr>
        <w:t>".</w:t>
      </w:r>
      <w:r w:rsidRPr="000019BE">
        <w:rPr>
          <w:rFonts w:hint="cs"/>
          <w:b/>
          <w:bCs/>
          <w:sz w:val="20"/>
          <w:szCs w:val="20"/>
          <w:rtl/>
        </w:rPr>
        <w:br/>
      </w:r>
      <w:r>
        <w:rPr>
          <w:rFonts w:hint="cs"/>
          <w:b/>
          <w:bCs/>
          <w:sz w:val="20"/>
          <w:szCs w:val="20"/>
          <w:rtl/>
        </w:rPr>
        <w:br/>
        <w:t xml:space="preserve">גמרא </w:t>
      </w:r>
      <w:r>
        <w:rPr>
          <w:rFonts w:hint="cs"/>
          <w:sz w:val="20"/>
          <w:szCs w:val="20"/>
          <w:rtl/>
        </w:rPr>
        <w:t>שם (עב:) "</w:t>
      </w:r>
      <w:r w:rsidRPr="00DD74E8">
        <w:rPr>
          <w:rFonts w:cs="Arial" w:hint="cs"/>
          <w:sz w:val="20"/>
          <w:szCs w:val="20"/>
          <w:rtl/>
        </w:rPr>
        <w:t>ואחד</w:t>
      </w:r>
      <w:r w:rsidRPr="00DD74E8">
        <w:rPr>
          <w:rFonts w:cs="Arial"/>
          <w:sz w:val="20"/>
          <w:szCs w:val="20"/>
          <w:rtl/>
        </w:rPr>
        <w:t xml:space="preserve"> </w:t>
      </w:r>
      <w:r w:rsidRPr="00DD74E8">
        <w:rPr>
          <w:rFonts w:cs="Arial" w:hint="cs"/>
          <w:sz w:val="20"/>
          <w:szCs w:val="20"/>
          <w:rtl/>
        </w:rPr>
        <w:t>עשר</w:t>
      </w:r>
      <w:r w:rsidRPr="00DD74E8">
        <w:rPr>
          <w:rFonts w:cs="Arial"/>
          <w:sz w:val="20"/>
          <w:szCs w:val="20"/>
          <w:rtl/>
        </w:rPr>
        <w:t xml:space="preserve"> </w:t>
      </w:r>
      <w:r w:rsidRPr="00DD74E8">
        <w:rPr>
          <w:rFonts w:cs="Arial" w:hint="cs"/>
          <w:sz w:val="20"/>
          <w:szCs w:val="20"/>
          <w:rtl/>
        </w:rPr>
        <w:t>יום</w:t>
      </w:r>
      <w:r w:rsidRPr="00DD74E8">
        <w:rPr>
          <w:rFonts w:cs="Arial"/>
          <w:sz w:val="20"/>
          <w:szCs w:val="20"/>
          <w:rtl/>
        </w:rPr>
        <w:t xml:space="preserve"> </w:t>
      </w:r>
      <w:r w:rsidRPr="00DD74E8">
        <w:rPr>
          <w:rFonts w:cs="Arial" w:hint="cs"/>
          <w:sz w:val="20"/>
          <w:szCs w:val="20"/>
          <w:rtl/>
        </w:rPr>
        <w:t>שבין</w:t>
      </w:r>
      <w:r w:rsidRPr="00DD74E8">
        <w:rPr>
          <w:rFonts w:cs="Arial"/>
          <w:sz w:val="20"/>
          <w:szCs w:val="20"/>
          <w:rtl/>
        </w:rPr>
        <w:t xml:space="preserve"> </w:t>
      </w:r>
      <w:r w:rsidRPr="00DD74E8">
        <w:rPr>
          <w:rFonts w:cs="Arial" w:hint="cs"/>
          <w:sz w:val="20"/>
          <w:szCs w:val="20"/>
          <w:rtl/>
        </w:rPr>
        <w:t>נדה</w:t>
      </w:r>
      <w:r w:rsidRPr="00DD74E8">
        <w:rPr>
          <w:rFonts w:cs="Arial"/>
          <w:sz w:val="20"/>
          <w:szCs w:val="20"/>
          <w:rtl/>
        </w:rPr>
        <w:t xml:space="preserve"> </w:t>
      </w:r>
      <w:r w:rsidRPr="00DD74E8">
        <w:rPr>
          <w:rFonts w:cs="Arial" w:hint="cs"/>
          <w:sz w:val="20"/>
          <w:szCs w:val="20"/>
          <w:rtl/>
        </w:rPr>
        <w:t>לנדה</w:t>
      </w:r>
      <w:r w:rsidRPr="00DD74E8">
        <w:rPr>
          <w:rFonts w:cs="Arial"/>
          <w:sz w:val="20"/>
          <w:szCs w:val="20"/>
          <w:rtl/>
        </w:rPr>
        <w:t xml:space="preserve"> - </w:t>
      </w:r>
      <w:r w:rsidRPr="00DD74E8">
        <w:rPr>
          <w:rFonts w:cs="Arial" w:hint="cs"/>
          <w:sz w:val="20"/>
          <w:szCs w:val="20"/>
          <w:rtl/>
        </w:rPr>
        <w:t>הלכה</w:t>
      </w:r>
      <w:r w:rsidRPr="00DD74E8">
        <w:rPr>
          <w:rFonts w:cs="Arial"/>
          <w:sz w:val="20"/>
          <w:szCs w:val="20"/>
          <w:rtl/>
        </w:rPr>
        <w:t xml:space="preserve"> </w:t>
      </w:r>
      <w:r w:rsidRPr="00DD74E8">
        <w:rPr>
          <w:rFonts w:cs="Arial" w:hint="cs"/>
          <w:sz w:val="20"/>
          <w:szCs w:val="20"/>
          <w:rtl/>
        </w:rPr>
        <w:t>למשה</w:t>
      </w:r>
      <w:r w:rsidRPr="00DD74E8">
        <w:rPr>
          <w:rFonts w:cs="Arial"/>
          <w:sz w:val="20"/>
          <w:szCs w:val="20"/>
          <w:rtl/>
        </w:rPr>
        <w:t xml:space="preserve"> </w:t>
      </w:r>
      <w:r w:rsidRPr="00DD74E8">
        <w:rPr>
          <w:rFonts w:cs="Arial" w:hint="cs"/>
          <w:sz w:val="20"/>
          <w:szCs w:val="20"/>
          <w:rtl/>
        </w:rPr>
        <w:t>מסיני</w:t>
      </w:r>
      <w:r>
        <w:rPr>
          <w:rFonts w:cs="Arial" w:hint="cs"/>
          <w:sz w:val="20"/>
          <w:szCs w:val="20"/>
          <w:rtl/>
        </w:rPr>
        <w:t>".</w:t>
      </w:r>
      <w:r>
        <w:rPr>
          <w:rFonts w:hint="cs"/>
          <w:sz w:val="20"/>
          <w:szCs w:val="20"/>
          <w:rtl/>
        </w:rPr>
        <w:br/>
      </w:r>
      <w:r w:rsidRPr="00722A8B">
        <w:rPr>
          <w:rFonts w:hint="cs"/>
          <w:b/>
          <w:bCs/>
          <w:sz w:val="20"/>
          <w:szCs w:val="20"/>
          <w:rtl/>
        </w:rPr>
        <w:t xml:space="preserve">טור </w:t>
      </w:r>
      <w:r>
        <w:rPr>
          <w:sz w:val="20"/>
          <w:szCs w:val="20"/>
          <w:rtl/>
        </w:rPr>
        <w:t>–</w:t>
      </w:r>
      <w:r>
        <w:rPr>
          <w:rFonts w:hint="cs"/>
          <w:sz w:val="20"/>
          <w:szCs w:val="20"/>
          <w:rtl/>
        </w:rPr>
        <w:t xml:space="preserve"> </w:t>
      </w:r>
      <w:r>
        <w:rPr>
          <w:rFonts w:cs="Arial" w:hint="cs"/>
          <w:sz w:val="20"/>
          <w:szCs w:val="20"/>
          <w:rtl/>
        </w:rPr>
        <w:t>"</w:t>
      </w:r>
      <w:r w:rsidRPr="00D21612">
        <w:rPr>
          <w:rFonts w:cs="Arial" w:hint="cs"/>
          <w:sz w:val="20"/>
          <w:szCs w:val="20"/>
          <w:rtl/>
        </w:rPr>
        <w:t>ומיום</w:t>
      </w:r>
      <w:r w:rsidRPr="00D21612">
        <w:rPr>
          <w:rFonts w:cs="Arial"/>
          <w:sz w:val="20"/>
          <w:szCs w:val="20"/>
          <w:rtl/>
        </w:rPr>
        <w:t xml:space="preserve"> </w:t>
      </w:r>
      <w:r>
        <w:rPr>
          <w:rFonts w:cs="Arial" w:hint="cs"/>
          <w:sz w:val="20"/>
          <w:szCs w:val="20"/>
          <w:rtl/>
        </w:rPr>
        <w:t>שמיני</w:t>
      </w:r>
      <w:r w:rsidRPr="00D21612">
        <w:rPr>
          <w:rFonts w:cs="Arial"/>
          <w:sz w:val="20"/>
          <w:szCs w:val="20"/>
          <w:rtl/>
        </w:rPr>
        <w:t xml:space="preserve"> </w:t>
      </w:r>
      <w:r w:rsidRPr="00D21612">
        <w:rPr>
          <w:rFonts w:cs="Arial" w:hint="cs"/>
          <w:sz w:val="20"/>
          <w:szCs w:val="20"/>
          <w:rtl/>
        </w:rPr>
        <w:t>ואילך</w:t>
      </w:r>
      <w:r w:rsidRPr="00D21612">
        <w:rPr>
          <w:rFonts w:cs="Arial"/>
          <w:sz w:val="20"/>
          <w:szCs w:val="20"/>
          <w:rtl/>
        </w:rPr>
        <w:t xml:space="preserve"> </w:t>
      </w:r>
      <w:r w:rsidRPr="00D21612">
        <w:rPr>
          <w:rFonts w:cs="Arial" w:hint="cs"/>
          <w:sz w:val="20"/>
          <w:szCs w:val="20"/>
          <w:rtl/>
        </w:rPr>
        <w:t>עד</w:t>
      </w:r>
      <w:r w:rsidRPr="00D21612">
        <w:rPr>
          <w:rFonts w:cs="Arial"/>
          <w:sz w:val="20"/>
          <w:szCs w:val="20"/>
          <w:rtl/>
        </w:rPr>
        <w:t xml:space="preserve"> </w:t>
      </w:r>
      <w:r w:rsidRPr="00D21612">
        <w:rPr>
          <w:rFonts w:cs="Arial" w:hint="cs"/>
          <w:sz w:val="20"/>
          <w:szCs w:val="20"/>
          <w:rtl/>
        </w:rPr>
        <w:t>י</w:t>
      </w:r>
      <w:r w:rsidRPr="00D21612">
        <w:rPr>
          <w:rFonts w:cs="Arial"/>
          <w:sz w:val="20"/>
          <w:szCs w:val="20"/>
          <w:rtl/>
        </w:rPr>
        <w:t>"</w:t>
      </w:r>
      <w:r w:rsidRPr="00D21612">
        <w:rPr>
          <w:rFonts w:cs="Arial" w:hint="cs"/>
          <w:sz w:val="20"/>
          <w:szCs w:val="20"/>
          <w:rtl/>
        </w:rPr>
        <w:t>א</w:t>
      </w:r>
      <w:r w:rsidRPr="00D21612">
        <w:rPr>
          <w:rFonts w:cs="Arial"/>
          <w:sz w:val="20"/>
          <w:szCs w:val="20"/>
          <w:rtl/>
        </w:rPr>
        <w:t xml:space="preserve"> </w:t>
      </w:r>
      <w:r w:rsidRPr="00D21612">
        <w:rPr>
          <w:rFonts w:cs="Arial" w:hint="cs"/>
          <w:sz w:val="20"/>
          <w:szCs w:val="20"/>
          <w:rtl/>
        </w:rPr>
        <w:t>יום</w:t>
      </w:r>
      <w:r w:rsidRPr="00D21612">
        <w:rPr>
          <w:rFonts w:cs="Arial"/>
          <w:sz w:val="20"/>
          <w:szCs w:val="20"/>
          <w:rtl/>
        </w:rPr>
        <w:t xml:space="preserve"> </w:t>
      </w:r>
      <w:r w:rsidRPr="00D21612">
        <w:rPr>
          <w:rFonts w:cs="Arial" w:hint="cs"/>
          <w:sz w:val="20"/>
          <w:szCs w:val="20"/>
          <w:rtl/>
        </w:rPr>
        <w:t>נקראים</w:t>
      </w:r>
      <w:r w:rsidRPr="00D21612">
        <w:rPr>
          <w:rFonts w:cs="Arial"/>
          <w:sz w:val="20"/>
          <w:szCs w:val="20"/>
          <w:rtl/>
        </w:rPr>
        <w:t xml:space="preserve"> </w:t>
      </w:r>
      <w:r w:rsidRPr="00D21612">
        <w:rPr>
          <w:rFonts w:cs="Arial" w:hint="cs"/>
          <w:sz w:val="20"/>
          <w:szCs w:val="20"/>
          <w:rtl/>
        </w:rPr>
        <w:t>ימי</w:t>
      </w:r>
      <w:r w:rsidRPr="00D21612">
        <w:rPr>
          <w:rFonts w:cs="Arial"/>
          <w:sz w:val="20"/>
          <w:szCs w:val="20"/>
          <w:rtl/>
        </w:rPr>
        <w:t xml:space="preserve"> </w:t>
      </w:r>
      <w:r w:rsidRPr="00D21612">
        <w:rPr>
          <w:rFonts w:cs="Arial" w:hint="cs"/>
          <w:sz w:val="20"/>
          <w:szCs w:val="20"/>
          <w:rtl/>
        </w:rPr>
        <w:t>זיבה</w:t>
      </w:r>
      <w:r>
        <w:rPr>
          <w:rFonts w:cs="Arial" w:hint="cs"/>
          <w:sz w:val="20"/>
          <w:szCs w:val="20"/>
          <w:rtl/>
        </w:rPr>
        <w:t>,</w:t>
      </w:r>
      <w:r w:rsidRPr="00D21612">
        <w:rPr>
          <w:rFonts w:cs="Arial"/>
          <w:sz w:val="20"/>
          <w:szCs w:val="20"/>
          <w:rtl/>
        </w:rPr>
        <w:t xml:space="preserve"> </w:t>
      </w:r>
      <w:r w:rsidRPr="00D21612">
        <w:rPr>
          <w:rFonts w:cs="Arial" w:hint="cs"/>
          <w:sz w:val="20"/>
          <w:szCs w:val="20"/>
          <w:rtl/>
        </w:rPr>
        <w:t>והן</w:t>
      </w:r>
      <w:r w:rsidRPr="00D21612">
        <w:rPr>
          <w:rFonts w:cs="Arial"/>
          <w:sz w:val="20"/>
          <w:szCs w:val="20"/>
          <w:rtl/>
        </w:rPr>
        <w:t xml:space="preserve"> </w:t>
      </w:r>
      <w:r w:rsidRPr="00D21612">
        <w:rPr>
          <w:rFonts w:cs="Arial" w:hint="cs"/>
          <w:sz w:val="20"/>
          <w:szCs w:val="20"/>
          <w:rtl/>
        </w:rPr>
        <w:t>שהחכמים</w:t>
      </w:r>
      <w:r w:rsidRPr="00D21612">
        <w:rPr>
          <w:rFonts w:cs="Arial"/>
          <w:sz w:val="20"/>
          <w:szCs w:val="20"/>
          <w:rtl/>
        </w:rPr>
        <w:t xml:space="preserve"> </w:t>
      </w:r>
      <w:r w:rsidRPr="00D21612">
        <w:rPr>
          <w:rFonts w:cs="Arial" w:hint="cs"/>
          <w:sz w:val="20"/>
          <w:szCs w:val="20"/>
          <w:rtl/>
        </w:rPr>
        <w:t>קוראי</w:t>
      </w:r>
      <w:r>
        <w:rPr>
          <w:rFonts w:cs="Arial" w:hint="cs"/>
          <w:sz w:val="20"/>
          <w:szCs w:val="20"/>
          <w:rtl/>
        </w:rPr>
        <w:t>ם</w:t>
      </w:r>
      <w:r w:rsidRPr="00D21612">
        <w:rPr>
          <w:rFonts w:cs="Arial"/>
          <w:sz w:val="20"/>
          <w:szCs w:val="20"/>
          <w:rtl/>
        </w:rPr>
        <w:t xml:space="preserve"> </w:t>
      </w:r>
      <w:r w:rsidRPr="00D21612">
        <w:rPr>
          <w:rFonts w:cs="Arial" w:hint="cs"/>
          <w:sz w:val="20"/>
          <w:szCs w:val="20"/>
          <w:rtl/>
        </w:rPr>
        <w:t>להם</w:t>
      </w:r>
      <w:r w:rsidRPr="00D21612">
        <w:rPr>
          <w:rFonts w:cs="Arial"/>
          <w:sz w:val="20"/>
          <w:szCs w:val="20"/>
          <w:rtl/>
        </w:rPr>
        <w:t xml:space="preserve"> </w:t>
      </w:r>
      <w:r w:rsidRPr="00D21612">
        <w:rPr>
          <w:rFonts w:cs="Arial" w:hint="cs"/>
          <w:sz w:val="20"/>
          <w:szCs w:val="20"/>
          <w:rtl/>
        </w:rPr>
        <w:t>י</w:t>
      </w:r>
      <w:r w:rsidRPr="00D21612">
        <w:rPr>
          <w:rFonts w:cs="Arial"/>
          <w:sz w:val="20"/>
          <w:szCs w:val="20"/>
          <w:rtl/>
        </w:rPr>
        <w:t>"</w:t>
      </w:r>
      <w:r w:rsidRPr="00D21612">
        <w:rPr>
          <w:rFonts w:cs="Arial" w:hint="cs"/>
          <w:sz w:val="20"/>
          <w:szCs w:val="20"/>
          <w:rtl/>
        </w:rPr>
        <w:t>א</w:t>
      </w:r>
      <w:r w:rsidRPr="00D21612">
        <w:rPr>
          <w:rFonts w:cs="Arial"/>
          <w:sz w:val="20"/>
          <w:szCs w:val="20"/>
          <w:rtl/>
        </w:rPr>
        <w:t xml:space="preserve"> </w:t>
      </w:r>
      <w:r w:rsidRPr="00D21612">
        <w:rPr>
          <w:rFonts w:cs="Arial" w:hint="cs"/>
          <w:sz w:val="20"/>
          <w:szCs w:val="20"/>
          <w:rtl/>
        </w:rPr>
        <w:t>יום</w:t>
      </w:r>
      <w:r w:rsidRPr="00D21612">
        <w:rPr>
          <w:rFonts w:cs="Arial"/>
          <w:sz w:val="20"/>
          <w:szCs w:val="20"/>
          <w:rtl/>
        </w:rPr>
        <w:t xml:space="preserve"> </w:t>
      </w:r>
      <w:r w:rsidRPr="00D21612">
        <w:rPr>
          <w:rFonts w:cs="Arial" w:hint="cs"/>
          <w:sz w:val="20"/>
          <w:szCs w:val="20"/>
          <w:rtl/>
        </w:rPr>
        <w:t>שבין</w:t>
      </w:r>
      <w:r w:rsidRPr="00D21612">
        <w:rPr>
          <w:rFonts w:cs="Arial"/>
          <w:sz w:val="20"/>
          <w:szCs w:val="20"/>
          <w:rtl/>
        </w:rPr>
        <w:t xml:space="preserve"> </w:t>
      </w:r>
      <w:r w:rsidRPr="00D21612">
        <w:rPr>
          <w:rFonts w:cs="Arial" w:hint="cs"/>
          <w:sz w:val="20"/>
          <w:szCs w:val="20"/>
          <w:rtl/>
        </w:rPr>
        <w:t>נדה</w:t>
      </w:r>
      <w:r w:rsidRPr="00D21612">
        <w:rPr>
          <w:rFonts w:cs="Arial"/>
          <w:sz w:val="20"/>
          <w:szCs w:val="20"/>
          <w:rtl/>
        </w:rPr>
        <w:t xml:space="preserve"> </w:t>
      </w:r>
      <w:r w:rsidRPr="00D21612">
        <w:rPr>
          <w:rFonts w:cs="Arial" w:hint="cs"/>
          <w:sz w:val="20"/>
          <w:szCs w:val="20"/>
          <w:rtl/>
        </w:rPr>
        <w:t>לנדה</w:t>
      </w:r>
      <w:r>
        <w:rPr>
          <w:rFonts w:cs="Arial" w:hint="cs"/>
          <w:sz w:val="20"/>
          <w:szCs w:val="20"/>
          <w:rtl/>
        </w:rPr>
        <w:t>.</w:t>
      </w:r>
      <w:r w:rsidRPr="00D21612">
        <w:rPr>
          <w:rFonts w:cs="Arial"/>
          <w:sz w:val="20"/>
          <w:szCs w:val="20"/>
          <w:rtl/>
        </w:rPr>
        <w:t xml:space="preserve"> </w:t>
      </w:r>
      <w:r w:rsidRPr="00D21612">
        <w:rPr>
          <w:rFonts w:cs="Arial" w:hint="cs"/>
          <w:sz w:val="20"/>
          <w:szCs w:val="20"/>
          <w:rtl/>
        </w:rPr>
        <w:t>ומשפטה</w:t>
      </w:r>
      <w:r w:rsidRPr="00D21612">
        <w:rPr>
          <w:rFonts w:cs="Arial"/>
          <w:sz w:val="20"/>
          <w:szCs w:val="20"/>
          <w:rtl/>
        </w:rPr>
        <w:t xml:space="preserve"> </w:t>
      </w:r>
      <w:r w:rsidRPr="00D21612">
        <w:rPr>
          <w:rFonts w:cs="Arial" w:hint="cs"/>
          <w:sz w:val="20"/>
          <w:szCs w:val="20"/>
          <w:rtl/>
        </w:rPr>
        <w:t>בהן</w:t>
      </w:r>
      <w:r>
        <w:rPr>
          <w:rFonts w:cs="Arial" w:hint="cs"/>
          <w:sz w:val="20"/>
          <w:szCs w:val="20"/>
          <w:rtl/>
        </w:rPr>
        <w:t>:</w:t>
      </w:r>
      <w:r w:rsidRPr="00D21612">
        <w:rPr>
          <w:rFonts w:cs="Arial"/>
          <w:sz w:val="20"/>
          <w:szCs w:val="20"/>
          <w:rtl/>
        </w:rPr>
        <w:t xml:space="preserve"> </w:t>
      </w:r>
      <w:r w:rsidRPr="00D21612">
        <w:rPr>
          <w:rFonts w:cs="Arial" w:hint="cs"/>
          <w:sz w:val="20"/>
          <w:szCs w:val="20"/>
          <w:rtl/>
        </w:rPr>
        <w:t>אם</w:t>
      </w:r>
      <w:r w:rsidRPr="00D21612">
        <w:rPr>
          <w:rFonts w:cs="Arial"/>
          <w:sz w:val="20"/>
          <w:szCs w:val="20"/>
          <w:rtl/>
        </w:rPr>
        <w:t xml:space="preserve"> </w:t>
      </w:r>
      <w:r w:rsidRPr="00D21612">
        <w:rPr>
          <w:rFonts w:cs="Arial" w:hint="cs"/>
          <w:sz w:val="20"/>
          <w:szCs w:val="20"/>
          <w:rtl/>
        </w:rPr>
        <w:t>ראתה</w:t>
      </w:r>
      <w:r w:rsidRPr="00D21612">
        <w:rPr>
          <w:rFonts w:cs="Arial"/>
          <w:sz w:val="20"/>
          <w:szCs w:val="20"/>
          <w:rtl/>
        </w:rPr>
        <w:t xml:space="preserve"> </w:t>
      </w:r>
      <w:r w:rsidRPr="00D21612">
        <w:rPr>
          <w:rFonts w:cs="Arial" w:hint="cs"/>
          <w:sz w:val="20"/>
          <w:szCs w:val="20"/>
          <w:rtl/>
        </w:rPr>
        <w:t>בהן</w:t>
      </w:r>
      <w:r w:rsidRPr="00D21612">
        <w:rPr>
          <w:rFonts w:cs="Arial"/>
          <w:sz w:val="20"/>
          <w:szCs w:val="20"/>
          <w:rtl/>
        </w:rPr>
        <w:t xml:space="preserve"> </w:t>
      </w:r>
      <w:r w:rsidRPr="00D21612">
        <w:rPr>
          <w:rFonts w:cs="Arial" w:hint="cs"/>
          <w:sz w:val="20"/>
          <w:szCs w:val="20"/>
          <w:rtl/>
        </w:rPr>
        <w:t>יום</w:t>
      </w:r>
      <w:r w:rsidRPr="00D21612">
        <w:rPr>
          <w:rFonts w:cs="Arial"/>
          <w:sz w:val="20"/>
          <w:szCs w:val="20"/>
          <w:rtl/>
        </w:rPr>
        <w:t xml:space="preserve"> </w:t>
      </w:r>
      <w:r w:rsidRPr="00D21612">
        <w:rPr>
          <w:rFonts w:cs="Arial" w:hint="cs"/>
          <w:sz w:val="20"/>
          <w:szCs w:val="20"/>
          <w:rtl/>
        </w:rPr>
        <w:t>אחד</w:t>
      </w:r>
      <w:r w:rsidRPr="00D21612">
        <w:rPr>
          <w:rFonts w:cs="Arial"/>
          <w:sz w:val="20"/>
          <w:szCs w:val="20"/>
          <w:rtl/>
        </w:rPr>
        <w:t xml:space="preserve"> </w:t>
      </w:r>
      <w:r w:rsidRPr="00D21612">
        <w:rPr>
          <w:rFonts w:cs="Arial" w:hint="cs"/>
          <w:sz w:val="20"/>
          <w:szCs w:val="20"/>
          <w:rtl/>
        </w:rPr>
        <w:t>לבד</w:t>
      </w:r>
      <w:r>
        <w:rPr>
          <w:rFonts w:cs="Arial" w:hint="cs"/>
          <w:sz w:val="20"/>
          <w:szCs w:val="20"/>
          <w:rtl/>
        </w:rPr>
        <w:t>,</w:t>
      </w:r>
      <w:r w:rsidRPr="00D21612">
        <w:rPr>
          <w:rFonts w:cs="Arial"/>
          <w:sz w:val="20"/>
          <w:szCs w:val="20"/>
          <w:rtl/>
        </w:rPr>
        <w:t xml:space="preserve"> </w:t>
      </w:r>
      <w:r w:rsidRPr="00D21612">
        <w:rPr>
          <w:rFonts w:cs="Arial" w:hint="cs"/>
          <w:sz w:val="20"/>
          <w:szCs w:val="20"/>
          <w:rtl/>
        </w:rPr>
        <w:t>בין</w:t>
      </w:r>
      <w:r w:rsidRPr="00D21612">
        <w:rPr>
          <w:rFonts w:cs="Arial"/>
          <w:sz w:val="20"/>
          <w:szCs w:val="20"/>
          <w:rtl/>
        </w:rPr>
        <w:t xml:space="preserve"> </w:t>
      </w:r>
      <w:r w:rsidRPr="00D21612">
        <w:rPr>
          <w:rFonts w:cs="Arial" w:hint="cs"/>
          <w:sz w:val="20"/>
          <w:szCs w:val="20"/>
          <w:rtl/>
        </w:rPr>
        <w:t>שתראה</w:t>
      </w:r>
      <w:r w:rsidRPr="00D21612">
        <w:rPr>
          <w:rFonts w:cs="Arial"/>
          <w:sz w:val="20"/>
          <w:szCs w:val="20"/>
          <w:rtl/>
        </w:rPr>
        <w:t xml:space="preserve"> </w:t>
      </w:r>
      <w:r w:rsidRPr="00D21612">
        <w:rPr>
          <w:rFonts w:cs="Arial" w:hint="cs"/>
          <w:sz w:val="20"/>
          <w:szCs w:val="20"/>
          <w:rtl/>
        </w:rPr>
        <w:t>בתח</w:t>
      </w:r>
      <w:r>
        <w:rPr>
          <w:rFonts w:cs="Arial" w:hint="cs"/>
          <w:sz w:val="20"/>
          <w:szCs w:val="20"/>
          <w:rtl/>
        </w:rPr>
        <w:t>י</w:t>
      </w:r>
      <w:r w:rsidRPr="00D21612">
        <w:rPr>
          <w:rFonts w:cs="Arial" w:hint="cs"/>
          <w:sz w:val="20"/>
          <w:szCs w:val="20"/>
          <w:rtl/>
        </w:rPr>
        <w:t>לת</w:t>
      </w:r>
      <w:r w:rsidRPr="00D21612">
        <w:rPr>
          <w:rFonts w:cs="Arial"/>
          <w:sz w:val="20"/>
          <w:szCs w:val="20"/>
          <w:rtl/>
        </w:rPr>
        <w:t xml:space="preserve"> </w:t>
      </w:r>
      <w:r w:rsidRPr="00D21612">
        <w:rPr>
          <w:rFonts w:cs="Arial" w:hint="cs"/>
          <w:sz w:val="20"/>
          <w:szCs w:val="20"/>
          <w:rtl/>
        </w:rPr>
        <w:t>הלילה</w:t>
      </w:r>
      <w:r w:rsidRPr="00D21612">
        <w:rPr>
          <w:rFonts w:cs="Arial"/>
          <w:sz w:val="20"/>
          <w:szCs w:val="20"/>
          <w:rtl/>
        </w:rPr>
        <w:t xml:space="preserve"> </w:t>
      </w:r>
      <w:r w:rsidRPr="00D21612">
        <w:rPr>
          <w:rFonts w:cs="Arial" w:hint="cs"/>
          <w:sz w:val="20"/>
          <w:szCs w:val="20"/>
          <w:rtl/>
        </w:rPr>
        <w:t>או</w:t>
      </w:r>
      <w:r w:rsidRPr="00D21612">
        <w:rPr>
          <w:rFonts w:cs="Arial"/>
          <w:sz w:val="20"/>
          <w:szCs w:val="20"/>
          <w:rtl/>
        </w:rPr>
        <w:t xml:space="preserve"> </w:t>
      </w:r>
      <w:r w:rsidRPr="00D21612">
        <w:rPr>
          <w:rFonts w:cs="Arial" w:hint="cs"/>
          <w:sz w:val="20"/>
          <w:szCs w:val="20"/>
          <w:rtl/>
        </w:rPr>
        <w:t>בסוף</w:t>
      </w:r>
      <w:r w:rsidRPr="00D21612">
        <w:rPr>
          <w:rFonts w:cs="Arial"/>
          <w:sz w:val="20"/>
          <w:szCs w:val="20"/>
          <w:rtl/>
        </w:rPr>
        <w:t xml:space="preserve"> </w:t>
      </w:r>
      <w:r w:rsidRPr="00D21612">
        <w:rPr>
          <w:rFonts w:cs="Arial" w:hint="cs"/>
          <w:sz w:val="20"/>
          <w:szCs w:val="20"/>
          <w:rtl/>
        </w:rPr>
        <w:t>היום</w:t>
      </w:r>
      <w:r>
        <w:rPr>
          <w:rFonts w:cs="Arial" w:hint="cs"/>
          <w:sz w:val="20"/>
          <w:szCs w:val="20"/>
          <w:rtl/>
        </w:rPr>
        <w:t>,</w:t>
      </w:r>
      <w:r w:rsidRPr="00D21612">
        <w:rPr>
          <w:rFonts w:cs="Arial"/>
          <w:sz w:val="20"/>
          <w:szCs w:val="20"/>
          <w:rtl/>
        </w:rPr>
        <w:t xml:space="preserve"> </w:t>
      </w:r>
      <w:r w:rsidRPr="00D21612">
        <w:rPr>
          <w:rFonts w:cs="Arial" w:hint="cs"/>
          <w:sz w:val="20"/>
          <w:szCs w:val="20"/>
          <w:rtl/>
        </w:rPr>
        <w:t>רק</w:t>
      </w:r>
      <w:r w:rsidRPr="00D21612">
        <w:rPr>
          <w:rFonts w:cs="Arial"/>
          <w:sz w:val="20"/>
          <w:szCs w:val="20"/>
          <w:rtl/>
        </w:rPr>
        <w:t xml:space="preserve"> </w:t>
      </w:r>
      <w:r w:rsidRPr="00D21612">
        <w:rPr>
          <w:rFonts w:cs="Arial" w:hint="cs"/>
          <w:sz w:val="20"/>
          <w:szCs w:val="20"/>
          <w:rtl/>
        </w:rPr>
        <w:t>שתפסוק</w:t>
      </w:r>
      <w:r w:rsidRPr="00D21612">
        <w:rPr>
          <w:rFonts w:cs="Arial"/>
          <w:sz w:val="20"/>
          <w:szCs w:val="20"/>
          <w:rtl/>
        </w:rPr>
        <w:t xml:space="preserve"> </w:t>
      </w:r>
      <w:r w:rsidRPr="00D21612">
        <w:rPr>
          <w:rFonts w:cs="Arial" w:hint="cs"/>
          <w:sz w:val="20"/>
          <w:szCs w:val="20"/>
          <w:rtl/>
        </w:rPr>
        <w:t>בטהרה</w:t>
      </w:r>
      <w:r>
        <w:rPr>
          <w:rFonts w:cs="Arial" w:hint="cs"/>
          <w:sz w:val="20"/>
          <w:szCs w:val="20"/>
          <w:rtl/>
        </w:rPr>
        <w:t>,</w:t>
      </w:r>
      <w:r w:rsidRPr="00D21612">
        <w:rPr>
          <w:rFonts w:cs="Arial"/>
          <w:sz w:val="20"/>
          <w:szCs w:val="20"/>
          <w:rtl/>
        </w:rPr>
        <w:t xml:space="preserve"> </w:t>
      </w:r>
      <w:r w:rsidRPr="00D21612">
        <w:rPr>
          <w:rFonts w:cs="Arial" w:hint="cs"/>
          <w:sz w:val="20"/>
          <w:szCs w:val="20"/>
          <w:rtl/>
        </w:rPr>
        <w:t>משמרת</w:t>
      </w:r>
      <w:r w:rsidRPr="00D21612">
        <w:rPr>
          <w:rFonts w:cs="Arial"/>
          <w:sz w:val="20"/>
          <w:szCs w:val="20"/>
          <w:rtl/>
        </w:rPr>
        <w:t xml:space="preserve"> </w:t>
      </w:r>
      <w:r w:rsidRPr="00D21612">
        <w:rPr>
          <w:rFonts w:cs="Arial" w:hint="cs"/>
          <w:sz w:val="20"/>
          <w:szCs w:val="20"/>
          <w:rtl/>
        </w:rPr>
        <w:t>כל</w:t>
      </w:r>
      <w:r w:rsidRPr="00D21612">
        <w:rPr>
          <w:rFonts w:cs="Arial"/>
          <w:sz w:val="20"/>
          <w:szCs w:val="20"/>
          <w:rtl/>
        </w:rPr>
        <w:t xml:space="preserve"> </w:t>
      </w:r>
      <w:r w:rsidRPr="00D21612">
        <w:rPr>
          <w:rFonts w:cs="Arial" w:hint="cs"/>
          <w:sz w:val="20"/>
          <w:szCs w:val="20"/>
          <w:rtl/>
        </w:rPr>
        <w:t>הלילה</w:t>
      </w:r>
      <w:r w:rsidRPr="00D21612">
        <w:rPr>
          <w:rFonts w:cs="Arial"/>
          <w:sz w:val="20"/>
          <w:szCs w:val="20"/>
          <w:rtl/>
        </w:rPr>
        <w:t xml:space="preserve"> </w:t>
      </w:r>
      <w:r w:rsidRPr="00D21612">
        <w:rPr>
          <w:rFonts w:cs="Arial" w:hint="cs"/>
          <w:sz w:val="20"/>
          <w:szCs w:val="20"/>
          <w:rtl/>
        </w:rPr>
        <w:t>שאח</w:t>
      </w:r>
      <w:r>
        <w:rPr>
          <w:rFonts w:cs="Arial" w:hint="cs"/>
          <w:sz w:val="20"/>
          <w:szCs w:val="20"/>
          <w:rtl/>
        </w:rPr>
        <w:t xml:space="preserve">ר </w:t>
      </w:r>
      <w:r w:rsidRPr="00D21612">
        <w:rPr>
          <w:rFonts w:cs="Arial" w:hint="cs"/>
          <w:sz w:val="20"/>
          <w:szCs w:val="20"/>
          <w:rtl/>
        </w:rPr>
        <w:t>כ</w:t>
      </w:r>
      <w:r>
        <w:rPr>
          <w:rFonts w:cs="Arial" w:hint="cs"/>
          <w:sz w:val="20"/>
          <w:szCs w:val="20"/>
          <w:rtl/>
        </w:rPr>
        <w:t>ך,</w:t>
      </w:r>
      <w:r w:rsidRPr="00D21612">
        <w:rPr>
          <w:rFonts w:cs="Arial"/>
          <w:sz w:val="20"/>
          <w:szCs w:val="20"/>
          <w:rtl/>
        </w:rPr>
        <w:t xml:space="preserve"> </w:t>
      </w:r>
      <w:r w:rsidRPr="00D21612">
        <w:rPr>
          <w:rFonts w:cs="Arial" w:hint="cs"/>
          <w:sz w:val="20"/>
          <w:szCs w:val="20"/>
          <w:rtl/>
        </w:rPr>
        <w:t>אם</w:t>
      </w:r>
      <w:r w:rsidRPr="00D21612">
        <w:rPr>
          <w:rFonts w:cs="Arial"/>
          <w:sz w:val="20"/>
          <w:szCs w:val="20"/>
          <w:rtl/>
        </w:rPr>
        <w:t xml:space="preserve"> </w:t>
      </w:r>
      <w:r w:rsidRPr="00D21612">
        <w:rPr>
          <w:rFonts w:cs="Arial" w:hint="cs"/>
          <w:sz w:val="20"/>
          <w:szCs w:val="20"/>
          <w:rtl/>
        </w:rPr>
        <w:t>לא</w:t>
      </w:r>
      <w:r w:rsidRPr="00D21612">
        <w:rPr>
          <w:rFonts w:cs="Arial"/>
          <w:sz w:val="20"/>
          <w:szCs w:val="20"/>
          <w:rtl/>
        </w:rPr>
        <w:t xml:space="preserve"> </w:t>
      </w:r>
      <w:r w:rsidRPr="00D21612">
        <w:rPr>
          <w:rFonts w:cs="Arial" w:hint="cs"/>
          <w:sz w:val="20"/>
          <w:szCs w:val="20"/>
          <w:rtl/>
        </w:rPr>
        <w:t>תראה</w:t>
      </w:r>
      <w:r w:rsidRPr="00D21612">
        <w:rPr>
          <w:rFonts w:cs="Arial"/>
          <w:sz w:val="20"/>
          <w:szCs w:val="20"/>
          <w:rtl/>
        </w:rPr>
        <w:t xml:space="preserve"> </w:t>
      </w:r>
      <w:r w:rsidRPr="00D21612">
        <w:rPr>
          <w:rFonts w:cs="Arial" w:hint="cs"/>
          <w:sz w:val="20"/>
          <w:szCs w:val="20"/>
          <w:rtl/>
        </w:rPr>
        <w:t>תשכים</w:t>
      </w:r>
      <w:r w:rsidRPr="00D21612">
        <w:rPr>
          <w:rFonts w:cs="Arial"/>
          <w:sz w:val="20"/>
          <w:szCs w:val="20"/>
          <w:rtl/>
        </w:rPr>
        <w:t xml:space="preserve"> </w:t>
      </w:r>
      <w:r w:rsidRPr="00D21612">
        <w:rPr>
          <w:rFonts w:cs="Arial" w:hint="cs"/>
          <w:sz w:val="20"/>
          <w:szCs w:val="20"/>
          <w:rtl/>
        </w:rPr>
        <w:t>למחר</w:t>
      </w:r>
      <w:r w:rsidRPr="00D21612">
        <w:rPr>
          <w:rFonts w:cs="Arial"/>
          <w:sz w:val="20"/>
          <w:szCs w:val="20"/>
          <w:rtl/>
        </w:rPr>
        <w:t xml:space="preserve"> </w:t>
      </w:r>
      <w:r w:rsidRPr="00D21612">
        <w:rPr>
          <w:rFonts w:cs="Arial" w:hint="cs"/>
          <w:sz w:val="20"/>
          <w:szCs w:val="20"/>
          <w:rtl/>
        </w:rPr>
        <w:t>ותטבול</w:t>
      </w:r>
      <w:r w:rsidRPr="00D21612">
        <w:rPr>
          <w:rFonts w:cs="Arial"/>
          <w:sz w:val="20"/>
          <w:szCs w:val="20"/>
          <w:rtl/>
        </w:rPr>
        <w:t xml:space="preserve"> </w:t>
      </w:r>
      <w:r w:rsidRPr="00D21612">
        <w:rPr>
          <w:rFonts w:cs="Arial" w:hint="cs"/>
          <w:sz w:val="20"/>
          <w:szCs w:val="20"/>
          <w:rtl/>
        </w:rPr>
        <w:t>מיד</w:t>
      </w:r>
      <w:r w:rsidRPr="00D21612">
        <w:rPr>
          <w:rFonts w:cs="Arial"/>
          <w:sz w:val="20"/>
          <w:szCs w:val="20"/>
          <w:rtl/>
        </w:rPr>
        <w:t xml:space="preserve"> </w:t>
      </w:r>
      <w:r w:rsidRPr="00D21612">
        <w:rPr>
          <w:rFonts w:cs="Arial" w:hint="cs"/>
          <w:sz w:val="20"/>
          <w:szCs w:val="20"/>
          <w:rtl/>
        </w:rPr>
        <w:t>מאחר</w:t>
      </w:r>
      <w:r w:rsidRPr="00D21612">
        <w:rPr>
          <w:rFonts w:cs="Arial"/>
          <w:sz w:val="20"/>
          <w:szCs w:val="20"/>
          <w:rtl/>
        </w:rPr>
        <w:t xml:space="preserve"> </w:t>
      </w:r>
      <w:r w:rsidRPr="00D21612">
        <w:rPr>
          <w:rFonts w:cs="Arial" w:hint="cs"/>
          <w:sz w:val="20"/>
          <w:szCs w:val="20"/>
          <w:rtl/>
        </w:rPr>
        <w:t>הנץ</w:t>
      </w:r>
      <w:r w:rsidRPr="00D21612">
        <w:rPr>
          <w:rFonts w:cs="Arial"/>
          <w:sz w:val="20"/>
          <w:szCs w:val="20"/>
          <w:rtl/>
        </w:rPr>
        <w:t xml:space="preserve"> </w:t>
      </w:r>
      <w:r w:rsidRPr="00D21612">
        <w:rPr>
          <w:rFonts w:cs="Arial" w:hint="cs"/>
          <w:sz w:val="20"/>
          <w:szCs w:val="20"/>
          <w:rtl/>
        </w:rPr>
        <w:t>החמה</w:t>
      </w:r>
      <w:r w:rsidRPr="00D21612">
        <w:rPr>
          <w:rFonts w:cs="Arial"/>
          <w:sz w:val="20"/>
          <w:szCs w:val="20"/>
          <w:rtl/>
        </w:rPr>
        <w:t xml:space="preserve"> </w:t>
      </w:r>
      <w:r w:rsidRPr="00D21612">
        <w:rPr>
          <w:rFonts w:cs="Arial" w:hint="cs"/>
          <w:sz w:val="20"/>
          <w:szCs w:val="20"/>
          <w:rtl/>
        </w:rPr>
        <w:t>אם</w:t>
      </w:r>
      <w:r w:rsidRPr="00D21612">
        <w:rPr>
          <w:rFonts w:cs="Arial"/>
          <w:sz w:val="20"/>
          <w:szCs w:val="20"/>
          <w:rtl/>
        </w:rPr>
        <w:t xml:space="preserve"> </w:t>
      </w:r>
      <w:r w:rsidRPr="00D21612">
        <w:rPr>
          <w:rFonts w:cs="Arial" w:hint="cs"/>
          <w:sz w:val="20"/>
          <w:szCs w:val="20"/>
          <w:rtl/>
        </w:rPr>
        <w:t>תרצה</w:t>
      </w:r>
      <w:r>
        <w:rPr>
          <w:rFonts w:cs="Arial" w:hint="cs"/>
          <w:sz w:val="20"/>
          <w:szCs w:val="20"/>
          <w:rtl/>
        </w:rPr>
        <w:t>.</w:t>
      </w:r>
      <w:r>
        <w:rPr>
          <w:rFonts w:cs="Arial"/>
          <w:sz w:val="20"/>
          <w:szCs w:val="20"/>
          <w:rtl/>
        </w:rPr>
        <w:br/>
      </w:r>
      <w:r>
        <w:rPr>
          <w:rFonts w:cs="Arial" w:hint="cs"/>
          <w:sz w:val="20"/>
          <w:szCs w:val="20"/>
          <w:rtl/>
        </w:rPr>
        <w:t xml:space="preserve">ומכל </w:t>
      </w:r>
      <w:r w:rsidRPr="00D21612">
        <w:rPr>
          <w:rFonts w:cs="Arial" w:hint="cs"/>
          <w:sz w:val="20"/>
          <w:szCs w:val="20"/>
          <w:rtl/>
        </w:rPr>
        <w:t>מ</w:t>
      </w:r>
      <w:r>
        <w:rPr>
          <w:rFonts w:cs="Arial" w:hint="cs"/>
          <w:sz w:val="20"/>
          <w:szCs w:val="20"/>
          <w:rtl/>
        </w:rPr>
        <w:t>קום,</w:t>
      </w:r>
      <w:r w:rsidRPr="00D21612">
        <w:rPr>
          <w:rFonts w:cs="Arial"/>
          <w:sz w:val="20"/>
          <w:szCs w:val="20"/>
          <w:rtl/>
        </w:rPr>
        <w:t xml:space="preserve"> </w:t>
      </w:r>
      <w:r w:rsidRPr="00D21612">
        <w:rPr>
          <w:rFonts w:cs="Arial" w:hint="cs"/>
          <w:sz w:val="20"/>
          <w:szCs w:val="20"/>
          <w:rtl/>
        </w:rPr>
        <w:t>אסורה</w:t>
      </w:r>
      <w:r w:rsidRPr="00D21612">
        <w:rPr>
          <w:rFonts w:cs="Arial"/>
          <w:sz w:val="20"/>
          <w:szCs w:val="20"/>
          <w:rtl/>
        </w:rPr>
        <w:t xml:space="preserve"> </w:t>
      </w:r>
      <w:r w:rsidRPr="00D21612">
        <w:rPr>
          <w:rFonts w:cs="Arial" w:hint="cs"/>
          <w:sz w:val="20"/>
          <w:szCs w:val="20"/>
          <w:rtl/>
        </w:rPr>
        <w:t>לשמש</w:t>
      </w:r>
      <w:r w:rsidRPr="00D21612">
        <w:rPr>
          <w:rFonts w:cs="Arial"/>
          <w:sz w:val="20"/>
          <w:szCs w:val="20"/>
          <w:rtl/>
        </w:rPr>
        <w:t xml:space="preserve"> </w:t>
      </w:r>
      <w:r w:rsidRPr="00D21612">
        <w:rPr>
          <w:rFonts w:cs="Arial" w:hint="cs"/>
          <w:sz w:val="20"/>
          <w:szCs w:val="20"/>
          <w:rtl/>
        </w:rPr>
        <w:t>כל</w:t>
      </w:r>
      <w:r w:rsidRPr="00D21612">
        <w:rPr>
          <w:rFonts w:cs="Arial"/>
          <w:sz w:val="20"/>
          <w:szCs w:val="20"/>
          <w:rtl/>
        </w:rPr>
        <w:t xml:space="preserve"> </w:t>
      </w:r>
      <w:r w:rsidRPr="00D21612">
        <w:rPr>
          <w:rFonts w:cs="Arial" w:hint="cs"/>
          <w:sz w:val="20"/>
          <w:szCs w:val="20"/>
          <w:rtl/>
        </w:rPr>
        <w:t>היום</w:t>
      </w:r>
      <w:r w:rsidRPr="00D21612">
        <w:rPr>
          <w:rFonts w:cs="Arial"/>
          <w:sz w:val="20"/>
          <w:szCs w:val="20"/>
          <w:rtl/>
        </w:rPr>
        <w:t xml:space="preserve"> </w:t>
      </w:r>
      <w:r w:rsidRPr="00D21612">
        <w:rPr>
          <w:rFonts w:cs="Arial" w:hint="cs"/>
          <w:sz w:val="20"/>
          <w:szCs w:val="20"/>
          <w:rtl/>
        </w:rPr>
        <w:t>שמא</w:t>
      </w:r>
      <w:r w:rsidRPr="00D21612">
        <w:rPr>
          <w:rFonts w:cs="Arial"/>
          <w:sz w:val="20"/>
          <w:szCs w:val="20"/>
          <w:rtl/>
        </w:rPr>
        <w:t xml:space="preserve"> </w:t>
      </w:r>
      <w:r w:rsidRPr="00D21612">
        <w:rPr>
          <w:rFonts w:cs="Arial" w:hint="cs"/>
          <w:sz w:val="20"/>
          <w:szCs w:val="20"/>
          <w:rtl/>
        </w:rPr>
        <w:t>תראה</w:t>
      </w:r>
      <w:r w:rsidRPr="00D21612">
        <w:rPr>
          <w:rFonts w:cs="Arial"/>
          <w:sz w:val="20"/>
          <w:szCs w:val="20"/>
          <w:rtl/>
        </w:rPr>
        <w:t xml:space="preserve"> </w:t>
      </w:r>
      <w:r w:rsidRPr="00D21612">
        <w:rPr>
          <w:rFonts w:cs="Arial" w:hint="cs"/>
          <w:sz w:val="20"/>
          <w:szCs w:val="20"/>
          <w:rtl/>
        </w:rPr>
        <w:t>ותסתור</w:t>
      </w:r>
      <w:r>
        <w:rPr>
          <w:rFonts w:cs="Arial" w:hint="cs"/>
          <w:sz w:val="20"/>
          <w:szCs w:val="20"/>
          <w:rtl/>
        </w:rPr>
        <w:t>,</w:t>
      </w:r>
      <w:r w:rsidRPr="00D21612">
        <w:rPr>
          <w:rFonts w:cs="Arial"/>
          <w:sz w:val="20"/>
          <w:szCs w:val="20"/>
          <w:rtl/>
        </w:rPr>
        <w:t xml:space="preserve"> </w:t>
      </w:r>
      <w:r w:rsidRPr="00D21612">
        <w:rPr>
          <w:rFonts w:cs="Arial" w:hint="cs"/>
          <w:sz w:val="20"/>
          <w:szCs w:val="20"/>
          <w:rtl/>
        </w:rPr>
        <w:t>וזו</w:t>
      </w:r>
      <w:r w:rsidRPr="00D21612">
        <w:rPr>
          <w:rFonts w:cs="Arial"/>
          <w:sz w:val="20"/>
          <w:szCs w:val="20"/>
          <w:rtl/>
        </w:rPr>
        <w:t xml:space="preserve"> </w:t>
      </w:r>
      <w:r w:rsidRPr="00D21612">
        <w:rPr>
          <w:rFonts w:cs="Arial" w:hint="cs"/>
          <w:sz w:val="20"/>
          <w:szCs w:val="20"/>
          <w:rtl/>
        </w:rPr>
        <w:t>היא</w:t>
      </w:r>
      <w:r w:rsidRPr="00D21612">
        <w:rPr>
          <w:rFonts w:cs="Arial"/>
          <w:sz w:val="20"/>
          <w:szCs w:val="20"/>
          <w:rtl/>
        </w:rPr>
        <w:t xml:space="preserve"> </w:t>
      </w:r>
      <w:r w:rsidRPr="00D21612">
        <w:rPr>
          <w:rFonts w:cs="Arial" w:hint="cs"/>
          <w:sz w:val="20"/>
          <w:szCs w:val="20"/>
          <w:rtl/>
        </w:rPr>
        <w:t>שנקראת</w:t>
      </w:r>
      <w:r w:rsidRPr="00D21612">
        <w:rPr>
          <w:rFonts w:cs="Arial"/>
          <w:sz w:val="20"/>
          <w:szCs w:val="20"/>
          <w:rtl/>
        </w:rPr>
        <w:t xml:space="preserve"> </w:t>
      </w:r>
      <w:r w:rsidRPr="00D21612">
        <w:rPr>
          <w:rFonts w:cs="Arial" w:hint="cs"/>
          <w:sz w:val="20"/>
          <w:szCs w:val="20"/>
          <w:rtl/>
        </w:rPr>
        <w:t>שומרת</w:t>
      </w:r>
      <w:r w:rsidRPr="00D21612">
        <w:rPr>
          <w:rFonts w:cs="Arial"/>
          <w:sz w:val="20"/>
          <w:szCs w:val="20"/>
          <w:rtl/>
        </w:rPr>
        <w:t xml:space="preserve"> </w:t>
      </w:r>
      <w:r w:rsidRPr="00D21612">
        <w:rPr>
          <w:rFonts w:cs="Arial" w:hint="cs"/>
          <w:sz w:val="20"/>
          <w:szCs w:val="20"/>
          <w:rtl/>
        </w:rPr>
        <w:t>יום</w:t>
      </w:r>
      <w:r w:rsidRPr="00D21612">
        <w:rPr>
          <w:rFonts w:cs="Arial"/>
          <w:sz w:val="20"/>
          <w:szCs w:val="20"/>
          <w:rtl/>
        </w:rPr>
        <w:t xml:space="preserve"> </w:t>
      </w:r>
      <w:r w:rsidRPr="00D21612">
        <w:rPr>
          <w:rFonts w:cs="Arial" w:hint="cs"/>
          <w:sz w:val="20"/>
          <w:szCs w:val="20"/>
          <w:rtl/>
        </w:rPr>
        <w:t>כנגד</w:t>
      </w:r>
      <w:r w:rsidRPr="00D21612">
        <w:rPr>
          <w:rFonts w:cs="Arial"/>
          <w:sz w:val="20"/>
          <w:szCs w:val="20"/>
          <w:rtl/>
        </w:rPr>
        <w:t xml:space="preserve"> </w:t>
      </w:r>
      <w:r w:rsidRPr="00D21612">
        <w:rPr>
          <w:rFonts w:cs="Arial" w:hint="cs"/>
          <w:sz w:val="20"/>
          <w:szCs w:val="20"/>
          <w:rtl/>
        </w:rPr>
        <w:t>יום</w:t>
      </w:r>
      <w:r>
        <w:rPr>
          <w:rFonts w:cs="Arial" w:hint="cs"/>
          <w:sz w:val="20"/>
          <w:szCs w:val="20"/>
          <w:rtl/>
        </w:rPr>
        <w:t>.</w:t>
      </w:r>
      <w:r>
        <w:rPr>
          <w:rFonts w:cs="Arial"/>
          <w:sz w:val="20"/>
          <w:szCs w:val="20"/>
          <w:rtl/>
        </w:rPr>
        <w:br/>
      </w:r>
      <w:r w:rsidRPr="00D21612">
        <w:rPr>
          <w:rFonts w:cs="Arial" w:hint="cs"/>
          <w:sz w:val="20"/>
          <w:szCs w:val="20"/>
          <w:rtl/>
        </w:rPr>
        <w:t>ראתה</w:t>
      </w:r>
      <w:r w:rsidRPr="00D21612">
        <w:rPr>
          <w:rFonts w:cs="Arial"/>
          <w:sz w:val="20"/>
          <w:szCs w:val="20"/>
          <w:rtl/>
        </w:rPr>
        <w:t xml:space="preserve"> </w:t>
      </w:r>
      <w:r w:rsidRPr="00D21612">
        <w:rPr>
          <w:rFonts w:cs="Arial" w:hint="cs"/>
          <w:sz w:val="20"/>
          <w:szCs w:val="20"/>
          <w:rtl/>
        </w:rPr>
        <w:t>גם</w:t>
      </w:r>
      <w:r w:rsidRPr="00D21612">
        <w:rPr>
          <w:rFonts w:cs="Arial"/>
          <w:sz w:val="20"/>
          <w:szCs w:val="20"/>
          <w:rtl/>
        </w:rPr>
        <w:t xml:space="preserve"> </w:t>
      </w:r>
      <w:r w:rsidRPr="00D21612">
        <w:rPr>
          <w:rFonts w:cs="Arial" w:hint="cs"/>
          <w:sz w:val="20"/>
          <w:szCs w:val="20"/>
          <w:rtl/>
        </w:rPr>
        <w:t>ביום</w:t>
      </w:r>
      <w:r w:rsidRPr="00D21612">
        <w:rPr>
          <w:rFonts w:cs="Arial"/>
          <w:sz w:val="20"/>
          <w:szCs w:val="20"/>
          <w:rtl/>
        </w:rPr>
        <w:t xml:space="preserve"> </w:t>
      </w:r>
      <w:r w:rsidRPr="00D21612">
        <w:rPr>
          <w:rFonts w:cs="Arial" w:hint="cs"/>
          <w:sz w:val="20"/>
          <w:szCs w:val="20"/>
          <w:rtl/>
        </w:rPr>
        <w:t>השני</w:t>
      </w:r>
      <w:r w:rsidRPr="00D21612">
        <w:rPr>
          <w:rFonts w:cs="Arial"/>
          <w:sz w:val="20"/>
          <w:szCs w:val="20"/>
          <w:rtl/>
        </w:rPr>
        <w:t xml:space="preserve"> </w:t>
      </w:r>
      <w:r w:rsidRPr="00D21612">
        <w:rPr>
          <w:rFonts w:cs="Arial" w:hint="cs"/>
          <w:sz w:val="20"/>
          <w:szCs w:val="20"/>
          <w:rtl/>
        </w:rPr>
        <w:t>ופסקה</w:t>
      </w:r>
      <w:r w:rsidRPr="00D21612">
        <w:rPr>
          <w:rFonts w:cs="Arial"/>
          <w:sz w:val="20"/>
          <w:szCs w:val="20"/>
          <w:rtl/>
        </w:rPr>
        <w:t xml:space="preserve"> </w:t>
      </w:r>
      <w:r w:rsidRPr="00D21612">
        <w:rPr>
          <w:rFonts w:cs="Arial" w:hint="cs"/>
          <w:sz w:val="20"/>
          <w:szCs w:val="20"/>
          <w:rtl/>
        </w:rPr>
        <w:t>בו</w:t>
      </w:r>
      <w:r w:rsidRPr="00D21612">
        <w:rPr>
          <w:rFonts w:cs="Arial"/>
          <w:sz w:val="20"/>
          <w:szCs w:val="20"/>
          <w:rtl/>
        </w:rPr>
        <w:t xml:space="preserve"> </w:t>
      </w:r>
      <w:r>
        <w:rPr>
          <w:rFonts w:cs="Arial" w:hint="cs"/>
          <w:sz w:val="20"/>
          <w:szCs w:val="20"/>
          <w:rtl/>
        </w:rPr>
        <w:t xml:space="preserve">- </w:t>
      </w:r>
      <w:r w:rsidRPr="00D21612">
        <w:rPr>
          <w:rFonts w:cs="Arial" w:hint="cs"/>
          <w:sz w:val="20"/>
          <w:szCs w:val="20"/>
          <w:rtl/>
        </w:rPr>
        <w:t>משכמת</w:t>
      </w:r>
      <w:r w:rsidRPr="00D21612">
        <w:rPr>
          <w:rFonts w:cs="Arial"/>
          <w:sz w:val="20"/>
          <w:szCs w:val="20"/>
          <w:rtl/>
        </w:rPr>
        <w:t xml:space="preserve"> </w:t>
      </w:r>
      <w:r w:rsidRPr="00D21612">
        <w:rPr>
          <w:rFonts w:cs="Arial" w:hint="cs"/>
          <w:sz w:val="20"/>
          <w:szCs w:val="20"/>
          <w:rtl/>
        </w:rPr>
        <w:t>ביום</w:t>
      </w:r>
      <w:r w:rsidRPr="00D21612">
        <w:rPr>
          <w:rFonts w:cs="Arial"/>
          <w:sz w:val="20"/>
          <w:szCs w:val="20"/>
          <w:rtl/>
        </w:rPr>
        <w:t xml:space="preserve"> </w:t>
      </w:r>
      <w:r w:rsidRPr="00D21612">
        <w:rPr>
          <w:rFonts w:cs="Arial" w:hint="cs"/>
          <w:sz w:val="20"/>
          <w:szCs w:val="20"/>
          <w:rtl/>
        </w:rPr>
        <w:t>השלישי</w:t>
      </w:r>
      <w:r w:rsidRPr="00D21612">
        <w:rPr>
          <w:rFonts w:cs="Arial"/>
          <w:sz w:val="20"/>
          <w:szCs w:val="20"/>
          <w:rtl/>
        </w:rPr>
        <w:t xml:space="preserve"> </w:t>
      </w:r>
      <w:r w:rsidRPr="00D21612">
        <w:rPr>
          <w:rFonts w:cs="Arial" w:hint="cs"/>
          <w:sz w:val="20"/>
          <w:szCs w:val="20"/>
          <w:rtl/>
        </w:rPr>
        <w:t>וטובלת</w:t>
      </w:r>
      <w:r>
        <w:rPr>
          <w:rFonts w:cs="Arial" w:hint="cs"/>
          <w:sz w:val="20"/>
          <w:szCs w:val="20"/>
          <w:rtl/>
        </w:rPr>
        <w:t>,</w:t>
      </w:r>
      <w:r w:rsidRPr="00D21612">
        <w:rPr>
          <w:rFonts w:cs="Arial"/>
          <w:sz w:val="20"/>
          <w:szCs w:val="20"/>
          <w:rtl/>
        </w:rPr>
        <w:t xml:space="preserve"> </w:t>
      </w:r>
      <w:r w:rsidRPr="00D21612">
        <w:rPr>
          <w:rFonts w:cs="Arial" w:hint="cs"/>
          <w:sz w:val="20"/>
          <w:szCs w:val="20"/>
          <w:rtl/>
        </w:rPr>
        <w:t>ולא</w:t>
      </w:r>
      <w:r w:rsidRPr="00D21612">
        <w:rPr>
          <w:rFonts w:cs="Arial"/>
          <w:sz w:val="20"/>
          <w:szCs w:val="20"/>
          <w:rtl/>
        </w:rPr>
        <w:t xml:space="preserve"> </w:t>
      </w:r>
      <w:r w:rsidRPr="00D21612">
        <w:rPr>
          <w:rFonts w:cs="Arial" w:hint="cs"/>
          <w:sz w:val="20"/>
          <w:szCs w:val="20"/>
          <w:rtl/>
        </w:rPr>
        <w:t>תשמש</w:t>
      </w:r>
      <w:r w:rsidRPr="00D21612">
        <w:rPr>
          <w:rFonts w:cs="Arial"/>
          <w:sz w:val="20"/>
          <w:szCs w:val="20"/>
          <w:rtl/>
        </w:rPr>
        <w:t xml:space="preserve"> </w:t>
      </w:r>
      <w:r w:rsidRPr="00D21612">
        <w:rPr>
          <w:rFonts w:cs="Arial" w:hint="cs"/>
          <w:sz w:val="20"/>
          <w:szCs w:val="20"/>
          <w:rtl/>
        </w:rPr>
        <w:t>כל</w:t>
      </w:r>
      <w:r w:rsidRPr="00D21612">
        <w:rPr>
          <w:rFonts w:cs="Arial"/>
          <w:sz w:val="20"/>
          <w:szCs w:val="20"/>
          <w:rtl/>
        </w:rPr>
        <w:t xml:space="preserve"> </w:t>
      </w:r>
      <w:r w:rsidRPr="00D21612">
        <w:rPr>
          <w:rFonts w:cs="Arial" w:hint="cs"/>
          <w:sz w:val="20"/>
          <w:szCs w:val="20"/>
          <w:rtl/>
        </w:rPr>
        <w:t>היום</w:t>
      </w:r>
      <w:r w:rsidRPr="00D21612">
        <w:rPr>
          <w:rFonts w:cs="Arial"/>
          <w:sz w:val="20"/>
          <w:szCs w:val="20"/>
          <w:rtl/>
        </w:rPr>
        <w:t xml:space="preserve"> </w:t>
      </w:r>
      <w:r w:rsidRPr="00D21612">
        <w:rPr>
          <w:rFonts w:cs="Arial" w:hint="cs"/>
          <w:sz w:val="20"/>
          <w:szCs w:val="20"/>
          <w:rtl/>
        </w:rPr>
        <w:t>כאשר</w:t>
      </w:r>
      <w:r w:rsidRPr="00D21612">
        <w:rPr>
          <w:rFonts w:cs="Arial"/>
          <w:sz w:val="20"/>
          <w:szCs w:val="20"/>
          <w:rtl/>
        </w:rPr>
        <w:t xml:space="preserve"> </w:t>
      </w:r>
      <w:r w:rsidRPr="00D21612">
        <w:rPr>
          <w:rFonts w:cs="Arial" w:hint="cs"/>
          <w:sz w:val="20"/>
          <w:szCs w:val="20"/>
          <w:rtl/>
        </w:rPr>
        <w:t>פירשתי</w:t>
      </w:r>
      <w:r>
        <w:rPr>
          <w:rFonts w:cs="Arial" w:hint="cs"/>
          <w:sz w:val="20"/>
          <w:szCs w:val="20"/>
          <w:rtl/>
        </w:rPr>
        <w:t>,</w:t>
      </w:r>
      <w:r w:rsidRPr="00D21612">
        <w:rPr>
          <w:rFonts w:cs="Arial"/>
          <w:sz w:val="20"/>
          <w:szCs w:val="20"/>
          <w:rtl/>
        </w:rPr>
        <w:t xml:space="preserve"> </w:t>
      </w:r>
      <w:r w:rsidRPr="00D21612">
        <w:rPr>
          <w:rFonts w:cs="Arial" w:hint="cs"/>
          <w:sz w:val="20"/>
          <w:szCs w:val="20"/>
          <w:rtl/>
        </w:rPr>
        <w:t>וגם</w:t>
      </w:r>
      <w:r w:rsidRPr="00D21612">
        <w:rPr>
          <w:rFonts w:cs="Arial"/>
          <w:sz w:val="20"/>
          <w:szCs w:val="20"/>
          <w:rtl/>
        </w:rPr>
        <w:t xml:space="preserve"> </w:t>
      </w:r>
      <w:r w:rsidRPr="00D21612">
        <w:rPr>
          <w:rFonts w:cs="Arial" w:hint="cs"/>
          <w:sz w:val="20"/>
          <w:szCs w:val="20"/>
          <w:rtl/>
        </w:rPr>
        <w:t>זו</w:t>
      </w:r>
      <w:r w:rsidRPr="00D21612">
        <w:rPr>
          <w:rFonts w:cs="Arial"/>
          <w:sz w:val="20"/>
          <w:szCs w:val="20"/>
          <w:rtl/>
        </w:rPr>
        <w:t xml:space="preserve"> </w:t>
      </w:r>
      <w:r w:rsidRPr="00D21612">
        <w:rPr>
          <w:rFonts w:cs="Arial" w:hint="cs"/>
          <w:sz w:val="20"/>
          <w:szCs w:val="20"/>
          <w:rtl/>
        </w:rPr>
        <w:t>בכלל</w:t>
      </w:r>
      <w:r w:rsidRPr="00D21612">
        <w:rPr>
          <w:rFonts w:cs="Arial"/>
          <w:sz w:val="20"/>
          <w:szCs w:val="20"/>
          <w:rtl/>
        </w:rPr>
        <w:t xml:space="preserve"> </w:t>
      </w:r>
      <w:r w:rsidRPr="00D21612">
        <w:rPr>
          <w:rFonts w:cs="Arial" w:hint="cs"/>
          <w:sz w:val="20"/>
          <w:szCs w:val="20"/>
          <w:rtl/>
        </w:rPr>
        <w:t>שומרת</w:t>
      </w:r>
      <w:r w:rsidRPr="00D21612">
        <w:rPr>
          <w:rFonts w:cs="Arial"/>
          <w:sz w:val="20"/>
          <w:szCs w:val="20"/>
          <w:rtl/>
        </w:rPr>
        <w:t xml:space="preserve"> </w:t>
      </w:r>
      <w:r w:rsidRPr="00D21612">
        <w:rPr>
          <w:rFonts w:cs="Arial" w:hint="cs"/>
          <w:sz w:val="20"/>
          <w:szCs w:val="20"/>
          <w:rtl/>
        </w:rPr>
        <w:t>יום</w:t>
      </w:r>
      <w:r w:rsidRPr="00D21612">
        <w:rPr>
          <w:rFonts w:cs="Arial"/>
          <w:sz w:val="20"/>
          <w:szCs w:val="20"/>
          <w:rtl/>
        </w:rPr>
        <w:t xml:space="preserve"> </w:t>
      </w:r>
      <w:r w:rsidRPr="00D21612">
        <w:rPr>
          <w:rFonts w:cs="Arial" w:hint="cs"/>
          <w:sz w:val="20"/>
          <w:szCs w:val="20"/>
          <w:rtl/>
        </w:rPr>
        <w:t>כנגד</w:t>
      </w:r>
      <w:r w:rsidRPr="00D21612">
        <w:rPr>
          <w:rFonts w:cs="Arial"/>
          <w:sz w:val="20"/>
          <w:szCs w:val="20"/>
          <w:rtl/>
        </w:rPr>
        <w:t xml:space="preserve"> </w:t>
      </w:r>
      <w:r w:rsidRPr="00D21612">
        <w:rPr>
          <w:rFonts w:cs="Arial" w:hint="cs"/>
          <w:sz w:val="20"/>
          <w:szCs w:val="20"/>
          <w:rtl/>
        </w:rPr>
        <w:t>יום</w:t>
      </w:r>
      <w:r>
        <w:rPr>
          <w:rFonts w:cs="Arial" w:hint="cs"/>
          <w:sz w:val="20"/>
          <w:szCs w:val="20"/>
          <w:rtl/>
        </w:rPr>
        <w:t>,</w:t>
      </w:r>
      <w:r w:rsidRPr="00D21612">
        <w:rPr>
          <w:rFonts w:cs="Arial"/>
          <w:sz w:val="20"/>
          <w:szCs w:val="20"/>
          <w:rtl/>
        </w:rPr>
        <w:t xml:space="preserve"> </w:t>
      </w:r>
      <w:r w:rsidRPr="00D21612">
        <w:rPr>
          <w:rFonts w:cs="Arial" w:hint="cs"/>
          <w:sz w:val="20"/>
          <w:szCs w:val="20"/>
          <w:rtl/>
        </w:rPr>
        <w:t>וזו</w:t>
      </w:r>
      <w:r w:rsidRPr="00D21612">
        <w:rPr>
          <w:rFonts w:cs="Arial"/>
          <w:sz w:val="20"/>
          <w:szCs w:val="20"/>
          <w:rtl/>
        </w:rPr>
        <w:t xml:space="preserve"> </w:t>
      </w:r>
      <w:r w:rsidRPr="00D21612">
        <w:rPr>
          <w:rFonts w:cs="Arial" w:hint="cs"/>
          <w:sz w:val="20"/>
          <w:szCs w:val="20"/>
          <w:rtl/>
        </w:rPr>
        <w:t>היא</w:t>
      </w:r>
      <w:r w:rsidRPr="00D21612">
        <w:rPr>
          <w:rFonts w:cs="Arial"/>
          <w:sz w:val="20"/>
          <w:szCs w:val="20"/>
          <w:rtl/>
        </w:rPr>
        <w:t xml:space="preserve"> </w:t>
      </w:r>
      <w:r w:rsidRPr="00D21612">
        <w:rPr>
          <w:rFonts w:cs="Arial" w:hint="cs"/>
          <w:sz w:val="20"/>
          <w:szCs w:val="20"/>
          <w:rtl/>
        </w:rPr>
        <w:t>שנקראת</w:t>
      </w:r>
      <w:r w:rsidRPr="00D21612">
        <w:rPr>
          <w:rFonts w:cs="Arial"/>
          <w:sz w:val="20"/>
          <w:szCs w:val="20"/>
          <w:rtl/>
        </w:rPr>
        <w:t xml:space="preserve"> </w:t>
      </w:r>
      <w:r w:rsidRPr="00D21612">
        <w:rPr>
          <w:rFonts w:cs="Arial" w:hint="cs"/>
          <w:sz w:val="20"/>
          <w:szCs w:val="20"/>
          <w:rtl/>
        </w:rPr>
        <w:t>זבה</w:t>
      </w:r>
      <w:r w:rsidRPr="00D21612">
        <w:rPr>
          <w:rFonts w:cs="Arial"/>
          <w:sz w:val="20"/>
          <w:szCs w:val="20"/>
          <w:rtl/>
        </w:rPr>
        <w:t xml:space="preserve"> </w:t>
      </w:r>
      <w:r w:rsidRPr="00D21612">
        <w:rPr>
          <w:rFonts w:cs="Arial" w:hint="cs"/>
          <w:sz w:val="20"/>
          <w:szCs w:val="20"/>
          <w:rtl/>
        </w:rPr>
        <w:t>קטנה</w:t>
      </w:r>
      <w:r>
        <w:rPr>
          <w:rFonts w:cs="Arial" w:hint="cs"/>
          <w:sz w:val="20"/>
          <w:szCs w:val="20"/>
          <w:rtl/>
        </w:rPr>
        <w:t>.</w:t>
      </w:r>
      <w:r>
        <w:rPr>
          <w:rFonts w:cs="Arial"/>
          <w:sz w:val="20"/>
          <w:szCs w:val="20"/>
          <w:rtl/>
        </w:rPr>
        <w:br/>
      </w:r>
      <w:r w:rsidRPr="00D21612">
        <w:rPr>
          <w:rFonts w:cs="Arial" w:hint="cs"/>
          <w:sz w:val="20"/>
          <w:szCs w:val="20"/>
          <w:rtl/>
        </w:rPr>
        <w:t>ראתה</w:t>
      </w:r>
      <w:r w:rsidRPr="00D21612">
        <w:rPr>
          <w:rFonts w:cs="Arial"/>
          <w:sz w:val="20"/>
          <w:szCs w:val="20"/>
          <w:rtl/>
        </w:rPr>
        <w:t xml:space="preserve"> </w:t>
      </w:r>
      <w:r w:rsidRPr="00D21612">
        <w:rPr>
          <w:rFonts w:cs="Arial" w:hint="cs"/>
          <w:sz w:val="20"/>
          <w:szCs w:val="20"/>
          <w:rtl/>
        </w:rPr>
        <w:t>גם</w:t>
      </w:r>
      <w:r w:rsidRPr="00D21612">
        <w:rPr>
          <w:rFonts w:cs="Arial"/>
          <w:sz w:val="20"/>
          <w:szCs w:val="20"/>
          <w:rtl/>
        </w:rPr>
        <w:t xml:space="preserve"> </w:t>
      </w:r>
      <w:r w:rsidRPr="00D21612">
        <w:rPr>
          <w:rFonts w:cs="Arial" w:hint="cs"/>
          <w:sz w:val="20"/>
          <w:szCs w:val="20"/>
          <w:rtl/>
        </w:rPr>
        <w:t>ביום</w:t>
      </w:r>
      <w:r w:rsidRPr="00D21612">
        <w:rPr>
          <w:rFonts w:cs="Arial"/>
          <w:sz w:val="20"/>
          <w:szCs w:val="20"/>
          <w:rtl/>
        </w:rPr>
        <w:t xml:space="preserve"> </w:t>
      </w:r>
      <w:r w:rsidRPr="00D21612">
        <w:rPr>
          <w:rFonts w:cs="Arial" w:hint="cs"/>
          <w:sz w:val="20"/>
          <w:szCs w:val="20"/>
          <w:rtl/>
        </w:rPr>
        <w:t>ה</w:t>
      </w:r>
      <w:r>
        <w:rPr>
          <w:rFonts w:cs="Arial" w:hint="cs"/>
          <w:sz w:val="20"/>
          <w:szCs w:val="20"/>
          <w:rtl/>
        </w:rPr>
        <w:t xml:space="preserve">שלישי - </w:t>
      </w:r>
      <w:r w:rsidRPr="00D21612">
        <w:rPr>
          <w:rFonts w:cs="Arial" w:hint="cs"/>
          <w:sz w:val="20"/>
          <w:szCs w:val="20"/>
          <w:rtl/>
        </w:rPr>
        <w:t>נעשית</w:t>
      </w:r>
      <w:r w:rsidRPr="00D21612">
        <w:rPr>
          <w:rFonts w:cs="Arial"/>
          <w:sz w:val="20"/>
          <w:szCs w:val="20"/>
          <w:rtl/>
        </w:rPr>
        <w:t xml:space="preserve"> </w:t>
      </w:r>
      <w:r w:rsidRPr="00D21612">
        <w:rPr>
          <w:rFonts w:cs="Arial" w:hint="cs"/>
          <w:sz w:val="20"/>
          <w:szCs w:val="20"/>
          <w:rtl/>
        </w:rPr>
        <w:t>זבה</w:t>
      </w:r>
      <w:r w:rsidRPr="00D21612">
        <w:rPr>
          <w:rFonts w:cs="Arial"/>
          <w:sz w:val="20"/>
          <w:szCs w:val="20"/>
          <w:rtl/>
        </w:rPr>
        <w:t xml:space="preserve"> </w:t>
      </w:r>
      <w:r w:rsidRPr="00D21612">
        <w:rPr>
          <w:rFonts w:cs="Arial" w:hint="cs"/>
          <w:sz w:val="20"/>
          <w:szCs w:val="20"/>
          <w:rtl/>
        </w:rPr>
        <w:t>גדולה</w:t>
      </w:r>
      <w:r w:rsidRPr="00D21612">
        <w:rPr>
          <w:rFonts w:cs="Arial"/>
          <w:sz w:val="20"/>
          <w:szCs w:val="20"/>
          <w:rtl/>
        </w:rPr>
        <w:t xml:space="preserve"> </w:t>
      </w:r>
      <w:r w:rsidRPr="00D21612">
        <w:rPr>
          <w:rFonts w:cs="Arial" w:hint="cs"/>
          <w:sz w:val="20"/>
          <w:szCs w:val="20"/>
          <w:rtl/>
        </w:rPr>
        <w:t>ולא</w:t>
      </w:r>
      <w:r w:rsidRPr="00D21612">
        <w:rPr>
          <w:rFonts w:cs="Arial"/>
          <w:sz w:val="20"/>
          <w:szCs w:val="20"/>
          <w:rtl/>
        </w:rPr>
        <w:t xml:space="preserve"> </w:t>
      </w:r>
      <w:r w:rsidRPr="00D21612">
        <w:rPr>
          <w:rFonts w:cs="Arial" w:hint="cs"/>
          <w:sz w:val="20"/>
          <w:szCs w:val="20"/>
          <w:rtl/>
        </w:rPr>
        <w:t>תטהר</w:t>
      </w:r>
      <w:r w:rsidRPr="00D21612">
        <w:rPr>
          <w:rFonts w:cs="Arial"/>
          <w:sz w:val="20"/>
          <w:szCs w:val="20"/>
          <w:rtl/>
        </w:rPr>
        <w:t xml:space="preserve"> </w:t>
      </w:r>
      <w:r w:rsidRPr="00D21612">
        <w:rPr>
          <w:rFonts w:cs="Arial" w:hint="cs"/>
          <w:sz w:val="20"/>
          <w:szCs w:val="20"/>
          <w:rtl/>
        </w:rPr>
        <w:t>עד</w:t>
      </w:r>
      <w:r w:rsidRPr="00D21612">
        <w:rPr>
          <w:rFonts w:cs="Arial"/>
          <w:sz w:val="20"/>
          <w:szCs w:val="20"/>
          <w:rtl/>
        </w:rPr>
        <w:t xml:space="preserve"> </w:t>
      </w:r>
      <w:r w:rsidRPr="00D21612">
        <w:rPr>
          <w:rFonts w:cs="Arial" w:hint="cs"/>
          <w:sz w:val="20"/>
          <w:szCs w:val="20"/>
          <w:rtl/>
        </w:rPr>
        <w:t>שיהיו</w:t>
      </w:r>
      <w:r w:rsidRPr="00D21612">
        <w:rPr>
          <w:rFonts w:cs="Arial"/>
          <w:sz w:val="20"/>
          <w:szCs w:val="20"/>
          <w:rtl/>
        </w:rPr>
        <w:t xml:space="preserve"> </w:t>
      </w:r>
      <w:r w:rsidRPr="00D21612">
        <w:rPr>
          <w:rFonts w:cs="Arial" w:hint="cs"/>
          <w:sz w:val="20"/>
          <w:szCs w:val="20"/>
          <w:rtl/>
        </w:rPr>
        <w:t>לה</w:t>
      </w:r>
      <w:r w:rsidRPr="00D21612">
        <w:rPr>
          <w:rFonts w:cs="Arial"/>
          <w:sz w:val="20"/>
          <w:szCs w:val="20"/>
          <w:rtl/>
        </w:rPr>
        <w:t xml:space="preserve"> </w:t>
      </w:r>
      <w:r w:rsidRPr="00D21612">
        <w:rPr>
          <w:rFonts w:cs="Arial" w:hint="cs"/>
          <w:sz w:val="20"/>
          <w:szCs w:val="20"/>
          <w:rtl/>
        </w:rPr>
        <w:t>ז</w:t>
      </w:r>
      <w:r w:rsidRPr="00D21612">
        <w:rPr>
          <w:rFonts w:cs="Arial"/>
          <w:sz w:val="20"/>
          <w:szCs w:val="20"/>
          <w:rtl/>
        </w:rPr>
        <w:t xml:space="preserve">' </w:t>
      </w:r>
      <w:r w:rsidRPr="00D21612">
        <w:rPr>
          <w:rFonts w:cs="Arial" w:hint="cs"/>
          <w:sz w:val="20"/>
          <w:szCs w:val="20"/>
          <w:rtl/>
        </w:rPr>
        <w:t>ימים</w:t>
      </w:r>
      <w:r w:rsidRPr="00D21612">
        <w:rPr>
          <w:rFonts w:cs="Arial"/>
          <w:sz w:val="20"/>
          <w:szCs w:val="20"/>
          <w:rtl/>
        </w:rPr>
        <w:t xml:space="preserve"> </w:t>
      </w:r>
      <w:r w:rsidRPr="00D21612">
        <w:rPr>
          <w:rFonts w:cs="Arial" w:hint="cs"/>
          <w:sz w:val="20"/>
          <w:szCs w:val="20"/>
          <w:rtl/>
        </w:rPr>
        <w:t>נקיים</w:t>
      </w:r>
      <w:r w:rsidRPr="00D21612">
        <w:rPr>
          <w:rFonts w:cs="Arial"/>
          <w:sz w:val="20"/>
          <w:szCs w:val="20"/>
          <w:rtl/>
        </w:rPr>
        <w:t xml:space="preserve"> </w:t>
      </w:r>
      <w:r w:rsidRPr="00D21612">
        <w:rPr>
          <w:rFonts w:cs="Arial" w:hint="cs"/>
          <w:sz w:val="20"/>
          <w:szCs w:val="20"/>
          <w:rtl/>
        </w:rPr>
        <w:t>חוץ</w:t>
      </w:r>
      <w:r w:rsidRPr="00D21612">
        <w:rPr>
          <w:rFonts w:cs="Arial"/>
          <w:sz w:val="20"/>
          <w:szCs w:val="20"/>
          <w:rtl/>
        </w:rPr>
        <w:t xml:space="preserve"> </w:t>
      </w:r>
      <w:r w:rsidRPr="00D21612">
        <w:rPr>
          <w:rFonts w:cs="Arial" w:hint="cs"/>
          <w:sz w:val="20"/>
          <w:szCs w:val="20"/>
          <w:rtl/>
        </w:rPr>
        <w:t>מיום</w:t>
      </w:r>
      <w:r w:rsidRPr="00D21612">
        <w:rPr>
          <w:rFonts w:cs="Arial"/>
          <w:sz w:val="20"/>
          <w:szCs w:val="20"/>
          <w:rtl/>
        </w:rPr>
        <w:t xml:space="preserve"> </w:t>
      </w:r>
      <w:r w:rsidRPr="00D21612">
        <w:rPr>
          <w:rFonts w:cs="Arial" w:hint="cs"/>
          <w:sz w:val="20"/>
          <w:szCs w:val="20"/>
          <w:rtl/>
        </w:rPr>
        <w:t>שפוסקת</w:t>
      </w:r>
      <w:r w:rsidRPr="00D21612">
        <w:rPr>
          <w:rFonts w:cs="Arial"/>
          <w:sz w:val="20"/>
          <w:szCs w:val="20"/>
          <w:rtl/>
        </w:rPr>
        <w:t xml:space="preserve"> </w:t>
      </w:r>
      <w:r w:rsidRPr="00D21612">
        <w:rPr>
          <w:rFonts w:cs="Arial" w:hint="cs"/>
          <w:sz w:val="20"/>
          <w:szCs w:val="20"/>
          <w:rtl/>
        </w:rPr>
        <w:t>בו</w:t>
      </w:r>
      <w:r>
        <w:rPr>
          <w:rFonts w:cs="Arial" w:hint="cs"/>
          <w:sz w:val="20"/>
          <w:szCs w:val="20"/>
          <w:rtl/>
        </w:rPr>
        <w:t>,</w:t>
      </w:r>
      <w:r w:rsidRPr="00D21612">
        <w:rPr>
          <w:rFonts w:cs="Arial"/>
          <w:sz w:val="20"/>
          <w:szCs w:val="20"/>
          <w:rtl/>
        </w:rPr>
        <w:t xml:space="preserve"> </w:t>
      </w:r>
      <w:r w:rsidRPr="00D21612">
        <w:rPr>
          <w:rFonts w:cs="Arial" w:hint="cs"/>
          <w:sz w:val="20"/>
          <w:szCs w:val="20"/>
          <w:rtl/>
        </w:rPr>
        <w:t>וטובלת</w:t>
      </w:r>
      <w:r w:rsidRPr="00D21612">
        <w:rPr>
          <w:rFonts w:cs="Arial"/>
          <w:sz w:val="20"/>
          <w:szCs w:val="20"/>
          <w:rtl/>
        </w:rPr>
        <w:t xml:space="preserve"> </w:t>
      </w:r>
      <w:r w:rsidRPr="00D21612">
        <w:rPr>
          <w:rFonts w:cs="Arial" w:hint="cs"/>
          <w:sz w:val="20"/>
          <w:szCs w:val="20"/>
          <w:rtl/>
        </w:rPr>
        <w:t>ביום</w:t>
      </w:r>
      <w:r w:rsidRPr="00D21612">
        <w:rPr>
          <w:rFonts w:cs="Arial"/>
          <w:sz w:val="20"/>
          <w:szCs w:val="20"/>
          <w:rtl/>
        </w:rPr>
        <w:t xml:space="preserve"> </w:t>
      </w:r>
      <w:r w:rsidRPr="00D21612">
        <w:rPr>
          <w:rFonts w:cs="Arial" w:hint="cs"/>
          <w:sz w:val="20"/>
          <w:szCs w:val="20"/>
          <w:rtl/>
        </w:rPr>
        <w:t>ז</w:t>
      </w:r>
      <w:r w:rsidRPr="00D21612">
        <w:rPr>
          <w:rFonts w:cs="Arial"/>
          <w:sz w:val="20"/>
          <w:szCs w:val="20"/>
          <w:rtl/>
        </w:rPr>
        <w:t xml:space="preserve">' </w:t>
      </w:r>
      <w:r w:rsidRPr="00D21612">
        <w:rPr>
          <w:rFonts w:cs="Arial" w:hint="cs"/>
          <w:sz w:val="20"/>
          <w:szCs w:val="20"/>
          <w:rtl/>
        </w:rPr>
        <w:t>לאחר</w:t>
      </w:r>
      <w:r w:rsidRPr="00D21612">
        <w:rPr>
          <w:rFonts w:cs="Arial"/>
          <w:sz w:val="20"/>
          <w:szCs w:val="20"/>
          <w:rtl/>
        </w:rPr>
        <w:t xml:space="preserve"> </w:t>
      </w:r>
      <w:r w:rsidRPr="00D21612">
        <w:rPr>
          <w:rFonts w:cs="Arial" w:hint="cs"/>
          <w:sz w:val="20"/>
          <w:szCs w:val="20"/>
          <w:rtl/>
        </w:rPr>
        <w:t>הנץ</w:t>
      </w:r>
      <w:r w:rsidRPr="00D21612">
        <w:rPr>
          <w:rFonts w:cs="Arial"/>
          <w:sz w:val="20"/>
          <w:szCs w:val="20"/>
          <w:rtl/>
        </w:rPr>
        <w:t xml:space="preserve"> </w:t>
      </w:r>
      <w:r w:rsidRPr="00D21612">
        <w:rPr>
          <w:rFonts w:cs="Arial" w:hint="cs"/>
          <w:sz w:val="20"/>
          <w:szCs w:val="20"/>
          <w:rtl/>
        </w:rPr>
        <w:t>החמה</w:t>
      </w:r>
      <w:r w:rsidRPr="00D21612">
        <w:rPr>
          <w:rFonts w:cs="Arial"/>
          <w:sz w:val="20"/>
          <w:szCs w:val="20"/>
          <w:rtl/>
        </w:rPr>
        <w:t xml:space="preserve"> </w:t>
      </w:r>
      <w:r w:rsidRPr="00D21612">
        <w:rPr>
          <w:rFonts w:cs="Arial" w:hint="cs"/>
          <w:sz w:val="20"/>
          <w:szCs w:val="20"/>
          <w:rtl/>
        </w:rPr>
        <w:t>מיד</w:t>
      </w:r>
      <w:r>
        <w:rPr>
          <w:rFonts w:cs="Arial" w:hint="cs"/>
          <w:sz w:val="20"/>
          <w:szCs w:val="20"/>
          <w:rtl/>
        </w:rPr>
        <w:t>,</w:t>
      </w:r>
      <w:r w:rsidRPr="00D21612">
        <w:rPr>
          <w:rFonts w:cs="Arial"/>
          <w:sz w:val="20"/>
          <w:szCs w:val="20"/>
          <w:rtl/>
        </w:rPr>
        <w:t xml:space="preserve"> </w:t>
      </w:r>
      <w:r w:rsidRPr="00D21612">
        <w:rPr>
          <w:rFonts w:cs="Arial" w:hint="cs"/>
          <w:sz w:val="20"/>
          <w:szCs w:val="20"/>
          <w:rtl/>
        </w:rPr>
        <w:t>אלא</w:t>
      </w:r>
      <w:r w:rsidRPr="00D21612">
        <w:rPr>
          <w:rFonts w:cs="Arial"/>
          <w:sz w:val="20"/>
          <w:szCs w:val="20"/>
          <w:rtl/>
        </w:rPr>
        <w:t xml:space="preserve"> </w:t>
      </w:r>
      <w:r w:rsidRPr="00D21612">
        <w:rPr>
          <w:rFonts w:cs="Arial" w:hint="cs"/>
          <w:sz w:val="20"/>
          <w:szCs w:val="20"/>
          <w:rtl/>
        </w:rPr>
        <w:t>שאסורה</w:t>
      </w:r>
      <w:r w:rsidRPr="00D21612">
        <w:rPr>
          <w:rFonts w:cs="Arial"/>
          <w:sz w:val="20"/>
          <w:szCs w:val="20"/>
          <w:rtl/>
        </w:rPr>
        <w:t xml:space="preserve"> </w:t>
      </w:r>
      <w:r w:rsidRPr="00D21612">
        <w:rPr>
          <w:rFonts w:cs="Arial" w:hint="cs"/>
          <w:sz w:val="20"/>
          <w:szCs w:val="20"/>
          <w:rtl/>
        </w:rPr>
        <w:t>לשמש</w:t>
      </w:r>
      <w:r w:rsidRPr="00D21612">
        <w:rPr>
          <w:rFonts w:cs="Arial"/>
          <w:sz w:val="20"/>
          <w:szCs w:val="20"/>
          <w:rtl/>
        </w:rPr>
        <w:t xml:space="preserve"> </w:t>
      </w:r>
      <w:r w:rsidRPr="00D21612">
        <w:rPr>
          <w:rFonts w:cs="Arial" w:hint="cs"/>
          <w:sz w:val="20"/>
          <w:szCs w:val="20"/>
          <w:rtl/>
        </w:rPr>
        <w:t>שמא</w:t>
      </w:r>
      <w:r w:rsidRPr="00D21612">
        <w:rPr>
          <w:rFonts w:cs="Arial"/>
          <w:sz w:val="20"/>
          <w:szCs w:val="20"/>
          <w:rtl/>
        </w:rPr>
        <w:t xml:space="preserve"> </w:t>
      </w:r>
      <w:r w:rsidRPr="00D21612">
        <w:rPr>
          <w:rFonts w:cs="Arial" w:hint="cs"/>
          <w:sz w:val="20"/>
          <w:szCs w:val="20"/>
          <w:rtl/>
        </w:rPr>
        <w:t>תראה</w:t>
      </w:r>
      <w:r w:rsidRPr="00D21612">
        <w:rPr>
          <w:rFonts w:cs="Arial"/>
          <w:sz w:val="20"/>
          <w:szCs w:val="20"/>
          <w:rtl/>
        </w:rPr>
        <w:t xml:space="preserve"> </w:t>
      </w:r>
      <w:r w:rsidRPr="00D21612">
        <w:rPr>
          <w:rFonts w:cs="Arial" w:hint="cs"/>
          <w:sz w:val="20"/>
          <w:szCs w:val="20"/>
          <w:rtl/>
        </w:rPr>
        <w:t>ותסתור</w:t>
      </w:r>
      <w:r>
        <w:rPr>
          <w:rFonts w:cs="Arial" w:hint="cs"/>
          <w:sz w:val="20"/>
          <w:szCs w:val="20"/>
          <w:rtl/>
        </w:rPr>
        <w:t>.</w:t>
      </w:r>
      <w:r>
        <w:rPr>
          <w:rFonts w:cs="Arial"/>
          <w:sz w:val="20"/>
          <w:szCs w:val="20"/>
          <w:rtl/>
        </w:rPr>
        <w:br/>
      </w:r>
      <w:r w:rsidRPr="00D21612">
        <w:rPr>
          <w:rFonts w:cs="Arial" w:hint="cs"/>
          <w:sz w:val="20"/>
          <w:szCs w:val="20"/>
          <w:rtl/>
        </w:rPr>
        <w:t>ואם</w:t>
      </w:r>
      <w:r w:rsidRPr="00D21612">
        <w:rPr>
          <w:rFonts w:cs="Arial"/>
          <w:sz w:val="20"/>
          <w:szCs w:val="20"/>
          <w:rtl/>
        </w:rPr>
        <w:t xml:space="preserve"> </w:t>
      </w:r>
      <w:r w:rsidRPr="00D21612">
        <w:rPr>
          <w:rFonts w:cs="Arial" w:hint="cs"/>
          <w:sz w:val="20"/>
          <w:szCs w:val="20"/>
          <w:rtl/>
        </w:rPr>
        <w:t>לא</w:t>
      </w:r>
      <w:r w:rsidRPr="00D21612">
        <w:rPr>
          <w:rFonts w:cs="Arial"/>
          <w:sz w:val="20"/>
          <w:szCs w:val="20"/>
          <w:rtl/>
        </w:rPr>
        <w:t xml:space="preserve"> </w:t>
      </w:r>
      <w:r w:rsidRPr="00D21612">
        <w:rPr>
          <w:rFonts w:cs="Arial" w:hint="cs"/>
          <w:sz w:val="20"/>
          <w:szCs w:val="20"/>
          <w:rtl/>
        </w:rPr>
        <w:t>ראתה</w:t>
      </w:r>
      <w:r w:rsidRPr="00D21612">
        <w:rPr>
          <w:rFonts w:cs="Arial"/>
          <w:sz w:val="20"/>
          <w:szCs w:val="20"/>
          <w:rtl/>
        </w:rPr>
        <w:t xml:space="preserve"> </w:t>
      </w:r>
      <w:r w:rsidRPr="00D21612">
        <w:rPr>
          <w:rFonts w:cs="Arial" w:hint="cs"/>
          <w:sz w:val="20"/>
          <w:szCs w:val="20"/>
          <w:rtl/>
        </w:rPr>
        <w:t>בכל</w:t>
      </w:r>
      <w:r w:rsidRPr="00D21612">
        <w:rPr>
          <w:rFonts w:cs="Arial"/>
          <w:sz w:val="20"/>
          <w:szCs w:val="20"/>
          <w:rtl/>
        </w:rPr>
        <w:t xml:space="preserve"> </w:t>
      </w:r>
      <w:r w:rsidRPr="00D21612">
        <w:rPr>
          <w:rFonts w:cs="Arial" w:hint="cs"/>
          <w:sz w:val="20"/>
          <w:szCs w:val="20"/>
          <w:rtl/>
        </w:rPr>
        <w:t>י</w:t>
      </w:r>
      <w:r w:rsidRPr="00D21612">
        <w:rPr>
          <w:rFonts w:cs="Arial"/>
          <w:sz w:val="20"/>
          <w:szCs w:val="20"/>
          <w:rtl/>
        </w:rPr>
        <w:t>"</w:t>
      </w:r>
      <w:r w:rsidRPr="00D21612">
        <w:rPr>
          <w:rFonts w:cs="Arial" w:hint="cs"/>
          <w:sz w:val="20"/>
          <w:szCs w:val="20"/>
          <w:rtl/>
        </w:rPr>
        <w:t>א</w:t>
      </w:r>
      <w:r w:rsidRPr="00D21612">
        <w:rPr>
          <w:rFonts w:cs="Arial"/>
          <w:sz w:val="20"/>
          <w:szCs w:val="20"/>
          <w:rtl/>
        </w:rPr>
        <w:t xml:space="preserve"> </w:t>
      </w:r>
      <w:r w:rsidRPr="00D21612">
        <w:rPr>
          <w:rFonts w:cs="Arial" w:hint="cs"/>
          <w:sz w:val="20"/>
          <w:szCs w:val="20"/>
          <w:rtl/>
        </w:rPr>
        <w:t>יום</w:t>
      </w:r>
      <w:r w:rsidRPr="00D21612">
        <w:rPr>
          <w:rFonts w:cs="Arial"/>
          <w:sz w:val="20"/>
          <w:szCs w:val="20"/>
          <w:rtl/>
        </w:rPr>
        <w:t xml:space="preserve"> </w:t>
      </w:r>
      <w:r w:rsidRPr="00D21612">
        <w:rPr>
          <w:rFonts w:cs="Arial" w:hint="cs"/>
          <w:sz w:val="20"/>
          <w:szCs w:val="20"/>
          <w:rtl/>
        </w:rPr>
        <w:t>עד</w:t>
      </w:r>
      <w:r w:rsidRPr="00D21612">
        <w:rPr>
          <w:rFonts w:cs="Arial"/>
          <w:sz w:val="20"/>
          <w:szCs w:val="20"/>
          <w:rtl/>
        </w:rPr>
        <w:t xml:space="preserve"> </w:t>
      </w:r>
      <w:r w:rsidRPr="00D21612">
        <w:rPr>
          <w:rFonts w:cs="Arial" w:hint="cs"/>
          <w:sz w:val="20"/>
          <w:szCs w:val="20"/>
          <w:rtl/>
        </w:rPr>
        <w:t>יום</w:t>
      </w:r>
      <w:r w:rsidRPr="00D21612">
        <w:rPr>
          <w:rFonts w:cs="Arial"/>
          <w:sz w:val="20"/>
          <w:szCs w:val="20"/>
          <w:rtl/>
        </w:rPr>
        <w:t xml:space="preserve"> </w:t>
      </w:r>
      <w:r w:rsidRPr="00D21612">
        <w:rPr>
          <w:rFonts w:cs="Arial" w:hint="cs"/>
          <w:sz w:val="20"/>
          <w:szCs w:val="20"/>
          <w:rtl/>
        </w:rPr>
        <w:t>האחרון</w:t>
      </w:r>
      <w:r>
        <w:rPr>
          <w:rFonts w:cs="Arial" w:hint="cs"/>
          <w:sz w:val="20"/>
          <w:szCs w:val="20"/>
          <w:rtl/>
        </w:rPr>
        <w:t>,</w:t>
      </w:r>
      <w:r w:rsidRPr="00D21612">
        <w:rPr>
          <w:rFonts w:cs="Arial"/>
          <w:sz w:val="20"/>
          <w:szCs w:val="20"/>
          <w:rtl/>
        </w:rPr>
        <w:t xml:space="preserve"> </w:t>
      </w:r>
      <w:r w:rsidRPr="00D21612">
        <w:rPr>
          <w:rFonts w:cs="Arial" w:hint="cs"/>
          <w:sz w:val="20"/>
          <w:szCs w:val="20"/>
          <w:rtl/>
        </w:rPr>
        <w:t>טובלת</w:t>
      </w:r>
      <w:r w:rsidRPr="00D21612">
        <w:rPr>
          <w:rFonts w:cs="Arial"/>
          <w:sz w:val="20"/>
          <w:szCs w:val="20"/>
          <w:rtl/>
        </w:rPr>
        <w:t xml:space="preserve"> </w:t>
      </w:r>
      <w:r w:rsidRPr="00D21612">
        <w:rPr>
          <w:rFonts w:cs="Arial" w:hint="cs"/>
          <w:sz w:val="20"/>
          <w:szCs w:val="20"/>
          <w:rtl/>
        </w:rPr>
        <w:t>מיד</w:t>
      </w:r>
      <w:r w:rsidRPr="00D21612">
        <w:rPr>
          <w:rFonts w:cs="Arial"/>
          <w:sz w:val="20"/>
          <w:szCs w:val="20"/>
          <w:rtl/>
        </w:rPr>
        <w:t xml:space="preserve"> </w:t>
      </w:r>
      <w:r w:rsidRPr="00D21612">
        <w:rPr>
          <w:rFonts w:cs="Arial" w:hint="cs"/>
          <w:sz w:val="20"/>
          <w:szCs w:val="20"/>
          <w:rtl/>
        </w:rPr>
        <w:t>למחרתו</w:t>
      </w:r>
      <w:r w:rsidRPr="00D21612">
        <w:rPr>
          <w:rFonts w:cs="Arial"/>
          <w:sz w:val="20"/>
          <w:szCs w:val="20"/>
          <w:rtl/>
        </w:rPr>
        <w:t xml:space="preserve"> </w:t>
      </w:r>
      <w:r w:rsidRPr="00D21612">
        <w:rPr>
          <w:rFonts w:cs="Arial" w:hint="cs"/>
          <w:sz w:val="20"/>
          <w:szCs w:val="20"/>
          <w:rtl/>
        </w:rPr>
        <w:t>ואינה</w:t>
      </w:r>
      <w:r w:rsidRPr="00D21612">
        <w:rPr>
          <w:rFonts w:cs="Arial"/>
          <w:sz w:val="20"/>
          <w:szCs w:val="20"/>
          <w:rtl/>
        </w:rPr>
        <w:t xml:space="preserve"> </w:t>
      </w:r>
      <w:r w:rsidRPr="00D21612">
        <w:rPr>
          <w:rFonts w:cs="Arial" w:hint="cs"/>
          <w:sz w:val="20"/>
          <w:szCs w:val="20"/>
          <w:rtl/>
        </w:rPr>
        <w:t>צריכה</w:t>
      </w:r>
      <w:r w:rsidRPr="00D21612">
        <w:rPr>
          <w:rFonts w:cs="Arial"/>
          <w:sz w:val="20"/>
          <w:szCs w:val="20"/>
          <w:rtl/>
        </w:rPr>
        <w:t xml:space="preserve"> </w:t>
      </w:r>
      <w:r w:rsidRPr="00D21612">
        <w:rPr>
          <w:rFonts w:cs="Arial" w:hint="cs"/>
          <w:sz w:val="20"/>
          <w:szCs w:val="20"/>
          <w:rtl/>
        </w:rPr>
        <w:t>לשמור</w:t>
      </w:r>
      <w:r w:rsidRPr="00D21612">
        <w:rPr>
          <w:rFonts w:cs="Arial"/>
          <w:sz w:val="20"/>
          <w:szCs w:val="20"/>
          <w:rtl/>
        </w:rPr>
        <w:t xml:space="preserve"> </w:t>
      </w:r>
      <w:r w:rsidRPr="00D21612">
        <w:rPr>
          <w:rFonts w:cs="Arial" w:hint="cs"/>
          <w:sz w:val="20"/>
          <w:szCs w:val="20"/>
          <w:rtl/>
        </w:rPr>
        <w:t>לו</w:t>
      </w:r>
      <w:r w:rsidRPr="00D21612">
        <w:rPr>
          <w:rFonts w:cs="Arial"/>
          <w:sz w:val="20"/>
          <w:szCs w:val="20"/>
          <w:rtl/>
        </w:rPr>
        <w:t xml:space="preserve"> </w:t>
      </w:r>
      <w:r w:rsidRPr="00D21612">
        <w:rPr>
          <w:rFonts w:cs="Arial" w:hint="cs"/>
          <w:sz w:val="20"/>
          <w:szCs w:val="20"/>
          <w:rtl/>
        </w:rPr>
        <w:t>יום</w:t>
      </w:r>
      <w:r w:rsidRPr="00D21612">
        <w:rPr>
          <w:rFonts w:cs="Arial"/>
          <w:sz w:val="20"/>
          <w:szCs w:val="20"/>
          <w:rtl/>
        </w:rPr>
        <w:t xml:space="preserve"> </w:t>
      </w:r>
      <w:r w:rsidRPr="00D21612">
        <w:rPr>
          <w:rFonts w:cs="Arial" w:hint="cs"/>
          <w:sz w:val="20"/>
          <w:szCs w:val="20"/>
          <w:rtl/>
        </w:rPr>
        <w:t>אח</w:t>
      </w:r>
      <w:r>
        <w:rPr>
          <w:rFonts w:cs="Arial" w:hint="cs"/>
          <w:sz w:val="20"/>
          <w:szCs w:val="20"/>
          <w:rtl/>
        </w:rPr>
        <w:t>ד</w:t>
      </w:r>
      <w:r w:rsidRPr="00D21612">
        <w:rPr>
          <w:rFonts w:cs="Arial"/>
          <w:sz w:val="20"/>
          <w:szCs w:val="20"/>
          <w:rtl/>
        </w:rPr>
        <w:t xml:space="preserve"> </w:t>
      </w:r>
      <w:r w:rsidRPr="00D21612">
        <w:rPr>
          <w:rFonts w:cs="Arial" w:hint="cs"/>
          <w:sz w:val="20"/>
          <w:szCs w:val="20"/>
          <w:rtl/>
        </w:rPr>
        <w:t>לטהרתו</w:t>
      </w:r>
      <w:r>
        <w:rPr>
          <w:rFonts w:hint="cs"/>
          <w:sz w:val="20"/>
          <w:szCs w:val="20"/>
          <w:rtl/>
        </w:rPr>
        <w:t>".</w:t>
      </w:r>
    </w:p>
    <w:p w:rsidR="00620060" w:rsidRDefault="00620060" w:rsidP="00620060">
      <w:pPr>
        <w:rPr>
          <w:sz w:val="20"/>
          <w:szCs w:val="20"/>
          <w:rtl/>
        </w:rPr>
      </w:pPr>
      <w:r>
        <w:rPr>
          <w:rFonts w:hint="cs"/>
          <w:sz w:val="20"/>
          <w:szCs w:val="20"/>
          <w:u w:val="single"/>
          <w:rtl/>
        </w:rPr>
        <w:t>טבילה ביום או בלילה</w:t>
      </w:r>
      <w:r>
        <w:rPr>
          <w:sz w:val="20"/>
          <w:szCs w:val="20"/>
          <w:u w:val="single"/>
          <w:rtl/>
        </w:rPr>
        <w:br/>
      </w:r>
      <w:r w:rsidRPr="00E34044">
        <w:rPr>
          <w:rFonts w:hint="cs"/>
          <w:b/>
          <w:bCs/>
          <w:sz w:val="20"/>
          <w:szCs w:val="20"/>
          <w:rtl/>
        </w:rPr>
        <w:t>גמרא</w:t>
      </w:r>
      <w:r>
        <w:rPr>
          <w:rFonts w:hint="cs"/>
          <w:sz w:val="20"/>
          <w:szCs w:val="20"/>
          <w:rtl/>
        </w:rPr>
        <w:t xml:space="preserve"> שבת (קכא.) "</w:t>
      </w:r>
      <w:r w:rsidRPr="00934D47">
        <w:rPr>
          <w:rFonts w:cs="Arial" w:hint="cs"/>
          <w:sz w:val="20"/>
          <w:szCs w:val="20"/>
          <w:rtl/>
        </w:rPr>
        <w:t>הזב</w:t>
      </w:r>
      <w:r w:rsidRPr="00934D47">
        <w:rPr>
          <w:rFonts w:cs="Arial"/>
          <w:sz w:val="20"/>
          <w:szCs w:val="20"/>
          <w:rtl/>
        </w:rPr>
        <w:t xml:space="preserve"> </w:t>
      </w:r>
      <w:r w:rsidRPr="00934D47">
        <w:rPr>
          <w:rFonts w:cs="Arial" w:hint="cs"/>
          <w:sz w:val="20"/>
          <w:szCs w:val="20"/>
          <w:rtl/>
        </w:rPr>
        <w:t>והזבה</w:t>
      </w:r>
      <w:r>
        <w:rPr>
          <w:rFonts w:cs="Arial" w:hint="cs"/>
          <w:sz w:val="20"/>
          <w:szCs w:val="20"/>
          <w:rtl/>
        </w:rPr>
        <w:t>...</w:t>
      </w:r>
      <w:r w:rsidRPr="00934D47">
        <w:rPr>
          <w:rFonts w:cs="Arial"/>
          <w:sz w:val="20"/>
          <w:szCs w:val="20"/>
          <w:rtl/>
        </w:rPr>
        <w:t xml:space="preserve"> - </w:t>
      </w:r>
      <w:r w:rsidRPr="00934D47">
        <w:rPr>
          <w:rFonts w:cs="Arial" w:hint="cs"/>
          <w:sz w:val="20"/>
          <w:szCs w:val="20"/>
          <w:rtl/>
        </w:rPr>
        <w:t>טבילתן</w:t>
      </w:r>
      <w:r w:rsidRPr="00934D47">
        <w:rPr>
          <w:rFonts w:cs="Arial"/>
          <w:sz w:val="20"/>
          <w:szCs w:val="20"/>
          <w:rtl/>
        </w:rPr>
        <w:t xml:space="preserve"> </w:t>
      </w:r>
      <w:r w:rsidRPr="00934D47">
        <w:rPr>
          <w:rFonts w:cs="Arial" w:hint="cs"/>
          <w:sz w:val="20"/>
          <w:szCs w:val="20"/>
          <w:rtl/>
        </w:rPr>
        <w:t>ביום</w:t>
      </w:r>
      <w:r>
        <w:rPr>
          <w:rStyle w:val="a5"/>
          <w:rFonts w:cs="Arial"/>
          <w:sz w:val="20"/>
          <w:szCs w:val="20"/>
          <w:rtl/>
        </w:rPr>
        <w:footnoteReference w:id="4"/>
      </w:r>
      <w:r w:rsidRPr="00934D47">
        <w:rPr>
          <w:rFonts w:cs="Arial"/>
          <w:sz w:val="20"/>
          <w:szCs w:val="20"/>
          <w:rtl/>
        </w:rPr>
        <w:t xml:space="preserve">, </w:t>
      </w:r>
      <w:r w:rsidRPr="00934D47">
        <w:rPr>
          <w:rFonts w:cs="Arial" w:hint="cs"/>
          <w:sz w:val="20"/>
          <w:szCs w:val="20"/>
          <w:rtl/>
        </w:rPr>
        <w:t>נדה</w:t>
      </w:r>
      <w:r w:rsidRPr="00934D47">
        <w:rPr>
          <w:rFonts w:cs="Arial"/>
          <w:sz w:val="20"/>
          <w:szCs w:val="20"/>
          <w:rtl/>
        </w:rPr>
        <w:t xml:space="preserve"> </w:t>
      </w:r>
      <w:r w:rsidRPr="00934D47">
        <w:rPr>
          <w:rFonts w:cs="Arial" w:hint="cs"/>
          <w:sz w:val="20"/>
          <w:szCs w:val="20"/>
          <w:rtl/>
        </w:rPr>
        <w:t>ויולדת</w:t>
      </w:r>
      <w:r w:rsidRPr="00934D47">
        <w:rPr>
          <w:rFonts w:cs="Arial"/>
          <w:sz w:val="20"/>
          <w:szCs w:val="20"/>
          <w:rtl/>
        </w:rPr>
        <w:t xml:space="preserve"> - </w:t>
      </w:r>
      <w:r w:rsidRPr="00934D47">
        <w:rPr>
          <w:rFonts w:cs="Arial" w:hint="cs"/>
          <w:sz w:val="20"/>
          <w:szCs w:val="20"/>
          <w:rtl/>
        </w:rPr>
        <w:t>טבילתן</w:t>
      </w:r>
      <w:r w:rsidRPr="00934D47">
        <w:rPr>
          <w:rFonts w:cs="Arial"/>
          <w:sz w:val="20"/>
          <w:szCs w:val="20"/>
          <w:rtl/>
        </w:rPr>
        <w:t xml:space="preserve"> </w:t>
      </w:r>
      <w:r w:rsidRPr="00934D47">
        <w:rPr>
          <w:rFonts w:cs="Arial" w:hint="cs"/>
          <w:sz w:val="20"/>
          <w:szCs w:val="20"/>
          <w:rtl/>
        </w:rPr>
        <w:t>בלילה</w:t>
      </w:r>
      <w:r w:rsidRPr="00934D47">
        <w:rPr>
          <w:rFonts w:cs="Arial"/>
          <w:sz w:val="20"/>
          <w:szCs w:val="20"/>
          <w:rtl/>
        </w:rPr>
        <w:t>.</w:t>
      </w:r>
      <w:r>
        <w:rPr>
          <w:rFonts w:cs="Arial" w:hint="cs"/>
          <w:sz w:val="20"/>
          <w:szCs w:val="20"/>
          <w:rtl/>
        </w:rPr>
        <w:t>"</w:t>
      </w:r>
    </w:p>
    <w:p w:rsidR="00620060" w:rsidRDefault="00620060" w:rsidP="00620060">
      <w:pPr>
        <w:rPr>
          <w:sz w:val="20"/>
          <w:szCs w:val="20"/>
          <w:rtl/>
        </w:rPr>
      </w:pPr>
      <w:r>
        <w:rPr>
          <w:rFonts w:hint="cs"/>
          <w:sz w:val="20"/>
          <w:szCs w:val="20"/>
          <w:u w:val="single"/>
          <w:rtl/>
        </w:rPr>
        <w:t>סיכום עיקר דיני זבה ונידה</w:t>
      </w:r>
      <w:r>
        <w:rPr>
          <w:rFonts w:hint="cs"/>
          <w:sz w:val="20"/>
          <w:szCs w:val="20"/>
          <w:u w:val="single"/>
          <w:rtl/>
        </w:rPr>
        <w:br/>
      </w:r>
      <w:r>
        <w:rPr>
          <w:rFonts w:hint="cs"/>
          <w:sz w:val="20"/>
          <w:szCs w:val="20"/>
          <w:rtl/>
        </w:rPr>
        <w:t xml:space="preserve">נידה </w:t>
      </w:r>
      <w:r>
        <w:rPr>
          <w:sz w:val="20"/>
          <w:szCs w:val="20"/>
          <w:rtl/>
        </w:rPr>
        <w:t>–</w:t>
      </w:r>
      <w:r>
        <w:rPr>
          <w:rFonts w:hint="cs"/>
          <w:sz w:val="20"/>
          <w:szCs w:val="20"/>
          <w:rtl/>
        </w:rPr>
        <w:t xml:space="preserve"> אשה הרואה דם בשבעת הימים המתחילים משעת ווסתה, מדאורייתא טובלת בליל שמיני לראייתה.</w:t>
      </w:r>
      <w:r>
        <w:rPr>
          <w:sz w:val="20"/>
          <w:szCs w:val="20"/>
          <w:rtl/>
        </w:rPr>
        <w:br/>
      </w:r>
      <w:r>
        <w:rPr>
          <w:rFonts w:hint="cs"/>
          <w:sz w:val="20"/>
          <w:szCs w:val="20"/>
          <w:rtl/>
        </w:rPr>
        <w:t xml:space="preserve">זבה </w:t>
      </w:r>
      <w:r>
        <w:rPr>
          <w:sz w:val="20"/>
          <w:szCs w:val="20"/>
          <w:rtl/>
        </w:rPr>
        <w:t>–</w:t>
      </w:r>
      <w:r>
        <w:rPr>
          <w:rFonts w:hint="cs"/>
          <w:sz w:val="20"/>
          <w:szCs w:val="20"/>
          <w:rtl/>
        </w:rPr>
        <w:t xml:space="preserve"> אשה הרואה דם באחד עשר הימים שלאחר ימי נידתה, דינה כך:</w:t>
      </w:r>
      <w:r>
        <w:rPr>
          <w:rFonts w:hint="cs"/>
          <w:sz w:val="20"/>
          <w:szCs w:val="20"/>
          <w:rtl/>
        </w:rPr>
        <w:br/>
        <w:t xml:space="preserve">ראתה יום אחד או יומיים </w:t>
      </w:r>
      <w:r>
        <w:rPr>
          <w:sz w:val="20"/>
          <w:szCs w:val="20"/>
          <w:rtl/>
        </w:rPr>
        <w:t>–</w:t>
      </w:r>
      <w:r>
        <w:rPr>
          <w:rFonts w:hint="cs"/>
          <w:sz w:val="20"/>
          <w:szCs w:val="20"/>
          <w:rtl/>
        </w:rPr>
        <w:t xml:space="preserve"> שומרת יום אחד בטהרה, טובלת למחרת ראייתה לאחר הנץ ומשמשת לערב.</w:t>
      </w:r>
      <w:r>
        <w:rPr>
          <w:rFonts w:hint="cs"/>
          <w:sz w:val="20"/>
          <w:szCs w:val="20"/>
          <w:rtl/>
        </w:rPr>
        <w:br/>
        <w:t xml:space="preserve">ראתה שלושה ימים </w:t>
      </w:r>
      <w:r>
        <w:rPr>
          <w:sz w:val="20"/>
          <w:szCs w:val="20"/>
          <w:rtl/>
        </w:rPr>
        <w:t>–</w:t>
      </w:r>
      <w:r>
        <w:rPr>
          <w:rFonts w:hint="cs"/>
          <w:sz w:val="20"/>
          <w:szCs w:val="20"/>
          <w:rtl/>
        </w:rPr>
        <w:t xml:space="preserve"> שומרת שבעה נקיים, טובלת ליל שמיני ומשמשת עם בעלה.</w:t>
      </w:r>
    </w:p>
    <w:p w:rsidR="00620060" w:rsidRDefault="00620060" w:rsidP="00620060">
      <w:pPr>
        <w:rPr>
          <w:sz w:val="20"/>
          <w:szCs w:val="20"/>
          <w:rtl/>
        </w:rPr>
      </w:pPr>
      <w:r>
        <w:rPr>
          <w:rFonts w:hint="cs"/>
          <w:b/>
          <w:bCs/>
          <w:sz w:val="20"/>
          <w:szCs w:val="20"/>
          <w:rtl/>
        </w:rPr>
        <w:t>אופן חישוב ימי נידה וימי זיבה</w:t>
      </w:r>
      <w:r>
        <w:rPr>
          <w:b/>
          <w:bCs/>
          <w:sz w:val="20"/>
          <w:szCs w:val="20"/>
          <w:rtl/>
        </w:rPr>
        <w:br/>
      </w:r>
      <w:r>
        <w:rPr>
          <w:rFonts w:hint="cs"/>
          <w:sz w:val="20"/>
          <w:szCs w:val="20"/>
          <w:rtl/>
        </w:rPr>
        <w:t xml:space="preserve">א. </w:t>
      </w:r>
      <w:r w:rsidRPr="00EC02F9">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משעה שהאשה רואה ווסת פעם ראשונה מונה שבעת ימי נידה, לאחריהם מונה אחד עשר ימי זיבה ולאחריהם שוב מונה שבעה ימי נידה וחזר חלילה, עד שתלד או שתיעקר ווסתה.</w:t>
      </w:r>
      <w:r>
        <w:rPr>
          <w:sz w:val="20"/>
          <w:szCs w:val="20"/>
          <w:rtl/>
        </w:rPr>
        <w:br/>
      </w:r>
      <w:r>
        <w:rPr>
          <w:rFonts w:hint="cs"/>
          <w:sz w:val="20"/>
          <w:szCs w:val="20"/>
          <w:rtl/>
        </w:rPr>
        <w:t xml:space="preserve">ב. </w:t>
      </w:r>
      <w:r w:rsidRPr="00EC02F9">
        <w:rPr>
          <w:rFonts w:hint="cs"/>
          <w:b/>
          <w:bCs/>
          <w:sz w:val="20"/>
          <w:szCs w:val="20"/>
          <w:rtl/>
        </w:rPr>
        <w:t>רש"י</w:t>
      </w:r>
      <w:r>
        <w:rPr>
          <w:rFonts w:hint="cs"/>
          <w:sz w:val="20"/>
          <w:szCs w:val="20"/>
          <w:rtl/>
        </w:rPr>
        <w:t xml:space="preserve"> ורוב הראשונים </w:t>
      </w:r>
      <w:r>
        <w:rPr>
          <w:sz w:val="20"/>
          <w:szCs w:val="20"/>
          <w:rtl/>
        </w:rPr>
        <w:t>–</w:t>
      </w:r>
      <w:r>
        <w:rPr>
          <w:rFonts w:hint="cs"/>
          <w:sz w:val="20"/>
          <w:szCs w:val="20"/>
          <w:rtl/>
        </w:rPr>
        <w:t xml:space="preserve"> זבה גדולה חוזרת לתחילת ימי נידתה רק לאחר שתשב שבעה נקיים.</w:t>
      </w:r>
      <w:r>
        <w:rPr>
          <w:rStyle w:val="a5"/>
          <w:sz w:val="20"/>
          <w:szCs w:val="20"/>
          <w:rtl/>
        </w:rPr>
        <w:footnoteReference w:id="5"/>
      </w:r>
      <w:r>
        <w:rPr>
          <w:rFonts w:hint="cs"/>
          <w:sz w:val="20"/>
          <w:szCs w:val="20"/>
          <w:rtl/>
        </w:rPr>
        <w:br/>
        <w:t xml:space="preserve">ואמנם, כל עוד אינה מצליחה לשמור על שבעה נקיים וסותרת אותם, דינה כעומדת בימי זיבתה. </w:t>
      </w:r>
      <w:r>
        <w:rPr>
          <w:sz w:val="20"/>
          <w:szCs w:val="20"/>
          <w:rtl/>
        </w:rPr>
        <w:br/>
      </w:r>
      <w:r w:rsidRPr="00C006A7">
        <w:rPr>
          <w:rFonts w:hint="cs"/>
          <w:sz w:val="18"/>
          <w:szCs w:val="18"/>
          <w:rtl/>
        </w:rPr>
        <w:t xml:space="preserve">[בניגוד לרמב"ם הסובר שאף בכה"ג מונה ז' לנידתה ויא' לזיבתה, ולכן ייתכן שטהרתה תהיה באמצע ימי נידתה או זיבתה]. </w:t>
      </w:r>
      <w:r>
        <w:rPr>
          <w:rFonts w:hint="cs"/>
          <w:sz w:val="20"/>
          <w:szCs w:val="20"/>
          <w:rtl/>
        </w:rPr>
        <w:br/>
        <w:t xml:space="preserve">אך אם כל יא' ימי זיבתה לא ראתה דם, מייד כשתראה אחר כך </w:t>
      </w:r>
      <w:r w:rsidRPr="00017281">
        <w:rPr>
          <w:rFonts w:hint="cs"/>
          <w:sz w:val="18"/>
          <w:szCs w:val="18"/>
          <w:rtl/>
        </w:rPr>
        <w:t xml:space="preserve">(כגון ביום יט' או כו') </w:t>
      </w:r>
      <w:r>
        <w:rPr>
          <w:rFonts w:hint="cs"/>
          <w:sz w:val="20"/>
          <w:szCs w:val="20"/>
          <w:rtl/>
        </w:rPr>
        <w:t>מתחילים ימי נידתה.</w:t>
      </w:r>
    </w:p>
    <w:p w:rsidR="00620060" w:rsidRDefault="00620060" w:rsidP="00620060">
      <w:pPr>
        <w:rPr>
          <w:sz w:val="20"/>
          <w:szCs w:val="20"/>
          <w:rtl/>
        </w:rPr>
      </w:pPr>
      <w:r>
        <w:rPr>
          <w:rFonts w:hint="cs"/>
          <w:b/>
          <w:bCs/>
          <w:sz w:val="20"/>
          <w:szCs w:val="20"/>
          <w:rtl/>
        </w:rPr>
        <w:t>תשמיש לשומרת יום כנגד יום לאחר טבילה</w:t>
      </w:r>
      <w:r>
        <w:rPr>
          <w:rFonts w:hint="cs"/>
          <w:sz w:val="20"/>
          <w:szCs w:val="20"/>
          <w:rtl/>
        </w:rPr>
        <w:br/>
      </w:r>
      <w:r w:rsidRPr="003C796C">
        <w:rPr>
          <w:rFonts w:hint="cs"/>
          <w:b/>
          <w:bCs/>
          <w:sz w:val="20"/>
          <w:szCs w:val="20"/>
          <w:rtl/>
        </w:rPr>
        <w:t>משנה</w:t>
      </w:r>
      <w:r>
        <w:rPr>
          <w:rFonts w:hint="cs"/>
          <w:sz w:val="20"/>
          <w:szCs w:val="20"/>
          <w:rtl/>
        </w:rPr>
        <w:t xml:space="preserve"> נידה (עב.) "</w:t>
      </w:r>
      <w:r w:rsidRPr="00D253F0">
        <w:rPr>
          <w:rFonts w:cs="Arial" w:hint="cs"/>
          <w:sz w:val="20"/>
          <w:szCs w:val="20"/>
          <w:rtl/>
        </w:rPr>
        <w:t>ומודים</w:t>
      </w:r>
      <w:r w:rsidRPr="00D253F0">
        <w:rPr>
          <w:rFonts w:cs="Arial"/>
          <w:sz w:val="20"/>
          <w:szCs w:val="20"/>
          <w:rtl/>
        </w:rPr>
        <w:t xml:space="preserve"> </w:t>
      </w:r>
      <w:r w:rsidRPr="00D253F0">
        <w:rPr>
          <w:rFonts w:cs="Arial" w:hint="cs"/>
          <w:sz w:val="20"/>
          <w:szCs w:val="20"/>
          <w:rtl/>
        </w:rPr>
        <w:t>ברואה</w:t>
      </w:r>
      <w:r w:rsidRPr="00D253F0">
        <w:rPr>
          <w:rFonts w:cs="Arial"/>
          <w:sz w:val="20"/>
          <w:szCs w:val="20"/>
          <w:rtl/>
        </w:rPr>
        <w:t xml:space="preserve"> </w:t>
      </w:r>
      <w:r w:rsidRPr="00D253F0">
        <w:rPr>
          <w:rFonts w:cs="Arial" w:hint="cs"/>
          <w:sz w:val="20"/>
          <w:szCs w:val="20"/>
          <w:rtl/>
        </w:rPr>
        <w:t>בתוך</w:t>
      </w:r>
      <w:r w:rsidRPr="00D253F0">
        <w:rPr>
          <w:rFonts w:cs="Arial"/>
          <w:sz w:val="20"/>
          <w:szCs w:val="20"/>
          <w:rtl/>
        </w:rPr>
        <w:t xml:space="preserve"> </w:t>
      </w:r>
      <w:r w:rsidRPr="00D253F0">
        <w:rPr>
          <w:rFonts w:cs="Arial" w:hint="cs"/>
          <w:sz w:val="20"/>
          <w:szCs w:val="20"/>
          <w:rtl/>
        </w:rPr>
        <w:t>י</w:t>
      </w:r>
      <w:r w:rsidRPr="00D253F0">
        <w:rPr>
          <w:rFonts w:cs="Arial"/>
          <w:sz w:val="20"/>
          <w:szCs w:val="20"/>
          <w:rtl/>
        </w:rPr>
        <w:t>"</w:t>
      </w:r>
      <w:r w:rsidRPr="00D253F0">
        <w:rPr>
          <w:rFonts w:cs="Arial" w:hint="cs"/>
          <w:sz w:val="20"/>
          <w:szCs w:val="20"/>
          <w:rtl/>
        </w:rPr>
        <w:t>א</w:t>
      </w:r>
      <w:r w:rsidRPr="00D253F0">
        <w:rPr>
          <w:rFonts w:cs="Arial"/>
          <w:sz w:val="20"/>
          <w:szCs w:val="20"/>
          <w:rtl/>
        </w:rPr>
        <w:t xml:space="preserve"> </w:t>
      </w:r>
      <w:r w:rsidRPr="00D253F0">
        <w:rPr>
          <w:rFonts w:cs="Arial" w:hint="cs"/>
          <w:sz w:val="20"/>
          <w:szCs w:val="20"/>
          <w:rtl/>
        </w:rPr>
        <w:t>יום</w:t>
      </w:r>
      <w:r w:rsidRPr="00D253F0">
        <w:rPr>
          <w:rFonts w:cs="Arial"/>
          <w:sz w:val="20"/>
          <w:szCs w:val="20"/>
          <w:rtl/>
        </w:rPr>
        <w:t xml:space="preserve">, </w:t>
      </w:r>
      <w:r w:rsidRPr="00D253F0">
        <w:rPr>
          <w:rFonts w:cs="Arial" w:hint="cs"/>
          <w:sz w:val="20"/>
          <w:szCs w:val="20"/>
          <w:rtl/>
        </w:rPr>
        <w:t>וטבלה</w:t>
      </w:r>
      <w:r w:rsidRPr="00D253F0">
        <w:rPr>
          <w:rFonts w:cs="Arial"/>
          <w:sz w:val="20"/>
          <w:szCs w:val="20"/>
          <w:rtl/>
        </w:rPr>
        <w:t xml:space="preserve"> </w:t>
      </w:r>
      <w:r w:rsidRPr="00D253F0">
        <w:rPr>
          <w:rFonts w:cs="Arial" w:hint="cs"/>
          <w:sz w:val="20"/>
          <w:szCs w:val="20"/>
          <w:rtl/>
        </w:rPr>
        <w:t>לערב</w:t>
      </w:r>
      <w:r w:rsidRPr="00D253F0">
        <w:rPr>
          <w:rFonts w:cs="Arial"/>
          <w:sz w:val="20"/>
          <w:szCs w:val="20"/>
          <w:rtl/>
        </w:rPr>
        <w:t xml:space="preserve"> </w:t>
      </w:r>
      <w:r w:rsidRPr="00D253F0">
        <w:rPr>
          <w:rFonts w:cs="Arial" w:hint="cs"/>
          <w:sz w:val="20"/>
          <w:szCs w:val="20"/>
          <w:rtl/>
        </w:rPr>
        <w:t>ושמשה</w:t>
      </w:r>
      <w:r w:rsidRPr="00D253F0">
        <w:rPr>
          <w:rFonts w:cs="Arial"/>
          <w:sz w:val="20"/>
          <w:szCs w:val="20"/>
          <w:rtl/>
        </w:rPr>
        <w:t xml:space="preserve"> - </w:t>
      </w:r>
      <w:r w:rsidRPr="00D253F0">
        <w:rPr>
          <w:rFonts w:cs="Arial" w:hint="cs"/>
          <w:sz w:val="20"/>
          <w:szCs w:val="20"/>
          <w:rtl/>
        </w:rPr>
        <w:t>שמטמאין</w:t>
      </w:r>
      <w:r w:rsidRPr="00D253F0">
        <w:rPr>
          <w:rFonts w:cs="Arial"/>
          <w:sz w:val="20"/>
          <w:szCs w:val="20"/>
          <w:rtl/>
        </w:rPr>
        <w:t xml:space="preserve"> </w:t>
      </w:r>
      <w:r w:rsidRPr="00D253F0">
        <w:rPr>
          <w:rFonts w:cs="Arial" w:hint="cs"/>
          <w:sz w:val="20"/>
          <w:szCs w:val="20"/>
          <w:rtl/>
        </w:rPr>
        <w:t>משכב</w:t>
      </w:r>
      <w:r w:rsidRPr="00D253F0">
        <w:rPr>
          <w:rFonts w:cs="Arial"/>
          <w:sz w:val="20"/>
          <w:szCs w:val="20"/>
          <w:rtl/>
        </w:rPr>
        <w:t xml:space="preserve"> </w:t>
      </w:r>
      <w:r w:rsidRPr="00D253F0">
        <w:rPr>
          <w:rFonts w:cs="Arial" w:hint="cs"/>
          <w:sz w:val="20"/>
          <w:szCs w:val="20"/>
          <w:rtl/>
        </w:rPr>
        <w:t>ומושב</w:t>
      </w:r>
      <w:r w:rsidRPr="00D253F0">
        <w:rPr>
          <w:rFonts w:cs="Arial"/>
          <w:sz w:val="20"/>
          <w:szCs w:val="20"/>
          <w:rtl/>
        </w:rPr>
        <w:t xml:space="preserve">. </w:t>
      </w:r>
      <w:r w:rsidRPr="00D253F0">
        <w:rPr>
          <w:rFonts w:cs="Arial" w:hint="cs"/>
          <w:sz w:val="20"/>
          <w:szCs w:val="20"/>
          <w:rtl/>
        </w:rPr>
        <w:t>וחייבין</w:t>
      </w:r>
      <w:r w:rsidRPr="00D253F0">
        <w:rPr>
          <w:rFonts w:cs="Arial"/>
          <w:sz w:val="20"/>
          <w:szCs w:val="20"/>
          <w:rtl/>
        </w:rPr>
        <w:t xml:space="preserve"> </w:t>
      </w:r>
      <w:r w:rsidRPr="00D253F0">
        <w:rPr>
          <w:rFonts w:cs="Arial" w:hint="cs"/>
          <w:sz w:val="20"/>
          <w:szCs w:val="20"/>
          <w:rtl/>
        </w:rPr>
        <w:t>בקרבן</w:t>
      </w:r>
      <w:r w:rsidRPr="00D253F0">
        <w:rPr>
          <w:rFonts w:cs="Arial"/>
          <w:sz w:val="20"/>
          <w:szCs w:val="20"/>
          <w:rtl/>
        </w:rPr>
        <w:t xml:space="preserve">. </w:t>
      </w:r>
      <w:r w:rsidRPr="00D253F0">
        <w:rPr>
          <w:rFonts w:cs="Arial" w:hint="cs"/>
          <w:sz w:val="20"/>
          <w:szCs w:val="20"/>
          <w:rtl/>
        </w:rPr>
        <w:t>טבלה</w:t>
      </w:r>
      <w:r w:rsidRPr="00D253F0">
        <w:rPr>
          <w:rFonts w:cs="Arial"/>
          <w:sz w:val="20"/>
          <w:szCs w:val="20"/>
          <w:rtl/>
        </w:rPr>
        <w:t xml:space="preserve"> </w:t>
      </w:r>
      <w:r w:rsidRPr="00D253F0">
        <w:rPr>
          <w:rFonts w:cs="Arial" w:hint="cs"/>
          <w:sz w:val="20"/>
          <w:szCs w:val="20"/>
          <w:rtl/>
        </w:rPr>
        <w:t>ביום</w:t>
      </w:r>
      <w:r w:rsidRPr="00D253F0">
        <w:rPr>
          <w:rFonts w:cs="Arial"/>
          <w:sz w:val="20"/>
          <w:szCs w:val="20"/>
          <w:rtl/>
        </w:rPr>
        <w:t xml:space="preserve"> </w:t>
      </w:r>
      <w:r w:rsidRPr="00D253F0">
        <w:rPr>
          <w:rFonts w:cs="Arial" w:hint="cs"/>
          <w:sz w:val="20"/>
          <w:szCs w:val="20"/>
          <w:rtl/>
        </w:rPr>
        <w:t>של</w:t>
      </w:r>
      <w:r w:rsidRPr="00D253F0">
        <w:rPr>
          <w:rFonts w:cs="Arial"/>
          <w:sz w:val="20"/>
          <w:szCs w:val="20"/>
          <w:rtl/>
        </w:rPr>
        <w:t xml:space="preserve"> </w:t>
      </w:r>
      <w:r w:rsidRPr="00D253F0">
        <w:rPr>
          <w:rFonts w:cs="Arial" w:hint="cs"/>
          <w:sz w:val="20"/>
          <w:szCs w:val="20"/>
          <w:rtl/>
        </w:rPr>
        <w:t>אחריו</w:t>
      </w:r>
      <w:r w:rsidRPr="00D253F0">
        <w:rPr>
          <w:rFonts w:cs="Arial"/>
          <w:sz w:val="20"/>
          <w:szCs w:val="20"/>
          <w:rtl/>
        </w:rPr>
        <w:t xml:space="preserve"> </w:t>
      </w:r>
      <w:r w:rsidRPr="00D253F0">
        <w:rPr>
          <w:rFonts w:cs="Arial" w:hint="cs"/>
          <w:sz w:val="20"/>
          <w:szCs w:val="20"/>
          <w:rtl/>
        </w:rPr>
        <w:t>ושמשה</w:t>
      </w:r>
      <w:r w:rsidRPr="00D253F0">
        <w:rPr>
          <w:rFonts w:cs="Arial"/>
          <w:sz w:val="20"/>
          <w:szCs w:val="20"/>
          <w:rtl/>
        </w:rPr>
        <w:t xml:space="preserve"> </w:t>
      </w:r>
      <w:r>
        <w:rPr>
          <w:rFonts w:cs="Arial"/>
          <w:sz w:val="20"/>
          <w:szCs w:val="20"/>
          <w:rtl/>
        </w:rPr>
        <w:t>–</w:t>
      </w:r>
      <w:r w:rsidRPr="00D253F0">
        <w:rPr>
          <w:rFonts w:cs="Arial"/>
          <w:sz w:val="20"/>
          <w:szCs w:val="20"/>
          <w:rtl/>
        </w:rPr>
        <w:t xml:space="preserve"> </w:t>
      </w:r>
      <w:r w:rsidRPr="00D253F0">
        <w:rPr>
          <w:rFonts w:cs="Arial" w:hint="cs"/>
          <w:sz w:val="20"/>
          <w:szCs w:val="20"/>
          <w:rtl/>
        </w:rPr>
        <w:t>ה</w:t>
      </w:r>
      <w:r>
        <w:rPr>
          <w:rFonts w:cs="Arial" w:hint="cs"/>
          <w:sz w:val="20"/>
          <w:szCs w:val="20"/>
          <w:rtl/>
        </w:rPr>
        <w:t xml:space="preserve">רי </w:t>
      </w:r>
      <w:r w:rsidRPr="00D253F0">
        <w:rPr>
          <w:rFonts w:cs="Arial" w:hint="cs"/>
          <w:sz w:val="20"/>
          <w:szCs w:val="20"/>
          <w:rtl/>
        </w:rPr>
        <w:t>ז</w:t>
      </w:r>
      <w:r>
        <w:rPr>
          <w:rFonts w:cs="Arial" w:hint="cs"/>
          <w:sz w:val="20"/>
          <w:szCs w:val="20"/>
          <w:rtl/>
        </w:rPr>
        <w:t>ה</w:t>
      </w:r>
      <w:r w:rsidRPr="00D253F0">
        <w:rPr>
          <w:rFonts w:cs="Arial"/>
          <w:sz w:val="20"/>
          <w:szCs w:val="20"/>
          <w:rtl/>
        </w:rPr>
        <w:t xml:space="preserve"> </w:t>
      </w:r>
      <w:r w:rsidRPr="00D253F0">
        <w:rPr>
          <w:rFonts w:cs="Arial" w:hint="cs"/>
          <w:sz w:val="20"/>
          <w:szCs w:val="20"/>
          <w:rtl/>
        </w:rPr>
        <w:t>תרבות</w:t>
      </w:r>
      <w:r w:rsidRPr="00D253F0">
        <w:rPr>
          <w:rFonts w:cs="Arial"/>
          <w:sz w:val="20"/>
          <w:szCs w:val="20"/>
          <w:rtl/>
        </w:rPr>
        <w:t xml:space="preserve"> </w:t>
      </w:r>
      <w:r w:rsidRPr="00D253F0">
        <w:rPr>
          <w:rFonts w:cs="Arial" w:hint="cs"/>
          <w:sz w:val="20"/>
          <w:szCs w:val="20"/>
          <w:rtl/>
        </w:rPr>
        <w:t>רעה</w:t>
      </w:r>
      <w:r w:rsidRPr="00D253F0">
        <w:rPr>
          <w:rFonts w:cs="Arial"/>
          <w:sz w:val="20"/>
          <w:szCs w:val="20"/>
          <w:rtl/>
        </w:rPr>
        <w:t xml:space="preserve">, </w:t>
      </w:r>
      <w:r w:rsidRPr="00D253F0">
        <w:rPr>
          <w:rFonts w:cs="Arial" w:hint="cs"/>
          <w:sz w:val="20"/>
          <w:szCs w:val="20"/>
          <w:rtl/>
        </w:rPr>
        <w:t>ומגען</w:t>
      </w:r>
      <w:r w:rsidRPr="00D253F0">
        <w:rPr>
          <w:rFonts w:cs="Arial"/>
          <w:sz w:val="20"/>
          <w:szCs w:val="20"/>
          <w:rtl/>
        </w:rPr>
        <w:t xml:space="preserve"> </w:t>
      </w:r>
      <w:r w:rsidRPr="00D253F0">
        <w:rPr>
          <w:rFonts w:cs="Arial" w:hint="cs"/>
          <w:sz w:val="20"/>
          <w:szCs w:val="20"/>
          <w:rtl/>
        </w:rPr>
        <w:t>ובעילתן</w:t>
      </w:r>
      <w:r w:rsidRPr="00D253F0">
        <w:rPr>
          <w:rFonts w:cs="Arial"/>
          <w:sz w:val="20"/>
          <w:szCs w:val="20"/>
          <w:rtl/>
        </w:rPr>
        <w:t xml:space="preserve"> </w:t>
      </w:r>
      <w:r w:rsidRPr="00D253F0">
        <w:rPr>
          <w:rFonts w:cs="Arial" w:hint="cs"/>
          <w:sz w:val="20"/>
          <w:szCs w:val="20"/>
          <w:rtl/>
        </w:rPr>
        <w:t>תלויין</w:t>
      </w:r>
      <w:r>
        <w:rPr>
          <w:rFonts w:cs="Arial" w:hint="cs"/>
          <w:sz w:val="20"/>
          <w:szCs w:val="20"/>
          <w:rtl/>
        </w:rPr>
        <w:t>".</w:t>
      </w:r>
      <w:r>
        <w:rPr>
          <w:rFonts w:hint="cs"/>
          <w:sz w:val="20"/>
          <w:szCs w:val="20"/>
          <w:rtl/>
        </w:rPr>
        <w:br/>
        <w:t xml:space="preserve">וכן פוסק הטור </w:t>
      </w:r>
      <w:r w:rsidRPr="003C796C">
        <w:rPr>
          <w:rFonts w:hint="cs"/>
          <w:sz w:val="18"/>
          <w:szCs w:val="18"/>
          <w:rtl/>
        </w:rPr>
        <w:t>(הו"ד לעיל)</w:t>
      </w:r>
      <w:r>
        <w:rPr>
          <w:rFonts w:hint="cs"/>
          <w:sz w:val="20"/>
          <w:szCs w:val="20"/>
          <w:rtl/>
        </w:rPr>
        <w:t>, ששומרת יום כנגד יום אסורה לשמש אף לאחר שטבלה, שהרי אם תראה דם סותרת את מה ששמרה עד עכשיו ונמצא שבעל זבה.</w:t>
      </w:r>
    </w:p>
    <w:p w:rsidR="00620060" w:rsidRDefault="00620060" w:rsidP="00620060">
      <w:pPr>
        <w:rPr>
          <w:sz w:val="20"/>
          <w:szCs w:val="20"/>
          <w:rtl/>
        </w:rPr>
      </w:pPr>
      <w:r>
        <w:rPr>
          <w:rFonts w:hint="cs"/>
          <w:b/>
          <w:bCs/>
          <w:sz w:val="20"/>
          <w:szCs w:val="20"/>
          <w:rtl/>
        </w:rPr>
        <w:t>זמן טבילה לזבה גדולה</w:t>
      </w:r>
      <w:r>
        <w:rPr>
          <w:b/>
          <w:bCs/>
          <w:sz w:val="20"/>
          <w:szCs w:val="20"/>
          <w:rtl/>
        </w:rPr>
        <w:br/>
      </w:r>
      <w:r>
        <w:rPr>
          <w:rFonts w:hint="cs"/>
          <w:b/>
          <w:bCs/>
          <w:sz w:val="20"/>
          <w:szCs w:val="20"/>
          <w:rtl/>
        </w:rPr>
        <w:t xml:space="preserve">גמרא </w:t>
      </w:r>
      <w:r>
        <w:rPr>
          <w:rFonts w:hint="cs"/>
          <w:sz w:val="20"/>
          <w:szCs w:val="20"/>
          <w:rtl/>
        </w:rPr>
        <w:t>שם (סז:) "</w:t>
      </w:r>
      <w:r w:rsidRPr="006D1342">
        <w:rPr>
          <w:rFonts w:cs="Arial" w:hint="cs"/>
          <w:sz w:val="20"/>
          <w:szCs w:val="20"/>
          <w:rtl/>
        </w:rPr>
        <w:t>אמר</w:t>
      </w:r>
      <w:r w:rsidRPr="006D1342">
        <w:rPr>
          <w:rFonts w:cs="Arial"/>
          <w:sz w:val="20"/>
          <w:szCs w:val="20"/>
          <w:rtl/>
        </w:rPr>
        <w:t xml:space="preserve"> </w:t>
      </w:r>
      <w:r w:rsidRPr="006D1342">
        <w:rPr>
          <w:rFonts w:cs="Arial" w:hint="cs"/>
          <w:sz w:val="20"/>
          <w:szCs w:val="20"/>
          <w:rtl/>
        </w:rPr>
        <w:t>ליה</w:t>
      </w:r>
      <w:r w:rsidRPr="006D1342">
        <w:rPr>
          <w:rFonts w:cs="Arial"/>
          <w:sz w:val="20"/>
          <w:szCs w:val="20"/>
          <w:rtl/>
        </w:rPr>
        <w:t xml:space="preserve"> </w:t>
      </w:r>
      <w:r w:rsidRPr="006D1342">
        <w:rPr>
          <w:rFonts w:cs="Arial" w:hint="cs"/>
          <w:sz w:val="20"/>
          <w:szCs w:val="20"/>
          <w:rtl/>
        </w:rPr>
        <w:t>רב</w:t>
      </w:r>
      <w:r w:rsidRPr="006D1342">
        <w:rPr>
          <w:rFonts w:cs="Arial"/>
          <w:sz w:val="20"/>
          <w:szCs w:val="20"/>
          <w:rtl/>
        </w:rPr>
        <w:t xml:space="preserve"> </w:t>
      </w:r>
      <w:r w:rsidRPr="006D1342">
        <w:rPr>
          <w:rFonts w:cs="Arial" w:hint="cs"/>
          <w:sz w:val="20"/>
          <w:szCs w:val="20"/>
          <w:rtl/>
        </w:rPr>
        <w:t>פפא</w:t>
      </w:r>
      <w:r w:rsidRPr="006D1342">
        <w:rPr>
          <w:rFonts w:cs="Arial"/>
          <w:sz w:val="20"/>
          <w:szCs w:val="20"/>
          <w:rtl/>
        </w:rPr>
        <w:t xml:space="preserve"> </w:t>
      </w:r>
      <w:r w:rsidRPr="006D1342">
        <w:rPr>
          <w:rFonts w:cs="Arial" w:hint="cs"/>
          <w:sz w:val="20"/>
          <w:szCs w:val="20"/>
          <w:rtl/>
        </w:rPr>
        <w:t>לרבא</w:t>
      </w:r>
      <w:r w:rsidRPr="006D1342">
        <w:rPr>
          <w:rFonts w:cs="Arial"/>
          <w:sz w:val="20"/>
          <w:szCs w:val="20"/>
          <w:rtl/>
        </w:rPr>
        <w:t xml:space="preserve"> </w:t>
      </w:r>
      <w:r w:rsidRPr="006D1342">
        <w:rPr>
          <w:rFonts w:cs="Arial" w:hint="cs"/>
          <w:sz w:val="20"/>
          <w:szCs w:val="20"/>
          <w:rtl/>
        </w:rPr>
        <w:t>ולאביי</w:t>
      </w:r>
      <w:r w:rsidRPr="006D1342">
        <w:rPr>
          <w:rFonts w:cs="Arial"/>
          <w:sz w:val="20"/>
          <w:szCs w:val="20"/>
          <w:rtl/>
        </w:rPr>
        <w:t xml:space="preserve">: </w:t>
      </w:r>
      <w:r w:rsidRPr="006D1342">
        <w:rPr>
          <w:rFonts w:cs="Arial" w:hint="cs"/>
          <w:sz w:val="20"/>
          <w:szCs w:val="20"/>
          <w:rtl/>
        </w:rPr>
        <w:t>מכדי</w:t>
      </w:r>
      <w:r w:rsidRPr="006D1342">
        <w:rPr>
          <w:rFonts w:cs="Arial"/>
          <w:sz w:val="20"/>
          <w:szCs w:val="20"/>
          <w:rtl/>
        </w:rPr>
        <w:t xml:space="preserve"> </w:t>
      </w:r>
      <w:r w:rsidRPr="006D1342">
        <w:rPr>
          <w:rFonts w:cs="Arial" w:hint="cs"/>
          <w:sz w:val="20"/>
          <w:szCs w:val="20"/>
          <w:rtl/>
        </w:rPr>
        <w:t>האידנא</w:t>
      </w:r>
      <w:r w:rsidRPr="006D1342">
        <w:rPr>
          <w:rFonts w:cs="Arial"/>
          <w:sz w:val="20"/>
          <w:szCs w:val="20"/>
          <w:rtl/>
        </w:rPr>
        <w:t xml:space="preserve"> </w:t>
      </w:r>
      <w:r w:rsidRPr="006D1342">
        <w:rPr>
          <w:rFonts w:cs="Arial" w:hint="cs"/>
          <w:sz w:val="20"/>
          <w:szCs w:val="20"/>
          <w:rtl/>
        </w:rPr>
        <w:t>כולהו</w:t>
      </w:r>
      <w:r w:rsidRPr="006D1342">
        <w:rPr>
          <w:rFonts w:cs="Arial"/>
          <w:sz w:val="20"/>
          <w:szCs w:val="20"/>
          <w:rtl/>
        </w:rPr>
        <w:t xml:space="preserve"> </w:t>
      </w:r>
      <w:r w:rsidRPr="006D1342">
        <w:rPr>
          <w:rFonts w:cs="Arial" w:hint="cs"/>
          <w:sz w:val="20"/>
          <w:szCs w:val="20"/>
          <w:rtl/>
        </w:rPr>
        <w:t>ספק</w:t>
      </w:r>
      <w:r w:rsidRPr="006D1342">
        <w:rPr>
          <w:rFonts w:cs="Arial"/>
          <w:sz w:val="20"/>
          <w:szCs w:val="20"/>
          <w:rtl/>
        </w:rPr>
        <w:t xml:space="preserve"> </w:t>
      </w:r>
      <w:r w:rsidRPr="006D1342">
        <w:rPr>
          <w:rFonts w:cs="Arial" w:hint="cs"/>
          <w:sz w:val="20"/>
          <w:szCs w:val="20"/>
          <w:rtl/>
        </w:rPr>
        <w:t>זבות</w:t>
      </w:r>
      <w:r w:rsidRPr="006D1342">
        <w:rPr>
          <w:rFonts w:cs="Arial"/>
          <w:sz w:val="20"/>
          <w:szCs w:val="20"/>
          <w:rtl/>
        </w:rPr>
        <w:t xml:space="preserve"> </w:t>
      </w:r>
      <w:r w:rsidRPr="006D1342">
        <w:rPr>
          <w:rFonts w:cs="Arial" w:hint="cs"/>
          <w:sz w:val="20"/>
          <w:szCs w:val="20"/>
          <w:rtl/>
        </w:rPr>
        <w:t>שוינהו</w:t>
      </w:r>
      <w:r w:rsidRPr="006D1342">
        <w:rPr>
          <w:rFonts w:cs="Arial"/>
          <w:sz w:val="20"/>
          <w:szCs w:val="20"/>
          <w:rtl/>
        </w:rPr>
        <w:t xml:space="preserve"> </w:t>
      </w:r>
      <w:r w:rsidRPr="006D1342">
        <w:rPr>
          <w:rFonts w:cs="Arial" w:hint="cs"/>
          <w:sz w:val="20"/>
          <w:szCs w:val="20"/>
          <w:rtl/>
        </w:rPr>
        <w:t>רבנן</w:t>
      </w:r>
      <w:r w:rsidRPr="006D1342">
        <w:rPr>
          <w:rFonts w:cs="Arial"/>
          <w:sz w:val="20"/>
          <w:szCs w:val="20"/>
          <w:rtl/>
        </w:rPr>
        <w:t xml:space="preserve">, </w:t>
      </w:r>
      <w:r w:rsidRPr="006D1342">
        <w:rPr>
          <w:rFonts w:cs="Arial" w:hint="cs"/>
          <w:sz w:val="20"/>
          <w:szCs w:val="20"/>
          <w:rtl/>
        </w:rPr>
        <w:t>ליטבלינהו</w:t>
      </w:r>
      <w:r w:rsidRPr="006D1342">
        <w:rPr>
          <w:rFonts w:cs="Arial"/>
          <w:sz w:val="20"/>
          <w:szCs w:val="20"/>
          <w:rtl/>
        </w:rPr>
        <w:t xml:space="preserve"> </w:t>
      </w:r>
      <w:r w:rsidRPr="006D1342">
        <w:rPr>
          <w:rFonts w:cs="Arial" w:hint="cs"/>
          <w:sz w:val="20"/>
          <w:szCs w:val="20"/>
          <w:rtl/>
        </w:rPr>
        <w:t>ביממא</w:t>
      </w:r>
      <w:r w:rsidRPr="006D1342">
        <w:rPr>
          <w:rFonts w:cs="Arial"/>
          <w:sz w:val="20"/>
          <w:szCs w:val="20"/>
          <w:rtl/>
        </w:rPr>
        <w:t xml:space="preserve"> </w:t>
      </w:r>
      <w:r w:rsidRPr="006D1342">
        <w:rPr>
          <w:rFonts w:cs="Arial" w:hint="cs"/>
          <w:sz w:val="20"/>
          <w:szCs w:val="20"/>
          <w:rtl/>
        </w:rPr>
        <w:t>דשביעאה</w:t>
      </w:r>
      <w:r w:rsidRPr="006D1342">
        <w:rPr>
          <w:rFonts w:cs="Arial"/>
          <w:sz w:val="20"/>
          <w:szCs w:val="20"/>
          <w:rtl/>
        </w:rPr>
        <w:t>?</w:t>
      </w:r>
      <w:r>
        <w:rPr>
          <w:rFonts w:cs="Arial" w:hint="cs"/>
          <w:sz w:val="20"/>
          <w:szCs w:val="20"/>
          <w:rtl/>
        </w:rPr>
        <w:t xml:space="preserve"> </w:t>
      </w:r>
      <w:r w:rsidRPr="00797130">
        <w:rPr>
          <w:rFonts w:cs="Arial" w:hint="cs"/>
          <w:sz w:val="18"/>
          <w:szCs w:val="18"/>
          <w:rtl/>
        </w:rPr>
        <w:t xml:space="preserve">(אם נידה </w:t>
      </w:r>
      <w:r w:rsidRPr="00797130">
        <w:rPr>
          <w:rFonts w:cs="Arial"/>
          <w:sz w:val="18"/>
          <w:szCs w:val="18"/>
          <w:rtl/>
        </w:rPr>
        <w:t>–</w:t>
      </w:r>
      <w:r w:rsidRPr="00797130">
        <w:rPr>
          <w:rFonts w:cs="Arial" w:hint="cs"/>
          <w:sz w:val="18"/>
          <w:szCs w:val="18"/>
          <w:rtl/>
        </w:rPr>
        <w:t xml:space="preserve"> עברו יותר מז' לראייתה, ואם זבה </w:t>
      </w:r>
      <w:r w:rsidRPr="00797130">
        <w:rPr>
          <w:rFonts w:cs="Arial"/>
          <w:sz w:val="18"/>
          <w:szCs w:val="18"/>
          <w:rtl/>
        </w:rPr>
        <w:t>–</w:t>
      </w:r>
      <w:r w:rsidRPr="00797130">
        <w:rPr>
          <w:rFonts w:cs="Arial" w:hint="cs"/>
          <w:sz w:val="18"/>
          <w:szCs w:val="18"/>
          <w:rtl/>
        </w:rPr>
        <w:t xml:space="preserve"> טבילתה ביום)</w:t>
      </w:r>
      <w:r w:rsidRPr="00797130">
        <w:rPr>
          <w:rFonts w:cs="Arial"/>
          <w:sz w:val="18"/>
          <w:szCs w:val="18"/>
          <w:rtl/>
        </w:rPr>
        <w:t xml:space="preserve"> </w:t>
      </w:r>
      <w:r w:rsidRPr="006D1342">
        <w:rPr>
          <w:rFonts w:cs="Arial" w:hint="cs"/>
          <w:sz w:val="20"/>
          <w:szCs w:val="20"/>
          <w:rtl/>
        </w:rPr>
        <w:t>משום</w:t>
      </w:r>
      <w:r w:rsidRPr="006D1342">
        <w:rPr>
          <w:rFonts w:cs="Arial"/>
          <w:sz w:val="20"/>
          <w:szCs w:val="20"/>
          <w:rtl/>
        </w:rPr>
        <w:t xml:space="preserve"> </w:t>
      </w:r>
      <w:r w:rsidRPr="006D1342">
        <w:rPr>
          <w:rFonts w:cs="Arial" w:hint="cs"/>
          <w:sz w:val="20"/>
          <w:szCs w:val="20"/>
          <w:rtl/>
        </w:rPr>
        <w:t>דרבי</w:t>
      </w:r>
      <w:r w:rsidRPr="006D1342">
        <w:rPr>
          <w:rFonts w:cs="Arial"/>
          <w:sz w:val="20"/>
          <w:szCs w:val="20"/>
          <w:rtl/>
        </w:rPr>
        <w:t xml:space="preserve"> </w:t>
      </w:r>
      <w:r w:rsidRPr="006D1342">
        <w:rPr>
          <w:rFonts w:cs="Arial" w:hint="cs"/>
          <w:sz w:val="20"/>
          <w:szCs w:val="20"/>
          <w:rtl/>
        </w:rPr>
        <w:t>שמעון</w:t>
      </w:r>
      <w:r w:rsidRPr="006D1342">
        <w:rPr>
          <w:rFonts w:cs="Arial"/>
          <w:sz w:val="20"/>
          <w:szCs w:val="20"/>
          <w:rtl/>
        </w:rPr>
        <w:t xml:space="preserve">, </w:t>
      </w:r>
      <w:r w:rsidRPr="006D1342">
        <w:rPr>
          <w:rFonts w:cs="Arial" w:hint="cs"/>
          <w:sz w:val="20"/>
          <w:szCs w:val="20"/>
          <w:rtl/>
        </w:rPr>
        <w:t>דתניא</w:t>
      </w:r>
      <w:r>
        <w:rPr>
          <w:rFonts w:cs="Arial" w:hint="cs"/>
          <w:sz w:val="20"/>
          <w:szCs w:val="20"/>
          <w:rtl/>
        </w:rPr>
        <w:t>...</w:t>
      </w:r>
      <w:r>
        <w:rPr>
          <w:rFonts w:cs="Arial" w:hint="cs"/>
          <w:sz w:val="20"/>
          <w:szCs w:val="20"/>
          <w:rtl/>
        </w:rPr>
        <w:br/>
      </w:r>
      <w:r w:rsidRPr="006D1342">
        <w:rPr>
          <w:rFonts w:cs="Arial" w:hint="cs"/>
          <w:sz w:val="20"/>
          <w:szCs w:val="20"/>
          <w:rtl/>
        </w:rPr>
        <w:t>ר</w:t>
      </w:r>
      <w:r>
        <w:rPr>
          <w:rFonts w:cs="Arial" w:hint="cs"/>
          <w:sz w:val="20"/>
          <w:szCs w:val="20"/>
          <w:rtl/>
        </w:rPr>
        <w:t>בי</w:t>
      </w:r>
      <w:r w:rsidRPr="006D1342">
        <w:rPr>
          <w:rFonts w:cs="Arial"/>
          <w:sz w:val="20"/>
          <w:szCs w:val="20"/>
          <w:rtl/>
        </w:rPr>
        <w:t xml:space="preserve"> </w:t>
      </w:r>
      <w:r w:rsidRPr="006D1342">
        <w:rPr>
          <w:rFonts w:cs="Arial" w:hint="cs"/>
          <w:sz w:val="20"/>
          <w:szCs w:val="20"/>
          <w:rtl/>
        </w:rPr>
        <w:t>שמעון</w:t>
      </w:r>
      <w:r w:rsidRPr="006D1342">
        <w:rPr>
          <w:rFonts w:cs="Arial"/>
          <w:sz w:val="20"/>
          <w:szCs w:val="20"/>
          <w:rtl/>
        </w:rPr>
        <w:t xml:space="preserve"> </w:t>
      </w:r>
      <w:r w:rsidRPr="006D1342">
        <w:rPr>
          <w:rFonts w:cs="Arial" w:hint="cs"/>
          <w:sz w:val="20"/>
          <w:szCs w:val="20"/>
          <w:rtl/>
        </w:rPr>
        <w:t>אומר</w:t>
      </w:r>
      <w:r w:rsidRPr="006D1342">
        <w:rPr>
          <w:rFonts w:cs="Arial"/>
          <w:sz w:val="20"/>
          <w:szCs w:val="20"/>
          <w:rtl/>
        </w:rPr>
        <w:t xml:space="preserve">: </w:t>
      </w:r>
      <w:r w:rsidRPr="006D1342">
        <w:rPr>
          <w:rFonts w:cs="Arial" w:hint="cs"/>
          <w:sz w:val="20"/>
          <w:szCs w:val="20"/>
          <w:rtl/>
        </w:rPr>
        <w:t>אחר</w:t>
      </w:r>
      <w:r w:rsidRPr="006D1342">
        <w:rPr>
          <w:rFonts w:cs="Arial"/>
          <w:sz w:val="20"/>
          <w:szCs w:val="20"/>
          <w:rtl/>
        </w:rPr>
        <w:t xml:space="preserve"> </w:t>
      </w:r>
      <w:r w:rsidRPr="006D1342">
        <w:rPr>
          <w:rFonts w:cs="Arial" w:hint="cs"/>
          <w:sz w:val="20"/>
          <w:szCs w:val="20"/>
          <w:rtl/>
        </w:rPr>
        <w:t>תטהר</w:t>
      </w:r>
      <w:r w:rsidRPr="006D1342">
        <w:rPr>
          <w:rFonts w:cs="Arial"/>
          <w:sz w:val="20"/>
          <w:szCs w:val="20"/>
          <w:rtl/>
        </w:rPr>
        <w:t xml:space="preserve"> - </w:t>
      </w:r>
      <w:r w:rsidRPr="006D1342">
        <w:rPr>
          <w:rFonts w:cs="Arial" w:hint="cs"/>
          <w:sz w:val="20"/>
          <w:szCs w:val="20"/>
          <w:rtl/>
        </w:rPr>
        <w:t>אחר</w:t>
      </w:r>
      <w:r w:rsidRPr="006D1342">
        <w:rPr>
          <w:rFonts w:cs="Arial"/>
          <w:sz w:val="20"/>
          <w:szCs w:val="20"/>
          <w:rtl/>
        </w:rPr>
        <w:t xml:space="preserve"> </w:t>
      </w:r>
      <w:r w:rsidRPr="006D1342">
        <w:rPr>
          <w:rFonts w:cs="Arial" w:hint="cs"/>
          <w:sz w:val="20"/>
          <w:szCs w:val="20"/>
          <w:rtl/>
        </w:rPr>
        <w:t>מעשה</w:t>
      </w:r>
      <w:r w:rsidRPr="006D1342">
        <w:rPr>
          <w:rFonts w:cs="Arial"/>
          <w:sz w:val="20"/>
          <w:szCs w:val="20"/>
          <w:rtl/>
        </w:rPr>
        <w:t xml:space="preserve"> </w:t>
      </w:r>
      <w:r w:rsidRPr="00797130">
        <w:rPr>
          <w:rFonts w:cs="Arial" w:hint="cs"/>
          <w:sz w:val="18"/>
          <w:szCs w:val="18"/>
          <w:rtl/>
        </w:rPr>
        <w:t xml:space="preserve">(ספירת ז', בוקר ז') </w:t>
      </w:r>
      <w:r w:rsidRPr="006D1342">
        <w:rPr>
          <w:rFonts w:cs="Arial" w:hint="cs"/>
          <w:sz w:val="20"/>
          <w:szCs w:val="20"/>
          <w:rtl/>
        </w:rPr>
        <w:t>תטהר</w:t>
      </w:r>
      <w:r w:rsidRPr="006D1342">
        <w:rPr>
          <w:rFonts w:cs="Arial"/>
          <w:sz w:val="20"/>
          <w:szCs w:val="20"/>
          <w:rtl/>
        </w:rPr>
        <w:t xml:space="preserve">. </w:t>
      </w:r>
      <w:r w:rsidRPr="006D1342">
        <w:rPr>
          <w:rFonts w:cs="Arial" w:hint="cs"/>
          <w:sz w:val="20"/>
          <w:szCs w:val="20"/>
          <w:rtl/>
        </w:rPr>
        <w:t>אבל</w:t>
      </w:r>
      <w:r w:rsidRPr="006D1342">
        <w:rPr>
          <w:rFonts w:cs="Arial"/>
          <w:sz w:val="20"/>
          <w:szCs w:val="20"/>
          <w:rtl/>
        </w:rPr>
        <w:t xml:space="preserve"> </w:t>
      </w:r>
      <w:r w:rsidRPr="006D1342">
        <w:rPr>
          <w:rFonts w:cs="Arial" w:hint="cs"/>
          <w:sz w:val="20"/>
          <w:szCs w:val="20"/>
          <w:rtl/>
        </w:rPr>
        <w:t>אמרו</w:t>
      </w:r>
      <w:r w:rsidRPr="006D1342">
        <w:rPr>
          <w:rFonts w:cs="Arial"/>
          <w:sz w:val="20"/>
          <w:szCs w:val="20"/>
          <w:rtl/>
        </w:rPr>
        <w:t xml:space="preserve"> </w:t>
      </w:r>
      <w:r w:rsidRPr="006D1342">
        <w:rPr>
          <w:rFonts w:cs="Arial" w:hint="cs"/>
          <w:sz w:val="20"/>
          <w:szCs w:val="20"/>
          <w:rtl/>
        </w:rPr>
        <w:t>חכמים</w:t>
      </w:r>
      <w:r w:rsidRPr="006D1342">
        <w:rPr>
          <w:rFonts w:cs="Arial"/>
          <w:sz w:val="20"/>
          <w:szCs w:val="20"/>
          <w:rtl/>
        </w:rPr>
        <w:t xml:space="preserve">: </w:t>
      </w:r>
      <w:r w:rsidRPr="006D1342">
        <w:rPr>
          <w:rFonts w:cs="Arial" w:hint="cs"/>
          <w:sz w:val="20"/>
          <w:szCs w:val="20"/>
          <w:rtl/>
        </w:rPr>
        <w:t>אסור</w:t>
      </w:r>
      <w:r w:rsidRPr="006D1342">
        <w:rPr>
          <w:rFonts w:cs="Arial"/>
          <w:sz w:val="20"/>
          <w:szCs w:val="20"/>
          <w:rtl/>
        </w:rPr>
        <w:t xml:space="preserve"> </w:t>
      </w:r>
      <w:r w:rsidRPr="006D1342">
        <w:rPr>
          <w:rFonts w:cs="Arial" w:hint="cs"/>
          <w:sz w:val="20"/>
          <w:szCs w:val="20"/>
          <w:rtl/>
        </w:rPr>
        <w:t>לעשות</w:t>
      </w:r>
      <w:r w:rsidRPr="006D1342">
        <w:rPr>
          <w:rFonts w:cs="Arial"/>
          <w:sz w:val="20"/>
          <w:szCs w:val="20"/>
          <w:rtl/>
        </w:rPr>
        <w:t xml:space="preserve"> </w:t>
      </w:r>
      <w:r w:rsidRPr="006D1342">
        <w:rPr>
          <w:rFonts w:cs="Arial" w:hint="cs"/>
          <w:sz w:val="20"/>
          <w:szCs w:val="20"/>
          <w:rtl/>
        </w:rPr>
        <w:t>כן</w:t>
      </w:r>
      <w:r w:rsidRPr="006D1342">
        <w:rPr>
          <w:rFonts w:cs="Arial"/>
          <w:sz w:val="20"/>
          <w:szCs w:val="20"/>
          <w:rtl/>
        </w:rPr>
        <w:t xml:space="preserve">, </w:t>
      </w:r>
      <w:r w:rsidRPr="006D1342">
        <w:rPr>
          <w:rFonts w:cs="Arial" w:hint="cs"/>
          <w:sz w:val="20"/>
          <w:szCs w:val="20"/>
          <w:rtl/>
        </w:rPr>
        <w:t>שמא</w:t>
      </w:r>
      <w:r w:rsidRPr="006D1342">
        <w:rPr>
          <w:rFonts w:cs="Arial"/>
          <w:sz w:val="20"/>
          <w:szCs w:val="20"/>
          <w:rtl/>
        </w:rPr>
        <w:t xml:space="preserve"> </w:t>
      </w:r>
      <w:r w:rsidRPr="006D1342">
        <w:rPr>
          <w:rFonts w:cs="Arial" w:hint="cs"/>
          <w:sz w:val="20"/>
          <w:szCs w:val="20"/>
          <w:rtl/>
        </w:rPr>
        <w:t>תבא</w:t>
      </w:r>
      <w:r w:rsidRPr="006D1342">
        <w:rPr>
          <w:rFonts w:cs="Arial"/>
          <w:sz w:val="20"/>
          <w:szCs w:val="20"/>
          <w:rtl/>
        </w:rPr>
        <w:t xml:space="preserve"> </w:t>
      </w:r>
      <w:r w:rsidRPr="006D1342">
        <w:rPr>
          <w:rFonts w:cs="Arial" w:hint="cs"/>
          <w:sz w:val="20"/>
          <w:szCs w:val="20"/>
          <w:rtl/>
        </w:rPr>
        <w:t>לידי</w:t>
      </w:r>
      <w:r w:rsidRPr="006D1342">
        <w:rPr>
          <w:rFonts w:cs="Arial"/>
          <w:sz w:val="20"/>
          <w:szCs w:val="20"/>
          <w:rtl/>
        </w:rPr>
        <w:t xml:space="preserve"> </w:t>
      </w:r>
      <w:r w:rsidRPr="006D1342">
        <w:rPr>
          <w:rFonts w:cs="Arial" w:hint="cs"/>
          <w:sz w:val="20"/>
          <w:szCs w:val="20"/>
          <w:rtl/>
        </w:rPr>
        <w:t>ספק</w:t>
      </w:r>
      <w:r>
        <w:rPr>
          <w:rFonts w:cs="Arial" w:hint="cs"/>
          <w:sz w:val="20"/>
          <w:szCs w:val="20"/>
          <w:rtl/>
        </w:rPr>
        <w:t>".</w:t>
      </w:r>
    </w:p>
    <w:p w:rsidR="00620060" w:rsidRDefault="00620060" w:rsidP="00620060">
      <w:pPr>
        <w:rPr>
          <w:sz w:val="20"/>
          <w:szCs w:val="20"/>
          <w:rtl/>
        </w:rPr>
      </w:pPr>
      <w:r>
        <w:rPr>
          <w:rFonts w:hint="cs"/>
          <w:sz w:val="20"/>
          <w:szCs w:val="20"/>
          <w:u w:val="single"/>
          <w:rtl/>
        </w:rPr>
        <w:lastRenderedPageBreak/>
        <w:t>שיטות הראשונים</w:t>
      </w:r>
      <w:r>
        <w:rPr>
          <w:rFonts w:hint="cs"/>
          <w:sz w:val="20"/>
          <w:szCs w:val="20"/>
          <w:u w:val="single"/>
          <w:rtl/>
        </w:rPr>
        <w:br/>
      </w:r>
      <w:r>
        <w:rPr>
          <w:rFonts w:hint="cs"/>
          <w:sz w:val="20"/>
          <w:szCs w:val="20"/>
          <w:rtl/>
        </w:rPr>
        <w:t>נחלקו הראשונים מה אסר רבי שמעון:</w:t>
      </w:r>
      <w:r>
        <w:rPr>
          <w:sz w:val="20"/>
          <w:szCs w:val="20"/>
          <w:u w:val="single"/>
          <w:rtl/>
        </w:rPr>
        <w:br/>
      </w:r>
      <w:r>
        <w:rPr>
          <w:rFonts w:hint="cs"/>
          <w:sz w:val="20"/>
          <w:szCs w:val="20"/>
          <w:rtl/>
        </w:rPr>
        <w:t xml:space="preserve">א. </w:t>
      </w:r>
      <w:r w:rsidRPr="009A1D37">
        <w:rPr>
          <w:rFonts w:hint="cs"/>
          <w:b/>
          <w:bCs/>
          <w:sz w:val="20"/>
          <w:szCs w:val="20"/>
          <w:rtl/>
        </w:rPr>
        <w:t>רי"ף</w:t>
      </w:r>
      <w:r>
        <w:rPr>
          <w:rFonts w:hint="cs"/>
          <w:sz w:val="20"/>
          <w:szCs w:val="20"/>
          <w:rtl/>
        </w:rPr>
        <w:t xml:space="preserve"> </w:t>
      </w:r>
      <w:r w:rsidRPr="009A1D37">
        <w:rPr>
          <w:rFonts w:hint="cs"/>
          <w:sz w:val="18"/>
          <w:szCs w:val="18"/>
          <w:rtl/>
        </w:rPr>
        <w:t xml:space="preserve">(להבנת הב"י) </w:t>
      </w:r>
      <w:r w:rsidRPr="00935645">
        <w:rPr>
          <w:rFonts w:hint="cs"/>
          <w:b/>
          <w:bCs/>
          <w:sz w:val="20"/>
          <w:szCs w:val="20"/>
          <w:rtl/>
        </w:rPr>
        <w:t xml:space="preserve">ורמב"ם </w:t>
      </w:r>
      <w:r>
        <w:rPr>
          <w:sz w:val="20"/>
          <w:szCs w:val="20"/>
          <w:rtl/>
        </w:rPr>
        <w:t>–</w:t>
      </w:r>
      <w:r>
        <w:rPr>
          <w:rFonts w:hint="cs"/>
          <w:sz w:val="20"/>
          <w:szCs w:val="20"/>
          <w:rtl/>
        </w:rPr>
        <w:t xml:space="preserve"> אסור לשמש ביום, אך מותר לטבול ביום.</w:t>
      </w:r>
      <w:r>
        <w:rPr>
          <w:sz w:val="20"/>
          <w:szCs w:val="20"/>
          <w:rtl/>
        </w:rPr>
        <w:br/>
      </w:r>
      <w:r w:rsidRPr="009A1D37">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אסור לשמש שמא תראה דם ונמצא ששימש עם זבה.</w:t>
      </w:r>
      <w:r>
        <w:rPr>
          <w:sz w:val="20"/>
          <w:szCs w:val="20"/>
          <w:rtl/>
        </w:rPr>
        <w:br/>
      </w:r>
      <w:r>
        <w:rPr>
          <w:rFonts w:hint="cs"/>
          <w:sz w:val="20"/>
          <w:szCs w:val="20"/>
          <w:rtl/>
        </w:rPr>
        <w:t xml:space="preserve">ב. </w:t>
      </w:r>
      <w:r w:rsidRPr="009A1D37">
        <w:rPr>
          <w:rFonts w:hint="cs"/>
          <w:b/>
          <w:bCs/>
          <w:sz w:val="20"/>
          <w:szCs w:val="20"/>
          <w:rtl/>
        </w:rPr>
        <w:t>רש"י ותוספות</w:t>
      </w:r>
      <w:r>
        <w:rPr>
          <w:rFonts w:hint="cs"/>
          <w:sz w:val="20"/>
          <w:szCs w:val="20"/>
          <w:rtl/>
        </w:rPr>
        <w:t xml:space="preserve"> </w:t>
      </w:r>
      <w:r>
        <w:rPr>
          <w:sz w:val="20"/>
          <w:szCs w:val="20"/>
          <w:rtl/>
        </w:rPr>
        <w:t>–</w:t>
      </w:r>
      <w:r>
        <w:rPr>
          <w:rFonts w:hint="cs"/>
          <w:sz w:val="20"/>
          <w:szCs w:val="20"/>
          <w:rtl/>
        </w:rPr>
        <w:t xml:space="preserve"> אסור לטבול ביום.</w:t>
      </w:r>
      <w:r>
        <w:rPr>
          <w:rStyle w:val="a5"/>
          <w:sz w:val="20"/>
          <w:szCs w:val="20"/>
          <w:rtl/>
        </w:rPr>
        <w:footnoteReference w:id="6"/>
      </w:r>
      <w:r>
        <w:rPr>
          <w:sz w:val="20"/>
          <w:szCs w:val="20"/>
          <w:rtl/>
        </w:rPr>
        <w:br/>
      </w:r>
      <w:r w:rsidRPr="009A1D37">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חשש שמא תשמש ביום לאחר טבילה.</w:t>
      </w:r>
      <w:r>
        <w:rPr>
          <w:rStyle w:val="a5"/>
          <w:sz w:val="20"/>
          <w:szCs w:val="20"/>
          <w:rtl/>
        </w:rPr>
        <w:footnoteReference w:id="7"/>
      </w:r>
    </w:p>
    <w:p w:rsidR="00620060" w:rsidRDefault="00620060" w:rsidP="00620060">
      <w:pPr>
        <w:rPr>
          <w:sz w:val="20"/>
          <w:szCs w:val="20"/>
          <w:rtl/>
        </w:rPr>
      </w:pPr>
      <w:r>
        <w:rPr>
          <w:rFonts w:hint="cs"/>
          <w:b/>
          <w:bCs/>
          <w:sz w:val="20"/>
          <w:szCs w:val="20"/>
          <w:rtl/>
        </w:rPr>
        <w:t>שימור יום יא' לזבה</w:t>
      </w:r>
      <w:r>
        <w:rPr>
          <w:b/>
          <w:bCs/>
          <w:sz w:val="20"/>
          <w:szCs w:val="20"/>
          <w:rtl/>
        </w:rPr>
        <w:br/>
      </w:r>
      <w:r>
        <w:rPr>
          <w:rFonts w:hint="cs"/>
          <w:b/>
          <w:bCs/>
          <w:sz w:val="20"/>
          <w:szCs w:val="20"/>
          <w:rtl/>
        </w:rPr>
        <w:t xml:space="preserve">משנה </w:t>
      </w:r>
      <w:r>
        <w:rPr>
          <w:rFonts w:hint="cs"/>
          <w:sz w:val="20"/>
          <w:szCs w:val="20"/>
          <w:rtl/>
        </w:rPr>
        <w:t>שם (עא: - עב.) "</w:t>
      </w:r>
      <w:r w:rsidRPr="00A17F99">
        <w:rPr>
          <w:rFonts w:cs="Arial" w:hint="cs"/>
          <w:sz w:val="20"/>
          <w:szCs w:val="20"/>
          <w:rtl/>
        </w:rPr>
        <w:t>הרואה</w:t>
      </w:r>
      <w:r w:rsidRPr="00A17F99">
        <w:rPr>
          <w:rFonts w:cs="Arial"/>
          <w:sz w:val="20"/>
          <w:szCs w:val="20"/>
          <w:rtl/>
        </w:rPr>
        <w:t xml:space="preserve"> </w:t>
      </w:r>
      <w:r w:rsidRPr="00A17F99">
        <w:rPr>
          <w:rFonts w:cs="Arial" w:hint="cs"/>
          <w:sz w:val="20"/>
          <w:szCs w:val="20"/>
          <w:rtl/>
        </w:rPr>
        <w:t>יום</w:t>
      </w:r>
      <w:r w:rsidRPr="00A17F99">
        <w:rPr>
          <w:rFonts w:cs="Arial"/>
          <w:sz w:val="20"/>
          <w:szCs w:val="20"/>
          <w:rtl/>
        </w:rPr>
        <w:t xml:space="preserve"> </w:t>
      </w:r>
      <w:r w:rsidRPr="00A17F99">
        <w:rPr>
          <w:rFonts w:cs="Arial" w:hint="cs"/>
          <w:sz w:val="20"/>
          <w:szCs w:val="20"/>
          <w:rtl/>
        </w:rPr>
        <w:t>אחד</w:t>
      </w:r>
      <w:r w:rsidRPr="00A17F99">
        <w:rPr>
          <w:rFonts w:cs="Arial"/>
          <w:sz w:val="20"/>
          <w:szCs w:val="20"/>
          <w:rtl/>
        </w:rPr>
        <w:t xml:space="preserve"> </w:t>
      </w:r>
      <w:r w:rsidRPr="00A17F99">
        <w:rPr>
          <w:rFonts w:cs="Arial" w:hint="cs"/>
          <w:sz w:val="20"/>
          <w:szCs w:val="20"/>
          <w:rtl/>
        </w:rPr>
        <w:t>עשר</w:t>
      </w:r>
      <w:r w:rsidRPr="00A17F99">
        <w:rPr>
          <w:rFonts w:cs="Arial"/>
          <w:sz w:val="20"/>
          <w:szCs w:val="20"/>
          <w:rtl/>
        </w:rPr>
        <w:t xml:space="preserve">, </w:t>
      </w:r>
      <w:r w:rsidRPr="00A17F99">
        <w:rPr>
          <w:rFonts w:cs="Arial" w:hint="cs"/>
          <w:sz w:val="20"/>
          <w:szCs w:val="20"/>
          <w:rtl/>
        </w:rPr>
        <w:t>וטבלה</w:t>
      </w:r>
      <w:r w:rsidRPr="00A17F99">
        <w:rPr>
          <w:rFonts w:cs="Arial"/>
          <w:sz w:val="20"/>
          <w:szCs w:val="20"/>
          <w:rtl/>
        </w:rPr>
        <w:t xml:space="preserve"> </w:t>
      </w:r>
      <w:r w:rsidRPr="00A17F99">
        <w:rPr>
          <w:rFonts w:cs="Arial" w:hint="cs"/>
          <w:sz w:val="20"/>
          <w:szCs w:val="20"/>
          <w:rtl/>
        </w:rPr>
        <w:t>לערב</w:t>
      </w:r>
      <w:r w:rsidRPr="00A17F99">
        <w:rPr>
          <w:rFonts w:cs="Arial"/>
          <w:sz w:val="20"/>
          <w:szCs w:val="20"/>
          <w:rtl/>
        </w:rPr>
        <w:t xml:space="preserve"> </w:t>
      </w:r>
      <w:r>
        <w:rPr>
          <w:rFonts w:cs="Arial" w:hint="cs"/>
          <w:sz w:val="20"/>
          <w:szCs w:val="20"/>
          <w:rtl/>
        </w:rPr>
        <w:t>ו</w:t>
      </w:r>
      <w:r w:rsidRPr="00A17F99">
        <w:rPr>
          <w:rFonts w:cs="Arial" w:hint="cs"/>
          <w:sz w:val="20"/>
          <w:szCs w:val="20"/>
          <w:rtl/>
        </w:rPr>
        <w:t>שמשה</w:t>
      </w:r>
      <w:r w:rsidRPr="00A17F99">
        <w:rPr>
          <w:rFonts w:cs="Arial"/>
          <w:sz w:val="20"/>
          <w:szCs w:val="20"/>
          <w:rtl/>
        </w:rPr>
        <w:t xml:space="preserve">, </w:t>
      </w:r>
      <w:r w:rsidRPr="00A17F99">
        <w:rPr>
          <w:rFonts w:cs="Arial" w:hint="cs"/>
          <w:sz w:val="20"/>
          <w:szCs w:val="20"/>
          <w:rtl/>
        </w:rPr>
        <w:t>ב</w:t>
      </w:r>
      <w:r>
        <w:rPr>
          <w:rFonts w:cs="Arial" w:hint="cs"/>
          <w:sz w:val="20"/>
          <w:szCs w:val="20"/>
          <w:rtl/>
        </w:rPr>
        <w:t>ית שמאי</w:t>
      </w:r>
      <w:r w:rsidRPr="00A17F99">
        <w:rPr>
          <w:rFonts w:cs="Arial"/>
          <w:sz w:val="20"/>
          <w:szCs w:val="20"/>
          <w:rtl/>
        </w:rPr>
        <w:t xml:space="preserve"> </w:t>
      </w:r>
      <w:r w:rsidRPr="00A17F99">
        <w:rPr>
          <w:rFonts w:cs="Arial" w:hint="cs"/>
          <w:sz w:val="20"/>
          <w:szCs w:val="20"/>
          <w:rtl/>
        </w:rPr>
        <w:t>אומר</w:t>
      </w:r>
      <w:r>
        <w:rPr>
          <w:rFonts w:cs="Arial" w:hint="cs"/>
          <w:sz w:val="20"/>
          <w:szCs w:val="20"/>
          <w:rtl/>
        </w:rPr>
        <w:t>ים</w:t>
      </w:r>
      <w:r w:rsidRPr="00A17F99">
        <w:rPr>
          <w:rFonts w:cs="Arial"/>
          <w:sz w:val="20"/>
          <w:szCs w:val="20"/>
          <w:rtl/>
        </w:rPr>
        <w:t xml:space="preserve">: </w:t>
      </w:r>
      <w:r w:rsidRPr="00A17F99">
        <w:rPr>
          <w:rFonts w:cs="Arial" w:hint="cs"/>
          <w:sz w:val="20"/>
          <w:szCs w:val="20"/>
          <w:rtl/>
        </w:rPr>
        <w:t>מטמאין</w:t>
      </w:r>
      <w:r w:rsidRPr="00A17F99">
        <w:rPr>
          <w:rFonts w:cs="Arial"/>
          <w:sz w:val="20"/>
          <w:szCs w:val="20"/>
          <w:rtl/>
        </w:rPr>
        <w:t xml:space="preserve"> </w:t>
      </w:r>
      <w:r w:rsidRPr="00A17F99">
        <w:rPr>
          <w:rFonts w:cs="Arial" w:hint="cs"/>
          <w:sz w:val="20"/>
          <w:szCs w:val="20"/>
          <w:rtl/>
        </w:rPr>
        <w:t>משכב</w:t>
      </w:r>
      <w:r w:rsidRPr="00A17F99">
        <w:rPr>
          <w:rFonts w:cs="Arial"/>
          <w:sz w:val="20"/>
          <w:szCs w:val="20"/>
          <w:rtl/>
        </w:rPr>
        <w:t xml:space="preserve"> </w:t>
      </w:r>
      <w:r w:rsidRPr="00A17F99">
        <w:rPr>
          <w:rFonts w:cs="Arial" w:hint="cs"/>
          <w:sz w:val="20"/>
          <w:szCs w:val="20"/>
          <w:rtl/>
        </w:rPr>
        <w:t>ומושב</w:t>
      </w:r>
      <w:r w:rsidRPr="00A17F99">
        <w:rPr>
          <w:rFonts w:cs="Arial"/>
          <w:sz w:val="20"/>
          <w:szCs w:val="20"/>
          <w:rtl/>
        </w:rPr>
        <w:t xml:space="preserve">, </w:t>
      </w:r>
      <w:r w:rsidRPr="00A17F99">
        <w:rPr>
          <w:rFonts w:cs="Arial" w:hint="cs"/>
          <w:sz w:val="20"/>
          <w:szCs w:val="20"/>
          <w:rtl/>
        </w:rPr>
        <w:t>וחייבין</w:t>
      </w:r>
      <w:r w:rsidRPr="00A17F99">
        <w:rPr>
          <w:rFonts w:cs="Arial"/>
          <w:sz w:val="20"/>
          <w:szCs w:val="20"/>
          <w:rtl/>
        </w:rPr>
        <w:t xml:space="preserve"> </w:t>
      </w:r>
      <w:r w:rsidRPr="00A17F99">
        <w:rPr>
          <w:rFonts w:cs="Arial" w:hint="cs"/>
          <w:sz w:val="20"/>
          <w:szCs w:val="20"/>
          <w:rtl/>
        </w:rPr>
        <w:t>בקרבן</w:t>
      </w:r>
      <w:r w:rsidRPr="00A17F99">
        <w:rPr>
          <w:rFonts w:cs="Arial"/>
          <w:sz w:val="20"/>
          <w:szCs w:val="20"/>
          <w:rtl/>
        </w:rPr>
        <w:t>.</w:t>
      </w:r>
      <w:r>
        <w:rPr>
          <w:rFonts w:hint="cs"/>
          <w:sz w:val="20"/>
          <w:szCs w:val="20"/>
          <w:rtl/>
        </w:rPr>
        <w:t xml:space="preserve"> </w:t>
      </w:r>
      <w:r w:rsidRPr="00A17F99">
        <w:rPr>
          <w:rFonts w:cs="Arial" w:hint="cs"/>
          <w:sz w:val="20"/>
          <w:szCs w:val="20"/>
          <w:rtl/>
        </w:rPr>
        <w:t>וב</w:t>
      </w:r>
      <w:r>
        <w:rPr>
          <w:rFonts w:cs="Arial" w:hint="cs"/>
          <w:sz w:val="20"/>
          <w:szCs w:val="20"/>
          <w:rtl/>
        </w:rPr>
        <w:t>ית הלל</w:t>
      </w:r>
      <w:r w:rsidRPr="00A17F99">
        <w:rPr>
          <w:rFonts w:cs="Arial"/>
          <w:sz w:val="20"/>
          <w:szCs w:val="20"/>
          <w:rtl/>
        </w:rPr>
        <w:t xml:space="preserve"> </w:t>
      </w:r>
      <w:r w:rsidRPr="00A17F99">
        <w:rPr>
          <w:rFonts w:cs="Arial" w:hint="cs"/>
          <w:sz w:val="20"/>
          <w:szCs w:val="20"/>
          <w:rtl/>
        </w:rPr>
        <w:t>אומרים</w:t>
      </w:r>
      <w:r w:rsidRPr="00A17F99">
        <w:rPr>
          <w:rFonts w:cs="Arial"/>
          <w:sz w:val="20"/>
          <w:szCs w:val="20"/>
          <w:rtl/>
        </w:rPr>
        <w:t xml:space="preserve">: </w:t>
      </w:r>
      <w:r w:rsidRPr="00A17F99">
        <w:rPr>
          <w:rFonts w:cs="Arial" w:hint="cs"/>
          <w:sz w:val="20"/>
          <w:szCs w:val="20"/>
          <w:rtl/>
        </w:rPr>
        <w:t>פטורים</w:t>
      </w:r>
      <w:r w:rsidRPr="00A17F99">
        <w:rPr>
          <w:rFonts w:cs="Arial"/>
          <w:sz w:val="20"/>
          <w:szCs w:val="20"/>
          <w:rtl/>
        </w:rPr>
        <w:t xml:space="preserve"> </w:t>
      </w:r>
      <w:r w:rsidRPr="00A17F99">
        <w:rPr>
          <w:rFonts w:cs="Arial" w:hint="cs"/>
          <w:sz w:val="20"/>
          <w:szCs w:val="20"/>
          <w:rtl/>
        </w:rPr>
        <w:t>מן</w:t>
      </w:r>
      <w:r w:rsidRPr="00A17F99">
        <w:rPr>
          <w:rFonts w:cs="Arial"/>
          <w:sz w:val="20"/>
          <w:szCs w:val="20"/>
          <w:rtl/>
        </w:rPr>
        <w:t xml:space="preserve"> </w:t>
      </w:r>
      <w:r w:rsidRPr="00A17F99">
        <w:rPr>
          <w:rFonts w:cs="Arial" w:hint="cs"/>
          <w:sz w:val="20"/>
          <w:szCs w:val="20"/>
          <w:rtl/>
        </w:rPr>
        <w:t>הקרבן</w:t>
      </w:r>
      <w:r w:rsidRPr="00A17F99">
        <w:rPr>
          <w:rFonts w:cs="Arial"/>
          <w:sz w:val="20"/>
          <w:szCs w:val="20"/>
          <w:rtl/>
        </w:rPr>
        <w:t xml:space="preserve">. </w:t>
      </w:r>
      <w:r w:rsidRPr="00A17F99">
        <w:rPr>
          <w:rFonts w:cs="Arial" w:hint="cs"/>
          <w:sz w:val="20"/>
          <w:szCs w:val="20"/>
          <w:rtl/>
        </w:rPr>
        <w:t>טבלה</w:t>
      </w:r>
      <w:r w:rsidRPr="00A17F99">
        <w:rPr>
          <w:rFonts w:cs="Arial"/>
          <w:sz w:val="20"/>
          <w:szCs w:val="20"/>
          <w:rtl/>
        </w:rPr>
        <w:t xml:space="preserve"> </w:t>
      </w:r>
      <w:r w:rsidRPr="00A17F99">
        <w:rPr>
          <w:rFonts w:cs="Arial" w:hint="cs"/>
          <w:sz w:val="20"/>
          <w:szCs w:val="20"/>
          <w:rtl/>
        </w:rPr>
        <w:t>ביום</w:t>
      </w:r>
      <w:r w:rsidRPr="00A17F99">
        <w:rPr>
          <w:rFonts w:cs="Arial"/>
          <w:sz w:val="20"/>
          <w:szCs w:val="20"/>
          <w:rtl/>
        </w:rPr>
        <w:t xml:space="preserve"> </w:t>
      </w:r>
      <w:r w:rsidRPr="00A17F99">
        <w:rPr>
          <w:rFonts w:cs="Arial" w:hint="cs"/>
          <w:sz w:val="20"/>
          <w:szCs w:val="20"/>
          <w:rtl/>
        </w:rPr>
        <w:t>של</w:t>
      </w:r>
      <w:r w:rsidRPr="00A17F99">
        <w:rPr>
          <w:rFonts w:cs="Arial"/>
          <w:sz w:val="20"/>
          <w:szCs w:val="20"/>
          <w:rtl/>
        </w:rPr>
        <w:t xml:space="preserve"> </w:t>
      </w:r>
      <w:r w:rsidRPr="00A17F99">
        <w:rPr>
          <w:rFonts w:cs="Arial" w:hint="cs"/>
          <w:sz w:val="20"/>
          <w:szCs w:val="20"/>
          <w:rtl/>
        </w:rPr>
        <w:t>אחריו</w:t>
      </w:r>
      <w:r w:rsidRPr="00A17F99">
        <w:rPr>
          <w:rFonts w:cs="Arial"/>
          <w:sz w:val="20"/>
          <w:szCs w:val="20"/>
          <w:rtl/>
        </w:rPr>
        <w:t xml:space="preserve"> </w:t>
      </w:r>
      <w:r w:rsidRPr="00A17F99">
        <w:rPr>
          <w:rFonts w:cs="Arial" w:hint="cs"/>
          <w:sz w:val="20"/>
          <w:szCs w:val="20"/>
          <w:rtl/>
        </w:rPr>
        <w:t>ושמשה</w:t>
      </w:r>
      <w:r w:rsidRPr="00A17F99">
        <w:rPr>
          <w:rFonts w:cs="Arial"/>
          <w:sz w:val="20"/>
          <w:szCs w:val="20"/>
          <w:rtl/>
        </w:rPr>
        <w:t xml:space="preserve"> </w:t>
      </w:r>
      <w:r w:rsidRPr="00A17F99">
        <w:rPr>
          <w:rFonts w:cs="Arial" w:hint="cs"/>
          <w:sz w:val="20"/>
          <w:szCs w:val="20"/>
          <w:rtl/>
        </w:rPr>
        <w:t>את</w:t>
      </w:r>
      <w:r w:rsidRPr="00A17F99">
        <w:rPr>
          <w:rFonts w:cs="Arial"/>
          <w:sz w:val="20"/>
          <w:szCs w:val="20"/>
          <w:rtl/>
        </w:rPr>
        <w:t xml:space="preserve"> </w:t>
      </w:r>
      <w:r w:rsidRPr="00A17F99">
        <w:rPr>
          <w:rFonts w:cs="Arial" w:hint="cs"/>
          <w:sz w:val="20"/>
          <w:szCs w:val="20"/>
          <w:rtl/>
        </w:rPr>
        <w:t>ביתה</w:t>
      </w:r>
      <w:r w:rsidRPr="00A17F99">
        <w:rPr>
          <w:rFonts w:cs="Arial"/>
          <w:sz w:val="20"/>
          <w:szCs w:val="20"/>
          <w:rtl/>
        </w:rPr>
        <w:t xml:space="preserve">, </w:t>
      </w:r>
      <w:r w:rsidRPr="00A17F99">
        <w:rPr>
          <w:rFonts w:cs="Arial" w:hint="cs"/>
          <w:sz w:val="20"/>
          <w:szCs w:val="20"/>
          <w:rtl/>
        </w:rPr>
        <w:t>ואח</w:t>
      </w:r>
      <w:r>
        <w:rPr>
          <w:rFonts w:cs="Arial" w:hint="cs"/>
          <w:sz w:val="20"/>
          <w:szCs w:val="20"/>
          <w:rtl/>
        </w:rPr>
        <w:t>ר כך</w:t>
      </w:r>
      <w:r w:rsidRPr="00A17F99">
        <w:rPr>
          <w:rFonts w:cs="Arial"/>
          <w:sz w:val="20"/>
          <w:szCs w:val="20"/>
          <w:rtl/>
        </w:rPr>
        <w:t xml:space="preserve"> </w:t>
      </w:r>
      <w:r w:rsidRPr="00A17F99">
        <w:rPr>
          <w:rFonts w:cs="Arial" w:hint="cs"/>
          <w:sz w:val="20"/>
          <w:szCs w:val="20"/>
          <w:rtl/>
        </w:rPr>
        <w:t>ראתה</w:t>
      </w:r>
      <w:r w:rsidRPr="00A17F99">
        <w:rPr>
          <w:rFonts w:cs="Arial"/>
          <w:sz w:val="20"/>
          <w:szCs w:val="20"/>
          <w:rtl/>
        </w:rPr>
        <w:t xml:space="preserve">, </w:t>
      </w:r>
      <w:r w:rsidRPr="00A17F99">
        <w:rPr>
          <w:rFonts w:cs="Arial" w:hint="cs"/>
          <w:sz w:val="20"/>
          <w:szCs w:val="20"/>
          <w:rtl/>
        </w:rPr>
        <w:t>ב</w:t>
      </w:r>
      <w:r>
        <w:rPr>
          <w:rFonts w:cs="Arial" w:hint="cs"/>
          <w:sz w:val="20"/>
          <w:szCs w:val="20"/>
          <w:rtl/>
        </w:rPr>
        <w:t>ית שמאי</w:t>
      </w:r>
      <w:r w:rsidRPr="00A17F99">
        <w:rPr>
          <w:rFonts w:cs="Arial"/>
          <w:sz w:val="20"/>
          <w:szCs w:val="20"/>
          <w:rtl/>
        </w:rPr>
        <w:t xml:space="preserve"> </w:t>
      </w:r>
      <w:r w:rsidRPr="00A17F99">
        <w:rPr>
          <w:rFonts w:cs="Arial" w:hint="cs"/>
          <w:sz w:val="20"/>
          <w:szCs w:val="20"/>
          <w:rtl/>
        </w:rPr>
        <w:t>אומרים</w:t>
      </w:r>
      <w:r w:rsidRPr="00A17F99">
        <w:rPr>
          <w:rFonts w:cs="Arial"/>
          <w:sz w:val="20"/>
          <w:szCs w:val="20"/>
          <w:rtl/>
        </w:rPr>
        <w:t xml:space="preserve">: </w:t>
      </w:r>
      <w:r w:rsidRPr="00A17F99">
        <w:rPr>
          <w:rFonts w:cs="Arial" w:hint="cs"/>
          <w:sz w:val="20"/>
          <w:szCs w:val="20"/>
          <w:rtl/>
        </w:rPr>
        <w:t>מטמאין</w:t>
      </w:r>
      <w:r w:rsidRPr="00A17F99">
        <w:rPr>
          <w:rFonts w:cs="Arial"/>
          <w:sz w:val="20"/>
          <w:szCs w:val="20"/>
          <w:rtl/>
        </w:rPr>
        <w:t xml:space="preserve"> </w:t>
      </w:r>
      <w:r w:rsidRPr="00A17F99">
        <w:rPr>
          <w:rFonts w:cs="Arial" w:hint="cs"/>
          <w:sz w:val="20"/>
          <w:szCs w:val="20"/>
          <w:rtl/>
        </w:rPr>
        <w:t>משכב</w:t>
      </w:r>
      <w:r w:rsidRPr="00A17F99">
        <w:rPr>
          <w:rFonts w:cs="Arial"/>
          <w:sz w:val="20"/>
          <w:szCs w:val="20"/>
          <w:rtl/>
        </w:rPr>
        <w:t xml:space="preserve"> </w:t>
      </w:r>
      <w:r w:rsidRPr="00A17F99">
        <w:rPr>
          <w:rFonts w:cs="Arial" w:hint="cs"/>
          <w:sz w:val="20"/>
          <w:szCs w:val="20"/>
          <w:rtl/>
        </w:rPr>
        <w:t>ומושב</w:t>
      </w:r>
      <w:r w:rsidRPr="00A17F99">
        <w:rPr>
          <w:rFonts w:cs="Arial"/>
          <w:sz w:val="20"/>
          <w:szCs w:val="20"/>
          <w:rtl/>
        </w:rPr>
        <w:t xml:space="preserve">, </w:t>
      </w:r>
      <w:r w:rsidRPr="00A17F99">
        <w:rPr>
          <w:rFonts w:cs="Arial" w:hint="cs"/>
          <w:sz w:val="20"/>
          <w:szCs w:val="20"/>
          <w:rtl/>
        </w:rPr>
        <w:t>ופטורין</w:t>
      </w:r>
      <w:r w:rsidRPr="00A17F99">
        <w:rPr>
          <w:rFonts w:cs="Arial"/>
          <w:sz w:val="20"/>
          <w:szCs w:val="20"/>
          <w:rtl/>
        </w:rPr>
        <w:t xml:space="preserve"> </w:t>
      </w:r>
      <w:r w:rsidRPr="00A17F99">
        <w:rPr>
          <w:rFonts w:cs="Arial" w:hint="cs"/>
          <w:sz w:val="20"/>
          <w:szCs w:val="20"/>
          <w:rtl/>
        </w:rPr>
        <w:t>מן</w:t>
      </w:r>
      <w:r w:rsidRPr="00A17F99">
        <w:rPr>
          <w:rFonts w:cs="Arial"/>
          <w:sz w:val="20"/>
          <w:szCs w:val="20"/>
          <w:rtl/>
        </w:rPr>
        <w:t xml:space="preserve"> </w:t>
      </w:r>
      <w:r w:rsidRPr="00A17F99">
        <w:rPr>
          <w:rFonts w:cs="Arial" w:hint="cs"/>
          <w:sz w:val="20"/>
          <w:szCs w:val="20"/>
          <w:rtl/>
        </w:rPr>
        <w:t>הקרבן</w:t>
      </w:r>
      <w:r w:rsidRPr="00A17F99">
        <w:rPr>
          <w:rFonts w:cs="Arial"/>
          <w:sz w:val="20"/>
          <w:szCs w:val="20"/>
          <w:rtl/>
        </w:rPr>
        <w:t xml:space="preserve">. </w:t>
      </w:r>
      <w:r w:rsidRPr="00A17F99">
        <w:rPr>
          <w:rFonts w:cs="Arial" w:hint="cs"/>
          <w:sz w:val="20"/>
          <w:szCs w:val="20"/>
          <w:rtl/>
        </w:rPr>
        <w:t>וב</w:t>
      </w:r>
      <w:r>
        <w:rPr>
          <w:rFonts w:cs="Arial" w:hint="cs"/>
          <w:sz w:val="20"/>
          <w:szCs w:val="20"/>
          <w:rtl/>
        </w:rPr>
        <w:t>ית הלל</w:t>
      </w:r>
      <w:r w:rsidRPr="00A17F99">
        <w:rPr>
          <w:rFonts w:cs="Arial"/>
          <w:sz w:val="20"/>
          <w:szCs w:val="20"/>
          <w:rtl/>
        </w:rPr>
        <w:t xml:space="preserve"> </w:t>
      </w:r>
      <w:r w:rsidRPr="00A17F99">
        <w:rPr>
          <w:rFonts w:cs="Arial" w:hint="cs"/>
          <w:sz w:val="20"/>
          <w:szCs w:val="20"/>
          <w:rtl/>
        </w:rPr>
        <w:t>אומרים</w:t>
      </w:r>
      <w:r w:rsidRPr="00A17F99">
        <w:rPr>
          <w:rFonts w:cs="Arial"/>
          <w:sz w:val="20"/>
          <w:szCs w:val="20"/>
          <w:rtl/>
        </w:rPr>
        <w:t xml:space="preserve">: </w:t>
      </w:r>
      <w:r w:rsidRPr="00A17F99">
        <w:rPr>
          <w:rFonts w:cs="Arial" w:hint="cs"/>
          <w:sz w:val="20"/>
          <w:szCs w:val="20"/>
          <w:rtl/>
        </w:rPr>
        <w:t>ה</w:t>
      </w:r>
      <w:r>
        <w:rPr>
          <w:rFonts w:cs="Arial" w:hint="cs"/>
          <w:sz w:val="20"/>
          <w:szCs w:val="20"/>
          <w:rtl/>
        </w:rPr>
        <w:t xml:space="preserve">רי </w:t>
      </w:r>
      <w:r w:rsidRPr="00A17F99">
        <w:rPr>
          <w:rFonts w:cs="Arial" w:hint="cs"/>
          <w:sz w:val="20"/>
          <w:szCs w:val="20"/>
          <w:rtl/>
        </w:rPr>
        <w:t>ז</w:t>
      </w:r>
      <w:r>
        <w:rPr>
          <w:rFonts w:cs="Arial" w:hint="cs"/>
          <w:sz w:val="20"/>
          <w:szCs w:val="20"/>
          <w:rtl/>
        </w:rPr>
        <w:t>ה</w:t>
      </w:r>
      <w:r w:rsidRPr="00A17F99">
        <w:rPr>
          <w:rFonts w:cs="Arial"/>
          <w:sz w:val="20"/>
          <w:szCs w:val="20"/>
          <w:rtl/>
        </w:rPr>
        <w:t xml:space="preserve"> </w:t>
      </w:r>
      <w:r w:rsidRPr="00A17F99">
        <w:rPr>
          <w:rFonts w:cs="Arial" w:hint="cs"/>
          <w:sz w:val="20"/>
          <w:szCs w:val="20"/>
          <w:rtl/>
        </w:rPr>
        <w:t>גרגרן</w:t>
      </w:r>
      <w:r>
        <w:rPr>
          <w:rFonts w:cs="Arial" w:hint="cs"/>
          <w:sz w:val="20"/>
          <w:szCs w:val="20"/>
          <w:rtl/>
        </w:rPr>
        <w:t>".</w:t>
      </w:r>
      <w:r>
        <w:rPr>
          <w:rStyle w:val="a5"/>
          <w:sz w:val="20"/>
          <w:szCs w:val="20"/>
          <w:rtl/>
        </w:rPr>
        <w:footnoteReference w:id="8"/>
      </w:r>
    </w:p>
    <w:p w:rsidR="00620060" w:rsidRDefault="00620060" w:rsidP="00620060">
      <w:pPr>
        <w:rPr>
          <w:sz w:val="20"/>
          <w:szCs w:val="20"/>
          <w:rtl/>
        </w:rPr>
      </w:pPr>
      <w:r>
        <w:rPr>
          <w:rFonts w:cs="Arial" w:hint="cs"/>
          <w:b/>
          <w:bCs/>
          <w:sz w:val="20"/>
          <w:szCs w:val="20"/>
          <w:rtl/>
        </w:rPr>
        <w:t xml:space="preserve">גמרא </w:t>
      </w:r>
      <w:r>
        <w:rPr>
          <w:rFonts w:cs="Arial" w:hint="cs"/>
          <w:sz w:val="20"/>
          <w:szCs w:val="20"/>
          <w:rtl/>
        </w:rPr>
        <w:t>שם (נד.) "א</w:t>
      </w:r>
      <w:r w:rsidRPr="00453232">
        <w:rPr>
          <w:rFonts w:cs="Arial" w:hint="cs"/>
          <w:sz w:val="20"/>
          <w:szCs w:val="20"/>
          <w:rtl/>
        </w:rPr>
        <w:t>מר</w:t>
      </w:r>
      <w:r w:rsidRPr="00453232">
        <w:rPr>
          <w:rFonts w:cs="Arial"/>
          <w:sz w:val="20"/>
          <w:szCs w:val="20"/>
          <w:rtl/>
        </w:rPr>
        <w:t xml:space="preserve"> </w:t>
      </w:r>
      <w:r w:rsidRPr="00453232">
        <w:rPr>
          <w:rFonts w:cs="Arial" w:hint="cs"/>
          <w:sz w:val="20"/>
          <w:szCs w:val="20"/>
          <w:rtl/>
        </w:rPr>
        <w:t>רב</w:t>
      </w:r>
      <w:r w:rsidRPr="00453232">
        <w:rPr>
          <w:rFonts w:cs="Arial"/>
          <w:sz w:val="20"/>
          <w:szCs w:val="20"/>
          <w:rtl/>
        </w:rPr>
        <w:t xml:space="preserve"> </w:t>
      </w:r>
      <w:r w:rsidRPr="00453232">
        <w:rPr>
          <w:rFonts w:cs="Arial" w:hint="cs"/>
          <w:sz w:val="20"/>
          <w:szCs w:val="20"/>
          <w:rtl/>
        </w:rPr>
        <w:t>ששת</w:t>
      </w:r>
      <w:r w:rsidRPr="00453232">
        <w:rPr>
          <w:rFonts w:cs="Arial"/>
          <w:sz w:val="20"/>
          <w:szCs w:val="20"/>
          <w:rtl/>
        </w:rPr>
        <w:t xml:space="preserve">: </w:t>
      </w:r>
      <w:r w:rsidRPr="00453232">
        <w:rPr>
          <w:rFonts w:cs="Arial" w:hint="cs"/>
          <w:sz w:val="20"/>
          <w:szCs w:val="20"/>
          <w:rtl/>
        </w:rPr>
        <w:t>זאת</w:t>
      </w:r>
      <w:r w:rsidRPr="00453232">
        <w:rPr>
          <w:rFonts w:cs="Arial"/>
          <w:sz w:val="20"/>
          <w:szCs w:val="20"/>
          <w:rtl/>
        </w:rPr>
        <w:t xml:space="preserve"> </w:t>
      </w:r>
      <w:r w:rsidRPr="00453232">
        <w:rPr>
          <w:rFonts w:cs="Arial" w:hint="cs"/>
          <w:sz w:val="20"/>
          <w:szCs w:val="20"/>
          <w:rtl/>
        </w:rPr>
        <w:t>אומרת</w:t>
      </w:r>
      <w:r w:rsidRPr="00453232">
        <w:rPr>
          <w:rFonts w:cs="Arial"/>
          <w:sz w:val="20"/>
          <w:szCs w:val="20"/>
          <w:rtl/>
        </w:rPr>
        <w:t xml:space="preserve">, </w:t>
      </w:r>
      <w:r w:rsidRPr="00453232">
        <w:rPr>
          <w:rFonts w:cs="Arial" w:hint="cs"/>
          <w:sz w:val="20"/>
          <w:szCs w:val="20"/>
          <w:rtl/>
        </w:rPr>
        <w:t>גרגרן</w:t>
      </w:r>
      <w:r w:rsidRPr="00453232">
        <w:rPr>
          <w:rFonts w:cs="Arial"/>
          <w:sz w:val="20"/>
          <w:szCs w:val="20"/>
          <w:rtl/>
        </w:rPr>
        <w:t xml:space="preserve"> </w:t>
      </w:r>
      <w:r w:rsidRPr="00453232">
        <w:rPr>
          <w:rFonts w:cs="Arial" w:hint="cs"/>
          <w:sz w:val="20"/>
          <w:szCs w:val="20"/>
          <w:rtl/>
        </w:rPr>
        <w:t>דתנן</w:t>
      </w:r>
      <w:r w:rsidRPr="00453232">
        <w:rPr>
          <w:rFonts w:cs="Arial"/>
          <w:sz w:val="20"/>
          <w:szCs w:val="20"/>
          <w:rtl/>
        </w:rPr>
        <w:t xml:space="preserve"> </w:t>
      </w:r>
      <w:r>
        <w:rPr>
          <w:rFonts w:cs="Arial"/>
          <w:sz w:val="20"/>
          <w:szCs w:val="20"/>
          <w:rtl/>
        </w:rPr>
        <w:t>–</w:t>
      </w:r>
      <w:r w:rsidRPr="00453232">
        <w:rPr>
          <w:rFonts w:cs="Arial"/>
          <w:sz w:val="20"/>
          <w:szCs w:val="20"/>
          <w:rtl/>
        </w:rPr>
        <w:t xml:space="preserve"> </w:t>
      </w:r>
      <w:r w:rsidRPr="00453232">
        <w:rPr>
          <w:rFonts w:cs="Arial" w:hint="cs"/>
          <w:sz w:val="20"/>
          <w:szCs w:val="20"/>
          <w:rtl/>
        </w:rPr>
        <w:t>אסור</w:t>
      </w:r>
      <w:r>
        <w:rPr>
          <w:rFonts w:cs="Arial" w:hint="cs"/>
          <w:sz w:val="20"/>
          <w:szCs w:val="20"/>
          <w:rtl/>
        </w:rPr>
        <w:t xml:space="preserve"> </w:t>
      </w:r>
      <w:r w:rsidRPr="00453232">
        <w:rPr>
          <w:rFonts w:cs="Arial" w:hint="cs"/>
          <w:sz w:val="18"/>
          <w:szCs w:val="18"/>
          <w:rtl/>
        </w:rPr>
        <w:t>(רש"י - ומהך</w:t>
      </w:r>
      <w:r w:rsidRPr="00453232">
        <w:rPr>
          <w:rFonts w:cs="Arial"/>
          <w:sz w:val="18"/>
          <w:szCs w:val="18"/>
          <w:rtl/>
        </w:rPr>
        <w:t xml:space="preserve"> </w:t>
      </w:r>
      <w:r w:rsidRPr="00453232">
        <w:rPr>
          <w:rFonts w:cs="Arial" w:hint="cs"/>
          <w:sz w:val="18"/>
          <w:szCs w:val="18"/>
          <w:rtl/>
        </w:rPr>
        <w:t>ברייתא שמעינן</w:t>
      </w:r>
      <w:r w:rsidRPr="00453232">
        <w:rPr>
          <w:rFonts w:cs="Arial"/>
          <w:sz w:val="18"/>
          <w:szCs w:val="18"/>
          <w:rtl/>
        </w:rPr>
        <w:t xml:space="preserve"> </w:t>
      </w:r>
      <w:r w:rsidRPr="00453232">
        <w:rPr>
          <w:rFonts w:cs="Arial" w:hint="cs"/>
          <w:sz w:val="18"/>
          <w:szCs w:val="18"/>
          <w:rtl/>
        </w:rPr>
        <w:t>דאסור</w:t>
      </w:r>
      <w:r w:rsidRPr="00453232">
        <w:rPr>
          <w:rFonts w:cs="Arial"/>
          <w:sz w:val="18"/>
          <w:szCs w:val="18"/>
          <w:rtl/>
        </w:rPr>
        <w:t xml:space="preserve"> </w:t>
      </w:r>
      <w:r w:rsidRPr="00453232">
        <w:rPr>
          <w:rFonts w:cs="Arial" w:hint="cs"/>
          <w:sz w:val="18"/>
          <w:szCs w:val="18"/>
          <w:rtl/>
        </w:rPr>
        <w:t>להיות</w:t>
      </w:r>
      <w:r w:rsidRPr="00453232">
        <w:rPr>
          <w:rFonts w:cs="Arial"/>
          <w:sz w:val="18"/>
          <w:szCs w:val="18"/>
          <w:rtl/>
        </w:rPr>
        <w:t xml:space="preserve"> </w:t>
      </w:r>
      <w:r w:rsidRPr="00453232">
        <w:rPr>
          <w:rFonts w:cs="Arial" w:hint="cs"/>
          <w:sz w:val="18"/>
          <w:szCs w:val="18"/>
          <w:rtl/>
        </w:rPr>
        <w:t>גרגרן</w:t>
      </w:r>
      <w:r w:rsidRPr="00453232">
        <w:rPr>
          <w:rFonts w:cs="Arial"/>
          <w:sz w:val="18"/>
          <w:szCs w:val="18"/>
          <w:rtl/>
        </w:rPr>
        <w:t xml:space="preserve"> </w:t>
      </w:r>
      <w:r w:rsidRPr="00453232">
        <w:rPr>
          <w:rFonts w:cs="Arial" w:hint="cs"/>
          <w:sz w:val="18"/>
          <w:szCs w:val="18"/>
          <w:rtl/>
        </w:rPr>
        <w:t>ולשמש</w:t>
      </w:r>
      <w:r w:rsidRPr="00453232">
        <w:rPr>
          <w:rFonts w:cs="Arial"/>
          <w:sz w:val="18"/>
          <w:szCs w:val="18"/>
          <w:rtl/>
        </w:rPr>
        <w:t xml:space="preserve"> </w:t>
      </w:r>
      <w:r w:rsidRPr="00453232">
        <w:rPr>
          <w:rFonts w:cs="Arial" w:hint="cs"/>
          <w:sz w:val="18"/>
          <w:szCs w:val="18"/>
          <w:rtl/>
        </w:rPr>
        <w:t>ביום</w:t>
      </w:r>
      <w:r w:rsidRPr="00453232">
        <w:rPr>
          <w:rFonts w:cs="Arial"/>
          <w:sz w:val="18"/>
          <w:szCs w:val="18"/>
          <w:rtl/>
        </w:rPr>
        <w:t xml:space="preserve"> </w:t>
      </w:r>
      <w:r w:rsidRPr="00453232">
        <w:rPr>
          <w:rFonts w:cs="Arial" w:hint="cs"/>
          <w:sz w:val="18"/>
          <w:szCs w:val="18"/>
          <w:rtl/>
        </w:rPr>
        <w:t>י</w:t>
      </w:r>
      <w:r w:rsidRPr="00453232">
        <w:rPr>
          <w:rFonts w:cs="Arial"/>
          <w:sz w:val="18"/>
          <w:szCs w:val="18"/>
          <w:rtl/>
        </w:rPr>
        <w:t>"</w:t>
      </w:r>
      <w:r w:rsidRPr="00453232">
        <w:rPr>
          <w:rFonts w:cs="Arial" w:hint="cs"/>
          <w:sz w:val="18"/>
          <w:szCs w:val="18"/>
          <w:rtl/>
        </w:rPr>
        <w:t>ב</w:t>
      </w:r>
      <w:r w:rsidRPr="00453232">
        <w:rPr>
          <w:rFonts w:cs="Arial"/>
          <w:sz w:val="18"/>
          <w:szCs w:val="18"/>
          <w:rtl/>
        </w:rPr>
        <w:t xml:space="preserve"> </w:t>
      </w:r>
      <w:r w:rsidRPr="00453232">
        <w:rPr>
          <w:rFonts w:cs="Arial" w:hint="cs"/>
          <w:sz w:val="18"/>
          <w:szCs w:val="18"/>
          <w:rtl/>
        </w:rPr>
        <w:t>עם</w:t>
      </w:r>
      <w:r w:rsidRPr="00453232">
        <w:rPr>
          <w:rFonts w:cs="Arial"/>
          <w:sz w:val="18"/>
          <w:szCs w:val="18"/>
          <w:rtl/>
        </w:rPr>
        <w:t xml:space="preserve"> </w:t>
      </w:r>
      <w:r w:rsidRPr="00453232">
        <w:rPr>
          <w:rFonts w:cs="Arial" w:hint="cs"/>
          <w:sz w:val="18"/>
          <w:szCs w:val="18"/>
          <w:rtl/>
        </w:rPr>
        <w:t>הרואה</w:t>
      </w:r>
      <w:r w:rsidRPr="00453232">
        <w:rPr>
          <w:rFonts w:cs="Arial"/>
          <w:sz w:val="18"/>
          <w:szCs w:val="18"/>
          <w:rtl/>
        </w:rPr>
        <w:t xml:space="preserve"> </w:t>
      </w:r>
      <w:r w:rsidRPr="00453232">
        <w:rPr>
          <w:rFonts w:cs="Arial" w:hint="cs"/>
          <w:sz w:val="18"/>
          <w:szCs w:val="18"/>
          <w:rtl/>
        </w:rPr>
        <w:t>בי</w:t>
      </w:r>
      <w:r w:rsidRPr="00453232">
        <w:rPr>
          <w:rFonts w:cs="Arial"/>
          <w:sz w:val="18"/>
          <w:szCs w:val="18"/>
          <w:rtl/>
        </w:rPr>
        <w:t>"</w:t>
      </w:r>
      <w:r w:rsidRPr="00453232">
        <w:rPr>
          <w:rFonts w:cs="Arial" w:hint="cs"/>
          <w:sz w:val="18"/>
          <w:szCs w:val="18"/>
          <w:rtl/>
        </w:rPr>
        <w:t>א)</w:t>
      </w:r>
      <w:r w:rsidRPr="00453232">
        <w:rPr>
          <w:rFonts w:cs="Arial"/>
          <w:sz w:val="20"/>
          <w:szCs w:val="20"/>
          <w:rtl/>
        </w:rPr>
        <w:t xml:space="preserve">. </w:t>
      </w:r>
      <w:r w:rsidRPr="00453232">
        <w:rPr>
          <w:rFonts w:cs="Arial" w:hint="cs"/>
          <w:sz w:val="20"/>
          <w:szCs w:val="20"/>
          <w:rtl/>
        </w:rPr>
        <w:t>רב</w:t>
      </w:r>
      <w:r w:rsidRPr="00453232">
        <w:rPr>
          <w:rFonts w:cs="Arial"/>
          <w:sz w:val="20"/>
          <w:szCs w:val="20"/>
          <w:rtl/>
        </w:rPr>
        <w:t xml:space="preserve"> </w:t>
      </w:r>
      <w:r w:rsidRPr="00453232">
        <w:rPr>
          <w:rFonts w:cs="Arial" w:hint="cs"/>
          <w:sz w:val="20"/>
          <w:szCs w:val="20"/>
          <w:rtl/>
        </w:rPr>
        <w:t>אשי</w:t>
      </w:r>
      <w:r w:rsidRPr="00453232">
        <w:rPr>
          <w:rFonts w:cs="Arial"/>
          <w:sz w:val="20"/>
          <w:szCs w:val="20"/>
          <w:rtl/>
        </w:rPr>
        <w:t xml:space="preserve"> </w:t>
      </w:r>
      <w:r w:rsidRPr="00453232">
        <w:rPr>
          <w:rFonts w:cs="Arial" w:hint="cs"/>
          <w:sz w:val="20"/>
          <w:szCs w:val="20"/>
          <w:rtl/>
        </w:rPr>
        <w:t>אמר</w:t>
      </w:r>
      <w:r w:rsidRPr="00453232">
        <w:rPr>
          <w:rFonts w:cs="Arial"/>
          <w:sz w:val="20"/>
          <w:szCs w:val="20"/>
          <w:rtl/>
        </w:rPr>
        <w:t xml:space="preserve">: </w:t>
      </w:r>
      <w:r w:rsidRPr="00453232">
        <w:rPr>
          <w:rFonts w:cs="Arial" w:hint="cs"/>
          <w:sz w:val="20"/>
          <w:szCs w:val="20"/>
          <w:rtl/>
        </w:rPr>
        <w:t>נהי</w:t>
      </w:r>
      <w:r w:rsidRPr="00453232">
        <w:rPr>
          <w:rFonts w:cs="Arial"/>
          <w:sz w:val="20"/>
          <w:szCs w:val="20"/>
          <w:rtl/>
        </w:rPr>
        <w:t xml:space="preserve"> </w:t>
      </w:r>
      <w:r w:rsidRPr="00453232">
        <w:rPr>
          <w:rFonts w:cs="Arial" w:hint="cs"/>
          <w:sz w:val="20"/>
          <w:szCs w:val="20"/>
          <w:rtl/>
        </w:rPr>
        <w:t>דחד</w:t>
      </w:r>
      <w:r w:rsidRPr="00453232">
        <w:rPr>
          <w:rFonts w:cs="Arial"/>
          <w:sz w:val="20"/>
          <w:szCs w:val="20"/>
          <w:rtl/>
        </w:rPr>
        <w:t xml:space="preserve"> </w:t>
      </w:r>
      <w:r w:rsidRPr="00453232">
        <w:rPr>
          <w:rFonts w:cs="Arial" w:hint="cs"/>
          <w:sz w:val="20"/>
          <w:szCs w:val="20"/>
          <w:rtl/>
        </w:rPr>
        <w:t>עשר</w:t>
      </w:r>
      <w:r w:rsidRPr="00453232">
        <w:rPr>
          <w:rFonts w:cs="Arial"/>
          <w:sz w:val="20"/>
          <w:szCs w:val="20"/>
          <w:rtl/>
        </w:rPr>
        <w:t xml:space="preserve"> </w:t>
      </w:r>
      <w:r w:rsidRPr="00453232">
        <w:rPr>
          <w:rFonts w:cs="Arial" w:hint="cs"/>
          <w:sz w:val="20"/>
          <w:szCs w:val="20"/>
          <w:rtl/>
        </w:rPr>
        <w:t>לא</w:t>
      </w:r>
      <w:r w:rsidRPr="00453232">
        <w:rPr>
          <w:rFonts w:cs="Arial"/>
          <w:sz w:val="20"/>
          <w:szCs w:val="20"/>
          <w:rtl/>
        </w:rPr>
        <w:t xml:space="preserve"> </w:t>
      </w:r>
      <w:r w:rsidRPr="00453232">
        <w:rPr>
          <w:rFonts w:cs="Arial" w:hint="cs"/>
          <w:sz w:val="20"/>
          <w:szCs w:val="20"/>
          <w:rtl/>
        </w:rPr>
        <w:t>בעי</w:t>
      </w:r>
      <w:r w:rsidRPr="00453232">
        <w:rPr>
          <w:rFonts w:cs="Arial"/>
          <w:sz w:val="20"/>
          <w:szCs w:val="20"/>
          <w:rtl/>
        </w:rPr>
        <w:t xml:space="preserve"> </w:t>
      </w:r>
      <w:r w:rsidRPr="00453232">
        <w:rPr>
          <w:rFonts w:cs="Arial" w:hint="cs"/>
          <w:sz w:val="20"/>
          <w:szCs w:val="20"/>
          <w:rtl/>
        </w:rPr>
        <w:t>שימור</w:t>
      </w:r>
      <w:r w:rsidRPr="00453232">
        <w:rPr>
          <w:rFonts w:cs="Arial"/>
          <w:sz w:val="20"/>
          <w:szCs w:val="20"/>
          <w:rtl/>
        </w:rPr>
        <w:t xml:space="preserve">, </w:t>
      </w:r>
      <w:r w:rsidRPr="00453232">
        <w:rPr>
          <w:rFonts w:cs="Arial" w:hint="cs"/>
          <w:sz w:val="20"/>
          <w:szCs w:val="20"/>
          <w:rtl/>
        </w:rPr>
        <w:t>עשירי</w:t>
      </w:r>
      <w:r w:rsidRPr="00453232">
        <w:rPr>
          <w:rFonts w:cs="Arial"/>
          <w:sz w:val="20"/>
          <w:szCs w:val="20"/>
          <w:rtl/>
        </w:rPr>
        <w:t xml:space="preserve"> </w:t>
      </w:r>
      <w:r w:rsidRPr="00453232">
        <w:rPr>
          <w:rFonts w:cs="Arial" w:hint="cs"/>
          <w:sz w:val="20"/>
          <w:szCs w:val="20"/>
          <w:rtl/>
        </w:rPr>
        <w:t>מיהא</w:t>
      </w:r>
      <w:r w:rsidRPr="00453232">
        <w:rPr>
          <w:rFonts w:cs="Arial"/>
          <w:sz w:val="20"/>
          <w:szCs w:val="20"/>
          <w:rtl/>
        </w:rPr>
        <w:t xml:space="preserve"> </w:t>
      </w:r>
      <w:r w:rsidRPr="00453232">
        <w:rPr>
          <w:rFonts w:cs="Arial" w:hint="cs"/>
          <w:sz w:val="20"/>
          <w:szCs w:val="20"/>
          <w:rtl/>
        </w:rPr>
        <w:t>בעי</w:t>
      </w:r>
      <w:r w:rsidRPr="00453232">
        <w:rPr>
          <w:rFonts w:cs="Arial"/>
          <w:sz w:val="20"/>
          <w:szCs w:val="20"/>
          <w:rtl/>
        </w:rPr>
        <w:t xml:space="preserve"> </w:t>
      </w:r>
      <w:r w:rsidRPr="00453232">
        <w:rPr>
          <w:rFonts w:cs="Arial" w:hint="cs"/>
          <w:sz w:val="20"/>
          <w:szCs w:val="20"/>
          <w:rtl/>
        </w:rPr>
        <w:t>שימור</w:t>
      </w:r>
      <w:r>
        <w:rPr>
          <w:rFonts w:cs="Arial" w:hint="cs"/>
          <w:sz w:val="20"/>
          <w:szCs w:val="20"/>
          <w:rtl/>
        </w:rPr>
        <w:t xml:space="preserve"> </w:t>
      </w:r>
      <w:r>
        <w:rPr>
          <w:rFonts w:cs="Arial" w:hint="cs"/>
          <w:sz w:val="18"/>
          <w:szCs w:val="18"/>
          <w:rtl/>
        </w:rPr>
        <w:t>(כלומר, מ</w:t>
      </w:r>
      <w:r w:rsidRPr="00714290">
        <w:rPr>
          <w:rFonts w:cs="Arial" w:hint="cs"/>
          <w:sz w:val="18"/>
          <w:szCs w:val="18"/>
          <w:rtl/>
        </w:rPr>
        <w:t>דובר שראתה גם בעשירי ולכן צריכה שימור, אך יא' גרידא אינו צריך שימור)</w:t>
      </w:r>
      <w:r>
        <w:rPr>
          <w:rFonts w:cs="Arial" w:hint="cs"/>
          <w:sz w:val="20"/>
          <w:szCs w:val="20"/>
          <w:rtl/>
        </w:rPr>
        <w:t>".</w:t>
      </w:r>
      <w:r>
        <w:rPr>
          <w:rStyle w:val="a5"/>
          <w:sz w:val="20"/>
          <w:szCs w:val="20"/>
          <w:rtl/>
        </w:rPr>
        <w:footnoteReference w:id="9"/>
      </w:r>
    </w:p>
    <w:p w:rsidR="00620060" w:rsidRDefault="00620060" w:rsidP="00620060">
      <w:pPr>
        <w:rPr>
          <w:sz w:val="20"/>
          <w:szCs w:val="20"/>
          <w:rtl/>
        </w:rPr>
      </w:pPr>
      <w:r>
        <w:rPr>
          <w:rFonts w:hint="cs"/>
          <w:sz w:val="20"/>
          <w:szCs w:val="20"/>
          <w:u w:val="single"/>
          <w:rtl/>
        </w:rPr>
        <w:t>שיטות הראשונים</w:t>
      </w:r>
      <w:r>
        <w:rPr>
          <w:sz w:val="20"/>
          <w:szCs w:val="20"/>
          <w:u w:val="single"/>
          <w:rtl/>
        </w:rPr>
        <w:br/>
      </w:r>
      <w:r>
        <w:rPr>
          <w:rFonts w:hint="cs"/>
          <w:sz w:val="20"/>
          <w:szCs w:val="20"/>
          <w:rtl/>
        </w:rPr>
        <w:t xml:space="preserve">א. </w:t>
      </w:r>
      <w:r w:rsidRPr="00F07918">
        <w:rPr>
          <w:rFonts w:hint="cs"/>
          <w:b/>
          <w:bCs/>
          <w:sz w:val="20"/>
          <w:szCs w:val="20"/>
          <w:rtl/>
        </w:rPr>
        <w:t>רמב"ם ורש"י</w:t>
      </w:r>
      <w:r>
        <w:rPr>
          <w:rFonts w:hint="cs"/>
          <w:sz w:val="20"/>
          <w:szCs w:val="20"/>
          <w:rtl/>
        </w:rPr>
        <w:t xml:space="preserve"> </w:t>
      </w:r>
      <w:r>
        <w:rPr>
          <w:sz w:val="20"/>
          <w:szCs w:val="20"/>
          <w:rtl/>
        </w:rPr>
        <w:t>–</w:t>
      </w:r>
      <w:r>
        <w:rPr>
          <w:rFonts w:hint="cs"/>
          <w:sz w:val="20"/>
          <w:szCs w:val="20"/>
          <w:rtl/>
        </w:rPr>
        <w:t xml:space="preserve"> אסור לשמש ביום יב' עם הרואה ביום יא' למרות שטבלה.</w:t>
      </w:r>
      <w:r>
        <w:rPr>
          <w:sz w:val="20"/>
          <w:szCs w:val="20"/>
          <w:rtl/>
        </w:rPr>
        <w:br/>
      </w:r>
      <w:r w:rsidRPr="00F07918">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הלכה כרב ששת שגרגרן היינו איסור.</w:t>
      </w:r>
      <w:r>
        <w:rPr>
          <w:sz w:val="20"/>
          <w:szCs w:val="20"/>
          <w:rtl/>
        </w:rPr>
        <w:br/>
      </w:r>
      <w:r>
        <w:rPr>
          <w:rFonts w:hint="cs"/>
          <w:sz w:val="20"/>
          <w:szCs w:val="20"/>
          <w:rtl/>
        </w:rPr>
        <w:t xml:space="preserve">ב. </w:t>
      </w:r>
      <w:r w:rsidRPr="00F07918">
        <w:rPr>
          <w:rFonts w:hint="cs"/>
          <w:b/>
          <w:bCs/>
          <w:sz w:val="20"/>
          <w:szCs w:val="20"/>
          <w:rtl/>
        </w:rPr>
        <w:t>טור</w:t>
      </w:r>
      <w:r>
        <w:rPr>
          <w:rFonts w:hint="cs"/>
          <w:sz w:val="20"/>
          <w:szCs w:val="20"/>
          <w:rtl/>
        </w:rPr>
        <w:t xml:space="preserve"> </w:t>
      </w:r>
      <w:r>
        <w:rPr>
          <w:sz w:val="20"/>
          <w:szCs w:val="20"/>
          <w:rtl/>
        </w:rPr>
        <w:t>–</w:t>
      </w:r>
      <w:r>
        <w:rPr>
          <w:rFonts w:hint="cs"/>
          <w:sz w:val="20"/>
          <w:szCs w:val="20"/>
          <w:rtl/>
        </w:rPr>
        <w:t xml:space="preserve"> מותר לשמש ביום יב' עם הרואה ביום יא' לאחר שטבלה.</w:t>
      </w:r>
      <w:r>
        <w:rPr>
          <w:sz w:val="20"/>
          <w:szCs w:val="20"/>
          <w:rtl/>
        </w:rPr>
        <w:br/>
      </w:r>
      <w:r w:rsidRPr="00F07918">
        <w:rPr>
          <w:rFonts w:hint="cs"/>
          <w:b/>
          <w:bCs/>
          <w:sz w:val="20"/>
          <w:szCs w:val="20"/>
          <w:rtl/>
        </w:rPr>
        <w:t xml:space="preserve">טעם </w:t>
      </w:r>
      <w:r>
        <w:rPr>
          <w:sz w:val="20"/>
          <w:szCs w:val="20"/>
          <w:rtl/>
        </w:rPr>
        <w:t>–</w:t>
      </w:r>
      <w:r>
        <w:rPr>
          <w:rFonts w:hint="cs"/>
          <w:sz w:val="20"/>
          <w:szCs w:val="20"/>
          <w:rtl/>
        </w:rPr>
        <w:t xml:space="preserve"> רב אשי חולק על רב ששת, והלכה כמותו משום שהוא בתרא.</w:t>
      </w:r>
      <w:r>
        <w:rPr>
          <w:rStyle w:val="a5"/>
          <w:sz w:val="20"/>
          <w:szCs w:val="20"/>
          <w:rtl/>
        </w:rPr>
        <w:footnoteReference w:id="10"/>
      </w:r>
    </w:p>
    <w:p w:rsidR="00620060" w:rsidRDefault="00620060" w:rsidP="00620060">
      <w:pPr>
        <w:rPr>
          <w:sz w:val="20"/>
          <w:szCs w:val="20"/>
          <w:rtl/>
        </w:rPr>
      </w:pPr>
      <w:r>
        <w:rPr>
          <w:rFonts w:hint="cs"/>
          <w:b/>
          <w:bCs/>
          <w:sz w:val="20"/>
          <w:szCs w:val="20"/>
          <w:rtl/>
        </w:rPr>
        <w:t>שימור יום י' לזבה</w:t>
      </w:r>
      <w:r>
        <w:rPr>
          <w:b/>
          <w:bCs/>
          <w:sz w:val="20"/>
          <w:szCs w:val="20"/>
          <w:rtl/>
        </w:rPr>
        <w:br/>
      </w:r>
      <w:r>
        <w:rPr>
          <w:rFonts w:hint="cs"/>
          <w:b/>
          <w:bCs/>
          <w:sz w:val="20"/>
          <w:szCs w:val="20"/>
          <w:rtl/>
        </w:rPr>
        <w:t xml:space="preserve">גמרא </w:t>
      </w:r>
      <w:r>
        <w:rPr>
          <w:rFonts w:hint="cs"/>
          <w:sz w:val="20"/>
          <w:szCs w:val="20"/>
          <w:rtl/>
        </w:rPr>
        <w:t>שם (עב:) "</w:t>
      </w:r>
      <w:r w:rsidRPr="005D3BA5">
        <w:rPr>
          <w:rFonts w:cs="Arial" w:hint="cs"/>
          <w:sz w:val="20"/>
          <w:szCs w:val="20"/>
          <w:rtl/>
        </w:rPr>
        <w:t>איתמר</w:t>
      </w:r>
      <w:r w:rsidRPr="005D3BA5">
        <w:rPr>
          <w:rFonts w:cs="Arial"/>
          <w:sz w:val="20"/>
          <w:szCs w:val="20"/>
          <w:rtl/>
        </w:rPr>
        <w:t xml:space="preserve">, </w:t>
      </w:r>
      <w:r w:rsidRPr="005D3BA5">
        <w:rPr>
          <w:rFonts w:cs="Arial" w:hint="cs"/>
          <w:sz w:val="20"/>
          <w:szCs w:val="20"/>
          <w:rtl/>
        </w:rPr>
        <w:t>עשירי</w:t>
      </w:r>
      <w:r>
        <w:rPr>
          <w:rFonts w:cs="Arial" w:hint="cs"/>
          <w:sz w:val="20"/>
          <w:szCs w:val="20"/>
          <w:rtl/>
        </w:rPr>
        <w:t xml:space="preserve"> </w:t>
      </w:r>
      <w:r w:rsidRPr="00804059">
        <w:rPr>
          <w:rFonts w:cs="Arial" w:hint="cs"/>
          <w:sz w:val="18"/>
          <w:szCs w:val="18"/>
          <w:rtl/>
        </w:rPr>
        <w:t>(שאינה יכולה לבוא ע"י לזיבה גדולה)</w:t>
      </w:r>
      <w:r w:rsidRPr="005D3BA5">
        <w:rPr>
          <w:rFonts w:cs="Arial"/>
          <w:sz w:val="20"/>
          <w:szCs w:val="20"/>
          <w:rtl/>
        </w:rPr>
        <w:t xml:space="preserve">; </w:t>
      </w:r>
      <w:r w:rsidRPr="005D3BA5">
        <w:rPr>
          <w:rFonts w:cs="Arial" w:hint="cs"/>
          <w:sz w:val="20"/>
          <w:szCs w:val="20"/>
          <w:rtl/>
        </w:rPr>
        <w:t>רבי</w:t>
      </w:r>
      <w:r w:rsidRPr="005D3BA5">
        <w:rPr>
          <w:rFonts w:cs="Arial"/>
          <w:sz w:val="20"/>
          <w:szCs w:val="20"/>
          <w:rtl/>
        </w:rPr>
        <w:t xml:space="preserve"> </w:t>
      </w:r>
      <w:r w:rsidRPr="005D3BA5">
        <w:rPr>
          <w:rFonts w:cs="Arial" w:hint="cs"/>
          <w:sz w:val="20"/>
          <w:szCs w:val="20"/>
          <w:rtl/>
        </w:rPr>
        <w:t>יוחנן</w:t>
      </w:r>
      <w:r w:rsidRPr="005D3BA5">
        <w:rPr>
          <w:rFonts w:cs="Arial"/>
          <w:sz w:val="20"/>
          <w:szCs w:val="20"/>
          <w:rtl/>
        </w:rPr>
        <w:t xml:space="preserve"> </w:t>
      </w:r>
      <w:r w:rsidRPr="005D3BA5">
        <w:rPr>
          <w:rFonts w:cs="Arial" w:hint="cs"/>
          <w:sz w:val="20"/>
          <w:szCs w:val="20"/>
          <w:rtl/>
        </w:rPr>
        <w:t>אמר</w:t>
      </w:r>
      <w:r w:rsidRPr="005D3BA5">
        <w:rPr>
          <w:rFonts w:cs="Arial"/>
          <w:sz w:val="20"/>
          <w:szCs w:val="20"/>
          <w:rtl/>
        </w:rPr>
        <w:t xml:space="preserve">: </w:t>
      </w:r>
      <w:r w:rsidRPr="005D3BA5">
        <w:rPr>
          <w:rFonts w:cs="Arial" w:hint="cs"/>
          <w:sz w:val="20"/>
          <w:szCs w:val="20"/>
          <w:rtl/>
        </w:rPr>
        <w:t>עשירי</w:t>
      </w:r>
      <w:r w:rsidRPr="005D3BA5">
        <w:rPr>
          <w:rFonts w:cs="Arial"/>
          <w:sz w:val="20"/>
          <w:szCs w:val="20"/>
          <w:rtl/>
        </w:rPr>
        <w:t xml:space="preserve"> </w:t>
      </w:r>
      <w:r w:rsidRPr="005D3BA5">
        <w:rPr>
          <w:rFonts w:cs="Arial" w:hint="cs"/>
          <w:sz w:val="20"/>
          <w:szCs w:val="20"/>
          <w:rtl/>
        </w:rPr>
        <w:t>כתשיעי</w:t>
      </w:r>
      <w:r w:rsidRPr="005D3BA5">
        <w:rPr>
          <w:rFonts w:cs="Arial"/>
          <w:sz w:val="20"/>
          <w:szCs w:val="20"/>
          <w:rtl/>
        </w:rPr>
        <w:t xml:space="preserve">, </w:t>
      </w:r>
      <w:r w:rsidRPr="005D3BA5">
        <w:rPr>
          <w:rFonts w:cs="Arial" w:hint="cs"/>
          <w:sz w:val="20"/>
          <w:szCs w:val="20"/>
          <w:rtl/>
        </w:rPr>
        <w:t>מה</w:t>
      </w:r>
      <w:r w:rsidRPr="005D3BA5">
        <w:rPr>
          <w:rFonts w:cs="Arial"/>
          <w:sz w:val="20"/>
          <w:szCs w:val="20"/>
          <w:rtl/>
        </w:rPr>
        <w:t xml:space="preserve"> </w:t>
      </w:r>
      <w:r w:rsidRPr="005D3BA5">
        <w:rPr>
          <w:rFonts w:cs="Arial" w:hint="cs"/>
          <w:sz w:val="20"/>
          <w:szCs w:val="20"/>
          <w:rtl/>
        </w:rPr>
        <w:t>תשיעי</w:t>
      </w:r>
      <w:r w:rsidRPr="005D3BA5">
        <w:rPr>
          <w:rFonts w:cs="Arial"/>
          <w:sz w:val="20"/>
          <w:szCs w:val="20"/>
          <w:rtl/>
        </w:rPr>
        <w:t xml:space="preserve"> - </w:t>
      </w:r>
      <w:r w:rsidRPr="005D3BA5">
        <w:rPr>
          <w:rFonts w:cs="Arial" w:hint="cs"/>
          <w:sz w:val="20"/>
          <w:szCs w:val="20"/>
          <w:rtl/>
        </w:rPr>
        <w:t>בעי</w:t>
      </w:r>
      <w:r w:rsidRPr="005D3BA5">
        <w:rPr>
          <w:rFonts w:cs="Arial"/>
          <w:sz w:val="20"/>
          <w:szCs w:val="20"/>
          <w:rtl/>
        </w:rPr>
        <w:t xml:space="preserve"> </w:t>
      </w:r>
      <w:r w:rsidRPr="005D3BA5">
        <w:rPr>
          <w:rFonts w:cs="Arial" w:hint="cs"/>
          <w:sz w:val="20"/>
          <w:szCs w:val="20"/>
          <w:rtl/>
        </w:rPr>
        <w:t>שימור</w:t>
      </w:r>
      <w:r>
        <w:rPr>
          <w:rFonts w:cs="Arial" w:hint="cs"/>
          <w:sz w:val="20"/>
          <w:szCs w:val="20"/>
          <w:rtl/>
        </w:rPr>
        <w:t xml:space="preserve"> </w:t>
      </w:r>
      <w:r w:rsidRPr="00804059">
        <w:rPr>
          <w:rFonts w:cs="Arial" w:hint="cs"/>
          <w:sz w:val="18"/>
          <w:szCs w:val="18"/>
          <w:rtl/>
        </w:rPr>
        <w:t>(משום שיכולה להגיע לזבה גמורה)</w:t>
      </w:r>
      <w:r w:rsidRPr="005D3BA5">
        <w:rPr>
          <w:rFonts w:cs="Arial"/>
          <w:sz w:val="20"/>
          <w:szCs w:val="20"/>
          <w:rtl/>
        </w:rPr>
        <w:t xml:space="preserve">, </w:t>
      </w:r>
      <w:r w:rsidRPr="005D3BA5">
        <w:rPr>
          <w:rFonts w:cs="Arial" w:hint="cs"/>
          <w:sz w:val="20"/>
          <w:szCs w:val="20"/>
          <w:rtl/>
        </w:rPr>
        <w:t>אף</w:t>
      </w:r>
      <w:r w:rsidRPr="005D3BA5">
        <w:rPr>
          <w:rFonts w:cs="Arial"/>
          <w:sz w:val="20"/>
          <w:szCs w:val="20"/>
          <w:rtl/>
        </w:rPr>
        <w:t xml:space="preserve"> </w:t>
      </w:r>
      <w:r w:rsidRPr="005D3BA5">
        <w:rPr>
          <w:rFonts w:cs="Arial" w:hint="cs"/>
          <w:sz w:val="20"/>
          <w:szCs w:val="20"/>
          <w:rtl/>
        </w:rPr>
        <w:t>עשירי</w:t>
      </w:r>
      <w:r w:rsidRPr="005D3BA5">
        <w:rPr>
          <w:rFonts w:cs="Arial"/>
          <w:sz w:val="20"/>
          <w:szCs w:val="20"/>
          <w:rtl/>
        </w:rPr>
        <w:t xml:space="preserve"> - </w:t>
      </w:r>
      <w:r w:rsidRPr="005D3BA5">
        <w:rPr>
          <w:rFonts w:cs="Arial" w:hint="cs"/>
          <w:sz w:val="20"/>
          <w:szCs w:val="20"/>
          <w:rtl/>
        </w:rPr>
        <w:t>בעי</w:t>
      </w:r>
      <w:r w:rsidRPr="005D3BA5">
        <w:rPr>
          <w:rFonts w:cs="Arial"/>
          <w:sz w:val="20"/>
          <w:szCs w:val="20"/>
          <w:rtl/>
        </w:rPr>
        <w:t xml:space="preserve"> </w:t>
      </w:r>
      <w:r w:rsidRPr="005D3BA5">
        <w:rPr>
          <w:rFonts w:cs="Arial" w:hint="cs"/>
          <w:sz w:val="20"/>
          <w:szCs w:val="20"/>
          <w:rtl/>
        </w:rPr>
        <w:t>שימור</w:t>
      </w:r>
      <w:r w:rsidRPr="005D3BA5">
        <w:rPr>
          <w:rFonts w:cs="Arial"/>
          <w:sz w:val="20"/>
          <w:szCs w:val="20"/>
          <w:rtl/>
        </w:rPr>
        <w:t xml:space="preserve">. </w:t>
      </w:r>
      <w:r w:rsidRPr="005D3BA5">
        <w:rPr>
          <w:rFonts w:cs="Arial" w:hint="cs"/>
          <w:sz w:val="20"/>
          <w:szCs w:val="20"/>
          <w:rtl/>
        </w:rPr>
        <w:t>ר</w:t>
      </w:r>
      <w:r>
        <w:rPr>
          <w:rFonts w:cs="Arial" w:hint="cs"/>
          <w:sz w:val="20"/>
          <w:szCs w:val="20"/>
          <w:rtl/>
        </w:rPr>
        <w:t>יש לקיש</w:t>
      </w:r>
      <w:r w:rsidRPr="005D3BA5">
        <w:rPr>
          <w:rFonts w:cs="Arial"/>
          <w:sz w:val="20"/>
          <w:szCs w:val="20"/>
          <w:rtl/>
        </w:rPr>
        <w:t xml:space="preserve"> </w:t>
      </w:r>
      <w:r w:rsidRPr="005D3BA5">
        <w:rPr>
          <w:rFonts w:cs="Arial" w:hint="cs"/>
          <w:sz w:val="20"/>
          <w:szCs w:val="20"/>
          <w:rtl/>
        </w:rPr>
        <w:t>אמר</w:t>
      </w:r>
      <w:r w:rsidRPr="005D3BA5">
        <w:rPr>
          <w:rFonts w:cs="Arial"/>
          <w:sz w:val="20"/>
          <w:szCs w:val="20"/>
          <w:rtl/>
        </w:rPr>
        <w:t xml:space="preserve">: </w:t>
      </w:r>
      <w:r w:rsidRPr="005D3BA5">
        <w:rPr>
          <w:rFonts w:cs="Arial" w:hint="cs"/>
          <w:sz w:val="20"/>
          <w:szCs w:val="20"/>
          <w:rtl/>
        </w:rPr>
        <w:t>עשירי</w:t>
      </w:r>
      <w:r w:rsidRPr="005D3BA5">
        <w:rPr>
          <w:rFonts w:cs="Arial"/>
          <w:sz w:val="20"/>
          <w:szCs w:val="20"/>
          <w:rtl/>
        </w:rPr>
        <w:t xml:space="preserve"> </w:t>
      </w:r>
      <w:r w:rsidRPr="005D3BA5">
        <w:rPr>
          <w:rFonts w:cs="Arial" w:hint="cs"/>
          <w:sz w:val="20"/>
          <w:szCs w:val="20"/>
          <w:rtl/>
        </w:rPr>
        <w:t>כאחד</w:t>
      </w:r>
      <w:r w:rsidRPr="005D3BA5">
        <w:rPr>
          <w:rFonts w:cs="Arial"/>
          <w:sz w:val="20"/>
          <w:szCs w:val="20"/>
          <w:rtl/>
        </w:rPr>
        <w:t xml:space="preserve"> </w:t>
      </w:r>
      <w:r w:rsidRPr="005D3BA5">
        <w:rPr>
          <w:rFonts w:cs="Arial" w:hint="cs"/>
          <w:sz w:val="20"/>
          <w:szCs w:val="20"/>
          <w:rtl/>
        </w:rPr>
        <w:t>עשר</w:t>
      </w:r>
      <w:r w:rsidRPr="005D3BA5">
        <w:rPr>
          <w:rFonts w:cs="Arial"/>
          <w:sz w:val="20"/>
          <w:szCs w:val="20"/>
          <w:rtl/>
        </w:rPr>
        <w:t xml:space="preserve">, </w:t>
      </w:r>
      <w:r w:rsidRPr="005D3BA5">
        <w:rPr>
          <w:rFonts w:cs="Arial" w:hint="cs"/>
          <w:sz w:val="20"/>
          <w:szCs w:val="20"/>
          <w:rtl/>
        </w:rPr>
        <w:t>מה</w:t>
      </w:r>
      <w:r w:rsidRPr="005D3BA5">
        <w:rPr>
          <w:rFonts w:cs="Arial"/>
          <w:sz w:val="20"/>
          <w:szCs w:val="20"/>
          <w:rtl/>
        </w:rPr>
        <w:t xml:space="preserve"> </w:t>
      </w:r>
      <w:r w:rsidRPr="005D3BA5">
        <w:rPr>
          <w:rFonts w:cs="Arial" w:hint="cs"/>
          <w:sz w:val="20"/>
          <w:szCs w:val="20"/>
          <w:rtl/>
        </w:rPr>
        <w:t>אחד</w:t>
      </w:r>
      <w:r w:rsidRPr="005D3BA5">
        <w:rPr>
          <w:rFonts w:cs="Arial"/>
          <w:sz w:val="20"/>
          <w:szCs w:val="20"/>
          <w:rtl/>
        </w:rPr>
        <w:t xml:space="preserve"> </w:t>
      </w:r>
      <w:r w:rsidRPr="005D3BA5">
        <w:rPr>
          <w:rFonts w:cs="Arial" w:hint="cs"/>
          <w:sz w:val="20"/>
          <w:szCs w:val="20"/>
          <w:rtl/>
        </w:rPr>
        <w:t>עשר</w:t>
      </w:r>
      <w:r w:rsidRPr="005D3BA5">
        <w:rPr>
          <w:rFonts w:cs="Arial"/>
          <w:sz w:val="20"/>
          <w:szCs w:val="20"/>
          <w:rtl/>
        </w:rPr>
        <w:t xml:space="preserve"> - </w:t>
      </w:r>
      <w:r w:rsidRPr="005D3BA5">
        <w:rPr>
          <w:rFonts w:cs="Arial" w:hint="cs"/>
          <w:sz w:val="20"/>
          <w:szCs w:val="20"/>
          <w:rtl/>
        </w:rPr>
        <w:t>לא</w:t>
      </w:r>
      <w:r w:rsidRPr="005D3BA5">
        <w:rPr>
          <w:rFonts w:cs="Arial"/>
          <w:sz w:val="20"/>
          <w:szCs w:val="20"/>
          <w:rtl/>
        </w:rPr>
        <w:t xml:space="preserve"> </w:t>
      </w:r>
      <w:r w:rsidRPr="005D3BA5">
        <w:rPr>
          <w:rFonts w:cs="Arial" w:hint="cs"/>
          <w:sz w:val="20"/>
          <w:szCs w:val="20"/>
          <w:rtl/>
        </w:rPr>
        <w:t>בעי</w:t>
      </w:r>
      <w:r w:rsidRPr="005D3BA5">
        <w:rPr>
          <w:rFonts w:cs="Arial"/>
          <w:sz w:val="20"/>
          <w:szCs w:val="20"/>
          <w:rtl/>
        </w:rPr>
        <w:t xml:space="preserve"> </w:t>
      </w:r>
      <w:r w:rsidRPr="005D3BA5">
        <w:rPr>
          <w:rFonts w:cs="Arial" w:hint="cs"/>
          <w:sz w:val="20"/>
          <w:szCs w:val="20"/>
          <w:rtl/>
        </w:rPr>
        <w:t>שימור</w:t>
      </w:r>
      <w:r w:rsidRPr="005D3BA5">
        <w:rPr>
          <w:rFonts w:cs="Arial"/>
          <w:sz w:val="20"/>
          <w:szCs w:val="20"/>
          <w:rtl/>
        </w:rPr>
        <w:t xml:space="preserve">, </w:t>
      </w:r>
      <w:r w:rsidRPr="005D3BA5">
        <w:rPr>
          <w:rFonts w:cs="Arial" w:hint="cs"/>
          <w:sz w:val="20"/>
          <w:szCs w:val="20"/>
          <w:rtl/>
        </w:rPr>
        <w:t>אף</w:t>
      </w:r>
      <w:r w:rsidRPr="005D3BA5">
        <w:rPr>
          <w:rFonts w:cs="Arial"/>
          <w:sz w:val="20"/>
          <w:szCs w:val="20"/>
          <w:rtl/>
        </w:rPr>
        <w:t xml:space="preserve"> </w:t>
      </w:r>
      <w:r w:rsidRPr="005D3BA5">
        <w:rPr>
          <w:rFonts w:cs="Arial" w:hint="cs"/>
          <w:sz w:val="20"/>
          <w:szCs w:val="20"/>
          <w:rtl/>
        </w:rPr>
        <w:t>עשירי</w:t>
      </w:r>
      <w:r w:rsidRPr="005D3BA5">
        <w:rPr>
          <w:rFonts w:cs="Arial"/>
          <w:sz w:val="20"/>
          <w:szCs w:val="20"/>
          <w:rtl/>
        </w:rPr>
        <w:t xml:space="preserve"> - </w:t>
      </w:r>
      <w:r w:rsidRPr="005D3BA5">
        <w:rPr>
          <w:rFonts w:cs="Arial" w:hint="cs"/>
          <w:sz w:val="20"/>
          <w:szCs w:val="20"/>
          <w:rtl/>
        </w:rPr>
        <w:t>לא</w:t>
      </w:r>
      <w:r w:rsidRPr="005D3BA5">
        <w:rPr>
          <w:rFonts w:cs="Arial"/>
          <w:sz w:val="20"/>
          <w:szCs w:val="20"/>
          <w:rtl/>
        </w:rPr>
        <w:t xml:space="preserve"> </w:t>
      </w:r>
      <w:r w:rsidRPr="005D3BA5">
        <w:rPr>
          <w:rFonts w:cs="Arial" w:hint="cs"/>
          <w:sz w:val="20"/>
          <w:szCs w:val="20"/>
          <w:rtl/>
        </w:rPr>
        <w:t>בעי</w:t>
      </w:r>
      <w:r w:rsidRPr="005D3BA5">
        <w:rPr>
          <w:rFonts w:cs="Arial"/>
          <w:sz w:val="20"/>
          <w:szCs w:val="20"/>
          <w:rtl/>
        </w:rPr>
        <w:t xml:space="preserve"> </w:t>
      </w:r>
      <w:r w:rsidRPr="005D3BA5">
        <w:rPr>
          <w:rFonts w:cs="Arial" w:hint="cs"/>
          <w:sz w:val="20"/>
          <w:szCs w:val="20"/>
          <w:rtl/>
        </w:rPr>
        <w:t>שימור</w:t>
      </w:r>
      <w:r>
        <w:rPr>
          <w:rFonts w:cs="Arial" w:hint="cs"/>
          <w:sz w:val="20"/>
          <w:szCs w:val="20"/>
          <w:rtl/>
        </w:rPr>
        <w:t>".</w:t>
      </w:r>
    </w:p>
    <w:p w:rsidR="00620060" w:rsidRDefault="00620060" w:rsidP="00620060">
      <w:pPr>
        <w:rPr>
          <w:sz w:val="20"/>
          <w:szCs w:val="20"/>
          <w:rtl/>
        </w:rPr>
      </w:pPr>
      <w:r>
        <w:rPr>
          <w:rFonts w:hint="cs"/>
          <w:sz w:val="20"/>
          <w:szCs w:val="20"/>
          <w:u w:val="single"/>
          <w:rtl/>
        </w:rPr>
        <w:t>שיטות הראשונים</w:t>
      </w:r>
      <w:r>
        <w:rPr>
          <w:sz w:val="20"/>
          <w:szCs w:val="20"/>
          <w:u w:val="single"/>
          <w:rtl/>
        </w:rPr>
        <w:br/>
      </w:r>
      <w:r>
        <w:rPr>
          <w:rFonts w:hint="cs"/>
          <w:sz w:val="20"/>
          <w:szCs w:val="20"/>
          <w:rtl/>
        </w:rPr>
        <w:t xml:space="preserve">א. </w:t>
      </w:r>
      <w:r w:rsidRPr="00804059">
        <w:rPr>
          <w:rFonts w:hint="cs"/>
          <w:b/>
          <w:bCs/>
          <w:sz w:val="20"/>
          <w:szCs w:val="20"/>
          <w:rtl/>
        </w:rPr>
        <w:t>רמב"ם וסמ"ג</w:t>
      </w:r>
      <w:r>
        <w:rPr>
          <w:rFonts w:hint="cs"/>
          <w:sz w:val="20"/>
          <w:szCs w:val="20"/>
          <w:rtl/>
        </w:rPr>
        <w:t xml:space="preserve"> </w:t>
      </w:r>
      <w:r>
        <w:rPr>
          <w:sz w:val="20"/>
          <w:szCs w:val="20"/>
          <w:rtl/>
        </w:rPr>
        <w:t>–</w:t>
      </w:r>
      <w:r>
        <w:rPr>
          <w:rFonts w:hint="cs"/>
          <w:sz w:val="20"/>
          <w:szCs w:val="20"/>
          <w:rtl/>
        </w:rPr>
        <w:t xml:space="preserve"> הלכה כרבי יוחנן, גם הרואה ביום העשירי צריכה לשמור את יום יא'.</w:t>
      </w:r>
      <w:r>
        <w:rPr>
          <w:sz w:val="20"/>
          <w:szCs w:val="20"/>
          <w:rtl/>
        </w:rPr>
        <w:br/>
      </w:r>
      <w:r>
        <w:rPr>
          <w:rFonts w:hint="cs"/>
          <w:sz w:val="20"/>
          <w:szCs w:val="20"/>
          <w:rtl/>
        </w:rPr>
        <w:t xml:space="preserve">ב. </w:t>
      </w:r>
      <w:r w:rsidRPr="00804059">
        <w:rPr>
          <w:rFonts w:hint="cs"/>
          <w:b/>
          <w:bCs/>
          <w:sz w:val="20"/>
          <w:szCs w:val="20"/>
          <w:rtl/>
        </w:rPr>
        <w:t>טור</w:t>
      </w:r>
      <w:r>
        <w:rPr>
          <w:rFonts w:hint="cs"/>
          <w:sz w:val="20"/>
          <w:szCs w:val="20"/>
          <w:rtl/>
        </w:rPr>
        <w:t xml:space="preserve"> </w:t>
      </w:r>
      <w:r>
        <w:rPr>
          <w:sz w:val="20"/>
          <w:szCs w:val="20"/>
          <w:rtl/>
        </w:rPr>
        <w:t>–</w:t>
      </w:r>
      <w:r>
        <w:rPr>
          <w:rFonts w:hint="cs"/>
          <w:sz w:val="20"/>
          <w:szCs w:val="20"/>
          <w:rtl/>
        </w:rPr>
        <w:t xml:space="preserve"> הביא את שתי הדעות, אך לא הכריע ביניהן. </w:t>
      </w:r>
    </w:p>
    <w:p w:rsidR="00620060" w:rsidRDefault="00620060" w:rsidP="00620060">
      <w:pPr>
        <w:pStyle w:val="1"/>
        <w:rPr>
          <w:rtl/>
        </w:rPr>
      </w:pPr>
      <w:r>
        <w:rPr>
          <w:rFonts w:hint="cs"/>
          <w:rtl/>
        </w:rPr>
        <w:lastRenderedPageBreak/>
        <w:t>שלבי חומרות הנידה</w:t>
      </w:r>
    </w:p>
    <w:p w:rsidR="00620060" w:rsidRDefault="00620060" w:rsidP="00620060">
      <w:pPr>
        <w:rPr>
          <w:sz w:val="20"/>
          <w:szCs w:val="20"/>
          <w:rtl/>
        </w:rPr>
      </w:pPr>
      <w:r>
        <w:rPr>
          <w:rFonts w:hint="cs"/>
          <w:b/>
          <w:bCs/>
          <w:sz w:val="20"/>
          <w:szCs w:val="20"/>
          <w:rtl/>
        </w:rPr>
        <w:t xml:space="preserve">גמרא </w:t>
      </w:r>
      <w:r>
        <w:rPr>
          <w:rFonts w:hint="cs"/>
          <w:sz w:val="20"/>
          <w:szCs w:val="20"/>
          <w:rtl/>
        </w:rPr>
        <w:t>שם (סו.) "</w:t>
      </w:r>
      <w:r w:rsidRPr="008C2366">
        <w:rPr>
          <w:rFonts w:cs="Arial" w:hint="cs"/>
          <w:sz w:val="20"/>
          <w:szCs w:val="20"/>
          <w:rtl/>
        </w:rPr>
        <w:t>אמר</w:t>
      </w:r>
      <w:r w:rsidRPr="008C2366">
        <w:rPr>
          <w:rFonts w:cs="Arial"/>
          <w:sz w:val="20"/>
          <w:szCs w:val="20"/>
          <w:rtl/>
        </w:rPr>
        <w:t xml:space="preserve"> </w:t>
      </w:r>
      <w:r w:rsidRPr="008C2366">
        <w:rPr>
          <w:rFonts w:cs="Arial" w:hint="cs"/>
          <w:sz w:val="20"/>
          <w:szCs w:val="20"/>
          <w:rtl/>
        </w:rPr>
        <w:t>רב</w:t>
      </w:r>
      <w:r w:rsidRPr="008C2366">
        <w:rPr>
          <w:rFonts w:cs="Arial"/>
          <w:sz w:val="20"/>
          <w:szCs w:val="20"/>
          <w:rtl/>
        </w:rPr>
        <w:t xml:space="preserve"> </w:t>
      </w:r>
      <w:r w:rsidRPr="008C2366">
        <w:rPr>
          <w:rFonts w:cs="Arial" w:hint="cs"/>
          <w:sz w:val="20"/>
          <w:szCs w:val="20"/>
          <w:rtl/>
        </w:rPr>
        <w:t>יוסף</w:t>
      </w:r>
      <w:r w:rsidRPr="008C2366">
        <w:rPr>
          <w:rFonts w:cs="Arial"/>
          <w:sz w:val="20"/>
          <w:szCs w:val="20"/>
          <w:rtl/>
        </w:rPr>
        <w:t xml:space="preserve"> </w:t>
      </w:r>
      <w:r w:rsidRPr="008C2366">
        <w:rPr>
          <w:rFonts w:cs="Arial" w:hint="cs"/>
          <w:sz w:val="20"/>
          <w:szCs w:val="20"/>
          <w:rtl/>
        </w:rPr>
        <w:t>אמר</w:t>
      </w:r>
      <w:r w:rsidRPr="008C2366">
        <w:rPr>
          <w:rFonts w:cs="Arial"/>
          <w:sz w:val="20"/>
          <w:szCs w:val="20"/>
          <w:rtl/>
        </w:rPr>
        <w:t xml:space="preserve"> </w:t>
      </w:r>
      <w:r w:rsidRPr="008C2366">
        <w:rPr>
          <w:rFonts w:cs="Arial" w:hint="cs"/>
          <w:sz w:val="20"/>
          <w:szCs w:val="20"/>
          <w:rtl/>
        </w:rPr>
        <w:t>רב</w:t>
      </w:r>
      <w:r w:rsidRPr="008C2366">
        <w:rPr>
          <w:rFonts w:cs="Arial"/>
          <w:sz w:val="20"/>
          <w:szCs w:val="20"/>
          <w:rtl/>
        </w:rPr>
        <w:t xml:space="preserve"> </w:t>
      </w:r>
      <w:r w:rsidRPr="008C2366">
        <w:rPr>
          <w:rFonts w:cs="Arial" w:hint="cs"/>
          <w:sz w:val="20"/>
          <w:szCs w:val="20"/>
          <w:rtl/>
        </w:rPr>
        <w:t>יהודה</w:t>
      </w:r>
      <w:r w:rsidRPr="008C2366">
        <w:rPr>
          <w:rFonts w:cs="Arial"/>
          <w:sz w:val="20"/>
          <w:szCs w:val="20"/>
          <w:rtl/>
        </w:rPr>
        <w:t xml:space="preserve"> </w:t>
      </w:r>
      <w:r w:rsidRPr="008C2366">
        <w:rPr>
          <w:rFonts w:cs="Arial" w:hint="cs"/>
          <w:sz w:val="20"/>
          <w:szCs w:val="20"/>
          <w:rtl/>
        </w:rPr>
        <w:t>אמר</w:t>
      </w:r>
      <w:r w:rsidRPr="008C2366">
        <w:rPr>
          <w:rFonts w:cs="Arial"/>
          <w:sz w:val="20"/>
          <w:szCs w:val="20"/>
          <w:rtl/>
        </w:rPr>
        <w:t xml:space="preserve"> </w:t>
      </w:r>
      <w:r w:rsidRPr="008C2366">
        <w:rPr>
          <w:rFonts w:cs="Arial" w:hint="cs"/>
          <w:sz w:val="20"/>
          <w:szCs w:val="20"/>
          <w:rtl/>
        </w:rPr>
        <w:t>רב</w:t>
      </w:r>
      <w:r w:rsidRPr="008C2366">
        <w:rPr>
          <w:rFonts w:cs="Arial"/>
          <w:sz w:val="20"/>
          <w:szCs w:val="20"/>
          <w:rtl/>
        </w:rPr>
        <w:t xml:space="preserve">, </w:t>
      </w:r>
      <w:r w:rsidRPr="008C2366">
        <w:rPr>
          <w:rFonts w:cs="Arial" w:hint="cs"/>
          <w:sz w:val="20"/>
          <w:szCs w:val="20"/>
          <w:rtl/>
        </w:rPr>
        <w:t>התקין</w:t>
      </w:r>
      <w:r w:rsidRPr="008C2366">
        <w:rPr>
          <w:rFonts w:cs="Arial"/>
          <w:sz w:val="20"/>
          <w:szCs w:val="20"/>
          <w:rtl/>
        </w:rPr>
        <w:t xml:space="preserve"> </w:t>
      </w:r>
      <w:r w:rsidRPr="008C2366">
        <w:rPr>
          <w:rFonts w:cs="Arial" w:hint="cs"/>
          <w:sz w:val="20"/>
          <w:szCs w:val="20"/>
          <w:rtl/>
        </w:rPr>
        <w:t>רבי</w:t>
      </w:r>
      <w:r w:rsidRPr="008C2366">
        <w:rPr>
          <w:rFonts w:cs="Arial"/>
          <w:sz w:val="20"/>
          <w:szCs w:val="20"/>
          <w:rtl/>
        </w:rPr>
        <w:t xml:space="preserve"> </w:t>
      </w:r>
      <w:r w:rsidRPr="008C2366">
        <w:rPr>
          <w:rFonts w:cs="Arial" w:hint="cs"/>
          <w:sz w:val="20"/>
          <w:szCs w:val="20"/>
          <w:rtl/>
        </w:rPr>
        <w:t>בשדות</w:t>
      </w:r>
      <w:r w:rsidRPr="008C2366">
        <w:rPr>
          <w:rFonts w:cs="Arial"/>
          <w:sz w:val="20"/>
          <w:szCs w:val="20"/>
          <w:rtl/>
        </w:rPr>
        <w:t xml:space="preserve">: </w:t>
      </w:r>
      <w:r w:rsidRPr="008C2366">
        <w:rPr>
          <w:rFonts w:cs="Arial" w:hint="cs"/>
          <w:sz w:val="20"/>
          <w:szCs w:val="20"/>
          <w:rtl/>
        </w:rPr>
        <w:t>ראתה</w:t>
      </w:r>
      <w:r w:rsidRPr="008C2366">
        <w:rPr>
          <w:rFonts w:cs="Arial"/>
          <w:sz w:val="20"/>
          <w:szCs w:val="20"/>
          <w:rtl/>
        </w:rPr>
        <w:t xml:space="preserve"> </w:t>
      </w:r>
      <w:r w:rsidRPr="008C2366">
        <w:rPr>
          <w:rFonts w:cs="Arial" w:hint="cs"/>
          <w:sz w:val="20"/>
          <w:szCs w:val="20"/>
          <w:rtl/>
        </w:rPr>
        <w:t>יום</w:t>
      </w:r>
      <w:r w:rsidRPr="008C2366">
        <w:rPr>
          <w:rFonts w:cs="Arial"/>
          <w:sz w:val="20"/>
          <w:szCs w:val="20"/>
          <w:rtl/>
        </w:rPr>
        <w:t xml:space="preserve"> </w:t>
      </w:r>
      <w:r w:rsidRPr="008C2366">
        <w:rPr>
          <w:rFonts w:cs="Arial" w:hint="cs"/>
          <w:sz w:val="20"/>
          <w:szCs w:val="20"/>
          <w:rtl/>
        </w:rPr>
        <w:t>אחד</w:t>
      </w:r>
      <w:r w:rsidRPr="008C2366">
        <w:rPr>
          <w:rFonts w:cs="Arial"/>
          <w:sz w:val="20"/>
          <w:szCs w:val="20"/>
          <w:rtl/>
        </w:rPr>
        <w:t xml:space="preserve"> - </w:t>
      </w:r>
      <w:r w:rsidRPr="008C2366">
        <w:rPr>
          <w:rFonts w:cs="Arial" w:hint="cs"/>
          <w:sz w:val="20"/>
          <w:szCs w:val="20"/>
          <w:rtl/>
        </w:rPr>
        <w:t>תשב</w:t>
      </w:r>
      <w:r w:rsidRPr="008C2366">
        <w:rPr>
          <w:rFonts w:cs="Arial"/>
          <w:sz w:val="20"/>
          <w:szCs w:val="20"/>
          <w:rtl/>
        </w:rPr>
        <w:t xml:space="preserve"> </w:t>
      </w:r>
      <w:r w:rsidRPr="008C2366">
        <w:rPr>
          <w:rFonts w:cs="Arial" w:hint="cs"/>
          <w:sz w:val="20"/>
          <w:szCs w:val="20"/>
          <w:rtl/>
        </w:rPr>
        <w:t>ששה</w:t>
      </w:r>
      <w:r w:rsidRPr="008C2366">
        <w:rPr>
          <w:rFonts w:cs="Arial"/>
          <w:sz w:val="20"/>
          <w:szCs w:val="20"/>
          <w:rtl/>
        </w:rPr>
        <w:t xml:space="preserve"> </w:t>
      </w:r>
      <w:r w:rsidRPr="008C2366">
        <w:rPr>
          <w:rFonts w:cs="Arial" w:hint="cs"/>
          <w:sz w:val="20"/>
          <w:szCs w:val="20"/>
          <w:rtl/>
        </w:rPr>
        <w:t>והוא</w:t>
      </w:r>
      <w:r w:rsidRPr="008C2366">
        <w:rPr>
          <w:rFonts w:cs="Arial"/>
          <w:sz w:val="20"/>
          <w:szCs w:val="20"/>
          <w:rtl/>
        </w:rPr>
        <w:t xml:space="preserve">, </w:t>
      </w:r>
      <w:r w:rsidRPr="008C2366">
        <w:rPr>
          <w:rFonts w:cs="Arial" w:hint="cs"/>
          <w:sz w:val="20"/>
          <w:szCs w:val="20"/>
          <w:rtl/>
        </w:rPr>
        <w:t>שנים</w:t>
      </w:r>
      <w:r w:rsidRPr="008C2366">
        <w:rPr>
          <w:rFonts w:cs="Arial"/>
          <w:sz w:val="20"/>
          <w:szCs w:val="20"/>
          <w:rtl/>
        </w:rPr>
        <w:t xml:space="preserve"> - </w:t>
      </w:r>
      <w:r w:rsidRPr="008C2366">
        <w:rPr>
          <w:rFonts w:cs="Arial" w:hint="cs"/>
          <w:sz w:val="20"/>
          <w:szCs w:val="20"/>
          <w:rtl/>
        </w:rPr>
        <w:t>תשב</w:t>
      </w:r>
      <w:r w:rsidRPr="008C2366">
        <w:rPr>
          <w:rFonts w:cs="Arial"/>
          <w:sz w:val="20"/>
          <w:szCs w:val="20"/>
          <w:rtl/>
        </w:rPr>
        <w:t xml:space="preserve"> </w:t>
      </w:r>
      <w:r w:rsidRPr="008C2366">
        <w:rPr>
          <w:rFonts w:cs="Arial" w:hint="cs"/>
          <w:sz w:val="20"/>
          <w:szCs w:val="20"/>
          <w:rtl/>
        </w:rPr>
        <w:t>ששה</w:t>
      </w:r>
      <w:r w:rsidRPr="008C2366">
        <w:rPr>
          <w:rFonts w:cs="Arial"/>
          <w:sz w:val="20"/>
          <w:szCs w:val="20"/>
          <w:rtl/>
        </w:rPr>
        <w:t xml:space="preserve"> </w:t>
      </w:r>
      <w:r w:rsidRPr="008C2366">
        <w:rPr>
          <w:rFonts w:cs="Arial" w:hint="cs"/>
          <w:sz w:val="20"/>
          <w:szCs w:val="20"/>
          <w:rtl/>
        </w:rPr>
        <w:t>והן</w:t>
      </w:r>
      <w:r w:rsidRPr="008C2366">
        <w:rPr>
          <w:rFonts w:cs="Arial"/>
          <w:sz w:val="20"/>
          <w:szCs w:val="20"/>
          <w:rtl/>
        </w:rPr>
        <w:t xml:space="preserve">, </w:t>
      </w:r>
      <w:r w:rsidRPr="008C2366">
        <w:rPr>
          <w:rFonts w:cs="Arial" w:hint="cs"/>
          <w:sz w:val="20"/>
          <w:szCs w:val="20"/>
          <w:rtl/>
        </w:rPr>
        <w:t>שלשה</w:t>
      </w:r>
      <w:r w:rsidRPr="008C2366">
        <w:rPr>
          <w:rFonts w:cs="Arial"/>
          <w:sz w:val="20"/>
          <w:szCs w:val="20"/>
          <w:rtl/>
        </w:rPr>
        <w:t xml:space="preserve"> - </w:t>
      </w:r>
      <w:r w:rsidRPr="008C2366">
        <w:rPr>
          <w:rFonts w:cs="Arial" w:hint="cs"/>
          <w:sz w:val="20"/>
          <w:szCs w:val="20"/>
          <w:rtl/>
        </w:rPr>
        <w:t>תשב</w:t>
      </w:r>
      <w:r w:rsidRPr="008C2366">
        <w:rPr>
          <w:rFonts w:cs="Arial"/>
          <w:sz w:val="20"/>
          <w:szCs w:val="20"/>
          <w:rtl/>
        </w:rPr>
        <w:t xml:space="preserve"> </w:t>
      </w:r>
      <w:r w:rsidRPr="008C2366">
        <w:rPr>
          <w:rFonts w:cs="Arial" w:hint="cs"/>
          <w:sz w:val="20"/>
          <w:szCs w:val="20"/>
          <w:rtl/>
        </w:rPr>
        <w:t>שבעה</w:t>
      </w:r>
      <w:r w:rsidRPr="008C2366">
        <w:rPr>
          <w:rFonts w:cs="Arial"/>
          <w:sz w:val="20"/>
          <w:szCs w:val="20"/>
          <w:rtl/>
        </w:rPr>
        <w:t xml:space="preserve"> </w:t>
      </w:r>
      <w:r w:rsidRPr="008C2366">
        <w:rPr>
          <w:rFonts w:cs="Arial" w:hint="cs"/>
          <w:sz w:val="20"/>
          <w:szCs w:val="20"/>
          <w:rtl/>
        </w:rPr>
        <w:t>נקיים</w:t>
      </w:r>
      <w:r w:rsidRPr="008C2366">
        <w:rPr>
          <w:rFonts w:cs="Arial"/>
          <w:sz w:val="20"/>
          <w:szCs w:val="20"/>
          <w:rtl/>
        </w:rPr>
        <w:t xml:space="preserve">. </w:t>
      </w:r>
      <w:r w:rsidRPr="008C2366">
        <w:rPr>
          <w:rFonts w:cs="Arial" w:hint="cs"/>
          <w:sz w:val="20"/>
          <w:szCs w:val="20"/>
          <w:rtl/>
        </w:rPr>
        <w:t>אמר</w:t>
      </w:r>
      <w:r w:rsidRPr="008C2366">
        <w:rPr>
          <w:rFonts w:cs="Arial"/>
          <w:sz w:val="20"/>
          <w:szCs w:val="20"/>
          <w:rtl/>
        </w:rPr>
        <w:t xml:space="preserve"> </w:t>
      </w:r>
      <w:r w:rsidRPr="008C2366">
        <w:rPr>
          <w:rFonts w:cs="Arial" w:hint="cs"/>
          <w:sz w:val="20"/>
          <w:szCs w:val="20"/>
          <w:rtl/>
        </w:rPr>
        <w:t>ר</w:t>
      </w:r>
      <w:r>
        <w:rPr>
          <w:rFonts w:cs="Arial" w:hint="cs"/>
          <w:sz w:val="20"/>
          <w:szCs w:val="20"/>
          <w:rtl/>
        </w:rPr>
        <w:t>בי</w:t>
      </w:r>
      <w:r w:rsidRPr="008C2366">
        <w:rPr>
          <w:rFonts w:cs="Arial"/>
          <w:sz w:val="20"/>
          <w:szCs w:val="20"/>
          <w:rtl/>
        </w:rPr>
        <w:t xml:space="preserve"> </w:t>
      </w:r>
      <w:r w:rsidRPr="008C2366">
        <w:rPr>
          <w:rFonts w:cs="Arial" w:hint="cs"/>
          <w:sz w:val="20"/>
          <w:szCs w:val="20"/>
          <w:rtl/>
        </w:rPr>
        <w:t>זירא</w:t>
      </w:r>
      <w:r w:rsidRPr="008C2366">
        <w:rPr>
          <w:rFonts w:cs="Arial"/>
          <w:sz w:val="20"/>
          <w:szCs w:val="20"/>
          <w:rtl/>
        </w:rPr>
        <w:t xml:space="preserve">: </w:t>
      </w:r>
      <w:r w:rsidRPr="008C2366">
        <w:rPr>
          <w:rFonts w:cs="Arial" w:hint="cs"/>
          <w:sz w:val="20"/>
          <w:szCs w:val="20"/>
          <w:rtl/>
        </w:rPr>
        <w:t>בנות</w:t>
      </w:r>
      <w:r w:rsidRPr="008C2366">
        <w:rPr>
          <w:rFonts w:cs="Arial"/>
          <w:sz w:val="20"/>
          <w:szCs w:val="20"/>
          <w:rtl/>
        </w:rPr>
        <w:t xml:space="preserve"> </w:t>
      </w:r>
      <w:r w:rsidRPr="008C2366">
        <w:rPr>
          <w:rFonts w:cs="Arial" w:hint="cs"/>
          <w:sz w:val="20"/>
          <w:szCs w:val="20"/>
          <w:rtl/>
        </w:rPr>
        <w:t>ישראל</w:t>
      </w:r>
      <w:r w:rsidRPr="008C2366">
        <w:rPr>
          <w:rFonts w:cs="Arial"/>
          <w:sz w:val="20"/>
          <w:szCs w:val="20"/>
          <w:rtl/>
        </w:rPr>
        <w:t xml:space="preserve"> </w:t>
      </w:r>
      <w:r w:rsidRPr="008C2366">
        <w:rPr>
          <w:rFonts w:cs="Arial" w:hint="cs"/>
          <w:sz w:val="20"/>
          <w:szCs w:val="20"/>
          <w:rtl/>
        </w:rPr>
        <w:t>החמירו</w:t>
      </w:r>
      <w:r w:rsidRPr="008C2366">
        <w:rPr>
          <w:rFonts w:cs="Arial"/>
          <w:sz w:val="20"/>
          <w:szCs w:val="20"/>
          <w:rtl/>
        </w:rPr>
        <w:t xml:space="preserve"> </w:t>
      </w:r>
      <w:r w:rsidRPr="008C2366">
        <w:rPr>
          <w:rFonts w:cs="Arial" w:hint="cs"/>
          <w:sz w:val="20"/>
          <w:szCs w:val="20"/>
          <w:rtl/>
        </w:rPr>
        <w:t>על</w:t>
      </w:r>
      <w:r w:rsidRPr="008C2366">
        <w:rPr>
          <w:rFonts w:cs="Arial"/>
          <w:sz w:val="20"/>
          <w:szCs w:val="20"/>
          <w:rtl/>
        </w:rPr>
        <w:t xml:space="preserve"> </w:t>
      </w:r>
      <w:r w:rsidRPr="008C2366">
        <w:rPr>
          <w:rFonts w:cs="Arial" w:hint="cs"/>
          <w:sz w:val="20"/>
          <w:szCs w:val="20"/>
          <w:rtl/>
        </w:rPr>
        <w:t>עצמן</w:t>
      </w:r>
      <w:r w:rsidRPr="008C2366">
        <w:rPr>
          <w:rFonts w:cs="Arial"/>
          <w:sz w:val="20"/>
          <w:szCs w:val="20"/>
          <w:rtl/>
        </w:rPr>
        <w:t xml:space="preserve">, </w:t>
      </w:r>
      <w:r w:rsidRPr="008C2366">
        <w:rPr>
          <w:rFonts w:cs="Arial" w:hint="cs"/>
          <w:sz w:val="20"/>
          <w:szCs w:val="20"/>
          <w:rtl/>
        </w:rPr>
        <w:t>שאפילו</w:t>
      </w:r>
      <w:r w:rsidRPr="008C2366">
        <w:rPr>
          <w:rFonts w:cs="Arial"/>
          <w:sz w:val="20"/>
          <w:szCs w:val="20"/>
          <w:rtl/>
        </w:rPr>
        <w:t xml:space="preserve"> </w:t>
      </w:r>
      <w:r w:rsidRPr="008C2366">
        <w:rPr>
          <w:rFonts w:cs="Arial" w:hint="cs"/>
          <w:sz w:val="20"/>
          <w:szCs w:val="20"/>
          <w:rtl/>
        </w:rPr>
        <w:t>רואות</w:t>
      </w:r>
      <w:r w:rsidRPr="008C2366">
        <w:rPr>
          <w:rFonts w:cs="Arial"/>
          <w:sz w:val="20"/>
          <w:szCs w:val="20"/>
          <w:rtl/>
        </w:rPr>
        <w:t xml:space="preserve"> </w:t>
      </w:r>
      <w:r w:rsidRPr="008C2366">
        <w:rPr>
          <w:rFonts w:cs="Arial" w:hint="cs"/>
          <w:sz w:val="20"/>
          <w:szCs w:val="20"/>
          <w:rtl/>
        </w:rPr>
        <w:t>טפת</w:t>
      </w:r>
      <w:r w:rsidRPr="008C2366">
        <w:rPr>
          <w:rFonts w:cs="Arial"/>
          <w:sz w:val="20"/>
          <w:szCs w:val="20"/>
          <w:rtl/>
        </w:rPr>
        <w:t xml:space="preserve"> </w:t>
      </w:r>
      <w:r w:rsidRPr="008C2366">
        <w:rPr>
          <w:rFonts w:cs="Arial" w:hint="cs"/>
          <w:sz w:val="20"/>
          <w:szCs w:val="20"/>
          <w:rtl/>
        </w:rPr>
        <w:t>דם</w:t>
      </w:r>
      <w:r w:rsidRPr="008C2366">
        <w:rPr>
          <w:rFonts w:cs="Arial"/>
          <w:sz w:val="20"/>
          <w:szCs w:val="20"/>
          <w:rtl/>
        </w:rPr>
        <w:t xml:space="preserve"> </w:t>
      </w:r>
      <w:r w:rsidRPr="008C2366">
        <w:rPr>
          <w:rFonts w:cs="Arial" w:hint="cs"/>
          <w:sz w:val="20"/>
          <w:szCs w:val="20"/>
          <w:rtl/>
        </w:rPr>
        <w:t>כחרדל</w:t>
      </w:r>
      <w:r w:rsidRPr="008C2366">
        <w:rPr>
          <w:rFonts w:cs="Arial"/>
          <w:sz w:val="20"/>
          <w:szCs w:val="20"/>
          <w:rtl/>
        </w:rPr>
        <w:t xml:space="preserve"> - </w:t>
      </w:r>
      <w:r w:rsidRPr="008C2366">
        <w:rPr>
          <w:rFonts w:cs="Arial" w:hint="cs"/>
          <w:sz w:val="20"/>
          <w:szCs w:val="20"/>
          <w:rtl/>
        </w:rPr>
        <w:t>יושבות</w:t>
      </w:r>
      <w:r w:rsidRPr="008C2366">
        <w:rPr>
          <w:rFonts w:cs="Arial"/>
          <w:sz w:val="20"/>
          <w:szCs w:val="20"/>
          <w:rtl/>
        </w:rPr>
        <w:t xml:space="preserve"> </w:t>
      </w:r>
      <w:r w:rsidRPr="008C2366">
        <w:rPr>
          <w:rFonts w:cs="Arial" w:hint="cs"/>
          <w:sz w:val="20"/>
          <w:szCs w:val="20"/>
          <w:rtl/>
        </w:rPr>
        <w:t>עליה</w:t>
      </w:r>
      <w:r w:rsidRPr="008C2366">
        <w:rPr>
          <w:rFonts w:cs="Arial"/>
          <w:sz w:val="20"/>
          <w:szCs w:val="20"/>
          <w:rtl/>
        </w:rPr>
        <w:t xml:space="preserve"> </w:t>
      </w:r>
      <w:r w:rsidRPr="008C2366">
        <w:rPr>
          <w:rFonts w:cs="Arial" w:hint="cs"/>
          <w:sz w:val="20"/>
          <w:szCs w:val="20"/>
          <w:rtl/>
        </w:rPr>
        <w:t>שבעה</w:t>
      </w:r>
      <w:r w:rsidRPr="008C2366">
        <w:rPr>
          <w:rFonts w:cs="Arial"/>
          <w:sz w:val="20"/>
          <w:szCs w:val="20"/>
          <w:rtl/>
        </w:rPr>
        <w:t xml:space="preserve"> </w:t>
      </w:r>
      <w:r w:rsidRPr="008C2366">
        <w:rPr>
          <w:rFonts w:cs="Arial" w:hint="cs"/>
          <w:sz w:val="20"/>
          <w:szCs w:val="20"/>
          <w:rtl/>
        </w:rPr>
        <w:t>נקיים</w:t>
      </w:r>
      <w:r>
        <w:rPr>
          <w:rFonts w:cs="Arial" w:hint="cs"/>
          <w:sz w:val="20"/>
          <w:szCs w:val="20"/>
          <w:rtl/>
        </w:rPr>
        <w:t>".</w:t>
      </w:r>
    </w:p>
    <w:p w:rsidR="00620060" w:rsidRDefault="00620060" w:rsidP="00620060">
      <w:pPr>
        <w:rPr>
          <w:sz w:val="20"/>
          <w:szCs w:val="20"/>
          <w:rtl/>
        </w:rPr>
      </w:pPr>
      <w:r>
        <w:rPr>
          <w:rFonts w:hint="cs"/>
          <w:sz w:val="20"/>
          <w:szCs w:val="20"/>
          <w:u w:val="single"/>
          <w:rtl/>
        </w:rPr>
        <w:t>הסבר ג' שלבי החומרה</w:t>
      </w:r>
      <w:r>
        <w:rPr>
          <w:sz w:val="20"/>
          <w:szCs w:val="20"/>
          <w:u w:val="single"/>
          <w:rtl/>
        </w:rPr>
        <w:br/>
      </w:r>
      <w:r>
        <w:rPr>
          <w:rFonts w:hint="cs"/>
          <w:sz w:val="20"/>
          <w:szCs w:val="20"/>
          <w:rtl/>
        </w:rPr>
        <w:t xml:space="preserve">א. משרבו הגלויות ותכפו הצרות ונתמעטו הלבבות, חששו חכמים לטמא כל מראה אדום מחמת דם נידה אפילו שאינו מחמשת הדמים הטמאים </w:t>
      </w:r>
      <w:r w:rsidRPr="007C5A5B">
        <w:rPr>
          <w:rFonts w:hint="cs"/>
          <w:sz w:val="18"/>
          <w:szCs w:val="18"/>
          <w:rtl/>
        </w:rPr>
        <w:t>(רי"ף, רא"ש וטור)</w:t>
      </w:r>
      <w:r>
        <w:rPr>
          <w:rFonts w:hint="cs"/>
          <w:sz w:val="20"/>
          <w:szCs w:val="20"/>
          <w:rtl/>
        </w:rPr>
        <w:t>, ועיין בהערה.</w:t>
      </w:r>
      <w:r>
        <w:rPr>
          <w:rStyle w:val="a5"/>
          <w:sz w:val="20"/>
          <w:szCs w:val="20"/>
          <w:rtl/>
        </w:rPr>
        <w:footnoteReference w:id="11"/>
      </w:r>
      <w:r>
        <w:rPr>
          <w:sz w:val="20"/>
          <w:szCs w:val="20"/>
          <w:rtl/>
        </w:rPr>
        <w:br/>
      </w:r>
      <w:r>
        <w:rPr>
          <w:rFonts w:hint="cs"/>
          <w:sz w:val="20"/>
          <w:szCs w:val="20"/>
          <w:rtl/>
        </w:rPr>
        <w:t>ב. רבי התקין במקום שאינם בני תורה לספור שישה ימים נקיים מדם לאשה שראתה יום או יומיים.</w:t>
      </w:r>
      <w:r>
        <w:rPr>
          <w:sz w:val="20"/>
          <w:szCs w:val="20"/>
          <w:rtl/>
        </w:rPr>
        <w:br/>
      </w:r>
      <w:r w:rsidRPr="00631FBB">
        <w:rPr>
          <w:rFonts w:hint="cs"/>
          <w:sz w:val="20"/>
          <w:szCs w:val="20"/>
          <w:u w:val="single"/>
          <w:rtl/>
        </w:rPr>
        <w:t>טעם</w:t>
      </w:r>
      <w:r>
        <w:rPr>
          <w:rFonts w:hint="cs"/>
          <w:sz w:val="20"/>
          <w:szCs w:val="20"/>
          <w:rtl/>
        </w:rPr>
        <w:t xml:space="preserve"> </w:t>
      </w:r>
      <w:r>
        <w:rPr>
          <w:sz w:val="20"/>
          <w:szCs w:val="20"/>
          <w:rtl/>
        </w:rPr>
        <w:t>–</w:t>
      </w:r>
      <w:r>
        <w:rPr>
          <w:rFonts w:hint="cs"/>
          <w:sz w:val="20"/>
          <w:szCs w:val="20"/>
          <w:rtl/>
        </w:rPr>
        <w:t xml:space="preserve"> שמא רק ביום האחרון של ראייתה ראתה דם טמא, ואילו הדם ביום הראשון היה טהור, ולכן ימי נידתה מתחילים רק מיום השני. </w:t>
      </w:r>
      <w:r w:rsidRPr="00AE7B7C">
        <w:rPr>
          <w:rFonts w:hint="cs"/>
          <w:sz w:val="18"/>
          <w:szCs w:val="18"/>
          <w:rtl/>
        </w:rPr>
        <w:t xml:space="preserve">(כלומר </w:t>
      </w:r>
      <w:r w:rsidRPr="00AE7B7C">
        <w:rPr>
          <w:sz w:val="18"/>
          <w:szCs w:val="18"/>
          <w:rtl/>
        </w:rPr>
        <w:t>–</w:t>
      </w:r>
      <w:r w:rsidRPr="00AE7B7C">
        <w:rPr>
          <w:rFonts w:hint="cs"/>
          <w:sz w:val="18"/>
          <w:szCs w:val="18"/>
          <w:rtl/>
        </w:rPr>
        <w:t xml:space="preserve"> תמיד יש לחוש שמא ימי נידתה התחילו ביום האחרון, ולכן צריך שישה נקיים)</w:t>
      </w:r>
      <w:r>
        <w:rPr>
          <w:rFonts w:hint="cs"/>
          <w:sz w:val="18"/>
          <w:szCs w:val="18"/>
          <w:rtl/>
        </w:rPr>
        <w:t>.</w:t>
      </w:r>
      <w:r>
        <w:rPr>
          <w:rStyle w:val="a5"/>
          <w:sz w:val="18"/>
          <w:szCs w:val="18"/>
          <w:rtl/>
        </w:rPr>
        <w:footnoteReference w:id="12"/>
      </w:r>
      <w:r w:rsidRPr="00AE7B7C">
        <w:rPr>
          <w:rFonts w:hint="cs"/>
          <w:sz w:val="18"/>
          <w:szCs w:val="18"/>
          <w:rtl/>
        </w:rPr>
        <w:t xml:space="preserve"> </w:t>
      </w:r>
      <w:r>
        <w:rPr>
          <w:sz w:val="20"/>
          <w:szCs w:val="20"/>
          <w:rtl/>
        </w:rPr>
        <w:br/>
      </w:r>
      <w:r>
        <w:rPr>
          <w:rFonts w:hint="cs"/>
          <w:sz w:val="20"/>
          <w:szCs w:val="20"/>
          <w:rtl/>
        </w:rPr>
        <w:t>ואמנם, אם ראתה ג' ימים, צריכה לשמור שבעה בנקיות, שמא היא זבה גדולה.</w:t>
      </w:r>
      <w:r>
        <w:rPr>
          <w:sz w:val="20"/>
          <w:szCs w:val="20"/>
          <w:rtl/>
        </w:rPr>
        <w:br/>
      </w:r>
      <w:r>
        <w:rPr>
          <w:rFonts w:hint="cs"/>
          <w:sz w:val="20"/>
          <w:szCs w:val="20"/>
          <w:rtl/>
        </w:rPr>
        <w:t xml:space="preserve">ג. חומרת רבי זירא </w:t>
      </w:r>
      <w:r>
        <w:rPr>
          <w:sz w:val="20"/>
          <w:szCs w:val="20"/>
          <w:rtl/>
        </w:rPr>
        <w:t>–</w:t>
      </w:r>
      <w:r>
        <w:rPr>
          <w:rFonts w:hint="cs"/>
          <w:sz w:val="20"/>
          <w:szCs w:val="20"/>
          <w:rtl/>
        </w:rPr>
        <w:t xml:space="preserve"> כל מראה של טיפת דם, אפילו בגודל קטן כחרדל, יושבת שבעה נקיים.</w:t>
      </w:r>
      <w:r>
        <w:rPr>
          <w:rStyle w:val="a5"/>
          <w:sz w:val="20"/>
          <w:szCs w:val="20"/>
          <w:rtl/>
        </w:rPr>
        <w:footnoteReference w:id="13"/>
      </w:r>
    </w:p>
    <w:p w:rsidR="00620060" w:rsidRDefault="00620060" w:rsidP="00620060">
      <w:pPr>
        <w:rPr>
          <w:sz w:val="20"/>
          <w:szCs w:val="20"/>
          <w:rtl/>
        </w:rPr>
      </w:pPr>
      <w:r>
        <w:rPr>
          <w:rFonts w:hint="cs"/>
          <w:sz w:val="20"/>
          <w:szCs w:val="20"/>
          <w:u w:val="single"/>
          <w:rtl/>
        </w:rPr>
        <w:t>טעם חומרת רבי זירא</w:t>
      </w:r>
      <w:r>
        <w:rPr>
          <w:sz w:val="20"/>
          <w:szCs w:val="20"/>
          <w:u w:val="single"/>
          <w:rtl/>
        </w:rPr>
        <w:br/>
      </w:r>
      <w:r>
        <w:rPr>
          <w:rFonts w:hint="cs"/>
          <w:sz w:val="20"/>
          <w:szCs w:val="20"/>
          <w:rtl/>
        </w:rPr>
        <w:t xml:space="preserve">א. </w:t>
      </w:r>
      <w:r w:rsidRPr="00F572DE">
        <w:rPr>
          <w:rFonts w:hint="cs"/>
          <w:b/>
          <w:bCs/>
          <w:sz w:val="20"/>
          <w:szCs w:val="20"/>
          <w:rtl/>
        </w:rPr>
        <w:t>רי"ף</w:t>
      </w:r>
      <w:r>
        <w:rPr>
          <w:rFonts w:hint="cs"/>
          <w:sz w:val="20"/>
          <w:szCs w:val="20"/>
          <w:rtl/>
        </w:rPr>
        <w:t xml:space="preserve"> </w:t>
      </w:r>
      <w:r>
        <w:rPr>
          <w:sz w:val="20"/>
          <w:szCs w:val="20"/>
          <w:rtl/>
        </w:rPr>
        <w:t>–</w:t>
      </w:r>
      <w:r>
        <w:rPr>
          <w:rFonts w:hint="cs"/>
          <w:sz w:val="20"/>
          <w:szCs w:val="20"/>
          <w:rtl/>
        </w:rPr>
        <w:t xml:space="preserve"> חכמים הנהיגו חומרה זו ובנות ישראל קיבלו זאת על עצמן, אע"פ שבתקנת רבי יוצאים מכל חשש.</w:t>
      </w:r>
      <w:r>
        <w:rPr>
          <w:sz w:val="20"/>
          <w:szCs w:val="20"/>
          <w:rtl/>
        </w:rPr>
        <w:br/>
      </w:r>
      <w:r>
        <w:rPr>
          <w:rFonts w:hint="cs"/>
          <w:sz w:val="20"/>
          <w:szCs w:val="20"/>
          <w:rtl/>
        </w:rPr>
        <w:t xml:space="preserve">ב. </w:t>
      </w:r>
      <w:r w:rsidRPr="0032184D">
        <w:rPr>
          <w:rFonts w:hint="cs"/>
          <w:b/>
          <w:bCs/>
          <w:sz w:val="20"/>
          <w:szCs w:val="20"/>
          <w:rtl/>
        </w:rPr>
        <w:t>יש אומרים</w:t>
      </w:r>
      <w:r>
        <w:rPr>
          <w:rFonts w:hint="cs"/>
          <w:sz w:val="20"/>
          <w:szCs w:val="20"/>
          <w:rtl/>
        </w:rPr>
        <w:t xml:space="preserve"> </w:t>
      </w:r>
      <w:r w:rsidRPr="00AC62A0">
        <w:rPr>
          <w:rFonts w:hint="cs"/>
          <w:sz w:val="18"/>
          <w:szCs w:val="18"/>
          <w:rtl/>
        </w:rPr>
        <w:t xml:space="preserve">(הו"ד </w:t>
      </w:r>
      <w:r w:rsidRPr="0032184D">
        <w:rPr>
          <w:rFonts w:hint="cs"/>
          <w:b/>
          <w:bCs/>
          <w:sz w:val="18"/>
          <w:szCs w:val="18"/>
          <w:rtl/>
        </w:rPr>
        <w:t>בר"ן</w:t>
      </w:r>
      <w:r w:rsidRPr="00AC62A0">
        <w:rPr>
          <w:rFonts w:hint="cs"/>
          <w:sz w:val="18"/>
          <w:szCs w:val="18"/>
          <w:rtl/>
        </w:rPr>
        <w:t xml:space="preserve">) </w:t>
      </w:r>
      <w:r>
        <w:rPr>
          <w:sz w:val="20"/>
          <w:szCs w:val="20"/>
          <w:rtl/>
        </w:rPr>
        <w:t>–</w:t>
      </w:r>
      <w:r>
        <w:rPr>
          <w:rFonts w:hint="cs"/>
          <w:sz w:val="20"/>
          <w:szCs w:val="20"/>
          <w:rtl/>
        </w:rPr>
        <w:t xml:space="preserve"> חשש לזבה גדולה והיא סבורה שהיא זבה קטנה.</w:t>
      </w:r>
      <w:r>
        <w:rPr>
          <w:sz w:val="20"/>
          <w:szCs w:val="20"/>
          <w:rtl/>
        </w:rPr>
        <w:br/>
      </w:r>
      <w:r>
        <w:rPr>
          <w:rFonts w:hint="cs"/>
          <w:sz w:val="20"/>
          <w:szCs w:val="20"/>
          <w:rtl/>
        </w:rPr>
        <w:t xml:space="preserve">כגון </w:t>
      </w:r>
      <w:r>
        <w:rPr>
          <w:sz w:val="20"/>
          <w:szCs w:val="20"/>
          <w:rtl/>
        </w:rPr>
        <w:t>–</w:t>
      </w:r>
      <w:r>
        <w:rPr>
          <w:rFonts w:hint="cs"/>
          <w:sz w:val="20"/>
          <w:szCs w:val="20"/>
          <w:rtl/>
        </w:rPr>
        <w:t xml:space="preserve"> ראייה ראשונה היתה בבין השמשות, ודינה כרואה יומיים, והראייה השנייה לדעתה היא למעשה שלישית, ומש"ה החמירו בכל טיפת דם כאילו היא זבה גמורה.</w:t>
      </w:r>
      <w:r>
        <w:rPr>
          <w:sz w:val="20"/>
          <w:szCs w:val="20"/>
          <w:rtl/>
        </w:rPr>
        <w:br/>
      </w:r>
      <w:r>
        <w:rPr>
          <w:rFonts w:hint="cs"/>
          <w:sz w:val="20"/>
          <w:szCs w:val="20"/>
          <w:rtl/>
        </w:rPr>
        <w:t xml:space="preserve">ג. </w:t>
      </w:r>
      <w:r>
        <w:rPr>
          <w:rFonts w:hint="cs"/>
          <w:b/>
          <w:bCs/>
          <w:sz w:val="20"/>
          <w:szCs w:val="20"/>
          <w:rtl/>
        </w:rPr>
        <w:t>רמב"ן ו</w:t>
      </w:r>
      <w:r w:rsidRPr="00AC62A0">
        <w:rPr>
          <w:rFonts w:hint="cs"/>
          <w:b/>
          <w:bCs/>
          <w:sz w:val="20"/>
          <w:szCs w:val="20"/>
          <w:rtl/>
        </w:rPr>
        <w:t>ר"ן</w:t>
      </w:r>
      <w:r>
        <w:rPr>
          <w:rFonts w:hint="cs"/>
          <w:sz w:val="20"/>
          <w:szCs w:val="20"/>
          <w:rtl/>
        </w:rPr>
        <w:t xml:space="preserve"> </w:t>
      </w:r>
      <w:r>
        <w:rPr>
          <w:sz w:val="20"/>
          <w:szCs w:val="20"/>
          <w:rtl/>
        </w:rPr>
        <w:t>–</w:t>
      </w:r>
      <w:r>
        <w:rPr>
          <w:rFonts w:hint="cs"/>
          <w:sz w:val="20"/>
          <w:szCs w:val="20"/>
          <w:rtl/>
        </w:rPr>
        <w:t xml:space="preserve"> כיוון שזבה שסותרת ז' נקיים צריכה למנות שנית ז' נקיים, החמירו אף בנידה כך, כדי שיהיו מונות תמיד מניין אחד וכך לא יבוא הדבר לכלל טעות.</w:t>
      </w:r>
      <w:r>
        <w:rPr>
          <w:rFonts w:hint="cs"/>
          <w:sz w:val="20"/>
          <w:szCs w:val="20"/>
          <w:rtl/>
        </w:rPr>
        <w:br/>
        <w:t xml:space="preserve">ד. </w:t>
      </w:r>
      <w:r w:rsidRPr="004E5C46">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שלא יבואו לטעות ולמנות ו' נקיים במקום שצריך למנות ז', תיקנו למנות תמיד ז'.</w:t>
      </w:r>
    </w:p>
    <w:p w:rsidR="00620060" w:rsidRDefault="00620060" w:rsidP="00620060">
      <w:pPr>
        <w:rPr>
          <w:sz w:val="20"/>
          <w:szCs w:val="20"/>
          <w:rtl/>
        </w:rPr>
      </w:pPr>
      <w:r>
        <w:rPr>
          <w:rFonts w:hint="cs"/>
          <w:sz w:val="20"/>
          <w:szCs w:val="20"/>
          <w:u w:val="single"/>
          <w:rtl/>
        </w:rPr>
        <w:t>מה הרבותא בכך שאפילו טיפת דם כחרדל מטמאה</w:t>
      </w:r>
      <w:r>
        <w:rPr>
          <w:rFonts w:hint="cs"/>
          <w:sz w:val="20"/>
          <w:szCs w:val="20"/>
          <w:u w:val="single"/>
          <w:rtl/>
        </w:rPr>
        <w:br/>
      </w:r>
      <w:r>
        <w:rPr>
          <w:rFonts w:hint="cs"/>
          <w:sz w:val="20"/>
          <w:szCs w:val="20"/>
          <w:rtl/>
        </w:rPr>
        <w:t xml:space="preserve">א. </w:t>
      </w:r>
      <w:r w:rsidRPr="000B66EF">
        <w:rPr>
          <w:rFonts w:hint="cs"/>
          <w:b/>
          <w:bCs/>
          <w:sz w:val="20"/>
          <w:szCs w:val="20"/>
          <w:rtl/>
        </w:rPr>
        <w:t>יש אומרים</w:t>
      </w:r>
      <w:r>
        <w:rPr>
          <w:rFonts w:hint="cs"/>
          <w:sz w:val="20"/>
          <w:szCs w:val="20"/>
          <w:rtl/>
        </w:rPr>
        <w:t xml:space="preserve"> </w:t>
      </w:r>
      <w:r w:rsidRPr="000B66EF">
        <w:rPr>
          <w:rFonts w:hint="cs"/>
          <w:sz w:val="18"/>
          <w:szCs w:val="18"/>
          <w:rtl/>
        </w:rPr>
        <w:t>(מובא ברבינו יונה על הרי"ף במסכת ברכות)</w:t>
      </w:r>
      <w:r w:rsidRPr="000B66EF">
        <w:rPr>
          <w:rFonts w:hint="cs"/>
          <w:sz w:val="20"/>
          <w:szCs w:val="20"/>
          <w:rtl/>
        </w:rPr>
        <w:t xml:space="preserve"> </w:t>
      </w:r>
      <w:r>
        <w:rPr>
          <w:sz w:val="20"/>
          <w:szCs w:val="20"/>
          <w:rtl/>
        </w:rPr>
        <w:t>–</w:t>
      </w:r>
      <w:r>
        <w:rPr>
          <w:rFonts w:hint="cs"/>
          <w:sz w:val="20"/>
          <w:szCs w:val="20"/>
          <w:rtl/>
        </w:rPr>
        <w:t xml:space="preserve"> החומרה היא בכך שטימאו אפילו דם כמראה חרדל.</w:t>
      </w:r>
      <w:r>
        <w:rPr>
          <w:sz w:val="20"/>
          <w:szCs w:val="20"/>
          <w:rtl/>
        </w:rPr>
        <w:br/>
      </w:r>
      <w:r w:rsidRPr="00E95FE6">
        <w:rPr>
          <w:rFonts w:hint="cs"/>
          <w:sz w:val="20"/>
          <w:szCs w:val="20"/>
          <w:u w:val="single"/>
          <w:rtl/>
        </w:rPr>
        <w:t>דוחה רבינו יונה</w:t>
      </w:r>
      <w:r>
        <w:rPr>
          <w:rFonts w:hint="cs"/>
          <w:sz w:val="20"/>
          <w:szCs w:val="20"/>
          <w:rtl/>
        </w:rPr>
        <w:t xml:space="preserve"> </w:t>
      </w:r>
      <w:r>
        <w:rPr>
          <w:sz w:val="20"/>
          <w:szCs w:val="20"/>
          <w:rtl/>
        </w:rPr>
        <w:t>–</w:t>
      </w:r>
      <w:r>
        <w:rPr>
          <w:rFonts w:hint="cs"/>
          <w:sz w:val="20"/>
          <w:szCs w:val="20"/>
          <w:rtl/>
        </w:rPr>
        <w:t xml:space="preserve"> אין זו חומרה, שהרי דם כמראה חרדל טמא מעיקר הדין.</w:t>
      </w:r>
      <w:r>
        <w:rPr>
          <w:rFonts w:hint="cs"/>
          <w:sz w:val="20"/>
          <w:szCs w:val="20"/>
          <w:rtl/>
        </w:rPr>
        <w:br/>
        <w:t xml:space="preserve">ב. </w:t>
      </w:r>
      <w:r w:rsidRPr="000B66EF">
        <w:rPr>
          <w:rFonts w:hint="cs"/>
          <w:b/>
          <w:bCs/>
          <w:sz w:val="20"/>
          <w:szCs w:val="20"/>
          <w:rtl/>
        </w:rPr>
        <w:t>יש אומרים</w:t>
      </w:r>
      <w:r>
        <w:rPr>
          <w:rFonts w:hint="cs"/>
          <w:sz w:val="20"/>
          <w:szCs w:val="20"/>
          <w:rtl/>
        </w:rPr>
        <w:t xml:space="preserve"> </w:t>
      </w:r>
      <w:r w:rsidRPr="000B66EF">
        <w:rPr>
          <w:rFonts w:hint="cs"/>
          <w:sz w:val="18"/>
          <w:szCs w:val="18"/>
          <w:rtl/>
        </w:rPr>
        <w:t xml:space="preserve">(שם) </w:t>
      </w:r>
      <w:r>
        <w:rPr>
          <w:rFonts w:hint="cs"/>
          <w:sz w:val="20"/>
          <w:szCs w:val="20"/>
          <w:rtl/>
        </w:rPr>
        <w:t>- החומרה היא שטימאו אפילו כמות דם מועטת.</w:t>
      </w:r>
      <w:r>
        <w:rPr>
          <w:sz w:val="20"/>
          <w:szCs w:val="20"/>
          <w:rtl/>
        </w:rPr>
        <w:br/>
      </w:r>
      <w:r w:rsidRPr="00E95FE6">
        <w:rPr>
          <w:rFonts w:hint="cs"/>
          <w:sz w:val="20"/>
          <w:szCs w:val="20"/>
          <w:u w:val="single"/>
          <w:rtl/>
        </w:rPr>
        <w:t>דוחה רבינו יונה</w:t>
      </w:r>
      <w:r>
        <w:rPr>
          <w:rFonts w:hint="cs"/>
          <w:sz w:val="20"/>
          <w:szCs w:val="20"/>
          <w:rtl/>
        </w:rPr>
        <w:t xml:space="preserve"> </w:t>
      </w:r>
      <w:r>
        <w:rPr>
          <w:sz w:val="20"/>
          <w:szCs w:val="20"/>
          <w:rtl/>
        </w:rPr>
        <w:t>–</w:t>
      </w:r>
      <w:r>
        <w:rPr>
          <w:rFonts w:hint="cs"/>
          <w:sz w:val="20"/>
          <w:szCs w:val="20"/>
          <w:rtl/>
        </w:rPr>
        <w:t xml:space="preserve"> אין זו חומרה, שהרי מעיקר הדין אשה נטמאת אף בכל שהוא דם.</w:t>
      </w:r>
      <w:r>
        <w:rPr>
          <w:rFonts w:hint="cs"/>
          <w:sz w:val="20"/>
          <w:szCs w:val="20"/>
          <w:rtl/>
        </w:rPr>
        <w:br/>
        <w:t xml:space="preserve">ג. </w:t>
      </w:r>
      <w:r w:rsidRPr="000B66EF">
        <w:rPr>
          <w:rFonts w:hint="cs"/>
          <w:b/>
          <w:bCs/>
          <w:sz w:val="20"/>
          <w:szCs w:val="20"/>
          <w:rtl/>
        </w:rPr>
        <w:t>רבינו יונה ור"ן</w:t>
      </w:r>
      <w:r>
        <w:rPr>
          <w:rFonts w:hint="cs"/>
          <w:sz w:val="20"/>
          <w:szCs w:val="20"/>
          <w:rtl/>
        </w:rPr>
        <w:t xml:space="preserve"> </w:t>
      </w:r>
      <w:r>
        <w:rPr>
          <w:sz w:val="20"/>
          <w:szCs w:val="20"/>
          <w:rtl/>
        </w:rPr>
        <w:t>–</w:t>
      </w:r>
      <w:r>
        <w:rPr>
          <w:rFonts w:hint="cs"/>
          <w:sz w:val="20"/>
          <w:szCs w:val="20"/>
          <w:rtl/>
        </w:rPr>
        <w:t xml:space="preserve"> החומרה כך: כאשר יוצא דם מרובה מהאישה, יש לחוש לכך שנעקר ממקומו במשך שלושה ימים אלא שלא יצא לחוץ עד עתה ולכן היא טמאה כזבה. לעומת זאת, כאשר יוצא מעט דם, כחרדל, אין לחוש לכך שהרי בוודאי זו ראייה אחת, ואעפ"כ החמירו על עצמן כאילו ראתה שלושה ימים כזבה.</w:t>
      </w:r>
    </w:p>
    <w:p w:rsidR="00620060" w:rsidRDefault="00620060" w:rsidP="00620060">
      <w:pPr>
        <w:pStyle w:val="1"/>
        <w:rPr>
          <w:rtl/>
        </w:rPr>
      </w:pPr>
      <w:r>
        <w:rPr>
          <w:rFonts w:hint="cs"/>
          <w:rtl/>
        </w:rPr>
        <w:t>פסיקת הלכה</w:t>
      </w:r>
    </w:p>
    <w:p w:rsidR="00620060" w:rsidRDefault="00620060" w:rsidP="00620060">
      <w:pPr>
        <w:rPr>
          <w:rFonts w:cs="Arial"/>
          <w:sz w:val="20"/>
          <w:szCs w:val="20"/>
          <w:rtl/>
        </w:rPr>
      </w:pPr>
      <w:r>
        <w:rPr>
          <w:rFonts w:hint="cs"/>
          <w:b/>
          <w:bCs/>
          <w:sz w:val="20"/>
          <w:szCs w:val="20"/>
          <w:rtl/>
        </w:rPr>
        <w:t xml:space="preserve">שולחן ערוך </w:t>
      </w:r>
      <w:r>
        <w:rPr>
          <w:sz w:val="20"/>
          <w:szCs w:val="20"/>
          <w:rtl/>
        </w:rPr>
        <w:t>–</w:t>
      </w:r>
      <w:r>
        <w:rPr>
          <w:rFonts w:hint="cs"/>
          <w:sz w:val="20"/>
          <w:szCs w:val="20"/>
          <w:rtl/>
        </w:rPr>
        <w:t xml:space="preserve"> "</w:t>
      </w:r>
      <w:r w:rsidRPr="001C6DB0">
        <w:rPr>
          <w:rFonts w:cs="Arial" w:hint="cs"/>
          <w:sz w:val="20"/>
          <w:szCs w:val="20"/>
          <w:rtl/>
        </w:rPr>
        <w:t>אשה</w:t>
      </w:r>
      <w:r w:rsidRPr="001C6DB0">
        <w:rPr>
          <w:rFonts w:cs="Arial"/>
          <w:sz w:val="20"/>
          <w:szCs w:val="20"/>
          <w:rtl/>
        </w:rPr>
        <w:t xml:space="preserve"> </w:t>
      </w:r>
      <w:r w:rsidRPr="001C6DB0">
        <w:rPr>
          <w:rFonts w:cs="Arial" w:hint="cs"/>
          <w:sz w:val="20"/>
          <w:szCs w:val="20"/>
          <w:rtl/>
        </w:rPr>
        <w:t>שיצא</w:t>
      </w:r>
      <w:r w:rsidRPr="001C6DB0">
        <w:rPr>
          <w:rFonts w:cs="Arial"/>
          <w:sz w:val="20"/>
          <w:szCs w:val="20"/>
          <w:rtl/>
        </w:rPr>
        <w:t xml:space="preserve"> </w:t>
      </w:r>
      <w:r w:rsidRPr="001C6DB0">
        <w:rPr>
          <w:rFonts w:cs="Arial" w:hint="cs"/>
          <w:sz w:val="20"/>
          <w:szCs w:val="20"/>
          <w:rtl/>
        </w:rPr>
        <w:t>דם</w:t>
      </w:r>
      <w:r w:rsidRPr="001C6DB0">
        <w:rPr>
          <w:rFonts w:cs="Arial"/>
          <w:sz w:val="20"/>
          <w:szCs w:val="20"/>
          <w:rtl/>
        </w:rPr>
        <w:t xml:space="preserve"> </w:t>
      </w:r>
      <w:r w:rsidRPr="001C6DB0">
        <w:rPr>
          <w:rFonts w:cs="Arial" w:hint="cs"/>
          <w:sz w:val="20"/>
          <w:szCs w:val="20"/>
          <w:rtl/>
        </w:rPr>
        <w:t>ממקורה</w:t>
      </w:r>
      <w:r w:rsidRPr="001C6DB0">
        <w:rPr>
          <w:rFonts w:cs="Arial"/>
          <w:sz w:val="20"/>
          <w:szCs w:val="20"/>
          <w:rtl/>
        </w:rPr>
        <w:t xml:space="preserve">, </w:t>
      </w:r>
      <w:r w:rsidRPr="001C6DB0">
        <w:rPr>
          <w:rFonts w:cs="Arial" w:hint="cs"/>
          <w:sz w:val="20"/>
          <w:szCs w:val="20"/>
          <w:rtl/>
        </w:rPr>
        <w:t>בין</w:t>
      </w:r>
      <w:r w:rsidRPr="001C6DB0">
        <w:rPr>
          <w:rFonts w:cs="Arial"/>
          <w:sz w:val="20"/>
          <w:szCs w:val="20"/>
          <w:rtl/>
        </w:rPr>
        <w:t xml:space="preserve"> </w:t>
      </w:r>
      <w:r w:rsidRPr="001C6DB0">
        <w:rPr>
          <w:rFonts w:cs="Arial" w:hint="cs"/>
          <w:sz w:val="20"/>
          <w:szCs w:val="20"/>
          <w:rtl/>
        </w:rPr>
        <w:t>באונס</w:t>
      </w:r>
      <w:r w:rsidRPr="001C6DB0">
        <w:rPr>
          <w:rFonts w:cs="Arial"/>
          <w:sz w:val="20"/>
          <w:szCs w:val="20"/>
          <w:rtl/>
        </w:rPr>
        <w:t xml:space="preserve"> </w:t>
      </w:r>
      <w:r w:rsidRPr="001C6DB0">
        <w:rPr>
          <w:rFonts w:cs="Arial" w:hint="cs"/>
          <w:sz w:val="20"/>
          <w:szCs w:val="20"/>
          <w:rtl/>
        </w:rPr>
        <w:t>בין</w:t>
      </w:r>
      <w:r w:rsidRPr="001C6DB0">
        <w:rPr>
          <w:rFonts w:cs="Arial"/>
          <w:sz w:val="20"/>
          <w:szCs w:val="20"/>
          <w:rtl/>
        </w:rPr>
        <w:t xml:space="preserve"> </w:t>
      </w:r>
      <w:r w:rsidRPr="001C6DB0">
        <w:rPr>
          <w:rFonts w:cs="Arial" w:hint="cs"/>
          <w:sz w:val="20"/>
          <w:szCs w:val="20"/>
          <w:rtl/>
        </w:rPr>
        <w:t>ברצון</w:t>
      </w:r>
      <w:r w:rsidRPr="001C6DB0">
        <w:rPr>
          <w:rFonts w:cs="Arial"/>
          <w:sz w:val="20"/>
          <w:szCs w:val="20"/>
          <w:rtl/>
        </w:rPr>
        <w:t xml:space="preserve">, </w:t>
      </w:r>
      <w:r w:rsidRPr="001C6DB0">
        <w:rPr>
          <w:rFonts w:cs="Arial" w:hint="cs"/>
          <w:sz w:val="20"/>
          <w:szCs w:val="20"/>
          <w:rtl/>
        </w:rPr>
        <w:t>טמאה</w:t>
      </w:r>
      <w:r w:rsidRPr="001C6DB0">
        <w:rPr>
          <w:rFonts w:cs="Arial"/>
          <w:sz w:val="20"/>
          <w:szCs w:val="20"/>
          <w:rtl/>
        </w:rPr>
        <w:t xml:space="preserve">, </w:t>
      </w:r>
      <w:r w:rsidRPr="001C6DB0">
        <w:rPr>
          <w:rFonts w:cs="Arial" w:hint="cs"/>
          <w:sz w:val="20"/>
          <w:szCs w:val="20"/>
          <w:rtl/>
        </w:rPr>
        <w:t>והוא</w:t>
      </w:r>
      <w:r w:rsidRPr="001C6DB0">
        <w:rPr>
          <w:rFonts w:cs="Arial"/>
          <w:sz w:val="20"/>
          <w:szCs w:val="20"/>
          <w:rtl/>
        </w:rPr>
        <w:t xml:space="preserve"> </w:t>
      </w:r>
      <w:r w:rsidRPr="001C6DB0">
        <w:rPr>
          <w:rFonts w:cs="Arial" w:hint="cs"/>
          <w:sz w:val="20"/>
          <w:szCs w:val="20"/>
          <w:rtl/>
        </w:rPr>
        <w:t>שתרגיש</w:t>
      </w:r>
      <w:r w:rsidRPr="001C6DB0">
        <w:rPr>
          <w:rFonts w:cs="Arial"/>
          <w:sz w:val="20"/>
          <w:szCs w:val="20"/>
          <w:rtl/>
        </w:rPr>
        <w:t xml:space="preserve"> </w:t>
      </w:r>
      <w:r w:rsidRPr="001C6DB0">
        <w:rPr>
          <w:rFonts w:cs="Arial" w:hint="cs"/>
          <w:sz w:val="20"/>
          <w:szCs w:val="20"/>
          <w:rtl/>
        </w:rPr>
        <w:t>ביציאתו</w:t>
      </w:r>
      <w:r w:rsidRPr="001C6DB0">
        <w:rPr>
          <w:rFonts w:cs="Arial"/>
          <w:sz w:val="20"/>
          <w:szCs w:val="20"/>
          <w:rtl/>
        </w:rPr>
        <w:t xml:space="preserve">. </w:t>
      </w:r>
      <w:r w:rsidRPr="001C6DB0">
        <w:rPr>
          <w:rFonts w:cs="Arial" w:hint="cs"/>
          <w:sz w:val="20"/>
          <w:szCs w:val="20"/>
          <w:rtl/>
        </w:rPr>
        <w:t>ומיהו</w:t>
      </w:r>
      <w:r w:rsidRPr="001C6DB0">
        <w:rPr>
          <w:rFonts w:cs="Arial"/>
          <w:sz w:val="20"/>
          <w:szCs w:val="20"/>
          <w:rtl/>
        </w:rPr>
        <w:t xml:space="preserve"> </w:t>
      </w:r>
      <w:r w:rsidRPr="001C6DB0">
        <w:rPr>
          <w:rFonts w:cs="Arial" w:hint="cs"/>
          <w:sz w:val="20"/>
          <w:szCs w:val="20"/>
          <w:rtl/>
        </w:rPr>
        <w:t>משתרגיש</w:t>
      </w:r>
      <w:r w:rsidRPr="001C6DB0">
        <w:rPr>
          <w:rFonts w:cs="Arial"/>
          <w:sz w:val="20"/>
          <w:szCs w:val="20"/>
          <w:rtl/>
        </w:rPr>
        <w:t xml:space="preserve"> </w:t>
      </w:r>
      <w:r w:rsidRPr="001C6DB0">
        <w:rPr>
          <w:rFonts w:cs="Arial" w:hint="cs"/>
          <w:sz w:val="20"/>
          <w:szCs w:val="20"/>
          <w:rtl/>
        </w:rPr>
        <w:t>בו</w:t>
      </w:r>
      <w:r w:rsidRPr="001C6DB0">
        <w:rPr>
          <w:rFonts w:cs="Arial"/>
          <w:sz w:val="20"/>
          <w:szCs w:val="20"/>
          <w:rtl/>
        </w:rPr>
        <w:t xml:space="preserve"> </w:t>
      </w:r>
      <w:r w:rsidRPr="001C6DB0">
        <w:rPr>
          <w:rFonts w:cs="Arial" w:hint="cs"/>
          <w:sz w:val="20"/>
          <w:szCs w:val="20"/>
          <w:rtl/>
        </w:rPr>
        <w:t>שנעקר</w:t>
      </w:r>
      <w:r w:rsidRPr="001C6DB0">
        <w:rPr>
          <w:rFonts w:cs="Arial"/>
          <w:sz w:val="20"/>
          <w:szCs w:val="20"/>
          <w:rtl/>
        </w:rPr>
        <w:t xml:space="preserve"> </w:t>
      </w:r>
      <w:r w:rsidRPr="001C6DB0">
        <w:rPr>
          <w:rFonts w:cs="Arial" w:hint="cs"/>
          <w:sz w:val="20"/>
          <w:szCs w:val="20"/>
          <w:rtl/>
        </w:rPr>
        <w:t>ממקומו</w:t>
      </w:r>
      <w:r w:rsidRPr="001C6DB0">
        <w:rPr>
          <w:rFonts w:cs="Arial"/>
          <w:sz w:val="20"/>
          <w:szCs w:val="20"/>
          <w:rtl/>
        </w:rPr>
        <w:t xml:space="preserve"> </w:t>
      </w:r>
      <w:r w:rsidRPr="001C6DB0">
        <w:rPr>
          <w:rFonts w:cs="Arial" w:hint="cs"/>
          <w:sz w:val="20"/>
          <w:szCs w:val="20"/>
          <w:rtl/>
        </w:rPr>
        <w:t>ויצא</w:t>
      </w:r>
      <w:r w:rsidRPr="001C6DB0">
        <w:rPr>
          <w:rFonts w:cs="Arial"/>
          <w:sz w:val="20"/>
          <w:szCs w:val="20"/>
          <w:rtl/>
        </w:rPr>
        <w:t xml:space="preserve">, </w:t>
      </w:r>
      <w:r w:rsidRPr="001C6DB0">
        <w:rPr>
          <w:rFonts w:cs="Arial" w:hint="cs"/>
          <w:sz w:val="20"/>
          <w:szCs w:val="20"/>
          <w:rtl/>
        </w:rPr>
        <w:t>טמאה</w:t>
      </w:r>
      <w:r w:rsidRPr="001C6DB0">
        <w:rPr>
          <w:rFonts w:cs="Arial"/>
          <w:sz w:val="20"/>
          <w:szCs w:val="20"/>
          <w:rtl/>
        </w:rPr>
        <w:t xml:space="preserve"> </w:t>
      </w:r>
      <w:r w:rsidRPr="001C6DB0">
        <w:rPr>
          <w:rFonts w:cs="Arial" w:hint="cs"/>
          <w:sz w:val="20"/>
          <w:szCs w:val="20"/>
          <w:rtl/>
        </w:rPr>
        <w:t>אף</w:t>
      </w:r>
      <w:r w:rsidRPr="001C6DB0">
        <w:rPr>
          <w:rFonts w:cs="Arial"/>
          <w:sz w:val="20"/>
          <w:szCs w:val="20"/>
          <w:rtl/>
        </w:rPr>
        <w:t xml:space="preserve"> </w:t>
      </w:r>
      <w:r w:rsidRPr="001C6DB0">
        <w:rPr>
          <w:rFonts w:cs="Arial" w:hint="cs"/>
          <w:sz w:val="20"/>
          <w:szCs w:val="20"/>
          <w:rtl/>
        </w:rPr>
        <w:t>על</w:t>
      </w:r>
      <w:r w:rsidRPr="001C6DB0">
        <w:rPr>
          <w:rFonts w:cs="Arial"/>
          <w:sz w:val="20"/>
          <w:szCs w:val="20"/>
          <w:rtl/>
        </w:rPr>
        <w:t xml:space="preserve"> </w:t>
      </w:r>
      <w:r w:rsidRPr="001C6DB0">
        <w:rPr>
          <w:rFonts w:cs="Arial" w:hint="cs"/>
          <w:sz w:val="20"/>
          <w:szCs w:val="20"/>
          <w:rtl/>
        </w:rPr>
        <w:t>פי</w:t>
      </w:r>
      <w:r w:rsidRPr="001C6DB0">
        <w:rPr>
          <w:rFonts w:cs="Arial"/>
          <w:sz w:val="20"/>
          <w:szCs w:val="20"/>
          <w:rtl/>
        </w:rPr>
        <w:t xml:space="preserve"> </w:t>
      </w:r>
      <w:r w:rsidRPr="001C6DB0">
        <w:rPr>
          <w:rFonts w:cs="Arial" w:hint="cs"/>
          <w:sz w:val="20"/>
          <w:szCs w:val="20"/>
          <w:rtl/>
        </w:rPr>
        <w:t>שלא</w:t>
      </w:r>
      <w:r w:rsidRPr="001C6DB0">
        <w:rPr>
          <w:rFonts w:cs="Arial"/>
          <w:sz w:val="20"/>
          <w:szCs w:val="20"/>
          <w:rtl/>
        </w:rPr>
        <w:t xml:space="preserve"> </w:t>
      </w:r>
      <w:r w:rsidRPr="001C6DB0">
        <w:rPr>
          <w:rFonts w:cs="Arial" w:hint="cs"/>
          <w:sz w:val="20"/>
          <w:szCs w:val="20"/>
          <w:rtl/>
        </w:rPr>
        <w:t>יצא</w:t>
      </w:r>
      <w:r w:rsidRPr="001C6DB0">
        <w:rPr>
          <w:rFonts w:cs="Arial"/>
          <w:sz w:val="20"/>
          <w:szCs w:val="20"/>
          <w:rtl/>
        </w:rPr>
        <w:t xml:space="preserve"> </w:t>
      </w:r>
      <w:r w:rsidRPr="001C6DB0">
        <w:rPr>
          <w:rFonts w:cs="Arial" w:hint="cs"/>
          <w:sz w:val="20"/>
          <w:szCs w:val="20"/>
          <w:rtl/>
        </w:rPr>
        <w:t>לחוץ</w:t>
      </w:r>
      <w:r w:rsidRPr="001C6DB0">
        <w:rPr>
          <w:rFonts w:cs="Arial"/>
          <w:sz w:val="20"/>
          <w:szCs w:val="20"/>
          <w:rtl/>
        </w:rPr>
        <w:t xml:space="preserve">, </w:t>
      </w:r>
      <w:r w:rsidRPr="001C6DB0">
        <w:rPr>
          <w:rFonts w:cs="Arial" w:hint="cs"/>
          <w:sz w:val="20"/>
          <w:szCs w:val="20"/>
          <w:rtl/>
        </w:rPr>
        <w:t>ואפילו</w:t>
      </w:r>
      <w:r w:rsidRPr="001C6DB0">
        <w:rPr>
          <w:rFonts w:cs="Arial"/>
          <w:sz w:val="20"/>
          <w:szCs w:val="20"/>
          <w:rtl/>
        </w:rPr>
        <w:t xml:space="preserve"> </w:t>
      </w:r>
      <w:r w:rsidRPr="001C6DB0">
        <w:rPr>
          <w:rFonts w:cs="Arial" w:hint="cs"/>
          <w:sz w:val="20"/>
          <w:szCs w:val="20"/>
          <w:rtl/>
        </w:rPr>
        <w:t>לא</w:t>
      </w:r>
      <w:r w:rsidRPr="001C6DB0">
        <w:rPr>
          <w:rFonts w:cs="Arial"/>
          <w:sz w:val="20"/>
          <w:szCs w:val="20"/>
          <w:rtl/>
        </w:rPr>
        <w:t xml:space="preserve"> </w:t>
      </w:r>
      <w:r w:rsidRPr="001C6DB0">
        <w:rPr>
          <w:rFonts w:cs="Arial" w:hint="cs"/>
          <w:sz w:val="20"/>
          <w:szCs w:val="20"/>
          <w:rtl/>
        </w:rPr>
        <w:t>ראתה</w:t>
      </w:r>
      <w:r w:rsidRPr="001C6DB0">
        <w:rPr>
          <w:rFonts w:cs="Arial"/>
          <w:sz w:val="20"/>
          <w:szCs w:val="20"/>
          <w:rtl/>
        </w:rPr>
        <w:t xml:space="preserve"> </w:t>
      </w:r>
      <w:r w:rsidRPr="001C6DB0">
        <w:rPr>
          <w:rFonts w:cs="Arial" w:hint="cs"/>
          <w:sz w:val="20"/>
          <w:szCs w:val="20"/>
          <w:rtl/>
        </w:rPr>
        <w:t>אלא</w:t>
      </w:r>
      <w:r w:rsidRPr="001C6DB0">
        <w:rPr>
          <w:rFonts w:cs="Arial"/>
          <w:sz w:val="20"/>
          <w:szCs w:val="20"/>
          <w:rtl/>
        </w:rPr>
        <w:t xml:space="preserve"> </w:t>
      </w:r>
      <w:r w:rsidRPr="001C6DB0">
        <w:rPr>
          <w:rFonts w:cs="Arial" w:hint="cs"/>
          <w:sz w:val="20"/>
          <w:szCs w:val="20"/>
          <w:rtl/>
        </w:rPr>
        <w:t>טיפת</w:t>
      </w:r>
      <w:r w:rsidRPr="001C6DB0">
        <w:rPr>
          <w:rFonts w:cs="Arial"/>
          <w:sz w:val="20"/>
          <w:szCs w:val="20"/>
          <w:rtl/>
        </w:rPr>
        <w:t xml:space="preserve"> </w:t>
      </w:r>
      <w:r w:rsidRPr="001C6DB0">
        <w:rPr>
          <w:rFonts w:cs="Arial" w:hint="cs"/>
          <w:sz w:val="20"/>
          <w:szCs w:val="20"/>
          <w:rtl/>
        </w:rPr>
        <w:t>דם</w:t>
      </w:r>
      <w:r w:rsidRPr="001C6DB0">
        <w:rPr>
          <w:rFonts w:cs="Arial"/>
          <w:sz w:val="20"/>
          <w:szCs w:val="20"/>
          <w:rtl/>
        </w:rPr>
        <w:t xml:space="preserve"> </w:t>
      </w:r>
      <w:r w:rsidRPr="001C6DB0">
        <w:rPr>
          <w:rFonts w:cs="Arial" w:hint="cs"/>
          <w:sz w:val="20"/>
          <w:szCs w:val="20"/>
          <w:rtl/>
        </w:rPr>
        <w:t>כחרדל</w:t>
      </w:r>
      <w:r>
        <w:rPr>
          <w:rStyle w:val="a5"/>
          <w:rFonts w:cs="Arial"/>
          <w:sz w:val="20"/>
          <w:szCs w:val="20"/>
          <w:rtl/>
        </w:rPr>
        <w:footnoteReference w:id="14"/>
      </w:r>
      <w:r w:rsidRPr="001C6DB0">
        <w:rPr>
          <w:rFonts w:cs="Arial"/>
          <w:sz w:val="20"/>
          <w:szCs w:val="20"/>
          <w:rtl/>
        </w:rPr>
        <w:t xml:space="preserve">, </w:t>
      </w:r>
      <w:r w:rsidRPr="001C6DB0">
        <w:rPr>
          <w:rFonts w:cs="Arial" w:hint="cs"/>
          <w:sz w:val="20"/>
          <w:szCs w:val="20"/>
          <w:rtl/>
        </w:rPr>
        <w:t>יושבת</w:t>
      </w:r>
      <w:r w:rsidRPr="001C6DB0">
        <w:rPr>
          <w:rFonts w:cs="Arial"/>
          <w:sz w:val="20"/>
          <w:szCs w:val="20"/>
          <w:rtl/>
        </w:rPr>
        <w:t xml:space="preserve"> </w:t>
      </w:r>
      <w:r w:rsidRPr="001C6DB0">
        <w:rPr>
          <w:rFonts w:cs="Arial" w:hint="cs"/>
          <w:sz w:val="20"/>
          <w:szCs w:val="20"/>
          <w:rtl/>
        </w:rPr>
        <w:t>עליו</w:t>
      </w:r>
      <w:r w:rsidRPr="001C6DB0">
        <w:rPr>
          <w:rFonts w:cs="Arial"/>
          <w:sz w:val="20"/>
          <w:szCs w:val="20"/>
          <w:rtl/>
        </w:rPr>
        <w:t xml:space="preserve"> </w:t>
      </w:r>
      <w:r w:rsidRPr="001C6DB0">
        <w:rPr>
          <w:rFonts w:cs="Arial" w:hint="cs"/>
          <w:sz w:val="20"/>
          <w:szCs w:val="20"/>
          <w:rtl/>
        </w:rPr>
        <w:t>שבעה</w:t>
      </w:r>
      <w:r w:rsidRPr="001C6DB0">
        <w:rPr>
          <w:rFonts w:cs="Arial"/>
          <w:sz w:val="20"/>
          <w:szCs w:val="20"/>
          <w:rtl/>
        </w:rPr>
        <w:t xml:space="preserve"> </w:t>
      </w:r>
      <w:r w:rsidRPr="001C6DB0">
        <w:rPr>
          <w:rFonts w:cs="Arial" w:hint="cs"/>
          <w:sz w:val="20"/>
          <w:szCs w:val="20"/>
          <w:rtl/>
        </w:rPr>
        <w:t>נקיים</w:t>
      </w:r>
      <w:r>
        <w:rPr>
          <w:rFonts w:cs="Arial" w:hint="cs"/>
          <w:sz w:val="20"/>
          <w:szCs w:val="20"/>
          <w:rtl/>
        </w:rPr>
        <w:t>".</w:t>
      </w:r>
      <w:r>
        <w:rPr>
          <w:rFonts w:cs="Arial"/>
          <w:sz w:val="20"/>
          <w:szCs w:val="20"/>
          <w:rtl/>
        </w:rPr>
        <w:br/>
      </w:r>
      <w:r>
        <w:rPr>
          <w:rFonts w:cs="Arial" w:hint="cs"/>
          <w:sz w:val="20"/>
          <w:szCs w:val="20"/>
          <w:rtl/>
        </w:rPr>
        <w:t>"</w:t>
      </w:r>
      <w:r w:rsidRPr="001C6DB0">
        <w:rPr>
          <w:rFonts w:cs="Arial" w:hint="cs"/>
          <w:sz w:val="20"/>
          <w:szCs w:val="20"/>
          <w:rtl/>
        </w:rPr>
        <w:t>והוא</w:t>
      </w:r>
      <w:r w:rsidRPr="001C6DB0">
        <w:rPr>
          <w:rFonts w:cs="Arial"/>
          <w:sz w:val="20"/>
          <w:szCs w:val="20"/>
          <w:rtl/>
        </w:rPr>
        <w:t xml:space="preserve"> </w:t>
      </w:r>
      <w:r w:rsidRPr="001C6DB0">
        <w:rPr>
          <w:rFonts w:cs="Arial" w:hint="cs"/>
          <w:sz w:val="20"/>
          <w:szCs w:val="20"/>
          <w:rtl/>
        </w:rPr>
        <w:t>שתרגיש</w:t>
      </w:r>
      <w:r w:rsidRPr="001C6DB0">
        <w:rPr>
          <w:rFonts w:cs="Arial"/>
          <w:sz w:val="20"/>
          <w:szCs w:val="20"/>
          <w:rtl/>
        </w:rPr>
        <w:t xml:space="preserve"> </w:t>
      </w:r>
      <w:r w:rsidRPr="001C6DB0">
        <w:rPr>
          <w:rFonts w:cs="Arial" w:hint="cs"/>
          <w:sz w:val="20"/>
          <w:szCs w:val="20"/>
          <w:rtl/>
        </w:rPr>
        <w:t>ביציאתו</w:t>
      </w:r>
      <w:r>
        <w:rPr>
          <w:rFonts w:cs="Arial" w:hint="cs"/>
          <w:sz w:val="20"/>
          <w:szCs w:val="20"/>
          <w:rtl/>
        </w:rPr>
        <w:t xml:space="preserve">" - היינו מדאורייתא, דאילו מדרבנן טמאה אף ללא הרגשה, </w:t>
      </w:r>
      <w:r w:rsidRPr="000C0DD2">
        <w:rPr>
          <w:rFonts w:cs="Arial" w:hint="cs"/>
          <w:b/>
          <w:bCs/>
          <w:sz w:val="20"/>
          <w:szCs w:val="20"/>
          <w:rtl/>
        </w:rPr>
        <w:t>ש"ך</w:t>
      </w:r>
      <w:r>
        <w:rPr>
          <w:rFonts w:cs="Arial" w:hint="cs"/>
          <w:sz w:val="20"/>
          <w:szCs w:val="20"/>
          <w:rtl/>
        </w:rPr>
        <w:t>.</w:t>
      </w:r>
    </w:p>
    <w:p w:rsidR="00620060" w:rsidRDefault="00620060" w:rsidP="00620060">
      <w:pPr>
        <w:pStyle w:val="a6"/>
        <w:rPr>
          <w:sz w:val="20"/>
          <w:szCs w:val="20"/>
          <w:rtl/>
        </w:rPr>
      </w:pPr>
      <w:r>
        <w:rPr>
          <w:rFonts w:cs="Arial" w:hint="cs"/>
          <w:sz w:val="20"/>
          <w:szCs w:val="20"/>
          <w:u w:val="single"/>
          <w:rtl/>
        </w:rPr>
        <w:t>הגדרת אונס ורצון (בית יוסף)</w:t>
      </w:r>
      <w:r>
        <w:rPr>
          <w:rFonts w:cs="Arial" w:hint="cs"/>
          <w:sz w:val="20"/>
          <w:szCs w:val="20"/>
          <w:u w:val="single"/>
          <w:rtl/>
        </w:rPr>
        <w:br/>
      </w:r>
      <w:r>
        <w:rPr>
          <w:rFonts w:cs="Arial" w:hint="cs"/>
          <w:sz w:val="20"/>
          <w:szCs w:val="20"/>
          <w:rtl/>
        </w:rPr>
        <w:t xml:space="preserve">אונס </w:t>
      </w:r>
      <w:r>
        <w:rPr>
          <w:rFonts w:cs="Arial"/>
          <w:sz w:val="20"/>
          <w:szCs w:val="20"/>
          <w:rtl/>
        </w:rPr>
        <w:t>–</w:t>
      </w:r>
      <w:r>
        <w:rPr>
          <w:rFonts w:cs="Arial" w:hint="cs"/>
          <w:sz w:val="20"/>
          <w:szCs w:val="20"/>
          <w:rtl/>
        </w:rPr>
        <w:t xml:space="preserve"> ראייה שלא כטבע האשה, כגון ע"י קפיצה או שראתה חיה ועוף מתעסקים זה עם זה ומחמת כן ראתה.</w:t>
      </w:r>
      <w:r>
        <w:rPr>
          <w:rFonts w:cs="Arial"/>
          <w:sz w:val="20"/>
          <w:szCs w:val="20"/>
          <w:rtl/>
        </w:rPr>
        <w:br/>
      </w:r>
      <w:r w:rsidRPr="00EC17FF">
        <w:rPr>
          <w:rFonts w:hint="cs"/>
          <w:sz w:val="20"/>
          <w:szCs w:val="20"/>
          <w:rtl/>
        </w:rPr>
        <w:t xml:space="preserve">רצון </w:t>
      </w:r>
      <w:r w:rsidRPr="00EC17FF">
        <w:rPr>
          <w:sz w:val="20"/>
          <w:szCs w:val="20"/>
          <w:rtl/>
        </w:rPr>
        <w:t>–</w:t>
      </w:r>
      <w:r w:rsidRPr="00EC17FF">
        <w:rPr>
          <w:rFonts w:hint="cs"/>
          <w:sz w:val="20"/>
          <w:szCs w:val="20"/>
          <w:rtl/>
        </w:rPr>
        <w:t xml:space="preserve"> כפי טבע האישה מחמת עצמה.</w:t>
      </w:r>
      <w:r>
        <w:rPr>
          <w:sz w:val="20"/>
          <w:szCs w:val="20"/>
          <w:rtl/>
        </w:rPr>
        <w:br/>
      </w:r>
    </w:p>
    <w:p w:rsidR="00620060" w:rsidRDefault="00620060" w:rsidP="00620060">
      <w:pPr>
        <w:pStyle w:val="a6"/>
        <w:rPr>
          <w:sz w:val="20"/>
          <w:szCs w:val="20"/>
          <w:rtl/>
        </w:rPr>
      </w:pPr>
      <w:r>
        <w:rPr>
          <w:rFonts w:hint="cs"/>
          <w:sz w:val="20"/>
          <w:szCs w:val="20"/>
          <w:u w:val="single"/>
          <w:rtl/>
        </w:rPr>
        <w:lastRenderedPageBreak/>
        <w:t>סוגי ההרגשות (פת"ש)</w:t>
      </w:r>
      <w:r>
        <w:rPr>
          <w:rFonts w:hint="cs"/>
          <w:sz w:val="20"/>
          <w:szCs w:val="20"/>
          <w:u w:val="single"/>
          <w:rtl/>
        </w:rPr>
        <w:br/>
      </w:r>
      <w:r>
        <w:rPr>
          <w:rFonts w:hint="cs"/>
          <w:sz w:val="20"/>
          <w:szCs w:val="20"/>
          <w:rtl/>
        </w:rPr>
        <w:t xml:space="preserve">א. </w:t>
      </w:r>
      <w:r w:rsidRPr="000E5A70">
        <w:rPr>
          <w:rFonts w:hint="cs"/>
          <w:b/>
          <w:bCs/>
          <w:sz w:val="20"/>
          <w:szCs w:val="20"/>
          <w:rtl/>
        </w:rPr>
        <w:t>רמב"ם</w:t>
      </w:r>
      <w:r>
        <w:rPr>
          <w:rFonts w:hint="cs"/>
          <w:sz w:val="20"/>
          <w:szCs w:val="20"/>
          <w:rtl/>
        </w:rPr>
        <w:t xml:space="preserve"> - הרגשה שנזדעזע גופה.</w:t>
      </w:r>
      <w:r>
        <w:rPr>
          <w:rFonts w:hint="cs"/>
          <w:sz w:val="20"/>
          <w:szCs w:val="20"/>
          <w:rtl/>
        </w:rPr>
        <w:br/>
        <w:t>ב. הרגשה שנפתח המקור, מבואר לקמן בסימן קפח' וקצ'.</w:t>
      </w:r>
      <w:r>
        <w:rPr>
          <w:rFonts w:hint="cs"/>
          <w:sz w:val="20"/>
          <w:szCs w:val="20"/>
          <w:rtl/>
        </w:rPr>
        <w:br/>
        <w:t xml:space="preserve">ג. </w:t>
      </w:r>
      <w:r w:rsidRPr="000E5A70">
        <w:rPr>
          <w:rFonts w:hint="cs"/>
          <w:b/>
          <w:bCs/>
          <w:sz w:val="20"/>
          <w:szCs w:val="20"/>
          <w:rtl/>
        </w:rPr>
        <w:t>אחרונים</w:t>
      </w:r>
      <w:r>
        <w:rPr>
          <w:rFonts w:hint="cs"/>
          <w:sz w:val="20"/>
          <w:szCs w:val="20"/>
          <w:rtl/>
        </w:rPr>
        <w:t xml:space="preserve"> </w:t>
      </w:r>
      <w:r>
        <w:rPr>
          <w:sz w:val="20"/>
          <w:szCs w:val="20"/>
          <w:rtl/>
        </w:rPr>
        <w:t>–</w:t>
      </w:r>
      <w:r>
        <w:rPr>
          <w:rFonts w:hint="cs"/>
          <w:sz w:val="20"/>
          <w:szCs w:val="20"/>
          <w:rtl/>
        </w:rPr>
        <w:t xml:space="preserve"> הרגשת דבר </w:t>
      </w:r>
      <w:r w:rsidRPr="00206B08">
        <w:rPr>
          <w:rFonts w:hint="cs"/>
          <w:sz w:val="20"/>
          <w:szCs w:val="20"/>
          <w:rtl/>
        </w:rPr>
        <w:t>לח זב</w:t>
      </w:r>
      <w:r w:rsidRPr="00206B08">
        <w:rPr>
          <w:rFonts w:hint="cs"/>
          <w:sz w:val="18"/>
          <w:szCs w:val="18"/>
          <w:rtl/>
        </w:rPr>
        <w:t xml:space="preserve"> </w:t>
      </w:r>
      <w:r>
        <w:rPr>
          <w:rFonts w:hint="cs"/>
          <w:sz w:val="20"/>
          <w:szCs w:val="20"/>
          <w:rtl/>
        </w:rPr>
        <w:t>מבשרה.</w:t>
      </w:r>
      <w:r>
        <w:rPr>
          <w:rStyle w:val="a5"/>
          <w:sz w:val="20"/>
          <w:szCs w:val="20"/>
          <w:rtl/>
        </w:rPr>
        <w:footnoteReference w:id="15"/>
      </w:r>
      <w:r>
        <w:rPr>
          <w:rFonts w:hint="cs"/>
          <w:sz w:val="20"/>
          <w:szCs w:val="20"/>
          <w:rtl/>
        </w:rPr>
        <w:t xml:space="preserve"> </w:t>
      </w:r>
      <w:r>
        <w:rPr>
          <w:sz w:val="20"/>
          <w:szCs w:val="20"/>
          <w:rtl/>
        </w:rPr>
        <w:br/>
      </w:r>
    </w:p>
    <w:p w:rsidR="00620060" w:rsidRPr="000E5A70" w:rsidRDefault="00620060" w:rsidP="00620060">
      <w:pPr>
        <w:pStyle w:val="a3"/>
        <w:rPr>
          <w:sz w:val="22"/>
          <w:szCs w:val="22"/>
        </w:rPr>
      </w:pPr>
      <w:r w:rsidRPr="000E5A70">
        <w:rPr>
          <w:rFonts w:hint="cs"/>
          <w:u w:val="single"/>
          <w:rtl/>
        </w:rPr>
        <w:t>מצאה דם וייתכן שהיתה הרגשה (פת"ש)</w:t>
      </w:r>
      <w:r w:rsidRPr="000E5A70">
        <w:rPr>
          <w:rFonts w:hint="cs"/>
          <w:u w:val="single"/>
          <w:rtl/>
        </w:rPr>
        <w:br/>
      </w:r>
      <w:r w:rsidRPr="000E5A70">
        <w:rPr>
          <w:rFonts w:hint="cs"/>
          <w:rtl/>
        </w:rPr>
        <w:t>מה דין אשה שבדקה בדיקה פנימית או שימשה, ואחר כך מצאה דם ללא הרגשה?</w:t>
      </w:r>
      <w:r w:rsidRPr="000E5A70">
        <w:rPr>
          <w:rFonts w:hint="cs"/>
          <w:rtl/>
        </w:rPr>
        <w:br/>
      </w:r>
      <w:r>
        <w:rPr>
          <w:rFonts w:hint="cs"/>
          <w:rtl/>
        </w:rPr>
        <w:t xml:space="preserve">א. </w:t>
      </w:r>
      <w:r w:rsidRPr="000E5A70">
        <w:rPr>
          <w:rFonts w:hint="cs"/>
          <w:b/>
          <w:bCs/>
          <w:rtl/>
        </w:rPr>
        <w:t>כרתי וחוות דעת</w:t>
      </w:r>
      <w:r w:rsidRPr="000E5A70">
        <w:rPr>
          <w:rFonts w:hint="cs"/>
          <w:rtl/>
        </w:rPr>
        <w:t xml:space="preserve"> </w:t>
      </w:r>
      <w:r w:rsidRPr="000E5A70">
        <w:rPr>
          <w:rtl/>
        </w:rPr>
        <w:t>–</w:t>
      </w:r>
      <w:r>
        <w:rPr>
          <w:rFonts w:hint="cs"/>
          <w:rtl/>
        </w:rPr>
        <w:t xml:space="preserve"> טמאה מדאורייתא, </w:t>
      </w:r>
      <w:r w:rsidRPr="000E5A70">
        <w:rPr>
          <w:rFonts w:hint="cs"/>
          <w:rtl/>
        </w:rPr>
        <w:t xml:space="preserve">ייתכן </w:t>
      </w:r>
      <w:r>
        <w:rPr>
          <w:rFonts w:hint="cs"/>
          <w:rtl/>
        </w:rPr>
        <w:t>שהרגישה</w:t>
      </w:r>
      <w:r w:rsidRPr="000E5A70">
        <w:rPr>
          <w:rFonts w:hint="cs"/>
          <w:rtl/>
        </w:rPr>
        <w:t xml:space="preserve"> </w:t>
      </w:r>
      <w:r>
        <w:rPr>
          <w:rFonts w:hint="cs"/>
          <w:rtl/>
        </w:rPr>
        <w:t>אך לא הבחינה בכך</w:t>
      </w:r>
      <w:r w:rsidRPr="000E5A70">
        <w:rPr>
          <w:rFonts w:hint="cs"/>
          <w:rtl/>
        </w:rPr>
        <w:t xml:space="preserve"> מחמת הבדיקה או התשמיש.</w:t>
      </w:r>
      <w:r w:rsidRPr="000E5A70">
        <w:rPr>
          <w:rtl/>
        </w:rPr>
        <w:br/>
      </w:r>
      <w:r>
        <w:rPr>
          <w:rFonts w:hint="cs"/>
          <w:rtl/>
        </w:rPr>
        <w:t>ב.</w:t>
      </w:r>
      <w:r w:rsidRPr="000E5A70">
        <w:rPr>
          <w:rFonts w:hint="cs"/>
          <w:rtl/>
        </w:rPr>
        <w:t xml:space="preserve"> </w:t>
      </w:r>
      <w:r w:rsidRPr="000E5A70">
        <w:rPr>
          <w:rFonts w:hint="cs"/>
          <w:b/>
          <w:bCs/>
          <w:rtl/>
        </w:rPr>
        <w:t>שו"ת שב יעקב וכתר כהונה</w:t>
      </w:r>
      <w:r w:rsidRPr="000E5A70">
        <w:rPr>
          <w:rFonts w:hint="cs"/>
          <w:rtl/>
        </w:rPr>
        <w:t xml:space="preserve"> </w:t>
      </w:r>
      <w:r>
        <w:rPr>
          <w:rFonts w:hint="cs"/>
          <w:rtl/>
        </w:rPr>
        <w:t>- ספק</w:t>
      </w:r>
      <w:r w:rsidRPr="000E5A70">
        <w:rPr>
          <w:rFonts w:hint="cs"/>
          <w:rtl/>
        </w:rPr>
        <w:t>.</w:t>
      </w:r>
      <w:r w:rsidRPr="000E5A70">
        <w:rPr>
          <w:rtl/>
        </w:rPr>
        <w:br/>
      </w:r>
      <w:r>
        <w:rPr>
          <w:rFonts w:hint="cs"/>
          <w:rtl/>
        </w:rPr>
        <w:t>ואמנם</w:t>
      </w:r>
      <w:r w:rsidRPr="000E5A70">
        <w:rPr>
          <w:rFonts w:hint="cs"/>
          <w:rtl/>
        </w:rPr>
        <w:t xml:space="preserve">, אם לא היתה זו בדיקה פנימית </w:t>
      </w:r>
      <w:r>
        <w:rPr>
          <w:rFonts w:hint="cs"/>
          <w:rtl/>
        </w:rPr>
        <w:t>אלא קינוח בלבד</w:t>
      </w:r>
      <w:r w:rsidRPr="000E5A70">
        <w:rPr>
          <w:rFonts w:hint="cs"/>
          <w:rtl/>
        </w:rPr>
        <w:t xml:space="preserve">, טמאה </w:t>
      </w:r>
      <w:r>
        <w:rPr>
          <w:rFonts w:hint="cs"/>
          <w:rtl/>
        </w:rPr>
        <w:t xml:space="preserve">לכו"ע רק </w:t>
      </w:r>
      <w:r w:rsidRPr="000E5A70">
        <w:rPr>
          <w:rFonts w:hint="cs"/>
          <w:rtl/>
        </w:rPr>
        <w:t>מדרבנן.</w:t>
      </w:r>
      <w:r w:rsidRPr="000E5A70">
        <w:rPr>
          <w:rFonts w:hint="cs"/>
          <w:rtl/>
        </w:rPr>
        <w:br/>
      </w:r>
      <w:r>
        <w:rPr>
          <w:rFonts w:hint="cs"/>
          <w:rtl/>
        </w:rPr>
        <w:t xml:space="preserve">אך </w:t>
      </w:r>
      <w:r w:rsidRPr="000E5A70">
        <w:rPr>
          <w:rFonts w:hint="cs"/>
          <w:rtl/>
        </w:rPr>
        <w:t xml:space="preserve">אם הטילה מי רגליה ומצאה דם ולא הרגישה </w:t>
      </w:r>
      <w:r w:rsidRPr="000E5A70">
        <w:rPr>
          <w:rtl/>
        </w:rPr>
        <w:t>–</w:t>
      </w:r>
      <w:r w:rsidRPr="000E5A70">
        <w:rPr>
          <w:rFonts w:hint="cs"/>
          <w:rtl/>
        </w:rPr>
        <w:t xml:space="preserve"> טמאה מדאורייתא.</w:t>
      </w:r>
    </w:p>
    <w:p w:rsidR="00620060" w:rsidRDefault="00620060" w:rsidP="00620060">
      <w:pPr>
        <w:pStyle w:val="a6"/>
        <w:rPr>
          <w:sz w:val="20"/>
          <w:szCs w:val="20"/>
          <w:rtl/>
        </w:rPr>
      </w:pPr>
    </w:p>
    <w:p w:rsidR="00620060" w:rsidRDefault="00620060" w:rsidP="00620060">
      <w:pPr>
        <w:rPr>
          <w:sz w:val="20"/>
          <w:szCs w:val="20"/>
          <w:rtl/>
        </w:rPr>
      </w:pPr>
      <w:r>
        <w:rPr>
          <w:rFonts w:hint="cs"/>
          <w:sz w:val="20"/>
          <w:szCs w:val="20"/>
          <w:u w:val="single"/>
          <w:rtl/>
        </w:rPr>
        <w:t>נעקר דם מבית הפנימי ועמד בבית החיצון (פת"ש)</w:t>
      </w:r>
      <w:r>
        <w:rPr>
          <w:rFonts w:hint="cs"/>
          <w:sz w:val="20"/>
          <w:szCs w:val="20"/>
          <w:u w:val="single"/>
          <w:rtl/>
        </w:rPr>
        <w:br/>
      </w:r>
      <w:r>
        <w:rPr>
          <w:rFonts w:hint="cs"/>
          <w:sz w:val="20"/>
          <w:szCs w:val="20"/>
          <w:rtl/>
        </w:rPr>
        <w:t xml:space="preserve">המקרה - יצא דם מבית הפנימי </w:t>
      </w:r>
      <w:r w:rsidRPr="00D2601F">
        <w:rPr>
          <w:rFonts w:hint="cs"/>
          <w:sz w:val="18"/>
          <w:szCs w:val="18"/>
          <w:rtl/>
        </w:rPr>
        <w:t xml:space="preserve">(חדר) </w:t>
      </w:r>
      <w:r>
        <w:rPr>
          <w:rFonts w:hint="cs"/>
          <w:sz w:val="20"/>
          <w:szCs w:val="20"/>
          <w:rtl/>
        </w:rPr>
        <w:t xml:space="preserve">ועמד בבית החיצון </w:t>
      </w:r>
      <w:r w:rsidRPr="00D2601F">
        <w:rPr>
          <w:rFonts w:hint="cs"/>
          <w:sz w:val="18"/>
          <w:szCs w:val="18"/>
          <w:rtl/>
        </w:rPr>
        <w:t xml:space="preserve">(פרוזדור) </w:t>
      </w:r>
      <w:r>
        <w:rPr>
          <w:rFonts w:hint="cs"/>
          <w:sz w:val="20"/>
          <w:szCs w:val="20"/>
          <w:rtl/>
        </w:rPr>
        <w:t>למשך יום ואחר כך יצא מבית החיצון לחוץ. השאלה - האם תוכל למנות יום זה כיום ראשון לז' נקיים, כיוון שעיקר הטומאה היא רק ביציאת דם מבית הפנימי לחיצון, או נאמר שאף ביציאת דם מבית החיצון לחוץ איכא טומאה וממילא יום זה אינו יכול להימנות כראשון לז' נקיים?</w:t>
      </w:r>
      <w:r>
        <w:rPr>
          <w:sz w:val="20"/>
          <w:szCs w:val="20"/>
          <w:rtl/>
        </w:rPr>
        <w:br/>
      </w:r>
      <w:r>
        <w:rPr>
          <w:rFonts w:hint="cs"/>
          <w:b/>
          <w:bCs/>
          <w:sz w:val="20"/>
          <w:szCs w:val="20"/>
          <w:rtl/>
        </w:rPr>
        <w:t>שו"ת</w:t>
      </w:r>
      <w:r w:rsidRPr="00D2601F">
        <w:rPr>
          <w:rFonts w:hint="cs"/>
          <w:b/>
          <w:bCs/>
          <w:sz w:val="20"/>
          <w:szCs w:val="20"/>
          <w:rtl/>
        </w:rPr>
        <w:t xml:space="preserve"> ברית אברהם </w:t>
      </w:r>
      <w:r>
        <w:rPr>
          <w:sz w:val="20"/>
          <w:szCs w:val="20"/>
          <w:rtl/>
        </w:rPr>
        <w:t>–</w:t>
      </w:r>
      <w:r>
        <w:rPr>
          <w:rFonts w:hint="cs"/>
          <w:sz w:val="20"/>
          <w:szCs w:val="20"/>
          <w:rtl/>
        </w:rPr>
        <w:t xml:space="preserve"> דם מטמא רק בשעת יציאתו מבית הפנימי לחיצון, אך יציאתו מבית החיצון</w:t>
      </w:r>
      <w:r>
        <w:rPr>
          <w:rFonts w:hint="cs"/>
          <w:b/>
          <w:bCs/>
          <w:sz w:val="20"/>
          <w:szCs w:val="20"/>
          <w:rtl/>
        </w:rPr>
        <w:t xml:space="preserve"> </w:t>
      </w:r>
      <w:r w:rsidRPr="005F2CDA">
        <w:rPr>
          <w:rFonts w:hint="cs"/>
          <w:sz w:val="20"/>
          <w:szCs w:val="20"/>
          <w:rtl/>
        </w:rPr>
        <w:t>אינה כלום</w:t>
      </w:r>
      <w:r>
        <w:rPr>
          <w:rFonts w:hint="cs"/>
          <w:sz w:val="20"/>
          <w:szCs w:val="20"/>
          <w:rtl/>
        </w:rPr>
        <w:t>.</w:t>
      </w:r>
      <w:r>
        <w:rPr>
          <w:sz w:val="20"/>
          <w:szCs w:val="20"/>
          <w:rtl/>
        </w:rPr>
        <w:br/>
      </w:r>
      <w:r>
        <w:rPr>
          <w:rFonts w:hint="cs"/>
          <w:sz w:val="20"/>
          <w:szCs w:val="20"/>
          <w:rtl/>
        </w:rPr>
        <w:t>ברם, לדינא אין נפק"מ בשאלה זו, כיוון שז' נקיים נעשים רק לאחר הפסק טהרה שבו בודקת את הבית החיצון שאין בו טיפת דם, אך אם הוא אינו נקי מדם יש חשש שמא יוצא עוד דם מבית הפנימי לחיצון וטמאה.</w:t>
      </w:r>
      <w:r>
        <w:rPr>
          <w:rStyle w:val="a5"/>
          <w:sz w:val="20"/>
          <w:szCs w:val="20"/>
          <w:rtl/>
        </w:rPr>
        <w:footnoteReference w:id="16"/>
      </w:r>
    </w:p>
    <w:p w:rsidR="00620060" w:rsidRPr="005F2CDA" w:rsidRDefault="00620060" w:rsidP="00620060">
      <w:pPr>
        <w:rPr>
          <w:sz w:val="20"/>
          <w:szCs w:val="20"/>
          <w:rtl/>
        </w:rPr>
      </w:pPr>
      <w:r>
        <w:rPr>
          <w:rFonts w:hint="cs"/>
          <w:b/>
          <w:bCs/>
          <w:sz w:val="20"/>
          <w:szCs w:val="20"/>
          <w:rtl/>
        </w:rPr>
        <w:t>ביאה על נידה פנויה</w:t>
      </w:r>
      <w:r>
        <w:rPr>
          <w:rFonts w:hint="cs"/>
          <w:b/>
          <w:bCs/>
          <w:sz w:val="20"/>
          <w:szCs w:val="20"/>
          <w:rtl/>
        </w:rPr>
        <w:br/>
      </w:r>
      <w:r w:rsidRPr="003E52A9">
        <w:rPr>
          <w:rFonts w:hint="cs"/>
          <w:b/>
          <w:bCs/>
          <w:sz w:val="20"/>
          <w:szCs w:val="20"/>
          <w:rtl/>
        </w:rPr>
        <w:t>ריב"ש</w:t>
      </w:r>
      <w:r>
        <w:rPr>
          <w:rFonts w:hint="cs"/>
          <w:sz w:val="20"/>
          <w:szCs w:val="20"/>
          <w:rtl/>
        </w:rPr>
        <w:t xml:space="preserve"> </w:t>
      </w:r>
      <w:r>
        <w:rPr>
          <w:sz w:val="20"/>
          <w:szCs w:val="20"/>
          <w:rtl/>
        </w:rPr>
        <w:t>–</w:t>
      </w:r>
      <w:r>
        <w:rPr>
          <w:rFonts w:hint="cs"/>
          <w:sz w:val="20"/>
          <w:szCs w:val="20"/>
          <w:rtl/>
        </w:rPr>
        <w:t xml:space="preserve"> איסור נידה נוהג גם בפנויה. אמנם, חכמים לא תיקנו טבילה לפנויה, כדי שלא ייכשלו בה בני אדם לאחר שהסתלק ממנה האיסור החמור של נידה שבועלה </w:t>
      </w:r>
      <w:r w:rsidRPr="00206B08">
        <w:rPr>
          <w:rFonts w:hint="cs"/>
          <w:sz w:val="20"/>
          <w:szCs w:val="20"/>
          <w:rtl/>
        </w:rPr>
        <w:t>חייב כרת.</w:t>
      </w:r>
      <w:r>
        <w:rPr>
          <w:b/>
          <w:bCs/>
          <w:sz w:val="20"/>
          <w:szCs w:val="20"/>
          <w:rtl/>
        </w:rPr>
        <w:br/>
      </w:r>
      <w:r>
        <w:rPr>
          <w:rFonts w:hint="cs"/>
          <w:b/>
          <w:bCs/>
          <w:sz w:val="20"/>
          <w:szCs w:val="20"/>
          <w:rtl/>
        </w:rPr>
        <w:t xml:space="preserve">רמ"א </w:t>
      </w:r>
      <w:r w:rsidRPr="003E52A9">
        <w:rPr>
          <w:rFonts w:hint="cs"/>
          <w:sz w:val="18"/>
          <w:szCs w:val="18"/>
          <w:rtl/>
        </w:rPr>
        <w:t xml:space="preserve">(ע"פ </w:t>
      </w:r>
      <w:r w:rsidRPr="00AD3ECC">
        <w:rPr>
          <w:rFonts w:hint="cs"/>
          <w:b/>
          <w:bCs/>
          <w:sz w:val="18"/>
          <w:szCs w:val="18"/>
          <w:rtl/>
        </w:rPr>
        <w:t>הריב"ש</w:t>
      </w:r>
      <w:r w:rsidRPr="003E52A9">
        <w:rPr>
          <w:rFonts w:hint="cs"/>
          <w:sz w:val="18"/>
          <w:szCs w:val="18"/>
          <w:rtl/>
        </w:rPr>
        <w:t xml:space="preserve">) </w:t>
      </w:r>
      <w:r w:rsidRPr="003E52A9">
        <w:rPr>
          <w:sz w:val="18"/>
          <w:szCs w:val="18"/>
          <w:rtl/>
        </w:rPr>
        <w:t>–</w:t>
      </w:r>
      <w:r w:rsidRPr="003E52A9">
        <w:rPr>
          <w:rFonts w:hint="cs"/>
          <w:sz w:val="18"/>
          <w:szCs w:val="18"/>
          <w:rtl/>
        </w:rPr>
        <w:t xml:space="preserve"> "</w:t>
      </w:r>
      <w:r w:rsidRPr="003E52A9">
        <w:rPr>
          <w:rFonts w:cs="Arial" w:hint="cs"/>
          <w:sz w:val="18"/>
          <w:szCs w:val="18"/>
          <w:rtl/>
        </w:rPr>
        <w:t>ואין</w:t>
      </w:r>
      <w:r w:rsidRPr="003E52A9">
        <w:rPr>
          <w:rFonts w:cs="Arial"/>
          <w:sz w:val="18"/>
          <w:szCs w:val="18"/>
          <w:rtl/>
        </w:rPr>
        <w:t xml:space="preserve"> </w:t>
      </w:r>
      <w:r w:rsidRPr="003E52A9">
        <w:rPr>
          <w:rFonts w:cs="Arial" w:hint="cs"/>
          <w:sz w:val="18"/>
          <w:szCs w:val="18"/>
          <w:rtl/>
        </w:rPr>
        <w:t>חילוק</w:t>
      </w:r>
      <w:r w:rsidRPr="003E52A9">
        <w:rPr>
          <w:rFonts w:cs="Arial"/>
          <w:sz w:val="18"/>
          <w:szCs w:val="18"/>
          <w:rtl/>
        </w:rPr>
        <w:t xml:space="preserve"> </w:t>
      </w:r>
      <w:r w:rsidRPr="003E52A9">
        <w:rPr>
          <w:rFonts w:cs="Arial" w:hint="cs"/>
          <w:sz w:val="18"/>
          <w:szCs w:val="18"/>
          <w:rtl/>
        </w:rPr>
        <w:t>בין</w:t>
      </w:r>
      <w:r w:rsidRPr="003E52A9">
        <w:rPr>
          <w:rFonts w:cs="Arial"/>
          <w:sz w:val="18"/>
          <w:szCs w:val="18"/>
          <w:rtl/>
        </w:rPr>
        <w:t xml:space="preserve"> </w:t>
      </w:r>
      <w:r w:rsidRPr="003E52A9">
        <w:rPr>
          <w:rFonts w:cs="Arial" w:hint="cs"/>
          <w:sz w:val="18"/>
          <w:szCs w:val="18"/>
          <w:rtl/>
        </w:rPr>
        <w:t>פנויה</w:t>
      </w:r>
      <w:r w:rsidRPr="003E52A9">
        <w:rPr>
          <w:rFonts w:cs="Arial"/>
          <w:sz w:val="18"/>
          <w:szCs w:val="18"/>
          <w:rtl/>
        </w:rPr>
        <w:t xml:space="preserve"> </w:t>
      </w:r>
      <w:r w:rsidRPr="003E52A9">
        <w:rPr>
          <w:rFonts w:cs="Arial" w:hint="cs"/>
          <w:sz w:val="18"/>
          <w:szCs w:val="18"/>
          <w:rtl/>
        </w:rPr>
        <w:t>לנשואה</w:t>
      </w:r>
      <w:r w:rsidRPr="003E52A9">
        <w:rPr>
          <w:rFonts w:cs="Arial"/>
          <w:sz w:val="18"/>
          <w:szCs w:val="18"/>
          <w:rtl/>
        </w:rPr>
        <w:t xml:space="preserve"> </w:t>
      </w:r>
      <w:r w:rsidRPr="003E52A9">
        <w:rPr>
          <w:rFonts w:cs="Arial" w:hint="cs"/>
          <w:sz w:val="18"/>
          <w:szCs w:val="18"/>
          <w:rtl/>
        </w:rPr>
        <w:t>לענין</w:t>
      </w:r>
      <w:r w:rsidRPr="003E52A9">
        <w:rPr>
          <w:rFonts w:cs="Arial"/>
          <w:sz w:val="18"/>
          <w:szCs w:val="18"/>
          <w:rtl/>
        </w:rPr>
        <w:t xml:space="preserve"> </w:t>
      </w:r>
      <w:r w:rsidRPr="003E52A9">
        <w:rPr>
          <w:rFonts w:cs="Arial" w:hint="cs"/>
          <w:sz w:val="18"/>
          <w:szCs w:val="18"/>
          <w:rtl/>
        </w:rPr>
        <w:t>איסור</w:t>
      </w:r>
      <w:r w:rsidRPr="003E52A9">
        <w:rPr>
          <w:rFonts w:cs="Arial"/>
          <w:sz w:val="18"/>
          <w:szCs w:val="18"/>
          <w:rtl/>
        </w:rPr>
        <w:t xml:space="preserve"> </w:t>
      </w:r>
      <w:r w:rsidRPr="003E52A9">
        <w:rPr>
          <w:rFonts w:cs="Arial" w:hint="cs"/>
          <w:sz w:val="18"/>
          <w:szCs w:val="18"/>
          <w:rtl/>
        </w:rPr>
        <w:t>נדה</w:t>
      </w:r>
      <w:r w:rsidRPr="003E52A9">
        <w:rPr>
          <w:rFonts w:cs="Arial"/>
          <w:sz w:val="18"/>
          <w:szCs w:val="18"/>
          <w:rtl/>
        </w:rPr>
        <w:t xml:space="preserve">, </w:t>
      </w:r>
      <w:r w:rsidRPr="003E52A9">
        <w:rPr>
          <w:rFonts w:cs="Arial" w:hint="cs"/>
          <w:sz w:val="18"/>
          <w:szCs w:val="18"/>
          <w:rtl/>
        </w:rPr>
        <w:t>כי</w:t>
      </w:r>
      <w:r w:rsidRPr="003E52A9">
        <w:rPr>
          <w:rFonts w:cs="Arial"/>
          <w:sz w:val="18"/>
          <w:szCs w:val="18"/>
          <w:rtl/>
        </w:rPr>
        <w:t xml:space="preserve"> </w:t>
      </w:r>
      <w:r w:rsidRPr="003E52A9">
        <w:rPr>
          <w:rFonts w:cs="Arial" w:hint="cs"/>
          <w:sz w:val="18"/>
          <w:szCs w:val="18"/>
          <w:rtl/>
        </w:rPr>
        <w:t>כל</w:t>
      </w:r>
      <w:r w:rsidRPr="003E52A9">
        <w:rPr>
          <w:rFonts w:cs="Arial"/>
          <w:sz w:val="18"/>
          <w:szCs w:val="18"/>
          <w:rtl/>
        </w:rPr>
        <w:t xml:space="preserve"> </w:t>
      </w:r>
      <w:r w:rsidRPr="003E52A9">
        <w:rPr>
          <w:rFonts w:cs="Arial" w:hint="cs"/>
          <w:sz w:val="18"/>
          <w:szCs w:val="18"/>
          <w:rtl/>
        </w:rPr>
        <w:t>הבא</w:t>
      </w:r>
      <w:r w:rsidRPr="003E52A9">
        <w:rPr>
          <w:rFonts w:cs="Arial"/>
          <w:sz w:val="18"/>
          <w:szCs w:val="18"/>
          <w:rtl/>
        </w:rPr>
        <w:t xml:space="preserve"> </w:t>
      </w:r>
      <w:r w:rsidRPr="003E52A9">
        <w:rPr>
          <w:rFonts w:cs="Arial" w:hint="cs"/>
          <w:sz w:val="18"/>
          <w:szCs w:val="18"/>
          <w:rtl/>
        </w:rPr>
        <w:t>על</w:t>
      </w:r>
      <w:r w:rsidRPr="003E52A9">
        <w:rPr>
          <w:rFonts w:cs="Arial"/>
          <w:sz w:val="18"/>
          <w:szCs w:val="18"/>
          <w:rtl/>
        </w:rPr>
        <w:t xml:space="preserve"> </w:t>
      </w:r>
      <w:r w:rsidRPr="003E52A9">
        <w:rPr>
          <w:rFonts w:cs="Arial" w:hint="cs"/>
          <w:sz w:val="18"/>
          <w:szCs w:val="18"/>
          <w:rtl/>
        </w:rPr>
        <w:t>הנדה</w:t>
      </w:r>
      <w:r w:rsidRPr="003E52A9">
        <w:rPr>
          <w:rFonts w:cs="Arial"/>
          <w:sz w:val="18"/>
          <w:szCs w:val="18"/>
          <w:rtl/>
        </w:rPr>
        <w:t xml:space="preserve"> </w:t>
      </w:r>
      <w:r w:rsidRPr="003E52A9">
        <w:rPr>
          <w:rFonts w:cs="Arial" w:hint="cs"/>
          <w:sz w:val="18"/>
          <w:szCs w:val="18"/>
          <w:rtl/>
        </w:rPr>
        <w:t>חייב</w:t>
      </w:r>
      <w:r w:rsidRPr="003E52A9">
        <w:rPr>
          <w:rFonts w:cs="Arial"/>
          <w:sz w:val="18"/>
          <w:szCs w:val="18"/>
          <w:rtl/>
        </w:rPr>
        <w:t xml:space="preserve"> </w:t>
      </w:r>
      <w:r w:rsidRPr="003E52A9">
        <w:rPr>
          <w:rFonts w:cs="Arial" w:hint="cs"/>
          <w:sz w:val="18"/>
          <w:szCs w:val="18"/>
          <w:rtl/>
        </w:rPr>
        <w:t>כרת".</w:t>
      </w:r>
      <w:r>
        <w:rPr>
          <w:rFonts w:hint="cs"/>
          <w:sz w:val="20"/>
          <w:szCs w:val="20"/>
          <w:rtl/>
        </w:rPr>
        <w:br/>
      </w:r>
      <w:r>
        <w:rPr>
          <w:sz w:val="20"/>
          <w:szCs w:val="20"/>
          <w:rtl/>
        </w:rPr>
        <w:br/>
      </w:r>
      <w:r w:rsidRPr="00CA5D8A">
        <w:rPr>
          <w:rFonts w:hint="cs"/>
          <w:b/>
          <w:bCs/>
          <w:sz w:val="20"/>
          <w:szCs w:val="20"/>
          <w:rtl/>
        </w:rPr>
        <w:t>סיכום</w:t>
      </w:r>
      <w:r>
        <w:rPr>
          <w:sz w:val="20"/>
          <w:szCs w:val="20"/>
          <w:rtl/>
        </w:rPr>
        <w:br/>
      </w:r>
      <w:r>
        <w:rPr>
          <w:rFonts w:hint="cs"/>
          <w:sz w:val="20"/>
          <w:szCs w:val="20"/>
          <w:rtl/>
        </w:rPr>
        <w:t xml:space="preserve">1. </w:t>
      </w:r>
      <w:r w:rsidRPr="00CA5D8A">
        <w:rPr>
          <w:rFonts w:hint="cs"/>
          <w:b/>
          <w:bCs/>
          <w:sz w:val="20"/>
          <w:szCs w:val="20"/>
          <w:rtl/>
        </w:rPr>
        <w:t>ספרא</w:t>
      </w:r>
      <w:r>
        <w:rPr>
          <w:rFonts w:hint="cs"/>
          <w:sz w:val="20"/>
          <w:szCs w:val="20"/>
          <w:rtl/>
        </w:rPr>
        <w:t>. רק דם היוצא מהמקור מטמא את האשה בטומאת נידה.</w:t>
      </w:r>
      <w:r>
        <w:rPr>
          <w:sz w:val="20"/>
          <w:szCs w:val="20"/>
          <w:rtl/>
        </w:rPr>
        <w:br/>
      </w:r>
      <w:r>
        <w:rPr>
          <w:rFonts w:hint="cs"/>
          <w:sz w:val="20"/>
          <w:szCs w:val="20"/>
          <w:rtl/>
        </w:rPr>
        <w:t xml:space="preserve">2. </w:t>
      </w:r>
      <w:r w:rsidRPr="00CA5D8A">
        <w:rPr>
          <w:rFonts w:hint="cs"/>
          <w:b/>
          <w:bCs/>
          <w:sz w:val="20"/>
          <w:szCs w:val="20"/>
          <w:rtl/>
        </w:rPr>
        <w:t>ספרא</w:t>
      </w:r>
      <w:r>
        <w:rPr>
          <w:rFonts w:hint="cs"/>
          <w:sz w:val="20"/>
          <w:szCs w:val="20"/>
          <w:rtl/>
        </w:rPr>
        <w:t>. לא כל דם מקור טמא, אלא חמישה מראות דמים בלבד.</w:t>
      </w:r>
      <w:r>
        <w:rPr>
          <w:sz w:val="20"/>
          <w:szCs w:val="20"/>
          <w:rtl/>
        </w:rPr>
        <w:br/>
      </w:r>
      <w:r>
        <w:rPr>
          <w:rFonts w:hint="cs"/>
          <w:sz w:val="20"/>
          <w:szCs w:val="20"/>
          <w:rtl/>
        </w:rPr>
        <w:t xml:space="preserve">3. </w:t>
      </w:r>
      <w:r w:rsidRPr="00CA5D8A">
        <w:rPr>
          <w:rFonts w:hint="cs"/>
          <w:b/>
          <w:bCs/>
          <w:sz w:val="20"/>
          <w:szCs w:val="20"/>
          <w:rtl/>
        </w:rPr>
        <w:t>גמרא</w:t>
      </w:r>
      <w:r>
        <w:rPr>
          <w:rFonts w:hint="cs"/>
          <w:sz w:val="20"/>
          <w:szCs w:val="20"/>
          <w:rtl/>
        </w:rPr>
        <w:t>. אפילו טיפת דם כחרדל מטמאה.</w:t>
      </w:r>
      <w:r>
        <w:rPr>
          <w:sz w:val="20"/>
          <w:szCs w:val="20"/>
          <w:rtl/>
        </w:rPr>
        <w:br/>
      </w:r>
      <w:r>
        <w:rPr>
          <w:rFonts w:hint="cs"/>
          <w:sz w:val="20"/>
          <w:szCs w:val="20"/>
          <w:rtl/>
        </w:rPr>
        <w:t xml:space="preserve">4. </w:t>
      </w:r>
      <w:r w:rsidRPr="00CA5D8A">
        <w:rPr>
          <w:rFonts w:hint="cs"/>
          <w:b/>
          <w:bCs/>
          <w:sz w:val="20"/>
          <w:szCs w:val="20"/>
          <w:rtl/>
        </w:rPr>
        <w:t>גמרא</w:t>
      </w:r>
      <w:r>
        <w:rPr>
          <w:rFonts w:hint="cs"/>
          <w:sz w:val="20"/>
          <w:szCs w:val="20"/>
          <w:rtl/>
        </w:rPr>
        <w:t xml:space="preserve">. </w:t>
      </w:r>
      <w:r w:rsidRPr="00CA5D8A">
        <w:rPr>
          <w:rFonts w:hint="cs"/>
          <w:sz w:val="20"/>
          <w:szCs w:val="20"/>
          <w:u w:val="single"/>
          <w:rtl/>
        </w:rPr>
        <w:t>שמואל</w:t>
      </w:r>
      <w:r>
        <w:rPr>
          <w:rFonts w:hint="cs"/>
          <w:sz w:val="20"/>
          <w:szCs w:val="20"/>
          <w:rtl/>
        </w:rPr>
        <w:t xml:space="preserve"> </w:t>
      </w:r>
      <w:r>
        <w:rPr>
          <w:sz w:val="20"/>
          <w:szCs w:val="20"/>
          <w:rtl/>
        </w:rPr>
        <w:t>–</w:t>
      </w:r>
      <w:r>
        <w:rPr>
          <w:rFonts w:hint="cs"/>
          <w:sz w:val="20"/>
          <w:szCs w:val="20"/>
          <w:rtl/>
        </w:rPr>
        <w:t xml:space="preserve"> מדאורייתא נידה טמאה רק בהרגשה. </w:t>
      </w:r>
      <w:r w:rsidRPr="00CA5D8A">
        <w:rPr>
          <w:rFonts w:hint="cs"/>
          <w:b/>
          <w:bCs/>
          <w:sz w:val="20"/>
          <w:szCs w:val="20"/>
          <w:rtl/>
        </w:rPr>
        <w:t>ש"ך</w:t>
      </w:r>
      <w:r>
        <w:rPr>
          <w:rFonts w:hint="cs"/>
          <w:sz w:val="20"/>
          <w:szCs w:val="20"/>
          <w:rtl/>
        </w:rPr>
        <w:t>. מדרבנן טמאה אף ללא הרגשה.</w:t>
      </w:r>
      <w:r>
        <w:rPr>
          <w:sz w:val="20"/>
          <w:szCs w:val="20"/>
          <w:rtl/>
        </w:rPr>
        <w:br/>
      </w:r>
      <w:r>
        <w:rPr>
          <w:rFonts w:hint="cs"/>
          <w:sz w:val="20"/>
          <w:szCs w:val="20"/>
          <w:rtl/>
        </w:rPr>
        <w:t xml:space="preserve">5. </w:t>
      </w:r>
      <w:r w:rsidRPr="00CA5D8A">
        <w:rPr>
          <w:rFonts w:hint="cs"/>
          <w:b/>
          <w:bCs/>
          <w:sz w:val="20"/>
          <w:szCs w:val="20"/>
          <w:rtl/>
        </w:rPr>
        <w:t>משנה</w:t>
      </w:r>
      <w:r>
        <w:rPr>
          <w:rFonts w:hint="cs"/>
          <w:sz w:val="20"/>
          <w:szCs w:val="20"/>
          <w:rtl/>
        </w:rPr>
        <w:t>. כל אשה שנעקר דם מבית הפנימי לחיצון, אע"פ שלא יצא חוץ לגופה טמאה.</w:t>
      </w:r>
      <w:r>
        <w:rPr>
          <w:sz w:val="20"/>
          <w:szCs w:val="20"/>
          <w:rtl/>
        </w:rPr>
        <w:br/>
      </w:r>
      <w:r>
        <w:rPr>
          <w:rFonts w:hint="cs"/>
          <w:sz w:val="20"/>
          <w:szCs w:val="20"/>
          <w:rtl/>
        </w:rPr>
        <w:t>6</w:t>
      </w:r>
      <w:r w:rsidRPr="004E5C46">
        <w:rPr>
          <w:rFonts w:hint="cs"/>
          <w:sz w:val="20"/>
          <w:szCs w:val="20"/>
          <w:rtl/>
        </w:rPr>
        <w:t>. דין נידה מדאורייתא. מעת תחילת ראייתה מונה ז' אפילו שופעת דם, עושה הפסק וטובלת ליל שמיני.</w:t>
      </w:r>
      <w:r w:rsidRPr="004E5C46">
        <w:rPr>
          <w:sz w:val="20"/>
          <w:szCs w:val="20"/>
          <w:rtl/>
        </w:rPr>
        <w:br/>
      </w:r>
      <w:r w:rsidRPr="004E5C46">
        <w:rPr>
          <w:rFonts w:hint="cs"/>
          <w:sz w:val="20"/>
          <w:szCs w:val="20"/>
          <w:rtl/>
        </w:rPr>
        <w:t xml:space="preserve">7. דין זבה. אלו הם אחד עשר יום לאחר ימי נידתה. ראתה יום או יומיים </w:t>
      </w:r>
      <w:r w:rsidRPr="004E5C46">
        <w:rPr>
          <w:sz w:val="20"/>
          <w:szCs w:val="20"/>
          <w:rtl/>
        </w:rPr>
        <w:t>–</w:t>
      </w:r>
      <w:r w:rsidRPr="004E5C46">
        <w:rPr>
          <w:rFonts w:hint="cs"/>
          <w:sz w:val="20"/>
          <w:szCs w:val="20"/>
          <w:rtl/>
        </w:rPr>
        <w:t xml:space="preserve"> שומרת יום אחד בטהרה, טובלת וטהורה. ראתה שלושה ימים </w:t>
      </w:r>
      <w:r w:rsidRPr="004E5C46">
        <w:rPr>
          <w:sz w:val="20"/>
          <w:szCs w:val="20"/>
          <w:rtl/>
        </w:rPr>
        <w:t>–</w:t>
      </w:r>
      <w:r w:rsidRPr="004E5C46">
        <w:rPr>
          <w:rFonts w:hint="cs"/>
          <w:sz w:val="20"/>
          <w:szCs w:val="20"/>
          <w:rtl/>
        </w:rPr>
        <w:t xml:space="preserve"> מונה ז' נקיים, טובלת ומותרת </w:t>
      </w:r>
      <w:r w:rsidRPr="004E5C46">
        <w:rPr>
          <w:rFonts w:hint="cs"/>
          <w:sz w:val="18"/>
          <w:szCs w:val="18"/>
          <w:rtl/>
        </w:rPr>
        <w:t>(ומביאה קרבן)</w:t>
      </w:r>
      <w:r w:rsidRPr="004E5C46">
        <w:rPr>
          <w:rFonts w:hint="cs"/>
          <w:sz w:val="20"/>
          <w:szCs w:val="20"/>
          <w:rtl/>
        </w:rPr>
        <w:t>.</w:t>
      </w:r>
      <w:r w:rsidRPr="004E5C46">
        <w:rPr>
          <w:rFonts w:hint="cs"/>
          <w:sz w:val="20"/>
          <w:szCs w:val="20"/>
          <w:rtl/>
        </w:rPr>
        <w:br/>
        <w:t xml:space="preserve">8. </w:t>
      </w:r>
      <w:r w:rsidRPr="004E5C46">
        <w:rPr>
          <w:rFonts w:hint="cs"/>
          <w:b/>
          <w:bCs/>
          <w:sz w:val="20"/>
          <w:szCs w:val="20"/>
          <w:rtl/>
        </w:rPr>
        <w:t>גמרא</w:t>
      </w:r>
      <w:r w:rsidRPr="004E5C46">
        <w:rPr>
          <w:rFonts w:hint="cs"/>
          <w:sz w:val="20"/>
          <w:szCs w:val="20"/>
          <w:rtl/>
        </w:rPr>
        <w:t>. נידה טובלת בלילה, זבה טובלת ביום.</w:t>
      </w:r>
      <w:r w:rsidRPr="004E5C46">
        <w:rPr>
          <w:rFonts w:hint="cs"/>
          <w:sz w:val="20"/>
          <w:szCs w:val="20"/>
          <w:rtl/>
        </w:rPr>
        <w:br/>
        <w:t>9. חישוב ימי נידה וימי זיבה.</w:t>
      </w:r>
      <w:r>
        <w:rPr>
          <w:rFonts w:hint="cs"/>
          <w:sz w:val="20"/>
          <w:szCs w:val="20"/>
          <w:rtl/>
        </w:rPr>
        <w:t xml:space="preserve"> </w:t>
      </w:r>
      <w:r w:rsidRPr="0014208B">
        <w:rPr>
          <w:rFonts w:hint="cs"/>
          <w:b/>
          <w:bCs/>
          <w:sz w:val="20"/>
          <w:szCs w:val="20"/>
          <w:rtl/>
        </w:rPr>
        <w:t>רמב"ם</w:t>
      </w:r>
      <w:r>
        <w:rPr>
          <w:rFonts w:hint="cs"/>
          <w:sz w:val="20"/>
          <w:szCs w:val="20"/>
          <w:rtl/>
        </w:rPr>
        <w:t xml:space="preserve">. מונה לעולם ז' לנידתה ויא' לזיבתה, עד שתעקר ווסתה או עד שתלד. </w:t>
      </w:r>
      <w:r>
        <w:rPr>
          <w:sz w:val="20"/>
          <w:szCs w:val="20"/>
          <w:rtl/>
        </w:rPr>
        <w:br/>
      </w:r>
      <w:r w:rsidRPr="0014208B">
        <w:rPr>
          <w:rFonts w:hint="cs"/>
          <w:b/>
          <w:bCs/>
          <w:sz w:val="20"/>
          <w:szCs w:val="20"/>
          <w:rtl/>
        </w:rPr>
        <w:t>רש"י</w:t>
      </w:r>
      <w:r>
        <w:rPr>
          <w:rFonts w:hint="cs"/>
          <w:sz w:val="20"/>
          <w:szCs w:val="20"/>
          <w:rtl/>
        </w:rPr>
        <w:t xml:space="preserve">. זבה גדולה חוזרת לתחילת נידתה רק לאחר ז"נ. לא ראתה כל יא', כשתראה אח"כ מתחילים ימי נידתה. </w:t>
      </w:r>
      <w:r>
        <w:rPr>
          <w:rFonts w:hint="cs"/>
          <w:sz w:val="20"/>
          <w:szCs w:val="20"/>
          <w:rtl/>
        </w:rPr>
        <w:br/>
        <w:t xml:space="preserve">10. </w:t>
      </w:r>
      <w:r w:rsidRPr="0014208B">
        <w:rPr>
          <w:rFonts w:hint="cs"/>
          <w:sz w:val="20"/>
          <w:szCs w:val="20"/>
          <w:u w:val="single"/>
          <w:rtl/>
        </w:rPr>
        <w:t>ר"ש</w:t>
      </w:r>
      <w:r>
        <w:rPr>
          <w:rFonts w:hint="cs"/>
          <w:sz w:val="20"/>
          <w:szCs w:val="20"/>
          <w:rtl/>
        </w:rPr>
        <w:t xml:space="preserve">. "אחר מעשה תטהר" </w:t>
      </w:r>
      <w:r w:rsidRPr="0014208B">
        <w:rPr>
          <w:rFonts w:hint="cs"/>
          <w:sz w:val="18"/>
          <w:szCs w:val="18"/>
          <w:rtl/>
        </w:rPr>
        <w:t>(זבה)</w:t>
      </w:r>
      <w:r>
        <w:rPr>
          <w:rFonts w:hint="cs"/>
          <w:sz w:val="20"/>
          <w:szCs w:val="20"/>
          <w:rtl/>
        </w:rPr>
        <w:t xml:space="preserve"> אך אסרו חכמים לעשות כן שמא תבוא לידי ספק. מה אסרו חכמים? </w:t>
      </w:r>
      <w:r w:rsidRPr="0014208B">
        <w:rPr>
          <w:rFonts w:hint="cs"/>
          <w:b/>
          <w:bCs/>
          <w:sz w:val="20"/>
          <w:szCs w:val="20"/>
          <w:rtl/>
        </w:rPr>
        <w:t>רי"ף</w:t>
      </w:r>
      <w:r>
        <w:rPr>
          <w:rFonts w:hint="cs"/>
          <w:sz w:val="20"/>
          <w:szCs w:val="20"/>
          <w:rtl/>
        </w:rPr>
        <w:t xml:space="preserve">. אסרו לשמש אך מותר לטבול ביום ז'. </w:t>
      </w:r>
      <w:r w:rsidRPr="0014208B">
        <w:rPr>
          <w:rFonts w:hint="cs"/>
          <w:b/>
          <w:bCs/>
          <w:sz w:val="20"/>
          <w:szCs w:val="20"/>
          <w:rtl/>
        </w:rPr>
        <w:t>טעם</w:t>
      </w:r>
      <w:r>
        <w:rPr>
          <w:rFonts w:hint="cs"/>
          <w:sz w:val="20"/>
          <w:szCs w:val="20"/>
          <w:rtl/>
        </w:rPr>
        <w:t xml:space="preserve">. אסור לשמש שמא תראה דם ונמצא למפרע ששימש עם זבה. </w:t>
      </w:r>
      <w:r w:rsidRPr="0014208B">
        <w:rPr>
          <w:rFonts w:hint="cs"/>
          <w:b/>
          <w:bCs/>
          <w:sz w:val="20"/>
          <w:szCs w:val="20"/>
          <w:rtl/>
        </w:rPr>
        <w:t>רש"י</w:t>
      </w:r>
      <w:r>
        <w:rPr>
          <w:rFonts w:hint="cs"/>
          <w:sz w:val="20"/>
          <w:szCs w:val="20"/>
          <w:rtl/>
        </w:rPr>
        <w:t xml:space="preserve">. אסור לטבול ביום שמא ישמש, ושמא תראה דם ונמצא למפרע שימש עם זבה. </w:t>
      </w:r>
      <w:r>
        <w:rPr>
          <w:rFonts w:hint="cs"/>
          <w:sz w:val="20"/>
          <w:szCs w:val="20"/>
          <w:rtl/>
        </w:rPr>
        <w:br/>
        <w:t xml:space="preserve">11. </w:t>
      </w:r>
      <w:r w:rsidRPr="0014208B">
        <w:rPr>
          <w:rFonts w:hint="cs"/>
          <w:b/>
          <w:bCs/>
          <w:sz w:val="20"/>
          <w:szCs w:val="20"/>
          <w:rtl/>
        </w:rPr>
        <w:t>משנה</w:t>
      </w:r>
      <w:r>
        <w:rPr>
          <w:rFonts w:hint="cs"/>
          <w:sz w:val="20"/>
          <w:szCs w:val="20"/>
          <w:rtl/>
        </w:rPr>
        <w:t xml:space="preserve">. ראתה יום יא' וטבלה למחרת וראתה דם. </w:t>
      </w:r>
      <w:r w:rsidRPr="0014208B">
        <w:rPr>
          <w:rFonts w:hint="cs"/>
          <w:sz w:val="20"/>
          <w:szCs w:val="20"/>
          <w:u w:val="single"/>
          <w:rtl/>
        </w:rPr>
        <w:t>ב"ש</w:t>
      </w:r>
      <w:r>
        <w:rPr>
          <w:rFonts w:hint="cs"/>
          <w:sz w:val="20"/>
          <w:szCs w:val="20"/>
          <w:rtl/>
        </w:rPr>
        <w:t xml:space="preserve">. גם הבעל טמא. </w:t>
      </w:r>
      <w:r w:rsidRPr="0014208B">
        <w:rPr>
          <w:rFonts w:hint="cs"/>
          <w:sz w:val="20"/>
          <w:szCs w:val="20"/>
          <w:u w:val="single"/>
          <w:rtl/>
        </w:rPr>
        <w:t>ב"ה</w:t>
      </w:r>
      <w:r>
        <w:rPr>
          <w:rFonts w:hint="cs"/>
          <w:sz w:val="20"/>
          <w:szCs w:val="20"/>
          <w:rtl/>
        </w:rPr>
        <w:t>. הבעל טהור אך הוא גרגרן.</w:t>
      </w:r>
      <w:r>
        <w:rPr>
          <w:sz w:val="20"/>
          <w:szCs w:val="20"/>
          <w:rtl/>
        </w:rPr>
        <w:br/>
      </w:r>
      <w:r w:rsidRPr="0014208B">
        <w:rPr>
          <w:rFonts w:hint="cs"/>
          <w:b/>
          <w:bCs/>
          <w:sz w:val="20"/>
          <w:szCs w:val="20"/>
          <w:rtl/>
        </w:rPr>
        <w:t>גמרא</w:t>
      </w:r>
      <w:r>
        <w:rPr>
          <w:rFonts w:hint="cs"/>
          <w:sz w:val="20"/>
          <w:szCs w:val="20"/>
          <w:rtl/>
        </w:rPr>
        <w:t xml:space="preserve">. </w:t>
      </w:r>
      <w:r w:rsidRPr="0014208B">
        <w:rPr>
          <w:rFonts w:hint="cs"/>
          <w:sz w:val="20"/>
          <w:szCs w:val="20"/>
          <w:u w:val="single"/>
          <w:rtl/>
        </w:rPr>
        <w:t>רב ששת</w:t>
      </w:r>
      <w:r>
        <w:rPr>
          <w:rFonts w:hint="cs"/>
          <w:sz w:val="20"/>
          <w:szCs w:val="20"/>
          <w:rtl/>
        </w:rPr>
        <w:t xml:space="preserve">. גרגרן היינו שאסור לשמש ביום יב'. </w:t>
      </w:r>
      <w:r w:rsidRPr="0014208B">
        <w:rPr>
          <w:rFonts w:hint="cs"/>
          <w:sz w:val="20"/>
          <w:szCs w:val="20"/>
          <w:u w:val="single"/>
          <w:rtl/>
        </w:rPr>
        <w:t>רב אשי</w:t>
      </w:r>
      <w:r>
        <w:rPr>
          <w:rFonts w:hint="cs"/>
          <w:sz w:val="20"/>
          <w:szCs w:val="20"/>
          <w:rtl/>
        </w:rPr>
        <w:t>. מותר לשמש.</w:t>
      </w:r>
      <w:r>
        <w:rPr>
          <w:rFonts w:hint="cs"/>
          <w:sz w:val="20"/>
          <w:szCs w:val="20"/>
          <w:rtl/>
        </w:rPr>
        <w:br/>
        <w:t>12</w:t>
      </w:r>
      <w:r w:rsidRPr="004E5C46">
        <w:rPr>
          <w:rFonts w:hint="cs"/>
          <w:sz w:val="20"/>
          <w:szCs w:val="20"/>
          <w:rtl/>
        </w:rPr>
        <w:t xml:space="preserve">. האם מותר לשמש ביום יב' עם הרואה ביום יא'. </w:t>
      </w:r>
      <w:r w:rsidRPr="004E5C46">
        <w:rPr>
          <w:rFonts w:hint="cs"/>
          <w:b/>
          <w:bCs/>
          <w:sz w:val="20"/>
          <w:szCs w:val="20"/>
          <w:rtl/>
        </w:rPr>
        <w:t>רמב</w:t>
      </w:r>
      <w:r w:rsidRPr="0014208B">
        <w:rPr>
          <w:rFonts w:hint="cs"/>
          <w:b/>
          <w:bCs/>
          <w:sz w:val="20"/>
          <w:szCs w:val="20"/>
          <w:rtl/>
        </w:rPr>
        <w:t>"ם</w:t>
      </w:r>
      <w:r>
        <w:rPr>
          <w:rFonts w:hint="cs"/>
          <w:sz w:val="20"/>
          <w:szCs w:val="20"/>
          <w:rtl/>
        </w:rPr>
        <w:t>. אסור,</w:t>
      </w:r>
      <w:r w:rsidRPr="00906F5D">
        <w:rPr>
          <w:rFonts w:hint="cs"/>
          <w:sz w:val="20"/>
          <w:szCs w:val="20"/>
          <w:rtl/>
        </w:rPr>
        <w:t xml:space="preserve"> </w:t>
      </w:r>
      <w:r>
        <w:rPr>
          <w:rFonts w:hint="cs"/>
          <w:sz w:val="20"/>
          <w:szCs w:val="20"/>
          <w:rtl/>
        </w:rPr>
        <w:t xml:space="preserve">כרב ששת. </w:t>
      </w:r>
      <w:r w:rsidRPr="0014208B">
        <w:rPr>
          <w:rFonts w:hint="cs"/>
          <w:b/>
          <w:bCs/>
          <w:sz w:val="20"/>
          <w:szCs w:val="20"/>
          <w:rtl/>
        </w:rPr>
        <w:t>טור</w:t>
      </w:r>
      <w:r>
        <w:rPr>
          <w:rFonts w:hint="cs"/>
          <w:sz w:val="20"/>
          <w:szCs w:val="20"/>
          <w:rtl/>
        </w:rPr>
        <w:t>. מותר, כרב אשי.</w:t>
      </w:r>
      <w:r>
        <w:rPr>
          <w:rFonts w:hint="cs"/>
          <w:sz w:val="20"/>
          <w:szCs w:val="20"/>
          <w:rtl/>
        </w:rPr>
        <w:br/>
        <w:t xml:space="preserve">13. </w:t>
      </w:r>
      <w:r w:rsidRPr="0014208B">
        <w:rPr>
          <w:rFonts w:hint="cs"/>
          <w:b/>
          <w:bCs/>
          <w:sz w:val="20"/>
          <w:szCs w:val="20"/>
          <w:rtl/>
        </w:rPr>
        <w:t>גמרא</w:t>
      </w:r>
      <w:r>
        <w:rPr>
          <w:rFonts w:hint="cs"/>
          <w:sz w:val="20"/>
          <w:szCs w:val="20"/>
          <w:rtl/>
        </w:rPr>
        <w:t xml:space="preserve">. ראתה יום י'. </w:t>
      </w:r>
      <w:r w:rsidRPr="0014208B">
        <w:rPr>
          <w:rFonts w:hint="cs"/>
          <w:sz w:val="20"/>
          <w:szCs w:val="20"/>
          <w:u w:val="single"/>
          <w:rtl/>
        </w:rPr>
        <w:t>רבי יוחנן</w:t>
      </w:r>
      <w:r>
        <w:rPr>
          <w:rFonts w:hint="cs"/>
          <w:sz w:val="20"/>
          <w:szCs w:val="20"/>
          <w:rtl/>
        </w:rPr>
        <w:t xml:space="preserve">. צריך לשמור יום יא' בנקיות, וכ"פ </w:t>
      </w:r>
      <w:r w:rsidRPr="0014208B">
        <w:rPr>
          <w:rFonts w:hint="cs"/>
          <w:b/>
          <w:bCs/>
          <w:sz w:val="20"/>
          <w:szCs w:val="20"/>
          <w:rtl/>
        </w:rPr>
        <w:t>הרמב"ם</w:t>
      </w:r>
      <w:r>
        <w:rPr>
          <w:rFonts w:hint="cs"/>
          <w:sz w:val="20"/>
          <w:szCs w:val="20"/>
          <w:rtl/>
        </w:rPr>
        <w:t xml:space="preserve">. </w:t>
      </w:r>
      <w:r w:rsidRPr="0014208B">
        <w:rPr>
          <w:rFonts w:hint="cs"/>
          <w:sz w:val="20"/>
          <w:szCs w:val="20"/>
          <w:u w:val="single"/>
          <w:rtl/>
        </w:rPr>
        <w:t>ריש לקיש</w:t>
      </w:r>
      <w:r>
        <w:rPr>
          <w:rFonts w:hint="cs"/>
          <w:sz w:val="20"/>
          <w:szCs w:val="20"/>
          <w:rtl/>
        </w:rPr>
        <w:t xml:space="preserve">. אין צריך לשמרו בטהרה. </w:t>
      </w:r>
      <w:r w:rsidRPr="0014208B">
        <w:rPr>
          <w:rFonts w:hint="cs"/>
          <w:b/>
          <w:bCs/>
          <w:sz w:val="20"/>
          <w:szCs w:val="20"/>
          <w:rtl/>
        </w:rPr>
        <w:t>טור</w:t>
      </w:r>
      <w:r>
        <w:rPr>
          <w:rFonts w:hint="cs"/>
          <w:sz w:val="20"/>
          <w:szCs w:val="20"/>
          <w:rtl/>
        </w:rPr>
        <w:t>. הביא את ב' הדעות ולא הכריע ביניהן.</w:t>
      </w:r>
      <w:r>
        <w:rPr>
          <w:sz w:val="20"/>
          <w:szCs w:val="20"/>
          <w:rtl/>
        </w:rPr>
        <w:br/>
      </w:r>
      <w:r>
        <w:rPr>
          <w:rFonts w:hint="cs"/>
          <w:sz w:val="20"/>
          <w:szCs w:val="20"/>
          <w:rtl/>
        </w:rPr>
        <w:t xml:space="preserve">14. </w:t>
      </w:r>
      <w:r w:rsidRPr="004E5C46">
        <w:rPr>
          <w:rFonts w:hint="cs"/>
          <w:sz w:val="20"/>
          <w:szCs w:val="20"/>
          <w:rtl/>
        </w:rPr>
        <w:t>שלבי חומרות הנידה:</w:t>
      </w:r>
      <w:r>
        <w:rPr>
          <w:rFonts w:hint="cs"/>
          <w:sz w:val="20"/>
          <w:szCs w:val="20"/>
          <w:rtl/>
        </w:rPr>
        <w:t xml:space="preserve"> </w:t>
      </w:r>
      <w:r>
        <w:rPr>
          <w:sz w:val="20"/>
          <w:szCs w:val="20"/>
          <w:rtl/>
        </w:rPr>
        <w:br/>
      </w:r>
      <w:r>
        <w:rPr>
          <w:rFonts w:hint="cs"/>
          <w:sz w:val="20"/>
          <w:szCs w:val="20"/>
          <w:rtl/>
        </w:rPr>
        <w:t xml:space="preserve">א. החמירו לטמא כל מראה אדום אפילו אינו מחמשת מראות הטמאים. </w:t>
      </w:r>
      <w:r>
        <w:rPr>
          <w:sz w:val="20"/>
          <w:szCs w:val="20"/>
          <w:rtl/>
        </w:rPr>
        <w:br/>
      </w:r>
      <w:r>
        <w:rPr>
          <w:rFonts w:hint="cs"/>
          <w:sz w:val="20"/>
          <w:szCs w:val="20"/>
          <w:rtl/>
        </w:rPr>
        <w:t xml:space="preserve">ב. </w:t>
      </w:r>
      <w:r w:rsidRPr="0014208B">
        <w:rPr>
          <w:rFonts w:hint="cs"/>
          <w:sz w:val="20"/>
          <w:szCs w:val="20"/>
          <w:u w:val="single"/>
          <w:rtl/>
        </w:rPr>
        <w:t>רבי</w:t>
      </w:r>
      <w:r>
        <w:rPr>
          <w:rFonts w:hint="cs"/>
          <w:sz w:val="20"/>
          <w:szCs w:val="20"/>
          <w:rtl/>
        </w:rPr>
        <w:t xml:space="preserve"> התקין למנות תמיד שישה נקיים לאחר ראיית יום או יומיים. </w:t>
      </w:r>
      <w:r>
        <w:rPr>
          <w:sz w:val="20"/>
          <w:szCs w:val="20"/>
          <w:rtl/>
        </w:rPr>
        <w:br/>
      </w:r>
      <w:r w:rsidRPr="0014208B">
        <w:rPr>
          <w:rFonts w:hint="cs"/>
          <w:b/>
          <w:bCs/>
          <w:sz w:val="20"/>
          <w:szCs w:val="20"/>
          <w:rtl/>
        </w:rPr>
        <w:t>טעם</w:t>
      </w:r>
      <w:r>
        <w:rPr>
          <w:rFonts w:hint="cs"/>
          <w:sz w:val="20"/>
          <w:szCs w:val="20"/>
          <w:rtl/>
        </w:rPr>
        <w:t xml:space="preserve">. שמא ביום הראשון היה דם טהור וימי נידתה התחילו רק מהיום השני. </w:t>
      </w:r>
      <w:r>
        <w:rPr>
          <w:sz w:val="20"/>
          <w:szCs w:val="20"/>
          <w:rtl/>
        </w:rPr>
        <w:br/>
      </w:r>
      <w:r>
        <w:rPr>
          <w:rFonts w:hint="cs"/>
          <w:sz w:val="20"/>
          <w:szCs w:val="20"/>
          <w:rtl/>
        </w:rPr>
        <w:t xml:space="preserve">ג. </w:t>
      </w:r>
      <w:r w:rsidRPr="0014208B">
        <w:rPr>
          <w:rFonts w:hint="cs"/>
          <w:sz w:val="20"/>
          <w:szCs w:val="20"/>
          <w:u w:val="single"/>
          <w:rtl/>
        </w:rPr>
        <w:t>רבי זירא</w:t>
      </w:r>
      <w:r>
        <w:rPr>
          <w:rFonts w:hint="cs"/>
          <w:sz w:val="20"/>
          <w:szCs w:val="20"/>
          <w:rtl/>
        </w:rPr>
        <w:t xml:space="preserve"> </w:t>
      </w:r>
      <w:r>
        <w:rPr>
          <w:sz w:val="20"/>
          <w:szCs w:val="20"/>
          <w:rtl/>
        </w:rPr>
        <w:t>–</w:t>
      </w:r>
      <w:r>
        <w:rPr>
          <w:rFonts w:hint="cs"/>
          <w:sz w:val="20"/>
          <w:szCs w:val="20"/>
          <w:rtl/>
        </w:rPr>
        <w:t xml:space="preserve"> אפילו טיפת דם כחרדל, מונה ז' נקיים.</w:t>
      </w:r>
      <w:r>
        <w:rPr>
          <w:sz w:val="20"/>
          <w:szCs w:val="20"/>
          <w:rtl/>
        </w:rPr>
        <w:br/>
      </w:r>
      <w:r>
        <w:rPr>
          <w:rFonts w:hint="cs"/>
          <w:sz w:val="20"/>
          <w:szCs w:val="20"/>
          <w:rtl/>
        </w:rPr>
        <w:lastRenderedPageBreak/>
        <w:t xml:space="preserve">15. </w:t>
      </w:r>
      <w:r w:rsidRPr="004E5C46">
        <w:rPr>
          <w:rFonts w:hint="cs"/>
          <w:sz w:val="20"/>
          <w:szCs w:val="20"/>
          <w:rtl/>
        </w:rPr>
        <w:t>טעם חומרת רבי זירא.</w:t>
      </w:r>
      <w:r>
        <w:rPr>
          <w:rFonts w:hint="cs"/>
          <w:sz w:val="20"/>
          <w:szCs w:val="20"/>
          <w:rtl/>
        </w:rPr>
        <w:t xml:space="preserve"> א. </w:t>
      </w:r>
      <w:r w:rsidRPr="0014208B">
        <w:rPr>
          <w:rFonts w:hint="cs"/>
          <w:b/>
          <w:bCs/>
          <w:sz w:val="20"/>
          <w:szCs w:val="20"/>
          <w:rtl/>
        </w:rPr>
        <w:t>רי"ף</w:t>
      </w:r>
      <w:r>
        <w:rPr>
          <w:rFonts w:hint="cs"/>
          <w:sz w:val="20"/>
          <w:szCs w:val="20"/>
          <w:rtl/>
        </w:rPr>
        <w:t xml:space="preserve">. חז"ל תיקנו כך, ובנות ישראל קיבלו על עצמן. ב. </w:t>
      </w:r>
      <w:r>
        <w:rPr>
          <w:rFonts w:hint="cs"/>
          <w:b/>
          <w:bCs/>
          <w:sz w:val="20"/>
          <w:szCs w:val="20"/>
          <w:rtl/>
        </w:rPr>
        <w:t>יש אומרים</w:t>
      </w:r>
      <w:r>
        <w:rPr>
          <w:rFonts w:hint="cs"/>
          <w:sz w:val="20"/>
          <w:szCs w:val="20"/>
          <w:rtl/>
        </w:rPr>
        <w:t xml:space="preserve"> </w:t>
      </w:r>
      <w:r w:rsidRPr="009D37EB">
        <w:rPr>
          <w:rFonts w:hint="cs"/>
          <w:sz w:val="18"/>
          <w:szCs w:val="18"/>
          <w:rtl/>
        </w:rPr>
        <w:t>(בר"ן)</w:t>
      </w:r>
      <w:r>
        <w:rPr>
          <w:rFonts w:hint="cs"/>
          <w:sz w:val="20"/>
          <w:szCs w:val="20"/>
          <w:rtl/>
        </w:rPr>
        <w:t xml:space="preserve">. חשש אם ראייה אחת תהיה בביה"ש ודינה כזבה למנות ז' נקיים. ג. </w:t>
      </w:r>
      <w:r w:rsidRPr="004E5C46">
        <w:rPr>
          <w:rFonts w:hint="cs"/>
          <w:b/>
          <w:bCs/>
          <w:sz w:val="20"/>
          <w:szCs w:val="20"/>
          <w:rtl/>
        </w:rPr>
        <w:t>רמב"ן</w:t>
      </w:r>
      <w:r>
        <w:rPr>
          <w:rFonts w:hint="cs"/>
          <w:sz w:val="20"/>
          <w:szCs w:val="20"/>
          <w:rtl/>
        </w:rPr>
        <w:t xml:space="preserve"> </w:t>
      </w:r>
      <w:r w:rsidRPr="004E5C46">
        <w:rPr>
          <w:rFonts w:hint="cs"/>
          <w:b/>
          <w:bCs/>
          <w:sz w:val="20"/>
          <w:szCs w:val="20"/>
          <w:rtl/>
        </w:rPr>
        <w:t>ו</w:t>
      </w:r>
      <w:r w:rsidRPr="0014208B">
        <w:rPr>
          <w:rFonts w:hint="cs"/>
          <w:b/>
          <w:bCs/>
          <w:sz w:val="20"/>
          <w:szCs w:val="20"/>
          <w:rtl/>
        </w:rPr>
        <w:t>ר"ן</w:t>
      </w:r>
      <w:r>
        <w:rPr>
          <w:rFonts w:hint="cs"/>
          <w:sz w:val="20"/>
          <w:szCs w:val="20"/>
          <w:rtl/>
        </w:rPr>
        <w:t xml:space="preserve">. לא פלוג בין דם בסתירת ז"נ, לבין דם בימי נידתה, כדי שתמיד יהיה מניין אחד. ד. </w:t>
      </w:r>
      <w:r w:rsidRPr="004E5C46">
        <w:rPr>
          <w:rFonts w:hint="cs"/>
          <w:b/>
          <w:bCs/>
          <w:sz w:val="20"/>
          <w:szCs w:val="20"/>
          <w:rtl/>
        </w:rPr>
        <w:t>ט"ז</w:t>
      </w:r>
      <w:r>
        <w:rPr>
          <w:rFonts w:hint="cs"/>
          <w:sz w:val="20"/>
          <w:szCs w:val="20"/>
          <w:rtl/>
        </w:rPr>
        <w:t>. שלא יטעו בין ו' נקיים שתיקן רבי לז"נ, תמיד מנין אחד.</w:t>
      </w:r>
      <w:r>
        <w:rPr>
          <w:sz w:val="20"/>
          <w:szCs w:val="20"/>
          <w:rtl/>
        </w:rPr>
        <w:br/>
      </w:r>
      <w:r>
        <w:rPr>
          <w:rFonts w:hint="cs"/>
          <w:sz w:val="20"/>
          <w:szCs w:val="20"/>
          <w:rtl/>
        </w:rPr>
        <w:t xml:space="preserve">16. </w:t>
      </w:r>
      <w:r w:rsidRPr="004E5C46">
        <w:rPr>
          <w:rFonts w:hint="cs"/>
          <w:sz w:val="20"/>
          <w:szCs w:val="20"/>
          <w:rtl/>
        </w:rPr>
        <w:t>מה הרבותא שאפילו בטיפת דם כחרדל טמאה?</w:t>
      </w:r>
      <w:r>
        <w:rPr>
          <w:rFonts w:hint="cs"/>
          <w:sz w:val="20"/>
          <w:szCs w:val="20"/>
          <w:rtl/>
        </w:rPr>
        <w:t xml:space="preserve"> א. אפילו כמראה חרדל טימאו. דחייה </w:t>
      </w:r>
      <w:r>
        <w:rPr>
          <w:sz w:val="20"/>
          <w:szCs w:val="20"/>
          <w:rtl/>
        </w:rPr>
        <w:t>–</w:t>
      </w:r>
      <w:r>
        <w:rPr>
          <w:rFonts w:hint="cs"/>
          <w:sz w:val="20"/>
          <w:szCs w:val="20"/>
          <w:rtl/>
        </w:rPr>
        <w:t xml:space="preserve"> אין זו חומרה. </w:t>
      </w:r>
      <w:r>
        <w:rPr>
          <w:sz w:val="20"/>
          <w:szCs w:val="20"/>
          <w:rtl/>
        </w:rPr>
        <w:br/>
      </w:r>
      <w:r>
        <w:rPr>
          <w:rFonts w:hint="cs"/>
          <w:sz w:val="20"/>
          <w:szCs w:val="20"/>
          <w:rtl/>
        </w:rPr>
        <w:t xml:space="preserve">ב. טימאו אפילו מיעוט דם כחרדל. דחייה </w:t>
      </w:r>
      <w:r>
        <w:rPr>
          <w:sz w:val="20"/>
          <w:szCs w:val="20"/>
          <w:rtl/>
        </w:rPr>
        <w:t>–</w:t>
      </w:r>
      <w:r>
        <w:rPr>
          <w:rFonts w:hint="cs"/>
          <w:sz w:val="20"/>
          <w:szCs w:val="20"/>
          <w:rtl/>
        </w:rPr>
        <w:t xml:space="preserve"> אין זו חומרה. ג. </w:t>
      </w:r>
      <w:r w:rsidRPr="0014208B">
        <w:rPr>
          <w:rFonts w:hint="cs"/>
          <w:b/>
          <w:bCs/>
          <w:sz w:val="20"/>
          <w:szCs w:val="20"/>
          <w:rtl/>
        </w:rPr>
        <w:t>רבינו יונה</w:t>
      </w:r>
      <w:r>
        <w:rPr>
          <w:rFonts w:hint="cs"/>
          <w:sz w:val="20"/>
          <w:szCs w:val="20"/>
          <w:rtl/>
        </w:rPr>
        <w:t xml:space="preserve">. אע"פ שאין לחוש לכך שאלו ג' ראיות והדם נשאר בתוך הבית החיצון, שהרי זו רק טיפה אחת, אפ"ה טמאה כזבה. </w:t>
      </w:r>
      <w:r>
        <w:rPr>
          <w:sz w:val="20"/>
          <w:szCs w:val="20"/>
          <w:rtl/>
        </w:rPr>
        <w:br/>
      </w:r>
      <w:r>
        <w:rPr>
          <w:rFonts w:hint="cs"/>
          <w:sz w:val="20"/>
          <w:szCs w:val="20"/>
          <w:rtl/>
        </w:rPr>
        <w:t xml:space="preserve">17. </w:t>
      </w:r>
      <w:r w:rsidRPr="0014208B">
        <w:rPr>
          <w:rFonts w:hint="cs"/>
          <w:b/>
          <w:bCs/>
          <w:sz w:val="20"/>
          <w:szCs w:val="20"/>
          <w:rtl/>
        </w:rPr>
        <w:t>מחבר</w:t>
      </w:r>
      <w:r>
        <w:rPr>
          <w:rFonts w:hint="cs"/>
          <w:sz w:val="20"/>
          <w:szCs w:val="20"/>
          <w:rtl/>
        </w:rPr>
        <w:t xml:space="preserve">. אשה טמאה בין כשהדם יצא באונס ובין יצא ברצון. אונס </w:t>
      </w:r>
      <w:r>
        <w:rPr>
          <w:sz w:val="20"/>
          <w:szCs w:val="20"/>
          <w:rtl/>
        </w:rPr>
        <w:t>–</w:t>
      </w:r>
      <w:r>
        <w:rPr>
          <w:rFonts w:hint="cs"/>
          <w:sz w:val="20"/>
          <w:szCs w:val="20"/>
          <w:rtl/>
        </w:rPr>
        <w:t xml:space="preserve"> קפיצה. רצון </w:t>
      </w:r>
      <w:r>
        <w:rPr>
          <w:sz w:val="20"/>
          <w:szCs w:val="20"/>
          <w:rtl/>
        </w:rPr>
        <w:t>–</w:t>
      </w:r>
      <w:r>
        <w:rPr>
          <w:rFonts w:hint="cs"/>
          <w:sz w:val="20"/>
          <w:szCs w:val="20"/>
          <w:rtl/>
        </w:rPr>
        <w:t xml:space="preserve"> מחמת טבע האישה.</w:t>
      </w:r>
      <w:r>
        <w:rPr>
          <w:sz w:val="20"/>
          <w:szCs w:val="20"/>
          <w:rtl/>
        </w:rPr>
        <w:br/>
      </w:r>
      <w:r>
        <w:rPr>
          <w:rFonts w:hint="cs"/>
          <w:sz w:val="20"/>
          <w:szCs w:val="20"/>
          <w:rtl/>
        </w:rPr>
        <w:t xml:space="preserve">18. </w:t>
      </w:r>
      <w:r w:rsidRPr="0014208B">
        <w:rPr>
          <w:rFonts w:hint="cs"/>
          <w:b/>
          <w:bCs/>
          <w:sz w:val="20"/>
          <w:szCs w:val="20"/>
          <w:rtl/>
        </w:rPr>
        <w:t>פת"ש</w:t>
      </w:r>
      <w:r>
        <w:rPr>
          <w:rFonts w:hint="cs"/>
          <w:sz w:val="20"/>
          <w:szCs w:val="20"/>
          <w:rtl/>
        </w:rPr>
        <w:t xml:space="preserve">. מהי הרגשה שמחמתה טמאה מדאורייתא? א. </w:t>
      </w:r>
      <w:r w:rsidRPr="0014208B">
        <w:rPr>
          <w:rFonts w:hint="cs"/>
          <w:b/>
          <w:bCs/>
          <w:sz w:val="20"/>
          <w:szCs w:val="20"/>
          <w:rtl/>
        </w:rPr>
        <w:t>רמב"ם</w:t>
      </w:r>
      <w:r>
        <w:rPr>
          <w:rFonts w:hint="cs"/>
          <w:sz w:val="20"/>
          <w:szCs w:val="20"/>
          <w:rtl/>
        </w:rPr>
        <w:t xml:space="preserve">. נזדעזע גופה. ב. הרגשה שנפתח המקור. </w:t>
      </w:r>
      <w:r>
        <w:rPr>
          <w:sz w:val="20"/>
          <w:szCs w:val="20"/>
          <w:rtl/>
        </w:rPr>
        <w:br/>
      </w:r>
      <w:r>
        <w:rPr>
          <w:rFonts w:hint="cs"/>
          <w:sz w:val="20"/>
          <w:szCs w:val="20"/>
          <w:rtl/>
        </w:rPr>
        <w:t xml:space="preserve">ג. </w:t>
      </w:r>
      <w:r w:rsidRPr="0014208B">
        <w:rPr>
          <w:rFonts w:hint="cs"/>
          <w:b/>
          <w:bCs/>
          <w:sz w:val="20"/>
          <w:szCs w:val="20"/>
          <w:rtl/>
        </w:rPr>
        <w:t>אחרונים</w:t>
      </w:r>
      <w:r>
        <w:rPr>
          <w:rFonts w:hint="cs"/>
          <w:sz w:val="20"/>
          <w:szCs w:val="20"/>
          <w:rtl/>
        </w:rPr>
        <w:t>. הרגשה שזב דבר לח מבשרה.</w:t>
      </w:r>
      <w:r>
        <w:rPr>
          <w:sz w:val="20"/>
          <w:szCs w:val="20"/>
          <w:rtl/>
        </w:rPr>
        <w:br/>
      </w:r>
      <w:r>
        <w:rPr>
          <w:rFonts w:hint="cs"/>
          <w:sz w:val="20"/>
          <w:szCs w:val="20"/>
          <w:rtl/>
        </w:rPr>
        <w:t xml:space="preserve">19. </w:t>
      </w:r>
      <w:r w:rsidRPr="0014208B">
        <w:rPr>
          <w:rFonts w:hint="cs"/>
          <w:b/>
          <w:bCs/>
          <w:sz w:val="20"/>
          <w:szCs w:val="20"/>
          <w:rtl/>
        </w:rPr>
        <w:t>פת"ש</w:t>
      </w:r>
      <w:r>
        <w:rPr>
          <w:rFonts w:hint="cs"/>
          <w:sz w:val="20"/>
          <w:szCs w:val="20"/>
          <w:rtl/>
        </w:rPr>
        <w:t>. רק יציאת דם מבית הפנימי מטמאה, יציאה מבית החיצון לחוץ אינה מטמאה. ואעפ"כ כמעט ואין לכך נפק"מ, כיוון שז' נקיים נמנים רק לאחר הפסק טהרה שבו נבדק הבית החיצון מכל מראה דם.</w:t>
      </w:r>
      <w:r>
        <w:rPr>
          <w:sz w:val="20"/>
          <w:szCs w:val="20"/>
          <w:rtl/>
        </w:rPr>
        <w:br/>
      </w:r>
      <w:r>
        <w:rPr>
          <w:rFonts w:hint="cs"/>
          <w:sz w:val="20"/>
          <w:szCs w:val="20"/>
          <w:rtl/>
        </w:rPr>
        <w:t xml:space="preserve">20. </w:t>
      </w:r>
      <w:r w:rsidRPr="0014208B">
        <w:rPr>
          <w:rFonts w:hint="cs"/>
          <w:b/>
          <w:bCs/>
          <w:sz w:val="20"/>
          <w:szCs w:val="20"/>
          <w:rtl/>
        </w:rPr>
        <w:t>ריב"ש</w:t>
      </w:r>
      <w:r>
        <w:rPr>
          <w:rFonts w:hint="cs"/>
          <w:sz w:val="20"/>
          <w:szCs w:val="20"/>
          <w:rtl/>
        </w:rPr>
        <w:t xml:space="preserve">. דין נידה נוהג גם בפנויה, אלא שלא תיקנו בה טבילה כדי שלא ייכשלו בה בני אדם, וכ"פ </w:t>
      </w:r>
      <w:r w:rsidRPr="00AD3ECC">
        <w:rPr>
          <w:rFonts w:hint="cs"/>
          <w:b/>
          <w:bCs/>
          <w:sz w:val="20"/>
          <w:szCs w:val="20"/>
          <w:rtl/>
        </w:rPr>
        <w:t>הרמ"א</w:t>
      </w:r>
      <w:r>
        <w:rPr>
          <w:rFonts w:hint="cs"/>
          <w:sz w:val="20"/>
          <w:szCs w:val="20"/>
          <w:rtl/>
        </w:rPr>
        <w:t xml:space="preserve">. </w:t>
      </w:r>
    </w:p>
    <w:p w:rsidR="00620060" w:rsidRPr="00377B18" w:rsidRDefault="00620060" w:rsidP="00620060">
      <w:pPr>
        <w:rPr>
          <w:sz w:val="20"/>
          <w:szCs w:val="20"/>
          <w:rtl/>
        </w:rPr>
      </w:pPr>
    </w:p>
    <w:p w:rsidR="00506BD0" w:rsidRDefault="00506BD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Pr="00762818" w:rsidRDefault="00620060" w:rsidP="00620060">
      <w:pPr>
        <w:rPr>
          <w:b/>
          <w:bCs/>
          <w:sz w:val="20"/>
          <w:szCs w:val="20"/>
          <w:rtl/>
        </w:rPr>
      </w:pPr>
      <w:r w:rsidRPr="00762818">
        <w:rPr>
          <w:rFonts w:hint="cs"/>
          <w:b/>
          <w:bCs/>
          <w:sz w:val="20"/>
          <w:szCs w:val="20"/>
          <w:rtl/>
        </w:rPr>
        <w:lastRenderedPageBreak/>
        <w:t>בעזרת ה' יתברך</w:t>
      </w:r>
    </w:p>
    <w:p w:rsidR="00620060" w:rsidRPr="00762818" w:rsidRDefault="00620060" w:rsidP="00620060">
      <w:pPr>
        <w:rPr>
          <w:b/>
          <w:bCs/>
          <w:sz w:val="20"/>
          <w:szCs w:val="20"/>
          <w:rtl/>
        </w:rPr>
      </w:pPr>
      <w:r w:rsidRPr="00762818">
        <w:rPr>
          <w:rFonts w:hint="cs"/>
          <w:b/>
          <w:bCs/>
          <w:sz w:val="20"/>
          <w:szCs w:val="20"/>
          <w:rtl/>
        </w:rPr>
        <w:t xml:space="preserve">סימן קפד </w:t>
      </w:r>
      <w:r w:rsidRPr="00762818">
        <w:rPr>
          <w:b/>
          <w:bCs/>
          <w:sz w:val="20"/>
          <w:szCs w:val="20"/>
          <w:rtl/>
        </w:rPr>
        <w:t>–</w:t>
      </w:r>
      <w:r w:rsidRPr="00762818">
        <w:rPr>
          <w:rFonts w:hint="cs"/>
          <w:b/>
          <w:bCs/>
          <w:sz w:val="20"/>
          <w:szCs w:val="20"/>
          <w:rtl/>
        </w:rPr>
        <w:t xml:space="preserve"> פרישה סמוך לווסת</w:t>
      </w:r>
    </w:p>
    <w:p w:rsidR="00620060" w:rsidRDefault="00620060" w:rsidP="00620060">
      <w:pPr>
        <w:rPr>
          <w:sz w:val="20"/>
          <w:szCs w:val="20"/>
          <w:rtl/>
        </w:rPr>
      </w:pPr>
      <w:r w:rsidRPr="00762818">
        <w:rPr>
          <w:rFonts w:hint="cs"/>
          <w:b/>
          <w:bCs/>
          <w:sz w:val="20"/>
          <w:szCs w:val="20"/>
          <w:rtl/>
        </w:rPr>
        <w:t xml:space="preserve">סעיף א </w:t>
      </w:r>
      <w:r w:rsidRPr="00762818">
        <w:rPr>
          <w:b/>
          <w:bCs/>
          <w:sz w:val="20"/>
          <w:szCs w:val="20"/>
          <w:rtl/>
        </w:rPr>
        <w:t>–</w:t>
      </w:r>
      <w:r w:rsidRPr="00762818">
        <w:rPr>
          <w:rFonts w:hint="cs"/>
          <w:b/>
          <w:bCs/>
          <w:sz w:val="20"/>
          <w:szCs w:val="20"/>
          <w:rtl/>
        </w:rPr>
        <w:t xml:space="preserve"> בדיקה לפני תשמיש ואחריו באישה שיש לה ווסת קבוע</w:t>
      </w:r>
      <w:r>
        <w:rPr>
          <w:sz w:val="20"/>
          <w:szCs w:val="20"/>
          <w:rtl/>
        </w:rPr>
        <w:br/>
      </w:r>
      <w:r w:rsidRPr="00010206">
        <w:rPr>
          <w:rFonts w:hint="cs"/>
          <w:b/>
          <w:bCs/>
          <w:sz w:val="20"/>
          <w:szCs w:val="20"/>
          <w:rtl/>
        </w:rPr>
        <w:t>בדיקה לפנ</w:t>
      </w:r>
      <w:r>
        <w:rPr>
          <w:rFonts w:hint="cs"/>
          <w:b/>
          <w:bCs/>
          <w:sz w:val="20"/>
          <w:szCs w:val="20"/>
          <w:rtl/>
        </w:rPr>
        <w:t xml:space="preserve">י תשמיש ואחריו </w:t>
      </w:r>
      <w:r>
        <w:rPr>
          <w:b/>
          <w:bCs/>
          <w:sz w:val="20"/>
          <w:szCs w:val="20"/>
          <w:rtl/>
        </w:rPr>
        <w:t>–</w:t>
      </w:r>
      <w:r>
        <w:rPr>
          <w:rFonts w:hint="cs"/>
          <w:b/>
          <w:bCs/>
          <w:sz w:val="20"/>
          <w:szCs w:val="20"/>
          <w:rtl/>
        </w:rPr>
        <w:t xml:space="preserve"> מקור הדין</w:t>
      </w:r>
      <w:r>
        <w:rPr>
          <w:b/>
          <w:bCs/>
          <w:sz w:val="20"/>
          <w:szCs w:val="20"/>
          <w:rtl/>
        </w:rPr>
        <w:br/>
      </w:r>
      <w:r w:rsidRPr="00010206">
        <w:rPr>
          <w:rFonts w:hint="cs"/>
          <w:b/>
          <w:bCs/>
          <w:sz w:val="20"/>
          <w:szCs w:val="20"/>
          <w:rtl/>
        </w:rPr>
        <w:t>משנה</w:t>
      </w:r>
      <w:r>
        <w:rPr>
          <w:rFonts w:hint="cs"/>
          <w:sz w:val="20"/>
          <w:szCs w:val="20"/>
          <w:rtl/>
        </w:rPr>
        <w:t xml:space="preserve"> נידה (יג.) "</w:t>
      </w:r>
      <w:r w:rsidRPr="00010206">
        <w:rPr>
          <w:rFonts w:cs="Arial" w:hint="cs"/>
          <w:sz w:val="20"/>
          <w:szCs w:val="20"/>
          <w:rtl/>
        </w:rPr>
        <w:t>כל</w:t>
      </w:r>
      <w:r w:rsidRPr="00010206">
        <w:rPr>
          <w:rFonts w:cs="Arial"/>
          <w:sz w:val="20"/>
          <w:szCs w:val="20"/>
          <w:rtl/>
        </w:rPr>
        <w:t xml:space="preserve"> </w:t>
      </w:r>
      <w:r w:rsidRPr="00010206">
        <w:rPr>
          <w:rFonts w:cs="Arial" w:hint="cs"/>
          <w:sz w:val="20"/>
          <w:szCs w:val="20"/>
          <w:rtl/>
        </w:rPr>
        <w:t>היד</w:t>
      </w:r>
      <w:r w:rsidRPr="00010206">
        <w:rPr>
          <w:rFonts w:cs="Arial"/>
          <w:sz w:val="20"/>
          <w:szCs w:val="20"/>
          <w:rtl/>
        </w:rPr>
        <w:t xml:space="preserve"> </w:t>
      </w:r>
      <w:r w:rsidRPr="00010206">
        <w:rPr>
          <w:rFonts w:cs="Arial" w:hint="cs"/>
          <w:sz w:val="20"/>
          <w:szCs w:val="20"/>
          <w:rtl/>
        </w:rPr>
        <w:t>המרבה</w:t>
      </w:r>
      <w:r w:rsidRPr="00010206">
        <w:rPr>
          <w:rFonts w:cs="Arial"/>
          <w:sz w:val="20"/>
          <w:szCs w:val="20"/>
          <w:rtl/>
        </w:rPr>
        <w:t xml:space="preserve"> </w:t>
      </w:r>
      <w:r w:rsidRPr="00010206">
        <w:rPr>
          <w:rFonts w:cs="Arial" w:hint="cs"/>
          <w:sz w:val="20"/>
          <w:szCs w:val="20"/>
          <w:rtl/>
        </w:rPr>
        <w:t>לבדוק</w:t>
      </w:r>
      <w:r w:rsidRPr="00010206">
        <w:rPr>
          <w:rFonts w:cs="Arial"/>
          <w:sz w:val="20"/>
          <w:szCs w:val="20"/>
          <w:rtl/>
        </w:rPr>
        <w:t xml:space="preserve">, </w:t>
      </w:r>
      <w:r w:rsidRPr="00010206">
        <w:rPr>
          <w:rFonts w:cs="Arial" w:hint="cs"/>
          <w:sz w:val="20"/>
          <w:szCs w:val="20"/>
          <w:rtl/>
        </w:rPr>
        <w:t>בנשים</w:t>
      </w:r>
      <w:r w:rsidRPr="00010206">
        <w:rPr>
          <w:rFonts w:cs="Arial"/>
          <w:sz w:val="20"/>
          <w:szCs w:val="20"/>
          <w:rtl/>
        </w:rPr>
        <w:t xml:space="preserve"> </w:t>
      </w:r>
      <w:r>
        <w:rPr>
          <w:rFonts w:cs="Arial"/>
          <w:sz w:val="20"/>
          <w:szCs w:val="20"/>
          <w:rtl/>
        </w:rPr>
        <w:t>–</w:t>
      </w:r>
      <w:r w:rsidRPr="00010206">
        <w:rPr>
          <w:rFonts w:cs="Arial"/>
          <w:sz w:val="20"/>
          <w:szCs w:val="20"/>
          <w:rtl/>
        </w:rPr>
        <w:t xml:space="preserve"> </w:t>
      </w:r>
      <w:r w:rsidRPr="00010206">
        <w:rPr>
          <w:rFonts w:cs="Arial" w:hint="cs"/>
          <w:sz w:val="20"/>
          <w:szCs w:val="20"/>
          <w:rtl/>
        </w:rPr>
        <w:t>משובחת</w:t>
      </w:r>
      <w:r>
        <w:rPr>
          <w:rFonts w:cs="Arial" w:hint="cs"/>
          <w:sz w:val="20"/>
          <w:szCs w:val="20"/>
          <w:rtl/>
        </w:rPr>
        <w:t>".</w:t>
      </w:r>
      <w:r>
        <w:rPr>
          <w:rFonts w:cs="Arial"/>
          <w:sz w:val="20"/>
          <w:szCs w:val="20"/>
          <w:rtl/>
        </w:rPr>
        <w:br/>
      </w:r>
      <w:r w:rsidRPr="00010206">
        <w:rPr>
          <w:rFonts w:cs="Arial" w:hint="cs"/>
          <w:b/>
          <w:bCs/>
          <w:sz w:val="20"/>
          <w:szCs w:val="20"/>
          <w:rtl/>
        </w:rPr>
        <w:t xml:space="preserve">גמרא </w:t>
      </w:r>
      <w:r>
        <w:rPr>
          <w:rFonts w:cs="Arial" w:hint="cs"/>
          <w:sz w:val="20"/>
          <w:szCs w:val="20"/>
          <w:rtl/>
        </w:rPr>
        <w:t>שם (יב.) "</w:t>
      </w:r>
      <w:r w:rsidRPr="00010206">
        <w:rPr>
          <w:rFonts w:cs="Arial" w:hint="cs"/>
          <w:sz w:val="20"/>
          <w:szCs w:val="20"/>
          <w:rtl/>
        </w:rPr>
        <w:t>בעא</w:t>
      </w:r>
      <w:r w:rsidRPr="00010206">
        <w:rPr>
          <w:rFonts w:cs="Arial"/>
          <w:sz w:val="20"/>
          <w:szCs w:val="20"/>
          <w:rtl/>
        </w:rPr>
        <w:t xml:space="preserve"> </w:t>
      </w:r>
      <w:r w:rsidRPr="00010206">
        <w:rPr>
          <w:rFonts w:cs="Arial" w:hint="cs"/>
          <w:sz w:val="20"/>
          <w:szCs w:val="20"/>
          <w:rtl/>
        </w:rPr>
        <w:t>מיניה</w:t>
      </w:r>
      <w:r w:rsidRPr="00010206">
        <w:rPr>
          <w:rFonts w:cs="Arial"/>
          <w:sz w:val="20"/>
          <w:szCs w:val="20"/>
          <w:rtl/>
        </w:rPr>
        <w:t xml:space="preserve"> </w:t>
      </w:r>
      <w:r w:rsidRPr="00010206">
        <w:rPr>
          <w:rFonts w:cs="Arial" w:hint="cs"/>
          <w:sz w:val="20"/>
          <w:szCs w:val="20"/>
          <w:rtl/>
        </w:rPr>
        <w:t>רבי</w:t>
      </w:r>
      <w:r w:rsidRPr="00010206">
        <w:rPr>
          <w:rFonts w:cs="Arial"/>
          <w:sz w:val="20"/>
          <w:szCs w:val="20"/>
          <w:rtl/>
        </w:rPr>
        <w:t xml:space="preserve"> </w:t>
      </w:r>
      <w:r w:rsidRPr="00010206">
        <w:rPr>
          <w:rFonts w:cs="Arial" w:hint="cs"/>
          <w:sz w:val="20"/>
          <w:szCs w:val="20"/>
          <w:rtl/>
        </w:rPr>
        <w:t>זירא</w:t>
      </w:r>
      <w:r w:rsidRPr="00010206">
        <w:rPr>
          <w:rFonts w:cs="Arial"/>
          <w:sz w:val="20"/>
          <w:szCs w:val="20"/>
          <w:rtl/>
        </w:rPr>
        <w:t xml:space="preserve"> </w:t>
      </w:r>
      <w:r w:rsidRPr="00010206">
        <w:rPr>
          <w:rFonts w:cs="Arial" w:hint="cs"/>
          <w:sz w:val="20"/>
          <w:szCs w:val="20"/>
          <w:rtl/>
        </w:rPr>
        <w:t>מרב</w:t>
      </w:r>
      <w:r w:rsidRPr="00010206">
        <w:rPr>
          <w:rFonts w:cs="Arial"/>
          <w:sz w:val="20"/>
          <w:szCs w:val="20"/>
          <w:rtl/>
        </w:rPr>
        <w:t xml:space="preserve"> </w:t>
      </w:r>
      <w:r w:rsidRPr="00010206">
        <w:rPr>
          <w:rFonts w:cs="Arial" w:hint="cs"/>
          <w:sz w:val="20"/>
          <w:szCs w:val="20"/>
          <w:rtl/>
        </w:rPr>
        <w:t>יהודה</w:t>
      </w:r>
      <w:r w:rsidRPr="00010206">
        <w:rPr>
          <w:rFonts w:cs="Arial"/>
          <w:sz w:val="20"/>
          <w:szCs w:val="20"/>
          <w:rtl/>
        </w:rPr>
        <w:t xml:space="preserve">: </w:t>
      </w:r>
      <w:r w:rsidRPr="00010206">
        <w:rPr>
          <w:rFonts w:cs="Arial" w:hint="cs"/>
          <w:sz w:val="20"/>
          <w:szCs w:val="20"/>
          <w:rtl/>
        </w:rPr>
        <w:t>אשה</w:t>
      </w:r>
      <w:r w:rsidRPr="00010206">
        <w:rPr>
          <w:rFonts w:cs="Arial"/>
          <w:sz w:val="20"/>
          <w:szCs w:val="20"/>
          <w:rtl/>
        </w:rPr>
        <w:t xml:space="preserve"> </w:t>
      </w:r>
      <w:r w:rsidRPr="00010206">
        <w:rPr>
          <w:rFonts w:cs="Arial" w:hint="cs"/>
          <w:sz w:val="20"/>
          <w:szCs w:val="20"/>
          <w:rtl/>
        </w:rPr>
        <w:t>מהו</w:t>
      </w:r>
      <w:r w:rsidRPr="00010206">
        <w:rPr>
          <w:rFonts w:cs="Arial"/>
          <w:sz w:val="20"/>
          <w:szCs w:val="20"/>
          <w:rtl/>
        </w:rPr>
        <w:t xml:space="preserve"> </w:t>
      </w:r>
      <w:r w:rsidRPr="00010206">
        <w:rPr>
          <w:rFonts w:cs="Arial" w:hint="cs"/>
          <w:sz w:val="20"/>
          <w:szCs w:val="20"/>
          <w:rtl/>
        </w:rPr>
        <w:t>שתבדוק</w:t>
      </w:r>
      <w:r w:rsidRPr="00010206">
        <w:rPr>
          <w:rFonts w:cs="Arial"/>
          <w:sz w:val="20"/>
          <w:szCs w:val="20"/>
          <w:rtl/>
        </w:rPr>
        <w:t xml:space="preserve"> </w:t>
      </w:r>
      <w:r w:rsidRPr="00010206">
        <w:rPr>
          <w:rFonts w:cs="Arial" w:hint="cs"/>
          <w:sz w:val="20"/>
          <w:szCs w:val="20"/>
          <w:rtl/>
        </w:rPr>
        <w:t>עצמה</w:t>
      </w:r>
      <w:r w:rsidRPr="00010206">
        <w:rPr>
          <w:rFonts w:cs="Arial"/>
          <w:sz w:val="20"/>
          <w:szCs w:val="20"/>
          <w:rtl/>
        </w:rPr>
        <w:t xml:space="preserve"> </w:t>
      </w:r>
      <w:r w:rsidRPr="00010206">
        <w:rPr>
          <w:rFonts w:cs="Arial" w:hint="cs"/>
          <w:sz w:val="20"/>
          <w:szCs w:val="20"/>
          <w:rtl/>
        </w:rPr>
        <w:t>לבעלה</w:t>
      </w:r>
      <w:r w:rsidRPr="00010206">
        <w:rPr>
          <w:rFonts w:cs="Arial"/>
          <w:sz w:val="20"/>
          <w:szCs w:val="20"/>
          <w:rtl/>
        </w:rPr>
        <w:t xml:space="preserve">? </w:t>
      </w:r>
      <w:r w:rsidRPr="00010206">
        <w:rPr>
          <w:rFonts w:cs="Arial" w:hint="cs"/>
          <w:sz w:val="20"/>
          <w:szCs w:val="20"/>
          <w:rtl/>
        </w:rPr>
        <w:t>אמר</w:t>
      </w:r>
      <w:r w:rsidRPr="00010206">
        <w:rPr>
          <w:rFonts w:cs="Arial"/>
          <w:sz w:val="20"/>
          <w:szCs w:val="20"/>
          <w:rtl/>
        </w:rPr>
        <w:t xml:space="preserve"> </w:t>
      </w:r>
      <w:r w:rsidRPr="00010206">
        <w:rPr>
          <w:rFonts w:cs="Arial" w:hint="cs"/>
          <w:sz w:val="20"/>
          <w:szCs w:val="20"/>
          <w:rtl/>
        </w:rPr>
        <w:t>ליה</w:t>
      </w:r>
      <w:r w:rsidRPr="00010206">
        <w:rPr>
          <w:rFonts w:cs="Arial"/>
          <w:sz w:val="20"/>
          <w:szCs w:val="20"/>
          <w:rtl/>
        </w:rPr>
        <w:t xml:space="preserve">: </w:t>
      </w:r>
      <w:r w:rsidRPr="00010206">
        <w:rPr>
          <w:rFonts w:cs="Arial" w:hint="cs"/>
          <w:sz w:val="20"/>
          <w:szCs w:val="20"/>
          <w:rtl/>
        </w:rPr>
        <w:t>לא</w:t>
      </w:r>
      <w:r w:rsidRPr="00010206">
        <w:rPr>
          <w:rFonts w:cs="Arial"/>
          <w:sz w:val="20"/>
          <w:szCs w:val="20"/>
          <w:rtl/>
        </w:rPr>
        <w:t xml:space="preserve"> </w:t>
      </w:r>
      <w:r w:rsidRPr="00010206">
        <w:rPr>
          <w:rFonts w:cs="Arial" w:hint="cs"/>
          <w:sz w:val="20"/>
          <w:szCs w:val="20"/>
          <w:rtl/>
        </w:rPr>
        <w:t>תבדוק</w:t>
      </w:r>
      <w:r w:rsidRPr="00010206">
        <w:rPr>
          <w:rFonts w:cs="Arial"/>
          <w:sz w:val="20"/>
          <w:szCs w:val="20"/>
          <w:rtl/>
        </w:rPr>
        <w:t xml:space="preserve">. </w:t>
      </w:r>
      <w:r w:rsidRPr="00010206">
        <w:rPr>
          <w:rFonts w:cs="Arial" w:hint="cs"/>
          <w:sz w:val="20"/>
          <w:szCs w:val="20"/>
          <w:rtl/>
        </w:rPr>
        <w:t>ותבדוק</w:t>
      </w:r>
      <w:r w:rsidRPr="00010206">
        <w:rPr>
          <w:rFonts w:cs="Arial"/>
          <w:sz w:val="20"/>
          <w:szCs w:val="20"/>
          <w:rtl/>
        </w:rPr>
        <w:t xml:space="preserve">, </w:t>
      </w:r>
      <w:r w:rsidRPr="00010206">
        <w:rPr>
          <w:rFonts w:cs="Arial" w:hint="cs"/>
          <w:sz w:val="20"/>
          <w:szCs w:val="20"/>
          <w:rtl/>
        </w:rPr>
        <w:t>ומה</w:t>
      </w:r>
      <w:r w:rsidRPr="00010206">
        <w:rPr>
          <w:rFonts w:cs="Arial"/>
          <w:sz w:val="20"/>
          <w:szCs w:val="20"/>
          <w:rtl/>
        </w:rPr>
        <w:t xml:space="preserve"> </w:t>
      </w:r>
      <w:r w:rsidRPr="00010206">
        <w:rPr>
          <w:rFonts w:cs="Arial" w:hint="cs"/>
          <w:sz w:val="20"/>
          <w:szCs w:val="20"/>
          <w:rtl/>
        </w:rPr>
        <w:t>בכך</w:t>
      </w:r>
      <w:r w:rsidRPr="00010206">
        <w:rPr>
          <w:rFonts w:cs="Arial"/>
          <w:sz w:val="20"/>
          <w:szCs w:val="20"/>
          <w:rtl/>
        </w:rPr>
        <w:t xml:space="preserve">? </w:t>
      </w:r>
      <w:r w:rsidRPr="00010206">
        <w:rPr>
          <w:rFonts w:cs="Arial" w:hint="cs"/>
          <w:sz w:val="20"/>
          <w:szCs w:val="20"/>
          <w:rtl/>
        </w:rPr>
        <w:t>אם</w:t>
      </w:r>
      <w:r w:rsidRPr="00010206">
        <w:rPr>
          <w:rFonts w:cs="Arial"/>
          <w:sz w:val="20"/>
          <w:szCs w:val="20"/>
          <w:rtl/>
        </w:rPr>
        <w:t xml:space="preserve"> </w:t>
      </w:r>
      <w:r w:rsidRPr="00010206">
        <w:rPr>
          <w:rFonts w:cs="Arial" w:hint="cs"/>
          <w:sz w:val="20"/>
          <w:szCs w:val="20"/>
          <w:rtl/>
        </w:rPr>
        <w:t>כן</w:t>
      </w:r>
      <w:r w:rsidRPr="00010206">
        <w:rPr>
          <w:rFonts w:cs="Arial"/>
          <w:sz w:val="20"/>
          <w:szCs w:val="20"/>
          <w:rtl/>
        </w:rPr>
        <w:t xml:space="preserve"> - </w:t>
      </w:r>
      <w:r w:rsidRPr="00010206">
        <w:rPr>
          <w:rFonts w:cs="Arial" w:hint="cs"/>
          <w:sz w:val="20"/>
          <w:szCs w:val="20"/>
          <w:rtl/>
        </w:rPr>
        <w:t>לבו</w:t>
      </w:r>
      <w:r w:rsidRPr="00010206">
        <w:rPr>
          <w:rFonts w:cs="Arial"/>
          <w:sz w:val="20"/>
          <w:szCs w:val="20"/>
          <w:rtl/>
        </w:rPr>
        <w:t xml:space="preserve"> </w:t>
      </w:r>
      <w:r w:rsidRPr="00010206">
        <w:rPr>
          <w:rFonts w:cs="Arial" w:hint="cs"/>
          <w:sz w:val="20"/>
          <w:szCs w:val="20"/>
          <w:rtl/>
        </w:rPr>
        <w:t>נוקפו</w:t>
      </w:r>
      <w:r w:rsidRPr="00010206">
        <w:rPr>
          <w:rFonts w:cs="Arial"/>
          <w:sz w:val="20"/>
          <w:szCs w:val="20"/>
          <w:rtl/>
        </w:rPr>
        <w:t xml:space="preserve"> </w:t>
      </w:r>
      <w:r w:rsidRPr="00010206">
        <w:rPr>
          <w:rFonts w:cs="Arial" w:hint="cs"/>
          <w:sz w:val="20"/>
          <w:szCs w:val="20"/>
          <w:rtl/>
        </w:rPr>
        <w:t>ופורש</w:t>
      </w:r>
      <w:r>
        <w:rPr>
          <w:rFonts w:cs="Arial"/>
          <w:sz w:val="20"/>
          <w:szCs w:val="20"/>
          <w:rtl/>
        </w:rPr>
        <w:t>".</w:t>
      </w:r>
    </w:p>
    <w:p w:rsidR="00620060" w:rsidRDefault="00620060" w:rsidP="00620060">
      <w:pPr>
        <w:rPr>
          <w:sz w:val="20"/>
          <w:szCs w:val="20"/>
          <w:rtl/>
        </w:rPr>
      </w:pPr>
      <w:r w:rsidRPr="00774577">
        <w:rPr>
          <w:rFonts w:hint="cs"/>
          <w:b/>
          <w:bCs/>
          <w:sz w:val="20"/>
          <w:szCs w:val="20"/>
          <w:rtl/>
        </w:rPr>
        <w:t>שיטות הראשונים</w:t>
      </w:r>
      <w:r>
        <w:rPr>
          <w:sz w:val="20"/>
          <w:szCs w:val="20"/>
          <w:u w:val="single"/>
          <w:rtl/>
        </w:rPr>
        <w:br/>
      </w:r>
      <w:r>
        <w:rPr>
          <w:rFonts w:hint="cs"/>
          <w:sz w:val="20"/>
          <w:szCs w:val="20"/>
          <w:rtl/>
        </w:rPr>
        <w:t xml:space="preserve">א. </w:t>
      </w:r>
      <w:r w:rsidRPr="00010206">
        <w:rPr>
          <w:rFonts w:hint="cs"/>
          <w:b/>
          <w:bCs/>
          <w:sz w:val="20"/>
          <w:szCs w:val="20"/>
          <w:rtl/>
        </w:rPr>
        <w:t>רבינו שמחה</w:t>
      </w:r>
      <w:r>
        <w:rPr>
          <w:rFonts w:hint="cs"/>
          <w:sz w:val="20"/>
          <w:szCs w:val="20"/>
          <w:rtl/>
        </w:rPr>
        <w:t xml:space="preserve"> </w:t>
      </w:r>
      <w:r>
        <w:rPr>
          <w:sz w:val="20"/>
          <w:szCs w:val="20"/>
          <w:rtl/>
        </w:rPr>
        <w:t>–</w:t>
      </w:r>
      <w:r>
        <w:rPr>
          <w:rFonts w:hint="cs"/>
          <w:sz w:val="20"/>
          <w:szCs w:val="20"/>
          <w:rtl/>
        </w:rPr>
        <w:t xml:space="preserve"> לפני תשמיש רשאית</w:t>
      </w:r>
      <w:r>
        <w:rPr>
          <w:rStyle w:val="a5"/>
          <w:sz w:val="20"/>
          <w:szCs w:val="20"/>
          <w:rtl/>
        </w:rPr>
        <w:footnoteReference w:id="17"/>
      </w:r>
      <w:r>
        <w:rPr>
          <w:rFonts w:hint="cs"/>
          <w:sz w:val="20"/>
          <w:szCs w:val="20"/>
          <w:rtl/>
        </w:rPr>
        <w:t xml:space="preserve"> לבדוק, לאחר תשמיש לא תבדוק.</w:t>
      </w:r>
      <w:r>
        <w:rPr>
          <w:sz w:val="20"/>
          <w:szCs w:val="20"/>
          <w:rtl/>
        </w:rPr>
        <w:br/>
      </w:r>
      <w:r w:rsidRPr="00FA0819">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אם תבדוק לאחר תשמיש, ליבו נוקפו ולא ישמש עמה להבא; לפני תשמיש רשאית ע"פ המשנה הנ"ל.</w:t>
      </w:r>
      <w:r>
        <w:rPr>
          <w:rStyle w:val="a5"/>
          <w:sz w:val="20"/>
          <w:szCs w:val="20"/>
          <w:rtl/>
        </w:rPr>
        <w:footnoteReference w:id="18"/>
      </w:r>
      <w:r>
        <w:rPr>
          <w:sz w:val="20"/>
          <w:szCs w:val="20"/>
          <w:rtl/>
        </w:rPr>
        <w:br/>
      </w:r>
      <w:r>
        <w:rPr>
          <w:rFonts w:hint="cs"/>
          <w:sz w:val="20"/>
          <w:szCs w:val="20"/>
          <w:rtl/>
        </w:rPr>
        <w:t xml:space="preserve">ב. </w:t>
      </w:r>
      <w:r>
        <w:rPr>
          <w:rFonts w:hint="cs"/>
          <w:b/>
          <w:bCs/>
          <w:sz w:val="20"/>
          <w:szCs w:val="20"/>
          <w:rtl/>
        </w:rPr>
        <w:t>תוספות ו</w:t>
      </w:r>
      <w:r w:rsidRPr="005773FD">
        <w:rPr>
          <w:rFonts w:hint="cs"/>
          <w:b/>
          <w:bCs/>
          <w:sz w:val="20"/>
          <w:szCs w:val="20"/>
          <w:rtl/>
        </w:rPr>
        <w:t>טור</w:t>
      </w:r>
      <w:r>
        <w:rPr>
          <w:rFonts w:hint="cs"/>
          <w:sz w:val="20"/>
          <w:szCs w:val="20"/>
          <w:rtl/>
        </w:rPr>
        <w:t xml:space="preserve"> </w:t>
      </w:r>
      <w:r>
        <w:rPr>
          <w:sz w:val="20"/>
          <w:szCs w:val="20"/>
          <w:rtl/>
        </w:rPr>
        <w:t>–</w:t>
      </w:r>
      <w:r>
        <w:rPr>
          <w:rFonts w:hint="cs"/>
          <w:sz w:val="20"/>
          <w:szCs w:val="20"/>
          <w:rtl/>
        </w:rPr>
        <w:t xml:space="preserve"> אין לבדוק לפני תשמיש.</w:t>
      </w:r>
      <w:r>
        <w:rPr>
          <w:sz w:val="20"/>
          <w:szCs w:val="20"/>
          <w:rtl/>
        </w:rPr>
        <w:br/>
      </w:r>
      <w:r w:rsidRPr="005773FD">
        <w:rPr>
          <w:rFonts w:hint="cs"/>
          <w:b/>
          <w:bCs/>
          <w:sz w:val="20"/>
          <w:szCs w:val="20"/>
          <w:rtl/>
        </w:rPr>
        <w:t>טעם</w:t>
      </w:r>
      <w:r>
        <w:rPr>
          <w:rFonts w:hint="cs"/>
          <w:sz w:val="20"/>
          <w:szCs w:val="20"/>
          <w:rtl/>
        </w:rPr>
        <w:t xml:space="preserve"> - כדי שלא יהיה ליבו נוקפו ויימנע מלשמש עמה להבא.</w:t>
      </w:r>
      <w:r>
        <w:rPr>
          <w:sz w:val="20"/>
          <w:szCs w:val="20"/>
          <w:rtl/>
        </w:rPr>
        <w:br/>
      </w:r>
      <w:r>
        <w:rPr>
          <w:rFonts w:hint="cs"/>
          <w:sz w:val="20"/>
          <w:szCs w:val="20"/>
          <w:rtl/>
        </w:rPr>
        <w:t xml:space="preserve">מבאר </w:t>
      </w:r>
      <w:r w:rsidRPr="00C27EA6">
        <w:rPr>
          <w:rFonts w:hint="cs"/>
          <w:b/>
          <w:bCs/>
          <w:sz w:val="20"/>
          <w:szCs w:val="20"/>
          <w:rtl/>
        </w:rPr>
        <w:t>הדרכ"מ</w:t>
      </w:r>
      <w:r>
        <w:rPr>
          <w:rFonts w:hint="cs"/>
          <w:sz w:val="20"/>
          <w:szCs w:val="20"/>
          <w:rtl/>
        </w:rPr>
        <w:t xml:space="preserve"> </w:t>
      </w:r>
      <w:r>
        <w:rPr>
          <w:sz w:val="20"/>
          <w:szCs w:val="20"/>
          <w:rtl/>
        </w:rPr>
        <w:t>–</w:t>
      </w:r>
      <w:r>
        <w:rPr>
          <w:rFonts w:hint="cs"/>
          <w:sz w:val="20"/>
          <w:szCs w:val="20"/>
          <w:rtl/>
        </w:rPr>
        <w:t xml:space="preserve"> לשיטה זו, כל שכן שאסור לבדוק </w:t>
      </w:r>
      <w:r w:rsidRPr="00A07C94">
        <w:rPr>
          <w:rFonts w:hint="cs"/>
          <w:sz w:val="20"/>
          <w:szCs w:val="20"/>
          <w:u w:val="single"/>
          <w:rtl/>
        </w:rPr>
        <w:t>לאחר</w:t>
      </w:r>
      <w:r>
        <w:rPr>
          <w:rFonts w:hint="cs"/>
          <w:sz w:val="20"/>
          <w:szCs w:val="20"/>
          <w:rtl/>
        </w:rPr>
        <w:t xml:space="preserve"> תשמיש.</w:t>
      </w:r>
      <w:r>
        <w:rPr>
          <w:sz w:val="20"/>
          <w:szCs w:val="20"/>
          <w:rtl/>
        </w:rPr>
        <w:br/>
      </w:r>
      <w:r w:rsidRPr="00C27EA6">
        <w:rPr>
          <w:rFonts w:hint="cs"/>
          <w:b/>
          <w:bCs/>
          <w:sz w:val="20"/>
          <w:szCs w:val="20"/>
          <w:rtl/>
        </w:rPr>
        <w:t>מרדכי ורשב"ם</w:t>
      </w:r>
      <w:r>
        <w:rPr>
          <w:rFonts w:hint="cs"/>
          <w:sz w:val="20"/>
          <w:szCs w:val="20"/>
          <w:rtl/>
        </w:rPr>
        <w:t xml:space="preserve"> </w:t>
      </w:r>
      <w:r>
        <w:rPr>
          <w:sz w:val="20"/>
          <w:szCs w:val="20"/>
          <w:rtl/>
        </w:rPr>
        <w:t>–</w:t>
      </w:r>
      <w:r>
        <w:rPr>
          <w:rFonts w:hint="cs"/>
          <w:sz w:val="20"/>
          <w:szCs w:val="20"/>
          <w:rtl/>
        </w:rPr>
        <w:t xml:space="preserve"> אין לבדוק לפני תשמיש ולא לאחר תשמיש, וכ"פ </w:t>
      </w:r>
      <w:r w:rsidRPr="00B3633E">
        <w:rPr>
          <w:rFonts w:hint="cs"/>
          <w:b/>
          <w:bCs/>
          <w:sz w:val="20"/>
          <w:szCs w:val="20"/>
          <w:rtl/>
        </w:rPr>
        <w:t>הרמ"א</w:t>
      </w:r>
      <w:r>
        <w:rPr>
          <w:rFonts w:hint="cs"/>
          <w:sz w:val="20"/>
          <w:szCs w:val="20"/>
          <w:rtl/>
        </w:rPr>
        <w:t>.</w:t>
      </w:r>
      <w:r>
        <w:rPr>
          <w:sz w:val="20"/>
          <w:szCs w:val="20"/>
          <w:rtl/>
        </w:rPr>
        <w:br/>
      </w:r>
      <w:r w:rsidRPr="00C27EA6">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המשנה איירי בבדיקה לטהרות, אך בימינו הבדיקה לבעלה בלבד, ולכן לא תבדוק שלא יהיה ליבו נוקפו.</w:t>
      </w:r>
      <w:r>
        <w:rPr>
          <w:sz w:val="20"/>
          <w:szCs w:val="20"/>
          <w:rtl/>
        </w:rPr>
        <w:br/>
      </w:r>
      <w:r>
        <w:rPr>
          <w:rFonts w:hint="cs"/>
          <w:sz w:val="20"/>
          <w:szCs w:val="20"/>
          <w:rtl/>
        </w:rPr>
        <w:t xml:space="preserve">ג. </w:t>
      </w:r>
      <w:r w:rsidRPr="008A04AB">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לאחר תשמיש צריכה לבדוק עצמה, לפני תשמיש אינה צריכה בדיקה</w:t>
      </w:r>
      <w:r>
        <w:rPr>
          <w:rStyle w:val="a5"/>
          <w:sz w:val="20"/>
          <w:szCs w:val="20"/>
          <w:rtl/>
        </w:rPr>
        <w:footnoteReference w:id="19"/>
      </w:r>
      <w:r>
        <w:rPr>
          <w:rFonts w:hint="cs"/>
          <w:sz w:val="20"/>
          <w:szCs w:val="20"/>
          <w:rtl/>
        </w:rPr>
        <w:t xml:space="preserve">, </w:t>
      </w:r>
      <w:r w:rsidRPr="004936CD">
        <w:rPr>
          <w:rFonts w:hint="cs"/>
          <w:sz w:val="20"/>
          <w:szCs w:val="20"/>
          <w:rtl/>
        </w:rPr>
        <w:t>והמחבר</w:t>
      </w:r>
      <w:r>
        <w:rPr>
          <w:rFonts w:hint="cs"/>
          <w:sz w:val="20"/>
          <w:szCs w:val="20"/>
          <w:rtl/>
        </w:rPr>
        <w:t xml:space="preserve"> כתב כאן כדבריו.</w:t>
      </w:r>
      <w:r>
        <w:rPr>
          <w:rStyle w:val="a5"/>
          <w:sz w:val="20"/>
          <w:szCs w:val="20"/>
          <w:rtl/>
        </w:rPr>
        <w:footnoteReference w:id="20"/>
      </w:r>
    </w:p>
    <w:p w:rsidR="00620060" w:rsidRDefault="00620060" w:rsidP="00620060">
      <w:pPr>
        <w:rPr>
          <w:sz w:val="20"/>
          <w:szCs w:val="20"/>
          <w:rtl/>
        </w:rPr>
      </w:pPr>
      <w:r w:rsidRPr="003B0D28">
        <w:rPr>
          <w:rFonts w:hint="cs"/>
          <w:b/>
          <w:bCs/>
          <w:sz w:val="20"/>
          <w:szCs w:val="20"/>
          <w:rtl/>
        </w:rPr>
        <w:t>פסיקת הלכה</w:t>
      </w:r>
      <w:r>
        <w:rPr>
          <w:b/>
          <w:bCs/>
          <w:sz w:val="20"/>
          <w:szCs w:val="20"/>
          <w:rtl/>
        </w:rPr>
        <w:br/>
      </w:r>
      <w:r w:rsidRPr="008A04AB">
        <w:rPr>
          <w:rFonts w:hint="cs"/>
          <w:b/>
          <w:bCs/>
          <w:sz w:val="20"/>
          <w:szCs w:val="20"/>
          <w:rtl/>
        </w:rPr>
        <w:t>שולחן ערוך</w:t>
      </w:r>
      <w:r w:rsidRPr="008A04AB">
        <w:rPr>
          <w:rFonts w:hint="cs"/>
          <w:sz w:val="20"/>
          <w:szCs w:val="20"/>
          <w:rtl/>
        </w:rPr>
        <w:t xml:space="preserve"> </w:t>
      </w:r>
      <w:r w:rsidRPr="008A04AB">
        <w:rPr>
          <w:sz w:val="20"/>
          <w:szCs w:val="20"/>
          <w:rtl/>
        </w:rPr>
        <w:t>–</w:t>
      </w:r>
      <w:r w:rsidRPr="008A04AB">
        <w:rPr>
          <w:rFonts w:hint="cs"/>
          <w:sz w:val="20"/>
          <w:szCs w:val="20"/>
          <w:rtl/>
        </w:rPr>
        <w:t xml:space="preserve"> </w:t>
      </w:r>
      <w:r w:rsidRPr="00B3633E">
        <w:rPr>
          <w:rFonts w:hint="cs"/>
          <w:sz w:val="20"/>
          <w:szCs w:val="20"/>
          <w:rtl/>
        </w:rPr>
        <w:t>"</w:t>
      </w:r>
      <w:r w:rsidRPr="00B3633E">
        <w:rPr>
          <w:rFonts w:cs="Arial" w:hint="cs"/>
          <w:sz w:val="20"/>
          <w:szCs w:val="20"/>
          <w:rtl/>
        </w:rPr>
        <w:t>רוב</w:t>
      </w:r>
      <w:r w:rsidRPr="00B3633E">
        <w:rPr>
          <w:rFonts w:cs="Arial"/>
          <w:sz w:val="20"/>
          <w:szCs w:val="20"/>
          <w:rtl/>
        </w:rPr>
        <w:t xml:space="preserve"> </w:t>
      </w:r>
      <w:r w:rsidRPr="00B3633E">
        <w:rPr>
          <w:rFonts w:cs="Arial" w:hint="cs"/>
          <w:sz w:val="20"/>
          <w:szCs w:val="20"/>
          <w:rtl/>
        </w:rPr>
        <w:t>הנשים</w:t>
      </w:r>
      <w:r w:rsidRPr="00B3633E">
        <w:rPr>
          <w:rFonts w:cs="Arial"/>
          <w:sz w:val="20"/>
          <w:szCs w:val="20"/>
          <w:rtl/>
        </w:rPr>
        <w:t xml:space="preserve"> </w:t>
      </w:r>
      <w:r w:rsidRPr="00B3633E">
        <w:rPr>
          <w:rFonts w:cs="Arial" w:hint="cs"/>
          <w:sz w:val="20"/>
          <w:szCs w:val="20"/>
          <w:rtl/>
        </w:rPr>
        <w:t>יש</w:t>
      </w:r>
      <w:r w:rsidRPr="00B3633E">
        <w:rPr>
          <w:rFonts w:cs="Arial"/>
          <w:sz w:val="20"/>
          <w:szCs w:val="20"/>
          <w:rtl/>
        </w:rPr>
        <w:t xml:space="preserve"> </w:t>
      </w:r>
      <w:r w:rsidRPr="00B3633E">
        <w:rPr>
          <w:rFonts w:cs="Arial" w:hint="cs"/>
          <w:sz w:val="20"/>
          <w:szCs w:val="20"/>
          <w:rtl/>
        </w:rPr>
        <w:t>להם</w:t>
      </w:r>
      <w:r w:rsidRPr="00B3633E">
        <w:rPr>
          <w:rFonts w:cs="Arial"/>
          <w:sz w:val="20"/>
          <w:szCs w:val="20"/>
          <w:rtl/>
        </w:rPr>
        <w:t xml:space="preserve"> </w:t>
      </w:r>
      <w:r w:rsidRPr="00B3633E">
        <w:rPr>
          <w:rFonts w:cs="Arial" w:hint="cs"/>
          <w:sz w:val="20"/>
          <w:szCs w:val="20"/>
          <w:rtl/>
        </w:rPr>
        <w:t>וסתות</w:t>
      </w:r>
      <w:r w:rsidRPr="00B3633E">
        <w:rPr>
          <w:rFonts w:cs="Arial"/>
          <w:sz w:val="20"/>
          <w:szCs w:val="20"/>
          <w:rtl/>
        </w:rPr>
        <w:t xml:space="preserve"> </w:t>
      </w:r>
      <w:r w:rsidRPr="00B3633E">
        <w:rPr>
          <w:rFonts w:cs="Arial"/>
          <w:sz w:val="18"/>
          <w:szCs w:val="18"/>
          <w:rtl/>
        </w:rPr>
        <w:t>(</w:t>
      </w:r>
      <w:r w:rsidRPr="00B3633E">
        <w:rPr>
          <w:rFonts w:cs="Arial" w:hint="cs"/>
          <w:sz w:val="18"/>
          <w:szCs w:val="18"/>
          <w:rtl/>
        </w:rPr>
        <w:t>פירוש</w:t>
      </w:r>
      <w:r w:rsidRPr="00B3633E">
        <w:rPr>
          <w:rFonts w:cs="Arial"/>
          <w:sz w:val="18"/>
          <w:szCs w:val="18"/>
          <w:rtl/>
        </w:rPr>
        <w:t xml:space="preserve"> </w:t>
      </w:r>
      <w:r w:rsidRPr="00B3633E">
        <w:rPr>
          <w:rFonts w:cs="Arial" w:hint="cs"/>
          <w:sz w:val="18"/>
          <w:szCs w:val="18"/>
          <w:rtl/>
        </w:rPr>
        <w:t>זמן</w:t>
      </w:r>
      <w:r w:rsidRPr="00B3633E">
        <w:rPr>
          <w:rFonts w:cs="Arial"/>
          <w:sz w:val="18"/>
          <w:szCs w:val="18"/>
          <w:rtl/>
        </w:rPr>
        <w:t xml:space="preserve"> </w:t>
      </w:r>
      <w:r w:rsidRPr="00B3633E">
        <w:rPr>
          <w:rFonts w:cs="Arial" w:hint="cs"/>
          <w:sz w:val="18"/>
          <w:szCs w:val="18"/>
          <w:rtl/>
        </w:rPr>
        <w:t>קבוע</w:t>
      </w:r>
      <w:r w:rsidRPr="00B3633E">
        <w:rPr>
          <w:rFonts w:cs="Arial"/>
          <w:sz w:val="18"/>
          <w:szCs w:val="18"/>
          <w:rtl/>
        </w:rPr>
        <w:t xml:space="preserve"> </w:t>
      </w:r>
      <w:r w:rsidRPr="00B3633E">
        <w:rPr>
          <w:rFonts w:cs="Arial" w:hint="cs"/>
          <w:sz w:val="18"/>
          <w:szCs w:val="18"/>
          <w:rtl/>
        </w:rPr>
        <w:t>אורח</w:t>
      </w:r>
      <w:r w:rsidRPr="00B3633E">
        <w:rPr>
          <w:rFonts w:cs="Arial"/>
          <w:sz w:val="18"/>
          <w:szCs w:val="18"/>
          <w:rtl/>
        </w:rPr>
        <w:t xml:space="preserve"> </w:t>
      </w:r>
      <w:r w:rsidRPr="00B3633E">
        <w:rPr>
          <w:rFonts w:cs="Arial" w:hint="cs"/>
          <w:sz w:val="18"/>
          <w:szCs w:val="18"/>
          <w:rtl/>
        </w:rPr>
        <w:t>כנשים</w:t>
      </w:r>
      <w:r w:rsidRPr="00B3633E">
        <w:rPr>
          <w:rFonts w:cs="Arial"/>
          <w:sz w:val="18"/>
          <w:szCs w:val="18"/>
          <w:rtl/>
        </w:rPr>
        <w:t xml:space="preserve">) </w:t>
      </w:r>
      <w:r w:rsidRPr="00B3633E">
        <w:rPr>
          <w:rFonts w:cs="Arial" w:hint="cs"/>
          <w:sz w:val="20"/>
          <w:szCs w:val="20"/>
          <w:rtl/>
        </w:rPr>
        <w:t>לראות</w:t>
      </w:r>
      <w:r w:rsidRPr="00B3633E">
        <w:rPr>
          <w:rFonts w:cs="Arial"/>
          <w:sz w:val="20"/>
          <w:szCs w:val="20"/>
          <w:rtl/>
        </w:rPr>
        <w:t xml:space="preserve"> </w:t>
      </w:r>
      <w:r w:rsidRPr="00B3633E">
        <w:rPr>
          <w:rFonts w:cs="Arial" w:hint="cs"/>
          <w:sz w:val="20"/>
          <w:szCs w:val="20"/>
          <w:rtl/>
        </w:rPr>
        <w:t>בזמן</w:t>
      </w:r>
      <w:r w:rsidRPr="00B3633E">
        <w:rPr>
          <w:rFonts w:cs="Arial"/>
          <w:sz w:val="20"/>
          <w:szCs w:val="20"/>
          <w:rtl/>
        </w:rPr>
        <w:t xml:space="preserve"> </w:t>
      </w:r>
      <w:r w:rsidRPr="00B3633E">
        <w:rPr>
          <w:rFonts w:cs="Arial" w:hint="cs"/>
          <w:sz w:val="20"/>
          <w:szCs w:val="20"/>
          <w:rtl/>
        </w:rPr>
        <w:t>ידוע</w:t>
      </w:r>
      <w:r w:rsidRPr="00B3633E">
        <w:rPr>
          <w:rFonts w:cs="Arial"/>
          <w:sz w:val="20"/>
          <w:szCs w:val="20"/>
          <w:rtl/>
        </w:rPr>
        <w:t xml:space="preserve">, </w:t>
      </w:r>
      <w:r w:rsidRPr="00B3633E">
        <w:rPr>
          <w:rFonts w:cs="Arial" w:hint="cs"/>
          <w:sz w:val="20"/>
          <w:szCs w:val="20"/>
          <w:rtl/>
        </w:rPr>
        <w:t>כגון</w:t>
      </w:r>
      <w:r w:rsidRPr="00B3633E">
        <w:rPr>
          <w:rFonts w:cs="Arial"/>
          <w:sz w:val="20"/>
          <w:szCs w:val="20"/>
          <w:rtl/>
        </w:rPr>
        <w:t xml:space="preserve"> </w:t>
      </w:r>
      <w:r w:rsidRPr="00B3633E">
        <w:rPr>
          <w:rFonts w:cs="Arial" w:hint="cs"/>
          <w:sz w:val="20"/>
          <w:szCs w:val="20"/>
          <w:rtl/>
        </w:rPr>
        <w:t>מעשרים</w:t>
      </w:r>
      <w:r w:rsidRPr="00B3633E">
        <w:rPr>
          <w:rFonts w:cs="Arial"/>
          <w:sz w:val="20"/>
          <w:szCs w:val="20"/>
          <w:rtl/>
        </w:rPr>
        <w:t xml:space="preserve"> </w:t>
      </w:r>
      <w:r w:rsidRPr="00B3633E">
        <w:rPr>
          <w:rFonts w:cs="Arial" w:hint="cs"/>
          <w:sz w:val="20"/>
          <w:szCs w:val="20"/>
          <w:rtl/>
        </w:rPr>
        <w:t>לעשרים</w:t>
      </w:r>
      <w:r w:rsidRPr="00B3633E">
        <w:rPr>
          <w:rFonts w:cs="Arial"/>
          <w:sz w:val="20"/>
          <w:szCs w:val="20"/>
          <w:rtl/>
        </w:rPr>
        <w:t xml:space="preserve"> </w:t>
      </w:r>
      <w:r w:rsidRPr="00B3633E">
        <w:rPr>
          <w:rFonts w:cs="Arial" w:hint="cs"/>
          <w:sz w:val="20"/>
          <w:szCs w:val="20"/>
          <w:rtl/>
        </w:rPr>
        <w:t>יום</w:t>
      </w:r>
      <w:r w:rsidRPr="00B3633E">
        <w:rPr>
          <w:rFonts w:cs="Arial"/>
          <w:sz w:val="20"/>
          <w:szCs w:val="20"/>
          <w:rtl/>
        </w:rPr>
        <w:t xml:space="preserve"> </w:t>
      </w:r>
      <w:r w:rsidRPr="00B3633E">
        <w:rPr>
          <w:rFonts w:cs="Arial" w:hint="cs"/>
          <w:sz w:val="20"/>
          <w:szCs w:val="20"/>
          <w:rtl/>
        </w:rPr>
        <w:t>או</w:t>
      </w:r>
      <w:r w:rsidRPr="00B3633E">
        <w:rPr>
          <w:rFonts w:cs="Arial"/>
          <w:sz w:val="20"/>
          <w:szCs w:val="20"/>
          <w:rtl/>
        </w:rPr>
        <w:t xml:space="preserve"> </w:t>
      </w:r>
      <w:r w:rsidRPr="00B3633E">
        <w:rPr>
          <w:rFonts w:cs="Arial" w:hint="cs"/>
          <w:sz w:val="20"/>
          <w:szCs w:val="20"/>
          <w:rtl/>
        </w:rPr>
        <w:t>משלשים</w:t>
      </w:r>
      <w:r w:rsidRPr="00B3633E">
        <w:rPr>
          <w:rFonts w:cs="Arial"/>
          <w:sz w:val="20"/>
          <w:szCs w:val="20"/>
          <w:rtl/>
        </w:rPr>
        <w:t xml:space="preserve"> </w:t>
      </w:r>
      <w:r w:rsidRPr="00B3633E">
        <w:rPr>
          <w:rFonts w:cs="Arial" w:hint="cs"/>
          <w:sz w:val="20"/>
          <w:szCs w:val="20"/>
          <w:rtl/>
        </w:rPr>
        <w:t>לשל</w:t>
      </w:r>
      <w:r>
        <w:rPr>
          <w:rFonts w:cs="Arial" w:hint="cs"/>
          <w:sz w:val="20"/>
          <w:szCs w:val="20"/>
          <w:rtl/>
        </w:rPr>
        <w:t>ו</w:t>
      </w:r>
      <w:r w:rsidRPr="00B3633E">
        <w:rPr>
          <w:rFonts w:cs="Arial" w:hint="cs"/>
          <w:sz w:val="20"/>
          <w:szCs w:val="20"/>
          <w:rtl/>
        </w:rPr>
        <w:t>שים</w:t>
      </w:r>
      <w:r w:rsidRPr="00B3633E">
        <w:rPr>
          <w:rFonts w:cs="Arial"/>
          <w:sz w:val="20"/>
          <w:szCs w:val="20"/>
          <w:rtl/>
        </w:rPr>
        <w:t xml:space="preserve"> </w:t>
      </w:r>
      <w:r w:rsidRPr="00B3633E">
        <w:rPr>
          <w:rFonts w:cs="Arial" w:hint="cs"/>
          <w:sz w:val="20"/>
          <w:szCs w:val="20"/>
          <w:rtl/>
        </w:rPr>
        <w:t>יום</w:t>
      </w:r>
      <w:r w:rsidRPr="00B3633E">
        <w:rPr>
          <w:rFonts w:cs="Arial"/>
          <w:sz w:val="20"/>
          <w:szCs w:val="20"/>
          <w:rtl/>
        </w:rPr>
        <w:t xml:space="preserve">, </w:t>
      </w:r>
      <w:r w:rsidRPr="00B3633E">
        <w:rPr>
          <w:rFonts w:cs="Arial" w:hint="cs"/>
          <w:sz w:val="20"/>
          <w:szCs w:val="20"/>
          <w:rtl/>
        </w:rPr>
        <w:t>וכל</w:t>
      </w:r>
      <w:r w:rsidRPr="00B3633E">
        <w:rPr>
          <w:rFonts w:cs="Arial"/>
          <w:sz w:val="20"/>
          <w:szCs w:val="20"/>
          <w:rtl/>
        </w:rPr>
        <w:t xml:space="preserve"> </w:t>
      </w:r>
      <w:r w:rsidRPr="00B3633E">
        <w:rPr>
          <w:rFonts w:cs="Arial" w:hint="cs"/>
          <w:sz w:val="20"/>
          <w:szCs w:val="20"/>
          <w:rtl/>
        </w:rPr>
        <w:t>אשה</w:t>
      </w:r>
      <w:r w:rsidRPr="00B3633E">
        <w:rPr>
          <w:rFonts w:cs="Arial"/>
          <w:sz w:val="20"/>
          <w:szCs w:val="20"/>
          <w:rtl/>
        </w:rPr>
        <w:t xml:space="preserve"> </w:t>
      </w:r>
      <w:r w:rsidRPr="00B3633E">
        <w:rPr>
          <w:rFonts w:cs="Arial" w:hint="cs"/>
          <w:sz w:val="20"/>
          <w:szCs w:val="20"/>
          <w:rtl/>
        </w:rPr>
        <w:t>שיש</w:t>
      </w:r>
      <w:r w:rsidRPr="00B3633E">
        <w:rPr>
          <w:rFonts w:cs="Arial"/>
          <w:sz w:val="20"/>
          <w:szCs w:val="20"/>
          <w:rtl/>
        </w:rPr>
        <w:t xml:space="preserve"> </w:t>
      </w:r>
      <w:r w:rsidRPr="00B3633E">
        <w:rPr>
          <w:rFonts w:cs="Arial" w:hint="cs"/>
          <w:sz w:val="20"/>
          <w:szCs w:val="20"/>
          <w:rtl/>
        </w:rPr>
        <w:t>לה</w:t>
      </w:r>
      <w:r w:rsidRPr="00B3633E">
        <w:rPr>
          <w:rFonts w:cs="Arial"/>
          <w:sz w:val="20"/>
          <w:szCs w:val="20"/>
          <w:rtl/>
        </w:rPr>
        <w:t xml:space="preserve"> </w:t>
      </w:r>
      <w:r w:rsidRPr="00B3633E">
        <w:rPr>
          <w:rFonts w:cs="Arial" w:hint="cs"/>
          <w:sz w:val="20"/>
          <w:szCs w:val="20"/>
          <w:rtl/>
        </w:rPr>
        <w:t>וסת</w:t>
      </w:r>
      <w:r w:rsidRPr="00B3633E">
        <w:rPr>
          <w:rFonts w:cs="Arial"/>
          <w:sz w:val="20"/>
          <w:szCs w:val="20"/>
          <w:rtl/>
        </w:rPr>
        <w:t xml:space="preserve"> </w:t>
      </w:r>
      <w:r w:rsidRPr="00B3633E">
        <w:rPr>
          <w:rFonts w:cs="Arial" w:hint="cs"/>
          <w:sz w:val="20"/>
          <w:szCs w:val="20"/>
          <w:rtl/>
        </w:rPr>
        <w:t>קבוע</w:t>
      </w:r>
      <w:r w:rsidRPr="00B3633E">
        <w:rPr>
          <w:rFonts w:cs="Arial"/>
          <w:sz w:val="20"/>
          <w:szCs w:val="20"/>
          <w:rtl/>
        </w:rPr>
        <w:t xml:space="preserve">, </w:t>
      </w:r>
      <w:r w:rsidRPr="00B3633E">
        <w:rPr>
          <w:rFonts w:cs="Arial" w:hint="cs"/>
          <w:sz w:val="20"/>
          <w:szCs w:val="20"/>
          <w:rtl/>
        </w:rPr>
        <w:t>בא</w:t>
      </w:r>
      <w:r w:rsidRPr="00B3633E">
        <w:rPr>
          <w:rFonts w:cs="Arial"/>
          <w:sz w:val="20"/>
          <w:szCs w:val="20"/>
          <w:rtl/>
        </w:rPr>
        <w:t xml:space="preserve"> </w:t>
      </w:r>
      <w:r w:rsidRPr="00B3633E">
        <w:rPr>
          <w:rFonts w:cs="Arial" w:hint="cs"/>
          <w:sz w:val="20"/>
          <w:szCs w:val="20"/>
          <w:rtl/>
        </w:rPr>
        <w:t>עליה</w:t>
      </w:r>
      <w:r w:rsidRPr="00B3633E">
        <w:rPr>
          <w:rFonts w:cs="Arial"/>
          <w:sz w:val="20"/>
          <w:szCs w:val="20"/>
          <w:rtl/>
        </w:rPr>
        <w:t xml:space="preserve"> </w:t>
      </w:r>
      <w:r w:rsidRPr="00B3633E">
        <w:rPr>
          <w:rFonts w:cs="Arial" w:hint="cs"/>
          <w:sz w:val="20"/>
          <w:szCs w:val="20"/>
          <w:rtl/>
        </w:rPr>
        <w:t>שלא</w:t>
      </w:r>
      <w:r w:rsidRPr="00B3633E">
        <w:rPr>
          <w:rFonts w:cs="Arial"/>
          <w:sz w:val="20"/>
          <w:szCs w:val="20"/>
          <w:rtl/>
        </w:rPr>
        <w:t xml:space="preserve"> </w:t>
      </w:r>
      <w:r w:rsidRPr="00B3633E">
        <w:rPr>
          <w:rFonts w:cs="Arial" w:hint="cs"/>
          <w:sz w:val="20"/>
          <w:szCs w:val="20"/>
          <w:rtl/>
        </w:rPr>
        <w:t>בשעת</w:t>
      </w:r>
      <w:r w:rsidRPr="00B3633E">
        <w:rPr>
          <w:rFonts w:cs="Arial"/>
          <w:sz w:val="20"/>
          <w:szCs w:val="20"/>
          <w:rtl/>
        </w:rPr>
        <w:t xml:space="preserve"> </w:t>
      </w:r>
      <w:r w:rsidRPr="00B3633E">
        <w:rPr>
          <w:rFonts w:cs="Arial" w:hint="cs"/>
          <w:sz w:val="20"/>
          <w:szCs w:val="20"/>
          <w:rtl/>
        </w:rPr>
        <w:t>וסתה</w:t>
      </w:r>
      <w:r w:rsidRPr="00B3633E">
        <w:rPr>
          <w:rFonts w:cs="Arial"/>
          <w:sz w:val="20"/>
          <w:szCs w:val="20"/>
          <w:rtl/>
        </w:rPr>
        <w:t xml:space="preserve"> </w:t>
      </w:r>
      <w:r w:rsidRPr="00B3633E">
        <w:rPr>
          <w:rFonts w:cs="Arial" w:hint="cs"/>
          <w:sz w:val="20"/>
          <w:szCs w:val="20"/>
          <w:rtl/>
        </w:rPr>
        <w:t>ואינה</w:t>
      </w:r>
      <w:r w:rsidRPr="00B3633E">
        <w:rPr>
          <w:rFonts w:cs="Arial"/>
          <w:sz w:val="20"/>
          <w:szCs w:val="20"/>
          <w:rtl/>
        </w:rPr>
        <w:t xml:space="preserve"> </w:t>
      </w:r>
      <w:r w:rsidRPr="00B3633E">
        <w:rPr>
          <w:rFonts w:cs="Arial" w:hint="cs"/>
          <w:sz w:val="20"/>
          <w:szCs w:val="20"/>
          <w:rtl/>
        </w:rPr>
        <w:t>צריכה</w:t>
      </w:r>
      <w:r w:rsidRPr="00B3633E">
        <w:rPr>
          <w:rFonts w:cs="Arial"/>
          <w:sz w:val="20"/>
          <w:szCs w:val="20"/>
          <w:rtl/>
        </w:rPr>
        <w:t xml:space="preserve"> </w:t>
      </w:r>
      <w:r w:rsidRPr="00B3633E">
        <w:rPr>
          <w:rFonts w:cs="Arial" w:hint="cs"/>
          <w:sz w:val="20"/>
          <w:szCs w:val="20"/>
          <w:rtl/>
        </w:rPr>
        <w:t>בדיקה</w:t>
      </w:r>
      <w:r w:rsidRPr="00B3633E">
        <w:rPr>
          <w:rFonts w:cs="Arial"/>
          <w:sz w:val="20"/>
          <w:szCs w:val="20"/>
          <w:rtl/>
        </w:rPr>
        <w:t xml:space="preserve"> </w:t>
      </w:r>
      <w:r w:rsidRPr="00B3633E">
        <w:rPr>
          <w:rFonts w:cs="Arial" w:hint="cs"/>
          <w:sz w:val="20"/>
          <w:szCs w:val="20"/>
          <w:rtl/>
        </w:rPr>
        <w:t>לפני</w:t>
      </w:r>
      <w:r w:rsidRPr="00B3633E">
        <w:rPr>
          <w:rFonts w:cs="Arial"/>
          <w:sz w:val="20"/>
          <w:szCs w:val="20"/>
          <w:rtl/>
        </w:rPr>
        <w:t xml:space="preserve"> </w:t>
      </w:r>
      <w:r w:rsidRPr="00B3633E">
        <w:rPr>
          <w:rFonts w:cs="Arial" w:hint="cs"/>
          <w:sz w:val="20"/>
          <w:szCs w:val="20"/>
          <w:rtl/>
        </w:rPr>
        <w:t>תשמיש</w:t>
      </w:r>
      <w:r w:rsidRPr="00B3633E">
        <w:rPr>
          <w:rFonts w:cs="Arial"/>
          <w:sz w:val="20"/>
          <w:szCs w:val="20"/>
          <w:rtl/>
        </w:rPr>
        <w:t>.</w:t>
      </w:r>
      <w:r>
        <w:rPr>
          <w:rFonts w:cs="Arial" w:hint="cs"/>
          <w:sz w:val="20"/>
          <w:szCs w:val="20"/>
          <w:rtl/>
        </w:rPr>
        <w:t xml:space="preserve"> </w:t>
      </w:r>
      <w:r w:rsidRPr="00B3633E">
        <w:rPr>
          <w:rFonts w:cs="Arial" w:hint="cs"/>
          <w:sz w:val="18"/>
          <w:szCs w:val="18"/>
          <w:rtl/>
        </w:rPr>
        <w:t>הגה</w:t>
      </w:r>
      <w:r w:rsidRPr="00B3633E">
        <w:rPr>
          <w:rFonts w:cs="Arial"/>
          <w:sz w:val="18"/>
          <w:szCs w:val="18"/>
          <w:rtl/>
        </w:rPr>
        <w:t xml:space="preserve">: </w:t>
      </w:r>
      <w:r w:rsidRPr="00B3633E">
        <w:rPr>
          <w:rFonts w:cs="Arial" w:hint="cs"/>
          <w:sz w:val="18"/>
          <w:szCs w:val="18"/>
          <w:rtl/>
        </w:rPr>
        <w:t>גם</w:t>
      </w:r>
      <w:r w:rsidRPr="00B3633E">
        <w:rPr>
          <w:rFonts w:cs="Arial"/>
          <w:sz w:val="18"/>
          <w:szCs w:val="18"/>
          <w:rtl/>
        </w:rPr>
        <w:t xml:space="preserve"> </w:t>
      </w:r>
      <w:r w:rsidRPr="00B3633E">
        <w:rPr>
          <w:rFonts w:cs="Arial" w:hint="cs"/>
          <w:sz w:val="18"/>
          <w:szCs w:val="18"/>
          <w:rtl/>
        </w:rPr>
        <w:t>אין</w:t>
      </w:r>
      <w:r w:rsidRPr="00B3633E">
        <w:rPr>
          <w:rFonts w:cs="Arial"/>
          <w:sz w:val="18"/>
          <w:szCs w:val="18"/>
          <w:rtl/>
        </w:rPr>
        <w:t xml:space="preserve"> </w:t>
      </w:r>
      <w:r w:rsidRPr="00B3633E">
        <w:rPr>
          <w:rFonts w:cs="Arial" w:hint="cs"/>
          <w:sz w:val="18"/>
          <w:szCs w:val="18"/>
          <w:rtl/>
        </w:rPr>
        <w:t>לה</w:t>
      </w:r>
      <w:r w:rsidRPr="00B3633E">
        <w:rPr>
          <w:rFonts w:cs="Arial"/>
          <w:sz w:val="18"/>
          <w:szCs w:val="18"/>
          <w:rtl/>
        </w:rPr>
        <w:t xml:space="preserve"> </w:t>
      </w:r>
      <w:r w:rsidRPr="00B3633E">
        <w:rPr>
          <w:rFonts w:cs="Arial" w:hint="cs"/>
          <w:sz w:val="18"/>
          <w:szCs w:val="18"/>
          <w:rtl/>
        </w:rPr>
        <w:t>להחמיר</w:t>
      </w:r>
      <w:r w:rsidRPr="00B3633E">
        <w:rPr>
          <w:rFonts w:cs="Arial"/>
          <w:sz w:val="18"/>
          <w:szCs w:val="18"/>
          <w:rtl/>
        </w:rPr>
        <w:t xml:space="preserve"> </w:t>
      </w:r>
      <w:r w:rsidRPr="00B3633E">
        <w:rPr>
          <w:rFonts w:cs="Arial" w:hint="cs"/>
          <w:sz w:val="18"/>
          <w:szCs w:val="18"/>
          <w:rtl/>
        </w:rPr>
        <w:t>לבדוק</w:t>
      </w:r>
      <w:r w:rsidRPr="00B3633E">
        <w:rPr>
          <w:rFonts w:cs="Arial"/>
          <w:sz w:val="18"/>
          <w:szCs w:val="18"/>
          <w:rtl/>
        </w:rPr>
        <w:t xml:space="preserve"> </w:t>
      </w:r>
      <w:r w:rsidRPr="00B3633E">
        <w:rPr>
          <w:rFonts w:cs="Arial" w:hint="cs"/>
          <w:sz w:val="18"/>
          <w:szCs w:val="18"/>
          <w:rtl/>
        </w:rPr>
        <w:t>עצמה</w:t>
      </w:r>
      <w:r w:rsidRPr="00B3633E">
        <w:rPr>
          <w:rFonts w:cs="Arial"/>
          <w:sz w:val="18"/>
          <w:szCs w:val="18"/>
          <w:rtl/>
        </w:rPr>
        <w:t xml:space="preserve">, </w:t>
      </w:r>
      <w:r w:rsidRPr="00B3633E">
        <w:rPr>
          <w:rFonts w:cs="Arial" w:hint="cs"/>
          <w:sz w:val="18"/>
          <w:szCs w:val="18"/>
          <w:rtl/>
        </w:rPr>
        <w:t>לא</w:t>
      </w:r>
      <w:r w:rsidRPr="00B3633E">
        <w:rPr>
          <w:rFonts w:cs="Arial"/>
          <w:sz w:val="18"/>
          <w:szCs w:val="18"/>
          <w:rtl/>
        </w:rPr>
        <w:t xml:space="preserve"> </w:t>
      </w:r>
      <w:r w:rsidRPr="00B3633E">
        <w:rPr>
          <w:rFonts w:cs="Arial" w:hint="cs"/>
          <w:sz w:val="18"/>
          <w:szCs w:val="18"/>
          <w:rtl/>
        </w:rPr>
        <w:t>לפני</w:t>
      </w:r>
      <w:r w:rsidRPr="00B3633E">
        <w:rPr>
          <w:rFonts w:cs="Arial"/>
          <w:sz w:val="18"/>
          <w:szCs w:val="18"/>
          <w:rtl/>
        </w:rPr>
        <w:t xml:space="preserve"> </w:t>
      </w:r>
      <w:r w:rsidRPr="00B3633E">
        <w:rPr>
          <w:rFonts w:cs="Arial" w:hint="cs"/>
          <w:sz w:val="18"/>
          <w:szCs w:val="18"/>
          <w:rtl/>
        </w:rPr>
        <w:t>תשמיש</w:t>
      </w:r>
      <w:r w:rsidRPr="00B3633E">
        <w:rPr>
          <w:rFonts w:cs="Arial"/>
          <w:sz w:val="18"/>
          <w:szCs w:val="18"/>
          <w:rtl/>
        </w:rPr>
        <w:t xml:space="preserve"> </w:t>
      </w:r>
      <w:r w:rsidRPr="00B3633E">
        <w:rPr>
          <w:rFonts w:cs="Arial" w:hint="cs"/>
          <w:sz w:val="18"/>
          <w:szCs w:val="18"/>
          <w:rtl/>
        </w:rPr>
        <w:t>ולא</w:t>
      </w:r>
      <w:r w:rsidRPr="00B3633E">
        <w:rPr>
          <w:rFonts w:cs="Arial"/>
          <w:sz w:val="18"/>
          <w:szCs w:val="18"/>
          <w:rtl/>
        </w:rPr>
        <w:t xml:space="preserve"> </w:t>
      </w:r>
      <w:r w:rsidRPr="00B3633E">
        <w:rPr>
          <w:rFonts w:cs="Arial" w:hint="cs"/>
          <w:sz w:val="18"/>
          <w:szCs w:val="18"/>
          <w:rtl/>
        </w:rPr>
        <w:t>לאחר</w:t>
      </w:r>
      <w:r w:rsidRPr="00B3633E">
        <w:rPr>
          <w:rFonts w:cs="Arial"/>
          <w:sz w:val="18"/>
          <w:szCs w:val="18"/>
          <w:rtl/>
        </w:rPr>
        <w:t xml:space="preserve"> </w:t>
      </w:r>
      <w:r w:rsidRPr="00B3633E">
        <w:rPr>
          <w:rFonts w:cs="Arial" w:hint="cs"/>
          <w:sz w:val="18"/>
          <w:szCs w:val="18"/>
          <w:rtl/>
        </w:rPr>
        <w:t>תשמיש</w:t>
      </w:r>
      <w:r w:rsidRPr="00B3633E">
        <w:rPr>
          <w:rFonts w:cs="Arial"/>
          <w:sz w:val="18"/>
          <w:szCs w:val="18"/>
          <w:rtl/>
        </w:rPr>
        <w:t xml:space="preserve">, </w:t>
      </w:r>
      <w:r w:rsidRPr="00B3633E">
        <w:rPr>
          <w:rFonts w:cs="Arial" w:hint="cs"/>
          <w:sz w:val="18"/>
          <w:szCs w:val="18"/>
          <w:rtl/>
        </w:rPr>
        <w:t>שלא</w:t>
      </w:r>
      <w:r w:rsidRPr="00B3633E">
        <w:rPr>
          <w:rFonts w:cs="Arial"/>
          <w:sz w:val="18"/>
          <w:szCs w:val="18"/>
          <w:rtl/>
        </w:rPr>
        <w:t xml:space="preserve"> </w:t>
      </w:r>
      <w:r w:rsidRPr="00B3633E">
        <w:rPr>
          <w:rFonts w:cs="Arial" w:hint="cs"/>
          <w:sz w:val="18"/>
          <w:szCs w:val="18"/>
          <w:rtl/>
        </w:rPr>
        <w:t>יהא</w:t>
      </w:r>
      <w:r w:rsidRPr="00B3633E">
        <w:rPr>
          <w:rFonts w:cs="Arial"/>
          <w:sz w:val="18"/>
          <w:szCs w:val="18"/>
          <w:rtl/>
        </w:rPr>
        <w:t xml:space="preserve"> </w:t>
      </w:r>
      <w:r w:rsidRPr="00B3633E">
        <w:rPr>
          <w:rFonts w:cs="Arial" w:hint="cs"/>
          <w:sz w:val="18"/>
          <w:szCs w:val="18"/>
          <w:rtl/>
        </w:rPr>
        <w:t>לבו</w:t>
      </w:r>
      <w:r w:rsidRPr="00B3633E">
        <w:rPr>
          <w:rFonts w:cs="Arial"/>
          <w:sz w:val="18"/>
          <w:szCs w:val="18"/>
          <w:rtl/>
        </w:rPr>
        <w:t xml:space="preserve"> </w:t>
      </w:r>
      <w:r w:rsidRPr="00B3633E">
        <w:rPr>
          <w:rFonts w:cs="Arial" w:hint="cs"/>
          <w:sz w:val="18"/>
          <w:szCs w:val="18"/>
          <w:rtl/>
        </w:rPr>
        <w:t>נוקפו</w:t>
      </w:r>
      <w:r w:rsidRPr="00B3633E">
        <w:rPr>
          <w:rFonts w:cs="Arial"/>
          <w:sz w:val="18"/>
          <w:szCs w:val="18"/>
          <w:rtl/>
        </w:rPr>
        <w:t xml:space="preserve"> </w:t>
      </w:r>
      <w:r w:rsidRPr="00B3633E">
        <w:rPr>
          <w:rFonts w:cs="Arial" w:hint="cs"/>
          <w:sz w:val="18"/>
          <w:szCs w:val="18"/>
          <w:rtl/>
        </w:rPr>
        <w:t>ופורש</w:t>
      </w:r>
      <w:r w:rsidRPr="00B3633E">
        <w:rPr>
          <w:rFonts w:cs="Arial"/>
          <w:sz w:val="20"/>
          <w:szCs w:val="20"/>
          <w:rtl/>
        </w:rPr>
        <w:t xml:space="preserve">. </w:t>
      </w:r>
      <w:r w:rsidRPr="00B3633E">
        <w:rPr>
          <w:rFonts w:cs="Arial" w:hint="cs"/>
          <w:sz w:val="20"/>
          <w:szCs w:val="20"/>
          <w:rtl/>
        </w:rPr>
        <w:t>אבל</w:t>
      </w:r>
      <w:r w:rsidRPr="00B3633E">
        <w:rPr>
          <w:rFonts w:cs="Arial"/>
          <w:sz w:val="20"/>
          <w:szCs w:val="20"/>
          <w:rtl/>
        </w:rPr>
        <w:t xml:space="preserve"> </w:t>
      </w:r>
      <w:r w:rsidRPr="00B3633E">
        <w:rPr>
          <w:rFonts w:cs="Arial" w:hint="cs"/>
          <w:sz w:val="20"/>
          <w:szCs w:val="20"/>
          <w:rtl/>
        </w:rPr>
        <w:t>שלא</w:t>
      </w:r>
      <w:r w:rsidRPr="00B3633E">
        <w:rPr>
          <w:rFonts w:cs="Arial"/>
          <w:sz w:val="20"/>
          <w:szCs w:val="20"/>
          <w:rtl/>
        </w:rPr>
        <w:t xml:space="preserve"> </w:t>
      </w:r>
      <w:r w:rsidRPr="00B3633E">
        <w:rPr>
          <w:rFonts w:cs="Arial" w:hint="cs"/>
          <w:sz w:val="20"/>
          <w:szCs w:val="20"/>
          <w:rtl/>
        </w:rPr>
        <w:t>בשעת</w:t>
      </w:r>
      <w:r w:rsidRPr="00B3633E">
        <w:rPr>
          <w:rFonts w:cs="Arial"/>
          <w:sz w:val="20"/>
          <w:szCs w:val="20"/>
          <w:rtl/>
        </w:rPr>
        <w:t xml:space="preserve"> </w:t>
      </w:r>
      <w:r w:rsidRPr="00B3633E">
        <w:rPr>
          <w:rFonts w:cs="Arial" w:hint="cs"/>
          <w:sz w:val="20"/>
          <w:szCs w:val="20"/>
          <w:rtl/>
        </w:rPr>
        <w:t>תשמיש</w:t>
      </w:r>
      <w:r w:rsidRPr="00B3633E">
        <w:rPr>
          <w:rFonts w:cs="Arial"/>
          <w:sz w:val="20"/>
          <w:szCs w:val="20"/>
          <w:rtl/>
        </w:rPr>
        <w:t xml:space="preserve">, </w:t>
      </w:r>
      <w:r w:rsidRPr="00B3633E">
        <w:rPr>
          <w:rFonts w:cs="Arial" w:hint="cs"/>
          <w:sz w:val="20"/>
          <w:szCs w:val="20"/>
          <w:rtl/>
        </w:rPr>
        <w:t>כל</w:t>
      </w:r>
      <w:r w:rsidRPr="00B3633E">
        <w:rPr>
          <w:rFonts w:cs="Arial"/>
          <w:sz w:val="20"/>
          <w:szCs w:val="20"/>
          <w:rtl/>
        </w:rPr>
        <w:t xml:space="preserve"> </w:t>
      </w:r>
      <w:r w:rsidRPr="00B3633E">
        <w:rPr>
          <w:rFonts w:cs="Arial" w:hint="cs"/>
          <w:sz w:val="20"/>
          <w:szCs w:val="20"/>
          <w:rtl/>
        </w:rPr>
        <w:t>המרבה</w:t>
      </w:r>
      <w:r w:rsidRPr="00B3633E">
        <w:rPr>
          <w:rFonts w:cs="Arial"/>
          <w:sz w:val="20"/>
          <w:szCs w:val="20"/>
          <w:rtl/>
        </w:rPr>
        <w:t xml:space="preserve"> </w:t>
      </w:r>
      <w:r w:rsidRPr="00B3633E">
        <w:rPr>
          <w:rFonts w:cs="Arial" w:hint="cs"/>
          <w:sz w:val="20"/>
          <w:szCs w:val="20"/>
          <w:rtl/>
        </w:rPr>
        <w:t>לבדוק</w:t>
      </w:r>
      <w:r w:rsidRPr="00B3633E">
        <w:rPr>
          <w:rFonts w:cs="Arial"/>
          <w:sz w:val="20"/>
          <w:szCs w:val="20"/>
          <w:rtl/>
        </w:rPr>
        <w:t xml:space="preserve"> </w:t>
      </w:r>
      <w:r w:rsidRPr="00B3633E">
        <w:rPr>
          <w:rFonts w:cs="Arial" w:hint="cs"/>
          <w:sz w:val="20"/>
          <w:szCs w:val="20"/>
          <w:rtl/>
        </w:rPr>
        <w:t>הרי</w:t>
      </w:r>
      <w:r w:rsidRPr="00B3633E">
        <w:rPr>
          <w:rFonts w:cs="Arial"/>
          <w:sz w:val="20"/>
          <w:szCs w:val="20"/>
          <w:rtl/>
        </w:rPr>
        <w:t xml:space="preserve"> </w:t>
      </w:r>
      <w:r w:rsidRPr="00B3633E">
        <w:rPr>
          <w:rFonts w:cs="Arial" w:hint="cs"/>
          <w:sz w:val="20"/>
          <w:szCs w:val="20"/>
          <w:rtl/>
        </w:rPr>
        <w:t>זו</w:t>
      </w:r>
      <w:r w:rsidRPr="00B3633E">
        <w:rPr>
          <w:rFonts w:cs="Arial"/>
          <w:sz w:val="20"/>
          <w:szCs w:val="20"/>
          <w:rtl/>
        </w:rPr>
        <w:t xml:space="preserve"> </w:t>
      </w:r>
      <w:r w:rsidRPr="00B3633E">
        <w:rPr>
          <w:rFonts w:cs="Arial" w:hint="cs"/>
          <w:sz w:val="20"/>
          <w:szCs w:val="20"/>
          <w:rtl/>
        </w:rPr>
        <w:t>משובחת</w:t>
      </w:r>
      <w:r>
        <w:rPr>
          <w:rFonts w:cs="Arial"/>
          <w:sz w:val="20"/>
          <w:szCs w:val="20"/>
          <w:rtl/>
        </w:rPr>
        <w:t>".</w:t>
      </w:r>
    </w:p>
    <w:p w:rsidR="00620060" w:rsidRDefault="00620060" w:rsidP="00620060">
      <w:pPr>
        <w:rPr>
          <w:sz w:val="20"/>
          <w:szCs w:val="20"/>
          <w:rtl/>
        </w:rPr>
      </w:pPr>
      <w:r>
        <w:rPr>
          <w:rFonts w:hint="cs"/>
          <w:sz w:val="20"/>
          <w:szCs w:val="20"/>
          <w:u w:val="single"/>
          <w:rtl/>
        </w:rPr>
        <w:t>דין אשה שלא קבעה ווסת (פת"ש)</w:t>
      </w:r>
      <w:r>
        <w:rPr>
          <w:sz w:val="20"/>
          <w:szCs w:val="20"/>
          <w:u w:val="single"/>
          <w:rtl/>
        </w:rPr>
        <w:br/>
      </w:r>
      <w:r>
        <w:rPr>
          <w:rFonts w:hint="cs"/>
          <w:sz w:val="20"/>
          <w:szCs w:val="20"/>
          <w:rtl/>
        </w:rPr>
        <w:t xml:space="preserve">א. </w:t>
      </w:r>
      <w:r w:rsidRPr="00FF54A9">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אשה שלא קבעה ווסת, תוך ל' יום מקרי שלא בשעת ווסתה ואינה צריכה בדיקה.</w:t>
      </w:r>
      <w:r>
        <w:rPr>
          <w:sz w:val="20"/>
          <w:szCs w:val="20"/>
          <w:rtl/>
        </w:rPr>
        <w:br/>
      </w:r>
      <w:r>
        <w:rPr>
          <w:rFonts w:hint="cs"/>
          <w:sz w:val="20"/>
          <w:szCs w:val="20"/>
          <w:rtl/>
        </w:rPr>
        <w:t xml:space="preserve">ב. </w:t>
      </w:r>
      <w:r w:rsidRPr="00FF54A9">
        <w:rPr>
          <w:rFonts w:hint="cs"/>
          <w:b/>
          <w:bCs/>
          <w:sz w:val="20"/>
          <w:szCs w:val="20"/>
          <w:rtl/>
        </w:rPr>
        <w:t>כרתי ופלתי</w:t>
      </w:r>
      <w:r>
        <w:rPr>
          <w:rFonts w:hint="cs"/>
          <w:sz w:val="20"/>
          <w:szCs w:val="20"/>
          <w:rtl/>
        </w:rPr>
        <w:t xml:space="preserve"> </w:t>
      </w:r>
      <w:r>
        <w:rPr>
          <w:sz w:val="20"/>
          <w:szCs w:val="20"/>
          <w:rtl/>
        </w:rPr>
        <w:t>–</w:t>
      </w:r>
      <w:r>
        <w:rPr>
          <w:rFonts w:hint="cs"/>
          <w:sz w:val="20"/>
          <w:szCs w:val="20"/>
          <w:rtl/>
        </w:rPr>
        <w:t xml:space="preserve"> דברי הש"ך דחויים, וכוונת המחבר היא בדווקא לאשה שיש לה ווסת, אך אם אין לה ווסת מבואר לקמן בסימן קפו' שאין לבוא עליה בלא בדיקה. </w:t>
      </w:r>
      <w:r w:rsidRPr="00531A97">
        <w:rPr>
          <w:rFonts w:hint="cs"/>
          <w:sz w:val="18"/>
          <w:szCs w:val="18"/>
          <w:rtl/>
        </w:rPr>
        <w:t>(והוסיף שכך מבואר בכל הש"ס שאישה שאין לה ווסת צריכה בדיקה, ולא מהני עונה בינונית לפטרה מבדיקה).</w:t>
      </w:r>
      <w:r>
        <w:rPr>
          <w:sz w:val="20"/>
          <w:szCs w:val="20"/>
          <w:rtl/>
        </w:rPr>
        <w:br/>
      </w:r>
      <w:r>
        <w:rPr>
          <w:rFonts w:hint="cs"/>
          <w:sz w:val="20"/>
          <w:szCs w:val="20"/>
          <w:rtl/>
        </w:rPr>
        <w:t xml:space="preserve">ג. </w:t>
      </w:r>
      <w:r w:rsidRPr="00FF54A9">
        <w:rPr>
          <w:rFonts w:hint="cs"/>
          <w:b/>
          <w:bCs/>
          <w:sz w:val="20"/>
          <w:szCs w:val="20"/>
          <w:rtl/>
        </w:rPr>
        <w:t>הכרעת החוות דעת</w:t>
      </w:r>
      <w:r>
        <w:rPr>
          <w:rFonts w:hint="cs"/>
          <w:sz w:val="20"/>
          <w:szCs w:val="20"/>
          <w:rtl/>
        </w:rPr>
        <w:t xml:space="preserve"> </w:t>
      </w:r>
      <w:r>
        <w:rPr>
          <w:sz w:val="20"/>
          <w:szCs w:val="20"/>
          <w:rtl/>
        </w:rPr>
        <w:t>–</w:t>
      </w:r>
      <w:r>
        <w:rPr>
          <w:rFonts w:hint="cs"/>
          <w:sz w:val="20"/>
          <w:szCs w:val="20"/>
          <w:rtl/>
        </w:rPr>
        <w:t xml:space="preserve"> כוונת הש"ך לפטור מבדיקה תוך ל' רק אשה בתחילת ראייתה שעדיין לא קבעה ווסת, אבל אם כבר ראתה כמה פעמים והתחזקה שאין לה ווסת צריכה לעולם בדיקה, וכן היא גם דעת </w:t>
      </w:r>
      <w:r w:rsidRPr="004936CD">
        <w:rPr>
          <w:rFonts w:hint="cs"/>
          <w:b/>
          <w:bCs/>
          <w:sz w:val="20"/>
          <w:szCs w:val="20"/>
          <w:rtl/>
        </w:rPr>
        <w:t>הב"ח</w:t>
      </w:r>
      <w:r>
        <w:rPr>
          <w:rFonts w:hint="cs"/>
          <w:sz w:val="20"/>
          <w:szCs w:val="20"/>
          <w:rtl/>
        </w:rPr>
        <w:t>.</w:t>
      </w:r>
    </w:p>
    <w:p w:rsidR="00620060" w:rsidRDefault="00620060" w:rsidP="00620060">
      <w:pPr>
        <w:rPr>
          <w:sz w:val="20"/>
          <w:szCs w:val="20"/>
          <w:rtl/>
        </w:rPr>
      </w:pPr>
      <w:r>
        <w:rPr>
          <w:rFonts w:hint="cs"/>
          <w:sz w:val="20"/>
          <w:szCs w:val="20"/>
          <w:u w:val="single"/>
          <w:rtl/>
        </w:rPr>
        <w:t>האם צריך לשאול את האשה אם היא טהורה</w:t>
      </w:r>
      <w:r>
        <w:rPr>
          <w:sz w:val="20"/>
          <w:szCs w:val="20"/>
          <w:u w:val="single"/>
          <w:rtl/>
        </w:rPr>
        <w:br/>
      </w:r>
      <w:r>
        <w:rPr>
          <w:rFonts w:hint="cs"/>
          <w:sz w:val="20"/>
          <w:szCs w:val="20"/>
          <w:rtl/>
        </w:rPr>
        <w:t xml:space="preserve">זו לשון </w:t>
      </w:r>
      <w:r w:rsidRPr="000634DD">
        <w:rPr>
          <w:rFonts w:hint="cs"/>
          <w:b/>
          <w:bCs/>
          <w:sz w:val="20"/>
          <w:szCs w:val="20"/>
          <w:rtl/>
        </w:rPr>
        <w:t>הטור</w:t>
      </w:r>
      <w:r>
        <w:rPr>
          <w:rFonts w:hint="cs"/>
          <w:sz w:val="20"/>
          <w:szCs w:val="20"/>
          <w:rtl/>
        </w:rPr>
        <w:t>: "</w:t>
      </w:r>
      <w:r w:rsidRPr="000634DD">
        <w:rPr>
          <w:rFonts w:cs="Arial" w:hint="cs"/>
          <w:sz w:val="20"/>
          <w:szCs w:val="20"/>
          <w:rtl/>
        </w:rPr>
        <w:t>וכל</w:t>
      </w:r>
      <w:r w:rsidRPr="000634DD">
        <w:rPr>
          <w:rFonts w:cs="Arial"/>
          <w:sz w:val="20"/>
          <w:szCs w:val="20"/>
          <w:rtl/>
        </w:rPr>
        <w:t xml:space="preserve"> </w:t>
      </w:r>
      <w:r w:rsidRPr="000634DD">
        <w:rPr>
          <w:rFonts w:cs="Arial" w:hint="cs"/>
          <w:sz w:val="20"/>
          <w:szCs w:val="20"/>
          <w:rtl/>
        </w:rPr>
        <w:t>מי</w:t>
      </w:r>
      <w:r w:rsidRPr="000634DD">
        <w:rPr>
          <w:rFonts w:cs="Arial"/>
          <w:sz w:val="20"/>
          <w:szCs w:val="20"/>
          <w:rtl/>
        </w:rPr>
        <w:t xml:space="preserve"> </w:t>
      </w:r>
      <w:r w:rsidRPr="000634DD">
        <w:rPr>
          <w:rFonts w:cs="Arial" w:hint="cs"/>
          <w:sz w:val="20"/>
          <w:szCs w:val="20"/>
          <w:rtl/>
        </w:rPr>
        <w:t>שיש</w:t>
      </w:r>
      <w:r w:rsidRPr="000634DD">
        <w:rPr>
          <w:rFonts w:cs="Arial"/>
          <w:sz w:val="20"/>
          <w:szCs w:val="20"/>
          <w:rtl/>
        </w:rPr>
        <w:t xml:space="preserve"> </w:t>
      </w:r>
      <w:r w:rsidRPr="000634DD">
        <w:rPr>
          <w:rFonts w:cs="Arial" w:hint="cs"/>
          <w:sz w:val="20"/>
          <w:szCs w:val="20"/>
          <w:rtl/>
        </w:rPr>
        <w:t>לה</w:t>
      </w:r>
      <w:r w:rsidRPr="000634DD">
        <w:rPr>
          <w:rFonts w:cs="Arial"/>
          <w:sz w:val="20"/>
          <w:szCs w:val="20"/>
          <w:rtl/>
        </w:rPr>
        <w:t xml:space="preserve"> </w:t>
      </w:r>
      <w:r w:rsidRPr="000634DD">
        <w:rPr>
          <w:rFonts w:cs="Arial" w:hint="cs"/>
          <w:sz w:val="20"/>
          <w:szCs w:val="20"/>
          <w:rtl/>
        </w:rPr>
        <w:t>וסת</w:t>
      </w:r>
      <w:r w:rsidRPr="000634DD">
        <w:rPr>
          <w:rFonts w:cs="Arial"/>
          <w:sz w:val="20"/>
          <w:szCs w:val="20"/>
          <w:rtl/>
        </w:rPr>
        <w:t xml:space="preserve"> </w:t>
      </w:r>
      <w:r w:rsidRPr="000634DD">
        <w:rPr>
          <w:rFonts w:cs="Arial" w:hint="cs"/>
          <w:sz w:val="20"/>
          <w:szCs w:val="20"/>
          <w:rtl/>
        </w:rPr>
        <w:t>קבוע</w:t>
      </w:r>
      <w:r w:rsidRPr="000634DD">
        <w:rPr>
          <w:rFonts w:cs="Arial"/>
          <w:sz w:val="20"/>
          <w:szCs w:val="20"/>
          <w:rtl/>
        </w:rPr>
        <w:t xml:space="preserve"> </w:t>
      </w:r>
      <w:r w:rsidRPr="000634DD">
        <w:rPr>
          <w:rFonts w:cs="Arial" w:hint="cs"/>
          <w:sz w:val="20"/>
          <w:szCs w:val="20"/>
          <w:rtl/>
        </w:rPr>
        <w:t>בא</w:t>
      </w:r>
      <w:r w:rsidRPr="000634DD">
        <w:rPr>
          <w:rFonts w:cs="Arial"/>
          <w:sz w:val="20"/>
          <w:szCs w:val="20"/>
          <w:rtl/>
        </w:rPr>
        <w:t xml:space="preserve"> </w:t>
      </w:r>
      <w:r w:rsidRPr="000634DD">
        <w:rPr>
          <w:rFonts w:cs="Arial" w:hint="cs"/>
          <w:sz w:val="20"/>
          <w:szCs w:val="20"/>
          <w:rtl/>
        </w:rPr>
        <w:t>עליה</w:t>
      </w:r>
      <w:r w:rsidRPr="000634DD">
        <w:rPr>
          <w:rFonts w:cs="Arial"/>
          <w:sz w:val="20"/>
          <w:szCs w:val="20"/>
          <w:rtl/>
        </w:rPr>
        <w:t xml:space="preserve"> </w:t>
      </w:r>
      <w:r w:rsidRPr="000634DD">
        <w:rPr>
          <w:rFonts w:cs="Arial" w:hint="cs"/>
          <w:sz w:val="20"/>
          <w:szCs w:val="20"/>
          <w:rtl/>
        </w:rPr>
        <w:t>שלא</w:t>
      </w:r>
      <w:r w:rsidRPr="000634DD">
        <w:rPr>
          <w:rFonts w:cs="Arial"/>
          <w:sz w:val="20"/>
          <w:szCs w:val="20"/>
          <w:rtl/>
        </w:rPr>
        <w:t xml:space="preserve"> </w:t>
      </w:r>
      <w:r w:rsidRPr="000634DD">
        <w:rPr>
          <w:rFonts w:cs="Arial" w:hint="cs"/>
          <w:sz w:val="20"/>
          <w:szCs w:val="20"/>
          <w:rtl/>
        </w:rPr>
        <w:t>בשעת</w:t>
      </w:r>
      <w:r w:rsidRPr="000634DD">
        <w:rPr>
          <w:rFonts w:cs="Arial"/>
          <w:sz w:val="20"/>
          <w:szCs w:val="20"/>
          <w:rtl/>
        </w:rPr>
        <w:t xml:space="preserve"> </w:t>
      </w:r>
      <w:r w:rsidRPr="000634DD">
        <w:rPr>
          <w:rFonts w:cs="Arial" w:hint="cs"/>
          <w:sz w:val="20"/>
          <w:szCs w:val="20"/>
          <w:rtl/>
        </w:rPr>
        <w:t>וסתה</w:t>
      </w:r>
      <w:r w:rsidRPr="000634DD">
        <w:rPr>
          <w:rFonts w:cs="Arial"/>
          <w:sz w:val="20"/>
          <w:szCs w:val="20"/>
          <w:rtl/>
        </w:rPr>
        <w:t xml:space="preserve"> </w:t>
      </w:r>
      <w:r w:rsidRPr="000634DD">
        <w:rPr>
          <w:rFonts w:cs="Arial" w:hint="cs"/>
          <w:sz w:val="20"/>
          <w:szCs w:val="20"/>
          <w:rtl/>
        </w:rPr>
        <w:t>כמו</w:t>
      </w:r>
      <w:r w:rsidRPr="000634DD">
        <w:rPr>
          <w:rFonts w:cs="Arial"/>
          <w:sz w:val="20"/>
          <w:szCs w:val="20"/>
          <w:rtl/>
        </w:rPr>
        <w:t xml:space="preserve"> </w:t>
      </w:r>
      <w:r w:rsidRPr="000634DD">
        <w:rPr>
          <w:rFonts w:cs="Arial" w:hint="cs"/>
          <w:sz w:val="20"/>
          <w:szCs w:val="20"/>
          <w:rtl/>
        </w:rPr>
        <w:t>שירצה</w:t>
      </w:r>
      <w:r w:rsidRPr="000634DD">
        <w:rPr>
          <w:rFonts w:cs="Arial"/>
          <w:sz w:val="20"/>
          <w:szCs w:val="20"/>
          <w:rtl/>
        </w:rPr>
        <w:t xml:space="preserve"> </w:t>
      </w:r>
      <w:r w:rsidRPr="000634DD">
        <w:rPr>
          <w:rFonts w:cs="Arial" w:hint="cs"/>
          <w:sz w:val="20"/>
          <w:szCs w:val="20"/>
          <w:rtl/>
        </w:rPr>
        <w:t>ואינה</w:t>
      </w:r>
      <w:r w:rsidRPr="000634DD">
        <w:rPr>
          <w:rFonts w:cs="Arial"/>
          <w:sz w:val="20"/>
          <w:szCs w:val="20"/>
          <w:rtl/>
        </w:rPr>
        <w:t xml:space="preserve"> </w:t>
      </w:r>
      <w:r w:rsidRPr="000634DD">
        <w:rPr>
          <w:rFonts w:cs="Arial" w:hint="cs"/>
          <w:sz w:val="20"/>
          <w:szCs w:val="20"/>
          <w:rtl/>
        </w:rPr>
        <w:t>צריכה</w:t>
      </w:r>
      <w:r w:rsidRPr="000634DD">
        <w:rPr>
          <w:rFonts w:cs="Arial"/>
          <w:sz w:val="20"/>
          <w:szCs w:val="20"/>
          <w:rtl/>
        </w:rPr>
        <w:t xml:space="preserve"> </w:t>
      </w:r>
      <w:r w:rsidRPr="000634DD">
        <w:rPr>
          <w:rFonts w:cs="Arial" w:hint="cs"/>
          <w:sz w:val="20"/>
          <w:szCs w:val="20"/>
          <w:rtl/>
        </w:rPr>
        <w:t>בדיקה</w:t>
      </w:r>
      <w:r>
        <w:rPr>
          <w:rFonts w:cs="Arial" w:hint="cs"/>
          <w:sz w:val="20"/>
          <w:szCs w:val="20"/>
          <w:rtl/>
        </w:rPr>
        <w:t>".</w:t>
      </w:r>
      <w:r>
        <w:rPr>
          <w:sz w:val="20"/>
          <w:szCs w:val="20"/>
          <w:rtl/>
        </w:rPr>
        <w:br/>
      </w:r>
      <w:r>
        <w:rPr>
          <w:rFonts w:hint="cs"/>
          <w:sz w:val="20"/>
          <w:szCs w:val="20"/>
          <w:rtl/>
        </w:rPr>
        <w:t xml:space="preserve">מבאר </w:t>
      </w:r>
      <w:r w:rsidRPr="000634DD">
        <w:rPr>
          <w:rFonts w:hint="cs"/>
          <w:b/>
          <w:bCs/>
          <w:sz w:val="20"/>
          <w:szCs w:val="20"/>
          <w:rtl/>
        </w:rPr>
        <w:t>הט"ז</w:t>
      </w:r>
      <w:r>
        <w:rPr>
          <w:rFonts w:hint="cs"/>
          <w:sz w:val="20"/>
          <w:szCs w:val="20"/>
          <w:rtl/>
        </w:rPr>
        <w:t xml:space="preserve"> </w:t>
      </w:r>
      <w:r>
        <w:rPr>
          <w:sz w:val="20"/>
          <w:szCs w:val="20"/>
          <w:rtl/>
        </w:rPr>
        <w:t>–</w:t>
      </w:r>
      <w:r>
        <w:rPr>
          <w:rFonts w:hint="cs"/>
          <w:sz w:val="20"/>
          <w:szCs w:val="20"/>
          <w:rtl/>
        </w:rPr>
        <w:t xml:space="preserve"> כוונת הטור להתיר לבוא עליה בין ערה בין ישנה, והיינו שאינה ישנה לגמרי, שהרי אסור לבוא על אשתו כשהיא ישנה, אלא שאינה ערה להשיבו אם היא טהורה ואפילו הכי מותרת לו כשיש לה ווסת קבוע.</w:t>
      </w:r>
    </w:p>
    <w:p w:rsidR="00620060" w:rsidRDefault="00620060" w:rsidP="00620060">
      <w:pPr>
        <w:rPr>
          <w:sz w:val="20"/>
          <w:szCs w:val="20"/>
          <w:rtl/>
        </w:rPr>
      </w:pPr>
      <w:r w:rsidRPr="006E3307">
        <w:rPr>
          <w:rFonts w:hint="cs"/>
          <w:b/>
          <w:bCs/>
          <w:sz w:val="20"/>
          <w:szCs w:val="20"/>
          <w:rtl/>
        </w:rPr>
        <w:t>סיכום</w:t>
      </w:r>
      <w:r w:rsidRPr="00B358BB">
        <w:rPr>
          <w:rFonts w:hint="cs"/>
          <w:sz w:val="20"/>
          <w:szCs w:val="20"/>
          <w:rtl/>
        </w:rPr>
        <w:br/>
        <w:t xml:space="preserve">1. </w:t>
      </w:r>
      <w:r w:rsidRPr="006E3307">
        <w:rPr>
          <w:rFonts w:hint="cs"/>
          <w:b/>
          <w:bCs/>
          <w:sz w:val="20"/>
          <w:szCs w:val="20"/>
          <w:rtl/>
        </w:rPr>
        <w:t>משנה</w:t>
      </w:r>
      <w:r w:rsidRPr="00B358BB">
        <w:rPr>
          <w:rFonts w:hint="cs"/>
          <w:sz w:val="20"/>
          <w:szCs w:val="20"/>
          <w:rtl/>
        </w:rPr>
        <w:t xml:space="preserve">. כל היד המרבה לבדוק בנשים </w:t>
      </w:r>
      <w:r w:rsidRPr="00B358BB">
        <w:rPr>
          <w:sz w:val="20"/>
          <w:szCs w:val="20"/>
          <w:rtl/>
        </w:rPr>
        <w:t>–</w:t>
      </w:r>
      <w:r w:rsidRPr="00B358BB">
        <w:rPr>
          <w:rFonts w:hint="cs"/>
          <w:sz w:val="20"/>
          <w:szCs w:val="20"/>
          <w:rtl/>
        </w:rPr>
        <w:t xml:space="preserve"> משובחת. </w:t>
      </w:r>
      <w:r w:rsidRPr="006E3307">
        <w:rPr>
          <w:rFonts w:hint="cs"/>
          <w:b/>
          <w:bCs/>
          <w:sz w:val="20"/>
          <w:szCs w:val="20"/>
          <w:rtl/>
        </w:rPr>
        <w:t>גמרא</w:t>
      </w:r>
      <w:r w:rsidRPr="00B358BB">
        <w:rPr>
          <w:rFonts w:hint="cs"/>
          <w:sz w:val="20"/>
          <w:szCs w:val="20"/>
          <w:rtl/>
        </w:rPr>
        <w:t>. רב יהודה הורה שאשה שיש לה ווסת לא תבדוק לפני תשמיש כדי שבעלה לא יחשוש לבוא עליה.</w:t>
      </w:r>
      <w:r w:rsidRPr="00B358BB">
        <w:rPr>
          <w:sz w:val="20"/>
          <w:szCs w:val="20"/>
          <w:rtl/>
        </w:rPr>
        <w:br/>
      </w:r>
      <w:r w:rsidRPr="00B358BB">
        <w:rPr>
          <w:rFonts w:hint="cs"/>
          <w:sz w:val="20"/>
          <w:szCs w:val="20"/>
          <w:rtl/>
        </w:rPr>
        <w:t xml:space="preserve">2. </w:t>
      </w:r>
      <w:r w:rsidRPr="003B25FE">
        <w:rPr>
          <w:rFonts w:hint="cs"/>
          <w:sz w:val="20"/>
          <w:szCs w:val="20"/>
          <w:rtl/>
        </w:rPr>
        <w:t xml:space="preserve">שיטות הראשונים. </w:t>
      </w:r>
      <w:r w:rsidRPr="003B25FE">
        <w:rPr>
          <w:rFonts w:hint="cs"/>
          <w:b/>
          <w:bCs/>
          <w:sz w:val="20"/>
          <w:szCs w:val="20"/>
          <w:rtl/>
        </w:rPr>
        <w:t>רבינו שמחה</w:t>
      </w:r>
      <w:r w:rsidRPr="003B25FE">
        <w:rPr>
          <w:rFonts w:hint="cs"/>
          <w:sz w:val="20"/>
          <w:szCs w:val="20"/>
          <w:rtl/>
        </w:rPr>
        <w:t xml:space="preserve">. לפני תשמיש מותר לבדוק, לאחר תשמיש לא תבדוק. </w:t>
      </w:r>
      <w:r w:rsidRPr="003B25FE">
        <w:rPr>
          <w:rFonts w:hint="cs"/>
          <w:b/>
          <w:bCs/>
          <w:sz w:val="20"/>
          <w:szCs w:val="20"/>
          <w:rtl/>
        </w:rPr>
        <w:t>תוספות ומרדכי</w:t>
      </w:r>
      <w:r w:rsidRPr="003B25FE">
        <w:rPr>
          <w:rFonts w:hint="cs"/>
          <w:sz w:val="20"/>
          <w:szCs w:val="20"/>
          <w:rtl/>
        </w:rPr>
        <w:t xml:space="preserve">. אין לבדוק לפני ואחרי תשמיש. </w:t>
      </w:r>
      <w:r w:rsidRPr="003B25FE">
        <w:rPr>
          <w:rFonts w:hint="cs"/>
          <w:b/>
          <w:bCs/>
          <w:sz w:val="20"/>
          <w:szCs w:val="20"/>
          <w:rtl/>
        </w:rPr>
        <w:t>רמב"ם</w:t>
      </w:r>
      <w:r w:rsidRPr="003B25FE">
        <w:rPr>
          <w:rFonts w:hint="cs"/>
          <w:sz w:val="20"/>
          <w:szCs w:val="20"/>
          <w:rtl/>
        </w:rPr>
        <w:t>. לאחר תשמיש תבדוק.</w:t>
      </w:r>
      <w:r w:rsidRPr="003B25FE">
        <w:rPr>
          <w:sz w:val="20"/>
          <w:szCs w:val="20"/>
          <w:rtl/>
        </w:rPr>
        <w:br/>
      </w:r>
      <w:r w:rsidRPr="003B25FE">
        <w:rPr>
          <w:rFonts w:hint="cs"/>
          <w:sz w:val="20"/>
          <w:szCs w:val="20"/>
          <w:rtl/>
        </w:rPr>
        <w:t xml:space="preserve">3. </w:t>
      </w:r>
      <w:r w:rsidRPr="003B25FE">
        <w:rPr>
          <w:rFonts w:hint="cs"/>
          <w:b/>
          <w:bCs/>
          <w:sz w:val="20"/>
          <w:szCs w:val="20"/>
          <w:rtl/>
        </w:rPr>
        <w:t>מחבר</w:t>
      </w:r>
      <w:r w:rsidRPr="003B25FE">
        <w:rPr>
          <w:rFonts w:hint="cs"/>
          <w:sz w:val="20"/>
          <w:szCs w:val="20"/>
          <w:rtl/>
        </w:rPr>
        <w:t xml:space="preserve">. כתב כאן כרמב"ם שלפני תשמיש לא תבדוק. </w:t>
      </w:r>
      <w:r w:rsidRPr="003B25FE">
        <w:rPr>
          <w:rFonts w:hint="cs"/>
          <w:b/>
          <w:bCs/>
          <w:sz w:val="20"/>
          <w:szCs w:val="20"/>
          <w:rtl/>
        </w:rPr>
        <w:t>רמ"א</w:t>
      </w:r>
      <w:r w:rsidRPr="003B25FE">
        <w:rPr>
          <w:rFonts w:hint="cs"/>
          <w:sz w:val="20"/>
          <w:szCs w:val="20"/>
          <w:rtl/>
        </w:rPr>
        <w:t>. כמרדכי, אין לבדוק לפני ואחרי.</w:t>
      </w:r>
      <w:r w:rsidRPr="003B25FE">
        <w:rPr>
          <w:sz w:val="20"/>
          <w:szCs w:val="20"/>
          <w:rtl/>
        </w:rPr>
        <w:br/>
      </w:r>
      <w:r w:rsidRPr="003B25FE">
        <w:rPr>
          <w:rFonts w:hint="cs"/>
          <w:sz w:val="20"/>
          <w:szCs w:val="20"/>
          <w:rtl/>
        </w:rPr>
        <w:t>4. דין אשה שלא קבעה ווסת</w:t>
      </w:r>
      <w:r w:rsidRPr="00B358BB">
        <w:rPr>
          <w:rFonts w:hint="cs"/>
          <w:sz w:val="20"/>
          <w:szCs w:val="20"/>
          <w:rtl/>
        </w:rPr>
        <w:t xml:space="preserve">. </w:t>
      </w:r>
      <w:r w:rsidRPr="006E3307">
        <w:rPr>
          <w:rFonts w:hint="cs"/>
          <w:b/>
          <w:bCs/>
          <w:sz w:val="20"/>
          <w:szCs w:val="20"/>
          <w:rtl/>
        </w:rPr>
        <w:t>ש"ך</w:t>
      </w:r>
      <w:r w:rsidRPr="00B358BB">
        <w:rPr>
          <w:rFonts w:hint="cs"/>
          <w:sz w:val="20"/>
          <w:szCs w:val="20"/>
          <w:rtl/>
        </w:rPr>
        <w:t xml:space="preserve">. מותרת בתוך עונה בינונית </w:t>
      </w:r>
      <w:r w:rsidRPr="00774577">
        <w:rPr>
          <w:rFonts w:hint="cs"/>
          <w:sz w:val="20"/>
          <w:szCs w:val="20"/>
          <w:rtl/>
        </w:rPr>
        <w:t xml:space="preserve">ללא בדיקה </w:t>
      </w:r>
      <w:r w:rsidRPr="006E3307">
        <w:rPr>
          <w:rFonts w:hint="cs"/>
          <w:sz w:val="18"/>
          <w:szCs w:val="18"/>
          <w:rtl/>
        </w:rPr>
        <w:t>(ל' יום)</w:t>
      </w:r>
      <w:r w:rsidRPr="00B358BB">
        <w:rPr>
          <w:rFonts w:hint="cs"/>
          <w:sz w:val="20"/>
          <w:szCs w:val="20"/>
          <w:rtl/>
        </w:rPr>
        <w:t xml:space="preserve">. </w:t>
      </w:r>
      <w:r w:rsidRPr="006E3307">
        <w:rPr>
          <w:rFonts w:hint="cs"/>
          <w:b/>
          <w:bCs/>
          <w:sz w:val="20"/>
          <w:szCs w:val="20"/>
          <w:rtl/>
        </w:rPr>
        <w:t>כו"פ</w:t>
      </w:r>
      <w:r w:rsidRPr="00B358BB">
        <w:rPr>
          <w:rFonts w:hint="cs"/>
          <w:sz w:val="20"/>
          <w:szCs w:val="20"/>
          <w:rtl/>
        </w:rPr>
        <w:t xml:space="preserve">. אסורה, ואין שחר </w:t>
      </w:r>
      <w:r w:rsidRPr="00B358BB">
        <w:rPr>
          <w:rFonts w:hint="cs"/>
          <w:sz w:val="20"/>
          <w:szCs w:val="20"/>
          <w:rtl/>
        </w:rPr>
        <w:lastRenderedPageBreak/>
        <w:t xml:space="preserve">לדברי הש"ך. </w:t>
      </w:r>
      <w:r w:rsidRPr="006E3307">
        <w:rPr>
          <w:rFonts w:hint="cs"/>
          <w:b/>
          <w:bCs/>
          <w:sz w:val="20"/>
          <w:szCs w:val="20"/>
          <w:rtl/>
        </w:rPr>
        <w:t>הכרעת החוו"ד</w:t>
      </w:r>
      <w:r w:rsidRPr="00B358BB">
        <w:rPr>
          <w:rFonts w:hint="cs"/>
          <w:sz w:val="20"/>
          <w:szCs w:val="20"/>
          <w:rtl/>
        </w:rPr>
        <w:t>. בתחילת ראייתה שלא קבעה ווסת, מות</w:t>
      </w:r>
      <w:r>
        <w:rPr>
          <w:rFonts w:hint="cs"/>
          <w:sz w:val="20"/>
          <w:szCs w:val="20"/>
          <w:rtl/>
        </w:rPr>
        <w:t>רת בתוך ל' ללא בדיקה</w:t>
      </w:r>
      <w:r w:rsidRPr="00B358BB">
        <w:rPr>
          <w:rFonts w:hint="cs"/>
          <w:sz w:val="20"/>
          <w:szCs w:val="20"/>
          <w:rtl/>
        </w:rPr>
        <w:t>.</w:t>
      </w:r>
      <w:r w:rsidRPr="00B358BB">
        <w:rPr>
          <w:sz w:val="20"/>
          <w:szCs w:val="20"/>
          <w:rtl/>
        </w:rPr>
        <w:br/>
      </w:r>
      <w:r w:rsidRPr="00B358BB">
        <w:rPr>
          <w:rFonts w:hint="cs"/>
          <w:sz w:val="20"/>
          <w:szCs w:val="20"/>
          <w:rtl/>
        </w:rPr>
        <w:t xml:space="preserve">5. </w:t>
      </w:r>
      <w:r w:rsidRPr="006E3307">
        <w:rPr>
          <w:rFonts w:hint="cs"/>
          <w:b/>
          <w:bCs/>
          <w:sz w:val="20"/>
          <w:szCs w:val="20"/>
          <w:rtl/>
        </w:rPr>
        <w:t>ט"ז</w:t>
      </w:r>
      <w:r w:rsidRPr="00B358BB">
        <w:rPr>
          <w:rFonts w:hint="cs"/>
          <w:sz w:val="20"/>
          <w:szCs w:val="20"/>
          <w:rtl/>
        </w:rPr>
        <w:t>. מבאר בטור שמותר לבוא על אשתו אפילו כשאינה יכולה להשיב אם היא טהורה.</w:t>
      </w:r>
    </w:p>
    <w:p w:rsidR="00620060" w:rsidRDefault="00620060" w:rsidP="00620060">
      <w:pPr>
        <w:pStyle w:val="1"/>
        <w:rPr>
          <w:rtl/>
        </w:rPr>
      </w:pPr>
      <w:r>
        <w:rPr>
          <w:rFonts w:hint="cs"/>
          <w:rtl/>
        </w:rPr>
        <w:t xml:space="preserve">דין פרישה סמוך לווסת (ב </w:t>
      </w:r>
      <w:r>
        <w:rPr>
          <w:rtl/>
        </w:rPr>
        <w:t>–</w:t>
      </w:r>
      <w:r>
        <w:rPr>
          <w:rFonts w:hint="cs"/>
          <w:rtl/>
        </w:rPr>
        <w:t xml:space="preserve"> ג)</w:t>
      </w:r>
    </w:p>
    <w:p w:rsidR="00620060" w:rsidRDefault="00620060" w:rsidP="00620060">
      <w:pPr>
        <w:rPr>
          <w:rFonts w:cs="Arial"/>
          <w:sz w:val="20"/>
          <w:szCs w:val="20"/>
          <w:rtl/>
        </w:rPr>
      </w:pPr>
      <w:r>
        <w:rPr>
          <w:rFonts w:hint="cs"/>
          <w:b/>
          <w:bCs/>
          <w:sz w:val="20"/>
          <w:szCs w:val="20"/>
          <w:rtl/>
        </w:rPr>
        <w:t xml:space="preserve">פתיחה לסעיפים הבאים </w:t>
      </w:r>
      <w:r>
        <w:rPr>
          <w:b/>
          <w:bCs/>
          <w:sz w:val="20"/>
          <w:szCs w:val="20"/>
          <w:rtl/>
        </w:rPr>
        <w:t>–</w:t>
      </w:r>
      <w:r>
        <w:rPr>
          <w:rFonts w:hint="cs"/>
          <w:b/>
          <w:bCs/>
          <w:sz w:val="20"/>
          <w:szCs w:val="20"/>
          <w:rtl/>
        </w:rPr>
        <w:t xml:space="preserve"> ווסתות דאורייתא או דרבנן?</w:t>
      </w:r>
      <w:r>
        <w:rPr>
          <w:rFonts w:hint="cs"/>
          <w:b/>
          <w:bCs/>
          <w:sz w:val="20"/>
          <w:szCs w:val="20"/>
          <w:rtl/>
        </w:rPr>
        <w:br/>
        <w:t>מקור הדין</w:t>
      </w:r>
      <w:r>
        <w:rPr>
          <w:b/>
          <w:bCs/>
          <w:sz w:val="20"/>
          <w:szCs w:val="20"/>
          <w:rtl/>
        </w:rPr>
        <w:br/>
      </w:r>
      <w:r>
        <w:rPr>
          <w:rFonts w:hint="cs"/>
          <w:b/>
          <w:bCs/>
          <w:sz w:val="20"/>
          <w:szCs w:val="20"/>
          <w:rtl/>
        </w:rPr>
        <w:t xml:space="preserve">משנה </w:t>
      </w:r>
      <w:r>
        <w:rPr>
          <w:rFonts w:hint="cs"/>
          <w:sz w:val="20"/>
          <w:szCs w:val="20"/>
          <w:rtl/>
        </w:rPr>
        <w:t>נידה (טו.) "</w:t>
      </w:r>
      <w:r w:rsidRPr="006B04AD">
        <w:rPr>
          <w:rFonts w:cs="Arial" w:hint="cs"/>
          <w:sz w:val="20"/>
          <w:szCs w:val="20"/>
          <w:rtl/>
        </w:rPr>
        <w:t>כל</w:t>
      </w:r>
      <w:r w:rsidRPr="006B04AD">
        <w:rPr>
          <w:rFonts w:cs="Arial"/>
          <w:sz w:val="20"/>
          <w:szCs w:val="20"/>
          <w:rtl/>
        </w:rPr>
        <w:t xml:space="preserve"> </w:t>
      </w:r>
      <w:r w:rsidRPr="006B04AD">
        <w:rPr>
          <w:rFonts w:cs="Arial" w:hint="cs"/>
          <w:sz w:val="20"/>
          <w:szCs w:val="20"/>
          <w:rtl/>
        </w:rPr>
        <w:t>הנשים</w:t>
      </w:r>
      <w:r w:rsidRPr="006B04AD">
        <w:rPr>
          <w:rFonts w:cs="Arial"/>
          <w:sz w:val="20"/>
          <w:szCs w:val="20"/>
          <w:rtl/>
        </w:rPr>
        <w:t xml:space="preserve"> </w:t>
      </w:r>
      <w:r w:rsidRPr="006B04AD">
        <w:rPr>
          <w:rFonts w:cs="Arial" w:hint="cs"/>
          <w:sz w:val="20"/>
          <w:szCs w:val="20"/>
          <w:rtl/>
        </w:rPr>
        <w:t>בחזקת</w:t>
      </w:r>
      <w:r w:rsidRPr="006B04AD">
        <w:rPr>
          <w:rFonts w:cs="Arial"/>
          <w:sz w:val="20"/>
          <w:szCs w:val="20"/>
          <w:rtl/>
        </w:rPr>
        <w:t xml:space="preserve"> </w:t>
      </w:r>
      <w:r w:rsidRPr="006B04AD">
        <w:rPr>
          <w:rFonts w:cs="Arial" w:hint="cs"/>
          <w:sz w:val="20"/>
          <w:szCs w:val="20"/>
          <w:rtl/>
        </w:rPr>
        <w:t>טהרה</w:t>
      </w:r>
      <w:r w:rsidRPr="006B04AD">
        <w:rPr>
          <w:rFonts w:cs="Arial"/>
          <w:sz w:val="20"/>
          <w:szCs w:val="20"/>
          <w:rtl/>
        </w:rPr>
        <w:t xml:space="preserve"> </w:t>
      </w:r>
      <w:r w:rsidRPr="006B04AD">
        <w:rPr>
          <w:rFonts w:cs="Arial" w:hint="cs"/>
          <w:sz w:val="20"/>
          <w:szCs w:val="20"/>
          <w:rtl/>
        </w:rPr>
        <w:t>לבעליהן</w:t>
      </w:r>
      <w:r>
        <w:rPr>
          <w:rFonts w:cs="Arial" w:hint="cs"/>
          <w:sz w:val="20"/>
          <w:szCs w:val="20"/>
          <w:rtl/>
        </w:rPr>
        <w:t>".</w:t>
      </w:r>
      <w:r>
        <w:rPr>
          <w:rFonts w:cs="Arial"/>
          <w:sz w:val="20"/>
          <w:szCs w:val="20"/>
          <w:rtl/>
        </w:rPr>
        <w:br/>
      </w:r>
      <w:r w:rsidRPr="00D740E3">
        <w:rPr>
          <w:rFonts w:cs="Arial" w:hint="cs"/>
          <w:b/>
          <w:bCs/>
          <w:sz w:val="20"/>
          <w:szCs w:val="20"/>
          <w:rtl/>
        </w:rPr>
        <w:t xml:space="preserve">גמרא </w:t>
      </w:r>
      <w:r>
        <w:rPr>
          <w:rFonts w:cs="Arial" w:hint="cs"/>
          <w:sz w:val="20"/>
          <w:szCs w:val="20"/>
          <w:rtl/>
        </w:rPr>
        <w:t>(שם) "</w:t>
      </w:r>
      <w:r w:rsidRPr="006B04AD">
        <w:rPr>
          <w:rFonts w:cs="Arial" w:hint="cs"/>
          <w:sz w:val="20"/>
          <w:szCs w:val="20"/>
          <w:rtl/>
        </w:rPr>
        <w:t>אמר</w:t>
      </w:r>
      <w:r w:rsidRPr="006B04AD">
        <w:rPr>
          <w:rFonts w:cs="Arial"/>
          <w:sz w:val="20"/>
          <w:szCs w:val="20"/>
          <w:rtl/>
        </w:rPr>
        <w:t xml:space="preserve"> </w:t>
      </w:r>
      <w:r w:rsidRPr="006B04AD">
        <w:rPr>
          <w:rFonts w:cs="Arial" w:hint="cs"/>
          <w:sz w:val="20"/>
          <w:szCs w:val="20"/>
          <w:rtl/>
        </w:rPr>
        <w:t>רב</w:t>
      </w:r>
      <w:r w:rsidRPr="006B04AD">
        <w:rPr>
          <w:rFonts w:cs="Arial"/>
          <w:sz w:val="20"/>
          <w:szCs w:val="20"/>
          <w:rtl/>
        </w:rPr>
        <w:t xml:space="preserve"> </w:t>
      </w:r>
      <w:r w:rsidRPr="006B04AD">
        <w:rPr>
          <w:rFonts w:cs="Arial" w:hint="cs"/>
          <w:sz w:val="20"/>
          <w:szCs w:val="20"/>
          <w:rtl/>
        </w:rPr>
        <w:t>הונא</w:t>
      </w:r>
      <w:r w:rsidRPr="006B04AD">
        <w:rPr>
          <w:rFonts w:cs="Arial"/>
          <w:sz w:val="20"/>
          <w:szCs w:val="20"/>
          <w:rtl/>
        </w:rPr>
        <w:t xml:space="preserve">: </w:t>
      </w:r>
      <w:r w:rsidRPr="006B04AD">
        <w:rPr>
          <w:rFonts w:cs="Arial" w:hint="cs"/>
          <w:sz w:val="20"/>
          <w:szCs w:val="20"/>
          <w:rtl/>
        </w:rPr>
        <w:t>ל</w:t>
      </w:r>
      <w:r>
        <w:rPr>
          <w:rFonts w:cs="Arial" w:hint="cs"/>
          <w:sz w:val="20"/>
          <w:szCs w:val="20"/>
          <w:rtl/>
        </w:rPr>
        <w:t>א שנו</w:t>
      </w:r>
      <w:r w:rsidRPr="006B04AD">
        <w:rPr>
          <w:rFonts w:cs="Arial"/>
          <w:sz w:val="20"/>
          <w:szCs w:val="20"/>
          <w:rtl/>
        </w:rPr>
        <w:t xml:space="preserve"> </w:t>
      </w:r>
      <w:r w:rsidRPr="006B04AD">
        <w:rPr>
          <w:rFonts w:cs="Arial" w:hint="cs"/>
          <w:sz w:val="20"/>
          <w:szCs w:val="20"/>
          <w:rtl/>
        </w:rPr>
        <w:t>אלא</w:t>
      </w:r>
      <w:r w:rsidRPr="006B04AD">
        <w:rPr>
          <w:rFonts w:cs="Arial"/>
          <w:sz w:val="20"/>
          <w:szCs w:val="20"/>
          <w:rtl/>
        </w:rPr>
        <w:t xml:space="preserve"> </w:t>
      </w:r>
      <w:r w:rsidRPr="006B04AD">
        <w:rPr>
          <w:rFonts w:cs="Arial" w:hint="cs"/>
          <w:sz w:val="20"/>
          <w:szCs w:val="20"/>
          <w:rtl/>
        </w:rPr>
        <w:t>שלא</w:t>
      </w:r>
      <w:r w:rsidRPr="006B04AD">
        <w:rPr>
          <w:rFonts w:cs="Arial"/>
          <w:sz w:val="20"/>
          <w:szCs w:val="20"/>
          <w:rtl/>
        </w:rPr>
        <w:t xml:space="preserve"> </w:t>
      </w:r>
      <w:r w:rsidRPr="006B04AD">
        <w:rPr>
          <w:rFonts w:cs="Arial" w:hint="cs"/>
          <w:sz w:val="20"/>
          <w:szCs w:val="20"/>
          <w:rtl/>
        </w:rPr>
        <w:t>הגיע</w:t>
      </w:r>
      <w:r w:rsidRPr="006B04AD">
        <w:rPr>
          <w:rFonts w:cs="Arial"/>
          <w:sz w:val="20"/>
          <w:szCs w:val="20"/>
          <w:rtl/>
        </w:rPr>
        <w:t xml:space="preserve"> </w:t>
      </w:r>
      <w:r w:rsidRPr="006B04AD">
        <w:rPr>
          <w:rFonts w:cs="Arial" w:hint="cs"/>
          <w:sz w:val="20"/>
          <w:szCs w:val="20"/>
          <w:rtl/>
        </w:rPr>
        <w:t>שעת</w:t>
      </w:r>
      <w:r w:rsidRPr="006B04AD">
        <w:rPr>
          <w:rFonts w:cs="Arial"/>
          <w:sz w:val="20"/>
          <w:szCs w:val="20"/>
          <w:rtl/>
        </w:rPr>
        <w:t xml:space="preserve"> </w:t>
      </w:r>
      <w:r w:rsidRPr="006B04AD">
        <w:rPr>
          <w:rFonts w:cs="Arial" w:hint="cs"/>
          <w:sz w:val="20"/>
          <w:szCs w:val="20"/>
          <w:rtl/>
        </w:rPr>
        <w:t>וסתה</w:t>
      </w:r>
      <w:r w:rsidRPr="006B04AD">
        <w:rPr>
          <w:rFonts w:cs="Arial"/>
          <w:sz w:val="20"/>
          <w:szCs w:val="20"/>
          <w:rtl/>
        </w:rPr>
        <w:t xml:space="preserve">, </w:t>
      </w:r>
      <w:r w:rsidRPr="006B04AD">
        <w:rPr>
          <w:rFonts w:cs="Arial" w:hint="cs"/>
          <w:sz w:val="20"/>
          <w:szCs w:val="20"/>
          <w:rtl/>
        </w:rPr>
        <w:t>אבל</w:t>
      </w:r>
      <w:r w:rsidRPr="006B04AD">
        <w:rPr>
          <w:rFonts w:cs="Arial"/>
          <w:sz w:val="20"/>
          <w:szCs w:val="20"/>
          <w:rtl/>
        </w:rPr>
        <w:t xml:space="preserve"> </w:t>
      </w:r>
      <w:r w:rsidRPr="006B04AD">
        <w:rPr>
          <w:rFonts w:cs="Arial" w:hint="cs"/>
          <w:sz w:val="20"/>
          <w:szCs w:val="20"/>
          <w:rtl/>
        </w:rPr>
        <w:t>הגיע</w:t>
      </w:r>
      <w:r w:rsidRPr="006B04AD">
        <w:rPr>
          <w:rFonts w:cs="Arial"/>
          <w:sz w:val="20"/>
          <w:szCs w:val="20"/>
          <w:rtl/>
        </w:rPr>
        <w:t xml:space="preserve"> </w:t>
      </w:r>
      <w:r w:rsidRPr="006B04AD">
        <w:rPr>
          <w:rFonts w:cs="Arial" w:hint="cs"/>
          <w:sz w:val="20"/>
          <w:szCs w:val="20"/>
          <w:rtl/>
        </w:rPr>
        <w:t>שעת</w:t>
      </w:r>
      <w:r w:rsidRPr="006B04AD">
        <w:rPr>
          <w:rFonts w:cs="Arial"/>
          <w:sz w:val="20"/>
          <w:szCs w:val="20"/>
          <w:rtl/>
        </w:rPr>
        <w:t xml:space="preserve"> </w:t>
      </w:r>
      <w:r w:rsidRPr="006B04AD">
        <w:rPr>
          <w:rFonts w:cs="Arial" w:hint="cs"/>
          <w:sz w:val="20"/>
          <w:szCs w:val="20"/>
          <w:rtl/>
        </w:rPr>
        <w:t>וסתה</w:t>
      </w:r>
      <w:r w:rsidRPr="006B04AD">
        <w:rPr>
          <w:rFonts w:cs="Arial"/>
          <w:sz w:val="20"/>
          <w:szCs w:val="20"/>
          <w:rtl/>
        </w:rPr>
        <w:t xml:space="preserve"> - </w:t>
      </w:r>
      <w:r w:rsidRPr="006B04AD">
        <w:rPr>
          <w:rFonts w:cs="Arial" w:hint="cs"/>
          <w:sz w:val="20"/>
          <w:szCs w:val="20"/>
          <w:rtl/>
        </w:rPr>
        <w:t>אסורה</w:t>
      </w:r>
      <w:r w:rsidRPr="006B04AD">
        <w:rPr>
          <w:rFonts w:cs="Arial"/>
          <w:sz w:val="20"/>
          <w:szCs w:val="20"/>
          <w:rtl/>
        </w:rPr>
        <w:t xml:space="preserve">, </w:t>
      </w:r>
      <w:r w:rsidRPr="006B04AD">
        <w:rPr>
          <w:rFonts w:cs="Arial" w:hint="cs"/>
          <w:sz w:val="20"/>
          <w:szCs w:val="20"/>
          <w:rtl/>
        </w:rPr>
        <w:t>קסבר</w:t>
      </w:r>
      <w:r w:rsidRPr="006B04AD">
        <w:rPr>
          <w:rFonts w:cs="Arial"/>
          <w:sz w:val="20"/>
          <w:szCs w:val="20"/>
          <w:rtl/>
        </w:rPr>
        <w:t xml:space="preserve">: </w:t>
      </w:r>
      <w:r w:rsidRPr="006B04AD">
        <w:rPr>
          <w:rFonts w:cs="Arial" w:hint="cs"/>
          <w:sz w:val="20"/>
          <w:szCs w:val="20"/>
          <w:rtl/>
        </w:rPr>
        <w:t>וסתות</w:t>
      </w:r>
      <w:r w:rsidRPr="006B04AD">
        <w:rPr>
          <w:rFonts w:cs="Arial"/>
          <w:sz w:val="20"/>
          <w:szCs w:val="20"/>
          <w:rtl/>
        </w:rPr>
        <w:t xml:space="preserve"> </w:t>
      </w:r>
      <w:r w:rsidRPr="006B04AD">
        <w:rPr>
          <w:rFonts w:cs="Arial" w:hint="cs"/>
          <w:sz w:val="20"/>
          <w:szCs w:val="20"/>
          <w:rtl/>
        </w:rPr>
        <w:t>דאורייתא</w:t>
      </w:r>
      <w:r>
        <w:rPr>
          <w:rFonts w:cs="Arial" w:hint="cs"/>
          <w:sz w:val="20"/>
          <w:szCs w:val="20"/>
          <w:rtl/>
        </w:rPr>
        <w:t xml:space="preserve"> </w:t>
      </w:r>
      <w:r>
        <w:rPr>
          <w:rFonts w:cs="Arial" w:hint="cs"/>
          <w:sz w:val="18"/>
          <w:szCs w:val="18"/>
          <w:rtl/>
        </w:rPr>
        <w:t xml:space="preserve">(רש"י </w:t>
      </w:r>
      <w:r>
        <w:rPr>
          <w:rFonts w:cs="Arial"/>
          <w:sz w:val="18"/>
          <w:szCs w:val="18"/>
          <w:rtl/>
        </w:rPr>
        <w:t>–</w:t>
      </w:r>
      <w:r>
        <w:rPr>
          <w:rFonts w:cs="Arial" w:hint="cs"/>
          <w:sz w:val="18"/>
          <w:szCs w:val="18"/>
          <w:rtl/>
        </w:rPr>
        <w:t xml:space="preserve"> הלכה למשה מסיני</w:t>
      </w:r>
      <w:r w:rsidRPr="00D740E3">
        <w:rPr>
          <w:rFonts w:cs="Arial"/>
          <w:sz w:val="18"/>
          <w:szCs w:val="18"/>
          <w:rtl/>
        </w:rPr>
        <w:t xml:space="preserve"> </w:t>
      </w:r>
      <w:r w:rsidRPr="00D740E3">
        <w:rPr>
          <w:rFonts w:cs="Arial" w:hint="cs"/>
          <w:sz w:val="18"/>
          <w:szCs w:val="18"/>
          <w:rtl/>
        </w:rPr>
        <w:t>דמחזקינן</w:t>
      </w:r>
      <w:r w:rsidRPr="00D740E3">
        <w:rPr>
          <w:rFonts w:cs="Arial"/>
          <w:sz w:val="18"/>
          <w:szCs w:val="18"/>
          <w:rtl/>
        </w:rPr>
        <w:t xml:space="preserve"> </w:t>
      </w:r>
      <w:r w:rsidRPr="00D740E3">
        <w:rPr>
          <w:rFonts w:cs="Arial" w:hint="cs"/>
          <w:sz w:val="18"/>
          <w:szCs w:val="18"/>
          <w:rtl/>
        </w:rPr>
        <w:t>לה</w:t>
      </w:r>
      <w:r w:rsidRPr="00D740E3">
        <w:rPr>
          <w:rFonts w:cs="Arial"/>
          <w:sz w:val="18"/>
          <w:szCs w:val="18"/>
          <w:rtl/>
        </w:rPr>
        <w:t xml:space="preserve"> </w:t>
      </w:r>
      <w:r w:rsidRPr="00D740E3">
        <w:rPr>
          <w:rFonts w:cs="Arial" w:hint="cs"/>
          <w:sz w:val="18"/>
          <w:szCs w:val="18"/>
          <w:rtl/>
        </w:rPr>
        <w:t>בטומאת</w:t>
      </w:r>
      <w:r w:rsidRPr="00D740E3">
        <w:rPr>
          <w:rFonts w:cs="Arial"/>
          <w:sz w:val="18"/>
          <w:szCs w:val="18"/>
          <w:rtl/>
        </w:rPr>
        <w:t xml:space="preserve"> </w:t>
      </w:r>
      <w:r w:rsidRPr="00D740E3">
        <w:rPr>
          <w:rFonts w:cs="Arial" w:hint="cs"/>
          <w:sz w:val="18"/>
          <w:szCs w:val="18"/>
          <w:rtl/>
        </w:rPr>
        <w:t>ספק</w:t>
      </w:r>
      <w:r>
        <w:rPr>
          <w:rFonts w:cs="Arial" w:hint="cs"/>
          <w:sz w:val="18"/>
          <w:szCs w:val="18"/>
          <w:rtl/>
        </w:rPr>
        <w:t>)</w:t>
      </w:r>
      <w:r w:rsidRPr="006B04AD">
        <w:rPr>
          <w:rFonts w:cs="Arial"/>
          <w:sz w:val="20"/>
          <w:szCs w:val="20"/>
          <w:rtl/>
        </w:rPr>
        <w:t xml:space="preserve">. </w:t>
      </w:r>
      <w:r w:rsidRPr="006B04AD">
        <w:rPr>
          <w:rFonts w:cs="Arial" w:hint="cs"/>
          <w:sz w:val="20"/>
          <w:szCs w:val="20"/>
          <w:rtl/>
        </w:rPr>
        <w:t>רבה</w:t>
      </w:r>
      <w:r w:rsidRPr="006B04AD">
        <w:rPr>
          <w:rFonts w:cs="Arial"/>
          <w:sz w:val="20"/>
          <w:szCs w:val="20"/>
          <w:rtl/>
        </w:rPr>
        <w:t xml:space="preserve"> </w:t>
      </w:r>
      <w:r w:rsidRPr="006B04AD">
        <w:rPr>
          <w:rFonts w:cs="Arial" w:hint="cs"/>
          <w:sz w:val="20"/>
          <w:szCs w:val="20"/>
          <w:rtl/>
        </w:rPr>
        <w:t>בר</w:t>
      </w:r>
      <w:r w:rsidRPr="006B04AD">
        <w:rPr>
          <w:rFonts w:cs="Arial"/>
          <w:sz w:val="20"/>
          <w:szCs w:val="20"/>
          <w:rtl/>
        </w:rPr>
        <w:t xml:space="preserve"> </w:t>
      </w:r>
      <w:r w:rsidRPr="006B04AD">
        <w:rPr>
          <w:rFonts w:cs="Arial" w:hint="cs"/>
          <w:sz w:val="20"/>
          <w:szCs w:val="20"/>
          <w:rtl/>
        </w:rPr>
        <w:t>בר</w:t>
      </w:r>
      <w:r w:rsidRPr="006B04AD">
        <w:rPr>
          <w:rFonts w:cs="Arial"/>
          <w:sz w:val="20"/>
          <w:szCs w:val="20"/>
          <w:rtl/>
        </w:rPr>
        <w:t xml:space="preserve"> </w:t>
      </w:r>
      <w:r w:rsidRPr="006B04AD">
        <w:rPr>
          <w:rFonts w:cs="Arial" w:hint="cs"/>
          <w:sz w:val="20"/>
          <w:szCs w:val="20"/>
          <w:rtl/>
        </w:rPr>
        <w:t>חנה</w:t>
      </w:r>
      <w:r w:rsidRPr="006B04AD">
        <w:rPr>
          <w:rFonts w:cs="Arial"/>
          <w:sz w:val="20"/>
          <w:szCs w:val="20"/>
          <w:rtl/>
        </w:rPr>
        <w:t xml:space="preserve"> </w:t>
      </w:r>
      <w:r w:rsidRPr="006B04AD">
        <w:rPr>
          <w:rFonts w:cs="Arial" w:hint="cs"/>
          <w:sz w:val="20"/>
          <w:szCs w:val="20"/>
          <w:rtl/>
        </w:rPr>
        <w:t>אמר</w:t>
      </w:r>
      <w:r w:rsidRPr="006B04AD">
        <w:rPr>
          <w:rFonts w:cs="Arial"/>
          <w:sz w:val="20"/>
          <w:szCs w:val="20"/>
          <w:rtl/>
        </w:rPr>
        <w:t xml:space="preserve">: </w:t>
      </w:r>
      <w:r w:rsidRPr="006B04AD">
        <w:rPr>
          <w:rFonts w:cs="Arial" w:hint="cs"/>
          <w:sz w:val="20"/>
          <w:szCs w:val="20"/>
          <w:rtl/>
        </w:rPr>
        <w:t>אפילו</w:t>
      </w:r>
      <w:r w:rsidRPr="006B04AD">
        <w:rPr>
          <w:rFonts w:cs="Arial"/>
          <w:sz w:val="20"/>
          <w:szCs w:val="20"/>
          <w:rtl/>
        </w:rPr>
        <w:t xml:space="preserve"> </w:t>
      </w:r>
      <w:r w:rsidRPr="006B04AD">
        <w:rPr>
          <w:rFonts w:cs="Arial" w:hint="cs"/>
          <w:sz w:val="20"/>
          <w:szCs w:val="20"/>
          <w:rtl/>
        </w:rPr>
        <w:t>הגיע</w:t>
      </w:r>
      <w:r w:rsidRPr="006B04AD">
        <w:rPr>
          <w:rFonts w:cs="Arial"/>
          <w:sz w:val="20"/>
          <w:szCs w:val="20"/>
          <w:rtl/>
        </w:rPr>
        <w:t xml:space="preserve"> </w:t>
      </w:r>
      <w:r w:rsidRPr="006B04AD">
        <w:rPr>
          <w:rFonts w:cs="Arial" w:hint="cs"/>
          <w:sz w:val="20"/>
          <w:szCs w:val="20"/>
          <w:rtl/>
        </w:rPr>
        <w:t>שעת</w:t>
      </w:r>
      <w:r w:rsidRPr="006B04AD">
        <w:rPr>
          <w:rFonts w:cs="Arial"/>
          <w:sz w:val="20"/>
          <w:szCs w:val="20"/>
          <w:rtl/>
        </w:rPr>
        <w:t xml:space="preserve"> </w:t>
      </w:r>
      <w:r w:rsidRPr="006B04AD">
        <w:rPr>
          <w:rFonts w:cs="Arial" w:hint="cs"/>
          <w:sz w:val="20"/>
          <w:szCs w:val="20"/>
          <w:rtl/>
        </w:rPr>
        <w:t>וסתה</w:t>
      </w:r>
      <w:r w:rsidRPr="006B04AD">
        <w:rPr>
          <w:rFonts w:cs="Arial"/>
          <w:sz w:val="20"/>
          <w:szCs w:val="20"/>
          <w:rtl/>
        </w:rPr>
        <w:t xml:space="preserve"> - </w:t>
      </w:r>
      <w:r w:rsidRPr="006B04AD">
        <w:rPr>
          <w:rFonts w:cs="Arial" w:hint="cs"/>
          <w:sz w:val="20"/>
          <w:szCs w:val="20"/>
          <w:rtl/>
        </w:rPr>
        <w:t>נמי</w:t>
      </w:r>
      <w:r w:rsidRPr="006B04AD">
        <w:rPr>
          <w:rFonts w:cs="Arial"/>
          <w:sz w:val="20"/>
          <w:szCs w:val="20"/>
          <w:rtl/>
        </w:rPr>
        <w:t xml:space="preserve"> </w:t>
      </w:r>
      <w:r w:rsidRPr="006B04AD">
        <w:rPr>
          <w:rFonts w:cs="Arial" w:hint="cs"/>
          <w:sz w:val="20"/>
          <w:szCs w:val="20"/>
          <w:rtl/>
        </w:rPr>
        <w:t>מותרת</w:t>
      </w:r>
      <w:r w:rsidRPr="006B04AD">
        <w:rPr>
          <w:rFonts w:cs="Arial"/>
          <w:sz w:val="20"/>
          <w:szCs w:val="20"/>
          <w:rtl/>
        </w:rPr>
        <w:t xml:space="preserve">, </w:t>
      </w:r>
      <w:r w:rsidRPr="006B04AD">
        <w:rPr>
          <w:rFonts w:cs="Arial" w:hint="cs"/>
          <w:sz w:val="20"/>
          <w:szCs w:val="20"/>
          <w:rtl/>
        </w:rPr>
        <w:t>קסבר</w:t>
      </w:r>
      <w:r w:rsidRPr="006B04AD">
        <w:rPr>
          <w:rFonts w:cs="Arial"/>
          <w:sz w:val="20"/>
          <w:szCs w:val="20"/>
          <w:rtl/>
        </w:rPr>
        <w:t xml:space="preserve">: </w:t>
      </w:r>
      <w:r w:rsidRPr="006B04AD">
        <w:rPr>
          <w:rFonts w:cs="Arial" w:hint="cs"/>
          <w:sz w:val="20"/>
          <w:szCs w:val="20"/>
          <w:rtl/>
        </w:rPr>
        <w:t>וסתות</w:t>
      </w:r>
      <w:r w:rsidRPr="006B04AD">
        <w:rPr>
          <w:rFonts w:cs="Arial"/>
          <w:sz w:val="20"/>
          <w:szCs w:val="20"/>
          <w:rtl/>
        </w:rPr>
        <w:t xml:space="preserve"> </w:t>
      </w:r>
      <w:r w:rsidRPr="006B04AD">
        <w:rPr>
          <w:rFonts w:cs="Arial" w:hint="cs"/>
          <w:sz w:val="20"/>
          <w:szCs w:val="20"/>
          <w:rtl/>
        </w:rPr>
        <w:t>דרבנן</w:t>
      </w:r>
      <w:r>
        <w:rPr>
          <w:rFonts w:cs="Arial" w:hint="cs"/>
          <w:sz w:val="20"/>
          <w:szCs w:val="20"/>
          <w:rtl/>
        </w:rPr>
        <w:t xml:space="preserve"> </w:t>
      </w:r>
      <w:r w:rsidRPr="00D740E3">
        <w:rPr>
          <w:rFonts w:cs="Arial" w:hint="cs"/>
          <w:sz w:val="18"/>
          <w:szCs w:val="18"/>
          <w:rtl/>
        </w:rPr>
        <w:t>(רש"י - הצריכוה</w:t>
      </w:r>
      <w:r w:rsidRPr="00D740E3">
        <w:rPr>
          <w:rFonts w:cs="Arial"/>
          <w:sz w:val="18"/>
          <w:szCs w:val="18"/>
          <w:rtl/>
        </w:rPr>
        <w:t xml:space="preserve"> </w:t>
      </w:r>
      <w:r w:rsidRPr="00D740E3">
        <w:rPr>
          <w:rFonts w:cs="Arial" w:hint="cs"/>
          <w:sz w:val="18"/>
          <w:szCs w:val="18"/>
          <w:rtl/>
        </w:rPr>
        <w:t>חכמים</w:t>
      </w:r>
      <w:r w:rsidRPr="00D740E3">
        <w:rPr>
          <w:rFonts w:cs="Arial"/>
          <w:sz w:val="18"/>
          <w:szCs w:val="18"/>
          <w:rtl/>
        </w:rPr>
        <w:t xml:space="preserve"> </w:t>
      </w:r>
      <w:r w:rsidRPr="00D740E3">
        <w:rPr>
          <w:rFonts w:cs="Arial" w:hint="cs"/>
          <w:sz w:val="18"/>
          <w:szCs w:val="18"/>
          <w:rtl/>
        </w:rPr>
        <w:t>לבדוק</w:t>
      </w:r>
      <w:r w:rsidRPr="00D740E3">
        <w:rPr>
          <w:rFonts w:cs="Arial"/>
          <w:sz w:val="18"/>
          <w:szCs w:val="18"/>
          <w:rtl/>
        </w:rPr>
        <w:t xml:space="preserve"> </w:t>
      </w:r>
      <w:r w:rsidRPr="00D740E3">
        <w:rPr>
          <w:rFonts w:cs="Arial" w:hint="cs"/>
          <w:sz w:val="18"/>
          <w:szCs w:val="18"/>
          <w:rtl/>
        </w:rPr>
        <w:t>ביום</w:t>
      </w:r>
      <w:r w:rsidRPr="00D740E3">
        <w:rPr>
          <w:rFonts w:cs="Arial"/>
          <w:sz w:val="18"/>
          <w:szCs w:val="18"/>
          <w:rtl/>
        </w:rPr>
        <w:t xml:space="preserve"> </w:t>
      </w:r>
      <w:r w:rsidRPr="00D740E3">
        <w:rPr>
          <w:rFonts w:cs="Arial" w:hint="cs"/>
          <w:sz w:val="18"/>
          <w:szCs w:val="18"/>
          <w:rtl/>
        </w:rPr>
        <w:t>וסתה</w:t>
      </w:r>
      <w:r w:rsidRPr="00D740E3">
        <w:rPr>
          <w:rFonts w:cs="Arial"/>
          <w:sz w:val="18"/>
          <w:szCs w:val="18"/>
          <w:rtl/>
        </w:rPr>
        <w:t xml:space="preserve"> </w:t>
      </w:r>
      <w:r w:rsidRPr="00D740E3">
        <w:rPr>
          <w:rFonts w:cs="Arial" w:hint="cs"/>
          <w:sz w:val="18"/>
          <w:szCs w:val="18"/>
          <w:rtl/>
        </w:rPr>
        <w:t>שמא</w:t>
      </w:r>
      <w:r w:rsidRPr="00D740E3">
        <w:rPr>
          <w:rFonts w:cs="Arial"/>
          <w:sz w:val="18"/>
          <w:szCs w:val="18"/>
          <w:rtl/>
        </w:rPr>
        <w:t xml:space="preserve"> </w:t>
      </w:r>
      <w:r w:rsidRPr="00D740E3">
        <w:rPr>
          <w:rFonts w:cs="Arial" w:hint="cs"/>
          <w:sz w:val="18"/>
          <w:szCs w:val="18"/>
          <w:rtl/>
        </w:rPr>
        <w:t>תראה</w:t>
      </w:r>
      <w:r>
        <w:rPr>
          <w:rFonts w:cs="Arial" w:hint="cs"/>
          <w:sz w:val="18"/>
          <w:szCs w:val="18"/>
          <w:rtl/>
        </w:rPr>
        <w:t>,</w:t>
      </w:r>
      <w:r w:rsidRPr="00D740E3">
        <w:rPr>
          <w:rFonts w:cs="Arial"/>
          <w:sz w:val="18"/>
          <w:szCs w:val="18"/>
          <w:rtl/>
        </w:rPr>
        <w:t xml:space="preserve"> </w:t>
      </w:r>
      <w:r w:rsidRPr="00D740E3">
        <w:rPr>
          <w:rFonts w:cs="Arial" w:hint="cs"/>
          <w:sz w:val="18"/>
          <w:szCs w:val="18"/>
          <w:rtl/>
        </w:rPr>
        <w:t>ומיהו</w:t>
      </w:r>
      <w:r w:rsidRPr="00D740E3">
        <w:rPr>
          <w:rFonts w:cs="Arial"/>
          <w:sz w:val="18"/>
          <w:szCs w:val="18"/>
          <w:rtl/>
        </w:rPr>
        <w:t xml:space="preserve"> </w:t>
      </w:r>
      <w:r w:rsidRPr="00D740E3">
        <w:rPr>
          <w:rFonts w:cs="Arial" w:hint="cs"/>
          <w:sz w:val="18"/>
          <w:szCs w:val="18"/>
          <w:rtl/>
        </w:rPr>
        <w:t>היכא</w:t>
      </w:r>
      <w:r w:rsidRPr="00D740E3">
        <w:rPr>
          <w:rFonts w:cs="Arial"/>
          <w:sz w:val="18"/>
          <w:szCs w:val="18"/>
          <w:rtl/>
        </w:rPr>
        <w:t xml:space="preserve"> </w:t>
      </w:r>
      <w:r w:rsidRPr="00D740E3">
        <w:rPr>
          <w:rFonts w:cs="Arial" w:hint="cs"/>
          <w:sz w:val="18"/>
          <w:szCs w:val="18"/>
          <w:rtl/>
        </w:rPr>
        <w:t>דלא</w:t>
      </w:r>
      <w:r w:rsidRPr="00D740E3">
        <w:rPr>
          <w:rFonts w:cs="Arial"/>
          <w:sz w:val="18"/>
          <w:szCs w:val="18"/>
          <w:rtl/>
        </w:rPr>
        <w:t xml:space="preserve"> </w:t>
      </w:r>
      <w:r w:rsidRPr="00D740E3">
        <w:rPr>
          <w:rFonts w:cs="Arial" w:hint="cs"/>
          <w:sz w:val="18"/>
          <w:szCs w:val="18"/>
          <w:rtl/>
        </w:rPr>
        <w:t>הוה</w:t>
      </w:r>
      <w:r w:rsidRPr="00D740E3">
        <w:rPr>
          <w:rFonts w:cs="Arial"/>
          <w:sz w:val="18"/>
          <w:szCs w:val="18"/>
          <w:rtl/>
        </w:rPr>
        <w:t xml:space="preserve"> </w:t>
      </w:r>
      <w:r w:rsidRPr="00D740E3">
        <w:rPr>
          <w:rFonts w:cs="Arial" w:hint="cs"/>
          <w:sz w:val="18"/>
          <w:szCs w:val="18"/>
          <w:rtl/>
        </w:rPr>
        <w:t>בעיר</w:t>
      </w:r>
      <w:r w:rsidRPr="00D740E3">
        <w:rPr>
          <w:rFonts w:cs="Arial"/>
          <w:sz w:val="18"/>
          <w:szCs w:val="18"/>
          <w:rtl/>
        </w:rPr>
        <w:t xml:space="preserve"> </w:t>
      </w:r>
      <w:r w:rsidRPr="00D740E3">
        <w:rPr>
          <w:rFonts w:cs="Arial" w:hint="cs"/>
          <w:sz w:val="18"/>
          <w:szCs w:val="18"/>
          <w:rtl/>
        </w:rPr>
        <w:t>ולא</w:t>
      </w:r>
      <w:r w:rsidRPr="00D740E3">
        <w:rPr>
          <w:rFonts w:cs="Arial"/>
          <w:sz w:val="18"/>
          <w:szCs w:val="18"/>
          <w:rtl/>
        </w:rPr>
        <w:t xml:space="preserve"> </w:t>
      </w:r>
      <w:r w:rsidRPr="00D740E3">
        <w:rPr>
          <w:rFonts w:cs="Arial" w:hint="cs"/>
          <w:sz w:val="18"/>
          <w:szCs w:val="18"/>
          <w:rtl/>
        </w:rPr>
        <w:t>ידעינן</w:t>
      </w:r>
      <w:r w:rsidRPr="00D740E3">
        <w:rPr>
          <w:rFonts w:cs="Arial"/>
          <w:sz w:val="18"/>
          <w:szCs w:val="18"/>
          <w:rtl/>
        </w:rPr>
        <w:t xml:space="preserve"> </w:t>
      </w:r>
      <w:r w:rsidRPr="00D740E3">
        <w:rPr>
          <w:rFonts w:cs="Arial" w:hint="cs"/>
          <w:sz w:val="18"/>
          <w:szCs w:val="18"/>
          <w:rtl/>
        </w:rPr>
        <w:t>אי</w:t>
      </w:r>
      <w:r w:rsidRPr="00D740E3">
        <w:rPr>
          <w:rFonts w:cs="Arial"/>
          <w:sz w:val="18"/>
          <w:szCs w:val="18"/>
          <w:rtl/>
        </w:rPr>
        <w:t xml:space="preserve"> </w:t>
      </w:r>
      <w:r w:rsidRPr="00D740E3">
        <w:rPr>
          <w:rFonts w:cs="Arial" w:hint="cs"/>
          <w:sz w:val="18"/>
          <w:szCs w:val="18"/>
          <w:rtl/>
        </w:rPr>
        <w:t>בדקה</w:t>
      </w:r>
      <w:r w:rsidRPr="00D740E3">
        <w:rPr>
          <w:rFonts w:cs="Arial"/>
          <w:sz w:val="18"/>
          <w:szCs w:val="18"/>
          <w:rtl/>
        </w:rPr>
        <w:t xml:space="preserve"> </w:t>
      </w:r>
      <w:r w:rsidRPr="00D740E3">
        <w:rPr>
          <w:rFonts w:cs="Arial" w:hint="cs"/>
          <w:sz w:val="18"/>
          <w:szCs w:val="18"/>
          <w:rtl/>
        </w:rPr>
        <w:t>אי</w:t>
      </w:r>
      <w:r w:rsidRPr="00D740E3">
        <w:rPr>
          <w:rFonts w:cs="Arial"/>
          <w:sz w:val="18"/>
          <w:szCs w:val="18"/>
          <w:rtl/>
        </w:rPr>
        <w:t xml:space="preserve"> </w:t>
      </w:r>
      <w:r w:rsidRPr="00D740E3">
        <w:rPr>
          <w:rFonts w:cs="Arial" w:hint="cs"/>
          <w:sz w:val="18"/>
          <w:szCs w:val="18"/>
          <w:rtl/>
        </w:rPr>
        <w:t>לא</w:t>
      </w:r>
      <w:r w:rsidRPr="00D740E3">
        <w:rPr>
          <w:rFonts w:cs="Arial"/>
          <w:sz w:val="18"/>
          <w:szCs w:val="18"/>
          <w:rtl/>
        </w:rPr>
        <w:t xml:space="preserve"> </w:t>
      </w:r>
      <w:r w:rsidRPr="00D740E3">
        <w:rPr>
          <w:rFonts w:cs="Arial" w:hint="cs"/>
          <w:sz w:val="18"/>
          <w:szCs w:val="18"/>
          <w:rtl/>
        </w:rPr>
        <w:t>בדקה</w:t>
      </w:r>
      <w:r>
        <w:rPr>
          <w:rFonts w:cs="Arial" w:hint="cs"/>
          <w:sz w:val="18"/>
          <w:szCs w:val="18"/>
          <w:rtl/>
        </w:rPr>
        <w:t>,</w:t>
      </w:r>
      <w:r w:rsidRPr="00D740E3">
        <w:rPr>
          <w:rFonts w:cs="Arial"/>
          <w:sz w:val="18"/>
          <w:szCs w:val="18"/>
          <w:rtl/>
        </w:rPr>
        <w:t xml:space="preserve"> </w:t>
      </w:r>
      <w:r w:rsidRPr="00D740E3">
        <w:rPr>
          <w:rFonts w:cs="Arial" w:hint="cs"/>
          <w:sz w:val="18"/>
          <w:szCs w:val="18"/>
          <w:rtl/>
        </w:rPr>
        <w:t>לא</w:t>
      </w:r>
      <w:r w:rsidRPr="00D740E3">
        <w:rPr>
          <w:rFonts w:cs="Arial"/>
          <w:sz w:val="18"/>
          <w:szCs w:val="18"/>
          <w:rtl/>
        </w:rPr>
        <w:t xml:space="preserve"> </w:t>
      </w:r>
      <w:r w:rsidRPr="00D740E3">
        <w:rPr>
          <w:rFonts w:cs="Arial" w:hint="cs"/>
          <w:sz w:val="18"/>
          <w:szCs w:val="18"/>
          <w:rtl/>
        </w:rPr>
        <w:t>מספקינן</w:t>
      </w:r>
      <w:r w:rsidRPr="00D740E3">
        <w:rPr>
          <w:rFonts w:cs="Arial"/>
          <w:sz w:val="18"/>
          <w:szCs w:val="18"/>
          <w:rtl/>
        </w:rPr>
        <w:t xml:space="preserve"> </w:t>
      </w:r>
      <w:r w:rsidRPr="00D740E3">
        <w:rPr>
          <w:rFonts w:cs="Arial" w:hint="cs"/>
          <w:sz w:val="18"/>
          <w:szCs w:val="18"/>
          <w:rtl/>
        </w:rPr>
        <w:t>לה</w:t>
      </w:r>
      <w:r w:rsidRPr="00D740E3">
        <w:rPr>
          <w:rFonts w:cs="Arial"/>
          <w:sz w:val="18"/>
          <w:szCs w:val="18"/>
          <w:rtl/>
        </w:rPr>
        <w:t xml:space="preserve"> </w:t>
      </w:r>
      <w:r w:rsidRPr="00D740E3">
        <w:rPr>
          <w:rFonts w:cs="Arial" w:hint="cs"/>
          <w:sz w:val="18"/>
          <w:szCs w:val="18"/>
          <w:rtl/>
        </w:rPr>
        <w:t>בטומאה</w:t>
      </w:r>
      <w:r>
        <w:rPr>
          <w:rFonts w:cs="Arial" w:hint="cs"/>
          <w:sz w:val="18"/>
          <w:szCs w:val="18"/>
          <w:rtl/>
        </w:rPr>
        <w:t>)</w:t>
      </w:r>
      <w:r>
        <w:rPr>
          <w:rFonts w:cs="Arial" w:hint="cs"/>
          <w:sz w:val="20"/>
          <w:szCs w:val="20"/>
          <w:rtl/>
        </w:rPr>
        <w:t>".</w:t>
      </w:r>
      <w:r>
        <w:rPr>
          <w:rFonts w:cs="Arial"/>
          <w:sz w:val="18"/>
          <w:szCs w:val="18"/>
          <w:rtl/>
        </w:rPr>
        <w:br/>
      </w:r>
      <w:r w:rsidRPr="00842699">
        <w:rPr>
          <w:rFonts w:cs="Arial" w:hint="cs"/>
          <w:sz w:val="20"/>
          <w:szCs w:val="20"/>
          <w:rtl/>
        </w:rPr>
        <w:t>בהמשך (טז.)</w:t>
      </w:r>
      <w:r>
        <w:rPr>
          <w:rFonts w:cs="Arial" w:hint="cs"/>
          <w:sz w:val="20"/>
          <w:szCs w:val="20"/>
          <w:rtl/>
        </w:rPr>
        <w:t>,</w:t>
      </w:r>
      <w:r w:rsidRPr="00842699">
        <w:rPr>
          <w:rFonts w:cs="Arial" w:hint="cs"/>
          <w:sz w:val="20"/>
          <w:szCs w:val="20"/>
          <w:rtl/>
        </w:rPr>
        <w:t xml:space="preserve"> הגמרא מרחיבה בדיון זה</w:t>
      </w:r>
      <w:r>
        <w:rPr>
          <w:rFonts w:cs="Arial" w:hint="cs"/>
          <w:sz w:val="20"/>
          <w:szCs w:val="20"/>
          <w:rtl/>
        </w:rPr>
        <w:t>, ולמעשה פסקו רוב הראשונים שווסתות דרבנן.</w:t>
      </w:r>
      <w:r>
        <w:rPr>
          <w:rStyle w:val="a5"/>
          <w:rFonts w:cs="Arial"/>
          <w:sz w:val="20"/>
          <w:szCs w:val="20"/>
          <w:rtl/>
        </w:rPr>
        <w:footnoteReference w:id="21"/>
      </w:r>
    </w:p>
    <w:p w:rsidR="00620060" w:rsidRDefault="00620060" w:rsidP="00620060">
      <w:pPr>
        <w:rPr>
          <w:rFonts w:cs="Arial"/>
          <w:sz w:val="20"/>
          <w:szCs w:val="20"/>
          <w:rtl/>
        </w:rPr>
      </w:pPr>
      <w:r>
        <w:rPr>
          <w:rFonts w:hint="cs"/>
          <w:b/>
          <w:bCs/>
          <w:sz w:val="20"/>
          <w:szCs w:val="20"/>
          <w:rtl/>
        </w:rPr>
        <w:t xml:space="preserve">סעיף ב </w:t>
      </w:r>
      <w:r>
        <w:rPr>
          <w:b/>
          <w:bCs/>
          <w:sz w:val="20"/>
          <w:szCs w:val="20"/>
          <w:rtl/>
        </w:rPr>
        <w:t>–</w:t>
      </w:r>
      <w:r>
        <w:rPr>
          <w:rFonts w:hint="cs"/>
          <w:b/>
          <w:bCs/>
          <w:sz w:val="20"/>
          <w:szCs w:val="20"/>
          <w:rtl/>
        </w:rPr>
        <w:t xml:space="preserve"> פרישה סמוך לווסת</w:t>
      </w:r>
      <w:r>
        <w:rPr>
          <w:rFonts w:cs="Arial"/>
          <w:sz w:val="20"/>
          <w:szCs w:val="20"/>
          <w:rtl/>
        </w:rPr>
        <w:br/>
      </w:r>
      <w:r w:rsidRPr="0089117B">
        <w:rPr>
          <w:rFonts w:cs="Arial" w:hint="cs"/>
          <w:b/>
          <w:bCs/>
          <w:sz w:val="20"/>
          <w:szCs w:val="20"/>
          <w:rtl/>
        </w:rPr>
        <w:t>מקור הדין</w:t>
      </w:r>
      <w:r>
        <w:rPr>
          <w:rFonts w:cs="Arial"/>
          <w:sz w:val="20"/>
          <w:szCs w:val="20"/>
          <w:rtl/>
        </w:rPr>
        <w:br/>
      </w:r>
      <w:r w:rsidRPr="0089117B">
        <w:rPr>
          <w:rFonts w:cs="Arial" w:hint="cs"/>
          <w:b/>
          <w:bCs/>
          <w:sz w:val="20"/>
          <w:szCs w:val="20"/>
          <w:rtl/>
        </w:rPr>
        <w:t>גמרא</w:t>
      </w:r>
      <w:r>
        <w:rPr>
          <w:rFonts w:cs="Arial" w:hint="cs"/>
          <w:sz w:val="20"/>
          <w:szCs w:val="20"/>
          <w:rtl/>
        </w:rPr>
        <w:t xml:space="preserve"> שבועות (יח:) "</w:t>
      </w:r>
      <w:r w:rsidRPr="0089117B">
        <w:rPr>
          <w:rFonts w:cs="Arial" w:hint="cs"/>
          <w:sz w:val="20"/>
          <w:szCs w:val="20"/>
          <w:rtl/>
        </w:rPr>
        <w:t>ת</w:t>
      </w:r>
      <w:r>
        <w:rPr>
          <w:rFonts w:cs="Arial" w:hint="cs"/>
          <w:sz w:val="20"/>
          <w:szCs w:val="20"/>
          <w:rtl/>
        </w:rPr>
        <w:t>נו רבנן</w:t>
      </w:r>
      <w:r w:rsidRPr="0089117B">
        <w:rPr>
          <w:rFonts w:cs="Arial"/>
          <w:sz w:val="20"/>
          <w:szCs w:val="20"/>
          <w:rtl/>
        </w:rPr>
        <w:t xml:space="preserve">: </w:t>
      </w:r>
      <w:r w:rsidRPr="0089117B">
        <w:rPr>
          <w:rFonts w:cs="Arial" w:hint="cs"/>
          <w:sz w:val="20"/>
          <w:szCs w:val="20"/>
          <w:rtl/>
        </w:rPr>
        <w:t>והזרתם</w:t>
      </w:r>
      <w:r w:rsidRPr="0089117B">
        <w:rPr>
          <w:rFonts w:cs="Arial"/>
          <w:sz w:val="20"/>
          <w:szCs w:val="20"/>
          <w:rtl/>
        </w:rPr>
        <w:t xml:space="preserve"> </w:t>
      </w:r>
      <w:r w:rsidRPr="0089117B">
        <w:rPr>
          <w:rFonts w:cs="Arial" w:hint="cs"/>
          <w:sz w:val="20"/>
          <w:szCs w:val="20"/>
          <w:rtl/>
        </w:rPr>
        <w:t>את</w:t>
      </w:r>
      <w:r w:rsidRPr="0089117B">
        <w:rPr>
          <w:rFonts w:cs="Arial"/>
          <w:sz w:val="20"/>
          <w:szCs w:val="20"/>
          <w:rtl/>
        </w:rPr>
        <w:t xml:space="preserve"> </w:t>
      </w:r>
      <w:r w:rsidRPr="0089117B">
        <w:rPr>
          <w:rFonts w:cs="Arial" w:hint="cs"/>
          <w:sz w:val="20"/>
          <w:szCs w:val="20"/>
          <w:rtl/>
        </w:rPr>
        <w:t>בני</w:t>
      </w:r>
      <w:r w:rsidRPr="0089117B">
        <w:rPr>
          <w:rFonts w:cs="Arial"/>
          <w:sz w:val="20"/>
          <w:szCs w:val="20"/>
          <w:rtl/>
        </w:rPr>
        <w:t xml:space="preserve"> </w:t>
      </w:r>
      <w:r w:rsidRPr="0089117B">
        <w:rPr>
          <w:rFonts w:cs="Arial" w:hint="cs"/>
          <w:sz w:val="20"/>
          <w:szCs w:val="20"/>
          <w:rtl/>
        </w:rPr>
        <w:t>ישראל</w:t>
      </w:r>
      <w:r w:rsidRPr="0089117B">
        <w:rPr>
          <w:rFonts w:cs="Arial"/>
          <w:sz w:val="20"/>
          <w:szCs w:val="20"/>
          <w:rtl/>
        </w:rPr>
        <w:t xml:space="preserve"> </w:t>
      </w:r>
      <w:r w:rsidRPr="0089117B">
        <w:rPr>
          <w:rFonts w:cs="Arial" w:hint="cs"/>
          <w:sz w:val="20"/>
          <w:szCs w:val="20"/>
          <w:rtl/>
        </w:rPr>
        <w:t>מטומאתם</w:t>
      </w:r>
      <w:r w:rsidRPr="0089117B">
        <w:rPr>
          <w:rFonts w:cs="Arial"/>
          <w:sz w:val="20"/>
          <w:szCs w:val="20"/>
          <w:rtl/>
        </w:rPr>
        <w:t xml:space="preserve"> - </w:t>
      </w:r>
      <w:r w:rsidRPr="0089117B">
        <w:rPr>
          <w:rFonts w:cs="Arial" w:hint="cs"/>
          <w:sz w:val="20"/>
          <w:szCs w:val="20"/>
          <w:rtl/>
        </w:rPr>
        <w:t>אמר</w:t>
      </w:r>
      <w:r w:rsidRPr="0089117B">
        <w:rPr>
          <w:rFonts w:cs="Arial"/>
          <w:sz w:val="20"/>
          <w:szCs w:val="20"/>
          <w:rtl/>
        </w:rPr>
        <w:t xml:space="preserve"> </w:t>
      </w:r>
      <w:r w:rsidRPr="0089117B">
        <w:rPr>
          <w:rFonts w:cs="Arial" w:hint="cs"/>
          <w:sz w:val="20"/>
          <w:szCs w:val="20"/>
          <w:rtl/>
        </w:rPr>
        <w:t>רבי</w:t>
      </w:r>
      <w:r w:rsidRPr="0089117B">
        <w:rPr>
          <w:rFonts w:cs="Arial"/>
          <w:sz w:val="20"/>
          <w:szCs w:val="20"/>
          <w:rtl/>
        </w:rPr>
        <w:t xml:space="preserve"> </w:t>
      </w:r>
      <w:r w:rsidRPr="0089117B">
        <w:rPr>
          <w:rFonts w:cs="Arial" w:hint="cs"/>
          <w:sz w:val="20"/>
          <w:szCs w:val="20"/>
          <w:rtl/>
        </w:rPr>
        <w:t>יאשיה</w:t>
      </w:r>
      <w:r w:rsidRPr="0089117B">
        <w:rPr>
          <w:rFonts w:cs="Arial"/>
          <w:sz w:val="20"/>
          <w:szCs w:val="20"/>
          <w:rtl/>
        </w:rPr>
        <w:t xml:space="preserve">: </w:t>
      </w:r>
      <w:r w:rsidRPr="0089117B">
        <w:rPr>
          <w:rFonts w:cs="Arial" w:hint="cs"/>
          <w:sz w:val="20"/>
          <w:szCs w:val="20"/>
          <w:rtl/>
        </w:rPr>
        <w:t>מיכן</w:t>
      </w:r>
      <w:r w:rsidRPr="0089117B">
        <w:rPr>
          <w:rFonts w:cs="Arial"/>
          <w:sz w:val="20"/>
          <w:szCs w:val="20"/>
          <w:rtl/>
        </w:rPr>
        <w:t xml:space="preserve"> </w:t>
      </w:r>
      <w:r w:rsidRPr="0089117B">
        <w:rPr>
          <w:rFonts w:cs="Arial" w:hint="cs"/>
          <w:sz w:val="20"/>
          <w:szCs w:val="20"/>
          <w:rtl/>
        </w:rPr>
        <w:t>אזהרה</w:t>
      </w:r>
      <w:r w:rsidRPr="0089117B">
        <w:rPr>
          <w:rFonts w:cs="Arial"/>
          <w:sz w:val="20"/>
          <w:szCs w:val="20"/>
          <w:rtl/>
        </w:rPr>
        <w:t xml:space="preserve"> </w:t>
      </w:r>
      <w:r w:rsidRPr="0089117B">
        <w:rPr>
          <w:rFonts w:cs="Arial" w:hint="cs"/>
          <w:sz w:val="20"/>
          <w:szCs w:val="20"/>
          <w:rtl/>
        </w:rPr>
        <w:t>לבני</w:t>
      </w:r>
      <w:r w:rsidRPr="0089117B">
        <w:rPr>
          <w:rFonts w:cs="Arial"/>
          <w:sz w:val="20"/>
          <w:szCs w:val="20"/>
          <w:rtl/>
        </w:rPr>
        <w:t xml:space="preserve"> </w:t>
      </w:r>
      <w:r w:rsidRPr="0089117B">
        <w:rPr>
          <w:rFonts w:cs="Arial" w:hint="cs"/>
          <w:sz w:val="20"/>
          <w:szCs w:val="20"/>
          <w:rtl/>
        </w:rPr>
        <w:t>ישראל</w:t>
      </w:r>
      <w:r w:rsidRPr="0089117B">
        <w:rPr>
          <w:rFonts w:cs="Arial"/>
          <w:sz w:val="20"/>
          <w:szCs w:val="20"/>
          <w:rtl/>
        </w:rPr>
        <w:t xml:space="preserve"> </w:t>
      </w:r>
      <w:r w:rsidRPr="0089117B">
        <w:rPr>
          <w:rFonts w:cs="Arial" w:hint="cs"/>
          <w:sz w:val="20"/>
          <w:szCs w:val="20"/>
          <w:rtl/>
        </w:rPr>
        <w:t>שיפרשו</w:t>
      </w:r>
      <w:r w:rsidRPr="0089117B">
        <w:rPr>
          <w:rFonts w:cs="Arial"/>
          <w:sz w:val="20"/>
          <w:szCs w:val="20"/>
          <w:rtl/>
        </w:rPr>
        <w:t xml:space="preserve"> </w:t>
      </w:r>
      <w:r w:rsidRPr="0089117B">
        <w:rPr>
          <w:rFonts w:cs="Arial" w:hint="cs"/>
          <w:sz w:val="20"/>
          <w:szCs w:val="20"/>
          <w:rtl/>
        </w:rPr>
        <w:t>מנשותיהן</w:t>
      </w:r>
      <w:r w:rsidRPr="0089117B">
        <w:rPr>
          <w:rFonts w:cs="Arial"/>
          <w:sz w:val="20"/>
          <w:szCs w:val="20"/>
          <w:rtl/>
        </w:rPr>
        <w:t xml:space="preserve"> </w:t>
      </w:r>
      <w:r w:rsidRPr="0089117B">
        <w:rPr>
          <w:rFonts w:cs="Arial" w:hint="cs"/>
          <w:sz w:val="20"/>
          <w:szCs w:val="20"/>
          <w:rtl/>
        </w:rPr>
        <w:t>סמוך</w:t>
      </w:r>
      <w:r w:rsidRPr="0089117B">
        <w:rPr>
          <w:rFonts w:cs="Arial"/>
          <w:sz w:val="20"/>
          <w:szCs w:val="20"/>
          <w:rtl/>
        </w:rPr>
        <w:t xml:space="preserve"> </w:t>
      </w:r>
      <w:r w:rsidRPr="0089117B">
        <w:rPr>
          <w:rFonts w:cs="Arial" w:hint="cs"/>
          <w:sz w:val="20"/>
          <w:szCs w:val="20"/>
          <w:rtl/>
        </w:rPr>
        <w:t>לוסתן</w:t>
      </w:r>
      <w:r w:rsidRPr="0089117B">
        <w:rPr>
          <w:rFonts w:cs="Arial"/>
          <w:sz w:val="20"/>
          <w:szCs w:val="20"/>
          <w:rtl/>
        </w:rPr>
        <w:t xml:space="preserve">. </w:t>
      </w:r>
      <w:r w:rsidRPr="0089117B">
        <w:rPr>
          <w:rFonts w:cs="Arial" w:hint="cs"/>
          <w:sz w:val="20"/>
          <w:szCs w:val="20"/>
          <w:rtl/>
        </w:rPr>
        <w:t>וכמה</w:t>
      </w:r>
      <w:r w:rsidRPr="0089117B">
        <w:rPr>
          <w:rFonts w:cs="Arial"/>
          <w:sz w:val="20"/>
          <w:szCs w:val="20"/>
          <w:rtl/>
        </w:rPr>
        <w:t xml:space="preserve">? </w:t>
      </w:r>
      <w:r w:rsidRPr="0089117B">
        <w:rPr>
          <w:rFonts w:cs="Arial" w:hint="cs"/>
          <w:sz w:val="20"/>
          <w:szCs w:val="20"/>
          <w:rtl/>
        </w:rPr>
        <w:t>אמר</w:t>
      </w:r>
      <w:r w:rsidRPr="0089117B">
        <w:rPr>
          <w:rFonts w:cs="Arial"/>
          <w:sz w:val="20"/>
          <w:szCs w:val="20"/>
          <w:rtl/>
        </w:rPr>
        <w:t xml:space="preserve"> </w:t>
      </w:r>
      <w:r w:rsidRPr="0089117B">
        <w:rPr>
          <w:rFonts w:cs="Arial" w:hint="cs"/>
          <w:sz w:val="20"/>
          <w:szCs w:val="20"/>
          <w:rtl/>
        </w:rPr>
        <w:t>רבה</w:t>
      </w:r>
      <w:r w:rsidRPr="0089117B">
        <w:rPr>
          <w:rFonts w:cs="Arial"/>
          <w:sz w:val="20"/>
          <w:szCs w:val="20"/>
          <w:rtl/>
        </w:rPr>
        <w:t xml:space="preserve">: </w:t>
      </w:r>
      <w:r w:rsidRPr="0089117B">
        <w:rPr>
          <w:rFonts w:cs="Arial" w:hint="cs"/>
          <w:sz w:val="20"/>
          <w:szCs w:val="20"/>
          <w:rtl/>
        </w:rPr>
        <w:t>עונה</w:t>
      </w:r>
      <w:r>
        <w:rPr>
          <w:rFonts w:cs="Arial" w:hint="cs"/>
          <w:sz w:val="20"/>
          <w:szCs w:val="20"/>
          <w:rtl/>
        </w:rPr>
        <w:t>".</w:t>
      </w:r>
      <w:r>
        <w:rPr>
          <w:rFonts w:cs="Arial" w:hint="cs"/>
          <w:sz w:val="20"/>
          <w:szCs w:val="20"/>
          <w:rtl/>
        </w:rPr>
        <w:br/>
      </w:r>
      <w:r w:rsidRPr="00ED62DC">
        <w:rPr>
          <w:rFonts w:cs="Arial" w:hint="cs"/>
          <w:b/>
          <w:bCs/>
          <w:sz w:val="20"/>
          <w:szCs w:val="20"/>
          <w:rtl/>
        </w:rPr>
        <w:t>רמ"א</w:t>
      </w:r>
      <w:r>
        <w:rPr>
          <w:rFonts w:cs="Arial" w:hint="cs"/>
          <w:sz w:val="20"/>
          <w:szCs w:val="20"/>
          <w:rtl/>
        </w:rPr>
        <w:t xml:space="preserve"> </w:t>
      </w:r>
      <w:r>
        <w:rPr>
          <w:rFonts w:cs="Arial"/>
          <w:sz w:val="20"/>
          <w:szCs w:val="20"/>
          <w:rtl/>
        </w:rPr>
        <w:t>–</w:t>
      </w:r>
      <w:r>
        <w:rPr>
          <w:rFonts w:cs="Arial" w:hint="cs"/>
          <w:sz w:val="20"/>
          <w:szCs w:val="20"/>
          <w:rtl/>
        </w:rPr>
        <w:t xml:space="preserve"> "</w:t>
      </w:r>
      <w:r w:rsidRPr="00ED62DC">
        <w:rPr>
          <w:rFonts w:cs="Arial" w:hint="cs"/>
          <w:sz w:val="20"/>
          <w:szCs w:val="20"/>
          <w:rtl/>
        </w:rPr>
        <w:t>וכל</w:t>
      </w:r>
      <w:r w:rsidRPr="00ED62DC">
        <w:rPr>
          <w:rFonts w:cs="Arial"/>
          <w:sz w:val="20"/>
          <w:szCs w:val="20"/>
          <w:rtl/>
        </w:rPr>
        <w:t xml:space="preserve"> </w:t>
      </w:r>
      <w:r w:rsidRPr="00ED62DC">
        <w:rPr>
          <w:rFonts w:cs="Arial" w:hint="cs"/>
          <w:sz w:val="20"/>
          <w:szCs w:val="20"/>
          <w:rtl/>
        </w:rPr>
        <w:t>זה</w:t>
      </w:r>
      <w:r w:rsidRPr="00ED62DC">
        <w:rPr>
          <w:rFonts w:cs="Arial"/>
          <w:sz w:val="20"/>
          <w:szCs w:val="20"/>
          <w:rtl/>
        </w:rPr>
        <w:t xml:space="preserve"> </w:t>
      </w:r>
      <w:r w:rsidRPr="00ED62DC">
        <w:rPr>
          <w:rFonts w:cs="Arial" w:hint="cs"/>
          <w:sz w:val="20"/>
          <w:szCs w:val="20"/>
          <w:rtl/>
        </w:rPr>
        <w:t>לא</w:t>
      </w:r>
      <w:r w:rsidRPr="00ED62DC">
        <w:rPr>
          <w:rFonts w:cs="Arial"/>
          <w:sz w:val="20"/>
          <w:szCs w:val="20"/>
          <w:rtl/>
        </w:rPr>
        <w:t xml:space="preserve"> </w:t>
      </w:r>
      <w:r w:rsidRPr="00ED62DC">
        <w:rPr>
          <w:rFonts w:cs="Arial" w:hint="cs"/>
          <w:sz w:val="20"/>
          <w:szCs w:val="20"/>
          <w:rtl/>
        </w:rPr>
        <w:t>מיירי</w:t>
      </w:r>
      <w:r w:rsidRPr="00ED62DC">
        <w:rPr>
          <w:rFonts w:cs="Arial"/>
          <w:sz w:val="20"/>
          <w:szCs w:val="20"/>
          <w:rtl/>
        </w:rPr>
        <w:t xml:space="preserve"> </w:t>
      </w:r>
      <w:r w:rsidRPr="00ED62DC">
        <w:rPr>
          <w:rFonts w:cs="Arial" w:hint="cs"/>
          <w:sz w:val="20"/>
          <w:szCs w:val="20"/>
          <w:rtl/>
        </w:rPr>
        <w:t>אלא</w:t>
      </w:r>
      <w:r w:rsidRPr="00ED62DC">
        <w:rPr>
          <w:rFonts w:cs="Arial"/>
          <w:sz w:val="20"/>
          <w:szCs w:val="20"/>
          <w:rtl/>
        </w:rPr>
        <w:t xml:space="preserve"> </w:t>
      </w:r>
      <w:r w:rsidRPr="0082125B">
        <w:rPr>
          <w:rFonts w:cs="Arial" w:hint="cs"/>
          <w:sz w:val="20"/>
          <w:szCs w:val="20"/>
          <w:rtl/>
        </w:rPr>
        <w:t>בווסת</w:t>
      </w:r>
      <w:r w:rsidRPr="0082125B">
        <w:rPr>
          <w:rFonts w:cs="Arial"/>
          <w:sz w:val="20"/>
          <w:szCs w:val="20"/>
          <w:rtl/>
        </w:rPr>
        <w:t xml:space="preserve"> </w:t>
      </w:r>
      <w:r w:rsidRPr="0082125B">
        <w:rPr>
          <w:rFonts w:cs="Arial" w:hint="cs"/>
          <w:sz w:val="20"/>
          <w:szCs w:val="20"/>
          <w:rtl/>
        </w:rPr>
        <w:t>התלוי</w:t>
      </w:r>
      <w:r w:rsidRPr="0082125B">
        <w:rPr>
          <w:rFonts w:cs="Arial"/>
          <w:sz w:val="20"/>
          <w:szCs w:val="20"/>
          <w:rtl/>
        </w:rPr>
        <w:t xml:space="preserve"> </w:t>
      </w:r>
      <w:r w:rsidRPr="0082125B">
        <w:rPr>
          <w:rFonts w:cs="Arial" w:hint="cs"/>
          <w:sz w:val="20"/>
          <w:szCs w:val="20"/>
          <w:rtl/>
        </w:rPr>
        <w:t>בימים</w:t>
      </w:r>
      <w:r w:rsidRPr="00ED62DC">
        <w:rPr>
          <w:rFonts w:cs="Arial"/>
          <w:sz w:val="20"/>
          <w:szCs w:val="20"/>
          <w:rtl/>
        </w:rPr>
        <w:t xml:space="preserve"> </w:t>
      </w:r>
      <w:r w:rsidRPr="00ED62DC">
        <w:rPr>
          <w:rFonts w:cs="Arial" w:hint="cs"/>
          <w:sz w:val="20"/>
          <w:szCs w:val="20"/>
          <w:rtl/>
        </w:rPr>
        <w:t>אבל</w:t>
      </w:r>
      <w:r w:rsidRPr="00ED62DC">
        <w:rPr>
          <w:rFonts w:cs="Arial"/>
          <w:sz w:val="20"/>
          <w:szCs w:val="20"/>
          <w:rtl/>
        </w:rPr>
        <w:t xml:space="preserve"> </w:t>
      </w:r>
      <w:r w:rsidRPr="00ED62DC">
        <w:rPr>
          <w:rFonts w:cs="Arial" w:hint="cs"/>
          <w:sz w:val="20"/>
          <w:szCs w:val="20"/>
          <w:rtl/>
        </w:rPr>
        <w:t>לא</w:t>
      </w:r>
      <w:r w:rsidRPr="00ED62DC">
        <w:rPr>
          <w:rFonts w:cs="Arial"/>
          <w:sz w:val="20"/>
          <w:szCs w:val="20"/>
          <w:rtl/>
        </w:rPr>
        <w:t xml:space="preserve"> </w:t>
      </w:r>
      <w:r w:rsidRPr="00ED62DC">
        <w:rPr>
          <w:rFonts w:cs="Arial" w:hint="cs"/>
          <w:sz w:val="20"/>
          <w:szCs w:val="20"/>
          <w:rtl/>
        </w:rPr>
        <w:t>ב</w:t>
      </w:r>
      <w:r>
        <w:rPr>
          <w:rFonts w:cs="Arial" w:hint="cs"/>
          <w:sz w:val="20"/>
          <w:szCs w:val="20"/>
          <w:rtl/>
        </w:rPr>
        <w:t>ו</w:t>
      </w:r>
      <w:r w:rsidRPr="00ED62DC">
        <w:rPr>
          <w:rFonts w:cs="Arial" w:hint="cs"/>
          <w:sz w:val="20"/>
          <w:szCs w:val="20"/>
          <w:rtl/>
        </w:rPr>
        <w:t>וסת</w:t>
      </w:r>
      <w:r w:rsidRPr="00ED62DC">
        <w:rPr>
          <w:rFonts w:cs="Arial"/>
          <w:sz w:val="20"/>
          <w:szCs w:val="20"/>
          <w:rtl/>
        </w:rPr>
        <w:t xml:space="preserve"> </w:t>
      </w:r>
      <w:r w:rsidRPr="00ED62DC">
        <w:rPr>
          <w:rFonts w:cs="Arial" w:hint="cs"/>
          <w:sz w:val="20"/>
          <w:szCs w:val="20"/>
          <w:rtl/>
        </w:rPr>
        <w:t>התלוי</w:t>
      </w:r>
      <w:r w:rsidRPr="00ED62DC">
        <w:rPr>
          <w:rFonts w:cs="Arial"/>
          <w:sz w:val="20"/>
          <w:szCs w:val="20"/>
          <w:rtl/>
        </w:rPr>
        <w:t xml:space="preserve"> </w:t>
      </w:r>
      <w:r w:rsidRPr="00ED62DC">
        <w:rPr>
          <w:rFonts w:cs="Arial" w:hint="cs"/>
          <w:sz w:val="20"/>
          <w:szCs w:val="20"/>
          <w:rtl/>
        </w:rPr>
        <w:t>בשינוי</w:t>
      </w:r>
      <w:r w:rsidRPr="00ED62DC">
        <w:rPr>
          <w:rFonts w:cs="Arial"/>
          <w:sz w:val="20"/>
          <w:szCs w:val="20"/>
          <w:rtl/>
        </w:rPr>
        <w:t xml:space="preserve"> </w:t>
      </w:r>
      <w:r w:rsidRPr="00ED62DC">
        <w:rPr>
          <w:rFonts w:cs="Arial" w:hint="cs"/>
          <w:sz w:val="20"/>
          <w:szCs w:val="20"/>
          <w:rtl/>
        </w:rPr>
        <w:t>הגוף</w:t>
      </w:r>
      <w:r>
        <w:rPr>
          <w:rFonts w:cs="Arial" w:hint="cs"/>
          <w:sz w:val="20"/>
          <w:szCs w:val="20"/>
          <w:rtl/>
        </w:rPr>
        <w:t>".</w:t>
      </w:r>
      <w:r>
        <w:rPr>
          <w:rFonts w:cs="Arial" w:hint="cs"/>
          <w:sz w:val="20"/>
          <w:szCs w:val="20"/>
          <w:rtl/>
        </w:rPr>
        <w:br/>
        <w:t xml:space="preserve">כלומר </w:t>
      </w:r>
      <w:r>
        <w:rPr>
          <w:rFonts w:cs="Arial"/>
          <w:sz w:val="20"/>
          <w:szCs w:val="20"/>
          <w:rtl/>
        </w:rPr>
        <w:t>–</w:t>
      </w:r>
      <w:r>
        <w:rPr>
          <w:rFonts w:cs="Arial" w:hint="cs"/>
          <w:sz w:val="20"/>
          <w:szCs w:val="20"/>
          <w:rtl/>
        </w:rPr>
        <w:t xml:space="preserve"> מבואר לקמן שבווסת התלוי בשינוי הגוף אינו פורש כל העונה, אלא בשעת הווסת בלבד.</w:t>
      </w:r>
    </w:p>
    <w:p w:rsidR="00620060" w:rsidRDefault="00620060" w:rsidP="00620060">
      <w:pPr>
        <w:rPr>
          <w:rFonts w:cs="Arial"/>
          <w:sz w:val="20"/>
          <w:szCs w:val="20"/>
          <w:rtl/>
        </w:rPr>
      </w:pPr>
      <w:r>
        <w:rPr>
          <w:rFonts w:cs="Arial" w:hint="cs"/>
          <w:sz w:val="20"/>
          <w:szCs w:val="20"/>
          <w:u w:val="single"/>
          <w:rtl/>
        </w:rPr>
        <w:t>האם חיוב הפרישה הוא דאורייתא או דרבנן</w:t>
      </w:r>
      <w:r>
        <w:rPr>
          <w:rFonts w:cs="Arial" w:hint="cs"/>
          <w:sz w:val="20"/>
          <w:szCs w:val="20"/>
          <w:rtl/>
        </w:rPr>
        <w:br/>
        <w:t>נחלקו הראשונים האם חיוב הפרישה סמוך לווסת הוא דין דאורייתא או דרבנן:</w:t>
      </w:r>
      <w:r>
        <w:rPr>
          <w:rFonts w:cs="Arial"/>
          <w:sz w:val="20"/>
          <w:szCs w:val="20"/>
          <w:rtl/>
        </w:rPr>
        <w:br/>
      </w:r>
      <w:r>
        <w:rPr>
          <w:rFonts w:cs="Arial" w:hint="cs"/>
          <w:sz w:val="20"/>
          <w:szCs w:val="20"/>
          <w:rtl/>
        </w:rPr>
        <w:t xml:space="preserve">א. </w:t>
      </w:r>
      <w:r w:rsidRPr="009309F0">
        <w:rPr>
          <w:rFonts w:cs="Arial" w:hint="cs"/>
          <w:b/>
          <w:bCs/>
          <w:sz w:val="20"/>
          <w:szCs w:val="20"/>
          <w:rtl/>
        </w:rPr>
        <w:t>רא"ש</w:t>
      </w:r>
      <w:r>
        <w:rPr>
          <w:rStyle w:val="a5"/>
          <w:rFonts w:cs="Arial"/>
          <w:sz w:val="20"/>
          <w:szCs w:val="20"/>
          <w:rtl/>
        </w:rPr>
        <w:footnoteReference w:id="22"/>
      </w:r>
      <w:r>
        <w:rPr>
          <w:rFonts w:cs="Arial" w:hint="cs"/>
          <w:sz w:val="20"/>
          <w:szCs w:val="20"/>
          <w:rtl/>
        </w:rPr>
        <w:t xml:space="preserve"> </w:t>
      </w:r>
      <w:r w:rsidRPr="009309F0">
        <w:rPr>
          <w:rFonts w:cs="Arial" w:hint="cs"/>
          <w:b/>
          <w:bCs/>
          <w:sz w:val="20"/>
          <w:szCs w:val="20"/>
          <w:rtl/>
        </w:rPr>
        <w:t>ורבינו תם</w:t>
      </w:r>
      <w:r>
        <w:rPr>
          <w:rFonts w:cs="Arial" w:hint="cs"/>
          <w:sz w:val="20"/>
          <w:szCs w:val="20"/>
          <w:rtl/>
        </w:rPr>
        <w:t xml:space="preserve"> </w:t>
      </w:r>
      <w:r>
        <w:rPr>
          <w:rFonts w:cs="Arial"/>
          <w:sz w:val="20"/>
          <w:szCs w:val="20"/>
          <w:rtl/>
        </w:rPr>
        <w:t>–</w:t>
      </w:r>
      <w:r>
        <w:rPr>
          <w:rFonts w:cs="Arial" w:hint="cs"/>
          <w:sz w:val="20"/>
          <w:szCs w:val="20"/>
          <w:rtl/>
        </w:rPr>
        <w:t xml:space="preserve"> דאורייתא.</w:t>
      </w:r>
      <w:r>
        <w:rPr>
          <w:rStyle w:val="a5"/>
          <w:rFonts w:cs="Arial"/>
          <w:sz w:val="20"/>
          <w:szCs w:val="20"/>
          <w:rtl/>
        </w:rPr>
        <w:footnoteReference w:id="23"/>
      </w:r>
      <w:r>
        <w:rPr>
          <w:rFonts w:cs="Arial" w:hint="cs"/>
          <w:sz w:val="20"/>
          <w:szCs w:val="20"/>
          <w:rtl/>
        </w:rPr>
        <w:br/>
        <w:t>אמנם, הבית יוסף מעיר שייתכן לומר בביאור כוונתם שאין זה דאורייתא ממש, אלא שיש לכך סמך מדאורייתא.</w:t>
      </w:r>
      <w:r>
        <w:rPr>
          <w:rFonts w:cs="Arial"/>
          <w:sz w:val="20"/>
          <w:szCs w:val="20"/>
          <w:rtl/>
        </w:rPr>
        <w:t xml:space="preserve"> </w:t>
      </w:r>
      <w:r>
        <w:rPr>
          <w:rFonts w:cs="Arial"/>
          <w:sz w:val="20"/>
          <w:szCs w:val="20"/>
          <w:rtl/>
        </w:rPr>
        <w:br/>
      </w:r>
      <w:r>
        <w:rPr>
          <w:rFonts w:cs="Arial" w:hint="cs"/>
          <w:sz w:val="20"/>
          <w:szCs w:val="20"/>
          <w:rtl/>
        </w:rPr>
        <w:t xml:space="preserve">ב. </w:t>
      </w:r>
      <w:r w:rsidRPr="009309F0">
        <w:rPr>
          <w:rFonts w:cs="Arial" w:hint="cs"/>
          <w:b/>
          <w:bCs/>
          <w:sz w:val="20"/>
          <w:szCs w:val="20"/>
          <w:rtl/>
        </w:rPr>
        <w:t>ר"ן</w:t>
      </w:r>
      <w:r>
        <w:rPr>
          <w:rFonts w:cs="Arial" w:hint="cs"/>
          <w:sz w:val="20"/>
          <w:szCs w:val="20"/>
          <w:rtl/>
        </w:rPr>
        <w:t xml:space="preserve"> </w:t>
      </w:r>
      <w:r>
        <w:rPr>
          <w:rFonts w:cs="Arial"/>
          <w:sz w:val="20"/>
          <w:szCs w:val="20"/>
          <w:rtl/>
        </w:rPr>
        <w:t>–</w:t>
      </w:r>
      <w:r>
        <w:rPr>
          <w:rFonts w:cs="Arial" w:hint="cs"/>
          <w:sz w:val="20"/>
          <w:szCs w:val="20"/>
          <w:rtl/>
        </w:rPr>
        <w:t xml:space="preserve"> דרבנן, הפסוק הוא אסמכתא בלבד, וכ"פ </w:t>
      </w:r>
      <w:r w:rsidRPr="00A24D80">
        <w:rPr>
          <w:rFonts w:cs="Arial" w:hint="cs"/>
          <w:b/>
          <w:bCs/>
          <w:sz w:val="20"/>
          <w:szCs w:val="20"/>
          <w:rtl/>
        </w:rPr>
        <w:t>הש"ך</w:t>
      </w:r>
      <w:r>
        <w:rPr>
          <w:rFonts w:cs="Arial" w:hint="cs"/>
          <w:sz w:val="20"/>
          <w:szCs w:val="20"/>
          <w:rtl/>
        </w:rPr>
        <w:t xml:space="preserve">. </w:t>
      </w:r>
      <w:r>
        <w:rPr>
          <w:rFonts w:cs="Arial"/>
          <w:sz w:val="20"/>
          <w:szCs w:val="20"/>
          <w:rtl/>
        </w:rPr>
        <w:br/>
      </w:r>
      <w:r w:rsidRPr="009309F0">
        <w:rPr>
          <w:rFonts w:cs="Arial" w:hint="cs"/>
          <w:b/>
          <w:bCs/>
          <w:sz w:val="20"/>
          <w:szCs w:val="20"/>
          <w:rtl/>
        </w:rPr>
        <w:t>ראיה</w:t>
      </w:r>
      <w:r>
        <w:rPr>
          <w:rFonts w:cs="Arial" w:hint="cs"/>
          <w:sz w:val="20"/>
          <w:szCs w:val="20"/>
          <w:rtl/>
        </w:rPr>
        <w:t xml:space="preserve"> </w:t>
      </w:r>
      <w:r>
        <w:rPr>
          <w:rFonts w:cs="Arial"/>
          <w:sz w:val="20"/>
          <w:szCs w:val="20"/>
          <w:rtl/>
        </w:rPr>
        <w:t>–</w:t>
      </w:r>
      <w:r>
        <w:rPr>
          <w:rFonts w:cs="Arial" w:hint="cs"/>
          <w:sz w:val="20"/>
          <w:szCs w:val="20"/>
          <w:rtl/>
        </w:rPr>
        <w:t xml:space="preserve"> ווסתות דרבנן, ואם כן לא ייתכן שחיוב הפרישה סמוך לווסת הוא דאורייתא.</w:t>
      </w:r>
      <w:r>
        <w:rPr>
          <w:rFonts w:cs="Arial"/>
          <w:sz w:val="20"/>
          <w:szCs w:val="20"/>
          <w:rtl/>
        </w:rPr>
        <w:br/>
      </w:r>
      <w:r>
        <w:rPr>
          <w:rFonts w:cs="Arial" w:hint="cs"/>
          <w:sz w:val="20"/>
          <w:szCs w:val="20"/>
          <w:rtl/>
        </w:rPr>
        <w:t xml:space="preserve">ג. </w:t>
      </w:r>
      <w:r w:rsidRPr="004D14D5">
        <w:rPr>
          <w:rFonts w:cs="Arial" w:hint="cs"/>
          <w:b/>
          <w:bCs/>
          <w:sz w:val="20"/>
          <w:szCs w:val="20"/>
          <w:rtl/>
        </w:rPr>
        <w:t>רמב"ן וריטב"א</w:t>
      </w:r>
      <w:r>
        <w:rPr>
          <w:rFonts w:cs="Arial" w:hint="cs"/>
          <w:sz w:val="20"/>
          <w:szCs w:val="20"/>
          <w:rtl/>
        </w:rPr>
        <w:t xml:space="preserve"> </w:t>
      </w:r>
      <w:r>
        <w:rPr>
          <w:rFonts w:cs="Arial"/>
          <w:sz w:val="20"/>
          <w:szCs w:val="20"/>
          <w:rtl/>
        </w:rPr>
        <w:t>–</w:t>
      </w:r>
      <w:r>
        <w:rPr>
          <w:rFonts w:cs="Arial" w:hint="cs"/>
          <w:sz w:val="20"/>
          <w:szCs w:val="20"/>
          <w:rtl/>
        </w:rPr>
        <w:t xml:space="preserve"> מדאורייתא אין לשמש סמוך לווסת ממש, כגון חצי שעה, מדרבנן אסור לשמש כל העונה.</w:t>
      </w:r>
      <w:r>
        <w:rPr>
          <w:rFonts w:cs="Arial" w:hint="cs"/>
          <w:sz w:val="20"/>
          <w:szCs w:val="20"/>
          <w:rtl/>
        </w:rPr>
        <w:br/>
        <w:t xml:space="preserve">ד. </w:t>
      </w:r>
      <w:r w:rsidRPr="00A24D80">
        <w:rPr>
          <w:rFonts w:cs="Arial" w:hint="cs"/>
          <w:b/>
          <w:bCs/>
          <w:sz w:val="20"/>
          <w:szCs w:val="20"/>
          <w:rtl/>
        </w:rPr>
        <w:t>רא"ה</w:t>
      </w:r>
      <w:r>
        <w:rPr>
          <w:rFonts w:cs="Arial" w:hint="cs"/>
          <w:sz w:val="20"/>
          <w:szCs w:val="20"/>
          <w:rtl/>
        </w:rPr>
        <w:t xml:space="preserve"> </w:t>
      </w:r>
      <w:r w:rsidRPr="00A24D80">
        <w:rPr>
          <w:rFonts w:cs="Arial" w:hint="cs"/>
          <w:sz w:val="18"/>
          <w:szCs w:val="18"/>
          <w:rtl/>
        </w:rPr>
        <w:t xml:space="preserve">(הו"ד </w:t>
      </w:r>
      <w:r w:rsidRPr="00A24D80">
        <w:rPr>
          <w:rFonts w:cs="Arial" w:hint="cs"/>
          <w:b/>
          <w:bCs/>
          <w:sz w:val="18"/>
          <w:szCs w:val="18"/>
          <w:rtl/>
        </w:rPr>
        <w:t>בפת"ש</w:t>
      </w:r>
      <w:r w:rsidRPr="00A24D80">
        <w:rPr>
          <w:rFonts w:cs="Arial" w:hint="cs"/>
          <w:sz w:val="18"/>
          <w:szCs w:val="18"/>
          <w:rtl/>
        </w:rPr>
        <w:t xml:space="preserve">) </w:t>
      </w:r>
      <w:r>
        <w:rPr>
          <w:rFonts w:cs="Arial"/>
          <w:sz w:val="20"/>
          <w:szCs w:val="20"/>
          <w:rtl/>
        </w:rPr>
        <w:t>–</w:t>
      </w:r>
      <w:r>
        <w:rPr>
          <w:rFonts w:cs="Arial" w:hint="cs"/>
          <w:sz w:val="20"/>
          <w:szCs w:val="20"/>
          <w:rtl/>
        </w:rPr>
        <w:t xml:space="preserve"> עד שעת הווסת עצמה הפרישה דרבנן, משעת הווסת הפרישה דאורייתא.</w:t>
      </w:r>
      <w:r>
        <w:rPr>
          <w:rFonts w:cs="Arial"/>
          <w:sz w:val="20"/>
          <w:szCs w:val="20"/>
          <w:rtl/>
        </w:rPr>
        <w:br/>
      </w:r>
      <w:r w:rsidRPr="00A24D80">
        <w:rPr>
          <w:rFonts w:cs="Arial" w:hint="cs"/>
          <w:b/>
          <w:bCs/>
          <w:sz w:val="20"/>
          <w:szCs w:val="20"/>
          <w:rtl/>
        </w:rPr>
        <w:t>טעם</w:t>
      </w:r>
      <w:r>
        <w:rPr>
          <w:rFonts w:cs="Arial" w:hint="cs"/>
          <w:sz w:val="20"/>
          <w:szCs w:val="20"/>
          <w:rtl/>
        </w:rPr>
        <w:t xml:space="preserve"> </w:t>
      </w:r>
      <w:r>
        <w:rPr>
          <w:rFonts w:cs="Arial"/>
          <w:sz w:val="20"/>
          <w:szCs w:val="20"/>
          <w:rtl/>
        </w:rPr>
        <w:t>–</w:t>
      </w:r>
      <w:r>
        <w:rPr>
          <w:rFonts w:cs="Arial" w:hint="cs"/>
          <w:sz w:val="20"/>
          <w:szCs w:val="20"/>
          <w:rtl/>
        </w:rPr>
        <w:t xml:space="preserve"> לפני הגעת ווסתה אסורים לשמש שמא חום התשמיש יקדים את הווסת, וזו הרחקה דרבנן, לאחר שעת הווסת עשויה לראות בכל רגע.</w:t>
      </w:r>
    </w:p>
    <w:p w:rsidR="00620060" w:rsidRDefault="00620060" w:rsidP="00620060">
      <w:pPr>
        <w:rPr>
          <w:rFonts w:cs="Arial"/>
          <w:sz w:val="20"/>
          <w:szCs w:val="20"/>
          <w:rtl/>
        </w:rPr>
      </w:pPr>
      <w:r w:rsidRPr="0082125B">
        <w:rPr>
          <w:rStyle w:val="10"/>
          <w:rFonts w:hint="cs"/>
          <w:sz w:val="22"/>
          <w:szCs w:val="22"/>
          <w:rtl/>
        </w:rPr>
        <w:t>א</w:t>
      </w:r>
      <w:r w:rsidRPr="004E7E6E">
        <w:rPr>
          <w:rFonts w:cs="Arial" w:hint="cs"/>
          <w:rtl/>
        </w:rPr>
        <w:t>.</w:t>
      </w:r>
      <w:r w:rsidRPr="004E7E6E">
        <w:rPr>
          <w:rFonts w:cs="Arial" w:hint="cs"/>
          <w:b/>
          <w:bCs/>
          <w:rtl/>
        </w:rPr>
        <w:t xml:space="preserve"> </w:t>
      </w:r>
      <w:r>
        <w:rPr>
          <w:rFonts w:cs="Arial" w:hint="cs"/>
          <w:b/>
          <w:bCs/>
          <w:sz w:val="20"/>
          <w:szCs w:val="20"/>
          <w:rtl/>
        </w:rPr>
        <w:t>זמן הפרישה</w:t>
      </w:r>
      <w:r>
        <w:rPr>
          <w:rFonts w:cs="Arial"/>
          <w:b/>
          <w:bCs/>
          <w:sz w:val="20"/>
          <w:szCs w:val="20"/>
          <w:rtl/>
        </w:rPr>
        <w:br/>
      </w:r>
      <w:r>
        <w:rPr>
          <w:rFonts w:cs="Arial" w:hint="cs"/>
          <w:b/>
          <w:bCs/>
          <w:sz w:val="20"/>
          <w:szCs w:val="20"/>
          <w:rtl/>
        </w:rPr>
        <w:t xml:space="preserve">משנה </w:t>
      </w:r>
      <w:r>
        <w:rPr>
          <w:rFonts w:cs="Arial" w:hint="cs"/>
          <w:sz w:val="20"/>
          <w:szCs w:val="20"/>
          <w:rtl/>
        </w:rPr>
        <w:t xml:space="preserve">נידה (סג:) "רבי יוסי אומר... </w:t>
      </w:r>
      <w:r w:rsidRPr="00417BDF">
        <w:rPr>
          <w:rFonts w:cs="Arial" w:hint="cs"/>
          <w:sz w:val="20"/>
          <w:szCs w:val="20"/>
          <w:rtl/>
        </w:rPr>
        <w:t>היתה</w:t>
      </w:r>
      <w:r w:rsidRPr="00417BDF">
        <w:rPr>
          <w:rFonts w:cs="Arial"/>
          <w:sz w:val="20"/>
          <w:szCs w:val="20"/>
          <w:rtl/>
        </w:rPr>
        <w:t xml:space="preserve"> </w:t>
      </w:r>
      <w:r w:rsidRPr="00417BDF">
        <w:rPr>
          <w:rFonts w:cs="Arial" w:hint="cs"/>
          <w:sz w:val="20"/>
          <w:szCs w:val="20"/>
          <w:rtl/>
        </w:rPr>
        <w:t>למודה</w:t>
      </w:r>
      <w:r w:rsidRPr="00417BDF">
        <w:rPr>
          <w:rFonts w:cs="Arial"/>
          <w:sz w:val="20"/>
          <w:szCs w:val="20"/>
          <w:rtl/>
        </w:rPr>
        <w:t xml:space="preserve"> </w:t>
      </w:r>
      <w:r w:rsidRPr="00417BDF">
        <w:rPr>
          <w:rFonts w:cs="Arial" w:hint="cs"/>
          <w:sz w:val="20"/>
          <w:szCs w:val="20"/>
          <w:rtl/>
        </w:rPr>
        <w:t>להיות</w:t>
      </w:r>
      <w:r w:rsidRPr="00417BDF">
        <w:rPr>
          <w:rFonts w:cs="Arial"/>
          <w:sz w:val="20"/>
          <w:szCs w:val="20"/>
          <w:rtl/>
        </w:rPr>
        <w:t xml:space="preserve"> </w:t>
      </w:r>
      <w:r w:rsidRPr="00417BDF">
        <w:rPr>
          <w:rFonts w:cs="Arial" w:hint="cs"/>
          <w:sz w:val="20"/>
          <w:szCs w:val="20"/>
          <w:rtl/>
        </w:rPr>
        <w:t>רואה</w:t>
      </w:r>
      <w:r w:rsidRPr="00417BDF">
        <w:rPr>
          <w:rFonts w:cs="Arial"/>
          <w:sz w:val="20"/>
          <w:szCs w:val="20"/>
          <w:rtl/>
        </w:rPr>
        <w:t xml:space="preserve"> </w:t>
      </w:r>
      <w:r w:rsidRPr="00417BDF">
        <w:rPr>
          <w:rFonts w:cs="Arial" w:hint="cs"/>
          <w:sz w:val="20"/>
          <w:szCs w:val="20"/>
          <w:rtl/>
        </w:rPr>
        <w:t>עם</w:t>
      </w:r>
      <w:r w:rsidRPr="00417BDF">
        <w:rPr>
          <w:rFonts w:cs="Arial"/>
          <w:sz w:val="20"/>
          <w:szCs w:val="20"/>
          <w:rtl/>
        </w:rPr>
        <w:t xml:space="preserve"> </w:t>
      </w:r>
      <w:r w:rsidRPr="00417BDF">
        <w:rPr>
          <w:rFonts w:cs="Arial" w:hint="cs"/>
          <w:sz w:val="20"/>
          <w:szCs w:val="20"/>
          <w:rtl/>
        </w:rPr>
        <w:t>הנץ</w:t>
      </w:r>
      <w:r w:rsidRPr="00417BDF">
        <w:rPr>
          <w:rFonts w:cs="Arial"/>
          <w:sz w:val="20"/>
          <w:szCs w:val="20"/>
          <w:rtl/>
        </w:rPr>
        <w:t xml:space="preserve"> </w:t>
      </w:r>
      <w:r w:rsidRPr="00417BDF">
        <w:rPr>
          <w:rFonts w:cs="Arial" w:hint="cs"/>
          <w:sz w:val="20"/>
          <w:szCs w:val="20"/>
          <w:rtl/>
        </w:rPr>
        <w:t>החמה</w:t>
      </w:r>
      <w:r w:rsidRPr="00417BDF">
        <w:rPr>
          <w:rFonts w:cs="Arial"/>
          <w:sz w:val="20"/>
          <w:szCs w:val="20"/>
          <w:rtl/>
        </w:rPr>
        <w:t xml:space="preserve"> - </w:t>
      </w:r>
      <w:r w:rsidRPr="00417BDF">
        <w:rPr>
          <w:rFonts w:cs="Arial" w:hint="cs"/>
          <w:sz w:val="20"/>
          <w:szCs w:val="20"/>
          <w:rtl/>
        </w:rPr>
        <w:t>אינה</w:t>
      </w:r>
      <w:r w:rsidRPr="00417BDF">
        <w:rPr>
          <w:rFonts w:cs="Arial"/>
          <w:sz w:val="20"/>
          <w:szCs w:val="20"/>
          <w:rtl/>
        </w:rPr>
        <w:t xml:space="preserve"> </w:t>
      </w:r>
      <w:r w:rsidRPr="00417BDF">
        <w:rPr>
          <w:rFonts w:cs="Arial" w:hint="cs"/>
          <w:sz w:val="20"/>
          <w:szCs w:val="20"/>
          <w:rtl/>
        </w:rPr>
        <w:t>אסורה</w:t>
      </w:r>
      <w:r w:rsidRPr="00417BDF">
        <w:rPr>
          <w:rFonts w:cs="Arial"/>
          <w:sz w:val="20"/>
          <w:szCs w:val="20"/>
          <w:rtl/>
        </w:rPr>
        <w:t xml:space="preserve"> </w:t>
      </w:r>
      <w:r w:rsidRPr="00417BDF">
        <w:rPr>
          <w:rFonts w:cs="Arial" w:hint="cs"/>
          <w:sz w:val="20"/>
          <w:szCs w:val="20"/>
          <w:rtl/>
        </w:rPr>
        <w:t>אלא</w:t>
      </w:r>
      <w:r w:rsidRPr="00417BDF">
        <w:rPr>
          <w:rFonts w:cs="Arial"/>
          <w:sz w:val="20"/>
          <w:szCs w:val="20"/>
          <w:rtl/>
        </w:rPr>
        <w:t xml:space="preserve"> </w:t>
      </w:r>
      <w:r w:rsidRPr="00417BDF">
        <w:rPr>
          <w:rFonts w:cs="Arial" w:hint="cs"/>
          <w:sz w:val="20"/>
          <w:szCs w:val="20"/>
          <w:rtl/>
        </w:rPr>
        <w:t>עם</w:t>
      </w:r>
      <w:r w:rsidRPr="00417BDF">
        <w:rPr>
          <w:rFonts w:cs="Arial"/>
          <w:sz w:val="20"/>
          <w:szCs w:val="20"/>
          <w:rtl/>
        </w:rPr>
        <w:t xml:space="preserve"> </w:t>
      </w:r>
      <w:r w:rsidRPr="00417BDF">
        <w:rPr>
          <w:rFonts w:cs="Arial" w:hint="cs"/>
          <w:sz w:val="20"/>
          <w:szCs w:val="20"/>
          <w:rtl/>
        </w:rPr>
        <w:t>הנץ</w:t>
      </w:r>
      <w:r w:rsidRPr="00417BDF">
        <w:rPr>
          <w:rFonts w:cs="Arial"/>
          <w:sz w:val="20"/>
          <w:szCs w:val="20"/>
          <w:rtl/>
        </w:rPr>
        <w:t xml:space="preserve"> </w:t>
      </w:r>
      <w:r w:rsidRPr="00417BDF">
        <w:rPr>
          <w:rFonts w:cs="Arial" w:hint="cs"/>
          <w:sz w:val="20"/>
          <w:szCs w:val="20"/>
          <w:rtl/>
        </w:rPr>
        <w:t>החמה</w:t>
      </w:r>
      <w:r w:rsidRPr="00417BDF">
        <w:rPr>
          <w:rFonts w:cs="Arial"/>
          <w:sz w:val="20"/>
          <w:szCs w:val="20"/>
          <w:rtl/>
        </w:rPr>
        <w:t xml:space="preserve">. </w:t>
      </w:r>
      <w:r w:rsidRPr="00417BDF">
        <w:rPr>
          <w:rFonts w:cs="Arial" w:hint="cs"/>
          <w:sz w:val="20"/>
          <w:szCs w:val="20"/>
          <w:rtl/>
        </w:rPr>
        <w:t>רבי</w:t>
      </w:r>
      <w:r w:rsidRPr="00417BDF">
        <w:rPr>
          <w:rFonts w:cs="Arial"/>
          <w:sz w:val="20"/>
          <w:szCs w:val="20"/>
          <w:rtl/>
        </w:rPr>
        <w:t xml:space="preserve"> </w:t>
      </w:r>
      <w:r w:rsidRPr="00417BDF">
        <w:rPr>
          <w:rFonts w:cs="Arial" w:hint="cs"/>
          <w:sz w:val="20"/>
          <w:szCs w:val="20"/>
          <w:rtl/>
        </w:rPr>
        <w:t>יהודה</w:t>
      </w:r>
      <w:r w:rsidRPr="00417BDF">
        <w:rPr>
          <w:rFonts w:cs="Arial"/>
          <w:sz w:val="20"/>
          <w:szCs w:val="20"/>
          <w:rtl/>
        </w:rPr>
        <w:t xml:space="preserve"> </w:t>
      </w:r>
      <w:r w:rsidRPr="00417BDF">
        <w:rPr>
          <w:rFonts w:cs="Arial" w:hint="cs"/>
          <w:sz w:val="20"/>
          <w:szCs w:val="20"/>
          <w:rtl/>
        </w:rPr>
        <w:t>אומר</w:t>
      </w:r>
      <w:r w:rsidRPr="00417BDF">
        <w:rPr>
          <w:rFonts w:cs="Arial"/>
          <w:sz w:val="20"/>
          <w:szCs w:val="20"/>
          <w:rtl/>
        </w:rPr>
        <w:t xml:space="preserve">: </w:t>
      </w:r>
      <w:r w:rsidRPr="00417BDF">
        <w:rPr>
          <w:rFonts w:cs="Arial" w:hint="cs"/>
          <w:sz w:val="20"/>
          <w:szCs w:val="20"/>
          <w:rtl/>
        </w:rPr>
        <w:t>כל</w:t>
      </w:r>
      <w:r w:rsidRPr="00417BDF">
        <w:rPr>
          <w:rFonts w:cs="Arial"/>
          <w:sz w:val="20"/>
          <w:szCs w:val="20"/>
          <w:rtl/>
        </w:rPr>
        <w:t xml:space="preserve"> </w:t>
      </w:r>
      <w:r w:rsidRPr="00417BDF">
        <w:rPr>
          <w:rFonts w:cs="Arial" w:hint="cs"/>
          <w:sz w:val="20"/>
          <w:szCs w:val="20"/>
          <w:rtl/>
        </w:rPr>
        <w:t>היום</w:t>
      </w:r>
      <w:r w:rsidRPr="00417BDF">
        <w:rPr>
          <w:rFonts w:cs="Arial"/>
          <w:sz w:val="20"/>
          <w:szCs w:val="20"/>
          <w:rtl/>
        </w:rPr>
        <w:t xml:space="preserve"> </w:t>
      </w:r>
      <w:r w:rsidRPr="00417BDF">
        <w:rPr>
          <w:rFonts w:cs="Arial" w:hint="cs"/>
          <w:sz w:val="20"/>
          <w:szCs w:val="20"/>
          <w:rtl/>
        </w:rPr>
        <w:t>שלה</w:t>
      </w:r>
      <w:r>
        <w:rPr>
          <w:rFonts w:cs="Arial" w:hint="cs"/>
          <w:sz w:val="20"/>
          <w:szCs w:val="20"/>
          <w:rtl/>
        </w:rPr>
        <w:t>"</w:t>
      </w:r>
      <w:r w:rsidRPr="00417BDF">
        <w:rPr>
          <w:rFonts w:cs="Arial"/>
          <w:sz w:val="20"/>
          <w:szCs w:val="20"/>
          <w:rtl/>
        </w:rPr>
        <w:t xml:space="preserve">. </w:t>
      </w:r>
      <w:r>
        <w:rPr>
          <w:rFonts w:cs="Arial" w:hint="cs"/>
          <w:sz w:val="20"/>
          <w:szCs w:val="20"/>
          <w:rtl/>
        </w:rPr>
        <w:br/>
      </w:r>
      <w:r>
        <w:rPr>
          <w:rFonts w:cs="Arial" w:hint="cs"/>
          <w:sz w:val="20"/>
          <w:szCs w:val="20"/>
          <w:rtl/>
        </w:rPr>
        <w:lastRenderedPageBreak/>
        <w:t xml:space="preserve">ומפרש רש"י ע"פ הגמרא בהמשך </w:t>
      </w:r>
      <w:r>
        <w:rPr>
          <w:rFonts w:cs="Arial"/>
          <w:sz w:val="20"/>
          <w:szCs w:val="20"/>
          <w:rtl/>
        </w:rPr>
        <w:t>–</w:t>
      </w:r>
      <w:r>
        <w:rPr>
          <w:rFonts w:cs="Arial" w:hint="cs"/>
          <w:sz w:val="20"/>
          <w:szCs w:val="20"/>
          <w:rtl/>
        </w:rPr>
        <w:t xml:space="preserve"> מדובר באשה שרגילה לראות בסוף הלילה לפני הנץ החמה, ודעת רבי יהודה היא שאסורה לשמש כל הלילה שלפניו.</w:t>
      </w:r>
      <w:r>
        <w:rPr>
          <w:rFonts w:cs="Arial"/>
          <w:sz w:val="20"/>
          <w:szCs w:val="20"/>
          <w:rtl/>
        </w:rPr>
        <w:br/>
      </w:r>
      <w:r>
        <w:rPr>
          <w:rFonts w:cs="Arial" w:hint="cs"/>
          <w:b/>
          <w:bCs/>
          <w:sz w:val="20"/>
          <w:szCs w:val="20"/>
          <w:rtl/>
        </w:rPr>
        <w:t xml:space="preserve">גמרא </w:t>
      </w:r>
      <w:r>
        <w:rPr>
          <w:rFonts w:cs="Arial" w:hint="cs"/>
          <w:sz w:val="20"/>
          <w:szCs w:val="20"/>
          <w:rtl/>
        </w:rPr>
        <w:t>(שם) "</w:t>
      </w:r>
      <w:r w:rsidRPr="00417BDF">
        <w:rPr>
          <w:rFonts w:cs="Arial" w:hint="cs"/>
          <w:sz w:val="20"/>
          <w:szCs w:val="20"/>
          <w:rtl/>
        </w:rPr>
        <w:t>אמר</w:t>
      </w:r>
      <w:r w:rsidRPr="00417BDF">
        <w:rPr>
          <w:rFonts w:cs="Arial"/>
          <w:sz w:val="20"/>
          <w:szCs w:val="20"/>
          <w:rtl/>
        </w:rPr>
        <w:t xml:space="preserve"> </w:t>
      </w:r>
      <w:r w:rsidRPr="00417BDF">
        <w:rPr>
          <w:rFonts w:cs="Arial" w:hint="cs"/>
          <w:sz w:val="20"/>
          <w:szCs w:val="20"/>
          <w:rtl/>
        </w:rPr>
        <w:t>רבא</w:t>
      </w:r>
      <w:r w:rsidRPr="00417BDF">
        <w:rPr>
          <w:rFonts w:cs="Arial"/>
          <w:sz w:val="20"/>
          <w:szCs w:val="20"/>
          <w:rtl/>
        </w:rPr>
        <w:t xml:space="preserve">: </w:t>
      </w:r>
      <w:r w:rsidRPr="00417BDF">
        <w:rPr>
          <w:rFonts w:cs="Arial" w:hint="cs"/>
          <w:sz w:val="20"/>
          <w:szCs w:val="20"/>
          <w:rtl/>
        </w:rPr>
        <w:t>הלכה</w:t>
      </w:r>
      <w:r w:rsidRPr="00417BDF">
        <w:rPr>
          <w:rFonts w:cs="Arial"/>
          <w:sz w:val="20"/>
          <w:szCs w:val="20"/>
          <w:rtl/>
        </w:rPr>
        <w:t xml:space="preserve"> </w:t>
      </w:r>
      <w:r w:rsidRPr="00417BDF">
        <w:rPr>
          <w:rFonts w:cs="Arial" w:hint="cs"/>
          <w:sz w:val="20"/>
          <w:szCs w:val="20"/>
          <w:rtl/>
        </w:rPr>
        <w:t>כרבי</w:t>
      </w:r>
      <w:r w:rsidRPr="00417BDF">
        <w:rPr>
          <w:rFonts w:cs="Arial"/>
          <w:sz w:val="20"/>
          <w:szCs w:val="20"/>
          <w:rtl/>
        </w:rPr>
        <w:t xml:space="preserve"> </w:t>
      </w:r>
      <w:r w:rsidRPr="00417BDF">
        <w:rPr>
          <w:rFonts w:cs="Arial" w:hint="cs"/>
          <w:sz w:val="20"/>
          <w:szCs w:val="20"/>
          <w:rtl/>
        </w:rPr>
        <w:t>יהודה</w:t>
      </w:r>
      <w:r w:rsidRPr="00417BDF">
        <w:rPr>
          <w:rFonts w:cs="Arial"/>
          <w:sz w:val="20"/>
          <w:szCs w:val="20"/>
          <w:rtl/>
        </w:rPr>
        <w:t xml:space="preserve">. </w:t>
      </w:r>
      <w:r w:rsidRPr="00417BDF">
        <w:rPr>
          <w:rFonts w:cs="Arial" w:hint="cs"/>
          <w:sz w:val="20"/>
          <w:szCs w:val="20"/>
          <w:rtl/>
        </w:rPr>
        <w:t>ומי</w:t>
      </w:r>
      <w:r w:rsidRPr="00417BDF">
        <w:rPr>
          <w:rFonts w:cs="Arial"/>
          <w:sz w:val="20"/>
          <w:szCs w:val="20"/>
          <w:rtl/>
        </w:rPr>
        <w:t xml:space="preserve"> </w:t>
      </w:r>
      <w:r w:rsidRPr="00417BDF">
        <w:rPr>
          <w:rFonts w:cs="Arial" w:hint="cs"/>
          <w:sz w:val="20"/>
          <w:szCs w:val="20"/>
          <w:rtl/>
        </w:rPr>
        <w:t>אמר</w:t>
      </w:r>
      <w:r w:rsidRPr="00417BDF">
        <w:rPr>
          <w:rFonts w:cs="Arial"/>
          <w:sz w:val="20"/>
          <w:szCs w:val="20"/>
          <w:rtl/>
        </w:rPr>
        <w:t xml:space="preserve"> </w:t>
      </w:r>
      <w:r w:rsidRPr="00417BDF">
        <w:rPr>
          <w:rFonts w:cs="Arial" w:hint="cs"/>
          <w:sz w:val="20"/>
          <w:szCs w:val="20"/>
          <w:rtl/>
        </w:rPr>
        <w:t>רבא</w:t>
      </w:r>
      <w:r w:rsidRPr="00417BDF">
        <w:rPr>
          <w:rFonts w:cs="Arial"/>
          <w:sz w:val="20"/>
          <w:szCs w:val="20"/>
          <w:rtl/>
        </w:rPr>
        <w:t xml:space="preserve"> </w:t>
      </w:r>
      <w:r w:rsidRPr="00417BDF">
        <w:rPr>
          <w:rFonts w:cs="Arial" w:hint="cs"/>
          <w:sz w:val="20"/>
          <w:szCs w:val="20"/>
          <w:rtl/>
        </w:rPr>
        <w:t>הכי</w:t>
      </w:r>
      <w:r w:rsidRPr="00417BDF">
        <w:rPr>
          <w:rFonts w:cs="Arial"/>
          <w:sz w:val="20"/>
          <w:szCs w:val="20"/>
          <w:rtl/>
        </w:rPr>
        <w:t xml:space="preserve">? </w:t>
      </w:r>
      <w:r w:rsidRPr="00417BDF">
        <w:rPr>
          <w:rFonts w:cs="Arial" w:hint="cs"/>
          <w:sz w:val="20"/>
          <w:szCs w:val="20"/>
          <w:rtl/>
        </w:rPr>
        <w:t>והתניא</w:t>
      </w:r>
      <w:r w:rsidRPr="00417BDF">
        <w:rPr>
          <w:rFonts w:cs="Arial"/>
          <w:sz w:val="20"/>
          <w:szCs w:val="20"/>
          <w:rtl/>
        </w:rPr>
        <w:t xml:space="preserve">: </w:t>
      </w:r>
      <w:r w:rsidRPr="00417BDF">
        <w:rPr>
          <w:rFonts w:cs="Arial" w:hint="cs"/>
          <w:sz w:val="20"/>
          <w:szCs w:val="20"/>
          <w:rtl/>
        </w:rPr>
        <w:t>והזרתם</w:t>
      </w:r>
      <w:r w:rsidRPr="00417BDF">
        <w:rPr>
          <w:rFonts w:cs="Arial"/>
          <w:sz w:val="20"/>
          <w:szCs w:val="20"/>
          <w:rtl/>
        </w:rPr>
        <w:t xml:space="preserve"> </w:t>
      </w:r>
      <w:r w:rsidRPr="00417BDF">
        <w:rPr>
          <w:rFonts w:cs="Arial" w:hint="cs"/>
          <w:sz w:val="20"/>
          <w:szCs w:val="20"/>
          <w:rtl/>
        </w:rPr>
        <w:t>את</w:t>
      </w:r>
      <w:r w:rsidRPr="00417BDF">
        <w:rPr>
          <w:rFonts w:cs="Arial"/>
          <w:sz w:val="20"/>
          <w:szCs w:val="20"/>
          <w:rtl/>
        </w:rPr>
        <w:t xml:space="preserve"> </w:t>
      </w:r>
      <w:r w:rsidRPr="00417BDF">
        <w:rPr>
          <w:rFonts w:cs="Arial" w:hint="cs"/>
          <w:sz w:val="20"/>
          <w:szCs w:val="20"/>
          <w:rtl/>
        </w:rPr>
        <w:t>בני</w:t>
      </w:r>
      <w:r w:rsidRPr="00417BDF">
        <w:rPr>
          <w:rFonts w:cs="Arial"/>
          <w:sz w:val="20"/>
          <w:szCs w:val="20"/>
          <w:rtl/>
        </w:rPr>
        <w:t xml:space="preserve"> </w:t>
      </w:r>
      <w:r w:rsidRPr="00417BDF">
        <w:rPr>
          <w:rFonts w:cs="Arial" w:hint="cs"/>
          <w:sz w:val="20"/>
          <w:szCs w:val="20"/>
          <w:rtl/>
        </w:rPr>
        <w:t>ישראל</w:t>
      </w:r>
      <w:r w:rsidRPr="00417BDF">
        <w:rPr>
          <w:rFonts w:cs="Arial"/>
          <w:sz w:val="20"/>
          <w:szCs w:val="20"/>
          <w:rtl/>
        </w:rPr>
        <w:t xml:space="preserve"> </w:t>
      </w:r>
      <w:r w:rsidRPr="00417BDF">
        <w:rPr>
          <w:rFonts w:cs="Arial" w:hint="cs"/>
          <w:sz w:val="20"/>
          <w:szCs w:val="20"/>
          <w:rtl/>
        </w:rPr>
        <w:t>מטומאתם</w:t>
      </w:r>
      <w:r w:rsidRPr="00417BDF">
        <w:rPr>
          <w:rFonts w:cs="Arial"/>
          <w:sz w:val="20"/>
          <w:szCs w:val="20"/>
          <w:rtl/>
        </w:rPr>
        <w:t xml:space="preserve">, </w:t>
      </w:r>
      <w:r w:rsidRPr="00417BDF">
        <w:rPr>
          <w:rFonts w:cs="Arial" w:hint="cs"/>
          <w:sz w:val="20"/>
          <w:szCs w:val="20"/>
          <w:rtl/>
        </w:rPr>
        <w:t>מכאן</w:t>
      </w:r>
      <w:r w:rsidRPr="00417BDF">
        <w:rPr>
          <w:rFonts w:cs="Arial"/>
          <w:sz w:val="20"/>
          <w:szCs w:val="20"/>
          <w:rtl/>
        </w:rPr>
        <w:t xml:space="preserve"> </w:t>
      </w:r>
      <w:r w:rsidRPr="00417BDF">
        <w:rPr>
          <w:rFonts w:cs="Arial" w:hint="cs"/>
          <w:sz w:val="20"/>
          <w:szCs w:val="20"/>
          <w:rtl/>
        </w:rPr>
        <w:t>א</w:t>
      </w:r>
      <w:r>
        <w:rPr>
          <w:rFonts w:cs="Arial" w:hint="cs"/>
          <w:sz w:val="20"/>
          <w:szCs w:val="20"/>
          <w:rtl/>
        </w:rPr>
        <w:t xml:space="preserve">מר רבי </w:t>
      </w:r>
      <w:r w:rsidRPr="00417BDF">
        <w:rPr>
          <w:rFonts w:cs="Arial" w:hint="cs"/>
          <w:sz w:val="20"/>
          <w:szCs w:val="20"/>
          <w:rtl/>
        </w:rPr>
        <w:t>ירמיה</w:t>
      </w:r>
      <w:r w:rsidRPr="00417BDF">
        <w:rPr>
          <w:rFonts w:cs="Arial"/>
          <w:sz w:val="20"/>
          <w:szCs w:val="20"/>
          <w:rtl/>
        </w:rPr>
        <w:t xml:space="preserve">: </w:t>
      </w:r>
      <w:r w:rsidRPr="00417BDF">
        <w:rPr>
          <w:rFonts w:cs="Arial" w:hint="cs"/>
          <w:sz w:val="20"/>
          <w:szCs w:val="20"/>
          <w:rtl/>
        </w:rPr>
        <w:t>אזהרה</w:t>
      </w:r>
      <w:r w:rsidRPr="00417BDF">
        <w:rPr>
          <w:rFonts w:cs="Arial"/>
          <w:sz w:val="20"/>
          <w:szCs w:val="20"/>
          <w:rtl/>
        </w:rPr>
        <w:t xml:space="preserve"> </w:t>
      </w:r>
      <w:r w:rsidRPr="00417BDF">
        <w:rPr>
          <w:rFonts w:cs="Arial" w:hint="cs"/>
          <w:sz w:val="20"/>
          <w:szCs w:val="20"/>
          <w:rtl/>
        </w:rPr>
        <w:t>לבני</w:t>
      </w:r>
      <w:r w:rsidRPr="00417BDF">
        <w:rPr>
          <w:rFonts w:cs="Arial"/>
          <w:sz w:val="20"/>
          <w:szCs w:val="20"/>
          <w:rtl/>
        </w:rPr>
        <w:t xml:space="preserve"> </w:t>
      </w:r>
      <w:r w:rsidRPr="00417BDF">
        <w:rPr>
          <w:rFonts w:cs="Arial" w:hint="cs"/>
          <w:sz w:val="20"/>
          <w:szCs w:val="20"/>
          <w:rtl/>
        </w:rPr>
        <w:t>ישראל</w:t>
      </w:r>
      <w:r w:rsidRPr="00417BDF">
        <w:rPr>
          <w:rFonts w:cs="Arial"/>
          <w:sz w:val="20"/>
          <w:szCs w:val="20"/>
          <w:rtl/>
        </w:rPr>
        <w:t xml:space="preserve"> </w:t>
      </w:r>
      <w:r w:rsidRPr="00417BDF">
        <w:rPr>
          <w:rFonts w:cs="Arial" w:hint="cs"/>
          <w:sz w:val="20"/>
          <w:szCs w:val="20"/>
          <w:rtl/>
        </w:rPr>
        <w:t>שיפרשו</w:t>
      </w:r>
      <w:r w:rsidRPr="00417BDF">
        <w:rPr>
          <w:rFonts w:cs="Arial"/>
          <w:sz w:val="20"/>
          <w:szCs w:val="20"/>
          <w:rtl/>
        </w:rPr>
        <w:t xml:space="preserve"> </w:t>
      </w:r>
      <w:r w:rsidRPr="00417BDF">
        <w:rPr>
          <w:rFonts w:cs="Arial" w:hint="cs"/>
          <w:sz w:val="20"/>
          <w:szCs w:val="20"/>
          <w:rtl/>
        </w:rPr>
        <w:t>מנשותיהן</w:t>
      </w:r>
      <w:r w:rsidRPr="00417BDF">
        <w:rPr>
          <w:rFonts w:cs="Arial"/>
          <w:sz w:val="20"/>
          <w:szCs w:val="20"/>
          <w:rtl/>
        </w:rPr>
        <w:t xml:space="preserve"> </w:t>
      </w:r>
      <w:r w:rsidRPr="00417BDF">
        <w:rPr>
          <w:rFonts w:cs="Arial" w:hint="cs"/>
          <w:sz w:val="20"/>
          <w:szCs w:val="20"/>
          <w:rtl/>
        </w:rPr>
        <w:t>סמוך</w:t>
      </w:r>
      <w:r w:rsidRPr="00417BDF">
        <w:rPr>
          <w:rFonts w:cs="Arial"/>
          <w:sz w:val="20"/>
          <w:szCs w:val="20"/>
          <w:rtl/>
        </w:rPr>
        <w:t xml:space="preserve"> </w:t>
      </w:r>
      <w:r w:rsidRPr="00417BDF">
        <w:rPr>
          <w:rFonts w:cs="Arial" w:hint="cs"/>
          <w:sz w:val="20"/>
          <w:szCs w:val="20"/>
          <w:rtl/>
        </w:rPr>
        <w:t>לוסתן</w:t>
      </w:r>
      <w:r w:rsidRPr="00417BDF">
        <w:rPr>
          <w:rFonts w:cs="Arial"/>
          <w:sz w:val="20"/>
          <w:szCs w:val="20"/>
          <w:rtl/>
        </w:rPr>
        <w:t xml:space="preserve">. </w:t>
      </w:r>
      <w:r w:rsidRPr="00417BDF">
        <w:rPr>
          <w:rFonts w:cs="Arial" w:hint="cs"/>
          <w:sz w:val="20"/>
          <w:szCs w:val="20"/>
          <w:rtl/>
        </w:rPr>
        <w:t>וכמה</w:t>
      </w:r>
      <w:r w:rsidRPr="00417BDF">
        <w:rPr>
          <w:rFonts w:cs="Arial"/>
          <w:sz w:val="20"/>
          <w:szCs w:val="20"/>
          <w:rtl/>
        </w:rPr>
        <w:t xml:space="preserve">? </w:t>
      </w:r>
      <w:r w:rsidRPr="00417BDF">
        <w:rPr>
          <w:rFonts w:cs="Arial" w:hint="cs"/>
          <w:sz w:val="20"/>
          <w:szCs w:val="20"/>
          <w:rtl/>
        </w:rPr>
        <w:t>אמר</w:t>
      </w:r>
      <w:r w:rsidRPr="00417BDF">
        <w:rPr>
          <w:rFonts w:cs="Arial"/>
          <w:sz w:val="20"/>
          <w:szCs w:val="20"/>
          <w:rtl/>
        </w:rPr>
        <w:t xml:space="preserve"> </w:t>
      </w:r>
      <w:r w:rsidRPr="00417BDF">
        <w:rPr>
          <w:rFonts w:cs="Arial" w:hint="cs"/>
          <w:sz w:val="20"/>
          <w:szCs w:val="20"/>
          <w:rtl/>
        </w:rPr>
        <w:t>רבא</w:t>
      </w:r>
      <w:r w:rsidRPr="00417BDF">
        <w:rPr>
          <w:rFonts w:cs="Arial"/>
          <w:sz w:val="20"/>
          <w:szCs w:val="20"/>
          <w:rtl/>
        </w:rPr>
        <w:t xml:space="preserve">: </w:t>
      </w:r>
      <w:r w:rsidRPr="00417BDF">
        <w:rPr>
          <w:rFonts w:cs="Arial" w:hint="cs"/>
          <w:sz w:val="20"/>
          <w:szCs w:val="20"/>
          <w:rtl/>
        </w:rPr>
        <w:t>עונה</w:t>
      </w:r>
      <w:r w:rsidRPr="00417BDF">
        <w:rPr>
          <w:rFonts w:cs="Arial"/>
          <w:sz w:val="20"/>
          <w:szCs w:val="20"/>
          <w:rtl/>
        </w:rPr>
        <w:t xml:space="preserve">. </w:t>
      </w:r>
      <w:r w:rsidRPr="00417BDF">
        <w:rPr>
          <w:rFonts w:cs="Arial" w:hint="cs"/>
          <w:sz w:val="20"/>
          <w:szCs w:val="20"/>
          <w:rtl/>
        </w:rPr>
        <w:t>מאי</w:t>
      </w:r>
      <w:r w:rsidRPr="00417BDF">
        <w:rPr>
          <w:rFonts w:cs="Arial"/>
          <w:sz w:val="20"/>
          <w:szCs w:val="20"/>
          <w:rtl/>
        </w:rPr>
        <w:t xml:space="preserve"> </w:t>
      </w:r>
      <w:r w:rsidRPr="00417BDF">
        <w:rPr>
          <w:rFonts w:cs="Arial" w:hint="cs"/>
          <w:sz w:val="20"/>
          <w:szCs w:val="20"/>
          <w:rtl/>
        </w:rPr>
        <w:t>לאו</w:t>
      </w:r>
      <w:r w:rsidRPr="00417BDF">
        <w:rPr>
          <w:rFonts w:cs="Arial"/>
          <w:sz w:val="20"/>
          <w:szCs w:val="20"/>
          <w:rtl/>
        </w:rPr>
        <w:t xml:space="preserve"> - </w:t>
      </w:r>
      <w:r w:rsidRPr="00417BDF">
        <w:rPr>
          <w:rFonts w:cs="Arial" w:hint="cs"/>
          <w:sz w:val="20"/>
          <w:szCs w:val="20"/>
          <w:rtl/>
        </w:rPr>
        <w:t>עונה</w:t>
      </w:r>
      <w:r w:rsidRPr="00417BDF">
        <w:rPr>
          <w:rFonts w:cs="Arial"/>
          <w:sz w:val="20"/>
          <w:szCs w:val="20"/>
          <w:rtl/>
        </w:rPr>
        <w:t xml:space="preserve"> </w:t>
      </w:r>
      <w:r w:rsidRPr="00417BDF">
        <w:rPr>
          <w:rFonts w:cs="Arial" w:hint="cs"/>
          <w:sz w:val="20"/>
          <w:szCs w:val="20"/>
          <w:rtl/>
        </w:rPr>
        <w:t>אחריתי</w:t>
      </w:r>
      <w:r>
        <w:rPr>
          <w:rFonts w:cs="Arial" w:hint="cs"/>
          <w:sz w:val="20"/>
          <w:szCs w:val="20"/>
          <w:rtl/>
        </w:rPr>
        <w:t xml:space="preserve"> </w:t>
      </w:r>
      <w:r w:rsidRPr="002D2B5B">
        <w:rPr>
          <w:rFonts w:cs="Arial" w:hint="cs"/>
          <w:sz w:val="18"/>
          <w:szCs w:val="18"/>
          <w:rtl/>
        </w:rPr>
        <w:t>(רש"י - דאם</w:t>
      </w:r>
      <w:r w:rsidRPr="002D2B5B">
        <w:rPr>
          <w:rFonts w:cs="Arial"/>
          <w:sz w:val="18"/>
          <w:szCs w:val="18"/>
          <w:rtl/>
        </w:rPr>
        <w:t xml:space="preserve"> </w:t>
      </w:r>
      <w:r w:rsidRPr="002D2B5B">
        <w:rPr>
          <w:rFonts w:cs="Arial" w:hint="cs"/>
          <w:sz w:val="18"/>
          <w:szCs w:val="18"/>
          <w:rtl/>
        </w:rPr>
        <w:t>וסתה</w:t>
      </w:r>
      <w:r w:rsidRPr="002D2B5B">
        <w:rPr>
          <w:rFonts w:cs="Arial"/>
          <w:sz w:val="18"/>
          <w:szCs w:val="18"/>
          <w:rtl/>
        </w:rPr>
        <w:t xml:space="preserve"> </w:t>
      </w:r>
      <w:r w:rsidRPr="002D2B5B">
        <w:rPr>
          <w:rFonts w:cs="Arial" w:hint="cs"/>
          <w:sz w:val="18"/>
          <w:szCs w:val="18"/>
          <w:rtl/>
        </w:rPr>
        <w:t>ביום</w:t>
      </w:r>
      <w:r w:rsidRPr="002D2B5B">
        <w:rPr>
          <w:rFonts w:cs="Arial"/>
          <w:sz w:val="18"/>
          <w:szCs w:val="18"/>
          <w:rtl/>
        </w:rPr>
        <w:t xml:space="preserve"> </w:t>
      </w:r>
      <w:r w:rsidRPr="002D2B5B">
        <w:rPr>
          <w:rFonts w:cs="Arial" w:hint="cs"/>
          <w:sz w:val="18"/>
          <w:szCs w:val="18"/>
          <w:rtl/>
        </w:rPr>
        <w:t>אסורה</w:t>
      </w:r>
      <w:r w:rsidRPr="002D2B5B">
        <w:rPr>
          <w:rFonts w:cs="Arial"/>
          <w:sz w:val="18"/>
          <w:szCs w:val="18"/>
          <w:rtl/>
        </w:rPr>
        <w:t xml:space="preserve"> </w:t>
      </w:r>
      <w:r w:rsidRPr="002D2B5B">
        <w:rPr>
          <w:rFonts w:cs="Arial" w:hint="cs"/>
          <w:sz w:val="18"/>
          <w:szCs w:val="18"/>
          <w:rtl/>
        </w:rPr>
        <w:t>כל</w:t>
      </w:r>
      <w:r w:rsidRPr="002D2B5B">
        <w:rPr>
          <w:rFonts w:cs="Arial"/>
          <w:sz w:val="18"/>
          <w:szCs w:val="18"/>
          <w:rtl/>
        </w:rPr>
        <w:t xml:space="preserve"> </w:t>
      </w:r>
      <w:r w:rsidRPr="002D2B5B">
        <w:rPr>
          <w:rFonts w:cs="Arial" w:hint="cs"/>
          <w:sz w:val="18"/>
          <w:szCs w:val="18"/>
          <w:rtl/>
        </w:rPr>
        <w:t>היום</w:t>
      </w:r>
      <w:r w:rsidRPr="002D2B5B">
        <w:rPr>
          <w:rFonts w:cs="Arial"/>
          <w:sz w:val="18"/>
          <w:szCs w:val="18"/>
          <w:rtl/>
        </w:rPr>
        <w:t xml:space="preserve"> </w:t>
      </w:r>
      <w:r w:rsidRPr="002D2B5B">
        <w:rPr>
          <w:rFonts w:cs="Arial" w:hint="cs"/>
          <w:sz w:val="18"/>
          <w:szCs w:val="18"/>
          <w:rtl/>
        </w:rPr>
        <w:t>וכל</w:t>
      </w:r>
      <w:r w:rsidRPr="002D2B5B">
        <w:rPr>
          <w:rFonts w:cs="Arial"/>
          <w:sz w:val="18"/>
          <w:szCs w:val="18"/>
          <w:rtl/>
        </w:rPr>
        <w:t xml:space="preserve"> </w:t>
      </w:r>
      <w:r w:rsidRPr="002D2B5B">
        <w:rPr>
          <w:rFonts w:cs="Arial" w:hint="cs"/>
          <w:sz w:val="18"/>
          <w:szCs w:val="18"/>
          <w:rtl/>
        </w:rPr>
        <w:t>הלילה</w:t>
      </w:r>
      <w:r w:rsidRPr="002D2B5B">
        <w:rPr>
          <w:rFonts w:cs="Arial"/>
          <w:sz w:val="18"/>
          <w:szCs w:val="18"/>
          <w:rtl/>
        </w:rPr>
        <w:t xml:space="preserve"> </w:t>
      </w:r>
      <w:r w:rsidRPr="002D2B5B">
        <w:rPr>
          <w:rFonts w:cs="Arial" w:hint="cs"/>
          <w:sz w:val="18"/>
          <w:szCs w:val="18"/>
          <w:rtl/>
        </w:rPr>
        <w:t>שלפניו</w:t>
      </w:r>
      <w:r>
        <w:rPr>
          <w:rFonts w:cs="Arial" w:hint="cs"/>
          <w:sz w:val="18"/>
          <w:szCs w:val="18"/>
          <w:rtl/>
        </w:rPr>
        <w:t>,</w:t>
      </w:r>
      <w:r w:rsidRPr="002D2B5B">
        <w:rPr>
          <w:rFonts w:cs="Arial"/>
          <w:sz w:val="18"/>
          <w:szCs w:val="18"/>
          <w:rtl/>
        </w:rPr>
        <w:t xml:space="preserve"> </w:t>
      </w:r>
      <w:r w:rsidRPr="002D2B5B">
        <w:rPr>
          <w:rFonts w:cs="Arial" w:hint="cs"/>
          <w:sz w:val="18"/>
          <w:szCs w:val="18"/>
          <w:rtl/>
        </w:rPr>
        <w:t>ורבי</w:t>
      </w:r>
      <w:r w:rsidRPr="002D2B5B">
        <w:rPr>
          <w:rFonts w:cs="Arial"/>
          <w:sz w:val="18"/>
          <w:szCs w:val="18"/>
          <w:rtl/>
        </w:rPr>
        <w:t xml:space="preserve"> </w:t>
      </w:r>
      <w:r w:rsidRPr="002D2B5B">
        <w:rPr>
          <w:rFonts w:cs="Arial" w:hint="cs"/>
          <w:sz w:val="18"/>
          <w:szCs w:val="18"/>
          <w:rtl/>
        </w:rPr>
        <w:t>יהודה</w:t>
      </w:r>
      <w:r w:rsidRPr="002D2B5B">
        <w:rPr>
          <w:rFonts w:cs="Arial"/>
          <w:sz w:val="18"/>
          <w:szCs w:val="18"/>
          <w:rtl/>
        </w:rPr>
        <w:t xml:space="preserve"> </w:t>
      </w:r>
      <w:r w:rsidRPr="002D2B5B">
        <w:rPr>
          <w:rFonts w:cs="Arial" w:hint="cs"/>
          <w:sz w:val="18"/>
          <w:szCs w:val="18"/>
          <w:rtl/>
        </w:rPr>
        <w:t>לא</w:t>
      </w:r>
      <w:r w:rsidRPr="002D2B5B">
        <w:rPr>
          <w:rFonts w:cs="Arial"/>
          <w:sz w:val="18"/>
          <w:szCs w:val="18"/>
          <w:rtl/>
        </w:rPr>
        <w:t xml:space="preserve"> </w:t>
      </w:r>
      <w:r w:rsidRPr="002D2B5B">
        <w:rPr>
          <w:rFonts w:cs="Arial" w:hint="cs"/>
          <w:sz w:val="18"/>
          <w:szCs w:val="18"/>
          <w:rtl/>
        </w:rPr>
        <w:t>אסר</w:t>
      </w:r>
      <w:r w:rsidRPr="002D2B5B">
        <w:rPr>
          <w:rFonts w:cs="Arial"/>
          <w:sz w:val="18"/>
          <w:szCs w:val="18"/>
          <w:rtl/>
        </w:rPr>
        <w:t xml:space="preserve"> </w:t>
      </w:r>
      <w:r w:rsidRPr="002D2B5B">
        <w:rPr>
          <w:rFonts w:cs="Arial" w:hint="cs"/>
          <w:sz w:val="18"/>
          <w:szCs w:val="18"/>
          <w:rtl/>
        </w:rPr>
        <w:t>אלא</w:t>
      </w:r>
      <w:r w:rsidRPr="002D2B5B">
        <w:rPr>
          <w:rFonts w:cs="Arial"/>
          <w:sz w:val="18"/>
          <w:szCs w:val="18"/>
          <w:rtl/>
        </w:rPr>
        <w:t xml:space="preserve"> </w:t>
      </w:r>
      <w:r w:rsidRPr="002D2B5B">
        <w:rPr>
          <w:rFonts w:cs="Arial" w:hint="cs"/>
          <w:sz w:val="18"/>
          <w:szCs w:val="18"/>
          <w:rtl/>
        </w:rPr>
        <w:t>עונת</w:t>
      </w:r>
      <w:r w:rsidRPr="002D2B5B">
        <w:rPr>
          <w:rFonts w:cs="Arial"/>
          <w:sz w:val="18"/>
          <w:szCs w:val="18"/>
          <w:rtl/>
        </w:rPr>
        <w:t xml:space="preserve"> </w:t>
      </w:r>
      <w:r w:rsidRPr="002D2B5B">
        <w:rPr>
          <w:rFonts w:cs="Arial" w:hint="cs"/>
          <w:sz w:val="18"/>
          <w:szCs w:val="18"/>
          <w:rtl/>
        </w:rPr>
        <w:t>וסתה)</w:t>
      </w:r>
      <w:r w:rsidRPr="00417BDF">
        <w:rPr>
          <w:rFonts w:cs="Arial"/>
          <w:sz w:val="20"/>
          <w:szCs w:val="20"/>
          <w:rtl/>
        </w:rPr>
        <w:t xml:space="preserve">? </w:t>
      </w:r>
      <w:r w:rsidRPr="00417BDF">
        <w:rPr>
          <w:rFonts w:cs="Arial" w:hint="cs"/>
          <w:sz w:val="20"/>
          <w:szCs w:val="20"/>
          <w:rtl/>
        </w:rPr>
        <w:t>לא</w:t>
      </w:r>
      <w:r w:rsidRPr="00417BDF">
        <w:rPr>
          <w:rFonts w:cs="Arial"/>
          <w:sz w:val="20"/>
          <w:szCs w:val="20"/>
          <w:rtl/>
        </w:rPr>
        <w:t xml:space="preserve">, </w:t>
      </w:r>
      <w:r w:rsidRPr="00417BDF">
        <w:rPr>
          <w:rFonts w:cs="Arial" w:hint="cs"/>
          <w:sz w:val="20"/>
          <w:szCs w:val="20"/>
          <w:rtl/>
        </w:rPr>
        <w:t>אותה</w:t>
      </w:r>
      <w:r w:rsidRPr="00417BDF">
        <w:rPr>
          <w:rFonts w:cs="Arial"/>
          <w:sz w:val="20"/>
          <w:szCs w:val="20"/>
          <w:rtl/>
        </w:rPr>
        <w:t xml:space="preserve"> </w:t>
      </w:r>
      <w:r w:rsidRPr="00417BDF">
        <w:rPr>
          <w:rFonts w:cs="Arial" w:hint="cs"/>
          <w:sz w:val="20"/>
          <w:szCs w:val="20"/>
          <w:rtl/>
        </w:rPr>
        <w:t>עונה</w:t>
      </w:r>
      <w:r>
        <w:rPr>
          <w:rFonts w:cs="Arial"/>
          <w:sz w:val="20"/>
          <w:szCs w:val="20"/>
          <w:rtl/>
        </w:rPr>
        <w:t>".</w:t>
      </w:r>
      <w:r>
        <w:rPr>
          <w:rFonts w:cs="Arial" w:hint="cs"/>
          <w:sz w:val="20"/>
          <w:szCs w:val="20"/>
          <w:rtl/>
        </w:rPr>
        <w:br/>
        <w:t>וכן פסקו רוב הראשונים, שחיוב פרישה סמוך לווסת הוא רק עונה אחת, דהיינו בעונה שרגילה לראות.</w:t>
      </w:r>
    </w:p>
    <w:p w:rsidR="00620060" w:rsidRDefault="00620060" w:rsidP="00620060">
      <w:pPr>
        <w:rPr>
          <w:rFonts w:cs="Arial"/>
          <w:sz w:val="20"/>
          <w:szCs w:val="20"/>
          <w:rtl/>
        </w:rPr>
      </w:pPr>
      <w:r>
        <w:rPr>
          <w:rFonts w:cs="Arial" w:hint="cs"/>
          <w:b/>
          <w:bCs/>
          <w:sz w:val="20"/>
          <w:szCs w:val="20"/>
          <w:rtl/>
        </w:rPr>
        <w:t>עונת אור זרוע</w:t>
      </w:r>
      <w:r>
        <w:rPr>
          <w:rFonts w:cs="Arial"/>
          <w:b/>
          <w:bCs/>
          <w:sz w:val="20"/>
          <w:szCs w:val="20"/>
          <w:rtl/>
        </w:rPr>
        <w:br/>
      </w:r>
      <w:r w:rsidRPr="00705C6E">
        <w:rPr>
          <w:rFonts w:cs="Arial" w:hint="cs"/>
          <w:b/>
          <w:bCs/>
          <w:sz w:val="20"/>
          <w:szCs w:val="20"/>
          <w:rtl/>
        </w:rPr>
        <w:t>אור זרוע</w:t>
      </w:r>
      <w:r>
        <w:rPr>
          <w:rFonts w:cs="Arial" w:hint="cs"/>
          <w:sz w:val="20"/>
          <w:szCs w:val="20"/>
          <w:rtl/>
        </w:rPr>
        <w:t xml:space="preserve"> </w:t>
      </w:r>
      <w:r>
        <w:rPr>
          <w:rFonts w:cs="Arial"/>
          <w:sz w:val="20"/>
          <w:szCs w:val="20"/>
          <w:rtl/>
        </w:rPr>
        <w:t>–</w:t>
      </w:r>
      <w:r>
        <w:rPr>
          <w:rFonts w:cs="Arial" w:hint="cs"/>
          <w:sz w:val="20"/>
          <w:szCs w:val="20"/>
          <w:rtl/>
        </w:rPr>
        <w:t xml:space="preserve"> יש לפרוש כד' שעות סמוך לווסת, דהיינו שתי עונות.</w:t>
      </w:r>
      <w:r>
        <w:rPr>
          <w:rFonts w:cs="Arial"/>
          <w:sz w:val="20"/>
          <w:szCs w:val="20"/>
          <w:rtl/>
        </w:rPr>
        <w:br/>
      </w:r>
      <w:r w:rsidRPr="00A24D80">
        <w:rPr>
          <w:rFonts w:cs="Arial" w:hint="cs"/>
          <w:b/>
          <w:bCs/>
          <w:sz w:val="20"/>
          <w:szCs w:val="20"/>
          <w:rtl/>
        </w:rPr>
        <w:t>ב"ח</w:t>
      </w:r>
      <w:r>
        <w:rPr>
          <w:rFonts w:cs="Arial" w:hint="cs"/>
          <w:sz w:val="20"/>
          <w:szCs w:val="20"/>
          <w:rtl/>
        </w:rPr>
        <w:t xml:space="preserve"> </w:t>
      </w:r>
      <w:r>
        <w:rPr>
          <w:rFonts w:cs="Arial"/>
          <w:sz w:val="20"/>
          <w:szCs w:val="20"/>
          <w:rtl/>
        </w:rPr>
        <w:t>–</w:t>
      </w:r>
      <w:r>
        <w:rPr>
          <w:rFonts w:cs="Arial" w:hint="cs"/>
          <w:sz w:val="20"/>
          <w:szCs w:val="20"/>
          <w:rtl/>
        </w:rPr>
        <w:t xml:space="preserve"> האו"ז למד דין זה מהגמרא הנ"ל, דהיינו שפשט המימרא של רבי ירמיה הוא שיש לפרוש שתי עונות, ואע"פ שהלכה כרבא שיש לפרוש רק עונה אחת, מכל מקום ראוי להחמיר שלא מן הדין ולפרוש טפי.</w:t>
      </w:r>
      <w:r>
        <w:rPr>
          <w:rFonts w:cs="Arial"/>
          <w:sz w:val="20"/>
          <w:szCs w:val="20"/>
          <w:rtl/>
        </w:rPr>
        <w:br/>
      </w:r>
      <w:r w:rsidRPr="00DB072B">
        <w:rPr>
          <w:rFonts w:cs="Arial" w:hint="cs"/>
          <w:b/>
          <w:bCs/>
          <w:sz w:val="20"/>
          <w:szCs w:val="20"/>
          <w:rtl/>
        </w:rPr>
        <w:t>טעמו</w:t>
      </w:r>
      <w:r>
        <w:rPr>
          <w:rFonts w:cs="Arial" w:hint="cs"/>
          <w:sz w:val="20"/>
          <w:szCs w:val="20"/>
          <w:rtl/>
        </w:rPr>
        <w:t xml:space="preserve"> </w:t>
      </w:r>
      <w:r>
        <w:rPr>
          <w:rFonts w:cs="Arial"/>
          <w:sz w:val="20"/>
          <w:szCs w:val="20"/>
          <w:rtl/>
        </w:rPr>
        <w:t>–</w:t>
      </w:r>
      <w:r>
        <w:rPr>
          <w:rFonts w:cs="Arial" w:hint="cs"/>
          <w:sz w:val="20"/>
          <w:szCs w:val="20"/>
          <w:rtl/>
        </w:rPr>
        <w:t xml:space="preserve"> שמא עונתה בלילה ואילו היא סבורה שעונתה עם הנץ החמה, ולכן יש לו לפרוש ממנה גם בלילה.</w:t>
      </w:r>
      <w:r>
        <w:rPr>
          <w:rStyle w:val="a5"/>
          <w:rFonts w:cs="Arial"/>
          <w:sz w:val="20"/>
          <w:szCs w:val="20"/>
          <w:rtl/>
        </w:rPr>
        <w:footnoteReference w:id="24"/>
      </w:r>
    </w:p>
    <w:p w:rsidR="00620060" w:rsidRDefault="00620060" w:rsidP="00620060">
      <w:pPr>
        <w:rPr>
          <w:sz w:val="20"/>
          <w:szCs w:val="20"/>
          <w:rtl/>
        </w:rPr>
      </w:pPr>
      <w:r w:rsidRPr="00772258">
        <w:rPr>
          <w:b/>
          <w:bCs/>
          <w:sz w:val="20"/>
          <w:szCs w:val="20"/>
          <w:rtl/>
        </w:rPr>
        <w:t>פסיקת הלכה</w:t>
      </w:r>
      <w:r>
        <w:rPr>
          <w:b/>
          <w:bCs/>
          <w:sz w:val="20"/>
          <w:szCs w:val="20"/>
          <w:rtl/>
        </w:rPr>
        <w:br/>
      </w:r>
      <w:r w:rsidRPr="00AC39A2">
        <w:rPr>
          <w:rFonts w:hint="cs"/>
          <w:b/>
          <w:bCs/>
          <w:sz w:val="20"/>
          <w:szCs w:val="20"/>
          <w:rtl/>
        </w:rPr>
        <w:t>שולחן ערוך</w:t>
      </w:r>
      <w:r>
        <w:rPr>
          <w:rFonts w:hint="cs"/>
          <w:sz w:val="20"/>
          <w:szCs w:val="20"/>
          <w:rtl/>
        </w:rPr>
        <w:t xml:space="preserve"> </w:t>
      </w:r>
      <w:r>
        <w:rPr>
          <w:sz w:val="20"/>
          <w:szCs w:val="20"/>
          <w:rtl/>
        </w:rPr>
        <w:t>–</w:t>
      </w:r>
      <w:r>
        <w:rPr>
          <w:rFonts w:hint="cs"/>
          <w:sz w:val="20"/>
          <w:szCs w:val="20"/>
          <w:rtl/>
        </w:rPr>
        <w:t xml:space="preserve"> "</w:t>
      </w:r>
      <w:r w:rsidRPr="00AC39A2">
        <w:rPr>
          <w:rFonts w:cs="Arial" w:hint="cs"/>
          <w:sz w:val="20"/>
          <w:szCs w:val="20"/>
          <w:rtl/>
        </w:rPr>
        <w:t>בשעת</w:t>
      </w:r>
      <w:r w:rsidRPr="00AC39A2">
        <w:rPr>
          <w:rFonts w:cs="Arial"/>
          <w:sz w:val="20"/>
          <w:szCs w:val="20"/>
          <w:rtl/>
        </w:rPr>
        <w:t xml:space="preserve"> </w:t>
      </w:r>
      <w:r w:rsidRPr="00AC39A2">
        <w:rPr>
          <w:rFonts w:cs="Arial" w:hint="cs"/>
          <w:sz w:val="20"/>
          <w:szCs w:val="20"/>
          <w:rtl/>
        </w:rPr>
        <w:t>וסתה</w:t>
      </w:r>
      <w:r w:rsidRPr="00AC39A2">
        <w:rPr>
          <w:rFonts w:cs="Arial"/>
          <w:sz w:val="20"/>
          <w:szCs w:val="20"/>
          <w:rtl/>
        </w:rPr>
        <w:t xml:space="preserve">, </w:t>
      </w:r>
      <w:r w:rsidRPr="00AC39A2">
        <w:rPr>
          <w:rFonts w:cs="Arial" w:hint="cs"/>
          <w:sz w:val="20"/>
          <w:szCs w:val="20"/>
          <w:rtl/>
        </w:rPr>
        <w:t>צריך</w:t>
      </w:r>
      <w:r w:rsidRPr="00AC39A2">
        <w:rPr>
          <w:rFonts w:cs="Arial"/>
          <w:sz w:val="20"/>
          <w:szCs w:val="20"/>
          <w:rtl/>
        </w:rPr>
        <w:t xml:space="preserve"> </w:t>
      </w:r>
      <w:r w:rsidRPr="00AC39A2">
        <w:rPr>
          <w:rFonts w:cs="Arial" w:hint="cs"/>
          <w:sz w:val="20"/>
          <w:szCs w:val="20"/>
          <w:rtl/>
        </w:rPr>
        <w:t>לפרוש</w:t>
      </w:r>
      <w:r w:rsidRPr="00AC39A2">
        <w:rPr>
          <w:rFonts w:cs="Arial"/>
          <w:sz w:val="20"/>
          <w:szCs w:val="20"/>
          <w:rtl/>
        </w:rPr>
        <w:t xml:space="preserve"> </w:t>
      </w:r>
      <w:r w:rsidRPr="00AC39A2">
        <w:rPr>
          <w:rFonts w:cs="Arial" w:hint="cs"/>
          <w:sz w:val="20"/>
          <w:szCs w:val="20"/>
          <w:rtl/>
        </w:rPr>
        <w:t>ממנה</w:t>
      </w:r>
      <w:r w:rsidRPr="00AC39A2">
        <w:rPr>
          <w:rFonts w:cs="Arial"/>
          <w:sz w:val="20"/>
          <w:szCs w:val="20"/>
          <w:rtl/>
        </w:rPr>
        <w:t xml:space="preserve"> </w:t>
      </w:r>
      <w:r w:rsidRPr="00AC39A2">
        <w:rPr>
          <w:rFonts w:cs="Arial" w:hint="cs"/>
          <w:sz w:val="20"/>
          <w:szCs w:val="20"/>
          <w:rtl/>
        </w:rPr>
        <w:t>עונה</w:t>
      </w:r>
      <w:r w:rsidRPr="00AC39A2">
        <w:rPr>
          <w:rFonts w:cs="Arial"/>
          <w:sz w:val="20"/>
          <w:szCs w:val="20"/>
          <w:rtl/>
        </w:rPr>
        <w:t xml:space="preserve"> </w:t>
      </w:r>
      <w:r w:rsidRPr="00AC39A2">
        <w:rPr>
          <w:rFonts w:cs="Arial" w:hint="cs"/>
          <w:sz w:val="20"/>
          <w:szCs w:val="20"/>
          <w:rtl/>
        </w:rPr>
        <w:t>אחת</w:t>
      </w:r>
      <w:r>
        <w:rPr>
          <w:rFonts w:cs="Arial" w:hint="cs"/>
          <w:sz w:val="20"/>
          <w:szCs w:val="20"/>
          <w:rtl/>
        </w:rPr>
        <w:t xml:space="preserve">... </w:t>
      </w:r>
      <w:r w:rsidRPr="00AC39A2">
        <w:rPr>
          <w:rFonts w:cs="Arial" w:hint="cs"/>
          <w:sz w:val="20"/>
          <w:szCs w:val="20"/>
          <w:rtl/>
        </w:rPr>
        <w:t>אם</w:t>
      </w:r>
      <w:r w:rsidRPr="00AC39A2">
        <w:rPr>
          <w:rFonts w:cs="Arial"/>
          <w:sz w:val="20"/>
          <w:szCs w:val="20"/>
          <w:rtl/>
        </w:rPr>
        <w:t xml:space="preserve"> </w:t>
      </w:r>
      <w:r w:rsidRPr="00AC39A2">
        <w:rPr>
          <w:rFonts w:cs="Arial" w:hint="cs"/>
          <w:sz w:val="20"/>
          <w:szCs w:val="20"/>
          <w:rtl/>
        </w:rPr>
        <w:t>הוא</w:t>
      </w:r>
      <w:r w:rsidRPr="00AC39A2">
        <w:rPr>
          <w:rFonts w:cs="Arial"/>
          <w:sz w:val="20"/>
          <w:szCs w:val="20"/>
          <w:rtl/>
        </w:rPr>
        <w:t xml:space="preserve"> </w:t>
      </w:r>
      <w:r w:rsidRPr="00AC39A2">
        <w:rPr>
          <w:rFonts w:cs="Arial" w:hint="cs"/>
          <w:sz w:val="20"/>
          <w:szCs w:val="20"/>
          <w:rtl/>
        </w:rPr>
        <w:t>ביום</w:t>
      </w:r>
      <w:r w:rsidRPr="00AC39A2">
        <w:rPr>
          <w:rFonts w:cs="Arial"/>
          <w:sz w:val="20"/>
          <w:szCs w:val="20"/>
          <w:rtl/>
        </w:rPr>
        <w:t xml:space="preserve">, </w:t>
      </w:r>
      <w:r w:rsidRPr="00AC39A2">
        <w:rPr>
          <w:rFonts w:cs="Arial" w:hint="cs"/>
          <w:sz w:val="20"/>
          <w:szCs w:val="20"/>
          <w:rtl/>
        </w:rPr>
        <w:t>פורש</w:t>
      </w:r>
      <w:r w:rsidRPr="00AC39A2">
        <w:rPr>
          <w:rFonts w:cs="Arial"/>
          <w:sz w:val="20"/>
          <w:szCs w:val="20"/>
          <w:rtl/>
        </w:rPr>
        <w:t xml:space="preserve"> </w:t>
      </w:r>
      <w:r w:rsidRPr="00AC39A2">
        <w:rPr>
          <w:rFonts w:cs="Arial" w:hint="cs"/>
          <w:sz w:val="20"/>
          <w:szCs w:val="20"/>
          <w:rtl/>
        </w:rPr>
        <w:t>ממנה</w:t>
      </w:r>
      <w:r w:rsidRPr="00AC39A2">
        <w:rPr>
          <w:rFonts w:cs="Arial"/>
          <w:sz w:val="20"/>
          <w:szCs w:val="20"/>
          <w:rtl/>
        </w:rPr>
        <w:t xml:space="preserve"> </w:t>
      </w:r>
      <w:r w:rsidRPr="00AC39A2">
        <w:rPr>
          <w:rFonts w:cs="Arial" w:hint="cs"/>
          <w:sz w:val="20"/>
          <w:szCs w:val="20"/>
          <w:rtl/>
        </w:rPr>
        <w:t>אותו</w:t>
      </w:r>
      <w:r w:rsidRPr="00AC39A2">
        <w:rPr>
          <w:rFonts w:cs="Arial"/>
          <w:sz w:val="20"/>
          <w:szCs w:val="20"/>
          <w:rtl/>
        </w:rPr>
        <w:t xml:space="preserve"> </w:t>
      </w:r>
      <w:r w:rsidRPr="00AC39A2">
        <w:rPr>
          <w:rFonts w:cs="Arial" w:hint="cs"/>
          <w:sz w:val="20"/>
          <w:szCs w:val="20"/>
          <w:rtl/>
        </w:rPr>
        <w:t>היום</w:t>
      </w:r>
      <w:r w:rsidRPr="00AC39A2">
        <w:rPr>
          <w:rFonts w:cs="Arial"/>
          <w:sz w:val="20"/>
          <w:szCs w:val="20"/>
          <w:rtl/>
        </w:rPr>
        <w:t xml:space="preserve"> </w:t>
      </w:r>
      <w:r w:rsidRPr="00AC39A2">
        <w:rPr>
          <w:rFonts w:cs="Arial" w:hint="cs"/>
          <w:sz w:val="20"/>
          <w:szCs w:val="20"/>
          <w:rtl/>
        </w:rPr>
        <w:t>כולו</w:t>
      </w:r>
      <w:r w:rsidRPr="00AC39A2">
        <w:rPr>
          <w:rFonts w:cs="Arial"/>
          <w:sz w:val="20"/>
          <w:szCs w:val="20"/>
          <w:rtl/>
        </w:rPr>
        <w:t xml:space="preserve"> </w:t>
      </w:r>
      <w:r w:rsidRPr="00AC39A2">
        <w:rPr>
          <w:rFonts w:cs="Arial" w:hint="cs"/>
          <w:sz w:val="20"/>
          <w:szCs w:val="20"/>
          <w:rtl/>
        </w:rPr>
        <w:t>אפילו</w:t>
      </w:r>
      <w:r w:rsidRPr="00AC39A2">
        <w:rPr>
          <w:rFonts w:cs="Arial"/>
          <w:sz w:val="20"/>
          <w:szCs w:val="20"/>
          <w:rtl/>
        </w:rPr>
        <w:t xml:space="preserve"> </w:t>
      </w:r>
      <w:r w:rsidRPr="00AC39A2">
        <w:rPr>
          <w:rFonts w:cs="Arial" w:hint="cs"/>
          <w:sz w:val="20"/>
          <w:szCs w:val="20"/>
          <w:rtl/>
        </w:rPr>
        <w:t>אם</w:t>
      </w:r>
      <w:r w:rsidRPr="00AC39A2">
        <w:rPr>
          <w:rFonts w:cs="Arial"/>
          <w:sz w:val="20"/>
          <w:szCs w:val="20"/>
          <w:rtl/>
        </w:rPr>
        <w:t xml:space="preserve"> </w:t>
      </w:r>
      <w:r w:rsidRPr="00AC39A2">
        <w:rPr>
          <w:rFonts w:cs="Arial" w:hint="cs"/>
          <w:sz w:val="20"/>
          <w:szCs w:val="20"/>
          <w:rtl/>
        </w:rPr>
        <w:t>הוסת</w:t>
      </w:r>
      <w:r w:rsidRPr="00AC39A2">
        <w:rPr>
          <w:rFonts w:cs="Arial"/>
          <w:sz w:val="20"/>
          <w:szCs w:val="20"/>
          <w:rtl/>
        </w:rPr>
        <w:t xml:space="preserve"> </w:t>
      </w:r>
      <w:r w:rsidRPr="00AC39A2">
        <w:rPr>
          <w:rFonts w:cs="Arial" w:hint="cs"/>
          <w:sz w:val="20"/>
          <w:szCs w:val="20"/>
          <w:rtl/>
        </w:rPr>
        <w:t>בסופו</w:t>
      </w:r>
      <w:r w:rsidRPr="00AC39A2">
        <w:rPr>
          <w:rFonts w:cs="Arial"/>
          <w:sz w:val="20"/>
          <w:szCs w:val="20"/>
          <w:rtl/>
        </w:rPr>
        <w:t xml:space="preserve">, </w:t>
      </w:r>
      <w:r w:rsidRPr="00AC39A2">
        <w:rPr>
          <w:rFonts w:cs="Arial" w:hint="cs"/>
          <w:sz w:val="20"/>
          <w:szCs w:val="20"/>
          <w:rtl/>
        </w:rPr>
        <w:t>ומותר</w:t>
      </w:r>
      <w:r w:rsidRPr="00AC39A2">
        <w:rPr>
          <w:rFonts w:cs="Arial"/>
          <w:sz w:val="20"/>
          <w:szCs w:val="20"/>
          <w:rtl/>
        </w:rPr>
        <w:t xml:space="preserve"> </w:t>
      </w:r>
      <w:r w:rsidRPr="00AC39A2">
        <w:rPr>
          <w:rFonts w:cs="Arial" w:hint="cs"/>
          <w:sz w:val="20"/>
          <w:szCs w:val="20"/>
          <w:rtl/>
        </w:rPr>
        <w:t>מיד</w:t>
      </w:r>
      <w:r w:rsidRPr="00AC39A2">
        <w:rPr>
          <w:rFonts w:cs="Arial"/>
          <w:sz w:val="20"/>
          <w:szCs w:val="20"/>
          <w:rtl/>
        </w:rPr>
        <w:t xml:space="preserve"> </w:t>
      </w:r>
      <w:r w:rsidRPr="00AC39A2">
        <w:rPr>
          <w:rFonts w:cs="Arial" w:hint="cs"/>
          <w:sz w:val="20"/>
          <w:szCs w:val="20"/>
          <w:rtl/>
        </w:rPr>
        <w:t>בלילה</w:t>
      </w:r>
      <w:r w:rsidRPr="00AC39A2">
        <w:rPr>
          <w:rFonts w:cs="Arial"/>
          <w:sz w:val="20"/>
          <w:szCs w:val="20"/>
          <w:rtl/>
        </w:rPr>
        <w:t xml:space="preserve"> </w:t>
      </w:r>
      <w:r w:rsidRPr="00AC39A2">
        <w:rPr>
          <w:rFonts w:cs="Arial" w:hint="cs"/>
          <w:sz w:val="20"/>
          <w:szCs w:val="20"/>
          <w:rtl/>
        </w:rPr>
        <w:t>שלאחריו</w:t>
      </w:r>
      <w:r w:rsidRPr="00AC39A2">
        <w:rPr>
          <w:rFonts w:cs="Arial"/>
          <w:sz w:val="20"/>
          <w:szCs w:val="20"/>
          <w:rtl/>
        </w:rPr>
        <w:t xml:space="preserve">, </w:t>
      </w:r>
      <w:r w:rsidRPr="00AC39A2">
        <w:rPr>
          <w:rFonts w:cs="Arial" w:hint="cs"/>
          <w:sz w:val="20"/>
          <w:szCs w:val="20"/>
          <w:rtl/>
        </w:rPr>
        <w:t>וכן</w:t>
      </w:r>
      <w:r w:rsidRPr="00AC39A2">
        <w:rPr>
          <w:rFonts w:cs="Arial"/>
          <w:sz w:val="20"/>
          <w:szCs w:val="20"/>
          <w:rtl/>
        </w:rPr>
        <w:t xml:space="preserve"> </w:t>
      </w:r>
      <w:r w:rsidRPr="00AC39A2">
        <w:rPr>
          <w:rFonts w:cs="Arial" w:hint="cs"/>
          <w:sz w:val="20"/>
          <w:szCs w:val="20"/>
          <w:rtl/>
        </w:rPr>
        <w:t>אם</w:t>
      </w:r>
      <w:r w:rsidRPr="00AC39A2">
        <w:rPr>
          <w:rFonts w:cs="Arial"/>
          <w:sz w:val="20"/>
          <w:szCs w:val="20"/>
          <w:rtl/>
        </w:rPr>
        <w:t xml:space="preserve"> </w:t>
      </w:r>
      <w:r w:rsidRPr="00AC39A2">
        <w:rPr>
          <w:rFonts w:cs="Arial" w:hint="cs"/>
          <w:sz w:val="20"/>
          <w:szCs w:val="20"/>
          <w:rtl/>
        </w:rPr>
        <w:t>הוא</w:t>
      </w:r>
      <w:r w:rsidRPr="00AC39A2">
        <w:rPr>
          <w:rFonts w:cs="Arial"/>
          <w:sz w:val="20"/>
          <w:szCs w:val="20"/>
          <w:rtl/>
        </w:rPr>
        <w:t xml:space="preserve"> </w:t>
      </w:r>
      <w:r w:rsidRPr="00AC39A2">
        <w:rPr>
          <w:rFonts w:cs="Arial" w:hint="cs"/>
          <w:sz w:val="20"/>
          <w:szCs w:val="20"/>
          <w:rtl/>
        </w:rPr>
        <w:t>בתח</w:t>
      </w:r>
      <w:r>
        <w:rPr>
          <w:rFonts w:cs="Arial" w:hint="cs"/>
          <w:sz w:val="20"/>
          <w:szCs w:val="20"/>
          <w:rtl/>
        </w:rPr>
        <w:t>י</w:t>
      </w:r>
      <w:r w:rsidRPr="00AC39A2">
        <w:rPr>
          <w:rFonts w:cs="Arial" w:hint="cs"/>
          <w:sz w:val="20"/>
          <w:szCs w:val="20"/>
          <w:rtl/>
        </w:rPr>
        <w:t>לתו</w:t>
      </w:r>
      <w:r w:rsidRPr="00AC39A2">
        <w:rPr>
          <w:rFonts w:cs="Arial"/>
          <w:sz w:val="20"/>
          <w:szCs w:val="20"/>
          <w:rtl/>
        </w:rPr>
        <w:t xml:space="preserve">, </w:t>
      </w:r>
      <w:r w:rsidRPr="00AC39A2">
        <w:rPr>
          <w:rFonts w:cs="Arial" w:hint="cs"/>
          <w:sz w:val="20"/>
          <w:szCs w:val="20"/>
          <w:rtl/>
        </w:rPr>
        <w:t>פורש</w:t>
      </w:r>
      <w:r w:rsidRPr="00AC39A2">
        <w:rPr>
          <w:rFonts w:cs="Arial"/>
          <w:sz w:val="20"/>
          <w:szCs w:val="20"/>
          <w:rtl/>
        </w:rPr>
        <w:t xml:space="preserve"> </w:t>
      </w:r>
      <w:r w:rsidRPr="00AC39A2">
        <w:rPr>
          <w:rFonts w:cs="Arial" w:hint="cs"/>
          <w:sz w:val="20"/>
          <w:szCs w:val="20"/>
          <w:rtl/>
        </w:rPr>
        <w:t>כל</w:t>
      </w:r>
      <w:r w:rsidRPr="00AC39A2">
        <w:rPr>
          <w:rFonts w:cs="Arial"/>
          <w:sz w:val="20"/>
          <w:szCs w:val="20"/>
          <w:rtl/>
        </w:rPr>
        <w:t xml:space="preserve"> </w:t>
      </w:r>
      <w:r w:rsidRPr="00AC39A2">
        <w:rPr>
          <w:rFonts w:cs="Arial" w:hint="cs"/>
          <w:sz w:val="20"/>
          <w:szCs w:val="20"/>
          <w:rtl/>
        </w:rPr>
        <w:t>היום</w:t>
      </w:r>
      <w:r w:rsidRPr="00AC39A2">
        <w:rPr>
          <w:rFonts w:cs="Arial"/>
          <w:sz w:val="20"/>
          <w:szCs w:val="20"/>
          <w:rtl/>
        </w:rPr>
        <w:t xml:space="preserve"> </w:t>
      </w:r>
      <w:r w:rsidRPr="00AC39A2">
        <w:rPr>
          <w:rFonts w:cs="Arial" w:hint="cs"/>
          <w:sz w:val="20"/>
          <w:szCs w:val="20"/>
          <w:rtl/>
        </w:rPr>
        <w:t>ומותר</w:t>
      </w:r>
      <w:r w:rsidRPr="00AC39A2">
        <w:rPr>
          <w:rFonts w:cs="Arial"/>
          <w:sz w:val="20"/>
          <w:szCs w:val="20"/>
          <w:rtl/>
        </w:rPr>
        <w:t xml:space="preserve"> </w:t>
      </w:r>
      <w:r w:rsidRPr="00AC39A2">
        <w:rPr>
          <w:rFonts w:cs="Arial" w:hint="cs"/>
          <w:sz w:val="20"/>
          <w:szCs w:val="20"/>
          <w:rtl/>
        </w:rPr>
        <w:t>כל</w:t>
      </w:r>
      <w:r w:rsidRPr="00AC39A2">
        <w:rPr>
          <w:rFonts w:cs="Arial"/>
          <w:sz w:val="20"/>
          <w:szCs w:val="20"/>
          <w:rtl/>
        </w:rPr>
        <w:t xml:space="preserve"> </w:t>
      </w:r>
      <w:r w:rsidRPr="00AC39A2">
        <w:rPr>
          <w:rFonts w:cs="Arial" w:hint="cs"/>
          <w:sz w:val="20"/>
          <w:szCs w:val="20"/>
          <w:rtl/>
        </w:rPr>
        <w:t>הלילה</w:t>
      </w:r>
      <w:r w:rsidRPr="00AC39A2">
        <w:rPr>
          <w:rFonts w:cs="Arial"/>
          <w:sz w:val="20"/>
          <w:szCs w:val="20"/>
          <w:rtl/>
        </w:rPr>
        <w:t xml:space="preserve"> </w:t>
      </w:r>
      <w:r w:rsidRPr="00AC39A2">
        <w:rPr>
          <w:rFonts w:cs="Arial" w:hint="cs"/>
          <w:sz w:val="20"/>
          <w:szCs w:val="20"/>
          <w:rtl/>
        </w:rPr>
        <w:t>שלפניו</w:t>
      </w:r>
      <w:r w:rsidRPr="00AC39A2">
        <w:rPr>
          <w:rFonts w:cs="Arial"/>
          <w:sz w:val="20"/>
          <w:szCs w:val="20"/>
          <w:rtl/>
        </w:rPr>
        <w:t xml:space="preserve">. </w:t>
      </w:r>
      <w:r w:rsidRPr="00AC39A2">
        <w:rPr>
          <w:rFonts w:cs="Arial" w:hint="cs"/>
          <w:sz w:val="20"/>
          <w:szCs w:val="20"/>
          <w:rtl/>
        </w:rPr>
        <w:t>וכן</w:t>
      </w:r>
      <w:r w:rsidRPr="00AC39A2">
        <w:rPr>
          <w:rFonts w:cs="Arial"/>
          <w:sz w:val="20"/>
          <w:szCs w:val="20"/>
          <w:rtl/>
        </w:rPr>
        <w:t xml:space="preserve"> </w:t>
      </w:r>
      <w:r w:rsidRPr="00AC39A2">
        <w:rPr>
          <w:rFonts w:cs="Arial" w:hint="cs"/>
          <w:sz w:val="20"/>
          <w:szCs w:val="20"/>
          <w:rtl/>
        </w:rPr>
        <w:t>הדין</w:t>
      </w:r>
      <w:r w:rsidRPr="00AC39A2">
        <w:rPr>
          <w:rFonts w:cs="Arial"/>
          <w:sz w:val="20"/>
          <w:szCs w:val="20"/>
          <w:rtl/>
        </w:rPr>
        <w:t xml:space="preserve"> </w:t>
      </w:r>
      <w:r w:rsidRPr="00AC39A2">
        <w:rPr>
          <w:rFonts w:cs="Arial" w:hint="cs"/>
          <w:sz w:val="20"/>
          <w:szCs w:val="20"/>
          <w:rtl/>
        </w:rPr>
        <w:t>אם</w:t>
      </w:r>
      <w:r w:rsidRPr="00AC39A2">
        <w:rPr>
          <w:rFonts w:cs="Arial"/>
          <w:sz w:val="20"/>
          <w:szCs w:val="20"/>
          <w:rtl/>
        </w:rPr>
        <w:t xml:space="preserve"> </w:t>
      </w:r>
      <w:r w:rsidRPr="00AC39A2">
        <w:rPr>
          <w:rFonts w:cs="Arial" w:hint="cs"/>
          <w:sz w:val="20"/>
          <w:szCs w:val="20"/>
          <w:rtl/>
        </w:rPr>
        <w:t>הוא</w:t>
      </w:r>
      <w:r w:rsidRPr="00AC39A2">
        <w:rPr>
          <w:rFonts w:cs="Arial"/>
          <w:sz w:val="20"/>
          <w:szCs w:val="20"/>
          <w:rtl/>
        </w:rPr>
        <w:t xml:space="preserve"> </w:t>
      </w:r>
      <w:r w:rsidRPr="00AC39A2">
        <w:rPr>
          <w:rFonts w:cs="Arial" w:hint="cs"/>
          <w:sz w:val="20"/>
          <w:szCs w:val="20"/>
          <w:rtl/>
        </w:rPr>
        <w:t>בלילה</w:t>
      </w:r>
      <w:r w:rsidRPr="00AC39A2">
        <w:rPr>
          <w:rFonts w:cs="Arial"/>
          <w:sz w:val="20"/>
          <w:szCs w:val="20"/>
          <w:rtl/>
        </w:rPr>
        <w:t xml:space="preserve">, </w:t>
      </w:r>
      <w:r w:rsidRPr="00AC39A2">
        <w:rPr>
          <w:rFonts w:cs="Arial" w:hint="cs"/>
          <w:sz w:val="20"/>
          <w:szCs w:val="20"/>
          <w:rtl/>
        </w:rPr>
        <w:t>פורש</w:t>
      </w:r>
      <w:r w:rsidRPr="00AC39A2">
        <w:rPr>
          <w:rFonts w:cs="Arial"/>
          <w:sz w:val="20"/>
          <w:szCs w:val="20"/>
          <w:rtl/>
        </w:rPr>
        <w:t xml:space="preserve"> </w:t>
      </w:r>
      <w:r w:rsidRPr="00AC39A2">
        <w:rPr>
          <w:rFonts w:cs="Arial" w:hint="cs"/>
          <w:sz w:val="20"/>
          <w:szCs w:val="20"/>
          <w:rtl/>
        </w:rPr>
        <w:t>כל</w:t>
      </w:r>
      <w:r w:rsidRPr="00AC39A2">
        <w:rPr>
          <w:rFonts w:cs="Arial"/>
          <w:sz w:val="20"/>
          <w:szCs w:val="20"/>
          <w:rtl/>
        </w:rPr>
        <w:t xml:space="preserve"> </w:t>
      </w:r>
      <w:r w:rsidRPr="00AC39A2">
        <w:rPr>
          <w:rFonts w:cs="Arial" w:hint="cs"/>
          <w:sz w:val="20"/>
          <w:szCs w:val="20"/>
          <w:rtl/>
        </w:rPr>
        <w:t>הלילה</w:t>
      </w:r>
      <w:r w:rsidRPr="00AC39A2">
        <w:rPr>
          <w:rFonts w:cs="Arial"/>
          <w:sz w:val="20"/>
          <w:szCs w:val="20"/>
          <w:rtl/>
        </w:rPr>
        <w:t xml:space="preserve"> </w:t>
      </w:r>
      <w:r w:rsidRPr="00AC39A2">
        <w:rPr>
          <w:rFonts w:cs="Arial" w:hint="cs"/>
          <w:sz w:val="20"/>
          <w:szCs w:val="20"/>
          <w:rtl/>
        </w:rPr>
        <w:t>ומותר</w:t>
      </w:r>
      <w:r w:rsidRPr="00AC39A2">
        <w:rPr>
          <w:rFonts w:cs="Arial"/>
          <w:sz w:val="20"/>
          <w:szCs w:val="20"/>
          <w:rtl/>
        </w:rPr>
        <w:t xml:space="preserve"> </w:t>
      </w:r>
      <w:r w:rsidRPr="00AC39A2">
        <w:rPr>
          <w:rFonts w:cs="Arial" w:hint="cs"/>
          <w:sz w:val="20"/>
          <w:szCs w:val="20"/>
          <w:rtl/>
        </w:rPr>
        <w:t>ביום</w:t>
      </w:r>
      <w:r w:rsidRPr="00AC39A2">
        <w:rPr>
          <w:rFonts w:cs="Arial"/>
          <w:sz w:val="20"/>
          <w:szCs w:val="20"/>
          <w:rtl/>
        </w:rPr>
        <w:t xml:space="preserve"> </w:t>
      </w:r>
      <w:r w:rsidRPr="00AC39A2">
        <w:rPr>
          <w:rFonts w:cs="Arial" w:hint="cs"/>
          <w:sz w:val="20"/>
          <w:szCs w:val="20"/>
          <w:rtl/>
        </w:rPr>
        <w:t>שלפניו</w:t>
      </w:r>
      <w:r w:rsidRPr="00AC39A2">
        <w:rPr>
          <w:rFonts w:cs="Arial"/>
          <w:sz w:val="20"/>
          <w:szCs w:val="20"/>
          <w:rtl/>
        </w:rPr>
        <w:t xml:space="preserve"> </w:t>
      </w:r>
      <w:r w:rsidRPr="00AC39A2">
        <w:rPr>
          <w:rFonts w:cs="Arial" w:hint="cs"/>
          <w:sz w:val="20"/>
          <w:szCs w:val="20"/>
          <w:rtl/>
        </w:rPr>
        <w:t>ולאחריו</w:t>
      </w:r>
      <w:r w:rsidRPr="00AC39A2">
        <w:rPr>
          <w:rFonts w:cs="Arial"/>
          <w:sz w:val="20"/>
          <w:szCs w:val="20"/>
          <w:rtl/>
        </w:rPr>
        <w:t xml:space="preserve">, </w:t>
      </w:r>
      <w:r w:rsidRPr="00AC39A2">
        <w:rPr>
          <w:rFonts w:cs="Arial" w:hint="cs"/>
          <w:sz w:val="20"/>
          <w:szCs w:val="20"/>
          <w:rtl/>
        </w:rPr>
        <w:t>בין</w:t>
      </w:r>
      <w:r w:rsidRPr="00AC39A2">
        <w:rPr>
          <w:rFonts w:cs="Arial"/>
          <w:sz w:val="20"/>
          <w:szCs w:val="20"/>
          <w:rtl/>
        </w:rPr>
        <w:t xml:space="preserve"> </w:t>
      </w:r>
      <w:r w:rsidRPr="00AC39A2">
        <w:rPr>
          <w:rFonts w:cs="Arial" w:hint="cs"/>
          <w:sz w:val="20"/>
          <w:szCs w:val="20"/>
          <w:rtl/>
        </w:rPr>
        <w:t>שקבעה</w:t>
      </w:r>
      <w:r w:rsidRPr="00AC39A2">
        <w:rPr>
          <w:rFonts w:cs="Arial"/>
          <w:sz w:val="20"/>
          <w:szCs w:val="20"/>
          <w:rtl/>
        </w:rPr>
        <w:t xml:space="preserve"> </w:t>
      </w:r>
      <w:r w:rsidRPr="00AC39A2">
        <w:rPr>
          <w:rFonts w:cs="Arial" w:hint="cs"/>
          <w:sz w:val="20"/>
          <w:szCs w:val="20"/>
          <w:rtl/>
        </w:rPr>
        <w:t>וסת</w:t>
      </w:r>
      <w:r w:rsidRPr="00AC39A2">
        <w:rPr>
          <w:rFonts w:cs="Arial"/>
          <w:sz w:val="20"/>
          <w:szCs w:val="20"/>
          <w:rtl/>
        </w:rPr>
        <w:t xml:space="preserve"> </w:t>
      </w:r>
      <w:r w:rsidRPr="00AC39A2">
        <w:rPr>
          <w:rFonts w:cs="Arial" w:hint="cs"/>
          <w:sz w:val="20"/>
          <w:szCs w:val="20"/>
          <w:rtl/>
        </w:rPr>
        <w:t>בג</w:t>
      </w:r>
      <w:r>
        <w:rPr>
          <w:rFonts w:cs="Arial" w:hint="cs"/>
          <w:sz w:val="20"/>
          <w:szCs w:val="20"/>
          <w:rtl/>
        </w:rPr>
        <w:t xml:space="preserve">' </w:t>
      </w:r>
      <w:r w:rsidRPr="00AC39A2">
        <w:rPr>
          <w:rFonts w:cs="Arial" w:hint="cs"/>
          <w:sz w:val="20"/>
          <w:szCs w:val="20"/>
          <w:rtl/>
        </w:rPr>
        <w:t>פ</w:t>
      </w:r>
      <w:r>
        <w:rPr>
          <w:rFonts w:cs="Arial" w:hint="cs"/>
          <w:sz w:val="20"/>
          <w:szCs w:val="20"/>
          <w:rtl/>
        </w:rPr>
        <w:t>עמים</w:t>
      </w:r>
      <w:r w:rsidRPr="00AC39A2">
        <w:rPr>
          <w:rFonts w:cs="Arial"/>
          <w:sz w:val="20"/>
          <w:szCs w:val="20"/>
          <w:rtl/>
        </w:rPr>
        <w:t xml:space="preserve"> </w:t>
      </w:r>
      <w:r w:rsidRPr="00AC39A2">
        <w:rPr>
          <w:rFonts w:cs="Arial" w:hint="cs"/>
          <w:sz w:val="20"/>
          <w:szCs w:val="20"/>
          <w:rtl/>
        </w:rPr>
        <w:t>או</w:t>
      </w:r>
      <w:r w:rsidRPr="00AC39A2">
        <w:rPr>
          <w:rFonts w:cs="Arial"/>
          <w:sz w:val="20"/>
          <w:szCs w:val="20"/>
          <w:rtl/>
        </w:rPr>
        <w:t xml:space="preserve"> </w:t>
      </w:r>
      <w:r w:rsidRPr="00AC39A2">
        <w:rPr>
          <w:rFonts w:cs="Arial" w:hint="cs"/>
          <w:sz w:val="20"/>
          <w:szCs w:val="20"/>
          <w:rtl/>
        </w:rPr>
        <w:t>בפ</w:t>
      </w:r>
      <w:r>
        <w:rPr>
          <w:rFonts w:cs="Arial" w:hint="cs"/>
          <w:sz w:val="20"/>
          <w:szCs w:val="20"/>
          <w:rtl/>
        </w:rPr>
        <w:t xml:space="preserve">עם </w:t>
      </w:r>
      <w:r w:rsidRPr="00AC39A2">
        <w:rPr>
          <w:rFonts w:cs="Arial" w:hint="cs"/>
          <w:sz w:val="20"/>
          <w:szCs w:val="20"/>
          <w:rtl/>
        </w:rPr>
        <w:t>א</w:t>
      </w:r>
      <w:r>
        <w:rPr>
          <w:rFonts w:cs="Arial" w:hint="cs"/>
          <w:sz w:val="20"/>
          <w:szCs w:val="20"/>
          <w:rtl/>
        </w:rPr>
        <w:t>חת</w:t>
      </w:r>
      <w:r>
        <w:rPr>
          <w:rStyle w:val="a5"/>
          <w:rFonts w:cs="Arial"/>
          <w:sz w:val="20"/>
          <w:szCs w:val="20"/>
          <w:rtl/>
        </w:rPr>
        <w:footnoteReference w:id="25"/>
      </w:r>
      <w:r>
        <w:rPr>
          <w:rFonts w:cs="Arial" w:hint="cs"/>
          <w:sz w:val="20"/>
          <w:szCs w:val="20"/>
          <w:rtl/>
        </w:rPr>
        <w:t>".</w:t>
      </w:r>
    </w:p>
    <w:p w:rsidR="00620060" w:rsidRDefault="00620060" w:rsidP="00620060">
      <w:pPr>
        <w:rPr>
          <w:sz w:val="20"/>
          <w:szCs w:val="20"/>
          <w:rtl/>
        </w:rPr>
      </w:pPr>
      <w:r>
        <w:rPr>
          <w:rFonts w:hint="cs"/>
          <w:sz w:val="20"/>
          <w:szCs w:val="20"/>
          <w:u w:val="single"/>
          <w:rtl/>
        </w:rPr>
        <w:t>שיטות הפוסקים בעונת האור זרוע</w:t>
      </w:r>
      <w:r>
        <w:rPr>
          <w:sz w:val="20"/>
          <w:szCs w:val="20"/>
          <w:u w:val="single"/>
          <w:rtl/>
        </w:rPr>
        <w:br/>
      </w:r>
      <w:r>
        <w:rPr>
          <w:rFonts w:hint="cs"/>
          <w:sz w:val="20"/>
          <w:szCs w:val="20"/>
          <w:rtl/>
        </w:rPr>
        <w:t xml:space="preserve">א. </w:t>
      </w:r>
      <w:r w:rsidRPr="001E343D">
        <w:rPr>
          <w:rFonts w:hint="cs"/>
          <w:b/>
          <w:bCs/>
          <w:sz w:val="20"/>
          <w:szCs w:val="20"/>
          <w:rtl/>
        </w:rPr>
        <w:t>שולחן ערוך</w:t>
      </w:r>
      <w:r>
        <w:rPr>
          <w:rFonts w:hint="cs"/>
          <w:sz w:val="20"/>
          <w:szCs w:val="20"/>
          <w:rtl/>
        </w:rPr>
        <w:t xml:space="preserve"> </w:t>
      </w:r>
      <w:r>
        <w:rPr>
          <w:sz w:val="20"/>
          <w:szCs w:val="20"/>
          <w:rtl/>
        </w:rPr>
        <w:t>–</w:t>
      </w:r>
      <w:r>
        <w:rPr>
          <w:rFonts w:hint="cs"/>
          <w:sz w:val="20"/>
          <w:szCs w:val="20"/>
          <w:rtl/>
        </w:rPr>
        <w:t xml:space="preserve"> בבית יוסף דחה שיטה זו, ובשו"ע לא הביא אותה, משמע שאינו חושש לה.</w:t>
      </w:r>
      <w:r>
        <w:rPr>
          <w:sz w:val="20"/>
          <w:szCs w:val="20"/>
          <w:rtl/>
        </w:rPr>
        <w:br/>
      </w:r>
      <w:r w:rsidRPr="001E343D">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"תמוה להחמיר על מה שמפורש בתלמוד לקולא, בפרט בווסתות דרבנן".</w:t>
      </w:r>
      <w:r>
        <w:rPr>
          <w:sz w:val="20"/>
          <w:szCs w:val="20"/>
          <w:rtl/>
        </w:rPr>
        <w:br/>
      </w:r>
      <w:r>
        <w:rPr>
          <w:rFonts w:hint="cs"/>
          <w:sz w:val="20"/>
          <w:szCs w:val="20"/>
          <w:rtl/>
        </w:rPr>
        <w:t xml:space="preserve">ב. </w:t>
      </w:r>
      <w:r w:rsidRPr="001E343D">
        <w:rPr>
          <w:rFonts w:hint="cs"/>
          <w:b/>
          <w:bCs/>
          <w:sz w:val="20"/>
          <w:szCs w:val="20"/>
          <w:rtl/>
        </w:rPr>
        <w:t>ב"ח</w:t>
      </w:r>
      <w:r>
        <w:rPr>
          <w:rFonts w:hint="cs"/>
          <w:sz w:val="20"/>
          <w:szCs w:val="20"/>
          <w:rtl/>
        </w:rPr>
        <w:t xml:space="preserve"> </w:t>
      </w:r>
      <w:r>
        <w:rPr>
          <w:sz w:val="20"/>
          <w:szCs w:val="20"/>
          <w:rtl/>
        </w:rPr>
        <w:t>–</w:t>
      </w:r>
      <w:r>
        <w:rPr>
          <w:rFonts w:hint="cs"/>
          <w:sz w:val="20"/>
          <w:szCs w:val="20"/>
          <w:rtl/>
        </w:rPr>
        <w:t xml:space="preserve"> ראוי להחמיר בחומרה זו, ואין ספק שכך היתה קבלה בידי האו"ז מפי זקנים.</w:t>
      </w:r>
      <w:r>
        <w:rPr>
          <w:rFonts w:hint="cs"/>
          <w:sz w:val="20"/>
          <w:szCs w:val="20"/>
          <w:rtl/>
        </w:rPr>
        <w:br/>
        <w:t xml:space="preserve">ג. </w:t>
      </w:r>
      <w:r w:rsidRPr="0082125B">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יש לנהוג כאו"ז, ועיין בסמוך ביאור שיטתו.</w:t>
      </w:r>
    </w:p>
    <w:p w:rsidR="00620060" w:rsidRDefault="00620060" w:rsidP="00620060">
      <w:pPr>
        <w:rPr>
          <w:sz w:val="20"/>
          <w:szCs w:val="20"/>
          <w:u w:val="single"/>
          <w:rtl/>
        </w:rPr>
      </w:pPr>
      <w:r>
        <w:rPr>
          <w:rFonts w:hint="cs"/>
          <w:sz w:val="20"/>
          <w:szCs w:val="20"/>
          <w:u w:val="single"/>
          <w:rtl/>
        </w:rPr>
        <w:t>הסבר הש"ך בעונת אור זרוע</w:t>
      </w:r>
      <w:r>
        <w:rPr>
          <w:sz w:val="20"/>
          <w:szCs w:val="20"/>
          <w:u w:val="single"/>
          <w:rtl/>
        </w:rPr>
        <w:br/>
      </w:r>
      <w:r>
        <w:rPr>
          <w:rFonts w:hint="cs"/>
          <w:sz w:val="20"/>
          <w:szCs w:val="20"/>
          <w:rtl/>
        </w:rPr>
        <w:t>כוונת האו"ז להחמיר דווקא באשה שאין לה ווסת מדויקת, דהיינו שאע"פ שרגילה לראות ביום מסויים, אינה יודעת באיזו שעה תראה. ולפי"ז, אין להקשות מהש"ס והפוסקים שלא כתבו חומרה זו, משום שהם מיירי באשה שיש לה ווסת קבוע אף לשעות.</w:t>
      </w:r>
      <w:r>
        <w:rPr>
          <w:sz w:val="20"/>
          <w:szCs w:val="20"/>
          <w:rtl/>
        </w:rPr>
        <w:br/>
      </w:r>
      <w:r w:rsidRPr="00520FBE">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כיוון שאינה יודעת אם תראה בתחילת היום, באמצע או בסוף, נמצא כל היום וסתה, ופורשת עונה קודם.</w:t>
      </w:r>
      <w:r>
        <w:rPr>
          <w:sz w:val="20"/>
          <w:szCs w:val="20"/>
          <w:rtl/>
        </w:rPr>
        <w:br/>
      </w:r>
      <w:r w:rsidRPr="00F83325">
        <w:rPr>
          <w:rFonts w:hint="cs"/>
          <w:b/>
          <w:bCs/>
          <w:sz w:val="20"/>
          <w:szCs w:val="20"/>
          <w:rtl/>
        </w:rPr>
        <w:t>הש"ך</w:t>
      </w:r>
      <w:r>
        <w:rPr>
          <w:rFonts w:hint="cs"/>
          <w:sz w:val="20"/>
          <w:szCs w:val="20"/>
          <w:rtl/>
        </w:rPr>
        <w:t xml:space="preserve"> מוכיח את שיטתו מהמו"מ בסוגייה </w:t>
      </w:r>
      <w:r>
        <w:rPr>
          <w:sz w:val="20"/>
          <w:szCs w:val="20"/>
          <w:rtl/>
        </w:rPr>
        <w:t>–</w:t>
      </w:r>
      <w:r>
        <w:rPr>
          <w:rFonts w:hint="cs"/>
          <w:sz w:val="20"/>
          <w:szCs w:val="20"/>
          <w:rtl/>
        </w:rPr>
        <w:t xml:space="preserve"> </w:t>
      </w:r>
      <w:r>
        <w:rPr>
          <w:sz w:val="20"/>
          <w:szCs w:val="20"/>
          <w:rtl/>
        </w:rPr>
        <w:br/>
      </w:r>
      <w:r>
        <w:rPr>
          <w:rFonts w:hint="cs"/>
          <w:sz w:val="20"/>
          <w:szCs w:val="20"/>
          <w:rtl/>
        </w:rPr>
        <w:t xml:space="preserve">הגמרא מבינה בהו"א את דברי רבא שיש לפרוש עונה אחרת סמוך לווסת </w:t>
      </w:r>
      <w:r w:rsidRPr="001622CC">
        <w:rPr>
          <w:rFonts w:hint="cs"/>
          <w:sz w:val="18"/>
          <w:szCs w:val="18"/>
          <w:rtl/>
        </w:rPr>
        <w:t xml:space="preserve">(קרי </w:t>
      </w:r>
      <w:r w:rsidRPr="001622CC">
        <w:rPr>
          <w:sz w:val="18"/>
          <w:szCs w:val="18"/>
          <w:rtl/>
        </w:rPr>
        <w:t>–</w:t>
      </w:r>
      <w:r w:rsidRPr="001622CC">
        <w:rPr>
          <w:rFonts w:hint="cs"/>
          <w:sz w:val="18"/>
          <w:szCs w:val="18"/>
          <w:rtl/>
        </w:rPr>
        <w:t xml:space="preserve"> כד' שעות)</w:t>
      </w:r>
      <w:r>
        <w:rPr>
          <w:rFonts w:hint="cs"/>
          <w:sz w:val="20"/>
          <w:szCs w:val="20"/>
          <w:rtl/>
        </w:rPr>
        <w:t xml:space="preserve">, וקשה כיצד ניתן להבין את ההו"א, הרי רבא אמר להדיא שיש לפרוש </w:t>
      </w:r>
      <w:r w:rsidRPr="001622CC">
        <w:rPr>
          <w:rFonts w:hint="cs"/>
          <w:sz w:val="20"/>
          <w:szCs w:val="20"/>
          <w:u w:val="single"/>
          <w:rtl/>
        </w:rPr>
        <w:t>עונה</w:t>
      </w:r>
      <w:r>
        <w:rPr>
          <w:rFonts w:hint="cs"/>
          <w:sz w:val="20"/>
          <w:szCs w:val="20"/>
          <w:rtl/>
        </w:rPr>
        <w:t xml:space="preserve"> ולא אמר שיש לפרוש </w:t>
      </w:r>
      <w:r w:rsidRPr="001622CC">
        <w:rPr>
          <w:rFonts w:hint="cs"/>
          <w:sz w:val="20"/>
          <w:szCs w:val="20"/>
          <w:u w:val="single"/>
          <w:rtl/>
        </w:rPr>
        <w:t>עונות</w:t>
      </w:r>
      <w:r>
        <w:rPr>
          <w:rFonts w:hint="cs"/>
          <w:sz w:val="20"/>
          <w:szCs w:val="20"/>
          <w:rtl/>
        </w:rPr>
        <w:t>!</w:t>
      </w:r>
      <w:r>
        <w:rPr>
          <w:sz w:val="20"/>
          <w:szCs w:val="20"/>
          <w:rtl/>
        </w:rPr>
        <w:br/>
      </w:r>
      <w:r>
        <w:rPr>
          <w:rFonts w:hint="cs"/>
          <w:sz w:val="20"/>
          <w:szCs w:val="20"/>
          <w:rtl/>
        </w:rPr>
        <w:t xml:space="preserve">אלא על כרחך, הגמרא מבינה שאם אין לה שעה קבועה ביום מקרי כל היום ווסתה וצריכה לפרוש עונה אחת סמוך לווסתה, דהיינו כל הלילה שלפניו. ומעתה יש לומר שרבא מיירי </w:t>
      </w:r>
      <w:r w:rsidRPr="001622CC">
        <w:rPr>
          <w:rFonts w:hint="cs"/>
          <w:sz w:val="20"/>
          <w:szCs w:val="20"/>
          <w:u w:val="single"/>
          <w:rtl/>
        </w:rPr>
        <w:t>גם</w:t>
      </w:r>
      <w:r>
        <w:rPr>
          <w:rFonts w:hint="cs"/>
          <w:sz w:val="20"/>
          <w:szCs w:val="20"/>
          <w:rtl/>
        </w:rPr>
        <w:t xml:space="preserve"> באשה כזאת, וממילא דברי רבא מתפרשים כך שבכל אשה יש לפרוש שתי עונות.</w:t>
      </w:r>
      <w:r>
        <w:rPr>
          <w:sz w:val="20"/>
          <w:szCs w:val="20"/>
          <w:rtl/>
        </w:rPr>
        <w:br/>
      </w:r>
      <w:r>
        <w:rPr>
          <w:rFonts w:hint="cs"/>
          <w:sz w:val="20"/>
          <w:szCs w:val="20"/>
          <w:rtl/>
        </w:rPr>
        <w:t xml:space="preserve">דוחה גמרא </w:t>
      </w:r>
      <w:r>
        <w:rPr>
          <w:sz w:val="20"/>
          <w:szCs w:val="20"/>
          <w:rtl/>
        </w:rPr>
        <w:t>–</w:t>
      </w:r>
      <w:r>
        <w:rPr>
          <w:rFonts w:hint="cs"/>
          <w:sz w:val="20"/>
          <w:szCs w:val="20"/>
          <w:rtl/>
        </w:rPr>
        <w:t xml:space="preserve"> לא, באשה שיש לה שעה קבועה לא החמיר רבא לפרוש עונה סמוך לווסת, אלא פורש רק בעונה.</w:t>
      </w:r>
      <w:r>
        <w:rPr>
          <w:sz w:val="20"/>
          <w:szCs w:val="20"/>
          <w:rtl/>
        </w:rPr>
        <w:br/>
      </w:r>
      <w:r w:rsidRPr="00084A18">
        <w:rPr>
          <w:rFonts w:hint="cs"/>
          <w:sz w:val="20"/>
          <w:szCs w:val="20"/>
          <w:u w:val="single"/>
          <w:rtl/>
        </w:rPr>
        <w:t>ולדינא</w:t>
      </w:r>
      <w:r w:rsidRPr="00084A18">
        <w:rPr>
          <w:rFonts w:hint="cs"/>
          <w:sz w:val="20"/>
          <w:szCs w:val="20"/>
          <w:rtl/>
        </w:rPr>
        <w:t xml:space="preserve"> </w:t>
      </w:r>
      <w:r>
        <w:rPr>
          <w:sz w:val="20"/>
          <w:szCs w:val="20"/>
          <w:rtl/>
        </w:rPr>
        <w:t>–</w:t>
      </w:r>
      <w:r>
        <w:rPr>
          <w:rFonts w:hint="cs"/>
          <w:sz w:val="20"/>
          <w:szCs w:val="20"/>
          <w:rtl/>
        </w:rPr>
        <w:t xml:space="preserve"> מסיק </w:t>
      </w:r>
      <w:r w:rsidRPr="00F83325">
        <w:rPr>
          <w:rFonts w:hint="cs"/>
          <w:b/>
          <w:bCs/>
          <w:sz w:val="20"/>
          <w:szCs w:val="20"/>
          <w:rtl/>
        </w:rPr>
        <w:t>הש"ך</w:t>
      </w:r>
      <w:r>
        <w:rPr>
          <w:rFonts w:hint="cs"/>
          <w:sz w:val="20"/>
          <w:szCs w:val="20"/>
          <w:rtl/>
        </w:rPr>
        <w:t xml:space="preserve"> כהבנתו </w:t>
      </w:r>
      <w:r w:rsidRPr="00F83325">
        <w:rPr>
          <w:rFonts w:hint="cs"/>
          <w:b/>
          <w:bCs/>
          <w:sz w:val="20"/>
          <w:szCs w:val="20"/>
          <w:rtl/>
        </w:rPr>
        <w:t>באו"ז</w:t>
      </w:r>
      <w:r>
        <w:rPr>
          <w:rFonts w:hint="cs"/>
          <w:sz w:val="20"/>
          <w:szCs w:val="20"/>
          <w:rtl/>
        </w:rPr>
        <w:t>, באשה שאין שעה קבועה לראייתה פורש ממנה שתי עונות, אך באשה שיש שעה קבועה לראייתה פורש רק עונה אחת.</w:t>
      </w:r>
      <w:r>
        <w:rPr>
          <w:rFonts w:hint="cs"/>
          <w:sz w:val="20"/>
          <w:szCs w:val="20"/>
          <w:rtl/>
        </w:rPr>
        <w:br/>
        <w:t>ולכן, למעשה יש לנהוג כחומרת האו"ז מכיוון שהנשים בימינו אינן רואות בשעות קבועות.</w:t>
      </w:r>
    </w:p>
    <w:p w:rsidR="00620060" w:rsidRDefault="00620060" w:rsidP="00620060">
      <w:pPr>
        <w:rPr>
          <w:sz w:val="20"/>
          <w:szCs w:val="20"/>
          <w:rtl/>
        </w:rPr>
      </w:pPr>
      <w:r>
        <w:rPr>
          <w:rFonts w:hint="cs"/>
          <w:sz w:val="20"/>
          <w:szCs w:val="20"/>
          <w:u w:val="single"/>
          <w:rtl/>
        </w:rPr>
        <w:t>פסיקת האחרונים בעונת אור זרוע</w:t>
      </w:r>
      <w:r>
        <w:rPr>
          <w:sz w:val="20"/>
          <w:szCs w:val="20"/>
          <w:u w:val="single"/>
          <w:rtl/>
        </w:rPr>
        <w:br/>
      </w:r>
      <w:r>
        <w:rPr>
          <w:rFonts w:hint="cs"/>
          <w:sz w:val="20"/>
          <w:szCs w:val="20"/>
          <w:rtl/>
        </w:rPr>
        <w:t xml:space="preserve">א. </w:t>
      </w:r>
      <w:r w:rsidRPr="00995440">
        <w:rPr>
          <w:rFonts w:hint="cs"/>
          <w:b/>
          <w:bCs/>
          <w:sz w:val="20"/>
          <w:szCs w:val="20"/>
          <w:rtl/>
        </w:rPr>
        <w:t>טהרת הבית</w:t>
      </w:r>
      <w:r>
        <w:rPr>
          <w:rFonts w:hint="cs"/>
          <w:sz w:val="20"/>
          <w:szCs w:val="20"/>
          <w:rtl/>
        </w:rPr>
        <w:t xml:space="preserve"> </w:t>
      </w:r>
      <w:r>
        <w:rPr>
          <w:sz w:val="20"/>
          <w:szCs w:val="20"/>
          <w:rtl/>
        </w:rPr>
        <w:t>–</w:t>
      </w:r>
      <w:r>
        <w:rPr>
          <w:rFonts w:hint="cs"/>
          <w:sz w:val="20"/>
          <w:szCs w:val="20"/>
          <w:rtl/>
        </w:rPr>
        <w:t xml:space="preserve"> לא הזכיר כלל חומרה זו.</w:t>
      </w:r>
      <w:r>
        <w:rPr>
          <w:rFonts w:hint="cs"/>
          <w:sz w:val="20"/>
          <w:szCs w:val="20"/>
          <w:rtl/>
        </w:rPr>
        <w:br/>
        <w:t xml:space="preserve">ב. </w:t>
      </w:r>
      <w:r w:rsidRPr="00995440">
        <w:rPr>
          <w:rFonts w:hint="cs"/>
          <w:b/>
          <w:bCs/>
          <w:sz w:val="20"/>
          <w:szCs w:val="20"/>
          <w:rtl/>
        </w:rPr>
        <w:t>דרכי טהרה</w:t>
      </w:r>
      <w:r>
        <w:rPr>
          <w:rFonts w:hint="cs"/>
          <w:sz w:val="20"/>
          <w:szCs w:val="20"/>
          <w:rtl/>
        </w:rPr>
        <w:t xml:space="preserve"> </w:t>
      </w:r>
      <w:r>
        <w:rPr>
          <w:sz w:val="20"/>
          <w:szCs w:val="20"/>
          <w:rtl/>
        </w:rPr>
        <w:t>–</w:t>
      </w:r>
      <w:r>
        <w:rPr>
          <w:rFonts w:hint="cs"/>
          <w:sz w:val="20"/>
          <w:szCs w:val="20"/>
          <w:rtl/>
        </w:rPr>
        <w:t xml:space="preserve"> ראוי לנהוג בחומרה זו.</w:t>
      </w:r>
      <w:r>
        <w:rPr>
          <w:sz w:val="20"/>
          <w:szCs w:val="20"/>
          <w:rtl/>
        </w:rPr>
        <w:br/>
      </w:r>
      <w:r>
        <w:rPr>
          <w:rFonts w:hint="cs"/>
          <w:sz w:val="20"/>
          <w:szCs w:val="20"/>
          <w:rtl/>
        </w:rPr>
        <w:t xml:space="preserve">ג. </w:t>
      </w:r>
      <w:r w:rsidRPr="00995440">
        <w:rPr>
          <w:rFonts w:hint="cs"/>
          <w:b/>
          <w:bCs/>
          <w:sz w:val="20"/>
          <w:szCs w:val="20"/>
          <w:rtl/>
        </w:rPr>
        <w:t>שבט הלוי</w:t>
      </w:r>
      <w:r>
        <w:rPr>
          <w:rFonts w:hint="cs"/>
          <w:sz w:val="20"/>
          <w:szCs w:val="20"/>
          <w:rtl/>
        </w:rPr>
        <w:t xml:space="preserve"> </w:t>
      </w:r>
      <w:r>
        <w:rPr>
          <w:sz w:val="20"/>
          <w:szCs w:val="20"/>
          <w:rtl/>
        </w:rPr>
        <w:t>–</w:t>
      </w:r>
      <w:r>
        <w:rPr>
          <w:rFonts w:hint="cs"/>
          <w:sz w:val="20"/>
          <w:szCs w:val="20"/>
          <w:rtl/>
        </w:rPr>
        <w:t xml:space="preserve"> יש לנהוג חומרה זו, ואין לומר שהיא נגד הגמרא אלא זו חומרה שהנהיגו הראשונים.</w:t>
      </w:r>
      <w:r>
        <w:rPr>
          <w:sz w:val="20"/>
          <w:szCs w:val="20"/>
          <w:rtl/>
        </w:rPr>
        <w:br/>
      </w:r>
      <w:r>
        <w:rPr>
          <w:b/>
          <w:bCs/>
          <w:sz w:val="20"/>
          <w:szCs w:val="20"/>
          <w:rtl/>
        </w:rPr>
        <w:br/>
      </w:r>
      <w:r>
        <w:rPr>
          <w:rFonts w:hint="cs"/>
          <w:b/>
          <w:bCs/>
          <w:sz w:val="20"/>
          <w:szCs w:val="20"/>
          <w:rtl/>
        </w:rPr>
        <w:lastRenderedPageBreak/>
        <w:t>שיטת האביאסף</w:t>
      </w:r>
      <w:r>
        <w:rPr>
          <w:b/>
          <w:bCs/>
          <w:sz w:val="20"/>
          <w:szCs w:val="20"/>
          <w:rtl/>
        </w:rPr>
        <w:br/>
      </w:r>
      <w:r>
        <w:rPr>
          <w:rFonts w:hint="cs"/>
          <w:sz w:val="20"/>
          <w:szCs w:val="20"/>
          <w:rtl/>
        </w:rPr>
        <w:t>שיעור עונה הוא יום או לילה בימי ניסן ותשרי, אך בימי תמוז וטבת השיעור הוא חצי יום וחצי לילה.</w:t>
      </w:r>
      <w:r>
        <w:rPr>
          <w:sz w:val="20"/>
          <w:szCs w:val="20"/>
          <w:rtl/>
        </w:rPr>
        <w:br/>
      </w:r>
      <w:r>
        <w:rPr>
          <w:rFonts w:hint="cs"/>
          <w:sz w:val="20"/>
          <w:szCs w:val="20"/>
          <w:rtl/>
        </w:rPr>
        <w:t xml:space="preserve">כלומר </w:t>
      </w:r>
      <w:r>
        <w:rPr>
          <w:sz w:val="20"/>
          <w:szCs w:val="20"/>
          <w:rtl/>
        </w:rPr>
        <w:t>–</w:t>
      </w:r>
      <w:r>
        <w:rPr>
          <w:rFonts w:hint="cs"/>
          <w:sz w:val="20"/>
          <w:szCs w:val="20"/>
          <w:rtl/>
        </w:rPr>
        <w:t xml:space="preserve"> השיעור הוא תמיד יב' שעות.</w:t>
      </w:r>
    </w:p>
    <w:p w:rsidR="00620060" w:rsidRDefault="00620060" w:rsidP="00620060">
      <w:pPr>
        <w:rPr>
          <w:sz w:val="20"/>
          <w:szCs w:val="20"/>
          <w:rtl/>
        </w:rPr>
      </w:pPr>
      <w:r>
        <w:rPr>
          <w:rFonts w:hint="cs"/>
          <w:sz w:val="20"/>
          <w:szCs w:val="20"/>
          <w:u w:val="single"/>
          <w:rtl/>
        </w:rPr>
        <w:t>שיטות הפוסקים בדין האביאסף</w:t>
      </w:r>
      <w:r>
        <w:rPr>
          <w:sz w:val="20"/>
          <w:szCs w:val="20"/>
          <w:u w:val="single"/>
          <w:rtl/>
        </w:rPr>
        <w:br/>
      </w:r>
      <w:r>
        <w:rPr>
          <w:rFonts w:hint="cs"/>
          <w:sz w:val="20"/>
          <w:szCs w:val="20"/>
          <w:rtl/>
        </w:rPr>
        <w:t xml:space="preserve">א. </w:t>
      </w:r>
      <w:r w:rsidRPr="00536874">
        <w:rPr>
          <w:rFonts w:hint="cs"/>
          <w:b/>
          <w:bCs/>
          <w:sz w:val="20"/>
          <w:szCs w:val="20"/>
          <w:rtl/>
        </w:rPr>
        <w:t>בית יוסף</w:t>
      </w:r>
      <w:r>
        <w:rPr>
          <w:rFonts w:hint="cs"/>
          <w:b/>
          <w:bCs/>
          <w:sz w:val="20"/>
          <w:szCs w:val="20"/>
          <w:rtl/>
        </w:rPr>
        <w:t xml:space="preserve"> וט"ז</w:t>
      </w:r>
      <w:r>
        <w:rPr>
          <w:rFonts w:hint="cs"/>
          <w:sz w:val="20"/>
          <w:szCs w:val="20"/>
          <w:rtl/>
        </w:rPr>
        <w:t xml:space="preserve"> </w:t>
      </w:r>
      <w:r>
        <w:rPr>
          <w:sz w:val="20"/>
          <w:szCs w:val="20"/>
          <w:rtl/>
        </w:rPr>
        <w:t>–</w:t>
      </w:r>
      <w:r>
        <w:rPr>
          <w:rFonts w:hint="cs"/>
          <w:sz w:val="20"/>
          <w:szCs w:val="20"/>
          <w:rtl/>
        </w:rPr>
        <w:t xml:space="preserve"> אין לחוש לדבריו.</w:t>
      </w:r>
      <w:r>
        <w:rPr>
          <w:sz w:val="20"/>
          <w:szCs w:val="20"/>
          <w:rtl/>
        </w:rPr>
        <w:br/>
      </w:r>
      <w:r>
        <w:rPr>
          <w:rFonts w:hint="cs"/>
          <w:sz w:val="20"/>
          <w:szCs w:val="20"/>
          <w:rtl/>
        </w:rPr>
        <w:t xml:space="preserve">ב. </w:t>
      </w:r>
      <w:r w:rsidRPr="00EB4086">
        <w:rPr>
          <w:rFonts w:hint="cs"/>
          <w:b/>
          <w:bCs/>
          <w:sz w:val="20"/>
          <w:szCs w:val="20"/>
          <w:rtl/>
        </w:rPr>
        <w:t>ב"ח</w:t>
      </w:r>
      <w:r>
        <w:rPr>
          <w:rFonts w:hint="cs"/>
          <w:sz w:val="20"/>
          <w:szCs w:val="20"/>
          <w:rtl/>
        </w:rPr>
        <w:t xml:space="preserve"> </w:t>
      </w:r>
      <w:r w:rsidRPr="00E03AC2">
        <w:rPr>
          <w:rFonts w:hint="cs"/>
          <w:sz w:val="18"/>
          <w:szCs w:val="18"/>
          <w:rtl/>
        </w:rPr>
        <w:t xml:space="preserve">(וקצת משמע כן </w:t>
      </w:r>
      <w:r w:rsidRPr="00E70499">
        <w:rPr>
          <w:rFonts w:hint="cs"/>
          <w:b/>
          <w:bCs/>
          <w:sz w:val="18"/>
          <w:szCs w:val="18"/>
          <w:rtl/>
        </w:rPr>
        <w:t>בש"ך</w:t>
      </w:r>
      <w:r w:rsidRPr="00E03AC2">
        <w:rPr>
          <w:rFonts w:hint="cs"/>
          <w:sz w:val="18"/>
          <w:szCs w:val="18"/>
          <w:rtl/>
        </w:rPr>
        <w:t xml:space="preserve">) </w:t>
      </w:r>
      <w:r>
        <w:rPr>
          <w:sz w:val="20"/>
          <w:szCs w:val="20"/>
          <w:rtl/>
        </w:rPr>
        <w:t>–</w:t>
      </w:r>
      <w:r>
        <w:rPr>
          <w:rFonts w:hint="cs"/>
          <w:sz w:val="20"/>
          <w:szCs w:val="20"/>
          <w:rtl/>
        </w:rPr>
        <w:t xml:space="preserve"> הלכה כדברי האביאסף.</w:t>
      </w:r>
    </w:p>
    <w:p w:rsidR="00620060" w:rsidRDefault="00620060" w:rsidP="00620060">
      <w:pPr>
        <w:rPr>
          <w:sz w:val="20"/>
          <w:szCs w:val="20"/>
          <w:rtl/>
        </w:rPr>
      </w:pPr>
      <w:r>
        <w:rPr>
          <w:rFonts w:hint="cs"/>
          <w:sz w:val="20"/>
          <w:szCs w:val="20"/>
          <w:u w:val="single"/>
          <w:rtl/>
        </w:rPr>
        <w:t>משא ומתן בטעמי הכרעת הפוסקים</w:t>
      </w:r>
      <w:r>
        <w:rPr>
          <w:rFonts w:hint="cs"/>
          <w:sz w:val="20"/>
          <w:szCs w:val="20"/>
          <w:rtl/>
        </w:rPr>
        <w:br/>
        <w:t xml:space="preserve">א. </w:t>
      </w:r>
      <w:r w:rsidRPr="00E70499">
        <w:rPr>
          <w:rFonts w:hint="cs"/>
          <w:b/>
          <w:bCs/>
          <w:sz w:val="20"/>
          <w:szCs w:val="20"/>
          <w:rtl/>
        </w:rPr>
        <w:t>בית יוסף</w:t>
      </w:r>
      <w:r>
        <w:rPr>
          <w:rFonts w:hint="cs"/>
          <w:sz w:val="20"/>
          <w:szCs w:val="20"/>
          <w:rtl/>
        </w:rPr>
        <w:t xml:space="preserve"> </w:t>
      </w:r>
      <w:r>
        <w:rPr>
          <w:sz w:val="20"/>
          <w:szCs w:val="20"/>
          <w:rtl/>
        </w:rPr>
        <w:t>–</w:t>
      </w:r>
      <w:r>
        <w:rPr>
          <w:rFonts w:hint="cs"/>
          <w:sz w:val="20"/>
          <w:szCs w:val="20"/>
          <w:rtl/>
        </w:rPr>
        <w:t xml:space="preserve"> הפוסקים לא הזכירו את דברי האביאסף, וכן בגמרא משמע שהקפידא היא על יום או לילה.</w:t>
      </w:r>
      <w:r>
        <w:rPr>
          <w:sz w:val="20"/>
          <w:szCs w:val="20"/>
          <w:rtl/>
        </w:rPr>
        <w:br/>
      </w:r>
      <w:r w:rsidRPr="00A24D80">
        <w:rPr>
          <w:rFonts w:hint="cs"/>
          <w:sz w:val="20"/>
          <w:szCs w:val="20"/>
          <w:rtl/>
        </w:rPr>
        <w:t xml:space="preserve">דוחה </w:t>
      </w:r>
      <w:r w:rsidRPr="00A24D80">
        <w:rPr>
          <w:rFonts w:hint="cs"/>
          <w:b/>
          <w:bCs/>
          <w:sz w:val="20"/>
          <w:szCs w:val="20"/>
          <w:rtl/>
        </w:rPr>
        <w:t>הש"ך</w:t>
      </w:r>
      <w:r>
        <w:rPr>
          <w:rFonts w:hint="cs"/>
          <w:sz w:val="20"/>
          <w:szCs w:val="20"/>
          <w:rtl/>
        </w:rPr>
        <w:t xml:space="preserve"> </w:t>
      </w:r>
      <w:r>
        <w:rPr>
          <w:sz w:val="20"/>
          <w:szCs w:val="20"/>
          <w:rtl/>
        </w:rPr>
        <w:t>–</w:t>
      </w:r>
      <w:r>
        <w:rPr>
          <w:rFonts w:hint="cs"/>
          <w:sz w:val="20"/>
          <w:szCs w:val="20"/>
          <w:rtl/>
        </w:rPr>
        <w:t xml:space="preserve"> הפוסקים והגמרא לא כתבו זאת משום שהם מיירי בסתם יום, ואין הכי נמי שבתקופת תמוז או טבת יש לשער בשעות זמניות, כפי שמצאנו גם לעניין חמץ בפסח ולעניין קריאת שמע.</w:t>
      </w:r>
      <w:r>
        <w:rPr>
          <w:sz w:val="20"/>
          <w:szCs w:val="20"/>
          <w:rtl/>
        </w:rPr>
        <w:br/>
      </w:r>
      <w:r>
        <w:rPr>
          <w:rFonts w:hint="cs"/>
          <w:sz w:val="20"/>
          <w:szCs w:val="20"/>
          <w:rtl/>
        </w:rPr>
        <w:t xml:space="preserve">א. </w:t>
      </w:r>
      <w:r w:rsidRPr="00BD0330">
        <w:rPr>
          <w:rFonts w:hint="cs"/>
          <w:b/>
          <w:bCs/>
          <w:sz w:val="20"/>
          <w:szCs w:val="20"/>
          <w:rtl/>
        </w:rPr>
        <w:t>ב"ח</w:t>
      </w:r>
      <w:r>
        <w:rPr>
          <w:rFonts w:hint="cs"/>
          <w:sz w:val="20"/>
          <w:szCs w:val="20"/>
          <w:rtl/>
        </w:rPr>
        <w:t xml:space="preserve"> - נאמר בגמרא נידה (סה:) כדברי האביאסף: "</w:t>
      </w:r>
      <w:r w:rsidRPr="00EB4086">
        <w:rPr>
          <w:rFonts w:cs="Arial" w:hint="cs"/>
          <w:sz w:val="20"/>
          <w:szCs w:val="20"/>
          <w:rtl/>
        </w:rPr>
        <w:t>וכמה</w:t>
      </w:r>
      <w:r w:rsidRPr="00EB4086">
        <w:rPr>
          <w:rFonts w:cs="Arial"/>
          <w:sz w:val="20"/>
          <w:szCs w:val="20"/>
          <w:rtl/>
        </w:rPr>
        <w:t xml:space="preserve"> </w:t>
      </w:r>
      <w:r w:rsidRPr="00EB4086">
        <w:rPr>
          <w:rFonts w:cs="Arial" w:hint="cs"/>
          <w:sz w:val="20"/>
          <w:szCs w:val="20"/>
          <w:rtl/>
        </w:rPr>
        <w:t>עונה</w:t>
      </w:r>
      <w:r w:rsidRPr="00EB4086">
        <w:rPr>
          <w:rFonts w:cs="Arial"/>
          <w:sz w:val="20"/>
          <w:szCs w:val="20"/>
          <w:rtl/>
        </w:rPr>
        <w:t xml:space="preserve">? </w:t>
      </w:r>
      <w:r w:rsidRPr="00EB4086">
        <w:rPr>
          <w:rFonts w:cs="Arial" w:hint="cs"/>
          <w:sz w:val="20"/>
          <w:szCs w:val="20"/>
          <w:rtl/>
        </w:rPr>
        <w:t>א</w:t>
      </w:r>
      <w:r>
        <w:rPr>
          <w:rFonts w:cs="Arial" w:hint="cs"/>
          <w:sz w:val="20"/>
          <w:szCs w:val="20"/>
          <w:rtl/>
        </w:rPr>
        <w:t xml:space="preserve">מר </w:t>
      </w:r>
      <w:r w:rsidRPr="00EB4086">
        <w:rPr>
          <w:rFonts w:cs="Arial" w:hint="cs"/>
          <w:sz w:val="20"/>
          <w:szCs w:val="20"/>
          <w:rtl/>
        </w:rPr>
        <w:t>ר</w:t>
      </w:r>
      <w:r>
        <w:rPr>
          <w:rFonts w:cs="Arial" w:hint="cs"/>
          <w:sz w:val="20"/>
          <w:szCs w:val="20"/>
          <w:rtl/>
        </w:rPr>
        <w:t>בי</w:t>
      </w:r>
      <w:r w:rsidRPr="00EB4086">
        <w:rPr>
          <w:rFonts w:cs="Arial"/>
          <w:sz w:val="20"/>
          <w:szCs w:val="20"/>
          <w:rtl/>
        </w:rPr>
        <w:t xml:space="preserve"> </w:t>
      </w:r>
      <w:r w:rsidRPr="00EB4086">
        <w:rPr>
          <w:rFonts w:cs="Arial" w:hint="cs"/>
          <w:sz w:val="20"/>
          <w:szCs w:val="20"/>
          <w:rtl/>
        </w:rPr>
        <w:t>חייא</w:t>
      </w:r>
      <w:r w:rsidRPr="00EB4086">
        <w:rPr>
          <w:rFonts w:cs="Arial"/>
          <w:sz w:val="20"/>
          <w:szCs w:val="20"/>
          <w:rtl/>
        </w:rPr>
        <w:t xml:space="preserve"> </w:t>
      </w:r>
      <w:r w:rsidRPr="00EB4086">
        <w:rPr>
          <w:rFonts w:cs="Arial" w:hint="cs"/>
          <w:sz w:val="20"/>
          <w:szCs w:val="20"/>
          <w:rtl/>
        </w:rPr>
        <w:t>בר</w:t>
      </w:r>
      <w:r w:rsidRPr="00EB4086">
        <w:rPr>
          <w:rFonts w:cs="Arial"/>
          <w:sz w:val="20"/>
          <w:szCs w:val="20"/>
          <w:rtl/>
        </w:rPr>
        <w:t xml:space="preserve"> </w:t>
      </w:r>
      <w:r w:rsidRPr="00EB4086">
        <w:rPr>
          <w:rFonts w:cs="Arial" w:hint="cs"/>
          <w:sz w:val="20"/>
          <w:szCs w:val="20"/>
          <w:rtl/>
        </w:rPr>
        <w:t>אבא</w:t>
      </w:r>
      <w:r w:rsidRPr="00EB4086">
        <w:rPr>
          <w:rFonts w:cs="Arial"/>
          <w:sz w:val="20"/>
          <w:szCs w:val="20"/>
          <w:rtl/>
        </w:rPr>
        <w:t xml:space="preserve"> </w:t>
      </w:r>
      <w:r w:rsidRPr="00EB4086">
        <w:rPr>
          <w:rFonts w:cs="Arial" w:hint="cs"/>
          <w:sz w:val="20"/>
          <w:szCs w:val="20"/>
          <w:rtl/>
        </w:rPr>
        <w:t>א</w:t>
      </w:r>
      <w:r>
        <w:rPr>
          <w:rFonts w:cs="Arial" w:hint="cs"/>
          <w:sz w:val="20"/>
          <w:szCs w:val="20"/>
          <w:rtl/>
        </w:rPr>
        <w:t xml:space="preserve">מר </w:t>
      </w:r>
      <w:r w:rsidRPr="00EB4086">
        <w:rPr>
          <w:rFonts w:cs="Arial" w:hint="cs"/>
          <w:sz w:val="20"/>
          <w:szCs w:val="20"/>
          <w:rtl/>
        </w:rPr>
        <w:t>ר</w:t>
      </w:r>
      <w:r>
        <w:rPr>
          <w:rFonts w:cs="Arial" w:hint="cs"/>
          <w:sz w:val="20"/>
          <w:szCs w:val="20"/>
          <w:rtl/>
        </w:rPr>
        <w:t>בי</w:t>
      </w:r>
      <w:r w:rsidRPr="00EB4086">
        <w:rPr>
          <w:rFonts w:cs="Arial"/>
          <w:sz w:val="20"/>
          <w:szCs w:val="20"/>
          <w:rtl/>
        </w:rPr>
        <w:t xml:space="preserve"> </w:t>
      </w:r>
      <w:r w:rsidRPr="00EB4086">
        <w:rPr>
          <w:rFonts w:cs="Arial" w:hint="cs"/>
          <w:sz w:val="20"/>
          <w:szCs w:val="20"/>
          <w:rtl/>
        </w:rPr>
        <w:t>יוחנן</w:t>
      </w:r>
      <w:r w:rsidRPr="00EB4086">
        <w:rPr>
          <w:rFonts w:cs="Arial"/>
          <w:sz w:val="20"/>
          <w:szCs w:val="20"/>
          <w:rtl/>
        </w:rPr>
        <w:t xml:space="preserve">: </w:t>
      </w:r>
      <w:r w:rsidRPr="00EB4086">
        <w:rPr>
          <w:rFonts w:cs="Arial" w:hint="cs"/>
          <w:sz w:val="20"/>
          <w:szCs w:val="20"/>
          <w:rtl/>
        </w:rPr>
        <w:t>או</w:t>
      </w:r>
      <w:r w:rsidRPr="00EB4086">
        <w:rPr>
          <w:rFonts w:cs="Arial"/>
          <w:sz w:val="20"/>
          <w:szCs w:val="20"/>
          <w:rtl/>
        </w:rPr>
        <w:t xml:space="preserve"> </w:t>
      </w:r>
      <w:r w:rsidRPr="00EB4086">
        <w:rPr>
          <w:rFonts w:cs="Arial" w:hint="cs"/>
          <w:sz w:val="20"/>
          <w:szCs w:val="20"/>
          <w:rtl/>
        </w:rPr>
        <w:t>יום</w:t>
      </w:r>
      <w:r w:rsidRPr="00EB4086">
        <w:rPr>
          <w:rFonts w:cs="Arial"/>
          <w:sz w:val="20"/>
          <w:szCs w:val="20"/>
          <w:rtl/>
        </w:rPr>
        <w:t xml:space="preserve"> </w:t>
      </w:r>
      <w:r w:rsidRPr="00EB4086">
        <w:rPr>
          <w:rFonts w:cs="Arial" w:hint="cs"/>
          <w:sz w:val="20"/>
          <w:szCs w:val="20"/>
          <w:rtl/>
        </w:rPr>
        <w:t>או</w:t>
      </w:r>
      <w:r w:rsidRPr="00EB4086">
        <w:rPr>
          <w:rFonts w:cs="Arial"/>
          <w:sz w:val="20"/>
          <w:szCs w:val="20"/>
          <w:rtl/>
        </w:rPr>
        <w:t xml:space="preserve"> </w:t>
      </w:r>
      <w:r w:rsidRPr="00EB4086">
        <w:rPr>
          <w:rFonts w:cs="Arial" w:hint="cs"/>
          <w:sz w:val="20"/>
          <w:szCs w:val="20"/>
          <w:rtl/>
        </w:rPr>
        <w:t>לילה</w:t>
      </w:r>
      <w:r w:rsidRPr="00EB4086">
        <w:rPr>
          <w:rFonts w:cs="Arial"/>
          <w:sz w:val="20"/>
          <w:szCs w:val="20"/>
          <w:rtl/>
        </w:rPr>
        <w:t xml:space="preserve">. </w:t>
      </w:r>
      <w:r w:rsidRPr="00EB4086">
        <w:rPr>
          <w:rFonts w:cs="Arial" w:hint="cs"/>
          <w:sz w:val="20"/>
          <w:szCs w:val="20"/>
          <w:rtl/>
        </w:rPr>
        <w:t>ר</w:t>
      </w:r>
      <w:r>
        <w:rPr>
          <w:rFonts w:cs="Arial" w:hint="cs"/>
          <w:sz w:val="20"/>
          <w:szCs w:val="20"/>
          <w:rtl/>
        </w:rPr>
        <w:t>בי</w:t>
      </w:r>
      <w:r w:rsidRPr="00EB4086">
        <w:rPr>
          <w:rFonts w:cs="Arial"/>
          <w:sz w:val="20"/>
          <w:szCs w:val="20"/>
          <w:rtl/>
        </w:rPr>
        <w:t xml:space="preserve"> </w:t>
      </w:r>
      <w:r w:rsidRPr="00EB4086">
        <w:rPr>
          <w:rFonts w:cs="Arial" w:hint="cs"/>
          <w:sz w:val="20"/>
          <w:szCs w:val="20"/>
          <w:rtl/>
        </w:rPr>
        <w:t>חנה</w:t>
      </w:r>
      <w:r w:rsidRPr="00EB4086">
        <w:rPr>
          <w:rFonts w:cs="Arial"/>
          <w:sz w:val="20"/>
          <w:szCs w:val="20"/>
          <w:rtl/>
        </w:rPr>
        <w:t xml:space="preserve"> </w:t>
      </w:r>
      <w:r w:rsidRPr="00EB4086">
        <w:rPr>
          <w:rFonts w:cs="Arial" w:hint="cs"/>
          <w:sz w:val="20"/>
          <w:szCs w:val="20"/>
          <w:rtl/>
        </w:rPr>
        <w:t>שאונא</w:t>
      </w:r>
      <w:r w:rsidRPr="00EB4086">
        <w:rPr>
          <w:rFonts w:cs="Arial"/>
          <w:sz w:val="20"/>
          <w:szCs w:val="20"/>
          <w:rtl/>
        </w:rPr>
        <w:t xml:space="preserve">, </w:t>
      </w:r>
      <w:r w:rsidRPr="00EB4086">
        <w:rPr>
          <w:rFonts w:cs="Arial" w:hint="cs"/>
          <w:sz w:val="20"/>
          <w:szCs w:val="20"/>
          <w:rtl/>
        </w:rPr>
        <w:t>ואמרי</w:t>
      </w:r>
      <w:r w:rsidRPr="00EB4086">
        <w:rPr>
          <w:rFonts w:cs="Arial"/>
          <w:sz w:val="20"/>
          <w:szCs w:val="20"/>
          <w:rtl/>
        </w:rPr>
        <w:t xml:space="preserve"> </w:t>
      </w:r>
      <w:r w:rsidRPr="00EB4086">
        <w:rPr>
          <w:rFonts w:cs="Arial" w:hint="cs"/>
          <w:sz w:val="20"/>
          <w:szCs w:val="20"/>
          <w:rtl/>
        </w:rPr>
        <w:t>לה</w:t>
      </w:r>
      <w:r w:rsidRPr="00EB4086">
        <w:rPr>
          <w:rFonts w:cs="Arial"/>
          <w:sz w:val="20"/>
          <w:szCs w:val="20"/>
          <w:rtl/>
        </w:rPr>
        <w:t xml:space="preserve"> </w:t>
      </w:r>
      <w:r w:rsidRPr="00EB4086">
        <w:rPr>
          <w:rFonts w:cs="Arial" w:hint="cs"/>
          <w:sz w:val="20"/>
          <w:szCs w:val="20"/>
          <w:rtl/>
        </w:rPr>
        <w:t>רבי</w:t>
      </w:r>
      <w:r w:rsidRPr="00EB4086">
        <w:rPr>
          <w:rFonts w:cs="Arial"/>
          <w:sz w:val="20"/>
          <w:szCs w:val="20"/>
          <w:rtl/>
        </w:rPr>
        <w:t xml:space="preserve"> </w:t>
      </w:r>
      <w:r w:rsidRPr="00EB4086">
        <w:rPr>
          <w:rFonts w:cs="Arial" w:hint="cs"/>
          <w:sz w:val="20"/>
          <w:szCs w:val="20"/>
          <w:rtl/>
        </w:rPr>
        <w:t>חנה</w:t>
      </w:r>
      <w:r w:rsidRPr="00EB4086">
        <w:rPr>
          <w:rFonts w:cs="Arial"/>
          <w:sz w:val="20"/>
          <w:szCs w:val="20"/>
          <w:rtl/>
        </w:rPr>
        <w:t xml:space="preserve"> </w:t>
      </w:r>
      <w:r w:rsidRPr="00EB4086">
        <w:rPr>
          <w:rFonts w:cs="Arial" w:hint="cs"/>
          <w:sz w:val="20"/>
          <w:szCs w:val="20"/>
          <w:rtl/>
        </w:rPr>
        <w:t>בר</w:t>
      </w:r>
      <w:r w:rsidRPr="00EB4086">
        <w:rPr>
          <w:rFonts w:cs="Arial"/>
          <w:sz w:val="20"/>
          <w:szCs w:val="20"/>
          <w:rtl/>
        </w:rPr>
        <w:t xml:space="preserve"> </w:t>
      </w:r>
      <w:r w:rsidRPr="00EB4086">
        <w:rPr>
          <w:rFonts w:cs="Arial" w:hint="cs"/>
          <w:sz w:val="20"/>
          <w:szCs w:val="20"/>
          <w:rtl/>
        </w:rPr>
        <w:t>שאונא</w:t>
      </w:r>
      <w:r w:rsidRPr="00EB4086">
        <w:rPr>
          <w:rFonts w:cs="Arial"/>
          <w:sz w:val="20"/>
          <w:szCs w:val="20"/>
          <w:rtl/>
        </w:rPr>
        <w:t xml:space="preserve"> </w:t>
      </w:r>
      <w:r w:rsidRPr="00EB4086">
        <w:rPr>
          <w:rFonts w:cs="Arial" w:hint="cs"/>
          <w:sz w:val="20"/>
          <w:szCs w:val="20"/>
          <w:rtl/>
        </w:rPr>
        <w:t>אמר</w:t>
      </w:r>
      <w:r w:rsidRPr="00EB4086">
        <w:rPr>
          <w:rFonts w:cs="Arial"/>
          <w:sz w:val="20"/>
          <w:szCs w:val="20"/>
          <w:rtl/>
        </w:rPr>
        <w:t xml:space="preserve"> </w:t>
      </w:r>
      <w:r w:rsidRPr="00EB4086">
        <w:rPr>
          <w:rFonts w:cs="Arial" w:hint="cs"/>
          <w:sz w:val="20"/>
          <w:szCs w:val="20"/>
          <w:rtl/>
        </w:rPr>
        <w:t>רבה</w:t>
      </w:r>
      <w:r w:rsidRPr="00EB4086">
        <w:rPr>
          <w:rFonts w:cs="Arial"/>
          <w:sz w:val="20"/>
          <w:szCs w:val="20"/>
          <w:rtl/>
        </w:rPr>
        <w:t xml:space="preserve"> </w:t>
      </w:r>
      <w:r w:rsidRPr="00EB4086">
        <w:rPr>
          <w:rFonts w:cs="Arial" w:hint="cs"/>
          <w:sz w:val="20"/>
          <w:szCs w:val="20"/>
          <w:rtl/>
        </w:rPr>
        <w:t>בר</w:t>
      </w:r>
      <w:r w:rsidRPr="00EB4086">
        <w:rPr>
          <w:rFonts w:cs="Arial"/>
          <w:sz w:val="20"/>
          <w:szCs w:val="20"/>
          <w:rtl/>
        </w:rPr>
        <w:t xml:space="preserve"> </w:t>
      </w:r>
      <w:r w:rsidRPr="00EB4086">
        <w:rPr>
          <w:rFonts w:cs="Arial" w:hint="cs"/>
          <w:sz w:val="20"/>
          <w:szCs w:val="20"/>
          <w:rtl/>
        </w:rPr>
        <w:t>בר</w:t>
      </w:r>
      <w:r w:rsidRPr="00EB4086">
        <w:rPr>
          <w:rFonts w:cs="Arial"/>
          <w:sz w:val="20"/>
          <w:szCs w:val="20"/>
          <w:rtl/>
        </w:rPr>
        <w:t xml:space="preserve"> </w:t>
      </w:r>
      <w:r w:rsidRPr="00EB4086">
        <w:rPr>
          <w:rFonts w:cs="Arial" w:hint="cs"/>
          <w:sz w:val="20"/>
          <w:szCs w:val="20"/>
          <w:rtl/>
        </w:rPr>
        <w:t>חנה</w:t>
      </w:r>
      <w:r w:rsidRPr="00EB4086">
        <w:rPr>
          <w:rFonts w:cs="Arial"/>
          <w:sz w:val="20"/>
          <w:szCs w:val="20"/>
          <w:rtl/>
        </w:rPr>
        <w:t xml:space="preserve"> </w:t>
      </w:r>
      <w:r w:rsidRPr="00EB4086">
        <w:rPr>
          <w:rFonts w:cs="Arial" w:hint="cs"/>
          <w:sz w:val="20"/>
          <w:szCs w:val="20"/>
          <w:rtl/>
        </w:rPr>
        <w:t>א</w:t>
      </w:r>
      <w:r>
        <w:rPr>
          <w:rFonts w:cs="Arial" w:hint="cs"/>
          <w:sz w:val="20"/>
          <w:szCs w:val="20"/>
          <w:rtl/>
        </w:rPr>
        <w:t xml:space="preserve">מר </w:t>
      </w:r>
      <w:r w:rsidRPr="00EB4086">
        <w:rPr>
          <w:rFonts w:cs="Arial" w:hint="cs"/>
          <w:sz w:val="20"/>
          <w:szCs w:val="20"/>
          <w:rtl/>
        </w:rPr>
        <w:t>ר</w:t>
      </w:r>
      <w:r>
        <w:rPr>
          <w:rFonts w:cs="Arial" w:hint="cs"/>
          <w:sz w:val="20"/>
          <w:szCs w:val="20"/>
          <w:rtl/>
        </w:rPr>
        <w:t>בי</w:t>
      </w:r>
      <w:r w:rsidRPr="00EB4086">
        <w:rPr>
          <w:rFonts w:cs="Arial"/>
          <w:sz w:val="20"/>
          <w:szCs w:val="20"/>
          <w:rtl/>
        </w:rPr>
        <w:t xml:space="preserve"> </w:t>
      </w:r>
      <w:r w:rsidRPr="00EB4086">
        <w:rPr>
          <w:rFonts w:cs="Arial" w:hint="cs"/>
          <w:sz w:val="20"/>
          <w:szCs w:val="20"/>
          <w:rtl/>
        </w:rPr>
        <w:t>יוחנן</w:t>
      </w:r>
      <w:r w:rsidRPr="00EB4086">
        <w:rPr>
          <w:rFonts w:cs="Arial"/>
          <w:sz w:val="20"/>
          <w:szCs w:val="20"/>
          <w:rtl/>
        </w:rPr>
        <w:t xml:space="preserve">: </w:t>
      </w:r>
      <w:r w:rsidRPr="00EB4086">
        <w:rPr>
          <w:rFonts w:cs="Arial" w:hint="cs"/>
          <w:sz w:val="20"/>
          <w:szCs w:val="20"/>
          <w:rtl/>
        </w:rPr>
        <w:t>חצי</w:t>
      </w:r>
      <w:r w:rsidRPr="00EB4086">
        <w:rPr>
          <w:rFonts w:cs="Arial"/>
          <w:sz w:val="20"/>
          <w:szCs w:val="20"/>
          <w:rtl/>
        </w:rPr>
        <w:t xml:space="preserve"> </w:t>
      </w:r>
      <w:r w:rsidRPr="00EB4086">
        <w:rPr>
          <w:rFonts w:cs="Arial" w:hint="cs"/>
          <w:sz w:val="20"/>
          <w:szCs w:val="20"/>
          <w:rtl/>
        </w:rPr>
        <w:t>יום</w:t>
      </w:r>
      <w:r w:rsidRPr="00EB4086">
        <w:rPr>
          <w:rFonts w:cs="Arial"/>
          <w:sz w:val="20"/>
          <w:szCs w:val="20"/>
          <w:rtl/>
        </w:rPr>
        <w:t xml:space="preserve"> </w:t>
      </w:r>
      <w:r w:rsidRPr="00EB4086">
        <w:rPr>
          <w:rFonts w:cs="Arial" w:hint="cs"/>
          <w:sz w:val="20"/>
          <w:szCs w:val="20"/>
          <w:rtl/>
        </w:rPr>
        <w:t>וחצי</w:t>
      </w:r>
      <w:r w:rsidRPr="00EB4086">
        <w:rPr>
          <w:rFonts w:cs="Arial"/>
          <w:sz w:val="20"/>
          <w:szCs w:val="20"/>
          <w:rtl/>
        </w:rPr>
        <w:t xml:space="preserve"> </w:t>
      </w:r>
      <w:r w:rsidRPr="00EB4086">
        <w:rPr>
          <w:rFonts w:cs="Arial" w:hint="cs"/>
          <w:sz w:val="20"/>
          <w:szCs w:val="20"/>
          <w:rtl/>
        </w:rPr>
        <w:t>לילה</w:t>
      </w:r>
      <w:r w:rsidRPr="00EB4086">
        <w:rPr>
          <w:rFonts w:cs="Arial"/>
          <w:sz w:val="20"/>
          <w:szCs w:val="20"/>
          <w:rtl/>
        </w:rPr>
        <w:t xml:space="preserve">. </w:t>
      </w:r>
      <w:r w:rsidRPr="00EB4086">
        <w:rPr>
          <w:rFonts w:cs="Arial" w:hint="cs"/>
          <w:sz w:val="20"/>
          <w:szCs w:val="20"/>
          <w:rtl/>
        </w:rPr>
        <w:t>ואמר</w:t>
      </w:r>
      <w:r w:rsidRPr="00EB4086">
        <w:rPr>
          <w:rFonts w:cs="Arial"/>
          <w:sz w:val="20"/>
          <w:szCs w:val="20"/>
          <w:rtl/>
        </w:rPr>
        <w:t xml:space="preserve"> </w:t>
      </w:r>
      <w:r w:rsidRPr="00EB4086">
        <w:rPr>
          <w:rFonts w:cs="Arial" w:hint="cs"/>
          <w:sz w:val="20"/>
          <w:szCs w:val="20"/>
          <w:rtl/>
        </w:rPr>
        <w:t>רב</w:t>
      </w:r>
      <w:r w:rsidRPr="00EB4086">
        <w:rPr>
          <w:rFonts w:cs="Arial"/>
          <w:sz w:val="20"/>
          <w:szCs w:val="20"/>
          <w:rtl/>
        </w:rPr>
        <w:t xml:space="preserve"> </w:t>
      </w:r>
      <w:r w:rsidRPr="00EB4086">
        <w:rPr>
          <w:rFonts w:cs="Arial" w:hint="cs"/>
          <w:sz w:val="20"/>
          <w:szCs w:val="20"/>
          <w:rtl/>
        </w:rPr>
        <w:t>שמואל</w:t>
      </w:r>
      <w:r w:rsidRPr="00EB4086">
        <w:rPr>
          <w:rFonts w:cs="Arial"/>
          <w:sz w:val="20"/>
          <w:szCs w:val="20"/>
          <w:rtl/>
        </w:rPr>
        <w:t xml:space="preserve"> </w:t>
      </w:r>
      <w:r w:rsidRPr="00EB4086">
        <w:rPr>
          <w:rFonts w:cs="Arial" w:hint="cs"/>
          <w:sz w:val="20"/>
          <w:szCs w:val="20"/>
          <w:rtl/>
        </w:rPr>
        <w:t>בר</w:t>
      </w:r>
      <w:r w:rsidRPr="00EB4086">
        <w:rPr>
          <w:rFonts w:cs="Arial"/>
          <w:sz w:val="20"/>
          <w:szCs w:val="20"/>
          <w:rtl/>
        </w:rPr>
        <w:t xml:space="preserve"> </w:t>
      </w:r>
      <w:r w:rsidRPr="00EB4086">
        <w:rPr>
          <w:rFonts w:cs="Arial" w:hint="cs"/>
          <w:sz w:val="20"/>
          <w:szCs w:val="20"/>
          <w:rtl/>
        </w:rPr>
        <w:t>רב</w:t>
      </w:r>
      <w:r w:rsidRPr="00EB4086">
        <w:rPr>
          <w:rFonts w:cs="Arial"/>
          <w:sz w:val="20"/>
          <w:szCs w:val="20"/>
          <w:rtl/>
        </w:rPr>
        <w:t xml:space="preserve"> </w:t>
      </w:r>
      <w:r w:rsidRPr="00EB4086">
        <w:rPr>
          <w:rFonts w:cs="Arial" w:hint="cs"/>
          <w:sz w:val="20"/>
          <w:szCs w:val="20"/>
          <w:rtl/>
        </w:rPr>
        <w:t>יצחק</w:t>
      </w:r>
      <w:r w:rsidRPr="00EB4086">
        <w:rPr>
          <w:rFonts w:cs="Arial"/>
          <w:sz w:val="20"/>
          <w:szCs w:val="20"/>
          <w:rtl/>
        </w:rPr>
        <w:t xml:space="preserve">: </w:t>
      </w:r>
      <w:r w:rsidRPr="00EB4086">
        <w:rPr>
          <w:rFonts w:cs="Arial" w:hint="cs"/>
          <w:sz w:val="20"/>
          <w:szCs w:val="20"/>
          <w:rtl/>
        </w:rPr>
        <w:t>ולא</w:t>
      </w:r>
      <w:r w:rsidRPr="00EB4086">
        <w:rPr>
          <w:rFonts w:cs="Arial"/>
          <w:sz w:val="20"/>
          <w:szCs w:val="20"/>
          <w:rtl/>
        </w:rPr>
        <w:t xml:space="preserve"> </w:t>
      </w:r>
      <w:r w:rsidRPr="00EB4086">
        <w:rPr>
          <w:rFonts w:cs="Arial" w:hint="cs"/>
          <w:sz w:val="20"/>
          <w:szCs w:val="20"/>
          <w:rtl/>
        </w:rPr>
        <w:t>פליגי</w:t>
      </w:r>
      <w:r w:rsidRPr="00EB4086">
        <w:rPr>
          <w:rFonts w:cs="Arial"/>
          <w:sz w:val="20"/>
          <w:szCs w:val="20"/>
          <w:rtl/>
        </w:rPr>
        <w:t xml:space="preserve">, </w:t>
      </w:r>
      <w:r w:rsidRPr="00EB4086">
        <w:rPr>
          <w:rFonts w:cs="Arial" w:hint="cs"/>
          <w:sz w:val="20"/>
          <w:szCs w:val="20"/>
          <w:rtl/>
        </w:rPr>
        <w:t>הא</w:t>
      </w:r>
      <w:r w:rsidRPr="00EB4086">
        <w:rPr>
          <w:rFonts w:cs="Arial"/>
          <w:sz w:val="20"/>
          <w:szCs w:val="20"/>
          <w:rtl/>
        </w:rPr>
        <w:t xml:space="preserve"> - </w:t>
      </w:r>
      <w:r w:rsidRPr="00EB4086">
        <w:rPr>
          <w:rFonts w:cs="Arial" w:hint="cs"/>
          <w:sz w:val="20"/>
          <w:szCs w:val="20"/>
          <w:rtl/>
        </w:rPr>
        <w:t>בתקופ</w:t>
      </w:r>
      <w:r>
        <w:rPr>
          <w:rFonts w:cs="Arial" w:hint="cs"/>
          <w:sz w:val="20"/>
          <w:szCs w:val="20"/>
          <w:rtl/>
        </w:rPr>
        <w:t>ת</w:t>
      </w:r>
      <w:r w:rsidRPr="00EB4086">
        <w:rPr>
          <w:rFonts w:cs="Arial"/>
          <w:sz w:val="20"/>
          <w:szCs w:val="20"/>
          <w:rtl/>
        </w:rPr>
        <w:t xml:space="preserve"> </w:t>
      </w:r>
      <w:r w:rsidRPr="00EB4086">
        <w:rPr>
          <w:rFonts w:cs="Arial" w:hint="cs"/>
          <w:sz w:val="20"/>
          <w:szCs w:val="20"/>
          <w:rtl/>
        </w:rPr>
        <w:t>ניסן</w:t>
      </w:r>
      <w:r w:rsidRPr="00EB4086">
        <w:rPr>
          <w:rFonts w:cs="Arial"/>
          <w:sz w:val="20"/>
          <w:szCs w:val="20"/>
          <w:rtl/>
        </w:rPr>
        <w:t xml:space="preserve"> </w:t>
      </w:r>
      <w:r w:rsidRPr="00EB4086">
        <w:rPr>
          <w:rFonts w:cs="Arial" w:hint="cs"/>
          <w:sz w:val="20"/>
          <w:szCs w:val="20"/>
          <w:rtl/>
        </w:rPr>
        <w:t>ותשרי</w:t>
      </w:r>
      <w:r w:rsidRPr="00EB4086">
        <w:rPr>
          <w:rFonts w:cs="Arial"/>
          <w:sz w:val="20"/>
          <w:szCs w:val="20"/>
          <w:rtl/>
        </w:rPr>
        <w:t xml:space="preserve">, </w:t>
      </w:r>
      <w:r w:rsidRPr="00EB4086">
        <w:rPr>
          <w:rFonts w:cs="Arial" w:hint="cs"/>
          <w:sz w:val="20"/>
          <w:szCs w:val="20"/>
          <w:rtl/>
        </w:rPr>
        <w:t>הא</w:t>
      </w:r>
      <w:r w:rsidRPr="00EB4086">
        <w:rPr>
          <w:rFonts w:cs="Arial"/>
          <w:sz w:val="20"/>
          <w:szCs w:val="20"/>
          <w:rtl/>
        </w:rPr>
        <w:t xml:space="preserve"> - </w:t>
      </w:r>
      <w:r w:rsidRPr="00EB4086">
        <w:rPr>
          <w:rFonts w:cs="Arial" w:hint="cs"/>
          <w:sz w:val="20"/>
          <w:szCs w:val="20"/>
          <w:rtl/>
        </w:rPr>
        <w:t>בתקופת</w:t>
      </w:r>
      <w:r w:rsidRPr="00EB4086">
        <w:rPr>
          <w:rFonts w:cs="Arial"/>
          <w:sz w:val="20"/>
          <w:szCs w:val="20"/>
          <w:rtl/>
        </w:rPr>
        <w:t xml:space="preserve"> </w:t>
      </w:r>
      <w:r w:rsidRPr="00EB4086">
        <w:rPr>
          <w:rFonts w:cs="Arial" w:hint="cs"/>
          <w:sz w:val="20"/>
          <w:szCs w:val="20"/>
          <w:rtl/>
        </w:rPr>
        <w:t>תמוז</w:t>
      </w:r>
      <w:r w:rsidRPr="00EB4086">
        <w:rPr>
          <w:rFonts w:cs="Arial"/>
          <w:sz w:val="20"/>
          <w:szCs w:val="20"/>
          <w:rtl/>
        </w:rPr>
        <w:t xml:space="preserve"> </w:t>
      </w:r>
      <w:r w:rsidRPr="00EB4086">
        <w:rPr>
          <w:rFonts w:cs="Arial" w:hint="cs"/>
          <w:sz w:val="20"/>
          <w:szCs w:val="20"/>
          <w:rtl/>
        </w:rPr>
        <w:t>וטבת</w:t>
      </w:r>
      <w:r>
        <w:rPr>
          <w:rFonts w:cs="Arial" w:hint="cs"/>
          <w:sz w:val="20"/>
          <w:szCs w:val="20"/>
          <w:rtl/>
        </w:rPr>
        <w:t>"</w:t>
      </w:r>
      <w:r w:rsidRPr="00EB4086">
        <w:rPr>
          <w:rFonts w:cs="Arial"/>
          <w:sz w:val="20"/>
          <w:szCs w:val="20"/>
          <w:rtl/>
        </w:rPr>
        <w:t>.</w:t>
      </w:r>
      <w:r>
        <w:rPr>
          <w:sz w:val="20"/>
          <w:szCs w:val="20"/>
          <w:rtl/>
        </w:rPr>
        <w:br/>
      </w:r>
      <w:r w:rsidRPr="00A24D80">
        <w:rPr>
          <w:rFonts w:hint="cs"/>
          <w:sz w:val="20"/>
          <w:szCs w:val="20"/>
          <w:rtl/>
        </w:rPr>
        <w:t xml:space="preserve">דוחה </w:t>
      </w:r>
      <w:r w:rsidRPr="00A24D80">
        <w:rPr>
          <w:rFonts w:hint="cs"/>
          <w:b/>
          <w:bCs/>
          <w:sz w:val="20"/>
          <w:szCs w:val="20"/>
          <w:rtl/>
        </w:rPr>
        <w:t>הט"ז</w:t>
      </w:r>
      <w:r>
        <w:rPr>
          <w:rFonts w:hint="cs"/>
          <w:sz w:val="20"/>
          <w:szCs w:val="20"/>
          <w:rtl/>
        </w:rPr>
        <w:t xml:space="preserve"> </w:t>
      </w:r>
      <w:r>
        <w:rPr>
          <w:sz w:val="20"/>
          <w:szCs w:val="20"/>
          <w:rtl/>
        </w:rPr>
        <w:t>–</w:t>
      </w:r>
      <w:r>
        <w:rPr>
          <w:rFonts w:hint="cs"/>
          <w:sz w:val="20"/>
          <w:szCs w:val="20"/>
          <w:rtl/>
        </w:rPr>
        <w:t xml:space="preserve"> התם מיירי לעניין בעילת תינוקת שנותנים לה יב' שעות זמניות, וכל הדם שיוצא ממנה בזמן זה אינו מטמא משום שתולים אותו מחמת הבעילה. ודווקא בכה"ג אזלינן בתר שעות זמניות, כיוון שאין טעם לתלות ביום או בלילה בלבד, דא"כ לבועל בתחילת הלילה יש זמן רב יותר מהבועל בסוף הלילה, וזה דבר שלא ייתכן. אך בעניינינו פרישת יום או לילה שווה בכל הנשים.</w:t>
      </w:r>
    </w:p>
    <w:p w:rsidR="00620060" w:rsidRDefault="00620060" w:rsidP="00620060">
      <w:pPr>
        <w:rPr>
          <w:sz w:val="20"/>
          <w:szCs w:val="20"/>
          <w:rtl/>
        </w:rPr>
      </w:pPr>
      <w:r>
        <w:rPr>
          <w:rFonts w:hint="cs"/>
          <w:sz w:val="20"/>
          <w:szCs w:val="20"/>
          <w:u w:val="single"/>
          <w:rtl/>
        </w:rPr>
        <w:t>אופן חישוב שעות הפרישה לדעת האביאסף</w:t>
      </w:r>
      <w:r>
        <w:rPr>
          <w:sz w:val="20"/>
          <w:szCs w:val="20"/>
          <w:u w:val="single"/>
          <w:rtl/>
        </w:rPr>
        <w:br/>
      </w:r>
      <w:r>
        <w:rPr>
          <w:rFonts w:hint="cs"/>
          <w:sz w:val="20"/>
          <w:szCs w:val="20"/>
          <w:rtl/>
        </w:rPr>
        <w:t xml:space="preserve">א. </w:t>
      </w:r>
      <w:r w:rsidRPr="00517DF6">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יש לפרוש שש שעות לפני שעת ווסתה, ושש שעות לאחר שעת ווסתה.</w:t>
      </w:r>
      <w:r>
        <w:rPr>
          <w:rStyle w:val="a5"/>
          <w:sz w:val="20"/>
          <w:szCs w:val="20"/>
          <w:rtl/>
        </w:rPr>
        <w:footnoteReference w:id="26"/>
      </w:r>
      <w:r>
        <w:rPr>
          <w:sz w:val="20"/>
          <w:szCs w:val="20"/>
          <w:rtl/>
        </w:rPr>
        <w:br/>
      </w:r>
      <w:r>
        <w:rPr>
          <w:rFonts w:hint="cs"/>
          <w:sz w:val="20"/>
          <w:szCs w:val="20"/>
          <w:rtl/>
        </w:rPr>
        <w:t xml:space="preserve">ב. </w:t>
      </w:r>
      <w:r w:rsidRPr="00B92DF4">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אם ווסתה ביומי ניסן ותשרי, פורש ממנה כל היום או כל הלילה ואין לחשוב לפי עת ווסתה המדויקת כפי שכתב הט"ז. אם ווסתה ביום בתקופת טבת, פורש עוד שעה וחצי בלילה לפני ושעה וחצי בלילה אחרי. ואם ווסתה ביום בתמוז, לווה שעה וחצי מתחילת היום ושעה וחצי מסוף היום ומותר בהם.</w:t>
      </w:r>
      <w:r>
        <w:rPr>
          <w:rStyle w:val="a5"/>
          <w:sz w:val="20"/>
          <w:szCs w:val="20"/>
          <w:rtl/>
        </w:rPr>
        <w:footnoteReference w:id="27"/>
      </w:r>
      <w:r>
        <w:rPr>
          <w:rFonts w:hint="cs"/>
          <w:sz w:val="20"/>
          <w:szCs w:val="20"/>
          <w:rtl/>
        </w:rPr>
        <w:t xml:space="preserve"> </w:t>
      </w:r>
      <w:r>
        <w:rPr>
          <w:rStyle w:val="a5"/>
          <w:sz w:val="20"/>
          <w:szCs w:val="20"/>
          <w:rtl/>
        </w:rPr>
        <w:footnoteReference w:id="28"/>
      </w:r>
    </w:p>
    <w:p w:rsidR="00620060" w:rsidRPr="007E794E" w:rsidRDefault="00620060" w:rsidP="00620060">
      <w:pPr>
        <w:rPr>
          <w:sz w:val="20"/>
          <w:szCs w:val="20"/>
          <w:rtl/>
        </w:rPr>
      </w:pPr>
      <w:r>
        <w:rPr>
          <w:rFonts w:hint="cs"/>
          <w:sz w:val="20"/>
          <w:szCs w:val="20"/>
          <w:u w:val="single"/>
          <w:rtl/>
        </w:rPr>
        <w:t>הכרעת האחרונים</w:t>
      </w:r>
      <w:r>
        <w:rPr>
          <w:sz w:val="20"/>
          <w:szCs w:val="20"/>
          <w:u w:val="single"/>
          <w:rtl/>
        </w:rPr>
        <w:br/>
      </w:r>
      <w:r w:rsidRPr="007E794E">
        <w:rPr>
          <w:rFonts w:hint="cs"/>
          <w:b/>
          <w:bCs/>
          <w:sz w:val="20"/>
          <w:szCs w:val="20"/>
          <w:rtl/>
        </w:rPr>
        <w:t>שבט הלוי</w:t>
      </w:r>
      <w:r>
        <w:rPr>
          <w:rFonts w:hint="cs"/>
          <w:sz w:val="20"/>
          <w:szCs w:val="20"/>
          <w:rtl/>
        </w:rPr>
        <w:t xml:space="preserve"> </w:t>
      </w:r>
      <w:r>
        <w:rPr>
          <w:sz w:val="20"/>
          <w:szCs w:val="20"/>
          <w:rtl/>
        </w:rPr>
        <w:t>–</w:t>
      </w:r>
      <w:r>
        <w:rPr>
          <w:rFonts w:hint="cs"/>
          <w:sz w:val="20"/>
          <w:szCs w:val="20"/>
          <w:rtl/>
        </w:rPr>
        <w:t xml:space="preserve"> אין לנהוג כאביאסף.</w:t>
      </w:r>
      <w:r>
        <w:rPr>
          <w:sz w:val="20"/>
          <w:szCs w:val="20"/>
          <w:rtl/>
        </w:rPr>
        <w:br/>
      </w:r>
      <w:r w:rsidRPr="007E794E">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חישוב זמן הפרישה באופן זה עלול לגרום לבלבול, וכן משום שבכל חודש משתנה זמן הפרישה.</w:t>
      </w:r>
    </w:p>
    <w:p w:rsidR="00620060" w:rsidRDefault="00620060" w:rsidP="00620060">
      <w:pPr>
        <w:rPr>
          <w:b/>
          <w:bCs/>
          <w:sz w:val="20"/>
          <w:szCs w:val="20"/>
          <w:rtl/>
        </w:rPr>
      </w:pPr>
      <w:r w:rsidRPr="0066190D">
        <w:rPr>
          <w:rStyle w:val="10"/>
          <w:rFonts w:hint="cs"/>
          <w:sz w:val="22"/>
          <w:szCs w:val="22"/>
          <w:rtl/>
        </w:rPr>
        <w:t>ב</w:t>
      </w:r>
      <w:r w:rsidRPr="004E7E6E">
        <w:rPr>
          <w:rFonts w:hint="cs"/>
          <w:rtl/>
        </w:rPr>
        <w:t xml:space="preserve">. </w:t>
      </w:r>
      <w:r>
        <w:rPr>
          <w:rFonts w:hint="cs"/>
          <w:b/>
          <w:bCs/>
          <w:sz w:val="20"/>
          <w:szCs w:val="20"/>
          <w:rtl/>
        </w:rPr>
        <w:t>ממה יש לפרוש סמוך לווסת</w:t>
      </w:r>
      <w:r>
        <w:rPr>
          <w:rFonts w:hint="cs"/>
          <w:b/>
          <w:bCs/>
          <w:sz w:val="20"/>
          <w:szCs w:val="20"/>
          <w:rtl/>
        </w:rPr>
        <w:br/>
      </w:r>
      <w:r>
        <w:rPr>
          <w:rFonts w:hint="cs"/>
          <w:sz w:val="20"/>
          <w:szCs w:val="20"/>
          <w:rtl/>
        </w:rPr>
        <w:t xml:space="preserve">א. </w:t>
      </w:r>
      <w:r w:rsidRPr="00282C21">
        <w:rPr>
          <w:rFonts w:hint="cs"/>
          <w:b/>
          <w:bCs/>
          <w:sz w:val="20"/>
          <w:szCs w:val="20"/>
          <w:rtl/>
        </w:rPr>
        <w:t>רש"י</w:t>
      </w:r>
      <w:r>
        <w:rPr>
          <w:rFonts w:hint="cs"/>
          <w:sz w:val="20"/>
          <w:szCs w:val="20"/>
          <w:rtl/>
        </w:rPr>
        <w:t xml:space="preserve">, </w:t>
      </w:r>
      <w:r w:rsidRPr="00282C21">
        <w:rPr>
          <w:rFonts w:hint="cs"/>
          <w:b/>
          <w:bCs/>
          <w:sz w:val="20"/>
          <w:szCs w:val="20"/>
          <w:rtl/>
        </w:rPr>
        <w:t>רשב"א</w:t>
      </w:r>
      <w:r>
        <w:rPr>
          <w:rFonts w:hint="cs"/>
          <w:sz w:val="20"/>
          <w:szCs w:val="20"/>
          <w:rtl/>
        </w:rPr>
        <w:t xml:space="preserve"> ורוב הפוסקים</w:t>
      </w:r>
      <w:r>
        <w:rPr>
          <w:rStyle w:val="a5"/>
          <w:sz w:val="20"/>
          <w:szCs w:val="20"/>
          <w:rtl/>
        </w:rPr>
        <w:footnoteReference w:id="29"/>
      </w:r>
      <w:r>
        <w:rPr>
          <w:rFonts w:hint="cs"/>
          <w:sz w:val="20"/>
          <w:szCs w:val="20"/>
          <w:rtl/>
        </w:rPr>
        <w:t xml:space="preserve"> </w:t>
      </w:r>
      <w:r>
        <w:rPr>
          <w:sz w:val="20"/>
          <w:szCs w:val="20"/>
          <w:rtl/>
        </w:rPr>
        <w:t>–</w:t>
      </w:r>
      <w:r>
        <w:rPr>
          <w:rFonts w:hint="cs"/>
          <w:sz w:val="20"/>
          <w:szCs w:val="20"/>
          <w:rtl/>
        </w:rPr>
        <w:t xml:space="preserve"> יש לפרוש רק מתשמיש, אך מותר בשאר קריבות, וכ"פ </w:t>
      </w:r>
      <w:r w:rsidRPr="004746E1">
        <w:rPr>
          <w:rFonts w:hint="cs"/>
          <w:b/>
          <w:bCs/>
          <w:sz w:val="20"/>
          <w:szCs w:val="20"/>
          <w:rtl/>
        </w:rPr>
        <w:t>המחבר</w:t>
      </w:r>
      <w:r>
        <w:rPr>
          <w:rFonts w:hint="cs"/>
          <w:sz w:val="20"/>
          <w:szCs w:val="20"/>
          <w:rtl/>
        </w:rPr>
        <w:t>.</w:t>
      </w:r>
      <w:r>
        <w:rPr>
          <w:rFonts w:hint="cs"/>
          <w:sz w:val="20"/>
          <w:szCs w:val="20"/>
          <w:rtl/>
        </w:rPr>
        <w:br/>
      </w:r>
      <w:r w:rsidRPr="000E56D3">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הפסוק ממנו לומדים דין הרחקה זו הוא אסמכתא בעלמא והאיסור מדרבנן בלבד, לכן לא החמירו חכמים לאסור בשאר קרבות, וכן משום שאין יצרו תוקפו כל כך כשאינו יוצא לדרך, </w:t>
      </w:r>
      <w:r w:rsidRPr="000E56D3">
        <w:rPr>
          <w:rFonts w:hint="cs"/>
          <w:b/>
          <w:bCs/>
          <w:sz w:val="20"/>
          <w:szCs w:val="20"/>
          <w:rtl/>
        </w:rPr>
        <w:t>ב"ח</w:t>
      </w:r>
      <w:r>
        <w:rPr>
          <w:rFonts w:hint="cs"/>
          <w:sz w:val="20"/>
          <w:szCs w:val="20"/>
          <w:rtl/>
        </w:rPr>
        <w:t>.</w:t>
      </w:r>
      <w:r>
        <w:rPr>
          <w:rStyle w:val="a5"/>
          <w:sz w:val="20"/>
          <w:szCs w:val="20"/>
          <w:rtl/>
        </w:rPr>
        <w:footnoteReference w:id="30"/>
      </w:r>
      <w:r>
        <w:rPr>
          <w:sz w:val="20"/>
          <w:szCs w:val="20"/>
          <w:rtl/>
        </w:rPr>
        <w:br/>
      </w:r>
      <w:r>
        <w:rPr>
          <w:rFonts w:hint="cs"/>
          <w:sz w:val="20"/>
          <w:szCs w:val="20"/>
          <w:rtl/>
        </w:rPr>
        <w:t xml:space="preserve">ב. </w:t>
      </w:r>
      <w:r w:rsidRPr="00282C21">
        <w:rPr>
          <w:rFonts w:hint="cs"/>
          <w:b/>
          <w:bCs/>
          <w:sz w:val="20"/>
          <w:szCs w:val="20"/>
          <w:rtl/>
        </w:rPr>
        <w:t>תרומת הדשן</w:t>
      </w:r>
      <w:r>
        <w:rPr>
          <w:rFonts w:hint="cs"/>
          <w:sz w:val="20"/>
          <w:szCs w:val="20"/>
          <w:rtl/>
        </w:rPr>
        <w:t xml:space="preserve"> </w:t>
      </w:r>
      <w:r>
        <w:rPr>
          <w:sz w:val="20"/>
          <w:szCs w:val="20"/>
          <w:rtl/>
        </w:rPr>
        <w:t>–</w:t>
      </w:r>
      <w:r>
        <w:rPr>
          <w:rFonts w:hint="cs"/>
          <w:sz w:val="20"/>
          <w:szCs w:val="20"/>
          <w:rtl/>
        </w:rPr>
        <w:t xml:space="preserve"> יש לפרוש מכל סוג של קרבה, אפילו מזיגת הכוס וכדומה.</w:t>
      </w:r>
      <w:r>
        <w:rPr>
          <w:rFonts w:hint="cs"/>
          <w:sz w:val="20"/>
          <w:szCs w:val="20"/>
          <w:rtl/>
        </w:rPr>
        <w:br/>
      </w:r>
      <w:r w:rsidRPr="00AE0E6B">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גם מדברי הרא"ש נראה שחייב לפרוש מכל קרבה. כלומר, מכיוון שהרא"ש כתב לעניין אבלות שיש להחמיר בחיבוק ונישוק שהוא מביא לידי חשק, הוא הדין כאן שיש להחמיר.</w:t>
      </w:r>
      <w:r>
        <w:rPr>
          <w:sz w:val="20"/>
          <w:szCs w:val="20"/>
          <w:rtl/>
        </w:rPr>
        <w:br/>
      </w:r>
      <w:r w:rsidRPr="00787537">
        <w:rPr>
          <w:rFonts w:hint="cs"/>
          <w:sz w:val="20"/>
          <w:szCs w:val="20"/>
          <w:rtl/>
        </w:rPr>
        <w:lastRenderedPageBreak/>
        <w:t xml:space="preserve">הכרעת </w:t>
      </w:r>
      <w:r w:rsidRPr="00787537">
        <w:rPr>
          <w:rFonts w:hint="cs"/>
          <w:b/>
          <w:bCs/>
          <w:sz w:val="20"/>
          <w:szCs w:val="20"/>
          <w:rtl/>
        </w:rPr>
        <w:t>הבית יוסף</w:t>
      </w:r>
      <w:r w:rsidRPr="00787537">
        <w:rPr>
          <w:rFonts w:hint="cs"/>
          <w:sz w:val="20"/>
          <w:szCs w:val="20"/>
          <w:rtl/>
        </w:rPr>
        <w:t xml:space="preserve"> </w:t>
      </w:r>
      <w:r>
        <w:rPr>
          <w:sz w:val="20"/>
          <w:szCs w:val="20"/>
          <w:rtl/>
        </w:rPr>
        <w:t>–</w:t>
      </w:r>
      <w:r>
        <w:rPr>
          <w:rFonts w:hint="cs"/>
          <w:sz w:val="20"/>
          <w:szCs w:val="20"/>
          <w:rtl/>
        </w:rPr>
        <w:t xml:space="preserve"> אין לחשוש לדברי תרומת הדשן כיוון שהוא יחיד, וכן משום שכנראה לא ראה את כל הפוסקים שחלקו עליו, כיוון שאם היה רואה אותם היה מביא את דבריהם.</w:t>
      </w:r>
      <w:r>
        <w:rPr>
          <w:rStyle w:val="a5"/>
          <w:sz w:val="20"/>
          <w:szCs w:val="20"/>
          <w:rtl/>
        </w:rPr>
        <w:footnoteReference w:id="31"/>
      </w:r>
    </w:p>
    <w:p w:rsidR="00620060" w:rsidRPr="00787537" w:rsidRDefault="00620060" w:rsidP="00620060">
      <w:pPr>
        <w:rPr>
          <w:sz w:val="20"/>
          <w:szCs w:val="20"/>
          <w:rtl/>
        </w:rPr>
      </w:pPr>
      <w:r w:rsidRPr="004E7E6E">
        <w:rPr>
          <w:rFonts w:hint="cs"/>
          <w:b/>
          <w:bCs/>
          <w:sz w:val="20"/>
          <w:szCs w:val="20"/>
          <w:rtl/>
        </w:rPr>
        <w:t>פסיקת הלכה</w:t>
      </w:r>
      <w:r w:rsidRPr="004E7E6E">
        <w:rPr>
          <w:b/>
          <w:bCs/>
          <w:sz w:val="20"/>
          <w:szCs w:val="20"/>
          <w:rtl/>
        </w:rPr>
        <w:br/>
      </w:r>
      <w:r>
        <w:rPr>
          <w:rFonts w:hint="cs"/>
          <w:sz w:val="20"/>
          <w:szCs w:val="20"/>
          <w:rtl/>
        </w:rPr>
        <w:t xml:space="preserve">א. </w:t>
      </w:r>
      <w:r w:rsidRPr="004E7E6E">
        <w:rPr>
          <w:rFonts w:hint="cs"/>
          <w:b/>
          <w:bCs/>
          <w:sz w:val="20"/>
          <w:szCs w:val="20"/>
          <w:rtl/>
        </w:rPr>
        <w:t>שולחן ערוך</w:t>
      </w:r>
      <w:r>
        <w:rPr>
          <w:rFonts w:hint="cs"/>
          <w:sz w:val="20"/>
          <w:szCs w:val="20"/>
          <w:rtl/>
        </w:rPr>
        <w:t xml:space="preserve"> </w:t>
      </w:r>
      <w:r>
        <w:rPr>
          <w:sz w:val="20"/>
          <w:szCs w:val="20"/>
          <w:rtl/>
        </w:rPr>
        <w:t>–</w:t>
      </w:r>
      <w:r>
        <w:rPr>
          <w:rFonts w:hint="cs"/>
          <w:sz w:val="20"/>
          <w:szCs w:val="20"/>
          <w:rtl/>
        </w:rPr>
        <w:t xml:space="preserve"> "</w:t>
      </w:r>
      <w:r w:rsidRPr="004E7E6E">
        <w:rPr>
          <w:rFonts w:cs="Arial" w:hint="cs"/>
          <w:sz w:val="20"/>
          <w:szCs w:val="20"/>
          <w:rtl/>
        </w:rPr>
        <w:t>בשעת</w:t>
      </w:r>
      <w:r w:rsidRPr="004E7E6E">
        <w:rPr>
          <w:rFonts w:cs="Arial"/>
          <w:sz w:val="20"/>
          <w:szCs w:val="20"/>
          <w:rtl/>
        </w:rPr>
        <w:t xml:space="preserve"> </w:t>
      </w:r>
      <w:r w:rsidRPr="004E7E6E">
        <w:rPr>
          <w:rFonts w:cs="Arial" w:hint="cs"/>
          <w:sz w:val="20"/>
          <w:szCs w:val="20"/>
          <w:rtl/>
        </w:rPr>
        <w:t>וסתה</w:t>
      </w:r>
      <w:r w:rsidRPr="004E7E6E">
        <w:rPr>
          <w:rFonts w:cs="Arial"/>
          <w:sz w:val="20"/>
          <w:szCs w:val="20"/>
          <w:rtl/>
        </w:rPr>
        <w:t xml:space="preserve"> </w:t>
      </w:r>
      <w:r w:rsidRPr="004E7E6E">
        <w:rPr>
          <w:rFonts w:cs="Arial" w:hint="cs"/>
          <w:sz w:val="20"/>
          <w:szCs w:val="20"/>
          <w:rtl/>
        </w:rPr>
        <w:t>צריך</w:t>
      </w:r>
      <w:r w:rsidRPr="004E7E6E">
        <w:rPr>
          <w:rFonts w:cs="Arial"/>
          <w:sz w:val="20"/>
          <w:szCs w:val="20"/>
          <w:rtl/>
        </w:rPr>
        <w:t xml:space="preserve"> </w:t>
      </w:r>
      <w:r w:rsidRPr="004E7E6E">
        <w:rPr>
          <w:rFonts w:cs="Arial" w:hint="cs"/>
          <w:sz w:val="20"/>
          <w:szCs w:val="20"/>
          <w:rtl/>
        </w:rPr>
        <w:t>לפרוש</w:t>
      </w:r>
      <w:r>
        <w:rPr>
          <w:rFonts w:cs="Arial" w:hint="cs"/>
          <w:sz w:val="20"/>
          <w:szCs w:val="20"/>
          <w:rtl/>
        </w:rPr>
        <w:t xml:space="preserve"> ממנה</w:t>
      </w:r>
      <w:r w:rsidRPr="004E7E6E">
        <w:rPr>
          <w:rFonts w:cs="Arial"/>
          <w:sz w:val="20"/>
          <w:szCs w:val="20"/>
          <w:rtl/>
        </w:rPr>
        <w:t xml:space="preserve">, </w:t>
      </w:r>
      <w:r w:rsidRPr="004E7E6E">
        <w:rPr>
          <w:rFonts w:cs="Arial" w:hint="cs"/>
          <w:sz w:val="20"/>
          <w:szCs w:val="20"/>
          <w:rtl/>
        </w:rPr>
        <w:t>ולא</w:t>
      </w:r>
      <w:r w:rsidRPr="004E7E6E">
        <w:rPr>
          <w:rFonts w:cs="Arial"/>
          <w:sz w:val="20"/>
          <w:szCs w:val="20"/>
          <w:rtl/>
        </w:rPr>
        <w:t xml:space="preserve"> </w:t>
      </w:r>
      <w:r w:rsidRPr="004E7E6E">
        <w:rPr>
          <w:rFonts w:cs="Arial" w:hint="cs"/>
          <w:sz w:val="20"/>
          <w:szCs w:val="20"/>
          <w:rtl/>
        </w:rPr>
        <w:t>משאר</w:t>
      </w:r>
      <w:r w:rsidRPr="004E7E6E">
        <w:rPr>
          <w:rFonts w:cs="Arial"/>
          <w:sz w:val="20"/>
          <w:szCs w:val="20"/>
          <w:rtl/>
        </w:rPr>
        <w:t xml:space="preserve"> </w:t>
      </w:r>
      <w:r w:rsidRPr="004E7E6E">
        <w:rPr>
          <w:rFonts w:cs="Arial" w:hint="cs"/>
          <w:sz w:val="20"/>
          <w:szCs w:val="20"/>
          <w:rtl/>
        </w:rPr>
        <w:t>קריבות</w:t>
      </w:r>
      <w:r w:rsidRPr="004E7E6E">
        <w:rPr>
          <w:rFonts w:cs="Arial"/>
          <w:sz w:val="20"/>
          <w:szCs w:val="20"/>
          <w:rtl/>
        </w:rPr>
        <w:t xml:space="preserve"> </w:t>
      </w:r>
      <w:r w:rsidRPr="004E7E6E">
        <w:rPr>
          <w:rFonts w:cs="Arial" w:hint="cs"/>
          <w:sz w:val="20"/>
          <w:szCs w:val="20"/>
          <w:rtl/>
        </w:rPr>
        <w:t>אלא</w:t>
      </w:r>
      <w:r w:rsidRPr="004E7E6E">
        <w:rPr>
          <w:rFonts w:cs="Arial"/>
          <w:sz w:val="20"/>
          <w:szCs w:val="20"/>
          <w:rtl/>
        </w:rPr>
        <w:t xml:space="preserve"> </w:t>
      </w:r>
      <w:r w:rsidRPr="004E7E6E">
        <w:rPr>
          <w:rFonts w:cs="Arial" w:hint="cs"/>
          <w:sz w:val="20"/>
          <w:szCs w:val="20"/>
          <w:rtl/>
        </w:rPr>
        <w:t>מתשמיש</w:t>
      </w:r>
      <w:r w:rsidRPr="004E7E6E">
        <w:rPr>
          <w:rFonts w:cs="Arial"/>
          <w:sz w:val="20"/>
          <w:szCs w:val="20"/>
          <w:rtl/>
        </w:rPr>
        <w:t xml:space="preserve"> </w:t>
      </w:r>
      <w:r w:rsidRPr="004E7E6E">
        <w:rPr>
          <w:rFonts w:cs="Arial"/>
          <w:sz w:val="18"/>
          <w:szCs w:val="18"/>
          <w:rtl/>
        </w:rPr>
        <w:t>(</w:t>
      </w:r>
      <w:r w:rsidRPr="004E7E6E">
        <w:rPr>
          <w:rFonts w:cs="Arial" w:hint="cs"/>
          <w:sz w:val="18"/>
          <w:szCs w:val="18"/>
          <w:rtl/>
        </w:rPr>
        <w:t>המטה</w:t>
      </w:r>
      <w:r w:rsidRPr="004E7E6E">
        <w:rPr>
          <w:rFonts w:cs="Arial"/>
          <w:sz w:val="18"/>
          <w:szCs w:val="18"/>
          <w:rtl/>
        </w:rPr>
        <w:t xml:space="preserve">) </w:t>
      </w:r>
      <w:r w:rsidRPr="004E7E6E">
        <w:rPr>
          <w:rFonts w:cs="Arial" w:hint="cs"/>
          <w:sz w:val="20"/>
          <w:szCs w:val="20"/>
          <w:rtl/>
        </w:rPr>
        <w:t>בלבד</w:t>
      </w:r>
      <w:r>
        <w:rPr>
          <w:rFonts w:cs="Arial"/>
          <w:sz w:val="20"/>
          <w:szCs w:val="20"/>
          <w:rtl/>
        </w:rPr>
        <w:t>".</w:t>
      </w:r>
      <w:r>
        <w:rPr>
          <w:b/>
          <w:bCs/>
          <w:sz w:val="20"/>
          <w:szCs w:val="20"/>
          <w:rtl/>
        </w:rPr>
        <w:br/>
      </w:r>
      <w:r w:rsidRPr="00871301">
        <w:rPr>
          <w:rFonts w:hint="cs"/>
          <w:sz w:val="20"/>
          <w:szCs w:val="20"/>
          <w:rtl/>
        </w:rPr>
        <w:t xml:space="preserve">מוסיף </w:t>
      </w:r>
      <w:r w:rsidRPr="00871301">
        <w:rPr>
          <w:rFonts w:hint="cs"/>
          <w:b/>
          <w:bCs/>
          <w:sz w:val="20"/>
          <w:szCs w:val="20"/>
          <w:rtl/>
        </w:rPr>
        <w:t>הרדב"ז</w:t>
      </w:r>
      <w:r w:rsidRPr="00871301">
        <w:rPr>
          <w:rFonts w:hint="cs"/>
          <w:sz w:val="20"/>
          <w:szCs w:val="20"/>
          <w:rtl/>
        </w:rPr>
        <w:t xml:space="preserve"> </w:t>
      </w:r>
      <w:r w:rsidRPr="00871301">
        <w:rPr>
          <w:sz w:val="20"/>
          <w:szCs w:val="20"/>
          <w:rtl/>
        </w:rPr>
        <w:t>–</w:t>
      </w:r>
      <w:r w:rsidRPr="00871301">
        <w:rPr>
          <w:rFonts w:hint="cs"/>
          <w:sz w:val="20"/>
          <w:szCs w:val="20"/>
          <w:rtl/>
        </w:rPr>
        <w:t xml:space="preserve"> חיבוק ונישוק מותר ואין להוסיף חומרות על ישראל, ולוואי שישמרו מה שמוטל עליהם.</w:t>
      </w:r>
      <w:r>
        <w:rPr>
          <w:b/>
          <w:bCs/>
          <w:sz w:val="20"/>
          <w:szCs w:val="20"/>
          <w:rtl/>
        </w:rPr>
        <w:br/>
      </w:r>
      <w:r w:rsidRPr="001D16E0">
        <w:rPr>
          <w:rFonts w:hint="cs"/>
          <w:b/>
          <w:bCs/>
          <w:sz w:val="20"/>
          <w:szCs w:val="20"/>
          <w:rtl/>
        </w:rPr>
        <w:t>טהרת הבית</w:t>
      </w:r>
      <w:r>
        <w:rPr>
          <w:rFonts w:hint="cs"/>
          <w:sz w:val="20"/>
          <w:szCs w:val="20"/>
          <w:rtl/>
        </w:rPr>
        <w:t xml:space="preserve"> - </w:t>
      </w:r>
      <w:r w:rsidRPr="001D16E0">
        <w:rPr>
          <w:rFonts w:hint="cs"/>
          <w:sz w:val="20"/>
          <w:szCs w:val="20"/>
          <w:rtl/>
        </w:rPr>
        <w:t>לא יישן עמה במיטה, פן תראה בשנתה</w:t>
      </w:r>
      <w:r>
        <w:rPr>
          <w:rFonts w:hint="cs"/>
          <w:sz w:val="20"/>
          <w:szCs w:val="20"/>
          <w:rtl/>
        </w:rPr>
        <w:t xml:space="preserve"> ונמצא ישן עם נידה במיטה</w:t>
      </w:r>
      <w:r w:rsidRPr="001D16E0">
        <w:rPr>
          <w:rFonts w:hint="cs"/>
          <w:sz w:val="20"/>
          <w:szCs w:val="20"/>
          <w:rtl/>
        </w:rPr>
        <w:t>.</w:t>
      </w:r>
      <w:r>
        <w:rPr>
          <w:rFonts w:hint="cs"/>
          <w:b/>
          <w:bCs/>
          <w:sz w:val="20"/>
          <w:szCs w:val="20"/>
          <w:rtl/>
        </w:rPr>
        <w:br/>
      </w:r>
      <w:r>
        <w:rPr>
          <w:rFonts w:hint="cs"/>
          <w:sz w:val="20"/>
          <w:szCs w:val="20"/>
          <w:rtl/>
        </w:rPr>
        <w:t xml:space="preserve">ב. </w:t>
      </w:r>
      <w:r w:rsidRPr="00787537">
        <w:rPr>
          <w:rFonts w:hint="cs"/>
          <w:b/>
          <w:bCs/>
          <w:sz w:val="20"/>
          <w:szCs w:val="20"/>
          <w:rtl/>
        </w:rPr>
        <w:t>ב"ח</w:t>
      </w:r>
      <w:r>
        <w:rPr>
          <w:rFonts w:hint="cs"/>
          <w:sz w:val="20"/>
          <w:szCs w:val="20"/>
          <w:rtl/>
        </w:rPr>
        <w:t xml:space="preserve"> </w:t>
      </w:r>
      <w:r>
        <w:rPr>
          <w:sz w:val="20"/>
          <w:szCs w:val="20"/>
          <w:rtl/>
        </w:rPr>
        <w:t>–</w:t>
      </w:r>
      <w:r>
        <w:rPr>
          <w:rFonts w:hint="cs"/>
          <w:sz w:val="20"/>
          <w:szCs w:val="20"/>
          <w:rtl/>
        </w:rPr>
        <w:t xml:space="preserve"> המחמיר כתרומת הדשן, תבוא עליו ברכה.</w:t>
      </w:r>
    </w:p>
    <w:p w:rsidR="00620060" w:rsidRDefault="00620060" w:rsidP="00620060">
      <w:pPr>
        <w:rPr>
          <w:sz w:val="20"/>
          <w:szCs w:val="20"/>
          <w:rtl/>
        </w:rPr>
      </w:pPr>
      <w:r w:rsidRPr="0066190D">
        <w:rPr>
          <w:rStyle w:val="10"/>
          <w:rFonts w:hint="cs"/>
          <w:sz w:val="22"/>
          <w:szCs w:val="22"/>
          <w:rtl/>
        </w:rPr>
        <w:t>ג</w:t>
      </w:r>
      <w:r>
        <w:rPr>
          <w:rFonts w:hint="cs"/>
          <w:sz w:val="20"/>
          <w:szCs w:val="20"/>
          <w:rtl/>
        </w:rPr>
        <w:t xml:space="preserve">. </w:t>
      </w:r>
      <w:r w:rsidRPr="00DE257B">
        <w:rPr>
          <w:rFonts w:hint="cs"/>
          <w:b/>
          <w:bCs/>
          <w:sz w:val="20"/>
          <w:szCs w:val="20"/>
          <w:rtl/>
        </w:rPr>
        <w:t>פרישה לפני ווסת התלו בשינוי הגוף</w:t>
      </w:r>
      <w:r>
        <w:rPr>
          <w:sz w:val="20"/>
          <w:szCs w:val="20"/>
          <w:rtl/>
        </w:rPr>
        <w:br/>
      </w:r>
      <w:r w:rsidRPr="00DE257B">
        <w:rPr>
          <w:rFonts w:hint="cs"/>
          <w:b/>
          <w:bCs/>
          <w:sz w:val="20"/>
          <w:szCs w:val="20"/>
          <w:rtl/>
        </w:rPr>
        <w:t>ראב"ד</w:t>
      </w:r>
      <w:r>
        <w:rPr>
          <w:rFonts w:hint="cs"/>
          <w:sz w:val="20"/>
          <w:szCs w:val="20"/>
          <w:rtl/>
        </w:rPr>
        <w:t xml:space="preserve"> </w:t>
      </w:r>
      <w:r>
        <w:rPr>
          <w:sz w:val="20"/>
          <w:szCs w:val="20"/>
          <w:rtl/>
        </w:rPr>
        <w:t>–</w:t>
      </w:r>
      <w:r>
        <w:rPr>
          <w:rFonts w:hint="cs"/>
          <w:sz w:val="20"/>
          <w:szCs w:val="20"/>
          <w:rtl/>
        </w:rPr>
        <w:t xml:space="preserve"> דין פרישה לפני הווסת נאמר רק בווסת התלו בימים, אך בווסת התלו בשינוי הגוף אינו צריך לפרוש אלא בשעה שהווסת רגיל לבוא בלבד.</w:t>
      </w:r>
      <w:r>
        <w:rPr>
          <w:sz w:val="20"/>
          <w:szCs w:val="20"/>
          <w:rtl/>
        </w:rPr>
        <w:br/>
      </w:r>
      <w:r w:rsidRPr="00DE257B">
        <w:rPr>
          <w:rFonts w:hint="cs"/>
          <w:b/>
          <w:bCs/>
          <w:sz w:val="20"/>
          <w:szCs w:val="20"/>
          <w:rtl/>
        </w:rPr>
        <w:t xml:space="preserve">ראיה </w:t>
      </w:r>
      <w:r>
        <w:rPr>
          <w:sz w:val="20"/>
          <w:szCs w:val="20"/>
          <w:rtl/>
        </w:rPr>
        <w:t>–</w:t>
      </w:r>
      <w:r>
        <w:rPr>
          <w:rFonts w:hint="cs"/>
          <w:sz w:val="20"/>
          <w:szCs w:val="20"/>
          <w:rtl/>
        </w:rPr>
        <w:t xml:space="preserve"> נאמר במשנה (סג:) כך: "</w:t>
      </w:r>
      <w:r w:rsidRPr="008D2ABD">
        <w:rPr>
          <w:rFonts w:cs="Arial" w:hint="cs"/>
          <w:sz w:val="20"/>
          <w:szCs w:val="20"/>
          <w:rtl/>
        </w:rPr>
        <w:t>רבי</w:t>
      </w:r>
      <w:r w:rsidRPr="008D2ABD">
        <w:rPr>
          <w:rFonts w:cs="Arial"/>
          <w:sz w:val="20"/>
          <w:szCs w:val="20"/>
          <w:rtl/>
        </w:rPr>
        <w:t xml:space="preserve"> </w:t>
      </w:r>
      <w:r w:rsidRPr="008D2ABD">
        <w:rPr>
          <w:rFonts w:cs="Arial" w:hint="cs"/>
          <w:sz w:val="20"/>
          <w:szCs w:val="20"/>
          <w:rtl/>
        </w:rPr>
        <w:t>יוסי</w:t>
      </w:r>
      <w:r w:rsidRPr="008D2ABD">
        <w:rPr>
          <w:rFonts w:cs="Arial"/>
          <w:sz w:val="20"/>
          <w:szCs w:val="20"/>
          <w:rtl/>
        </w:rPr>
        <w:t xml:space="preserve"> </w:t>
      </w:r>
      <w:r w:rsidRPr="008D2ABD">
        <w:rPr>
          <w:rFonts w:cs="Arial" w:hint="cs"/>
          <w:sz w:val="20"/>
          <w:szCs w:val="20"/>
          <w:rtl/>
        </w:rPr>
        <w:t>אומר</w:t>
      </w:r>
      <w:r w:rsidRPr="008D2ABD">
        <w:rPr>
          <w:rFonts w:cs="Arial"/>
          <w:sz w:val="20"/>
          <w:szCs w:val="20"/>
          <w:rtl/>
        </w:rPr>
        <w:t xml:space="preserve">: </w:t>
      </w:r>
      <w:r w:rsidRPr="008D2ABD">
        <w:rPr>
          <w:rFonts w:cs="Arial" w:hint="cs"/>
          <w:sz w:val="20"/>
          <w:szCs w:val="20"/>
          <w:rtl/>
        </w:rPr>
        <w:t>אף</w:t>
      </w:r>
      <w:r w:rsidRPr="008D2ABD">
        <w:rPr>
          <w:rFonts w:cs="Arial"/>
          <w:sz w:val="20"/>
          <w:szCs w:val="20"/>
          <w:rtl/>
        </w:rPr>
        <w:t xml:space="preserve"> </w:t>
      </w:r>
      <w:r w:rsidRPr="008D2ABD">
        <w:rPr>
          <w:rFonts w:cs="Arial" w:hint="cs"/>
          <w:sz w:val="20"/>
          <w:szCs w:val="20"/>
          <w:rtl/>
        </w:rPr>
        <w:t>ימים</w:t>
      </w:r>
      <w:r w:rsidRPr="008D2ABD">
        <w:rPr>
          <w:rFonts w:cs="Arial"/>
          <w:sz w:val="20"/>
          <w:szCs w:val="20"/>
          <w:rtl/>
        </w:rPr>
        <w:t xml:space="preserve"> </w:t>
      </w:r>
      <w:r w:rsidRPr="008D2ABD">
        <w:rPr>
          <w:rFonts w:cs="Arial" w:hint="cs"/>
          <w:sz w:val="20"/>
          <w:szCs w:val="20"/>
          <w:rtl/>
        </w:rPr>
        <w:t>ושעות</w:t>
      </w:r>
      <w:r w:rsidRPr="008D2ABD">
        <w:rPr>
          <w:rFonts w:cs="Arial"/>
          <w:sz w:val="20"/>
          <w:szCs w:val="20"/>
          <w:rtl/>
        </w:rPr>
        <w:t xml:space="preserve"> </w:t>
      </w:r>
      <w:r w:rsidRPr="008D2ABD">
        <w:rPr>
          <w:rFonts w:cs="Arial" w:hint="cs"/>
          <w:sz w:val="20"/>
          <w:szCs w:val="20"/>
          <w:rtl/>
        </w:rPr>
        <w:t>וסתות</w:t>
      </w:r>
      <w:r w:rsidRPr="008D2ABD">
        <w:rPr>
          <w:rFonts w:cs="Arial"/>
          <w:sz w:val="20"/>
          <w:szCs w:val="20"/>
          <w:rtl/>
        </w:rPr>
        <w:t xml:space="preserve">; </w:t>
      </w:r>
      <w:r w:rsidRPr="008D2ABD">
        <w:rPr>
          <w:rFonts w:cs="Arial" w:hint="cs"/>
          <w:sz w:val="20"/>
          <w:szCs w:val="20"/>
          <w:rtl/>
        </w:rPr>
        <w:t>רבי</w:t>
      </w:r>
      <w:r w:rsidRPr="008D2ABD">
        <w:rPr>
          <w:rFonts w:cs="Arial"/>
          <w:sz w:val="20"/>
          <w:szCs w:val="20"/>
          <w:rtl/>
        </w:rPr>
        <w:t xml:space="preserve"> </w:t>
      </w:r>
      <w:r w:rsidRPr="008D2ABD">
        <w:rPr>
          <w:rFonts w:cs="Arial" w:hint="cs"/>
          <w:sz w:val="20"/>
          <w:szCs w:val="20"/>
          <w:rtl/>
        </w:rPr>
        <w:t>יהודה</w:t>
      </w:r>
      <w:r w:rsidRPr="008D2ABD">
        <w:rPr>
          <w:rFonts w:cs="Arial"/>
          <w:sz w:val="20"/>
          <w:szCs w:val="20"/>
          <w:rtl/>
        </w:rPr>
        <w:t xml:space="preserve"> </w:t>
      </w:r>
      <w:r w:rsidRPr="008D2ABD">
        <w:rPr>
          <w:rFonts w:cs="Arial" w:hint="cs"/>
          <w:sz w:val="20"/>
          <w:szCs w:val="20"/>
          <w:rtl/>
        </w:rPr>
        <w:t>אומר</w:t>
      </w:r>
      <w:r w:rsidRPr="008D2ABD">
        <w:rPr>
          <w:rFonts w:cs="Arial"/>
          <w:sz w:val="20"/>
          <w:szCs w:val="20"/>
          <w:rtl/>
        </w:rPr>
        <w:t xml:space="preserve">: </w:t>
      </w:r>
      <w:r w:rsidRPr="008D2ABD">
        <w:rPr>
          <w:rFonts w:cs="Arial" w:hint="cs"/>
          <w:sz w:val="20"/>
          <w:szCs w:val="20"/>
          <w:rtl/>
        </w:rPr>
        <w:t>כל</w:t>
      </w:r>
      <w:r w:rsidRPr="008D2ABD">
        <w:rPr>
          <w:rFonts w:cs="Arial"/>
          <w:sz w:val="20"/>
          <w:szCs w:val="20"/>
          <w:rtl/>
        </w:rPr>
        <w:t xml:space="preserve"> </w:t>
      </w:r>
      <w:r w:rsidRPr="008D2ABD">
        <w:rPr>
          <w:rFonts w:cs="Arial" w:hint="cs"/>
          <w:sz w:val="20"/>
          <w:szCs w:val="20"/>
          <w:rtl/>
        </w:rPr>
        <w:t>היום</w:t>
      </w:r>
      <w:r w:rsidRPr="008D2ABD">
        <w:rPr>
          <w:rFonts w:cs="Arial"/>
          <w:sz w:val="20"/>
          <w:szCs w:val="20"/>
          <w:rtl/>
        </w:rPr>
        <w:t xml:space="preserve"> </w:t>
      </w:r>
      <w:r w:rsidRPr="008D2ABD">
        <w:rPr>
          <w:rFonts w:cs="Arial" w:hint="cs"/>
          <w:sz w:val="20"/>
          <w:szCs w:val="20"/>
          <w:rtl/>
        </w:rPr>
        <w:t>שלה</w:t>
      </w:r>
      <w:r>
        <w:rPr>
          <w:rFonts w:cs="Arial" w:hint="cs"/>
          <w:sz w:val="20"/>
          <w:szCs w:val="20"/>
          <w:rtl/>
        </w:rPr>
        <w:t>"</w:t>
      </w:r>
      <w:r w:rsidRPr="008D2ABD">
        <w:rPr>
          <w:rFonts w:cs="Arial"/>
          <w:sz w:val="20"/>
          <w:szCs w:val="20"/>
          <w:rtl/>
        </w:rPr>
        <w:t>.</w:t>
      </w:r>
      <w:r>
        <w:rPr>
          <w:rFonts w:cs="Arial" w:hint="cs"/>
          <w:sz w:val="20"/>
          <w:szCs w:val="20"/>
          <w:rtl/>
        </w:rPr>
        <w:t xml:space="preserve"> ומשמע שרבי יוסי אומר לרבי יהודה כך </w:t>
      </w:r>
      <w:r>
        <w:rPr>
          <w:rFonts w:cs="Arial"/>
          <w:sz w:val="20"/>
          <w:szCs w:val="20"/>
          <w:rtl/>
        </w:rPr>
        <w:t>–</w:t>
      </w:r>
      <w:r>
        <w:rPr>
          <w:rFonts w:cs="Arial" w:hint="cs"/>
          <w:sz w:val="20"/>
          <w:szCs w:val="20"/>
          <w:rtl/>
        </w:rPr>
        <w:t xml:space="preserve"> כשם שבווסתות התלויים בשינוי הגוף אתה מודה לי שאינה אסורה אלא בשעת הווסת, כך הדין גם בווסת התלוי בזמן</w:t>
      </w:r>
      <w:r>
        <w:rPr>
          <w:rFonts w:hint="cs"/>
          <w:sz w:val="20"/>
          <w:szCs w:val="20"/>
          <w:rtl/>
        </w:rPr>
        <w:t>.</w:t>
      </w:r>
      <w:r>
        <w:rPr>
          <w:sz w:val="20"/>
          <w:szCs w:val="20"/>
          <w:rtl/>
        </w:rPr>
        <w:br/>
      </w:r>
      <w:r>
        <w:rPr>
          <w:rFonts w:hint="cs"/>
          <w:sz w:val="20"/>
          <w:szCs w:val="20"/>
          <w:rtl/>
        </w:rPr>
        <w:t xml:space="preserve">ואמנם, </w:t>
      </w:r>
      <w:r w:rsidRPr="00787537">
        <w:rPr>
          <w:rFonts w:hint="cs"/>
          <w:b/>
          <w:bCs/>
          <w:sz w:val="20"/>
          <w:szCs w:val="20"/>
          <w:rtl/>
        </w:rPr>
        <w:t>הראב"ד</w:t>
      </w:r>
      <w:r>
        <w:rPr>
          <w:rFonts w:hint="cs"/>
          <w:sz w:val="20"/>
          <w:szCs w:val="20"/>
          <w:rtl/>
        </w:rPr>
        <w:t xml:space="preserve"> מסייג </w:t>
      </w:r>
      <w:r>
        <w:rPr>
          <w:sz w:val="20"/>
          <w:szCs w:val="20"/>
          <w:rtl/>
        </w:rPr>
        <w:t>–</w:t>
      </w:r>
      <w:r>
        <w:rPr>
          <w:rFonts w:hint="cs"/>
          <w:sz w:val="20"/>
          <w:szCs w:val="20"/>
          <w:rtl/>
        </w:rPr>
        <w:t xml:space="preserve"> דין זה נאמר רק לגבי אשה שרגילה לראות רק בשעת השינוי בגופה, אך אם רגילה לראות משעת השינוי והלאה, אסורה משעת השינוי עד סוף העונה. </w:t>
      </w:r>
      <w:r>
        <w:rPr>
          <w:sz w:val="20"/>
          <w:szCs w:val="20"/>
          <w:rtl/>
        </w:rPr>
        <w:br/>
      </w:r>
      <w:r>
        <w:rPr>
          <w:rFonts w:hint="cs"/>
          <w:sz w:val="20"/>
          <w:szCs w:val="20"/>
          <w:rtl/>
        </w:rPr>
        <w:t>ומכל מקום, לאחר שעת הגעת הווסת צריכה בדיקה, ודין זה יבואר בסעיף ט'.</w:t>
      </w:r>
    </w:p>
    <w:p w:rsidR="00620060" w:rsidRPr="00C35B98"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רמ"א </w:t>
      </w:r>
      <w:r>
        <w:rPr>
          <w:sz w:val="20"/>
          <w:szCs w:val="20"/>
          <w:rtl/>
        </w:rPr>
        <w:t>–</w:t>
      </w:r>
      <w:r>
        <w:rPr>
          <w:rFonts w:hint="cs"/>
          <w:sz w:val="20"/>
          <w:szCs w:val="20"/>
          <w:rtl/>
        </w:rPr>
        <w:t xml:space="preserve"> </w:t>
      </w:r>
      <w:r w:rsidRPr="00C35B98">
        <w:rPr>
          <w:rFonts w:hint="cs"/>
          <w:sz w:val="18"/>
          <w:szCs w:val="18"/>
          <w:rtl/>
        </w:rPr>
        <w:t>"</w:t>
      </w:r>
      <w:r w:rsidRPr="00C35B98">
        <w:rPr>
          <w:rFonts w:cs="Arial" w:hint="cs"/>
          <w:sz w:val="18"/>
          <w:szCs w:val="18"/>
          <w:rtl/>
        </w:rPr>
        <w:t>וכל</w:t>
      </w:r>
      <w:r w:rsidRPr="00C35B98">
        <w:rPr>
          <w:rFonts w:cs="Arial"/>
          <w:sz w:val="18"/>
          <w:szCs w:val="18"/>
          <w:rtl/>
        </w:rPr>
        <w:t xml:space="preserve"> </w:t>
      </w:r>
      <w:r w:rsidRPr="00C35B98">
        <w:rPr>
          <w:rFonts w:cs="Arial" w:hint="cs"/>
          <w:sz w:val="18"/>
          <w:szCs w:val="18"/>
          <w:rtl/>
        </w:rPr>
        <w:t>זה</w:t>
      </w:r>
      <w:r w:rsidRPr="00C35B98">
        <w:rPr>
          <w:rFonts w:cs="Arial"/>
          <w:sz w:val="18"/>
          <w:szCs w:val="18"/>
          <w:rtl/>
        </w:rPr>
        <w:t xml:space="preserve"> </w:t>
      </w:r>
      <w:r w:rsidRPr="00C35B98">
        <w:rPr>
          <w:rFonts w:cs="Arial" w:hint="cs"/>
          <w:sz w:val="18"/>
          <w:szCs w:val="18"/>
          <w:rtl/>
        </w:rPr>
        <w:t>לא</w:t>
      </w:r>
      <w:r w:rsidRPr="00C35B98">
        <w:rPr>
          <w:rFonts w:cs="Arial"/>
          <w:sz w:val="18"/>
          <w:szCs w:val="18"/>
          <w:rtl/>
        </w:rPr>
        <w:t xml:space="preserve"> </w:t>
      </w:r>
      <w:r w:rsidRPr="00C35B98">
        <w:rPr>
          <w:rFonts w:cs="Arial" w:hint="cs"/>
          <w:sz w:val="18"/>
          <w:szCs w:val="18"/>
          <w:rtl/>
        </w:rPr>
        <w:t>מיירי</w:t>
      </w:r>
      <w:r w:rsidRPr="00C35B98">
        <w:rPr>
          <w:rFonts w:cs="Arial"/>
          <w:sz w:val="18"/>
          <w:szCs w:val="18"/>
          <w:rtl/>
        </w:rPr>
        <w:t xml:space="preserve"> </w:t>
      </w:r>
      <w:r w:rsidRPr="00C35B98">
        <w:rPr>
          <w:rFonts w:cs="Arial" w:hint="cs"/>
          <w:sz w:val="18"/>
          <w:szCs w:val="18"/>
          <w:rtl/>
        </w:rPr>
        <w:t>אלא</w:t>
      </w:r>
      <w:r w:rsidRPr="00C35B98">
        <w:rPr>
          <w:rFonts w:cs="Arial"/>
          <w:sz w:val="18"/>
          <w:szCs w:val="18"/>
          <w:rtl/>
        </w:rPr>
        <w:t xml:space="preserve"> </w:t>
      </w:r>
      <w:r w:rsidRPr="00C35B98">
        <w:rPr>
          <w:rFonts w:cs="Arial" w:hint="cs"/>
          <w:sz w:val="18"/>
          <w:szCs w:val="18"/>
          <w:rtl/>
        </w:rPr>
        <w:t>ב</w:t>
      </w:r>
      <w:r>
        <w:rPr>
          <w:rFonts w:cs="Arial" w:hint="cs"/>
          <w:sz w:val="18"/>
          <w:szCs w:val="18"/>
          <w:rtl/>
        </w:rPr>
        <w:t>ו</w:t>
      </w:r>
      <w:r w:rsidRPr="00C35B98">
        <w:rPr>
          <w:rFonts w:cs="Arial" w:hint="cs"/>
          <w:sz w:val="18"/>
          <w:szCs w:val="18"/>
          <w:rtl/>
        </w:rPr>
        <w:t>וסת</w:t>
      </w:r>
      <w:r w:rsidRPr="00C35B98">
        <w:rPr>
          <w:rFonts w:cs="Arial"/>
          <w:sz w:val="18"/>
          <w:szCs w:val="18"/>
          <w:rtl/>
        </w:rPr>
        <w:t xml:space="preserve"> </w:t>
      </w:r>
      <w:r w:rsidRPr="00C35B98">
        <w:rPr>
          <w:rFonts w:cs="Arial" w:hint="cs"/>
          <w:sz w:val="18"/>
          <w:szCs w:val="18"/>
          <w:rtl/>
        </w:rPr>
        <w:t>התלוי</w:t>
      </w:r>
      <w:r w:rsidRPr="00C35B98">
        <w:rPr>
          <w:rFonts w:cs="Arial"/>
          <w:sz w:val="18"/>
          <w:szCs w:val="18"/>
          <w:rtl/>
        </w:rPr>
        <w:t xml:space="preserve"> </w:t>
      </w:r>
      <w:r w:rsidRPr="00C35B98">
        <w:rPr>
          <w:rFonts w:cs="Arial" w:hint="cs"/>
          <w:sz w:val="18"/>
          <w:szCs w:val="18"/>
          <w:rtl/>
        </w:rPr>
        <w:t>בימים</w:t>
      </w:r>
      <w:r w:rsidRPr="00C35B98">
        <w:rPr>
          <w:rFonts w:cs="Arial"/>
          <w:sz w:val="18"/>
          <w:szCs w:val="18"/>
          <w:rtl/>
        </w:rPr>
        <w:t xml:space="preserve"> </w:t>
      </w:r>
      <w:r w:rsidRPr="00C35B98">
        <w:rPr>
          <w:rFonts w:cs="Arial" w:hint="cs"/>
          <w:sz w:val="18"/>
          <w:szCs w:val="18"/>
          <w:rtl/>
        </w:rPr>
        <w:t>אבל</w:t>
      </w:r>
      <w:r w:rsidRPr="00C35B98">
        <w:rPr>
          <w:rFonts w:cs="Arial"/>
          <w:sz w:val="18"/>
          <w:szCs w:val="18"/>
          <w:rtl/>
        </w:rPr>
        <w:t xml:space="preserve"> </w:t>
      </w:r>
      <w:r w:rsidRPr="00C35B98">
        <w:rPr>
          <w:rFonts w:cs="Arial" w:hint="cs"/>
          <w:sz w:val="18"/>
          <w:szCs w:val="18"/>
          <w:rtl/>
        </w:rPr>
        <w:t>לא</w:t>
      </w:r>
      <w:r w:rsidRPr="00C35B98">
        <w:rPr>
          <w:rFonts w:cs="Arial"/>
          <w:sz w:val="18"/>
          <w:szCs w:val="18"/>
          <w:rtl/>
        </w:rPr>
        <w:t xml:space="preserve"> </w:t>
      </w:r>
      <w:r w:rsidRPr="00C35B98">
        <w:rPr>
          <w:rFonts w:cs="Arial" w:hint="cs"/>
          <w:sz w:val="18"/>
          <w:szCs w:val="18"/>
          <w:rtl/>
        </w:rPr>
        <w:t>ב</w:t>
      </w:r>
      <w:r>
        <w:rPr>
          <w:rFonts w:cs="Arial" w:hint="cs"/>
          <w:sz w:val="18"/>
          <w:szCs w:val="18"/>
          <w:rtl/>
        </w:rPr>
        <w:t>ו</w:t>
      </w:r>
      <w:r w:rsidRPr="00C35B98">
        <w:rPr>
          <w:rFonts w:cs="Arial" w:hint="cs"/>
          <w:sz w:val="18"/>
          <w:szCs w:val="18"/>
          <w:rtl/>
        </w:rPr>
        <w:t>וסת</w:t>
      </w:r>
      <w:r w:rsidRPr="00C35B98">
        <w:rPr>
          <w:rFonts w:cs="Arial"/>
          <w:sz w:val="18"/>
          <w:szCs w:val="18"/>
          <w:rtl/>
        </w:rPr>
        <w:t xml:space="preserve"> </w:t>
      </w:r>
      <w:r w:rsidRPr="00C35B98">
        <w:rPr>
          <w:rFonts w:cs="Arial" w:hint="cs"/>
          <w:sz w:val="18"/>
          <w:szCs w:val="18"/>
          <w:rtl/>
        </w:rPr>
        <w:t>התלוי</w:t>
      </w:r>
      <w:r w:rsidRPr="00C35B98">
        <w:rPr>
          <w:rFonts w:cs="Arial"/>
          <w:sz w:val="18"/>
          <w:szCs w:val="18"/>
          <w:rtl/>
        </w:rPr>
        <w:t xml:space="preserve"> </w:t>
      </w:r>
      <w:r w:rsidRPr="00C35B98">
        <w:rPr>
          <w:rFonts w:cs="Arial" w:hint="cs"/>
          <w:sz w:val="18"/>
          <w:szCs w:val="18"/>
          <w:rtl/>
        </w:rPr>
        <w:t>בשינוי</w:t>
      </w:r>
      <w:r w:rsidRPr="00C35B98">
        <w:rPr>
          <w:rFonts w:cs="Arial"/>
          <w:sz w:val="18"/>
          <w:szCs w:val="18"/>
          <w:rtl/>
        </w:rPr>
        <w:t xml:space="preserve"> </w:t>
      </w:r>
      <w:r w:rsidRPr="00C35B98">
        <w:rPr>
          <w:rFonts w:cs="Arial" w:hint="cs"/>
          <w:sz w:val="18"/>
          <w:szCs w:val="18"/>
          <w:rtl/>
        </w:rPr>
        <w:t>הגוף</w:t>
      </w:r>
      <w:r>
        <w:rPr>
          <w:rFonts w:cs="Arial" w:hint="cs"/>
          <w:sz w:val="18"/>
          <w:szCs w:val="18"/>
          <w:rtl/>
        </w:rPr>
        <w:t>".</w:t>
      </w:r>
    </w:p>
    <w:p w:rsidR="00620060" w:rsidRDefault="00620060" w:rsidP="00620060">
      <w:pPr>
        <w:rPr>
          <w:sz w:val="20"/>
          <w:szCs w:val="20"/>
          <w:rtl/>
        </w:rPr>
      </w:pPr>
      <w:r w:rsidRPr="00E865CD">
        <w:rPr>
          <w:rFonts w:hint="cs"/>
          <w:b/>
          <w:bCs/>
          <w:sz w:val="20"/>
          <w:szCs w:val="20"/>
          <w:rtl/>
        </w:rPr>
        <w:t>הוספות</w:t>
      </w:r>
      <w:r w:rsidRPr="00E865CD">
        <w:rPr>
          <w:b/>
          <w:bCs/>
          <w:sz w:val="20"/>
          <w:szCs w:val="20"/>
          <w:rtl/>
        </w:rPr>
        <w:br/>
      </w:r>
      <w:r>
        <w:rPr>
          <w:rFonts w:hint="cs"/>
          <w:sz w:val="20"/>
          <w:szCs w:val="20"/>
          <w:rtl/>
        </w:rPr>
        <w:t xml:space="preserve">א. </w:t>
      </w:r>
      <w:r w:rsidRPr="00E865CD">
        <w:rPr>
          <w:rFonts w:hint="cs"/>
          <w:sz w:val="20"/>
          <w:szCs w:val="20"/>
          <w:u w:val="single"/>
          <w:rtl/>
        </w:rPr>
        <w:t>אשה שליל טבילתה חל בעונת וסתה</w:t>
      </w:r>
      <w:r>
        <w:rPr>
          <w:rFonts w:hint="cs"/>
          <w:sz w:val="20"/>
          <w:szCs w:val="20"/>
          <w:u w:val="single"/>
          <w:rtl/>
        </w:rPr>
        <w:t xml:space="preserve"> (פת"ש)</w:t>
      </w:r>
      <w:r>
        <w:rPr>
          <w:sz w:val="20"/>
          <w:szCs w:val="20"/>
          <w:u w:val="single"/>
          <w:rtl/>
        </w:rPr>
        <w:br/>
      </w:r>
      <w:r w:rsidRPr="00E3364B">
        <w:rPr>
          <w:rFonts w:hint="cs"/>
          <w:b/>
          <w:bCs/>
          <w:sz w:val="20"/>
          <w:szCs w:val="20"/>
          <w:rtl/>
        </w:rPr>
        <w:t>תפארת למשה</w:t>
      </w:r>
      <w:r>
        <w:rPr>
          <w:rFonts w:hint="cs"/>
          <w:sz w:val="20"/>
          <w:szCs w:val="20"/>
          <w:rtl/>
        </w:rPr>
        <w:t xml:space="preserve"> </w:t>
      </w:r>
      <w:r>
        <w:rPr>
          <w:sz w:val="20"/>
          <w:szCs w:val="20"/>
          <w:rtl/>
        </w:rPr>
        <w:t>–</w:t>
      </w:r>
      <w:r>
        <w:rPr>
          <w:rFonts w:hint="cs"/>
          <w:sz w:val="20"/>
          <w:szCs w:val="20"/>
          <w:rtl/>
        </w:rPr>
        <w:t xml:space="preserve"> אשה שקבעה וסת בליל טבילתה, כגון שרואה מליל טו' לליל טו' ומשך ראייתה שבעה ימים, וא"כ בליל טבילה שעת וסתה </w:t>
      </w:r>
      <w:r>
        <w:rPr>
          <w:sz w:val="20"/>
          <w:szCs w:val="20"/>
          <w:rtl/>
        </w:rPr>
        <w:t>–</w:t>
      </w:r>
      <w:r>
        <w:rPr>
          <w:rFonts w:hint="cs"/>
          <w:sz w:val="20"/>
          <w:szCs w:val="20"/>
          <w:rtl/>
        </w:rPr>
        <w:t xml:space="preserve"> מותרת לשמש עם בעלה, כיוון שווסתות דרבנן ולא החמירו לאוסרה על בעלה.</w:t>
      </w:r>
      <w:r>
        <w:rPr>
          <w:sz w:val="20"/>
          <w:szCs w:val="20"/>
          <w:rtl/>
        </w:rPr>
        <w:br/>
      </w:r>
      <w:r>
        <w:rPr>
          <w:rFonts w:hint="cs"/>
          <w:sz w:val="20"/>
          <w:szCs w:val="20"/>
          <w:rtl/>
        </w:rPr>
        <w:t xml:space="preserve">וכל שכן אם וסתה </w:t>
      </w:r>
      <w:r w:rsidRPr="001F336C">
        <w:rPr>
          <w:rFonts w:hint="cs"/>
          <w:sz w:val="20"/>
          <w:szCs w:val="20"/>
          <w:u w:val="single"/>
          <w:rtl/>
        </w:rPr>
        <w:t>ביום</w:t>
      </w:r>
      <w:r>
        <w:rPr>
          <w:rFonts w:hint="cs"/>
          <w:sz w:val="20"/>
          <w:szCs w:val="20"/>
          <w:rtl/>
        </w:rPr>
        <w:t xml:space="preserve"> טו' שמותרת לשמש ואין לחוש לחומרת האו"ז.</w:t>
      </w:r>
      <w:r>
        <w:rPr>
          <w:sz w:val="20"/>
          <w:szCs w:val="20"/>
          <w:rtl/>
        </w:rPr>
        <w:br/>
      </w:r>
      <w:r>
        <w:rPr>
          <w:rFonts w:hint="cs"/>
          <w:sz w:val="20"/>
          <w:szCs w:val="20"/>
          <w:rtl/>
        </w:rPr>
        <w:t>אמנם, אם יש אפשרות להקדים את טבילתה, כגון שאינה רואה כל ז' הימים, וקבעה וסת מליל יג' לליל יג', אע"פ שהרמ"א מחמיר שלא למנות ז' נקיים עד יום ו', בכה"ג יש להקל ולמנות מיום ה'.</w:t>
      </w:r>
      <w:r>
        <w:rPr>
          <w:rStyle w:val="a5"/>
          <w:sz w:val="20"/>
          <w:szCs w:val="20"/>
          <w:rtl/>
        </w:rPr>
        <w:footnoteReference w:id="32"/>
      </w:r>
      <w:r>
        <w:rPr>
          <w:rFonts w:hint="cs"/>
          <w:sz w:val="20"/>
          <w:szCs w:val="20"/>
          <w:rtl/>
        </w:rPr>
        <w:t xml:space="preserve"> </w:t>
      </w:r>
      <w:r>
        <w:rPr>
          <w:rFonts w:hint="cs"/>
          <w:sz w:val="20"/>
          <w:szCs w:val="20"/>
          <w:rtl/>
        </w:rPr>
        <w:br/>
      </w:r>
      <w:r w:rsidRPr="00787537">
        <w:rPr>
          <w:rFonts w:hint="cs"/>
          <w:sz w:val="18"/>
          <w:szCs w:val="18"/>
          <w:rtl/>
        </w:rPr>
        <w:t xml:space="preserve">[סדר ההעדפות </w:t>
      </w:r>
      <w:r w:rsidRPr="00787537">
        <w:rPr>
          <w:sz w:val="18"/>
          <w:szCs w:val="18"/>
          <w:rtl/>
        </w:rPr>
        <w:t>–</w:t>
      </w:r>
      <w:r w:rsidRPr="00787537">
        <w:rPr>
          <w:rFonts w:hint="cs"/>
          <w:sz w:val="18"/>
          <w:szCs w:val="18"/>
          <w:rtl/>
        </w:rPr>
        <w:t xml:space="preserve"> א. פרישה בעונת הווסת. ב. חומרת הרמ"א להוסיף יום לפני הפסק טהרה. ג. חומרת או"ז].</w:t>
      </w:r>
    </w:p>
    <w:p w:rsidR="00620060" w:rsidRDefault="00620060" w:rsidP="00620060">
      <w:pPr>
        <w:rPr>
          <w:sz w:val="20"/>
          <w:szCs w:val="20"/>
          <w:rtl/>
        </w:rPr>
      </w:pPr>
      <w:r>
        <w:rPr>
          <w:rFonts w:hint="cs"/>
          <w:sz w:val="20"/>
          <w:szCs w:val="20"/>
          <w:rtl/>
        </w:rPr>
        <w:t xml:space="preserve">ב. </w:t>
      </w:r>
      <w:r>
        <w:rPr>
          <w:rFonts w:hint="cs"/>
          <w:sz w:val="20"/>
          <w:szCs w:val="20"/>
          <w:u w:val="single"/>
          <w:rtl/>
        </w:rPr>
        <w:t xml:space="preserve">ימי המבוכה </w:t>
      </w:r>
      <w:r>
        <w:rPr>
          <w:sz w:val="20"/>
          <w:szCs w:val="20"/>
          <w:u w:val="single"/>
          <w:rtl/>
        </w:rPr>
        <w:t>–</w:t>
      </w:r>
      <w:r>
        <w:rPr>
          <w:rFonts w:hint="cs"/>
          <w:sz w:val="20"/>
          <w:szCs w:val="20"/>
          <w:u w:val="single"/>
          <w:rtl/>
        </w:rPr>
        <w:t xml:space="preserve"> רמ"א ע"פ הנוב"י</w:t>
      </w:r>
      <w:r>
        <w:rPr>
          <w:sz w:val="20"/>
          <w:szCs w:val="20"/>
          <w:u w:val="single"/>
          <w:rtl/>
        </w:rPr>
        <w:br/>
      </w:r>
      <w:r w:rsidRPr="00ED62DC">
        <w:rPr>
          <w:rFonts w:hint="cs"/>
          <w:b/>
          <w:bCs/>
          <w:sz w:val="20"/>
          <w:szCs w:val="20"/>
          <w:rtl/>
        </w:rPr>
        <w:t>רמ"א</w:t>
      </w:r>
      <w:r>
        <w:rPr>
          <w:rFonts w:hint="cs"/>
          <w:sz w:val="20"/>
          <w:szCs w:val="20"/>
          <w:rtl/>
        </w:rPr>
        <w:t xml:space="preserve"> </w:t>
      </w:r>
      <w:r w:rsidRPr="00ED62DC">
        <w:rPr>
          <w:rFonts w:hint="cs"/>
          <w:sz w:val="18"/>
          <w:szCs w:val="18"/>
          <w:rtl/>
        </w:rPr>
        <w:t xml:space="preserve">(ע"פ </w:t>
      </w:r>
      <w:r w:rsidRPr="00ED62DC">
        <w:rPr>
          <w:rFonts w:hint="cs"/>
          <w:b/>
          <w:bCs/>
          <w:sz w:val="18"/>
          <w:szCs w:val="18"/>
          <w:rtl/>
        </w:rPr>
        <w:t>הגה"מ</w:t>
      </w:r>
      <w:r w:rsidRPr="00ED62DC">
        <w:rPr>
          <w:rFonts w:hint="cs"/>
          <w:sz w:val="18"/>
          <w:szCs w:val="18"/>
          <w:rtl/>
        </w:rPr>
        <w:t xml:space="preserve">) </w:t>
      </w:r>
      <w:r w:rsidRPr="00ED62DC">
        <w:rPr>
          <w:sz w:val="18"/>
          <w:szCs w:val="18"/>
          <w:rtl/>
        </w:rPr>
        <w:t>–</w:t>
      </w:r>
      <w:r w:rsidRPr="00ED62DC">
        <w:rPr>
          <w:rFonts w:hint="cs"/>
          <w:sz w:val="18"/>
          <w:szCs w:val="18"/>
          <w:rtl/>
        </w:rPr>
        <w:t xml:space="preserve"> </w:t>
      </w:r>
      <w:r w:rsidRPr="00ED62DC">
        <w:rPr>
          <w:rFonts w:cs="Arial" w:hint="cs"/>
          <w:sz w:val="18"/>
          <w:szCs w:val="18"/>
          <w:rtl/>
        </w:rPr>
        <w:t>"ואשה</w:t>
      </w:r>
      <w:r w:rsidRPr="00ED62DC">
        <w:rPr>
          <w:rFonts w:cs="Arial"/>
          <w:sz w:val="18"/>
          <w:szCs w:val="18"/>
          <w:rtl/>
        </w:rPr>
        <w:t xml:space="preserve"> </w:t>
      </w:r>
      <w:r w:rsidRPr="00ED62DC">
        <w:rPr>
          <w:rFonts w:cs="Arial" w:hint="cs"/>
          <w:sz w:val="18"/>
          <w:szCs w:val="18"/>
          <w:rtl/>
        </w:rPr>
        <w:t>שמשנית</w:t>
      </w:r>
      <w:r w:rsidRPr="00ED62DC">
        <w:rPr>
          <w:rFonts w:cs="Arial"/>
          <w:sz w:val="18"/>
          <w:szCs w:val="18"/>
          <w:rtl/>
        </w:rPr>
        <w:t xml:space="preserve"> </w:t>
      </w:r>
      <w:r w:rsidRPr="00ED62DC">
        <w:rPr>
          <w:rFonts w:cs="Arial" w:hint="cs"/>
          <w:sz w:val="18"/>
          <w:szCs w:val="18"/>
          <w:rtl/>
        </w:rPr>
        <w:t>וסתה</w:t>
      </w:r>
      <w:r w:rsidRPr="00ED62DC">
        <w:rPr>
          <w:rFonts w:cs="Arial"/>
          <w:sz w:val="18"/>
          <w:szCs w:val="18"/>
          <w:rtl/>
        </w:rPr>
        <w:t xml:space="preserve"> </w:t>
      </w:r>
      <w:r w:rsidRPr="00ED62DC">
        <w:rPr>
          <w:rFonts w:cs="Arial" w:hint="cs"/>
          <w:sz w:val="18"/>
          <w:szCs w:val="18"/>
          <w:rtl/>
        </w:rPr>
        <w:t>להקדים</w:t>
      </w:r>
      <w:r w:rsidRPr="00ED62DC">
        <w:rPr>
          <w:rFonts w:cs="Arial"/>
          <w:sz w:val="18"/>
          <w:szCs w:val="18"/>
          <w:rtl/>
        </w:rPr>
        <w:t xml:space="preserve"> </w:t>
      </w:r>
      <w:r w:rsidRPr="00ED62DC">
        <w:rPr>
          <w:rFonts w:cs="Arial" w:hint="cs"/>
          <w:sz w:val="18"/>
          <w:szCs w:val="18"/>
          <w:rtl/>
        </w:rPr>
        <w:t>ב</w:t>
      </w:r>
      <w:r w:rsidRPr="00ED62DC">
        <w:rPr>
          <w:rFonts w:cs="Arial"/>
          <w:sz w:val="18"/>
          <w:szCs w:val="18"/>
          <w:rtl/>
        </w:rPr>
        <w:t xml:space="preserve">' </w:t>
      </w:r>
      <w:r w:rsidRPr="00ED62DC">
        <w:rPr>
          <w:rFonts w:cs="Arial" w:hint="cs"/>
          <w:sz w:val="18"/>
          <w:szCs w:val="18"/>
          <w:rtl/>
        </w:rPr>
        <w:t>או</w:t>
      </w:r>
      <w:r w:rsidRPr="00ED62DC">
        <w:rPr>
          <w:rFonts w:cs="Arial"/>
          <w:sz w:val="18"/>
          <w:szCs w:val="18"/>
          <w:rtl/>
        </w:rPr>
        <w:t xml:space="preserve"> </w:t>
      </w:r>
      <w:r w:rsidRPr="00ED62DC">
        <w:rPr>
          <w:rFonts w:cs="Arial" w:hint="cs"/>
          <w:sz w:val="18"/>
          <w:szCs w:val="18"/>
          <w:rtl/>
        </w:rPr>
        <w:t>ג</w:t>
      </w:r>
      <w:r w:rsidRPr="00ED62DC">
        <w:rPr>
          <w:rFonts w:cs="Arial"/>
          <w:sz w:val="18"/>
          <w:szCs w:val="18"/>
          <w:rtl/>
        </w:rPr>
        <w:t xml:space="preserve">' </w:t>
      </w:r>
      <w:r w:rsidRPr="00ED62DC">
        <w:rPr>
          <w:rFonts w:cs="Arial" w:hint="cs"/>
          <w:sz w:val="18"/>
          <w:szCs w:val="18"/>
          <w:rtl/>
        </w:rPr>
        <w:t>ימים</w:t>
      </w:r>
      <w:r w:rsidRPr="00ED62DC">
        <w:rPr>
          <w:rFonts w:cs="Arial"/>
          <w:sz w:val="18"/>
          <w:szCs w:val="18"/>
          <w:rtl/>
        </w:rPr>
        <w:t xml:space="preserve"> </w:t>
      </w:r>
      <w:r w:rsidRPr="00ED62DC">
        <w:rPr>
          <w:rFonts w:cs="Arial" w:hint="cs"/>
          <w:sz w:val="18"/>
          <w:szCs w:val="18"/>
          <w:rtl/>
        </w:rPr>
        <w:t>או</w:t>
      </w:r>
      <w:r w:rsidRPr="00ED62DC">
        <w:rPr>
          <w:rFonts w:cs="Arial"/>
          <w:sz w:val="18"/>
          <w:szCs w:val="18"/>
          <w:rtl/>
        </w:rPr>
        <w:t xml:space="preserve"> </w:t>
      </w:r>
      <w:r w:rsidRPr="00ED62DC">
        <w:rPr>
          <w:rFonts w:cs="Arial" w:hint="cs"/>
          <w:sz w:val="18"/>
          <w:szCs w:val="18"/>
          <w:rtl/>
        </w:rPr>
        <w:t>לאחר</w:t>
      </w:r>
      <w:r w:rsidRPr="00ED62DC">
        <w:rPr>
          <w:rFonts w:cs="Arial"/>
          <w:sz w:val="18"/>
          <w:szCs w:val="18"/>
          <w:rtl/>
        </w:rPr>
        <w:t xml:space="preserve">, </w:t>
      </w:r>
      <w:r w:rsidRPr="00ED62DC">
        <w:rPr>
          <w:rFonts w:cs="Arial" w:hint="cs"/>
          <w:sz w:val="18"/>
          <w:szCs w:val="18"/>
          <w:rtl/>
        </w:rPr>
        <w:t>כשמגיע</w:t>
      </w:r>
      <w:r w:rsidRPr="00ED62DC">
        <w:rPr>
          <w:rFonts w:cs="Arial"/>
          <w:sz w:val="18"/>
          <w:szCs w:val="18"/>
          <w:rtl/>
        </w:rPr>
        <w:t xml:space="preserve"> </w:t>
      </w:r>
      <w:r w:rsidRPr="00ED62DC">
        <w:rPr>
          <w:rFonts w:cs="Arial" w:hint="cs"/>
          <w:sz w:val="18"/>
          <w:szCs w:val="18"/>
          <w:rtl/>
        </w:rPr>
        <w:t>זמן</w:t>
      </w:r>
      <w:r w:rsidRPr="00ED62DC">
        <w:rPr>
          <w:rFonts w:cs="Arial"/>
          <w:sz w:val="18"/>
          <w:szCs w:val="18"/>
          <w:rtl/>
        </w:rPr>
        <w:t xml:space="preserve"> </w:t>
      </w:r>
      <w:r w:rsidRPr="00ED62DC">
        <w:rPr>
          <w:rFonts w:cs="Arial" w:hint="cs"/>
          <w:sz w:val="18"/>
          <w:szCs w:val="18"/>
          <w:rtl/>
        </w:rPr>
        <w:t>וסתה</w:t>
      </w:r>
      <w:r w:rsidRPr="00ED62DC">
        <w:rPr>
          <w:rFonts w:cs="Arial"/>
          <w:sz w:val="18"/>
          <w:szCs w:val="18"/>
          <w:rtl/>
        </w:rPr>
        <w:t xml:space="preserve"> </w:t>
      </w:r>
      <w:r w:rsidRPr="00ED62DC">
        <w:rPr>
          <w:rFonts w:cs="Arial" w:hint="cs"/>
          <w:sz w:val="18"/>
          <w:szCs w:val="18"/>
          <w:rtl/>
        </w:rPr>
        <w:t>צריך</w:t>
      </w:r>
      <w:r w:rsidRPr="00ED62DC">
        <w:rPr>
          <w:rFonts w:cs="Arial"/>
          <w:sz w:val="18"/>
          <w:szCs w:val="18"/>
          <w:rtl/>
        </w:rPr>
        <w:t xml:space="preserve"> </w:t>
      </w:r>
      <w:r w:rsidRPr="00ED62DC">
        <w:rPr>
          <w:rFonts w:cs="Arial" w:hint="cs"/>
          <w:sz w:val="18"/>
          <w:szCs w:val="18"/>
          <w:rtl/>
        </w:rPr>
        <w:t>לפרוש</w:t>
      </w:r>
      <w:r w:rsidRPr="00ED62DC">
        <w:rPr>
          <w:rFonts w:cs="Arial"/>
          <w:sz w:val="18"/>
          <w:szCs w:val="18"/>
          <w:rtl/>
        </w:rPr>
        <w:t xml:space="preserve"> </w:t>
      </w:r>
      <w:r w:rsidRPr="00ED62DC">
        <w:rPr>
          <w:rFonts w:cs="Arial" w:hint="cs"/>
          <w:sz w:val="18"/>
          <w:szCs w:val="18"/>
          <w:rtl/>
        </w:rPr>
        <w:t>ממנה</w:t>
      </w:r>
      <w:r w:rsidRPr="00ED62DC">
        <w:rPr>
          <w:rFonts w:cs="Arial"/>
          <w:sz w:val="18"/>
          <w:szCs w:val="18"/>
          <w:rtl/>
        </w:rPr>
        <w:t xml:space="preserve"> </w:t>
      </w:r>
      <w:r w:rsidRPr="00ED62DC">
        <w:rPr>
          <w:rFonts w:cs="Arial" w:hint="cs"/>
          <w:sz w:val="18"/>
          <w:szCs w:val="18"/>
          <w:rtl/>
        </w:rPr>
        <w:t>ב</w:t>
      </w:r>
      <w:r w:rsidRPr="00ED62DC">
        <w:rPr>
          <w:rFonts w:cs="Arial"/>
          <w:sz w:val="18"/>
          <w:szCs w:val="18"/>
          <w:rtl/>
        </w:rPr>
        <w:t xml:space="preserve">' </w:t>
      </w:r>
      <w:r w:rsidRPr="00ED62DC">
        <w:rPr>
          <w:rFonts w:cs="Arial" w:hint="cs"/>
          <w:sz w:val="18"/>
          <w:szCs w:val="18"/>
          <w:rtl/>
        </w:rPr>
        <w:t>או</w:t>
      </w:r>
      <w:r w:rsidRPr="00ED62DC">
        <w:rPr>
          <w:rFonts w:cs="Arial"/>
          <w:sz w:val="18"/>
          <w:szCs w:val="18"/>
          <w:rtl/>
        </w:rPr>
        <w:t xml:space="preserve"> </w:t>
      </w:r>
      <w:r w:rsidRPr="00ED62DC">
        <w:rPr>
          <w:rFonts w:cs="Arial" w:hint="cs"/>
          <w:sz w:val="18"/>
          <w:szCs w:val="18"/>
          <w:rtl/>
        </w:rPr>
        <w:t>ג</w:t>
      </w:r>
      <w:r w:rsidRPr="00ED62DC">
        <w:rPr>
          <w:rFonts w:cs="Arial"/>
          <w:sz w:val="18"/>
          <w:szCs w:val="18"/>
          <w:rtl/>
        </w:rPr>
        <w:t xml:space="preserve">' </w:t>
      </w:r>
      <w:r w:rsidRPr="00ED62DC">
        <w:rPr>
          <w:rFonts w:cs="Arial" w:hint="cs"/>
          <w:sz w:val="18"/>
          <w:szCs w:val="18"/>
          <w:rtl/>
        </w:rPr>
        <w:t>ימים</w:t>
      </w:r>
      <w:r w:rsidRPr="00ED62DC">
        <w:rPr>
          <w:rFonts w:cs="Arial"/>
          <w:sz w:val="18"/>
          <w:szCs w:val="18"/>
          <w:rtl/>
        </w:rPr>
        <w:t xml:space="preserve"> </w:t>
      </w:r>
      <w:r w:rsidRPr="00ED62DC">
        <w:rPr>
          <w:rFonts w:cs="Arial" w:hint="cs"/>
          <w:sz w:val="18"/>
          <w:szCs w:val="18"/>
          <w:rtl/>
        </w:rPr>
        <w:t>קודם</w:t>
      </w:r>
      <w:r w:rsidRPr="00ED62DC">
        <w:rPr>
          <w:rFonts w:cs="Arial"/>
          <w:sz w:val="18"/>
          <w:szCs w:val="18"/>
          <w:rtl/>
        </w:rPr>
        <w:t xml:space="preserve"> </w:t>
      </w:r>
      <w:r w:rsidRPr="00ED62DC">
        <w:rPr>
          <w:rFonts w:cs="Arial" w:hint="cs"/>
          <w:sz w:val="18"/>
          <w:szCs w:val="18"/>
          <w:rtl/>
        </w:rPr>
        <w:t>או</w:t>
      </w:r>
      <w:r w:rsidRPr="00ED62DC">
        <w:rPr>
          <w:rFonts w:cs="Arial"/>
          <w:sz w:val="18"/>
          <w:szCs w:val="18"/>
          <w:rtl/>
        </w:rPr>
        <w:t xml:space="preserve"> </w:t>
      </w:r>
      <w:r w:rsidRPr="00ED62DC">
        <w:rPr>
          <w:rFonts w:cs="Arial" w:hint="cs"/>
          <w:sz w:val="18"/>
          <w:szCs w:val="18"/>
          <w:rtl/>
        </w:rPr>
        <w:t>אחריו".</w:t>
      </w:r>
      <w:r>
        <w:rPr>
          <w:sz w:val="20"/>
          <w:szCs w:val="20"/>
          <w:rtl/>
        </w:rPr>
        <w:br/>
      </w:r>
      <w:r>
        <w:rPr>
          <w:rFonts w:hint="cs"/>
          <w:sz w:val="20"/>
          <w:szCs w:val="20"/>
          <w:rtl/>
        </w:rPr>
        <w:br/>
      </w:r>
      <w:r>
        <w:rPr>
          <w:rFonts w:hint="cs"/>
          <w:sz w:val="20"/>
          <w:szCs w:val="20"/>
          <w:u w:val="single"/>
          <w:rtl/>
        </w:rPr>
        <w:t>הסבר דברי הרמ"א</w:t>
      </w:r>
      <w:r>
        <w:rPr>
          <w:sz w:val="20"/>
          <w:szCs w:val="20"/>
          <w:u w:val="single"/>
          <w:rtl/>
        </w:rPr>
        <w:br/>
      </w:r>
      <w:r>
        <w:rPr>
          <w:rFonts w:hint="cs"/>
          <w:sz w:val="20"/>
          <w:szCs w:val="20"/>
          <w:rtl/>
        </w:rPr>
        <w:t xml:space="preserve">א. </w:t>
      </w:r>
      <w:r w:rsidRPr="00B008F5">
        <w:rPr>
          <w:rFonts w:hint="cs"/>
          <w:b/>
          <w:bCs/>
          <w:sz w:val="20"/>
          <w:szCs w:val="20"/>
          <w:rtl/>
        </w:rPr>
        <w:t>נודע ביהודה</w:t>
      </w:r>
      <w:r>
        <w:rPr>
          <w:rFonts w:hint="cs"/>
          <w:sz w:val="20"/>
          <w:szCs w:val="20"/>
          <w:rtl/>
        </w:rPr>
        <w:t xml:space="preserve"> </w:t>
      </w:r>
      <w:r>
        <w:rPr>
          <w:sz w:val="20"/>
          <w:szCs w:val="20"/>
          <w:rtl/>
        </w:rPr>
        <w:t>–</w:t>
      </w:r>
      <w:r>
        <w:rPr>
          <w:rFonts w:hint="cs"/>
          <w:sz w:val="20"/>
          <w:szCs w:val="20"/>
          <w:rtl/>
        </w:rPr>
        <w:t xml:space="preserve"> כוונת הרמ"א לאשה שקביעת הווסת שלה היא לראות בתוך ב' או ג' ימים מסויימים, אך אין זמן מדויק לראייתה, וקמ"ל שיש לפרוש ממנה בכל אותם ב' או ג' ימים שעלולה לראות בהם.</w:t>
      </w:r>
      <w:r>
        <w:rPr>
          <w:sz w:val="20"/>
          <w:szCs w:val="20"/>
          <w:rtl/>
        </w:rPr>
        <w:br/>
      </w:r>
      <w:r>
        <w:rPr>
          <w:rFonts w:hint="cs"/>
          <w:sz w:val="20"/>
          <w:szCs w:val="20"/>
          <w:rtl/>
        </w:rPr>
        <w:t xml:space="preserve">ב. </w:t>
      </w:r>
      <w:r w:rsidRPr="00B008F5">
        <w:rPr>
          <w:rFonts w:hint="cs"/>
          <w:b/>
          <w:bCs/>
          <w:sz w:val="20"/>
          <w:szCs w:val="20"/>
          <w:rtl/>
        </w:rPr>
        <w:t>חוות דעת</w:t>
      </w:r>
      <w:r>
        <w:rPr>
          <w:rFonts w:hint="cs"/>
          <w:sz w:val="20"/>
          <w:szCs w:val="20"/>
          <w:rtl/>
        </w:rPr>
        <w:t xml:space="preserve"> </w:t>
      </w:r>
      <w:r>
        <w:rPr>
          <w:sz w:val="20"/>
          <w:szCs w:val="20"/>
          <w:rtl/>
        </w:rPr>
        <w:t>–</w:t>
      </w:r>
      <w:r>
        <w:rPr>
          <w:rFonts w:hint="cs"/>
          <w:sz w:val="20"/>
          <w:szCs w:val="20"/>
          <w:rtl/>
        </w:rPr>
        <w:t xml:space="preserve"> אין זו כוונת הרמ"א, ואין לפרוש מאשה זו ב' או ג' ימים.</w:t>
      </w:r>
      <w:r>
        <w:rPr>
          <w:sz w:val="20"/>
          <w:szCs w:val="20"/>
          <w:rtl/>
        </w:rPr>
        <w:br/>
      </w:r>
      <w:r w:rsidRPr="00A25778">
        <w:rPr>
          <w:rFonts w:hint="cs"/>
          <w:sz w:val="20"/>
          <w:szCs w:val="20"/>
          <w:rtl/>
        </w:rPr>
        <w:t xml:space="preserve">וזה פירוש הרמ"א </w:t>
      </w:r>
      <w:r w:rsidRPr="00A25778">
        <w:rPr>
          <w:sz w:val="20"/>
          <w:szCs w:val="20"/>
          <w:rtl/>
        </w:rPr>
        <w:t>–</w:t>
      </w:r>
      <w:r w:rsidRPr="00A25778">
        <w:rPr>
          <w:rFonts w:hint="cs"/>
          <w:sz w:val="20"/>
          <w:szCs w:val="20"/>
          <w:rtl/>
        </w:rPr>
        <w:t xml:space="preserve"> מדובר </w:t>
      </w:r>
      <w:r>
        <w:rPr>
          <w:rFonts w:hint="cs"/>
          <w:sz w:val="20"/>
          <w:szCs w:val="20"/>
          <w:rtl/>
        </w:rPr>
        <w:t>באשה שקבעה וסת בג' לחודש, ולאחר מכן הקדימה ראייתה ג"פ לב' בחודש והמשיכה לראות גם ביום ג', לאחר מכן הקדימה ראייתה לא' והמשיכה לראות בב' וג' לחודש. ומכיוון שלא הפסיקה לראות בב' וג', לא איבדו ימים אלו מעלתם ואף הם שעת וסתה וצריכה לפרוש בהם.</w:t>
      </w:r>
      <w:r>
        <w:rPr>
          <w:sz w:val="20"/>
          <w:szCs w:val="20"/>
          <w:rtl/>
        </w:rPr>
        <w:br/>
      </w:r>
      <w:r>
        <w:rPr>
          <w:rFonts w:hint="cs"/>
          <w:sz w:val="20"/>
          <w:szCs w:val="20"/>
          <w:rtl/>
        </w:rPr>
        <w:t xml:space="preserve">ג. </w:t>
      </w:r>
      <w:r w:rsidRPr="00C47CBE">
        <w:rPr>
          <w:rFonts w:hint="cs"/>
          <w:b/>
          <w:bCs/>
          <w:sz w:val="20"/>
          <w:szCs w:val="20"/>
          <w:rtl/>
        </w:rPr>
        <w:t>ש"ך</w:t>
      </w:r>
      <w:r>
        <w:rPr>
          <w:rFonts w:hint="cs"/>
          <w:sz w:val="20"/>
          <w:szCs w:val="20"/>
          <w:rtl/>
        </w:rPr>
        <w:t xml:space="preserve"> </w:t>
      </w:r>
      <w:r w:rsidRPr="00C47CBE">
        <w:rPr>
          <w:rFonts w:hint="cs"/>
          <w:sz w:val="18"/>
          <w:szCs w:val="18"/>
          <w:rtl/>
        </w:rPr>
        <w:t xml:space="preserve">(לקמן סימן קפט') </w:t>
      </w:r>
      <w:r>
        <w:rPr>
          <w:sz w:val="20"/>
          <w:szCs w:val="20"/>
          <w:rtl/>
        </w:rPr>
        <w:t>–</w:t>
      </w:r>
      <w:r>
        <w:rPr>
          <w:rFonts w:hint="cs"/>
          <w:sz w:val="20"/>
          <w:szCs w:val="20"/>
          <w:rtl/>
        </w:rPr>
        <w:t xml:space="preserve"> מדובר באשה שלמודה לראות, למשל, בכה' לחודש, ושינתה ראייתה פעם או פעמיים וראתה בכג' לחודש, וקמ"ל הרמ"א שצריכה לפרוש בחודש הבא בכג' ובכה'.</w:t>
      </w:r>
      <w:r>
        <w:rPr>
          <w:sz w:val="20"/>
          <w:szCs w:val="20"/>
          <w:rtl/>
        </w:rPr>
        <w:br/>
      </w:r>
      <w:r w:rsidRPr="00DD380A">
        <w:rPr>
          <w:rFonts w:hint="cs"/>
          <w:sz w:val="20"/>
          <w:szCs w:val="20"/>
          <w:rtl/>
        </w:rPr>
        <w:t xml:space="preserve">הכרעת </w:t>
      </w:r>
      <w:r w:rsidRPr="00DD380A">
        <w:rPr>
          <w:rFonts w:hint="cs"/>
          <w:b/>
          <w:bCs/>
          <w:sz w:val="20"/>
          <w:szCs w:val="20"/>
          <w:rtl/>
        </w:rPr>
        <w:t>בדי השולחן</w:t>
      </w:r>
      <w:r>
        <w:rPr>
          <w:rFonts w:hint="cs"/>
          <w:sz w:val="20"/>
          <w:szCs w:val="20"/>
          <w:rtl/>
        </w:rPr>
        <w:t xml:space="preserve"> </w:t>
      </w:r>
      <w:r>
        <w:rPr>
          <w:sz w:val="20"/>
          <w:szCs w:val="20"/>
          <w:rtl/>
        </w:rPr>
        <w:t>–</w:t>
      </w:r>
      <w:r>
        <w:rPr>
          <w:rFonts w:hint="cs"/>
          <w:sz w:val="20"/>
          <w:szCs w:val="20"/>
          <w:rtl/>
        </w:rPr>
        <w:t xml:space="preserve"> טוב לחוש לחומרת הנוב"י, המקיל יש לו על מי לסמוך, ובלבד שיפרוש בעונה של ראייתה האחרונה, כדין ווסת שאינו קבוע.</w:t>
      </w:r>
    </w:p>
    <w:p w:rsidR="00620060" w:rsidRDefault="00620060" w:rsidP="00620060">
      <w:pPr>
        <w:rPr>
          <w:sz w:val="20"/>
          <w:szCs w:val="20"/>
          <w:rtl/>
        </w:rPr>
      </w:pPr>
      <w:r w:rsidRPr="003F3A52">
        <w:rPr>
          <w:rFonts w:hint="cs"/>
          <w:b/>
          <w:bCs/>
          <w:sz w:val="20"/>
          <w:szCs w:val="20"/>
          <w:rtl/>
        </w:rPr>
        <w:t>סיכום</w:t>
      </w:r>
      <w:r>
        <w:rPr>
          <w:sz w:val="20"/>
          <w:szCs w:val="20"/>
          <w:rtl/>
        </w:rPr>
        <w:br/>
      </w:r>
      <w:r>
        <w:rPr>
          <w:rFonts w:hint="cs"/>
          <w:sz w:val="20"/>
          <w:szCs w:val="20"/>
          <w:rtl/>
        </w:rPr>
        <w:t xml:space="preserve">1. </w:t>
      </w:r>
      <w:r w:rsidRPr="003F3A52">
        <w:rPr>
          <w:rFonts w:hint="cs"/>
          <w:b/>
          <w:bCs/>
          <w:sz w:val="20"/>
          <w:szCs w:val="20"/>
          <w:rtl/>
        </w:rPr>
        <w:t>גמרא</w:t>
      </w:r>
      <w:r>
        <w:rPr>
          <w:rFonts w:hint="cs"/>
          <w:sz w:val="20"/>
          <w:szCs w:val="20"/>
          <w:rtl/>
        </w:rPr>
        <w:t>. מחלוקת אמוראים האם ווסתות דאורייתא או דרבנן, והסכמת הפוסקים שווסתות דרבנן.</w:t>
      </w:r>
      <w:r>
        <w:rPr>
          <w:sz w:val="20"/>
          <w:szCs w:val="20"/>
          <w:rtl/>
        </w:rPr>
        <w:br/>
      </w:r>
      <w:r>
        <w:rPr>
          <w:rFonts w:hint="cs"/>
          <w:sz w:val="20"/>
          <w:szCs w:val="20"/>
          <w:rtl/>
        </w:rPr>
        <w:lastRenderedPageBreak/>
        <w:t xml:space="preserve">2. </w:t>
      </w:r>
      <w:r w:rsidRPr="003F3A52">
        <w:rPr>
          <w:rFonts w:hint="cs"/>
          <w:b/>
          <w:bCs/>
          <w:sz w:val="20"/>
          <w:szCs w:val="20"/>
          <w:rtl/>
        </w:rPr>
        <w:t>גמרא</w:t>
      </w:r>
      <w:r>
        <w:rPr>
          <w:rFonts w:hint="cs"/>
          <w:sz w:val="20"/>
          <w:szCs w:val="20"/>
          <w:rtl/>
        </w:rPr>
        <w:t xml:space="preserve">. יש לפרוש מאשתו בעונה הסמוכה לווסת, ומקורו "והזרתם". </w:t>
      </w:r>
      <w:r w:rsidRPr="003F3A52">
        <w:rPr>
          <w:rFonts w:hint="cs"/>
          <w:b/>
          <w:bCs/>
          <w:sz w:val="20"/>
          <w:szCs w:val="20"/>
          <w:rtl/>
        </w:rPr>
        <w:t>רמ"א</w:t>
      </w:r>
      <w:r>
        <w:rPr>
          <w:rFonts w:hint="cs"/>
          <w:sz w:val="20"/>
          <w:szCs w:val="20"/>
          <w:rtl/>
        </w:rPr>
        <w:t>. דווקא בווסת שתלוי בימים.</w:t>
      </w:r>
      <w:r>
        <w:rPr>
          <w:sz w:val="20"/>
          <w:szCs w:val="20"/>
          <w:rtl/>
        </w:rPr>
        <w:br/>
      </w:r>
      <w:r>
        <w:rPr>
          <w:rFonts w:hint="cs"/>
          <w:sz w:val="20"/>
          <w:szCs w:val="20"/>
          <w:rtl/>
        </w:rPr>
        <w:t xml:space="preserve">3. </w:t>
      </w:r>
      <w:r w:rsidRPr="003F3A52">
        <w:rPr>
          <w:rFonts w:hint="cs"/>
          <w:b/>
          <w:bCs/>
          <w:sz w:val="20"/>
          <w:szCs w:val="20"/>
          <w:rtl/>
        </w:rPr>
        <w:t>רא"ש ור"ת</w:t>
      </w:r>
      <w:r>
        <w:rPr>
          <w:rFonts w:hint="cs"/>
          <w:sz w:val="20"/>
          <w:szCs w:val="20"/>
          <w:rtl/>
        </w:rPr>
        <w:t xml:space="preserve">. חיוב מדאורייתא. </w:t>
      </w:r>
      <w:r w:rsidRPr="003F3A52">
        <w:rPr>
          <w:rFonts w:hint="cs"/>
          <w:b/>
          <w:bCs/>
          <w:sz w:val="20"/>
          <w:szCs w:val="20"/>
          <w:rtl/>
        </w:rPr>
        <w:t>ר"ן</w:t>
      </w:r>
      <w:r>
        <w:rPr>
          <w:rFonts w:hint="cs"/>
          <w:sz w:val="20"/>
          <w:szCs w:val="20"/>
          <w:rtl/>
        </w:rPr>
        <w:t xml:space="preserve">. דרבנן, וכ"פ </w:t>
      </w:r>
      <w:r w:rsidRPr="00787537">
        <w:rPr>
          <w:rFonts w:hint="cs"/>
          <w:b/>
          <w:bCs/>
          <w:sz w:val="20"/>
          <w:szCs w:val="20"/>
          <w:rtl/>
        </w:rPr>
        <w:t>הש"ך</w:t>
      </w:r>
      <w:r>
        <w:rPr>
          <w:rFonts w:hint="cs"/>
          <w:sz w:val="20"/>
          <w:szCs w:val="20"/>
          <w:rtl/>
        </w:rPr>
        <w:t xml:space="preserve">. </w:t>
      </w:r>
      <w:r w:rsidRPr="003F3A52">
        <w:rPr>
          <w:rFonts w:hint="cs"/>
          <w:b/>
          <w:bCs/>
          <w:sz w:val="20"/>
          <w:szCs w:val="20"/>
          <w:rtl/>
        </w:rPr>
        <w:t>רמב"ן</w:t>
      </w:r>
      <w:r>
        <w:rPr>
          <w:rFonts w:hint="cs"/>
          <w:sz w:val="20"/>
          <w:szCs w:val="20"/>
          <w:rtl/>
        </w:rPr>
        <w:t xml:space="preserve">. מדאורייתא כחצי שעה, חכמים אסרו את כל העונה. </w:t>
      </w:r>
      <w:r w:rsidRPr="00787537">
        <w:rPr>
          <w:rFonts w:hint="cs"/>
          <w:b/>
          <w:bCs/>
          <w:sz w:val="20"/>
          <w:szCs w:val="20"/>
          <w:rtl/>
        </w:rPr>
        <w:t>רא"ה</w:t>
      </w:r>
      <w:r>
        <w:rPr>
          <w:rFonts w:hint="cs"/>
          <w:sz w:val="20"/>
          <w:szCs w:val="20"/>
          <w:rtl/>
        </w:rPr>
        <w:t>. עד שעת הווסת דרבנן, משעת הווסת דאורייתא.</w:t>
      </w:r>
      <w:r>
        <w:rPr>
          <w:rFonts w:hint="cs"/>
          <w:sz w:val="20"/>
          <w:szCs w:val="20"/>
          <w:rtl/>
        </w:rPr>
        <w:br/>
        <w:t xml:space="preserve">4. </w:t>
      </w:r>
      <w:r w:rsidRPr="003F3A52">
        <w:rPr>
          <w:rFonts w:hint="cs"/>
          <w:b/>
          <w:bCs/>
          <w:sz w:val="20"/>
          <w:szCs w:val="20"/>
          <w:rtl/>
        </w:rPr>
        <w:t>משנה</w:t>
      </w:r>
      <w:r>
        <w:rPr>
          <w:rFonts w:hint="cs"/>
          <w:sz w:val="20"/>
          <w:szCs w:val="20"/>
          <w:rtl/>
        </w:rPr>
        <w:t xml:space="preserve">. </w:t>
      </w:r>
      <w:r w:rsidRPr="003F3A52">
        <w:rPr>
          <w:rFonts w:hint="cs"/>
          <w:sz w:val="20"/>
          <w:szCs w:val="20"/>
          <w:u w:val="single"/>
          <w:rtl/>
        </w:rPr>
        <w:t>רבי יוסי</w:t>
      </w:r>
      <w:r>
        <w:rPr>
          <w:rFonts w:hint="cs"/>
          <w:sz w:val="20"/>
          <w:szCs w:val="20"/>
          <w:rtl/>
        </w:rPr>
        <w:t xml:space="preserve">. חייב לפרוש רק בזמן שרגילה לראות. </w:t>
      </w:r>
      <w:r w:rsidRPr="003F3A52">
        <w:rPr>
          <w:rFonts w:hint="cs"/>
          <w:sz w:val="20"/>
          <w:szCs w:val="20"/>
          <w:u w:val="single"/>
          <w:rtl/>
        </w:rPr>
        <w:t>רבי יהודה</w:t>
      </w:r>
      <w:r>
        <w:rPr>
          <w:rFonts w:hint="cs"/>
          <w:sz w:val="20"/>
          <w:szCs w:val="20"/>
          <w:rtl/>
        </w:rPr>
        <w:t>. פורש כל העונה, וכן הלכה.</w:t>
      </w:r>
      <w:r>
        <w:rPr>
          <w:rFonts w:hint="cs"/>
          <w:sz w:val="20"/>
          <w:szCs w:val="20"/>
          <w:rtl/>
        </w:rPr>
        <w:br/>
        <w:t>5</w:t>
      </w:r>
      <w:r w:rsidRPr="003B25FE">
        <w:rPr>
          <w:rFonts w:hint="cs"/>
          <w:sz w:val="20"/>
          <w:szCs w:val="20"/>
          <w:rtl/>
        </w:rPr>
        <w:t xml:space="preserve">. עונת </w:t>
      </w:r>
      <w:r w:rsidRPr="00E65724">
        <w:rPr>
          <w:rFonts w:hint="cs"/>
          <w:b/>
          <w:bCs/>
          <w:sz w:val="20"/>
          <w:szCs w:val="20"/>
          <w:rtl/>
        </w:rPr>
        <w:t>אור זרוע</w:t>
      </w:r>
      <w:r w:rsidRPr="003B25FE">
        <w:rPr>
          <w:rFonts w:hint="cs"/>
          <w:sz w:val="20"/>
          <w:szCs w:val="20"/>
          <w:rtl/>
        </w:rPr>
        <w:t xml:space="preserve">. יש לפרוש כד' שעות, שתי עונות. </w:t>
      </w:r>
      <w:r w:rsidRPr="003B25FE">
        <w:rPr>
          <w:rFonts w:hint="cs"/>
          <w:b/>
          <w:bCs/>
          <w:sz w:val="20"/>
          <w:szCs w:val="20"/>
          <w:rtl/>
        </w:rPr>
        <w:t>ב"ח</w:t>
      </w:r>
      <w:r w:rsidRPr="003B25FE">
        <w:rPr>
          <w:rFonts w:hint="cs"/>
          <w:sz w:val="20"/>
          <w:szCs w:val="20"/>
          <w:rtl/>
        </w:rPr>
        <w:t>. זו חומרה שמטרתה למנוע טעות בזמן הווסת.</w:t>
      </w:r>
      <w:r w:rsidRPr="003B25FE">
        <w:rPr>
          <w:sz w:val="20"/>
          <w:szCs w:val="20"/>
          <w:rtl/>
        </w:rPr>
        <w:br/>
      </w:r>
      <w:r w:rsidRPr="003B25FE">
        <w:rPr>
          <w:rFonts w:hint="cs"/>
          <w:sz w:val="20"/>
          <w:szCs w:val="20"/>
          <w:rtl/>
        </w:rPr>
        <w:t xml:space="preserve">6. </w:t>
      </w:r>
      <w:r w:rsidRPr="003B25FE">
        <w:rPr>
          <w:rFonts w:hint="cs"/>
          <w:b/>
          <w:bCs/>
          <w:sz w:val="20"/>
          <w:szCs w:val="20"/>
          <w:rtl/>
        </w:rPr>
        <w:t>מחבר וט"ז</w:t>
      </w:r>
      <w:r w:rsidRPr="003B25FE">
        <w:rPr>
          <w:rFonts w:hint="cs"/>
          <w:sz w:val="20"/>
          <w:szCs w:val="20"/>
          <w:rtl/>
        </w:rPr>
        <w:t xml:space="preserve">. אין לחוש לאו"ז. </w:t>
      </w:r>
      <w:r w:rsidRPr="003B25FE">
        <w:rPr>
          <w:rFonts w:hint="cs"/>
          <w:b/>
          <w:bCs/>
          <w:sz w:val="20"/>
          <w:szCs w:val="20"/>
          <w:rtl/>
        </w:rPr>
        <w:t>ב"ח</w:t>
      </w:r>
      <w:r w:rsidRPr="003B25FE">
        <w:rPr>
          <w:rFonts w:hint="cs"/>
          <w:sz w:val="20"/>
          <w:szCs w:val="20"/>
          <w:rtl/>
        </w:rPr>
        <w:t xml:space="preserve">. ראוי להחמיר. </w:t>
      </w:r>
      <w:r w:rsidRPr="003B25FE">
        <w:rPr>
          <w:rFonts w:hint="cs"/>
          <w:b/>
          <w:bCs/>
          <w:sz w:val="20"/>
          <w:szCs w:val="20"/>
          <w:rtl/>
        </w:rPr>
        <w:t>ש"ך</w:t>
      </w:r>
      <w:r w:rsidRPr="003B25FE">
        <w:rPr>
          <w:rFonts w:hint="cs"/>
          <w:sz w:val="20"/>
          <w:szCs w:val="20"/>
          <w:rtl/>
        </w:rPr>
        <w:t>. כשאין שעה מדויקת לווסת יש להחמיר כאו"ז, ולפי"ז יש להחמיר בנשי דידן משום שאין להן שעה קבועה.</w:t>
      </w:r>
      <w:r w:rsidRPr="003B25FE">
        <w:rPr>
          <w:rFonts w:hint="cs"/>
          <w:sz w:val="20"/>
          <w:szCs w:val="20"/>
          <w:rtl/>
        </w:rPr>
        <w:br/>
        <w:t xml:space="preserve">7. </w:t>
      </w:r>
      <w:r w:rsidRPr="003B25FE">
        <w:rPr>
          <w:rFonts w:hint="cs"/>
          <w:b/>
          <w:bCs/>
          <w:sz w:val="20"/>
          <w:szCs w:val="20"/>
          <w:rtl/>
        </w:rPr>
        <w:t>טהרת הבית</w:t>
      </w:r>
      <w:r w:rsidRPr="003B25FE">
        <w:rPr>
          <w:rFonts w:hint="cs"/>
          <w:sz w:val="20"/>
          <w:szCs w:val="20"/>
          <w:rtl/>
        </w:rPr>
        <w:t>. אין להחמיר.</w:t>
      </w:r>
      <w:r w:rsidRPr="00E65724">
        <w:rPr>
          <w:rFonts w:hint="cs"/>
          <w:b/>
          <w:bCs/>
          <w:sz w:val="20"/>
          <w:szCs w:val="20"/>
          <w:rtl/>
        </w:rPr>
        <w:t xml:space="preserve"> </w:t>
      </w:r>
      <w:r w:rsidRPr="003B25FE">
        <w:rPr>
          <w:rFonts w:hint="cs"/>
          <w:b/>
          <w:bCs/>
          <w:sz w:val="20"/>
          <w:szCs w:val="20"/>
          <w:rtl/>
        </w:rPr>
        <w:t>דרכ"ט</w:t>
      </w:r>
      <w:r w:rsidRPr="003B25FE">
        <w:rPr>
          <w:rFonts w:hint="cs"/>
          <w:sz w:val="20"/>
          <w:szCs w:val="20"/>
          <w:rtl/>
        </w:rPr>
        <w:t xml:space="preserve">. ראוי להחמיר. </w:t>
      </w:r>
      <w:r w:rsidRPr="003B25FE">
        <w:rPr>
          <w:rFonts w:hint="cs"/>
          <w:b/>
          <w:bCs/>
          <w:sz w:val="20"/>
          <w:szCs w:val="20"/>
          <w:rtl/>
        </w:rPr>
        <w:t>שבט הלוי</w:t>
      </w:r>
      <w:r w:rsidRPr="003B25FE">
        <w:rPr>
          <w:rFonts w:hint="cs"/>
          <w:sz w:val="20"/>
          <w:szCs w:val="20"/>
          <w:rtl/>
        </w:rPr>
        <w:t xml:space="preserve">. יש לנהוג בחומרה, זו חומרת הראשונים. </w:t>
      </w:r>
      <w:r w:rsidRPr="003B25FE">
        <w:rPr>
          <w:rFonts w:hint="cs"/>
          <w:sz w:val="20"/>
          <w:szCs w:val="20"/>
          <w:rtl/>
        </w:rPr>
        <w:br/>
        <w:t xml:space="preserve">8. </w:t>
      </w:r>
      <w:r w:rsidRPr="003B25FE">
        <w:rPr>
          <w:rFonts w:hint="cs"/>
          <w:b/>
          <w:bCs/>
          <w:sz w:val="20"/>
          <w:szCs w:val="20"/>
          <w:rtl/>
        </w:rPr>
        <w:t>אביאסף</w:t>
      </w:r>
      <w:r w:rsidRPr="003B25FE">
        <w:rPr>
          <w:rFonts w:hint="cs"/>
          <w:sz w:val="20"/>
          <w:szCs w:val="20"/>
          <w:rtl/>
        </w:rPr>
        <w:t xml:space="preserve">. זמן הפרישה תמיד יב' שעות </w:t>
      </w:r>
      <w:r w:rsidRPr="003B25FE">
        <w:rPr>
          <w:rFonts w:hint="cs"/>
          <w:sz w:val="18"/>
          <w:szCs w:val="18"/>
          <w:rtl/>
        </w:rPr>
        <w:t>(בתקופת תשרי וניסן יום או לילה, בטבת חצי יום וחצי לילה).</w:t>
      </w:r>
      <w:r w:rsidRPr="003B25FE">
        <w:rPr>
          <w:sz w:val="18"/>
          <w:szCs w:val="18"/>
          <w:rtl/>
        </w:rPr>
        <w:br/>
      </w:r>
      <w:r w:rsidRPr="003B25FE">
        <w:rPr>
          <w:rFonts w:hint="cs"/>
          <w:sz w:val="20"/>
          <w:szCs w:val="20"/>
          <w:rtl/>
        </w:rPr>
        <w:t xml:space="preserve">9. </w:t>
      </w:r>
      <w:r w:rsidRPr="003B25FE">
        <w:rPr>
          <w:rFonts w:hint="cs"/>
          <w:b/>
          <w:bCs/>
          <w:sz w:val="20"/>
          <w:szCs w:val="20"/>
          <w:rtl/>
        </w:rPr>
        <w:t>ב"י</w:t>
      </w:r>
      <w:r w:rsidRPr="003B25FE">
        <w:rPr>
          <w:rFonts w:hint="cs"/>
          <w:sz w:val="20"/>
          <w:szCs w:val="20"/>
          <w:rtl/>
        </w:rPr>
        <w:t xml:space="preserve">. אין לנהוג כך, דבריו לא מוזכרים בתלמוד ובראשונים. </w:t>
      </w:r>
      <w:r w:rsidRPr="003B25FE">
        <w:rPr>
          <w:rFonts w:hint="cs"/>
          <w:b/>
          <w:bCs/>
          <w:sz w:val="20"/>
          <w:szCs w:val="20"/>
          <w:rtl/>
        </w:rPr>
        <w:t>ב"ח</w:t>
      </w:r>
      <w:r w:rsidRPr="003B25FE">
        <w:rPr>
          <w:rFonts w:hint="cs"/>
          <w:sz w:val="20"/>
          <w:szCs w:val="20"/>
          <w:rtl/>
        </w:rPr>
        <w:t>. הלכה כמותו וכן מוכח להדיא בגמרא.</w:t>
      </w:r>
      <w:r w:rsidRPr="003B25FE">
        <w:rPr>
          <w:sz w:val="20"/>
          <w:szCs w:val="20"/>
          <w:rtl/>
        </w:rPr>
        <w:br/>
      </w:r>
      <w:r w:rsidRPr="003B25FE">
        <w:rPr>
          <w:rFonts w:hint="cs"/>
          <w:sz w:val="20"/>
          <w:szCs w:val="20"/>
          <w:rtl/>
        </w:rPr>
        <w:t xml:space="preserve">10. אופן חישוב הפרישה לאביאסף. </w:t>
      </w:r>
      <w:r w:rsidRPr="003B25FE">
        <w:rPr>
          <w:rFonts w:hint="cs"/>
          <w:b/>
          <w:bCs/>
          <w:sz w:val="20"/>
          <w:szCs w:val="20"/>
          <w:rtl/>
        </w:rPr>
        <w:t>ט"ז</w:t>
      </w:r>
      <w:r w:rsidRPr="003B25FE">
        <w:rPr>
          <w:rFonts w:hint="cs"/>
          <w:sz w:val="20"/>
          <w:szCs w:val="20"/>
          <w:rtl/>
        </w:rPr>
        <w:t xml:space="preserve">. שש שעות לפני ושש שעות אחרי הווסת. </w:t>
      </w:r>
      <w:r w:rsidRPr="003B25FE">
        <w:rPr>
          <w:rFonts w:hint="cs"/>
          <w:b/>
          <w:bCs/>
          <w:sz w:val="20"/>
          <w:szCs w:val="20"/>
          <w:rtl/>
        </w:rPr>
        <w:t>ש"ך</w:t>
      </w:r>
      <w:r w:rsidRPr="003B25FE">
        <w:rPr>
          <w:rFonts w:hint="cs"/>
          <w:sz w:val="20"/>
          <w:szCs w:val="20"/>
          <w:rtl/>
        </w:rPr>
        <w:t xml:space="preserve">. בעונה קצרה יש להוסיף מהלילה ומהיום שלפני, בעונה ארוכה יש להפחית מהתחלה ומהסוף. </w:t>
      </w:r>
      <w:r w:rsidRPr="003B25FE">
        <w:rPr>
          <w:sz w:val="20"/>
          <w:szCs w:val="20"/>
          <w:rtl/>
        </w:rPr>
        <w:br/>
      </w:r>
      <w:r w:rsidRPr="003B25FE">
        <w:rPr>
          <w:rFonts w:hint="cs"/>
          <w:sz w:val="20"/>
          <w:szCs w:val="20"/>
          <w:rtl/>
        </w:rPr>
        <w:t xml:space="preserve">11. </w:t>
      </w:r>
      <w:r w:rsidRPr="003B25FE">
        <w:rPr>
          <w:rFonts w:hint="cs"/>
          <w:b/>
          <w:bCs/>
          <w:sz w:val="20"/>
          <w:szCs w:val="20"/>
          <w:rtl/>
        </w:rPr>
        <w:t>שבט הלוי</w:t>
      </w:r>
      <w:r w:rsidRPr="003B25FE">
        <w:rPr>
          <w:rFonts w:hint="cs"/>
          <w:sz w:val="20"/>
          <w:szCs w:val="20"/>
          <w:rtl/>
        </w:rPr>
        <w:t>. אין לנהוג כאביאסף, דבר זה עלול לגרום לבלבול בחישוב זמן הפרישה.</w:t>
      </w:r>
      <w:r w:rsidRPr="003B25FE">
        <w:rPr>
          <w:sz w:val="20"/>
          <w:szCs w:val="20"/>
          <w:rtl/>
        </w:rPr>
        <w:br/>
      </w:r>
      <w:r w:rsidRPr="003B25FE">
        <w:rPr>
          <w:rFonts w:hint="cs"/>
          <w:sz w:val="20"/>
          <w:szCs w:val="20"/>
          <w:rtl/>
        </w:rPr>
        <w:t xml:space="preserve">12. סיכום זמן הפרישה. </w:t>
      </w:r>
      <w:r w:rsidRPr="003B25FE">
        <w:rPr>
          <w:rFonts w:hint="cs"/>
          <w:b/>
          <w:bCs/>
          <w:sz w:val="20"/>
          <w:szCs w:val="20"/>
          <w:rtl/>
        </w:rPr>
        <w:t>רוב הראשונים</w:t>
      </w:r>
      <w:r w:rsidRPr="003B25FE">
        <w:rPr>
          <w:rFonts w:hint="cs"/>
          <w:sz w:val="20"/>
          <w:szCs w:val="20"/>
          <w:rtl/>
        </w:rPr>
        <w:t xml:space="preserve">. עונת ווסתה. </w:t>
      </w:r>
      <w:r w:rsidRPr="003B25FE">
        <w:rPr>
          <w:rFonts w:hint="cs"/>
          <w:b/>
          <w:bCs/>
          <w:sz w:val="20"/>
          <w:szCs w:val="20"/>
          <w:rtl/>
        </w:rPr>
        <w:t>או"ז</w:t>
      </w:r>
      <w:r w:rsidRPr="003B25FE">
        <w:rPr>
          <w:rFonts w:hint="cs"/>
          <w:sz w:val="20"/>
          <w:szCs w:val="20"/>
          <w:rtl/>
        </w:rPr>
        <w:t xml:space="preserve">. שתי עונות. </w:t>
      </w:r>
      <w:r w:rsidRPr="003B25FE">
        <w:rPr>
          <w:rFonts w:hint="cs"/>
          <w:b/>
          <w:bCs/>
          <w:sz w:val="20"/>
          <w:szCs w:val="20"/>
          <w:rtl/>
        </w:rPr>
        <w:t>אביאסף</w:t>
      </w:r>
      <w:r w:rsidRPr="003B25FE">
        <w:rPr>
          <w:rFonts w:hint="cs"/>
          <w:sz w:val="20"/>
          <w:szCs w:val="20"/>
          <w:rtl/>
        </w:rPr>
        <w:t>. יב' שעות.</w:t>
      </w:r>
      <w:r w:rsidRPr="003B25FE">
        <w:rPr>
          <w:sz w:val="20"/>
          <w:szCs w:val="20"/>
          <w:rtl/>
        </w:rPr>
        <w:br/>
      </w:r>
      <w:r w:rsidRPr="003B25FE">
        <w:rPr>
          <w:rFonts w:hint="cs"/>
          <w:sz w:val="20"/>
          <w:szCs w:val="20"/>
          <w:rtl/>
        </w:rPr>
        <w:t xml:space="preserve">13. ממה יש לפרוש. </w:t>
      </w:r>
      <w:r w:rsidRPr="003B25FE">
        <w:rPr>
          <w:rFonts w:hint="cs"/>
          <w:b/>
          <w:bCs/>
          <w:sz w:val="20"/>
          <w:szCs w:val="20"/>
          <w:rtl/>
        </w:rPr>
        <w:t>רש"י</w:t>
      </w:r>
      <w:r w:rsidRPr="003B25FE">
        <w:rPr>
          <w:rFonts w:hint="cs"/>
          <w:sz w:val="20"/>
          <w:szCs w:val="20"/>
          <w:rtl/>
        </w:rPr>
        <w:t xml:space="preserve"> ורוה"פ. רק מתשמיש, וכ"פ </w:t>
      </w:r>
      <w:r w:rsidRPr="003B25FE">
        <w:rPr>
          <w:rFonts w:hint="cs"/>
          <w:b/>
          <w:bCs/>
          <w:sz w:val="20"/>
          <w:szCs w:val="20"/>
          <w:rtl/>
        </w:rPr>
        <w:t>המחבר</w:t>
      </w:r>
      <w:r w:rsidRPr="003B25FE">
        <w:rPr>
          <w:rFonts w:hint="cs"/>
          <w:sz w:val="20"/>
          <w:szCs w:val="20"/>
          <w:rtl/>
        </w:rPr>
        <w:t xml:space="preserve">. </w:t>
      </w:r>
      <w:r w:rsidRPr="003B25FE">
        <w:rPr>
          <w:rFonts w:hint="cs"/>
          <w:b/>
          <w:bCs/>
          <w:sz w:val="20"/>
          <w:szCs w:val="20"/>
          <w:rtl/>
        </w:rPr>
        <w:t>ת"ה</w:t>
      </w:r>
      <w:r w:rsidRPr="003B25FE">
        <w:rPr>
          <w:rFonts w:hint="cs"/>
          <w:sz w:val="20"/>
          <w:szCs w:val="20"/>
          <w:rtl/>
        </w:rPr>
        <w:t>. כל קרבה אסורה, אפילו מזיגת הכוס.</w:t>
      </w:r>
      <w:r w:rsidRPr="003B25FE">
        <w:rPr>
          <w:rFonts w:hint="cs"/>
          <w:sz w:val="20"/>
          <w:szCs w:val="20"/>
          <w:rtl/>
        </w:rPr>
        <w:br/>
        <w:t xml:space="preserve">14. </w:t>
      </w:r>
      <w:r w:rsidRPr="003B25FE">
        <w:rPr>
          <w:rFonts w:hint="cs"/>
          <w:b/>
          <w:bCs/>
          <w:sz w:val="20"/>
          <w:szCs w:val="20"/>
          <w:rtl/>
        </w:rPr>
        <w:t>ראב"ד</w:t>
      </w:r>
      <w:r w:rsidRPr="003B25FE">
        <w:rPr>
          <w:rFonts w:hint="cs"/>
          <w:sz w:val="20"/>
          <w:szCs w:val="20"/>
          <w:rtl/>
        </w:rPr>
        <w:t>. ווסת שאינ</w:t>
      </w:r>
      <w:r>
        <w:rPr>
          <w:rFonts w:hint="cs"/>
          <w:sz w:val="20"/>
          <w:szCs w:val="20"/>
          <w:rtl/>
        </w:rPr>
        <w:t>ו</w:t>
      </w:r>
      <w:r w:rsidRPr="003B25FE">
        <w:rPr>
          <w:rFonts w:hint="cs"/>
          <w:sz w:val="20"/>
          <w:szCs w:val="20"/>
          <w:rtl/>
        </w:rPr>
        <w:t xml:space="preserve"> תלוי בימים אלא בשינוי הגוף, פורש רק בשעה שהשינוי רגיל לבוא, וכ"פ </w:t>
      </w:r>
      <w:r w:rsidRPr="003B25FE">
        <w:rPr>
          <w:rFonts w:hint="cs"/>
          <w:b/>
          <w:bCs/>
          <w:sz w:val="20"/>
          <w:szCs w:val="20"/>
          <w:rtl/>
        </w:rPr>
        <w:t>הרמ"א</w:t>
      </w:r>
      <w:r w:rsidRPr="003B25FE">
        <w:rPr>
          <w:rFonts w:hint="cs"/>
          <w:sz w:val="20"/>
          <w:szCs w:val="20"/>
          <w:rtl/>
        </w:rPr>
        <w:t>.</w:t>
      </w:r>
      <w:r w:rsidRPr="003B25FE">
        <w:rPr>
          <w:sz w:val="20"/>
          <w:szCs w:val="20"/>
          <w:rtl/>
        </w:rPr>
        <w:br/>
      </w:r>
      <w:r w:rsidRPr="003B25FE">
        <w:rPr>
          <w:rFonts w:hint="cs"/>
          <w:sz w:val="20"/>
          <w:szCs w:val="20"/>
          <w:rtl/>
        </w:rPr>
        <w:t xml:space="preserve">15. </w:t>
      </w:r>
      <w:r w:rsidRPr="003B25FE">
        <w:rPr>
          <w:rFonts w:hint="cs"/>
          <w:b/>
          <w:bCs/>
          <w:sz w:val="20"/>
          <w:szCs w:val="20"/>
          <w:rtl/>
        </w:rPr>
        <w:t>תפל"מ</w:t>
      </w:r>
      <w:r w:rsidRPr="003B25FE">
        <w:rPr>
          <w:rFonts w:hint="cs"/>
          <w:sz w:val="20"/>
          <w:szCs w:val="20"/>
          <w:rtl/>
        </w:rPr>
        <w:t xml:space="preserve">. אשה של"ט חל בשעת וסתה, מותרת לשמש. ואם יש אפשרות להקדמת הטבילה </w:t>
      </w:r>
      <w:r w:rsidRPr="003B25FE">
        <w:rPr>
          <w:sz w:val="20"/>
          <w:szCs w:val="20"/>
          <w:rtl/>
        </w:rPr>
        <w:t>–</w:t>
      </w:r>
      <w:r w:rsidRPr="003B25FE">
        <w:rPr>
          <w:rFonts w:hint="cs"/>
          <w:sz w:val="20"/>
          <w:szCs w:val="20"/>
          <w:rtl/>
        </w:rPr>
        <w:t xml:space="preserve"> תקדים.</w:t>
      </w:r>
      <w:r w:rsidRPr="003B25FE">
        <w:rPr>
          <w:rFonts w:hint="cs"/>
          <w:sz w:val="20"/>
          <w:szCs w:val="20"/>
          <w:rtl/>
        </w:rPr>
        <w:br/>
        <w:t>16. מחלוקת אחרונים בביאור הרמ"א.</w:t>
      </w:r>
      <w:r>
        <w:rPr>
          <w:rFonts w:hint="cs"/>
          <w:sz w:val="20"/>
          <w:szCs w:val="20"/>
          <w:rtl/>
        </w:rPr>
        <w:t xml:space="preserve"> </w:t>
      </w:r>
      <w:r w:rsidRPr="003F3A52">
        <w:rPr>
          <w:rFonts w:hint="cs"/>
          <w:b/>
          <w:bCs/>
          <w:sz w:val="20"/>
          <w:szCs w:val="20"/>
          <w:rtl/>
        </w:rPr>
        <w:t>נוב"י</w:t>
      </w:r>
      <w:r>
        <w:rPr>
          <w:rFonts w:hint="cs"/>
          <w:sz w:val="20"/>
          <w:szCs w:val="20"/>
          <w:rtl/>
        </w:rPr>
        <w:t xml:space="preserve">. אשה שרגילה לראות ב' וג' ימים ואינה יודעת באיזה בדיוק </w:t>
      </w:r>
      <w:r>
        <w:rPr>
          <w:sz w:val="20"/>
          <w:szCs w:val="20"/>
          <w:rtl/>
        </w:rPr>
        <w:t>–</w:t>
      </w:r>
      <w:r>
        <w:rPr>
          <w:rFonts w:hint="cs"/>
          <w:sz w:val="20"/>
          <w:szCs w:val="20"/>
          <w:rtl/>
        </w:rPr>
        <w:t xml:space="preserve"> פורשת בכולם. </w:t>
      </w:r>
      <w:r w:rsidRPr="003F3A52">
        <w:rPr>
          <w:rFonts w:hint="cs"/>
          <w:b/>
          <w:bCs/>
          <w:sz w:val="20"/>
          <w:szCs w:val="20"/>
          <w:rtl/>
        </w:rPr>
        <w:t>חוו"ד</w:t>
      </w:r>
      <w:r>
        <w:rPr>
          <w:rFonts w:hint="cs"/>
          <w:sz w:val="20"/>
          <w:szCs w:val="20"/>
          <w:rtl/>
        </w:rPr>
        <w:t xml:space="preserve">. כוונת הרמ"א רק אם הוחזקה ג"פ בכל אחד מהימים ולא נעקר היום הקודם שהיתה רגילה לראות בו. חומרת הנוב"י מכונה בשם "ימי המבוכה". </w:t>
      </w:r>
      <w:r w:rsidRPr="003F3A52">
        <w:rPr>
          <w:rFonts w:hint="cs"/>
          <w:b/>
          <w:bCs/>
          <w:sz w:val="20"/>
          <w:szCs w:val="20"/>
          <w:rtl/>
        </w:rPr>
        <w:t>בדה"ש</w:t>
      </w:r>
      <w:r>
        <w:rPr>
          <w:rFonts w:hint="cs"/>
          <w:sz w:val="20"/>
          <w:szCs w:val="20"/>
          <w:rtl/>
        </w:rPr>
        <w:t>. טוב להחמיר, למקל יש על מי לסמוך.</w:t>
      </w:r>
    </w:p>
    <w:p w:rsidR="00620060" w:rsidRDefault="00620060" w:rsidP="00620060">
      <w:pPr>
        <w:rPr>
          <w:sz w:val="20"/>
          <w:szCs w:val="20"/>
          <w:rtl/>
        </w:rPr>
      </w:pPr>
      <w:r>
        <w:rPr>
          <w:sz w:val="20"/>
          <w:szCs w:val="20"/>
          <w:rtl/>
        </w:rPr>
        <w:br/>
      </w:r>
      <w:r>
        <w:rPr>
          <w:rFonts w:hint="cs"/>
          <w:b/>
          <w:bCs/>
          <w:sz w:val="20"/>
          <w:szCs w:val="20"/>
          <w:rtl/>
        </w:rPr>
        <w:t xml:space="preserve">סעיף ג </w:t>
      </w:r>
      <w:r>
        <w:rPr>
          <w:b/>
          <w:bCs/>
          <w:sz w:val="20"/>
          <w:szCs w:val="20"/>
          <w:rtl/>
        </w:rPr>
        <w:t>–</w:t>
      </w:r>
      <w:r>
        <w:rPr>
          <w:rFonts w:hint="cs"/>
          <w:b/>
          <w:bCs/>
          <w:sz w:val="20"/>
          <w:szCs w:val="20"/>
          <w:rtl/>
        </w:rPr>
        <w:t xml:space="preserve"> פרישה סמוך לווסת בקטנה </w:t>
      </w:r>
      <w:r>
        <w:rPr>
          <w:rFonts w:hint="cs"/>
          <w:b/>
          <w:bCs/>
          <w:sz w:val="20"/>
          <w:szCs w:val="20"/>
          <w:rtl/>
        </w:rPr>
        <w:br/>
        <w:t>מקור הדין</w:t>
      </w:r>
      <w:r>
        <w:rPr>
          <w:b/>
          <w:bCs/>
          <w:sz w:val="20"/>
          <w:szCs w:val="20"/>
          <w:rtl/>
        </w:rPr>
        <w:br/>
      </w:r>
      <w:r>
        <w:rPr>
          <w:rFonts w:hint="cs"/>
          <w:b/>
          <w:bCs/>
          <w:sz w:val="20"/>
          <w:szCs w:val="20"/>
          <w:rtl/>
        </w:rPr>
        <w:t xml:space="preserve">גמרא </w:t>
      </w:r>
      <w:r>
        <w:rPr>
          <w:rFonts w:hint="cs"/>
          <w:sz w:val="20"/>
          <w:szCs w:val="20"/>
          <w:rtl/>
        </w:rPr>
        <w:t>נידה (ט:) "</w:t>
      </w:r>
      <w:r w:rsidRPr="00B66198">
        <w:rPr>
          <w:rFonts w:cs="Arial" w:hint="cs"/>
          <w:sz w:val="20"/>
          <w:szCs w:val="20"/>
          <w:rtl/>
        </w:rPr>
        <w:t>ת</w:t>
      </w:r>
      <w:r>
        <w:rPr>
          <w:rFonts w:cs="Arial" w:hint="cs"/>
          <w:sz w:val="20"/>
          <w:szCs w:val="20"/>
          <w:rtl/>
        </w:rPr>
        <w:t xml:space="preserve">נו </w:t>
      </w:r>
      <w:r w:rsidRPr="00B66198">
        <w:rPr>
          <w:rFonts w:cs="Arial" w:hint="cs"/>
          <w:sz w:val="20"/>
          <w:szCs w:val="20"/>
          <w:rtl/>
        </w:rPr>
        <w:t>ר</w:t>
      </w:r>
      <w:r>
        <w:rPr>
          <w:rFonts w:cs="Arial" w:hint="cs"/>
          <w:sz w:val="20"/>
          <w:szCs w:val="20"/>
          <w:rtl/>
        </w:rPr>
        <w:t>בנן</w:t>
      </w:r>
      <w:r w:rsidRPr="00B66198">
        <w:rPr>
          <w:rFonts w:cs="Arial"/>
          <w:sz w:val="20"/>
          <w:szCs w:val="20"/>
          <w:rtl/>
        </w:rPr>
        <w:t xml:space="preserve">: </w:t>
      </w:r>
      <w:r w:rsidRPr="00B66198">
        <w:rPr>
          <w:rFonts w:cs="Arial" w:hint="cs"/>
          <w:sz w:val="20"/>
          <w:szCs w:val="20"/>
          <w:rtl/>
        </w:rPr>
        <w:t>ת</w:t>
      </w:r>
      <w:r>
        <w:rPr>
          <w:rFonts w:cs="Arial" w:hint="cs"/>
          <w:sz w:val="20"/>
          <w:szCs w:val="20"/>
          <w:rtl/>
        </w:rPr>
        <w:t>י</w:t>
      </w:r>
      <w:r w:rsidRPr="00B66198">
        <w:rPr>
          <w:rFonts w:cs="Arial" w:hint="cs"/>
          <w:sz w:val="20"/>
          <w:szCs w:val="20"/>
          <w:rtl/>
        </w:rPr>
        <w:t>נוקת</w:t>
      </w:r>
      <w:r w:rsidRPr="00B66198">
        <w:rPr>
          <w:rFonts w:cs="Arial"/>
          <w:sz w:val="20"/>
          <w:szCs w:val="20"/>
          <w:rtl/>
        </w:rPr>
        <w:t xml:space="preserve"> </w:t>
      </w:r>
      <w:r w:rsidRPr="00B66198">
        <w:rPr>
          <w:rFonts w:cs="Arial" w:hint="cs"/>
          <w:sz w:val="20"/>
          <w:szCs w:val="20"/>
          <w:rtl/>
        </w:rPr>
        <w:t>שלא</w:t>
      </w:r>
      <w:r w:rsidRPr="00B66198">
        <w:rPr>
          <w:rFonts w:cs="Arial"/>
          <w:sz w:val="20"/>
          <w:szCs w:val="20"/>
          <w:rtl/>
        </w:rPr>
        <w:t xml:space="preserve"> </w:t>
      </w:r>
      <w:r w:rsidRPr="00B66198">
        <w:rPr>
          <w:rFonts w:cs="Arial" w:hint="cs"/>
          <w:sz w:val="20"/>
          <w:szCs w:val="20"/>
          <w:rtl/>
        </w:rPr>
        <w:t>הגיע</w:t>
      </w:r>
      <w:r w:rsidRPr="00B66198">
        <w:rPr>
          <w:rFonts w:cs="Arial"/>
          <w:sz w:val="20"/>
          <w:szCs w:val="20"/>
          <w:rtl/>
        </w:rPr>
        <w:t xml:space="preserve"> </w:t>
      </w:r>
      <w:r w:rsidRPr="00B66198">
        <w:rPr>
          <w:rFonts w:cs="Arial" w:hint="cs"/>
          <w:sz w:val="20"/>
          <w:szCs w:val="20"/>
          <w:rtl/>
        </w:rPr>
        <w:t>זמנה</w:t>
      </w:r>
      <w:r w:rsidRPr="00B66198">
        <w:rPr>
          <w:rFonts w:cs="Arial"/>
          <w:sz w:val="20"/>
          <w:szCs w:val="20"/>
          <w:rtl/>
        </w:rPr>
        <w:t xml:space="preserve"> </w:t>
      </w:r>
      <w:r w:rsidRPr="00B66198">
        <w:rPr>
          <w:rFonts w:cs="Arial" w:hint="cs"/>
          <w:sz w:val="20"/>
          <w:szCs w:val="20"/>
          <w:rtl/>
        </w:rPr>
        <w:t>לראות</w:t>
      </w:r>
      <w:r w:rsidRPr="00B66198">
        <w:rPr>
          <w:rFonts w:cs="Arial"/>
          <w:sz w:val="20"/>
          <w:szCs w:val="20"/>
          <w:rtl/>
        </w:rPr>
        <w:t xml:space="preserve"> </w:t>
      </w:r>
      <w:r w:rsidRPr="00B66198">
        <w:rPr>
          <w:rFonts w:cs="Arial" w:hint="cs"/>
          <w:sz w:val="20"/>
          <w:szCs w:val="20"/>
          <w:rtl/>
        </w:rPr>
        <w:t>וראתה</w:t>
      </w:r>
      <w:r w:rsidRPr="00B66198">
        <w:rPr>
          <w:rFonts w:cs="Arial"/>
          <w:sz w:val="20"/>
          <w:szCs w:val="20"/>
          <w:rtl/>
        </w:rPr>
        <w:t xml:space="preserve">, </w:t>
      </w:r>
      <w:r w:rsidRPr="00B66198">
        <w:rPr>
          <w:rFonts w:cs="Arial" w:hint="cs"/>
          <w:sz w:val="20"/>
          <w:szCs w:val="20"/>
          <w:rtl/>
        </w:rPr>
        <w:t>פעם</w:t>
      </w:r>
      <w:r w:rsidRPr="00B66198">
        <w:rPr>
          <w:rFonts w:cs="Arial"/>
          <w:sz w:val="20"/>
          <w:szCs w:val="20"/>
          <w:rtl/>
        </w:rPr>
        <w:t xml:space="preserve"> </w:t>
      </w:r>
      <w:r w:rsidRPr="00B66198">
        <w:rPr>
          <w:rFonts w:cs="Arial" w:hint="cs"/>
          <w:sz w:val="20"/>
          <w:szCs w:val="20"/>
          <w:rtl/>
        </w:rPr>
        <w:t>ראשונה</w:t>
      </w:r>
      <w:r w:rsidRPr="00B66198">
        <w:rPr>
          <w:rFonts w:cs="Arial"/>
          <w:sz w:val="20"/>
          <w:szCs w:val="20"/>
          <w:rtl/>
        </w:rPr>
        <w:t xml:space="preserve"> - </w:t>
      </w:r>
      <w:r w:rsidRPr="00B66198">
        <w:rPr>
          <w:rFonts w:cs="Arial" w:hint="cs"/>
          <w:sz w:val="20"/>
          <w:szCs w:val="20"/>
          <w:rtl/>
        </w:rPr>
        <w:t>דיה</w:t>
      </w:r>
      <w:r w:rsidRPr="00B66198">
        <w:rPr>
          <w:rFonts w:cs="Arial"/>
          <w:sz w:val="20"/>
          <w:szCs w:val="20"/>
          <w:rtl/>
        </w:rPr>
        <w:t xml:space="preserve"> </w:t>
      </w:r>
      <w:r w:rsidRPr="00B66198">
        <w:rPr>
          <w:rFonts w:cs="Arial" w:hint="cs"/>
          <w:sz w:val="20"/>
          <w:szCs w:val="20"/>
          <w:rtl/>
        </w:rPr>
        <w:t>שעתה</w:t>
      </w:r>
      <w:r w:rsidRPr="00B66198">
        <w:rPr>
          <w:rFonts w:cs="Arial"/>
          <w:sz w:val="20"/>
          <w:szCs w:val="20"/>
          <w:rtl/>
        </w:rPr>
        <w:t xml:space="preserve">, </w:t>
      </w:r>
      <w:r w:rsidRPr="00B66198">
        <w:rPr>
          <w:rFonts w:cs="Arial" w:hint="cs"/>
          <w:sz w:val="20"/>
          <w:szCs w:val="20"/>
          <w:rtl/>
        </w:rPr>
        <w:t>שניה</w:t>
      </w:r>
      <w:r w:rsidRPr="00B66198">
        <w:rPr>
          <w:rFonts w:cs="Arial"/>
          <w:sz w:val="20"/>
          <w:szCs w:val="20"/>
          <w:rtl/>
        </w:rPr>
        <w:t xml:space="preserve"> - </w:t>
      </w:r>
      <w:r w:rsidRPr="00B66198">
        <w:rPr>
          <w:rFonts w:cs="Arial" w:hint="cs"/>
          <w:sz w:val="20"/>
          <w:szCs w:val="20"/>
          <w:rtl/>
        </w:rPr>
        <w:t>דיה</w:t>
      </w:r>
      <w:r w:rsidRPr="00B66198">
        <w:rPr>
          <w:rFonts w:cs="Arial"/>
          <w:sz w:val="20"/>
          <w:szCs w:val="20"/>
          <w:rtl/>
        </w:rPr>
        <w:t xml:space="preserve"> </w:t>
      </w:r>
      <w:r w:rsidRPr="00B66198">
        <w:rPr>
          <w:rFonts w:cs="Arial" w:hint="cs"/>
          <w:sz w:val="20"/>
          <w:szCs w:val="20"/>
          <w:rtl/>
        </w:rPr>
        <w:t>שעתה</w:t>
      </w:r>
      <w:r w:rsidRPr="00B66198">
        <w:rPr>
          <w:rFonts w:cs="Arial"/>
          <w:sz w:val="20"/>
          <w:szCs w:val="20"/>
          <w:rtl/>
        </w:rPr>
        <w:t xml:space="preserve">, </w:t>
      </w:r>
      <w:r w:rsidRPr="00B66198">
        <w:rPr>
          <w:rFonts w:cs="Arial" w:hint="cs"/>
          <w:sz w:val="20"/>
          <w:szCs w:val="20"/>
          <w:rtl/>
        </w:rPr>
        <w:t>שלישית</w:t>
      </w:r>
      <w:r w:rsidRPr="00B66198">
        <w:rPr>
          <w:rFonts w:cs="Arial"/>
          <w:sz w:val="20"/>
          <w:szCs w:val="20"/>
          <w:rtl/>
        </w:rPr>
        <w:t xml:space="preserve"> - </w:t>
      </w:r>
      <w:r w:rsidRPr="00B66198">
        <w:rPr>
          <w:rFonts w:cs="Arial" w:hint="cs"/>
          <w:sz w:val="20"/>
          <w:szCs w:val="20"/>
          <w:rtl/>
        </w:rPr>
        <w:t>הרי</w:t>
      </w:r>
      <w:r w:rsidRPr="00B66198">
        <w:rPr>
          <w:rFonts w:cs="Arial"/>
          <w:sz w:val="20"/>
          <w:szCs w:val="20"/>
          <w:rtl/>
        </w:rPr>
        <w:t xml:space="preserve"> </w:t>
      </w:r>
      <w:r w:rsidRPr="00B66198">
        <w:rPr>
          <w:rFonts w:cs="Arial" w:hint="cs"/>
          <w:sz w:val="20"/>
          <w:szCs w:val="20"/>
          <w:rtl/>
        </w:rPr>
        <w:t>היא</w:t>
      </w:r>
      <w:r w:rsidRPr="00B66198">
        <w:rPr>
          <w:rFonts w:cs="Arial"/>
          <w:sz w:val="20"/>
          <w:szCs w:val="20"/>
          <w:rtl/>
        </w:rPr>
        <w:t xml:space="preserve"> </w:t>
      </w:r>
      <w:r w:rsidRPr="00B66198">
        <w:rPr>
          <w:rFonts w:cs="Arial" w:hint="cs"/>
          <w:sz w:val="20"/>
          <w:szCs w:val="20"/>
          <w:rtl/>
        </w:rPr>
        <w:t>ככל</w:t>
      </w:r>
      <w:r w:rsidRPr="00B66198">
        <w:rPr>
          <w:rFonts w:cs="Arial"/>
          <w:sz w:val="20"/>
          <w:szCs w:val="20"/>
          <w:rtl/>
        </w:rPr>
        <w:t xml:space="preserve"> </w:t>
      </w:r>
      <w:r w:rsidRPr="00B66198">
        <w:rPr>
          <w:rFonts w:cs="Arial" w:hint="cs"/>
          <w:sz w:val="20"/>
          <w:szCs w:val="20"/>
          <w:rtl/>
        </w:rPr>
        <w:t>הנשים</w:t>
      </w:r>
      <w:r w:rsidRPr="00B66198">
        <w:rPr>
          <w:rFonts w:cs="Arial"/>
          <w:sz w:val="20"/>
          <w:szCs w:val="20"/>
          <w:rtl/>
        </w:rPr>
        <w:t xml:space="preserve">, </w:t>
      </w:r>
      <w:r w:rsidRPr="00B66198">
        <w:rPr>
          <w:rFonts w:cs="Arial" w:hint="cs"/>
          <w:sz w:val="20"/>
          <w:szCs w:val="20"/>
          <w:rtl/>
        </w:rPr>
        <w:t>ומטמאה</w:t>
      </w:r>
      <w:r w:rsidRPr="00B66198">
        <w:rPr>
          <w:rFonts w:cs="Arial"/>
          <w:sz w:val="20"/>
          <w:szCs w:val="20"/>
          <w:rtl/>
        </w:rPr>
        <w:t xml:space="preserve"> </w:t>
      </w:r>
      <w:r w:rsidRPr="00B66198">
        <w:rPr>
          <w:rFonts w:cs="Arial" w:hint="cs"/>
          <w:sz w:val="20"/>
          <w:szCs w:val="20"/>
          <w:rtl/>
        </w:rPr>
        <w:t>מעת</w:t>
      </w:r>
      <w:r w:rsidRPr="00B66198">
        <w:rPr>
          <w:rFonts w:cs="Arial"/>
          <w:sz w:val="20"/>
          <w:szCs w:val="20"/>
          <w:rtl/>
        </w:rPr>
        <w:t xml:space="preserve"> </w:t>
      </w:r>
      <w:r w:rsidRPr="00B66198">
        <w:rPr>
          <w:rFonts w:cs="Arial" w:hint="cs"/>
          <w:sz w:val="20"/>
          <w:szCs w:val="20"/>
          <w:rtl/>
        </w:rPr>
        <w:t>לעת</w:t>
      </w:r>
      <w:r w:rsidRPr="00B66198">
        <w:rPr>
          <w:rFonts w:cs="Arial"/>
          <w:sz w:val="20"/>
          <w:szCs w:val="20"/>
          <w:rtl/>
        </w:rPr>
        <w:t xml:space="preserve"> </w:t>
      </w:r>
      <w:r w:rsidRPr="00B66198">
        <w:rPr>
          <w:rFonts w:cs="Arial" w:hint="cs"/>
          <w:sz w:val="20"/>
          <w:szCs w:val="20"/>
          <w:rtl/>
        </w:rPr>
        <w:t>ומפקידה</w:t>
      </w:r>
      <w:r w:rsidRPr="00B66198">
        <w:rPr>
          <w:rFonts w:cs="Arial"/>
          <w:sz w:val="20"/>
          <w:szCs w:val="20"/>
          <w:rtl/>
        </w:rPr>
        <w:t xml:space="preserve"> </w:t>
      </w:r>
      <w:r w:rsidRPr="00B66198">
        <w:rPr>
          <w:rFonts w:cs="Arial" w:hint="cs"/>
          <w:sz w:val="20"/>
          <w:szCs w:val="20"/>
          <w:rtl/>
        </w:rPr>
        <w:t>לפקידה</w:t>
      </w:r>
      <w:r>
        <w:rPr>
          <w:rFonts w:cs="Arial"/>
          <w:sz w:val="20"/>
          <w:szCs w:val="20"/>
          <w:rtl/>
        </w:rPr>
        <w:t>".</w:t>
      </w:r>
      <w:r>
        <w:rPr>
          <w:sz w:val="20"/>
          <w:szCs w:val="20"/>
          <w:rtl/>
        </w:rPr>
        <w:br/>
      </w:r>
      <w:r w:rsidRPr="00B66198">
        <w:rPr>
          <w:rFonts w:hint="cs"/>
          <w:b/>
          <w:bCs/>
          <w:sz w:val="20"/>
          <w:szCs w:val="20"/>
          <w:rtl/>
        </w:rPr>
        <w:t>טעם הדין</w:t>
      </w:r>
      <w:r>
        <w:rPr>
          <w:rFonts w:hint="cs"/>
          <w:sz w:val="20"/>
          <w:szCs w:val="20"/>
          <w:rtl/>
        </w:rPr>
        <w:t xml:space="preserve"> </w:t>
      </w:r>
      <w:r>
        <w:rPr>
          <w:sz w:val="20"/>
          <w:szCs w:val="20"/>
          <w:rtl/>
        </w:rPr>
        <w:t>–</w:t>
      </w:r>
      <w:r>
        <w:rPr>
          <w:rFonts w:hint="cs"/>
          <w:sz w:val="20"/>
          <w:szCs w:val="20"/>
          <w:rtl/>
        </w:rPr>
        <w:t xml:space="preserve"> קטנה הרי היא מסולקת דמים עד שתתחזק בדמים.</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sidRPr="00BC3410">
        <w:rPr>
          <w:rFonts w:hint="cs"/>
          <w:sz w:val="18"/>
          <w:szCs w:val="18"/>
          <w:rtl/>
        </w:rPr>
        <w:t xml:space="preserve">(ע"פ </w:t>
      </w:r>
      <w:r w:rsidRPr="00651FF4">
        <w:rPr>
          <w:rFonts w:hint="cs"/>
          <w:b/>
          <w:bCs/>
          <w:sz w:val="18"/>
          <w:szCs w:val="18"/>
          <w:rtl/>
        </w:rPr>
        <w:t>הרשב"א</w:t>
      </w:r>
      <w:r w:rsidRPr="00BC3410">
        <w:rPr>
          <w:rFonts w:hint="cs"/>
          <w:sz w:val="18"/>
          <w:szCs w:val="18"/>
          <w:rtl/>
        </w:rPr>
        <w:t>)</w:t>
      </w:r>
      <w:r>
        <w:rPr>
          <w:rFonts w:hint="cs"/>
          <w:sz w:val="20"/>
          <w:szCs w:val="20"/>
          <w:rtl/>
        </w:rPr>
        <w:t xml:space="preserve"> </w:t>
      </w:r>
      <w:r>
        <w:rPr>
          <w:sz w:val="20"/>
          <w:szCs w:val="20"/>
          <w:rtl/>
        </w:rPr>
        <w:t>–</w:t>
      </w:r>
      <w:r>
        <w:rPr>
          <w:rFonts w:hint="cs"/>
          <w:sz w:val="20"/>
          <w:szCs w:val="20"/>
          <w:rtl/>
        </w:rPr>
        <w:t xml:space="preserve"> "</w:t>
      </w:r>
      <w:r w:rsidRPr="00BC3410">
        <w:rPr>
          <w:rFonts w:cs="Arial" w:hint="cs"/>
          <w:sz w:val="20"/>
          <w:szCs w:val="20"/>
          <w:rtl/>
        </w:rPr>
        <w:t>במה</w:t>
      </w:r>
      <w:r w:rsidRPr="00BC3410">
        <w:rPr>
          <w:rFonts w:cs="Arial"/>
          <w:sz w:val="20"/>
          <w:szCs w:val="20"/>
          <w:rtl/>
        </w:rPr>
        <w:t xml:space="preserve"> </w:t>
      </w:r>
      <w:r w:rsidRPr="00BC3410">
        <w:rPr>
          <w:rFonts w:cs="Arial" w:hint="cs"/>
          <w:sz w:val="20"/>
          <w:szCs w:val="20"/>
          <w:rtl/>
        </w:rPr>
        <w:t>דברים</w:t>
      </w:r>
      <w:r w:rsidRPr="00BC3410">
        <w:rPr>
          <w:rFonts w:cs="Arial"/>
          <w:sz w:val="20"/>
          <w:szCs w:val="20"/>
          <w:rtl/>
        </w:rPr>
        <w:t xml:space="preserve"> </w:t>
      </w:r>
      <w:r w:rsidRPr="00BC3410">
        <w:rPr>
          <w:rFonts w:cs="Arial" w:hint="cs"/>
          <w:sz w:val="20"/>
          <w:szCs w:val="20"/>
          <w:rtl/>
        </w:rPr>
        <w:t>אמורים</w:t>
      </w:r>
      <w:r w:rsidRPr="00BC3410">
        <w:rPr>
          <w:rFonts w:cs="Arial"/>
          <w:sz w:val="20"/>
          <w:szCs w:val="20"/>
          <w:rtl/>
        </w:rPr>
        <w:t xml:space="preserve">, </w:t>
      </w:r>
      <w:r w:rsidRPr="00BC3410">
        <w:rPr>
          <w:rFonts w:cs="Arial" w:hint="cs"/>
          <w:sz w:val="20"/>
          <w:szCs w:val="20"/>
          <w:rtl/>
        </w:rPr>
        <w:t>בגדולה</w:t>
      </w:r>
      <w:r w:rsidRPr="00BC3410">
        <w:rPr>
          <w:rFonts w:cs="Arial"/>
          <w:sz w:val="20"/>
          <w:szCs w:val="20"/>
          <w:rtl/>
        </w:rPr>
        <w:t xml:space="preserve">, </w:t>
      </w:r>
      <w:r w:rsidRPr="00BC3410">
        <w:rPr>
          <w:rFonts w:cs="Arial" w:hint="cs"/>
          <w:sz w:val="20"/>
          <w:szCs w:val="20"/>
          <w:rtl/>
        </w:rPr>
        <w:t>אבל</w:t>
      </w:r>
      <w:r w:rsidRPr="00BC3410">
        <w:rPr>
          <w:rFonts w:cs="Arial"/>
          <w:sz w:val="20"/>
          <w:szCs w:val="20"/>
          <w:rtl/>
        </w:rPr>
        <w:t xml:space="preserve"> </w:t>
      </w:r>
      <w:r w:rsidRPr="00BC3410">
        <w:rPr>
          <w:rFonts w:cs="Arial" w:hint="cs"/>
          <w:sz w:val="20"/>
          <w:szCs w:val="20"/>
          <w:rtl/>
        </w:rPr>
        <w:t>בקטנה</w:t>
      </w:r>
      <w:r w:rsidRPr="00BC3410">
        <w:rPr>
          <w:rFonts w:cs="Arial"/>
          <w:sz w:val="20"/>
          <w:szCs w:val="20"/>
          <w:rtl/>
        </w:rPr>
        <w:t xml:space="preserve"> </w:t>
      </w:r>
      <w:r w:rsidRPr="00BC3410">
        <w:rPr>
          <w:rFonts w:cs="Arial" w:hint="cs"/>
          <w:sz w:val="20"/>
          <w:szCs w:val="20"/>
          <w:rtl/>
        </w:rPr>
        <w:t>שלא</w:t>
      </w:r>
      <w:r w:rsidRPr="00BC3410">
        <w:rPr>
          <w:rFonts w:cs="Arial"/>
          <w:sz w:val="20"/>
          <w:szCs w:val="20"/>
          <w:rtl/>
        </w:rPr>
        <w:t xml:space="preserve"> </w:t>
      </w:r>
      <w:r w:rsidRPr="00BC3410">
        <w:rPr>
          <w:rFonts w:cs="Arial" w:hint="cs"/>
          <w:sz w:val="20"/>
          <w:szCs w:val="20"/>
          <w:rtl/>
        </w:rPr>
        <w:t>הגיעה</w:t>
      </w:r>
      <w:r w:rsidRPr="00BC3410">
        <w:rPr>
          <w:rFonts w:cs="Arial"/>
          <w:sz w:val="20"/>
          <w:szCs w:val="20"/>
          <w:rtl/>
        </w:rPr>
        <w:t xml:space="preserve"> </w:t>
      </w:r>
      <w:r w:rsidRPr="00BC3410">
        <w:rPr>
          <w:rFonts w:cs="Arial" w:hint="cs"/>
          <w:sz w:val="20"/>
          <w:szCs w:val="20"/>
          <w:rtl/>
        </w:rPr>
        <w:t>לימי</w:t>
      </w:r>
      <w:r w:rsidRPr="00BC3410">
        <w:rPr>
          <w:rFonts w:cs="Arial"/>
          <w:sz w:val="20"/>
          <w:szCs w:val="20"/>
          <w:rtl/>
        </w:rPr>
        <w:t xml:space="preserve"> </w:t>
      </w:r>
      <w:r w:rsidRPr="00BC3410">
        <w:rPr>
          <w:rFonts w:cs="Arial" w:hint="cs"/>
          <w:sz w:val="20"/>
          <w:szCs w:val="20"/>
          <w:rtl/>
        </w:rPr>
        <w:t>הנעורים</w:t>
      </w:r>
      <w:r w:rsidRPr="00BC3410">
        <w:rPr>
          <w:rFonts w:cs="Arial"/>
          <w:sz w:val="20"/>
          <w:szCs w:val="20"/>
          <w:rtl/>
        </w:rPr>
        <w:t xml:space="preserve">, </w:t>
      </w:r>
      <w:r w:rsidRPr="00BC3410">
        <w:rPr>
          <w:rFonts w:cs="Arial" w:hint="cs"/>
          <w:sz w:val="20"/>
          <w:szCs w:val="20"/>
          <w:rtl/>
        </w:rPr>
        <w:t>ולא</w:t>
      </w:r>
      <w:r w:rsidRPr="00BC3410">
        <w:rPr>
          <w:rFonts w:cs="Arial"/>
          <w:sz w:val="20"/>
          <w:szCs w:val="20"/>
          <w:rtl/>
        </w:rPr>
        <w:t xml:space="preserve"> </w:t>
      </w:r>
      <w:r w:rsidRPr="00BC3410">
        <w:rPr>
          <w:rFonts w:cs="Arial" w:hint="cs"/>
          <w:sz w:val="20"/>
          <w:szCs w:val="20"/>
          <w:rtl/>
        </w:rPr>
        <w:t>הביאה</w:t>
      </w:r>
      <w:r w:rsidRPr="00BC3410">
        <w:rPr>
          <w:rFonts w:cs="Arial"/>
          <w:sz w:val="20"/>
          <w:szCs w:val="20"/>
          <w:rtl/>
        </w:rPr>
        <w:t xml:space="preserve"> </w:t>
      </w:r>
      <w:r w:rsidRPr="00BC3410">
        <w:rPr>
          <w:rFonts w:cs="Arial" w:hint="cs"/>
          <w:sz w:val="20"/>
          <w:szCs w:val="20"/>
          <w:rtl/>
        </w:rPr>
        <w:t>סימנים</w:t>
      </w:r>
      <w:r w:rsidRPr="00BC3410">
        <w:rPr>
          <w:rFonts w:cs="Arial"/>
          <w:sz w:val="20"/>
          <w:szCs w:val="20"/>
          <w:rtl/>
        </w:rPr>
        <w:t xml:space="preserve">, </w:t>
      </w:r>
      <w:r w:rsidRPr="00BC3410">
        <w:rPr>
          <w:rFonts w:cs="Arial" w:hint="cs"/>
          <w:sz w:val="20"/>
          <w:szCs w:val="20"/>
          <w:rtl/>
        </w:rPr>
        <w:t>אין</w:t>
      </w:r>
      <w:r w:rsidRPr="00BC3410">
        <w:rPr>
          <w:rFonts w:cs="Arial"/>
          <w:sz w:val="20"/>
          <w:szCs w:val="20"/>
          <w:rtl/>
        </w:rPr>
        <w:t xml:space="preserve"> </w:t>
      </w:r>
      <w:r w:rsidRPr="00BC3410">
        <w:rPr>
          <w:rFonts w:cs="Arial" w:hint="cs"/>
          <w:sz w:val="20"/>
          <w:szCs w:val="20"/>
          <w:rtl/>
        </w:rPr>
        <w:t>צריך</w:t>
      </w:r>
      <w:r w:rsidRPr="00BC3410">
        <w:rPr>
          <w:rFonts w:cs="Arial"/>
          <w:sz w:val="20"/>
          <w:szCs w:val="20"/>
          <w:rtl/>
        </w:rPr>
        <w:t xml:space="preserve"> </w:t>
      </w:r>
      <w:r w:rsidRPr="00BC3410">
        <w:rPr>
          <w:rFonts w:cs="Arial" w:hint="cs"/>
          <w:sz w:val="20"/>
          <w:szCs w:val="20"/>
          <w:rtl/>
        </w:rPr>
        <w:t>לפרוש</w:t>
      </w:r>
      <w:r w:rsidRPr="00BC3410">
        <w:rPr>
          <w:rFonts w:cs="Arial"/>
          <w:sz w:val="20"/>
          <w:szCs w:val="20"/>
          <w:rtl/>
        </w:rPr>
        <w:t xml:space="preserve"> </w:t>
      </w:r>
      <w:r w:rsidRPr="00BC3410">
        <w:rPr>
          <w:rFonts w:cs="Arial" w:hint="cs"/>
          <w:sz w:val="20"/>
          <w:szCs w:val="20"/>
          <w:rtl/>
        </w:rPr>
        <w:t>סמוך</w:t>
      </w:r>
      <w:r w:rsidRPr="00BC3410">
        <w:rPr>
          <w:rFonts w:cs="Arial"/>
          <w:sz w:val="20"/>
          <w:szCs w:val="20"/>
          <w:rtl/>
        </w:rPr>
        <w:t xml:space="preserve"> </w:t>
      </w:r>
      <w:r w:rsidRPr="00BC3410">
        <w:rPr>
          <w:rFonts w:cs="Arial" w:hint="cs"/>
          <w:sz w:val="20"/>
          <w:szCs w:val="20"/>
          <w:rtl/>
        </w:rPr>
        <w:t>לו</w:t>
      </w:r>
      <w:r>
        <w:rPr>
          <w:rFonts w:cs="Arial" w:hint="cs"/>
          <w:sz w:val="20"/>
          <w:szCs w:val="20"/>
          <w:rtl/>
        </w:rPr>
        <w:t>ו</w:t>
      </w:r>
      <w:r w:rsidRPr="00BC3410">
        <w:rPr>
          <w:rFonts w:cs="Arial" w:hint="cs"/>
          <w:sz w:val="20"/>
          <w:szCs w:val="20"/>
          <w:rtl/>
        </w:rPr>
        <w:t>סתה</w:t>
      </w:r>
      <w:r w:rsidRPr="00BC3410">
        <w:rPr>
          <w:rFonts w:cs="Arial"/>
          <w:sz w:val="20"/>
          <w:szCs w:val="20"/>
          <w:rtl/>
        </w:rPr>
        <w:t xml:space="preserve"> </w:t>
      </w:r>
      <w:r w:rsidRPr="00BC3410">
        <w:rPr>
          <w:rFonts w:cs="Arial" w:hint="cs"/>
          <w:sz w:val="20"/>
          <w:szCs w:val="20"/>
          <w:rtl/>
        </w:rPr>
        <w:t>כל</w:t>
      </w:r>
      <w:r w:rsidRPr="00BC3410">
        <w:rPr>
          <w:rFonts w:cs="Arial"/>
          <w:sz w:val="20"/>
          <w:szCs w:val="20"/>
          <w:rtl/>
        </w:rPr>
        <w:t xml:space="preserve"> </w:t>
      </w:r>
      <w:r w:rsidRPr="00BC3410">
        <w:rPr>
          <w:rFonts w:cs="Arial" w:hint="cs"/>
          <w:sz w:val="20"/>
          <w:szCs w:val="20"/>
          <w:rtl/>
        </w:rPr>
        <w:t>זמן</w:t>
      </w:r>
      <w:r w:rsidRPr="00BC3410">
        <w:rPr>
          <w:rFonts w:cs="Arial"/>
          <w:sz w:val="20"/>
          <w:szCs w:val="20"/>
          <w:rtl/>
        </w:rPr>
        <w:t xml:space="preserve"> </w:t>
      </w:r>
      <w:r w:rsidRPr="00BC3410">
        <w:rPr>
          <w:rFonts w:cs="Arial" w:hint="cs"/>
          <w:sz w:val="20"/>
          <w:szCs w:val="20"/>
          <w:rtl/>
        </w:rPr>
        <w:t>שלא</w:t>
      </w:r>
      <w:r w:rsidRPr="00BC3410">
        <w:rPr>
          <w:rFonts w:cs="Arial"/>
          <w:sz w:val="20"/>
          <w:szCs w:val="20"/>
          <w:rtl/>
        </w:rPr>
        <w:t xml:space="preserve"> </w:t>
      </w:r>
      <w:r w:rsidRPr="00BC3410">
        <w:rPr>
          <w:rFonts w:cs="Arial" w:hint="cs"/>
          <w:sz w:val="20"/>
          <w:szCs w:val="20"/>
          <w:rtl/>
        </w:rPr>
        <w:t>קבעתו</w:t>
      </w:r>
      <w:r w:rsidRPr="00BC3410">
        <w:rPr>
          <w:rFonts w:cs="Arial"/>
          <w:sz w:val="20"/>
          <w:szCs w:val="20"/>
          <w:rtl/>
        </w:rPr>
        <w:t xml:space="preserve"> </w:t>
      </w:r>
      <w:r w:rsidRPr="00BC3410">
        <w:rPr>
          <w:rFonts w:cs="Arial" w:hint="cs"/>
          <w:sz w:val="20"/>
          <w:szCs w:val="20"/>
          <w:rtl/>
        </w:rPr>
        <w:t>ג</w:t>
      </w:r>
      <w:r w:rsidRPr="00BC3410">
        <w:rPr>
          <w:rFonts w:cs="Arial"/>
          <w:sz w:val="20"/>
          <w:szCs w:val="20"/>
          <w:rtl/>
        </w:rPr>
        <w:t xml:space="preserve">' </w:t>
      </w:r>
      <w:r w:rsidRPr="00BC3410">
        <w:rPr>
          <w:rFonts w:cs="Arial" w:hint="cs"/>
          <w:sz w:val="20"/>
          <w:szCs w:val="20"/>
          <w:rtl/>
        </w:rPr>
        <w:t>פעמים</w:t>
      </w:r>
      <w:r w:rsidRPr="00BC3410">
        <w:rPr>
          <w:rFonts w:cs="Arial"/>
          <w:sz w:val="20"/>
          <w:szCs w:val="20"/>
          <w:rtl/>
        </w:rPr>
        <w:t xml:space="preserve">. </w:t>
      </w:r>
      <w:r w:rsidRPr="00BC3410">
        <w:rPr>
          <w:rFonts w:cs="Arial" w:hint="cs"/>
          <w:sz w:val="20"/>
          <w:szCs w:val="20"/>
          <w:rtl/>
        </w:rPr>
        <w:t>והוא</w:t>
      </w:r>
      <w:r w:rsidRPr="00BC3410">
        <w:rPr>
          <w:rFonts w:cs="Arial"/>
          <w:sz w:val="20"/>
          <w:szCs w:val="20"/>
          <w:rtl/>
        </w:rPr>
        <w:t xml:space="preserve"> </w:t>
      </w:r>
      <w:r w:rsidRPr="00BC3410">
        <w:rPr>
          <w:rFonts w:cs="Arial" w:hint="cs"/>
          <w:sz w:val="20"/>
          <w:szCs w:val="20"/>
          <w:rtl/>
        </w:rPr>
        <w:t>הדין</w:t>
      </w:r>
      <w:r w:rsidRPr="00BC3410">
        <w:rPr>
          <w:rFonts w:cs="Arial"/>
          <w:sz w:val="20"/>
          <w:szCs w:val="20"/>
          <w:rtl/>
        </w:rPr>
        <w:t xml:space="preserve"> </w:t>
      </w:r>
      <w:r w:rsidRPr="00BC3410">
        <w:rPr>
          <w:rFonts w:cs="Arial" w:hint="cs"/>
          <w:sz w:val="20"/>
          <w:szCs w:val="20"/>
          <w:rtl/>
        </w:rPr>
        <w:t>לזקנה</w:t>
      </w:r>
      <w:r>
        <w:rPr>
          <w:rStyle w:val="a5"/>
          <w:rFonts w:cs="Arial"/>
          <w:sz w:val="20"/>
          <w:szCs w:val="20"/>
          <w:rtl/>
        </w:rPr>
        <w:footnoteReference w:id="33"/>
      </w:r>
      <w:r w:rsidRPr="00BC3410">
        <w:rPr>
          <w:rFonts w:cs="Arial"/>
          <w:sz w:val="20"/>
          <w:szCs w:val="20"/>
          <w:rtl/>
        </w:rPr>
        <w:t xml:space="preserve"> </w:t>
      </w:r>
      <w:r w:rsidRPr="00BC3410">
        <w:rPr>
          <w:rFonts w:cs="Arial" w:hint="cs"/>
          <w:sz w:val="20"/>
          <w:szCs w:val="20"/>
          <w:rtl/>
        </w:rPr>
        <w:t>שנסתלקו</w:t>
      </w:r>
      <w:r w:rsidRPr="00BC3410">
        <w:rPr>
          <w:rFonts w:cs="Arial"/>
          <w:sz w:val="20"/>
          <w:szCs w:val="20"/>
          <w:rtl/>
        </w:rPr>
        <w:t xml:space="preserve"> </w:t>
      </w:r>
      <w:r w:rsidRPr="00BC3410">
        <w:rPr>
          <w:rFonts w:cs="Arial" w:hint="cs"/>
          <w:sz w:val="20"/>
          <w:szCs w:val="20"/>
          <w:rtl/>
        </w:rPr>
        <w:t>דמיה</w:t>
      </w:r>
      <w:r>
        <w:rPr>
          <w:rFonts w:cs="Arial"/>
          <w:sz w:val="20"/>
          <w:szCs w:val="20"/>
          <w:rtl/>
        </w:rPr>
        <w:t>".</w:t>
      </w:r>
      <w:r>
        <w:rPr>
          <w:rFonts w:hint="cs"/>
          <w:sz w:val="20"/>
          <w:szCs w:val="20"/>
          <w:rtl/>
        </w:rPr>
        <w:br/>
      </w:r>
      <w:r>
        <w:rPr>
          <w:rFonts w:hint="cs"/>
          <w:sz w:val="20"/>
          <w:szCs w:val="20"/>
          <w:rtl/>
        </w:rPr>
        <w:br/>
      </w:r>
      <w:r>
        <w:rPr>
          <w:rFonts w:hint="cs"/>
          <w:sz w:val="20"/>
          <w:szCs w:val="20"/>
          <w:u w:val="single"/>
          <w:rtl/>
        </w:rPr>
        <w:t>הסבר</w:t>
      </w:r>
      <w:r>
        <w:rPr>
          <w:sz w:val="20"/>
          <w:szCs w:val="20"/>
          <w:rtl/>
        </w:rPr>
        <w:br/>
      </w:r>
      <w:r w:rsidRPr="00176DE4">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הוא הדין שאפילו בשעת וסתה אינו צריך לפרוש.</w:t>
      </w:r>
      <w:r>
        <w:rPr>
          <w:rFonts w:hint="cs"/>
          <w:sz w:val="20"/>
          <w:szCs w:val="20"/>
          <w:rtl/>
        </w:rPr>
        <w:br/>
      </w:r>
      <w:r w:rsidRPr="00FB1E4F">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ימי הנעורים הם גיל יב' שנה ויום אחד.</w:t>
      </w:r>
      <w:r>
        <w:rPr>
          <w:sz w:val="20"/>
          <w:szCs w:val="20"/>
          <w:rtl/>
        </w:rPr>
        <w:br/>
      </w:r>
      <w:r w:rsidRPr="00FB1E4F">
        <w:rPr>
          <w:rFonts w:hint="cs"/>
          <w:b/>
          <w:bCs/>
          <w:sz w:val="20"/>
          <w:szCs w:val="20"/>
          <w:rtl/>
        </w:rPr>
        <w:t>ט"ז וש"ך</w:t>
      </w:r>
      <w:r>
        <w:rPr>
          <w:rFonts w:hint="cs"/>
          <w:sz w:val="20"/>
          <w:szCs w:val="20"/>
          <w:rtl/>
        </w:rPr>
        <w:t xml:space="preserve"> </w:t>
      </w:r>
      <w:r>
        <w:rPr>
          <w:sz w:val="20"/>
          <w:szCs w:val="20"/>
          <w:rtl/>
        </w:rPr>
        <w:t>–</w:t>
      </w:r>
      <w:r>
        <w:rPr>
          <w:rFonts w:hint="cs"/>
          <w:sz w:val="20"/>
          <w:szCs w:val="20"/>
          <w:rtl/>
        </w:rPr>
        <w:t xml:space="preserve"> כדי לצאת מדין קטנה צריכים להתקיים שני תנאים: א. יב' שנה. ב. סימנים.</w:t>
      </w:r>
    </w:p>
    <w:p w:rsidR="00620060" w:rsidRDefault="00620060" w:rsidP="00620060">
      <w:pPr>
        <w:rPr>
          <w:sz w:val="20"/>
          <w:szCs w:val="20"/>
          <w:u w:val="single"/>
          <w:rtl/>
        </w:rPr>
      </w:pPr>
      <w:r>
        <w:rPr>
          <w:rFonts w:hint="cs"/>
          <w:sz w:val="20"/>
          <w:szCs w:val="20"/>
          <w:u w:val="single"/>
          <w:rtl/>
        </w:rPr>
        <w:t>ראתה ג' פעמים בצורה לא מסודרת (פת"ש)</w:t>
      </w:r>
      <w:r>
        <w:rPr>
          <w:rFonts w:hint="cs"/>
          <w:sz w:val="20"/>
          <w:szCs w:val="20"/>
          <w:u w:val="single"/>
          <w:rtl/>
        </w:rPr>
        <w:br/>
      </w:r>
      <w:r w:rsidRPr="001D03CD">
        <w:rPr>
          <w:rFonts w:hint="cs"/>
          <w:sz w:val="20"/>
          <w:szCs w:val="20"/>
          <w:rtl/>
        </w:rPr>
        <w:t xml:space="preserve">מה דין </w:t>
      </w:r>
      <w:r>
        <w:rPr>
          <w:rFonts w:hint="cs"/>
          <w:sz w:val="20"/>
          <w:szCs w:val="20"/>
          <w:rtl/>
        </w:rPr>
        <w:t>קטנ</w:t>
      </w:r>
      <w:r w:rsidRPr="001D03CD">
        <w:rPr>
          <w:rFonts w:hint="cs"/>
          <w:sz w:val="20"/>
          <w:szCs w:val="20"/>
          <w:rtl/>
        </w:rPr>
        <w:t>ה שראתה ג' פעמים אך לא קבעה ווסת בכך?</w:t>
      </w:r>
      <w:r w:rsidRPr="001D03CD">
        <w:rPr>
          <w:rFonts w:hint="cs"/>
          <w:sz w:val="20"/>
          <w:szCs w:val="20"/>
          <w:rtl/>
        </w:rPr>
        <w:br/>
        <w:t xml:space="preserve">א. </w:t>
      </w:r>
      <w:r w:rsidRPr="001D03CD">
        <w:rPr>
          <w:rFonts w:hint="cs"/>
          <w:b/>
          <w:bCs/>
          <w:sz w:val="20"/>
          <w:szCs w:val="20"/>
          <w:rtl/>
        </w:rPr>
        <w:t>ט"ז</w:t>
      </w:r>
      <w:r w:rsidRPr="001D03CD">
        <w:rPr>
          <w:rFonts w:hint="cs"/>
          <w:sz w:val="20"/>
          <w:szCs w:val="20"/>
          <w:rtl/>
        </w:rPr>
        <w:t xml:space="preserve"> </w:t>
      </w:r>
      <w:r w:rsidRPr="001D03CD">
        <w:rPr>
          <w:sz w:val="20"/>
          <w:szCs w:val="20"/>
          <w:rtl/>
        </w:rPr>
        <w:t>–</w:t>
      </w:r>
      <w:r w:rsidRPr="001D03CD">
        <w:rPr>
          <w:rFonts w:hint="cs"/>
          <w:sz w:val="20"/>
          <w:szCs w:val="20"/>
          <w:rtl/>
        </w:rPr>
        <w:t xml:space="preserve"> </w:t>
      </w:r>
      <w:r>
        <w:rPr>
          <w:rFonts w:hint="cs"/>
          <w:sz w:val="20"/>
          <w:szCs w:val="20"/>
          <w:rtl/>
        </w:rPr>
        <w:t>פורש</w:t>
      </w:r>
      <w:r w:rsidRPr="001D03CD">
        <w:rPr>
          <w:rFonts w:hint="cs"/>
          <w:sz w:val="20"/>
          <w:szCs w:val="20"/>
          <w:rtl/>
        </w:rPr>
        <w:t>.</w:t>
      </w:r>
      <w:r w:rsidRPr="001D03CD">
        <w:rPr>
          <w:sz w:val="20"/>
          <w:szCs w:val="20"/>
          <w:rtl/>
        </w:rPr>
        <w:br/>
      </w:r>
      <w:r w:rsidRPr="001D03CD">
        <w:rPr>
          <w:rFonts w:hint="cs"/>
          <w:sz w:val="20"/>
          <w:szCs w:val="20"/>
          <w:rtl/>
        </w:rPr>
        <w:t xml:space="preserve">ב. </w:t>
      </w:r>
      <w:r w:rsidRPr="001D03CD">
        <w:rPr>
          <w:rFonts w:hint="cs"/>
          <w:b/>
          <w:bCs/>
          <w:sz w:val="20"/>
          <w:szCs w:val="20"/>
          <w:rtl/>
        </w:rPr>
        <w:t>פת"ש</w:t>
      </w:r>
      <w:r w:rsidRPr="001D03CD">
        <w:rPr>
          <w:rFonts w:hint="cs"/>
          <w:sz w:val="20"/>
          <w:szCs w:val="20"/>
          <w:rtl/>
        </w:rPr>
        <w:t xml:space="preserve"> </w:t>
      </w:r>
      <w:r w:rsidRPr="001D03CD">
        <w:rPr>
          <w:sz w:val="20"/>
          <w:szCs w:val="20"/>
          <w:rtl/>
        </w:rPr>
        <w:t>–</w:t>
      </w:r>
      <w:r w:rsidRPr="001D03CD">
        <w:rPr>
          <w:rFonts w:hint="cs"/>
          <w:sz w:val="20"/>
          <w:szCs w:val="20"/>
          <w:rtl/>
        </w:rPr>
        <w:t xml:space="preserve"> </w:t>
      </w:r>
      <w:r>
        <w:rPr>
          <w:rFonts w:hint="cs"/>
          <w:sz w:val="20"/>
          <w:szCs w:val="20"/>
          <w:rtl/>
        </w:rPr>
        <w:t>אינו פורש</w:t>
      </w:r>
      <w:r w:rsidRPr="001D03CD">
        <w:rPr>
          <w:rFonts w:hint="cs"/>
          <w:sz w:val="20"/>
          <w:szCs w:val="20"/>
          <w:rtl/>
        </w:rPr>
        <w:t>.</w:t>
      </w:r>
    </w:p>
    <w:p w:rsidR="00620060" w:rsidRDefault="00620060" w:rsidP="00620060">
      <w:pPr>
        <w:rPr>
          <w:sz w:val="20"/>
          <w:szCs w:val="20"/>
          <w:u w:val="single"/>
          <w:rtl/>
        </w:rPr>
      </w:pPr>
      <w:r>
        <w:rPr>
          <w:rFonts w:hint="cs"/>
          <w:b/>
          <w:bCs/>
          <w:sz w:val="20"/>
          <w:szCs w:val="20"/>
          <w:rtl/>
        </w:rPr>
        <w:t>סיכום</w:t>
      </w:r>
      <w:r>
        <w:rPr>
          <w:b/>
          <w:bCs/>
          <w:sz w:val="20"/>
          <w:szCs w:val="20"/>
          <w:rtl/>
        </w:rPr>
        <w:br/>
      </w:r>
      <w:r>
        <w:rPr>
          <w:rFonts w:hint="cs"/>
          <w:sz w:val="20"/>
          <w:szCs w:val="20"/>
          <w:rtl/>
        </w:rPr>
        <w:t xml:space="preserve">1. </w:t>
      </w:r>
      <w:r w:rsidRPr="00A520FF">
        <w:rPr>
          <w:rFonts w:hint="cs"/>
          <w:b/>
          <w:bCs/>
          <w:sz w:val="20"/>
          <w:szCs w:val="20"/>
          <w:rtl/>
        </w:rPr>
        <w:t>גמרא</w:t>
      </w:r>
      <w:r>
        <w:rPr>
          <w:rFonts w:hint="cs"/>
          <w:sz w:val="20"/>
          <w:szCs w:val="20"/>
          <w:rtl/>
        </w:rPr>
        <w:t xml:space="preserve">. קטנה הרי היא מסולקת דמים. </w:t>
      </w:r>
      <w:r w:rsidRPr="00A520FF">
        <w:rPr>
          <w:rFonts w:hint="cs"/>
          <w:b/>
          <w:bCs/>
          <w:sz w:val="20"/>
          <w:szCs w:val="20"/>
          <w:rtl/>
        </w:rPr>
        <w:t>רשב"א ומחבר</w:t>
      </w:r>
      <w:r>
        <w:rPr>
          <w:rFonts w:hint="cs"/>
          <w:sz w:val="20"/>
          <w:szCs w:val="20"/>
          <w:rtl/>
        </w:rPr>
        <w:t>. אין צריך לפרוש מקטנה שלא קבעה וסת בג' פעמים.</w:t>
      </w:r>
      <w:r>
        <w:rPr>
          <w:rFonts w:hint="cs"/>
          <w:sz w:val="20"/>
          <w:szCs w:val="20"/>
          <w:u w:val="single"/>
          <w:rtl/>
        </w:rPr>
        <w:br/>
      </w:r>
      <w:r>
        <w:rPr>
          <w:rFonts w:hint="cs"/>
          <w:sz w:val="20"/>
          <w:szCs w:val="20"/>
          <w:rtl/>
        </w:rPr>
        <w:t xml:space="preserve">2. </w:t>
      </w:r>
      <w:r w:rsidRPr="00A520FF">
        <w:rPr>
          <w:rFonts w:hint="cs"/>
          <w:b/>
          <w:bCs/>
          <w:sz w:val="20"/>
          <w:szCs w:val="20"/>
          <w:rtl/>
        </w:rPr>
        <w:t>ט"ז</w:t>
      </w:r>
      <w:r w:rsidRPr="00A520FF">
        <w:rPr>
          <w:rFonts w:hint="cs"/>
          <w:sz w:val="20"/>
          <w:szCs w:val="20"/>
          <w:rtl/>
        </w:rPr>
        <w:t xml:space="preserve">. אם ראתה ג' פעמים חייב לפרוש. </w:t>
      </w:r>
      <w:r w:rsidRPr="00A520FF">
        <w:rPr>
          <w:rFonts w:hint="cs"/>
          <w:b/>
          <w:bCs/>
          <w:sz w:val="20"/>
          <w:szCs w:val="20"/>
          <w:rtl/>
        </w:rPr>
        <w:t>פת"ש</w:t>
      </w:r>
      <w:r w:rsidRPr="00A520FF">
        <w:rPr>
          <w:rFonts w:hint="cs"/>
          <w:sz w:val="20"/>
          <w:szCs w:val="20"/>
          <w:rtl/>
        </w:rPr>
        <w:t xml:space="preserve">. אפילו </w:t>
      </w:r>
      <w:r>
        <w:rPr>
          <w:rFonts w:hint="cs"/>
          <w:sz w:val="20"/>
          <w:szCs w:val="20"/>
          <w:rtl/>
        </w:rPr>
        <w:t xml:space="preserve">אם </w:t>
      </w:r>
      <w:r w:rsidRPr="00A520FF">
        <w:rPr>
          <w:rFonts w:hint="cs"/>
          <w:sz w:val="20"/>
          <w:szCs w:val="20"/>
          <w:rtl/>
        </w:rPr>
        <w:t>ראתה ג' פעמים, אם לא קבעה</w:t>
      </w:r>
      <w:r>
        <w:rPr>
          <w:rFonts w:hint="cs"/>
          <w:sz w:val="20"/>
          <w:szCs w:val="20"/>
          <w:rtl/>
        </w:rPr>
        <w:t xml:space="preserve"> ווסת</w:t>
      </w:r>
      <w:r w:rsidRPr="00A520FF">
        <w:rPr>
          <w:rFonts w:hint="cs"/>
          <w:sz w:val="20"/>
          <w:szCs w:val="20"/>
          <w:rtl/>
        </w:rPr>
        <w:t xml:space="preserve"> אינו פורש</w:t>
      </w:r>
      <w:r>
        <w:rPr>
          <w:rFonts w:hint="cs"/>
          <w:sz w:val="20"/>
          <w:szCs w:val="20"/>
          <w:rtl/>
        </w:rPr>
        <w:t>.</w:t>
      </w:r>
    </w:p>
    <w:p w:rsidR="00620060" w:rsidRPr="00877C54" w:rsidRDefault="00620060" w:rsidP="00620060">
      <w:pPr>
        <w:rPr>
          <w:rFonts w:asciiTheme="majorHAnsi" w:eastAsiaTheme="majorEastAsia" w:hAnsiTheme="majorHAnsi" w:cstheme="majorBidi"/>
          <w:b/>
          <w:bCs/>
          <w:color w:val="365F91" w:themeColor="accent1" w:themeShade="BF"/>
          <w:sz w:val="28"/>
          <w:szCs w:val="28"/>
          <w:rtl/>
        </w:rPr>
      </w:pPr>
      <w:r>
        <w:rPr>
          <w:sz w:val="20"/>
          <w:szCs w:val="20"/>
          <w:u w:val="single"/>
          <w:rtl/>
        </w:rPr>
        <w:br/>
      </w:r>
      <w:r w:rsidRPr="00877C54">
        <w:rPr>
          <w:rStyle w:val="10"/>
          <w:rFonts w:hint="cs"/>
          <w:rtl/>
        </w:rPr>
        <w:t>ראייה מתמשכת</w:t>
      </w:r>
      <w:r>
        <w:rPr>
          <w:rStyle w:val="10"/>
          <w:rFonts w:hint="cs"/>
          <w:rtl/>
        </w:rPr>
        <w:t xml:space="preserve"> (ד </w:t>
      </w:r>
      <w:r>
        <w:rPr>
          <w:rStyle w:val="10"/>
          <w:rtl/>
        </w:rPr>
        <w:t>–</w:t>
      </w:r>
      <w:r>
        <w:rPr>
          <w:rStyle w:val="10"/>
          <w:rFonts w:hint="cs"/>
          <w:rtl/>
        </w:rPr>
        <w:t xml:space="preserve"> ו)</w:t>
      </w:r>
      <w:r>
        <w:rPr>
          <w:rStyle w:val="10"/>
          <w:rtl/>
        </w:rPr>
        <w:br/>
      </w:r>
      <w:r>
        <w:rPr>
          <w:rFonts w:hint="cs"/>
          <w:b/>
          <w:bCs/>
          <w:sz w:val="20"/>
          <w:szCs w:val="20"/>
          <w:rtl/>
        </w:rPr>
        <w:t xml:space="preserve">סעיף ד </w:t>
      </w:r>
      <w:r>
        <w:rPr>
          <w:b/>
          <w:bCs/>
          <w:sz w:val="20"/>
          <w:szCs w:val="20"/>
          <w:rtl/>
        </w:rPr>
        <w:t>–</w:t>
      </w:r>
      <w:r>
        <w:rPr>
          <w:rFonts w:hint="cs"/>
          <w:b/>
          <w:bCs/>
          <w:sz w:val="20"/>
          <w:szCs w:val="20"/>
          <w:rtl/>
        </w:rPr>
        <w:t xml:space="preserve"> רואה בהנץ אך אינה יודעת זמן מדויק</w:t>
      </w:r>
      <w:r>
        <w:rPr>
          <w:b/>
          <w:bCs/>
          <w:sz w:val="20"/>
          <w:szCs w:val="20"/>
          <w:rtl/>
        </w:rPr>
        <w:br/>
      </w:r>
      <w:r>
        <w:rPr>
          <w:rFonts w:hint="cs"/>
          <w:b/>
          <w:bCs/>
          <w:sz w:val="20"/>
          <w:szCs w:val="20"/>
          <w:rtl/>
        </w:rPr>
        <w:t>מקור הדין</w:t>
      </w:r>
      <w:r>
        <w:rPr>
          <w:b/>
          <w:bCs/>
          <w:sz w:val="20"/>
          <w:szCs w:val="20"/>
          <w:rtl/>
        </w:rPr>
        <w:br/>
      </w:r>
      <w:r>
        <w:rPr>
          <w:rFonts w:hint="cs"/>
          <w:b/>
          <w:bCs/>
          <w:sz w:val="20"/>
          <w:szCs w:val="20"/>
          <w:rtl/>
        </w:rPr>
        <w:lastRenderedPageBreak/>
        <w:t xml:space="preserve">ראב"ד </w:t>
      </w:r>
      <w:r>
        <w:rPr>
          <w:rFonts w:hint="cs"/>
          <w:sz w:val="20"/>
          <w:szCs w:val="20"/>
          <w:rtl/>
        </w:rPr>
        <w:t>- אשה שרגילה לראות בהנץ החמה אך אינה יודעת מהו הזמן המדוייק בו היא רואה, האם לפני הנץ או אחריו, יש אומרים שאסורה כל היום וכל הלילה ויש אומרים שאסורה רק ביום.</w:t>
      </w:r>
      <w:r>
        <w:rPr>
          <w:sz w:val="20"/>
          <w:szCs w:val="20"/>
          <w:rtl/>
        </w:rPr>
        <w:br/>
      </w:r>
      <w:r w:rsidRPr="00B2447D">
        <w:rPr>
          <w:rFonts w:hint="cs"/>
          <w:sz w:val="20"/>
          <w:szCs w:val="20"/>
          <w:u w:val="single"/>
          <w:rtl/>
        </w:rPr>
        <w:t xml:space="preserve">הכרעת </w:t>
      </w:r>
      <w:r w:rsidRPr="00651AB1">
        <w:rPr>
          <w:rFonts w:hint="cs"/>
          <w:sz w:val="20"/>
          <w:szCs w:val="20"/>
          <w:u w:val="single"/>
          <w:rtl/>
        </w:rPr>
        <w:t>הראב"ד</w:t>
      </w:r>
      <w:r>
        <w:rPr>
          <w:rFonts w:hint="cs"/>
          <w:sz w:val="20"/>
          <w:szCs w:val="20"/>
          <w:rtl/>
        </w:rPr>
        <w:t xml:space="preserve"> </w:t>
      </w:r>
      <w:r>
        <w:rPr>
          <w:sz w:val="20"/>
          <w:szCs w:val="20"/>
          <w:rtl/>
        </w:rPr>
        <w:t>–</w:t>
      </w:r>
      <w:r>
        <w:rPr>
          <w:rFonts w:hint="cs"/>
          <w:sz w:val="20"/>
          <w:szCs w:val="20"/>
          <w:rtl/>
        </w:rPr>
        <w:t xml:space="preserve"> יש להקל ולאסור רק ביום, וכ"פ </w:t>
      </w:r>
      <w:r w:rsidRPr="00B2447D">
        <w:rPr>
          <w:rFonts w:hint="cs"/>
          <w:b/>
          <w:bCs/>
          <w:sz w:val="20"/>
          <w:szCs w:val="20"/>
          <w:rtl/>
        </w:rPr>
        <w:t>המחבר</w:t>
      </w:r>
      <w:r>
        <w:rPr>
          <w:rFonts w:hint="cs"/>
          <w:sz w:val="20"/>
          <w:szCs w:val="20"/>
          <w:rtl/>
        </w:rPr>
        <w:t>.</w:t>
      </w:r>
      <w:r>
        <w:rPr>
          <w:sz w:val="20"/>
          <w:szCs w:val="20"/>
          <w:rtl/>
        </w:rPr>
        <w:br/>
      </w:r>
      <w:r w:rsidRPr="00B2447D">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וסתות דרבנן, כל שכן סמוך לווסת שאסור מדרבנן בלבד, ולכן יש לאסור רק ביום שהיא נידה בוודאי.</w:t>
      </w:r>
    </w:p>
    <w:p w:rsidR="00620060" w:rsidRDefault="00620060" w:rsidP="00620060">
      <w:pPr>
        <w:rPr>
          <w:sz w:val="20"/>
          <w:szCs w:val="20"/>
          <w:u w:val="single"/>
          <w:rtl/>
        </w:rPr>
      </w:pPr>
      <w:r>
        <w:rPr>
          <w:rFonts w:hint="cs"/>
          <w:b/>
          <w:bCs/>
          <w:sz w:val="20"/>
          <w:szCs w:val="20"/>
          <w:rtl/>
        </w:rPr>
        <w:t>פסיקת הלכה</w:t>
      </w:r>
      <w:r>
        <w:rPr>
          <w:b/>
          <w:bCs/>
          <w:sz w:val="20"/>
          <w:szCs w:val="20"/>
          <w:rtl/>
        </w:rPr>
        <w:br/>
      </w:r>
      <w:r>
        <w:rPr>
          <w:rFonts w:hint="cs"/>
          <w:sz w:val="20"/>
          <w:szCs w:val="20"/>
          <w:rtl/>
        </w:rPr>
        <w:t xml:space="preserve">א. </w:t>
      </w:r>
      <w:r>
        <w:rPr>
          <w:rFonts w:hint="cs"/>
          <w:b/>
          <w:bCs/>
          <w:sz w:val="20"/>
          <w:szCs w:val="20"/>
          <w:rtl/>
        </w:rPr>
        <w:t xml:space="preserve">שולחן ערוך </w:t>
      </w:r>
      <w:r>
        <w:rPr>
          <w:sz w:val="20"/>
          <w:szCs w:val="20"/>
          <w:rtl/>
        </w:rPr>
        <w:t>–</w:t>
      </w:r>
      <w:r>
        <w:rPr>
          <w:rFonts w:hint="cs"/>
          <w:sz w:val="20"/>
          <w:szCs w:val="20"/>
          <w:rtl/>
        </w:rPr>
        <w:t xml:space="preserve"> "</w:t>
      </w:r>
      <w:r w:rsidRPr="00703467">
        <w:rPr>
          <w:rFonts w:cs="Arial" w:hint="cs"/>
          <w:sz w:val="20"/>
          <w:szCs w:val="20"/>
          <w:rtl/>
        </w:rPr>
        <w:t>אם</w:t>
      </w:r>
      <w:r w:rsidRPr="00703467">
        <w:rPr>
          <w:rFonts w:cs="Arial"/>
          <w:sz w:val="20"/>
          <w:szCs w:val="20"/>
          <w:rtl/>
        </w:rPr>
        <w:t xml:space="preserve"> </w:t>
      </w:r>
      <w:r w:rsidRPr="00703467">
        <w:rPr>
          <w:rFonts w:cs="Arial" w:hint="cs"/>
          <w:sz w:val="20"/>
          <w:szCs w:val="20"/>
          <w:rtl/>
        </w:rPr>
        <w:t>רגילה</w:t>
      </w:r>
      <w:r w:rsidRPr="00703467">
        <w:rPr>
          <w:rFonts w:cs="Arial"/>
          <w:sz w:val="20"/>
          <w:szCs w:val="20"/>
          <w:rtl/>
        </w:rPr>
        <w:t xml:space="preserve"> </w:t>
      </w:r>
      <w:r w:rsidRPr="00703467">
        <w:rPr>
          <w:rFonts w:cs="Arial" w:hint="cs"/>
          <w:sz w:val="20"/>
          <w:szCs w:val="20"/>
          <w:rtl/>
        </w:rPr>
        <w:t>לראות</w:t>
      </w:r>
      <w:r w:rsidRPr="00703467">
        <w:rPr>
          <w:rFonts w:cs="Arial"/>
          <w:sz w:val="20"/>
          <w:szCs w:val="20"/>
          <w:rtl/>
        </w:rPr>
        <w:t xml:space="preserve"> </w:t>
      </w:r>
      <w:r w:rsidRPr="00703467">
        <w:rPr>
          <w:rFonts w:cs="Arial" w:hint="cs"/>
          <w:sz w:val="20"/>
          <w:szCs w:val="20"/>
          <w:rtl/>
        </w:rPr>
        <w:t>בהנץ</w:t>
      </w:r>
      <w:r w:rsidRPr="00703467">
        <w:rPr>
          <w:rFonts w:cs="Arial"/>
          <w:sz w:val="20"/>
          <w:szCs w:val="20"/>
          <w:rtl/>
        </w:rPr>
        <w:t xml:space="preserve"> </w:t>
      </w:r>
      <w:r w:rsidRPr="00703467">
        <w:rPr>
          <w:rFonts w:cs="Arial" w:hint="cs"/>
          <w:sz w:val="20"/>
          <w:szCs w:val="20"/>
          <w:rtl/>
        </w:rPr>
        <w:t>החמה</w:t>
      </w:r>
      <w:r w:rsidRPr="00703467">
        <w:rPr>
          <w:rFonts w:cs="Arial"/>
          <w:sz w:val="20"/>
          <w:szCs w:val="20"/>
          <w:rtl/>
        </w:rPr>
        <w:t xml:space="preserve">, </w:t>
      </w:r>
      <w:r w:rsidRPr="00703467">
        <w:rPr>
          <w:rFonts w:cs="Arial" w:hint="cs"/>
          <w:sz w:val="20"/>
          <w:szCs w:val="20"/>
          <w:rtl/>
        </w:rPr>
        <w:t>ולא</w:t>
      </w:r>
      <w:r w:rsidRPr="00703467">
        <w:rPr>
          <w:rFonts w:cs="Arial"/>
          <w:sz w:val="20"/>
          <w:szCs w:val="20"/>
          <w:rtl/>
        </w:rPr>
        <w:t xml:space="preserve"> </w:t>
      </w:r>
      <w:r w:rsidRPr="00703467">
        <w:rPr>
          <w:rFonts w:cs="Arial" w:hint="cs"/>
          <w:sz w:val="20"/>
          <w:szCs w:val="20"/>
          <w:rtl/>
        </w:rPr>
        <w:t>קים</w:t>
      </w:r>
      <w:r w:rsidRPr="00703467">
        <w:rPr>
          <w:rFonts w:cs="Arial"/>
          <w:sz w:val="20"/>
          <w:szCs w:val="20"/>
          <w:rtl/>
        </w:rPr>
        <w:t xml:space="preserve"> </w:t>
      </w:r>
      <w:r w:rsidRPr="00703467">
        <w:rPr>
          <w:rFonts w:cs="Arial" w:hint="cs"/>
          <w:sz w:val="20"/>
          <w:szCs w:val="20"/>
          <w:rtl/>
        </w:rPr>
        <w:t>לן</w:t>
      </w:r>
      <w:r w:rsidRPr="00703467">
        <w:rPr>
          <w:rFonts w:cs="Arial"/>
          <w:sz w:val="20"/>
          <w:szCs w:val="20"/>
          <w:rtl/>
        </w:rPr>
        <w:t xml:space="preserve"> </w:t>
      </w:r>
      <w:r w:rsidRPr="00703467">
        <w:rPr>
          <w:rFonts w:cs="Arial" w:hint="cs"/>
          <w:sz w:val="20"/>
          <w:szCs w:val="20"/>
          <w:rtl/>
        </w:rPr>
        <w:t>שפיר</w:t>
      </w:r>
      <w:r w:rsidRPr="00703467">
        <w:rPr>
          <w:rFonts w:cs="Arial"/>
          <w:sz w:val="20"/>
          <w:szCs w:val="20"/>
          <w:rtl/>
        </w:rPr>
        <w:t xml:space="preserve"> </w:t>
      </w:r>
      <w:r w:rsidRPr="00703467">
        <w:rPr>
          <w:rFonts w:cs="Arial" w:hint="cs"/>
          <w:sz w:val="20"/>
          <w:szCs w:val="20"/>
          <w:rtl/>
        </w:rPr>
        <w:t>אי</w:t>
      </w:r>
      <w:r w:rsidRPr="00703467">
        <w:rPr>
          <w:rFonts w:cs="Arial"/>
          <w:sz w:val="20"/>
          <w:szCs w:val="20"/>
          <w:rtl/>
        </w:rPr>
        <w:t xml:space="preserve"> </w:t>
      </w:r>
      <w:r w:rsidRPr="00703467">
        <w:rPr>
          <w:rFonts w:cs="Arial" w:hint="cs"/>
          <w:sz w:val="20"/>
          <w:szCs w:val="20"/>
          <w:rtl/>
        </w:rPr>
        <w:t>קודם</w:t>
      </w:r>
      <w:r w:rsidRPr="00703467">
        <w:rPr>
          <w:rFonts w:cs="Arial"/>
          <w:sz w:val="20"/>
          <w:szCs w:val="20"/>
          <w:rtl/>
        </w:rPr>
        <w:t xml:space="preserve"> </w:t>
      </w:r>
      <w:r w:rsidRPr="00703467">
        <w:rPr>
          <w:rFonts w:cs="Arial" w:hint="cs"/>
          <w:sz w:val="20"/>
          <w:szCs w:val="20"/>
          <w:rtl/>
        </w:rPr>
        <w:t>הנץ</w:t>
      </w:r>
      <w:r w:rsidRPr="00703467">
        <w:rPr>
          <w:rFonts w:cs="Arial"/>
          <w:sz w:val="20"/>
          <w:szCs w:val="20"/>
          <w:rtl/>
        </w:rPr>
        <w:t xml:space="preserve"> </w:t>
      </w:r>
      <w:r w:rsidRPr="00703467">
        <w:rPr>
          <w:rFonts w:cs="Arial" w:hint="cs"/>
          <w:sz w:val="20"/>
          <w:szCs w:val="20"/>
          <w:rtl/>
        </w:rPr>
        <w:t>החמה</w:t>
      </w:r>
      <w:r w:rsidRPr="00703467">
        <w:rPr>
          <w:rFonts w:cs="Arial"/>
          <w:sz w:val="20"/>
          <w:szCs w:val="20"/>
          <w:rtl/>
        </w:rPr>
        <w:t xml:space="preserve"> </w:t>
      </w:r>
      <w:r w:rsidRPr="00703467">
        <w:rPr>
          <w:rFonts w:cs="Arial" w:hint="cs"/>
          <w:sz w:val="20"/>
          <w:szCs w:val="20"/>
          <w:rtl/>
        </w:rPr>
        <w:t>או</w:t>
      </w:r>
      <w:r w:rsidRPr="00703467">
        <w:rPr>
          <w:rFonts w:cs="Arial"/>
          <w:sz w:val="20"/>
          <w:szCs w:val="20"/>
          <w:rtl/>
        </w:rPr>
        <w:t xml:space="preserve"> </w:t>
      </w:r>
      <w:r w:rsidRPr="00703467">
        <w:rPr>
          <w:rFonts w:cs="Arial" w:hint="cs"/>
          <w:sz w:val="20"/>
          <w:szCs w:val="20"/>
          <w:rtl/>
        </w:rPr>
        <w:t>אחריו</w:t>
      </w:r>
      <w:r w:rsidRPr="00703467">
        <w:rPr>
          <w:rFonts w:cs="Arial"/>
          <w:sz w:val="20"/>
          <w:szCs w:val="20"/>
          <w:rtl/>
        </w:rPr>
        <w:t xml:space="preserve">, </w:t>
      </w:r>
      <w:r w:rsidRPr="00703467">
        <w:rPr>
          <w:rFonts w:cs="Arial" w:hint="cs"/>
          <w:sz w:val="20"/>
          <w:szCs w:val="20"/>
          <w:rtl/>
        </w:rPr>
        <w:t>אינה</w:t>
      </w:r>
      <w:r w:rsidRPr="00703467">
        <w:rPr>
          <w:rFonts w:cs="Arial"/>
          <w:sz w:val="20"/>
          <w:szCs w:val="20"/>
          <w:rtl/>
        </w:rPr>
        <w:t xml:space="preserve"> </w:t>
      </w:r>
      <w:r w:rsidRPr="00703467">
        <w:rPr>
          <w:rFonts w:cs="Arial" w:hint="cs"/>
          <w:sz w:val="20"/>
          <w:szCs w:val="20"/>
          <w:rtl/>
        </w:rPr>
        <w:t>אסורה</w:t>
      </w:r>
      <w:r w:rsidRPr="00703467">
        <w:rPr>
          <w:rFonts w:cs="Arial"/>
          <w:sz w:val="20"/>
          <w:szCs w:val="20"/>
          <w:rtl/>
        </w:rPr>
        <w:t xml:space="preserve"> </w:t>
      </w:r>
      <w:r w:rsidRPr="00703467">
        <w:rPr>
          <w:rFonts w:cs="Arial" w:hint="cs"/>
          <w:sz w:val="20"/>
          <w:szCs w:val="20"/>
          <w:rtl/>
        </w:rPr>
        <w:t>אלא</w:t>
      </w:r>
      <w:r w:rsidRPr="00703467">
        <w:rPr>
          <w:rFonts w:cs="Arial"/>
          <w:sz w:val="20"/>
          <w:szCs w:val="20"/>
          <w:rtl/>
        </w:rPr>
        <w:t xml:space="preserve"> </w:t>
      </w:r>
      <w:r w:rsidRPr="00703467">
        <w:rPr>
          <w:rFonts w:cs="Arial" w:hint="cs"/>
          <w:sz w:val="20"/>
          <w:szCs w:val="20"/>
          <w:rtl/>
        </w:rPr>
        <w:t>ביום</w:t>
      </w:r>
      <w:r>
        <w:rPr>
          <w:rFonts w:cs="Arial"/>
          <w:sz w:val="20"/>
          <w:szCs w:val="20"/>
          <w:rtl/>
        </w:rPr>
        <w:t>".</w:t>
      </w:r>
      <w:r>
        <w:rPr>
          <w:sz w:val="20"/>
          <w:szCs w:val="20"/>
          <w:u w:val="single"/>
          <w:rtl/>
        </w:rPr>
        <w:br/>
      </w:r>
      <w:r>
        <w:rPr>
          <w:rFonts w:hint="cs"/>
          <w:sz w:val="20"/>
          <w:szCs w:val="20"/>
          <w:rtl/>
        </w:rPr>
        <w:t xml:space="preserve">ב. </w:t>
      </w:r>
      <w:r w:rsidRPr="00822D26">
        <w:rPr>
          <w:rFonts w:hint="cs"/>
          <w:b/>
          <w:bCs/>
          <w:sz w:val="20"/>
          <w:szCs w:val="20"/>
          <w:rtl/>
        </w:rPr>
        <w:t>ב"ח וש"ך</w:t>
      </w:r>
      <w:r>
        <w:rPr>
          <w:rFonts w:hint="cs"/>
          <w:sz w:val="20"/>
          <w:szCs w:val="20"/>
          <w:rtl/>
        </w:rPr>
        <w:t xml:space="preserve"> </w:t>
      </w:r>
      <w:r>
        <w:rPr>
          <w:sz w:val="20"/>
          <w:szCs w:val="20"/>
          <w:rtl/>
        </w:rPr>
        <w:t>–</w:t>
      </w:r>
      <w:r>
        <w:rPr>
          <w:rFonts w:hint="cs"/>
          <w:sz w:val="20"/>
          <w:szCs w:val="20"/>
          <w:rtl/>
        </w:rPr>
        <w:t xml:space="preserve"> ראוי להחמיר ולאסור גם בלילה. </w:t>
      </w:r>
      <w:r w:rsidRPr="00822D26">
        <w:rPr>
          <w:rFonts w:hint="cs"/>
          <w:sz w:val="18"/>
          <w:szCs w:val="18"/>
          <w:rtl/>
        </w:rPr>
        <w:t>[הש"ך כתב דין זה במכל שכן לדבריו לעיל שפסק כאו"ז].</w:t>
      </w:r>
      <w:r>
        <w:rPr>
          <w:sz w:val="20"/>
          <w:szCs w:val="20"/>
          <w:rtl/>
        </w:rPr>
        <w:br/>
      </w:r>
      <w:r>
        <w:rPr>
          <w:rFonts w:hint="cs"/>
          <w:sz w:val="20"/>
          <w:szCs w:val="20"/>
          <w:u w:val="single"/>
          <w:rtl/>
        </w:rPr>
        <w:br/>
        <w:t>רגילה לראות בבין השמשות (ש"ך)</w:t>
      </w:r>
      <w:r>
        <w:rPr>
          <w:sz w:val="20"/>
          <w:szCs w:val="20"/>
          <w:rtl/>
        </w:rPr>
        <w:br/>
      </w:r>
      <w:r>
        <w:rPr>
          <w:rFonts w:hint="cs"/>
          <w:sz w:val="20"/>
          <w:szCs w:val="20"/>
          <w:rtl/>
        </w:rPr>
        <w:t>לפי הטעם שכתב הראב"ד, שיש לאסור אותה רק בזמן שהיא נידה בוודאי ולא בזמן שהיא ספק נידה, הוא הדין אם רגילה לראות בין השמשות אך אינה יודעת מתי בדיוק, שיש לאסור אותה רק בלילה אך ביום מותרת.</w:t>
      </w:r>
      <w:r>
        <w:rPr>
          <w:sz w:val="20"/>
          <w:szCs w:val="20"/>
          <w:rtl/>
        </w:rPr>
        <w:br/>
      </w:r>
      <w:r w:rsidRPr="00F866BD">
        <w:rPr>
          <w:rFonts w:hint="cs"/>
          <w:sz w:val="20"/>
          <w:szCs w:val="20"/>
          <w:rtl/>
        </w:rPr>
        <w:t xml:space="preserve">ומבאר </w:t>
      </w:r>
      <w:r w:rsidRPr="00F866BD">
        <w:rPr>
          <w:rFonts w:hint="cs"/>
          <w:b/>
          <w:bCs/>
          <w:sz w:val="20"/>
          <w:szCs w:val="20"/>
          <w:rtl/>
        </w:rPr>
        <w:t>הפת"ש</w:t>
      </w:r>
      <w:r>
        <w:rPr>
          <w:rFonts w:hint="cs"/>
          <w:sz w:val="20"/>
          <w:szCs w:val="20"/>
          <w:rtl/>
        </w:rPr>
        <w:t xml:space="preserve"> </w:t>
      </w:r>
      <w:r>
        <w:rPr>
          <w:sz w:val="20"/>
          <w:szCs w:val="20"/>
          <w:rtl/>
        </w:rPr>
        <w:t>–</w:t>
      </w:r>
      <w:r>
        <w:rPr>
          <w:rFonts w:hint="cs"/>
          <w:sz w:val="20"/>
          <w:szCs w:val="20"/>
          <w:rtl/>
        </w:rPr>
        <w:t xml:space="preserve"> לעניין וסתות, נחשב הזמן משקיעה עד הנץ החמה ללילה, ולכן יש לפרש שכוונת הש"ך היא שספק רואה לפני השקיעה ספק לאחר שקיעה, ולכן אשה זו אסורה בלילה בוודאי אך ביום מותרת </w:t>
      </w:r>
      <w:r w:rsidRPr="003969E5">
        <w:rPr>
          <w:rFonts w:hint="cs"/>
          <w:sz w:val="18"/>
          <w:szCs w:val="18"/>
          <w:rtl/>
        </w:rPr>
        <w:t>(למחבר)</w:t>
      </w:r>
      <w:r>
        <w:rPr>
          <w:rFonts w:hint="cs"/>
          <w:sz w:val="20"/>
          <w:szCs w:val="20"/>
          <w:rtl/>
        </w:rPr>
        <w:t>.</w:t>
      </w:r>
    </w:p>
    <w:p w:rsidR="00620060" w:rsidRDefault="00620060" w:rsidP="00620060">
      <w:pPr>
        <w:rPr>
          <w:sz w:val="20"/>
          <w:szCs w:val="20"/>
          <w:u w:val="single"/>
          <w:rtl/>
        </w:rPr>
      </w:pPr>
      <w:r>
        <w:rPr>
          <w:sz w:val="20"/>
          <w:szCs w:val="20"/>
          <w:u w:val="single"/>
          <w:rtl/>
        </w:rPr>
        <w:br/>
      </w:r>
      <w:r>
        <w:rPr>
          <w:rFonts w:hint="cs"/>
          <w:b/>
          <w:bCs/>
          <w:sz w:val="20"/>
          <w:szCs w:val="20"/>
          <w:rtl/>
        </w:rPr>
        <w:t xml:space="preserve">סעיף ה </w:t>
      </w:r>
      <w:r>
        <w:rPr>
          <w:b/>
          <w:bCs/>
          <w:sz w:val="20"/>
          <w:szCs w:val="20"/>
          <w:rtl/>
        </w:rPr>
        <w:t>–</w:t>
      </w:r>
      <w:r>
        <w:rPr>
          <w:rFonts w:hint="cs"/>
          <w:b/>
          <w:bCs/>
          <w:sz w:val="20"/>
          <w:szCs w:val="20"/>
          <w:rtl/>
        </w:rPr>
        <w:t xml:space="preserve"> רואה לפני הנץ ולאחר הנץ</w:t>
      </w:r>
      <w:r>
        <w:rPr>
          <w:b/>
          <w:bCs/>
          <w:sz w:val="20"/>
          <w:szCs w:val="20"/>
          <w:rtl/>
        </w:rPr>
        <w:br/>
      </w:r>
      <w:r w:rsidRPr="007D46CA">
        <w:rPr>
          <w:rFonts w:hint="cs"/>
          <w:sz w:val="20"/>
          <w:szCs w:val="20"/>
          <w:u w:val="single"/>
          <w:rtl/>
        </w:rPr>
        <w:t>המקרה</w:t>
      </w:r>
      <w:r>
        <w:rPr>
          <w:rFonts w:hint="cs"/>
          <w:sz w:val="20"/>
          <w:szCs w:val="20"/>
          <w:rtl/>
        </w:rPr>
        <w:t xml:space="preserve"> </w:t>
      </w:r>
      <w:r>
        <w:rPr>
          <w:sz w:val="20"/>
          <w:szCs w:val="20"/>
          <w:rtl/>
        </w:rPr>
        <w:t>–</w:t>
      </w:r>
      <w:r>
        <w:rPr>
          <w:rFonts w:hint="cs"/>
          <w:sz w:val="20"/>
          <w:szCs w:val="20"/>
          <w:rtl/>
        </w:rPr>
        <w:t xml:space="preserve"> אשה שרגילה לראות קודם הנץ החמה ולאחר הנץ החמה.</w:t>
      </w:r>
      <w:r>
        <w:rPr>
          <w:rFonts w:hint="cs"/>
          <w:sz w:val="20"/>
          <w:szCs w:val="20"/>
          <w:rtl/>
        </w:rPr>
        <w:br/>
      </w:r>
      <w:r>
        <w:rPr>
          <w:rFonts w:hint="cs"/>
          <w:sz w:val="20"/>
          <w:szCs w:val="20"/>
          <w:rtl/>
        </w:rPr>
        <w:br/>
      </w:r>
      <w:r w:rsidRPr="00EE7296">
        <w:rPr>
          <w:rFonts w:hint="cs"/>
          <w:b/>
          <w:bCs/>
          <w:sz w:val="20"/>
          <w:szCs w:val="20"/>
          <w:rtl/>
        </w:rPr>
        <w:t xml:space="preserve">שיטות הראשונים </w:t>
      </w:r>
      <w:r w:rsidRPr="00EE7296">
        <w:rPr>
          <w:rFonts w:hint="cs"/>
          <w:sz w:val="20"/>
          <w:szCs w:val="20"/>
          <w:rtl/>
        </w:rPr>
        <w:t>(מובא בראב"ד וברא"ש)</w:t>
      </w:r>
      <w:r>
        <w:rPr>
          <w:sz w:val="20"/>
          <w:szCs w:val="20"/>
          <w:u w:val="single"/>
          <w:rtl/>
        </w:rPr>
        <w:br/>
      </w:r>
      <w:r>
        <w:rPr>
          <w:rFonts w:hint="cs"/>
          <w:sz w:val="20"/>
          <w:szCs w:val="20"/>
          <w:rtl/>
        </w:rPr>
        <w:t xml:space="preserve">א. </w:t>
      </w:r>
      <w:r w:rsidRPr="00EE7296">
        <w:rPr>
          <w:rFonts w:hint="cs"/>
          <w:b/>
          <w:bCs/>
          <w:sz w:val="20"/>
          <w:szCs w:val="20"/>
          <w:rtl/>
        </w:rPr>
        <w:t>יש אומרים</w:t>
      </w:r>
      <w:r>
        <w:rPr>
          <w:rFonts w:hint="cs"/>
          <w:sz w:val="20"/>
          <w:szCs w:val="20"/>
          <w:rtl/>
        </w:rPr>
        <w:t xml:space="preserve"> </w:t>
      </w:r>
      <w:r>
        <w:rPr>
          <w:sz w:val="20"/>
          <w:szCs w:val="20"/>
          <w:rtl/>
        </w:rPr>
        <w:t>–</w:t>
      </w:r>
      <w:r>
        <w:rPr>
          <w:rFonts w:hint="cs"/>
          <w:sz w:val="20"/>
          <w:szCs w:val="20"/>
          <w:rtl/>
        </w:rPr>
        <w:t xml:space="preserve"> אסורה כל הלילה וכל היום.</w:t>
      </w:r>
      <w:r>
        <w:rPr>
          <w:sz w:val="20"/>
          <w:szCs w:val="20"/>
          <w:rtl/>
        </w:rPr>
        <w:br/>
      </w:r>
      <w:r>
        <w:rPr>
          <w:rFonts w:hint="cs"/>
          <w:sz w:val="20"/>
          <w:szCs w:val="20"/>
          <w:rtl/>
        </w:rPr>
        <w:t xml:space="preserve">ב. </w:t>
      </w:r>
      <w:r w:rsidRPr="00EE7296">
        <w:rPr>
          <w:rFonts w:hint="cs"/>
          <w:b/>
          <w:bCs/>
          <w:sz w:val="20"/>
          <w:szCs w:val="20"/>
          <w:rtl/>
        </w:rPr>
        <w:t xml:space="preserve">יש אומרים </w:t>
      </w:r>
      <w:r>
        <w:rPr>
          <w:sz w:val="20"/>
          <w:szCs w:val="20"/>
          <w:rtl/>
        </w:rPr>
        <w:t>–</w:t>
      </w:r>
      <w:r>
        <w:rPr>
          <w:rFonts w:hint="cs"/>
          <w:sz w:val="20"/>
          <w:szCs w:val="20"/>
          <w:rtl/>
        </w:rPr>
        <w:t xml:space="preserve"> אסורה רק בלילה.</w:t>
      </w:r>
      <w:r>
        <w:rPr>
          <w:rFonts w:hint="cs"/>
          <w:sz w:val="20"/>
          <w:szCs w:val="20"/>
          <w:u w:val="single"/>
          <w:rtl/>
        </w:rPr>
        <w:br/>
      </w:r>
      <w:r>
        <w:rPr>
          <w:rFonts w:hint="cs"/>
          <w:sz w:val="20"/>
          <w:szCs w:val="20"/>
          <w:rtl/>
        </w:rPr>
        <w:t xml:space="preserve">ג. הכרעת </w:t>
      </w:r>
      <w:r w:rsidRPr="00EE7296">
        <w:rPr>
          <w:rFonts w:hint="cs"/>
          <w:b/>
          <w:bCs/>
          <w:sz w:val="20"/>
          <w:szCs w:val="20"/>
          <w:rtl/>
        </w:rPr>
        <w:t>הראב"ד</w:t>
      </w:r>
      <w:r>
        <w:rPr>
          <w:rStyle w:val="a5"/>
          <w:sz w:val="20"/>
          <w:szCs w:val="20"/>
          <w:rtl/>
        </w:rPr>
        <w:footnoteReference w:id="34"/>
      </w:r>
      <w:r>
        <w:rPr>
          <w:rFonts w:hint="cs"/>
          <w:sz w:val="20"/>
          <w:szCs w:val="20"/>
          <w:rtl/>
        </w:rPr>
        <w:t xml:space="preserve"> </w:t>
      </w:r>
      <w:r>
        <w:rPr>
          <w:sz w:val="20"/>
          <w:szCs w:val="20"/>
          <w:rtl/>
        </w:rPr>
        <w:t>–</w:t>
      </w:r>
      <w:r>
        <w:rPr>
          <w:rFonts w:hint="cs"/>
          <w:sz w:val="20"/>
          <w:szCs w:val="20"/>
          <w:rtl/>
        </w:rPr>
        <w:t xml:space="preserve"> אסורה בלילה, וביום אסורה כדי שיעור הזמן שבו רגילה לראות בלבד, וכ"פ </w:t>
      </w:r>
      <w:r w:rsidRPr="00FC3842">
        <w:rPr>
          <w:rFonts w:hint="cs"/>
          <w:b/>
          <w:bCs/>
          <w:sz w:val="20"/>
          <w:szCs w:val="20"/>
          <w:rtl/>
        </w:rPr>
        <w:t>המחבר</w:t>
      </w:r>
      <w:r>
        <w:rPr>
          <w:rFonts w:hint="cs"/>
          <w:sz w:val="20"/>
          <w:szCs w:val="20"/>
          <w:rtl/>
        </w:rPr>
        <w:t>.</w:t>
      </w:r>
    </w:p>
    <w:p w:rsidR="00620060" w:rsidRDefault="00620060" w:rsidP="00620060">
      <w:pPr>
        <w:rPr>
          <w:sz w:val="20"/>
          <w:szCs w:val="20"/>
          <w:rtl/>
        </w:rPr>
      </w:pPr>
      <w:r w:rsidRPr="00EE7296">
        <w:rPr>
          <w:rFonts w:hint="cs"/>
          <w:b/>
          <w:bCs/>
          <w:sz w:val="20"/>
          <w:szCs w:val="20"/>
          <w:rtl/>
        </w:rPr>
        <w:t>נימוקי השיטות</w:t>
      </w:r>
      <w:r>
        <w:rPr>
          <w:sz w:val="20"/>
          <w:szCs w:val="20"/>
          <w:u w:val="single"/>
          <w:rtl/>
        </w:rPr>
        <w:br/>
      </w:r>
      <w:r w:rsidRPr="00810C19">
        <w:rPr>
          <w:rFonts w:hint="cs"/>
          <w:b/>
          <w:bCs/>
          <w:sz w:val="20"/>
          <w:szCs w:val="20"/>
          <w:rtl/>
        </w:rPr>
        <w:t>משנה</w:t>
      </w:r>
      <w:r>
        <w:rPr>
          <w:rFonts w:hint="cs"/>
          <w:sz w:val="20"/>
          <w:szCs w:val="20"/>
          <w:rtl/>
        </w:rPr>
        <w:t xml:space="preserve"> נידה (סג:) </w:t>
      </w:r>
      <w:r w:rsidRPr="00810C19">
        <w:rPr>
          <w:rFonts w:hint="cs"/>
          <w:sz w:val="20"/>
          <w:szCs w:val="20"/>
          <w:rtl/>
        </w:rPr>
        <w:t>"</w:t>
      </w:r>
      <w:r w:rsidRPr="00810C19">
        <w:rPr>
          <w:rFonts w:cs="Arial" w:hint="cs"/>
          <w:sz w:val="20"/>
          <w:szCs w:val="20"/>
          <w:rtl/>
        </w:rPr>
        <w:t>רבי</w:t>
      </w:r>
      <w:r w:rsidRPr="00810C19">
        <w:rPr>
          <w:rFonts w:cs="Arial"/>
          <w:sz w:val="20"/>
          <w:szCs w:val="20"/>
          <w:rtl/>
        </w:rPr>
        <w:t xml:space="preserve"> </w:t>
      </w:r>
      <w:r w:rsidRPr="00810C19">
        <w:rPr>
          <w:rFonts w:cs="Arial" w:hint="cs"/>
          <w:sz w:val="20"/>
          <w:szCs w:val="20"/>
          <w:rtl/>
        </w:rPr>
        <w:t>יוסי</w:t>
      </w:r>
      <w:r w:rsidRPr="00810C19">
        <w:rPr>
          <w:rFonts w:cs="Arial"/>
          <w:sz w:val="20"/>
          <w:szCs w:val="20"/>
          <w:rtl/>
        </w:rPr>
        <w:t xml:space="preserve"> </w:t>
      </w:r>
      <w:r w:rsidRPr="00810C19">
        <w:rPr>
          <w:rFonts w:cs="Arial" w:hint="cs"/>
          <w:sz w:val="20"/>
          <w:szCs w:val="20"/>
          <w:rtl/>
        </w:rPr>
        <w:t>אומר</w:t>
      </w:r>
      <w:r w:rsidRPr="00810C19">
        <w:rPr>
          <w:rFonts w:cs="Arial"/>
          <w:sz w:val="20"/>
          <w:szCs w:val="20"/>
          <w:rtl/>
        </w:rPr>
        <w:t xml:space="preserve">: </w:t>
      </w:r>
      <w:r w:rsidRPr="00810C19">
        <w:rPr>
          <w:rFonts w:cs="Arial" w:hint="cs"/>
          <w:sz w:val="20"/>
          <w:szCs w:val="20"/>
          <w:rtl/>
        </w:rPr>
        <w:t>אף</w:t>
      </w:r>
      <w:r w:rsidRPr="00810C19">
        <w:rPr>
          <w:rFonts w:cs="Arial"/>
          <w:sz w:val="20"/>
          <w:szCs w:val="20"/>
          <w:rtl/>
        </w:rPr>
        <w:t xml:space="preserve"> </w:t>
      </w:r>
      <w:r w:rsidRPr="00810C19">
        <w:rPr>
          <w:rFonts w:cs="Arial" w:hint="cs"/>
          <w:sz w:val="20"/>
          <w:szCs w:val="20"/>
          <w:rtl/>
        </w:rPr>
        <w:t>ימים</w:t>
      </w:r>
      <w:r w:rsidRPr="00810C19">
        <w:rPr>
          <w:rFonts w:cs="Arial"/>
          <w:sz w:val="20"/>
          <w:szCs w:val="20"/>
          <w:rtl/>
        </w:rPr>
        <w:t xml:space="preserve"> </w:t>
      </w:r>
      <w:r w:rsidRPr="00810C19">
        <w:rPr>
          <w:rFonts w:cs="Arial" w:hint="cs"/>
          <w:sz w:val="20"/>
          <w:szCs w:val="20"/>
          <w:rtl/>
        </w:rPr>
        <w:t>ושעות</w:t>
      </w:r>
      <w:r w:rsidRPr="00810C19">
        <w:rPr>
          <w:rFonts w:cs="Arial"/>
          <w:sz w:val="20"/>
          <w:szCs w:val="20"/>
          <w:rtl/>
        </w:rPr>
        <w:t xml:space="preserve"> </w:t>
      </w:r>
      <w:r w:rsidRPr="00810C19">
        <w:rPr>
          <w:rFonts w:cs="Arial" w:hint="cs"/>
          <w:sz w:val="20"/>
          <w:szCs w:val="20"/>
          <w:rtl/>
        </w:rPr>
        <w:t>וסתות</w:t>
      </w:r>
      <w:r w:rsidRPr="00810C19">
        <w:rPr>
          <w:rFonts w:cs="Arial"/>
          <w:sz w:val="20"/>
          <w:szCs w:val="20"/>
          <w:rtl/>
        </w:rPr>
        <w:t xml:space="preserve">; </w:t>
      </w:r>
      <w:r w:rsidRPr="00810C19">
        <w:rPr>
          <w:rFonts w:cs="Arial" w:hint="cs"/>
          <w:sz w:val="20"/>
          <w:szCs w:val="20"/>
          <w:rtl/>
        </w:rPr>
        <w:t>היתה</w:t>
      </w:r>
      <w:r w:rsidRPr="00810C19">
        <w:rPr>
          <w:rFonts w:cs="Arial"/>
          <w:sz w:val="20"/>
          <w:szCs w:val="20"/>
          <w:rtl/>
        </w:rPr>
        <w:t xml:space="preserve"> </w:t>
      </w:r>
      <w:r w:rsidRPr="00810C19">
        <w:rPr>
          <w:rFonts w:cs="Arial" w:hint="cs"/>
          <w:sz w:val="20"/>
          <w:szCs w:val="20"/>
          <w:rtl/>
        </w:rPr>
        <w:t>למודה</w:t>
      </w:r>
      <w:r w:rsidRPr="00810C19">
        <w:rPr>
          <w:rFonts w:cs="Arial"/>
          <w:sz w:val="20"/>
          <w:szCs w:val="20"/>
          <w:rtl/>
        </w:rPr>
        <w:t xml:space="preserve"> </w:t>
      </w:r>
      <w:r w:rsidRPr="00810C19">
        <w:rPr>
          <w:rFonts w:cs="Arial" w:hint="cs"/>
          <w:sz w:val="20"/>
          <w:szCs w:val="20"/>
          <w:rtl/>
        </w:rPr>
        <w:t>להיות</w:t>
      </w:r>
      <w:r w:rsidRPr="00810C19">
        <w:rPr>
          <w:rFonts w:cs="Arial"/>
          <w:sz w:val="20"/>
          <w:szCs w:val="20"/>
          <w:rtl/>
        </w:rPr>
        <w:t xml:space="preserve"> </w:t>
      </w:r>
      <w:r w:rsidRPr="00810C19">
        <w:rPr>
          <w:rFonts w:cs="Arial" w:hint="cs"/>
          <w:sz w:val="20"/>
          <w:szCs w:val="20"/>
          <w:rtl/>
        </w:rPr>
        <w:t>רואה</w:t>
      </w:r>
      <w:r w:rsidRPr="00810C19">
        <w:rPr>
          <w:rFonts w:cs="Arial"/>
          <w:sz w:val="20"/>
          <w:szCs w:val="20"/>
          <w:rtl/>
        </w:rPr>
        <w:t xml:space="preserve"> </w:t>
      </w:r>
      <w:r w:rsidRPr="00810C19">
        <w:rPr>
          <w:rFonts w:cs="Arial" w:hint="cs"/>
          <w:sz w:val="20"/>
          <w:szCs w:val="20"/>
          <w:rtl/>
        </w:rPr>
        <w:t>עם</w:t>
      </w:r>
      <w:r w:rsidRPr="00810C19">
        <w:rPr>
          <w:rFonts w:cs="Arial"/>
          <w:sz w:val="20"/>
          <w:szCs w:val="20"/>
          <w:rtl/>
        </w:rPr>
        <w:t xml:space="preserve"> </w:t>
      </w:r>
      <w:r w:rsidRPr="00810C19">
        <w:rPr>
          <w:rFonts w:cs="Arial" w:hint="cs"/>
          <w:sz w:val="20"/>
          <w:szCs w:val="20"/>
          <w:rtl/>
        </w:rPr>
        <w:t>הנץ</w:t>
      </w:r>
      <w:r w:rsidRPr="00810C19">
        <w:rPr>
          <w:rFonts w:cs="Arial"/>
          <w:sz w:val="20"/>
          <w:szCs w:val="20"/>
          <w:rtl/>
        </w:rPr>
        <w:t xml:space="preserve"> </w:t>
      </w:r>
      <w:r w:rsidRPr="00810C19">
        <w:rPr>
          <w:rFonts w:cs="Arial" w:hint="cs"/>
          <w:sz w:val="20"/>
          <w:szCs w:val="20"/>
          <w:rtl/>
        </w:rPr>
        <w:t>החמה</w:t>
      </w:r>
      <w:r w:rsidRPr="00810C19">
        <w:rPr>
          <w:rFonts w:cs="Arial"/>
          <w:sz w:val="20"/>
          <w:szCs w:val="20"/>
          <w:rtl/>
        </w:rPr>
        <w:t xml:space="preserve"> - </w:t>
      </w:r>
      <w:r w:rsidRPr="00810C19">
        <w:rPr>
          <w:rFonts w:cs="Arial" w:hint="cs"/>
          <w:sz w:val="20"/>
          <w:szCs w:val="20"/>
          <w:rtl/>
        </w:rPr>
        <w:t>אינה</w:t>
      </w:r>
      <w:r w:rsidRPr="00810C19">
        <w:rPr>
          <w:rFonts w:cs="Arial"/>
          <w:sz w:val="20"/>
          <w:szCs w:val="20"/>
          <w:rtl/>
        </w:rPr>
        <w:t xml:space="preserve"> </w:t>
      </w:r>
      <w:r w:rsidRPr="00810C19">
        <w:rPr>
          <w:rFonts w:cs="Arial" w:hint="cs"/>
          <w:sz w:val="20"/>
          <w:szCs w:val="20"/>
          <w:rtl/>
        </w:rPr>
        <w:t>אסורה</w:t>
      </w:r>
      <w:r w:rsidRPr="00810C19">
        <w:rPr>
          <w:rFonts w:cs="Arial"/>
          <w:sz w:val="20"/>
          <w:szCs w:val="20"/>
          <w:rtl/>
        </w:rPr>
        <w:t xml:space="preserve"> </w:t>
      </w:r>
      <w:r w:rsidRPr="00810C19">
        <w:rPr>
          <w:rFonts w:cs="Arial" w:hint="cs"/>
          <w:sz w:val="20"/>
          <w:szCs w:val="20"/>
          <w:rtl/>
        </w:rPr>
        <w:t>אלא</w:t>
      </w:r>
      <w:r w:rsidRPr="00810C19">
        <w:rPr>
          <w:rFonts w:cs="Arial"/>
          <w:sz w:val="20"/>
          <w:szCs w:val="20"/>
          <w:rtl/>
        </w:rPr>
        <w:t xml:space="preserve"> </w:t>
      </w:r>
      <w:r w:rsidRPr="00810C19">
        <w:rPr>
          <w:rFonts w:cs="Arial" w:hint="cs"/>
          <w:sz w:val="20"/>
          <w:szCs w:val="20"/>
          <w:rtl/>
        </w:rPr>
        <w:t>עם</w:t>
      </w:r>
      <w:r w:rsidRPr="00810C19">
        <w:rPr>
          <w:rFonts w:cs="Arial"/>
          <w:sz w:val="20"/>
          <w:szCs w:val="20"/>
          <w:rtl/>
        </w:rPr>
        <w:t xml:space="preserve"> </w:t>
      </w:r>
      <w:r w:rsidRPr="00810C19">
        <w:rPr>
          <w:rFonts w:cs="Arial" w:hint="cs"/>
          <w:sz w:val="20"/>
          <w:szCs w:val="20"/>
          <w:rtl/>
        </w:rPr>
        <w:t>הנץ</w:t>
      </w:r>
      <w:r w:rsidRPr="00810C19">
        <w:rPr>
          <w:rFonts w:cs="Arial"/>
          <w:sz w:val="20"/>
          <w:szCs w:val="20"/>
          <w:rtl/>
        </w:rPr>
        <w:t xml:space="preserve"> </w:t>
      </w:r>
      <w:r w:rsidRPr="00810C19">
        <w:rPr>
          <w:rFonts w:cs="Arial" w:hint="cs"/>
          <w:sz w:val="20"/>
          <w:szCs w:val="20"/>
          <w:rtl/>
        </w:rPr>
        <w:t>החמה</w:t>
      </w:r>
      <w:r w:rsidRPr="00810C19">
        <w:rPr>
          <w:rFonts w:cs="Arial"/>
          <w:sz w:val="20"/>
          <w:szCs w:val="20"/>
          <w:rtl/>
        </w:rPr>
        <w:t xml:space="preserve">. </w:t>
      </w:r>
      <w:r w:rsidRPr="00810C19">
        <w:rPr>
          <w:rFonts w:cs="Arial" w:hint="cs"/>
          <w:sz w:val="20"/>
          <w:szCs w:val="20"/>
          <w:rtl/>
        </w:rPr>
        <w:t>רבי</w:t>
      </w:r>
      <w:r w:rsidRPr="00810C19">
        <w:rPr>
          <w:rFonts w:cs="Arial"/>
          <w:sz w:val="20"/>
          <w:szCs w:val="20"/>
          <w:rtl/>
        </w:rPr>
        <w:t xml:space="preserve"> </w:t>
      </w:r>
      <w:r w:rsidRPr="00810C19">
        <w:rPr>
          <w:rFonts w:cs="Arial" w:hint="cs"/>
          <w:sz w:val="20"/>
          <w:szCs w:val="20"/>
          <w:rtl/>
        </w:rPr>
        <w:t>יהודה</w:t>
      </w:r>
      <w:r w:rsidRPr="00810C19">
        <w:rPr>
          <w:rFonts w:cs="Arial"/>
          <w:sz w:val="20"/>
          <w:szCs w:val="20"/>
          <w:rtl/>
        </w:rPr>
        <w:t xml:space="preserve"> </w:t>
      </w:r>
      <w:r w:rsidRPr="00810C19">
        <w:rPr>
          <w:rFonts w:cs="Arial" w:hint="cs"/>
          <w:sz w:val="20"/>
          <w:szCs w:val="20"/>
          <w:rtl/>
        </w:rPr>
        <w:t>אומר</w:t>
      </w:r>
      <w:r w:rsidRPr="00810C19">
        <w:rPr>
          <w:rFonts w:cs="Arial"/>
          <w:sz w:val="20"/>
          <w:szCs w:val="20"/>
          <w:rtl/>
        </w:rPr>
        <w:t xml:space="preserve">: </w:t>
      </w:r>
      <w:r w:rsidRPr="00810C19">
        <w:rPr>
          <w:rFonts w:cs="Arial" w:hint="cs"/>
          <w:sz w:val="20"/>
          <w:szCs w:val="20"/>
          <w:rtl/>
        </w:rPr>
        <w:t>כל</w:t>
      </w:r>
      <w:r w:rsidRPr="00810C19">
        <w:rPr>
          <w:rFonts w:cs="Arial"/>
          <w:sz w:val="20"/>
          <w:szCs w:val="20"/>
          <w:rtl/>
        </w:rPr>
        <w:t xml:space="preserve"> </w:t>
      </w:r>
      <w:r w:rsidRPr="00810C19">
        <w:rPr>
          <w:rFonts w:cs="Arial" w:hint="cs"/>
          <w:sz w:val="20"/>
          <w:szCs w:val="20"/>
          <w:rtl/>
        </w:rPr>
        <w:t>היום</w:t>
      </w:r>
      <w:r w:rsidRPr="00810C19">
        <w:rPr>
          <w:rFonts w:cs="Arial"/>
          <w:sz w:val="20"/>
          <w:szCs w:val="20"/>
          <w:rtl/>
        </w:rPr>
        <w:t xml:space="preserve"> </w:t>
      </w:r>
      <w:r w:rsidRPr="00810C19">
        <w:rPr>
          <w:rFonts w:cs="Arial" w:hint="cs"/>
          <w:sz w:val="20"/>
          <w:szCs w:val="20"/>
          <w:rtl/>
        </w:rPr>
        <w:t>שלה</w:t>
      </w:r>
      <w:r>
        <w:rPr>
          <w:rFonts w:cs="Arial" w:hint="cs"/>
          <w:sz w:val="20"/>
          <w:szCs w:val="20"/>
          <w:rtl/>
        </w:rPr>
        <w:t xml:space="preserve"> </w:t>
      </w:r>
      <w:r w:rsidRPr="007A4B3C">
        <w:rPr>
          <w:rFonts w:cs="Arial" w:hint="cs"/>
          <w:sz w:val="18"/>
          <w:szCs w:val="18"/>
          <w:rtl/>
        </w:rPr>
        <w:t>(ומותרת לשמש ביום)</w:t>
      </w:r>
      <w:r w:rsidRPr="00810C19">
        <w:rPr>
          <w:rFonts w:cs="Arial" w:hint="cs"/>
          <w:sz w:val="20"/>
          <w:szCs w:val="20"/>
          <w:rtl/>
        </w:rPr>
        <w:t>".</w:t>
      </w:r>
      <w:r w:rsidRPr="00810C19">
        <w:rPr>
          <w:rFonts w:cs="Arial"/>
          <w:sz w:val="20"/>
          <w:szCs w:val="20"/>
          <w:u w:val="single"/>
          <w:rtl/>
        </w:rPr>
        <w:t xml:space="preserve"> </w:t>
      </w:r>
      <w:r>
        <w:rPr>
          <w:sz w:val="20"/>
          <w:szCs w:val="20"/>
          <w:rtl/>
        </w:rPr>
        <w:br/>
      </w:r>
      <w:r w:rsidRPr="003F3400">
        <w:rPr>
          <w:rFonts w:hint="cs"/>
          <w:b/>
          <w:bCs/>
          <w:sz w:val="20"/>
          <w:szCs w:val="20"/>
          <w:rtl/>
        </w:rPr>
        <w:t>גמרא</w:t>
      </w:r>
      <w:r>
        <w:rPr>
          <w:rFonts w:hint="cs"/>
          <w:sz w:val="20"/>
          <w:szCs w:val="20"/>
          <w:rtl/>
        </w:rPr>
        <w:t xml:space="preserve"> (שם) "</w:t>
      </w:r>
      <w:r w:rsidRPr="003F3400">
        <w:rPr>
          <w:rFonts w:cs="Arial" w:hint="cs"/>
          <w:sz w:val="20"/>
          <w:szCs w:val="20"/>
          <w:rtl/>
        </w:rPr>
        <w:t>והתניא</w:t>
      </w:r>
      <w:r w:rsidRPr="003F3400">
        <w:rPr>
          <w:rFonts w:cs="Arial"/>
          <w:sz w:val="20"/>
          <w:szCs w:val="20"/>
          <w:rtl/>
        </w:rPr>
        <w:t xml:space="preserve">, </w:t>
      </w:r>
      <w:r w:rsidRPr="003F3400">
        <w:rPr>
          <w:rFonts w:cs="Arial" w:hint="cs"/>
          <w:sz w:val="20"/>
          <w:szCs w:val="20"/>
          <w:rtl/>
        </w:rPr>
        <w:t>רבי</w:t>
      </w:r>
      <w:r w:rsidRPr="003F3400">
        <w:rPr>
          <w:rFonts w:cs="Arial"/>
          <w:sz w:val="20"/>
          <w:szCs w:val="20"/>
          <w:rtl/>
        </w:rPr>
        <w:t xml:space="preserve"> </w:t>
      </w:r>
      <w:r w:rsidRPr="003F3400">
        <w:rPr>
          <w:rFonts w:cs="Arial" w:hint="cs"/>
          <w:sz w:val="20"/>
          <w:szCs w:val="20"/>
          <w:rtl/>
        </w:rPr>
        <w:t>יהודה</w:t>
      </w:r>
      <w:r w:rsidRPr="003F3400">
        <w:rPr>
          <w:rFonts w:cs="Arial"/>
          <w:sz w:val="20"/>
          <w:szCs w:val="20"/>
          <w:rtl/>
        </w:rPr>
        <w:t xml:space="preserve"> </w:t>
      </w:r>
      <w:r w:rsidRPr="003F3400">
        <w:rPr>
          <w:rFonts w:cs="Arial" w:hint="cs"/>
          <w:sz w:val="20"/>
          <w:szCs w:val="20"/>
          <w:rtl/>
        </w:rPr>
        <w:t>אומר</w:t>
      </w:r>
      <w:r w:rsidRPr="003F3400">
        <w:rPr>
          <w:rFonts w:cs="Arial"/>
          <w:sz w:val="20"/>
          <w:szCs w:val="20"/>
          <w:rtl/>
        </w:rPr>
        <w:t xml:space="preserve">: </w:t>
      </w:r>
      <w:r w:rsidRPr="003F3400">
        <w:rPr>
          <w:rFonts w:cs="Arial" w:hint="cs"/>
          <w:sz w:val="20"/>
          <w:szCs w:val="20"/>
          <w:rtl/>
        </w:rPr>
        <w:t>כל</w:t>
      </w:r>
      <w:r w:rsidRPr="003F3400">
        <w:rPr>
          <w:rFonts w:cs="Arial"/>
          <w:sz w:val="20"/>
          <w:szCs w:val="20"/>
          <w:rtl/>
        </w:rPr>
        <w:t xml:space="preserve"> </w:t>
      </w:r>
      <w:r w:rsidRPr="003F3400">
        <w:rPr>
          <w:rFonts w:cs="Arial" w:hint="cs"/>
          <w:sz w:val="20"/>
          <w:szCs w:val="20"/>
          <w:rtl/>
        </w:rPr>
        <w:t>הלילה</w:t>
      </w:r>
      <w:r w:rsidRPr="003F3400">
        <w:rPr>
          <w:rFonts w:cs="Arial"/>
          <w:sz w:val="20"/>
          <w:szCs w:val="20"/>
          <w:rtl/>
        </w:rPr>
        <w:t xml:space="preserve"> </w:t>
      </w:r>
      <w:r w:rsidRPr="003F3400">
        <w:rPr>
          <w:rFonts w:cs="Arial" w:hint="cs"/>
          <w:sz w:val="20"/>
          <w:szCs w:val="20"/>
          <w:rtl/>
        </w:rPr>
        <w:t>שלה</w:t>
      </w:r>
      <w:r w:rsidRPr="003F3400">
        <w:rPr>
          <w:rFonts w:cs="Arial"/>
          <w:sz w:val="20"/>
          <w:szCs w:val="20"/>
          <w:rtl/>
        </w:rPr>
        <w:t xml:space="preserve">! </w:t>
      </w:r>
      <w:r w:rsidRPr="003F3400">
        <w:rPr>
          <w:rFonts w:cs="Arial" w:hint="cs"/>
          <w:sz w:val="20"/>
          <w:szCs w:val="20"/>
          <w:rtl/>
        </w:rPr>
        <w:t>לא</w:t>
      </w:r>
      <w:r w:rsidRPr="003F3400">
        <w:rPr>
          <w:rFonts w:cs="Arial"/>
          <w:sz w:val="20"/>
          <w:szCs w:val="20"/>
          <w:rtl/>
        </w:rPr>
        <w:t xml:space="preserve"> </w:t>
      </w:r>
      <w:r w:rsidRPr="003F3400">
        <w:rPr>
          <w:rFonts w:cs="Arial" w:hint="cs"/>
          <w:sz w:val="20"/>
          <w:szCs w:val="20"/>
          <w:rtl/>
        </w:rPr>
        <w:t>קשיא</w:t>
      </w:r>
      <w:r w:rsidRPr="003F3400">
        <w:rPr>
          <w:rFonts w:cs="Arial"/>
          <w:sz w:val="20"/>
          <w:szCs w:val="20"/>
          <w:rtl/>
        </w:rPr>
        <w:t xml:space="preserve">, </w:t>
      </w:r>
      <w:r w:rsidRPr="003F3400">
        <w:rPr>
          <w:rFonts w:cs="Arial" w:hint="cs"/>
          <w:sz w:val="20"/>
          <w:szCs w:val="20"/>
          <w:rtl/>
        </w:rPr>
        <w:t>הא</w:t>
      </w:r>
      <w:r w:rsidRPr="003F3400">
        <w:rPr>
          <w:rFonts w:cs="Arial"/>
          <w:sz w:val="20"/>
          <w:szCs w:val="20"/>
          <w:rtl/>
        </w:rPr>
        <w:t xml:space="preserve"> - </w:t>
      </w:r>
      <w:r w:rsidRPr="003F3400">
        <w:rPr>
          <w:rFonts w:cs="Arial" w:hint="cs"/>
          <w:sz w:val="20"/>
          <w:szCs w:val="20"/>
          <w:rtl/>
        </w:rPr>
        <w:t>דרגילה</w:t>
      </w:r>
      <w:r w:rsidRPr="003F3400">
        <w:rPr>
          <w:rFonts w:cs="Arial"/>
          <w:sz w:val="20"/>
          <w:szCs w:val="20"/>
          <w:rtl/>
        </w:rPr>
        <w:t xml:space="preserve"> </w:t>
      </w:r>
      <w:r w:rsidRPr="003F3400">
        <w:rPr>
          <w:rFonts w:cs="Arial" w:hint="cs"/>
          <w:sz w:val="20"/>
          <w:szCs w:val="20"/>
          <w:rtl/>
        </w:rPr>
        <w:t>לראות</w:t>
      </w:r>
      <w:r w:rsidRPr="003F3400">
        <w:rPr>
          <w:rFonts w:cs="Arial"/>
          <w:sz w:val="20"/>
          <w:szCs w:val="20"/>
          <w:rtl/>
        </w:rPr>
        <w:t xml:space="preserve"> </w:t>
      </w:r>
      <w:r w:rsidRPr="003F3400">
        <w:rPr>
          <w:rFonts w:cs="Arial" w:hint="cs"/>
          <w:sz w:val="20"/>
          <w:szCs w:val="20"/>
          <w:rtl/>
        </w:rPr>
        <w:t>בתחלת</w:t>
      </w:r>
      <w:r w:rsidRPr="003F3400">
        <w:rPr>
          <w:rFonts w:cs="Arial"/>
          <w:sz w:val="20"/>
          <w:szCs w:val="20"/>
          <w:rtl/>
        </w:rPr>
        <w:t xml:space="preserve"> </w:t>
      </w:r>
      <w:r w:rsidRPr="003F3400">
        <w:rPr>
          <w:rFonts w:cs="Arial" w:hint="cs"/>
          <w:sz w:val="20"/>
          <w:szCs w:val="20"/>
          <w:rtl/>
        </w:rPr>
        <w:t>יממא</w:t>
      </w:r>
      <w:r w:rsidRPr="003F3400">
        <w:rPr>
          <w:rFonts w:cs="Arial"/>
          <w:sz w:val="20"/>
          <w:szCs w:val="20"/>
          <w:rtl/>
        </w:rPr>
        <w:t xml:space="preserve">, </w:t>
      </w:r>
      <w:r w:rsidRPr="003F3400">
        <w:rPr>
          <w:rFonts w:cs="Arial" w:hint="cs"/>
          <w:sz w:val="20"/>
          <w:szCs w:val="20"/>
          <w:rtl/>
        </w:rPr>
        <w:t>והא</w:t>
      </w:r>
      <w:r>
        <w:rPr>
          <w:rFonts w:cs="Arial" w:hint="cs"/>
          <w:sz w:val="20"/>
          <w:szCs w:val="20"/>
          <w:rtl/>
        </w:rPr>
        <w:t xml:space="preserve"> </w:t>
      </w:r>
      <w:r w:rsidRPr="00C679E6">
        <w:rPr>
          <w:rFonts w:cs="Arial" w:hint="cs"/>
          <w:sz w:val="18"/>
          <w:szCs w:val="18"/>
          <w:rtl/>
        </w:rPr>
        <w:t>(המשנה)</w:t>
      </w:r>
      <w:r w:rsidRPr="00C679E6">
        <w:rPr>
          <w:rFonts w:cs="Arial"/>
          <w:sz w:val="18"/>
          <w:szCs w:val="18"/>
          <w:rtl/>
        </w:rPr>
        <w:t xml:space="preserve"> </w:t>
      </w:r>
      <w:r w:rsidRPr="003F3400">
        <w:rPr>
          <w:rFonts w:cs="Arial"/>
          <w:sz w:val="20"/>
          <w:szCs w:val="20"/>
          <w:rtl/>
        </w:rPr>
        <w:t xml:space="preserve">- </w:t>
      </w:r>
      <w:r w:rsidRPr="003F3400">
        <w:rPr>
          <w:rFonts w:cs="Arial" w:hint="cs"/>
          <w:sz w:val="20"/>
          <w:szCs w:val="20"/>
          <w:rtl/>
        </w:rPr>
        <w:t>דרגילה</w:t>
      </w:r>
      <w:r w:rsidRPr="003F3400">
        <w:rPr>
          <w:rFonts w:cs="Arial"/>
          <w:sz w:val="20"/>
          <w:szCs w:val="20"/>
          <w:rtl/>
        </w:rPr>
        <w:t xml:space="preserve"> </w:t>
      </w:r>
      <w:r w:rsidRPr="003F3400">
        <w:rPr>
          <w:rFonts w:cs="Arial" w:hint="cs"/>
          <w:sz w:val="20"/>
          <w:szCs w:val="20"/>
          <w:rtl/>
        </w:rPr>
        <w:t>לראות</w:t>
      </w:r>
      <w:r w:rsidRPr="003F3400">
        <w:rPr>
          <w:rFonts w:cs="Arial"/>
          <w:sz w:val="20"/>
          <w:szCs w:val="20"/>
          <w:rtl/>
        </w:rPr>
        <w:t xml:space="preserve"> </w:t>
      </w:r>
      <w:r w:rsidRPr="003F3400">
        <w:rPr>
          <w:rFonts w:cs="Arial" w:hint="cs"/>
          <w:sz w:val="20"/>
          <w:szCs w:val="20"/>
          <w:rtl/>
        </w:rPr>
        <w:t>בסוף</w:t>
      </w:r>
      <w:r w:rsidRPr="003F3400">
        <w:rPr>
          <w:rFonts w:cs="Arial"/>
          <w:sz w:val="20"/>
          <w:szCs w:val="20"/>
          <w:rtl/>
        </w:rPr>
        <w:t xml:space="preserve"> </w:t>
      </w:r>
      <w:r w:rsidRPr="003F3400">
        <w:rPr>
          <w:rFonts w:cs="Arial" w:hint="cs"/>
          <w:sz w:val="20"/>
          <w:szCs w:val="20"/>
          <w:rtl/>
        </w:rPr>
        <w:t>ליליא</w:t>
      </w:r>
      <w:r>
        <w:rPr>
          <w:rFonts w:cs="Arial" w:hint="cs"/>
          <w:sz w:val="20"/>
          <w:szCs w:val="20"/>
          <w:rtl/>
        </w:rPr>
        <w:t>".</w:t>
      </w:r>
      <w:r>
        <w:rPr>
          <w:rFonts w:hint="cs"/>
          <w:sz w:val="20"/>
          <w:szCs w:val="20"/>
          <w:rtl/>
        </w:rPr>
        <w:br/>
      </w:r>
      <w:r>
        <w:rPr>
          <w:rFonts w:hint="cs"/>
          <w:sz w:val="20"/>
          <w:szCs w:val="20"/>
          <w:rtl/>
        </w:rPr>
        <w:br/>
        <w:t xml:space="preserve">א. </w:t>
      </w:r>
      <w:r w:rsidRPr="001250AA">
        <w:rPr>
          <w:rFonts w:hint="cs"/>
          <w:sz w:val="20"/>
          <w:szCs w:val="20"/>
          <w:u w:val="single"/>
          <w:rtl/>
        </w:rPr>
        <w:t>שיטת המחמירים</w:t>
      </w:r>
      <w:r>
        <w:rPr>
          <w:rFonts w:hint="cs"/>
          <w:sz w:val="20"/>
          <w:szCs w:val="20"/>
          <w:rtl/>
        </w:rPr>
        <w:t xml:space="preserve"> </w:t>
      </w:r>
      <w:r>
        <w:rPr>
          <w:sz w:val="20"/>
          <w:szCs w:val="20"/>
          <w:rtl/>
        </w:rPr>
        <w:t>–</w:t>
      </w:r>
      <w:r>
        <w:rPr>
          <w:rFonts w:hint="cs"/>
          <w:sz w:val="20"/>
          <w:szCs w:val="20"/>
          <w:rtl/>
        </w:rPr>
        <w:t xml:space="preserve"> מדברי רבי יוסי נשמע לרבי יהודה. כלומר, כפי שרבי יוסי מודה שאסורה כל משך עונתה, הוא הדין לרבי יהודה שיש לאוסרה בכל הזמן שבו לדעתו היא שעת עונתה, ומכיוון שאינו מונה שעות לווסתות אלא אוסר בכל העונה, יש לאוסרה כל היום וכל הלילה.</w:t>
      </w:r>
      <w:r>
        <w:rPr>
          <w:rFonts w:hint="cs"/>
          <w:sz w:val="20"/>
          <w:szCs w:val="20"/>
          <w:rtl/>
        </w:rPr>
        <w:br/>
        <w:t xml:space="preserve">ב. </w:t>
      </w:r>
      <w:r w:rsidRPr="003F3400">
        <w:rPr>
          <w:rFonts w:hint="cs"/>
          <w:sz w:val="20"/>
          <w:szCs w:val="20"/>
          <w:u w:val="single"/>
          <w:rtl/>
        </w:rPr>
        <w:t>שיטת המקלים</w:t>
      </w:r>
      <w:r>
        <w:rPr>
          <w:rFonts w:hint="cs"/>
          <w:sz w:val="20"/>
          <w:szCs w:val="20"/>
          <w:rtl/>
        </w:rPr>
        <w:t xml:space="preserve"> </w:t>
      </w:r>
      <w:r>
        <w:rPr>
          <w:sz w:val="20"/>
          <w:szCs w:val="20"/>
          <w:rtl/>
        </w:rPr>
        <w:t>–</w:t>
      </w:r>
      <w:r>
        <w:rPr>
          <w:rFonts w:hint="cs"/>
          <w:sz w:val="20"/>
          <w:szCs w:val="20"/>
          <w:rtl/>
        </w:rPr>
        <w:t xml:space="preserve"> יש ללכת אחר העונה שהווסת מתחיל בה.</w:t>
      </w:r>
      <w:r>
        <w:rPr>
          <w:sz w:val="20"/>
          <w:szCs w:val="20"/>
          <w:rtl/>
        </w:rPr>
        <w:br/>
      </w:r>
      <w:r w:rsidRPr="00C324A2">
        <w:rPr>
          <w:rFonts w:hint="cs"/>
          <w:sz w:val="20"/>
          <w:szCs w:val="20"/>
          <w:u w:val="single"/>
          <w:rtl/>
        </w:rPr>
        <w:t>ראייה</w:t>
      </w:r>
      <w:r>
        <w:rPr>
          <w:rFonts w:hint="cs"/>
          <w:sz w:val="20"/>
          <w:szCs w:val="20"/>
          <w:rtl/>
        </w:rPr>
        <w:t xml:space="preserve"> - המשנה עוסקת במי שרגילה לראות גם לאחר הנץ החמה, משום שלא ייתכן לומר שבדיוק בהנץ נגמרת הראייה, וכן משום שהמשנה אינה מחלקת בין ראייה ארוכה לקצרה, אלא על כרחך רואה מעט גם ביום ואעפ"כ רבי יהודה אוסרה רק בלילה.</w:t>
      </w:r>
      <w:r>
        <w:rPr>
          <w:rFonts w:hint="cs"/>
          <w:sz w:val="20"/>
          <w:szCs w:val="20"/>
          <w:rtl/>
        </w:rPr>
        <w:br/>
        <w:t xml:space="preserve">ג. </w:t>
      </w:r>
      <w:r w:rsidRPr="00FC3842">
        <w:rPr>
          <w:rFonts w:hint="cs"/>
          <w:sz w:val="20"/>
          <w:szCs w:val="20"/>
          <w:u w:val="single"/>
          <w:rtl/>
        </w:rPr>
        <w:t>שיטת הראב"ד</w:t>
      </w:r>
      <w:r>
        <w:rPr>
          <w:rFonts w:hint="cs"/>
          <w:sz w:val="20"/>
          <w:szCs w:val="20"/>
          <w:rtl/>
        </w:rPr>
        <w:t xml:space="preserve"> </w:t>
      </w:r>
      <w:r>
        <w:rPr>
          <w:sz w:val="20"/>
          <w:szCs w:val="20"/>
          <w:rtl/>
        </w:rPr>
        <w:t>–</w:t>
      </w:r>
      <w:r>
        <w:rPr>
          <w:rFonts w:hint="cs"/>
          <w:sz w:val="20"/>
          <w:szCs w:val="20"/>
          <w:rtl/>
        </w:rPr>
        <w:t xml:space="preserve"> לקמן מבואר שאם רגילה לראות ראייה הנמשכת שלושה ימים יש לפרוש כל אותם הימים, דהיינו שטעמו דבכל זמן משך הווסת יש לפרוש, והא הדין כאן.</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2A6F03">
        <w:rPr>
          <w:rFonts w:cs="Arial" w:hint="cs"/>
          <w:sz w:val="20"/>
          <w:szCs w:val="20"/>
          <w:rtl/>
        </w:rPr>
        <w:t>אם</w:t>
      </w:r>
      <w:r w:rsidRPr="002A6F03">
        <w:rPr>
          <w:rFonts w:cs="Arial"/>
          <w:sz w:val="20"/>
          <w:szCs w:val="20"/>
          <w:rtl/>
        </w:rPr>
        <w:t xml:space="preserve"> </w:t>
      </w:r>
      <w:r w:rsidRPr="002A6F03">
        <w:rPr>
          <w:rFonts w:cs="Arial" w:hint="cs"/>
          <w:sz w:val="20"/>
          <w:szCs w:val="20"/>
          <w:rtl/>
        </w:rPr>
        <w:t>רגילה</w:t>
      </w:r>
      <w:r w:rsidRPr="002A6F03">
        <w:rPr>
          <w:rFonts w:cs="Arial"/>
          <w:sz w:val="20"/>
          <w:szCs w:val="20"/>
          <w:rtl/>
        </w:rPr>
        <w:t xml:space="preserve"> </w:t>
      </w:r>
      <w:r w:rsidRPr="002A6F03">
        <w:rPr>
          <w:rFonts w:cs="Arial" w:hint="cs"/>
          <w:sz w:val="20"/>
          <w:szCs w:val="20"/>
          <w:rtl/>
        </w:rPr>
        <w:t>לראות</w:t>
      </w:r>
      <w:r w:rsidRPr="002A6F03">
        <w:rPr>
          <w:rFonts w:cs="Arial"/>
          <w:sz w:val="20"/>
          <w:szCs w:val="20"/>
          <w:rtl/>
        </w:rPr>
        <w:t xml:space="preserve"> </w:t>
      </w:r>
      <w:r w:rsidRPr="002A6F03">
        <w:rPr>
          <w:rFonts w:cs="Arial" w:hint="cs"/>
          <w:sz w:val="20"/>
          <w:szCs w:val="20"/>
          <w:rtl/>
        </w:rPr>
        <w:t>ראייה</w:t>
      </w:r>
      <w:r w:rsidRPr="002A6F03">
        <w:rPr>
          <w:rFonts w:cs="Arial"/>
          <w:sz w:val="20"/>
          <w:szCs w:val="20"/>
          <w:rtl/>
        </w:rPr>
        <w:t xml:space="preserve"> </w:t>
      </w:r>
      <w:r w:rsidRPr="002A6F03">
        <w:rPr>
          <w:rFonts w:cs="Arial" w:hint="cs"/>
          <w:sz w:val="20"/>
          <w:szCs w:val="20"/>
          <w:rtl/>
        </w:rPr>
        <w:t>מקודם</w:t>
      </w:r>
      <w:r w:rsidRPr="002A6F03">
        <w:rPr>
          <w:rFonts w:cs="Arial"/>
          <w:sz w:val="20"/>
          <w:szCs w:val="20"/>
          <w:rtl/>
        </w:rPr>
        <w:t xml:space="preserve"> </w:t>
      </w:r>
      <w:r w:rsidRPr="002A6F03">
        <w:rPr>
          <w:rFonts w:cs="Arial" w:hint="cs"/>
          <w:sz w:val="20"/>
          <w:szCs w:val="20"/>
          <w:rtl/>
        </w:rPr>
        <w:t>הנץ</w:t>
      </w:r>
      <w:r w:rsidRPr="002A6F03">
        <w:rPr>
          <w:rFonts w:cs="Arial"/>
          <w:sz w:val="20"/>
          <w:szCs w:val="20"/>
          <w:rtl/>
        </w:rPr>
        <w:t xml:space="preserve"> </w:t>
      </w:r>
      <w:r w:rsidRPr="002A6F03">
        <w:rPr>
          <w:rFonts w:cs="Arial" w:hint="cs"/>
          <w:sz w:val="20"/>
          <w:szCs w:val="20"/>
          <w:rtl/>
        </w:rPr>
        <w:t>החמה</w:t>
      </w:r>
      <w:r w:rsidRPr="002A6F03">
        <w:rPr>
          <w:rFonts w:cs="Arial"/>
          <w:sz w:val="20"/>
          <w:szCs w:val="20"/>
          <w:rtl/>
        </w:rPr>
        <w:t xml:space="preserve"> </w:t>
      </w:r>
      <w:r w:rsidRPr="002A6F03">
        <w:rPr>
          <w:rFonts w:cs="Arial" w:hint="cs"/>
          <w:sz w:val="20"/>
          <w:szCs w:val="20"/>
          <w:rtl/>
        </w:rPr>
        <w:t>עד</w:t>
      </w:r>
      <w:r w:rsidRPr="002A6F03">
        <w:rPr>
          <w:rFonts w:cs="Arial"/>
          <w:sz w:val="20"/>
          <w:szCs w:val="20"/>
          <w:rtl/>
        </w:rPr>
        <w:t xml:space="preserve"> </w:t>
      </w:r>
      <w:r w:rsidRPr="002A6F03">
        <w:rPr>
          <w:rFonts w:cs="Arial" w:hint="cs"/>
          <w:sz w:val="20"/>
          <w:szCs w:val="20"/>
          <w:rtl/>
        </w:rPr>
        <w:t>אחר</w:t>
      </w:r>
      <w:r w:rsidRPr="002A6F03">
        <w:rPr>
          <w:rFonts w:cs="Arial"/>
          <w:sz w:val="20"/>
          <w:szCs w:val="20"/>
          <w:rtl/>
        </w:rPr>
        <w:t xml:space="preserve"> </w:t>
      </w:r>
      <w:r w:rsidRPr="002A6F03">
        <w:rPr>
          <w:rFonts w:cs="Arial" w:hint="cs"/>
          <w:sz w:val="20"/>
          <w:szCs w:val="20"/>
          <w:rtl/>
        </w:rPr>
        <w:t>הנץ</w:t>
      </w:r>
      <w:r w:rsidRPr="002A6F03">
        <w:rPr>
          <w:rFonts w:cs="Arial"/>
          <w:sz w:val="20"/>
          <w:szCs w:val="20"/>
          <w:rtl/>
        </w:rPr>
        <w:t xml:space="preserve"> </w:t>
      </w:r>
      <w:r w:rsidRPr="002A6F03">
        <w:rPr>
          <w:rFonts w:cs="Arial" w:hint="cs"/>
          <w:sz w:val="20"/>
          <w:szCs w:val="20"/>
          <w:rtl/>
        </w:rPr>
        <w:t>החמה</w:t>
      </w:r>
      <w:r w:rsidRPr="002A6F03">
        <w:rPr>
          <w:rFonts w:cs="Arial"/>
          <w:sz w:val="20"/>
          <w:szCs w:val="20"/>
          <w:rtl/>
        </w:rPr>
        <w:t xml:space="preserve">, </w:t>
      </w:r>
      <w:r w:rsidRPr="002A6F03">
        <w:rPr>
          <w:rFonts w:cs="Arial" w:hint="cs"/>
          <w:sz w:val="20"/>
          <w:szCs w:val="20"/>
          <w:rtl/>
        </w:rPr>
        <w:t>אסורה</w:t>
      </w:r>
      <w:r w:rsidRPr="002A6F03">
        <w:rPr>
          <w:rFonts w:cs="Arial"/>
          <w:sz w:val="20"/>
          <w:szCs w:val="20"/>
          <w:rtl/>
        </w:rPr>
        <w:t xml:space="preserve"> </w:t>
      </w:r>
      <w:r w:rsidRPr="002A6F03">
        <w:rPr>
          <w:rFonts w:cs="Arial" w:hint="cs"/>
          <w:sz w:val="20"/>
          <w:szCs w:val="20"/>
          <w:rtl/>
        </w:rPr>
        <w:t>בלילה</w:t>
      </w:r>
      <w:r w:rsidRPr="002A6F03">
        <w:rPr>
          <w:rFonts w:cs="Arial"/>
          <w:sz w:val="20"/>
          <w:szCs w:val="20"/>
          <w:rtl/>
        </w:rPr>
        <w:t xml:space="preserve"> </w:t>
      </w:r>
      <w:r w:rsidRPr="002A6F03">
        <w:rPr>
          <w:rFonts w:cs="Arial" w:hint="cs"/>
          <w:sz w:val="20"/>
          <w:szCs w:val="20"/>
          <w:rtl/>
        </w:rPr>
        <w:t>וביום</w:t>
      </w:r>
      <w:r w:rsidRPr="002A6F03">
        <w:rPr>
          <w:rFonts w:cs="Arial"/>
          <w:sz w:val="20"/>
          <w:szCs w:val="20"/>
          <w:rtl/>
        </w:rPr>
        <w:t xml:space="preserve"> </w:t>
      </w:r>
      <w:r w:rsidRPr="002A6F03">
        <w:rPr>
          <w:rFonts w:cs="Arial" w:hint="cs"/>
          <w:sz w:val="20"/>
          <w:szCs w:val="20"/>
          <w:rtl/>
        </w:rPr>
        <w:t>כשיעור</w:t>
      </w:r>
      <w:r w:rsidRPr="002A6F03">
        <w:rPr>
          <w:rFonts w:cs="Arial"/>
          <w:sz w:val="20"/>
          <w:szCs w:val="20"/>
          <w:rtl/>
        </w:rPr>
        <w:t xml:space="preserve"> </w:t>
      </w:r>
      <w:r w:rsidRPr="002A6F03">
        <w:rPr>
          <w:rFonts w:cs="Arial" w:hint="cs"/>
          <w:sz w:val="20"/>
          <w:szCs w:val="20"/>
          <w:rtl/>
        </w:rPr>
        <w:t>הנמשך</w:t>
      </w:r>
      <w:r w:rsidRPr="002A6F03">
        <w:rPr>
          <w:rFonts w:cs="Arial"/>
          <w:sz w:val="20"/>
          <w:szCs w:val="20"/>
          <w:rtl/>
        </w:rPr>
        <w:t xml:space="preserve"> </w:t>
      </w:r>
      <w:r w:rsidRPr="002A6F03">
        <w:rPr>
          <w:rFonts w:cs="Arial" w:hint="cs"/>
          <w:sz w:val="20"/>
          <w:szCs w:val="20"/>
          <w:rtl/>
        </w:rPr>
        <w:t>בו</w:t>
      </w:r>
      <w:r>
        <w:rPr>
          <w:rFonts w:cs="Arial" w:hint="cs"/>
          <w:sz w:val="20"/>
          <w:szCs w:val="20"/>
          <w:rtl/>
        </w:rPr>
        <w:t>"</w:t>
      </w:r>
      <w:r w:rsidRPr="002A6F03">
        <w:rPr>
          <w:rFonts w:cs="Arial"/>
          <w:sz w:val="20"/>
          <w:szCs w:val="20"/>
          <w:rtl/>
        </w:rPr>
        <w:t xml:space="preserve">. </w:t>
      </w:r>
      <w:r>
        <w:rPr>
          <w:rFonts w:hint="cs"/>
          <w:sz w:val="20"/>
          <w:szCs w:val="20"/>
          <w:rtl/>
        </w:rPr>
        <w:br/>
      </w:r>
      <w:r w:rsidRPr="002838E3">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הוא הדין אם רגילה לראות ביום ונמשכת ראייתה בלילה, שאסורה כל היום ובלילה שיעור זמן הראייה.</w:t>
      </w:r>
      <w:r>
        <w:rPr>
          <w:sz w:val="20"/>
          <w:szCs w:val="20"/>
          <w:rtl/>
        </w:rPr>
        <w:br/>
      </w:r>
      <w:r w:rsidRPr="009848FD">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טעם הדין הוא משום שיש ללכת אחר שעת תחילת הווסת שהיא העיקר, אלא שנמשך מעט.</w:t>
      </w:r>
    </w:p>
    <w:p w:rsidR="00620060" w:rsidRDefault="00620060" w:rsidP="00620060">
      <w:pPr>
        <w:rPr>
          <w:sz w:val="20"/>
          <w:szCs w:val="20"/>
          <w:rtl/>
        </w:rPr>
      </w:pPr>
      <w:r>
        <w:rPr>
          <w:rFonts w:hint="cs"/>
          <w:sz w:val="20"/>
          <w:szCs w:val="20"/>
          <w:u w:val="single"/>
          <w:rtl/>
        </w:rPr>
        <w:lastRenderedPageBreak/>
        <w:t>שיטת הש"ך</w:t>
      </w:r>
      <w:r>
        <w:rPr>
          <w:sz w:val="20"/>
          <w:szCs w:val="20"/>
          <w:u w:val="single"/>
          <w:rtl/>
        </w:rPr>
        <w:br/>
      </w:r>
      <w:r>
        <w:rPr>
          <w:rFonts w:hint="cs"/>
          <w:sz w:val="20"/>
          <w:szCs w:val="20"/>
          <w:rtl/>
        </w:rPr>
        <w:t xml:space="preserve">ע"פ שיטתו לעיל שפסק כאו"ז, הוא הדין כאן. כלומר, אשה שרגילה לראות לפני הנץ ומעט אחר הנץ, אסורה בלילה וביום שיעור ראייתה לדעת המחבר, ולדעת הש"ך אסורה גם ביום </w:t>
      </w:r>
      <w:r w:rsidRPr="008834B7">
        <w:rPr>
          <w:rFonts w:hint="cs"/>
          <w:sz w:val="18"/>
          <w:szCs w:val="18"/>
          <w:rtl/>
        </w:rPr>
        <w:t>(שלפני הלילה)</w:t>
      </w:r>
      <w:r>
        <w:rPr>
          <w:rFonts w:hint="cs"/>
          <w:sz w:val="20"/>
          <w:szCs w:val="20"/>
          <w:rtl/>
        </w:rPr>
        <w:t>.</w:t>
      </w:r>
      <w:r>
        <w:rPr>
          <w:rStyle w:val="a5"/>
          <w:sz w:val="20"/>
          <w:szCs w:val="20"/>
          <w:rtl/>
        </w:rPr>
        <w:footnoteReference w:id="35"/>
      </w:r>
    </w:p>
    <w:p w:rsidR="00620060" w:rsidRDefault="00620060" w:rsidP="00620060">
      <w:pPr>
        <w:rPr>
          <w:sz w:val="20"/>
          <w:szCs w:val="20"/>
          <w:rtl/>
        </w:rPr>
      </w:pPr>
      <w:r>
        <w:rPr>
          <w:sz w:val="20"/>
          <w:szCs w:val="20"/>
          <w:rtl/>
        </w:rPr>
        <w:br/>
      </w:r>
      <w:r>
        <w:rPr>
          <w:rFonts w:hint="cs"/>
          <w:b/>
          <w:bCs/>
          <w:sz w:val="20"/>
          <w:szCs w:val="20"/>
          <w:rtl/>
        </w:rPr>
        <w:t xml:space="preserve">סעיף ו </w:t>
      </w:r>
      <w:r>
        <w:rPr>
          <w:b/>
          <w:bCs/>
          <w:sz w:val="20"/>
          <w:szCs w:val="20"/>
          <w:rtl/>
        </w:rPr>
        <w:t>–</w:t>
      </w:r>
      <w:r>
        <w:rPr>
          <w:rFonts w:hint="cs"/>
          <w:b/>
          <w:bCs/>
          <w:sz w:val="20"/>
          <w:szCs w:val="20"/>
          <w:rtl/>
        </w:rPr>
        <w:t xml:space="preserve"> רואה במשך כמה ימים</w:t>
      </w:r>
      <w:r>
        <w:rPr>
          <w:b/>
          <w:bCs/>
          <w:sz w:val="20"/>
          <w:szCs w:val="20"/>
          <w:rtl/>
        </w:rPr>
        <w:br/>
      </w:r>
      <w:r w:rsidRPr="007D46CA">
        <w:rPr>
          <w:rFonts w:hint="cs"/>
          <w:sz w:val="20"/>
          <w:szCs w:val="20"/>
          <w:u w:val="single"/>
          <w:rtl/>
        </w:rPr>
        <w:t>המקרה</w:t>
      </w:r>
      <w:r>
        <w:rPr>
          <w:rFonts w:hint="cs"/>
          <w:sz w:val="20"/>
          <w:szCs w:val="20"/>
          <w:rtl/>
        </w:rPr>
        <w:t xml:space="preserve"> </w:t>
      </w:r>
      <w:r>
        <w:rPr>
          <w:sz w:val="20"/>
          <w:szCs w:val="20"/>
          <w:rtl/>
        </w:rPr>
        <w:t>–</w:t>
      </w:r>
      <w:r>
        <w:rPr>
          <w:rFonts w:hint="cs"/>
          <w:sz w:val="20"/>
          <w:szCs w:val="20"/>
          <w:rtl/>
        </w:rPr>
        <w:t xml:space="preserve"> אשה שרגילה לראות במשך שניים או שלושה ימים ללא הפסק.</w:t>
      </w:r>
    </w:p>
    <w:p w:rsidR="00620060" w:rsidRDefault="00620060" w:rsidP="00620060">
      <w:pPr>
        <w:rPr>
          <w:sz w:val="20"/>
          <w:szCs w:val="20"/>
          <w:rtl/>
        </w:rPr>
      </w:pPr>
      <w:r>
        <w:rPr>
          <w:rFonts w:hint="cs"/>
          <w:sz w:val="20"/>
          <w:szCs w:val="20"/>
          <w:u w:val="single"/>
          <w:rtl/>
        </w:rPr>
        <w:t>שיטות הראשונים</w:t>
      </w:r>
      <w:r>
        <w:rPr>
          <w:rFonts w:hint="cs"/>
          <w:sz w:val="20"/>
          <w:szCs w:val="20"/>
          <w:u w:val="single"/>
          <w:rtl/>
        </w:rPr>
        <w:br/>
      </w:r>
      <w:r>
        <w:rPr>
          <w:rFonts w:hint="cs"/>
          <w:sz w:val="20"/>
          <w:szCs w:val="20"/>
          <w:rtl/>
        </w:rPr>
        <w:t xml:space="preserve">א. </w:t>
      </w:r>
      <w:r w:rsidRPr="007D46CA">
        <w:rPr>
          <w:rFonts w:hint="cs"/>
          <w:b/>
          <w:bCs/>
          <w:sz w:val="20"/>
          <w:szCs w:val="20"/>
          <w:rtl/>
        </w:rPr>
        <w:t xml:space="preserve">רז"ה ורא"ש </w:t>
      </w:r>
      <w:r>
        <w:rPr>
          <w:sz w:val="20"/>
          <w:szCs w:val="20"/>
          <w:rtl/>
        </w:rPr>
        <w:t>–</w:t>
      </w:r>
      <w:r>
        <w:rPr>
          <w:rFonts w:hint="cs"/>
          <w:sz w:val="20"/>
          <w:szCs w:val="20"/>
          <w:rtl/>
        </w:rPr>
        <w:t xml:space="preserve"> פורשת רק בעונה הראשונה של הווסת, וכ"פ </w:t>
      </w:r>
      <w:r w:rsidRPr="007D46CA">
        <w:rPr>
          <w:rFonts w:hint="cs"/>
          <w:b/>
          <w:bCs/>
          <w:sz w:val="20"/>
          <w:szCs w:val="20"/>
          <w:rtl/>
        </w:rPr>
        <w:t>המחבר</w:t>
      </w:r>
      <w:r>
        <w:rPr>
          <w:rFonts w:hint="cs"/>
          <w:sz w:val="20"/>
          <w:szCs w:val="20"/>
          <w:rtl/>
        </w:rPr>
        <w:t>.</w:t>
      </w:r>
      <w:r>
        <w:rPr>
          <w:sz w:val="20"/>
          <w:szCs w:val="20"/>
          <w:rtl/>
        </w:rPr>
        <w:br/>
      </w:r>
      <w:r>
        <w:rPr>
          <w:rFonts w:hint="cs"/>
          <w:sz w:val="20"/>
          <w:szCs w:val="20"/>
          <w:rtl/>
        </w:rPr>
        <w:t xml:space="preserve">ב. </w:t>
      </w:r>
      <w:r w:rsidRPr="007D46CA">
        <w:rPr>
          <w:rFonts w:hint="cs"/>
          <w:b/>
          <w:bCs/>
          <w:sz w:val="20"/>
          <w:szCs w:val="20"/>
          <w:rtl/>
        </w:rPr>
        <w:t>ראב"ד ורמב"ן</w:t>
      </w:r>
      <w:r>
        <w:rPr>
          <w:rFonts w:hint="cs"/>
          <w:sz w:val="20"/>
          <w:szCs w:val="20"/>
          <w:rtl/>
        </w:rPr>
        <w:t xml:space="preserve"> </w:t>
      </w:r>
      <w:r>
        <w:rPr>
          <w:sz w:val="20"/>
          <w:szCs w:val="20"/>
          <w:rtl/>
        </w:rPr>
        <w:t>–</w:t>
      </w:r>
      <w:r>
        <w:rPr>
          <w:rFonts w:hint="cs"/>
          <w:sz w:val="20"/>
          <w:szCs w:val="20"/>
          <w:rtl/>
        </w:rPr>
        <w:t xml:space="preserve"> פורשת כל אותם הימים.</w:t>
      </w:r>
      <w:r>
        <w:rPr>
          <w:sz w:val="20"/>
          <w:szCs w:val="20"/>
          <w:u w:val="single"/>
          <w:rtl/>
        </w:rPr>
        <w:br/>
      </w:r>
      <w:r>
        <w:rPr>
          <w:rFonts w:hint="cs"/>
          <w:sz w:val="20"/>
          <w:szCs w:val="20"/>
          <w:u w:val="single"/>
          <w:rtl/>
        </w:rPr>
        <w:br/>
        <w:t>ראיות לשיטת המקלים</w:t>
      </w:r>
      <w:r>
        <w:rPr>
          <w:sz w:val="20"/>
          <w:szCs w:val="20"/>
          <w:u w:val="single"/>
          <w:rtl/>
        </w:rPr>
        <w:br/>
      </w:r>
      <w:r>
        <w:rPr>
          <w:rFonts w:hint="cs"/>
          <w:sz w:val="20"/>
          <w:szCs w:val="20"/>
          <w:rtl/>
        </w:rPr>
        <w:t xml:space="preserve">א. </w:t>
      </w:r>
      <w:r w:rsidRPr="00252315">
        <w:rPr>
          <w:rFonts w:hint="cs"/>
          <w:b/>
          <w:bCs/>
          <w:sz w:val="20"/>
          <w:szCs w:val="20"/>
          <w:rtl/>
        </w:rPr>
        <w:t>משנה</w:t>
      </w:r>
      <w:r>
        <w:rPr>
          <w:rFonts w:hint="cs"/>
          <w:sz w:val="20"/>
          <w:szCs w:val="20"/>
          <w:rtl/>
        </w:rPr>
        <w:t xml:space="preserve"> נידה (יא.) "</w:t>
      </w:r>
      <w:r w:rsidRPr="00252315">
        <w:rPr>
          <w:rFonts w:cs="Arial" w:hint="cs"/>
          <w:sz w:val="20"/>
          <w:szCs w:val="20"/>
          <w:rtl/>
        </w:rPr>
        <w:t>אף</w:t>
      </w:r>
      <w:r w:rsidRPr="00252315">
        <w:rPr>
          <w:rFonts w:cs="Arial"/>
          <w:sz w:val="20"/>
          <w:szCs w:val="20"/>
          <w:rtl/>
        </w:rPr>
        <w:t xml:space="preserve"> </w:t>
      </w:r>
      <w:r w:rsidRPr="00252315">
        <w:rPr>
          <w:rFonts w:cs="Arial" w:hint="cs"/>
          <w:sz w:val="20"/>
          <w:szCs w:val="20"/>
          <w:rtl/>
        </w:rPr>
        <w:t>על</w:t>
      </w:r>
      <w:r w:rsidRPr="00252315">
        <w:rPr>
          <w:rFonts w:cs="Arial"/>
          <w:sz w:val="20"/>
          <w:szCs w:val="20"/>
          <w:rtl/>
        </w:rPr>
        <w:t xml:space="preserve"> </w:t>
      </w:r>
      <w:r w:rsidRPr="00252315">
        <w:rPr>
          <w:rFonts w:cs="Arial" w:hint="cs"/>
          <w:sz w:val="20"/>
          <w:szCs w:val="20"/>
          <w:rtl/>
        </w:rPr>
        <w:t>פי</w:t>
      </w:r>
      <w:r w:rsidRPr="00252315">
        <w:rPr>
          <w:rFonts w:cs="Arial"/>
          <w:sz w:val="20"/>
          <w:szCs w:val="20"/>
          <w:rtl/>
        </w:rPr>
        <w:t xml:space="preserve"> </w:t>
      </w:r>
      <w:r w:rsidRPr="00252315">
        <w:rPr>
          <w:rFonts w:cs="Arial" w:hint="cs"/>
          <w:sz w:val="20"/>
          <w:szCs w:val="20"/>
          <w:rtl/>
        </w:rPr>
        <w:t>שאמרו</w:t>
      </w:r>
      <w:r w:rsidRPr="00252315">
        <w:rPr>
          <w:rFonts w:cs="Arial"/>
          <w:sz w:val="20"/>
          <w:szCs w:val="20"/>
          <w:rtl/>
        </w:rPr>
        <w:t xml:space="preserve"> </w:t>
      </w:r>
      <w:r w:rsidRPr="00252315">
        <w:rPr>
          <w:rFonts w:cs="Arial" w:hint="cs"/>
          <w:sz w:val="20"/>
          <w:szCs w:val="20"/>
          <w:rtl/>
        </w:rPr>
        <w:t>דיה</w:t>
      </w:r>
      <w:r w:rsidRPr="00252315">
        <w:rPr>
          <w:rFonts w:cs="Arial"/>
          <w:sz w:val="20"/>
          <w:szCs w:val="20"/>
          <w:rtl/>
        </w:rPr>
        <w:t xml:space="preserve"> </w:t>
      </w:r>
      <w:r w:rsidRPr="00252315">
        <w:rPr>
          <w:rFonts w:cs="Arial" w:hint="cs"/>
          <w:sz w:val="20"/>
          <w:szCs w:val="20"/>
          <w:rtl/>
        </w:rPr>
        <w:t>שעתה</w:t>
      </w:r>
      <w:r w:rsidRPr="00252315">
        <w:rPr>
          <w:rFonts w:cs="Arial"/>
          <w:sz w:val="20"/>
          <w:szCs w:val="20"/>
          <w:rtl/>
        </w:rPr>
        <w:t xml:space="preserve"> - </w:t>
      </w:r>
      <w:r w:rsidRPr="00252315">
        <w:rPr>
          <w:rFonts w:cs="Arial" w:hint="cs"/>
          <w:sz w:val="20"/>
          <w:szCs w:val="20"/>
          <w:rtl/>
        </w:rPr>
        <w:t>צריכה</w:t>
      </w:r>
      <w:r w:rsidRPr="00252315">
        <w:rPr>
          <w:rFonts w:cs="Arial"/>
          <w:sz w:val="20"/>
          <w:szCs w:val="20"/>
          <w:rtl/>
        </w:rPr>
        <w:t xml:space="preserve"> </w:t>
      </w:r>
      <w:r w:rsidRPr="00252315">
        <w:rPr>
          <w:rFonts w:cs="Arial" w:hint="cs"/>
          <w:sz w:val="20"/>
          <w:szCs w:val="20"/>
          <w:rtl/>
        </w:rPr>
        <w:t>להיות</w:t>
      </w:r>
      <w:r w:rsidRPr="00252315">
        <w:rPr>
          <w:rFonts w:cs="Arial"/>
          <w:sz w:val="20"/>
          <w:szCs w:val="20"/>
          <w:rtl/>
        </w:rPr>
        <w:t xml:space="preserve"> </w:t>
      </w:r>
      <w:r w:rsidRPr="00252315">
        <w:rPr>
          <w:rFonts w:cs="Arial" w:hint="cs"/>
          <w:sz w:val="20"/>
          <w:szCs w:val="20"/>
          <w:rtl/>
        </w:rPr>
        <w:t>בודקת</w:t>
      </w:r>
      <w:r w:rsidRPr="00252315">
        <w:rPr>
          <w:rFonts w:cs="Arial"/>
          <w:sz w:val="20"/>
          <w:szCs w:val="20"/>
          <w:rtl/>
        </w:rPr>
        <w:t xml:space="preserve">, </w:t>
      </w:r>
      <w:r w:rsidRPr="00252315">
        <w:rPr>
          <w:rFonts w:cs="Arial" w:hint="cs"/>
          <w:sz w:val="20"/>
          <w:szCs w:val="20"/>
          <w:rtl/>
        </w:rPr>
        <w:t>חוץ</w:t>
      </w:r>
      <w:r w:rsidRPr="00252315">
        <w:rPr>
          <w:rFonts w:cs="Arial"/>
          <w:sz w:val="20"/>
          <w:szCs w:val="20"/>
          <w:rtl/>
        </w:rPr>
        <w:t xml:space="preserve"> </w:t>
      </w:r>
      <w:r w:rsidRPr="00252315">
        <w:rPr>
          <w:rFonts w:cs="Arial" w:hint="cs"/>
          <w:sz w:val="20"/>
          <w:szCs w:val="20"/>
          <w:rtl/>
        </w:rPr>
        <w:t>מן</w:t>
      </w:r>
      <w:r w:rsidRPr="00252315">
        <w:rPr>
          <w:rFonts w:cs="Arial"/>
          <w:sz w:val="20"/>
          <w:szCs w:val="20"/>
          <w:rtl/>
        </w:rPr>
        <w:t xml:space="preserve"> </w:t>
      </w:r>
      <w:r w:rsidRPr="00252315">
        <w:rPr>
          <w:rFonts w:cs="Arial" w:hint="cs"/>
          <w:sz w:val="20"/>
          <w:szCs w:val="20"/>
          <w:rtl/>
        </w:rPr>
        <w:t>הנדה</w:t>
      </w:r>
      <w:r>
        <w:rPr>
          <w:rFonts w:hint="cs"/>
          <w:sz w:val="20"/>
          <w:szCs w:val="20"/>
          <w:rtl/>
        </w:rPr>
        <w:t xml:space="preserve"> </w:t>
      </w:r>
      <w:r>
        <w:rPr>
          <w:rFonts w:hint="cs"/>
          <w:sz w:val="18"/>
          <w:szCs w:val="18"/>
          <w:rtl/>
        </w:rPr>
        <w:t>(ד</w:t>
      </w:r>
      <w:r w:rsidRPr="00252315">
        <w:rPr>
          <w:rFonts w:hint="cs"/>
          <w:sz w:val="18"/>
          <w:szCs w:val="18"/>
          <w:rtl/>
        </w:rPr>
        <w:t>בלא"ה טמאה)".</w:t>
      </w:r>
      <w:r>
        <w:rPr>
          <w:rFonts w:hint="cs"/>
          <w:sz w:val="20"/>
          <w:szCs w:val="20"/>
          <w:rtl/>
        </w:rPr>
        <w:br/>
      </w:r>
      <w:r w:rsidRPr="007A2349">
        <w:rPr>
          <w:rFonts w:hint="cs"/>
          <w:b/>
          <w:bCs/>
          <w:sz w:val="20"/>
          <w:szCs w:val="20"/>
          <w:rtl/>
        </w:rPr>
        <w:t>גמרא</w:t>
      </w:r>
      <w:r>
        <w:rPr>
          <w:rFonts w:hint="cs"/>
          <w:sz w:val="20"/>
          <w:szCs w:val="20"/>
          <w:rtl/>
        </w:rPr>
        <w:t xml:space="preserve"> (שם) "</w:t>
      </w:r>
      <w:r w:rsidRPr="0015516C">
        <w:rPr>
          <w:rFonts w:cs="Arial" w:hint="cs"/>
          <w:sz w:val="20"/>
          <w:szCs w:val="20"/>
          <w:rtl/>
        </w:rPr>
        <w:t>הניחא</w:t>
      </w:r>
      <w:r w:rsidRPr="0015516C">
        <w:rPr>
          <w:rFonts w:cs="Arial"/>
          <w:sz w:val="20"/>
          <w:szCs w:val="20"/>
          <w:rtl/>
        </w:rPr>
        <w:t xml:space="preserve"> </w:t>
      </w:r>
      <w:r w:rsidRPr="0015516C">
        <w:rPr>
          <w:rFonts w:cs="Arial" w:hint="cs"/>
          <w:sz w:val="20"/>
          <w:szCs w:val="20"/>
          <w:rtl/>
        </w:rPr>
        <w:t>לרבי</w:t>
      </w:r>
      <w:r w:rsidRPr="0015516C">
        <w:rPr>
          <w:rFonts w:cs="Arial"/>
          <w:sz w:val="20"/>
          <w:szCs w:val="20"/>
          <w:rtl/>
        </w:rPr>
        <w:t xml:space="preserve"> </w:t>
      </w:r>
      <w:r w:rsidRPr="0015516C">
        <w:rPr>
          <w:rFonts w:cs="Arial" w:hint="cs"/>
          <w:sz w:val="20"/>
          <w:szCs w:val="20"/>
          <w:rtl/>
        </w:rPr>
        <w:t>שמעון</w:t>
      </w:r>
      <w:r w:rsidRPr="0015516C">
        <w:rPr>
          <w:rFonts w:cs="Arial"/>
          <w:sz w:val="20"/>
          <w:szCs w:val="20"/>
          <w:rtl/>
        </w:rPr>
        <w:t xml:space="preserve"> </w:t>
      </w:r>
      <w:r w:rsidRPr="0015516C">
        <w:rPr>
          <w:rFonts w:cs="Arial" w:hint="cs"/>
          <w:sz w:val="20"/>
          <w:szCs w:val="20"/>
          <w:rtl/>
        </w:rPr>
        <w:t>בן</w:t>
      </w:r>
      <w:r w:rsidRPr="0015516C">
        <w:rPr>
          <w:rFonts w:cs="Arial"/>
          <w:sz w:val="20"/>
          <w:szCs w:val="20"/>
          <w:rtl/>
        </w:rPr>
        <w:t xml:space="preserve"> </w:t>
      </w:r>
      <w:r w:rsidRPr="0015516C">
        <w:rPr>
          <w:rFonts w:cs="Arial" w:hint="cs"/>
          <w:sz w:val="20"/>
          <w:szCs w:val="20"/>
          <w:rtl/>
        </w:rPr>
        <w:t>לקיש</w:t>
      </w:r>
      <w:r w:rsidRPr="0015516C">
        <w:rPr>
          <w:rFonts w:cs="Arial"/>
          <w:sz w:val="20"/>
          <w:szCs w:val="20"/>
          <w:rtl/>
        </w:rPr>
        <w:t xml:space="preserve"> </w:t>
      </w:r>
      <w:r w:rsidRPr="0015516C">
        <w:rPr>
          <w:rFonts w:cs="Arial" w:hint="cs"/>
          <w:sz w:val="20"/>
          <w:szCs w:val="20"/>
          <w:rtl/>
        </w:rPr>
        <w:t>דאמר</w:t>
      </w:r>
      <w:r w:rsidRPr="0015516C">
        <w:rPr>
          <w:rFonts w:cs="Arial"/>
          <w:sz w:val="20"/>
          <w:szCs w:val="20"/>
          <w:rtl/>
        </w:rPr>
        <w:t xml:space="preserve"> </w:t>
      </w:r>
      <w:r w:rsidRPr="0015516C">
        <w:rPr>
          <w:rFonts w:cs="Arial" w:hint="cs"/>
          <w:sz w:val="20"/>
          <w:szCs w:val="20"/>
          <w:rtl/>
        </w:rPr>
        <w:t>אין</w:t>
      </w:r>
      <w:r w:rsidRPr="0015516C">
        <w:rPr>
          <w:rFonts w:cs="Arial"/>
          <w:sz w:val="20"/>
          <w:szCs w:val="20"/>
          <w:rtl/>
        </w:rPr>
        <w:t xml:space="preserve"> </w:t>
      </w:r>
      <w:r w:rsidRPr="0015516C">
        <w:rPr>
          <w:rFonts w:cs="Arial" w:hint="cs"/>
          <w:sz w:val="20"/>
          <w:szCs w:val="20"/>
          <w:rtl/>
        </w:rPr>
        <w:t>אשה</w:t>
      </w:r>
      <w:r w:rsidRPr="0015516C">
        <w:rPr>
          <w:rFonts w:cs="Arial"/>
          <w:sz w:val="20"/>
          <w:szCs w:val="20"/>
          <w:rtl/>
        </w:rPr>
        <w:t xml:space="preserve"> </w:t>
      </w:r>
      <w:r w:rsidRPr="0015516C">
        <w:rPr>
          <w:rFonts w:cs="Arial" w:hint="cs"/>
          <w:sz w:val="20"/>
          <w:szCs w:val="20"/>
          <w:rtl/>
        </w:rPr>
        <w:t>קובעת</w:t>
      </w:r>
      <w:r w:rsidRPr="0015516C">
        <w:rPr>
          <w:rFonts w:cs="Arial"/>
          <w:sz w:val="20"/>
          <w:szCs w:val="20"/>
          <w:rtl/>
        </w:rPr>
        <w:t xml:space="preserve"> </w:t>
      </w:r>
      <w:r w:rsidRPr="0015516C">
        <w:rPr>
          <w:rFonts w:cs="Arial" w:hint="cs"/>
          <w:sz w:val="20"/>
          <w:szCs w:val="20"/>
          <w:rtl/>
        </w:rPr>
        <w:t>לה</w:t>
      </w:r>
      <w:r w:rsidRPr="0015516C">
        <w:rPr>
          <w:rFonts w:cs="Arial"/>
          <w:sz w:val="20"/>
          <w:szCs w:val="20"/>
          <w:rtl/>
        </w:rPr>
        <w:t xml:space="preserve"> </w:t>
      </w:r>
      <w:r w:rsidRPr="0015516C">
        <w:rPr>
          <w:rFonts w:cs="Arial" w:hint="cs"/>
          <w:sz w:val="20"/>
          <w:szCs w:val="20"/>
          <w:rtl/>
        </w:rPr>
        <w:t>וסת</w:t>
      </w:r>
      <w:r w:rsidRPr="0015516C">
        <w:rPr>
          <w:rFonts w:cs="Arial"/>
          <w:sz w:val="20"/>
          <w:szCs w:val="20"/>
          <w:rtl/>
        </w:rPr>
        <w:t xml:space="preserve"> </w:t>
      </w:r>
      <w:r w:rsidRPr="0015516C">
        <w:rPr>
          <w:rFonts w:cs="Arial" w:hint="cs"/>
          <w:sz w:val="20"/>
          <w:szCs w:val="20"/>
          <w:rtl/>
        </w:rPr>
        <w:t>בתוך</w:t>
      </w:r>
      <w:r w:rsidRPr="0015516C">
        <w:rPr>
          <w:rFonts w:cs="Arial"/>
          <w:sz w:val="20"/>
          <w:szCs w:val="20"/>
          <w:rtl/>
        </w:rPr>
        <w:t xml:space="preserve"> </w:t>
      </w:r>
      <w:r w:rsidRPr="0015516C">
        <w:rPr>
          <w:rFonts w:cs="Arial" w:hint="cs"/>
          <w:sz w:val="20"/>
          <w:szCs w:val="20"/>
          <w:rtl/>
        </w:rPr>
        <w:t>ימי</w:t>
      </w:r>
      <w:r w:rsidRPr="0015516C">
        <w:rPr>
          <w:rFonts w:cs="Arial"/>
          <w:sz w:val="20"/>
          <w:szCs w:val="20"/>
          <w:rtl/>
        </w:rPr>
        <w:t xml:space="preserve"> </w:t>
      </w:r>
      <w:r w:rsidRPr="0015516C">
        <w:rPr>
          <w:rFonts w:cs="Arial" w:hint="cs"/>
          <w:sz w:val="20"/>
          <w:szCs w:val="20"/>
          <w:rtl/>
        </w:rPr>
        <w:t>נדתה</w:t>
      </w:r>
      <w:r w:rsidRPr="0015516C">
        <w:rPr>
          <w:rFonts w:cs="Arial"/>
          <w:sz w:val="20"/>
          <w:szCs w:val="20"/>
          <w:rtl/>
        </w:rPr>
        <w:t xml:space="preserve"> - </w:t>
      </w:r>
      <w:r w:rsidRPr="0015516C">
        <w:rPr>
          <w:rFonts w:cs="Arial" w:hint="cs"/>
          <w:sz w:val="20"/>
          <w:szCs w:val="20"/>
          <w:rtl/>
        </w:rPr>
        <w:t>שפיר</w:t>
      </w:r>
      <w:r w:rsidRPr="0015516C">
        <w:rPr>
          <w:rFonts w:cs="Arial"/>
          <w:sz w:val="20"/>
          <w:szCs w:val="20"/>
          <w:rtl/>
        </w:rPr>
        <w:t xml:space="preserve">; </w:t>
      </w:r>
      <w:r w:rsidRPr="0015516C">
        <w:rPr>
          <w:rFonts w:cs="Arial" w:hint="cs"/>
          <w:sz w:val="20"/>
          <w:szCs w:val="20"/>
          <w:rtl/>
        </w:rPr>
        <w:t>אלא</w:t>
      </w:r>
      <w:r w:rsidRPr="0015516C">
        <w:rPr>
          <w:rFonts w:cs="Arial"/>
          <w:sz w:val="20"/>
          <w:szCs w:val="20"/>
          <w:rtl/>
        </w:rPr>
        <w:t xml:space="preserve"> </w:t>
      </w:r>
      <w:r w:rsidRPr="0015516C">
        <w:rPr>
          <w:rFonts w:cs="Arial" w:hint="cs"/>
          <w:sz w:val="20"/>
          <w:szCs w:val="20"/>
          <w:rtl/>
        </w:rPr>
        <w:t>לרבי</w:t>
      </w:r>
      <w:r w:rsidRPr="0015516C">
        <w:rPr>
          <w:rFonts w:cs="Arial"/>
          <w:sz w:val="20"/>
          <w:szCs w:val="20"/>
          <w:rtl/>
        </w:rPr>
        <w:t xml:space="preserve"> </w:t>
      </w:r>
      <w:r w:rsidRPr="0015516C">
        <w:rPr>
          <w:rFonts w:cs="Arial" w:hint="cs"/>
          <w:sz w:val="20"/>
          <w:szCs w:val="20"/>
          <w:rtl/>
        </w:rPr>
        <w:t>יוחנן</w:t>
      </w:r>
      <w:r w:rsidRPr="0015516C">
        <w:rPr>
          <w:rFonts w:cs="Arial"/>
          <w:sz w:val="20"/>
          <w:szCs w:val="20"/>
          <w:rtl/>
        </w:rPr>
        <w:t xml:space="preserve">, </w:t>
      </w:r>
      <w:r w:rsidRPr="0015516C">
        <w:rPr>
          <w:rFonts w:cs="Arial" w:hint="cs"/>
          <w:sz w:val="20"/>
          <w:szCs w:val="20"/>
          <w:rtl/>
        </w:rPr>
        <w:t>דאמר</w:t>
      </w:r>
      <w:r w:rsidRPr="0015516C">
        <w:rPr>
          <w:rFonts w:cs="Arial"/>
          <w:sz w:val="20"/>
          <w:szCs w:val="20"/>
          <w:rtl/>
        </w:rPr>
        <w:t xml:space="preserve"> </w:t>
      </w:r>
      <w:r w:rsidRPr="0015516C">
        <w:rPr>
          <w:rFonts w:cs="Arial" w:hint="cs"/>
          <w:sz w:val="20"/>
          <w:szCs w:val="20"/>
          <w:rtl/>
        </w:rPr>
        <w:t>אשה</w:t>
      </w:r>
      <w:r w:rsidRPr="0015516C">
        <w:rPr>
          <w:rFonts w:cs="Arial"/>
          <w:sz w:val="20"/>
          <w:szCs w:val="20"/>
          <w:rtl/>
        </w:rPr>
        <w:t xml:space="preserve"> </w:t>
      </w:r>
      <w:r w:rsidRPr="0015516C">
        <w:rPr>
          <w:rFonts w:cs="Arial" w:hint="cs"/>
          <w:sz w:val="20"/>
          <w:szCs w:val="20"/>
          <w:rtl/>
        </w:rPr>
        <w:t>קובעת</w:t>
      </w:r>
      <w:r w:rsidRPr="0015516C">
        <w:rPr>
          <w:rFonts w:cs="Arial"/>
          <w:sz w:val="20"/>
          <w:szCs w:val="20"/>
          <w:rtl/>
        </w:rPr>
        <w:t xml:space="preserve"> </w:t>
      </w:r>
      <w:r w:rsidRPr="0015516C">
        <w:rPr>
          <w:rFonts w:cs="Arial" w:hint="cs"/>
          <w:sz w:val="20"/>
          <w:szCs w:val="20"/>
          <w:rtl/>
        </w:rPr>
        <w:t>לה</w:t>
      </w:r>
      <w:r w:rsidRPr="0015516C">
        <w:rPr>
          <w:rFonts w:cs="Arial"/>
          <w:sz w:val="20"/>
          <w:szCs w:val="20"/>
          <w:rtl/>
        </w:rPr>
        <w:t xml:space="preserve"> </w:t>
      </w:r>
      <w:r w:rsidRPr="0015516C">
        <w:rPr>
          <w:rFonts w:cs="Arial" w:hint="cs"/>
          <w:sz w:val="20"/>
          <w:szCs w:val="20"/>
          <w:rtl/>
        </w:rPr>
        <w:t>וסת</w:t>
      </w:r>
      <w:r w:rsidRPr="0015516C">
        <w:rPr>
          <w:rFonts w:cs="Arial"/>
          <w:sz w:val="20"/>
          <w:szCs w:val="20"/>
          <w:rtl/>
        </w:rPr>
        <w:t xml:space="preserve"> </w:t>
      </w:r>
      <w:r w:rsidRPr="0015516C">
        <w:rPr>
          <w:rFonts w:cs="Arial" w:hint="cs"/>
          <w:sz w:val="20"/>
          <w:szCs w:val="20"/>
          <w:rtl/>
        </w:rPr>
        <w:t>בתוך</w:t>
      </w:r>
      <w:r w:rsidRPr="0015516C">
        <w:rPr>
          <w:rFonts w:cs="Arial"/>
          <w:sz w:val="20"/>
          <w:szCs w:val="20"/>
          <w:rtl/>
        </w:rPr>
        <w:t xml:space="preserve"> </w:t>
      </w:r>
      <w:r w:rsidRPr="0015516C">
        <w:rPr>
          <w:rFonts w:cs="Arial" w:hint="cs"/>
          <w:sz w:val="20"/>
          <w:szCs w:val="20"/>
          <w:rtl/>
        </w:rPr>
        <w:t>ימי</w:t>
      </w:r>
      <w:r w:rsidRPr="0015516C">
        <w:rPr>
          <w:rFonts w:cs="Arial"/>
          <w:sz w:val="20"/>
          <w:szCs w:val="20"/>
          <w:rtl/>
        </w:rPr>
        <w:t xml:space="preserve"> </w:t>
      </w:r>
      <w:r w:rsidRPr="0015516C">
        <w:rPr>
          <w:rFonts w:cs="Arial" w:hint="cs"/>
          <w:sz w:val="20"/>
          <w:szCs w:val="20"/>
          <w:rtl/>
        </w:rPr>
        <w:t>נדתה</w:t>
      </w:r>
      <w:r w:rsidRPr="0015516C">
        <w:rPr>
          <w:rFonts w:cs="Arial"/>
          <w:sz w:val="20"/>
          <w:szCs w:val="20"/>
          <w:rtl/>
        </w:rPr>
        <w:t xml:space="preserve"> - </w:t>
      </w:r>
      <w:r w:rsidRPr="0015516C">
        <w:rPr>
          <w:rFonts w:cs="Arial" w:hint="cs"/>
          <w:sz w:val="20"/>
          <w:szCs w:val="20"/>
          <w:rtl/>
        </w:rPr>
        <w:t>תבדוק</w:t>
      </w:r>
      <w:r w:rsidRPr="0015516C">
        <w:rPr>
          <w:rFonts w:cs="Arial"/>
          <w:sz w:val="20"/>
          <w:szCs w:val="20"/>
          <w:rtl/>
        </w:rPr>
        <w:t xml:space="preserve">, </w:t>
      </w:r>
      <w:r w:rsidRPr="0015516C">
        <w:rPr>
          <w:rFonts w:cs="Arial" w:hint="cs"/>
          <w:sz w:val="20"/>
          <w:szCs w:val="20"/>
          <w:rtl/>
        </w:rPr>
        <w:t>דילמא</w:t>
      </w:r>
      <w:r w:rsidRPr="0015516C">
        <w:rPr>
          <w:rFonts w:cs="Arial"/>
          <w:sz w:val="20"/>
          <w:szCs w:val="20"/>
          <w:rtl/>
        </w:rPr>
        <w:t xml:space="preserve"> </w:t>
      </w:r>
      <w:r w:rsidRPr="0015516C">
        <w:rPr>
          <w:rFonts w:cs="Arial" w:hint="cs"/>
          <w:sz w:val="20"/>
          <w:szCs w:val="20"/>
          <w:rtl/>
        </w:rPr>
        <w:t>קבעה</w:t>
      </w:r>
      <w:r w:rsidRPr="0015516C">
        <w:rPr>
          <w:rFonts w:cs="Arial"/>
          <w:sz w:val="20"/>
          <w:szCs w:val="20"/>
          <w:rtl/>
        </w:rPr>
        <w:t xml:space="preserve"> </w:t>
      </w:r>
      <w:r w:rsidRPr="0015516C">
        <w:rPr>
          <w:rFonts w:cs="Arial" w:hint="cs"/>
          <w:sz w:val="20"/>
          <w:szCs w:val="20"/>
          <w:rtl/>
        </w:rPr>
        <w:t>לה</w:t>
      </w:r>
      <w:r w:rsidRPr="0015516C">
        <w:rPr>
          <w:rFonts w:cs="Arial"/>
          <w:sz w:val="20"/>
          <w:szCs w:val="20"/>
          <w:rtl/>
        </w:rPr>
        <w:t xml:space="preserve"> </w:t>
      </w:r>
      <w:r w:rsidRPr="0015516C">
        <w:rPr>
          <w:rFonts w:cs="Arial" w:hint="cs"/>
          <w:sz w:val="20"/>
          <w:szCs w:val="20"/>
          <w:rtl/>
        </w:rPr>
        <w:t>וסת</w:t>
      </w:r>
      <w:r w:rsidRPr="0015516C">
        <w:rPr>
          <w:rFonts w:cs="Arial"/>
          <w:sz w:val="20"/>
          <w:szCs w:val="20"/>
          <w:rtl/>
        </w:rPr>
        <w:t>!</w:t>
      </w:r>
      <w:r>
        <w:rPr>
          <w:rFonts w:hint="cs"/>
          <w:sz w:val="20"/>
          <w:szCs w:val="20"/>
          <w:rtl/>
        </w:rPr>
        <w:t>"</w:t>
      </w:r>
      <w:r>
        <w:rPr>
          <w:sz w:val="20"/>
          <w:szCs w:val="20"/>
          <w:rtl/>
        </w:rPr>
        <w:br/>
      </w:r>
      <w:r w:rsidRPr="005D3C72">
        <w:rPr>
          <w:rFonts w:hint="cs"/>
          <w:sz w:val="20"/>
          <w:szCs w:val="20"/>
          <w:u w:val="single"/>
          <w:rtl/>
        </w:rPr>
        <w:t>הסבר הראייה</w:t>
      </w:r>
      <w:r>
        <w:rPr>
          <w:rFonts w:hint="cs"/>
          <w:sz w:val="20"/>
          <w:szCs w:val="20"/>
          <w:rtl/>
        </w:rPr>
        <w:t xml:space="preserve"> </w:t>
      </w:r>
      <w:r>
        <w:rPr>
          <w:sz w:val="20"/>
          <w:szCs w:val="20"/>
          <w:rtl/>
        </w:rPr>
        <w:t>–</w:t>
      </w:r>
      <w:r>
        <w:rPr>
          <w:rFonts w:hint="cs"/>
          <w:sz w:val="20"/>
          <w:szCs w:val="20"/>
          <w:rtl/>
        </w:rPr>
        <w:t xml:space="preserve"> אם צריך לפרוש כל ימי משך ראייתה, אף לריש לקיש צריכה לבדוק כמה זמן נמשכת ראייתה.</w:t>
      </w:r>
    </w:p>
    <w:p w:rsidR="00620060" w:rsidRDefault="00620060" w:rsidP="00620060">
      <w:pPr>
        <w:rPr>
          <w:sz w:val="20"/>
          <w:szCs w:val="20"/>
          <w:rtl/>
        </w:rPr>
      </w:pPr>
      <w:r>
        <w:rPr>
          <w:rFonts w:hint="cs"/>
          <w:sz w:val="20"/>
          <w:szCs w:val="20"/>
          <w:rtl/>
        </w:rPr>
        <w:t xml:space="preserve">ב. </w:t>
      </w:r>
      <w:r w:rsidRPr="00810C19">
        <w:rPr>
          <w:rFonts w:hint="cs"/>
          <w:b/>
          <w:bCs/>
          <w:sz w:val="20"/>
          <w:szCs w:val="20"/>
          <w:rtl/>
        </w:rPr>
        <w:t>משנה</w:t>
      </w:r>
      <w:r>
        <w:rPr>
          <w:rFonts w:hint="cs"/>
          <w:sz w:val="20"/>
          <w:szCs w:val="20"/>
          <w:rtl/>
        </w:rPr>
        <w:t xml:space="preserve"> נידה (סג:) </w:t>
      </w:r>
      <w:r>
        <w:rPr>
          <w:rFonts w:cs="Arial" w:hint="cs"/>
          <w:sz w:val="20"/>
          <w:szCs w:val="20"/>
          <w:rtl/>
        </w:rPr>
        <w:t>"</w:t>
      </w:r>
      <w:r w:rsidRPr="00810C19">
        <w:rPr>
          <w:rFonts w:cs="Arial" w:hint="cs"/>
          <w:sz w:val="20"/>
          <w:szCs w:val="20"/>
          <w:rtl/>
        </w:rPr>
        <w:t>היתה</w:t>
      </w:r>
      <w:r w:rsidRPr="00810C19">
        <w:rPr>
          <w:rFonts w:cs="Arial"/>
          <w:sz w:val="20"/>
          <w:szCs w:val="20"/>
          <w:rtl/>
        </w:rPr>
        <w:t xml:space="preserve"> </w:t>
      </w:r>
      <w:r w:rsidRPr="00810C19">
        <w:rPr>
          <w:rFonts w:cs="Arial" w:hint="cs"/>
          <w:sz w:val="20"/>
          <w:szCs w:val="20"/>
          <w:rtl/>
        </w:rPr>
        <w:t>למודה</w:t>
      </w:r>
      <w:r w:rsidRPr="00810C19">
        <w:rPr>
          <w:rFonts w:cs="Arial"/>
          <w:sz w:val="20"/>
          <w:szCs w:val="20"/>
          <w:rtl/>
        </w:rPr>
        <w:t xml:space="preserve"> </w:t>
      </w:r>
      <w:r w:rsidRPr="00810C19">
        <w:rPr>
          <w:rFonts w:cs="Arial" w:hint="cs"/>
          <w:sz w:val="20"/>
          <w:szCs w:val="20"/>
          <w:rtl/>
        </w:rPr>
        <w:t>להיות</w:t>
      </w:r>
      <w:r w:rsidRPr="00810C19">
        <w:rPr>
          <w:rFonts w:cs="Arial"/>
          <w:sz w:val="20"/>
          <w:szCs w:val="20"/>
          <w:rtl/>
        </w:rPr>
        <w:t xml:space="preserve"> </w:t>
      </w:r>
      <w:r w:rsidRPr="00810C19">
        <w:rPr>
          <w:rFonts w:cs="Arial" w:hint="cs"/>
          <w:sz w:val="20"/>
          <w:szCs w:val="20"/>
          <w:rtl/>
        </w:rPr>
        <w:t>רואה</w:t>
      </w:r>
      <w:r w:rsidRPr="00810C19">
        <w:rPr>
          <w:rFonts w:cs="Arial"/>
          <w:sz w:val="20"/>
          <w:szCs w:val="20"/>
          <w:rtl/>
        </w:rPr>
        <w:t xml:space="preserve"> </w:t>
      </w:r>
      <w:r w:rsidRPr="00810C19">
        <w:rPr>
          <w:rFonts w:cs="Arial" w:hint="cs"/>
          <w:sz w:val="20"/>
          <w:szCs w:val="20"/>
          <w:rtl/>
        </w:rPr>
        <w:t>עם</w:t>
      </w:r>
      <w:r w:rsidRPr="00810C19">
        <w:rPr>
          <w:rFonts w:cs="Arial"/>
          <w:sz w:val="20"/>
          <w:szCs w:val="20"/>
          <w:rtl/>
        </w:rPr>
        <w:t xml:space="preserve"> </w:t>
      </w:r>
      <w:r w:rsidRPr="00810C19">
        <w:rPr>
          <w:rFonts w:cs="Arial" w:hint="cs"/>
          <w:sz w:val="20"/>
          <w:szCs w:val="20"/>
          <w:rtl/>
        </w:rPr>
        <w:t>הנץ</w:t>
      </w:r>
      <w:r w:rsidRPr="00810C19">
        <w:rPr>
          <w:rFonts w:cs="Arial"/>
          <w:sz w:val="20"/>
          <w:szCs w:val="20"/>
          <w:rtl/>
        </w:rPr>
        <w:t xml:space="preserve"> </w:t>
      </w:r>
      <w:r w:rsidRPr="00810C19">
        <w:rPr>
          <w:rFonts w:cs="Arial" w:hint="cs"/>
          <w:sz w:val="20"/>
          <w:szCs w:val="20"/>
          <w:rtl/>
        </w:rPr>
        <w:t>החמה</w:t>
      </w:r>
      <w:r w:rsidRPr="00810C19">
        <w:rPr>
          <w:rFonts w:cs="Arial"/>
          <w:sz w:val="20"/>
          <w:szCs w:val="20"/>
          <w:rtl/>
        </w:rPr>
        <w:t xml:space="preserve"> - </w:t>
      </w:r>
      <w:r w:rsidRPr="00810C19">
        <w:rPr>
          <w:rFonts w:cs="Arial" w:hint="cs"/>
          <w:sz w:val="20"/>
          <w:szCs w:val="20"/>
          <w:rtl/>
        </w:rPr>
        <w:t>אינה</w:t>
      </w:r>
      <w:r w:rsidRPr="00810C19">
        <w:rPr>
          <w:rFonts w:cs="Arial"/>
          <w:sz w:val="20"/>
          <w:szCs w:val="20"/>
          <w:rtl/>
        </w:rPr>
        <w:t xml:space="preserve"> </w:t>
      </w:r>
      <w:r w:rsidRPr="00810C19">
        <w:rPr>
          <w:rFonts w:cs="Arial" w:hint="cs"/>
          <w:sz w:val="20"/>
          <w:szCs w:val="20"/>
          <w:rtl/>
        </w:rPr>
        <w:t>אסורה</w:t>
      </w:r>
      <w:r w:rsidRPr="00810C19">
        <w:rPr>
          <w:rFonts w:cs="Arial"/>
          <w:sz w:val="20"/>
          <w:szCs w:val="20"/>
          <w:rtl/>
        </w:rPr>
        <w:t xml:space="preserve"> </w:t>
      </w:r>
      <w:r w:rsidRPr="00810C19">
        <w:rPr>
          <w:rFonts w:cs="Arial" w:hint="cs"/>
          <w:sz w:val="20"/>
          <w:szCs w:val="20"/>
          <w:rtl/>
        </w:rPr>
        <w:t>אלא</w:t>
      </w:r>
      <w:r w:rsidRPr="00810C19">
        <w:rPr>
          <w:rFonts w:cs="Arial"/>
          <w:sz w:val="20"/>
          <w:szCs w:val="20"/>
          <w:rtl/>
        </w:rPr>
        <w:t xml:space="preserve"> </w:t>
      </w:r>
      <w:r w:rsidRPr="00810C19">
        <w:rPr>
          <w:rFonts w:cs="Arial" w:hint="cs"/>
          <w:sz w:val="20"/>
          <w:szCs w:val="20"/>
          <w:rtl/>
        </w:rPr>
        <w:t>עם</w:t>
      </w:r>
      <w:r w:rsidRPr="00810C19">
        <w:rPr>
          <w:rFonts w:cs="Arial"/>
          <w:sz w:val="20"/>
          <w:szCs w:val="20"/>
          <w:rtl/>
        </w:rPr>
        <w:t xml:space="preserve"> </w:t>
      </w:r>
      <w:r w:rsidRPr="00810C19">
        <w:rPr>
          <w:rFonts w:cs="Arial" w:hint="cs"/>
          <w:sz w:val="20"/>
          <w:szCs w:val="20"/>
          <w:rtl/>
        </w:rPr>
        <w:t>הנץ</w:t>
      </w:r>
      <w:r w:rsidRPr="00810C19">
        <w:rPr>
          <w:rFonts w:cs="Arial"/>
          <w:sz w:val="20"/>
          <w:szCs w:val="20"/>
          <w:rtl/>
        </w:rPr>
        <w:t xml:space="preserve"> </w:t>
      </w:r>
      <w:r w:rsidRPr="00810C19">
        <w:rPr>
          <w:rFonts w:cs="Arial" w:hint="cs"/>
          <w:sz w:val="20"/>
          <w:szCs w:val="20"/>
          <w:rtl/>
        </w:rPr>
        <w:t>החמה</w:t>
      </w:r>
      <w:r w:rsidRPr="00810C19">
        <w:rPr>
          <w:rFonts w:cs="Arial"/>
          <w:sz w:val="20"/>
          <w:szCs w:val="20"/>
          <w:rtl/>
        </w:rPr>
        <w:t xml:space="preserve">. </w:t>
      </w:r>
      <w:r w:rsidRPr="00810C19">
        <w:rPr>
          <w:rFonts w:cs="Arial" w:hint="cs"/>
          <w:sz w:val="20"/>
          <w:szCs w:val="20"/>
          <w:rtl/>
        </w:rPr>
        <w:t>רבי</w:t>
      </w:r>
      <w:r w:rsidRPr="00810C19">
        <w:rPr>
          <w:rFonts w:cs="Arial"/>
          <w:sz w:val="20"/>
          <w:szCs w:val="20"/>
          <w:rtl/>
        </w:rPr>
        <w:t xml:space="preserve"> </w:t>
      </w:r>
      <w:r w:rsidRPr="00810C19">
        <w:rPr>
          <w:rFonts w:cs="Arial" w:hint="cs"/>
          <w:sz w:val="20"/>
          <w:szCs w:val="20"/>
          <w:rtl/>
        </w:rPr>
        <w:t>יהודה</w:t>
      </w:r>
      <w:r w:rsidRPr="00810C19">
        <w:rPr>
          <w:rFonts w:cs="Arial"/>
          <w:sz w:val="20"/>
          <w:szCs w:val="20"/>
          <w:rtl/>
        </w:rPr>
        <w:t xml:space="preserve"> </w:t>
      </w:r>
      <w:r w:rsidRPr="00810C19">
        <w:rPr>
          <w:rFonts w:cs="Arial" w:hint="cs"/>
          <w:sz w:val="20"/>
          <w:szCs w:val="20"/>
          <w:rtl/>
        </w:rPr>
        <w:t>אומר</w:t>
      </w:r>
      <w:r w:rsidRPr="00810C19">
        <w:rPr>
          <w:rFonts w:cs="Arial"/>
          <w:sz w:val="20"/>
          <w:szCs w:val="20"/>
          <w:rtl/>
        </w:rPr>
        <w:t xml:space="preserve">: </w:t>
      </w:r>
      <w:r w:rsidRPr="00810C19">
        <w:rPr>
          <w:rFonts w:cs="Arial" w:hint="cs"/>
          <w:sz w:val="20"/>
          <w:szCs w:val="20"/>
          <w:rtl/>
        </w:rPr>
        <w:t>כל</w:t>
      </w:r>
      <w:r w:rsidRPr="00810C19">
        <w:rPr>
          <w:rFonts w:cs="Arial"/>
          <w:sz w:val="20"/>
          <w:szCs w:val="20"/>
          <w:rtl/>
        </w:rPr>
        <w:t xml:space="preserve"> </w:t>
      </w:r>
      <w:r w:rsidRPr="00810C19">
        <w:rPr>
          <w:rFonts w:cs="Arial" w:hint="cs"/>
          <w:sz w:val="20"/>
          <w:szCs w:val="20"/>
          <w:rtl/>
        </w:rPr>
        <w:t>היום</w:t>
      </w:r>
      <w:r w:rsidRPr="00810C19">
        <w:rPr>
          <w:rFonts w:cs="Arial"/>
          <w:sz w:val="20"/>
          <w:szCs w:val="20"/>
          <w:rtl/>
        </w:rPr>
        <w:t xml:space="preserve"> </w:t>
      </w:r>
      <w:r w:rsidRPr="00810C19">
        <w:rPr>
          <w:rFonts w:cs="Arial" w:hint="cs"/>
          <w:sz w:val="20"/>
          <w:szCs w:val="20"/>
          <w:rtl/>
        </w:rPr>
        <w:t>שלה</w:t>
      </w:r>
      <w:r>
        <w:rPr>
          <w:rFonts w:cs="Arial" w:hint="cs"/>
          <w:sz w:val="20"/>
          <w:szCs w:val="20"/>
          <w:rtl/>
        </w:rPr>
        <w:t xml:space="preserve"> </w:t>
      </w:r>
      <w:r w:rsidRPr="007A4B3C">
        <w:rPr>
          <w:rFonts w:cs="Arial" w:hint="cs"/>
          <w:sz w:val="18"/>
          <w:szCs w:val="18"/>
          <w:rtl/>
        </w:rPr>
        <w:t>(ומותרת לשמש ביום)</w:t>
      </w:r>
      <w:r w:rsidRPr="00810C19">
        <w:rPr>
          <w:rFonts w:cs="Arial" w:hint="cs"/>
          <w:sz w:val="20"/>
          <w:szCs w:val="20"/>
          <w:rtl/>
        </w:rPr>
        <w:t>".</w:t>
      </w:r>
      <w:r w:rsidRPr="00810C19">
        <w:rPr>
          <w:rFonts w:cs="Arial"/>
          <w:sz w:val="20"/>
          <w:szCs w:val="20"/>
          <w:u w:val="single"/>
          <w:rtl/>
        </w:rPr>
        <w:t xml:space="preserve"> </w:t>
      </w:r>
      <w:r>
        <w:rPr>
          <w:sz w:val="20"/>
          <w:szCs w:val="20"/>
          <w:rtl/>
        </w:rPr>
        <w:br/>
      </w:r>
      <w:r w:rsidRPr="003F3400">
        <w:rPr>
          <w:rFonts w:hint="cs"/>
          <w:b/>
          <w:bCs/>
          <w:sz w:val="20"/>
          <w:szCs w:val="20"/>
          <w:rtl/>
        </w:rPr>
        <w:t>גמרא</w:t>
      </w:r>
      <w:r>
        <w:rPr>
          <w:rFonts w:hint="cs"/>
          <w:sz w:val="20"/>
          <w:szCs w:val="20"/>
          <w:rtl/>
        </w:rPr>
        <w:t xml:space="preserve"> (שם) "</w:t>
      </w:r>
      <w:r w:rsidRPr="003F3400">
        <w:rPr>
          <w:rFonts w:cs="Arial" w:hint="cs"/>
          <w:sz w:val="20"/>
          <w:szCs w:val="20"/>
          <w:rtl/>
        </w:rPr>
        <w:t>והתניא</w:t>
      </w:r>
      <w:r w:rsidRPr="003F3400">
        <w:rPr>
          <w:rFonts w:cs="Arial"/>
          <w:sz w:val="20"/>
          <w:szCs w:val="20"/>
          <w:rtl/>
        </w:rPr>
        <w:t xml:space="preserve">, </w:t>
      </w:r>
      <w:r w:rsidRPr="003F3400">
        <w:rPr>
          <w:rFonts w:cs="Arial" w:hint="cs"/>
          <w:sz w:val="20"/>
          <w:szCs w:val="20"/>
          <w:rtl/>
        </w:rPr>
        <w:t>רבי</w:t>
      </w:r>
      <w:r w:rsidRPr="003F3400">
        <w:rPr>
          <w:rFonts w:cs="Arial"/>
          <w:sz w:val="20"/>
          <w:szCs w:val="20"/>
          <w:rtl/>
        </w:rPr>
        <w:t xml:space="preserve"> </w:t>
      </w:r>
      <w:r w:rsidRPr="003F3400">
        <w:rPr>
          <w:rFonts w:cs="Arial" w:hint="cs"/>
          <w:sz w:val="20"/>
          <w:szCs w:val="20"/>
          <w:rtl/>
        </w:rPr>
        <w:t>יהודה</w:t>
      </w:r>
      <w:r w:rsidRPr="003F3400">
        <w:rPr>
          <w:rFonts w:cs="Arial"/>
          <w:sz w:val="20"/>
          <w:szCs w:val="20"/>
          <w:rtl/>
        </w:rPr>
        <w:t xml:space="preserve"> </w:t>
      </w:r>
      <w:r w:rsidRPr="003F3400">
        <w:rPr>
          <w:rFonts w:cs="Arial" w:hint="cs"/>
          <w:sz w:val="20"/>
          <w:szCs w:val="20"/>
          <w:rtl/>
        </w:rPr>
        <w:t>אומר</w:t>
      </w:r>
      <w:r w:rsidRPr="003F3400">
        <w:rPr>
          <w:rFonts w:cs="Arial"/>
          <w:sz w:val="20"/>
          <w:szCs w:val="20"/>
          <w:rtl/>
        </w:rPr>
        <w:t xml:space="preserve">: </w:t>
      </w:r>
      <w:r w:rsidRPr="003F3400">
        <w:rPr>
          <w:rFonts w:cs="Arial" w:hint="cs"/>
          <w:sz w:val="20"/>
          <w:szCs w:val="20"/>
          <w:rtl/>
        </w:rPr>
        <w:t>כל</w:t>
      </w:r>
      <w:r w:rsidRPr="003F3400">
        <w:rPr>
          <w:rFonts w:cs="Arial"/>
          <w:sz w:val="20"/>
          <w:szCs w:val="20"/>
          <w:rtl/>
        </w:rPr>
        <w:t xml:space="preserve"> </w:t>
      </w:r>
      <w:r w:rsidRPr="003F3400">
        <w:rPr>
          <w:rFonts w:cs="Arial" w:hint="cs"/>
          <w:sz w:val="20"/>
          <w:szCs w:val="20"/>
          <w:rtl/>
        </w:rPr>
        <w:t>הלילה</w:t>
      </w:r>
      <w:r w:rsidRPr="003F3400">
        <w:rPr>
          <w:rFonts w:cs="Arial"/>
          <w:sz w:val="20"/>
          <w:szCs w:val="20"/>
          <w:rtl/>
        </w:rPr>
        <w:t xml:space="preserve"> </w:t>
      </w:r>
      <w:r w:rsidRPr="003F3400">
        <w:rPr>
          <w:rFonts w:cs="Arial" w:hint="cs"/>
          <w:sz w:val="20"/>
          <w:szCs w:val="20"/>
          <w:rtl/>
        </w:rPr>
        <w:t>שלה</w:t>
      </w:r>
      <w:r w:rsidRPr="003F3400">
        <w:rPr>
          <w:rFonts w:cs="Arial"/>
          <w:sz w:val="20"/>
          <w:szCs w:val="20"/>
          <w:rtl/>
        </w:rPr>
        <w:t xml:space="preserve">! </w:t>
      </w:r>
      <w:r w:rsidRPr="003F3400">
        <w:rPr>
          <w:rFonts w:cs="Arial" w:hint="cs"/>
          <w:sz w:val="20"/>
          <w:szCs w:val="20"/>
          <w:rtl/>
        </w:rPr>
        <w:t>לא</w:t>
      </w:r>
      <w:r w:rsidRPr="003F3400">
        <w:rPr>
          <w:rFonts w:cs="Arial"/>
          <w:sz w:val="20"/>
          <w:szCs w:val="20"/>
          <w:rtl/>
        </w:rPr>
        <w:t xml:space="preserve"> </w:t>
      </w:r>
      <w:r w:rsidRPr="003F3400">
        <w:rPr>
          <w:rFonts w:cs="Arial" w:hint="cs"/>
          <w:sz w:val="20"/>
          <w:szCs w:val="20"/>
          <w:rtl/>
        </w:rPr>
        <w:t>קשיא</w:t>
      </w:r>
      <w:r w:rsidRPr="003F3400">
        <w:rPr>
          <w:rFonts w:cs="Arial"/>
          <w:sz w:val="20"/>
          <w:szCs w:val="20"/>
          <w:rtl/>
        </w:rPr>
        <w:t xml:space="preserve">, </w:t>
      </w:r>
      <w:r w:rsidRPr="003F3400">
        <w:rPr>
          <w:rFonts w:cs="Arial" w:hint="cs"/>
          <w:sz w:val="20"/>
          <w:szCs w:val="20"/>
          <w:rtl/>
        </w:rPr>
        <w:t>הא</w:t>
      </w:r>
      <w:r w:rsidRPr="003F3400">
        <w:rPr>
          <w:rFonts w:cs="Arial"/>
          <w:sz w:val="20"/>
          <w:szCs w:val="20"/>
          <w:rtl/>
        </w:rPr>
        <w:t xml:space="preserve"> </w:t>
      </w:r>
      <w:r w:rsidRPr="008834B7">
        <w:rPr>
          <w:rFonts w:cs="Arial" w:hint="cs"/>
          <w:sz w:val="18"/>
          <w:szCs w:val="18"/>
          <w:rtl/>
        </w:rPr>
        <w:t xml:space="preserve">(הברייתא) </w:t>
      </w:r>
      <w:r w:rsidRPr="003F3400">
        <w:rPr>
          <w:rFonts w:cs="Arial"/>
          <w:sz w:val="20"/>
          <w:szCs w:val="20"/>
          <w:rtl/>
        </w:rPr>
        <w:t xml:space="preserve">- </w:t>
      </w:r>
      <w:r w:rsidRPr="003F3400">
        <w:rPr>
          <w:rFonts w:cs="Arial" w:hint="cs"/>
          <w:sz w:val="20"/>
          <w:szCs w:val="20"/>
          <w:rtl/>
        </w:rPr>
        <w:t>דרגילה</w:t>
      </w:r>
      <w:r w:rsidRPr="003F3400">
        <w:rPr>
          <w:rFonts w:cs="Arial"/>
          <w:sz w:val="20"/>
          <w:szCs w:val="20"/>
          <w:rtl/>
        </w:rPr>
        <w:t xml:space="preserve"> </w:t>
      </w:r>
      <w:r w:rsidRPr="003F3400">
        <w:rPr>
          <w:rFonts w:cs="Arial" w:hint="cs"/>
          <w:sz w:val="20"/>
          <w:szCs w:val="20"/>
          <w:rtl/>
        </w:rPr>
        <w:t>לראות</w:t>
      </w:r>
      <w:r w:rsidRPr="003F3400">
        <w:rPr>
          <w:rFonts w:cs="Arial"/>
          <w:sz w:val="20"/>
          <w:szCs w:val="20"/>
          <w:rtl/>
        </w:rPr>
        <w:t xml:space="preserve"> </w:t>
      </w:r>
      <w:r w:rsidRPr="003F3400">
        <w:rPr>
          <w:rFonts w:cs="Arial" w:hint="cs"/>
          <w:sz w:val="20"/>
          <w:szCs w:val="20"/>
          <w:rtl/>
        </w:rPr>
        <w:t>בתחלת</w:t>
      </w:r>
      <w:r w:rsidRPr="003F3400">
        <w:rPr>
          <w:rFonts w:cs="Arial"/>
          <w:sz w:val="20"/>
          <w:szCs w:val="20"/>
          <w:rtl/>
        </w:rPr>
        <w:t xml:space="preserve"> </w:t>
      </w:r>
      <w:r w:rsidRPr="003F3400">
        <w:rPr>
          <w:rFonts w:cs="Arial" w:hint="cs"/>
          <w:sz w:val="20"/>
          <w:szCs w:val="20"/>
          <w:rtl/>
        </w:rPr>
        <w:t>יממא</w:t>
      </w:r>
      <w:r w:rsidRPr="003F3400">
        <w:rPr>
          <w:rFonts w:cs="Arial"/>
          <w:sz w:val="20"/>
          <w:szCs w:val="20"/>
          <w:rtl/>
        </w:rPr>
        <w:t xml:space="preserve">, </w:t>
      </w:r>
      <w:r w:rsidRPr="003F3400">
        <w:rPr>
          <w:rFonts w:cs="Arial" w:hint="cs"/>
          <w:sz w:val="20"/>
          <w:szCs w:val="20"/>
          <w:rtl/>
        </w:rPr>
        <w:t>והא</w:t>
      </w:r>
      <w:r>
        <w:rPr>
          <w:rFonts w:cs="Arial" w:hint="cs"/>
          <w:sz w:val="20"/>
          <w:szCs w:val="20"/>
          <w:rtl/>
        </w:rPr>
        <w:t xml:space="preserve"> </w:t>
      </w:r>
      <w:r w:rsidRPr="00C679E6">
        <w:rPr>
          <w:rFonts w:cs="Arial" w:hint="cs"/>
          <w:sz w:val="18"/>
          <w:szCs w:val="18"/>
          <w:rtl/>
        </w:rPr>
        <w:t>(המשנה)</w:t>
      </w:r>
      <w:r w:rsidRPr="00C679E6">
        <w:rPr>
          <w:rFonts w:cs="Arial"/>
          <w:sz w:val="18"/>
          <w:szCs w:val="18"/>
          <w:rtl/>
        </w:rPr>
        <w:t xml:space="preserve"> </w:t>
      </w:r>
      <w:r w:rsidRPr="003F3400">
        <w:rPr>
          <w:rFonts w:cs="Arial"/>
          <w:sz w:val="20"/>
          <w:szCs w:val="20"/>
          <w:rtl/>
        </w:rPr>
        <w:t xml:space="preserve">- </w:t>
      </w:r>
      <w:r w:rsidRPr="003F3400">
        <w:rPr>
          <w:rFonts w:cs="Arial" w:hint="cs"/>
          <w:sz w:val="20"/>
          <w:szCs w:val="20"/>
          <w:rtl/>
        </w:rPr>
        <w:t>דרגילה</w:t>
      </w:r>
      <w:r w:rsidRPr="003F3400">
        <w:rPr>
          <w:rFonts w:cs="Arial"/>
          <w:sz w:val="20"/>
          <w:szCs w:val="20"/>
          <w:rtl/>
        </w:rPr>
        <w:t xml:space="preserve"> </w:t>
      </w:r>
      <w:r w:rsidRPr="003F3400">
        <w:rPr>
          <w:rFonts w:cs="Arial" w:hint="cs"/>
          <w:sz w:val="20"/>
          <w:szCs w:val="20"/>
          <w:rtl/>
        </w:rPr>
        <w:t>לראות</w:t>
      </w:r>
      <w:r w:rsidRPr="003F3400">
        <w:rPr>
          <w:rFonts w:cs="Arial"/>
          <w:sz w:val="20"/>
          <w:szCs w:val="20"/>
          <w:rtl/>
        </w:rPr>
        <w:t xml:space="preserve"> </w:t>
      </w:r>
      <w:r w:rsidRPr="003F3400">
        <w:rPr>
          <w:rFonts w:cs="Arial" w:hint="cs"/>
          <w:sz w:val="20"/>
          <w:szCs w:val="20"/>
          <w:rtl/>
        </w:rPr>
        <w:t>בסוף</w:t>
      </w:r>
      <w:r w:rsidRPr="003F3400">
        <w:rPr>
          <w:rFonts w:cs="Arial"/>
          <w:sz w:val="20"/>
          <w:szCs w:val="20"/>
          <w:rtl/>
        </w:rPr>
        <w:t xml:space="preserve"> </w:t>
      </w:r>
      <w:r w:rsidRPr="003F3400">
        <w:rPr>
          <w:rFonts w:cs="Arial" w:hint="cs"/>
          <w:sz w:val="20"/>
          <w:szCs w:val="20"/>
          <w:rtl/>
        </w:rPr>
        <w:t>ליליא</w:t>
      </w:r>
      <w:r>
        <w:rPr>
          <w:rFonts w:cs="Arial" w:hint="cs"/>
          <w:sz w:val="20"/>
          <w:szCs w:val="20"/>
          <w:rtl/>
        </w:rPr>
        <w:t>".</w:t>
      </w:r>
      <w:r>
        <w:rPr>
          <w:rFonts w:hint="cs"/>
          <w:sz w:val="20"/>
          <w:szCs w:val="20"/>
          <w:rtl/>
        </w:rPr>
        <w:br/>
      </w:r>
      <w:r w:rsidRPr="005D3C72">
        <w:rPr>
          <w:rFonts w:hint="cs"/>
          <w:sz w:val="20"/>
          <w:szCs w:val="20"/>
          <w:u w:val="single"/>
          <w:rtl/>
        </w:rPr>
        <w:t>הסבר הראייה</w:t>
      </w:r>
      <w:r>
        <w:rPr>
          <w:rFonts w:hint="cs"/>
          <w:sz w:val="20"/>
          <w:szCs w:val="20"/>
          <w:rtl/>
        </w:rPr>
        <w:t xml:space="preserve"> </w:t>
      </w:r>
      <w:r>
        <w:rPr>
          <w:sz w:val="20"/>
          <w:szCs w:val="20"/>
          <w:rtl/>
        </w:rPr>
        <w:t>–</w:t>
      </w:r>
      <w:r>
        <w:rPr>
          <w:rFonts w:hint="cs"/>
          <w:sz w:val="20"/>
          <w:szCs w:val="20"/>
          <w:rtl/>
        </w:rPr>
        <w:t xml:space="preserve"> על כרחך מדובר ברואה גם ביום, ואפ"ה אין צריך לפרוש אלא בלילה שהוא תחילת ראייתה.</w:t>
      </w:r>
    </w:p>
    <w:p w:rsidR="00620060" w:rsidRDefault="00620060" w:rsidP="00620060">
      <w:pPr>
        <w:rPr>
          <w:sz w:val="20"/>
          <w:szCs w:val="20"/>
          <w:rtl/>
        </w:rPr>
      </w:pPr>
      <w:r>
        <w:rPr>
          <w:rFonts w:hint="cs"/>
          <w:sz w:val="20"/>
          <w:szCs w:val="20"/>
          <w:u w:val="single"/>
          <w:rtl/>
        </w:rPr>
        <w:t>ראיה לשיטת המחמירים</w:t>
      </w:r>
      <w:r>
        <w:rPr>
          <w:sz w:val="20"/>
          <w:szCs w:val="20"/>
          <w:u w:val="single"/>
          <w:rtl/>
        </w:rPr>
        <w:br/>
      </w:r>
      <w:r w:rsidRPr="0047676B">
        <w:rPr>
          <w:rFonts w:hint="cs"/>
          <w:b/>
          <w:bCs/>
          <w:sz w:val="20"/>
          <w:szCs w:val="20"/>
          <w:rtl/>
        </w:rPr>
        <w:t>גמרא</w:t>
      </w:r>
      <w:r>
        <w:rPr>
          <w:rFonts w:hint="cs"/>
          <w:sz w:val="20"/>
          <w:szCs w:val="20"/>
          <w:rtl/>
        </w:rPr>
        <w:t xml:space="preserve"> נידה (י:) "</w:t>
      </w:r>
      <w:r w:rsidRPr="0047676B">
        <w:rPr>
          <w:rFonts w:cs="Arial" w:hint="cs"/>
          <w:sz w:val="20"/>
          <w:szCs w:val="20"/>
          <w:rtl/>
        </w:rPr>
        <w:t>אמר</w:t>
      </w:r>
      <w:r w:rsidRPr="0047676B">
        <w:rPr>
          <w:rFonts w:cs="Arial"/>
          <w:sz w:val="20"/>
          <w:szCs w:val="20"/>
          <w:rtl/>
        </w:rPr>
        <w:t xml:space="preserve"> </w:t>
      </w:r>
      <w:r w:rsidRPr="0047676B">
        <w:rPr>
          <w:rFonts w:cs="Arial" w:hint="cs"/>
          <w:sz w:val="20"/>
          <w:szCs w:val="20"/>
          <w:rtl/>
        </w:rPr>
        <w:t>רב</w:t>
      </w:r>
      <w:r w:rsidRPr="0047676B">
        <w:rPr>
          <w:rFonts w:cs="Arial"/>
          <w:sz w:val="20"/>
          <w:szCs w:val="20"/>
          <w:rtl/>
        </w:rPr>
        <w:t xml:space="preserve"> </w:t>
      </w:r>
      <w:r w:rsidRPr="0047676B">
        <w:rPr>
          <w:rFonts w:cs="Arial" w:hint="cs"/>
          <w:sz w:val="20"/>
          <w:szCs w:val="20"/>
          <w:rtl/>
        </w:rPr>
        <w:t>חלקיה</w:t>
      </w:r>
      <w:r w:rsidRPr="0047676B">
        <w:rPr>
          <w:rFonts w:cs="Arial"/>
          <w:sz w:val="20"/>
          <w:szCs w:val="20"/>
          <w:rtl/>
        </w:rPr>
        <w:t xml:space="preserve"> </w:t>
      </w:r>
      <w:r w:rsidRPr="0047676B">
        <w:rPr>
          <w:rFonts w:cs="Arial" w:hint="cs"/>
          <w:sz w:val="20"/>
          <w:szCs w:val="20"/>
          <w:rtl/>
        </w:rPr>
        <w:t>בר</w:t>
      </w:r>
      <w:r w:rsidRPr="0047676B">
        <w:rPr>
          <w:rFonts w:cs="Arial"/>
          <w:sz w:val="20"/>
          <w:szCs w:val="20"/>
          <w:rtl/>
        </w:rPr>
        <w:t xml:space="preserve"> </w:t>
      </w:r>
      <w:r w:rsidRPr="0047676B">
        <w:rPr>
          <w:rFonts w:cs="Arial" w:hint="cs"/>
          <w:sz w:val="20"/>
          <w:szCs w:val="20"/>
          <w:rtl/>
        </w:rPr>
        <w:t>טובי</w:t>
      </w:r>
      <w:r w:rsidRPr="0047676B">
        <w:rPr>
          <w:rFonts w:cs="Arial"/>
          <w:sz w:val="20"/>
          <w:szCs w:val="20"/>
          <w:rtl/>
        </w:rPr>
        <w:t xml:space="preserve">: </w:t>
      </w:r>
      <w:r w:rsidRPr="0047676B">
        <w:rPr>
          <w:rFonts w:cs="Arial" w:hint="cs"/>
          <w:sz w:val="20"/>
          <w:szCs w:val="20"/>
          <w:rtl/>
        </w:rPr>
        <w:t>תינוקת</w:t>
      </w:r>
      <w:r w:rsidRPr="0047676B">
        <w:rPr>
          <w:rFonts w:cs="Arial"/>
          <w:sz w:val="20"/>
          <w:szCs w:val="20"/>
          <w:rtl/>
        </w:rPr>
        <w:t xml:space="preserve"> </w:t>
      </w:r>
      <w:r w:rsidRPr="0047676B">
        <w:rPr>
          <w:rFonts w:cs="Arial" w:hint="cs"/>
          <w:sz w:val="20"/>
          <w:szCs w:val="20"/>
          <w:rtl/>
        </w:rPr>
        <w:t>שלא</w:t>
      </w:r>
      <w:r w:rsidRPr="0047676B">
        <w:rPr>
          <w:rFonts w:cs="Arial"/>
          <w:sz w:val="20"/>
          <w:szCs w:val="20"/>
          <w:rtl/>
        </w:rPr>
        <w:t xml:space="preserve"> </w:t>
      </w:r>
      <w:r w:rsidRPr="0047676B">
        <w:rPr>
          <w:rFonts w:cs="Arial" w:hint="cs"/>
          <w:sz w:val="20"/>
          <w:szCs w:val="20"/>
          <w:rtl/>
        </w:rPr>
        <w:t>הגיע</w:t>
      </w:r>
      <w:r w:rsidRPr="0047676B">
        <w:rPr>
          <w:rFonts w:cs="Arial"/>
          <w:sz w:val="20"/>
          <w:szCs w:val="20"/>
          <w:rtl/>
        </w:rPr>
        <w:t xml:space="preserve"> </w:t>
      </w:r>
      <w:r w:rsidRPr="0047676B">
        <w:rPr>
          <w:rFonts w:cs="Arial" w:hint="cs"/>
          <w:sz w:val="20"/>
          <w:szCs w:val="20"/>
          <w:rtl/>
        </w:rPr>
        <w:t>זמנה</w:t>
      </w:r>
      <w:r w:rsidRPr="0047676B">
        <w:rPr>
          <w:rFonts w:cs="Arial"/>
          <w:sz w:val="20"/>
          <w:szCs w:val="20"/>
          <w:rtl/>
        </w:rPr>
        <w:t xml:space="preserve"> </w:t>
      </w:r>
      <w:r w:rsidRPr="0047676B">
        <w:rPr>
          <w:rFonts w:cs="Arial" w:hint="cs"/>
          <w:sz w:val="20"/>
          <w:szCs w:val="20"/>
          <w:rtl/>
        </w:rPr>
        <w:t>לראות</w:t>
      </w:r>
      <w:r w:rsidRPr="0047676B">
        <w:rPr>
          <w:rFonts w:cs="Arial"/>
          <w:sz w:val="20"/>
          <w:szCs w:val="20"/>
          <w:rtl/>
        </w:rPr>
        <w:t xml:space="preserve">, </w:t>
      </w:r>
      <w:r w:rsidRPr="0047676B">
        <w:rPr>
          <w:rFonts w:cs="Arial" w:hint="cs"/>
          <w:sz w:val="20"/>
          <w:szCs w:val="20"/>
          <w:rtl/>
        </w:rPr>
        <w:t>אפילו</w:t>
      </w:r>
      <w:r w:rsidRPr="0047676B">
        <w:rPr>
          <w:rFonts w:cs="Arial"/>
          <w:sz w:val="20"/>
          <w:szCs w:val="20"/>
          <w:rtl/>
        </w:rPr>
        <w:t xml:space="preserve"> </w:t>
      </w:r>
      <w:r w:rsidRPr="0047676B">
        <w:rPr>
          <w:rFonts w:cs="Arial" w:hint="cs"/>
          <w:sz w:val="20"/>
          <w:szCs w:val="20"/>
          <w:rtl/>
        </w:rPr>
        <w:t>שופעת</w:t>
      </w:r>
      <w:r w:rsidRPr="0047676B">
        <w:rPr>
          <w:rFonts w:cs="Arial"/>
          <w:sz w:val="20"/>
          <w:szCs w:val="20"/>
          <w:rtl/>
        </w:rPr>
        <w:t xml:space="preserve"> </w:t>
      </w:r>
      <w:r w:rsidRPr="0047676B">
        <w:rPr>
          <w:rFonts w:cs="Arial" w:hint="cs"/>
          <w:sz w:val="20"/>
          <w:szCs w:val="20"/>
          <w:rtl/>
        </w:rPr>
        <w:t>כל</w:t>
      </w:r>
      <w:r w:rsidRPr="0047676B">
        <w:rPr>
          <w:rFonts w:cs="Arial"/>
          <w:sz w:val="20"/>
          <w:szCs w:val="20"/>
          <w:rtl/>
        </w:rPr>
        <w:t xml:space="preserve"> </w:t>
      </w:r>
      <w:r w:rsidRPr="0047676B">
        <w:rPr>
          <w:rFonts w:cs="Arial" w:hint="cs"/>
          <w:sz w:val="20"/>
          <w:szCs w:val="20"/>
          <w:rtl/>
        </w:rPr>
        <w:t>ז</w:t>
      </w:r>
      <w:r w:rsidRPr="0047676B">
        <w:rPr>
          <w:rFonts w:cs="Arial"/>
          <w:sz w:val="20"/>
          <w:szCs w:val="20"/>
          <w:rtl/>
        </w:rPr>
        <w:t xml:space="preserve">' - </w:t>
      </w:r>
      <w:r w:rsidRPr="0047676B">
        <w:rPr>
          <w:rFonts w:cs="Arial" w:hint="cs"/>
          <w:sz w:val="20"/>
          <w:szCs w:val="20"/>
          <w:rtl/>
        </w:rPr>
        <w:t>אינה</w:t>
      </w:r>
      <w:r w:rsidRPr="0047676B">
        <w:rPr>
          <w:rFonts w:cs="Arial"/>
          <w:sz w:val="20"/>
          <w:szCs w:val="20"/>
          <w:rtl/>
        </w:rPr>
        <w:t xml:space="preserve"> </w:t>
      </w:r>
      <w:r w:rsidRPr="0047676B">
        <w:rPr>
          <w:rFonts w:cs="Arial" w:hint="cs"/>
          <w:sz w:val="20"/>
          <w:szCs w:val="20"/>
          <w:rtl/>
        </w:rPr>
        <w:t>אלא</w:t>
      </w:r>
      <w:r w:rsidRPr="0047676B">
        <w:rPr>
          <w:rFonts w:cs="Arial"/>
          <w:sz w:val="20"/>
          <w:szCs w:val="20"/>
          <w:rtl/>
        </w:rPr>
        <w:t xml:space="preserve"> </w:t>
      </w:r>
      <w:r w:rsidRPr="0047676B">
        <w:rPr>
          <w:rFonts w:cs="Arial" w:hint="cs"/>
          <w:sz w:val="20"/>
          <w:szCs w:val="20"/>
          <w:rtl/>
        </w:rPr>
        <w:t>ראיה</w:t>
      </w:r>
      <w:r w:rsidRPr="0047676B">
        <w:rPr>
          <w:rFonts w:cs="Arial"/>
          <w:sz w:val="20"/>
          <w:szCs w:val="20"/>
          <w:rtl/>
        </w:rPr>
        <w:t xml:space="preserve"> </w:t>
      </w:r>
      <w:r w:rsidRPr="0047676B">
        <w:rPr>
          <w:rFonts w:cs="Arial" w:hint="cs"/>
          <w:sz w:val="20"/>
          <w:szCs w:val="20"/>
          <w:rtl/>
        </w:rPr>
        <w:t>אחת</w:t>
      </w:r>
      <w:r w:rsidRPr="0047676B">
        <w:rPr>
          <w:rFonts w:cs="Arial"/>
          <w:sz w:val="20"/>
          <w:szCs w:val="20"/>
          <w:rtl/>
        </w:rPr>
        <w:t xml:space="preserve">. </w:t>
      </w:r>
      <w:r w:rsidRPr="0047676B">
        <w:rPr>
          <w:rFonts w:cs="Arial" w:hint="cs"/>
          <w:sz w:val="20"/>
          <w:szCs w:val="20"/>
          <w:rtl/>
        </w:rPr>
        <w:t>אפילו</w:t>
      </w:r>
      <w:r w:rsidRPr="0047676B">
        <w:rPr>
          <w:rFonts w:cs="Arial"/>
          <w:sz w:val="20"/>
          <w:szCs w:val="20"/>
          <w:rtl/>
        </w:rPr>
        <w:t xml:space="preserve"> </w:t>
      </w:r>
      <w:r w:rsidRPr="0047676B">
        <w:rPr>
          <w:rFonts w:cs="Arial" w:hint="cs"/>
          <w:sz w:val="20"/>
          <w:szCs w:val="20"/>
          <w:rtl/>
        </w:rPr>
        <w:t>שופעת</w:t>
      </w:r>
      <w:r w:rsidRPr="0047676B">
        <w:rPr>
          <w:rFonts w:cs="Arial"/>
          <w:sz w:val="20"/>
          <w:szCs w:val="20"/>
          <w:rtl/>
        </w:rPr>
        <w:t xml:space="preserve"> - </w:t>
      </w:r>
      <w:r w:rsidRPr="0047676B">
        <w:rPr>
          <w:rFonts w:cs="Arial" w:hint="cs"/>
          <w:sz w:val="20"/>
          <w:szCs w:val="20"/>
          <w:rtl/>
        </w:rPr>
        <w:t>ולא</w:t>
      </w:r>
      <w:r w:rsidRPr="0047676B">
        <w:rPr>
          <w:rFonts w:cs="Arial"/>
          <w:sz w:val="20"/>
          <w:szCs w:val="20"/>
          <w:rtl/>
        </w:rPr>
        <w:t xml:space="preserve"> </w:t>
      </w:r>
      <w:r w:rsidRPr="0047676B">
        <w:rPr>
          <w:rFonts w:cs="Arial" w:hint="cs"/>
          <w:sz w:val="20"/>
          <w:szCs w:val="20"/>
          <w:rtl/>
        </w:rPr>
        <w:t>מבעיא</w:t>
      </w:r>
      <w:r w:rsidRPr="0047676B">
        <w:rPr>
          <w:rFonts w:cs="Arial"/>
          <w:sz w:val="20"/>
          <w:szCs w:val="20"/>
          <w:rtl/>
        </w:rPr>
        <w:t xml:space="preserve"> </w:t>
      </w:r>
      <w:r w:rsidRPr="0047676B">
        <w:rPr>
          <w:rFonts w:cs="Arial" w:hint="cs"/>
          <w:sz w:val="20"/>
          <w:szCs w:val="20"/>
          <w:rtl/>
        </w:rPr>
        <w:t>פוסקת</w:t>
      </w:r>
      <w:r w:rsidRPr="0047676B">
        <w:rPr>
          <w:rFonts w:cs="Arial"/>
          <w:sz w:val="20"/>
          <w:szCs w:val="20"/>
          <w:rtl/>
        </w:rPr>
        <w:t xml:space="preserve">? </w:t>
      </w:r>
      <w:r w:rsidRPr="0047676B">
        <w:rPr>
          <w:rFonts w:cs="Arial" w:hint="cs"/>
          <w:sz w:val="20"/>
          <w:szCs w:val="20"/>
          <w:rtl/>
        </w:rPr>
        <w:t>אדרבה</w:t>
      </w:r>
      <w:r w:rsidRPr="0047676B">
        <w:rPr>
          <w:rFonts w:cs="Arial"/>
          <w:sz w:val="20"/>
          <w:szCs w:val="20"/>
          <w:rtl/>
        </w:rPr>
        <w:t xml:space="preserve">, </w:t>
      </w:r>
      <w:r w:rsidRPr="0047676B">
        <w:rPr>
          <w:rFonts w:cs="Arial" w:hint="cs"/>
          <w:sz w:val="20"/>
          <w:szCs w:val="20"/>
          <w:rtl/>
        </w:rPr>
        <w:t>פוסקת</w:t>
      </w:r>
      <w:r w:rsidRPr="0047676B">
        <w:rPr>
          <w:rFonts w:cs="Arial"/>
          <w:sz w:val="20"/>
          <w:szCs w:val="20"/>
          <w:rtl/>
        </w:rPr>
        <w:t xml:space="preserve"> </w:t>
      </w:r>
      <w:r w:rsidRPr="0047676B">
        <w:rPr>
          <w:rFonts w:cs="Arial" w:hint="cs"/>
          <w:sz w:val="20"/>
          <w:szCs w:val="20"/>
          <w:rtl/>
        </w:rPr>
        <w:t>הויא</w:t>
      </w:r>
      <w:r w:rsidRPr="0047676B">
        <w:rPr>
          <w:rFonts w:cs="Arial"/>
          <w:sz w:val="20"/>
          <w:szCs w:val="20"/>
          <w:rtl/>
        </w:rPr>
        <w:t xml:space="preserve"> </w:t>
      </w:r>
      <w:r w:rsidRPr="0047676B">
        <w:rPr>
          <w:rFonts w:cs="Arial" w:hint="cs"/>
          <w:sz w:val="20"/>
          <w:szCs w:val="20"/>
          <w:rtl/>
        </w:rPr>
        <w:t>לה</w:t>
      </w:r>
      <w:r w:rsidRPr="0047676B">
        <w:rPr>
          <w:rFonts w:cs="Arial"/>
          <w:sz w:val="20"/>
          <w:szCs w:val="20"/>
          <w:rtl/>
        </w:rPr>
        <w:t xml:space="preserve"> </w:t>
      </w:r>
      <w:r w:rsidRPr="0047676B">
        <w:rPr>
          <w:rFonts w:cs="Arial" w:hint="cs"/>
          <w:sz w:val="20"/>
          <w:szCs w:val="20"/>
          <w:rtl/>
        </w:rPr>
        <w:t>כשתי</w:t>
      </w:r>
      <w:r w:rsidRPr="0047676B">
        <w:rPr>
          <w:rFonts w:cs="Arial"/>
          <w:sz w:val="20"/>
          <w:szCs w:val="20"/>
          <w:rtl/>
        </w:rPr>
        <w:t xml:space="preserve"> </w:t>
      </w:r>
      <w:r w:rsidRPr="0047676B">
        <w:rPr>
          <w:rFonts w:cs="Arial" w:hint="cs"/>
          <w:sz w:val="20"/>
          <w:szCs w:val="20"/>
          <w:rtl/>
        </w:rPr>
        <w:t>ראיות</w:t>
      </w:r>
      <w:r w:rsidRPr="0047676B">
        <w:rPr>
          <w:rFonts w:cs="Arial"/>
          <w:sz w:val="20"/>
          <w:szCs w:val="20"/>
          <w:rtl/>
        </w:rPr>
        <w:t xml:space="preserve">! </w:t>
      </w:r>
      <w:r w:rsidRPr="0047676B">
        <w:rPr>
          <w:rFonts w:cs="Arial" w:hint="cs"/>
          <w:sz w:val="20"/>
          <w:szCs w:val="20"/>
          <w:rtl/>
        </w:rPr>
        <w:t>אלא</w:t>
      </w:r>
      <w:r w:rsidRPr="0047676B">
        <w:rPr>
          <w:rFonts w:cs="Arial"/>
          <w:sz w:val="20"/>
          <w:szCs w:val="20"/>
          <w:rtl/>
        </w:rPr>
        <w:t xml:space="preserve">: </w:t>
      </w:r>
      <w:r w:rsidRPr="0047676B">
        <w:rPr>
          <w:rFonts w:cs="Arial" w:hint="cs"/>
          <w:sz w:val="20"/>
          <w:szCs w:val="20"/>
          <w:rtl/>
        </w:rPr>
        <w:t>תינוקת</w:t>
      </w:r>
      <w:r w:rsidRPr="0047676B">
        <w:rPr>
          <w:rFonts w:cs="Arial"/>
          <w:sz w:val="20"/>
          <w:szCs w:val="20"/>
          <w:rtl/>
        </w:rPr>
        <w:t xml:space="preserve"> </w:t>
      </w:r>
      <w:r w:rsidRPr="0047676B">
        <w:rPr>
          <w:rFonts w:cs="Arial" w:hint="cs"/>
          <w:sz w:val="20"/>
          <w:szCs w:val="20"/>
          <w:rtl/>
        </w:rPr>
        <w:t>שלא</w:t>
      </w:r>
      <w:r w:rsidRPr="0047676B">
        <w:rPr>
          <w:rFonts w:cs="Arial"/>
          <w:sz w:val="20"/>
          <w:szCs w:val="20"/>
          <w:rtl/>
        </w:rPr>
        <w:t xml:space="preserve"> </w:t>
      </w:r>
      <w:r w:rsidRPr="0047676B">
        <w:rPr>
          <w:rFonts w:cs="Arial" w:hint="cs"/>
          <w:sz w:val="20"/>
          <w:szCs w:val="20"/>
          <w:rtl/>
        </w:rPr>
        <w:t>הגיע</w:t>
      </w:r>
      <w:r w:rsidRPr="0047676B">
        <w:rPr>
          <w:rFonts w:cs="Arial"/>
          <w:sz w:val="20"/>
          <w:szCs w:val="20"/>
          <w:rtl/>
        </w:rPr>
        <w:t xml:space="preserve"> </w:t>
      </w:r>
      <w:r w:rsidRPr="0047676B">
        <w:rPr>
          <w:rFonts w:cs="Arial" w:hint="cs"/>
          <w:sz w:val="20"/>
          <w:szCs w:val="20"/>
          <w:rtl/>
        </w:rPr>
        <w:t>זמנה</w:t>
      </w:r>
      <w:r w:rsidRPr="0047676B">
        <w:rPr>
          <w:rFonts w:cs="Arial"/>
          <w:sz w:val="20"/>
          <w:szCs w:val="20"/>
          <w:rtl/>
        </w:rPr>
        <w:t xml:space="preserve"> </w:t>
      </w:r>
      <w:r w:rsidRPr="0047676B">
        <w:rPr>
          <w:rFonts w:cs="Arial" w:hint="cs"/>
          <w:sz w:val="20"/>
          <w:szCs w:val="20"/>
          <w:rtl/>
        </w:rPr>
        <w:t>לראות</w:t>
      </w:r>
      <w:r w:rsidRPr="0047676B">
        <w:rPr>
          <w:rFonts w:cs="Arial"/>
          <w:sz w:val="20"/>
          <w:szCs w:val="20"/>
          <w:rtl/>
        </w:rPr>
        <w:t xml:space="preserve">, </w:t>
      </w:r>
      <w:r w:rsidRPr="0047676B">
        <w:rPr>
          <w:rFonts w:cs="Arial" w:hint="cs"/>
          <w:sz w:val="20"/>
          <w:szCs w:val="20"/>
          <w:rtl/>
        </w:rPr>
        <w:t>ושופעת</w:t>
      </w:r>
      <w:r w:rsidRPr="0047676B">
        <w:rPr>
          <w:rFonts w:cs="Arial"/>
          <w:sz w:val="20"/>
          <w:szCs w:val="20"/>
          <w:rtl/>
        </w:rPr>
        <w:t xml:space="preserve"> </w:t>
      </w:r>
      <w:r w:rsidRPr="0047676B">
        <w:rPr>
          <w:rFonts w:cs="Arial" w:hint="cs"/>
          <w:sz w:val="20"/>
          <w:szCs w:val="20"/>
          <w:rtl/>
        </w:rPr>
        <w:t>כל</w:t>
      </w:r>
      <w:r w:rsidRPr="0047676B">
        <w:rPr>
          <w:rFonts w:cs="Arial"/>
          <w:sz w:val="20"/>
          <w:szCs w:val="20"/>
          <w:rtl/>
        </w:rPr>
        <w:t xml:space="preserve"> </w:t>
      </w:r>
      <w:r w:rsidRPr="0047676B">
        <w:rPr>
          <w:rFonts w:cs="Arial" w:hint="cs"/>
          <w:sz w:val="20"/>
          <w:szCs w:val="20"/>
          <w:rtl/>
        </w:rPr>
        <w:t>ז</w:t>
      </w:r>
      <w:r w:rsidRPr="0047676B">
        <w:rPr>
          <w:rFonts w:cs="Arial"/>
          <w:sz w:val="20"/>
          <w:szCs w:val="20"/>
          <w:rtl/>
        </w:rPr>
        <w:t xml:space="preserve">' - </w:t>
      </w:r>
      <w:r w:rsidRPr="0047676B">
        <w:rPr>
          <w:rFonts w:cs="Arial" w:hint="cs"/>
          <w:sz w:val="20"/>
          <w:szCs w:val="20"/>
          <w:rtl/>
        </w:rPr>
        <w:t>אינה</w:t>
      </w:r>
      <w:r w:rsidRPr="0047676B">
        <w:rPr>
          <w:rFonts w:cs="Arial"/>
          <w:sz w:val="20"/>
          <w:szCs w:val="20"/>
          <w:rtl/>
        </w:rPr>
        <w:t xml:space="preserve"> </w:t>
      </w:r>
      <w:r w:rsidRPr="0047676B">
        <w:rPr>
          <w:rFonts w:cs="Arial" w:hint="cs"/>
          <w:sz w:val="20"/>
          <w:szCs w:val="20"/>
          <w:rtl/>
        </w:rPr>
        <w:t>אלא</w:t>
      </w:r>
      <w:r w:rsidRPr="0047676B">
        <w:rPr>
          <w:rFonts w:cs="Arial"/>
          <w:sz w:val="20"/>
          <w:szCs w:val="20"/>
          <w:rtl/>
        </w:rPr>
        <w:t xml:space="preserve"> </w:t>
      </w:r>
      <w:r w:rsidRPr="0047676B">
        <w:rPr>
          <w:rFonts w:cs="Arial" w:hint="cs"/>
          <w:sz w:val="20"/>
          <w:szCs w:val="20"/>
          <w:rtl/>
        </w:rPr>
        <w:t>ראיה</w:t>
      </w:r>
      <w:r w:rsidRPr="0047676B">
        <w:rPr>
          <w:rFonts w:cs="Arial"/>
          <w:sz w:val="20"/>
          <w:szCs w:val="20"/>
          <w:rtl/>
        </w:rPr>
        <w:t xml:space="preserve"> </w:t>
      </w:r>
      <w:r w:rsidRPr="0047676B">
        <w:rPr>
          <w:rFonts w:cs="Arial" w:hint="cs"/>
          <w:sz w:val="20"/>
          <w:szCs w:val="20"/>
          <w:rtl/>
        </w:rPr>
        <w:t>אחת</w:t>
      </w:r>
      <w:r>
        <w:rPr>
          <w:rFonts w:cs="Arial" w:hint="cs"/>
          <w:sz w:val="20"/>
          <w:szCs w:val="20"/>
          <w:rtl/>
        </w:rPr>
        <w:t>".</w:t>
      </w:r>
      <w:r>
        <w:rPr>
          <w:rFonts w:hint="cs"/>
          <w:sz w:val="20"/>
          <w:szCs w:val="20"/>
          <w:rtl/>
        </w:rPr>
        <w:br/>
      </w:r>
      <w:r w:rsidRPr="005D3C72">
        <w:rPr>
          <w:rFonts w:hint="cs"/>
          <w:sz w:val="20"/>
          <w:szCs w:val="20"/>
          <w:u w:val="single"/>
          <w:rtl/>
        </w:rPr>
        <w:t>הסבר הראייה</w:t>
      </w:r>
      <w:r>
        <w:rPr>
          <w:rFonts w:hint="cs"/>
          <w:sz w:val="20"/>
          <w:szCs w:val="20"/>
          <w:rtl/>
        </w:rPr>
        <w:t xml:space="preserve"> </w:t>
      </w:r>
      <w:r>
        <w:rPr>
          <w:sz w:val="20"/>
          <w:szCs w:val="20"/>
          <w:rtl/>
        </w:rPr>
        <w:t>–</w:t>
      </w:r>
      <w:r>
        <w:rPr>
          <w:rFonts w:hint="cs"/>
          <w:sz w:val="20"/>
          <w:szCs w:val="20"/>
          <w:rtl/>
        </w:rPr>
        <w:t xml:space="preserve"> מוכח שבפוסקת אין הולכים אחר תחילת הראייה בלבד, אלא חוששים לכל ראייה, ה"ה כאן.</w:t>
      </w:r>
      <w:r>
        <w:rPr>
          <w:sz w:val="20"/>
          <w:szCs w:val="20"/>
          <w:rtl/>
        </w:rPr>
        <w:br/>
      </w:r>
      <w:r w:rsidRPr="005D3C72">
        <w:rPr>
          <w:rFonts w:hint="cs"/>
          <w:sz w:val="20"/>
          <w:szCs w:val="20"/>
          <w:u w:val="single"/>
          <w:rtl/>
        </w:rPr>
        <w:t>דחיית הראייה</w:t>
      </w:r>
      <w:r>
        <w:rPr>
          <w:rFonts w:hint="cs"/>
          <w:sz w:val="20"/>
          <w:szCs w:val="20"/>
          <w:rtl/>
        </w:rPr>
        <w:t xml:space="preserve"> </w:t>
      </w:r>
      <w:r>
        <w:rPr>
          <w:sz w:val="20"/>
          <w:szCs w:val="20"/>
          <w:rtl/>
        </w:rPr>
        <w:t>–</w:t>
      </w:r>
      <w:r>
        <w:rPr>
          <w:rFonts w:hint="cs"/>
          <w:sz w:val="20"/>
          <w:szCs w:val="20"/>
          <w:rtl/>
        </w:rPr>
        <w:t xml:space="preserve"> התם מדובר לעניין החזקת תינוקת בדמים, שלאחר ג' ראיות מוחזקת להיות רואה, אך לעניין פרישה סמוך לווסת ההולכים אחר תחילת הראייה שהיא העיקר.</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5D3C72">
        <w:rPr>
          <w:rFonts w:cs="Arial" w:hint="cs"/>
          <w:sz w:val="20"/>
          <w:szCs w:val="20"/>
          <w:rtl/>
        </w:rPr>
        <w:t>אם</w:t>
      </w:r>
      <w:r w:rsidRPr="005D3C72">
        <w:rPr>
          <w:rFonts w:cs="Arial"/>
          <w:sz w:val="20"/>
          <w:szCs w:val="20"/>
          <w:rtl/>
        </w:rPr>
        <w:t xml:space="preserve"> </w:t>
      </w:r>
      <w:r w:rsidRPr="005D3C72">
        <w:rPr>
          <w:rFonts w:cs="Arial" w:hint="cs"/>
          <w:sz w:val="20"/>
          <w:szCs w:val="20"/>
          <w:rtl/>
        </w:rPr>
        <w:t>וסת</w:t>
      </w:r>
      <w:r w:rsidRPr="005D3C72">
        <w:rPr>
          <w:rFonts w:cs="Arial"/>
          <w:sz w:val="20"/>
          <w:szCs w:val="20"/>
          <w:rtl/>
        </w:rPr>
        <w:t xml:space="preserve"> </w:t>
      </w:r>
      <w:r w:rsidRPr="005D3C72">
        <w:rPr>
          <w:rFonts w:cs="Arial" w:hint="cs"/>
          <w:sz w:val="20"/>
          <w:szCs w:val="20"/>
          <w:rtl/>
        </w:rPr>
        <w:t>נמשך</w:t>
      </w:r>
      <w:r w:rsidRPr="005D3C72">
        <w:rPr>
          <w:rFonts w:cs="Arial"/>
          <w:sz w:val="20"/>
          <w:szCs w:val="20"/>
          <w:rtl/>
        </w:rPr>
        <w:t xml:space="preserve"> </w:t>
      </w:r>
      <w:r w:rsidRPr="005D3C72">
        <w:rPr>
          <w:rFonts w:cs="Arial" w:hint="cs"/>
          <w:sz w:val="20"/>
          <w:szCs w:val="20"/>
          <w:rtl/>
        </w:rPr>
        <w:t>ב</w:t>
      </w:r>
      <w:r w:rsidRPr="005D3C72">
        <w:rPr>
          <w:rFonts w:cs="Arial"/>
          <w:sz w:val="20"/>
          <w:szCs w:val="20"/>
          <w:rtl/>
        </w:rPr>
        <w:t xml:space="preserve">' </w:t>
      </w:r>
      <w:r w:rsidRPr="005D3C72">
        <w:rPr>
          <w:rFonts w:cs="Arial" w:hint="cs"/>
          <w:sz w:val="20"/>
          <w:szCs w:val="20"/>
          <w:rtl/>
        </w:rPr>
        <w:t>או</w:t>
      </w:r>
      <w:r w:rsidRPr="005D3C72">
        <w:rPr>
          <w:rFonts w:cs="Arial"/>
          <w:sz w:val="20"/>
          <w:szCs w:val="20"/>
          <w:rtl/>
        </w:rPr>
        <w:t xml:space="preserve"> </w:t>
      </w:r>
      <w:r w:rsidRPr="005D3C72">
        <w:rPr>
          <w:rFonts w:cs="Arial" w:hint="cs"/>
          <w:sz w:val="20"/>
          <w:szCs w:val="20"/>
          <w:rtl/>
        </w:rPr>
        <w:t>ג</w:t>
      </w:r>
      <w:r w:rsidRPr="005D3C72">
        <w:rPr>
          <w:rFonts w:cs="Arial"/>
          <w:sz w:val="20"/>
          <w:szCs w:val="20"/>
          <w:rtl/>
        </w:rPr>
        <w:t xml:space="preserve">' </w:t>
      </w:r>
      <w:r w:rsidRPr="005D3C72">
        <w:rPr>
          <w:rFonts w:cs="Arial" w:hint="cs"/>
          <w:sz w:val="20"/>
          <w:szCs w:val="20"/>
          <w:rtl/>
        </w:rPr>
        <w:t>ימים</w:t>
      </w:r>
      <w:r w:rsidRPr="005D3C72">
        <w:rPr>
          <w:rFonts w:cs="Arial"/>
          <w:sz w:val="20"/>
          <w:szCs w:val="20"/>
          <w:rtl/>
        </w:rPr>
        <w:t xml:space="preserve">, </w:t>
      </w:r>
      <w:r w:rsidRPr="005D3C72">
        <w:rPr>
          <w:rFonts w:cs="Arial" w:hint="cs"/>
          <w:sz w:val="20"/>
          <w:szCs w:val="20"/>
          <w:rtl/>
        </w:rPr>
        <w:t>ששופעת</w:t>
      </w:r>
      <w:r w:rsidRPr="005D3C72">
        <w:rPr>
          <w:rFonts w:cs="Arial"/>
          <w:sz w:val="20"/>
          <w:szCs w:val="20"/>
          <w:rtl/>
        </w:rPr>
        <w:t xml:space="preserve"> </w:t>
      </w:r>
      <w:r w:rsidRPr="005D3C72">
        <w:rPr>
          <w:rFonts w:cs="Arial" w:hint="cs"/>
          <w:sz w:val="20"/>
          <w:szCs w:val="20"/>
          <w:rtl/>
        </w:rPr>
        <w:t>או</w:t>
      </w:r>
      <w:r w:rsidRPr="005D3C72">
        <w:rPr>
          <w:rFonts w:cs="Arial"/>
          <w:sz w:val="20"/>
          <w:szCs w:val="20"/>
          <w:rtl/>
        </w:rPr>
        <w:t xml:space="preserve"> </w:t>
      </w:r>
      <w:r w:rsidRPr="005D3C72">
        <w:rPr>
          <w:rFonts w:cs="Arial" w:hint="cs"/>
          <w:sz w:val="20"/>
          <w:szCs w:val="20"/>
          <w:rtl/>
        </w:rPr>
        <w:t>מזלפת</w:t>
      </w:r>
      <w:r w:rsidRPr="005D3C72">
        <w:rPr>
          <w:rFonts w:cs="Arial"/>
          <w:sz w:val="20"/>
          <w:szCs w:val="20"/>
          <w:rtl/>
        </w:rPr>
        <w:t xml:space="preserve">, </w:t>
      </w:r>
      <w:r w:rsidRPr="005D3C72">
        <w:rPr>
          <w:rFonts w:cs="Arial" w:hint="cs"/>
          <w:sz w:val="20"/>
          <w:szCs w:val="20"/>
          <w:rtl/>
        </w:rPr>
        <w:t>אינה</w:t>
      </w:r>
      <w:r w:rsidRPr="005D3C72">
        <w:rPr>
          <w:rFonts w:cs="Arial"/>
          <w:sz w:val="20"/>
          <w:szCs w:val="20"/>
          <w:rtl/>
        </w:rPr>
        <w:t xml:space="preserve"> </w:t>
      </w:r>
      <w:r w:rsidRPr="005D3C72">
        <w:rPr>
          <w:rFonts w:cs="Arial" w:hint="cs"/>
          <w:sz w:val="20"/>
          <w:szCs w:val="20"/>
          <w:rtl/>
        </w:rPr>
        <w:t>צריכה</w:t>
      </w:r>
      <w:r w:rsidRPr="005D3C72">
        <w:rPr>
          <w:rFonts w:cs="Arial"/>
          <w:sz w:val="20"/>
          <w:szCs w:val="20"/>
          <w:rtl/>
        </w:rPr>
        <w:t xml:space="preserve"> </w:t>
      </w:r>
      <w:r w:rsidRPr="005D3C72">
        <w:rPr>
          <w:rFonts w:cs="Arial" w:hint="cs"/>
          <w:sz w:val="20"/>
          <w:szCs w:val="20"/>
          <w:rtl/>
        </w:rPr>
        <w:t>לפרוש</w:t>
      </w:r>
      <w:r w:rsidRPr="005D3C72">
        <w:rPr>
          <w:rFonts w:cs="Arial"/>
          <w:sz w:val="20"/>
          <w:szCs w:val="20"/>
          <w:rtl/>
        </w:rPr>
        <w:t xml:space="preserve"> </w:t>
      </w:r>
      <w:r w:rsidRPr="005D3C72">
        <w:rPr>
          <w:rFonts w:cs="Arial" w:hint="cs"/>
          <w:sz w:val="20"/>
          <w:szCs w:val="20"/>
          <w:rtl/>
        </w:rPr>
        <w:t>אלא</w:t>
      </w:r>
      <w:r w:rsidRPr="005D3C72">
        <w:rPr>
          <w:rFonts w:cs="Arial"/>
          <w:sz w:val="20"/>
          <w:szCs w:val="20"/>
          <w:rtl/>
        </w:rPr>
        <w:t xml:space="preserve"> </w:t>
      </w:r>
      <w:r w:rsidRPr="005D3C72">
        <w:rPr>
          <w:rFonts w:cs="Arial" w:hint="cs"/>
          <w:sz w:val="20"/>
          <w:szCs w:val="20"/>
          <w:rtl/>
        </w:rPr>
        <w:t>עונה</w:t>
      </w:r>
      <w:r w:rsidRPr="005D3C72">
        <w:rPr>
          <w:rFonts w:cs="Arial"/>
          <w:sz w:val="20"/>
          <w:szCs w:val="20"/>
          <w:rtl/>
        </w:rPr>
        <w:t xml:space="preserve"> </w:t>
      </w:r>
      <w:r w:rsidRPr="005D3C72">
        <w:rPr>
          <w:rFonts w:cs="Arial" w:hint="cs"/>
          <w:sz w:val="20"/>
          <w:szCs w:val="20"/>
          <w:rtl/>
        </w:rPr>
        <w:t>הראשונה</w:t>
      </w:r>
      <w:r w:rsidRPr="005D3C72">
        <w:rPr>
          <w:rFonts w:cs="Arial"/>
          <w:sz w:val="20"/>
          <w:szCs w:val="20"/>
          <w:rtl/>
        </w:rPr>
        <w:t xml:space="preserve"> </w:t>
      </w:r>
      <w:r w:rsidRPr="005D3C72">
        <w:rPr>
          <w:rFonts w:cs="Arial" w:hint="cs"/>
          <w:sz w:val="20"/>
          <w:szCs w:val="20"/>
          <w:rtl/>
        </w:rPr>
        <w:t>של</w:t>
      </w:r>
      <w:r w:rsidRPr="005D3C72">
        <w:rPr>
          <w:rFonts w:cs="Arial"/>
          <w:sz w:val="20"/>
          <w:szCs w:val="20"/>
          <w:rtl/>
        </w:rPr>
        <w:t xml:space="preserve"> </w:t>
      </w:r>
      <w:r w:rsidRPr="005D3C72">
        <w:rPr>
          <w:rFonts w:cs="Arial" w:hint="cs"/>
          <w:sz w:val="20"/>
          <w:szCs w:val="20"/>
          <w:rtl/>
        </w:rPr>
        <w:t>הוסת</w:t>
      </w:r>
      <w:r w:rsidRPr="005D3C72">
        <w:rPr>
          <w:rFonts w:cs="Arial"/>
          <w:sz w:val="20"/>
          <w:szCs w:val="20"/>
          <w:rtl/>
        </w:rPr>
        <w:t xml:space="preserve">, </w:t>
      </w:r>
      <w:r w:rsidRPr="005D3C72">
        <w:rPr>
          <w:rFonts w:cs="Arial" w:hint="cs"/>
          <w:sz w:val="20"/>
          <w:szCs w:val="20"/>
          <w:rtl/>
        </w:rPr>
        <w:t>וכיון</w:t>
      </w:r>
      <w:r w:rsidRPr="005D3C72">
        <w:rPr>
          <w:rFonts w:cs="Arial"/>
          <w:sz w:val="20"/>
          <w:szCs w:val="20"/>
          <w:rtl/>
        </w:rPr>
        <w:t xml:space="preserve"> </w:t>
      </w:r>
      <w:r w:rsidRPr="005D3C72">
        <w:rPr>
          <w:rFonts w:cs="Arial" w:hint="cs"/>
          <w:sz w:val="20"/>
          <w:szCs w:val="20"/>
          <w:rtl/>
        </w:rPr>
        <w:t>שעברה</w:t>
      </w:r>
      <w:r w:rsidRPr="005D3C72">
        <w:rPr>
          <w:rFonts w:cs="Arial"/>
          <w:sz w:val="20"/>
          <w:szCs w:val="20"/>
          <w:rtl/>
        </w:rPr>
        <w:t xml:space="preserve"> </w:t>
      </w:r>
      <w:r w:rsidRPr="005D3C72">
        <w:rPr>
          <w:rFonts w:cs="Arial" w:hint="cs"/>
          <w:sz w:val="20"/>
          <w:szCs w:val="20"/>
          <w:rtl/>
        </w:rPr>
        <w:t>עונה</w:t>
      </w:r>
      <w:r w:rsidRPr="005D3C72">
        <w:rPr>
          <w:rFonts w:cs="Arial"/>
          <w:sz w:val="20"/>
          <w:szCs w:val="20"/>
          <w:rtl/>
        </w:rPr>
        <w:t xml:space="preserve"> </w:t>
      </w:r>
      <w:r w:rsidRPr="005D3C72">
        <w:rPr>
          <w:rFonts w:cs="Arial" w:hint="cs"/>
          <w:sz w:val="20"/>
          <w:szCs w:val="20"/>
          <w:rtl/>
        </w:rPr>
        <w:t>ולא</w:t>
      </w:r>
      <w:r w:rsidRPr="005D3C72">
        <w:rPr>
          <w:rFonts w:cs="Arial"/>
          <w:sz w:val="20"/>
          <w:szCs w:val="20"/>
          <w:rtl/>
        </w:rPr>
        <w:t xml:space="preserve"> </w:t>
      </w:r>
      <w:r w:rsidRPr="005D3C72">
        <w:rPr>
          <w:rFonts w:cs="Arial" w:hint="cs"/>
          <w:sz w:val="20"/>
          <w:szCs w:val="20"/>
          <w:rtl/>
        </w:rPr>
        <w:t>ראתה</w:t>
      </w:r>
      <w:r w:rsidRPr="005D3C72">
        <w:rPr>
          <w:rFonts w:cs="Arial"/>
          <w:sz w:val="20"/>
          <w:szCs w:val="20"/>
          <w:rtl/>
        </w:rPr>
        <w:t xml:space="preserve">, </w:t>
      </w:r>
      <w:r w:rsidRPr="005D3C72">
        <w:rPr>
          <w:rFonts w:cs="Arial" w:hint="cs"/>
          <w:sz w:val="20"/>
          <w:szCs w:val="20"/>
          <w:rtl/>
        </w:rPr>
        <w:t>מותרת</w:t>
      </w:r>
      <w:r>
        <w:rPr>
          <w:rFonts w:cs="Arial" w:hint="cs"/>
          <w:sz w:val="20"/>
          <w:szCs w:val="20"/>
          <w:rtl/>
        </w:rPr>
        <w:t>".</w:t>
      </w:r>
      <w:r>
        <w:rPr>
          <w:rFonts w:hint="cs"/>
          <w:sz w:val="20"/>
          <w:szCs w:val="20"/>
          <w:rtl/>
        </w:rPr>
        <w:br/>
      </w:r>
      <w:r w:rsidRPr="008834B7">
        <w:rPr>
          <w:rFonts w:hint="cs"/>
          <w:b/>
          <w:bCs/>
          <w:sz w:val="20"/>
          <w:szCs w:val="20"/>
          <w:rtl/>
        </w:rPr>
        <w:t>חוות דעת</w:t>
      </w:r>
      <w:r>
        <w:rPr>
          <w:rFonts w:hint="cs"/>
          <w:sz w:val="20"/>
          <w:szCs w:val="20"/>
          <w:rtl/>
        </w:rPr>
        <w:t xml:space="preserve"> </w:t>
      </w:r>
      <w:r w:rsidRPr="008834B7">
        <w:rPr>
          <w:rFonts w:hint="cs"/>
          <w:sz w:val="18"/>
          <w:szCs w:val="18"/>
          <w:rtl/>
        </w:rPr>
        <w:t xml:space="preserve">(הו"ד </w:t>
      </w:r>
      <w:r w:rsidRPr="008834B7">
        <w:rPr>
          <w:rFonts w:hint="cs"/>
          <w:b/>
          <w:bCs/>
          <w:sz w:val="18"/>
          <w:szCs w:val="18"/>
          <w:rtl/>
        </w:rPr>
        <w:t>בפת"ש</w:t>
      </w:r>
      <w:r w:rsidRPr="008834B7">
        <w:rPr>
          <w:rFonts w:hint="cs"/>
          <w:sz w:val="18"/>
          <w:szCs w:val="18"/>
          <w:rtl/>
        </w:rPr>
        <w:t xml:space="preserve">) </w:t>
      </w:r>
      <w:r>
        <w:rPr>
          <w:sz w:val="20"/>
          <w:szCs w:val="20"/>
          <w:rtl/>
        </w:rPr>
        <w:t>–</w:t>
      </w:r>
      <w:r>
        <w:rPr>
          <w:rFonts w:hint="cs"/>
          <w:sz w:val="20"/>
          <w:szCs w:val="20"/>
          <w:rtl/>
        </w:rPr>
        <w:t xml:space="preserve"> אם ראייתה בהפסקות, חוששת לכל שלושת הימים.</w:t>
      </w:r>
    </w:p>
    <w:p w:rsidR="00620060" w:rsidRDefault="00620060" w:rsidP="00620060">
      <w:pPr>
        <w:rPr>
          <w:sz w:val="20"/>
          <w:szCs w:val="20"/>
          <w:u w:val="single"/>
          <w:rtl/>
        </w:rPr>
      </w:pPr>
      <w:r>
        <w:rPr>
          <w:rFonts w:hint="cs"/>
          <w:sz w:val="20"/>
          <w:szCs w:val="20"/>
          <w:u w:val="single"/>
          <w:rtl/>
        </w:rPr>
        <w:t>סתירה בפסקי המחבר ויישובה (פרישה וט"ז)</w:t>
      </w:r>
      <w:r>
        <w:rPr>
          <w:sz w:val="20"/>
          <w:szCs w:val="20"/>
          <w:u w:val="single"/>
          <w:rtl/>
        </w:rPr>
        <w:br/>
      </w:r>
      <w:r>
        <w:rPr>
          <w:rFonts w:hint="cs"/>
          <w:sz w:val="20"/>
          <w:szCs w:val="20"/>
          <w:rtl/>
        </w:rPr>
        <w:t>לכאורה המחבר סותר את עצמו, משום שבסעיף הקודם פסק כדעת הראב"ד לאסור כל זמן הראייה, ולעומת זאת כאן פסק לאסור רק בתחילת הראייה ולא כל זמן ראייתה!</w:t>
      </w:r>
      <w:r>
        <w:rPr>
          <w:rFonts w:hint="cs"/>
          <w:sz w:val="20"/>
          <w:szCs w:val="20"/>
          <w:rtl/>
        </w:rPr>
        <w:br/>
        <w:t xml:space="preserve">ויש ליישב </w:t>
      </w:r>
      <w:r>
        <w:rPr>
          <w:sz w:val="20"/>
          <w:szCs w:val="20"/>
          <w:rtl/>
        </w:rPr>
        <w:t>–</w:t>
      </w:r>
      <w:r>
        <w:rPr>
          <w:rFonts w:hint="cs"/>
          <w:sz w:val="20"/>
          <w:szCs w:val="20"/>
          <w:rtl/>
        </w:rPr>
        <w:t xml:space="preserve"> לעיל מדובר בראייה מועטת ולכן היא נגררת אחר הווסת עצמו, אך כאן מדובר בראייה ארוכה ולכן אין זו ראייה אחת אלא תוספת דמים בלבד.</w:t>
      </w:r>
      <w:r w:rsidRPr="007A2349">
        <w:rPr>
          <w:rStyle w:val="a5"/>
          <w:sz w:val="20"/>
          <w:szCs w:val="20"/>
          <w:rtl/>
        </w:rPr>
        <w:footnoteReference w:id="36"/>
      </w:r>
    </w:p>
    <w:p w:rsidR="00620060" w:rsidRPr="00DB2FA6" w:rsidRDefault="00620060" w:rsidP="00620060">
      <w:pPr>
        <w:rPr>
          <w:sz w:val="20"/>
          <w:szCs w:val="20"/>
          <w:rtl/>
        </w:rPr>
      </w:pPr>
      <w:r>
        <w:rPr>
          <w:rFonts w:cs="Arial" w:hint="cs"/>
          <w:sz w:val="20"/>
          <w:szCs w:val="20"/>
          <w:u w:val="single"/>
          <w:rtl/>
        </w:rPr>
        <w:t>השלכה מדין זה על דין קביעת ווסת (פת"ש)</w:t>
      </w:r>
      <w:r>
        <w:rPr>
          <w:rFonts w:cs="Arial" w:hint="cs"/>
          <w:sz w:val="20"/>
          <w:szCs w:val="20"/>
          <w:u w:val="single"/>
          <w:rtl/>
        </w:rPr>
        <w:br/>
      </w:r>
      <w:r>
        <w:rPr>
          <w:rFonts w:cs="Arial" w:hint="cs"/>
          <w:sz w:val="20"/>
          <w:szCs w:val="20"/>
          <w:rtl/>
        </w:rPr>
        <w:t xml:space="preserve">א. אשה שראתה פעמיים בא' לחודש ונמשכה ראייתה גם בב', ובפעם השלישית ראתה </w:t>
      </w:r>
      <w:r>
        <w:rPr>
          <w:rFonts w:hint="cs"/>
          <w:sz w:val="20"/>
          <w:szCs w:val="20"/>
          <w:rtl/>
        </w:rPr>
        <w:t>רק בב' לחודש, לא קבעה לה ווסת לב' בחודש.</w:t>
      </w:r>
      <w:r>
        <w:rPr>
          <w:sz w:val="20"/>
          <w:szCs w:val="20"/>
          <w:rtl/>
        </w:rPr>
        <w:br/>
      </w:r>
      <w:r w:rsidRPr="00476A1A">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הולכים אחר תחילת הראייה שהיא בא' לחודש.</w:t>
      </w:r>
      <w:r>
        <w:rPr>
          <w:rFonts w:hint="cs"/>
          <w:sz w:val="20"/>
          <w:szCs w:val="20"/>
          <w:rtl/>
        </w:rPr>
        <w:br/>
        <w:t xml:space="preserve">ב. </w:t>
      </w:r>
      <w:r w:rsidRPr="00847B18">
        <w:rPr>
          <w:rFonts w:hint="cs"/>
          <w:b/>
          <w:bCs/>
          <w:sz w:val="20"/>
          <w:szCs w:val="20"/>
          <w:rtl/>
        </w:rPr>
        <w:t>חוות דעת</w:t>
      </w:r>
      <w:r>
        <w:rPr>
          <w:rFonts w:hint="cs"/>
          <w:sz w:val="20"/>
          <w:szCs w:val="20"/>
          <w:rtl/>
        </w:rPr>
        <w:t xml:space="preserve"> </w:t>
      </w:r>
      <w:r>
        <w:rPr>
          <w:sz w:val="20"/>
          <w:szCs w:val="20"/>
          <w:rtl/>
        </w:rPr>
        <w:t>–</w:t>
      </w:r>
      <w:r>
        <w:rPr>
          <w:rFonts w:hint="cs"/>
          <w:sz w:val="20"/>
          <w:szCs w:val="20"/>
          <w:rtl/>
        </w:rPr>
        <w:t xml:space="preserve"> דין קביעת ווסת ע"פ הנ"ל נאמר דווקא בשופעת דם, אך אם רואה דם בא' לחודש ובב' בהפסקות, חיישינן לכל אחד מהימים שמא הוא העיקר, ולכן במקרה הנ"ל קבעה לה ווסת ליום ב' בחודש. </w:t>
      </w:r>
      <w:r w:rsidRPr="00847B18">
        <w:rPr>
          <w:rFonts w:hint="cs"/>
          <w:sz w:val="18"/>
          <w:szCs w:val="18"/>
          <w:rtl/>
        </w:rPr>
        <w:lastRenderedPageBreak/>
        <w:t>[ואמנם, הנ"ל נאמר דווקא כשלא קבעה וווסת בא' לחודש, אך אם קבעה לפני כן ג' פעמים לראות בא' לחודש אינה צריכה לחשוש לראיות נוספות שבתוך ימי נידתה. וכן הדין שאינה צריכה לחשוש לעונה בינונית לגבי הראיות שבתוך ימי נידתה אם ה</w:t>
      </w:r>
      <w:r>
        <w:rPr>
          <w:rFonts w:hint="cs"/>
          <w:sz w:val="18"/>
          <w:szCs w:val="18"/>
          <w:rtl/>
        </w:rPr>
        <w:t>ן</w:t>
      </w:r>
      <w:r w:rsidRPr="00847B18">
        <w:rPr>
          <w:rFonts w:hint="cs"/>
          <w:sz w:val="18"/>
          <w:szCs w:val="18"/>
          <w:rtl/>
        </w:rPr>
        <w:t xml:space="preserve"> לא נקבעו].</w:t>
      </w:r>
    </w:p>
    <w:p w:rsidR="00620060" w:rsidRDefault="00620060" w:rsidP="00620060">
      <w:pPr>
        <w:rPr>
          <w:sz w:val="20"/>
          <w:szCs w:val="20"/>
          <w:rtl/>
        </w:rPr>
      </w:pPr>
      <w:r w:rsidRPr="008140E1">
        <w:rPr>
          <w:rFonts w:hint="cs"/>
          <w:b/>
          <w:bCs/>
          <w:sz w:val="20"/>
          <w:szCs w:val="20"/>
          <w:rtl/>
        </w:rPr>
        <w:t>סיכום</w:t>
      </w:r>
      <w:r w:rsidRPr="007A2349">
        <w:rPr>
          <w:sz w:val="20"/>
          <w:szCs w:val="20"/>
          <w:rtl/>
        </w:rPr>
        <w:br/>
      </w:r>
      <w:r w:rsidRPr="007A2349">
        <w:rPr>
          <w:rFonts w:hint="cs"/>
          <w:sz w:val="20"/>
          <w:szCs w:val="20"/>
          <w:rtl/>
        </w:rPr>
        <w:t xml:space="preserve">1. </w:t>
      </w:r>
      <w:r w:rsidRPr="003B25FE">
        <w:rPr>
          <w:rFonts w:hint="cs"/>
          <w:sz w:val="20"/>
          <w:szCs w:val="20"/>
          <w:rtl/>
        </w:rPr>
        <w:t xml:space="preserve">סעיף ד. </w:t>
      </w:r>
      <w:r w:rsidRPr="003B25FE">
        <w:rPr>
          <w:rFonts w:hint="cs"/>
          <w:b/>
          <w:bCs/>
          <w:sz w:val="20"/>
          <w:szCs w:val="20"/>
          <w:rtl/>
        </w:rPr>
        <w:t>ראב"ד</w:t>
      </w:r>
      <w:r w:rsidRPr="003B25FE">
        <w:rPr>
          <w:rFonts w:hint="cs"/>
          <w:sz w:val="20"/>
          <w:szCs w:val="20"/>
          <w:rtl/>
        </w:rPr>
        <w:t xml:space="preserve">. ווסת בהנץ ואין ידוע אם לפני או אחרי. </w:t>
      </w:r>
      <w:r w:rsidRPr="003B25FE">
        <w:rPr>
          <w:rFonts w:hint="cs"/>
          <w:b/>
          <w:bCs/>
          <w:sz w:val="20"/>
          <w:szCs w:val="20"/>
          <w:rtl/>
        </w:rPr>
        <w:t>י"א</w:t>
      </w:r>
      <w:r w:rsidRPr="003B25FE">
        <w:rPr>
          <w:rFonts w:hint="cs"/>
          <w:sz w:val="20"/>
          <w:szCs w:val="20"/>
          <w:rtl/>
        </w:rPr>
        <w:t xml:space="preserve">. אסורה רק ביום. </w:t>
      </w:r>
      <w:r w:rsidRPr="003B25FE">
        <w:rPr>
          <w:rFonts w:hint="cs"/>
          <w:b/>
          <w:bCs/>
          <w:sz w:val="20"/>
          <w:szCs w:val="20"/>
          <w:rtl/>
        </w:rPr>
        <w:t>י"א</w:t>
      </w:r>
      <w:r w:rsidRPr="003B25FE">
        <w:rPr>
          <w:rFonts w:hint="cs"/>
          <w:sz w:val="20"/>
          <w:szCs w:val="20"/>
          <w:rtl/>
        </w:rPr>
        <w:t>. אסורה גם בלילה.</w:t>
      </w:r>
      <w:r w:rsidRPr="003B25FE">
        <w:rPr>
          <w:sz w:val="20"/>
          <w:szCs w:val="20"/>
          <w:rtl/>
        </w:rPr>
        <w:br/>
      </w:r>
      <w:r w:rsidRPr="003B25FE">
        <w:rPr>
          <w:rFonts w:hint="cs"/>
          <w:sz w:val="20"/>
          <w:szCs w:val="20"/>
          <w:rtl/>
        </w:rPr>
        <w:t xml:space="preserve">2. </w:t>
      </w:r>
      <w:r w:rsidRPr="003B25FE">
        <w:rPr>
          <w:rFonts w:hint="cs"/>
          <w:b/>
          <w:bCs/>
          <w:sz w:val="20"/>
          <w:szCs w:val="20"/>
          <w:rtl/>
        </w:rPr>
        <w:t>מחבר</w:t>
      </w:r>
      <w:r w:rsidRPr="003B25FE">
        <w:rPr>
          <w:rFonts w:hint="cs"/>
          <w:sz w:val="20"/>
          <w:szCs w:val="20"/>
          <w:rtl/>
        </w:rPr>
        <w:t xml:space="preserve">. אסורה רק ביום. </w:t>
      </w:r>
      <w:r w:rsidRPr="003B25FE">
        <w:rPr>
          <w:rFonts w:hint="cs"/>
          <w:b/>
          <w:bCs/>
          <w:sz w:val="20"/>
          <w:szCs w:val="20"/>
          <w:rtl/>
        </w:rPr>
        <w:t>טעם</w:t>
      </w:r>
      <w:r w:rsidRPr="003B25FE">
        <w:rPr>
          <w:rFonts w:hint="cs"/>
          <w:sz w:val="20"/>
          <w:szCs w:val="20"/>
          <w:rtl/>
        </w:rPr>
        <w:t>. רק ביום היא נידה ודאי, ויש להקל בווסתות דרבנן, כ"ש סמוך לווסת.</w:t>
      </w:r>
      <w:r w:rsidRPr="003B25FE">
        <w:rPr>
          <w:rFonts w:hint="cs"/>
          <w:sz w:val="20"/>
          <w:szCs w:val="20"/>
          <w:rtl/>
        </w:rPr>
        <w:br/>
        <w:t xml:space="preserve">3. </w:t>
      </w:r>
      <w:r w:rsidRPr="003B25FE">
        <w:rPr>
          <w:rFonts w:hint="cs"/>
          <w:b/>
          <w:bCs/>
          <w:sz w:val="20"/>
          <w:szCs w:val="20"/>
          <w:rtl/>
        </w:rPr>
        <w:t>ב"ח וש"ך</w:t>
      </w:r>
      <w:r w:rsidRPr="003B25FE">
        <w:rPr>
          <w:rFonts w:hint="cs"/>
          <w:sz w:val="20"/>
          <w:szCs w:val="20"/>
          <w:rtl/>
        </w:rPr>
        <w:t>. ראוי להחמיר ולאסור גם ב</w:t>
      </w:r>
      <w:r>
        <w:rPr>
          <w:rFonts w:hint="cs"/>
          <w:sz w:val="20"/>
          <w:szCs w:val="20"/>
          <w:rtl/>
        </w:rPr>
        <w:t>לילה</w:t>
      </w:r>
      <w:r w:rsidRPr="003B25FE">
        <w:rPr>
          <w:rFonts w:hint="cs"/>
          <w:sz w:val="20"/>
          <w:szCs w:val="20"/>
          <w:rtl/>
        </w:rPr>
        <w:t>.</w:t>
      </w:r>
      <w:r w:rsidRPr="003B25FE">
        <w:rPr>
          <w:sz w:val="20"/>
          <w:szCs w:val="20"/>
          <w:rtl/>
        </w:rPr>
        <w:br/>
      </w:r>
      <w:r w:rsidRPr="003B25FE">
        <w:rPr>
          <w:rFonts w:hint="cs"/>
          <w:sz w:val="20"/>
          <w:szCs w:val="20"/>
          <w:rtl/>
        </w:rPr>
        <w:t xml:space="preserve">4. </w:t>
      </w:r>
      <w:r w:rsidRPr="003B25FE">
        <w:rPr>
          <w:rFonts w:hint="cs"/>
          <w:b/>
          <w:bCs/>
          <w:sz w:val="20"/>
          <w:szCs w:val="20"/>
          <w:rtl/>
        </w:rPr>
        <w:t>ש"ך</w:t>
      </w:r>
      <w:r w:rsidRPr="003B25FE">
        <w:rPr>
          <w:rFonts w:hint="cs"/>
          <w:sz w:val="20"/>
          <w:szCs w:val="20"/>
          <w:rtl/>
        </w:rPr>
        <w:t xml:space="preserve">. ה"ה למחבר כשווסתה בביה"ש שאסורה רק בלילה. </w:t>
      </w:r>
      <w:r w:rsidRPr="003B25FE">
        <w:rPr>
          <w:rFonts w:hint="cs"/>
          <w:b/>
          <w:bCs/>
          <w:sz w:val="20"/>
          <w:szCs w:val="20"/>
          <w:rtl/>
        </w:rPr>
        <w:t>פת"ש</w:t>
      </w:r>
      <w:r w:rsidRPr="003B25FE">
        <w:rPr>
          <w:rFonts w:hint="cs"/>
          <w:sz w:val="20"/>
          <w:szCs w:val="20"/>
          <w:rtl/>
        </w:rPr>
        <w:t>. משקיעה עד נץ - לילה בווסתות.</w:t>
      </w:r>
      <w:r w:rsidRPr="003B25FE">
        <w:rPr>
          <w:rFonts w:hint="cs"/>
          <w:sz w:val="20"/>
          <w:szCs w:val="20"/>
          <w:rtl/>
        </w:rPr>
        <w:br/>
        <w:t xml:space="preserve">5. סעיף ה. ווסת קודם הנץ ואחריו. </w:t>
      </w:r>
      <w:r w:rsidRPr="003B25FE">
        <w:rPr>
          <w:rFonts w:hint="cs"/>
          <w:b/>
          <w:bCs/>
          <w:sz w:val="20"/>
          <w:szCs w:val="20"/>
          <w:rtl/>
        </w:rPr>
        <w:t>י"א</w:t>
      </w:r>
      <w:r w:rsidRPr="003B25FE">
        <w:rPr>
          <w:rFonts w:hint="cs"/>
          <w:sz w:val="20"/>
          <w:szCs w:val="20"/>
          <w:rtl/>
        </w:rPr>
        <w:t xml:space="preserve">. אסורה כל הלילה וכל היום. </w:t>
      </w:r>
      <w:r w:rsidRPr="003B25FE">
        <w:rPr>
          <w:rFonts w:hint="cs"/>
          <w:b/>
          <w:bCs/>
          <w:sz w:val="20"/>
          <w:szCs w:val="20"/>
          <w:rtl/>
        </w:rPr>
        <w:t>י"א</w:t>
      </w:r>
      <w:r w:rsidRPr="003B25FE">
        <w:rPr>
          <w:rFonts w:hint="cs"/>
          <w:sz w:val="20"/>
          <w:szCs w:val="20"/>
          <w:rtl/>
        </w:rPr>
        <w:t xml:space="preserve">. אסורה רק בלילה. </w:t>
      </w:r>
      <w:r w:rsidRPr="003B25FE">
        <w:rPr>
          <w:rFonts w:hint="cs"/>
          <w:b/>
          <w:bCs/>
          <w:sz w:val="20"/>
          <w:szCs w:val="20"/>
          <w:rtl/>
        </w:rPr>
        <w:t>ראב"ד</w:t>
      </w:r>
      <w:r w:rsidRPr="003B25FE">
        <w:rPr>
          <w:rFonts w:hint="cs"/>
          <w:sz w:val="20"/>
          <w:szCs w:val="20"/>
          <w:rtl/>
        </w:rPr>
        <w:t xml:space="preserve">. אסורה בלילה, וביום כשיעור הזמן שרגילה לראות, וכ"פ </w:t>
      </w:r>
      <w:r w:rsidRPr="003B25FE">
        <w:rPr>
          <w:rFonts w:hint="cs"/>
          <w:b/>
          <w:bCs/>
          <w:sz w:val="20"/>
          <w:szCs w:val="20"/>
          <w:rtl/>
        </w:rPr>
        <w:t>המחבר</w:t>
      </w:r>
      <w:r w:rsidRPr="003B25FE">
        <w:rPr>
          <w:rFonts w:hint="cs"/>
          <w:sz w:val="20"/>
          <w:szCs w:val="20"/>
          <w:rtl/>
        </w:rPr>
        <w:t>.</w:t>
      </w:r>
      <w:r w:rsidRPr="003B25FE">
        <w:rPr>
          <w:rFonts w:hint="cs"/>
          <w:sz w:val="20"/>
          <w:szCs w:val="20"/>
          <w:rtl/>
        </w:rPr>
        <w:br/>
        <w:t xml:space="preserve">6. נימוקי השיטות. מחמירים. לרבי יוסי אסורה כל שעת הווסת, ה"ה לרבי יהודה בזמן שאוסר. מקלים. יש ללכת אחר העיקר, וכן מוכח מרבי יהודה שאוסר רק בלילה למרות שרואה גם מעט ביום. </w:t>
      </w:r>
      <w:r w:rsidRPr="003B25FE">
        <w:rPr>
          <w:rFonts w:hint="cs"/>
          <w:sz w:val="20"/>
          <w:szCs w:val="20"/>
          <w:rtl/>
        </w:rPr>
        <w:br/>
        <w:t xml:space="preserve">7. </w:t>
      </w:r>
      <w:r w:rsidRPr="003B25FE">
        <w:rPr>
          <w:rFonts w:hint="cs"/>
          <w:b/>
          <w:bCs/>
          <w:sz w:val="20"/>
          <w:szCs w:val="20"/>
          <w:rtl/>
        </w:rPr>
        <w:t>מחבר</w:t>
      </w:r>
      <w:r w:rsidRPr="003B25FE">
        <w:rPr>
          <w:rFonts w:hint="cs"/>
          <w:sz w:val="20"/>
          <w:szCs w:val="20"/>
          <w:rtl/>
        </w:rPr>
        <w:t xml:space="preserve">. כראב"ד. </w:t>
      </w:r>
      <w:r w:rsidRPr="003B25FE">
        <w:rPr>
          <w:rFonts w:hint="cs"/>
          <w:b/>
          <w:bCs/>
          <w:sz w:val="20"/>
          <w:szCs w:val="20"/>
          <w:rtl/>
        </w:rPr>
        <w:t>ש"ך</w:t>
      </w:r>
      <w:r w:rsidRPr="003B25FE">
        <w:rPr>
          <w:rFonts w:hint="cs"/>
          <w:sz w:val="20"/>
          <w:szCs w:val="20"/>
          <w:rtl/>
        </w:rPr>
        <w:t xml:space="preserve">. ה"ה בראייה שמתחילה ביום ונמשכת ללילה. ולאו"ז אסור עונה נוספת. </w:t>
      </w:r>
      <w:r w:rsidRPr="003B25FE">
        <w:rPr>
          <w:sz w:val="20"/>
          <w:szCs w:val="20"/>
          <w:rtl/>
        </w:rPr>
        <w:br/>
      </w:r>
      <w:r w:rsidRPr="003B25FE">
        <w:rPr>
          <w:rFonts w:hint="cs"/>
          <w:sz w:val="20"/>
          <w:szCs w:val="20"/>
          <w:rtl/>
        </w:rPr>
        <w:t xml:space="preserve">8. סעיף ו. ווסת הנמשכת כמה ימים. </w:t>
      </w:r>
      <w:r w:rsidRPr="003B25FE">
        <w:rPr>
          <w:rFonts w:hint="cs"/>
          <w:b/>
          <w:bCs/>
          <w:sz w:val="20"/>
          <w:szCs w:val="20"/>
          <w:rtl/>
        </w:rPr>
        <w:t>רז"ה</w:t>
      </w:r>
      <w:r w:rsidRPr="003B25FE">
        <w:rPr>
          <w:rFonts w:hint="cs"/>
          <w:sz w:val="20"/>
          <w:szCs w:val="20"/>
          <w:rtl/>
        </w:rPr>
        <w:t xml:space="preserve">. אסורה רק בעונה הראשונה. </w:t>
      </w:r>
      <w:r w:rsidRPr="003B25FE">
        <w:rPr>
          <w:rFonts w:hint="cs"/>
          <w:b/>
          <w:bCs/>
          <w:sz w:val="20"/>
          <w:szCs w:val="20"/>
          <w:rtl/>
        </w:rPr>
        <w:t>ראב"ד</w:t>
      </w:r>
      <w:r w:rsidRPr="003B25FE">
        <w:rPr>
          <w:rFonts w:hint="cs"/>
          <w:sz w:val="20"/>
          <w:szCs w:val="20"/>
          <w:rtl/>
        </w:rPr>
        <w:t>. אסורה כל הווסת.</w:t>
      </w:r>
      <w:r w:rsidRPr="003B25FE">
        <w:rPr>
          <w:sz w:val="20"/>
          <w:szCs w:val="20"/>
          <w:rtl/>
        </w:rPr>
        <w:br/>
      </w:r>
      <w:r w:rsidRPr="003B25FE">
        <w:rPr>
          <w:rFonts w:hint="cs"/>
          <w:sz w:val="20"/>
          <w:szCs w:val="20"/>
          <w:rtl/>
        </w:rPr>
        <w:t xml:space="preserve">9. ראיות לרז"ה. א. משמע שלר"ל א"צ לבדוק בתוך ימי נידתה. ב. משמע דלרבי יהודה רואה גם ביום ואפ"ה אסר רק בלילה. </w:t>
      </w:r>
      <w:r w:rsidRPr="003B25FE">
        <w:rPr>
          <w:sz w:val="20"/>
          <w:szCs w:val="20"/>
          <w:rtl/>
        </w:rPr>
        <w:br/>
      </w:r>
      <w:r w:rsidRPr="003B25FE">
        <w:rPr>
          <w:rFonts w:hint="cs"/>
          <w:sz w:val="20"/>
          <w:szCs w:val="20"/>
          <w:rtl/>
        </w:rPr>
        <w:t xml:space="preserve">10. ראיה לראב"ד. תינוקת שרואה ופוסקת, כל ראייה נחשבת בפנ"ע ואין הולכים אחר ההתחלה לחוד. </w:t>
      </w:r>
      <w:r w:rsidRPr="003B25FE">
        <w:rPr>
          <w:sz w:val="20"/>
          <w:szCs w:val="20"/>
          <w:rtl/>
        </w:rPr>
        <w:br/>
      </w:r>
      <w:r w:rsidRPr="003B25FE">
        <w:rPr>
          <w:rFonts w:hint="cs"/>
          <w:sz w:val="20"/>
          <w:szCs w:val="20"/>
          <w:rtl/>
        </w:rPr>
        <w:t>דחייה. התם</w:t>
      </w:r>
      <w:r w:rsidRPr="007A2349">
        <w:rPr>
          <w:rFonts w:hint="cs"/>
          <w:sz w:val="20"/>
          <w:szCs w:val="20"/>
          <w:rtl/>
        </w:rPr>
        <w:t xml:space="preserve"> הדיון לעניין החזקתה בדמים.</w:t>
      </w:r>
      <w:r w:rsidRPr="007A2349">
        <w:rPr>
          <w:sz w:val="20"/>
          <w:szCs w:val="20"/>
          <w:rtl/>
        </w:rPr>
        <w:br/>
      </w:r>
      <w:r w:rsidRPr="007A2349">
        <w:rPr>
          <w:rFonts w:hint="cs"/>
          <w:sz w:val="20"/>
          <w:szCs w:val="20"/>
          <w:rtl/>
        </w:rPr>
        <w:t xml:space="preserve">11. </w:t>
      </w:r>
      <w:r w:rsidRPr="008664DE">
        <w:rPr>
          <w:rFonts w:hint="cs"/>
          <w:b/>
          <w:bCs/>
          <w:sz w:val="20"/>
          <w:szCs w:val="20"/>
          <w:rtl/>
        </w:rPr>
        <w:t>מחבר</w:t>
      </w:r>
      <w:r w:rsidRPr="007A2349">
        <w:rPr>
          <w:rFonts w:hint="cs"/>
          <w:sz w:val="20"/>
          <w:szCs w:val="20"/>
          <w:rtl/>
        </w:rPr>
        <w:t xml:space="preserve">. הלכה </w:t>
      </w:r>
      <w:r w:rsidRPr="008664DE">
        <w:rPr>
          <w:rFonts w:hint="cs"/>
          <w:b/>
          <w:bCs/>
          <w:sz w:val="20"/>
          <w:szCs w:val="20"/>
          <w:rtl/>
        </w:rPr>
        <w:t>כרז"ה</w:t>
      </w:r>
      <w:r w:rsidRPr="007A2349">
        <w:rPr>
          <w:rFonts w:hint="cs"/>
          <w:sz w:val="20"/>
          <w:szCs w:val="20"/>
          <w:rtl/>
        </w:rPr>
        <w:t>, אסו</w:t>
      </w:r>
      <w:r>
        <w:rPr>
          <w:rFonts w:hint="cs"/>
          <w:sz w:val="20"/>
          <w:szCs w:val="20"/>
          <w:rtl/>
        </w:rPr>
        <w:t>רה</w:t>
      </w:r>
      <w:r w:rsidRPr="007A2349">
        <w:rPr>
          <w:rFonts w:hint="cs"/>
          <w:sz w:val="20"/>
          <w:szCs w:val="20"/>
          <w:rtl/>
        </w:rPr>
        <w:t xml:space="preserve"> רק בעונה הראשונה.</w:t>
      </w:r>
      <w:r w:rsidRPr="007A2349">
        <w:rPr>
          <w:sz w:val="20"/>
          <w:szCs w:val="20"/>
          <w:rtl/>
        </w:rPr>
        <w:br/>
      </w:r>
      <w:r w:rsidRPr="007A2349">
        <w:rPr>
          <w:rFonts w:hint="cs"/>
          <w:sz w:val="20"/>
          <w:szCs w:val="20"/>
          <w:rtl/>
        </w:rPr>
        <w:t xml:space="preserve">12. לכאורה </w:t>
      </w:r>
      <w:r w:rsidRPr="008664DE">
        <w:rPr>
          <w:rFonts w:hint="cs"/>
          <w:b/>
          <w:bCs/>
          <w:sz w:val="20"/>
          <w:szCs w:val="20"/>
          <w:rtl/>
        </w:rPr>
        <w:t>המחבר</w:t>
      </w:r>
      <w:r w:rsidRPr="007A2349">
        <w:rPr>
          <w:rFonts w:hint="cs"/>
          <w:sz w:val="20"/>
          <w:szCs w:val="20"/>
          <w:rtl/>
        </w:rPr>
        <w:t xml:space="preserve"> סותר עצמו, לעיל פסק </w:t>
      </w:r>
      <w:r w:rsidRPr="008664DE">
        <w:rPr>
          <w:rFonts w:hint="cs"/>
          <w:b/>
          <w:bCs/>
          <w:sz w:val="20"/>
          <w:szCs w:val="20"/>
          <w:rtl/>
        </w:rPr>
        <w:t>כראב"ד</w:t>
      </w:r>
      <w:r w:rsidRPr="007A2349">
        <w:rPr>
          <w:rFonts w:hint="cs"/>
          <w:sz w:val="20"/>
          <w:szCs w:val="20"/>
          <w:rtl/>
        </w:rPr>
        <w:t xml:space="preserve"> לאסור כל משך ראייתה! וי"ל לעיל מדובר בראייה מועטת ולכן היא נגררת אחר העיקר, אך כאן זו ראייה ארוכה ואזלינן רק אחר העיקר.</w:t>
      </w:r>
      <w:r>
        <w:rPr>
          <w:sz w:val="20"/>
          <w:szCs w:val="20"/>
          <w:rtl/>
        </w:rPr>
        <w:br/>
      </w:r>
      <w:r>
        <w:rPr>
          <w:rFonts w:hint="cs"/>
          <w:sz w:val="20"/>
          <w:szCs w:val="20"/>
          <w:rtl/>
        </w:rPr>
        <w:t xml:space="preserve">13. </w:t>
      </w:r>
      <w:r w:rsidRPr="00890E38">
        <w:rPr>
          <w:rFonts w:hint="cs"/>
          <w:b/>
          <w:bCs/>
          <w:sz w:val="20"/>
          <w:szCs w:val="20"/>
          <w:rtl/>
        </w:rPr>
        <w:t>פת"ש</w:t>
      </w:r>
      <w:r>
        <w:rPr>
          <w:rFonts w:hint="cs"/>
          <w:sz w:val="20"/>
          <w:szCs w:val="20"/>
          <w:rtl/>
        </w:rPr>
        <w:t xml:space="preserve">. תחילת הווסת היא העיקר גם לעניין קביעת הווסת. </w:t>
      </w:r>
      <w:r w:rsidRPr="00890E38">
        <w:rPr>
          <w:rFonts w:hint="cs"/>
          <w:b/>
          <w:bCs/>
          <w:sz w:val="20"/>
          <w:szCs w:val="20"/>
          <w:rtl/>
        </w:rPr>
        <w:t>חוו"ד</w:t>
      </w:r>
      <w:r>
        <w:rPr>
          <w:rFonts w:hint="cs"/>
          <w:sz w:val="20"/>
          <w:szCs w:val="20"/>
          <w:rtl/>
        </w:rPr>
        <w:t>. אם רואה דם בהפסקות צריכה לחשוש לכל הימים ופורשת בהם.</w:t>
      </w:r>
    </w:p>
    <w:p w:rsidR="00620060" w:rsidRDefault="00620060" w:rsidP="00620060">
      <w:pPr>
        <w:pStyle w:val="1"/>
        <w:rPr>
          <w:rtl/>
        </w:rPr>
      </w:pPr>
      <w:r>
        <w:rPr>
          <w:rtl/>
        </w:rPr>
        <w:br/>
      </w:r>
      <w:r>
        <w:rPr>
          <w:rFonts w:hint="cs"/>
          <w:rtl/>
        </w:rPr>
        <w:t xml:space="preserve">נשים מסולקות דמים (ז </w:t>
      </w:r>
      <w:r>
        <w:rPr>
          <w:rtl/>
        </w:rPr>
        <w:t>–</w:t>
      </w:r>
      <w:r>
        <w:rPr>
          <w:rFonts w:hint="cs"/>
          <w:rtl/>
        </w:rPr>
        <w:t xml:space="preserve"> ח</w:t>
      </w:r>
      <w:r w:rsidRPr="003B77DC">
        <w:rPr>
          <w:rStyle w:val="a5"/>
          <w:rFonts w:asciiTheme="minorBidi" w:hAnsiTheme="minorBidi" w:cstheme="minorBidi"/>
          <w:sz w:val="20"/>
          <w:szCs w:val="20"/>
          <w:rtl/>
        </w:rPr>
        <w:footnoteReference w:id="37"/>
      </w:r>
      <w:r>
        <w:rPr>
          <w:rFonts w:hint="cs"/>
          <w:rtl/>
        </w:rPr>
        <w:t>)</w:t>
      </w:r>
    </w:p>
    <w:p w:rsidR="00620060" w:rsidRDefault="00620060" w:rsidP="00620060">
      <w:pPr>
        <w:rPr>
          <w:sz w:val="20"/>
          <w:szCs w:val="20"/>
          <w:rtl/>
        </w:rPr>
      </w:pPr>
      <w:r w:rsidRPr="00877C54">
        <w:rPr>
          <w:rFonts w:hint="cs"/>
          <w:b/>
          <w:bCs/>
          <w:sz w:val="20"/>
          <w:szCs w:val="20"/>
          <w:rtl/>
        </w:rPr>
        <w:t xml:space="preserve">סעיף ז </w:t>
      </w:r>
      <w:r w:rsidRPr="00877C54">
        <w:rPr>
          <w:b/>
          <w:bCs/>
          <w:sz w:val="20"/>
          <w:szCs w:val="20"/>
          <w:rtl/>
        </w:rPr>
        <w:t>–</w:t>
      </w:r>
      <w:r w:rsidRPr="00877C54">
        <w:rPr>
          <w:rFonts w:hint="cs"/>
          <w:b/>
          <w:bCs/>
          <w:sz w:val="20"/>
          <w:szCs w:val="20"/>
          <w:rtl/>
        </w:rPr>
        <w:t xml:space="preserve"> דין פרישה במעוברת</w:t>
      </w:r>
      <w:r w:rsidRPr="00877C54">
        <w:rPr>
          <w:b/>
          <w:bCs/>
          <w:sz w:val="20"/>
          <w:szCs w:val="20"/>
          <w:rtl/>
        </w:rPr>
        <w:br/>
      </w:r>
      <w:r w:rsidRPr="00877C54">
        <w:rPr>
          <w:rFonts w:hint="cs"/>
          <w:b/>
          <w:bCs/>
          <w:sz w:val="20"/>
          <w:szCs w:val="20"/>
          <w:rtl/>
        </w:rPr>
        <w:t>מקור הדין</w:t>
      </w:r>
      <w:r w:rsidRPr="00877C54">
        <w:rPr>
          <w:rFonts w:hint="cs"/>
          <w:b/>
          <w:bCs/>
          <w:sz w:val="20"/>
          <w:szCs w:val="20"/>
          <w:rtl/>
        </w:rPr>
        <w:br/>
        <w:t>משנה</w:t>
      </w:r>
      <w:r>
        <w:rPr>
          <w:rFonts w:hint="cs"/>
          <w:sz w:val="20"/>
          <w:szCs w:val="20"/>
          <w:rtl/>
        </w:rPr>
        <w:t xml:space="preserve"> נידה (ז.) "</w:t>
      </w:r>
      <w:r w:rsidRPr="00877C54">
        <w:rPr>
          <w:rFonts w:cs="Arial" w:hint="cs"/>
          <w:sz w:val="20"/>
          <w:szCs w:val="20"/>
          <w:rtl/>
        </w:rPr>
        <w:t>רבי</w:t>
      </w:r>
      <w:r w:rsidRPr="00877C54">
        <w:rPr>
          <w:rFonts w:cs="Arial"/>
          <w:sz w:val="20"/>
          <w:szCs w:val="20"/>
          <w:rtl/>
        </w:rPr>
        <w:t xml:space="preserve"> </w:t>
      </w:r>
      <w:r w:rsidRPr="00877C54">
        <w:rPr>
          <w:rFonts w:cs="Arial" w:hint="cs"/>
          <w:sz w:val="20"/>
          <w:szCs w:val="20"/>
          <w:rtl/>
        </w:rPr>
        <w:t>אליעזר</w:t>
      </w:r>
      <w:r w:rsidRPr="00877C54">
        <w:rPr>
          <w:rFonts w:cs="Arial"/>
          <w:sz w:val="20"/>
          <w:szCs w:val="20"/>
          <w:rtl/>
        </w:rPr>
        <w:t xml:space="preserve"> </w:t>
      </w:r>
      <w:r w:rsidRPr="00877C54">
        <w:rPr>
          <w:rFonts w:cs="Arial" w:hint="cs"/>
          <w:sz w:val="20"/>
          <w:szCs w:val="20"/>
          <w:rtl/>
        </w:rPr>
        <w:t>אומר</w:t>
      </w:r>
      <w:r w:rsidRPr="00877C54">
        <w:rPr>
          <w:rFonts w:cs="Arial"/>
          <w:sz w:val="20"/>
          <w:szCs w:val="20"/>
          <w:rtl/>
        </w:rPr>
        <w:t xml:space="preserve">, </w:t>
      </w:r>
      <w:r w:rsidRPr="00877C54">
        <w:rPr>
          <w:rFonts w:cs="Arial" w:hint="cs"/>
          <w:sz w:val="20"/>
          <w:szCs w:val="20"/>
          <w:rtl/>
        </w:rPr>
        <w:t>ארבע</w:t>
      </w:r>
      <w:r w:rsidRPr="00877C54">
        <w:rPr>
          <w:rFonts w:cs="Arial"/>
          <w:sz w:val="20"/>
          <w:szCs w:val="20"/>
          <w:rtl/>
        </w:rPr>
        <w:t xml:space="preserve"> </w:t>
      </w:r>
      <w:r w:rsidRPr="00877C54">
        <w:rPr>
          <w:rFonts w:cs="Arial" w:hint="cs"/>
          <w:sz w:val="20"/>
          <w:szCs w:val="20"/>
          <w:rtl/>
        </w:rPr>
        <w:t>נשים</w:t>
      </w:r>
      <w:r w:rsidRPr="00877C54">
        <w:rPr>
          <w:rFonts w:cs="Arial"/>
          <w:sz w:val="20"/>
          <w:szCs w:val="20"/>
          <w:rtl/>
        </w:rPr>
        <w:t xml:space="preserve"> </w:t>
      </w:r>
      <w:r w:rsidRPr="00877C54">
        <w:rPr>
          <w:rFonts w:cs="Arial" w:hint="cs"/>
          <w:sz w:val="20"/>
          <w:szCs w:val="20"/>
          <w:rtl/>
        </w:rPr>
        <w:t>דיין</w:t>
      </w:r>
      <w:r w:rsidRPr="00877C54">
        <w:rPr>
          <w:rFonts w:cs="Arial"/>
          <w:sz w:val="20"/>
          <w:szCs w:val="20"/>
          <w:rtl/>
        </w:rPr>
        <w:t xml:space="preserve"> </w:t>
      </w:r>
      <w:r w:rsidRPr="00877C54">
        <w:rPr>
          <w:rFonts w:cs="Arial" w:hint="cs"/>
          <w:sz w:val="20"/>
          <w:szCs w:val="20"/>
          <w:rtl/>
        </w:rPr>
        <w:t>שעתן</w:t>
      </w:r>
      <w:r>
        <w:rPr>
          <w:rFonts w:cs="Arial"/>
          <w:sz w:val="20"/>
          <w:szCs w:val="20"/>
          <w:rtl/>
        </w:rPr>
        <w:t>:</w:t>
      </w:r>
      <w:r>
        <w:rPr>
          <w:rFonts w:cs="Arial" w:hint="cs"/>
          <w:sz w:val="20"/>
          <w:szCs w:val="20"/>
          <w:rtl/>
        </w:rPr>
        <w:t xml:space="preserve">.. </w:t>
      </w:r>
      <w:r w:rsidRPr="00877C54">
        <w:rPr>
          <w:rFonts w:cs="Arial" w:hint="cs"/>
          <w:sz w:val="20"/>
          <w:szCs w:val="20"/>
          <w:rtl/>
        </w:rPr>
        <w:t>מעוברת</w:t>
      </w:r>
      <w:r>
        <w:rPr>
          <w:rFonts w:cs="Arial" w:hint="cs"/>
          <w:sz w:val="20"/>
          <w:szCs w:val="20"/>
          <w:rtl/>
        </w:rPr>
        <w:t>".</w:t>
      </w:r>
      <w:r>
        <w:rPr>
          <w:sz w:val="20"/>
          <w:szCs w:val="20"/>
          <w:rtl/>
        </w:rPr>
        <w:br/>
      </w:r>
      <w:r w:rsidRPr="00877C54">
        <w:rPr>
          <w:rFonts w:hint="cs"/>
          <w:b/>
          <w:bCs/>
          <w:sz w:val="20"/>
          <w:szCs w:val="20"/>
          <w:rtl/>
        </w:rPr>
        <w:t xml:space="preserve">גמרא </w:t>
      </w:r>
      <w:r>
        <w:rPr>
          <w:rFonts w:hint="cs"/>
          <w:sz w:val="20"/>
          <w:szCs w:val="20"/>
          <w:rtl/>
        </w:rPr>
        <w:t>נידה (ט.) "</w:t>
      </w:r>
      <w:r w:rsidRPr="00877C54">
        <w:rPr>
          <w:rFonts w:cs="Arial" w:hint="cs"/>
          <w:sz w:val="20"/>
          <w:szCs w:val="20"/>
          <w:rtl/>
        </w:rPr>
        <w:t>בעא</w:t>
      </w:r>
      <w:r w:rsidRPr="00877C54">
        <w:rPr>
          <w:rFonts w:cs="Arial"/>
          <w:sz w:val="20"/>
          <w:szCs w:val="20"/>
          <w:rtl/>
        </w:rPr>
        <w:t xml:space="preserve"> </w:t>
      </w:r>
      <w:r w:rsidRPr="00877C54">
        <w:rPr>
          <w:rFonts w:cs="Arial" w:hint="cs"/>
          <w:sz w:val="20"/>
          <w:szCs w:val="20"/>
          <w:rtl/>
        </w:rPr>
        <w:t>מיניה</w:t>
      </w:r>
      <w:r w:rsidRPr="00877C54">
        <w:rPr>
          <w:rFonts w:cs="Arial"/>
          <w:sz w:val="20"/>
          <w:szCs w:val="20"/>
          <w:rtl/>
        </w:rPr>
        <w:t xml:space="preserve"> </w:t>
      </w:r>
      <w:r w:rsidRPr="00877C54">
        <w:rPr>
          <w:rFonts w:cs="Arial" w:hint="cs"/>
          <w:sz w:val="20"/>
          <w:szCs w:val="20"/>
          <w:rtl/>
        </w:rPr>
        <w:t>ההוא</w:t>
      </w:r>
      <w:r w:rsidRPr="00877C54">
        <w:rPr>
          <w:rFonts w:cs="Arial"/>
          <w:sz w:val="20"/>
          <w:szCs w:val="20"/>
          <w:rtl/>
        </w:rPr>
        <w:t xml:space="preserve"> </w:t>
      </w:r>
      <w:r w:rsidRPr="00877C54">
        <w:rPr>
          <w:rFonts w:cs="Arial" w:hint="cs"/>
          <w:sz w:val="20"/>
          <w:szCs w:val="20"/>
          <w:rtl/>
        </w:rPr>
        <w:t>סבא</w:t>
      </w:r>
      <w:r w:rsidRPr="00877C54">
        <w:rPr>
          <w:rFonts w:cs="Arial"/>
          <w:sz w:val="20"/>
          <w:szCs w:val="20"/>
          <w:rtl/>
        </w:rPr>
        <w:t xml:space="preserve"> </w:t>
      </w:r>
      <w:r w:rsidRPr="00877C54">
        <w:rPr>
          <w:rFonts w:cs="Arial" w:hint="cs"/>
          <w:sz w:val="20"/>
          <w:szCs w:val="20"/>
          <w:rtl/>
        </w:rPr>
        <w:t>מר</w:t>
      </w:r>
      <w:r w:rsidRPr="00877C54">
        <w:rPr>
          <w:rFonts w:cs="Arial"/>
          <w:sz w:val="20"/>
          <w:szCs w:val="20"/>
          <w:rtl/>
        </w:rPr>
        <w:t xml:space="preserve">' </w:t>
      </w:r>
      <w:r w:rsidRPr="00877C54">
        <w:rPr>
          <w:rFonts w:cs="Arial" w:hint="cs"/>
          <w:sz w:val="20"/>
          <w:szCs w:val="20"/>
          <w:rtl/>
        </w:rPr>
        <w:t>יוחנן</w:t>
      </w:r>
      <w:r w:rsidRPr="00877C54">
        <w:rPr>
          <w:rFonts w:cs="Arial"/>
          <w:sz w:val="20"/>
          <w:szCs w:val="20"/>
          <w:rtl/>
        </w:rPr>
        <w:t xml:space="preserve">: </w:t>
      </w:r>
      <w:r w:rsidRPr="00877C54">
        <w:rPr>
          <w:rFonts w:cs="Arial" w:hint="cs"/>
          <w:sz w:val="20"/>
          <w:szCs w:val="20"/>
          <w:rtl/>
        </w:rPr>
        <w:t>הגיע</w:t>
      </w:r>
      <w:r w:rsidRPr="00877C54">
        <w:rPr>
          <w:rFonts w:cs="Arial"/>
          <w:sz w:val="20"/>
          <w:szCs w:val="20"/>
          <w:rtl/>
        </w:rPr>
        <w:t xml:space="preserve"> </w:t>
      </w:r>
      <w:r w:rsidRPr="00877C54">
        <w:rPr>
          <w:rFonts w:cs="Arial" w:hint="cs"/>
          <w:sz w:val="20"/>
          <w:szCs w:val="20"/>
          <w:rtl/>
        </w:rPr>
        <w:t>עת</w:t>
      </w:r>
      <w:r w:rsidRPr="00877C54">
        <w:rPr>
          <w:rFonts w:cs="Arial"/>
          <w:sz w:val="20"/>
          <w:szCs w:val="20"/>
          <w:rtl/>
        </w:rPr>
        <w:t xml:space="preserve"> </w:t>
      </w:r>
      <w:r w:rsidRPr="00877C54">
        <w:rPr>
          <w:rFonts w:cs="Arial" w:hint="cs"/>
          <w:sz w:val="20"/>
          <w:szCs w:val="20"/>
          <w:rtl/>
        </w:rPr>
        <w:t>וסתה</w:t>
      </w:r>
      <w:r w:rsidRPr="00877C54">
        <w:rPr>
          <w:rFonts w:cs="Arial"/>
          <w:sz w:val="20"/>
          <w:szCs w:val="20"/>
          <w:rtl/>
        </w:rPr>
        <w:t xml:space="preserve"> </w:t>
      </w:r>
      <w:r w:rsidRPr="00877C54">
        <w:rPr>
          <w:rFonts w:cs="Arial" w:hint="cs"/>
          <w:sz w:val="20"/>
          <w:szCs w:val="20"/>
          <w:rtl/>
        </w:rPr>
        <w:t>בימי</w:t>
      </w:r>
      <w:r w:rsidRPr="00877C54">
        <w:rPr>
          <w:rFonts w:cs="Arial"/>
          <w:sz w:val="20"/>
          <w:szCs w:val="20"/>
          <w:rtl/>
        </w:rPr>
        <w:t xml:space="preserve"> </w:t>
      </w:r>
      <w:r w:rsidRPr="00877C54">
        <w:rPr>
          <w:rFonts w:cs="Arial" w:hint="cs"/>
          <w:sz w:val="20"/>
          <w:szCs w:val="20"/>
          <w:rtl/>
        </w:rPr>
        <w:t>עבורה</w:t>
      </w:r>
      <w:r w:rsidRPr="00877C54">
        <w:rPr>
          <w:rFonts w:cs="Arial"/>
          <w:sz w:val="20"/>
          <w:szCs w:val="20"/>
          <w:rtl/>
        </w:rPr>
        <w:t xml:space="preserve"> </w:t>
      </w:r>
      <w:r w:rsidRPr="00877C54">
        <w:rPr>
          <w:rFonts w:cs="Arial" w:hint="cs"/>
          <w:sz w:val="20"/>
          <w:szCs w:val="20"/>
          <w:rtl/>
        </w:rPr>
        <w:t>ולא</w:t>
      </w:r>
      <w:r w:rsidRPr="00877C54">
        <w:rPr>
          <w:rFonts w:cs="Arial"/>
          <w:sz w:val="20"/>
          <w:szCs w:val="20"/>
          <w:rtl/>
        </w:rPr>
        <w:t xml:space="preserve"> </w:t>
      </w:r>
      <w:r w:rsidRPr="00877C54">
        <w:rPr>
          <w:rFonts w:cs="Arial" w:hint="cs"/>
          <w:sz w:val="20"/>
          <w:szCs w:val="20"/>
          <w:rtl/>
        </w:rPr>
        <w:t>בדקה</w:t>
      </w:r>
      <w:r w:rsidRPr="00877C54">
        <w:rPr>
          <w:rFonts w:cs="Arial"/>
          <w:sz w:val="20"/>
          <w:szCs w:val="20"/>
          <w:rtl/>
        </w:rPr>
        <w:t xml:space="preserve">, </w:t>
      </w:r>
      <w:r w:rsidRPr="00877C54">
        <w:rPr>
          <w:rFonts w:cs="Arial" w:hint="cs"/>
          <w:sz w:val="20"/>
          <w:szCs w:val="20"/>
          <w:rtl/>
        </w:rPr>
        <w:t>מהו</w:t>
      </w:r>
      <w:r w:rsidRPr="00877C54">
        <w:rPr>
          <w:rFonts w:cs="Arial"/>
          <w:sz w:val="20"/>
          <w:szCs w:val="20"/>
          <w:rtl/>
        </w:rPr>
        <w:t xml:space="preserve">? </w:t>
      </w:r>
      <w:r w:rsidRPr="00877C54">
        <w:rPr>
          <w:rFonts w:cs="Arial" w:hint="cs"/>
          <w:sz w:val="20"/>
          <w:szCs w:val="20"/>
          <w:rtl/>
        </w:rPr>
        <w:t>קא</w:t>
      </w:r>
      <w:r w:rsidRPr="00877C54">
        <w:rPr>
          <w:rFonts w:cs="Arial"/>
          <w:sz w:val="20"/>
          <w:szCs w:val="20"/>
          <w:rtl/>
        </w:rPr>
        <w:t xml:space="preserve"> </w:t>
      </w:r>
      <w:r w:rsidRPr="00877C54">
        <w:rPr>
          <w:rFonts w:cs="Arial" w:hint="cs"/>
          <w:sz w:val="20"/>
          <w:szCs w:val="20"/>
          <w:rtl/>
        </w:rPr>
        <w:t>מיבעיא</w:t>
      </w:r>
      <w:r w:rsidRPr="00877C54">
        <w:rPr>
          <w:rFonts w:cs="Arial"/>
          <w:sz w:val="20"/>
          <w:szCs w:val="20"/>
          <w:rtl/>
        </w:rPr>
        <w:t xml:space="preserve"> </w:t>
      </w:r>
      <w:r w:rsidRPr="00877C54">
        <w:rPr>
          <w:rFonts w:cs="Arial" w:hint="cs"/>
          <w:sz w:val="20"/>
          <w:szCs w:val="20"/>
          <w:rtl/>
        </w:rPr>
        <w:t>לי</w:t>
      </w:r>
      <w:r w:rsidRPr="00877C54">
        <w:rPr>
          <w:rFonts w:cs="Arial"/>
          <w:sz w:val="20"/>
          <w:szCs w:val="20"/>
          <w:rtl/>
        </w:rPr>
        <w:t xml:space="preserve"> </w:t>
      </w:r>
      <w:r w:rsidRPr="00877C54">
        <w:rPr>
          <w:rFonts w:cs="Arial" w:hint="cs"/>
          <w:sz w:val="20"/>
          <w:szCs w:val="20"/>
          <w:rtl/>
        </w:rPr>
        <w:t>אליבא</w:t>
      </w:r>
      <w:r w:rsidRPr="00877C54">
        <w:rPr>
          <w:rFonts w:cs="Arial"/>
          <w:sz w:val="20"/>
          <w:szCs w:val="20"/>
          <w:rtl/>
        </w:rPr>
        <w:t xml:space="preserve"> </w:t>
      </w:r>
      <w:r w:rsidRPr="00877C54">
        <w:rPr>
          <w:rFonts w:cs="Arial" w:hint="cs"/>
          <w:sz w:val="20"/>
          <w:szCs w:val="20"/>
          <w:rtl/>
        </w:rPr>
        <w:t>דמ</w:t>
      </w:r>
      <w:r w:rsidRPr="00877C54">
        <w:rPr>
          <w:rFonts w:cs="Arial"/>
          <w:sz w:val="20"/>
          <w:szCs w:val="20"/>
          <w:rtl/>
        </w:rPr>
        <w:t>"</w:t>
      </w:r>
      <w:r w:rsidRPr="00877C54">
        <w:rPr>
          <w:rFonts w:cs="Arial" w:hint="cs"/>
          <w:sz w:val="20"/>
          <w:szCs w:val="20"/>
          <w:rtl/>
        </w:rPr>
        <w:t>ד</w:t>
      </w:r>
      <w:r w:rsidRPr="00877C54">
        <w:rPr>
          <w:rFonts w:cs="Arial"/>
          <w:sz w:val="20"/>
          <w:szCs w:val="20"/>
          <w:rtl/>
        </w:rPr>
        <w:t xml:space="preserve"> </w:t>
      </w:r>
      <w:r w:rsidRPr="00877C54">
        <w:rPr>
          <w:rFonts w:cs="Arial" w:hint="cs"/>
          <w:sz w:val="20"/>
          <w:szCs w:val="20"/>
          <w:rtl/>
        </w:rPr>
        <w:t>וסתות</w:t>
      </w:r>
      <w:r w:rsidRPr="00877C54">
        <w:rPr>
          <w:rFonts w:cs="Arial"/>
          <w:sz w:val="20"/>
          <w:szCs w:val="20"/>
          <w:rtl/>
        </w:rPr>
        <w:t xml:space="preserve"> </w:t>
      </w:r>
      <w:r w:rsidRPr="00877C54">
        <w:rPr>
          <w:rFonts w:cs="Arial" w:hint="cs"/>
          <w:sz w:val="20"/>
          <w:szCs w:val="20"/>
          <w:rtl/>
        </w:rPr>
        <w:t>דאורייתא</w:t>
      </w:r>
      <w:r w:rsidRPr="00877C54">
        <w:rPr>
          <w:rFonts w:cs="Arial"/>
          <w:sz w:val="20"/>
          <w:szCs w:val="20"/>
          <w:rtl/>
        </w:rPr>
        <w:t>.</w:t>
      </w:r>
      <w:r>
        <w:rPr>
          <w:rStyle w:val="a5"/>
          <w:rFonts w:cs="Arial"/>
          <w:sz w:val="20"/>
          <w:szCs w:val="20"/>
          <w:rtl/>
        </w:rPr>
        <w:footnoteReference w:id="38"/>
      </w:r>
      <w:r w:rsidRPr="00877C54">
        <w:rPr>
          <w:rFonts w:cs="Arial"/>
          <w:sz w:val="20"/>
          <w:szCs w:val="20"/>
          <w:rtl/>
        </w:rPr>
        <w:t xml:space="preserve"> </w:t>
      </w:r>
      <w:r w:rsidRPr="00877C54">
        <w:rPr>
          <w:rFonts w:cs="Arial" w:hint="cs"/>
          <w:sz w:val="20"/>
          <w:szCs w:val="20"/>
          <w:rtl/>
        </w:rPr>
        <w:t>מאי</w:t>
      </w:r>
      <w:r w:rsidRPr="00877C54">
        <w:rPr>
          <w:rFonts w:cs="Arial"/>
          <w:sz w:val="20"/>
          <w:szCs w:val="20"/>
          <w:rtl/>
        </w:rPr>
        <w:t xml:space="preserve">! </w:t>
      </w:r>
      <w:r w:rsidRPr="00877C54">
        <w:rPr>
          <w:rFonts w:cs="Arial" w:hint="cs"/>
          <w:sz w:val="20"/>
          <w:szCs w:val="20"/>
          <w:rtl/>
        </w:rPr>
        <w:t>כיון</w:t>
      </w:r>
      <w:r w:rsidRPr="00877C54">
        <w:rPr>
          <w:rFonts w:cs="Arial"/>
          <w:sz w:val="20"/>
          <w:szCs w:val="20"/>
          <w:rtl/>
        </w:rPr>
        <w:t xml:space="preserve"> </w:t>
      </w:r>
      <w:r w:rsidRPr="00877C54">
        <w:rPr>
          <w:rFonts w:cs="Arial" w:hint="cs"/>
          <w:sz w:val="20"/>
          <w:szCs w:val="20"/>
          <w:rtl/>
        </w:rPr>
        <w:t>דוסתות</w:t>
      </w:r>
      <w:r w:rsidRPr="00877C54">
        <w:rPr>
          <w:rFonts w:cs="Arial"/>
          <w:sz w:val="20"/>
          <w:szCs w:val="20"/>
          <w:rtl/>
        </w:rPr>
        <w:t xml:space="preserve"> </w:t>
      </w:r>
      <w:r w:rsidRPr="00877C54">
        <w:rPr>
          <w:rFonts w:cs="Arial" w:hint="cs"/>
          <w:sz w:val="20"/>
          <w:szCs w:val="20"/>
          <w:rtl/>
        </w:rPr>
        <w:t>דאורייתא</w:t>
      </w:r>
      <w:r w:rsidRPr="00877C54">
        <w:rPr>
          <w:rFonts w:cs="Arial"/>
          <w:sz w:val="20"/>
          <w:szCs w:val="20"/>
          <w:rtl/>
        </w:rPr>
        <w:t xml:space="preserve"> - </w:t>
      </w:r>
      <w:r w:rsidRPr="00877C54">
        <w:rPr>
          <w:rFonts w:cs="Arial" w:hint="cs"/>
          <w:sz w:val="20"/>
          <w:szCs w:val="20"/>
          <w:rtl/>
        </w:rPr>
        <w:t>בעיא</w:t>
      </w:r>
      <w:r w:rsidRPr="00877C54">
        <w:rPr>
          <w:rFonts w:cs="Arial"/>
          <w:sz w:val="20"/>
          <w:szCs w:val="20"/>
          <w:rtl/>
        </w:rPr>
        <w:t xml:space="preserve"> </w:t>
      </w:r>
      <w:r w:rsidRPr="00877C54">
        <w:rPr>
          <w:rFonts w:cs="Arial" w:hint="cs"/>
          <w:sz w:val="20"/>
          <w:szCs w:val="20"/>
          <w:rtl/>
        </w:rPr>
        <w:t>בדיקה</w:t>
      </w:r>
      <w:r w:rsidRPr="00877C54">
        <w:rPr>
          <w:rFonts w:cs="Arial"/>
          <w:sz w:val="20"/>
          <w:szCs w:val="20"/>
          <w:rtl/>
        </w:rPr>
        <w:t xml:space="preserve">, </w:t>
      </w:r>
      <w:r w:rsidRPr="00877C54">
        <w:rPr>
          <w:rFonts w:cs="Arial" w:hint="cs"/>
          <w:sz w:val="20"/>
          <w:szCs w:val="20"/>
          <w:rtl/>
        </w:rPr>
        <w:t>או</w:t>
      </w:r>
      <w:r w:rsidRPr="00877C54">
        <w:rPr>
          <w:rFonts w:cs="Arial"/>
          <w:sz w:val="20"/>
          <w:szCs w:val="20"/>
          <w:rtl/>
        </w:rPr>
        <w:t xml:space="preserve"> </w:t>
      </w:r>
      <w:r w:rsidRPr="00877C54">
        <w:rPr>
          <w:rFonts w:cs="Arial" w:hint="cs"/>
          <w:sz w:val="20"/>
          <w:szCs w:val="20"/>
          <w:rtl/>
        </w:rPr>
        <w:t>דלמא</w:t>
      </w:r>
      <w:r w:rsidRPr="00877C54">
        <w:rPr>
          <w:rFonts w:cs="Arial"/>
          <w:sz w:val="20"/>
          <w:szCs w:val="20"/>
          <w:rtl/>
        </w:rPr>
        <w:t xml:space="preserve">: </w:t>
      </w:r>
      <w:r w:rsidRPr="00877C54">
        <w:rPr>
          <w:rFonts w:cs="Arial" w:hint="cs"/>
          <w:sz w:val="20"/>
          <w:szCs w:val="20"/>
          <w:rtl/>
        </w:rPr>
        <w:t>כיון</w:t>
      </w:r>
      <w:r w:rsidRPr="00877C54">
        <w:rPr>
          <w:rFonts w:cs="Arial"/>
          <w:sz w:val="20"/>
          <w:szCs w:val="20"/>
          <w:rtl/>
        </w:rPr>
        <w:t xml:space="preserve"> </w:t>
      </w:r>
      <w:r w:rsidRPr="00877C54">
        <w:rPr>
          <w:rFonts w:cs="Arial" w:hint="cs"/>
          <w:sz w:val="20"/>
          <w:szCs w:val="20"/>
          <w:rtl/>
        </w:rPr>
        <w:t>דדמיה</w:t>
      </w:r>
      <w:r w:rsidRPr="00877C54">
        <w:rPr>
          <w:rFonts w:cs="Arial"/>
          <w:sz w:val="20"/>
          <w:szCs w:val="20"/>
          <w:rtl/>
        </w:rPr>
        <w:t xml:space="preserve"> </w:t>
      </w:r>
      <w:r w:rsidRPr="00877C54">
        <w:rPr>
          <w:rFonts w:cs="Arial" w:hint="cs"/>
          <w:sz w:val="20"/>
          <w:szCs w:val="20"/>
          <w:rtl/>
        </w:rPr>
        <w:t>מסולקין</w:t>
      </w:r>
      <w:r w:rsidRPr="00877C54">
        <w:rPr>
          <w:rFonts w:cs="Arial"/>
          <w:sz w:val="20"/>
          <w:szCs w:val="20"/>
          <w:rtl/>
        </w:rPr>
        <w:t xml:space="preserve">, </w:t>
      </w:r>
      <w:r w:rsidRPr="00877C54">
        <w:rPr>
          <w:rFonts w:cs="Arial" w:hint="cs"/>
          <w:sz w:val="20"/>
          <w:szCs w:val="20"/>
          <w:rtl/>
        </w:rPr>
        <w:t>לא</w:t>
      </w:r>
      <w:r w:rsidRPr="00877C54">
        <w:rPr>
          <w:rFonts w:cs="Arial"/>
          <w:sz w:val="20"/>
          <w:szCs w:val="20"/>
          <w:rtl/>
        </w:rPr>
        <w:t xml:space="preserve"> </w:t>
      </w:r>
      <w:r w:rsidRPr="00877C54">
        <w:rPr>
          <w:rFonts w:cs="Arial" w:hint="cs"/>
          <w:sz w:val="20"/>
          <w:szCs w:val="20"/>
          <w:rtl/>
        </w:rPr>
        <w:t>בעיא</w:t>
      </w:r>
      <w:r w:rsidRPr="00877C54">
        <w:rPr>
          <w:rFonts w:cs="Arial"/>
          <w:sz w:val="20"/>
          <w:szCs w:val="20"/>
          <w:rtl/>
        </w:rPr>
        <w:t xml:space="preserve"> </w:t>
      </w:r>
      <w:r w:rsidRPr="00877C54">
        <w:rPr>
          <w:rFonts w:cs="Arial" w:hint="cs"/>
          <w:sz w:val="20"/>
          <w:szCs w:val="20"/>
          <w:rtl/>
        </w:rPr>
        <w:t>בדיקה</w:t>
      </w:r>
      <w:r w:rsidRPr="00877C54">
        <w:rPr>
          <w:rFonts w:cs="Arial"/>
          <w:sz w:val="20"/>
          <w:szCs w:val="20"/>
          <w:rtl/>
        </w:rPr>
        <w:t xml:space="preserve">? </w:t>
      </w:r>
      <w:r w:rsidRPr="00877C54">
        <w:rPr>
          <w:rFonts w:cs="Arial" w:hint="cs"/>
          <w:sz w:val="20"/>
          <w:szCs w:val="20"/>
          <w:rtl/>
        </w:rPr>
        <w:t>א</w:t>
      </w:r>
      <w:r w:rsidRPr="00877C54">
        <w:rPr>
          <w:rFonts w:cs="Arial"/>
          <w:sz w:val="20"/>
          <w:szCs w:val="20"/>
          <w:rtl/>
        </w:rPr>
        <w:t>"</w:t>
      </w:r>
      <w:r w:rsidRPr="00877C54">
        <w:rPr>
          <w:rFonts w:cs="Arial" w:hint="cs"/>
          <w:sz w:val="20"/>
          <w:szCs w:val="20"/>
          <w:rtl/>
        </w:rPr>
        <w:t>ל</w:t>
      </w:r>
      <w:r w:rsidRPr="00877C54">
        <w:rPr>
          <w:rFonts w:cs="Arial"/>
          <w:sz w:val="20"/>
          <w:szCs w:val="20"/>
          <w:rtl/>
        </w:rPr>
        <w:t xml:space="preserve">, </w:t>
      </w:r>
      <w:r w:rsidRPr="00877C54">
        <w:rPr>
          <w:rFonts w:cs="Arial" w:hint="cs"/>
          <w:sz w:val="20"/>
          <w:szCs w:val="20"/>
          <w:rtl/>
        </w:rPr>
        <w:t>תניתוה</w:t>
      </w:r>
      <w:r w:rsidRPr="00877C54">
        <w:rPr>
          <w:rFonts w:cs="Arial"/>
          <w:sz w:val="20"/>
          <w:szCs w:val="20"/>
          <w:rtl/>
        </w:rPr>
        <w:t xml:space="preserve">: </w:t>
      </w:r>
      <w:r w:rsidRPr="00877C54">
        <w:rPr>
          <w:rFonts w:cs="Arial" w:hint="cs"/>
          <w:sz w:val="20"/>
          <w:szCs w:val="20"/>
          <w:rtl/>
        </w:rPr>
        <w:t>רבי</w:t>
      </w:r>
      <w:r w:rsidRPr="00877C54">
        <w:rPr>
          <w:rFonts w:cs="Arial"/>
          <w:sz w:val="20"/>
          <w:szCs w:val="20"/>
          <w:rtl/>
        </w:rPr>
        <w:t xml:space="preserve"> </w:t>
      </w:r>
      <w:r w:rsidRPr="00877C54">
        <w:rPr>
          <w:rFonts w:cs="Arial" w:hint="cs"/>
          <w:sz w:val="20"/>
          <w:szCs w:val="20"/>
          <w:rtl/>
        </w:rPr>
        <w:t>מאיר</w:t>
      </w:r>
      <w:r w:rsidRPr="00877C54">
        <w:rPr>
          <w:rFonts w:cs="Arial"/>
          <w:sz w:val="20"/>
          <w:szCs w:val="20"/>
          <w:rtl/>
        </w:rPr>
        <w:t xml:space="preserve"> </w:t>
      </w:r>
      <w:r w:rsidRPr="00877C54">
        <w:rPr>
          <w:rFonts w:cs="Arial" w:hint="cs"/>
          <w:sz w:val="20"/>
          <w:szCs w:val="20"/>
          <w:rtl/>
        </w:rPr>
        <w:t>אומר</w:t>
      </w:r>
      <w:r w:rsidRPr="00877C54">
        <w:rPr>
          <w:rFonts w:cs="Arial"/>
          <w:sz w:val="20"/>
          <w:szCs w:val="20"/>
          <w:rtl/>
        </w:rPr>
        <w:t xml:space="preserve">, </w:t>
      </w:r>
      <w:r w:rsidRPr="00877C54">
        <w:rPr>
          <w:rFonts w:cs="Arial" w:hint="cs"/>
          <w:sz w:val="20"/>
          <w:szCs w:val="20"/>
          <w:rtl/>
        </w:rPr>
        <w:t>אם</w:t>
      </w:r>
      <w:r w:rsidRPr="00877C54">
        <w:rPr>
          <w:rFonts w:cs="Arial"/>
          <w:sz w:val="20"/>
          <w:szCs w:val="20"/>
          <w:rtl/>
        </w:rPr>
        <w:t xml:space="preserve"> </w:t>
      </w:r>
      <w:r w:rsidRPr="00877C54">
        <w:rPr>
          <w:rFonts w:cs="Arial" w:hint="cs"/>
          <w:sz w:val="20"/>
          <w:szCs w:val="20"/>
          <w:rtl/>
        </w:rPr>
        <w:t>היתה</w:t>
      </w:r>
      <w:r w:rsidRPr="00877C54">
        <w:rPr>
          <w:rFonts w:cs="Arial"/>
          <w:sz w:val="20"/>
          <w:szCs w:val="20"/>
          <w:rtl/>
        </w:rPr>
        <w:t xml:space="preserve"> </w:t>
      </w:r>
      <w:r w:rsidRPr="00877C54">
        <w:rPr>
          <w:rFonts w:cs="Arial" w:hint="cs"/>
          <w:sz w:val="20"/>
          <w:szCs w:val="20"/>
          <w:rtl/>
        </w:rPr>
        <w:t>במחבא</w:t>
      </w:r>
      <w:r w:rsidRPr="00877C54">
        <w:rPr>
          <w:rFonts w:cs="Arial"/>
          <w:sz w:val="20"/>
          <w:szCs w:val="20"/>
          <w:rtl/>
        </w:rPr>
        <w:t xml:space="preserve"> </w:t>
      </w:r>
      <w:r w:rsidRPr="00877C54">
        <w:rPr>
          <w:rFonts w:cs="Arial" w:hint="cs"/>
          <w:sz w:val="20"/>
          <w:szCs w:val="20"/>
          <w:rtl/>
        </w:rPr>
        <w:t>והגיע</w:t>
      </w:r>
      <w:r w:rsidRPr="00877C54">
        <w:rPr>
          <w:rFonts w:cs="Arial"/>
          <w:sz w:val="20"/>
          <w:szCs w:val="20"/>
          <w:rtl/>
        </w:rPr>
        <w:t xml:space="preserve"> </w:t>
      </w:r>
      <w:r w:rsidRPr="00877C54">
        <w:rPr>
          <w:rFonts w:cs="Arial" w:hint="cs"/>
          <w:sz w:val="20"/>
          <w:szCs w:val="20"/>
          <w:rtl/>
        </w:rPr>
        <w:t>שעת</w:t>
      </w:r>
      <w:r w:rsidRPr="00877C54">
        <w:rPr>
          <w:rFonts w:cs="Arial"/>
          <w:sz w:val="20"/>
          <w:szCs w:val="20"/>
          <w:rtl/>
        </w:rPr>
        <w:t xml:space="preserve"> </w:t>
      </w:r>
      <w:r w:rsidRPr="00877C54">
        <w:rPr>
          <w:rFonts w:cs="Arial" w:hint="cs"/>
          <w:sz w:val="20"/>
          <w:szCs w:val="20"/>
          <w:rtl/>
        </w:rPr>
        <w:t>וסתה</w:t>
      </w:r>
      <w:r w:rsidRPr="00877C54">
        <w:rPr>
          <w:rFonts w:cs="Arial"/>
          <w:sz w:val="20"/>
          <w:szCs w:val="20"/>
          <w:rtl/>
        </w:rPr>
        <w:t xml:space="preserve"> </w:t>
      </w:r>
      <w:r w:rsidRPr="00877C54">
        <w:rPr>
          <w:rFonts w:cs="Arial" w:hint="cs"/>
          <w:sz w:val="20"/>
          <w:szCs w:val="20"/>
          <w:rtl/>
        </w:rPr>
        <w:t>ולא</w:t>
      </w:r>
      <w:r w:rsidRPr="00877C54">
        <w:rPr>
          <w:rFonts w:cs="Arial"/>
          <w:sz w:val="20"/>
          <w:szCs w:val="20"/>
          <w:rtl/>
        </w:rPr>
        <w:t xml:space="preserve"> </w:t>
      </w:r>
      <w:r w:rsidRPr="00877C54">
        <w:rPr>
          <w:rFonts w:cs="Arial" w:hint="cs"/>
          <w:sz w:val="20"/>
          <w:szCs w:val="20"/>
          <w:rtl/>
        </w:rPr>
        <w:t>בדקה</w:t>
      </w:r>
      <w:r w:rsidRPr="00877C54">
        <w:rPr>
          <w:rFonts w:cs="Arial"/>
          <w:sz w:val="20"/>
          <w:szCs w:val="20"/>
          <w:rtl/>
        </w:rPr>
        <w:t xml:space="preserve"> - </w:t>
      </w:r>
      <w:r w:rsidRPr="00877C54">
        <w:rPr>
          <w:rFonts w:cs="Arial" w:hint="cs"/>
          <w:sz w:val="20"/>
          <w:szCs w:val="20"/>
          <w:rtl/>
        </w:rPr>
        <w:t>טהורה</w:t>
      </w:r>
      <w:r w:rsidRPr="00877C54">
        <w:rPr>
          <w:rFonts w:cs="Arial"/>
          <w:sz w:val="20"/>
          <w:szCs w:val="20"/>
          <w:rtl/>
        </w:rPr>
        <w:t xml:space="preserve">, </w:t>
      </w:r>
      <w:r w:rsidRPr="00877C54">
        <w:rPr>
          <w:rFonts w:cs="Arial" w:hint="cs"/>
          <w:sz w:val="20"/>
          <w:szCs w:val="20"/>
          <w:rtl/>
        </w:rPr>
        <w:t>שחרדה</w:t>
      </w:r>
      <w:r w:rsidRPr="00877C54">
        <w:rPr>
          <w:rFonts w:cs="Arial"/>
          <w:sz w:val="20"/>
          <w:szCs w:val="20"/>
          <w:rtl/>
        </w:rPr>
        <w:t xml:space="preserve"> </w:t>
      </w:r>
      <w:r w:rsidRPr="00877C54">
        <w:rPr>
          <w:rFonts w:cs="Arial" w:hint="cs"/>
          <w:sz w:val="20"/>
          <w:szCs w:val="20"/>
          <w:rtl/>
        </w:rPr>
        <w:t>מסלקת</w:t>
      </w:r>
      <w:r w:rsidRPr="00877C54">
        <w:rPr>
          <w:rFonts w:cs="Arial"/>
          <w:sz w:val="20"/>
          <w:szCs w:val="20"/>
          <w:rtl/>
        </w:rPr>
        <w:t xml:space="preserve"> </w:t>
      </w:r>
      <w:r w:rsidRPr="00877C54">
        <w:rPr>
          <w:rFonts w:cs="Arial" w:hint="cs"/>
          <w:sz w:val="20"/>
          <w:szCs w:val="20"/>
          <w:rtl/>
        </w:rPr>
        <w:t>את</w:t>
      </w:r>
      <w:r w:rsidRPr="00877C54">
        <w:rPr>
          <w:rFonts w:cs="Arial"/>
          <w:sz w:val="20"/>
          <w:szCs w:val="20"/>
          <w:rtl/>
        </w:rPr>
        <w:t xml:space="preserve"> </w:t>
      </w:r>
      <w:r w:rsidRPr="00877C54">
        <w:rPr>
          <w:rFonts w:cs="Arial" w:hint="cs"/>
          <w:sz w:val="20"/>
          <w:szCs w:val="20"/>
          <w:rtl/>
        </w:rPr>
        <w:t>הדמים</w:t>
      </w:r>
      <w:r w:rsidRPr="00877C54">
        <w:rPr>
          <w:rFonts w:cs="Arial"/>
          <w:sz w:val="20"/>
          <w:szCs w:val="20"/>
          <w:rtl/>
        </w:rPr>
        <w:t xml:space="preserve">. </w:t>
      </w:r>
      <w:r w:rsidRPr="00877C54">
        <w:rPr>
          <w:rFonts w:cs="Arial" w:hint="cs"/>
          <w:sz w:val="20"/>
          <w:szCs w:val="20"/>
          <w:rtl/>
        </w:rPr>
        <w:t>טעמא</w:t>
      </w:r>
      <w:r w:rsidRPr="00877C54">
        <w:rPr>
          <w:rFonts w:cs="Arial"/>
          <w:sz w:val="20"/>
          <w:szCs w:val="20"/>
          <w:rtl/>
        </w:rPr>
        <w:t xml:space="preserve"> - </w:t>
      </w:r>
      <w:r w:rsidRPr="00877C54">
        <w:rPr>
          <w:rFonts w:cs="Arial" w:hint="cs"/>
          <w:sz w:val="20"/>
          <w:szCs w:val="20"/>
          <w:rtl/>
        </w:rPr>
        <w:t>דאיכא</w:t>
      </w:r>
      <w:r w:rsidRPr="00877C54">
        <w:rPr>
          <w:rFonts w:cs="Arial"/>
          <w:sz w:val="20"/>
          <w:szCs w:val="20"/>
          <w:rtl/>
        </w:rPr>
        <w:t xml:space="preserve"> </w:t>
      </w:r>
      <w:r w:rsidRPr="00877C54">
        <w:rPr>
          <w:rFonts w:cs="Arial" w:hint="cs"/>
          <w:sz w:val="20"/>
          <w:szCs w:val="20"/>
          <w:rtl/>
        </w:rPr>
        <w:t>חרדה</w:t>
      </w:r>
      <w:r w:rsidRPr="00877C54">
        <w:rPr>
          <w:rFonts w:cs="Arial"/>
          <w:sz w:val="20"/>
          <w:szCs w:val="20"/>
          <w:rtl/>
        </w:rPr>
        <w:t xml:space="preserve">, </w:t>
      </w:r>
      <w:r w:rsidRPr="00877C54">
        <w:rPr>
          <w:rFonts w:cs="Arial" w:hint="cs"/>
          <w:sz w:val="20"/>
          <w:szCs w:val="20"/>
          <w:rtl/>
        </w:rPr>
        <w:t>הא</w:t>
      </w:r>
      <w:r w:rsidRPr="00877C54">
        <w:rPr>
          <w:rFonts w:cs="Arial"/>
          <w:sz w:val="20"/>
          <w:szCs w:val="20"/>
          <w:rtl/>
        </w:rPr>
        <w:t xml:space="preserve"> </w:t>
      </w:r>
      <w:r w:rsidRPr="00877C54">
        <w:rPr>
          <w:rFonts w:cs="Arial" w:hint="cs"/>
          <w:sz w:val="20"/>
          <w:szCs w:val="20"/>
          <w:rtl/>
        </w:rPr>
        <w:t>ליכא</w:t>
      </w:r>
      <w:r w:rsidRPr="00877C54">
        <w:rPr>
          <w:rFonts w:cs="Arial"/>
          <w:sz w:val="20"/>
          <w:szCs w:val="20"/>
          <w:rtl/>
        </w:rPr>
        <w:t xml:space="preserve"> </w:t>
      </w:r>
      <w:r w:rsidRPr="00877C54">
        <w:rPr>
          <w:rFonts w:cs="Arial" w:hint="cs"/>
          <w:sz w:val="20"/>
          <w:szCs w:val="20"/>
          <w:rtl/>
        </w:rPr>
        <w:t>חרדה</w:t>
      </w:r>
      <w:r w:rsidRPr="00877C54">
        <w:rPr>
          <w:rFonts w:cs="Arial"/>
          <w:sz w:val="20"/>
          <w:szCs w:val="20"/>
          <w:rtl/>
        </w:rPr>
        <w:t xml:space="preserve"> </w:t>
      </w:r>
      <w:r w:rsidRPr="00877C54">
        <w:rPr>
          <w:rFonts w:cs="Arial" w:hint="cs"/>
          <w:sz w:val="20"/>
          <w:szCs w:val="20"/>
          <w:rtl/>
        </w:rPr>
        <w:t>והגיע</w:t>
      </w:r>
      <w:r w:rsidRPr="00877C54">
        <w:rPr>
          <w:rFonts w:cs="Arial"/>
          <w:sz w:val="20"/>
          <w:szCs w:val="20"/>
          <w:rtl/>
        </w:rPr>
        <w:t xml:space="preserve"> </w:t>
      </w:r>
      <w:r w:rsidRPr="00877C54">
        <w:rPr>
          <w:rFonts w:cs="Arial" w:hint="cs"/>
          <w:sz w:val="20"/>
          <w:szCs w:val="20"/>
          <w:rtl/>
        </w:rPr>
        <w:t>וסתה</w:t>
      </w:r>
      <w:r w:rsidRPr="00877C54">
        <w:rPr>
          <w:rFonts w:cs="Arial"/>
          <w:sz w:val="20"/>
          <w:szCs w:val="20"/>
          <w:rtl/>
        </w:rPr>
        <w:t xml:space="preserve"> </w:t>
      </w:r>
      <w:r w:rsidRPr="00877C54">
        <w:rPr>
          <w:rFonts w:cs="Arial" w:hint="cs"/>
          <w:sz w:val="20"/>
          <w:szCs w:val="20"/>
          <w:rtl/>
        </w:rPr>
        <w:t>ולא</w:t>
      </w:r>
      <w:r w:rsidRPr="00877C54">
        <w:rPr>
          <w:rFonts w:cs="Arial"/>
          <w:sz w:val="20"/>
          <w:szCs w:val="20"/>
          <w:rtl/>
        </w:rPr>
        <w:t xml:space="preserve"> </w:t>
      </w:r>
      <w:r w:rsidRPr="00877C54">
        <w:rPr>
          <w:rFonts w:cs="Arial" w:hint="cs"/>
          <w:sz w:val="20"/>
          <w:szCs w:val="20"/>
          <w:rtl/>
        </w:rPr>
        <w:t>בדקה</w:t>
      </w:r>
      <w:r w:rsidRPr="00877C54">
        <w:rPr>
          <w:rFonts w:cs="Arial"/>
          <w:sz w:val="20"/>
          <w:szCs w:val="20"/>
          <w:rtl/>
        </w:rPr>
        <w:t xml:space="preserve"> - </w:t>
      </w:r>
      <w:r w:rsidRPr="00877C54">
        <w:rPr>
          <w:rFonts w:cs="Arial" w:hint="cs"/>
          <w:sz w:val="20"/>
          <w:szCs w:val="20"/>
          <w:rtl/>
        </w:rPr>
        <w:t>טמאה</w:t>
      </w:r>
      <w:r w:rsidRPr="00877C54">
        <w:rPr>
          <w:rFonts w:cs="Arial"/>
          <w:sz w:val="20"/>
          <w:szCs w:val="20"/>
          <w:rtl/>
        </w:rPr>
        <w:t xml:space="preserve">, </w:t>
      </w:r>
      <w:r w:rsidRPr="00877C54">
        <w:rPr>
          <w:rFonts w:cs="Arial" w:hint="cs"/>
          <w:sz w:val="20"/>
          <w:szCs w:val="20"/>
          <w:rtl/>
        </w:rPr>
        <w:t>אלמא</w:t>
      </w:r>
      <w:r w:rsidRPr="00877C54">
        <w:rPr>
          <w:rFonts w:cs="Arial"/>
          <w:sz w:val="20"/>
          <w:szCs w:val="20"/>
          <w:rtl/>
        </w:rPr>
        <w:t xml:space="preserve">: </w:t>
      </w:r>
      <w:r w:rsidRPr="00877C54">
        <w:rPr>
          <w:rFonts w:cs="Arial" w:hint="cs"/>
          <w:sz w:val="20"/>
          <w:szCs w:val="20"/>
          <w:rtl/>
        </w:rPr>
        <w:t>וסתות</w:t>
      </w:r>
      <w:r w:rsidRPr="00877C54">
        <w:rPr>
          <w:rFonts w:cs="Arial"/>
          <w:sz w:val="20"/>
          <w:szCs w:val="20"/>
          <w:rtl/>
        </w:rPr>
        <w:t xml:space="preserve"> </w:t>
      </w:r>
      <w:r w:rsidRPr="00877C54">
        <w:rPr>
          <w:rFonts w:cs="Arial" w:hint="cs"/>
          <w:sz w:val="20"/>
          <w:szCs w:val="20"/>
          <w:rtl/>
        </w:rPr>
        <w:t>דאורייתא</w:t>
      </w:r>
      <w:r w:rsidRPr="00877C54">
        <w:rPr>
          <w:rFonts w:cs="Arial"/>
          <w:sz w:val="20"/>
          <w:szCs w:val="20"/>
          <w:rtl/>
        </w:rPr>
        <w:t xml:space="preserve">. </w:t>
      </w:r>
      <w:r w:rsidRPr="00877C54">
        <w:rPr>
          <w:rFonts w:cs="Arial" w:hint="cs"/>
          <w:sz w:val="20"/>
          <w:szCs w:val="20"/>
          <w:rtl/>
        </w:rPr>
        <w:t>וכיון</w:t>
      </w:r>
      <w:r w:rsidRPr="00877C54">
        <w:rPr>
          <w:rFonts w:cs="Arial"/>
          <w:sz w:val="20"/>
          <w:szCs w:val="20"/>
          <w:rtl/>
        </w:rPr>
        <w:t xml:space="preserve"> </w:t>
      </w:r>
      <w:r w:rsidRPr="00877C54">
        <w:rPr>
          <w:rFonts w:cs="Arial" w:hint="cs"/>
          <w:sz w:val="20"/>
          <w:szCs w:val="20"/>
          <w:rtl/>
        </w:rPr>
        <w:t>דאיכא</w:t>
      </w:r>
      <w:r w:rsidRPr="00877C54">
        <w:rPr>
          <w:rFonts w:cs="Arial"/>
          <w:sz w:val="20"/>
          <w:szCs w:val="20"/>
          <w:rtl/>
        </w:rPr>
        <w:t xml:space="preserve"> </w:t>
      </w:r>
      <w:r w:rsidRPr="00877C54">
        <w:rPr>
          <w:rFonts w:cs="Arial" w:hint="cs"/>
          <w:sz w:val="20"/>
          <w:szCs w:val="20"/>
          <w:rtl/>
        </w:rPr>
        <w:t>חרדה</w:t>
      </w:r>
      <w:r w:rsidRPr="00877C54">
        <w:rPr>
          <w:rFonts w:cs="Arial"/>
          <w:sz w:val="20"/>
          <w:szCs w:val="20"/>
          <w:rtl/>
        </w:rPr>
        <w:t xml:space="preserve"> - </w:t>
      </w:r>
      <w:r w:rsidRPr="00877C54">
        <w:rPr>
          <w:rFonts w:cs="Arial" w:hint="cs"/>
          <w:sz w:val="20"/>
          <w:szCs w:val="20"/>
          <w:rtl/>
        </w:rPr>
        <w:t>דמיה</w:t>
      </w:r>
      <w:r w:rsidRPr="00877C54">
        <w:rPr>
          <w:rFonts w:cs="Arial"/>
          <w:sz w:val="20"/>
          <w:szCs w:val="20"/>
          <w:rtl/>
        </w:rPr>
        <w:t xml:space="preserve"> </w:t>
      </w:r>
      <w:r w:rsidRPr="00877C54">
        <w:rPr>
          <w:rFonts w:cs="Arial" w:hint="cs"/>
          <w:sz w:val="20"/>
          <w:szCs w:val="20"/>
          <w:rtl/>
        </w:rPr>
        <w:t>מסולקין</w:t>
      </w:r>
      <w:r w:rsidRPr="00877C54">
        <w:rPr>
          <w:rFonts w:cs="Arial"/>
          <w:sz w:val="20"/>
          <w:szCs w:val="20"/>
          <w:rtl/>
        </w:rPr>
        <w:t xml:space="preserve">, </w:t>
      </w:r>
      <w:r w:rsidRPr="00877C54">
        <w:rPr>
          <w:rFonts w:cs="Arial" w:hint="cs"/>
          <w:sz w:val="20"/>
          <w:szCs w:val="20"/>
          <w:rtl/>
        </w:rPr>
        <w:t>ולא</w:t>
      </w:r>
      <w:r w:rsidRPr="00877C54">
        <w:rPr>
          <w:rFonts w:cs="Arial"/>
          <w:sz w:val="20"/>
          <w:szCs w:val="20"/>
          <w:rtl/>
        </w:rPr>
        <w:t xml:space="preserve"> </w:t>
      </w:r>
      <w:r w:rsidRPr="00877C54">
        <w:rPr>
          <w:rFonts w:cs="Arial" w:hint="cs"/>
          <w:sz w:val="20"/>
          <w:szCs w:val="20"/>
          <w:rtl/>
        </w:rPr>
        <w:t>בעיא</w:t>
      </w:r>
      <w:r w:rsidRPr="00877C54">
        <w:rPr>
          <w:rFonts w:cs="Arial"/>
          <w:sz w:val="20"/>
          <w:szCs w:val="20"/>
          <w:rtl/>
        </w:rPr>
        <w:t xml:space="preserve"> </w:t>
      </w:r>
      <w:r w:rsidRPr="00877C54">
        <w:rPr>
          <w:rFonts w:cs="Arial" w:hint="cs"/>
          <w:sz w:val="20"/>
          <w:szCs w:val="20"/>
          <w:rtl/>
        </w:rPr>
        <w:t>בדיקה</w:t>
      </w:r>
      <w:r w:rsidRPr="00877C54">
        <w:rPr>
          <w:rFonts w:cs="Arial"/>
          <w:sz w:val="20"/>
          <w:szCs w:val="20"/>
          <w:rtl/>
        </w:rPr>
        <w:t xml:space="preserve">; </w:t>
      </w:r>
      <w:r w:rsidRPr="00877C54">
        <w:rPr>
          <w:rFonts w:cs="Arial" w:hint="cs"/>
          <w:sz w:val="20"/>
          <w:szCs w:val="20"/>
          <w:rtl/>
        </w:rPr>
        <w:t>הכא</w:t>
      </w:r>
      <w:r w:rsidRPr="00877C54">
        <w:rPr>
          <w:rFonts w:cs="Arial"/>
          <w:sz w:val="20"/>
          <w:szCs w:val="20"/>
          <w:rtl/>
        </w:rPr>
        <w:t xml:space="preserve"> </w:t>
      </w:r>
      <w:r w:rsidRPr="00877C54">
        <w:rPr>
          <w:rFonts w:cs="Arial" w:hint="cs"/>
          <w:sz w:val="20"/>
          <w:szCs w:val="20"/>
          <w:rtl/>
        </w:rPr>
        <w:t>נמי</w:t>
      </w:r>
      <w:r w:rsidRPr="00877C54">
        <w:rPr>
          <w:rFonts w:cs="Arial"/>
          <w:sz w:val="20"/>
          <w:szCs w:val="20"/>
          <w:rtl/>
        </w:rPr>
        <w:t xml:space="preserve"> - </w:t>
      </w:r>
      <w:r w:rsidRPr="00877C54">
        <w:rPr>
          <w:rFonts w:cs="Arial" w:hint="cs"/>
          <w:sz w:val="20"/>
          <w:szCs w:val="20"/>
          <w:rtl/>
        </w:rPr>
        <w:t>דמיה</w:t>
      </w:r>
      <w:r w:rsidRPr="00877C54">
        <w:rPr>
          <w:rFonts w:cs="Arial"/>
          <w:sz w:val="20"/>
          <w:szCs w:val="20"/>
          <w:rtl/>
        </w:rPr>
        <w:t xml:space="preserve"> </w:t>
      </w:r>
      <w:r w:rsidRPr="00877C54">
        <w:rPr>
          <w:rFonts w:cs="Arial" w:hint="cs"/>
          <w:sz w:val="20"/>
          <w:szCs w:val="20"/>
          <w:rtl/>
        </w:rPr>
        <w:t>מסולקין</w:t>
      </w:r>
      <w:r w:rsidRPr="00877C54">
        <w:rPr>
          <w:rFonts w:cs="Arial"/>
          <w:sz w:val="20"/>
          <w:szCs w:val="20"/>
          <w:rtl/>
        </w:rPr>
        <w:t xml:space="preserve">, </w:t>
      </w:r>
      <w:r w:rsidRPr="00877C54">
        <w:rPr>
          <w:rFonts w:cs="Arial" w:hint="cs"/>
          <w:sz w:val="20"/>
          <w:szCs w:val="20"/>
          <w:rtl/>
        </w:rPr>
        <w:t>ולא</w:t>
      </w:r>
      <w:r w:rsidRPr="00877C54">
        <w:rPr>
          <w:rFonts w:cs="Arial"/>
          <w:sz w:val="20"/>
          <w:szCs w:val="20"/>
          <w:rtl/>
        </w:rPr>
        <w:t xml:space="preserve"> </w:t>
      </w:r>
      <w:r w:rsidRPr="00877C54">
        <w:rPr>
          <w:rFonts w:cs="Arial" w:hint="cs"/>
          <w:sz w:val="20"/>
          <w:szCs w:val="20"/>
          <w:rtl/>
        </w:rPr>
        <w:t>בעיא</w:t>
      </w:r>
      <w:r w:rsidRPr="00877C54">
        <w:rPr>
          <w:rFonts w:cs="Arial"/>
          <w:sz w:val="20"/>
          <w:szCs w:val="20"/>
          <w:rtl/>
        </w:rPr>
        <w:t xml:space="preserve"> </w:t>
      </w:r>
      <w:r w:rsidRPr="00877C54">
        <w:rPr>
          <w:rFonts w:cs="Arial" w:hint="cs"/>
          <w:sz w:val="20"/>
          <w:szCs w:val="20"/>
          <w:rtl/>
        </w:rPr>
        <w:t>בדיקה</w:t>
      </w:r>
      <w:r>
        <w:rPr>
          <w:rFonts w:cs="Arial" w:hint="cs"/>
          <w:sz w:val="20"/>
          <w:szCs w:val="20"/>
          <w:rtl/>
        </w:rPr>
        <w:t>".</w:t>
      </w:r>
    </w:p>
    <w:p w:rsidR="00620060" w:rsidRDefault="00620060" w:rsidP="00620060">
      <w:pPr>
        <w:rPr>
          <w:sz w:val="20"/>
          <w:szCs w:val="20"/>
          <w:rtl/>
        </w:rPr>
      </w:pPr>
      <w:r>
        <w:rPr>
          <w:rFonts w:hint="cs"/>
          <w:sz w:val="20"/>
          <w:szCs w:val="20"/>
          <w:u w:val="single"/>
          <w:rtl/>
        </w:rPr>
        <w:t>היוצא מסוגייה זו</w:t>
      </w:r>
      <w:r>
        <w:rPr>
          <w:sz w:val="20"/>
          <w:szCs w:val="20"/>
          <w:u w:val="single"/>
          <w:rtl/>
        </w:rPr>
        <w:br/>
      </w:r>
      <w:r w:rsidRPr="00496059">
        <w:rPr>
          <w:rFonts w:hint="cs"/>
          <w:b/>
          <w:bCs/>
          <w:sz w:val="20"/>
          <w:szCs w:val="20"/>
          <w:rtl/>
        </w:rPr>
        <w:t>רא"ש</w:t>
      </w:r>
      <w:r>
        <w:rPr>
          <w:rFonts w:hint="cs"/>
          <w:sz w:val="20"/>
          <w:szCs w:val="20"/>
          <w:rtl/>
        </w:rPr>
        <w:t xml:space="preserve"> </w:t>
      </w:r>
      <w:r>
        <w:rPr>
          <w:sz w:val="20"/>
          <w:szCs w:val="20"/>
          <w:rtl/>
        </w:rPr>
        <w:t>–</w:t>
      </w:r>
      <w:r>
        <w:rPr>
          <w:rFonts w:hint="cs"/>
          <w:sz w:val="20"/>
          <w:szCs w:val="20"/>
          <w:rtl/>
        </w:rPr>
        <w:t xml:space="preserve"> מגמרא זו יש ללמוד שאין צריך לפרוש מתשמיש עם מעוברת בעונת ווסתה, שהרי אפילו בשעת ווסתה ממש אמרינן כאן שאינה צריכה בדיקה.</w:t>
      </w:r>
      <w:r>
        <w:rPr>
          <w:rFonts w:hint="cs"/>
          <w:sz w:val="20"/>
          <w:szCs w:val="20"/>
          <w:rtl/>
        </w:rPr>
        <w:br/>
      </w:r>
      <w:r>
        <w:rPr>
          <w:rFonts w:hint="cs"/>
          <w:sz w:val="20"/>
          <w:szCs w:val="20"/>
          <w:rtl/>
        </w:rPr>
        <w:br/>
      </w:r>
      <w:r w:rsidRPr="00784F52">
        <w:rPr>
          <w:rFonts w:hint="cs"/>
          <w:b/>
          <w:bCs/>
          <w:sz w:val="20"/>
          <w:szCs w:val="20"/>
          <w:rtl/>
        </w:rPr>
        <w:t>דין מניקה</w:t>
      </w:r>
      <w:r>
        <w:rPr>
          <w:sz w:val="20"/>
          <w:szCs w:val="20"/>
          <w:rtl/>
        </w:rPr>
        <w:br/>
      </w:r>
      <w:r w:rsidRPr="00496059">
        <w:rPr>
          <w:rFonts w:hint="cs"/>
          <w:b/>
          <w:bCs/>
          <w:sz w:val="20"/>
          <w:szCs w:val="20"/>
          <w:rtl/>
        </w:rPr>
        <w:t>טור</w:t>
      </w:r>
      <w:r>
        <w:rPr>
          <w:rFonts w:hint="cs"/>
          <w:sz w:val="20"/>
          <w:szCs w:val="20"/>
          <w:rtl/>
        </w:rPr>
        <w:t xml:space="preserve"> </w:t>
      </w:r>
      <w:r>
        <w:rPr>
          <w:sz w:val="20"/>
          <w:szCs w:val="20"/>
          <w:rtl/>
        </w:rPr>
        <w:t>–</w:t>
      </w:r>
      <w:r>
        <w:rPr>
          <w:rFonts w:hint="cs"/>
          <w:sz w:val="20"/>
          <w:szCs w:val="20"/>
          <w:rtl/>
        </w:rPr>
        <w:t xml:space="preserve"> הוא הדין לדעת הרא"ש לגבי מניקה שמותר לשמש עמה סמוך לווסתה.</w:t>
      </w:r>
      <w:r>
        <w:rPr>
          <w:sz w:val="20"/>
          <w:szCs w:val="20"/>
          <w:rtl/>
        </w:rPr>
        <w:br/>
      </w:r>
      <w:r w:rsidRPr="00784F52">
        <w:rPr>
          <w:rFonts w:hint="cs"/>
          <w:sz w:val="20"/>
          <w:szCs w:val="20"/>
          <w:rtl/>
        </w:rPr>
        <w:t xml:space="preserve">הסבר </w:t>
      </w:r>
      <w:r w:rsidRPr="00784F52">
        <w:rPr>
          <w:rFonts w:hint="cs"/>
          <w:b/>
          <w:bCs/>
          <w:sz w:val="20"/>
          <w:szCs w:val="20"/>
          <w:rtl/>
        </w:rPr>
        <w:t>הבית יוסף</w:t>
      </w:r>
      <w:r>
        <w:rPr>
          <w:rFonts w:hint="cs"/>
          <w:sz w:val="20"/>
          <w:szCs w:val="20"/>
          <w:rtl/>
        </w:rPr>
        <w:t xml:space="preserve"> </w:t>
      </w:r>
      <w:r>
        <w:rPr>
          <w:sz w:val="20"/>
          <w:szCs w:val="20"/>
          <w:rtl/>
        </w:rPr>
        <w:t>–</w:t>
      </w:r>
      <w:r>
        <w:rPr>
          <w:rFonts w:hint="cs"/>
          <w:sz w:val="20"/>
          <w:szCs w:val="20"/>
          <w:rtl/>
        </w:rPr>
        <w:t xml:space="preserve"> אע"פ שהרא"ש לא כתב שדין מניקה כמעוברת, יש ללמוד כך מדברי רבי יוחנן (שם, י:): "</w:t>
      </w:r>
      <w:r w:rsidRPr="00496059">
        <w:rPr>
          <w:rFonts w:cs="Arial" w:hint="cs"/>
          <w:sz w:val="20"/>
          <w:szCs w:val="20"/>
          <w:rtl/>
        </w:rPr>
        <w:t>רבי</w:t>
      </w:r>
      <w:r w:rsidRPr="00496059">
        <w:rPr>
          <w:rFonts w:cs="Arial"/>
          <w:sz w:val="20"/>
          <w:szCs w:val="20"/>
          <w:rtl/>
        </w:rPr>
        <w:t xml:space="preserve"> </w:t>
      </w:r>
      <w:r w:rsidRPr="00496059">
        <w:rPr>
          <w:rFonts w:cs="Arial" w:hint="cs"/>
          <w:sz w:val="20"/>
          <w:szCs w:val="20"/>
          <w:rtl/>
        </w:rPr>
        <w:t>יוחנן</w:t>
      </w:r>
      <w:r w:rsidRPr="00496059">
        <w:rPr>
          <w:rFonts w:cs="Arial"/>
          <w:sz w:val="20"/>
          <w:szCs w:val="20"/>
          <w:rtl/>
        </w:rPr>
        <w:t xml:space="preserve"> </w:t>
      </w:r>
      <w:r w:rsidRPr="00496059">
        <w:rPr>
          <w:rFonts w:cs="Arial" w:hint="cs"/>
          <w:sz w:val="20"/>
          <w:szCs w:val="20"/>
          <w:rtl/>
        </w:rPr>
        <w:t>אמר</w:t>
      </w:r>
      <w:r w:rsidRPr="00496059">
        <w:rPr>
          <w:rFonts w:cs="Arial"/>
          <w:sz w:val="20"/>
          <w:szCs w:val="20"/>
          <w:rtl/>
        </w:rPr>
        <w:t xml:space="preserve">: </w:t>
      </w:r>
      <w:r w:rsidRPr="00496059">
        <w:rPr>
          <w:rFonts w:cs="Arial" w:hint="cs"/>
          <w:sz w:val="20"/>
          <w:szCs w:val="20"/>
          <w:rtl/>
        </w:rPr>
        <w:t>לא</w:t>
      </w:r>
      <w:r w:rsidRPr="00496059">
        <w:rPr>
          <w:rFonts w:cs="Arial"/>
          <w:sz w:val="20"/>
          <w:szCs w:val="20"/>
          <w:rtl/>
        </w:rPr>
        <w:t xml:space="preserve"> </w:t>
      </w:r>
      <w:r w:rsidRPr="00496059">
        <w:rPr>
          <w:rFonts w:cs="Arial" w:hint="cs"/>
          <w:sz w:val="20"/>
          <w:szCs w:val="20"/>
          <w:rtl/>
        </w:rPr>
        <w:t>שנו</w:t>
      </w:r>
      <w:r w:rsidRPr="00496059">
        <w:rPr>
          <w:rFonts w:cs="Arial"/>
          <w:sz w:val="20"/>
          <w:szCs w:val="20"/>
          <w:rtl/>
        </w:rPr>
        <w:t xml:space="preserve"> </w:t>
      </w:r>
      <w:r w:rsidRPr="00496059">
        <w:rPr>
          <w:rFonts w:cs="Arial" w:hint="cs"/>
          <w:sz w:val="20"/>
          <w:szCs w:val="20"/>
          <w:rtl/>
        </w:rPr>
        <w:t>אלא</w:t>
      </w:r>
      <w:r w:rsidRPr="00496059">
        <w:rPr>
          <w:rFonts w:cs="Arial"/>
          <w:sz w:val="20"/>
          <w:szCs w:val="20"/>
          <w:rtl/>
        </w:rPr>
        <w:t xml:space="preserve"> </w:t>
      </w:r>
      <w:r w:rsidRPr="00496059">
        <w:rPr>
          <w:rFonts w:cs="Arial" w:hint="cs"/>
          <w:sz w:val="20"/>
          <w:szCs w:val="20"/>
          <w:rtl/>
        </w:rPr>
        <w:t>בתולה</w:t>
      </w:r>
      <w:r w:rsidRPr="00496059">
        <w:rPr>
          <w:rFonts w:cs="Arial"/>
          <w:sz w:val="20"/>
          <w:szCs w:val="20"/>
          <w:rtl/>
        </w:rPr>
        <w:t xml:space="preserve"> </w:t>
      </w:r>
      <w:r w:rsidRPr="00496059">
        <w:rPr>
          <w:rFonts w:cs="Arial" w:hint="cs"/>
          <w:sz w:val="20"/>
          <w:szCs w:val="20"/>
          <w:rtl/>
        </w:rPr>
        <w:t>וזקנה</w:t>
      </w:r>
      <w:r w:rsidRPr="00496059">
        <w:rPr>
          <w:rFonts w:cs="Arial"/>
          <w:sz w:val="20"/>
          <w:szCs w:val="20"/>
          <w:rtl/>
        </w:rPr>
        <w:t xml:space="preserve">, </w:t>
      </w:r>
      <w:r w:rsidRPr="00496059">
        <w:rPr>
          <w:rFonts w:cs="Arial" w:hint="cs"/>
          <w:sz w:val="20"/>
          <w:szCs w:val="20"/>
          <w:rtl/>
        </w:rPr>
        <w:t>אבל</w:t>
      </w:r>
      <w:r w:rsidRPr="00496059">
        <w:rPr>
          <w:rFonts w:cs="Arial"/>
          <w:sz w:val="20"/>
          <w:szCs w:val="20"/>
          <w:rtl/>
        </w:rPr>
        <w:t xml:space="preserve"> </w:t>
      </w:r>
      <w:r w:rsidRPr="00496059">
        <w:rPr>
          <w:rFonts w:cs="Arial" w:hint="cs"/>
          <w:sz w:val="20"/>
          <w:szCs w:val="20"/>
          <w:rtl/>
        </w:rPr>
        <w:t>מעוברת</w:t>
      </w:r>
      <w:r w:rsidRPr="00496059">
        <w:rPr>
          <w:rFonts w:cs="Arial"/>
          <w:sz w:val="20"/>
          <w:szCs w:val="20"/>
          <w:rtl/>
        </w:rPr>
        <w:t xml:space="preserve"> </w:t>
      </w:r>
      <w:r w:rsidRPr="00496059">
        <w:rPr>
          <w:rFonts w:cs="Arial" w:hint="cs"/>
          <w:sz w:val="20"/>
          <w:szCs w:val="20"/>
          <w:rtl/>
        </w:rPr>
        <w:t>ומניקה</w:t>
      </w:r>
      <w:r w:rsidRPr="00496059">
        <w:rPr>
          <w:rFonts w:cs="Arial"/>
          <w:sz w:val="20"/>
          <w:szCs w:val="20"/>
          <w:rtl/>
        </w:rPr>
        <w:t xml:space="preserve"> - </w:t>
      </w:r>
      <w:r w:rsidRPr="00496059">
        <w:rPr>
          <w:rFonts w:cs="Arial" w:hint="cs"/>
          <w:sz w:val="20"/>
          <w:szCs w:val="20"/>
          <w:rtl/>
        </w:rPr>
        <w:t>דיין</w:t>
      </w:r>
      <w:r w:rsidRPr="00496059">
        <w:rPr>
          <w:rFonts w:cs="Arial"/>
          <w:sz w:val="20"/>
          <w:szCs w:val="20"/>
          <w:rtl/>
        </w:rPr>
        <w:t xml:space="preserve"> </w:t>
      </w:r>
      <w:r w:rsidRPr="00496059">
        <w:rPr>
          <w:rFonts w:cs="Arial" w:hint="cs"/>
          <w:sz w:val="20"/>
          <w:szCs w:val="20"/>
          <w:rtl/>
        </w:rPr>
        <w:t>כל</w:t>
      </w:r>
      <w:r w:rsidRPr="00496059">
        <w:rPr>
          <w:rFonts w:cs="Arial"/>
          <w:sz w:val="20"/>
          <w:szCs w:val="20"/>
          <w:rtl/>
        </w:rPr>
        <w:t xml:space="preserve"> </w:t>
      </w:r>
      <w:r w:rsidRPr="00496059">
        <w:rPr>
          <w:rFonts w:cs="Arial" w:hint="cs"/>
          <w:sz w:val="20"/>
          <w:szCs w:val="20"/>
          <w:rtl/>
        </w:rPr>
        <w:t>ימי</w:t>
      </w:r>
      <w:r w:rsidRPr="00496059">
        <w:rPr>
          <w:rFonts w:cs="Arial"/>
          <w:sz w:val="20"/>
          <w:szCs w:val="20"/>
          <w:rtl/>
        </w:rPr>
        <w:t xml:space="preserve"> </w:t>
      </w:r>
      <w:r w:rsidRPr="00496059">
        <w:rPr>
          <w:rFonts w:cs="Arial" w:hint="cs"/>
          <w:sz w:val="20"/>
          <w:szCs w:val="20"/>
          <w:rtl/>
        </w:rPr>
        <w:t>עיבורן</w:t>
      </w:r>
      <w:r w:rsidRPr="00496059">
        <w:rPr>
          <w:rFonts w:cs="Arial"/>
          <w:sz w:val="20"/>
          <w:szCs w:val="20"/>
          <w:rtl/>
        </w:rPr>
        <w:t xml:space="preserve">, </w:t>
      </w:r>
      <w:r w:rsidRPr="00496059">
        <w:rPr>
          <w:rFonts w:cs="Arial" w:hint="cs"/>
          <w:sz w:val="20"/>
          <w:szCs w:val="20"/>
          <w:rtl/>
        </w:rPr>
        <w:t>דיין</w:t>
      </w:r>
      <w:r w:rsidRPr="00496059">
        <w:rPr>
          <w:rFonts w:cs="Arial"/>
          <w:sz w:val="20"/>
          <w:szCs w:val="20"/>
          <w:rtl/>
        </w:rPr>
        <w:t xml:space="preserve"> </w:t>
      </w:r>
      <w:r w:rsidRPr="00496059">
        <w:rPr>
          <w:rFonts w:cs="Arial" w:hint="cs"/>
          <w:sz w:val="20"/>
          <w:szCs w:val="20"/>
          <w:rtl/>
        </w:rPr>
        <w:t>כל</w:t>
      </w:r>
      <w:r w:rsidRPr="00496059">
        <w:rPr>
          <w:rFonts w:cs="Arial"/>
          <w:sz w:val="20"/>
          <w:szCs w:val="20"/>
          <w:rtl/>
        </w:rPr>
        <w:t xml:space="preserve"> </w:t>
      </w:r>
      <w:r w:rsidRPr="00496059">
        <w:rPr>
          <w:rFonts w:cs="Arial" w:hint="cs"/>
          <w:sz w:val="20"/>
          <w:szCs w:val="20"/>
          <w:rtl/>
        </w:rPr>
        <w:t>ימי</w:t>
      </w:r>
      <w:r w:rsidRPr="00496059">
        <w:rPr>
          <w:rFonts w:cs="Arial"/>
          <w:sz w:val="20"/>
          <w:szCs w:val="20"/>
          <w:rtl/>
        </w:rPr>
        <w:t xml:space="preserve"> </w:t>
      </w:r>
      <w:r w:rsidRPr="00496059">
        <w:rPr>
          <w:rFonts w:cs="Arial" w:hint="cs"/>
          <w:sz w:val="20"/>
          <w:szCs w:val="20"/>
          <w:rtl/>
        </w:rPr>
        <w:t>מניקותן</w:t>
      </w:r>
      <w:r>
        <w:rPr>
          <w:rFonts w:hint="cs"/>
          <w:sz w:val="20"/>
          <w:szCs w:val="20"/>
          <w:rtl/>
        </w:rPr>
        <w:t>". ומכך שהרא"ש פוסק כרבי יוחנן במעוברת, הוא הדין שיש לפסוק כרבי יוחנן במניקה.</w:t>
      </w:r>
    </w:p>
    <w:p w:rsidR="00620060" w:rsidRDefault="00620060" w:rsidP="00620060">
      <w:pPr>
        <w:rPr>
          <w:sz w:val="20"/>
          <w:szCs w:val="20"/>
          <w:u w:val="single"/>
          <w:rtl/>
        </w:rPr>
      </w:pPr>
      <w:r w:rsidRPr="00784F52">
        <w:rPr>
          <w:rFonts w:hint="cs"/>
          <w:b/>
          <w:bCs/>
          <w:sz w:val="20"/>
          <w:szCs w:val="20"/>
          <w:rtl/>
        </w:rPr>
        <w:t>מאימתי דינה מעוברת</w:t>
      </w:r>
      <w:r>
        <w:rPr>
          <w:sz w:val="20"/>
          <w:szCs w:val="20"/>
          <w:u w:val="single"/>
          <w:rtl/>
        </w:rPr>
        <w:br/>
      </w:r>
      <w:r w:rsidRPr="00496059">
        <w:rPr>
          <w:rFonts w:hint="cs"/>
          <w:b/>
          <w:bCs/>
          <w:sz w:val="20"/>
          <w:szCs w:val="20"/>
          <w:rtl/>
        </w:rPr>
        <w:t>משנה</w:t>
      </w:r>
      <w:r>
        <w:rPr>
          <w:rFonts w:hint="cs"/>
          <w:sz w:val="20"/>
          <w:szCs w:val="20"/>
          <w:rtl/>
        </w:rPr>
        <w:t xml:space="preserve"> נידה (ז:) "</w:t>
      </w:r>
      <w:r w:rsidRPr="00496059">
        <w:rPr>
          <w:rFonts w:cs="Arial" w:hint="cs"/>
          <w:sz w:val="20"/>
          <w:szCs w:val="20"/>
          <w:rtl/>
        </w:rPr>
        <w:t>מעוברת</w:t>
      </w:r>
      <w:r w:rsidRPr="00496059">
        <w:rPr>
          <w:rFonts w:cs="Arial"/>
          <w:sz w:val="20"/>
          <w:szCs w:val="20"/>
          <w:rtl/>
        </w:rPr>
        <w:t xml:space="preserve"> - </w:t>
      </w:r>
      <w:r w:rsidRPr="00496059">
        <w:rPr>
          <w:rFonts w:cs="Arial" w:hint="cs"/>
          <w:sz w:val="20"/>
          <w:szCs w:val="20"/>
          <w:rtl/>
        </w:rPr>
        <w:t>משיודע</w:t>
      </w:r>
      <w:r w:rsidRPr="00496059">
        <w:rPr>
          <w:rFonts w:cs="Arial"/>
          <w:sz w:val="20"/>
          <w:szCs w:val="20"/>
          <w:rtl/>
        </w:rPr>
        <w:t xml:space="preserve"> </w:t>
      </w:r>
      <w:r w:rsidRPr="00496059">
        <w:rPr>
          <w:rFonts w:cs="Arial" w:hint="cs"/>
          <w:sz w:val="20"/>
          <w:szCs w:val="20"/>
          <w:rtl/>
        </w:rPr>
        <w:t>עוברה</w:t>
      </w:r>
      <w:r>
        <w:rPr>
          <w:rFonts w:cs="Arial" w:hint="cs"/>
          <w:sz w:val="20"/>
          <w:szCs w:val="20"/>
          <w:rtl/>
        </w:rPr>
        <w:t>".</w:t>
      </w:r>
      <w:r>
        <w:rPr>
          <w:rFonts w:hint="cs"/>
          <w:sz w:val="20"/>
          <w:szCs w:val="20"/>
          <w:u w:val="single"/>
          <w:rtl/>
        </w:rPr>
        <w:br/>
      </w:r>
      <w:r w:rsidRPr="0007627D">
        <w:rPr>
          <w:rFonts w:hint="cs"/>
          <w:b/>
          <w:bCs/>
          <w:sz w:val="20"/>
          <w:szCs w:val="20"/>
          <w:rtl/>
        </w:rPr>
        <w:lastRenderedPageBreak/>
        <w:t>גמרא</w:t>
      </w:r>
      <w:r w:rsidRPr="0007627D">
        <w:rPr>
          <w:rFonts w:hint="cs"/>
          <w:sz w:val="20"/>
          <w:szCs w:val="20"/>
          <w:rtl/>
        </w:rPr>
        <w:t xml:space="preserve"> (שם, ח:) "</w:t>
      </w:r>
      <w:r w:rsidRPr="0007627D">
        <w:rPr>
          <w:rFonts w:cs="Arial" w:hint="cs"/>
          <w:sz w:val="20"/>
          <w:szCs w:val="20"/>
          <w:rtl/>
        </w:rPr>
        <w:t>וכמה</w:t>
      </w:r>
      <w:r w:rsidRPr="0007627D">
        <w:rPr>
          <w:rFonts w:cs="Arial"/>
          <w:sz w:val="20"/>
          <w:szCs w:val="20"/>
          <w:rtl/>
        </w:rPr>
        <w:t xml:space="preserve"> </w:t>
      </w:r>
      <w:r w:rsidRPr="0007627D">
        <w:rPr>
          <w:rFonts w:cs="Arial" w:hint="cs"/>
          <w:sz w:val="20"/>
          <w:szCs w:val="20"/>
          <w:rtl/>
        </w:rPr>
        <w:t>הכרת</w:t>
      </w:r>
      <w:r w:rsidRPr="0007627D">
        <w:rPr>
          <w:rFonts w:cs="Arial"/>
          <w:sz w:val="20"/>
          <w:szCs w:val="20"/>
          <w:rtl/>
        </w:rPr>
        <w:t xml:space="preserve"> </w:t>
      </w:r>
      <w:r w:rsidRPr="0007627D">
        <w:rPr>
          <w:rFonts w:cs="Arial" w:hint="cs"/>
          <w:sz w:val="20"/>
          <w:szCs w:val="20"/>
          <w:rtl/>
        </w:rPr>
        <w:t>העובר</w:t>
      </w:r>
      <w:r w:rsidRPr="0007627D">
        <w:rPr>
          <w:rFonts w:cs="Arial"/>
          <w:sz w:val="20"/>
          <w:szCs w:val="20"/>
          <w:rtl/>
        </w:rPr>
        <w:t xml:space="preserve">? </w:t>
      </w:r>
      <w:r w:rsidRPr="0007627D">
        <w:rPr>
          <w:rFonts w:cs="Arial" w:hint="cs"/>
          <w:sz w:val="20"/>
          <w:szCs w:val="20"/>
          <w:rtl/>
        </w:rPr>
        <w:t>סומכוס</w:t>
      </w:r>
      <w:r w:rsidRPr="0007627D">
        <w:rPr>
          <w:rFonts w:cs="Arial"/>
          <w:sz w:val="20"/>
          <w:szCs w:val="20"/>
          <w:rtl/>
        </w:rPr>
        <w:t xml:space="preserve"> </w:t>
      </w:r>
      <w:r w:rsidRPr="0007627D">
        <w:rPr>
          <w:rFonts w:cs="Arial" w:hint="cs"/>
          <w:sz w:val="20"/>
          <w:szCs w:val="20"/>
          <w:rtl/>
        </w:rPr>
        <w:t>אומר</w:t>
      </w:r>
      <w:r w:rsidRPr="0007627D">
        <w:rPr>
          <w:rFonts w:cs="Arial"/>
          <w:sz w:val="20"/>
          <w:szCs w:val="20"/>
          <w:rtl/>
        </w:rPr>
        <w:t xml:space="preserve"> </w:t>
      </w:r>
      <w:r w:rsidRPr="0007627D">
        <w:rPr>
          <w:rFonts w:cs="Arial" w:hint="cs"/>
          <w:sz w:val="20"/>
          <w:szCs w:val="20"/>
          <w:rtl/>
        </w:rPr>
        <w:t>משום</w:t>
      </w:r>
      <w:r w:rsidRPr="0007627D">
        <w:rPr>
          <w:rFonts w:cs="Arial"/>
          <w:sz w:val="20"/>
          <w:szCs w:val="20"/>
          <w:rtl/>
        </w:rPr>
        <w:t xml:space="preserve"> </w:t>
      </w:r>
      <w:r w:rsidRPr="0007627D">
        <w:rPr>
          <w:rFonts w:cs="Arial" w:hint="cs"/>
          <w:sz w:val="20"/>
          <w:szCs w:val="20"/>
          <w:rtl/>
        </w:rPr>
        <w:t>רבי</w:t>
      </w:r>
      <w:r w:rsidRPr="0007627D">
        <w:rPr>
          <w:rFonts w:cs="Arial"/>
          <w:sz w:val="20"/>
          <w:szCs w:val="20"/>
          <w:rtl/>
        </w:rPr>
        <w:t xml:space="preserve"> </w:t>
      </w:r>
      <w:r w:rsidRPr="0007627D">
        <w:rPr>
          <w:rFonts w:cs="Arial" w:hint="cs"/>
          <w:sz w:val="20"/>
          <w:szCs w:val="20"/>
          <w:rtl/>
        </w:rPr>
        <w:t>מאיר</w:t>
      </w:r>
      <w:r w:rsidRPr="0007627D">
        <w:rPr>
          <w:rFonts w:cs="Arial"/>
          <w:sz w:val="20"/>
          <w:szCs w:val="20"/>
          <w:rtl/>
        </w:rPr>
        <w:t xml:space="preserve">: </w:t>
      </w:r>
      <w:r w:rsidRPr="0007627D">
        <w:rPr>
          <w:rFonts w:cs="Arial" w:hint="cs"/>
          <w:sz w:val="20"/>
          <w:szCs w:val="20"/>
          <w:rtl/>
        </w:rPr>
        <w:t>שלשה</w:t>
      </w:r>
      <w:r w:rsidRPr="0007627D">
        <w:rPr>
          <w:rFonts w:cs="Arial"/>
          <w:sz w:val="20"/>
          <w:szCs w:val="20"/>
          <w:rtl/>
        </w:rPr>
        <w:t xml:space="preserve"> </w:t>
      </w:r>
      <w:r w:rsidRPr="0007627D">
        <w:rPr>
          <w:rFonts w:cs="Arial" w:hint="cs"/>
          <w:sz w:val="20"/>
          <w:szCs w:val="20"/>
          <w:rtl/>
        </w:rPr>
        <w:t>חדשים</w:t>
      </w:r>
      <w:r w:rsidRPr="0007627D">
        <w:rPr>
          <w:rFonts w:cs="Arial"/>
          <w:sz w:val="20"/>
          <w:szCs w:val="20"/>
          <w:rtl/>
        </w:rPr>
        <w:t xml:space="preserve">, </w:t>
      </w:r>
      <w:r w:rsidRPr="0007627D">
        <w:rPr>
          <w:rFonts w:cs="Arial" w:hint="cs"/>
          <w:sz w:val="20"/>
          <w:szCs w:val="20"/>
          <w:rtl/>
        </w:rPr>
        <w:t>ואף</w:t>
      </w:r>
      <w:r w:rsidRPr="0007627D">
        <w:rPr>
          <w:rFonts w:cs="Arial"/>
          <w:sz w:val="20"/>
          <w:szCs w:val="20"/>
          <w:rtl/>
        </w:rPr>
        <w:t xml:space="preserve"> </w:t>
      </w:r>
      <w:r w:rsidRPr="0007627D">
        <w:rPr>
          <w:rFonts w:cs="Arial" w:hint="cs"/>
          <w:sz w:val="20"/>
          <w:szCs w:val="20"/>
          <w:rtl/>
        </w:rPr>
        <w:t>על</w:t>
      </w:r>
      <w:r w:rsidRPr="0007627D">
        <w:rPr>
          <w:rFonts w:cs="Arial"/>
          <w:sz w:val="20"/>
          <w:szCs w:val="20"/>
          <w:rtl/>
        </w:rPr>
        <w:t xml:space="preserve"> </w:t>
      </w:r>
      <w:r w:rsidRPr="0007627D">
        <w:rPr>
          <w:rFonts w:cs="Arial" w:hint="cs"/>
          <w:sz w:val="20"/>
          <w:szCs w:val="20"/>
          <w:rtl/>
        </w:rPr>
        <w:t>פי</w:t>
      </w:r>
      <w:r w:rsidRPr="0007627D">
        <w:rPr>
          <w:rFonts w:cs="Arial"/>
          <w:sz w:val="20"/>
          <w:szCs w:val="20"/>
          <w:rtl/>
        </w:rPr>
        <w:t xml:space="preserve"> </w:t>
      </w:r>
      <w:r w:rsidRPr="0007627D">
        <w:rPr>
          <w:rFonts w:cs="Arial" w:hint="cs"/>
          <w:sz w:val="20"/>
          <w:szCs w:val="20"/>
          <w:rtl/>
        </w:rPr>
        <w:t>שאין</w:t>
      </w:r>
      <w:r w:rsidRPr="0007627D">
        <w:rPr>
          <w:rFonts w:cs="Arial"/>
          <w:sz w:val="20"/>
          <w:szCs w:val="20"/>
          <w:rtl/>
        </w:rPr>
        <w:t xml:space="preserve"> </w:t>
      </w:r>
      <w:r w:rsidRPr="0007627D">
        <w:rPr>
          <w:rFonts w:cs="Arial" w:hint="cs"/>
          <w:sz w:val="20"/>
          <w:szCs w:val="20"/>
          <w:rtl/>
        </w:rPr>
        <w:t>ראיה</w:t>
      </w:r>
      <w:r w:rsidRPr="0007627D">
        <w:rPr>
          <w:rFonts w:cs="Arial"/>
          <w:sz w:val="20"/>
          <w:szCs w:val="20"/>
          <w:rtl/>
        </w:rPr>
        <w:t xml:space="preserve"> </w:t>
      </w:r>
      <w:r w:rsidRPr="0007627D">
        <w:rPr>
          <w:rFonts w:cs="Arial" w:hint="cs"/>
          <w:sz w:val="20"/>
          <w:szCs w:val="20"/>
          <w:rtl/>
        </w:rPr>
        <w:t>לדבר</w:t>
      </w:r>
      <w:r w:rsidRPr="0007627D">
        <w:rPr>
          <w:rFonts w:cs="Arial"/>
          <w:sz w:val="20"/>
          <w:szCs w:val="20"/>
          <w:rtl/>
        </w:rPr>
        <w:t xml:space="preserve"> - </w:t>
      </w:r>
      <w:r w:rsidRPr="0007627D">
        <w:rPr>
          <w:rFonts w:cs="Arial" w:hint="cs"/>
          <w:sz w:val="20"/>
          <w:szCs w:val="20"/>
          <w:rtl/>
        </w:rPr>
        <w:t>זכר</w:t>
      </w:r>
      <w:r w:rsidRPr="0007627D">
        <w:rPr>
          <w:rFonts w:cs="Arial"/>
          <w:sz w:val="20"/>
          <w:szCs w:val="20"/>
          <w:rtl/>
        </w:rPr>
        <w:t xml:space="preserve"> </w:t>
      </w:r>
      <w:r w:rsidRPr="0007627D">
        <w:rPr>
          <w:rFonts w:cs="Arial" w:hint="cs"/>
          <w:sz w:val="20"/>
          <w:szCs w:val="20"/>
          <w:rtl/>
        </w:rPr>
        <w:t>לדבר</w:t>
      </w:r>
      <w:r w:rsidRPr="0007627D">
        <w:rPr>
          <w:rFonts w:cs="Arial"/>
          <w:sz w:val="20"/>
          <w:szCs w:val="20"/>
          <w:rtl/>
        </w:rPr>
        <w:t xml:space="preserve">, </w:t>
      </w:r>
      <w:r w:rsidRPr="0007627D">
        <w:rPr>
          <w:rFonts w:cs="Arial" w:hint="cs"/>
          <w:sz w:val="20"/>
          <w:szCs w:val="20"/>
          <w:rtl/>
        </w:rPr>
        <w:t>שנאמר</w:t>
      </w:r>
      <w:r w:rsidRPr="0007627D">
        <w:rPr>
          <w:rFonts w:cs="Arial"/>
          <w:sz w:val="20"/>
          <w:szCs w:val="20"/>
          <w:rtl/>
        </w:rPr>
        <w:t xml:space="preserve">, </w:t>
      </w:r>
      <w:r w:rsidRPr="0007627D">
        <w:rPr>
          <w:rFonts w:cs="Arial" w:hint="cs"/>
          <w:sz w:val="20"/>
          <w:szCs w:val="20"/>
          <w:rtl/>
        </w:rPr>
        <w:t>ויהי</w:t>
      </w:r>
      <w:r w:rsidRPr="0007627D">
        <w:rPr>
          <w:rFonts w:cs="Arial"/>
          <w:sz w:val="20"/>
          <w:szCs w:val="20"/>
          <w:rtl/>
        </w:rPr>
        <w:t xml:space="preserve"> </w:t>
      </w:r>
      <w:r w:rsidRPr="0007627D">
        <w:rPr>
          <w:rFonts w:cs="Arial" w:hint="cs"/>
          <w:sz w:val="20"/>
          <w:szCs w:val="20"/>
          <w:rtl/>
        </w:rPr>
        <w:t>כמשלש</w:t>
      </w:r>
      <w:r w:rsidRPr="0007627D">
        <w:rPr>
          <w:rFonts w:cs="Arial"/>
          <w:sz w:val="20"/>
          <w:szCs w:val="20"/>
          <w:rtl/>
        </w:rPr>
        <w:t xml:space="preserve"> </w:t>
      </w:r>
      <w:r w:rsidRPr="0007627D">
        <w:rPr>
          <w:rFonts w:cs="Arial" w:hint="cs"/>
          <w:sz w:val="20"/>
          <w:szCs w:val="20"/>
          <w:rtl/>
        </w:rPr>
        <w:t>חדשים".</w:t>
      </w:r>
    </w:p>
    <w:p w:rsidR="00620060" w:rsidRDefault="00620060" w:rsidP="00620060">
      <w:pPr>
        <w:rPr>
          <w:sz w:val="20"/>
          <w:szCs w:val="20"/>
          <w:u w:val="single"/>
          <w:rtl/>
        </w:rPr>
      </w:pPr>
      <w:r w:rsidRPr="00784F52">
        <w:rPr>
          <w:rFonts w:hint="cs"/>
          <w:b/>
          <w:bCs/>
          <w:sz w:val="20"/>
          <w:szCs w:val="20"/>
          <w:rtl/>
        </w:rPr>
        <w:t>עד אימתי דינה מ</w:t>
      </w:r>
      <w:r>
        <w:rPr>
          <w:rFonts w:hint="cs"/>
          <w:b/>
          <w:bCs/>
          <w:sz w:val="20"/>
          <w:szCs w:val="20"/>
          <w:rtl/>
        </w:rPr>
        <w:t>ינקת</w:t>
      </w:r>
      <w:r>
        <w:rPr>
          <w:sz w:val="20"/>
          <w:szCs w:val="20"/>
          <w:u w:val="single"/>
          <w:rtl/>
        </w:rPr>
        <w:br/>
      </w:r>
      <w:r w:rsidRPr="00EE5584">
        <w:rPr>
          <w:rFonts w:hint="cs"/>
          <w:b/>
          <w:bCs/>
          <w:sz w:val="20"/>
          <w:szCs w:val="20"/>
          <w:rtl/>
        </w:rPr>
        <w:t>גמרא</w:t>
      </w:r>
      <w:r>
        <w:rPr>
          <w:rFonts w:hint="cs"/>
          <w:sz w:val="20"/>
          <w:szCs w:val="20"/>
          <w:rtl/>
        </w:rPr>
        <w:t xml:space="preserve"> שם (ט.) "</w:t>
      </w:r>
      <w:r w:rsidRPr="00FA2022">
        <w:rPr>
          <w:rFonts w:cs="Arial" w:hint="cs"/>
          <w:sz w:val="20"/>
          <w:szCs w:val="20"/>
          <w:rtl/>
        </w:rPr>
        <w:t>ת</w:t>
      </w:r>
      <w:r>
        <w:rPr>
          <w:rFonts w:cs="Arial" w:hint="cs"/>
          <w:sz w:val="20"/>
          <w:szCs w:val="20"/>
          <w:rtl/>
        </w:rPr>
        <w:t xml:space="preserve">נו </w:t>
      </w:r>
      <w:r w:rsidRPr="00FA2022">
        <w:rPr>
          <w:rFonts w:cs="Arial" w:hint="cs"/>
          <w:sz w:val="20"/>
          <w:szCs w:val="20"/>
          <w:rtl/>
        </w:rPr>
        <w:t>ר</w:t>
      </w:r>
      <w:r>
        <w:rPr>
          <w:rFonts w:cs="Arial" w:hint="cs"/>
          <w:sz w:val="20"/>
          <w:szCs w:val="20"/>
          <w:rtl/>
        </w:rPr>
        <w:t>בנן</w:t>
      </w:r>
      <w:r w:rsidRPr="00FA2022">
        <w:rPr>
          <w:rFonts w:cs="Arial"/>
          <w:sz w:val="20"/>
          <w:szCs w:val="20"/>
          <w:rtl/>
        </w:rPr>
        <w:t xml:space="preserve">: </w:t>
      </w:r>
      <w:r w:rsidRPr="00FA2022">
        <w:rPr>
          <w:rFonts w:cs="Arial" w:hint="cs"/>
          <w:sz w:val="20"/>
          <w:szCs w:val="20"/>
          <w:rtl/>
        </w:rPr>
        <w:t>מניקה</w:t>
      </w:r>
      <w:r w:rsidRPr="00FA2022">
        <w:rPr>
          <w:rFonts w:cs="Arial"/>
          <w:sz w:val="20"/>
          <w:szCs w:val="20"/>
          <w:rtl/>
        </w:rPr>
        <w:t xml:space="preserve"> </w:t>
      </w:r>
      <w:r w:rsidRPr="00FA2022">
        <w:rPr>
          <w:rFonts w:cs="Arial" w:hint="cs"/>
          <w:sz w:val="20"/>
          <w:szCs w:val="20"/>
          <w:rtl/>
        </w:rPr>
        <w:t>שמת</w:t>
      </w:r>
      <w:r w:rsidRPr="00FA2022">
        <w:rPr>
          <w:rFonts w:cs="Arial"/>
          <w:sz w:val="20"/>
          <w:szCs w:val="20"/>
          <w:rtl/>
        </w:rPr>
        <w:t xml:space="preserve"> </w:t>
      </w:r>
      <w:r w:rsidRPr="00FA2022">
        <w:rPr>
          <w:rFonts w:cs="Arial" w:hint="cs"/>
          <w:sz w:val="20"/>
          <w:szCs w:val="20"/>
          <w:rtl/>
        </w:rPr>
        <w:t>בנה</w:t>
      </w:r>
      <w:r w:rsidRPr="00FA2022">
        <w:rPr>
          <w:rFonts w:cs="Arial"/>
          <w:sz w:val="20"/>
          <w:szCs w:val="20"/>
          <w:rtl/>
        </w:rPr>
        <w:t xml:space="preserve"> </w:t>
      </w:r>
      <w:r w:rsidRPr="00FA2022">
        <w:rPr>
          <w:rFonts w:cs="Arial" w:hint="cs"/>
          <w:sz w:val="20"/>
          <w:szCs w:val="20"/>
          <w:rtl/>
        </w:rPr>
        <w:t>בתוך</w:t>
      </w:r>
      <w:r w:rsidRPr="00FA2022">
        <w:rPr>
          <w:rFonts w:cs="Arial"/>
          <w:sz w:val="20"/>
          <w:szCs w:val="20"/>
          <w:rtl/>
        </w:rPr>
        <w:t xml:space="preserve"> </w:t>
      </w:r>
      <w:r w:rsidRPr="00FA2022">
        <w:rPr>
          <w:rFonts w:cs="Arial" w:hint="cs"/>
          <w:sz w:val="20"/>
          <w:szCs w:val="20"/>
          <w:rtl/>
        </w:rPr>
        <w:t>עשרים</w:t>
      </w:r>
      <w:r w:rsidRPr="00FA2022">
        <w:rPr>
          <w:rFonts w:cs="Arial"/>
          <w:sz w:val="20"/>
          <w:szCs w:val="20"/>
          <w:rtl/>
        </w:rPr>
        <w:t xml:space="preserve"> </w:t>
      </w:r>
      <w:r w:rsidRPr="00FA2022">
        <w:rPr>
          <w:rFonts w:cs="Arial" w:hint="cs"/>
          <w:sz w:val="20"/>
          <w:szCs w:val="20"/>
          <w:rtl/>
        </w:rPr>
        <w:t>וארבע</w:t>
      </w:r>
      <w:r w:rsidRPr="00FA2022">
        <w:rPr>
          <w:rFonts w:cs="Arial"/>
          <w:sz w:val="20"/>
          <w:szCs w:val="20"/>
          <w:rtl/>
        </w:rPr>
        <w:t xml:space="preserve"> </w:t>
      </w:r>
      <w:r w:rsidRPr="00FA2022">
        <w:rPr>
          <w:rFonts w:cs="Arial" w:hint="cs"/>
          <w:sz w:val="20"/>
          <w:szCs w:val="20"/>
          <w:rtl/>
        </w:rPr>
        <w:t>חדש</w:t>
      </w:r>
      <w:r w:rsidRPr="00FA2022">
        <w:rPr>
          <w:rFonts w:cs="Arial"/>
          <w:sz w:val="20"/>
          <w:szCs w:val="20"/>
          <w:rtl/>
        </w:rPr>
        <w:t xml:space="preserve"> - </w:t>
      </w:r>
      <w:r w:rsidRPr="00FA2022">
        <w:rPr>
          <w:rFonts w:cs="Arial" w:hint="cs"/>
          <w:sz w:val="20"/>
          <w:szCs w:val="20"/>
          <w:rtl/>
        </w:rPr>
        <w:t>הרי</w:t>
      </w:r>
      <w:r w:rsidRPr="00FA2022">
        <w:rPr>
          <w:rFonts w:cs="Arial"/>
          <w:sz w:val="20"/>
          <w:szCs w:val="20"/>
          <w:rtl/>
        </w:rPr>
        <w:t xml:space="preserve"> </w:t>
      </w:r>
      <w:r w:rsidRPr="00FA2022">
        <w:rPr>
          <w:rFonts w:cs="Arial" w:hint="cs"/>
          <w:sz w:val="20"/>
          <w:szCs w:val="20"/>
          <w:rtl/>
        </w:rPr>
        <w:t>היא</w:t>
      </w:r>
      <w:r w:rsidRPr="00FA2022">
        <w:rPr>
          <w:rFonts w:cs="Arial"/>
          <w:sz w:val="20"/>
          <w:szCs w:val="20"/>
          <w:rtl/>
        </w:rPr>
        <w:t xml:space="preserve"> </w:t>
      </w:r>
      <w:r w:rsidRPr="00FA2022">
        <w:rPr>
          <w:rFonts w:cs="Arial" w:hint="cs"/>
          <w:sz w:val="20"/>
          <w:szCs w:val="20"/>
          <w:rtl/>
        </w:rPr>
        <w:t>ככל</w:t>
      </w:r>
      <w:r w:rsidRPr="00FA2022">
        <w:rPr>
          <w:rFonts w:cs="Arial"/>
          <w:sz w:val="20"/>
          <w:szCs w:val="20"/>
          <w:rtl/>
        </w:rPr>
        <w:t xml:space="preserve"> </w:t>
      </w:r>
      <w:r w:rsidRPr="00FA2022">
        <w:rPr>
          <w:rFonts w:cs="Arial" w:hint="cs"/>
          <w:sz w:val="20"/>
          <w:szCs w:val="20"/>
          <w:rtl/>
        </w:rPr>
        <w:t>הנשים</w:t>
      </w:r>
      <w:r w:rsidRPr="00FA2022">
        <w:rPr>
          <w:rFonts w:cs="Arial"/>
          <w:sz w:val="20"/>
          <w:szCs w:val="20"/>
          <w:rtl/>
        </w:rPr>
        <w:t xml:space="preserve">, </w:t>
      </w:r>
      <w:r w:rsidRPr="00FA2022">
        <w:rPr>
          <w:rFonts w:cs="Arial" w:hint="cs"/>
          <w:sz w:val="20"/>
          <w:szCs w:val="20"/>
          <w:rtl/>
        </w:rPr>
        <w:t>ומטמאה</w:t>
      </w:r>
      <w:r w:rsidRPr="00FA2022">
        <w:rPr>
          <w:rFonts w:cs="Arial"/>
          <w:sz w:val="20"/>
          <w:szCs w:val="20"/>
          <w:rtl/>
        </w:rPr>
        <w:t xml:space="preserve"> </w:t>
      </w:r>
      <w:r w:rsidRPr="00FA2022">
        <w:rPr>
          <w:rFonts w:cs="Arial" w:hint="cs"/>
          <w:sz w:val="20"/>
          <w:szCs w:val="20"/>
          <w:rtl/>
        </w:rPr>
        <w:t>מעת</w:t>
      </w:r>
      <w:r w:rsidRPr="00FA2022">
        <w:rPr>
          <w:rFonts w:cs="Arial"/>
          <w:sz w:val="20"/>
          <w:szCs w:val="20"/>
          <w:rtl/>
        </w:rPr>
        <w:t xml:space="preserve"> </w:t>
      </w:r>
      <w:r w:rsidRPr="00FA2022">
        <w:rPr>
          <w:rFonts w:cs="Arial" w:hint="cs"/>
          <w:sz w:val="20"/>
          <w:szCs w:val="20"/>
          <w:rtl/>
        </w:rPr>
        <w:t>לעת</w:t>
      </w:r>
      <w:r w:rsidRPr="00FA2022">
        <w:rPr>
          <w:rFonts w:cs="Arial"/>
          <w:sz w:val="20"/>
          <w:szCs w:val="20"/>
          <w:rtl/>
        </w:rPr>
        <w:t xml:space="preserve"> </w:t>
      </w:r>
      <w:r w:rsidRPr="00FA2022">
        <w:rPr>
          <w:rFonts w:cs="Arial" w:hint="cs"/>
          <w:sz w:val="20"/>
          <w:szCs w:val="20"/>
          <w:rtl/>
        </w:rPr>
        <w:t>ומפקידה</w:t>
      </w:r>
      <w:r w:rsidRPr="00FA2022">
        <w:rPr>
          <w:rFonts w:cs="Arial"/>
          <w:sz w:val="20"/>
          <w:szCs w:val="20"/>
          <w:rtl/>
        </w:rPr>
        <w:t xml:space="preserve"> </w:t>
      </w:r>
      <w:r w:rsidRPr="00FA2022">
        <w:rPr>
          <w:rFonts w:cs="Arial" w:hint="cs"/>
          <w:sz w:val="20"/>
          <w:szCs w:val="20"/>
          <w:rtl/>
        </w:rPr>
        <w:t>לפקידה</w:t>
      </w:r>
      <w:r w:rsidRPr="00FA2022">
        <w:rPr>
          <w:rFonts w:cs="Arial"/>
          <w:sz w:val="20"/>
          <w:szCs w:val="20"/>
          <w:rtl/>
        </w:rPr>
        <w:t xml:space="preserve">. </w:t>
      </w:r>
      <w:r w:rsidRPr="00FA2022">
        <w:rPr>
          <w:rFonts w:cs="Arial" w:hint="cs"/>
          <w:sz w:val="20"/>
          <w:szCs w:val="20"/>
          <w:rtl/>
        </w:rPr>
        <w:t>לפיכך</w:t>
      </w:r>
      <w:r w:rsidRPr="00FA2022">
        <w:rPr>
          <w:rFonts w:cs="Arial"/>
          <w:sz w:val="20"/>
          <w:szCs w:val="20"/>
          <w:rtl/>
        </w:rPr>
        <w:t xml:space="preserve">, </w:t>
      </w:r>
      <w:r w:rsidRPr="00FA2022">
        <w:rPr>
          <w:rFonts w:cs="Arial" w:hint="cs"/>
          <w:sz w:val="20"/>
          <w:szCs w:val="20"/>
          <w:rtl/>
        </w:rPr>
        <w:t>אם</w:t>
      </w:r>
      <w:r w:rsidRPr="00FA2022">
        <w:rPr>
          <w:rFonts w:cs="Arial"/>
          <w:sz w:val="20"/>
          <w:szCs w:val="20"/>
          <w:rtl/>
        </w:rPr>
        <w:t xml:space="preserve"> </w:t>
      </w:r>
      <w:r w:rsidRPr="00FA2022">
        <w:rPr>
          <w:rFonts w:cs="Arial" w:hint="cs"/>
          <w:sz w:val="20"/>
          <w:szCs w:val="20"/>
          <w:rtl/>
        </w:rPr>
        <w:t>היתה</w:t>
      </w:r>
      <w:r w:rsidRPr="00FA2022">
        <w:rPr>
          <w:rFonts w:cs="Arial"/>
          <w:sz w:val="20"/>
          <w:szCs w:val="20"/>
          <w:rtl/>
        </w:rPr>
        <w:t xml:space="preserve"> </w:t>
      </w:r>
      <w:r w:rsidRPr="00FA2022">
        <w:rPr>
          <w:rFonts w:cs="Arial" w:hint="cs"/>
          <w:sz w:val="20"/>
          <w:szCs w:val="20"/>
          <w:rtl/>
        </w:rPr>
        <w:t>מניקתו</w:t>
      </w:r>
      <w:r w:rsidRPr="00FA2022">
        <w:rPr>
          <w:rFonts w:cs="Arial"/>
          <w:sz w:val="20"/>
          <w:szCs w:val="20"/>
          <w:rtl/>
        </w:rPr>
        <w:t xml:space="preserve"> </w:t>
      </w:r>
      <w:r w:rsidRPr="00FA2022">
        <w:rPr>
          <w:rFonts w:cs="Arial" w:hint="cs"/>
          <w:sz w:val="20"/>
          <w:szCs w:val="20"/>
          <w:rtl/>
        </w:rPr>
        <w:t>והולכת</w:t>
      </w:r>
      <w:r w:rsidRPr="00FA2022">
        <w:rPr>
          <w:rFonts w:cs="Arial"/>
          <w:sz w:val="20"/>
          <w:szCs w:val="20"/>
          <w:rtl/>
        </w:rPr>
        <w:t xml:space="preserve"> </w:t>
      </w:r>
      <w:r w:rsidRPr="00FA2022">
        <w:rPr>
          <w:rFonts w:cs="Arial" w:hint="cs"/>
          <w:sz w:val="20"/>
          <w:szCs w:val="20"/>
          <w:rtl/>
        </w:rPr>
        <w:t>ארבע</w:t>
      </w:r>
      <w:r w:rsidRPr="00FA2022">
        <w:rPr>
          <w:rFonts w:cs="Arial"/>
          <w:sz w:val="20"/>
          <w:szCs w:val="20"/>
          <w:rtl/>
        </w:rPr>
        <w:t xml:space="preserve"> </w:t>
      </w:r>
      <w:r w:rsidRPr="00FA2022">
        <w:rPr>
          <w:rFonts w:cs="Arial" w:hint="cs"/>
          <w:sz w:val="20"/>
          <w:szCs w:val="20"/>
          <w:rtl/>
        </w:rPr>
        <w:t>או</w:t>
      </w:r>
      <w:r w:rsidRPr="00FA2022">
        <w:rPr>
          <w:rFonts w:cs="Arial"/>
          <w:sz w:val="20"/>
          <w:szCs w:val="20"/>
          <w:rtl/>
        </w:rPr>
        <w:t xml:space="preserve"> </w:t>
      </w:r>
      <w:r w:rsidRPr="00FA2022">
        <w:rPr>
          <w:rFonts w:cs="Arial" w:hint="cs"/>
          <w:sz w:val="20"/>
          <w:szCs w:val="20"/>
          <w:rtl/>
        </w:rPr>
        <w:t>חמש</w:t>
      </w:r>
      <w:r w:rsidRPr="00FA2022">
        <w:rPr>
          <w:rFonts w:cs="Arial"/>
          <w:sz w:val="20"/>
          <w:szCs w:val="20"/>
          <w:rtl/>
        </w:rPr>
        <w:t xml:space="preserve"> </w:t>
      </w:r>
      <w:r w:rsidRPr="00FA2022">
        <w:rPr>
          <w:rFonts w:cs="Arial" w:hint="cs"/>
          <w:sz w:val="20"/>
          <w:szCs w:val="20"/>
          <w:rtl/>
        </w:rPr>
        <w:t>שנים</w:t>
      </w:r>
      <w:r w:rsidRPr="00FA2022">
        <w:rPr>
          <w:rFonts w:cs="Arial"/>
          <w:sz w:val="20"/>
          <w:szCs w:val="20"/>
          <w:rtl/>
        </w:rPr>
        <w:t xml:space="preserve"> - </w:t>
      </w:r>
      <w:r w:rsidRPr="00FA2022">
        <w:rPr>
          <w:rFonts w:cs="Arial" w:hint="cs"/>
          <w:sz w:val="20"/>
          <w:szCs w:val="20"/>
          <w:rtl/>
        </w:rPr>
        <w:t>דיה</w:t>
      </w:r>
      <w:r w:rsidRPr="00FA2022">
        <w:rPr>
          <w:rFonts w:cs="Arial"/>
          <w:sz w:val="20"/>
          <w:szCs w:val="20"/>
          <w:rtl/>
        </w:rPr>
        <w:t xml:space="preserve"> </w:t>
      </w:r>
      <w:r w:rsidRPr="00FA2022">
        <w:rPr>
          <w:rFonts w:cs="Arial" w:hint="cs"/>
          <w:sz w:val="20"/>
          <w:szCs w:val="20"/>
          <w:rtl/>
        </w:rPr>
        <w:t>שעתה</w:t>
      </w:r>
      <w:r w:rsidRPr="00FA2022">
        <w:rPr>
          <w:rFonts w:cs="Arial"/>
          <w:sz w:val="20"/>
          <w:szCs w:val="20"/>
          <w:rtl/>
        </w:rPr>
        <w:t xml:space="preserve"> - </w:t>
      </w:r>
      <w:r w:rsidRPr="00FA2022">
        <w:rPr>
          <w:rFonts w:cs="Arial" w:hint="cs"/>
          <w:sz w:val="20"/>
          <w:szCs w:val="20"/>
          <w:rtl/>
        </w:rPr>
        <w:t>דברי</w:t>
      </w:r>
      <w:r w:rsidRPr="00FA2022">
        <w:rPr>
          <w:rFonts w:cs="Arial"/>
          <w:sz w:val="20"/>
          <w:szCs w:val="20"/>
          <w:rtl/>
        </w:rPr>
        <w:t xml:space="preserve"> </w:t>
      </w:r>
      <w:r w:rsidRPr="00FA2022">
        <w:rPr>
          <w:rFonts w:cs="Arial" w:hint="cs"/>
          <w:sz w:val="20"/>
          <w:szCs w:val="20"/>
          <w:rtl/>
        </w:rPr>
        <w:t>ר</w:t>
      </w:r>
      <w:r>
        <w:rPr>
          <w:rFonts w:cs="Arial" w:hint="cs"/>
          <w:sz w:val="20"/>
          <w:szCs w:val="20"/>
          <w:rtl/>
        </w:rPr>
        <w:t xml:space="preserve">בי </w:t>
      </w:r>
      <w:r w:rsidRPr="00FA2022">
        <w:rPr>
          <w:rFonts w:cs="Arial" w:hint="cs"/>
          <w:sz w:val="20"/>
          <w:szCs w:val="20"/>
          <w:rtl/>
        </w:rPr>
        <w:t>מ</w:t>
      </w:r>
      <w:r>
        <w:rPr>
          <w:rFonts w:cs="Arial" w:hint="cs"/>
          <w:sz w:val="20"/>
          <w:szCs w:val="20"/>
          <w:rtl/>
        </w:rPr>
        <w:t>איר</w:t>
      </w:r>
      <w:r w:rsidRPr="00FA2022">
        <w:rPr>
          <w:rFonts w:cs="Arial"/>
          <w:sz w:val="20"/>
          <w:szCs w:val="20"/>
          <w:rtl/>
        </w:rPr>
        <w:t xml:space="preserve">. </w:t>
      </w:r>
      <w:r w:rsidRPr="00FA2022">
        <w:rPr>
          <w:rFonts w:cs="Arial" w:hint="cs"/>
          <w:sz w:val="20"/>
          <w:szCs w:val="20"/>
          <w:rtl/>
        </w:rPr>
        <w:t>רבי</w:t>
      </w:r>
      <w:r w:rsidRPr="00FA2022">
        <w:rPr>
          <w:rFonts w:cs="Arial"/>
          <w:sz w:val="20"/>
          <w:szCs w:val="20"/>
          <w:rtl/>
        </w:rPr>
        <w:t xml:space="preserve"> </w:t>
      </w:r>
      <w:r w:rsidRPr="00FA2022">
        <w:rPr>
          <w:rFonts w:cs="Arial" w:hint="cs"/>
          <w:sz w:val="20"/>
          <w:szCs w:val="20"/>
          <w:rtl/>
        </w:rPr>
        <w:t>יהודה</w:t>
      </w:r>
      <w:r w:rsidRPr="00FA2022">
        <w:rPr>
          <w:rFonts w:cs="Arial"/>
          <w:sz w:val="20"/>
          <w:szCs w:val="20"/>
          <w:rtl/>
        </w:rPr>
        <w:t xml:space="preserve"> </w:t>
      </w:r>
      <w:r w:rsidRPr="00FA2022">
        <w:rPr>
          <w:rFonts w:cs="Arial" w:hint="cs"/>
          <w:sz w:val="20"/>
          <w:szCs w:val="20"/>
          <w:rtl/>
        </w:rPr>
        <w:t>ורבי</w:t>
      </w:r>
      <w:r w:rsidRPr="00FA2022">
        <w:rPr>
          <w:rFonts w:cs="Arial"/>
          <w:sz w:val="20"/>
          <w:szCs w:val="20"/>
          <w:rtl/>
        </w:rPr>
        <w:t xml:space="preserve"> </w:t>
      </w:r>
      <w:r w:rsidRPr="00FA2022">
        <w:rPr>
          <w:rFonts w:cs="Arial" w:hint="cs"/>
          <w:sz w:val="20"/>
          <w:szCs w:val="20"/>
          <w:rtl/>
        </w:rPr>
        <w:t>יוסי</w:t>
      </w:r>
      <w:r w:rsidRPr="00FA2022">
        <w:rPr>
          <w:rFonts w:cs="Arial"/>
          <w:sz w:val="20"/>
          <w:szCs w:val="20"/>
          <w:rtl/>
        </w:rPr>
        <w:t xml:space="preserve"> </w:t>
      </w:r>
      <w:r w:rsidRPr="00FA2022">
        <w:rPr>
          <w:rFonts w:cs="Arial" w:hint="cs"/>
          <w:sz w:val="20"/>
          <w:szCs w:val="20"/>
          <w:rtl/>
        </w:rPr>
        <w:t>ורבי</w:t>
      </w:r>
      <w:r w:rsidRPr="00FA2022">
        <w:rPr>
          <w:rFonts w:cs="Arial"/>
          <w:sz w:val="20"/>
          <w:szCs w:val="20"/>
          <w:rtl/>
        </w:rPr>
        <w:t xml:space="preserve"> </w:t>
      </w:r>
      <w:r w:rsidRPr="00FA2022">
        <w:rPr>
          <w:rFonts w:cs="Arial" w:hint="cs"/>
          <w:sz w:val="20"/>
          <w:szCs w:val="20"/>
          <w:rtl/>
        </w:rPr>
        <w:t>שמעון</w:t>
      </w:r>
      <w:r w:rsidRPr="00FA2022">
        <w:rPr>
          <w:rFonts w:cs="Arial"/>
          <w:sz w:val="20"/>
          <w:szCs w:val="20"/>
          <w:rtl/>
        </w:rPr>
        <w:t xml:space="preserve"> </w:t>
      </w:r>
      <w:r w:rsidRPr="00FA2022">
        <w:rPr>
          <w:rFonts w:cs="Arial" w:hint="cs"/>
          <w:sz w:val="20"/>
          <w:szCs w:val="20"/>
          <w:rtl/>
        </w:rPr>
        <w:t>אומרים</w:t>
      </w:r>
      <w:r w:rsidRPr="00FA2022">
        <w:rPr>
          <w:rFonts w:cs="Arial"/>
          <w:sz w:val="20"/>
          <w:szCs w:val="20"/>
          <w:rtl/>
        </w:rPr>
        <w:t xml:space="preserve">: </w:t>
      </w:r>
      <w:r w:rsidRPr="00FA2022">
        <w:rPr>
          <w:rFonts w:cs="Arial" w:hint="cs"/>
          <w:sz w:val="20"/>
          <w:szCs w:val="20"/>
          <w:rtl/>
        </w:rPr>
        <w:t>דיין</w:t>
      </w:r>
      <w:r w:rsidRPr="00FA2022">
        <w:rPr>
          <w:rFonts w:cs="Arial"/>
          <w:sz w:val="20"/>
          <w:szCs w:val="20"/>
          <w:rtl/>
        </w:rPr>
        <w:t xml:space="preserve"> </w:t>
      </w:r>
      <w:r w:rsidRPr="00FA2022">
        <w:rPr>
          <w:rFonts w:cs="Arial" w:hint="cs"/>
          <w:sz w:val="20"/>
          <w:szCs w:val="20"/>
          <w:rtl/>
        </w:rPr>
        <w:t>שעתן</w:t>
      </w:r>
      <w:r w:rsidRPr="00FA2022">
        <w:rPr>
          <w:rFonts w:cs="Arial"/>
          <w:sz w:val="20"/>
          <w:szCs w:val="20"/>
          <w:rtl/>
        </w:rPr>
        <w:t xml:space="preserve"> </w:t>
      </w:r>
      <w:r w:rsidRPr="00FA2022">
        <w:rPr>
          <w:rFonts w:cs="Arial" w:hint="cs"/>
          <w:sz w:val="20"/>
          <w:szCs w:val="20"/>
          <w:rtl/>
        </w:rPr>
        <w:t>כל</w:t>
      </w:r>
      <w:r w:rsidRPr="00FA2022">
        <w:rPr>
          <w:rFonts w:cs="Arial"/>
          <w:sz w:val="20"/>
          <w:szCs w:val="20"/>
          <w:rtl/>
        </w:rPr>
        <w:t xml:space="preserve"> </w:t>
      </w:r>
      <w:r w:rsidRPr="00FA2022">
        <w:rPr>
          <w:rFonts w:cs="Arial" w:hint="cs"/>
          <w:sz w:val="20"/>
          <w:szCs w:val="20"/>
          <w:rtl/>
        </w:rPr>
        <w:t>עשרים</w:t>
      </w:r>
      <w:r w:rsidRPr="00FA2022">
        <w:rPr>
          <w:rFonts w:cs="Arial"/>
          <w:sz w:val="20"/>
          <w:szCs w:val="20"/>
          <w:rtl/>
        </w:rPr>
        <w:t xml:space="preserve"> </w:t>
      </w:r>
      <w:r w:rsidRPr="00FA2022">
        <w:rPr>
          <w:rFonts w:cs="Arial" w:hint="cs"/>
          <w:sz w:val="20"/>
          <w:szCs w:val="20"/>
          <w:rtl/>
        </w:rPr>
        <w:t>וארבע</w:t>
      </w:r>
      <w:r w:rsidRPr="00FA2022">
        <w:rPr>
          <w:rFonts w:cs="Arial"/>
          <w:sz w:val="20"/>
          <w:szCs w:val="20"/>
          <w:rtl/>
        </w:rPr>
        <w:t xml:space="preserve"> </w:t>
      </w:r>
      <w:r w:rsidRPr="00FA2022">
        <w:rPr>
          <w:rFonts w:cs="Arial" w:hint="cs"/>
          <w:sz w:val="20"/>
          <w:szCs w:val="20"/>
          <w:rtl/>
        </w:rPr>
        <w:t>חדש</w:t>
      </w:r>
      <w:r w:rsidRPr="00FA2022">
        <w:rPr>
          <w:rFonts w:cs="Arial"/>
          <w:sz w:val="20"/>
          <w:szCs w:val="20"/>
          <w:rtl/>
        </w:rPr>
        <w:t xml:space="preserve">, </w:t>
      </w:r>
      <w:r w:rsidRPr="00FA2022">
        <w:rPr>
          <w:rFonts w:cs="Arial" w:hint="cs"/>
          <w:sz w:val="20"/>
          <w:szCs w:val="20"/>
          <w:rtl/>
        </w:rPr>
        <w:t>לפיכך</w:t>
      </w:r>
      <w:r w:rsidRPr="00FA2022">
        <w:rPr>
          <w:rFonts w:cs="Arial"/>
          <w:sz w:val="20"/>
          <w:szCs w:val="20"/>
          <w:rtl/>
        </w:rPr>
        <w:t xml:space="preserve">, </w:t>
      </w:r>
      <w:r w:rsidRPr="00FA2022">
        <w:rPr>
          <w:rFonts w:cs="Arial" w:hint="cs"/>
          <w:sz w:val="20"/>
          <w:szCs w:val="20"/>
          <w:rtl/>
        </w:rPr>
        <w:t>אם</w:t>
      </w:r>
      <w:r w:rsidRPr="00FA2022">
        <w:rPr>
          <w:rFonts w:cs="Arial"/>
          <w:sz w:val="20"/>
          <w:szCs w:val="20"/>
          <w:rtl/>
        </w:rPr>
        <w:t xml:space="preserve"> </w:t>
      </w:r>
      <w:r w:rsidRPr="00FA2022">
        <w:rPr>
          <w:rFonts w:cs="Arial" w:hint="cs"/>
          <w:sz w:val="20"/>
          <w:szCs w:val="20"/>
          <w:rtl/>
        </w:rPr>
        <w:t>היתה</w:t>
      </w:r>
      <w:r w:rsidRPr="00FA2022">
        <w:rPr>
          <w:rFonts w:cs="Arial"/>
          <w:sz w:val="20"/>
          <w:szCs w:val="20"/>
          <w:rtl/>
        </w:rPr>
        <w:t xml:space="preserve"> </w:t>
      </w:r>
      <w:r w:rsidRPr="00FA2022">
        <w:rPr>
          <w:rFonts w:cs="Arial" w:hint="cs"/>
          <w:sz w:val="20"/>
          <w:szCs w:val="20"/>
          <w:rtl/>
        </w:rPr>
        <w:t>מניקתו</w:t>
      </w:r>
      <w:r w:rsidRPr="00FA2022">
        <w:rPr>
          <w:rFonts w:cs="Arial"/>
          <w:sz w:val="20"/>
          <w:szCs w:val="20"/>
          <w:rtl/>
        </w:rPr>
        <w:t xml:space="preserve"> </w:t>
      </w:r>
      <w:r w:rsidRPr="00FA2022">
        <w:rPr>
          <w:rFonts w:cs="Arial" w:hint="cs"/>
          <w:sz w:val="20"/>
          <w:szCs w:val="20"/>
          <w:rtl/>
        </w:rPr>
        <w:t>ארבע</w:t>
      </w:r>
      <w:r w:rsidRPr="00FA2022">
        <w:rPr>
          <w:rFonts w:cs="Arial"/>
          <w:sz w:val="20"/>
          <w:szCs w:val="20"/>
          <w:rtl/>
        </w:rPr>
        <w:t xml:space="preserve"> </w:t>
      </w:r>
      <w:r w:rsidRPr="00FA2022">
        <w:rPr>
          <w:rFonts w:cs="Arial" w:hint="cs"/>
          <w:sz w:val="20"/>
          <w:szCs w:val="20"/>
          <w:rtl/>
        </w:rPr>
        <w:t>וחמש</w:t>
      </w:r>
      <w:r w:rsidRPr="00FA2022">
        <w:rPr>
          <w:rFonts w:cs="Arial"/>
          <w:sz w:val="20"/>
          <w:szCs w:val="20"/>
          <w:rtl/>
        </w:rPr>
        <w:t xml:space="preserve"> </w:t>
      </w:r>
      <w:r w:rsidRPr="00FA2022">
        <w:rPr>
          <w:rFonts w:cs="Arial" w:hint="cs"/>
          <w:sz w:val="20"/>
          <w:szCs w:val="20"/>
          <w:rtl/>
        </w:rPr>
        <w:t>שנים</w:t>
      </w:r>
      <w:r w:rsidRPr="00FA2022">
        <w:rPr>
          <w:rFonts w:cs="Arial"/>
          <w:sz w:val="20"/>
          <w:szCs w:val="20"/>
          <w:rtl/>
        </w:rPr>
        <w:t xml:space="preserve"> - </w:t>
      </w:r>
      <w:r w:rsidRPr="00FA2022">
        <w:rPr>
          <w:rFonts w:cs="Arial" w:hint="cs"/>
          <w:sz w:val="20"/>
          <w:szCs w:val="20"/>
          <w:rtl/>
        </w:rPr>
        <w:t>מטמאה</w:t>
      </w:r>
      <w:r w:rsidRPr="00FA2022">
        <w:rPr>
          <w:rFonts w:cs="Arial"/>
          <w:sz w:val="20"/>
          <w:szCs w:val="20"/>
          <w:rtl/>
        </w:rPr>
        <w:t xml:space="preserve"> </w:t>
      </w:r>
      <w:r w:rsidRPr="00FA2022">
        <w:rPr>
          <w:rFonts w:cs="Arial" w:hint="cs"/>
          <w:sz w:val="20"/>
          <w:szCs w:val="20"/>
          <w:rtl/>
        </w:rPr>
        <w:t>מעת</w:t>
      </w:r>
      <w:r w:rsidRPr="00FA2022">
        <w:rPr>
          <w:rFonts w:cs="Arial"/>
          <w:sz w:val="20"/>
          <w:szCs w:val="20"/>
          <w:rtl/>
        </w:rPr>
        <w:t xml:space="preserve"> </w:t>
      </w:r>
      <w:r w:rsidRPr="00FA2022">
        <w:rPr>
          <w:rFonts w:cs="Arial" w:hint="cs"/>
          <w:sz w:val="20"/>
          <w:szCs w:val="20"/>
          <w:rtl/>
        </w:rPr>
        <w:t>לעת</w:t>
      </w:r>
      <w:r w:rsidRPr="00FA2022">
        <w:rPr>
          <w:rFonts w:cs="Arial"/>
          <w:sz w:val="20"/>
          <w:szCs w:val="20"/>
          <w:rtl/>
        </w:rPr>
        <w:t xml:space="preserve"> </w:t>
      </w:r>
      <w:r w:rsidRPr="00FA2022">
        <w:rPr>
          <w:rFonts w:cs="Arial" w:hint="cs"/>
          <w:sz w:val="20"/>
          <w:szCs w:val="20"/>
          <w:rtl/>
        </w:rPr>
        <w:t>ומפקידה</w:t>
      </w:r>
      <w:r w:rsidRPr="00FA2022">
        <w:rPr>
          <w:rFonts w:cs="Arial"/>
          <w:sz w:val="20"/>
          <w:szCs w:val="20"/>
          <w:rtl/>
        </w:rPr>
        <w:t xml:space="preserve"> </w:t>
      </w:r>
      <w:r w:rsidRPr="00FA2022">
        <w:rPr>
          <w:rFonts w:cs="Arial" w:hint="cs"/>
          <w:sz w:val="20"/>
          <w:szCs w:val="20"/>
          <w:rtl/>
        </w:rPr>
        <w:t>לפקידה</w:t>
      </w:r>
      <w:r w:rsidRPr="00FA2022">
        <w:rPr>
          <w:rFonts w:cs="Arial"/>
          <w:sz w:val="20"/>
          <w:szCs w:val="20"/>
          <w:rtl/>
        </w:rPr>
        <w:t xml:space="preserve">. </w:t>
      </w:r>
      <w:r w:rsidRPr="00FA2022">
        <w:rPr>
          <w:rFonts w:cs="Arial" w:hint="cs"/>
          <w:sz w:val="20"/>
          <w:szCs w:val="20"/>
          <w:rtl/>
        </w:rPr>
        <w:t>כשתמצא</w:t>
      </w:r>
      <w:r w:rsidRPr="00FA2022">
        <w:rPr>
          <w:rFonts w:cs="Arial"/>
          <w:sz w:val="20"/>
          <w:szCs w:val="20"/>
          <w:rtl/>
        </w:rPr>
        <w:t xml:space="preserve"> </w:t>
      </w:r>
      <w:r w:rsidRPr="00FA2022">
        <w:rPr>
          <w:rFonts w:cs="Arial" w:hint="cs"/>
          <w:sz w:val="20"/>
          <w:szCs w:val="20"/>
          <w:rtl/>
        </w:rPr>
        <w:t>לומר</w:t>
      </w:r>
      <w:r w:rsidRPr="00FA2022">
        <w:rPr>
          <w:rFonts w:cs="Arial"/>
          <w:sz w:val="20"/>
          <w:szCs w:val="20"/>
          <w:rtl/>
        </w:rPr>
        <w:t xml:space="preserve">, </w:t>
      </w:r>
      <w:r w:rsidRPr="00FA2022">
        <w:rPr>
          <w:rFonts w:cs="Arial" w:hint="cs"/>
          <w:sz w:val="20"/>
          <w:szCs w:val="20"/>
          <w:rtl/>
        </w:rPr>
        <w:t>לדברי</w:t>
      </w:r>
      <w:r w:rsidRPr="00FA2022">
        <w:rPr>
          <w:rFonts w:cs="Arial"/>
          <w:sz w:val="20"/>
          <w:szCs w:val="20"/>
          <w:rtl/>
        </w:rPr>
        <w:t xml:space="preserve"> </w:t>
      </w:r>
      <w:r w:rsidRPr="00FA2022">
        <w:rPr>
          <w:rFonts w:cs="Arial" w:hint="cs"/>
          <w:sz w:val="20"/>
          <w:szCs w:val="20"/>
          <w:rtl/>
        </w:rPr>
        <w:t>ר</w:t>
      </w:r>
      <w:r>
        <w:rPr>
          <w:rFonts w:cs="Arial" w:hint="cs"/>
          <w:sz w:val="20"/>
          <w:szCs w:val="20"/>
          <w:rtl/>
        </w:rPr>
        <w:t xml:space="preserve">בי </w:t>
      </w:r>
      <w:r w:rsidRPr="00FA2022">
        <w:rPr>
          <w:rFonts w:cs="Arial" w:hint="cs"/>
          <w:sz w:val="20"/>
          <w:szCs w:val="20"/>
          <w:rtl/>
        </w:rPr>
        <w:t>מ</w:t>
      </w:r>
      <w:r>
        <w:rPr>
          <w:rFonts w:cs="Arial" w:hint="cs"/>
          <w:sz w:val="20"/>
          <w:szCs w:val="20"/>
          <w:rtl/>
        </w:rPr>
        <w:t>איר</w:t>
      </w:r>
      <w:r w:rsidRPr="00FA2022">
        <w:rPr>
          <w:rFonts w:cs="Arial"/>
          <w:sz w:val="20"/>
          <w:szCs w:val="20"/>
          <w:rtl/>
        </w:rPr>
        <w:t xml:space="preserve"> - </w:t>
      </w:r>
      <w:r w:rsidRPr="00FA2022">
        <w:rPr>
          <w:rFonts w:cs="Arial" w:hint="cs"/>
          <w:sz w:val="20"/>
          <w:szCs w:val="20"/>
          <w:rtl/>
        </w:rPr>
        <w:t>דם</w:t>
      </w:r>
      <w:r w:rsidRPr="00FA2022">
        <w:rPr>
          <w:rFonts w:cs="Arial"/>
          <w:sz w:val="20"/>
          <w:szCs w:val="20"/>
          <w:rtl/>
        </w:rPr>
        <w:t xml:space="preserve"> </w:t>
      </w:r>
      <w:r w:rsidRPr="00FA2022">
        <w:rPr>
          <w:rFonts w:cs="Arial" w:hint="cs"/>
          <w:sz w:val="20"/>
          <w:szCs w:val="20"/>
          <w:rtl/>
        </w:rPr>
        <w:t>נעכר</w:t>
      </w:r>
      <w:r w:rsidRPr="00FA2022">
        <w:rPr>
          <w:rFonts w:cs="Arial"/>
          <w:sz w:val="20"/>
          <w:szCs w:val="20"/>
          <w:rtl/>
        </w:rPr>
        <w:t xml:space="preserve"> </w:t>
      </w:r>
      <w:r w:rsidRPr="00FA2022">
        <w:rPr>
          <w:rFonts w:cs="Arial" w:hint="cs"/>
          <w:sz w:val="20"/>
          <w:szCs w:val="20"/>
          <w:rtl/>
        </w:rPr>
        <w:t>ונעשה</w:t>
      </w:r>
      <w:r w:rsidRPr="00FA2022">
        <w:rPr>
          <w:rFonts w:cs="Arial"/>
          <w:sz w:val="20"/>
          <w:szCs w:val="20"/>
          <w:rtl/>
        </w:rPr>
        <w:t xml:space="preserve"> </w:t>
      </w:r>
      <w:r w:rsidRPr="00FA2022">
        <w:rPr>
          <w:rFonts w:cs="Arial" w:hint="cs"/>
          <w:sz w:val="20"/>
          <w:szCs w:val="20"/>
          <w:rtl/>
        </w:rPr>
        <w:t>חלב</w:t>
      </w:r>
      <w:r w:rsidRPr="00FA2022">
        <w:rPr>
          <w:rFonts w:cs="Arial"/>
          <w:sz w:val="20"/>
          <w:szCs w:val="20"/>
          <w:rtl/>
        </w:rPr>
        <w:t xml:space="preserve">, </w:t>
      </w:r>
      <w:r w:rsidRPr="00FA2022">
        <w:rPr>
          <w:rFonts w:cs="Arial" w:hint="cs"/>
          <w:sz w:val="20"/>
          <w:szCs w:val="20"/>
          <w:rtl/>
        </w:rPr>
        <w:t>לדברי</w:t>
      </w:r>
      <w:r w:rsidRPr="00FA2022">
        <w:rPr>
          <w:rFonts w:cs="Arial"/>
          <w:sz w:val="20"/>
          <w:szCs w:val="20"/>
          <w:rtl/>
        </w:rPr>
        <w:t xml:space="preserve"> </w:t>
      </w:r>
      <w:r w:rsidRPr="00FA2022">
        <w:rPr>
          <w:rFonts w:cs="Arial" w:hint="cs"/>
          <w:sz w:val="20"/>
          <w:szCs w:val="20"/>
          <w:rtl/>
        </w:rPr>
        <w:t>רבי</w:t>
      </w:r>
      <w:r w:rsidRPr="00FA2022">
        <w:rPr>
          <w:rFonts w:cs="Arial"/>
          <w:sz w:val="20"/>
          <w:szCs w:val="20"/>
          <w:rtl/>
        </w:rPr>
        <w:t xml:space="preserve"> </w:t>
      </w:r>
      <w:r w:rsidRPr="00FA2022">
        <w:rPr>
          <w:rFonts w:cs="Arial" w:hint="cs"/>
          <w:sz w:val="20"/>
          <w:szCs w:val="20"/>
          <w:rtl/>
        </w:rPr>
        <w:t>יוסי</w:t>
      </w:r>
      <w:r w:rsidRPr="00FA2022">
        <w:rPr>
          <w:rFonts w:cs="Arial"/>
          <w:sz w:val="20"/>
          <w:szCs w:val="20"/>
          <w:rtl/>
        </w:rPr>
        <w:t xml:space="preserve"> </w:t>
      </w:r>
      <w:r w:rsidRPr="00FA2022">
        <w:rPr>
          <w:rFonts w:cs="Arial" w:hint="cs"/>
          <w:sz w:val="20"/>
          <w:szCs w:val="20"/>
          <w:rtl/>
        </w:rPr>
        <w:t>ורבי</w:t>
      </w:r>
      <w:r w:rsidRPr="00FA2022">
        <w:rPr>
          <w:rFonts w:cs="Arial"/>
          <w:sz w:val="20"/>
          <w:szCs w:val="20"/>
          <w:rtl/>
        </w:rPr>
        <w:t xml:space="preserve"> </w:t>
      </w:r>
      <w:r w:rsidRPr="00FA2022">
        <w:rPr>
          <w:rFonts w:cs="Arial" w:hint="cs"/>
          <w:sz w:val="20"/>
          <w:szCs w:val="20"/>
          <w:rtl/>
        </w:rPr>
        <w:t>יהודה</w:t>
      </w:r>
      <w:r w:rsidRPr="00FA2022">
        <w:rPr>
          <w:rFonts w:cs="Arial"/>
          <w:sz w:val="20"/>
          <w:szCs w:val="20"/>
          <w:rtl/>
        </w:rPr>
        <w:t xml:space="preserve"> </w:t>
      </w:r>
      <w:r w:rsidRPr="00FA2022">
        <w:rPr>
          <w:rFonts w:cs="Arial" w:hint="cs"/>
          <w:sz w:val="20"/>
          <w:szCs w:val="20"/>
          <w:rtl/>
        </w:rPr>
        <w:t>ורבי</w:t>
      </w:r>
      <w:r w:rsidRPr="00FA2022">
        <w:rPr>
          <w:rFonts w:cs="Arial"/>
          <w:sz w:val="20"/>
          <w:szCs w:val="20"/>
          <w:rtl/>
        </w:rPr>
        <w:t xml:space="preserve"> </w:t>
      </w:r>
      <w:r w:rsidRPr="00FA2022">
        <w:rPr>
          <w:rFonts w:cs="Arial" w:hint="cs"/>
          <w:sz w:val="20"/>
          <w:szCs w:val="20"/>
          <w:rtl/>
        </w:rPr>
        <w:t>שמעון</w:t>
      </w:r>
      <w:r w:rsidRPr="00FA2022">
        <w:rPr>
          <w:rFonts w:cs="Arial"/>
          <w:sz w:val="20"/>
          <w:szCs w:val="20"/>
          <w:rtl/>
        </w:rPr>
        <w:t xml:space="preserve"> - </w:t>
      </w:r>
      <w:r w:rsidRPr="00FA2022">
        <w:rPr>
          <w:rFonts w:cs="Arial" w:hint="cs"/>
          <w:sz w:val="20"/>
          <w:szCs w:val="20"/>
          <w:rtl/>
        </w:rPr>
        <w:t>אבריה</w:t>
      </w:r>
      <w:r w:rsidRPr="00FA2022">
        <w:rPr>
          <w:rFonts w:cs="Arial"/>
          <w:sz w:val="20"/>
          <w:szCs w:val="20"/>
          <w:rtl/>
        </w:rPr>
        <w:t xml:space="preserve"> </w:t>
      </w:r>
      <w:r w:rsidRPr="00FA2022">
        <w:rPr>
          <w:rFonts w:cs="Arial" w:hint="cs"/>
          <w:sz w:val="20"/>
          <w:szCs w:val="20"/>
          <w:rtl/>
        </w:rPr>
        <w:t>מתפרקין</w:t>
      </w:r>
      <w:r w:rsidRPr="00FA2022">
        <w:rPr>
          <w:rFonts w:cs="Arial"/>
          <w:sz w:val="20"/>
          <w:szCs w:val="20"/>
          <w:rtl/>
        </w:rPr>
        <w:t xml:space="preserve">, </w:t>
      </w:r>
      <w:r w:rsidRPr="00FA2022">
        <w:rPr>
          <w:rFonts w:cs="Arial" w:hint="cs"/>
          <w:sz w:val="20"/>
          <w:szCs w:val="20"/>
          <w:rtl/>
        </w:rPr>
        <w:t>ואין</w:t>
      </w:r>
      <w:r w:rsidRPr="00FA2022">
        <w:rPr>
          <w:rFonts w:cs="Arial"/>
          <w:sz w:val="20"/>
          <w:szCs w:val="20"/>
          <w:rtl/>
        </w:rPr>
        <w:t xml:space="preserve"> </w:t>
      </w:r>
      <w:r w:rsidRPr="00FA2022">
        <w:rPr>
          <w:rFonts w:cs="Arial" w:hint="cs"/>
          <w:sz w:val="20"/>
          <w:szCs w:val="20"/>
          <w:rtl/>
        </w:rPr>
        <w:t>נפשה</w:t>
      </w:r>
      <w:r w:rsidRPr="00FA2022">
        <w:rPr>
          <w:rFonts w:cs="Arial"/>
          <w:sz w:val="20"/>
          <w:szCs w:val="20"/>
          <w:rtl/>
        </w:rPr>
        <w:t xml:space="preserve"> </w:t>
      </w:r>
      <w:r w:rsidRPr="00FA2022">
        <w:rPr>
          <w:rFonts w:cs="Arial" w:hint="cs"/>
          <w:sz w:val="20"/>
          <w:szCs w:val="20"/>
          <w:rtl/>
        </w:rPr>
        <w:t>חוזרת</w:t>
      </w:r>
      <w:r w:rsidRPr="00FA2022">
        <w:rPr>
          <w:rFonts w:cs="Arial"/>
          <w:sz w:val="20"/>
          <w:szCs w:val="20"/>
          <w:rtl/>
        </w:rPr>
        <w:t xml:space="preserve"> </w:t>
      </w:r>
      <w:r w:rsidRPr="00FA2022">
        <w:rPr>
          <w:rFonts w:cs="Arial" w:hint="cs"/>
          <w:sz w:val="20"/>
          <w:szCs w:val="20"/>
          <w:rtl/>
        </w:rPr>
        <w:t>עד</w:t>
      </w:r>
      <w:r w:rsidRPr="00FA2022">
        <w:rPr>
          <w:rFonts w:cs="Arial"/>
          <w:sz w:val="20"/>
          <w:szCs w:val="20"/>
          <w:rtl/>
        </w:rPr>
        <w:t xml:space="preserve"> </w:t>
      </w:r>
      <w:r w:rsidRPr="00FA2022">
        <w:rPr>
          <w:rFonts w:cs="Arial" w:hint="cs"/>
          <w:sz w:val="20"/>
          <w:szCs w:val="20"/>
          <w:rtl/>
        </w:rPr>
        <w:t>עשרים</w:t>
      </w:r>
      <w:r w:rsidRPr="00FA2022">
        <w:rPr>
          <w:rFonts w:cs="Arial"/>
          <w:sz w:val="20"/>
          <w:szCs w:val="20"/>
          <w:rtl/>
        </w:rPr>
        <w:t xml:space="preserve"> </w:t>
      </w:r>
      <w:r w:rsidRPr="00FA2022">
        <w:rPr>
          <w:rFonts w:cs="Arial" w:hint="cs"/>
          <w:sz w:val="20"/>
          <w:szCs w:val="20"/>
          <w:rtl/>
        </w:rPr>
        <w:t>וארבע</w:t>
      </w:r>
      <w:r w:rsidRPr="00FA2022">
        <w:rPr>
          <w:rFonts w:cs="Arial"/>
          <w:sz w:val="20"/>
          <w:szCs w:val="20"/>
          <w:rtl/>
        </w:rPr>
        <w:t xml:space="preserve"> </w:t>
      </w:r>
      <w:r w:rsidRPr="00FA2022">
        <w:rPr>
          <w:rFonts w:cs="Arial" w:hint="cs"/>
          <w:sz w:val="20"/>
          <w:szCs w:val="20"/>
          <w:rtl/>
        </w:rPr>
        <w:t>חדש</w:t>
      </w:r>
      <w:r>
        <w:rPr>
          <w:rFonts w:cs="Arial" w:hint="cs"/>
          <w:sz w:val="20"/>
          <w:szCs w:val="20"/>
          <w:rtl/>
        </w:rPr>
        <w:t>".</w:t>
      </w:r>
      <w:r>
        <w:rPr>
          <w:sz w:val="20"/>
          <w:szCs w:val="20"/>
          <w:u w:val="single"/>
          <w:rtl/>
        </w:rPr>
        <w:br/>
      </w:r>
      <w:r>
        <w:rPr>
          <w:rFonts w:hint="cs"/>
          <w:sz w:val="20"/>
          <w:szCs w:val="20"/>
          <w:u w:val="single"/>
          <w:rtl/>
        </w:rPr>
        <w:br/>
        <w:t>הסבר</w:t>
      </w:r>
      <w:r>
        <w:rPr>
          <w:sz w:val="20"/>
          <w:szCs w:val="20"/>
          <w:rtl/>
        </w:rPr>
        <w:br/>
      </w:r>
      <w:r>
        <w:rPr>
          <w:rFonts w:hint="cs"/>
          <w:sz w:val="20"/>
          <w:szCs w:val="20"/>
          <w:rtl/>
        </w:rPr>
        <w:t>רבי מאיר סובר שפעולת ההנקה מסלקת דמים כיוון שדם נהפך לחלב, ולכן אפילו מניקה חמש שנים מסולקת דמים. אך רבי יהודה ורבי יוסי סוברים שהלידה היא שמסלקת דמים, ולכן תמיד אלו כד' חודש.</w:t>
      </w:r>
    </w:p>
    <w:p w:rsidR="00620060" w:rsidRDefault="00620060" w:rsidP="00620060">
      <w:pPr>
        <w:rPr>
          <w:rFonts w:cs="Arial"/>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4A18F7">
        <w:rPr>
          <w:rFonts w:cs="Arial" w:hint="cs"/>
          <w:sz w:val="20"/>
          <w:szCs w:val="20"/>
          <w:rtl/>
        </w:rPr>
        <w:t>אם</w:t>
      </w:r>
      <w:r w:rsidRPr="004A18F7">
        <w:rPr>
          <w:rFonts w:cs="Arial"/>
          <w:sz w:val="20"/>
          <w:szCs w:val="20"/>
          <w:rtl/>
        </w:rPr>
        <w:t xml:space="preserve"> </w:t>
      </w:r>
      <w:r w:rsidRPr="004A18F7">
        <w:rPr>
          <w:rFonts w:cs="Arial" w:hint="cs"/>
          <w:sz w:val="20"/>
          <w:szCs w:val="20"/>
          <w:rtl/>
        </w:rPr>
        <w:t>הגיע</w:t>
      </w:r>
      <w:r w:rsidRPr="004A18F7">
        <w:rPr>
          <w:rFonts w:cs="Arial"/>
          <w:sz w:val="20"/>
          <w:szCs w:val="20"/>
          <w:rtl/>
        </w:rPr>
        <w:t xml:space="preserve"> </w:t>
      </w:r>
      <w:r w:rsidRPr="004A18F7">
        <w:rPr>
          <w:rFonts w:cs="Arial" w:hint="cs"/>
          <w:sz w:val="20"/>
          <w:szCs w:val="20"/>
          <w:rtl/>
        </w:rPr>
        <w:t>וסתה</w:t>
      </w:r>
      <w:r w:rsidRPr="004A18F7">
        <w:rPr>
          <w:rFonts w:cs="Arial"/>
          <w:sz w:val="20"/>
          <w:szCs w:val="20"/>
          <w:rtl/>
        </w:rPr>
        <w:t xml:space="preserve"> </w:t>
      </w:r>
      <w:r w:rsidRPr="004A18F7">
        <w:rPr>
          <w:rFonts w:cs="Arial" w:hint="cs"/>
          <w:sz w:val="20"/>
          <w:szCs w:val="20"/>
          <w:rtl/>
        </w:rPr>
        <w:t>בימי</w:t>
      </w:r>
      <w:r w:rsidRPr="004A18F7">
        <w:rPr>
          <w:rFonts w:cs="Arial"/>
          <w:sz w:val="20"/>
          <w:szCs w:val="20"/>
          <w:rtl/>
        </w:rPr>
        <w:t xml:space="preserve"> </w:t>
      </w:r>
      <w:r w:rsidRPr="004A18F7">
        <w:rPr>
          <w:rFonts w:cs="Arial" w:hint="cs"/>
          <w:sz w:val="20"/>
          <w:szCs w:val="20"/>
          <w:rtl/>
        </w:rPr>
        <w:t>עיבורה</w:t>
      </w:r>
      <w:r w:rsidRPr="004A18F7">
        <w:rPr>
          <w:rFonts w:cs="Arial"/>
          <w:sz w:val="20"/>
          <w:szCs w:val="20"/>
          <w:rtl/>
        </w:rPr>
        <w:t xml:space="preserve">, </w:t>
      </w:r>
      <w:r w:rsidRPr="004A18F7">
        <w:rPr>
          <w:rFonts w:cs="Arial" w:hint="cs"/>
          <w:sz w:val="20"/>
          <w:szCs w:val="20"/>
          <w:rtl/>
        </w:rPr>
        <w:t>משהוכר</w:t>
      </w:r>
      <w:r w:rsidRPr="004A18F7">
        <w:rPr>
          <w:rFonts w:cs="Arial"/>
          <w:sz w:val="20"/>
          <w:szCs w:val="20"/>
          <w:rtl/>
        </w:rPr>
        <w:t xml:space="preserve"> </w:t>
      </w:r>
      <w:r w:rsidRPr="004A18F7">
        <w:rPr>
          <w:rFonts w:cs="Arial" w:hint="cs"/>
          <w:sz w:val="20"/>
          <w:szCs w:val="20"/>
          <w:rtl/>
        </w:rPr>
        <w:t>עוברה</w:t>
      </w:r>
      <w:r w:rsidRPr="004A18F7">
        <w:rPr>
          <w:rFonts w:cs="Arial"/>
          <w:sz w:val="20"/>
          <w:szCs w:val="20"/>
          <w:rtl/>
        </w:rPr>
        <w:t xml:space="preserve">, </w:t>
      </w:r>
      <w:r w:rsidRPr="004A18F7">
        <w:rPr>
          <w:rFonts w:cs="Arial" w:hint="cs"/>
          <w:sz w:val="20"/>
          <w:szCs w:val="20"/>
          <w:rtl/>
        </w:rPr>
        <w:t>או</w:t>
      </w:r>
      <w:r w:rsidRPr="004A18F7">
        <w:rPr>
          <w:rFonts w:cs="Arial"/>
          <w:sz w:val="20"/>
          <w:szCs w:val="20"/>
          <w:rtl/>
        </w:rPr>
        <w:t xml:space="preserve"> </w:t>
      </w:r>
      <w:r w:rsidRPr="004A18F7">
        <w:rPr>
          <w:rFonts w:cs="Arial" w:hint="cs"/>
          <w:sz w:val="20"/>
          <w:szCs w:val="20"/>
          <w:rtl/>
        </w:rPr>
        <w:t>בימי</w:t>
      </w:r>
      <w:r w:rsidRPr="004A18F7">
        <w:rPr>
          <w:rFonts w:cs="Arial"/>
          <w:sz w:val="20"/>
          <w:szCs w:val="20"/>
          <w:rtl/>
        </w:rPr>
        <w:t xml:space="preserve"> </w:t>
      </w:r>
      <w:r w:rsidRPr="004A18F7">
        <w:rPr>
          <w:rFonts w:cs="Arial" w:hint="cs"/>
          <w:sz w:val="20"/>
          <w:szCs w:val="20"/>
          <w:rtl/>
        </w:rPr>
        <w:t>מניקתה</w:t>
      </w:r>
      <w:r w:rsidRPr="004A18F7">
        <w:rPr>
          <w:rFonts w:cs="Arial"/>
          <w:sz w:val="20"/>
          <w:szCs w:val="20"/>
          <w:rtl/>
        </w:rPr>
        <w:t xml:space="preserve"> </w:t>
      </w:r>
      <w:r w:rsidRPr="004A18F7">
        <w:rPr>
          <w:rFonts w:cs="Arial" w:hint="cs"/>
          <w:sz w:val="20"/>
          <w:szCs w:val="20"/>
          <w:rtl/>
        </w:rPr>
        <w:t>שהם</w:t>
      </w:r>
      <w:r w:rsidRPr="004A18F7">
        <w:rPr>
          <w:rFonts w:cs="Arial"/>
          <w:sz w:val="20"/>
          <w:szCs w:val="20"/>
          <w:rtl/>
        </w:rPr>
        <w:t xml:space="preserve"> </w:t>
      </w:r>
      <w:r w:rsidRPr="004A18F7">
        <w:rPr>
          <w:rFonts w:cs="Arial" w:hint="cs"/>
          <w:sz w:val="20"/>
          <w:szCs w:val="20"/>
          <w:rtl/>
        </w:rPr>
        <w:t>כ</w:t>
      </w:r>
      <w:r w:rsidRPr="004A18F7">
        <w:rPr>
          <w:rFonts w:cs="Arial"/>
          <w:sz w:val="20"/>
          <w:szCs w:val="20"/>
          <w:rtl/>
        </w:rPr>
        <w:t>"</w:t>
      </w:r>
      <w:r w:rsidRPr="004A18F7">
        <w:rPr>
          <w:rFonts w:cs="Arial" w:hint="cs"/>
          <w:sz w:val="20"/>
          <w:szCs w:val="20"/>
          <w:rtl/>
        </w:rPr>
        <w:t>ד</w:t>
      </w:r>
      <w:r w:rsidRPr="004A18F7">
        <w:rPr>
          <w:rFonts w:cs="Arial"/>
          <w:sz w:val="20"/>
          <w:szCs w:val="20"/>
          <w:rtl/>
        </w:rPr>
        <w:t xml:space="preserve"> </w:t>
      </w:r>
      <w:r w:rsidRPr="004A18F7">
        <w:rPr>
          <w:rFonts w:cs="Arial" w:hint="cs"/>
          <w:sz w:val="20"/>
          <w:szCs w:val="20"/>
          <w:rtl/>
        </w:rPr>
        <w:t>חדשים</w:t>
      </w:r>
      <w:r w:rsidRPr="004A18F7">
        <w:rPr>
          <w:rFonts w:cs="Arial"/>
          <w:sz w:val="20"/>
          <w:szCs w:val="20"/>
          <w:rtl/>
        </w:rPr>
        <w:t xml:space="preserve"> </w:t>
      </w:r>
      <w:r w:rsidRPr="004A18F7">
        <w:rPr>
          <w:rFonts w:cs="Arial" w:hint="cs"/>
          <w:sz w:val="20"/>
          <w:szCs w:val="20"/>
          <w:rtl/>
        </w:rPr>
        <w:t>משנולד</w:t>
      </w:r>
      <w:r w:rsidRPr="004A18F7">
        <w:rPr>
          <w:rFonts w:cs="Arial"/>
          <w:sz w:val="20"/>
          <w:szCs w:val="20"/>
          <w:rtl/>
        </w:rPr>
        <w:t xml:space="preserve"> </w:t>
      </w:r>
      <w:r w:rsidRPr="004A18F7">
        <w:rPr>
          <w:rFonts w:cs="Arial" w:hint="cs"/>
          <w:sz w:val="20"/>
          <w:szCs w:val="20"/>
          <w:rtl/>
        </w:rPr>
        <w:t>הולד</w:t>
      </w:r>
      <w:r w:rsidRPr="004A18F7">
        <w:rPr>
          <w:rFonts w:cs="Arial"/>
          <w:sz w:val="20"/>
          <w:szCs w:val="20"/>
          <w:rtl/>
        </w:rPr>
        <w:t xml:space="preserve">, </w:t>
      </w:r>
      <w:r w:rsidRPr="004A18F7">
        <w:rPr>
          <w:rFonts w:cs="Arial" w:hint="cs"/>
          <w:sz w:val="20"/>
          <w:szCs w:val="20"/>
          <w:rtl/>
        </w:rPr>
        <w:t>אפילו</w:t>
      </w:r>
      <w:r w:rsidRPr="004A18F7">
        <w:rPr>
          <w:rFonts w:cs="Arial"/>
          <w:sz w:val="20"/>
          <w:szCs w:val="20"/>
          <w:rtl/>
        </w:rPr>
        <w:t xml:space="preserve"> </w:t>
      </w:r>
      <w:r w:rsidRPr="004A18F7">
        <w:rPr>
          <w:rFonts w:cs="Arial" w:hint="cs"/>
          <w:sz w:val="20"/>
          <w:szCs w:val="20"/>
          <w:rtl/>
        </w:rPr>
        <w:t>מת</w:t>
      </w:r>
      <w:r w:rsidRPr="004A18F7">
        <w:rPr>
          <w:rFonts w:cs="Arial"/>
          <w:sz w:val="20"/>
          <w:szCs w:val="20"/>
          <w:rtl/>
        </w:rPr>
        <w:t xml:space="preserve"> </w:t>
      </w:r>
      <w:r w:rsidRPr="004A18F7">
        <w:rPr>
          <w:rFonts w:cs="Arial" w:hint="cs"/>
          <w:sz w:val="20"/>
          <w:szCs w:val="20"/>
          <w:rtl/>
        </w:rPr>
        <w:t>הולד</w:t>
      </w:r>
      <w:r w:rsidRPr="004A18F7">
        <w:rPr>
          <w:rFonts w:cs="Arial"/>
          <w:sz w:val="20"/>
          <w:szCs w:val="20"/>
          <w:rtl/>
        </w:rPr>
        <w:t xml:space="preserve">, </w:t>
      </w:r>
      <w:r w:rsidRPr="004A18F7">
        <w:rPr>
          <w:rFonts w:cs="Arial" w:hint="cs"/>
          <w:sz w:val="20"/>
          <w:szCs w:val="20"/>
          <w:rtl/>
        </w:rPr>
        <w:t>אין</w:t>
      </w:r>
      <w:r w:rsidRPr="004A18F7">
        <w:rPr>
          <w:rFonts w:cs="Arial"/>
          <w:sz w:val="20"/>
          <w:szCs w:val="20"/>
          <w:rtl/>
        </w:rPr>
        <w:t xml:space="preserve"> </w:t>
      </w:r>
      <w:r w:rsidRPr="004A18F7">
        <w:rPr>
          <w:rFonts w:cs="Arial" w:hint="cs"/>
          <w:sz w:val="20"/>
          <w:szCs w:val="20"/>
          <w:rtl/>
        </w:rPr>
        <w:t>צריך</w:t>
      </w:r>
      <w:r w:rsidRPr="004A18F7">
        <w:rPr>
          <w:rFonts w:cs="Arial"/>
          <w:sz w:val="20"/>
          <w:szCs w:val="20"/>
          <w:rtl/>
        </w:rPr>
        <w:t xml:space="preserve"> </w:t>
      </w:r>
      <w:r w:rsidRPr="004A18F7">
        <w:rPr>
          <w:rFonts w:cs="Arial" w:hint="cs"/>
          <w:sz w:val="20"/>
          <w:szCs w:val="20"/>
          <w:rtl/>
        </w:rPr>
        <w:t>לפרוש</w:t>
      </w:r>
      <w:r w:rsidRPr="004A18F7">
        <w:rPr>
          <w:rFonts w:cs="Arial"/>
          <w:sz w:val="20"/>
          <w:szCs w:val="20"/>
          <w:rtl/>
        </w:rPr>
        <w:t xml:space="preserve"> </w:t>
      </w:r>
      <w:r w:rsidRPr="004A18F7">
        <w:rPr>
          <w:rFonts w:cs="Arial" w:hint="cs"/>
          <w:sz w:val="20"/>
          <w:szCs w:val="20"/>
          <w:rtl/>
        </w:rPr>
        <w:t>סמוך</w:t>
      </w:r>
      <w:r w:rsidRPr="004A18F7">
        <w:rPr>
          <w:rFonts w:cs="Arial"/>
          <w:sz w:val="20"/>
          <w:szCs w:val="20"/>
          <w:rtl/>
        </w:rPr>
        <w:t xml:space="preserve"> </w:t>
      </w:r>
      <w:r w:rsidRPr="004A18F7">
        <w:rPr>
          <w:rFonts w:cs="Arial" w:hint="cs"/>
          <w:sz w:val="20"/>
          <w:szCs w:val="20"/>
          <w:rtl/>
        </w:rPr>
        <w:t>לוסתה</w:t>
      </w:r>
      <w:r>
        <w:rPr>
          <w:rStyle w:val="a5"/>
          <w:rFonts w:cs="Arial"/>
          <w:sz w:val="20"/>
          <w:szCs w:val="20"/>
          <w:rtl/>
        </w:rPr>
        <w:footnoteReference w:id="39"/>
      </w:r>
      <w:r w:rsidRPr="004A18F7">
        <w:rPr>
          <w:rFonts w:cs="Arial"/>
          <w:sz w:val="20"/>
          <w:szCs w:val="20"/>
          <w:rtl/>
        </w:rPr>
        <w:t xml:space="preserve">, </w:t>
      </w:r>
      <w:r w:rsidRPr="004A18F7">
        <w:rPr>
          <w:rFonts w:cs="Arial" w:hint="cs"/>
          <w:sz w:val="20"/>
          <w:szCs w:val="20"/>
          <w:rtl/>
        </w:rPr>
        <w:t>ואפילו</w:t>
      </w:r>
      <w:r w:rsidRPr="004A18F7">
        <w:rPr>
          <w:rFonts w:cs="Arial"/>
          <w:sz w:val="20"/>
          <w:szCs w:val="20"/>
          <w:rtl/>
        </w:rPr>
        <w:t xml:space="preserve"> </w:t>
      </w:r>
      <w:r w:rsidRPr="004A18F7">
        <w:rPr>
          <w:rFonts w:cs="Arial" w:hint="cs"/>
          <w:sz w:val="20"/>
          <w:szCs w:val="20"/>
          <w:rtl/>
        </w:rPr>
        <w:t>בתוך</w:t>
      </w:r>
      <w:r w:rsidRPr="004A18F7">
        <w:rPr>
          <w:rFonts w:cs="Arial"/>
          <w:sz w:val="20"/>
          <w:szCs w:val="20"/>
          <w:rtl/>
        </w:rPr>
        <w:t xml:space="preserve"> </w:t>
      </w:r>
      <w:r w:rsidRPr="004A18F7">
        <w:rPr>
          <w:rFonts w:cs="Arial" w:hint="cs"/>
          <w:sz w:val="20"/>
          <w:szCs w:val="20"/>
          <w:rtl/>
        </w:rPr>
        <w:t>וסתה</w:t>
      </w:r>
      <w:r w:rsidRPr="004A18F7">
        <w:rPr>
          <w:rFonts w:cs="Arial"/>
          <w:sz w:val="20"/>
          <w:szCs w:val="20"/>
          <w:rtl/>
        </w:rPr>
        <w:t xml:space="preserve"> </w:t>
      </w:r>
      <w:r w:rsidRPr="004A18F7">
        <w:rPr>
          <w:rFonts w:cs="Arial" w:hint="cs"/>
          <w:sz w:val="20"/>
          <w:szCs w:val="20"/>
          <w:rtl/>
        </w:rPr>
        <w:t>מותרת</w:t>
      </w:r>
      <w:r w:rsidRPr="004A18F7">
        <w:rPr>
          <w:rFonts w:cs="Arial"/>
          <w:sz w:val="20"/>
          <w:szCs w:val="20"/>
          <w:rtl/>
        </w:rPr>
        <w:t xml:space="preserve"> </w:t>
      </w:r>
      <w:r w:rsidRPr="004A18F7">
        <w:rPr>
          <w:rFonts w:cs="Arial" w:hint="cs"/>
          <w:sz w:val="20"/>
          <w:szCs w:val="20"/>
          <w:rtl/>
        </w:rPr>
        <w:t>בלא</w:t>
      </w:r>
      <w:r w:rsidRPr="004A18F7">
        <w:rPr>
          <w:rFonts w:cs="Arial"/>
          <w:sz w:val="20"/>
          <w:szCs w:val="20"/>
          <w:rtl/>
        </w:rPr>
        <w:t xml:space="preserve"> </w:t>
      </w:r>
      <w:r w:rsidRPr="004A18F7">
        <w:rPr>
          <w:rFonts w:cs="Arial" w:hint="cs"/>
          <w:sz w:val="20"/>
          <w:szCs w:val="20"/>
          <w:rtl/>
        </w:rPr>
        <w:t>בדיקה</w:t>
      </w:r>
      <w:r>
        <w:rPr>
          <w:rFonts w:cs="Arial" w:hint="cs"/>
          <w:sz w:val="20"/>
          <w:szCs w:val="20"/>
          <w:rtl/>
        </w:rPr>
        <w:t>".</w:t>
      </w:r>
    </w:p>
    <w:p w:rsidR="00620060" w:rsidRDefault="00620060" w:rsidP="00620060">
      <w:pPr>
        <w:rPr>
          <w:rFonts w:cs="Arial"/>
          <w:sz w:val="20"/>
          <w:szCs w:val="20"/>
          <w:rtl/>
        </w:rPr>
      </w:pPr>
      <w:r>
        <w:rPr>
          <w:rFonts w:cs="Arial" w:hint="cs"/>
          <w:sz w:val="20"/>
          <w:szCs w:val="20"/>
          <w:u w:val="single"/>
          <w:rtl/>
        </w:rPr>
        <w:t>אופן חישוב כד' חודש בשנה מעוברת</w:t>
      </w:r>
      <w:r>
        <w:rPr>
          <w:rFonts w:cs="Arial" w:hint="cs"/>
          <w:sz w:val="20"/>
          <w:szCs w:val="20"/>
          <w:u w:val="single"/>
          <w:rtl/>
        </w:rPr>
        <w:br/>
      </w:r>
      <w:r>
        <w:rPr>
          <w:rFonts w:cs="Arial" w:hint="cs"/>
          <w:sz w:val="20"/>
          <w:szCs w:val="20"/>
          <w:rtl/>
        </w:rPr>
        <w:t>האם שנה מעוברת נמנית כשנים עשר חודשים או כשלושה עשר חודשים?</w:t>
      </w:r>
      <w:r>
        <w:rPr>
          <w:rFonts w:cs="Arial" w:hint="cs"/>
          <w:sz w:val="20"/>
          <w:szCs w:val="20"/>
          <w:rtl/>
        </w:rPr>
        <w:br/>
        <w:t xml:space="preserve">א. </w:t>
      </w:r>
      <w:r w:rsidRPr="003B77DC">
        <w:rPr>
          <w:rFonts w:cs="Arial" w:hint="cs"/>
          <w:b/>
          <w:bCs/>
          <w:sz w:val="20"/>
          <w:szCs w:val="20"/>
          <w:rtl/>
        </w:rPr>
        <w:t>ש"ך</w:t>
      </w:r>
      <w:r>
        <w:rPr>
          <w:rFonts w:cs="Arial" w:hint="cs"/>
          <w:sz w:val="20"/>
          <w:szCs w:val="20"/>
          <w:rtl/>
        </w:rPr>
        <w:t xml:space="preserve"> </w:t>
      </w:r>
      <w:r>
        <w:rPr>
          <w:rFonts w:cs="Arial"/>
          <w:sz w:val="20"/>
          <w:szCs w:val="20"/>
          <w:rtl/>
        </w:rPr>
        <w:t>–</w:t>
      </w:r>
      <w:r>
        <w:rPr>
          <w:rFonts w:cs="Arial" w:hint="cs"/>
          <w:sz w:val="20"/>
          <w:szCs w:val="20"/>
          <w:rtl/>
        </w:rPr>
        <w:t xml:space="preserve"> נמנית כשניים עשר חודשים.</w:t>
      </w:r>
      <w:r>
        <w:rPr>
          <w:rFonts w:cs="Arial"/>
          <w:sz w:val="20"/>
          <w:szCs w:val="20"/>
          <w:rtl/>
        </w:rPr>
        <w:br/>
      </w:r>
      <w:r>
        <w:rPr>
          <w:rFonts w:cs="Arial" w:hint="cs"/>
          <w:sz w:val="20"/>
          <w:szCs w:val="20"/>
          <w:rtl/>
        </w:rPr>
        <w:t xml:space="preserve">ב. </w:t>
      </w:r>
      <w:r w:rsidRPr="003B77DC">
        <w:rPr>
          <w:rFonts w:cs="Arial" w:hint="cs"/>
          <w:b/>
          <w:bCs/>
          <w:sz w:val="20"/>
          <w:szCs w:val="20"/>
          <w:rtl/>
        </w:rPr>
        <w:t>כו"פ</w:t>
      </w:r>
      <w:r>
        <w:rPr>
          <w:rFonts w:cs="Arial" w:hint="cs"/>
          <w:sz w:val="20"/>
          <w:szCs w:val="20"/>
          <w:rtl/>
        </w:rPr>
        <w:t xml:space="preserve"> </w:t>
      </w:r>
      <w:r>
        <w:rPr>
          <w:rFonts w:cs="Arial"/>
          <w:sz w:val="20"/>
          <w:szCs w:val="20"/>
          <w:rtl/>
        </w:rPr>
        <w:t>–</w:t>
      </w:r>
      <w:r>
        <w:rPr>
          <w:rFonts w:cs="Arial" w:hint="cs"/>
          <w:sz w:val="20"/>
          <w:szCs w:val="20"/>
          <w:rtl/>
        </w:rPr>
        <w:t xml:space="preserve"> נמנית כשלושה עשר חודשים.</w:t>
      </w:r>
    </w:p>
    <w:p w:rsidR="00620060" w:rsidRDefault="00620060" w:rsidP="00620060">
      <w:pPr>
        <w:rPr>
          <w:rFonts w:cs="Arial"/>
          <w:sz w:val="20"/>
          <w:szCs w:val="20"/>
          <w:rtl/>
        </w:rPr>
      </w:pPr>
      <w:r>
        <w:rPr>
          <w:rFonts w:cs="Arial" w:hint="cs"/>
          <w:sz w:val="20"/>
          <w:szCs w:val="20"/>
          <w:u w:val="single"/>
          <w:rtl/>
        </w:rPr>
        <w:t>ראתה דם בימי עיבורה או הנקתה (ש"ך)</w:t>
      </w:r>
      <w:r>
        <w:rPr>
          <w:rFonts w:cs="Arial"/>
          <w:sz w:val="20"/>
          <w:szCs w:val="20"/>
          <w:u w:val="single"/>
          <w:rtl/>
        </w:rPr>
        <w:br/>
      </w:r>
      <w:r w:rsidRPr="007C1889">
        <w:rPr>
          <w:rFonts w:cs="Arial" w:hint="cs"/>
          <w:b/>
          <w:bCs/>
          <w:sz w:val="20"/>
          <w:szCs w:val="20"/>
          <w:rtl/>
        </w:rPr>
        <w:t>הגהת מהרש"ל</w:t>
      </w:r>
      <w:r>
        <w:rPr>
          <w:rFonts w:cs="Arial" w:hint="cs"/>
          <w:sz w:val="20"/>
          <w:szCs w:val="20"/>
          <w:rtl/>
        </w:rPr>
        <w:t xml:space="preserve"> </w:t>
      </w:r>
      <w:r>
        <w:rPr>
          <w:rFonts w:cs="Arial"/>
          <w:sz w:val="20"/>
          <w:szCs w:val="20"/>
          <w:rtl/>
        </w:rPr>
        <w:t>–</w:t>
      </w:r>
      <w:r>
        <w:rPr>
          <w:rFonts w:cs="Arial" w:hint="cs"/>
          <w:sz w:val="20"/>
          <w:szCs w:val="20"/>
          <w:rtl/>
        </w:rPr>
        <w:t xml:space="preserve"> מניקה או מעוברת שראתה דם ג' פעמים, קבעה ווסת וחוששת לו.</w:t>
      </w:r>
      <w:r>
        <w:rPr>
          <w:rFonts w:cs="Arial"/>
          <w:sz w:val="20"/>
          <w:szCs w:val="20"/>
          <w:rtl/>
        </w:rPr>
        <w:br/>
      </w:r>
      <w:r w:rsidRPr="00D15901">
        <w:rPr>
          <w:rFonts w:cs="Arial" w:hint="cs"/>
          <w:sz w:val="20"/>
          <w:szCs w:val="20"/>
          <w:rtl/>
        </w:rPr>
        <w:t xml:space="preserve">ומבאר </w:t>
      </w:r>
      <w:r w:rsidRPr="00D15901">
        <w:rPr>
          <w:rFonts w:cs="Arial" w:hint="cs"/>
          <w:b/>
          <w:bCs/>
          <w:sz w:val="20"/>
          <w:szCs w:val="20"/>
          <w:rtl/>
        </w:rPr>
        <w:t>הפת"ש</w:t>
      </w:r>
      <w:r w:rsidRPr="00D15901">
        <w:rPr>
          <w:rFonts w:cs="Arial" w:hint="cs"/>
          <w:sz w:val="20"/>
          <w:szCs w:val="20"/>
          <w:rtl/>
        </w:rPr>
        <w:t xml:space="preserve"> </w:t>
      </w:r>
      <w:r>
        <w:rPr>
          <w:rFonts w:cs="Arial"/>
          <w:sz w:val="20"/>
          <w:szCs w:val="20"/>
          <w:rtl/>
        </w:rPr>
        <w:t>–</w:t>
      </w:r>
      <w:r>
        <w:rPr>
          <w:rFonts w:cs="Arial" w:hint="cs"/>
          <w:sz w:val="20"/>
          <w:szCs w:val="20"/>
          <w:rtl/>
        </w:rPr>
        <w:t xml:space="preserve"> אם ראתה דם רק פעם אחת, חוששת לו כדין ווסת שאינו קבוע, וכ"כ </w:t>
      </w:r>
      <w:r w:rsidRPr="007C1889">
        <w:rPr>
          <w:rFonts w:cs="Arial" w:hint="cs"/>
          <w:b/>
          <w:bCs/>
          <w:sz w:val="20"/>
          <w:szCs w:val="20"/>
          <w:rtl/>
        </w:rPr>
        <w:t>חוו"ד וס"ט</w:t>
      </w:r>
      <w:r>
        <w:rPr>
          <w:rFonts w:cs="Arial" w:hint="cs"/>
          <w:sz w:val="20"/>
          <w:szCs w:val="20"/>
          <w:rtl/>
        </w:rPr>
        <w:t xml:space="preserve">. </w:t>
      </w:r>
    </w:p>
    <w:p w:rsidR="00620060" w:rsidRDefault="00620060" w:rsidP="00620060">
      <w:pPr>
        <w:rPr>
          <w:rFonts w:cs="Arial"/>
          <w:sz w:val="20"/>
          <w:szCs w:val="20"/>
          <w:rtl/>
        </w:rPr>
      </w:pPr>
      <w:r w:rsidRPr="00955BAA">
        <w:rPr>
          <w:rFonts w:hint="cs"/>
          <w:b/>
          <w:bCs/>
          <w:sz w:val="20"/>
          <w:szCs w:val="20"/>
          <w:rtl/>
        </w:rPr>
        <w:t>סיכום</w:t>
      </w:r>
      <w:r>
        <w:rPr>
          <w:sz w:val="20"/>
          <w:szCs w:val="20"/>
          <w:rtl/>
        </w:rPr>
        <w:br/>
      </w:r>
      <w:r>
        <w:rPr>
          <w:rFonts w:hint="cs"/>
          <w:sz w:val="20"/>
          <w:szCs w:val="20"/>
          <w:rtl/>
        </w:rPr>
        <w:t xml:space="preserve">1. </w:t>
      </w:r>
      <w:r w:rsidRPr="00955BAA">
        <w:rPr>
          <w:rFonts w:hint="cs"/>
          <w:b/>
          <w:bCs/>
          <w:sz w:val="20"/>
          <w:szCs w:val="20"/>
          <w:rtl/>
        </w:rPr>
        <w:t>גמרא</w:t>
      </w:r>
      <w:r>
        <w:rPr>
          <w:rFonts w:hint="cs"/>
          <w:sz w:val="20"/>
          <w:szCs w:val="20"/>
          <w:rtl/>
        </w:rPr>
        <w:t xml:space="preserve">. מעוברת מסולקת דמים אפילו בשעת ווסתה. </w:t>
      </w:r>
      <w:r>
        <w:rPr>
          <w:sz w:val="20"/>
          <w:szCs w:val="20"/>
          <w:rtl/>
        </w:rPr>
        <w:br/>
      </w:r>
      <w:r>
        <w:rPr>
          <w:rFonts w:hint="cs"/>
          <w:sz w:val="20"/>
          <w:szCs w:val="20"/>
          <w:rtl/>
        </w:rPr>
        <w:t xml:space="preserve">2. מסיק </w:t>
      </w:r>
      <w:r w:rsidRPr="00955BAA">
        <w:rPr>
          <w:rFonts w:hint="cs"/>
          <w:b/>
          <w:bCs/>
          <w:sz w:val="20"/>
          <w:szCs w:val="20"/>
          <w:rtl/>
        </w:rPr>
        <w:t>הרא"ש</w:t>
      </w:r>
      <w:r>
        <w:rPr>
          <w:rFonts w:hint="cs"/>
          <w:sz w:val="20"/>
          <w:szCs w:val="20"/>
          <w:rtl/>
        </w:rPr>
        <w:t>. אין צריך לפרוש ממנה מתשמיש בעונתה.</w:t>
      </w:r>
      <w:r>
        <w:rPr>
          <w:sz w:val="20"/>
          <w:szCs w:val="20"/>
          <w:rtl/>
        </w:rPr>
        <w:br/>
      </w:r>
      <w:r>
        <w:rPr>
          <w:rFonts w:hint="cs"/>
          <w:sz w:val="20"/>
          <w:szCs w:val="20"/>
          <w:rtl/>
        </w:rPr>
        <w:t xml:space="preserve">3. </w:t>
      </w:r>
      <w:r w:rsidRPr="00955BAA">
        <w:rPr>
          <w:rFonts w:hint="cs"/>
          <w:b/>
          <w:bCs/>
          <w:sz w:val="20"/>
          <w:szCs w:val="20"/>
          <w:rtl/>
        </w:rPr>
        <w:t>טור</w:t>
      </w:r>
      <w:r>
        <w:rPr>
          <w:rFonts w:hint="cs"/>
          <w:sz w:val="20"/>
          <w:szCs w:val="20"/>
          <w:rtl/>
        </w:rPr>
        <w:t xml:space="preserve">. הוא הדין לרא"ש לגבי מניקה. </w:t>
      </w:r>
      <w:r w:rsidRPr="00955BAA">
        <w:rPr>
          <w:rFonts w:hint="cs"/>
          <w:b/>
          <w:bCs/>
          <w:sz w:val="20"/>
          <w:szCs w:val="20"/>
          <w:rtl/>
        </w:rPr>
        <w:t>ב"י</w:t>
      </w:r>
      <w:r>
        <w:rPr>
          <w:rFonts w:hint="cs"/>
          <w:sz w:val="20"/>
          <w:szCs w:val="20"/>
          <w:rtl/>
        </w:rPr>
        <w:t>. הטור הסיק זאת מדברי רבי יוחנן שהשווה מניקה למעוברת.</w:t>
      </w:r>
      <w:r>
        <w:rPr>
          <w:sz w:val="20"/>
          <w:szCs w:val="20"/>
          <w:rtl/>
        </w:rPr>
        <w:br/>
      </w:r>
      <w:r>
        <w:rPr>
          <w:rFonts w:hint="cs"/>
          <w:sz w:val="20"/>
          <w:szCs w:val="20"/>
          <w:rtl/>
        </w:rPr>
        <w:t xml:space="preserve">4. </w:t>
      </w:r>
      <w:r w:rsidRPr="00955BAA">
        <w:rPr>
          <w:rFonts w:hint="cs"/>
          <w:b/>
          <w:bCs/>
          <w:sz w:val="20"/>
          <w:szCs w:val="20"/>
          <w:rtl/>
        </w:rPr>
        <w:t>גמרא</w:t>
      </w:r>
      <w:r>
        <w:rPr>
          <w:rFonts w:hint="cs"/>
          <w:sz w:val="20"/>
          <w:szCs w:val="20"/>
          <w:rtl/>
        </w:rPr>
        <w:t>. רק לאחר הכרת העובר דינה מעוברת, והכרה זו היא בשלושה חודשים.</w:t>
      </w:r>
      <w:r>
        <w:rPr>
          <w:sz w:val="20"/>
          <w:szCs w:val="20"/>
          <w:rtl/>
        </w:rPr>
        <w:br/>
      </w:r>
      <w:r>
        <w:rPr>
          <w:rFonts w:hint="cs"/>
          <w:sz w:val="20"/>
          <w:szCs w:val="20"/>
          <w:rtl/>
        </w:rPr>
        <w:t xml:space="preserve">5. </w:t>
      </w:r>
      <w:r w:rsidRPr="00955BAA">
        <w:rPr>
          <w:rFonts w:hint="cs"/>
          <w:b/>
          <w:bCs/>
          <w:sz w:val="20"/>
          <w:szCs w:val="20"/>
          <w:rtl/>
        </w:rPr>
        <w:t>גמרא</w:t>
      </w:r>
      <w:r>
        <w:rPr>
          <w:rFonts w:hint="cs"/>
          <w:sz w:val="20"/>
          <w:szCs w:val="20"/>
          <w:rtl/>
        </w:rPr>
        <w:t xml:space="preserve">. </w:t>
      </w:r>
      <w:r w:rsidRPr="00955BAA">
        <w:rPr>
          <w:rFonts w:hint="cs"/>
          <w:sz w:val="20"/>
          <w:szCs w:val="20"/>
          <w:u w:val="single"/>
          <w:rtl/>
        </w:rPr>
        <w:t>ר"מ</w:t>
      </w:r>
      <w:r>
        <w:rPr>
          <w:rFonts w:hint="cs"/>
          <w:sz w:val="20"/>
          <w:szCs w:val="20"/>
          <w:rtl/>
        </w:rPr>
        <w:t xml:space="preserve">. כל זמן שמניקה בפועל מסולקת דמים. </w:t>
      </w:r>
      <w:r w:rsidRPr="00955BAA">
        <w:rPr>
          <w:rFonts w:hint="cs"/>
          <w:sz w:val="20"/>
          <w:szCs w:val="20"/>
          <w:u w:val="single"/>
          <w:rtl/>
        </w:rPr>
        <w:t>חכמים</w:t>
      </w:r>
      <w:r>
        <w:rPr>
          <w:rFonts w:hint="cs"/>
          <w:sz w:val="20"/>
          <w:szCs w:val="20"/>
          <w:rtl/>
        </w:rPr>
        <w:t>. כל יולדת מסולקת דמים כד' חודש בלבד.</w:t>
      </w:r>
      <w:r>
        <w:rPr>
          <w:sz w:val="20"/>
          <w:szCs w:val="20"/>
          <w:rtl/>
        </w:rPr>
        <w:br/>
      </w:r>
      <w:r>
        <w:rPr>
          <w:rFonts w:hint="cs"/>
          <w:sz w:val="20"/>
          <w:szCs w:val="20"/>
          <w:rtl/>
        </w:rPr>
        <w:t xml:space="preserve">6. </w:t>
      </w:r>
      <w:r w:rsidRPr="00955BAA">
        <w:rPr>
          <w:rFonts w:hint="cs"/>
          <w:b/>
          <w:bCs/>
          <w:sz w:val="20"/>
          <w:szCs w:val="20"/>
          <w:rtl/>
        </w:rPr>
        <w:t>מחבר</w:t>
      </w:r>
      <w:r>
        <w:rPr>
          <w:rFonts w:hint="cs"/>
          <w:sz w:val="20"/>
          <w:szCs w:val="20"/>
          <w:rtl/>
        </w:rPr>
        <w:t xml:space="preserve">. מעוברת לאחר ג' חודשים, ויולדת עד כד' חודש, אין צריך לפרוש בשעת הווסת. </w:t>
      </w:r>
      <w:r w:rsidRPr="00DB25A5">
        <w:rPr>
          <w:rFonts w:hint="cs"/>
          <w:b/>
          <w:bCs/>
          <w:sz w:val="20"/>
          <w:szCs w:val="20"/>
          <w:rtl/>
        </w:rPr>
        <w:t>פרישה</w:t>
      </w:r>
      <w:r>
        <w:rPr>
          <w:rFonts w:hint="cs"/>
          <w:sz w:val="20"/>
          <w:szCs w:val="20"/>
          <w:rtl/>
        </w:rPr>
        <w:t xml:space="preserve">. דווקא סמוך לווסת </w:t>
      </w:r>
      <w:r w:rsidRPr="003B25FE">
        <w:rPr>
          <w:rFonts w:hint="cs"/>
          <w:sz w:val="20"/>
          <w:szCs w:val="20"/>
          <w:rtl/>
        </w:rPr>
        <w:t xml:space="preserve">א"צ לפרוש, אך בשעת הווסת עצמה פורש, אך </w:t>
      </w:r>
      <w:r w:rsidRPr="003B25FE">
        <w:rPr>
          <w:rFonts w:hint="cs"/>
          <w:b/>
          <w:bCs/>
          <w:sz w:val="20"/>
          <w:szCs w:val="20"/>
          <w:rtl/>
        </w:rPr>
        <w:t>הש"ך</w:t>
      </w:r>
      <w:r w:rsidRPr="003B25FE">
        <w:rPr>
          <w:rFonts w:hint="cs"/>
          <w:sz w:val="20"/>
          <w:szCs w:val="20"/>
          <w:rtl/>
        </w:rPr>
        <w:t xml:space="preserve"> דחה דבריו.</w:t>
      </w:r>
      <w:r w:rsidRPr="003B25FE">
        <w:rPr>
          <w:rFonts w:hint="cs"/>
          <w:sz w:val="20"/>
          <w:szCs w:val="20"/>
          <w:rtl/>
        </w:rPr>
        <w:br/>
        <w:t xml:space="preserve">7. כיצד מונים שנה מעוברת. </w:t>
      </w:r>
      <w:r w:rsidRPr="003B25FE">
        <w:rPr>
          <w:rFonts w:hint="cs"/>
          <w:b/>
          <w:bCs/>
          <w:sz w:val="20"/>
          <w:szCs w:val="20"/>
          <w:rtl/>
        </w:rPr>
        <w:t>ש"ך</w:t>
      </w:r>
      <w:r w:rsidRPr="003B25FE">
        <w:rPr>
          <w:rFonts w:hint="cs"/>
          <w:sz w:val="20"/>
          <w:szCs w:val="20"/>
          <w:rtl/>
        </w:rPr>
        <w:t xml:space="preserve">. יב' חודש. </w:t>
      </w:r>
      <w:r w:rsidRPr="003B25FE">
        <w:rPr>
          <w:rFonts w:hint="cs"/>
          <w:b/>
          <w:bCs/>
          <w:sz w:val="20"/>
          <w:szCs w:val="20"/>
          <w:rtl/>
        </w:rPr>
        <w:t>כו"פ</w:t>
      </w:r>
      <w:r w:rsidRPr="003B25FE">
        <w:rPr>
          <w:rFonts w:hint="cs"/>
          <w:sz w:val="20"/>
          <w:szCs w:val="20"/>
          <w:rtl/>
        </w:rPr>
        <w:t>. יג' חודש.</w:t>
      </w:r>
      <w:r w:rsidRPr="003B25FE">
        <w:rPr>
          <w:sz w:val="20"/>
          <w:szCs w:val="20"/>
          <w:rtl/>
        </w:rPr>
        <w:br/>
      </w:r>
      <w:r w:rsidRPr="003B25FE">
        <w:rPr>
          <w:rFonts w:hint="cs"/>
          <w:sz w:val="20"/>
          <w:szCs w:val="20"/>
          <w:rtl/>
        </w:rPr>
        <w:t xml:space="preserve">8. </w:t>
      </w:r>
      <w:r w:rsidRPr="003B25FE">
        <w:rPr>
          <w:rFonts w:hint="cs"/>
          <w:b/>
          <w:bCs/>
          <w:sz w:val="20"/>
          <w:szCs w:val="20"/>
          <w:rtl/>
        </w:rPr>
        <w:t>מהרש"ל</w:t>
      </w:r>
      <w:r w:rsidRPr="003B25FE">
        <w:rPr>
          <w:rFonts w:hint="cs"/>
          <w:sz w:val="20"/>
          <w:szCs w:val="20"/>
          <w:rtl/>
        </w:rPr>
        <w:t xml:space="preserve">. אם ראתה דם ג"פ קבעה ווסת. </w:t>
      </w:r>
      <w:r w:rsidRPr="003B25FE">
        <w:rPr>
          <w:rFonts w:hint="cs"/>
          <w:b/>
          <w:bCs/>
          <w:sz w:val="20"/>
          <w:szCs w:val="20"/>
          <w:rtl/>
        </w:rPr>
        <w:t>פת"ש</w:t>
      </w:r>
      <w:r w:rsidRPr="003B25FE">
        <w:rPr>
          <w:rFonts w:hint="cs"/>
          <w:sz w:val="20"/>
          <w:szCs w:val="20"/>
          <w:rtl/>
        </w:rPr>
        <w:t>. אם ראתה פעם אחת חוששת כדין ווסת שאינו קבוע.</w:t>
      </w:r>
      <w:r w:rsidRPr="003B25FE">
        <w:rPr>
          <w:sz w:val="20"/>
          <w:szCs w:val="20"/>
          <w:rtl/>
        </w:rPr>
        <w:br/>
      </w:r>
      <w:r>
        <w:rPr>
          <w:rFonts w:cs="Arial"/>
          <w:b/>
          <w:bCs/>
          <w:sz w:val="20"/>
          <w:szCs w:val="20"/>
          <w:rtl/>
        </w:rPr>
        <w:br/>
      </w:r>
      <w:r>
        <w:rPr>
          <w:rFonts w:cs="Arial" w:hint="cs"/>
          <w:b/>
          <w:bCs/>
          <w:sz w:val="20"/>
          <w:szCs w:val="20"/>
          <w:rtl/>
        </w:rPr>
        <w:t>הוספות</w:t>
      </w:r>
      <w:r>
        <w:rPr>
          <w:rFonts w:cs="Arial"/>
          <w:sz w:val="20"/>
          <w:szCs w:val="20"/>
          <w:u w:val="single"/>
          <w:rtl/>
        </w:rPr>
        <w:t xml:space="preserve"> </w:t>
      </w:r>
      <w:r>
        <w:rPr>
          <w:rFonts w:cs="Arial"/>
          <w:sz w:val="20"/>
          <w:szCs w:val="20"/>
          <w:u w:val="single"/>
          <w:rtl/>
        </w:rPr>
        <w:br/>
      </w:r>
      <w:r>
        <w:rPr>
          <w:rFonts w:cs="Arial" w:hint="cs"/>
          <w:sz w:val="20"/>
          <w:szCs w:val="20"/>
          <w:u w:val="single"/>
          <w:rtl/>
        </w:rPr>
        <w:t>האם בדיקת דם מועילה להחשיבה כמעוברת?</w:t>
      </w:r>
      <w:r>
        <w:rPr>
          <w:rFonts w:cs="Arial" w:hint="cs"/>
          <w:sz w:val="20"/>
          <w:szCs w:val="20"/>
          <w:u w:val="single"/>
          <w:rtl/>
        </w:rPr>
        <w:br/>
      </w:r>
      <w:r>
        <w:rPr>
          <w:rFonts w:cs="Arial" w:hint="cs"/>
          <w:sz w:val="20"/>
          <w:szCs w:val="20"/>
          <w:rtl/>
        </w:rPr>
        <w:t xml:space="preserve">א. </w:t>
      </w:r>
      <w:r w:rsidRPr="006927E4">
        <w:rPr>
          <w:rFonts w:cs="Arial" w:hint="cs"/>
          <w:b/>
          <w:bCs/>
          <w:sz w:val="20"/>
          <w:szCs w:val="20"/>
          <w:rtl/>
        </w:rPr>
        <w:t>שבט הלוי</w:t>
      </w:r>
      <w:r>
        <w:rPr>
          <w:rFonts w:cs="Arial" w:hint="cs"/>
          <w:sz w:val="20"/>
          <w:szCs w:val="20"/>
          <w:rtl/>
        </w:rPr>
        <w:t xml:space="preserve"> </w:t>
      </w:r>
      <w:r>
        <w:rPr>
          <w:rFonts w:cs="Arial"/>
          <w:sz w:val="20"/>
          <w:szCs w:val="20"/>
          <w:rtl/>
        </w:rPr>
        <w:t>–</w:t>
      </w:r>
      <w:r>
        <w:rPr>
          <w:rFonts w:cs="Arial" w:hint="cs"/>
          <w:sz w:val="20"/>
          <w:szCs w:val="20"/>
          <w:rtl/>
        </w:rPr>
        <w:t xml:space="preserve"> חכמים קבעו שיעור ג' חודשים להכרת העובר, ואין זה משום שעד אותו זמן אין יודעים שהיא מעוברת, אלא כך הוא שיעור חכמים. ולכן, אע"פ שבימינו ניתן לדעת שהיא מעוברת אף לפני ג' חודשים, כגון ע"י בדיקת דם, אפילו הכי דינה כשאר נשים לעניין פרישה סמוך לווסת.</w:t>
      </w:r>
      <w:r>
        <w:rPr>
          <w:rFonts w:cs="Arial"/>
          <w:sz w:val="20"/>
          <w:szCs w:val="20"/>
          <w:rtl/>
        </w:rPr>
        <w:br/>
      </w:r>
      <w:r>
        <w:rPr>
          <w:rFonts w:cs="Arial" w:hint="cs"/>
          <w:sz w:val="20"/>
          <w:szCs w:val="20"/>
          <w:rtl/>
        </w:rPr>
        <w:t xml:space="preserve">ב. </w:t>
      </w:r>
      <w:r w:rsidRPr="001F2E2A">
        <w:rPr>
          <w:rFonts w:cs="Arial" w:hint="cs"/>
          <w:b/>
          <w:bCs/>
          <w:sz w:val="20"/>
          <w:szCs w:val="20"/>
          <w:rtl/>
        </w:rPr>
        <w:t>אגרות משה</w:t>
      </w:r>
      <w:r>
        <w:rPr>
          <w:rFonts w:cs="Arial" w:hint="cs"/>
          <w:sz w:val="20"/>
          <w:szCs w:val="20"/>
          <w:rtl/>
        </w:rPr>
        <w:t xml:space="preserve"> </w:t>
      </w:r>
      <w:r w:rsidRPr="004C71AC">
        <w:rPr>
          <w:rFonts w:cs="Arial" w:hint="cs"/>
          <w:sz w:val="18"/>
          <w:szCs w:val="18"/>
          <w:rtl/>
        </w:rPr>
        <w:t xml:space="preserve">(יו"ד, ג, נב) </w:t>
      </w:r>
      <w:r>
        <w:rPr>
          <w:rFonts w:cs="Arial"/>
          <w:sz w:val="20"/>
          <w:szCs w:val="20"/>
          <w:rtl/>
        </w:rPr>
        <w:t>–</w:t>
      </w:r>
      <w:r>
        <w:rPr>
          <w:rFonts w:cs="Arial" w:hint="cs"/>
          <w:sz w:val="20"/>
          <w:szCs w:val="20"/>
          <w:rtl/>
        </w:rPr>
        <w:t xml:space="preserve"> ניתן לסמוך על בדיקה רפואית כדי להחשיבה מעוברת ומסולקת דמים.</w:t>
      </w:r>
      <w:r>
        <w:rPr>
          <w:rFonts w:cs="Arial"/>
          <w:sz w:val="20"/>
          <w:szCs w:val="20"/>
          <w:rtl/>
        </w:rPr>
        <w:br/>
      </w:r>
      <w:r w:rsidRPr="00784F52">
        <w:rPr>
          <w:rFonts w:cs="Arial" w:hint="cs"/>
          <w:b/>
          <w:bCs/>
          <w:sz w:val="20"/>
          <w:szCs w:val="20"/>
          <w:rtl/>
        </w:rPr>
        <w:t xml:space="preserve">הסבר </w:t>
      </w:r>
      <w:r>
        <w:rPr>
          <w:rFonts w:cs="Arial"/>
          <w:sz w:val="20"/>
          <w:szCs w:val="20"/>
          <w:rtl/>
        </w:rPr>
        <w:t>–</w:t>
      </w:r>
      <w:r>
        <w:rPr>
          <w:rFonts w:cs="Arial" w:hint="cs"/>
          <w:sz w:val="20"/>
          <w:szCs w:val="20"/>
          <w:rtl/>
        </w:rPr>
        <w:t xml:space="preserve"> אע"פ שמדינא דגמרא בעינן דווקא ג' חודשים, בימינו נשתנו הטבעים ורוב הנשים מסולקות דמים מתחילת העיבור. </w:t>
      </w:r>
      <w:r>
        <w:rPr>
          <w:rFonts w:cs="Arial" w:hint="cs"/>
          <w:sz w:val="18"/>
          <w:szCs w:val="18"/>
          <w:rtl/>
        </w:rPr>
        <w:t xml:space="preserve">[אמנם, </w:t>
      </w:r>
      <w:r w:rsidRPr="000B0349">
        <w:rPr>
          <w:rFonts w:cs="Arial" w:hint="cs"/>
          <w:b/>
          <w:bCs/>
          <w:sz w:val="18"/>
          <w:szCs w:val="18"/>
          <w:rtl/>
        </w:rPr>
        <w:t>טהרת הבית</w:t>
      </w:r>
      <w:r w:rsidRPr="000B0349">
        <w:rPr>
          <w:rFonts w:cs="Arial" w:hint="cs"/>
          <w:sz w:val="18"/>
          <w:szCs w:val="18"/>
          <w:rtl/>
        </w:rPr>
        <w:t xml:space="preserve"> כתב בסוף ההערה שאף הגר"מ פיינשטיין חזר בו בקונטרס מפסיקתו הנ"ל].</w:t>
      </w:r>
    </w:p>
    <w:p w:rsidR="00620060" w:rsidRDefault="00620060" w:rsidP="00620060">
      <w:pPr>
        <w:rPr>
          <w:rFonts w:cs="Arial"/>
          <w:sz w:val="20"/>
          <w:szCs w:val="20"/>
          <w:rtl/>
        </w:rPr>
      </w:pPr>
      <w:r>
        <w:rPr>
          <w:rFonts w:cs="Arial" w:hint="cs"/>
          <w:sz w:val="20"/>
          <w:szCs w:val="20"/>
          <w:u w:val="single"/>
          <w:rtl/>
        </w:rPr>
        <w:t>האם צריך שלושה חודשים שלמים (טהרת הבית)</w:t>
      </w:r>
      <w:r>
        <w:rPr>
          <w:rFonts w:cs="Arial" w:hint="cs"/>
          <w:sz w:val="20"/>
          <w:szCs w:val="20"/>
          <w:u w:val="single"/>
          <w:rtl/>
        </w:rPr>
        <w:br/>
      </w:r>
      <w:r>
        <w:rPr>
          <w:rFonts w:cs="Arial" w:hint="cs"/>
          <w:sz w:val="20"/>
          <w:szCs w:val="20"/>
          <w:rtl/>
        </w:rPr>
        <w:t xml:space="preserve">א. </w:t>
      </w:r>
      <w:r w:rsidRPr="007207DF">
        <w:rPr>
          <w:rFonts w:cs="Arial" w:hint="cs"/>
          <w:b/>
          <w:bCs/>
          <w:sz w:val="20"/>
          <w:szCs w:val="20"/>
          <w:rtl/>
        </w:rPr>
        <w:t>מי נידה</w:t>
      </w:r>
      <w:r>
        <w:rPr>
          <w:rFonts w:cs="Arial" w:hint="cs"/>
          <w:sz w:val="20"/>
          <w:szCs w:val="20"/>
          <w:rtl/>
        </w:rPr>
        <w:t xml:space="preserve"> </w:t>
      </w:r>
      <w:r>
        <w:rPr>
          <w:rFonts w:cs="Arial"/>
          <w:sz w:val="20"/>
          <w:szCs w:val="20"/>
          <w:rtl/>
        </w:rPr>
        <w:t>–</w:t>
      </w:r>
      <w:r>
        <w:rPr>
          <w:rFonts w:cs="Arial" w:hint="cs"/>
          <w:sz w:val="20"/>
          <w:szCs w:val="20"/>
          <w:rtl/>
        </w:rPr>
        <w:t xml:space="preserve"> אין צריך שלושה חודשים שלמים, אלא די ברוב ראשון, רוב אחרון ואמצעי שלם.</w:t>
      </w:r>
      <w:r>
        <w:rPr>
          <w:rFonts w:cs="Arial"/>
          <w:sz w:val="20"/>
          <w:szCs w:val="20"/>
          <w:rtl/>
        </w:rPr>
        <w:br/>
      </w:r>
      <w:r w:rsidRPr="00784F52">
        <w:rPr>
          <w:rFonts w:cs="Arial" w:hint="cs"/>
          <w:b/>
          <w:bCs/>
          <w:sz w:val="20"/>
          <w:szCs w:val="20"/>
          <w:rtl/>
        </w:rPr>
        <w:t xml:space="preserve">ראיה </w:t>
      </w:r>
      <w:r>
        <w:rPr>
          <w:rFonts w:cs="Arial"/>
          <w:sz w:val="20"/>
          <w:szCs w:val="20"/>
          <w:rtl/>
        </w:rPr>
        <w:t>–</w:t>
      </w:r>
      <w:r>
        <w:rPr>
          <w:rFonts w:cs="Arial" w:hint="cs"/>
          <w:sz w:val="20"/>
          <w:szCs w:val="20"/>
          <w:rtl/>
        </w:rPr>
        <w:t xml:space="preserve"> חז"ל למדו את הפסוק "ויהי כמשלוש חודשים" שלא היו אלו ג' חודשים שלמים.</w:t>
      </w:r>
      <w:r>
        <w:rPr>
          <w:rFonts w:cs="Arial" w:hint="cs"/>
          <w:sz w:val="20"/>
          <w:szCs w:val="20"/>
          <w:rtl/>
        </w:rPr>
        <w:br/>
        <w:t xml:space="preserve">ב. </w:t>
      </w:r>
      <w:r w:rsidRPr="007207DF">
        <w:rPr>
          <w:rFonts w:cs="Arial" w:hint="cs"/>
          <w:b/>
          <w:bCs/>
          <w:sz w:val="20"/>
          <w:szCs w:val="20"/>
          <w:rtl/>
        </w:rPr>
        <w:t>שבט הלוי</w:t>
      </w:r>
      <w:r>
        <w:rPr>
          <w:rFonts w:cs="Arial" w:hint="cs"/>
          <w:sz w:val="20"/>
          <w:szCs w:val="20"/>
          <w:rtl/>
        </w:rPr>
        <w:t xml:space="preserve">, </w:t>
      </w:r>
      <w:r w:rsidRPr="007207DF">
        <w:rPr>
          <w:rFonts w:cs="Arial" w:hint="cs"/>
          <w:b/>
          <w:bCs/>
          <w:sz w:val="20"/>
          <w:szCs w:val="20"/>
          <w:rtl/>
        </w:rPr>
        <w:t>בדי השולחן וטהרת הבית</w:t>
      </w:r>
      <w:r>
        <w:rPr>
          <w:rFonts w:cs="Arial" w:hint="cs"/>
          <w:sz w:val="20"/>
          <w:szCs w:val="20"/>
          <w:rtl/>
        </w:rPr>
        <w:t xml:space="preserve"> </w:t>
      </w:r>
      <w:r>
        <w:rPr>
          <w:rFonts w:cs="Arial"/>
          <w:sz w:val="20"/>
          <w:szCs w:val="20"/>
          <w:rtl/>
        </w:rPr>
        <w:t>–</w:t>
      </w:r>
      <w:r>
        <w:rPr>
          <w:rFonts w:cs="Arial" w:hint="cs"/>
          <w:sz w:val="20"/>
          <w:szCs w:val="20"/>
          <w:rtl/>
        </w:rPr>
        <w:t xml:space="preserve"> יש למנות ג' חודשים שלמים, ויש לחשב מליל טבילה עד סוף ג'.</w:t>
      </w:r>
    </w:p>
    <w:p w:rsidR="00620060" w:rsidRDefault="00620060" w:rsidP="00620060">
      <w:pPr>
        <w:rPr>
          <w:rFonts w:cs="Arial"/>
          <w:sz w:val="20"/>
          <w:szCs w:val="20"/>
          <w:rtl/>
        </w:rPr>
      </w:pPr>
      <w:r>
        <w:rPr>
          <w:rFonts w:cs="Arial" w:hint="cs"/>
          <w:sz w:val="20"/>
          <w:szCs w:val="20"/>
          <w:u w:val="single"/>
          <w:rtl/>
        </w:rPr>
        <w:lastRenderedPageBreak/>
        <w:t>דין אשה שאינה מניקה בימינו</w:t>
      </w:r>
      <w:r>
        <w:rPr>
          <w:rFonts w:cs="Arial"/>
          <w:sz w:val="20"/>
          <w:szCs w:val="20"/>
          <w:u w:val="single"/>
          <w:rtl/>
        </w:rPr>
        <w:br/>
      </w:r>
      <w:r w:rsidRPr="00CF284E">
        <w:rPr>
          <w:rFonts w:cs="Arial" w:hint="cs"/>
          <w:b/>
          <w:bCs/>
          <w:sz w:val="20"/>
          <w:szCs w:val="20"/>
          <w:rtl/>
        </w:rPr>
        <w:t>טהרת הבית ושבט הלוי</w:t>
      </w:r>
      <w:r>
        <w:rPr>
          <w:rFonts w:cs="Arial" w:hint="cs"/>
          <w:sz w:val="20"/>
          <w:szCs w:val="20"/>
          <w:rtl/>
        </w:rPr>
        <w:t xml:space="preserve"> </w:t>
      </w:r>
      <w:r>
        <w:rPr>
          <w:rFonts w:cs="Arial"/>
          <w:sz w:val="20"/>
          <w:szCs w:val="20"/>
          <w:rtl/>
        </w:rPr>
        <w:t>–</w:t>
      </w:r>
      <w:r>
        <w:rPr>
          <w:rFonts w:cs="Arial" w:hint="cs"/>
          <w:sz w:val="20"/>
          <w:szCs w:val="20"/>
          <w:rtl/>
        </w:rPr>
        <w:t xml:space="preserve"> אע"פ שהשו"ע פוסק לגבי מינקת שאפילו מת הוולד דינה מסולקת דמים, מכל מקום עינינו הרואות שבימינו נשתנו הטבעים, ורק אשה מינקת בפועל דינה מסולקת דמים, אך אם אינה מניקה חוששת לעונתה.</w:t>
      </w:r>
    </w:p>
    <w:p w:rsidR="00620060" w:rsidRDefault="00620060" w:rsidP="00620060">
      <w:pPr>
        <w:rPr>
          <w:sz w:val="20"/>
          <w:szCs w:val="20"/>
          <w:rtl/>
        </w:rPr>
      </w:pPr>
      <w:r>
        <w:rPr>
          <w:sz w:val="20"/>
          <w:szCs w:val="20"/>
          <w:rtl/>
        </w:rPr>
        <w:br/>
      </w:r>
      <w:r>
        <w:rPr>
          <w:rFonts w:hint="cs"/>
          <w:b/>
          <w:bCs/>
          <w:sz w:val="20"/>
          <w:szCs w:val="20"/>
          <w:rtl/>
        </w:rPr>
        <w:t xml:space="preserve">סעיף ח </w:t>
      </w:r>
      <w:r>
        <w:rPr>
          <w:b/>
          <w:bCs/>
          <w:sz w:val="20"/>
          <w:szCs w:val="20"/>
          <w:rtl/>
        </w:rPr>
        <w:t>–</w:t>
      </w:r>
      <w:r>
        <w:rPr>
          <w:rFonts w:hint="cs"/>
          <w:b/>
          <w:bCs/>
          <w:sz w:val="20"/>
          <w:szCs w:val="20"/>
          <w:rtl/>
        </w:rPr>
        <w:t xml:space="preserve"> חרדה מסלקת דמים</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משנה </w:t>
      </w:r>
      <w:r w:rsidRPr="00013FD1">
        <w:rPr>
          <w:rFonts w:cs="Arial" w:hint="cs"/>
          <w:sz w:val="20"/>
          <w:szCs w:val="20"/>
          <w:rtl/>
        </w:rPr>
        <w:t>נידה (לט.) "רבי מאיר</w:t>
      </w:r>
      <w:r w:rsidRPr="00013FD1">
        <w:rPr>
          <w:rFonts w:cs="Arial"/>
          <w:sz w:val="20"/>
          <w:szCs w:val="20"/>
          <w:rtl/>
        </w:rPr>
        <w:t xml:space="preserve"> </w:t>
      </w:r>
      <w:r w:rsidRPr="00013FD1">
        <w:rPr>
          <w:rFonts w:cs="Arial" w:hint="cs"/>
          <w:sz w:val="20"/>
          <w:szCs w:val="20"/>
          <w:rtl/>
        </w:rPr>
        <w:t>אומר</w:t>
      </w:r>
      <w:r w:rsidRPr="00013FD1">
        <w:rPr>
          <w:rFonts w:cs="Arial"/>
          <w:sz w:val="20"/>
          <w:szCs w:val="20"/>
          <w:rtl/>
        </w:rPr>
        <w:t xml:space="preserve">: </w:t>
      </w:r>
      <w:r w:rsidRPr="00013FD1">
        <w:rPr>
          <w:rFonts w:cs="Arial" w:hint="cs"/>
          <w:sz w:val="20"/>
          <w:szCs w:val="20"/>
          <w:rtl/>
        </w:rPr>
        <w:t>אם</w:t>
      </w:r>
      <w:r w:rsidRPr="00013FD1">
        <w:rPr>
          <w:rFonts w:cs="Arial"/>
          <w:sz w:val="20"/>
          <w:szCs w:val="20"/>
          <w:rtl/>
        </w:rPr>
        <w:t xml:space="preserve"> </w:t>
      </w:r>
      <w:r w:rsidRPr="00013FD1">
        <w:rPr>
          <w:rFonts w:cs="Arial" w:hint="cs"/>
          <w:sz w:val="20"/>
          <w:szCs w:val="20"/>
          <w:rtl/>
        </w:rPr>
        <w:t>היתה</w:t>
      </w:r>
      <w:r w:rsidRPr="00013FD1">
        <w:rPr>
          <w:rFonts w:cs="Arial"/>
          <w:sz w:val="20"/>
          <w:szCs w:val="20"/>
          <w:rtl/>
        </w:rPr>
        <w:t xml:space="preserve"> </w:t>
      </w:r>
      <w:r w:rsidRPr="00013FD1">
        <w:rPr>
          <w:rFonts w:cs="Arial" w:hint="cs"/>
          <w:sz w:val="20"/>
          <w:szCs w:val="20"/>
          <w:rtl/>
        </w:rPr>
        <w:t>במחב</w:t>
      </w:r>
      <w:r>
        <w:rPr>
          <w:rFonts w:cs="Arial" w:hint="cs"/>
          <w:sz w:val="20"/>
          <w:szCs w:val="20"/>
          <w:rtl/>
        </w:rPr>
        <w:t>ו</w:t>
      </w:r>
      <w:r w:rsidRPr="00013FD1">
        <w:rPr>
          <w:rFonts w:cs="Arial" w:hint="cs"/>
          <w:sz w:val="20"/>
          <w:szCs w:val="20"/>
          <w:rtl/>
        </w:rPr>
        <w:t>א</w:t>
      </w:r>
      <w:r w:rsidRPr="00013FD1">
        <w:rPr>
          <w:rFonts w:cs="Arial"/>
          <w:sz w:val="20"/>
          <w:szCs w:val="20"/>
          <w:rtl/>
        </w:rPr>
        <w:t xml:space="preserve">, </w:t>
      </w:r>
      <w:r w:rsidRPr="00013FD1">
        <w:rPr>
          <w:rFonts w:cs="Arial" w:hint="cs"/>
          <w:sz w:val="20"/>
          <w:szCs w:val="20"/>
          <w:rtl/>
        </w:rPr>
        <w:t>והגיע</w:t>
      </w:r>
      <w:r w:rsidRPr="00013FD1">
        <w:rPr>
          <w:rFonts w:cs="Arial"/>
          <w:sz w:val="20"/>
          <w:szCs w:val="20"/>
          <w:rtl/>
        </w:rPr>
        <w:t xml:space="preserve"> </w:t>
      </w:r>
      <w:r w:rsidRPr="00013FD1">
        <w:rPr>
          <w:rFonts w:cs="Arial" w:hint="cs"/>
          <w:sz w:val="20"/>
          <w:szCs w:val="20"/>
          <w:rtl/>
        </w:rPr>
        <w:t>שעת</w:t>
      </w:r>
      <w:r w:rsidRPr="00013FD1">
        <w:rPr>
          <w:rFonts w:cs="Arial"/>
          <w:sz w:val="20"/>
          <w:szCs w:val="20"/>
          <w:rtl/>
        </w:rPr>
        <w:t xml:space="preserve"> </w:t>
      </w:r>
      <w:r w:rsidRPr="00013FD1">
        <w:rPr>
          <w:rFonts w:cs="Arial" w:hint="cs"/>
          <w:sz w:val="20"/>
          <w:szCs w:val="20"/>
          <w:rtl/>
        </w:rPr>
        <w:t>וסתה</w:t>
      </w:r>
      <w:r w:rsidRPr="00013FD1">
        <w:rPr>
          <w:rFonts w:cs="Arial"/>
          <w:sz w:val="20"/>
          <w:szCs w:val="20"/>
          <w:rtl/>
        </w:rPr>
        <w:t xml:space="preserve"> </w:t>
      </w:r>
      <w:r w:rsidRPr="00013FD1">
        <w:rPr>
          <w:rFonts w:cs="Arial" w:hint="cs"/>
          <w:sz w:val="20"/>
          <w:szCs w:val="20"/>
          <w:rtl/>
        </w:rPr>
        <w:t>ולא</w:t>
      </w:r>
      <w:r w:rsidRPr="00013FD1">
        <w:rPr>
          <w:rFonts w:cs="Arial"/>
          <w:sz w:val="20"/>
          <w:szCs w:val="20"/>
          <w:rtl/>
        </w:rPr>
        <w:t xml:space="preserve"> </w:t>
      </w:r>
      <w:r w:rsidRPr="00013FD1">
        <w:rPr>
          <w:rFonts w:cs="Arial" w:hint="cs"/>
          <w:sz w:val="20"/>
          <w:szCs w:val="20"/>
          <w:rtl/>
        </w:rPr>
        <w:t>בדקה</w:t>
      </w:r>
      <w:r w:rsidRPr="00013FD1">
        <w:rPr>
          <w:rFonts w:cs="Arial"/>
          <w:sz w:val="20"/>
          <w:szCs w:val="20"/>
          <w:rtl/>
        </w:rPr>
        <w:t xml:space="preserve"> - </w:t>
      </w:r>
      <w:r w:rsidRPr="00013FD1">
        <w:rPr>
          <w:rFonts w:cs="Arial" w:hint="cs"/>
          <w:sz w:val="20"/>
          <w:szCs w:val="20"/>
          <w:rtl/>
        </w:rPr>
        <w:t>הרי</w:t>
      </w:r>
      <w:r w:rsidRPr="00013FD1">
        <w:rPr>
          <w:rFonts w:cs="Arial"/>
          <w:sz w:val="20"/>
          <w:szCs w:val="20"/>
          <w:rtl/>
        </w:rPr>
        <w:t xml:space="preserve"> </w:t>
      </w:r>
      <w:r w:rsidRPr="00013FD1">
        <w:rPr>
          <w:rFonts w:cs="Arial" w:hint="cs"/>
          <w:sz w:val="20"/>
          <w:szCs w:val="20"/>
          <w:rtl/>
        </w:rPr>
        <w:t>זו</w:t>
      </w:r>
      <w:r w:rsidRPr="00013FD1">
        <w:rPr>
          <w:rFonts w:cs="Arial"/>
          <w:sz w:val="20"/>
          <w:szCs w:val="20"/>
          <w:rtl/>
        </w:rPr>
        <w:t xml:space="preserve"> </w:t>
      </w:r>
      <w:r w:rsidRPr="00013FD1">
        <w:rPr>
          <w:rFonts w:cs="Arial" w:hint="cs"/>
          <w:sz w:val="20"/>
          <w:szCs w:val="20"/>
          <w:rtl/>
        </w:rPr>
        <w:t>טהורה</w:t>
      </w:r>
      <w:r w:rsidRPr="00013FD1">
        <w:rPr>
          <w:rFonts w:cs="Arial"/>
          <w:sz w:val="20"/>
          <w:szCs w:val="20"/>
          <w:rtl/>
        </w:rPr>
        <w:t xml:space="preserve">, </w:t>
      </w:r>
      <w:r w:rsidRPr="00013FD1">
        <w:rPr>
          <w:rFonts w:cs="Arial" w:hint="cs"/>
          <w:sz w:val="20"/>
          <w:szCs w:val="20"/>
          <w:rtl/>
        </w:rPr>
        <w:t>מפני</w:t>
      </w:r>
      <w:r w:rsidRPr="00013FD1">
        <w:rPr>
          <w:rFonts w:cs="Arial"/>
          <w:sz w:val="20"/>
          <w:szCs w:val="20"/>
          <w:rtl/>
        </w:rPr>
        <w:t xml:space="preserve"> </w:t>
      </w:r>
      <w:r w:rsidRPr="00013FD1">
        <w:rPr>
          <w:rFonts w:cs="Arial" w:hint="cs"/>
          <w:sz w:val="20"/>
          <w:szCs w:val="20"/>
          <w:rtl/>
        </w:rPr>
        <w:t>שחרדה</w:t>
      </w:r>
      <w:r w:rsidRPr="00013FD1">
        <w:rPr>
          <w:rFonts w:cs="Arial"/>
          <w:sz w:val="20"/>
          <w:szCs w:val="20"/>
          <w:rtl/>
        </w:rPr>
        <w:t xml:space="preserve"> </w:t>
      </w:r>
      <w:r w:rsidRPr="00013FD1">
        <w:rPr>
          <w:rFonts w:cs="Arial" w:hint="cs"/>
          <w:sz w:val="20"/>
          <w:szCs w:val="20"/>
          <w:rtl/>
        </w:rPr>
        <w:t>מסלקת</w:t>
      </w:r>
      <w:r w:rsidRPr="00013FD1">
        <w:rPr>
          <w:rFonts w:cs="Arial"/>
          <w:sz w:val="20"/>
          <w:szCs w:val="20"/>
          <w:rtl/>
        </w:rPr>
        <w:t xml:space="preserve"> </w:t>
      </w:r>
      <w:r w:rsidRPr="00013FD1">
        <w:rPr>
          <w:rFonts w:cs="Arial" w:hint="cs"/>
          <w:sz w:val="20"/>
          <w:szCs w:val="20"/>
          <w:rtl/>
        </w:rPr>
        <w:t>את</w:t>
      </w:r>
      <w:r w:rsidRPr="00013FD1">
        <w:rPr>
          <w:rFonts w:cs="Arial"/>
          <w:sz w:val="20"/>
          <w:szCs w:val="20"/>
          <w:rtl/>
        </w:rPr>
        <w:t xml:space="preserve"> </w:t>
      </w:r>
      <w:r w:rsidRPr="00013FD1">
        <w:rPr>
          <w:rFonts w:cs="Arial" w:hint="cs"/>
          <w:sz w:val="20"/>
          <w:szCs w:val="20"/>
          <w:rtl/>
        </w:rPr>
        <w:t>הדמים"</w:t>
      </w:r>
      <w:r w:rsidRPr="00013FD1">
        <w:rPr>
          <w:rFonts w:cs="Arial"/>
          <w:sz w:val="20"/>
          <w:szCs w:val="20"/>
          <w:rtl/>
        </w:rPr>
        <w:t>.</w:t>
      </w:r>
      <w:r>
        <w:rPr>
          <w:rStyle w:val="a5"/>
          <w:sz w:val="20"/>
          <w:szCs w:val="20"/>
          <w:rtl/>
        </w:rPr>
        <w:footnoteReference w:id="40"/>
      </w:r>
      <w:r>
        <w:rPr>
          <w:rFonts w:hint="cs"/>
          <w:sz w:val="20"/>
          <w:szCs w:val="20"/>
          <w:rtl/>
        </w:rPr>
        <w:br/>
      </w:r>
      <w:r w:rsidRPr="00013FD1">
        <w:rPr>
          <w:rFonts w:hint="cs"/>
          <w:b/>
          <w:bCs/>
          <w:sz w:val="20"/>
          <w:szCs w:val="20"/>
          <w:rtl/>
        </w:rPr>
        <w:t xml:space="preserve">גמרא </w:t>
      </w:r>
      <w:r>
        <w:rPr>
          <w:rFonts w:hint="cs"/>
          <w:sz w:val="20"/>
          <w:szCs w:val="20"/>
          <w:rtl/>
        </w:rPr>
        <w:t>שם (ט.) "</w:t>
      </w:r>
      <w:r w:rsidRPr="00013FD1">
        <w:rPr>
          <w:rFonts w:cs="Arial" w:hint="cs"/>
          <w:sz w:val="20"/>
          <w:szCs w:val="20"/>
          <w:rtl/>
        </w:rPr>
        <w:t>בעא</w:t>
      </w:r>
      <w:r w:rsidRPr="00013FD1">
        <w:rPr>
          <w:rFonts w:cs="Arial"/>
          <w:sz w:val="20"/>
          <w:szCs w:val="20"/>
          <w:rtl/>
        </w:rPr>
        <w:t xml:space="preserve"> </w:t>
      </w:r>
      <w:r w:rsidRPr="00013FD1">
        <w:rPr>
          <w:rFonts w:cs="Arial" w:hint="cs"/>
          <w:sz w:val="20"/>
          <w:szCs w:val="20"/>
          <w:rtl/>
        </w:rPr>
        <w:t>מיניה</w:t>
      </w:r>
      <w:r w:rsidRPr="00013FD1">
        <w:rPr>
          <w:rFonts w:cs="Arial"/>
          <w:sz w:val="20"/>
          <w:szCs w:val="20"/>
          <w:rtl/>
        </w:rPr>
        <w:t xml:space="preserve"> </w:t>
      </w:r>
      <w:r w:rsidRPr="00013FD1">
        <w:rPr>
          <w:rFonts w:cs="Arial" w:hint="cs"/>
          <w:sz w:val="20"/>
          <w:szCs w:val="20"/>
          <w:rtl/>
        </w:rPr>
        <w:t>ההוא</w:t>
      </w:r>
      <w:r w:rsidRPr="00013FD1">
        <w:rPr>
          <w:rFonts w:cs="Arial"/>
          <w:sz w:val="20"/>
          <w:szCs w:val="20"/>
          <w:rtl/>
        </w:rPr>
        <w:t xml:space="preserve"> </w:t>
      </w:r>
      <w:r w:rsidRPr="00013FD1">
        <w:rPr>
          <w:rFonts w:cs="Arial" w:hint="cs"/>
          <w:sz w:val="20"/>
          <w:szCs w:val="20"/>
          <w:rtl/>
        </w:rPr>
        <w:t>סבא</w:t>
      </w:r>
      <w:r w:rsidRPr="00013FD1">
        <w:rPr>
          <w:rFonts w:cs="Arial"/>
          <w:sz w:val="20"/>
          <w:szCs w:val="20"/>
          <w:rtl/>
        </w:rPr>
        <w:t xml:space="preserve"> </w:t>
      </w:r>
      <w:r w:rsidRPr="00013FD1">
        <w:rPr>
          <w:rFonts w:cs="Arial" w:hint="cs"/>
          <w:sz w:val="20"/>
          <w:szCs w:val="20"/>
          <w:rtl/>
        </w:rPr>
        <w:t>מר</w:t>
      </w:r>
      <w:r w:rsidRPr="00013FD1">
        <w:rPr>
          <w:rFonts w:cs="Arial"/>
          <w:sz w:val="20"/>
          <w:szCs w:val="20"/>
          <w:rtl/>
        </w:rPr>
        <w:t xml:space="preserve">' </w:t>
      </w:r>
      <w:r w:rsidRPr="00013FD1">
        <w:rPr>
          <w:rFonts w:cs="Arial" w:hint="cs"/>
          <w:sz w:val="20"/>
          <w:szCs w:val="20"/>
          <w:rtl/>
        </w:rPr>
        <w:t>יוחנן</w:t>
      </w:r>
      <w:r w:rsidRPr="00013FD1">
        <w:rPr>
          <w:rFonts w:cs="Arial"/>
          <w:sz w:val="20"/>
          <w:szCs w:val="20"/>
          <w:rtl/>
        </w:rPr>
        <w:t xml:space="preserve">: </w:t>
      </w:r>
      <w:r w:rsidRPr="00013FD1">
        <w:rPr>
          <w:rFonts w:cs="Arial" w:hint="cs"/>
          <w:sz w:val="20"/>
          <w:szCs w:val="20"/>
          <w:rtl/>
        </w:rPr>
        <w:t>הגיע</w:t>
      </w:r>
      <w:r w:rsidRPr="00013FD1">
        <w:rPr>
          <w:rFonts w:cs="Arial"/>
          <w:sz w:val="20"/>
          <w:szCs w:val="20"/>
          <w:rtl/>
        </w:rPr>
        <w:t xml:space="preserve"> </w:t>
      </w:r>
      <w:r w:rsidRPr="00013FD1">
        <w:rPr>
          <w:rFonts w:cs="Arial" w:hint="cs"/>
          <w:sz w:val="20"/>
          <w:szCs w:val="20"/>
          <w:rtl/>
        </w:rPr>
        <w:t>עת</w:t>
      </w:r>
      <w:r w:rsidRPr="00013FD1">
        <w:rPr>
          <w:rFonts w:cs="Arial"/>
          <w:sz w:val="20"/>
          <w:szCs w:val="20"/>
          <w:rtl/>
        </w:rPr>
        <w:t xml:space="preserve"> </w:t>
      </w:r>
      <w:r w:rsidRPr="00013FD1">
        <w:rPr>
          <w:rFonts w:cs="Arial" w:hint="cs"/>
          <w:sz w:val="20"/>
          <w:szCs w:val="20"/>
          <w:rtl/>
        </w:rPr>
        <w:t>וסתה</w:t>
      </w:r>
      <w:r w:rsidRPr="00013FD1">
        <w:rPr>
          <w:rFonts w:cs="Arial"/>
          <w:sz w:val="20"/>
          <w:szCs w:val="20"/>
          <w:rtl/>
        </w:rPr>
        <w:t xml:space="preserve"> </w:t>
      </w:r>
      <w:r w:rsidRPr="00013FD1">
        <w:rPr>
          <w:rFonts w:cs="Arial" w:hint="cs"/>
          <w:sz w:val="20"/>
          <w:szCs w:val="20"/>
          <w:rtl/>
        </w:rPr>
        <w:t>בימי</w:t>
      </w:r>
      <w:r w:rsidRPr="00013FD1">
        <w:rPr>
          <w:rFonts w:cs="Arial"/>
          <w:sz w:val="20"/>
          <w:szCs w:val="20"/>
          <w:rtl/>
        </w:rPr>
        <w:t xml:space="preserve"> </w:t>
      </w:r>
      <w:r w:rsidRPr="00013FD1">
        <w:rPr>
          <w:rFonts w:cs="Arial" w:hint="cs"/>
          <w:sz w:val="20"/>
          <w:szCs w:val="20"/>
          <w:rtl/>
        </w:rPr>
        <w:t>עבורה</w:t>
      </w:r>
      <w:r w:rsidRPr="00013FD1">
        <w:rPr>
          <w:rFonts w:cs="Arial"/>
          <w:sz w:val="20"/>
          <w:szCs w:val="20"/>
          <w:rtl/>
        </w:rPr>
        <w:t xml:space="preserve"> </w:t>
      </w:r>
      <w:r w:rsidRPr="00013FD1">
        <w:rPr>
          <w:rFonts w:cs="Arial" w:hint="cs"/>
          <w:sz w:val="20"/>
          <w:szCs w:val="20"/>
          <w:rtl/>
        </w:rPr>
        <w:t>ולא</w:t>
      </w:r>
      <w:r w:rsidRPr="00013FD1">
        <w:rPr>
          <w:rFonts w:cs="Arial"/>
          <w:sz w:val="20"/>
          <w:szCs w:val="20"/>
          <w:rtl/>
        </w:rPr>
        <w:t xml:space="preserve"> </w:t>
      </w:r>
      <w:r w:rsidRPr="00013FD1">
        <w:rPr>
          <w:rFonts w:cs="Arial" w:hint="cs"/>
          <w:sz w:val="20"/>
          <w:szCs w:val="20"/>
          <w:rtl/>
        </w:rPr>
        <w:t>בדקה</w:t>
      </w:r>
      <w:r w:rsidRPr="00013FD1">
        <w:rPr>
          <w:rFonts w:cs="Arial"/>
          <w:sz w:val="20"/>
          <w:szCs w:val="20"/>
          <w:rtl/>
        </w:rPr>
        <w:t xml:space="preserve">, </w:t>
      </w:r>
      <w:r w:rsidRPr="00013FD1">
        <w:rPr>
          <w:rFonts w:cs="Arial" w:hint="cs"/>
          <w:sz w:val="20"/>
          <w:szCs w:val="20"/>
          <w:rtl/>
        </w:rPr>
        <w:t>מהו</w:t>
      </w:r>
      <w:r w:rsidRPr="00013FD1">
        <w:rPr>
          <w:rFonts w:cs="Arial"/>
          <w:sz w:val="20"/>
          <w:szCs w:val="20"/>
          <w:rtl/>
        </w:rPr>
        <w:t xml:space="preserve">? </w:t>
      </w:r>
      <w:r w:rsidRPr="00013FD1">
        <w:rPr>
          <w:rFonts w:cs="Arial" w:hint="cs"/>
          <w:sz w:val="20"/>
          <w:szCs w:val="20"/>
          <w:rtl/>
        </w:rPr>
        <w:t>קא</w:t>
      </w:r>
      <w:r w:rsidRPr="00013FD1">
        <w:rPr>
          <w:rFonts w:cs="Arial"/>
          <w:sz w:val="20"/>
          <w:szCs w:val="20"/>
          <w:rtl/>
        </w:rPr>
        <w:t xml:space="preserve"> </w:t>
      </w:r>
      <w:r w:rsidRPr="00013FD1">
        <w:rPr>
          <w:rFonts w:cs="Arial" w:hint="cs"/>
          <w:sz w:val="20"/>
          <w:szCs w:val="20"/>
          <w:rtl/>
        </w:rPr>
        <w:t>מיבעיא</w:t>
      </w:r>
      <w:r w:rsidRPr="00013FD1">
        <w:rPr>
          <w:rFonts w:cs="Arial"/>
          <w:sz w:val="20"/>
          <w:szCs w:val="20"/>
          <w:rtl/>
        </w:rPr>
        <w:t xml:space="preserve"> </w:t>
      </w:r>
      <w:r w:rsidRPr="00013FD1">
        <w:rPr>
          <w:rFonts w:cs="Arial" w:hint="cs"/>
          <w:sz w:val="20"/>
          <w:szCs w:val="20"/>
          <w:rtl/>
        </w:rPr>
        <w:t>לי</w:t>
      </w:r>
      <w:r w:rsidRPr="00013FD1">
        <w:rPr>
          <w:rFonts w:cs="Arial"/>
          <w:sz w:val="20"/>
          <w:szCs w:val="20"/>
          <w:rtl/>
        </w:rPr>
        <w:t xml:space="preserve"> </w:t>
      </w:r>
      <w:r w:rsidRPr="00013FD1">
        <w:rPr>
          <w:rFonts w:cs="Arial" w:hint="cs"/>
          <w:sz w:val="20"/>
          <w:szCs w:val="20"/>
          <w:rtl/>
        </w:rPr>
        <w:t>אליבא</w:t>
      </w:r>
      <w:r w:rsidRPr="00013FD1">
        <w:rPr>
          <w:rFonts w:cs="Arial"/>
          <w:sz w:val="20"/>
          <w:szCs w:val="20"/>
          <w:rtl/>
        </w:rPr>
        <w:t xml:space="preserve"> </w:t>
      </w:r>
      <w:r w:rsidRPr="00013FD1">
        <w:rPr>
          <w:rFonts w:cs="Arial" w:hint="cs"/>
          <w:sz w:val="20"/>
          <w:szCs w:val="20"/>
          <w:rtl/>
        </w:rPr>
        <w:t>דמ</w:t>
      </w:r>
      <w:r w:rsidRPr="00013FD1">
        <w:rPr>
          <w:rFonts w:cs="Arial"/>
          <w:sz w:val="20"/>
          <w:szCs w:val="20"/>
          <w:rtl/>
        </w:rPr>
        <w:t>"</w:t>
      </w:r>
      <w:r w:rsidRPr="00013FD1">
        <w:rPr>
          <w:rFonts w:cs="Arial" w:hint="cs"/>
          <w:sz w:val="20"/>
          <w:szCs w:val="20"/>
          <w:rtl/>
        </w:rPr>
        <w:t>ד</w:t>
      </w:r>
      <w:r w:rsidRPr="00013FD1">
        <w:rPr>
          <w:rFonts w:cs="Arial"/>
          <w:sz w:val="20"/>
          <w:szCs w:val="20"/>
          <w:rtl/>
        </w:rPr>
        <w:t xml:space="preserve"> </w:t>
      </w:r>
      <w:r w:rsidRPr="00013FD1">
        <w:rPr>
          <w:rFonts w:cs="Arial" w:hint="cs"/>
          <w:sz w:val="20"/>
          <w:szCs w:val="20"/>
          <w:rtl/>
        </w:rPr>
        <w:t>וסתות</w:t>
      </w:r>
      <w:r w:rsidRPr="00013FD1">
        <w:rPr>
          <w:rFonts w:cs="Arial"/>
          <w:sz w:val="20"/>
          <w:szCs w:val="20"/>
          <w:rtl/>
        </w:rPr>
        <w:t xml:space="preserve"> </w:t>
      </w:r>
      <w:r w:rsidRPr="00013FD1">
        <w:rPr>
          <w:rFonts w:cs="Arial" w:hint="cs"/>
          <w:sz w:val="20"/>
          <w:szCs w:val="20"/>
          <w:rtl/>
        </w:rPr>
        <w:t>דאורייתא</w:t>
      </w:r>
      <w:r w:rsidRPr="00013FD1">
        <w:rPr>
          <w:rFonts w:cs="Arial"/>
          <w:sz w:val="20"/>
          <w:szCs w:val="20"/>
          <w:rtl/>
        </w:rPr>
        <w:t xml:space="preserve">. </w:t>
      </w:r>
      <w:r w:rsidRPr="00013FD1">
        <w:rPr>
          <w:rFonts w:cs="Arial" w:hint="cs"/>
          <w:sz w:val="20"/>
          <w:szCs w:val="20"/>
          <w:rtl/>
        </w:rPr>
        <w:t>מאי</w:t>
      </w:r>
      <w:r w:rsidRPr="00013FD1">
        <w:rPr>
          <w:rFonts w:cs="Arial"/>
          <w:sz w:val="20"/>
          <w:szCs w:val="20"/>
          <w:rtl/>
        </w:rPr>
        <w:t xml:space="preserve">! </w:t>
      </w:r>
      <w:r w:rsidRPr="00013FD1">
        <w:rPr>
          <w:rFonts w:cs="Arial" w:hint="cs"/>
          <w:sz w:val="20"/>
          <w:szCs w:val="20"/>
          <w:rtl/>
        </w:rPr>
        <w:t>כיון</w:t>
      </w:r>
      <w:r w:rsidRPr="00013FD1">
        <w:rPr>
          <w:rFonts w:cs="Arial"/>
          <w:sz w:val="20"/>
          <w:szCs w:val="20"/>
          <w:rtl/>
        </w:rPr>
        <w:t xml:space="preserve"> </w:t>
      </w:r>
      <w:r w:rsidRPr="00013FD1">
        <w:rPr>
          <w:rFonts w:cs="Arial" w:hint="cs"/>
          <w:sz w:val="20"/>
          <w:szCs w:val="20"/>
          <w:rtl/>
        </w:rPr>
        <w:t>דוסתות</w:t>
      </w:r>
      <w:r w:rsidRPr="00013FD1">
        <w:rPr>
          <w:rFonts w:cs="Arial"/>
          <w:sz w:val="20"/>
          <w:szCs w:val="20"/>
          <w:rtl/>
        </w:rPr>
        <w:t xml:space="preserve"> </w:t>
      </w:r>
      <w:r w:rsidRPr="00013FD1">
        <w:rPr>
          <w:rFonts w:cs="Arial" w:hint="cs"/>
          <w:sz w:val="20"/>
          <w:szCs w:val="20"/>
          <w:rtl/>
        </w:rPr>
        <w:t>דאורייתא</w:t>
      </w:r>
      <w:r w:rsidRPr="00013FD1">
        <w:rPr>
          <w:rFonts w:cs="Arial"/>
          <w:sz w:val="20"/>
          <w:szCs w:val="20"/>
          <w:rtl/>
        </w:rPr>
        <w:t xml:space="preserve"> - </w:t>
      </w:r>
      <w:r w:rsidRPr="00013FD1">
        <w:rPr>
          <w:rFonts w:cs="Arial" w:hint="cs"/>
          <w:sz w:val="20"/>
          <w:szCs w:val="20"/>
          <w:rtl/>
        </w:rPr>
        <w:t>בעיא</w:t>
      </w:r>
      <w:r w:rsidRPr="00013FD1">
        <w:rPr>
          <w:rFonts w:cs="Arial"/>
          <w:sz w:val="20"/>
          <w:szCs w:val="20"/>
          <w:rtl/>
        </w:rPr>
        <w:t xml:space="preserve"> </w:t>
      </w:r>
      <w:r w:rsidRPr="00013FD1">
        <w:rPr>
          <w:rFonts w:cs="Arial" w:hint="cs"/>
          <w:sz w:val="20"/>
          <w:szCs w:val="20"/>
          <w:rtl/>
        </w:rPr>
        <w:t>בדיקה</w:t>
      </w:r>
      <w:r w:rsidRPr="00013FD1">
        <w:rPr>
          <w:rFonts w:cs="Arial"/>
          <w:sz w:val="20"/>
          <w:szCs w:val="20"/>
          <w:rtl/>
        </w:rPr>
        <w:t xml:space="preserve">, </w:t>
      </w:r>
      <w:r w:rsidRPr="00013FD1">
        <w:rPr>
          <w:rFonts w:cs="Arial" w:hint="cs"/>
          <w:sz w:val="20"/>
          <w:szCs w:val="20"/>
          <w:rtl/>
        </w:rPr>
        <w:t>או</w:t>
      </w:r>
      <w:r w:rsidRPr="00013FD1">
        <w:rPr>
          <w:rFonts w:cs="Arial"/>
          <w:sz w:val="20"/>
          <w:szCs w:val="20"/>
          <w:rtl/>
        </w:rPr>
        <w:t xml:space="preserve"> </w:t>
      </w:r>
      <w:r w:rsidRPr="00013FD1">
        <w:rPr>
          <w:rFonts w:cs="Arial" w:hint="cs"/>
          <w:sz w:val="20"/>
          <w:szCs w:val="20"/>
          <w:rtl/>
        </w:rPr>
        <w:t>דלמא</w:t>
      </w:r>
      <w:r w:rsidRPr="00013FD1">
        <w:rPr>
          <w:rFonts w:cs="Arial"/>
          <w:sz w:val="20"/>
          <w:szCs w:val="20"/>
          <w:rtl/>
        </w:rPr>
        <w:t xml:space="preserve">: </w:t>
      </w:r>
      <w:r w:rsidRPr="00013FD1">
        <w:rPr>
          <w:rFonts w:cs="Arial" w:hint="cs"/>
          <w:sz w:val="20"/>
          <w:szCs w:val="20"/>
          <w:rtl/>
        </w:rPr>
        <w:t>כיון</w:t>
      </w:r>
      <w:r w:rsidRPr="00013FD1">
        <w:rPr>
          <w:rFonts w:cs="Arial"/>
          <w:sz w:val="20"/>
          <w:szCs w:val="20"/>
          <w:rtl/>
        </w:rPr>
        <w:t xml:space="preserve"> </w:t>
      </w:r>
      <w:r w:rsidRPr="00013FD1">
        <w:rPr>
          <w:rFonts w:cs="Arial" w:hint="cs"/>
          <w:sz w:val="20"/>
          <w:szCs w:val="20"/>
          <w:rtl/>
        </w:rPr>
        <w:t>דדמיה</w:t>
      </w:r>
      <w:r w:rsidRPr="00013FD1">
        <w:rPr>
          <w:rFonts w:cs="Arial"/>
          <w:sz w:val="20"/>
          <w:szCs w:val="20"/>
          <w:rtl/>
        </w:rPr>
        <w:t xml:space="preserve"> </w:t>
      </w:r>
      <w:r w:rsidRPr="00013FD1">
        <w:rPr>
          <w:rFonts w:cs="Arial" w:hint="cs"/>
          <w:sz w:val="20"/>
          <w:szCs w:val="20"/>
          <w:rtl/>
        </w:rPr>
        <w:t>מסולקין</w:t>
      </w:r>
      <w:r w:rsidRPr="00013FD1">
        <w:rPr>
          <w:rFonts w:cs="Arial"/>
          <w:sz w:val="20"/>
          <w:szCs w:val="20"/>
          <w:rtl/>
        </w:rPr>
        <w:t xml:space="preserve">, </w:t>
      </w:r>
      <w:r w:rsidRPr="00013FD1">
        <w:rPr>
          <w:rFonts w:cs="Arial" w:hint="cs"/>
          <w:sz w:val="20"/>
          <w:szCs w:val="20"/>
          <w:rtl/>
        </w:rPr>
        <w:t>לא</w:t>
      </w:r>
      <w:r w:rsidRPr="00013FD1">
        <w:rPr>
          <w:rFonts w:cs="Arial"/>
          <w:sz w:val="20"/>
          <w:szCs w:val="20"/>
          <w:rtl/>
        </w:rPr>
        <w:t xml:space="preserve"> </w:t>
      </w:r>
      <w:r w:rsidRPr="00013FD1">
        <w:rPr>
          <w:rFonts w:cs="Arial" w:hint="cs"/>
          <w:sz w:val="20"/>
          <w:szCs w:val="20"/>
          <w:rtl/>
        </w:rPr>
        <w:t>בעיא</w:t>
      </w:r>
      <w:r w:rsidRPr="00013FD1">
        <w:rPr>
          <w:rFonts w:cs="Arial"/>
          <w:sz w:val="20"/>
          <w:szCs w:val="20"/>
          <w:rtl/>
        </w:rPr>
        <w:t xml:space="preserve"> </w:t>
      </w:r>
      <w:r w:rsidRPr="00013FD1">
        <w:rPr>
          <w:rFonts w:cs="Arial" w:hint="cs"/>
          <w:sz w:val="20"/>
          <w:szCs w:val="20"/>
          <w:rtl/>
        </w:rPr>
        <w:t>בדיקה</w:t>
      </w:r>
      <w:r w:rsidRPr="00013FD1">
        <w:rPr>
          <w:rFonts w:cs="Arial"/>
          <w:sz w:val="20"/>
          <w:szCs w:val="20"/>
          <w:rtl/>
        </w:rPr>
        <w:t xml:space="preserve">? </w:t>
      </w:r>
      <w:r w:rsidRPr="00013FD1">
        <w:rPr>
          <w:rFonts w:cs="Arial" w:hint="cs"/>
          <w:sz w:val="20"/>
          <w:szCs w:val="20"/>
          <w:rtl/>
        </w:rPr>
        <w:t>א</w:t>
      </w:r>
      <w:r w:rsidRPr="00013FD1">
        <w:rPr>
          <w:rFonts w:cs="Arial"/>
          <w:sz w:val="20"/>
          <w:szCs w:val="20"/>
          <w:rtl/>
        </w:rPr>
        <w:t>"</w:t>
      </w:r>
      <w:r w:rsidRPr="00013FD1">
        <w:rPr>
          <w:rFonts w:cs="Arial" w:hint="cs"/>
          <w:sz w:val="20"/>
          <w:szCs w:val="20"/>
          <w:rtl/>
        </w:rPr>
        <w:t>ל</w:t>
      </w:r>
      <w:r w:rsidRPr="00013FD1">
        <w:rPr>
          <w:rFonts w:cs="Arial"/>
          <w:sz w:val="20"/>
          <w:szCs w:val="20"/>
          <w:rtl/>
        </w:rPr>
        <w:t xml:space="preserve">, </w:t>
      </w:r>
      <w:r w:rsidRPr="00013FD1">
        <w:rPr>
          <w:rFonts w:cs="Arial" w:hint="cs"/>
          <w:sz w:val="20"/>
          <w:szCs w:val="20"/>
          <w:rtl/>
        </w:rPr>
        <w:t>תניתוה</w:t>
      </w:r>
      <w:r w:rsidRPr="00013FD1">
        <w:rPr>
          <w:rFonts w:cs="Arial"/>
          <w:sz w:val="20"/>
          <w:szCs w:val="20"/>
          <w:rtl/>
        </w:rPr>
        <w:t xml:space="preserve">: </w:t>
      </w:r>
      <w:r w:rsidRPr="00013FD1">
        <w:rPr>
          <w:rFonts w:cs="Arial" w:hint="cs"/>
          <w:sz w:val="20"/>
          <w:szCs w:val="20"/>
          <w:rtl/>
        </w:rPr>
        <w:t>רבי</w:t>
      </w:r>
      <w:r w:rsidRPr="00013FD1">
        <w:rPr>
          <w:rFonts w:cs="Arial"/>
          <w:sz w:val="20"/>
          <w:szCs w:val="20"/>
          <w:rtl/>
        </w:rPr>
        <w:t xml:space="preserve"> </w:t>
      </w:r>
      <w:r w:rsidRPr="00013FD1">
        <w:rPr>
          <w:rFonts w:cs="Arial" w:hint="cs"/>
          <w:sz w:val="20"/>
          <w:szCs w:val="20"/>
          <w:rtl/>
        </w:rPr>
        <w:t>מאיר</w:t>
      </w:r>
      <w:r w:rsidRPr="00013FD1">
        <w:rPr>
          <w:rFonts w:cs="Arial"/>
          <w:sz w:val="20"/>
          <w:szCs w:val="20"/>
          <w:rtl/>
        </w:rPr>
        <w:t xml:space="preserve"> </w:t>
      </w:r>
      <w:r w:rsidRPr="00013FD1">
        <w:rPr>
          <w:rFonts w:cs="Arial" w:hint="cs"/>
          <w:sz w:val="20"/>
          <w:szCs w:val="20"/>
          <w:rtl/>
        </w:rPr>
        <w:t>אומר</w:t>
      </w:r>
      <w:r w:rsidRPr="00013FD1">
        <w:rPr>
          <w:rFonts w:cs="Arial"/>
          <w:sz w:val="20"/>
          <w:szCs w:val="20"/>
          <w:rtl/>
        </w:rPr>
        <w:t xml:space="preserve">, </w:t>
      </w:r>
      <w:r w:rsidRPr="00013FD1">
        <w:rPr>
          <w:rFonts w:cs="Arial" w:hint="cs"/>
          <w:sz w:val="20"/>
          <w:szCs w:val="20"/>
          <w:rtl/>
        </w:rPr>
        <w:t>אם</w:t>
      </w:r>
      <w:r w:rsidRPr="00013FD1">
        <w:rPr>
          <w:rFonts w:cs="Arial"/>
          <w:sz w:val="20"/>
          <w:szCs w:val="20"/>
          <w:rtl/>
        </w:rPr>
        <w:t xml:space="preserve"> </w:t>
      </w:r>
      <w:r w:rsidRPr="00013FD1">
        <w:rPr>
          <w:rFonts w:cs="Arial" w:hint="cs"/>
          <w:sz w:val="20"/>
          <w:szCs w:val="20"/>
          <w:rtl/>
        </w:rPr>
        <w:t>היתה</w:t>
      </w:r>
      <w:r w:rsidRPr="00013FD1">
        <w:rPr>
          <w:rFonts w:cs="Arial"/>
          <w:sz w:val="20"/>
          <w:szCs w:val="20"/>
          <w:rtl/>
        </w:rPr>
        <w:t xml:space="preserve"> </w:t>
      </w:r>
      <w:r w:rsidRPr="00013FD1">
        <w:rPr>
          <w:rFonts w:cs="Arial" w:hint="cs"/>
          <w:sz w:val="20"/>
          <w:szCs w:val="20"/>
          <w:rtl/>
        </w:rPr>
        <w:t>במחבא</w:t>
      </w:r>
      <w:r w:rsidRPr="00013FD1">
        <w:rPr>
          <w:rFonts w:cs="Arial"/>
          <w:sz w:val="20"/>
          <w:szCs w:val="20"/>
          <w:rtl/>
        </w:rPr>
        <w:t xml:space="preserve"> </w:t>
      </w:r>
      <w:r w:rsidRPr="00013FD1">
        <w:rPr>
          <w:rFonts w:cs="Arial" w:hint="cs"/>
          <w:sz w:val="20"/>
          <w:szCs w:val="20"/>
          <w:rtl/>
        </w:rPr>
        <w:t>והגיע</w:t>
      </w:r>
      <w:r w:rsidRPr="00013FD1">
        <w:rPr>
          <w:rFonts w:cs="Arial"/>
          <w:sz w:val="20"/>
          <w:szCs w:val="20"/>
          <w:rtl/>
        </w:rPr>
        <w:t xml:space="preserve"> </w:t>
      </w:r>
      <w:r w:rsidRPr="00013FD1">
        <w:rPr>
          <w:rFonts w:cs="Arial" w:hint="cs"/>
          <w:sz w:val="20"/>
          <w:szCs w:val="20"/>
          <w:rtl/>
        </w:rPr>
        <w:t>שעת</w:t>
      </w:r>
      <w:r w:rsidRPr="00013FD1">
        <w:rPr>
          <w:rFonts w:cs="Arial"/>
          <w:sz w:val="20"/>
          <w:szCs w:val="20"/>
          <w:rtl/>
        </w:rPr>
        <w:t xml:space="preserve"> </w:t>
      </w:r>
      <w:r w:rsidRPr="00013FD1">
        <w:rPr>
          <w:rFonts w:cs="Arial" w:hint="cs"/>
          <w:sz w:val="20"/>
          <w:szCs w:val="20"/>
          <w:rtl/>
        </w:rPr>
        <w:t>וסתה</w:t>
      </w:r>
      <w:r w:rsidRPr="00013FD1">
        <w:rPr>
          <w:rFonts w:cs="Arial"/>
          <w:sz w:val="20"/>
          <w:szCs w:val="20"/>
          <w:rtl/>
        </w:rPr>
        <w:t xml:space="preserve"> </w:t>
      </w:r>
      <w:r w:rsidRPr="00013FD1">
        <w:rPr>
          <w:rFonts w:cs="Arial" w:hint="cs"/>
          <w:sz w:val="20"/>
          <w:szCs w:val="20"/>
          <w:rtl/>
        </w:rPr>
        <w:t>ולא</w:t>
      </w:r>
      <w:r w:rsidRPr="00013FD1">
        <w:rPr>
          <w:rFonts w:cs="Arial"/>
          <w:sz w:val="20"/>
          <w:szCs w:val="20"/>
          <w:rtl/>
        </w:rPr>
        <w:t xml:space="preserve"> </w:t>
      </w:r>
      <w:r w:rsidRPr="00013FD1">
        <w:rPr>
          <w:rFonts w:cs="Arial" w:hint="cs"/>
          <w:sz w:val="20"/>
          <w:szCs w:val="20"/>
          <w:rtl/>
        </w:rPr>
        <w:t>בדקה</w:t>
      </w:r>
      <w:r w:rsidRPr="00013FD1">
        <w:rPr>
          <w:rFonts w:cs="Arial"/>
          <w:sz w:val="20"/>
          <w:szCs w:val="20"/>
          <w:rtl/>
        </w:rPr>
        <w:t xml:space="preserve"> - </w:t>
      </w:r>
      <w:r w:rsidRPr="00013FD1">
        <w:rPr>
          <w:rFonts w:cs="Arial" w:hint="cs"/>
          <w:sz w:val="20"/>
          <w:szCs w:val="20"/>
          <w:rtl/>
        </w:rPr>
        <w:t>טהורה</w:t>
      </w:r>
      <w:r w:rsidRPr="00013FD1">
        <w:rPr>
          <w:rFonts w:cs="Arial"/>
          <w:sz w:val="20"/>
          <w:szCs w:val="20"/>
          <w:rtl/>
        </w:rPr>
        <w:t xml:space="preserve">, </w:t>
      </w:r>
      <w:r w:rsidRPr="00013FD1">
        <w:rPr>
          <w:rFonts w:cs="Arial" w:hint="cs"/>
          <w:sz w:val="20"/>
          <w:szCs w:val="20"/>
          <w:rtl/>
        </w:rPr>
        <w:t>שחרדה</w:t>
      </w:r>
      <w:r w:rsidRPr="00013FD1">
        <w:rPr>
          <w:rFonts w:cs="Arial"/>
          <w:sz w:val="20"/>
          <w:szCs w:val="20"/>
          <w:rtl/>
        </w:rPr>
        <w:t xml:space="preserve"> </w:t>
      </w:r>
      <w:r w:rsidRPr="00013FD1">
        <w:rPr>
          <w:rFonts w:cs="Arial" w:hint="cs"/>
          <w:sz w:val="20"/>
          <w:szCs w:val="20"/>
          <w:rtl/>
        </w:rPr>
        <w:t>מסלקת</w:t>
      </w:r>
      <w:r w:rsidRPr="00013FD1">
        <w:rPr>
          <w:rFonts w:cs="Arial"/>
          <w:sz w:val="20"/>
          <w:szCs w:val="20"/>
          <w:rtl/>
        </w:rPr>
        <w:t xml:space="preserve"> </w:t>
      </w:r>
      <w:r w:rsidRPr="00013FD1">
        <w:rPr>
          <w:rFonts w:cs="Arial" w:hint="cs"/>
          <w:sz w:val="20"/>
          <w:szCs w:val="20"/>
          <w:rtl/>
        </w:rPr>
        <w:t>את</w:t>
      </w:r>
      <w:r w:rsidRPr="00013FD1">
        <w:rPr>
          <w:rFonts w:cs="Arial"/>
          <w:sz w:val="20"/>
          <w:szCs w:val="20"/>
          <w:rtl/>
        </w:rPr>
        <w:t xml:space="preserve"> </w:t>
      </w:r>
      <w:r w:rsidRPr="00013FD1">
        <w:rPr>
          <w:rFonts w:cs="Arial" w:hint="cs"/>
          <w:sz w:val="20"/>
          <w:szCs w:val="20"/>
          <w:rtl/>
        </w:rPr>
        <w:t>הדמים</w:t>
      </w:r>
      <w:r w:rsidRPr="00013FD1">
        <w:rPr>
          <w:rFonts w:cs="Arial"/>
          <w:sz w:val="20"/>
          <w:szCs w:val="20"/>
          <w:rtl/>
        </w:rPr>
        <w:t xml:space="preserve">. </w:t>
      </w:r>
      <w:r w:rsidRPr="00013FD1">
        <w:rPr>
          <w:rFonts w:cs="Arial" w:hint="cs"/>
          <w:sz w:val="20"/>
          <w:szCs w:val="20"/>
          <w:rtl/>
        </w:rPr>
        <w:t>טעמא</w:t>
      </w:r>
      <w:r w:rsidRPr="00013FD1">
        <w:rPr>
          <w:rFonts w:cs="Arial"/>
          <w:sz w:val="20"/>
          <w:szCs w:val="20"/>
          <w:rtl/>
        </w:rPr>
        <w:t xml:space="preserve"> - </w:t>
      </w:r>
      <w:r w:rsidRPr="00013FD1">
        <w:rPr>
          <w:rFonts w:cs="Arial" w:hint="cs"/>
          <w:sz w:val="20"/>
          <w:szCs w:val="20"/>
          <w:rtl/>
        </w:rPr>
        <w:t>דאיכא</w:t>
      </w:r>
      <w:r w:rsidRPr="00013FD1">
        <w:rPr>
          <w:rFonts w:cs="Arial"/>
          <w:sz w:val="20"/>
          <w:szCs w:val="20"/>
          <w:rtl/>
        </w:rPr>
        <w:t xml:space="preserve"> </w:t>
      </w:r>
      <w:r w:rsidRPr="00013FD1">
        <w:rPr>
          <w:rFonts w:cs="Arial" w:hint="cs"/>
          <w:sz w:val="20"/>
          <w:szCs w:val="20"/>
          <w:rtl/>
        </w:rPr>
        <w:t>חרדה</w:t>
      </w:r>
      <w:r w:rsidRPr="00013FD1">
        <w:rPr>
          <w:rFonts w:cs="Arial"/>
          <w:sz w:val="20"/>
          <w:szCs w:val="20"/>
          <w:rtl/>
        </w:rPr>
        <w:t xml:space="preserve">, </w:t>
      </w:r>
      <w:r w:rsidRPr="00013FD1">
        <w:rPr>
          <w:rFonts w:cs="Arial" w:hint="cs"/>
          <w:sz w:val="20"/>
          <w:szCs w:val="20"/>
          <w:rtl/>
        </w:rPr>
        <w:t>הא</w:t>
      </w:r>
      <w:r w:rsidRPr="00013FD1">
        <w:rPr>
          <w:rFonts w:cs="Arial"/>
          <w:sz w:val="20"/>
          <w:szCs w:val="20"/>
          <w:rtl/>
        </w:rPr>
        <w:t xml:space="preserve"> </w:t>
      </w:r>
      <w:r w:rsidRPr="00013FD1">
        <w:rPr>
          <w:rFonts w:cs="Arial" w:hint="cs"/>
          <w:sz w:val="20"/>
          <w:szCs w:val="20"/>
          <w:rtl/>
        </w:rPr>
        <w:t>ליכא</w:t>
      </w:r>
      <w:r w:rsidRPr="00013FD1">
        <w:rPr>
          <w:rFonts w:cs="Arial"/>
          <w:sz w:val="20"/>
          <w:szCs w:val="20"/>
          <w:rtl/>
        </w:rPr>
        <w:t xml:space="preserve"> </w:t>
      </w:r>
      <w:r w:rsidRPr="00013FD1">
        <w:rPr>
          <w:rFonts w:cs="Arial" w:hint="cs"/>
          <w:sz w:val="20"/>
          <w:szCs w:val="20"/>
          <w:rtl/>
        </w:rPr>
        <w:t>חרדה</w:t>
      </w:r>
      <w:r w:rsidRPr="00013FD1">
        <w:rPr>
          <w:rFonts w:cs="Arial"/>
          <w:sz w:val="20"/>
          <w:szCs w:val="20"/>
          <w:rtl/>
        </w:rPr>
        <w:t xml:space="preserve"> </w:t>
      </w:r>
      <w:r w:rsidRPr="00013FD1">
        <w:rPr>
          <w:rFonts w:cs="Arial" w:hint="cs"/>
          <w:sz w:val="20"/>
          <w:szCs w:val="20"/>
          <w:rtl/>
        </w:rPr>
        <w:t>והגיע</w:t>
      </w:r>
      <w:r w:rsidRPr="00013FD1">
        <w:rPr>
          <w:rFonts w:cs="Arial"/>
          <w:sz w:val="20"/>
          <w:szCs w:val="20"/>
          <w:rtl/>
        </w:rPr>
        <w:t xml:space="preserve"> </w:t>
      </w:r>
      <w:r w:rsidRPr="00013FD1">
        <w:rPr>
          <w:rFonts w:cs="Arial" w:hint="cs"/>
          <w:sz w:val="20"/>
          <w:szCs w:val="20"/>
          <w:rtl/>
        </w:rPr>
        <w:t>וסתה</w:t>
      </w:r>
      <w:r w:rsidRPr="00013FD1">
        <w:rPr>
          <w:rFonts w:cs="Arial"/>
          <w:sz w:val="20"/>
          <w:szCs w:val="20"/>
          <w:rtl/>
        </w:rPr>
        <w:t xml:space="preserve"> </w:t>
      </w:r>
      <w:r w:rsidRPr="00013FD1">
        <w:rPr>
          <w:rFonts w:cs="Arial" w:hint="cs"/>
          <w:sz w:val="20"/>
          <w:szCs w:val="20"/>
          <w:rtl/>
        </w:rPr>
        <w:t>ולא</w:t>
      </w:r>
      <w:r w:rsidRPr="00013FD1">
        <w:rPr>
          <w:rFonts w:cs="Arial"/>
          <w:sz w:val="20"/>
          <w:szCs w:val="20"/>
          <w:rtl/>
        </w:rPr>
        <w:t xml:space="preserve"> </w:t>
      </w:r>
      <w:r w:rsidRPr="00013FD1">
        <w:rPr>
          <w:rFonts w:cs="Arial" w:hint="cs"/>
          <w:sz w:val="20"/>
          <w:szCs w:val="20"/>
          <w:rtl/>
        </w:rPr>
        <w:t>בדקה</w:t>
      </w:r>
      <w:r w:rsidRPr="00013FD1">
        <w:rPr>
          <w:rFonts w:cs="Arial"/>
          <w:sz w:val="20"/>
          <w:szCs w:val="20"/>
          <w:rtl/>
        </w:rPr>
        <w:t xml:space="preserve"> - </w:t>
      </w:r>
      <w:r w:rsidRPr="00013FD1">
        <w:rPr>
          <w:rFonts w:cs="Arial" w:hint="cs"/>
          <w:sz w:val="20"/>
          <w:szCs w:val="20"/>
          <w:rtl/>
        </w:rPr>
        <w:t>טמאה</w:t>
      </w:r>
      <w:r w:rsidRPr="00013FD1">
        <w:rPr>
          <w:rFonts w:cs="Arial"/>
          <w:sz w:val="20"/>
          <w:szCs w:val="20"/>
          <w:rtl/>
        </w:rPr>
        <w:t xml:space="preserve">, </w:t>
      </w:r>
      <w:r w:rsidRPr="00013FD1">
        <w:rPr>
          <w:rFonts w:cs="Arial" w:hint="cs"/>
          <w:sz w:val="20"/>
          <w:szCs w:val="20"/>
          <w:rtl/>
        </w:rPr>
        <w:t>אלמא</w:t>
      </w:r>
      <w:r w:rsidRPr="00013FD1">
        <w:rPr>
          <w:rFonts w:cs="Arial"/>
          <w:sz w:val="20"/>
          <w:szCs w:val="20"/>
          <w:rtl/>
        </w:rPr>
        <w:t xml:space="preserve">: </w:t>
      </w:r>
      <w:r w:rsidRPr="00013FD1">
        <w:rPr>
          <w:rFonts w:cs="Arial" w:hint="cs"/>
          <w:sz w:val="20"/>
          <w:szCs w:val="20"/>
          <w:rtl/>
        </w:rPr>
        <w:t>וסתות</w:t>
      </w:r>
      <w:r w:rsidRPr="00013FD1">
        <w:rPr>
          <w:rFonts w:cs="Arial"/>
          <w:sz w:val="20"/>
          <w:szCs w:val="20"/>
          <w:rtl/>
        </w:rPr>
        <w:t xml:space="preserve"> </w:t>
      </w:r>
      <w:r w:rsidRPr="00013FD1">
        <w:rPr>
          <w:rFonts w:cs="Arial" w:hint="cs"/>
          <w:sz w:val="20"/>
          <w:szCs w:val="20"/>
          <w:rtl/>
        </w:rPr>
        <w:t>דאורייתא</w:t>
      </w:r>
      <w:r w:rsidRPr="00013FD1">
        <w:rPr>
          <w:rFonts w:cs="Arial"/>
          <w:sz w:val="20"/>
          <w:szCs w:val="20"/>
          <w:rtl/>
        </w:rPr>
        <w:t xml:space="preserve">. </w:t>
      </w:r>
      <w:r w:rsidRPr="00013FD1">
        <w:rPr>
          <w:rFonts w:cs="Arial" w:hint="cs"/>
          <w:sz w:val="20"/>
          <w:szCs w:val="20"/>
          <w:rtl/>
        </w:rPr>
        <w:t>וכיון</w:t>
      </w:r>
      <w:r w:rsidRPr="00013FD1">
        <w:rPr>
          <w:rFonts w:cs="Arial"/>
          <w:sz w:val="20"/>
          <w:szCs w:val="20"/>
          <w:rtl/>
        </w:rPr>
        <w:t xml:space="preserve"> </w:t>
      </w:r>
      <w:r w:rsidRPr="00013FD1">
        <w:rPr>
          <w:rFonts w:cs="Arial" w:hint="cs"/>
          <w:sz w:val="20"/>
          <w:szCs w:val="20"/>
          <w:rtl/>
        </w:rPr>
        <w:t>דאיכא</w:t>
      </w:r>
      <w:r w:rsidRPr="00013FD1">
        <w:rPr>
          <w:rFonts w:cs="Arial"/>
          <w:sz w:val="20"/>
          <w:szCs w:val="20"/>
          <w:rtl/>
        </w:rPr>
        <w:t xml:space="preserve"> </w:t>
      </w:r>
      <w:r w:rsidRPr="00013FD1">
        <w:rPr>
          <w:rFonts w:cs="Arial" w:hint="cs"/>
          <w:sz w:val="20"/>
          <w:szCs w:val="20"/>
          <w:rtl/>
        </w:rPr>
        <w:t>חרדה</w:t>
      </w:r>
      <w:r w:rsidRPr="00013FD1">
        <w:rPr>
          <w:rFonts w:cs="Arial"/>
          <w:sz w:val="20"/>
          <w:szCs w:val="20"/>
          <w:rtl/>
        </w:rPr>
        <w:t xml:space="preserve"> - </w:t>
      </w:r>
      <w:r w:rsidRPr="00013FD1">
        <w:rPr>
          <w:rFonts w:cs="Arial" w:hint="cs"/>
          <w:sz w:val="20"/>
          <w:szCs w:val="20"/>
          <w:rtl/>
        </w:rPr>
        <w:t>דמיה</w:t>
      </w:r>
      <w:r w:rsidRPr="00013FD1">
        <w:rPr>
          <w:rFonts w:cs="Arial"/>
          <w:sz w:val="20"/>
          <w:szCs w:val="20"/>
          <w:rtl/>
        </w:rPr>
        <w:t xml:space="preserve"> </w:t>
      </w:r>
      <w:r w:rsidRPr="00013FD1">
        <w:rPr>
          <w:rFonts w:cs="Arial" w:hint="cs"/>
          <w:sz w:val="20"/>
          <w:szCs w:val="20"/>
          <w:rtl/>
        </w:rPr>
        <w:t>מסולקין</w:t>
      </w:r>
      <w:r w:rsidRPr="00013FD1">
        <w:rPr>
          <w:rFonts w:cs="Arial"/>
          <w:sz w:val="20"/>
          <w:szCs w:val="20"/>
          <w:rtl/>
        </w:rPr>
        <w:t xml:space="preserve">, </w:t>
      </w:r>
      <w:r w:rsidRPr="00013FD1">
        <w:rPr>
          <w:rFonts w:cs="Arial" w:hint="cs"/>
          <w:sz w:val="20"/>
          <w:szCs w:val="20"/>
          <w:rtl/>
        </w:rPr>
        <w:t>ולא</w:t>
      </w:r>
      <w:r w:rsidRPr="00013FD1">
        <w:rPr>
          <w:rFonts w:cs="Arial"/>
          <w:sz w:val="20"/>
          <w:szCs w:val="20"/>
          <w:rtl/>
        </w:rPr>
        <w:t xml:space="preserve"> </w:t>
      </w:r>
      <w:r w:rsidRPr="00013FD1">
        <w:rPr>
          <w:rFonts w:cs="Arial" w:hint="cs"/>
          <w:sz w:val="20"/>
          <w:szCs w:val="20"/>
          <w:rtl/>
        </w:rPr>
        <w:t>בעיא</w:t>
      </w:r>
      <w:r w:rsidRPr="00013FD1">
        <w:rPr>
          <w:rFonts w:cs="Arial"/>
          <w:sz w:val="20"/>
          <w:szCs w:val="20"/>
          <w:rtl/>
        </w:rPr>
        <w:t xml:space="preserve"> </w:t>
      </w:r>
      <w:r w:rsidRPr="00013FD1">
        <w:rPr>
          <w:rFonts w:cs="Arial" w:hint="cs"/>
          <w:sz w:val="20"/>
          <w:szCs w:val="20"/>
          <w:rtl/>
        </w:rPr>
        <w:t>בדיקה</w:t>
      </w:r>
      <w:r w:rsidRPr="00013FD1">
        <w:rPr>
          <w:rFonts w:cs="Arial"/>
          <w:sz w:val="20"/>
          <w:szCs w:val="20"/>
          <w:rtl/>
        </w:rPr>
        <w:t xml:space="preserve">; </w:t>
      </w:r>
      <w:r w:rsidRPr="00013FD1">
        <w:rPr>
          <w:rFonts w:cs="Arial" w:hint="cs"/>
          <w:sz w:val="20"/>
          <w:szCs w:val="20"/>
          <w:rtl/>
        </w:rPr>
        <w:t>הכא</w:t>
      </w:r>
      <w:r w:rsidRPr="00013FD1">
        <w:rPr>
          <w:rFonts w:cs="Arial"/>
          <w:sz w:val="20"/>
          <w:szCs w:val="20"/>
          <w:rtl/>
        </w:rPr>
        <w:t xml:space="preserve"> </w:t>
      </w:r>
      <w:r w:rsidRPr="00013FD1">
        <w:rPr>
          <w:rFonts w:cs="Arial" w:hint="cs"/>
          <w:sz w:val="20"/>
          <w:szCs w:val="20"/>
          <w:rtl/>
        </w:rPr>
        <w:t>נמי</w:t>
      </w:r>
      <w:r w:rsidRPr="00013FD1">
        <w:rPr>
          <w:rFonts w:cs="Arial"/>
          <w:sz w:val="20"/>
          <w:szCs w:val="20"/>
          <w:rtl/>
        </w:rPr>
        <w:t xml:space="preserve"> - </w:t>
      </w:r>
      <w:r w:rsidRPr="00013FD1">
        <w:rPr>
          <w:rFonts w:cs="Arial" w:hint="cs"/>
          <w:sz w:val="20"/>
          <w:szCs w:val="20"/>
          <w:rtl/>
        </w:rPr>
        <w:t>דמיה</w:t>
      </w:r>
      <w:r w:rsidRPr="00013FD1">
        <w:rPr>
          <w:rFonts w:cs="Arial"/>
          <w:sz w:val="20"/>
          <w:szCs w:val="20"/>
          <w:rtl/>
        </w:rPr>
        <w:t xml:space="preserve"> </w:t>
      </w:r>
      <w:r w:rsidRPr="00013FD1">
        <w:rPr>
          <w:rFonts w:cs="Arial" w:hint="cs"/>
          <w:sz w:val="20"/>
          <w:szCs w:val="20"/>
          <w:rtl/>
        </w:rPr>
        <w:t>מסולקין</w:t>
      </w:r>
      <w:r w:rsidRPr="00013FD1">
        <w:rPr>
          <w:rFonts w:cs="Arial"/>
          <w:sz w:val="20"/>
          <w:szCs w:val="20"/>
          <w:rtl/>
        </w:rPr>
        <w:t xml:space="preserve">, </w:t>
      </w:r>
      <w:r w:rsidRPr="00013FD1">
        <w:rPr>
          <w:rFonts w:cs="Arial" w:hint="cs"/>
          <w:sz w:val="20"/>
          <w:szCs w:val="20"/>
          <w:rtl/>
        </w:rPr>
        <w:t>ולא</w:t>
      </w:r>
      <w:r w:rsidRPr="00013FD1">
        <w:rPr>
          <w:rFonts w:cs="Arial"/>
          <w:sz w:val="20"/>
          <w:szCs w:val="20"/>
          <w:rtl/>
        </w:rPr>
        <w:t xml:space="preserve"> </w:t>
      </w:r>
      <w:r w:rsidRPr="00013FD1">
        <w:rPr>
          <w:rFonts w:cs="Arial" w:hint="cs"/>
          <w:sz w:val="20"/>
          <w:szCs w:val="20"/>
          <w:rtl/>
        </w:rPr>
        <w:t>בעיא</w:t>
      </w:r>
      <w:r w:rsidRPr="00013FD1">
        <w:rPr>
          <w:rFonts w:cs="Arial"/>
          <w:sz w:val="20"/>
          <w:szCs w:val="20"/>
          <w:rtl/>
        </w:rPr>
        <w:t xml:space="preserve"> </w:t>
      </w:r>
      <w:r w:rsidRPr="00013FD1">
        <w:rPr>
          <w:rFonts w:cs="Arial" w:hint="cs"/>
          <w:sz w:val="20"/>
          <w:szCs w:val="20"/>
          <w:rtl/>
        </w:rPr>
        <w:t>בדיקה</w:t>
      </w:r>
      <w:r>
        <w:rPr>
          <w:rFonts w:cs="Arial" w:hint="cs"/>
          <w:sz w:val="20"/>
          <w:szCs w:val="20"/>
          <w:rtl/>
        </w:rPr>
        <w:t>"</w:t>
      </w:r>
      <w:r w:rsidRPr="00013FD1">
        <w:rPr>
          <w:rFonts w:cs="Arial"/>
          <w:sz w:val="20"/>
          <w:szCs w:val="20"/>
          <w:rtl/>
        </w:rPr>
        <w:t>.</w:t>
      </w:r>
    </w:p>
    <w:p w:rsidR="00620060" w:rsidRDefault="00620060" w:rsidP="00620060">
      <w:pPr>
        <w:rPr>
          <w:sz w:val="20"/>
          <w:szCs w:val="20"/>
          <w:rtl/>
        </w:rPr>
      </w:pPr>
      <w:r w:rsidRPr="00864907">
        <w:rPr>
          <w:rFonts w:hint="cs"/>
          <w:b/>
          <w:bCs/>
          <w:sz w:val="20"/>
          <w:szCs w:val="20"/>
          <w:rtl/>
        </w:rPr>
        <w:t>שיטות הראשונים</w:t>
      </w:r>
      <w:r>
        <w:rPr>
          <w:sz w:val="20"/>
          <w:szCs w:val="20"/>
          <w:u w:val="single"/>
          <w:rtl/>
        </w:rPr>
        <w:br/>
      </w:r>
      <w:r>
        <w:rPr>
          <w:rFonts w:hint="cs"/>
          <w:sz w:val="20"/>
          <w:szCs w:val="20"/>
          <w:rtl/>
        </w:rPr>
        <w:t xml:space="preserve">א. </w:t>
      </w:r>
      <w:r w:rsidRPr="002B02A4">
        <w:rPr>
          <w:rFonts w:hint="cs"/>
          <w:b/>
          <w:bCs/>
          <w:sz w:val="20"/>
          <w:szCs w:val="20"/>
          <w:rtl/>
        </w:rPr>
        <w:t>רמב"ן וטור</w:t>
      </w:r>
      <w:r>
        <w:rPr>
          <w:rFonts w:hint="cs"/>
          <w:sz w:val="20"/>
          <w:szCs w:val="20"/>
          <w:rtl/>
        </w:rPr>
        <w:t xml:space="preserve"> </w:t>
      </w:r>
      <w:r>
        <w:rPr>
          <w:sz w:val="20"/>
          <w:szCs w:val="20"/>
          <w:rtl/>
        </w:rPr>
        <w:t>–</w:t>
      </w:r>
      <w:r>
        <w:rPr>
          <w:rFonts w:hint="cs"/>
          <w:sz w:val="20"/>
          <w:szCs w:val="20"/>
          <w:rtl/>
        </w:rPr>
        <w:t xml:space="preserve"> לכתחילה צריכה לבדוק במחבוא, אלא שבדיעבד אם לא בדקה טהורה, וכ"פ </w:t>
      </w:r>
      <w:r w:rsidRPr="00D04EF8">
        <w:rPr>
          <w:rFonts w:hint="cs"/>
          <w:b/>
          <w:bCs/>
          <w:sz w:val="20"/>
          <w:szCs w:val="20"/>
          <w:rtl/>
        </w:rPr>
        <w:t>הרמ"א</w:t>
      </w:r>
      <w:r>
        <w:rPr>
          <w:rFonts w:hint="cs"/>
          <w:sz w:val="20"/>
          <w:szCs w:val="20"/>
          <w:rtl/>
        </w:rPr>
        <w:t>.</w:t>
      </w:r>
      <w:r>
        <w:rPr>
          <w:sz w:val="20"/>
          <w:szCs w:val="20"/>
          <w:rtl/>
        </w:rPr>
        <w:br/>
      </w:r>
      <w:r>
        <w:rPr>
          <w:rFonts w:hint="cs"/>
          <w:sz w:val="20"/>
          <w:szCs w:val="20"/>
          <w:rtl/>
        </w:rPr>
        <w:t xml:space="preserve">ב. </w:t>
      </w:r>
      <w:r w:rsidRPr="002B02A4">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אפילו לכתחילה אינה צריכה לבדוק, מפני שחרדה מסלקת את הדמים לגמרי, וכ"פ </w:t>
      </w:r>
      <w:r w:rsidRPr="00D04EF8">
        <w:rPr>
          <w:rFonts w:hint="cs"/>
          <w:b/>
          <w:bCs/>
          <w:sz w:val="20"/>
          <w:szCs w:val="20"/>
          <w:rtl/>
        </w:rPr>
        <w:t>המחבר</w:t>
      </w:r>
      <w:r>
        <w:rPr>
          <w:rFonts w:hint="cs"/>
          <w:sz w:val="20"/>
          <w:szCs w:val="20"/>
          <w:rtl/>
        </w:rPr>
        <w:t>.</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D04EF8">
        <w:rPr>
          <w:rFonts w:cs="Arial" w:hint="cs"/>
          <w:sz w:val="20"/>
          <w:szCs w:val="20"/>
          <w:rtl/>
        </w:rPr>
        <w:t>היתה</w:t>
      </w:r>
      <w:r w:rsidRPr="00D04EF8">
        <w:rPr>
          <w:rFonts w:cs="Arial"/>
          <w:sz w:val="20"/>
          <w:szCs w:val="20"/>
          <w:rtl/>
        </w:rPr>
        <w:t xml:space="preserve"> </w:t>
      </w:r>
      <w:r w:rsidRPr="00D04EF8">
        <w:rPr>
          <w:rFonts w:cs="Arial" w:hint="cs"/>
          <w:sz w:val="20"/>
          <w:szCs w:val="20"/>
          <w:rtl/>
        </w:rPr>
        <w:t>נחבית</w:t>
      </w:r>
      <w:r w:rsidRPr="00D04EF8">
        <w:rPr>
          <w:rFonts w:cs="Arial"/>
          <w:sz w:val="20"/>
          <w:szCs w:val="20"/>
          <w:rtl/>
        </w:rPr>
        <w:t xml:space="preserve"> </w:t>
      </w:r>
      <w:r w:rsidRPr="00D04EF8">
        <w:rPr>
          <w:rFonts w:cs="Arial" w:hint="cs"/>
          <w:sz w:val="20"/>
          <w:szCs w:val="20"/>
          <w:rtl/>
        </w:rPr>
        <w:t>במחב</w:t>
      </w:r>
      <w:r>
        <w:rPr>
          <w:rFonts w:cs="Arial" w:hint="cs"/>
          <w:sz w:val="20"/>
          <w:szCs w:val="20"/>
          <w:rtl/>
        </w:rPr>
        <w:t>ו</w:t>
      </w:r>
      <w:r w:rsidRPr="00D04EF8">
        <w:rPr>
          <w:rFonts w:cs="Arial" w:hint="cs"/>
          <w:sz w:val="20"/>
          <w:szCs w:val="20"/>
          <w:rtl/>
        </w:rPr>
        <w:t>א</w:t>
      </w:r>
      <w:r w:rsidRPr="00D04EF8">
        <w:rPr>
          <w:rFonts w:cs="Arial"/>
          <w:sz w:val="20"/>
          <w:szCs w:val="20"/>
          <w:rtl/>
        </w:rPr>
        <w:t xml:space="preserve"> </w:t>
      </w:r>
      <w:r w:rsidRPr="00D04EF8">
        <w:rPr>
          <w:rFonts w:cs="Arial" w:hint="cs"/>
          <w:sz w:val="20"/>
          <w:szCs w:val="20"/>
          <w:rtl/>
        </w:rPr>
        <w:t>מפני</w:t>
      </w:r>
      <w:r w:rsidRPr="00D04EF8">
        <w:rPr>
          <w:rFonts w:cs="Arial"/>
          <w:sz w:val="20"/>
          <w:szCs w:val="20"/>
          <w:rtl/>
        </w:rPr>
        <w:t xml:space="preserve"> </w:t>
      </w:r>
      <w:r w:rsidRPr="00D04EF8">
        <w:rPr>
          <w:rFonts w:cs="Arial" w:hint="cs"/>
          <w:sz w:val="20"/>
          <w:szCs w:val="20"/>
          <w:rtl/>
        </w:rPr>
        <w:t>פחד</w:t>
      </w:r>
      <w:r w:rsidRPr="00D04EF8">
        <w:rPr>
          <w:rFonts w:cs="Arial"/>
          <w:sz w:val="20"/>
          <w:szCs w:val="20"/>
          <w:rtl/>
        </w:rPr>
        <w:t xml:space="preserve">, </w:t>
      </w:r>
      <w:r w:rsidRPr="00D04EF8">
        <w:rPr>
          <w:rFonts w:cs="Arial" w:hint="cs"/>
          <w:sz w:val="20"/>
          <w:szCs w:val="20"/>
          <w:rtl/>
        </w:rPr>
        <w:t>והגיע</w:t>
      </w:r>
      <w:r w:rsidRPr="00D04EF8">
        <w:rPr>
          <w:rFonts w:cs="Arial"/>
          <w:sz w:val="20"/>
          <w:szCs w:val="20"/>
          <w:rtl/>
        </w:rPr>
        <w:t xml:space="preserve"> </w:t>
      </w:r>
      <w:r w:rsidRPr="00D04EF8">
        <w:rPr>
          <w:rFonts w:cs="Arial" w:hint="cs"/>
          <w:sz w:val="20"/>
          <w:szCs w:val="20"/>
          <w:rtl/>
        </w:rPr>
        <w:t>שעת</w:t>
      </w:r>
      <w:r w:rsidRPr="00D04EF8">
        <w:rPr>
          <w:rFonts w:cs="Arial"/>
          <w:sz w:val="20"/>
          <w:szCs w:val="20"/>
          <w:rtl/>
        </w:rPr>
        <w:t xml:space="preserve"> </w:t>
      </w:r>
      <w:r w:rsidRPr="00D04EF8">
        <w:rPr>
          <w:rFonts w:cs="Arial" w:hint="cs"/>
          <w:sz w:val="20"/>
          <w:szCs w:val="20"/>
          <w:rtl/>
        </w:rPr>
        <w:t>וסתה</w:t>
      </w:r>
      <w:r w:rsidRPr="00D04EF8">
        <w:rPr>
          <w:rFonts w:cs="Arial"/>
          <w:sz w:val="20"/>
          <w:szCs w:val="20"/>
          <w:rtl/>
        </w:rPr>
        <w:t xml:space="preserve">, </w:t>
      </w:r>
      <w:r w:rsidRPr="00D04EF8">
        <w:rPr>
          <w:rFonts w:cs="Arial" w:hint="cs"/>
          <w:sz w:val="20"/>
          <w:szCs w:val="20"/>
          <w:rtl/>
        </w:rPr>
        <w:t>אינה</w:t>
      </w:r>
      <w:r w:rsidRPr="00D04EF8">
        <w:rPr>
          <w:rFonts w:cs="Arial"/>
          <w:sz w:val="20"/>
          <w:szCs w:val="20"/>
          <w:rtl/>
        </w:rPr>
        <w:t xml:space="preserve"> </w:t>
      </w:r>
      <w:r w:rsidRPr="00D04EF8">
        <w:rPr>
          <w:rFonts w:cs="Arial" w:hint="cs"/>
          <w:sz w:val="20"/>
          <w:szCs w:val="20"/>
          <w:rtl/>
        </w:rPr>
        <w:t>חוששת</w:t>
      </w:r>
      <w:r w:rsidRPr="00D04EF8">
        <w:rPr>
          <w:rFonts w:cs="Arial"/>
          <w:sz w:val="20"/>
          <w:szCs w:val="20"/>
          <w:rtl/>
        </w:rPr>
        <w:t xml:space="preserve"> </w:t>
      </w:r>
      <w:r w:rsidRPr="00D04EF8">
        <w:rPr>
          <w:rFonts w:cs="Arial" w:hint="cs"/>
          <w:sz w:val="20"/>
          <w:szCs w:val="20"/>
          <w:rtl/>
        </w:rPr>
        <w:t>לו</w:t>
      </w:r>
      <w:r w:rsidRPr="00D04EF8">
        <w:rPr>
          <w:rFonts w:cs="Arial"/>
          <w:sz w:val="20"/>
          <w:szCs w:val="20"/>
          <w:rtl/>
        </w:rPr>
        <w:t xml:space="preserve">. </w:t>
      </w:r>
      <w:r>
        <w:rPr>
          <w:rFonts w:cs="Arial"/>
          <w:sz w:val="18"/>
          <w:szCs w:val="18"/>
          <w:rtl/>
        </w:rPr>
        <w:br/>
      </w:r>
      <w:r w:rsidRPr="00D04EF8">
        <w:rPr>
          <w:rFonts w:cs="Arial" w:hint="cs"/>
          <w:sz w:val="18"/>
          <w:szCs w:val="18"/>
          <w:rtl/>
        </w:rPr>
        <w:t>הגה</w:t>
      </w:r>
      <w:r w:rsidRPr="00D04EF8">
        <w:rPr>
          <w:rFonts w:cs="Arial"/>
          <w:sz w:val="18"/>
          <w:szCs w:val="18"/>
          <w:rtl/>
        </w:rPr>
        <w:t xml:space="preserve">: </w:t>
      </w:r>
      <w:r w:rsidRPr="00D04EF8">
        <w:rPr>
          <w:rFonts w:cs="Arial" w:hint="cs"/>
          <w:sz w:val="18"/>
          <w:szCs w:val="18"/>
          <w:rtl/>
        </w:rPr>
        <w:t>וי</w:t>
      </w:r>
      <w:r>
        <w:rPr>
          <w:rFonts w:cs="Arial" w:hint="cs"/>
          <w:sz w:val="18"/>
          <w:szCs w:val="18"/>
          <w:rtl/>
        </w:rPr>
        <w:t xml:space="preserve">ש </w:t>
      </w:r>
      <w:r w:rsidRPr="00D04EF8">
        <w:rPr>
          <w:rFonts w:cs="Arial" w:hint="cs"/>
          <w:sz w:val="18"/>
          <w:szCs w:val="18"/>
          <w:rtl/>
        </w:rPr>
        <w:t>א</w:t>
      </w:r>
      <w:r>
        <w:rPr>
          <w:rFonts w:cs="Arial" w:hint="cs"/>
          <w:sz w:val="18"/>
          <w:szCs w:val="18"/>
          <w:rtl/>
        </w:rPr>
        <w:t>ומרים</w:t>
      </w:r>
      <w:r w:rsidRPr="00D04EF8">
        <w:rPr>
          <w:rFonts w:cs="Arial"/>
          <w:sz w:val="18"/>
          <w:szCs w:val="18"/>
          <w:rtl/>
        </w:rPr>
        <w:t xml:space="preserve"> </w:t>
      </w:r>
      <w:r w:rsidRPr="00D04EF8">
        <w:rPr>
          <w:rFonts w:cs="Arial" w:hint="cs"/>
          <w:sz w:val="18"/>
          <w:szCs w:val="18"/>
          <w:rtl/>
        </w:rPr>
        <w:t>דוקא</w:t>
      </w:r>
      <w:r w:rsidRPr="00D04EF8">
        <w:rPr>
          <w:rFonts w:cs="Arial"/>
          <w:sz w:val="18"/>
          <w:szCs w:val="18"/>
          <w:rtl/>
        </w:rPr>
        <w:t xml:space="preserve"> </w:t>
      </w:r>
      <w:r w:rsidRPr="00D04EF8">
        <w:rPr>
          <w:rFonts w:cs="Arial" w:hint="cs"/>
          <w:sz w:val="18"/>
          <w:szCs w:val="18"/>
          <w:rtl/>
        </w:rPr>
        <w:t>אם</w:t>
      </w:r>
      <w:r w:rsidRPr="00D04EF8">
        <w:rPr>
          <w:rFonts w:cs="Arial"/>
          <w:sz w:val="18"/>
          <w:szCs w:val="18"/>
          <w:rtl/>
        </w:rPr>
        <w:t xml:space="preserve"> </w:t>
      </w:r>
      <w:r w:rsidRPr="00D04EF8">
        <w:rPr>
          <w:rFonts w:cs="Arial" w:hint="cs"/>
          <w:sz w:val="18"/>
          <w:szCs w:val="18"/>
          <w:rtl/>
        </w:rPr>
        <w:t>עבר</w:t>
      </w:r>
      <w:r w:rsidRPr="00D04EF8">
        <w:rPr>
          <w:rFonts w:cs="Arial"/>
          <w:sz w:val="18"/>
          <w:szCs w:val="18"/>
          <w:rtl/>
        </w:rPr>
        <w:t xml:space="preserve"> </w:t>
      </w:r>
      <w:r w:rsidRPr="00D04EF8">
        <w:rPr>
          <w:rFonts w:cs="Arial" w:hint="cs"/>
          <w:sz w:val="18"/>
          <w:szCs w:val="18"/>
          <w:rtl/>
        </w:rPr>
        <w:t>הוסת</w:t>
      </w:r>
      <w:r w:rsidRPr="00D04EF8">
        <w:rPr>
          <w:rFonts w:cs="Arial"/>
          <w:sz w:val="18"/>
          <w:szCs w:val="18"/>
          <w:rtl/>
        </w:rPr>
        <w:t xml:space="preserve"> </w:t>
      </w:r>
      <w:r w:rsidRPr="00D04EF8">
        <w:rPr>
          <w:rFonts w:cs="Arial" w:hint="cs"/>
          <w:sz w:val="18"/>
          <w:szCs w:val="18"/>
          <w:rtl/>
        </w:rPr>
        <w:t>ולא</w:t>
      </w:r>
      <w:r w:rsidRPr="00D04EF8">
        <w:rPr>
          <w:rFonts w:cs="Arial"/>
          <w:sz w:val="18"/>
          <w:szCs w:val="18"/>
          <w:rtl/>
        </w:rPr>
        <w:t xml:space="preserve"> </w:t>
      </w:r>
      <w:r w:rsidRPr="00D04EF8">
        <w:rPr>
          <w:rFonts w:cs="Arial" w:hint="cs"/>
          <w:sz w:val="18"/>
          <w:szCs w:val="18"/>
          <w:rtl/>
        </w:rPr>
        <w:t>בדקה</w:t>
      </w:r>
      <w:r w:rsidRPr="00D04EF8">
        <w:rPr>
          <w:rFonts w:cs="Arial"/>
          <w:sz w:val="18"/>
          <w:szCs w:val="18"/>
          <w:rtl/>
        </w:rPr>
        <w:t xml:space="preserve"> </w:t>
      </w:r>
      <w:r w:rsidRPr="00D04EF8">
        <w:rPr>
          <w:rFonts w:cs="Arial" w:hint="cs"/>
          <w:sz w:val="18"/>
          <w:szCs w:val="18"/>
          <w:rtl/>
        </w:rPr>
        <w:t>ולא</w:t>
      </w:r>
      <w:r w:rsidRPr="00D04EF8">
        <w:rPr>
          <w:rFonts w:cs="Arial"/>
          <w:sz w:val="18"/>
          <w:szCs w:val="18"/>
          <w:rtl/>
        </w:rPr>
        <w:t xml:space="preserve"> </w:t>
      </w:r>
      <w:r w:rsidRPr="00D04EF8">
        <w:rPr>
          <w:rFonts w:cs="Arial" w:hint="cs"/>
          <w:sz w:val="18"/>
          <w:szCs w:val="18"/>
          <w:rtl/>
        </w:rPr>
        <w:t>הרגישה</w:t>
      </w:r>
      <w:r w:rsidRPr="00D04EF8">
        <w:rPr>
          <w:rFonts w:cs="Arial"/>
          <w:sz w:val="18"/>
          <w:szCs w:val="18"/>
          <w:rtl/>
        </w:rPr>
        <w:t xml:space="preserve">, </w:t>
      </w:r>
      <w:r w:rsidRPr="00D04EF8">
        <w:rPr>
          <w:rFonts w:cs="Arial" w:hint="cs"/>
          <w:sz w:val="18"/>
          <w:szCs w:val="18"/>
          <w:rtl/>
        </w:rPr>
        <w:t>טהורה</w:t>
      </w:r>
      <w:r w:rsidRPr="00D04EF8">
        <w:rPr>
          <w:rFonts w:cs="Arial"/>
          <w:sz w:val="18"/>
          <w:szCs w:val="18"/>
          <w:rtl/>
        </w:rPr>
        <w:t xml:space="preserve"> </w:t>
      </w:r>
      <w:r w:rsidRPr="00D04EF8">
        <w:rPr>
          <w:rFonts w:cs="Arial" w:hint="cs"/>
          <w:sz w:val="18"/>
          <w:szCs w:val="18"/>
          <w:rtl/>
        </w:rPr>
        <w:t>בלא</w:t>
      </w:r>
      <w:r w:rsidRPr="00D04EF8">
        <w:rPr>
          <w:rFonts w:cs="Arial"/>
          <w:sz w:val="18"/>
          <w:szCs w:val="18"/>
          <w:rtl/>
        </w:rPr>
        <w:t xml:space="preserve"> </w:t>
      </w:r>
      <w:r w:rsidRPr="00D04EF8">
        <w:rPr>
          <w:rFonts w:cs="Arial" w:hint="cs"/>
          <w:sz w:val="18"/>
          <w:szCs w:val="18"/>
          <w:rtl/>
        </w:rPr>
        <w:t>בדיקה</w:t>
      </w:r>
      <w:r w:rsidRPr="00D04EF8">
        <w:rPr>
          <w:rFonts w:cs="Arial"/>
          <w:sz w:val="18"/>
          <w:szCs w:val="18"/>
          <w:rtl/>
        </w:rPr>
        <w:t xml:space="preserve">. </w:t>
      </w:r>
      <w:r w:rsidRPr="00D04EF8">
        <w:rPr>
          <w:rFonts w:cs="Arial" w:hint="cs"/>
          <w:sz w:val="18"/>
          <w:szCs w:val="18"/>
          <w:rtl/>
        </w:rPr>
        <w:t>אבל</w:t>
      </w:r>
      <w:r w:rsidRPr="00D04EF8">
        <w:rPr>
          <w:rFonts w:cs="Arial"/>
          <w:sz w:val="18"/>
          <w:szCs w:val="18"/>
          <w:rtl/>
        </w:rPr>
        <w:t xml:space="preserve"> </w:t>
      </w:r>
      <w:r w:rsidRPr="00D04EF8">
        <w:rPr>
          <w:rFonts w:cs="Arial" w:hint="cs"/>
          <w:sz w:val="18"/>
          <w:szCs w:val="18"/>
          <w:rtl/>
        </w:rPr>
        <w:t>לכתחלה</w:t>
      </w:r>
      <w:r w:rsidRPr="00D04EF8">
        <w:rPr>
          <w:rFonts w:cs="Arial"/>
          <w:sz w:val="18"/>
          <w:szCs w:val="18"/>
          <w:rtl/>
        </w:rPr>
        <w:t xml:space="preserve"> </w:t>
      </w:r>
      <w:r w:rsidRPr="00D04EF8">
        <w:rPr>
          <w:rFonts w:cs="Arial" w:hint="cs"/>
          <w:sz w:val="18"/>
          <w:szCs w:val="18"/>
          <w:rtl/>
        </w:rPr>
        <w:t>צריכה</w:t>
      </w:r>
      <w:r w:rsidRPr="00D04EF8">
        <w:rPr>
          <w:rFonts w:cs="Arial"/>
          <w:sz w:val="18"/>
          <w:szCs w:val="18"/>
          <w:rtl/>
        </w:rPr>
        <w:t xml:space="preserve"> </w:t>
      </w:r>
      <w:r w:rsidRPr="00D04EF8">
        <w:rPr>
          <w:rFonts w:cs="Arial" w:hint="cs"/>
          <w:sz w:val="18"/>
          <w:szCs w:val="18"/>
          <w:rtl/>
        </w:rPr>
        <w:t>בדיקה</w:t>
      </w:r>
      <w:r>
        <w:rPr>
          <w:rFonts w:cs="Arial" w:hint="cs"/>
          <w:sz w:val="20"/>
          <w:szCs w:val="20"/>
          <w:rtl/>
        </w:rPr>
        <w:t>".</w:t>
      </w:r>
    </w:p>
    <w:p w:rsidR="00620060" w:rsidRDefault="00620060" w:rsidP="00620060">
      <w:pPr>
        <w:rPr>
          <w:sz w:val="20"/>
          <w:szCs w:val="20"/>
          <w:rtl/>
        </w:rPr>
      </w:pPr>
      <w:r>
        <w:rPr>
          <w:rFonts w:hint="cs"/>
          <w:sz w:val="20"/>
          <w:szCs w:val="20"/>
          <w:u w:val="single"/>
          <w:rtl/>
        </w:rPr>
        <w:t>קושייה על שיטת הטור והרמ"א (בית יוסף וט"ז)</w:t>
      </w:r>
      <w:r>
        <w:rPr>
          <w:rFonts w:hint="cs"/>
          <w:sz w:val="20"/>
          <w:szCs w:val="20"/>
          <w:u w:val="single"/>
          <w:rtl/>
        </w:rPr>
        <w:br/>
      </w:r>
      <w:r w:rsidRPr="009C4A45">
        <w:rPr>
          <w:rFonts w:hint="cs"/>
          <w:sz w:val="20"/>
          <w:szCs w:val="20"/>
          <w:rtl/>
        </w:rPr>
        <w:t xml:space="preserve">מקשה </w:t>
      </w:r>
      <w:r w:rsidRPr="009C4A45">
        <w:rPr>
          <w:rFonts w:hint="cs"/>
          <w:b/>
          <w:bCs/>
          <w:sz w:val="20"/>
          <w:szCs w:val="20"/>
          <w:rtl/>
        </w:rPr>
        <w:t>הבית יוסף</w:t>
      </w:r>
      <w:r>
        <w:rPr>
          <w:rFonts w:hint="cs"/>
          <w:sz w:val="20"/>
          <w:szCs w:val="20"/>
          <w:rtl/>
        </w:rPr>
        <w:t xml:space="preserve"> </w:t>
      </w:r>
      <w:r>
        <w:rPr>
          <w:sz w:val="20"/>
          <w:szCs w:val="20"/>
          <w:rtl/>
        </w:rPr>
        <w:t>–</w:t>
      </w:r>
      <w:r>
        <w:rPr>
          <w:rFonts w:hint="cs"/>
          <w:sz w:val="20"/>
          <w:szCs w:val="20"/>
          <w:rtl/>
        </w:rPr>
        <w:t xml:space="preserve"> כיוון שהגמרא משווה בין דין מעוברת לדין חרדה, מדוע מעוברת אינה צריכה לבדוק ואילו בחרדה צריכה לבדוק לכתחילה?</w:t>
      </w:r>
      <w:r>
        <w:rPr>
          <w:sz w:val="20"/>
          <w:szCs w:val="20"/>
          <w:rtl/>
        </w:rPr>
        <w:br/>
      </w:r>
      <w:r>
        <w:rPr>
          <w:rFonts w:hint="cs"/>
          <w:sz w:val="20"/>
          <w:szCs w:val="20"/>
          <w:rtl/>
        </w:rPr>
        <w:t xml:space="preserve">א. </w:t>
      </w:r>
      <w:r w:rsidRPr="00295D2A">
        <w:rPr>
          <w:rFonts w:hint="cs"/>
          <w:b/>
          <w:bCs/>
          <w:sz w:val="20"/>
          <w:szCs w:val="20"/>
          <w:rtl/>
        </w:rPr>
        <w:t>בית יוסף</w:t>
      </w:r>
      <w:r w:rsidRPr="00295D2A">
        <w:rPr>
          <w:rFonts w:hint="cs"/>
          <w:sz w:val="20"/>
          <w:szCs w:val="20"/>
          <w:rtl/>
        </w:rPr>
        <w:t xml:space="preserve"> </w:t>
      </w:r>
      <w:r>
        <w:rPr>
          <w:sz w:val="20"/>
          <w:szCs w:val="20"/>
          <w:rtl/>
        </w:rPr>
        <w:t>–</w:t>
      </w:r>
      <w:r>
        <w:rPr>
          <w:rFonts w:hint="cs"/>
          <w:sz w:val="20"/>
          <w:szCs w:val="20"/>
          <w:rtl/>
        </w:rPr>
        <w:t xml:space="preserve"> מעוברת היא מסולקת דמים לגמרי, אך בחרדה היא מסולקת דמים לעניין דיעבד בלבד.</w:t>
      </w:r>
      <w:r>
        <w:rPr>
          <w:rStyle w:val="a5"/>
          <w:sz w:val="20"/>
          <w:szCs w:val="20"/>
          <w:rtl/>
        </w:rPr>
        <w:footnoteReference w:id="41"/>
      </w:r>
      <w:r>
        <w:rPr>
          <w:rFonts w:hint="cs"/>
          <w:sz w:val="20"/>
          <w:szCs w:val="20"/>
          <w:rtl/>
        </w:rPr>
        <w:t xml:space="preserve"> </w:t>
      </w:r>
      <w:r>
        <w:rPr>
          <w:rFonts w:hint="cs"/>
          <w:sz w:val="20"/>
          <w:szCs w:val="20"/>
          <w:rtl/>
        </w:rPr>
        <w:br/>
      </w:r>
      <w:r w:rsidRPr="002003EE">
        <w:rPr>
          <w:rFonts w:hint="cs"/>
          <w:b/>
          <w:bCs/>
          <w:sz w:val="20"/>
          <w:szCs w:val="20"/>
          <w:rtl/>
        </w:rPr>
        <w:t xml:space="preserve">טעם </w:t>
      </w:r>
      <w:r>
        <w:rPr>
          <w:sz w:val="20"/>
          <w:szCs w:val="20"/>
          <w:rtl/>
        </w:rPr>
        <w:t>–</w:t>
      </w:r>
      <w:r>
        <w:rPr>
          <w:rFonts w:hint="cs"/>
          <w:sz w:val="20"/>
          <w:szCs w:val="20"/>
          <w:rtl/>
        </w:rPr>
        <w:t xml:space="preserve"> במעוברת חזינן שהנשים מסולקות דמים, אך לעניין חרדה חזינן שיש נשים שווסתן לא משתנה.</w:t>
      </w:r>
      <w:r>
        <w:rPr>
          <w:sz w:val="20"/>
          <w:szCs w:val="20"/>
          <w:rtl/>
        </w:rPr>
        <w:br/>
      </w:r>
      <w:r>
        <w:rPr>
          <w:rFonts w:hint="cs"/>
          <w:sz w:val="20"/>
          <w:szCs w:val="20"/>
          <w:rtl/>
        </w:rPr>
        <w:t xml:space="preserve">ב. </w:t>
      </w:r>
      <w:r w:rsidRPr="00295D2A">
        <w:rPr>
          <w:rFonts w:hint="cs"/>
          <w:b/>
          <w:bCs/>
          <w:sz w:val="20"/>
          <w:szCs w:val="20"/>
          <w:rtl/>
        </w:rPr>
        <w:t>ב"ח</w:t>
      </w:r>
      <w:r>
        <w:rPr>
          <w:rFonts w:hint="cs"/>
          <w:sz w:val="20"/>
          <w:szCs w:val="20"/>
          <w:rtl/>
        </w:rPr>
        <w:t xml:space="preserve"> </w:t>
      </w:r>
      <w:r>
        <w:rPr>
          <w:sz w:val="20"/>
          <w:szCs w:val="20"/>
          <w:rtl/>
        </w:rPr>
        <w:t>–</w:t>
      </w:r>
      <w:r>
        <w:rPr>
          <w:rFonts w:hint="cs"/>
          <w:sz w:val="20"/>
          <w:szCs w:val="20"/>
          <w:rtl/>
        </w:rPr>
        <w:t xml:space="preserve"> הרא"ש גרס בגמרא "הגיע עת וסתה מהו?" </w:t>
      </w:r>
      <w:r w:rsidRPr="00295D2A">
        <w:rPr>
          <w:rFonts w:hint="cs"/>
          <w:sz w:val="18"/>
          <w:szCs w:val="18"/>
          <w:rtl/>
        </w:rPr>
        <w:t xml:space="preserve">(משמיט את "ולא בדקה") </w:t>
      </w:r>
      <w:r>
        <w:rPr>
          <w:rFonts w:hint="cs"/>
          <w:sz w:val="20"/>
          <w:szCs w:val="20"/>
          <w:rtl/>
        </w:rPr>
        <w:t xml:space="preserve">ופשט ליה רבי יוחנן מדין חרדה שהקלו בדיעבד. כלומר, שאלת הגמרא היתה מה הדין </w:t>
      </w:r>
      <w:r w:rsidRPr="00295D2A">
        <w:rPr>
          <w:rFonts w:hint="cs"/>
          <w:sz w:val="20"/>
          <w:szCs w:val="20"/>
          <w:u w:val="single"/>
          <w:rtl/>
        </w:rPr>
        <w:t>לכתחילה</w:t>
      </w:r>
      <w:r>
        <w:rPr>
          <w:rFonts w:hint="cs"/>
          <w:sz w:val="20"/>
          <w:szCs w:val="20"/>
          <w:rtl/>
        </w:rPr>
        <w:t xml:space="preserve"> במעוברת, ופשטו זאת מדין </w:t>
      </w:r>
      <w:r w:rsidRPr="00295D2A">
        <w:rPr>
          <w:rFonts w:hint="cs"/>
          <w:sz w:val="20"/>
          <w:szCs w:val="20"/>
          <w:u w:val="single"/>
          <w:rtl/>
        </w:rPr>
        <w:t>דיעבד</w:t>
      </w:r>
      <w:r>
        <w:rPr>
          <w:rFonts w:hint="cs"/>
          <w:sz w:val="20"/>
          <w:szCs w:val="20"/>
          <w:rtl/>
        </w:rPr>
        <w:t xml:space="preserve"> בחרדה.</w:t>
      </w:r>
      <w:r>
        <w:rPr>
          <w:sz w:val="20"/>
          <w:szCs w:val="20"/>
          <w:rtl/>
        </w:rPr>
        <w:br/>
      </w:r>
      <w:r>
        <w:rPr>
          <w:rFonts w:hint="cs"/>
          <w:sz w:val="20"/>
          <w:szCs w:val="20"/>
          <w:rtl/>
        </w:rPr>
        <w:t xml:space="preserve">ג. </w:t>
      </w:r>
      <w:r w:rsidRPr="00DB25A5">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חששו שמא מחמת תשמיש עם בעלה תסתלק ממנה החרדה ותטמא, ולכן לא תשמש בשעת חרדה כשהגיע זמן ווסתה. לעומת זאת, במעוברת ליכא האי חשש ומותרת לשמש תמיד.</w:t>
      </w:r>
      <w:r>
        <w:rPr>
          <w:rStyle w:val="a5"/>
          <w:sz w:val="20"/>
          <w:szCs w:val="20"/>
          <w:rtl/>
        </w:rPr>
        <w:footnoteReference w:id="42"/>
      </w:r>
      <w:r>
        <w:rPr>
          <w:rFonts w:hint="cs"/>
          <w:sz w:val="20"/>
          <w:szCs w:val="20"/>
          <w:rtl/>
        </w:rPr>
        <w:t xml:space="preserve"> </w:t>
      </w:r>
    </w:p>
    <w:p w:rsidR="00620060" w:rsidRPr="005E7699" w:rsidRDefault="00620060" w:rsidP="00620060">
      <w:pPr>
        <w:rPr>
          <w:sz w:val="20"/>
          <w:szCs w:val="20"/>
          <w:rtl/>
        </w:rPr>
      </w:pPr>
      <w:r>
        <w:rPr>
          <w:rFonts w:hint="cs"/>
          <w:sz w:val="20"/>
          <w:szCs w:val="20"/>
          <w:u w:val="single"/>
          <w:rtl/>
        </w:rPr>
        <w:lastRenderedPageBreak/>
        <w:t>ראיית דם במחבוא לעניין קביעת ווסת (פת"ש)</w:t>
      </w:r>
      <w:r>
        <w:rPr>
          <w:rFonts w:hint="cs"/>
          <w:sz w:val="20"/>
          <w:szCs w:val="20"/>
          <w:u w:val="single"/>
          <w:rtl/>
        </w:rPr>
        <w:br/>
      </w:r>
      <w:r w:rsidRPr="005E7699">
        <w:rPr>
          <w:rFonts w:hint="cs"/>
          <w:b/>
          <w:bCs/>
          <w:sz w:val="20"/>
          <w:szCs w:val="20"/>
          <w:rtl/>
        </w:rPr>
        <w:t>חוות דעת</w:t>
      </w:r>
      <w:r>
        <w:rPr>
          <w:rFonts w:hint="cs"/>
          <w:sz w:val="20"/>
          <w:szCs w:val="20"/>
          <w:rtl/>
        </w:rPr>
        <w:t xml:space="preserve"> </w:t>
      </w:r>
      <w:r>
        <w:rPr>
          <w:sz w:val="20"/>
          <w:szCs w:val="20"/>
          <w:rtl/>
        </w:rPr>
        <w:t>–</w:t>
      </w:r>
      <w:r>
        <w:rPr>
          <w:rFonts w:hint="cs"/>
          <w:sz w:val="20"/>
          <w:szCs w:val="20"/>
          <w:rtl/>
        </w:rPr>
        <w:t xml:space="preserve"> אשה שראתה דם במחבוא אינו מצטרף לעניין קביעת ווסת.</w:t>
      </w:r>
    </w:p>
    <w:p w:rsidR="00620060" w:rsidRPr="00727C6B"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9C4A45">
        <w:rPr>
          <w:rFonts w:hint="cs"/>
          <w:b/>
          <w:bCs/>
          <w:sz w:val="20"/>
          <w:szCs w:val="20"/>
          <w:rtl/>
        </w:rPr>
        <w:t>משנה</w:t>
      </w:r>
      <w:r>
        <w:rPr>
          <w:rFonts w:hint="cs"/>
          <w:sz w:val="20"/>
          <w:szCs w:val="20"/>
          <w:rtl/>
        </w:rPr>
        <w:t xml:space="preserve">. נמצאת במחבוא בשעת ווסתה טהורה ללא בדיקה, חרדה מסלקת דמים. </w:t>
      </w:r>
      <w:r w:rsidRPr="009C4A45">
        <w:rPr>
          <w:rFonts w:hint="cs"/>
          <w:b/>
          <w:bCs/>
          <w:sz w:val="20"/>
          <w:szCs w:val="20"/>
          <w:rtl/>
        </w:rPr>
        <w:t>גמרא</w:t>
      </w:r>
      <w:r>
        <w:rPr>
          <w:rFonts w:hint="cs"/>
          <w:sz w:val="20"/>
          <w:szCs w:val="20"/>
          <w:rtl/>
        </w:rPr>
        <w:t>. מדין חרדה יש ללמוד לדין מעוברת שאף ללא בדיקה טהורה מפני שהיא מסולקת דמים.</w:t>
      </w:r>
      <w:r>
        <w:rPr>
          <w:sz w:val="20"/>
          <w:szCs w:val="20"/>
          <w:rtl/>
        </w:rPr>
        <w:br/>
      </w:r>
      <w:r>
        <w:rPr>
          <w:rFonts w:hint="cs"/>
          <w:sz w:val="20"/>
          <w:szCs w:val="20"/>
          <w:rtl/>
        </w:rPr>
        <w:t xml:space="preserve">2. </w:t>
      </w:r>
      <w:r w:rsidRPr="00657669">
        <w:rPr>
          <w:rFonts w:hint="cs"/>
          <w:b/>
          <w:bCs/>
          <w:sz w:val="20"/>
          <w:szCs w:val="20"/>
          <w:rtl/>
        </w:rPr>
        <w:t>רמב"ן</w:t>
      </w:r>
      <w:r>
        <w:rPr>
          <w:rFonts w:hint="cs"/>
          <w:b/>
          <w:bCs/>
          <w:sz w:val="20"/>
          <w:szCs w:val="20"/>
          <w:rtl/>
        </w:rPr>
        <w:t xml:space="preserve"> וטור</w:t>
      </w:r>
      <w:r>
        <w:rPr>
          <w:rFonts w:hint="cs"/>
          <w:sz w:val="20"/>
          <w:szCs w:val="20"/>
          <w:rtl/>
        </w:rPr>
        <w:t xml:space="preserve">. לכתחילה יש לבדוק במחבוא, בדיעבד טהורה, וכ"פ </w:t>
      </w:r>
      <w:r w:rsidRPr="00657669">
        <w:rPr>
          <w:rFonts w:hint="cs"/>
          <w:b/>
          <w:bCs/>
          <w:sz w:val="20"/>
          <w:szCs w:val="20"/>
          <w:rtl/>
        </w:rPr>
        <w:t>הרמ"א</w:t>
      </w:r>
      <w:r>
        <w:rPr>
          <w:rFonts w:hint="cs"/>
          <w:sz w:val="20"/>
          <w:szCs w:val="20"/>
          <w:rtl/>
        </w:rPr>
        <w:t xml:space="preserve">. </w:t>
      </w:r>
      <w:r w:rsidRPr="00657669">
        <w:rPr>
          <w:rFonts w:hint="cs"/>
          <w:b/>
          <w:bCs/>
          <w:sz w:val="20"/>
          <w:szCs w:val="20"/>
          <w:rtl/>
        </w:rPr>
        <w:t>רשב"א</w:t>
      </w:r>
      <w:r>
        <w:rPr>
          <w:rFonts w:hint="cs"/>
          <w:sz w:val="20"/>
          <w:szCs w:val="20"/>
          <w:rtl/>
        </w:rPr>
        <w:t xml:space="preserve">. אף לכתחילה טהורה ללא בדיקה, וכ"פ </w:t>
      </w:r>
      <w:r w:rsidRPr="00657669">
        <w:rPr>
          <w:rFonts w:hint="cs"/>
          <w:b/>
          <w:bCs/>
          <w:sz w:val="20"/>
          <w:szCs w:val="20"/>
          <w:rtl/>
        </w:rPr>
        <w:t>המחבר</w:t>
      </w:r>
      <w:r>
        <w:rPr>
          <w:rFonts w:hint="cs"/>
          <w:sz w:val="20"/>
          <w:szCs w:val="20"/>
          <w:rtl/>
        </w:rPr>
        <w:t>.</w:t>
      </w:r>
      <w:r>
        <w:rPr>
          <w:sz w:val="20"/>
          <w:szCs w:val="20"/>
          <w:rtl/>
        </w:rPr>
        <w:br/>
      </w:r>
      <w:r>
        <w:rPr>
          <w:rFonts w:hint="cs"/>
          <w:sz w:val="20"/>
          <w:szCs w:val="20"/>
          <w:rtl/>
        </w:rPr>
        <w:t xml:space="preserve">3. </w:t>
      </w:r>
      <w:r w:rsidRPr="00684773">
        <w:rPr>
          <w:rFonts w:hint="cs"/>
          <w:b/>
          <w:bCs/>
          <w:sz w:val="20"/>
          <w:szCs w:val="20"/>
          <w:rtl/>
        </w:rPr>
        <w:t>ב"י</w:t>
      </w:r>
      <w:r>
        <w:rPr>
          <w:rFonts w:hint="cs"/>
          <w:sz w:val="20"/>
          <w:szCs w:val="20"/>
          <w:rtl/>
        </w:rPr>
        <w:t xml:space="preserve">. קשה על </w:t>
      </w:r>
      <w:r w:rsidRPr="00684773">
        <w:rPr>
          <w:rFonts w:hint="cs"/>
          <w:b/>
          <w:bCs/>
          <w:sz w:val="20"/>
          <w:szCs w:val="20"/>
          <w:rtl/>
        </w:rPr>
        <w:t>הרמב"ן וטור</w:t>
      </w:r>
      <w:r>
        <w:rPr>
          <w:rFonts w:hint="cs"/>
          <w:sz w:val="20"/>
          <w:szCs w:val="20"/>
          <w:rtl/>
        </w:rPr>
        <w:t xml:space="preserve"> </w:t>
      </w:r>
      <w:r>
        <w:rPr>
          <w:sz w:val="20"/>
          <w:szCs w:val="20"/>
          <w:rtl/>
        </w:rPr>
        <w:t>–</w:t>
      </w:r>
      <w:r>
        <w:rPr>
          <w:rFonts w:hint="cs"/>
          <w:sz w:val="20"/>
          <w:szCs w:val="20"/>
          <w:rtl/>
        </w:rPr>
        <w:t xml:space="preserve"> בגמרא השוו מעוברת לחרדה, ולשיטתם אינו דומה שהרי מעוברת לכו"ע לכתחילה טהורה! א. </w:t>
      </w:r>
      <w:r w:rsidRPr="00657669">
        <w:rPr>
          <w:rFonts w:hint="cs"/>
          <w:b/>
          <w:bCs/>
          <w:sz w:val="20"/>
          <w:szCs w:val="20"/>
          <w:rtl/>
        </w:rPr>
        <w:t>ב"י</w:t>
      </w:r>
      <w:r>
        <w:rPr>
          <w:rFonts w:hint="cs"/>
          <w:sz w:val="20"/>
          <w:szCs w:val="20"/>
          <w:rtl/>
        </w:rPr>
        <w:t xml:space="preserve">. במעוברת חזינן שהיא מסולקת דמים לגמרי, בחרדה רק בדיעבד, חזינן נשים שרואות כרגיל. ב. </w:t>
      </w:r>
      <w:r w:rsidRPr="00657669">
        <w:rPr>
          <w:rFonts w:hint="cs"/>
          <w:b/>
          <w:bCs/>
          <w:sz w:val="20"/>
          <w:szCs w:val="20"/>
          <w:rtl/>
        </w:rPr>
        <w:t>ב"ח</w:t>
      </w:r>
      <w:r>
        <w:rPr>
          <w:rFonts w:hint="cs"/>
          <w:sz w:val="20"/>
          <w:szCs w:val="20"/>
          <w:rtl/>
        </w:rPr>
        <w:t xml:space="preserve">. גירסה שונה בגמרא. ג. </w:t>
      </w:r>
      <w:r w:rsidRPr="00657669">
        <w:rPr>
          <w:rFonts w:hint="cs"/>
          <w:b/>
          <w:bCs/>
          <w:sz w:val="20"/>
          <w:szCs w:val="20"/>
          <w:rtl/>
        </w:rPr>
        <w:t>ט"ז</w:t>
      </w:r>
      <w:r>
        <w:rPr>
          <w:rFonts w:hint="cs"/>
          <w:sz w:val="20"/>
          <w:szCs w:val="20"/>
          <w:rtl/>
        </w:rPr>
        <w:t>. תשמיש בשעת חרדה מסלק דמים, ולכן אסורה לשמש.</w:t>
      </w:r>
      <w:r>
        <w:rPr>
          <w:rFonts w:hint="cs"/>
          <w:sz w:val="20"/>
          <w:szCs w:val="20"/>
          <w:rtl/>
        </w:rPr>
        <w:br/>
        <w:t xml:space="preserve">4. </w:t>
      </w:r>
      <w:r w:rsidRPr="005E7699">
        <w:rPr>
          <w:rFonts w:hint="cs"/>
          <w:b/>
          <w:bCs/>
          <w:sz w:val="20"/>
          <w:szCs w:val="20"/>
          <w:rtl/>
        </w:rPr>
        <w:t>חוו"ד</w:t>
      </w:r>
      <w:r>
        <w:rPr>
          <w:rFonts w:hint="cs"/>
          <w:sz w:val="20"/>
          <w:szCs w:val="20"/>
          <w:rtl/>
        </w:rPr>
        <w:t>. ראיית דם במחבוא אינה מצטרפת לעניין קביעת ווסת.</w:t>
      </w:r>
      <w:r>
        <w:rPr>
          <w:sz w:val="20"/>
          <w:szCs w:val="20"/>
          <w:rtl/>
        </w:rPr>
        <w:br/>
      </w:r>
      <w:r>
        <w:rPr>
          <w:rFonts w:hint="cs"/>
          <w:sz w:val="20"/>
          <w:szCs w:val="20"/>
          <w:rtl/>
        </w:rPr>
        <w:br/>
      </w:r>
      <w:r>
        <w:rPr>
          <w:rFonts w:hint="cs"/>
          <w:b/>
          <w:bCs/>
          <w:sz w:val="20"/>
          <w:szCs w:val="20"/>
          <w:rtl/>
        </w:rPr>
        <w:t>הוספה</w:t>
      </w:r>
      <w:r>
        <w:rPr>
          <w:b/>
          <w:bCs/>
          <w:sz w:val="20"/>
          <w:szCs w:val="20"/>
          <w:rtl/>
        </w:rPr>
        <w:br/>
      </w:r>
      <w:r>
        <w:rPr>
          <w:rFonts w:hint="cs"/>
          <w:sz w:val="20"/>
          <w:szCs w:val="20"/>
          <w:u w:val="single"/>
          <w:rtl/>
        </w:rPr>
        <w:t>האם נטילת כדורים לעיכוב הווסת מהני להחשיבה מסולקת דמים?</w:t>
      </w:r>
      <w:r>
        <w:rPr>
          <w:sz w:val="20"/>
          <w:szCs w:val="20"/>
          <w:u w:val="single"/>
          <w:rtl/>
        </w:rPr>
        <w:br/>
      </w:r>
      <w:r w:rsidRPr="00727C6B">
        <w:rPr>
          <w:rFonts w:hint="cs"/>
          <w:b/>
          <w:bCs/>
          <w:sz w:val="20"/>
          <w:szCs w:val="20"/>
          <w:rtl/>
        </w:rPr>
        <w:t>שו"ת רדב"ז ושבט הלוי</w:t>
      </w:r>
      <w:r>
        <w:rPr>
          <w:rFonts w:hint="cs"/>
          <w:sz w:val="20"/>
          <w:szCs w:val="20"/>
          <w:rtl/>
        </w:rPr>
        <w:t xml:space="preserve"> </w:t>
      </w:r>
      <w:r>
        <w:rPr>
          <w:sz w:val="20"/>
          <w:szCs w:val="20"/>
          <w:rtl/>
        </w:rPr>
        <w:t>–</w:t>
      </w:r>
      <w:r>
        <w:rPr>
          <w:rFonts w:hint="cs"/>
          <w:sz w:val="20"/>
          <w:szCs w:val="20"/>
          <w:rtl/>
        </w:rPr>
        <w:t xml:space="preserve"> בזמנינו הוחזקו נשים רבות בכדורים אלו שהם מעכבים את הווסת, ולכן מהני להחשיבה מסולקת דמים. ברם, לכתחילה צריכה בדיקה בשעת ווסתה עד שתתחזק ג' פעמים שאינה רואה.</w:t>
      </w:r>
      <w:r>
        <w:rPr>
          <w:rFonts w:hint="cs"/>
          <w:sz w:val="20"/>
          <w:szCs w:val="20"/>
          <w:rtl/>
        </w:rPr>
        <w:br/>
        <w:t xml:space="preserve">ומשעה שהפסיקה ליטול את הכדורים, צריכה לפרוש מעת לעת לפני הזמן שהווסת צריך לבוא ע"פ דברי הרופאים </w:t>
      </w:r>
      <w:r w:rsidRPr="007D7936">
        <w:rPr>
          <w:rFonts w:hint="cs"/>
          <w:sz w:val="18"/>
          <w:szCs w:val="18"/>
          <w:rtl/>
        </w:rPr>
        <w:t>(</w:t>
      </w:r>
      <w:r w:rsidRPr="007D7936">
        <w:rPr>
          <w:rFonts w:hint="cs"/>
          <w:b/>
          <w:bCs/>
          <w:sz w:val="18"/>
          <w:szCs w:val="18"/>
          <w:rtl/>
        </w:rPr>
        <w:t>ששבה"ל</w:t>
      </w:r>
      <w:r w:rsidRPr="007D7936">
        <w:rPr>
          <w:rFonts w:hint="cs"/>
          <w:sz w:val="18"/>
          <w:szCs w:val="18"/>
          <w:rtl/>
        </w:rPr>
        <w:t xml:space="preserve"> עמוד קמד'</w:t>
      </w:r>
      <w:r>
        <w:rPr>
          <w:rFonts w:hint="cs"/>
          <w:sz w:val="18"/>
          <w:szCs w:val="18"/>
          <w:rtl/>
        </w:rPr>
        <w:t>,</w:t>
      </w:r>
      <w:r w:rsidRPr="007D7936">
        <w:rPr>
          <w:rFonts w:hint="cs"/>
          <w:sz w:val="18"/>
          <w:szCs w:val="18"/>
          <w:rtl/>
        </w:rPr>
        <w:t xml:space="preserve"> ד"ה ו</w:t>
      </w:r>
      <w:r>
        <w:rPr>
          <w:rFonts w:hint="cs"/>
          <w:sz w:val="18"/>
          <w:szCs w:val="18"/>
          <w:rtl/>
        </w:rPr>
        <w:t>הלוקחות</w:t>
      </w:r>
      <w:r w:rsidRPr="007D7936">
        <w:rPr>
          <w:rFonts w:hint="cs"/>
          <w:sz w:val="18"/>
          <w:szCs w:val="18"/>
          <w:rtl/>
        </w:rPr>
        <w:t>)</w:t>
      </w:r>
      <w:r>
        <w:rPr>
          <w:rFonts w:hint="cs"/>
          <w:sz w:val="20"/>
          <w:szCs w:val="20"/>
          <w:rtl/>
        </w:rPr>
        <w:t>.</w:t>
      </w:r>
    </w:p>
    <w:p w:rsidR="00620060" w:rsidRDefault="00620060" w:rsidP="00620060">
      <w:pPr>
        <w:rPr>
          <w:sz w:val="20"/>
          <w:szCs w:val="20"/>
          <w:rtl/>
        </w:rPr>
      </w:pPr>
      <w:r>
        <w:rPr>
          <w:sz w:val="20"/>
          <w:szCs w:val="20"/>
          <w:rtl/>
        </w:rPr>
        <w:br/>
      </w:r>
      <w:r>
        <w:rPr>
          <w:rFonts w:hint="cs"/>
          <w:b/>
          <w:bCs/>
          <w:sz w:val="20"/>
          <w:szCs w:val="20"/>
          <w:rtl/>
        </w:rPr>
        <w:t xml:space="preserve">סעיף ט </w:t>
      </w:r>
      <w:r>
        <w:rPr>
          <w:b/>
          <w:bCs/>
          <w:sz w:val="20"/>
          <w:szCs w:val="20"/>
          <w:rtl/>
        </w:rPr>
        <w:t>–</w:t>
      </w:r>
      <w:r>
        <w:rPr>
          <w:rFonts w:hint="cs"/>
          <w:b/>
          <w:bCs/>
          <w:sz w:val="20"/>
          <w:szCs w:val="20"/>
          <w:rtl/>
        </w:rPr>
        <w:t xml:space="preserve"> בדיקה בשעת ווסתה</w:t>
      </w:r>
      <w:r>
        <w:rPr>
          <w:b/>
          <w:bCs/>
          <w:sz w:val="20"/>
          <w:szCs w:val="20"/>
          <w:rtl/>
        </w:rPr>
        <w:br/>
      </w:r>
      <w:r>
        <w:rPr>
          <w:rFonts w:hint="cs"/>
          <w:sz w:val="20"/>
          <w:szCs w:val="20"/>
          <w:rtl/>
        </w:rPr>
        <w:t>כל אשה צריכה בדיקה בשעת ווסתה, ונחלקו הראשונים באשה בעלת ווסת קבוע שלא בדקה:</w:t>
      </w:r>
    </w:p>
    <w:p w:rsidR="00620060" w:rsidRDefault="00620060" w:rsidP="00620060">
      <w:pPr>
        <w:rPr>
          <w:sz w:val="20"/>
          <w:szCs w:val="20"/>
          <w:rtl/>
        </w:rPr>
      </w:pPr>
      <w:r w:rsidRPr="00DA1309">
        <w:rPr>
          <w:rFonts w:hint="cs"/>
          <w:b/>
          <w:bCs/>
          <w:sz w:val="20"/>
          <w:szCs w:val="20"/>
          <w:rtl/>
        </w:rPr>
        <w:t>שיטות הראשונים</w:t>
      </w:r>
      <w:r>
        <w:rPr>
          <w:sz w:val="20"/>
          <w:szCs w:val="20"/>
          <w:u w:val="single"/>
          <w:rtl/>
        </w:rPr>
        <w:br/>
      </w:r>
      <w:r>
        <w:rPr>
          <w:rFonts w:hint="cs"/>
          <w:sz w:val="20"/>
          <w:szCs w:val="20"/>
          <w:rtl/>
        </w:rPr>
        <w:t xml:space="preserve">א. </w:t>
      </w:r>
      <w:r w:rsidRPr="00E40798">
        <w:rPr>
          <w:rFonts w:hint="cs"/>
          <w:b/>
          <w:bCs/>
          <w:sz w:val="20"/>
          <w:szCs w:val="20"/>
          <w:rtl/>
        </w:rPr>
        <w:t>רשב"א</w:t>
      </w:r>
      <w:r>
        <w:rPr>
          <w:rFonts w:hint="cs"/>
          <w:sz w:val="20"/>
          <w:szCs w:val="20"/>
          <w:rtl/>
        </w:rPr>
        <w:t xml:space="preserve"> </w:t>
      </w:r>
      <w:r w:rsidRPr="000B4992">
        <w:rPr>
          <w:rFonts w:hint="cs"/>
          <w:b/>
          <w:bCs/>
          <w:sz w:val="20"/>
          <w:szCs w:val="20"/>
          <w:rtl/>
        </w:rPr>
        <w:t>ותוספות</w:t>
      </w:r>
      <w:r>
        <w:rPr>
          <w:rFonts w:hint="cs"/>
          <w:sz w:val="20"/>
          <w:szCs w:val="20"/>
          <w:rtl/>
        </w:rPr>
        <w:t xml:space="preserve"> </w:t>
      </w:r>
      <w:r>
        <w:rPr>
          <w:sz w:val="20"/>
          <w:szCs w:val="20"/>
          <w:rtl/>
        </w:rPr>
        <w:t>–</w:t>
      </w:r>
      <w:r>
        <w:rPr>
          <w:rFonts w:hint="cs"/>
          <w:sz w:val="20"/>
          <w:szCs w:val="20"/>
          <w:rtl/>
        </w:rPr>
        <w:t xml:space="preserve"> אסורה לבעלה עד שתבדוק שהיא טהורה.</w:t>
      </w:r>
      <w:r>
        <w:rPr>
          <w:sz w:val="20"/>
          <w:szCs w:val="20"/>
          <w:rtl/>
        </w:rPr>
        <w:br/>
      </w:r>
      <w:r>
        <w:rPr>
          <w:rFonts w:hint="cs"/>
          <w:sz w:val="20"/>
          <w:szCs w:val="20"/>
          <w:rtl/>
        </w:rPr>
        <w:t xml:space="preserve">ב. </w:t>
      </w:r>
      <w:r w:rsidRPr="00E40798">
        <w:rPr>
          <w:rFonts w:hint="cs"/>
          <w:b/>
          <w:bCs/>
          <w:sz w:val="20"/>
          <w:szCs w:val="20"/>
          <w:rtl/>
        </w:rPr>
        <w:t>רמב"ם ורי"ף</w:t>
      </w:r>
      <w:r>
        <w:rPr>
          <w:rFonts w:hint="cs"/>
          <w:sz w:val="20"/>
          <w:szCs w:val="20"/>
          <w:rtl/>
        </w:rPr>
        <w:t xml:space="preserve"> </w:t>
      </w:r>
      <w:r>
        <w:rPr>
          <w:sz w:val="20"/>
          <w:szCs w:val="20"/>
          <w:rtl/>
        </w:rPr>
        <w:t>–</w:t>
      </w:r>
      <w:r>
        <w:rPr>
          <w:rFonts w:hint="cs"/>
          <w:sz w:val="20"/>
          <w:szCs w:val="20"/>
          <w:rtl/>
        </w:rPr>
        <w:t xml:space="preserve"> מותרת לבעלה אף ללא בדיקה, וכ"פ </w:t>
      </w:r>
      <w:r w:rsidRPr="000B4992">
        <w:rPr>
          <w:rFonts w:hint="cs"/>
          <w:b/>
          <w:bCs/>
          <w:sz w:val="20"/>
          <w:szCs w:val="20"/>
          <w:rtl/>
        </w:rPr>
        <w:t>המחבר</w:t>
      </w:r>
      <w:r w:rsidRPr="00367001">
        <w:rPr>
          <w:rStyle w:val="a5"/>
          <w:sz w:val="20"/>
          <w:szCs w:val="20"/>
          <w:rtl/>
        </w:rPr>
        <w:footnoteReference w:id="43"/>
      </w:r>
      <w:r w:rsidRPr="00367001">
        <w:rPr>
          <w:rFonts w:hint="cs"/>
          <w:sz w:val="20"/>
          <w:szCs w:val="20"/>
          <w:rtl/>
        </w:rPr>
        <w:t>.</w:t>
      </w:r>
      <w:r>
        <w:rPr>
          <w:rFonts w:hint="cs"/>
          <w:sz w:val="20"/>
          <w:szCs w:val="20"/>
          <w:rtl/>
        </w:rPr>
        <w:br/>
      </w:r>
      <w:r>
        <w:rPr>
          <w:rFonts w:hint="cs"/>
          <w:sz w:val="20"/>
          <w:szCs w:val="20"/>
          <w:rtl/>
        </w:rPr>
        <w:br/>
      </w:r>
      <w:r w:rsidRPr="00DA1309">
        <w:rPr>
          <w:rFonts w:hint="cs"/>
          <w:b/>
          <w:bCs/>
          <w:sz w:val="20"/>
          <w:szCs w:val="20"/>
          <w:rtl/>
        </w:rPr>
        <w:t>ביאור שיטת הרשב"א ותוספות</w:t>
      </w:r>
      <w:r>
        <w:rPr>
          <w:sz w:val="20"/>
          <w:szCs w:val="20"/>
          <w:u w:val="single"/>
          <w:rtl/>
        </w:rPr>
        <w:br/>
      </w:r>
      <w:r w:rsidRPr="000B4992">
        <w:rPr>
          <w:rFonts w:hint="cs"/>
          <w:b/>
          <w:bCs/>
          <w:sz w:val="20"/>
          <w:szCs w:val="20"/>
          <w:rtl/>
        </w:rPr>
        <w:t>גמרא</w:t>
      </w:r>
      <w:r>
        <w:rPr>
          <w:rFonts w:hint="cs"/>
          <w:sz w:val="20"/>
          <w:szCs w:val="20"/>
          <w:rtl/>
        </w:rPr>
        <w:t xml:space="preserve"> נידה (טז.) "</w:t>
      </w:r>
      <w:r w:rsidRPr="000B4992">
        <w:rPr>
          <w:rFonts w:cs="Arial" w:hint="cs"/>
          <w:sz w:val="20"/>
          <w:szCs w:val="20"/>
          <w:rtl/>
        </w:rPr>
        <w:t>איתמר</w:t>
      </w:r>
      <w:r w:rsidRPr="000B4992">
        <w:rPr>
          <w:rFonts w:cs="Arial"/>
          <w:sz w:val="20"/>
          <w:szCs w:val="20"/>
          <w:rtl/>
        </w:rPr>
        <w:t xml:space="preserve">; </w:t>
      </w:r>
      <w:r w:rsidRPr="000B4992">
        <w:rPr>
          <w:rFonts w:cs="Arial" w:hint="cs"/>
          <w:sz w:val="20"/>
          <w:szCs w:val="20"/>
          <w:rtl/>
        </w:rPr>
        <w:t>אשה</w:t>
      </w:r>
      <w:r w:rsidRPr="000B4992">
        <w:rPr>
          <w:rFonts w:cs="Arial"/>
          <w:sz w:val="20"/>
          <w:szCs w:val="20"/>
          <w:rtl/>
        </w:rPr>
        <w:t xml:space="preserve"> </w:t>
      </w:r>
      <w:r w:rsidRPr="000B4992">
        <w:rPr>
          <w:rFonts w:cs="Arial" w:hint="cs"/>
          <w:sz w:val="20"/>
          <w:szCs w:val="20"/>
          <w:rtl/>
        </w:rPr>
        <w:t>שיש</w:t>
      </w:r>
      <w:r w:rsidRPr="000B4992">
        <w:rPr>
          <w:rFonts w:cs="Arial"/>
          <w:sz w:val="20"/>
          <w:szCs w:val="20"/>
          <w:rtl/>
        </w:rPr>
        <w:t xml:space="preserve"> </w:t>
      </w:r>
      <w:r w:rsidRPr="000B4992">
        <w:rPr>
          <w:rFonts w:cs="Arial" w:hint="cs"/>
          <w:sz w:val="20"/>
          <w:szCs w:val="20"/>
          <w:rtl/>
        </w:rPr>
        <w:t>לה</w:t>
      </w:r>
      <w:r w:rsidRPr="000B4992">
        <w:rPr>
          <w:rFonts w:cs="Arial"/>
          <w:sz w:val="20"/>
          <w:szCs w:val="20"/>
          <w:rtl/>
        </w:rPr>
        <w:t xml:space="preserve"> </w:t>
      </w:r>
      <w:r w:rsidRPr="000B4992">
        <w:rPr>
          <w:rFonts w:cs="Arial" w:hint="cs"/>
          <w:sz w:val="20"/>
          <w:szCs w:val="20"/>
          <w:rtl/>
        </w:rPr>
        <w:t>וסת</w:t>
      </w:r>
      <w:r w:rsidRPr="000B4992">
        <w:rPr>
          <w:rFonts w:cs="Arial"/>
          <w:sz w:val="20"/>
          <w:szCs w:val="20"/>
          <w:rtl/>
        </w:rPr>
        <w:t xml:space="preserve">, </w:t>
      </w:r>
      <w:r w:rsidRPr="000B4992">
        <w:rPr>
          <w:rFonts w:cs="Arial" w:hint="cs"/>
          <w:sz w:val="20"/>
          <w:szCs w:val="20"/>
          <w:rtl/>
        </w:rPr>
        <w:t>והגיע</w:t>
      </w:r>
      <w:r w:rsidRPr="000B4992">
        <w:rPr>
          <w:rFonts w:cs="Arial"/>
          <w:sz w:val="20"/>
          <w:szCs w:val="20"/>
          <w:rtl/>
        </w:rPr>
        <w:t xml:space="preserve"> </w:t>
      </w:r>
      <w:r w:rsidRPr="000B4992">
        <w:rPr>
          <w:rFonts w:cs="Arial" w:hint="cs"/>
          <w:sz w:val="20"/>
          <w:szCs w:val="20"/>
          <w:rtl/>
        </w:rPr>
        <w:t>שעת</w:t>
      </w:r>
      <w:r w:rsidRPr="000B4992">
        <w:rPr>
          <w:rFonts w:cs="Arial"/>
          <w:sz w:val="20"/>
          <w:szCs w:val="20"/>
          <w:rtl/>
        </w:rPr>
        <w:t xml:space="preserve"> </w:t>
      </w:r>
      <w:r w:rsidRPr="000B4992">
        <w:rPr>
          <w:rFonts w:cs="Arial" w:hint="cs"/>
          <w:sz w:val="20"/>
          <w:szCs w:val="20"/>
          <w:rtl/>
        </w:rPr>
        <w:t>וסתה</w:t>
      </w:r>
      <w:r w:rsidRPr="000B4992">
        <w:rPr>
          <w:rFonts w:cs="Arial"/>
          <w:sz w:val="20"/>
          <w:szCs w:val="20"/>
          <w:rtl/>
        </w:rPr>
        <w:t xml:space="preserve"> </w:t>
      </w:r>
      <w:r w:rsidRPr="000B4992">
        <w:rPr>
          <w:rFonts w:cs="Arial" w:hint="cs"/>
          <w:sz w:val="20"/>
          <w:szCs w:val="20"/>
          <w:rtl/>
        </w:rPr>
        <w:t>ולא</w:t>
      </w:r>
      <w:r w:rsidRPr="000B4992">
        <w:rPr>
          <w:rFonts w:cs="Arial"/>
          <w:sz w:val="20"/>
          <w:szCs w:val="20"/>
          <w:rtl/>
        </w:rPr>
        <w:t xml:space="preserve"> </w:t>
      </w:r>
      <w:r w:rsidRPr="000B4992">
        <w:rPr>
          <w:rFonts w:cs="Arial" w:hint="cs"/>
          <w:sz w:val="20"/>
          <w:szCs w:val="20"/>
          <w:rtl/>
        </w:rPr>
        <w:t>בדקה</w:t>
      </w:r>
      <w:r w:rsidRPr="000B4992">
        <w:rPr>
          <w:rFonts w:cs="Arial"/>
          <w:sz w:val="20"/>
          <w:szCs w:val="20"/>
          <w:rtl/>
        </w:rPr>
        <w:t xml:space="preserve">, </w:t>
      </w:r>
      <w:r w:rsidRPr="000B4992">
        <w:rPr>
          <w:rFonts w:cs="Arial" w:hint="cs"/>
          <w:sz w:val="20"/>
          <w:szCs w:val="20"/>
          <w:rtl/>
        </w:rPr>
        <w:t>ולבסוף</w:t>
      </w:r>
      <w:r w:rsidRPr="000B4992">
        <w:rPr>
          <w:rFonts w:cs="Arial"/>
          <w:sz w:val="20"/>
          <w:szCs w:val="20"/>
          <w:rtl/>
        </w:rPr>
        <w:t xml:space="preserve"> </w:t>
      </w:r>
      <w:r w:rsidRPr="000B4992">
        <w:rPr>
          <w:rFonts w:cs="Arial" w:hint="cs"/>
          <w:sz w:val="20"/>
          <w:szCs w:val="20"/>
          <w:rtl/>
        </w:rPr>
        <w:t>בדקה</w:t>
      </w:r>
      <w:r w:rsidRPr="000B4992">
        <w:rPr>
          <w:rFonts w:cs="Arial"/>
          <w:sz w:val="20"/>
          <w:szCs w:val="20"/>
          <w:rtl/>
        </w:rPr>
        <w:t xml:space="preserve">, </w:t>
      </w:r>
      <w:r w:rsidRPr="000B4992">
        <w:rPr>
          <w:rFonts w:cs="Arial" w:hint="cs"/>
          <w:sz w:val="20"/>
          <w:szCs w:val="20"/>
          <w:rtl/>
        </w:rPr>
        <w:t>אמר</w:t>
      </w:r>
      <w:r w:rsidRPr="000B4992">
        <w:rPr>
          <w:rFonts w:cs="Arial"/>
          <w:sz w:val="20"/>
          <w:szCs w:val="20"/>
          <w:rtl/>
        </w:rPr>
        <w:t xml:space="preserve"> </w:t>
      </w:r>
      <w:r w:rsidRPr="000B4992">
        <w:rPr>
          <w:rFonts w:cs="Arial" w:hint="cs"/>
          <w:sz w:val="20"/>
          <w:szCs w:val="20"/>
          <w:rtl/>
        </w:rPr>
        <w:t>רב</w:t>
      </w:r>
      <w:r w:rsidRPr="000B4992">
        <w:rPr>
          <w:rFonts w:cs="Arial"/>
          <w:sz w:val="20"/>
          <w:szCs w:val="20"/>
          <w:rtl/>
        </w:rPr>
        <w:t xml:space="preserve">: </w:t>
      </w:r>
      <w:r w:rsidRPr="000B4992">
        <w:rPr>
          <w:rFonts w:cs="Arial" w:hint="cs"/>
          <w:sz w:val="20"/>
          <w:szCs w:val="20"/>
          <w:rtl/>
        </w:rPr>
        <w:t>בדקה</w:t>
      </w:r>
      <w:r w:rsidRPr="000B4992">
        <w:rPr>
          <w:rFonts w:cs="Arial"/>
          <w:sz w:val="20"/>
          <w:szCs w:val="20"/>
          <w:rtl/>
        </w:rPr>
        <w:t xml:space="preserve"> </w:t>
      </w:r>
      <w:r w:rsidRPr="000B4992">
        <w:rPr>
          <w:rFonts w:cs="Arial" w:hint="cs"/>
          <w:sz w:val="20"/>
          <w:szCs w:val="20"/>
          <w:rtl/>
        </w:rPr>
        <w:t>ומצאת</w:t>
      </w:r>
      <w:r w:rsidRPr="000B4992">
        <w:rPr>
          <w:rFonts w:cs="Arial"/>
          <w:sz w:val="20"/>
          <w:szCs w:val="20"/>
          <w:rtl/>
        </w:rPr>
        <w:t xml:space="preserve"> </w:t>
      </w:r>
      <w:r w:rsidRPr="000B4992">
        <w:rPr>
          <w:rFonts w:cs="Arial" w:hint="cs"/>
          <w:sz w:val="20"/>
          <w:szCs w:val="20"/>
          <w:rtl/>
        </w:rPr>
        <w:t>טמאה</w:t>
      </w:r>
      <w:r w:rsidRPr="000B4992">
        <w:rPr>
          <w:rFonts w:cs="Arial"/>
          <w:sz w:val="20"/>
          <w:szCs w:val="20"/>
          <w:rtl/>
        </w:rPr>
        <w:t xml:space="preserve"> - </w:t>
      </w:r>
      <w:r w:rsidRPr="000B4992">
        <w:rPr>
          <w:rFonts w:cs="Arial" w:hint="cs"/>
          <w:sz w:val="20"/>
          <w:szCs w:val="20"/>
          <w:rtl/>
        </w:rPr>
        <w:t>טמאה</w:t>
      </w:r>
      <w:r w:rsidRPr="000B4992">
        <w:rPr>
          <w:rFonts w:cs="Arial"/>
          <w:sz w:val="20"/>
          <w:szCs w:val="20"/>
          <w:rtl/>
        </w:rPr>
        <w:t xml:space="preserve">, </w:t>
      </w:r>
      <w:r w:rsidRPr="000B4992">
        <w:rPr>
          <w:rFonts w:cs="Arial" w:hint="cs"/>
          <w:sz w:val="20"/>
          <w:szCs w:val="20"/>
          <w:rtl/>
        </w:rPr>
        <w:t>טהורה</w:t>
      </w:r>
      <w:r w:rsidRPr="000B4992">
        <w:rPr>
          <w:rFonts w:cs="Arial"/>
          <w:sz w:val="20"/>
          <w:szCs w:val="20"/>
          <w:rtl/>
        </w:rPr>
        <w:t xml:space="preserve"> - </w:t>
      </w:r>
      <w:r w:rsidRPr="000B4992">
        <w:rPr>
          <w:rFonts w:cs="Arial" w:hint="cs"/>
          <w:sz w:val="20"/>
          <w:szCs w:val="20"/>
          <w:rtl/>
        </w:rPr>
        <w:t>טהורה</w:t>
      </w:r>
      <w:r w:rsidRPr="000B4992">
        <w:rPr>
          <w:rFonts w:cs="Arial"/>
          <w:sz w:val="20"/>
          <w:szCs w:val="20"/>
          <w:rtl/>
        </w:rPr>
        <w:t xml:space="preserve">. </w:t>
      </w:r>
      <w:r w:rsidRPr="000B4992">
        <w:rPr>
          <w:rFonts w:cs="Arial" w:hint="cs"/>
          <w:sz w:val="20"/>
          <w:szCs w:val="20"/>
          <w:rtl/>
        </w:rPr>
        <w:t>ושמואל</w:t>
      </w:r>
      <w:r w:rsidRPr="000B4992">
        <w:rPr>
          <w:rFonts w:cs="Arial"/>
          <w:sz w:val="20"/>
          <w:szCs w:val="20"/>
          <w:rtl/>
        </w:rPr>
        <w:t xml:space="preserve"> </w:t>
      </w:r>
      <w:r w:rsidRPr="000B4992">
        <w:rPr>
          <w:rFonts w:cs="Arial" w:hint="cs"/>
          <w:sz w:val="20"/>
          <w:szCs w:val="20"/>
          <w:rtl/>
        </w:rPr>
        <w:t>אמר</w:t>
      </w:r>
      <w:r w:rsidRPr="000B4992">
        <w:rPr>
          <w:rFonts w:cs="Arial"/>
          <w:sz w:val="20"/>
          <w:szCs w:val="20"/>
          <w:rtl/>
        </w:rPr>
        <w:t xml:space="preserve">: </w:t>
      </w:r>
      <w:r w:rsidRPr="000B4992">
        <w:rPr>
          <w:rFonts w:cs="Arial" w:hint="cs"/>
          <w:sz w:val="20"/>
          <w:szCs w:val="20"/>
          <w:rtl/>
        </w:rPr>
        <w:t>אפילו</w:t>
      </w:r>
      <w:r w:rsidRPr="000B4992">
        <w:rPr>
          <w:rFonts w:cs="Arial"/>
          <w:sz w:val="20"/>
          <w:szCs w:val="20"/>
          <w:rtl/>
        </w:rPr>
        <w:t xml:space="preserve"> </w:t>
      </w:r>
      <w:r w:rsidRPr="000B4992">
        <w:rPr>
          <w:rFonts w:cs="Arial" w:hint="cs"/>
          <w:sz w:val="20"/>
          <w:szCs w:val="20"/>
          <w:rtl/>
        </w:rPr>
        <w:t>בדקה</w:t>
      </w:r>
      <w:r w:rsidRPr="000B4992">
        <w:rPr>
          <w:rFonts w:cs="Arial"/>
          <w:sz w:val="20"/>
          <w:szCs w:val="20"/>
          <w:rtl/>
        </w:rPr>
        <w:t xml:space="preserve"> </w:t>
      </w:r>
      <w:r w:rsidRPr="000B4992">
        <w:rPr>
          <w:rFonts w:cs="Arial" w:hint="cs"/>
          <w:sz w:val="20"/>
          <w:szCs w:val="20"/>
          <w:rtl/>
        </w:rPr>
        <w:t>ומצאת</w:t>
      </w:r>
      <w:r w:rsidRPr="000B4992">
        <w:rPr>
          <w:rFonts w:cs="Arial"/>
          <w:sz w:val="20"/>
          <w:szCs w:val="20"/>
          <w:rtl/>
        </w:rPr>
        <w:t xml:space="preserve"> </w:t>
      </w:r>
      <w:r w:rsidRPr="000B4992">
        <w:rPr>
          <w:rFonts w:cs="Arial" w:hint="cs"/>
          <w:sz w:val="20"/>
          <w:szCs w:val="20"/>
          <w:rtl/>
        </w:rPr>
        <w:t>טהורה</w:t>
      </w:r>
      <w:r w:rsidRPr="000B4992">
        <w:rPr>
          <w:rFonts w:cs="Arial"/>
          <w:sz w:val="20"/>
          <w:szCs w:val="20"/>
          <w:rtl/>
        </w:rPr>
        <w:t xml:space="preserve"> - </w:t>
      </w:r>
      <w:r w:rsidRPr="000B4992">
        <w:rPr>
          <w:rFonts w:cs="Arial" w:hint="cs"/>
          <w:sz w:val="20"/>
          <w:szCs w:val="20"/>
          <w:rtl/>
        </w:rPr>
        <w:t>נמי</w:t>
      </w:r>
      <w:r w:rsidRPr="000B4992">
        <w:rPr>
          <w:rFonts w:cs="Arial"/>
          <w:sz w:val="20"/>
          <w:szCs w:val="20"/>
          <w:rtl/>
        </w:rPr>
        <w:t xml:space="preserve"> </w:t>
      </w:r>
      <w:r w:rsidRPr="000B4992">
        <w:rPr>
          <w:rFonts w:cs="Arial" w:hint="cs"/>
          <w:sz w:val="20"/>
          <w:szCs w:val="20"/>
          <w:rtl/>
        </w:rPr>
        <w:t>טמאה</w:t>
      </w:r>
      <w:r w:rsidRPr="000B4992">
        <w:rPr>
          <w:rFonts w:cs="Arial"/>
          <w:sz w:val="20"/>
          <w:szCs w:val="20"/>
          <w:rtl/>
        </w:rPr>
        <w:t xml:space="preserve">, </w:t>
      </w:r>
      <w:r w:rsidRPr="000B4992">
        <w:rPr>
          <w:rFonts w:cs="Arial" w:hint="cs"/>
          <w:sz w:val="20"/>
          <w:szCs w:val="20"/>
          <w:rtl/>
        </w:rPr>
        <w:t>מפני</w:t>
      </w:r>
      <w:r w:rsidRPr="000B4992">
        <w:rPr>
          <w:rFonts w:cs="Arial"/>
          <w:sz w:val="20"/>
          <w:szCs w:val="20"/>
          <w:rtl/>
        </w:rPr>
        <w:t xml:space="preserve"> </w:t>
      </w:r>
      <w:r w:rsidRPr="000B4992">
        <w:rPr>
          <w:rFonts w:cs="Arial" w:hint="cs"/>
          <w:sz w:val="20"/>
          <w:szCs w:val="20"/>
          <w:rtl/>
        </w:rPr>
        <w:t>שאורח</w:t>
      </w:r>
      <w:r w:rsidRPr="000B4992">
        <w:rPr>
          <w:rFonts w:cs="Arial"/>
          <w:sz w:val="20"/>
          <w:szCs w:val="20"/>
          <w:rtl/>
        </w:rPr>
        <w:t xml:space="preserve"> </w:t>
      </w:r>
      <w:r w:rsidRPr="000B4992">
        <w:rPr>
          <w:rFonts w:cs="Arial" w:hint="cs"/>
          <w:sz w:val="20"/>
          <w:szCs w:val="20"/>
          <w:rtl/>
        </w:rPr>
        <w:t>בזמנו</w:t>
      </w:r>
      <w:r w:rsidRPr="000B4992">
        <w:rPr>
          <w:rFonts w:cs="Arial"/>
          <w:sz w:val="20"/>
          <w:szCs w:val="20"/>
          <w:rtl/>
        </w:rPr>
        <w:t xml:space="preserve"> </w:t>
      </w:r>
      <w:r w:rsidRPr="000B4992">
        <w:rPr>
          <w:rFonts w:cs="Arial" w:hint="cs"/>
          <w:sz w:val="20"/>
          <w:szCs w:val="20"/>
          <w:rtl/>
        </w:rPr>
        <w:t>בא</w:t>
      </w:r>
      <w:r>
        <w:rPr>
          <w:rFonts w:cs="Arial"/>
          <w:sz w:val="20"/>
          <w:szCs w:val="20"/>
          <w:rtl/>
        </w:rPr>
        <w:t>.</w:t>
      </w:r>
      <w:r>
        <w:rPr>
          <w:rFonts w:cs="Arial" w:hint="cs"/>
          <w:sz w:val="20"/>
          <w:szCs w:val="20"/>
          <w:rtl/>
        </w:rPr>
        <w:t xml:space="preserve">.. </w:t>
      </w:r>
      <w:r w:rsidRPr="000B4992">
        <w:rPr>
          <w:rFonts w:cs="Arial" w:hint="cs"/>
          <w:sz w:val="20"/>
          <w:szCs w:val="20"/>
          <w:rtl/>
        </w:rPr>
        <w:t>ר</w:t>
      </w:r>
      <w:r>
        <w:rPr>
          <w:rFonts w:cs="Arial" w:hint="cs"/>
          <w:sz w:val="20"/>
          <w:szCs w:val="20"/>
          <w:rtl/>
        </w:rPr>
        <w:t xml:space="preserve">ב </w:t>
      </w:r>
      <w:r w:rsidRPr="000B4992">
        <w:rPr>
          <w:rFonts w:cs="Arial" w:hint="cs"/>
          <w:sz w:val="20"/>
          <w:szCs w:val="20"/>
          <w:rtl/>
        </w:rPr>
        <w:t>נ</w:t>
      </w:r>
      <w:r>
        <w:rPr>
          <w:rFonts w:cs="Arial" w:hint="cs"/>
          <w:sz w:val="20"/>
          <w:szCs w:val="20"/>
          <w:rtl/>
        </w:rPr>
        <w:t>חמן</w:t>
      </w:r>
      <w:r w:rsidRPr="000B4992">
        <w:rPr>
          <w:rFonts w:cs="Arial"/>
          <w:sz w:val="20"/>
          <w:szCs w:val="20"/>
          <w:rtl/>
        </w:rPr>
        <w:t xml:space="preserve"> </w:t>
      </w:r>
      <w:r w:rsidRPr="000B4992">
        <w:rPr>
          <w:rFonts w:cs="Arial" w:hint="cs"/>
          <w:sz w:val="20"/>
          <w:szCs w:val="20"/>
          <w:rtl/>
        </w:rPr>
        <w:t>בר</w:t>
      </w:r>
      <w:r w:rsidRPr="000B4992">
        <w:rPr>
          <w:rFonts w:cs="Arial"/>
          <w:sz w:val="20"/>
          <w:szCs w:val="20"/>
          <w:rtl/>
        </w:rPr>
        <w:t xml:space="preserve"> </w:t>
      </w:r>
      <w:r w:rsidRPr="000B4992">
        <w:rPr>
          <w:rFonts w:cs="Arial" w:hint="cs"/>
          <w:sz w:val="20"/>
          <w:szCs w:val="20"/>
          <w:rtl/>
        </w:rPr>
        <w:t>יצחק</w:t>
      </w:r>
      <w:r w:rsidRPr="000B4992">
        <w:rPr>
          <w:rFonts w:cs="Arial"/>
          <w:sz w:val="20"/>
          <w:szCs w:val="20"/>
          <w:rtl/>
        </w:rPr>
        <w:t xml:space="preserve"> </w:t>
      </w:r>
      <w:r w:rsidRPr="000B4992">
        <w:rPr>
          <w:rFonts w:cs="Arial" w:hint="cs"/>
          <w:sz w:val="20"/>
          <w:szCs w:val="20"/>
          <w:rtl/>
        </w:rPr>
        <w:t>אמר</w:t>
      </w:r>
      <w:r w:rsidRPr="000B4992">
        <w:rPr>
          <w:rFonts w:cs="Arial"/>
          <w:sz w:val="20"/>
          <w:szCs w:val="20"/>
          <w:rtl/>
        </w:rPr>
        <w:t xml:space="preserve">: </w:t>
      </w:r>
      <w:r w:rsidRPr="000B4992">
        <w:rPr>
          <w:rFonts w:cs="Arial" w:hint="cs"/>
          <w:sz w:val="20"/>
          <w:szCs w:val="20"/>
          <w:rtl/>
        </w:rPr>
        <w:t>ב</w:t>
      </w:r>
      <w:r>
        <w:rPr>
          <w:rFonts w:cs="Arial" w:hint="cs"/>
          <w:sz w:val="20"/>
          <w:szCs w:val="20"/>
          <w:rtl/>
        </w:rPr>
        <w:t>ו</w:t>
      </w:r>
      <w:r w:rsidRPr="000B4992">
        <w:rPr>
          <w:rFonts w:cs="Arial" w:hint="cs"/>
          <w:sz w:val="20"/>
          <w:szCs w:val="20"/>
          <w:rtl/>
        </w:rPr>
        <w:t>וסתות</w:t>
      </w:r>
      <w:r w:rsidRPr="000B4992">
        <w:rPr>
          <w:rFonts w:cs="Arial"/>
          <w:sz w:val="20"/>
          <w:szCs w:val="20"/>
          <w:rtl/>
        </w:rPr>
        <w:t xml:space="preserve"> </w:t>
      </w:r>
      <w:r w:rsidRPr="000B4992">
        <w:rPr>
          <w:rFonts w:cs="Arial" w:hint="cs"/>
          <w:sz w:val="20"/>
          <w:szCs w:val="20"/>
          <w:rtl/>
        </w:rPr>
        <w:t>גופייהו</w:t>
      </w:r>
      <w:r w:rsidRPr="000B4992">
        <w:rPr>
          <w:rFonts w:cs="Arial"/>
          <w:sz w:val="20"/>
          <w:szCs w:val="20"/>
          <w:rtl/>
        </w:rPr>
        <w:t xml:space="preserve"> </w:t>
      </w:r>
      <w:r w:rsidRPr="000B4992">
        <w:rPr>
          <w:rFonts w:cs="Arial" w:hint="cs"/>
          <w:sz w:val="20"/>
          <w:szCs w:val="20"/>
          <w:rtl/>
        </w:rPr>
        <w:t>קמיפלגי</w:t>
      </w:r>
      <w:r w:rsidRPr="000B4992">
        <w:rPr>
          <w:rFonts w:cs="Arial"/>
          <w:sz w:val="20"/>
          <w:szCs w:val="20"/>
          <w:rtl/>
        </w:rPr>
        <w:t xml:space="preserve">, </w:t>
      </w:r>
      <w:r w:rsidRPr="000B4992">
        <w:rPr>
          <w:rFonts w:cs="Arial" w:hint="cs"/>
          <w:sz w:val="20"/>
          <w:szCs w:val="20"/>
          <w:rtl/>
        </w:rPr>
        <w:t>דמ</w:t>
      </w:r>
      <w:r>
        <w:rPr>
          <w:rFonts w:cs="Arial" w:hint="cs"/>
          <w:sz w:val="20"/>
          <w:szCs w:val="20"/>
          <w:rtl/>
        </w:rPr>
        <w:t xml:space="preserve">ר </w:t>
      </w:r>
      <w:r w:rsidRPr="000B4992">
        <w:rPr>
          <w:rFonts w:cs="Arial" w:hint="cs"/>
          <w:sz w:val="20"/>
          <w:szCs w:val="20"/>
          <w:rtl/>
        </w:rPr>
        <w:t>ס</w:t>
      </w:r>
      <w:r>
        <w:rPr>
          <w:rFonts w:cs="Arial" w:hint="cs"/>
          <w:sz w:val="20"/>
          <w:szCs w:val="20"/>
          <w:rtl/>
        </w:rPr>
        <w:t>בר</w:t>
      </w:r>
      <w:r w:rsidRPr="000B4992">
        <w:rPr>
          <w:rFonts w:cs="Arial"/>
          <w:sz w:val="20"/>
          <w:szCs w:val="20"/>
          <w:rtl/>
        </w:rPr>
        <w:t xml:space="preserve"> - </w:t>
      </w:r>
      <w:r w:rsidRPr="000B4992">
        <w:rPr>
          <w:rFonts w:cs="Arial" w:hint="cs"/>
          <w:sz w:val="20"/>
          <w:szCs w:val="20"/>
          <w:rtl/>
        </w:rPr>
        <w:t>וסתות</w:t>
      </w:r>
      <w:r w:rsidRPr="000B4992">
        <w:rPr>
          <w:rFonts w:cs="Arial"/>
          <w:sz w:val="20"/>
          <w:szCs w:val="20"/>
          <w:rtl/>
        </w:rPr>
        <w:t xml:space="preserve"> </w:t>
      </w:r>
      <w:r w:rsidRPr="000B4992">
        <w:rPr>
          <w:rFonts w:cs="Arial" w:hint="cs"/>
          <w:sz w:val="20"/>
          <w:szCs w:val="20"/>
          <w:rtl/>
        </w:rPr>
        <w:t>דאורייתא</w:t>
      </w:r>
      <w:r w:rsidRPr="000B4992">
        <w:rPr>
          <w:rFonts w:cs="Arial"/>
          <w:sz w:val="20"/>
          <w:szCs w:val="20"/>
          <w:rtl/>
        </w:rPr>
        <w:t xml:space="preserve">, </w:t>
      </w:r>
      <w:r w:rsidRPr="000B4992">
        <w:rPr>
          <w:rFonts w:cs="Arial" w:hint="cs"/>
          <w:sz w:val="20"/>
          <w:szCs w:val="20"/>
          <w:rtl/>
        </w:rPr>
        <w:t>ומר</w:t>
      </w:r>
      <w:r w:rsidRPr="000B4992">
        <w:rPr>
          <w:rFonts w:cs="Arial"/>
          <w:sz w:val="20"/>
          <w:szCs w:val="20"/>
          <w:rtl/>
        </w:rPr>
        <w:t xml:space="preserve"> </w:t>
      </w:r>
      <w:r w:rsidRPr="000B4992">
        <w:rPr>
          <w:rFonts w:cs="Arial" w:hint="cs"/>
          <w:sz w:val="20"/>
          <w:szCs w:val="20"/>
          <w:rtl/>
        </w:rPr>
        <w:t>סבר</w:t>
      </w:r>
      <w:r w:rsidRPr="000B4992">
        <w:rPr>
          <w:rFonts w:cs="Arial"/>
          <w:sz w:val="20"/>
          <w:szCs w:val="20"/>
          <w:rtl/>
        </w:rPr>
        <w:t xml:space="preserve"> - </w:t>
      </w:r>
      <w:r w:rsidRPr="000B4992">
        <w:rPr>
          <w:rFonts w:cs="Arial" w:hint="cs"/>
          <w:sz w:val="20"/>
          <w:szCs w:val="20"/>
          <w:rtl/>
        </w:rPr>
        <w:t>וסתות</w:t>
      </w:r>
      <w:r w:rsidRPr="000B4992">
        <w:rPr>
          <w:rFonts w:cs="Arial"/>
          <w:sz w:val="20"/>
          <w:szCs w:val="20"/>
          <w:rtl/>
        </w:rPr>
        <w:t xml:space="preserve"> </w:t>
      </w:r>
      <w:r w:rsidRPr="000B4992">
        <w:rPr>
          <w:rFonts w:cs="Arial" w:hint="cs"/>
          <w:sz w:val="20"/>
          <w:szCs w:val="20"/>
          <w:rtl/>
        </w:rPr>
        <w:t>דרבנן</w:t>
      </w:r>
      <w:r w:rsidRPr="000B4992">
        <w:rPr>
          <w:rFonts w:cs="Arial"/>
          <w:sz w:val="20"/>
          <w:szCs w:val="20"/>
          <w:rtl/>
        </w:rPr>
        <w:t xml:space="preserve">. </w:t>
      </w:r>
      <w:r w:rsidRPr="000B4992">
        <w:rPr>
          <w:rFonts w:cs="Arial" w:hint="cs"/>
          <w:sz w:val="20"/>
          <w:szCs w:val="20"/>
          <w:rtl/>
        </w:rPr>
        <w:t>אמר</w:t>
      </w:r>
      <w:r w:rsidRPr="000B4992">
        <w:rPr>
          <w:rFonts w:cs="Arial"/>
          <w:sz w:val="20"/>
          <w:szCs w:val="20"/>
          <w:rtl/>
        </w:rPr>
        <w:t xml:space="preserve"> </w:t>
      </w:r>
      <w:r w:rsidRPr="000B4992">
        <w:rPr>
          <w:rFonts w:cs="Arial" w:hint="cs"/>
          <w:sz w:val="20"/>
          <w:szCs w:val="20"/>
          <w:rtl/>
        </w:rPr>
        <w:t>רב</w:t>
      </w:r>
      <w:r w:rsidRPr="000B4992">
        <w:rPr>
          <w:rFonts w:cs="Arial"/>
          <w:sz w:val="20"/>
          <w:szCs w:val="20"/>
          <w:rtl/>
        </w:rPr>
        <w:t xml:space="preserve"> </w:t>
      </w:r>
      <w:r w:rsidRPr="000B4992">
        <w:rPr>
          <w:rFonts w:cs="Arial" w:hint="cs"/>
          <w:sz w:val="20"/>
          <w:szCs w:val="20"/>
          <w:rtl/>
        </w:rPr>
        <w:t>ששת</w:t>
      </w:r>
      <w:r w:rsidRPr="000B4992">
        <w:rPr>
          <w:rFonts w:cs="Arial"/>
          <w:sz w:val="20"/>
          <w:szCs w:val="20"/>
          <w:rtl/>
        </w:rPr>
        <w:t xml:space="preserve">: </w:t>
      </w:r>
      <w:r w:rsidRPr="000B4992">
        <w:rPr>
          <w:rFonts w:cs="Arial" w:hint="cs"/>
          <w:sz w:val="20"/>
          <w:szCs w:val="20"/>
          <w:rtl/>
        </w:rPr>
        <w:t>כתנאי</w:t>
      </w:r>
      <w:r w:rsidRPr="000B4992">
        <w:rPr>
          <w:rFonts w:cs="Arial"/>
          <w:sz w:val="20"/>
          <w:szCs w:val="20"/>
          <w:rtl/>
        </w:rPr>
        <w:t xml:space="preserve">, </w:t>
      </w:r>
      <w:r w:rsidRPr="000B4992">
        <w:rPr>
          <w:rFonts w:cs="Arial" w:hint="cs"/>
          <w:sz w:val="20"/>
          <w:szCs w:val="20"/>
          <w:rtl/>
        </w:rPr>
        <w:t>ר</w:t>
      </w:r>
      <w:r>
        <w:rPr>
          <w:rFonts w:cs="Arial" w:hint="cs"/>
          <w:sz w:val="20"/>
          <w:szCs w:val="20"/>
          <w:rtl/>
        </w:rPr>
        <w:t>בי</w:t>
      </w:r>
      <w:r w:rsidRPr="000B4992">
        <w:rPr>
          <w:rFonts w:cs="Arial"/>
          <w:sz w:val="20"/>
          <w:szCs w:val="20"/>
          <w:rtl/>
        </w:rPr>
        <w:t xml:space="preserve"> </w:t>
      </w:r>
      <w:r w:rsidRPr="000B4992">
        <w:rPr>
          <w:rFonts w:cs="Arial" w:hint="cs"/>
          <w:sz w:val="20"/>
          <w:szCs w:val="20"/>
          <w:rtl/>
        </w:rPr>
        <w:t>אליעזר</w:t>
      </w:r>
      <w:r w:rsidRPr="000B4992">
        <w:rPr>
          <w:rFonts w:cs="Arial"/>
          <w:sz w:val="20"/>
          <w:szCs w:val="20"/>
          <w:rtl/>
        </w:rPr>
        <w:t xml:space="preserve"> </w:t>
      </w:r>
      <w:r w:rsidRPr="000B4992">
        <w:rPr>
          <w:rFonts w:cs="Arial" w:hint="cs"/>
          <w:sz w:val="20"/>
          <w:szCs w:val="20"/>
          <w:rtl/>
        </w:rPr>
        <w:t>אומר</w:t>
      </w:r>
      <w:r w:rsidRPr="000B4992">
        <w:rPr>
          <w:rFonts w:cs="Arial"/>
          <w:sz w:val="20"/>
          <w:szCs w:val="20"/>
          <w:rtl/>
        </w:rPr>
        <w:t xml:space="preserve"> </w:t>
      </w:r>
      <w:r w:rsidRPr="000B4992">
        <w:rPr>
          <w:rFonts w:cs="Arial" w:hint="cs"/>
          <w:sz w:val="20"/>
          <w:szCs w:val="20"/>
          <w:rtl/>
        </w:rPr>
        <w:t>טמאה</w:t>
      </w:r>
      <w:r w:rsidRPr="000B4992">
        <w:rPr>
          <w:rFonts w:cs="Arial"/>
          <w:sz w:val="20"/>
          <w:szCs w:val="20"/>
          <w:rtl/>
        </w:rPr>
        <w:t xml:space="preserve"> </w:t>
      </w:r>
      <w:r w:rsidRPr="000B4992">
        <w:rPr>
          <w:rFonts w:cs="Arial" w:hint="cs"/>
          <w:sz w:val="20"/>
          <w:szCs w:val="20"/>
          <w:rtl/>
        </w:rPr>
        <w:t>נדה</w:t>
      </w:r>
      <w:r w:rsidRPr="000B4992">
        <w:rPr>
          <w:rFonts w:cs="Arial"/>
          <w:sz w:val="20"/>
          <w:szCs w:val="20"/>
          <w:rtl/>
        </w:rPr>
        <w:t xml:space="preserve">, </w:t>
      </w:r>
      <w:r w:rsidRPr="000B4992">
        <w:rPr>
          <w:rFonts w:cs="Arial" w:hint="cs"/>
          <w:sz w:val="20"/>
          <w:szCs w:val="20"/>
          <w:rtl/>
        </w:rPr>
        <w:t>ורבי</w:t>
      </w:r>
      <w:r w:rsidRPr="000B4992">
        <w:rPr>
          <w:rFonts w:cs="Arial"/>
          <w:sz w:val="20"/>
          <w:szCs w:val="20"/>
          <w:rtl/>
        </w:rPr>
        <w:t xml:space="preserve"> </w:t>
      </w:r>
      <w:r w:rsidRPr="000B4992">
        <w:rPr>
          <w:rFonts w:cs="Arial" w:hint="cs"/>
          <w:sz w:val="20"/>
          <w:szCs w:val="20"/>
          <w:rtl/>
        </w:rPr>
        <w:t>יהושע</w:t>
      </w:r>
      <w:r w:rsidRPr="000B4992">
        <w:rPr>
          <w:rFonts w:cs="Arial"/>
          <w:sz w:val="20"/>
          <w:szCs w:val="20"/>
          <w:rtl/>
        </w:rPr>
        <w:t xml:space="preserve"> </w:t>
      </w:r>
      <w:r w:rsidRPr="000B4992">
        <w:rPr>
          <w:rFonts w:cs="Arial" w:hint="cs"/>
          <w:sz w:val="20"/>
          <w:szCs w:val="20"/>
          <w:rtl/>
        </w:rPr>
        <w:t>אומר</w:t>
      </w:r>
      <w:r w:rsidRPr="000B4992">
        <w:rPr>
          <w:rFonts w:cs="Arial"/>
          <w:sz w:val="20"/>
          <w:szCs w:val="20"/>
          <w:rtl/>
        </w:rPr>
        <w:t xml:space="preserve"> </w:t>
      </w:r>
      <w:r w:rsidRPr="000B4992">
        <w:rPr>
          <w:rFonts w:cs="Arial" w:hint="cs"/>
          <w:sz w:val="20"/>
          <w:szCs w:val="20"/>
          <w:rtl/>
        </w:rPr>
        <w:t>ת</w:t>
      </w:r>
      <w:r>
        <w:rPr>
          <w:rFonts w:cs="Arial" w:hint="cs"/>
          <w:sz w:val="20"/>
          <w:szCs w:val="20"/>
          <w:rtl/>
        </w:rPr>
        <w:t>י</w:t>
      </w:r>
      <w:r w:rsidRPr="000B4992">
        <w:rPr>
          <w:rFonts w:cs="Arial" w:hint="cs"/>
          <w:sz w:val="20"/>
          <w:szCs w:val="20"/>
          <w:rtl/>
        </w:rPr>
        <w:t>בדק</w:t>
      </w:r>
      <w:r w:rsidRPr="000B4992">
        <w:rPr>
          <w:rFonts w:cs="Arial"/>
          <w:sz w:val="20"/>
          <w:szCs w:val="20"/>
          <w:rtl/>
        </w:rPr>
        <w:t xml:space="preserve">. </w:t>
      </w:r>
      <w:r w:rsidRPr="000B4992">
        <w:rPr>
          <w:rFonts w:cs="Arial" w:hint="cs"/>
          <w:sz w:val="20"/>
          <w:szCs w:val="20"/>
          <w:rtl/>
        </w:rPr>
        <w:t>והני</w:t>
      </w:r>
      <w:r w:rsidRPr="000B4992">
        <w:rPr>
          <w:rFonts w:cs="Arial"/>
          <w:sz w:val="20"/>
          <w:szCs w:val="20"/>
          <w:rtl/>
        </w:rPr>
        <w:t xml:space="preserve"> </w:t>
      </w:r>
      <w:r w:rsidRPr="000B4992">
        <w:rPr>
          <w:rFonts w:cs="Arial" w:hint="cs"/>
          <w:sz w:val="20"/>
          <w:szCs w:val="20"/>
          <w:rtl/>
        </w:rPr>
        <w:t>תנאי</w:t>
      </w:r>
      <w:r w:rsidRPr="000B4992">
        <w:rPr>
          <w:rFonts w:cs="Arial"/>
          <w:sz w:val="20"/>
          <w:szCs w:val="20"/>
          <w:rtl/>
        </w:rPr>
        <w:t xml:space="preserve"> </w:t>
      </w:r>
      <w:r w:rsidRPr="000B4992">
        <w:rPr>
          <w:rFonts w:cs="Arial" w:hint="cs"/>
          <w:sz w:val="20"/>
          <w:szCs w:val="20"/>
          <w:rtl/>
        </w:rPr>
        <w:t>כי</w:t>
      </w:r>
      <w:r w:rsidRPr="000B4992">
        <w:rPr>
          <w:rFonts w:cs="Arial"/>
          <w:sz w:val="20"/>
          <w:szCs w:val="20"/>
          <w:rtl/>
        </w:rPr>
        <w:t xml:space="preserve"> </w:t>
      </w:r>
      <w:r w:rsidRPr="000B4992">
        <w:rPr>
          <w:rFonts w:cs="Arial" w:hint="cs"/>
          <w:sz w:val="20"/>
          <w:szCs w:val="20"/>
          <w:rtl/>
        </w:rPr>
        <w:t>הני</w:t>
      </w:r>
      <w:r w:rsidRPr="000B4992">
        <w:rPr>
          <w:rFonts w:cs="Arial"/>
          <w:sz w:val="20"/>
          <w:szCs w:val="20"/>
          <w:rtl/>
        </w:rPr>
        <w:t xml:space="preserve"> </w:t>
      </w:r>
      <w:r w:rsidRPr="000B4992">
        <w:rPr>
          <w:rFonts w:cs="Arial" w:hint="cs"/>
          <w:sz w:val="20"/>
          <w:szCs w:val="20"/>
          <w:rtl/>
        </w:rPr>
        <w:t>תנאי</w:t>
      </w:r>
      <w:r w:rsidRPr="000B4992">
        <w:rPr>
          <w:rFonts w:cs="Arial"/>
          <w:sz w:val="20"/>
          <w:szCs w:val="20"/>
          <w:rtl/>
        </w:rPr>
        <w:t xml:space="preserve">; </w:t>
      </w:r>
      <w:r w:rsidRPr="000B4992">
        <w:rPr>
          <w:rFonts w:cs="Arial" w:hint="cs"/>
          <w:sz w:val="20"/>
          <w:szCs w:val="20"/>
          <w:rtl/>
        </w:rPr>
        <w:t>דתניא</w:t>
      </w:r>
      <w:r w:rsidRPr="000B4992">
        <w:rPr>
          <w:rFonts w:cs="Arial"/>
          <w:sz w:val="20"/>
          <w:szCs w:val="20"/>
          <w:rtl/>
        </w:rPr>
        <w:t xml:space="preserve">, </w:t>
      </w:r>
      <w:r w:rsidRPr="000B4992">
        <w:rPr>
          <w:rFonts w:cs="Arial" w:hint="cs"/>
          <w:sz w:val="20"/>
          <w:szCs w:val="20"/>
          <w:rtl/>
        </w:rPr>
        <w:t>רבי</w:t>
      </w:r>
      <w:r w:rsidRPr="000B4992">
        <w:rPr>
          <w:rFonts w:cs="Arial"/>
          <w:sz w:val="20"/>
          <w:szCs w:val="20"/>
          <w:rtl/>
        </w:rPr>
        <w:t xml:space="preserve"> </w:t>
      </w:r>
      <w:r w:rsidRPr="000B4992">
        <w:rPr>
          <w:rFonts w:cs="Arial" w:hint="cs"/>
          <w:sz w:val="20"/>
          <w:szCs w:val="20"/>
          <w:rtl/>
        </w:rPr>
        <w:t>מאיר</w:t>
      </w:r>
      <w:r w:rsidRPr="000B4992">
        <w:rPr>
          <w:rFonts w:cs="Arial"/>
          <w:sz w:val="20"/>
          <w:szCs w:val="20"/>
          <w:rtl/>
        </w:rPr>
        <w:t xml:space="preserve"> </w:t>
      </w:r>
      <w:r w:rsidRPr="000B4992">
        <w:rPr>
          <w:rFonts w:cs="Arial" w:hint="cs"/>
          <w:sz w:val="20"/>
          <w:szCs w:val="20"/>
          <w:rtl/>
        </w:rPr>
        <w:t>אומר</w:t>
      </w:r>
      <w:r w:rsidRPr="000B4992">
        <w:rPr>
          <w:rFonts w:cs="Arial"/>
          <w:sz w:val="20"/>
          <w:szCs w:val="20"/>
          <w:rtl/>
        </w:rPr>
        <w:t xml:space="preserve">: </w:t>
      </w:r>
      <w:r w:rsidRPr="000B4992">
        <w:rPr>
          <w:rFonts w:cs="Arial" w:hint="cs"/>
          <w:sz w:val="20"/>
          <w:szCs w:val="20"/>
          <w:rtl/>
        </w:rPr>
        <w:t>טמאה</w:t>
      </w:r>
      <w:r w:rsidRPr="000B4992">
        <w:rPr>
          <w:rFonts w:cs="Arial"/>
          <w:sz w:val="20"/>
          <w:szCs w:val="20"/>
          <w:rtl/>
        </w:rPr>
        <w:t xml:space="preserve"> </w:t>
      </w:r>
      <w:r w:rsidRPr="000B4992">
        <w:rPr>
          <w:rFonts w:cs="Arial" w:hint="cs"/>
          <w:sz w:val="20"/>
          <w:szCs w:val="20"/>
          <w:rtl/>
        </w:rPr>
        <w:t>נדה</w:t>
      </w:r>
      <w:r w:rsidRPr="000B4992">
        <w:rPr>
          <w:rFonts w:cs="Arial"/>
          <w:sz w:val="20"/>
          <w:szCs w:val="20"/>
          <w:rtl/>
        </w:rPr>
        <w:t xml:space="preserve">, </w:t>
      </w:r>
      <w:r w:rsidRPr="000B4992">
        <w:rPr>
          <w:rFonts w:cs="Arial" w:hint="cs"/>
          <w:sz w:val="20"/>
          <w:szCs w:val="20"/>
          <w:rtl/>
        </w:rPr>
        <w:t>וחכ</w:t>
      </w:r>
      <w:r>
        <w:rPr>
          <w:rFonts w:cs="Arial" w:hint="cs"/>
          <w:sz w:val="20"/>
          <w:szCs w:val="20"/>
          <w:rtl/>
        </w:rPr>
        <w:t xml:space="preserve">מים </w:t>
      </w:r>
      <w:r w:rsidRPr="000B4992">
        <w:rPr>
          <w:rFonts w:cs="Arial" w:hint="cs"/>
          <w:sz w:val="20"/>
          <w:szCs w:val="20"/>
          <w:rtl/>
        </w:rPr>
        <w:t>א</w:t>
      </w:r>
      <w:r>
        <w:rPr>
          <w:rFonts w:cs="Arial" w:hint="cs"/>
          <w:sz w:val="20"/>
          <w:szCs w:val="20"/>
          <w:rtl/>
        </w:rPr>
        <w:t>ומרים</w:t>
      </w:r>
      <w:r w:rsidRPr="000B4992">
        <w:rPr>
          <w:rFonts w:cs="Arial"/>
          <w:sz w:val="20"/>
          <w:szCs w:val="20"/>
          <w:rtl/>
        </w:rPr>
        <w:t xml:space="preserve">: </w:t>
      </w:r>
      <w:r w:rsidRPr="000B4992">
        <w:rPr>
          <w:rFonts w:cs="Arial" w:hint="cs"/>
          <w:sz w:val="20"/>
          <w:szCs w:val="20"/>
          <w:rtl/>
        </w:rPr>
        <w:t>ת</w:t>
      </w:r>
      <w:r>
        <w:rPr>
          <w:rFonts w:cs="Arial" w:hint="cs"/>
          <w:sz w:val="20"/>
          <w:szCs w:val="20"/>
          <w:rtl/>
        </w:rPr>
        <w:t>י</w:t>
      </w:r>
      <w:r w:rsidRPr="000B4992">
        <w:rPr>
          <w:rFonts w:cs="Arial" w:hint="cs"/>
          <w:sz w:val="20"/>
          <w:szCs w:val="20"/>
          <w:rtl/>
        </w:rPr>
        <w:t>בדק</w:t>
      </w:r>
      <w:r>
        <w:rPr>
          <w:rFonts w:cs="Arial" w:hint="cs"/>
          <w:sz w:val="20"/>
          <w:szCs w:val="20"/>
          <w:rtl/>
        </w:rPr>
        <w:t>"</w:t>
      </w:r>
      <w:r w:rsidRPr="000B4992">
        <w:rPr>
          <w:rFonts w:cs="Arial"/>
          <w:sz w:val="20"/>
          <w:szCs w:val="20"/>
          <w:rtl/>
        </w:rPr>
        <w:t>.</w:t>
      </w:r>
      <w:r>
        <w:rPr>
          <w:rFonts w:hint="cs"/>
          <w:sz w:val="20"/>
          <w:szCs w:val="20"/>
          <w:u w:val="single"/>
          <w:rtl/>
        </w:rPr>
        <w:br/>
      </w:r>
      <w:r>
        <w:rPr>
          <w:rFonts w:hint="cs"/>
          <w:sz w:val="20"/>
          <w:szCs w:val="20"/>
          <w:rtl/>
        </w:rPr>
        <w:t>קיי"ל כרבי יהושע לגבי במחלוקתו עם רבי אליעזר, וכן קיי"ל כחכמים במחלוקתם עם רבי מאיר.</w:t>
      </w:r>
      <w:r>
        <w:rPr>
          <w:rStyle w:val="a5"/>
          <w:sz w:val="20"/>
          <w:szCs w:val="20"/>
          <w:rtl/>
        </w:rPr>
        <w:footnoteReference w:id="44"/>
      </w:r>
    </w:p>
    <w:p w:rsidR="00620060" w:rsidRDefault="00620060" w:rsidP="00620060">
      <w:pPr>
        <w:rPr>
          <w:sz w:val="20"/>
          <w:szCs w:val="20"/>
          <w:rtl/>
        </w:rPr>
      </w:pPr>
      <w:r w:rsidRPr="00DA1309">
        <w:rPr>
          <w:rFonts w:hint="cs"/>
          <w:b/>
          <w:bCs/>
          <w:sz w:val="20"/>
          <w:szCs w:val="20"/>
          <w:rtl/>
        </w:rPr>
        <w:t>עד מתי יכולה לבדוק עצמה לדעת הרשב"א</w:t>
      </w:r>
      <w:r>
        <w:rPr>
          <w:sz w:val="20"/>
          <w:szCs w:val="20"/>
          <w:u w:val="single"/>
          <w:rtl/>
        </w:rPr>
        <w:br/>
      </w:r>
      <w:r>
        <w:rPr>
          <w:rFonts w:hint="cs"/>
          <w:b/>
          <w:bCs/>
          <w:sz w:val="20"/>
          <w:szCs w:val="20"/>
          <w:rtl/>
        </w:rPr>
        <w:t xml:space="preserve">גמרא </w:t>
      </w:r>
      <w:r>
        <w:rPr>
          <w:rFonts w:hint="cs"/>
          <w:sz w:val="20"/>
          <w:szCs w:val="20"/>
          <w:rtl/>
        </w:rPr>
        <w:t>נידה (טז.)</w:t>
      </w:r>
      <w:r>
        <w:rPr>
          <w:sz w:val="20"/>
          <w:szCs w:val="20"/>
        </w:rPr>
        <w:t xml:space="preserve"> </w:t>
      </w:r>
      <w:r>
        <w:rPr>
          <w:rFonts w:hint="cs"/>
          <w:sz w:val="20"/>
          <w:szCs w:val="20"/>
          <w:rtl/>
        </w:rPr>
        <w:t>"</w:t>
      </w:r>
      <w:r w:rsidRPr="006B0399">
        <w:rPr>
          <w:rFonts w:cs="Arial" w:hint="cs"/>
          <w:sz w:val="20"/>
          <w:szCs w:val="20"/>
          <w:rtl/>
        </w:rPr>
        <w:t>איתמר</w:t>
      </w:r>
      <w:r w:rsidRPr="006B0399">
        <w:rPr>
          <w:rFonts w:cs="Arial"/>
          <w:sz w:val="20"/>
          <w:szCs w:val="20"/>
          <w:rtl/>
        </w:rPr>
        <w:t xml:space="preserve">; </w:t>
      </w:r>
      <w:r w:rsidRPr="006B0399">
        <w:rPr>
          <w:rFonts w:cs="Arial" w:hint="cs"/>
          <w:sz w:val="20"/>
          <w:szCs w:val="20"/>
          <w:rtl/>
        </w:rPr>
        <w:t>אשה</w:t>
      </w:r>
      <w:r w:rsidRPr="006B0399">
        <w:rPr>
          <w:rFonts w:cs="Arial"/>
          <w:sz w:val="20"/>
          <w:szCs w:val="20"/>
          <w:rtl/>
        </w:rPr>
        <w:t xml:space="preserve"> </w:t>
      </w:r>
      <w:r w:rsidRPr="006B0399">
        <w:rPr>
          <w:rFonts w:cs="Arial" w:hint="cs"/>
          <w:sz w:val="20"/>
          <w:szCs w:val="20"/>
          <w:rtl/>
        </w:rPr>
        <w:t>שיש</w:t>
      </w:r>
      <w:r w:rsidRPr="006B0399">
        <w:rPr>
          <w:rFonts w:cs="Arial"/>
          <w:sz w:val="20"/>
          <w:szCs w:val="20"/>
          <w:rtl/>
        </w:rPr>
        <w:t xml:space="preserve"> </w:t>
      </w:r>
      <w:r w:rsidRPr="006B0399">
        <w:rPr>
          <w:rFonts w:cs="Arial" w:hint="cs"/>
          <w:sz w:val="20"/>
          <w:szCs w:val="20"/>
          <w:rtl/>
        </w:rPr>
        <w:t>לה</w:t>
      </w:r>
      <w:r w:rsidRPr="006B0399">
        <w:rPr>
          <w:rFonts w:cs="Arial"/>
          <w:sz w:val="20"/>
          <w:szCs w:val="20"/>
          <w:rtl/>
        </w:rPr>
        <w:t xml:space="preserve"> </w:t>
      </w:r>
      <w:r w:rsidRPr="006B0399">
        <w:rPr>
          <w:rFonts w:cs="Arial" w:hint="cs"/>
          <w:sz w:val="20"/>
          <w:szCs w:val="20"/>
          <w:rtl/>
        </w:rPr>
        <w:t>וסת</w:t>
      </w:r>
      <w:r w:rsidRPr="006B0399">
        <w:rPr>
          <w:rFonts w:cs="Arial"/>
          <w:sz w:val="20"/>
          <w:szCs w:val="20"/>
          <w:rtl/>
        </w:rPr>
        <w:t xml:space="preserve">, </w:t>
      </w:r>
      <w:r w:rsidRPr="006B0399">
        <w:rPr>
          <w:rFonts w:cs="Arial" w:hint="cs"/>
          <w:sz w:val="20"/>
          <w:szCs w:val="20"/>
          <w:rtl/>
        </w:rPr>
        <w:t>והגיע</w:t>
      </w:r>
      <w:r w:rsidRPr="006B0399">
        <w:rPr>
          <w:rFonts w:cs="Arial"/>
          <w:sz w:val="20"/>
          <w:szCs w:val="20"/>
          <w:rtl/>
        </w:rPr>
        <w:t xml:space="preserve"> </w:t>
      </w:r>
      <w:r w:rsidRPr="006B0399">
        <w:rPr>
          <w:rFonts w:cs="Arial" w:hint="cs"/>
          <w:sz w:val="20"/>
          <w:szCs w:val="20"/>
          <w:rtl/>
        </w:rPr>
        <w:t>שעת</w:t>
      </w:r>
      <w:r w:rsidRPr="006B0399">
        <w:rPr>
          <w:rFonts w:cs="Arial"/>
          <w:sz w:val="20"/>
          <w:szCs w:val="20"/>
          <w:rtl/>
        </w:rPr>
        <w:t xml:space="preserve"> </w:t>
      </w:r>
      <w:r w:rsidRPr="006B0399">
        <w:rPr>
          <w:rFonts w:cs="Arial" w:hint="cs"/>
          <w:sz w:val="20"/>
          <w:szCs w:val="20"/>
          <w:rtl/>
        </w:rPr>
        <w:t>וסתה</w:t>
      </w:r>
      <w:r w:rsidRPr="006B0399">
        <w:rPr>
          <w:rFonts w:cs="Arial"/>
          <w:sz w:val="20"/>
          <w:szCs w:val="20"/>
          <w:rtl/>
        </w:rPr>
        <w:t xml:space="preserve"> </w:t>
      </w:r>
      <w:r w:rsidRPr="006B0399">
        <w:rPr>
          <w:rFonts w:cs="Arial" w:hint="cs"/>
          <w:sz w:val="20"/>
          <w:szCs w:val="20"/>
          <w:rtl/>
        </w:rPr>
        <w:t>ולא</w:t>
      </w:r>
      <w:r w:rsidRPr="006B0399">
        <w:rPr>
          <w:rFonts w:cs="Arial"/>
          <w:sz w:val="20"/>
          <w:szCs w:val="20"/>
          <w:rtl/>
        </w:rPr>
        <w:t xml:space="preserve"> </w:t>
      </w:r>
      <w:r w:rsidRPr="006B0399">
        <w:rPr>
          <w:rFonts w:cs="Arial" w:hint="cs"/>
          <w:sz w:val="20"/>
          <w:szCs w:val="20"/>
          <w:rtl/>
        </w:rPr>
        <w:t>בדקה</w:t>
      </w:r>
      <w:r w:rsidRPr="006B0399">
        <w:rPr>
          <w:rFonts w:cs="Arial"/>
          <w:sz w:val="20"/>
          <w:szCs w:val="20"/>
          <w:rtl/>
        </w:rPr>
        <w:t xml:space="preserve">, </w:t>
      </w:r>
      <w:r w:rsidRPr="006B0399">
        <w:rPr>
          <w:rFonts w:cs="Arial" w:hint="cs"/>
          <w:sz w:val="20"/>
          <w:szCs w:val="20"/>
          <w:rtl/>
        </w:rPr>
        <w:t>ולבסוף</w:t>
      </w:r>
      <w:r w:rsidRPr="006B0399">
        <w:rPr>
          <w:rFonts w:cs="Arial"/>
          <w:sz w:val="20"/>
          <w:szCs w:val="20"/>
          <w:rtl/>
        </w:rPr>
        <w:t xml:space="preserve"> </w:t>
      </w:r>
      <w:r w:rsidRPr="006B0399">
        <w:rPr>
          <w:rFonts w:cs="Arial" w:hint="cs"/>
          <w:sz w:val="20"/>
          <w:szCs w:val="20"/>
          <w:rtl/>
        </w:rPr>
        <w:t>בדקה</w:t>
      </w:r>
      <w:r w:rsidRPr="006B0399">
        <w:rPr>
          <w:rFonts w:cs="Arial"/>
          <w:sz w:val="20"/>
          <w:szCs w:val="20"/>
          <w:rtl/>
        </w:rPr>
        <w:t xml:space="preserve">, </w:t>
      </w:r>
      <w:r w:rsidRPr="006B0399">
        <w:rPr>
          <w:rFonts w:cs="Arial" w:hint="cs"/>
          <w:sz w:val="20"/>
          <w:szCs w:val="20"/>
          <w:rtl/>
        </w:rPr>
        <w:t>אמר</w:t>
      </w:r>
      <w:r w:rsidRPr="006B0399">
        <w:rPr>
          <w:rFonts w:cs="Arial"/>
          <w:sz w:val="20"/>
          <w:szCs w:val="20"/>
          <w:rtl/>
        </w:rPr>
        <w:t xml:space="preserve"> </w:t>
      </w:r>
      <w:r w:rsidRPr="006B0399">
        <w:rPr>
          <w:rFonts w:cs="Arial" w:hint="cs"/>
          <w:sz w:val="20"/>
          <w:szCs w:val="20"/>
          <w:rtl/>
        </w:rPr>
        <w:t>רב</w:t>
      </w:r>
      <w:r w:rsidRPr="006B0399">
        <w:rPr>
          <w:rFonts w:cs="Arial"/>
          <w:sz w:val="20"/>
          <w:szCs w:val="20"/>
          <w:rtl/>
        </w:rPr>
        <w:t xml:space="preserve">: </w:t>
      </w:r>
      <w:r w:rsidRPr="006B0399">
        <w:rPr>
          <w:rFonts w:cs="Arial" w:hint="cs"/>
          <w:sz w:val="20"/>
          <w:szCs w:val="20"/>
          <w:rtl/>
        </w:rPr>
        <w:t>בדקה</w:t>
      </w:r>
      <w:r w:rsidRPr="006B0399">
        <w:rPr>
          <w:rFonts w:cs="Arial"/>
          <w:sz w:val="20"/>
          <w:szCs w:val="20"/>
          <w:rtl/>
        </w:rPr>
        <w:t xml:space="preserve"> </w:t>
      </w:r>
      <w:r w:rsidRPr="006B0399">
        <w:rPr>
          <w:rFonts w:cs="Arial" w:hint="cs"/>
          <w:sz w:val="20"/>
          <w:szCs w:val="20"/>
          <w:rtl/>
        </w:rPr>
        <w:t>ומצאת</w:t>
      </w:r>
      <w:r w:rsidRPr="006B0399">
        <w:rPr>
          <w:rFonts w:cs="Arial"/>
          <w:sz w:val="20"/>
          <w:szCs w:val="20"/>
          <w:rtl/>
        </w:rPr>
        <w:t xml:space="preserve"> </w:t>
      </w:r>
      <w:r w:rsidRPr="006B0399">
        <w:rPr>
          <w:rFonts w:cs="Arial" w:hint="cs"/>
          <w:sz w:val="20"/>
          <w:szCs w:val="20"/>
          <w:rtl/>
        </w:rPr>
        <w:t>טמאה</w:t>
      </w:r>
      <w:r w:rsidRPr="006B0399">
        <w:rPr>
          <w:rFonts w:cs="Arial"/>
          <w:sz w:val="20"/>
          <w:szCs w:val="20"/>
          <w:rtl/>
        </w:rPr>
        <w:t xml:space="preserve"> - </w:t>
      </w:r>
      <w:r w:rsidRPr="006B0399">
        <w:rPr>
          <w:rFonts w:cs="Arial" w:hint="cs"/>
          <w:sz w:val="20"/>
          <w:szCs w:val="20"/>
          <w:rtl/>
        </w:rPr>
        <w:t>טמאה</w:t>
      </w:r>
      <w:r w:rsidRPr="006B0399">
        <w:rPr>
          <w:rFonts w:cs="Arial"/>
          <w:sz w:val="20"/>
          <w:szCs w:val="20"/>
          <w:rtl/>
        </w:rPr>
        <w:t xml:space="preserve">, </w:t>
      </w:r>
      <w:r w:rsidRPr="006B0399">
        <w:rPr>
          <w:rFonts w:cs="Arial" w:hint="cs"/>
          <w:sz w:val="20"/>
          <w:szCs w:val="20"/>
          <w:rtl/>
        </w:rPr>
        <w:t>טהורה</w:t>
      </w:r>
      <w:r w:rsidRPr="006B0399">
        <w:rPr>
          <w:rFonts w:cs="Arial"/>
          <w:sz w:val="20"/>
          <w:szCs w:val="20"/>
          <w:rtl/>
        </w:rPr>
        <w:t xml:space="preserve"> - </w:t>
      </w:r>
      <w:r w:rsidRPr="006B0399">
        <w:rPr>
          <w:rFonts w:cs="Arial" w:hint="cs"/>
          <w:sz w:val="20"/>
          <w:szCs w:val="20"/>
          <w:rtl/>
        </w:rPr>
        <w:t>טהורה</w:t>
      </w:r>
      <w:r w:rsidRPr="006B0399">
        <w:rPr>
          <w:rFonts w:cs="Arial"/>
          <w:sz w:val="20"/>
          <w:szCs w:val="20"/>
          <w:rtl/>
        </w:rPr>
        <w:t xml:space="preserve">. </w:t>
      </w:r>
      <w:r w:rsidRPr="006B0399">
        <w:rPr>
          <w:rFonts w:cs="Arial" w:hint="cs"/>
          <w:sz w:val="20"/>
          <w:szCs w:val="20"/>
          <w:rtl/>
        </w:rPr>
        <w:t>ושמואל</w:t>
      </w:r>
      <w:r w:rsidRPr="006B0399">
        <w:rPr>
          <w:rFonts w:cs="Arial"/>
          <w:sz w:val="20"/>
          <w:szCs w:val="20"/>
          <w:rtl/>
        </w:rPr>
        <w:t xml:space="preserve"> </w:t>
      </w:r>
      <w:r w:rsidRPr="006B0399">
        <w:rPr>
          <w:rFonts w:cs="Arial" w:hint="cs"/>
          <w:sz w:val="20"/>
          <w:szCs w:val="20"/>
          <w:rtl/>
        </w:rPr>
        <w:t>אמר</w:t>
      </w:r>
      <w:r w:rsidRPr="006B0399">
        <w:rPr>
          <w:rFonts w:cs="Arial"/>
          <w:sz w:val="20"/>
          <w:szCs w:val="20"/>
          <w:rtl/>
        </w:rPr>
        <w:t xml:space="preserve">: </w:t>
      </w:r>
      <w:r w:rsidRPr="006B0399">
        <w:rPr>
          <w:rFonts w:cs="Arial" w:hint="cs"/>
          <w:sz w:val="20"/>
          <w:szCs w:val="20"/>
          <w:rtl/>
        </w:rPr>
        <w:t>אפילו</w:t>
      </w:r>
      <w:r w:rsidRPr="006B0399">
        <w:rPr>
          <w:rFonts w:cs="Arial"/>
          <w:sz w:val="20"/>
          <w:szCs w:val="20"/>
          <w:rtl/>
        </w:rPr>
        <w:t xml:space="preserve"> </w:t>
      </w:r>
      <w:r w:rsidRPr="006B0399">
        <w:rPr>
          <w:rFonts w:cs="Arial" w:hint="cs"/>
          <w:sz w:val="20"/>
          <w:szCs w:val="20"/>
          <w:rtl/>
        </w:rPr>
        <w:t>בדקה</w:t>
      </w:r>
      <w:r w:rsidRPr="006B0399">
        <w:rPr>
          <w:rFonts w:cs="Arial"/>
          <w:sz w:val="20"/>
          <w:szCs w:val="20"/>
          <w:rtl/>
        </w:rPr>
        <w:t xml:space="preserve"> </w:t>
      </w:r>
      <w:r w:rsidRPr="006B0399">
        <w:rPr>
          <w:rFonts w:cs="Arial" w:hint="cs"/>
          <w:sz w:val="20"/>
          <w:szCs w:val="20"/>
          <w:rtl/>
        </w:rPr>
        <w:t>ומצאת</w:t>
      </w:r>
      <w:r w:rsidRPr="006B0399">
        <w:rPr>
          <w:rFonts w:cs="Arial"/>
          <w:sz w:val="20"/>
          <w:szCs w:val="20"/>
          <w:rtl/>
        </w:rPr>
        <w:t xml:space="preserve"> </w:t>
      </w:r>
      <w:r w:rsidRPr="006B0399">
        <w:rPr>
          <w:rFonts w:cs="Arial" w:hint="cs"/>
          <w:sz w:val="20"/>
          <w:szCs w:val="20"/>
          <w:rtl/>
        </w:rPr>
        <w:t>טהורה</w:t>
      </w:r>
      <w:r w:rsidRPr="006B0399">
        <w:rPr>
          <w:rFonts w:cs="Arial"/>
          <w:sz w:val="20"/>
          <w:szCs w:val="20"/>
          <w:rtl/>
        </w:rPr>
        <w:t xml:space="preserve"> - </w:t>
      </w:r>
      <w:r w:rsidRPr="006B0399">
        <w:rPr>
          <w:rFonts w:cs="Arial" w:hint="cs"/>
          <w:sz w:val="20"/>
          <w:szCs w:val="20"/>
          <w:rtl/>
        </w:rPr>
        <w:t>נמי</w:t>
      </w:r>
      <w:r w:rsidRPr="006B0399">
        <w:rPr>
          <w:rFonts w:cs="Arial"/>
          <w:sz w:val="20"/>
          <w:szCs w:val="20"/>
          <w:rtl/>
        </w:rPr>
        <w:t xml:space="preserve"> </w:t>
      </w:r>
      <w:r w:rsidRPr="006B0399">
        <w:rPr>
          <w:rFonts w:cs="Arial" w:hint="cs"/>
          <w:sz w:val="20"/>
          <w:szCs w:val="20"/>
          <w:rtl/>
        </w:rPr>
        <w:t>טמאה</w:t>
      </w:r>
      <w:r w:rsidRPr="006B0399">
        <w:rPr>
          <w:rFonts w:cs="Arial"/>
          <w:sz w:val="20"/>
          <w:szCs w:val="20"/>
          <w:rtl/>
        </w:rPr>
        <w:t xml:space="preserve">, </w:t>
      </w:r>
      <w:r w:rsidRPr="006B0399">
        <w:rPr>
          <w:rFonts w:cs="Arial" w:hint="cs"/>
          <w:sz w:val="20"/>
          <w:szCs w:val="20"/>
          <w:rtl/>
        </w:rPr>
        <w:t>מפני</w:t>
      </w:r>
      <w:r w:rsidRPr="006B0399">
        <w:rPr>
          <w:rFonts w:cs="Arial"/>
          <w:sz w:val="20"/>
          <w:szCs w:val="20"/>
          <w:rtl/>
        </w:rPr>
        <w:t xml:space="preserve"> </w:t>
      </w:r>
      <w:r w:rsidRPr="006B0399">
        <w:rPr>
          <w:rFonts w:cs="Arial" w:hint="cs"/>
          <w:sz w:val="20"/>
          <w:szCs w:val="20"/>
          <w:rtl/>
        </w:rPr>
        <w:t>שאורח</w:t>
      </w:r>
      <w:r w:rsidRPr="006B0399">
        <w:rPr>
          <w:rFonts w:cs="Arial"/>
          <w:sz w:val="20"/>
          <w:szCs w:val="20"/>
          <w:rtl/>
        </w:rPr>
        <w:t xml:space="preserve"> </w:t>
      </w:r>
      <w:r w:rsidRPr="006B0399">
        <w:rPr>
          <w:rFonts w:cs="Arial" w:hint="cs"/>
          <w:sz w:val="20"/>
          <w:szCs w:val="20"/>
          <w:rtl/>
        </w:rPr>
        <w:t>בזמנו</w:t>
      </w:r>
      <w:r w:rsidRPr="006B0399">
        <w:rPr>
          <w:rFonts w:cs="Arial"/>
          <w:sz w:val="20"/>
          <w:szCs w:val="20"/>
          <w:rtl/>
        </w:rPr>
        <w:t xml:space="preserve"> </w:t>
      </w:r>
      <w:r w:rsidRPr="006B0399">
        <w:rPr>
          <w:rFonts w:cs="Arial" w:hint="cs"/>
          <w:sz w:val="20"/>
          <w:szCs w:val="20"/>
          <w:rtl/>
        </w:rPr>
        <w:t>בא</w:t>
      </w:r>
      <w:r w:rsidRPr="006B0399">
        <w:rPr>
          <w:rFonts w:cs="Arial"/>
          <w:sz w:val="20"/>
          <w:szCs w:val="20"/>
          <w:rtl/>
        </w:rPr>
        <w:t xml:space="preserve">. </w:t>
      </w:r>
      <w:r w:rsidRPr="006B0399">
        <w:rPr>
          <w:rFonts w:cs="Arial" w:hint="cs"/>
          <w:sz w:val="20"/>
          <w:szCs w:val="20"/>
          <w:rtl/>
        </w:rPr>
        <w:t>לימא</w:t>
      </w:r>
      <w:r w:rsidRPr="006B0399">
        <w:rPr>
          <w:rFonts w:cs="Arial"/>
          <w:sz w:val="20"/>
          <w:szCs w:val="20"/>
          <w:rtl/>
        </w:rPr>
        <w:t xml:space="preserve"> </w:t>
      </w:r>
      <w:r w:rsidRPr="006B0399">
        <w:rPr>
          <w:rFonts w:cs="Arial" w:hint="cs"/>
          <w:sz w:val="20"/>
          <w:szCs w:val="20"/>
          <w:rtl/>
        </w:rPr>
        <w:t>בו</w:t>
      </w:r>
      <w:r>
        <w:rPr>
          <w:rFonts w:cs="Arial" w:hint="cs"/>
          <w:sz w:val="20"/>
          <w:szCs w:val="20"/>
          <w:rtl/>
        </w:rPr>
        <w:t>ו</w:t>
      </w:r>
      <w:r w:rsidRPr="006B0399">
        <w:rPr>
          <w:rFonts w:cs="Arial" w:hint="cs"/>
          <w:sz w:val="20"/>
          <w:szCs w:val="20"/>
          <w:rtl/>
        </w:rPr>
        <w:t>סתות</w:t>
      </w:r>
      <w:r w:rsidRPr="006B0399">
        <w:rPr>
          <w:rFonts w:cs="Arial"/>
          <w:sz w:val="20"/>
          <w:szCs w:val="20"/>
          <w:rtl/>
        </w:rPr>
        <w:t xml:space="preserve"> </w:t>
      </w:r>
      <w:r w:rsidRPr="006B0399">
        <w:rPr>
          <w:rFonts w:cs="Arial" w:hint="cs"/>
          <w:sz w:val="20"/>
          <w:szCs w:val="20"/>
          <w:rtl/>
        </w:rPr>
        <w:t>קמיפלגי</w:t>
      </w:r>
      <w:r w:rsidRPr="006B0399">
        <w:rPr>
          <w:rFonts w:cs="Arial"/>
          <w:sz w:val="20"/>
          <w:szCs w:val="20"/>
          <w:rtl/>
        </w:rPr>
        <w:t xml:space="preserve">, </w:t>
      </w:r>
      <w:r w:rsidRPr="006B0399">
        <w:rPr>
          <w:rFonts w:cs="Arial" w:hint="cs"/>
          <w:sz w:val="20"/>
          <w:szCs w:val="20"/>
          <w:rtl/>
        </w:rPr>
        <w:t>דמ</w:t>
      </w:r>
      <w:r>
        <w:rPr>
          <w:rFonts w:cs="Arial" w:hint="cs"/>
          <w:sz w:val="20"/>
          <w:szCs w:val="20"/>
          <w:rtl/>
        </w:rPr>
        <w:t>ר סבר</w:t>
      </w:r>
      <w:r w:rsidRPr="006B0399">
        <w:rPr>
          <w:rFonts w:cs="Arial"/>
          <w:sz w:val="20"/>
          <w:szCs w:val="20"/>
          <w:rtl/>
        </w:rPr>
        <w:t xml:space="preserve"> - </w:t>
      </w:r>
      <w:r w:rsidRPr="006B0399">
        <w:rPr>
          <w:rFonts w:cs="Arial" w:hint="cs"/>
          <w:sz w:val="20"/>
          <w:szCs w:val="20"/>
          <w:rtl/>
        </w:rPr>
        <w:t>דאורייתא</w:t>
      </w:r>
      <w:r w:rsidRPr="006B0399">
        <w:rPr>
          <w:rFonts w:cs="Arial"/>
          <w:sz w:val="20"/>
          <w:szCs w:val="20"/>
          <w:rtl/>
        </w:rPr>
        <w:t xml:space="preserve">, </w:t>
      </w:r>
      <w:r w:rsidRPr="006B0399">
        <w:rPr>
          <w:rFonts w:cs="Arial" w:hint="cs"/>
          <w:sz w:val="20"/>
          <w:szCs w:val="20"/>
          <w:rtl/>
        </w:rPr>
        <w:t>ומ</w:t>
      </w:r>
      <w:r>
        <w:rPr>
          <w:rFonts w:cs="Arial" w:hint="cs"/>
          <w:sz w:val="20"/>
          <w:szCs w:val="20"/>
          <w:rtl/>
        </w:rPr>
        <w:t>ר סבר</w:t>
      </w:r>
      <w:r w:rsidRPr="006B0399">
        <w:rPr>
          <w:rFonts w:cs="Arial"/>
          <w:sz w:val="20"/>
          <w:szCs w:val="20"/>
          <w:rtl/>
        </w:rPr>
        <w:t xml:space="preserve"> - </w:t>
      </w:r>
      <w:r w:rsidRPr="006B0399">
        <w:rPr>
          <w:rFonts w:cs="Arial" w:hint="cs"/>
          <w:sz w:val="20"/>
          <w:szCs w:val="20"/>
          <w:rtl/>
        </w:rPr>
        <w:t>דרבנן</w:t>
      </w:r>
      <w:r w:rsidRPr="006B0399">
        <w:rPr>
          <w:rFonts w:cs="Arial"/>
          <w:sz w:val="20"/>
          <w:szCs w:val="20"/>
          <w:rtl/>
        </w:rPr>
        <w:t xml:space="preserve">! </w:t>
      </w:r>
      <w:r w:rsidRPr="006B0399">
        <w:rPr>
          <w:rFonts w:cs="Arial" w:hint="cs"/>
          <w:sz w:val="20"/>
          <w:szCs w:val="20"/>
          <w:rtl/>
        </w:rPr>
        <w:t>אמר</w:t>
      </w:r>
      <w:r w:rsidRPr="006B0399">
        <w:rPr>
          <w:rFonts w:cs="Arial"/>
          <w:sz w:val="20"/>
          <w:szCs w:val="20"/>
          <w:rtl/>
        </w:rPr>
        <w:t xml:space="preserve"> </w:t>
      </w:r>
      <w:r w:rsidRPr="006B0399">
        <w:rPr>
          <w:rFonts w:cs="Arial" w:hint="cs"/>
          <w:sz w:val="20"/>
          <w:szCs w:val="20"/>
          <w:rtl/>
        </w:rPr>
        <w:t>ר</w:t>
      </w:r>
      <w:r>
        <w:rPr>
          <w:rFonts w:cs="Arial" w:hint="cs"/>
          <w:sz w:val="20"/>
          <w:szCs w:val="20"/>
          <w:rtl/>
        </w:rPr>
        <w:t>בי</w:t>
      </w:r>
      <w:r w:rsidRPr="006B0399">
        <w:rPr>
          <w:rFonts w:cs="Arial"/>
          <w:sz w:val="20"/>
          <w:szCs w:val="20"/>
          <w:rtl/>
        </w:rPr>
        <w:t xml:space="preserve"> </w:t>
      </w:r>
      <w:r w:rsidRPr="006B0399">
        <w:rPr>
          <w:rFonts w:cs="Arial" w:hint="cs"/>
          <w:sz w:val="20"/>
          <w:szCs w:val="20"/>
          <w:rtl/>
        </w:rPr>
        <w:t>זירא</w:t>
      </w:r>
      <w:r w:rsidRPr="006B0399">
        <w:rPr>
          <w:rFonts w:cs="Arial"/>
          <w:sz w:val="20"/>
          <w:szCs w:val="20"/>
          <w:rtl/>
        </w:rPr>
        <w:t xml:space="preserve"> </w:t>
      </w:r>
      <w:r>
        <w:rPr>
          <w:rFonts w:cs="Arial"/>
          <w:sz w:val="20"/>
          <w:szCs w:val="20"/>
          <w:rtl/>
        </w:rPr>
        <w:t>–</w:t>
      </w:r>
      <w:r w:rsidRPr="006B0399">
        <w:rPr>
          <w:rFonts w:cs="Arial"/>
          <w:sz w:val="20"/>
          <w:szCs w:val="20"/>
          <w:rtl/>
        </w:rPr>
        <w:t xml:space="preserve"> </w:t>
      </w:r>
      <w:r w:rsidRPr="006B0399">
        <w:rPr>
          <w:rFonts w:cs="Arial" w:hint="cs"/>
          <w:sz w:val="20"/>
          <w:szCs w:val="20"/>
          <w:rtl/>
        </w:rPr>
        <w:t>דכ</w:t>
      </w:r>
      <w:r>
        <w:rPr>
          <w:rFonts w:cs="Arial" w:hint="cs"/>
          <w:sz w:val="20"/>
          <w:szCs w:val="20"/>
          <w:rtl/>
        </w:rPr>
        <w:t xml:space="preserve">ולי </w:t>
      </w:r>
      <w:r w:rsidRPr="006B0399">
        <w:rPr>
          <w:rFonts w:cs="Arial" w:hint="cs"/>
          <w:sz w:val="20"/>
          <w:szCs w:val="20"/>
          <w:rtl/>
        </w:rPr>
        <w:t>ע</w:t>
      </w:r>
      <w:r>
        <w:rPr>
          <w:rFonts w:cs="Arial" w:hint="cs"/>
          <w:sz w:val="20"/>
          <w:szCs w:val="20"/>
          <w:rtl/>
        </w:rPr>
        <w:t>למא</w:t>
      </w:r>
      <w:r w:rsidRPr="006B0399">
        <w:rPr>
          <w:rFonts w:cs="Arial"/>
          <w:sz w:val="20"/>
          <w:szCs w:val="20"/>
          <w:rtl/>
        </w:rPr>
        <w:t xml:space="preserve"> - </w:t>
      </w:r>
      <w:r w:rsidRPr="006B0399">
        <w:rPr>
          <w:rFonts w:cs="Arial" w:hint="cs"/>
          <w:sz w:val="20"/>
          <w:szCs w:val="20"/>
          <w:rtl/>
        </w:rPr>
        <w:t>וסתות</w:t>
      </w:r>
      <w:r w:rsidRPr="006B0399">
        <w:rPr>
          <w:rFonts w:cs="Arial"/>
          <w:sz w:val="20"/>
          <w:szCs w:val="20"/>
          <w:rtl/>
        </w:rPr>
        <w:t xml:space="preserve"> </w:t>
      </w:r>
      <w:r w:rsidRPr="006B0399">
        <w:rPr>
          <w:rFonts w:cs="Arial" w:hint="cs"/>
          <w:sz w:val="20"/>
          <w:szCs w:val="20"/>
          <w:rtl/>
        </w:rPr>
        <w:t>דאורייתא</w:t>
      </w:r>
      <w:r w:rsidRPr="006B0399">
        <w:rPr>
          <w:rFonts w:cs="Arial"/>
          <w:sz w:val="20"/>
          <w:szCs w:val="20"/>
          <w:rtl/>
        </w:rPr>
        <w:t xml:space="preserve">, </w:t>
      </w:r>
      <w:r w:rsidRPr="006B0399">
        <w:rPr>
          <w:rFonts w:cs="Arial" w:hint="cs"/>
          <w:sz w:val="20"/>
          <w:szCs w:val="20"/>
          <w:rtl/>
        </w:rPr>
        <w:t>כאן</w:t>
      </w:r>
      <w:r w:rsidRPr="006B0399">
        <w:rPr>
          <w:rFonts w:cs="Arial"/>
          <w:sz w:val="20"/>
          <w:szCs w:val="20"/>
          <w:rtl/>
        </w:rPr>
        <w:t xml:space="preserve"> - </w:t>
      </w:r>
      <w:r w:rsidRPr="006B0399">
        <w:rPr>
          <w:rFonts w:cs="Arial" w:hint="cs"/>
          <w:sz w:val="20"/>
          <w:szCs w:val="20"/>
          <w:rtl/>
        </w:rPr>
        <w:t>שבדקה</w:t>
      </w:r>
      <w:r w:rsidRPr="006B0399">
        <w:rPr>
          <w:rFonts w:cs="Arial"/>
          <w:sz w:val="20"/>
          <w:szCs w:val="20"/>
          <w:rtl/>
        </w:rPr>
        <w:t xml:space="preserve"> </w:t>
      </w:r>
      <w:r w:rsidRPr="006B0399">
        <w:rPr>
          <w:rFonts w:cs="Arial" w:hint="cs"/>
          <w:sz w:val="20"/>
          <w:szCs w:val="20"/>
          <w:rtl/>
        </w:rPr>
        <w:t>עצמה</w:t>
      </w:r>
      <w:r w:rsidRPr="006B0399">
        <w:rPr>
          <w:rFonts w:cs="Arial"/>
          <w:sz w:val="20"/>
          <w:szCs w:val="20"/>
          <w:rtl/>
        </w:rPr>
        <w:t xml:space="preserve"> </w:t>
      </w:r>
      <w:r w:rsidRPr="006B0399">
        <w:rPr>
          <w:rFonts w:cs="Arial" w:hint="cs"/>
          <w:sz w:val="20"/>
          <w:szCs w:val="20"/>
          <w:rtl/>
        </w:rPr>
        <w:t>כשיעור</w:t>
      </w:r>
      <w:r w:rsidRPr="006B0399">
        <w:rPr>
          <w:rFonts w:cs="Arial"/>
          <w:sz w:val="20"/>
          <w:szCs w:val="20"/>
          <w:rtl/>
        </w:rPr>
        <w:t xml:space="preserve"> </w:t>
      </w:r>
      <w:r w:rsidRPr="006B0399">
        <w:rPr>
          <w:rFonts w:cs="Arial" w:hint="cs"/>
          <w:sz w:val="20"/>
          <w:szCs w:val="20"/>
          <w:rtl/>
        </w:rPr>
        <w:t>וסת</w:t>
      </w:r>
      <w:r w:rsidRPr="006B0399">
        <w:rPr>
          <w:rFonts w:cs="Arial"/>
          <w:sz w:val="20"/>
          <w:szCs w:val="20"/>
          <w:rtl/>
        </w:rPr>
        <w:t xml:space="preserve">, </w:t>
      </w:r>
      <w:r w:rsidRPr="006B0399">
        <w:rPr>
          <w:rFonts w:cs="Arial" w:hint="cs"/>
          <w:sz w:val="20"/>
          <w:szCs w:val="20"/>
          <w:rtl/>
        </w:rPr>
        <w:t>כאן</w:t>
      </w:r>
      <w:r w:rsidRPr="006B0399">
        <w:rPr>
          <w:rFonts w:cs="Arial"/>
          <w:sz w:val="20"/>
          <w:szCs w:val="20"/>
          <w:rtl/>
        </w:rPr>
        <w:t xml:space="preserve"> - </w:t>
      </w:r>
      <w:r w:rsidRPr="006B0399">
        <w:rPr>
          <w:rFonts w:cs="Arial" w:hint="cs"/>
          <w:sz w:val="20"/>
          <w:szCs w:val="20"/>
          <w:rtl/>
        </w:rPr>
        <w:t>שלא</w:t>
      </w:r>
      <w:r w:rsidRPr="006B0399">
        <w:rPr>
          <w:rFonts w:cs="Arial"/>
          <w:sz w:val="20"/>
          <w:szCs w:val="20"/>
          <w:rtl/>
        </w:rPr>
        <w:t xml:space="preserve"> </w:t>
      </w:r>
      <w:r w:rsidRPr="006B0399">
        <w:rPr>
          <w:rFonts w:cs="Arial" w:hint="cs"/>
          <w:sz w:val="20"/>
          <w:szCs w:val="20"/>
          <w:rtl/>
        </w:rPr>
        <w:t>בדקה</w:t>
      </w:r>
      <w:r w:rsidRPr="006B0399">
        <w:rPr>
          <w:rFonts w:cs="Arial"/>
          <w:sz w:val="20"/>
          <w:szCs w:val="20"/>
          <w:rtl/>
        </w:rPr>
        <w:t xml:space="preserve"> </w:t>
      </w:r>
      <w:r w:rsidRPr="006B0399">
        <w:rPr>
          <w:rFonts w:cs="Arial" w:hint="cs"/>
          <w:sz w:val="20"/>
          <w:szCs w:val="20"/>
          <w:rtl/>
        </w:rPr>
        <w:t>עצמה</w:t>
      </w:r>
      <w:r w:rsidRPr="006B0399">
        <w:rPr>
          <w:rFonts w:cs="Arial"/>
          <w:sz w:val="20"/>
          <w:szCs w:val="20"/>
          <w:rtl/>
        </w:rPr>
        <w:t xml:space="preserve"> </w:t>
      </w:r>
      <w:r w:rsidRPr="006B0399">
        <w:rPr>
          <w:rFonts w:cs="Arial" w:hint="cs"/>
          <w:sz w:val="20"/>
          <w:szCs w:val="20"/>
          <w:rtl/>
        </w:rPr>
        <w:t>כשיעור</w:t>
      </w:r>
      <w:r w:rsidRPr="006B0399">
        <w:rPr>
          <w:rFonts w:cs="Arial"/>
          <w:sz w:val="20"/>
          <w:szCs w:val="20"/>
          <w:rtl/>
        </w:rPr>
        <w:t xml:space="preserve"> </w:t>
      </w:r>
      <w:r w:rsidRPr="006B0399">
        <w:rPr>
          <w:rFonts w:cs="Arial" w:hint="cs"/>
          <w:sz w:val="20"/>
          <w:szCs w:val="20"/>
          <w:rtl/>
        </w:rPr>
        <w:t>וסת</w:t>
      </w:r>
      <w:r>
        <w:rPr>
          <w:rFonts w:cs="Arial"/>
          <w:sz w:val="20"/>
          <w:szCs w:val="20"/>
          <w:rtl/>
        </w:rPr>
        <w:t>".</w:t>
      </w:r>
      <w:r>
        <w:rPr>
          <w:sz w:val="20"/>
          <w:szCs w:val="20"/>
          <w:rtl/>
        </w:rPr>
        <w:br/>
      </w:r>
      <w:r>
        <w:rPr>
          <w:rFonts w:hint="cs"/>
          <w:sz w:val="20"/>
          <w:szCs w:val="20"/>
          <w:rtl/>
        </w:rPr>
        <w:t xml:space="preserve">הסבר </w:t>
      </w:r>
      <w:r>
        <w:rPr>
          <w:sz w:val="20"/>
          <w:szCs w:val="20"/>
          <w:rtl/>
        </w:rPr>
        <w:t>–</w:t>
      </w:r>
      <w:r>
        <w:rPr>
          <w:rFonts w:hint="cs"/>
          <w:sz w:val="20"/>
          <w:szCs w:val="20"/>
          <w:rtl/>
        </w:rPr>
        <w:t xml:space="preserve"> רבי זירא סובר שלכו"ע אם לא בדקה עצמה כשיעור ווסת, טמאה. </w:t>
      </w:r>
      <w:r w:rsidRPr="006B0399">
        <w:rPr>
          <w:rFonts w:hint="cs"/>
          <w:sz w:val="18"/>
          <w:szCs w:val="18"/>
          <w:rtl/>
        </w:rPr>
        <w:t>(ושיעור זה יבואר לקמן בסימן קצ').</w:t>
      </w:r>
    </w:p>
    <w:p w:rsidR="00620060" w:rsidRPr="00D4597E" w:rsidRDefault="00620060" w:rsidP="00620060">
      <w:pPr>
        <w:rPr>
          <w:sz w:val="20"/>
          <w:szCs w:val="20"/>
          <w:rtl/>
        </w:rPr>
      </w:pPr>
      <w:r w:rsidRPr="00DA1309">
        <w:rPr>
          <w:rFonts w:hint="cs"/>
          <w:b/>
          <w:bCs/>
          <w:sz w:val="20"/>
          <w:szCs w:val="20"/>
          <w:rtl/>
        </w:rPr>
        <w:t>שיטות הראשונים</w:t>
      </w:r>
      <w:r>
        <w:rPr>
          <w:sz w:val="20"/>
          <w:szCs w:val="20"/>
          <w:u w:val="single"/>
          <w:rtl/>
        </w:rPr>
        <w:br/>
      </w:r>
      <w:r>
        <w:rPr>
          <w:rFonts w:hint="cs"/>
          <w:sz w:val="20"/>
          <w:szCs w:val="20"/>
          <w:rtl/>
        </w:rPr>
        <w:t xml:space="preserve">א. </w:t>
      </w:r>
      <w:r w:rsidRPr="00D4597E">
        <w:rPr>
          <w:rFonts w:hint="cs"/>
          <w:b/>
          <w:bCs/>
          <w:sz w:val="20"/>
          <w:szCs w:val="20"/>
          <w:rtl/>
        </w:rPr>
        <w:t>רא"ם ומרדכי</w:t>
      </w:r>
      <w:r>
        <w:rPr>
          <w:rFonts w:hint="cs"/>
          <w:sz w:val="20"/>
          <w:szCs w:val="20"/>
          <w:rtl/>
        </w:rPr>
        <w:t xml:space="preserve"> </w:t>
      </w:r>
      <w:r>
        <w:rPr>
          <w:sz w:val="20"/>
          <w:szCs w:val="20"/>
          <w:rtl/>
        </w:rPr>
        <w:t>–</w:t>
      </w:r>
      <w:r>
        <w:rPr>
          <w:rFonts w:hint="cs"/>
          <w:sz w:val="20"/>
          <w:szCs w:val="20"/>
          <w:rtl/>
        </w:rPr>
        <w:t xml:space="preserve"> הלכה כרבי זירא. כלומר, אם לא בדקה כשיעור ווסת טמאה, וכ"פ </w:t>
      </w:r>
      <w:r w:rsidRPr="00D4597E">
        <w:rPr>
          <w:rFonts w:hint="cs"/>
          <w:b/>
          <w:bCs/>
          <w:sz w:val="20"/>
          <w:szCs w:val="20"/>
          <w:rtl/>
        </w:rPr>
        <w:t>הב"ח</w:t>
      </w:r>
      <w:r>
        <w:rPr>
          <w:rFonts w:hint="cs"/>
          <w:sz w:val="20"/>
          <w:szCs w:val="20"/>
          <w:rtl/>
        </w:rPr>
        <w:t>.</w:t>
      </w:r>
      <w:r>
        <w:rPr>
          <w:sz w:val="20"/>
          <w:szCs w:val="20"/>
          <w:rtl/>
        </w:rPr>
        <w:br/>
      </w:r>
      <w:r>
        <w:rPr>
          <w:rFonts w:hint="cs"/>
          <w:sz w:val="20"/>
          <w:szCs w:val="20"/>
          <w:rtl/>
        </w:rPr>
        <w:t xml:space="preserve">ב. </w:t>
      </w:r>
      <w:r w:rsidRPr="00D4597E">
        <w:rPr>
          <w:rFonts w:hint="cs"/>
          <w:b/>
          <w:bCs/>
          <w:sz w:val="20"/>
          <w:szCs w:val="20"/>
          <w:rtl/>
        </w:rPr>
        <w:t>טור</w:t>
      </w:r>
      <w:r>
        <w:rPr>
          <w:rFonts w:hint="cs"/>
          <w:sz w:val="20"/>
          <w:szCs w:val="20"/>
          <w:rtl/>
        </w:rPr>
        <w:t xml:space="preserve"> </w:t>
      </w:r>
      <w:r>
        <w:rPr>
          <w:sz w:val="20"/>
          <w:szCs w:val="20"/>
          <w:rtl/>
        </w:rPr>
        <w:t>–</w:t>
      </w:r>
      <w:r>
        <w:rPr>
          <w:rFonts w:hint="cs"/>
          <w:sz w:val="20"/>
          <w:szCs w:val="20"/>
          <w:rtl/>
        </w:rPr>
        <w:t xml:space="preserve"> אין הלכה כרבי זירא, ובכל זמן שתעשה את הבדיקה ומצאה טהורה, טהורה, וכ"פ </w:t>
      </w:r>
      <w:r w:rsidRPr="00D4597E">
        <w:rPr>
          <w:rFonts w:hint="cs"/>
          <w:b/>
          <w:bCs/>
          <w:sz w:val="20"/>
          <w:szCs w:val="20"/>
          <w:rtl/>
        </w:rPr>
        <w:t>הב"י והט"ז</w:t>
      </w:r>
      <w:r>
        <w:rPr>
          <w:rFonts w:hint="cs"/>
          <w:sz w:val="20"/>
          <w:szCs w:val="20"/>
          <w:rtl/>
        </w:rPr>
        <w:t>.</w:t>
      </w:r>
      <w:r>
        <w:rPr>
          <w:sz w:val="20"/>
          <w:szCs w:val="20"/>
          <w:rtl/>
        </w:rPr>
        <w:br/>
      </w:r>
      <w:r w:rsidRPr="00DA1309">
        <w:rPr>
          <w:rFonts w:hint="cs"/>
          <w:sz w:val="20"/>
          <w:szCs w:val="20"/>
          <w:rtl/>
        </w:rPr>
        <w:t xml:space="preserve">הכרעת </w:t>
      </w:r>
      <w:r w:rsidRPr="00DA1309">
        <w:rPr>
          <w:rFonts w:hint="cs"/>
          <w:b/>
          <w:bCs/>
          <w:sz w:val="20"/>
          <w:szCs w:val="20"/>
          <w:rtl/>
        </w:rPr>
        <w:t>בדי השולחן</w:t>
      </w:r>
      <w:r>
        <w:rPr>
          <w:rFonts w:hint="cs"/>
          <w:sz w:val="20"/>
          <w:szCs w:val="20"/>
          <w:rtl/>
        </w:rPr>
        <w:t xml:space="preserve"> </w:t>
      </w:r>
      <w:r>
        <w:rPr>
          <w:sz w:val="20"/>
          <w:szCs w:val="20"/>
          <w:rtl/>
        </w:rPr>
        <w:t>–</w:t>
      </w:r>
      <w:r>
        <w:rPr>
          <w:rFonts w:hint="cs"/>
          <w:sz w:val="20"/>
          <w:szCs w:val="20"/>
          <w:rtl/>
        </w:rPr>
        <w:t xml:space="preserve"> בכל זמן שתעשה את הבדיקה טהורה, ומסתבר שתבדוק תיכף כשנזכרה כדי להסמיך את הבדיקה ככל האפשר לווסת.</w:t>
      </w:r>
    </w:p>
    <w:p w:rsidR="00620060" w:rsidRDefault="00620060" w:rsidP="00620060">
      <w:pPr>
        <w:rPr>
          <w:sz w:val="20"/>
          <w:szCs w:val="20"/>
          <w:u w:val="single"/>
          <w:rtl/>
        </w:rPr>
      </w:pPr>
      <w:r w:rsidRPr="00DA1309">
        <w:rPr>
          <w:rFonts w:hint="cs"/>
          <w:b/>
          <w:bCs/>
          <w:sz w:val="20"/>
          <w:szCs w:val="20"/>
          <w:rtl/>
        </w:rPr>
        <w:lastRenderedPageBreak/>
        <w:t>ביאור שיטת הרמב"ם והרי"ף (ר"ן)</w:t>
      </w:r>
      <w:r>
        <w:rPr>
          <w:sz w:val="20"/>
          <w:szCs w:val="20"/>
          <w:u w:val="single"/>
          <w:rtl/>
        </w:rPr>
        <w:br/>
      </w:r>
      <w:r w:rsidRPr="004547DC">
        <w:rPr>
          <w:rFonts w:hint="cs"/>
          <w:b/>
          <w:bCs/>
          <w:sz w:val="20"/>
          <w:szCs w:val="20"/>
          <w:rtl/>
        </w:rPr>
        <w:t>משנה</w:t>
      </w:r>
      <w:r>
        <w:rPr>
          <w:rFonts w:hint="cs"/>
          <w:sz w:val="20"/>
          <w:szCs w:val="20"/>
          <w:rtl/>
        </w:rPr>
        <w:t xml:space="preserve"> שם (טו.) "</w:t>
      </w:r>
      <w:r w:rsidRPr="004547DC">
        <w:rPr>
          <w:rFonts w:cs="Arial" w:hint="cs"/>
          <w:sz w:val="20"/>
          <w:szCs w:val="20"/>
          <w:rtl/>
        </w:rPr>
        <w:t>כל</w:t>
      </w:r>
      <w:r w:rsidRPr="004547DC">
        <w:rPr>
          <w:rFonts w:cs="Arial"/>
          <w:sz w:val="20"/>
          <w:szCs w:val="20"/>
          <w:rtl/>
        </w:rPr>
        <w:t xml:space="preserve"> </w:t>
      </w:r>
      <w:r w:rsidRPr="004547DC">
        <w:rPr>
          <w:rFonts w:cs="Arial" w:hint="cs"/>
          <w:sz w:val="20"/>
          <w:szCs w:val="20"/>
          <w:rtl/>
        </w:rPr>
        <w:t>הנשים</w:t>
      </w:r>
      <w:r w:rsidRPr="004547DC">
        <w:rPr>
          <w:rFonts w:cs="Arial"/>
          <w:sz w:val="20"/>
          <w:szCs w:val="20"/>
          <w:rtl/>
        </w:rPr>
        <w:t xml:space="preserve"> </w:t>
      </w:r>
      <w:r w:rsidRPr="004547DC">
        <w:rPr>
          <w:rFonts w:cs="Arial" w:hint="cs"/>
          <w:sz w:val="20"/>
          <w:szCs w:val="20"/>
          <w:rtl/>
        </w:rPr>
        <w:t>בחזקת</w:t>
      </w:r>
      <w:r w:rsidRPr="004547DC">
        <w:rPr>
          <w:rFonts w:cs="Arial"/>
          <w:sz w:val="20"/>
          <w:szCs w:val="20"/>
          <w:rtl/>
        </w:rPr>
        <w:t xml:space="preserve"> </w:t>
      </w:r>
      <w:r w:rsidRPr="004547DC">
        <w:rPr>
          <w:rFonts w:cs="Arial" w:hint="cs"/>
          <w:sz w:val="20"/>
          <w:szCs w:val="20"/>
          <w:rtl/>
        </w:rPr>
        <w:t>טהרה</w:t>
      </w:r>
      <w:r w:rsidRPr="004547DC">
        <w:rPr>
          <w:rFonts w:cs="Arial"/>
          <w:sz w:val="20"/>
          <w:szCs w:val="20"/>
          <w:rtl/>
        </w:rPr>
        <w:t xml:space="preserve"> </w:t>
      </w:r>
      <w:r w:rsidRPr="004547DC">
        <w:rPr>
          <w:rFonts w:cs="Arial" w:hint="cs"/>
          <w:sz w:val="20"/>
          <w:szCs w:val="20"/>
          <w:rtl/>
        </w:rPr>
        <w:t>לבעליהן</w:t>
      </w:r>
      <w:r w:rsidRPr="004547DC">
        <w:rPr>
          <w:rFonts w:cs="Arial"/>
          <w:sz w:val="20"/>
          <w:szCs w:val="20"/>
          <w:rtl/>
        </w:rPr>
        <w:t xml:space="preserve">. </w:t>
      </w:r>
      <w:r w:rsidRPr="004547DC">
        <w:rPr>
          <w:rFonts w:cs="Arial" w:hint="cs"/>
          <w:sz w:val="20"/>
          <w:szCs w:val="20"/>
          <w:rtl/>
        </w:rPr>
        <w:t>הבאין</w:t>
      </w:r>
      <w:r w:rsidRPr="004547DC">
        <w:rPr>
          <w:rFonts w:cs="Arial"/>
          <w:sz w:val="20"/>
          <w:szCs w:val="20"/>
          <w:rtl/>
        </w:rPr>
        <w:t xml:space="preserve"> </w:t>
      </w:r>
      <w:r w:rsidRPr="004547DC">
        <w:rPr>
          <w:rFonts w:cs="Arial" w:hint="cs"/>
          <w:sz w:val="20"/>
          <w:szCs w:val="20"/>
          <w:rtl/>
        </w:rPr>
        <w:t>מן</w:t>
      </w:r>
      <w:r w:rsidRPr="004547DC">
        <w:rPr>
          <w:rFonts w:cs="Arial"/>
          <w:sz w:val="20"/>
          <w:szCs w:val="20"/>
          <w:rtl/>
        </w:rPr>
        <w:t xml:space="preserve"> </w:t>
      </w:r>
      <w:r w:rsidRPr="004547DC">
        <w:rPr>
          <w:rFonts w:cs="Arial" w:hint="cs"/>
          <w:sz w:val="20"/>
          <w:szCs w:val="20"/>
          <w:rtl/>
        </w:rPr>
        <w:t>הדרך</w:t>
      </w:r>
      <w:r w:rsidRPr="004547DC">
        <w:rPr>
          <w:rFonts w:cs="Arial"/>
          <w:sz w:val="20"/>
          <w:szCs w:val="20"/>
          <w:rtl/>
        </w:rPr>
        <w:t xml:space="preserve"> - </w:t>
      </w:r>
      <w:r w:rsidRPr="004547DC">
        <w:rPr>
          <w:rFonts w:cs="Arial" w:hint="cs"/>
          <w:sz w:val="20"/>
          <w:szCs w:val="20"/>
          <w:rtl/>
        </w:rPr>
        <w:t>נשיהן</w:t>
      </w:r>
      <w:r w:rsidRPr="004547DC">
        <w:rPr>
          <w:rFonts w:cs="Arial"/>
          <w:sz w:val="20"/>
          <w:szCs w:val="20"/>
          <w:rtl/>
        </w:rPr>
        <w:t xml:space="preserve"> </w:t>
      </w:r>
      <w:r w:rsidRPr="004547DC">
        <w:rPr>
          <w:rFonts w:cs="Arial" w:hint="cs"/>
          <w:sz w:val="20"/>
          <w:szCs w:val="20"/>
          <w:rtl/>
        </w:rPr>
        <w:t>להן</w:t>
      </w:r>
      <w:r w:rsidRPr="004547DC">
        <w:rPr>
          <w:rFonts w:cs="Arial"/>
          <w:sz w:val="20"/>
          <w:szCs w:val="20"/>
          <w:rtl/>
        </w:rPr>
        <w:t xml:space="preserve"> </w:t>
      </w:r>
      <w:r w:rsidRPr="004547DC">
        <w:rPr>
          <w:rFonts w:cs="Arial" w:hint="cs"/>
          <w:sz w:val="20"/>
          <w:szCs w:val="20"/>
          <w:rtl/>
        </w:rPr>
        <w:t>בחזקת</w:t>
      </w:r>
      <w:r w:rsidRPr="004547DC">
        <w:rPr>
          <w:rFonts w:cs="Arial"/>
          <w:sz w:val="20"/>
          <w:szCs w:val="20"/>
          <w:rtl/>
        </w:rPr>
        <w:t xml:space="preserve"> </w:t>
      </w:r>
      <w:r w:rsidRPr="004547DC">
        <w:rPr>
          <w:rFonts w:cs="Arial" w:hint="cs"/>
          <w:sz w:val="20"/>
          <w:szCs w:val="20"/>
          <w:rtl/>
        </w:rPr>
        <w:t>טהרה</w:t>
      </w:r>
      <w:r>
        <w:rPr>
          <w:rFonts w:cs="Arial" w:hint="cs"/>
          <w:sz w:val="20"/>
          <w:szCs w:val="20"/>
          <w:rtl/>
        </w:rPr>
        <w:t>"</w:t>
      </w:r>
      <w:r w:rsidRPr="004547DC">
        <w:rPr>
          <w:rFonts w:cs="Arial"/>
          <w:sz w:val="20"/>
          <w:szCs w:val="20"/>
          <w:rtl/>
        </w:rPr>
        <w:t xml:space="preserve">. </w:t>
      </w:r>
      <w:r>
        <w:rPr>
          <w:rFonts w:cs="Arial"/>
          <w:sz w:val="20"/>
          <w:szCs w:val="20"/>
          <w:rtl/>
        </w:rPr>
        <w:br/>
      </w:r>
      <w:r w:rsidRPr="004547DC">
        <w:rPr>
          <w:rFonts w:cs="Arial" w:hint="cs"/>
          <w:b/>
          <w:bCs/>
          <w:sz w:val="20"/>
          <w:szCs w:val="20"/>
          <w:rtl/>
        </w:rPr>
        <w:t>גמרא</w:t>
      </w:r>
      <w:r>
        <w:rPr>
          <w:rFonts w:cs="Arial" w:hint="cs"/>
          <w:sz w:val="20"/>
          <w:szCs w:val="20"/>
          <w:rtl/>
        </w:rPr>
        <w:t xml:space="preserve"> "</w:t>
      </w:r>
      <w:r>
        <w:rPr>
          <w:rFonts w:cs="Arial"/>
          <w:sz w:val="20"/>
          <w:szCs w:val="20"/>
          <w:rtl/>
        </w:rPr>
        <w:t>.</w:t>
      </w:r>
      <w:r>
        <w:rPr>
          <w:rFonts w:cs="Arial" w:hint="cs"/>
          <w:sz w:val="20"/>
          <w:szCs w:val="20"/>
          <w:rtl/>
        </w:rPr>
        <w:t>..</w:t>
      </w:r>
      <w:r w:rsidRPr="004547DC">
        <w:rPr>
          <w:rFonts w:cs="Arial" w:hint="cs"/>
          <w:sz w:val="20"/>
          <w:szCs w:val="20"/>
          <w:rtl/>
        </w:rPr>
        <w:t>רבה</w:t>
      </w:r>
      <w:r w:rsidRPr="004547DC">
        <w:rPr>
          <w:rFonts w:cs="Arial"/>
          <w:sz w:val="20"/>
          <w:szCs w:val="20"/>
          <w:rtl/>
        </w:rPr>
        <w:t xml:space="preserve"> </w:t>
      </w:r>
      <w:r w:rsidRPr="004547DC">
        <w:rPr>
          <w:rFonts w:cs="Arial" w:hint="cs"/>
          <w:sz w:val="20"/>
          <w:szCs w:val="20"/>
          <w:rtl/>
        </w:rPr>
        <w:t>בר</w:t>
      </w:r>
      <w:r w:rsidRPr="004547DC">
        <w:rPr>
          <w:rFonts w:cs="Arial"/>
          <w:sz w:val="20"/>
          <w:szCs w:val="20"/>
          <w:rtl/>
        </w:rPr>
        <w:t xml:space="preserve"> </w:t>
      </w:r>
      <w:r w:rsidRPr="004547DC">
        <w:rPr>
          <w:rFonts w:cs="Arial" w:hint="cs"/>
          <w:sz w:val="20"/>
          <w:szCs w:val="20"/>
          <w:rtl/>
        </w:rPr>
        <w:t>בר</w:t>
      </w:r>
      <w:r w:rsidRPr="004547DC">
        <w:rPr>
          <w:rFonts w:cs="Arial"/>
          <w:sz w:val="20"/>
          <w:szCs w:val="20"/>
          <w:rtl/>
        </w:rPr>
        <w:t xml:space="preserve"> </w:t>
      </w:r>
      <w:r w:rsidRPr="004547DC">
        <w:rPr>
          <w:rFonts w:cs="Arial" w:hint="cs"/>
          <w:sz w:val="20"/>
          <w:szCs w:val="20"/>
          <w:rtl/>
        </w:rPr>
        <w:t>חנה</w:t>
      </w:r>
      <w:r w:rsidRPr="004547DC">
        <w:rPr>
          <w:rFonts w:cs="Arial"/>
          <w:sz w:val="20"/>
          <w:szCs w:val="20"/>
          <w:rtl/>
        </w:rPr>
        <w:t xml:space="preserve"> </w:t>
      </w:r>
      <w:r w:rsidRPr="004547DC">
        <w:rPr>
          <w:rFonts w:cs="Arial" w:hint="cs"/>
          <w:sz w:val="20"/>
          <w:szCs w:val="20"/>
          <w:rtl/>
        </w:rPr>
        <w:t>אמר</w:t>
      </w:r>
      <w:r w:rsidRPr="004547DC">
        <w:rPr>
          <w:rFonts w:cs="Arial"/>
          <w:sz w:val="20"/>
          <w:szCs w:val="20"/>
          <w:rtl/>
        </w:rPr>
        <w:t xml:space="preserve">: </w:t>
      </w:r>
      <w:r w:rsidRPr="004547DC">
        <w:rPr>
          <w:rFonts w:cs="Arial" w:hint="cs"/>
          <w:sz w:val="20"/>
          <w:szCs w:val="20"/>
          <w:rtl/>
        </w:rPr>
        <w:t>אפילו</w:t>
      </w:r>
      <w:r w:rsidRPr="004547DC">
        <w:rPr>
          <w:rFonts w:cs="Arial"/>
          <w:sz w:val="20"/>
          <w:szCs w:val="20"/>
          <w:rtl/>
        </w:rPr>
        <w:t xml:space="preserve"> </w:t>
      </w:r>
      <w:r w:rsidRPr="004547DC">
        <w:rPr>
          <w:rFonts w:cs="Arial" w:hint="cs"/>
          <w:sz w:val="20"/>
          <w:szCs w:val="20"/>
          <w:rtl/>
        </w:rPr>
        <w:t>הגיע</w:t>
      </w:r>
      <w:r w:rsidRPr="004547DC">
        <w:rPr>
          <w:rFonts w:cs="Arial"/>
          <w:sz w:val="20"/>
          <w:szCs w:val="20"/>
          <w:rtl/>
        </w:rPr>
        <w:t xml:space="preserve"> </w:t>
      </w:r>
      <w:r w:rsidRPr="004547DC">
        <w:rPr>
          <w:rFonts w:cs="Arial" w:hint="cs"/>
          <w:sz w:val="20"/>
          <w:szCs w:val="20"/>
          <w:rtl/>
        </w:rPr>
        <w:t>שעת</w:t>
      </w:r>
      <w:r w:rsidRPr="004547DC">
        <w:rPr>
          <w:rFonts w:cs="Arial"/>
          <w:sz w:val="20"/>
          <w:szCs w:val="20"/>
          <w:rtl/>
        </w:rPr>
        <w:t xml:space="preserve"> </w:t>
      </w:r>
      <w:r w:rsidRPr="004547DC">
        <w:rPr>
          <w:rFonts w:cs="Arial" w:hint="cs"/>
          <w:sz w:val="20"/>
          <w:szCs w:val="20"/>
          <w:rtl/>
        </w:rPr>
        <w:t>וסתה</w:t>
      </w:r>
      <w:r w:rsidRPr="004547DC">
        <w:rPr>
          <w:rFonts w:cs="Arial"/>
          <w:sz w:val="20"/>
          <w:szCs w:val="20"/>
          <w:rtl/>
        </w:rPr>
        <w:t xml:space="preserve"> - </w:t>
      </w:r>
      <w:r w:rsidRPr="004547DC">
        <w:rPr>
          <w:rFonts w:cs="Arial" w:hint="cs"/>
          <w:sz w:val="20"/>
          <w:szCs w:val="20"/>
          <w:rtl/>
        </w:rPr>
        <w:t>נמי</w:t>
      </w:r>
      <w:r w:rsidRPr="004547DC">
        <w:rPr>
          <w:rFonts w:cs="Arial"/>
          <w:sz w:val="20"/>
          <w:szCs w:val="20"/>
          <w:rtl/>
        </w:rPr>
        <w:t xml:space="preserve"> </w:t>
      </w:r>
      <w:r w:rsidRPr="004547DC">
        <w:rPr>
          <w:rFonts w:cs="Arial" w:hint="cs"/>
          <w:sz w:val="20"/>
          <w:szCs w:val="20"/>
          <w:rtl/>
        </w:rPr>
        <w:t>מותרת</w:t>
      </w:r>
      <w:r w:rsidRPr="004547DC">
        <w:rPr>
          <w:rFonts w:cs="Arial"/>
          <w:sz w:val="20"/>
          <w:szCs w:val="20"/>
          <w:rtl/>
        </w:rPr>
        <w:t xml:space="preserve">, </w:t>
      </w:r>
      <w:r w:rsidRPr="004547DC">
        <w:rPr>
          <w:rFonts w:cs="Arial" w:hint="cs"/>
          <w:sz w:val="20"/>
          <w:szCs w:val="20"/>
          <w:rtl/>
        </w:rPr>
        <w:t>קסבר</w:t>
      </w:r>
      <w:r w:rsidRPr="004547DC">
        <w:rPr>
          <w:rFonts w:cs="Arial"/>
          <w:sz w:val="20"/>
          <w:szCs w:val="20"/>
          <w:rtl/>
        </w:rPr>
        <w:t xml:space="preserve">: </w:t>
      </w:r>
      <w:r w:rsidRPr="004547DC">
        <w:rPr>
          <w:rFonts w:cs="Arial" w:hint="cs"/>
          <w:sz w:val="20"/>
          <w:szCs w:val="20"/>
          <w:rtl/>
        </w:rPr>
        <w:t>וסתות</w:t>
      </w:r>
      <w:r w:rsidRPr="004547DC">
        <w:rPr>
          <w:rFonts w:cs="Arial"/>
          <w:sz w:val="20"/>
          <w:szCs w:val="20"/>
          <w:rtl/>
        </w:rPr>
        <w:t xml:space="preserve"> </w:t>
      </w:r>
      <w:r w:rsidRPr="004547DC">
        <w:rPr>
          <w:rFonts w:cs="Arial" w:hint="cs"/>
          <w:sz w:val="20"/>
          <w:szCs w:val="20"/>
          <w:rtl/>
        </w:rPr>
        <w:t>דרבנן</w:t>
      </w:r>
      <w:r>
        <w:rPr>
          <w:rFonts w:cs="Arial" w:hint="cs"/>
          <w:sz w:val="20"/>
          <w:szCs w:val="20"/>
          <w:rtl/>
        </w:rPr>
        <w:t>"</w:t>
      </w:r>
      <w:r w:rsidRPr="004547DC">
        <w:rPr>
          <w:rFonts w:cs="Arial"/>
          <w:sz w:val="20"/>
          <w:szCs w:val="20"/>
          <w:rtl/>
        </w:rPr>
        <w:t>.</w:t>
      </w:r>
      <w:r>
        <w:rPr>
          <w:sz w:val="20"/>
          <w:szCs w:val="20"/>
          <w:u w:val="single"/>
          <w:rtl/>
        </w:rPr>
        <w:br/>
      </w:r>
      <w:r>
        <w:rPr>
          <w:rFonts w:hint="cs"/>
          <w:sz w:val="20"/>
          <w:szCs w:val="20"/>
          <w:rtl/>
        </w:rPr>
        <w:t>משמע מכאן שרק בשעת ווסתה אסורה, אך לאחר זמן הווסת מותרת לבעלה, אלא שקשה מהגמרא בסמוך:</w:t>
      </w:r>
      <w:r>
        <w:rPr>
          <w:rFonts w:hint="cs"/>
          <w:sz w:val="20"/>
          <w:szCs w:val="20"/>
          <w:rtl/>
        </w:rPr>
        <w:br/>
      </w:r>
      <w:r w:rsidRPr="00F25EC1">
        <w:rPr>
          <w:rFonts w:cs="Arial" w:hint="cs"/>
          <w:b/>
          <w:bCs/>
          <w:sz w:val="20"/>
          <w:szCs w:val="20"/>
          <w:rtl/>
        </w:rPr>
        <w:t>גמרא</w:t>
      </w:r>
      <w:r w:rsidRPr="00F25EC1">
        <w:rPr>
          <w:rFonts w:cs="Arial" w:hint="cs"/>
          <w:sz w:val="20"/>
          <w:szCs w:val="20"/>
          <w:rtl/>
        </w:rPr>
        <w:t xml:space="preserve"> שם (</w:t>
      </w:r>
      <w:r>
        <w:rPr>
          <w:rFonts w:cs="Arial" w:hint="cs"/>
          <w:sz w:val="20"/>
          <w:szCs w:val="20"/>
          <w:rtl/>
        </w:rPr>
        <w:t>ע"ב</w:t>
      </w:r>
      <w:r w:rsidRPr="00F25EC1">
        <w:rPr>
          <w:rFonts w:cs="Arial" w:hint="cs"/>
          <w:sz w:val="20"/>
          <w:szCs w:val="20"/>
          <w:rtl/>
        </w:rPr>
        <w:t>) "אמר</w:t>
      </w:r>
      <w:r w:rsidRPr="00F25EC1">
        <w:rPr>
          <w:rFonts w:cs="Arial"/>
          <w:sz w:val="20"/>
          <w:szCs w:val="20"/>
          <w:rtl/>
        </w:rPr>
        <w:t xml:space="preserve"> </w:t>
      </w:r>
      <w:r w:rsidRPr="00F25EC1">
        <w:rPr>
          <w:rFonts w:cs="Arial" w:hint="cs"/>
          <w:sz w:val="20"/>
          <w:szCs w:val="20"/>
          <w:rtl/>
        </w:rPr>
        <w:t>רב</w:t>
      </w:r>
      <w:r w:rsidRPr="00F25EC1">
        <w:rPr>
          <w:rFonts w:cs="Arial"/>
          <w:sz w:val="20"/>
          <w:szCs w:val="20"/>
          <w:rtl/>
        </w:rPr>
        <w:t xml:space="preserve"> </w:t>
      </w:r>
      <w:r w:rsidRPr="00F25EC1">
        <w:rPr>
          <w:rFonts w:cs="Arial" w:hint="cs"/>
          <w:sz w:val="20"/>
          <w:szCs w:val="20"/>
          <w:rtl/>
        </w:rPr>
        <w:t>שמואל</w:t>
      </w:r>
      <w:r w:rsidRPr="00F25EC1">
        <w:rPr>
          <w:rFonts w:cs="Arial"/>
          <w:sz w:val="20"/>
          <w:szCs w:val="20"/>
          <w:rtl/>
        </w:rPr>
        <w:t xml:space="preserve"> </w:t>
      </w:r>
      <w:r w:rsidRPr="00F25EC1">
        <w:rPr>
          <w:rFonts w:cs="Arial" w:hint="cs"/>
          <w:sz w:val="20"/>
          <w:szCs w:val="20"/>
          <w:rtl/>
        </w:rPr>
        <w:t>משמיה</w:t>
      </w:r>
      <w:r w:rsidRPr="00F25EC1">
        <w:rPr>
          <w:rFonts w:cs="Arial"/>
          <w:sz w:val="20"/>
          <w:szCs w:val="20"/>
          <w:rtl/>
        </w:rPr>
        <w:t xml:space="preserve"> </w:t>
      </w:r>
      <w:r w:rsidRPr="00F25EC1">
        <w:rPr>
          <w:rFonts w:cs="Arial" w:hint="cs"/>
          <w:sz w:val="20"/>
          <w:szCs w:val="20"/>
          <w:rtl/>
        </w:rPr>
        <w:t>דרבי</w:t>
      </w:r>
      <w:r w:rsidRPr="00F25EC1">
        <w:rPr>
          <w:rFonts w:cs="Arial"/>
          <w:sz w:val="20"/>
          <w:szCs w:val="20"/>
          <w:rtl/>
        </w:rPr>
        <w:t xml:space="preserve"> </w:t>
      </w:r>
      <w:r w:rsidRPr="00F25EC1">
        <w:rPr>
          <w:rFonts w:cs="Arial" w:hint="cs"/>
          <w:sz w:val="20"/>
          <w:szCs w:val="20"/>
          <w:rtl/>
        </w:rPr>
        <w:t>יוחנן</w:t>
      </w:r>
      <w:r w:rsidRPr="00F25EC1">
        <w:rPr>
          <w:rFonts w:cs="Arial"/>
          <w:sz w:val="20"/>
          <w:szCs w:val="20"/>
          <w:rtl/>
        </w:rPr>
        <w:t xml:space="preserve">: </w:t>
      </w:r>
      <w:r w:rsidRPr="00F25EC1">
        <w:rPr>
          <w:rFonts w:cs="Arial" w:hint="cs"/>
          <w:sz w:val="20"/>
          <w:szCs w:val="20"/>
          <w:rtl/>
        </w:rPr>
        <w:t>אשה</w:t>
      </w:r>
      <w:r w:rsidRPr="00F25EC1">
        <w:rPr>
          <w:rFonts w:cs="Arial"/>
          <w:sz w:val="20"/>
          <w:szCs w:val="20"/>
          <w:rtl/>
        </w:rPr>
        <w:t xml:space="preserve"> </w:t>
      </w:r>
      <w:r w:rsidRPr="00F25EC1">
        <w:rPr>
          <w:rFonts w:cs="Arial" w:hint="cs"/>
          <w:sz w:val="20"/>
          <w:szCs w:val="20"/>
          <w:rtl/>
        </w:rPr>
        <w:t>שיש</w:t>
      </w:r>
      <w:r w:rsidRPr="00F25EC1">
        <w:rPr>
          <w:rFonts w:cs="Arial"/>
          <w:sz w:val="20"/>
          <w:szCs w:val="20"/>
          <w:rtl/>
        </w:rPr>
        <w:t xml:space="preserve"> </w:t>
      </w:r>
      <w:r w:rsidRPr="00F25EC1">
        <w:rPr>
          <w:rFonts w:cs="Arial" w:hint="cs"/>
          <w:sz w:val="20"/>
          <w:szCs w:val="20"/>
          <w:rtl/>
        </w:rPr>
        <w:t>לה</w:t>
      </w:r>
      <w:r w:rsidRPr="00F25EC1">
        <w:rPr>
          <w:rFonts w:cs="Arial"/>
          <w:sz w:val="20"/>
          <w:szCs w:val="20"/>
          <w:rtl/>
        </w:rPr>
        <w:t xml:space="preserve"> </w:t>
      </w:r>
      <w:r w:rsidRPr="00F25EC1">
        <w:rPr>
          <w:rFonts w:cs="Arial" w:hint="cs"/>
          <w:sz w:val="20"/>
          <w:szCs w:val="20"/>
          <w:rtl/>
        </w:rPr>
        <w:t>וסת</w:t>
      </w:r>
      <w:r w:rsidRPr="00F25EC1">
        <w:rPr>
          <w:rFonts w:cs="Arial"/>
          <w:sz w:val="20"/>
          <w:szCs w:val="20"/>
          <w:rtl/>
        </w:rPr>
        <w:t xml:space="preserve"> - </w:t>
      </w:r>
      <w:r w:rsidRPr="00F25EC1">
        <w:rPr>
          <w:rFonts w:cs="Arial" w:hint="cs"/>
          <w:sz w:val="20"/>
          <w:szCs w:val="20"/>
          <w:rtl/>
        </w:rPr>
        <w:t>בעלה</w:t>
      </w:r>
      <w:r w:rsidRPr="00F25EC1">
        <w:rPr>
          <w:rFonts w:cs="Arial"/>
          <w:sz w:val="20"/>
          <w:szCs w:val="20"/>
          <w:rtl/>
        </w:rPr>
        <w:t xml:space="preserve"> </w:t>
      </w:r>
      <w:r w:rsidRPr="00F25EC1">
        <w:rPr>
          <w:rFonts w:cs="Arial" w:hint="cs"/>
          <w:sz w:val="20"/>
          <w:szCs w:val="20"/>
          <w:rtl/>
        </w:rPr>
        <w:t>מחשב</w:t>
      </w:r>
      <w:r w:rsidRPr="00F25EC1">
        <w:rPr>
          <w:rFonts w:cs="Arial"/>
          <w:sz w:val="20"/>
          <w:szCs w:val="20"/>
          <w:rtl/>
        </w:rPr>
        <w:t xml:space="preserve"> </w:t>
      </w:r>
      <w:r w:rsidRPr="00F25EC1">
        <w:rPr>
          <w:rFonts w:cs="Arial" w:hint="cs"/>
          <w:sz w:val="20"/>
          <w:szCs w:val="20"/>
          <w:rtl/>
        </w:rPr>
        <w:t>ימי</w:t>
      </w:r>
      <w:r w:rsidRPr="00F25EC1">
        <w:rPr>
          <w:rFonts w:cs="Arial"/>
          <w:sz w:val="20"/>
          <w:szCs w:val="20"/>
          <w:rtl/>
        </w:rPr>
        <w:t xml:space="preserve"> </w:t>
      </w:r>
      <w:r w:rsidRPr="00F25EC1">
        <w:rPr>
          <w:rFonts w:cs="Arial" w:hint="cs"/>
          <w:sz w:val="20"/>
          <w:szCs w:val="20"/>
          <w:rtl/>
        </w:rPr>
        <w:t>וסתה</w:t>
      </w:r>
      <w:r w:rsidRPr="00F25EC1">
        <w:rPr>
          <w:rFonts w:cs="Arial"/>
          <w:sz w:val="20"/>
          <w:szCs w:val="20"/>
          <w:rtl/>
        </w:rPr>
        <w:t xml:space="preserve"> </w:t>
      </w:r>
      <w:r w:rsidRPr="00F25EC1">
        <w:rPr>
          <w:rFonts w:cs="Arial" w:hint="cs"/>
          <w:sz w:val="20"/>
          <w:szCs w:val="20"/>
          <w:rtl/>
        </w:rPr>
        <w:t>ובא</w:t>
      </w:r>
      <w:r w:rsidRPr="00F25EC1">
        <w:rPr>
          <w:rFonts w:cs="Arial"/>
          <w:sz w:val="20"/>
          <w:szCs w:val="20"/>
          <w:rtl/>
        </w:rPr>
        <w:t xml:space="preserve"> </w:t>
      </w:r>
      <w:r w:rsidRPr="00F25EC1">
        <w:rPr>
          <w:rFonts w:cs="Arial" w:hint="cs"/>
          <w:sz w:val="20"/>
          <w:szCs w:val="20"/>
          <w:rtl/>
        </w:rPr>
        <w:t>עליה"</w:t>
      </w:r>
      <w:r w:rsidRPr="00F25EC1">
        <w:rPr>
          <w:rFonts w:cs="Arial"/>
          <w:sz w:val="20"/>
          <w:szCs w:val="20"/>
          <w:rtl/>
        </w:rPr>
        <w:t>.</w:t>
      </w:r>
      <w:r>
        <w:rPr>
          <w:sz w:val="20"/>
          <w:szCs w:val="20"/>
          <w:u w:val="single"/>
          <w:rtl/>
        </w:rPr>
        <w:br/>
      </w:r>
      <w:r>
        <w:rPr>
          <w:rFonts w:hint="cs"/>
          <w:sz w:val="20"/>
          <w:szCs w:val="20"/>
          <w:rtl/>
        </w:rPr>
        <w:t>משמע שאם הגיעה שעת ווסתה אסורה לבעלה עד שידע שהיתה לה אפשרות להיטהר!</w:t>
      </w:r>
      <w:r>
        <w:rPr>
          <w:sz w:val="20"/>
          <w:szCs w:val="20"/>
          <w:rtl/>
        </w:rPr>
        <w:br/>
      </w:r>
      <w:r w:rsidRPr="0089357E">
        <w:rPr>
          <w:rFonts w:hint="cs"/>
          <w:sz w:val="20"/>
          <w:szCs w:val="20"/>
          <w:rtl/>
        </w:rPr>
        <w:t>מיישב</w:t>
      </w:r>
      <w:r w:rsidRPr="0089357E">
        <w:rPr>
          <w:rFonts w:hint="cs"/>
          <w:b/>
          <w:bCs/>
          <w:sz w:val="20"/>
          <w:szCs w:val="20"/>
          <w:rtl/>
        </w:rPr>
        <w:t xml:space="preserve"> הר"ן</w:t>
      </w:r>
      <w:r>
        <w:rPr>
          <w:rFonts w:hint="cs"/>
          <w:sz w:val="20"/>
          <w:szCs w:val="20"/>
          <w:rtl/>
        </w:rPr>
        <w:t xml:space="preserve"> </w:t>
      </w:r>
      <w:r>
        <w:rPr>
          <w:sz w:val="20"/>
          <w:szCs w:val="20"/>
          <w:rtl/>
        </w:rPr>
        <w:t>–</w:t>
      </w:r>
      <w:r>
        <w:rPr>
          <w:rFonts w:hint="cs"/>
          <w:sz w:val="20"/>
          <w:szCs w:val="20"/>
          <w:rtl/>
        </w:rPr>
        <w:t xml:space="preserve"> רבי יוחנן סובר שווסתות דאורייתא, רבב"ח סובר שווסתות דרבנן ומותרת והכי קיי"ל.</w:t>
      </w:r>
      <w:r>
        <w:rPr>
          <w:rStyle w:val="a5"/>
          <w:sz w:val="20"/>
          <w:szCs w:val="20"/>
          <w:rtl/>
        </w:rPr>
        <w:footnoteReference w:id="45"/>
      </w:r>
    </w:p>
    <w:p w:rsidR="00620060" w:rsidRDefault="00620060" w:rsidP="00620060">
      <w:pPr>
        <w:rPr>
          <w:sz w:val="20"/>
          <w:szCs w:val="20"/>
          <w:rtl/>
        </w:rPr>
      </w:pPr>
      <w:r w:rsidRPr="00DA1309">
        <w:rPr>
          <w:rFonts w:hint="cs"/>
          <w:b/>
          <w:bCs/>
          <w:sz w:val="20"/>
          <w:szCs w:val="20"/>
          <w:rtl/>
        </w:rPr>
        <w:t>שיטת הרשב"א באשה שאין לה ווסת קבוע</w:t>
      </w:r>
      <w:r>
        <w:rPr>
          <w:rFonts w:hint="cs"/>
          <w:sz w:val="20"/>
          <w:szCs w:val="20"/>
          <w:u w:val="single"/>
          <w:rtl/>
        </w:rPr>
        <w:br/>
      </w:r>
      <w:r>
        <w:rPr>
          <w:rFonts w:hint="cs"/>
          <w:sz w:val="20"/>
          <w:szCs w:val="20"/>
          <w:rtl/>
        </w:rPr>
        <w:t>גם אשה שאין לה ווסת קבוע צריכה בדיקה בשעת ווסתה, וכן אסורה בעונת ווסתה.</w:t>
      </w:r>
      <w:r>
        <w:rPr>
          <w:sz w:val="20"/>
          <w:szCs w:val="20"/>
          <w:rtl/>
        </w:rPr>
        <w:t xml:space="preserve"> </w:t>
      </w:r>
      <w:r>
        <w:rPr>
          <w:sz w:val="20"/>
          <w:szCs w:val="20"/>
          <w:rtl/>
        </w:rPr>
        <w:br/>
      </w:r>
      <w:r>
        <w:rPr>
          <w:rFonts w:hint="cs"/>
          <w:sz w:val="20"/>
          <w:szCs w:val="20"/>
          <w:rtl/>
        </w:rPr>
        <w:t>ואמנם, אע"פ שצריכה בדיקה, אם לא בדקה עצמה מותרת. ברם, יום ל' לראייתה נחשב כווסת קבוע ואסורה לשמש ללא בדיקה מל' והלאה.</w:t>
      </w:r>
      <w:r>
        <w:rPr>
          <w:sz w:val="20"/>
          <w:szCs w:val="20"/>
          <w:rtl/>
        </w:rPr>
        <w:br/>
      </w:r>
      <w:r>
        <w:rPr>
          <w:b/>
          <w:b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C23ED8">
        <w:rPr>
          <w:rFonts w:cs="Arial" w:hint="cs"/>
          <w:sz w:val="20"/>
          <w:szCs w:val="20"/>
          <w:rtl/>
        </w:rPr>
        <w:t>שאר</w:t>
      </w:r>
      <w:r w:rsidRPr="00C23ED8">
        <w:rPr>
          <w:rFonts w:cs="Arial"/>
          <w:sz w:val="20"/>
          <w:szCs w:val="20"/>
          <w:rtl/>
        </w:rPr>
        <w:t xml:space="preserve"> </w:t>
      </w:r>
      <w:r w:rsidRPr="00C23ED8">
        <w:rPr>
          <w:rFonts w:cs="Arial" w:hint="cs"/>
          <w:sz w:val="20"/>
          <w:szCs w:val="20"/>
          <w:rtl/>
        </w:rPr>
        <w:t>נשים</w:t>
      </w:r>
      <w:r w:rsidRPr="00C23ED8">
        <w:rPr>
          <w:rFonts w:cs="Arial"/>
          <w:sz w:val="20"/>
          <w:szCs w:val="20"/>
          <w:rtl/>
        </w:rPr>
        <w:t xml:space="preserve">, </w:t>
      </w:r>
      <w:r w:rsidRPr="00C23ED8">
        <w:rPr>
          <w:rFonts w:cs="Arial" w:hint="cs"/>
          <w:sz w:val="20"/>
          <w:szCs w:val="20"/>
          <w:rtl/>
        </w:rPr>
        <w:t>צריכות</w:t>
      </w:r>
      <w:r w:rsidRPr="00C23ED8">
        <w:rPr>
          <w:rFonts w:cs="Arial"/>
          <w:sz w:val="20"/>
          <w:szCs w:val="20"/>
          <w:rtl/>
        </w:rPr>
        <w:t xml:space="preserve"> </w:t>
      </w:r>
      <w:r w:rsidRPr="00C23ED8">
        <w:rPr>
          <w:rFonts w:cs="Arial" w:hint="cs"/>
          <w:sz w:val="20"/>
          <w:szCs w:val="20"/>
          <w:rtl/>
        </w:rPr>
        <w:t>בדיקה</w:t>
      </w:r>
      <w:r>
        <w:rPr>
          <w:rStyle w:val="a5"/>
          <w:rFonts w:cs="Arial"/>
          <w:sz w:val="20"/>
          <w:szCs w:val="20"/>
          <w:rtl/>
        </w:rPr>
        <w:footnoteReference w:id="46"/>
      </w:r>
      <w:r w:rsidRPr="00C23ED8">
        <w:rPr>
          <w:rFonts w:cs="Arial"/>
          <w:sz w:val="20"/>
          <w:szCs w:val="20"/>
          <w:rtl/>
        </w:rPr>
        <w:t xml:space="preserve"> </w:t>
      </w:r>
      <w:r w:rsidRPr="00C23ED8">
        <w:rPr>
          <w:rFonts w:cs="Arial" w:hint="cs"/>
          <w:sz w:val="20"/>
          <w:szCs w:val="20"/>
          <w:rtl/>
        </w:rPr>
        <w:t>כשיגיע</w:t>
      </w:r>
      <w:r w:rsidRPr="00C23ED8">
        <w:rPr>
          <w:rFonts w:cs="Arial"/>
          <w:sz w:val="20"/>
          <w:szCs w:val="20"/>
          <w:rtl/>
        </w:rPr>
        <w:t xml:space="preserve"> </w:t>
      </w:r>
      <w:r w:rsidRPr="00C23ED8">
        <w:rPr>
          <w:rFonts w:cs="Arial" w:hint="cs"/>
          <w:sz w:val="20"/>
          <w:szCs w:val="20"/>
          <w:rtl/>
        </w:rPr>
        <w:t>הוסת</w:t>
      </w:r>
      <w:r w:rsidRPr="00C23ED8">
        <w:rPr>
          <w:rFonts w:cs="Arial"/>
          <w:sz w:val="20"/>
          <w:szCs w:val="20"/>
          <w:rtl/>
        </w:rPr>
        <w:t xml:space="preserve">. </w:t>
      </w:r>
      <w:r w:rsidRPr="00C23ED8">
        <w:rPr>
          <w:rFonts w:cs="Arial" w:hint="cs"/>
          <w:sz w:val="20"/>
          <w:szCs w:val="20"/>
          <w:rtl/>
        </w:rPr>
        <w:t>עבר</w:t>
      </w:r>
      <w:r w:rsidRPr="00C23ED8">
        <w:rPr>
          <w:rFonts w:cs="Arial"/>
          <w:sz w:val="20"/>
          <w:szCs w:val="20"/>
          <w:rtl/>
        </w:rPr>
        <w:t xml:space="preserve"> </w:t>
      </w:r>
      <w:r w:rsidRPr="00C23ED8">
        <w:rPr>
          <w:rFonts w:cs="Arial" w:hint="cs"/>
          <w:sz w:val="20"/>
          <w:szCs w:val="20"/>
          <w:rtl/>
        </w:rPr>
        <w:t>הוסת</w:t>
      </w:r>
      <w:r w:rsidRPr="00C23ED8">
        <w:rPr>
          <w:rFonts w:cs="Arial"/>
          <w:sz w:val="20"/>
          <w:szCs w:val="20"/>
          <w:rtl/>
        </w:rPr>
        <w:t xml:space="preserve"> </w:t>
      </w:r>
      <w:r w:rsidRPr="00C23ED8">
        <w:rPr>
          <w:rFonts w:cs="Arial" w:hint="cs"/>
          <w:sz w:val="20"/>
          <w:szCs w:val="20"/>
          <w:rtl/>
        </w:rPr>
        <w:t>ולא</w:t>
      </w:r>
      <w:r w:rsidRPr="00C23ED8">
        <w:rPr>
          <w:rFonts w:cs="Arial"/>
          <w:sz w:val="20"/>
          <w:szCs w:val="20"/>
          <w:rtl/>
        </w:rPr>
        <w:t xml:space="preserve"> </w:t>
      </w:r>
      <w:r w:rsidRPr="00C23ED8">
        <w:rPr>
          <w:rFonts w:cs="Arial" w:hint="cs"/>
          <w:sz w:val="20"/>
          <w:szCs w:val="20"/>
          <w:rtl/>
        </w:rPr>
        <w:t>בדקה</w:t>
      </w:r>
      <w:r w:rsidRPr="00C23ED8">
        <w:rPr>
          <w:rFonts w:cs="Arial"/>
          <w:sz w:val="20"/>
          <w:szCs w:val="20"/>
          <w:rtl/>
        </w:rPr>
        <w:t xml:space="preserve"> </w:t>
      </w:r>
      <w:r w:rsidRPr="00C23ED8">
        <w:rPr>
          <w:rFonts w:cs="Arial" w:hint="cs"/>
          <w:sz w:val="20"/>
          <w:szCs w:val="20"/>
          <w:rtl/>
        </w:rPr>
        <w:t>ולא</w:t>
      </w:r>
      <w:r w:rsidRPr="00C23ED8">
        <w:rPr>
          <w:rFonts w:cs="Arial"/>
          <w:sz w:val="20"/>
          <w:szCs w:val="20"/>
          <w:rtl/>
        </w:rPr>
        <w:t xml:space="preserve"> </w:t>
      </w:r>
      <w:r w:rsidRPr="00C23ED8">
        <w:rPr>
          <w:rFonts w:cs="Arial" w:hint="cs"/>
          <w:sz w:val="20"/>
          <w:szCs w:val="20"/>
          <w:rtl/>
        </w:rPr>
        <w:t>הרגישה</w:t>
      </w:r>
      <w:r w:rsidRPr="00C23ED8">
        <w:rPr>
          <w:rFonts w:cs="Arial"/>
          <w:sz w:val="20"/>
          <w:szCs w:val="20"/>
          <w:rtl/>
        </w:rPr>
        <w:t xml:space="preserve">, </w:t>
      </w:r>
      <w:r w:rsidRPr="00C23ED8">
        <w:rPr>
          <w:rFonts w:cs="Arial" w:hint="cs"/>
          <w:sz w:val="20"/>
          <w:szCs w:val="20"/>
          <w:rtl/>
        </w:rPr>
        <w:t>טהורה</w:t>
      </w:r>
      <w:r w:rsidRPr="00C23ED8">
        <w:rPr>
          <w:rFonts w:cs="Arial"/>
          <w:sz w:val="20"/>
          <w:szCs w:val="20"/>
          <w:rtl/>
        </w:rPr>
        <w:t xml:space="preserve"> </w:t>
      </w:r>
      <w:r w:rsidRPr="00C23ED8">
        <w:rPr>
          <w:rFonts w:cs="Arial" w:hint="cs"/>
          <w:sz w:val="20"/>
          <w:szCs w:val="20"/>
          <w:rtl/>
        </w:rPr>
        <w:t>בלא</w:t>
      </w:r>
      <w:r w:rsidRPr="00C23ED8">
        <w:rPr>
          <w:rFonts w:cs="Arial"/>
          <w:sz w:val="20"/>
          <w:szCs w:val="20"/>
          <w:rtl/>
        </w:rPr>
        <w:t xml:space="preserve"> </w:t>
      </w:r>
      <w:r w:rsidRPr="00C23ED8">
        <w:rPr>
          <w:rFonts w:cs="Arial" w:hint="cs"/>
          <w:sz w:val="20"/>
          <w:szCs w:val="20"/>
          <w:rtl/>
        </w:rPr>
        <w:t>בדיקה</w:t>
      </w:r>
      <w:r w:rsidRPr="00C23ED8">
        <w:rPr>
          <w:rFonts w:cs="Arial"/>
          <w:sz w:val="20"/>
          <w:szCs w:val="20"/>
          <w:rtl/>
        </w:rPr>
        <w:t xml:space="preserve">. </w:t>
      </w:r>
      <w:r w:rsidRPr="00C23ED8">
        <w:rPr>
          <w:rFonts w:cs="Arial" w:hint="cs"/>
          <w:sz w:val="20"/>
          <w:szCs w:val="20"/>
          <w:rtl/>
        </w:rPr>
        <w:t>וי</w:t>
      </w:r>
      <w:r>
        <w:rPr>
          <w:rFonts w:cs="Arial" w:hint="cs"/>
          <w:sz w:val="20"/>
          <w:szCs w:val="20"/>
          <w:rtl/>
        </w:rPr>
        <w:t xml:space="preserve">ש </w:t>
      </w:r>
      <w:r w:rsidRPr="00C23ED8">
        <w:rPr>
          <w:rFonts w:cs="Arial" w:hint="cs"/>
          <w:sz w:val="20"/>
          <w:szCs w:val="20"/>
          <w:rtl/>
        </w:rPr>
        <w:t>א</w:t>
      </w:r>
      <w:r>
        <w:rPr>
          <w:rFonts w:cs="Arial" w:hint="cs"/>
          <w:sz w:val="20"/>
          <w:szCs w:val="20"/>
          <w:rtl/>
        </w:rPr>
        <w:t>ומרים</w:t>
      </w:r>
      <w:r w:rsidRPr="00C23ED8">
        <w:rPr>
          <w:rFonts w:cs="Arial"/>
          <w:sz w:val="20"/>
          <w:szCs w:val="20"/>
          <w:rtl/>
        </w:rPr>
        <w:t xml:space="preserve"> </w:t>
      </w:r>
      <w:r w:rsidRPr="00C23ED8">
        <w:rPr>
          <w:rFonts w:cs="Arial" w:hint="cs"/>
          <w:sz w:val="20"/>
          <w:szCs w:val="20"/>
          <w:rtl/>
        </w:rPr>
        <w:t>שאסורה</w:t>
      </w:r>
      <w:r w:rsidRPr="00C23ED8">
        <w:rPr>
          <w:rFonts w:cs="Arial"/>
          <w:sz w:val="20"/>
          <w:szCs w:val="20"/>
          <w:rtl/>
        </w:rPr>
        <w:t xml:space="preserve"> </w:t>
      </w:r>
      <w:r w:rsidRPr="00C23ED8">
        <w:rPr>
          <w:rFonts w:cs="Arial" w:hint="cs"/>
          <w:sz w:val="20"/>
          <w:szCs w:val="20"/>
          <w:rtl/>
        </w:rPr>
        <w:t>עד</w:t>
      </w:r>
      <w:r w:rsidRPr="00C23ED8">
        <w:rPr>
          <w:rFonts w:cs="Arial"/>
          <w:sz w:val="20"/>
          <w:szCs w:val="20"/>
          <w:rtl/>
        </w:rPr>
        <w:t xml:space="preserve"> </w:t>
      </w:r>
      <w:r w:rsidRPr="00C23ED8">
        <w:rPr>
          <w:rFonts w:cs="Arial" w:hint="cs"/>
          <w:sz w:val="20"/>
          <w:szCs w:val="20"/>
          <w:rtl/>
        </w:rPr>
        <w:t>שתבדוק</w:t>
      </w:r>
      <w:r>
        <w:rPr>
          <w:rStyle w:val="a5"/>
          <w:rFonts w:cs="Arial"/>
          <w:sz w:val="20"/>
          <w:szCs w:val="20"/>
          <w:rtl/>
        </w:rPr>
        <w:footnoteReference w:id="47"/>
      </w:r>
      <w:r w:rsidRPr="00C23ED8">
        <w:rPr>
          <w:rFonts w:cs="Arial"/>
          <w:sz w:val="20"/>
          <w:szCs w:val="20"/>
          <w:rtl/>
        </w:rPr>
        <w:t xml:space="preserve">, </w:t>
      </w:r>
      <w:r w:rsidRPr="00C23ED8">
        <w:rPr>
          <w:rFonts w:cs="Arial" w:hint="cs"/>
          <w:sz w:val="20"/>
          <w:szCs w:val="20"/>
          <w:rtl/>
        </w:rPr>
        <w:t>אם</w:t>
      </w:r>
      <w:r w:rsidRPr="00C23ED8">
        <w:rPr>
          <w:rFonts w:cs="Arial"/>
          <w:sz w:val="20"/>
          <w:szCs w:val="20"/>
          <w:rtl/>
        </w:rPr>
        <w:t xml:space="preserve"> </w:t>
      </w:r>
      <w:r w:rsidRPr="00C23ED8">
        <w:rPr>
          <w:rFonts w:cs="Arial" w:hint="cs"/>
          <w:sz w:val="20"/>
          <w:szCs w:val="20"/>
          <w:rtl/>
        </w:rPr>
        <w:t>יש</w:t>
      </w:r>
      <w:r w:rsidRPr="00C23ED8">
        <w:rPr>
          <w:rFonts w:cs="Arial"/>
          <w:sz w:val="20"/>
          <w:szCs w:val="20"/>
          <w:rtl/>
        </w:rPr>
        <w:t xml:space="preserve"> </w:t>
      </w:r>
      <w:r w:rsidRPr="00C23ED8">
        <w:rPr>
          <w:rFonts w:cs="Arial" w:hint="cs"/>
          <w:sz w:val="20"/>
          <w:szCs w:val="20"/>
          <w:rtl/>
        </w:rPr>
        <w:t>לה</w:t>
      </w:r>
      <w:r w:rsidRPr="00C23ED8">
        <w:rPr>
          <w:rFonts w:cs="Arial"/>
          <w:sz w:val="20"/>
          <w:szCs w:val="20"/>
          <w:rtl/>
        </w:rPr>
        <w:t xml:space="preserve"> </w:t>
      </w:r>
      <w:r w:rsidRPr="00C23ED8">
        <w:rPr>
          <w:rFonts w:cs="Arial" w:hint="cs"/>
          <w:sz w:val="20"/>
          <w:szCs w:val="20"/>
          <w:rtl/>
        </w:rPr>
        <w:t>וסת</w:t>
      </w:r>
      <w:r w:rsidRPr="00C23ED8">
        <w:rPr>
          <w:rFonts w:cs="Arial"/>
          <w:sz w:val="20"/>
          <w:szCs w:val="20"/>
          <w:rtl/>
        </w:rPr>
        <w:t xml:space="preserve"> </w:t>
      </w:r>
      <w:r w:rsidRPr="00C23ED8">
        <w:rPr>
          <w:rFonts w:cs="Arial" w:hint="cs"/>
          <w:sz w:val="20"/>
          <w:szCs w:val="20"/>
          <w:rtl/>
        </w:rPr>
        <w:t>קבוע</w:t>
      </w:r>
      <w:r w:rsidRPr="00C23ED8">
        <w:rPr>
          <w:rFonts w:cs="Arial"/>
          <w:sz w:val="20"/>
          <w:szCs w:val="20"/>
          <w:rtl/>
        </w:rPr>
        <w:t xml:space="preserve">, </w:t>
      </w:r>
      <w:r w:rsidRPr="00C23ED8">
        <w:rPr>
          <w:rFonts w:cs="Arial" w:hint="cs"/>
          <w:sz w:val="20"/>
          <w:szCs w:val="20"/>
          <w:rtl/>
        </w:rPr>
        <w:t>או</w:t>
      </w:r>
      <w:r w:rsidRPr="00C23ED8">
        <w:rPr>
          <w:rFonts w:cs="Arial"/>
          <w:sz w:val="20"/>
          <w:szCs w:val="20"/>
          <w:rtl/>
        </w:rPr>
        <w:t xml:space="preserve"> </w:t>
      </w:r>
      <w:r w:rsidRPr="00C23ED8">
        <w:rPr>
          <w:rFonts w:cs="Arial" w:hint="cs"/>
          <w:sz w:val="20"/>
          <w:szCs w:val="20"/>
          <w:rtl/>
        </w:rPr>
        <w:t>שהוא</w:t>
      </w:r>
      <w:r w:rsidRPr="00C23ED8">
        <w:rPr>
          <w:rFonts w:cs="Arial"/>
          <w:sz w:val="20"/>
          <w:szCs w:val="20"/>
          <w:rtl/>
        </w:rPr>
        <w:t xml:space="preserve"> </w:t>
      </w:r>
      <w:r w:rsidRPr="00C23ED8">
        <w:rPr>
          <w:rFonts w:cs="Arial" w:hint="cs"/>
          <w:sz w:val="20"/>
          <w:szCs w:val="20"/>
          <w:rtl/>
        </w:rPr>
        <w:t>יום</w:t>
      </w:r>
      <w:r w:rsidRPr="00C23ED8">
        <w:rPr>
          <w:rFonts w:cs="Arial"/>
          <w:sz w:val="20"/>
          <w:szCs w:val="20"/>
          <w:rtl/>
        </w:rPr>
        <w:t xml:space="preserve"> </w:t>
      </w:r>
      <w:r w:rsidRPr="00C23ED8">
        <w:rPr>
          <w:rFonts w:cs="Arial" w:hint="cs"/>
          <w:sz w:val="20"/>
          <w:szCs w:val="20"/>
          <w:rtl/>
        </w:rPr>
        <w:t>ל</w:t>
      </w:r>
      <w:r w:rsidRPr="00C23ED8">
        <w:rPr>
          <w:rFonts w:cs="Arial"/>
          <w:sz w:val="20"/>
          <w:szCs w:val="20"/>
          <w:rtl/>
        </w:rPr>
        <w:t xml:space="preserve">' </w:t>
      </w:r>
      <w:r w:rsidRPr="00C23ED8">
        <w:rPr>
          <w:rFonts w:cs="Arial" w:hint="cs"/>
          <w:sz w:val="20"/>
          <w:szCs w:val="20"/>
          <w:rtl/>
        </w:rPr>
        <w:t>אף</w:t>
      </w:r>
      <w:r w:rsidRPr="00C23ED8">
        <w:rPr>
          <w:rFonts w:cs="Arial"/>
          <w:sz w:val="20"/>
          <w:szCs w:val="20"/>
          <w:rtl/>
        </w:rPr>
        <w:t xml:space="preserve"> </w:t>
      </w:r>
      <w:r w:rsidRPr="00C23ED8">
        <w:rPr>
          <w:rFonts w:cs="Arial" w:hint="cs"/>
          <w:sz w:val="20"/>
          <w:szCs w:val="20"/>
          <w:rtl/>
        </w:rPr>
        <w:t>על</w:t>
      </w:r>
      <w:r w:rsidRPr="00C23ED8">
        <w:rPr>
          <w:rFonts w:cs="Arial"/>
          <w:sz w:val="20"/>
          <w:szCs w:val="20"/>
          <w:rtl/>
        </w:rPr>
        <w:t xml:space="preserve"> </w:t>
      </w:r>
      <w:r w:rsidRPr="00C23ED8">
        <w:rPr>
          <w:rFonts w:cs="Arial" w:hint="cs"/>
          <w:sz w:val="20"/>
          <w:szCs w:val="20"/>
          <w:rtl/>
        </w:rPr>
        <w:t>פי</w:t>
      </w:r>
      <w:r w:rsidRPr="00C23ED8">
        <w:rPr>
          <w:rFonts w:cs="Arial"/>
          <w:sz w:val="20"/>
          <w:szCs w:val="20"/>
          <w:rtl/>
        </w:rPr>
        <w:t xml:space="preserve"> </w:t>
      </w:r>
      <w:r w:rsidRPr="00C23ED8">
        <w:rPr>
          <w:rFonts w:cs="Arial" w:hint="cs"/>
          <w:sz w:val="20"/>
          <w:szCs w:val="20"/>
          <w:rtl/>
        </w:rPr>
        <w:t>שאינו</w:t>
      </w:r>
      <w:r w:rsidRPr="00C23ED8">
        <w:rPr>
          <w:rFonts w:cs="Arial"/>
          <w:sz w:val="20"/>
          <w:szCs w:val="20"/>
          <w:rtl/>
        </w:rPr>
        <w:t xml:space="preserve"> </w:t>
      </w:r>
      <w:r w:rsidRPr="00C23ED8">
        <w:rPr>
          <w:rFonts w:cs="Arial" w:hint="cs"/>
          <w:sz w:val="20"/>
          <w:szCs w:val="20"/>
          <w:rtl/>
        </w:rPr>
        <w:t>קבוע</w:t>
      </w:r>
      <w:r w:rsidRPr="00C23ED8">
        <w:rPr>
          <w:rFonts w:cs="Arial"/>
          <w:sz w:val="20"/>
          <w:szCs w:val="20"/>
          <w:rtl/>
        </w:rPr>
        <w:t>. (</w:t>
      </w:r>
      <w:r w:rsidRPr="00C23ED8">
        <w:rPr>
          <w:rFonts w:cs="Arial" w:hint="cs"/>
          <w:sz w:val="18"/>
          <w:szCs w:val="18"/>
          <w:rtl/>
        </w:rPr>
        <w:t>והכי</w:t>
      </w:r>
      <w:r w:rsidRPr="00C23ED8">
        <w:rPr>
          <w:rFonts w:cs="Arial"/>
          <w:sz w:val="18"/>
          <w:szCs w:val="18"/>
          <w:rtl/>
        </w:rPr>
        <w:t xml:space="preserve"> </w:t>
      </w:r>
      <w:r w:rsidRPr="00C23ED8">
        <w:rPr>
          <w:rFonts w:cs="Arial" w:hint="cs"/>
          <w:sz w:val="18"/>
          <w:szCs w:val="18"/>
          <w:rtl/>
        </w:rPr>
        <w:t>נהוג</w:t>
      </w:r>
      <w:r w:rsidRPr="00C23ED8">
        <w:rPr>
          <w:rFonts w:cs="Arial"/>
          <w:sz w:val="18"/>
          <w:szCs w:val="18"/>
          <w:rtl/>
        </w:rPr>
        <w:t xml:space="preserve">, </w:t>
      </w:r>
      <w:r w:rsidRPr="00C23ED8">
        <w:rPr>
          <w:rFonts w:cs="Arial" w:hint="cs"/>
          <w:sz w:val="18"/>
          <w:szCs w:val="18"/>
          <w:rtl/>
        </w:rPr>
        <w:t>וכן</w:t>
      </w:r>
      <w:r w:rsidRPr="00C23ED8">
        <w:rPr>
          <w:rFonts w:cs="Arial"/>
          <w:sz w:val="18"/>
          <w:szCs w:val="18"/>
          <w:rtl/>
        </w:rPr>
        <w:t xml:space="preserve"> </w:t>
      </w:r>
      <w:r w:rsidRPr="00C23ED8">
        <w:rPr>
          <w:rFonts w:cs="Arial" w:hint="cs"/>
          <w:sz w:val="18"/>
          <w:szCs w:val="18"/>
          <w:rtl/>
        </w:rPr>
        <w:t>הוא</w:t>
      </w:r>
      <w:r w:rsidRPr="00C23ED8">
        <w:rPr>
          <w:rFonts w:cs="Arial"/>
          <w:sz w:val="18"/>
          <w:szCs w:val="18"/>
          <w:rtl/>
        </w:rPr>
        <w:t xml:space="preserve"> </w:t>
      </w:r>
      <w:r w:rsidRPr="00C23ED8">
        <w:rPr>
          <w:rFonts w:cs="Arial" w:hint="cs"/>
          <w:sz w:val="18"/>
          <w:szCs w:val="18"/>
          <w:rtl/>
        </w:rPr>
        <w:t>לקמן</w:t>
      </w:r>
      <w:r w:rsidRPr="00C23ED8">
        <w:rPr>
          <w:rFonts w:cs="Arial"/>
          <w:sz w:val="18"/>
          <w:szCs w:val="18"/>
          <w:rtl/>
        </w:rPr>
        <w:t xml:space="preserve"> </w:t>
      </w:r>
      <w:r w:rsidRPr="00C23ED8">
        <w:rPr>
          <w:rFonts w:cs="Arial" w:hint="cs"/>
          <w:sz w:val="18"/>
          <w:szCs w:val="18"/>
          <w:rtl/>
        </w:rPr>
        <w:t>סימן</w:t>
      </w:r>
      <w:r w:rsidRPr="00C23ED8">
        <w:rPr>
          <w:rFonts w:cs="Arial"/>
          <w:sz w:val="18"/>
          <w:szCs w:val="18"/>
          <w:rtl/>
        </w:rPr>
        <w:t xml:space="preserve"> </w:t>
      </w:r>
      <w:r w:rsidRPr="00C23ED8">
        <w:rPr>
          <w:rFonts w:cs="Arial" w:hint="cs"/>
          <w:sz w:val="18"/>
          <w:szCs w:val="18"/>
          <w:rtl/>
        </w:rPr>
        <w:t>קפ</w:t>
      </w:r>
      <w:r w:rsidRPr="00C23ED8">
        <w:rPr>
          <w:rFonts w:cs="Arial"/>
          <w:sz w:val="18"/>
          <w:szCs w:val="18"/>
          <w:rtl/>
        </w:rPr>
        <w:t>"</w:t>
      </w:r>
      <w:r w:rsidRPr="00C23ED8">
        <w:rPr>
          <w:rFonts w:cs="Arial" w:hint="cs"/>
          <w:sz w:val="18"/>
          <w:szCs w:val="18"/>
          <w:rtl/>
        </w:rPr>
        <w:t>ט</w:t>
      </w:r>
      <w:r w:rsidRPr="00C23ED8">
        <w:rPr>
          <w:rFonts w:cs="Arial"/>
          <w:sz w:val="18"/>
          <w:szCs w:val="18"/>
          <w:rtl/>
        </w:rPr>
        <w:t>)</w:t>
      </w:r>
      <w:r>
        <w:rPr>
          <w:rFonts w:cs="Arial"/>
          <w:sz w:val="18"/>
          <w:szCs w:val="18"/>
          <w:rtl/>
        </w:rPr>
        <w:t>".</w:t>
      </w:r>
      <w:r>
        <w:rPr>
          <w:rStyle w:val="a5"/>
          <w:sz w:val="18"/>
          <w:szCs w:val="18"/>
          <w:u w:val="single"/>
          <w:rtl/>
        </w:rPr>
        <w:footnoteReference w:id="48"/>
      </w:r>
      <w:r>
        <w:rPr>
          <w:rFonts w:hint="cs"/>
          <w:sz w:val="18"/>
          <w:szCs w:val="18"/>
          <w:u w:val="single"/>
          <w:rtl/>
        </w:rPr>
        <w:br/>
      </w:r>
      <w:r>
        <w:rPr>
          <w:rFonts w:hint="cs"/>
          <w:b/>
          <w:bCs/>
          <w:sz w:val="20"/>
          <w:szCs w:val="20"/>
          <w:rtl/>
        </w:rPr>
        <w:t xml:space="preserve">טהרת הבית </w:t>
      </w:r>
      <w:r>
        <w:rPr>
          <w:sz w:val="20"/>
          <w:szCs w:val="20"/>
          <w:rtl/>
        </w:rPr>
        <w:t>–</w:t>
      </w:r>
      <w:r>
        <w:rPr>
          <w:rFonts w:hint="cs"/>
          <w:sz w:val="20"/>
          <w:szCs w:val="20"/>
          <w:rtl/>
        </w:rPr>
        <w:t xml:space="preserve"> הלכה </w:t>
      </w:r>
      <w:r w:rsidRPr="0089357E">
        <w:rPr>
          <w:rFonts w:hint="cs"/>
          <w:b/>
          <w:bCs/>
          <w:sz w:val="20"/>
          <w:szCs w:val="20"/>
          <w:rtl/>
        </w:rPr>
        <w:t>כרשב"א</w:t>
      </w:r>
      <w:r>
        <w:rPr>
          <w:rFonts w:hint="cs"/>
          <w:sz w:val="20"/>
          <w:szCs w:val="20"/>
          <w:rtl/>
        </w:rPr>
        <w:t xml:space="preserve">, שלא תשמש עם בעלה עד שתבדוק עצמה ותימצא טהורה, וכן פוסק המחבר להדיא לקמן בסימן קפט' </w:t>
      </w:r>
      <w:r w:rsidRPr="00B03DE1">
        <w:rPr>
          <w:rFonts w:hint="cs"/>
          <w:sz w:val="18"/>
          <w:szCs w:val="18"/>
          <w:rtl/>
        </w:rPr>
        <w:t>(סעיף ד)</w:t>
      </w:r>
      <w:r>
        <w:rPr>
          <w:rFonts w:hint="cs"/>
          <w:sz w:val="20"/>
          <w:szCs w:val="20"/>
          <w:rtl/>
        </w:rPr>
        <w:t>.</w:t>
      </w:r>
      <w:r>
        <w:rPr>
          <w:rStyle w:val="a5"/>
          <w:sz w:val="20"/>
          <w:szCs w:val="20"/>
          <w:rtl/>
        </w:rPr>
        <w:footnoteReference w:id="49"/>
      </w:r>
      <w:r w:rsidRPr="00C23ED8">
        <w:rPr>
          <w:sz w:val="18"/>
          <w:szCs w:val="18"/>
          <w:u w:val="single"/>
          <w:rtl/>
        </w:rPr>
        <w:br/>
      </w:r>
      <w:r>
        <w:rPr>
          <w:rFonts w:hint="cs"/>
          <w:sz w:val="20"/>
          <w:szCs w:val="20"/>
          <w:rtl/>
        </w:rPr>
        <w:br/>
      </w:r>
      <w:r>
        <w:rPr>
          <w:rFonts w:hint="cs"/>
          <w:sz w:val="20"/>
          <w:szCs w:val="20"/>
          <w:u w:val="single"/>
          <w:rtl/>
        </w:rPr>
        <w:t>זמן הבדיקה (פת"ש)</w:t>
      </w:r>
      <w:r>
        <w:rPr>
          <w:rFonts w:hint="cs"/>
          <w:sz w:val="20"/>
          <w:szCs w:val="20"/>
          <w:u w:val="single"/>
          <w:rtl/>
        </w:rPr>
        <w:br/>
      </w:r>
      <w:r>
        <w:rPr>
          <w:rFonts w:hint="cs"/>
          <w:sz w:val="20"/>
          <w:szCs w:val="20"/>
          <w:rtl/>
        </w:rPr>
        <w:t xml:space="preserve">א. </w:t>
      </w:r>
      <w:r w:rsidRPr="008F6D54">
        <w:rPr>
          <w:rFonts w:hint="cs"/>
          <w:b/>
          <w:bCs/>
          <w:sz w:val="20"/>
          <w:szCs w:val="20"/>
          <w:rtl/>
        </w:rPr>
        <w:t>חוות דעת</w:t>
      </w:r>
      <w:r>
        <w:rPr>
          <w:rFonts w:hint="cs"/>
          <w:sz w:val="20"/>
          <w:szCs w:val="20"/>
          <w:rtl/>
        </w:rPr>
        <w:t xml:space="preserve"> </w:t>
      </w:r>
      <w:r>
        <w:rPr>
          <w:sz w:val="20"/>
          <w:szCs w:val="20"/>
          <w:rtl/>
        </w:rPr>
        <w:t>–</w:t>
      </w:r>
      <w:r>
        <w:rPr>
          <w:rFonts w:hint="cs"/>
          <w:sz w:val="20"/>
          <w:szCs w:val="20"/>
          <w:rtl/>
        </w:rPr>
        <w:t xml:space="preserve"> אם יש לאשה שעה קבועה שרגילה לראות בה, בודקת רק באותה שעה, אך אם אין לה שעה קבועה וכן בעונה בינונית, צריכה בדיקה במשך כל עונתה, דהיינו ע"י מוך דחוק שיהיה באותו מקום.</w:t>
      </w:r>
      <w:r>
        <w:rPr>
          <w:sz w:val="20"/>
          <w:szCs w:val="20"/>
          <w:rtl/>
        </w:rPr>
        <w:br/>
      </w:r>
      <w:r>
        <w:rPr>
          <w:rFonts w:hint="cs"/>
          <w:sz w:val="20"/>
          <w:szCs w:val="20"/>
          <w:rtl/>
        </w:rPr>
        <w:t>ולפי מה שכתב הש"ך לעיל שנשי דידן אין להן שעה קבועה לראייה, צריכה לשים מוך דחוק בכל זמן עונתה.</w:t>
      </w:r>
      <w:r>
        <w:rPr>
          <w:rFonts w:hint="cs"/>
          <w:sz w:val="20"/>
          <w:szCs w:val="20"/>
          <w:rtl/>
        </w:rPr>
        <w:br/>
        <w:t xml:space="preserve">ב. </w:t>
      </w:r>
      <w:r w:rsidRPr="00BB38EB">
        <w:rPr>
          <w:rFonts w:hint="cs"/>
          <w:b/>
          <w:bCs/>
          <w:sz w:val="20"/>
          <w:szCs w:val="20"/>
          <w:rtl/>
        </w:rPr>
        <w:t>בדי השולחן</w:t>
      </w:r>
      <w:r>
        <w:rPr>
          <w:rFonts w:hint="cs"/>
          <w:sz w:val="20"/>
          <w:szCs w:val="20"/>
          <w:rtl/>
        </w:rPr>
        <w:t xml:space="preserve"> </w:t>
      </w:r>
      <w:r>
        <w:rPr>
          <w:sz w:val="20"/>
          <w:szCs w:val="20"/>
          <w:rtl/>
        </w:rPr>
        <w:t>–</w:t>
      </w:r>
      <w:r>
        <w:rPr>
          <w:rFonts w:hint="cs"/>
          <w:sz w:val="20"/>
          <w:szCs w:val="20"/>
          <w:rtl/>
        </w:rPr>
        <w:t xml:space="preserve"> דברי החוו"ד הנ"ל לא התקבלו להלכה, אלא יש לה לבדוק בדיקה אחת בתחילת עונתה ואחת בסוף עונתה בלבד, ואם יש לה שעה קבועה תראה לבדוק לכל הפחות פעם אחת באותה שעה.</w:t>
      </w:r>
      <w:r>
        <w:rPr>
          <w:rStyle w:val="a5"/>
          <w:sz w:val="20"/>
          <w:szCs w:val="20"/>
          <w:rtl/>
        </w:rPr>
        <w:footnoteReference w:id="50"/>
      </w:r>
    </w:p>
    <w:p w:rsidR="00620060" w:rsidRDefault="00620060" w:rsidP="00620060">
      <w:pPr>
        <w:rPr>
          <w:sz w:val="20"/>
          <w:szCs w:val="20"/>
          <w:rtl/>
        </w:rPr>
      </w:pPr>
      <w:r>
        <w:rPr>
          <w:rFonts w:hint="cs"/>
          <w:sz w:val="20"/>
          <w:szCs w:val="20"/>
          <w:u w:val="single"/>
          <w:rtl/>
        </w:rPr>
        <w:t>איבדה את עד הבדיקה או הטילה מי רגליים בשעת ווסתה (פת"ש)</w:t>
      </w:r>
      <w:r>
        <w:rPr>
          <w:sz w:val="20"/>
          <w:szCs w:val="20"/>
          <w:u w:val="single"/>
          <w:rtl/>
        </w:rPr>
        <w:br/>
      </w:r>
      <w:r>
        <w:rPr>
          <w:rFonts w:hint="cs"/>
          <w:sz w:val="20"/>
          <w:szCs w:val="20"/>
          <w:rtl/>
        </w:rPr>
        <w:t xml:space="preserve">א. </w:t>
      </w:r>
      <w:r w:rsidRPr="00FC3A78">
        <w:rPr>
          <w:rFonts w:hint="cs"/>
          <w:b/>
          <w:bCs/>
          <w:sz w:val="20"/>
          <w:szCs w:val="20"/>
          <w:rtl/>
        </w:rPr>
        <w:t>חוות דעת</w:t>
      </w:r>
      <w:r>
        <w:rPr>
          <w:rFonts w:hint="cs"/>
          <w:sz w:val="20"/>
          <w:szCs w:val="20"/>
          <w:rtl/>
        </w:rPr>
        <w:t xml:space="preserve"> </w:t>
      </w:r>
      <w:r>
        <w:rPr>
          <w:sz w:val="20"/>
          <w:szCs w:val="20"/>
          <w:rtl/>
        </w:rPr>
        <w:t>–</w:t>
      </w:r>
      <w:r>
        <w:rPr>
          <w:rFonts w:hint="cs"/>
          <w:sz w:val="20"/>
          <w:szCs w:val="20"/>
          <w:rtl/>
        </w:rPr>
        <w:t xml:space="preserve"> אם בדקה עצמה בשעת ווסתה ואבד העד, טמאה, ואין להביא ראיה שהיא טהורה מכך שלא הרגישה, דלמא מחמת העד לא הרגישה את הווסת.</w:t>
      </w:r>
      <w:r>
        <w:rPr>
          <w:sz w:val="20"/>
          <w:szCs w:val="20"/>
          <w:rtl/>
        </w:rPr>
        <w:br/>
      </w:r>
      <w:r>
        <w:rPr>
          <w:rFonts w:hint="cs"/>
          <w:sz w:val="20"/>
          <w:szCs w:val="20"/>
          <w:rtl/>
        </w:rPr>
        <w:t xml:space="preserve">מוסיף </w:t>
      </w:r>
      <w:r w:rsidRPr="00FC3A78">
        <w:rPr>
          <w:rFonts w:hint="cs"/>
          <w:b/>
          <w:bCs/>
          <w:sz w:val="20"/>
          <w:szCs w:val="20"/>
          <w:rtl/>
        </w:rPr>
        <w:t>הפת"ש</w:t>
      </w:r>
      <w:r>
        <w:rPr>
          <w:rFonts w:hint="cs"/>
          <w:sz w:val="20"/>
          <w:szCs w:val="20"/>
          <w:rtl/>
        </w:rPr>
        <w:t xml:space="preserve"> </w:t>
      </w:r>
      <w:r>
        <w:rPr>
          <w:sz w:val="20"/>
          <w:szCs w:val="20"/>
          <w:rtl/>
        </w:rPr>
        <w:t>–</w:t>
      </w:r>
      <w:r>
        <w:rPr>
          <w:rFonts w:hint="cs"/>
          <w:sz w:val="20"/>
          <w:szCs w:val="20"/>
          <w:rtl/>
        </w:rPr>
        <w:t xml:space="preserve"> לפי"ז, ה"ה אם הטילה מי רגליים בשעת ווסתה, טמאה, שלא הרגישה מחמת המ"ר, וצ"ע.</w:t>
      </w:r>
      <w:r>
        <w:rPr>
          <w:sz w:val="20"/>
          <w:szCs w:val="20"/>
          <w:rtl/>
        </w:rPr>
        <w:br/>
      </w:r>
      <w:r>
        <w:rPr>
          <w:rFonts w:hint="cs"/>
          <w:sz w:val="20"/>
          <w:szCs w:val="20"/>
          <w:rtl/>
        </w:rPr>
        <w:t xml:space="preserve">ב. </w:t>
      </w:r>
      <w:r w:rsidRPr="00FC3A78">
        <w:rPr>
          <w:rFonts w:hint="cs"/>
          <w:b/>
          <w:bCs/>
          <w:sz w:val="20"/>
          <w:szCs w:val="20"/>
          <w:rtl/>
        </w:rPr>
        <w:t>בדי השולחן</w:t>
      </w:r>
      <w:r>
        <w:rPr>
          <w:rFonts w:hint="cs"/>
          <w:sz w:val="20"/>
          <w:szCs w:val="20"/>
          <w:rtl/>
        </w:rPr>
        <w:t xml:space="preserve"> </w:t>
      </w:r>
      <w:r>
        <w:rPr>
          <w:sz w:val="20"/>
          <w:szCs w:val="20"/>
          <w:rtl/>
        </w:rPr>
        <w:t>–</w:t>
      </w:r>
      <w:r>
        <w:rPr>
          <w:rFonts w:hint="cs"/>
          <w:sz w:val="20"/>
          <w:szCs w:val="20"/>
          <w:rtl/>
        </w:rPr>
        <w:t xml:space="preserve"> בדיעבד אין לטמאות אשה מחמת איבוד העד או הטלת מ"ר, אלא תבדוק כעת.</w:t>
      </w:r>
    </w:p>
    <w:p w:rsidR="00620060" w:rsidRDefault="00620060" w:rsidP="00620060">
      <w:pPr>
        <w:rPr>
          <w:sz w:val="20"/>
          <w:szCs w:val="20"/>
          <w:rtl/>
        </w:rPr>
      </w:pPr>
      <w:r>
        <w:rPr>
          <w:rFonts w:hint="cs"/>
          <w:sz w:val="20"/>
          <w:szCs w:val="20"/>
          <w:u w:val="single"/>
          <w:rtl/>
        </w:rPr>
        <w:t>דין הנ"ל בווסת התלוי בשינוי הגוף (פת"ש)</w:t>
      </w:r>
      <w:r>
        <w:rPr>
          <w:rFonts w:hint="cs"/>
          <w:sz w:val="20"/>
          <w:szCs w:val="20"/>
          <w:u w:val="single"/>
          <w:rtl/>
        </w:rPr>
        <w:br/>
      </w:r>
      <w:r w:rsidRPr="008F6D54">
        <w:rPr>
          <w:rFonts w:hint="cs"/>
          <w:b/>
          <w:bCs/>
          <w:sz w:val="20"/>
          <w:szCs w:val="20"/>
          <w:rtl/>
        </w:rPr>
        <w:t>פת"ש</w:t>
      </w:r>
      <w:r>
        <w:rPr>
          <w:rFonts w:hint="cs"/>
          <w:sz w:val="20"/>
          <w:szCs w:val="20"/>
          <w:rtl/>
        </w:rPr>
        <w:t xml:space="preserve"> </w:t>
      </w:r>
      <w:r>
        <w:rPr>
          <w:sz w:val="20"/>
          <w:szCs w:val="20"/>
          <w:rtl/>
        </w:rPr>
        <w:t>–</w:t>
      </w:r>
      <w:r>
        <w:rPr>
          <w:rFonts w:hint="cs"/>
          <w:sz w:val="20"/>
          <w:szCs w:val="20"/>
          <w:rtl/>
        </w:rPr>
        <w:t xml:space="preserve"> מחלוקת הראשונים דלעיל </w:t>
      </w:r>
      <w:r w:rsidRPr="00B82033">
        <w:rPr>
          <w:rFonts w:hint="cs"/>
          <w:sz w:val="18"/>
          <w:szCs w:val="18"/>
          <w:rtl/>
        </w:rPr>
        <w:t xml:space="preserve">(רמב"ם ורשב"א) </w:t>
      </w:r>
      <w:r>
        <w:rPr>
          <w:rFonts w:hint="cs"/>
          <w:sz w:val="20"/>
          <w:szCs w:val="20"/>
          <w:rtl/>
        </w:rPr>
        <w:t xml:space="preserve">מיירי בווסת התלוי בימים, אך בווסת התלוי בהרגשה, אם הרגישה ולא בדקה אפילו בווסת שאינו קבוע אסורה לשמש עד שתבדוק. </w:t>
      </w:r>
    </w:p>
    <w:p w:rsidR="00620060" w:rsidRDefault="00620060" w:rsidP="00620060">
      <w:pPr>
        <w:rPr>
          <w:sz w:val="20"/>
          <w:szCs w:val="20"/>
          <w:rtl/>
        </w:rPr>
      </w:pPr>
      <w:r>
        <w:rPr>
          <w:rFonts w:hint="cs"/>
          <w:sz w:val="20"/>
          <w:szCs w:val="20"/>
          <w:u w:val="single"/>
          <w:rtl/>
        </w:rPr>
        <w:lastRenderedPageBreak/>
        <w:t>רחצה בעונת הווסת</w:t>
      </w:r>
      <w:r>
        <w:rPr>
          <w:sz w:val="20"/>
          <w:szCs w:val="20"/>
          <w:u w:val="single"/>
          <w:rtl/>
        </w:rPr>
        <w:br/>
      </w:r>
      <w:r w:rsidRPr="001433C5">
        <w:rPr>
          <w:rFonts w:hint="cs"/>
          <w:b/>
          <w:bCs/>
          <w:sz w:val="20"/>
          <w:szCs w:val="20"/>
          <w:rtl/>
        </w:rPr>
        <w:t>טהרת הבית ובדי השולחן</w:t>
      </w:r>
      <w:r>
        <w:rPr>
          <w:rFonts w:hint="cs"/>
          <w:sz w:val="20"/>
          <w:szCs w:val="20"/>
          <w:rtl/>
        </w:rPr>
        <w:t xml:space="preserve"> </w:t>
      </w:r>
      <w:r>
        <w:rPr>
          <w:sz w:val="20"/>
          <w:szCs w:val="20"/>
          <w:rtl/>
        </w:rPr>
        <w:t>–</w:t>
      </w:r>
      <w:r>
        <w:rPr>
          <w:rFonts w:hint="cs"/>
          <w:sz w:val="20"/>
          <w:szCs w:val="20"/>
          <w:rtl/>
        </w:rPr>
        <w:t xml:space="preserve"> טוב להחמיר שאשה לא תרחץ באותו מקום בזמן עונתה, שמא תראה טיפת דם כחרדל וע"י הרחצה תאבד. </w:t>
      </w:r>
      <w:r w:rsidRPr="001433C5">
        <w:rPr>
          <w:rFonts w:hint="cs"/>
          <w:sz w:val="18"/>
          <w:szCs w:val="18"/>
          <w:rtl/>
        </w:rPr>
        <w:t>(ולכן טוב להימנע מללכת באותו זמן לבריכה וים).</w:t>
      </w:r>
    </w:p>
    <w:p w:rsidR="00620060" w:rsidRDefault="00620060" w:rsidP="00620060">
      <w:pPr>
        <w:rPr>
          <w:sz w:val="20"/>
          <w:szCs w:val="20"/>
          <w:rtl/>
        </w:rPr>
      </w:pPr>
      <w:r w:rsidRPr="00B82033">
        <w:rPr>
          <w:rFonts w:hint="cs"/>
          <w:b/>
          <w:bCs/>
          <w:sz w:val="20"/>
          <w:szCs w:val="20"/>
          <w:rtl/>
        </w:rPr>
        <w:t>סיכום</w:t>
      </w:r>
      <w:r>
        <w:rPr>
          <w:sz w:val="20"/>
          <w:szCs w:val="20"/>
          <w:rtl/>
        </w:rPr>
        <w:br/>
      </w:r>
      <w:r>
        <w:rPr>
          <w:rFonts w:hint="cs"/>
          <w:sz w:val="20"/>
          <w:szCs w:val="20"/>
          <w:rtl/>
        </w:rPr>
        <w:t xml:space="preserve">1. אשה שיש לה ווסת קבוע צריכה בדיקה בשעת ווסתה, ואם לא בדקה נחלקו הראשונים. </w:t>
      </w:r>
      <w:r w:rsidRPr="00170622">
        <w:rPr>
          <w:rFonts w:hint="cs"/>
          <w:b/>
          <w:bCs/>
          <w:sz w:val="20"/>
          <w:szCs w:val="20"/>
          <w:rtl/>
        </w:rPr>
        <w:t>רשב"א ותוספות</w:t>
      </w:r>
      <w:r>
        <w:rPr>
          <w:rFonts w:hint="cs"/>
          <w:sz w:val="20"/>
          <w:szCs w:val="20"/>
          <w:rtl/>
        </w:rPr>
        <w:t xml:space="preserve">. אסורה לבעלה עד שתבדוק, הו"ד כי"א. </w:t>
      </w:r>
      <w:r w:rsidRPr="00170622">
        <w:rPr>
          <w:rFonts w:hint="cs"/>
          <w:b/>
          <w:bCs/>
          <w:sz w:val="20"/>
          <w:szCs w:val="20"/>
          <w:rtl/>
        </w:rPr>
        <w:t>רמב"ם ורי"ף</w:t>
      </w:r>
      <w:r>
        <w:rPr>
          <w:rFonts w:hint="cs"/>
          <w:sz w:val="20"/>
          <w:szCs w:val="20"/>
          <w:rtl/>
        </w:rPr>
        <w:t xml:space="preserve">. מותרת לבעלה ואינה צריכה לבדוק, וכ"פ </w:t>
      </w:r>
      <w:r w:rsidRPr="00170622">
        <w:rPr>
          <w:rFonts w:hint="cs"/>
          <w:b/>
          <w:bCs/>
          <w:sz w:val="20"/>
          <w:szCs w:val="20"/>
          <w:rtl/>
        </w:rPr>
        <w:t>המחבר</w:t>
      </w:r>
      <w:r>
        <w:rPr>
          <w:rFonts w:hint="cs"/>
          <w:sz w:val="20"/>
          <w:szCs w:val="20"/>
          <w:rtl/>
        </w:rPr>
        <w:t>.</w:t>
      </w:r>
      <w:r>
        <w:rPr>
          <w:rFonts w:hint="cs"/>
          <w:sz w:val="20"/>
          <w:szCs w:val="20"/>
          <w:rtl/>
        </w:rPr>
        <w:br/>
        <w:t xml:space="preserve">2. </w:t>
      </w:r>
      <w:r w:rsidRPr="003B25FE">
        <w:rPr>
          <w:rFonts w:hint="cs"/>
          <w:sz w:val="20"/>
          <w:szCs w:val="20"/>
          <w:rtl/>
        </w:rPr>
        <w:t xml:space="preserve">הוכחת הרשב"א. קי"ל כתנאים הסוברים "תיבדק". עד מתי יכולה לבדוק לרשב"א? </w:t>
      </w:r>
      <w:r w:rsidRPr="003B25FE">
        <w:rPr>
          <w:rFonts w:hint="cs"/>
          <w:b/>
          <w:bCs/>
          <w:sz w:val="20"/>
          <w:szCs w:val="20"/>
          <w:rtl/>
        </w:rPr>
        <w:t>רא"ם</w:t>
      </w:r>
      <w:r w:rsidRPr="003B25FE">
        <w:rPr>
          <w:rFonts w:hint="cs"/>
          <w:sz w:val="20"/>
          <w:szCs w:val="20"/>
          <w:rtl/>
        </w:rPr>
        <w:t xml:space="preserve">. הלכה כרבי זירא, צריכה לבדוק כשיעור ווסת ואל"ה טמאה. </w:t>
      </w:r>
      <w:r w:rsidRPr="003B25FE">
        <w:rPr>
          <w:rFonts w:hint="cs"/>
          <w:b/>
          <w:bCs/>
          <w:sz w:val="20"/>
          <w:szCs w:val="20"/>
          <w:rtl/>
        </w:rPr>
        <w:t>טור</w:t>
      </w:r>
      <w:r w:rsidRPr="003B25FE">
        <w:rPr>
          <w:rFonts w:hint="cs"/>
          <w:sz w:val="20"/>
          <w:szCs w:val="20"/>
          <w:rtl/>
        </w:rPr>
        <w:t xml:space="preserve">. בכל זמן שתבדוק מהני, וכ"פ </w:t>
      </w:r>
      <w:r w:rsidRPr="003B25FE">
        <w:rPr>
          <w:rFonts w:hint="cs"/>
          <w:b/>
          <w:bCs/>
          <w:sz w:val="20"/>
          <w:szCs w:val="20"/>
          <w:rtl/>
        </w:rPr>
        <w:t>בדה"ש</w:t>
      </w:r>
      <w:r w:rsidRPr="003B25FE">
        <w:rPr>
          <w:rFonts w:hint="cs"/>
          <w:sz w:val="20"/>
          <w:szCs w:val="20"/>
          <w:rtl/>
        </w:rPr>
        <w:t xml:space="preserve"> שתבדוק תיכף כשתזכור.</w:t>
      </w:r>
      <w:r w:rsidRPr="003B25FE">
        <w:rPr>
          <w:sz w:val="20"/>
          <w:szCs w:val="20"/>
          <w:rtl/>
        </w:rPr>
        <w:br/>
      </w:r>
      <w:r w:rsidRPr="003B25FE">
        <w:rPr>
          <w:rFonts w:hint="cs"/>
          <w:sz w:val="20"/>
          <w:szCs w:val="20"/>
          <w:rtl/>
        </w:rPr>
        <w:t xml:space="preserve">3. הוכחת הרמב"ם. </w:t>
      </w:r>
      <w:r w:rsidRPr="003B25FE">
        <w:rPr>
          <w:rFonts w:hint="cs"/>
          <w:b/>
          <w:bCs/>
          <w:sz w:val="20"/>
          <w:szCs w:val="20"/>
          <w:rtl/>
        </w:rPr>
        <w:t>משנה</w:t>
      </w:r>
      <w:r w:rsidRPr="003B25FE">
        <w:rPr>
          <w:rFonts w:hint="cs"/>
          <w:sz w:val="20"/>
          <w:szCs w:val="20"/>
          <w:rtl/>
        </w:rPr>
        <w:t>. הבאים מהדרך נשיהם בחזקת טהרה, ומפרש רבב"ח דאפילו הגיע</w:t>
      </w:r>
      <w:r>
        <w:rPr>
          <w:rFonts w:hint="cs"/>
          <w:sz w:val="20"/>
          <w:szCs w:val="20"/>
          <w:rtl/>
        </w:rPr>
        <w:t>ה</w:t>
      </w:r>
      <w:r w:rsidRPr="003B25FE">
        <w:rPr>
          <w:rFonts w:hint="cs"/>
          <w:sz w:val="20"/>
          <w:szCs w:val="20"/>
          <w:rtl/>
        </w:rPr>
        <w:t xml:space="preserve"> שעת ווסתה.</w:t>
      </w:r>
      <w:r w:rsidRPr="003B25FE">
        <w:rPr>
          <w:sz w:val="20"/>
          <w:szCs w:val="20"/>
          <w:rtl/>
        </w:rPr>
        <w:br/>
      </w:r>
      <w:r w:rsidRPr="003B25FE">
        <w:rPr>
          <w:rFonts w:hint="cs"/>
          <w:sz w:val="20"/>
          <w:szCs w:val="20"/>
          <w:rtl/>
        </w:rPr>
        <w:t xml:space="preserve">4. אשה שאין לה ווסת קבוע. אף </w:t>
      </w:r>
      <w:r w:rsidRPr="003B25FE">
        <w:rPr>
          <w:rFonts w:hint="cs"/>
          <w:b/>
          <w:bCs/>
          <w:sz w:val="20"/>
          <w:szCs w:val="20"/>
          <w:rtl/>
        </w:rPr>
        <w:t>הרשב"א</w:t>
      </w:r>
      <w:r w:rsidRPr="003B25FE">
        <w:rPr>
          <w:rFonts w:hint="cs"/>
          <w:sz w:val="20"/>
          <w:szCs w:val="20"/>
          <w:rtl/>
        </w:rPr>
        <w:t xml:space="preserve"> מקל שאם לא בדקה מותרת, אך חוששת לל' כווסת קבוע.</w:t>
      </w:r>
      <w:r w:rsidRPr="003B25FE">
        <w:rPr>
          <w:sz w:val="20"/>
          <w:szCs w:val="20"/>
          <w:rtl/>
        </w:rPr>
        <w:br/>
      </w:r>
      <w:r w:rsidRPr="003B25FE">
        <w:rPr>
          <w:rFonts w:hint="cs"/>
          <w:sz w:val="20"/>
          <w:szCs w:val="20"/>
          <w:rtl/>
        </w:rPr>
        <w:t xml:space="preserve">5. </w:t>
      </w:r>
      <w:r w:rsidRPr="003B25FE">
        <w:rPr>
          <w:rFonts w:hint="cs"/>
          <w:b/>
          <w:bCs/>
          <w:sz w:val="20"/>
          <w:szCs w:val="20"/>
          <w:rtl/>
        </w:rPr>
        <w:t>מחבר</w:t>
      </w:r>
      <w:r w:rsidRPr="003B25FE">
        <w:rPr>
          <w:rFonts w:hint="cs"/>
          <w:sz w:val="20"/>
          <w:szCs w:val="20"/>
          <w:rtl/>
        </w:rPr>
        <w:t xml:space="preserve">. צריכה לבדוק בשעת ווסתה, לא בדקה ולא הרגישה - מותרת. וחוששת לל' בווסת שאינו קבוע. </w:t>
      </w:r>
      <w:r w:rsidRPr="003B25FE">
        <w:rPr>
          <w:sz w:val="20"/>
          <w:szCs w:val="20"/>
          <w:rtl/>
        </w:rPr>
        <w:br/>
      </w:r>
      <w:r w:rsidRPr="003B25FE">
        <w:rPr>
          <w:rFonts w:hint="cs"/>
          <w:b/>
          <w:bCs/>
          <w:sz w:val="20"/>
          <w:szCs w:val="20"/>
          <w:rtl/>
        </w:rPr>
        <w:t>טה"ב</w:t>
      </w:r>
      <w:r w:rsidRPr="003B25FE">
        <w:rPr>
          <w:rFonts w:hint="cs"/>
          <w:sz w:val="20"/>
          <w:szCs w:val="20"/>
          <w:rtl/>
        </w:rPr>
        <w:t xml:space="preserve">. הלכה </w:t>
      </w:r>
      <w:r w:rsidRPr="003B25FE">
        <w:rPr>
          <w:rFonts w:hint="cs"/>
          <w:b/>
          <w:bCs/>
          <w:sz w:val="20"/>
          <w:szCs w:val="20"/>
          <w:rtl/>
        </w:rPr>
        <w:t>כרשב"א</w:t>
      </w:r>
      <w:r>
        <w:rPr>
          <w:rFonts w:hint="cs"/>
          <w:sz w:val="20"/>
          <w:szCs w:val="20"/>
          <w:rtl/>
        </w:rPr>
        <w:t>, אסורה לבעלה ללא בדיקה.</w:t>
      </w:r>
      <w:r>
        <w:rPr>
          <w:rFonts w:hint="cs"/>
          <w:sz w:val="20"/>
          <w:szCs w:val="20"/>
          <w:rtl/>
        </w:rPr>
        <w:br/>
      </w:r>
      <w:r w:rsidRPr="00534465">
        <w:rPr>
          <w:rFonts w:hint="cs"/>
          <w:sz w:val="18"/>
          <w:szCs w:val="18"/>
          <w:rtl/>
        </w:rPr>
        <w:t xml:space="preserve">[6. </w:t>
      </w:r>
      <w:r w:rsidRPr="00534465">
        <w:rPr>
          <w:rFonts w:hint="cs"/>
          <w:b/>
          <w:bCs/>
          <w:sz w:val="18"/>
          <w:szCs w:val="18"/>
          <w:rtl/>
        </w:rPr>
        <w:t>פרישה</w:t>
      </w:r>
      <w:r w:rsidRPr="00534465">
        <w:rPr>
          <w:rFonts w:hint="cs"/>
          <w:sz w:val="18"/>
          <w:szCs w:val="18"/>
          <w:rtl/>
        </w:rPr>
        <w:t xml:space="preserve">. הטור קשה, כאן פוסק שכשאין ווסת קבוע מותרת ללא בדיקה אך לקמן פוסק שאסורה לשמש ללא בדיקה! </w:t>
      </w:r>
      <w:r w:rsidRPr="00534465">
        <w:rPr>
          <w:rFonts w:hint="cs"/>
          <w:b/>
          <w:bCs/>
          <w:sz w:val="18"/>
          <w:szCs w:val="18"/>
          <w:rtl/>
        </w:rPr>
        <w:t>ט"ז</w:t>
      </w:r>
      <w:r w:rsidRPr="00534465">
        <w:rPr>
          <w:rFonts w:hint="cs"/>
          <w:sz w:val="18"/>
          <w:szCs w:val="18"/>
          <w:rtl/>
        </w:rPr>
        <w:t>. יש לומר שהתם אינו קבוע כלל, אך כאן שינתה רק פעם אחת, ודי בזה שתחשוש לאותו יום רק לכתחילה].</w:t>
      </w:r>
      <w:r w:rsidRPr="003B25FE">
        <w:rPr>
          <w:rFonts w:hint="cs"/>
          <w:sz w:val="20"/>
          <w:szCs w:val="20"/>
          <w:rtl/>
        </w:rPr>
        <w:br/>
        <w:t xml:space="preserve">7. זמן הבדיקה. </w:t>
      </w:r>
      <w:r w:rsidRPr="003B25FE">
        <w:rPr>
          <w:rFonts w:hint="cs"/>
          <w:b/>
          <w:bCs/>
          <w:sz w:val="20"/>
          <w:szCs w:val="20"/>
          <w:rtl/>
        </w:rPr>
        <w:t>חוו"ד</w:t>
      </w:r>
      <w:r w:rsidRPr="003B25FE">
        <w:rPr>
          <w:rFonts w:hint="cs"/>
          <w:sz w:val="20"/>
          <w:szCs w:val="20"/>
          <w:rtl/>
        </w:rPr>
        <w:t xml:space="preserve">. בודקת בשעה שרגילה לראות, אך אם אין זה קבוע וכן בעונה בינונית בודקת במשך כל העונה במוך דחוק. </w:t>
      </w:r>
      <w:r w:rsidRPr="003B25FE">
        <w:rPr>
          <w:rFonts w:hint="cs"/>
          <w:b/>
          <w:bCs/>
          <w:sz w:val="20"/>
          <w:szCs w:val="20"/>
          <w:rtl/>
        </w:rPr>
        <w:t>בדה"</w:t>
      </w:r>
      <w:r w:rsidRPr="00170622">
        <w:rPr>
          <w:rFonts w:hint="cs"/>
          <w:b/>
          <w:bCs/>
          <w:sz w:val="20"/>
          <w:szCs w:val="20"/>
          <w:rtl/>
        </w:rPr>
        <w:t>ש</w:t>
      </w:r>
      <w:r>
        <w:rPr>
          <w:rFonts w:hint="cs"/>
          <w:sz w:val="20"/>
          <w:szCs w:val="20"/>
          <w:rtl/>
        </w:rPr>
        <w:t>. חומרה זו לא התקבלה, אלא בודקת בתחילת העונה ובסופה בלבד.</w:t>
      </w:r>
      <w:r>
        <w:rPr>
          <w:rFonts w:hint="cs"/>
          <w:sz w:val="20"/>
          <w:szCs w:val="20"/>
          <w:rtl/>
        </w:rPr>
        <w:br/>
        <w:t xml:space="preserve">8. </w:t>
      </w:r>
      <w:r w:rsidRPr="00170622">
        <w:rPr>
          <w:rFonts w:hint="cs"/>
          <w:b/>
          <w:bCs/>
          <w:sz w:val="20"/>
          <w:szCs w:val="20"/>
          <w:rtl/>
        </w:rPr>
        <w:t>חוו"ד</w:t>
      </w:r>
      <w:r>
        <w:rPr>
          <w:rFonts w:hint="cs"/>
          <w:sz w:val="20"/>
          <w:szCs w:val="20"/>
          <w:rtl/>
        </w:rPr>
        <w:t xml:space="preserve">. בדקה ואבד העד </w:t>
      </w:r>
      <w:r>
        <w:rPr>
          <w:sz w:val="20"/>
          <w:szCs w:val="20"/>
          <w:rtl/>
        </w:rPr>
        <w:t>–</w:t>
      </w:r>
      <w:r>
        <w:rPr>
          <w:rFonts w:hint="cs"/>
          <w:sz w:val="20"/>
          <w:szCs w:val="20"/>
          <w:rtl/>
        </w:rPr>
        <w:t xml:space="preserve"> טמאה, שמא ראתה ומחמת העד לא הרגישה. </w:t>
      </w:r>
      <w:r w:rsidRPr="00170622">
        <w:rPr>
          <w:rFonts w:hint="cs"/>
          <w:b/>
          <w:bCs/>
          <w:sz w:val="20"/>
          <w:szCs w:val="20"/>
          <w:rtl/>
        </w:rPr>
        <w:t>פת"ש</w:t>
      </w:r>
      <w:r>
        <w:rPr>
          <w:rFonts w:hint="cs"/>
          <w:sz w:val="20"/>
          <w:szCs w:val="20"/>
          <w:rtl/>
        </w:rPr>
        <w:t xml:space="preserve">. ה"ה להטילה מ"ר. </w:t>
      </w:r>
      <w:r w:rsidRPr="00170622">
        <w:rPr>
          <w:rFonts w:hint="cs"/>
          <w:b/>
          <w:bCs/>
          <w:sz w:val="20"/>
          <w:szCs w:val="20"/>
          <w:rtl/>
        </w:rPr>
        <w:t>בדה"ש</w:t>
      </w:r>
      <w:r>
        <w:rPr>
          <w:rFonts w:hint="cs"/>
          <w:sz w:val="20"/>
          <w:szCs w:val="20"/>
          <w:rtl/>
        </w:rPr>
        <w:t>. אין לטמא בדיעבד, אלא תבדוק כעת שנית.</w:t>
      </w:r>
      <w:r>
        <w:rPr>
          <w:sz w:val="20"/>
          <w:szCs w:val="20"/>
          <w:rtl/>
        </w:rPr>
        <w:br/>
      </w:r>
      <w:r>
        <w:rPr>
          <w:rFonts w:hint="cs"/>
          <w:sz w:val="20"/>
          <w:szCs w:val="20"/>
          <w:rtl/>
        </w:rPr>
        <w:t xml:space="preserve">9. </w:t>
      </w:r>
      <w:r w:rsidRPr="00170622">
        <w:rPr>
          <w:rFonts w:hint="cs"/>
          <w:b/>
          <w:bCs/>
          <w:sz w:val="20"/>
          <w:szCs w:val="20"/>
          <w:rtl/>
        </w:rPr>
        <w:t>פת"ש</w:t>
      </w:r>
      <w:r>
        <w:rPr>
          <w:rFonts w:hint="cs"/>
          <w:sz w:val="20"/>
          <w:szCs w:val="20"/>
          <w:rtl/>
        </w:rPr>
        <w:t xml:space="preserve">. הנ"ל דווקא בווסת התלוי בימים, אך בווסת התלוי בהרגשה והרגישה, אסורה לכו"ע עד שתבדוק. </w:t>
      </w:r>
      <w:r>
        <w:rPr>
          <w:sz w:val="20"/>
          <w:szCs w:val="20"/>
          <w:rtl/>
        </w:rPr>
        <w:br/>
      </w:r>
      <w:r>
        <w:rPr>
          <w:rFonts w:hint="cs"/>
          <w:sz w:val="20"/>
          <w:szCs w:val="20"/>
          <w:rtl/>
        </w:rPr>
        <w:t xml:space="preserve">10. </w:t>
      </w:r>
      <w:r w:rsidRPr="00170622">
        <w:rPr>
          <w:rFonts w:hint="cs"/>
          <w:b/>
          <w:bCs/>
          <w:sz w:val="20"/>
          <w:szCs w:val="20"/>
          <w:rtl/>
        </w:rPr>
        <w:t>טה"ב ובדה"ש</w:t>
      </w:r>
      <w:r>
        <w:rPr>
          <w:rFonts w:hint="cs"/>
          <w:sz w:val="20"/>
          <w:szCs w:val="20"/>
          <w:rtl/>
        </w:rPr>
        <w:t>. טוב להחמיר שלא לרחוץ את אותו מקום בעת עונתה, שמא תראה ולא תבחין.</w:t>
      </w:r>
    </w:p>
    <w:p w:rsidR="00620060" w:rsidRDefault="00620060" w:rsidP="00620060">
      <w:pPr>
        <w:rPr>
          <w:sz w:val="20"/>
          <w:szCs w:val="20"/>
          <w:rtl/>
        </w:rPr>
      </w:pPr>
      <w:r>
        <w:rPr>
          <w:sz w:val="20"/>
          <w:szCs w:val="20"/>
          <w:rtl/>
        </w:rPr>
        <w:br/>
      </w:r>
      <w:r>
        <w:rPr>
          <w:rFonts w:hint="cs"/>
          <w:b/>
          <w:bCs/>
          <w:sz w:val="20"/>
          <w:szCs w:val="20"/>
          <w:rtl/>
        </w:rPr>
        <w:t xml:space="preserve">סעיף י </w:t>
      </w:r>
      <w:r>
        <w:rPr>
          <w:b/>
          <w:bCs/>
          <w:sz w:val="20"/>
          <w:szCs w:val="20"/>
          <w:rtl/>
        </w:rPr>
        <w:t>–</w:t>
      </w:r>
      <w:r>
        <w:rPr>
          <w:rFonts w:hint="cs"/>
          <w:b/>
          <w:bCs/>
          <w:sz w:val="20"/>
          <w:szCs w:val="20"/>
          <w:rtl/>
        </w:rPr>
        <w:t xml:space="preserve"> חיוב עונה כשיוצא לדרך</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גמרא </w:t>
      </w:r>
      <w:r>
        <w:rPr>
          <w:rFonts w:hint="cs"/>
          <w:sz w:val="20"/>
          <w:szCs w:val="20"/>
          <w:rtl/>
        </w:rPr>
        <w:t>יבמות (סב:) "</w:t>
      </w:r>
      <w:r w:rsidRPr="004E4EDB">
        <w:rPr>
          <w:rFonts w:cs="Arial" w:hint="cs"/>
          <w:sz w:val="20"/>
          <w:szCs w:val="20"/>
          <w:rtl/>
        </w:rPr>
        <w:t>אמר</w:t>
      </w:r>
      <w:r w:rsidRPr="004E4EDB">
        <w:rPr>
          <w:rFonts w:cs="Arial"/>
          <w:sz w:val="20"/>
          <w:szCs w:val="20"/>
          <w:rtl/>
        </w:rPr>
        <w:t xml:space="preserve"> </w:t>
      </w:r>
      <w:r>
        <w:rPr>
          <w:rFonts w:cs="Arial" w:hint="cs"/>
          <w:sz w:val="20"/>
          <w:szCs w:val="20"/>
          <w:rtl/>
        </w:rPr>
        <w:t>רבי יהושע בן לוי</w:t>
      </w:r>
      <w:r w:rsidRPr="004E4EDB">
        <w:rPr>
          <w:rFonts w:cs="Arial"/>
          <w:sz w:val="20"/>
          <w:szCs w:val="20"/>
          <w:rtl/>
        </w:rPr>
        <w:t xml:space="preserve">: </w:t>
      </w:r>
      <w:r w:rsidRPr="004E4EDB">
        <w:rPr>
          <w:rFonts w:cs="Arial" w:hint="cs"/>
          <w:sz w:val="20"/>
          <w:szCs w:val="20"/>
          <w:rtl/>
        </w:rPr>
        <w:t>חייב</w:t>
      </w:r>
      <w:r w:rsidRPr="004E4EDB">
        <w:rPr>
          <w:rFonts w:cs="Arial"/>
          <w:sz w:val="20"/>
          <w:szCs w:val="20"/>
          <w:rtl/>
        </w:rPr>
        <w:t xml:space="preserve"> </w:t>
      </w:r>
      <w:r w:rsidRPr="004E4EDB">
        <w:rPr>
          <w:rFonts w:cs="Arial" w:hint="cs"/>
          <w:sz w:val="20"/>
          <w:szCs w:val="20"/>
          <w:rtl/>
        </w:rPr>
        <w:t>אדם</w:t>
      </w:r>
      <w:r w:rsidRPr="004E4EDB">
        <w:rPr>
          <w:rFonts w:cs="Arial"/>
          <w:sz w:val="20"/>
          <w:szCs w:val="20"/>
          <w:rtl/>
        </w:rPr>
        <w:t xml:space="preserve"> </w:t>
      </w:r>
      <w:r w:rsidRPr="004E4EDB">
        <w:rPr>
          <w:rFonts w:cs="Arial" w:hint="cs"/>
          <w:sz w:val="20"/>
          <w:szCs w:val="20"/>
          <w:rtl/>
        </w:rPr>
        <w:t>לפקוד</w:t>
      </w:r>
      <w:r w:rsidRPr="004E4EDB">
        <w:rPr>
          <w:rFonts w:cs="Arial"/>
          <w:sz w:val="20"/>
          <w:szCs w:val="20"/>
          <w:rtl/>
        </w:rPr>
        <w:t xml:space="preserve"> </w:t>
      </w:r>
      <w:r w:rsidRPr="004E4EDB">
        <w:rPr>
          <w:rFonts w:cs="Arial" w:hint="cs"/>
          <w:sz w:val="20"/>
          <w:szCs w:val="20"/>
          <w:rtl/>
        </w:rPr>
        <w:t>את</w:t>
      </w:r>
      <w:r w:rsidRPr="004E4EDB">
        <w:rPr>
          <w:rFonts w:cs="Arial"/>
          <w:sz w:val="20"/>
          <w:szCs w:val="20"/>
          <w:rtl/>
        </w:rPr>
        <w:t xml:space="preserve"> </w:t>
      </w:r>
      <w:r w:rsidRPr="004E4EDB">
        <w:rPr>
          <w:rFonts w:cs="Arial" w:hint="cs"/>
          <w:sz w:val="20"/>
          <w:szCs w:val="20"/>
          <w:rtl/>
        </w:rPr>
        <w:t>אשתו</w:t>
      </w:r>
      <w:r w:rsidRPr="004E4EDB">
        <w:rPr>
          <w:rFonts w:cs="Arial"/>
          <w:sz w:val="20"/>
          <w:szCs w:val="20"/>
          <w:rtl/>
        </w:rPr>
        <w:t xml:space="preserve"> </w:t>
      </w:r>
      <w:r w:rsidRPr="004E4EDB">
        <w:rPr>
          <w:rFonts w:cs="Arial" w:hint="cs"/>
          <w:sz w:val="20"/>
          <w:szCs w:val="20"/>
          <w:rtl/>
        </w:rPr>
        <w:t>בשעה</w:t>
      </w:r>
      <w:r w:rsidRPr="004E4EDB">
        <w:rPr>
          <w:rFonts w:cs="Arial"/>
          <w:sz w:val="20"/>
          <w:szCs w:val="20"/>
          <w:rtl/>
        </w:rPr>
        <w:t xml:space="preserve"> </w:t>
      </w:r>
      <w:r w:rsidRPr="004E4EDB">
        <w:rPr>
          <w:rFonts w:cs="Arial" w:hint="cs"/>
          <w:sz w:val="20"/>
          <w:szCs w:val="20"/>
          <w:rtl/>
        </w:rPr>
        <w:t>שהוא</w:t>
      </w:r>
      <w:r w:rsidRPr="004E4EDB">
        <w:rPr>
          <w:rFonts w:cs="Arial"/>
          <w:sz w:val="20"/>
          <w:szCs w:val="20"/>
          <w:rtl/>
        </w:rPr>
        <w:t xml:space="preserve"> </w:t>
      </w:r>
      <w:r w:rsidRPr="004E4EDB">
        <w:rPr>
          <w:rFonts w:cs="Arial" w:hint="cs"/>
          <w:sz w:val="20"/>
          <w:szCs w:val="20"/>
          <w:rtl/>
        </w:rPr>
        <w:t>יוצא</w:t>
      </w:r>
      <w:r w:rsidRPr="004E4EDB">
        <w:rPr>
          <w:rFonts w:cs="Arial"/>
          <w:sz w:val="20"/>
          <w:szCs w:val="20"/>
          <w:rtl/>
        </w:rPr>
        <w:t xml:space="preserve"> </w:t>
      </w:r>
      <w:r w:rsidRPr="004E4EDB">
        <w:rPr>
          <w:rFonts w:cs="Arial" w:hint="cs"/>
          <w:sz w:val="20"/>
          <w:szCs w:val="20"/>
          <w:rtl/>
        </w:rPr>
        <w:t>לדרך</w:t>
      </w:r>
      <w:r w:rsidRPr="004E4EDB">
        <w:rPr>
          <w:rFonts w:cs="Arial"/>
          <w:sz w:val="20"/>
          <w:szCs w:val="20"/>
          <w:rtl/>
        </w:rPr>
        <w:t xml:space="preserve">, </w:t>
      </w:r>
      <w:r w:rsidRPr="004E4EDB">
        <w:rPr>
          <w:rFonts w:cs="Arial" w:hint="cs"/>
          <w:sz w:val="20"/>
          <w:szCs w:val="20"/>
          <w:rtl/>
        </w:rPr>
        <w:t>שנא</w:t>
      </w:r>
      <w:r>
        <w:rPr>
          <w:rFonts w:cs="Arial" w:hint="cs"/>
          <w:sz w:val="20"/>
          <w:szCs w:val="20"/>
          <w:rtl/>
        </w:rPr>
        <w:t>מר</w:t>
      </w:r>
      <w:r w:rsidRPr="004E4EDB">
        <w:rPr>
          <w:rFonts w:cs="Arial"/>
          <w:sz w:val="20"/>
          <w:szCs w:val="20"/>
          <w:rtl/>
        </w:rPr>
        <w:t xml:space="preserve">: </w:t>
      </w:r>
      <w:r w:rsidRPr="004E4EDB">
        <w:rPr>
          <w:rFonts w:cs="Arial" w:hint="cs"/>
          <w:sz w:val="20"/>
          <w:szCs w:val="20"/>
          <w:rtl/>
        </w:rPr>
        <w:t>וידעת</w:t>
      </w:r>
      <w:r w:rsidRPr="004E4EDB">
        <w:rPr>
          <w:rFonts w:cs="Arial"/>
          <w:sz w:val="20"/>
          <w:szCs w:val="20"/>
          <w:rtl/>
        </w:rPr>
        <w:t xml:space="preserve"> </w:t>
      </w:r>
      <w:r w:rsidRPr="004E4EDB">
        <w:rPr>
          <w:rFonts w:cs="Arial" w:hint="cs"/>
          <w:sz w:val="20"/>
          <w:szCs w:val="20"/>
          <w:rtl/>
        </w:rPr>
        <w:t>כי</w:t>
      </w:r>
      <w:r w:rsidRPr="004E4EDB">
        <w:rPr>
          <w:rFonts w:cs="Arial"/>
          <w:sz w:val="20"/>
          <w:szCs w:val="20"/>
          <w:rtl/>
        </w:rPr>
        <w:t xml:space="preserve"> </w:t>
      </w:r>
      <w:r w:rsidRPr="004E4EDB">
        <w:rPr>
          <w:rFonts w:cs="Arial" w:hint="cs"/>
          <w:sz w:val="20"/>
          <w:szCs w:val="20"/>
          <w:rtl/>
        </w:rPr>
        <w:t>שלום</w:t>
      </w:r>
      <w:r w:rsidRPr="004E4EDB">
        <w:rPr>
          <w:rFonts w:cs="Arial"/>
          <w:sz w:val="20"/>
          <w:szCs w:val="20"/>
          <w:rtl/>
        </w:rPr>
        <w:t xml:space="preserve"> </w:t>
      </w:r>
      <w:r w:rsidRPr="004E4EDB">
        <w:rPr>
          <w:rFonts w:cs="Arial" w:hint="cs"/>
          <w:sz w:val="20"/>
          <w:szCs w:val="20"/>
          <w:rtl/>
        </w:rPr>
        <w:t>אהלך</w:t>
      </w:r>
      <w:r w:rsidRPr="004E4EDB">
        <w:rPr>
          <w:rFonts w:cs="Arial"/>
          <w:sz w:val="20"/>
          <w:szCs w:val="20"/>
          <w:rtl/>
        </w:rPr>
        <w:t xml:space="preserve"> </w:t>
      </w:r>
      <w:r w:rsidRPr="004E4EDB">
        <w:rPr>
          <w:rFonts w:cs="Arial" w:hint="cs"/>
          <w:sz w:val="20"/>
          <w:szCs w:val="20"/>
          <w:rtl/>
        </w:rPr>
        <w:t>וגו</w:t>
      </w:r>
      <w:r w:rsidRPr="004E4EDB">
        <w:rPr>
          <w:rFonts w:cs="Arial"/>
          <w:sz w:val="20"/>
          <w:szCs w:val="20"/>
          <w:rtl/>
        </w:rPr>
        <w:t xml:space="preserve">'. </w:t>
      </w:r>
      <w:r w:rsidRPr="004E4EDB">
        <w:rPr>
          <w:rFonts w:cs="Arial" w:hint="cs"/>
          <w:sz w:val="20"/>
          <w:szCs w:val="20"/>
          <w:rtl/>
        </w:rPr>
        <w:t>הא</w:t>
      </w:r>
      <w:r w:rsidRPr="004E4EDB">
        <w:rPr>
          <w:rFonts w:cs="Arial"/>
          <w:sz w:val="20"/>
          <w:szCs w:val="20"/>
          <w:rtl/>
        </w:rPr>
        <w:t xml:space="preserve"> </w:t>
      </w:r>
      <w:r w:rsidRPr="004E4EDB">
        <w:rPr>
          <w:rFonts w:cs="Arial" w:hint="cs"/>
          <w:sz w:val="20"/>
          <w:szCs w:val="20"/>
          <w:rtl/>
        </w:rPr>
        <w:t>מהכא</w:t>
      </w:r>
      <w:r w:rsidRPr="004E4EDB">
        <w:rPr>
          <w:rFonts w:cs="Arial"/>
          <w:sz w:val="20"/>
          <w:szCs w:val="20"/>
          <w:rtl/>
        </w:rPr>
        <w:t xml:space="preserve"> </w:t>
      </w:r>
      <w:r w:rsidRPr="004E4EDB">
        <w:rPr>
          <w:rFonts w:cs="Arial" w:hint="cs"/>
          <w:sz w:val="20"/>
          <w:szCs w:val="20"/>
          <w:rtl/>
        </w:rPr>
        <w:t>נפקא</w:t>
      </w:r>
      <w:r w:rsidRPr="004E4EDB">
        <w:rPr>
          <w:rFonts w:cs="Arial"/>
          <w:sz w:val="20"/>
          <w:szCs w:val="20"/>
          <w:rtl/>
        </w:rPr>
        <w:t xml:space="preserve">? </w:t>
      </w:r>
      <w:r w:rsidRPr="004E4EDB">
        <w:rPr>
          <w:rFonts w:cs="Arial" w:hint="cs"/>
          <w:sz w:val="20"/>
          <w:szCs w:val="20"/>
          <w:rtl/>
        </w:rPr>
        <w:t>מהתם</w:t>
      </w:r>
      <w:r w:rsidRPr="004E4EDB">
        <w:rPr>
          <w:rFonts w:cs="Arial"/>
          <w:sz w:val="20"/>
          <w:szCs w:val="20"/>
          <w:rtl/>
        </w:rPr>
        <w:t xml:space="preserve"> </w:t>
      </w:r>
      <w:r w:rsidRPr="004E4EDB">
        <w:rPr>
          <w:rFonts w:cs="Arial" w:hint="cs"/>
          <w:sz w:val="20"/>
          <w:szCs w:val="20"/>
          <w:rtl/>
        </w:rPr>
        <w:t>נפקא</w:t>
      </w:r>
      <w:r w:rsidRPr="004E4EDB">
        <w:rPr>
          <w:rFonts w:cs="Arial"/>
          <w:sz w:val="20"/>
          <w:szCs w:val="20"/>
          <w:rtl/>
        </w:rPr>
        <w:t xml:space="preserve">: </w:t>
      </w:r>
      <w:r w:rsidRPr="004E4EDB">
        <w:rPr>
          <w:rFonts w:cs="Arial" w:hint="cs"/>
          <w:sz w:val="20"/>
          <w:szCs w:val="20"/>
          <w:rtl/>
        </w:rPr>
        <w:t>ואל</w:t>
      </w:r>
      <w:r w:rsidRPr="004E4EDB">
        <w:rPr>
          <w:rFonts w:cs="Arial"/>
          <w:sz w:val="20"/>
          <w:szCs w:val="20"/>
          <w:rtl/>
        </w:rPr>
        <w:t xml:space="preserve"> </w:t>
      </w:r>
      <w:r w:rsidRPr="004E4EDB">
        <w:rPr>
          <w:rFonts w:cs="Arial" w:hint="cs"/>
          <w:sz w:val="20"/>
          <w:szCs w:val="20"/>
          <w:rtl/>
        </w:rPr>
        <w:t>אישך</w:t>
      </w:r>
      <w:r w:rsidRPr="004E4EDB">
        <w:rPr>
          <w:rFonts w:cs="Arial"/>
          <w:sz w:val="20"/>
          <w:szCs w:val="20"/>
          <w:rtl/>
        </w:rPr>
        <w:t xml:space="preserve"> </w:t>
      </w:r>
      <w:r w:rsidRPr="004E4EDB">
        <w:rPr>
          <w:rFonts w:cs="Arial" w:hint="cs"/>
          <w:sz w:val="20"/>
          <w:szCs w:val="20"/>
          <w:rtl/>
        </w:rPr>
        <w:t>תשוקתך</w:t>
      </w:r>
      <w:r w:rsidRPr="004E4EDB">
        <w:rPr>
          <w:rFonts w:cs="Arial"/>
          <w:sz w:val="20"/>
          <w:szCs w:val="20"/>
          <w:rtl/>
        </w:rPr>
        <w:t xml:space="preserve"> - </w:t>
      </w:r>
      <w:r w:rsidRPr="004E4EDB">
        <w:rPr>
          <w:rFonts w:cs="Arial" w:hint="cs"/>
          <w:sz w:val="20"/>
          <w:szCs w:val="20"/>
          <w:rtl/>
        </w:rPr>
        <w:t>מלמד</w:t>
      </w:r>
      <w:r w:rsidRPr="004E4EDB">
        <w:rPr>
          <w:rFonts w:cs="Arial"/>
          <w:sz w:val="20"/>
          <w:szCs w:val="20"/>
          <w:rtl/>
        </w:rPr>
        <w:t xml:space="preserve">, </w:t>
      </w:r>
      <w:r w:rsidRPr="004E4EDB">
        <w:rPr>
          <w:rFonts w:cs="Arial" w:hint="cs"/>
          <w:sz w:val="20"/>
          <w:szCs w:val="20"/>
          <w:rtl/>
        </w:rPr>
        <w:t>שהאשה</w:t>
      </w:r>
      <w:r w:rsidRPr="004E4EDB">
        <w:rPr>
          <w:rFonts w:cs="Arial"/>
          <w:sz w:val="20"/>
          <w:szCs w:val="20"/>
          <w:rtl/>
        </w:rPr>
        <w:t xml:space="preserve"> </w:t>
      </w:r>
      <w:r w:rsidRPr="004E4EDB">
        <w:rPr>
          <w:rFonts w:cs="Arial" w:hint="cs"/>
          <w:sz w:val="20"/>
          <w:szCs w:val="20"/>
          <w:rtl/>
        </w:rPr>
        <w:t>משתוקקת</w:t>
      </w:r>
      <w:r w:rsidRPr="004E4EDB">
        <w:rPr>
          <w:rFonts w:cs="Arial"/>
          <w:sz w:val="20"/>
          <w:szCs w:val="20"/>
          <w:rtl/>
        </w:rPr>
        <w:t xml:space="preserve"> </w:t>
      </w:r>
      <w:r w:rsidRPr="004E4EDB">
        <w:rPr>
          <w:rFonts w:cs="Arial" w:hint="cs"/>
          <w:sz w:val="20"/>
          <w:szCs w:val="20"/>
          <w:rtl/>
        </w:rPr>
        <w:t>על</w:t>
      </w:r>
      <w:r w:rsidRPr="004E4EDB">
        <w:rPr>
          <w:rFonts w:cs="Arial"/>
          <w:sz w:val="20"/>
          <w:szCs w:val="20"/>
          <w:rtl/>
        </w:rPr>
        <w:t xml:space="preserve"> </w:t>
      </w:r>
      <w:r w:rsidRPr="004E4EDB">
        <w:rPr>
          <w:rFonts w:cs="Arial" w:hint="cs"/>
          <w:sz w:val="20"/>
          <w:szCs w:val="20"/>
          <w:rtl/>
        </w:rPr>
        <w:t>בעלה</w:t>
      </w:r>
      <w:r w:rsidRPr="004E4EDB">
        <w:rPr>
          <w:rFonts w:cs="Arial"/>
          <w:sz w:val="20"/>
          <w:szCs w:val="20"/>
          <w:rtl/>
        </w:rPr>
        <w:t xml:space="preserve"> </w:t>
      </w:r>
      <w:r w:rsidRPr="004E4EDB">
        <w:rPr>
          <w:rFonts w:cs="Arial" w:hint="cs"/>
          <w:sz w:val="20"/>
          <w:szCs w:val="20"/>
          <w:rtl/>
        </w:rPr>
        <w:t>בשעה</w:t>
      </w:r>
      <w:r w:rsidRPr="004E4EDB">
        <w:rPr>
          <w:rFonts w:cs="Arial"/>
          <w:sz w:val="20"/>
          <w:szCs w:val="20"/>
          <w:rtl/>
        </w:rPr>
        <w:t xml:space="preserve"> </w:t>
      </w:r>
      <w:r w:rsidRPr="004E4EDB">
        <w:rPr>
          <w:rFonts w:cs="Arial" w:hint="cs"/>
          <w:sz w:val="20"/>
          <w:szCs w:val="20"/>
          <w:rtl/>
        </w:rPr>
        <w:t>שהוא</w:t>
      </w:r>
      <w:r w:rsidRPr="004E4EDB">
        <w:rPr>
          <w:rFonts w:cs="Arial"/>
          <w:sz w:val="20"/>
          <w:szCs w:val="20"/>
          <w:rtl/>
        </w:rPr>
        <w:t xml:space="preserve"> </w:t>
      </w:r>
      <w:r w:rsidRPr="004E4EDB">
        <w:rPr>
          <w:rFonts w:cs="Arial" w:hint="cs"/>
          <w:sz w:val="20"/>
          <w:szCs w:val="20"/>
          <w:rtl/>
        </w:rPr>
        <w:t>יוצא</w:t>
      </w:r>
      <w:r w:rsidRPr="004E4EDB">
        <w:rPr>
          <w:rFonts w:cs="Arial"/>
          <w:sz w:val="20"/>
          <w:szCs w:val="20"/>
          <w:rtl/>
        </w:rPr>
        <w:t xml:space="preserve"> </w:t>
      </w:r>
      <w:r w:rsidRPr="004E4EDB">
        <w:rPr>
          <w:rFonts w:cs="Arial" w:hint="cs"/>
          <w:sz w:val="20"/>
          <w:szCs w:val="20"/>
          <w:rtl/>
        </w:rPr>
        <w:t>לדרך</w:t>
      </w:r>
      <w:r w:rsidRPr="004E4EDB">
        <w:rPr>
          <w:rFonts w:cs="Arial"/>
          <w:sz w:val="20"/>
          <w:szCs w:val="20"/>
          <w:rtl/>
        </w:rPr>
        <w:t xml:space="preserve">! </w:t>
      </w:r>
      <w:r w:rsidRPr="004E4EDB">
        <w:rPr>
          <w:rFonts w:cs="Arial" w:hint="cs"/>
          <w:sz w:val="20"/>
          <w:szCs w:val="20"/>
          <w:rtl/>
        </w:rPr>
        <w:t>א</w:t>
      </w:r>
      <w:r>
        <w:rPr>
          <w:rFonts w:cs="Arial" w:hint="cs"/>
          <w:sz w:val="20"/>
          <w:szCs w:val="20"/>
          <w:rtl/>
        </w:rPr>
        <w:t xml:space="preserve">מר </w:t>
      </w:r>
      <w:r w:rsidRPr="004E4EDB">
        <w:rPr>
          <w:rFonts w:cs="Arial" w:hint="cs"/>
          <w:sz w:val="20"/>
          <w:szCs w:val="20"/>
          <w:rtl/>
        </w:rPr>
        <w:t>ר</w:t>
      </w:r>
      <w:r>
        <w:rPr>
          <w:rFonts w:cs="Arial" w:hint="cs"/>
          <w:sz w:val="20"/>
          <w:szCs w:val="20"/>
          <w:rtl/>
        </w:rPr>
        <w:t>ב</w:t>
      </w:r>
      <w:r w:rsidRPr="004E4EDB">
        <w:rPr>
          <w:rFonts w:cs="Arial"/>
          <w:sz w:val="20"/>
          <w:szCs w:val="20"/>
          <w:rtl/>
        </w:rPr>
        <w:t xml:space="preserve"> </w:t>
      </w:r>
      <w:r w:rsidRPr="004E4EDB">
        <w:rPr>
          <w:rFonts w:cs="Arial" w:hint="cs"/>
          <w:sz w:val="20"/>
          <w:szCs w:val="20"/>
          <w:rtl/>
        </w:rPr>
        <w:t>יוסף</w:t>
      </w:r>
      <w:r w:rsidRPr="004E4EDB">
        <w:rPr>
          <w:rFonts w:cs="Arial"/>
          <w:sz w:val="20"/>
          <w:szCs w:val="20"/>
          <w:rtl/>
        </w:rPr>
        <w:t xml:space="preserve">. </w:t>
      </w:r>
      <w:r w:rsidRPr="004E4EDB">
        <w:rPr>
          <w:rFonts w:cs="Arial" w:hint="cs"/>
          <w:sz w:val="20"/>
          <w:szCs w:val="20"/>
          <w:rtl/>
        </w:rPr>
        <w:t>לא</w:t>
      </w:r>
      <w:r w:rsidRPr="004E4EDB">
        <w:rPr>
          <w:rFonts w:cs="Arial"/>
          <w:sz w:val="20"/>
          <w:szCs w:val="20"/>
          <w:rtl/>
        </w:rPr>
        <w:t xml:space="preserve"> </w:t>
      </w:r>
      <w:r w:rsidRPr="004E4EDB">
        <w:rPr>
          <w:rFonts w:cs="Arial" w:hint="cs"/>
          <w:sz w:val="20"/>
          <w:szCs w:val="20"/>
          <w:rtl/>
        </w:rPr>
        <w:t>נצרכה</w:t>
      </w:r>
      <w:r w:rsidRPr="004E4EDB">
        <w:rPr>
          <w:rFonts w:cs="Arial"/>
          <w:sz w:val="20"/>
          <w:szCs w:val="20"/>
          <w:rtl/>
        </w:rPr>
        <w:t xml:space="preserve"> </w:t>
      </w:r>
      <w:r w:rsidRPr="004E4EDB">
        <w:rPr>
          <w:rFonts w:cs="Arial" w:hint="cs"/>
          <w:sz w:val="20"/>
          <w:szCs w:val="20"/>
          <w:rtl/>
        </w:rPr>
        <w:t>אלא</w:t>
      </w:r>
      <w:r w:rsidRPr="004E4EDB">
        <w:rPr>
          <w:rFonts w:cs="Arial"/>
          <w:sz w:val="20"/>
          <w:szCs w:val="20"/>
          <w:rtl/>
        </w:rPr>
        <w:t xml:space="preserve"> </w:t>
      </w:r>
      <w:r w:rsidRPr="004E4EDB">
        <w:rPr>
          <w:rFonts w:cs="Arial" w:hint="cs"/>
          <w:sz w:val="20"/>
          <w:szCs w:val="20"/>
          <w:rtl/>
        </w:rPr>
        <w:t>סמוך</w:t>
      </w:r>
      <w:r w:rsidRPr="004E4EDB">
        <w:rPr>
          <w:rFonts w:cs="Arial"/>
          <w:sz w:val="20"/>
          <w:szCs w:val="20"/>
          <w:rtl/>
        </w:rPr>
        <w:t xml:space="preserve"> </w:t>
      </w:r>
      <w:r w:rsidRPr="004E4EDB">
        <w:rPr>
          <w:rFonts w:cs="Arial" w:hint="cs"/>
          <w:sz w:val="20"/>
          <w:szCs w:val="20"/>
          <w:rtl/>
        </w:rPr>
        <w:t>לווסתה</w:t>
      </w:r>
      <w:r w:rsidRPr="004E4EDB">
        <w:rPr>
          <w:rFonts w:cs="Arial"/>
          <w:sz w:val="20"/>
          <w:szCs w:val="20"/>
          <w:rtl/>
        </w:rPr>
        <w:t xml:space="preserve">. </w:t>
      </w:r>
      <w:r w:rsidRPr="004E4EDB">
        <w:rPr>
          <w:rFonts w:cs="Arial" w:hint="cs"/>
          <w:sz w:val="20"/>
          <w:szCs w:val="20"/>
          <w:rtl/>
        </w:rPr>
        <w:t>וכמה</w:t>
      </w:r>
      <w:r w:rsidRPr="004E4EDB">
        <w:rPr>
          <w:rFonts w:cs="Arial"/>
          <w:sz w:val="20"/>
          <w:szCs w:val="20"/>
          <w:rtl/>
        </w:rPr>
        <w:t xml:space="preserve">? </w:t>
      </w:r>
      <w:r w:rsidRPr="004E4EDB">
        <w:rPr>
          <w:rFonts w:cs="Arial" w:hint="cs"/>
          <w:sz w:val="20"/>
          <w:szCs w:val="20"/>
          <w:rtl/>
        </w:rPr>
        <w:t>אמר</w:t>
      </w:r>
      <w:r w:rsidRPr="004E4EDB">
        <w:rPr>
          <w:rFonts w:cs="Arial"/>
          <w:sz w:val="20"/>
          <w:szCs w:val="20"/>
          <w:rtl/>
        </w:rPr>
        <w:t xml:space="preserve"> </w:t>
      </w:r>
      <w:r w:rsidRPr="004E4EDB">
        <w:rPr>
          <w:rFonts w:cs="Arial" w:hint="cs"/>
          <w:sz w:val="20"/>
          <w:szCs w:val="20"/>
          <w:rtl/>
        </w:rPr>
        <w:t>רבא</w:t>
      </w:r>
      <w:r w:rsidRPr="004E4EDB">
        <w:rPr>
          <w:rFonts w:cs="Arial"/>
          <w:sz w:val="20"/>
          <w:szCs w:val="20"/>
          <w:rtl/>
        </w:rPr>
        <w:t xml:space="preserve">: </w:t>
      </w:r>
      <w:r w:rsidRPr="004E4EDB">
        <w:rPr>
          <w:rFonts w:cs="Arial" w:hint="cs"/>
          <w:sz w:val="20"/>
          <w:szCs w:val="20"/>
          <w:rtl/>
        </w:rPr>
        <w:t>עונה</w:t>
      </w:r>
      <w:r w:rsidRPr="004E4EDB">
        <w:rPr>
          <w:rFonts w:cs="Arial"/>
          <w:sz w:val="20"/>
          <w:szCs w:val="20"/>
          <w:rtl/>
        </w:rPr>
        <w:t xml:space="preserve">. </w:t>
      </w:r>
      <w:r w:rsidRPr="004E4EDB">
        <w:rPr>
          <w:rFonts w:cs="Arial" w:hint="cs"/>
          <w:sz w:val="20"/>
          <w:szCs w:val="20"/>
          <w:rtl/>
        </w:rPr>
        <w:t>והני</w:t>
      </w:r>
      <w:r w:rsidRPr="004E4EDB">
        <w:rPr>
          <w:rFonts w:cs="Arial"/>
          <w:sz w:val="20"/>
          <w:szCs w:val="20"/>
          <w:rtl/>
        </w:rPr>
        <w:t xml:space="preserve"> </w:t>
      </w:r>
      <w:r w:rsidRPr="004E4EDB">
        <w:rPr>
          <w:rFonts w:cs="Arial" w:hint="cs"/>
          <w:sz w:val="20"/>
          <w:szCs w:val="20"/>
          <w:rtl/>
        </w:rPr>
        <w:t>מילי</w:t>
      </w:r>
      <w:r w:rsidRPr="004E4EDB">
        <w:rPr>
          <w:rFonts w:cs="Arial"/>
          <w:sz w:val="20"/>
          <w:szCs w:val="20"/>
          <w:rtl/>
        </w:rPr>
        <w:t xml:space="preserve"> </w:t>
      </w:r>
      <w:r w:rsidRPr="004E4EDB">
        <w:rPr>
          <w:rFonts w:cs="Arial" w:hint="cs"/>
          <w:sz w:val="20"/>
          <w:szCs w:val="20"/>
          <w:rtl/>
        </w:rPr>
        <w:t>לדבר</w:t>
      </w:r>
      <w:r w:rsidRPr="004E4EDB">
        <w:rPr>
          <w:rFonts w:cs="Arial"/>
          <w:sz w:val="20"/>
          <w:szCs w:val="20"/>
          <w:rtl/>
        </w:rPr>
        <w:t xml:space="preserve"> </w:t>
      </w:r>
      <w:r w:rsidRPr="004E4EDB">
        <w:rPr>
          <w:rFonts w:cs="Arial" w:hint="cs"/>
          <w:sz w:val="20"/>
          <w:szCs w:val="20"/>
          <w:rtl/>
        </w:rPr>
        <w:t>הרשות</w:t>
      </w:r>
      <w:r w:rsidRPr="004E4EDB">
        <w:rPr>
          <w:rFonts w:cs="Arial"/>
          <w:sz w:val="20"/>
          <w:szCs w:val="20"/>
          <w:rtl/>
        </w:rPr>
        <w:t xml:space="preserve">, </w:t>
      </w:r>
      <w:r w:rsidRPr="004E4EDB">
        <w:rPr>
          <w:rFonts w:cs="Arial" w:hint="cs"/>
          <w:sz w:val="20"/>
          <w:szCs w:val="20"/>
          <w:rtl/>
        </w:rPr>
        <w:t>אבל</w:t>
      </w:r>
      <w:r w:rsidRPr="004E4EDB">
        <w:rPr>
          <w:rFonts w:cs="Arial"/>
          <w:sz w:val="20"/>
          <w:szCs w:val="20"/>
          <w:rtl/>
        </w:rPr>
        <w:t xml:space="preserve"> </w:t>
      </w:r>
      <w:r w:rsidRPr="004E4EDB">
        <w:rPr>
          <w:rFonts w:cs="Arial" w:hint="cs"/>
          <w:sz w:val="20"/>
          <w:szCs w:val="20"/>
          <w:rtl/>
        </w:rPr>
        <w:t>לדבר</w:t>
      </w:r>
      <w:r w:rsidRPr="004E4EDB">
        <w:rPr>
          <w:rFonts w:cs="Arial"/>
          <w:sz w:val="20"/>
          <w:szCs w:val="20"/>
          <w:rtl/>
        </w:rPr>
        <w:t xml:space="preserve"> </w:t>
      </w:r>
      <w:r w:rsidRPr="004E4EDB">
        <w:rPr>
          <w:rFonts w:cs="Arial" w:hint="cs"/>
          <w:sz w:val="20"/>
          <w:szCs w:val="20"/>
          <w:rtl/>
        </w:rPr>
        <w:t>מצוה</w:t>
      </w:r>
      <w:r w:rsidRPr="004E4EDB">
        <w:rPr>
          <w:rFonts w:cs="Arial"/>
          <w:sz w:val="20"/>
          <w:szCs w:val="20"/>
          <w:rtl/>
        </w:rPr>
        <w:t xml:space="preserve"> </w:t>
      </w:r>
      <w:r>
        <w:rPr>
          <w:rFonts w:cs="Arial"/>
          <w:sz w:val="20"/>
          <w:szCs w:val="20"/>
          <w:rtl/>
        </w:rPr>
        <w:t>–</w:t>
      </w:r>
      <w:r w:rsidRPr="004E4EDB">
        <w:rPr>
          <w:rFonts w:cs="Arial"/>
          <w:sz w:val="20"/>
          <w:szCs w:val="20"/>
          <w:rtl/>
        </w:rPr>
        <w:t xml:space="preserve"> </w:t>
      </w:r>
      <w:r>
        <w:rPr>
          <w:rFonts w:cs="Arial" w:hint="cs"/>
          <w:sz w:val="20"/>
          <w:szCs w:val="20"/>
          <w:rtl/>
        </w:rPr>
        <w:t xml:space="preserve">מיטרידי </w:t>
      </w:r>
      <w:r w:rsidRPr="004E4EDB">
        <w:rPr>
          <w:rFonts w:cs="Arial" w:hint="cs"/>
          <w:sz w:val="18"/>
          <w:szCs w:val="18"/>
          <w:rtl/>
        </w:rPr>
        <w:t>(רש"י - משום</w:t>
      </w:r>
      <w:r w:rsidRPr="004E4EDB">
        <w:rPr>
          <w:rFonts w:cs="Arial"/>
          <w:sz w:val="18"/>
          <w:szCs w:val="18"/>
          <w:rtl/>
        </w:rPr>
        <w:t xml:space="preserve"> </w:t>
      </w:r>
      <w:r w:rsidRPr="004E4EDB">
        <w:rPr>
          <w:rFonts w:cs="Arial" w:hint="cs"/>
          <w:sz w:val="18"/>
          <w:szCs w:val="18"/>
          <w:rtl/>
        </w:rPr>
        <w:t>דטריד</w:t>
      </w:r>
      <w:r w:rsidRPr="004E4EDB">
        <w:rPr>
          <w:rFonts w:cs="Arial"/>
          <w:sz w:val="18"/>
          <w:szCs w:val="18"/>
          <w:rtl/>
        </w:rPr>
        <w:t xml:space="preserve"> </w:t>
      </w:r>
      <w:r w:rsidRPr="004E4EDB">
        <w:rPr>
          <w:rFonts w:cs="Arial" w:hint="cs"/>
          <w:sz w:val="18"/>
          <w:szCs w:val="18"/>
          <w:rtl/>
        </w:rPr>
        <w:t>במצ</w:t>
      </w:r>
      <w:r>
        <w:rPr>
          <w:rFonts w:cs="Arial" w:hint="cs"/>
          <w:sz w:val="18"/>
          <w:szCs w:val="18"/>
          <w:rtl/>
        </w:rPr>
        <w:t>ו</w:t>
      </w:r>
      <w:r w:rsidRPr="004E4EDB">
        <w:rPr>
          <w:rFonts w:cs="Arial" w:hint="cs"/>
          <w:sz w:val="18"/>
          <w:szCs w:val="18"/>
          <w:rtl/>
        </w:rPr>
        <w:t>וה</w:t>
      </w:r>
      <w:r>
        <w:rPr>
          <w:rFonts w:cs="Arial" w:hint="cs"/>
          <w:sz w:val="18"/>
          <w:szCs w:val="18"/>
          <w:rtl/>
        </w:rPr>
        <w:t>,</w:t>
      </w:r>
      <w:r w:rsidRPr="004E4EDB">
        <w:rPr>
          <w:rFonts w:cs="Arial"/>
          <w:sz w:val="18"/>
          <w:szCs w:val="18"/>
          <w:rtl/>
        </w:rPr>
        <w:t xml:space="preserve"> </w:t>
      </w:r>
      <w:r w:rsidRPr="004E4EDB">
        <w:rPr>
          <w:rFonts w:cs="Arial" w:hint="cs"/>
          <w:sz w:val="18"/>
          <w:szCs w:val="18"/>
          <w:rtl/>
        </w:rPr>
        <w:t>אי</w:t>
      </w:r>
      <w:r w:rsidRPr="004E4EDB">
        <w:rPr>
          <w:rFonts w:cs="Arial"/>
          <w:sz w:val="18"/>
          <w:szCs w:val="18"/>
          <w:rtl/>
        </w:rPr>
        <w:t xml:space="preserve"> </w:t>
      </w:r>
      <w:r w:rsidRPr="004E4EDB">
        <w:rPr>
          <w:rFonts w:cs="Arial" w:hint="cs"/>
          <w:sz w:val="18"/>
          <w:szCs w:val="18"/>
          <w:rtl/>
        </w:rPr>
        <w:t>נמי</w:t>
      </w:r>
      <w:r w:rsidRPr="004E4EDB">
        <w:rPr>
          <w:rFonts w:cs="Arial"/>
          <w:sz w:val="18"/>
          <w:szCs w:val="18"/>
          <w:rtl/>
        </w:rPr>
        <w:t xml:space="preserve"> </w:t>
      </w:r>
      <w:r w:rsidRPr="004E4EDB">
        <w:rPr>
          <w:rFonts w:cs="Arial" w:hint="cs"/>
          <w:sz w:val="18"/>
          <w:szCs w:val="18"/>
          <w:rtl/>
        </w:rPr>
        <w:t>מיטריד</w:t>
      </w:r>
      <w:r w:rsidRPr="004E4EDB">
        <w:rPr>
          <w:rFonts w:cs="Arial"/>
          <w:sz w:val="18"/>
          <w:szCs w:val="18"/>
          <w:rtl/>
        </w:rPr>
        <w:t xml:space="preserve"> </w:t>
      </w:r>
      <w:r w:rsidRPr="004E4EDB">
        <w:rPr>
          <w:rFonts w:cs="Arial" w:hint="cs"/>
          <w:sz w:val="18"/>
          <w:szCs w:val="18"/>
          <w:rtl/>
        </w:rPr>
        <w:t>בתשמיש</w:t>
      </w:r>
      <w:r w:rsidRPr="004E4EDB">
        <w:rPr>
          <w:rFonts w:cs="Arial"/>
          <w:sz w:val="18"/>
          <w:szCs w:val="18"/>
          <w:rtl/>
        </w:rPr>
        <w:t xml:space="preserve"> </w:t>
      </w:r>
      <w:r w:rsidRPr="004E4EDB">
        <w:rPr>
          <w:rFonts w:cs="Arial" w:hint="cs"/>
          <w:sz w:val="18"/>
          <w:szCs w:val="18"/>
          <w:rtl/>
        </w:rPr>
        <w:t>ויבטל</w:t>
      </w:r>
      <w:r w:rsidRPr="004E4EDB">
        <w:rPr>
          <w:rFonts w:cs="Arial"/>
          <w:sz w:val="18"/>
          <w:szCs w:val="18"/>
          <w:rtl/>
        </w:rPr>
        <w:t xml:space="preserve"> </w:t>
      </w:r>
      <w:r w:rsidRPr="004E4EDB">
        <w:rPr>
          <w:rFonts w:cs="Arial" w:hint="cs"/>
          <w:sz w:val="18"/>
          <w:szCs w:val="18"/>
          <w:rtl/>
        </w:rPr>
        <w:t>ממצו</w:t>
      </w:r>
      <w:r>
        <w:rPr>
          <w:rFonts w:cs="Arial" w:hint="cs"/>
          <w:sz w:val="18"/>
          <w:szCs w:val="18"/>
          <w:rtl/>
        </w:rPr>
        <w:t>ו</w:t>
      </w:r>
      <w:r w:rsidRPr="004E4EDB">
        <w:rPr>
          <w:rFonts w:cs="Arial" w:hint="cs"/>
          <w:sz w:val="18"/>
          <w:szCs w:val="18"/>
          <w:rtl/>
        </w:rPr>
        <w:t>ה)</w:t>
      </w:r>
      <w:r>
        <w:rPr>
          <w:rFonts w:cs="Arial" w:hint="cs"/>
          <w:sz w:val="20"/>
          <w:szCs w:val="20"/>
          <w:rtl/>
        </w:rPr>
        <w:t>".</w:t>
      </w:r>
    </w:p>
    <w:p w:rsidR="00620060" w:rsidRDefault="00620060" w:rsidP="00620060">
      <w:pPr>
        <w:rPr>
          <w:sz w:val="20"/>
          <w:szCs w:val="20"/>
          <w:rtl/>
        </w:rPr>
      </w:pPr>
      <w:r w:rsidRPr="004D43F6">
        <w:rPr>
          <w:rFonts w:hint="cs"/>
          <w:b/>
          <w:bCs/>
          <w:sz w:val="20"/>
          <w:szCs w:val="20"/>
          <w:rtl/>
        </w:rPr>
        <w:t>שיטות הראשונים</w:t>
      </w:r>
      <w:r w:rsidRPr="004D43F6">
        <w:rPr>
          <w:rStyle w:val="a5"/>
          <w:sz w:val="20"/>
          <w:szCs w:val="20"/>
          <w:rtl/>
        </w:rPr>
        <w:footnoteReference w:id="51"/>
      </w:r>
      <w:r w:rsidRPr="004D43F6">
        <w:rPr>
          <w:sz w:val="20"/>
          <w:szCs w:val="20"/>
          <w:rtl/>
        </w:rPr>
        <w:br/>
      </w:r>
      <w:r>
        <w:rPr>
          <w:rFonts w:hint="cs"/>
          <w:sz w:val="20"/>
          <w:szCs w:val="20"/>
          <w:rtl/>
        </w:rPr>
        <w:t xml:space="preserve">א. </w:t>
      </w:r>
      <w:r w:rsidRPr="004E4EDB">
        <w:rPr>
          <w:rFonts w:hint="cs"/>
          <w:b/>
          <w:bCs/>
          <w:sz w:val="20"/>
          <w:szCs w:val="20"/>
          <w:rtl/>
        </w:rPr>
        <w:t>רש"י</w:t>
      </w:r>
      <w:r>
        <w:rPr>
          <w:rFonts w:hint="cs"/>
          <w:sz w:val="20"/>
          <w:szCs w:val="20"/>
          <w:rtl/>
        </w:rPr>
        <w:t xml:space="preserve"> </w:t>
      </w:r>
      <w:r>
        <w:rPr>
          <w:sz w:val="20"/>
          <w:szCs w:val="20"/>
          <w:rtl/>
        </w:rPr>
        <w:t>–</w:t>
      </w:r>
      <w:r>
        <w:rPr>
          <w:rFonts w:hint="cs"/>
          <w:sz w:val="20"/>
          <w:szCs w:val="20"/>
          <w:rtl/>
        </w:rPr>
        <w:t xml:space="preserve"> חייב לפקוד את אשתו בתשמיש, וכ"פ </w:t>
      </w:r>
      <w:r w:rsidRPr="00BE4DA4">
        <w:rPr>
          <w:rFonts w:hint="cs"/>
          <w:b/>
          <w:bCs/>
          <w:sz w:val="20"/>
          <w:szCs w:val="20"/>
          <w:rtl/>
        </w:rPr>
        <w:t>המחבר והרמ"א</w:t>
      </w:r>
      <w:r>
        <w:rPr>
          <w:rFonts w:hint="cs"/>
          <w:sz w:val="20"/>
          <w:szCs w:val="20"/>
          <w:rtl/>
        </w:rPr>
        <w:t xml:space="preserve"> לעיקר הדין.</w:t>
      </w:r>
      <w:r>
        <w:rPr>
          <w:sz w:val="20"/>
          <w:szCs w:val="20"/>
          <w:rtl/>
        </w:rPr>
        <w:br/>
      </w:r>
      <w:r w:rsidRPr="004E4EDB">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איסור תשמיש סמוך לעונה הוא מדרבנן, וחכמים לא גזרו במקום מצווה, דהיינו כשיוצא לדרך, </w:t>
      </w:r>
      <w:r>
        <w:rPr>
          <w:rFonts w:hint="cs"/>
          <w:b/>
          <w:bCs/>
          <w:sz w:val="20"/>
          <w:szCs w:val="20"/>
          <w:rtl/>
        </w:rPr>
        <w:t>ט"ז</w:t>
      </w:r>
      <w:r>
        <w:rPr>
          <w:rFonts w:hint="cs"/>
          <w:sz w:val="20"/>
          <w:szCs w:val="20"/>
          <w:rtl/>
        </w:rPr>
        <w:t>.</w:t>
      </w:r>
      <w:r>
        <w:rPr>
          <w:sz w:val="20"/>
          <w:szCs w:val="20"/>
          <w:rtl/>
        </w:rPr>
        <w:br/>
      </w:r>
      <w:r>
        <w:rPr>
          <w:rFonts w:hint="cs"/>
          <w:sz w:val="20"/>
          <w:szCs w:val="20"/>
          <w:rtl/>
        </w:rPr>
        <w:t xml:space="preserve">ב. </w:t>
      </w:r>
      <w:r w:rsidRPr="004E4EDB">
        <w:rPr>
          <w:rFonts w:hint="cs"/>
          <w:b/>
          <w:bCs/>
          <w:sz w:val="20"/>
          <w:szCs w:val="20"/>
          <w:rtl/>
        </w:rPr>
        <w:t>ר"ת</w:t>
      </w:r>
      <w:r>
        <w:rPr>
          <w:rFonts w:hint="cs"/>
          <w:sz w:val="20"/>
          <w:szCs w:val="20"/>
          <w:rtl/>
        </w:rPr>
        <w:t xml:space="preserve"> </w:t>
      </w:r>
      <w:r>
        <w:rPr>
          <w:sz w:val="20"/>
          <w:szCs w:val="20"/>
          <w:rtl/>
        </w:rPr>
        <w:t>–</w:t>
      </w:r>
      <w:r>
        <w:rPr>
          <w:rFonts w:hint="cs"/>
          <w:sz w:val="20"/>
          <w:szCs w:val="20"/>
          <w:rtl/>
        </w:rPr>
        <w:t xml:space="preserve"> חייב לפקוד את אשתו בדברי ריצוי אך אסור לשמש עמה, וכ"פ </w:t>
      </w:r>
      <w:r w:rsidRPr="00D602CA">
        <w:rPr>
          <w:rFonts w:hint="cs"/>
          <w:b/>
          <w:bCs/>
          <w:sz w:val="20"/>
          <w:szCs w:val="20"/>
          <w:rtl/>
        </w:rPr>
        <w:t>הרמ"א</w:t>
      </w:r>
      <w:r>
        <w:rPr>
          <w:rFonts w:hint="cs"/>
          <w:sz w:val="20"/>
          <w:szCs w:val="20"/>
          <w:rtl/>
        </w:rPr>
        <w:t xml:space="preserve"> לכתחילה.</w:t>
      </w:r>
      <w:r>
        <w:rPr>
          <w:sz w:val="20"/>
          <w:szCs w:val="20"/>
          <w:rtl/>
        </w:rPr>
        <w:br/>
      </w:r>
      <w:r w:rsidRPr="004E4EDB">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איסור תשמיש סמוך לעונה הוא מדאורייתא, ואפילו לאומרים שהוא מדרבנן קשה, שהרי מדובר ביוצא לדבר הרשות ואם כן מדוע יש להקל לו לעבור על איסור דרבנן?</w:t>
      </w:r>
    </w:p>
    <w:p w:rsidR="00620060" w:rsidRDefault="00620060" w:rsidP="00620060">
      <w:pPr>
        <w:rPr>
          <w:sz w:val="18"/>
          <w:szCs w:val="18"/>
          <w:rtl/>
        </w:rPr>
      </w:pPr>
      <w:r>
        <w:rPr>
          <w:rFonts w:hint="cs"/>
          <w:b/>
          <w:bCs/>
          <w:sz w:val="20"/>
          <w:szCs w:val="20"/>
          <w:rtl/>
        </w:rPr>
        <w:t>פסיקת הלכה</w:t>
      </w:r>
      <w:r w:rsidRPr="00697FFC">
        <w:rPr>
          <w:rStyle w:val="a5"/>
          <w:sz w:val="20"/>
          <w:szCs w:val="20"/>
          <w:rtl/>
        </w:rPr>
        <w:footnoteReference w:id="52"/>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"ה</w:t>
      </w:r>
      <w:r w:rsidRPr="00BE4DA4">
        <w:rPr>
          <w:rFonts w:cs="Arial" w:hint="cs"/>
          <w:sz w:val="20"/>
          <w:szCs w:val="20"/>
          <w:rtl/>
        </w:rPr>
        <w:t>רוצה</w:t>
      </w:r>
      <w:r w:rsidRPr="00BE4DA4">
        <w:rPr>
          <w:rFonts w:cs="Arial"/>
          <w:sz w:val="20"/>
          <w:szCs w:val="20"/>
          <w:rtl/>
        </w:rPr>
        <w:t xml:space="preserve"> </w:t>
      </w:r>
      <w:r w:rsidRPr="00BE4DA4">
        <w:rPr>
          <w:rFonts w:cs="Arial" w:hint="cs"/>
          <w:sz w:val="20"/>
          <w:szCs w:val="20"/>
          <w:rtl/>
        </w:rPr>
        <w:t>לצאת</w:t>
      </w:r>
      <w:r w:rsidRPr="00BE4DA4">
        <w:rPr>
          <w:rFonts w:cs="Arial"/>
          <w:sz w:val="20"/>
          <w:szCs w:val="20"/>
          <w:rtl/>
        </w:rPr>
        <w:t xml:space="preserve"> </w:t>
      </w:r>
      <w:r w:rsidRPr="00BE4DA4">
        <w:rPr>
          <w:rFonts w:cs="Arial" w:hint="cs"/>
          <w:sz w:val="20"/>
          <w:szCs w:val="20"/>
          <w:rtl/>
        </w:rPr>
        <w:t>לדרך</w:t>
      </w:r>
      <w:r w:rsidRPr="00BE4DA4">
        <w:rPr>
          <w:rFonts w:cs="Arial"/>
          <w:sz w:val="20"/>
          <w:szCs w:val="20"/>
          <w:rtl/>
        </w:rPr>
        <w:t xml:space="preserve"> </w:t>
      </w:r>
      <w:r w:rsidRPr="00BE4DA4">
        <w:rPr>
          <w:rFonts w:cs="Arial" w:hint="cs"/>
          <w:sz w:val="20"/>
          <w:szCs w:val="20"/>
          <w:rtl/>
        </w:rPr>
        <w:t>צריך</w:t>
      </w:r>
      <w:r w:rsidRPr="00BE4DA4">
        <w:rPr>
          <w:rFonts w:cs="Arial"/>
          <w:sz w:val="20"/>
          <w:szCs w:val="20"/>
          <w:rtl/>
        </w:rPr>
        <w:t xml:space="preserve"> </w:t>
      </w:r>
      <w:r w:rsidRPr="00BE4DA4">
        <w:rPr>
          <w:rFonts w:cs="Arial" w:hint="cs"/>
          <w:sz w:val="20"/>
          <w:szCs w:val="20"/>
          <w:rtl/>
        </w:rPr>
        <w:t>לפקוד</w:t>
      </w:r>
      <w:r w:rsidRPr="00BE4DA4">
        <w:rPr>
          <w:rFonts w:cs="Arial"/>
          <w:sz w:val="20"/>
          <w:szCs w:val="20"/>
          <w:rtl/>
        </w:rPr>
        <w:t xml:space="preserve"> </w:t>
      </w:r>
      <w:r w:rsidRPr="00BE4DA4">
        <w:rPr>
          <w:rFonts w:cs="Arial" w:hint="cs"/>
          <w:sz w:val="20"/>
          <w:szCs w:val="20"/>
          <w:rtl/>
        </w:rPr>
        <w:t>אשתו</w:t>
      </w:r>
      <w:r w:rsidRPr="00BE4DA4">
        <w:rPr>
          <w:rFonts w:cs="Arial"/>
          <w:sz w:val="20"/>
          <w:szCs w:val="20"/>
          <w:rtl/>
        </w:rPr>
        <w:t xml:space="preserve"> </w:t>
      </w:r>
      <w:r w:rsidRPr="00BE4DA4">
        <w:rPr>
          <w:rFonts w:cs="Arial" w:hint="cs"/>
          <w:sz w:val="20"/>
          <w:szCs w:val="20"/>
          <w:rtl/>
        </w:rPr>
        <w:t>אפילו</w:t>
      </w:r>
      <w:r w:rsidRPr="00BE4DA4">
        <w:rPr>
          <w:rFonts w:cs="Arial"/>
          <w:sz w:val="20"/>
          <w:szCs w:val="20"/>
          <w:rtl/>
        </w:rPr>
        <w:t xml:space="preserve"> </w:t>
      </w:r>
      <w:r w:rsidRPr="00BE4DA4">
        <w:rPr>
          <w:rFonts w:cs="Arial" w:hint="cs"/>
          <w:sz w:val="20"/>
          <w:szCs w:val="20"/>
          <w:rtl/>
        </w:rPr>
        <w:t>סמוך</w:t>
      </w:r>
      <w:r w:rsidRPr="00BE4DA4">
        <w:rPr>
          <w:rFonts w:cs="Arial"/>
          <w:sz w:val="20"/>
          <w:szCs w:val="20"/>
          <w:rtl/>
        </w:rPr>
        <w:t xml:space="preserve"> </w:t>
      </w:r>
      <w:r w:rsidRPr="00BE4DA4">
        <w:rPr>
          <w:rFonts w:cs="Arial" w:hint="cs"/>
          <w:sz w:val="20"/>
          <w:szCs w:val="20"/>
          <w:rtl/>
        </w:rPr>
        <w:t>ל</w:t>
      </w:r>
      <w:r>
        <w:rPr>
          <w:rFonts w:cs="Arial" w:hint="cs"/>
          <w:sz w:val="20"/>
          <w:szCs w:val="20"/>
          <w:rtl/>
        </w:rPr>
        <w:t>ו</w:t>
      </w:r>
      <w:r w:rsidRPr="00BE4DA4">
        <w:rPr>
          <w:rFonts w:cs="Arial" w:hint="cs"/>
          <w:sz w:val="20"/>
          <w:szCs w:val="20"/>
          <w:rtl/>
        </w:rPr>
        <w:t>וסתה</w:t>
      </w:r>
      <w:r w:rsidRPr="00BE4DA4">
        <w:rPr>
          <w:rFonts w:cs="Arial"/>
          <w:sz w:val="20"/>
          <w:szCs w:val="20"/>
          <w:rtl/>
        </w:rPr>
        <w:t xml:space="preserve">. </w:t>
      </w:r>
      <w:r>
        <w:rPr>
          <w:rFonts w:cs="Arial"/>
          <w:sz w:val="18"/>
          <w:szCs w:val="18"/>
          <w:rtl/>
        </w:rPr>
        <w:br/>
      </w:r>
      <w:r w:rsidRPr="00BE4DA4">
        <w:rPr>
          <w:rFonts w:cs="Arial" w:hint="cs"/>
          <w:sz w:val="18"/>
          <w:szCs w:val="18"/>
          <w:rtl/>
        </w:rPr>
        <w:t>הגה</w:t>
      </w:r>
      <w:r w:rsidRPr="00BE4DA4">
        <w:rPr>
          <w:rFonts w:cs="Arial"/>
          <w:sz w:val="18"/>
          <w:szCs w:val="18"/>
          <w:rtl/>
        </w:rPr>
        <w:t xml:space="preserve">: </w:t>
      </w:r>
      <w:r w:rsidRPr="00BE4DA4">
        <w:rPr>
          <w:rFonts w:cs="Arial" w:hint="cs"/>
          <w:sz w:val="18"/>
          <w:szCs w:val="18"/>
          <w:rtl/>
        </w:rPr>
        <w:t>ואפילו</w:t>
      </w:r>
      <w:r w:rsidRPr="00BE4DA4">
        <w:rPr>
          <w:rFonts w:cs="Arial"/>
          <w:sz w:val="18"/>
          <w:szCs w:val="18"/>
          <w:rtl/>
        </w:rPr>
        <w:t xml:space="preserve"> </w:t>
      </w:r>
      <w:r w:rsidRPr="00BE4DA4">
        <w:rPr>
          <w:rFonts w:cs="Arial" w:hint="cs"/>
          <w:sz w:val="18"/>
          <w:szCs w:val="18"/>
          <w:rtl/>
        </w:rPr>
        <w:t>בתשמיש</w:t>
      </w:r>
      <w:r w:rsidRPr="00BE4DA4">
        <w:rPr>
          <w:rFonts w:cs="Arial"/>
          <w:sz w:val="18"/>
          <w:szCs w:val="18"/>
          <w:rtl/>
        </w:rPr>
        <w:t xml:space="preserve"> </w:t>
      </w:r>
      <w:r w:rsidRPr="00BE4DA4">
        <w:rPr>
          <w:rFonts w:cs="Arial" w:hint="cs"/>
          <w:sz w:val="18"/>
          <w:szCs w:val="18"/>
          <w:rtl/>
        </w:rPr>
        <w:t>שרי</w:t>
      </w:r>
      <w:r w:rsidRPr="00BE4DA4">
        <w:rPr>
          <w:rFonts w:cs="Arial"/>
          <w:sz w:val="18"/>
          <w:szCs w:val="18"/>
          <w:rtl/>
        </w:rPr>
        <w:t xml:space="preserve">. </w:t>
      </w:r>
      <w:r>
        <w:rPr>
          <w:rFonts w:cs="Arial" w:hint="cs"/>
          <w:sz w:val="18"/>
          <w:szCs w:val="18"/>
          <w:rtl/>
        </w:rPr>
        <w:t xml:space="preserve">ומכל </w:t>
      </w:r>
      <w:r w:rsidRPr="00BE4DA4">
        <w:rPr>
          <w:rFonts w:cs="Arial" w:hint="cs"/>
          <w:sz w:val="18"/>
          <w:szCs w:val="18"/>
          <w:rtl/>
        </w:rPr>
        <w:t>מ</w:t>
      </w:r>
      <w:r>
        <w:rPr>
          <w:rFonts w:cs="Arial" w:hint="cs"/>
          <w:sz w:val="18"/>
          <w:szCs w:val="18"/>
          <w:rtl/>
        </w:rPr>
        <w:t>קום</w:t>
      </w:r>
      <w:r w:rsidRPr="00BE4DA4">
        <w:rPr>
          <w:rFonts w:cs="Arial"/>
          <w:sz w:val="18"/>
          <w:szCs w:val="18"/>
          <w:rtl/>
        </w:rPr>
        <w:t xml:space="preserve"> </w:t>
      </w:r>
      <w:r w:rsidRPr="00BE4DA4">
        <w:rPr>
          <w:rFonts w:cs="Arial" w:hint="cs"/>
          <w:sz w:val="18"/>
          <w:szCs w:val="18"/>
          <w:rtl/>
        </w:rPr>
        <w:t>המחמיר</w:t>
      </w:r>
      <w:r w:rsidRPr="00BE4DA4">
        <w:rPr>
          <w:rFonts w:cs="Arial"/>
          <w:sz w:val="18"/>
          <w:szCs w:val="18"/>
          <w:rtl/>
        </w:rPr>
        <w:t xml:space="preserve"> </w:t>
      </w:r>
      <w:r w:rsidRPr="00BE4DA4">
        <w:rPr>
          <w:rFonts w:cs="Arial" w:hint="cs"/>
          <w:sz w:val="18"/>
          <w:szCs w:val="18"/>
          <w:rtl/>
        </w:rPr>
        <w:t>שלא</w:t>
      </w:r>
      <w:r w:rsidRPr="00BE4DA4">
        <w:rPr>
          <w:rFonts w:cs="Arial"/>
          <w:sz w:val="18"/>
          <w:szCs w:val="18"/>
          <w:rtl/>
        </w:rPr>
        <w:t xml:space="preserve"> </w:t>
      </w:r>
      <w:r w:rsidRPr="00BE4DA4">
        <w:rPr>
          <w:rFonts w:cs="Arial" w:hint="cs"/>
          <w:sz w:val="18"/>
          <w:szCs w:val="18"/>
          <w:rtl/>
        </w:rPr>
        <w:t>לפקדה</w:t>
      </w:r>
      <w:r w:rsidRPr="00BE4DA4">
        <w:rPr>
          <w:rFonts w:cs="Arial"/>
          <w:sz w:val="18"/>
          <w:szCs w:val="18"/>
          <w:rtl/>
        </w:rPr>
        <w:t xml:space="preserve"> </w:t>
      </w:r>
      <w:r w:rsidRPr="00BE4DA4">
        <w:rPr>
          <w:rFonts w:cs="Arial" w:hint="cs"/>
          <w:sz w:val="18"/>
          <w:szCs w:val="18"/>
          <w:rtl/>
        </w:rPr>
        <w:t>רק</w:t>
      </w:r>
      <w:r w:rsidRPr="00BE4DA4">
        <w:rPr>
          <w:rFonts w:cs="Arial"/>
          <w:sz w:val="18"/>
          <w:szCs w:val="18"/>
          <w:rtl/>
        </w:rPr>
        <w:t xml:space="preserve"> </w:t>
      </w:r>
      <w:r w:rsidRPr="00BE4DA4">
        <w:rPr>
          <w:rFonts w:cs="Arial" w:hint="cs"/>
          <w:sz w:val="18"/>
          <w:szCs w:val="18"/>
          <w:rtl/>
        </w:rPr>
        <w:t>בדברי</w:t>
      </w:r>
      <w:r w:rsidRPr="00BE4DA4">
        <w:rPr>
          <w:rFonts w:cs="Arial"/>
          <w:sz w:val="18"/>
          <w:szCs w:val="18"/>
          <w:rtl/>
        </w:rPr>
        <w:t xml:space="preserve"> </w:t>
      </w:r>
      <w:r w:rsidRPr="00BE4DA4">
        <w:rPr>
          <w:rFonts w:cs="Arial" w:hint="cs"/>
          <w:sz w:val="18"/>
          <w:szCs w:val="18"/>
          <w:rtl/>
        </w:rPr>
        <w:t>רצוי</w:t>
      </w:r>
      <w:r w:rsidRPr="00BE4DA4">
        <w:rPr>
          <w:rFonts w:cs="Arial"/>
          <w:sz w:val="18"/>
          <w:szCs w:val="18"/>
          <w:rtl/>
        </w:rPr>
        <w:t xml:space="preserve">, </w:t>
      </w:r>
      <w:r>
        <w:rPr>
          <w:rFonts w:cs="Arial" w:hint="cs"/>
          <w:sz w:val="18"/>
          <w:szCs w:val="18"/>
          <w:rtl/>
        </w:rPr>
        <w:t>תבוא עליו ברכה</w:t>
      </w:r>
      <w:r>
        <w:rPr>
          <w:rStyle w:val="a5"/>
          <w:rFonts w:cs="Arial"/>
          <w:sz w:val="18"/>
          <w:szCs w:val="18"/>
          <w:rtl/>
        </w:rPr>
        <w:footnoteReference w:id="53"/>
      </w:r>
      <w:r w:rsidRPr="00BE4DA4">
        <w:rPr>
          <w:rFonts w:cs="Arial"/>
          <w:sz w:val="18"/>
          <w:szCs w:val="18"/>
          <w:rtl/>
        </w:rPr>
        <w:t xml:space="preserve"> </w:t>
      </w:r>
      <w:r w:rsidRPr="00BE4DA4">
        <w:rPr>
          <w:rFonts w:cs="Arial" w:hint="cs"/>
          <w:sz w:val="18"/>
          <w:szCs w:val="18"/>
          <w:rtl/>
        </w:rPr>
        <w:t>וכבר</w:t>
      </w:r>
      <w:r w:rsidRPr="00BE4DA4">
        <w:rPr>
          <w:rFonts w:cs="Arial"/>
          <w:sz w:val="18"/>
          <w:szCs w:val="18"/>
          <w:rtl/>
        </w:rPr>
        <w:t xml:space="preserve"> </w:t>
      </w:r>
      <w:r w:rsidRPr="00BE4DA4">
        <w:rPr>
          <w:rFonts w:cs="Arial" w:hint="cs"/>
          <w:sz w:val="18"/>
          <w:szCs w:val="18"/>
          <w:rtl/>
        </w:rPr>
        <w:t>נתבאר</w:t>
      </w:r>
      <w:r w:rsidRPr="00BE4DA4">
        <w:rPr>
          <w:rFonts w:cs="Arial"/>
          <w:sz w:val="18"/>
          <w:szCs w:val="18"/>
          <w:rtl/>
        </w:rPr>
        <w:t xml:space="preserve"> </w:t>
      </w:r>
      <w:r w:rsidRPr="00BE4DA4">
        <w:rPr>
          <w:rFonts w:cs="Arial" w:hint="cs"/>
          <w:sz w:val="18"/>
          <w:szCs w:val="18"/>
          <w:rtl/>
        </w:rPr>
        <w:t>דכל</w:t>
      </w:r>
      <w:r w:rsidRPr="00BE4DA4">
        <w:rPr>
          <w:rFonts w:cs="Arial"/>
          <w:sz w:val="18"/>
          <w:szCs w:val="18"/>
          <w:rtl/>
        </w:rPr>
        <w:t xml:space="preserve"> </w:t>
      </w:r>
      <w:r w:rsidRPr="00BE4DA4">
        <w:rPr>
          <w:rFonts w:cs="Arial" w:hint="cs"/>
          <w:sz w:val="18"/>
          <w:szCs w:val="18"/>
          <w:rtl/>
        </w:rPr>
        <w:t>מיני</w:t>
      </w:r>
      <w:r w:rsidRPr="00BE4DA4">
        <w:rPr>
          <w:rFonts w:cs="Arial"/>
          <w:sz w:val="18"/>
          <w:szCs w:val="18"/>
          <w:rtl/>
        </w:rPr>
        <w:t xml:space="preserve"> </w:t>
      </w:r>
      <w:r w:rsidRPr="00BE4DA4">
        <w:rPr>
          <w:rFonts w:cs="Arial" w:hint="cs"/>
          <w:sz w:val="18"/>
          <w:szCs w:val="18"/>
          <w:rtl/>
        </w:rPr>
        <w:t>קורבה</w:t>
      </w:r>
      <w:r w:rsidRPr="00BE4DA4">
        <w:rPr>
          <w:rFonts w:cs="Arial"/>
          <w:sz w:val="18"/>
          <w:szCs w:val="18"/>
          <w:rtl/>
        </w:rPr>
        <w:t xml:space="preserve"> </w:t>
      </w:r>
      <w:r w:rsidRPr="00BE4DA4">
        <w:rPr>
          <w:rFonts w:cs="Arial" w:hint="cs"/>
          <w:sz w:val="18"/>
          <w:szCs w:val="18"/>
          <w:rtl/>
        </w:rPr>
        <w:t>ואהבה</w:t>
      </w:r>
      <w:r w:rsidRPr="00BE4DA4">
        <w:rPr>
          <w:rFonts w:cs="Arial"/>
          <w:sz w:val="18"/>
          <w:szCs w:val="18"/>
          <w:rtl/>
        </w:rPr>
        <w:t xml:space="preserve"> </w:t>
      </w:r>
      <w:r w:rsidRPr="00BE4DA4">
        <w:rPr>
          <w:rFonts w:cs="Arial" w:hint="cs"/>
          <w:sz w:val="18"/>
          <w:szCs w:val="18"/>
          <w:rtl/>
        </w:rPr>
        <w:t>שרי</w:t>
      </w:r>
      <w:r w:rsidRPr="00BE4DA4">
        <w:rPr>
          <w:rFonts w:cs="Arial"/>
          <w:sz w:val="18"/>
          <w:szCs w:val="18"/>
          <w:rtl/>
        </w:rPr>
        <w:t xml:space="preserve">, </w:t>
      </w:r>
      <w:r w:rsidRPr="00BE4DA4">
        <w:rPr>
          <w:rFonts w:cs="Arial" w:hint="cs"/>
          <w:sz w:val="18"/>
          <w:szCs w:val="18"/>
          <w:rtl/>
        </w:rPr>
        <w:t>מלבד</w:t>
      </w:r>
      <w:r w:rsidRPr="00BE4DA4">
        <w:rPr>
          <w:rFonts w:cs="Arial"/>
          <w:sz w:val="18"/>
          <w:szCs w:val="18"/>
          <w:rtl/>
        </w:rPr>
        <w:t xml:space="preserve"> </w:t>
      </w:r>
      <w:r w:rsidRPr="00BE4DA4">
        <w:rPr>
          <w:rFonts w:cs="Arial" w:hint="cs"/>
          <w:sz w:val="18"/>
          <w:szCs w:val="18"/>
          <w:rtl/>
        </w:rPr>
        <w:t>תשמיש</w:t>
      </w:r>
      <w:r w:rsidRPr="00BE4DA4">
        <w:rPr>
          <w:rFonts w:cs="Arial"/>
          <w:sz w:val="18"/>
          <w:szCs w:val="18"/>
          <w:rtl/>
        </w:rPr>
        <w:t xml:space="preserve">. </w:t>
      </w:r>
      <w:r w:rsidRPr="00BE4DA4">
        <w:rPr>
          <w:rFonts w:cs="Arial" w:hint="cs"/>
          <w:sz w:val="18"/>
          <w:szCs w:val="18"/>
          <w:rtl/>
        </w:rPr>
        <w:t>ואם</w:t>
      </w:r>
      <w:r w:rsidRPr="00BE4DA4">
        <w:rPr>
          <w:rFonts w:cs="Arial"/>
          <w:sz w:val="18"/>
          <w:szCs w:val="18"/>
          <w:rtl/>
        </w:rPr>
        <w:t xml:space="preserve"> </w:t>
      </w:r>
      <w:r w:rsidRPr="00BE4DA4">
        <w:rPr>
          <w:rFonts w:cs="Arial" w:hint="cs"/>
          <w:sz w:val="18"/>
          <w:szCs w:val="18"/>
          <w:rtl/>
        </w:rPr>
        <w:t>הולך</w:t>
      </w:r>
      <w:r w:rsidRPr="00BE4DA4">
        <w:rPr>
          <w:rFonts w:cs="Arial"/>
          <w:sz w:val="18"/>
          <w:szCs w:val="18"/>
          <w:rtl/>
        </w:rPr>
        <w:t xml:space="preserve"> </w:t>
      </w:r>
      <w:r w:rsidRPr="00BE4DA4">
        <w:rPr>
          <w:rFonts w:cs="Arial" w:hint="cs"/>
          <w:sz w:val="18"/>
          <w:szCs w:val="18"/>
          <w:rtl/>
        </w:rPr>
        <w:t>לדבר</w:t>
      </w:r>
      <w:r w:rsidRPr="00BE4DA4">
        <w:rPr>
          <w:rFonts w:cs="Arial"/>
          <w:sz w:val="18"/>
          <w:szCs w:val="18"/>
          <w:rtl/>
        </w:rPr>
        <w:t xml:space="preserve"> </w:t>
      </w:r>
      <w:r w:rsidRPr="00BE4DA4">
        <w:rPr>
          <w:rFonts w:cs="Arial" w:hint="cs"/>
          <w:sz w:val="18"/>
          <w:szCs w:val="18"/>
          <w:rtl/>
        </w:rPr>
        <w:t>מצוה</w:t>
      </w:r>
      <w:r w:rsidRPr="00BE4DA4">
        <w:rPr>
          <w:rFonts w:cs="Arial"/>
          <w:sz w:val="18"/>
          <w:szCs w:val="18"/>
          <w:rtl/>
        </w:rPr>
        <w:t xml:space="preserve"> </w:t>
      </w:r>
      <w:r w:rsidRPr="00BE4DA4">
        <w:rPr>
          <w:rFonts w:cs="Arial" w:hint="cs"/>
          <w:sz w:val="18"/>
          <w:szCs w:val="18"/>
          <w:rtl/>
        </w:rPr>
        <w:t>א</w:t>
      </w:r>
      <w:r>
        <w:rPr>
          <w:rFonts w:cs="Arial" w:hint="cs"/>
          <w:sz w:val="18"/>
          <w:szCs w:val="18"/>
          <w:rtl/>
        </w:rPr>
        <w:t xml:space="preserve">ין צריך </w:t>
      </w:r>
      <w:r w:rsidRPr="00BE4DA4">
        <w:rPr>
          <w:rFonts w:cs="Arial" w:hint="cs"/>
          <w:sz w:val="18"/>
          <w:szCs w:val="18"/>
          <w:rtl/>
        </w:rPr>
        <w:t>לפקוד</w:t>
      </w:r>
      <w:r w:rsidRPr="00BE4DA4">
        <w:rPr>
          <w:rFonts w:cs="Arial"/>
          <w:sz w:val="18"/>
          <w:szCs w:val="18"/>
          <w:rtl/>
        </w:rPr>
        <w:t xml:space="preserve"> </w:t>
      </w:r>
      <w:r w:rsidRPr="00BE4DA4">
        <w:rPr>
          <w:rFonts w:cs="Arial" w:hint="cs"/>
          <w:sz w:val="18"/>
          <w:szCs w:val="18"/>
          <w:rtl/>
        </w:rPr>
        <w:t>אשתו</w:t>
      </w:r>
      <w:r>
        <w:rPr>
          <w:rFonts w:cs="Arial" w:hint="cs"/>
          <w:sz w:val="18"/>
          <w:szCs w:val="18"/>
          <w:rtl/>
        </w:rPr>
        <w:t>".</w:t>
      </w:r>
    </w:p>
    <w:p w:rsidR="00620060" w:rsidRPr="000B1749" w:rsidRDefault="00620060" w:rsidP="00620060">
      <w:pPr>
        <w:rPr>
          <w:sz w:val="20"/>
          <w:szCs w:val="20"/>
          <w:rtl/>
        </w:rPr>
      </w:pPr>
      <w:r w:rsidRPr="0010746D">
        <w:rPr>
          <w:rFonts w:hint="cs"/>
          <w:sz w:val="20"/>
          <w:szCs w:val="20"/>
          <w:u w:val="single"/>
          <w:rtl/>
        </w:rPr>
        <w:t xml:space="preserve">מהו שיעור היוצא לדרך </w:t>
      </w:r>
      <w:r>
        <w:rPr>
          <w:rFonts w:hint="cs"/>
          <w:sz w:val="20"/>
          <w:szCs w:val="20"/>
          <w:u w:val="single"/>
          <w:rtl/>
        </w:rPr>
        <w:br/>
      </w:r>
      <w:r>
        <w:rPr>
          <w:rFonts w:hint="cs"/>
          <w:sz w:val="20"/>
          <w:szCs w:val="20"/>
          <w:rtl/>
        </w:rPr>
        <w:t>מהו שיעור הדרך לחייבו בעונה לפני שיוצא?</w:t>
      </w:r>
      <w:r w:rsidRPr="0010746D">
        <w:rPr>
          <w:sz w:val="20"/>
          <w:szCs w:val="20"/>
          <w:u w:val="single"/>
          <w:rtl/>
        </w:rPr>
        <w:br/>
      </w:r>
      <w:r>
        <w:rPr>
          <w:rFonts w:hint="cs"/>
          <w:sz w:val="20"/>
          <w:szCs w:val="20"/>
          <w:rtl/>
        </w:rPr>
        <w:t xml:space="preserve">א. </w:t>
      </w:r>
      <w:r w:rsidRPr="0010746D">
        <w:rPr>
          <w:rFonts w:hint="cs"/>
          <w:b/>
          <w:bCs/>
          <w:sz w:val="20"/>
          <w:szCs w:val="20"/>
          <w:rtl/>
        </w:rPr>
        <w:t>יעב"ץ</w:t>
      </w:r>
      <w:r w:rsidRPr="0010746D">
        <w:rPr>
          <w:rFonts w:hint="cs"/>
          <w:sz w:val="20"/>
          <w:szCs w:val="20"/>
          <w:rtl/>
        </w:rPr>
        <w:t xml:space="preserve"> </w:t>
      </w:r>
      <w:r>
        <w:rPr>
          <w:rFonts w:hint="cs"/>
          <w:sz w:val="20"/>
          <w:szCs w:val="20"/>
          <w:rtl/>
        </w:rPr>
        <w:t>(</w:t>
      </w:r>
      <w:r w:rsidRPr="004D43F6">
        <w:rPr>
          <w:rFonts w:hint="cs"/>
          <w:sz w:val="18"/>
          <w:szCs w:val="18"/>
          <w:rtl/>
        </w:rPr>
        <w:t xml:space="preserve">הו"ד </w:t>
      </w:r>
      <w:r>
        <w:rPr>
          <w:rFonts w:hint="cs"/>
          <w:sz w:val="18"/>
          <w:szCs w:val="18"/>
          <w:rtl/>
        </w:rPr>
        <w:t>בששבה"ל</w:t>
      </w:r>
      <w:r w:rsidRPr="004D43F6">
        <w:rPr>
          <w:rFonts w:hint="cs"/>
          <w:sz w:val="18"/>
          <w:szCs w:val="18"/>
          <w:rtl/>
        </w:rPr>
        <w:t xml:space="preserve">) </w:t>
      </w:r>
      <w:r w:rsidRPr="0010746D">
        <w:rPr>
          <w:sz w:val="20"/>
          <w:szCs w:val="20"/>
          <w:rtl/>
        </w:rPr>
        <w:t>–</w:t>
      </w:r>
      <w:r w:rsidRPr="0010746D">
        <w:rPr>
          <w:rFonts w:hint="cs"/>
          <w:sz w:val="20"/>
          <w:szCs w:val="20"/>
          <w:rtl/>
        </w:rPr>
        <w:t xml:space="preserve"> אם לא יספיק לחזור מהדרך לקיים את עונתו הקבועה עמה, וכן כשיוצא ואינו יודע </w:t>
      </w:r>
      <w:r w:rsidRPr="0010746D">
        <w:rPr>
          <w:rFonts w:hint="cs"/>
          <w:sz w:val="20"/>
          <w:szCs w:val="20"/>
          <w:rtl/>
        </w:rPr>
        <w:lastRenderedPageBreak/>
        <w:t>מתי יחזור.</w:t>
      </w:r>
      <w:r w:rsidRPr="0010746D">
        <w:rPr>
          <w:rFonts w:hint="cs"/>
          <w:sz w:val="20"/>
          <w:szCs w:val="20"/>
          <w:u w:val="single"/>
          <w:rtl/>
        </w:rPr>
        <w:t xml:space="preserve"> </w:t>
      </w:r>
      <w:r>
        <w:rPr>
          <w:sz w:val="20"/>
          <w:szCs w:val="20"/>
          <w:u w:val="single"/>
          <w:rtl/>
        </w:rPr>
        <w:br/>
      </w:r>
      <w:r>
        <w:rPr>
          <w:rFonts w:hint="cs"/>
          <w:sz w:val="20"/>
          <w:szCs w:val="20"/>
          <w:rtl/>
        </w:rPr>
        <w:t xml:space="preserve">ב. </w:t>
      </w:r>
      <w:r w:rsidRPr="000B1749">
        <w:rPr>
          <w:rFonts w:hint="cs"/>
          <w:b/>
          <w:bCs/>
          <w:sz w:val="20"/>
          <w:szCs w:val="20"/>
          <w:rtl/>
        </w:rPr>
        <w:t>שו"ת תשובה מאהבה</w:t>
      </w:r>
      <w:r>
        <w:rPr>
          <w:rFonts w:hint="cs"/>
          <w:sz w:val="20"/>
          <w:szCs w:val="20"/>
          <w:rtl/>
        </w:rPr>
        <w:t xml:space="preserve"> (</w:t>
      </w:r>
      <w:r w:rsidRPr="004D43F6">
        <w:rPr>
          <w:rFonts w:hint="cs"/>
          <w:sz w:val="18"/>
          <w:szCs w:val="18"/>
          <w:rtl/>
        </w:rPr>
        <w:t xml:space="preserve">הו"ד בפת"ש) </w:t>
      </w:r>
      <w:r>
        <w:rPr>
          <w:sz w:val="20"/>
          <w:szCs w:val="20"/>
          <w:rtl/>
        </w:rPr>
        <w:t>–</w:t>
      </w:r>
      <w:r>
        <w:rPr>
          <w:rFonts w:hint="cs"/>
          <w:sz w:val="20"/>
          <w:szCs w:val="20"/>
          <w:rtl/>
        </w:rPr>
        <w:t xml:space="preserve"> שיעור יב' מיל.</w:t>
      </w:r>
    </w:p>
    <w:p w:rsidR="00620060" w:rsidRDefault="00620060" w:rsidP="00620060">
      <w:pPr>
        <w:rPr>
          <w:sz w:val="20"/>
          <w:szCs w:val="20"/>
          <w:rtl/>
        </w:rPr>
      </w:pPr>
      <w:r w:rsidRPr="009A2C9F">
        <w:rPr>
          <w:rFonts w:hint="cs"/>
          <w:sz w:val="20"/>
          <w:szCs w:val="20"/>
          <w:u w:val="single"/>
          <w:rtl/>
        </w:rPr>
        <w:t>סתירה בדברי הרמ"א</w:t>
      </w:r>
      <w:r w:rsidRPr="009A2C9F">
        <w:rPr>
          <w:sz w:val="20"/>
          <w:szCs w:val="20"/>
          <w:u w:val="single"/>
          <w:rtl/>
        </w:rPr>
        <w:br/>
      </w:r>
      <w:r w:rsidRPr="009A2C9F">
        <w:rPr>
          <w:rFonts w:hint="cs"/>
          <w:b/>
          <w:bCs/>
          <w:sz w:val="20"/>
          <w:szCs w:val="20"/>
          <w:rtl/>
        </w:rPr>
        <w:t>ש"ך</w:t>
      </w:r>
      <w:r w:rsidRPr="009A2C9F">
        <w:rPr>
          <w:rFonts w:hint="cs"/>
          <w:sz w:val="20"/>
          <w:szCs w:val="20"/>
          <w:rtl/>
        </w:rPr>
        <w:t xml:space="preserve"> </w:t>
      </w:r>
      <w:r w:rsidRPr="009A2C9F">
        <w:rPr>
          <w:sz w:val="20"/>
          <w:szCs w:val="20"/>
          <w:rtl/>
        </w:rPr>
        <w:t>–</w:t>
      </w:r>
      <w:r w:rsidRPr="009A2C9F">
        <w:rPr>
          <w:rFonts w:hint="cs"/>
          <w:sz w:val="20"/>
          <w:szCs w:val="20"/>
          <w:rtl/>
        </w:rPr>
        <w:t xml:space="preserve"> הרמ"א פסק באורח חיים שחייב אדם לפקוד את אשתו בת</w:t>
      </w:r>
      <w:r>
        <w:rPr>
          <w:rFonts w:hint="cs"/>
          <w:sz w:val="20"/>
          <w:szCs w:val="20"/>
          <w:rtl/>
        </w:rPr>
        <w:t>ש</w:t>
      </w:r>
      <w:r w:rsidRPr="009A2C9F">
        <w:rPr>
          <w:rFonts w:hint="cs"/>
          <w:sz w:val="20"/>
          <w:szCs w:val="20"/>
          <w:rtl/>
        </w:rPr>
        <w:t xml:space="preserve">מיש קודם שיצא לדרך ואפילו סמוך לווסתה, ולכאורה דבריו סותרים </w:t>
      </w:r>
      <w:r>
        <w:rPr>
          <w:rFonts w:hint="cs"/>
          <w:sz w:val="20"/>
          <w:szCs w:val="20"/>
          <w:rtl/>
        </w:rPr>
        <w:t>לכאן</w:t>
      </w:r>
      <w:r w:rsidRPr="009A2C9F">
        <w:rPr>
          <w:rFonts w:hint="cs"/>
          <w:sz w:val="20"/>
          <w:szCs w:val="20"/>
          <w:rtl/>
        </w:rPr>
        <w:t>, והעיקר כדבריו כאן שלכתחילה יש להחמיר ולפקדה בדברי ריצוי בלבד.</w:t>
      </w:r>
    </w:p>
    <w:p w:rsidR="00620060" w:rsidRDefault="00620060" w:rsidP="00620060">
      <w:pPr>
        <w:rPr>
          <w:sz w:val="20"/>
          <w:szCs w:val="20"/>
          <w:rtl/>
        </w:rPr>
      </w:pPr>
      <w:r>
        <w:rPr>
          <w:rFonts w:hint="cs"/>
          <w:sz w:val="20"/>
          <w:szCs w:val="20"/>
          <w:u w:val="single"/>
          <w:rtl/>
        </w:rPr>
        <w:t>פרטים נוספים בדברי הרמ"א</w:t>
      </w:r>
      <w:r>
        <w:rPr>
          <w:rFonts w:hint="cs"/>
          <w:sz w:val="20"/>
          <w:szCs w:val="20"/>
          <w:u w:val="single"/>
          <w:rtl/>
        </w:rPr>
        <w:br/>
      </w:r>
      <w:r>
        <w:rPr>
          <w:rFonts w:hint="cs"/>
          <w:sz w:val="20"/>
          <w:szCs w:val="20"/>
          <w:rtl/>
        </w:rPr>
        <w:t xml:space="preserve">א. </w:t>
      </w:r>
      <w:r w:rsidRPr="0020173B">
        <w:rPr>
          <w:rFonts w:hint="cs"/>
          <w:b/>
          <w:bCs/>
          <w:sz w:val="20"/>
          <w:szCs w:val="20"/>
          <w:rtl/>
        </w:rPr>
        <w:t>ט"ז</w:t>
      </w:r>
      <w:r w:rsidRPr="0020173B">
        <w:rPr>
          <w:rFonts w:hint="cs"/>
          <w:sz w:val="20"/>
          <w:szCs w:val="20"/>
          <w:rtl/>
        </w:rPr>
        <w:t xml:space="preserve"> </w:t>
      </w:r>
      <w:r w:rsidRPr="0020173B">
        <w:rPr>
          <w:sz w:val="20"/>
          <w:szCs w:val="20"/>
          <w:rtl/>
        </w:rPr>
        <w:t>–</w:t>
      </w:r>
      <w:r w:rsidRPr="0020173B">
        <w:rPr>
          <w:rFonts w:hint="cs"/>
          <w:sz w:val="20"/>
          <w:szCs w:val="20"/>
          <w:rtl/>
        </w:rPr>
        <w:t xml:space="preserve"> אע"פ שגם באינו יוצא לדרך שרי בדברי ריצוי</w:t>
      </w:r>
      <w:r>
        <w:rPr>
          <w:rFonts w:hint="cs"/>
          <w:sz w:val="20"/>
          <w:szCs w:val="20"/>
          <w:rtl/>
        </w:rPr>
        <w:t>, כדלעיל בסעיף ב'</w:t>
      </w:r>
      <w:r w:rsidRPr="0020173B">
        <w:rPr>
          <w:rFonts w:hint="cs"/>
          <w:sz w:val="20"/>
          <w:szCs w:val="20"/>
          <w:rtl/>
        </w:rPr>
        <w:t xml:space="preserve">, יש לומר שכאן </w:t>
      </w:r>
      <w:r w:rsidRPr="0020173B">
        <w:rPr>
          <w:rFonts w:hint="cs"/>
          <w:sz w:val="20"/>
          <w:szCs w:val="20"/>
          <w:u w:val="single"/>
          <w:rtl/>
        </w:rPr>
        <w:t>חייב</w:t>
      </w:r>
      <w:r w:rsidRPr="0020173B">
        <w:rPr>
          <w:rFonts w:hint="cs"/>
          <w:sz w:val="20"/>
          <w:szCs w:val="20"/>
          <w:rtl/>
        </w:rPr>
        <w:t xml:space="preserve"> בכך.</w:t>
      </w:r>
      <w:r>
        <w:rPr>
          <w:sz w:val="20"/>
          <w:szCs w:val="20"/>
          <w:u w:val="single"/>
          <w:rtl/>
        </w:rPr>
        <w:br/>
      </w:r>
      <w:r>
        <w:rPr>
          <w:rFonts w:hint="cs"/>
          <w:sz w:val="20"/>
          <w:szCs w:val="20"/>
          <w:rtl/>
        </w:rPr>
        <w:t xml:space="preserve">ב. </w:t>
      </w:r>
      <w:r w:rsidRPr="0020173B">
        <w:rPr>
          <w:rFonts w:hint="cs"/>
          <w:b/>
          <w:bCs/>
          <w:sz w:val="20"/>
          <w:szCs w:val="20"/>
          <w:rtl/>
        </w:rPr>
        <w:t>ש"ך</w:t>
      </w:r>
      <w:r w:rsidRPr="0020173B">
        <w:rPr>
          <w:rFonts w:hint="cs"/>
          <w:sz w:val="20"/>
          <w:szCs w:val="20"/>
          <w:rtl/>
        </w:rPr>
        <w:t xml:space="preserve"> </w:t>
      </w:r>
      <w:r w:rsidRPr="0020173B">
        <w:rPr>
          <w:sz w:val="20"/>
          <w:szCs w:val="20"/>
          <w:rtl/>
        </w:rPr>
        <w:t>–</w:t>
      </w:r>
      <w:r w:rsidRPr="0020173B">
        <w:rPr>
          <w:rFonts w:hint="cs"/>
          <w:sz w:val="20"/>
          <w:szCs w:val="20"/>
          <w:rtl/>
        </w:rPr>
        <w:t xml:space="preserve"> אע"פ שלעיל פסק כב"ח שמחמיר סמוך לווסתה להימנע גם מחיבוק ונישוק, יש לומר שכאן מותר.</w:t>
      </w:r>
    </w:p>
    <w:p w:rsidR="00620060" w:rsidRDefault="00620060" w:rsidP="00620060">
      <w:pPr>
        <w:rPr>
          <w:sz w:val="20"/>
          <w:szCs w:val="20"/>
          <w:rtl/>
        </w:rPr>
      </w:pPr>
      <w:r>
        <w:rPr>
          <w:rFonts w:hint="cs"/>
          <w:b/>
          <w:bCs/>
          <w:sz w:val="20"/>
          <w:szCs w:val="20"/>
          <w:rtl/>
        </w:rPr>
        <w:t xml:space="preserve">שיטת הנימוקי יוסף בהסבר הגמרא </w:t>
      </w:r>
      <w:r>
        <w:rPr>
          <w:b/>
          <w:bCs/>
          <w:sz w:val="20"/>
          <w:szCs w:val="20"/>
          <w:rtl/>
        </w:rPr>
        <w:br/>
      </w:r>
      <w:r>
        <w:rPr>
          <w:rFonts w:hint="cs"/>
          <w:b/>
          <w:bCs/>
          <w:sz w:val="20"/>
          <w:szCs w:val="20"/>
          <w:rtl/>
        </w:rPr>
        <w:t xml:space="preserve">נימוקי יוסף </w:t>
      </w:r>
      <w:r>
        <w:rPr>
          <w:sz w:val="20"/>
          <w:szCs w:val="20"/>
          <w:rtl/>
        </w:rPr>
        <w:t>–</w:t>
      </w:r>
      <w:r>
        <w:rPr>
          <w:rFonts w:hint="cs"/>
          <w:sz w:val="20"/>
          <w:szCs w:val="20"/>
          <w:rtl/>
        </w:rPr>
        <w:t xml:space="preserve"> כוונת הגמרא היא, שאם אדם רוצה לצאת לדרך ואשתו איננה טהורה אך עתידה לטבול בעונה הקרובה ליציאתו לדרך, יש לו להמתין ולא לצאת לדרך עד שתטבול ויפקדנה, וכ"פ </w:t>
      </w:r>
      <w:r w:rsidRPr="004066CC">
        <w:rPr>
          <w:rFonts w:hint="cs"/>
          <w:b/>
          <w:bCs/>
          <w:sz w:val="20"/>
          <w:szCs w:val="20"/>
          <w:rtl/>
        </w:rPr>
        <w:t>הרמ"א</w:t>
      </w:r>
      <w:r>
        <w:rPr>
          <w:rFonts w:hint="cs"/>
          <w:sz w:val="20"/>
          <w:szCs w:val="20"/>
          <w:rtl/>
        </w:rPr>
        <w:t xml:space="preserve">. </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רמ"א </w:t>
      </w:r>
      <w:r w:rsidRPr="00253038">
        <w:rPr>
          <w:sz w:val="18"/>
          <w:szCs w:val="18"/>
          <w:rtl/>
        </w:rPr>
        <w:t>–</w:t>
      </w:r>
      <w:r w:rsidRPr="00253038">
        <w:rPr>
          <w:rFonts w:hint="cs"/>
          <w:sz w:val="18"/>
          <w:szCs w:val="18"/>
          <w:rtl/>
        </w:rPr>
        <w:t xml:space="preserve"> "</w:t>
      </w:r>
      <w:r w:rsidRPr="00253038">
        <w:rPr>
          <w:rFonts w:cs="Arial" w:hint="cs"/>
          <w:sz w:val="18"/>
          <w:szCs w:val="18"/>
          <w:rtl/>
        </w:rPr>
        <w:t>ויש אומרים</w:t>
      </w:r>
      <w:r w:rsidRPr="00253038">
        <w:rPr>
          <w:rFonts w:cs="Arial"/>
          <w:sz w:val="18"/>
          <w:szCs w:val="18"/>
          <w:rtl/>
        </w:rPr>
        <w:t xml:space="preserve"> </w:t>
      </w:r>
      <w:r w:rsidRPr="00253038">
        <w:rPr>
          <w:rFonts w:cs="Arial" w:hint="cs"/>
          <w:sz w:val="18"/>
          <w:szCs w:val="18"/>
          <w:rtl/>
        </w:rPr>
        <w:t>אם</w:t>
      </w:r>
      <w:r w:rsidRPr="00253038">
        <w:rPr>
          <w:rFonts w:cs="Arial"/>
          <w:sz w:val="18"/>
          <w:szCs w:val="18"/>
          <w:rtl/>
        </w:rPr>
        <w:t xml:space="preserve"> </w:t>
      </w:r>
      <w:r w:rsidRPr="00253038">
        <w:rPr>
          <w:rFonts w:cs="Arial" w:hint="cs"/>
          <w:sz w:val="18"/>
          <w:szCs w:val="18"/>
          <w:rtl/>
        </w:rPr>
        <w:t>אדם</w:t>
      </w:r>
      <w:r w:rsidRPr="00253038">
        <w:rPr>
          <w:rFonts w:cs="Arial"/>
          <w:sz w:val="18"/>
          <w:szCs w:val="18"/>
          <w:rtl/>
        </w:rPr>
        <w:t xml:space="preserve"> </w:t>
      </w:r>
      <w:r w:rsidRPr="00253038">
        <w:rPr>
          <w:rFonts w:cs="Arial" w:hint="cs"/>
          <w:sz w:val="18"/>
          <w:szCs w:val="18"/>
          <w:rtl/>
        </w:rPr>
        <w:t>רוצה</w:t>
      </w:r>
      <w:r w:rsidRPr="00253038">
        <w:rPr>
          <w:rFonts w:cs="Arial"/>
          <w:sz w:val="18"/>
          <w:szCs w:val="18"/>
          <w:rtl/>
        </w:rPr>
        <w:t xml:space="preserve"> </w:t>
      </w:r>
      <w:r w:rsidRPr="00253038">
        <w:rPr>
          <w:rFonts w:cs="Arial" w:hint="cs"/>
          <w:sz w:val="18"/>
          <w:szCs w:val="18"/>
          <w:rtl/>
        </w:rPr>
        <w:t>לילך</w:t>
      </w:r>
      <w:r w:rsidRPr="00253038">
        <w:rPr>
          <w:rFonts w:cs="Arial"/>
          <w:sz w:val="18"/>
          <w:szCs w:val="18"/>
          <w:rtl/>
        </w:rPr>
        <w:t xml:space="preserve"> </w:t>
      </w:r>
      <w:r w:rsidRPr="00253038">
        <w:rPr>
          <w:rFonts w:cs="Arial" w:hint="cs"/>
          <w:sz w:val="18"/>
          <w:szCs w:val="18"/>
          <w:rtl/>
        </w:rPr>
        <w:t>לדרך</w:t>
      </w:r>
      <w:r w:rsidRPr="00253038">
        <w:rPr>
          <w:rFonts w:cs="Arial"/>
          <w:sz w:val="18"/>
          <w:szCs w:val="18"/>
          <w:rtl/>
        </w:rPr>
        <w:t xml:space="preserve">, </w:t>
      </w:r>
      <w:r w:rsidRPr="00253038">
        <w:rPr>
          <w:rFonts w:cs="Arial" w:hint="cs"/>
          <w:sz w:val="18"/>
          <w:szCs w:val="18"/>
          <w:rtl/>
        </w:rPr>
        <w:t>ואשתו</w:t>
      </w:r>
      <w:r w:rsidRPr="00253038">
        <w:rPr>
          <w:rFonts w:cs="Arial"/>
          <w:sz w:val="18"/>
          <w:szCs w:val="18"/>
          <w:rtl/>
        </w:rPr>
        <w:t xml:space="preserve"> </w:t>
      </w:r>
      <w:r w:rsidRPr="00253038">
        <w:rPr>
          <w:rFonts w:cs="Arial" w:hint="cs"/>
          <w:sz w:val="18"/>
          <w:szCs w:val="18"/>
          <w:rtl/>
        </w:rPr>
        <w:t>נדה</w:t>
      </w:r>
      <w:r w:rsidRPr="00253038">
        <w:rPr>
          <w:rFonts w:cs="Arial"/>
          <w:sz w:val="18"/>
          <w:szCs w:val="18"/>
          <w:rtl/>
        </w:rPr>
        <w:t xml:space="preserve"> </w:t>
      </w:r>
      <w:r w:rsidRPr="00253038">
        <w:rPr>
          <w:rFonts w:cs="Arial" w:hint="cs"/>
          <w:sz w:val="18"/>
          <w:szCs w:val="18"/>
          <w:rtl/>
        </w:rPr>
        <w:t>ותטבול</w:t>
      </w:r>
      <w:r w:rsidRPr="00253038">
        <w:rPr>
          <w:rFonts w:cs="Arial"/>
          <w:sz w:val="18"/>
          <w:szCs w:val="18"/>
          <w:rtl/>
        </w:rPr>
        <w:t xml:space="preserve"> </w:t>
      </w:r>
      <w:r w:rsidRPr="00253038">
        <w:rPr>
          <w:rFonts w:cs="Arial" w:hint="cs"/>
          <w:sz w:val="18"/>
          <w:szCs w:val="18"/>
          <w:rtl/>
        </w:rPr>
        <w:t>תוך</w:t>
      </w:r>
      <w:r w:rsidRPr="00253038">
        <w:rPr>
          <w:rFonts w:cs="Arial"/>
          <w:sz w:val="18"/>
          <w:szCs w:val="18"/>
          <w:rtl/>
        </w:rPr>
        <w:t xml:space="preserve"> </w:t>
      </w:r>
      <w:r w:rsidRPr="00253038">
        <w:rPr>
          <w:rFonts w:cs="Arial" w:hint="cs"/>
          <w:sz w:val="18"/>
          <w:szCs w:val="18"/>
          <w:rtl/>
        </w:rPr>
        <w:t>עונה</w:t>
      </w:r>
      <w:r w:rsidRPr="00253038">
        <w:rPr>
          <w:rFonts w:cs="Arial"/>
          <w:sz w:val="18"/>
          <w:szCs w:val="18"/>
          <w:rtl/>
        </w:rPr>
        <w:t xml:space="preserve"> </w:t>
      </w:r>
      <w:r w:rsidRPr="00253038">
        <w:rPr>
          <w:rFonts w:cs="Arial" w:hint="cs"/>
          <w:sz w:val="18"/>
          <w:szCs w:val="18"/>
          <w:rtl/>
        </w:rPr>
        <w:t>אחת</w:t>
      </w:r>
      <w:r w:rsidRPr="00253038">
        <w:rPr>
          <w:rFonts w:cs="Arial"/>
          <w:sz w:val="18"/>
          <w:szCs w:val="18"/>
          <w:rtl/>
        </w:rPr>
        <w:t xml:space="preserve">, </w:t>
      </w:r>
      <w:r w:rsidRPr="00253038">
        <w:rPr>
          <w:rFonts w:cs="Arial" w:hint="cs"/>
          <w:sz w:val="18"/>
          <w:szCs w:val="18"/>
          <w:rtl/>
        </w:rPr>
        <w:t>צריך</w:t>
      </w:r>
      <w:r w:rsidRPr="00253038">
        <w:rPr>
          <w:rFonts w:cs="Arial"/>
          <w:sz w:val="18"/>
          <w:szCs w:val="18"/>
          <w:rtl/>
        </w:rPr>
        <w:t xml:space="preserve"> </w:t>
      </w:r>
      <w:r w:rsidRPr="00253038">
        <w:rPr>
          <w:rFonts w:cs="Arial" w:hint="cs"/>
          <w:sz w:val="18"/>
          <w:szCs w:val="18"/>
          <w:rtl/>
        </w:rPr>
        <w:t>להמתין".</w:t>
      </w:r>
      <w:r w:rsidRPr="0020173B">
        <w:rPr>
          <w:sz w:val="20"/>
          <w:szCs w:val="20"/>
          <w:rtl/>
        </w:rPr>
        <w:br/>
      </w:r>
      <w:r>
        <w:rPr>
          <w:rFonts w:hint="cs"/>
          <w:sz w:val="20"/>
          <w:szCs w:val="20"/>
          <w:u w:val="single"/>
          <w:rtl/>
        </w:rPr>
        <w:br/>
        <w:t>פרטים בדין זה (ש"ך ופת"ש)</w:t>
      </w:r>
      <w:r>
        <w:rPr>
          <w:rFonts w:hint="cs"/>
          <w:sz w:val="20"/>
          <w:szCs w:val="20"/>
          <w:u w:val="single"/>
          <w:rtl/>
        </w:rPr>
        <w:br/>
      </w:r>
      <w:r>
        <w:rPr>
          <w:rFonts w:hint="cs"/>
          <w:sz w:val="20"/>
          <w:szCs w:val="20"/>
          <w:rtl/>
        </w:rPr>
        <w:t xml:space="preserve">א. שיעור הזמן שצריך להמתין הוא יום או לילה </w:t>
      </w:r>
      <w:r w:rsidRPr="004066CC">
        <w:rPr>
          <w:rFonts w:hint="cs"/>
          <w:sz w:val="18"/>
          <w:szCs w:val="18"/>
          <w:rtl/>
        </w:rPr>
        <w:t>(ולשיטת הש"ך הכוונה היא ליב' שעות)</w:t>
      </w:r>
      <w:r>
        <w:rPr>
          <w:rFonts w:hint="cs"/>
          <w:sz w:val="20"/>
          <w:szCs w:val="20"/>
          <w:rtl/>
        </w:rPr>
        <w:t>.</w:t>
      </w:r>
      <w:r>
        <w:rPr>
          <w:sz w:val="20"/>
          <w:szCs w:val="20"/>
          <w:rtl/>
        </w:rPr>
        <w:br/>
      </w:r>
      <w:r>
        <w:rPr>
          <w:rFonts w:hint="cs"/>
          <w:sz w:val="20"/>
          <w:szCs w:val="20"/>
          <w:rtl/>
        </w:rPr>
        <w:t>ב. היוצא לדבר מצווה אינו צריך להמתין, כמבואר בגמרא הנ"ל.</w:t>
      </w:r>
      <w:r>
        <w:rPr>
          <w:sz w:val="20"/>
          <w:szCs w:val="20"/>
          <w:rtl/>
        </w:rPr>
        <w:br/>
      </w:r>
      <w:r>
        <w:rPr>
          <w:rFonts w:hint="cs"/>
          <w:sz w:val="20"/>
          <w:szCs w:val="20"/>
          <w:rtl/>
        </w:rPr>
        <w:t>ג. גם היוצא לדבר הרשות ונחוץ לו לצאת במהירות, אינו צריך להמתין משום שפירוש הנימו"י יחיד ולא התקבל.</w:t>
      </w:r>
    </w:p>
    <w:p w:rsidR="00620060" w:rsidRDefault="00620060" w:rsidP="00620060">
      <w:pPr>
        <w:rPr>
          <w:sz w:val="20"/>
          <w:szCs w:val="20"/>
          <w:rtl/>
        </w:rPr>
      </w:pPr>
      <w:r>
        <w:rPr>
          <w:rFonts w:hint="cs"/>
          <w:sz w:val="20"/>
          <w:szCs w:val="20"/>
          <w:u w:val="single"/>
          <w:rtl/>
        </w:rPr>
        <w:t>ליל טבילה שחל בעונת ווסתה (פת"ש)</w:t>
      </w:r>
      <w:r>
        <w:rPr>
          <w:rFonts w:hint="cs"/>
          <w:sz w:val="20"/>
          <w:szCs w:val="20"/>
          <w:u w:val="single"/>
          <w:rtl/>
        </w:rPr>
        <w:br/>
      </w:r>
      <w:r w:rsidRPr="00BC20C9">
        <w:rPr>
          <w:rFonts w:hint="cs"/>
          <w:sz w:val="20"/>
          <w:szCs w:val="20"/>
          <w:rtl/>
        </w:rPr>
        <w:t>נחלקו האחרונים</w:t>
      </w:r>
      <w:r>
        <w:rPr>
          <w:rFonts w:hint="cs"/>
          <w:sz w:val="20"/>
          <w:szCs w:val="20"/>
          <w:rtl/>
        </w:rPr>
        <w:t xml:space="preserve"> מה דין אשה שליל טבילתה חל בעונת ווסתה, האם מותרת לטבול ולשמש?</w:t>
      </w:r>
      <w:r>
        <w:rPr>
          <w:sz w:val="20"/>
          <w:szCs w:val="20"/>
          <w:rtl/>
        </w:rPr>
        <w:br/>
      </w:r>
      <w:r>
        <w:rPr>
          <w:rFonts w:hint="cs"/>
          <w:sz w:val="20"/>
          <w:szCs w:val="20"/>
          <w:rtl/>
        </w:rPr>
        <w:t xml:space="preserve">א. </w:t>
      </w:r>
      <w:r w:rsidRPr="001E0D6A">
        <w:rPr>
          <w:rFonts w:hint="cs"/>
          <w:b/>
          <w:bCs/>
          <w:sz w:val="20"/>
          <w:szCs w:val="20"/>
          <w:rtl/>
        </w:rPr>
        <w:t>כנסת יחזקאל</w:t>
      </w:r>
      <w:r>
        <w:rPr>
          <w:rFonts w:hint="cs"/>
          <w:sz w:val="20"/>
          <w:szCs w:val="20"/>
          <w:rtl/>
        </w:rPr>
        <w:t xml:space="preserve"> </w:t>
      </w:r>
      <w:r>
        <w:rPr>
          <w:sz w:val="20"/>
          <w:szCs w:val="20"/>
          <w:rtl/>
        </w:rPr>
        <w:t>–</w:t>
      </w:r>
      <w:r>
        <w:rPr>
          <w:rFonts w:hint="cs"/>
          <w:sz w:val="20"/>
          <w:szCs w:val="20"/>
          <w:rtl/>
        </w:rPr>
        <w:t xml:space="preserve"> אם אירע ל"ט של כתם סמוך לווסתה, מותרת לטבול ולשמש.</w:t>
      </w:r>
      <w:r>
        <w:rPr>
          <w:sz w:val="20"/>
          <w:szCs w:val="20"/>
          <w:rtl/>
        </w:rPr>
        <w:br/>
      </w:r>
      <w:r>
        <w:rPr>
          <w:rFonts w:hint="cs"/>
          <w:sz w:val="20"/>
          <w:szCs w:val="20"/>
          <w:rtl/>
        </w:rPr>
        <w:t xml:space="preserve">ב. </w:t>
      </w:r>
      <w:r w:rsidRPr="001E0D6A">
        <w:rPr>
          <w:rFonts w:hint="cs"/>
          <w:b/>
          <w:bCs/>
          <w:sz w:val="20"/>
          <w:szCs w:val="20"/>
          <w:rtl/>
        </w:rPr>
        <w:t>חוות דעת וסדרי טהרה</w:t>
      </w:r>
      <w:r>
        <w:rPr>
          <w:rFonts w:hint="cs"/>
          <w:sz w:val="20"/>
          <w:szCs w:val="20"/>
          <w:rtl/>
        </w:rPr>
        <w:t xml:space="preserve"> </w:t>
      </w:r>
      <w:r>
        <w:rPr>
          <w:sz w:val="20"/>
          <w:szCs w:val="20"/>
          <w:rtl/>
        </w:rPr>
        <w:t>–</w:t>
      </w:r>
      <w:r>
        <w:rPr>
          <w:rFonts w:hint="cs"/>
          <w:sz w:val="20"/>
          <w:szCs w:val="20"/>
          <w:rtl/>
        </w:rPr>
        <w:t xml:space="preserve"> אין להתיר טבילה ותשמיש בעונת ווסתה.</w:t>
      </w:r>
      <w:r>
        <w:rPr>
          <w:sz w:val="20"/>
          <w:szCs w:val="20"/>
          <w:rtl/>
        </w:rPr>
        <w:br/>
      </w:r>
      <w:r w:rsidRPr="001E0D6A">
        <w:rPr>
          <w:rFonts w:hint="cs"/>
          <w:b/>
          <w:bCs/>
          <w:sz w:val="20"/>
          <w:szCs w:val="20"/>
          <w:rtl/>
        </w:rPr>
        <w:t>גבעת שאול</w:t>
      </w:r>
      <w:r>
        <w:rPr>
          <w:rFonts w:hint="cs"/>
          <w:sz w:val="20"/>
          <w:szCs w:val="20"/>
          <w:rtl/>
        </w:rPr>
        <w:t xml:space="preserve"> </w:t>
      </w:r>
      <w:r>
        <w:rPr>
          <w:sz w:val="20"/>
          <w:szCs w:val="20"/>
          <w:rtl/>
        </w:rPr>
        <w:t>–</w:t>
      </w:r>
      <w:r>
        <w:rPr>
          <w:rFonts w:hint="cs"/>
          <w:sz w:val="20"/>
          <w:szCs w:val="20"/>
          <w:rtl/>
        </w:rPr>
        <w:t xml:space="preserve"> אפילו אם אין מדובר על טבילה לכתם, אלא טבילה לראייה אסור. </w:t>
      </w:r>
      <w:r w:rsidRPr="001E0D6A">
        <w:rPr>
          <w:rFonts w:hint="cs"/>
          <w:sz w:val="18"/>
          <w:szCs w:val="18"/>
          <w:rtl/>
        </w:rPr>
        <w:t>[כגון שרגילה לראות מל' לל' יום ואירע לה שראתה ליח' יום, ובכה"ג ל"ט חל בל' לראייתה הראשונה, שלכאורה היה מקום רב יותר להתיר, משום שכבר ראתה ולא תראה עוד ביום ל', ואפ"ה ס"ל לאסור, כ</w:t>
      </w:r>
      <w:r>
        <w:rPr>
          <w:rFonts w:hint="cs"/>
          <w:sz w:val="18"/>
          <w:szCs w:val="18"/>
          <w:rtl/>
        </w:rPr>
        <w:t>ל שכן</w:t>
      </w:r>
      <w:r w:rsidRPr="001E0D6A">
        <w:rPr>
          <w:rFonts w:hint="cs"/>
          <w:sz w:val="18"/>
          <w:szCs w:val="18"/>
          <w:rtl/>
        </w:rPr>
        <w:t xml:space="preserve"> בטבילה לכתם].</w:t>
      </w:r>
      <w:r w:rsidRPr="008C1D66">
        <w:rPr>
          <w:rStyle w:val="a5"/>
          <w:sz w:val="18"/>
          <w:szCs w:val="18"/>
          <w:rtl/>
        </w:rPr>
        <w:footnoteReference w:id="54"/>
      </w:r>
      <w:r w:rsidRPr="008C1D66">
        <w:rPr>
          <w:rFonts w:hint="cs"/>
          <w:sz w:val="18"/>
          <w:szCs w:val="18"/>
          <w:rtl/>
        </w:rPr>
        <w:t xml:space="preserve"> </w:t>
      </w:r>
      <w:r>
        <w:rPr>
          <w:sz w:val="20"/>
          <w:szCs w:val="20"/>
          <w:u w:val="single"/>
          <w:rtl/>
        </w:rPr>
        <w:br/>
      </w:r>
      <w:r>
        <w:rPr>
          <w:rFonts w:hint="cs"/>
          <w:b/>
          <w:bCs/>
          <w:sz w:val="20"/>
          <w:szCs w:val="20"/>
          <w:rtl/>
        </w:rPr>
        <w:t xml:space="preserve">נודע ביהודה </w:t>
      </w:r>
      <w:r>
        <w:rPr>
          <w:sz w:val="20"/>
          <w:szCs w:val="20"/>
          <w:rtl/>
        </w:rPr>
        <w:t>–</w:t>
      </w:r>
      <w:r>
        <w:rPr>
          <w:rFonts w:hint="cs"/>
          <w:sz w:val="20"/>
          <w:szCs w:val="20"/>
          <w:rtl/>
        </w:rPr>
        <w:t xml:space="preserve"> אפילו בכלה שאירע ל"ט בעונת ווסתה, אין להקל ולהתיר לה לטבול.</w:t>
      </w:r>
      <w:r>
        <w:rPr>
          <w:sz w:val="20"/>
          <w:szCs w:val="20"/>
          <w:rtl/>
        </w:rPr>
        <w:br/>
      </w:r>
      <w:r>
        <w:rPr>
          <w:rFonts w:hint="cs"/>
          <w:sz w:val="20"/>
          <w:szCs w:val="20"/>
          <w:rtl/>
        </w:rPr>
        <w:t xml:space="preserve">ג. </w:t>
      </w:r>
      <w:r w:rsidRPr="00276C36">
        <w:rPr>
          <w:rFonts w:hint="cs"/>
          <w:b/>
          <w:bCs/>
          <w:sz w:val="20"/>
          <w:szCs w:val="20"/>
          <w:rtl/>
        </w:rPr>
        <w:t xml:space="preserve">שו"ת אבן שוהם </w:t>
      </w:r>
      <w:r>
        <w:rPr>
          <w:sz w:val="20"/>
          <w:szCs w:val="20"/>
          <w:rtl/>
        </w:rPr>
        <w:t>–</w:t>
      </w:r>
      <w:r>
        <w:rPr>
          <w:rFonts w:hint="cs"/>
          <w:sz w:val="20"/>
          <w:szCs w:val="20"/>
          <w:rtl/>
        </w:rPr>
        <w:t xml:space="preserve"> בכל המקרים הנ"ל אסור לשמש, ומכל מקום מותר לטבול אפילו בליל שבת ולנהוג בכל שאר ענייני קרבה שאף הם מצווה.</w:t>
      </w:r>
    </w:p>
    <w:p w:rsidR="00620060"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7E1E3C">
        <w:rPr>
          <w:rFonts w:hint="cs"/>
          <w:b/>
          <w:bCs/>
          <w:sz w:val="20"/>
          <w:szCs w:val="20"/>
          <w:rtl/>
        </w:rPr>
        <w:t>גמרא</w:t>
      </w:r>
      <w:r>
        <w:rPr>
          <w:rFonts w:hint="cs"/>
          <w:sz w:val="20"/>
          <w:szCs w:val="20"/>
          <w:rtl/>
        </w:rPr>
        <w:t>. היוצא לדרך חייב לפקוד את אשתו אפילו בעונת ווסתה.</w:t>
      </w:r>
      <w:r>
        <w:rPr>
          <w:sz w:val="20"/>
          <w:szCs w:val="20"/>
          <w:rtl/>
        </w:rPr>
        <w:br/>
      </w:r>
      <w:r>
        <w:rPr>
          <w:rFonts w:hint="cs"/>
          <w:sz w:val="20"/>
          <w:szCs w:val="20"/>
          <w:rtl/>
        </w:rPr>
        <w:t xml:space="preserve">2. </w:t>
      </w:r>
      <w:r w:rsidRPr="003B25FE">
        <w:rPr>
          <w:rFonts w:hint="cs"/>
          <w:sz w:val="20"/>
          <w:szCs w:val="20"/>
          <w:rtl/>
        </w:rPr>
        <w:t xml:space="preserve">מהי פקידה? </w:t>
      </w:r>
      <w:r w:rsidRPr="003B25FE">
        <w:rPr>
          <w:rFonts w:hint="cs"/>
          <w:b/>
          <w:bCs/>
          <w:sz w:val="20"/>
          <w:szCs w:val="20"/>
          <w:rtl/>
        </w:rPr>
        <w:t>רש"י</w:t>
      </w:r>
      <w:r w:rsidRPr="003B25FE">
        <w:rPr>
          <w:rFonts w:hint="cs"/>
          <w:sz w:val="20"/>
          <w:szCs w:val="20"/>
          <w:rtl/>
        </w:rPr>
        <w:t xml:space="preserve">. תשמיש, וכ"פ </w:t>
      </w:r>
      <w:r w:rsidRPr="003B25FE">
        <w:rPr>
          <w:rFonts w:hint="cs"/>
          <w:b/>
          <w:bCs/>
          <w:sz w:val="20"/>
          <w:szCs w:val="20"/>
          <w:rtl/>
        </w:rPr>
        <w:t>המחבר והרמ"א</w:t>
      </w:r>
      <w:r w:rsidRPr="003B25FE">
        <w:rPr>
          <w:rFonts w:hint="cs"/>
          <w:sz w:val="20"/>
          <w:szCs w:val="20"/>
          <w:rtl/>
        </w:rPr>
        <w:t xml:space="preserve"> לעיקה"ד. </w:t>
      </w:r>
      <w:r w:rsidRPr="003B25FE">
        <w:rPr>
          <w:rFonts w:hint="cs"/>
          <w:b/>
          <w:bCs/>
          <w:sz w:val="20"/>
          <w:szCs w:val="20"/>
          <w:rtl/>
        </w:rPr>
        <w:t>ר"ת</w:t>
      </w:r>
      <w:r w:rsidRPr="003B25FE">
        <w:rPr>
          <w:rFonts w:hint="cs"/>
          <w:sz w:val="20"/>
          <w:szCs w:val="20"/>
          <w:rtl/>
        </w:rPr>
        <w:t xml:space="preserve">. דברי ריצוי, וכ"פ </w:t>
      </w:r>
      <w:r w:rsidRPr="003B25FE">
        <w:rPr>
          <w:rFonts w:hint="cs"/>
          <w:b/>
          <w:bCs/>
          <w:sz w:val="20"/>
          <w:szCs w:val="20"/>
          <w:rtl/>
        </w:rPr>
        <w:t>הרמ"א</w:t>
      </w:r>
      <w:r w:rsidRPr="003B25FE">
        <w:rPr>
          <w:rFonts w:hint="cs"/>
          <w:sz w:val="20"/>
          <w:szCs w:val="20"/>
          <w:rtl/>
        </w:rPr>
        <w:t xml:space="preserve"> לכתחילה.</w:t>
      </w:r>
      <w:r w:rsidRPr="003B25FE">
        <w:rPr>
          <w:sz w:val="20"/>
          <w:szCs w:val="20"/>
          <w:rtl/>
        </w:rPr>
        <w:br/>
      </w:r>
      <w:r w:rsidRPr="003B25FE">
        <w:rPr>
          <w:rFonts w:hint="cs"/>
          <w:sz w:val="20"/>
          <w:szCs w:val="20"/>
          <w:rtl/>
        </w:rPr>
        <w:t xml:space="preserve">3. </w:t>
      </w:r>
      <w:r w:rsidRPr="003B25FE">
        <w:rPr>
          <w:rFonts w:hint="cs"/>
          <w:b/>
          <w:bCs/>
          <w:sz w:val="20"/>
          <w:szCs w:val="20"/>
          <w:rtl/>
        </w:rPr>
        <w:t>יעב"ץ</w:t>
      </w:r>
      <w:r w:rsidRPr="003B25FE">
        <w:rPr>
          <w:rFonts w:hint="cs"/>
          <w:sz w:val="20"/>
          <w:szCs w:val="20"/>
          <w:rtl/>
        </w:rPr>
        <w:t>. שיעור הזמן לחייבו, הוא אם לא יספיק לחזור כדי לקיים עונתו הקבועה, או אינו יודע מתי יחזור.</w:t>
      </w:r>
      <w:r>
        <w:rPr>
          <w:rFonts w:hint="cs"/>
          <w:sz w:val="20"/>
          <w:szCs w:val="20"/>
          <w:rtl/>
        </w:rPr>
        <w:t xml:space="preserve"> </w:t>
      </w:r>
      <w:r w:rsidRPr="00B303C3">
        <w:rPr>
          <w:rFonts w:hint="cs"/>
          <w:b/>
          <w:bCs/>
          <w:sz w:val="20"/>
          <w:szCs w:val="20"/>
          <w:rtl/>
        </w:rPr>
        <w:t>תשובה מאהבה</w:t>
      </w:r>
      <w:r>
        <w:rPr>
          <w:rFonts w:hint="cs"/>
          <w:sz w:val="20"/>
          <w:szCs w:val="20"/>
          <w:rtl/>
        </w:rPr>
        <w:t>. דרך יב' מיל.</w:t>
      </w:r>
      <w:r w:rsidRPr="003B25FE">
        <w:rPr>
          <w:sz w:val="20"/>
          <w:szCs w:val="20"/>
          <w:rtl/>
        </w:rPr>
        <w:br/>
      </w:r>
      <w:r w:rsidRPr="003B25FE">
        <w:rPr>
          <w:rFonts w:hint="cs"/>
          <w:sz w:val="20"/>
          <w:szCs w:val="20"/>
          <w:rtl/>
        </w:rPr>
        <w:t xml:space="preserve">4. </w:t>
      </w:r>
      <w:r w:rsidRPr="003B25FE">
        <w:rPr>
          <w:rFonts w:hint="cs"/>
          <w:b/>
          <w:bCs/>
          <w:sz w:val="20"/>
          <w:szCs w:val="20"/>
          <w:rtl/>
        </w:rPr>
        <w:t>ש"ך</w:t>
      </w:r>
      <w:r w:rsidRPr="003B25FE">
        <w:rPr>
          <w:rFonts w:hint="cs"/>
          <w:sz w:val="20"/>
          <w:szCs w:val="20"/>
          <w:rtl/>
        </w:rPr>
        <w:t xml:space="preserve">. קשה על </w:t>
      </w:r>
      <w:r w:rsidRPr="003B25FE">
        <w:rPr>
          <w:rFonts w:hint="cs"/>
          <w:b/>
          <w:bCs/>
          <w:sz w:val="20"/>
          <w:szCs w:val="20"/>
          <w:rtl/>
        </w:rPr>
        <w:t>הרמ"א</w:t>
      </w:r>
      <w:r w:rsidRPr="003B25FE">
        <w:rPr>
          <w:rFonts w:hint="cs"/>
          <w:sz w:val="20"/>
          <w:szCs w:val="20"/>
          <w:rtl/>
        </w:rPr>
        <w:t xml:space="preserve"> שבאו"ח פסק להתיר תשמיש, אך העיקר כדבריו כאן להחמיר.</w:t>
      </w:r>
      <w:r w:rsidRPr="003B25FE">
        <w:rPr>
          <w:rFonts w:hint="cs"/>
          <w:sz w:val="20"/>
          <w:szCs w:val="20"/>
          <w:rtl/>
        </w:rPr>
        <w:br/>
        <w:t xml:space="preserve">5. </w:t>
      </w:r>
      <w:r w:rsidRPr="003B25FE">
        <w:rPr>
          <w:rFonts w:hint="cs"/>
          <w:b/>
          <w:bCs/>
          <w:sz w:val="20"/>
          <w:szCs w:val="20"/>
          <w:rtl/>
        </w:rPr>
        <w:t>ט"ז</w:t>
      </w:r>
      <w:r w:rsidRPr="003B25FE">
        <w:rPr>
          <w:rFonts w:hint="cs"/>
          <w:sz w:val="20"/>
          <w:szCs w:val="20"/>
          <w:rtl/>
        </w:rPr>
        <w:t xml:space="preserve">. אע"פ שגם אינו יוצא לדרך מותר בדברי ריצוי, יש לומר שכאן חייב. </w:t>
      </w:r>
      <w:r w:rsidRPr="003B25FE">
        <w:rPr>
          <w:rFonts w:hint="cs"/>
          <w:b/>
          <w:bCs/>
          <w:sz w:val="20"/>
          <w:szCs w:val="20"/>
          <w:rtl/>
        </w:rPr>
        <w:t>ש"ך</w:t>
      </w:r>
      <w:r w:rsidRPr="003B25FE">
        <w:rPr>
          <w:rFonts w:hint="cs"/>
          <w:sz w:val="20"/>
          <w:szCs w:val="20"/>
          <w:rtl/>
        </w:rPr>
        <w:t>. אף למחמיר לעיל, כאן מותר.</w:t>
      </w:r>
      <w:r w:rsidRPr="003B25FE">
        <w:rPr>
          <w:sz w:val="20"/>
          <w:szCs w:val="20"/>
          <w:rtl/>
        </w:rPr>
        <w:br/>
      </w:r>
      <w:r w:rsidRPr="003B25FE">
        <w:rPr>
          <w:rFonts w:hint="cs"/>
          <w:sz w:val="20"/>
          <w:szCs w:val="20"/>
          <w:rtl/>
        </w:rPr>
        <w:t xml:space="preserve">6. </w:t>
      </w:r>
      <w:r w:rsidRPr="003B25FE">
        <w:rPr>
          <w:rFonts w:hint="cs"/>
          <w:b/>
          <w:bCs/>
          <w:sz w:val="20"/>
          <w:szCs w:val="20"/>
          <w:rtl/>
        </w:rPr>
        <w:t>גמרא</w:t>
      </w:r>
      <w:r w:rsidRPr="003B25FE">
        <w:rPr>
          <w:rFonts w:hint="cs"/>
          <w:sz w:val="20"/>
          <w:szCs w:val="20"/>
          <w:rtl/>
        </w:rPr>
        <w:t xml:space="preserve">. ההולך לדבר מצווה פטור, וכ"פ </w:t>
      </w:r>
      <w:r w:rsidRPr="003B25FE">
        <w:rPr>
          <w:rFonts w:hint="cs"/>
          <w:b/>
          <w:bCs/>
          <w:sz w:val="20"/>
          <w:szCs w:val="20"/>
          <w:rtl/>
        </w:rPr>
        <w:t>הרמ"א</w:t>
      </w:r>
      <w:r w:rsidRPr="003B25FE">
        <w:rPr>
          <w:rFonts w:hint="cs"/>
          <w:sz w:val="20"/>
          <w:szCs w:val="20"/>
          <w:rtl/>
        </w:rPr>
        <w:t>.</w:t>
      </w:r>
      <w:r>
        <w:rPr>
          <w:rFonts w:hint="cs"/>
          <w:sz w:val="20"/>
          <w:szCs w:val="20"/>
          <w:rtl/>
        </w:rPr>
        <w:t xml:space="preserve"> </w:t>
      </w:r>
      <w:r w:rsidRPr="00B303C3">
        <w:rPr>
          <w:rFonts w:hint="cs"/>
          <w:b/>
          <w:bCs/>
          <w:sz w:val="20"/>
          <w:szCs w:val="20"/>
          <w:rtl/>
        </w:rPr>
        <w:t>טעם</w:t>
      </w:r>
      <w:r>
        <w:rPr>
          <w:rFonts w:hint="cs"/>
          <w:sz w:val="20"/>
          <w:szCs w:val="20"/>
          <w:rtl/>
        </w:rPr>
        <w:t>. טרוד במצווה, או שהתשמיש יטרידו מקיום המצווה.</w:t>
      </w:r>
      <w:r w:rsidRPr="003B25FE">
        <w:rPr>
          <w:sz w:val="20"/>
          <w:szCs w:val="20"/>
          <w:rtl/>
        </w:rPr>
        <w:br/>
      </w:r>
      <w:r w:rsidRPr="003B25FE">
        <w:rPr>
          <w:rFonts w:hint="cs"/>
          <w:sz w:val="20"/>
          <w:szCs w:val="20"/>
          <w:rtl/>
        </w:rPr>
        <w:t xml:space="preserve">7. </w:t>
      </w:r>
      <w:r w:rsidRPr="003B25FE">
        <w:rPr>
          <w:rFonts w:hint="cs"/>
          <w:b/>
          <w:bCs/>
          <w:sz w:val="20"/>
          <w:szCs w:val="20"/>
          <w:rtl/>
        </w:rPr>
        <w:t>נימו"י</w:t>
      </w:r>
      <w:r w:rsidRPr="003B25FE">
        <w:rPr>
          <w:rFonts w:hint="cs"/>
          <w:sz w:val="20"/>
          <w:szCs w:val="20"/>
          <w:rtl/>
        </w:rPr>
        <w:t xml:space="preserve">. היוצא לדרך ואשתו עתידה לטבול תוך עונה אחת ימתין, וכך הוא פירוש הגמרא הנ"ל, וכ"פ </w:t>
      </w:r>
      <w:r w:rsidRPr="003B25FE">
        <w:rPr>
          <w:rFonts w:hint="cs"/>
          <w:b/>
          <w:bCs/>
          <w:sz w:val="20"/>
          <w:szCs w:val="20"/>
          <w:rtl/>
        </w:rPr>
        <w:t>הרמ"א</w:t>
      </w:r>
      <w:r w:rsidRPr="003B25FE">
        <w:rPr>
          <w:rFonts w:hint="cs"/>
          <w:sz w:val="20"/>
          <w:szCs w:val="20"/>
          <w:rtl/>
        </w:rPr>
        <w:t>.</w:t>
      </w:r>
      <w:r w:rsidRPr="003B25FE">
        <w:rPr>
          <w:rFonts w:hint="cs"/>
          <w:sz w:val="20"/>
          <w:szCs w:val="20"/>
          <w:rtl/>
        </w:rPr>
        <w:br/>
        <w:t xml:space="preserve">8. </w:t>
      </w:r>
      <w:r w:rsidRPr="003B25FE">
        <w:rPr>
          <w:rFonts w:hint="cs"/>
          <w:b/>
          <w:bCs/>
          <w:sz w:val="20"/>
          <w:szCs w:val="20"/>
          <w:rtl/>
        </w:rPr>
        <w:t>ש"ך</w:t>
      </w:r>
      <w:r w:rsidRPr="003B25FE">
        <w:rPr>
          <w:rFonts w:hint="cs"/>
          <w:sz w:val="20"/>
          <w:szCs w:val="20"/>
          <w:rtl/>
        </w:rPr>
        <w:t xml:space="preserve">. היוצא לדבר מצווה אינו צריך להמתין, ואף היוצא לדבר רשות הנחוץ פטור מכך, </w:t>
      </w:r>
      <w:r w:rsidRPr="003B25FE">
        <w:rPr>
          <w:rFonts w:hint="cs"/>
          <w:b/>
          <w:bCs/>
          <w:sz w:val="20"/>
          <w:szCs w:val="20"/>
          <w:rtl/>
        </w:rPr>
        <w:t>הנימו"י</w:t>
      </w:r>
      <w:r w:rsidRPr="003B25FE">
        <w:rPr>
          <w:rFonts w:hint="cs"/>
          <w:sz w:val="20"/>
          <w:szCs w:val="20"/>
          <w:rtl/>
        </w:rPr>
        <w:t xml:space="preserve"> יחיד.</w:t>
      </w:r>
      <w:r w:rsidRPr="003B25FE">
        <w:rPr>
          <w:rFonts w:hint="cs"/>
          <w:sz w:val="20"/>
          <w:szCs w:val="20"/>
          <w:rtl/>
        </w:rPr>
        <w:br/>
      </w:r>
      <w:r>
        <w:rPr>
          <w:rFonts w:hint="cs"/>
          <w:sz w:val="20"/>
          <w:szCs w:val="20"/>
          <w:rtl/>
        </w:rPr>
        <w:t xml:space="preserve">10. </w:t>
      </w:r>
      <w:r w:rsidRPr="00276C36">
        <w:rPr>
          <w:rFonts w:hint="cs"/>
          <w:b/>
          <w:bCs/>
          <w:sz w:val="20"/>
          <w:szCs w:val="20"/>
          <w:rtl/>
        </w:rPr>
        <w:t>פת"ש</w:t>
      </w:r>
      <w:r>
        <w:rPr>
          <w:rFonts w:hint="cs"/>
          <w:sz w:val="20"/>
          <w:szCs w:val="20"/>
          <w:rtl/>
        </w:rPr>
        <w:t xml:space="preserve">. אירע ל"ט סמוך לווסתה, האם מותרת לטבול ולשמש? </w:t>
      </w:r>
      <w:r w:rsidRPr="00BB7A03">
        <w:rPr>
          <w:rFonts w:hint="cs"/>
          <w:b/>
          <w:bCs/>
          <w:sz w:val="20"/>
          <w:szCs w:val="20"/>
          <w:rtl/>
        </w:rPr>
        <w:t>כנס"י</w:t>
      </w:r>
      <w:r>
        <w:rPr>
          <w:rFonts w:hint="cs"/>
          <w:sz w:val="20"/>
          <w:szCs w:val="20"/>
          <w:rtl/>
        </w:rPr>
        <w:t xml:space="preserve">. בל"ט כתם מותר. </w:t>
      </w:r>
      <w:r w:rsidRPr="00BB7A03">
        <w:rPr>
          <w:rFonts w:hint="cs"/>
          <w:b/>
          <w:bCs/>
          <w:sz w:val="20"/>
          <w:szCs w:val="20"/>
          <w:rtl/>
        </w:rPr>
        <w:t>חוו"ד</w:t>
      </w:r>
      <w:r>
        <w:rPr>
          <w:rFonts w:hint="cs"/>
          <w:sz w:val="20"/>
          <w:szCs w:val="20"/>
          <w:rtl/>
        </w:rPr>
        <w:t xml:space="preserve">. אסור. </w:t>
      </w:r>
      <w:r>
        <w:rPr>
          <w:sz w:val="20"/>
          <w:szCs w:val="20"/>
          <w:rtl/>
        </w:rPr>
        <w:br/>
      </w:r>
      <w:r w:rsidRPr="00276C36">
        <w:rPr>
          <w:rFonts w:hint="cs"/>
          <w:b/>
          <w:bCs/>
          <w:sz w:val="20"/>
          <w:szCs w:val="20"/>
          <w:rtl/>
        </w:rPr>
        <w:t>אבן שוהם</w:t>
      </w:r>
      <w:r>
        <w:rPr>
          <w:rFonts w:hint="cs"/>
          <w:sz w:val="20"/>
          <w:szCs w:val="20"/>
          <w:rtl/>
        </w:rPr>
        <w:t xml:space="preserve">. מותר לטבול ולנהוג שאר ענייני קרבה, אך אסור לשמש. </w:t>
      </w:r>
      <w:r w:rsidRPr="0010386F">
        <w:rPr>
          <w:rFonts w:hint="cs"/>
          <w:sz w:val="18"/>
          <w:szCs w:val="18"/>
          <w:rtl/>
        </w:rPr>
        <w:t>(</w:t>
      </w:r>
      <w:r w:rsidRPr="0010386F">
        <w:rPr>
          <w:rFonts w:hint="cs"/>
          <w:b/>
          <w:bCs/>
          <w:sz w:val="18"/>
          <w:szCs w:val="18"/>
          <w:rtl/>
        </w:rPr>
        <w:t>חת"ס</w:t>
      </w:r>
      <w:r w:rsidRPr="0010386F">
        <w:rPr>
          <w:rFonts w:hint="cs"/>
          <w:sz w:val="18"/>
          <w:szCs w:val="18"/>
          <w:rtl/>
        </w:rPr>
        <w:t>. אף ל"ט ויוצא לדרך אסור לשמש)</w:t>
      </w:r>
      <w:r>
        <w:rPr>
          <w:rFonts w:hint="cs"/>
          <w:sz w:val="20"/>
          <w:szCs w:val="20"/>
          <w:rtl/>
        </w:rPr>
        <w:t>.</w:t>
      </w:r>
    </w:p>
    <w:p w:rsidR="00620060" w:rsidRDefault="00620060" w:rsidP="00620060">
      <w:pPr>
        <w:rPr>
          <w:sz w:val="20"/>
          <w:szCs w:val="20"/>
          <w:rtl/>
        </w:rPr>
      </w:pPr>
      <w:r>
        <w:rPr>
          <w:rFonts w:hint="cs"/>
          <w:b/>
          <w:bCs/>
          <w:sz w:val="20"/>
          <w:szCs w:val="20"/>
          <w:rtl/>
        </w:rPr>
        <w:t>הוספות</w:t>
      </w:r>
      <w:r>
        <w:rPr>
          <w:b/>
          <w:bCs/>
          <w:sz w:val="20"/>
          <w:szCs w:val="20"/>
          <w:rtl/>
        </w:rPr>
        <w:br/>
      </w:r>
      <w:r>
        <w:rPr>
          <w:rFonts w:hint="cs"/>
          <w:sz w:val="20"/>
          <w:szCs w:val="20"/>
          <w:u w:val="single"/>
          <w:rtl/>
        </w:rPr>
        <w:t>תשמיש לבעל שחוזר מהדרך (שבט הלוי)</w:t>
      </w:r>
      <w:r>
        <w:rPr>
          <w:sz w:val="20"/>
          <w:szCs w:val="20"/>
          <w:u w:val="single"/>
          <w:rtl/>
        </w:rPr>
        <w:br/>
      </w:r>
      <w:r w:rsidRPr="00DD6164">
        <w:rPr>
          <w:rFonts w:hint="cs"/>
          <w:b/>
          <w:bCs/>
          <w:sz w:val="20"/>
          <w:szCs w:val="20"/>
          <w:rtl/>
        </w:rPr>
        <w:t>שבט הלוי</w:t>
      </w:r>
      <w:r>
        <w:rPr>
          <w:rFonts w:hint="cs"/>
          <w:sz w:val="20"/>
          <w:szCs w:val="20"/>
          <w:rtl/>
        </w:rPr>
        <w:t xml:space="preserve"> </w:t>
      </w:r>
      <w:r>
        <w:rPr>
          <w:sz w:val="20"/>
          <w:szCs w:val="20"/>
          <w:rtl/>
        </w:rPr>
        <w:t>–</w:t>
      </w:r>
      <w:r>
        <w:rPr>
          <w:rFonts w:hint="cs"/>
          <w:sz w:val="20"/>
          <w:szCs w:val="20"/>
          <w:rtl/>
        </w:rPr>
        <w:t xml:space="preserve"> מוכח בכמה מקומות בש"ס שגם בבא מן הדרך יש השתוקקות של האשה לבעלה, ויש לעיין האם </w:t>
      </w:r>
      <w:r>
        <w:rPr>
          <w:rFonts w:hint="cs"/>
          <w:sz w:val="20"/>
          <w:szCs w:val="20"/>
          <w:rtl/>
        </w:rPr>
        <w:lastRenderedPageBreak/>
        <w:t>גם בכה"ג התירו לו לשמש עמה סמוך לווסתה?</w:t>
      </w:r>
      <w:r>
        <w:rPr>
          <w:rFonts w:hint="cs"/>
          <w:sz w:val="20"/>
          <w:szCs w:val="20"/>
          <w:rtl/>
        </w:rPr>
        <w:br/>
        <w:t xml:space="preserve">א. </w:t>
      </w:r>
      <w:r w:rsidRPr="00617807">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מסופק בדבר ולא הכריע.</w:t>
      </w:r>
      <w:r>
        <w:rPr>
          <w:sz w:val="20"/>
          <w:szCs w:val="20"/>
          <w:rtl/>
        </w:rPr>
        <w:br/>
      </w:r>
      <w:r>
        <w:rPr>
          <w:rFonts w:hint="cs"/>
          <w:sz w:val="20"/>
          <w:szCs w:val="20"/>
          <w:rtl/>
        </w:rPr>
        <w:t xml:space="preserve">ב. </w:t>
      </w:r>
      <w:r w:rsidRPr="00617807">
        <w:rPr>
          <w:rFonts w:hint="cs"/>
          <w:b/>
          <w:bCs/>
          <w:sz w:val="20"/>
          <w:szCs w:val="20"/>
          <w:rtl/>
        </w:rPr>
        <w:t>חוות יאיר</w:t>
      </w:r>
      <w:r>
        <w:rPr>
          <w:rFonts w:hint="cs"/>
          <w:sz w:val="20"/>
          <w:szCs w:val="20"/>
          <w:rtl/>
        </w:rPr>
        <w:t xml:space="preserve"> </w:t>
      </w:r>
      <w:r>
        <w:rPr>
          <w:sz w:val="20"/>
          <w:szCs w:val="20"/>
          <w:rtl/>
        </w:rPr>
        <w:t>–</w:t>
      </w:r>
      <w:r>
        <w:rPr>
          <w:rFonts w:hint="cs"/>
          <w:sz w:val="20"/>
          <w:szCs w:val="20"/>
          <w:rtl/>
        </w:rPr>
        <w:t xml:space="preserve"> גם בבא מן הדרך מותר לשמש עם אשתו סמוך לווסתה.</w:t>
      </w:r>
      <w:r>
        <w:rPr>
          <w:sz w:val="20"/>
          <w:szCs w:val="20"/>
          <w:rtl/>
        </w:rPr>
        <w:br/>
      </w:r>
      <w:r>
        <w:rPr>
          <w:rFonts w:hint="cs"/>
          <w:sz w:val="20"/>
          <w:szCs w:val="20"/>
          <w:rtl/>
        </w:rPr>
        <w:t xml:space="preserve">ג. </w:t>
      </w:r>
      <w:r w:rsidRPr="00617807">
        <w:rPr>
          <w:rFonts w:hint="cs"/>
          <w:b/>
          <w:bCs/>
          <w:sz w:val="20"/>
          <w:szCs w:val="20"/>
          <w:rtl/>
        </w:rPr>
        <w:t>רא"ה</w:t>
      </w:r>
      <w:r>
        <w:rPr>
          <w:rFonts w:hint="cs"/>
          <w:sz w:val="20"/>
          <w:szCs w:val="20"/>
          <w:rtl/>
        </w:rPr>
        <w:t xml:space="preserve"> </w:t>
      </w:r>
      <w:r>
        <w:rPr>
          <w:sz w:val="20"/>
          <w:szCs w:val="20"/>
          <w:rtl/>
        </w:rPr>
        <w:t>–</w:t>
      </w:r>
      <w:r>
        <w:rPr>
          <w:rFonts w:hint="cs"/>
          <w:sz w:val="20"/>
          <w:szCs w:val="20"/>
          <w:rtl/>
        </w:rPr>
        <w:t xml:space="preserve"> ההיתר נאמר דווקא ביוצא לדרך, אך בא מהדרך אסור, ועיין הערה.</w:t>
      </w:r>
      <w:r>
        <w:rPr>
          <w:rStyle w:val="a5"/>
          <w:sz w:val="20"/>
          <w:szCs w:val="20"/>
          <w:rtl/>
        </w:rPr>
        <w:footnoteReference w:id="55"/>
      </w:r>
    </w:p>
    <w:p w:rsidR="00620060" w:rsidRDefault="00620060" w:rsidP="00620060">
      <w:pPr>
        <w:rPr>
          <w:sz w:val="20"/>
          <w:szCs w:val="20"/>
          <w:rtl/>
        </w:rPr>
      </w:pPr>
      <w:r>
        <w:rPr>
          <w:rFonts w:hint="cs"/>
          <w:sz w:val="20"/>
          <w:szCs w:val="20"/>
          <w:u w:val="single"/>
          <w:rtl/>
        </w:rPr>
        <w:t>תשמיש כשהאישה יוצאת לדרך (שבט הלוי)</w:t>
      </w:r>
      <w:r>
        <w:rPr>
          <w:sz w:val="20"/>
          <w:szCs w:val="20"/>
          <w:u w:val="single"/>
          <w:rtl/>
        </w:rPr>
        <w:br/>
      </w:r>
      <w:r>
        <w:rPr>
          <w:rFonts w:hint="cs"/>
          <w:sz w:val="20"/>
          <w:szCs w:val="20"/>
          <w:rtl/>
        </w:rPr>
        <w:t>נראה שאם האשה יוצאת לדרך יש בזה גם כן מצוות עונה קצת, ומכל מקום בשעת צורך גדול יש להקל לפטרו.</w:t>
      </w:r>
      <w:r>
        <w:rPr>
          <w:sz w:val="20"/>
          <w:szCs w:val="20"/>
          <w:rtl/>
        </w:rPr>
        <w:br/>
      </w:r>
      <w:r>
        <w:rPr>
          <w:rFonts w:hint="cs"/>
          <w:sz w:val="20"/>
          <w:szCs w:val="20"/>
          <w:rtl/>
        </w:rPr>
        <w:t>ברם, לעניין תשמיש סמוך לווסת נראה שאין להקל, כיוון שלא הוזכר חיוב על כך בגמרא.</w:t>
      </w:r>
    </w:p>
    <w:p w:rsidR="00620060" w:rsidRDefault="00620060" w:rsidP="00620060">
      <w:pPr>
        <w:rPr>
          <w:sz w:val="20"/>
          <w:szCs w:val="20"/>
          <w:rtl/>
        </w:rPr>
      </w:pPr>
      <w:r>
        <w:rPr>
          <w:sz w:val="20"/>
          <w:szCs w:val="20"/>
          <w:rtl/>
        </w:rPr>
        <w:br/>
      </w:r>
      <w:r>
        <w:rPr>
          <w:rFonts w:hint="cs"/>
          <w:b/>
          <w:bCs/>
          <w:sz w:val="20"/>
          <w:szCs w:val="20"/>
          <w:rtl/>
        </w:rPr>
        <w:t xml:space="preserve">סעיף יא </w:t>
      </w:r>
      <w:r>
        <w:rPr>
          <w:b/>
          <w:bCs/>
          <w:sz w:val="20"/>
          <w:szCs w:val="20"/>
          <w:rtl/>
        </w:rPr>
        <w:t>–</w:t>
      </w:r>
      <w:r>
        <w:rPr>
          <w:rFonts w:hint="cs"/>
          <w:b/>
          <w:bCs/>
          <w:sz w:val="20"/>
          <w:szCs w:val="20"/>
          <w:rtl/>
        </w:rPr>
        <w:t xml:space="preserve"> דין אשה שאין ידוע אם היא טהורה</w:t>
      </w:r>
      <w:r>
        <w:rPr>
          <w:rFonts w:hint="cs"/>
          <w:b/>
          <w:bCs/>
          <w:sz w:val="20"/>
          <w:szCs w:val="20"/>
          <w:rtl/>
        </w:rPr>
        <w:br/>
        <w:t>מקורות הדין</w:t>
      </w:r>
      <w:r>
        <w:rPr>
          <w:b/>
          <w:bCs/>
          <w:sz w:val="20"/>
          <w:szCs w:val="20"/>
          <w:rtl/>
        </w:rPr>
        <w:br/>
      </w:r>
      <w:r>
        <w:rPr>
          <w:rFonts w:cs="Arial" w:hint="cs"/>
          <w:sz w:val="20"/>
          <w:szCs w:val="20"/>
          <w:rtl/>
        </w:rPr>
        <w:t xml:space="preserve">א. </w:t>
      </w:r>
      <w:r w:rsidRPr="000F1254">
        <w:rPr>
          <w:rFonts w:cs="Arial" w:hint="cs"/>
          <w:b/>
          <w:bCs/>
          <w:sz w:val="20"/>
          <w:szCs w:val="20"/>
          <w:rtl/>
        </w:rPr>
        <w:t>משנה</w:t>
      </w:r>
      <w:r>
        <w:rPr>
          <w:rFonts w:cs="Arial" w:hint="cs"/>
          <w:sz w:val="20"/>
          <w:szCs w:val="20"/>
          <w:rtl/>
        </w:rPr>
        <w:t xml:space="preserve"> נידה (טו.) "</w:t>
      </w:r>
      <w:r w:rsidRPr="000F1254">
        <w:rPr>
          <w:rFonts w:cs="Arial" w:hint="cs"/>
          <w:sz w:val="20"/>
          <w:szCs w:val="20"/>
          <w:rtl/>
        </w:rPr>
        <w:t>כל</w:t>
      </w:r>
      <w:r w:rsidRPr="000F1254">
        <w:rPr>
          <w:rFonts w:cs="Arial"/>
          <w:sz w:val="20"/>
          <w:szCs w:val="20"/>
          <w:rtl/>
        </w:rPr>
        <w:t xml:space="preserve"> </w:t>
      </w:r>
      <w:r w:rsidRPr="000F1254">
        <w:rPr>
          <w:rFonts w:cs="Arial" w:hint="cs"/>
          <w:sz w:val="20"/>
          <w:szCs w:val="20"/>
          <w:rtl/>
        </w:rPr>
        <w:t>הנשים</w:t>
      </w:r>
      <w:r w:rsidRPr="000F1254">
        <w:rPr>
          <w:rFonts w:cs="Arial"/>
          <w:sz w:val="20"/>
          <w:szCs w:val="20"/>
          <w:rtl/>
        </w:rPr>
        <w:t xml:space="preserve"> </w:t>
      </w:r>
      <w:r w:rsidRPr="000F1254">
        <w:rPr>
          <w:rFonts w:cs="Arial" w:hint="cs"/>
          <w:sz w:val="20"/>
          <w:szCs w:val="20"/>
          <w:rtl/>
        </w:rPr>
        <w:t>בחזקת</w:t>
      </w:r>
      <w:r w:rsidRPr="000F1254">
        <w:rPr>
          <w:rFonts w:cs="Arial"/>
          <w:sz w:val="20"/>
          <w:szCs w:val="20"/>
          <w:rtl/>
        </w:rPr>
        <w:t xml:space="preserve"> </w:t>
      </w:r>
      <w:r w:rsidRPr="000F1254">
        <w:rPr>
          <w:rFonts w:cs="Arial" w:hint="cs"/>
          <w:sz w:val="20"/>
          <w:szCs w:val="20"/>
          <w:rtl/>
        </w:rPr>
        <w:t>טהרה</w:t>
      </w:r>
      <w:r w:rsidRPr="000F1254">
        <w:rPr>
          <w:rFonts w:cs="Arial"/>
          <w:sz w:val="20"/>
          <w:szCs w:val="20"/>
          <w:rtl/>
        </w:rPr>
        <w:t xml:space="preserve"> </w:t>
      </w:r>
      <w:r w:rsidRPr="000F1254">
        <w:rPr>
          <w:rFonts w:cs="Arial" w:hint="cs"/>
          <w:sz w:val="20"/>
          <w:szCs w:val="20"/>
          <w:rtl/>
        </w:rPr>
        <w:t>לבעליהן</w:t>
      </w:r>
      <w:r w:rsidRPr="000F1254">
        <w:rPr>
          <w:rFonts w:cs="Arial"/>
          <w:sz w:val="20"/>
          <w:szCs w:val="20"/>
          <w:rtl/>
        </w:rPr>
        <w:t xml:space="preserve">. </w:t>
      </w:r>
      <w:r w:rsidRPr="000F1254">
        <w:rPr>
          <w:rFonts w:cs="Arial" w:hint="cs"/>
          <w:sz w:val="20"/>
          <w:szCs w:val="20"/>
          <w:rtl/>
        </w:rPr>
        <w:t>הבאין</w:t>
      </w:r>
      <w:r w:rsidRPr="000F1254">
        <w:rPr>
          <w:rFonts w:cs="Arial"/>
          <w:sz w:val="20"/>
          <w:szCs w:val="20"/>
          <w:rtl/>
        </w:rPr>
        <w:t xml:space="preserve"> </w:t>
      </w:r>
      <w:r w:rsidRPr="000F1254">
        <w:rPr>
          <w:rFonts w:cs="Arial" w:hint="cs"/>
          <w:sz w:val="20"/>
          <w:szCs w:val="20"/>
          <w:rtl/>
        </w:rPr>
        <w:t>מן</w:t>
      </w:r>
      <w:r w:rsidRPr="000F1254">
        <w:rPr>
          <w:rFonts w:cs="Arial"/>
          <w:sz w:val="20"/>
          <w:szCs w:val="20"/>
          <w:rtl/>
        </w:rPr>
        <w:t xml:space="preserve"> </w:t>
      </w:r>
      <w:r w:rsidRPr="000F1254">
        <w:rPr>
          <w:rFonts w:cs="Arial" w:hint="cs"/>
          <w:sz w:val="20"/>
          <w:szCs w:val="20"/>
          <w:rtl/>
        </w:rPr>
        <w:t>הדרך</w:t>
      </w:r>
      <w:r w:rsidRPr="000F1254">
        <w:rPr>
          <w:rFonts w:cs="Arial"/>
          <w:sz w:val="20"/>
          <w:szCs w:val="20"/>
          <w:rtl/>
        </w:rPr>
        <w:t xml:space="preserve"> - </w:t>
      </w:r>
      <w:r w:rsidRPr="000F1254">
        <w:rPr>
          <w:rFonts w:cs="Arial" w:hint="cs"/>
          <w:sz w:val="20"/>
          <w:szCs w:val="20"/>
          <w:rtl/>
        </w:rPr>
        <w:t>נשיהן</w:t>
      </w:r>
      <w:r w:rsidRPr="000F1254">
        <w:rPr>
          <w:rFonts w:cs="Arial"/>
          <w:sz w:val="20"/>
          <w:szCs w:val="20"/>
          <w:rtl/>
        </w:rPr>
        <w:t xml:space="preserve"> </w:t>
      </w:r>
      <w:r w:rsidRPr="000F1254">
        <w:rPr>
          <w:rFonts w:cs="Arial" w:hint="cs"/>
          <w:sz w:val="20"/>
          <w:szCs w:val="20"/>
          <w:rtl/>
        </w:rPr>
        <w:t>להן</w:t>
      </w:r>
      <w:r w:rsidRPr="000F1254">
        <w:rPr>
          <w:rFonts w:cs="Arial"/>
          <w:sz w:val="20"/>
          <w:szCs w:val="20"/>
          <w:rtl/>
        </w:rPr>
        <w:t xml:space="preserve"> </w:t>
      </w:r>
      <w:r w:rsidRPr="000F1254">
        <w:rPr>
          <w:rFonts w:cs="Arial" w:hint="cs"/>
          <w:sz w:val="20"/>
          <w:szCs w:val="20"/>
          <w:rtl/>
        </w:rPr>
        <w:t>בחזקת</w:t>
      </w:r>
      <w:r w:rsidRPr="000F1254">
        <w:rPr>
          <w:rFonts w:cs="Arial"/>
          <w:sz w:val="20"/>
          <w:szCs w:val="20"/>
          <w:rtl/>
        </w:rPr>
        <w:t xml:space="preserve"> </w:t>
      </w:r>
      <w:r w:rsidRPr="000F1254">
        <w:rPr>
          <w:rFonts w:cs="Arial" w:hint="cs"/>
          <w:sz w:val="20"/>
          <w:szCs w:val="20"/>
          <w:rtl/>
        </w:rPr>
        <w:t>טהרה</w:t>
      </w:r>
      <w:r>
        <w:rPr>
          <w:rFonts w:cs="Arial" w:hint="cs"/>
          <w:sz w:val="20"/>
          <w:szCs w:val="20"/>
          <w:rtl/>
        </w:rPr>
        <w:t>"</w:t>
      </w:r>
      <w:r w:rsidRPr="000F1254">
        <w:rPr>
          <w:rFonts w:cs="Arial"/>
          <w:sz w:val="20"/>
          <w:szCs w:val="20"/>
          <w:rtl/>
        </w:rPr>
        <w:t xml:space="preserve">. </w:t>
      </w:r>
      <w:r>
        <w:rPr>
          <w:sz w:val="20"/>
          <w:szCs w:val="20"/>
          <w:rtl/>
        </w:rPr>
        <w:br/>
      </w:r>
      <w:r w:rsidRPr="000F1254">
        <w:rPr>
          <w:rFonts w:cs="Arial" w:hint="cs"/>
          <w:b/>
          <w:bCs/>
          <w:sz w:val="20"/>
          <w:szCs w:val="20"/>
          <w:rtl/>
        </w:rPr>
        <w:t>גמרא</w:t>
      </w:r>
      <w:r w:rsidRPr="000F1254">
        <w:rPr>
          <w:rFonts w:cs="Arial"/>
          <w:sz w:val="20"/>
          <w:szCs w:val="20"/>
          <w:rtl/>
        </w:rPr>
        <w:t xml:space="preserve"> </w:t>
      </w:r>
      <w:r>
        <w:rPr>
          <w:rFonts w:cs="Arial" w:hint="cs"/>
          <w:sz w:val="20"/>
          <w:szCs w:val="20"/>
          <w:rtl/>
        </w:rPr>
        <w:t>"</w:t>
      </w:r>
      <w:r w:rsidRPr="000F1254">
        <w:rPr>
          <w:rFonts w:cs="Arial" w:hint="cs"/>
          <w:sz w:val="20"/>
          <w:szCs w:val="20"/>
          <w:rtl/>
        </w:rPr>
        <w:t>למה</w:t>
      </w:r>
      <w:r w:rsidRPr="000F1254">
        <w:rPr>
          <w:rFonts w:cs="Arial"/>
          <w:sz w:val="20"/>
          <w:szCs w:val="20"/>
          <w:rtl/>
        </w:rPr>
        <w:t xml:space="preserve"> </w:t>
      </w:r>
      <w:r w:rsidRPr="000F1254">
        <w:rPr>
          <w:rFonts w:cs="Arial" w:hint="cs"/>
          <w:sz w:val="20"/>
          <w:szCs w:val="20"/>
          <w:rtl/>
        </w:rPr>
        <w:t>ליה</w:t>
      </w:r>
      <w:r w:rsidRPr="000F1254">
        <w:rPr>
          <w:rFonts w:cs="Arial"/>
          <w:sz w:val="20"/>
          <w:szCs w:val="20"/>
          <w:rtl/>
        </w:rPr>
        <w:t xml:space="preserve"> </w:t>
      </w:r>
      <w:r w:rsidRPr="000F1254">
        <w:rPr>
          <w:rFonts w:cs="Arial" w:hint="cs"/>
          <w:sz w:val="20"/>
          <w:szCs w:val="20"/>
          <w:rtl/>
        </w:rPr>
        <w:t>למתני</w:t>
      </w:r>
      <w:r w:rsidRPr="000F1254">
        <w:rPr>
          <w:rFonts w:cs="Arial"/>
          <w:sz w:val="20"/>
          <w:szCs w:val="20"/>
          <w:rtl/>
        </w:rPr>
        <w:t xml:space="preserve"> </w:t>
      </w:r>
      <w:r w:rsidRPr="000F1254">
        <w:rPr>
          <w:rFonts w:cs="Arial" w:hint="cs"/>
          <w:sz w:val="20"/>
          <w:szCs w:val="20"/>
          <w:rtl/>
        </w:rPr>
        <w:t>הבאין</w:t>
      </w:r>
      <w:r w:rsidRPr="000F1254">
        <w:rPr>
          <w:rFonts w:cs="Arial"/>
          <w:sz w:val="20"/>
          <w:szCs w:val="20"/>
          <w:rtl/>
        </w:rPr>
        <w:t xml:space="preserve"> </w:t>
      </w:r>
      <w:r w:rsidRPr="000F1254">
        <w:rPr>
          <w:rFonts w:cs="Arial" w:hint="cs"/>
          <w:sz w:val="20"/>
          <w:szCs w:val="20"/>
          <w:rtl/>
        </w:rPr>
        <w:t>מן</w:t>
      </w:r>
      <w:r w:rsidRPr="000F1254">
        <w:rPr>
          <w:rFonts w:cs="Arial"/>
          <w:sz w:val="20"/>
          <w:szCs w:val="20"/>
          <w:rtl/>
        </w:rPr>
        <w:t xml:space="preserve"> </w:t>
      </w:r>
      <w:r w:rsidRPr="000F1254">
        <w:rPr>
          <w:rFonts w:cs="Arial" w:hint="cs"/>
          <w:sz w:val="20"/>
          <w:szCs w:val="20"/>
          <w:rtl/>
        </w:rPr>
        <w:t>הדרך</w:t>
      </w:r>
      <w:r w:rsidRPr="000F1254">
        <w:rPr>
          <w:rFonts w:cs="Arial"/>
          <w:sz w:val="20"/>
          <w:szCs w:val="20"/>
          <w:rtl/>
        </w:rPr>
        <w:t xml:space="preserve">? </w:t>
      </w:r>
      <w:r w:rsidRPr="000F1254">
        <w:rPr>
          <w:rFonts w:cs="Arial" w:hint="cs"/>
          <w:sz w:val="20"/>
          <w:szCs w:val="20"/>
          <w:rtl/>
        </w:rPr>
        <w:t>ס</w:t>
      </w:r>
      <w:r>
        <w:rPr>
          <w:rFonts w:cs="Arial" w:hint="cs"/>
          <w:sz w:val="20"/>
          <w:szCs w:val="20"/>
          <w:rtl/>
        </w:rPr>
        <w:t>לקא דעתך אמינא</w:t>
      </w:r>
      <w:r w:rsidRPr="000F1254">
        <w:rPr>
          <w:rFonts w:cs="Arial"/>
          <w:sz w:val="20"/>
          <w:szCs w:val="20"/>
          <w:rtl/>
        </w:rPr>
        <w:t xml:space="preserve">: </w:t>
      </w:r>
      <w:r w:rsidRPr="000F1254">
        <w:rPr>
          <w:rFonts w:cs="Arial" w:hint="cs"/>
          <w:sz w:val="20"/>
          <w:szCs w:val="20"/>
          <w:rtl/>
        </w:rPr>
        <w:t>הני</w:t>
      </w:r>
      <w:r w:rsidRPr="000F1254">
        <w:rPr>
          <w:rFonts w:cs="Arial"/>
          <w:sz w:val="20"/>
          <w:szCs w:val="20"/>
          <w:rtl/>
        </w:rPr>
        <w:t xml:space="preserve"> </w:t>
      </w:r>
      <w:r w:rsidRPr="000F1254">
        <w:rPr>
          <w:rFonts w:cs="Arial" w:hint="cs"/>
          <w:sz w:val="20"/>
          <w:szCs w:val="20"/>
          <w:rtl/>
        </w:rPr>
        <w:t>מילי</w:t>
      </w:r>
      <w:r w:rsidRPr="000F1254">
        <w:rPr>
          <w:rFonts w:cs="Arial"/>
          <w:sz w:val="20"/>
          <w:szCs w:val="20"/>
          <w:rtl/>
        </w:rPr>
        <w:t xml:space="preserve"> - </w:t>
      </w:r>
      <w:r w:rsidRPr="000F1254">
        <w:rPr>
          <w:rFonts w:cs="Arial" w:hint="cs"/>
          <w:sz w:val="20"/>
          <w:szCs w:val="20"/>
          <w:rtl/>
        </w:rPr>
        <w:t>היכא</w:t>
      </w:r>
      <w:r w:rsidRPr="000F1254">
        <w:rPr>
          <w:rFonts w:cs="Arial"/>
          <w:sz w:val="20"/>
          <w:szCs w:val="20"/>
          <w:rtl/>
        </w:rPr>
        <w:t xml:space="preserve"> </w:t>
      </w:r>
      <w:r w:rsidRPr="000F1254">
        <w:rPr>
          <w:rFonts w:cs="Arial" w:hint="cs"/>
          <w:sz w:val="20"/>
          <w:szCs w:val="20"/>
          <w:rtl/>
        </w:rPr>
        <w:t>דאיתיה</w:t>
      </w:r>
      <w:r w:rsidRPr="000F1254">
        <w:rPr>
          <w:rFonts w:cs="Arial"/>
          <w:sz w:val="20"/>
          <w:szCs w:val="20"/>
          <w:rtl/>
        </w:rPr>
        <w:t xml:space="preserve"> </w:t>
      </w:r>
      <w:r w:rsidRPr="000F1254">
        <w:rPr>
          <w:rFonts w:cs="Arial" w:hint="cs"/>
          <w:sz w:val="20"/>
          <w:szCs w:val="20"/>
          <w:rtl/>
        </w:rPr>
        <w:t>במתא</w:t>
      </w:r>
      <w:r w:rsidRPr="000F1254">
        <w:rPr>
          <w:rFonts w:cs="Arial"/>
          <w:sz w:val="20"/>
          <w:szCs w:val="20"/>
          <w:rtl/>
        </w:rPr>
        <w:t xml:space="preserve">, </w:t>
      </w:r>
      <w:r w:rsidRPr="000F1254">
        <w:rPr>
          <w:rFonts w:cs="Arial" w:hint="cs"/>
          <w:sz w:val="20"/>
          <w:szCs w:val="20"/>
          <w:rtl/>
        </w:rPr>
        <w:t>דרמיא</w:t>
      </w:r>
      <w:r w:rsidRPr="000F1254">
        <w:rPr>
          <w:rFonts w:cs="Arial"/>
          <w:sz w:val="20"/>
          <w:szCs w:val="20"/>
          <w:rtl/>
        </w:rPr>
        <w:t xml:space="preserve"> </w:t>
      </w:r>
      <w:r w:rsidRPr="000F1254">
        <w:rPr>
          <w:rFonts w:cs="Arial" w:hint="cs"/>
          <w:sz w:val="20"/>
          <w:szCs w:val="20"/>
          <w:rtl/>
        </w:rPr>
        <w:t>אנפשה</w:t>
      </w:r>
      <w:r w:rsidRPr="000F1254">
        <w:rPr>
          <w:rFonts w:cs="Arial"/>
          <w:sz w:val="20"/>
          <w:szCs w:val="20"/>
          <w:rtl/>
        </w:rPr>
        <w:t xml:space="preserve"> </w:t>
      </w:r>
      <w:r w:rsidRPr="000F1254">
        <w:rPr>
          <w:rFonts w:cs="Arial" w:hint="cs"/>
          <w:sz w:val="20"/>
          <w:szCs w:val="20"/>
          <w:rtl/>
        </w:rPr>
        <w:t>ובדקה</w:t>
      </w:r>
      <w:r w:rsidRPr="000F1254">
        <w:rPr>
          <w:rFonts w:cs="Arial"/>
          <w:sz w:val="20"/>
          <w:szCs w:val="20"/>
          <w:rtl/>
        </w:rPr>
        <w:t xml:space="preserve">, </w:t>
      </w:r>
      <w:r w:rsidRPr="000F1254">
        <w:rPr>
          <w:rFonts w:cs="Arial" w:hint="cs"/>
          <w:sz w:val="20"/>
          <w:szCs w:val="20"/>
          <w:rtl/>
        </w:rPr>
        <w:t>אבל</w:t>
      </w:r>
      <w:r w:rsidRPr="000F1254">
        <w:rPr>
          <w:rFonts w:cs="Arial"/>
          <w:sz w:val="20"/>
          <w:szCs w:val="20"/>
          <w:rtl/>
        </w:rPr>
        <w:t xml:space="preserve"> </w:t>
      </w:r>
      <w:r w:rsidRPr="000F1254">
        <w:rPr>
          <w:rFonts w:cs="Arial" w:hint="cs"/>
          <w:sz w:val="20"/>
          <w:szCs w:val="20"/>
          <w:rtl/>
        </w:rPr>
        <w:t>היכא</w:t>
      </w:r>
      <w:r w:rsidRPr="000F1254">
        <w:rPr>
          <w:rFonts w:cs="Arial"/>
          <w:sz w:val="20"/>
          <w:szCs w:val="20"/>
          <w:rtl/>
        </w:rPr>
        <w:t xml:space="preserve"> </w:t>
      </w:r>
      <w:r w:rsidRPr="000F1254">
        <w:rPr>
          <w:rFonts w:cs="Arial" w:hint="cs"/>
          <w:sz w:val="20"/>
          <w:szCs w:val="20"/>
          <w:rtl/>
        </w:rPr>
        <w:t>דליתא</w:t>
      </w:r>
      <w:r w:rsidRPr="000F1254">
        <w:rPr>
          <w:rFonts w:cs="Arial"/>
          <w:sz w:val="20"/>
          <w:szCs w:val="20"/>
          <w:rtl/>
        </w:rPr>
        <w:t xml:space="preserve"> </w:t>
      </w:r>
      <w:r w:rsidRPr="000F1254">
        <w:rPr>
          <w:rFonts w:cs="Arial" w:hint="cs"/>
          <w:sz w:val="20"/>
          <w:szCs w:val="20"/>
          <w:rtl/>
        </w:rPr>
        <w:t>במתא</w:t>
      </w:r>
      <w:r w:rsidRPr="000F1254">
        <w:rPr>
          <w:rFonts w:cs="Arial"/>
          <w:sz w:val="20"/>
          <w:szCs w:val="20"/>
          <w:rtl/>
        </w:rPr>
        <w:t xml:space="preserve"> - </w:t>
      </w:r>
      <w:r w:rsidRPr="000F1254">
        <w:rPr>
          <w:rFonts w:cs="Arial" w:hint="cs"/>
          <w:sz w:val="20"/>
          <w:szCs w:val="20"/>
          <w:rtl/>
        </w:rPr>
        <w:t>דלא</w:t>
      </w:r>
      <w:r w:rsidRPr="000F1254">
        <w:rPr>
          <w:rFonts w:cs="Arial"/>
          <w:sz w:val="20"/>
          <w:szCs w:val="20"/>
          <w:rtl/>
        </w:rPr>
        <w:t xml:space="preserve"> </w:t>
      </w:r>
      <w:r w:rsidRPr="000F1254">
        <w:rPr>
          <w:rFonts w:cs="Arial" w:hint="cs"/>
          <w:sz w:val="20"/>
          <w:szCs w:val="20"/>
          <w:rtl/>
        </w:rPr>
        <w:t>רמיא</w:t>
      </w:r>
      <w:r w:rsidRPr="000F1254">
        <w:rPr>
          <w:rFonts w:cs="Arial"/>
          <w:sz w:val="20"/>
          <w:szCs w:val="20"/>
          <w:rtl/>
        </w:rPr>
        <w:t xml:space="preserve"> </w:t>
      </w:r>
      <w:r w:rsidRPr="000F1254">
        <w:rPr>
          <w:rFonts w:cs="Arial" w:hint="cs"/>
          <w:sz w:val="20"/>
          <w:szCs w:val="20"/>
          <w:rtl/>
        </w:rPr>
        <w:t>אנפשה</w:t>
      </w:r>
      <w:r w:rsidRPr="000F1254">
        <w:rPr>
          <w:rFonts w:cs="Arial"/>
          <w:sz w:val="20"/>
          <w:szCs w:val="20"/>
          <w:rtl/>
        </w:rPr>
        <w:t xml:space="preserve"> - </w:t>
      </w:r>
      <w:r w:rsidRPr="000F1254">
        <w:rPr>
          <w:rFonts w:cs="Arial" w:hint="cs"/>
          <w:sz w:val="20"/>
          <w:szCs w:val="20"/>
          <w:rtl/>
        </w:rPr>
        <w:t>לא</w:t>
      </w:r>
      <w:r w:rsidRPr="000F1254">
        <w:rPr>
          <w:rFonts w:cs="Arial"/>
          <w:sz w:val="20"/>
          <w:szCs w:val="20"/>
          <w:rtl/>
        </w:rPr>
        <w:t xml:space="preserve">, </w:t>
      </w:r>
      <w:r w:rsidRPr="000F1254">
        <w:rPr>
          <w:rFonts w:cs="Arial" w:hint="cs"/>
          <w:sz w:val="20"/>
          <w:szCs w:val="20"/>
          <w:rtl/>
        </w:rPr>
        <w:t>קא</w:t>
      </w:r>
      <w:r w:rsidRPr="000F1254">
        <w:rPr>
          <w:rFonts w:cs="Arial"/>
          <w:sz w:val="20"/>
          <w:szCs w:val="20"/>
          <w:rtl/>
        </w:rPr>
        <w:t xml:space="preserve"> </w:t>
      </w:r>
      <w:r w:rsidRPr="000F1254">
        <w:rPr>
          <w:rFonts w:cs="Arial" w:hint="cs"/>
          <w:sz w:val="20"/>
          <w:szCs w:val="20"/>
          <w:rtl/>
        </w:rPr>
        <w:t>משמע</w:t>
      </w:r>
      <w:r w:rsidRPr="000F1254">
        <w:rPr>
          <w:rFonts w:cs="Arial"/>
          <w:sz w:val="20"/>
          <w:szCs w:val="20"/>
          <w:rtl/>
        </w:rPr>
        <w:t xml:space="preserve"> </w:t>
      </w:r>
      <w:r w:rsidRPr="000F1254">
        <w:rPr>
          <w:rFonts w:cs="Arial" w:hint="cs"/>
          <w:sz w:val="20"/>
          <w:szCs w:val="20"/>
          <w:rtl/>
        </w:rPr>
        <w:t>לן</w:t>
      </w:r>
      <w:r>
        <w:rPr>
          <w:rFonts w:cs="Arial" w:hint="cs"/>
          <w:sz w:val="20"/>
          <w:szCs w:val="20"/>
          <w:rtl/>
        </w:rPr>
        <w:t xml:space="preserve"> </w:t>
      </w:r>
      <w:r w:rsidRPr="000F1254">
        <w:rPr>
          <w:rFonts w:cs="Arial" w:hint="cs"/>
          <w:sz w:val="18"/>
          <w:szCs w:val="18"/>
          <w:rtl/>
        </w:rPr>
        <w:t>(שאע"פ שאינה בודקת טהורה)</w:t>
      </w:r>
      <w:r w:rsidRPr="000F1254">
        <w:rPr>
          <w:rFonts w:cs="Arial"/>
          <w:sz w:val="20"/>
          <w:szCs w:val="20"/>
          <w:rtl/>
        </w:rPr>
        <w:t xml:space="preserve">. </w:t>
      </w:r>
      <w:r>
        <w:rPr>
          <w:rFonts w:cs="Arial"/>
          <w:sz w:val="20"/>
          <w:szCs w:val="20"/>
          <w:rtl/>
        </w:rPr>
        <w:br/>
      </w:r>
      <w:r w:rsidRPr="000F1254">
        <w:rPr>
          <w:rFonts w:cs="Arial" w:hint="cs"/>
          <w:sz w:val="20"/>
          <w:szCs w:val="20"/>
          <w:rtl/>
        </w:rPr>
        <w:t>אמר</w:t>
      </w:r>
      <w:r w:rsidRPr="000F1254">
        <w:rPr>
          <w:rFonts w:cs="Arial"/>
          <w:sz w:val="20"/>
          <w:szCs w:val="20"/>
          <w:rtl/>
        </w:rPr>
        <w:t xml:space="preserve"> </w:t>
      </w:r>
      <w:r w:rsidRPr="000F1254">
        <w:rPr>
          <w:rFonts w:cs="Arial" w:hint="cs"/>
          <w:sz w:val="20"/>
          <w:szCs w:val="20"/>
          <w:rtl/>
        </w:rPr>
        <w:t>ריש</w:t>
      </w:r>
      <w:r w:rsidRPr="000F1254">
        <w:rPr>
          <w:rFonts w:cs="Arial"/>
          <w:sz w:val="20"/>
          <w:szCs w:val="20"/>
          <w:rtl/>
        </w:rPr>
        <w:t xml:space="preserve"> </w:t>
      </w:r>
      <w:r w:rsidRPr="000F1254">
        <w:rPr>
          <w:rFonts w:cs="Arial" w:hint="cs"/>
          <w:sz w:val="20"/>
          <w:szCs w:val="20"/>
          <w:rtl/>
        </w:rPr>
        <w:t>לקיש</w:t>
      </w:r>
      <w:r w:rsidRPr="000F1254">
        <w:rPr>
          <w:rFonts w:cs="Arial"/>
          <w:sz w:val="20"/>
          <w:szCs w:val="20"/>
          <w:rtl/>
        </w:rPr>
        <w:t xml:space="preserve"> </w:t>
      </w:r>
      <w:r w:rsidRPr="000F1254">
        <w:rPr>
          <w:rFonts w:cs="Arial" w:hint="cs"/>
          <w:sz w:val="20"/>
          <w:szCs w:val="20"/>
          <w:rtl/>
        </w:rPr>
        <w:t>משום</w:t>
      </w:r>
      <w:r w:rsidRPr="000F1254">
        <w:rPr>
          <w:rFonts w:cs="Arial"/>
          <w:sz w:val="20"/>
          <w:szCs w:val="20"/>
          <w:rtl/>
        </w:rPr>
        <w:t xml:space="preserve"> </w:t>
      </w:r>
      <w:r w:rsidRPr="000F1254">
        <w:rPr>
          <w:rFonts w:cs="Arial" w:hint="cs"/>
          <w:sz w:val="20"/>
          <w:szCs w:val="20"/>
          <w:rtl/>
        </w:rPr>
        <w:t>רבי</w:t>
      </w:r>
      <w:r w:rsidRPr="000F1254">
        <w:rPr>
          <w:rFonts w:cs="Arial"/>
          <w:sz w:val="20"/>
          <w:szCs w:val="20"/>
          <w:rtl/>
        </w:rPr>
        <w:t xml:space="preserve"> </w:t>
      </w:r>
      <w:r w:rsidRPr="000F1254">
        <w:rPr>
          <w:rFonts w:cs="Arial" w:hint="cs"/>
          <w:sz w:val="20"/>
          <w:szCs w:val="20"/>
          <w:rtl/>
        </w:rPr>
        <w:t>יהודה</w:t>
      </w:r>
      <w:r w:rsidRPr="000F1254">
        <w:rPr>
          <w:rFonts w:cs="Arial"/>
          <w:sz w:val="20"/>
          <w:szCs w:val="20"/>
          <w:rtl/>
        </w:rPr>
        <w:t xml:space="preserve"> </w:t>
      </w:r>
      <w:r w:rsidRPr="000F1254">
        <w:rPr>
          <w:rFonts w:cs="Arial" w:hint="cs"/>
          <w:sz w:val="20"/>
          <w:szCs w:val="20"/>
          <w:rtl/>
        </w:rPr>
        <w:t>נשיאה</w:t>
      </w:r>
      <w:r w:rsidRPr="000F1254">
        <w:rPr>
          <w:rFonts w:cs="Arial"/>
          <w:sz w:val="20"/>
          <w:szCs w:val="20"/>
          <w:rtl/>
        </w:rPr>
        <w:t xml:space="preserve">: </w:t>
      </w:r>
      <w:r w:rsidRPr="000F1254">
        <w:rPr>
          <w:rFonts w:cs="Arial" w:hint="cs"/>
          <w:sz w:val="20"/>
          <w:szCs w:val="20"/>
          <w:rtl/>
        </w:rPr>
        <w:t>והוא</w:t>
      </w:r>
      <w:r w:rsidRPr="000F1254">
        <w:rPr>
          <w:rFonts w:cs="Arial"/>
          <w:sz w:val="20"/>
          <w:szCs w:val="20"/>
          <w:rtl/>
        </w:rPr>
        <w:t xml:space="preserve"> </w:t>
      </w:r>
      <w:r w:rsidRPr="000F1254">
        <w:rPr>
          <w:rFonts w:cs="Arial" w:hint="cs"/>
          <w:sz w:val="20"/>
          <w:szCs w:val="20"/>
          <w:rtl/>
        </w:rPr>
        <w:t>שבא</w:t>
      </w:r>
      <w:r w:rsidRPr="000F1254">
        <w:rPr>
          <w:rFonts w:cs="Arial"/>
          <w:sz w:val="20"/>
          <w:szCs w:val="20"/>
          <w:rtl/>
        </w:rPr>
        <w:t xml:space="preserve"> </w:t>
      </w:r>
      <w:r w:rsidRPr="000F1254">
        <w:rPr>
          <w:rFonts w:cs="Arial" w:hint="cs"/>
          <w:sz w:val="20"/>
          <w:szCs w:val="20"/>
          <w:rtl/>
        </w:rPr>
        <w:t>ומצאה</w:t>
      </w:r>
      <w:r w:rsidRPr="000F1254">
        <w:rPr>
          <w:rFonts w:cs="Arial"/>
          <w:sz w:val="20"/>
          <w:szCs w:val="20"/>
          <w:rtl/>
        </w:rPr>
        <w:t xml:space="preserve"> </w:t>
      </w:r>
      <w:r w:rsidRPr="000F1254">
        <w:rPr>
          <w:rFonts w:cs="Arial" w:hint="cs"/>
          <w:sz w:val="20"/>
          <w:szCs w:val="20"/>
          <w:rtl/>
        </w:rPr>
        <w:t>בתוך</w:t>
      </w:r>
      <w:r w:rsidRPr="000F1254">
        <w:rPr>
          <w:rFonts w:cs="Arial"/>
          <w:sz w:val="20"/>
          <w:szCs w:val="20"/>
          <w:rtl/>
        </w:rPr>
        <w:t xml:space="preserve"> </w:t>
      </w:r>
      <w:r w:rsidRPr="000F1254">
        <w:rPr>
          <w:rFonts w:cs="Arial" w:hint="cs"/>
          <w:sz w:val="20"/>
          <w:szCs w:val="20"/>
          <w:rtl/>
        </w:rPr>
        <w:t>ימי</w:t>
      </w:r>
      <w:r w:rsidRPr="000F1254">
        <w:rPr>
          <w:rFonts w:cs="Arial"/>
          <w:sz w:val="20"/>
          <w:szCs w:val="20"/>
          <w:rtl/>
        </w:rPr>
        <w:t xml:space="preserve"> </w:t>
      </w:r>
      <w:r w:rsidRPr="000F1254">
        <w:rPr>
          <w:rFonts w:cs="Arial" w:hint="cs"/>
          <w:sz w:val="20"/>
          <w:szCs w:val="20"/>
          <w:rtl/>
        </w:rPr>
        <w:t>עונתה</w:t>
      </w:r>
      <w:r>
        <w:rPr>
          <w:rFonts w:cs="Arial" w:hint="cs"/>
          <w:sz w:val="20"/>
          <w:szCs w:val="20"/>
          <w:rtl/>
        </w:rPr>
        <w:t xml:space="preserve"> </w:t>
      </w:r>
      <w:r w:rsidRPr="000F1254">
        <w:rPr>
          <w:rFonts w:cs="Arial" w:hint="cs"/>
          <w:sz w:val="18"/>
          <w:szCs w:val="18"/>
          <w:rtl/>
        </w:rPr>
        <w:t>(ל' ל</w:t>
      </w:r>
      <w:r>
        <w:rPr>
          <w:rFonts w:cs="Arial" w:hint="cs"/>
          <w:sz w:val="18"/>
          <w:szCs w:val="18"/>
          <w:rtl/>
        </w:rPr>
        <w:t>ווסתה</w:t>
      </w:r>
      <w:r w:rsidRPr="000F1254">
        <w:rPr>
          <w:rFonts w:cs="Arial" w:hint="cs"/>
          <w:sz w:val="18"/>
          <w:szCs w:val="18"/>
          <w:rtl/>
        </w:rPr>
        <w:t>, לאחר ל' מסתמא ראתה)</w:t>
      </w:r>
      <w:r w:rsidRPr="000F1254">
        <w:rPr>
          <w:rFonts w:cs="Arial"/>
          <w:sz w:val="18"/>
          <w:szCs w:val="18"/>
          <w:rtl/>
        </w:rPr>
        <w:t xml:space="preserve">. </w:t>
      </w:r>
      <w:r w:rsidRPr="000F1254">
        <w:rPr>
          <w:rFonts w:cs="Arial" w:hint="cs"/>
          <w:sz w:val="18"/>
          <w:szCs w:val="18"/>
          <w:rtl/>
        </w:rPr>
        <w:br/>
      </w:r>
      <w:r w:rsidRPr="000F1254">
        <w:rPr>
          <w:rFonts w:cs="Arial" w:hint="cs"/>
          <w:sz w:val="20"/>
          <w:szCs w:val="20"/>
          <w:rtl/>
        </w:rPr>
        <w:t>אמר</w:t>
      </w:r>
      <w:r w:rsidRPr="000F1254">
        <w:rPr>
          <w:rFonts w:cs="Arial"/>
          <w:sz w:val="20"/>
          <w:szCs w:val="20"/>
          <w:rtl/>
        </w:rPr>
        <w:t xml:space="preserve"> </w:t>
      </w:r>
      <w:r w:rsidRPr="000F1254">
        <w:rPr>
          <w:rFonts w:cs="Arial" w:hint="cs"/>
          <w:sz w:val="20"/>
          <w:szCs w:val="20"/>
          <w:rtl/>
        </w:rPr>
        <w:t>רב</w:t>
      </w:r>
      <w:r w:rsidRPr="000F1254">
        <w:rPr>
          <w:rFonts w:cs="Arial"/>
          <w:sz w:val="20"/>
          <w:szCs w:val="20"/>
          <w:rtl/>
        </w:rPr>
        <w:t xml:space="preserve"> </w:t>
      </w:r>
      <w:r w:rsidRPr="000F1254">
        <w:rPr>
          <w:rFonts w:cs="Arial" w:hint="cs"/>
          <w:sz w:val="20"/>
          <w:szCs w:val="20"/>
          <w:rtl/>
        </w:rPr>
        <w:t>הונא</w:t>
      </w:r>
      <w:r w:rsidRPr="000F1254">
        <w:rPr>
          <w:rFonts w:cs="Arial"/>
          <w:sz w:val="20"/>
          <w:szCs w:val="20"/>
          <w:rtl/>
        </w:rPr>
        <w:t xml:space="preserve">: </w:t>
      </w:r>
      <w:r w:rsidRPr="000F1254">
        <w:rPr>
          <w:rFonts w:cs="Arial" w:hint="cs"/>
          <w:sz w:val="20"/>
          <w:szCs w:val="20"/>
          <w:rtl/>
        </w:rPr>
        <w:t>ל</w:t>
      </w:r>
      <w:r>
        <w:rPr>
          <w:rFonts w:cs="Arial" w:hint="cs"/>
          <w:sz w:val="20"/>
          <w:szCs w:val="20"/>
          <w:rtl/>
        </w:rPr>
        <w:t xml:space="preserve">א </w:t>
      </w:r>
      <w:r w:rsidRPr="000F1254">
        <w:rPr>
          <w:rFonts w:cs="Arial" w:hint="cs"/>
          <w:sz w:val="20"/>
          <w:szCs w:val="20"/>
          <w:rtl/>
        </w:rPr>
        <w:t>ש</w:t>
      </w:r>
      <w:r>
        <w:rPr>
          <w:rFonts w:cs="Arial" w:hint="cs"/>
          <w:sz w:val="20"/>
          <w:szCs w:val="20"/>
          <w:rtl/>
        </w:rPr>
        <w:t>נו</w:t>
      </w:r>
      <w:r w:rsidRPr="000F1254">
        <w:rPr>
          <w:rFonts w:cs="Arial"/>
          <w:sz w:val="20"/>
          <w:szCs w:val="20"/>
          <w:rtl/>
        </w:rPr>
        <w:t xml:space="preserve"> </w:t>
      </w:r>
      <w:r w:rsidRPr="000F1254">
        <w:rPr>
          <w:rFonts w:cs="Arial" w:hint="cs"/>
          <w:sz w:val="20"/>
          <w:szCs w:val="20"/>
          <w:rtl/>
        </w:rPr>
        <w:t>אלא</w:t>
      </w:r>
      <w:r w:rsidRPr="000F1254">
        <w:rPr>
          <w:rFonts w:cs="Arial"/>
          <w:sz w:val="20"/>
          <w:szCs w:val="20"/>
          <w:rtl/>
        </w:rPr>
        <w:t xml:space="preserve"> </w:t>
      </w:r>
      <w:r w:rsidRPr="000F1254">
        <w:rPr>
          <w:rFonts w:cs="Arial" w:hint="cs"/>
          <w:sz w:val="20"/>
          <w:szCs w:val="20"/>
          <w:rtl/>
        </w:rPr>
        <w:t>שלא</w:t>
      </w:r>
      <w:r w:rsidRPr="000F1254">
        <w:rPr>
          <w:rFonts w:cs="Arial"/>
          <w:sz w:val="20"/>
          <w:szCs w:val="20"/>
          <w:rtl/>
        </w:rPr>
        <w:t xml:space="preserve"> </w:t>
      </w:r>
      <w:r w:rsidRPr="000F1254">
        <w:rPr>
          <w:rFonts w:cs="Arial" w:hint="cs"/>
          <w:sz w:val="20"/>
          <w:szCs w:val="20"/>
          <w:rtl/>
        </w:rPr>
        <w:t>הגיע</w:t>
      </w:r>
      <w:r w:rsidRPr="000F1254">
        <w:rPr>
          <w:rFonts w:cs="Arial"/>
          <w:sz w:val="20"/>
          <w:szCs w:val="20"/>
          <w:rtl/>
        </w:rPr>
        <w:t xml:space="preserve"> </w:t>
      </w:r>
      <w:r w:rsidRPr="000F1254">
        <w:rPr>
          <w:rFonts w:cs="Arial" w:hint="cs"/>
          <w:sz w:val="20"/>
          <w:szCs w:val="20"/>
          <w:rtl/>
        </w:rPr>
        <w:t>שעת</w:t>
      </w:r>
      <w:r w:rsidRPr="000F1254">
        <w:rPr>
          <w:rFonts w:cs="Arial"/>
          <w:sz w:val="20"/>
          <w:szCs w:val="20"/>
          <w:rtl/>
        </w:rPr>
        <w:t xml:space="preserve"> </w:t>
      </w:r>
      <w:r w:rsidRPr="000F1254">
        <w:rPr>
          <w:rFonts w:cs="Arial" w:hint="cs"/>
          <w:sz w:val="20"/>
          <w:szCs w:val="20"/>
          <w:rtl/>
        </w:rPr>
        <w:t>וסתה</w:t>
      </w:r>
      <w:r w:rsidRPr="000F1254">
        <w:rPr>
          <w:rFonts w:cs="Arial"/>
          <w:sz w:val="20"/>
          <w:szCs w:val="20"/>
          <w:rtl/>
        </w:rPr>
        <w:t xml:space="preserve">, </w:t>
      </w:r>
      <w:r w:rsidRPr="000F1254">
        <w:rPr>
          <w:rFonts w:cs="Arial" w:hint="cs"/>
          <w:sz w:val="20"/>
          <w:szCs w:val="20"/>
          <w:rtl/>
        </w:rPr>
        <w:t>אבל</w:t>
      </w:r>
      <w:r w:rsidRPr="000F1254">
        <w:rPr>
          <w:rFonts w:cs="Arial"/>
          <w:sz w:val="20"/>
          <w:szCs w:val="20"/>
          <w:rtl/>
        </w:rPr>
        <w:t xml:space="preserve"> </w:t>
      </w:r>
      <w:r w:rsidRPr="000F1254">
        <w:rPr>
          <w:rFonts w:cs="Arial" w:hint="cs"/>
          <w:sz w:val="20"/>
          <w:szCs w:val="20"/>
          <w:rtl/>
        </w:rPr>
        <w:t>הגיע</w:t>
      </w:r>
      <w:r w:rsidRPr="000F1254">
        <w:rPr>
          <w:rFonts w:cs="Arial"/>
          <w:sz w:val="20"/>
          <w:szCs w:val="20"/>
          <w:rtl/>
        </w:rPr>
        <w:t xml:space="preserve"> </w:t>
      </w:r>
      <w:r w:rsidRPr="000F1254">
        <w:rPr>
          <w:rFonts w:cs="Arial" w:hint="cs"/>
          <w:sz w:val="20"/>
          <w:szCs w:val="20"/>
          <w:rtl/>
        </w:rPr>
        <w:t>שעת</w:t>
      </w:r>
      <w:r w:rsidRPr="000F1254">
        <w:rPr>
          <w:rFonts w:cs="Arial"/>
          <w:sz w:val="20"/>
          <w:szCs w:val="20"/>
          <w:rtl/>
        </w:rPr>
        <w:t xml:space="preserve"> </w:t>
      </w:r>
      <w:r w:rsidRPr="000F1254">
        <w:rPr>
          <w:rFonts w:cs="Arial" w:hint="cs"/>
          <w:sz w:val="20"/>
          <w:szCs w:val="20"/>
          <w:rtl/>
        </w:rPr>
        <w:t>וסתה</w:t>
      </w:r>
      <w:r w:rsidRPr="000F1254">
        <w:rPr>
          <w:rFonts w:cs="Arial"/>
          <w:sz w:val="20"/>
          <w:szCs w:val="20"/>
          <w:rtl/>
        </w:rPr>
        <w:t xml:space="preserve"> - </w:t>
      </w:r>
      <w:r w:rsidRPr="000F1254">
        <w:rPr>
          <w:rFonts w:cs="Arial" w:hint="cs"/>
          <w:sz w:val="20"/>
          <w:szCs w:val="20"/>
          <w:rtl/>
        </w:rPr>
        <w:t>אסורה</w:t>
      </w:r>
      <w:r w:rsidRPr="000F1254">
        <w:rPr>
          <w:rFonts w:cs="Arial"/>
          <w:sz w:val="20"/>
          <w:szCs w:val="20"/>
          <w:rtl/>
        </w:rPr>
        <w:t xml:space="preserve">, </w:t>
      </w:r>
      <w:r w:rsidRPr="000F1254">
        <w:rPr>
          <w:rFonts w:cs="Arial" w:hint="cs"/>
          <w:sz w:val="20"/>
          <w:szCs w:val="20"/>
          <w:rtl/>
        </w:rPr>
        <w:t>קסבר</w:t>
      </w:r>
      <w:r w:rsidRPr="000F1254">
        <w:rPr>
          <w:rFonts w:cs="Arial"/>
          <w:sz w:val="20"/>
          <w:szCs w:val="20"/>
          <w:rtl/>
        </w:rPr>
        <w:t xml:space="preserve">: </w:t>
      </w:r>
      <w:r w:rsidRPr="000F1254">
        <w:rPr>
          <w:rFonts w:cs="Arial" w:hint="cs"/>
          <w:sz w:val="20"/>
          <w:szCs w:val="20"/>
          <w:rtl/>
        </w:rPr>
        <w:t>וסתות</w:t>
      </w:r>
      <w:r w:rsidRPr="000F1254">
        <w:rPr>
          <w:rFonts w:cs="Arial"/>
          <w:sz w:val="20"/>
          <w:szCs w:val="20"/>
          <w:rtl/>
        </w:rPr>
        <w:t xml:space="preserve"> </w:t>
      </w:r>
      <w:r w:rsidRPr="000F1254">
        <w:rPr>
          <w:rFonts w:cs="Arial" w:hint="cs"/>
          <w:sz w:val="20"/>
          <w:szCs w:val="20"/>
          <w:rtl/>
        </w:rPr>
        <w:t>דאורייתא</w:t>
      </w:r>
      <w:r w:rsidRPr="000F1254">
        <w:rPr>
          <w:rFonts w:cs="Arial"/>
          <w:sz w:val="20"/>
          <w:szCs w:val="20"/>
          <w:rtl/>
        </w:rPr>
        <w:t xml:space="preserve">. </w:t>
      </w:r>
      <w:r w:rsidRPr="000F1254">
        <w:rPr>
          <w:rFonts w:cs="Arial" w:hint="cs"/>
          <w:sz w:val="20"/>
          <w:szCs w:val="20"/>
          <w:rtl/>
        </w:rPr>
        <w:t>רבה</w:t>
      </w:r>
      <w:r w:rsidRPr="000F1254">
        <w:rPr>
          <w:rFonts w:cs="Arial"/>
          <w:sz w:val="20"/>
          <w:szCs w:val="20"/>
          <w:rtl/>
        </w:rPr>
        <w:t xml:space="preserve"> </w:t>
      </w:r>
      <w:r w:rsidRPr="000F1254">
        <w:rPr>
          <w:rFonts w:cs="Arial" w:hint="cs"/>
          <w:sz w:val="20"/>
          <w:szCs w:val="20"/>
          <w:rtl/>
        </w:rPr>
        <w:t>בר</w:t>
      </w:r>
      <w:r w:rsidRPr="000F1254">
        <w:rPr>
          <w:rFonts w:cs="Arial"/>
          <w:sz w:val="20"/>
          <w:szCs w:val="20"/>
          <w:rtl/>
        </w:rPr>
        <w:t xml:space="preserve"> </w:t>
      </w:r>
      <w:r w:rsidRPr="000F1254">
        <w:rPr>
          <w:rFonts w:cs="Arial" w:hint="cs"/>
          <w:sz w:val="20"/>
          <w:szCs w:val="20"/>
          <w:rtl/>
        </w:rPr>
        <w:t>בר</w:t>
      </w:r>
      <w:r w:rsidRPr="000F1254">
        <w:rPr>
          <w:rFonts w:cs="Arial"/>
          <w:sz w:val="20"/>
          <w:szCs w:val="20"/>
          <w:rtl/>
        </w:rPr>
        <w:t xml:space="preserve"> </w:t>
      </w:r>
      <w:r w:rsidRPr="000F1254">
        <w:rPr>
          <w:rFonts w:cs="Arial" w:hint="cs"/>
          <w:sz w:val="20"/>
          <w:szCs w:val="20"/>
          <w:rtl/>
        </w:rPr>
        <w:t>חנה</w:t>
      </w:r>
      <w:r w:rsidRPr="000F1254">
        <w:rPr>
          <w:rFonts w:cs="Arial"/>
          <w:sz w:val="20"/>
          <w:szCs w:val="20"/>
          <w:rtl/>
        </w:rPr>
        <w:t xml:space="preserve"> </w:t>
      </w:r>
      <w:r w:rsidRPr="000F1254">
        <w:rPr>
          <w:rFonts w:cs="Arial" w:hint="cs"/>
          <w:sz w:val="20"/>
          <w:szCs w:val="20"/>
          <w:rtl/>
        </w:rPr>
        <w:t>אמר</w:t>
      </w:r>
      <w:r w:rsidRPr="000F1254">
        <w:rPr>
          <w:rFonts w:cs="Arial"/>
          <w:sz w:val="20"/>
          <w:szCs w:val="20"/>
          <w:rtl/>
        </w:rPr>
        <w:t xml:space="preserve">: </w:t>
      </w:r>
      <w:r w:rsidRPr="000F1254">
        <w:rPr>
          <w:rFonts w:cs="Arial" w:hint="cs"/>
          <w:sz w:val="20"/>
          <w:szCs w:val="20"/>
          <w:rtl/>
        </w:rPr>
        <w:t>אפילו</w:t>
      </w:r>
      <w:r w:rsidRPr="000F1254">
        <w:rPr>
          <w:rFonts w:cs="Arial"/>
          <w:sz w:val="20"/>
          <w:szCs w:val="20"/>
          <w:rtl/>
        </w:rPr>
        <w:t xml:space="preserve"> </w:t>
      </w:r>
      <w:r w:rsidRPr="000F1254">
        <w:rPr>
          <w:rFonts w:cs="Arial" w:hint="cs"/>
          <w:sz w:val="20"/>
          <w:szCs w:val="20"/>
          <w:rtl/>
        </w:rPr>
        <w:t>הגיע</w:t>
      </w:r>
      <w:r w:rsidRPr="000F1254">
        <w:rPr>
          <w:rFonts w:cs="Arial"/>
          <w:sz w:val="20"/>
          <w:szCs w:val="20"/>
          <w:rtl/>
        </w:rPr>
        <w:t xml:space="preserve"> </w:t>
      </w:r>
      <w:r w:rsidRPr="000F1254">
        <w:rPr>
          <w:rFonts w:cs="Arial" w:hint="cs"/>
          <w:sz w:val="20"/>
          <w:szCs w:val="20"/>
          <w:rtl/>
        </w:rPr>
        <w:t>שעת</w:t>
      </w:r>
      <w:r w:rsidRPr="000F1254">
        <w:rPr>
          <w:rFonts w:cs="Arial"/>
          <w:sz w:val="20"/>
          <w:szCs w:val="20"/>
          <w:rtl/>
        </w:rPr>
        <w:t xml:space="preserve"> </w:t>
      </w:r>
      <w:r w:rsidRPr="000F1254">
        <w:rPr>
          <w:rFonts w:cs="Arial" w:hint="cs"/>
          <w:sz w:val="20"/>
          <w:szCs w:val="20"/>
          <w:rtl/>
        </w:rPr>
        <w:t>וסתה</w:t>
      </w:r>
      <w:r w:rsidRPr="000F1254">
        <w:rPr>
          <w:rFonts w:cs="Arial"/>
          <w:sz w:val="20"/>
          <w:szCs w:val="20"/>
          <w:rtl/>
        </w:rPr>
        <w:t xml:space="preserve"> - </w:t>
      </w:r>
      <w:r w:rsidRPr="000F1254">
        <w:rPr>
          <w:rFonts w:cs="Arial" w:hint="cs"/>
          <w:sz w:val="20"/>
          <w:szCs w:val="20"/>
          <w:rtl/>
        </w:rPr>
        <w:t>נמי</w:t>
      </w:r>
      <w:r w:rsidRPr="000F1254">
        <w:rPr>
          <w:rFonts w:cs="Arial"/>
          <w:sz w:val="20"/>
          <w:szCs w:val="20"/>
          <w:rtl/>
        </w:rPr>
        <w:t xml:space="preserve"> </w:t>
      </w:r>
      <w:r w:rsidRPr="000F1254">
        <w:rPr>
          <w:rFonts w:cs="Arial" w:hint="cs"/>
          <w:sz w:val="20"/>
          <w:szCs w:val="20"/>
          <w:rtl/>
        </w:rPr>
        <w:t>מותרת</w:t>
      </w:r>
      <w:r w:rsidRPr="000F1254">
        <w:rPr>
          <w:rFonts w:cs="Arial"/>
          <w:sz w:val="20"/>
          <w:szCs w:val="20"/>
          <w:rtl/>
        </w:rPr>
        <w:t xml:space="preserve">, </w:t>
      </w:r>
      <w:r w:rsidRPr="000F1254">
        <w:rPr>
          <w:rFonts w:cs="Arial" w:hint="cs"/>
          <w:sz w:val="20"/>
          <w:szCs w:val="20"/>
          <w:rtl/>
        </w:rPr>
        <w:t>קסבר</w:t>
      </w:r>
      <w:r w:rsidRPr="000F1254">
        <w:rPr>
          <w:rFonts w:cs="Arial"/>
          <w:sz w:val="20"/>
          <w:szCs w:val="20"/>
          <w:rtl/>
        </w:rPr>
        <w:t xml:space="preserve">: </w:t>
      </w:r>
      <w:r w:rsidRPr="000F1254">
        <w:rPr>
          <w:rFonts w:cs="Arial" w:hint="cs"/>
          <w:sz w:val="20"/>
          <w:szCs w:val="20"/>
          <w:rtl/>
        </w:rPr>
        <w:t>וסתות</w:t>
      </w:r>
      <w:r w:rsidRPr="000F1254">
        <w:rPr>
          <w:rFonts w:cs="Arial"/>
          <w:sz w:val="20"/>
          <w:szCs w:val="20"/>
          <w:rtl/>
        </w:rPr>
        <w:t xml:space="preserve"> </w:t>
      </w:r>
      <w:r w:rsidRPr="000F1254">
        <w:rPr>
          <w:rFonts w:cs="Arial" w:hint="cs"/>
          <w:sz w:val="20"/>
          <w:szCs w:val="20"/>
          <w:rtl/>
        </w:rPr>
        <w:t>דרבנן</w:t>
      </w:r>
      <w:r>
        <w:rPr>
          <w:rFonts w:cs="Arial" w:hint="cs"/>
          <w:sz w:val="20"/>
          <w:szCs w:val="20"/>
          <w:rtl/>
        </w:rPr>
        <w:t>".</w:t>
      </w:r>
    </w:p>
    <w:p w:rsidR="00620060" w:rsidRDefault="00620060" w:rsidP="00620060">
      <w:pPr>
        <w:rPr>
          <w:sz w:val="20"/>
          <w:szCs w:val="20"/>
          <w:rtl/>
        </w:rPr>
      </w:pPr>
      <w:r>
        <w:rPr>
          <w:rFonts w:hint="cs"/>
          <w:sz w:val="20"/>
          <w:szCs w:val="20"/>
          <w:rtl/>
        </w:rPr>
        <w:t xml:space="preserve">ב. </w:t>
      </w:r>
      <w:r w:rsidRPr="0073648E">
        <w:rPr>
          <w:rFonts w:hint="cs"/>
          <w:b/>
          <w:bCs/>
          <w:sz w:val="20"/>
          <w:szCs w:val="20"/>
          <w:rtl/>
        </w:rPr>
        <w:t>גמרא</w:t>
      </w:r>
      <w:r>
        <w:rPr>
          <w:rFonts w:hint="cs"/>
          <w:sz w:val="20"/>
          <w:szCs w:val="20"/>
          <w:rtl/>
        </w:rPr>
        <w:t xml:space="preserve"> נידה (שם, ע"ב) "</w:t>
      </w:r>
      <w:r w:rsidRPr="00240889">
        <w:rPr>
          <w:rFonts w:cs="Arial" w:hint="cs"/>
          <w:sz w:val="20"/>
          <w:szCs w:val="20"/>
          <w:rtl/>
        </w:rPr>
        <w:t>אמר</w:t>
      </w:r>
      <w:r w:rsidRPr="00240889">
        <w:rPr>
          <w:rFonts w:cs="Arial"/>
          <w:sz w:val="20"/>
          <w:szCs w:val="20"/>
          <w:rtl/>
        </w:rPr>
        <w:t xml:space="preserve"> </w:t>
      </w:r>
      <w:r w:rsidRPr="00240889">
        <w:rPr>
          <w:rFonts w:cs="Arial" w:hint="cs"/>
          <w:sz w:val="20"/>
          <w:szCs w:val="20"/>
          <w:rtl/>
        </w:rPr>
        <w:t>רב</w:t>
      </w:r>
      <w:r w:rsidRPr="00240889">
        <w:rPr>
          <w:rFonts w:cs="Arial"/>
          <w:sz w:val="20"/>
          <w:szCs w:val="20"/>
          <w:rtl/>
        </w:rPr>
        <w:t xml:space="preserve"> </w:t>
      </w:r>
      <w:r w:rsidRPr="00240889">
        <w:rPr>
          <w:rFonts w:cs="Arial" w:hint="cs"/>
          <w:sz w:val="20"/>
          <w:szCs w:val="20"/>
          <w:rtl/>
        </w:rPr>
        <w:t>שמואל</w:t>
      </w:r>
      <w:r w:rsidRPr="00240889">
        <w:rPr>
          <w:rFonts w:cs="Arial"/>
          <w:sz w:val="20"/>
          <w:szCs w:val="20"/>
          <w:rtl/>
        </w:rPr>
        <w:t xml:space="preserve"> </w:t>
      </w:r>
      <w:r w:rsidRPr="00240889">
        <w:rPr>
          <w:rFonts w:cs="Arial" w:hint="cs"/>
          <w:sz w:val="20"/>
          <w:szCs w:val="20"/>
          <w:rtl/>
        </w:rPr>
        <w:t>משמיה</w:t>
      </w:r>
      <w:r w:rsidRPr="00240889">
        <w:rPr>
          <w:rFonts w:cs="Arial"/>
          <w:sz w:val="20"/>
          <w:szCs w:val="20"/>
          <w:rtl/>
        </w:rPr>
        <w:t xml:space="preserve"> </w:t>
      </w:r>
      <w:r w:rsidRPr="00240889">
        <w:rPr>
          <w:rFonts w:cs="Arial" w:hint="cs"/>
          <w:sz w:val="20"/>
          <w:szCs w:val="20"/>
          <w:rtl/>
        </w:rPr>
        <w:t>דרבי</w:t>
      </w:r>
      <w:r w:rsidRPr="00240889">
        <w:rPr>
          <w:rFonts w:cs="Arial"/>
          <w:sz w:val="20"/>
          <w:szCs w:val="20"/>
          <w:rtl/>
        </w:rPr>
        <w:t xml:space="preserve"> </w:t>
      </w:r>
      <w:r w:rsidRPr="00240889">
        <w:rPr>
          <w:rFonts w:cs="Arial" w:hint="cs"/>
          <w:sz w:val="20"/>
          <w:szCs w:val="20"/>
          <w:rtl/>
        </w:rPr>
        <w:t>יוחנן</w:t>
      </w:r>
      <w:r w:rsidRPr="00240889">
        <w:rPr>
          <w:rFonts w:cs="Arial"/>
          <w:sz w:val="20"/>
          <w:szCs w:val="20"/>
          <w:rtl/>
        </w:rPr>
        <w:t xml:space="preserve">: </w:t>
      </w:r>
      <w:r w:rsidRPr="00240889">
        <w:rPr>
          <w:rFonts w:cs="Arial" w:hint="cs"/>
          <w:sz w:val="20"/>
          <w:szCs w:val="20"/>
          <w:rtl/>
        </w:rPr>
        <w:t>אשה</w:t>
      </w:r>
      <w:r w:rsidRPr="00240889">
        <w:rPr>
          <w:rFonts w:cs="Arial"/>
          <w:sz w:val="20"/>
          <w:szCs w:val="20"/>
          <w:rtl/>
        </w:rPr>
        <w:t xml:space="preserve"> </w:t>
      </w:r>
      <w:r w:rsidRPr="00240889">
        <w:rPr>
          <w:rFonts w:cs="Arial" w:hint="cs"/>
          <w:sz w:val="20"/>
          <w:szCs w:val="20"/>
          <w:rtl/>
        </w:rPr>
        <w:t>שיש</w:t>
      </w:r>
      <w:r w:rsidRPr="00240889">
        <w:rPr>
          <w:rFonts w:cs="Arial"/>
          <w:sz w:val="20"/>
          <w:szCs w:val="20"/>
          <w:rtl/>
        </w:rPr>
        <w:t xml:space="preserve"> </w:t>
      </w:r>
      <w:r w:rsidRPr="00240889">
        <w:rPr>
          <w:rFonts w:cs="Arial" w:hint="cs"/>
          <w:sz w:val="20"/>
          <w:szCs w:val="20"/>
          <w:rtl/>
        </w:rPr>
        <w:t>לה</w:t>
      </w:r>
      <w:r w:rsidRPr="00240889">
        <w:rPr>
          <w:rFonts w:cs="Arial"/>
          <w:sz w:val="20"/>
          <w:szCs w:val="20"/>
          <w:rtl/>
        </w:rPr>
        <w:t xml:space="preserve"> </w:t>
      </w:r>
      <w:r w:rsidRPr="00240889">
        <w:rPr>
          <w:rFonts w:cs="Arial" w:hint="cs"/>
          <w:sz w:val="20"/>
          <w:szCs w:val="20"/>
          <w:rtl/>
        </w:rPr>
        <w:t>וסת</w:t>
      </w:r>
      <w:r w:rsidRPr="00240889">
        <w:rPr>
          <w:rFonts w:cs="Arial"/>
          <w:sz w:val="20"/>
          <w:szCs w:val="20"/>
          <w:rtl/>
        </w:rPr>
        <w:t xml:space="preserve"> - </w:t>
      </w:r>
      <w:r w:rsidRPr="00240889">
        <w:rPr>
          <w:rFonts w:cs="Arial" w:hint="cs"/>
          <w:sz w:val="20"/>
          <w:szCs w:val="20"/>
          <w:rtl/>
        </w:rPr>
        <w:t>בעלה</w:t>
      </w:r>
      <w:r w:rsidRPr="00240889">
        <w:rPr>
          <w:rFonts w:cs="Arial"/>
          <w:sz w:val="20"/>
          <w:szCs w:val="20"/>
          <w:rtl/>
        </w:rPr>
        <w:t xml:space="preserve"> </w:t>
      </w:r>
      <w:r w:rsidRPr="00240889">
        <w:rPr>
          <w:rFonts w:cs="Arial" w:hint="cs"/>
          <w:sz w:val="20"/>
          <w:szCs w:val="20"/>
          <w:rtl/>
        </w:rPr>
        <w:t>מחשב</w:t>
      </w:r>
      <w:r w:rsidRPr="00240889">
        <w:rPr>
          <w:rFonts w:cs="Arial"/>
          <w:sz w:val="20"/>
          <w:szCs w:val="20"/>
          <w:rtl/>
        </w:rPr>
        <w:t xml:space="preserve"> </w:t>
      </w:r>
      <w:r w:rsidRPr="00240889">
        <w:rPr>
          <w:rFonts w:cs="Arial" w:hint="cs"/>
          <w:sz w:val="20"/>
          <w:szCs w:val="20"/>
          <w:rtl/>
        </w:rPr>
        <w:t>ימי</w:t>
      </w:r>
      <w:r w:rsidRPr="00240889">
        <w:rPr>
          <w:rFonts w:cs="Arial"/>
          <w:sz w:val="20"/>
          <w:szCs w:val="20"/>
          <w:rtl/>
        </w:rPr>
        <w:t xml:space="preserve"> </w:t>
      </w:r>
      <w:r w:rsidRPr="00240889">
        <w:rPr>
          <w:rFonts w:cs="Arial" w:hint="cs"/>
          <w:sz w:val="20"/>
          <w:szCs w:val="20"/>
          <w:rtl/>
        </w:rPr>
        <w:t>וסתה</w:t>
      </w:r>
      <w:r w:rsidRPr="00240889">
        <w:rPr>
          <w:rFonts w:cs="Arial"/>
          <w:sz w:val="20"/>
          <w:szCs w:val="20"/>
          <w:rtl/>
        </w:rPr>
        <w:t xml:space="preserve"> </w:t>
      </w:r>
      <w:r w:rsidRPr="00240889">
        <w:rPr>
          <w:rFonts w:cs="Arial" w:hint="cs"/>
          <w:sz w:val="20"/>
          <w:szCs w:val="20"/>
          <w:rtl/>
        </w:rPr>
        <w:t>ובא</w:t>
      </w:r>
      <w:r w:rsidRPr="00240889">
        <w:rPr>
          <w:rFonts w:cs="Arial"/>
          <w:sz w:val="20"/>
          <w:szCs w:val="20"/>
          <w:rtl/>
        </w:rPr>
        <w:t xml:space="preserve"> </w:t>
      </w:r>
      <w:r w:rsidRPr="00240889">
        <w:rPr>
          <w:rFonts w:cs="Arial" w:hint="cs"/>
          <w:sz w:val="20"/>
          <w:szCs w:val="20"/>
          <w:rtl/>
        </w:rPr>
        <w:t>עליה</w:t>
      </w:r>
      <w:r>
        <w:rPr>
          <w:rFonts w:cs="Arial" w:hint="cs"/>
          <w:sz w:val="20"/>
          <w:szCs w:val="20"/>
          <w:rtl/>
        </w:rPr>
        <w:t xml:space="preserve"> </w:t>
      </w:r>
      <w:r w:rsidRPr="00240889">
        <w:rPr>
          <w:rFonts w:cs="Arial" w:hint="cs"/>
          <w:sz w:val="18"/>
          <w:szCs w:val="18"/>
          <w:rtl/>
        </w:rPr>
        <w:t>(רש"י - אם</w:t>
      </w:r>
      <w:r w:rsidRPr="00240889">
        <w:rPr>
          <w:rFonts w:cs="Arial"/>
          <w:sz w:val="18"/>
          <w:szCs w:val="18"/>
          <w:rtl/>
        </w:rPr>
        <w:t xml:space="preserve"> </w:t>
      </w:r>
      <w:r w:rsidRPr="00240889">
        <w:rPr>
          <w:rFonts w:cs="Arial" w:hint="cs"/>
          <w:sz w:val="18"/>
          <w:szCs w:val="18"/>
          <w:rtl/>
        </w:rPr>
        <w:t>שהה</w:t>
      </w:r>
      <w:r w:rsidRPr="00240889">
        <w:rPr>
          <w:rFonts w:cs="Arial"/>
          <w:sz w:val="18"/>
          <w:szCs w:val="18"/>
          <w:rtl/>
        </w:rPr>
        <w:t xml:space="preserve"> </w:t>
      </w:r>
      <w:r w:rsidRPr="00240889">
        <w:rPr>
          <w:rFonts w:cs="Arial" w:hint="cs"/>
          <w:sz w:val="18"/>
          <w:szCs w:val="18"/>
          <w:rtl/>
        </w:rPr>
        <w:t>בדרך</w:t>
      </w:r>
      <w:r w:rsidRPr="00240889">
        <w:rPr>
          <w:rFonts w:cs="Arial"/>
          <w:sz w:val="18"/>
          <w:szCs w:val="18"/>
          <w:rtl/>
        </w:rPr>
        <w:t xml:space="preserve"> </w:t>
      </w:r>
      <w:r w:rsidRPr="00240889">
        <w:rPr>
          <w:rFonts w:cs="Arial" w:hint="cs"/>
          <w:sz w:val="18"/>
          <w:szCs w:val="18"/>
          <w:rtl/>
        </w:rPr>
        <w:t>שבעה</w:t>
      </w:r>
      <w:r w:rsidRPr="00240889">
        <w:rPr>
          <w:rFonts w:cs="Arial"/>
          <w:sz w:val="18"/>
          <w:szCs w:val="18"/>
          <w:rtl/>
        </w:rPr>
        <w:t xml:space="preserve"> </w:t>
      </w:r>
      <w:r w:rsidRPr="00240889">
        <w:rPr>
          <w:rFonts w:cs="Arial" w:hint="cs"/>
          <w:sz w:val="18"/>
          <w:szCs w:val="18"/>
          <w:rtl/>
        </w:rPr>
        <w:t>ימים</w:t>
      </w:r>
      <w:r w:rsidRPr="00240889">
        <w:rPr>
          <w:rFonts w:cs="Arial"/>
          <w:sz w:val="18"/>
          <w:szCs w:val="18"/>
          <w:rtl/>
        </w:rPr>
        <w:t xml:space="preserve"> </w:t>
      </w:r>
      <w:r w:rsidRPr="00240889">
        <w:rPr>
          <w:rFonts w:cs="Arial" w:hint="cs"/>
          <w:sz w:val="18"/>
          <w:szCs w:val="18"/>
          <w:rtl/>
        </w:rPr>
        <w:t>אחר</w:t>
      </w:r>
      <w:r w:rsidRPr="00240889">
        <w:rPr>
          <w:rFonts w:cs="Arial"/>
          <w:sz w:val="18"/>
          <w:szCs w:val="18"/>
          <w:rtl/>
        </w:rPr>
        <w:t xml:space="preserve"> </w:t>
      </w:r>
      <w:r w:rsidRPr="00240889">
        <w:rPr>
          <w:rFonts w:cs="Arial" w:hint="cs"/>
          <w:sz w:val="18"/>
          <w:szCs w:val="18"/>
          <w:rtl/>
        </w:rPr>
        <w:t>וסתה</w:t>
      </w:r>
      <w:r>
        <w:rPr>
          <w:rFonts w:cs="Arial" w:hint="cs"/>
          <w:sz w:val="18"/>
          <w:szCs w:val="18"/>
          <w:rtl/>
        </w:rPr>
        <w:t>,</w:t>
      </w:r>
      <w:r w:rsidRPr="00240889">
        <w:rPr>
          <w:rFonts w:cs="Arial"/>
          <w:sz w:val="18"/>
          <w:szCs w:val="18"/>
          <w:rtl/>
        </w:rPr>
        <w:t xml:space="preserve"> </w:t>
      </w:r>
      <w:r w:rsidRPr="00240889">
        <w:rPr>
          <w:rFonts w:cs="Arial" w:hint="cs"/>
          <w:sz w:val="18"/>
          <w:szCs w:val="18"/>
          <w:rtl/>
        </w:rPr>
        <w:t>דעכשיו</w:t>
      </w:r>
      <w:r w:rsidRPr="00240889">
        <w:rPr>
          <w:rFonts w:cs="Arial"/>
          <w:sz w:val="18"/>
          <w:szCs w:val="18"/>
          <w:rtl/>
        </w:rPr>
        <w:t xml:space="preserve"> </w:t>
      </w:r>
      <w:r w:rsidRPr="00240889">
        <w:rPr>
          <w:rFonts w:cs="Arial" w:hint="cs"/>
          <w:sz w:val="18"/>
          <w:szCs w:val="18"/>
          <w:rtl/>
        </w:rPr>
        <w:t>עומדת</w:t>
      </w:r>
      <w:r w:rsidRPr="00240889">
        <w:rPr>
          <w:rFonts w:cs="Arial"/>
          <w:sz w:val="18"/>
          <w:szCs w:val="18"/>
          <w:rtl/>
        </w:rPr>
        <w:t xml:space="preserve"> </w:t>
      </w:r>
      <w:r w:rsidRPr="00240889">
        <w:rPr>
          <w:rFonts w:cs="Arial" w:hint="cs"/>
          <w:sz w:val="18"/>
          <w:szCs w:val="18"/>
          <w:rtl/>
        </w:rPr>
        <w:t>בימים</w:t>
      </w:r>
      <w:r w:rsidRPr="00240889">
        <w:rPr>
          <w:rFonts w:cs="Arial"/>
          <w:sz w:val="18"/>
          <w:szCs w:val="18"/>
          <w:rtl/>
        </w:rPr>
        <w:t xml:space="preserve"> </w:t>
      </w:r>
      <w:r w:rsidRPr="00240889">
        <w:rPr>
          <w:rFonts w:cs="Arial" w:hint="cs"/>
          <w:sz w:val="18"/>
          <w:szCs w:val="18"/>
          <w:rtl/>
        </w:rPr>
        <w:t>שיכולה</w:t>
      </w:r>
      <w:r w:rsidRPr="00240889">
        <w:rPr>
          <w:rFonts w:cs="Arial"/>
          <w:sz w:val="18"/>
          <w:szCs w:val="18"/>
          <w:rtl/>
        </w:rPr>
        <w:t xml:space="preserve"> </w:t>
      </w:r>
      <w:r w:rsidRPr="00240889">
        <w:rPr>
          <w:rFonts w:cs="Arial" w:hint="cs"/>
          <w:sz w:val="18"/>
          <w:szCs w:val="18"/>
          <w:rtl/>
        </w:rPr>
        <w:t>לה</w:t>
      </w:r>
      <w:r>
        <w:rPr>
          <w:rFonts w:cs="Arial" w:hint="cs"/>
          <w:sz w:val="18"/>
          <w:szCs w:val="18"/>
          <w:rtl/>
        </w:rPr>
        <w:t>י</w:t>
      </w:r>
      <w:r w:rsidRPr="00240889">
        <w:rPr>
          <w:rFonts w:cs="Arial" w:hint="cs"/>
          <w:sz w:val="18"/>
          <w:szCs w:val="18"/>
          <w:rtl/>
        </w:rPr>
        <w:t>טהר</w:t>
      </w:r>
      <w:r>
        <w:rPr>
          <w:rFonts w:cs="Arial" w:hint="cs"/>
          <w:sz w:val="18"/>
          <w:szCs w:val="18"/>
          <w:rtl/>
        </w:rPr>
        <w:t>,</w:t>
      </w:r>
      <w:r w:rsidRPr="00240889">
        <w:rPr>
          <w:rFonts w:cs="Arial"/>
          <w:sz w:val="18"/>
          <w:szCs w:val="18"/>
          <w:rtl/>
        </w:rPr>
        <w:t xml:space="preserve"> </w:t>
      </w:r>
      <w:r w:rsidRPr="00240889">
        <w:rPr>
          <w:rFonts w:cs="Arial" w:hint="cs"/>
          <w:sz w:val="18"/>
          <w:szCs w:val="18"/>
          <w:rtl/>
        </w:rPr>
        <w:t>אפילו</w:t>
      </w:r>
      <w:r w:rsidRPr="00240889">
        <w:rPr>
          <w:rFonts w:cs="Arial"/>
          <w:sz w:val="18"/>
          <w:szCs w:val="18"/>
          <w:rtl/>
        </w:rPr>
        <w:t xml:space="preserve"> </w:t>
      </w:r>
      <w:r w:rsidRPr="00240889">
        <w:rPr>
          <w:rFonts w:cs="Arial" w:hint="cs"/>
          <w:sz w:val="18"/>
          <w:szCs w:val="18"/>
          <w:rtl/>
        </w:rPr>
        <w:t>הגיע</w:t>
      </w:r>
      <w:r w:rsidRPr="00240889">
        <w:rPr>
          <w:rFonts w:cs="Arial"/>
          <w:sz w:val="18"/>
          <w:szCs w:val="18"/>
          <w:rtl/>
        </w:rPr>
        <w:t xml:space="preserve"> </w:t>
      </w:r>
      <w:r w:rsidRPr="00240889">
        <w:rPr>
          <w:rFonts w:cs="Arial" w:hint="cs"/>
          <w:sz w:val="18"/>
          <w:szCs w:val="18"/>
          <w:rtl/>
        </w:rPr>
        <w:t>וסתה</w:t>
      </w:r>
      <w:r w:rsidRPr="00240889">
        <w:rPr>
          <w:rFonts w:cs="Arial"/>
          <w:sz w:val="18"/>
          <w:szCs w:val="18"/>
          <w:rtl/>
        </w:rPr>
        <w:t xml:space="preserve"> </w:t>
      </w:r>
      <w:r w:rsidRPr="00240889">
        <w:rPr>
          <w:rFonts w:cs="Arial" w:hint="cs"/>
          <w:sz w:val="18"/>
          <w:szCs w:val="18"/>
          <w:rtl/>
        </w:rPr>
        <w:t>אמרינן</w:t>
      </w:r>
      <w:r w:rsidRPr="00240889">
        <w:rPr>
          <w:rFonts w:cs="Arial"/>
          <w:sz w:val="18"/>
          <w:szCs w:val="18"/>
          <w:rtl/>
        </w:rPr>
        <w:t xml:space="preserve"> </w:t>
      </w:r>
      <w:r w:rsidRPr="00240889">
        <w:rPr>
          <w:rFonts w:cs="Arial" w:hint="cs"/>
          <w:sz w:val="18"/>
          <w:szCs w:val="18"/>
          <w:rtl/>
        </w:rPr>
        <w:t>טבלה</w:t>
      </w:r>
      <w:r w:rsidRPr="00240889">
        <w:rPr>
          <w:rFonts w:cs="Arial"/>
          <w:sz w:val="18"/>
          <w:szCs w:val="18"/>
          <w:rtl/>
        </w:rPr>
        <w:t xml:space="preserve"> </w:t>
      </w:r>
      <w:r w:rsidRPr="00240889">
        <w:rPr>
          <w:rFonts w:cs="Arial" w:hint="cs"/>
          <w:sz w:val="18"/>
          <w:szCs w:val="18"/>
          <w:rtl/>
        </w:rPr>
        <w:t>ואין</w:t>
      </w:r>
      <w:r w:rsidRPr="00240889">
        <w:rPr>
          <w:rFonts w:cs="Arial"/>
          <w:sz w:val="18"/>
          <w:szCs w:val="18"/>
          <w:rtl/>
        </w:rPr>
        <w:t xml:space="preserve"> </w:t>
      </w:r>
      <w:r w:rsidRPr="00240889">
        <w:rPr>
          <w:rFonts w:cs="Arial" w:hint="cs"/>
          <w:sz w:val="18"/>
          <w:szCs w:val="18"/>
          <w:rtl/>
        </w:rPr>
        <w:t>צריך</w:t>
      </w:r>
      <w:r w:rsidRPr="00240889">
        <w:rPr>
          <w:rFonts w:cs="Arial"/>
          <w:sz w:val="18"/>
          <w:szCs w:val="18"/>
          <w:rtl/>
        </w:rPr>
        <w:t xml:space="preserve"> </w:t>
      </w:r>
      <w:r w:rsidRPr="00240889">
        <w:rPr>
          <w:rFonts w:cs="Arial" w:hint="cs"/>
          <w:sz w:val="18"/>
          <w:szCs w:val="18"/>
          <w:rtl/>
        </w:rPr>
        <w:t>לשואלה)</w:t>
      </w:r>
      <w:r w:rsidRPr="00240889">
        <w:rPr>
          <w:rFonts w:cs="Arial"/>
          <w:sz w:val="20"/>
          <w:szCs w:val="20"/>
          <w:rtl/>
        </w:rPr>
        <w:t xml:space="preserve">. </w:t>
      </w:r>
      <w:r w:rsidRPr="00240889">
        <w:rPr>
          <w:rFonts w:cs="Arial" w:hint="cs"/>
          <w:sz w:val="20"/>
          <w:szCs w:val="20"/>
          <w:rtl/>
        </w:rPr>
        <w:t>אמר</w:t>
      </w:r>
      <w:r w:rsidRPr="00240889">
        <w:rPr>
          <w:rFonts w:cs="Arial"/>
          <w:sz w:val="20"/>
          <w:szCs w:val="20"/>
          <w:rtl/>
        </w:rPr>
        <w:t xml:space="preserve"> </w:t>
      </w:r>
      <w:r w:rsidRPr="00240889">
        <w:rPr>
          <w:rFonts w:cs="Arial" w:hint="cs"/>
          <w:sz w:val="20"/>
          <w:szCs w:val="20"/>
          <w:rtl/>
        </w:rPr>
        <w:t>ליה</w:t>
      </w:r>
      <w:r w:rsidRPr="00240889">
        <w:rPr>
          <w:rFonts w:cs="Arial"/>
          <w:sz w:val="20"/>
          <w:szCs w:val="20"/>
          <w:rtl/>
        </w:rPr>
        <w:t xml:space="preserve"> </w:t>
      </w:r>
      <w:r w:rsidRPr="00240889">
        <w:rPr>
          <w:rFonts w:cs="Arial" w:hint="cs"/>
          <w:sz w:val="20"/>
          <w:szCs w:val="20"/>
          <w:rtl/>
        </w:rPr>
        <w:t>רב</w:t>
      </w:r>
      <w:r w:rsidRPr="00240889">
        <w:rPr>
          <w:rFonts w:cs="Arial"/>
          <w:sz w:val="20"/>
          <w:szCs w:val="20"/>
          <w:rtl/>
        </w:rPr>
        <w:t xml:space="preserve"> </w:t>
      </w:r>
      <w:r w:rsidRPr="00240889">
        <w:rPr>
          <w:rFonts w:cs="Arial" w:hint="cs"/>
          <w:sz w:val="20"/>
          <w:szCs w:val="20"/>
          <w:rtl/>
        </w:rPr>
        <w:t>שמואל</w:t>
      </w:r>
      <w:r w:rsidRPr="00240889">
        <w:rPr>
          <w:rFonts w:cs="Arial"/>
          <w:sz w:val="20"/>
          <w:szCs w:val="20"/>
          <w:rtl/>
        </w:rPr>
        <w:t xml:space="preserve"> </w:t>
      </w:r>
      <w:r w:rsidRPr="00240889">
        <w:rPr>
          <w:rFonts w:cs="Arial" w:hint="cs"/>
          <w:sz w:val="20"/>
          <w:szCs w:val="20"/>
          <w:rtl/>
        </w:rPr>
        <w:t>בר</w:t>
      </w:r>
      <w:r w:rsidRPr="00240889">
        <w:rPr>
          <w:rFonts w:cs="Arial"/>
          <w:sz w:val="20"/>
          <w:szCs w:val="20"/>
          <w:rtl/>
        </w:rPr>
        <w:t xml:space="preserve"> </w:t>
      </w:r>
      <w:r w:rsidRPr="00240889">
        <w:rPr>
          <w:rFonts w:cs="Arial" w:hint="cs"/>
          <w:sz w:val="20"/>
          <w:szCs w:val="20"/>
          <w:rtl/>
        </w:rPr>
        <w:t>ייבא</w:t>
      </w:r>
      <w:r w:rsidRPr="00240889">
        <w:rPr>
          <w:rFonts w:cs="Arial"/>
          <w:sz w:val="20"/>
          <w:szCs w:val="20"/>
          <w:rtl/>
        </w:rPr>
        <w:t xml:space="preserve"> </w:t>
      </w:r>
      <w:r w:rsidRPr="00240889">
        <w:rPr>
          <w:rFonts w:cs="Arial" w:hint="cs"/>
          <w:sz w:val="20"/>
          <w:szCs w:val="20"/>
          <w:rtl/>
        </w:rPr>
        <w:t>לרבי</w:t>
      </w:r>
      <w:r w:rsidRPr="00240889">
        <w:rPr>
          <w:rFonts w:cs="Arial"/>
          <w:sz w:val="20"/>
          <w:szCs w:val="20"/>
          <w:rtl/>
        </w:rPr>
        <w:t xml:space="preserve"> </w:t>
      </w:r>
      <w:r w:rsidRPr="00240889">
        <w:rPr>
          <w:rFonts w:cs="Arial" w:hint="cs"/>
          <w:sz w:val="20"/>
          <w:szCs w:val="20"/>
          <w:rtl/>
        </w:rPr>
        <w:t>אבא</w:t>
      </w:r>
      <w:r w:rsidRPr="00240889">
        <w:rPr>
          <w:rFonts w:cs="Arial"/>
          <w:sz w:val="20"/>
          <w:szCs w:val="20"/>
          <w:rtl/>
        </w:rPr>
        <w:t xml:space="preserve">: </w:t>
      </w:r>
      <w:r w:rsidRPr="00240889">
        <w:rPr>
          <w:rFonts w:cs="Arial" w:hint="cs"/>
          <w:sz w:val="20"/>
          <w:szCs w:val="20"/>
          <w:rtl/>
        </w:rPr>
        <w:t>אמר</w:t>
      </w:r>
      <w:r w:rsidRPr="00240889">
        <w:rPr>
          <w:rFonts w:cs="Arial"/>
          <w:sz w:val="20"/>
          <w:szCs w:val="20"/>
          <w:rtl/>
        </w:rPr>
        <w:t xml:space="preserve"> </w:t>
      </w:r>
      <w:r w:rsidRPr="00240889">
        <w:rPr>
          <w:rFonts w:cs="Arial" w:hint="cs"/>
          <w:sz w:val="20"/>
          <w:szCs w:val="20"/>
          <w:rtl/>
        </w:rPr>
        <w:t>רבי</w:t>
      </w:r>
      <w:r w:rsidRPr="00240889">
        <w:rPr>
          <w:rFonts w:cs="Arial"/>
          <w:sz w:val="20"/>
          <w:szCs w:val="20"/>
          <w:rtl/>
        </w:rPr>
        <w:t xml:space="preserve"> </w:t>
      </w:r>
      <w:r w:rsidRPr="00240889">
        <w:rPr>
          <w:rFonts w:cs="Arial" w:hint="cs"/>
          <w:sz w:val="20"/>
          <w:szCs w:val="20"/>
          <w:rtl/>
        </w:rPr>
        <w:t>יוחנן</w:t>
      </w:r>
      <w:r w:rsidRPr="00240889">
        <w:rPr>
          <w:rFonts w:cs="Arial"/>
          <w:sz w:val="20"/>
          <w:szCs w:val="20"/>
          <w:rtl/>
        </w:rPr>
        <w:t xml:space="preserve"> </w:t>
      </w:r>
      <w:r w:rsidRPr="00240889">
        <w:rPr>
          <w:rFonts w:cs="Arial" w:hint="cs"/>
          <w:sz w:val="20"/>
          <w:szCs w:val="20"/>
          <w:rtl/>
        </w:rPr>
        <w:t>אפילו</w:t>
      </w:r>
      <w:r w:rsidRPr="00240889">
        <w:rPr>
          <w:rFonts w:cs="Arial"/>
          <w:sz w:val="20"/>
          <w:szCs w:val="20"/>
          <w:rtl/>
        </w:rPr>
        <w:t xml:space="preserve"> </w:t>
      </w:r>
      <w:r w:rsidRPr="00240889">
        <w:rPr>
          <w:rFonts w:cs="Arial" w:hint="cs"/>
          <w:sz w:val="20"/>
          <w:szCs w:val="20"/>
          <w:rtl/>
        </w:rPr>
        <w:t>ילדה</w:t>
      </w:r>
      <w:r w:rsidRPr="00240889">
        <w:rPr>
          <w:rFonts w:cs="Arial"/>
          <w:sz w:val="20"/>
          <w:szCs w:val="20"/>
          <w:rtl/>
        </w:rPr>
        <w:t xml:space="preserve"> </w:t>
      </w:r>
      <w:r w:rsidRPr="00240889">
        <w:rPr>
          <w:rFonts w:cs="Arial" w:hint="cs"/>
          <w:sz w:val="20"/>
          <w:szCs w:val="20"/>
          <w:rtl/>
        </w:rPr>
        <w:t>דבזיזא</w:t>
      </w:r>
      <w:r w:rsidRPr="00240889">
        <w:rPr>
          <w:rFonts w:cs="Arial"/>
          <w:sz w:val="20"/>
          <w:szCs w:val="20"/>
          <w:rtl/>
        </w:rPr>
        <w:t xml:space="preserve"> </w:t>
      </w:r>
      <w:r w:rsidRPr="00240889">
        <w:rPr>
          <w:rFonts w:cs="Arial" w:hint="cs"/>
          <w:sz w:val="20"/>
          <w:szCs w:val="20"/>
          <w:rtl/>
        </w:rPr>
        <w:t>למטבל</w:t>
      </w:r>
      <w:r>
        <w:rPr>
          <w:rFonts w:cs="Arial" w:hint="cs"/>
          <w:sz w:val="20"/>
          <w:szCs w:val="20"/>
          <w:rtl/>
        </w:rPr>
        <w:t xml:space="preserve"> </w:t>
      </w:r>
      <w:r w:rsidRPr="007923C0">
        <w:rPr>
          <w:rFonts w:cs="Arial" w:hint="cs"/>
          <w:sz w:val="18"/>
          <w:szCs w:val="18"/>
          <w:rtl/>
        </w:rPr>
        <w:t>(משום בושה או משום פחד</w:t>
      </w:r>
      <w:r>
        <w:rPr>
          <w:rStyle w:val="a5"/>
          <w:rFonts w:cs="Arial"/>
          <w:sz w:val="18"/>
          <w:szCs w:val="18"/>
          <w:rtl/>
        </w:rPr>
        <w:footnoteReference w:id="56"/>
      </w:r>
      <w:r w:rsidRPr="007923C0">
        <w:rPr>
          <w:rFonts w:cs="Arial" w:hint="cs"/>
          <w:sz w:val="18"/>
          <w:szCs w:val="18"/>
          <w:rtl/>
        </w:rPr>
        <w:t>)</w:t>
      </w:r>
      <w:r w:rsidRPr="00240889">
        <w:rPr>
          <w:rFonts w:cs="Arial"/>
          <w:sz w:val="20"/>
          <w:szCs w:val="20"/>
          <w:rtl/>
        </w:rPr>
        <w:t xml:space="preserve">? </w:t>
      </w:r>
      <w:r w:rsidRPr="00240889">
        <w:rPr>
          <w:rFonts w:cs="Arial" w:hint="cs"/>
          <w:sz w:val="20"/>
          <w:szCs w:val="20"/>
          <w:rtl/>
        </w:rPr>
        <w:t>אמר</w:t>
      </w:r>
      <w:r w:rsidRPr="00240889">
        <w:rPr>
          <w:rFonts w:cs="Arial"/>
          <w:sz w:val="20"/>
          <w:szCs w:val="20"/>
          <w:rtl/>
        </w:rPr>
        <w:t xml:space="preserve"> </w:t>
      </w:r>
      <w:r w:rsidRPr="00240889">
        <w:rPr>
          <w:rFonts w:cs="Arial" w:hint="cs"/>
          <w:sz w:val="20"/>
          <w:szCs w:val="20"/>
          <w:rtl/>
        </w:rPr>
        <w:t>ליה</w:t>
      </w:r>
      <w:r w:rsidRPr="00240889">
        <w:rPr>
          <w:rFonts w:cs="Arial"/>
          <w:sz w:val="20"/>
          <w:szCs w:val="20"/>
          <w:rtl/>
        </w:rPr>
        <w:t xml:space="preserve">: </w:t>
      </w:r>
      <w:r w:rsidRPr="00240889">
        <w:rPr>
          <w:rFonts w:cs="Arial" w:hint="cs"/>
          <w:sz w:val="20"/>
          <w:szCs w:val="20"/>
          <w:rtl/>
        </w:rPr>
        <w:t>אטו</w:t>
      </w:r>
      <w:r w:rsidRPr="00240889">
        <w:rPr>
          <w:rFonts w:cs="Arial"/>
          <w:sz w:val="20"/>
          <w:szCs w:val="20"/>
          <w:rtl/>
        </w:rPr>
        <w:t xml:space="preserve"> </w:t>
      </w:r>
      <w:r w:rsidRPr="00240889">
        <w:rPr>
          <w:rFonts w:cs="Arial" w:hint="cs"/>
          <w:sz w:val="20"/>
          <w:szCs w:val="20"/>
          <w:rtl/>
        </w:rPr>
        <w:t>ודאי</w:t>
      </w:r>
      <w:r w:rsidRPr="00240889">
        <w:rPr>
          <w:rFonts w:cs="Arial"/>
          <w:sz w:val="20"/>
          <w:szCs w:val="20"/>
          <w:rtl/>
        </w:rPr>
        <w:t xml:space="preserve"> </w:t>
      </w:r>
      <w:r w:rsidRPr="00240889">
        <w:rPr>
          <w:rFonts w:cs="Arial" w:hint="cs"/>
          <w:sz w:val="20"/>
          <w:szCs w:val="20"/>
          <w:rtl/>
        </w:rPr>
        <w:t>ראתה</w:t>
      </w:r>
      <w:r w:rsidRPr="00240889">
        <w:rPr>
          <w:rFonts w:cs="Arial"/>
          <w:sz w:val="20"/>
          <w:szCs w:val="20"/>
          <w:rtl/>
        </w:rPr>
        <w:t xml:space="preserve"> </w:t>
      </w:r>
      <w:r w:rsidRPr="00240889">
        <w:rPr>
          <w:rFonts w:cs="Arial" w:hint="cs"/>
          <w:sz w:val="20"/>
          <w:szCs w:val="20"/>
          <w:rtl/>
        </w:rPr>
        <w:t>מי</w:t>
      </w:r>
      <w:r w:rsidRPr="00240889">
        <w:rPr>
          <w:rFonts w:cs="Arial"/>
          <w:sz w:val="20"/>
          <w:szCs w:val="20"/>
          <w:rtl/>
        </w:rPr>
        <w:t xml:space="preserve"> </w:t>
      </w:r>
      <w:r w:rsidRPr="00240889">
        <w:rPr>
          <w:rFonts w:cs="Arial" w:hint="cs"/>
          <w:sz w:val="20"/>
          <w:szCs w:val="20"/>
          <w:rtl/>
        </w:rPr>
        <w:t>אמר</w:t>
      </w:r>
      <w:r w:rsidRPr="00240889">
        <w:rPr>
          <w:rFonts w:cs="Arial"/>
          <w:sz w:val="20"/>
          <w:szCs w:val="20"/>
          <w:rtl/>
        </w:rPr>
        <w:t xml:space="preserve"> </w:t>
      </w:r>
      <w:r w:rsidRPr="00240889">
        <w:rPr>
          <w:rFonts w:cs="Arial" w:hint="cs"/>
          <w:sz w:val="20"/>
          <w:szCs w:val="20"/>
          <w:rtl/>
        </w:rPr>
        <w:t>רבי</w:t>
      </w:r>
      <w:r w:rsidRPr="00240889">
        <w:rPr>
          <w:rFonts w:cs="Arial"/>
          <w:sz w:val="20"/>
          <w:szCs w:val="20"/>
          <w:rtl/>
        </w:rPr>
        <w:t xml:space="preserve"> </w:t>
      </w:r>
      <w:r w:rsidRPr="00240889">
        <w:rPr>
          <w:rFonts w:cs="Arial" w:hint="cs"/>
          <w:sz w:val="20"/>
          <w:szCs w:val="20"/>
          <w:rtl/>
        </w:rPr>
        <w:t>יוחנן</w:t>
      </w:r>
      <w:r w:rsidRPr="00240889">
        <w:rPr>
          <w:rFonts w:cs="Arial"/>
          <w:sz w:val="20"/>
          <w:szCs w:val="20"/>
          <w:rtl/>
        </w:rPr>
        <w:t xml:space="preserve">? </w:t>
      </w:r>
      <w:r w:rsidRPr="00240889">
        <w:rPr>
          <w:rFonts w:cs="Arial" w:hint="cs"/>
          <w:sz w:val="20"/>
          <w:szCs w:val="20"/>
          <w:rtl/>
        </w:rPr>
        <w:t>אימר</w:t>
      </w:r>
      <w:r w:rsidRPr="00240889">
        <w:rPr>
          <w:rFonts w:cs="Arial"/>
          <w:sz w:val="20"/>
          <w:szCs w:val="20"/>
          <w:rtl/>
        </w:rPr>
        <w:t xml:space="preserve"> </w:t>
      </w:r>
      <w:r w:rsidRPr="00240889">
        <w:rPr>
          <w:rFonts w:cs="Arial" w:hint="cs"/>
          <w:sz w:val="20"/>
          <w:szCs w:val="20"/>
          <w:rtl/>
        </w:rPr>
        <w:t>דאמר</w:t>
      </w:r>
      <w:r w:rsidRPr="00240889">
        <w:rPr>
          <w:rFonts w:cs="Arial"/>
          <w:sz w:val="20"/>
          <w:szCs w:val="20"/>
          <w:rtl/>
        </w:rPr>
        <w:t xml:space="preserve"> </w:t>
      </w:r>
      <w:r w:rsidRPr="00240889">
        <w:rPr>
          <w:rFonts w:cs="Arial" w:hint="cs"/>
          <w:sz w:val="20"/>
          <w:szCs w:val="20"/>
          <w:rtl/>
        </w:rPr>
        <w:t>רבי</w:t>
      </w:r>
      <w:r w:rsidRPr="00240889">
        <w:rPr>
          <w:rFonts w:cs="Arial"/>
          <w:sz w:val="20"/>
          <w:szCs w:val="20"/>
          <w:rtl/>
        </w:rPr>
        <w:t xml:space="preserve"> </w:t>
      </w:r>
      <w:r w:rsidRPr="00240889">
        <w:rPr>
          <w:rFonts w:cs="Arial" w:hint="cs"/>
          <w:sz w:val="20"/>
          <w:szCs w:val="20"/>
          <w:rtl/>
        </w:rPr>
        <w:t>יוחנן</w:t>
      </w:r>
      <w:r w:rsidRPr="00240889">
        <w:rPr>
          <w:rFonts w:cs="Arial"/>
          <w:sz w:val="20"/>
          <w:szCs w:val="20"/>
          <w:rtl/>
        </w:rPr>
        <w:t xml:space="preserve"> - </w:t>
      </w:r>
      <w:r w:rsidRPr="00240889">
        <w:rPr>
          <w:rFonts w:cs="Arial" w:hint="cs"/>
          <w:sz w:val="20"/>
          <w:szCs w:val="20"/>
          <w:rtl/>
        </w:rPr>
        <w:t>ספק</w:t>
      </w:r>
      <w:r w:rsidRPr="00240889">
        <w:rPr>
          <w:rFonts w:cs="Arial"/>
          <w:sz w:val="20"/>
          <w:szCs w:val="20"/>
          <w:rtl/>
        </w:rPr>
        <w:t xml:space="preserve"> </w:t>
      </w:r>
      <w:r w:rsidRPr="00240889">
        <w:rPr>
          <w:rFonts w:cs="Arial" w:hint="cs"/>
          <w:sz w:val="20"/>
          <w:szCs w:val="20"/>
          <w:rtl/>
        </w:rPr>
        <w:t>ראתה</w:t>
      </w:r>
      <w:r w:rsidRPr="00240889">
        <w:rPr>
          <w:rFonts w:cs="Arial"/>
          <w:sz w:val="20"/>
          <w:szCs w:val="20"/>
          <w:rtl/>
        </w:rPr>
        <w:t xml:space="preserve"> </w:t>
      </w:r>
      <w:r w:rsidRPr="00240889">
        <w:rPr>
          <w:rFonts w:cs="Arial" w:hint="cs"/>
          <w:sz w:val="20"/>
          <w:szCs w:val="20"/>
          <w:rtl/>
        </w:rPr>
        <w:t>ספק</w:t>
      </w:r>
      <w:r w:rsidRPr="00240889">
        <w:rPr>
          <w:rFonts w:cs="Arial"/>
          <w:sz w:val="20"/>
          <w:szCs w:val="20"/>
          <w:rtl/>
        </w:rPr>
        <w:t xml:space="preserve"> </w:t>
      </w:r>
      <w:r w:rsidRPr="00240889">
        <w:rPr>
          <w:rFonts w:cs="Arial" w:hint="cs"/>
          <w:sz w:val="20"/>
          <w:szCs w:val="20"/>
          <w:rtl/>
        </w:rPr>
        <w:t>לא</w:t>
      </w:r>
      <w:r w:rsidRPr="00240889">
        <w:rPr>
          <w:rFonts w:cs="Arial"/>
          <w:sz w:val="20"/>
          <w:szCs w:val="20"/>
          <w:rtl/>
        </w:rPr>
        <w:t xml:space="preserve"> </w:t>
      </w:r>
      <w:r w:rsidRPr="00240889">
        <w:rPr>
          <w:rFonts w:cs="Arial" w:hint="cs"/>
          <w:sz w:val="20"/>
          <w:szCs w:val="20"/>
          <w:rtl/>
        </w:rPr>
        <w:t>ראתה</w:t>
      </w:r>
      <w:r w:rsidRPr="00240889">
        <w:rPr>
          <w:rFonts w:cs="Arial"/>
          <w:sz w:val="20"/>
          <w:szCs w:val="20"/>
          <w:rtl/>
        </w:rPr>
        <w:t xml:space="preserve">, </w:t>
      </w:r>
      <w:r w:rsidRPr="00240889">
        <w:rPr>
          <w:rFonts w:cs="Arial" w:hint="cs"/>
          <w:sz w:val="20"/>
          <w:szCs w:val="20"/>
          <w:rtl/>
        </w:rPr>
        <w:t>ואם</w:t>
      </w:r>
      <w:r w:rsidRPr="00240889">
        <w:rPr>
          <w:rFonts w:cs="Arial"/>
          <w:sz w:val="20"/>
          <w:szCs w:val="20"/>
          <w:rtl/>
        </w:rPr>
        <w:t xml:space="preserve"> </w:t>
      </w:r>
      <w:r w:rsidRPr="00240889">
        <w:rPr>
          <w:rFonts w:cs="Arial" w:hint="cs"/>
          <w:sz w:val="20"/>
          <w:szCs w:val="20"/>
          <w:rtl/>
        </w:rPr>
        <w:t>תמצא</w:t>
      </w:r>
      <w:r w:rsidRPr="00240889">
        <w:rPr>
          <w:rFonts w:cs="Arial"/>
          <w:sz w:val="20"/>
          <w:szCs w:val="20"/>
          <w:rtl/>
        </w:rPr>
        <w:t xml:space="preserve"> </w:t>
      </w:r>
      <w:r w:rsidRPr="00240889">
        <w:rPr>
          <w:rFonts w:cs="Arial" w:hint="cs"/>
          <w:sz w:val="20"/>
          <w:szCs w:val="20"/>
          <w:rtl/>
        </w:rPr>
        <w:t>לומר</w:t>
      </w:r>
      <w:r w:rsidRPr="00240889">
        <w:rPr>
          <w:rFonts w:cs="Arial"/>
          <w:sz w:val="20"/>
          <w:szCs w:val="20"/>
          <w:rtl/>
        </w:rPr>
        <w:t xml:space="preserve"> </w:t>
      </w:r>
      <w:r w:rsidRPr="00240889">
        <w:rPr>
          <w:rFonts w:cs="Arial" w:hint="cs"/>
          <w:sz w:val="20"/>
          <w:szCs w:val="20"/>
          <w:rtl/>
        </w:rPr>
        <w:t>ראתה</w:t>
      </w:r>
      <w:r w:rsidRPr="00240889">
        <w:rPr>
          <w:rFonts w:cs="Arial"/>
          <w:sz w:val="20"/>
          <w:szCs w:val="20"/>
          <w:rtl/>
        </w:rPr>
        <w:t xml:space="preserve"> - </w:t>
      </w:r>
      <w:r w:rsidRPr="00240889">
        <w:rPr>
          <w:rFonts w:cs="Arial" w:hint="cs"/>
          <w:sz w:val="20"/>
          <w:szCs w:val="20"/>
          <w:rtl/>
        </w:rPr>
        <w:t>אימא</w:t>
      </w:r>
      <w:r w:rsidRPr="00240889">
        <w:rPr>
          <w:rFonts w:cs="Arial"/>
          <w:sz w:val="20"/>
          <w:szCs w:val="20"/>
          <w:rtl/>
        </w:rPr>
        <w:t xml:space="preserve"> </w:t>
      </w:r>
      <w:r w:rsidRPr="00240889">
        <w:rPr>
          <w:rFonts w:cs="Arial" w:hint="cs"/>
          <w:sz w:val="20"/>
          <w:szCs w:val="20"/>
          <w:rtl/>
        </w:rPr>
        <w:t>טבלה</w:t>
      </w:r>
      <w:r w:rsidRPr="00240889">
        <w:rPr>
          <w:rFonts w:cs="Arial"/>
          <w:sz w:val="20"/>
          <w:szCs w:val="20"/>
          <w:rtl/>
        </w:rPr>
        <w:t xml:space="preserve">, </w:t>
      </w:r>
      <w:r w:rsidRPr="00240889">
        <w:rPr>
          <w:rFonts w:cs="Arial" w:hint="cs"/>
          <w:sz w:val="20"/>
          <w:szCs w:val="20"/>
          <w:rtl/>
        </w:rPr>
        <w:t>אבל</w:t>
      </w:r>
      <w:r w:rsidRPr="00240889">
        <w:rPr>
          <w:rFonts w:cs="Arial"/>
          <w:sz w:val="20"/>
          <w:szCs w:val="20"/>
          <w:rtl/>
        </w:rPr>
        <w:t xml:space="preserve"> </w:t>
      </w:r>
      <w:r w:rsidRPr="00240889">
        <w:rPr>
          <w:rFonts w:cs="Arial" w:hint="cs"/>
          <w:sz w:val="20"/>
          <w:szCs w:val="20"/>
          <w:rtl/>
        </w:rPr>
        <w:t>ודאי</w:t>
      </w:r>
      <w:r w:rsidRPr="00240889">
        <w:rPr>
          <w:rFonts w:cs="Arial"/>
          <w:sz w:val="20"/>
          <w:szCs w:val="20"/>
          <w:rtl/>
        </w:rPr>
        <w:t xml:space="preserve"> </w:t>
      </w:r>
      <w:r w:rsidRPr="00240889">
        <w:rPr>
          <w:rFonts w:cs="Arial" w:hint="cs"/>
          <w:sz w:val="20"/>
          <w:szCs w:val="20"/>
          <w:rtl/>
        </w:rPr>
        <w:t>ראתה</w:t>
      </w:r>
      <w:r w:rsidRPr="00240889">
        <w:rPr>
          <w:rFonts w:cs="Arial"/>
          <w:sz w:val="20"/>
          <w:szCs w:val="20"/>
          <w:rtl/>
        </w:rPr>
        <w:t xml:space="preserve"> - </w:t>
      </w:r>
      <w:r w:rsidRPr="00240889">
        <w:rPr>
          <w:rFonts w:cs="Arial" w:hint="cs"/>
          <w:sz w:val="20"/>
          <w:szCs w:val="20"/>
          <w:rtl/>
        </w:rPr>
        <w:t>מי</w:t>
      </w:r>
      <w:r w:rsidRPr="00240889">
        <w:rPr>
          <w:rFonts w:cs="Arial"/>
          <w:sz w:val="20"/>
          <w:szCs w:val="20"/>
          <w:rtl/>
        </w:rPr>
        <w:t xml:space="preserve"> </w:t>
      </w:r>
      <w:r w:rsidRPr="00240889">
        <w:rPr>
          <w:rFonts w:cs="Arial" w:hint="cs"/>
          <w:sz w:val="20"/>
          <w:szCs w:val="20"/>
          <w:rtl/>
        </w:rPr>
        <w:t>יימר</w:t>
      </w:r>
      <w:r w:rsidRPr="00240889">
        <w:rPr>
          <w:rFonts w:cs="Arial"/>
          <w:sz w:val="20"/>
          <w:szCs w:val="20"/>
          <w:rtl/>
        </w:rPr>
        <w:t xml:space="preserve"> </w:t>
      </w:r>
      <w:r w:rsidRPr="00240889">
        <w:rPr>
          <w:rFonts w:cs="Arial" w:hint="cs"/>
          <w:sz w:val="20"/>
          <w:szCs w:val="20"/>
          <w:rtl/>
        </w:rPr>
        <w:t>דטבלה</w:t>
      </w:r>
      <w:r w:rsidRPr="00240889">
        <w:rPr>
          <w:rFonts w:cs="Arial"/>
          <w:sz w:val="20"/>
          <w:szCs w:val="20"/>
          <w:rtl/>
        </w:rPr>
        <w:t xml:space="preserve">? </w:t>
      </w:r>
      <w:r w:rsidRPr="00240889">
        <w:rPr>
          <w:rFonts w:cs="Arial" w:hint="cs"/>
          <w:sz w:val="20"/>
          <w:szCs w:val="20"/>
          <w:rtl/>
        </w:rPr>
        <w:t>הוה</w:t>
      </w:r>
      <w:r w:rsidRPr="00240889">
        <w:rPr>
          <w:rFonts w:cs="Arial"/>
          <w:sz w:val="20"/>
          <w:szCs w:val="20"/>
          <w:rtl/>
        </w:rPr>
        <w:t xml:space="preserve"> </w:t>
      </w:r>
      <w:r w:rsidRPr="00240889">
        <w:rPr>
          <w:rFonts w:cs="Arial" w:hint="cs"/>
          <w:sz w:val="20"/>
          <w:szCs w:val="20"/>
          <w:rtl/>
        </w:rPr>
        <w:t>ליה</w:t>
      </w:r>
      <w:r w:rsidRPr="00240889">
        <w:rPr>
          <w:rFonts w:cs="Arial"/>
          <w:sz w:val="20"/>
          <w:szCs w:val="20"/>
          <w:rtl/>
        </w:rPr>
        <w:t xml:space="preserve"> </w:t>
      </w:r>
      <w:r w:rsidRPr="00240889">
        <w:rPr>
          <w:rFonts w:cs="Arial" w:hint="cs"/>
          <w:sz w:val="20"/>
          <w:szCs w:val="20"/>
          <w:rtl/>
        </w:rPr>
        <w:t>ספק</w:t>
      </w:r>
      <w:r w:rsidRPr="00240889">
        <w:rPr>
          <w:rFonts w:cs="Arial"/>
          <w:sz w:val="20"/>
          <w:szCs w:val="20"/>
          <w:rtl/>
        </w:rPr>
        <w:t xml:space="preserve"> </w:t>
      </w:r>
      <w:r w:rsidRPr="00240889">
        <w:rPr>
          <w:rFonts w:cs="Arial" w:hint="cs"/>
          <w:sz w:val="20"/>
          <w:szCs w:val="20"/>
          <w:rtl/>
        </w:rPr>
        <w:t>וודאי</w:t>
      </w:r>
      <w:r w:rsidRPr="00240889">
        <w:rPr>
          <w:rFonts w:cs="Arial"/>
          <w:sz w:val="20"/>
          <w:szCs w:val="20"/>
          <w:rtl/>
        </w:rPr>
        <w:t xml:space="preserve">, </w:t>
      </w:r>
      <w:r w:rsidRPr="00240889">
        <w:rPr>
          <w:rFonts w:cs="Arial" w:hint="cs"/>
          <w:sz w:val="20"/>
          <w:szCs w:val="20"/>
          <w:rtl/>
        </w:rPr>
        <w:t>ואין</w:t>
      </w:r>
      <w:r w:rsidRPr="00240889">
        <w:rPr>
          <w:rFonts w:cs="Arial"/>
          <w:sz w:val="20"/>
          <w:szCs w:val="20"/>
          <w:rtl/>
        </w:rPr>
        <w:t xml:space="preserve"> </w:t>
      </w:r>
      <w:r w:rsidRPr="00240889">
        <w:rPr>
          <w:rFonts w:cs="Arial" w:hint="cs"/>
          <w:sz w:val="20"/>
          <w:szCs w:val="20"/>
          <w:rtl/>
        </w:rPr>
        <w:t>ספק</w:t>
      </w:r>
      <w:r w:rsidRPr="00240889">
        <w:rPr>
          <w:rFonts w:cs="Arial"/>
          <w:sz w:val="20"/>
          <w:szCs w:val="20"/>
          <w:rtl/>
        </w:rPr>
        <w:t xml:space="preserve"> </w:t>
      </w:r>
      <w:r w:rsidRPr="00240889">
        <w:rPr>
          <w:rFonts w:cs="Arial" w:hint="cs"/>
          <w:sz w:val="20"/>
          <w:szCs w:val="20"/>
          <w:rtl/>
        </w:rPr>
        <w:t>מוציא</w:t>
      </w:r>
      <w:r w:rsidRPr="00240889">
        <w:rPr>
          <w:rFonts w:cs="Arial"/>
          <w:sz w:val="20"/>
          <w:szCs w:val="20"/>
          <w:rtl/>
        </w:rPr>
        <w:t xml:space="preserve"> </w:t>
      </w:r>
      <w:r w:rsidRPr="00240889">
        <w:rPr>
          <w:rFonts w:cs="Arial" w:hint="cs"/>
          <w:sz w:val="20"/>
          <w:szCs w:val="20"/>
          <w:rtl/>
        </w:rPr>
        <w:t>מידי</w:t>
      </w:r>
      <w:r w:rsidRPr="00240889">
        <w:rPr>
          <w:rFonts w:cs="Arial"/>
          <w:sz w:val="20"/>
          <w:szCs w:val="20"/>
          <w:rtl/>
        </w:rPr>
        <w:t xml:space="preserve"> </w:t>
      </w:r>
      <w:r w:rsidRPr="00240889">
        <w:rPr>
          <w:rFonts w:cs="Arial" w:hint="cs"/>
          <w:sz w:val="20"/>
          <w:szCs w:val="20"/>
          <w:rtl/>
        </w:rPr>
        <w:t>ודאי</w:t>
      </w:r>
      <w:r>
        <w:rPr>
          <w:rFonts w:cs="Arial" w:hint="cs"/>
          <w:sz w:val="20"/>
          <w:szCs w:val="20"/>
          <w:rtl/>
        </w:rPr>
        <w:t>".</w:t>
      </w:r>
    </w:p>
    <w:p w:rsidR="00620060" w:rsidRDefault="00620060" w:rsidP="00620060">
      <w:pPr>
        <w:rPr>
          <w:sz w:val="20"/>
          <w:szCs w:val="20"/>
          <w:rtl/>
        </w:rPr>
      </w:pPr>
      <w:r w:rsidRPr="00885F1C">
        <w:rPr>
          <w:rFonts w:hint="cs"/>
          <w:b/>
          <w:bCs/>
          <w:sz w:val="20"/>
          <w:szCs w:val="20"/>
          <w:rtl/>
        </w:rPr>
        <w:t>שיטות הראשונים</w:t>
      </w:r>
      <w:r>
        <w:rPr>
          <w:sz w:val="20"/>
          <w:szCs w:val="20"/>
          <w:u w:val="single"/>
          <w:rtl/>
        </w:rPr>
        <w:br/>
      </w:r>
      <w:r>
        <w:rPr>
          <w:rFonts w:hint="cs"/>
          <w:sz w:val="20"/>
          <w:szCs w:val="20"/>
          <w:rtl/>
        </w:rPr>
        <w:t xml:space="preserve">א. </w:t>
      </w:r>
      <w:r w:rsidRPr="0073648E">
        <w:rPr>
          <w:rFonts w:hint="cs"/>
          <w:b/>
          <w:bCs/>
          <w:sz w:val="20"/>
          <w:szCs w:val="20"/>
          <w:rtl/>
        </w:rPr>
        <w:t>רשב"א ותוספות</w:t>
      </w:r>
      <w:r>
        <w:rPr>
          <w:rFonts w:hint="cs"/>
          <w:sz w:val="20"/>
          <w:szCs w:val="20"/>
          <w:rtl/>
        </w:rPr>
        <w:t xml:space="preserve"> </w:t>
      </w:r>
      <w:r>
        <w:rPr>
          <w:sz w:val="20"/>
          <w:szCs w:val="20"/>
          <w:rtl/>
        </w:rPr>
        <w:t>–</w:t>
      </w:r>
      <w:r>
        <w:rPr>
          <w:rFonts w:hint="cs"/>
          <w:sz w:val="20"/>
          <w:szCs w:val="20"/>
          <w:rtl/>
        </w:rPr>
        <w:t xml:space="preserve"> מותר לבוא על אשתו רק כשלא הגיע עת ווסתה או יום ל' לראייתה, ואם הגיע יום ווסתה או יום ל' ועבר די זמן כדי שתוכל להיטהר, מותרת לו, וכ"פ </w:t>
      </w:r>
      <w:r w:rsidRPr="009A3040">
        <w:rPr>
          <w:rFonts w:hint="cs"/>
          <w:b/>
          <w:bCs/>
          <w:sz w:val="20"/>
          <w:szCs w:val="20"/>
          <w:rtl/>
        </w:rPr>
        <w:t>המחבר</w:t>
      </w:r>
      <w:r>
        <w:rPr>
          <w:rFonts w:hint="cs"/>
          <w:sz w:val="20"/>
          <w:szCs w:val="20"/>
          <w:rtl/>
        </w:rPr>
        <w:t>.</w:t>
      </w:r>
      <w:r>
        <w:rPr>
          <w:rStyle w:val="a5"/>
          <w:sz w:val="20"/>
          <w:szCs w:val="20"/>
          <w:rtl/>
        </w:rPr>
        <w:footnoteReference w:id="57"/>
      </w:r>
      <w:r>
        <w:rPr>
          <w:sz w:val="20"/>
          <w:szCs w:val="20"/>
          <w:rtl/>
        </w:rPr>
        <w:br/>
      </w:r>
      <w:r>
        <w:rPr>
          <w:rFonts w:hint="cs"/>
          <w:sz w:val="20"/>
          <w:szCs w:val="20"/>
          <w:rtl/>
        </w:rPr>
        <w:t xml:space="preserve">ב. </w:t>
      </w:r>
      <w:r w:rsidRPr="0073648E">
        <w:rPr>
          <w:rFonts w:hint="cs"/>
          <w:b/>
          <w:bCs/>
          <w:sz w:val="20"/>
          <w:szCs w:val="20"/>
          <w:rtl/>
        </w:rPr>
        <w:t>רי"ף ורמב"ם</w:t>
      </w:r>
      <w:r>
        <w:rPr>
          <w:rFonts w:hint="cs"/>
          <w:sz w:val="20"/>
          <w:szCs w:val="20"/>
          <w:rtl/>
        </w:rPr>
        <w:t xml:space="preserve"> </w:t>
      </w:r>
      <w:r>
        <w:rPr>
          <w:sz w:val="20"/>
          <w:szCs w:val="20"/>
          <w:rtl/>
        </w:rPr>
        <w:t>–</w:t>
      </w:r>
      <w:r>
        <w:rPr>
          <w:rFonts w:hint="cs"/>
          <w:sz w:val="20"/>
          <w:szCs w:val="20"/>
          <w:rtl/>
        </w:rPr>
        <w:t xml:space="preserve"> תמיד מותר לבוא על אשתו עד שתאמר לו שהיא טמאה או תלבש בגדי נידותה, למעט יום ווסתה שאסורה לו. </w:t>
      </w:r>
    </w:p>
    <w:p w:rsidR="00620060" w:rsidRDefault="00620060" w:rsidP="00620060">
      <w:pPr>
        <w:rPr>
          <w:sz w:val="20"/>
          <w:szCs w:val="20"/>
          <w:rtl/>
        </w:rPr>
      </w:pPr>
      <w:r>
        <w:rPr>
          <w:rFonts w:hint="cs"/>
          <w:sz w:val="20"/>
          <w:szCs w:val="20"/>
          <w:u w:val="single"/>
          <w:rtl/>
        </w:rPr>
        <w:t>ביאור שיטת תוספות ורשב"א</w:t>
      </w:r>
      <w:r>
        <w:rPr>
          <w:sz w:val="20"/>
          <w:szCs w:val="20"/>
          <w:u w:val="single"/>
          <w:rtl/>
        </w:rPr>
        <w:br/>
      </w:r>
      <w:r>
        <w:rPr>
          <w:rFonts w:hint="cs"/>
          <w:sz w:val="20"/>
          <w:szCs w:val="20"/>
          <w:rtl/>
        </w:rPr>
        <w:t xml:space="preserve">מחלוקת רב הונא ורבב"ח </w:t>
      </w:r>
      <w:r w:rsidRPr="009E6874">
        <w:rPr>
          <w:rFonts w:hint="cs"/>
          <w:sz w:val="18"/>
          <w:szCs w:val="18"/>
          <w:rtl/>
        </w:rPr>
        <w:t>(מקור א)</w:t>
      </w:r>
      <w:r>
        <w:rPr>
          <w:rFonts w:hint="cs"/>
          <w:sz w:val="20"/>
          <w:szCs w:val="20"/>
          <w:rtl/>
        </w:rPr>
        <w:t xml:space="preserve">, האם מותרת אף לאחר שהגיעה שעת ווסתה, נאמרה באופן ששהתה כדי זמן שתוכל למנות ז' נקיים ולטבול, ואעפ"כ רב הונא אוסר, ומה שרבה בר בר חנה מתיר היינו רק מכיוון שתולים בכך שנטהרה. ולפי הסבר זה, דברי רבי יוחנן </w:t>
      </w:r>
      <w:r w:rsidRPr="0073648E">
        <w:rPr>
          <w:rFonts w:hint="cs"/>
          <w:sz w:val="18"/>
          <w:szCs w:val="18"/>
          <w:rtl/>
        </w:rPr>
        <w:t xml:space="preserve">(מקור ב) </w:t>
      </w:r>
      <w:r>
        <w:rPr>
          <w:rFonts w:hint="cs"/>
          <w:sz w:val="20"/>
          <w:szCs w:val="20"/>
          <w:rtl/>
        </w:rPr>
        <w:t>תואמים לדברי רבב"ח.</w:t>
      </w:r>
      <w:r>
        <w:rPr>
          <w:sz w:val="20"/>
          <w:szCs w:val="20"/>
          <w:rtl/>
        </w:rPr>
        <w:br/>
      </w:r>
      <w:r>
        <w:rPr>
          <w:rFonts w:hint="cs"/>
          <w:sz w:val="20"/>
          <w:szCs w:val="20"/>
          <w:rtl/>
        </w:rPr>
        <w:br/>
      </w:r>
      <w:r w:rsidRPr="0073648E">
        <w:rPr>
          <w:rFonts w:hint="cs"/>
          <w:sz w:val="20"/>
          <w:szCs w:val="20"/>
          <w:u w:val="single"/>
          <w:rtl/>
        </w:rPr>
        <w:t>כלומר</w:t>
      </w:r>
      <w:r>
        <w:rPr>
          <w:rFonts w:hint="cs"/>
          <w:sz w:val="20"/>
          <w:szCs w:val="20"/>
          <w:rtl/>
        </w:rPr>
        <w:t xml:space="preserve"> - רבי יוחנן מתיר לבוא על אשתו כשאינו יודע אם היא טהורה, ובלבד שאינו יודע בבירור שראתה, משום </w:t>
      </w:r>
      <w:r>
        <w:rPr>
          <w:rFonts w:hint="cs"/>
          <w:sz w:val="20"/>
          <w:szCs w:val="20"/>
          <w:rtl/>
        </w:rPr>
        <w:lastRenderedPageBreak/>
        <w:t>שאף את"ל שראתה היתה לה אפשרות להיטהר, וכיוון שזהו ספק ספקא שריא</w:t>
      </w:r>
      <w:r>
        <w:rPr>
          <w:rStyle w:val="a5"/>
          <w:sz w:val="20"/>
          <w:szCs w:val="20"/>
          <w:rtl/>
        </w:rPr>
        <w:footnoteReference w:id="58"/>
      </w:r>
      <w:r>
        <w:rPr>
          <w:rFonts w:hint="cs"/>
          <w:sz w:val="20"/>
          <w:szCs w:val="20"/>
          <w:rtl/>
        </w:rPr>
        <w:t xml:space="preserve">. אך אם ראתה בוודאות, או אפילו רק ספק ראתה אך לא היתה לה אפשרות להיטהר </w:t>
      </w:r>
      <w:r>
        <w:rPr>
          <w:sz w:val="20"/>
          <w:szCs w:val="20"/>
          <w:rtl/>
        </w:rPr>
        <w:t>–</w:t>
      </w:r>
      <w:r>
        <w:rPr>
          <w:rFonts w:hint="cs"/>
          <w:sz w:val="20"/>
          <w:szCs w:val="20"/>
          <w:rtl/>
        </w:rPr>
        <w:t xml:space="preserve"> אסור לבוא עליה. טעמו של רבי יוחנן הוא משום שווסתות דרבנן, וכך סובר גם רבב"ח, ובכך עולים דבריהם בקנה אחד.</w:t>
      </w:r>
    </w:p>
    <w:p w:rsidR="00620060" w:rsidRPr="00CE24ED" w:rsidRDefault="00620060" w:rsidP="00620060">
      <w:pPr>
        <w:rPr>
          <w:sz w:val="20"/>
          <w:szCs w:val="20"/>
          <w:rtl/>
        </w:rPr>
      </w:pPr>
      <w:r>
        <w:rPr>
          <w:rFonts w:hint="cs"/>
          <w:sz w:val="20"/>
          <w:szCs w:val="20"/>
          <w:u w:val="single"/>
          <w:rtl/>
        </w:rPr>
        <w:t>ביאור שיטת הרמב"ם והרי"ף</w:t>
      </w:r>
      <w:r>
        <w:rPr>
          <w:sz w:val="20"/>
          <w:szCs w:val="20"/>
          <w:u w:val="single"/>
          <w:rtl/>
        </w:rPr>
        <w:br/>
      </w:r>
      <w:r>
        <w:rPr>
          <w:rFonts w:hint="cs"/>
          <w:sz w:val="20"/>
          <w:szCs w:val="20"/>
          <w:rtl/>
        </w:rPr>
        <w:t>רבב"ח ורבי יוחנן פליגי אהדדי, רבב"ח אסר רק ביום הווסת עצמו, אך לאחר מכן מותרת לו אע"פ שלא עברו די ימים כדי שתוכל להיטהר, וטעמו משום שווסתות דרבנן. אך רבי יוחנן אסר אם לא עבר זמן שיכולה להיטהר משום שס"ל ווסתות דאורייתא, ומכיוון שקיי"ל ווסתות דרבנן מותרת לו בכל עניין מלבד יום ווסתה.</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B04575">
        <w:rPr>
          <w:rFonts w:cs="Arial" w:hint="cs"/>
          <w:sz w:val="20"/>
          <w:szCs w:val="20"/>
          <w:rtl/>
        </w:rPr>
        <w:t>אשה</w:t>
      </w:r>
      <w:r w:rsidRPr="00B04575">
        <w:rPr>
          <w:rFonts w:cs="Arial"/>
          <w:sz w:val="20"/>
          <w:szCs w:val="20"/>
          <w:rtl/>
        </w:rPr>
        <w:t xml:space="preserve"> </w:t>
      </w:r>
      <w:r w:rsidRPr="00B04575">
        <w:rPr>
          <w:rFonts w:cs="Arial" w:hint="cs"/>
          <w:sz w:val="20"/>
          <w:szCs w:val="20"/>
          <w:rtl/>
        </w:rPr>
        <w:t>שיש</w:t>
      </w:r>
      <w:r w:rsidRPr="00B04575">
        <w:rPr>
          <w:rFonts w:cs="Arial"/>
          <w:sz w:val="20"/>
          <w:szCs w:val="20"/>
          <w:rtl/>
        </w:rPr>
        <w:t xml:space="preserve"> </w:t>
      </w:r>
      <w:r w:rsidRPr="00B04575">
        <w:rPr>
          <w:rFonts w:cs="Arial" w:hint="cs"/>
          <w:sz w:val="20"/>
          <w:szCs w:val="20"/>
          <w:rtl/>
        </w:rPr>
        <w:t>לה</w:t>
      </w:r>
      <w:r w:rsidRPr="00B04575">
        <w:rPr>
          <w:rFonts w:cs="Arial"/>
          <w:sz w:val="20"/>
          <w:szCs w:val="20"/>
          <w:rtl/>
        </w:rPr>
        <w:t xml:space="preserve"> </w:t>
      </w:r>
      <w:r w:rsidRPr="00B04575">
        <w:rPr>
          <w:rFonts w:cs="Arial" w:hint="cs"/>
          <w:sz w:val="20"/>
          <w:szCs w:val="20"/>
          <w:rtl/>
        </w:rPr>
        <w:t>וסת</w:t>
      </w:r>
      <w:r w:rsidRPr="00B04575">
        <w:rPr>
          <w:rFonts w:cs="Arial"/>
          <w:sz w:val="20"/>
          <w:szCs w:val="20"/>
          <w:rtl/>
        </w:rPr>
        <w:t xml:space="preserve"> </w:t>
      </w:r>
      <w:r w:rsidRPr="00B04575">
        <w:rPr>
          <w:rFonts w:cs="Arial" w:hint="cs"/>
          <w:sz w:val="20"/>
          <w:szCs w:val="20"/>
          <w:rtl/>
        </w:rPr>
        <w:t>לימים</w:t>
      </w:r>
      <w:r w:rsidRPr="00B04575">
        <w:rPr>
          <w:rFonts w:cs="Arial"/>
          <w:sz w:val="20"/>
          <w:szCs w:val="20"/>
          <w:rtl/>
        </w:rPr>
        <w:t xml:space="preserve"> </w:t>
      </w:r>
      <w:r w:rsidRPr="00B04575">
        <w:rPr>
          <w:rFonts w:cs="Arial" w:hint="cs"/>
          <w:sz w:val="20"/>
          <w:szCs w:val="20"/>
          <w:rtl/>
        </w:rPr>
        <w:t>לבד</w:t>
      </w:r>
      <w:r w:rsidRPr="00B04575">
        <w:rPr>
          <w:rFonts w:cs="Arial"/>
          <w:sz w:val="20"/>
          <w:szCs w:val="20"/>
          <w:rtl/>
        </w:rPr>
        <w:t xml:space="preserve">, </w:t>
      </w:r>
      <w:r w:rsidRPr="00B04575">
        <w:rPr>
          <w:rFonts w:cs="Arial" w:hint="cs"/>
          <w:sz w:val="20"/>
          <w:szCs w:val="20"/>
          <w:rtl/>
        </w:rPr>
        <w:t>והגיע</w:t>
      </w:r>
      <w:r w:rsidRPr="00B04575">
        <w:rPr>
          <w:rFonts w:cs="Arial"/>
          <w:sz w:val="20"/>
          <w:szCs w:val="20"/>
          <w:rtl/>
        </w:rPr>
        <w:t xml:space="preserve"> </w:t>
      </w:r>
      <w:r w:rsidRPr="00B04575">
        <w:rPr>
          <w:rFonts w:cs="Arial" w:hint="cs"/>
          <w:sz w:val="20"/>
          <w:szCs w:val="20"/>
          <w:rtl/>
        </w:rPr>
        <w:t>שעת</w:t>
      </w:r>
      <w:r w:rsidRPr="00B04575">
        <w:rPr>
          <w:rFonts w:cs="Arial"/>
          <w:sz w:val="20"/>
          <w:szCs w:val="20"/>
          <w:rtl/>
        </w:rPr>
        <w:t xml:space="preserve"> </w:t>
      </w:r>
      <w:r w:rsidRPr="00B04575">
        <w:rPr>
          <w:rFonts w:cs="Arial" w:hint="cs"/>
          <w:sz w:val="20"/>
          <w:szCs w:val="20"/>
          <w:rtl/>
        </w:rPr>
        <w:t>וסתה</w:t>
      </w:r>
      <w:r w:rsidRPr="00B04575">
        <w:rPr>
          <w:rFonts w:cs="Arial"/>
          <w:sz w:val="20"/>
          <w:szCs w:val="20"/>
          <w:rtl/>
        </w:rPr>
        <w:t xml:space="preserve">, </w:t>
      </w:r>
      <w:r w:rsidRPr="00B04575">
        <w:rPr>
          <w:rFonts w:cs="Arial" w:hint="cs"/>
          <w:sz w:val="20"/>
          <w:szCs w:val="20"/>
          <w:rtl/>
        </w:rPr>
        <w:t>אסור</w:t>
      </w:r>
      <w:r w:rsidRPr="00B04575">
        <w:rPr>
          <w:rFonts w:cs="Arial"/>
          <w:sz w:val="20"/>
          <w:szCs w:val="20"/>
          <w:rtl/>
        </w:rPr>
        <w:t xml:space="preserve"> </w:t>
      </w:r>
      <w:r w:rsidRPr="00B04575">
        <w:rPr>
          <w:rFonts w:cs="Arial" w:hint="cs"/>
          <w:sz w:val="20"/>
          <w:szCs w:val="20"/>
          <w:rtl/>
        </w:rPr>
        <w:t>לבא</w:t>
      </w:r>
      <w:r w:rsidRPr="00B04575">
        <w:rPr>
          <w:rFonts w:cs="Arial"/>
          <w:sz w:val="20"/>
          <w:szCs w:val="20"/>
          <w:rtl/>
        </w:rPr>
        <w:t xml:space="preserve"> </w:t>
      </w:r>
      <w:r w:rsidRPr="00B04575">
        <w:rPr>
          <w:rFonts w:cs="Arial" w:hint="cs"/>
          <w:sz w:val="20"/>
          <w:szCs w:val="20"/>
          <w:rtl/>
        </w:rPr>
        <w:t>עליה</w:t>
      </w:r>
      <w:r w:rsidRPr="00B04575">
        <w:rPr>
          <w:rFonts w:cs="Arial"/>
          <w:sz w:val="20"/>
          <w:szCs w:val="20"/>
          <w:rtl/>
        </w:rPr>
        <w:t xml:space="preserve"> </w:t>
      </w:r>
      <w:r w:rsidRPr="00B04575">
        <w:rPr>
          <w:rFonts w:cs="Arial" w:hint="cs"/>
          <w:sz w:val="20"/>
          <w:szCs w:val="20"/>
          <w:rtl/>
        </w:rPr>
        <w:t>עד</w:t>
      </w:r>
      <w:r w:rsidRPr="00B04575">
        <w:rPr>
          <w:rFonts w:cs="Arial"/>
          <w:sz w:val="20"/>
          <w:szCs w:val="20"/>
          <w:rtl/>
        </w:rPr>
        <w:t xml:space="preserve"> </w:t>
      </w:r>
      <w:r w:rsidRPr="00B04575">
        <w:rPr>
          <w:rFonts w:cs="Arial" w:hint="cs"/>
          <w:sz w:val="20"/>
          <w:szCs w:val="20"/>
          <w:rtl/>
        </w:rPr>
        <w:t>שישאלנה</w:t>
      </w:r>
      <w:r w:rsidRPr="00B04575">
        <w:rPr>
          <w:rFonts w:cs="Arial"/>
          <w:sz w:val="20"/>
          <w:szCs w:val="20"/>
          <w:rtl/>
        </w:rPr>
        <w:t xml:space="preserve">. </w:t>
      </w:r>
      <w:r w:rsidRPr="00B04575">
        <w:rPr>
          <w:rFonts w:cs="Arial" w:hint="cs"/>
          <w:sz w:val="20"/>
          <w:szCs w:val="20"/>
          <w:rtl/>
        </w:rPr>
        <w:t>ואם</w:t>
      </w:r>
      <w:r w:rsidRPr="00B04575">
        <w:rPr>
          <w:rFonts w:cs="Arial"/>
          <w:sz w:val="20"/>
          <w:szCs w:val="20"/>
          <w:rtl/>
        </w:rPr>
        <w:t xml:space="preserve"> </w:t>
      </w:r>
      <w:r w:rsidRPr="00B04575">
        <w:rPr>
          <w:rFonts w:cs="Arial" w:hint="cs"/>
          <w:sz w:val="20"/>
          <w:szCs w:val="20"/>
          <w:rtl/>
        </w:rPr>
        <w:t>אין</w:t>
      </w:r>
      <w:r w:rsidRPr="00B04575">
        <w:rPr>
          <w:rFonts w:cs="Arial"/>
          <w:sz w:val="20"/>
          <w:szCs w:val="20"/>
          <w:rtl/>
        </w:rPr>
        <w:t xml:space="preserve"> </w:t>
      </w:r>
      <w:r w:rsidRPr="00B04575">
        <w:rPr>
          <w:rFonts w:cs="Arial" w:hint="cs"/>
          <w:sz w:val="20"/>
          <w:szCs w:val="20"/>
          <w:rtl/>
        </w:rPr>
        <w:t>לה</w:t>
      </w:r>
      <w:r w:rsidRPr="00B04575">
        <w:rPr>
          <w:rFonts w:cs="Arial"/>
          <w:sz w:val="20"/>
          <w:szCs w:val="20"/>
          <w:rtl/>
        </w:rPr>
        <w:t xml:space="preserve"> </w:t>
      </w:r>
      <w:r w:rsidRPr="00B04575">
        <w:rPr>
          <w:rFonts w:cs="Arial" w:hint="cs"/>
          <w:sz w:val="20"/>
          <w:szCs w:val="20"/>
          <w:rtl/>
        </w:rPr>
        <w:t>וסת</w:t>
      </w:r>
      <w:r w:rsidRPr="00B04575">
        <w:rPr>
          <w:rFonts w:cs="Arial"/>
          <w:sz w:val="20"/>
          <w:szCs w:val="20"/>
          <w:rtl/>
        </w:rPr>
        <w:t xml:space="preserve">, </w:t>
      </w:r>
      <w:r w:rsidRPr="00B04575">
        <w:rPr>
          <w:rFonts w:cs="Arial" w:hint="cs"/>
          <w:sz w:val="20"/>
          <w:szCs w:val="20"/>
          <w:rtl/>
        </w:rPr>
        <w:t>יום</w:t>
      </w:r>
      <w:r w:rsidRPr="00B04575">
        <w:rPr>
          <w:rFonts w:cs="Arial"/>
          <w:sz w:val="20"/>
          <w:szCs w:val="20"/>
          <w:rtl/>
        </w:rPr>
        <w:t xml:space="preserve"> </w:t>
      </w:r>
      <w:r w:rsidRPr="00B04575">
        <w:rPr>
          <w:rFonts w:cs="Arial" w:hint="cs"/>
          <w:sz w:val="20"/>
          <w:szCs w:val="20"/>
          <w:rtl/>
        </w:rPr>
        <w:t>ל</w:t>
      </w:r>
      <w:r w:rsidRPr="00B04575">
        <w:rPr>
          <w:rFonts w:cs="Arial"/>
          <w:sz w:val="20"/>
          <w:szCs w:val="20"/>
          <w:rtl/>
        </w:rPr>
        <w:t xml:space="preserve">' </w:t>
      </w:r>
      <w:r w:rsidRPr="00B04575">
        <w:rPr>
          <w:rFonts w:cs="Arial" w:hint="cs"/>
          <w:sz w:val="20"/>
          <w:szCs w:val="20"/>
          <w:rtl/>
        </w:rPr>
        <w:t>לראייתה</w:t>
      </w:r>
      <w:r w:rsidRPr="00B04575">
        <w:rPr>
          <w:rFonts w:cs="Arial"/>
          <w:sz w:val="20"/>
          <w:szCs w:val="20"/>
          <w:rtl/>
        </w:rPr>
        <w:t xml:space="preserve"> </w:t>
      </w:r>
      <w:r w:rsidRPr="00B04575">
        <w:rPr>
          <w:rFonts w:cs="Arial" w:hint="cs"/>
          <w:sz w:val="20"/>
          <w:szCs w:val="20"/>
          <w:rtl/>
        </w:rPr>
        <w:t>הוי</w:t>
      </w:r>
      <w:r w:rsidRPr="00B04575">
        <w:rPr>
          <w:rFonts w:cs="Arial"/>
          <w:sz w:val="20"/>
          <w:szCs w:val="20"/>
          <w:rtl/>
        </w:rPr>
        <w:t xml:space="preserve"> </w:t>
      </w:r>
      <w:r w:rsidRPr="00B04575">
        <w:rPr>
          <w:rFonts w:cs="Arial" w:hint="cs"/>
          <w:sz w:val="20"/>
          <w:szCs w:val="20"/>
          <w:rtl/>
        </w:rPr>
        <w:t>כהגיע</w:t>
      </w:r>
      <w:r w:rsidRPr="00B04575">
        <w:rPr>
          <w:rFonts w:cs="Arial"/>
          <w:sz w:val="20"/>
          <w:szCs w:val="20"/>
          <w:rtl/>
        </w:rPr>
        <w:t xml:space="preserve"> </w:t>
      </w:r>
      <w:r w:rsidRPr="00B04575">
        <w:rPr>
          <w:rFonts w:cs="Arial" w:hint="cs"/>
          <w:sz w:val="20"/>
          <w:szCs w:val="20"/>
          <w:rtl/>
        </w:rPr>
        <w:t>שעת</w:t>
      </w:r>
      <w:r w:rsidRPr="00B04575">
        <w:rPr>
          <w:rFonts w:cs="Arial"/>
          <w:sz w:val="20"/>
          <w:szCs w:val="20"/>
          <w:rtl/>
        </w:rPr>
        <w:t xml:space="preserve"> </w:t>
      </w:r>
      <w:r w:rsidRPr="00B04575">
        <w:rPr>
          <w:rFonts w:cs="Arial" w:hint="cs"/>
          <w:sz w:val="20"/>
          <w:szCs w:val="20"/>
          <w:rtl/>
        </w:rPr>
        <w:t>וסתה</w:t>
      </w:r>
      <w:r w:rsidRPr="00B04575">
        <w:rPr>
          <w:rFonts w:cs="Arial"/>
          <w:sz w:val="20"/>
          <w:szCs w:val="20"/>
          <w:rtl/>
        </w:rPr>
        <w:t xml:space="preserve">. </w:t>
      </w:r>
      <w:r w:rsidRPr="00B04575">
        <w:rPr>
          <w:rFonts w:cs="Arial" w:hint="cs"/>
          <w:sz w:val="20"/>
          <w:szCs w:val="20"/>
          <w:rtl/>
        </w:rPr>
        <w:t>ואם</w:t>
      </w:r>
      <w:r w:rsidRPr="00B04575">
        <w:rPr>
          <w:rFonts w:cs="Arial"/>
          <w:sz w:val="20"/>
          <w:szCs w:val="20"/>
          <w:rtl/>
        </w:rPr>
        <w:t xml:space="preserve"> </w:t>
      </w:r>
      <w:r w:rsidRPr="00B04575">
        <w:rPr>
          <w:rFonts w:cs="Arial" w:hint="cs"/>
          <w:sz w:val="20"/>
          <w:szCs w:val="20"/>
          <w:rtl/>
        </w:rPr>
        <w:t>שהתה</w:t>
      </w:r>
      <w:r w:rsidRPr="00B04575">
        <w:rPr>
          <w:rFonts w:cs="Arial"/>
          <w:sz w:val="20"/>
          <w:szCs w:val="20"/>
          <w:rtl/>
        </w:rPr>
        <w:t xml:space="preserve"> </w:t>
      </w:r>
      <w:r w:rsidRPr="00B04575">
        <w:rPr>
          <w:rFonts w:cs="Arial" w:hint="cs"/>
          <w:sz w:val="20"/>
          <w:szCs w:val="20"/>
          <w:rtl/>
        </w:rPr>
        <w:t>אחר</w:t>
      </w:r>
      <w:r w:rsidRPr="00B04575">
        <w:rPr>
          <w:rFonts w:cs="Arial"/>
          <w:sz w:val="20"/>
          <w:szCs w:val="20"/>
          <w:rtl/>
        </w:rPr>
        <w:t xml:space="preserve"> </w:t>
      </w:r>
      <w:r w:rsidRPr="00B04575">
        <w:rPr>
          <w:rFonts w:cs="Arial" w:hint="cs"/>
          <w:sz w:val="20"/>
          <w:szCs w:val="20"/>
          <w:rtl/>
        </w:rPr>
        <w:t>הוסת</w:t>
      </w:r>
      <w:r w:rsidRPr="00B04575">
        <w:rPr>
          <w:rFonts w:cs="Arial"/>
          <w:sz w:val="20"/>
          <w:szCs w:val="20"/>
          <w:rtl/>
        </w:rPr>
        <w:t xml:space="preserve"> </w:t>
      </w:r>
      <w:r w:rsidRPr="00B04575">
        <w:rPr>
          <w:rFonts w:cs="Arial" w:hint="cs"/>
          <w:sz w:val="20"/>
          <w:szCs w:val="20"/>
          <w:rtl/>
        </w:rPr>
        <w:t>שיעור</w:t>
      </w:r>
      <w:r w:rsidRPr="00B04575">
        <w:rPr>
          <w:rFonts w:cs="Arial"/>
          <w:sz w:val="20"/>
          <w:szCs w:val="20"/>
          <w:rtl/>
        </w:rPr>
        <w:t xml:space="preserve"> </w:t>
      </w:r>
      <w:r w:rsidRPr="00B04575">
        <w:rPr>
          <w:rFonts w:cs="Arial" w:hint="cs"/>
          <w:sz w:val="20"/>
          <w:szCs w:val="20"/>
          <w:rtl/>
        </w:rPr>
        <w:t>שתספור</w:t>
      </w:r>
      <w:r w:rsidRPr="00B04575">
        <w:rPr>
          <w:rFonts w:cs="Arial"/>
          <w:sz w:val="20"/>
          <w:szCs w:val="20"/>
          <w:rtl/>
        </w:rPr>
        <w:t xml:space="preserve"> </w:t>
      </w:r>
      <w:r w:rsidRPr="00B04575">
        <w:rPr>
          <w:rFonts w:cs="Arial" w:hint="cs"/>
          <w:sz w:val="20"/>
          <w:szCs w:val="20"/>
          <w:rtl/>
        </w:rPr>
        <w:t>ותטבול</w:t>
      </w:r>
      <w:r w:rsidRPr="00B04575">
        <w:rPr>
          <w:rFonts w:cs="Arial"/>
          <w:sz w:val="20"/>
          <w:szCs w:val="20"/>
          <w:rtl/>
        </w:rPr>
        <w:t xml:space="preserve">, </w:t>
      </w:r>
      <w:r w:rsidRPr="00B04575">
        <w:rPr>
          <w:rFonts w:cs="Arial" w:hint="cs"/>
          <w:sz w:val="20"/>
          <w:szCs w:val="20"/>
          <w:rtl/>
        </w:rPr>
        <w:t>יבא</w:t>
      </w:r>
      <w:r w:rsidRPr="00B04575">
        <w:rPr>
          <w:rFonts w:cs="Arial"/>
          <w:sz w:val="20"/>
          <w:szCs w:val="20"/>
          <w:rtl/>
        </w:rPr>
        <w:t xml:space="preserve"> </w:t>
      </w:r>
      <w:r w:rsidRPr="00B04575">
        <w:rPr>
          <w:rFonts w:cs="Arial" w:hint="cs"/>
          <w:sz w:val="20"/>
          <w:szCs w:val="20"/>
          <w:rtl/>
        </w:rPr>
        <w:t>עליה</w:t>
      </w:r>
      <w:r w:rsidRPr="00B04575">
        <w:rPr>
          <w:rFonts w:cs="Arial"/>
          <w:sz w:val="20"/>
          <w:szCs w:val="20"/>
          <w:rtl/>
        </w:rPr>
        <w:t xml:space="preserve"> </w:t>
      </w:r>
      <w:r w:rsidRPr="00B04575">
        <w:rPr>
          <w:rFonts w:cs="Arial" w:hint="cs"/>
          <w:sz w:val="20"/>
          <w:szCs w:val="20"/>
          <w:rtl/>
        </w:rPr>
        <w:t>ואין</w:t>
      </w:r>
      <w:r w:rsidRPr="00B04575">
        <w:rPr>
          <w:rFonts w:cs="Arial"/>
          <w:sz w:val="20"/>
          <w:szCs w:val="20"/>
          <w:rtl/>
        </w:rPr>
        <w:t xml:space="preserve"> </w:t>
      </w:r>
      <w:r w:rsidRPr="00B04575">
        <w:rPr>
          <w:rFonts w:cs="Arial" w:hint="cs"/>
          <w:sz w:val="20"/>
          <w:szCs w:val="20"/>
          <w:rtl/>
        </w:rPr>
        <w:t>צריך</w:t>
      </w:r>
      <w:r w:rsidRPr="00B04575">
        <w:rPr>
          <w:rFonts w:cs="Arial"/>
          <w:sz w:val="20"/>
          <w:szCs w:val="20"/>
          <w:rtl/>
        </w:rPr>
        <w:t xml:space="preserve"> </w:t>
      </w:r>
      <w:r w:rsidRPr="00B04575">
        <w:rPr>
          <w:rFonts w:cs="Arial" w:hint="cs"/>
          <w:sz w:val="20"/>
          <w:szCs w:val="20"/>
          <w:rtl/>
        </w:rPr>
        <w:t>לשאול</w:t>
      </w:r>
      <w:r>
        <w:rPr>
          <w:rFonts w:cs="Arial" w:hint="cs"/>
          <w:sz w:val="20"/>
          <w:szCs w:val="20"/>
          <w:rtl/>
        </w:rPr>
        <w:t>"</w:t>
      </w:r>
      <w:r w:rsidRPr="00B04575">
        <w:rPr>
          <w:rFonts w:cs="Arial"/>
          <w:sz w:val="20"/>
          <w:szCs w:val="20"/>
          <w:rtl/>
        </w:rPr>
        <w:t>.</w:t>
      </w:r>
    </w:p>
    <w:p w:rsidR="00620060" w:rsidRDefault="00620060" w:rsidP="00620060">
      <w:pPr>
        <w:rPr>
          <w:sz w:val="20"/>
          <w:szCs w:val="20"/>
          <w:rtl/>
        </w:rPr>
      </w:pPr>
      <w:r>
        <w:rPr>
          <w:rFonts w:hint="cs"/>
          <w:sz w:val="20"/>
          <w:szCs w:val="20"/>
          <w:u w:val="single"/>
          <w:rtl/>
        </w:rPr>
        <w:t>לשמש עם אשתו כשהיא ישנה</w:t>
      </w:r>
      <w:r>
        <w:rPr>
          <w:rFonts w:hint="cs"/>
          <w:sz w:val="20"/>
          <w:szCs w:val="20"/>
          <w:u w:val="single"/>
          <w:rtl/>
        </w:rPr>
        <w:br/>
      </w:r>
      <w:r w:rsidRPr="007B59A2">
        <w:rPr>
          <w:rFonts w:hint="cs"/>
          <w:b/>
          <w:bCs/>
          <w:sz w:val="20"/>
          <w:szCs w:val="20"/>
          <w:rtl/>
        </w:rPr>
        <w:t>בית יוסף וש"ך</w:t>
      </w:r>
      <w:r>
        <w:rPr>
          <w:rFonts w:hint="cs"/>
          <w:sz w:val="20"/>
          <w:szCs w:val="20"/>
          <w:rtl/>
        </w:rPr>
        <w:t xml:space="preserve"> </w:t>
      </w:r>
      <w:r>
        <w:rPr>
          <w:sz w:val="20"/>
          <w:szCs w:val="20"/>
          <w:rtl/>
        </w:rPr>
        <w:t>–</w:t>
      </w:r>
      <w:r>
        <w:rPr>
          <w:rFonts w:hint="cs"/>
          <w:sz w:val="20"/>
          <w:szCs w:val="20"/>
          <w:rtl/>
        </w:rPr>
        <w:t xml:space="preserve"> מבואר בש"ס שכשאינו צריך לשאול את אשתו אם היא טהורה, אפילו אם היא ישנה מותרת.</w:t>
      </w:r>
      <w:r>
        <w:rPr>
          <w:sz w:val="20"/>
          <w:szCs w:val="20"/>
          <w:rtl/>
        </w:rPr>
        <w:br/>
      </w:r>
      <w:r>
        <w:rPr>
          <w:rFonts w:hint="cs"/>
          <w:sz w:val="20"/>
          <w:szCs w:val="20"/>
          <w:rtl/>
        </w:rPr>
        <w:t>ברם, ברור שאין הכוונה שהיא ישנה ממש, שהרי אסור לשמש עם אשתו כשהיא ישנה, אלא הכוונה היא שאינה יכולה להשיב לו אם היא טהורה.</w:t>
      </w:r>
    </w:p>
    <w:p w:rsidR="00620060" w:rsidRDefault="00620060" w:rsidP="00620060">
      <w:pPr>
        <w:rPr>
          <w:sz w:val="20"/>
          <w:szCs w:val="20"/>
          <w:rtl/>
        </w:rPr>
      </w:pPr>
      <w:r>
        <w:rPr>
          <w:rFonts w:hint="cs"/>
          <w:sz w:val="20"/>
          <w:szCs w:val="20"/>
          <w:u w:val="single"/>
          <w:rtl/>
        </w:rPr>
        <w:t>שכבה לצידו (פת"ש)</w:t>
      </w:r>
      <w:r>
        <w:rPr>
          <w:rFonts w:hint="cs"/>
          <w:sz w:val="20"/>
          <w:szCs w:val="20"/>
          <w:u w:val="single"/>
          <w:rtl/>
        </w:rPr>
        <w:br/>
      </w:r>
      <w:r w:rsidRPr="008B2480">
        <w:rPr>
          <w:rFonts w:hint="cs"/>
          <w:b/>
          <w:bCs/>
          <w:sz w:val="20"/>
          <w:szCs w:val="20"/>
          <w:rtl/>
        </w:rPr>
        <w:t>חוות דעת</w:t>
      </w:r>
      <w:r>
        <w:rPr>
          <w:rFonts w:hint="cs"/>
          <w:sz w:val="20"/>
          <w:szCs w:val="20"/>
          <w:rtl/>
        </w:rPr>
        <w:t xml:space="preserve"> </w:t>
      </w:r>
      <w:r>
        <w:rPr>
          <w:sz w:val="20"/>
          <w:szCs w:val="20"/>
          <w:rtl/>
        </w:rPr>
        <w:t>–</w:t>
      </w:r>
      <w:r>
        <w:rPr>
          <w:rFonts w:hint="cs"/>
          <w:sz w:val="20"/>
          <w:szCs w:val="20"/>
          <w:rtl/>
        </w:rPr>
        <w:t xml:space="preserve"> כשהגיע שעת ווסתה שצריך לשאולה אם היא מותרת, אפילו באה ושכבה לצידו אסורה לו, עד שתוציא מפיה שהיא טהורה.</w:t>
      </w:r>
    </w:p>
    <w:p w:rsidR="00620060" w:rsidRDefault="00620060" w:rsidP="00620060">
      <w:pPr>
        <w:rPr>
          <w:sz w:val="20"/>
          <w:szCs w:val="20"/>
          <w:rtl/>
        </w:rPr>
      </w:pPr>
      <w:r w:rsidRPr="000B1749">
        <w:rPr>
          <w:rFonts w:hint="cs"/>
          <w:b/>
          <w:bCs/>
          <w:sz w:val="20"/>
          <w:szCs w:val="20"/>
          <w:rtl/>
        </w:rPr>
        <w:t>סיכום</w:t>
      </w:r>
      <w:r>
        <w:rPr>
          <w:sz w:val="20"/>
          <w:szCs w:val="20"/>
          <w:rtl/>
        </w:rPr>
        <w:br/>
      </w:r>
      <w:r>
        <w:rPr>
          <w:rFonts w:hint="cs"/>
          <w:sz w:val="20"/>
          <w:szCs w:val="20"/>
          <w:rtl/>
        </w:rPr>
        <w:t xml:space="preserve">1. </w:t>
      </w:r>
      <w:r w:rsidRPr="00F732C5">
        <w:rPr>
          <w:rFonts w:hint="cs"/>
          <w:b/>
          <w:bCs/>
          <w:sz w:val="20"/>
          <w:szCs w:val="20"/>
          <w:rtl/>
        </w:rPr>
        <w:t>משנה</w:t>
      </w:r>
      <w:r>
        <w:rPr>
          <w:rFonts w:hint="cs"/>
          <w:sz w:val="20"/>
          <w:szCs w:val="20"/>
          <w:rtl/>
        </w:rPr>
        <w:t xml:space="preserve">. כל הנשים בחזקת טהרה לבעליהן. </w:t>
      </w:r>
      <w:r w:rsidRPr="00F732C5">
        <w:rPr>
          <w:rFonts w:hint="cs"/>
          <w:b/>
          <w:bCs/>
          <w:sz w:val="20"/>
          <w:szCs w:val="20"/>
          <w:rtl/>
        </w:rPr>
        <w:t>גמרא</w:t>
      </w:r>
      <w:r>
        <w:rPr>
          <w:rFonts w:hint="cs"/>
          <w:sz w:val="20"/>
          <w:szCs w:val="20"/>
          <w:rtl/>
        </w:rPr>
        <w:t>. בין אם נמצא בעיר ובין בא מהדרך.</w:t>
      </w:r>
      <w:r>
        <w:rPr>
          <w:sz w:val="20"/>
          <w:szCs w:val="20"/>
          <w:rtl/>
        </w:rPr>
        <w:br/>
      </w:r>
      <w:r>
        <w:rPr>
          <w:rFonts w:hint="cs"/>
          <w:sz w:val="20"/>
          <w:szCs w:val="20"/>
          <w:rtl/>
        </w:rPr>
        <w:t xml:space="preserve">2. </w:t>
      </w:r>
      <w:r w:rsidRPr="003B25FE">
        <w:rPr>
          <w:rFonts w:hint="cs"/>
          <w:sz w:val="20"/>
          <w:szCs w:val="20"/>
          <w:rtl/>
        </w:rPr>
        <w:t>הגבלה.</w:t>
      </w:r>
      <w:r>
        <w:rPr>
          <w:rFonts w:hint="cs"/>
          <w:sz w:val="20"/>
          <w:szCs w:val="20"/>
          <w:rtl/>
        </w:rPr>
        <w:t xml:space="preserve"> </w:t>
      </w:r>
      <w:r w:rsidRPr="00F732C5">
        <w:rPr>
          <w:rFonts w:hint="cs"/>
          <w:sz w:val="20"/>
          <w:szCs w:val="20"/>
          <w:u w:val="single"/>
          <w:rtl/>
        </w:rPr>
        <w:t>ר"ל</w:t>
      </w:r>
      <w:r>
        <w:rPr>
          <w:rFonts w:hint="cs"/>
          <w:sz w:val="20"/>
          <w:szCs w:val="20"/>
          <w:rtl/>
        </w:rPr>
        <w:t>. רק בתוך ל', לאחר ל' מסתמא ראתה.</w:t>
      </w:r>
      <w:r>
        <w:rPr>
          <w:rFonts w:hint="cs"/>
          <w:sz w:val="20"/>
          <w:szCs w:val="20"/>
          <w:rtl/>
        </w:rPr>
        <w:br/>
        <w:t>3</w:t>
      </w:r>
      <w:r w:rsidRPr="003B25FE">
        <w:rPr>
          <w:rFonts w:hint="cs"/>
          <w:sz w:val="20"/>
          <w:szCs w:val="20"/>
          <w:rtl/>
        </w:rPr>
        <w:t>. הגבלה שנויה במחלוקת.</w:t>
      </w:r>
      <w:r>
        <w:rPr>
          <w:rFonts w:hint="cs"/>
          <w:sz w:val="20"/>
          <w:szCs w:val="20"/>
          <w:rtl/>
        </w:rPr>
        <w:t xml:space="preserve"> הגיע שעת ווסתה. </w:t>
      </w:r>
      <w:r w:rsidRPr="00F732C5">
        <w:rPr>
          <w:rFonts w:hint="cs"/>
          <w:sz w:val="20"/>
          <w:szCs w:val="20"/>
          <w:u w:val="single"/>
          <w:rtl/>
        </w:rPr>
        <w:t>רב הונא</w:t>
      </w:r>
      <w:r>
        <w:rPr>
          <w:rFonts w:hint="cs"/>
          <w:sz w:val="20"/>
          <w:szCs w:val="20"/>
          <w:rtl/>
        </w:rPr>
        <w:t xml:space="preserve">. אסורה. </w:t>
      </w:r>
      <w:r w:rsidRPr="00F732C5">
        <w:rPr>
          <w:rFonts w:hint="cs"/>
          <w:sz w:val="20"/>
          <w:szCs w:val="20"/>
          <w:u w:val="single"/>
          <w:rtl/>
        </w:rPr>
        <w:t>רבב"ח</w:t>
      </w:r>
      <w:r>
        <w:rPr>
          <w:rFonts w:hint="cs"/>
          <w:sz w:val="20"/>
          <w:szCs w:val="20"/>
          <w:rtl/>
        </w:rPr>
        <w:t>. מותרת.</w:t>
      </w:r>
      <w:r>
        <w:rPr>
          <w:rFonts w:hint="cs"/>
          <w:sz w:val="20"/>
          <w:szCs w:val="20"/>
          <w:rtl/>
        </w:rPr>
        <w:br/>
        <w:t xml:space="preserve">4. </w:t>
      </w:r>
      <w:r w:rsidRPr="009E6874">
        <w:rPr>
          <w:rFonts w:hint="cs"/>
          <w:sz w:val="20"/>
          <w:szCs w:val="20"/>
          <w:u w:val="single"/>
          <w:rtl/>
        </w:rPr>
        <w:t>רבי יוחנן</w:t>
      </w:r>
      <w:r>
        <w:rPr>
          <w:rFonts w:hint="cs"/>
          <w:sz w:val="20"/>
          <w:szCs w:val="20"/>
          <w:rtl/>
        </w:rPr>
        <w:t>. אשה שיש לה ווסת בעלה מחשב ימי ווסתה ובא עליה. ספק ראתה, ואת"ל ראתה ספק טבלה.</w:t>
      </w:r>
      <w:r>
        <w:rPr>
          <w:sz w:val="20"/>
          <w:szCs w:val="20"/>
          <w:rtl/>
        </w:rPr>
        <w:br/>
      </w:r>
      <w:r>
        <w:rPr>
          <w:rFonts w:hint="cs"/>
          <w:sz w:val="20"/>
          <w:szCs w:val="20"/>
          <w:rtl/>
        </w:rPr>
        <w:t xml:space="preserve">5. </w:t>
      </w:r>
      <w:r w:rsidRPr="00F732C5">
        <w:rPr>
          <w:rFonts w:hint="cs"/>
          <w:b/>
          <w:bCs/>
          <w:sz w:val="20"/>
          <w:szCs w:val="20"/>
          <w:rtl/>
        </w:rPr>
        <w:t>רשב"א</w:t>
      </w:r>
      <w:r>
        <w:rPr>
          <w:rFonts w:hint="cs"/>
          <w:sz w:val="20"/>
          <w:szCs w:val="20"/>
          <w:rtl/>
        </w:rPr>
        <w:t>. רבב"ח התיר דווקא אם עבר די זמן מווסתה שתוכל להיטהר, דהוי ספק ראתה וספק</w:t>
      </w:r>
      <w:r w:rsidRPr="00B74A4E">
        <w:rPr>
          <w:rFonts w:hint="cs"/>
          <w:sz w:val="20"/>
          <w:szCs w:val="20"/>
          <w:rtl/>
        </w:rPr>
        <w:t xml:space="preserve"> </w:t>
      </w:r>
      <w:r>
        <w:rPr>
          <w:rFonts w:hint="cs"/>
          <w:sz w:val="20"/>
          <w:szCs w:val="20"/>
          <w:rtl/>
        </w:rPr>
        <w:t>טבלה.</w:t>
      </w:r>
      <w:r>
        <w:rPr>
          <w:sz w:val="20"/>
          <w:szCs w:val="20"/>
          <w:rtl/>
        </w:rPr>
        <w:br/>
      </w:r>
      <w:r>
        <w:rPr>
          <w:rFonts w:hint="cs"/>
          <w:sz w:val="20"/>
          <w:szCs w:val="20"/>
          <w:rtl/>
        </w:rPr>
        <w:t xml:space="preserve">6. </w:t>
      </w:r>
      <w:r w:rsidRPr="00CD023F">
        <w:rPr>
          <w:rFonts w:hint="cs"/>
          <w:b/>
          <w:bCs/>
          <w:sz w:val="20"/>
          <w:szCs w:val="20"/>
          <w:rtl/>
        </w:rPr>
        <w:t>רמב"ם</w:t>
      </w:r>
      <w:r>
        <w:rPr>
          <w:rFonts w:hint="cs"/>
          <w:sz w:val="20"/>
          <w:szCs w:val="20"/>
          <w:rtl/>
        </w:rPr>
        <w:t>. רבב"ח מתיר בכל עניין ופליג אדרבי יוחנן, ואמנם ביום הווסת עצמו אסורה.</w:t>
      </w:r>
      <w:r>
        <w:rPr>
          <w:sz w:val="20"/>
          <w:szCs w:val="20"/>
          <w:rtl/>
        </w:rPr>
        <w:br/>
      </w:r>
      <w:r>
        <w:rPr>
          <w:rFonts w:hint="cs"/>
          <w:sz w:val="20"/>
          <w:szCs w:val="20"/>
          <w:rtl/>
        </w:rPr>
        <w:t xml:space="preserve">7. </w:t>
      </w:r>
      <w:r w:rsidRPr="00F732C5">
        <w:rPr>
          <w:rFonts w:hint="cs"/>
          <w:b/>
          <w:bCs/>
          <w:sz w:val="20"/>
          <w:szCs w:val="20"/>
          <w:rtl/>
        </w:rPr>
        <w:t>מחבר</w:t>
      </w:r>
      <w:r>
        <w:rPr>
          <w:rFonts w:hint="cs"/>
          <w:sz w:val="20"/>
          <w:szCs w:val="20"/>
          <w:rtl/>
        </w:rPr>
        <w:t>. אשה שיש לה ווסת לימים בלבד, מותרת ללא שאלה עד שעת ווסתה או עד ל'. ואם שהתה כדי זמן שתוכל להיטהר מותרת.</w:t>
      </w:r>
      <w:r>
        <w:rPr>
          <w:sz w:val="20"/>
          <w:szCs w:val="20"/>
          <w:rtl/>
        </w:rPr>
        <w:br/>
      </w:r>
      <w:r>
        <w:rPr>
          <w:rFonts w:hint="cs"/>
          <w:sz w:val="20"/>
          <w:szCs w:val="20"/>
          <w:rtl/>
        </w:rPr>
        <w:t xml:space="preserve">8. </w:t>
      </w:r>
      <w:r w:rsidRPr="00F732C5">
        <w:rPr>
          <w:rFonts w:hint="cs"/>
          <w:b/>
          <w:bCs/>
          <w:sz w:val="20"/>
          <w:szCs w:val="20"/>
          <w:rtl/>
        </w:rPr>
        <w:t>ש"ך</w:t>
      </w:r>
      <w:r>
        <w:rPr>
          <w:rFonts w:hint="cs"/>
          <w:sz w:val="20"/>
          <w:szCs w:val="20"/>
          <w:rtl/>
        </w:rPr>
        <w:t>. מבואר בש"ס שמותר לבוא עליה אפילו ישנה, והכוונה שאינה ישנה אך אינה יכולה לומר שהיא טהורה.</w:t>
      </w:r>
      <w:r>
        <w:rPr>
          <w:sz w:val="20"/>
          <w:szCs w:val="20"/>
          <w:rtl/>
        </w:rPr>
        <w:br/>
      </w:r>
      <w:r>
        <w:rPr>
          <w:rFonts w:hint="cs"/>
          <w:sz w:val="20"/>
          <w:szCs w:val="20"/>
          <w:rtl/>
        </w:rPr>
        <w:t xml:space="preserve">9. </w:t>
      </w:r>
      <w:r w:rsidRPr="00F732C5">
        <w:rPr>
          <w:rFonts w:hint="cs"/>
          <w:b/>
          <w:bCs/>
          <w:sz w:val="20"/>
          <w:szCs w:val="20"/>
          <w:rtl/>
        </w:rPr>
        <w:t>חוו"ד</w:t>
      </w:r>
      <w:r>
        <w:rPr>
          <w:rFonts w:hint="cs"/>
          <w:sz w:val="20"/>
          <w:szCs w:val="20"/>
          <w:rtl/>
        </w:rPr>
        <w:t>. כאשר צריך לשאלה, אפילו אם שכבה לצידו אסורה עד שתאמר שהיא טהורה.</w:t>
      </w:r>
    </w:p>
    <w:p w:rsidR="00620060" w:rsidRDefault="00620060" w:rsidP="00620060">
      <w:pPr>
        <w:rPr>
          <w:rFonts w:cs="Arial"/>
          <w:sz w:val="20"/>
          <w:szCs w:val="20"/>
          <w:rtl/>
        </w:rPr>
      </w:pPr>
      <w:r>
        <w:rPr>
          <w:sz w:val="20"/>
          <w:szCs w:val="20"/>
          <w:rtl/>
        </w:rPr>
        <w:br/>
      </w:r>
      <w:r>
        <w:rPr>
          <w:rFonts w:hint="cs"/>
          <w:b/>
          <w:bCs/>
          <w:sz w:val="20"/>
          <w:szCs w:val="20"/>
          <w:rtl/>
        </w:rPr>
        <w:t xml:space="preserve">סעיף יב </w:t>
      </w:r>
      <w:r>
        <w:rPr>
          <w:b/>
          <w:bCs/>
          <w:sz w:val="20"/>
          <w:szCs w:val="20"/>
          <w:rtl/>
        </w:rPr>
        <w:t>–</w:t>
      </w:r>
      <w:r>
        <w:rPr>
          <w:rFonts w:hint="cs"/>
          <w:b/>
          <w:bCs/>
          <w:sz w:val="20"/>
          <w:szCs w:val="20"/>
          <w:rtl/>
        </w:rPr>
        <w:t xml:space="preserve"> אשה שיש לה ווסת התלוי במעשה</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גמרא </w:t>
      </w:r>
      <w:r>
        <w:rPr>
          <w:rFonts w:hint="cs"/>
          <w:sz w:val="20"/>
          <w:szCs w:val="20"/>
          <w:rtl/>
        </w:rPr>
        <w:t xml:space="preserve">נידה </w:t>
      </w:r>
      <w:r>
        <w:rPr>
          <w:rFonts w:cs="Arial" w:hint="cs"/>
          <w:sz w:val="20"/>
          <w:szCs w:val="20"/>
          <w:rtl/>
        </w:rPr>
        <w:t xml:space="preserve">(טו. </w:t>
      </w:r>
      <w:r>
        <w:rPr>
          <w:rFonts w:cs="Arial"/>
          <w:sz w:val="20"/>
          <w:szCs w:val="20"/>
          <w:rtl/>
        </w:rPr>
        <w:t>–</w:t>
      </w:r>
      <w:r>
        <w:rPr>
          <w:rFonts w:cs="Arial" w:hint="cs"/>
          <w:sz w:val="20"/>
          <w:szCs w:val="20"/>
          <w:rtl/>
        </w:rPr>
        <w:t xml:space="preserve"> טו:) "</w:t>
      </w:r>
      <w:r w:rsidRPr="00412EFD">
        <w:rPr>
          <w:rFonts w:cs="Arial" w:hint="cs"/>
          <w:sz w:val="20"/>
          <w:szCs w:val="20"/>
          <w:rtl/>
        </w:rPr>
        <w:t>רב</w:t>
      </w:r>
      <w:r w:rsidRPr="00412EFD">
        <w:rPr>
          <w:rFonts w:cs="Arial"/>
          <w:sz w:val="20"/>
          <w:szCs w:val="20"/>
          <w:rtl/>
        </w:rPr>
        <w:t xml:space="preserve"> </w:t>
      </w:r>
      <w:r w:rsidRPr="00412EFD">
        <w:rPr>
          <w:rFonts w:cs="Arial" w:hint="cs"/>
          <w:sz w:val="20"/>
          <w:szCs w:val="20"/>
          <w:rtl/>
        </w:rPr>
        <w:t>אשי</w:t>
      </w:r>
      <w:r w:rsidRPr="00412EFD">
        <w:rPr>
          <w:rFonts w:cs="Arial"/>
          <w:sz w:val="20"/>
          <w:szCs w:val="20"/>
          <w:rtl/>
        </w:rPr>
        <w:t xml:space="preserve"> </w:t>
      </w:r>
      <w:r w:rsidRPr="00412EFD">
        <w:rPr>
          <w:rFonts w:cs="Arial" w:hint="cs"/>
          <w:sz w:val="20"/>
          <w:szCs w:val="20"/>
          <w:rtl/>
        </w:rPr>
        <w:t>מתני</w:t>
      </w:r>
      <w:r w:rsidRPr="00412EFD">
        <w:rPr>
          <w:rFonts w:cs="Arial"/>
          <w:sz w:val="20"/>
          <w:szCs w:val="20"/>
          <w:rtl/>
        </w:rPr>
        <w:t xml:space="preserve"> </w:t>
      </w:r>
      <w:r w:rsidRPr="00412EFD">
        <w:rPr>
          <w:rFonts w:cs="Arial" w:hint="cs"/>
          <w:sz w:val="20"/>
          <w:szCs w:val="20"/>
          <w:rtl/>
        </w:rPr>
        <w:t>הכי</w:t>
      </w:r>
      <w:r w:rsidRPr="00412EFD">
        <w:rPr>
          <w:rFonts w:cs="Arial"/>
          <w:sz w:val="20"/>
          <w:szCs w:val="20"/>
          <w:rtl/>
        </w:rPr>
        <w:t xml:space="preserve">, </w:t>
      </w:r>
      <w:r w:rsidRPr="00412EFD">
        <w:rPr>
          <w:rFonts w:cs="Arial" w:hint="cs"/>
          <w:sz w:val="20"/>
          <w:szCs w:val="20"/>
          <w:rtl/>
        </w:rPr>
        <w:t>אמר</w:t>
      </w:r>
      <w:r w:rsidRPr="00412EFD">
        <w:rPr>
          <w:rFonts w:cs="Arial"/>
          <w:sz w:val="20"/>
          <w:szCs w:val="20"/>
          <w:rtl/>
        </w:rPr>
        <w:t xml:space="preserve"> </w:t>
      </w:r>
      <w:r w:rsidRPr="00412EFD">
        <w:rPr>
          <w:rFonts w:cs="Arial" w:hint="cs"/>
          <w:sz w:val="20"/>
          <w:szCs w:val="20"/>
          <w:rtl/>
        </w:rPr>
        <w:t>רב</w:t>
      </w:r>
      <w:r w:rsidRPr="00412EFD">
        <w:rPr>
          <w:rFonts w:cs="Arial"/>
          <w:sz w:val="20"/>
          <w:szCs w:val="20"/>
          <w:rtl/>
        </w:rPr>
        <w:t xml:space="preserve"> </w:t>
      </w:r>
      <w:r w:rsidRPr="00412EFD">
        <w:rPr>
          <w:rFonts w:cs="Arial" w:hint="cs"/>
          <w:sz w:val="20"/>
          <w:szCs w:val="20"/>
          <w:rtl/>
        </w:rPr>
        <w:t>הונא</w:t>
      </w:r>
      <w:r w:rsidRPr="00412EFD">
        <w:rPr>
          <w:rFonts w:cs="Arial"/>
          <w:sz w:val="20"/>
          <w:szCs w:val="20"/>
          <w:rtl/>
        </w:rPr>
        <w:t xml:space="preserve">: </w:t>
      </w:r>
      <w:r w:rsidRPr="00412EFD">
        <w:rPr>
          <w:rFonts w:cs="Arial" w:hint="cs"/>
          <w:sz w:val="20"/>
          <w:szCs w:val="20"/>
          <w:rtl/>
        </w:rPr>
        <w:t>לא</w:t>
      </w:r>
      <w:r w:rsidRPr="00412EFD">
        <w:rPr>
          <w:rFonts w:cs="Arial"/>
          <w:sz w:val="20"/>
          <w:szCs w:val="20"/>
          <w:rtl/>
        </w:rPr>
        <w:t xml:space="preserve"> </w:t>
      </w:r>
      <w:r w:rsidRPr="00412EFD">
        <w:rPr>
          <w:rFonts w:cs="Arial" w:hint="cs"/>
          <w:sz w:val="20"/>
          <w:szCs w:val="20"/>
          <w:rtl/>
        </w:rPr>
        <w:t>שנו</w:t>
      </w:r>
      <w:r w:rsidRPr="00412EFD">
        <w:rPr>
          <w:rFonts w:cs="Arial"/>
          <w:sz w:val="20"/>
          <w:szCs w:val="20"/>
          <w:rtl/>
        </w:rPr>
        <w:t xml:space="preserve"> </w:t>
      </w:r>
      <w:r w:rsidRPr="00412EFD">
        <w:rPr>
          <w:rFonts w:cs="Arial" w:hint="cs"/>
          <w:sz w:val="20"/>
          <w:szCs w:val="20"/>
          <w:rtl/>
        </w:rPr>
        <w:t>אלא</w:t>
      </w:r>
      <w:r w:rsidRPr="00412EFD">
        <w:rPr>
          <w:rFonts w:cs="Arial"/>
          <w:sz w:val="20"/>
          <w:szCs w:val="20"/>
          <w:rtl/>
        </w:rPr>
        <w:t xml:space="preserve"> </w:t>
      </w:r>
      <w:r w:rsidRPr="00412EFD">
        <w:rPr>
          <w:rFonts w:cs="Arial" w:hint="cs"/>
          <w:sz w:val="20"/>
          <w:szCs w:val="20"/>
          <w:rtl/>
        </w:rPr>
        <w:t>שאין</w:t>
      </w:r>
      <w:r w:rsidRPr="00412EFD">
        <w:rPr>
          <w:rFonts w:cs="Arial"/>
          <w:sz w:val="20"/>
          <w:szCs w:val="20"/>
          <w:rtl/>
        </w:rPr>
        <w:t xml:space="preserve"> </w:t>
      </w:r>
      <w:r w:rsidRPr="00412EFD">
        <w:rPr>
          <w:rFonts w:cs="Arial" w:hint="cs"/>
          <w:sz w:val="20"/>
          <w:szCs w:val="20"/>
          <w:rtl/>
        </w:rPr>
        <w:t>לה</w:t>
      </w:r>
      <w:r w:rsidRPr="00412EFD">
        <w:rPr>
          <w:rFonts w:cs="Arial"/>
          <w:sz w:val="20"/>
          <w:szCs w:val="20"/>
          <w:rtl/>
        </w:rPr>
        <w:t xml:space="preserve"> </w:t>
      </w:r>
      <w:r w:rsidRPr="00412EFD">
        <w:rPr>
          <w:rFonts w:cs="Arial" w:hint="cs"/>
          <w:sz w:val="20"/>
          <w:szCs w:val="20"/>
          <w:rtl/>
        </w:rPr>
        <w:t>וסת</w:t>
      </w:r>
      <w:r w:rsidRPr="00412EFD">
        <w:rPr>
          <w:rFonts w:cs="Arial"/>
          <w:sz w:val="20"/>
          <w:szCs w:val="20"/>
          <w:rtl/>
        </w:rPr>
        <w:t xml:space="preserve"> </w:t>
      </w:r>
      <w:r w:rsidRPr="00412EFD">
        <w:rPr>
          <w:rFonts w:cs="Arial" w:hint="cs"/>
          <w:sz w:val="20"/>
          <w:szCs w:val="20"/>
          <w:rtl/>
        </w:rPr>
        <w:t>לימים</w:t>
      </w:r>
      <w:r w:rsidRPr="00412EFD">
        <w:rPr>
          <w:rFonts w:cs="Arial"/>
          <w:sz w:val="20"/>
          <w:szCs w:val="20"/>
          <w:rtl/>
        </w:rPr>
        <w:t xml:space="preserve"> </w:t>
      </w:r>
      <w:r w:rsidRPr="00412EFD">
        <w:rPr>
          <w:rFonts w:cs="Arial" w:hint="cs"/>
          <w:sz w:val="20"/>
          <w:szCs w:val="20"/>
          <w:rtl/>
        </w:rPr>
        <w:t>אלא</w:t>
      </w:r>
      <w:r w:rsidRPr="00412EFD">
        <w:rPr>
          <w:rFonts w:cs="Arial"/>
          <w:sz w:val="20"/>
          <w:szCs w:val="20"/>
          <w:rtl/>
        </w:rPr>
        <w:t xml:space="preserve"> </w:t>
      </w:r>
      <w:r w:rsidRPr="00412EFD">
        <w:rPr>
          <w:rFonts w:cs="Arial" w:hint="cs"/>
          <w:sz w:val="20"/>
          <w:szCs w:val="20"/>
          <w:rtl/>
        </w:rPr>
        <w:t>יש</w:t>
      </w:r>
      <w:r w:rsidRPr="00412EFD">
        <w:rPr>
          <w:rFonts w:cs="Arial"/>
          <w:sz w:val="20"/>
          <w:szCs w:val="20"/>
          <w:rtl/>
        </w:rPr>
        <w:t xml:space="preserve"> </w:t>
      </w:r>
      <w:r w:rsidRPr="00412EFD">
        <w:rPr>
          <w:rFonts w:cs="Arial" w:hint="cs"/>
          <w:sz w:val="20"/>
          <w:szCs w:val="20"/>
          <w:rtl/>
        </w:rPr>
        <w:t>לה</w:t>
      </w:r>
      <w:r w:rsidRPr="00412EFD">
        <w:rPr>
          <w:rFonts w:cs="Arial"/>
          <w:sz w:val="20"/>
          <w:szCs w:val="20"/>
          <w:rtl/>
        </w:rPr>
        <w:t xml:space="preserve"> </w:t>
      </w:r>
      <w:r w:rsidRPr="00412EFD">
        <w:rPr>
          <w:rFonts w:cs="Arial" w:hint="cs"/>
          <w:sz w:val="20"/>
          <w:szCs w:val="20"/>
          <w:rtl/>
        </w:rPr>
        <w:t>וסת</w:t>
      </w:r>
      <w:r w:rsidRPr="00412EFD">
        <w:rPr>
          <w:rFonts w:cs="Arial"/>
          <w:sz w:val="20"/>
          <w:szCs w:val="20"/>
          <w:rtl/>
        </w:rPr>
        <w:t xml:space="preserve"> </w:t>
      </w:r>
      <w:r w:rsidRPr="00412EFD">
        <w:rPr>
          <w:rFonts w:cs="Arial" w:hint="cs"/>
          <w:sz w:val="20"/>
          <w:szCs w:val="20"/>
          <w:rtl/>
        </w:rPr>
        <w:t>לימים</w:t>
      </w:r>
      <w:r w:rsidRPr="00412EFD">
        <w:rPr>
          <w:rFonts w:cs="Arial"/>
          <w:sz w:val="20"/>
          <w:szCs w:val="20"/>
          <w:rtl/>
        </w:rPr>
        <w:t xml:space="preserve"> </w:t>
      </w:r>
      <w:r w:rsidRPr="00412EFD">
        <w:rPr>
          <w:rFonts w:cs="Arial" w:hint="cs"/>
          <w:sz w:val="20"/>
          <w:szCs w:val="20"/>
          <w:rtl/>
        </w:rPr>
        <w:t>ולקפיצות</w:t>
      </w:r>
      <w:r w:rsidRPr="00412EFD">
        <w:rPr>
          <w:rFonts w:cs="Arial"/>
          <w:sz w:val="20"/>
          <w:szCs w:val="20"/>
          <w:rtl/>
        </w:rPr>
        <w:t xml:space="preserve">, </w:t>
      </w:r>
      <w:r w:rsidRPr="00412EFD">
        <w:rPr>
          <w:rFonts w:cs="Arial" w:hint="cs"/>
          <w:sz w:val="20"/>
          <w:szCs w:val="20"/>
          <w:rtl/>
        </w:rPr>
        <w:t>כיון</w:t>
      </w:r>
      <w:r w:rsidRPr="00412EFD">
        <w:rPr>
          <w:rFonts w:cs="Arial"/>
          <w:sz w:val="20"/>
          <w:szCs w:val="20"/>
          <w:rtl/>
        </w:rPr>
        <w:t xml:space="preserve"> </w:t>
      </w:r>
      <w:r w:rsidRPr="00412EFD">
        <w:rPr>
          <w:rFonts w:cs="Arial" w:hint="cs"/>
          <w:sz w:val="20"/>
          <w:szCs w:val="20"/>
          <w:rtl/>
        </w:rPr>
        <w:t>דבמעשה</w:t>
      </w:r>
      <w:r w:rsidRPr="00412EFD">
        <w:rPr>
          <w:rFonts w:cs="Arial"/>
          <w:sz w:val="20"/>
          <w:szCs w:val="20"/>
          <w:rtl/>
        </w:rPr>
        <w:t xml:space="preserve"> </w:t>
      </w:r>
      <w:r w:rsidRPr="00412EFD">
        <w:rPr>
          <w:rFonts w:cs="Arial" w:hint="cs"/>
          <w:sz w:val="20"/>
          <w:szCs w:val="20"/>
          <w:rtl/>
        </w:rPr>
        <w:t>תליא</w:t>
      </w:r>
      <w:r w:rsidRPr="00412EFD">
        <w:rPr>
          <w:rFonts w:cs="Arial"/>
          <w:sz w:val="20"/>
          <w:szCs w:val="20"/>
          <w:rtl/>
        </w:rPr>
        <w:t xml:space="preserve"> </w:t>
      </w:r>
      <w:r w:rsidRPr="00412EFD">
        <w:rPr>
          <w:rFonts w:cs="Arial" w:hint="cs"/>
          <w:sz w:val="20"/>
          <w:szCs w:val="20"/>
          <w:rtl/>
        </w:rPr>
        <w:t>מילתא</w:t>
      </w:r>
      <w:r w:rsidRPr="00412EFD">
        <w:rPr>
          <w:rFonts w:cs="Arial"/>
          <w:sz w:val="20"/>
          <w:szCs w:val="20"/>
          <w:rtl/>
        </w:rPr>
        <w:t xml:space="preserve"> - </w:t>
      </w:r>
      <w:r w:rsidRPr="00412EFD">
        <w:rPr>
          <w:rFonts w:cs="Arial" w:hint="cs"/>
          <w:sz w:val="20"/>
          <w:szCs w:val="20"/>
          <w:rtl/>
        </w:rPr>
        <w:t>אימא</w:t>
      </w:r>
      <w:r w:rsidRPr="00412EFD">
        <w:rPr>
          <w:rFonts w:cs="Arial"/>
          <w:sz w:val="20"/>
          <w:szCs w:val="20"/>
          <w:rtl/>
        </w:rPr>
        <w:t xml:space="preserve"> </w:t>
      </w:r>
      <w:r w:rsidRPr="00412EFD">
        <w:rPr>
          <w:rFonts w:cs="Arial" w:hint="cs"/>
          <w:sz w:val="20"/>
          <w:szCs w:val="20"/>
          <w:rtl/>
        </w:rPr>
        <w:t>לא</w:t>
      </w:r>
      <w:r w:rsidRPr="00412EFD">
        <w:rPr>
          <w:rFonts w:cs="Arial"/>
          <w:sz w:val="20"/>
          <w:szCs w:val="20"/>
          <w:rtl/>
        </w:rPr>
        <w:t xml:space="preserve"> </w:t>
      </w:r>
      <w:r w:rsidRPr="00412EFD">
        <w:rPr>
          <w:rFonts w:cs="Arial" w:hint="cs"/>
          <w:sz w:val="20"/>
          <w:szCs w:val="20"/>
          <w:rtl/>
        </w:rPr>
        <w:t>קפיץ</w:t>
      </w:r>
      <w:r w:rsidRPr="00412EFD">
        <w:rPr>
          <w:rFonts w:cs="Arial"/>
          <w:sz w:val="20"/>
          <w:szCs w:val="20"/>
          <w:rtl/>
        </w:rPr>
        <w:t xml:space="preserve"> </w:t>
      </w:r>
      <w:r w:rsidRPr="00412EFD">
        <w:rPr>
          <w:rFonts w:cs="Arial" w:hint="cs"/>
          <w:sz w:val="20"/>
          <w:szCs w:val="20"/>
          <w:rtl/>
        </w:rPr>
        <w:t>ולא</w:t>
      </w:r>
      <w:r w:rsidRPr="00412EFD">
        <w:rPr>
          <w:rFonts w:cs="Arial"/>
          <w:sz w:val="20"/>
          <w:szCs w:val="20"/>
          <w:rtl/>
        </w:rPr>
        <w:t xml:space="preserve"> </w:t>
      </w:r>
      <w:r w:rsidRPr="00412EFD">
        <w:rPr>
          <w:rFonts w:cs="Arial" w:hint="cs"/>
          <w:sz w:val="20"/>
          <w:szCs w:val="20"/>
          <w:rtl/>
        </w:rPr>
        <w:t>חזאי</w:t>
      </w:r>
      <w:r w:rsidRPr="00412EFD">
        <w:rPr>
          <w:rFonts w:cs="Arial"/>
          <w:sz w:val="20"/>
          <w:szCs w:val="20"/>
          <w:rtl/>
        </w:rPr>
        <w:t xml:space="preserve">. </w:t>
      </w:r>
      <w:r w:rsidRPr="00412EFD">
        <w:rPr>
          <w:rFonts w:cs="Arial" w:hint="cs"/>
          <w:sz w:val="20"/>
          <w:szCs w:val="20"/>
          <w:rtl/>
        </w:rPr>
        <w:t>אבל</w:t>
      </w:r>
      <w:r w:rsidRPr="00412EFD">
        <w:rPr>
          <w:rFonts w:cs="Arial"/>
          <w:sz w:val="20"/>
          <w:szCs w:val="20"/>
          <w:rtl/>
        </w:rPr>
        <w:t xml:space="preserve"> </w:t>
      </w:r>
      <w:r w:rsidRPr="00412EFD">
        <w:rPr>
          <w:rFonts w:cs="Arial" w:hint="cs"/>
          <w:sz w:val="20"/>
          <w:szCs w:val="20"/>
          <w:rtl/>
        </w:rPr>
        <w:t>יש</w:t>
      </w:r>
      <w:r w:rsidRPr="00412EFD">
        <w:rPr>
          <w:rFonts w:cs="Arial"/>
          <w:sz w:val="20"/>
          <w:szCs w:val="20"/>
          <w:rtl/>
        </w:rPr>
        <w:t xml:space="preserve"> </w:t>
      </w:r>
      <w:r w:rsidRPr="00412EFD">
        <w:rPr>
          <w:rFonts w:cs="Arial" w:hint="cs"/>
          <w:sz w:val="20"/>
          <w:szCs w:val="20"/>
          <w:rtl/>
        </w:rPr>
        <w:t>לה</w:t>
      </w:r>
      <w:r w:rsidRPr="00412EFD">
        <w:rPr>
          <w:rFonts w:cs="Arial"/>
          <w:sz w:val="20"/>
          <w:szCs w:val="20"/>
          <w:rtl/>
        </w:rPr>
        <w:t xml:space="preserve"> </w:t>
      </w:r>
      <w:r w:rsidRPr="00412EFD">
        <w:rPr>
          <w:rFonts w:cs="Arial" w:hint="cs"/>
          <w:sz w:val="20"/>
          <w:szCs w:val="20"/>
          <w:rtl/>
        </w:rPr>
        <w:t>וסת</w:t>
      </w:r>
      <w:r w:rsidRPr="00412EFD">
        <w:rPr>
          <w:rFonts w:cs="Arial"/>
          <w:sz w:val="20"/>
          <w:szCs w:val="20"/>
          <w:rtl/>
        </w:rPr>
        <w:t xml:space="preserve"> </w:t>
      </w:r>
      <w:r w:rsidRPr="00412EFD">
        <w:rPr>
          <w:rFonts w:cs="Arial" w:hint="cs"/>
          <w:sz w:val="20"/>
          <w:szCs w:val="20"/>
          <w:rtl/>
        </w:rPr>
        <w:t>לימים</w:t>
      </w:r>
      <w:r w:rsidRPr="00412EFD">
        <w:rPr>
          <w:rFonts w:cs="Arial"/>
          <w:sz w:val="20"/>
          <w:szCs w:val="20"/>
          <w:rtl/>
        </w:rPr>
        <w:t xml:space="preserve"> - </w:t>
      </w:r>
      <w:r w:rsidRPr="00412EFD">
        <w:rPr>
          <w:rFonts w:cs="Arial" w:hint="cs"/>
          <w:sz w:val="20"/>
          <w:szCs w:val="20"/>
          <w:rtl/>
        </w:rPr>
        <w:t>אסורה</w:t>
      </w:r>
      <w:r w:rsidRPr="00412EFD">
        <w:rPr>
          <w:rFonts w:cs="Arial"/>
          <w:sz w:val="20"/>
          <w:szCs w:val="20"/>
          <w:rtl/>
        </w:rPr>
        <w:t xml:space="preserve"> </w:t>
      </w:r>
      <w:r w:rsidRPr="00412EFD">
        <w:rPr>
          <w:rFonts w:cs="Arial" w:hint="cs"/>
          <w:sz w:val="20"/>
          <w:szCs w:val="20"/>
          <w:rtl/>
        </w:rPr>
        <w:t>לשמש</w:t>
      </w:r>
      <w:r>
        <w:rPr>
          <w:rFonts w:cs="Arial"/>
          <w:sz w:val="20"/>
          <w:szCs w:val="20"/>
          <w:rtl/>
        </w:rPr>
        <w:t>"</w:t>
      </w:r>
      <w:r>
        <w:rPr>
          <w:rFonts w:cs="Arial" w:hint="cs"/>
          <w:sz w:val="20"/>
          <w:szCs w:val="20"/>
          <w:rtl/>
        </w:rPr>
        <w:t>.</w:t>
      </w:r>
      <w:r>
        <w:rPr>
          <w:rFonts w:cs="Arial"/>
          <w:sz w:val="20"/>
          <w:szCs w:val="20"/>
          <w:rtl/>
        </w:rPr>
        <w:br/>
      </w:r>
      <w:r w:rsidRPr="00D77AD8">
        <w:rPr>
          <w:rFonts w:cs="Arial" w:hint="cs"/>
          <w:b/>
          <w:bCs/>
          <w:sz w:val="20"/>
          <w:szCs w:val="20"/>
          <w:rtl/>
        </w:rPr>
        <w:t>רשב"א</w:t>
      </w:r>
      <w:r>
        <w:rPr>
          <w:rFonts w:cs="Arial" w:hint="cs"/>
          <w:sz w:val="20"/>
          <w:szCs w:val="20"/>
          <w:rtl/>
        </w:rPr>
        <w:t xml:space="preserve"> </w:t>
      </w:r>
      <w:r>
        <w:rPr>
          <w:rFonts w:cs="Arial"/>
          <w:sz w:val="20"/>
          <w:szCs w:val="20"/>
          <w:rtl/>
        </w:rPr>
        <w:t>–</w:t>
      </w:r>
      <w:r>
        <w:rPr>
          <w:rFonts w:cs="Arial" w:hint="cs"/>
          <w:sz w:val="20"/>
          <w:szCs w:val="20"/>
          <w:rtl/>
        </w:rPr>
        <w:t xml:space="preserve"> אע"פ שאינה חוששת לווסת הימים בכה"ג, מכל מקום חוששת לעונה בינונית, דהיינו שאם עברו ל' יום מראייתה, אמרינן שמסתמא אורח בזמנו בא ואסור לשמש עמה עד שישאלה או שיעבור זמן שתוכל להיטהר.</w:t>
      </w:r>
    </w:p>
    <w:p w:rsidR="00620060" w:rsidRDefault="00620060" w:rsidP="00620060">
      <w:pPr>
        <w:rPr>
          <w:rFonts w:cs="Arial"/>
          <w:sz w:val="20"/>
          <w:szCs w:val="20"/>
          <w:rtl/>
        </w:rPr>
      </w:pPr>
      <w:r>
        <w:rPr>
          <w:rFonts w:cs="Arial" w:hint="cs"/>
          <w:b/>
          <w:bCs/>
          <w:sz w:val="20"/>
          <w:szCs w:val="20"/>
          <w:rtl/>
        </w:rPr>
        <w:t>פסיקת הלכה</w:t>
      </w:r>
      <w:r>
        <w:rPr>
          <w:rFonts w:cs="Arial"/>
          <w:b/>
          <w:bCs/>
          <w:sz w:val="20"/>
          <w:szCs w:val="20"/>
          <w:rtl/>
        </w:rPr>
        <w:br/>
      </w:r>
      <w:r>
        <w:rPr>
          <w:rFonts w:cs="Arial" w:hint="cs"/>
          <w:b/>
          <w:bCs/>
          <w:sz w:val="20"/>
          <w:szCs w:val="20"/>
          <w:rtl/>
        </w:rPr>
        <w:t xml:space="preserve">שולחן ערוך </w:t>
      </w:r>
      <w:r>
        <w:rPr>
          <w:rFonts w:cs="Arial"/>
          <w:sz w:val="20"/>
          <w:szCs w:val="20"/>
          <w:rtl/>
        </w:rPr>
        <w:t>–</w:t>
      </w:r>
      <w:r>
        <w:rPr>
          <w:rFonts w:cs="Arial" w:hint="cs"/>
          <w:sz w:val="20"/>
          <w:szCs w:val="20"/>
          <w:rtl/>
        </w:rPr>
        <w:t xml:space="preserve"> "</w:t>
      </w:r>
      <w:r w:rsidRPr="00D77AD8">
        <w:rPr>
          <w:rFonts w:cs="Arial" w:hint="cs"/>
          <w:sz w:val="20"/>
          <w:szCs w:val="20"/>
          <w:rtl/>
        </w:rPr>
        <w:t>היה</w:t>
      </w:r>
      <w:r w:rsidRPr="00D77AD8">
        <w:rPr>
          <w:rFonts w:cs="Arial"/>
          <w:sz w:val="20"/>
          <w:szCs w:val="20"/>
          <w:rtl/>
        </w:rPr>
        <w:t xml:space="preserve"> </w:t>
      </w:r>
      <w:r w:rsidRPr="00D77AD8">
        <w:rPr>
          <w:rFonts w:cs="Arial" w:hint="cs"/>
          <w:sz w:val="20"/>
          <w:szCs w:val="20"/>
          <w:rtl/>
        </w:rPr>
        <w:t>לה</w:t>
      </w:r>
      <w:r w:rsidRPr="00D77AD8">
        <w:rPr>
          <w:rFonts w:cs="Arial"/>
          <w:sz w:val="20"/>
          <w:szCs w:val="20"/>
          <w:rtl/>
        </w:rPr>
        <w:t xml:space="preserve"> </w:t>
      </w:r>
      <w:r w:rsidRPr="00D77AD8">
        <w:rPr>
          <w:rFonts w:cs="Arial" w:hint="cs"/>
          <w:sz w:val="20"/>
          <w:szCs w:val="20"/>
          <w:rtl/>
        </w:rPr>
        <w:t>וסת</w:t>
      </w:r>
      <w:r w:rsidRPr="00D77AD8">
        <w:rPr>
          <w:rFonts w:cs="Arial"/>
          <w:sz w:val="20"/>
          <w:szCs w:val="20"/>
          <w:rtl/>
        </w:rPr>
        <w:t xml:space="preserve"> </w:t>
      </w:r>
      <w:r w:rsidRPr="00D77AD8">
        <w:rPr>
          <w:rFonts w:cs="Arial" w:hint="cs"/>
          <w:sz w:val="20"/>
          <w:szCs w:val="20"/>
          <w:rtl/>
        </w:rPr>
        <w:t>לימים</w:t>
      </w:r>
      <w:r w:rsidRPr="00D77AD8">
        <w:rPr>
          <w:rFonts w:cs="Arial"/>
          <w:sz w:val="20"/>
          <w:szCs w:val="20"/>
          <w:rtl/>
        </w:rPr>
        <w:t xml:space="preserve"> </w:t>
      </w:r>
      <w:r w:rsidRPr="00D77AD8">
        <w:rPr>
          <w:rFonts w:cs="Arial" w:hint="cs"/>
          <w:sz w:val="20"/>
          <w:szCs w:val="20"/>
          <w:rtl/>
        </w:rPr>
        <w:t>ול</w:t>
      </w:r>
      <w:r>
        <w:rPr>
          <w:rFonts w:cs="Arial" w:hint="cs"/>
          <w:sz w:val="20"/>
          <w:szCs w:val="20"/>
          <w:rtl/>
        </w:rPr>
        <w:t>ו</w:t>
      </w:r>
      <w:r w:rsidRPr="00D77AD8">
        <w:rPr>
          <w:rFonts w:cs="Arial" w:hint="cs"/>
          <w:sz w:val="20"/>
          <w:szCs w:val="20"/>
          <w:rtl/>
        </w:rPr>
        <w:t>וסת</w:t>
      </w:r>
      <w:r w:rsidRPr="00D77AD8">
        <w:rPr>
          <w:rFonts w:cs="Arial"/>
          <w:sz w:val="20"/>
          <w:szCs w:val="20"/>
          <w:rtl/>
        </w:rPr>
        <w:t xml:space="preserve"> </w:t>
      </w:r>
      <w:r w:rsidRPr="00D77AD8">
        <w:rPr>
          <w:rFonts w:cs="Arial" w:hint="cs"/>
          <w:sz w:val="20"/>
          <w:szCs w:val="20"/>
          <w:rtl/>
        </w:rPr>
        <w:t>מוסתות</w:t>
      </w:r>
      <w:r w:rsidRPr="00D77AD8">
        <w:rPr>
          <w:rFonts w:cs="Arial"/>
          <w:sz w:val="20"/>
          <w:szCs w:val="20"/>
          <w:rtl/>
        </w:rPr>
        <w:t xml:space="preserve"> </w:t>
      </w:r>
      <w:r w:rsidRPr="00D77AD8">
        <w:rPr>
          <w:rFonts w:cs="Arial" w:hint="cs"/>
          <w:sz w:val="20"/>
          <w:szCs w:val="20"/>
          <w:rtl/>
        </w:rPr>
        <w:t>הגוף</w:t>
      </w:r>
      <w:r>
        <w:rPr>
          <w:rFonts w:cs="Arial" w:hint="cs"/>
          <w:sz w:val="20"/>
          <w:szCs w:val="20"/>
          <w:rtl/>
        </w:rPr>
        <w:t xml:space="preserve">, </w:t>
      </w:r>
      <w:r w:rsidRPr="00D77AD8">
        <w:rPr>
          <w:rFonts w:cs="Arial" w:hint="cs"/>
          <w:sz w:val="20"/>
          <w:szCs w:val="20"/>
          <w:rtl/>
        </w:rPr>
        <w:t>כגון</w:t>
      </w:r>
      <w:r w:rsidRPr="00D77AD8">
        <w:rPr>
          <w:rFonts w:cs="Arial"/>
          <w:sz w:val="20"/>
          <w:szCs w:val="20"/>
          <w:rtl/>
        </w:rPr>
        <w:t xml:space="preserve"> </w:t>
      </w:r>
      <w:r w:rsidRPr="00D77AD8">
        <w:rPr>
          <w:rFonts w:cs="Arial" w:hint="cs"/>
          <w:sz w:val="20"/>
          <w:szCs w:val="20"/>
          <w:rtl/>
        </w:rPr>
        <w:t>קפיצה</w:t>
      </w:r>
      <w:r w:rsidRPr="00D77AD8">
        <w:rPr>
          <w:rFonts w:cs="Arial"/>
          <w:sz w:val="20"/>
          <w:szCs w:val="20"/>
          <w:rtl/>
        </w:rPr>
        <w:t xml:space="preserve"> </w:t>
      </w:r>
      <w:r w:rsidRPr="00D77AD8">
        <w:rPr>
          <w:rFonts w:cs="Arial" w:hint="cs"/>
          <w:sz w:val="20"/>
          <w:szCs w:val="20"/>
          <w:rtl/>
        </w:rPr>
        <w:t>וכיוצא</w:t>
      </w:r>
      <w:r w:rsidRPr="00D77AD8">
        <w:rPr>
          <w:rFonts w:cs="Arial"/>
          <w:sz w:val="20"/>
          <w:szCs w:val="20"/>
          <w:rtl/>
        </w:rPr>
        <w:t xml:space="preserve"> </w:t>
      </w:r>
      <w:r w:rsidRPr="00D77AD8">
        <w:rPr>
          <w:rFonts w:cs="Arial" w:hint="cs"/>
          <w:sz w:val="20"/>
          <w:szCs w:val="20"/>
          <w:rtl/>
        </w:rPr>
        <w:t>בה</w:t>
      </w:r>
      <w:r w:rsidRPr="00D77AD8">
        <w:rPr>
          <w:rFonts w:cs="Arial"/>
          <w:sz w:val="20"/>
          <w:szCs w:val="20"/>
          <w:rtl/>
        </w:rPr>
        <w:t xml:space="preserve">, </w:t>
      </w:r>
      <w:r w:rsidRPr="00D77AD8">
        <w:rPr>
          <w:rFonts w:cs="Arial" w:hint="cs"/>
          <w:sz w:val="20"/>
          <w:szCs w:val="20"/>
          <w:rtl/>
        </w:rPr>
        <w:t>כיון</w:t>
      </w:r>
      <w:r w:rsidRPr="00D77AD8">
        <w:rPr>
          <w:rFonts w:cs="Arial"/>
          <w:sz w:val="20"/>
          <w:szCs w:val="20"/>
          <w:rtl/>
        </w:rPr>
        <w:t xml:space="preserve"> </w:t>
      </w:r>
      <w:r w:rsidRPr="00D77AD8">
        <w:rPr>
          <w:rFonts w:cs="Arial" w:hint="cs"/>
          <w:sz w:val="20"/>
          <w:szCs w:val="20"/>
          <w:rtl/>
        </w:rPr>
        <w:t>שהוסת</w:t>
      </w:r>
      <w:r w:rsidRPr="00D77AD8">
        <w:rPr>
          <w:rFonts w:cs="Arial"/>
          <w:sz w:val="20"/>
          <w:szCs w:val="20"/>
          <w:rtl/>
        </w:rPr>
        <w:t xml:space="preserve"> </w:t>
      </w:r>
      <w:r w:rsidRPr="00D77AD8">
        <w:rPr>
          <w:rFonts w:cs="Arial" w:hint="cs"/>
          <w:sz w:val="20"/>
          <w:szCs w:val="20"/>
          <w:rtl/>
        </w:rPr>
        <w:t>תלוי</w:t>
      </w:r>
      <w:r w:rsidRPr="00D77AD8">
        <w:rPr>
          <w:rFonts w:cs="Arial"/>
          <w:sz w:val="20"/>
          <w:szCs w:val="20"/>
          <w:rtl/>
        </w:rPr>
        <w:t xml:space="preserve"> </w:t>
      </w:r>
      <w:r w:rsidRPr="00D77AD8">
        <w:rPr>
          <w:rFonts w:cs="Arial" w:hint="cs"/>
          <w:sz w:val="20"/>
          <w:szCs w:val="20"/>
          <w:rtl/>
        </w:rPr>
        <w:t>במעשה</w:t>
      </w:r>
      <w:r w:rsidRPr="00D77AD8">
        <w:rPr>
          <w:rFonts w:cs="Arial"/>
          <w:sz w:val="20"/>
          <w:szCs w:val="20"/>
          <w:rtl/>
        </w:rPr>
        <w:t xml:space="preserve">, </w:t>
      </w:r>
      <w:r w:rsidRPr="00D77AD8">
        <w:rPr>
          <w:rFonts w:cs="Arial" w:hint="cs"/>
          <w:sz w:val="20"/>
          <w:szCs w:val="20"/>
          <w:rtl/>
        </w:rPr>
        <w:t>אימור</w:t>
      </w:r>
      <w:r w:rsidRPr="00D77AD8">
        <w:rPr>
          <w:rFonts w:cs="Arial"/>
          <w:sz w:val="20"/>
          <w:szCs w:val="20"/>
          <w:rtl/>
        </w:rPr>
        <w:t xml:space="preserve"> </w:t>
      </w:r>
      <w:r w:rsidRPr="00D77AD8">
        <w:rPr>
          <w:rFonts w:cs="Arial" w:hint="cs"/>
          <w:sz w:val="20"/>
          <w:szCs w:val="20"/>
          <w:rtl/>
        </w:rPr>
        <w:t>לא</w:t>
      </w:r>
      <w:r w:rsidRPr="00D77AD8">
        <w:rPr>
          <w:rFonts w:cs="Arial"/>
          <w:sz w:val="20"/>
          <w:szCs w:val="20"/>
          <w:rtl/>
        </w:rPr>
        <w:t xml:space="preserve"> </w:t>
      </w:r>
      <w:r w:rsidRPr="00D77AD8">
        <w:rPr>
          <w:rFonts w:cs="Arial" w:hint="cs"/>
          <w:sz w:val="20"/>
          <w:szCs w:val="20"/>
          <w:rtl/>
        </w:rPr>
        <w:t>קפצה</w:t>
      </w:r>
      <w:r w:rsidRPr="00D77AD8">
        <w:rPr>
          <w:rFonts w:cs="Arial"/>
          <w:sz w:val="20"/>
          <w:szCs w:val="20"/>
          <w:rtl/>
        </w:rPr>
        <w:t xml:space="preserve"> </w:t>
      </w:r>
      <w:r w:rsidRPr="00D77AD8">
        <w:rPr>
          <w:rFonts w:cs="Arial" w:hint="cs"/>
          <w:sz w:val="20"/>
          <w:szCs w:val="20"/>
          <w:rtl/>
        </w:rPr>
        <w:t>ולא</w:t>
      </w:r>
      <w:r w:rsidRPr="00D77AD8">
        <w:rPr>
          <w:rFonts w:cs="Arial"/>
          <w:sz w:val="20"/>
          <w:szCs w:val="20"/>
          <w:rtl/>
        </w:rPr>
        <w:t xml:space="preserve"> </w:t>
      </w:r>
      <w:r w:rsidRPr="00D77AD8">
        <w:rPr>
          <w:rFonts w:cs="Arial" w:hint="cs"/>
          <w:sz w:val="20"/>
          <w:szCs w:val="20"/>
          <w:rtl/>
        </w:rPr>
        <w:t>ראתה</w:t>
      </w:r>
      <w:r w:rsidRPr="00D77AD8">
        <w:rPr>
          <w:rFonts w:cs="Arial"/>
          <w:sz w:val="20"/>
          <w:szCs w:val="20"/>
          <w:rtl/>
        </w:rPr>
        <w:t xml:space="preserve">, </w:t>
      </w:r>
      <w:r w:rsidRPr="00D77AD8">
        <w:rPr>
          <w:rFonts w:cs="Arial" w:hint="cs"/>
          <w:sz w:val="20"/>
          <w:szCs w:val="20"/>
          <w:rtl/>
        </w:rPr>
        <w:t>אבל</w:t>
      </w:r>
      <w:r w:rsidRPr="00D77AD8">
        <w:rPr>
          <w:rFonts w:cs="Arial"/>
          <w:sz w:val="20"/>
          <w:szCs w:val="20"/>
          <w:rtl/>
        </w:rPr>
        <w:t xml:space="preserve"> </w:t>
      </w:r>
      <w:r w:rsidRPr="00D77AD8">
        <w:rPr>
          <w:rFonts w:cs="Arial" w:hint="cs"/>
          <w:sz w:val="20"/>
          <w:szCs w:val="20"/>
          <w:rtl/>
        </w:rPr>
        <w:t>חוששת</w:t>
      </w:r>
      <w:r w:rsidRPr="00D77AD8">
        <w:rPr>
          <w:rFonts w:cs="Arial"/>
          <w:sz w:val="20"/>
          <w:szCs w:val="20"/>
          <w:rtl/>
        </w:rPr>
        <w:t xml:space="preserve"> </w:t>
      </w:r>
      <w:r w:rsidRPr="00D77AD8">
        <w:rPr>
          <w:rFonts w:cs="Arial" w:hint="cs"/>
          <w:sz w:val="20"/>
          <w:szCs w:val="20"/>
          <w:rtl/>
        </w:rPr>
        <w:t>לעונה</w:t>
      </w:r>
      <w:r w:rsidRPr="00D77AD8">
        <w:rPr>
          <w:rFonts w:cs="Arial"/>
          <w:sz w:val="20"/>
          <w:szCs w:val="20"/>
          <w:rtl/>
        </w:rPr>
        <w:t xml:space="preserve"> </w:t>
      </w:r>
      <w:r w:rsidRPr="00D77AD8">
        <w:rPr>
          <w:rFonts w:cs="Arial" w:hint="cs"/>
          <w:sz w:val="20"/>
          <w:szCs w:val="20"/>
          <w:rtl/>
        </w:rPr>
        <w:t>בינונית</w:t>
      </w:r>
      <w:r w:rsidRPr="00D77AD8">
        <w:rPr>
          <w:rFonts w:cs="Arial"/>
          <w:sz w:val="20"/>
          <w:szCs w:val="20"/>
          <w:rtl/>
        </w:rPr>
        <w:t xml:space="preserve"> </w:t>
      </w:r>
      <w:r w:rsidRPr="00D77AD8">
        <w:rPr>
          <w:rFonts w:cs="Arial" w:hint="cs"/>
          <w:sz w:val="20"/>
          <w:szCs w:val="20"/>
          <w:rtl/>
        </w:rPr>
        <w:t>שהיא</w:t>
      </w:r>
      <w:r w:rsidRPr="00D77AD8">
        <w:rPr>
          <w:rFonts w:cs="Arial"/>
          <w:sz w:val="20"/>
          <w:szCs w:val="20"/>
          <w:rtl/>
        </w:rPr>
        <w:t xml:space="preserve"> </w:t>
      </w:r>
      <w:r w:rsidRPr="00D77AD8">
        <w:rPr>
          <w:rFonts w:cs="Arial" w:hint="cs"/>
          <w:sz w:val="20"/>
          <w:szCs w:val="20"/>
          <w:rtl/>
        </w:rPr>
        <w:t>ל</w:t>
      </w:r>
      <w:r w:rsidRPr="00D77AD8">
        <w:rPr>
          <w:rFonts w:cs="Arial"/>
          <w:sz w:val="20"/>
          <w:szCs w:val="20"/>
          <w:rtl/>
        </w:rPr>
        <w:t xml:space="preserve">' </w:t>
      </w:r>
      <w:r w:rsidRPr="00D77AD8">
        <w:rPr>
          <w:rFonts w:cs="Arial" w:hint="cs"/>
          <w:sz w:val="20"/>
          <w:szCs w:val="20"/>
          <w:rtl/>
        </w:rPr>
        <w:t>יום</w:t>
      </w:r>
      <w:r>
        <w:rPr>
          <w:rFonts w:cs="Arial" w:hint="cs"/>
          <w:sz w:val="20"/>
          <w:szCs w:val="20"/>
          <w:rtl/>
        </w:rPr>
        <w:t>".</w:t>
      </w:r>
      <w:r w:rsidRPr="00D77AD8">
        <w:rPr>
          <w:rFonts w:cs="Arial"/>
          <w:sz w:val="20"/>
          <w:szCs w:val="20"/>
          <w:rtl/>
        </w:rPr>
        <w:t xml:space="preserve"> </w:t>
      </w:r>
    </w:p>
    <w:p w:rsidR="00620060" w:rsidRDefault="00620060" w:rsidP="00620060">
      <w:pPr>
        <w:rPr>
          <w:rFonts w:cs="Arial"/>
          <w:sz w:val="20"/>
          <w:szCs w:val="20"/>
          <w:rtl/>
        </w:rPr>
      </w:pPr>
      <w:r>
        <w:rPr>
          <w:rFonts w:cs="Arial" w:hint="cs"/>
          <w:sz w:val="20"/>
          <w:szCs w:val="20"/>
          <w:u w:val="single"/>
          <w:rtl/>
        </w:rPr>
        <w:t>ווסת הגוף שאינה תלויה באישה</w:t>
      </w:r>
      <w:r>
        <w:rPr>
          <w:rFonts w:cs="Arial"/>
          <w:sz w:val="20"/>
          <w:szCs w:val="20"/>
          <w:u w:val="single"/>
          <w:rtl/>
        </w:rPr>
        <w:br/>
      </w:r>
      <w:r w:rsidRPr="00F25F4B">
        <w:rPr>
          <w:rFonts w:cs="Arial" w:hint="cs"/>
          <w:b/>
          <w:bCs/>
          <w:sz w:val="20"/>
          <w:szCs w:val="20"/>
          <w:rtl/>
        </w:rPr>
        <w:t>ש"ך</w:t>
      </w:r>
      <w:r>
        <w:rPr>
          <w:rFonts w:cs="Arial" w:hint="cs"/>
          <w:sz w:val="20"/>
          <w:szCs w:val="20"/>
          <w:rtl/>
        </w:rPr>
        <w:t xml:space="preserve"> </w:t>
      </w:r>
      <w:r>
        <w:rPr>
          <w:rFonts w:cs="Arial"/>
          <w:sz w:val="20"/>
          <w:szCs w:val="20"/>
          <w:rtl/>
        </w:rPr>
        <w:t>–</w:t>
      </w:r>
      <w:r>
        <w:rPr>
          <w:rFonts w:cs="Arial" w:hint="cs"/>
          <w:sz w:val="20"/>
          <w:szCs w:val="20"/>
          <w:rtl/>
        </w:rPr>
        <w:t xml:space="preserve"> דברי המחבר שכתב להקל ב"קפיצה </w:t>
      </w:r>
      <w:r w:rsidRPr="007D643F">
        <w:rPr>
          <w:rFonts w:cs="Arial" w:hint="cs"/>
          <w:sz w:val="20"/>
          <w:szCs w:val="20"/>
          <w:u w:val="single"/>
          <w:rtl/>
        </w:rPr>
        <w:t>וכיוצא בה</w:t>
      </w:r>
      <w:r>
        <w:rPr>
          <w:rFonts w:cs="Arial" w:hint="cs"/>
          <w:sz w:val="20"/>
          <w:szCs w:val="20"/>
          <w:rtl/>
        </w:rPr>
        <w:t xml:space="preserve">" קשים. משום שמשמע מדבריו שיש להקל אף בווסת התלוי בפיהוק ועיטוש </w:t>
      </w:r>
      <w:r w:rsidRPr="007D643F">
        <w:rPr>
          <w:rFonts w:cs="Arial" w:hint="cs"/>
          <w:sz w:val="18"/>
          <w:szCs w:val="18"/>
          <w:rtl/>
        </w:rPr>
        <w:t>(ווסת הגוף סימן)</w:t>
      </w:r>
      <w:r>
        <w:rPr>
          <w:rFonts w:cs="Arial" w:hint="cs"/>
          <w:sz w:val="20"/>
          <w:szCs w:val="20"/>
          <w:rtl/>
        </w:rPr>
        <w:t xml:space="preserve">, דהיינו שתולים לומר שלא פיהקה ולכן לא ראתה ומותרת. </w:t>
      </w:r>
      <w:r>
        <w:rPr>
          <w:rFonts w:cs="Arial"/>
          <w:sz w:val="20"/>
          <w:szCs w:val="20"/>
          <w:rtl/>
        </w:rPr>
        <w:br/>
      </w:r>
      <w:r>
        <w:rPr>
          <w:rFonts w:cs="Arial" w:hint="cs"/>
          <w:sz w:val="20"/>
          <w:szCs w:val="20"/>
          <w:rtl/>
        </w:rPr>
        <w:lastRenderedPageBreak/>
        <w:t xml:space="preserve">ברם, אין נראה לומר כך, משום שדווקא בווסת התלוי במעשה </w:t>
      </w:r>
      <w:r w:rsidRPr="007D643F">
        <w:rPr>
          <w:rFonts w:cs="Arial" w:hint="cs"/>
          <w:sz w:val="18"/>
          <w:szCs w:val="18"/>
          <w:rtl/>
        </w:rPr>
        <w:t xml:space="preserve">(ווסת הגוף סיבה) </w:t>
      </w:r>
      <w:r>
        <w:rPr>
          <w:rFonts w:cs="Arial" w:hint="cs"/>
          <w:sz w:val="20"/>
          <w:szCs w:val="20"/>
          <w:rtl/>
        </w:rPr>
        <w:t>של האשה תולים לומר שלא עשתה את המעשה ולכן לא ראתה, כגון שלא קפצה ולכן לא ראתה, אך ווסת שאינו תלוי במעשה שלה, כגון עיטוש וכדומה, דינו זהה לחלוטין לווסת התלוי בימים שפסק המחבר בסעיף הקודם. ושמא גם כוונת המחבר כך היא, אלא שזה נראה דוחק בדבריו.</w:t>
      </w:r>
      <w:r>
        <w:rPr>
          <w:rStyle w:val="a5"/>
          <w:rFonts w:cs="Arial"/>
          <w:sz w:val="20"/>
          <w:szCs w:val="20"/>
          <w:rtl/>
        </w:rPr>
        <w:footnoteReference w:id="59"/>
      </w:r>
    </w:p>
    <w:p w:rsidR="00620060" w:rsidRPr="00D60D9C" w:rsidRDefault="00620060" w:rsidP="00620060">
      <w:pPr>
        <w:rPr>
          <w:rFonts w:cs="Arial"/>
          <w:sz w:val="20"/>
          <w:szCs w:val="20"/>
        </w:rPr>
      </w:pPr>
      <w:r>
        <w:rPr>
          <w:rFonts w:cs="Arial" w:hint="cs"/>
          <w:b/>
          <w:bCs/>
          <w:sz w:val="20"/>
          <w:szCs w:val="20"/>
          <w:rtl/>
        </w:rPr>
        <w:t>סיכום</w:t>
      </w:r>
      <w:r>
        <w:rPr>
          <w:rFonts w:cs="Arial"/>
          <w:b/>
          <w:bCs/>
          <w:sz w:val="20"/>
          <w:szCs w:val="20"/>
          <w:rtl/>
        </w:rPr>
        <w:br/>
      </w:r>
      <w:r>
        <w:rPr>
          <w:rFonts w:cs="Arial" w:hint="cs"/>
          <w:sz w:val="20"/>
          <w:szCs w:val="20"/>
          <w:rtl/>
        </w:rPr>
        <w:t xml:space="preserve">1. </w:t>
      </w:r>
      <w:r w:rsidRPr="00D60D9C">
        <w:rPr>
          <w:rFonts w:cs="Arial" w:hint="cs"/>
          <w:b/>
          <w:bCs/>
          <w:sz w:val="20"/>
          <w:szCs w:val="20"/>
          <w:rtl/>
        </w:rPr>
        <w:t>גמרא</w:t>
      </w:r>
      <w:r>
        <w:rPr>
          <w:rFonts w:cs="Arial" w:hint="cs"/>
          <w:sz w:val="20"/>
          <w:szCs w:val="20"/>
          <w:rtl/>
        </w:rPr>
        <w:t>. ווסת התלוי בימים ובמעשה מותרת לשמש אע"פ שהגיע שעת ווסת, תולים שלא עשתה את המעשה.</w:t>
      </w:r>
      <w:r>
        <w:rPr>
          <w:rFonts w:cs="Arial" w:hint="cs"/>
          <w:sz w:val="20"/>
          <w:szCs w:val="20"/>
          <w:rtl/>
        </w:rPr>
        <w:br/>
        <w:t xml:space="preserve">2. </w:t>
      </w:r>
      <w:r w:rsidRPr="00D60D9C">
        <w:rPr>
          <w:rFonts w:cs="Arial" w:hint="cs"/>
          <w:b/>
          <w:bCs/>
          <w:sz w:val="20"/>
          <w:szCs w:val="20"/>
          <w:rtl/>
        </w:rPr>
        <w:t>רשב"א</w:t>
      </w:r>
      <w:r>
        <w:rPr>
          <w:rFonts w:cs="Arial" w:hint="cs"/>
          <w:sz w:val="20"/>
          <w:szCs w:val="20"/>
          <w:rtl/>
        </w:rPr>
        <w:t>. מ"מ, חוששת לעונה בינונית ואסור לשמש עמה עד שיעבור זמן שיכולה להיטהר או תאמר טהורה.</w:t>
      </w:r>
      <w:r>
        <w:rPr>
          <w:rFonts w:cs="Arial" w:hint="cs"/>
          <w:sz w:val="20"/>
          <w:szCs w:val="20"/>
          <w:rtl/>
        </w:rPr>
        <w:br/>
        <w:t xml:space="preserve">3. </w:t>
      </w:r>
      <w:r w:rsidRPr="00D60D9C">
        <w:rPr>
          <w:rFonts w:cs="Arial" w:hint="cs"/>
          <w:b/>
          <w:bCs/>
          <w:sz w:val="20"/>
          <w:szCs w:val="20"/>
          <w:rtl/>
        </w:rPr>
        <w:t>מחבר</w:t>
      </w:r>
      <w:r>
        <w:rPr>
          <w:rFonts w:cs="Arial" w:hint="cs"/>
          <w:sz w:val="20"/>
          <w:szCs w:val="20"/>
          <w:rtl/>
        </w:rPr>
        <w:t xml:space="preserve">. בכל ווסת התלוי בגוף כך הדין. </w:t>
      </w:r>
      <w:r w:rsidRPr="00D60D9C">
        <w:rPr>
          <w:rFonts w:cs="Arial" w:hint="cs"/>
          <w:b/>
          <w:bCs/>
          <w:sz w:val="20"/>
          <w:szCs w:val="20"/>
          <w:rtl/>
        </w:rPr>
        <w:t>ש"ך</w:t>
      </w:r>
      <w:r>
        <w:rPr>
          <w:rFonts w:cs="Arial" w:hint="cs"/>
          <w:sz w:val="20"/>
          <w:szCs w:val="20"/>
          <w:rtl/>
        </w:rPr>
        <w:t>. רק בווסת התלוי במעשה דידה, כגון קפיצה.</w:t>
      </w:r>
    </w:p>
    <w:p w:rsidR="00620060" w:rsidRPr="000B1749" w:rsidRDefault="00620060" w:rsidP="00620060">
      <w:pPr>
        <w:rPr>
          <w:sz w:val="20"/>
          <w:szCs w:val="20"/>
          <w:rtl/>
        </w:rPr>
      </w:pPr>
    </w:p>
    <w:p w:rsidR="00620060" w:rsidRPr="001433C5" w:rsidRDefault="00620060" w:rsidP="00620060">
      <w:pPr>
        <w:rPr>
          <w:sz w:val="20"/>
          <w:szCs w:val="20"/>
          <w:rtl/>
        </w:rPr>
      </w:pPr>
    </w:p>
    <w:p w:rsidR="00620060" w:rsidRPr="00B5123B" w:rsidRDefault="00620060" w:rsidP="00620060">
      <w:pPr>
        <w:rPr>
          <w:sz w:val="20"/>
          <w:szCs w:val="20"/>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Pr="009967E8" w:rsidRDefault="00620060" w:rsidP="00620060">
      <w:pPr>
        <w:rPr>
          <w:b/>
          <w:bCs/>
          <w:sz w:val="20"/>
          <w:szCs w:val="20"/>
          <w:rtl/>
        </w:rPr>
      </w:pPr>
      <w:r w:rsidRPr="009967E8">
        <w:rPr>
          <w:rFonts w:hint="cs"/>
          <w:b/>
          <w:bCs/>
          <w:sz w:val="20"/>
          <w:szCs w:val="20"/>
          <w:rtl/>
        </w:rPr>
        <w:lastRenderedPageBreak/>
        <w:t>בעזרת ה' יתברך</w:t>
      </w:r>
    </w:p>
    <w:p w:rsidR="00620060" w:rsidRPr="009967E8" w:rsidRDefault="00620060" w:rsidP="00620060">
      <w:pPr>
        <w:rPr>
          <w:b/>
          <w:bCs/>
          <w:sz w:val="20"/>
          <w:szCs w:val="20"/>
          <w:rtl/>
        </w:rPr>
      </w:pPr>
      <w:r w:rsidRPr="009967E8">
        <w:rPr>
          <w:rFonts w:hint="cs"/>
          <w:b/>
          <w:bCs/>
          <w:sz w:val="20"/>
          <w:szCs w:val="20"/>
          <w:rtl/>
        </w:rPr>
        <w:t>סימן קפה</w:t>
      </w:r>
    </w:p>
    <w:p w:rsidR="00620060" w:rsidRDefault="00620060" w:rsidP="00620060">
      <w:pPr>
        <w:rPr>
          <w:sz w:val="20"/>
          <w:szCs w:val="20"/>
          <w:rtl/>
        </w:rPr>
      </w:pPr>
      <w:r w:rsidRPr="009967E8">
        <w:rPr>
          <w:rFonts w:hint="cs"/>
          <w:b/>
          <w:bCs/>
          <w:sz w:val="20"/>
          <w:szCs w:val="20"/>
          <w:rtl/>
        </w:rPr>
        <w:t>סעיף א</w:t>
      </w:r>
      <w:r>
        <w:rPr>
          <w:rFonts w:hint="cs"/>
          <w:b/>
          <w:bCs/>
          <w:sz w:val="20"/>
          <w:szCs w:val="20"/>
          <w:rtl/>
        </w:rPr>
        <w:t xml:space="preserve"> </w:t>
      </w:r>
      <w:r>
        <w:rPr>
          <w:b/>
          <w:bCs/>
          <w:sz w:val="20"/>
          <w:szCs w:val="20"/>
          <w:rtl/>
        </w:rPr>
        <w:t>–</w:t>
      </w:r>
      <w:r>
        <w:rPr>
          <w:rFonts w:hint="cs"/>
          <w:b/>
          <w:bCs/>
          <w:sz w:val="20"/>
          <w:szCs w:val="20"/>
          <w:rtl/>
        </w:rPr>
        <w:t xml:space="preserve"> אשה שהיא בחזקת טמאה</w:t>
      </w:r>
      <w:r w:rsidRPr="009967E8">
        <w:rPr>
          <w:b/>
          <w:bCs/>
          <w:sz w:val="20"/>
          <w:szCs w:val="20"/>
          <w:rtl/>
        </w:rPr>
        <w:br/>
      </w:r>
      <w:r w:rsidRPr="009967E8">
        <w:rPr>
          <w:rFonts w:hint="cs"/>
          <w:b/>
          <w:bCs/>
          <w:sz w:val="20"/>
          <w:szCs w:val="20"/>
          <w:rtl/>
        </w:rPr>
        <w:t>מקור הדין</w:t>
      </w:r>
      <w:r>
        <w:rPr>
          <w:b/>
          <w:bCs/>
          <w:sz w:val="20"/>
          <w:szCs w:val="20"/>
          <w:rtl/>
        </w:rPr>
        <w:br/>
      </w:r>
      <w:r>
        <w:rPr>
          <w:rFonts w:hint="cs"/>
          <w:b/>
          <w:bCs/>
          <w:sz w:val="20"/>
          <w:szCs w:val="20"/>
          <w:rtl/>
        </w:rPr>
        <w:t xml:space="preserve">גמרא </w:t>
      </w:r>
      <w:r>
        <w:rPr>
          <w:rFonts w:hint="cs"/>
          <w:sz w:val="20"/>
          <w:szCs w:val="20"/>
          <w:rtl/>
        </w:rPr>
        <w:t>נידה (יב.) "</w:t>
      </w:r>
      <w:r w:rsidRPr="006A169B">
        <w:rPr>
          <w:rFonts w:cs="Arial" w:hint="cs"/>
          <w:sz w:val="20"/>
          <w:szCs w:val="20"/>
          <w:rtl/>
        </w:rPr>
        <w:t>ת</w:t>
      </w:r>
      <w:r>
        <w:rPr>
          <w:rFonts w:cs="Arial" w:hint="cs"/>
          <w:sz w:val="20"/>
          <w:szCs w:val="20"/>
          <w:rtl/>
        </w:rPr>
        <w:t>נו רבנן</w:t>
      </w:r>
      <w:r w:rsidRPr="006A169B">
        <w:rPr>
          <w:rFonts w:cs="Arial"/>
          <w:sz w:val="20"/>
          <w:szCs w:val="20"/>
          <w:rtl/>
        </w:rPr>
        <w:t xml:space="preserve">: </w:t>
      </w:r>
      <w:r w:rsidRPr="006A169B">
        <w:rPr>
          <w:rFonts w:cs="Arial" w:hint="cs"/>
          <w:sz w:val="20"/>
          <w:szCs w:val="20"/>
          <w:rtl/>
        </w:rPr>
        <w:t>חמרין</w:t>
      </w:r>
      <w:r w:rsidRPr="006A169B">
        <w:rPr>
          <w:rFonts w:cs="Arial"/>
          <w:sz w:val="20"/>
          <w:szCs w:val="20"/>
          <w:rtl/>
        </w:rPr>
        <w:t xml:space="preserve"> </w:t>
      </w:r>
      <w:r w:rsidRPr="006A169B">
        <w:rPr>
          <w:rFonts w:cs="Arial" w:hint="cs"/>
          <w:sz w:val="20"/>
          <w:szCs w:val="20"/>
          <w:rtl/>
        </w:rPr>
        <w:t>ופועלין</w:t>
      </w:r>
      <w:r w:rsidRPr="006A169B">
        <w:rPr>
          <w:rFonts w:cs="Arial"/>
          <w:sz w:val="20"/>
          <w:szCs w:val="20"/>
          <w:rtl/>
        </w:rPr>
        <w:t xml:space="preserve"> </w:t>
      </w:r>
      <w:r w:rsidRPr="006A169B">
        <w:rPr>
          <w:rFonts w:cs="Arial" w:hint="cs"/>
          <w:sz w:val="20"/>
          <w:szCs w:val="20"/>
          <w:rtl/>
        </w:rPr>
        <w:t>והבאין</w:t>
      </w:r>
      <w:r w:rsidRPr="006A169B">
        <w:rPr>
          <w:rFonts w:cs="Arial"/>
          <w:sz w:val="20"/>
          <w:szCs w:val="20"/>
          <w:rtl/>
        </w:rPr>
        <w:t xml:space="preserve"> </w:t>
      </w:r>
      <w:r w:rsidRPr="006A169B">
        <w:rPr>
          <w:rFonts w:cs="Arial" w:hint="cs"/>
          <w:sz w:val="20"/>
          <w:szCs w:val="20"/>
          <w:rtl/>
        </w:rPr>
        <w:t>מבית</w:t>
      </w:r>
      <w:r w:rsidRPr="006A169B">
        <w:rPr>
          <w:rFonts w:cs="Arial"/>
          <w:sz w:val="20"/>
          <w:szCs w:val="20"/>
          <w:rtl/>
        </w:rPr>
        <w:t xml:space="preserve"> </w:t>
      </w:r>
      <w:r w:rsidRPr="006A169B">
        <w:rPr>
          <w:rFonts w:cs="Arial" w:hint="cs"/>
          <w:sz w:val="20"/>
          <w:szCs w:val="20"/>
          <w:rtl/>
        </w:rPr>
        <w:t>האבל</w:t>
      </w:r>
      <w:r w:rsidRPr="006A169B">
        <w:rPr>
          <w:rFonts w:cs="Arial"/>
          <w:sz w:val="20"/>
          <w:szCs w:val="20"/>
          <w:rtl/>
        </w:rPr>
        <w:t xml:space="preserve"> </w:t>
      </w:r>
      <w:r w:rsidRPr="006A169B">
        <w:rPr>
          <w:rFonts w:cs="Arial" w:hint="cs"/>
          <w:sz w:val="20"/>
          <w:szCs w:val="20"/>
          <w:rtl/>
        </w:rPr>
        <w:t>ומבית</w:t>
      </w:r>
      <w:r w:rsidRPr="006A169B">
        <w:rPr>
          <w:rFonts w:cs="Arial"/>
          <w:sz w:val="20"/>
          <w:szCs w:val="20"/>
          <w:rtl/>
        </w:rPr>
        <w:t xml:space="preserve"> </w:t>
      </w:r>
      <w:r w:rsidRPr="006A169B">
        <w:rPr>
          <w:rFonts w:cs="Arial" w:hint="cs"/>
          <w:sz w:val="20"/>
          <w:szCs w:val="20"/>
          <w:rtl/>
        </w:rPr>
        <w:t>המשתה</w:t>
      </w:r>
      <w:r w:rsidRPr="006A169B">
        <w:rPr>
          <w:rFonts w:cs="Arial"/>
          <w:sz w:val="20"/>
          <w:szCs w:val="20"/>
          <w:rtl/>
        </w:rPr>
        <w:t xml:space="preserve"> - </w:t>
      </w:r>
      <w:r w:rsidRPr="006A169B">
        <w:rPr>
          <w:rFonts w:cs="Arial" w:hint="cs"/>
          <w:sz w:val="20"/>
          <w:szCs w:val="20"/>
          <w:rtl/>
        </w:rPr>
        <w:t>נשיהם</w:t>
      </w:r>
      <w:r w:rsidRPr="006A169B">
        <w:rPr>
          <w:rFonts w:cs="Arial"/>
          <w:sz w:val="20"/>
          <w:szCs w:val="20"/>
          <w:rtl/>
        </w:rPr>
        <w:t xml:space="preserve"> </w:t>
      </w:r>
      <w:r w:rsidRPr="006A169B">
        <w:rPr>
          <w:rFonts w:cs="Arial" w:hint="cs"/>
          <w:sz w:val="20"/>
          <w:szCs w:val="20"/>
          <w:rtl/>
        </w:rPr>
        <w:t>להם</w:t>
      </w:r>
      <w:r w:rsidRPr="006A169B">
        <w:rPr>
          <w:rFonts w:cs="Arial"/>
          <w:sz w:val="20"/>
          <w:szCs w:val="20"/>
          <w:rtl/>
        </w:rPr>
        <w:t xml:space="preserve"> </w:t>
      </w:r>
      <w:r w:rsidRPr="006A169B">
        <w:rPr>
          <w:rFonts w:cs="Arial" w:hint="cs"/>
          <w:sz w:val="20"/>
          <w:szCs w:val="20"/>
          <w:rtl/>
        </w:rPr>
        <w:t>בחזקת</w:t>
      </w:r>
      <w:r w:rsidRPr="006A169B">
        <w:rPr>
          <w:rFonts w:cs="Arial"/>
          <w:sz w:val="20"/>
          <w:szCs w:val="20"/>
          <w:rtl/>
        </w:rPr>
        <w:t xml:space="preserve"> </w:t>
      </w:r>
      <w:r w:rsidRPr="006A169B">
        <w:rPr>
          <w:rFonts w:cs="Arial" w:hint="cs"/>
          <w:sz w:val="20"/>
          <w:szCs w:val="20"/>
          <w:rtl/>
        </w:rPr>
        <w:t>טהרה</w:t>
      </w:r>
      <w:r w:rsidRPr="006A169B">
        <w:rPr>
          <w:rFonts w:cs="Arial"/>
          <w:sz w:val="20"/>
          <w:szCs w:val="20"/>
          <w:rtl/>
        </w:rPr>
        <w:t xml:space="preserve">, </w:t>
      </w:r>
      <w:r w:rsidRPr="006A169B">
        <w:rPr>
          <w:rFonts w:cs="Arial" w:hint="cs"/>
          <w:sz w:val="20"/>
          <w:szCs w:val="20"/>
          <w:rtl/>
        </w:rPr>
        <w:t>ובאין</w:t>
      </w:r>
      <w:r w:rsidRPr="006A169B">
        <w:rPr>
          <w:rFonts w:cs="Arial"/>
          <w:sz w:val="20"/>
          <w:szCs w:val="20"/>
          <w:rtl/>
        </w:rPr>
        <w:t xml:space="preserve"> </w:t>
      </w:r>
      <w:r w:rsidRPr="006A169B">
        <w:rPr>
          <w:rFonts w:cs="Arial" w:hint="cs"/>
          <w:sz w:val="20"/>
          <w:szCs w:val="20"/>
          <w:rtl/>
        </w:rPr>
        <w:t>ושוהין</w:t>
      </w:r>
      <w:r w:rsidRPr="006A169B">
        <w:rPr>
          <w:rFonts w:cs="Arial"/>
          <w:sz w:val="20"/>
          <w:szCs w:val="20"/>
          <w:rtl/>
        </w:rPr>
        <w:t xml:space="preserve"> </w:t>
      </w:r>
      <w:r w:rsidRPr="006A169B">
        <w:rPr>
          <w:rFonts w:cs="Arial" w:hint="cs"/>
          <w:sz w:val="20"/>
          <w:szCs w:val="20"/>
          <w:rtl/>
        </w:rPr>
        <w:t>עמהם</w:t>
      </w:r>
      <w:r w:rsidRPr="006A169B">
        <w:rPr>
          <w:rFonts w:cs="Arial"/>
          <w:sz w:val="20"/>
          <w:szCs w:val="20"/>
          <w:rtl/>
        </w:rPr>
        <w:t xml:space="preserve"> </w:t>
      </w:r>
      <w:r w:rsidRPr="006A169B">
        <w:rPr>
          <w:rFonts w:cs="Arial" w:hint="cs"/>
          <w:sz w:val="20"/>
          <w:szCs w:val="20"/>
          <w:rtl/>
        </w:rPr>
        <w:t>בין</w:t>
      </w:r>
      <w:r w:rsidRPr="006A169B">
        <w:rPr>
          <w:rFonts w:cs="Arial"/>
          <w:sz w:val="20"/>
          <w:szCs w:val="20"/>
          <w:rtl/>
        </w:rPr>
        <w:t xml:space="preserve"> </w:t>
      </w:r>
      <w:r w:rsidRPr="006A169B">
        <w:rPr>
          <w:rFonts w:cs="Arial" w:hint="cs"/>
          <w:sz w:val="20"/>
          <w:szCs w:val="20"/>
          <w:rtl/>
        </w:rPr>
        <w:t>ישנות</w:t>
      </w:r>
      <w:r w:rsidRPr="006A169B">
        <w:rPr>
          <w:rFonts w:cs="Arial"/>
          <w:sz w:val="20"/>
          <w:szCs w:val="20"/>
          <w:rtl/>
        </w:rPr>
        <w:t xml:space="preserve"> </w:t>
      </w:r>
      <w:r w:rsidRPr="006A169B">
        <w:rPr>
          <w:rFonts w:cs="Arial" w:hint="cs"/>
          <w:sz w:val="20"/>
          <w:szCs w:val="20"/>
          <w:rtl/>
        </w:rPr>
        <w:t>בין</w:t>
      </w:r>
      <w:r w:rsidRPr="006A169B">
        <w:rPr>
          <w:rFonts w:cs="Arial"/>
          <w:sz w:val="20"/>
          <w:szCs w:val="20"/>
          <w:rtl/>
        </w:rPr>
        <w:t xml:space="preserve"> </w:t>
      </w:r>
      <w:r w:rsidRPr="006A169B">
        <w:rPr>
          <w:rFonts w:cs="Arial" w:hint="cs"/>
          <w:sz w:val="20"/>
          <w:szCs w:val="20"/>
          <w:rtl/>
        </w:rPr>
        <w:t>ערות</w:t>
      </w:r>
      <w:r w:rsidRPr="006A169B">
        <w:rPr>
          <w:rFonts w:cs="Arial"/>
          <w:sz w:val="20"/>
          <w:szCs w:val="20"/>
          <w:rtl/>
        </w:rPr>
        <w:t xml:space="preserve">. </w:t>
      </w:r>
      <w:r w:rsidRPr="006A169B">
        <w:rPr>
          <w:rFonts w:cs="Arial" w:hint="cs"/>
          <w:sz w:val="20"/>
          <w:szCs w:val="20"/>
          <w:rtl/>
        </w:rPr>
        <w:t>ב</w:t>
      </w:r>
      <w:r>
        <w:rPr>
          <w:rFonts w:cs="Arial" w:hint="cs"/>
          <w:sz w:val="20"/>
          <w:szCs w:val="20"/>
          <w:rtl/>
        </w:rPr>
        <w:t xml:space="preserve">מה דברים </w:t>
      </w:r>
      <w:r w:rsidRPr="006A169B">
        <w:rPr>
          <w:rFonts w:cs="Arial" w:hint="cs"/>
          <w:sz w:val="20"/>
          <w:szCs w:val="20"/>
          <w:rtl/>
        </w:rPr>
        <w:t>א</w:t>
      </w:r>
      <w:r>
        <w:rPr>
          <w:rFonts w:cs="Arial" w:hint="cs"/>
          <w:sz w:val="20"/>
          <w:szCs w:val="20"/>
          <w:rtl/>
        </w:rPr>
        <w:t>מורים</w:t>
      </w:r>
      <w:r w:rsidRPr="006A169B">
        <w:rPr>
          <w:rFonts w:cs="Arial"/>
          <w:sz w:val="20"/>
          <w:szCs w:val="20"/>
          <w:rtl/>
        </w:rPr>
        <w:t xml:space="preserve"> - </w:t>
      </w:r>
      <w:r w:rsidRPr="006A169B">
        <w:rPr>
          <w:rFonts w:cs="Arial" w:hint="cs"/>
          <w:sz w:val="20"/>
          <w:szCs w:val="20"/>
          <w:rtl/>
        </w:rPr>
        <w:t>שהניחן</w:t>
      </w:r>
      <w:r w:rsidRPr="006A169B">
        <w:rPr>
          <w:rFonts w:cs="Arial"/>
          <w:sz w:val="20"/>
          <w:szCs w:val="20"/>
          <w:rtl/>
        </w:rPr>
        <w:t xml:space="preserve"> </w:t>
      </w:r>
      <w:r w:rsidRPr="006A169B">
        <w:rPr>
          <w:rFonts w:cs="Arial" w:hint="cs"/>
          <w:sz w:val="20"/>
          <w:szCs w:val="20"/>
          <w:rtl/>
        </w:rPr>
        <w:t>בחזקת</w:t>
      </w:r>
      <w:r w:rsidRPr="006A169B">
        <w:rPr>
          <w:rFonts w:cs="Arial"/>
          <w:sz w:val="20"/>
          <w:szCs w:val="20"/>
          <w:rtl/>
        </w:rPr>
        <w:t xml:space="preserve"> </w:t>
      </w:r>
      <w:r w:rsidRPr="006A169B">
        <w:rPr>
          <w:rFonts w:cs="Arial" w:hint="cs"/>
          <w:sz w:val="20"/>
          <w:szCs w:val="20"/>
          <w:rtl/>
        </w:rPr>
        <w:t>טהרה</w:t>
      </w:r>
      <w:r w:rsidRPr="006A169B">
        <w:rPr>
          <w:rFonts w:cs="Arial"/>
          <w:sz w:val="20"/>
          <w:szCs w:val="20"/>
          <w:rtl/>
        </w:rPr>
        <w:t xml:space="preserve">, </w:t>
      </w:r>
      <w:r w:rsidRPr="006A169B">
        <w:rPr>
          <w:rFonts w:cs="Arial" w:hint="cs"/>
          <w:sz w:val="20"/>
          <w:szCs w:val="20"/>
          <w:rtl/>
        </w:rPr>
        <w:t>אבל</w:t>
      </w:r>
      <w:r w:rsidRPr="006A169B">
        <w:rPr>
          <w:rFonts w:cs="Arial"/>
          <w:sz w:val="20"/>
          <w:szCs w:val="20"/>
          <w:rtl/>
        </w:rPr>
        <w:t xml:space="preserve"> </w:t>
      </w:r>
      <w:r w:rsidRPr="006A169B">
        <w:rPr>
          <w:rFonts w:cs="Arial" w:hint="cs"/>
          <w:sz w:val="20"/>
          <w:szCs w:val="20"/>
          <w:rtl/>
        </w:rPr>
        <w:t>הניחן</w:t>
      </w:r>
      <w:r w:rsidRPr="006A169B">
        <w:rPr>
          <w:rFonts w:cs="Arial"/>
          <w:sz w:val="20"/>
          <w:szCs w:val="20"/>
          <w:rtl/>
        </w:rPr>
        <w:t xml:space="preserve"> </w:t>
      </w:r>
      <w:r w:rsidRPr="006A169B">
        <w:rPr>
          <w:rFonts w:cs="Arial" w:hint="cs"/>
          <w:sz w:val="20"/>
          <w:szCs w:val="20"/>
          <w:rtl/>
        </w:rPr>
        <w:t>בחזקת</w:t>
      </w:r>
      <w:r w:rsidRPr="006A169B">
        <w:rPr>
          <w:rFonts w:cs="Arial"/>
          <w:sz w:val="20"/>
          <w:szCs w:val="20"/>
          <w:rtl/>
        </w:rPr>
        <w:t xml:space="preserve"> </w:t>
      </w:r>
      <w:r w:rsidRPr="006A169B">
        <w:rPr>
          <w:rFonts w:cs="Arial" w:hint="cs"/>
          <w:sz w:val="20"/>
          <w:szCs w:val="20"/>
          <w:rtl/>
        </w:rPr>
        <w:t>טומאה</w:t>
      </w:r>
      <w:r w:rsidRPr="006A169B">
        <w:rPr>
          <w:rFonts w:cs="Arial"/>
          <w:sz w:val="20"/>
          <w:szCs w:val="20"/>
          <w:rtl/>
        </w:rPr>
        <w:t xml:space="preserve"> - </w:t>
      </w:r>
      <w:r w:rsidRPr="006A169B">
        <w:rPr>
          <w:rFonts w:cs="Arial" w:hint="cs"/>
          <w:sz w:val="20"/>
          <w:szCs w:val="20"/>
          <w:rtl/>
        </w:rPr>
        <w:t>לעולם</w:t>
      </w:r>
      <w:r w:rsidRPr="006A169B">
        <w:rPr>
          <w:rFonts w:cs="Arial"/>
          <w:sz w:val="20"/>
          <w:szCs w:val="20"/>
          <w:rtl/>
        </w:rPr>
        <w:t xml:space="preserve"> </w:t>
      </w:r>
      <w:r w:rsidRPr="006A169B">
        <w:rPr>
          <w:rFonts w:cs="Arial" w:hint="cs"/>
          <w:sz w:val="20"/>
          <w:szCs w:val="20"/>
          <w:rtl/>
        </w:rPr>
        <w:t>היא</w:t>
      </w:r>
      <w:r w:rsidRPr="006A169B">
        <w:rPr>
          <w:rFonts w:cs="Arial"/>
          <w:sz w:val="20"/>
          <w:szCs w:val="20"/>
          <w:rtl/>
        </w:rPr>
        <w:t xml:space="preserve"> </w:t>
      </w:r>
      <w:r w:rsidRPr="006A169B">
        <w:rPr>
          <w:rFonts w:cs="Arial" w:hint="cs"/>
          <w:sz w:val="20"/>
          <w:szCs w:val="20"/>
          <w:rtl/>
        </w:rPr>
        <w:t>טמאה</w:t>
      </w:r>
      <w:r w:rsidRPr="006A169B">
        <w:rPr>
          <w:rFonts w:cs="Arial"/>
          <w:sz w:val="20"/>
          <w:szCs w:val="20"/>
          <w:rtl/>
        </w:rPr>
        <w:t xml:space="preserve">, </w:t>
      </w:r>
      <w:r w:rsidRPr="006A169B">
        <w:rPr>
          <w:rFonts w:cs="Arial" w:hint="cs"/>
          <w:sz w:val="20"/>
          <w:szCs w:val="20"/>
          <w:rtl/>
        </w:rPr>
        <w:t>עד</w:t>
      </w:r>
      <w:r w:rsidRPr="006A169B">
        <w:rPr>
          <w:rFonts w:cs="Arial"/>
          <w:sz w:val="20"/>
          <w:szCs w:val="20"/>
          <w:rtl/>
        </w:rPr>
        <w:t xml:space="preserve"> </w:t>
      </w:r>
      <w:r w:rsidRPr="006A169B">
        <w:rPr>
          <w:rFonts w:cs="Arial" w:hint="cs"/>
          <w:sz w:val="20"/>
          <w:szCs w:val="20"/>
          <w:rtl/>
        </w:rPr>
        <w:t>שתאמר</w:t>
      </w:r>
      <w:r w:rsidRPr="006A169B">
        <w:rPr>
          <w:rFonts w:cs="Arial"/>
          <w:sz w:val="20"/>
          <w:szCs w:val="20"/>
          <w:rtl/>
        </w:rPr>
        <w:t xml:space="preserve"> </w:t>
      </w:r>
      <w:r w:rsidRPr="006A169B">
        <w:rPr>
          <w:rFonts w:cs="Arial" w:hint="cs"/>
          <w:sz w:val="20"/>
          <w:szCs w:val="20"/>
          <w:rtl/>
        </w:rPr>
        <w:t>לו</w:t>
      </w:r>
      <w:r w:rsidRPr="006A169B">
        <w:rPr>
          <w:rFonts w:cs="Arial"/>
          <w:sz w:val="20"/>
          <w:szCs w:val="20"/>
          <w:rtl/>
        </w:rPr>
        <w:t xml:space="preserve"> </w:t>
      </w:r>
      <w:r w:rsidRPr="006A169B">
        <w:rPr>
          <w:rFonts w:cs="Arial" w:hint="cs"/>
          <w:sz w:val="20"/>
          <w:szCs w:val="20"/>
          <w:rtl/>
        </w:rPr>
        <w:t>טהורה</w:t>
      </w:r>
      <w:r w:rsidRPr="006A169B">
        <w:rPr>
          <w:rFonts w:cs="Arial"/>
          <w:sz w:val="20"/>
          <w:szCs w:val="20"/>
          <w:rtl/>
        </w:rPr>
        <w:t xml:space="preserve"> </w:t>
      </w:r>
      <w:r w:rsidRPr="006A169B">
        <w:rPr>
          <w:rFonts w:cs="Arial" w:hint="cs"/>
          <w:sz w:val="20"/>
          <w:szCs w:val="20"/>
          <w:rtl/>
        </w:rPr>
        <w:t>אני</w:t>
      </w:r>
      <w:r>
        <w:rPr>
          <w:rFonts w:cs="Arial" w:hint="cs"/>
          <w:sz w:val="20"/>
          <w:szCs w:val="20"/>
          <w:rtl/>
        </w:rPr>
        <w:t>".</w:t>
      </w:r>
      <w:r>
        <w:rPr>
          <w:sz w:val="20"/>
          <w:szCs w:val="20"/>
          <w:rtl/>
        </w:rPr>
        <w:br/>
      </w:r>
      <w:r w:rsidRPr="006A169B">
        <w:rPr>
          <w:rFonts w:hint="cs"/>
          <w:b/>
          <w:bCs/>
          <w:sz w:val="20"/>
          <w:szCs w:val="20"/>
          <w:rtl/>
        </w:rPr>
        <w:t>בית יוסף</w:t>
      </w:r>
      <w:r>
        <w:rPr>
          <w:rFonts w:hint="cs"/>
          <w:sz w:val="20"/>
          <w:szCs w:val="20"/>
          <w:rtl/>
        </w:rPr>
        <w:t xml:space="preserve"> </w:t>
      </w:r>
      <w:r>
        <w:rPr>
          <w:sz w:val="20"/>
          <w:szCs w:val="20"/>
          <w:rtl/>
        </w:rPr>
        <w:t>–</w:t>
      </w:r>
      <w:r>
        <w:rPr>
          <w:rFonts w:hint="cs"/>
          <w:sz w:val="20"/>
          <w:szCs w:val="20"/>
          <w:rtl/>
        </w:rPr>
        <w:t xml:space="preserve"> מדובר שעברו די ימים שתוכל להיטהר בהם, ולמרות זאת אין לו לבוא עליה ללא שאלה. </w:t>
      </w:r>
      <w:r>
        <w:rPr>
          <w:sz w:val="20"/>
          <w:szCs w:val="20"/>
          <w:rtl/>
        </w:rPr>
        <w:br/>
      </w:r>
      <w:r>
        <w:rPr>
          <w:rFonts w:hint="cs"/>
          <w:sz w:val="20"/>
          <w:szCs w:val="20"/>
          <w:rtl/>
        </w:rPr>
        <w:t>ואע"פ שרבי יוחנן אמר שאדם מחשב ימי ווסת אשתו ובא עליה אף ללא שאלה</w:t>
      </w:r>
      <w:r>
        <w:rPr>
          <w:rStyle w:val="a5"/>
          <w:sz w:val="20"/>
          <w:szCs w:val="20"/>
          <w:rtl/>
        </w:rPr>
        <w:footnoteReference w:id="60"/>
      </w:r>
      <w:r>
        <w:rPr>
          <w:rFonts w:hint="cs"/>
          <w:sz w:val="20"/>
          <w:szCs w:val="20"/>
          <w:rtl/>
        </w:rPr>
        <w:t>, התם מדובר שהיא ספק ראתה אך כאן מדובר שוודאי ראתה ולכן מותר לבוא עליה רק לאחר שאלה.</w:t>
      </w:r>
    </w:p>
    <w:p w:rsidR="00620060" w:rsidRDefault="00620060" w:rsidP="00620060">
      <w:pPr>
        <w:rPr>
          <w:sz w:val="20"/>
          <w:szCs w:val="20"/>
          <w:rtl/>
        </w:rPr>
      </w:pPr>
      <w:r>
        <w:rPr>
          <w:rFonts w:hint="cs"/>
          <w:sz w:val="20"/>
          <w:szCs w:val="20"/>
          <w:rtl/>
        </w:rPr>
        <w:t xml:space="preserve">ב. </w:t>
      </w:r>
      <w:r w:rsidRPr="006A169B">
        <w:rPr>
          <w:rFonts w:hint="cs"/>
          <w:b/>
          <w:bCs/>
          <w:sz w:val="20"/>
          <w:szCs w:val="20"/>
          <w:rtl/>
        </w:rPr>
        <w:t>משנה</w:t>
      </w:r>
      <w:r>
        <w:rPr>
          <w:rFonts w:hint="cs"/>
          <w:sz w:val="20"/>
          <w:szCs w:val="20"/>
          <w:rtl/>
        </w:rPr>
        <w:t xml:space="preserve"> כתובות (עב.) "</w:t>
      </w:r>
      <w:r w:rsidRPr="006A169B">
        <w:rPr>
          <w:rFonts w:cs="Arial" w:hint="cs"/>
          <w:sz w:val="20"/>
          <w:szCs w:val="20"/>
          <w:rtl/>
        </w:rPr>
        <w:t>ואלו</w:t>
      </w:r>
      <w:r w:rsidRPr="006A169B">
        <w:rPr>
          <w:rFonts w:cs="Arial"/>
          <w:sz w:val="20"/>
          <w:szCs w:val="20"/>
          <w:rtl/>
        </w:rPr>
        <w:t xml:space="preserve"> </w:t>
      </w:r>
      <w:r w:rsidRPr="006A169B">
        <w:rPr>
          <w:rFonts w:cs="Arial" w:hint="cs"/>
          <w:sz w:val="20"/>
          <w:szCs w:val="20"/>
          <w:rtl/>
        </w:rPr>
        <w:t>יוצאות</w:t>
      </w:r>
      <w:r w:rsidRPr="006A169B">
        <w:rPr>
          <w:rFonts w:cs="Arial"/>
          <w:sz w:val="20"/>
          <w:szCs w:val="20"/>
          <w:rtl/>
        </w:rPr>
        <w:t xml:space="preserve"> </w:t>
      </w:r>
      <w:r w:rsidRPr="006A169B">
        <w:rPr>
          <w:rFonts w:cs="Arial" w:hint="cs"/>
          <w:sz w:val="20"/>
          <w:szCs w:val="20"/>
          <w:rtl/>
        </w:rPr>
        <w:t>שלא</w:t>
      </w:r>
      <w:r w:rsidRPr="006A169B">
        <w:rPr>
          <w:rFonts w:cs="Arial"/>
          <w:sz w:val="20"/>
          <w:szCs w:val="20"/>
          <w:rtl/>
        </w:rPr>
        <w:t xml:space="preserve"> </w:t>
      </w:r>
      <w:r w:rsidRPr="006A169B">
        <w:rPr>
          <w:rFonts w:cs="Arial" w:hint="cs"/>
          <w:sz w:val="20"/>
          <w:szCs w:val="20"/>
          <w:rtl/>
        </w:rPr>
        <w:t>בכתובה</w:t>
      </w:r>
      <w:r w:rsidRPr="006A169B">
        <w:rPr>
          <w:rFonts w:cs="Arial"/>
          <w:sz w:val="20"/>
          <w:szCs w:val="20"/>
          <w:rtl/>
        </w:rPr>
        <w:t xml:space="preserve">: </w:t>
      </w:r>
      <w:r w:rsidRPr="006A169B">
        <w:rPr>
          <w:rFonts w:cs="Arial" w:hint="cs"/>
          <w:sz w:val="20"/>
          <w:szCs w:val="20"/>
          <w:rtl/>
        </w:rPr>
        <w:t>העוברת</w:t>
      </w:r>
      <w:r w:rsidRPr="006A169B">
        <w:rPr>
          <w:rFonts w:cs="Arial"/>
          <w:sz w:val="20"/>
          <w:szCs w:val="20"/>
          <w:rtl/>
        </w:rPr>
        <w:t xml:space="preserve"> </w:t>
      </w:r>
      <w:r w:rsidRPr="006A169B">
        <w:rPr>
          <w:rFonts w:cs="Arial" w:hint="cs"/>
          <w:sz w:val="20"/>
          <w:szCs w:val="20"/>
          <w:rtl/>
        </w:rPr>
        <w:t>על</w:t>
      </w:r>
      <w:r w:rsidRPr="006A169B">
        <w:rPr>
          <w:rFonts w:cs="Arial"/>
          <w:sz w:val="20"/>
          <w:szCs w:val="20"/>
          <w:rtl/>
        </w:rPr>
        <w:t xml:space="preserve"> </w:t>
      </w:r>
      <w:r w:rsidRPr="006A169B">
        <w:rPr>
          <w:rFonts w:cs="Arial" w:hint="cs"/>
          <w:sz w:val="20"/>
          <w:szCs w:val="20"/>
          <w:rtl/>
        </w:rPr>
        <w:t>דת</w:t>
      </w:r>
      <w:r w:rsidRPr="006A169B">
        <w:rPr>
          <w:rFonts w:cs="Arial"/>
          <w:sz w:val="20"/>
          <w:szCs w:val="20"/>
          <w:rtl/>
        </w:rPr>
        <w:t xml:space="preserve"> </w:t>
      </w:r>
      <w:r w:rsidRPr="006A169B">
        <w:rPr>
          <w:rFonts w:cs="Arial" w:hint="cs"/>
          <w:sz w:val="20"/>
          <w:szCs w:val="20"/>
          <w:rtl/>
        </w:rPr>
        <w:t>משה</w:t>
      </w:r>
      <w:r w:rsidRPr="006A169B">
        <w:rPr>
          <w:rFonts w:cs="Arial"/>
          <w:sz w:val="20"/>
          <w:szCs w:val="20"/>
          <w:rtl/>
        </w:rPr>
        <w:t xml:space="preserve"> </w:t>
      </w:r>
      <w:r w:rsidRPr="006A169B">
        <w:rPr>
          <w:rFonts w:cs="Arial" w:hint="cs"/>
          <w:sz w:val="20"/>
          <w:szCs w:val="20"/>
          <w:rtl/>
        </w:rPr>
        <w:t>ויהודית</w:t>
      </w:r>
      <w:r w:rsidRPr="006A169B">
        <w:rPr>
          <w:rFonts w:cs="Arial"/>
          <w:sz w:val="20"/>
          <w:szCs w:val="20"/>
          <w:rtl/>
        </w:rPr>
        <w:t xml:space="preserve">. </w:t>
      </w:r>
      <w:r w:rsidRPr="006A169B">
        <w:rPr>
          <w:rFonts w:cs="Arial" w:hint="cs"/>
          <w:sz w:val="20"/>
          <w:szCs w:val="20"/>
          <w:rtl/>
        </w:rPr>
        <w:t>ואיזו</w:t>
      </w:r>
      <w:r w:rsidRPr="006A169B">
        <w:rPr>
          <w:rFonts w:cs="Arial"/>
          <w:sz w:val="20"/>
          <w:szCs w:val="20"/>
          <w:rtl/>
        </w:rPr>
        <w:t xml:space="preserve"> </w:t>
      </w:r>
      <w:r w:rsidRPr="006A169B">
        <w:rPr>
          <w:rFonts w:cs="Arial" w:hint="cs"/>
          <w:sz w:val="20"/>
          <w:szCs w:val="20"/>
          <w:rtl/>
        </w:rPr>
        <w:t>היא</w:t>
      </w:r>
      <w:r w:rsidRPr="006A169B">
        <w:rPr>
          <w:rFonts w:cs="Arial"/>
          <w:sz w:val="20"/>
          <w:szCs w:val="20"/>
          <w:rtl/>
        </w:rPr>
        <w:t xml:space="preserve"> </w:t>
      </w:r>
      <w:r w:rsidRPr="006A169B">
        <w:rPr>
          <w:rFonts w:cs="Arial" w:hint="cs"/>
          <w:sz w:val="20"/>
          <w:szCs w:val="20"/>
          <w:rtl/>
        </w:rPr>
        <w:t>דת</w:t>
      </w:r>
      <w:r w:rsidRPr="006A169B">
        <w:rPr>
          <w:rFonts w:cs="Arial"/>
          <w:sz w:val="20"/>
          <w:szCs w:val="20"/>
          <w:rtl/>
        </w:rPr>
        <w:t xml:space="preserve"> </w:t>
      </w:r>
      <w:r w:rsidRPr="006A169B">
        <w:rPr>
          <w:rFonts w:cs="Arial" w:hint="cs"/>
          <w:sz w:val="20"/>
          <w:szCs w:val="20"/>
          <w:rtl/>
        </w:rPr>
        <w:t>משה</w:t>
      </w:r>
      <w:r w:rsidRPr="006A169B">
        <w:rPr>
          <w:rFonts w:cs="Arial"/>
          <w:sz w:val="20"/>
          <w:szCs w:val="20"/>
          <w:rtl/>
        </w:rPr>
        <w:t xml:space="preserve">? </w:t>
      </w:r>
      <w:r w:rsidRPr="006A169B">
        <w:rPr>
          <w:rFonts w:cs="Arial" w:hint="cs"/>
          <w:sz w:val="20"/>
          <w:szCs w:val="20"/>
          <w:rtl/>
        </w:rPr>
        <w:t>משמשתו</w:t>
      </w:r>
      <w:r w:rsidRPr="006A169B">
        <w:rPr>
          <w:rFonts w:cs="Arial"/>
          <w:sz w:val="20"/>
          <w:szCs w:val="20"/>
          <w:rtl/>
        </w:rPr>
        <w:t xml:space="preserve"> </w:t>
      </w:r>
      <w:r w:rsidRPr="006A169B">
        <w:rPr>
          <w:rFonts w:cs="Arial" w:hint="cs"/>
          <w:sz w:val="20"/>
          <w:szCs w:val="20"/>
          <w:rtl/>
        </w:rPr>
        <w:t>נדה</w:t>
      </w:r>
      <w:r>
        <w:rPr>
          <w:rFonts w:cs="Arial" w:hint="cs"/>
          <w:sz w:val="20"/>
          <w:szCs w:val="20"/>
          <w:rtl/>
        </w:rPr>
        <w:t>...</w:t>
      </w:r>
      <w:r>
        <w:rPr>
          <w:rFonts w:hint="cs"/>
          <w:sz w:val="20"/>
          <w:szCs w:val="20"/>
          <w:rtl/>
        </w:rPr>
        <w:t>"</w:t>
      </w:r>
      <w:r>
        <w:rPr>
          <w:sz w:val="20"/>
          <w:szCs w:val="20"/>
          <w:rtl/>
        </w:rPr>
        <w:br/>
      </w:r>
      <w:r w:rsidRPr="006A169B">
        <w:rPr>
          <w:rFonts w:hint="cs"/>
          <w:b/>
          <w:bCs/>
          <w:sz w:val="20"/>
          <w:szCs w:val="20"/>
          <w:rtl/>
        </w:rPr>
        <w:t>גמרא</w:t>
      </w:r>
      <w:r>
        <w:rPr>
          <w:rFonts w:hint="cs"/>
          <w:sz w:val="20"/>
          <w:szCs w:val="20"/>
          <w:rtl/>
        </w:rPr>
        <w:t xml:space="preserve"> (שם) "</w:t>
      </w:r>
      <w:r w:rsidRPr="006A169B">
        <w:rPr>
          <w:rFonts w:cs="Arial" w:hint="cs"/>
          <w:sz w:val="20"/>
          <w:szCs w:val="20"/>
          <w:rtl/>
        </w:rPr>
        <w:t>היכי</w:t>
      </w:r>
      <w:r w:rsidRPr="006A169B">
        <w:rPr>
          <w:rFonts w:cs="Arial"/>
          <w:sz w:val="20"/>
          <w:szCs w:val="20"/>
          <w:rtl/>
        </w:rPr>
        <w:t xml:space="preserve"> </w:t>
      </w:r>
      <w:r w:rsidRPr="006A169B">
        <w:rPr>
          <w:rFonts w:cs="Arial" w:hint="cs"/>
          <w:sz w:val="20"/>
          <w:szCs w:val="20"/>
          <w:rtl/>
        </w:rPr>
        <w:t>דמי</w:t>
      </w:r>
      <w:r w:rsidRPr="006A169B">
        <w:rPr>
          <w:rFonts w:cs="Arial"/>
          <w:sz w:val="20"/>
          <w:szCs w:val="20"/>
          <w:rtl/>
        </w:rPr>
        <w:t xml:space="preserve">? </w:t>
      </w:r>
      <w:r w:rsidRPr="006A169B">
        <w:rPr>
          <w:rFonts w:cs="Arial" w:hint="cs"/>
          <w:sz w:val="20"/>
          <w:szCs w:val="20"/>
          <w:rtl/>
        </w:rPr>
        <w:t>אי</w:t>
      </w:r>
      <w:r w:rsidRPr="006A169B">
        <w:rPr>
          <w:rFonts w:cs="Arial"/>
          <w:sz w:val="20"/>
          <w:szCs w:val="20"/>
          <w:rtl/>
        </w:rPr>
        <w:t xml:space="preserve"> </w:t>
      </w:r>
      <w:r w:rsidRPr="006A169B">
        <w:rPr>
          <w:rFonts w:cs="Arial" w:hint="cs"/>
          <w:sz w:val="20"/>
          <w:szCs w:val="20"/>
          <w:rtl/>
        </w:rPr>
        <w:t>דידע</w:t>
      </w:r>
      <w:r w:rsidRPr="006A169B">
        <w:rPr>
          <w:rFonts w:cs="Arial"/>
          <w:sz w:val="20"/>
          <w:szCs w:val="20"/>
          <w:rtl/>
        </w:rPr>
        <w:t xml:space="preserve"> </w:t>
      </w:r>
      <w:r w:rsidRPr="006A169B">
        <w:rPr>
          <w:rFonts w:cs="Arial" w:hint="cs"/>
          <w:sz w:val="20"/>
          <w:szCs w:val="20"/>
          <w:rtl/>
        </w:rPr>
        <w:t>בה</w:t>
      </w:r>
      <w:r w:rsidRPr="006A169B">
        <w:rPr>
          <w:rFonts w:cs="Arial"/>
          <w:sz w:val="20"/>
          <w:szCs w:val="20"/>
          <w:rtl/>
        </w:rPr>
        <w:t xml:space="preserve">, </w:t>
      </w:r>
      <w:r w:rsidRPr="006A169B">
        <w:rPr>
          <w:rFonts w:cs="Arial" w:hint="cs"/>
          <w:sz w:val="20"/>
          <w:szCs w:val="20"/>
          <w:rtl/>
        </w:rPr>
        <w:t>נפרוש</w:t>
      </w:r>
      <w:r w:rsidRPr="006A169B">
        <w:rPr>
          <w:rFonts w:cs="Arial"/>
          <w:sz w:val="20"/>
          <w:szCs w:val="20"/>
          <w:rtl/>
        </w:rPr>
        <w:t xml:space="preserve">! </w:t>
      </w:r>
      <w:r w:rsidRPr="006A169B">
        <w:rPr>
          <w:rFonts w:cs="Arial" w:hint="cs"/>
          <w:sz w:val="20"/>
          <w:szCs w:val="20"/>
          <w:rtl/>
        </w:rPr>
        <w:t>אי</w:t>
      </w:r>
      <w:r w:rsidRPr="006A169B">
        <w:rPr>
          <w:rFonts w:cs="Arial"/>
          <w:sz w:val="20"/>
          <w:szCs w:val="20"/>
          <w:rtl/>
        </w:rPr>
        <w:t xml:space="preserve"> </w:t>
      </w:r>
      <w:r w:rsidRPr="006A169B">
        <w:rPr>
          <w:rFonts w:cs="Arial" w:hint="cs"/>
          <w:sz w:val="20"/>
          <w:szCs w:val="20"/>
          <w:rtl/>
        </w:rPr>
        <w:t>דלא</w:t>
      </w:r>
      <w:r w:rsidRPr="006A169B">
        <w:rPr>
          <w:rFonts w:cs="Arial"/>
          <w:sz w:val="20"/>
          <w:szCs w:val="20"/>
          <w:rtl/>
        </w:rPr>
        <w:t xml:space="preserve"> </w:t>
      </w:r>
      <w:r w:rsidRPr="006A169B">
        <w:rPr>
          <w:rFonts w:cs="Arial" w:hint="cs"/>
          <w:sz w:val="20"/>
          <w:szCs w:val="20"/>
          <w:rtl/>
        </w:rPr>
        <w:t>ידע</w:t>
      </w:r>
      <w:r w:rsidRPr="006A169B">
        <w:rPr>
          <w:rFonts w:cs="Arial"/>
          <w:sz w:val="20"/>
          <w:szCs w:val="20"/>
          <w:rtl/>
        </w:rPr>
        <w:t xml:space="preserve">, </w:t>
      </w:r>
      <w:r w:rsidRPr="006A169B">
        <w:rPr>
          <w:rFonts w:cs="Arial" w:hint="cs"/>
          <w:sz w:val="20"/>
          <w:szCs w:val="20"/>
          <w:rtl/>
        </w:rPr>
        <w:t>נסמוך</w:t>
      </w:r>
      <w:r w:rsidRPr="006A169B">
        <w:rPr>
          <w:rFonts w:cs="Arial"/>
          <w:sz w:val="20"/>
          <w:szCs w:val="20"/>
          <w:rtl/>
        </w:rPr>
        <w:t xml:space="preserve"> </w:t>
      </w:r>
      <w:r w:rsidRPr="006A169B">
        <w:rPr>
          <w:rFonts w:cs="Arial" w:hint="cs"/>
          <w:sz w:val="20"/>
          <w:szCs w:val="20"/>
          <w:rtl/>
        </w:rPr>
        <w:t>עילוה</w:t>
      </w:r>
      <w:r w:rsidRPr="006A169B">
        <w:rPr>
          <w:rFonts w:cs="Arial"/>
          <w:sz w:val="20"/>
          <w:szCs w:val="20"/>
          <w:rtl/>
        </w:rPr>
        <w:t xml:space="preserve">! </w:t>
      </w:r>
      <w:r w:rsidRPr="006A169B">
        <w:rPr>
          <w:rFonts w:cs="Arial" w:hint="cs"/>
          <w:sz w:val="20"/>
          <w:szCs w:val="20"/>
          <w:rtl/>
        </w:rPr>
        <w:t>דא</w:t>
      </w:r>
      <w:r>
        <w:rPr>
          <w:rFonts w:cs="Arial" w:hint="cs"/>
          <w:sz w:val="20"/>
          <w:szCs w:val="20"/>
          <w:rtl/>
        </w:rPr>
        <w:t xml:space="preserve">מר </w:t>
      </w:r>
      <w:r w:rsidRPr="006A169B">
        <w:rPr>
          <w:rFonts w:cs="Arial" w:hint="cs"/>
          <w:sz w:val="20"/>
          <w:szCs w:val="20"/>
          <w:rtl/>
        </w:rPr>
        <w:t>ר</w:t>
      </w:r>
      <w:r>
        <w:rPr>
          <w:rFonts w:cs="Arial" w:hint="cs"/>
          <w:sz w:val="20"/>
          <w:szCs w:val="20"/>
          <w:rtl/>
        </w:rPr>
        <w:t>בי</w:t>
      </w:r>
      <w:r w:rsidRPr="006A169B">
        <w:rPr>
          <w:rFonts w:cs="Arial"/>
          <w:sz w:val="20"/>
          <w:szCs w:val="20"/>
          <w:rtl/>
        </w:rPr>
        <w:t xml:space="preserve"> </w:t>
      </w:r>
      <w:r w:rsidRPr="006A169B">
        <w:rPr>
          <w:rFonts w:cs="Arial" w:hint="cs"/>
          <w:sz w:val="20"/>
          <w:szCs w:val="20"/>
          <w:rtl/>
        </w:rPr>
        <w:t>חיננא</w:t>
      </w:r>
      <w:r w:rsidRPr="006A169B">
        <w:rPr>
          <w:rFonts w:cs="Arial"/>
          <w:sz w:val="20"/>
          <w:szCs w:val="20"/>
          <w:rtl/>
        </w:rPr>
        <w:t xml:space="preserve"> </w:t>
      </w:r>
      <w:r w:rsidRPr="006A169B">
        <w:rPr>
          <w:rFonts w:cs="Arial" w:hint="cs"/>
          <w:sz w:val="20"/>
          <w:szCs w:val="20"/>
          <w:rtl/>
        </w:rPr>
        <w:t>בר</w:t>
      </w:r>
      <w:r w:rsidRPr="006A169B">
        <w:rPr>
          <w:rFonts w:cs="Arial"/>
          <w:sz w:val="20"/>
          <w:szCs w:val="20"/>
          <w:rtl/>
        </w:rPr>
        <w:t xml:space="preserve"> </w:t>
      </w:r>
      <w:r w:rsidRPr="006A169B">
        <w:rPr>
          <w:rFonts w:cs="Arial" w:hint="cs"/>
          <w:sz w:val="20"/>
          <w:szCs w:val="20"/>
          <w:rtl/>
        </w:rPr>
        <w:t>כהנא</w:t>
      </w:r>
      <w:r w:rsidRPr="006A169B">
        <w:rPr>
          <w:rFonts w:cs="Arial"/>
          <w:sz w:val="20"/>
          <w:szCs w:val="20"/>
          <w:rtl/>
        </w:rPr>
        <w:t xml:space="preserve"> </w:t>
      </w:r>
      <w:r w:rsidRPr="006A169B">
        <w:rPr>
          <w:rFonts w:cs="Arial" w:hint="cs"/>
          <w:sz w:val="20"/>
          <w:szCs w:val="20"/>
          <w:rtl/>
        </w:rPr>
        <w:t>אמר</w:t>
      </w:r>
      <w:r w:rsidRPr="006A169B">
        <w:rPr>
          <w:rFonts w:cs="Arial"/>
          <w:sz w:val="20"/>
          <w:szCs w:val="20"/>
          <w:rtl/>
        </w:rPr>
        <w:t xml:space="preserve"> </w:t>
      </w:r>
      <w:r w:rsidRPr="006A169B">
        <w:rPr>
          <w:rFonts w:cs="Arial" w:hint="cs"/>
          <w:sz w:val="20"/>
          <w:szCs w:val="20"/>
          <w:rtl/>
        </w:rPr>
        <w:t>שמואל</w:t>
      </w:r>
      <w:r w:rsidRPr="006A169B">
        <w:rPr>
          <w:rFonts w:cs="Arial"/>
          <w:sz w:val="20"/>
          <w:szCs w:val="20"/>
          <w:rtl/>
        </w:rPr>
        <w:t xml:space="preserve">: </w:t>
      </w:r>
      <w:r w:rsidRPr="006A169B">
        <w:rPr>
          <w:rFonts w:cs="Arial" w:hint="cs"/>
          <w:sz w:val="20"/>
          <w:szCs w:val="20"/>
          <w:u w:val="single"/>
          <w:rtl/>
        </w:rPr>
        <w:t>מנין</w:t>
      </w:r>
      <w:r w:rsidRPr="006A169B">
        <w:rPr>
          <w:rFonts w:cs="Arial"/>
          <w:sz w:val="20"/>
          <w:szCs w:val="20"/>
          <w:u w:val="single"/>
          <w:rtl/>
        </w:rPr>
        <w:t xml:space="preserve"> </w:t>
      </w:r>
      <w:r w:rsidRPr="006A169B">
        <w:rPr>
          <w:rFonts w:cs="Arial" w:hint="cs"/>
          <w:sz w:val="20"/>
          <w:szCs w:val="20"/>
          <w:u w:val="single"/>
          <w:rtl/>
        </w:rPr>
        <w:t>לנדה</w:t>
      </w:r>
      <w:r w:rsidRPr="006A169B">
        <w:rPr>
          <w:rFonts w:cs="Arial"/>
          <w:sz w:val="20"/>
          <w:szCs w:val="20"/>
          <w:u w:val="single"/>
          <w:rtl/>
        </w:rPr>
        <w:t xml:space="preserve"> </w:t>
      </w:r>
      <w:r w:rsidRPr="006A169B">
        <w:rPr>
          <w:rFonts w:cs="Arial" w:hint="cs"/>
          <w:sz w:val="20"/>
          <w:szCs w:val="20"/>
          <w:u w:val="single"/>
          <w:rtl/>
        </w:rPr>
        <w:t>שסופרת</w:t>
      </w:r>
      <w:r w:rsidRPr="006A169B">
        <w:rPr>
          <w:rFonts w:cs="Arial"/>
          <w:sz w:val="20"/>
          <w:szCs w:val="20"/>
          <w:u w:val="single"/>
          <w:rtl/>
        </w:rPr>
        <w:t xml:space="preserve"> </w:t>
      </w:r>
      <w:r w:rsidRPr="006A169B">
        <w:rPr>
          <w:rFonts w:cs="Arial" w:hint="cs"/>
          <w:sz w:val="20"/>
          <w:szCs w:val="20"/>
          <w:u w:val="single"/>
          <w:rtl/>
        </w:rPr>
        <w:t>לעצמה</w:t>
      </w:r>
      <w:r w:rsidRPr="006A169B">
        <w:rPr>
          <w:rFonts w:cs="Arial"/>
          <w:sz w:val="20"/>
          <w:szCs w:val="20"/>
          <w:u w:val="single"/>
          <w:rtl/>
        </w:rPr>
        <w:t xml:space="preserve">? </w:t>
      </w:r>
      <w:r w:rsidRPr="006A169B">
        <w:rPr>
          <w:rFonts w:cs="Arial" w:hint="cs"/>
          <w:sz w:val="20"/>
          <w:szCs w:val="20"/>
          <w:u w:val="single"/>
          <w:rtl/>
        </w:rPr>
        <w:t>שנאמר</w:t>
      </w:r>
      <w:r w:rsidRPr="006A169B">
        <w:rPr>
          <w:rFonts w:cs="Arial"/>
          <w:sz w:val="20"/>
          <w:szCs w:val="20"/>
          <w:u w:val="single"/>
          <w:rtl/>
        </w:rPr>
        <w:t xml:space="preserve">: </w:t>
      </w:r>
      <w:r w:rsidRPr="006A169B">
        <w:rPr>
          <w:rFonts w:cs="Arial" w:hint="cs"/>
          <w:sz w:val="20"/>
          <w:szCs w:val="20"/>
          <w:u w:val="single"/>
          <w:rtl/>
        </w:rPr>
        <w:t>וספרה</w:t>
      </w:r>
      <w:r w:rsidRPr="006A169B">
        <w:rPr>
          <w:rFonts w:cs="Arial"/>
          <w:sz w:val="20"/>
          <w:szCs w:val="20"/>
          <w:u w:val="single"/>
          <w:rtl/>
        </w:rPr>
        <w:t xml:space="preserve"> </w:t>
      </w:r>
      <w:r w:rsidRPr="006A169B">
        <w:rPr>
          <w:rFonts w:cs="Arial" w:hint="cs"/>
          <w:sz w:val="20"/>
          <w:szCs w:val="20"/>
          <w:u w:val="single"/>
          <w:rtl/>
        </w:rPr>
        <w:t>לה</w:t>
      </w:r>
      <w:r w:rsidRPr="006A169B">
        <w:rPr>
          <w:rFonts w:cs="Arial"/>
          <w:sz w:val="20"/>
          <w:szCs w:val="20"/>
          <w:u w:val="single"/>
          <w:rtl/>
        </w:rPr>
        <w:t xml:space="preserve"> </w:t>
      </w:r>
      <w:r w:rsidRPr="006A169B">
        <w:rPr>
          <w:rFonts w:cs="Arial" w:hint="cs"/>
          <w:sz w:val="20"/>
          <w:szCs w:val="20"/>
          <w:u w:val="single"/>
          <w:rtl/>
        </w:rPr>
        <w:t>שבעת</w:t>
      </w:r>
      <w:r w:rsidRPr="006A169B">
        <w:rPr>
          <w:rFonts w:cs="Arial"/>
          <w:sz w:val="20"/>
          <w:szCs w:val="20"/>
          <w:u w:val="single"/>
          <w:rtl/>
        </w:rPr>
        <w:t xml:space="preserve"> </w:t>
      </w:r>
      <w:r w:rsidRPr="006A169B">
        <w:rPr>
          <w:rFonts w:cs="Arial" w:hint="cs"/>
          <w:sz w:val="20"/>
          <w:szCs w:val="20"/>
          <w:u w:val="single"/>
          <w:rtl/>
        </w:rPr>
        <w:t>ימים</w:t>
      </w:r>
      <w:r w:rsidRPr="006A169B">
        <w:rPr>
          <w:rFonts w:cs="Arial"/>
          <w:sz w:val="20"/>
          <w:szCs w:val="20"/>
          <w:u w:val="single"/>
          <w:rtl/>
        </w:rPr>
        <w:t xml:space="preserve">, </w:t>
      </w:r>
      <w:r w:rsidRPr="006A169B">
        <w:rPr>
          <w:rFonts w:cs="Arial" w:hint="cs"/>
          <w:sz w:val="20"/>
          <w:szCs w:val="20"/>
          <w:u w:val="single"/>
          <w:rtl/>
        </w:rPr>
        <w:t>לה</w:t>
      </w:r>
      <w:r w:rsidRPr="006A169B">
        <w:rPr>
          <w:rFonts w:cs="Arial"/>
          <w:sz w:val="20"/>
          <w:szCs w:val="20"/>
          <w:u w:val="single"/>
          <w:rtl/>
        </w:rPr>
        <w:t xml:space="preserve"> - </w:t>
      </w:r>
      <w:r w:rsidRPr="006A169B">
        <w:rPr>
          <w:rFonts w:cs="Arial" w:hint="cs"/>
          <w:sz w:val="20"/>
          <w:szCs w:val="20"/>
          <w:u w:val="single"/>
          <w:rtl/>
        </w:rPr>
        <w:t>לעצמה</w:t>
      </w:r>
      <w:r w:rsidRPr="006A169B">
        <w:rPr>
          <w:rFonts w:cs="Arial"/>
          <w:sz w:val="20"/>
          <w:szCs w:val="20"/>
          <w:u w:val="single"/>
          <w:rtl/>
        </w:rPr>
        <w:t>!</w:t>
      </w:r>
      <w:r>
        <w:rPr>
          <w:rFonts w:hint="cs"/>
          <w:sz w:val="20"/>
          <w:szCs w:val="20"/>
          <w:rtl/>
        </w:rPr>
        <w:t>"</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60548A">
        <w:rPr>
          <w:rFonts w:cs="Arial" w:hint="cs"/>
          <w:sz w:val="20"/>
          <w:szCs w:val="20"/>
          <w:rtl/>
        </w:rPr>
        <w:t>האשה</w:t>
      </w:r>
      <w:r w:rsidRPr="0060548A">
        <w:rPr>
          <w:rFonts w:cs="Arial"/>
          <w:sz w:val="20"/>
          <w:szCs w:val="20"/>
          <w:rtl/>
        </w:rPr>
        <w:t xml:space="preserve"> </w:t>
      </w:r>
      <w:r w:rsidRPr="0060548A">
        <w:rPr>
          <w:rFonts w:cs="Arial" w:hint="cs"/>
          <w:sz w:val="20"/>
          <w:szCs w:val="20"/>
          <w:rtl/>
        </w:rPr>
        <w:t>שהיא</w:t>
      </w:r>
      <w:r w:rsidRPr="0060548A">
        <w:rPr>
          <w:rFonts w:cs="Arial"/>
          <w:sz w:val="20"/>
          <w:szCs w:val="20"/>
          <w:rtl/>
        </w:rPr>
        <w:t xml:space="preserve"> </w:t>
      </w:r>
      <w:r w:rsidRPr="0060548A">
        <w:rPr>
          <w:rFonts w:cs="Arial" w:hint="cs"/>
          <w:sz w:val="20"/>
          <w:szCs w:val="20"/>
          <w:rtl/>
        </w:rPr>
        <w:t>בחזקת</w:t>
      </w:r>
      <w:r w:rsidRPr="0060548A">
        <w:rPr>
          <w:rFonts w:cs="Arial"/>
          <w:sz w:val="20"/>
          <w:szCs w:val="20"/>
          <w:rtl/>
        </w:rPr>
        <w:t xml:space="preserve"> </w:t>
      </w:r>
      <w:r w:rsidRPr="0060548A">
        <w:rPr>
          <w:rFonts w:cs="Arial" w:hint="cs"/>
          <w:sz w:val="20"/>
          <w:szCs w:val="20"/>
          <w:rtl/>
        </w:rPr>
        <w:t>טמאה</w:t>
      </w:r>
      <w:r w:rsidRPr="0060548A">
        <w:rPr>
          <w:rFonts w:cs="Arial"/>
          <w:sz w:val="20"/>
          <w:szCs w:val="20"/>
          <w:rtl/>
        </w:rPr>
        <w:t xml:space="preserve">, </w:t>
      </w:r>
      <w:r w:rsidRPr="0060548A">
        <w:rPr>
          <w:rFonts w:cs="Arial" w:hint="cs"/>
          <w:sz w:val="20"/>
          <w:szCs w:val="20"/>
          <w:rtl/>
        </w:rPr>
        <w:t>אסור</w:t>
      </w:r>
      <w:r w:rsidRPr="0060548A">
        <w:rPr>
          <w:rFonts w:cs="Arial"/>
          <w:sz w:val="20"/>
          <w:szCs w:val="20"/>
          <w:rtl/>
        </w:rPr>
        <w:t xml:space="preserve"> </w:t>
      </w:r>
      <w:r w:rsidRPr="0060548A">
        <w:rPr>
          <w:rFonts w:cs="Arial" w:hint="cs"/>
          <w:sz w:val="20"/>
          <w:szCs w:val="20"/>
          <w:rtl/>
        </w:rPr>
        <w:t>לו</w:t>
      </w:r>
      <w:r w:rsidRPr="0060548A">
        <w:rPr>
          <w:rFonts w:cs="Arial"/>
          <w:sz w:val="20"/>
          <w:szCs w:val="20"/>
          <w:rtl/>
        </w:rPr>
        <w:t xml:space="preserve"> </w:t>
      </w:r>
      <w:r w:rsidRPr="0060548A">
        <w:rPr>
          <w:rFonts w:cs="Arial" w:hint="cs"/>
          <w:sz w:val="20"/>
          <w:szCs w:val="20"/>
          <w:rtl/>
        </w:rPr>
        <w:t>לבא</w:t>
      </w:r>
      <w:r w:rsidRPr="0060548A">
        <w:rPr>
          <w:rFonts w:cs="Arial"/>
          <w:sz w:val="20"/>
          <w:szCs w:val="20"/>
          <w:rtl/>
        </w:rPr>
        <w:t xml:space="preserve"> </w:t>
      </w:r>
      <w:r w:rsidRPr="0060548A">
        <w:rPr>
          <w:rFonts w:cs="Arial" w:hint="cs"/>
          <w:sz w:val="20"/>
          <w:szCs w:val="20"/>
          <w:rtl/>
        </w:rPr>
        <w:t>עליה</w:t>
      </w:r>
      <w:r w:rsidRPr="0060548A">
        <w:rPr>
          <w:rFonts w:cs="Arial"/>
          <w:sz w:val="20"/>
          <w:szCs w:val="20"/>
          <w:rtl/>
        </w:rPr>
        <w:t xml:space="preserve"> </w:t>
      </w:r>
      <w:r w:rsidRPr="0060548A">
        <w:rPr>
          <w:rFonts w:cs="Arial" w:hint="cs"/>
          <w:sz w:val="20"/>
          <w:szCs w:val="20"/>
          <w:rtl/>
        </w:rPr>
        <w:t>עד</w:t>
      </w:r>
      <w:r w:rsidRPr="0060548A">
        <w:rPr>
          <w:rFonts w:cs="Arial"/>
          <w:sz w:val="20"/>
          <w:szCs w:val="20"/>
          <w:rtl/>
        </w:rPr>
        <w:t xml:space="preserve"> </w:t>
      </w:r>
      <w:r w:rsidRPr="0060548A">
        <w:rPr>
          <w:rFonts w:cs="Arial" w:hint="cs"/>
          <w:sz w:val="20"/>
          <w:szCs w:val="20"/>
          <w:rtl/>
        </w:rPr>
        <w:t>שתאמר</w:t>
      </w:r>
      <w:r w:rsidRPr="0060548A">
        <w:rPr>
          <w:rFonts w:cs="Arial"/>
          <w:sz w:val="20"/>
          <w:szCs w:val="20"/>
          <w:rtl/>
        </w:rPr>
        <w:t xml:space="preserve"> </w:t>
      </w:r>
      <w:r w:rsidRPr="0060548A">
        <w:rPr>
          <w:rFonts w:cs="Arial" w:hint="cs"/>
          <w:sz w:val="20"/>
          <w:szCs w:val="20"/>
          <w:rtl/>
        </w:rPr>
        <w:t>לו</w:t>
      </w:r>
      <w:r w:rsidRPr="0060548A">
        <w:rPr>
          <w:rFonts w:cs="Arial"/>
          <w:sz w:val="20"/>
          <w:szCs w:val="20"/>
          <w:rtl/>
        </w:rPr>
        <w:t xml:space="preserve">: </w:t>
      </w:r>
      <w:r w:rsidRPr="0060548A">
        <w:rPr>
          <w:rFonts w:cs="Arial" w:hint="cs"/>
          <w:sz w:val="20"/>
          <w:szCs w:val="20"/>
          <w:rtl/>
        </w:rPr>
        <w:t>טבלתי</w:t>
      </w:r>
      <w:r>
        <w:rPr>
          <w:rStyle w:val="a5"/>
          <w:rFonts w:cs="Arial"/>
          <w:sz w:val="20"/>
          <w:szCs w:val="20"/>
          <w:rtl/>
        </w:rPr>
        <w:footnoteReference w:id="61"/>
      </w:r>
      <w:r w:rsidRPr="0060548A">
        <w:rPr>
          <w:rFonts w:cs="Arial"/>
          <w:sz w:val="20"/>
          <w:szCs w:val="20"/>
          <w:rtl/>
        </w:rPr>
        <w:t xml:space="preserve">. </w:t>
      </w:r>
      <w:r>
        <w:rPr>
          <w:rFonts w:cs="Arial"/>
          <w:sz w:val="18"/>
          <w:szCs w:val="18"/>
          <w:rtl/>
        </w:rPr>
        <w:br/>
      </w:r>
      <w:r w:rsidRPr="0060548A">
        <w:rPr>
          <w:rFonts w:cs="Arial" w:hint="cs"/>
          <w:sz w:val="18"/>
          <w:szCs w:val="18"/>
          <w:rtl/>
        </w:rPr>
        <w:t>הגה</w:t>
      </w:r>
      <w:r w:rsidRPr="0060548A">
        <w:rPr>
          <w:rFonts w:cs="Arial"/>
          <w:sz w:val="18"/>
          <w:szCs w:val="18"/>
          <w:rtl/>
        </w:rPr>
        <w:t xml:space="preserve">: </w:t>
      </w:r>
      <w:r w:rsidRPr="0060548A">
        <w:rPr>
          <w:rFonts w:cs="Arial" w:hint="cs"/>
          <w:sz w:val="18"/>
          <w:szCs w:val="18"/>
          <w:rtl/>
        </w:rPr>
        <w:t>ומאחר</w:t>
      </w:r>
      <w:r w:rsidRPr="0060548A">
        <w:rPr>
          <w:rFonts w:cs="Arial"/>
          <w:sz w:val="18"/>
          <w:szCs w:val="18"/>
          <w:rtl/>
        </w:rPr>
        <w:t xml:space="preserve"> </w:t>
      </w:r>
      <w:r w:rsidRPr="0060548A">
        <w:rPr>
          <w:rFonts w:cs="Arial" w:hint="cs"/>
          <w:sz w:val="18"/>
          <w:szCs w:val="18"/>
          <w:rtl/>
        </w:rPr>
        <w:t>שעברו</w:t>
      </w:r>
      <w:r w:rsidRPr="0060548A">
        <w:rPr>
          <w:rFonts w:cs="Arial"/>
          <w:sz w:val="18"/>
          <w:szCs w:val="18"/>
          <w:rtl/>
        </w:rPr>
        <w:t xml:space="preserve"> </w:t>
      </w:r>
      <w:r w:rsidRPr="0060548A">
        <w:rPr>
          <w:rFonts w:cs="Arial" w:hint="cs"/>
          <w:sz w:val="18"/>
          <w:szCs w:val="18"/>
          <w:rtl/>
        </w:rPr>
        <w:t>ימים</w:t>
      </w:r>
      <w:r w:rsidRPr="0060548A">
        <w:rPr>
          <w:rFonts w:cs="Arial"/>
          <w:sz w:val="18"/>
          <w:szCs w:val="18"/>
          <w:rtl/>
        </w:rPr>
        <w:t xml:space="preserve"> </w:t>
      </w:r>
      <w:r w:rsidRPr="0060548A">
        <w:rPr>
          <w:rFonts w:cs="Arial" w:hint="cs"/>
          <w:sz w:val="18"/>
          <w:szCs w:val="18"/>
          <w:rtl/>
        </w:rPr>
        <w:t>שאפשר</w:t>
      </w:r>
      <w:r w:rsidRPr="0060548A">
        <w:rPr>
          <w:rFonts w:cs="Arial"/>
          <w:sz w:val="18"/>
          <w:szCs w:val="18"/>
          <w:rtl/>
        </w:rPr>
        <w:t xml:space="preserve"> </w:t>
      </w:r>
      <w:r w:rsidRPr="0060548A">
        <w:rPr>
          <w:rFonts w:cs="Arial" w:hint="cs"/>
          <w:sz w:val="18"/>
          <w:szCs w:val="18"/>
          <w:rtl/>
        </w:rPr>
        <w:t>לה</w:t>
      </w:r>
      <w:r w:rsidRPr="0060548A">
        <w:rPr>
          <w:rFonts w:cs="Arial"/>
          <w:sz w:val="18"/>
          <w:szCs w:val="18"/>
          <w:rtl/>
        </w:rPr>
        <w:t xml:space="preserve"> </w:t>
      </w:r>
      <w:r w:rsidRPr="0060548A">
        <w:rPr>
          <w:rFonts w:cs="Arial" w:hint="cs"/>
          <w:sz w:val="18"/>
          <w:szCs w:val="18"/>
          <w:rtl/>
        </w:rPr>
        <w:t>למנות</w:t>
      </w:r>
      <w:r w:rsidRPr="0060548A">
        <w:rPr>
          <w:rFonts w:cs="Arial"/>
          <w:sz w:val="18"/>
          <w:szCs w:val="18"/>
          <w:rtl/>
        </w:rPr>
        <w:t xml:space="preserve"> </w:t>
      </w:r>
      <w:r w:rsidRPr="0060548A">
        <w:rPr>
          <w:rFonts w:cs="Arial" w:hint="cs"/>
          <w:sz w:val="18"/>
          <w:szCs w:val="18"/>
          <w:rtl/>
        </w:rPr>
        <w:t>ולטבול</w:t>
      </w:r>
      <w:r w:rsidRPr="0060548A">
        <w:rPr>
          <w:rFonts w:cs="Arial"/>
          <w:sz w:val="18"/>
          <w:szCs w:val="18"/>
          <w:rtl/>
        </w:rPr>
        <w:t xml:space="preserve">, </w:t>
      </w:r>
      <w:r w:rsidRPr="0060548A">
        <w:rPr>
          <w:rFonts w:cs="Arial" w:hint="cs"/>
          <w:sz w:val="18"/>
          <w:szCs w:val="18"/>
          <w:rtl/>
        </w:rPr>
        <w:t>נאמנת".</w:t>
      </w:r>
      <w:r>
        <w:rPr>
          <w:sz w:val="20"/>
          <w:szCs w:val="20"/>
          <w:rtl/>
        </w:rPr>
        <w:br/>
      </w:r>
      <w:r>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הרמ"א מוסיף על דברי המחבר שאפילו אם ספק לו אם עברו הימים כדי שתוכל לטבול, אפ"ה נאמנת.</w:t>
      </w:r>
      <w:r>
        <w:rPr>
          <w:sz w:val="20"/>
          <w:szCs w:val="20"/>
          <w:rtl/>
        </w:rPr>
        <w:br/>
      </w:r>
      <w:r w:rsidRPr="000F7D3B">
        <w:rPr>
          <w:rFonts w:hint="cs"/>
          <w:sz w:val="18"/>
          <w:szCs w:val="18"/>
          <w:rtl/>
        </w:rPr>
        <w:t>[כגון שלפי רגילות ראייתה היתה צריכה ללבוש לבנים ביום ו' לראייתה, וכעת לפי טענתה שהיא טהורה היתה צריכה ללבוש לבנים ביום ה' לראייתה, אפ"ה נאמנת</w:t>
      </w:r>
      <w:r>
        <w:rPr>
          <w:rFonts w:hint="cs"/>
          <w:sz w:val="18"/>
          <w:szCs w:val="18"/>
          <w:rtl/>
        </w:rPr>
        <w:t>. ברם, אם ברי לו שאינה יכולה להיטהר בזמן זה, אסור לו לבוא עליה</w:t>
      </w:r>
      <w:r w:rsidRPr="000F7D3B">
        <w:rPr>
          <w:rFonts w:hint="cs"/>
          <w:sz w:val="18"/>
          <w:szCs w:val="18"/>
          <w:rtl/>
        </w:rPr>
        <w:t>].</w:t>
      </w:r>
    </w:p>
    <w:p w:rsidR="00620060" w:rsidRDefault="00620060" w:rsidP="00620060">
      <w:pPr>
        <w:rPr>
          <w:sz w:val="20"/>
          <w:szCs w:val="20"/>
          <w:rtl/>
        </w:rPr>
      </w:pPr>
      <w:r>
        <w:rPr>
          <w:rFonts w:hint="cs"/>
          <w:sz w:val="20"/>
          <w:szCs w:val="20"/>
          <w:u w:val="single"/>
          <w:rtl/>
        </w:rPr>
        <w:t>שוכבת לצידו (פת"ש)</w:t>
      </w:r>
      <w:r>
        <w:rPr>
          <w:sz w:val="20"/>
          <w:szCs w:val="20"/>
          <w:u w:val="single"/>
          <w:rtl/>
        </w:rPr>
        <w:br/>
      </w:r>
      <w:r>
        <w:rPr>
          <w:rFonts w:hint="cs"/>
          <w:sz w:val="20"/>
          <w:szCs w:val="20"/>
          <w:rtl/>
        </w:rPr>
        <w:t>האם כאשר האשה שוכבת לצד בעלה הדבר מוכיח שטבלה?</w:t>
      </w:r>
      <w:r>
        <w:rPr>
          <w:rFonts w:hint="cs"/>
          <w:sz w:val="20"/>
          <w:szCs w:val="20"/>
          <w:u w:val="single"/>
          <w:rtl/>
        </w:rPr>
        <w:br/>
      </w:r>
      <w:r>
        <w:rPr>
          <w:rFonts w:hint="cs"/>
          <w:sz w:val="20"/>
          <w:szCs w:val="20"/>
          <w:rtl/>
        </w:rPr>
        <w:t xml:space="preserve">א. </w:t>
      </w:r>
      <w:r w:rsidRPr="003A36C2">
        <w:rPr>
          <w:rFonts w:hint="cs"/>
          <w:b/>
          <w:bCs/>
          <w:sz w:val="20"/>
          <w:szCs w:val="20"/>
          <w:rtl/>
        </w:rPr>
        <w:t>חוות דעת</w:t>
      </w:r>
      <w:r>
        <w:rPr>
          <w:rFonts w:hint="cs"/>
          <w:sz w:val="20"/>
          <w:szCs w:val="20"/>
          <w:rtl/>
        </w:rPr>
        <w:t xml:space="preserve"> </w:t>
      </w:r>
      <w:r>
        <w:rPr>
          <w:sz w:val="20"/>
          <w:szCs w:val="20"/>
          <w:rtl/>
        </w:rPr>
        <w:t>–</w:t>
      </w:r>
      <w:r>
        <w:rPr>
          <w:rFonts w:hint="cs"/>
          <w:sz w:val="20"/>
          <w:szCs w:val="20"/>
          <w:rtl/>
        </w:rPr>
        <w:t xml:space="preserve"> לא, אסורה עד שתאמר "טבלתי".</w:t>
      </w:r>
      <w:r>
        <w:rPr>
          <w:sz w:val="20"/>
          <w:szCs w:val="20"/>
          <w:rtl/>
        </w:rPr>
        <w:br/>
      </w:r>
      <w:r>
        <w:rPr>
          <w:rFonts w:hint="cs"/>
          <w:sz w:val="20"/>
          <w:szCs w:val="20"/>
          <w:rtl/>
        </w:rPr>
        <w:t xml:space="preserve">ב. </w:t>
      </w:r>
      <w:r w:rsidRPr="00416F04">
        <w:rPr>
          <w:rFonts w:hint="cs"/>
          <w:b/>
          <w:bCs/>
          <w:sz w:val="20"/>
          <w:szCs w:val="20"/>
          <w:rtl/>
        </w:rPr>
        <w:t>ערוך השולחן</w:t>
      </w:r>
      <w:r>
        <w:rPr>
          <w:rFonts w:hint="cs"/>
          <w:sz w:val="20"/>
          <w:szCs w:val="20"/>
          <w:rtl/>
        </w:rPr>
        <w:t xml:space="preserve"> </w:t>
      </w:r>
      <w:r>
        <w:rPr>
          <w:sz w:val="20"/>
          <w:szCs w:val="20"/>
          <w:rtl/>
        </w:rPr>
        <w:t>–</w:t>
      </w:r>
      <w:r>
        <w:rPr>
          <w:rFonts w:hint="cs"/>
          <w:sz w:val="20"/>
          <w:szCs w:val="20"/>
          <w:rtl/>
        </w:rPr>
        <w:t xml:space="preserve"> כן, ואפילו הושיטה חפץ מידו לידה הוי הוכחה ומותרת לו.</w:t>
      </w:r>
      <w:r>
        <w:rPr>
          <w:rStyle w:val="a5"/>
          <w:sz w:val="20"/>
          <w:szCs w:val="20"/>
          <w:rtl/>
        </w:rPr>
        <w:footnoteReference w:id="62"/>
      </w:r>
    </w:p>
    <w:p w:rsidR="00620060" w:rsidRDefault="00620060" w:rsidP="00620060">
      <w:pPr>
        <w:rPr>
          <w:sz w:val="20"/>
          <w:szCs w:val="20"/>
          <w:rtl/>
        </w:rPr>
      </w:pPr>
      <w:r>
        <w:rPr>
          <w:rFonts w:hint="cs"/>
          <w:sz w:val="20"/>
          <w:szCs w:val="20"/>
          <w:u w:val="single"/>
          <w:rtl/>
        </w:rPr>
        <w:t>דין אשה חשודה (פת"ש)</w:t>
      </w:r>
      <w:r>
        <w:rPr>
          <w:sz w:val="20"/>
          <w:szCs w:val="20"/>
          <w:u w:val="single"/>
          <w:rtl/>
        </w:rPr>
        <w:br/>
      </w:r>
      <w:r w:rsidRPr="00BF6A26">
        <w:rPr>
          <w:rFonts w:hint="cs"/>
          <w:b/>
          <w:bCs/>
          <w:sz w:val="20"/>
          <w:szCs w:val="20"/>
          <w:rtl/>
        </w:rPr>
        <w:t>חוות דעת</w:t>
      </w:r>
      <w:r>
        <w:rPr>
          <w:rFonts w:hint="cs"/>
          <w:sz w:val="20"/>
          <w:szCs w:val="20"/>
          <w:rtl/>
        </w:rPr>
        <w:t xml:space="preserve"> </w:t>
      </w:r>
      <w:r>
        <w:rPr>
          <w:sz w:val="20"/>
          <w:szCs w:val="20"/>
          <w:rtl/>
        </w:rPr>
        <w:t>–</w:t>
      </w:r>
      <w:r>
        <w:rPr>
          <w:rFonts w:hint="cs"/>
          <w:sz w:val="20"/>
          <w:szCs w:val="20"/>
          <w:rtl/>
        </w:rPr>
        <w:t xml:space="preserve"> אם הכשילה את בעלה באיסור נידות, שוב אינה נאמנת בשעת ווסתה עד שתעשה תשובה, אך שלא בשעת ווסתה נאמנת. ואמנם, בימות החורף אינה נאמנת אף שלא בשעת ווסתה. והפת"ש מוסיף שהוא הדין שאינה נאמנת במקום שמשלמים על הטבילה.</w:t>
      </w:r>
      <w:r>
        <w:rPr>
          <w:rStyle w:val="a5"/>
          <w:sz w:val="20"/>
          <w:szCs w:val="20"/>
          <w:rtl/>
        </w:rPr>
        <w:footnoteReference w:id="63"/>
      </w:r>
      <w:r>
        <w:rPr>
          <w:rFonts w:hint="cs"/>
          <w:sz w:val="20"/>
          <w:szCs w:val="20"/>
          <w:rtl/>
        </w:rPr>
        <w:t xml:space="preserve"> </w:t>
      </w:r>
      <w:r>
        <w:rPr>
          <w:rStyle w:val="a5"/>
          <w:sz w:val="20"/>
          <w:szCs w:val="20"/>
          <w:rtl/>
        </w:rPr>
        <w:footnoteReference w:id="64"/>
      </w:r>
      <w:r>
        <w:rPr>
          <w:rFonts w:hint="cs"/>
          <w:sz w:val="20"/>
          <w:szCs w:val="20"/>
          <w:rtl/>
        </w:rPr>
        <w:t xml:space="preserve"> </w:t>
      </w:r>
      <w:r>
        <w:rPr>
          <w:rStyle w:val="a5"/>
          <w:sz w:val="20"/>
          <w:szCs w:val="20"/>
          <w:rtl/>
        </w:rPr>
        <w:footnoteReference w:id="65"/>
      </w:r>
    </w:p>
    <w:p w:rsidR="00620060" w:rsidRDefault="00620060" w:rsidP="00620060">
      <w:pPr>
        <w:rPr>
          <w:sz w:val="20"/>
          <w:szCs w:val="20"/>
          <w:rtl/>
        </w:rPr>
      </w:pPr>
      <w:r>
        <w:rPr>
          <w:rFonts w:hint="cs"/>
          <w:b/>
          <w:bCs/>
          <w:sz w:val="20"/>
          <w:szCs w:val="20"/>
          <w:rtl/>
        </w:rPr>
        <w:lastRenderedPageBreak/>
        <w:t>רואה בגדיה מלוכלכים דם</w:t>
      </w:r>
      <w:r>
        <w:rPr>
          <w:b/>
          <w:bCs/>
          <w:sz w:val="20"/>
          <w:szCs w:val="20"/>
          <w:rtl/>
        </w:rPr>
        <w:br/>
      </w:r>
      <w:r>
        <w:rPr>
          <w:rFonts w:hint="cs"/>
          <w:b/>
          <w:bCs/>
          <w:sz w:val="20"/>
          <w:szCs w:val="20"/>
          <w:rtl/>
        </w:rPr>
        <w:t xml:space="preserve">רמ"א </w:t>
      </w:r>
      <w:r w:rsidRPr="001B0187">
        <w:rPr>
          <w:rFonts w:hint="cs"/>
          <w:sz w:val="18"/>
          <w:szCs w:val="18"/>
          <w:rtl/>
        </w:rPr>
        <w:t xml:space="preserve">(ע"פ הרא"ש) </w:t>
      </w:r>
      <w:r w:rsidRPr="001B0187">
        <w:rPr>
          <w:sz w:val="18"/>
          <w:szCs w:val="18"/>
          <w:rtl/>
        </w:rPr>
        <w:t>–</w:t>
      </w:r>
      <w:r w:rsidRPr="001B0187">
        <w:rPr>
          <w:rFonts w:hint="cs"/>
          <w:sz w:val="18"/>
          <w:szCs w:val="18"/>
          <w:rtl/>
        </w:rPr>
        <w:t xml:space="preserve"> "</w:t>
      </w:r>
      <w:r w:rsidRPr="001B0187">
        <w:rPr>
          <w:rFonts w:cs="Arial" w:hint="cs"/>
          <w:sz w:val="18"/>
          <w:szCs w:val="18"/>
          <w:rtl/>
        </w:rPr>
        <w:t>אפילו</w:t>
      </w:r>
      <w:r w:rsidRPr="001B0187">
        <w:rPr>
          <w:rFonts w:cs="Arial"/>
          <w:sz w:val="18"/>
          <w:szCs w:val="18"/>
          <w:rtl/>
        </w:rPr>
        <w:t xml:space="preserve"> </w:t>
      </w:r>
      <w:r w:rsidRPr="001B0187">
        <w:rPr>
          <w:rFonts w:cs="Arial" w:hint="cs"/>
          <w:sz w:val="18"/>
          <w:szCs w:val="18"/>
          <w:rtl/>
        </w:rPr>
        <w:t>רואה</w:t>
      </w:r>
      <w:r w:rsidRPr="001B0187">
        <w:rPr>
          <w:rFonts w:cs="Arial"/>
          <w:sz w:val="18"/>
          <w:szCs w:val="18"/>
          <w:rtl/>
        </w:rPr>
        <w:t xml:space="preserve"> </w:t>
      </w:r>
      <w:r w:rsidRPr="001B0187">
        <w:rPr>
          <w:rFonts w:cs="Arial" w:hint="cs"/>
          <w:sz w:val="18"/>
          <w:szCs w:val="18"/>
          <w:rtl/>
        </w:rPr>
        <w:t>בגדים</w:t>
      </w:r>
      <w:r w:rsidRPr="001B0187">
        <w:rPr>
          <w:rFonts w:cs="Arial"/>
          <w:sz w:val="18"/>
          <w:szCs w:val="18"/>
          <w:rtl/>
        </w:rPr>
        <w:t xml:space="preserve"> </w:t>
      </w:r>
      <w:r w:rsidRPr="001B0187">
        <w:rPr>
          <w:rFonts w:cs="Arial" w:hint="cs"/>
          <w:sz w:val="18"/>
          <w:szCs w:val="18"/>
          <w:rtl/>
        </w:rPr>
        <w:t>מלוכלכים</w:t>
      </w:r>
      <w:r w:rsidRPr="001B0187">
        <w:rPr>
          <w:rFonts w:cs="Arial"/>
          <w:sz w:val="18"/>
          <w:szCs w:val="18"/>
          <w:rtl/>
        </w:rPr>
        <w:t xml:space="preserve"> </w:t>
      </w:r>
      <w:r w:rsidRPr="001B0187">
        <w:rPr>
          <w:rFonts w:cs="Arial" w:hint="cs"/>
          <w:sz w:val="18"/>
          <w:szCs w:val="18"/>
          <w:rtl/>
        </w:rPr>
        <w:t>בדם</w:t>
      </w:r>
      <w:r w:rsidRPr="001B0187">
        <w:rPr>
          <w:rFonts w:cs="Arial"/>
          <w:sz w:val="18"/>
          <w:szCs w:val="18"/>
          <w:rtl/>
        </w:rPr>
        <w:t xml:space="preserve">, </w:t>
      </w:r>
      <w:r w:rsidRPr="001B0187">
        <w:rPr>
          <w:rFonts w:cs="Arial" w:hint="cs"/>
          <w:sz w:val="18"/>
          <w:szCs w:val="18"/>
          <w:rtl/>
        </w:rPr>
        <w:t>נאמנת</w:t>
      </w:r>
      <w:r w:rsidRPr="001B0187">
        <w:rPr>
          <w:rFonts w:cs="Arial"/>
          <w:sz w:val="18"/>
          <w:szCs w:val="18"/>
          <w:rtl/>
        </w:rPr>
        <w:t xml:space="preserve"> </w:t>
      </w:r>
      <w:r w:rsidRPr="001B0187">
        <w:rPr>
          <w:rFonts w:cs="Arial" w:hint="cs"/>
          <w:sz w:val="18"/>
          <w:szCs w:val="18"/>
          <w:rtl/>
        </w:rPr>
        <w:t>לומר</w:t>
      </w:r>
      <w:r w:rsidRPr="001B0187">
        <w:rPr>
          <w:rFonts w:cs="Arial"/>
          <w:sz w:val="18"/>
          <w:szCs w:val="18"/>
          <w:rtl/>
        </w:rPr>
        <w:t xml:space="preserve">, </w:t>
      </w:r>
      <w:r w:rsidRPr="001B0187">
        <w:rPr>
          <w:rFonts w:cs="Arial" w:hint="cs"/>
          <w:sz w:val="18"/>
          <w:szCs w:val="18"/>
          <w:rtl/>
        </w:rPr>
        <w:t>בשוק</w:t>
      </w:r>
      <w:r w:rsidRPr="001B0187">
        <w:rPr>
          <w:rFonts w:cs="Arial"/>
          <w:sz w:val="18"/>
          <w:szCs w:val="18"/>
          <w:rtl/>
        </w:rPr>
        <w:t xml:space="preserve"> </w:t>
      </w:r>
      <w:r w:rsidRPr="001B0187">
        <w:rPr>
          <w:rFonts w:cs="Arial" w:hint="cs"/>
          <w:sz w:val="18"/>
          <w:szCs w:val="18"/>
          <w:rtl/>
        </w:rPr>
        <w:t>טבחים</w:t>
      </w:r>
      <w:r w:rsidRPr="001B0187">
        <w:rPr>
          <w:rFonts w:cs="Arial"/>
          <w:sz w:val="18"/>
          <w:szCs w:val="18"/>
          <w:rtl/>
        </w:rPr>
        <w:t xml:space="preserve"> </w:t>
      </w:r>
      <w:r w:rsidRPr="001B0187">
        <w:rPr>
          <w:rFonts w:cs="Arial" w:hint="cs"/>
          <w:sz w:val="18"/>
          <w:szCs w:val="18"/>
          <w:rtl/>
        </w:rPr>
        <w:t>עברתי</w:t>
      </w:r>
      <w:r w:rsidRPr="001B0187">
        <w:rPr>
          <w:rFonts w:cs="Arial"/>
          <w:sz w:val="18"/>
          <w:szCs w:val="18"/>
          <w:rtl/>
        </w:rPr>
        <w:t xml:space="preserve">, </w:t>
      </w:r>
      <w:r w:rsidRPr="001B0187">
        <w:rPr>
          <w:rFonts w:cs="Arial" w:hint="cs"/>
          <w:sz w:val="18"/>
          <w:szCs w:val="18"/>
          <w:rtl/>
        </w:rPr>
        <w:t>או</w:t>
      </w:r>
      <w:r w:rsidRPr="001B0187">
        <w:rPr>
          <w:rFonts w:cs="Arial"/>
          <w:sz w:val="18"/>
          <w:szCs w:val="18"/>
          <w:rtl/>
        </w:rPr>
        <w:t xml:space="preserve"> </w:t>
      </w:r>
      <w:r w:rsidRPr="001B0187">
        <w:rPr>
          <w:rFonts w:cs="Arial" w:hint="cs"/>
          <w:sz w:val="18"/>
          <w:szCs w:val="18"/>
          <w:rtl/>
        </w:rPr>
        <w:t>נתעסקתי</w:t>
      </w:r>
      <w:r w:rsidRPr="001B0187">
        <w:rPr>
          <w:rFonts w:cs="Arial"/>
          <w:sz w:val="18"/>
          <w:szCs w:val="18"/>
          <w:rtl/>
        </w:rPr>
        <w:t xml:space="preserve"> </w:t>
      </w:r>
      <w:r w:rsidRPr="001B0187">
        <w:rPr>
          <w:rFonts w:cs="Arial" w:hint="cs"/>
          <w:sz w:val="18"/>
          <w:szCs w:val="18"/>
          <w:rtl/>
        </w:rPr>
        <w:t>בצפור</w:t>
      </w:r>
      <w:r w:rsidRPr="001B0187">
        <w:rPr>
          <w:rFonts w:cs="Arial"/>
          <w:sz w:val="18"/>
          <w:szCs w:val="18"/>
          <w:rtl/>
        </w:rPr>
        <w:t xml:space="preserve"> </w:t>
      </w:r>
      <w:r w:rsidRPr="001B0187">
        <w:rPr>
          <w:rFonts w:cs="Arial" w:hint="cs"/>
          <w:sz w:val="18"/>
          <w:szCs w:val="18"/>
          <w:rtl/>
        </w:rPr>
        <w:t>וכדומה</w:t>
      </w:r>
      <w:r w:rsidRPr="001B0187">
        <w:rPr>
          <w:rFonts w:cs="Arial"/>
          <w:sz w:val="18"/>
          <w:szCs w:val="18"/>
          <w:rtl/>
        </w:rPr>
        <w:t xml:space="preserve"> </w:t>
      </w:r>
      <w:r w:rsidRPr="001B0187">
        <w:rPr>
          <w:rFonts w:cs="Arial" w:hint="cs"/>
          <w:sz w:val="18"/>
          <w:szCs w:val="18"/>
          <w:rtl/>
        </w:rPr>
        <w:t>לזה".</w:t>
      </w:r>
    </w:p>
    <w:p w:rsidR="00620060" w:rsidRDefault="00620060" w:rsidP="00620060">
      <w:pPr>
        <w:rPr>
          <w:sz w:val="20"/>
          <w:szCs w:val="20"/>
          <w:rtl/>
        </w:rPr>
      </w:pPr>
      <w:r w:rsidRPr="001F0EEC">
        <w:rPr>
          <w:rFonts w:hint="cs"/>
          <w:b/>
          <w:bCs/>
          <w:sz w:val="20"/>
          <w:szCs w:val="20"/>
          <w:rtl/>
        </w:rPr>
        <w:t>סיכום</w:t>
      </w:r>
      <w:r>
        <w:rPr>
          <w:sz w:val="20"/>
          <w:szCs w:val="20"/>
          <w:rtl/>
        </w:rPr>
        <w:br/>
      </w:r>
      <w:r>
        <w:rPr>
          <w:rFonts w:hint="cs"/>
          <w:sz w:val="20"/>
          <w:szCs w:val="20"/>
          <w:rtl/>
        </w:rPr>
        <w:t xml:space="preserve">1. </w:t>
      </w:r>
      <w:r w:rsidRPr="001F0EEC">
        <w:rPr>
          <w:rFonts w:hint="cs"/>
          <w:b/>
          <w:bCs/>
          <w:sz w:val="20"/>
          <w:szCs w:val="20"/>
          <w:rtl/>
        </w:rPr>
        <w:t>גמרא</w:t>
      </w:r>
      <w:r>
        <w:rPr>
          <w:rFonts w:hint="cs"/>
          <w:sz w:val="20"/>
          <w:szCs w:val="20"/>
          <w:rtl/>
        </w:rPr>
        <w:t>. המניח את אשתו בחזקת טמאה, אסורה עד שתאמר "טבלתי", ואפילו אם עבר זמן שיכלה להיטהר.</w:t>
      </w:r>
      <w:r>
        <w:rPr>
          <w:rFonts w:hint="cs"/>
          <w:sz w:val="20"/>
          <w:szCs w:val="20"/>
          <w:rtl/>
        </w:rPr>
        <w:br/>
        <w:t xml:space="preserve">2. </w:t>
      </w:r>
      <w:r w:rsidRPr="004932D5">
        <w:rPr>
          <w:rFonts w:hint="cs"/>
          <w:b/>
          <w:bCs/>
          <w:sz w:val="20"/>
          <w:szCs w:val="20"/>
          <w:rtl/>
        </w:rPr>
        <w:t>גמרא</w:t>
      </w:r>
      <w:r>
        <w:rPr>
          <w:rFonts w:hint="cs"/>
          <w:sz w:val="20"/>
          <w:szCs w:val="20"/>
          <w:rtl/>
        </w:rPr>
        <w:t>. אשה נאמנת לומר שהיא טהורה, ונלמד מהפסוק "וספרה לה" לעצמה.</w:t>
      </w:r>
      <w:r>
        <w:rPr>
          <w:rFonts w:hint="cs"/>
          <w:sz w:val="20"/>
          <w:szCs w:val="20"/>
          <w:rtl/>
        </w:rPr>
        <w:br/>
        <w:t xml:space="preserve">3. </w:t>
      </w:r>
      <w:r w:rsidRPr="004932D5">
        <w:rPr>
          <w:rFonts w:hint="cs"/>
          <w:b/>
          <w:bCs/>
          <w:sz w:val="20"/>
          <w:szCs w:val="20"/>
          <w:rtl/>
        </w:rPr>
        <w:t>מחבר ורמ"א</w:t>
      </w:r>
      <w:r>
        <w:rPr>
          <w:rFonts w:hint="cs"/>
          <w:sz w:val="20"/>
          <w:szCs w:val="20"/>
          <w:rtl/>
        </w:rPr>
        <w:t xml:space="preserve">. לאחר שעברו הימים שיכולה להיטהר נאמנת שטבלה. </w:t>
      </w:r>
      <w:r>
        <w:rPr>
          <w:sz w:val="20"/>
          <w:szCs w:val="20"/>
          <w:rtl/>
        </w:rPr>
        <w:br/>
      </w:r>
      <w:r>
        <w:rPr>
          <w:rFonts w:hint="cs"/>
          <w:sz w:val="20"/>
          <w:szCs w:val="20"/>
          <w:rtl/>
        </w:rPr>
        <w:t xml:space="preserve">4. </w:t>
      </w:r>
      <w:r w:rsidRPr="004932D5">
        <w:rPr>
          <w:rFonts w:hint="cs"/>
          <w:b/>
          <w:bCs/>
          <w:sz w:val="20"/>
          <w:szCs w:val="20"/>
          <w:rtl/>
        </w:rPr>
        <w:t>ש"ך</w:t>
      </w:r>
      <w:r>
        <w:rPr>
          <w:rFonts w:hint="cs"/>
          <w:sz w:val="20"/>
          <w:szCs w:val="20"/>
          <w:rtl/>
        </w:rPr>
        <w:t xml:space="preserve">. אפילו ספק לו אם הגיע הזמן שיכולה להיטהר </w:t>
      </w:r>
      <w:r>
        <w:rPr>
          <w:sz w:val="20"/>
          <w:szCs w:val="20"/>
          <w:rtl/>
        </w:rPr>
        <w:t>–</w:t>
      </w:r>
      <w:r>
        <w:rPr>
          <w:rFonts w:hint="cs"/>
          <w:sz w:val="20"/>
          <w:szCs w:val="20"/>
          <w:rtl/>
        </w:rPr>
        <w:t xml:space="preserve"> נאמנת.</w:t>
      </w:r>
      <w:r>
        <w:rPr>
          <w:rFonts w:hint="cs"/>
          <w:sz w:val="20"/>
          <w:szCs w:val="20"/>
          <w:rtl/>
        </w:rPr>
        <w:br/>
        <w:t xml:space="preserve">5. </w:t>
      </w:r>
      <w:r w:rsidRPr="00FA18E1">
        <w:rPr>
          <w:rFonts w:hint="cs"/>
          <w:sz w:val="20"/>
          <w:szCs w:val="20"/>
          <w:rtl/>
        </w:rPr>
        <w:t xml:space="preserve">שוכבת לצידו. </w:t>
      </w:r>
      <w:r w:rsidRPr="00FA18E1">
        <w:rPr>
          <w:rFonts w:hint="cs"/>
          <w:b/>
          <w:bCs/>
          <w:sz w:val="20"/>
          <w:szCs w:val="20"/>
          <w:rtl/>
        </w:rPr>
        <w:t>חוו"ד</w:t>
      </w:r>
      <w:r w:rsidRPr="00FA18E1">
        <w:rPr>
          <w:rFonts w:hint="cs"/>
          <w:sz w:val="20"/>
          <w:szCs w:val="20"/>
          <w:rtl/>
        </w:rPr>
        <w:t xml:space="preserve">. אינה הוכחה ואסורה עד שתאמר "טבלתי". </w:t>
      </w:r>
      <w:r w:rsidRPr="00FA18E1">
        <w:rPr>
          <w:rFonts w:hint="cs"/>
          <w:b/>
          <w:bCs/>
          <w:sz w:val="20"/>
          <w:szCs w:val="20"/>
          <w:rtl/>
        </w:rPr>
        <w:t>ערוה"ש</w:t>
      </w:r>
      <w:r w:rsidRPr="00FA18E1">
        <w:rPr>
          <w:rFonts w:hint="cs"/>
          <w:sz w:val="20"/>
          <w:szCs w:val="20"/>
          <w:rtl/>
        </w:rPr>
        <w:t>. אפילו הושיטה חפץ לידו מותרת.</w:t>
      </w:r>
      <w:r w:rsidRPr="00FA18E1">
        <w:rPr>
          <w:sz w:val="20"/>
          <w:szCs w:val="20"/>
          <w:rtl/>
        </w:rPr>
        <w:br/>
      </w:r>
      <w:r w:rsidRPr="00FA18E1">
        <w:rPr>
          <w:rFonts w:hint="cs"/>
          <w:sz w:val="20"/>
          <w:szCs w:val="20"/>
          <w:rtl/>
        </w:rPr>
        <w:t>6. אשה חשודה.</w:t>
      </w:r>
      <w:r>
        <w:rPr>
          <w:rFonts w:hint="cs"/>
          <w:sz w:val="20"/>
          <w:szCs w:val="20"/>
          <w:rtl/>
        </w:rPr>
        <w:t xml:space="preserve"> </w:t>
      </w:r>
      <w:r w:rsidRPr="004932D5">
        <w:rPr>
          <w:rFonts w:hint="cs"/>
          <w:b/>
          <w:bCs/>
          <w:sz w:val="20"/>
          <w:szCs w:val="20"/>
          <w:rtl/>
        </w:rPr>
        <w:t>חוו"ד</w:t>
      </w:r>
      <w:r>
        <w:rPr>
          <w:rFonts w:hint="cs"/>
          <w:sz w:val="20"/>
          <w:szCs w:val="20"/>
          <w:rtl/>
        </w:rPr>
        <w:t xml:space="preserve">. אם הכשילה פעם את בעלה באיסור נידה, אינה נאמנת בשעת ווסתה. שלא בשעת ווסתה נאמנת, אך לא בחורף ולא אם הטבילה בתשלום </w:t>
      </w:r>
      <w:r w:rsidRPr="00FA18E1">
        <w:rPr>
          <w:rFonts w:hint="cs"/>
          <w:sz w:val="18"/>
          <w:szCs w:val="18"/>
          <w:rtl/>
        </w:rPr>
        <w:t xml:space="preserve">(אם זנתה </w:t>
      </w:r>
      <w:r w:rsidRPr="00FA18E1">
        <w:rPr>
          <w:sz w:val="18"/>
          <w:szCs w:val="18"/>
          <w:rtl/>
        </w:rPr>
        <w:t>–</w:t>
      </w:r>
      <w:r w:rsidRPr="00FA18E1">
        <w:rPr>
          <w:rFonts w:hint="cs"/>
          <w:sz w:val="18"/>
          <w:szCs w:val="18"/>
          <w:rtl/>
        </w:rPr>
        <w:t xml:space="preserve"> נאמנת על בעלה החדש)</w:t>
      </w:r>
      <w:r>
        <w:rPr>
          <w:rFonts w:hint="cs"/>
          <w:sz w:val="20"/>
          <w:szCs w:val="20"/>
          <w:rtl/>
        </w:rPr>
        <w:t>.</w:t>
      </w:r>
      <w:r>
        <w:rPr>
          <w:sz w:val="20"/>
          <w:szCs w:val="20"/>
          <w:rtl/>
        </w:rPr>
        <w:br/>
      </w:r>
      <w:r>
        <w:rPr>
          <w:rFonts w:hint="cs"/>
          <w:sz w:val="20"/>
          <w:szCs w:val="20"/>
          <w:rtl/>
        </w:rPr>
        <w:t xml:space="preserve">7. </w:t>
      </w:r>
      <w:r w:rsidRPr="004932D5">
        <w:rPr>
          <w:rFonts w:hint="cs"/>
          <w:b/>
          <w:bCs/>
          <w:sz w:val="20"/>
          <w:szCs w:val="20"/>
          <w:rtl/>
        </w:rPr>
        <w:t>רמ"א</w:t>
      </w:r>
      <w:r>
        <w:rPr>
          <w:rFonts w:hint="cs"/>
          <w:sz w:val="20"/>
          <w:szCs w:val="20"/>
          <w:rtl/>
        </w:rPr>
        <w:t>. אפילו אם רואה בגדיה מלוכלכים בדם, נאמנת לומר שאין זה דם נידה אלא התעסקה במראה אדום.</w:t>
      </w:r>
    </w:p>
    <w:p w:rsidR="00620060" w:rsidRDefault="00620060" w:rsidP="00620060">
      <w:pPr>
        <w:rPr>
          <w:rFonts w:cs="Arial"/>
          <w:sz w:val="20"/>
          <w:szCs w:val="20"/>
          <w:rtl/>
        </w:rPr>
      </w:pPr>
      <w:r>
        <w:rPr>
          <w:sz w:val="20"/>
          <w:szCs w:val="20"/>
          <w:rtl/>
        </w:rPr>
        <w:br/>
      </w:r>
      <w:r>
        <w:rPr>
          <w:rFonts w:hint="cs"/>
          <w:b/>
          <w:bCs/>
          <w:sz w:val="20"/>
          <w:szCs w:val="20"/>
          <w:rtl/>
        </w:rPr>
        <w:t xml:space="preserve">סעיף ב </w:t>
      </w:r>
      <w:r>
        <w:rPr>
          <w:b/>
          <w:bCs/>
          <w:sz w:val="20"/>
          <w:szCs w:val="20"/>
          <w:rtl/>
        </w:rPr>
        <w:t>–</w:t>
      </w:r>
      <w:r>
        <w:rPr>
          <w:rFonts w:hint="cs"/>
          <w:b/>
          <w:bCs/>
          <w:sz w:val="20"/>
          <w:szCs w:val="20"/>
          <w:rtl/>
        </w:rPr>
        <w:t xml:space="preserve"> לבשה בגדי נידות</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גמרא </w:t>
      </w:r>
      <w:r>
        <w:rPr>
          <w:rFonts w:hint="cs"/>
          <w:sz w:val="20"/>
          <w:szCs w:val="20"/>
          <w:rtl/>
        </w:rPr>
        <w:t>קידושין (פ.) "</w:t>
      </w:r>
      <w:r w:rsidRPr="00D7706A">
        <w:rPr>
          <w:rFonts w:cs="Arial" w:hint="cs"/>
          <w:sz w:val="20"/>
          <w:szCs w:val="20"/>
          <w:rtl/>
        </w:rPr>
        <w:t>מלקין</w:t>
      </w:r>
      <w:r w:rsidRPr="00D7706A">
        <w:rPr>
          <w:rFonts w:cs="Arial"/>
          <w:sz w:val="20"/>
          <w:szCs w:val="20"/>
          <w:rtl/>
        </w:rPr>
        <w:t xml:space="preserve"> </w:t>
      </w:r>
      <w:r w:rsidRPr="00D7706A">
        <w:rPr>
          <w:rFonts w:cs="Arial" w:hint="cs"/>
          <w:sz w:val="20"/>
          <w:szCs w:val="20"/>
          <w:rtl/>
        </w:rPr>
        <w:t>על</w:t>
      </w:r>
      <w:r w:rsidRPr="00D7706A">
        <w:rPr>
          <w:rFonts w:cs="Arial"/>
          <w:sz w:val="20"/>
          <w:szCs w:val="20"/>
          <w:rtl/>
        </w:rPr>
        <w:t xml:space="preserve"> </w:t>
      </w:r>
      <w:r w:rsidRPr="00D7706A">
        <w:rPr>
          <w:rFonts w:cs="Arial" w:hint="cs"/>
          <w:sz w:val="20"/>
          <w:szCs w:val="20"/>
          <w:rtl/>
        </w:rPr>
        <w:t>החזקות</w:t>
      </w:r>
      <w:r w:rsidRPr="00D7706A">
        <w:rPr>
          <w:rFonts w:cs="Arial"/>
          <w:sz w:val="20"/>
          <w:szCs w:val="20"/>
          <w:rtl/>
        </w:rPr>
        <w:t xml:space="preserve"> - </w:t>
      </w:r>
      <w:r w:rsidRPr="00D7706A">
        <w:rPr>
          <w:rFonts w:cs="Arial" w:hint="cs"/>
          <w:sz w:val="20"/>
          <w:szCs w:val="20"/>
          <w:rtl/>
        </w:rPr>
        <w:t>כרב</w:t>
      </w:r>
      <w:r w:rsidRPr="00D7706A">
        <w:rPr>
          <w:rFonts w:cs="Arial"/>
          <w:sz w:val="20"/>
          <w:szCs w:val="20"/>
          <w:rtl/>
        </w:rPr>
        <w:t xml:space="preserve"> </w:t>
      </w:r>
      <w:r w:rsidRPr="00D7706A">
        <w:rPr>
          <w:rFonts w:cs="Arial" w:hint="cs"/>
          <w:sz w:val="20"/>
          <w:szCs w:val="20"/>
          <w:rtl/>
        </w:rPr>
        <w:t>יהודה</w:t>
      </w:r>
      <w:r w:rsidRPr="00D7706A">
        <w:rPr>
          <w:rFonts w:cs="Arial"/>
          <w:sz w:val="20"/>
          <w:szCs w:val="20"/>
          <w:rtl/>
        </w:rPr>
        <w:t xml:space="preserve">, </w:t>
      </w:r>
      <w:r w:rsidRPr="00D7706A">
        <w:rPr>
          <w:rFonts w:cs="Arial" w:hint="cs"/>
          <w:sz w:val="20"/>
          <w:szCs w:val="20"/>
          <w:rtl/>
        </w:rPr>
        <w:t>דאמר</w:t>
      </w:r>
      <w:r w:rsidRPr="00D7706A">
        <w:rPr>
          <w:rFonts w:cs="Arial"/>
          <w:sz w:val="20"/>
          <w:szCs w:val="20"/>
          <w:rtl/>
        </w:rPr>
        <w:t xml:space="preserve"> </w:t>
      </w:r>
      <w:r w:rsidRPr="00D7706A">
        <w:rPr>
          <w:rFonts w:cs="Arial" w:hint="cs"/>
          <w:sz w:val="20"/>
          <w:szCs w:val="20"/>
          <w:rtl/>
        </w:rPr>
        <w:t>רב</w:t>
      </w:r>
      <w:r w:rsidRPr="00D7706A">
        <w:rPr>
          <w:rFonts w:cs="Arial"/>
          <w:sz w:val="20"/>
          <w:szCs w:val="20"/>
          <w:rtl/>
        </w:rPr>
        <w:t xml:space="preserve"> </w:t>
      </w:r>
      <w:r w:rsidRPr="00D7706A">
        <w:rPr>
          <w:rFonts w:cs="Arial" w:hint="cs"/>
          <w:sz w:val="20"/>
          <w:szCs w:val="20"/>
          <w:rtl/>
        </w:rPr>
        <w:t>יהודה</w:t>
      </w:r>
      <w:r w:rsidRPr="00D7706A">
        <w:rPr>
          <w:rFonts w:cs="Arial"/>
          <w:sz w:val="20"/>
          <w:szCs w:val="20"/>
          <w:rtl/>
        </w:rPr>
        <w:t xml:space="preserve">: </w:t>
      </w:r>
      <w:r w:rsidRPr="00D7706A">
        <w:rPr>
          <w:rFonts w:cs="Arial" w:hint="cs"/>
          <w:sz w:val="20"/>
          <w:szCs w:val="20"/>
          <w:rtl/>
        </w:rPr>
        <w:t>הוחזקה</w:t>
      </w:r>
      <w:r w:rsidRPr="00D7706A">
        <w:rPr>
          <w:rFonts w:cs="Arial"/>
          <w:sz w:val="20"/>
          <w:szCs w:val="20"/>
          <w:rtl/>
        </w:rPr>
        <w:t xml:space="preserve"> </w:t>
      </w:r>
      <w:r w:rsidRPr="00D7706A">
        <w:rPr>
          <w:rFonts w:cs="Arial" w:hint="cs"/>
          <w:sz w:val="20"/>
          <w:szCs w:val="20"/>
          <w:rtl/>
        </w:rPr>
        <w:t>נדה</w:t>
      </w:r>
      <w:r w:rsidRPr="00D7706A">
        <w:rPr>
          <w:rFonts w:cs="Arial"/>
          <w:sz w:val="20"/>
          <w:szCs w:val="20"/>
          <w:rtl/>
        </w:rPr>
        <w:t xml:space="preserve"> </w:t>
      </w:r>
      <w:r w:rsidRPr="00D7706A">
        <w:rPr>
          <w:rFonts w:cs="Arial" w:hint="cs"/>
          <w:sz w:val="20"/>
          <w:szCs w:val="20"/>
          <w:rtl/>
        </w:rPr>
        <w:t>בשכינותיה</w:t>
      </w:r>
      <w:r w:rsidRPr="00D7706A">
        <w:rPr>
          <w:rFonts w:cs="Arial"/>
          <w:sz w:val="20"/>
          <w:szCs w:val="20"/>
          <w:rtl/>
        </w:rPr>
        <w:t xml:space="preserve"> </w:t>
      </w:r>
      <w:r w:rsidRPr="00D7706A">
        <w:rPr>
          <w:rFonts w:cs="Arial" w:hint="cs"/>
          <w:sz w:val="18"/>
          <w:szCs w:val="18"/>
          <w:rtl/>
        </w:rPr>
        <w:t>(רש"י - שראו</w:t>
      </w:r>
      <w:r w:rsidRPr="00D7706A">
        <w:rPr>
          <w:rFonts w:cs="Arial"/>
          <w:sz w:val="18"/>
          <w:szCs w:val="18"/>
          <w:rtl/>
        </w:rPr>
        <w:t xml:space="preserve"> </w:t>
      </w:r>
      <w:r w:rsidRPr="00D7706A">
        <w:rPr>
          <w:rFonts w:cs="Arial" w:hint="cs"/>
          <w:sz w:val="18"/>
          <w:szCs w:val="18"/>
          <w:rtl/>
        </w:rPr>
        <w:t>שכינותיה</w:t>
      </w:r>
      <w:r w:rsidRPr="00D7706A">
        <w:rPr>
          <w:rFonts w:cs="Arial"/>
          <w:sz w:val="18"/>
          <w:szCs w:val="18"/>
          <w:rtl/>
        </w:rPr>
        <w:t xml:space="preserve"> </w:t>
      </w:r>
      <w:r w:rsidRPr="00D7706A">
        <w:rPr>
          <w:rFonts w:cs="Arial" w:hint="cs"/>
          <w:sz w:val="18"/>
          <w:szCs w:val="18"/>
          <w:rtl/>
        </w:rPr>
        <w:t>שהיא</w:t>
      </w:r>
      <w:r w:rsidRPr="00D7706A">
        <w:rPr>
          <w:rFonts w:cs="Arial"/>
          <w:sz w:val="18"/>
          <w:szCs w:val="18"/>
          <w:rtl/>
        </w:rPr>
        <w:t xml:space="preserve"> </w:t>
      </w:r>
      <w:r w:rsidRPr="00D7706A">
        <w:rPr>
          <w:rFonts w:cs="Arial" w:hint="cs"/>
          <w:sz w:val="18"/>
          <w:szCs w:val="18"/>
          <w:rtl/>
        </w:rPr>
        <w:t>היום</w:t>
      </w:r>
      <w:r w:rsidRPr="00D7706A">
        <w:rPr>
          <w:rFonts w:cs="Arial"/>
          <w:sz w:val="18"/>
          <w:szCs w:val="18"/>
          <w:rtl/>
        </w:rPr>
        <w:t xml:space="preserve"> </w:t>
      </w:r>
      <w:r w:rsidRPr="00D7706A">
        <w:rPr>
          <w:rFonts w:cs="Arial" w:hint="cs"/>
          <w:sz w:val="18"/>
          <w:szCs w:val="18"/>
          <w:rtl/>
        </w:rPr>
        <w:t>היתה</w:t>
      </w:r>
      <w:r w:rsidRPr="00D7706A">
        <w:rPr>
          <w:rFonts w:cs="Arial"/>
          <w:sz w:val="18"/>
          <w:szCs w:val="18"/>
          <w:rtl/>
        </w:rPr>
        <w:t xml:space="preserve"> </w:t>
      </w:r>
      <w:r w:rsidRPr="00D7706A">
        <w:rPr>
          <w:rFonts w:cs="Arial" w:hint="cs"/>
          <w:sz w:val="18"/>
          <w:szCs w:val="18"/>
          <w:rtl/>
        </w:rPr>
        <w:t>מלובשת</w:t>
      </w:r>
      <w:r w:rsidRPr="00D7706A">
        <w:rPr>
          <w:rFonts w:cs="Arial"/>
          <w:sz w:val="18"/>
          <w:szCs w:val="18"/>
          <w:rtl/>
        </w:rPr>
        <w:t xml:space="preserve"> </w:t>
      </w:r>
      <w:r w:rsidRPr="00D7706A">
        <w:rPr>
          <w:rFonts w:cs="Arial" w:hint="cs"/>
          <w:sz w:val="18"/>
          <w:szCs w:val="18"/>
          <w:rtl/>
        </w:rPr>
        <w:t>בגדי</w:t>
      </w:r>
      <w:r w:rsidRPr="00D7706A">
        <w:rPr>
          <w:rFonts w:cs="Arial"/>
          <w:sz w:val="18"/>
          <w:szCs w:val="18"/>
          <w:rtl/>
        </w:rPr>
        <w:t xml:space="preserve"> </w:t>
      </w:r>
      <w:r w:rsidRPr="00D7706A">
        <w:rPr>
          <w:rFonts w:cs="Arial" w:hint="cs"/>
          <w:sz w:val="18"/>
          <w:szCs w:val="18"/>
          <w:rtl/>
        </w:rPr>
        <w:t>נדותה)</w:t>
      </w:r>
      <w:r w:rsidRPr="00D7706A">
        <w:rPr>
          <w:rFonts w:cs="Arial"/>
          <w:sz w:val="18"/>
          <w:szCs w:val="18"/>
          <w:rtl/>
        </w:rPr>
        <w:t xml:space="preserve"> </w:t>
      </w:r>
      <w:r w:rsidRPr="00D7706A">
        <w:rPr>
          <w:rFonts w:cs="Arial"/>
          <w:sz w:val="20"/>
          <w:szCs w:val="20"/>
          <w:rtl/>
        </w:rPr>
        <w:t xml:space="preserve">- </w:t>
      </w:r>
      <w:r w:rsidRPr="00D7706A">
        <w:rPr>
          <w:rFonts w:cs="Arial" w:hint="cs"/>
          <w:sz w:val="20"/>
          <w:szCs w:val="20"/>
          <w:rtl/>
        </w:rPr>
        <w:t>בעלה</w:t>
      </w:r>
      <w:r w:rsidRPr="00046EB8">
        <w:rPr>
          <w:rStyle w:val="a5"/>
          <w:rFonts w:cs="Arial"/>
          <w:sz w:val="20"/>
          <w:szCs w:val="20"/>
          <w:rtl/>
        </w:rPr>
        <w:footnoteReference w:id="66"/>
      </w:r>
      <w:r w:rsidRPr="00046EB8">
        <w:rPr>
          <w:rFonts w:cs="Arial"/>
          <w:sz w:val="20"/>
          <w:szCs w:val="20"/>
          <w:rtl/>
        </w:rPr>
        <w:t xml:space="preserve"> </w:t>
      </w:r>
      <w:r w:rsidRPr="00D7706A">
        <w:rPr>
          <w:rFonts w:cs="Arial" w:hint="cs"/>
          <w:sz w:val="20"/>
          <w:szCs w:val="20"/>
          <w:rtl/>
        </w:rPr>
        <w:t>לוקה</w:t>
      </w:r>
      <w:r w:rsidRPr="00D7706A">
        <w:rPr>
          <w:rFonts w:cs="Arial"/>
          <w:sz w:val="20"/>
          <w:szCs w:val="20"/>
          <w:rtl/>
        </w:rPr>
        <w:t xml:space="preserve"> </w:t>
      </w:r>
      <w:r w:rsidRPr="00D7706A">
        <w:rPr>
          <w:rFonts w:cs="Arial" w:hint="cs"/>
          <w:sz w:val="20"/>
          <w:szCs w:val="20"/>
          <w:rtl/>
        </w:rPr>
        <w:t>עליה</w:t>
      </w:r>
      <w:r w:rsidRPr="00D7706A">
        <w:rPr>
          <w:rFonts w:cs="Arial"/>
          <w:sz w:val="20"/>
          <w:szCs w:val="20"/>
          <w:rtl/>
        </w:rPr>
        <w:t xml:space="preserve"> </w:t>
      </w:r>
      <w:r w:rsidRPr="00D7706A">
        <w:rPr>
          <w:rFonts w:cs="Arial" w:hint="cs"/>
          <w:sz w:val="20"/>
          <w:szCs w:val="20"/>
          <w:rtl/>
        </w:rPr>
        <w:t>משום</w:t>
      </w:r>
      <w:r w:rsidRPr="00D7706A">
        <w:rPr>
          <w:rFonts w:cs="Arial"/>
          <w:sz w:val="20"/>
          <w:szCs w:val="20"/>
          <w:rtl/>
        </w:rPr>
        <w:t xml:space="preserve"> </w:t>
      </w:r>
      <w:r w:rsidRPr="00D7706A">
        <w:rPr>
          <w:rFonts w:cs="Arial" w:hint="cs"/>
          <w:sz w:val="20"/>
          <w:szCs w:val="20"/>
          <w:rtl/>
        </w:rPr>
        <w:t>נדה</w:t>
      </w:r>
      <w:r>
        <w:rPr>
          <w:rFonts w:cs="Arial" w:hint="cs"/>
          <w:sz w:val="20"/>
          <w:szCs w:val="20"/>
          <w:rtl/>
        </w:rPr>
        <w:t>".</w:t>
      </w:r>
    </w:p>
    <w:p w:rsidR="00620060" w:rsidRDefault="00620060" w:rsidP="00620060">
      <w:pPr>
        <w:rPr>
          <w:rFonts w:cs="Arial"/>
          <w:sz w:val="20"/>
          <w:szCs w:val="20"/>
          <w:rtl/>
        </w:rPr>
      </w:pPr>
      <w:r>
        <w:rPr>
          <w:rFonts w:cs="Arial" w:hint="cs"/>
          <w:b/>
          <w:bCs/>
          <w:sz w:val="20"/>
          <w:szCs w:val="20"/>
          <w:rtl/>
        </w:rPr>
        <w:t>פסיקת הלכה</w:t>
      </w:r>
      <w:r>
        <w:rPr>
          <w:rFonts w:cs="Arial"/>
          <w:b/>
          <w:bCs/>
          <w:sz w:val="20"/>
          <w:szCs w:val="20"/>
          <w:rtl/>
        </w:rPr>
        <w:br/>
      </w:r>
      <w:r>
        <w:rPr>
          <w:rFonts w:cs="Arial" w:hint="cs"/>
          <w:b/>
          <w:bCs/>
          <w:sz w:val="20"/>
          <w:szCs w:val="20"/>
          <w:rtl/>
        </w:rPr>
        <w:t xml:space="preserve">שולחן ערוך </w:t>
      </w:r>
      <w:r>
        <w:rPr>
          <w:rFonts w:cs="Arial"/>
          <w:sz w:val="20"/>
          <w:szCs w:val="20"/>
          <w:rtl/>
        </w:rPr>
        <w:t>–</w:t>
      </w:r>
      <w:r>
        <w:rPr>
          <w:rFonts w:cs="Arial" w:hint="cs"/>
          <w:sz w:val="20"/>
          <w:szCs w:val="20"/>
          <w:rtl/>
        </w:rPr>
        <w:t xml:space="preserve"> "</w:t>
      </w:r>
      <w:r w:rsidRPr="00D7706A">
        <w:rPr>
          <w:rFonts w:cs="Arial" w:hint="cs"/>
          <w:sz w:val="20"/>
          <w:szCs w:val="20"/>
          <w:rtl/>
        </w:rPr>
        <w:t>ואם</w:t>
      </w:r>
      <w:r w:rsidRPr="00D7706A">
        <w:rPr>
          <w:rFonts w:cs="Arial"/>
          <w:sz w:val="20"/>
          <w:szCs w:val="20"/>
          <w:rtl/>
        </w:rPr>
        <w:t xml:space="preserve"> </w:t>
      </w:r>
      <w:r w:rsidRPr="00D7706A">
        <w:rPr>
          <w:rFonts w:cs="Arial" w:hint="cs"/>
          <w:sz w:val="20"/>
          <w:szCs w:val="20"/>
          <w:rtl/>
        </w:rPr>
        <w:t>הוחזקה</w:t>
      </w:r>
      <w:r w:rsidRPr="00D7706A">
        <w:rPr>
          <w:rFonts w:cs="Arial"/>
          <w:sz w:val="20"/>
          <w:szCs w:val="20"/>
          <w:rtl/>
        </w:rPr>
        <w:t xml:space="preserve"> </w:t>
      </w:r>
      <w:r w:rsidRPr="00D7706A">
        <w:rPr>
          <w:rFonts w:cs="Arial" w:hint="cs"/>
          <w:sz w:val="20"/>
          <w:szCs w:val="20"/>
          <w:rtl/>
        </w:rPr>
        <w:t>נדה</w:t>
      </w:r>
      <w:r w:rsidRPr="00D7706A">
        <w:rPr>
          <w:rFonts w:cs="Arial"/>
          <w:sz w:val="20"/>
          <w:szCs w:val="20"/>
          <w:rtl/>
        </w:rPr>
        <w:t xml:space="preserve"> </w:t>
      </w:r>
      <w:r w:rsidRPr="00D7706A">
        <w:rPr>
          <w:rFonts w:cs="Arial" w:hint="cs"/>
          <w:sz w:val="20"/>
          <w:szCs w:val="20"/>
          <w:rtl/>
        </w:rPr>
        <w:t>בשכנותיה</w:t>
      </w:r>
      <w:r w:rsidRPr="00D7706A">
        <w:rPr>
          <w:rFonts w:cs="Arial"/>
          <w:sz w:val="20"/>
          <w:szCs w:val="20"/>
          <w:rtl/>
        </w:rPr>
        <w:t xml:space="preserve">, </w:t>
      </w:r>
      <w:r w:rsidRPr="00D7706A">
        <w:rPr>
          <w:rFonts w:cs="Arial" w:hint="cs"/>
          <w:sz w:val="20"/>
          <w:szCs w:val="20"/>
          <w:rtl/>
        </w:rPr>
        <w:t>שראוה</w:t>
      </w:r>
      <w:r w:rsidRPr="00D7706A">
        <w:rPr>
          <w:rFonts w:cs="Arial"/>
          <w:sz w:val="20"/>
          <w:szCs w:val="20"/>
          <w:rtl/>
        </w:rPr>
        <w:t xml:space="preserve"> </w:t>
      </w:r>
      <w:r w:rsidRPr="00D7706A">
        <w:rPr>
          <w:rFonts w:cs="Arial" w:hint="cs"/>
          <w:sz w:val="20"/>
          <w:szCs w:val="20"/>
          <w:rtl/>
        </w:rPr>
        <w:t>לובשת</w:t>
      </w:r>
      <w:r w:rsidRPr="00D7706A">
        <w:rPr>
          <w:rFonts w:cs="Arial"/>
          <w:sz w:val="20"/>
          <w:szCs w:val="20"/>
          <w:rtl/>
        </w:rPr>
        <w:t xml:space="preserve"> </w:t>
      </w:r>
      <w:r w:rsidRPr="00D7706A">
        <w:rPr>
          <w:rFonts w:cs="Arial" w:hint="cs"/>
          <w:sz w:val="20"/>
          <w:szCs w:val="20"/>
          <w:rtl/>
        </w:rPr>
        <w:t>בגדים</w:t>
      </w:r>
      <w:r w:rsidRPr="00D7706A">
        <w:rPr>
          <w:rFonts w:cs="Arial"/>
          <w:sz w:val="20"/>
          <w:szCs w:val="20"/>
          <w:rtl/>
        </w:rPr>
        <w:t xml:space="preserve"> </w:t>
      </w:r>
      <w:r w:rsidRPr="00D7706A">
        <w:rPr>
          <w:rFonts w:cs="Arial" w:hint="cs"/>
          <w:sz w:val="20"/>
          <w:szCs w:val="20"/>
          <w:rtl/>
        </w:rPr>
        <w:t>המיוחדים</w:t>
      </w:r>
      <w:r w:rsidRPr="00D7706A">
        <w:rPr>
          <w:rFonts w:cs="Arial"/>
          <w:sz w:val="20"/>
          <w:szCs w:val="20"/>
          <w:rtl/>
        </w:rPr>
        <w:t xml:space="preserve"> </w:t>
      </w:r>
      <w:r w:rsidRPr="00D7706A">
        <w:rPr>
          <w:rFonts w:cs="Arial" w:hint="cs"/>
          <w:sz w:val="20"/>
          <w:szCs w:val="20"/>
          <w:rtl/>
        </w:rPr>
        <w:t>לימי</w:t>
      </w:r>
      <w:r w:rsidRPr="00D7706A">
        <w:rPr>
          <w:rFonts w:cs="Arial"/>
          <w:sz w:val="20"/>
          <w:szCs w:val="20"/>
          <w:rtl/>
        </w:rPr>
        <w:t xml:space="preserve"> </w:t>
      </w:r>
      <w:r w:rsidRPr="00D7706A">
        <w:rPr>
          <w:rFonts w:cs="Arial" w:hint="cs"/>
          <w:sz w:val="20"/>
          <w:szCs w:val="20"/>
          <w:rtl/>
        </w:rPr>
        <w:t>נ</w:t>
      </w:r>
      <w:r>
        <w:rPr>
          <w:rFonts w:cs="Arial" w:hint="cs"/>
          <w:sz w:val="20"/>
          <w:szCs w:val="20"/>
          <w:rtl/>
        </w:rPr>
        <w:t>י</w:t>
      </w:r>
      <w:r w:rsidRPr="00D7706A">
        <w:rPr>
          <w:rFonts w:cs="Arial" w:hint="cs"/>
          <w:sz w:val="20"/>
          <w:szCs w:val="20"/>
          <w:rtl/>
        </w:rPr>
        <w:t>דותה</w:t>
      </w:r>
      <w:r w:rsidRPr="00D7706A">
        <w:rPr>
          <w:rFonts w:cs="Arial"/>
          <w:sz w:val="20"/>
          <w:szCs w:val="20"/>
          <w:rtl/>
        </w:rPr>
        <w:t xml:space="preserve">, </w:t>
      </w:r>
      <w:r w:rsidRPr="00D7706A">
        <w:rPr>
          <w:rFonts w:cs="Arial" w:hint="cs"/>
          <w:sz w:val="20"/>
          <w:szCs w:val="20"/>
          <w:rtl/>
        </w:rPr>
        <w:t>חשיבה</w:t>
      </w:r>
      <w:r w:rsidRPr="00D7706A">
        <w:rPr>
          <w:rFonts w:cs="Arial"/>
          <w:sz w:val="20"/>
          <w:szCs w:val="20"/>
          <w:rtl/>
        </w:rPr>
        <w:t xml:space="preserve"> </w:t>
      </w:r>
      <w:r w:rsidRPr="00D7706A">
        <w:rPr>
          <w:rFonts w:cs="Arial" w:hint="cs"/>
          <w:sz w:val="20"/>
          <w:szCs w:val="20"/>
          <w:rtl/>
        </w:rPr>
        <w:t>כ</w:t>
      </w:r>
      <w:r>
        <w:rPr>
          <w:rFonts w:cs="Arial" w:hint="cs"/>
          <w:sz w:val="20"/>
          <w:szCs w:val="20"/>
          <w:rtl/>
        </w:rPr>
        <w:t>ו</w:t>
      </w:r>
      <w:r w:rsidRPr="00D7706A">
        <w:rPr>
          <w:rFonts w:cs="Arial" w:hint="cs"/>
          <w:sz w:val="20"/>
          <w:szCs w:val="20"/>
          <w:rtl/>
        </w:rPr>
        <w:t>ודאי</w:t>
      </w:r>
      <w:r w:rsidRPr="00D7706A">
        <w:rPr>
          <w:rFonts w:cs="Arial"/>
          <w:sz w:val="20"/>
          <w:szCs w:val="20"/>
          <w:rtl/>
        </w:rPr>
        <w:t xml:space="preserve"> </w:t>
      </w:r>
      <w:r w:rsidRPr="00D7706A">
        <w:rPr>
          <w:rFonts w:cs="Arial" w:hint="cs"/>
          <w:sz w:val="20"/>
          <w:szCs w:val="20"/>
          <w:rtl/>
        </w:rPr>
        <w:t>טמאה</w:t>
      </w:r>
      <w:r>
        <w:rPr>
          <w:rFonts w:cs="Arial" w:hint="cs"/>
          <w:sz w:val="20"/>
          <w:szCs w:val="20"/>
          <w:rtl/>
        </w:rPr>
        <w:t>".</w:t>
      </w:r>
    </w:p>
    <w:p w:rsidR="00620060" w:rsidRDefault="00620060" w:rsidP="00620060">
      <w:pPr>
        <w:rPr>
          <w:rFonts w:cs="Arial"/>
          <w:b/>
          <w:bCs/>
          <w:sz w:val="20"/>
          <w:szCs w:val="20"/>
          <w:rtl/>
        </w:rPr>
      </w:pPr>
      <w:r>
        <w:rPr>
          <w:rFonts w:cs="Arial"/>
          <w:sz w:val="20"/>
          <w:szCs w:val="20"/>
          <w:rtl/>
        </w:rPr>
        <w:br/>
      </w:r>
      <w:r>
        <w:rPr>
          <w:rFonts w:cs="Arial" w:hint="cs"/>
          <w:b/>
          <w:bCs/>
          <w:sz w:val="20"/>
          <w:szCs w:val="20"/>
          <w:rtl/>
        </w:rPr>
        <w:t xml:space="preserve">סעיף ג </w:t>
      </w:r>
      <w:r>
        <w:rPr>
          <w:rFonts w:cs="Arial"/>
          <w:b/>
          <w:bCs/>
          <w:sz w:val="20"/>
          <w:szCs w:val="20"/>
          <w:rtl/>
        </w:rPr>
        <w:t>–</w:t>
      </w:r>
      <w:r>
        <w:rPr>
          <w:rFonts w:cs="Arial" w:hint="cs"/>
          <w:b/>
          <w:bCs/>
          <w:sz w:val="20"/>
          <w:szCs w:val="20"/>
          <w:rtl/>
        </w:rPr>
        <w:t xml:space="preserve"> אמרה טמאה אני וחזרה בה או נתנה אמתלה</w:t>
      </w:r>
      <w:r>
        <w:rPr>
          <w:rFonts w:cs="Arial"/>
          <w:b/>
          <w:bCs/>
          <w:sz w:val="20"/>
          <w:szCs w:val="20"/>
          <w:rtl/>
        </w:rPr>
        <w:br/>
      </w:r>
      <w:r w:rsidRPr="00D2309A">
        <w:rPr>
          <w:rStyle w:val="10"/>
          <w:rFonts w:hint="cs"/>
          <w:sz w:val="22"/>
          <w:szCs w:val="22"/>
          <w:rtl/>
        </w:rPr>
        <w:t>א.</w:t>
      </w:r>
      <w:r w:rsidRPr="00D2309A">
        <w:rPr>
          <w:rFonts w:cs="Arial" w:hint="cs"/>
          <w:sz w:val="18"/>
          <w:szCs w:val="18"/>
          <w:rtl/>
        </w:rPr>
        <w:t xml:space="preserve"> </w:t>
      </w:r>
      <w:r>
        <w:rPr>
          <w:rFonts w:cs="Arial" w:hint="cs"/>
          <w:b/>
          <w:bCs/>
          <w:sz w:val="20"/>
          <w:szCs w:val="20"/>
          <w:rtl/>
        </w:rPr>
        <w:t>מקורות הדין</w:t>
      </w:r>
      <w:r>
        <w:rPr>
          <w:rFonts w:cs="Arial"/>
          <w:b/>
          <w:bCs/>
          <w:sz w:val="20"/>
          <w:szCs w:val="20"/>
          <w:rtl/>
        </w:rPr>
        <w:br/>
      </w:r>
      <w:r>
        <w:rPr>
          <w:rFonts w:cs="Arial" w:hint="cs"/>
          <w:sz w:val="20"/>
          <w:szCs w:val="20"/>
          <w:rtl/>
        </w:rPr>
        <w:t xml:space="preserve">א. </w:t>
      </w:r>
      <w:r>
        <w:rPr>
          <w:rFonts w:cs="Arial" w:hint="cs"/>
          <w:b/>
          <w:bCs/>
          <w:sz w:val="20"/>
          <w:szCs w:val="20"/>
          <w:rtl/>
        </w:rPr>
        <w:t xml:space="preserve">גמרא </w:t>
      </w:r>
      <w:r>
        <w:rPr>
          <w:rFonts w:cs="Arial" w:hint="cs"/>
          <w:sz w:val="20"/>
          <w:szCs w:val="20"/>
          <w:rtl/>
        </w:rPr>
        <w:t>כתובות (כב.) "</w:t>
      </w:r>
      <w:r w:rsidRPr="002F1C70">
        <w:rPr>
          <w:rFonts w:cs="Arial" w:hint="cs"/>
          <w:sz w:val="20"/>
          <w:szCs w:val="20"/>
          <w:rtl/>
        </w:rPr>
        <w:t>תניא</w:t>
      </w:r>
      <w:r w:rsidRPr="002F1C70">
        <w:rPr>
          <w:rFonts w:cs="Arial"/>
          <w:sz w:val="20"/>
          <w:szCs w:val="20"/>
          <w:rtl/>
        </w:rPr>
        <w:t xml:space="preserve">: </w:t>
      </w:r>
      <w:r w:rsidRPr="002F1C70">
        <w:rPr>
          <w:rFonts w:cs="Arial" w:hint="cs"/>
          <w:sz w:val="20"/>
          <w:szCs w:val="20"/>
          <w:rtl/>
        </w:rPr>
        <w:t>אמרה</w:t>
      </w:r>
      <w:r w:rsidRPr="002F1C70">
        <w:rPr>
          <w:rFonts w:cs="Arial"/>
          <w:sz w:val="20"/>
          <w:szCs w:val="20"/>
          <w:rtl/>
        </w:rPr>
        <w:t xml:space="preserve"> </w:t>
      </w:r>
      <w:r w:rsidRPr="002F1C70">
        <w:rPr>
          <w:rFonts w:cs="Arial" w:hint="cs"/>
          <w:sz w:val="20"/>
          <w:szCs w:val="20"/>
          <w:rtl/>
        </w:rPr>
        <w:t>אשת</w:t>
      </w:r>
      <w:r w:rsidRPr="002F1C70">
        <w:rPr>
          <w:rFonts w:cs="Arial"/>
          <w:sz w:val="20"/>
          <w:szCs w:val="20"/>
          <w:rtl/>
        </w:rPr>
        <w:t xml:space="preserve"> </w:t>
      </w:r>
      <w:r w:rsidRPr="002F1C70">
        <w:rPr>
          <w:rFonts w:cs="Arial" w:hint="cs"/>
          <w:sz w:val="20"/>
          <w:szCs w:val="20"/>
          <w:rtl/>
        </w:rPr>
        <w:t>איש</w:t>
      </w:r>
      <w:r w:rsidRPr="002F1C70">
        <w:rPr>
          <w:rFonts w:cs="Arial"/>
          <w:sz w:val="20"/>
          <w:szCs w:val="20"/>
          <w:rtl/>
        </w:rPr>
        <w:t xml:space="preserve"> </w:t>
      </w:r>
      <w:r w:rsidRPr="002F1C70">
        <w:rPr>
          <w:rFonts w:cs="Arial" w:hint="cs"/>
          <w:sz w:val="20"/>
          <w:szCs w:val="20"/>
          <w:rtl/>
        </w:rPr>
        <w:t>אני</w:t>
      </w:r>
      <w:r w:rsidRPr="002F1C70">
        <w:rPr>
          <w:rFonts w:cs="Arial"/>
          <w:sz w:val="20"/>
          <w:szCs w:val="20"/>
          <w:rtl/>
        </w:rPr>
        <w:t xml:space="preserve">, </w:t>
      </w:r>
      <w:r w:rsidRPr="002F1C70">
        <w:rPr>
          <w:rFonts w:cs="Arial" w:hint="cs"/>
          <w:sz w:val="20"/>
          <w:szCs w:val="20"/>
          <w:rtl/>
        </w:rPr>
        <w:t>וחזרה</w:t>
      </w:r>
      <w:r w:rsidRPr="002F1C70">
        <w:rPr>
          <w:rFonts w:cs="Arial"/>
          <w:sz w:val="20"/>
          <w:szCs w:val="20"/>
          <w:rtl/>
        </w:rPr>
        <w:t xml:space="preserve"> </w:t>
      </w:r>
      <w:r w:rsidRPr="002F1C70">
        <w:rPr>
          <w:rFonts w:cs="Arial" w:hint="cs"/>
          <w:sz w:val="20"/>
          <w:szCs w:val="20"/>
          <w:rtl/>
        </w:rPr>
        <w:t>ואמרה</w:t>
      </w:r>
      <w:r w:rsidRPr="002F1C70">
        <w:rPr>
          <w:rFonts w:cs="Arial"/>
          <w:sz w:val="20"/>
          <w:szCs w:val="20"/>
          <w:rtl/>
        </w:rPr>
        <w:t xml:space="preserve"> </w:t>
      </w:r>
      <w:r w:rsidRPr="002F1C70">
        <w:rPr>
          <w:rFonts w:cs="Arial" w:hint="cs"/>
          <w:sz w:val="20"/>
          <w:szCs w:val="20"/>
          <w:rtl/>
        </w:rPr>
        <w:t>פנויה</w:t>
      </w:r>
      <w:r w:rsidRPr="002F1C70">
        <w:rPr>
          <w:rFonts w:cs="Arial"/>
          <w:sz w:val="20"/>
          <w:szCs w:val="20"/>
          <w:rtl/>
        </w:rPr>
        <w:t xml:space="preserve"> </w:t>
      </w:r>
      <w:r w:rsidRPr="002F1C70">
        <w:rPr>
          <w:rFonts w:cs="Arial" w:hint="cs"/>
          <w:sz w:val="20"/>
          <w:szCs w:val="20"/>
          <w:rtl/>
        </w:rPr>
        <w:t>אני</w:t>
      </w:r>
      <w:r w:rsidRPr="002F1C70">
        <w:rPr>
          <w:rFonts w:cs="Arial"/>
          <w:sz w:val="20"/>
          <w:szCs w:val="20"/>
          <w:rtl/>
        </w:rPr>
        <w:t xml:space="preserve"> - </w:t>
      </w:r>
      <w:r w:rsidRPr="002F1C70">
        <w:rPr>
          <w:rFonts w:cs="Arial" w:hint="cs"/>
          <w:sz w:val="20"/>
          <w:szCs w:val="20"/>
          <w:rtl/>
        </w:rPr>
        <w:t>אינה</w:t>
      </w:r>
      <w:r w:rsidRPr="002F1C70">
        <w:rPr>
          <w:rFonts w:cs="Arial"/>
          <w:sz w:val="20"/>
          <w:szCs w:val="20"/>
          <w:rtl/>
        </w:rPr>
        <w:t xml:space="preserve"> </w:t>
      </w:r>
      <w:r w:rsidRPr="002F1C70">
        <w:rPr>
          <w:rFonts w:cs="Arial" w:hint="cs"/>
          <w:sz w:val="20"/>
          <w:szCs w:val="20"/>
          <w:rtl/>
        </w:rPr>
        <w:t>נאמנת</w:t>
      </w:r>
      <w:r w:rsidRPr="002F1C70">
        <w:rPr>
          <w:rFonts w:cs="Arial"/>
          <w:sz w:val="20"/>
          <w:szCs w:val="20"/>
          <w:rtl/>
        </w:rPr>
        <w:t xml:space="preserve">, </w:t>
      </w:r>
      <w:r w:rsidRPr="002F1C70">
        <w:rPr>
          <w:rFonts w:cs="Arial" w:hint="cs"/>
          <w:sz w:val="20"/>
          <w:szCs w:val="20"/>
          <w:rtl/>
        </w:rPr>
        <w:t>ואם</w:t>
      </w:r>
      <w:r w:rsidRPr="002F1C70">
        <w:rPr>
          <w:rFonts w:cs="Arial"/>
          <w:sz w:val="20"/>
          <w:szCs w:val="20"/>
          <w:rtl/>
        </w:rPr>
        <w:t xml:space="preserve"> </w:t>
      </w:r>
      <w:r w:rsidRPr="002F1C70">
        <w:rPr>
          <w:rFonts w:cs="Arial" w:hint="cs"/>
          <w:sz w:val="20"/>
          <w:szCs w:val="20"/>
          <w:rtl/>
        </w:rPr>
        <w:t>נתנה</w:t>
      </w:r>
      <w:r w:rsidRPr="002F1C70">
        <w:rPr>
          <w:rFonts w:cs="Arial"/>
          <w:sz w:val="20"/>
          <w:szCs w:val="20"/>
          <w:rtl/>
        </w:rPr>
        <w:t xml:space="preserve"> </w:t>
      </w:r>
      <w:r w:rsidRPr="002F1C70">
        <w:rPr>
          <w:rFonts w:cs="Arial" w:hint="cs"/>
          <w:sz w:val="20"/>
          <w:szCs w:val="20"/>
          <w:rtl/>
        </w:rPr>
        <w:t>אמתלא</w:t>
      </w:r>
      <w:r w:rsidRPr="002F1C70">
        <w:rPr>
          <w:rFonts w:cs="Arial"/>
          <w:sz w:val="20"/>
          <w:szCs w:val="20"/>
          <w:rtl/>
        </w:rPr>
        <w:t xml:space="preserve"> </w:t>
      </w:r>
      <w:r w:rsidRPr="002F1C70">
        <w:rPr>
          <w:rFonts w:cs="Arial" w:hint="cs"/>
          <w:sz w:val="20"/>
          <w:szCs w:val="20"/>
          <w:rtl/>
        </w:rPr>
        <w:t>לדבריה</w:t>
      </w:r>
      <w:r w:rsidRPr="002F1C70">
        <w:rPr>
          <w:rFonts w:cs="Arial"/>
          <w:sz w:val="20"/>
          <w:szCs w:val="20"/>
          <w:rtl/>
        </w:rPr>
        <w:t xml:space="preserve"> - </w:t>
      </w:r>
      <w:r w:rsidRPr="002F1C70">
        <w:rPr>
          <w:rFonts w:cs="Arial" w:hint="cs"/>
          <w:sz w:val="20"/>
          <w:szCs w:val="20"/>
          <w:rtl/>
        </w:rPr>
        <w:t>נאמנת</w:t>
      </w:r>
      <w:r w:rsidRPr="002F1C70">
        <w:rPr>
          <w:rFonts w:cs="Arial"/>
          <w:sz w:val="20"/>
          <w:szCs w:val="20"/>
          <w:rtl/>
        </w:rPr>
        <w:t xml:space="preserve">; </w:t>
      </w:r>
      <w:r w:rsidRPr="002F1C70">
        <w:rPr>
          <w:rFonts w:cs="Arial" w:hint="cs"/>
          <w:sz w:val="20"/>
          <w:szCs w:val="20"/>
          <w:rtl/>
        </w:rPr>
        <w:t>בעא</w:t>
      </w:r>
      <w:r w:rsidRPr="002F1C70">
        <w:rPr>
          <w:rFonts w:cs="Arial"/>
          <w:sz w:val="20"/>
          <w:szCs w:val="20"/>
          <w:rtl/>
        </w:rPr>
        <w:t xml:space="preserve"> </w:t>
      </w:r>
      <w:r w:rsidRPr="002F1C70">
        <w:rPr>
          <w:rFonts w:cs="Arial" w:hint="cs"/>
          <w:sz w:val="20"/>
          <w:szCs w:val="20"/>
          <w:rtl/>
        </w:rPr>
        <w:t>מיניה</w:t>
      </w:r>
      <w:r w:rsidRPr="002F1C70">
        <w:rPr>
          <w:rFonts w:cs="Arial"/>
          <w:sz w:val="20"/>
          <w:szCs w:val="20"/>
          <w:rtl/>
        </w:rPr>
        <w:t xml:space="preserve"> </w:t>
      </w:r>
      <w:r w:rsidRPr="002F1C70">
        <w:rPr>
          <w:rFonts w:cs="Arial" w:hint="cs"/>
          <w:sz w:val="20"/>
          <w:szCs w:val="20"/>
          <w:rtl/>
        </w:rPr>
        <w:t>שמואל</w:t>
      </w:r>
      <w:r w:rsidRPr="002F1C70">
        <w:rPr>
          <w:rFonts w:cs="Arial"/>
          <w:sz w:val="20"/>
          <w:szCs w:val="20"/>
          <w:rtl/>
        </w:rPr>
        <w:t xml:space="preserve"> </w:t>
      </w:r>
      <w:r w:rsidRPr="002F1C70">
        <w:rPr>
          <w:rFonts w:cs="Arial" w:hint="cs"/>
          <w:sz w:val="20"/>
          <w:szCs w:val="20"/>
          <w:rtl/>
        </w:rPr>
        <w:t>מרב</w:t>
      </w:r>
      <w:r w:rsidRPr="002F1C70">
        <w:rPr>
          <w:rFonts w:cs="Arial"/>
          <w:sz w:val="20"/>
          <w:szCs w:val="20"/>
          <w:rtl/>
        </w:rPr>
        <w:t xml:space="preserve">: </w:t>
      </w:r>
      <w:r w:rsidRPr="002F1C70">
        <w:rPr>
          <w:rFonts w:cs="Arial" w:hint="cs"/>
          <w:sz w:val="20"/>
          <w:szCs w:val="20"/>
          <w:rtl/>
        </w:rPr>
        <w:t>אמרה</w:t>
      </w:r>
      <w:r w:rsidRPr="002F1C70">
        <w:rPr>
          <w:rFonts w:cs="Arial"/>
          <w:sz w:val="20"/>
          <w:szCs w:val="20"/>
          <w:rtl/>
        </w:rPr>
        <w:t xml:space="preserve"> </w:t>
      </w:r>
      <w:r w:rsidRPr="002F1C70">
        <w:rPr>
          <w:rFonts w:cs="Arial" w:hint="cs"/>
          <w:sz w:val="20"/>
          <w:szCs w:val="20"/>
          <w:rtl/>
        </w:rPr>
        <w:t>טמאה</w:t>
      </w:r>
      <w:r w:rsidRPr="002F1C70">
        <w:rPr>
          <w:rFonts w:cs="Arial"/>
          <w:sz w:val="20"/>
          <w:szCs w:val="20"/>
          <w:rtl/>
        </w:rPr>
        <w:t xml:space="preserve"> </w:t>
      </w:r>
      <w:r w:rsidRPr="002F1C70">
        <w:rPr>
          <w:rFonts w:cs="Arial" w:hint="cs"/>
          <w:sz w:val="20"/>
          <w:szCs w:val="20"/>
          <w:rtl/>
        </w:rPr>
        <w:t>אני</w:t>
      </w:r>
      <w:r w:rsidRPr="002F1C70">
        <w:rPr>
          <w:rFonts w:cs="Arial"/>
          <w:sz w:val="20"/>
          <w:szCs w:val="20"/>
          <w:rtl/>
        </w:rPr>
        <w:t xml:space="preserve">, </w:t>
      </w:r>
      <w:r w:rsidRPr="002F1C70">
        <w:rPr>
          <w:rFonts w:cs="Arial" w:hint="cs"/>
          <w:sz w:val="20"/>
          <w:szCs w:val="20"/>
          <w:rtl/>
        </w:rPr>
        <w:t>וחזרה</w:t>
      </w:r>
      <w:r w:rsidRPr="002F1C70">
        <w:rPr>
          <w:rFonts w:cs="Arial"/>
          <w:sz w:val="20"/>
          <w:szCs w:val="20"/>
          <w:rtl/>
        </w:rPr>
        <w:t xml:space="preserve"> </w:t>
      </w:r>
      <w:r w:rsidRPr="002F1C70">
        <w:rPr>
          <w:rFonts w:cs="Arial" w:hint="cs"/>
          <w:sz w:val="20"/>
          <w:szCs w:val="20"/>
          <w:rtl/>
        </w:rPr>
        <w:t>ואמרה</w:t>
      </w:r>
      <w:r w:rsidRPr="002F1C70">
        <w:rPr>
          <w:rFonts w:cs="Arial"/>
          <w:sz w:val="20"/>
          <w:szCs w:val="20"/>
          <w:rtl/>
        </w:rPr>
        <w:t xml:space="preserve"> </w:t>
      </w:r>
      <w:r w:rsidRPr="002F1C70">
        <w:rPr>
          <w:rFonts w:cs="Arial" w:hint="cs"/>
          <w:sz w:val="20"/>
          <w:szCs w:val="20"/>
          <w:rtl/>
        </w:rPr>
        <w:t>טהורה</w:t>
      </w:r>
      <w:r w:rsidRPr="002F1C70">
        <w:rPr>
          <w:rFonts w:cs="Arial"/>
          <w:sz w:val="20"/>
          <w:szCs w:val="20"/>
          <w:rtl/>
        </w:rPr>
        <w:t xml:space="preserve"> </w:t>
      </w:r>
      <w:r w:rsidRPr="002F1C70">
        <w:rPr>
          <w:rFonts w:cs="Arial" w:hint="cs"/>
          <w:sz w:val="20"/>
          <w:szCs w:val="20"/>
          <w:rtl/>
        </w:rPr>
        <w:t>אני</w:t>
      </w:r>
      <w:r w:rsidRPr="002F1C70">
        <w:rPr>
          <w:rFonts w:cs="Arial"/>
          <w:sz w:val="20"/>
          <w:szCs w:val="20"/>
          <w:rtl/>
        </w:rPr>
        <w:t xml:space="preserve">, </w:t>
      </w:r>
      <w:r w:rsidRPr="002F1C70">
        <w:rPr>
          <w:rFonts w:cs="Arial" w:hint="cs"/>
          <w:sz w:val="20"/>
          <w:szCs w:val="20"/>
          <w:rtl/>
        </w:rPr>
        <w:t>מהו</w:t>
      </w:r>
      <w:r w:rsidRPr="002F1C70">
        <w:rPr>
          <w:rFonts w:cs="Arial"/>
          <w:sz w:val="20"/>
          <w:szCs w:val="20"/>
          <w:rtl/>
        </w:rPr>
        <w:t xml:space="preserve">? </w:t>
      </w:r>
      <w:r w:rsidRPr="002F1C70">
        <w:rPr>
          <w:rFonts w:cs="Arial" w:hint="cs"/>
          <w:sz w:val="20"/>
          <w:szCs w:val="20"/>
          <w:rtl/>
        </w:rPr>
        <w:t>אמר</w:t>
      </w:r>
      <w:r w:rsidRPr="002F1C70">
        <w:rPr>
          <w:rFonts w:cs="Arial"/>
          <w:sz w:val="20"/>
          <w:szCs w:val="20"/>
          <w:rtl/>
        </w:rPr>
        <w:t xml:space="preserve"> </w:t>
      </w:r>
      <w:r w:rsidRPr="002F1C70">
        <w:rPr>
          <w:rFonts w:cs="Arial" w:hint="cs"/>
          <w:sz w:val="20"/>
          <w:szCs w:val="20"/>
          <w:rtl/>
        </w:rPr>
        <w:t>ליה</w:t>
      </w:r>
      <w:r w:rsidRPr="002F1C70">
        <w:rPr>
          <w:rFonts w:cs="Arial"/>
          <w:sz w:val="20"/>
          <w:szCs w:val="20"/>
          <w:rtl/>
        </w:rPr>
        <w:t xml:space="preserve">: </w:t>
      </w:r>
      <w:r w:rsidRPr="002F1C70">
        <w:rPr>
          <w:rFonts w:cs="Arial" w:hint="cs"/>
          <w:sz w:val="20"/>
          <w:szCs w:val="20"/>
          <w:rtl/>
        </w:rPr>
        <w:t>אף</w:t>
      </w:r>
      <w:r w:rsidRPr="002F1C70">
        <w:rPr>
          <w:rFonts w:cs="Arial"/>
          <w:sz w:val="20"/>
          <w:szCs w:val="20"/>
          <w:rtl/>
        </w:rPr>
        <w:t xml:space="preserve"> </w:t>
      </w:r>
      <w:r w:rsidRPr="002F1C70">
        <w:rPr>
          <w:rFonts w:cs="Arial" w:hint="cs"/>
          <w:sz w:val="20"/>
          <w:szCs w:val="20"/>
          <w:rtl/>
        </w:rPr>
        <w:t>בזו</w:t>
      </w:r>
      <w:r w:rsidRPr="002F1C70">
        <w:rPr>
          <w:rFonts w:cs="Arial"/>
          <w:sz w:val="20"/>
          <w:szCs w:val="20"/>
          <w:rtl/>
        </w:rPr>
        <w:t xml:space="preserve"> </w:t>
      </w:r>
      <w:r w:rsidRPr="002F1C70">
        <w:rPr>
          <w:rFonts w:cs="Arial" w:hint="cs"/>
          <w:sz w:val="20"/>
          <w:szCs w:val="20"/>
          <w:rtl/>
        </w:rPr>
        <w:t>אם</w:t>
      </w:r>
      <w:r w:rsidRPr="002F1C70">
        <w:rPr>
          <w:rFonts w:cs="Arial"/>
          <w:sz w:val="20"/>
          <w:szCs w:val="20"/>
          <w:rtl/>
        </w:rPr>
        <w:t xml:space="preserve"> </w:t>
      </w:r>
      <w:r w:rsidRPr="002F1C70">
        <w:rPr>
          <w:rFonts w:cs="Arial" w:hint="cs"/>
          <w:sz w:val="20"/>
          <w:szCs w:val="20"/>
          <w:rtl/>
        </w:rPr>
        <w:t>נתנה</w:t>
      </w:r>
      <w:r w:rsidRPr="002F1C70">
        <w:rPr>
          <w:rFonts w:cs="Arial"/>
          <w:sz w:val="20"/>
          <w:szCs w:val="20"/>
          <w:rtl/>
        </w:rPr>
        <w:t xml:space="preserve"> </w:t>
      </w:r>
      <w:r w:rsidRPr="002F1C70">
        <w:rPr>
          <w:rFonts w:cs="Arial" w:hint="cs"/>
          <w:sz w:val="20"/>
          <w:szCs w:val="20"/>
          <w:rtl/>
        </w:rPr>
        <w:t>אמתלא</w:t>
      </w:r>
      <w:r w:rsidRPr="002F1C70">
        <w:rPr>
          <w:rFonts w:cs="Arial"/>
          <w:sz w:val="20"/>
          <w:szCs w:val="20"/>
          <w:rtl/>
        </w:rPr>
        <w:t xml:space="preserve"> </w:t>
      </w:r>
      <w:r w:rsidRPr="002F1C70">
        <w:rPr>
          <w:rFonts w:cs="Arial" w:hint="cs"/>
          <w:sz w:val="20"/>
          <w:szCs w:val="20"/>
          <w:rtl/>
        </w:rPr>
        <w:t>לדבריה</w:t>
      </w:r>
      <w:r w:rsidRPr="002F1C70">
        <w:rPr>
          <w:rFonts w:cs="Arial"/>
          <w:sz w:val="20"/>
          <w:szCs w:val="20"/>
          <w:rtl/>
        </w:rPr>
        <w:t xml:space="preserve"> - </w:t>
      </w:r>
      <w:r w:rsidRPr="002F1C70">
        <w:rPr>
          <w:rFonts w:cs="Arial" w:hint="cs"/>
          <w:sz w:val="20"/>
          <w:szCs w:val="20"/>
          <w:rtl/>
        </w:rPr>
        <w:t>נאמנת</w:t>
      </w:r>
      <w:r w:rsidRPr="002F1C70">
        <w:rPr>
          <w:rFonts w:cs="Arial"/>
          <w:sz w:val="20"/>
          <w:szCs w:val="20"/>
          <w:rtl/>
        </w:rPr>
        <w:t xml:space="preserve">. </w:t>
      </w:r>
      <w:r w:rsidRPr="002F1C70">
        <w:rPr>
          <w:rFonts w:cs="Arial" w:hint="cs"/>
          <w:sz w:val="20"/>
          <w:szCs w:val="20"/>
          <w:rtl/>
        </w:rPr>
        <w:t>תנא</w:t>
      </w:r>
      <w:r w:rsidRPr="002F1C70">
        <w:rPr>
          <w:rFonts w:cs="Arial"/>
          <w:sz w:val="20"/>
          <w:szCs w:val="20"/>
          <w:rtl/>
        </w:rPr>
        <w:t xml:space="preserve"> </w:t>
      </w:r>
      <w:r w:rsidRPr="002F1C70">
        <w:rPr>
          <w:rFonts w:cs="Arial" w:hint="cs"/>
          <w:sz w:val="20"/>
          <w:szCs w:val="20"/>
          <w:rtl/>
        </w:rPr>
        <w:t>מיניה</w:t>
      </w:r>
      <w:r w:rsidRPr="002F1C70">
        <w:rPr>
          <w:rFonts w:cs="Arial"/>
          <w:sz w:val="20"/>
          <w:szCs w:val="20"/>
          <w:rtl/>
        </w:rPr>
        <w:t xml:space="preserve"> </w:t>
      </w:r>
      <w:r w:rsidRPr="002F1C70">
        <w:rPr>
          <w:rFonts w:cs="Arial" w:hint="cs"/>
          <w:sz w:val="20"/>
          <w:szCs w:val="20"/>
          <w:rtl/>
        </w:rPr>
        <w:t>ארבעים</w:t>
      </w:r>
      <w:r w:rsidRPr="002F1C70">
        <w:rPr>
          <w:rFonts w:cs="Arial"/>
          <w:sz w:val="20"/>
          <w:szCs w:val="20"/>
          <w:rtl/>
        </w:rPr>
        <w:t xml:space="preserve"> </w:t>
      </w:r>
      <w:r w:rsidRPr="002F1C70">
        <w:rPr>
          <w:rFonts w:cs="Arial" w:hint="cs"/>
          <w:sz w:val="20"/>
          <w:szCs w:val="20"/>
          <w:rtl/>
        </w:rPr>
        <w:t>זימנין</w:t>
      </w:r>
      <w:r w:rsidRPr="002F1C70">
        <w:rPr>
          <w:rFonts w:cs="Arial"/>
          <w:sz w:val="20"/>
          <w:szCs w:val="20"/>
          <w:rtl/>
        </w:rPr>
        <w:t xml:space="preserve">, </w:t>
      </w:r>
      <w:r w:rsidRPr="002F1C70">
        <w:rPr>
          <w:rFonts w:cs="Arial" w:hint="cs"/>
          <w:sz w:val="20"/>
          <w:szCs w:val="20"/>
          <w:rtl/>
        </w:rPr>
        <w:t>ואפ</w:t>
      </w:r>
      <w:r w:rsidRPr="002F1C70">
        <w:rPr>
          <w:rFonts w:cs="Arial"/>
          <w:sz w:val="20"/>
          <w:szCs w:val="20"/>
          <w:rtl/>
        </w:rPr>
        <w:t>"</w:t>
      </w:r>
      <w:r w:rsidRPr="002F1C70">
        <w:rPr>
          <w:rFonts w:cs="Arial" w:hint="cs"/>
          <w:sz w:val="20"/>
          <w:szCs w:val="20"/>
          <w:rtl/>
        </w:rPr>
        <w:t>ה</w:t>
      </w:r>
      <w:r w:rsidRPr="002F1C70">
        <w:rPr>
          <w:rFonts w:cs="Arial"/>
          <w:sz w:val="20"/>
          <w:szCs w:val="20"/>
          <w:rtl/>
        </w:rPr>
        <w:t xml:space="preserve"> </w:t>
      </w:r>
      <w:r w:rsidRPr="002F1C70">
        <w:rPr>
          <w:rFonts w:cs="Arial" w:hint="cs"/>
          <w:sz w:val="20"/>
          <w:szCs w:val="20"/>
          <w:rtl/>
        </w:rPr>
        <w:t>לא</w:t>
      </w:r>
      <w:r w:rsidRPr="002F1C70">
        <w:rPr>
          <w:rFonts w:cs="Arial"/>
          <w:sz w:val="20"/>
          <w:szCs w:val="20"/>
          <w:rtl/>
        </w:rPr>
        <w:t xml:space="preserve"> </w:t>
      </w:r>
      <w:r w:rsidRPr="002F1C70">
        <w:rPr>
          <w:rFonts w:cs="Arial" w:hint="cs"/>
          <w:sz w:val="20"/>
          <w:szCs w:val="20"/>
          <w:rtl/>
        </w:rPr>
        <w:t>עבד</w:t>
      </w:r>
      <w:r w:rsidRPr="002F1C70">
        <w:rPr>
          <w:rFonts w:cs="Arial"/>
          <w:sz w:val="20"/>
          <w:szCs w:val="20"/>
          <w:rtl/>
        </w:rPr>
        <w:t xml:space="preserve"> </w:t>
      </w:r>
      <w:r w:rsidRPr="002F1C70">
        <w:rPr>
          <w:rFonts w:cs="Arial" w:hint="cs"/>
          <w:sz w:val="20"/>
          <w:szCs w:val="20"/>
          <w:rtl/>
        </w:rPr>
        <w:t>שמואל</w:t>
      </w:r>
      <w:r w:rsidRPr="002F1C70">
        <w:rPr>
          <w:rFonts w:cs="Arial"/>
          <w:sz w:val="20"/>
          <w:szCs w:val="20"/>
          <w:rtl/>
        </w:rPr>
        <w:t xml:space="preserve"> </w:t>
      </w:r>
      <w:r w:rsidRPr="002F1C70">
        <w:rPr>
          <w:rFonts w:cs="Arial" w:hint="cs"/>
          <w:sz w:val="20"/>
          <w:szCs w:val="20"/>
          <w:rtl/>
        </w:rPr>
        <w:t>עובדא</w:t>
      </w:r>
      <w:r w:rsidRPr="002F1C70">
        <w:rPr>
          <w:rFonts w:cs="Arial"/>
          <w:sz w:val="20"/>
          <w:szCs w:val="20"/>
          <w:rtl/>
        </w:rPr>
        <w:t xml:space="preserve"> </w:t>
      </w:r>
      <w:r w:rsidRPr="002F1C70">
        <w:rPr>
          <w:rFonts w:cs="Arial" w:hint="cs"/>
          <w:sz w:val="20"/>
          <w:szCs w:val="20"/>
          <w:rtl/>
        </w:rPr>
        <w:t>בנפשיה</w:t>
      </w:r>
      <w:r>
        <w:rPr>
          <w:rFonts w:cs="Arial" w:hint="cs"/>
          <w:sz w:val="20"/>
          <w:szCs w:val="20"/>
          <w:rtl/>
        </w:rPr>
        <w:t>"</w:t>
      </w:r>
      <w:r w:rsidRPr="002F1C70">
        <w:rPr>
          <w:rFonts w:cs="Arial"/>
          <w:sz w:val="20"/>
          <w:szCs w:val="20"/>
          <w:rtl/>
        </w:rPr>
        <w:t xml:space="preserve">. </w:t>
      </w:r>
      <w:r>
        <w:rPr>
          <w:rFonts w:cs="Arial"/>
          <w:b/>
          <w:bCs/>
          <w:sz w:val="20"/>
          <w:szCs w:val="20"/>
          <w:rtl/>
        </w:rPr>
        <w:br/>
      </w:r>
      <w:r w:rsidRPr="008E041D">
        <w:rPr>
          <w:rFonts w:cs="Arial" w:hint="cs"/>
          <w:b/>
          <w:bCs/>
          <w:sz w:val="20"/>
          <w:szCs w:val="20"/>
          <w:rtl/>
        </w:rPr>
        <w:t>רבינו ירוחם</w:t>
      </w:r>
      <w:r>
        <w:rPr>
          <w:rFonts w:cs="Arial" w:hint="cs"/>
          <w:sz w:val="20"/>
          <w:szCs w:val="20"/>
          <w:rtl/>
        </w:rPr>
        <w:t xml:space="preserve"> </w:t>
      </w:r>
      <w:r>
        <w:rPr>
          <w:rFonts w:cs="Arial"/>
          <w:sz w:val="20"/>
          <w:szCs w:val="20"/>
          <w:rtl/>
        </w:rPr>
        <w:t>–</w:t>
      </w:r>
      <w:r>
        <w:rPr>
          <w:rFonts w:cs="Arial" w:hint="cs"/>
          <w:sz w:val="20"/>
          <w:szCs w:val="20"/>
          <w:rtl/>
        </w:rPr>
        <w:t xml:space="preserve"> אשה שאמרה טמאה אני וחזרה ואמרה </w:t>
      </w:r>
      <w:r w:rsidRPr="002F1C70">
        <w:rPr>
          <w:rFonts w:cs="Arial" w:hint="cs"/>
          <w:sz w:val="20"/>
          <w:szCs w:val="20"/>
          <w:u w:val="single"/>
          <w:rtl/>
        </w:rPr>
        <w:t>תוך כדי דיבור</w:t>
      </w:r>
      <w:r>
        <w:rPr>
          <w:rFonts w:cs="Arial" w:hint="cs"/>
          <w:sz w:val="20"/>
          <w:szCs w:val="20"/>
          <w:rtl/>
        </w:rPr>
        <w:t xml:space="preserve"> טהורה אני, נאמנת.</w:t>
      </w:r>
      <w:r>
        <w:rPr>
          <w:rFonts w:cs="Arial" w:hint="cs"/>
          <w:b/>
          <w:bCs/>
          <w:sz w:val="20"/>
          <w:szCs w:val="20"/>
          <w:rtl/>
        </w:rPr>
        <w:t xml:space="preserve"> </w:t>
      </w:r>
    </w:p>
    <w:p w:rsidR="00620060" w:rsidRDefault="00620060" w:rsidP="00620060">
      <w:pPr>
        <w:rPr>
          <w:rFonts w:cs="Arial"/>
          <w:sz w:val="20"/>
          <w:szCs w:val="20"/>
          <w:rtl/>
        </w:rPr>
      </w:pPr>
      <w:r w:rsidRPr="00556384">
        <w:rPr>
          <w:rFonts w:cs="Arial" w:hint="cs"/>
          <w:sz w:val="20"/>
          <w:szCs w:val="20"/>
          <w:rtl/>
        </w:rPr>
        <w:t xml:space="preserve">ב. </w:t>
      </w:r>
      <w:r w:rsidRPr="008E1669">
        <w:rPr>
          <w:rFonts w:cs="Arial" w:hint="cs"/>
          <w:b/>
          <w:bCs/>
          <w:sz w:val="20"/>
          <w:szCs w:val="20"/>
          <w:rtl/>
        </w:rPr>
        <w:t>גמרא</w:t>
      </w:r>
      <w:r>
        <w:rPr>
          <w:rFonts w:cs="Arial" w:hint="cs"/>
          <w:sz w:val="20"/>
          <w:szCs w:val="20"/>
          <w:rtl/>
        </w:rPr>
        <w:t xml:space="preserve"> ירושלמי כתובות (ב, ה) "</w:t>
      </w:r>
      <w:r w:rsidRPr="008E1669">
        <w:rPr>
          <w:rFonts w:cs="Arial" w:hint="cs"/>
          <w:sz w:val="20"/>
          <w:szCs w:val="20"/>
          <w:rtl/>
        </w:rPr>
        <w:t>שמואל</w:t>
      </w:r>
      <w:r w:rsidRPr="008E1669">
        <w:rPr>
          <w:rFonts w:cs="Arial"/>
          <w:sz w:val="20"/>
          <w:szCs w:val="20"/>
          <w:rtl/>
        </w:rPr>
        <w:t xml:space="preserve"> </w:t>
      </w:r>
      <w:r w:rsidRPr="008E1669">
        <w:rPr>
          <w:rFonts w:cs="Arial" w:hint="cs"/>
          <w:sz w:val="20"/>
          <w:szCs w:val="20"/>
          <w:rtl/>
        </w:rPr>
        <w:t>בעא</w:t>
      </w:r>
      <w:r w:rsidRPr="008E1669">
        <w:rPr>
          <w:rFonts w:cs="Arial"/>
          <w:sz w:val="20"/>
          <w:szCs w:val="20"/>
          <w:rtl/>
        </w:rPr>
        <w:t xml:space="preserve"> </w:t>
      </w:r>
      <w:r w:rsidRPr="008E1669">
        <w:rPr>
          <w:rFonts w:cs="Arial" w:hint="cs"/>
          <w:sz w:val="20"/>
          <w:szCs w:val="20"/>
          <w:rtl/>
        </w:rPr>
        <w:t>אזדיקוקי</w:t>
      </w:r>
      <w:r w:rsidRPr="008E1669">
        <w:rPr>
          <w:rFonts w:cs="Arial"/>
          <w:sz w:val="20"/>
          <w:szCs w:val="20"/>
          <w:rtl/>
        </w:rPr>
        <w:t xml:space="preserve"> </w:t>
      </w:r>
      <w:r w:rsidRPr="008E1669">
        <w:rPr>
          <w:rFonts w:cs="Arial" w:hint="cs"/>
          <w:sz w:val="20"/>
          <w:szCs w:val="20"/>
          <w:rtl/>
        </w:rPr>
        <w:t>לאיתתיה</w:t>
      </w:r>
      <w:r>
        <w:rPr>
          <w:rFonts w:cs="Arial" w:hint="cs"/>
          <w:sz w:val="20"/>
          <w:szCs w:val="20"/>
          <w:rtl/>
        </w:rPr>
        <w:t>,</w:t>
      </w:r>
      <w:r w:rsidRPr="008E1669">
        <w:rPr>
          <w:rFonts w:cs="Arial"/>
          <w:sz w:val="20"/>
          <w:szCs w:val="20"/>
          <w:rtl/>
        </w:rPr>
        <w:t xml:space="preserve"> </w:t>
      </w:r>
      <w:r w:rsidRPr="008E1669">
        <w:rPr>
          <w:rFonts w:cs="Arial" w:hint="cs"/>
          <w:sz w:val="20"/>
          <w:szCs w:val="20"/>
          <w:rtl/>
        </w:rPr>
        <w:t>אמרה</w:t>
      </w:r>
      <w:r w:rsidRPr="008E1669">
        <w:rPr>
          <w:rFonts w:cs="Arial"/>
          <w:sz w:val="20"/>
          <w:szCs w:val="20"/>
          <w:rtl/>
        </w:rPr>
        <w:t xml:space="preserve"> </w:t>
      </w:r>
      <w:r w:rsidRPr="008E1669">
        <w:rPr>
          <w:rFonts w:cs="Arial" w:hint="cs"/>
          <w:sz w:val="20"/>
          <w:szCs w:val="20"/>
          <w:rtl/>
        </w:rPr>
        <w:t>ליה</w:t>
      </w:r>
      <w:r>
        <w:rPr>
          <w:rFonts w:cs="Arial" w:hint="cs"/>
          <w:sz w:val="20"/>
          <w:szCs w:val="20"/>
          <w:rtl/>
        </w:rPr>
        <w:t>:</w:t>
      </w:r>
      <w:r w:rsidRPr="008E1669">
        <w:rPr>
          <w:rFonts w:cs="Arial"/>
          <w:sz w:val="20"/>
          <w:szCs w:val="20"/>
          <w:rtl/>
        </w:rPr>
        <w:t xml:space="preserve"> </w:t>
      </w:r>
      <w:r w:rsidRPr="008E1669">
        <w:rPr>
          <w:rFonts w:cs="Arial" w:hint="cs"/>
          <w:sz w:val="20"/>
          <w:szCs w:val="20"/>
          <w:rtl/>
        </w:rPr>
        <w:t>טמאה</w:t>
      </w:r>
      <w:r w:rsidRPr="008E1669">
        <w:rPr>
          <w:rFonts w:cs="Arial"/>
          <w:sz w:val="20"/>
          <w:szCs w:val="20"/>
          <w:rtl/>
        </w:rPr>
        <w:t xml:space="preserve"> </w:t>
      </w:r>
      <w:r w:rsidRPr="008E1669">
        <w:rPr>
          <w:rFonts w:cs="Arial" w:hint="cs"/>
          <w:sz w:val="20"/>
          <w:szCs w:val="20"/>
          <w:rtl/>
        </w:rPr>
        <w:t>אני</w:t>
      </w:r>
      <w:r>
        <w:rPr>
          <w:rFonts w:cs="Arial" w:hint="cs"/>
          <w:sz w:val="20"/>
          <w:szCs w:val="20"/>
          <w:rtl/>
        </w:rPr>
        <w:t>.</w:t>
      </w:r>
      <w:r w:rsidRPr="008E1669">
        <w:rPr>
          <w:rFonts w:cs="Arial"/>
          <w:sz w:val="20"/>
          <w:szCs w:val="20"/>
          <w:rtl/>
        </w:rPr>
        <w:t xml:space="preserve"> </w:t>
      </w:r>
      <w:r w:rsidRPr="008E1669">
        <w:rPr>
          <w:rFonts w:cs="Arial" w:hint="cs"/>
          <w:sz w:val="20"/>
          <w:szCs w:val="20"/>
          <w:rtl/>
        </w:rPr>
        <w:t>למחר</w:t>
      </w:r>
      <w:r w:rsidRPr="008E1669">
        <w:rPr>
          <w:rFonts w:cs="Arial"/>
          <w:sz w:val="20"/>
          <w:szCs w:val="20"/>
          <w:rtl/>
        </w:rPr>
        <w:t xml:space="preserve"> </w:t>
      </w:r>
      <w:r w:rsidRPr="008E1669">
        <w:rPr>
          <w:rFonts w:cs="Arial" w:hint="cs"/>
          <w:sz w:val="20"/>
          <w:szCs w:val="20"/>
          <w:rtl/>
        </w:rPr>
        <w:t>אמרה</w:t>
      </w:r>
      <w:r w:rsidRPr="008E1669">
        <w:rPr>
          <w:rFonts w:cs="Arial"/>
          <w:sz w:val="20"/>
          <w:szCs w:val="20"/>
          <w:rtl/>
        </w:rPr>
        <w:t xml:space="preserve"> </w:t>
      </w:r>
      <w:r w:rsidRPr="008E1669">
        <w:rPr>
          <w:rFonts w:cs="Arial" w:hint="cs"/>
          <w:sz w:val="20"/>
          <w:szCs w:val="20"/>
          <w:rtl/>
        </w:rPr>
        <w:t>ליה</w:t>
      </w:r>
      <w:r>
        <w:rPr>
          <w:rFonts w:cs="Arial" w:hint="cs"/>
          <w:sz w:val="20"/>
          <w:szCs w:val="20"/>
          <w:rtl/>
        </w:rPr>
        <w:t>:</w:t>
      </w:r>
      <w:r w:rsidRPr="008E1669">
        <w:rPr>
          <w:rFonts w:cs="Arial"/>
          <w:sz w:val="20"/>
          <w:szCs w:val="20"/>
          <w:rtl/>
        </w:rPr>
        <w:t xml:space="preserve"> </w:t>
      </w:r>
      <w:r w:rsidRPr="008E1669">
        <w:rPr>
          <w:rFonts w:cs="Arial" w:hint="cs"/>
          <w:sz w:val="20"/>
          <w:szCs w:val="20"/>
          <w:rtl/>
        </w:rPr>
        <w:t>טהורה</w:t>
      </w:r>
      <w:r w:rsidRPr="008E1669">
        <w:rPr>
          <w:rFonts w:cs="Arial"/>
          <w:sz w:val="20"/>
          <w:szCs w:val="20"/>
          <w:rtl/>
        </w:rPr>
        <w:t xml:space="preserve"> </w:t>
      </w:r>
      <w:r w:rsidRPr="008E1669">
        <w:rPr>
          <w:rFonts w:cs="Arial" w:hint="cs"/>
          <w:sz w:val="20"/>
          <w:szCs w:val="20"/>
          <w:rtl/>
        </w:rPr>
        <w:t>אני</w:t>
      </w:r>
      <w:r>
        <w:rPr>
          <w:rFonts w:cs="Arial" w:hint="cs"/>
          <w:sz w:val="20"/>
          <w:szCs w:val="20"/>
          <w:rtl/>
        </w:rPr>
        <w:t>.</w:t>
      </w:r>
      <w:r w:rsidRPr="008E1669">
        <w:rPr>
          <w:rFonts w:cs="Arial"/>
          <w:sz w:val="20"/>
          <w:szCs w:val="20"/>
          <w:rtl/>
        </w:rPr>
        <w:t xml:space="preserve"> </w:t>
      </w:r>
      <w:r w:rsidRPr="008E1669">
        <w:rPr>
          <w:rFonts w:cs="Arial" w:hint="cs"/>
          <w:sz w:val="20"/>
          <w:szCs w:val="20"/>
          <w:rtl/>
        </w:rPr>
        <w:t>אמר</w:t>
      </w:r>
      <w:r w:rsidRPr="008E1669">
        <w:rPr>
          <w:rFonts w:cs="Arial"/>
          <w:sz w:val="20"/>
          <w:szCs w:val="20"/>
          <w:rtl/>
        </w:rPr>
        <w:t xml:space="preserve"> </w:t>
      </w:r>
      <w:r w:rsidRPr="008E1669">
        <w:rPr>
          <w:rFonts w:cs="Arial" w:hint="cs"/>
          <w:sz w:val="20"/>
          <w:szCs w:val="20"/>
          <w:rtl/>
        </w:rPr>
        <w:t>לה</w:t>
      </w:r>
      <w:r>
        <w:rPr>
          <w:rFonts w:cs="Arial" w:hint="cs"/>
          <w:sz w:val="20"/>
          <w:szCs w:val="20"/>
          <w:rtl/>
        </w:rPr>
        <w:t>:</w:t>
      </w:r>
      <w:r w:rsidRPr="008E1669">
        <w:rPr>
          <w:rFonts w:cs="Arial"/>
          <w:sz w:val="20"/>
          <w:szCs w:val="20"/>
          <w:rtl/>
        </w:rPr>
        <w:t xml:space="preserve"> </w:t>
      </w:r>
      <w:r w:rsidRPr="008E1669">
        <w:rPr>
          <w:rFonts w:cs="Arial" w:hint="cs"/>
          <w:sz w:val="20"/>
          <w:szCs w:val="20"/>
          <w:rtl/>
        </w:rPr>
        <w:t>אתמול</w:t>
      </w:r>
      <w:r w:rsidRPr="008E1669">
        <w:rPr>
          <w:rFonts w:cs="Arial"/>
          <w:sz w:val="20"/>
          <w:szCs w:val="20"/>
          <w:rtl/>
        </w:rPr>
        <w:t xml:space="preserve"> </w:t>
      </w:r>
      <w:r w:rsidRPr="008E1669">
        <w:rPr>
          <w:rFonts w:cs="Arial" w:hint="cs"/>
          <w:sz w:val="20"/>
          <w:szCs w:val="20"/>
          <w:rtl/>
        </w:rPr>
        <w:t>אמרת</w:t>
      </w:r>
      <w:r w:rsidRPr="008E1669">
        <w:rPr>
          <w:rFonts w:cs="Arial"/>
          <w:sz w:val="20"/>
          <w:szCs w:val="20"/>
          <w:rtl/>
        </w:rPr>
        <w:t xml:space="preserve"> </w:t>
      </w:r>
      <w:r w:rsidRPr="008E1669">
        <w:rPr>
          <w:rFonts w:cs="Arial" w:hint="cs"/>
          <w:sz w:val="20"/>
          <w:szCs w:val="20"/>
          <w:rtl/>
        </w:rPr>
        <w:t>טמאה</w:t>
      </w:r>
      <w:r>
        <w:rPr>
          <w:rFonts w:cs="Arial" w:hint="cs"/>
          <w:sz w:val="20"/>
          <w:szCs w:val="20"/>
          <w:rtl/>
        </w:rPr>
        <w:t>,</w:t>
      </w:r>
      <w:r w:rsidRPr="008E1669">
        <w:rPr>
          <w:rFonts w:cs="Arial"/>
          <w:sz w:val="20"/>
          <w:szCs w:val="20"/>
          <w:rtl/>
        </w:rPr>
        <w:t xml:space="preserve"> </w:t>
      </w:r>
      <w:r w:rsidRPr="008E1669">
        <w:rPr>
          <w:rFonts w:cs="Arial" w:hint="cs"/>
          <w:sz w:val="20"/>
          <w:szCs w:val="20"/>
          <w:rtl/>
        </w:rPr>
        <w:t>יומא</w:t>
      </w:r>
      <w:r w:rsidRPr="008E1669">
        <w:rPr>
          <w:rFonts w:cs="Arial"/>
          <w:sz w:val="20"/>
          <w:szCs w:val="20"/>
          <w:rtl/>
        </w:rPr>
        <w:t xml:space="preserve"> </w:t>
      </w:r>
      <w:r w:rsidRPr="008E1669">
        <w:rPr>
          <w:rFonts w:cs="Arial" w:hint="cs"/>
          <w:sz w:val="20"/>
          <w:szCs w:val="20"/>
          <w:rtl/>
        </w:rPr>
        <w:t>דין</w:t>
      </w:r>
      <w:r w:rsidRPr="008E1669">
        <w:rPr>
          <w:rFonts w:cs="Arial"/>
          <w:sz w:val="20"/>
          <w:szCs w:val="20"/>
          <w:rtl/>
        </w:rPr>
        <w:t xml:space="preserve"> </w:t>
      </w:r>
      <w:r w:rsidRPr="008E1669">
        <w:rPr>
          <w:rFonts w:cs="Arial" w:hint="cs"/>
          <w:sz w:val="20"/>
          <w:szCs w:val="20"/>
          <w:rtl/>
        </w:rPr>
        <w:t>טהורה</w:t>
      </w:r>
      <w:r>
        <w:rPr>
          <w:rFonts w:cs="Arial" w:hint="cs"/>
          <w:sz w:val="20"/>
          <w:szCs w:val="20"/>
          <w:rtl/>
        </w:rPr>
        <w:t>?!</w:t>
      </w:r>
      <w:r w:rsidRPr="008E1669">
        <w:rPr>
          <w:rFonts w:cs="Arial"/>
          <w:sz w:val="20"/>
          <w:szCs w:val="20"/>
          <w:rtl/>
        </w:rPr>
        <w:t xml:space="preserve"> </w:t>
      </w:r>
      <w:r w:rsidRPr="008E1669">
        <w:rPr>
          <w:rFonts w:cs="Arial" w:hint="cs"/>
          <w:sz w:val="20"/>
          <w:szCs w:val="20"/>
          <w:rtl/>
        </w:rPr>
        <w:t>אמרה</w:t>
      </w:r>
      <w:r w:rsidRPr="008E1669">
        <w:rPr>
          <w:rFonts w:cs="Arial"/>
          <w:sz w:val="20"/>
          <w:szCs w:val="20"/>
          <w:rtl/>
        </w:rPr>
        <w:t xml:space="preserve"> </w:t>
      </w:r>
      <w:r w:rsidRPr="008E1669">
        <w:rPr>
          <w:rFonts w:cs="Arial" w:hint="cs"/>
          <w:sz w:val="20"/>
          <w:szCs w:val="20"/>
          <w:rtl/>
        </w:rPr>
        <w:t>ליה</w:t>
      </w:r>
      <w:r>
        <w:rPr>
          <w:rFonts w:cs="Arial" w:hint="cs"/>
          <w:sz w:val="20"/>
          <w:szCs w:val="20"/>
          <w:rtl/>
        </w:rPr>
        <w:t>:</w:t>
      </w:r>
      <w:r w:rsidRPr="008E1669">
        <w:rPr>
          <w:rFonts w:cs="Arial"/>
          <w:sz w:val="20"/>
          <w:szCs w:val="20"/>
          <w:rtl/>
        </w:rPr>
        <w:t xml:space="preserve"> </w:t>
      </w:r>
      <w:r w:rsidRPr="008E1669">
        <w:rPr>
          <w:rFonts w:cs="Arial" w:hint="cs"/>
          <w:sz w:val="20"/>
          <w:szCs w:val="20"/>
          <w:rtl/>
        </w:rPr>
        <w:t>לא</w:t>
      </w:r>
      <w:r w:rsidRPr="008E1669">
        <w:rPr>
          <w:rFonts w:cs="Arial"/>
          <w:sz w:val="20"/>
          <w:szCs w:val="20"/>
          <w:rtl/>
        </w:rPr>
        <w:t xml:space="preserve"> </w:t>
      </w:r>
      <w:r w:rsidRPr="008E1669">
        <w:rPr>
          <w:rFonts w:cs="Arial" w:hint="cs"/>
          <w:sz w:val="20"/>
          <w:szCs w:val="20"/>
          <w:rtl/>
        </w:rPr>
        <w:t>הווה</w:t>
      </w:r>
      <w:r w:rsidRPr="008E1669">
        <w:rPr>
          <w:rFonts w:cs="Arial"/>
          <w:sz w:val="20"/>
          <w:szCs w:val="20"/>
          <w:rtl/>
        </w:rPr>
        <w:t xml:space="preserve"> </w:t>
      </w:r>
      <w:r w:rsidRPr="008E1669">
        <w:rPr>
          <w:rFonts w:cs="Arial" w:hint="cs"/>
          <w:sz w:val="20"/>
          <w:szCs w:val="20"/>
          <w:rtl/>
        </w:rPr>
        <w:t>בחיילי</w:t>
      </w:r>
      <w:r w:rsidRPr="008E1669">
        <w:rPr>
          <w:rFonts w:cs="Arial"/>
          <w:sz w:val="20"/>
          <w:szCs w:val="20"/>
          <w:rtl/>
        </w:rPr>
        <w:t xml:space="preserve"> </w:t>
      </w:r>
      <w:r w:rsidRPr="008E1669">
        <w:rPr>
          <w:rFonts w:cs="Arial" w:hint="cs"/>
          <w:sz w:val="20"/>
          <w:szCs w:val="20"/>
          <w:rtl/>
        </w:rPr>
        <w:t>היי</w:t>
      </w:r>
      <w:r w:rsidRPr="008E1669">
        <w:rPr>
          <w:rFonts w:cs="Arial"/>
          <w:sz w:val="20"/>
          <w:szCs w:val="20"/>
          <w:rtl/>
        </w:rPr>
        <w:t xml:space="preserve"> </w:t>
      </w:r>
      <w:r w:rsidRPr="008E1669">
        <w:rPr>
          <w:rFonts w:cs="Arial" w:hint="cs"/>
          <w:sz w:val="20"/>
          <w:szCs w:val="20"/>
          <w:rtl/>
        </w:rPr>
        <w:t>שעתא</w:t>
      </w:r>
      <w:r>
        <w:rPr>
          <w:rFonts w:cs="Arial" w:hint="cs"/>
          <w:sz w:val="20"/>
          <w:szCs w:val="20"/>
          <w:rtl/>
        </w:rPr>
        <w:t>.</w:t>
      </w:r>
      <w:r w:rsidRPr="008E1669">
        <w:rPr>
          <w:rFonts w:cs="Arial"/>
          <w:sz w:val="20"/>
          <w:szCs w:val="20"/>
          <w:rtl/>
        </w:rPr>
        <w:t xml:space="preserve"> </w:t>
      </w:r>
      <w:r w:rsidRPr="008E1669">
        <w:rPr>
          <w:rFonts w:cs="Arial" w:hint="cs"/>
          <w:sz w:val="20"/>
          <w:szCs w:val="20"/>
          <w:rtl/>
        </w:rPr>
        <w:t>אתא</w:t>
      </w:r>
      <w:r w:rsidRPr="008E1669">
        <w:rPr>
          <w:rFonts w:cs="Arial"/>
          <w:sz w:val="20"/>
          <w:szCs w:val="20"/>
          <w:rtl/>
        </w:rPr>
        <w:t xml:space="preserve"> </w:t>
      </w:r>
      <w:r w:rsidRPr="008E1669">
        <w:rPr>
          <w:rFonts w:cs="Arial" w:hint="cs"/>
          <w:sz w:val="20"/>
          <w:szCs w:val="20"/>
          <w:rtl/>
        </w:rPr>
        <w:t>שאל</w:t>
      </w:r>
      <w:r w:rsidRPr="008E1669">
        <w:rPr>
          <w:rFonts w:cs="Arial"/>
          <w:sz w:val="20"/>
          <w:szCs w:val="20"/>
          <w:rtl/>
        </w:rPr>
        <w:t xml:space="preserve"> </w:t>
      </w:r>
      <w:r w:rsidRPr="008E1669">
        <w:rPr>
          <w:rFonts w:cs="Arial" w:hint="cs"/>
          <w:sz w:val="20"/>
          <w:szCs w:val="20"/>
          <w:rtl/>
        </w:rPr>
        <w:t>לרב</w:t>
      </w:r>
      <w:r>
        <w:rPr>
          <w:rFonts w:cs="Arial" w:hint="cs"/>
          <w:sz w:val="20"/>
          <w:szCs w:val="20"/>
          <w:rtl/>
        </w:rPr>
        <w:t>,</w:t>
      </w:r>
      <w:r w:rsidRPr="008E1669">
        <w:rPr>
          <w:rFonts w:cs="Arial"/>
          <w:sz w:val="20"/>
          <w:szCs w:val="20"/>
          <w:rtl/>
        </w:rPr>
        <w:t xml:space="preserve"> </w:t>
      </w:r>
      <w:r>
        <w:rPr>
          <w:rFonts w:cs="Arial" w:hint="cs"/>
          <w:sz w:val="20"/>
          <w:szCs w:val="20"/>
          <w:rtl/>
        </w:rPr>
        <w:t>אמר ליה:</w:t>
      </w:r>
      <w:r w:rsidRPr="008E1669">
        <w:rPr>
          <w:rFonts w:cs="Arial"/>
          <w:sz w:val="20"/>
          <w:szCs w:val="20"/>
          <w:rtl/>
        </w:rPr>
        <w:t xml:space="preserve"> </w:t>
      </w:r>
      <w:r w:rsidRPr="008E1669">
        <w:rPr>
          <w:rFonts w:cs="Arial" w:hint="cs"/>
          <w:sz w:val="20"/>
          <w:szCs w:val="20"/>
          <w:rtl/>
        </w:rPr>
        <w:t>מכיון</w:t>
      </w:r>
      <w:r w:rsidRPr="008E1669">
        <w:rPr>
          <w:rFonts w:cs="Arial"/>
          <w:sz w:val="20"/>
          <w:szCs w:val="20"/>
          <w:rtl/>
        </w:rPr>
        <w:t xml:space="preserve"> </w:t>
      </w:r>
      <w:r w:rsidRPr="008E1669">
        <w:rPr>
          <w:rFonts w:cs="Arial" w:hint="cs"/>
          <w:sz w:val="20"/>
          <w:szCs w:val="20"/>
          <w:rtl/>
        </w:rPr>
        <w:t>שהביאה</w:t>
      </w:r>
      <w:r w:rsidRPr="008E1669">
        <w:rPr>
          <w:rFonts w:cs="Arial"/>
          <w:sz w:val="20"/>
          <w:szCs w:val="20"/>
          <w:rtl/>
        </w:rPr>
        <w:t xml:space="preserve"> </w:t>
      </w:r>
      <w:r w:rsidRPr="008E1669">
        <w:rPr>
          <w:rFonts w:cs="Arial" w:hint="cs"/>
          <w:sz w:val="20"/>
          <w:szCs w:val="20"/>
          <w:rtl/>
        </w:rPr>
        <w:t>מתלא</w:t>
      </w:r>
      <w:r w:rsidRPr="008E1669">
        <w:rPr>
          <w:rFonts w:cs="Arial"/>
          <w:sz w:val="20"/>
          <w:szCs w:val="20"/>
          <w:rtl/>
        </w:rPr>
        <w:t xml:space="preserve"> </w:t>
      </w:r>
      <w:r w:rsidRPr="008E1669">
        <w:rPr>
          <w:rFonts w:cs="Arial" w:hint="cs"/>
          <w:sz w:val="20"/>
          <w:szCs w:val="20"/>
          <w:rtl/>
        </w:rPr>
        <w:t>לדבריה</w:t>
      </w:r>
      <w:r w:rsidRPr="008E1669">
        <w:rPr>
          <w:rFonts w:cs="Arial"/>
          <w:sz w:val="20"/>
          <w:szCs w:val="20"/>
          <w:rtl/>
        </w:rPr>
        <w:t xml:space="preserve"> </w:t>
      </w:r>
      <w:r>
        <w:rPr>
          <w:rFonts w:cs="Arial" w:hint="cs"/>
          <w:sz w:val="20"/>
          <w:szCs w:val="20"/>
          <w:rtl/>
        </w:rPr>
        <w:t xml:space="preserve">- </w:t>
      </w:r>
      <w:r w:rsidRPr="008E1669">
        <w:rPr>
          <w:rFonts w:cs="Arial" w:hint="cs"/>
          <w:sz w:val="20"/>
          <w:szCs w:val="20"/>
          <w:rtl/>
        </w:rPr>
        <w:t>נאמנת</w:t>
      </w:r>
      <w:r>
        <w:rPr>
          <w:rFonts w:cs="Arial" w:hint="cs"/>
          <w:sz w:val="20"/>
          <w:szCs w:val="20"/>
          <w:rtl/>
        </w:rPr>
        <w:t>".</w:t>
      </w:r>
    </w:p>
    <w:p w:rsidR="00620060" w:rsidRDefault="00620060" w:rsidP="00620060">
      <w:pPr>
        <w:rPr>
          <w:rFonts w:cs="Arial"/>
          <w:sz w:val="20"/>
          <w:szCs w:val="20"/>
          <w:rtl/>
        </w:rPr>
      </w:pPr>
      <w:r>
        <w:rPr>
          <w:rFonts w:cs="Arial" w:hint="cs"/>
          <w:b/>
          <w:bCs/>
          <w:sz w:val="20"/>
          <w:szCs w:val="20"/>
          <w:rtl/>
        </w:rPr>
        <w:t>האם יש להחמיר כשמואל?</w:t>
      </w:r>
      <w:r>
        <w:rPr>
          <w:rFonts w:cs="Arial" w:hint="cs"/>
          <w:b/>
          <w:bCs/>
          <w:sz w:val="20"/>
          <w:szCs w:val="20"/>
          <w:rtl/>
        </w:rPr>
        <w:br/>
      </w:r>
      <w:r>
        <w:rPr>
          <w:rFonts w:cs="Arial" w:hint="cs"/>
          <w:sz w:val="20"/>
          <w:szCs w:val="20"/>
          <w:rtl/>
        </w:rPr>
        <w:t xml:space="preserve">א. </w:t>
      </w:r>
      <w:r w:rsidRPr="00BA50F1">
        <w:rPr>
          <w:rFonts w:cs="Arial" w:hint="cs"/>
          <w:b/>
          <w:bCs/>
          <w:sz w:val="20"/>
          <w:szCs w:val="20"/>
          <w:rtl/>
        </w:rPr>
        <w:t>רמב"ם</w:t>
      </w:r>
      <w:r>
        <w:rPr>
          <w:rFonts w:cs="Arial" w:hint="cs"/>
          <w:sz w:val="20"/>
          <w:szCs w:val="20"/>
          <w:rtl/>
        </w:rPr>
        <w:t xml:space="preserve">, </w:t>
      </w:r>
      <w:r w:rsidRPr="00BA50F1">
        <w:rPr>
          <w:rFonts w:cs="Arial" w:hint="cs"/>
          <w:b/>
          <w:bCs/>
          <w:sz w:val="20"/>
          <w:szCs w:val="20"/>
          <w:rtl/>
        </w:rPr>
        <w:t>רשב"א ור"ן</w:t>
      </w:r>
      <w:r>
        <w:rPr>
          <w:rFonts w:cs="Arial" w:hint="cs"/>
          <w:sz w:val="20"/>
          <w:szCs w:val="20"/>
          <w:rtl/>
        </w:rPr>
        <w:t xml:space="preserve"> </w:t>
      </w:r>
      <w:r>
        <w:rPr>
          <w:rFonts w:cs="Arial"/>
          <w:sz w:val="20"/>
          <w:szCs w:val="20"/>
          <w:rtl/>
        </w:rPr>
        <w:t>–</w:t>
      </w:r>
      <w:r>
        <w:rPr>
          <w:rFonts w:cs="Arial" w:hint="cs"/>
          <w:sz w:val="20"/>
          <w:szCs w:val="20"/>
          <w:rtl/>
        </w:rPr>
        <w:t xml:space="preserve"> האשה שנתנה אמתלה לדבריה נאמנת, ומשמע שאין מעלה להחמיר בכך.</w:t>
      </w:r>
      <w:r>
        <w:rPr>
          <w:rFonts w:cs="Arial"/>
          <w:sz w:val="20"/>
          <w:szCs w:val="20"/>
          <w:rtl/>
        </w:rPr>
        <w:br/>
      </w:r>
      <w:r>
        <w:rPr>
          <w:rFonts w:cs="Arial" w:hint="cs"/>
          <w:sz w:val="20"/>
          <w:szCs w:val="20"/>
          <w:rtl/>
        </w:rPr>
        <w:t xml:space="preserve">ב. </w:t>
      </w:r>
      <w:r w:rsidRPr="00BA50F1">
        <w:rPr>
          <w:rFonts w:cs="Arial" w:hint="cs"/>
          <w:b/>
          <w:bCs/>
          <w:sz w:val="20"/>
          <w:szCs w:val="20"/>
          <w:rtl/>
        </w:rPr>
        <w:t>רי"ף</w:t>
      </w:r>
      <w:r>
        <w:rPr>
          <w:rFonts w:cs="Arial" w:hint="cs"/>
          <w:sz w:val="20"/>
          <w:szCs w:val="20"/>
          <w:rtl/>
        </w:rPr>
        <w:t xml:space="preserve"> </w:t>
      </w:r>
      <w:r>
        <w:rPr>
          <w:rFonts w:cs="Arial"/>
          <w:sz w:val="20"/>
          <w:szCs w:val="20"/>
          <w:rtl/>
        </w:rPr>
        <w:t>–</w:t>
      </w:r>
      <w:r>
        <w:rPr>
          <w:rFonts w:cs="Arial" w:hint="cs"/>
          <w:sz w:val="20"/>
          <w:szCs w:val="20"/>
          <w:rtl/>
        </w:rPr>
        <w:t xml:space="preserve"> העתיק את דברי שמואל, ומשמע לדעתו שאע"פ שקיי"ל כרב, המחמיר משובח, וכ"פ </w:t>
      </w:r>
      <w:r w:rsidRPr="00BA50F1">
        <w:rPr>
          <w:rFonts w:cs="Arial" w:hint="cs"/>
          <w:b/>
          <w:bCs/>
          <w:sz w:val="20"/>
          <w:szCs w:val="20"/>
          <w:rtl/>
        </w:rPr>
        <w:t>הרמ"א</w:t>
      </w:r>
      <w:r>
        <w:rPr>
          <w:rFonts w:cs="Arial" w:hint="cs"/>
          <w:sz w:val="20"/>
          <w:szCs w:val="20"/>
          <w:rtl/>
        </w:rPr>
        <w:t>.</w:t>
      </w:r>
    </w:p>
    <w:p w:rsidR="00620060" w:rsidRDefault="00620060" w:rsidP="00620060">
      <w:pPr>
        <w:rPr>
          <w:rFonts w:cs="Arial"/>
          <w:sz w:val="20"/>
          <w:szCs w:val="20"/>
          <w:rtl/>
        </w:rPr>
      </w:pPr>
      <w:r>
        <w:rPr>
          <w:rFonts w:cs="Arial" w:hint="cs"/>
          <w:b/>
          <w:bCs/>
          <w:sz w:val="20"/>
          <w:szCs w:val="20"/>
          <w:rtl/>
        </w:rPr>
        <w:t>אמתלת קטטה</w:t>
      </w:r>
      <w:r>
        <w:rPr>
          <w:rFonts w:cs="Arial"/>
          <w:b/>
          <w:bCs/>
          <w:sz w:val="20"/>
          <w:szCs w:val="20"/>
          <w:rtl/>
        </w:rPr>
        <w:br/>
      </w:r>
      <w:r>
        <w:rPr>
          <w:rFonts w:cs="Arial" w:hint="cs"/>
          <w:b/>
          <w:bCs/>
          <w:sz w:val="20"/>
          <w:szCs w:val="20"/>
          <w:rtl/>
        </w:rPr>
        <w:t xml:space="preserve">מהרי"ו </w:t>
      </w:r>
      <w:r>
        <w:rPr>
          <w:rFonts w:cs="Arial"/>
          <w:sz w:val="20"/>
          <w:szCs w:val="20"/>
          <w:rtl/>
        </w:rPr>
        <w:t>–</w:t>
      </w:r>
      <w:r>
        <w:rPr>
          <w:rFonts w:cs="Arial" w:hint="cs"/>
          <w:sz w:val="20"/>
          <w:szCs w:val="20"/>
          <w:rtl/>
        </w:rPr>
        <w:t xml:space="preserve"> אמרה טמאה אני ולאחר זמן הסבירה שאמרה לו רק מחמת קטטה, נאמנת.</w:t>
      </w:r>
      <w:r>
        <w:rPr>
          <w:rFonts w:cs="Arial" w:hint="cs"/>
          <w:b/>
          <w:bCs/>
          <w:sz w:val="20"/>
          <w:szCs w:val="20"/>
          <w:rtl/>
        </w:rPr>
        <w:br/>
      </w:r>
      <w:r>
        <w:rPr>
          <w:rFonts w:cs="Arial" w:hint="cs"/>
          <w:sz w:val="20"/>
          <w:szCs w:val="20"/>
          <w:rtl/>
        </w:rPr>
        <w:t xml:space="preserve">מוסיף </w:t>
      </w:r>
      <w:r>
        <w:rPr>
          <w:rFonts w:cs="Arial" w:hint="cs"/>
          <w:b/>
          <w:bCs/>
          <w:sz w:val="20"/>
          <w:szCs w:val="20"/>
          <w:rtl/>
        </w:rPr>
        <w:t xml:space="preserve">מהרי"ו </w:t>
      </w:r>
      <w:r>
        <w:rPr>
          <w:rFonts w:cs="Arial"/>
          <w:sz w:val="20"/>
          <w:szCs w:val="20"/>
          <w:rtl/>
        </w:rPr>
        <w:t>–</w:t>
      </w:r>
      <w:r>
        <w:rPr>
          <w:rFonts w:cs="Arial" w:hint="cs"/>
          <w:sz w:val="20"/>
          <w:szCs w:val="20"/>
          <w:rtl/>
        </w:rPr>
        <w:t xml:space="preserve"> אפילו אם אינה אומרת לו בפירוש טהורה אני, אלא באה ושוכבת לצידו, הוי כנותנת אמתלה לדבריה ואינו צריך לפרוש ממנה, משום שהדבר ברור לו שרק מחמת קטטה אמרה כךמתחילה, וכ"פ </w:t>
      </w:r>
      <w:r w:rsidRPr="00FD6CD0">
        <w:rPr>
          <w:rFonts w:cs="Arial" w:hint="cs"/>
          <w:b/>
          <w:bCs/>
          <w:sz w:val="20"/>
          <w:szCs w:val="20"/>
          <w:rtl/>
        </w:rPr>
        <w:t>הרמ"א</w:t>
      </w:r>
      <w:r>
        <w:rPr>
          <w:rFonts w:cs="Arial" w:hint="cs"/>
          <w:sz w:val="20"/>
          <w:szCs w:val="20"/>
          <w:rtl/>
        </w:rPr>
        <w:t>.</w:t>
      </w:r>
      <w:r>
        <w:rPr>
          <w:rFonts w:cs="Arial"/>
          <w:sz w:val="20"/>
          <w:szCs w:val="20"/>
          <w:rtl/>
        </w:rPr>
        <w:br/>
      </w:r>
      <w:r>
        <w:rPr>
          <w:rFonts w:cs="Arial"/>
          <w:b/>
          <w:bCs/>
          <w:sz w:val="20"/>
          <w:szCs w:val="20"/>
          <w:rtl/>
        </w:rPr>
        <w:br/>
      </w:r>
      <w:r>
        <w:rPr>
          <w:rFonts w:cs="Arial" w:hint="cs"/>
          <w:b/>
          <w:bCs/>
          <w:sz w:val="20"/>
          <w:szCs w:val="20"/>
          <w:rtl/>
        </w:rPr>
        <w:t>פסיקת הלכה</w:t>
      </w:r>
      <w:r w:rsidRPr="007834AC">
        <w:rPr>
          <w:rStyle w:val="a5"/>
          <w:rFonts w:cs="Arial"/>
          <w:sz w:val="20"/>
          <w:szCs w:val="20"/>
          <w:rtl/>
        </w:rPr>
        <w:footnoteReference w:id="67"/>
      </w:r>
      <w:r>
        <w:rPr>
          <w:rFonts w:cs="Arial"/>
          <w:b/>
          <w:bCs/>
          <w:sz w:val="20"/>
          <w:szCs w:val="20"/>
          <w:rtl/>
        </w:rPr>
        <w:br/>
      </w:r>
      <w:r>
        <w:rPr>
          <w:rFonts w:cs="Arial" w:hint="cs"/>
          <w:b/>
          <w:bCs/>
          <w:sz w:val="20"/>
          <w:szCs w:val="20"/>
          <w:rtl/>
        </w:rPr>
        <w:t xml:space="preserve">שולחן ערוך </w:t>
      </w:r>
      <w:r>
        <w:rPr>
          <w:rFonts w:cs="Arial"/>
          <w:sz w:val="20"/>
          <w:szCs w:val="20"/>
          <w:rtl/>
        </w:rPr>
        <w:t>–</w:t>
      </w:r>
      <w:r>
        <w:rPr>
          <w:rFonts w:cs="Arial" w:hint="cs"/>
          <w:sz w:val="20"/>
          <w:szCs w:val="20"/>
          <w:rtl/>
        </w:rPr>
        <w:t xml:space="preserve"> "</w:t>
      </w:r>
      <w:r w:rsidRPr="00EE6C7C">
        <w:rPr>
          <w:rFonts w:cs="Arial" w:hint="cs"/>
          <w:sz w:val="20"/>
          <w:szCs w:val="20"/>
          <w:rtl/>
        </w:rPr>
        <w:t>אמרה</w:t>
      </w:r>
      <w:r w:rsidRPr="00EE6C7C">
        <w:rPr>
          <w:rFonts w:cs="Arial"/>
          <w:sz w:val="20"/>
          <w:szCs w:val="20"/>
          <w:rtl/>
        </w:rPr>
        <w:t xml:space="preserve"> </w:t>
      </w:r>
      <w:r w:rsidRPr="00EE6C7C">
        <w:rPr>
          <w:rFonts w:cs="Arial" w:hint="cs"/>
          <w:sz w:val="20"/>
          <w:szCs w:val="20"/>
          <w:rtl/>
        </w:rPr>
        <w:t>לבעלה</w:t>
      </w:r>
      <w:r w:rsidRPr="00EE6C7C">
        <w:rPr>
          <w:rFonts w:cs="Arial"/>
          <w:sz w:val="20"/>
          <w:szCs w:val="20"/>
          <w:rtl/>
        </w:rPr>
        <w:t xml:space="preserve">: </w:t>
      </w:r>
      <w:r w:rsidRPr="00EE6C7C">
        <w:rPr>
          <w:rFonts w:cs="Arial" w:hint="cs"/>
          <w:sz w:val="20"/>
          <w:szCs w:val="20"/>
          <w:rtl/>
        </w:rPr>
        <w:t>טמאה</w:t>
      </w:r>
      <w:r w:rsidRPr="00EE6C7C">
        <w:rPr>
          <w:rFonts w:cs="Arial"/>
          <w:sz w:val="20"/>
          <w:szCs w:val="20"/>
          <w:rtl/>
        </w:rPr>
        <w:t xml:space="preserve"> </w:t>
      </w:r>
      <w:r w:rsidRPr="00EE6C7C">
        <w:rPr>
          <w:rFonts w:cs="Arial" w:hint="cs"/>
          <w:sz w:val="20"/>
          <w:szCs w:val="20"/>
          <w:rtl/>
        </w:rPr>
        <w:t>אני</w:t>
      </w:r>
      <w:r w:rsidRPr="00EE6C7C">
        <w:rPr>
          <w:rFonts w:cs="Arial"/>
          <w:sz w:val="20"/>
          <w:szCs w:val="20"/>
          <w:rtl/>
        </w:rPr>
        <w:t xml:space="preserve">, </w:t>
      </w:r>
      <w:r w:rsidRPr="00EE6C7C">
        <w:rPr>
          <w:rFonts w:cs="Arial" w:hint="cs"/>
          <w:sz w:val="20"/>
          <w:szCs w:val="20"/>
          <w:rtl/>
        </w:rPr>
        <w:t>ואחר</w:t>
      </w:r>
      <w:r w:rsidRPr="00EE6C7C">
        <w:rPr>
          <w:rFonts w:cs="Arial"/>
          <w:sz w:val="20"/>
          <w:szCs w:val="20"/>
          <w:rtl/>
        </w:rPr>
        <w:t xml:space="preserve"> </w:t>
      </w:r>
      <w:r w:rsidRPr="00EE6C7C">
        <w:rPr>
          <w:rFonts w:cs="Arial" w:hint="cs"/>
          <w:sz w:val="20"/>
          <w:szCs w:val="20"/>
          <w:rtl/>
        </w:rPr>
        <w:t>כך</w:t>
      </w:r>
      <w:r w:rsidRPr="00EE6C7C">
        <w:rPr>
          <w:rFonts w:cs="Arial"/>
          <w:sz w:val="20"/>
          <w:szCs w:val="20"/>
          <w:rtl/>
        </w:rPr>
        <w:t xml:space="preserve"> </w:t>
      </w:r>
      <w:r w:rsidRPr="00EE6C7C">
        <w:rPr>
          <w:rFonts w:cs="Arial" w:hint="cs"/>
          <w:sz w:val="20"/>
          <w:szCs w:val="20"/>
          <w:rtl/>
        </w:rPr>
        <w:t>אמרה</w:t>
      </w:r>
      <w:r w:rsidRPr="00EE6C7C">
        <w:rPr>
          <w:rFonts w:cs="Arial"/>
          <w:sz w:val="20"/>
          <w:szCs w:val="20"/>
          <w:rtl/>
        </w:rPr>
        <w:t xml:space="preserve">: </w:t>
      </w:r>
      <w:r w:rsidRPr="00EE6C7C">
        <w:rPr>
          <w:rFonts w:cs="Arial" w:hint="cs"/>
          <w:sz w:val="20"/>
          <w:szCs w:val="20"/>
          <w:rtl/>
        </w:rPr>
        <w:t>טהורה</w:t>
      </w:r>
      <w:r w:rsidRPr="00EE6C7C">
        <w:rPr>
          <w:rFonts w:cs="Arial"/>
          <w:sz w:val="20"/>
          <w:szCs w:val="20"/>
          <w:rtl/>
        </w:rPr>
        <w:t xml:space="preserve"> </w:t>
      </w:r>
      <w:r w:rsidRPr="00EE6C7C">
        <w:rPr>
          <w:rFonts w:cs="Arial" w:hint="cs"/>
          <w:sz w:val="20"/>
          <w:szCs w:val="20"/>
          <w:rtl/>
        </w:rPr>
        <w:t>אני</w:t>
      </w:r>
      <w:r w:rsidRPr="00EE6C7C">
        <w:rPr>
          <w:rFonts w:cs="Arial"/>
          <w:sz w:val="20"/>
          <w:szCs w:val="20"/>
          <w:rtl/>
        </w:rPr>
        <w:t xml:space="preserve">, </w:t>
      </w:r>
      <w:r w:rsidRPr="00EE6C7C">
        <w:rPr>
          <w:rFonts w:cs="Arial" w:hint="cs"/>
          <w:sz w:val="20"/>
          <w:szCs w:val="20"/>
          <w:rtl/>
        </w:rPr>
        <w:t>אינה</w:t>
      </w:r>
      <w:r w:rsidRPr="00EE6C7C">
        <w:rPr>
          <w:rFonts w:cs="Arial"/>
          <w:sz w:val="20"/>
          <w:szCs w:val="20"/>
          <w:rtl/>
        </w:rPr>
        <w:t xml:space="preserve"> </w:t>
      </w:r>
      <w:r w:rsidRPr="00EE6C7C">
        <w:rPr>
          <w:rFonts w:cs="Arial" w:hint="cs"/>
          <w:sz w:val="20"/>
          <w:szCs w:val="20"/>
          <w:rtl/>
        </w:rPr>
        <w:t>נאמנת</w:t>
      </w:r>
      <w:r w:rsidRPr="00EE6C7C">
        <w:rPr>
          <w:rFonts w:cs="Arial"/>
          <w:sz w:val="20"/>
          <w:szCs w:val="20"/>
          <w:rtl/>
        </w:rPr>
        <w:t xml:space="preserve">. </w:t>
      </w:r>
      <w:r w:rsidRPr="008E5BDC">
        <w:rPr>
          <w:rFonts w:cs="Arial"/>
          <w:sz w:val="18"/>
          <w:szCs w:val="18"/>
          <w:rtl/>
        </w:rPr>
        <w:t>(</w:t>
      </w:r>
      <w:r w:rsidRPr="008E5BDC">
        <w:rPr>
          <w:rFonts w:cs="Arial" w:hint="cs"/>
          <w:sz w:val="18"/>
          <w:szCs w:val="18"/>
          <w:rtl/>
        </w:rPr>
        <w:t>אם</w:t>
      </w:r>
      <w:r w:rsidRPr="008E5BDC">
        <w:rPr>
          <w:rFonts w:cs="Arial"/>
          <w:sz w:val="18"/>
          <w:szCs w:val="18"/>
          <w:rtl/>
        </w:rPr>
        <w:t xml:space="preserve"> </w:t>
      </w:r>
      <w:r w:rsidRPr="008E5BDC">
        <w:rPr>
          <w:rFonts w:cs="Arial" w:hint="cs"/>
          <w:sz w:val="18"/>
          <w:szCs w:val="18"/>
          <w:rtl/>
        </w:rPr>
        <w:t>הוא</w:t>
      </w:r>
      <w:r w:rsidRPr="008E5BDC">
        <w:rPr>
          <w:rFonts w:cs="Arial"/>
          <w:sz w:val="18"/>
          <w:szCs w:val="18"/>
          <w:rtl/>
        </w:rPr>
        <w:t xml:space="preserve"> </w:t>
      </w:r>
      <w:r w:rsidRPr="008E5BDC">
        <w:rPr>
          <w:rFonts w:cs="Arial" w:hint="cs"/>
          <w:sz w:val="18"/>
          <w:szCs w:val="18"/>
          <w:rtl/>
        </w:rPr>
        <w:t>לאחר</w:t>
      </w:r>
      <w:r w:rsidRPr="008E5BDC">
        <w:rPr>
          <w:rFonts w:cs="Arial"/>
          <w:sz w:val="18"/>
          <w:szCs w:val="18"/>
          <w:rtl/>
        </w:rPr>
        <w:t xml:space="preserve"> </w:t>
      </w:r>
      <w:r w:rsidRPr="008E5BDC">
        <w:rPr>
          <w:rFonts w:cs="Arial" w:hint="cs"/>
          <w:sz w:val="18"/>
          <w:szCs w:val="18"/>
          <w:rtl/>
        </w:rPr>
        <w:t>כדי</w:t>
      </w:r>
      <w:r w:rsidRPr="008E5BDC">
        <w:rPr>
          <w:rFonts w:cs="Arial"/>
          <w:sz w:val="18"/>
          <w:szCs w:val="18"/>
          <w:rtl/>
        </w:rPr>
        <w:t xml:space="preserve"> </w:t>
      </w:r>
      <w:r w:rsidRPr="008E5BDC">
        <w:rPr>
          <w:rFonts w:cs="Arial" w:hint="cs"/>
          <w:sz w:val="18"/>
          <w:szCs w:val="18"/>
          <w:rtl/>
        </w:rPr>
        <w:t>דבור</w:t>
      </w:r>
      <w:r w:rsidRPr="008E5BDC">
        <w:rPr>
          <w:rFonts w:cs="Arial"/>
          <w:sz w:val="18"/>
          <w:szCs w:val="18"/>
          <w:rtl/>
        </w:rPr>
        <w:t>)</w:t>
      </w:r>
      <w:r w:rsidRPr="00EE6C7C">
        <w:rPr>
          <w:rFonts w:cs="Arial"/>
          <w:sz w:val="20"/>
          <w:szCs w:val="20"/>
          <w:rtl/>
        </w:rPr>
        <w:t xml:space="preserve">. </w:t>
      </w:r>
      <w:r w:rsidRPr="00EE6C7C">
        <w:rPr>
          <w:rFonts w:cs="Arial" w:hint="cs"/>
          <w:sz w:val="20"/>
          <w:szCs w:val="20"/>
          <w:rtl/>
        </w:rPr>
        <w:lastRenderedPageBreak/>
        <w:t>ואם</w:t>
      </w:r>
      <w:r w:rsidRPr="00EE6C7C">
        <w:rPr>
          <w:rFonts w:cs="Arial"/>
          <w:sz w:val="20"/>
          <w:szCs w:val="20"/>
          <w:rtl/>
        </w:rPr>
        <w:t xml:space="preserve"> </w:t>
      </w:r>
      <w:r w:rsidRPr="00EE6C7C">
        <w:rPr>
          <w:rFonts w:cs="Arial" w:hint="cs"/>
          <w:sz w:val="20"/>
          <w:szCs w:val="20"/>
          <w:rtl/>
        </w:rPr>
        <w:t>נתנה</w:t>
      </w:r>
      <w:r w:rsidRPr="00EE6C7C">
        <w:rPr>
          <w:rFonts w:cs="Arial"/>
          <w:sz w:val="20"/>
          <w:szCs w:val="20"/>
          <w:rtl/>
        </w:rPr>
        <w:t xml:space="preserve"> </w:t>
      </w:r>
      <w:r w:rsidRPr="00EE6C7C">
        <w:rPr>
          <w:rFonts w:cs="Arial" w:hint="cs"/>
          <w:sz w:val="20"/>
          <w:szCs w:val="20"/>
          <w:rtl/>
        </w:rPr>
        <w:t>אמתלא</w:t>
      </w:r>
      <w:r w:rsidRPr="00EE6C7C">
        <w:rPr>
          <w:rFonts w:cs="Arial"/>
          <w:sz w:val="20"/>
          <w:szCs w:val="20"/>
          <w:rtl/>
        </w:rPr>
        <w:t xml:space="preserve"> </w:t>
      </w:r>
      <w:r w:rsidRPr="00EE6C7C">
        <w:rPr>
          <w:rFonts w:cs="Arial" w:hint="cs"/>
          <w:sz w:val="20"/>
          <w:szCs w:val="20"/>
          <w:rtl/>
        </w:rPr>
        <w:t>לדבריה</w:t>
      </w:r>
      <w:r w:rsidRPr="00EE6C7C">
        <w:rPr>
          <w:rFonts w:cs="Arial"/>
          <w:sz w:val="20"/>
          <w:szCs w:val="20"/>
          <w:rtl/>
        </w:rPr>
        <w:t xml:space="preserve">, </w:t>
      </w:r>
      <w:r w:rsidRPr="00EE6C7C">
        <w:rPr>
          <w:rFonts w:cs="Arial" w:hint="cs"/>
          <w:sz w:val="20"/>
          <w:szCs w:val="20"/>
          <w:rtl/>
        </w:rPr>
        <w:t>כגון</w:t>
      </w:r>
      <w:r w:rsidRPr="00EE6C7C">
        <w:rPr>
          <w:rFonts w:cs="Arial"/>
          <w:sz w:val="20"/>
          <w:szCs w:val="20"/>
          <w:rtl/>
        </w:rPr>
        <w:t xml:space="preserve"> </w:t>
      </w:r>
      <w:r w:rsidRPr="00EE6C7C">
        <w:rPr>
          <w:rFonts w:cs="Arial" w:hint="cs"/>
          <w:sz w:val="20"/>
          <w:szCs w:val="20"/>
          <w:rtl/>
        </w:rPr>
        <w:t>שאומרת</w:t>
      </w:r>
      <w:r w:rsidRPr="00EE6C7C">
        <w:rPr>
          <w:rFonts w:cs="Arial"/>
          <w:sz w:val="20"/>
          <w:szCs w:val="20"/>
          <w:rtl/>
        </w:rPr>
        <w:t xml:space="preserve"> </w:t>
      </w:r>
      <w:r w:rsidRPr="00EE6C7C">
        <w:rPr>
          <w:rFonts w:cs="Arial" w:hint="cs"/>
          <w:sz w:val="20"/>
          <w:szCs w:val="20"/>
          <w:rtl/>
        </w:rPr>
        <w:t>שלא</w:t>
      </w:r>
      <w:r w:rsidRPr="00EE6C7C">
        <w:rPr>
          <w:rFonts w:cs="Arial"/>
          <w:sz w:val="20"/>
          <w:szCs w:val="20"/>
          <w:rtl/>
        </w:rPr>
        <w:t xml:space="preserve"> </w:t>
      </w:r>
      <w:r w:rsidRPr="00EE6C7C">
        <w:rPr>
          <w:rFonts w:cs="Arial" w:hint="cs"/>
          <w:sz w:val="20"/>
          <w:szCs w:val="20"/>
          <w:rtl/>
        </w:rPr>
        <w:t>אמרה</w:t>
      </w:r>
      <w:r w:rsidRPr="00EE6C7C">
        <w:rPr>
          <w:rFonts w:cs="Arial"/>
          <w:sz w:val="20"/>
          <w:szCs w:val="20"/>
          <w:rtl/>
        </w:rPr>
        <w:t xml:space="preserve"> </w:t>
      </w:r>
      <w:r w:rsidRPr="00EE6C7C">
        <w:rPr>
          <w:rFonts w:cs="Arial" w:hint="cs"/>
          <w:sz w:val="20"/>
          <w:szCs w:val="20"/>
          <w:rtl/>
        </w:rPr>
        <w:t>לו</w:t>
      </w:r>
      <w:r w:rsidRPr="00EE6C7C">
        <w:rPr>
          <w:rFonts w:cs="Arial"/>
          <w:sz w:val="20"/>
          <w:szCs w:val="20"/>
          <w:rtl/>
        </w:rPr>
        <w:t xml:space="preserve"> </w:t>
      </w:r>
      <w:r w:rsidRPr="00EE6C7C">
        <w:rPr>
          <w:rFonts w:cs="Arial" w:hint="cs"/>
          <w:sz w:val="20"/>
          <w:szCs w:val="20"/>
          <w:rtl/>
        </w:rPr>
        <w:t>כן</w:t>
      </w:r>
      <w:r w:rsidRPr="00EE6C7C">
        <w:rPr>
          <w:rFonts w:cs="Arial"/>
          <w:sz w:val="20"/>
          <w:szCs w:val="20"/>
          <w:rtl/>
        </w:rPr>
        <w:t xml:space="preserve">, </w:t>
      </w:r>
      <w:r w:rsidRPr="00EE6C7C">
        <w:rPr>
          <w:rFonts w:cs="Arial" w:hint="cs"/>
          <w:sz w:val="20"/>
          <w:szCs w:val="20"/>
          <w:rtl/>
        </w:rPr>
        <w:t>תחלה</w:t>
      </w:r>
      <w:r w:rsidRPr="00EE6C7C">
        <w:rPr>
          <w:rFonts w:cs="Arial"/>
          <w:sz w:val="20"/>
          <w:szCs w:val="20"/>
          <w:rtl/>
        </w:rPr>
        <w:t xml:space="preserve"> </w:t>
      </w:r>
      <w:r w:rsidRPr="00EE6C7C">
        <w:rPr>
          <w:rFonts w:cs="Arial" w:hint="cs"/>
          <w:sz w:val="20"/>
          <w:szCs w:val="20"/>
          <w:rtl/>
        </w:rPr>
        <w:t>אלא</w:t>
      </w:r>
      <w:r w:rsidRPr="00EE6C7C">
        <w:rPr>
          <w:rFonts w:cs="Arial"/>
          <w:sz w:val="20"/>
          <w:szCs w:val="20"/>
          <w:rtl/>
        </w:rPr>
        <w:t xml:space="preserve"> </w:t>
      </w:r>
      <w:r w:rsidRPr="00EE6C7C">
        <w:rPr>
          <w:rFonts w:cs="Arial" w:hint="cs"/>
          <w:sz w:val="20"/>
          <w:szCs w:val="20"/>
          <w:rtl/>
        </w:rPr>
        <w:t>מפני</w:t>
      </w:r>
      <w:r w:rsidRPr="00EE6C7C">
        <w:rPr>
          <w:rFonts w:cs="Arial"/>
          <w:sz w:val="20"/>
          <w:szCs w:val="20"/>
          <w:rtl/>
        </w:rPr>
        <w:t xml:space="preserve"> </w:t>
      </w:r>
      <w:r w:rsidRPr="00EE6C7C">
        <w:rPr>
          <w:rFonts w:cs="Arial" w:hint="cs"/>
          <w:sz w:val="20"/>
          <w:szCs w:val="20"/>
          <w:rtl/>
        </w:rPr>
        <w:t>שלא</w:t>
      </w:r>
      <w:r w:rsidRPr="00EE6C7C">
        <w:rPr>
          <w:rFonts w:cs="Arial"/>
          <w:sz w:val="20"/>
          <w:szCs w:val="20"/>
          <w:rtl/>
        </w:rPr>
        <w:t xml:space="preserve"> </w:t>
      </w:r>
      <w:r w:rsidRPr="00EE6C7C">
        <w:rPr>
          <w:rFonts w:cs="Arial" w:hint="cs"/>
          <w:sz w:val="20"/>
          <w:szCs w:val="20"/>
          <w:rtl/>
        </w:rPr>
        <w:t>היה</w:t>
      </w:r>
      <w:r w:rsidRPr="00EE6C7C">
        <w:rPr>
          <w:rFonts w:cs="Arial"/>
          <w:sz w:val="20"/>
          <w:szCs w:val="20"/>
          <w:rtl/>
        </w:rPr>
        <w:t xml:space="preserve"> </w:t>
      </w:r>
      <w:r w:rsidRPr="00EE6C7C">
        <w:rPr>
          <w:rFonts w:cs="Arial" w:hint="cs"/>
          <w:sz w:val="20"/>
          <w:szCs w:val="20"/>
          <w:rtl/>
        </w:rPr>
        <w:t>בה</w:t>
      </w:r>
      <w:r w:rsidRPr="00EE6C7C">
        <w:rPr>
          <w:rFonts w:cs="Arial"/>
          <w:sz w:val="20"/>
          <w:szCs w:val="20"/>
          <w:rtl/>
        </w:rPr>
        <w:t xml:space="preserve"> </w:t>
      </w:r>
      <w:r w:rsidRPr="00EE6C7C">
        <w:rPr>
          <w:rFonts w:cs="Arial" w:hint="cs"/>
          <w:sz w:val="20"/>
          <w:szCs w:val="20"/>
          <w:rtl/>
        </w:rPr>
        <w:t>כח</w:t>
      </w:r>
      <w:r w:rsidRPr="00EE6C7C">
        <w:rPr>
          <w:rFonts w:cs="Arial"/>
          <w:sz w:val="20"/>
          <w:szCs w:val="20"/>
          <w:rtl/>
        </w:rPr>
        <w:t xml:space="preserve"> </w:t>
      </w:r>
      <w:r w:rsidRPr="00EE6C7C">
        <w:rPr>
          <w:rFonts w:cs="Arial" w:hint="cs"/>
          <w:sz w:val="20"/>
          <w:szCs w:val="20"/>
          <w:rtl/>
        </w:rPr>
        <w:t>לסבול</w:t>
      </w:r>
      <w:r w:rsidRPr="00EE6C7C">
        <w:rPr>
          <w:rFonts w:cs="Arial"/>
          <w:sz w:val="20"/>
          <w:szCs w:val="20"/>
          <w:rtl/>
        </w:rPr>
        <w:t xml:space="preserve"> </w:t>
      </w:r>
      <w:r w:rsidRPr="00EE6C7C">
        <w:rPr>
          <w:rFonts w:cs="Arial" w:hint="cs"/>
          <w:sz w:val="20"/>
          <w:szCs w:val="20"/>
          <w:rtl/>
        </w:rPr>
        <w:t>תשמיש</w:t>
      </w:r>
      <w:r w:rsidRPr="00EE6C7C">
        <w:rPr>
          <w:rFonts w:cs="Arial"/>
          <w:sz w:val="20"/>
          <w:szCs w:val="20"/>
          <w:rtl/>
        </w:rPr>
        <w:t xml:space="preserve">, </w:t>
      </w:r>
      <w:r w:rsidRPr="00EE6C7C">
        <w:rPr>
          <w:rFonts w:cs="Arial" w:hint="cs"/>
          <w:sz w:val="20"/>
          <w:szCs w:val="20"/>
          <w:rtl/>
        </w:rPr>
        <w:t>או</w:t>
      </w:r>
      <w:r w:rsidRPr="00EE6C7C">
        <w:rPr>
          <w:rFonts w:cs="Arial"/>
          <w:sz w:val="20"/>
          <w:szCs w:val="20"/>
          <w:rtl/>
        </w:rPr>
        <w:t xml:space="preserve"> </w:t>
      </w:r>
      <w:r w:rsidRPr="00EE6C7C">
        <w:rPr>
          <w:rFonts w:cs="Arial" w:hint="cs"/>
          <w:sz w:val="20"/>
          <w:szCs w:val="20"/>
          <w:rtl/>
        </w:rPr>
        <w:t>טענה</w:t>
      </w:r>
      <w:r w:rsidRPr="00EE6C7C">
        <w:rPr>
          <w:rFonts w:cs="Arial"/>
          <w:sz w:val="20"/>
          <w:szCs w:val="20"/>
          <w:rtl/>
        </w:rPr>
        <w:t xml:space="preserve"> </w:t>
      </w:r>
      <w:r w:rsidRPr="00EE6C7C">
        <w:rPr>
          <w:rFonts w:cs="Arial" w:hint="cs"/>
          <w:sz w:val="20"/>
          <w:szCs w:val="20"/>
          <w:rtl/>
        </w:rPr>
        <w:t>אחרת</w:t>
      </w:r>
      <w:r w:rsidRPr="00EE6C7C">
        <w:rPr>
          <w:rFonts w:cs="Arial"/>
          <w:sz w:val="20"/>
          <w:szCs w:val="20"/>
          <w:rtl/>
        </w:rPr>
        <w:t xml:space="preserve"> </w:t>
      </w:r>
      <w:r w:rsidRPr="00EE6C7C">
        <w:rPr>
          <w:rFonts w:cs="Arial" w:hint="cs"/>
          <w:sz w:val="20"/>
          <w:szCs w:val="20"/>
          <w:rtl/>
        </w:rPr>
        <w:t>כיוצא</w:t>
      </w:r>
      <w:r w:rsidRPr="00EE6C7C">
        <w:rPr>
          <w:rFonts w:cs="Arial"/>
          <w:sz w:val="20"/>
          <w:szCs w:val="20"/>
          <w:rtl/>
        </w:rPr>
        <w:t xml:space="preserve"> </w:t>
      </w:r>
      <w:r w:rsidRPr="00EE6C7C">
        <w:rPr>
          <w:rFonts w:cs="Arial" w:hint="cs"/>
          <w:sz w:val="20"/>
          <w:szCs w:val="20"/>
          <w:rtl/>
        </w:rPr>
        <w:t>בזה</w:t>
      </w:r>
      <w:r w:rsidRPr="00EE6C7C">
        <w:rPr>
          <w:rFonts w:cs="Arial"/>
          <w:sz w:val="20"/>
          <w:szCs w:val="20"/>
          <w:rtl/>
        </w:rPr>
        <w:t xml:space="preserve">, </w:t>
      </w:r>
      <w:r w:rsidRPr="00EE6C7C">
        <w:rPr>
          <w:rFonts w:cs="Arial" w:hint="cs"/>
          <w:sz w:val="20"/>
          <w:szCs w:val="20"/>
          <w:rtl/>
        </w:rPr>
        <w:t>נאמנת</w:t>
      </w:r>
      <w:r w:rsidRPr="00EE6C7C">
        <w:rPr>
          <w:rFonts w:cs="Arial"/>
          <w:sz w:val="20"/>
          <w:szCs w:val="20"/>
          <w:rtl/>
        </w:rPr>
        <w:t xml:space="preserve">. </w:t>
      </w:r>
      <w:r w:rsidRPr="00EE6C7C">
        <w:rPr>
          <w:rFonts w:cs="Arial" w:hint="cs"/>
          <w:sz w:val="18"/>
          <w:szCs w:val="18"/>
          <w:rtl/>
        </w:rPr>
        <w:t>הגה</w:t>
      </w:r>
      <w:r w:rsidRPr="00EE6C7C">
        <w:rPr>
          <w:rFonts w:cs="Arial"/>
          <w:sz w:val="18"/>
          <w:szCs w:val="18"/>
          <w:rtl/>
        </w:rPr>
        <w:t xml:space="preserve">: </w:t>
      </w:r>
      <w:r w:rsidRPr="00EE6C7C">
        <w:rPr>
          <w:rFonts w:cs="Arial" w:hint="cs"/>
          <w:sz w:val="18"/>
          <w:szCs w:val="18"/>
          <w:rtl/>
        </w:rPr>
        <w:t>ומכל</w:t>
      </w:r>
      <w:r w:rsidRPr="00EE6C7C">
        <w:rPr>
          <w:rFonts w:cs="Arial"/>
          <w:sz w:val="18"/>
          <w:szCs w:val="18"/>
          <w:rtl/>
        </w:rPr>
        <w:t xml:space="preserve"> </w:t>
      </w:r>
      <w:r w:rsidRPr="00EE6C7C">
        <w:rPr>
          <w:rFonts w:cs="Arial" w:hint="cs"/>
          <w:sz w:val="18"/>
          <w:szCs w:val="18"/>
          <w:rtl/>
        </w:rPr>
        <w:t>מקום</w:t>
      </w:r>
      <w:r w:rsidRPr="00EE6C7C">
        <w:rPr>
          <w:rFonts w:cs="Arial"/>
          <w:sz w:val="18"/>
          <w:szCs w:val="18"/>
          <w:rtl/>
        </w:rPr>
        <w:t xml:space="preserve"> </w:t>
      </w:r>
      <w:r w:rsidRPr="00EE6C7C">
        <w:rPr>
          <w:rFonts w:cs="Arial" w:hint="cs"/>
          <w:sz w:val="18"/>
          <w:szCs w:val="18"/>
          <w:rtl/>
        </w:rPr>
        <w:t>מי</w:t>
      </w:r>
      <w:r w:rsidRPr="00EE6C7C">
        <w:rPr>
          <w:rFonts w:cs="Arial"/>
          <w:sz w:val="18"/>
          <w:szCs w:val="18"/>
          <w:rtl/>
        </w:rPr>
        <w:t xml:space="preserve"> </w:t>
      </w:r>
      <w:r w:rsidRPr="00EE6C7C">
        <w:rPr>
          <w:rFonts w:cs="Arial" w:hint="cs"/>
          <w:sz w:val="18"/>
          <w:szCs w:val="18"/>
          <w:rtl/>
        </w:rPr>
        <w:t>שרוצה</w:t>
      </w:r>
      <w:r w:rsidRPr="00EE6C7C">
        <w:rPr>
          <w:rFonts w:cs="Arial"/>
          <w:sz w:val="18"/>
          <w:szCs w:val="18"/>
          <w:rtl/>
        </w:rPr>
        <w:t xml:space="preserve"> </w:t>
      </w:r>
      <w:r w:rsidRPr="00EE6C7C">
        <w:rPr>
          <w:rFonts w:cs="Arial" w:hint="cs"/>
          <w:sz w:val="18"/>
          <w:szCs w:val="18"/>
          <w:rtl/>
        </w:rPr>
        <w:t>להחמיר</w:t>
      </w:r>
      <w:r w:rsidRPr="00EE6C7C">
        <w:rPr>
          <w:rFonts w:cs="Arial"/>
          <w:sz w:val="18"/>
          <w:szCs w:val="18"/>
          <w:rtl/>
        </w:rPr>
        <w:t xml:space="preserve"> </w:t>
      </w:r>
      <w:r w:rsidRPr="00EE6C7C">
        <w:rPr>
          <w:rFonts w:cs="Arial" w:hint="cs"/>
          <w:sz w:val="18"/>
          <w:szCs w:val="18"/>
          <w:rtl/>
        </w:rPr>
        <w:t>על</w:t>
      </w:r>
      <w:r w:rsidRPr="00EE6C7C">
        <w:rPr>
          <w:rFonts w:cs="Arial"/>
          <w:sz w:val="18"/>
          <w:szCs w:val="18"/>
          <w:rtl/>
        </w:rPr>
        <w:t xml:space="preserve"> </w:t>
      </w:r>
      <w:r w:rsidRPr="00EE6C7C">
        <w:rPr>
          <w:rFonts w:cs="Arial" w:hint="cs"/>
          <w:sz w:val="18"/>
          <w:szCs w:val="18"/>
          <w:rtl/>
        </w:rPr>
        <w:t>עצמו</w:t>
      </w:r>
      <w:r w:rsidRPr="00EE6C7C">
        <w:rPr>
          <w:rFonts w:cs="Arial"/>
          <w:sz w:val="18"/>
          <w:szCs w:val="18"/>
          <w:rtl/>
        </w:rPr>
        <w:t xml:space="preserve">, </w:t>
      </w:r>
      <w:r w:rsidRPr="00EE6C7C">
        <w:rPr>
          <w:rFonts w:cs="Arial" w:hint="cs"/>
          <w:sz w:val="18"/>
          <w:szCs w:val="18"/>
          <w:rtl/>
        </w:rPr>
        <w:t>שלא</w:t>
      </w:r>
      <w:r w:rsidRPr="00EE6C7C">
        <w:rPr>
          <w:rFonts w:cs="Arial"/>
          <w:sz w:val="18"/>
          <w:szCs w:val="18"/>
          <w:rtl/>
        </w:rPr>
        <w:t xml:space="preserve"> </w:t>
      </w:r>
      <w:r w:rsidRPr="00EE6C7C">
        <w:rPr>
          <w:rFonts w:cs="Arial" w:hint="cs"/>
          <w:sz w:val="18"/>
          <w:szCs w:val="18"/>
          <w:rtl/>
        </w:rPr>
        <w:t>להאמין</w:t>
      </w:r>
      <w:r w:rsidRPr="00EE6C7C">
        <w:rPr>
          <w:rFonts w:cs="Arial"/>
          <w:sz w:val="18"/>
          <w:szCs w:val="18"/>
          <w:rtl/>
        </w:rPr>
        <w:t xml:space="preserve"> </w:t>
      </w:r>
      <w:r w:rsidRPr="00EE6C7C">
        <w:rPr>
          <w:rFonts w:cs="Arial" w:hint="cs"/>
          <w:sz w:val="18"/>
          <w:szCs w:val="18"/>
          <w:rtl/>
        </w:rPr>
        <w:t>לה</w:t>
      </w:r>
      <w:r w:rsidRPr="00EE6C7C">
        <w:rPr>
          <w:rFonts w:cs="Arial"/>
          <w:sz w:val="18"/>
          <w:szCs w:val="18"/>
          <w:rtl/>
        </w:rPr>
        <w:t xml:space="preserve">, </w:t>
      </w:r>
      <w:r w:rsidRPr="00EE6C7C">
        <w:rPr>
          <w:rFonts w:cs="Arial" w:hint="cs"/>
          <w:sz w:val="18"/>
          <w:szCs w:val="18"/>
          <w:rtl/>
        </w:rPr>
        <w:t>מדת</w:t>
      </w:r>
      <w:r w:rsidRPr="00EE6C7C">
        <w:rPr>
          <w:rFonts w:cs="Arial"/>
          <w:sz w:val="18"/>
          <w:szCs w:val="18"/>
          <w:rtl/>
        </w:rPr>
        <w:t xml:space="preserve"> </w:t>
      </w:r>
      <w:r w:rsidRPr="00EE6C7C">
        <w:rPr>
          <w:rFonts w:cs="Arial" w:hint="cs"/>
          <w:sz w:val="18"/>
          <w:szCs w:val="18"/>
          <w:rtl/>
        </w:rPr>
        <w:t>חסידות</w:t>
      </w:r>
      <w:r w:rsidRPr="00EE6C7C">
        <w:rPr>
          <w:rFonts w:cs="Arial"/>
          <w:sz w:val="18"/>
          <w:szCs w:val="18"/>
          <w:rtl/>
        </w:rPr>
        <w:t xml:space="preserve"> </w:t>
      </w:r>
      <w:r w:rsidRPr="00EE6C7C">
        <w:rPr>
          <w:rFonts w:cs="Arial" w:hint="cs"/>
          <w:sz w:val="18"/>
          <w:szCs w:val="18"/>
          <w:rtl/>
        </w:rPr>
        <w:t>הוא</w:t>
      </w:r>
      <w:r w:rsidRPr="00EE6C7C">
        <w:rPr>
          <w:rFonts w:cs="Arial"/>
          <w:sz w:val="18"/>
          <w:szCs w:val="18"/>
          <w:rtl/>
        </w:rPr>
        <w:t xml:space="preserve">. </w:t>
      </w:r>
      <w:r w:rsidRPr="00EE6C7C">
        <w:rPr>
          <w:rFonts w:cs="Arial" w:hint="cs"/>
          <w:sz w:val="18"/>
          <w:szCs w:val="18"/>
          <w:rtl/>
        </w:rPr>
        <w:t>אבל</w:t>
      </w:r>
      <w:r w:rsidRPr="00EE6C7C">
        <w:rPr>
          <w:rFonts w:cs="Arial"/>
          <w:sz w:val="18"/>
          <w:szCs w:val="18"/>
          <w:rtl/>
        </w:rPr>
        <w:t xml:space="preserve"> </w:t>
      </w:r>
      <w:r w:rsidRPr="00EE6C7C">
        <w:rPr>
          <w:rFonts w:cs="Arial" w:hint="cs"/>
          <w:sz w:val="18"/>
          <w:szCs w:val="18"/>
          <w:rtl/>
        </w:rPr>
        <w:t>מדינא</w:t>
      </w:r>
      <w:r w:rsidRPr="00EE6C7C">
        <w:rPr>
          <w:rFonts w:cs="Arial"/>
          <w:sz w:val="18"/>
          <w:szCs w:val="18"/>
          <w:rtl/>
        </w:rPr>
        <w:t xml:space="preserve"> </w:t>
      </w:r>
      <w:r w:rsidRPr="00EE6C7C">
        <w:rPr>
          <w:rFonts w:cs="Arial" w:hint="cs"/>
          <w:sz w:val="18"/>
          <w:szCs w:val="18"/>
          <w:rtl/>
        </w:rPr>
        <w:t>נאמנת</w:t>
      </w:r>
      <w:r w:rsidRPr="00EE6C7C">
        <w:rPr>
          <w:rFonts w:cs="Arial"/>
          <w:sz w:val="18"/>
          <w:szCs w:val="18"/>
          <w:rtl/>
        </w:rPr>
        <w:t xml:space="preserve">, </w:t>
      </w:r>
      <w:r w:rsidRPr="00EE6C7C">
        <w:rPr>
          <w:rFonts w:cs="Arial" w:hint="cs"/>
          <w:sz w:val="18"/>
          <w:szCs w:val="18"/>
          <w:rtl/>
        </w:rPr>
        <w:t>אפילו</w:t>
      </w:r>
      <w:r w:rsidRPr="00EE6C7C">
        <w:rPr>
          <w:rFonts w:cs="Arial"/>
          <w:sz w:val="18"/>
          <w:szCs w:val="18"/>
          <w:rtl/>
        </w:rPr>
        <w:t xml:space="preserve"> </w:t>
      </w:r>
      <w:r w:rsidRPr="00EE6C7C">
        <w:rPr>
          <w:rFonts w:cs="Arial" w:hint="cs"/>
          <w:sz w:val="18"/>
          <w:szCs w:val="18"/>
          <w:rtl/>
        </w:rPr>
        <w:t>בשתיקה</w:t>
      </w:r>
      <w:r w:rsidRPr="00EE6C7C">
        <w:rPr>
          <w:rFonts w:cs="Arial"/>
          <w:sz w:val="18"/>
          <w:szCs w:val="18"/>
          <w:rtl/>
        </w:rPr>
        <w:t xml:space="preserve"> </w:t>
      </w:r>
      <w:r w:rsidRPr="00EE6C7C">
        <w:rPr>
          <w:rFonts w:cs="Arial" w:hint="cs"/>
          <w:sz w:val="18"/>
          <w:szCs w:val="18"/>
          <w:rtl/>
        </w:rPr>
        <w:t>אח</w:t>
      </w:r>
      <w:r>
        <w:rPr>
          <w:rFonts w:cs="Arial" w:hint="cs"/>
          <w:sz w:val="18"/>
          <w:szCs w:val="18"/>
          <w:rtl/>
        </w:rPr>
        <w:t xml:space="preserve">ר </w:t>
      </w:r>
      <w:r w:rsidRPr="00EE6C7C">
        <w:rPr>
          <w:rFonts w:cs="Arial" w:hint="cs"/>
          <w:sz w:val="18"/>
          <w:szCs w:val="18"/>
          <w:rtl/>
        </w:rPr>
        <w:t>כ</w:t>
      </w:r>
      <w:r>
        <w:rPr>
          <w:rFonts w:cs="Arial" w:hint="cs"/>
          <w:sz w:val="18"/>
          <w:szCs w:val="18"/>
          <w:rtl/>
        </w:rPr>
        <w:t>ך</w:t>
      </w:r>
      <w:r w:rsidRPr="00EE6C7C">
        <w:rPr>
          <w:rFonts w:cs="Arial"/>
          <w:sz w:val="18"/>
          <w:szCs w:val="18"/>
          <w:rtl/>
        </w:rPr>
        <w:t xml:space="preserve"> </w:t>
      </w:r>
      <w:r w:rsidRPr="00EE6C7C">
        <w:rPr>
          <w:rFonts w:cs="Arial" w:hint="cs"/>
          <w:sz w:val="18"/>
          <w:szCs w:val="18"/>
          <w:rtl/>
        </w:rPr>
        <w:t>רק</w:t>
      </w:r>
      <w:r w:rsidRPr="00EE6C7C">
        <w:rPr>
          <w:rFonts w:cs="Arial"/>
          <w:sz w:val="18"/>
          <w:szCs w:val="18"/>
          <w:rtl/>
        </w:rPr>
        <w:t xml:space="preserve"> </w:t>
      </w:r>
      <w:r w:rsidRPr="00EE6C7C">
        <w:rPr>
          <w:rFonts w:cs="Arial" w:hint="cs"/>
          <w:sz w:val="18"/>
          <w:szCs w:val="18"/>
          <w:rtl/>
        </w:rPr>
        <w:t>שהיא</w:t>
      </w:r>
      <w:r w:rsidRPr="00EE6C7C">
        <w:rPr>
          <w:rFonts w:cs="Arial"/>
          <w:sz w:val="18"/>
          <w:szCs w:val="18"/>
          <w:rtl/>
        </w:rPr>
        <w:t xml:space="preserve"> </w:t>
      </w:r>
      <w:r w:rsidRPr="00EE6C7C">
        <w:rPr>
          <w:rFonts w:cs="Arial" w:hint="cs"/>
          <w:sz w:val="18"/>
          <w:szCs w:val="18"/>
          <w:rtl/>
        </w:rPr>
        <w:t>באה</w:t>
      </w:r>
      <w:r w:rsidRPr="00EE6C7C">
        <w:rPr>
          <w:rFonts w:cs="Arial"/>
          <w:sz w:val="18"/>
          <w:szCs w:val="18"/>
          <w:rtl/>
        </w:rPr>
        <w:t xml:space="preserve"> </w:t>
      </w:r>
      <w:r w:rsidRPr="00EE6C7C">
        <w:rPr>
          <w:rFonts w:cs="Arial" w:hint="cs"/>
          <w:sz w:val="18"/>
          <w:szCs w:val="18"/>
          <w:rtl/>
        </w:rPr>
        <w:t>ושוכבת</w:t>
      </w:r>
      <w:r w:rsidRPr="00EE6C7C">
        <w:rPr>
          <w:rFonts w:cs="Arial"/>
          <w:sz w:val="18"/>
          <w:szCs w:val="18"/>
          <w:rtl/>
        </w:rPr>
        <w:t xml:space="preserve"> </w:t>
      </w:r>
      <w:r w:rsidRPr="00EE6C7C">
        <w:rPr>
          <w:rFonts w:cs="Arial" w:hint="cs"/>
          <w:sz w:val="18"/>
          <w:szCs w:val="18"/>
          <w:rtl/>
        </w:rPr>
        <w:t>אצל</w:t>
      </w:r>
      <w:r w:rsidRPr="00EE6C7C">
        <w:rPr>
          <w:rFonts w:cs="Arial"/>
          <w:sz w:val="18"/>
          <w:szCs w:val="18"/>
          <w:rtl/>
        </w:rPr>
        <w:t xml:space="preserve"> </w:t>
      </w:r>
      <w:r w:rsidRPr="00EE6C7C">
        <w:rPr>
          <w:rFonts w:cs="Arial" w:hint="cs"/>
          <w:sz w:val="18"/>
          <w:szCs w:val="18"/>
          <w:rtl/>
        </w:rPr>
        <w:t>בעלה</w:t>
      </w:r>
      <w:r w:rsidRPr="00EE6C7C">
        <w:rPr>
          <w:rFonts w:cs="Arial"/>
          <w:sz w:val="18"/>
          <w:szCs w:val="18"/>
          <w:rtl/>
        </w:rPr>
        <w:t xml:space="preserve"> </w:t>
      </w:r>
      <w:r w:rsidRPr="00EE6C7C">
        <w:rPr>
          <w:rFonts w:cs="Arial" w:hint="cs"/>
          <w:sz w:val="18"/>
          <w:szCs w:val="18"/>
          <w:rtl/>
        </w:rPr>
        <w:t>והוא</w:t>
      </w:r>
      <w:r w:rsidRPr="00EE6C7C">
        <w:rPr>
          <w:rFonts w:cs="Arial"/>
          <w:sz w:val="18"/>
          <w:szCs w:val="18"/>
          <w:rtl/>
        </w:rPr>
        <w:t xml:space="preserve"> </w:t>
      </w:r>
      <w:r w:rsidRPr="00EE6C7C">
        <w:rPr>
          <w:rFonts w:cs="Arial" w:hint="cs"/>
          <w:sz w:val="18"/>
          <w:szCs w:val="18"/>
          <w:rtl/>
        </w:rPr>
        <w:t>יודע</w:t>
      </w:r>
      <w:r w:rsidRPr="00EE6C7C">
        <w:rPr>
          <w:rFonts w:cs="Arial"/>
          <w:sz w:val="18"/>
          <w:szCs w:val="18"/>
          <w:rtl/>
        </w:rPr>
        <w:t xml:space="preserve"> </w:t>
      </w:r>
      <w:r w:rsidRPr="00EE6C7C">
        <w:rPr>
          <w:rFonts w:cs="Arial" w:hint="cs"/>
          <w:sz w:val="18"/>
          <w:szCs w:val="18"/>
          <w:rtl/>
        </w:rPr>
        <w:t>ומכיר</w:t>
      </w:r>
      <w:r w:rsidRPr="00EE6C7C">
        <w:rPr>
          <w:rFonts w:cs="Arial"/>
          <w:sz w:val="18"/>
          <w:szCs w:val="18"/>
          <w:rtl/>
        </w:rPr>
        <w:t xml:space="preserve"> </w:t>
      </w:r>
      <w:r w:rsidRPr="00EE6C7C">
        <w:rPr>
          <w:rFonts w:cs="Arial" w:hint="cs"/>
          <w:sz w:val="18"/>
          <w:szCs w:val="18"/>
          <w:rtl/>
        </w:rPr>
        <w:t>שמה</w:t>
      </w:r>
      <w:r w:rsidRPr="00EE6C7C">
        <w:rPr>
          <w:rFonts w:cs="Arial"/>
          <w:sz w:val="18"/>
          <w:szCs w:val="18"/>
          <w:rtl/>
        </w:rPr>
        <w:t xml:space="preserve"> </w:t>
      </w:r>
      <w:r w:rsidRPr="00EE6C7C">
        <w:rPr>
          <w:rFonts w:cs="Arial" w:hint="cs"/>
          <w:sz w:val="18"/>
          <w:szCs w:val="18"/>
          <w:rtl/>
        </w:rPr>
        <w:t>שאמרה</w:t>
      </w:r>
      <w:r w:rsidRPr="00EE6C7C">
        <w:rPr>
          <w:rFonts w:cs="Arial"/>
          <w:sz w:val="18"/>
          <w:szCs w:val="18"/>
          <w:rtl/>
        </w:rPr>
        <w:t xml:space="preserve"> </w:t>
      </w:r>
      <w:r w:rsidRPr="00EE6C7C">
        <w:rPr>
          <w:rFonts w:cs="Arial" w:hint="cs"/>
          <w:sz w:val="18"/>
          <w:szCs w:val="18"/>
          <w:rtl/>
        </w:rPr>
        <w:t>תחלה</w:t>
      </w:r>
      <w:r w:rsidRPr="00EE6C7C">
        <w:rPr>
          <w:rFonts w:cs="Arial"/>
          <w:sz w:val="18"/>
          <w:szCs w:val="18"/>
          <w:rtl/>
        </w:rPr>
        <w:t xml:space="preserve">: </w:t>
      </w:r>
      <w:r w:rsidRPr="00EE6C7C">
        <w:rPr>
          <w:rFonts w:cs="Arial" w:hint="cs"/>
          <w:sz w:val="18"/>
          <w:szCs w:val="18"/>
          <w:rtl/>
        </w:rPr>
        <w:t>טמאה</w:t>
      </w:r>
      <w:r w:rsidRPr="00EE6C7C">
        <w:rPr>
          <w:rFonts w:cs="Arial"/>
          <w:sz w:val="18"/>
          <w:szCs w:val="18"/>
          <w:rtl/>
        </w:rPr>
        <w:t xml:space="preserve"> </w:t>
      </w:r>
      <w:r w:rsidRPr="00EE6C7C">
        <w:rPr>
          <w:rFonts w:cs="Arial" w:hint="cs"/>
          <w:sz w:val="18"/>
          <w:szCs w:val="18"/>
          <w:rtl/>
        </w:rPr>
        <w:t>אני</w:t>
      </w:r>
      <w:r w:rsidRPr="00EE6C7C">
        <w:rPr>
          <w:rFonts w:cs="Arial"/>
          <w:sz w:val="18"/>
          <w:szCs w:val="18"/>
          <w:rtl/>
        </w:rPr>
        <w:t xml:space="preserve">, </w:t>
      </w:r>
      <w:r w:rsidRPr="00EE6C7C">
        <w:rPr>
          <w:rFonts w:cs="Arial" w:hint="cs"/>
          <w:sz w:val="18"/>
          <w:szCs w:val="18"/>
          <w:rtl/>
        </w:rPr>
        <w:t>עשתה</w:t>
      </w:r>
      <w:r w:rsidRPr="00EE6C7C">
        <w:rPr>
          <w:rFonts w:cs="Arial"/>
          <w:sz w:val="18"/>
          <w:szCs w:val="18"/>
          <w:rtl/>
        </w:rPr>
        <w:t xml:space="preserve"> </w:t>
      </w:r>
      <w:r w:rsidRPr="00EE6C7C">
        <w:rPr>
          <w:rFonts w:cs="Arial" w:hint="cs"/>
          <w:sz w:val="18"/>
          <w:szCs w:val="18"/>
          <w:rtl/>
        </w:rPr>
        <w:t>מחמת</w:t>
      </w:r>
      <w:r w:rsidRPr="00EE6C7C">
        <w:rPr>
          <w:rFonts w:cs="Arial"/>
          <w:sz w:val="18"/>
          <w:szCs w:val="18"/>
          <w:rtl/>
        </w:rPr>
        <w:t xml:space="preserve"> </w:t>
      </w:r>
      <w:r w:rsidRPr="00EE6C7C">
        <w:rPr>
          <w:rFonts w:cs="Arial" w:hint="cs"/>
          <w:sz w:val="18"/>
          <w:szCs w:val="18"/>
          <w:rtl/>
        </w:rPr>
        <w:t>קטטה</w:t>
      </w:r>
      <w:r w:rsidRPr="00EE6C7C">
        <w:rPr>
          <w:rFonts w:cs="Arial"/>
          <w:sz w:val="18"/>
          <w:szCs w:val="18"/>
          <w:rtl/>
        </w:rPr>
        <w:t xml:space="preserve"> </w:t>
      </w:r>
      <w:r w:rsidRPr="00EE6C7C">
        <w:rPr>
          <w:rFonts w:cs="Arial" w:hint="cs"/>
          <w:sz w:val="18"/>
          <w:szCs w:val="18"/>
          <w:rtl/>
        </w:rPr>
        <w:t>שהיה</w:t>
      </w:r>
      <w:r w:rsidRPr="00EE6C7C">
        <w:rPr>
          <w:rFonts w:cs="Arial"/>
          <w:sz w:val="18"/>
          <w:szCs w:val="18"/>
          <w:rtl/>
        </w:rPr>
        <w:t xml:space="preserve"> </w:t>
      </w:r>
      <w:r w:rsidRPr="00EE6C7C">
        <w:rPr>
          <w:rFonts w:cs="Arial" w:hint="cs"/>
          <w:sz w:val="18"/>
          <w:szCs w:val="18"/>
          <w:rtl/>
        </w:rPr>
        <w:t>לו</w:t>
      </w:r>
      <w:r w:rsidRPr="00EE6C7C">
        <w:rPr>
          <w:rFonts w:cs="Arial"/>
          <w:sz w:val="18"/>
          <w:szCs w:val="18"/>
          <w:rtl/>
        </w:rPr>
        <w:t xml:space="preserve"> </w:t>
      </w:r>
      <w:r w:rsidRPr="00EE6C7C">
        <w:rPr>
          <w:rFonts w:cs="Arial" w:hint="cs"/>
          <w:sz w:val="18"/>
          <w:szCs w:val="18"/>
          <w:rtl/>
        </w:rPr>
        <w:t>עמה</w:t>
      </w:r>
      <w:r w:rsidRPr="00EE6C7C">
        <w:rPr>
          <w:rFonts w:cs="Arial"/>
          <w:sz w:val="18"/>
          <w:szCs w:val="18"/>
          <w:rtl/>
        </w:rPr>
        <w:t xml:space="preserve">, </w:t>
      </w:r>
      <w:r w:rsidRPr="00EE6C7C">
        <w:rPr>
          <w:rFonts w:cs="Arial" w:hint="cs"/>
          <w:sz w:val="18"/>
          <w:szCs w:val="18"/>
          <w:rtl/>
        </w:rPr>
        <w:t>וכדומה</w:t>
      </w:r>
      <w:r w:rsidRPr="00EE6C7C">
        <w:rPr>
          <w:rFonts w:cs="Arial"/>
          <w:sz w:val="18"/>
          <w:szCs w:val="18"/>
          <w:rtl/>
        </w:rPr>
        <w:t xml:space="preserve"> </w:t>
      </w:r>
      <w:r w:rsidRPr="00EE6C7C">
        <w:rPr>
          <w:rFonts w:cs="Arial" w:hint="cs"/>
          <w:sz w:val="18"/>
          <w:szCs w:val="18"/>
          <w:rtl/>
        </w:rPr>
        <w:t>לזה".</w:t>
      </w:r>
      <w:r w:rsidRPr="00EE6C7C">
        <w:rPr>
          <w:rFonts w:cs="Arial"/>
          <w:sz w:val="18"/>
          <w:szCs w:val="18"/>
          <w:rtl/>
        </w:rPr>
        <w:t xml:space="preserve"> </w:t>
      </w:r>
      <w:r w:rsidRPr="00EE6C7C">
        <w:rPr>
          <w:rFonts w:cs="Arial" w:hint="cs"/>
          <w:sz w:val="18"/>
          <w:szCs w:val="18"/>
          <w:rtl/>
        </w:rPr>
        <w:t xml:space="preserve"> </w:t>
      </w:r>
    </w:p>
    <w:p w:rsidR="00620060" w:rsidRDefault="00620060" w:rsidP="00620060">
      <w:pPr>
        <w:rPr>
          <w:rFonts w:cs="Arial"/>
          <w:sz w:val="20"/>
          <w:szCs w:val="20"/>
          <w:rtl/>
        </w:rPr>
      </w:pPr>
      <w:r>
        <w:rPr>
          <w:rFonts w:cs="Arial" w:hint="cs"/>
          <w:sz w:val="20"/>
          <w:szCs w:val="20"/>
          <w:u w:val="single"/>
          <w:rtl/>
        </w:rPr>
        <w:t>באיזה אופן שכיבתה לצידו מהני</w:t>
      </w:r>
      <w:r>
        <w:rPr>
          <w:rFonts w:cs="Arial"/>
          <w:sz w:val="20"/>
          <w:szCs w:val="20"/>
          <w:u w:val="single"/>
          <w:rtl/>
        </w:rPr>
        <w:br/>
      </w:r>
      <w:r>
        <w:rPr>
          <w:rFonts w:cs="Arial" w:hint="cs"/>
          <w:sz w:val="20"/>
          <w:szCs w:val="20"/>
          <w:rtl/>
        </w:rPr>
        <w:t xml:space="preserve">א. </w:t>
      </w:r>
      <w:r w:rsidRPr="00FE49DB">
        <w:rPr>
          <w:rFonts w:cs="Arial" w:hint="cs"/>
          <w:b/>
          <w:bCs/>
          <w:sz w:val="20"/>
          <w:szCs w:val="20"/>
          <w:rtl/>
        </w:rPr>
        <w:t>ש"ך</w:t>
      </w:r>
      <w:r>
        <w:rPr>
          <w:rFonts w:cs="Arial" w:hint="cs"/>
          <w:sz w:val="20"/>
          <w:szCs w:val="20"/>
          <w:rtl/>
        </w:rPr>
        <w:t xml:space="preserve"> </w:t>
      </w:r>
      <w:r>
        <w:rPr>
          <w:rFonts w:cs="Arial"/>
          <w:sz w:val="20"/>
          <w:szCs w:val="20"/>
          <w:rtl/>
        </w:rPr>
        <w:t>–</w:t>
      </w:r>
      <w:r>
        <w:rPr>
          <w:rFonts w:cs="Arial" w:hint="cs"/>
          <w:sz w:val="20"/>
          <w:szCs w:val="20"/>
          <w:rtl/>
        </w:rPr>
        <w:t xml:space="preserve"> כוונת הרמ"א אינה שע"י השכיבה בלבד מוכח שטבלה, אלא הוא צריך לשאול אותה מדוע באה ועליו לשמוע ממנה שהיא טהורה</w:t>
      </w:r>
      <w:r>
        <w:rPr>
          <w:rStyle w:val="a5"/>
          <w:rFonts w:cs="Arial"/>
          <w:sz w:val="20"/>
          <w:szCs w:val="20"/>
          <w:rtl/>
        </w:rPr>
        <w:footnoteReference w:id="68"/>
      </w:r>
      <w:r>
        <w:rPr>
          <w:rFonts w:cs="Arial" w:hint="cs"/>
          <w:sz w:val="20"/>
          <w:szCs w:val="20"/>
          <w:rtl/>
        </w:rPr>
        <w:t>. והרמ"א בא להורות שלא תאמר ששכיבתה לאו כלום הוא וחייב מייד לפרוש ממנה.</w:t>
      </w:r>
      <w:r>
        <w:rPr>
          <w:rFonts w:cs="Arial" w:hint="cs"/>
          <w:sz w:val="20"/>
          <w:szCs w:val="20"/>
          <w:rtl/>
        </w:rPr>
        <w:br/>
        <w:t xml:space="preserve">ב. </w:t>
      </w:r>
      <w:r w:rsidRPr="000D45E7">
        <w:rPr>
          <w:rFonts w:cs="Arial" w:hint="cs"/>
          <w:b/>
          <w:bCs/>
          <w:sz w:val="20"/>
          <w:szCs w:val="20"/>
          <w:rtl/>
        </w:rPr>
        <w:t>תורת השלמים</w:t>
      </w:r>
      <w:r>
        <w:rPr>
          <w:rFonts w:cs="Arial" w:hint="cs"/>
          <w:sz w:val="20"/>
          <w:szCs w:val="20"/>
          <w:rtl/>
        </w:rPr>
        <w:t xml:space="preserve"> </w:t>
      </w:r>
      <w:r>
        <w:rPr>
          <w:rFonts w:cs="Arial"/>
          <w:sz w:val="20"/>
          <w:szCs w:val="20"/>
          <w:rtl/>
        </w:rPr>
        <w:t>–</w:t>
      </w:r>
      <w:r>
        <w:rPr>
          <w:rFonts w:cs="Arial" w:hint="cs"/>
          <w:sz w:val="20"/>
          <w:szCs w:val="20"/>
          <w:rtl/>
        </w:rPr>
        <w:t xml:space="preserve"> משמעות לשון הרמ"א אינה כש"ך, אלא בשכיבה לצידו לבד נאמנת.</w:t>
      </w:r>
    </w:p>
    <w:p w:rsidR="00620060" w:rsidRDefault="00620060" w:rsidP="00620060">
      <w:pPr>
        <w:rPr>
          <w:rFonts w:cs="Arial"/>
          <w:sz w:val="20"/>
          <w:szCs w:val="20"/>
          <w:u w:val="single"/>
          <w:rtl/>
        </w:rPr>
      </w:pPr>
      <w:r w:rsidRPr="006652F7">
        <w:rPr>
          <w:rFonts w:cs="Arial" w:hint="cs"/>
          <w:sz w:val="20"/>
          <w:szCs w:val="20"/>
          <w:u w:val="single"/>
          <w:rtl/>
        </w:rPr>
        <w:t>משטה הייתי בך</w:t>
      </w:r>
      <w:r>
        <w:rPr>
          <w:rFonts w:cs="Arial" w:hint="cs"/>
          <w:sz w:val="20"/>
          <w:szCs w:val="20"/>
          <w:u w:val="single"/>
          <w:rtl/>
        </w:rPr>
        <w:t xml:space="preserve"> (בית יוסף)</w:t>
      </w:r>
      <w:r>
        <w:rPr>
          <w:rFonts w:cs="Arial" w:hint="cs"/>
          <w:sz w:val="20"/>
          <w:szCs w:val="20"/>
          <w:u w:val="single"/>
          <w:rtl/>
        </w:rPr>
        <w:br/>
      </w:r>
      <w:r>
        <w:rPr>
          <w:rFonts w:cs="Arial" w:hint="cs"/>
          <w:sz w:val="20"/>
          <w:szCs w:val="20"/>
          <w:rtl/>
        </w:rPr>
        <w:t xml:space="preserve">א. </w:t>
      </w:r>
      <w:r>
        <w:rPr>
          <w:rFonts w:cs="Arial" w:hint="cs"/>
          <w:b/>
          <w:bCs/>
          <w:sz w:val="20"/>
          <w:szCs w:val="20"/>
          <w:rtl/>
        </w:rPr>
        <w:t>רמב"ם ו</w:t>
      </w:r>
      <w:r w:rsidRPr="006652F7">
        <w:rPr>
          <w:rFonts w:cs="Arial" w:hint="cs"/>
          <w:b/>
          <w:bCs/>
          <w:sz w:val="20"/>
          <w:szCs w:val="20"/>
          <w:rtl/>
        </w:rPr>
        <w:t>ספר התרומה</w:t>
      </w:r>
      <w:r w:rsidRPr="006652F7">
        <w:rPr>
          <w:rFonts w:cs="Arial" w:hint="cs"/>
          <w:sz w:val="20"/>
          <w:szCs w:val="20"/>
          <w:rtl/>
        </w:rPr>
        <w:t xml:space="preserve"> </w:t>
      </w:r>
      <w:r w:rsidRPr="006652F7">
        <w:rPr>
          <w:rFonts w:cs="Arial"/>
          <w:sz w:val="20"/>
          <w:szCs w:val="20"/>
          <w:rtl/>
        </w:rPr>
        <w:t>–</w:t>
      </w:r>
      <w:r w:rsidRPr="006652F7">
        <w:rPr>
          <w:rFonts w:cs="Arial" w:hint="cs"/>
          <w:sz w:val="20"/>
          <w:szCs w:val="20"/>
          <w:rtl/>
        </w:rPr>
        <w:t xml:space="preserve"> אמרה טמאה אני וחזרה ואמרה שאמרה זאת בצחוק, אינה נאמנת וטמאה.</w:t>
      </w:r>
      <w:r>
        <w:rPr>
          <w:rFonts w:cs="Arial" w:hint="cs"/>
          <w:sz w:val="20"/>
          <w:szCs w:val="20"/>
          <w:u w:val="single"/>
          <w:rtl/>
        </w:rPr>
        <w:br/>
      </w:r>
      <w:r w:rsidRPr="000128A8">
        <w:rPr>
          <w:rFonts w:cs="Arial" w:hint="cs"/>
          <w:sz w:val="20"/>
          <w:szCs w:val="20"/>
          <w:rtl/>
        </w:rPr>
        <w:t xml:space="preserve">ב. </w:t>
      </w:r>
      <w:r w:rsidRPr="000128A8">
        <w:rPr>
          <w:rFonts w:cs="Arial" w:hint="cs"/>
          <w:b/>
          <w:bCs/>
          <w:sz w:val="20"/>
          <w:szCs w:val="20"/>
          <w:rtl/>
        </w:rPr>
        <w:t>לחם ושמלה ופרדס רימונים</w:t>
      </w:r>
      <w:r w:rsidRPr="000128A8">
        <w:rPr>
          <w:rFonts w:cs="Arial" w:hint="cs"/>
          <w:sz w:val="20"/>
          <w:szCs w:val="20"/>
          <w:rtl/>
        </w:rPr>
        <w:t xml:space="preserve"> </w:t>
      </w:r>
      <w:r w:rsidRPr="000128A8">
        <w:rPr>
          <w:rFonts w:cs="Arial"/>
          <w:sz w:val="20"/>
          <w:szCs w:val="20"/>
          <w:rtl/>
        </w:rPr>
        <w:t>–</w:t>
      </w:r>
      <w:r w:rsidRPr="000128A8">
        <w:rPr>
          <w:rFonts w:cs="Arial" w:hint="cs"/>
          <w:sz w:val="20"/>
          <w:szCs w:val="20"/>
          <w:rtl/>
        </w:rPr>
        <w:t xml:space="preserve"> אם ברור לבעל שאמרה זאת בצחוק, נאמנת.</w:t>
      </w:r>
    </w:p>
    <w:p w:rsidR="00620060" w:rsidRDefault="00620060" w:rsidP="00620060">
      <w:pPr>
        <w:rPr>
          <w:rFonts w:cs="Arial"/>
          <w:sz w:val="20"/>
          <w:szCs w:val="20"/>
          <w:rtl/>
        </w:rPr>
      </w:pPr>
      <w:r>
        <w:rPr>
          <w:rFonts w:cs="Arial" w:hint="cs"/>
          <w:sz w:val="20"/>
          <w:szCs w:val="20"/>
          <w:u w:val="single"/>
          <w:rtl/>
        </w:rPr>
        <w:t>טהורה אני מיגו שטבלתי (פת"ש)</w:t>
      </w:r>
      <w:r>
        <w:rPr>
          <w:rFonts w:cs="Arial" w:hint="cs"/>
          <w:sz w:val="20"/>
          <w:szCs w:val="20"/>
          <w:u w:val="single"/>
          <w:rtl/>
        </w:rPr>
        <w:br/>
      </w:r>
      <w:r w:rsidRPr="008E5BDC">
        <w:rPr>
          <w:rFonts w:cs="Arial" w:hint="cs"/>
          <w:b/>
          <w:bCs/>
          <w:sz w:val="20"/>
          <w:szCs w:val="20"/>
          <w:rtl/>
        </w:rPr>
        <w:t>חוות דעת</w:t>
      </w:r>
      <w:r>
        <w:rPr>
          <w:rFonts w:cs="Arial" w:hint="cs"/>
          <w:sz w:val="20"/>
          <w:szCs w:val="20"/>
          <w:rtl/>
        </w:rPr>
        <w:t xml:space="preserve"> </w:t>
      </w:r>
      <w:r>
        <w:rPr>
          <w:rFonts w:cs="Arial"/>
          <w:sz w:val="20"/>
          <w:szCs w:val="20"/>
          <w:rtl/>
        </w:rPr>
        <w:t>–</w:t>
      </w:r>
      <w:r>
        <w:rPr>
          <w:rFonts w:cs="Arial" w:hint="cs"/>
          <w:sz w:val="20"/>
          <w:szCs w:val="20"/>
          <w:rtl/>
        </w:rPr>
        <w:t xml:space="preserve"> אמרה טמאה אני ולאחר כמה ימים אמרה טהורה אני, אע"פ שעברו די ימים כדי שתוכל להיטהר אינה נאמנת במיגו שיכולה לומר כעת שטבלה.</w:t>
      </w:r>
    </w:p>
    <w:p w:rsidR="00620060" w:rsidRDefault="00620060" w:rsidP="00620060">
      <w:pPr>
        <w:rPr>
          <w:rFonts w:cs="Arial"/>
          <w:sz w:val="20"/>
          <w:szCs w:val="20"/>
          <w:rtl/>
        </w:rPr>
      </w:pPr>
      <w:r>
        <w:rPr>
          <w:rFonts w:cs="Arial" w:hint="cs"/>
          <w:sz w:val="20"/>
          <w:szCs w:val="20"/>
          <w:u w:val="single"/>
          <w:rtl/>
        </w:rPr>
        <w:t>אמתלה לאחר שלושים יום (פת"ש)</w:t>
      </w:r>
      <w:r>
        <w:rPr>
          <w:rFonts w:cs="Arial" w:hint="cs"/>
          <w:sz w:val="20"/>
          <w:szCs w:val="20"/>
          <w:u w:val="single"/>
          <w:rtl/>
        </w:rPr>
        <w:br/>
      </w:r>
      <w:r w:rsidRPr="008E5BDC">
        <w:rPr>
          <w:rFonts w:cs="Arial" w:hint="cs"/>
          <w:b/>
          <w:bCs/>
          <w:sz w:val="20"/>
          <w:szCs w:val="20"/>
          <w:rtl/>
        </w:rPr>
        <w:t>דגול מרבבה</w:t>
      </w:r>
      <w:r>
        <w:rPr>
          <w:rFonts w:cs="Arial" w:hint="cs"/>
          <w:sz w:val="20"/>
          <w:szCs w:val="20"/>
          <w:rtl/>
        </w:rPr>
        <w:t xml:space="preserve"> </w:t>
      </w:r>
      <w:r>
        <w:rPr>
          <w:rFonts w:cs="Arial"/>
          <w:sz w:val="20"/>
          <w:szCs w:val="20"/>
          <w:rtl/>
        </w:rPr>
        <w:t>–</w:t>
      </w:r>
      <w:r>
        <w:rPr>
          <w:rFonts w:cs="Arial" w:hint="cs"/>
          <w:sz w:val="20"/>
          <w:szCs w:val="20"/>
          <w:rtl/>
        </w:rPr>
        <w:t xml:space="preserve"> אשה האומרת במשך שלושים יום שהיא טמאה, אין מועיל לה לומר אחר כך אמתלה.</w:t>
      </w:r>
      <w:r>
        <w:rPr>
          <w:rFonts w:cs="Arial" w:hint="cs"/>
          <w:sz w:val="20"/>
          <w:szCs w:val="20"/>
          <w:rtl/>
        </w:rPr>
        <w:br/>
      </w:r>
      <w:r w:rsidRPr="00046EB8">
        <w:rPr>
          <w:rFonts w:cs="Arial" w:hint="cs"/>
          <w:b/>
          <w:bCs/>
          <w:sz w:val="20"/>
          <w:szCs w:val="20"/>
          <w:rtl/>
        </w:rPr>
        <w:t xml:space="preserve">טעם </w:t>
      </w:r>
      <w:r>
        <w:rPr>
          <w:rFonts w:cs="Arial"/>
          <w:sz w:val="20"/>
          <w:szCs w:val="20"/>
          <w:rtl/>
        </w:rPr>
        <w:t>–</w:t>
      </w:r>
      <w:r>
        <w:rPr>
          <w:rFonts w:cs="Arial" w:hint="cs"/>
          <w:sz w:val="20"/>
          <w:szCs w:val="20"/>
          <w:rtl/>
        </w:rPr>
        <w:t xml:space="preserve"> לאחר ל' יום הוי חזקה גמורה.</w:t>
      </w:r>
    </w:p>
    <w:p w:rsidR="00620060" w:rsidRPr="006C325A" w:rsidRDefault="00620060" w:rsidP="00620060">
      <w:pPr>
        <w:rPr>
          <w:rFonts w:cs="Arial"/>
          <w:sz w:val="20"/>
          <w:szCs w:val="20"/>
          <w:rtl/>
        </w:rPr>
      </w:pPr>
      <w:r>
        <w:rPr>
          <w:rFonts w:cs="Arial" w:hint="cs"/>
          <w:sz w:val="20"/>
          <w:szCs w:val="20"/>
          <w:u w:val="single"/>
          <w:rtl/>
        </w:rPr>
        <w:t>אשה האומרת שטעתה בחשבון הימים (פת"ש)</w:t>
      </w:r>
      <w:r>
        <w:rPr>
          <w:rFonts w:cs="Arial"/>
          <w:sz w:val="20"/>
          <w:szCs w:val="20"/>
          <w:u w:val="single"/>
          <w:rtl/>
        </w:rPr>
        <w:br/>
      </w:r>
      <w:r w:rsidRPr="00575AFB">
        <w:rPr>
          <w:rFonts w:cs="Arial" w:hint="cs"/>
          <w:b/>
          <w:bCs/>
          <w:sz w:val="20"/>
          <w:szCs w:val="20"/>
          <w:rtl/>
        </w:rPr>
        <w:t>חתם סופר</w:t>
      </w:r>
      <w:r>
        <w:rPr>
          <w:rFonts w:cs="Arial" w:hint="cs"/>
          <w:sz w:val="20"/>
          <w:szCs w:val="20"/>
          <w:rtl/>
        </w:rPr>
        <w:t xml:space="preserve"> </w:t>
      </w:r>
      <w:r>
        <w:rPr>
          <w:rFonts w:cs="Arial"/>
          <w:sz w:val="20"/>
          <w:szCs w:val="20"/>
          <w:rtl/>
        </w:rPr>
        <w:t>–</w:t>
      </w:r>
      <w:r>
        <w:rPr>
          <w:rFonts w:cs="Arial" w:hint="cs"/>
          <w:sz w:val="20"/>
          <w:szCs w:val="20"/>
          <w:rtl/>
        </w:rPr>
        <w:t xml:space="preserve"> אשה שאמרה לבעלה שביום ד' יגיע זמן טבילתה, ולאחר מכן אמרה לו שטעתה בחשבון הימים וטבילתה ביום ג', האם נאמנת?</w:t>
      </w:r>
      <w:r>
        <w:rPr>
          <w:rFonts w:cs="Arial" w:hint="cs"/>
          <w:sz w:val="20"/>
          <w:szCs w:val="20"/>
          <w:rtl/>
        </w:rPr>
        <w:br/>
      </w:r>
      <w:r w:rsidRPr="00575AFB">
        <w:rPr>
          <w:rFonts w:cs="Arial" w:hint="cs"/>
          <w:sz w:val="20"/>
          <w:szCs w:val="20"/>
          <w:u w:val="single"/>
          <w:rtl/>
        </w:rPr>
        <w:t>תשובה</w:t>
      </w:r>
      <w:r>
        <w:rPr>
          <w:rFonts w:cs="Arial" w:hint="cs"/>
          <w:sz w:val="20"/>
          <w:szCs w:val="20"/>
          <w:rtl/>
        </w:rPr>
        <w:t xml:space="preserve"> </w:t>
      </w:r>
      <w:r>
        <w:rPr>
          <w:rFonts w:cs="Arial"/>
          <w:sz w:val="20"/>
          <w:szCs w:val="20"/>
          <w:rtl/>
        </w:rPr>
        <w:t>–</w:t>
      </w:r>
      <w:r>
        <w:rPr>
          <w:rFonts w:cs="Arial" w:hint="cs"/>
          <w:sz w:val="20"/>
          <w:szCs w:val="20"/>
          <w:rtl/>
        </w:rPr>
        <w:t xml:space="preserve"> אם אמרה לו ביום ג' שטעתה והיום צריכה לטבול, חיישינן שמא משתוקקת לביאת הערב ולכן אמרה כן, אך אם אמרה זאת כמה ימים קודם נאמנת, משום שהתורה האמינה לה ואין לחוש בכה"ג לשקר.</w:t>
      </w:r>
    </w:p>
    <w:p w:rsidR="00620060" w:rsidRDefault="00620060" w:rsidP="00620060">
      <w:pPr>
        <w:rPr>
          <w:rFonts w:cs="Arial"/>
          <w:sz w:val="20"/>
          <w:szCs w:val="20"/>
          <w:rtl/>
        </w:rPr>
      </w:pPr>
      <w:r w:rsidRPr="00D2309A">
        <w:rPr>
          <w:rStyle w:val="10"/>
          <w:rFonts w:hint="cs"/>
          <w:sz w:val="22"/>
          <w:szCs w:val="22"/>
          <w:rtl/>
        </w:rPr>
        <w:t>ב.</w:t>
      </w:r>
      <w:r w:rsidRPr="00D2309A">
        <w:rPr>
          <w:rFonts w:cs="Arial" w:hint="cs"/>
          <w:sz w:val="18"/>
          <w:szCs w:val="18"/>
          <w:rtl/>
        </w:rPr>
        <w:t xml:space="preserve"> </w:t>
      </w:r>
      <w:r>
        <w:rPr>
          <w:rFonts w:cs="Arial" w:hint="cs"/>
          <w:b/>
          <w:bCs/>
          <w:sz w:val="20"/>
          <w:szCs w:val="20"/>
          <w:rtl/>
        </w:rPr>
        <w:t>לבשה בגדי נידות ונותנת אמתלה</w:t>
      </w:r>
      <w:r>
        <w:rPr>
          <w:rFonts w:cs="Arial"/>
          <w:b/>
          <w:bCs/>
          <w:sz w:val="20"/>
          <w:szCs w:val="20"/>
          <w:rtl/>
        </w:rPr>
        <w:br/>
      </w:r>
      <w:r w:rsidRPr="00DE33B5">
        <w:rPr>
          <w:rFonts w:cs="Arial" w:hint="cs"/>
          <w:b/>
          <w:bCs/>
          <w:sz w:val="20"/>
          <w:szCs w:val="20"/>
          <w:rtl/>
        </w:rPr>
        <w:t>רשב"א</w:t>
      </w:r>
      <w:r>
        <w:rPr>
          <w:rFonts w:cs="Arial" w:hint="cs"/>
          <w:sz w:val="20"/>
          <w:szCs w:val="20"/>
          <w:rtl/>
        </w:rPr>
        <w:t xml:space="preserve"> </w:t>
      </w:r>
      <w:r>
        <w:rPr>
          <w:rFonts w:cs="Arial"/>
          <w:sz w:val="20"/>
          <w:szCs w:val="20"/>
          <w:rtl/>
        </w:rPr>
        <w:t>–</w:t>
      </w:r>
      <w:r>
        <w:rPr>
          <w:rFonts w:cs="Arial" w:hint="cs"/>
          <w:sz w:val="20"/>
          <w:szCs w:val="20"/>
          <w:rtl/>
        </w:rPr>
        <w:t xml:space="preserve"> אשה שלבשה בגדי נידות, אינה נאמנת לתת אמתלה ולומר שהיא אינה טמאה, וכ"פ </w:t>
      </w:r>
      <w:r w:rsidRPr="00DE33B5">
        <w:rPr>
          <w:rFonts w:cs="Arial" w:hint="cs"/>
          <w:b/>
          <w:bCs/>
          <w:sz w:val="20"/>
          <w:szCs w:val="20"/>
          <w:rtl/>
        </w:rPr>
        <w:t>המחבר</w:t>
      </w:r>
      <w:r>
        <w:rPr>
          <w:rFonts w:cs="Arial" w:hint="cs"/>
          <w:sz w:val="20"/>
          <w:szCs w:val="20"/>
          <w:rtl/>
        </w:rPr>
        <w:t>.</w:t>
      </w:r>
      <w:r>
        <w:rPr>
          <w:rFonts w:cs="Arial" w:hint="cs"/>
          <w:sz w:val="20"/>
          <w:szCs w:val="20"/>
          <w:rtl/>
        </w:rPr>
        <w:br/>
      </w:r>
      <w:r w:rsidRPr="007D0D40">
        <w:rPr>
          <w:rFonts w:cs="Arial" w:hint="cs"/>
          <w:b/>
          <w:bCs/>
          <w:sz w:val="20"/>
          <w:szCs w:val="20"/>
          <w:rtl/>
        </w:rPr>
        <w:t>ראיה</w:t>
      </w:r>
      <w:r>
        <w:rPr>
          <w:rFonts w:cs="Arial" w:hint="cs"/>
          <w:sz w:val="20"/>
          <w:szCs w:val="20"/>
          <w:rtl/>
        </w:rPr>
        <w:t xml:space="preserve"> </w:t>
      </w:r>
      <w:r>
        <w:rPr>
          <w:rFonts w:cs="Arial"/>
          <w:sz w:val="20"/>
          <w:szCs w:val="20"/>
          <w:rtl/>
        </w:rPr>
        <w:t>–</w:t>
      </w:r>
      <w:r>
        <w:rPr>
          <w:rFonts w:cs="Arial" w:hint="cs"/>
          <w:sz w:val="20"/>
          <w:szCs w:val="20"/>
          <w:rtl/>
        </w:rPr>
        <w:t xml:space="preserve"> </w:t>
      </w:r>
      <w:r w:rsidRPr="007D0D40">
        <w:rPr>
          <w:rFonts w:cs="Arial" w:hint="cs"/>
          <w:b/>
          <w:bCs/>
          <w:sz w:val="20"/>
          <w:szCs w:val="20"/>
          <w:rtl/>
        </w:rPr>
        <w:t>משנה</w:t>
      </w:r>
      <w:r>
        <w:rPr>
          <w:rFonts w:cs="Arial" w:hint="cs"/>
          <w:sz w:val="20"/>
          <w:szCs w:val="20"/>
          <w:rtl/>
        </w:rPr>
        <w:t xml:space="preserve"> כתובות (עב.) "</w:t>
      </w:r>
      <w:r w:rsidRPr="00E103A0">
        <w:rPr>
          <w:rFonts w:cs="Arial" w:hint="cs"/>
          <w:sz w:val="20"/>
          <w:szCs w:val="20"/>
          <w:rtl/>
        </w:rPr>
        <w:t>אלו</w:t>
      </w:r>
      <w:r w:rsidRPr="00E103A0">
        <w:rPr>
          <w:rFonts w:cs="Arial"/>
          <w:sz w:val="20"/>
          <w:szCs w:val="20"/>
          <w:rtl/>
        </w:rPr>
        <w:t xml:space="preserve"> </w:t>
      </w:r>
      <w:r w:rsidRPr="00E103A0">
        <w:rPr>
          <w:rFonts w:cs="Arial" w:hint="cs"/>
          <w:sz w:val="20"/>
          <w:szCs w:val="20"/>
          <w:rtl/>
        </w:rPr>
        <w:t>יוצאות</w:t>
      </w:r>
      <w:r w:rsidRPr="00E103A0">
        <w:rPr>
          <w:rFonts w:cs="Arial"/>
          <w:sz w:val="20"/>
          <w:szCs w:val="20"/>
          <w:rtl/>
        </w:rPr>
        <w:t xml:space="preserve"> </w:t>
      </w:r>
      <w:r w:rsidRPr="00E103A0">
        <w:rPr>
          <w:rFonts w:cs="Arial" w:hint="cs"/>
          <w:sz w:val="20"/>
          <w:szCs w:val="20"/>
          <w:rtl/>
        </w:rPr>
        <w:t>שלא</w:t>
      </w:r>
      <w:r w:rsidRPr="00E103A0">
        <w:rPr>
          <w:rFonts w:cs="Arial"/>
          <w:sz w:val="20"/>
          <w:szCs w:val="20"/>
          <w:rtl/>
        </w:rPr>
        <w:t xml:space="preserve"> </w:t>
      </w:r>
      <w:r w:rsidRPr="00E103A0">
        <w:rPr>
          <w:rFonts w:cs="Arial" w:hint="cs"/>
          <w:sz w:val="20"/>
          <w:szCs w:val="20"/>
          <w:rtl/>
        </w:rPr>
        <w:t>בכתובה</w:t>
      </w:r>
      <w:r w:rsidRPr="00E103A0">
        <w:rPr>
          <w:rFonts w:cs="Arial"/>
          <w:sz w:val="20"/>
          <w:szCs w:val="20"/>
          <w:rtl/>
        </w:rPr>
        <w:t xml:space="preserve">: </w:t>
      </w:r>
      <w:r w:rsidRPr="00E103A0">
        <w:rPr>
          <w:rFonts w:cs="Arial" w:hint="cs"/>
          <w:sz w:val="20"/>
          <w:szCs w:val="20"/>
          <w:rtl/>
        </w:rPr>
        <w:t>העוברת</w:t>
      </w:r>
      <w:r w:rsidRPr="00E103A0">
        <w:rPr>
          <w:rFonts w:cs="Arial"/>
          <w:sz w:val="20"/>
          <w:szCs w:val="20"/>
          <w:rtl/>
        </w:rPr>
        <w:t xml:space="preserve"> </w:t>
      </w:r>
      <w:r w:rsidRPr="00E103A0">
        <w:rPr>
          <w:rFonts w:cs="Arial" w:hint="cs"/>
          <w:sz w:val="20"/>
          <w:szCs w:val="20"/>
          <w:rtl/>
        </w:rPr>
        <w:t>על</w:t>
      </w:r>
      <w:r w:rsidRPr="00E103A0">
        <w:rPr>
          <w:rFonts w:cs="Arial"/>
          <w:sz w:val="20"/>
          <w:szCs w:val="20"/>
          <w:rtl/>
        </w:rPr>
        <w:t xml:space="preserve"> </w:t>
      </w:r>
      <w:r w:rsidRPr="00E103A0">
        <w:rPr>
          <w:rFonts w:cs="Arial" w:hint="cs"/>
          <w:sz w:val="20"/>
          <w:szCs w:val="20"/>
          <w:rtl/>
        </w:rPr>
        <w:t>דת</w:t>
      </w:r>
      <w:r w:rsidRPr="00E103A0">
        <w:rPr>
          <w:rFonts w:cs="Arial"/>
          <w:sz w:val="20"/>
          <w:szCs w:val="20"/>
          <w:rtl/>
        </w:rPr>
        <w:t xml:space="preserve"> </w:t>
      </w:r>
      <w:r w:rsidRPr="00E103A0">
        <w:rPr>
          <w:rFonts w:cs="Arial" w:hint="cs"/>
          <w:sz w:val="20"/>
          <w:szCs w:val="20"/>
          <w:rtl/>
        </w:rPr>
        <w:t>משה</w:t>
      </w:r>
      <w:r w:rsidRPr="00E103A0">
        <w:rPr>
          <w:rFonts w:cs="Arial"/>
          <w:sz w:val="20"/>
          <w:szCs w:val="20"/>
          <w:rtl/>
        </w:rPr>
        <w:t xml:space="preserve"> </w:t>
      </w:r>
      <w:r w:rsidRPr="00E103A0">
        <w:rPr>
          <w:rFonts w:cs="Arial" w:hint="cs"/>
          <w:sz w:val="20"/>
          <w:szCs w:val="20"/>
          <w:rtl/>
        </w:rPr>
        <w:t>ויהודית</w:t>
      </w:r>
      <w:r w:rsidRPr="00E103A0">
        <w:rPr>
          <w:rFonts w:cs="Arial"/>
          <w:sz w:val="20"/>
          <w:szCs w:val="20"/>
          <w:rtl/>
        </w:rPr>
        <w:t xml:space="preserve">. </w:t>
      </w:r>
      <w:r w:rsidRPr="00E103A0">
        <w:rPr>
          <w:rFonts w:cs="Arial" w:hint="cs"/>
          <w:sz w:val="20"/>
          <w:szCs w:val="20"/>
          <w:rtl/>
        </w:rPr>
        <w:t>ואיזו</w:t>
      </w:r>
      <w:r w:rsidRPr="00E103A0">
        <w:rPr>
          <w:rFonts w:cs="Arial"/>
          <w:sz w:val="20"/>
          <w:szCs w:val="20"/>
          <w:rtl/>
        </w:rPr>
        <w:t xml:space="preserve"> </w:t>
      </w:r>
      <w:r w:rsidRPr="00E103A0">
        <w:rPr>
          <w:rFonts w:cs="Arial" w:hint="cs"/>
          <w:sz w:val="20"/>
          <w:szCs w:val="20"/>
          <w:rtl/>
        </w:rPr>
        <w:t>היא</w:t>
      </w:r>
      <w:r w:rsidRPr="00E103A0">
        <w:rPr>
          <w:rFonts w:cs="Arial"/>
          <w:sz w:val="20"/>
          <w:szCs w:val="20"/>
          <w:rtl/>
        </w:rPr>
        <w:t xml:space="preserve"> </w:t>
      </w:r>
      <w:r w:rsidRPr="00E103A0">
        <w:rPr>
          <w:rFonts w:cs="Arial" w:hint="cs"/>
          <w:sz w:val="20"/>
          <w:szCs w:val="20"/>
          <w:rtl/>
        </w:rPr>
        <w:t>דת</w:t>
      </w:r>
      <w:r w:rsidRPr="00E103A0">
        <w:rPr>
          <w:rFonts w:cs="Arial"/>
          <w:sz w:val="20"/>
          <w:szCs w:val="20"/>
          <w:rtl/>
        </w:rPr>
        <w:t xml:space="preserve"> </w:t>
      </w:r>
      <w:r w:rsidRPr="00E103A0">
        <w:rPr>
          <w:rFonts w:cs="Arial" w:hint="cs"/>
          <w:sz w:val="20"/>
          <w:szCs w:val="20"/>
          <w:rtl/>
        </w:rPr>
        <w:t>משה</w:t>
      </w:r>
      <w:r w:rsidRPr="00E103A0">
        <w:rPr>
          <w:rFonts w:cs="Arial"/>
          <w:sz w:val="20"/>
          <w:szCs w:val="20"/>
          <w:rtl/>
        </w:rPr>
        <w:t xml:space="preserve">? </w:t>
      </w:r>
      <w:r w:rsidRPr="00E103A0">
        <w:rPr>
          <w:rFonts w:cs="Arial" w:hint="cs"/>
          <w:sz w:val="20"/>
          <w:szCs w:val="20"/>
          <w:rtl/>
        </w:rPr>
        <w:t>משמשתו</w:t>
      </w:r>
      <w:r w:rsidRPr="00E103A0">
        <w:rPr>
          <w:rFonts w:cs="Arial"/>
          <w:sz w:val="20"/>
          <w:szCs w:val="20"/>
          <w:rtl/>
        </w:rPr>
        <w:t xml:space="preserve"> </w:t>
      </w:r>
      <w:r w:rsidRPr="00E103A0">
        <w:rPr>
          <w:rFonts w:cs="Arial" w:hint="cs"/>
          <w:sz w:val="20"/>
          <w:szCs w:val="20"/>
          <w:rtl/>
        </w:rPr>
        <w:t>נדה</w:t>
      </w:r>
      <w:r>
        <w:rPr>
          <w:rFonts w:cs="Arial" w:hint="cs"/>
          <w:sz w:val="20"/>
          <w:szCs w:val="20"/>
          <w:rtl/>
        </w:rPr>
        <w:t>..."</w:t>
      </w:r>
      <w:r w:rsidRPr="00E103A0">
        <w:rPr>
          <w:rFonts w:cs="Arial"/>
          <w:sz w:val="20"/>
          <w:szCs w:val="20"/>
          <w:rtl/>
        </w:rPr>
        <w:t xml:space="preserve"> </w:t>
      </w:r>
      <w:r>
        <w:rPr>
          <w:rFonts w:cs="Arial"/>
          <w:sz w:val="20"/>
          <w:szCs w:val="20"/>
          <w:rtl/>
        </w:rPr>
        <w:br/>
      </w:r>
      <w:r w:rsidRPr="00E103A0">
        <w:rPr>
          <w:rFonts w:cs="Arial" w:hint="cs"/>
          <w:b/>
          <w:bCs/>
          <w:sz w:val="20"/>
          <w:szCs w:val="20"/>
          <w:rtl/>
        </w:rPr>
        <w:t>גמרא</w:t>
      </w:r>
      <w:r>
        <w:rPr>
          <w:rFonts w:cs="Arial" w:hint="cs"/>
          <w:sz w:val="20"/>
          <w:szCs w:val="20"/>
          <w:rtl/>
        </w:rPr>
        <w:t xml:space="preserve"> (שם) "</w:t>
      </w:r>
      <w:r w:rsidRPr="00E103A0">
        <w:rPr>
          <w:rFonts w:cs="Arial" w:hint="cs"/>
          <w:sz w:val="20"/>
          <w:szCs w:val="20"/>
          <w:rtl/>
        </w:rPr>
        <w:t>היכי</w:t>
      </w:r>
      <w:r w:rsidRPr="00E103A0">
        <w:rPr>
          <w:rFonts w:cs="Arial"/>
          <w:sz w:val="20"/>
          <w:szCs w:val="20"/>
          <w:rtl/>
        </w:rPr>
        <w:t xml:space="preserve"> </w:t>
      </w:r>
      <w:r w:rsidRPr="00E103A0">
        <w:rPr>
          <w:rFonts w:cs="Arial" w:hint="cs"/>
          <w:sz w:val="20"/>
          <w:szCs w:val="20"/>
          <w:rtl/>
        </w:rPr>
        <w:t>דמי</w:t>
      </w:r>
      <w:r w:rsidRPr="00E103A0">
        <w:rPr>
          <w:rFonts w:cs="Arial"/>
          <w:sz w:val="20"/>
          <w:szCs w:val="20"/>
          <w:rtl/>
        </w:rPr>
        <w:t xml:space="preserve">? </w:t>
      </w:r>
      <w:r w:rsidRPr="00E103A0">
        <w:rPr>
          <w:rFonts w:cs="Arial" w:hint="cs"/>
          <w:sz w:val="20"/>
          <w:szCs w:val="20"/>
          <w:rtl/>
        </w:rPr>
        <w:t>אי</w:t>
      </w:r>
      <w:r w:rsidRPr="00E103A0">
        <w:rPr>
          <w:rFonts w:cs="Arial"/>
          <w:sz w:val="20"/>
          <w:szCs w:val="20"/>
          <w:rtl/>
        </w:rPr>
        <w:t xml:space="preserve"> </w:t>
      </w:r>
      <w:r w:rsidRPr="00E103A0">
        <w:rPr>
          <w:rFonts w:cs="Arial" w:hint="cs"/>
          <w:sz w:val="20"/>
          <w:szCs w:val="20"/>
          <w:rtl/>
        </w:rPr>
        <w:t>דידע</w:t>
      </w:r>
      <w:r w:rsidRPr="00E103A0">
        <w:rPr>
          <w:rFonts w:cs="Arial"/>
          <w:sz w:val="20"/>
          <w:szCs w:val="20"/>
          <w:rtl/>
        </w:rPr>
        <w:t xml:space="preserve"> </w:t>
      </w:r>
      <w:r w:rsidRPr="00E103A0">
        <w:rPr>
          <w:rFonts w:cs="Arial" w:hint="cs"/>
          <w:sz w:val="20"/>
          <w:szCs w:val="20"/>
          <w:rtl/>
        </w:rPr>
        <w:t>בה</w:t>
      </w:r>
      <w:r w:rsidRPr="00E103A0">
        <w:rPr>
          <w:rFonts w:cs="Arial"/>
          <w:sz w:val="20"/>
          <w:szCs w:val="20"/>
          <w:rtl/>
        </w:rPr>
        <w:t xml:space="preserve">, </w:t>
      </w:r>
      <w:r w:rsidRPr="00E103A0">
        <w:rPr>
          <w:rFonts w:cs="Arial" w:hint="cs"/>
          <w:sz w:val="20"/>
          <w:szCs w:val="20"/>
          <w:rtl/>
        </w:rPr>
        <w:t>נפרוש</w:t>
      </w:r>
      <w:r w:rsidRPr="00E103A0">
        <w:rPr>
          <w:rFonts w:cs="Arial"/>
          <w:sz w:val="20"/>
          <w:szCs w:val="20"/>
          <w:rtl/>
        </w:rPr>
        <w:t xml:space="preserve">! </w:t>
      </w:r>
      <w:r w:rsidRPr="00E103A0">
        <w:rPr>
          <w:rFonts w:cs="Arial" w:hint="cs"/>
          <w:sz w:val="20"/>
          <w:szCs w:val="20"/>
          <w:rtl/>
        </w:rPr>
        <w:t>אי</w:t>
      </w:r>
      <w:r w:rsidRPr="00E103A0">
        <w:rPr>
          <w:rFonts w:cs="Arial"/>
          <w:sz w:val="20"/>
          <w:szCs w:val="20"/>
          <w:rtl/>
        </w:rPr>
        <w:t xml:space="preserve"> </w:t>
      </w:r>
      <w:r w:rsidRPr="00E103A0">
        <w:rPr>
          <w:rFonts w:cs="Arial" w:hint="cs"/>
          <w:sz w:val="20"/>
          <w:szCs w:val="20"/>
          <w:rtl/>
        </w:rPr>
        <w:t>דלא</w:t>
      </w:r>
      <w:r w:rsidRPr="00E103A0">
        <w:rPr>
          <w:rFonts w:cs="Arial"/>
          <w:sz w:val="20"/>
          <w:szCs w:val="20"/>
          <w:rtl/>
        </w:rPr>
        <w:t xml:space="preserve"> </w:t>
      </w:r>
      <w:r w:rsidRPr="00E103A0">
        <w:rPr>
          <w:rFonts w:cs="Arial" w:hint="cs"/>
          <w:sz w:val="20"/>
          <w:szCs w:val="20"/>
          <w:rtl/>
        </w:rPr>
        <w:t>ידע</w:t>
      </w:r>
      <w:r w:rsidRPr="00E103A0">
        <w:rPr>
          <w:rFonts w:cs="Arial"/>
          <w:sz w:val="20"/>
          <w:szCs w:val="20"/>
          <w:rtl/>
        </w:rPr>
        <w:t xml:space="preserve">, </w:t>
      </w:r>
      <w:r w:rsidRPr="00E103A0">
        <w:rPr>
          <w:rFonts w:cs="Arial" w:hint="cs"/>
          <w:sz w:val="20"/>
          <w:szCs w:val="20"/>
          <w:rtl/>
        </w:rPr>
        <w:t>נסמוך</w:t>
      </w:r>
      <w:r w:rsidRPr="00E103A0">
        <w:rPr>
          <w:rFonts w:cs="Arial"/>
          <w:sz w:val="20"/>
          <w:szCs w:val="20"/>
          <w:rtl/>
        </w:rPr>
        <w:t xml:space="preserve"> </w:t>
      </w:r>
      <w:r w:rsidRPr="00E103A0">
        <w:rPr>
          <w:rFonts w:cs="Arial" w:hint="cs"/>
          <w:sz w:val="20"/>
          <w:szCs w:val="20"/>
          <w:rtl/>
        </w:rPr>
        <w:t>עילוה</w:t>
      </w:r>
      <w:r>
        <w:rPr>
          <w:rFonts w:cs="Arial"/>
          <w:sz w:val="20"/>
          <w:szCs w:val="20"/>
          <w:rtl/>
        </w:rPr>
        <w:t>!</w:t>
      </w:r>
      <w:r>
        <w:rPr>
          <w:rFonts w:cs="Arial" w:hint="cs"/>
          <w:sz w:val="20"/>
          <w:szCs w:val="20"/>
          <w:rtl/>
        </w:rPr>
        <w:t xml:space="preserve">... </w:t>
      </w:r>
      <w:r w:rsidRPr="00E103A0">
        <w:rPr>
          <w:rFonts w:cs="Arial" w:hint="cs"/>
          <w:sz w:val="20"/>
          <w:szCs w:val="20"/>
          <w:rtl/>
        </w:rPr>
        <w:t>לא</w:t>
      </w:r>
      <w:r w:rsidRPr="00E103A0">
        <w:rPr>
          <w:rFonts w:cs="Arial"/>
          <w:sz w:val="20"/>
          <w:szCs w:val="20"/>
          <w:rtl/>
        </w:rPr>
        <w:t xml:space="preserve"> </w:t>
      </w:r>
      <w:r w:rsidRPr="00E103A0">
        <w:rPr>
          <w:rFonts w:cs="Arial" w:hint="cs"/>
          <w:sz w:val="20"/>
          <w:szCs w:val="20"/>
          <w:rtl/>
        </w:rPr>
        <w:t>צריכא</w:t>
      </w:r>
      <w:r w:rsidRPr="00E103A0">
        <w:rPr>
          <w:rFonts w:cs="Arial"/>
          <w:sz w:val="20"/>
          <w:szCs w:val="20"/>
          <w:rtl/>
        </w:rPr>
        <w:t xml:space="preserve">, </w:t>
      </w:r>
      <w:r w:rsidRPr="00E103A0">
        <w:rPr>
          <w:rFonts w:cs="Arial" w:hint="cs"/>
          <w:sz w:val="20"/>
          <w:szCs w:val="20"/>
          <w:rtl/>
        </w:rPr>
        <w:t>דאמרה</w:t>
      </w:r>
      <w:r w:rsidRPr="00E103A0">
        <w:rPr>
          <w:rFonts w:cs="Arial"/>
          <w:sz w:val="20"/>
          <w:szCs w:val="20"/>
          <w:rtl/>
        </w:rPr>
        <w:t xml:space="preserve"> </w:t>
      </w:r>
      <w:r w:rsidRPr="00E103A0">
        <w:rPr>
          <w:rFonts w:cs="Arial" w:hint="cs"/>
          <w:sz w:val="20"/>
          <w:szCs w:val="20"/>
          <w:rtl/>
        </w:rPr>
        <w:t>ליה</w:t>
      </w:r>
      <w:r w:rsidRPr="00E103A0">
        <w:rPr>
          <w:rFonts w:cs="Arial"/>
          <w:sz w:val="20"/>
          <w:szCs w:val="20"/>
          <w:rtl/>
        </w:rPr>
        <w:t xml:space="preserve"> </w:t>
      </w:r>
      <w:r w:rsidRPr="00E103A0">
        <w:rPr>
          <w:rFonts w:cs="Arial" w:hint="cs"/>
          <w:sz w:val="20"/>
          <w:szCs w:val="20"/>
          <w:rtl/>
        </w:rPr>
        <w:t>פלוני</w:t>
      </w:r>
      <w:r w:rsidRPr="00E103A0">
        <w:rPr>
          <w:rFonts w:cs="Arial"/>
          <w:sz w:val="20"/>
          <w:szCs w:val="20"/>
          <w:rtl/>
        </w:rPr>
        <w:t xml:space="preserve"> </w:t>
      </w:r>
      <w:r w:rsidRPr="00E103A0">
        <w:rPr>
          <w:rFonts w:cs="Arial" w:hint="cs"/>
          <w:sz w:val="20"/>
          <w:szCs w:val="20"/>
          <w:rtl/>
        </w:rPr>
        <w:t>חכם</w:t>
      </w:r>
      <w:r w:rsidRPr="00E103A0">
        <w:rPr>
          <w:rFonts w:cs="Arial"/>
          <w:sz w:val="20"/>
          <w:szCs w:val="20"/>
          <w:rtl/>
        </w:rPr>
        <w:t xml:space="preserve"> </w:t>
      </w:r>
      <w:r w:rsidRPr="00E103A0">
        <w:rPr>
          <w:rFonts w:cs="Arial" w:hint="cs"/>
          <w:sz w:val="20"/>
          <w:szCs w:val="20"/>
          <w:rtl/>
        </w:rPr>
        <w:t>טיהר</w:t>
      </w:r>
      <w:r w:rsidRPr="00E103A0">
        <w:rPr>
          <w:rFonts w:cs="Arial"/>
          <w:sz w:val="20"/>
          <w:szCs w:val="20"/>
          <w:rtl/>
        </w:rPr>
        <w:t xml:space="preserve"> </w:t>
      </w:r>
      <w:r w:rsidRPr="00E103A0">
        <w:rPr>
          <w:rFonts w:cs="Arial" w:hint="cs"/>
          <w:sz w:val="20"/>
          <w:szCs w:val="20"/>
          <w:rtl/>
        </w:rPr>
        <w:t>לי</w:t>
      </w:r>
      <w:r w:rsidRPr="00E103A0">
        <w:rPr>
          <w:rFonts w:cs="Arial"/>
          <w:sz w:val="20"/>
          <w:szCs w:val="20"/>
          <w:rtl/>
        </w:rPr>
        <w:t xml:space="preserve"> </w:t>
      </w:r>
      <w:r w:rsidRPr="00E103A0">
        <w:rPr>
          <w:rFonts w:cs="Arial" w:hint="cs"/>
          <w:sz w:val="20"/>
          <w:szCs w:val="20"/>
          <w:rtl/>
        </w:rPr>
        <w:t>את</w:t>
      </w:r>
      <w:r w:rsidRPr="00E103A0">
        <w:rPr>
          <w:rFonts w:cs="Arial"/>
          <w:sz w:val="20"/>
          <w:szCs w:val="20"/>
          <w:rtl/>
        </w:rPr>
        <w:t xml:space="preserve"> </w:t>
      </w:r>
      <w:r w:rsidRPr="00E103A0">
        <w:rPr>
          <w:rFonts w:cs="Arial" w:hint="cs"/>
          <w:sz w:val="20"/>
          <w:szCs w:val="20"/>
          <w:rtl/>
        </w:rPr>
        <w:t>הדם</w:t>
      </w:r>
      <w:r w:rsidRPr="00E103A0">
        <w:rPr>
          <w:rFonts w:cs="Arial"/>
          <w:sz w:val="20"/>
          <w:szCs w:val="20"/>
          <w:rtl/>
        </w:rPr>
        <w:t xml:space="preserve">, </w:t>
      </w:r>
      <w:r w:rsidRPr="00E103A0">
        <w:rPr>
          <w:rFonts w:cs="Arial" w:hint="cs"/>
          <w:sz w:val="20"/>
          <w:szCs w:val="20"/>
          <w:rtl/>
        </w:rPr>
        <w:t>ואזל</w:t>
      </w:r>
      <w:r w:rsidRPr="00E103A0">
        <w:rPr>
          <w:rFonts w:cs="Arial"/>
          <w:sz w:val="20"/>
          <w:szCs w:val="20"/>
          <w:rtl/>
        </w:rPr>
        <w:t xml:space="preserve"> </w:t>
      </w:r>
      <w:r w:rsidRPr="00E103A0">
        <w:rPr>
          <w:rFonts w:cs="Arial" w:hint="cs"/>
          <w:sz w:val="20"/>
          <w:szCs w:val="20"/>
          <w:rtl/>
        </w:rPr>
        <w:t>שייליה</w:t>
      </w:r>
      <w:r w:rsidRPr="00E103A0">
        <w:rPr>
          <w:rFonts w:cs="Arial"/>
          <w:sz w:val="20"/>
          <w:szCs w:val="20"/>
          <w:rtl/>
        </w:rPr>
        <w:t xml:space="preserve"> </w:t>
      </w:r>
      <w:r w:rsidRPr="00E103A0">
        <w:rPr>
          <w:rFonts w:cs="Arial" w:hint="cs"/>
          <w:sz w:val="20"/>
          <w:szCs w:val="20"/>
          <w:rtl/>
        </w:rPr>
        <w:t>ואשתכח</w:t>
      </w:r>
      <w:r w:rsidRPr="00E103A0">
        <w:rPr>
          <w:rFonts w:cs="Arial"/>
          <w:sz w:val="20"/>
          <w:szCs w:val="20"/>
          <w:rtl/>
        </w:rPr>
        <w:t xml:space="preserve"> </w:t>
      </w:r>
      <w:r w:rsidRPr="00E103A0">
        <w:rPr>
          <w:rFonts w:cs="Arial" w:hint="cs"/>
          <w:sz w:val="20"/>
          <w:szCs w:val="20"/>
          <w:rtl/>
        </w:rPr>
        <w:t>שיקרא</w:t>
      </w:r>
      <w:r w:rsidRPr="00E103A0">
        <w:rPr>
          <w:rFonts w:cs="Arial"/>
          <w:sz w:val="20"/>
          <w:szCs w:val="20"/>
          <w:rtl/>
        </w:rPr>
        <w:t xml:space="preserve">. </w:t>
      </w:r>
      <w:r w:rsidRPr="00E103A0">
        <w:rPr>
          <w:rFonts w:cs="Arial" w:hint="cs"/>
          <w:sz w:val="20"/>
          <w:szCs w:val="20"/>
          <w:u w:val="single"/>
          <w:rtl/>
        </w:rPr>
        <w:t>ואיבעית</w:t>
      </w:r>
      <w:r w:rsidRPr="00E103A0">
        <w:rPr>
          <w:rFonts w:cs="Arial"/>
          <w:sz w:val="20"/>
          <w:szCs w:val="20"/>
          <w:u w:val="single"/>
          <w:rtl/>
        </w:rPr>
        <w:t xml:space="preserve"> </w:t>
      </w:r>
      <w:r w:rsidRPr="00E103A0">
        <w:rPr>
          <w:rFonts w:cs="Arial" w:hint="cs"/>
          <w:sz w:val="20"/>
          <w:szCs w:val="20"/>
          <w:u w:val="single"/>
          <w:rtl/>
        </w:rPr>
        <w:t>אימא</w:t>
      </w:r>
      <w:r w:rsidRPr="00E103A0">
        <w:rPr>
          <w:rFonts w:cs="Arial"/>
          <w:sz w:val="20"/>
          <w:szCs w:val="20"/>
          <w:u w:val="single"/>
          <w:rtl/>
        </w:rPr>
        <w:t xml:space="preserve">: </w:t>
      </w:r>
      <w:r w:rsidRPr="00E103A0">
        <w:rPr>
          <w:rFonts w:cs="Arial" w:hint="cs"/>
          <w:sz w:val="20"/>
          <w:szCs w:val="20"/>
          <w:u w:val="single"/>
          <w:rtl/>
        </w:rPr>
        <w:t>כדרב</w:t>
      </w:r>
      <w:r w:rsidRPr="00E103A0">
        <w:rPr>
          <w:rFonts w:cs="Arial"/>
          <w:sz w:val="20"/>
          <w:szCs w:val="20"/>
          <w:u w:val="single"/>
          <w:rtl/>
        </w:rPr>
        <w:t xml:space="preserve"> </w:t>
      </w:r>
      <w:r w:rsidRPr="00E103A0">
        <w:rPr>
          <w:rFonts w:cs="Arial" w:hint="cs"/>
          <w:sz w:val="20"/>
          <w:szCs w:val="20"/>
          <w:u w:val="single"/>
          <w:rtl/>
        </w:rPr>
        <w:t>יהודה</w:t>
      </w:r>
      <w:r w:rsidRPr="00E103A0">
        <w:rPr>
          <w:rFonts w:cs="Arial"/>
          <w:sz w:val="20"/>
          <w:szCs w:val="20"/>
          <w:u w:val="single"/>
          <w:rtl/>
        </w:rPr>
        <w:t xml:space="preserve">, </w:t>
      </w:r>
      <w:r w:rsidRPr="00E103A0">
        <w:rPr>
          <w:rFonts w:cs="Arial" w:hint="cs"/>
          <w:sz w:val="20"/>
          <w:szCs w:val="20"/>
          <w:u w:val="single"/>
          <w:rtl/>
        </w:rPr>
        <w:t>דאמר</w:t>
      </w:r>
      <w:r w:rsidRPr="00E103A0">
        <w:rPr>
          <w:rFonts w:cs="Arial"/>
          <w:sz w:val="20"/>
          <w:szCs w:val="20"/>
          <w:u w:val="single"/>
          <w:rtl/>
        </w:rPr>
        <w:t xml:space="preserve"> </w:t>
      </w:r>
      <w:r w:rsidRPr="00E103A0">
        <w:rPr>
          <w:rFonts w:cs="Arial" w:hint="cs"/>
          <w:sz w:val="20"/>
          <w:szCs w:val="20"/>
          <w:u w:val="single"/>
          <w:rtl/>
        </w:rPr>
        <w:t>רב</w:t>
      </w:r>
      <w:r w:rsidRPr="00E103A0">
        <w:rPr>
          <w:rFonts w:cs="Arial"/>
          <w:sz w:val="20"/>
          <w:szCs w:val="20"/>
          <w:u w:val="single"/>
          <w:rtl/>
        </w:rPr>
        <w:t xml:space="preserve"> </w:t>
      </w:r>
      <w:r w:rsidRPr="00E103A0">
        <w:rPr>
          <w:rFonts w:cs="Arial" w:hint="cs"/>
          <w:sz w:val="20"/>
          <w:szCs w:val="20"/>
          <w:u w:val="single"/>
          <w:rtl/>
        </w:rPr>
        <w:t>יהודה</w:t>
      </w:r>
      <w:r w:rsidRPr="00E103A0">
        <w:rPr>
          <w:rFonts w:cs="Arial"/>
          <w:sz w:val="20"/>
          <w:szCs w:val="20"/>
          <w:u w:val="single"/>
          <w:rtl/>
        </w:rPr>
        <w:t xml:space="preserve">: </w:t>
      </w:r>
      <w:r w:rsidRPr="00E103A0">
        <w:rPr>
          <w:rFonts w:cs="Arial" w:hint="cs"/>
          <w:sz w:val="20"/>
          <w:szCs w:val="20"/>
          <w:u w:val="single"/>
          <w:rtl/>
        </w:rPr>
        <w:t>הוחזקה</w:t>
      </w:r>
      <w:r w:rsidRPr="00E103A0">
        <w:rPr>
          <w:rFonts w:cs="Arial"/>
          <w:sz w:val="20"/>
          <w:szCs w:val="20"/>
          <w:u w:val="single"/>
          <w:rtl/>
        </w:rPr>
        <w:t xml:space="preserve"> </w:t>
      </w:r>
      <w:r w:rsidRPr="00E103A0">
        <w:rPr>
          <w:rFonts w:cs="Arial" w:hint="cs"/>
          <w:sz w:val="20"/>
          <w:szCs w:val="20"/>
          <w:u w:val="single"/>
          <w:rtl/>
        </w:rPr>
        <w:t>נדה</w:t>
      </w:r>
      <w:r w:rsidRPr="00E103A0">
        <w:rPr>
          <w:rFonts w:cs="Arial"/>
          <w:sz w:val="20"/>
          <w:szCs w:val="20"/>
          <w:u w:val="single"/>
          <w:rtl/>
        </w:rPr>
        <w:t xml:space="preserve"> </w:t>
      </w:r>
      <w:r w:rsidRPr="00E103A0">
        <w:rPr>
          <w:rFonts w:cs="Arial" w:hint="cs"/>
          <w:sz w:val="20"/>
          <w:szCs w:val="20"/>
          <w:u w:val="single"/>
          <w:rtl/>
        </w:rPr>
        <w:t>בשכינותיה</w:t>
      </w:r>
      <w:r w:rsidRPr="00E103A0">
        <w:rPr>
          <w:rFonts w:cs="Arial"/>
          <w:sz w:val="20"/>
          <w:szCs w:val="20"/>
          <w:u w:val="single"/>
          <w:rtl/>
        </w:rPr>
        <w:t xml:space="preserve">, </w:t>
      </w:r>
      <w:r w:rsidRPr="00E103A0">
        <w:rPr>
          <w:rFonts w:cs="Arial" w:hint="cs"/>
          <w:sz w:val="20"/>
          <w:szCs w:val="20"/>
          <w:u w:val="single"/>
          <w:rtl/>
        </w:rPr>
        <w:t>בעלה</w:t>
      </w:r>
      <w:r w:rsidRPr="00E103A0">
        <w:rPr>
          <w:rFonts w:cs="Arial"/>
          <w:sz w:val="20"/>
          <w:szCs w:val="20"/>
          <w:u w:val="single"/>
          <w:rtl/>
        </w:rPr>
        <w:t xml:space="preserve"> </w:t>
      </w:r>
      <w:r w:rsidRPr="00E103A0">
        <w:rPr>
          <w:rFonts w:cs="Arial" w:hint="cs"/>
          <w:sz w:val="20"/>
          <w:szCs w:val="20"/>
          <w:u w:val="single"/>
          <w:rtl/>
        </w:rPr>
        <w:t>לוקה</w:t>
      </w:r>
      <w:r w:rsidRPr="00E103A0">
        <w:rPr>
          <w:rFonts w:cs="Arial"/>
          <w:sz w:val="20"/>
          <w:szCs w:val="20"/>
          <w:u w:val="single"/>
          <w:rtl/>
        </w:rPr>
        <w:t xml:space="preserve"> </w:t>
      </w:r>
      <w:r w:rsidRPr="00E103A0">
        <w:rPr>
          <w:rFonts w:cs="Arial" w:hint="cs"/>
          <w:sz w:val="20"/>
          <w:szCs w:val="20"/>
          <w:u w:val="single"/>
          <w:rtl/>
        </w:rPr>
        <w:t>עליה</w:t>
      </w:r>
      <w:r w:rsidRPr="00E103A0">
        <w:rPr>
          <w:rFonts w:cs="Arial"/>
          <w:sz w:val="20"/>
          <w:szCs w:val="20"/>
          <w:u w:val="single"/>
          <w:rtl/>
        </w:rPr>
        <w:t xml:space="preserve"> </w:t>
      </w:r>
      <w:r w:rsidRPr="00E103A0">
        <w:rPr>
          <w:rFonts w:cs="Arial" w:hint="cs"/>
          <w:sz w:val="20"/>
          <w:szCs w:val="20"/>
          <w:u w:val="single"/>
          <w:rtl/>
        </w:rPr>
        <w:t>משום</w:t>
      </w:r>
      <w:r w:rsidRPr="00E103A0">
        <w:rPr>
          <w:rFonts w:cs="Arial"/>
          <w:sz w:val="20"/>
          <w:szCs w:val="20"/>
          <w:u w:val="single"/>
          <w:rtl/>
        </w:rPr>
        <w:t xml:space="preserve"> </w:t>
      </w:r>
      <w:r w:rsidRPr="00E103A0">
        <w:rPr>
          <w:rFonts w:cs="Arial" w:hint="cs"/>
          <w:sz w:val="20"/>
          <w:szCs w:val="20"/>
          <w:u w:val="single"/>
          <w:rtl/>
        </w:rPr>
        <w:t>נדה</w:t>
      </w:r>
      <w:r>
        <w:rPr>
          <w:rFonts w:cs="Arial" w:hint="cs"/>
          <w:sz w:val="20"/>
          <w:szCs w:val="20"/>
          <w:rtl/>
        </w:rPr>
        <w:t>"</w:t>
      </w:r>
      <w:r w:rsidRPr="00E103A0">
        <w:rPr>
          <w:rFonts w:cs="Arial"/>
          <w:sz w:val="20"/>
          <w:szCs w:val="20"/>
          <w:rtl/>
        </w:rPr>
        <w:t>.</w:t>
      </w:r>
      <w:r>
        <w:rPr>
          <w:rFonts w:cs="Arial" w:hint="cs"/>
          <w:sz w:val="20"/>
          <w:szCs w:val="20"/>
          <w:rtl/>
        </w:rPr>
        <w:br/>
      </w:r>
      <w:r w:rsidRPr="007D0D40">
        <w:rPr>
          <w:rFonts w:cs="Arial" w:hint="cs"/>
          <w:sz w:val="20"/>
          <w:szCs w:val="20"/>
          <w:rtl/>
        </w:rPr>
        <w:t xml:space="preserve">הסבר </w:t>
      </w:r>
      <w:r>
        <w:rPr>
          <w:rFonts w:cs="Arial"/>
          <w:sz w:val="20"/>
          <w:szCs w:val="20"/>
          <w:rtl/>
        </w:rPr>
        <w:t>–</w:t>
      </w:r>
      <w:r>
        <w:rPr>
          <w:rFonts w:cs="Arial" w:hint="cs"/>
          <w:sz w:val="20"/>
          <w:szCs w:val="20"/>
          <w:rtl/>
        </w:rPr>
        <w:t xml:space="preserve"> מסתמא משמע שלאחר ששימשה עם בעלה נתנה אמתלה לכך כדי שלא תפסיד כתובתה, ואפילו הכי אינה נאמנת, </w:t>
      </w:r>
      <w:r w:rsidRPr="00E103A0">
        <w:rPr>
          <w:rFonts w:cs="Arial" w:hint="cs"/>
          <w:b/>
          <w:bCs/>
          <w:sz w:val="20"/>
          <w:szCs w:val="20"/>
          <w:rtl/>
        </w:rPr>
        <w:t>גר"א</w:t>
      </w:r>
      <w:r>
        <w:rPr>
          <w:rFonts w:cs="Arial" w:hint="cs"/>
          <w:sz w:val="20"/>
          <w:szCs w:val="20"/>
          <w:rtl/>
        </w:rPr>
        <w:t>.</w:t>
      </w:r>
      <w:r>
        <w:rPr>
          <w:rStyle w:val="a5"/>
          <w:rFonts w:cs="Arial"/>
          <w:sz w:val="20"/>
          <w:szCs w:val="20"/>
          <w:rtl/>
        </w:rPr>
        <w:footnoteReference w:id="69"/>
      </w:r>
      <w:r>
        <w:rPr>
          <w:rFonts w:cs="Arial" w:hint="cs"/>
          <w:sz w:val="20"/>
          <w:szCs w:val="20"/>
          <w:rtl/>
        </w:rPr>
        <w:t xml:space="preserve"> </w:t>
      </w:r>
    </w:p>
    <w:p w:rsidR="00620060" w:rsidRDefault="00620060" w:rsidP="00620060">
      <w:pPr>
        <w:rPr>
          <w:rFonts w:cs="Arial"/>
          <w:sz w:val="20"/>
          <w:szCs w:val="20"/>
          <w:rtl/>
        </w:rPr>
      </w:pPr>
      <w:r>
        <w:rPr>
          <w:rFonts w:cs="Arial" w:hint="cs"/>
          <w:b/>
          <w:bCs/>
          <w:sz w:val="20"/>
          <w:szCs w:val="20"/>
          <w:rtl/>
        </w:rPr>
        <w:t>ביאור דברי הרשב"א</w:t>
      </w:r>
      <w:r>
        <w:rPr>
          <w:rFonts w:cs="Arial"/>
          <w:sz w:val="20"/>
          <w:szCs w:val="20"/>
          <w:u w:val="single"/>
          <w:rtl/>
        </w:rPr>
        <w:br/>
      </w:r>
      <w:r w:rsidRPr="00F0223E">
        <w:rPr>
          <w:rFonts w:cs="Arial" w:hint="cs"/>
          <w:b/>
          <w:bCs/>
          <w:sz w:val="20"/>
          <w:szCs w:val="20"/>
          <w:rtl/>
        </w:rPr>
        <w:t>טור</w:t>
      </w:r>
      <w:r>
        <w:rPr>
          <w:rFonts w:cs="Arial" w:hint="cs"/>
          <w:sz w:val="20"/>
          <w:szCs w:val="20"/>
          <w:rtl/>
        </w:rPr>
        <w:t xml:space="preserve"> </w:t>
      </w:r>
      <w:r>
        <w:rPr>
          <w:rFonts w:cs="Arial"/>
          <w:sz w:val="20"/>
          <w:szCs w:val="20"/>
          <w:rtl/>
        </w:rPr>
        <w:t>–</w:t>
      </w:r>
      <w:r>
        <w:rPr>
          <w:rFonts w:cs="Arial" w:hint="cs"/>
          <w:sz w:val="20"/>
          <w:szCs w:val="20"/>
          <w:rtl/>
        </w:rPr>
        <w:t xml:space="preserve"> דברי הרשב"א קשים, מדוע אינה נאמנת באמתלה, וכי גרע מאומרת טמאה אני שנאמנת באמתלה?</w:t>
      </w:r>
      <w:r>
        <w:rPr>
          <w:rFonts w:cs="Arial"/>
          <w:sz w:val="20"/>
          <w:szCs w:val="20"/>
          <w:rtl/>
        </w:rPr>
        <w:br/>
      </w:r>
      <w:r w:rsidRPr="00F0223E">
        <w:rPr>
          <w:rFonts w:cs="Arial" w:hint="cs"/>
          <w:b/>
          <w:bCs/>
          <w:sz w:val="20"/>
          <w:szCs w:val="20"/>
          <w:rtl/>
        </w:rPr>
        <w:t>בית יוסף</w:t>
      </w:r>
      <w:r>
        <w:rPr>
          <w:rFonts w:cs="Arial" w:hint="cs"/>
          <w:sz w:val="20"/>
          <w:szCs w:val="20"/>
          <w:rtl/>
        </w:rPr>
        <w:t xml:space="preserve"> </w:t>
      </w:r>
      <w:r>
        <w:rPr>
          <w:rFonts w:cs="Arial"/>
          <w:sz w:val="20"/>
          <w:szCs w:val="20"/>
          <w:rtl/>
        </w:rPr>
        <w:t>–</w:t>
      </w:r>
      <w:r>
        <w:rPr>
          <w:rFonts w:cs="Arial" w:hint="cs"/>
          <w:sz w:val="20"/>
          <w:szCs w:val="20"/>
          <w:rtl/>
        </w:rPr>
        <w:t xml:space="preserve"> הרשב"א תירץ קושייה זאת בדבריו: משום בושה או אונס ייתכן שתאמר שהיא טמאה, אך לעשות מעשה וללבוש בגדי טומאה אינה עושה מחמת בושה או אונס אלא על כרחך היא טמאה, ולכן אמתלא אינה מועילה.</w:t>
      </w:r>
    </w:p>
    <w:p w:rsidR="00620060" w:rsidRDefault="00620060" w:rsidP="00620060">
      <w:pPr>
        <w:rPr>
          <w:rFonts w:cs="Arial"/>
          <w:sz w:val="20"/>
          <w:szCs w:val="20"/>
          <w:rtl/>
        </w:rPr>
      </w:pPr>
      <w:r>
        <w:rPr>
          <w:rFonts w:cs="Arial" w:hint="cs"/>
          <w:b/>
          <w:bCs/>
          <w:sz w:val="20"/>
          <w:szCs w:val="20"/>
          <w:rtl/>
        </w:rPr>
        <w:t>פסיקת הלכה</w:t>
      </w:r>
      <w:r>
        <w:rPr>
          <w:rFonts w:cs="Arial"/>
          <w:b/>
          <w:bCs/>
          <w:sz w:val="20"/>
          <w:szCs w:val="20"/>
          <w:rtl/>
        </w:rPr>
        <w:br/>
      </w:r>
      <w:r>
        <w:rPr>
          <w:rFonts w:cs="Arial" w:hint="cs"/>
          <w:b/>
          <w:bCs/>
          <w:sz w:val="20"/>
          <w:szCs w:val="20"/>
          <w:rtl/>
        </w:rPr>
        <w:t xml:space="preserve">שולחן ערוך </w:t>
      </w:r>
      <w:r>
        <w:rPr>
          <w:rFonts w:cs="Arial"/>
          <w:sz w:val="20"/>
          <w:szCs w:val="20"/>
          <w:rtl/>
        </w:rPr>
        <w:t>–</w:t>
      </w:r>
      <w:r>
        <w:rPr>
          <w:rFonts w:cs="Arial" w:hint="cs"/>
          <w:sz w:val="20"/>
          <w:szCs w:val="20"/>
          <w:rtl/>
        </w:rPr>
        <w:t xml:space="preserve"> "</w:t>
      </w:r>
      <w:r w:rsidRPr="00966D64">
        <w:rPr>
          <w:rFonts w:cs="Arial" w:hint="cs"/>
          <w:sz w:val="20"/>
          <w:szCs w:val="20"/>
          <w:rtl/>
        </w:rPr>
        <w:t>אבל</w:t>
      </w:r>
      <w:r w:rsidRPr="00966D64">
        <w:rPr>
          <w:rFonts w:cs="Arial"/>
          <w:sz w:val="20"/>
          <w:szCs w:val="20"/>
          <w:rtl/>
        </w:rPr>
        <w:t xml:space="preserve"> </w:t>
      </w:r>
      <w:r w:rsidRPr="00966D64">
        <w:rPr>
          <w:rFonts w:cs="Arial" w:hint="cs"/>
          <w:sz w:val="20"/>
          <w:szCs w:val="20"/>
          <w:rtl/>
        </w:rPr>
        <w:t>אם</w:t>
      </w:r>
      <w:r w:rsidRPr="00966D64">
        <w:rPr>
          <w:rFonts w:cs="Arial"/>
          <w:sz w:val="20"/>
          <w:szCs w:val="20"/>
          <w:rtl/>
        </w:rPr>
        <w:t xml:space="preserve"> </w:t>
      </w:r>
      <w:r w:rsidRPr="00966D64">
        <w:rPr>
          <w:rFonts w:cs="Arial" w:hint="cs"/>
          <w:sz w:val="20"/>
          <w:szCs w:val="20"/>
          <w:rtl/>
        </w:rPr>
        <w:t>ראוה</w:t>
      </w:r>
      <w:r w:rsidRPr="00966D64">
        <w:rPr>
          <w:rFonts w:cs="Arial"/>
          <w:sz w:val="20"/>
          <w:szCs w:val="20"/>
          <w:rtl/>
        </w:rPr>
        <w:t xml:space="preserve"> </w:t>
      </w:r>
      <w:r w:rsidRPr="00966D64">
        <w:rPr>
          <w:rFonts w:cs="Arial" w:hint="cs"/>
          <w:sz w:val="20"/>
          <w:szCs w:val="20"/>
          <w:rtl/>
        </w:rPr>
        <w:t>לובשת</w:t>
      </w:r>
      <w:r w:rsidRPr="00966D64">
        <w:rPr>
          <w:rFonts w:cs="Arial"/>
          <w:sz w:val="20"/>
          <w:szCs w:val="20"/>
          <w:rtl/>
        </w:rPr>
        <w:t xml:space="preserve"> </w:t>
      </w:r>
      <w:r w:rsidRPr="00966D64">
        <w:rPr>
          <w:rFonts w:cs="Arial" w:hint="cs"/>
          <w:sz w:val="20"/>
          <w:szCs w:val="20"/>
          <w:rtl/>
        </w:rPr>
        <w:t>בגדים</w:t>
      </w:r>
      <w:r w:rsidRPr="00966D64">
        <w:rPr>
          <w:rFonts w:cs="Arial"/>
          <w:sz w:val="20"/>
          <w:szCs w:val="20"/>
          <w:rtl/>
        </w:rPr>
        <w:t xml:space="preserve"> </w:t>
      </w:r>
      <w:r w:rsidRPr="00966D64">
        <w:rPr>
          <w:rFonts w:cs="Arial" w:hint="cs"/>
          <w:sz w:val="20"/>
          <w:szCs w:val="20"/>
          <w:rtl/>
        </w:rPr>
        <w:t>המיוחדים</w:t>
      </w:r>
      <w:r w:rsidRPr="00966D64">
        <w:rPr>
          <w:rFonts w:cs="Arial"/>
          <w:sz w:val="20"/>
          <w:szCs w:val="20"/>
          <w:rtl/>
        </w:rPr>
        <w:t xml:space="preserve"> </w:t>
      </w:r>
      <w:r w:rsidRPr="00966D64">
        <w:rPr>
          <w:rFonts w:cs="Arial" w:hint="cs"/>
          <w:sz w:val="20"/>
          <w:szCs w:val="20"/>
          <w:rtl/>
        </w:rPr>
        <w:t>לימי</w:t>
      </w:r>
      <w:r w:rsidRPr="00966D64">
        <w:rPr>
          <w:rFonts w:cs="Arial"/>
          <w:sz w:val="20"/>
          <w:szCs w:val="20"/>
          <w:rtl/>
        </w:rPr>
        <w:t xml:space="preserve"> </w:t>
      </w:r>
      <w:r w:rsidRPr="00966D64">
        <w:rPr>
          <w:rFonts w:cs="Arial" w:hint="cs"/>
          <w:sz w:val="20"/>
          <w:szCs w:val="20"/>
          <w:rtl/>
        </w:rPr>
        <w:t>נ</w:t>
      </w:r>
      <w:r>
        <w:rPr>
          <w:rFonts w:cs="Arial" w:hint="cs"/>
          <w:sz w:val="20"/>
          <w:szCs w:val="20"/>
          <w:rtl/>
        </w:rPr>
        <w:t>י</w:t>
      </w:r>
      <w:r w:rsidRPr="00966D64">
        <w:rPr>
          <w:rFonts w:cs="Arial" w:hint="cs"/>
          <w:sz w:val="20"/>
          <w:szCs w:val="20"/>
          <w:rtl/>
        </w:rPr>
        <w:t>דותה</w:t>
      </w:r>
      <w:r w:rsidRPr="00966D64">
        <w:rPr>
          <w:rFonts w:cs="Arial"/>
          <w:sz w:val="20"/>
          <w:szCs w:val="20"/>
          <w:rtl/>
        </w:rPr>
        <w:t xml:space="preserve">, </w:t>
      </w:r>
      <w:r w:rsidRPr="00966D64">
        <w:rPr>
          <w:rFonts w:cs="Arial" w:hint="cs"/>
          <w:sz w:val="20"/>
          <w:szCs w:val="20"/>
          <w:rtl/>
        </w:rPr>
        <w:t>ואח</w:t>
      </w:r>
      <w:r>
        <w:rPr>
          <w:rFonts w:cs="Arial" w:hint="cs"/>
          <w:sz w:val="20"/>
          <w:szCs w:val="20"/>
          <w:rtl/>
        </w:rPr>
        <w:t xml:space="preserve">ר </w:t>
      </w:r>
      <w:r w:rsidRPr="00966D64">
        <w:rPr>
          <w:rFonts w:cs="Arial" w:hint="cs"/>
          <w:sz w:val="20"/>
          <w:szCs w:val="20"/>
          <w:rtl/>
        </w:rPr>
        <w:t>כ</w:t>
      </w:r>
      <w:r>
        <w:rPr>
          <w:rFonts w:cs="Arial" w:hint="cs"/>
          <w:sz w:val="20"/>
          <w:szCs w:val="20"/>
          <w:rtl/>
        </w:rPr>
        <w:t>ך</w:t>
      </w:r>
      <w:r w:rsidRPr="00966D64">
        <w:rPr>
          <w:rFonts w:cs="Arial"/>
          <w:sz w:val="20"/>
          <w:szCs w:val="20"/>
          <w:rtl/>
        </w:rPr>
        <w:t xml:space="preserve"> </w:t>
      </w:r>
      <w:r w:rsidRPr="00966D64">
        <w:rPr>
          <w:rFonts w:cs="Arial" w:hint="cs"/>
          <w:sz w:val="20"/>
          <w:szCs w:val="20"/>
          <w:rtl/>
        </w:rPr>
        <w:t>אמרה</w:t>
      </w:r>
      <w:r w:rsidRPr="00966D64">
        <w:rPr>
          <w:rFonts w:cs="Arial"/>
          <w:sz w:val="20"/>
          <w:szCs w:val="20"/>
          <w:rtl/>
        </w:rPr>
        <w:t xml:space="preserve">: </w:t>
      </w:r>
      <w:r w:rsidRPr="00966D64">
        <w:rPr>
          <w:rFonts w:cs="Arial" w:hint="cs"/>
          <w:sz w:val="20"/>
          <w:szCs w:val="20"/>
          <w:rtl/>
        </w:rPr>
        <w:t>טהורה</w:t>
      </w:r>
      <w:r w:rsidRPr="00966D64">
        <w:rPr>
          <w:rFonts w:cs="Arial"/>
          <w:sz w:val="20"/>
          <w:szCs w:val="20"/>
          <w:rtl/>
        </w:rPr>
        <w:t xml:space="preserve"> </w:t>
      </w:r>
      <w:r w:rsidRPr="00966D64">
        <w:rPr>
          <w:rFonts w:cs="Arial" w:hint="cs"/>
          <w:sz w:val="20"/>
          <w:szCs w:val="20"/>
          <w:rtl/>
        </w:rPr>
        <w:t>אני</w:t>
      </w:r>
      <w:r w:rsidRPr="00966D64">
        <w:rPr>
          <w:rFonts w:cs="Arial"/>
          <w:sz w:val="20"/>
          <w:szCs w:val="20"/>
          <w:rtl/>
        </w:rPr>
        <w:t xml:space="preserve">, </w:t>
      </w:r>
      <w:r w:rsidRPr="00966D64">
        <w:rPr>
          <w:rFonts w:cs="Arial" w:hint="cs"/>
          <w:sz w:val="20"/>
          <w:szCs w:val="20"/>
          <w:rtl/>
        </w:rPr>
        <w:t>אף</w:t>
      </w:r>
      <w:r w:rsidRPr="00966D64">
        <w:rPr>
          <w:rFonts w:cs="Arial"/>
          <w:sz w:val="20"/>
          <w:szCs w:val="20"/>
          <w:rtl/>
        </w:rPr>
        <w:t xml:space="preserve"> </w:t>
      </w:r>
      <w:r w:rsidRPr="00966D64">
        <w:rPr>
          <w:rFonts w:cs="Arial" w:hint="cs"/>
          <w:sz w:val="20"/>
          <w:szCs w:val="20"/>
          <w:rtl/>
        </w:rPr>
        <w:t>על</w:t>
      </w:r>
      <w:r w:rsidRPr="00966D64">
        <w:rPr>
          <w:rFonts w:cs="Arial"/>
          <w:sz w:val="20"/>
          <w:szCs w:val="20"/>
          <w:rtl/>
        </w:rPr>
        <w:t xml:space="preserve"> </w:t>
      </w:r>
      <w:r w:rsidRPr="00966D64">
        <w:rPr>
          <w:rFonts w:cs="Arial" w:hint="cs"/>
          <w:sz w:val="20"/>
          <w:szCs w:val="20"/>
          <w:rtl/>
        </w:rPr>
        <w:t>פי</w:t>
      </w:r>
      <w:r w:rsidRPr="00966D64">
        <w:rPr>
          <w:rFonts w:cs="Arial"/>
          <w:sz w:val="20"/>
          <w:szCs w:val="20"/>
          <w:rtl/>
        </w:rPr>
        <w:t xml:space="preserve"> </w:t>
      </w:r>
      <w:r w:rsidRPr="00966D64">
        <w:rPr>
          <w:rFonts w:cs="Arial" w:hint="cs"/>
          <w:sz w:val="20"/>
          <w:szCs w:val="20"/>
          <w:rtl/>
        </w:rPr>
        <w:t>שנתנה</w:t>
      </w:r>
      <w:r w:rsidRPr="00966D64">
        <w:rPr>
          <w:rFonts w:cs="Arial"/>
          <w:sz w:val="20"/>
          <w:szCs w:val="20"/>
          <w:rtl/>
        </w:rPr>
        <w:t xml:space="preserve"> </w:t>
      </w:r>
      <w:r w:rsidRPr="00966D64">
        <w:rPr>
          <w:rFonts w:cs="Arial" w:hint="cs"/>
          <w:sz w:val="20"/>
          <w:szCs w:val="20"/>
          <w:rtl/>
        </w:rPr>
        <w:t>אמתל</w:t>
      </w:r>
      <w:r>
        <w:rPr>
          <w:rFonts w:cs="Arial" w:hint="cs"/>
          <w:sz w:val="20"/>
          <w:szCs w:val="20"/>
          <w:rtl/>
        </w:rPr>
        <w:t>ה</w:t>
      </w:r>
      <w:r w:rsidRPr="00966D64">
        <w:rPr>
          <w:rFonts w:cs="Arial"/>
          <w:sz w:val="20"/>
          <w:szCs w:val="20"/>
          <w:rtl/>
        </w:rPr>
        <w:t xml:space="preserve"> </w:t>
      </w:r>
      <w:r w:rsidRPr="00966D64">
        <w:rPr>
          <w:rFonts w:cs="Arial" w:hint="cs"/>
          <w:sz w:val="20"/>
          <w:szCs w:val="20"/>
          <w:rtl/>
        </w:rPr>
        <w:t>לדבריה</w:t>
      </w:r>
      <w:r w:rsidRPr="00966D64">
        <w:rPr>
          <w:rFonts w:cs="Arial"/>
          <w:sz w:val="20"/>
          <w:szCs w:val="20"/>
          <w:rtl/>
        </w:rPr>
        <w:t xml:space="preserve">, </w:t>
      </w:r>
      <w:r w:rsidRPr="00966D64">
        <w:rPr>
          <w:rFonts w:cs="Arial" w:hint="cs"/>
          <w:sz w:val="20"/>
          <w:szCs w:val="20"/>
          <w:rtl/>
        </w:rPr>
        <w:t>אינה</w:t>
      </w:r>
      <w:r w:rsidRPr="00966D64">
        <w:rPr>
          <w:rFonts w:cs="Arial"/>
          <w:sz w:val="20"/>
          <w:szCs w:val="20"/>
          <w:rtl/>
        </w:rPr>
        <w:t xml:space="preserve"> </w:t>
      </w:r>
      <w:r w:rsidRPr="00966D64">
        <w:rPr>
          <w:rFonts w:cs="Arial" w:hint="cs"/>
          <w:sz w:val="20"/>
          <w:szCs w:val="20"/>
          <w:rtl/>
        </w:rPr>
        <w:t>נאמנת</w:t>
      </w:r>
      <w:r>
        <w:rPr>
          <w:rFonts w:cs="Arial" w:hint="cs"/>
          <w:sz w:val="20"/>
          <w:szCs w:val="20"/>
          <w:rtl/>
        </w:rPr>
        <w:t>".</w:t>
      </w:r>
    </w:p>
    <w:p w:rsidR="00620060" w:rsidRDefault="00620060" w:rsidP="00620060">
      <w:pPr>
        <w:rPr>
          <w:rFonts w:cs="Arial"/>
          <w:sz w:val="20"/>
          <w:szCs w:val="20"/>
          <w:rtl/>
        </w:rPr>
      </w:pPr>
      <w:r>
        <w:rPr>
          <w:rFonts w:cs="Arial" w:hint="cs"/>
          <w:sz w:val="20"/>
          <w:szCs w:val="20"/>
          <w:u w:val="single"/>
          <w:rtl/>
        </w:rPr>
        <w:lastRenderedPageBreak/>
        <w:t>תירוץ לקושיית הטור (ט"ז)</w:t>
      </w:r>
      <w:r>
        <w:rPr>
          <w:rFonts w:cs="Arial"/>
          <w:sz w:val="20"/>
          <w:szCs w:val="20"/>
          <w:u w:val="single"/>
          <w:rtl/>
        </w:rPr>
        <w:br/>
      </w:r>
      <w:r w:rsidRPr="007D0D40">
        <w:rPr>
          <w:rFonts w:cs="Arial" w:hint="cs"/>
          <w:b/>
          <w:bCs/>
          <w:sz w:val="20"/>
          <w:szCs w:val="20"/>
          <w:rtl/>
        </w:rPr>
        <w:t>מהר"ר לייב מפראג</w:t>
      </w:r>
      <w:r>
        <w:rPr>
          <w:rFonts w:cs="Arial" w:hint="cs"/>
          <w:sz w:val="20"/>
          <w:szCs w:val="20"/>
          <w:rtl/>
        </w:rPr>
        <w:t xml:space="preserve"> - כשלבשה בגדי נידות, גרמה לכך שכולם יחשבו שהיא נידה, וכיוון שכך על מה סמכה כשעשתה זאת? אלא על כרחך היא טמאה. ברם, כאשר אמרה זאת לבעלה בלבד, סמכה על כך שתגיד לו מאוחר יותר שהיא טהורה.</w:t>
      </w:r>
      <w:r w:rsidRPr="001B2761">
        <w:rPr>
          <w:rStyle w:val="a5"/>
          <w:rFonts w:cs="Arial"/>
          <w:sz w:val="20"/>
          <w:szCs w:val="20"/>
          <w:rtl/>
        </w:rPr>
        <w:t xml:space="preserve"> </w:t>
      </w:r>
      <w:r>
        <w:rPr>
          <w:rStyle w:val="a5"/>
          <w:rFonts w:cs="Arial"/>
          <w:sz w:val="20"/>
          <w:szCs w:val="20"/>
          <w:rtl/>
        </w:rPr>
        <w:footnoteReference w:id="70"/>
      </w:r>
      <w:r>
        <w:rPr>
          <w:rFonts w:cs="Arial" w:hint="cs"/>
          <w:sz w:val="20"/>
          <w:szCs w:val="20"/>
          <w:rtl/>
        </w:rPr>
        <w:br/>
      </w:r>
      <w:r>
        <w:rPr>
          <w:rFonts w:cs="Arial" w:hint="cs"/>
          <w:sz w:val="20"/>
          <w:szCs w:val="20"/>
          <w:rtl/>
        </w:rPr>
        <w:br/>
      </w:r>
      <w:r w:rsidRPr="001B2761">
        <w:rPr>
          <w:rFonts w:cs="Arial" w:hint="cs"/>
          <w:sz w:val="20"/>
          <w:szCs w:val="20"/>
          <w:u w:val="single"/>
          <w:rtl/>
        </w:rPr>
        <w:t>אמרה בפני רבים טמאה אני</w:t>
      </w:r>
      <w:r>
        <w:rPr>
          <w:rFonts w:cs="Arial" w:hint="cs"/>
          <w:sz w:val="20"/>
          <w:szCs w:val="20"/>
          <w:u w:val="single"/>
          <w:rtl/>
        </w:rPr>
        <w:t xml:space="preserve"> ונתנה אמתלה</w:t>
      </w:r>
      <w:r>
        <w:rPr>
          <w:rFonts w:cs="Arial" w:hint="cs"/>
          <w:sz w:val="20"/>
          <w:szCs w:val="20"/>
          <w:rtl/>
        </w:rPr>
        <w:t xml:space="preserve"> </w:t>
      </w:r>
      <w:r>
        <w:rPr>
          <w:rFonts w:cs="Arial"/>
          <w:sz w:val="20"/>
          <w:szCs w:val="20"/>
          <w:rtl/>
        </w:rPr>
        <w:br/>
      </w:r>
      <w:r>
        <w:rPr>
          <w:rFonts w:cs="Arial" w:hint="cs"/>
          <w:sz w:val="20"/>
          <w:szCs w:val="20"/>
          <w:rtl/>
        </w:rPr>
        <w:t xml:space="preserve">א. </w:t>
      </w:r>
      <w:r w:rsidRPr="00247D40">
        <w:rPr>
          <w:rFonts w:cs="Arial" w:hint="cs"/>
          <w:b/>
          <w:bCs/>
          <w:sz w:val="20"/>
          <w:szCs w:val="20"/>
          <w:rtl/>
        </w:rPr>
        <w:t>ט"ז</w:t>
      </w:r>
      <w:r>
        <w:rPr>
          <w:rFonts w:cs="Arial" w:hint="cs"/>
          <w:sz w:val="20"/>
          <w:szCs w:val="20"/>
          <w:rtl/>
        </w:rPr>
        <w:t xml:space="preserve"> </w:t>
      </w:r>
      <w:r>
        <w:rPr>
          <w:rFonts w:cs="Arial"/>
          <w:sz w:val="20"/>
          <w:szCs w:val="20"/>
          <w:rtl/>
        </w:rPr>
        <w:t>–</w:t>
      </w:r>
      <w:r>
        <w:rPr>
          <w:rFonts w:cs="Arial" w:hint="cs"/>
          <w:sz w:val="20"/>
          <w:szCs w:val="20"/>
          <w:rtl/>
        </w:rPr>
        <w:t xml:space="preserve"> לפי התירוץ הנ"ל, הוא הדין אם אמרה בפני רבים טמאה אני, לא מהני אחר כך אמתלה.</w:t>
      </w:r>
      <w:r>
        <w:rPr>
          <w:rFonts w:cs="Arial"/>
          <w:sz w:val="20"/>
          <w:szCs w:val="20"/>
          <w:rtl/>
        </w:rPr>
        <w:br/>
      </w:r>
      <w:r>
        <w:rPr>
          <w:rFonts w:cs="Arial" w:hint="cs"/>
          <w:sz w:val="20"/>
          <w:szCs w:val="20"/>
          <w:rtl/>
        </w:rPr>
        <w:t xml:space="preserve">ב. </w:t>
      </w:r>
      <w:r w:rsidRPr="00564E98">
        <w:rPr>
          <w:rFonts w:cs="Arial" w:hint="cs"/>
          <w:b/>
          <w:bCs/>
          <w:sz w:val="20"/>
          <w:szCs w:val="20"/>
          <w:rtl/>
        </w:rPr>
        <w:t>תורת השלמים</w:t>
      </w:r>
      <w:r>
        <w:rPr>
          <w:rFonts w:cs="Arial" w:hint="cs"/>
          <w:sz w:val="20"/>
          <w:szCs w:val="20"/>
          <w:rtl/>
        </w:rPr>
        <w:t xml:space="preserve"> </w:t>
      </w:r>
      <w:r>
        <w:rPr>
          <w:rFonts w:cs="Arial"/>
          <w:sz w:val="20"/>
          <w:szCs w:val="20"/>
          <w:rtl/>
        </w:rPr>
        <w:t>–</w:t>
      </w:r>
      <w:r>
        <w:rPr>
          <w:rFonts w:cs="Arial" w:hint="cs"/>
          <w:sz w:val="20"/>
          <w:szCs w:val="20"/>
          <w:rtl/>
        </w:rPr>
        <w:t xml:space="preserve"> אפילו אם אמרה בפני רבים טמאה אני, נאמנת לתת אמתלה לדבריה.</w:t>
      </w:r>
      <w:r>
        <w:rPr>
          <w:rFonts w:cs="Arial"/>
          <w:sz w:val="20"/>
          <w:szCs w:val="20"/>
          <w:rtl/>
        </w:rPr>
        <w:br/>
      </w:r>
      <w:r w:rsidRPr="007D0D40">
        <w:rPr>
          <w:rFonts w:cs="Arial" w:hint="cs"/>
          <w:sz w:val="20"/>
          <w:szCs w:val="20"/>
          <w:rtl/>
        </w:rPr>
        <w:t xml:space="preserve">ראיה </w:t>
      </w:r>
      <w:r>
        <w:rPr>
          <w:rFonts w:cs="Arial"/>
          <w:sz w:val="20"/>
          <w:szCs w:val="20"/>
          <w:rtl/>
        </w:rPr>
        <w:t>–</w:t>
      </w:r>
      <w:r>
        <w:rPr>
          <w:rFonts w:cs="Arial" w:hint="cs"/>
          <w:sz w:val="20"/>
          <w:szCs w:val="20"/>
          <w:rtl/>
        </w:rPr>
        <w:t xml:space="preserve"> בגמרא בכתובות הנ"ל מדובר גם על מקרה שאמרה "אשת איש אני" ואחר כך נתנה אמתלה לדבריה שנאמנת, ואם כן משמע להדיא שאפילו אמרה בפני רבים נאמנת באמתלה. וכן לא מוזכר בגמרא הנ"ל שאמירתה טמאה אני היתה דווקא לבעלה, ובסתמא מיירי. </w:t>
      </w:r>
      <w:r w:rsidRPr="00564E98">
        <w:rPr>
          <w:rFonts w:cs="Arial" w:hint="cs"/>
          <w:sz w:val="18"/>
          <w:szCs w:val="18"/>
          <w:rtl/>
        </w:rPr>
        <w:t xml:space="preserve">[ומה שכתב המחבר שאמרה זאת לבעלה, היינו משום שכך היא דרך הצניעות שאין האשה מספרת לאחרים על טהרתה וטומאתה]. </w:t>
      </w:r>
    </w:p>
    <w:p w:rsidR="00620060" w:rsidRDefault="00620060" w:rsidP="00620060">
      <w:pPr>
        <w:rPr>
          <w:rFonts w:cs="Arial"/>
          <w:sz w:val="20"/>
          <w:szCs w:val="20"/>
          <w:rtl/>
        </w:rPr>
      </w:pPr>
      <w:r>
        <w:rPr>
          <w:rFonts w:cs="Arial" w:hint="cs"/>
          <w:sz w:val="20"/>
          <w:szCs w:val="20"/>
          <w:u w:val="single"/>
          <w:rtl/>
        </w:rPr>
        <w:t>אמרה לבעלה שהיא טהורה אך הוחזקה נידה בשכנותיה (ט"ז וש"ך)</w:t>
      </w:r>
      <w:r>
        <w:rPr>
          <w:rFonts w:cs="Arial" w:hint="cs"/>
          <w:sz w:val="20"/>
          <w:szCs w:val="20"/>
          <w:u w:val="single"/>
          <w:rtl/>
        </w:rPr>
        <w:br/>
      </w:r>
      <w:r w:rsidRPr="002E1567">
        <w:rPr>
          <w:rFonts w:cs="Arial" w:hint="cs"/>
          <w:sz w:val="20"/>
          <w:szCs w:val="20"/>
          <w:rtl/>
        </w:rPr>
        <w:t xml:space="preserve">נשאל </w:t>
      </w:r>
      <w:r w:rsidRPr="002E1567">
        <w:rPr>
          <w:rFonts w:cs="Arial" w:hint="cs"/>
          <w:b/>
          <w:bCs/>
          <w:sz w:val="20"/>
          <w:szCs w:val="20"/>
          <w:rtl/>
        </w:rPr>
        <w:t>הרמ"א</w:t>
      </w:r>
      <w:r>
        <w:rPr>
          <w:rFonts w:cs="Arial" w:hint="cs"/>
          <w:sz w:val="20"/>
          <w:szCs w:val="20"/>
          <w:rtl/>
        </w:rPr>
        <w:t xml:space="preserve"> </w:t>
      </w:r>
      <w:r>
        <w:rPr>
          <w:rFonts w:cs="Arial"/>
          <w:sz w:val="20"/>
          <w:szCs w:val="20"/>
          <w:rtl/>
        </w:rPr>
        <w:t>–</w:t>
      </w:r>
      <w:r>
        <w:rPr>
          <w:rFonts w:cs="Arial" w:hint="cs"/>
          <w:sz w:val="20"/>
          <w:szCs w:val="20"/>
          <w:rtl/>
        </w:rPr>
        <w:t xml:space="preserve"> מעשה באשה שילדה כמה פעמים בחודש השמיני להריונה וחששה שמא עין הרע גורם לה, ולכן בהריון הבא רצתה להעלים הדבר בתחילה ואמרה לכולם שהיא טמאה אע"פ שהיתה טהורה, אך לבעלה אמרה את האמת שהיא טהורה, האם מותר לו לבוא עליה?</w:t>
      </w:r>
      <w:r>
        <w:rPr>
          <w:rFonts w:cs="Arial" w:hint="cs"/>
          <w:sz w:val="20"/>
          <w:szCs w:val="20"/>
          <w:rtl/>
        </w:rPr>
        <w:br/>
        <w:t xml:space="preserve">א. </w:t>
      </w:r>
      <w:r w:rsidRPr="0041099C">
        <w:rPr>
          <w:rFonts w:cs="Arial" w:hint="cs"/>
          <w:b/>
          <w:bCs/>
          <w:sz w:val="20"/>
          <w:szCs w:val="20"/>
          <w:rtl/>
        </w:rPr>
        <w:t>רמ"א</w:t>
      </w:r>
      <w:r>
        <w:rPr>
          <w:rFonts w:cs="Arial" w:hint="cs"/>
          <w:sz w:val="20"/>
          <w:szCs w:val="20"/>
          <w:rtl/>
        </w:rPr>
        <w:t xml:space="preserve"> - האריך לדון בזה ודימה זאת לדין הוחזקה נידה בשכנותיה ונתנה אמתלה, ולדינא פשט להיתר.</w:t>
      </w:r>
      <w:r>
        <w:rPr>
          <w:rFonts w:cs="Arial"/>
          <w:sz w:val="20"/>
          <w:szCs w:val="20"/>
          <w:rtl/>
        </w:rPr>
        <w:br/>
      </w:r>
      <w:r>
        <w:rPr>
          <w:rFonts w:cs="Arial" w:hint="cs"/>
          <w:sz w:val="20"/>
          <w:szCs w:val="20"/>
          <w:rtl/>
        </w:rPr>
        <w:t xml:space="preserve">ב. </w:t>
      </w:r>
      <w:r w:rsidRPr="0041099C">
        <w:rPr>
          <w:rFonts w:cs="Arial" w:hint="cs"/>
          <w:b/>
          <w:bCs/>
          <w:sz w:val="20"/>
          <w:szCs w:val="20"/>
          <w:rtl/>
        </w:rPr>
        <w:t>ט"ז</w:t>
      </w:r>
      <w:r>
        <w:rPr>
          <w:rFonts w:cs="Arial" w:hint="cs"/>
          <w:sz w:val="20"/>
          <w:szCs w:val="20"/>
          <w:rtl/>
        </w:rPr>
        <w:t xml:space="preserve"> </w:t>
      </w:r>
      <w:r>
        <w:rPr>
          <w:rFonts w:cs="Arial"/>
          <w:sz w:val="20"/>
          <w:szCs w:val="20"/>
          <w:rtl/>
        </w:rPr>
        <w:t>–</w:t>
      </w:r>
      <w:r>
        <w:rPr>
          <w:rFonts w:cs="Arial" w:hint="cs"/>
          <w:sz w:val="20"/>
          <w:szCs w:val="20"/>
          <w:rtl/>
        </w:rPr>
        <w:t xml:space="preserve"> דברי הרמ"א אינם מכוונים להלכה, דין זה אינו נכנס כלל בגדר הוחזקה נידה בשכנותיה.</w:t>
      </w:r>
      <w:r>
        <w:rPr>
          <w:rFonts w:cs="Arial" w:hint="cs"/>
          <w:sz w:val="20"/>
          <w:szCs w:val="20"/>
          <w:rtl/>
        </w:rPr>
        <w:br/>
      </w:r>
      <w:r w:rsidRPr="003E3538">
        <w:rPr>
          <w:rFonts w:cs="Arial" w:hint="cs"/>
          <w:b/>
          <w:bCs/>
          <w:sz w:val="20"/>
          <w:szCs w:val="20"/>
          <w:rtl/>
        </w:rPr>
        <w:t>טעם</w:t>
      </w:r>
      <w:r>
        <w:rPr>
          <w:rFonts w:cs="Arial" w:hint="cs"/>
          <w:sz w:val="20"/>
          <w:szCs w:val="20"/>
          <w:rtl/>
        </w:rPr>
        <w:t xml:space="preserve"> - מכיוון שאמרה לו </w:t>
      </w:r>
      <w:r w:rsidRPr="006B2AF2">
        <w:rPr>
          <w:rFonts w:cs="Arial" w:hint="cs"/>
          <w:sz w:val="20"/>
          <w:szCs w:val="20"/>
          <w:u w:val="single"/>
          <w:rtl/>
        </w:rPr>
        <w:t>מעיקרא</w:t>
      </w:r>
      <w:r>
        <w:rPr>
          <w:rFonts w:cs="Arial" w:hint="cs"/>
          <w:sz w:val="20"/>
          <w:szCs w:val="20"/>
          <w:rtl/>
        </w:rPr>
        <w:t xml:space="preserve"> שהיא טהורה ורק כלפי חוץ אמרה שהיא טמאה, הרי שאין לדון בזה כלל ע"פ דין הוחזקה נידה בשכנותיה, ומותרת.</w:t>
      </w:r>
      <w:r>
        <w:rPr>
          <w:rFonts w:cs="Arial"/>
          <w:sz w:val="20"/>
          <w:szCs w:val="20"/>
          <w:rtl/>
        </w:rPr>
        <w:br/>
      </w:r>
      <w:r>
        <w:rPr>
          <w:rFonts w:cs="Arial" w:hint="cs"/>
          <w:sz w:val="20"/>
          <w:szCs w:val="20"/>
          <w:rtl/>
        </w:rPr>
        <w:t xml:space="preserve">ג. </w:t>
      </w:r>
      <w:r w:rsidRPr="00905F97">
        <w:rPr>
          <w:rFonts w:cs="Arial" w:hint="cs"/>
          <w:b/>
          <w:bCs/>
          <w:sz w:val="20"/>
          <w:szCs w:val="20"/>
          <w:rtl/>
        </w:rPr>
        <w:t>ש"ך</w:t>
      </w:r>
      <w:r>
        <w:rPr>
          <w:rFonts w:cs="Arial" w:hint="cs"/>
          <w:sz w:val="20"/>
          <w:szCs w:val="20"/>
          <w:rtl/>
        </w:rPr>
        <w:t xml:space="preserve"> - דברי הרמ"א נכונים, משום שהוא רוצה ליישב שאפילו אם לא אמרה זאת לבעלה מעיקרא, נאמנת.</w:t>
      </w:r>
      <w:r>
        <w:rPr>
          <w:rFonts w:cs="Arial"/>
          <w:sz w:val="20"/>
          <w:szCs w:val="20"/>
          <w:rtl/>
        </w:rPr>
        <w:br/>
      </w:r>
      <w:r w:rsidRPr="007D0D40">
        <w:rPr>
          <w:rFonts w:cs="Arial" w:hint="cs"/>
          <w:sz w:val="20"/>
          <w:szCs w:val="20"/>
          <w:rtl/>
        </w:rPr>
        <w:t xml:space="preserve">הסבר </w:t>
      </w:r>
      <w:r>
        <w:rPr>
          <w:rFonts w:cs="Arial"/>
          <w:sz w:val="20"/>
          <w:szCs w:val="20"/>
          <w:rtl/>
        </w:rPr>
        <w:t>–</w:t>
      </w:r>
      <w:r>
        <w:rPr>
          <w:rFonts w:cs="Arial" w:hint="cs"/>
          <w:sz w:val="20"/>
          <w:szCs w:val="20"/>
          <w:rtl/>
        </w:rPr>
        <w:t xml:space="preserve"> כאשר האמתלה היא כזאת שמכוחה מוכרחת היא ללבוש בגדי נידה, כגון כאן שרוצה לפרסם שהיא טמאה כדי שלא יזיק לה עין הרע, נאמנת לתת אמתלה אע"פ שלבשה בגדי נידות.</w:t>
      </w:r>
      <w:r>
        <w:rPr>
          <w:rStyle w:val="a5"/>
          <w:rFonts w:cs="Arial"/>
          <w:sz w:val="20"/>
          <w:szCs w:val="20"/>
          <w:rtl/>
        </w:rPr>
        <w:footnoteReference w:id="71"/>
      </w:r>
      <w:r>
        <w:rPr>
          <w:rFonts w:cs="Arial" w:hint="cs"/>
          <w:sz w:val="20"/>
          <w:szCs w:val="20"/>
          <w:rtl/>
        </w:rPr>
        <w:t xml:space="preserve"> </w:t>
      </w:r>
    </w:p>
    <w:p w:rsidR="00620060" w:rsidRPr="00006359" w:rsidRDefault="00620060" w:rsidP="00620060">
      <w:pPr>
        <w:pStyle w:val="1"/>
        <w:rPr>
          <w:rFonts w:asciiTheme="minorBidi" w:hAnsiTheme="minorBidi" w:cstheme="minorBidi"/>
          <w:sz w:val="20"/>
          <w:szCs w:val="20"/>
          <w:rtl/>
        </w:rPr>
      </w:pPr>
      <w:r w:rsidRPr="00D2309A">
        <w:rPr>
          <w:rFonts w:hint="cs"/>
          <w:sz w:val="22"/>
          <w:szCs w:val="22"/>
          <w:rtl/>
        </w:rPr>
        <w:t xml:space="preserve">ג. </w:t>
      </w:r>
      <w:r w:rsidRPr="00006359">
        <w:rPr>
          <w:rFonts w:cs="Arial" w:hint="cs"/>
          <w:color w:val="auto"/>
          <w:sz w:val="20"/>
          <w:szCs w:val="20"/>
          <w:rtl/>
        </w:rPr>
        <w:t>נאמנות החכם לאוסרה על בעלה</w:t>
      </w:r>
      <w:r w:rsidRPr="00006359">
        <w:rPr>
          <w:rFonts w:cs="Arial"/>
          <w:b w:val="0"/>
          <w:bCs w:val="0"/>
          <w:color w:val="auto"/>
          <w:sz w:val="20"/>
          <w:szCs w:val="20"/>
          <w:rtl/>
        </w:rPr>
        <w:br/>
      </w:r>
      <w:r w:rsidRPr="00006359">
        <w:rPr>
          <w:rFonts w:cs="Arial" w:hint="cs"/>
          <w:color w:val="auto"/>
          <w:sz w:val="20"/>
          <w:szCs w:val="20"/>
          <w:rtl/>
        </w:rPr>
        <w:t>משנה</w:t>
      </w:r>
      <w:r w:rsidRPr="00006359">
        <w:rPr>
          <w:rFonts w:cs="Arial" w:hint="cs"/>
          <w:b w:val="0"/>
          <w:bCs w:val="0"/>
          <w:color w:val="auto"/>
          <w:sz w:val="20"/>
          <w:szCs w:val="20"/>
          <w:rtl/>
        </w:rPr>
        <w:t xml:space="preserve"> כתובות (עב.) "אלו</w:t>
      </w:r>
      <w:r w:rsidRPr="00006359">
        <w:rPr>
          <w:rFonts w:cs="Arial"/>
          <w:b w:val="0"/>
          <w:bCs w:val="0"/>
          <w:color w:val="auto"/>
          <w:sz w:val="20"/>
          <w:szCs w:val="20"/>
          <w:rtl/>
        </w:rPr>
        <w:t xml:space="preserve"> </w:t>
      </w:r>
      <w:r w:rsidRPr="00006359">
        <w:rPr>
          <w:rFonts w:cs="Arial" w:hint="cs"/>
          <w:b w:val="0"/>
          <w:bCs w:val="0"/>
          <w:color w:val="auto"/>
          <w:sz w:val="20"/>
          <w:szCs w:val="20"/>
          <w:rtl/>
        </w:rPr>
        <w:t>יוצאות</w:t>
      </w:r>
      <w:r w:rsidRPr="00006359">
        <w:rPr>
          <w:rFonts w:cs="Arial"/>
          <w:b w:val="0"/>
          <w:bCs w:val="0"/>
          <w:color w:val="auto"/>
          <w:sz w:val="20"/>
          <w:szCs w:val="20"/>
          <w:rtl/>
        </w:rPr>
        <w:t xml:space="preserve"> </w:t>
      </w:r>
      <w:r w:rsidRPr="00006359">
        <w:rPr>
          <w:rFonts w:cs="Arial" w:hint="cs"/>
          <w:b w:val="0"/>
          <w:bCs w:val="0"/>
          <w:color w:val="auto"/>
          <w:sz w:val="20"/>
          <w:szCs w:val="20"/>
          <w:rtl/>
        </w:rPr>
        <w:t>שלא</w:t>
      </w:r>
      <w:r w:rsidRPr="00006359">
        <w:rPr>
          <w:rFonts w:cs="Arial"/>
          <w:b w:val="0"/>
          <w:bCs w:val="0"/>
          <w:color w:val="auto"/>
          <w:sz w:val="20"/>
          <w:szCs w:val="20"/>
          <w:rtl/>
        </w:rPr>
        <w:t xml:space="preserve"> </w:t>
      </w:r>
      <w:r w:rsidRPr="00006359">
        <w:rPr>
          <w:rFonts w:cs="Arial" w:hint="cs"/>
          <w:b w:val="0"/>
          <w:bCs w:val="0"/>
          <w:color w:val="auto"/>
          <w:sz w:val="20"/>
          <w:szCs w:val="20"/>
          <w:rtl/>
        </w:rPr>
        <w:t>בכתובה</w:t>
      </w:r>
      <w:r w:rsidRPr="00006359">
        <w:rPr>
          <w:rFonts w:cs="Arial"/>
          <w:b w:val="0"/>
          <w:bCs w:val="0"/>
          <w:color w:val="auto"/>
          <w:sz w:val="20"/>
          <w:szCs w:val="20"/>
          <w:rtl/>
        </w:rPr>
        <w:t xml:space="preserve">: </w:t>
      </w:r>
      <w:r w:rsidRPr="00006359">
        <w:rPr>
          <w:rFonts w:cs="Arial" w:hint="cs"/>
          <w:b w:val="0"/>
          <w:bCs w:val="0"/>
          <w:color w:val="auto"/>
          <w:sz w:val="20"/>
          <w:szCs w:val="20"/>
          <w:rtl/>
        </w:rPr>
        <w:t>העוברת</w:t>
      </w:r>
      <w:r w:rsidRPr="00006359">
        <w:rPr>
          <w:rFonts w:cs="Arial"/>
          <w:b w:val="0"/>
          <w:bCs w:val="0"/>
          <w:color w:val="auto"/>
          <w:sz w:val="20"/>
          <w:szCs w:val="20"/>
          <w:rtl/>
        </w:rPr>
        <w:t xml:space="preserve"> </w:t>
      </w:r>
      <w:r w:rsidRPr="00006359">
        <w:rPr>
          <w:rFonts w:cs="Arial" w:hint="cs"/>
          <w:b w:val="0"/>
          <w:bCs w:val="0"/>
          <w:color w:val="auto"/>
          <w:sz w:val="20"/>
          <w:szCs w:val="20"/>
          <w:rtl/>
        </w:rPr>
        <w:t>על</w:t>
      </w:r>
      <w:r w:rsidRPr="00006359">
        <w:rPr>
          <w:rFonts w:cs="Arial"/>
          <w:b w:val="0"/>
          <w:bCs w:val="0"/>
          <w:color w:val="auto"/>
          <w:sz w:val="20"/>
          <w:szCs w:val="20"/>
          <w:rtl/>
        </w:rPr>
        <w:t xml:space="preserve"> </w:t>
      </w:r>
      <w:r w:rsidRPr="00006359">
        <w:rPr>
          <w:rFonts w:cs="Arial" w:hint="cs"/>
          <w:b w:val="0"/>
          <w:bCs w:val="0"/>
          <w:color w:val="auto"/>
          <w:sz w:val="20"/>
          <w:szCs w:val="20"/>
          <w:rtl/>
        </w:rPr>
        <w:t>דת</w:t>
      </w:r>
      <w:r w:rsidRPr="00006359">
        <w:rPr>
          <w:rFonts w:cs="Arial"/>
          <w:b w:val="0"/>
          <w:bCs w:val="0"/>
          <w:color w:val="auto"/>
          <w:sz w:val="20"/>
          <w:szCs w:val="20"/>
          <w:rtl/>
        </w:rPr>
        <w:t xml:space="preserve"> </w:t>
      </w:r>
      <w:r w:rsidRPr="00006359">
        <w:rPr>
          <w:rFonts w:cs="Arial" w:hint="cs"/>
          <w:b w:val="0"/>
          <w:bCs w:val="0"/>
          <w:color w:val="auto"/>
          <w:sz w:val="20"/>
          <w:szCs w:val="20"/>
          <w:rtl/>
        </w:rPr>
        <w:t>משה</w:t>
      </w:r>
      <w:r w:rsidRPr="00006359">
        <w:rPr>
          <w:rFonts w:cs="Arial"/>
          <w:b w:val="0"/>
          <w:bCs w:val="0"/>
          <w:color w:val="auto"/>
          <w:sz w:val="20"/>
          <w:szCs w:val="20"/>
          <w:rtl/>
        </w:rPr>
        <w:t xml:space="preserve"> </w:t>
      </w:r>
      <w:r w:rsidRPr="00006359">
        <w:rPr>
          <w:rFonts w:cs="Arial" w:hint="cs"/>
          <w:b w:val="0"/>
          <w:bCs w:val="0"/>
          <w:color w:val="auto"/>
          <w:sz w:val="20"/>
          <w:szCs w:val="20"/>
          <w:rtl/>
        </w:rPr>
        <w:t>ויהודית</w:t>
      </w:r>
      <w:r w:rsidRPr="00006359">
        <w:rPr>
          <w:rFonts w:cs="Arial"/>
          <w:b w:val="0"/>
          <w:bCs w:val="0"/>
          <w:color w:val="auto"/>
          <w:sz w:val="20"/>
          <w:szCs w:val="20"/>
          <w:rtl/>
        </w:rPr>
        <w:t xml:space="preserve">. </w:t>
      </w:r>
      <w:r w:rsidRPr="00006359">
        <w:rPr>
          <w:rFonts w:cs="Arial" w:hint="cs"/>
          <w:b w:val="0"/>
          <w:bCs w:val="0"/>
          <w:color w:val="auto"/>
          <w:sz w:val="20"/>
          <w:szCs w:val="20"/>
          <w:rtl/>
        </w:rPr>
        <w:t>ואיזו</w:t>
      </w:r>
      <w:r w:rsidRPr="00006359">
        <w:rPr>
          <w:rFonts w:cs="Arial"/>
          <w:b w:val="0"/>
          <w:bCs w:val="0"/>
          <w:color w:val="auto"/>
          <w:sz w:val="20"/>
          <w:szCs w:val="20"/>
          <w:rtl/>
        </w:rPr>
        <w:t xml:space="preserve"> </w:t>
      </w:r>
      <w:r w:rsidRPr="00006359">
        <w:rPr>
          <w:rFonts w:cs="Arial" w:hint="cs"/>
          <w:b w:val="0"/>
          <w:bCs w:val="0"/>
          <w:color w:val="auto"/>
          <w:sz w:val="20"/>
          <w:szCs w:val="20"/>
          <w:rtl/>
        </w:rPr>
        <w:t>היא</w:t>
      </w:r>
      <w:r w:rsidRPr="00006359">
        <w:rPr>
          <w:rFonts w:cs="Arial"/>
          <w:b w:val="0"/>
          <w:bCs w:val="0"/>
          <w:color w:val="auto"/>
          <w:sz w:val="20"/>
          <w:szCs w:val="20"/>
          <w:rtl/>
        </w:rPr>
        <w:t xml:space="preserve"> </w:t>
      </w:r>
      <w:r w:rsidRPr="00006359">
        <w:rPr>
          <w:rFonts w:cs="Arial" w:hint="cs"/>
          <w:b w:val="0"/>
          <w:bCs w:val="0"/>
          <w:color w:val="auto"/>
          <w:sz w:val="20"/>
          <w:szCs w:val="20"/>
          <w:rtl/>
        </w:rPr>
        <w:t>דת</w:t>
      </w:r>
      <w:r w:rsidRPr="00006359">
        <w:rPr>
          <w:rFonts w:cs="Arial"/>
          <w:b w:val="0"/>
          <w:bCs w:val="0"/>
          <w:color w:val="auto"/>
          <w:sz w:val="20"/>
          <w:szCs w:val="20"/>
          <w:rtl/>
        </w:rPr>
        <w:t xml:space="preserve"> </w:t>
      </w:r>
      <w:r w:rsidRPr="00006359">
        <w:rPr>
          <w:rFonts w:cs="Arial" w:hint="cs"/>
          <w:b w:val="0"/>
          <w:bCs w:val="0"/>
          <w:color w:val="auto"/>
          <w:sz w:val="20"/>
          <w:szCs w:val="20"/>
          <w:rtl/>
        </w:rPr>
        <w:t>משה</w:t>
      </w:r>
      <w:r w:rsidRPr="00006359">
        <w:rPr>
          <w:rFonts w:cs="Arial"/>
          <w:b w:val="0"/>
          <w:bCs w:val="0"/>
          <w:color w:val="auto"/>
          <w:sz w:val="20"/>
          <w:szCs w:val="20"/>
          <w:rtl/>
        </w:rPr>
        <w:t xml:space="preserve">? </w:t>
      </w:r>
      <w:r w:rsidRPr="00006359">
        <w:rPr>
          <w:rFonts w:cs="Arial" w:hint="cs"/>
          <w:b w:val="0"/>
          <w:bCs w:val="0"/>
          <w:color w:val="auto"/>
          <w:sz w:val="20"/>
          <w:szCs w:val="20"/>
          <w:rtl/>
        </w:rPr>
        <w:t>משמשתו</w:t>
      </w:r>
      <w:r w:rsidRPr="00006359">
        <w:rPr>
          <w:rFonts w:cs="Arial"/>
          <w:b w:val="0"/>
          <w:bCs w:val="0"/>
          <w:color w:val="auto"/>
          <w:sz w:val="20"/>
          <w:szCs w:val="20"/>
          <w:rtl/>
        </w:rPr>
        <w:t xml:space="preserve"> </w:t>
      </w:r>
      <w:r w:rsidRPr="00006359">
        <w:rPr>
          <w:rFonts w:cs="Arial" w:hint="cs"/>
          <w:b w:val="0"/>
          <w:bCs w:val="0"/>
          <w:color w:val="auto"/>
          <w:sz w:val="20"/>
          <w:szCs w:val="20"/>
          <w:rtl/>
        </w:rPr>
        <w:t>נדה..."</w:t>
      </w:r>
      <w:r w:rsidRPr="00006359">
        <w:rPr>
          <w:rFonts w:cs="Arial"/>
          <w:b w:val="0"/>
          <w:bCs w:val="0"/>
          <w:color w:val="auto"/>
          <w:sz w:val="20"/>
          <w:szCs w:val="20"/>
          <w:rtl/>
        </w:rPr>
        <w:t xml:space="preserve"> </w:t>
      </w:r>
      <w:r w:rsidRPr="00006359">
        <w:rPr>
          <w:rFonts w:cs="Arial"/>
          <w:b w:val="0"/>
          <w:bCs w:val="0"/>
          <w:color w:val="auto"/>
          <w:sz w:val="20"/>
          <w:szCs w:val="20"/>
          <w:rtl/>
        </w:rPr>
        <w:br/>
      </w:r>
      <w:r w:rsidRPr="00006359">
        <w:rPr>
          <w:rFonts w:cs="Arial" w:hint="cs"/>
          <w:color w:val="auto"/>
          <w:sz w:val="20"/>
          <w:szCs w:val="20"/>
          <w:rtl/>
        </w:rPr>
        <w:t xml:space="preserve">גמרא </w:t>
      </w:r>
      <w:r w:rsidRPr="00006359">
        <w:rPr>
          <w:rFonts w:cs="Arial" w:hint="cs"/>
          <w:b w:val="0"/>
          <w:bCs w:val="0"/>
          <w:color w:val="auto"/>
          <w:sz w:val="20"/>
          <w:szCs w:val="20"/>
          <w:rtl/>
        </w:rPr>
        <w:t>(שם) "היכי</w:t>
      </w:r>
      <w:r w:rsidRPr="00006359">
        <w:rPr>
          <w:rFonts w:cs="Arial"/>
          <w:b w:val="0"/>
          <w:bCs w:val="0"/>
          <w:color w:val="auto"/>
          <w:sz w:val="20"/>
          <w:szCs w:val="20"/>
          <w:rtl/>
        </w:rPr>
        <w:t xml:space="preserve"> </w:t>
      </w:r>
      <w:r w:rsidRPr="00006359">
        <w:rPr>
          <w:rFonts w:cs="Arial" w:hint="cs"/>
          <w:b w:val="0"/>
          <w:bCs w:val="0"/>
          <w:color w:val="auto"/>
          <w:sz w:val="20"/>
          <w:szCs w:val="20"/>
          <w:rtl/>
        </w:rPr>
        <w:t>דמי</w:t>
      </w:r>
      <w:r w:rsidRPr="00006359">
        <w:rPr>
          <w:rFonts w:cs="Arial"/>
          <w:b w:val="0"/>
          <w:bCs w:val="0"/>
          <w:color w:val="auto"/>
          <w:sz w:val="20"/>
          <w:szCs w:val="20"/>
          <w:rtl/>
        </w:rPr>
        <w:t xml:space="preserve">? </w:t>
      </w:r>
      <w:r w:rsidRPr="00006359">
        <w:rPr>
          <w:rFonts w:cs="Arial" w:hint="cs"/>
          <w:b w:val="0"/>
          <w:bCs w:val="0"/>
          <w:color w:val="auto"/>
          <w:sz w:val="20"/>
          <w:szCs w:val="20"/>
          <w:rtl/>
        </w:rPr>
        <w:t>אי</w:t>
      </w:r>
      <w:r w:rsidRPr="00006359">
        <w:rPr>
          <w:rFonts w:cs="Arial"/>
          <w:b w:val="0"/>
          <w:bCs w:val="0"/>
          <w:color w:val="auto"/>
          <w:sz w:val="20"/>
          <w:szCs w:val="20"/>
          <w:rtl/>
        </w:rPr>
        <w:t xml:space="preserve"> </w:t>
      </w:r>
      <w:r w:rsidRPr="00006359">
        <w:rPr>
          <w:rFonts w:cs="Arial" w:hint="cs"/>
          <w:b w:val="0"/>
          <w:bCs w:val="0"/>
          <w:color w:val="auto"/>
          <w:sz w:val="20"/>
          <w:szCs w:val="20"/>
          <w:rtl/>
        </w:rPr>
        <w:t>דידע</w:t>
      </w:r>
      <w:r w:rsidRPr="00006359">
        <w:rPr>
          <w:rFonts w:cs="Arial"/>
          <w:b w:val="0"/>
          <w:bCs w:val="0"/>
          <w:color w:val="auto"/>
          <w:sz w:val="20"/>
          <w:szCs w:val="20"/>
          <w:rtl/>
        </w:rPr>
        <w:t xml:space="preserve"> </w:t>
      </w:r>
      <w:r w:rsidRPr="00006359">
        <w:rPr>
          <w:rFonts w:cs="Arial" w:hint="cs"/>
          <w:b w:val="0"/>
          <w:bCs w:val="0"/>
          <w:color w:val="auto"/>
          <w:sz w:val="20"/>
          <w:szCs w:val="20"/>
          <w:rtl/>
        </w:rPr>
        <w:t>בה</w:t>
      </w:r>
      <w:r w:rsidRPr="00006359">
        <w:rPr>
          <w:rFonts w:cs="Arial"/>
          <w:b w:val="0"/>
          <w:bCs w:val="0"/>
          <w:color w:val="auto"/>
          <w:sz w:val="20"/>
          <w:szCs w:val="20"/>
          <w:rtl/>
        </w:rPr>
        <w:t xml:space="preserve">, </w:t>
      </w:r>
      <w:r w:rsidRPr="00006359">
        <w:rPr>
          <w:rFonts w:cs="Arial" w:hint="cs"/>
          <w:b w:val="0"/>
          <w:bCs w:val="0"/>
          <w:color w:val="auto"/>
          <w:sz w:val="20"/>
          <w:szCs w:val="20"/>
          <w:rtl/>
        </w:rPr>
        <w:t>נפרוש</w:t>
      </w:r>
      <w:r w:rsidRPr="00006359">
        <w:rPr>
          <w:rFonts w:cs="Arial"/>
          <w:b w:val="0"/>
          <w:bCs w:val="0"/>
          <w:color w:val="auto"/>
          <w:sz w:val="20"/>
          <w:szCs w:val="20"/>
          <w:rtl/>
        </w:rPr>
        <w:t xml:space="preserve">! </w:t>
      </w:r>
      <w:r w:rsidRPr="00006359">
        <w:rPr>
          <w:rFonts w:cs="Arial" w:hint="cs"/>
          <w:b w:val="0"/>
          <w:bCs w:val="0"/>
          <w:color w:val="auto"/>
          <w:sz w:val="20"/>
          <w:szCs w:val="20"/>
          <w:rtl/>
        </w:rPr>
        <w:t>אי</w:t>
      </w:r>
      <w:r w:rsidRPr="00006359">
        <w:rPr>
          <w:rFonts w:cs="Arial"/>
          <w:b w:val="0"/>
          <w:bCs w:val="0"/>
          <w:color w:val="auto"/>
          <w:sz w:val="20"/>
          <w:szCs w:val="20"/>
          <w:rtl/>
        </w:rPr>
        <w:t xml:space="preserve"> </w:t>
      </w:r>
      <w:r w:rsidRPr="00006359">
        <w:rPr>
          <w:rFonts w:cs="Arial" w:hint="cs"/>
          <w:b w:val="0"/>
          <w:bCs w:val="0"/>
          <w:color w:val="auto"/>
          <w:sz w:val="20"/>
          <w:szCs w:val="20"/>
          <w:rtl/>
        </w:rPr>
        <w:t>דלא</w:t>
      </w:r>
      <w:r w:rsidRPr="00006359">
        <w:rPr>
          <w:rFonts w:cs="Arial"/>
          <w:b w:val="0"/>
          <w:bCs w:val="0"/>
          <w:color w:val="auto"/>
          <w:sz w:val="20"/>
          <w:szCs w:val="20"/>
          <w:rtl/>
        </w:rPr>
        <w:t xml:space="preserve"> </w:t>
      </w:r>
      <w:r w:rsidRPr="00006359">
        <w:rPr>
          <w:rFonts w:cs="Arial" w:hint="cs"/>
          <w:b w:val="0"/>
          <w:bCs w:val="0"/>
          <w:color w:val="auto"/>
          <w:sz w:val="20"/>
          <w:szCs w:val="20"/>
          <w:rtl/>
        </w:rPr>
        <w:t>ידע</w:t>
      </w:r>
      <w:r w:rsidRPr="00006359">
        <w:rPr>
          <w:rFonts w:cs="Arial"/>
          <w:b w:val="0"/>
          <w:bCs w:val="0"/>
          <w:color w:val="auto"/>
          <w:sz w:val="20"/>
          <w:szCs w:val="20"/>
          <w:rtl/>
        </w:rPr>
        <w:t xml:space="preserve">, </w:t>
      </w:r>
      <w:r w:rsidRPr="00006359">
        <w:rPr>
          <w:rFonts w:cs="Arial" w:hint="cs"/>
          <w:b w:val="0"/>
          <w:bCs w:val="0"/>
          <w:color w:val="auto"/>
          <w:sz w:val="20"/>
          <w:szCs w:val="20"/>
          <w:rtl/>
        </w:rPr>
        <w:t>נסמוך</w:t>
      </w:r>
      <w:r w:rsidRPr="00006359">
        <w:rPr>
          <w:rFonts w:cs="Arial"/>
          <w:b w:val="0"/>
          <w:bCs w:val="0"/>
          <w:color w:val="auto"/>
          <w:sz w:val="20"/>
          <w:szCs w:val="20"/>
          <w:rtl/>
        </w:rPr>
        <w:t xml:space="preserve"> </w:t>
      </w:r>
      <w:r w:rsidRPr="00006359">
        <w:rPr>
          <w:rFonts w:cs="Arial" w:hint="cs"/>
          <w:b w:val="0"/>
          <w:bCs w:val="0"/>
          <w:color w:val="auto"/>
          <w:sz w:val="20"/>
          <w:szCs w:val="20"/>
          <w:rtl/>
        </w:rPr>
        <w:t>עילוה</w:t>
      </w:r>
      <w:r w:rsidRPr="00006359">
        <w:rPr>
          <w:rFonts w:cs="Arial"/>
          <w:b w:val="0"/>
          <w:bCs w:val="0"/>
          <w:color w:val="auto"/>
          <w:sz w:val="20"/>
          <w:szCs w:val="20"/>
          <w:rtl/>
        </w:rPr>
        <w:t>!</w:t>
      </w:r>
      <w:r w:rsidRPr="00006359">
        <w:rPr>
          <w:rFonts w:cs="Arial" w:hint="cs"/>
          <w:b w:val="0"/>
          <w:bCs w:val="0"/>
          <w:color w:val="auto"/>
          <w:sz w:val="20"/>
          <w:szCs w:val="20"/>
          <w:rtl/>
        </w:rPr>
        <w:t>... לא</w:t>
      </w:r>
      <w:r w:rsidRPr="00006359">
        <w:rPr>
          <w:rFonts w:cs="Arial"/>
          <w:b w:val="0"/>
          <w:bCs w:val="0"/>
          <w:color w:val="auto"/>
          <w:sz w:val="20"/>
          <w:szCs w:val="20"/>
          <w:rtl/>
        </w:rPr>
        <w:t xml:space="preserve"> </w:t>
      </w:r>
      <w:r w:rsidRPr="00006359">
        <w:rPr>
          <w:rFonts w:cs="Arial" w:hint="cs"/>
          <w:b w:val="0"/>
          <w:bCs w:val="0"/>
          <w:color w:val="auto"/>
          <w:sz w:val="20"/>
          <w:szCs w:val="20"/>
          <w:rtl/>
        </w:rPr>
        <w:t>צריכא</w:t>
      </w:r>
      <w:r w:rsidRPr="00006359">
        <w:rPr>
          <w:rFonts w:cs="Arial"/>
          <w:b w:val="0"/>
          <w:bCs w:val="0"/>
          <w:color w:val="auto"/>
          <w:sz w:val="20"/>
          <w:szCs w:val="20"/>
          <w:rtl/>
        </w:rPr>
        <w:t xml:space="preserve">, </w:t>
      </w:r>
      <w:r w:rsidRPr="00006359">
        <w:rPr>
          <w:rFonts w:cs="Arial" w:hint="cs"/>
          <w:b w:val="0"/>
          <w:bCs w:val="0"/>
          <w:color w:val="auto"/>
          <w:sz w:val="20"/>
          <w:szCs w:val="20"/>
          <w:rtl/>
        </w:rPr>
        <w:t>דאמרה</w:t>
      </w:r>
      <w:r w:rsidRPr="00006359">
        <w:rPr>
          <w:rFonts w:cs="Arial"/>
          <w:b w:val="0"/>
          <w:bCs w:val="0"/>
          <w:color w:val="auto"/>
          <w:sz w:val="20"/>
          <w:szCs w:val="20"/>
          <w:rtl/>
        </w:rPr>
        <w:t xml:space="preserve"> </w:t>
      </w:r>
      <w:r w:rsidRPr="00006359">
        <w:rPr>
          <w:rFonts w:cs="Arial" w:hint="cs"/>
          <w:b w:val="0"/>
          <w:bCs w:val="0"/>
          <w:color w:val="auto"/>
          <w:sz w:val="20"/>
          <w:szCs w:val="20"/>
          <w:rtl/>
        </w:rPr>
        <w:t>ליה</w:t>
      </w:r>
      <w:r w:rsidRPr="00006359">
        <w:rPr>
          <w:rFonts w:cs="Arial"/>
          <w:b w:val="0"/>
          <w:bCs w:val="0"/>
          <w:color w:val="auto"/>
          <w:sz w:val="20"/>
          <w:szCs w:val="20"/>
          <w:rtl/>
        </w:rPr>
        <w:t xml:space="preserve"> </w:t>
      </w:r>
      <w:r w:rsidRPr="00006359">
        <w:rPr>
          <w:rFonts w:cs="Arial" w:hint="cs"/>
          <w:b w:val="0"/>
          <w:bCs w:val="0"/>
          <w:color w:val="auto"/>
          <w:sz w:val="20"/>
          <w:szCs w:val="20"/>
          <w:rtl/>
        </w:rPr>
        <w:t>פלוני</w:t>
      </w:r>
      <w:r w:rsidRPr="00006359">
        <w:rPr>
          <w:rFonts w:cs="Arial"/>
          <w:b w:val="0"/>
          <w:bCs w:val="0"/>
          <w:color w:val="auto"/>
          <w:sz w:val="20"/>
          <w:szCs w:val="20"/>
          <w:rtl/>
        </w:rPr>
        <w:t xml:space="preserve"> </w:t>
      </w:r>
      <w:r w:rsidRPr="00006359">
        <w:rPr>
          <w:rFonts w:cs="Arial" w:hint="cs"/>
          <w:b w:val="0"/>
          <w:bCs w:val="0"/>
          <w:color w:val="auto"/>
          <w:sz w:val="20"/>
          <w:szCs w:val="20"/>
          <w:rtl/>
        </w:rPr>
        <w:t>חכם</w:t>
      </w:r>
      <w:r w:rsidRPr="00006359">
        <w:rPr>
          <w:rFonts w:cs="Arial"/>
          <w:b w:val="0"/>
          <w:bCs w:val="0"/>
          <w:color w:val="auto"/>
          <w:sz w:val="20"/>
          <w:szCs w:val="20"/>
          <w:rtl/>
        </w:rPr>
        <w:t xml:space="preserve"> </w:t>
      </w:r>
      <w:r w:rsidRPr="00006359">
        <w:rPr>
          <w:rFonts w:cs="Arial" w:hint="cs"/>
          <w:b w:val="0"/>
          <w:bCs w:val="0"/>
          <w:color w:val="auto"/>
          <w:sz w:val="20"/>
          <w:szCs w:val="20"/>
          <w:rtl/>
        </w:rPr>
        <w:t>טיהר</w:t>
      </w:r>
      <w:r w:rsidRPr="00006359">
        <w:rPr>
          <w:rFonts w:cs="Arial"/>
          <w:b w:val="0"/>
          <w:bCs w:val="0"/>
          <w:color w:val="auto"/>
          <w:sz w:val="20"/>
          <w:szCs w:val="20"/>
          <w:rtl/>
        </w:rPr>
        <w:t xml:space="preserve"> </w:t>
      </w:r>
      <w:r w:rsidRPr="00006359">
        <w:rPr>
          <w:rFonts w:cs="Arial" w:hint="cs"/>
          <w:b w:val="0"/>
          <w:bCs w:val="0"/>
          <w:color w:val="auto"/>
          <w:sz w:val="20"/>
          <w:szCs w:val="20"/>
          <w:rtl/>
        </w:rPr>
        <w:t>לי</w:t>
      </w:r>
      <w:r w:rsidRPr="00006359">
        <w:rPr>
          <w:rFonts w:cs="Arial"/>
          <w:b w:val="0"/>
          <w:bCs w:val="0"/>
          <w:color w:val="auto"/>
          <w:sz w:val="20"/>
          <w:szCs w:val="20"/>
          <w:rtl/>
        </w:rPr>
        <w:t xml:space="preserve"> </w:t>
      </w:r>
      <w:r w:rsidRPr="00006359">
        <w:rPr>
          <w:rFonts w:cs="Arial" w:hint="cs"/>
          <w:b w:val="0"/>
          <w:bCs w:val="0"/>
          <w:color w:val="auto"/>
          <w:sz w:val="20"/>
          <w:szCs w:val="20"/>
          <w:rtl/>
        </w:rPr>
        <w:t>את</w:t>
      </w:r>
      <w:r w:rsidRPr="00006359">
        <w:rPr>
          <w:rFonts w:cs="Arial"/>
          <w:b w:val="0"/>
          <w:bCs w:val="0"/>
          <w:color w:val="auto"/>
          <w:sz w:val="20"/>
          <w:szCs w:val="20"/>
          <w:rtl/>
        </w:rPr>
        <w:t xml:space="preserve"> </w:t>
      </w:r>
      <w:r w:rsidRPr="00006359">
        <w:rPr>
          <w:rFonts w:cs="Arial" w:hint="cs"/>
          <w:b w:val="0"/>
          <w:bCs w:val="0"/>
          <w:color w:val="auto"/>
          <w:sz w:val="20"/>
          <w:szCs w:val="20"/>
          <w:rtl/>
        </w:rPr>
        <w:t>הדם</w:t>
      </w:r>
      <w:r w:rsidRPr="00006359">
        <w:rPr>
          <w:rFonts w:cs="Arial"/>
          <w:b w:val="0"/>
          <w:bCs w:val="0"/>
          <w:color w:val="auto"/>
          <w:sz w:val="20"/>
          <w:szCs w:val="20"/>
          <w:rtl/>
        </w:rPr>
        <w:t xml:space="preserve">, </w:t>
      </w:r>
      <w:r w:rsidRPr="00006359">
        <w:rPr>
          <w:rFonts w:cs="Arial" w:hint="cs"/>
          <w:b w:val="0"/>
          <w:bCs w:val="0"/>
          <w:color w:val="auto"/>
          <w:sz w:val="20"/>
          <w:szCs w:val="20"/>
          <w:rtl/>
        </w:rPr>
        <w:t>ואזל</w:t>
      </w:r>
      <w:r w:rsidRPr="00006359">
        <w:rPr>
          <w:rFonts w:cs="Arial"/>
          <w:b w:val="0"/>
          <w:bCs w:val="0"/>
          <w:color w:val="auto"/>
          <w:sz w:val="20"/>
          <w:szCs w:val="20"/>
          <w:rtl/>
        </w:rPr>
        <w:t xml:space="preserve"> </w:t>
      </w:r>
      <w:r w:rsidRPr="00006359">
        <w:rPr>
          <w:rFonts w:cs="Arial" w:hint="cs"/>
          <w:b w:val="0"/>
          <w:bCs w:val="0"/>
          <w:color w:val="auto"/>
          <w:sz w:val="20"/>
          <w:szCs w:val="20"/>
          <w:rtl/>
        </w:rPr>
        <w:t>שייליה</w:t>
      </w:r>
      <w:r w:rsidRPr="00006359">
        <w:rPr>
          <w:rFonts w:cs="Arial"/>
          <w:b w:val="0"/>
          <w:bCs w:val="0"/>
          <w:color w:val="auto"/>
          <w:sz w:val="20"/>
          <w:szCs w:val="20"/>
          <w:rtl/>
        </w:rPr>
        <w:t xml:space="preserve"> </w:t>
      </w:r>
      <w:r w:rsidRPr="00006359">
        <w:rPr>
          <w:rFonts w:cs="Arial" w:hint="cs"/>
          <w:b w:val="0"/>
          <w:bCs w:val="0"/>
          <w:color w:val="auto"/>
          <w:sz w:val="20"/>
          <w:szCs w:val="20"/>
          <w:rtl/>
        </w:rPr>
        <w:t>ואשתכח</w:t>
      </w:r>
      <w:r w:rsidRPr="00006359">
        <w:rPr>
          <w:rFonts w:cs="Arial"/>
          <w:b w:val="0"/>
          <w:bCs w:val="0"/>
          <w:color w:val="auto"/>
          <w:sz w:val="20"/>
          <w:szCs w:val="20"/>
          <w:rtl/>
        </w:rPr>
        <w:t xml:space="preserve"> </w:t>
      </w:r>
      <w:r w:rsidRPr="00006359">
        <w:rPr>
          <w:rFonts w:cs="Arial" w:hint="cs"/>
          <w:b w:val="0"/>
          <w:bCs w:val="0"/>
          <w:color w:val="auto"/>
          <w:sz w:val="20"/>
          <w:szCs w:val="20"/>
          <w:rtl/>
        </w:rPr>
        <w:t>שיקרא</w:t>
      </w:r>
      <w:r w:rsidRPr="00006359">
        <w:rPr>
          <w:rFonts w:cs="Arial"/>
          <w:b w:val="0"/>
          <w:bCs w:val="0"/>
          <w:color w:val="auto"/>
          <w:sz w:val="20"/>
          <w:szCs w:val="20"/>
          <w:rtl/>
        </w:rPr>
        <w:t>.</w:t>
      </w:r>
      <w:r w:rsidRPr="0076092D">
        <w:rPr>
          <w:rFonts w:asciiTheme="minorBidi" w:hAnsiTheme="minorBidi" w:cstheme="minorBidi" w:hint="cs"/>
          <w:b w:val="0"/>
          <w:bCs w:val="0"/>
          <w:color w:val="auto"/>
          <w:sz w:val="20"/>
          <w:szCs w:val="20"/>
          <w:rtl/>
        </w:rPr>
        <w:t>"</w:t>
      </w:r>
    </w:p>
    <w:p w:rsidR="00620060" w:rsidRDefault="00620060" w:rsidP="00620060">
      <w:pPr>
        <w:rPr>
          <w:sz w:val="20"/>
          <w:szCs w:val="20"/>
          <w:rtl/>
        </w:rPr>
      </w:pPr>
      <w:r>
        <w:rPr>
          <w:rFonts w:hint="cs"/>
          <w:b/>
          <w:bCs/>
          <w:sz w:val="20"/>
          <w:szCs w:val="20"/>
          <w:rtl/>
        </w:rPr>
        <w:t>בית יוסף</w:t>
      </w:r>
      <w:r w:rsidRPr="008C555E">
        <w:rPr>
          <w:rFonts w:hint="cs"/>
          <w:b/>
          <w:bCs/>
          <w:sz w:val="18"/>
          <w:szCs w:val="18"/>
          <w:rtl/>
        </w:rPr>
        <w:t xml:space="preserve"> </w:t>
      </w:r>
      <w:r w:rsidRPr="008C555E">
        <w:rPr>
          <w:rFonts w:hint="cs"/>
          <w:sz w:val="18"/>
          <w:szCs w:val="18"/>
          <w:rtl/>
        </w:rPr>
        <w:t xml:space="preserve">(ע"פ הראשונים) </w:t>
      </w:r>
      <w:r>
        <w:rPr>
          <w:sz w:val="20"/>
          <w:szCs w:val="20"/>
          <w:rtl/>
        </w:rPr>
        <w:t>–</w:t>
      </w:r>
      <w:r>
        <w:rPr>
          <w:rFonts w:hint="cs"/>
          <w:sz w:val="20"/>
          <w:szCs w:val="20"/>
          <w:rtl/>
        </w:rPr>
        <w:t xml:space="preserve"> החכם נאמן שהיא טמאה רק לעניין לאוסרה על בעלה, אך אינו נאמן להפסיד כתובתה עד שיבואו שני עדים ויאמרו שהאשה היתה עמהם באותו זמן שהיא טוענת ששאלה את החכם.</w:t>
      </w:r>
    </w:p>
    <w:p w:rsidR="00620060" w:rsidRDefault="00620060" w:rsidP="00620060">
      <w:pPr>
        <w:rPr>
          <w:rFonts w:cs="Arial"/>
          <w:sz w:val="18"/>
          <w:szCs w:val="18"/>
          <w:rtl/>
        </w:rPr>
      </w:pPr>
      <w:r>
        <w:rPr>
          <w:rFonts w:hint="cs"/>
          <w:b/>
          <w:bCs/>
          <w:sz w:val="20"/>
          <w:szCs w:val="20"/>
          <w:rtl/>
        </w:rPr>
        <w:t>פסיקת הלכה</w:t>
      </w:r>
      <w:r>
        <w:rPr>
          <w:b/>
          <w:bCs/>
          <w:sz w:val="20"/>
          <w:szCs w:val="20"/>
          <w:rtl/>
        </w:rPr>
        <w:br/>
      </w:r>
      <w:r>
        <w:rPr>
          <w:rFonts w:hint="cs"/>
          <w:b/>
          <w:bCs/>
          <w:sz w:val="20"/>
          <w:szCs w:val="20"/>
          <w:rtl/>
        </w:rPr>
        <w:t xml:space="preserve">רמ"א </w:t>
      </w:r>
      <w:r w:rsidRPr="0076092D">
        <w:rPr>
          <w:sz w:val="18"/>
          <w:szCs w:val="18"/>
          <w:rtl/>
        </w:rPr>
        <w:t>–</w:t>
      </w:r>
      <w:r w:rsidRPr="0076092D">
        <w:rPr>
          <w:rFonts w:hint="cs"/>
          <w:sz w:val="18"/>
          <w:szCs w:val="18"/>
          <w:rtl/>
        </w:rPr>
        <w:t xml:space="preserve"> "</w:t>
      </w:r>
      <w:r w:rsidRPr="0076092D">
        <w:rPr>
          <w:rFonts w:cs="Arial" w:hint="cs"/>
          <w:sz w:val="18"/>
          <w:szCs w:val="18"/>
          <w:rtl/>
        </w:rPr>
        <w:t>אמרה</w:t>
      </w:r>
      <w:r w:rsidRPr="0076092D">
        <w:rPr>
          <w:rFonts w:cs="Arial"/>
          <w:sz w:val="18"/>
          <w:szCs w:val="18"/>
          <w:rtl/>
        </w:rPr>
        <w:t xml:space="preserve">: </w:t>
      </w:r>
      <w:r w:rsidRPr="0076092D">
        <w:rPr>
          <w:rFonts w:cs="Arial" w:hint="cs"/>
          <w:sz w:val="18"/>
          <w:szCs w:val="18"/>
          <w:rtl/>
        </w:rPr>
        <w:t>פלוני</w:t>
      </w:r>
      <w:r w:rsidRPr="0076092D">
        <w:rPr>
          <w:rFonts w:cs="Arial"/>
          <w:sz w:val="18"/>
          <w:szCs w:val="18"/>
          <w:rtl/>
        </w:rPr>
        <w:t xml:space="preserve"> </w:t>
      </w:r>
      <w:r w:rsidRPr="0076092D">
        <w:rPr>
          <w:rFonts w:cs="Arial" w:hint="cs"/>
          <w:sz w:val="18"/>
          <w:szCs w:val="18"/>
          <w:rtl/>
        </w:rPr>
        <w:t>חכם</w:t>
      </w:r>
      <w:r w:rsidRPr="0076092D">
        <w:rPr>
          <w:rFonts w:cs="Arial"/>
          <w:sz w:val="18"/>
          <w:szCs w:val="18"/>
          <w:rtl/>
        </w:rPr>
        <w:t xml:space="preserve"> </w:t>
      </w:r>
      <w:r w:rsidRPr="0076092D">
        <w:rPr>
          <w:rFonts w:cs="Arial" w:hint="cs"/>
          <w:sz w:val="18"/>
          <w:szCs w:val="18"/>
          <w:rtl/>
        </w:rPr>
        <w:t>טהר</w:t>
      </w:r>
      <w:r w:rsidRPr="0076092D">
        <w:rPr>
          <w:rFonts w:cs="Arial"/>
          <w:sz w:val="18"/>
          <w:szCs w:val="18"/>
          <w:rtl/>
        </w:rPr>
        <w:t xml:space="preserve"> </w:t>
      </w:r>
      <w:r w:rsidRPr="0076092D">
        <w:rPr>
          <w:rFonts w:cs="Arial" w:hint="cs"/>
          <w:sz w:val="18"/>
          <w:szCs w:val="18"/>
          <w:rtl/>
        </w:rPr>
        <w:t>לי</w:t>
      </w:r>
      <w:r w:rsidRPr="0076092D">
        <w:rPr>
          <w:rFonts w:cs="Arial"/>
          <w:sz w:val="18"/>
          <w:szCs w:val="18"/>
          <w:rtl/>
        </w:rPr>
        <w:t xml:space="preserve"> </w:t>
      </w:r>
      <w:r w:rsidRPr="0076092D">
        <w:rPr>
          <w:rFonts w:cs="Arial" w:hint="cs"/>
          <w:sz w:val="18"/>
          <w:szCs w:val="18"/>
          <w:rtl/>
        </w:rPr>
        <w:t>כתם</w:t>
      </w:r>
      <w:r w:rsidRPr="0076092D">
        <w:rPr>
          <w:rFonts w:cs="Arial"/>
          <w:sz w:val="18"/>
          <w:szCs w:val="18"/>
          <w:rtl/>
        </w:rPr>
        <w:t xml:space="preserve">, </w:t>
      </w:r>
      <w:r w:rsidRPr="0076092D">
        <w:rPr>
          <w:rFonts w:cs="Arial" w:hint="cs"/>
          <w:sz w:val="18"/>
          <w:szCs w:val="18"/>
          <w:rtl/>
        </w:rPr>
        <w:t>והחכם</w:t>
      </w:r>
      <w:r w:rsidRPr="0076092D">
        <w:rPr>
          <w:rFonts w:cs="Arial"/>
          <w:sz w:val="18"/>
          <w:szCs w:val="18"/>
          <w:rtl/>
        </w:rPr>
        <w:t xml:space="preserve"> </w:t>
      </w:r>
      <w:r w:rsidRPr="0076092D">
        <w:rPr>
          <w:rFonts w:cs="Arial" w:hint="cs"/>
          <w:sz w:val="18"/>
          <w:szCs w:val="18"/>
          <w:rtl/>
        </w:rPr>
        <w:t>אומר</w:t>
      </w:r>
      <w:r w:rsidRPr="0076092D">
        <w:rPr>
          <w:rFonts w:cs="Arial"/>
          <w:sz w:val="18"/>
          <w:szCs w:val="18"/>
          <w:rtl/>
        </w:rPr>
        <w:t xml:space="preserve"> </w:t>
      </w:r>
      <w:r w:rsidRPr="0076092D">
        <w:rPr>
          <w:rFonts w:cs="Arial" w:hint="cs"/>
          <w:sz w:val="18"/>
          <w:szCs w:val="18"/>
          <w:rtl/>
        </w:rPr>
        <w:t>שהיא</w:t>
      </w:r>
      <w:r w:rsidRPr="0076092D">
        <w:rPr>
          <w:rFonts w:cs="Arial"/>
          <w:sz w:val="18"/>
          <w:szCs w:val="18"/>
          <w:rtl/>
        </w:rPr>
        <w:t xml:space="preserve"> </w:t>
      </w:r>
      <w:r w:rsidRPr="0076092D">
        <w:rPr>
          <w:rFonts w:cs="Arial" w:hint="cs"/>
          <w:sz w:val="18"/>
          <w:szCs w:val="18"/>
          <w:rtl/>
        </w:rPr>
        <w:t>משקרת</w:t>
      </w:r>
      <w:r w:rsidRPr="0076092D">
        <w:rPr>
          <w:rFonts w:cs="Arial"/>
          <w:sz w:val="18"/>
          <w:szCs w:val="18"/>
          <w:rtl/>
        </w:rPr>
        <w:t xml:space="preserve">, </w:t>
      </w:r>
      <w:r w:rsidRPr="0076092D">
        <w:rPr>
          <w:rFonts w:cs="Arial" w:hint="cs"/>
          <w:sz w:val="18"/>
          <w:szCs w:val="18"/>
          <w:rtl/>
        </w:rPr>
        <w:t>החכם</w:t>
      </w:r>
      <w:r w:rsidRPr="0076092D">
        <w:rPr>
          <w:rFonts w:cs="Arial"/>
          <w:sz w:val="18"/>
          <w:szCs w:val="18"/>
          <w:rtl/>
        </w:rPr>
        <w:t xml:space="preserve"> </w:t>
      </w:r>
      <w:r w:rsidRPr="0076092D">
        <w:rPr>
          <w:rFonts w:cs="Arial" w:hint="cs"/>
          <w:sz w:val="18"/>
          <w:szCs w:val="18"/>
          <w:rtl/>
        </w:rPr>
        <w:t>נאמן</w:t>
      </w:r>
      <w:r w:rsidRPr="0076092D">
        <w:rPr>
          <w:rFonts w:cs="Arial"/>
          <w:sz w:val="18"/>
          <w:szCs w:val="18"/>
          <w:rtl/>
        </w:rPr>
        <w:t xml:space="preserve">, </w:t>
      </w:r>
      <w:r w:rsidRPr="0076092D">
        <w:rPr>
          <w:rFonts w:cs="Arial" w:hint="cs"/>
          <w:sz w:val="18"/>
          <w:szCs w:val="18"/>
          <w:rtl/>
        </w:rPr>
        <w:t>וטמאה</w:t>
      </w:r>
      <w:r w:rsidRPr="0076092D">
        <w:rPr>
          <w:rFonts w:cs="Arial"/>
          <w:sz w:val="18"/>
          <w:szCs w:val="18"/>
          <w:rtl/>
        </w:rPr>
        <w:t xml:space="preserve"> </w:t>
      </w:r>
      <w:r w:rsidRPr="0076092D">
        <w:rPr>
          <w:rFonts w:cs="Arial" w:hint="cs"/>
          <w:sz w:val="18"/>
          <w:szCs w:val="18"/>
          <w:rtl/>
        </w:rPr>
        <w:t>היא".</w:t>
      </w:r>
      <w:r>
        <w:rPr>
          <w:rFonts w:cs="Arial"/>
          <w:sz w:val="18"/>
          <w:szCs w:val="18"/>
          <w:rtl/>
        </w:rPr>
        <w:br/>
      </w:r>
      <w:r w:rsidRPr="00FF359C">
        <w:rPr>
          <w:rFonts w:cs="Arial" w:hint="cs"/>
          <w:b/>
          <w:bCs/>
          <w:sz w:val="20"/>
          <w:szCs w:val="20"/>
          <w:rtl/>
        </w:rPr>
        <w:t>ט"ז</w:t>
      </w:r>
      <w:r w:rsidRPr="00FF359C">
        <w:rPr>
          <w:rFonts w:cs="Arial" w:hint="cs"/>
          <w:sz w:val="20"/>
          <w:szCs w:val="20"/>
          <w:rtl/>
        </w:rPr>
        <w:t xml:space="preserve"> </w:t>
      </w:r>
      <w:r w:rsidRPr="00FF359C">
        <w:rPr>
          <w:rFonts w:cs="Arial"/>
          <w:sz w:val="20"/>
          <w:szCs w:val="20"/>
          <w:rtl/>
        </w:rPr>
        <w:t>–</w:t>
      </w:r>
      <w:r w:rsidRPr="00FF359C">
        <w:rPr>
          <w:rFonts w:cs="Arial" w:hint="cs"/>
          <w:sz w:val="20"/>
          <w:szCs w:val="20"/>
          <w:rtl/>
        </w:rPr>
        <w:t xml:space="preserve"> החכם נאמן רק לאוסרה על בעלה אך לא להפסיד כתובתה.</w:t>
      </w:r>
    </w:p>
    <w:p w:rsidR="00620060" w:rsidRDefault="00620060" w:rsidP="00620060">
      <w:pPr>
        <w:rPr>
          <w:sz w:val="20"/>
          <w:szCs w:val="20"/>
          <w:rtl/>
        </w:rPr>
      </w:pPr>
      <w:r w:rsidRPr="008C555E">
        <w:rPr>
          <w:rFonts w:cs="Arial" w:hint="cs"/>
          <w:sz w:val="20"/>
          <w:szCs w:val="20"/>
          <w:u w:val="single"/>
          <w:rtl/>
        </w:rPr>
        <w:t>האם עד אחד נאמן?</w:t>
      </w:r>
      <w:r w:rsidRPr="008C555E">
        <w:rPr>
          <w:rFonts w:cs="Arial" w:hint="cs"/>
          <w:sz w:val="20"/>
          <w:szCs w:val="20"/>
          <w:u w:val="single"/>
          <w:rtl/>
        </w:rPr>
        <w:br/>
      </w:r>
      <w:r w:rsidRPr="008C555E">
        <w:rPr>
          <w:rFonts w:cs="Arial" w:hint="cs"/>
          <w:b/>
          <w:bCs/>
          <w:sz w:val="20"/>
          <w:szCs w:val="20"/>
          <w:rtl/>
        </w:rPr>
        <w:t>ט"ז</w:t>
      </w:r>
      <w:r w:rsidRPr="008C555E">
        <w:rPr>
          <w:rFonts w:cs="Arial" w:hint="cs"/>
          <w:sz w:val="20"/>
          <w:szCs w:val="20"/>
          <w:rtl/>
        </w:rPr>
        <w:t xml:space="preserve"> </w:t>
      </w:r>
      <w:r w:rsidRPr="008C555E">
        <w:rPr>
          <w:rFonts w:cs="Arial"/>
          <w:sz w:val="20"/>
          <w:szCs w:val="20"/>
          <w:rtl/>
        </w:rPr>
        <w:t>–</w:t>
      </w:r>
      <w:r w:rsidRPr="008C555E">
        <w:rPr>
          <w:rFonts w:cs="Arial" w:hint="cs"/>
          <w:sz w:val="20"/>
          <w:szCs w:val="20"/>
          <w:rtl/>
        </w:rPr>
        <w:t xml:space="preserve"> דווקא החכם נאמן לאוסרה על בעלה, אך אם בא עד אחד ומעיד שהחכם טימא </w:t>
      </w:r>
      <w:r>
        <w:rPr>
          <w:rFonts w:cs="Arial" w:hint="cs"/>
          <w:sz w:val="20"/>
          <w:szCs w:val="20"/>
          <w:rtl/>
        </w:rPr>
        <w:t>את הכתם, אינו נאמן.</w:t>
      </w:r>
      <w:r>
        <w:rPr>
          <w:rFonts w:cs="Arial"/>
          <w:sz w:val="20"/>
          <w:szCs w:val="20"/>
          <w:rtl/>
        </w:rPr>
        <w:br/>
      </w:r>
      <w:r w:rsidRPr="008C555E">
        <w:rPr>
          <w:rFonts w:cs="Arial" w:hint="cs"/>
          <w:b/>
          <w:bCs/>
          <w:sz w:val="20"/>
          <w:szCs w:val="20"/>
          <w:rtl/>
        </w:rPr>
        <w:t>טעם</w:t>
      </w:r>
      <w:r>
        <w:rPr>
          <w:rFonts w:cs="Arial" w:hint="cs"/>
          <w:sz w:val="20"/>
          <w:szCs w:val="20"/>
          <w:rtl/>
        </w:rPr>
        <w:t xml:space="preserve"> </w:t>
      </w:r>
      <w:r>
        <w:rPr>
          <w:rFonts w:cs="Arial"/>
          <w:sz w:val="20"/>
          <w:szCs w:val="20"/>
          <w:rtl/>
        </w:rPr>
        <w:t>–</w:t>
      </w:r>
      <w:r>
        <w:rPr>
          <w:rFonts w:cs="Arial" w:hint="cs"/>
          <w:sz w:val="20"/>
          <w:szCs w:val="20"/>
          <w:rtl/>
        </w:rPr>
        <w:t xml:space="preserve"> כל מקום שהאמינה התורה לעד אחד הרי הוא כשניים, ואם כן האשה נחשבת כשניים ואין עדיפות לעד אחד כנגדה. ואעפ"כ החכם נאמן לאוסרה, כיוון שהיא סמכה עליו בכך שהלכה לשאול אותו.</w:t>
      </w:r>
      <w:r>
        <w:rPr>
          <w:b/>
          <w:bCs/>
          <w:sz w:val="20"/>
          <w:szCs w:val="20"/>
          <w:rtl/>
        </w:rPr>
        <w:br/>
      </w:r>
      <w:r>
        <w:rPr>
          <w:rFonts w:hint="cs"/>
          <w:b/>
          <w:bCs/>
          <w:sz w:val="20"/>
          <w:szCs w:val="20"/>
          <w:rtl/>
        </w:rPr>
        <w:br/>
      </w:r>
      <w:r w:rsidRPr="00046EB8">
        <w:rPr>
          <w:rFonts w:hint="cs"/>
          <w:b/>
          <w:bCs/>
          <w:sz w:val="20"/>
          <w:szCs w:val="20"/>
          <w:rtl/>
        </w:rPr>
        <w:lastRenderedPageBreak/>
        <w:t>סיכום</w:t>
      </w:r>
      <w:r w:rsidRPr="004A77CF">
        <w:rPr>
          <w:sz w:val="20"/>
          <w:szCs w:val="20"/>
          <w:rtl/>
        </w:rPr>
        <w:br/>
      </w:r>
      <w:r w:rsidRPr="004A77CF">
        <w:rPr>
          <w:rFonts w:hint="cs"/>
          <w:sz w:val="20"/>
          <w:szCs w:val="20"/>
          <w:rtl/>
        </w:rPr>
        <w:t>1.</w:t>
      </w:r>
      <w:r>
        <w:rPr>
          <w:rFonts w:hint="cs"/>
          <w:sz w:val="20"/>
          <w:szCs w:val="20"/>
          <w:rtl/>
        </w:rPr>
        <w:t xml:space="preserve"> </w:t>
      </w:r>
      <w:r w:rsidRPr="0075267E">
        <w:rPr>
          <w:rFonts w:hint="cs"/>
          <w:b/>
          <w:bCs/>
          <w:sz w:val="20"/>
          <w:szCs w:val="20"/>
          <w:rtl/>
        </w:rPr>
        <w:t>גמרא</w:t>
      </w:r>
      <w:r>
        <w:rPr>
          <w:rFonts w:hint="cs"/>
          <w:sz w:val="20"/>
          <w:szCs w:val="20"/>
          <w:rtl/>
        </w:rPr>
        <w:t>. אמרה טמאה אני וחזרה ואמרה טהורה אינה נאמנת, ואם נתנה אמתלה נאמנת, שמואל החמיר.</w:t>
      </w:r>
      <w:r>
        <w:rPr>
          <w:sz w:val="20"/>
          <w:szCs w:val="20"/>
          <w:rtl/>
        </w:rPr>
        <w:br/>
      </w:r>
      <w:r>
        <w:rPr>
          <w:rFonts w:hint="cs"/>
          <w:sz w:val="20"/>
          <w:szCs w:val="20"/>
          <w:rtl/>
        </w:rPr>
        <w:t xml:space="preserve">2. </w:t>
      </w:r>
      <w:r w:rsidRPr="0075267E">
        <w:rPr>
          <w:rFonts w:hint="cs"/>
          <w:b/>
          <w:bCs/>
          <w:sz w:val="20"/>
          <w:szCs w:val="20"/>
          <w:rtl/>
        </w:rPr>
        <w:t>רמב"ם ורשב"א</w:t>
      </w:r>
      <w:r>
        <w:rPr>
          <w:rFonts w:hint="cs"/>
          <w:sz w:val="20"/>
          <w:szCs w:val="20"/>
          <w:rtl/>
        </w:rPr>
        <w:t xml:space="preserve">. אין מעלה להחמיר כשמואל. </w:t>
      </w:r>
      <w:r w:rsidRPr="001D4EC4">
        <w:rPr>
          <w:rFonts w:hint="cs"/>
          <w:b/>
          <w:bCs/>
          <w:sz w:val="20"/>
          <w:szCs w:val="20"/>
          <w:rtl/>
        </w:rPr>
        <w:t>רי"ף</w:t>
      </w:r>
      <w:r>
        <w:rPr>
          <w:rFonts w:hint="cs"/>
          <w:sz w:val="20"/>
          <w:szCs w:val="20"/>
          <w:rtl/>
        </w:rPr>
        <w:t xml:space="preserve">. יש מעלה להחמיר כשמואל, וכ"פ </w:t>
      </w:r>
      <w:r w:rsidRPr="0075267E">
        <w:rPr>
          <w:rFonts w:hint="cs"/>
          <w:b/>
          <w:bCs/>
          <w:sz w:val="20"/>
          <w:szCs w:val="20"/>
          <w:rtl/>
        </w:rPr>
        <w:t>הרמ"א</w:t>
      </w:r>
      <w:r>
        <w:rPr>
          <w:rFonts w:hint="cs"/>
          <w:sz w:val="20"/>
          <w:szCs w:val="20"/>
          <w:rtl/>
        </w:rPr>
        <w:t>.</w:t>
      </w:r>
      <w:r>
        <w:rPr>
          <w:sz w:val="20"/>
          <w:szCs w:val="20"/>
          <w:rtl/>
        </w:rPr>
        <w:br/>
      </w:r>
      <w:r>
        <w:rPr>
          <w:rFonts w:hint="cs"/>
          <w:sz w:val="20"/>
          <w:szCs w:val="20"/>
          <w:rtl/>
        </w:rPr>
        <w:t xml:space="preserve">3. </w:t>
      </w:r>
      <w:r w:rsidRPr="007D0D40">
        <w:rPr>
          <w:rFonts w:hint="cs"/>
          <w:sz w:val="20"/>
          <w:szCs w:val="20"/>
          <w:rtl/>
        </w:rPr>
        <w:t>אמתלת קטטה.</w:t>
      </w:r>
      <w:r>
        <w:rPr>
          <w:rFonts w:hint="cs"/>
          <w:sz w:val="20"/>
          <w:szCs w:val="20"/>
          <w:rtl/>
        </w:rPr>
        <w:t xml:space="preserve"> </w:t>
      </w:r>
      <w:r w:rsidRPr="0075267E">
        <w:rPr>
          <w:rFonts w:hint="cs"/>
          <w:b/>
          <w:bCs/>
          <w:sz w:val="20"/>
          <w:szCs w:val="20"/>
          <w:rtl/>
        </w:rPr>
        <w:t>מהרי"ו</w:t>
      </w:r>
      <w:r>
        <w:rPr>
          <w:rFonts w:hint="cs"/>
          <w:sz w:val="20"/>
          <w:szCs w:val="20"/>
          <w:rtl/>
        </w:rPr>
        <w:t xml:space="preserve">. אמרה טמאה אני וחזרה ואמרה שמחמת קטטה אמרה, נאמנת. ואפילו רק באה לשכב לצידו ומכיר שמעיקרא אמרה מחמת קטטה, מותרת. </w:t>
      </w:r>
      <w:r w:rsidRPr="0075267E">
        <w:rPr>
          <w:rFonts w:hint="cs"/>
          <w:b/>
          <w:bCs/>
          <w:sz w:val="20"/>
          <w:szCs w:val="20"/>
          <w:rtl/>
        </w:rPr>
        <w:t>ש"ך</w:t>
      </w:r>
      <w:r>
        <w:rPr>
          <w:rFonts w:hint="cs"/>
          <w:sz w:val="20"/>
          <w:szCs w:val="20"/>
          <w:rtl/>
        </w:rPr>
        <w:t>. צריך לשאול אותה מדוע באה לשכב לצידו.</w:t>
      </w:r>
      <w:r>
        <w:rPr>
          <w:sz w:val="20"/>
          <w:szCs w:val="20"/>
          <w:rtl/>
        </w:rPr>
        <w:br/>
      </w:r>
      <w:r>
        <w:rPr>
          <w:rFonts w:hint="cs"/>
          <w:sz w:val="20"/>
          <w:szCs w:val="20"/>
          <w:rtl/>
        </w:rPr>
        <w:t xml:space="preserve">4. </w:t>
      </w:r>
      <w:r w:rsidRPr="007D0D40">
        <w:rPr>
          <w:rFonts w:hint="cs"/>
          <w:sz w:val="20"/>
          <w:szCs w:val="20"/>
          <w:rtl/>
        </w:rPr>
        <w:t>משטה.</w:t>
      </w:r>
      <w:r>
        <w:rPr>
          <w:rFonts w:hint="cs"/>
          <w:sz w:val="20"/>
          <w:szCs w:val="20"/>
          <w:rtl/>
        </w:rPr>
        <w:t xml:space="preserve"> </w:t>
      </w:r>
      <w:r w:rsidRPr="0075267E">
        <w:rPr>
          <w:rFonts w:hint="cs"/>
          <w:b/>
          <w:bCs/>
          <w:sz w:val="20"/>
          <w:szCs w:val="20"/>
          <w:rtl/>
        </w:rPr>
        <w:t>רמב"ם</w:t>
      </w:r>
      <w:r>
        <w:rPr>
          <w:rFonts w:hint="cs"/>
          <w:sz w:val="20"/>
          <w:szCs w:val="20"/>
          <w:rtl/>
        </w:rPr>
        <w:t xml:space="preserve">. טוענת משטה הייתי בך, אינה נאמנת ואסורה. </w:t>
      </w:r>
      <w:r w:rsidRPr="000D45E7">
        <w:rPr>
          <w:rFonts w:hint="cs"/>
          <w:b/>
          <w:bCs/>
          <w:sz w:val="20"/>
          <w:szCs w:val="20"/>
          <w:rtl/>
        </w:rPr>
        <w:t>לחו"ש</w:t>
      </w:r>
      <w:r>
        <w:rPr>
          <w:rFonts w:hint="cs"/>
          <w:sz w:val="20"/>
          <w:szCs w:val="20"/>
          <w:rtl/>
        </w:rPr>
        <w:t>. אם ברור לו שהיה בצחוק נאמנת.</w:t>
      </w:r>
      <w:r>
        <w:rPr>
          <w:sz w:val="20"/>
          <w:szCs w:val="20"/>
          <w:rtl/>
        </w:rPr>
        <w:br/>
      </w:r>
      <w:r>
        <w:rPr>
          <w:rFonts w:hint="cs"/>
          <w:sz w:val="20"/>
          <w:szCs w:val="20"/>
          <w:rtl/>
        </w:rPr>
        <w:t xml:space="preserve">5. </w:t>
      </w:r>
      <w:r w:rsidRPr="0075267E">
        <w:rPr>
          <w:rFonts w:hint="cs"/>
          <w:b/>
          <w:bCs/>
          <w:sz w:val="20"/>
          <w:szCs w:val="20"/>
          <w:rtl/>
        </w:rPr>
        <w:t>חוו"ד</w:t>
      </w:r>
      <w:r>
        <w:rPr>
          <w:rFonts w:hint="cs"/>
          <w:sz w:val="20"/>
          <w:szCs w:val="20"/>
          <w:rtl/>
        </w:rPr>
        <w:t>. לאחר שאמרה טמאה אני, אינה נאמנת לומר טהורה אני מעיקרא במיגו שטבלתי כעת.</w:t>
      </w:r>
      <w:r>
        <w:rPr>
          <w:sz w:val="20"/>
          <w:szCs w:val="20"/>
          <w:rtl/>
        </w:rPr>
        <w:br/>
      </w:r>
      <w:r>
        <w:rPr>
          <w:rFonts w:hint="cs"/>
          <w:sz w:val="20"/>
          <w:szCs w:val="20"/>
          <w:rtl/>
        </w:rPr>
        <w:t xml:space="preserve">6. </w:t>
      </w:r>
      <w:r w:rsidRPr="0075267E">
        <w:rPr>
          <w:rFonts w:hint="cs"/>
          <w:b/>
          <w:bCs/>
          <w:sz w:val="20"/>
          <w:szCs w:val="20"/>
          <w:rtl/>
        </w:rPr>
        <w:t>דגמ"ר</w:t>
      </w:r>
      <w:r>
        <w:rPr>
          <w:rFonts w:hint="cs"/>
          <w:sz w:val="20"/>
          <w:szCs w:val="20"/>
          <w:rtl/>
        </w:rPr>
        <w:t>. לאחר ל' יום שאמרה טמאה אני אינה נאמנת באמתלה.</w:t>
      </w:r>
      <w:r>
        <w:rPr>
          <w:rFonts w:hint="cs"/>
          <w:sz w:val="20"/>
          <w:szCs w:val="20"/>
          <w:rtl/>
        </w:rPr>
        <w:br/>
        <w:t xml:space="preserve">7. </w:t>
      </w:r>
      <w:r w:rsidRPr="0075267E">
        <w:rPr>
          <w:rFonts w:hint="cs"/>
          <w:b/>
          <w:bCs/>
          <w:sz w:val="20"/>
          <w:szCs w:val="20"/>
          <w:rtl/>
        </w:rPr>
        <w:t>חת"ס</w:t>
      </w:r>
      <w:r>
        <w:rPr>
          <w:rFonts w:hint="cs"/>
          <w:sz w:val="20"/>
          <w:szCs w:val="20"/>
          <w:rtl/>
        </w:rPr>
        <w:t xml:space="preserve">. אשה האומרת שטעתה בחישוב הימים, אם טוענת </w:t>
      </w:r>
      <w:r w:rsidRPr="004A77CF">
        <w:rPr>
          <w:rFonts w:hint="cs"/>
          <w:sz w:val="20"/>
          <w:szCs w:val="20"/>
          <w:u w:val="single"/>
          <w:rtl/>
        </w:rPr>
        <w:t>שהיום</w:t>
      </w:r>
      <w:r>
        <w:rPr>
          <w:rFonts w:hint="cs"/>
          <w:sz w:val="20"/>
          <w:szCs w:val="20"/>
          <w:rtl/>
        </w:rPr>
        <w:t xml:space="preserve"> טבילתה אינה נאמנת, שמא משתוקקת לו.</w:t>
      </w:r>
      <w:r>
        <w:rPr>
          <w:rFonts w:hint="cs"/>
          <w:sz w:val="20"/>
          <w:szCs w:val="20"/>
          <w:rtl/>
        </w:rPr>
        <w:br/>
        <w:t xml:space="preserve">8. </w:t>
      </w:r>
      <w:r w:rsidRPr="0075267E">
        <w:rPr>
          <w:rFonts w:hint="cs"/>
          <w:b/>
          <w:bCs/>
          <w:sz w:val="20"/>
          <w:szCs w:val="20"/>
          <w:rtl/>
        </w:rPr>
        <w:t>רשב"א</w:t>
      </w:r>
      <w:r>
        <w:rPr>
          <w:rFonts w:hint="cs"/>
          <w:sz w:val="20"/>
          <w:szCs w:val="20"/>
          <w:rtl/>
        </w:rPr>
        <w:t xml:space="preserve">. לבשה בגדי נידות אינה נאמנת לתת אמתלה, וכ"פ </w:t>
      </w:r>
      <w:r w:rsidRPr="0075267E">
        <w:rPr>
          <w:rFonts w:hint="cs"/>
          <w:b/>
          <w:bCs/>
          <w:sz w:val="20"/>
          <w:szCs w:val="20"/>
          <w:rtl/>
        </w:rPr>
        <w:t>המחבר</w:t>
      </w:r>
      <w:r>
        <w:rPr>
          <w:rFonts w:hint="cs"/>
          <w:sz w:val="20"/>
          <w:szCs w:val="20"/>
          <w:rtl/>
        </w:rPr>
        <w:t>.</w:t>
      </w:r>
      <w:r>
        <w:rPr>
          <w:rFonts w:hint="cs"/>
          <w:sz w:val="20"/>
          <w:szCs w:val="20"/>
          <w:rtl/>
        </w:rPr>
        <w:br/>
        <w:t xml:space="preserve">9. </w:t>
      </w:r>
      <w:r w:rsidRPr="0075267E">
        <w:rPr>
          <w:rFonts w:hint="cs"/>
          <w:b/>
          <w:bCs/>
          <w:sz w:val="20"/>
          <w:szCs w:val="20"/>
          <w:rtl/>
        </w:rPr>
        <w:t>טור</w:t>
      </w:r>
      <w:r>
        <w:rPr>
          <w:rFonts w:hint="cs"/>
          <w:sz w:val="20"/>
          <w:szCs w:val="20"/>
          <w:rtl/>
        </w:rPr>
        <w:t xml:space="preserve">. קשה, מאי שנא מאומרת טמאה אני? </w:t>
      </w:r>
      <w:r w:rsidRPr="0075267E">
        <w:rPr>
          <w:rFonts w:hint="cs"/>
          <w:b/>
          <w:bCs/>
          <w:sz w:val="20"/>
          <w:szCs w:val="20"/>
          <w:rtl/>
        </w:rPr>
        <w:t>ב"י</w:t>
      </w:r>
      <w:r>
        <w:rPr>
          <w:rFonts w:hint="cs"/>
          <w:sz w:val="20"/>
          <w:szCs w:val="20"/>
          <w:rtl/>
        </w:rPr>
        <w:t>. מחמת בושה ואונס מקרי ואמרה, אך מעשה הוי מוכיח טפי.</w:t>
      </w:r>
      <w:r>
        <w:rPr>
          <w:rFonts w:hint="cs"/>
          <w:sz w:val="20"/>
          <w:szCs w:val="20"/>
          <w:rtl/>
        </w:rPr>
        <w:br/>
        <w:t xml:space="preserve">10. </w:t>
      </w:r>
      <w:r w:rsidRPr="0075267E">
        <w:rPr>
          <w:rFonts w:hint="cs"/>
          <w:b/>
          <w:bCs/>
          <w:sz w:val="20"/>
          <w:szCs w:val="20"/>
          <w:rtl/>
        </w:rPr>
        <w:t>מהר"</w:t>
      </w:r>
      <w:r>
        <w:rPr>
          <w:rFonts w:hint="cs"/>
          <w:b/>
          <w:bCs/>
          <w:sz w:val="20"/>
          <w:szCs w:val="20"/>
          <w:rtl/>
        </w:rPr>
        <w:t>ר לייב מפראג</w:t>
      </w:r>
      <w:r>
        <w:rPr>
          <w:rFonts w:hint="cs"/>
          <w:sz w:val="20"/>
          <w:szCs w:val="20"/>
          <w:rtl/>
        </w:rPr>
        <w:t xml:space="preserve">. יש ליישב כך </w:t>
      </w:r>
      <w:r>
        <w:rPr>
          <w:sz w:val="20"/>
          <w:szCs w:val="20"/>
          <w:rtl/>
        </w:rPr>
        <w:t>–</w:t>
      </w:r>
      <w:r>
        <w:rPr>
          <w:rFonts w:hint="cs"/>
          <w:sz w:val="20"/>
          <w:szCs w:val="20"/>
          <w:rtl/>
        </w:rPr>
        <w:t xml:space="preserve"> לבישת בגדים מפרסמת את הדבר ולכן אינה נאמנת.</w:t>
      </w:r>
      <w:r>
        <w:rPr>
          <w:sz w:val="20"/>
          <w:szCs w:val="20"/>
          <w:rtl/>
        </w:rPr>
        <w:br/>
      </w:r>
      <w:r>
        <w:rPr>
          <w:rFonts w:hint="cs"/>
          <w:sz w:val="20"/>
          <w:szCs w:val="20"/>
          <w:rtl/>
        </w:rPr>
        <w:t xml:space="preserve">11. </w:t>
      </w:r>
      <w:r w:rsidRPr="0075267E">
        <w:rPr>
          <w:rFonts w:hint="cs"/>
          <w:b/>
          <w:bCs/>
          <w:sz w:val="20"/>
          <w:szCs w:val="20"/>
          <w:rtl/>
        </w:rPr>
        <w:t>ט"ז</w:t>
      </w:r>
      <w:r>
        <w:rPr>
          <w:rFonts w:hint="cs"/>
          <w:sz w:val="20"/>
          <w:szCs w:val="20"/>
          <w:rtl/>
        </w:rPr>
        <w:t xml:space="preserve">. לפי"ז, ה"ה אם אמרה ברבים אינה נאמנת באמתלה. </w:t>
      </w:r>
      <w:r w:rsidRPr="0075267E">
        <w:rPr>
          <w:rFonts w:hint="cs"/>
          <w:b/>
          <w:bCs/>
          <w:sz w:val="20"/>
          <w:szCs w:val="20"/>
          <w:rtl/>
        </w:rPr>
        <w:t>תוה"ש</w:t>
      </w:r>
      <w:r>
        <w:rPr>
          <w:rFonts w:hint="cs"/>
          <w:sz w:val="20"/>
          <w:szCs w:val="20"/>
          <w:rtl/>
        </w:rPr>
        <w:t>. נאמנת, וכן מוכח בגמרא בכתובות.</w:t>
      </w:r>
      <w:r>
        <w:rPr>
          <w:sz w:val="20"/>
          <w:szCs w:val="20"/>
          <w:rtl/>
        </w:rPr>
        <w:br/>
      </w:r>
      <w:r>
        <w:rPr>
          <w:rFonts w:hint="cs"/>
          <w:sz w:val="20"/>
          <w:szCs w:val="20"/>
          <w:rtl/>
        </w:rPr>
        <w:t>12. הוחזקה נידה בשכנותיה ואמרה לבעלה שעשתה זאת למנוע עין הרע בעת הריונה, האם נאמנת?</w:t>
      </w:r>
      <w:r>
        <w:rPr>
          <w:rFonts w:hint="cs"/>
          <w:sz w:val="20"/>
          <w:szCs w:val="20"/>
          <w:rtl/>
        </w:rPr>
        <w:br/>
      </w:r>
      <w:r w:rsidRPr="0075267E">
        <w:rPr>
          <w:rFonts w:hint="cs"/>
          <w:b/>
          <w:bCs/>
          <w:sz w:val="20"/>
          <w:szCs w:val="20"/>
          <w:rtl/>
        </w:rPr>
        <w:t>רמ"א</w:t>
      </w:r>
      <w:r>
        <w:rPr>
          <w:rFonts w:hint="cs"/>
          <w:sz w:val="20"/>
          <w:szCs w:val="20"/>
          <w:rtl/>
        </w:rPr>
        <w:t xml:space="preserve">. כן, ויש לדון מצד אמתלא. </w:t>
      </w:r>
      <w:r w:rsidRPr="0075267E">
        <w:rPr>
          <w:rFonts w:hint="cs"/>
          <w:b/>
          <w:bCs/>
          <w:sz w:val="20"/>
          <w:szCs w:val="20"/>
          <w:rtl/>
        </w:rPr>
        <w:t>ט"ז</w:t>
      </w:r>
      <w:r>
        <w:rPr>
          <w:rFonts w:hint="cs"/>
          <w:sz w:val="20"/>
          <w:szCs w:val="20"/>
          <w:rtl/>
        </w:rPr>
        <w:t xml:space="preserve">. דברי הרמ"א אינם נכונים, היא אמרה לו מעיקרא טהורה אני ופשוט שטהורה. </w:t>
      </w:r>
      <w:r w:rsidRPr="0075267E">
        <w:rPr>
          <w:rFonts w:hint="cs"/>
          <w:b/>
          <w:bCs/>
          <w:sz w:val="20"/>
          <w:szCs w:val="20"/>
          <w:rtl/>
        </w:rPr>
        <w:t>ש"ך</w:t>
      </w:r>
      <w:r>
        <w:rPr>
          <w:rFonts w:hint="cs"/>
          <w:sz w:val="20"/>
          <w:szCs w:val="20"/>
          <w:rtl/>
        </w:rPr>
        <w:t>. הרמ"א רצה ליישב שנאמנת אפילו כשלא אמרה לו זאת מעיקרא.</w:t>
      </w:r>
      <w:r>
        <w:rPr>
          <w:rFonts w:hint="cs"/>
          <w:sz w:val="20"/>
          <w:szCs w:val="20"/>
          <w:rtl/>
        </w:rPr>
        <w:br/>
        <w:t xml:space="preserve">13. </w:t>
      </w:r>
      <w:r w:rsidRPr="00FF359C">
        <w:rPr>
          <w:rFonts w:hint="cs"/>
          <w:b/>
          <w:bCs/>
          <w:sz w:val="20"/>
          <w:szCs w:val="20"/>
          <w:rtl/>
        </w:rPr>
        <w:t>גמרא</w:t>
      </w:r>
      <w:r>
        <w:rPr>
          <w:rFonts w:hint="cs"/>
          <w:sz w:val="20"/>
          <w:szCs w:val="20"/>
          <w:rtl/>
        </w:rPr>
        <w:t>. אשה שאמרה שחכם טיהר לה את הכתם ואילו החכם אומר שהיא משקרת, החכם נאמן.</w:t>
      </w:r>
      <w:r>
        <w:rPr>
          <w:sz w:val="20"/>
          <w:szCs w:val="20"/>
          <w:rtl/>
        </w:rPr>
        <w:br/>
      </w:r>
      <w:r>
        <w:rPr>
          <w:rFonts w:hint="cs"/>
          <w:sz w:val="20"/>
          <w:szCs w:val="20"/>
          <w:rtl/>
        </w:rPr>
        <w:t xml:space="preserve">14. </w:t>
      </w:r>
      <w:r w:rsidRPr="00FF359C">
        <w:rPr>
          <w:rFonts w:hint="cs"/>
          <w:b/>
          <w:bCs/>
          <w:sz w:val="20"/>
          <w:szCs w:val="20"/>
          <w:rtl/>
        </w:rPr>
        <w:t>בית יוסף</w:t>
      </w:r>
      <w:r>
        <w:rPr>
          <w:rFonts w:hint="cs"/>
          <w:sz w:val="20"/>
          <w:szCs w:val="20"/>
          <w:rtl/>
        </w:rPr>
        <w:t xml:space="preserve">. דווקא לאוסרה על בעלה נאמן, אך לא להפסיד כתובתה, וכ"פ </w:t>
      </w:r>
      <w:r w:rsidRPr="00FF359C">
        <w:rPr>
          <w:rFonts w:hint="cs"/>
          <w:b/>
          <w:bCs/>
          <w:sz w:val="20"/>
          <w:szCs w:val="20"/>
          <w:rtl/>
        </w:rPr>
        <w:t>הרמ"א</w:t>
      </w:r>
      <w:r>
        <w:rPr>
          <w:rFonts w:hint="cs"/>
          <w:sz w:val="20"/>
          <w:szCs w:val="20"/>
          <w:rtl/>
        </w:rPr>
        <w:t xml:space="preserve"> ע"פ </w:t>
      </w:r>
      <w:r w:rsidRPr="00FF359C">
        <w:rPr>
          <w:rFonts w:hint="cs"/>
          <w:b/>
          <w:bCs/>
          <w:sz w:val="20"/>
          <w:szCs w:val="20"/>
          <w:rtl/>
        </w:rPr>
        <w:t>הט"ז</w:t>
      </w:r>
      <w:r>
        <w:rPr>
          <w:rFonts w:hint="cs"/>
          <w:sz w:val="20"/>
          <w:szCs w:val="20"/>
          <w:rtl/>
        </w:rPr>
        <w:t>.</w:t>
      </w:r>
      <w:r>
        <w:rPr>
          <w:rFonts w:hint="cs"/>
          <w:sz w:val="20"/>
          <w:szCs w:val="20"/>
          <w:rtl/>
        </w:rPr>
        <w:br/>
        <w:t xml:space="preserve">15. </w:t>
      </w:r>
      <w:r w:rsidRPr="00FF359C">
        <w:rPr>
          <w:rFonts w:hint="cs"/>
          <w:b/>
          <w:bCs/>
          <w:sz w:val="20"/>
          <w:szCs w:val="20"/>
          <w:rtl/>
        </w:rPr>
        <w:t>ט"ז</w:t>
      </w:r>
      <w:r>
        <w:rPr>
          <w:rFonts w:hint="cs"/>
          <w:sz w:val="20"/>
          <w:szCs w:val="20"/>
          <w:rtl/>
        </w:rPr>
        <w:t>. עד אחד אינו נאמן לאוסרה, רק חכם נאמן משום שהיא סמכה עליו.</w:t>
      </w:r>
    </w:p>
    <w:p w:rsidR="00620060" w:rsidRDefault="00620060" w:rsidP="00620060">
      <w:pPr>
        <w:rPr>
          <w:sz w:val="20"/>
          <w:szCs w:val="20"/>
          <w:rtl/>
        </w:rPr>
      </w:pPr>
      <w:r>
        <w:rPr>
          <w:sz w:val="20"/>
          <w:szCs w:val="20"/>
          <w:rtl/>
        </w:rPr>
        <w:br/>
      </w:r>
      <w:r>
        <w:rPr>
          <w:rFonts w:hint="cs"/>
          <w:b/>
          <w:bCs/>
          <w:sz w:val="20"/>
          <w:szCs w:val="20"/>
          <w:rtl/>
        </w:rPr>
        <w:t xml:space="preserve">סעיף ד </w:t>
      </w:r>
      <w:r>
        <w:rPr>
          <w:b/>
          <w:bCs/>
          <w:sz w:val="20"/>
          <w:szCs w:val="20"/>
          <w:rtl/>
        </w:rPr>
        <w:t>–</w:t>
      </w:r>
      <w:r>
        <w:rPr>
          <w:rFonts w:hint="cs"/>
          <w:b/>
          <w:bCs/>
          <w:sz w:val="20"/>
          <w:szCs w:val="20"/>
          <w:rtl/>
        </w:rPr>
        <w:t xml:space="preserve"> פירסה נידה בשעת תשמיש</w:t>
      </w:r>
      <w:r>
        <w:rPr>
          <w:rFonts w:hint="cs"/>
          <w:b/>
          <w:bCs/>
          <w:sz w:val="20"/>
          <w:szCs w:val="20"/>
          <w:rtl/>
        </w:rPr>
        <w:br/>
        <w:t>מקור הדין</w:t>
      </w:r>
      <w:r>
        <w:rPr>
          <w:b/>
          <w:bCs/>
          <w:sz w:val="20"/>
          <w:szCs w:val="20"/>
          <w:rtl/>
        </w:rPr>
        <w:br/>
      </w:r>
      <w:r>
        <w:rPr>
          <w:rFonts w:hint="cs"/>
          <w:b/>
          <w:bCs/>
          <w:sz w:val="20"/>
          <w:szCs w:val="20"/>
          <w:rtl/>
        </w:rPr>
        <w:t xml:space="preserve">גמרא </w:t>
      </w:r>
      <w:r>
        <w:rPr>
          <w:rFonts w:hint="cs"/>
          <w:sz w:val="20"/>
          <w:szCs w:val="20"/>
          <w:rtl/>
        </w:rPr>
        <w:t>שבועות (יז: - יח.) "</w:t>
      </w:r>
      <w:r w:rsidRPr="009742AE">
        <w:rPr>
          <w:rFonts w:cs="Arial" w:hint="cs"/>
          <w:sz w:val="20"/>
          <w:szCs w:val="20"/>
          <w:rtl/>
        </w:rPr>
        <w:t>היה</w:t>
      </w:r>
      <w:r w:rsidRPr="009742AE">
        <w:rPr>
          <w:rFonts w:cs="Arial"/>
          <w:sz w:val="20"/>
          <w:szCs w:val="20"/>
          <w:rtl/>
        </w:rPr>
        <w:t xml:space="preserve"> </w:t>
      </w:r>
      <w:r w:rsidRPr="009742AE">
        <w:rPr>
          <w:rFonts w:cs="Arial" w:hint="cs"/>
          <w:sz w:val="20"/>
          <w:szCs w:val="20"/>
          <w:rtl/>
        </w:rPr>
        <w:t>משמש</w:t>
      </w:r>
      <w:r w:rsidRPr="009742AE">
        <w:rPr>
          <w:rFonts w:cs="Arial"/>
          <w:sz w:val="20"/>
          <w:szCs w:val="20"/>
          <w:rtl/>
        </w:rPr>
        <w:t xml:space="preserve"> </w:t>
      </w:r>
      <w:r w:rsidRPr="009742AE">
        <w:rPr>
          <w:rFonts w:cs="Arial" w:hint="cs"/>
          <w:sz w:val="20"/>
          <w:szCs w:val="20"/>
          <w:rtl/>
        </w:rPr>
        <w:t>עם</w:t>
      </w:r>
      <w:r w:rsidRPr="009742AE">
        <w:rPr>
          <w:rFonts w:cs="Arial"/>
          <w:sz w:val="20"/>
          <w:szCs w:val="20"/>
          <w:rtl/>
        </w:rPr>
        <w:t xml:space="preserve"> </w:t>
      </w:r>
      <w:r w:rsidRPr="009742AE">
        <w:rPr>
          <w:rFonts w:cs="Arial" w:hint="cs"/>
          <w:sz w:val="20"/>
          <w:szCs w:val="20"/>
          <w:rtl/>
        </w:rPr>
        <w:t>הטהורה</w:t>
      </w:r>
      <w:r w:rsidRPr="009742AE">
        <w:rPr>
          <w:rFonts w:cs="Arial"/>
          <w:sz w:val="20"/>
          <w:szCs w:val="20"/>
          <w:rtl/>
        </w:rPr>
        <w:t xml:space="preserve">, </w:t>
      </w:r>
      <w:r w:rsidRPr="009742AE">
        <w:rPr>
          <w:rFonts w:cs="Arial" w:hint="cs"/>
          <w:sz w:val="20"/>
          <w:szCs w:val="20"/>
          <w:rtl/>
        </w:rPr>
        <w:t>ואמרה</w:t>
      </w:r>
      <w:r w:rsidRPr="009742AE">
        <w:rPr>
          <w:rFonts w:cs="Arial"/>
          <w:sz w:val="20"/>
          <w:szCs w:val="20"/>
          <w:rtl/>
        </w:rPr>
        <w:t xml:space="preserve"> </w:t>
      </w:r>
      <w:r w:rsidRPr="009742AE">
        <w:rPr>
          <w:rFonts w:cs="Arial" w:hint="cs"/>
          <w:sz w:val="20"/>
          <w:szCs w:val="20"/>
          <w:rtl/>
        </w:rPr>
        <w:t>לו</w:t>
      </w:r>
      <w:r w:rsidRPr="009742AE">
        <w:rPr>
          <w:rFonts w:cs="Arial"/>
          <w:sz w:val="20"/>
          <w:szCs w:val="20"/>
          <w:rtl/>
        </w:rPr>
        <w:t xml:space="preserve"> </w:t>
      </w:r>
      <w:r w:rsidRPr="009742AE">
        <w:rPr>
          <w:rFonts w:cs="Arial" w:hint="cs"/>
          <w:sz w:val="20"/>
          <w:szCs w:val="20"/>
          <w:rtl/>
        </w:rPr>
        <w:t>נטמאתי</w:t>
      </w:r>
      <w:r w:rsidRPr="009742AE">
        <w:rPr>
          <w:rFonts w:cs="Arial"/>
          <w:sz w:val="20"/>
          <w:szCs w:val="20"/>
          <w:rtl/>
        </w:rPr>
        <w:t xml:space="preserve"> </w:t>
      </w:r>
      <w:r w:rsidRPr="009742AE">
        <w:rPr>
          <w:rFonts w:cs="Arial" w:hint="cs"/>
          <w:sz w:val="20"/>
          <w:szCs w:val="20"/>
          <w:rtl/>
        </w:rPr>
        <w:t>ופירש</w:t>
      </w:r>
      <w:r w:rsidRPr="009742AE">
        <w:rPr>
          <w:rFonts w:cs="Arial"/>
          <w:sz w:val="20"/>
          <w:szCs w:val="20"/>
          <w:rtl/>
        </w:rPr>
        <w:t xml:space="preserve"> </w:t>
      </w:r>
      <w:r w:rsidRPr="009742AE">
        <w:rPr>
          <w:rFonts w:cs="Arial" w:hint="cs"/>
          <w:sz w:val="20"/>
          <w:szCs w:val="20"/>
          <w:rtl/>
        </w:rPr>
        <w:t>מיד</w:t>
      </w:r>
      <w:r w:rsidRPr="009742AE">
        <w:rPr>
          <w:rFonts w:cs="Arial"/>
          <w:sz w:val="20"/>
          <w:szCs w:val="20"/>
          <w:rtl/>
        </w:rPr>
        <w:t xml:space="preserve"> - </w:t>
      </w:r>
      <w:r w:rsidRPr="009742AE">
        <w:rPr>
          <w:rFonts w:cs="Arial" w:hint="cs"/>
          <w:sz w:val="20"/>
          <w:szCs w:val="20"/>
          <w:rtl/>
        </w:rPr>
        <w:t>חייב</w:t>
      </w:r>
      <w:r w:rsidRPr="009742AE">
        <w:rPr>
          <w:rFonts w:cs="Arial"/>
          <w:sz w:val="20"/>
          <w:szCs w:val="20"/>
          <w:rtl/>
        </w:rPr>
        <w:t xml:space="preserve">, </w:t>
      </w:r>
      <w:r w:rsidRPr="009742AE">
        <w:rPr>
          <w:rFonts w:cs="Arial" w:hint="cs"/>
          <w:sz w:val="20"/>
          <w:szCs w:val="20"/>
          <w:rtl/>
        </w:rPr>
        <w:t>מפני</w:t>
      </w:r>
      <w:r w:rsidRPr="009742AE">
        <w:rPr>
          <w:rFonts w:cs="Arial"/>
          <w:sz w:val="20"/>
          <w:szCs w:val="20"/>
          <w:rtl/>
        </w:rPr>
        <w:t xml:space="preserve"> </w:t>
      </w:r>
      <w:r w:rsidRPr="009742AE">
        <w:rPr>
          <w:rFonts w:cs="Arial" w:hint="cs"/>
          <w:sz w:val="20"/>
          <w:szCs w:val="20"/>
          <w:rtl/>
        </w:rPr>
        <w:t>שיציאתו</w:t>
      </w:r>
      <w:r w:rsidRPr="009742AE">
        <w:rPr>
          <w:rFonts w:cs="Arial"/>
          <w:sz w:val="20"/>
          <w:szCs w:val="20"/>
          <w:rtl/>
        </w:rPr>
        <w:t xml:space="preserve"> </w:t>
      </w:r>
      <w:r w:rsidRPr="009742AE">
        <w:rPr>
          <w:rFonts w:cs="Arial" w:hint="cs"/>
          <w:sz w:val="20"/>
          <w:szCs w:val="20"/>
          <w:rtl/>
        </w:rPr>
        <w:t>הנאה</w:t>
      </w:r>
      <w:r w:rsidRPr="009742AE">
        <w:rPr>
          <w:rFonts w:cs="Arial"/>
          <w:sz w:val="20"/>
          <w:szCs w:val="20"/>
          <w:rtl/>
        </w:rPr>
        <w:t xml:space="preserve"> </w:t>
      </w:r>
      <w:r w:rsidRPr="009742AE">
        <w:rPr>
          <w:rFonts w:cs="Arial" w:hint="cs"/>
          <w:sz w:val="20"/>
          <w:szCs w:val="20"/>
          <w:rtl/>
        </w:rPr>
        <w:t>לו</w:t>
      </w:r>
      <w:r w:rsidRPr="009742AE">
        <w:rPr>
          <w:rFonts w:cs="Arial"/>
          <w:sz w:val="20"/>
          <w:szCs w:val="20"/>
          <w:rtl/>
        </w:rPr>
        <w:t xml:space="preserve"> </w:t>
      </w:r>
      <w:r w:rsidRPr="009742AE">
        <w:rPr>
          <w:rFonts w:cs="Arial" w:hint="cs"/>
          <w:sz w:val="20"/>
          <w:szCs w:val="20"/>
          <w:rtl/>
        </w:rPr>
        <w:t>כביאתו</w:t>
      </w:r>
      <w:r>
        <w:rPr>
          <w:rFonts w:cs="Arial" w:hint="cs"/>
          <w:sz w:val="20"/>
          <w:szCs w:val="20"/>
          <w:rtl/>
        </w:rPr>
        <w:t xml:space="preserve">... </w:t>
      </w:r>
      <w:r w:rsidRPr="009742AE">
        <w:rPr>
          <w:rFonts w:cs="Arial" w:hint="cs"/>
          <w:sz w:val="20"/>
          <w:szCs w:val="20"/>
          <w:rtl/>
        </w:rPr>
        <w:t>היכי</w:t>
      </w:r>
      <w:r w:rsidRPr="009742AE">
        <w:rPr>
          <w:rFonts w:cs="Arial"/>
          <w:sz w:val="20"/>
          <w:szCs w:val="20"/>
          <w:rtl/>
        </w:rPr>
        <w:t xml:space="preserve"> </w:t>
      </w:r>
      <w:r w:rsidRPr="009742AE">
        <w:rPr>
          <w:rFonts w:cs="Arial" w:hint="cs"/>
          <w:sz w:val="20"/>
          <w:szCs w:val="20"/>
          <w:rtl/>
        </w:rPr>
        <w:t>עביד</w:t>
      </w:r>
      <w:r w:rsidRPr="009742AE">
        <w:rPr>
          <w:rFonts w:cs="Arial"/>
          <w:sz w:val="20"/>
          <w:szCs w:val="20"/>
          <w:rtl/>
        </w:rPr>
        <w:t xml:space="preserve">? </w:t>
      </w:r>
      <w:r w:rsidRPr="009742AE">
        <w:rPr>
          <w:rFonts w:cs="Arial" w:hint="cs"/>
          <w:sz w:val="20"/>
          <w:szCs w:val="20"/>
          <w:rtl/>
        </w:rPr>
        <w:t>אמר</w:t>
      </w:r>
      <w:r w:rsidRPr="009742AE">
        <w:rPr>
          <w:rFonts w:cs="Arial"/>
          <w:sz w:val="20"/>
          <w:szCs w:val="20"/>
          <w:rtl/>
        </w:rPr>
        <w:t xml:space="preserve"> </w:t>
      </w:r>
      <w:r w:rsidRPr="009742AE">
        <w:rPr>
          <w:rFonts w:cs="Arial" w:hint="cs"/>
          <w:sz w:val="20"/>
          <w:szCs w:val="20"/>
          <w:rtl/>
        </w:rPr>
        <w:t>רב</w:t>
      </w:r>
      <w:r w:rsidRPr="009742AE">
        <w:rPr>
          <w:rFonts w:cs="Arial"/>
          <w:sz w:val="20"/>
          <w:szCs w:val="20"/>
          <w:rtl/>
        </w:rPr>
        <w:t xml:space="preserve"> </w:t>
      </w:r>
      <w:r w:rsidRPr="009742AE">
        <w:rPr>
          <w:rFonts w:cs="Arial" w:hint="cs"/>
          <w:sz w:val="20"/>
          <w:szCs w:val="20"/>
          <w:rtl/>
        </w:rPr>
        <w:t>הונא</w:t>
      </w:r>
      <w:r w:rsidRPr="009742AE">
        <w:rPr>
          <w:rFonts w:cs="Arial"/>
          <w:sz w:val="20"/>
          <w:szCs w:val="20"/>
          <w:rtl/>
        </w:rPr>
        <w:t xml:space="preserve"> </w:t>
      </w:r>
      <w:r w:rsidRPr="009742AE">
        <w:rPr>
          <w:rFonts w:cs="Arial" w:hint="cs"/>
          <w:sz w:val="20"/>
          <w:szCs w:val="20"/>
          <w:rtl/>
        </w:rPr>
        <w:t>משמיה</w:t>
      </w:r>
      <w:r w:rsidRPr="009742AE">
        <w:rPr>
          <w:rFonts w:cs="Arial"/>
          <w:sz w:val="20"/>
          <w:szCs w:val="20"/>
          <w:rtl/>
        </w:rPr>
        <w:t xml:space="preserve"> </w:t>
      </w:r>
      <w:r w:rsidRPr="009742AE">
        <w:rPr>
          <w:rFonts w:cs="Arial" w:hint="cs"/>
          <w:sz w:val="20"/>
          <w:szCs w:val="20"/>
          <w:rtl/>
        </w:rPr>
        <w:t>דרבא</w:t>
      </w:r>
      <w:r w:rsidRPr="009742AE">
        <w:rPr>
          <w:rFonts w:cs="Arial"/>
          <w:sz w:val="20"/>
          <w:szCs w:val="20"/>
          <w:rtl/>
        </w:rPr>
        <w:t xml:space="preserve">: </w:t>
      </w:r>
      <w:r w:rsidRPr="009742AE">
        <w:rPr>
          <w:rFonts w:cs="Arial" w:hint="cs"/>
          <w:sz w:val="20"/>
          <w:szCs w:val="20"/>
          <w:rtl/>
        </w:rPr>
        <w:t>נועץ</w:t>
      </w:r>
      <w:r w:rsidRPr="009742AE">
        <w:rPr>
          <w:rFonts w:cs="Arial"/>
          <w:sz w:val="20"/>
          <w:szCs w:val="20"/>
          <w:rtl/>
        </w:rPr>
        <w:t xml:space="preserve"> </w:t>
      </w:r>
      <w:r w:rsidRPr="009742AE">
        <w:rPr>
          <w:rFonts w:cs="Arial" w:hint="cs"/>
          <w:sz w:val="20"/>
          <w:szCs w:val="20"/>
          <w:rtl/>
        </w:rPr>
        <w:t>עשר</w:t>
      </w:r>
      <w:r w:rsidRPr="009742AE">
        <w:rPr>
          <w:rFonts w:cs="Arial"/>
          <w:sz w:val="20"/>
          <w:szCs w:val="20"/>
          <w:rtl/>
        </w:rPr>
        <w:t xml:space="preserve"> </w:t>
      </w:r>
      <w:r w:rsidRPr="009742AE">
        <w:rPr>
          <w:rFonts w:cs="Arial" w:hint="cs"/>
          <w:sz w:val="20"/>
          <w:szCs w:val="20"/>
          <w:rtl/>
        </w:rPr>
        <w:t>צפרניו</w:t>
      </w:r>
      <w:r w:rsidRPr="009742AE">
        <w:rPr>
          <w:rFonts w:cs="Arial"/>
          <w:sz w:val="20"/>
          <w:szCs w:val="20"/>
          <w:rtl/>
        </w:rPr>
        <w:t xml:space="preserve"> </w:t>
      </w:r>
      <w:r w:rsidRPr="009742AE">
        <w:rPr>
          <w:rFonts w:cs="Arial" w:hint="cs"/>
          <w:sz w:val="20"/>
          <w:szCs w:val="20"/>
          <w:rtl/>
        </w:rPr>
        <w:t>בקרקע</w:t>
      </w:r>
      <w:r w:rsidRPr="009742AE">
        <w:rPr>
          <w:rFonts w:cs="Arial"/>
          <w:sz w:val="20"/>
          <w:szCs w:val="20"/>
          <w:rtl/>
        </w:rPr>
        <w:t xml:space="preserve"> </w:t>
      </w:r>
      <w:r w:rsidRPr="009742AE">
        <w:rPr>
          <w:rFonts w:cs="Arial" w:hint="cs"/>
          <w:sz w:val="20"/>
          <w:szCs w:val="20"/>
          <w:rtl/>
        </w:rPr>
        <w:t>עד</w:t>
      </w:r>
      <w:r w:rsidRPr="009742AE">
        <w:rPr>
          <w:rFonts w:cs="Arial"/>
          <w:sz w:val="20"/>
          <w:szCs w:val="20"/>
          <w:rtl/>
        </w:rPr>
        <w:t xml:space="preserve"> </w:t>
      </w:r>
      <w:r w:rsidRPr="009742AE">
        <w:rPr>
          <w:rFonts w:cs="Arial" w:hint="cs"/>
          <w:sz w:val="20"/>
          <w:szCs w:val="20"/>
          <w:rtl/>
        </w:rPr>
        <w:t>שימות</w:t>
      </w:r>
      <w:r>
        <w:rPr>
          <w:rFonts w:cs="Arial" w:hint="cs"/>
          <w:sz w:val="20"/>
          <w:szCs w:val="20"/>
          <w:rtl/>
        </w:rPr>
        <w:t>".</w:t>
      </w:r>
      <w:r>
        <w:rPr>
          <w:rFonts w:cs="Arial"/>
          <w:sz w:val="20"/>
          <w:szCs w:val="20"/>
          <w:rtl/>
        </w:rPr>
        <w:br/>
      </w:r>
      <w:r w:rsidRPr="009742AE">
        <w:rPr>
          <w:rFonts w:cs="Arial" w:hint="cs"/>
          <w:b/>
          <w:bCs/>
          <w:sz w:val="20"/>
          <w:szCs w:val="20"/>
          <w:rtl/>
        </w:rPr>
        <w:t>רמב"ם</w:t>
      </w:r>
      <w:r>
        <w:rPr>
          <w:rFonts w:cs="Arial" w:hint="cs"/>
          <w:sz w:val="20"/>
          <w:szCs w:val="20"/>
          <w:rtl/>
        </w:rPr>
        <w:t xml:space="preserve"> </w:t>
      </w:r>
      <w:r>
        <w:rPr>
          <w:rFonts w:cs="Arial"/>
          <w:sz w:val="20"/>
          <w:szCs w:val="20"/>
          <w:rtl/>
        </w:rPr>
        <w:t>–</w:t>
      </w:r>
      <w:r>
        <w:rPr>
          <w:rFonts w:cs="Arial" w:hint="cs"/>
          <w:sz w:val="20"/>
          <w:szCs w:val="20"/>
          <w:rtl/>
        </w:rPr>
        <w:t xml:space="preserve"> אם יצא בקישוי חייב כרת.</w:t>
      </w:r>
    </w:p>
    <w:p w:rsidR="00620060" w:rsidRDefault="00620060" w:rsidP="00620060">
      <w:pPr>
        <w:rPr>
          <w:sz w:val="20"/>
          <w:szCs w:val="20"/>
          <w:rtl/>
        </w:rPr>
      </w:pPr>
      <w:r>
        <w:rPr>
          <w:rFonts w:hint="cs"/>
          <w:sz w:val="20"/>
          <w:szCs w:val="20"/>
          <w:u w:val="single"/>
          <w:rtl/>
        </w:rPr>
        <w:t>פרטים בדין זה (בית יוסף)</w:t>
      </w:r>
      <w:r>
        <w:rPr>
          <w:rFonts w:hint="cs"/>
          <w:sz w:val="20"/>
          <w:szCs w:val="20"/>
          <w:u w:val="single"/>
          <w:rtl/>
        </w:rPr>
        <w:br/>
      </w:r>
      <w:r>
        <w:rPr>
          <w:rFonts w:hint="cs"/>
          <w:sz w:val="20"/>
          <w:szCs w:val="20"/>
          <w:rtl/>
        </w:rPr>
        <w:t>א. הטעם שיש לנעוץ ציפורניו בקרקע הוא, משום שכל עוד לא עשה כן נמצא נהנה.</w:t>
      </w:r>
      <w:r>
        <w:rPr>
          <w:sz w:val="20"/>
          <w:szCs w:val="20"/>
          <w:rtl/>
        </w:rPr>
        <w:br/>
      </w:r>
      <w:r>
        <w:rPr>
          <w:rFonts w:hint="cs"/>
          <w:sz w:val="20"/>
          <w:szCs w:val="20"/>
          <w:rtl/>
        </w:rPr>
        <w:t xml:space="preserve">ב. </w:t>
      </w:r>
      <w:r w:rsidRPr="00F95F4E">
        <w:rPr>
          <w:rFonts w:hint="cs"/>
          <w:b/>
          <w:bCs/>
          <w:sz w:val="20"/>
          <w:szCs w:val="20"/>
          <w:rtl/>
        </w:rPr>
        <w:t>רמב"ם</w:t>
      </w:r>
      <w:r>
        <w:rPr>
          <w:rFonts w:hint="cs"/>
          <w:sz w:val="20"/>
          <w:szCs w:val="20"/>
          <w:rtl/>
        </w:rPr>
        <w:t xml:space="preserve"> וראשונים נוספים </w:t>
      </w:r>
      <w:r>
        <w:rPr>
          <w:sz w:val="20"/>
          <w:szCs w:val="20"/>
          <w:rtl/>
        </w:rPr>
        <w:t>–</w:t>
      </w:r>
      <w:r>
        <w:rPr>
          <w:rFonts w:hint="cs"/>
          <w:sz w:val="20"/>
          <w:szCs w:val="20"/>
          <w:rtl/>
        </w:rPr>
        <w:t xml:space="preserve"> פשוט שאין לו לדוש באבר באותו מקום, אלא ממתין עד שימות האבר ויוצא.</w:t>
      </w:r>
      <w:r>
        <w:rPr>
          <w:sz w:val="20"/>
          <w:szCs w:val="20"/>
          <w:rtl/>
        </w:rPr>
        <w:br/>
      </w:r>
      <w:r>
        <w:rPr>
          <w:rFonts w:hint="cs"/>
          <w:sz w:val="20"/>
          <w:szCs w:val="20"/>
          <w:rtl/>
        </w:rPr>
        <w:t xml:space="preserve">ג. </w:t>
      </w:r>
      <w:r w:rsidRPr="00F95F4E">
        <w:rPr>
          <w:rFonts w:hint="cs"/>
          <w:b/>
          <w:bCs/>
          <w:sz w:val="20"/>
          <w:szCs w:val="20"/>
          <w:rtl/>
        </w:rPr>
        <w:t>סמ"ג</w:t>
      </w:r>
      <w:r>
        <w:rPr>
          <w:rFonts w:hint="cs"/>
          <w:sz w:val="20"/>
          <w:szCs w:val="20"/>
          <w:rtl/>
        </w:rPr>
        <w:t xml:space="preserve"> </w:t>
      </w:r>
      <w:r>
        <w:rPr>
          <w:sz w:val="20"/>
          <w:szCs w:val="20"/>
          <w:rtl/>
        </w:rPr>
        <w:t>–</w:t>
      </w:r>
      <w:r>
        <w:rPr>
          <w:rFonts w:hint="cs"/>
          <w:sz w:val="20"/>
          <w:szCs w:val="20"/>
          <w:rtl/>
        </w:rPr>
        <w:t xml:space="preserve"> עליו לפנות ליבו ביראה ורתת גדול עד שימות האבר וייצא, וכ"כ </w:t>
      </w:r>
      <w:r w:rsidRPr="00F95F4E">
        <w:rPr>
          <w:rFonts w:hint="cs"/>
          <w:b/>
          <w:bCs/>
          <w:sz w:val="20"/>
          <w:szCs w:val="20"/>
          <w:rtl/>
        </w:rPr>
        <w:t>הרמ"א</w:t>
      </w:r>
      <w:r>
        <w:rPr>
          <w:rFonts w:hint="cs"/>
          <w:sz w:val="20"/>
          <w:szCs w:val="20"/>
          <w:rtl/>
        </w:rPr>
        <w:t>.</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F95F4E">
        <w:rPr>
          <w:rFonts w:cs="Arial" w:hint="cs"/>
          <w:sz w:val="20"/>
          <w:szCs w:val="20"/>
          <w:rtl/>
        </w:rPr>
        <w:t>היה</w:t>
      </w:r>
      <w:r w:rsidRPr="00F95F4E">
        <w:rPr>
          <w:rFonts w:cs="Arial"/>
          <w:sz w:val="20"/>
          <w:szCs w:val="20"/>
          <w:rtl/>
        </w:rPr>
        <w:t xml:space="preserve"> </w:t>
      </w:r>
      <w:r w:rsidRPr="00F95F4E">
        <w:rPr>
          <w:rFonts w:cs="Arial" w:hint="cs"/>
          <w:sz w:val="20"/>
          <w:szCs w:val="20"/>
          <w:rtl/>
        </w:rPr>
        <w:t>משמש</w:t>
      </w:r>
      <w:r w:rsidRPr="00F95F4E">
        <w:rPr>
          <w:rFonts w:cs="Arial"/>
          <w:sz w:val="20"/>
          <w:szCs w:val="20"/>
          <w:rtl/>
        </w:rPr>
        <w:t xml:space="preserve"> </w:t>
      </w:r>
      <w:r w:rsidRPr="00F95F4E">
        <w:rPr>
          <w:rFonts w:cs="Arial" w:hint="cs"/>
          <w:sz w:val="20"/>
          <w:szCs w:val="20"/>
          <w:rtl/>
        </w:rPr>
        <w:t>עם</w:t>
      </w:r>
      <w:r w:rsidRPr="00F95F4E">
        <w:rPr>
          <w:rFonts w:cs="Arial"/>
          <w:sz w:val="20"/>
          <w:szCs w:val="20"/>
          <w:rtl/>
        </w:rPr>
        <w:t xml:space="preserve"> </w:t>
      </w:r>
      <w:r w:rsidRPr="00F95F4E">
        <w:rPr>
          <w:rFonts w:cs="Arial" w:hint="cs"/>
          <w:sz w:val="20"/>
          <w:szCs w:val="20"/>
          <w:rtl/>
        </w:rPr>
        <w:t>הטהורה</w:t>
      </w:r>
      <w:r w:rsidRPr="00F95F4E">
        <w:rPr>
          <w:rFonts w:cs="Arial"/>
          <w:sz w:val="20"/>
          <w:szCs w:val="20"/>
          <w:rtl/>
        </w:rPr>
        <w:t xml:space="preserve"> </w:t>
      </w:r>
      <w:r w:rsidRPr="00F95F4E">
        <w:rPr>
          <w:rFonts w:cs="Arial" w:hint="cs"/>
          <w:sz w:val="20"/>
          <w:szCs w:val="20"/>
          <w:rtl/>
        </w:rPr>
        <w:t>ואמרה</w:t>
      </w:r>
      <w:r w:rsidRPr="00F95F4E">
        <w:rPr>
          <w:rFonts w:cs="Arial"/>
          <w:sz w:val="20"/>
          <w:szCs w:val="20"/>
          <w:rtl/>
        </w:rPr>
        <w:t xml:space="preserve"> </w:t>
      </w:r>
      <w:r w:rsidRPr="00F95F4E">
        <w:rPr>
          <w:rFonts w:cs="Arial" w:hint="cs"/>
          <w:sz w:val="20"/>
          <w:szCs w:val="20"/>
          <w:rtl/>
        </w:rPr>
        <w:t>לו</w:t>
      </w:r>
      <w:r w:rsidRPr="00F95F4E">
        <w:rPr>
          <w:rFonts w:cs="Arial"/>
          <w:sz w:val="20"/>
          <w:szCs w:val="20"/>
          <w:rtl/>
        </w:rPr>
        <w:t xml:space="preserve">: </w:t>
      </w:r>
      <w:r w:rsidRPr="00F95F4E">
        <w:rPr>
          <w:rFonts w:cs="Arial" w:hint="cs"/>
          <w:sz w:val="20"/>
          <w:szCs w:val="20"/>
          <w:rtl/>
        </w:rPr>
        <w:t>נטמאתי</w:t>
      </w:r>
      <w:r w:rsidRPr="00F95F4E">
        <w:rPr>
          <w:rFonts w:cs="Arial"/>
          <w:sz w:val="20"/>
          <w:szCs w:val="20"/>
          <w:rtl/>
        </w:rPr>
        <w:t xml:space="preserve">, </w:t>
      </w:r>
      <w:r w:rsidRPr="00F95F4E">
        <w:rPr>
          <w:rFonts w:cs="Arial" w:hint="cs"/>
          <w:sz w:val="20"/>
          <w:szCs w:val="20"/>
          <w:rtl/>
        </w:rPr>
        <w:t>ופירש</w:t>
      </w:r>
      <w:r w:rsidRPr="00F95F4E">
        <w:rPr>
          <w:rFonts w:cs="Arial"/>
          <w:sz w:val="20"/>
          <w:szCs w:val="20"/>
          <w:rtl/>
        </w:rPr>
        <w:t xml:space="preserve"> </w:t>
      </w:r>
      <w:r w:rsidRPr="00F95F4E">
        <w:rPr>
          <w:rFonts w:cs="Arial" w:hint="cs"/>
          <w:sz w:val="20"/>
          <w:szCs w:val="20"/>
          <w:rtl/>
        </w:rPr>
        <w:t>מיד</w:t>
      </w:r>
      <w:r w:rsidRPr="00F95F4E">
        <w:rPr>
          <w:rFonts w:cs="Arial"/>
          <w:sz w:val="20"/>
          <w:szCs w:val="20"/>
          <w:rtl/>
        </w:rPr>
        <w:t xml:space="preserve">, </w:t>
      </w:r>
      <w:r w:rsidRPr="00F95F4E">
        <w:rPr>
          <w:rFonts w:cs="Arial" w:hint="cs"/>
          <w:sz w:val="20"/>
          <w:szCs w:val="20"/>
          <w:rtl/>
        </w:rPr>
        <w:t>חייב</w:t>
      </w:r>
      <w:r w:rsidRPr="00F95F4E">
        <w:rPr>
          <w:rFonts w:cs="Arial"/>
          <w:sz w:val="20"/>
          <w:szCs w:val="20"/>
          <w:rtl/>
        </w:rPr>
        <w:t xml:space="preserve"> </w:t>
      </w:r>
      <w:r w:rsidRPr="00F95F4E">
        <w:rPr>
          <w:rFonts w:cs="Arial" w:hint="cs"/>
          <w:sz w:val="20"/>
          <w:szCs w:val="20"/>
          <w:rtl/>
        </w:rPr>
        <w:t>כרת</w:t>
      </w:r>
      <w:r w:rsidRPr="00F95F4E">
        <w:rPr>
          <w:rFonts w:cs="Arial"/>
          <w:sz w:val="20"/>
          <w:szCs w:val="20"/>
          <w:rtl/>
        </w:rPr>
        <w:t xml:space="preserve">, </w:t>
      </w:r>
      <w:r w:rsidRPr="00F95F4E">
        <w:rPr>
          <w:rFonts w:cs="Arial" w:hint="cs"/>
          <w:sz w:val="20"/>
          <w:szCs w:val="20"/>
          <w:rtl/>
        </w:rPr>
        <w:t>שיציאתו</w:t>
      </w:r>
      <w:r w:rsidRPr="00F95F4E">
        <w:rPr>
          <w:rFonts w:cs="Arial"/>
          <w:sz w:val="20"/>
          <w:szCs w:val="20"/>
          <w:rtl/>
        </w:rPr>
        <w:t xml:space="preserve"> </w:t>
      </w:r>
      <w:r w:rsidRPr="00F95F4E">
        <w:rPr>
          <w:rFonts w:cs="Arial" w:hint="cs"/>
          <w:sz w:val="20"/>
          <w:szCs w:val="20"/>
          <w:rtl/>
        </w:rPr>
        <w:t>הנאה</w:t>
      </w:r>
      <w:r w:rsidRPr="00F95F4E">
        <w:rPr>
          <w:rFonts w:cs="Arial"/>
          <w:sz w:val="20"/>
          <w:szCs w:val="20"/>
          <w:rtl/>
        </w:rPr>
        <w:t xml:space="preserve"> </w:t>
      </w:r>
      <w:r w:rsidRPr="00F95F4E">
        <w:rPr>
          <w:rFonts w:cs="Arial" w:hint="cs"/>
          <w:sz w:val="20"/>
          <w:szCs w:val="20"/>
          <w:rtl/>
        </w:rPr>
        <w:t>לו</w:t>
      </w:r>
      <w:r w:rsidRPr="00F95F4E">
        <w:rPr>
          <w:rFonts w:cs="Arial"/>
          <w:sz w:val="20"/>
          <w:szCs w:val="20"/>
          <w:rtl/>
        </w:rPr>
        <w:t xml:space="preserve"> </w:t>
      </w:r>
      <w:r w:rsidRPr="00F95F4E">
        <w:rPr>
          <w:rFonts w:cs="Arial" w:hint="cs"/>
          <w:sz w:val="20"/>
          <w:szCs w:val="20"/>
          <w:rtl/>
        </w:rPr>
        <w:t>כביאתו</w:t>
      </w:r>
      <w:r w:rsidRPr="00F95F4E">
        <w:rPr>
          <w:rFonts w:cs="Arial"/>
          <w:sz w:val="20"/>
          <w:szCs w:val="20"/>
          <w:rtl/>
        </w:rPr>
        <w:t xml:space="preserve">. </w:t>
      </w:r>
      <w:r w:rsidRPr="00F95F4E">
        <w:rPr>
          <w:rFonts w:cs="Arial" w:hint="cs"/>
          <w:sz w:val="20"/>
          <w:szCs w:val="20"/>
          <w:rtl/>
        </w:rPr>
        <w:t>כיצד</w:t>
      </w:r>
      <w:r w:rsidRPr="00F95F4E">
        <w:rPr>
          <w:rFonts w:cs="Arial"/>
          <w:sz w:val="20"/>
          <w:szCs w:val="20"/>
          <w:rtl/>
        </w:rPr>
        <w:t xml:space="preserve"> </w:t>
      </w:r>
      <w:r w:rsidRPr="00F95F4E">
        <w:rPr>
          <w:rFonts w:cs="Arial" w:hint="cs"/>
          <w:sz w:val="20"/>
          <w:szCs w:val="20"/>
          <w:rtl/>
        </w:rPr>
        <w:t>יעשה</w:t>
      </w:r>
      <w:r w:rsidRPr="00F95F4E">
        <w:rPr>
          <w:rFonts w:cs="Arial"/>
          <w:sz w:val="20"/>
          <w:szCs w:val="20"/>
          <w:rtl/>
        </w:rPr>
        <w:t xml:space="preserve">, </w:t>
      </w:r>
      <w:r w:rsidRPr="00F95F4E">
        <w:rPr>
          <w:rFonts w:cs="Arial" w:hint="cs"/>
          <w:sz w:val="20"/>
          <w:szCs w:val="20"/>
          <w:rtl/>
        </w:rPr>
        <w:t>נועץ</w:t>
      </w:r>
      <w:r w:rsidRPr="00F95F4E">
        <w:rPr>
          <w:rFonts w:cs="Arial"/>
          <w:sz w:val="20"/>
          <w:szCs w:val="20"/>
          <w:rtl/>
        </w:rPr>
        <w:t xml:space="preserve"> </w:t>
      </w:r>
      <w:r w:rsidRPr="00F95F4E">
        <w:rPr>
          <w:rFonts w:cs="Arial" w:hint="cs"/>
          <w:sz w:val="20"/>
          <w:szCs w:val="20"/>
          <w:rtl/>
        </w:rPr>
        <w:t>צ</w:t>
      </w:r>
      <w:r>
        <w:rPr>
          <w:rFonts w:cs="Arial" w:hint="cs"/>
          <w:sz w:val="20"/>
          <w:szCs w:val="20"/>
          <w:rtl/>
        </w:rPr>
        <w:t>י</w:t>
      </w:r>
      <w:r w:rsidRPr="00F95F4E">
        <w:rPr>
          <w:rFonts w:cs="Arial" w:hint="cs"/>
          <w:sz w:val="20"/>
          <w:szCs w:val="20"/>
          <w:rtl/>
        </w:rPr>
        <w:t>פ</w:t>
      </w:r>
      <w:r>
        <w:rPr>
          <w:rFonts w:cs="Arial" w:hint="cs"/>
          <w:sz w:val="20"/>
          <w:szCs w:val="20"/>
          <w:rtl/>
        </w:rPr>
        <w:t>ו</w:t>
      </w:r>
      <w:r w:rsidRPr="00F95F4E">
        <w:rPr>
          <w:rFonts w:cs="Arial" w:hint="cs"/>
          <w:sz w:val="20"/>
          <w:szCs w:val="20"/>
          <w:rtl/>
        </w:rPr>
        <w:t>רני</w:t>
      </w:r>
      <w:r w:rsidRPr="00F95F4E">
        <w:rPr>
          <w:rFonts w:cs="Arial"/>
          <w:sz w:val="20"/>
          <w:szCs w:val="20"/>
          <w:rtl/>
        </w:rPr>
        <w:t xml:space="preserve"> </w:t>
      </w:r>
      <w:r w:rsidRPr="00F95F4E">
        <w:rPr>
          <w:rFonts w:cs="Arial" w:hint="cs"/>
          <w:sz w:val="20"/>
          <w:szCs w:val="20"/>
          <w:rtl/>
        </w:rPr>
        <w:t>רגליו</w:t>
      </w:r>
      <w:r w:rsidRPr="00F95F4E">
        <w:rPr>
          <w:rFonts w:cs="Arial"/>
          <w:sz w:val="20"/>
          <w:szCs w:val="20"/>
          <w:rtl/>
        </w:rPr>
        <w:t xml:space="preserve"> </w:t>
      </w:r>
      <w:r w:rsidRPr="00F95F4E">
        <w:rPr>
          <w:rFonts w:cs="Arial" w:hint="cs"/>
          <w:sz w:val="20"/>
          <w:szCs w:val="20"/>
          <w:rtl/>
        </w:rPr>
        <w:t>בארץ</w:t>
      </w:r>
      <w:r w:rsidRPr="00F95F4E">
        <w:rPr>
          <w:rFonts w:cs="Arial"/>
          <w:sz w:val="20"/>
          <w:szCs w:val="20"/>
          <w:rtl/>
        </w:rPr>
        <w:t xml:space="preserve">, </w:t>
      </w:r>
      <w:r w:rsidRPr="00F95F4E">
        <w:rPr>
          <w:rFonts w:cs="Arial" w:hint="cs"/>
          <w:sz w:val="20"/>
          <w:szCs w:val="20"/>
          <w:rtl/>
        </w:rPr>
        <w:t>ושוהה</w:t>
      </w:r>
      <w:r w:rsidRPr="00F95F4E">
        <w:rPr>
          <w:rFonts w:cs="Arial"/>
          <w:sz w:val="20"/>
          <w:szCs w:val="20"/>
          <w:rtl/>
        </w:rPr>
        <w:t xml:space="preserve"> </w:t>
      </w:r>
      <w:r w:rsidRPr="00F95F4E">
        <w:rPr>
          <w:rFonts w:cs="Arial" w:hint="cs"/>
          <w:sz w:val="20"/>
          <w:szCs w:val="20"/>
          <w:rtl/>
        </w:rPr>
        <w:t>בלא</w:t>
      </w:r>
      <w:r w:rsidRPr="00F95F4E">
        <w:rPr>
          <w:rFonts w:cs="Arial"/>
          <w:sz w:val="20"/>
          <w:szCs w:val="20"/>
          <w:rtl/>
        </w:rPr>
        <w:t xml:space="preserve"> </w:t>
      </w:r>
      <w:r w:rsidRPr="00F95F4E">
        <w:rPr>
          <w:rFonts w:cs="Arial" w:hint="cs"/>
          <w:sz w:val="20"/>
          <w:szCs w:val="20"/>
          <w:rtl/>
        </w:rPr>
        <w:t>דישה</w:t>
      </w:r>
      <w:r w:rsidRPr="00F95F4E">
        <w:rPr>
          <w:rFonts w:cs="Arial"/>
          <w:sz w:val="20"/>
          <w:szCs w:val="20"/>
          <w:rtl/>
        </w:rPr>
        <w:t xml:space="preserve">, </w:t>
      </w:r>
      <w:r w:rsidRPr="00F95F4E">
        <w:rPr>
          <w:rFonts w:cs="Arial" w:hint="cs"/>
          <w:sz w:val="20"/>
          <w:szCs w:val="20"/>
          <w:rtl/>
        </w:rPr>
        <w:t>עד</w:t>
      </w:r>
      <w:r w:rsidRPr="00F95F4E">
        <w:rPr>
          <w:rFonts w:cs="Arial"/>
          <w:sz w:val="20"/>
          <w:szCs w:val="20"/>
          <w:rtl/>
        </w:rPr>
        <w:t xml:space="preserve"> </w:t>
      </w:r>
      <w:r w:rsidRPr="00F95F4E">
        <w:rPr>
          <w:rFonts w:cs="Arial" w:hint="cs"/>
          <w:sz w:val="20"/>
          <w:szCs w:val="20"/>
          <w:rtl/>
        </w:rPr>
        <w:t>שימות</w:t>
      </w:r>
      <w:r w:rsidRPr="00F95F4E">
        <w:rPr>
          <w:rFonts w:cs="Arial"/>
          <w:sz w:val="20"/>
          <w:szCs w:val="20"/>
          <w:rtl/>
        </w:rPr>
        <w:t xml:space="preserve"> </w:t>
      </w:r>
      <w:r w:rsidRPr="00F95F4E">
        <w:rPr>
          <w:rFonts w:cs="Arial" w:hint="cs"/>
          <w:sz w:val="20"/>
          <w:szCs w:val="20"/>
          <w:rtl/>
        </w:rPr>
        <w:t>האבר</w:t>
      </w:r>
      <w:r w:rsidRPr="00F95F4E">
        <w:rPr>
          <w:rFonts w:cs="Arial"/>
          <w:sz w:val="20"/>
          <w:szCs w:val="20"/>
          <w:rtl/>
        </w:rPr>
        <w:t xml:space="preserve">, </w:t>
      </w:r>
      <w:r w:rsidRPr="00F95F4E">
        <w:rPr>
          <w:rFonts w:cs="Arial" w:hint="cs"/>
          <w:sz w:val="20"/>
          <w:szCs w:val="20"/>
          <w:rtl/>
        </w:rPr>
        <w:t>ופורש</w:t>
      </w:r>
      <w:r w:rsidRPr="00F95F4E">
        <w:rPr>
          <w:rFonts w:cs="Arial"/>
          <w:sz w:val="20"/>
          <w:szCs w:val="20"/>
          <w:rtl/>
        </w:rPr>
        <w:t xml:space="preserve"> </w:t>
      </w:r>
      <w:r w:rsidRPr="00F95F4E">
        <w:rPr>
          <w:rFonts w:cs="Arial" w:hint="cs"/>
          <w:sz w:val="20"/>
          <w:szCs w:val="20"/>
          <w:rtl/>
        </w:rPr>
        <w:t>באבר</w:t>
      </w:r>
      <w:r w:rsidRPr="00F95F4E">
        <w:rPr>
          <w:rFonts w:cs="Arial"/>
          <w:sz w:val="20"/>
          <w:szCs w:val="20"/>
          <w:rtl/>
        </w:rPr>
        <w:t xml:space="preserve"> </w:t>
      </w:r>
      <w:r w:rsidRPr="00F95F4E">
        <w:rPr>
          <w:rFonts w:cs="Arial" w:hint="cs"/>
          <w:sz w:val="20"/>
          <w:szCs w:val="20"/>
          <w:rtl/>
        </w:rPr>
        <w:t>מת</w:t>
      </w:r>
      <w:r w:rsidRPr="00F95F4E">
        <w:rPr>
          <w:rFonts w:cs="Arial"/>
          <w:sz w:val="20"/>
          <w:szCs w:val="20"/>
          <w:rtl/>
        </w:rPr>
        <w:t xml:space="preserve">. </w:t>
      </w:r>
      <w:r>
        <w:rPr>
          <w:rFonts w:cs="Arial" w:hint="cs"/>
          <w:sz w:val="20"/>
          <w:szCs w:val="20"/>
          <w:rtl/>
        </w:rPr>
        <w:br/>
      </w:r>
      <w:r w:rsidRPr="00F95F4E">
        <w:rPr>
          <w:rFonts w:cs="Arial" w:hint="cs"/>
          <w:sz w:val="18"/>
          <w:szCs w:val="18"/>
          <w:rtl/>
        </w:rPr>
        <w:t>הגה</w:t>
      </w:r>
      <w:r w:rsidRPr="00F95F4E">
        <w:rPr>
          <w:rFonts w:cs="Arial"/>
          <w:sz w:val="18"/>
          <w:szCs w:val="18"/>
          <w:rtl/>
        </w:rPr>
        <w:t xml:space="preserve">: </w:t>
      </w:r>
      <w:r w:rsidRPr="00F95F4E">
        <w:rPr>
          <w:rFonts w:cs="Arial" w:hint="cs"/>
          <w:sz w:val="18"/>
          <w:szCs w:val="18"/>
          <w:rtl/>
        </w:rPr>
        <w:t>וימלא</w:t>
      </w:r>
      <w:r w:rsidRPr="00F95F4E">
        <w:rPr>
          <w:rFonts w:cs="Arial"/>
          <w:sz w:val="18"/>
          <w:szCs w:val="18"/>
          <w:rtl/>
        </w:rPr>
        <w:t xml:space="preserve"> </w:t>
      </w:r>
      <w:r w:rsidRPr="00F95F4E">
        <w:rPr>
          <w:rFonts w:cs="Arial" w:hint="cs"/>
          <w:sz w:val="18"/>
          <w:szCs w:val="18"/>
          <w:rtl/>
        </w:rPr>
        <w:t>פחד</w:t>
      </w:r>
      <w:r w:rsidRPr="00F95F4E">
        <w:rPr>
          <w:rFonts w:cs="Arial"/>
          <w:sz w:val="18"/>
          <w:szCs w:val="18"/>
          <w:rtl/>
        </w:rPr>
        <w:t xml:space="preserve"> </w:t>
      </w:r>
      <w:r w:rsidRPr="00F95F4E">
        <w:rPr>
          <w:rFonts w:cs="Arial" w:hint="cs"/>
          <w:sz w:val="18"/>
          <w:szCs w:val="18"/>
          <w:rtl/>
        </w:rPr>
        <w:t>ורתת</w:t>
      </w:r>
      <w:r w:rsidRPr="00F95F4E">
        <w:rPr>
          <w:rFonts w:cs="Arial"/>
          <w:sz w:val="18"/>
          <w:szCs w:val="18"/>
          <w:rtl/>
        </w:rPr>
        <w:t xml:space="preserve"> </w:t>
      </w:r>
      <w:r w:rsidRPr="00F95F4E">
        <w:rPr>
          <w:rFonts w:cs="Arial" w:hint="cs"/>
          <w:sz w:val="18"/>
          <w:szCs w:val="18"/>
          <w:rtl/>
        </w:rPr>
        <w:t>על</w:t>
      </w:r>
      <w:r w:rsidRPr="00F95F4E">
        <w:rPr>
          <w:rFonts w:cs="Arial"/>
          <w:sz w:val="18"/>
          <w:szCs w:val="18"/>
          <w:rtl/>
        </w:rPr>
        <w:t xml:space="preserve"> </w:t>
      </w:r>
      <w:r w:rsidRPr="00F95F4E">
        <w:rPr>
          <w:rFonts w:cs="Arial" w:hint="cs"/>
          <w:sz w:val="18"/>
          <w:szCs w:val="18"/>
          <w:rtl/>
        </w:rPr>
        <w:t>העבירה</w:t>
      </w:r>
      <w:r w:rsidRPr="00F95F4E">
        <w:rPr>
          <w:rFonts w:cs="Arial"/>
          <w:sz w:val="18"/>
          <w:szCs w:val="18"/>
          <w:rtl/>
        </w:rPr>
        <w:t xml:space="preserve"> </w:t>
      </w:r>
      <w:r w:rsidRPr="00F95F4E">
        <w:rPr>
          <w:rFonts w:cs="Arial" w:hint="cs"/>
          <w:sz w:val="18"/>
          <w:szCs w:val="18"/>
          <w:rtl/>
        </w:rPr>
        <w:t>שבאה</w:t>
      </w:r>
      <w:r w:rsidRPr="00F95F4E">
        <w:rPr>
          <w:rFonts w:cs="Arial"/>
          <w:sz w:val="18"/>
          <w:szCs w:val="18"/>
          <w:rtl/>
        </w:rPr>
        <w:t xml:space="preserve"> </w:t>
      </w:r>
      <w:r w:rsidRPr="00F95F4E">
        <w:rPr>
          <w:rFonts w:cs="Arial" w:hint="cs"/>
          <w:sz w:val="18"/>
          <w:szCs w:val="18"/>
          <w:rtl/>
        </w:rPr>
        <w:t>לידו</w:t>
      </w:r>
      <w:r w:rsidRPr="00F95F4E">
        <w:rPr>
          <w:rFonts w:cs="Arial"/>
          <w:sz w:val="18"/>
          <w:szCs w:val="18"/>
          <w:rtl/>
        </w:rPr>
        <w:t xml:space="preserve">. </w:t>
      </w:r>
      <w:r w:rsidRPr="00F95F4E">
        <w:rPr>
          <w:rFonts w:cs="Arial" w:hint="cs"/>
          <w:sz w:val="18"/>
          <w:szCs w:val="18"/>
          <w:rtl/>
        </w:rPr>
        <w:t>ולא</w:t>
      </w:r>
      <w:r w:rsidRPr="00F95F4E">
        <w:rPr>
          <w:rFonts w:cs="Arial"/>
          <w:sz w:val="18"/>
          <w:szCs w:val="18"/>
          <w:rtl/>
        </w:rPr>
        <w:t xml:space="preserve"> </w:t>
      </w:r>
      <w:r w:rsidRPr="00F95F4E">
        <w:rPr>
          <w:rFonts w:cs="Arial" w:hint="cs"/>
          <w:sz w:val="18"/>
          <w:szCs w:val="18"/>
          <w:rtl/>
        </w:rPr>
        <w:t>יסמוך</w:t>
      </w:r>
      <w:r w:rsidRPr="00F95F4E">
        <w:rPr>
          <w:rFonts w:cs="Arial"/>
          <w:sz w:val="18"/>
          <w:szCs w:val="18"/>
          <w:rtl/>
        </w:rPr>
        <w:t xml:space="preserve"> </w:t>
      </w:r>
      <w:r w:rsidRPr="00F95F4E">
        <w:rPr>
          <w:rFonts w:cs="Arial" w:hint="cs"/>
          <w:sz w:val="18"/>
          <w:szCs w:val="18"/>
          <w:rtl/>
        </w:rPr>
        <w:t>עליה</w:t>
      </w:r>
      <w:r w:rsidRPr="00F95F4E">
        <w:rPr>
          <w:rFonts w:cs="Arial"/>
          <w:sz w:val="18"/>
          <w:szCs w:val="18"/>
          <w:rtl/>
        </w:rPr>
        <w:t xml:space="preserve">, </w:t>
      </w:r>
      <w:r w:rsidRPr="00F95F4E">
        <w:rPr>
          <w:rFonts w:cs="Arial" w:hint="cs"/>
          <w:sz w:val="18"/>
          <w:szCs w:val="18"/>
          <w:rtl/>
        </w:rPr>
        <w:t>רק</w:t>
      </w:r>
      <w:r w:rsidRPr="00F95F4E">
        <w:rPr>
          <w:rFonts w:cs="Arial"/>
          <w:sz w:val="18"/>
          <w:szCs w:val="18"/>
          <w:rtl/>
        </w:rPr>
        <w:t xml:space="preserve"> </w:t>
      </w:r>
      <w:r w:rsidRPr="00F95F4E">
        <w:rPr>
          <w:rFonts w:cs="Arial" w:hint="cs"/>
          <w:sz w:val="18"/>
          <w:szCs w:val="18"/>
          <w:rtl/>
        </w:rPr>
        <w:t>יסמוך</w:t>
      </w:r>
      <w:r w:rsidRPr="00F95F4E">
        <w:rPr>
          <w:rFonts w:cs="Arial"/>
          <w:sz w:val="18"/>
          <w:szCs w:val="18"/>
          <w:rtl/>
        </w:rPr>
        <w:t xml:space="preserve"> </w:t>
      </w:r>
      <w:r w:rsidRPr="00F95F4E">
        <w:rPr>
          <w:rFonts w:cs="Arial" w:hint="cs"/>
          <w:sz w:val="18"/>
          <w:szCs w:val="18"/>
          <w:rtl/>
        </w:rPr>
        <w:t>על</w:t>
      </w:r>
      <w:r w:rsidRPr="00F95F4E">
        <w:rPr>
          <w:rFonts w:cs="Arial"/>
          <w:sz w:val="18"/>
          <w:szCs w:val="18"/>
          <w:rtl/>
        </w:rPr>
        <w:t xml:space="preserve"> </w:t>
      </w:r>
      <w:r w:rsidRPr="00F95F4E">
        <w:rPr>
          <w:rFonts w:cs="Arial" w:hint="cs"/>
          <w:sz w:val="18"/>
          <w:szCs w:val="18"/>
          <w:rtl/>
        </w:rPr>
        <w:t>רגליו</w:t>
      </w:r>
      <w:r w:rsidRPr="00F95F4E">
        <w:rPr>
          <w:rFonts w:cs="Arial"/>
          <w:sz w:val="18"/>
          <w:szCs w:val="18"/>
          <w:rtl/>
        </w:rPr>
        <w:t xml:space="preserve"> </w:t>
      </w:r>
      <w:r w:rsidRPr="00F95F4E">
        <w:rPr>
          <w:rFonts w:cs="Arial" w:hint="cs"/>
          <w:sz w:val="18"/>
          <w:szCs w:val="18"/>
          <w:rtl/>
        </w:rPr>
        <w:t>וידיו</w:t>
      </w:r>
      <w:r w:rsidRPr="00F95F4E">
        <w:rPr>
          <w:rFonts w:cs="Arial"/>
          <w:sz w:val="18"/>
          <w:szCs w:val="18"/>
          <w:rtl/>
        </w:rPr>
        <w:t xml:space="preserve">, </w:t>
      </w:r>
      <w:r w:rsidRPr="00F95F4E">
        <w:rPr>
          <w:rFonts w:cs="Arial" w:hint="cs"/>
          <w:sz w:val="18"/>
          <w:szCs w:val="18"/>
          <w:rtl/>
        </w:rPr>
        <w:t>שלא</w:t>
      </w:r>
      <w:r w:rsidRPr="00F95F4E">
        <w:rPr>
          <w:rFonts w:cs="Arial"/>
          <w:sz w:val="18"/>
          <w:szCs w:val="18"/>
          <w:rtl/>
        </w:rPr>
        <w:t xml:space="preserve"> </w:t>
      </w:r>
      <w:r w:rsidRPr="00F95F4E">
        <w:rPr>
          <w:rFonts w:cs="Arial" w:hint="cs"/>
          <w:sz w:val="18"/>
          <w:szCs w:val="18"/>
          <w:rtl/>
        </w:rPr>
        <w:t>יהנה</w:t>
      </w:r>
      <w:r w:rsidRPr="00F95F4E">
        <w:rPr>
          <w:rFonts w:cs="Arial"/>
          <w:sz w:val="18"/>
          <w:szCs w:val="18"/>
          <w:rtl/>
        </w:rPr>
        <w:t xml:space="preserve"> </w:t>
      </w:r>
      <w:r w:rsidRPr="00F95F4E">
        <w:rPr>
          <w:rFonts w:cs="Arial" w:hint="cs"/>
          <w:sz w:val="18"/>
          <w:szCs w:val="18"/>
          <w:rtl/>
        </w:rPr>
        <w:t>ממנה</w:t>
      </w:r>
      <w:r>
        <w:rPr>
          <w:rFonts w:cs="Arial" w:hint="cs"/>
          <w:sz w:val="20"/>
          <w:szCs w:val="20"/>
          <w:rtl/>
        </w:rPr>
        <w:t>".</w:t>
      </w:r>
    </w:p>
    <w:p w:rsidR="00620060" w:rsidRPr="0070333B" w:rsidRDefault="00620060" w:rsidP="00620060">
      <w:pPr>
        <w:rPr>
          <w:sz w:val="18"/>
          <w:szCs w:val="18"/>
          <w:rtl/>
        </w:rPr>
      </w:pPr>
      <w:r>
        <w:rPr>
          <w:rFonts w:hint="cs"/>
          <w:b/>
          <w:bCs/>
          <w:sz w:val="20"/>
          <w:szCs w:val="20"/>
          <w:rtl/>
        </w:rPr>
        <w:t>דין הפורש באבר חי</w:t>
      </w:r>
      <w:r>
        <w:rPr>
          <w:b/>
          <w:bCs/>
          <w:sz w:val="20"/>
          <w:szCs w:val="20"/>
          <w:rtl/>
        </w:rPr>
        <w:br/>
      </w:r>
      <w:r>
        <w:rPr>
          <w:rFonts w:hint="cs"/>
          <w:b/>
          <w:bCs/>
          <w:sz w:val="20"/>
          <w:szCs w:val="20"/>
          <w:rtl/>
        </w:rPr>
        <w:t xml:space="preserve">רמ"א </w:t>
      </w:r>
      <w:r>
        <w:rPr>
          <w:sz w:val="20"/>
          <w:szCs w:val="20"/>
          <w:rtl/>
        </w:rPr>
        <w:t>–</w:t>
      </w:r>
      <w:r>
        <w:rPr>
          <w:rFonts w:hint="cs"/>
          <w:sz w:val="20"/>
          <w:szCs w:val="20"/>
          <w:rtl/>
        </w:rPr>
        <w:t xml:space="preserve"> </w:t>
      </w:r>
      <w:r w:rsidRPr="00027978">
        <w:rPr>
          <w:rFonts w:hint="cs"/>
          <w:sz w:val="18"/>
          <w:szCs w:val="18"/>
          <w:rtl/>
        </w:rPr>
        <w:t>"</w:t>
      </w:r>
      <w:r w:rsidRPr="00027978">
        <w:rPr>
          <w:rFonts w:cs="Arial" w:hint="cs"/>
          <w:sz w:val="18"/>
          <w:szCs w:val="18"/>
          <w:rtl/>
        </w:rPr>
        <w:t>ואם</w:t>
      </w:r>
      <w:r w:rsidRPr="00027978">
        <w:rPr>
          <w:rFonts w:cs="Arial"/>
          <w:sz w:val="18"/>
          <w:szCs w:val="18"/>
          <w:rtl/>
        </w:rPr>
        <w:t xml:space="preserve"> </w:t>
      </w:r>
      <w:r w:rsidRPr="00027978">
        <w:rPr>
          <w:rFonts w:cs="Arial" w:hint="cs"/>
          <w:sz w:val="18"/>
          <w:szCs w:val="18"/>
          <w:rtl/>
        </w:rPr>
        <w:t>פירש</w:t>
      </w:r>
      <w:r w:rsidRPr="00027978">
        <w:rPr>
          <w:rFonts w:cs="Arial"/>
          <w:sz w:val="18"/>
          <w:szCs w:val="18"/>
          <w:rtl/>
        </w:rPr>
        <w:t xml:space="preserve"> </w:t>
      </w:r>
      <w:r w:rsidRPr="00027978">
        <w:rPr>
          <w:rFonts w:cs="Arial" w:hint="cs"/>
          <w:sz w:val="18"/>
          <w:szCs w:val="18"/>
          <w:rtl/>
        </w:rPr>
        <w:t>ממנה</w:t>
      </w:r>
      <w:r w:rsidRPr="00027978">
        <w:rPr>
          <w:rFonts w:cs="Arial"/>
          <w:sz w:val="18"/>
          <w:szCs w:val="18"/>
          <w:rtl/>
        </w:rPr>
        <w:t xml:space="preserve"> </w:t>
      </w:r>
      <w:r w:rsidRPr="00027978">
        <w:rPr>
          <w:rFonts w:cs="Arial" w:hint="cs"/>
          <w:sz w:val="18"/>
          <w:szCs w:val="18"/>
          <w:rtl/>
        </w:rPr>
        <w:t>בקשוי</w:t>
      </w:r>
      <w:r w:rsidRPr="00027978">
        <w:rPr>
          <w:rFonts w:cs="Arial"/>
          <w:sz w:val="18"/>
          <w:szCs w:val="18"/>
          <w:rtl/>
        </w:rPr>
        <w:t xml:space="preserve"> </w:t>
      </w:r>
      <w:r w:rsidRPr="00027978">
        <w:rPr>
          <w:rFonts w:cs="Arial" w:hint="cs"/>
          <w:sz w:val="18"/>
          <w:szCs w:val="18"/>
          <w:rtl/>
        </w:rPr>
        <w:t>ובשוגג</w:t>
      </w:r>
      <w:r w:rsidRPr="00027978">
        <w:rPr>
          <w:rFonts w:cs="Arial"/>
          <w:sz w:val="18"/>
          <w:szCs w:val="18"/>
          <w:rtl/>
        </w:rPr>
        <w:t xml:space="preserve">, </w:t>
      </w:r>
      <w:r w:rsidRPr="00027978">
        <w:rPr>
          <w:rFonts w:cs="Arial" w:hint="cs"/>
          <w:sz w:val="18"/>
          <w:szCs w:val="18"/>
          <w:rtl/>
        </w:rPr>
        <w:t>שלא</w:t>
      </w:r>
      <w:r w:rsidRPr="00027978">
        <w:rPr>
          <w:rFonts w:cs="Arial"/>
          <w:sz w:val="18"/>
          <w:szCs w:val="18"/>
          <w:rtl/>
        </w:rPr>
        <w:t xml:space="preserve"> </w:t>
      </w:r>
      <w:r w:rsidRPr="00027978">
        <w:rPr>
          <w:rFonts w:cs="Arial" w:hint="cs"/>
          <w:sz w:val="18"/>
          <w:szCs w:val="18"/>
          <w:rtl/>
        </w:rPr>
        <w:t>ידע</w:t>
      </w:r>
      <w:r w:rsidRPr="00027978">
        <w:rPr>
          <w:rFonts w:cs="Arial"/>
          <w:sz w:val="18"/>
          <w:szCs w:val="18"/>
          <w:rtl/>
        </w:rPr>
        <w:t xml:space="preserve"> </w:t>
      </w:r>
      <w:r w:rsidRPr="00027978">
        <w:rPr>
          <w:rFonts w:cs="Arial" w:hint="cs"/>
          <w:sz w:val="18"/>
          <w:szCs w:val="18"/>
          <w:rtl/>
        </w:rPr>
        <w:t>שאסור</w:t>
      </w:r>
      <w:r w:rsidRPr="00027978">
        <w:rPr>
          <w:rFonts w:cs="Arial"/>
          <w:sz w:val="18"/>
          <w:szCs w:val="18"/>
          <w:rtl/>
        </w:rPr>
        <w:t xml:space="preserve"> </w:t>
      </w:r>
      <w:r w:rsidRPr="00027978">
        <w:rPr>
          <w:rFonts w:cs="Arial" w:hint="cs"/>
          <w:sz w:val="18"/>
          <w:szCs w:val="18"/>
          <w:rtl/>
        </w:rPr>
        <w:t>לפרוש</w:t>
      </w:r>
      <w:r w:rsidRPr="00027978">
        <w:rPr>
          <w:rFonts w:cs="Arial"/>
          <w:sz w:val="18"/>
          <w:szCs w:val="18"/>
          <w:rtl/>
        </w:rPr>
        <w:t xml:space="preserve"> </w:t>
      </w:r>
      <w:r w:rsidRPr="00027978">
        <w:rPr>
          <w:rFonts w:cs="Arial" w:hint="cs"/>
          <w:sz w:val="18"/>
          <w:szCs w:val="18"/>
          <w:rtl/>
        </w:rPr>
        <w:t>ממנה</w:t>
      </w:r>
      <w:r w:rsidRPr="00027978">
        <w:rPr>
          <w:rFonts w:cs="Arial"/>
          <w:sz w:val="18"/>
          <w:szCs w:val="18"/>
          <w:rtl/>
        </w:rPr>
        <w:t xml:space="preserve">, </w:t>
      </w:r>
      <w:r w:rsidRPr="00027978">
        <w:rPr>
          <w:rFonts w:cs="Arial" w:hint="cs"/>
          <w:sz w:val="18"/>
          <w:szCs w:val="18"/>
          <w:rtl/>
        </w:rPr>
        <w:t>יתענה</w:t>
      </w:r>
      <w:r w:rsidRPr="00027978">
        <w:rPr>
          <w:rFonts w:cs="Arial"/>
          <w:sz w:val="18"/>
          <w:szCs w:val="18"/>
          <w:rtl/>
        </w:rPr>
        <w:t xml:space="preserve"> </w:t>
      </w:r>
      <w:r w:rsidRPr="00027978">
        <w:rPr>
          <w:rFonts w:cs="Arial" w:hint="cs"/>
          <w:sz w:val="18"/>
          <w:szCs w:val="18"/>
          <w:rtl/>
        </w:rPr>
        <w:t>מ</w:t>
      </w:r>
      <w:r w:rsidRPr="00027978">
        <w:rPr>
          <w:rFonts w:cs="Arial"/>
          <w:sz w:val="18"/>
          <w:szCs w:val="18"/>
          <w:rtl/>
        </w:rPr>
        <w:t xml:space="preserve">' </w:t>
      </w:r>
      <w:r w:rsidRPr="00027978">
        <w:rPr>
          <w:rFonts w:cs="Arial" w:hint="cs"/>
          <w:sz w:val="18"/>
          <w:szCs w:val="18"/>
          <w:rtl/>
        </w:rPr>
        <w:t>יום</w:t>
      </w:r>
      <w:r w:rsidRPr="00027978">
        <w:rPr>
          <w:rFonts w:cs="Arial"/>
          <w:sz w:val="18"/>
          <w:szCs w:val="18"/>
          <w:rtl/>
        </w:rPr>
        <w:t xml:space="preserve">, </w:t>
      </w:r>
      <w:r w:rsidRPr="00027978">
        <w:rPr>
          <w:rFonts w:cs="Arial" w:hint="cs"/>
          <w:sz w:val="18"/>
          <w:szCs w:val="18"/>
          <w:rtl/>
        </w:rPr>
        <w:t>ואינן</w:t>
      </w:r>
      <w:r w:rsidRPr="00027978">
        <w:rPr>
          <w:rFonts w:cs="Arial"/>
          <w:sz w:val="18"/>
          <w:szCs w:val="18"/>
          <w:rtl/>
        </w:rPr>
        <w:t xml:space="preserve"> </w:t>
      </w:r>
      <w:r w:rsidRPr="00027978">
        <w:rPr>
          <w:rFonts w:cs="Arial" w:hint="cs"/>
          <w:sz w:val="18"/>
          <w:szCs w:val="18"/>
          <w:rtl/>
        </w:rPr>
        <w:t>צריכין</w:t>
      </w:r>
      <w:r w:rsidRPr="00027978">
        <w:rPr>
          <w:rFonts w:cs="Arial"/>
          <w:sz w:val="18"/>
          <w:szCs w:val="18"/>
          <w:rtl/>
        </w:rPr>
        <w:t xml:space="preserve"> </w:t>
      </w:r>
      <w:r w:rsidRPr="00027978">
        <w:rPr>
          <w:rFonts w:cs="Arial" w:hint="cs"/>
          <w:sz w:val="18"/>
          <w:szCs w:val="18"/>
          <w:rtl/>
        </w:rPr>
        <w:t>להיות</w:t>
      </w:r>
      <w:r w:rsidRPr="00027978">
        <w:rPr>
          <w:rFonts w:cs="Arial"/>
          <w:sz w:val="18"/>
          <w:szCs w:val="18"/>
          <w:rtl/>
        </w:rPr>
        <w:t xml:space="preserve"> </w:t>
      </w:r>
      <w:r w:rsidRPr="00027978">
        <w:rPr>
          <w:rFonts w:cs="Arial" w:hint="cs"/>
          <w:sz w:val="18"/>
          <w:szCs w:val="18"/>
          <w:rtl/>
        </w:rPr>
        <w:t>רצופים</w:t>
      </w:r>
      <w:r w:rsidRPr="00027978">
        <w:rPr>
          <w:rFonts w:cs="Arial"/>
          <w:sz w:val="18"/>
          <w:szCs w:val="18"/>
          <w:rtl/>
        </w:rPr>
        <w:t xml:space="preserve">, </w:t>
      </w:r>
      <w:r w:rsidRPr="00027978">
        <w:rPr>
          <w:rFonts w:cs="Arial" w:hint="cs"/>
          <w:sz w:val="18"/>
          <w:szCs w:val="18"/>
          <w:rtl/>
        </w:rPr>
        <w:t>רק</w:t>
      </w:r>
      <w:r w:rsidRPr="00027978">
        <w:rPr>
          <w:rFonts w:cs="Arial"/>
          <w:sz w:val="18"/>
          <w:szCs w:val="18"/>
          <w:rtl/>
        </w:rPr>
        <w:t xml:space="preserve"> </w:t>
      </w:r>
      <w:r w:rsidRPr="00027978">
        <w:rPr>
          <w:rFonts w:cs="Arial" w:hint="cs"/>
          <w:sz w:val="18"/>
          <w:szCs w:val="18"/>
          <w:rtl/>
        </w:rPr>
        <w:t>כל</w:t>
      </w:r>
      <w:r w:rsidRPr="00027978">
        <w:rPr>
          <w:rFonts w:cs="Arial"/>
          <w:sz w:val="18"/>
          <w:szCs w:val="18"/>
          <w:rtl/>
        </w:rPr>
        <w:t xml:space="preserve"> </w:t>
      </w:r>
      <w:r w:rsidRPr="00027978">
        <w:rPr>
          <w:rFonts w:cs="Arial" w:hint="cs"/>
          <w:sz w:val="18"/>
          <w:szCs w:val="18"/>
          <w:rtl/>
        </w:rPr>
        <w:t>שבוע</w:t>
      </w:r>
      <w:r w:rsidRPr="00027978">
        <w:rPr>
          <w:rFonts w:cs="Arial"/>
          <w:sz w:val="18"/>
          <w:szCs w:val="18"/>
          <w:rtl/>
        </w:rPr>
        <w:t xml:space="preserve"> </w:t>
      </w:r>
      <w:r w:rsidRPr="00027978">
        <w:rPr>
          <w:rFonts w:cs="Arial" w:hint="cs"/>
          <w:sz w:val="18"/>
          <w:szCs w:val="18"/>
          <w:rtl/>
        </w:rPr>
        <w:t>שני</w:t>
      </w:r>
      <w:r w:rsidRPr="00027978">
        <w:rPr>
          <w:rFonts w:cs="Arial"/>
          <w:sz w:val="18"/>
          <w:szCs w:val="18"/>
          <w:rtl/>
        </w:rPr>
        <w:t xml:space="preserve"> </w:t>
      </w:r>
      <w:r w:rsidRPr="00027978">
        <w:rPr>
          <w:rFonts w:cs="Arial" w:hint="cs"/>
          <w:sz w:val="18"/>
          <w:szCs w:val="18"/>
          <w:rtl/>
        </w:rPr>
        <w:t>ימים</w:t>
      </w:r>
      <w:r w:rsidRPr="00027978">
        <w:rPr>
          <w:rFonts w:cs="Arial"/>
          <w:sz w:val="18"/>
          <w:szCs w:val="18"/>
          <w:rtl/>
        </w:rPr>
        <w:t xml:space="preserve">, </w:t>
      </w:r>
      <w:r w:rsidRPr="00027978">
        <w:rPr>
          <w:rFonts w:cs="Arial" w:hint="cs"/>
          <w:sz w:val="18"/>
          <w:szCs w:val="18"/>
          <w:rtl/>
        </w:rPr>
        <w:t>כגון</w:t>
      </w:r>
      <w:r w:rsidRPr="00027978">
        <w:rPr>
          <w:rFonts w:cs="Arial"/>
          <w:sz w:val="18"/>
          <w:szCs w:val="18"/>
          <w:rtl/>
        </w:rPr>
        <w:t xml:space="preserve"> </w:t>
      </w:r>
      <w:r w:rsidRPr="00027978">
        <w:rPr>
          <w:rFonts w:cs="Arial" w:hint="cs"/>
          <w:sz w:val="18"/>
          <w:szCs w:val="18"/>
          <w:rtl/>
        </w:rPr>
        <w:t>שני</w:t>
      </w:r>
      <w:r w:rsidRPr="00027978">
        <w:rPr>
          <w:rFonts w:cs="Arial"/>
          <w:sz w:val="18"/>
          <w:szCs w:val="18"/>
          <w:rtl/>
        </w:rPr>
        <w:t xml:space="preserve"> </w:t>
      </w:r>
      <w:r w:rsidRPr="00027978">
        <w:rPr>
          <w:rFonts w:cs="Arial" w:hint="cs"/>
          <w:sz w:val="18"/>
          <w:szCs w:val="18"/>
          <w:rtl/>
        </w:rPr>
        <w:t>וחמישי</w:t>
      </w:r>
      <w:r w:rsidRPr="00027978">
        <w:rPr>
          <w:rFonts w:cs="Arial"/>
          <w:sz w:val="18"/>
          <w:szCs w:val="18"/>
          <w:rtl/>
        </w:rPr>
        <w:t xml:space="preserve">, </w:t>
      </w:r>
      <w:r w:rsidRPr="00027978">
        <w:rPr>
          <w:rFonts w:cs="Arial" w:hint="cs"/>
          <w:sz w:val="18"/>
          <w:szCs w:val="18"/>
          <w:rtl/>
        </w:rPr>
        <w:t>ובליל</w:t>
      </w:r>
      <w:r w:rsidRPr="00027978">
        <w:rPr>
          <w:rFonts w:cs="Arial"/>
          <w:sz w:val="18"/>
          <w:szCs w:val="18"/>
          <w:rtl/>
        </w:rPr>
        <w:t xml:space="preserve"> </w:t>
      </w:r>
      <w:r w:rsidRPr="00027978">
        <w:rPr>
          <w:rFonts w:cs="Arial" w:hint="cs"/>
          <w:sz w:val="18"/>
          <w:szCs w:val="18"/>
          <w:rtl/>
        </w:rPr>
        <w:t>התענית</w:t>
      </w:r>
      <w:r>
        <w:rPr>
          <w:rStyle w:val="a5"/>
          <w:rFonts w:cs="Arial"/>
          <w:sz w:val="18"/>
          <w:szCs w:val="18"/>
          <w:rtl/>
        </w:rPr>
        <w:footnoteReference w:id="72"/>
      </w:r>
      <w:r w:rsidRPr="00027978">
        <w:rPr>
          <w:rFonts w:cs="Arial"/>
          <w:sz w:val="18"/>
          <w:szCs w:val="18"/>
          <w:rtl/>
        </w:rPr>
        <w:t xml:space="preserve"> </w:t>
      </w:r>
      <w:r w:rsidRPr="00027978">
        <w:rPr>
          <w:rFonts w:cs="Arial" w:hint="cs"/>
          <w:sz w:val="18"/>
          <w:szCs w:val="18"/>
          <w:rtl/>
        </w:rPr>
        <w:t>אסור</w:t>
      </w:r>
      <w:r w:rsidRPr="00027978">
        <w:rPr>
          <w:rFonts w:cs="Arial"/>
          <w:sz w:val="18"/>
          <w:szCs w:val="18"/>
          <w:rtl/>
        </w:rPr>
        <w:t xml:space="preserve"> </w:t>
      </w:r>
      <w:r w:rsidRPr="00027978">
        <w:rPr>
          <w:rFonts w:cs="Arial" w:hint="cs"/>
          <w:sz w:val="18"/>
          <w:szCs w:val="18"/>
          <w:rtl/>
        </w:rPr>
        <w:t>ביין</w:t>
      </w:r>
      <w:r w:rsidRPr="00027978">
        <w:rPr>
          <w:rFonts w:cs="Arial"/>
          <w:sz w:val="18"/>
          <w:szCs w:val="18"/>
          <w:rtl/>
        </w:rPr>
        <w:t xml:space="preserve"> </w:t>
      </w:r>
      <w:r w:rsidRPr="00027978">
        <w:rPr>
          <w:rFonts w:cs="Arial" w:hint="cs"/>
          <w:sz w:val="18"/>
          <w:szCs w:val="18"/>
          <w:rtl/>
        </w:rPr>
        <w:t>ובשר</w:t>
      </w:r>
      <w:r w:rsidRPr="00027978">
        <w:rPr>
          <w:rFonts w:cs="Arial"/>
          <w:sz w:val="18"/>
          <w:szCs w:val="18"/>
          <w:rtl/>
        </w:rPr>
        <w:t xml:space="preserve">. </w:t>
      </w:r>
      <w:r w:rsidRPr="00027978">
        <w:rPr>
          <w:rFonts w:cs="Arial" w:hint="cs"/>
          <w:sz w:val="18"/>
          <w:szCs w:val="18"/>
          <w:rtl/>
        </w:rPr>
        <w:t>ואם</w:t>
      </w:r>
      <w:r w:rsidRPr="00027978">
        <w:rPr>
          <w:rFonts w:cs="Arial"/>
          <w:sz w:val="18"/>
          <w:szCs w:val="18"/>
          <w:rtl/>
        </w:rPr>
        <w:t xml:space="preserve"> </w:t>
      </w:r>
      <w:r w:rsidRPr="00027978">
        <w:rPr>
          <w:rFonts w:cs="Arial" w:hint="cs"/>
          <w:sz w:val="18"/>
          <w:szCs w:val="18"/>
          <w:rtl/>
        </w:rPr>
        <w:t>לא</w:t>
      </w:r>
      <w:r w:rsidRPr="00027978">
        <w:rPr>
          <w:rFonts w:cs="Arial"/>
          <w:sz w:val="18"/>
          <w:szCs w:val="18"/>
          <w:rtl/>
        </w:rPr>
        <w:t xml:space="preserve"> </w:t>
      </w:r>
      <w:r w:rsidRPr="00027978">
        <w:rPr>
          <w:rFonts w:cs="Arial" w:hint="cs"/>
          <w:sz w:val="18"/>
          <w:szCs w:val="18"/>
          <w:rtl/>
        </w:rPr>
        <w:t>יוכל</w:t>
      </w:r>
      <w:r w:rsidRPr="00027978">
        <w:rPr>
          <w:rFonts w:cs="Arial"/>
          <w:sz w:val="18"/>
          <w:szCs w:val="18"/>
          <w:rtl/>
        </w:rPr>
        <w:t xml:space="preserve"> </w:t>
      </w:r>
      <w:r w:rsidRPr="00027978">
        <w:rPr>
          <w:rFonts w:cs="Arial" w:hint="cs"/>
          <w:sz w:val="18"/>
          <w:szCs w:val="18"/>
          <w:rtl/>
        </w:rPr>
        <w:t>להתענות</w:t>
      </w:r>
      <w:r w:rsidRPr="00027978">
        <w:rPr>
          <w:rFonts w:cs="Arial"/>
          <w:sz w:val="18"/>
          <w:szCs w:val="18"/>
          <w:rtl/>
        </w:rPr>
        <w:t xml:space="preserve">, </w:t>
      </w:r>
      <w:r w:rsidRPr="00027978">
        <w:rPr>
          <w:rFonts w:cs="Arial" w:hint="cs"/>
          <w:sz w:val="18"/>
          <w:szCs w:val="18"/>
          <w:rtl/>
        </w:rPr>
        <w:t>יפדה</w:t>
      </w:r>
      <w:r w:rsidRPr="00027978">
        <w:rPr>
          <w:rFonts w:cs="Arial"/>
          <w:sz w:val="18"/>
          <w:szCs w:val="18"/>
          <w:rtl/>
        </w:rPr>
        <w:t xml:space="preserve"> </w:t>
      </w:r>
      <w:r w:rsidRPr="00027978">
        <w:rPr>
          <w:rFonts w:cs="Arial" w:hint="cs"/>
          <w:sz w:val="18"/>
          <w:szCs w:val="18"/>
          <w:rtl/>
        </w:rPr>
        <w:t>כל</w:t>
      </w:r>
      <w:r w:rsidRPr="00027978">
        <w:rPr>
          <w:rFonts w:cs="Arial"/>
          <w:sz w:val="18"/>
          <w:szCs w:val="18"/>
          <w:rtl/>
        </w:rPr>
        <w:t xml:space="preserve"> </w:t>
      </w:r>
      <w:r w:rsidRPr="00027978">
        <w:rPr>
          <w:rFonts w:cs="Arial" w:hint="cs"/>
          <w:sz w:val="18"/>
          <w:szCs w:val="18"/>
          <w:rtl/>
        </w:rPr>
        <w:t>יום</w:t>
      </w:r>
      <w:r w:rsidRPr="00027978">
        <w:rPr>
          <w:rFonts w:cs="Arial"/>
          <w:sz w:val="18"/>
          <w:szCs w:val="18"/>
          <w:rtl/>
        </w:rPr>
        <w:t xml:space="preserve"> </w:t>
      </w:r>
      <w:r w:rsidRPr="00027978">
        <w:rPr>
          <w:rFonts w:cs="Arial" w:hint="cs"/>
          <w:sz w:val="18"/>
          <w:szCs w:val="18"/>
          <w:rtl/>
        </w:rPr>
        <w:t>בממון</w:t>
      </w:r>
      <w:r w:rsidRPr="00027978">
        <w:rPr>
          <w:rFonts w:cs="Arial"/>
          <w:sz w:val="18"/>
          <w:szCs w:val="18"/>
          <w:rtl/>
        </w:rPr>
        <w:t xml:space="preserve"> </w:t>
      </w:r>
      <w:r w:rsidRPr="00027978">
        <w:rPr>
          <w:rFonts w:cs="Arial" w:hint="cs"/>
          <w:sz w:val="18"/>
          <w:szCs w:val="18"/>
          <w:rtl/>
        </w:rPr>
        <w:t>שיתן</w:t>
      </w:r>
      <w:r w:rsidRPr="00027978">
        <w:rPr>
          <w:rFonts w:cs="Arial"/>
          <w:sz w:val="18"/>
          <w:szCs w:val="18"/>
          <w:rtl/>
        </w:rPr>
        <w:t xml:space="preserve"> </w:t>
      </w:r>
      <w:r w:rsidRPr="00027978">
        <w:rPr>
          <w:rFonts w:cs="Arial" w:hint="cs"/>
          <w:sz w:val="18"/>
          <w:szCs w:val="18"/>
          <w:rtl/>
        </w:rPr>
        <w:t>לצדקה</w:t>
      </w:r>
      <w:r w:rsidRPr="00027978">
        <w:rPr>
          <w:rFonts w:cs="Arial"/>
          <w:sz w:val="18"/>
          <w:szCs w:val="18"/>
          <w:rtl/>
        </w:rPr>
        <w:t xml:space="preserve">, </w:t>
      </w:r>
      <w:r w:rsidRPr="00027978">
        <w:rPr>
          <w:rFonts w:cs="Arial" w:hint="cs"/>
          <w:sz w:val="18"/>
          <w:szCs w:val="18"/>
          <w:rtl/>
        </w:rPr>
        <w:t>כפי</w:t>
      </w:r>
      <w:r w:rsidRPr="00027978">
        <w:rPr>
          <w:rFonts w:cs="Arial"/>
          <w:sz w:val="18"/>
          <w:szCs w:val="18"/>
          <w:rtl/>
        </w:rPr>
        <w:t xml:space="preserve"> </w:t>
      </w:r>
      <w:r w:rsidRPr="00027978">
        <w:rPr>
          <w:rFonts w:cs="Arial" w:hint="cs"/>
          <w:sz w:val="18"/>
          <w:szCs w:val="18"/>
          <w:rtl/>
        </w:rPr>
        <w:t>ערך</w:t>
      </w:r>
      <w:r w:rsidRPr="00027978">
        <w:rPr>
          <w:rFonts w:cs="Arial"/>
          <w:sz w:val="18"/>
          <w:szCs w:val="18"/>
          <w:rtl/>
        </w:rPr>
        <w:t xml:space="preserve"> </w:t>
      </w:r>
      <w:r w:rsidRPr="00027978">
        <w:rPr>
          <w:rFonts w:cs="Arial" w:hint="cs"/>
          <w:sz w:val="18"/>
          <w:szCs w:val="18"/>
          <w:rtl/>
        </w:rPr>
        <w:t>ממון</w:t>
      </w:r>
      <w:r w:rsidRPr="00027978">
        <w:rPr>
          <w:rFonts w:cs="Arial"/>
          <w:sz w:val="18"/>
          <w:szCs w:val="18"/>
          <w:rtl/>
        </w:rPr>
        <w:t xml:space="preserve"> </w:t>
      </w:r>
      <w:r w:rsidRPr="00027978">
        <w:rPr>
          <w:rFonts w:cs="Arial" w:hint="cs"/>
          <w:sz w:val="18"/>
          <w:szCs w:val="18"/>
          <w:rtl/>
        </w:rPr>
        <w:t>שיש</w:t>
      </w:r>
      <w:r w:rsidRPr="00027978">
        <w:rPr>
          <w:rFonts w:cs="Arial"/>
          <w:sz w:val="18"/>
          <w:szCs w:val="18"/>
          <w:rtl/>
        </w:rPr>
        <w:t xml:space="preserve"> </w:t>
      </w:r>
      <w:r w:rsidRPr="00027978">
        <w:rPr>
          <w:rFonts w:cs="Arial" w:hint="cs"/>
          <w:sz w:val="18"/>
          <w:szCs w:val="18"/>
          <w:rtl/>
        </w:rPr>
        <w:t>לו</w:t>
      </w:r>
      <w:r w:rsidRPr="00027978">
        <w:rPr>
          <w:rFonts w:cs="Arial"/>
          <w:sz w:val="18"/>
          <w:szCs w:val="18"/>
          <w:rtl/>
        </w:rPr>
        <w:t xml:space="preserve">, </w:t>
      </w:r>
      <w:r w:rsidRPr="00027978">
        <w:rPr>
          <w:rFonts w:cs="Arial" w:hint="cs"/>
          <w:sz w:val="18"/>
          <w:szCs w:val="18"/>
          <w:rtl/>
        </w:rPr>
        <w:t>כי</w:t>
      </w:r>
      <w:r w:rsidRPr="00027978">
        <w:rPr>
          <w:rFonts w:cs="Arial"/>
          <w:sz w:val="18"/>
          <w:szCs w:val="18"/>
          <w:rtl/>
        </w:rPr>
        <w:t xml:space="preserve"> </w:t>
      </w:r>
      <w:r w:rsidRPr="00027978">
        <w:rPr>
          <w:rFonts w:cs="Arial" w:hint="cs"/>
          <w:sz w:val="18"/>
          <w:szCs w:val="18"/>
          <w:rtl/>
        </w:rPr>
        <w:t>עשיר</w:t>
      </w:r>
      <w:r w:rsidRPr="00027978">
        <w:rPr>
          <w:rFonts w:cs="Arial"/>
          <w:sz w:val="18"/>
          <w:szCs w:val="18"/>
          <w:rtl/>
        </w:rPr>
        <w:t xml:space="preserve"> </w:t>
      </w:r>
      <w:r w:rsidRPr="00027978">
        <w:rPr>
          <w:rFonts w:cs="Arial" w:hint="cs"/>
          <w:sz w:val="18"/>
          <w:szCs w:val="18"/>
          <w:rtl/>
        </w:rPr>
        <w:t>יתן</w:t>
      </w:r>
      <w:r w:rsidRPr="00027978">
        <w:rPr>
          <w:rFonts w:cs="Arial"/>
          <w:sz w:val="18"/>
          <w:szCs w:val="18"/>
          <w:rtl/>
        </w:rPr>
        <w:t xml:space="preserve"> </w:t>
      </w:r>
      <w:r w:rsidRPr="00027978">
        <w:rPr>
          <w:rFonts w:cs="Arial" w:hint="cs"/>
          <w:sz w:val="18"/>
          <w:szCs w:val="18"/>
          <w:rtl/>
        </w:rPr>
        <w:t>יותר</w:t>
      </w:r>
      <w:r w:rsidRPr="00027978">
        <w:rPr>
          <w:rFonts w:cs="Arial"/>
          <w:sz w:val="18"/>
          <w:szCs w:val="18"/>
          <w:rtl/>
        </w:rPr>
        <w:t xml:space="preserve"> </w:t>
      </w:r>
      <w:r w:rsidRPr="00027978">
        <w:rPr>
          <w:rFonts w:cs="Arial" w:hint="cs"/>
          <w:sz w:val="18"/>
          <w:szCs w:val="18"/>
          <w:rtl/>
        </w:rPr>
        <w:t>קצת</w:t>
      </w:r>
      <w:r w:rsidRPr="00027978">
        <w:rPr>
          <w:rFonts w:cs="Arial"/>
          <w:sz w:val="18"/>
          <w:szCs w:val="18"/>
          <w:rtl/>
        </w:rPr>
        <w:t xml:space="preserve"> </w:t>
      </w:r>
      <w:r w:rsidRPr="00027978">
        <w:rPr>
          <w:rFonts w:cs="Arial" w:hint="cs"/>
          <w:sz w:val="18"/>
          <w:szCs w:val="18"/>
          <w:rtl/>
        </w:rPr>
        <w:t>מעני</w:t>
      </w:r>
      <w:r w:rsidRPr="00027978">
        <w:rPr>
          <w:rFonts w:cs="Arial"/>
          <w:sz w:val="18"/>
          <w:szCs w:val="18"/>
          <w:rtl/>
        </w:rPr>
        <w:t xml:space="preserve">, </w:t>
      </w:r>
      <w:r w:rsidRPr="00027978">
        <w:rPr>
          <w:rFonts w:cs="Arial" w:hint="cs"/>
          <w:sz w:val="18"/>
          <w:szCs w:val="18"/>
          <w:rtl/>
        </w:rPr>
        <w:t>ויש</w:t>
      </w:r>
      <w:r w:rsidRPr="00027978">
        <w:rPr>
          <w:rFonts w:cs="Arial"/>
          <w:sz w:val="18"/>
          <w:szCs w:val="18"/>
          <w:rtl/>
        </w:rPr>
        <w:t xml:space="preserve"> </w:t>
      </w:r>
      <w:r w:rsidRPr="00027978">
        <w:rPr>
          <w:rFonts w:cs="Arial" w:hint="cs"/>
          <w:sz w:val="18"/>
          <w:szCs w:val="18"/>
          <w:rtl/>
        </w:rPr>
        <w:t>להחמיר</w:t>
      </w:r>
      <w:r w:rsidRPr="00027978">
        <w:rPr>
          <w:rFonts w:cs="Arial"/>
          <w:sz w:val="18"/>
          <w:szCs w:val="18"/>
          <w:rtl/>
        </w:rPr>
        <w:t xml:space="preserve"> </w:t>
      </w:r>
      <w:r w:rsidRPr="00027978">
        <w:rPr>
          <w:rFonts w:cs="Arial" w:hint="cs"/>
          <w:sz w:val="18"/>
          <w:szCs w:val="18"/>
          <w:rtl/>
        </w:rPr>
        <w:t>בתשובתו</w:t>
      </w:r>
      <w:r w:rsidRPr="00027978">
        <w:rPr>
          <w:rFonts w:cs="Arial"/>
          <w:sz w:val="18"/>
          <w:szCs w:val="18"/>
          <w:rtl/>
        </w:rPr>
        <w:t xml:space="preserve">. </w:t>
      </w:r>
      <w:r w:rsidRPr="00027978">
        <w:rPr>
          <w:rFonts w:cs="Arial" w:hint="cs"/>
          <w:sz w:val="18"/>
          <w:szCs w:val="18"/>
          <w:rtl/>
        </w:rPr>
        <w:t>וכל</w:t>
      </w:r>
      <w:r w:rsidRPr="00027978">
        <w:rPr>
          <w:rFonts w:cs="Arial"/>
          <w:sz w:val="18"/>
          <w:szCs w:val="18"/>
          <w:rtl/>
        </w:rPr>
        <w:t xml:space="preserve"> </w:t>
      </w:r>
      <w:r w:rsidRPr="00027978">
        <w:rPr>
          <w:rFonts w:cs="Arial" w:hint="cs"/>
          <w:sz w:val="18"/>
          <w:szCs w:val="18"/>
          <w:rtl/>
        </w:rPr>
        <w:t>המרבה</w:t>
      </w:r>
      <w:r w:rsidRPr="00027978">
        <w:rPr>
          <w:rFonts w:cs="Arial"/>
          <w:sz w:val="18"/>
          <w:szCs w:val="18"/>
          <w:rtl/>
        </w:rPr>
        <w:t xml:space="preserve"> </w:t>
      </w:r>
      <w:r w:rsidRPr="00027978">
        <w:rPr>
          <w:rFonts w:cs="Arial" w:hint="cs"/>
          <w:sz w:val="18"/>
          <w:szCs w:val="18"/>
          <w:rtl/>
        </w:rPr>
        <w:t>לשוב</w:t>
      </w:r>
      <w:r w:rsidRPr="00027978">
        <w:rPr>
          <w:rFonts w:cs="Arial"/>
          <w:sz w:val="18"/>
          <w:szCs w:val="18"/>
          <w:rtl/>
        </w:rPr>
        <w:t xml:space="preserve">, </w:t>
      </w:r>
      <w:r w:rsidRPr="00027978">
        <w:rPr>
          <w:rFonts w:cs="Arial" w:hint="cs"/>
          <w:sz w:val="18"/>
          <w:szCs w:val="18"/>
          <w:rtl/>
        </w:rPr>
        <w:t>זכות</w:t>
      </w:r>
      <w:r w:rsidRPr="00027978">
        <w:rPr>
          <w:rFonts w:cs="Arial"/>
          <w:sz w:val="18"/>
          <w:szCs w:val="18"/>
          <w:rtl/>
        </w:rPr>
        <w:t xml:space="preserve"> </w:t>
      </w:r>
      <w:r w:rsidRPr="00027978">
        <w:rPr>
          <w:rFonts w:cs="Arial" w:hint="cs"/>
          <w:sz w:val="18"/>
          <w:szCs w:val="18"/>
          <w:rtl/>
        </w:rPr>
        <w:t>הוא</w:t>
      </w:r>
      <w:r w:rsidRPr="00027978">
        <w:rPr>
          <w:rFonts w:cs="Arial"/>
          <w:sz w:val="18"/>
          <w:szCs w:val="18"/>
          <w:rtl/>
        </w:rPr>
        <w:t xml:space="preserve"> </w:t>
      </w:r>
      <w:r w:rsidRPr="00027978">
        <w:rPr>
          <w:rFonts w:cs="Arial" w:hint="cs"/>
          <w:sz w:val="18"/>
          <w:szCs w:val="18"/>
          <w:rtl/>
        </w:rPr>
        <w:t>לו</w:t>
      </w:r>
      <w:r w:rsidRPr="00027978">
        <w:rPr>
          <w:rFonts w:cs="Arial"/>
          <w:sz w:val="18"/>
          <w:szCs w:val="18"/>
          <w:rtl/>
        </w:rPr>
        <w:t xml:space="preserve">. </w:t>
      </w:r>
      <w:r w:rsidRPr="00027978">
        <w:rPr>
          <w:rFonts w:cs="Arial" w:hint="cs"/>
          <w:sz w:val="18"/>
          <w:szCs w:val="18"/>
          <w:rtl/>
        </w:rPr>
        <w:t>והאשה</w:t>
      </w:r>
      <w:r w:rsidRPr="00027978">
        <w:rPr>
          <w:rFonts w:cs="Arial"/>
          <w:sz w:val="18"/>
          <w:szCs w:val="18"/>
          <w:rtl/>
        </w:rPr>
        <w:t xml:space="preserve"> </w:t>
      </w:r>
      <w:r w:rsidRPr="00027978">
        <w:rPr>
          <w:rFonts w:cs="Arial" w:hint="cs"/>
          <w:sz w:val="18"/>
          <w:szCs w:val="18"/>
          <w:rtl/>
        </w:rPr>
        <w:t>אינה</w:t>
      </w:r>
      <w:r w:rsidRPr="00027978">
        <w:rPr>
          <w:rFonts w:cs="Arial"/>
          <w:sz w:val="18"/>
          <w:szCs w:val="18"/>
          <w:rtl/>
        </w:rPr>
        <w:t xml:space="preserve"> </w:t>
      </w:r>
      <w:r w:rsidRPr="00027978">
        <w:rPr>
          <w:rFonts w:cs="Arial" w:hint="cs"/>
          <w:sz w:val="18"/>
          <w:szCs w:val="18"/>
          <w:rtl/>
        </w:rPr>
        <w:t>צריכה</w:t>
      </w:r>
      <w:r w:rsidRPr="00027978">
        <w:rPr>
          <w:rFonts w:cs="Arial"/>
          <w:sz w:val="18"/>
          <w:szCs w:val="18"/>
          <w:rtl/>
        </w:rPr>
        <w:t xml:space="preserve"> </w:t>
      </w:r>
      <w:r w:rsidRPr="00027978">
        <w:rPr>
          <w:rFonts w:cs="Arial" w:hint="cs"/>
          <w:sz w:val="18"/>
          <w:szCs w:val="18"/>
          <w:rtl/>
        </w:rPr>
        <w:t>כפרה".</w:t>
      </w:r>
      <w:r>
        <w:rPr>
          <w:b/>
          <w:bCs/>
          <w:sz w:val="18"/>
          <w:szCs w:val="18"/>
          <w:rtl/>
        </w:rPr>
        <w:br/>
      </w:r>
      <w:r w:rsidRPr="002A221B">
        <w:rPr>
          <w:rFonts w:hint="cs"/>
          <w:b/>
          <w:bCs/>
          <w:sz w:val="20"/>
          <w:szCs w:val="20"/>
          <w:rtl/>
        </w:rPr>
        <w:t>טהרת הבית</w:t>
      </w:r>
      <w:r>
        <w:rPr>
          <w:rFonts w:hint="cs"/>
          <w:sz w:val="20"/>
          <w:szCs w:val="20"/>
          <w:rtl/>
        </w:rPr>
        <w:t xml:space="preserve"> </w:t>
      </w:r>
      <w:r>
        <w:rPr>
          <w:sz w:val="20"/>
          <w:szCs w:val="20"/>
          <w:rtl/>
        </w:rPr>
        <w:t>–</w:t>
      </w:r>
      <w:r>
        <w:rPr>
          <w:rFonts w:hint="cs"/>
          <w:sz w:val="20"/>
          <w:szCs w:val="20"/>
          <w:rtl/>
        </w:rPr>
        <w:t xml:space="preserve"> בזמנינו יש להתענות יום אחד, וייתן צדקה ויעסוק בתורה וימחלו לו.</w:t>
      </w:r>
    </w:p>
    <w:p w:rsidR="00620060" w:rsidRDefault="00620060" w:rsidP="00620060">
      <w:pPr>
        <w:rPr>
          <w:sz w:val="20"/>
          <w:szCs w:val="20"/>
          <w:rtl/>
        </w:rPr>
      </w:pPr>
      <w:r>
        <w:rPr>
          <w:rFonts w:hint="cs"/>
          <w:b/>
          <w:bCs/>
          <w:sz w:val="20"/>
          <w:szCs w:val="20"/>
          <w:rtl/>
        </w:rPr>
        <w:t>שימשו שלא בשעת ווסתה ומצאו דם לאחר מכן</w:t>
      </w:r>
      <w:r>
        <w:rPr>
          <w:b/>
          <w:b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רמ"א </w:t>
      </w:r>
      <w:r w:rsidRPr="00DD0E86">
        <w:rPr>
          <w:rFonts w:hint="cs"/>
          <w:sz w:val="18"/>
          <w:szCs w:val="18"/>
          <w:rtl/>
        </w:rPr>
        <w:t xml:space="preserve">(ע"פ מרדכי ורא"ש) </w:t>
      </w:r>
      <w:r>
        <w:rPr>
          <w:sz w:val="20"/>
          <w:szCs w:val="20"/>
          <w:rtl/>
        </w:rPr>
        <w:t>–</w:t>
      </w:r>
      <w:r>
        <w:rPr>
          <w:rFonts w:hint="cs"/>
          <w:sz w:val="20"/>
          <w:szCs w:val="20"/>
          <w:rtl/>
        </w:rPr>
        <w:t xml:space="preserve"> </w:t>
      </w:r>
      <w:r w:rsidRPr="00027978">
        <w:rPr>
          <w:rFonts w:hint="cs"/>
          <w:sz w:val="18"/>
          <w:szCs w:val="18"/>
          <w:rtl/>
        </w:rPr>
        <w:t>"</w:t>
      </w:r>
      <w:r w:rsidRPr="00027978">
        <w:rPr>
          <w:rFonts w:cs="Arial" w:hint="cs"/>
          <w:sz w:val="18"/>
          <w:szCs w:val="18"/>
          <w:rtl/>
        </w:rPr>
        <w:t>ואם</w:t>
      </w:r>
      <w:r w:rsidRPr="00027978">
        <w:rPr>
          <w:rFonts w:cs="Arial"/>
          <w:sz w:val="18"/>
          <w:szCs w:val="18"/>
          <w:rtl/>
        </w:rPr>
        <w:t xml:space="preserve"> </w:t>
      </w:r>
      <w:r w:rsidRPr="00027978">
        <w:rPr>
          <w:rFonts w:cs="Arial" w:hint="cs"/>
          <w:sz w:val="18"/>
          <w:szCs w:val="18"/>
          <w:rtl/>
        </w:rPr>
        <w:t>שמשה</w:t>
      </w:r>
      <w:r w:rsidRPr="00027978">
        <w:rPr>
          <w:rFonts w:cs="Arial"/>
          <w:sz w:val="18"/>
          <w:szCs w:val="18"/>
          <w:rtl/>
        </w:rPr>
        <w:t xml:space="preserve"> </w:t>
      </w:r>
      <w:r w:rsidRPr="00027978">
        <w:rPr>
          <w:rFonts w:cs="Arial" w:hint="cs"/>
          <w:sz w:val="18"/>
          <w:szCs w:val="18"/>
          <w:rtl/>
        </w:rPr>
        <w:t>שלא</w:t>
      </w:r>
      <w:r w:rsidRPr="00027978">
        <w:rPr>
          <w:rFonts w:cs="Arial"/>
          <w:sz w:val="18"/>
          <w:szCs w:val="18"/>
          <w:rtl/>
        </w:rPr>
        <w:t xml:space="preserve"> </w:t>
      </w:r>
      <w:r w:rsidRPr="00027978">
        <w:rPr>
          <w:rFonts w:cs="Arial" w:hint="cs"/>
          <w:sz w:val="18"/>
          <w:szCs w:val="18"/>
          <w:rtl/>
        </w:rPr>
        <w:t>בשעת</w:t>
      </w:r>
      <w:r w:rsidRPr="00027978">
        <w:rPr>
          <w:rFonts w:cs="Arial"/>
          <w:sz w:val="18"/>
          <w:szCs w:val="18"/>
          <w:rtl/>
        </w:rPr>
        <w:t xml:space="preserve"> </w:t>
      </w:r>
      <w:r w:rsidRPr="00027978">
        <w:rPr>
          <w:rFonts w:cs="Arial" w:hint="cs"/>
          <w:sz w:val="18"/>
          <w:szCs w:val="18"/>
          <w:rtl/>
        </w:rPr>
        <w:t>וסתה</w:t>
      </w:r>
      <w:r w:rsidRPr="00027978">
        <w:rPr>
          <w:rFonts w:cs="Arial"/>
          <w:sz w:val="18"/>
          <w:szCs w:val="18"/>
          <w:rtl/>
        </w:rPr>
        <w:t xml:space="preserve">, </w:t>
      </w:r>
      <w:r w:rsidRPr="00027978">
        <w:rPr>
          <w:rFonts w:cs="Arial" w:hint="cs"/>
          <w:sz w:val="18"/>
          <w:szCs w:val="18"/>
          <w:rtl/>
        </w:rPr>
        <w:t>ומצאה</w:t>
      </w:r>
      <w:r w:rsidRPr="00027978">
        <w:rPr>
          <w:rFonts w:cs="Arial"/>
          <w:sz w:val="18"/>
          <w:szCs w:val="18"/>
          <w:rtl/>
        </w:rPr>
        <w:t xml:space="preserve"> </w:t>
      </w:r>
      <w:r w:rsidRPr="00027978">
        <w:rPr>
          <w:rFonts w:cs="Arial" w:hint="cs"/>
          <w:sz w:val="18"/>
          <w:szCs w:val="18"/>
          <w:rtl/>
        </w:rPr>
        <w:t>אחר</w:t>
      </w:r>
      <w:r w:rsidRPr="00027978">
        <w:rPr>
          <w:rFonts w:cs="Arial"/>
          <w:sz w:val="18"/>
          <w:szCs w:val="18"/>
          <w:rtl/>
        </w:rPr>
        <w:t xml:space="preserve"> </w:t>
      </w:r>
      <w:r w:rsidRPr="00027978">
        <w:rPr>
          <w:rFonts w:cs="Arial" w:hint="cs"/>
          <w:sz w:val="18"/>
          <w:szCs w:val="18"/>
          <w:rtl/>
        </w:rPr>
        <w:t>התשמיש</w:t>
      </w:r>
      <w:r w:rsidRPr="00027978">
        <w:rPr>
          <w:rFonts w:cs="Arial"/>
          <w:sz w:val="18"/>
          <w:szCs w:val="18"/>
          <w:rtl/>
        </w:rPr>
        <w:t xml:space="preserve"> </w:t>
      </w:r>
      <w:r w:rsidRPr="00027978">
        <w:rPr>
          <w:rFonts w:cs="Arial" w:hint="cs"/>
          <w:sz w:val="18"/>
          <w:szCs w:val="18"/>
          <w:rtl/>
        </w:rPr>
        <w:t>דם</w:t>
      </w:r>
      <w:r w:rsidRPr="00027978">
        <w:rPr>
          <w:rFonts w:cs="Arial"/>
          <w:sz w:val="18"/>
          <w:szCs w:val="18"/>
          <w:rtl/>
        </w:rPr>
        <w:t xml:space="preserve">, </w:t>
      </w:r>
      <w:r w:rsidRPr="00027978">
        <w:rPr>
          <w:rFonts w:cs="Arial" w:hint="cs"/>
          <w:sz w:val="18"/>
          <w:szCs w:val="18"/>
          <w:rtl/>
        </w:rPr>
        <w:t>אפילו</w:t>
      </w:r>
      <w:r w:rsidRPr="00027978">
        <w:rPr>
          <w:rFonts w:cs="Arial"/>
          <w:sz w:val="18"/>
          <w:szCs w:val="18"/>
          <w:rtl/>
        </w:rPr>
        <w:t xml:space="preserve"> </w:t>
      </w:r>
      <w:r w:rsidRPr="00027978">
        <w:rPr>
          <w:rFonts w:cs="Arial" w:hint="cs"/>
          <w:sz w:val="18"/>
          <w:szCs w:val="18"/>
          <w:rtl/>
        </w:rPr>
        <w:t>נמצא</w:t>
      </w:r>
      <w:r w:rsidRPr="00027978">
        <w:rPr>
          <w:rFonts w:cs="Arial"/>
          <w:sz w:val="18"/>
          <w:szCs w:val="18"/>
          <w:rtl/>
        </w:rPr>
        <w:t xml:space="preserve"> </w:t>
      </w:r>
      <w:r w:rsidRPr="00027978">
        <w:rPr>
          <w:rFonts w:cs="Arial" w:hint="cs"/>
          <w:sz w:val="18"/>
          <w:szCs w:val="18"/>
          <w:rtl/>
        </w:rPr>
        <w:t>על</w:t>
      </w:r>
      <w:r w:rsidRPr="00027978">
        <w:rPr>
          <w:rFonts w:cs="Arial"/>
          <w:sz w:val="18"/>
          <w:szCs w:val="18"/>
          <w:rtl/>
        </w:rPr>
        <w:t xml:space="preserve"> </w:t>
      </w:r>
      <w:r w:rsidRPr="00027978">
        <w:rPr>
          <w:rFonts w:cs="Arial" w:hint="cs"/>
          <w:sz w:val="18"/>
          <w:szCs w:val="18"/>
          <w:rtl/>
        </w:rPr>
        <w:t>עד</w:t>
      </w:r>
      <w:r w:rsidRPr="00027978">
        <w:rPr>
          <w:rFonts w:cs="Arial"/>
          <w:sz w:val="18"/>
          <w:szCs w:val="18"/>
          <w:rtl/>
        </w:rPr>
        <w:t xml:space="preserve"> </w:t>
      </w:r>
      <w:r w:rsidRPr="00027978">
        <w:rPr>
          <w:rFonts w:cs="Arial" w:hint="cs"/>
          <w:sz w:val="18"/>
          <w:szCs w:val="18"/>
          <w:rtl/>
        </w:rPr>
        <w:t>שלו</w:t>
      </w:r>
      <w:r w:rsidRPr="00027978">
        <w:rPr>
          <w:rFonts w:cs="Arial"/>
          <w:sz w:val="18"/>
          <w:szCs w:val="18"/>
          <w:rtl/>
        </w:rPr>
        <w:t xml:space="preserve">, </w:t>
      </w:r>
      <w:r w:rsidRPr="00027978">
        <w:rPr>
          <w:rFonts w:cs="Arial" w:hint="cs"/>
          <w:sz w:val="18"/>
          <w:szCs w:val="18"/>
          <w:rtl/>
        </w:rPr>
        <w:t>מקרי</w:t>
      </w:r>
      <w:r w:rsidRPr="00027978">
        <w:rPr>
          <w:rFonts w:cs="Arial"/>
          <w:sz w:val="18"/>
          <w:szCs w:val="18"/>
          <w:rtl/>
        </w:rPr>
        <w:t xml:space="preserve"> </w:t>
      </w:r>
      <w:r w:rsidRPr="00027978">
        <w:rPr>
          <w:rFonts w:cs="Arial" w:hint="cs"/>
          <w:sz w:val="18"/>
          <w:szCs w:val="18"/>
          <w:rtl/>
        </w:rPr>
        <w:t>אונס</w:t>
      </w:r>
      <w:r w:rsidRPr="00027978">
        <w:rPr>
          <w:rFonts w:cs="Arial"/>
          <w:sz w:val="18"/>
          <w:szCs w:val="18"/>
          <w:rtl/>
        </w:rPr>
        <w:t xml:space="preserve">, </w:t>
      </w:r>
      <w:r w:rsidRPr="00027978">
        <w:rPr>
          <w:rFonts w:cs="Arial" w:hint="cs"/>
          <w:sz w:val="18"/>
          <w:szCs w:val="18"/>
          <w:rtl/>
        </w:rPr>
        <w:t>אפילו</w:t>
      </w:r>
      <w:r w:rsidRPr="00027978">
        <w:rPr>
          <w:rFonts w:cs="Arial"/>
          <w:sz w:val="18"/>
          <w:szCs w:val="18"/>
          <w:rtl/>
        </w:rPr>
        <w:t xml:space="preserve"> </w:t>
      </w:r>
      <w:r w:rsidRPr="00027978">
        <w:rPr>
          <w:rFonts w:cs="Arial" w:hint="cs"/>
          <w:sz w:val="18"/>
          <w:szCs w:val="18"/>
          <w:rtl/>
        </w:rPr>
        <w:t>לא</w:t>
      </w:r>
      <w:r w:rsidRPr="00027978">
        <w:rPr>
          <w:rFonts w:cs="Arial"/>
          <w:sz w:val="18"/>
          <w:szCs w:val="18"/>
          <w:rtl/>
        </w:rPr>
        <w:t xml:space="preserve"> </w:t>
      </w:r>
      <w:r w:rsidRPr="00027978">
        <w:rPr>
          <w:rFonts w:cs="Arial" w:hint="cs"/>
          <w:sz w:val="18"/>
          <w:szCs w:val="18"/>
          <w:rtl/>
        </w:rPr>
        <w:t>בדקה</w:t>
      </w:r>
      <w:r w:rsidRPr="00027978">
        <w:rPr>
          <w:rFonts w:cs="Arial"/>
          <w:sz w:val="18"/>
          <w:szCs w:val="18"/>
          <w:rtl/>
        </w:rPr>
        <w:t xml:space="preserve"> </w:t>
      </w:r>
      <w:r w:rsidRPr="00027978">
        <w:rPr>
          <w:rFonts w:cs="Arial" w:hint="cs"/>
          <w:sz w:val="18"/>
          <w:szCs w:val="18"/>
          <w:rtl/>
        </w:rPr>
        <w:t>תחלה</w:t>
      </w:r>
      <w:r w:rsidRPr="00027978">
        <w:rPr>
          <w:rFonts w:cs="Arial"/>
          <w:sz w:val="18"/>
          <w:szCs w:val="18"/>
          <w:rtl/>
        </w:rPr>
        <w:t xml:space="preserve">. </w:t>
      </w:r>
      <w:r w:rsidRPr="00027978">
        <w:rPr>
          <w:rFonts w:cs="Arial" w:hint="cs"/>
          <w:sz w:val="18"/>
          <w:szCs w:val="18"/>
          <w:rtl/>
        </w:rPr>
        <w:t>וא</w:t>
      </w:r>
      <w:r>
        <w:rPr>
          <w:rFonts w:cs="Arial" w:hint="cs"/>
          <w:sz w:val="18"/>
          <w:szCs w:val="18"/>
          <w:rtl/>
        </w:rPr>
        <w:t xml:space="preserve">ינם </w:t>
      </w:r>
      <w:r w:rsidRPr="00027978">
        <w:rPr>
          <w:rFonts w:cs="Arial" w:hint="cs"/>
          <w:sz w:val="18"/>
          <w:szCs w:val="18"/>
          <w:rtl/>
        </w:rPr>
        <w:t>צ</w:t>
      </w:r>
      <w:r>
        <w:rPr>
          <w:rFonts w:cs="Arial" w:hint="cs"/>
          <w:sz w:val="18"/>
          <w:szCs w:val="18"/>
          <w:rtl/>
        </w:rPr>
        <w:t>ריכים</w:t>
      </w:r>
      <w:r w:rsidRPr="00027978">
        <w:rPr>
          <w:rFonts w:cs="Arial"/>
          <w:sz w:val="18"/>
          <w:szCs w:val="18"/>
          <w:rtl/>
        </w:rPr>
        <w:t xml:space="preserve"> </w:t>
      </w:r>
      <w:r w:rsidRPr="00027978">
        <w:rPr>
          <w:rFonts w:cs="Arial" w:hint="cs"/>
          <w:sz w:val="18"/>
          <w:szCs w:val="18"/>
          <w:rtl/>
        </w:rPr>
        <w:t>כפרה</w:t>
      </w:r>
      <w:r w:rsidRPr="00027978">
        <w:rPr>
          <w:rFonts w:cs="Arial"/>
          <w:sz w:val="18"/>
          <w:szCs w:val="18"/>
          <w:rtl/>
        </w:rPr>
        <w:t xml:space="preserve"> </w:t>
      </w:r>
      <w:r w:rsidRPr="00027978">
        <w:rPr>
          <w:rFonts w:cs="Arial" w:hint="cs"/>
          <w:sz w:val="18"/>
          <w:szCs w:val="18"/>
          <w:rtl/>
        </w:rPr>
        <w:t>לא</w:t>
      </w:r>
      <w:r w:rsidRPr="00027978">
        <w:rPr>
          <w:rFonts w:cs="Arial"/>
          <w:sz w:val="18"/>
          <w:szCs w:val="18"/>
          <w:rtl/>
        </w:rPr>
        <w:t xml:space="preserve"> </w:t>
      </w:r>
      <w:r w:rsidRPr="00027978">
        <w:rPr>
          <w:rFonts w:cs="Arial" w:hint="cs"/>
          <w:sz w:val="18"/>
          <w:szCs w:val="18"/>
          <w:rtl/>
        </w:rPr>
        <w:t>הוא</w:t>
      </w:r>
      <w:r w:rsidRPr="00027978">
        <w:rPr>
          <w:rFonts w:cs="Arial"/>
          <w:sz w:val="18"/>
          <w:szCs w:val="18"/>
          <w:rtl/>
        </w:rPr>
        <w:t xml:space="preserve"> </w:t>
      </w:r>
      <w:r w:rsidRPr="00027978">
        <w:rPr>
          <w:rFonts w:cs="Arial" w:hint="cs"/>
          <w:sz w:val="18"/>
          <w:szCs w:val="18"/>
          <w:rtl/>
        </w:rPr>
        <w:t>ולא</w:t>
      </w:r>
      <w:r w:rsidRPr="00027978">
        <w:rPr>
          <w:rFonts w:cs="Arial"/>
          <w:sz w:val="18"/>
          <w:szCs w:val="18"/>
          <w:rtl/>
        </w:rPr>
        <w:t xml:space="preserve"> </w:t>
      </w:r>
      <w:r w:rsidRPr="00027978">
        <w:rPr>
          <w:rFonts w:cs="Arial" w:hint="cs"/>
          <w:sz w:val="18"/>
          <w:szCs w:val="18"/>
          <w:rtl/>
        </w:rPr>
        <w:t>היא</w:t>
      </w:r>
      <w:r w:rsidRPr="00027978">
        <w:rPr>
          <w:rFonts w:hint="cs"/>
          <w:sz w:val="18"/>
          <w:szCs w:val="18"/>
          <w:rtl/>
        </w:rPr>
        <w:t>".</w:t>
      </w:r>
      <w:r>
        <w:rPr>
          <w:sz w:val="20"/>
          <w:szCs w:val="20"/>
          <w:rtl/>
        </w:rPr>
        <w:br/>
      </w:r>
      <w:r w:rsidRPr="00DD0E86">
        <w:rPr>
          <w:rFonts w:hint="cs"/>
          <w:b/>
          <w:bCs/>
          <w:sz w:val="20"/>
          <w:szCs w:val="20"/>
          <w:rtl/>
        </w:rPr>
        <w:t>והרא"ש</w:t>
      </w:r>
      <w:r>
        <w:rPr>
          <w:rFonts w:hint="cs"/>
          <w:sz w:val="20"/>
          <w:szCs w:val="20"/>
          <w:rtl/>
        </w:rPr>
        <w:t xml:space="preserve"> הוסיף שאין להצריך כפרה, דאם כן ליבו נוקפו ולא ישמש להבא.</w:t>
      </w:r>
    </w:p>
    <w:p w:rsidR="00620060" w:rsidRDefault="00620060" w:rsidP="00620060">
      <w:pPr>
        <w:rPr>
          <w:sz w:val="20"/>
          <w:szCs w:val="20"/>
          <w:rtl/>
        </w:rPr>
      </w:pPr>
      <w:r>
        <w:rPr>
          <w:rFonts w:hint="cs"/>
          <w:sz w:val="20"/>
          <w:szCs w:val="20"/>
          <w:u w:val="single"/>
          <w:rtl/>
        </w:rPr>
        <w:t xml:space="preserve">ביאור דברי הרמ"א </w:t>
      </w:r>
      <w:r>
        <w:rPr>
          <w:sz w:val="20"/>
          <w:szCs w:val="20"/>
          <w:u w:val="single"/>
          <w:rtl/>
        </w:rPr>
        <w:t>–</w:t>
      </w:r>
      <w:r>
        <w:rPr>
          <w:rFonts w:hint="cs"/>
          <w:sz w:val="20"/>
          <w:szCs w:val="20"/>
          <w:u w:val="single"/>
          <w:rtl/>
        </w:rPr>
        <w:t xml:space="preserve"> מתי ומי צריך כפרה (פת"ש)</w:t>
      </w:r>
      <w:r>
        <w:rPr>
          <w:rFonts w:hint="cs"/>
          <w:sz w:val="20"/>
          <w:szCs w:val="20"/>
          <w:u w:val="single"/>
          <w:rtl/>
        </w:rPr>
        <w:br/>
      </w:r>
      <w:r w:rsidRPr="003F3615">
        <w:rPr>
          <w:rFonts w:hint="cs"/>
          <w:b/>
          <w:bCs/>
          <w:sz w:val="20"/>
          <w:szCs w:val="20"/>
          <w:rtl/>
        </w:rPr>
        <w:t>נודע ביהודה</w:t>
      </w:r>
      <w:r>
        <w:rPr>
          <w:rFonts w:hint="cs"/>
          <w:sz w:val="20"/>
          <w:szCs w:val="20"/>
          <w:rtl/>
        </w:rPr>
        <w:t xml:space="preserve"> </w:t>
      </w:r>
      <w:r>
        <w:rPr>
          <w:sz w:val="20"/>
          <w:szCs w:val="20"/>
          <w:rtl/>
        </w:rPr>
        <w:t>–</w:t>
      </w:r>
      <w:r>
        <w:rPr>
          <w:rFonts w:hint="cs"/>
          <w:sz w:val="20"/>
          <w:szCs w:val="20"/>
          <w:rtl/>
        </w:rPr>
        <w:t xml:space="preserve"> קשה בדברי הרמ"א, בסוף דבריו כתב שאם שימשו שלא בשעת וסתה מקרי אונס, משמע שעד </w:t>
      </w:r>
      <w:r>
        <w:rPr>
          <w:rFonts w:hint="cs"/>
          <w:sz w:val="20"/>
          <w:szCs w:val="20"/>
          <w:rtl/>
        </w:rPr>
        <w:lastRenderedPageBreak/>
        <w:t xml:space="preserve">עתה מיירי בשעת ווסתה, וקשה שהרי אם שימשו סמוך לווסתה שניהם חייבים קרבן כשנטמאה </w:t>
      </w:r>
      <w:r w:rsidRPr="003F3615">
        <w:rPr>
          <w:rFonts w:hint="cs"/>
          <w:sz w:val="18"/>
          <w:szCs w:val="18"/>
          <w:rtl/>
        </w:rPr>
        <w:t>(</w:t>
      </w:r>
      <w:r>
        <w:rPr>
          <w:rFonts w:hint="cs"/>
          <w:sz w:val="18"/>
          <w:szCs w:val="18"/>
          <w:rtl/>
        </w:rPr>
        <w:t>כ</w:t>
      </w:r>
      <w:r w:rsidRPr="003F3615">
        <w:rPr>
          <w:rFonts w:hint="cs"/>
          <w:sz w:val="18"/>
          <w:szCs w:val="18"/>
          <w:rtl/>
        </w:rPr>
        <w:t>מבואר בגמ')</w:t>
      </w:r>
      <w:r>
        <w:rPr>
          <w:rFonts w:hint="cs"/>
          <w:sz w:val="20"/>
          <w:szCs w:val="20"/>
          <w:rtl/>
        </w:rPr>
        <w:t>!</w:t>
      </w:r>
      <w:r>
        <w:rPr>
          <w:sz w:val="20"/>
          <w:szCs w:val="20"/>
          <w:rtl/>
        </w:rPr>
        <w:br/>
      </w:r>
      <w:r>
        <w:rPr>
          <w:rFonts w:hint="cs"/>
          <w:sz w:val="20"/>
          <w:szCs w:val="20"/>
          <w:rtl/>
        </w:rPr>
        <w:t>ומיישב שיש כמה חילוקים בדין זה, כדלהלן:</w:t>
      </w:r>
      <w:r>
        <w:rPr>
          <w:rFonts w:hint="cs"/>
          <w:sz w:val="20"/>
          <w:szCs w:val="20"/>
          <w:rtl/>
        </w:rPr>
        <w:br/>
        <w:t xml:space="preserve">א. יש לה ווסת קבוע ושימשו סמוך לווסת והתברר להם שהיתה טמאה </w:t>
      </w:r>
      <w:r>
        <w:rPr>
          <w:sz w:val="20"/>
          <w:szCs w:val="20"/>
          <w:rtl/>
        </w:rPr>
        <w:t>–</w:t>
      </w:r>
      <w:r>
        <w:rPr>
          <w:rFonts w:hint="cs"/>
          <w:sz w:val="20"/>
          <w:szCs w:val="20"/>
          <w:rtl/>
        </w:rPr>
        <w:t xml:space="preserve"> שניהם חייבים קרבן, ובכה"ג לא מיירי כאן המחבר והרמ"א כלל </w:t>
      </w:r>
      <w:r w:rsidRPr="003F3615">
        <w:rPr>
          <w:rFonts w:hint="cs"/>
          <w:sz w:val="18"/>
          <w:szCs w:val="18"/>
          <w:rtl/>
        </w:rPr>
        <w:t>(כיוון שהנפק"מ לקרבן בלבד, שהרי לעניין כפרה אף אם לא נמצאה טמאה צריכים כפרה)</w:t>
      </w:r>
      <w:r>
        <w:rPr>
          <w:rFonts w:hint="cs"/>
          <w:sz w:val="20"/>
          <w:szCs w:val="20"/>
          <w:rtl/>
        </w:rPr>
        <w:t>.</w:t>
      </w:r>
      <w:r>
        <w:rPr>
          <w:sz w:val="20"/>
          <w:szCs w:val="20"/>
          <w:rtl/>
        </w:rPr>
        <w:br/>
      </w:r>
      <w:r>
        <w:rPr>
          <w:rFonts w:hint="cs"/>
          <w:sz w:val="20"/>
          <w:szCs w:val="20"/>
          <w:rtl/>
        </w:rPr>
        <w:t xml:space="preserve">ב. אין לה ווסת קבוע ובדקה עצמה לפני התשמיש </w:t>
      </w:r>
      <w:r>
        <w:rPr>
          <w:sz w:val="20"/>
          <w:szCs w:val="20"/>
          <w:rtl/>
        </w:rPr>
        <w:t>–</w:t>
      </w:r>
      <w:r>
        <w:rPr>
          <w:rFonts w:hint="cs"/>
          <w:sz w:val="20"/>
          <w:szCs w:val="20"/>
          <w:rtl/>
        </w:rPr>
        <w:t xml:space="preserve"> אם אמרה: "נטמאתי ופרוש ממני" ופירש מייד באבר חי, וק"ו אם סייעה לפרישה כגון שנשמטה תחתיו באבר חי שניהם חייבים, משום שיש לה חלק ורצון בכך, ובכה"ג מדובר בגמרא ששניהם חייבים. </w:t>
      </w:r>
      <w:r w:rsidRPr="003C6740">
        <w:rPr>
          <w:rFonts w:hint="cs"/>
          <w:sz w:val="18"/>
          <w:szCs w:val="18"/>
          <w:rtl/>
        </w:rPr>
        <w:t>(אך אם לא ביקשה לפרוש ולא סייעה, נחשבת אנוסה שהרי בדקה עצמה לפני)</w:t>
      </w:r>
      <w:r>
        <w:rPr>
          <w:rFonts w:hint="cs"/>
          <w:sz w:val="20"/>
          <w:szCs w:val="20"/>
          <w:rtl/>
        </w:rPr>
        <w:t>.</w:t>
      </w:r>
      <w:r>
        <w:rPr>
          <w:sz w:val="20"/>
          <w:szCs w:val="20"/>
          <w:rtl/>
        </w:rPr>
        <w:br/>
      </w:r>
      <w:r>
        <w:rPr>
          <w:rFonts w:hint="cs"/>
          <w:sz w:val="20"/>
          <w:szCs w:val="20"/>
          <w:rtl/>
        </w:rPr>
        <w:t xml:space="preserve">ג. אין לה ווסת קבוע ובדקה עצמה לפני תשמיש </w:t>
      </w:r>
      <w:r>
        <w:rPr>
          <w:sz w:val="20"/>
          <w:szCs w:val="20"/>
          <w:rtl/>
        </w:rPr>
        <w:t>–</w:t>
      </w:r>
      <w:r>
        <w:rPr>
          <w:rFonts w:hint="cs"/>
          <w:sz w:val="20"/>
          <w:szCs w:val="20"/>
          <w:rtl/>
        </w:rPr>
        <w:t xml:space="preserve"> אם רק אמרה לו: "נטמאתי" ופירש ממנה באבר חי, היא פטורה משום שהיא אנוסה ולא התכוונה שיפרוש ממנה מייד, אך הוא חייב, ובכה"ג מיירי המחבר ברישא.</w:t>
      </w:r>
      <w:r>
        <w:rPr>
          <w:sz w:val="20"/>
          <w:szCs w:val="20"/>
          <w:rtl/>
        </w:rPr>
        <w:br/>
      </w:r>
      <w:r>
        <w:rPr>
          <w:rFonts w:hint="cs"/>
          <w:sz w:val="20"/>
          <w:szCs w:val="20"/>
          <w:rtl/>
        </w:rPr>
        <w:t xml:space="preserve">ד. יש לה ווסת קבוע ושימשה שלא בשעת ווסתה </w:t>
      </w:r>
      <w:r>
        <w:rPr>
          <w:sz w:val="20"/>
          <w:szCs w:val="20"/>
          <w:rtl/>
        </w:rPr>
        <w:t>–</w:t>
      </w:r>
      <w:r>
        <w:rPr>
          <w:rFonts w:hint="cs"/>
          <w:sz w:val="20"/>
          <w:szCs w:val="20"/>
          <w:rtl/>
        </w:rPr>
        <w:t xml:space="preserve"> אפילו אם לא בדקה עצמה תחילה מקרי אונס ושניהם פטורים, ובהכי מיירי הרמ"א בסוף דבריו.</w:t>
      </w:r>
    </w:p>
    <w:p w:rsidR="00620060" w:rsidRDefault="00620060" w:rsidP="00620060">
      <w:r w:rsidRPr="001C3482">
        <w:rPr>
          <w:rFonts w:hint="cs"/>
          <w:b/>
          <w:bCs/>
          <w:sz w:val="20"/>
          <w:szCs w:val="20"/>
          <w:rtl/>
        </w:rPr>
        <w:t>סיכום</w:t>
      </w:r>
      <w:r w:rsidRPr="005137C4">
        <w:rPr>
          <w:sz w:val="20"/>
          <w:szCs w:val="20"/>
          <w:rtl/>
        </w:rPr>
        <w:br/>
      </w:r>
      <w:r w:rsidRPr="005137C4">
        <w:rPr>
          <w:rFonts w:hint="cs"/>
          <w:sz w:val="20"/>
          <w:szCs w:val="20"/>
          <w:rtl/>
        </w:rPr>
        <w:t xml:space="preserve">1. </w:t>
      </w:r>
      <w:r w:rsidRPr="001C3482">
        <w:rPr>
          <w:rFonts w:hint="cs"/>
          <w:b/>
          <w:bCs/>
          <w:sz w:val="20"/>
          <w:szCs w:val="20"/>
          <w:rtl/>
        </w:rPr>
        <w:t>גמרא</w:t>
      </w:r>
      <w:r w:rsidRPr="005137C4">
        <w:rPr>
          <w:rFonts w:hint="cs"/>
          <w:sz w:val="20"/>
          <w:szCs w:val="20"/>
          <w:rtl/>
        </w:rPr>
        <w:t xml:space="preserve">. שימש עם טהורה ונטמאה בשעת תשמיש, נועץ ציפורניו בקרקע עד שימות האבר ויוצא. פירש באבר חי </w:t>
      </w:r>
      <w:r w:rsidRPr="005137C4">
        <w:rPr>
          <w:sz w:val="20"/>
          <w:szCs w:val="20"/>
          <w:rtl/>
        </w:rPr>
        <w:t>–</w:t>
      </w:r>
      <w:r w:rsidRPr="005137C4">
        <w:rPr>
          <w:rFonts w:hint="cs"/>
          <w:sz w:val="20"/>
          <w:szCs w:val="20"/>
          <w:rtl/>
        </w:rPr>
        <w:t xml:space="preserve"> חייב כרת.</w:t>
      </w:r>
      <w:r w:rsidRPr="005137C4">
        <w:rPr>
          <w:sz w:val="20"/>
          <w:szCs w:val="20"/>
          <w:rtl/>
        </w:rPr>
        <w:br/>
      </w:r>
      <w:r w:rsidRPr="005137C4">
        <w:rPr>
          <w:rFonts w:hint="cs"/>
          <w:sz w:val="20"/>
          <w:szCs w:val="20"/>
          <w:rtl/>
        </w:rPr>
        <w:t>2. נועץ ציפורניו כדי שלא יהנה. אין לדוש באותו מקום משנטמאה. מפנה ליבו ביראה ורתת.</w:t>
      </w:r>
      <w:r w:rsidRPr="005137C4">
        <w:rPr>
          <w:sz w:val="20"/>
          <w:szCs w:val="20"/>
          <w:rtl/>
        </w:rPr>
        <w:br/>
      </w:r>
      <w:r w:rsidRPr="005137C4">
        <w:rPr>
          <w:rFonts w:hint="cs"/>
          <w:sz w:val="20"/>
          <w:szCs w:val="20"/>
          <w:rtl/>
        </w:rPr>
        <w:t xml:space="preserve">3. </w:t>
      </w:r>
      <w:r w:rsidRPr="001C3482">
        <w:rPr>
          <w:rFonts w:hint="cs"/>
          <w:b/>
          <w:bCs/>
          <w:sz w:val="20"/>
          <w:szCs w:val="20"/>
          <w:rtl/>
        </w:rPr>
        <w:t>רמ"א</w:t>
      </w:r>
      <w:r w:rsidRPr="005137C4">
        <w:rPr>
          <w:rFonts w:hint="cs"/>
          <w:sz w:val="20"/>
          <w:szCs w:val="20"/>
          <w:rtl/>
        </w:rPr>
        <w:t xml:space="preserve">. אין להיסמך עליה, שלא יהנה ממנה. </w:t>
      </w:r>
      <w:r w:rsidRPr="005137C4">
        <w:rPr>
          <w:sz w:val="20"/>
          <w:szCs w:val="20"/>
          <w:rtl/>
        </w:rPr>
        <w:br/>
      </w:r>
      <w:r w:rsidRPr="005137C4">
        <w:rPr>
          <w:rFonts w:hint="cs"/>
          <w:sz w:val="20"/>
          <w:szCs w:val="20"/>
          <w:rtl/>
        </w:rPr>
        <w:t xml:space="preserve">4. </w:t>
      </w:r>
      <w:r w:rsidRPr="001C3482">
        <w:rPr>
          <w:rFonts w:hint="cs"/>
          <w:b/>
          <w:bCs/>
          <w:sz w:val="20"/>
          <w:szCs w:val="20"/>
          <w:rtl/>
        </w:rPr>
        <w:t>רמ"א</w:t>
      </w:r>
      <w:r w:rsidRPr="005137C4">
        <w:rPr>
          <w:rFonts w:hint="cs"/>
          <w:sz w:val="20"/>
          <w:szCs w:val="20"/>
          <w:rtl/>
        </w:rPr>
        <w:t xml:space="preserve">. אם פירש באבר חי יתענה מ' יום וייתן צדקה. </w:t>
      </w:r>
      <w:r w:rsidRPr="001C3482">
        <w:rPr>
          <w:rFonts w:hint="cs"/>
          <w:b/>
          <w:bCs/>
          <w:sz w:val="20"/>
          <w:szCs w:val="20"/>
          <w:rtl/>
        </w:rPr>
        <w:t>טה"ב</w:t>
      </w:r>
      <w:r w:rsidRPr="005137C4">
        <w:rPr>
          <w:rFonts w:hint="cs"/>
          <w:sz w:val="20"/>
          <w:szCs w:val="20"/>
          <w:rtl/>
        </w:rPr>
        <w:t>. יתענה יום אחד.</w:t>
      </w:r>
      <w:r w:rsidRPr="005137C4">
        <w:rPr>
          <w:rFonts w:hint="cs"/>
          <w:sz w:val="20"/>
          <w:szCs w:val="20"/>
          <w:rtl/>
        </w:rPr>
        <w:br/>
      </w:r>
      <w:r>
        <w:rPr>
          <w:rFonts w:hint="cs"/>
          <w:sz w:val="20"/>
          <w:szCs w:val="20"/>
          <w:rtl/>
        </w:rPr>
        <w:t>5</w:t>
      </w:r>
      <w:r w:rsidRPr="005137C4">
        <w:rPr>
          <w:rFonts w:hint="cs"/>
          <w:sz w:val="20"/>
          <w:szCs w:val="20"/>
          <w:rtl/>
        </w:rPr>
        <w:t xml:space="preserve">. סיכום כלל הפרטים בדין זה: </w:t>
      </w:r>
      <w:r>
        <w:rPr>
          <w:sz w:val="20"/>
          <w:szCs w:val="20"/>
          <w:rtl/>
        </w:rPr>
        <w:br/>
      </w:r>
      <w:r w:rsidRPr="005137C4">
        <w:rPr>
          <w:rFonts w:hint="cs"/>
          <w:sz w:val="20"/>
          <w:szCs w:val="20"/>
          <w:rtl/>
        </w:rPr>
        <w:t xml:space="preserve">א. </w:t>
      </w:r>
      <w:r>
        <w:rPr>
          <w:rFonts w:hint="cs"/>
          <w:sz w:val="20"/>
          <w:szCs w:val="20"/>
          <w:rtl/>
        </w:rPr>
        <w:t>יש ווסת ו</w:t>
      </w:r>
      <w:r w:rsidRPr="005137C4">
        <w:rPr>
          <w:rFonts w:hint="cs"/>
          <w:sz w:val="20"/>
          <w:szCs w:val="20"/>
          <w:rtl/>
        </w:rPr>
        <w:t xml:space="preserve">שימשו סמוך לווסת והיתה טמאה </w:t>
      </w:r>
      <w:r w:rsidRPr="005137C4">
        <w:rPr>
          <w:sz w:val="20"/>
          <w:szCs w:val="20"/>
          <w:rtl/>
        </w:rPr>
        <w:t>–</w:t>
      </w:r>
      <w:r w:rsidRPr="005137C4">
        <w:rPr>
          <w:rFonts w:hint="cs"/>
          <w:sz w:val="20"/>
          <w:szCs w:val="20"/>
          <w:rtl/>
        </w:rPr>
        <w:t xml:space="preserve"> חייבים קרבן. </w:t>
      </w:r>
      <w:r>
        <w:rPr>
          <w:sz w:val="20"/>
          <w:szCs w:val="20"/>
          <w:rtl/>
        </w:rPr>
        <w:br/>
      </w:r>
      <w:r w:rsidRPr="005137C4">
        <w:rPr>
          <w:rFonts w:hint="cs"/>
          <w:sz w:val="20"/>
          <w:szCs w:val="20"/>
          <w:rtl/>
        </w:rPr>
        <w:t xml:space="preserve">ב. אין ווסת ובדקה לפני תשמיש, אם סייעה בפרישה בדיבור או מעשה ופירש באבר חי </w:t>
      </w:r>
      <w:r w:rsidRPr="005137C4">
        <w:rPr>
          <w:sz w:val="20"/>
          <w:szCs w:val="20"/>
          <w:rtl/>
        </w:rPr>
        <w:t>–</w:t>
      </w:r>
      <w:r w:rsidRPr="005137C4">
        <w:rPr>
          <w:rFonts w:hint="cs"/>
          <w:sz w:val="20"/>
          <w:szCs w:val="20"/>
          <w:rtl/>
        </w:rPr>
        <w:t xml:space="preserve"> חייבים קרבן. </w:t>
      </w:r>
      <w:r>
        <w:rPr>
          <w:sz w:val="20"/>
          <w:szCs w:val="20"/>
          <w:rtl/>
        </w:rPr>
        <w:br/>
      </w:r>
      <w:r w:rsidRPr="005137C4">
        <w:rPr>
          <w:rFonts w:hint="cs"/>
          <w:sz w:val="20"/>
          <w:szCs w:val="20"/>
          <w:rtl/>
        </w:rPr>
        <w:t xml:space="preserve">ג. אין ווסת ובדקה עצמה ולא סייעה לו כלל ופרש באבר חי </w:t>
      </w:r>
      <w:r w:rsidRPr="005137C4">
        <w:rPr>
          <w:sz w:val="20"/>
          <w:szCs w:val="20"/>
          <w:rtl/>
        </w:rPr>
        <w:t>–</w:t>
      </w:r>
      <w:r w:rsidRPr="005137C4">
        <w:rPr>
          <w:rFonts w:hint="cs"/>
          <w:sz w:val="20"/>
          <w:szCs w:val="20"/>
          <w:rtl/>
        </w:rPr>
        <w:t xml:space="preserve"> רק הוא צריך כפרה </w:t>
      </w:r>
      <w:r w:rsidRPr="005137C4">
        <w:rPr>
          <w:rFonts w:hint="cs"/>
          <w:sz w:val="18"/>
          <w:szCs w:val="18"/>
          <w:rtl/>
        </w:rPr>
        <w:t>(דברי המחבר ברישא).</w:t>
      </w:r>
      <w:r>
        <w:rPr>
          <w:rFonts w:hint="cs"/>
          <w:rtl/>
        </w:rPr>
        <w:t xml:space="preserve"> </w:t>
      </w:r>
      <w:r>
        <w:rPr>
          <w:sz w:val="20"/>
          <w:szCs w:val="20"/>
          <w:rtl/>
        </w:rPr>
        <w:br/>
      </w:r>
      <w:r w:rsidRPr="005137C4">
        <w:rPr>
          <w:rFonts w:hint="cs"/>
          <w:sz w:val="20"/>
          <w:szCs w:val="20"/>
          <w:rtl/>
        </w:rPr>
        <w:t xml:space="preserve">ד. יש ווסת ושימשו שלא בשעת הווסת </w:t>
      </w:r>
      <w:r w:rsidRPr="005137C4">
        <w:rPr>
          <w:sz w:val="20"/>
          <w:szCs w:val="20"/>
          <w:rtl/>
        </w:rPr>
        <w:t>–</w:t>
      </w:r>
      <w:r w:rsidRPr="005137C4">
        <w:rPr>
          <w:rFonts w:hint="cs"/>
          <w:sz w:val="20"/>
          <w:szCs w:val="20"/>
          <w:rtl/>
        </w:rPr>
        <w:t xml:space="preserve"> מקרי תמיד אונס ופטורים</w:t>
      </w:r>
      <w:r>
        <w:rPr>
          <w:rFonts w:hint="cs"/>
          <w:sz w:val="20"/>
          <w:szCs w:val="20"/>
          <w:rtl/>
        </w:rPr>
        <w:t xml:space="preserve"> </w:t>
      </w:r>
      <w:r w:rsidRPr="00773B20">
        <w:rPr>
          <w:rFonts w:hint="cs"/>
          <w:sz w:val="18"/>
          <w:szCs w:val="18"/>
          <w:rtl/>
        </w:rPr>
        <w:t>(דברי הרמ"א בסיפא)</w:t>
      </w:r>
      <w:r w:rsidRPr="005137C4">
        <w:rPr>
          <w:rFonts w:hint="cs"/>
          <w:sz w:val="20"/>
          <w:szCs w:val="20"/>
          <w:rtl/>
        </w:rPr>
        <w:t>.</w:t>
      </w:r>
    </w:p>
    <w:p w:rsidR="00620060" w:rsidRDefault="00620060" w:rsidP="00620060">
      <w:pPr>
        <w:rPr>
          <w:sz w:val="20"/>
          <w:szCs w:val="20"/>
          <w:rtl/>
        </w:rPr>
      </w:pPr>
      <w:r w:rsidRPr="00035931">
        <w:rPr>
          <w:rFonts w:hint="cs"/>
          <w:b/>
          <w:bCs/>
          <w:sz w:val="20"/>
          <w:szCs w:val="20"/>
          <w:rtl/>
        </w:rPr>
        <w:t>פרטים נוספים בדין זה (פת"ש)</w:t>
      </w:r>
      <w:r>
        <w:rPr>
          <w:rFonts w:hint="cs"/>
          <w:sz w:val="20"/>
          <w:szCs w:val="20"/>
          <w:rtl/>
        </w:rPr>
        <w:br/>
        <w:t>א. אם הרגישה באמצע התשמיש שנטמאה ולא אמרה לו כלום, ספק האם יש לדון אותה כאנוסה.</w:t>
      </w:r>
      <w:r>
        <w:rPr>
          <w:sz w:val="20"/>
          <w:szCs w:val="20"/>
          <w:rtl/>
        </w:rPr>
        <w:br/>
      </w:r>
      <w:r w:rsidRPr="00773B20">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בגמרא כתובות (נא:) נאמר שאע"פ שאשה לא נהנית באונס, מכל מקום באמצע המעשה מתרצה ועושה ברצון, אך אעפ"כ דינה כאנוסה משום ש"יצרא אלבשה"</w:t>
      </w:r>
      <w:r>
        <w:rPr>
          <w:rStyle w:val="a5"/>
          <w:sz w:val="20"/>
          <w:szCs w:val="20"/>
          <w:rtl/>
        </w:rPr>
        <w:footnoteReference w:id="73"/>
      </w:r>
      <w:r>
        <w:rPr>
          <w:rFonts w:hint="cs"/>
          <w:sz w:val="20"/>
          <w:szCs w:val="20"/>
          <w:rtl/>
        </w:rPr>
        <w:t>. אך נראה שבנידה אין להקל מחמת סברה זו להחשיבה אנוסה, כיוון שתהיה מותרת לו לאחר זמן, ויש לומר שנחשבת מזידה.</w:t>
      </w:r>
      <w:r>
        <w:rPr>
          <w:rFonts w:hint="cs"/>
          <w:sz w:val="20"/>
          <w:szCs w:val="20"/>
          <w:rtl/>
        </w:rPr>
        <w:br/>
        <w:t xml:space="preserve">ב. </w:t>
      </w:r>
      <w:r w:rsidRPr="009E2D50">
        <w:rPr>
          <w:rFonts w:hint="cs"/>
          <w:b/>
          <w:bCs/>
          <w:sz w:val="20"/>
          <w:szCs w:val="20"/>
          <w:rtl/>
        </w:rPr>
        <w:t>חת"ס</w:t>
      </w:r>
      <w:r>
        <w:rPr>
          <w:rFonts w:hint="cs"/>
          <w:sz w:val="20"/>
          <w:szCs w:val="20"/>
          <w:rtl/>
        </w:rPr>
        <w:t xml:space="preserve"> </w:t>
      </w:r>
      <w:r>
        <w:rPr>
          <w:sz w:val="20"/>
          <w:szCs w:val="20"/>
          <w:rtl/>
        </w:rPr>
        <w:t>–</w:t>
      </w:r>
      <w:r>
        <w:rPr>
          <w:rFonts w:hint="cs"/>
          <w:sz w:val="20"/>
          <w:szCs w:val="20"/>
          <w:rtl/>
        </w:rPr>
        <w:t xml:space="preserve"> במקום שצריכים כפרה, אף אם אינם בני עשרים ולא באו לכלל עונשים חייבים כפרה.</w:t>
      </w:r>
      <w:r>
        <w:rPr>
          <w:sz w:val="20"/>
          <w:szCs w:val="20"/>
          <w:rtl/>
        </w:rPr>
        <w:br/>
      </w:r>
      <w:r>
        <w:rPr>
          <w:rFonts w:hint="cs"/>
          <w:sz w:val="20"/>
          <w:szCs w:val="20"/>
          <w:rtl/>
        </w:rPr>
        <w:t xml:space="preserve">ג. </w:t>
      </w:r>
      <w:r w:rsidRPr="009E2D50">
        <w:rPr>
          <w:rFonts w:hint="cs"/>
          <w:b/>
          <w:bCs/>
          <w:sz w:val="20"/>
          <w:szCs w:val="20"/>
          <w:rtl/>
        </w:rPr>
        <w:t>חוו"ד</w:t>
      </w:r>
      <w:r>
        <w:rPr>
          <w:rFonts w:hint="cs"/>
          <w:sz w:val="20"/>
          <w:szCs w:val="20"/>
          <w:rtl/>
        </w:rPr>
        <w:t xml:space="preserve"> </w:t>
      </w:r>
      <w:r>
        <w:rPr>
          <w:sz w:val="20"/>
          <w:szCs w:val="20"/>
          <w:rtl/>
        </w:rPr>
        <w:t>–</w:t>
      </w:r>
      <w:r>
        <w:rPr>
          <w:rFonts w:hint="cs"/>
          <w:sz w:val="20"/>
          <w:szCs w:val="20"/>
          <w:rtl/>
        </w:rPr>
        <w:t xml:space="preserve"> הוא הדין אם שימש עמה סמוך לווסתה בשוגג ונזכר בכך, צריך לפרוש באבר מת, כמבואר כאן.</w:t>
      </w:r>
      <w:r>
        <w:rPr>
          <w:sz w:val="20"/>
          <w:szCs w:val="20"/>
          <w:rtl/>
        </w:rPr>
        <w:br/>
      </w:r>
      <w:r>
        <w:rPr>
          <w:rFonts w:hint="cs"/>
          <w:sz w:val="20"/>
          <w:szCs w:val="20"/>
          <w:rtl/>
        </w:rPr>
        <w:t xml:space="preserve">ד. </w:t>
      </w:r>
      <w:r w:rsidRPr="009E2D50">
        <w:rPr>
          <w:rFonts w:hint="cs"/>
          <w:b/>
          <w:bCs/>
          <w:sz w:val="20"/>
          <w:szCs w:val="20"/>
          <w:rtl/>
        </w:rPr>
        <w:t>חוו"ד</w:t>
      </w:r>
      <w:r>
        <w:rPr>
          <w:rFonts w:hint="cs"/>
          <w:sz w:val="20"/>
          <w:szCs w:val="20"/>
          <w:rtl/>
        </w:rPr>
        <w:t xml:space="preserve"> </w:t>
      </w:r>
      <w:r>
        <w:rPr>
          <w:sz w:val="20"/>
          <w:szCs w:val="20"/>
          <w:rtl/>
        </w:rPr>
        <w:t>–</w:t>
      </w:r>
      <w:r>
        <w:rPr>
          <w:rFonts w:hint="cs"/>
          <w:sz w:val="20"/>
          <w:szCs w:val="20"/>
          <w:rtl/>
        </w:rPr>
        <w:t xml:space="preserve"> הדין השנוי כאן, נאמר דווקא כשמוצאת דם באמצע התשמיש, אך אם רק מרגישה דם אין זה כלום, משום שייתכן שזו הרגשת האבר בלבד.</w:t>
      </w:r>
      <w:r>
        <w:rPr>
          <w:sz w:val="20"/>
          <w:szCs w:val="20"/>
          <w:rtl/>
        </w:rPr>
        <w:br/>
      </w:r>
      <w:r>
        <w:rPr>
          <w:rFonts w:hint="cs"/>
          <w:sz w:val="20"/>
          <w:szCs w:val="20"/>
          <w:rtl/>
        </w:rPr>
        <w:t>ה. תענית של ג' ימי רצופים לאדם בריא, או יומיים רצופים לאדם חלוש, שוות לארבעים יום מפוזרים. ומכל מקום טוב לצום מפוזר משום שמכניע את יצרו יותר.</w:t>
      </w:r>
      <w:r>
        <w:rPr>
          <w:sz w:val="20"/>
          <w:szCs w:val="20"/>
          <w:rtl/>
        </w:rPr>
        <w:br/>
      </w:r>
      <w:r>
        <w:rPr>
          <w:rFonts w:hint="cs"/>
          <w:sz w:val="20"/>
          <w:szCs w:val="20"/>
          <w:rtl/>
        </w:rPr>
        <w:t xml:space="preserve">ו. </w:t>
      </w:r>
      <w:r w:rsidRPr="009E2D50">
        <w:rPr>
          <w:rFonts w:hint="cs"/>
          <w:b/>
          <w:bCs/>
          <w:sz w:val="20"/>
          <w:szCs w:val="20"/>
          <w:rtl/>
        </w:rPr>
        <w:t>שו"ת מאיר נתיבים</w:t>
      </w:r>
      <w:r>
        <w:rPr>
          <w:rFonts w:hint="cs"/>
          <w:sz w:val="20"/>
          <w:szCs w:val="20"/>
          <w:rtl/>
        </w:rPr>
        <w:t xml:space="preserve"> - אשה שפשטה חלוקה בלילה והיתה עם בעלה, ולמחרת מצאה כתם על החלוק, אינם צריכה כפרה.</w:t>
      </w:r>
      <w:r>
        <w:rPr>
          <w:sz w:val="20"/>
          <w:szCs w:val="20"/>
          <w:rtl/>
        </w:rPr>
        <w:br/>
      </w:r>
      <w:r w:rsidRPr="00801E4C">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נחשבים אנוסים, משום שאינם צריכים לבדוק את החלוק לפני תשמיש.</w:t>
      </w:r>
    </w:p>
    <w:p w:rsidR="00620060" w:rsidRPr="00046EB8" w:rsidRDefault="00620060" w:rsidP="00620060">
      <w:pPr>
        <w:rPr>
          <w:rFonts w:cs="Arial"/>
          <w:sz w:val="20"/>
          <w:szCs w:val="20"/>
          <w:rtl/>
        </w:rPr>
      </w:pPr>
    </w:p>
    <w:p w:rsidR="00620060" w:rsidRPr="00DE33B5" w:rsidRDefault="00620060" w:rsidP="00620060">
      <w:pPr>
        <w:rPr>
          <w:rFonts w:cs="Arial"/>
          <w:sz w:val="20"/>
          <w:szCs w:val="20"/>
        </w:rPr>
      </w:pPr>
    </w:p>
    <w:p w:rsidR="00620060" w:rsidRPr="00463ABB" w:rsidRDefault="00620060" w:rsidP="00620060">
      <w:pPr>
        <w:rPr>
          <w:sz w:val="20"/>
          <w:szCs w:val="20"/>
          <w:rtl/>
        </w:rPr>
      </w:pPr>
    </w:p>
    <w:p w:rsidR="00620060" w:rsidRDefault="00620060">
      <w:pPr>
        <w:rPr>
          <w:rtl/>
        </w:rPr>
      </w:pPr>
    </w:p>
    <w:p w:rsidR="00620060" w:rsidRDefault="00620060">
      <w:pPr>
        <w:rPr>
          <w:rtl/>
        </w:rPr>
      </w:pPr>
    </w:p>
    <w:p w:rsidR="00620060" w:rsidRDefault="00620060">
      <w:pPr>
        <w:rPr>
          <w:rtl/>
        </w:rPr>
      </w:pPr>
    </w:p>
    <w:p w:rsidR="00620060" w:rsidRDefault="00620060" w:rsidP="00620060">
      <w:pPr>
        <w:rPr>
          <w:b/>
          <w:bCs/>
          <w:sz w:val="20"/>
          <w:szCs w:val="20"/>
          <w:rtl/>
        </w:rPr>
      </w:pPr>
      <w:r>
        <w:rPr>
          <w:rFonts w:hint="cs"/>
          <w:b/>
          <w:bCs/>
          <w:sz w:val="20"/>
          <w:szCs w:val="20"/>
          <w:rtl/>
        </w:rPr>
        <w:lastRenderedPageBreak/>
        <w:t>בעזרת ה' יתברך</w:t>
      </w:r>
    </w:p>
    <w:p w:rsidR="00620060" w:rsidRDefault="00620060" w:rsidP="00620060">
      <w:pPr>
        <w:rPr>
          <w:b/>
          <w:bCs/>
          <w:sz w:val="20"/>
          <w:szCs w:val="20"/>
          <w:rtl/>
        </w:rPr>
      </w:pPr>
      <w:r>
        <w:rPr>
          <w:rFonts w:hint="cs"/>
          <w:b/>
          <w:bCs/>
          <w:sz w:val="20"/>
          <w:szCs w:val="20"/>
          <w:rtl/>
        </w:rPr>
        <w:t xml:space="preserve">סימן קפו </w:t>
      </w:r>
      <w:r>
        <w:rPr>
          <w:b/>
          <w:bCs/>
          <w:sz w:val="20"/>
          <w:szCs w:val="20"/>
          <w:rtl/>
        </w:rPr>
        <w:t>–</w:t>
      </w:r>
      <w:r>
        <w:rPr>
          <w:rFonts w:hint="cs"/>
          <w:b/>
          <w:bCs/>
          <w:sz w:val="20"/>
          <w:szCs w:val="20"/>
          <w:rtl/>
        </w:rPr>
        <w:t xml:space="preserve"> דיני בדיקות לפני תשמיש ולאחר תשמיש</w:t>
      </w:r>
    </w:p>
    <w:p w:rsidR="00620060" w:rsidRDefault="00620060" w:rsidP="00620060">
      <w:pPr>
        <w:rPr>
          <w:sz w:val="20"/>
          <w:szCs w:val="20"/>
          <w:rtl/>
        </w:rPr>
      </w:pPr>
      <w:r>
        <w:rPr>
          <w:rFonts w:hint="cs"/>
          <w:b/>
          <w:bCs/>
          <w:sz w:val="20"/>
          <w:szCs w:val="20"/>
          <w:rtl/>
        </w:rPr>
        <w:t xml:space="preserve">סעיף א </w:t>
      </w:r>
      <w:r>
        <w:rPr>
          <w:b/>
          <w:bCs/>
          <w:sz w:val="20"/>
          <w:szCs w:val="20"/>
          <w:rtl/>
        </w:rPr>
        <w:t>–</w:t>
      </w:r>
      <w:r>
        <w:rPr>
          <w:rFonts w:hint="cs"/>
          <w:b/>
          <w:bCs/>
          <w:sz w:val="20"/>
          <w:szCs w:val="20"/>
          <w:rtl/>
        </w:rPr>
        <w:t xml:space="preserve"> דין בדיקות באשה שיש לה ווסת</w:t>
      </w:r>
      <w:r>
        <w:rPr>
          <w:b/>
          <w:bCs/>
          <w:sz w:val="20"/>
          <w:szCs w:val="20"/>
          <w:rtl/>
        </w:rPr>
        <w:br/>
      </w:r>
      <w:r>
        <w:rPr>
          <w:rFonts w:hint="cs"/>
          <w:sz w:val="20"/>
          <w:szCs w:val="20"/>
          <w:rtl/>
        </w:rPr>
        <w:t xml:space="preserve">א. </w:t>
      </w:r>
      <w:r>
        <w:rPr>
          <w:rFonts w:hint="cs"/>
          <w:b/>
          <w:bCs/>
          <w:sz w:val="20"/>
          <w:szCs w:val="20"/>
          <w:rtl/>
        </w:rPr>
        <w:t xml:space="preserve">משנה </w:t>
      </w:r>
      <w:r>
        <w:rPr>
          <w:rFonts w:hint="cs"/>
          <w:sz w:val="20"/>
          <w:szCs w:val="20"/>
          <w:rtl/>
        </w:rPr>
        <w:t>נידה (טז.) "</w:t>
      </w:r>
      <w:r w:rsidRPr="005F5D26">
        <w:rPr>
          <w:rFonts w:cs="Arial" w:hint="cs"/>
          <w:sz w:val="20"/>
          <w:szCs w:val="20"/>
          <w:rtl/>
        </w:rPr>
        <w:t>בית</w:t>
      </w:r>
      <w:r w:rsidRPr="005F5D26">
        <w:rPr>
          <w:rFonts w:cs="Arial"/>
          <w:sz w:val="20"/>
          <w:szCs w:val="20"/>
          <w:rtl/>
        </w:rPr>
        <w:t xml:space="preserve"> </w:t>
      </w:r>
      <w:r w:rsidRPr="005F5D26">
        <w:rPr>
          <w:rFonts w:cs="Arial" w:hint="cs"/>
          <w:sz w:val="20"/>
          <w:szCs w:val="20"/>
          <w:rtl/>
        </w:rPr>
        <w:t>שמאי</w:t>
      </w:r>
      <w:r w:rsidRPr="005F5D26">
        <w:rPr>
          <w:rFonts w:cs="Arial"/>
          <w:sz w:val="20"/>
          <w:szCs w:val="20"/>
          <w:rtl/>
        </w:rPr>
        <w:t xml:space="preserve"> </w:t>
      </w:r>
      <w:r w:rsidRPr="005F5D26">
        <w:rPr>
          <w:rFonts w:cs="Arial" w:hint="cs"/>
          <w:sz w:val="20"/>
          <w:szCs w:val="20"/>
          <w:rtl/>
        </w:rPr>
        <w:t>אומרים</w:t>
      </w:r>
      <w:r w:rsidRPr="005F5D26">
        <w:rPr>
          <w:rFonts w:cs="Arial"/>
          <w:sz w:val="20"/>
          <w:szCs w:val="20"/>
          <w:rtl/>
        </w:rPr>
        <w:t xml:space="preserve">: </w:t>
      </w:r>
      <w:r w:rsidRPr="005F5D26">
        <w:rPr>
          <w:rFonts w:cs="Arial" w:hint="cs"/>
          <w:sz w:val="20"/>
          <w:szCs w:val="20"/>
          <w:rtl/>
        </w:rPr>
        <w:t>צריכה</w:t>
      </w:r>
      <w:r w:rsidRPr="005F5D26">
        <w:rPr>
          <w:rFonts w:cs="Arial"/>
          <w:sz w:val="20"/>
          <w:szCs w:val="20"/>
          <w:rtl/>
        </w:rPr>
        <w:t xml:space="preserve"> </w:t>
      </w:r>
      <w:r w:rsidRPr="005F5D26">
        <w:rPr>
          <w:rFonts w:cs="Arial" w:hint="cs"/>
          <w:sz w:val="20"/>
          <w:szCs w:val="20"/>
          <w:rtl/>
        </w:rPr>
        <w:t>ב</w:t>
      </w:r>
      <w:r w:rsidRPr="005F5D26">
        <w:rPr>
          <w:rFonts w:cs="Arial"/>
          <w:sz w:val="20"/>
          <w:szCs w:val="20"/>
          <w:rtl/>
        </w:rPr>
        <w:t xml:space="preserve">' </w:t>
      </w:r>
      <w:r w:rsidRPr="005F5D26">
        <w:rPr>
          <w:rFonts w:cs="Arial" w:hint="cs"/>
          <w:sz w:val="20"/>
          <w:szCs w:val="20"/>
          <w:rtl/>
        </w:rPr>
        <w:t>עדים</w:t>
      </w:r>
      <w:r w:rsidRPr="005F5D26">
        <w:rPr>
          <w:rFonts w:cs="Arial"/>
          <w:sz w:val="20"/>
          <w:szCs w:val="20"/>
          <w:rtl/>
        </w:rPr>
        <w:t xml:space="preserve"> </w:t>
      </w:r>
      <w:r w:rsidRPr="005F5D26">
        <w:rPr>
          <w:rFonts w:cs="Arial" w:hint="cs"/>
          <w:sz w:val="20"/>
          <w:szCs w:val="20"/>
          <w:rtl/>
        </w:rPr>
        <w:t>על</w:t>
      </w:r>
      <w:r w:rsidRPr="005F5D26">
        <w:rPr>
          <w:rFonts w:cs="Arial"/>
          <w:sz w:val="20"/>
          <w:szCs w:val="20"/>
          <w:rtl/>
        </w:rPr>
        <w:t xml:space="preserve"> </w:t>
      </w:r>
      <w:r w:rsidRPr="005F5D26">
        <w:rPr>
          <w:rFonts w:cs="Arial" w:hint="cs"/>
          <w:sz w:val="20"/>
          <w:szCs w:val="20"/>
          <w:rtl/>
        </w:rPr>
        <w:t>כל</w:t>
      </w:r>
      <w:r w:rsidRPr="005F5D26">
        <w:rPr>
          <w:rFonts w:cs="Arial"/>
          <w:sz w:val="20"/>
          <w:szCs w:val="20"/>
          <w:rtl/>
        </w:rPr>
        <w:t xml:space="preserve"> </w:t>
      </w:r>
      <w:r w:rsidRPr="005F5D26">
        <w:rPr>
          <w:rFonts w:cs="Arial" w:hint="cs"/>
          <w:sz w:val="20"/>
          <w:szCs w:val="20"/>
          <w:rtl/>
        </w:rPr>
        <w:t>תשמיש</w:t>
      </w:r>
      <w:r w:rsidRPr="005F5D26">
        <w:rPr>
          <w:rFonts w:cs="Arial"/>
          <w:sz w:val="20"/>
          <w:szCs w:val="20"/>
          <w:rtl/>
        </w:rPr>
        <w:t xml:space="preserve"> </w:t>
      </w:r>
      <w:r w:rsidRPr="005F5D26">
        <w:rPr>
          <w:rFonts w:cs="Arial" w:hint="cs"/>
          <w:sz w:val="20"/>
          <w:szCs w:val="20"/>
          <w:rtl/>
        </w:rPr>
        <w:t>ותשמיש</w:t>
      </w:r>
      <w:r w:rsidRPr="005F5D26">
        <w:rPr>
          <w:rFonts w:cs="Arial"/>
          <w:sz w:val="20"/>
          <w:szCs w:val="20"/>
          <w:rtl/>
        </w:rPr>
        <w:t xml:space="preserve">, </w:t>
      </w:r>
      <w:r w:rsidRPr="005F5D26">
        <w:rPr>
          <w:rFonts w:cs="Arial" w:hint="cs"/>
          <w:sz w:val="20"/>
          <w:szCs w:val="20"/>
          <w:rtl/>
        </w:rPr>
        <w:t>או</w:t>
      </w:r>
      <w:r w:rsidRPr="005F5D26">
        <w:rPr>
          <w:rFonts w:cs="Arial"/>
          <w:sz w:val="20"/>
          <w:szCs w:val="20"/>
          <w:rtl/>
        </w:rPr>
        <w:t xml:space="preserve"> </w:t>
      </w:r>
      <w:r w:rsidRPr="005F5D26">
        <w:rPr>
          <w:rFonts w:cs="Arial" w:hint="cs"/>
          <w:sz w:val="20"/>
          <w:szCs w:val="20"/>
          <w:rtl/>
        </w:rPr>
        <w:t>תשמש</w:t>
      </w:r>
      <w:r w:rsidRPr="005F5D26">
        <w:rPr>
          <w:rFonts w:cs="Arial"/>
          <w:sz w:val="20"/>
          <w:szCs w:val="20"/>
          <w:rtl/>
        </w:rPr>
        <w:t xml:space="preserve"> </w:t>
      </w:r>
      <w:r w:rsidRPr="005F5D26">
        <w:rPr>
          <w:rFonts w:cs="Arial" w:hint="cs"/>
          <w:sz w:val="20"/>
          <w:szCs w:val="20"/>
          <w:rtl/>
        </w:rPr>
        <w:t>לאור</w:t>
      </w:r>
      <w:r w:rsidRPr="005F5D26">
        <w:rPr>
          <w:rFonts w:cs="Arial"/>
          <w:sz w:val="20"/>
          <w:szCs w:val="20"/>
          <w:rtl/>
        </w:rPr>
        <w:t xml:space="preserve"> </w:t>
      </w:r>
      <w:r w:rsidRPr="005F5D26">
        <w:rPr>
          <w:rFonts w:cs="Arial" w:hint="cs"/>
          <w:sz w:val="20"/>
          <w:szCs w:val="20"/>
          <w:rtl/>
        </w:rPr>
        <w:t>הנר</w:t>
      </w:r>
      <w:r w:rsidRPr="005F5D26">
        <w:rPr>
          <w:rFonts w:cs="Arial"/>
          <w:sz w:val="20"/>
          <w:szCs w:val="20"/>
          <w:rtl/>
        </w:rPr>
        <w:t xml:space="preserve">. </w:t>
      </w:r>
      <w:r>
        <w:rPr>
          <w:rFonts w:cs="Arial"/>
          <w:sz w:val="20"/>
          <w:szCs w:val="20"/>
          <w:rtl/>
        </w:rPr>
        <w:br/>
      </w:r>
      <w:r w:rsidRPr="005F5D26">
        <w:rPr>
          <w:rFonts w:cs="Arial" w:hint="cs"/>
          <w:sz w:val="20"/>
          <w:szCs w:val="20"/>
          <w:rtl/>
        </w:rPr>
        <w:t>בית</w:t>
      </w:r>
      <w:r w:rsidRPr="005F5D26">
        <w:rPr>
          <w:rFonts w:cs="Arial"/>
          <w:sz w:val="20"/>
          <w:szCs w:val="20"/>
          <w:rtl/>
        </w:rPr>
        <w:t xml:space="preserve"> </w:t>
      </w:r>
      <w:r w:rsidRPr="005F5D26">
        <w:rPr>
          <w:rFonts w:cs="Arial" w:hint="cs"/>
          <w:sz w:val="20"/>
          <w:szCs w:val="20"/>
          <w:rtl/>
        </w:rPr>
        <w:t>הלל</w:t>
      </w:r>
      <w:r w:rsidRPr="005F5D26">
        <w:rPr>
          <w:rFonts w:cs="Arial"/>
          <w:sz w:val="20"/>
          <w:szCs w:val="20"/>
          <w:rtl/>
        </w:rPr>
        <w:t xml:space="preserve"> </w:t>
      </w:r>
      <w:r w:rsidRPr="005F5D26">
        <w:rPr>
          <w:rFonts w:cs="Arial" w:hint="cs"/>
          <w:sz w:val="20"/>
          <w:szCs w:val="20"/>
          <w:rtl/>
        </w:rPr>
        <w:t>אומרים</w:t>
      </w:r>
      <w:r w:rsidRPr="005F5D26">
        <w:rPr>
          <w:rFonts w:cs="Arial"/>
          <w:sz w:val="20"/>
          <w:szCs w:val="20"/>
          <w:rtl/>
        </w:rPr>
        <w:t xml:space="preserve">: </w:t>
      </w:r>
      <w:r w:rsidRPr="005F5D26">
        <w:rPr>
          <w:rFonts w:cs="Arial" w:hint="cs"/>
          <w:sz w:val="20"/>
          <w:szCs w:val="20"/>
          <w:rtl/>
        </w:rPr>
        <w:t>דיה</w:t>
      </w:r>
      <w:r w:rsidRPr="005F5D26">
        <w:rPr>
          <w:rFonts w:cs="Arial"/>
          <w:sz w:val="20"/>
          <w:szCs w:val="20"/>
          <w:rtl/>
        </w:rPr>
        <w:t xml:space="preserve"> </w:t>
      </w:r>
      <w:r w:rsidRPr="005F5D26">
        <w:rPr>
          <w:rFonts w:cs="Arial" w:hint="cs"/>
          <w:sz w:val="20"/>
          <w:szCs w:val="20"/>
          <w:rtl/>
        </w:rPr>
        <w:t>בשני</w:t>
      </w:r>
      <w:r w:rsidRPr="005F5D26">
        <w:rPr>
          <w:rFonts w:cs="Arial"/>
          <w:sz w:val="20"/>
          <w:szCs w:val="20"/>
          <w:rtl/>
        </w:rPr>
        <w:t xml:space="preserve"> </w:t>
      </w:r>
      <w:r w:rsidRPr="005F5D26">
        <w:rPr>
          <w:rFonts w:cs="Arial" w:hint="cs"/>
          <w:sz w:val="20"/>
          <w:szCs w:val="20"/>
          <w:rtl/>
        </w:rPr>
        <w:t>עדים</w:t>
      </w:r>
      <w:r w:rsidRPr="005F5D26">
        <w:rPr>
          <w:rFonts w:cs="Arial"/>
          <w:sz w:val="20"/>
          <w:szCs w:val="20"/>
          <w:rtl/>
        </w:rPr>
        <w:t xml:space="preserve"> </w:t>
      </w:r>
      <w:r w:rsidRPr="005F5D26">
        <w:rPr>
          <w:rFonts w:cs="Arial" w:hint="cs"/>
          <w:sz w:val="20"/>
          <w:szCs w:val="20"/>
          <w:rtl/>
        </w:rPr>
        <w:t>כל</w:t>
      </w:r>
      <w:r w:rsidRPr="005F5D26">
        <w:rPr>
          <w:rFonts w:cs="Arial"/>
          <w:sz w:val="20"/>
          <w:szCs w:val="20"/>
          <w:rtl/>
        </w:rPr>
        <w:t xml:space="preserve"> </w:t>
      </w:r>
      <w:r w:rsidRPr="005F5D26">
        <w:rPr>
          <w:rFonts w:cs="Arial" w:hint="cs"/>
          <w:sz w:val="20"/>
          <w:szCs w:val="20"/>
          <w:rtl/>
        </w:rPr>
        <w:t>הלילה</w:t>
      </w:r>
      <w:r w:rsidRPr="005F5D26">
        <w:rPr>
          <w:rFonts w:cs="Arial"/>
          <w:sz w:val="20"/>
          <w:szCs w:val="20"/>
          <w:rtl/>
        </w:rPr>
        <w:t>.</w:t>
      </w:r>
      <w:r>
        <w:rPr>
          <w:rFonts w:hint="cs"/>
          <w:sz w:val="20"/>
          <w:szCs w:val="20"/>
          <w:rtl/>
        </w:rPr>
        <w:t>..</w:t>
      </w:r>
      <w:r>
        <w:rPr>
          <w:sz w:val="20"/>
          <w:szCs w:val="20"/>
          <w:rtl/>
        </w:rPr>
        <w:br/>
      </w:r>
      <w:r w:rsidRPr="003A1CF4">
        <w:rPr>
          <w:rFonts w:cs="Arial" w:hint="cs"/>
          <w:sz w:val="20"/>
          <w:szCs w:val="20"/>
          <w:rtl/>
        </w:rPr>
        <w:t>אמר</w:t>
      </w:r>
      <w:r w:rsidRPr="003A1CF4">
        <w:rPr>
          <w:rFonts w:cs="Arial"/>
          <w:sz w:val="20"/>
          <w:szCs w:val="20"/>
          <w:rtl/>
        </w:rPr>
        <w:t xml:space="preserve"> </w:t>
      </w:r>
      <w:r w:rsidRPr="003A1CF4">
        <w:rPr>
          <w:rFonts w:cs="Arial" w:hint="cs"/>
          <w:sz w:val="20"/>
          <w:szCs w:val="20"/>
          <w:rtl/>
        </w:rPr>
        <w:t>ר</w:t>
      </w:r>
      <w:r>
        <w:rPr>
          <w:rFonts w:cs="Arial" w:hint="cs"/>
          <w:sz w:val="20"/>
          <w:szCs w:val="20"/>
          <w:rtl/>
        </w:rPr>
        <w:t>בי</w:t>
      </w:r>
      <w:r w:rsidRPr="003A1CF4">
        <w:rPr>
          <w:rFonts w:cs="Arial"/>
          <w:sz w:val="20"/>
          <w:szCs w:val="20"/>
          <w:rtl/>
        </w:rPr>
        <w:t xml:space="preserve"> </w:t>
      </w:r>
      <w:r w:rsidRPr="003A1CF4">
        <w:rPr>
          <w:rFonts w:cs="Arial" w:hint="cs"/>
          <w:sz w:val="20"/>
          <w:szCs w:val="20"/>
          <w:rtl/>
        </w:rPr>
        <w:t>זירא</w:t>
      </w:r>
      <w:r w:rsidRPr="003A1CF4">
        <w:rPr>
          <w:rFonts w:cs="Arial"/>
          <w:sz w:val="20"/>
          <w:szCs w:val="20"/>
          <w:rtl/>
        </w:rPr>
        <w:t xml:space="preserve">: </w:t>
      </w:r>
      <w:r w:rsidRPr="003A1CF4">
        <w:rPr>
          <w:rFonts w:cs="Arial" w:hint="cs"/>
          <w:sz w:val="20"/>
          <w:szCs w:val="20"/>
          <w:rtl/>
        </w:rPr>
        <w:t>מדברי</w:t>
      </w:r>
      <w:r w:rsidRPr="003A1CF4">
        <w:rPr>
          <w:rFonts w:cs="Arial"/>
          <w:sz w:val="20"/>
          <w:szCs w:val="20"/>
          <w:rtl/>
        </w:rPr>
        <w:t xml:space="preserve"> </w:t>
      </w:r>
      <w:r w:rsidRPr="003A1CF4">
        <w:rPr>
          <w:rFonts w:cs="Arial" w:hint="cs"/>
          <w:sz w:val="20"/>
          <w:szCs w:val="20"/>
          <w:rtl/>
        </w:rPr>
        <w:t>כולם</w:t>
      </w:r>
      <w:r w:rsidRPr="003A1CF4">
        <w:rPr>
          <w:rFonts w:cs="Arial"/>
          <w:sz w:val="20"/>
          <w:szCs w:val="20"/>
          <w:rtl/>
        </w:rPr>
        <w:t xml:space="preserve"> </w:t>
      </w:r>
      <w:r w:rsidRPr="003A1CF4">
        <w:rPr>
          <w:rFonts w:cs="Arial" w:hint="cs"/>
          <w:sz w:val="20"/>
          <w:szCs w:val="20"/>
          <w:rtl/>
        </w:rPr>
        <w:t>נלמד</w:t>
      </w:r>
      <w:r w:rsidRPr="003A1CF4">
        <w:rPr>
          <w:rFonts w:cs="Arial"/>
          <w:sz w:val="20"/>
          <w:szCs w:val="20"/>
          <w:rtl/>
        </w:rPr>
        <w:t xml:space="preserve"> - </w:t>
      </w:r>
      <w:r w:rsidRPr="003A1CF4">
        <w:rPr>
          <w:rFonts w:cs="Arial" w:hint="cs"/>
          <w:sz w:val="20"/>
          <w:szCs w:val="20"/>
          <w:rtl/>
        </w:rPr>
        <w:t>בעל</w:t>
      </w:r>
      <w:r w:rsidRPr="003A1CF4">
        <w:rPr>
          <w:rFonts w:cs="Arial"/>
          <w:sz w:val="20"/>
          <w:szCs w:val="20"/>
          <w:rtl/>
        </w:rPr>
        <w:t xml:space="preserve"> </w:t>
      </w:r>
      <w:r w:rsidRPr="003A1CF4">
        <w:rPr>
          <w:rFonts w:cs="Arial" w:hint="cs"/>
          <w:sz w:val="20"/>
          <w:szCs w:val="20"/>
          <w:rtl/>
        </w:rPr>
        <w:t>נפש</w:t>
      </w:r>
      <w:r w:rsidRPr="003A1CF4">
        <w:rPr>
          <w:rFonts w:cs="Arial"/>
          <w:sz w:val="20"/>
          <w:szCs w:val="20"/>
          <w:rtl/>
        </w:rPr>
        <w:t xml:space="preserve"> </w:t>
      </w:r>
      <w:r w:rsidRPr="003A1CF4">
        <w:rPr>
          <w:rFonts w:cs="Arial" w:hint="cs"/>
          <w:sz w:val="20"/>
          <w:szCs w:val="20"/>
          <w:rtl/>
        </w:rPr>
        <w:t>לא</w:t>
      </w:r>
      <w:r w:rsidRPr="003A1CF4">
        <w:rPr>
          <w:rFonts w:cs="Arial"/>
          <w:sz w:val="20"/>
          <w:szCs w:val="20"/>
          <w:rtl/>
        </w:rPr>
        <w:t xml:space="preserve"> </w:t>
      </w:r>
      <w:r w:rsidRPr="003A1CF4">
        <w:rPr>
          <w:rFonts w:cs="Arial" w:hint="cs"/>
          <w:sz w:val="20"/>
          <w:szCs w:val="20"/>
          <w:rtl/>
        </w:rPr>
        <w:t>יבעול</w:t>
      </w:r>
      <w:r w:rsidRPr="003A1CF4">
        <w:rPr>
          <w:rFonts w:cs="Arial"/>
          <w:sz w:val="20"/>
          <w:szCs w:val="20"/>
          <w:rtl/>
        </w:rPr>
        <w:t xml:space="preserve"> </w:t>
      </w:r>
      <w:r w:rsidRPr="003A1CF4">
        <w:rPr>
          <w:rFonts w:cs="Arial" w:hint="cs"/>
          <w:sz w:val="20"/>
          <w:szCs w:val="20"/>
          <w:rtl/>
        </w:rPr>
        <w:t>וישנה</w:t>
      </w:r>
      <w:r>
        <w:rPr>
          <w:rFonts w:cs="Arial" w:hint="cs"/>
          <w:sz w:val="20"/>
          <w:szCs w:val="20"/>
          <w:rtl/>
        </w:rPr>
        <w:t xml:space="preserve"> </w:t>
      </w:r>
      <w:r w:rsidRPr="00815036">
        <w:rPr>
          <w:rFonts w:cs="Arial" w:hint="cs"/>
          <w:sz w:val="18"/>
          <w:szCs w:val="18"/>
          <w:rtl/>
        </w:rPr>
        <w:t>(רש"י - בלא</w:t>
      </w:r>
      <w:r w:rsidRPr="00815036">
        <w:rPr>
          <w:rFonts w:cs="Arial"/>
          <w:sz w:val="18"/>
          <w:szCs w:val="18"/>
          <w:rtl/>
        </w:rPr>
        <w:t xml:space="preserve"> </w:t>
      </w:r>
      <w:r w:rsidRPr="00815036">
        <w:rPr>
          <w:rFonts w:cs="Arial" w:hint="cs"/>
          <w:sz w:val="18"/>
          <w:szCs w:val="18"/>
          <w:rtl/>
        </w:rPr>
        <w:t>בדיקה</w:t>
      </w:r>
      <w:r w:rsidRPr="00815036">
        <w:rPr>
          <w:rFonts w:cs="Arial"/>
          <w:sz w:val="18"/>
          <w:szCs w:val="18"/>
          <w:rtl/>
        </w:rPr>
        <w:t xml:space="preserve"> </w:t>
      </w:r>
      <w:r w:rsidRPr="00815036">
        <w:rPr>
          <w:rFonts w:cs="Arial" w:hint="cs"/>
          <w:sz w:val="18"/>
          <w:szCs w:val="18"/>
          <w:rtl/>
        </w:rPr>
        <w:t>בינתים</w:t>
      </w:r>
      <w:r>
        <w:rPr>
          <w:rFonts w:cs="Arial" w:hint="cs"/>
          <w:sz w:val="18"/>
          <w:szCs w:val="18"/>
          <w:rtl/>
        </w:rPr>
        <w:t>,</w:t>
      </w:r>
      <w:r w:rsidRPr="00815036">
        <w:rPr>
          <w:rFonts w:cs="Arial"/>
          <w:sz w:val="18"/>
          <w:szCs w:val="18"/>
          <w:rtl/>
        </w:rPr>
        <w:t xml:space="preserve"> </w:t>
      </w:r>
      <w:r w:rsidRPr="00815036">
        <w:rPr>
          <w:rFonts w:cs="Arial" w:hint="cs"/>
          <w:sz w:val="18"/>
          <w:szCs w:val="18"/>
          <w:rtl/>
        </w:rPr>
        <w:t>דאפילו</w:t>
      </w:r>
      <w:r w:rsidRPr="00815036">
        <w:rPr>
          <w:rFonts w:cs="Arial"/>
          <w:sz w:val="18"/>
          <w:szCs w:val="18"/>
          <w:rtl/>
        </w:rPr>
        <w:t xml:space="preserve"> </w:t>
      </w:r>
      <w:r w:rsidRPr="00815036">
        <w:rPr>
          <w:rFonts w:cs="Arial" w:hint="cs"/>
          <w:sz w:val="18"/>
          <w:szCs w:val="18"/>
          <w:rtl/>
        </w:rPr>
        <w:t>ב</w:t>
      </w:r>
      <w:r>
        <w:rPr>
          <w:rFonts w:cs="Arial" w:hint="cs"/>
          <w:sz w:val="18"/>
          <w:szCs w:val="18"/>
          <w:rtl/>
        </w:rPr>
        <w:t xml:space="preserve">ית </w:t>
      </w:r>
      <w:r w:rsidRPr="00815036">
        <w:rPr>
          <w:rFonts w:cs="Arial" w:hint="cs"/>
          <w:sz w:val="18"/>
          <w:szCs w:val="18"/>
          <w:rtl/>
        </w:rPr>
        <w:t>ה</w:t>
      </w:r>
      <w:r>
        <w:rPr>
          <w:rFonts w:cs="Arial" w:hint="cs"/>
          <w:sz w:val="18"/>
          <w:szCs w:val="18"/>
          <w:rtl/>
        </w:rPr>
        <w:t>לל</w:t>
      </w:r>
      <w:r w:rsidRPr="00815036">
        <w:rPr>
          <w:rFonts w:cs="Arial"/>
          <w:sz w:val="18"/>
          <w:szCs w:val="18"/>
          <w:rtl/>
        </w:rPr>
        <w:t xml:space="preserve"> </w:t>
      </w:r>
      <w:r w:rsidRPr="00815036">
        <w:rPr>
          <w:rFonts w:cs="Arial" w:hint="cs"/>
          <w:sz w:val="18"/>
          <w:szCs w:val="18"/>
          <w:rtl/>
        </w:rPr>
        <w:t>מצרכי</w:t>
      </w:r>
      <w:r w:rsidRPr="00815036">
        <w:rPr>
          <w:rFonts w:cs="Arial"/>
          <w:sz w:val="18"/>
          <w:szCs w:val="18"/>
          <w:rtl/>
        </w:rPr>
        <w:t xml:space="preserve"> </w:t>
      </w:r>
      <w:r w:rsidRPr="00815036">
        <w:rPr>
          <w:rFonts w:cs="Arial" w:hint="cs"/>
          <w:sz w:val="18"/>
          <w:szCs w:val="18"/>
          <w:rtl/>
        </w:rPr>
        <w:t>בדיקה</w:t>
      </w:r>
      <w:r w:rsidRPr="00815036">
        <w:rPr>
          <w:rFonts w:cs="Arial"/>
          <w:sz w:val="18"/>
          <w:szCs w:val="18"/>
          <w:rtl/>
        </w:rPr>
        <w:t xml:space="preserve"> </w:t>
      </w:r>
      <w:r w:rsidRPr="00815036">
        <w:rPr>
          <w:rFonts w:cs="Arial" w:hint="cs"/>
          <w:sz w:val="18"/>
          <w:szCs w:val="18"/>
          <w:rtl/>
        </w:rPr>
        <w:t>לסוף</w:t>
      </w:r>
      <w:r w:rsidRPr="00815036">
        <w:rPr>
          <w:rFonts w:cs="Arial"/>
          <w:sz w:val="18"/>
          <w:szCs w:val="18"/>
          <w:rtl/>
        </w:rPr>
        <w:t xml:space="preserve"> </w:t>
      </w:r>
      <w:r w:rsidRPr="00815036">
        <w:rPr>
          <w:rFonts w:cs="Arial" w:hint="cs"/>
          <w:sz w:val="18"/>
          <w:szCs w:val="18"/>
          <w:rtl/>
        </w:rPr>
        <w:t>תשמיש</w:t>
      </w:r>
      <w:r>
        <w:rPr>
          <w:rFonts w:cs="Arial" w:hint="cs"/>
          <w:sz w:val="18"/>
          <w:szCs w:val="18"/>
          <w:rtl/>
        </w:rPr>
        <w:t>,</w:t>
      </w:r>
      <w:r w:rsidRPr="00815036">
        <w:rPr>
          <w:rFonts w:cs="Arial"/>
          <w:sz w:val="18"/>
          <w:szCs w:val="18"/>
          <w:rtl/>
        </w:rPr>
        <w:t xml:space="preserve"> </w:t>
      </w:r>
      <w:r w:rsidRPr="00815036">
        <w:rPr>
          <w:rFonts w:cs="Arial" w:hint="cs"/>
          <w:sz w:val="18"/>
          <w:szCs w:val="18"/>
          <w:rtl/>
        </w:rPr>
        <w:t>אלמא</w:t>
      </w:r>
      <w:r w:rsidRPr="00815036">
        <w:rPr>
          <w:rFonts w:cs="Arial"/>
          <w:sz w:val="18"/>
          <w:szCs w:val="18"/>
          <w:rtl/>
        </w:rPr>
        <w:t xml:space="preserve"> </w:t>
      </w:r>
      <w:r w:rsidRPr="00815036">
        <w:rPr>
          <w:rFonts w:cs="Arial" w:hint="cs"/>
          <w:sz w:val="18"/>
          <w:szCs w:val="18"/>
          <w:rtl/>
        </w:rPr>
        <w:t>חיישינן</w:t>
      </w:r>
      <w:r w:rsidRPr="00815036">
        <w:rPr>
          <w:rFonts w:cs="Arial"/>
          <w:sz w:val="18"/>
          <w:szCs w:val="18"/>
          <w:rtl/>
        </w:rPr>
        <w:t xml:space="preserve"> </w:t>
      </w:r>
      <w:r w:rsidRPr="00815036">
        <w:rPr>
          <w:rFonts w:cs="Arial" w:hint="cs"/>
          <w:sz w:val="18"/>
          <w:szCs w:val="18"/>
          <w:rtl/>
        </w:rPr>
        <w:t>לשמא</w:t>
      </w:r>
      <w:r w:rsidRPr="00815036">
        <w:rPr>
          <w:rFonts w:cs="Arial"/>
          <w:sz w:val="18"/>
          <w:szCs w:val="18"/>
          <w:rtl/>
        </w:rPr>
        <w:t xml:space="preserve"> </w:t>
      </w:r>
      <w:r w:rsidRPr="00815036">
        <w:rPr>
          <w:rFonts w:cs="Arial" w:hint="cs"/>
          <w:sz w:val="18"/>
          <w:szCs w:val="18"/>
          <w:rtl/>
        </w:rPr>
        <w:t>ראתה</w:t>
      </w:r>
      <w:r w:rsidRPr="00815036">
        <w:rPr>
          <w:rFonts w:cs="Arial"/>
          <w:sz w:val="18"/>
          <w:szCs w:val="18"/>
          <w:rtl/>
        </w:rPr>
        <w:t xml:space="preserve"> </w:t>
      </w:r>
      <w:r w:rsidRPr="00815036">
        <w:rPr>
          <w:rFonts w:cs="Arial" w:hint="cs"/>
          <w:sz w:val="18"/>
          <w:szCs w:val="18"/>
          <w:rtl/>
        </w:rPr>
        <w:t>דם</w:t>
      </w:r>
      <w:r w:rsidRPr="00815036">
        <w:rPr>
          <w:rFonts w:cs="Arial"/>
          <w:sz w:val="18"/>
          <w:szCs w:val="18"/>
          <w:rtl/>
        </w:rPr>
        <w:t xml:space="preserve"> </w:t>
      </w:r>
      <w:r w:rsidRPr="00815036">
        <w:rPr>
          <w:rFonts w:cs="Arial" w:hint="cs"/>
          <w:sz w:val="18"/>
          <w:szCs w:val="18"/>
          <w:rtl/>
        </w:rPr>
        <w:t>מחמת</w:t>
      </w:r>
      <w:r w:rsidRPr="00815036">
        <w:rPr>
          <w:rFonts w:cs="Arial"/>
          <w:sz w:val="18"/>
          <w:szCs w:val="18"/>
          <w:rtl/>
        </w:rPr>
        <w:t xml:space="preserve"> </w:t>
      </w:r>
      <w:r w:rsidRPr="00815036">
        <w:rPr>
          <w:rFonts w:cs="Arial" w:hint="cs"/>
          <w:sz w:val="18"/>
          <w:szCs w:val="18"/>
          <w:rtl/>
        </w:rPr>
        <w:t>תשמיש</w:t>
      </w:r>
      <w:r>
        <w:rPr>
          <w:rFonts w:cs="Arial" w:hint="cs"/>
          <w:sz w:val="18"/>
          <w:szCs w:val="18"/>
          <w:rtl/>
        </w:rPr>
        <w:t>,</w:t>
      </w:r>
      <w:r w:rsidRPr="00815036">
        <w:rPr>
          <w:rFonts w:cs="Arial"/>
          <w:sz w:val="18"/>
          <w:szCs w:val="18"/>
          <w:rtl/>
        </w:rPr>
        <w:t xml:space="preserve"> </w:t>
      </w:r>
      <w:r w:rsidRPr="00815036">
        <w:rPr>
          <w:rFonts w:cs="Arial" w:hint="cs"/>
          <w:sz w:val="18"/>
          <w:szCs w:val="18"/>
          <w:rtl/>
        </w:rPr>
        <w:t>אלמא</w:t>
      </w:r>
      <w:r w:rsidRPr="00815036">
        <w:rPr>
          <w:rFonts w:cs="Arial"/>
          <w:sz w:val="18"/>
          <w:szCs w:val="18"/>
          <w:rtl/>
        </w:rPr>
        <w:t xml:space="preserve"> </w:t>
      </w:r>
      <w:r w:rsidRPr="00815036">
        <w:rPr>
          <w:rFonts w:cs="Arial" w:hint="cs"/>
          <w:sz w:val="18"/>
          <w:szCs w:val="18"/>
          <w:rtl/>
        </w:rPr>
        <w:t>מי</w:t>
      </w:r>
      <w:r w:rsidRPr="00815036">
        <w:rPr>
          <w:rFonts w:cs="Arial"/>
          <w:sz w:val="18"/>
          <w:szCs w:val="18"/>
          <w:rtl/>
        </w:rPr>
        <w:t xml:space="preserve"> </w:t>
      </w:r>
      <w:r w:rsidRPr="00815036">
        <w:rPr>
          <w:rFonts w:cs="Arial" w:hint="cs"/>
          <w:sz w:val="18"/>
          <w:szCs w:val="18"/>
          <w:rtl/>
        </w:rPr>
        <w:t>שהוא</w:t>
      </w:r>
      <w:r w:rsidRPr="00815036">
        <w:rPr>
          <w:rFonts w:cs="Arial"/>
          <w:sz w:val="18"/>
          <w:szCs w:val="18"/>
          <w:rtl/>
        </w:rPr>
        <w:t xml:space="preserve"> </w:t>
      </w:r>
      <w:r w:rsidRPr="00815036">
        <w:rPr>
          <w:rFonts w:cs="Arial" w:hint="cs"/>
          <w:sz w:val="18"/>
          <w:szCs w:val="18"/>
          <w:rtl/>
        </w:rPr>
        <w:t>ירא</w:t>
      </w:r>
      <w:r w:rsidRPr="00815036">
        <w:rPr>
          <w:rFonts w:cs="Arial"/>
          <w:sz w:val="18"/>
          <w:szCs w:val="18"/>
          <w:rtl/>
        </w:rPr>
        <w:t xml:space="preserve"> </w:t>
      </w:r>
      <w:r w:rsidRPr="00815036">
        <w:rPr>
          <w:rFonts w:cs="Arial" w:hint="cs"/>
          <w:sz w:val="18"/>
          <w:szCs w:val="18"/>
          <w:rtl/>
        </w:rPr>
        <w:t>ופורש</w:t>
      </w:r>
      <w:r w:rsidRPr="00815036">
        <w:rPr>
          <w:rFonts w:cs="Arial"/>
          <w:sz w:val="18"/>
          <w:szCs w:val="18"/>
          <w:rtl/>
        </w:rPr>
        <w:t xml:space="preserve"> </w:t>
      </w:r>
      <w:r w:rsidRPr="00815036">
        <w:rPr>
          <w:rFonts w:cs="Arial" w:hint="cs"/>
          <w:sz w:val="18"/>
          <w:szCs w:val="18"/>
          <w:rtl/>
        </w:rPr>
        <w:t>מספק</w:t>
      </w:r>
      <w:r w:rsidRPr="00815036">
        <w:rPr>
          <w:rFonts w:cs="Arial"/>
          <w:sz w:val="18"/>
          <w:szCs w:val="18"/>
          <w:rtl/>
        </w:rPr>
        <w:t xml:space="preserve"> </w:t>
      </w:r>
      <w:r w:rsidRPr="00815036">
        <w:rPr>
          <w:rFonts w:cs="Arial" w:hint="cs"/>
          <w:sz w:val="18"/>
          <w:szCs w:val="18"/>
          <w:rtl/>
        </w:rPr>
        <w:t>איסור</w:t>
      </w:r>
      <w:r w:rsidRPr="00815036">
        <w:rPr>
          <w:rFonts w:cs="Arial"/>
          <w:sz w:val="18"/>
          <w:szCs w:val="18"/>
          <w:rtl/>
        </w:rPr>
        <w:t xml:space="preserve"> </w:t>
      </w:r>
      <w:r w:rsidRPr="00815036">
        <w:rPr>
          <w:rFonts w:cs="Arial" w:hint="cs"/>
          <w:sz w:val="18"/>
          <w:szCs w:val="18"/>
          <w:rtl/>
        </w:rPr>
        <w:t>לא</w:t>
      </w:r>
      <w:r w:rsidRPr="00815036">
        <w:rPr>
          <w:rFonts w:cs="Arial"/>
          <w:sz w:val="18"/>
          <w:szCs w:val="18"/>
          <w:rtl/>
        </w:rPr>
        <w:t xml:space="preserve"> </w:t>
      </w:r>
      <w:r w:rsidRPr="00815036">
        <w:rPr>
          <w:rFonts w:cs="Arial" w:hint="cs"/>
          <w:sz w:val="18"/>
          <w:szCs w:val="18"/>
          <w:rtl/>
        </w:rPr>
        <w:t>יבעול</w:t>
      </w:r>
      <w:r w:rsidRPr="00815036">
        <w:rPr>
          <w:rFonts w:cs="Arial"/>
          <w:sz w:val="18"/>
          <w:szCs w:val="18"/>
          <w:rtl/>
        </w:rPr>
        <w:t xml:space="preserve"> </w:t>
      </w:r>
      <w:r w:rsidRPr="00815036">
        <w:rPr>
          <w:rFonts w:cs="Arial" w:hint="cs"/>
          <w:sz w:val="18"/>
          <w:szCs w:val="18"/>
          <w:rtl/>
        </w:rPr>
        <w:t>וישנה)</w:t>
      </w:r>
      <w:r w:rsidRPr="003A1CF4">
        <w:rPr>
          <w:rFonts w:cs="Arial"/>
          <w:sz w:val="20"/>
          <w:szCs w:val="20"/>
          <w:rtl/>
        </w:rPr>
        <w:t xml:space="preserve">. </w:t>
      </w:r>
      <w:r w:rsidRPr="003A1CF4">
        <w:rPr>
          <w:rFonts w:cs="Arial" w:hint="cs"/>
          <w:sz w:val="20"/>
          <w:szCs w:val="20"/>
          <w:rtl/>
        </w:rPr>
        <w:t>רבא</w:t>
      </w:r>
      <w:r w:rsidRPr="003A1CF4">
        <w:rPr>
          <w:rFonts w:cs="Arial"/>
          <w:sz w:val="20"/>
          <w:szCs w:val="20"/>
          <w:rtl/>
        </w:rPr>
        <w:t xml:space="preserve"> </w:t>
      </w:r>
      <w:r w:rsidRPr="003A1CF4">
        <w:rPr>
          <w:rFonts w:cs="Arial" w:hint="cs"/>
          <w:sz w:val="20"/>
          <w:szCs w:val="20"/>
          <w:rtl/>
        </w:rPr>
        <w:t>אמר</w:t>
      </w:r>
      <w:r w:rsidRPr="003A1CF4">
        <w:rPr>
          <w:rFonts w:cs="Arial"/>
          <w:sz w:val="20"/>
          <w:szCs w:val="20"/>
          <w:rtl/>
        </w:rPr>
        <w:t xml:space="preserve">: </w:t>
      </w:r>
      <w:r w:rsidRPr="003A1CF4">
        <w:rPr>
          <w:rFonts w:cs="Arial" w:hint="cs"/>
          <w:sz w:val="20"/>
          <w:szCs w:val="20"/>
          <w:rtl/>
        </w:rPr>
        <w:t>בועל</w:t>
      </w:r>
      <w:r w:rsidRPr="003A1CF4">
        <w:rPr>
          <w:rFonts w:cs="Arial"/>
          <w:sz w:val="20"/>
          <w:szCs w:val="20"/>
          <w:rtl/>
        </w:rPr>
        <w:t xml:space="preserve"> </w:t>
      </w:r>
      <w:r w:rsidRPr="003A1CF4">
        <w:rPr>
          <w:rFonts w:cs="Arial" w:hint="cs"/>
          <w:sz w:val="20"/>
          <w:szCs w:val="20"/>
          <w:rtl/>
        </w:rPr>
        <w:t>ושונה</w:t>
      </w:r>
      <w:r w:rsidRPr="003A1CF4">
        <w:rPr>
          <w:rFonts w:cs="Arial"/>
          <w:sz w:val="20"/>
          <w:szCs w:val="20"/>
          <w:rtl/>
        </w:rPr>
        <w:t xml:space="preserve">, </w:t>
      </w:r>
      <w:r w:rsidRPr="003A1CF4">
        <w:rPr>
          <w:rFonts w:cs="Arial" w:hint="cs"/>
          <w:sz w:val="20"/>
          <w:szCs w:val="20"/>
          <w:rtl/>
        </w:rPr>
        <w:t>כי</w:t>
      </w:r>
      <w:r w:rsidRPr="003A1CF4">
        <w:rPr>
          <w:rFonts w:cs="Arial"/>
          <w:sz w:val="20"/>
          <w:szCs w:val="20"/>
          <w:rtl/>
        </w:rPr>
        <w:t xml:space="preserve"> </w:t>
      </w:r>
      <w:r w:rsidRPr="003A1CF4">
        <w:rPr>
          <w:rFonts w:cs="Arial" w:hint="cs"/>
          <w:sz w:val="20"/>
          <w:szCs w:val="20"/>
          <w:rtl/>
        </w:rPr>
        <w:t>תניא</w:t>
      </w:r>
      <w:r w:rsidRPr="003A1CF4">
        <w:rPr>
          <w:rFonts w:cs="Arial"/>
          <w:sz w:val="20"/>
          <w:szCs w:val="20"/>
          <w:rtl/>
        </w:rPr>
        <w:t xml:space="preserve"> </w:t>
      </w:r>
      <w:r w:rsidRPr="003A1CF4">
        <w:rPr>
          <w:rFonts w:cs="Arial" w:hint="cs"/>
          <w:sz w:val="20"/>
          <w:szCs w:val="20"/>
          <w:rtl/>
        </w:rPr>
        <w:t>ההיא</w:t>
      </w:r>
      <w:r w:rsidRPr="003A1CF4">
        <w:rPr>
          <w:rFonts w:cs="Arial"/>
          <w:sz w:val="20"/>
          <w:szCs w:val="20"/>
          <w:rtl/>
        </w:rPr>
        <w:t xml:space="preserve"> - </w:t>
      </w:r>
      <w:r w:rsidRPr="003A1CF4">
        <w:rPr>
          <w:rFonts w:cs="Arial" w:hint="cs"/>
          <w:sz w:val="20"/>
          <w:szCs w:val="20"/>
          <w:rtl/>
        </w:rPr>
        <w:t>לטהרות</w:t>
      </w:r>
      <w:r w:rsidRPr="003A1CF4">
        <w:rPr>
          <w:rFonts w:cs="Arial"/>
          <w:sz w:val="20"/>
          <w:szCs w:val="20"/>
          <w:rtl/>
        </w:rPr>
        <w:t xml:space="preserve">. </w:t>
      </w:r>
      <w:r w:rsidRPr="003A1CF4">
        <w:rPr>
          <w:rFonts w:cs="Arial" w:hint="cs"/>
          <w:sz w:val="20"/>
          <w:szCs w:val="20"/>
          <w:rtl/>
        </w:rPr>
        <w:t>תניא</w:t>
      </w:r>
      <w:r w:rsidRPr="003A1CF4">
        <w:rPr>
          <w:rFonts w:cs="Arial"/>
          <w:sz w:val="20"/>
          <w:szCs w:val="20"/>
          <w:rtl/>
        </w:rPr>
        <w:t xml:space="preserve"> </w:t>
      </w:r>
      <w:r w:rsidRPr="003A1CF4">
        <w:rPr>
          <w:rFonts w:cs="Arial" w:hint="cs"/>
          <w:sz w:val="20"/>
          <w:szCs w:val="20"/>
          <w:rtl/>
        </w:rPr>
        <w:t>נמי</w:t>
      </w:r>
      <w:r w:rsidRPr="003A1CF4">
        <w:rPr>
          <w:rFonts w:cs="Arial"/>
          <w:sz w:val="20"/>
          <w:szCs w:val="20"/>
          <w:rtl/>
        </w:rPr>
        <w:t xml:space="preserve"> </w:t>
      </w:r>
      <w:r w:rsidRPr="003A1CF4">
        <w:rPr>
          <w:rFonts w:cs="Arial" w:hint="cs"/>
          <w:sz w:val="20"/>
          <w:szCs w:val="20"/>
          <w:rtl/>
        </w:rPr>
        <w:t>הכי</w:t>
      </w:r>
      <w:r w:rsidRPr="003A1CF4">
        <w:rPr>
          <w:rFonts w:cs="Arial"/>
          <w:sz w:val="20"/>
          <w:szCs w:val="20"/>
          <w:rtl/>
        </w:rPr>
        <w:t xml:space="preserve">: </w:t>
      </w:r>
      <w:r w:rsidRPr="003A1CF4">
        <w:rPr>
          <w:rFonts w:cs="Arial" w:hint="cs"/>
          <w:sz w:val="20"/>
          <w:szCs w:val="20"/>
          <w:rtl/>
        </w:rPr>
        <w:t>ב</w:t>
      </w:r>
      <w:r>
        <w:rPr>
          <w:rFonts w:cs="Arial" w:hint="cs"/>
          <w:sz w:val="20"/>
          <w:szCs w:val="20"/>
          <w:rtl/>
        </w:rPr>
        <w:t xml:space="preserve">מה דברים </w:t>
      </w:r>
      <w:r w:rsidRPr="003A1CF4">
        <w:rPr>
          <w:rFonts w:cs="Arial" w:hint="cs"/>
          <w:sz w:val="20"/>
          <w:szCs w:val="20"/>
          <w:rtl/>
        </w:rPr>
        <w:t>א</w:t>
      </w:r>
      <w:r>
        <w:rPr>
          <w:rFonts w:cs="Arial" w:hint="cs"/>
          <w:sz w:val="20"/>
          <w:szCs w:val="20"/>
          <w:rtl/>
        </w:rPr>
        <w:t>מורים</w:t>
      </w:r>
      <w:r w:rsidRPr="003A1CF4">
        <w:rPr>
          <w:rFonts w:cs="Arial"/>
          <w:sz w:val="20"/>
          <w:szCs w:val="20"/>
          <w:rtl/>
        </w:rPr>
        <w:t xml:space="preserve"> - </w:t>
      </w:r>
      <w:r w:rsidRPr="003A1CF4">
        <w:rPr>
          <w:rFonts w:cs="Arial" w:hint="cs"/>
          <w:sz w:val="20"/>
          <w:szCs w:val="20"/>
          <w:rtl/>
        </w:rPr>
        <w:t>לטהרות</w:t>
      </w:r>
      <w:r w:rsidRPr="003A1CF4">
        <w:rPr>
          <w:rFonts w:cs="Arial"/>
          <w:sz w:val="20"/>
          <w:szCs w:val="20"/>
          <w:rtl/>
        </w:rPr>
        <w:t xml:space="preserve">, </w:t>
      </w:r>
      <w:r w:rsidRPr="003A1CF4">
        <w:rPr>
          <w:rFonts w:cs="Arial" w:hint="cs"/>
          <w:sz w:val="20"/>
          <w:szCs w:val="20"/>
          <w:rtl/>
        </w:rPr>
        <w:t>אבל</w:t>
      </w:r>
      <w:r w:rsidRPr="003A1CF4">
        <w:rPr>
          <w:rFonts w:cs="Arial"/>
          <w:sz w:val="20"/>
          <w:szCs w:val="20"/>
          <w:rtl/>
        </w:rPr>
        <w:t xml:space="preserve"> </w:t>
      </w:r>
      <w:r w:rsidRPr="003A1CF4">
        <w:rPr>
          <w:rFonts w:cs="Arial" w:hint="cs"/>
          <w:sz w:val="20"/>
          <w:szCs w:val="20"/>
          <w:rtl/>
        </w:rPr>
        <w:t>לבעלה</w:t>
      </w:r>
      <w:r w:rsidRPr="003A1CF4">
        <w:rPr>
          <w:rFonts w:cs="Arial"/>
          <w:sz w:val="20"/>
          <w:szCs w:val="20"/>
          <w:rtl/>
        </w:rPr>
        <w:t xml:space="preserve"> </w:t>
      </w:r>
      <w:r>
        <w:rPr>
          <w:rFonts w:cs="Arial"/>
          <w:sz w:val="20"/>
          <w:szCs w:val="20"/>
          <w:rtl/>
        </w:rPr>
        <w:t>–</w:t>
      </w:r>
      <w:r w:rsidRPr="003A1CF4">
        <w:rPr>
          <w:rFonts w:cs="Arial"/>
          <w:sz w:val="20"/>
          <w:szCs w:val="20"/>
          <w:rtl/>
        </w:rPr>
        <w:t xml:space="preserve"> </w:t>
      </w:r>
      <w:r w:rsidRPr="003A1CF4">
        <w:rPr>
          <w:rFonts w:cs="Arial" w:hint="cs"/>
          <w:sz w:val="20"/>
          <w:szCs w:val="20"/>
          <w:rtl/>
        </w:rPr>
        <w:t>מותרת</w:t>
      </w:r>
      <w:r>
        <w:rPr>
          <w:rFonts w:cs="Arial" w:hint="cs"/>
          <w:sz w:val="20"/>
          <w:szCs w:val="20"/>
          <w:rtl/>
        </w:rPr>
        <w:t>"</w:t>
      </w:r>
      <w:r w:rsidRPr="003A1CF4">
        <w:rPr>
          <w:rFonts w:cs="Arial"/>
          <w:sz w:val="20"/>
          <w:szCs w:val="20"/>
          <w:rtl/>
        </w:rPr>
        <w:t>.</w:t>
      </w:r>
      <w:r>
        <w:rPr>
          <w:sz w:val="20"/>
          <w:szCs w:val="20"/>
          <w:rtl/>
        </w:rPr>
        <w:br/>
      </w:r>
      <w:r w:rsidRPr="00BD5269">
        <w:rPr>
          <w:rFonts w:hint="cs"/>
          <w:sz w:val="20"/>
          <w:szCs w:val="20"/>
          <w:rtl/>
        </w:rPr>
        <w:t xml:space="preserve">ב. </w:t>
      </w:r>
      <w:r w:rsidRPr="00D06E17">
        <w:rPr>
          <w:rFonts w:hint="cs"/>
          <w:b/>
          <w:bCs/>
          <w:sz w:val="20"/>
          <w:szCs w:val="20"/>
          <w:rtl/>
        </w:rPr>
        <w:t xml:space="preserve">גמרא </w:t>
      </w:r>
      <w:r w:rsidRPr="00BD5269">
        <w:rPr>
          <w:rFonts w:hint="cs"/>
          <w:sz w:val="20"/>
          <w:szCs w:val="20"/>
          <w:rtl/>
        </w:rPr>
        <w:t>נידה (יב.) "</w:t>
      </w:r>
      <w:r w:rsidRPr="00BD5269">
        <w:rPr>
          <w:rFonts w:cs="Arial" w:hint="cs"/>
          <w:sz w:val="20"/>
          <w:szCs w:val="20"/>
          <w:rtl/>
        </w:rPr>
        <w:t>בעא</w:t>
      </w:r>
      <w:r w:rsidRPr="00BD5269">
        <w:rPr>
          <w:rFonts w:cs="Arial"/>
          <w:sz w:val="20"/>
          <w:szCs w:val="20"/>
          <w:rtl/>
        </w:rPr>
        <w:t xml:space="preserve"> </w:t>
      </w:r>
      <w:r w:rsidRPr="00BD5269">
        <w:rPr>
          <w:rFonts w:cs="Arial" w:hint="cs"/>
          <w:sz w:val="20"/>
          <w:szCs w:val="20"/>
          <w:rtl/>
        </w:rPr>
        <w:t>מיניה</w:t>
      </w:r>
      <w:r w:rsidRPr="00BD5269">
        <w:rPr>
          <w:rFonts w:cs="Arial"/>
          <w:sz w:val="20"/>
          <w:szCs w:val="20"/>
          <w:rtl/>
        </w:rPr>
        <w:t xml:space="preserve"> </w:t>
      </w:r>
      <w:r w:rsidRPr="00BD5269">
        <w:rPr>
          <w:rFonts w:cs="Arial" w:hint="cs"/>
          <w:sz w:val="20"/>
          <w:szCs w:val="20"/>
          <w:rtl/>
        </w:rPr>
        <w:t>רבי</w:t>
      </w:r>
      <w:r w:rsidRPr="00BD5269">
        <w:rPr>
          <w:rFonts w:cs="Arial"/>
          <w:sz w:val="20"/>
          <w:szCs w:val="20"/>
          <w:rtl/>
        </w:rPr>
        <w:t xml:space="preserve"> </w:t>
      </w:r>
      <w:r w:rsidRPr="00BD5269">
        <w:rPr>
          <w:rFonts w:cs="Arial" w:hint="cs"/>
          <w:sz w:val="20"/>
          <w:szCs w:val="20"/>
          <w:rtl/>
        </w:rPr>
        <w:t>זירא</w:t>
      </w:r>
      <w:r w:rsidRPr="00BD5269">
        <w:rPr>
          <w:rFonts w:cs="Arial"/>
          <w:sz w:val="20"/>
          <w:szCs w:val="20"/>
          <w:rtl/>
        </w:rPr>
        <w:t xml:space="preserve"> </w:t>
      </w:r>
      <w:r w:rsidRPr="00BD5269">
        <w:rPr>
          <w:rFonts w:cs="Arial" w:hint="cs"/>
          <w:sz w:val="20"/>
          <w:szCs w:val="20"/>
          <w:rtl/>
        </w:rPr>
        <w:t>מרב</w:t>
      </w:r>
      <w:r w:rsidRPr="00BD5269">
        <w:rPr>
          <w:rFonts w:cs="Arial"/>
          <w:sz w:val="20"/>
          <w:szCs w:val="20"/>
          <w:rtl/>
        </w:rPr>
        <w:t xml:space="preserve"> </w:t>
      </w:r>
      <w:r w:rsidRPr="00BD5269">
        <w:rPr>
          <w:rFonts w:cs="Arial" w:hint="cs"/>
          <w:sz w:val="20"/>
          <w:szCs w:val="20"/>
          <w:rtl/>
        </w:rPr>
        <w:t>יהודה</w:t>
      </w:r>
      <w:r w:rsidRPr="00BD5269">
        <w:rPr>
          <w:rFonts w:cs="Arial"/>
          <w:sz w:val="20"/>
          <w:szCs w:val="20"/>
          <w:rtl/>
        </w:rPr>
        <w:t xml:space="preserve">: </w:t>
      </w:r>
      <w:r w:rsidRPr="00BD5269">
        <w:rPr>
          <w:rFonts w:cs="Arial" w:hint="cs"/>
          <w:sz w:val="20"/>
          <w:szCs w:val="20"/>
          <w:rtl/>
        </w:rPr>
        <w:t>אשה</w:t>
      </w:r>
      <w:r w:rsidRPr="00BD5269">
        <w:rPr>
          <w:rFonts w:cs="Arial"/>
          <w:sz w:val="20"/>
          <w:szCs w:val="20"/>
          <w:rtl/>
        </w:rPr>
        <w:t xml:space="preserve"> </w:t>
      </w:r>
      <w:r w:rsidRPr="00BD5269">
        <w:rPr>
          <w:rFonts w:cs="Arial" w:hint="cs"/>
          <w:sz w:val="20"/>
          <w:szCs w:val="20"/>
          <w:rtl/>
        </w:rPr>
        <w:t>מהו</w:t>
      </w:r>
      <w:r w:rsidRPr="00BD5269">
        <w:rPr>
          <w:rFonts w:cs="Arial"/>
          <w:sz w:val="20"/>
          <w:szCs w:val="20"/>
          <w:rtl/>
        </w:rPr>
        <w:t xml:space="preserve"> </w:t>
      </w:r>
      <w:r w:rsidRPr="00BD5269">
        <w:rPr>
          <w:rFonts w:cs="Arial" w:hint="cs"/>
          <w:sz w:val="20"/>
          <w:szCs w:val="20"/>
          <w:rtl/>
        </w:rPr>
        <w:t>שתבדוק</w:t>
      </w:r>
      <w:r w:rsidRPr="00BD5269">
        <w:rPr>
          <w:rFonts w:cs="Arial"/>
          <w:sz w:val="20"/>
          <w:szCs w:val="20"/>
          <w:rtl/>
        </w:rPr>
        <w:t xml:space="preserve"> </w:t>
      </w:r>
      <w:r w:rsidRPr="00BD5269">
        <w:rPr>
          <w:rFonts w:cs="Arial" w:hint="cs"/>
          <w:sz w:val="20"/>
          <w:szCs w:val="20"/>
          <w:rtl/>
        </w:rPr>
        <w:t>עצמה</w:t>
      </w:r>
      <w:r w:rsidRPr="00BD5269">
        <w:rPr>
          <w:rFonts w:cs="Arial"/>
          <w:sz w:val="20"/>
          <w:szCs w:val="20"/>
          <w:rtl/>
        </w:rPr>
        <w:t xml:space="preserve"> </w:t>
      </w:r>
      <w:r w:rsidRPr="00BD5269">
        <w:rPr>
          <w:rFonts w:cs="Arial" w:hint="cs"/>
          <w:sz w:val="20"/>
          <w:szCs w:val="20"/>
          <w:rtl/>
        </w:rPr>
        <w:t>לבעלה</w:t>
      </w:r>
      <w:r w:rsidRPr="00BD5269">
        <w:rPr>
          <w:rFonts w:cs="Arial"/>
          <w:sz w:val="20"/>
          <w:szCs w:val="20"/>
          <w:rtl/>
        </w:rPr>
        <w:t xml:space="preserve">? </w:t>
      </w:r>
      <w:r w:rsidRPr="00BD5269">
        <w:rPr>
          <w:rFonts w:cs="Arial" w:hint="cs"/>
          <w:sz w:val="20"/>
          <w:szCs w:val="20"/>
          <w:rtl/>
        </w:rPr>
        <w:t>אמר</w:t>
      </w:r>
      <w:r w:rsidRPr="00BD5269">
        <w:rPr>
          <w:rFonts w:cs="Arial"/>
          <w:sz w:val="20"/>
          <w:szCs w:val="20"/>
          <w:rtl/>
        </w:rPr>
        <w:t xml:space="preserve"> </w:t>
      </w:r>
      <w:r w:rsidRPr="00BD5269">
        <w:rPr>
          <w:rFonts w:cs="Arial" w:hint="cs"/>
          <w:sz w:val="20"/>
          <w:szCs w:val="20"/>
          <w:rtl/>
        </w:rPr>
        <w:t>ליה</w:t>
      </w:r>
      <w:r w:rsidRPr="00BD5269">
        <w:rPr>
          <w:rFonts w:cs="Arial"/>
          <w:sz w:val="20"/>
          <w:szCs w:val="20"/>
          <w:rtl/>
        </w:rPr>
        <w:t xml:space="preserve">: </w:t>
      </w:r>
      <w:r w:rsidRPr="00BD5269">
        <w:rPr>
          <w:rFonts w:cs="Arial" w:hint="cs"/>
          <w:sz w:val="20"/>
          <w:szCs w:val="20"/>
          <w:rtl/>
        </w:rPr>
        <w:t>לא</w:t>
      </w:r>
      <w:r w:rsidRPr="00BD5269">
        <w:rPr>
          <w:rFonts w:cs="Arial"/>
          <w:sz w:val="20"/>
          <w:szCs w:val="20"/>
          <w:rtl/>
        </w:rPr>
        <w:t xml:space="preserve"> </w:t>
      </w:r>
      <w:r w:rsidRPr="00BD5269">
        <w:rPr>
          <w:rFonts w:cs="Arial" w:hint="cs"/>
          <w:sz w:val="20"/>
          <w:szCs w:val="20"/>
          <w:rtl/>
        </w:rPr>
        <w:t>תבדוק</w:t>
      </w:r>
      <w:r w:rsidRPr="00BD5269">
        <w:rPr>
          <w:rFonts w:cs="Arial"/>
          <w:sz w:val="20"/>
          <w:szCs w:val="20"/>
          <w:rtl/>
        </w:rPr>
        <w:t xml:space="preserve">. </w:t>
      </w:r>
      <w:r w:rsidRPr="00BD5269">
        <w:rPr>
          <w:rFonts w:cs="Arial" w:hint="cs"/>
          <w:sz w:val="20"/>
          <w:szCs w:val="20"/>
          <w:rtl/>
        </w:rPr>
        <w:t>ותבדוק</w:t>
      </w:r>
      <w:r w:rsidRPr="00BD5269">
        <w:rPr>
          <w:rFonts w:cs="Arial"/>
          <w:sz w:val="20"/>
          <w:szCs w:val="20"/>
          <w:rtl/>
        </w:rPr>
        <w:t xml:space="preserve">, </w:t>
      </w:r>
      <w:r w:rsidRPr="00BD5269">
        <w:rPr>
          <w:rFonts w:cs="Arial" w:hint="cs"/>
          <w:sz w:val="20"/>
          <w:szCs w:val="20"/>
          <w:rtl/>
        </w:rPr>
        <w:t>ומה</w:t>
      </w:r>
      <w:r w:rsidRPr="00BD5269">
        <w:rPr>
          <w:rFonts w:cs="Arial"/>
          <w:sz w:val="20"/>
          <w:szCs w:val="20"/>
          <w:rtl/>
        </w:rPr>
        <w:t xml:space="preserve"> </w:t>
      </w:r>
      <w:r w:rsidRPr="00BD5269">
        <w:rPr>
          <w:rFonts w:cs="Arial" w:hint="cs"/>
          <w:sz w:val="20"/>
          <w:szCs w:val="20"/>
          <w:rtl/>
        </w:rPr>
        <w:t>בכך</w:t>
      </w:r>
      <w:r w:rsidRPr="00BD5269">
        <w:rPr>
          <w:rFonts w:cs="Arial"/>
          <w:sz w:val="20"/>
          <w:szCs w:val="20"/>
          <w:rtl/>
        </w:rPr>
        <w:t xml:space="preserve">? </w:t>
      </w:r>
      <w:r w:rsidRPr="00BD5269">
        <w:rPr>
          <w:rFonts w:cs="Arial" w:hint="cs"/>
          <w:sz w:val="20"/>
          <w:szCs w:val="20"/>
          <w:rtl/>
        </w:rPr>
        <w:t>אם</w:t>
      </w:r>
      <w:r w:rsidRPr="00BD5269">
        <w:rPr>
          <w:rFonts w:cs="Arial"/>
          <w:sz w:val="20"/>
          <w:szCs w:val="20"/>
          <w:rtl/>
        </w:rPr>
        <w:t xml:space="preserve"> </w:t>
      </w:r>
      <w:r w:rsidRPr="00BD5269">
        <w:rPr>
          <w:rFonts w:cs="Arial" w:hint="cs"/>
          <w:sz w:val="20"/>
          <w:szCs w:val="20"/>
          <w:rtl/>
        </w:rPr>
        <w:t>כן</w:t>
      </w:r>
      <w:r w:rsidRPr="00BD5269">
        <w:rPr>
          <w:rFonts w:cs="Arial"/>
          <w:sz w:val="20"/>
          <w:szCs w:val="20"/>
          <w:rtl/>
        </w:rPr>
        <w:t xml:space="preserve"> - </w:t>
      </w:r>
      <w:r w:rsidRPr="00BD5269">
        <w:rPr>
          <w:rFonts w:cs="Arial" w:hint="cs"/>
          <w:sz w:val="20"/>
          <w:szCs w:val="20"/>
          <w:rtl/>
        </w:rPr>
        <w:t>לבו</w:t>
      </w:r>
      <w:r w:rsidRPr="00BD5269">
        <w:rPr>
          <w:rFonts w:cs="Arial"/>
          <w:sz w:val="20"/>
          <w:szCs w:val="20"/>
          <w:rtl/>
        </w:rPr>
        <w:t xml:space="preserve"> </w:t>
      </w:r>
      <w:r w:rsidRPr="00BD5269">
        <w:rPr>
          <w:rFonts w:cs="Arial" w:hint="cs"/>
          <w:sz w:val="20"/>
          <w:szCs w:val="20"/>
          <w:rtl/>
        </w:rPr>
        <w:t>נוקפו</w:t>
      </w:r>
      <w:r w:rsidRPr="00BD5269">
        <w:rPr>
          <w:rFonts w:cs="Arial"/>
          <w:sz w:val="20"/>
          <w:szCs w:val="20"/>
          <w:rtl/>
        </w:rPr>
        <w:t xml:space="preserve"> </w:t>
      </w:r>
      <w:r w:rsidRPr="00BD5269">
        <w:rPr>
          <w:rFonts w:cs="Arial" w:hint="cs"/>
          <w:sz w:val="20"/>
          <w:szCs w:val="20"/>
          <w:rtl/>
        </w:rPr>
        <w:t>ופורש".</w:t>
      </w:r>
      <w:r>
        <w:rPr>
          <w:sz w:val="20"/>
          <w:szCs w:val="20"/>
          <w:rtl/>
        </w:rPr>
        <w:br/>
      </w:r>
      <w:r>
        <w:rPr>
          <w:rFonts w:hint="cs"/>
          <w:sz w:val="20"/>
          <w:szCs w:val="20"/>
          <w:rtl/>
        </w:rPr>
        <w:t xml:space="preserve">ג. </w:t>
      </w:r>
      <w:r w:rsidRPr="00FE1D5E">
        <w:rPr>
          <w:rFonts w:hint="cs"/>
          <w:b/>
          <w:bCs/>
          <w:sz w:val="20"/>
          <w:szCs w:val="20"/>
          <w:rtl/>
        </w:rPr>
        <w:t>משנה</w:t>
      </w:r>
      <w:r>
        <w:rPr>
          <w:rFonts w:hint="cs"/>
          <w:sz w:val="20"/>
          <w:szCs w:val="20"/>
          <w:rtl/>
        </w:rPr>
        <w:t xml:space="preserve"> נידה (יד.) "</w:t>
      </w:r>
      <w:r w:rsidRPr="00FE1D5E">
        <w:rPr>
          <w:rFonts w:cs="Arial" w:hint="cs"/>
          <w:sz w:val="20"/>
          <w:szCs w:val="20"/>
          <w:rtl/>
        </w:rPr>
        <w:t>דרך</w:t>
      </w:r>
      <w:r w:rsidRPr="00FE1D5E">
        <w:rPr>
          <w:rFonts w:cs="Arial"/>
          <w:sz w:val="20"/>
          <w:szCs w:val="20"/>
          <w:rtl/>
        </w:rPr>
        <w:t xml:space="preserve"> </w:t>
      </w:r>
      <w:r w:rsidRPr="00FE1D5E">
        <w:rPr>
          <w:rFonts w:cs="Arial" w:hint="cs"/>
          <w:sz w:val="20"/>
          <w:szCs w:val="20"/>
          <w:rtl/>
        </w:rPr>
        <w:t>בנות</w:t>
      </w:r>
      <w:r w:rsidRPr="00FE1D5E">
        <w:rPr>
          <w:rFonts w:cs="Arial"/>
          <w:sz w:val="20"/>
          <w:szCs w:val="20"/>
          <w:rtl/>
        </w:rPr>
        <w:t xml:space="preserve"> </w:t>
      </w:r>
      <w:r w:rsidRPr="00FE1D5E">
        <w:rPr>
          <w:rFonts w:cs="Arial" w:hint="cs"/>
          <w:sz w:val="20"/>
          <w:szCs w:val="20"/>
          <w:rtl/>
        </w:rPr>
        <w:t>ישראל</w:t>
      </w:r>
      <w:r w:rsidRPr="00FE1D5E">
        <w:rPr>
          <w:rFonts w:cs="Arial"/>
          <w:sz w:val="20"/>
          <w:szCs w:val="20"/>
          <w:rtl/>
        </w:rPr>
        <w:t xml:space="preserve"> </w:t>
      </w:r>
      <w:r w:rsidRPr="00FE1D5E">
        <w:rPr>
          <w:rFonts w:cs="Arial" w:hint="cs"/>
          <w:sz w:val="20"/>
          <w:szCs w:val="20"/>
          <w:rtl/>
        </w:rPr>
        <w:t>משמשות</w:t>
      </w:r>
      <w:r w:rsidRPr="00FE1D5E">
        <w:rPr>
          <w:rFonts w:cs="Arial"/>
          <w:sz w:val="20"/>
          <w:szCs w:val="20"/>
          <w:rtl/>
        </w:rPr>
        <w:t xml:space="preserve"> </w:t>
      </w:r>
      <w:r w:rsidRPr="00FE1D5E">
        <w:rPr>
          <w:rFonts w:cs="Arial" w:hint="cs"/>
          <w:sz w:val="20"/>
          <w:szCs w:val="20"/>
          <w:rtl/>
        </w:rPr>
        <w:t>בשני</w:t>
      </w:r>
      <w:r w:rsidRPr="00FE1D5E">
        <w:rPr>
          <w:rFonts w:cs="Arial"/>
          <w:sz w:val="20"/>
          <w:szCs w:val="20"/>
          <w:rtl/>
        </w:rPr>
        <w:t xml:space="preserve"> </w:t>
      </w:r>
      <w:r w:rsidRPr="00FE1D5E">
        <w:rPr>
          <w:rFonts w:cs="Arial" w:hint="cs"/>
          <w:sz w:val="20"/>
          <w:szCs w:val="20"/>
          <w:rtl/>
        </w:rPr>
        <w:t>עדים</w:t>
      </w:r>
      <w:r w:rsidRPr="00FE1D5E">
        <w:rPr>
          <w:rFonts w:cs="Arial"/>
          <w:sz w:val="20"/>
          <w:szCs w:val="20"/>
          <w:rtl/>
        </w:rPr>
        <w:t xml:space="preserve"> </w:t>
      </w:r>
      <w:r w:rsidRPr="00FE1D5E">
        <w:rPr>
          <w:rFonts w:cs="Arial" w:hint="cs"/>
          <w:sz w:val="20"/>
          <w:szCs w:val="20"/>
          <w:rtl/>
        </w:rPr>
        <w:t>אחד</w:t>
      </w:r>
      <w:r w:rsidRPr="00FE1D5E">
        <w:rPr>
          <w:rFonts w:cs="Arial"/>
          <w:sz w:val="20"/>
          <w:szCs w:val="20"/>
          <w:rtl/>
        </w:rPr>
        <w:t xml:space="preserve"> </w:t>
      </w:r>
      <w:r w:rsidRPr="00FE1D5E">
        <w:rPr>
          <w:rFonts w:cs="Arial" w:hint="cs"/>
          <w:sz w:val="20"/>
          <w:szCs w:val="20"/>
          <w:rtl/>
        </w:rPr>
        <w:t>לו</w:t>
      </w:r>
      <w:r w:rsidRPr="00FE1D5E">
        <w:rPr>
          <w:rFonts w:cs="Arial"/>
          <w:sz w:val="20"/>
          <w:szCs w:val="20"/>
          <w:rtl/>
        </w:rPr>
        <w:t xml:space="preserve"> </w:t>
      </w:r>
      <w:r w:rsidRPr="00FE1D5E">
        <w:rPr>
          <w:rFonts w:cs="Arial" w:hint="cs"/>
          <w:sz w:val="20"/>
          <w:szCs w:val="20"/>
          <w:rtl/>
        </w:rPr>
        <w:t>ואחד</w:t>
      </w:r>
      <w:r w:rsidRPr="00FE1D5E">
        <w:rPr>
          <w:rFonts w:cs="Arial"/>
          <w:sz w:val="20"/>
          <w:szCs w:val="20"/>
          <w:rtl/>
        </w:rPr>
        <w:t xml:space="preserve"> </w:t>
      </w:r>
      <w:r w:rsidRPr="00FE1D5E">
        <w:rPr>
          <w:rFonts w:cs="Arial" w:hint="cs"/>
          <w:sz w:val="20"/>
          <w:szCs w:val="20"/>
          <w:rtl/>
        </w:rPr>
        <w:t>לה</w:t>
      </w:r>
      <w:r>
        <w:rPr>
          <w:rFonts w:cs="Arial" w:hint="cs"/>
          <w:sz w:val="20"/>
          <w:szCs w:val="20"/>
          <w:rtl/>
        </w:rPr>
        <w:t>,</w:t>
      </w:r>
      <w:r w:rsidRPr="00FE1D5E">
        <w:rPr>
          <w:rFonts w:cs="Arial"/>
          <w:sz w:val="20"/>
          <w:szCs w:val="20"/>
          <w:rtl/>
        </w:rPr>
        <w:t xml:space="preserve"> </w:t>
      </w:r>
      <w:r w:rsidRPr="00FE1D5E">
        <w:rPr>
          <w:rFonts w:cs="Arial" w:hint="cs"/>
          <w:sz w:val="20"/>
          <w:szCs w:val="20"/>
          <w:rtl/>
        </w:rPr>
        <w:t>והצנועות</w:t>
      </w:r>
      <w:r w:rsidRPr="00FE1D5E">
        <w:rPr>
          <w:rFonts w:cs="Arial"/>
          <w:sz w:val="20"/>
          <w:szCs w:val="20"/>
          <w:rtl/>
        </w:rPr>
        <w:t xml:space="preserve"> </w:t>
      </w:r>
      <w:r w:rsidRPr="00FE1D5E">
        <w:rPr>
          <w:rFonts w:cs="Arial" w:hint="cs"/>
          <w:sz w:val="20"/>
          <w:szCs w:val="20"/>
          <w:rtl/>
        </w:rPr>
        <w:t>מתקנות</w:t>
      </w:r>
      <w:r w:rsidRPr="00FE1D5E">
        <w:rPr>
          <w:rFonts w:cs="Arial"/>
          <w:sz w:val="20"/>
          <w:szCs w:val="20"/>
          <w:rtl/>
        </w:rPr>
        <w:t xml:space="preserve"> </w:t>
      </w:r>
      <w:r w:rsidRPr="00FE1D5E">
        <w:rPr>
          <w:rFonts w:cs="Arial" w:hint="cs"/>
          <w:sz w:val="20"/>
          <w:szCs w:val="20"/>
          <w:rtl/>
        </w:rPr>
        <w:t>שלישי</w:t>
      </w:r>
      <w:r w:rsidRPr="00FE1D5E">
        <w:rPr>
          <w:rFonts w:cs="Arial"/>
          <w:sz w:val="20"/>
          <w:szCs w:val="20"/>
          <w:rtl/>
        </w:rPr>
        <w:t xml:space="preserve"> </w:t>
      </w:r>
      <w:r w:rsidRPr="00FE1D5E">
        <w:rPr>
          <w:rFonts w:cs="Arial" w:hint="cs"/>
          <w:sz w:val="20"/>
          <w:szCs w:val="20"/>
          <w:rtl/>
        </w:rPr>
        <w:t>לתקן</w:t>
      </w:r>
      <w:r w:rsidRPr="00FE1D5E">
        <w:rPr>
          <w:rFonts w:cs="Arial"/>
          <w:sz w:val="20"/>
          <w:szCs w:val="20"/>
          <w:rtl/>
        </w:rPr>
        <w:t xml:space="preserve"> </w:t>
      </w:r>
      <w:r w:rsidRPr="00FE1D5E">
        <w:rPr>
          <w:rFonts w:cs="Arial" w:hint="cs"/>
          <w:sz w:val="20"/>
          <w:szCs w:val="20"/>
          <w:rtl/>
        </w:rPr>
        <w:t>את</w:t>
      </w:r>
      <w:r w:rsidRPr="00FE1D5E">
        <w:rPr>
          <w:rFonts w:cs="Arial"/>
          <w:sz w:val="20"/>
          <w:szCs w:val="20"/>
          <w:rtl/>
        </w:rPr>
        <w:t xml:space="preserve"> </w:t>
      </w:r>
      <w:r w:rsidRPr="00FE1D5E">
        <w:rPr>
          <w:rFonts w:cs="Arial" w:hint="cs"/>
          <w:sz w:val="20"/>
          <w:szCs w:val="20"/>
          <w:rtl/>
        </w:rPr>
        <w:t>הבית</w:t>
      </w:r>
      <w:r>
        <w:rPr>
          <w:rFonts w:cs="Arial" w:hint="cs"/>
          <w:sz w:val="20"/>
          <w:szCs w:val="20"/>
          <w:rtl/>
        </w:rPr>
        <w:t>..."</w:t>
      </w:r>
    </w:p>
    <w:p w:rsidR="00620060" w:rsidRDefault="00620060" w:rsidP="00620060">
      <w:pPr>
        <w:rPr>
          <w:sz w:val="20"/>
          <w:szCs w:val="20"/>
          <w:rtl/>
        </w:rPr>
      </w:pPr>
      <w:r w:rsidRPr="00AC5E75">
        <w:rPr>
          <w:rFonts w:hint="cs"/>
          <w:b/>
          <w:bCs/>
          <w:sz w:val="20"/>
          <w:szCs w:val="20"/>
          <w:rtl/>
        </w:rPr>
        <w:t>שיטות הראשונים</w:t>
      </w:r>
      <w:r>
        <w:rPr>
          <w:sz w:val="20"/>
          <w:szCs w:val="20"/>
          <w:u w:val="single"/>
          <w:rtl/>
        </w:rPr>
        <w:br/>
      </w:r>
      <w:r>
        <w:rPr>
          <w:rFonts w:hint="cs"/>
          <w:sz w:val="20"/>
          <w:szCs w:val="20"/>
          <w:rtl/>
        </w:rPr>
        <w:t xml:space="preserve">א. </w:t>
      </w:r>
      <w:r w:rsidRPr="00D50043">
        <w:rPr>
          <w:rFonts w:hint="cs"/>
          <w:b/>
          <w:bCs/>
          <w:sz w:val="20"/>
          <w:szCs w:val="20"/>
          <w:rtl/>
        </w:rPr>
        <w:t>רי"ף</w:t>
      </w:r>
      <w:r>
        <w:rPr>
          <w:rFonts w:hint="cs"/>
          <w:sz w:val="20"/>
          <w:szCs w:val="20"/>
          <w:rtl/>
        </w:rPr>
        <w:t xml:space="preserve"> ושאר הראשונים </w:t>
      </w:r>
      <w:r>
        <w:rPr>
          <w:sz w:val="20"/>
          <w:szCs w:val="20"/>
          <w:rtl/>
        </w:rPr>
        <w:t>–</w:t>
      </w:r>
      <w:r>
        <w:rPr>
          <w:rFonts w:hint="cs"/>
          <w:sz w:val="20"/>
          <w:szCs w:val="20"/>
          <w:rtl/>
        </w:rPr>
        <w:t xml:space="preserve"> אין צריך לבדוק לפני תשמיש ולא לאחר תשמיש, אדרבה אין לה לבדוק כדי שבעלה לא יפרוש ממנה מחמת חשש לעבירה, וכ"פ </w:t>
      </w:r>
      <w:r w:rsidRPr="009A6CF4">
        <w:rPr>
          <w:rFonts w:hint="cs"/>
          <w:b/>
          <w:bCs/>
          <w:sz w:val="20"/>
          <w:szCs w:val="20"/>
          <w:rtl/>
        </w:rPr>
        <w:t>המחבר והרמ"א</w:t>
      </w:r>
      <w:r>
        <w:rPr>
          <w:rFonts w:hint="cs"/>
          <w:sz w:val="20"/>
          <w:szCs w:val="20"/>
          <w:rtl/>
        </w:rPr>
        <w:t xml:space="preserve">. </w:t>
      </w:r>
      <w:r w:rsidRPr="001E3B00">
        <w:rPr>
          <w:rFonts w:hint="cs"/>
          <w:sz w:val="18"/>
          <w:szCs w:val="18"/>
          <w:rtl/>
        </w:rPr>
        <w:t xml:space="preserve">[ועיקר דבריהם ע"פ מקורות א </w:t>
      </w:r>
      <w:r w:rsidRPr="001E3B00">
        <w:rPr>
          <w:sz w:val="18"/>
          <w:szCs w:val="18"/>
          <w:rtl/>
        </w:rPr>
        <w:t>–</w:t>
      </w:r>
      <w:r w:rsidRPr="001E3B00">
        <w:rPr>
          <w:rFonts w:hint="cs"/>
          <w:sz w:val="18"/>
          <w:szCs w:val="18"/>
          <w:rtl/>
        </w:rPr>
        <w:t xml:space="preserve"> ב].</w:t>
      </w:r>
      <w:r>
        <w:rPr>
          <w:sz w:val="20"/>
          <w:szCs w:val="20"/>
          <w:rtl/>
        </w:rPr>
        <w:br/>
      </w:r>
      <w:r>
        <w:rPr>
          <w:rFonts w:hint="cs"/>
          <w:sz w:val="20"/>
          <w:szCs w:val="20"/>
          <w:rtl/>
        </w:rPr>
        <w:t xml:space="preserve">ב. </w:t>
      </w:r>
      <w:r w:rsidRPr="00FB7CD9">
        <w:rPr>
          <w:rFonts w:hint="cs"/>
          <w:b/>
          <w:bCs/>
          <w:sz w:val="20"/>
          <w:szCs w:val="20"/>
          <w:rtl/>
        </w:rPr>
        <w:t>רמב"ם</w:t>
      </w:r>
      <w:r w:rsidRPr="0058378C">
        <w:rPr>
          <w:rStyle w:val="a5"/>
          <w:sz w:val="20"/>
          <w:szCs w:val="20"/>
          <w:rtl/>
        </w:rPr>
        <w:footnoteReference w:id="74"/>
      </w:r>
      <w:r w:rsidRPr="0058378C">
        <w:rPr>
          <w:rFonts w:hint="cs"/>
          <w:sz w:val="20"/>
          <w:szCs w:val="20"/>
          <w:rtl/>
        </w:rPr>
        <w:t xml:space="preserve"> </w:t>
      </w:r>
      <w:r>
        <w:rPr>
          <w:sz w:val="20"/>
          <w:szCs w:val="20"/>
          <w:rtl/>
        </w:rPr>
        <w:t>–</w:t>
      </w:r>
      <w:r>
        <w:rPr>
          <w:rFonts w:hint="cs"/>
          <w:sz w:val="20"/>
          <w:szCs w:val="20"/>
          <w:rtl/>
        </w:rPr>
        <w:t xml:space="preserve"> הצנועות נוהגות לבדוק לפני תשמיש, ולאחר תשמיש שניהם צריכים לבדוק.</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9A6CF4">
        <w:rPr>
          <w:rFonts w:cs="Arial" w:hint="cs"/>
          <w:sz w:val="20"/>
          <w:szCs w:val="20"/>
          <w:rtl/>
        </w:rPr>
        <w:t>אשה</w:t>
      </w:r>
      <w:r w:rsidRPr="009A6CF4">
        <w:rPr>
          <w:rFonts w:cs="Arial"/>
          <w:sz w:val="20"/>
          <w:szCs w:val="20"/>
          <w:rtl/>
        </w:rPr>
        <w:t xml:space="preserve"> </w:t>
      </w:r>
      <w:r w:rsidRPr="009A6CF4">
        <w:rPr>
          <w:rFonts w:cs="Arial" w:hint="cs"/>
          <w:sz w:val="20"/>
          <w:szCs w:val="20"/>
          <w:rtl/>
        </w:rPr>
        <w:t>שיש</w:t>
      </w:r>
      <w:r w:rsidRPr="009A6CF4">
        <w:rPr>
          <w:rFonts w:cs="Arial"/>
          <w:sz w:val="20"/>
          <w:szCs w:val="20"/>
          <w:rtl/>
        </w:rPr>
        <w:t xml:space="preserve"> </w:t>
      </w:r>
      <w:r w:rsidRPr="009A6CF4">
        <w:rPr>
          <w:rFonts w:cs="Arial" w:hint="cs"/>
          <w:sz w:val="20"/>
          <w:szCs w:val="20"/>
          <w:rtl/>
        </w:rPr>
        <w:t>לה</w:t>
      </w:r>
      <w:r w:rsidRPr="009A6CF4">
        <w:rPr>
          <w:rFonts w:cs="Arial"/>
          <w:sz w:val="20"/>
          <w:szCs w:val="20"/>
          <w:rtl/>
        </w:rPr>
        <w:t xml:space="preserve"> </w:t>
      </w:r>
      <w:r w:rsidRPr="009A6CF4">
        <w:rPr>
          <w:rFonts w:cs="Arial" w:hint="cs"/>
          <w:sz w:val="20"/>
          <w:szCs w:val="20"/>
          <w:rtl/>
        </w:rPr>
        <w:t>וסת</w:t>
      </w:r>
      <w:r w:rsidRPr="009A6CF4">
        <w:rPr>
          <w:rFonts w:cs="Arial"/>
          <w:sz w:val="20"/>
          <w:szCs w:val="20"/>
          <w:rtl/>
        </w:rPr>
        <w:t xml:space="preserve"> </w:t>
      </w:r>
      <w:r w:rsidRPr="009A6CF4">
        <w:rPr>
          <w:rFonts w:cs="Arial" w:hint="cs"/>
          <w:sz w:val="20"/>
          <w:szCs w:val="20"/>
          <w:rtl/>
        </w:rPr>
        <w:t>קבוע</w:t>
      </w:r>
      <w:r w:rsidRPr="009A6CF4">
        <w:rPr>
          <w:rFonts w:cs="Arial"/>
          <w:sz w:val="20"/>
          <w:szCs w:val="20"/>
          <w:rtl/>
        </w:rPr>
        <w:t xml:space="preserve">, </w:t>
      </w:r>
      <w:r w:rsidRPr="009A6CF4">
        <w:rPr>
          <w:rFonts w:cs="Arial" w:hint="cs"/>
          <w:sz w:val="20"/>
          <w:szCs w:val="20"/>
          <w:rtl/>
        </w:rPr>
        <w:t>אינה</w:t>
      </w:r>
      <w:r w:rsidRPr="009A6CF4">
        <w:rPr>
          <w:rFonts w:cs="Arial"/>
          <w:sz w:val="20"/>
          <w:szCs w:val="20"/>
          <w:rtl/>
        </w:rPr>
        <w:t xml:space="preserve"> </w:t>
      </w:r>
      <w:r w:rsidRPr="009A6CF4">
        <w:rPr>
          <w:rFonts w:cs="Arial" w:hint="cs"/>
          <w:sz w:val="20"/>
          <w:szCs w:val="20"/>
          <w:rtl/>
        </w:rPr>
        <w:t>צריכה</w:t>
      </w:r>
      <w:r w:rsidRPr="009A6CF4">
        <w:rPr>
          <w:rFonts w:cs="Arial"/>
          <w:sz w:val="20"/>
          <w:szCs w:val="20"/>
          <w:rtl/>
        </w:rPr>
        <w:t xml:space="preserve"> </w:t>
      </w:r>
      <w:r w:rsidRPr="009A6CF4">
        <w:rPr>
          <w:rFonts w:cs="Arial" w:hint="cs"/>
          <w:sz w:val="20"/>
          <w:szCs w:val="20"/>
          <w:rtl/>
        </w:rPr>
        <w:t>בדיקה</w:t>
      </w:r>
      <w:r w:rsidRPr="009A6CF4">
        <w:rPr>
          <w:rFonts w:cs="Arial"/>
          <w:sz w:val="20"/>
          <w:szCs w:val="20"/>
          <w:rtl/>
        </w:rPr>
        <w:t xml:space="preserve"> </w:t>
      </w:r>
      <w:r w:rsidRPr="009A6CF4">
        <w:rPr>
          <w:rFonts w:cs="Arial" w:hint="cs"/>
          <w:sz w:val="20"/>
          <w:szCs w:val="20"/>
          <w:rtl/>
        </w:rPr>
        <w:t>כלל</w:t>
      </w:r>
      <w:r w:rsidRPr="009A6CF4">
        <w:rPr>
          <w:rFonts w:cs="Arial"/>
          <w:sz w:val="20"/>
          <w:szCs w:val="20"/>
          <w:rtl/>
        </w:rPr>
        <w:t xml:space="preserve">, </w:t>
      </w:r>
      <w:r w:rsidRPr="009A6CF4">
        <w:rPr>
          <w:rFonts w:cs="Arial" w:hint="cs"/>
          <w:sz w:val="20"/>
          <w:szCs w:val="20"/>
          <w:rtl/>
        </w:rPr>
        <w:t>לא</w:t>
      </w:r>
      <w:r w:rsidRPr="009A6CF4">
        <w:rPr>
          <w:rFonts w:cs="Arial"/>
          <w:sz w:val="20"/>
          <w:szCs w:val="20"/>
          <w:rtl/>
        </w:rPr>
        <w:t xml:space="preserve"> </w:t>
      </w:r>
      <w:r w:rsidRPr="009A6CF4">
        <w:rPr>
          <w:rFonts w:cs="Arial" w:hint="cs"/>
          <w:sz w:val="20"/>
          <w:szCs w:val="20"/>
          <w:rtl/>
        </w:rPr>
        <w:t>לפני</w:t>
      </w:r>
      <w:r w:rsidRPr="009A6CF4">
        <w:rPr>
          <w:rFonts w:cs="Arial"/>
          <w:sz w:val="20"/>
          <w:szCs w:val="20"/>
          <w:rtl/>
        </w:rPr>
        <w:t xml:space="preserve"> </w:t>
      </w:r>
      <w:r w:rsidRPr="009A6CF4">
        <w:rPr>
          <w:rFonts w:cs="Arial" w:hint="cs"/>
          <w:sz w:val="20"/>
          <w:szCs w:val="20"/>
          <w:rtl/>
        </w:rPr>
        <w:t>תשמיש</w:t>
      </w:r>
      <w:r w:rsidRPr="009A6CF4">
        <w:rPr>
          <w:rFonts w:cs="Arial"/>
          <w:sz w:val="20"/>
          <w:szCs w:val="20"/>
          <w:rtl/>
        </w:rPr>
        <w:t xml:space="preserve"> </w:t>
      </w:r>
      <w:r w:rsidRPr="009A6CF4">
        <w:rPr>
          <w:rFonts w:cs="Arial" w:hint="cs"/>
          <w:sz w:val="20"/>
          <w:szCs w:val="20"/>
          <w:rtl/>
        </w:rPr>
        <w:t>ולא</w:t>
      </w:r>
      <w:r w:rsidRPr="009A6CF4">
        <w:rPr>
          <w:rFonts w:cs="Arial"/>
          <w:sz w:val="20"/>
          <w:szCs w:val="20"/>
          <w:rtl/>
        </w:rPr>
        <w:t xml:space="preserve"> </w:t>
      </w:r>
      <w:r w:rsidRPr="009A6CF4">
        <w:rPr>
          <w:rFonts w:cs="Arial" w:hint="cs"/>
          <w:sz w:val="20"/>
          <w:szCs w:val="20"/>
          <w:rtl/>
        </w:rPr>
        <w:t>לאחר</w:t>
      </w:r>
      <w:r w:rsidRPr="009A6CF4">
        <w:rPr>
          <w:rFonts w:cs="Arial"/>
          <w:sz w:val="20"/>
          <w:szCs w:val="20"/>
          <w:rtl/>
        </w:rPr>
        <w:t xml:space="preserve"> </w:t>
      </w:r>
      <w:r w:rsidRPr="009A6CF4">
        <w:rPr>
          <w:rFonts w:cs="Arial" w:hint="cs"/>
          <w:sz w:val="20"/>
          <w:szCs w:val="20"/>
          <w:rtl/>
        </w:rPr>
        <w:t>תשמיש</w:t>
      </w:r>
      <w:r w:rsidRPr="009A6CF4">
        <w:rPr>
          <w:rFonts w:cs="Arial"/>
          <w:sz w:val="20"/>
          <w:szCs w:val="20"/>
          <w:rtl/>
        </w:rPr>
        <w:t xml:space="preserve">. </w:t>
      </w:r>
      <w:r w:rsidRPr="009A6CF4">
        <w:rPr>
          <w:rFonts w:cs="Arial" w:hint="cs"/>
          <w:sz w:val="20"/>
          <w:szCs w:val="20"/>
          <w:rtl/>
        </w:rPr>
        <w:t>ואדרבה</w:t>
      </w:r>
      <w:r w:rsidRPr="009A6CF4">
        <w:rPr>
          <w:rFonts w:cs="Arial"/>
          <w:sz w:val="20"/>
          <w:szCs w:val="20"/>
          <w:rtl/>
        </w:rPr>
        <w:t xml:space="preserve">, </w:t>
      </w:r>
      <w:r w:rsidRPr="009A6CF4">
        <w:rPr>
          <w:rFonts w:cs="Arial" w:hint="cs"/>
          <w:sz w:val="20"/>
          <w:szCs w:val="20"/>
          <w:rtl/>
        </w:rPr>
        <w:t>אין</w:t>
      </w:r>
      <w:r w:rsidRPr="009A6CF4">
        <w:rPr>
          <w:rFonts w:cs="Arial"/>
          <w:sz w:val="20"/>
          <w:szCs w:val="20"/>
          <w:rtl/>
        </w:rPr>
        <w:t xml:space="preserve"> </w:t>
      </w:r>
      <w:r w:rsidRPr="009A6CF4">
        <w:rPr>
          <w:rFonts w:cs="Arial" w:hint="cs"/>
          <w:sz w:val="20"/>
          <w:szCs w:val="20"/>
          <w:rtl/>
        </w:rPr>
        <w:t>לה</w:t>
      </w:r>
      <w:r w:rsidRPr="009A6CF4">
        <w:rPr>
          <w:rFonts w:cs="Arial"/>
          <w:sz w:val="20"/>
          <w:szCs w:val="20"/>
          <w:rtl/>
        </w:rPr>
        <w:t xml:space="preserve"> </w:t>
      </w:r>
      <w:r w:rsidRPr="009A6CF4">
        <w:rPr>
          <w:rFonts w:cs="Arial" w:hint="cs"/>
          <w:sz w:val="20"/>
          <w:szCs w:val="20"/>
          <w:rtl/>
        </w:rPr>
        <w:t>לבדוק</w:t>
      </w:r>
      <w:r w:rsidRPr="009A6CF4">
        <w:rPr>
          <w:rFonts w:cs="Arial"/>
          <w:sz w:val="20"/>
          <w:szCs w:val="20"/>
          <w:rtl/>
        </w:rPr>
        <w:t xml:space="preserve"> </w:t>
      </w:r>
      <w:r w:rsidRPr="009A6CF4">
        <w:rPr>
          <w:rFonts w:cs="Arial" w:hint="cs"/>
          <w:sz w:val="20"/>
          <w:szCs w:val="20"/>
          <w:rtl/>
        </w:rPr>
        <w:t>בפני</w:t>
      </w:r>
      <w:r w:rsidRPr="009A6CF4">
        <w:rPr>
          <w:rFonts w:cs="Arial"/>
          <w:sz w:val="20"/>
          <w:szCs w:val="20"/>
          <w:rtl/>
        </w:rPr>
        <w:t xml:space="preserve"> </w:t>
      </w:r>
      <w:r w:rsidRPr="009A6CF4">
        <w:rPr>
          <w:rFonts w:cs="Arial" w:hint="cs"/>
          <w:sz w:val="20"/>
          <w:szCs w:val="20"/>
          <w:rtl/>
        </w:rPr>
        <w:t>בעלה</w:t>
      </w:r>
      <w:r w:rsidRPr="009A6CF4">
        <w:rPr>
          <w:rFonts w:cs="Arial"/>
          <w:sz w:val="20"/>
          <w:szCs w:val="20"/>
          <w:rtl/>
        </w:rPr>
        <w:t xml:space="preserve"> </w:t>
      </w:r>
      <w:r w:rsidRPr="009A6CF4">
        <w:rPr>
          <w:rFonts w:cs="Arial" w:hint="cs"/>
          <w:sz w:val="20"/>
          <w:szCs w:val="20"/>
          <w:rtl/>
        </w:rPr>
        <w:t>בשעת</w:t>
      </w:r>
      <w:r w:rsidRPr="009A6CF4">
        <w:rPr>
          <w:rFonts w:cs="Arial"/>
          <w:sz w:val="20"/>
          <w:szCs w:val="20"/>
          <w:rtl/>
        </w:rPr>
        <w:t xml:space="preserve"> </w:t>
      </w:r>
      <w:r w:rsidRPr="009A6CF4">
        <w:rPr>
          <w:rFonts w:cs="Arial" w:hint="cs"/>
          <w:sz w:val="20"/>
          <w:szCs w:val="20"/>
          <w:rtl/>
        </w:rPr>
        <w:t>תשמיש</w:t>
      </w:r>
      <w:r w:rsidRPr="009A6CF4">
        <w:rPr>
          <w:rFonts w:cs="Arial"/>
          <w:sz w:val="20"/>
          <w:szCs w:val="20"/>
          <w:rtl/>
        </w:rPr>
        <w:t xml:space="preserve">, </w:t>
      </w:r>
      <w:r w:rsidRPr="009A6CF4">
        <w:rPr>
          <w:rFonts w:cs="Arial" w:hint="cs"/>
          <w:sz w:val="20"/>
          <w:szCs w:val="20"/>
          <w:rtl/>
        </w:rPr>
        <w:t>כדי</w:t>
      </w:r>
      <w:r w:rsidRPr="009A6CF4">
        <w:rPr>
          <w:rFonts w:cs="Arial"/>
          <w:sz w:val="20"/>
          <w:szCs w:val="20"/>
          <w:rtl/>
        </w:rPr>
        <w:t xml:space="preserve"> </w:t>
      </w:r>
      <w:r w:rsidRPr="009A6CF4">
        <w:rPr>
          <w:rFonts w:cs="Arial" w:hint="cs"/>
          <w:sz w:val="20"/>
          <w:szCs w:val="20"/>
          <w:rtl/>
        </w:rPr>
        <w:t>שלא</w:t>
      </w:r>
      <w:r w:rsidRPr="009A6CF4">
        <w:rPr>
          <w:rFonts w:cs="Arial"/>
          <w:sz w:val="20"/>
          <w:szCs w:val="20"/>
          <w:rtl/>
        </w:rPr>
        <w:t xml:space="preserve"> </w:t>
      </w:r>
      <w:r w:rsidRPr="009A6CF4">
        <w:rPr>
          <w:rFonts w:cs="Arial" w:hint="cs"/>
          <w:sz w:val="20"/>
          <w:szCs w:val="20"/>
          <w:rtl/>
        </w:rPr>
        <w:t>יהא</w:t>
      </w:r>
      <w:r w:rsidRPr="009A6CF4">
        <w:rPr>
          <w:rFonts w:cs="Arial"/>
          <w:sz w:val="20"/>
          <w:szCs w:val="20"/>
          <w:rtl/>
        </w:rPr>
        <w:t xml:space="preserve"> </w:t>
      </w:r>
      <w:r w:rsidRPr="009A6CF4">
        <w:rPr>
          <w:rFonts w:cs="Arial" w:hint="cs"/>
          <w:sz w:val="20"/>
          <w:szCs w:val="20"/>
          <w:rtl/>
        </w:rPr>
        <w:t>לבו</w:t>
      </w:r>
      <w:r w:rsidRPr="009A6CF4">
        <w:rPr>
          <w:rFonts w:cs="Arial"/>
          <w:sz w:val="20"/>
          <w:szCs w:val="20"/>
          <w:rtl/>
        </w:rPr>
        <w:t xml:space="preserve"> </w:t>
      </w:r>
      <w:r w:rsidRPr="009A6CF4">
        <w:rPr>
          <w:rFonts w:cs="Arial" w:hint="cs"/>
          <w:sz w:val="20"/>
          <w:szCs w:val="20"/>
          <w:rtl/>
        </w:rPr>
        <w:t>נוקפו</w:t>
      </w:r>
      <w:r w:rsidRPr="009A6CF4">
        <w:rPr>
          <w:rFonts w:cs="Arial"/>
          <w:sz w:val="20"/>
          <w:szCs w:val="20"/>
          <w:rtl/>
        </w:rPr>
        <w:t xml:space="preserve">. </w:t>
      </w:r>
      <w:r w:rsidRPr="009A6CF4">
        <w:rPr>
          <w:rFonts w:cs="Arial" w:hint="cs"/>
          <w:sz w:val="20"/>
          <w:szCs w:val="20"/>
          <w:rtl/>
        </w:rPr>
        <w:t>והרמב</w:t>
      </w:r>
      <w:r w:rsidRPr="009A6CF4">
        <w:rPr>
          <w:rFonts w:cs="Arial"/>
          <w:sz w:val="20"/>
          <w:szCs w:val="20"/>
          <w:rtl/>
        </w:rPr>
        <w:t>"</w:t>
      </w:r>
      <w:r w:rsidRPr="009A6CF4">
        <w:rPr>
          <w:rFonts w:cs="Arial" w:hint="cs"/>
          <w:sz w:val="20"/>
          <w:szCs w:val="20"/>
          <w:rtl/>
        </w:rPr>
        <w:t>ם</w:t>
      </w:r>
      <w:r w:rsidRPr="009A6CF4">
        <w:rPr>
          <w:rFonts w:cs="Arial"/>
          <w:sz w:val="20"/>
          <w:szCs w:val="20"/>
          <w:rtl/>
        </w:rPr>
        <w:t xml:space="preserve"> </w:t>
      </w:r>
      <w:r w:rsidRPr="009A6CF4">
        <w:rPr>
          <w:rFonts w:cs="Arial" w:hint="cs"/>
          <w:sz w:val="20"/>
          <w:szCs w:val="20"/>
          <w:rtl/>
        </w:rPr>
        <w:t>ז</w:t>
      </w:r>
      <w:r w:rsidRPr="009A6CF4">
        <w:rPr>
          <w:rFonts w:cs="Arial"/>
          <w:sz w:val="20"/>
          <w:szCs w:val="20"/>
          <w:rtl/>
        </w:rPr>
        <w:t>"</w:t>
      </w:r>
      <w:r w:rsidRPr="009A6CF4">
        <w:rPr>
          <w:rFonts w:cs="Arial" w:hint="cs"/>
          <w:sz w:val="20"/>
          <w:szCs w:val="20"/>
          <w:rtl/>
        </w:rPr>
        <w:t>ל</w:t>
      </w:r>
      <w:r w:rsidRPr="009A6CF4">
        <w:rPr>
          <w:rFonts w:cs="Arial"/>
          <w:sz w:val="20"/>
          <w:szCs w:val="20"/>
          <w:rtl/>
        </w:rPr>
        <w:t xml:space="preserve"> </w:t>
      </w:r>
      <w:r w:rsidRPr="009A6CF4">
        <w:rPr>
          <w:rFonts w:cs="Arial" w:hint="cs"/>
          <w:sz w:val="20"/>
          <w:szCs w:val="20"/>
          <w:rtl/>
        </w:rPr>
        <w:t>מצריך</w:t>
      </w:r>
      <w:r w:rsidRPr="009A6CF4">
        <w:rPr>
          <w:rFonts w:cs="Arial"/>
          <w:sz w:val="20"/>
          <w:szCs w:val="20"/>
          <w:rtl/>
        </w:rPr>
        <w:t xml:space="preserve"> </w:t>
      </w:r>
      <w:r w:rsidRPr="009A6CF4">
        <w:rPr>
          <w:rFonts w:cs="Arial" w:hint="cs"/>
          <w:sz w:val="20"/>
          <w:szCs w:val="20"/>
          <w:rtl/>
        </w:rPr>
        <w:t>לבדוק</w:t>
      </w:r>
      <w:r w:rsidRPr="009A6CF4">
        <w:rPr>
          <w:rFonts w:cs="Arial"/>
          <w:sz w:val="20"/>
          <w:szCs w:val="20"/>
          <w:rtl/>
        </w:rPr>
        <w:t xml:space="preserve"> </w:t>
      </w:r>
      <w:r w:rsidRPr="009A6CF4">
        <w:rPr>
          <w:rFonts w:cs="Arial" w:hint="cs"/>
          <w:sz w:val="20"/>
          <w:szCs w:val="20"/>
          <w:rtl/>
        </w:rPr>
        <w:t>אחר</w:t>
      </w:r>
      <w:r w:rsidRPr="009A6CF4">
        <w:rPr>
          <w:rFonts w:cs="Arial"/>
          <w:sz w:val="20"/>
          <w:szCs w:val="20"/>
          <w:rtl/>
        </w:rPr>
        <w:t xml:space="preserve"> </w:t>
      </w:r>
      <w:r w:rsidRPr="009A6CF4">
        <w:rPr>
          <w:rFonts w:cs="Arial" w:hint="cs"/>
          <w:sz w:val="20"/>
          <w:szCs w:val="20"/>
          <w:rtl/>
        </w:rPr>
        <w:t>תשמיש</w:t>
      </w:r>
      <w:r w:rsidRPr="009A6CF4">
        <w:rPr>
          <w:rFonts w:cs="Arial"/>
          <w:sz w:val="20"/>
          <w:szCs w:val="20"/>
          <w:rtl/>
        </w:rPr>
        <w:t xml:space="preserve">, </w:t>
      </w:r>
      <w:r w:rsidRPr="009A6CF4">
        <w:rPr>
          <w:rFonts w:cs="Arial" w:hint="cs"/>
          <w:sz w:val="20"/>
          <w:szCs w:val="20"/>
          <w:rtl/>
        </w:rPr>
        <w:t>היא</w:t>
      </w:r>
      <w:r w:rsidRPr="009A6CF4">
        <w:rPr>
          <w:rFonts w:cs="Arial"/>
          <w:sz w:val="20"/>
          <w:szCs w:val="20"/>
          <w:rtl/>
        </w:rPr>
        <w:t xml:space="preserve"> </w:t>
      </w:r>
      <w:r w:rsidRPr="009A6CF4">
        <w:rPr>
          <w:rFonts w:cs="Arial" w:hint="cs"/>
          <w:sz w:val="20"/>
          <w:szCs w:val="20"/>
          <w:rtl/>
        </w:rPr>
        <w:t>בעד</w:t>
      </w:r>
      <w:r w:rsidRPr="009A6CF4">
        <w:rPr>
          <w:rFonts w:cs="Arial"/>
          <w:sz w:val="20"/>
          <w:szCs w:val="20"/>
          <w:rtl/>
        </w:rPr>
        <w:t xml:space="preserve"> </w:t>
      </w:r>
      <w:r w:rsidRPr="009A6CF4">
        <w:rPr>
          <w:rFonts w:cs="Arial" w:hint="cs"/>
          <w:sz w:val="20"/>
          <w:szCs w:val="20"/>
          <w:rtl/>
        </w:rPr>
        <w:t>אחד</w:t>
      </w:r>
      <w:r w:rsidRPr="009A6CF4">
        <w:rPr>
          <w:rFonts w:cs="Arial"/>
          <w:sz w:val="20"/>
          <w:szCs w:val="20"/>
          <w:rtl/>
        </w:rPr>
        <w:t xml:space="preserve"> </w:t>
      </w:r>
      <w:r w:rsidRPr="009A6CF4">
        <w:rPr>
          <w:rFonts w:cs="Arial" w:hint="cs"/>
          <w:sz w:val="20"/>
          <w:szCs w:val="20"/>
          <w:rtl/>
        </w:rPr>
        <w:t>והוא</w:t>
      </w:r>
      <w:r w:rsidRPr="009A6CF4">
        <w:rPr>
          <w:rFonts w:cs="Arial"/>
          <w:sz w:val="20"/>
          <w:szCs w:val="20"/>
          <w:rtl/>
        </w:rPr>
        <w:t xml:space="preserve"> </w:t>
      </w:r>
      <w:r w:rsidRPr="009A6CF4">
        <w:rPr>
          <w:rFonts w:cs="Arial" w:hint="cs"/>
          <w:sz w:val="20"/>
          <w:szCs w:val="20"/>
          <w:rtl/>
        </w:rPr>
        <w:t>בעד</w:t>
      </w:r>
      <w:r w:rsidRPr="009A6CF4">
        <w:rPr>
          <w:rFonts w:cs="Arial"/>
          <w:sz w:val="20"/>
          <w:szCs w:val="20"/>
          <w:rtl/>
        </w:rPr>
        <w:t xml:space="preserve"> </w:t>
      </w:r>
      <w:r w:rsidRPr="009A6CF4">
        <w:rPr>
          <w:rFonts w:cs="Arial" w:hint="cs"/>
          <w:sz w:val="20"/>
          <w:szCs w:val="20"/>
          <w:rtl/>
        </w:rPr>
        <w:t>אחד</w:t>
      </w:r>
      <w:r w:rsidRPr="009A6CF4">
        <w:rPr>
          <w:rFonts w:cs="Arial"/>
          <w:sz w:val="20"/>
          <w:szCs w:val="20"/>
          <w:rtl/>
        </w:rPr>
        <w:t xml:space="preserve">, </w:t>
      </w:r>
      <w:r w:rsidRPr="009A6CF4">
        <w:rPr>
          <w:rFonts w:cs="Arial" w:hint="cs"/>
          <w:sz w:val="20"/>
          <w:szCs w:val="20"/>
          <w:rtl/>
        </w:rPr>
        <w:t>ולראות</w:t>
      </w:r>
      <w:r w:rsidRPr="009A6CF4">
        <w:rPr>
          <w:rFonts w:cs="Arial"/>
          <w:sz w:val="20"/>
          <w:szCs w:val="20"/>
          <w:rtl/>
        </w:rPr>
        <w:t xml:space="preserve"> </w:t>
      </w:r>
      <w:r w:rsidRPr="009A6CF4">
        <w:rPr>
          <w:rFonts w:cs="Arial" w:hint="cs"/>
          <w:sz w:val="20"/>
          <w:szCs w:val="20"/>
          <w:rtl/>
        </w:rPr>
        <w:t>בהם</w:t>
      </w:r>
      <w:r w:rsidRPr="009A6CF4">
        <w:rPr>
          <w:rFonts w:cs="Arial"/>
          <w:sz w:val="20"/>
          <w:szCs w:val="20"/>
          <w:rtl/>
        </w:rPr>
        <w:t xml:space="preserve"> </w:t>
      </w:r>
      <w:r w:rsidRPr="009A6CF4">
        <w:rPr>
          <w:rFonts w:cs="Arial" w:hint="cs"/>
          <w:sz w:val="20"/>
          <w:szCs w:val="20"/>
          <w:rtl/>
        </w:rPr>
        <w:t>שמא</w:t>
      </w:r>
      <w:r w:rsidRPr="009A6CF4">
        <w:rPr>
          <w:rFonts w:cs="Arial"/>
          <w:sz w:val="20"/>
          <w:szCs w:val="20"/>
          <w:rtl/>
        </w:rPr>
        <w:t xml:space="preserve"> </w:t>
      </w:r>
      <w:r w:rsidRPr="009A6CF4">
        <w:rPr>
          <w:rFonts w:cs="Arial" w:hint="cs"/>
          <w:sz w:val="20"/>
          <w:szCs w:val="20"/>
          <w:rtl/>
        </w:rPr>
        <w:t>ראתה</w:t>
      </w:r>
      <w:r w:rsidRPr="009A6CF4">
        <w:rPr>
          <w:rFonts w:cs="Arial"/>
          <w:sz w:val="20"/>
          <w:szCs w:val="20"/>
          <w:rtl/>
        </w:rPr>
        <w:t xml:space="preserve"> </w:t>
      </w:r>
      <w:r w:rsidRPr="009A6CF4">
        <w:rPr>
          <w:rFonts w:cs="Arial" w:hint="cs"/>
          <w:sz w:val="20"/>
          <w:szCs w:val="20"/>
          <w:rtl/>
        </w:rPr>
        <w:t>דם</w:t>
      </w:r>
      <w:r w:rsidRPr="009A6CF4">
        <w:rPr>
          <w:rFonts w:cs="Arial"/>
          <w:sz w:val="20"/>
          <w:szCs w:val="20"/>
          <w:rtl/>
        </w:rPr>
        <w:t xml:space="preserve"> </w:t>
      </w:r>
      <w:r w:rsidRPr="009A6CF4">
        <w:rPr>
          <w:rFonts w:cs="Arial" w:hint="cs"/>
          <w:sz w:val="20"/>
          <w:szCs w:val="20"/>
          <w:rtl/>
        </w:rPr>
        <w:t>בשעת</w:t>
      </w:r>
      <w:r w:rsidRPr="009A6CF4">
        <w:rPr>
          <w:rFonts w:cs="Arial"/>
          <w:sz w:val="20"/>
          <w:szCs w:val="20"/>
          <w:rtl/>
        </w:rPr>
        <w:t xml:space="preserve"> </w:t>
      </w:r>
      <w:r w:rsidRPr="009A6CF4">
        <w:rPr>
          <w:rFonts w:cs="Arial" w:hint="cs"/>
          <w:sz w:val="20"/>
          <w:szCs w:val="20"/>
          <w:rtl/>
        </w:rPr>
        <w:t>תשמיש</w:t>
      </w:r>
      <w:r w:rsidRPr="009A6CF4">
        <w:rPr>
          <w:rFonts w:cs="Arial"/>
          <w:sz w:val="20"/>
          <w:szCs w:val="20"/>
          <w:rtl/>
        </w:rPr>
        <w:t xml:space="preserve">. </w:t>
      </w:r>
      <w:r w:rsidRPr="009A6CF4">
        <w:rPr>
          <w:rFonts w:cs="Arial" w:hint="cs"/>
          <w:sz w:val="20"/>
          <w:szCs w:val="20"/>
          <w:rtl/>
        </w:rPr>
        <w:t>ולדעתו</w:t>
      </w:r>
      <w:r w:rsidRPr="009A6CF4">
        <w:rPr>
          <w:rFonts w:cs="Arial"/>
          <w:sz w:val="20"/>
          <w:szCs w:val="20"/>
          <w:rtl/>
        </w:rPr>
        <w:t xml:space="preserve">, </w:t>
      </w:r>
      <w:r w:rsidRPr="009A6CF4">
        <w:rPr>
          <w:rFonts w:cs="Arial" w:hint="cs"/>
          <w:sz w:val="20"/>
          <w:szCs w:val="20"/>
          <w:rtl/>
        </w:rPr>
        <w:t>הצנועות</w:t>
      </w:r>
      <w:r w:rsidRPr="009A6CF4">
        <w:rPr>
          <w:rFonts w:cs="Arial"/>
          <w:sz w:val="20"/>
          <w:szCs w:val="20"/>
          <w:rtl/>
        </w:rPr>
        <w:t xml:space="preserve"> </w:t>
      </w:r>
      <w:r w:rsidRPr="009A6CF4">
        <w:rPr>
          <w:rFonts w:cs="Arial" w:hint="cs"/>
          <w:sz w:val="20"/>
          <w:szCs w:val="20"/>
          <w:rtl/>
        </w:rPr>
        <w:t>בודקות</w:t>
      </w:r>
      <w:r w:rsidRPr="009A6CF4">
        <w:rPr>
          <w:rFonts w:cs="Arial"/>
          <w:sz w:val="20"/>
          <w:szCs w:val="20"/>
          <w:rtl/>
        </w:rPr>
        <w:t xml:space="preserve"> </w:t>
      </w:r>
      <w:r w:rsidRPr="009A6CF4">
        <w:rPr>
          <w:rFonts w:cs="Arial" w:hint="cs"/>
          <w:sz w:val="20"/>
          <w:szCs w:val="20"/>
          <w:rtl/>
        </w:rPr>
        <w:t>עצמן</w:t>
      </w:r>
      <w:r w:rsidRPr="009A6CF4">
        <w:rPr>
          <w:rFonts w:cs="Arial"/>
          <w:sz w:val="20"/>
          <w:szCs w:val="20"/>
          <w:rtl/>
        </w:rPr>
        <w:t xml:space="preserve"> </w:t>
      </w:r>
      <w:r w:rsidRPr="009A6CF4">
        <w:rPr>
          <w:rFonts w:cs="Arial" w:hint="cs"/>
          <w:sz w:val="20"/>
          <w:szCs w:val="20"/>
          <w:rtl/>
        </w:rPr>
        <w:t>אף</w:t>
      </w:r>
      <w:r w:rsidRPr="009A6CF4">
        <w:rPr>
          <w:rFonts w:cs="Arial"/>
          <w:sz w:val="20"/>
          <w:szCs w:val="20"/>
          <w:rtl/>
        </w:rPr>
        <w:t xml:space="preserve"> </w:t>
      </w:r>
      <w:r w:rsidRPr="009A6CF4">
        <w:rPr>
          <w:rFonts w:cs="Arial" w:hint="cs"/>
          <w:sz w:val="20"/>
          <w:szCs w:val="20"/>
          <w:rtl/>
        </w:rPr>
        <w:t>קודם</w:t>
      </w:r>
      <w:r w:rsidRPr="009A6CF4">
        <w:rPr>
          <w:rFonts w:cs="Arial"/>
          <w:sz w:val="20"/>
          <w:szCs w:val="20"/>
          <w:rtl/>
        </w:rPr>
        <w:t xml:space="preserve"> </w:t>
      </w:r>
      <w:r w:rsidRPr="009A6CF4">
        <w:rPr>
          <w:rFonts w:cs="Arial" w:hint="cs"/>
          <w:sz w:val="20"/>
          <w:szCs w:val="20"/>
          <w:rtl/>
        </w:rPr>
        <w:t>תשמיש</w:t>
      </w:r>
      <w:r w:rsidRPr="009A6CF4">
        <w:rPr>
          <w:rFonts w:cs="Arial"/>
          <w:sz w:val="20"/>
          <w:szCs w:val="20"/>
          <w:rtl/>
        </w:rPr>
        <w:t xml:space="preserve">. </w:t>
      </w:r>
      <w:r w:rsidRPr="009A6CF4">
        <w:rPr>
          <w:rFonts w:cs="Arial"/>
          <w:sz w:val="18"/>
          <w:szCs w:val="18"/>
          <w:rtl/>
        </w:rPr>
        <w:t>(</w:t>
      </w:r>
      <w:r w:rsidRPr="009A6CF4">
        <w:rPr>
          <w:rFonts w:cs="Arial" w:hint="cs"/>
          <w:sz w:val="18"/>
          <w:szCs w:val="18"/>
          <w:rtl/>
        </w:rPr>
        <w:t>וסברא</w:t>
      </w:r>
      <w:r w:rsidRPr="009A6CF4">
        <w:rPr>
          <w:rFonts w:cs="Arial"/>
          <w:sz w:val="18"/>
          <w:szCs w:val="18"/>
          <w:rtl/>
        </w:rPr>
        <w:t xml:space="preserve"> </w:t>
      </w:r>
      <w:r w:rsidRPr="009A6CF4">
        <w:rPr>
          <w:rFonts w:cs="Arial" w:hint="cs"/>
          <w:sz w:val="18"/>
          <w:szCs w:val="18"/>
          <w:rtl/>
        </w:rPr>
        <w:t>הראשונה</w:t>
      </w:r>
      <w:r w:rsidRPr="009A6CF4">
        <w:rPr>
          <w:rFonts w:cs="Arial"/>
          <w:sz w:val="18"/>
          <w:szCs w:val="18"/>
          <w:rtl/>
        </w:rPr>
        <w:t xml:space="preserve"> </w:t>
      </w:r>
      <w:r w:rsidRPr="009A6CF4">
        <w:rPr>
          <w:rFonts w:cs="Arial" w:hint="cs"/>
          <w:sz w:val="18"/>
          <w:szCs w:val="18"/>
          <w:rtl/>
        </w:rPr>
        <w:t>היא</w:t>
      </w:r>
      <w:r w:rsidRPr="009A6CF4">
        <w:rPr>
          <w:rFonts w:cs="Arial"/>
          <w:sz w:val="18"/>
          <w:szCs w:val="18"/>
          <w:rtl/>
        </w:rPr>
        <w:t xml:space="preserve"> </w:t>
      </w:r>
      <w:r w:rsidRPr="009A6CF4">
        <w:rPr>
          <w:rFonts w:cs="Arial" w:hint="cs"/>
          <w:sz w:val="18"/>
          <w:szCs w:val="18"/>
          <w:rtl/>
        </w:rPr>
        <w:t>עיקר</w:t>
      </w:r>
      <w:r w:rsidRPr="009A6CF4">
        <w:rPr>
          <w:rFonts w:cs="Arial"/>
          <w:sz w:val="18"/>
          <w:szCs w:val="18"/>
          <w:rtl/>
        </w:rPr>
        <w:t xml:space="preserve">, </w:t>
      </w:r>
      <w:r w:rsidRPr="009A6CF4">
        <w:rPr>
          <w:rFonts w:cs="Arial" w:hint="cs"/>
          <w:sz w:val="18"/>
          <w:szCs w:val="18"/>
          <w:rtl/>
        </w:rPr>
        <w:t>וכן</w:t>
      </w:r>
      <w:r w:rsidRPr="009A6CF4">
        <w:rPr>
          <w:rFonts w:cs="Arial"/>
          <w:sz w:val="18"/>
          <w:szCs w:val="18"/>
          <w:rtl/>
        </w:rPr>
        <w:t xml:space="preserve"> </w:t>
      </w:r>
      <w:r w:rsidRPr="009A6CF4">
        <w:rPr>
          <w:rFonts w:cs="Arial" w:hint="cs"/>
          <w:sz w:val="18"/>
          <w:szCs w:val="18"/>
          <w:rtl/>
        </w:rPr>
        <w:t>נהגו</w:t>
      </w:r>
      <w:r w:rsidRPr="009A6CF4">
        <w:rPr>
          <w:rFonts w:cs="Arial"/>
          <w:sz w:val="18"/>
          <w:szCs w:val="18"/>
          <w:rtl/>
        </w:rPr>
        <w:t>)</w:t>
      </w:r>
      <w:r>
        <w:rPr>
          <w:rFonts w:cs="Arial" w:hint="cs"/>
          <w:sz w:val="18"/>
          <w:szCs w:val="18"/>
          <w:rtl/>
        </w:rPr>
        <w:t>"</w:t>
      </w:r>
      <w:r w:rsidRPr="009A6CF4">
        <w:rPr>
          <w:rFonts w:cs="Arial"/>
          <w:sz w:val="20"/>
          <w:szCs w:val="20"/>
          <w:rtl/>
        </w:rPr>
        <w:t>.</w:t>
      </w:r>
    </w:p>
    <w:p w:rsidR="00620060" w:rsidRDefault="00620060" w:rsidP="00620060">
      <w:pPr>
        <w:rPr>
          <w:sz w:val="20"/>
          <w:szCs w:val="20"/>
          <w:rtl/>
        </w:rPr>
      </w:pPr>
      <w:r w:rsidRPr="003809E3">
        <w:rPr>
          <w:rFonts w:hint="cs"/>
          <w:sz w:val="20"/>
          <w:szCs w:val="20"/>
          <w:u w:val="single"/>
          <w:rtl/>
        </w:rPr>
        <w:t>האם כוונת הרמב"ם להחמיר גם בזמנינו?</w:t>
      </w:r>
      <w:r>
        <w:rPr>
          <w:rFonts w:hint="cs"/>
          <w:sz w:val="20"/>
          <w:szCs w:val="20"/>
          <w:rtl/>
        </w:rPr>
        <w:br/>
      </w:r>
      <w:r w:rsidRPr="003809E3">
        <w:rPr>
          <w:rFonts w:hint="cs"/>
          <w:b/>
          <w:bCs/>
          <w:sz w:val="20"/>
          <w:szCs w:val="20"/>
          <w:rtl/>
        </w:rPr>
        <w:t>ערוך השולחן</w:t>
      </w:r>
      <w:r>
        <w:rPr>
          <w:rFonts w:hint="cs"/>
          <w:sz w:val="20"/>
          <w:szCs w:val="20"/>
          <w:rtl/>
        </w:rPr>
        <w:t xml:space="preserve"> </w:t>
      </w:r>
      <w:r>
        <w:rPr>
          <w:sz w:val="20"/>
          <w:szCs w:val="20"/>
          <w:rtl/>
        </w:rPr>
        <w:t>–</w:t>
      </w:r>
      <w:r>
        <w:rPr>
          <w:rFonts w:hint="cs"/>
          <w:sz w:val="20"/>
          <w:szCs w:val="20"/>
          <w:rtl/>
        </w:rPr>
        <w:t xml:space="preserve"> </w:t>
      </w:r>
      <w:r>
        <w:rPr>
          <w:rFonts w:cs="Arial" w:hint="cs"/>
          <w:sz w:val="20"/>
          <w:szCs w:val="20"/>
          <w:rtl/>
        </w:rPr>
        <w:t>"</w:t>
      </w:r>
      <w:r w:rsidRPr="0058378C">
        <w:rPr>
          <w:rFonts w:cs="Arial" w:hint="cs"/>
          <w:sz w:val="20"/>
          <w:szCs w:val="20"/>
          <w:rtl/>
        </w:rPr>
        <w:t>ולענ</w:t>
      </w:r>
      <w:r w:rsidRPr="0058378C">
        <w:rPr>
          <w:rFonts w:cs="Arial"/>
          <w:sz w:val="20"/>
          <w:szCs w:val="20"/>
          <w:rtl/>
        </w:rPr>
        <w:t>"</w:t>
      </w:r>
      <w:r w:rsidRPr="0058378C">
        <w:rPr>
          <w:rFonts w:cs="Arial" w:hint="cs"/>
          <w:sz w:val="20"/>
          <w:szCs w:val="20"/>
          <w:rtl/>
        </w:rPr>
        <w:t>ד</w:t>
      </w:r>
      <w:r w:rsidRPr="0058378C">
        <w:rPr>
          <w:rFonts w:cs="Arial"/>
          <w:sz w:val="20"/>
          <w:szCs w:val="20"/>
          <w:rtl/>
        </w:rPr>
        <w:t xml:space="preserve"> </w:t>
      </w:r>
      <w:r w:rsidRPr="0058378C">
        <w:rPr>
          <w:rFonts w:cs="Arial" w:hint="cs"/>
          <w:sz w:val="20"/>
          <w:szCs w:val="20"/>
          <w:rtl/>
        </w:rPr>
        <w:t>נראה</w:t>
      </w:r>
      <w:r w:rsidRPr="0058378C">
        <w:rPr>
          <w:rFonts w:cs="Arial"/>
          <w:sz w:val="20"/>
          <w:szCs w:val="20"/>
          <w:rtl/>
        </w:rPr>
        <w:t xml:space="preserve"> </w:t>
      </w:r>
      <w:r w:rsidRPr="0058378C">
        <w:rPr>
          <w:rFonts w:cs="Arial" w:hint="cs"/>
          <w:sz w:val="20"/>
          <w:szCs w:val="20"/>
          <w:rtl/>
        </w:rPr>
        <w:t>דאפילו</w:t>
      </w:r>
      <w:r w:rsidRPr="0058378C">
        <w:rPr>
          <w:rFonts w:cs="Arial"/>
          <w:sz w:val="20"/>
          <w:szCs w:val="20"/>
          <w:rtl/>
        </w:rPr>
        <w:t xml:space="preserve"> </w:t>
      </w:r>
      <w:r w:rsidRPr="0058378C">
        <w:rPr>
          <w:rFonts w:cs="Arial" w:hint="cs"/>
          <w:sz w:val="20"/>
          <w:szCs w:val="20"/>
          <w:rtl/>
        </w:rPr>
        <w:t>לדעת</w:t>
      </w:r>
      <w:r w:rsidRPr="0058378C">
        <w:rPr>
          <w:rFonts w:cs="Arial"/>
          <w:sz w:val="20"/>
          <w:szCs w:val="20"/>
          <w:rtl/>
        </w:rPr>
        <w:t xml:space="preserve"> </w:t>
      </w:r>
      <w:r w:rsidRPr="0058378C">
        <w:rPr>
          <w:rFonts w:cs="Arial" w:hint="cs"/>
          <w:sz w:val="20"/>
          <w:szCs w:val="20"/>
          <w:rtl/>
        </w:rPr>
        <w:t>הרמב</w:t>
      </w:r>
      <w:r w:rsidRPr="0058378C">
        <w:rPr>
          <w:rFonts w:cs="Arial"/>
          <w:sz w:val="20"/>
          <w:szCs w:val="20"/>
          <w:rtl/>
        </w:rPr>
        <w:t>"</w:t>
      </w:r>
      <w:r w:rsidRPr="0058378C">
        <w:rPr>
          <w:rFonts w:cs="Arial" w:hint="cs"/>
          <w:sz w:val="20"/>
          <w:szCs w:val="20"/>
          <w:rtl/>
        </w:rPr>
        <w:t>ם</w:t>
      </w:r>
      <w:r w:rsidRPr="0058378C">
        <w:rPr>
          <w:rFonts w:cs="Arial"/>
          <w:sz w:val="20"/>
          <w:szCs w:val="20"/>
          <w:rtl/>
        </w:rPr>
        <w:t xml:space="preserve"> </w:t>
      </w:r>
      <w:r w:rsidRPr="0058378C">
        <w:rPr>
          <w:rFonts w:cs="Arial" w:hint="cs"/>
          <w:sz w:val="20"/>
          <w:szCs w:val="20"/>
          <w:rtl/>
        </w:rPr>
        <w:t>א</w:t>
      </w:r>
      <w:r>
        <w:rPr>
          <w:rFonts w:cs="Arial" w:hint="cs"/>
          <w:sz w:val="20"/>
          <w:szCs w:val="20"/>
          <w:rtl/>
        </w:rPr>
        <w:t xml:space="preserve">ין </w:t>
      </w:r>
      <w:r w:rsidRPr="0058378C">
        <w:rPr>
          <w:rFonts w:cs="Arial" w:hint="cs"/>
          <w:sz w:val="20"/>
          <w:szCs w:val="20"/>
          <w:rtl/>
        </w:rPr>
        <w:t>צ</w:t>
      </w:r>
      <w:r>
        <w:rPr>
          <w:rFonts w:cs="Arial" w:hint="cs"/>
          <w:sz w:val="20"/>
          <w:szCs w:val="20"/>
          <w:rtl/>
        </w:rPr>
        <w:t>ריך</w:t>
      </w:r>
      <w:r w:rsidRPr="0058378C">
        <w:rPr>
          <w:rFonts w:cs="Arial"/>
          <w:sz w:val="20"/>
          <w:szCs w:val="20"/>
          <w:rtl/>
        </w:rPr>
        <w:t xml:space="preserve"> </w:t>
      </w:r>
      <w:r w:rsidRPr="0058378C">
        <w:rPr>
          <w:rFonts w:cs="Arial" w:hint="cs"/>
          <w:sz w:val="20"/>
          <w:szCs w:val="20"/>
          <w:rtl/>
        </w:rPr>
        <w:t>בדיקות</w:t>
      </w:r>
      <w:r w:rsidRPr="0058378C">
        <w:rPr>
          <w:rFonts w:cs="Arial"/>
          <w:sz w:val="20"/>
          <w:szCs w:val="20"/>
          <w:rtl/>
        </w:rPr>
        <w:t xml:space="preserve"> </w:t>
      </w:r>
      <w:r w:rsidRPr="0058378C">
        <w:rPr>
          <w:rFonts w:cs="Arial" w:hint="cs"/>
          <w:sz w:val="20"/>
          <w:szCs w:val="20"/>
          <w:rtl/>
        </w:rPr>
        <w:t>בזמנינו</w:t>
      </w:r>
      <w:r>
        <w:rPr>
          <w:rFonts w:cs="Arial" w:hint="cs"/>
          <w:sz w:val="20"/>
          <w:szCs w:val="20"/>
          <w:rtl/>
        </w:rPr>
        <w:t xml:space="preserve">... </w:t>
      </w:r>
      <w:r w:rsidRPr="0058378C">
        <w:rPr>
          <w:rFonts w:cs="Arial" w:hint="cs"/>
          <w:sz w:val="20"/>
          <w:szCs w:val="20"/>
          <w:rtl/>
        </w:rPr>
        <w:t>די</w:t>
      </w:r>
      <w:r>
        <w:rPr>
          <w:rFonts w:cs="Arial" w:hint="cs"/>
          <w:sz w:val="20"/>
          <w:szCs w:val="20"/>
          <w:rtl/>
        </w:rPr>
        <w:t xml:space="preserve">ש </w:t>
      </w:r>
      <w:r w:rsidRPr="0058378C">
        <w:rPr>
          <w:rFonts w:cs="Arial" w:hint="cs"/>
          <w:sz w:val="20"/>
          <w:szCs w:val="20"/>
          <w:rtl/>
        </w:rPr>
        <w:t>ל</w:t>
      </w:r>
      <w:r>
        <w:rPr>
          <w:rFonts w:cs="Arial" w:hint="cs"/>
          <w:sz w:val="20"/>
          <w:szCs w:val="20"/>
          <w:rtl/>
        </w:rPr>
        <w:t>ומר</w:t>
      </w:r>
      <w:r w:rsidRPr="0058378C">
        <w:rPr>
          <w:rFonts w:cs="Arial"/>
          <w:sz w:val="20"/>
          <w:szCs w:val="20"/>
          <w:rtl/>
        </w:rPr>
        <w:t xml:space="preserve"> </w:t>
      </w:r>
      <w:r w:rsidRPr="0058378C">
        <w:rPr>
          <w:rFonts w:cs="Arial" w:hint="cs"/>
          <w:sz w:val="20"/>
          <w:szCs w:val="20"/>
          <w:rtl/>
        </w:rPr>
        <w:t>דדווקא</w:t>
      </w:r>
      <w:r w:rsidRPr="0058378C">
        <w:rPr>
          <w:rFonts w:cs="Arial"/>
          <w:sz w:val="20"/>
          <w:szCs w:val="20"/>
          <w:rtl/>
        </w:rPr>
        <w:t xml:space="preserve"> </w:t>
      </w:r>
      <w:r w:rsidRPr="0058378C">
        <w:rPr>
          <w:rFonts w:cs="Arial" w:hint="cs"/>
          <w:sz w:val="20"/>
          <w:szCs w:val="20"/>
          <w:rtl/>
        </w:rPr>
        <w:t>בזמן</w:t>
      </w:r>
      <w:r w:rsidRPr="0058378C">
        <w:rPr>
          <w:rFonts w:cs="Arial"/>
          <w:sz w:val="20"/>
          <w:szCs w:val="20"/>
          <w:rtl/>
        </w:rPr>
        <w:t xml:space="preserve"> </w:t>
      </w:r>
      <w:r w:rsidRPr="0058378C">
        <w:rPr>
          <w:rFonts w:cs="Arial" w:hint="cs"/>
          <w:sz w:val="20"/>
          <w:szCs w:val="20"/>
          <w:rtl/>
        </w:rPr>
        <w:t>המשנה</w:t>
      </w:r>
      <w:r w:rsidRPr="0058378C">
        <w:rPr>
          <w:rFonts w:cs="Arial"/>
          <w:sz w:val="20"/>
          <w:szCs w:val="20"/>
          <w:rtl/>
        </w:rPr>
        <w:t xml:space="preserve"> </w:t>
      </w:r>
      <w:r w:rsidRPr="0058378C">
        <w:rPr>
          <w:rFonts w:cs="Arial" w:hint="cs"/>
          <w:sz w:val="20"/>
          <w:szCs w:val="20"/>
          <w:rtl/>
        </w:rPr>
        <w:t>שהיו</w:t>
      </w:r>
      <w:r w:rsidRPr="0058378C">
        <w:rPr>
          <w:rFonts w:cs="Arial"/>
          <w:sz w:val="20"/>
          <w:szCs w:val="20"/>
          <w:rtl/>
        </w:rPr>
        <w:t xml:space="preserve"> </w:t>
      </w:r>
      <w:r w:rsidRPr="0058378C">
        <w:rPr>
          <w:rFonts w:cs="Arial" w:hint="cs"/>
          <w:sz w:val="20"/>
          <w:szCs w:val="20"/>
          <w:rtl/>
        </w:rPr>
        <w:t>הנשים</w:t>
      </w:r>
      <w:r w:rsidRPr="0058378C">
        <w:rPr>
          <w:rFonts w:cs="Arial"/>
          <w:sz w:val="20"/>
          <w:szCs w:val="20"/>
          <w:rtl/>
        </w:rPr>
        <w:t xml:space="preserve"> </w:t>
      </w:r>
      <w:r w:rsidRPr="0058378C">
        <w:rPr>
          <w:rFonts w:cs="Arial" w:hint="cs"/>
          <w:sz w:val="20"/>
          <w:szCs w:val="20"/>
          <w:rtl/>
        </w:rPr>
        <w:t>נוהגות</w:t>
      </w:r>
      <w:r w:rsidRPr="0058378C">
        <w:rPr>
          <w:rFonts w:cs="Arial"/>
          <w:sz w:val="20"/>
          <w:szCs w:val="20"/>
          <w:rtl/>
        </w:rPr>
        <w:t xml:space="preserve"> </w:t>
      </w:r>
      <w:r w:rsidRPr="0058378C">
        <w:rPr>
          <w:rFonts w:cs="Arial" w:hint="cs"/>
          <w:sz w:val="20"/>
          <w:szCs w:val="20"/>
          <w:rtl/>
        </w:rPr>
        <w:t>כדין</w:t>
      </w:r>
      <w:r w:rsidRPr="0058378C">
        <w:rPr>
          <w:rFonts w:cs="Arial"/>
          <w:sz w:val="20"/>
          <w:szCs w:val="20"/>
          <w:rtl/>
        </w:rPr>
        <w:t xml:space="preserve"> </w:t>
      </w:r>
      <w:r w:rsidRPr="0058378C">
        <w:rPr>
          <w:rFonts w:cs="Arial" w:hint="cs"/>
          <w:sz w:val="20"/>
          <w:szCs w:val="20"/>
          <w:rtl/>
        </w:rPr>
        <w:t>תורה</w:t>
      </w:r>
      <w:r w:rsidRPr="0058378C">
        <w:rPr>
          <w:rFonts w:cs="Arial"/>
          <w:sz w:val="20"/>
          <w:szCs w:val="20"/>
          <w:rtl/>
        </w:rPr>
        <w:t xml:space="preserve"> </w:t>
      </w:r>
      <w:r w:rsidRPr="0058378C">
        <w:rPr>
          <w:rFonts w:cs="Arial" w:hint="cs"/>
          <w:sz w:val="20"/>
          <w:szCs w:val="20"/>
          <w:rtl/>
        </w:rPr>
        <w:t>דמיד</w:t>
      </w:r>
      <w:r w:rsidRPr="0058378C">
        <w:rPr>
          <w:rFonts w:cs="Arial"/>
          <w:sz w:val="20"/>
          <w:szCs w:val="20"/>
          <w:rtl/>
        </w:rPr>
        <w:t xml:space="preserve"> </w:t>
      </w:r>
      <w:r w:rsidRPr="0058378C">
        <w:rPr>
          <w:rFonts w:cs="Arial" w:hint="cs"/>
          <w:sz w:val="20"/>
          <w:szCs w:val="20"/>
          <w:rtl/>
        </w:rPr>
        <w:t>אחר</w:t>
      </w:r>
      <w:r w:rsidRPr="0058378C">
        <w:rPr>
          <w:rFonts w:cs="Arial"/>
          <w:sz w:val="20"/>
          <w:szCs w:val="20"/>
          <w:rtl/>
        </w:rPr>
        <w:t xml:space="preserve"> </w:t>
      </w:r>
      <w:r w:rsidRPr="0058378C">
        <w:rPr>
          <w:rFonts w:cs="Arial" w:hint="cs"/>
          <w:sz w:val="20"/>
          <w:szCs w:val="20"/>
          <w:rtl/>
        </w:rPr>
        <w:t>ז</w:t>
      </w:r>
      <w:r w:rsidRPr="0058378C">
        <w:rPr>
          <w:rFonts w:cs="Arial"/>
          <w:sz w:val="20"/>
          <w:szCs w:val="20"/>
          <w:rtl/>
        </w:rPr>
        <w:t xml:space="preserve">' </w:t>
      </w:r>
      <w:r w:rsidRPr="0058378C">
        <w:rPr>
          <w:rFonts w:cs="Arial" w:hint="cs"/>
          <w:sz w:val="20"/>
          <w:szCs w:val="20"/>
          <w:rtl/>
        </w:rPr>
        <w:t>ימי</w:t>
      </w:r>
      <w:r w:rsidRPr="0058378C">
        <w:rPr>
          <w:rFonts w:cs="Arial"/>
          <w:sz w:val="20"/>
          <w:szCs w:val="20"/>
          <w:rtl/>
        </w:rPr>
        <w:t xml:space="preserve"> </w:t>
      </w:r>
      <w:r w:rsidRPr="0058378C">
        <w:rPr>
          <w:rFonts w:cs="Arial" w:hint="cs"/>
          <w:sz w:val="20"/>
          <w:szCs w:val="20"/>
          <w:rtl/>
        </w:rPr>
        <w:t>נדה</w:t>
      </w:r>
      <w:r w:rsidRPr="0058378C">
        <w:rPr>
          <w:rFonts w:cs="Arial"/>
          <w:sz w:val="20"/>
          <w:szCs w:val="20"/>
          <w:rtl/>
        </w:rPr>
        <w:t xml:space="preserve"> </w:t>
      </w:r>
      <w:r w:rsidRPr="0058378C">
        <w:rPr>
          <w:rFonts w:cs="Arial" w:hint="cs"/>
          <w:sz w:val="20"/>
          <w:szCs w:val="20"/>
          <w:rtl/>
        </w:rPr>
        <w:t>טבלו</w:t>
      </w:r>
      <w:r w:rsidRPr="0058378C">
        <w:rPr>
          <w:rFonts w:cs="Arial"/>
          <w:sz w:val="20"/>
          <w:szCs w:val="20"/>
          <w:rtl/>
        </w:rPr>
        <w:t xml:space="preserve"> </w:t>
      </w:r>
      <w:r w:rsidRPr="0058378C">
        <w:rPr>
          <w:rFonts w:cs="Arial" w:hint="cs"/>
          <w:sz w:val="20"/>
          <w:szCs w:val="20"/>
          <w:rtl/>
        </w:rPr>
        <w:t>שפיר</w:t>
      </w:r>
      <w:r w:rsidRPr="0058378C">
        <w:rPr>
          <w:rFonts w:cs="Arial"/>
          <w:sz w:val="20"/>
          <w:szCs w:val="20"/>
          <w:rtl/>
        </w:rPr>
        <w:t xml:space="preserve"> </w:t>
      </w:r>
      <w:r w:rsidRPr="0058378C">
        <w:rPr>
          <w:rFonts w:cs="Arial" w:hint="cs"/>
          <w:sz w:val="20"/>
          <w:szCs w:val="20"/>
          <w:rtl/>
        </w:rPr>
        <w:t>חששו</w:t>
      </w:r>
      <w:r w:rsidRPr="0058378C">
        <w:rPr>
          <w:rFonts w:cs="Arial"/>
          <w:sz w:val="20"/>
          <w:szCs w:val="20"/>
          <w:rtl/>
        </w:rPr>
        <w:t xml:space="preserve"> </w:t>
      </w:r>
      <w:r w:rsidRPr="0058378C">
        <w:rPr>
          <w:rFonts w:cs="Arial" w:hint="cs"/>
          <w:sz w:val="20"/>
          <w:szCs w:val="20"/>
          <w:rtl/>
        </w:rPr>
        <w:t>לבדוק</w:t>
      </w:r>
      <w:r w:rsidRPr="0058378C">
        <w:rPr>
          <w:rFonts w:cs="Arial"/>
          <w:sz w:val="20"/>
          <w:szCs w:val="20"/>
          <w:rtl/>
        </w:rPr>
        <w:t xml:space="preserve"> </w:t>
      </w:r>
      <w:r w:rsidRPr="0058378C">
        <w:rPr>
          <w:rFonts w:cs="Arial" w:hint="cs"/>
          <w:sz w:val="20"/>
          <w:szCs w:val="20"/>
          <w:rtl/>
        </w:rPr>
        <w:t>מפני</w:t>
      </w:r>
      <w:r w:rsidRPr="0058378C">
        <w:rPr>
          <w:rFonts w:cs="Arial"/>
          <w:sz w:val="20"/>
          <w:szCs w:val="20"/>
          <w:rtl/>
        </w:rPr>
        <w:t xml:space="preserve"> </w:t>
      </w:r>
      <w:r w:rsidRPr="0058378C">
        <w:rPr>
          <w:rFonts w:cs="Arial" w:hint="cs"/>
          <w:sz w:val="20"/>
          <w:szCs w:val="20"/>
          <w:rtl/>
        </w:rPr>
        <w:t>שלא</w:t>
      </w:r>
      <w:r w:rsidRPr="0058378C">
        <w:rPr>
          <w:rFonts w:cs="Arial"/>
          <w:sz w:val="20"/>
          <w:szCs w:val="20"/>
          <w:rtl/>
        </w:rPr>
        <w:t xml:space="preserve"> </w:t>
      </w:r>
      <w:r w:rsidRPr="0058378C">
        <w:rPr>
          <w:rFonts w:cs="Arial" w:hint="cs"/>
          <w:sz w:val="20"/>
          <w:szCs w:val="20"/>
          <w:rtl/>
        </w:rPr>
        <w:t>נסתם</w:t>
      </w:r>
      <w:r w:rsidRPr="0058378C">
        <w:rPr>
          <w:rFonts w:cs="Arial"/>
          <w:sz w:val="20"/>
          <w:szCs w:val="20"/>
          <w:rtl/>
        </w:rPr>
        <w:t xml:space="preserve"> </w:t>
      </w:r>
      <w:r w:rsidRPr="0058378C">
        <w:rPr>
          <w:rFonts w:cs="Arial" w:hint="cs"/>
          <w:sz w:val="20"/>
          <w:szCs w:val="20"/>
          <w:rtl/>
        </w:rPr>
        <w:t>המעיין</w:t>
      </w:r>
      <w:r w:rsidRPr="0058378C">
        <w:rPr>
          <w:rFonts w:cs="Arial"/>
          <w:sz w:val="20"/>
          <w:szCs w:val="20"/>
          <w:rtl/>
        </w:rPr>
        <w:t xml:space="preserve"> </w:t>
      </w:r>
      <w:r w:rsidRPr="0058378C">
        <w:rPr>
          <w:rFonts w:cs="Arial" w:hint="cs"/>
          <w:sz w:val="20"/>
          <w:szCs w:val="20"/>
          <w:rtl/>
        </w:rPr>
        <w:t>עדיין</w:t>
      </w:r>
      <w:r w:rsidRPr="0058378C">
        <w:rPr>
          <w:rFonts w:cs="Arial"/>
          <w:sz w:val="20"/>
          <w:szCs w:val="20"/>
          <w:rtl/>
        </w:rPr>
        <w:t xml:space="preserve"> </w:t>
      </w:r>
      <w:r w:rsidRPr="0058378C">
        <w:rPr>
          <w:rFonts w:cs="Arial" w:hint="cs"/>
          <w:sz w:val="20"/>
          <w:szCs w:val="20"/>
          <w:rtl/>
        </w:rPr>
        <w:t>אבל</w:t>
      </w:r>
      <w:r w:rsidRPr="0058378C">
        <w:rPr>
          <w:rFonts w:cs="Arial"/>
          <w:sz w:val="20"/>
          <w:szCs w:val="20"/>
          <w:rtl/>
        </w:rPr>
        <w:t xml:space="preserve"> </w:t>
      </w:r>
      <w:r w:rsidRPr="0058378C">
        <w:rPr>
          <w:rFonts w:cs="Arial" w:hint="cs"/>
          <w:sz w:val="20"/>
          <w:szCs w:val="20"/>
          <w:rtl/>
        </w:rPr>
        <w:t>אחר</w:t>
      </w:r>
      <w:r w:rsidRPr="0058378C">
        <w:rPr>
          <w:rFonts w:cs="Arial"/>
          <w:sz w:val="20"/>
          <w:szCs w:val="20"/>
          <w:rtl/>
        </w:rPr>
        <w:t xml:space="preserve"> </w:t>
      </w:r>
      <w:r w:rsidRPr="0058378C">
        <w:rPr>
          <w:rFonts w:cs="Arial" w:hint="cs"/>
          <w:sz w:val="20"/>
          <w:szCs w:val="20"/>
          <w:rtl/>
        </w:rPr>
        <w:t>שאח</w:t>
      </w:r>
      <w:r w:rsidRPr="0058378C">
        <w:rPr>
          <w:rFonts w:cs="Arial"/>
          <w:sz w:val="20"/>
          <w:szCs w:val="20"/>
          <w:rtl/>
        </w:rPr>
        <w:t>"</w:t>
      </w:r>
      <w:r w:rsidRPr="0058378C">
        <w:rPr>
          <w:rFonts w:cs="Arial" w:hint="cs"/>
          <w:sz w:val="20"/>
          <w:szCs w:val="20"/>
          <w:rtl/>
        </w:rPr>
        <w:t>כ</w:t>
      </w:r>
      <w:r w:rsidRPr="0058378C">
        <w:rPr>
          <w:rFonts w:cs="Arial"/>
          <w:sz w:val="20"/>
          <w:szCs w:val="20"/>
          <w:rtl/>
        </w:rPr>
        <w:t xml:space="preserve"> </w:t>
      </w:r>
      <w:r w:rsidRPr="0058378C">
        <w:rPr>
          <w:rFonts w:cs="Arial" w:hint="cs"/>
          <w:sz w:val="20"/>
          <w:szCs w:val="20"/>
          <w:rtl/>
        </w:rPr>
        <w:t>הנהיגו</w:t>
      </w:r>
      <w:r w:rsidRPr="0058378C">
        <w:rPr>
          <w:rFonts w:cs="Arial"/>
          <w:sz w:val="20"/>
          <w:szCs w:val="20"/>
          <w:rtl/>
        </w:rPr>
        <w:t xml:space="preserve"> </w:t>
      </w:r>
      <w:r w:rsidRPr="0058378C">
        <w:rPr>
          <w:rFonts w:cs="Arial" w:hint="cs"/>
          <w:sz w:val="20"/>
          <w:szCs w:val="20"/>
          <w:rtl/>
        </w:rPr>
        <w:t>לישב</w:t>
      </w:r>
      <w:r w:rsidRPr="0058378C">
        <w:rPr>
          <w:rFonts w:cs="Arial"/>
          <w:sz w:val="20"/>
          <w:szCs w:val="20"/>
          <w:rtl/>
        </w:rPr>
        <w:t xml:space="preserve"> </w:t>
      </w:r>
      <w:r w:rsidRPr="0058378C">
        <w:rPr>
          <w:rFonts w:cs="Arial" w:hint="cs"/>
          <w:sz w:val="20"/>
          <w:szCs w:val="20"/>
          <w:rtl/>
        </w:rPr>
        <w:t>ז</w:t>
      </w:r>
      <w:r w:rsidRPr="0058378C">
        <w:rPr>
          <w:rFonts w:cs="Arial"/>
          <w:sz w:val="20"/>
          <w:szCs w:val="20"/>
          <w:rtl/>
        </w:rPr>
        <w:t xml:space="preserve">' </w:t>
      </w:r>
      <w:r w:rsidRPr="0058378C">
        <w:rPr>
          <w:rFonts w:cs="Arial" w:hint="cs"/>
          <w:sz w:val="20"/>
          <w:szCs w:val="20"/>
          <w:rtl/>
        </w:rPr>
        <w:t>נקיים</w:t>
      </w:r>
      <w:r w:rsidRPr="0058378C">
        <w:rPr>
          <w:rFonts w:cs="Arial"/>
          <w:sz w:val="20"/>
          <w:szCs w:val="20"/>
          <w:rtl/>
        </w:rPr>
        <w:t xml:space="preserve"> </w:t>
      </w:r>
      <w:r w:rsidRPr="0058378C">
        <w:rPr>
          <w:rFonts w:cs="Arial" w:hint="cs"/>
          <w:sz w:val="20"/>
          <w:szCs w:val="20"/>
          <w:rtl/>
        </w:rPr>
        <w:t>הלא</w:t>
      </w:r>
      <w:r w:rsidRPr="0058378C">
        <w:rPr>
          <w:rFonts w:cs="Arial"/>
          <w:sz w:val="20"/>
          <w:szCs w:val="20"/>
          <w:rtl/>
        </w:rPr>
        <w:t xml:space="preserve"> </w:t>
      </w:r>
      <w:r w:rsidRPr="0058378C">
        <w:rPr>
          <w:rFonts w:cs="Arial" w:hint="cs"/>
          <w:sz w:val="20"/>
          <w:szCs w:val="20"/>
          <w:rtl/>
        </w:rPr>
        <w:t>בדקו</w:t>
      </w:r>
      <w:r w:rsidRPr="0058378C">
        <w:rPr>
          <w:rFonts w:cs="Arial"/>
          <w:sz w:val="20"/>
          <w:szCs w:val="20"/>
          <w:rtl/>
        </w:rPr>
        <w:t xml:space="preserve"> </w:t>
      </w:r>
      <w:r w:rsidRPr="0058378C">
        <w:rPr>
          <w:rFonts w:cs="Arial" w:hint="cs"/>
          <w:sz w:val="20"/>
          <w:szCs w:val="20"/>
          <w:rtl/>
        </w:rPr>
        <w:t>עצמן</w:t>
      </w:r>
      <w:r w:rsidRPr="0058378C">
        <w:rPr>
          <w:rFonts w:cs="Arial"/>
          <w:sz w:val="20"/>
          <w:szCs w:val="20"/>
          <w:rtl/>
        </w:rPr>
        <w:t xml:space="preserve"> </w:t>
      </w:r>
      <w:r w:rsidRPr="0058378C">
        <w:rPr>
          <w:rFonts w:cs="Arial" w:hint="cs"/>
          <w:sz w:val="20"/>
          <w:szCs w:val="20"/>
          <w:rtl/>
        </w:rPr>
        <w:t>ז</w:t>
      </w:r>
      <w:r w:rsidRPr="0058378C">
        <w:rPr>
          <w:rFonts w:cs="Arial"/>
          <w:sz w:val="20"/>
          <w:szCs w:val="20"/>
          <w:rtl/>
        </w:rPr>
        <w:t xml:space="preserve">' </w:t>
      </w:r>
      <w:r w:rsidRPr="0058378C">
        <w:rPr>
          <w:rFonts w:cs="Arial" w:hint="cs"/>
          <w:sz w:val="20"/>
          <w:szCs w:val="20"/>
          <w:rtl/>
        </w:rPr>
        <w:t>ימים</w:t>
      </w:r>
      <w:r w:rsidRPr="0058378C">
        <w:rPr>
          <w:rFonts w:cs="Arial"/>
          <w:sz w:val="20"/>
          <w:szCs w:val="20"/>
          <w:rtl/>
        </w:rPr>
        <w:t xml:space="preserve"> </w:t>
      </w:r>
      <w:r w:rsidRPr="0058378C">
        <w:rPr>
          <w:rFonts w:cs="Arial" w:hint="cs"/>
          <w:sz w:val="20"/>
          <w:szCs w:val="20"/>
          <w:rtl/>
        </w:rPr>
        <w:t>ולא</w:t>
      </w:r>
      <w:r w:rsidRPr="0058378C">
        <w:rPr>
          <w:rFonts w:cs="Arial"/>
          <w:sz w:val="20"/>
          <w:szCs w:val="20"/>
          <w:rtl/>
        </w:rPr>
        <w:t xml:space="preserve"> </w:t>
      </w:r>
      <w:r w:rsidRPr="0058378C">
        <w:rPr>
          <w:rFonts w:cs="Arial" w:hint="cs"/>
          <w:sz w:val="20"/>
          <w:szCs w:val="20"/>
          <w:rtl/>
        </w:rPr>
        <w:t>מצאו</w:t>
      </w:r>
      <w:r w:rsidRPr="0058378C">
        <w:rPr>
          <w:rFonts w:cs="Arial"/>
          <w:sz w:val="20"/>
          <w:szCs w:val="20"/>
          <w:rtl/>
        </w:rPr>
        <w:t xml:space="preserve"> </w:t>
      </w:r>
      <w:r w:rsidRPr="0058378C">
        <w:rPr>
          <w:rFonts w:cs="Arial" w:hint="cs"/>
          <w:sz w:val="20"/>
          <w:szCs w:val="20"/>
          <w:rtl/>
        </w:rPr>
        <w:t>דם</w:t>
      </w:r>
      <w:r w:rsidRPr="0058378C">
        <w:rPr>
          <w:rFonts w:cs="Arial"/>
          <w:sz w:val="20"/>
          <w:szCs w:val="20"/>
          <w:rtl/>
        </w:rPr>
        <w:t xml:space="preserve"> </w:t>
      </w:r>
      <w:r w:rsidRPr="0058378C">
        <w:rPr>
          <w:rFonts w:cs="Arial" w:hint="cs"/>
          <w:sz w:val="20"/>
          <w:szCs w:val="20"/>
          <w:rtl/>
        </w:rPr>
        <w:t>ואיך</w:t>
      </w:r>
      <w:r w:rsidRPr="0058378C">
        <w:rPr>
          <w:rFonts w:cs="Arial"/>
          <w:sz w:val="20"/>
          <w:szCs w:val="20"/>
          <w:rtl/>
        </w:rPr>
        <w:t xml:space="preserve"> </w:t>
      </w:r>
      <w:r w:rsidRPr="0058378C">
        <w:rPr>
          <w:rFonts w:cs="Arial" w:hint="cs"/>
          <w:sz w:val="20"/>
          <w:szCs w:val="20"/>
          <w:rtl/>
        </w:rPr>
        <w:t>ניחוש</w:t>
      </w:r>
      <w:r w:rsidRPr="0058378C">
        <w:rPr>
          <w:rFonts w:cs="Arial"/>
          <w:sz w:val="20"/>
          <w:szCs w:val="20"/>
          <w:rtl/>
        </w:rPr>
        <w:t xml:space="preserve"> </w:t>
      </w:r>
      <w:r w:rsidRPr="0058378C">
        <w:rPr>
          <w:rFonts w:cs="Arial" w:hint="cs"/>
          <w:sz w:val="20"/>
          <w:szCs w:val="20"/>
          <w:rtl/>
        </w:rPr>
        <w:t>עתה</w:t>
      </w:r>
      <w:r w:rsidRPr="0058378C">
        <w:rPr>
          <w:rFonts w:cs="Arial"/>
          <w:sz w:val="20"/>
          <w:szCs w:val="20"/>
          <w:rtl/>
        </w:rPr>
        <w:t xml:space="preserve"> </w:t>
      </w:r>
      <w:r w:rsidRPr="0058378C">
        <w:rPr>
          <w:rFonts w:cs="Arial" w:hint="cs"/>
          <w:sz w:val="20"/>
          <w:szCs w:val="20"/>
          <w:rtl/>
        </w:rPr>
        <w:t>לדם</w:t>
      </w:r>
      <w:r>
        <w:rPr>
          <w:rFonts w:cs="Arial" w:hint="cs"/>
          <w:sz w:val="20"/>
          <w:szCs w:val="20"/>
          <w:rtl/>
        </w:rPr>
        <w:t>?</w:t>
      </w:r>
      <w:r>
        <w:rPr>
          <w:rFonts w:cs="Arial"/>
          <w:sz w:val="20"/>
          <w:szCs w:val="20"/>
          <w:rtl/>
        </w:rPr>
        <w:br/>
      </w:r>
      <w:r w:rsidRPr="0058378C">
        <w:rPr>
          <w:rFonts w:cs="Arial" w:hint="cs"/>
          <w:sz w:val="20"/>
          <w:szCs w:val="20"/>
          <w:rtl/>
        </w:rPr>
        <w:t>ואפילו</w:t>
      </w:r>
      <w:r w:rsidRPr="0058378C">
        <w:rPr>
          <w:rFonts w:cs="Arial"/>
          <w:sz w:val="20"/>
          <w:szCs w:val="20"/>
          <w:rtl/>
        </w:rPr>
        <w:t xml:space="preserve"> </w:t>
      </w:r>
      <w:r w:rsidRPr="0058378C">
        <w:rPr>
          <w:rFonts w:cs="Arial" w:hint="cs"/>
          <w:sz w:val="20"/>
          <w:szCs w:val="20"/>
          <w:rtl/>
        </w:rPr>
        <w:t>לזמנו</w:t>
      </w:r>
      <w:r w:rsidRPr="0058378C">
        <w:rPr>
          <w:rFonts w:cs="Arial"/>
          <w:sz w:val="20"/>
          <w:szCs w:val="20"/>
          <w:rtl/>
        </w:rPr>
        <w:t xml:space="preserve"> </w:t>
      </w:r>
      <w:r w:rsidRPr="0058378C">
        <w:rPr>
          <w:rFonts w:cs="Arial" w:hint="cs"/>
          <w:sz w:val="20"/>
          <w:szCs w:val="20"/>
          <w:rtl/>
        </w:rPr>
        <w:t>של</w:t>
      </w:r>
      <w:r w:rsidRPr="0058378C">
        <w:rPr>
          <w:rFonts w:cs="Arial"/>
          <w:sz w:val="20"/>
          <w:szCs w:val="20"/>
          <w:rtl/>
        </w:rPr>
        <w:t xml:space="preserve"> </w:t>
      </w:r>
      <w:r w:rsidRPr="0058378C">
        <w:rPr>
          <w:rFonts w:cs="Arial" w:hint="cs"/>
          <w:sz w:val="20"/>
          <w:szCs w:val="20"/>
          <w:rtl/>
        </w:rPr>
        <w:t>הרמב</w:t>
      </w:r>
      <w:r w:rsidRPr="0058378C">
        <w:rPr>
          <w:rFonts w:cs="Arial"/>
          <w:sz w:val="20"/>
          <w:szCs w:val="20"/>
          <w:rtl/>
        </w:rPr>
        <w:t>"</w:t>
      </w:r>
      <w:r w:rsidRPr="0058378C">
        <w:rPr>
          <w:rFonts w:cs="Arial" w:hint="cs"/>
          <w:sz w:val="20"/>
          <w:szCs w:val="20"/>
          <w:rtl/>
        </w:rPr>
        <w:t>ם</w:t>
      </w:r>
      <w:r w:rsidRPr="0058378C">
        <w:rPr>
          <w:rFonts w:cs="Arial"/>
          <w:sz w:val="20"/>
          <w:szCs w:val="20"/>
          <w:rtl/>
        </w:rPr>
        <w:t xml:space="preserve"> </w:t>
      </w:r>
      <w:r w:rsidRPr="0058378C">
        <w:rPr>
          <w:rFonts w:cs="Arial" w:hint="cs"/>
          <w:sz w:val="20"/>
          <w:szCs w:val="20"/>
          <w:rtl/>
        </w:rPr>
        <w:t>אין</w:t>
      </w:r>
      <w:r w:rsidRPr="0058378C">
        <w:rPr>
          <w:rFonts w:cs="Arial"/>
          <w:sz w:val="20"/>
          <w:szCs w:val="20"/>
          <w:rtl/>
        </w:rPr>
        <w:t xml:space="preserve"> </w:t>
      </w:r>
      <w:r w:rsidRPr="0058378C">
        <w:rPr>
          <w:rFonts w:cs="Arial" w:hint="cs"/>
          <w:sz w:val="20"/>
          <w:szCs w:val="20"/>
          <w:rtl/>
        </w:rPr>
        <w:t>אנו</w:t>
      </w:r>
      <w:r w:rsidRPr="0058378C">
        <w:rPr>
          <w:rFonts w:cs="Arial"/>
          <w:sz w:val="20"/>
          <w:szCs w:val="20"/>
          <w:rtl/>
        </w:rPr>
        <w:t xml:space="preserve"> </w:t>
      </w:r>
      <w:r w:rsidRPr="0058378C">
        <w:rPr>
          <w:rFonts w:cs="Arial" w:hint="cs"/>
          <w:sz w:val="20"/>
          <w:szCs w:val="20"/>
          <w:rtl/>
        </w:rPr>
        <w:t>דומים</w:t>
      </w:r>
      <w:r w:rsidRPr="0058378C">
        <w:rPr>
          <w:rFonts w:cs="Arial"/>
          <w:sz w:val="20"/>
          <w:szCs w:val="20"/>
          <w:rtl/>
        </w:rPr>
        <w:t xml:space="preserve"> </w:t>
      </w:r>
      <w:r w:rsidRPr="0058378C">
        <w:rPr>
          <w:rFonts w:cs="Arial" w:hint="cs"/>
          <w:sz w:val="20"/>
          <w:szCs w:val="20"/>
          <w:rtl/>
        </w:rPr>
        <w:t>דכיון</w:t>
      </w:r>
      <w:r w:rsidRPr="0058378C">
        <w:rPr>
          <w:rFonts w:cs="Arial"/>
          <w:sz w:val="20"/>
          <w:szCs w:val="20"/>
          <w:rtl/>
        </w:rPr>
        <w:t xml:space="preserve"> </w:t>
      </w:r>
      <w:r w:rsidRPr="0058378C">
        <w:rPr>
          <w:rFonts w:cs="Arial" w:hint="cs"/>
          <w:sz w:val="20"/>
          <w:szCs w:val="20"/>
          <w:rtl/>
        </w:rPr>
        <w:t>דאצלינו</w:t>
      </w:r>
      <w:r w:rsidRPr="0058378C">
        <w:rPr>
          <w:rFonts w:cs="Arial"/>
          <w:sz w:val="20"/>
          <w:szCs w:val="20"/>
          <w:rtl/>
        </w:rPr>
        <w:t xml:space="preserve"> </w:t>
      </w:r>
      <w:r w:rsidRPr="0058378C">
        <w:rPr>
          <w:rFonts w:cs="Arial" w:hint="cs"/>
          <w:sz w:val="20"/>
          <w:szCs w:val="20"/>
          <w:rtl/>
        </w:rPr>
        <w:t>מתחילין</w:t>
      </w:r>
      <w:r w:rsidRPr="0058378C">
        <w:rPr>
          <w:rFonts w:cs="Arial"/>
          <w:sz w:val="20"/>
          <w:szCs w:val="20"/>
          <w:rtl/>
        </w:rPr>
        <w:t xml:space="preserve"> </w:t>
      </w:r>
      <w:r w:rsidRPr="0058378C">
        <w:rPr>
          <w:rFonts w:cs="Arial" w:hint="cs"/>
          <w:sz w:val="20"/>
          <w:szCs w:val="20"/>
          <w:rtl/>
        </w:rPr>
        <w:t>הז</w:t>
      </w:r>
      <w:r w:rsidRPr="0058378C">
        <w:rPr>
          <w:rFonts w:cs="Arial"/>
          <w:sz w:val="20"/>
          <w:szCs w:val="20"/>
          <w:rtl/>
        </w:rPr>
        <w:t xml:space="preserve">' </w:t>
      </w:r>
      <w:r w:rsidRPr="0058378C">
        <w:rPr>
          <w:rFonts w:cs="Arial" w:hint="cs"/>
          <w:sz w:val="20"/>
          <w:szCs w:val="20"/>
          <w:rtl/>
        </w:rPr>
        <w:t>נקיים</w:t>
      </w:r>
      <w:r w:rsidRPr="0058378C">
        <w:rPr>
          <w:rFonts w:cs="Arial"/>
          <w:sz w:val="20"/>
          <w:szCs w:val="20"/>
          <w:rtl/>
        </w:rPr>
        <w:t xml:space="preserve"> </w:t>
      </w:r>
      <w:r w:rsidRPr="0058378C">
        <w:rPr>
          <w:rFonts w:cs="Arial" w:hint="cs"/>
          <w:sz w:val="20"/>
          <w:szCs w:val="20"/>
          <w:rtl/>
        </w:rPr>
        <w:t>אחרי</w:t>
      </w:r>
      <w:r w:rsidRPr="0058378C">
        <w:rPr>
          <w:rFonts w:cs="Arial"/>
          <w:sz w:val="20"/>
          <w:szCs w:val="20"/>
          <w:rtl/>
        </w:rPr>
        <w:t xml:space="preserve"> </w:t>
      </w:r>
      <w:r w:rsidRPr="0058378C">
        <w:rPr>
          <w:rFonts w:cs="Arial" w:hint="cs"/>
          <w:sz w:val="20"/>
          <w:szCs w:val="20"/>
          <w:rtl/>
        </w:rPr>
        <w:t>ד</w:t>
      </w:r>
      <w:r w:rsidRPr="0058378C">
        <w:rPr>
          <w:rFonts w:cs="Arial"/>
          <w:sz w:val="20"/>
          <w:szCs w:val="20"/>
          <w:rtl/>
        </w:rPr>
        <w:t xml:space="preserve">' </w:t>
      </w:r>
      <w:r w:rsidRPr="0058378C">
        <w:rPr>
          <w:rFonts w:cs="Arial" w:hint="cs"/>
          <w:sz w:val="20"/>
          <w:szCs w:val="20"/>
          <w:rtl/>
        </w:rPr>
        <w:t>או</w:t>
      </w:r>
      <w:r w:rsidRPr="0058378C">
        <w:rPr>
          <w:rFonts w:cs="Arial"/>
          <w:sz w:val="20"/>
          <w:szCs w:val="20"/>
          <w:rtl/>
        </w:rPr>
        <w:t xml:space="preserve"> </w:t>
      </w:r>
      <w:r w:rsidRPr="0058378C">
        <w:rPr>
          <w:rFonts w:cs="Arial" w:hint="cs"/>
          <w:sz w:val="20"/>
          <w:szCs w:val="20"/>
          <w:rtl/>
        </w:rPr>
        <w:t>ה</w:t>
      </w:r>
      <w:r w:rsidRPr="0058378C">
        <w:rPr>
          <w:rFonts w:cs="Arial"/>
          <w:sz w:val="20"/>
          <w:szCs w:val="20"/>
          <w:rtl/>
        </w:rPr>
        <w:t xml:space="preserve">' </w:t>
      </w:r>
      <w:r w:rsidRPr="0058378C">
        <w:rPr>
          <w:rFonts w:cs="Arial" w:hint="cs"/>
          <w:sz w:val="20"/>
          <w:szCs w:val="20"/>
          <w:rtl/>
        </w:rPr>
        <w:t>ימים</w:t>
      </w:r>
      <w:r w:rsidRPr="0058378C">
        <w:rPr>
          <w:rFonts w:cs="Arial"/>
          <w:sz w:val="20"/>
          <w:szCs w:val="20"/>
          <w:rtl/>
        </w:rPr>
        <w:t xml:space="preserve"> </w:t>
      </w:r>
      <w:r w:rsidRPr="0058378C">
        <w:rPr>
          <w:rFonts w:cs="Arial" w:hint="cs"/>
          <w:sz w:val="20"/>
          <w:szCs w:val="20"/>
          <w:rtl/>
        </w:rPr>
        <w:t>מפני</w:t>
      </w:r>
      <w:r w:rsidRPr="0058378C">
        <w:rPr>
          <w:rFonts w:cs="Arial"/>
          <w:sz w:val="20"/>
          <w:szCs w:val="20"/>
          <w:rtl/>
        </w:rPr>
        <w:t xml:space="preserve"> </w:t>
      </w:r>
      <w:r w:rsidRPr="0058378C">
        <w:rPr>
          <w:rFonts w:cs="Arial" w:hint="cs"/>
          <w:sz w:val="20"/>
          <w:szCs w:val="20"/>
          <w:rtl/>
        </w:rPr>
        <w:t>חשש</w:t>
      </w:r>
      <w:r w:rsidRPr="0058378C">
        <w:rPr>
          <w:rFonts w:cs="Arial"/>
          <w:sz w:val="20"/>
          <w:szCs w:val="20"/>
          <w:rtl/>
        </w:rPr>
        <w:t xml:space="preserve"> </w:t>
      </w:r>
      <w:r w:rsidRPr="0058378C">
        <w:rPr>
          <w:rFonts w:cs="Arial" w:hint="cs"/>
          <w:sz w:val="20"/>
          <w:szCs w:val="20"/>
          <w:rtl/>
        </w:rPr>
        <w:t>פליטת</w:t>
      </w:r>
      <w:r w:rsidRPr="0058378C">
        <w:rPr>
          <w:rFonts w:cs="Arial"/>
          <w:sz w:val="20"/>
          <w:szCs w:val="20"/>
          <w:rtl/>
        </w:rPr>
        <w:t xml:space="preserve"> </w:t>
      </w:r>
      <w:r w:rsidRPr="0058378C">
        <w:rPr>
          <w:rFonts w:cs="Arial" w:hint="cs"/>
          <w:sz w:val="20"/>
          <w:szCs w:val="20"/>
          <w:rtl/>
        </w:rPr>
        <w:t>זרע</w:t>
      </w:r>
      <w:r w:rsidRPr="0058378C">
        <w:rPr>
          <w:rFonts w:cs="Arial"/>
          <w:sz w:val="20"/>
          <w:szCs w:val="20"/>
          <w:rtl/>
        </w:rPr>
        <w:t xml:space="preserve"> </w:t>
      </w:r>
      <w:r w:rsidRPr="0058378C">
        <w:rPr>
          <w:rFonts w:cs="Arial" w:hint="cs"/>
          <w:sz w:val="20"/>
          <w:szCs w:val="20"/>
          <w:rtl/>
        </w:rPr>
        <w:t>כמ</w:t>
      </w:r>
      <w:r w:rsidRPr="0058378C">
        <w:rPr>
          <w:rFonts w:cs="Arial"/>
          <w:sz w:val="20"/>
          <w:szCs w:val="20"/>
          <w:rtl/>
        </w:rPr>
        <w:t>"</w:t>
      </w:r>
      <w:r w:rsidRPr="0058378C">
        <w:rPr>
          <w:rFonts w:cs="Arial" w:hint="cs"/>
          <w:sz w:val="20"/>
          <w:szCs w:val="20"/>
          <w:rtl/>
        </w:rPr>
        <w:t>ש</w:t>
      </w:r>
      <w:r w:rsidRPr="0058378C">
        <w:rPr>
          <w:rFonts w:cs="Arial"/>
          <w:sz w:val="20"/>
          <w:szCs w:val="20"/>
          <w:rtl/>
        </w:rPr>
        <w:t xml:space="preserve"> </w:t>
      </w:r>
      <w:r w:rsidRPr="0058378C">
        <w:rPr>
          <w:rFonts w:cs="Arial" w:hint="cs"/>
          <w:sz w:val="20"/>
          <w:szCs w:val="20"/>
          <w:rtl/>
        </w:rPr>
        <w:t>בסי</w:t>
      </w:r>
      <w:r w:rsidRPr="0058378C">
        <w:rPr>
          <w:rFonts w:cs="Arial"/>
          <w:sz w:val="20"/>
          <w:szCs w:val="20"/>
          <w:rtl/>
        </w:rPr>
        <w:t xml:space="preserve">' </w:t>
      </w:r>
      <w:r w:rsidRPr="0058378C">
        <w:rPr>
          <w:rFonts w:cs="Arial" w:hint="cs"/>
          <w:sz w:val="20"/>
          <w:szCs w:val="20"/>
          <w:rtl/>
        </w:rPr>
        <w:t>קצ</w:t>
      </w:r>
      <w:r w:rsidRPr="0058378C">
        <w:rPr>
          <w:rFonts w:cs="Arial"/>
          <w:sz w:val="20"/>
          <w:szCs w:val="20"/>
          <w:rtl/>
        </w:rPr>
        <w:t>"</w:t>
      </w:r>
      <w:r w:rsidRPr="0058378C">
        <w:rPr>
          <w:rFonts w:cs="Arial" w:hint="cs"/>
          <w:sz w:val="20"/>
          <w:szCs w:val="20"/>
          <w:rtl/>
        </w:rPr>
        <w:t>ו</w:t>
      </w:r>
      <w:r w:rsidRPr="0058378C">
        <w:rPr>
          <w:rFonts w:cs="Arial"/>
          <w:sz w:val="20"/>
          <w:szCs w:val="20"/>
          <w:rtl/>
        </w:rPr>
        <w:t xml:space="preserve"> </w:t>
      </w:r>
      <w:r w:rsidRPr="0058378C">
        <w:rPr>
          <w:rFonts w:cs="Arial" w:hint="cs"/>
          <w:sz w:val="20"/>
          <w:szCs w:val="20"/>
          <w:rtl/>
        </w:rPr>
        <w:t>והרי</w:t>
      </w:r>
      <w:r w:rsidRPr="0058378C">
        <w:rPr>
          <w:rFonts w:cs="Arial"/>
          <w:sz w:val="20"/>
          <w:szCs w:val="20"/>
          <w:rtl/>
        </w:rPr>
        <w:t xml:space="preserve"> </w:t>
      </w:r>
      <w:r w:rsidRPr="0058378C">
        <w:rPr>
          <w:rFonts w:cs="Arial" w:hint="cs"/>
          <w:sz w:val="20"/>
          <w:szCs w:val="20"/>
          <w:rtl/>
        </w:rPr>
        <w:t>עומדת</w:t>
      </w:r>
      <w:r w:rsidRPr="0058378C">
        <w:rPr>
          <w:rFonts w:cs="Arial"/>
          <w:sz w:val="20"/>
          <w:szCs w:val="20"/>
          <w:rtl/>
        </w:rPr>
        <w:t xml:space="preserve"> </w:t>
      </w:r>
      <w:r w:rsidRPr="0058378C">
        <w:rPr>
          <w:rFonts w:cs="Arial" w:hint="cs"/>
          <w:sz w:val="20"/>
          <w:szCs w:val="20"/>
          <w:rtl/>
        </w:rPr>
        <w:t>עתה</w:t>
      </w:r>
      <w:r w:rsidRPr="0058378C">
        <w:rPr>
          <w:rFonts w:cs="Arial"/>
          <w:sz w:val="20"/>
          <w:szCs w:val="20"/>
          <w:rtl/>
        </w:rPr>
        <w:t xml:space="preserve"> </w:t>
      </w:r>
      <w:r w:rsidRPr="0058378C">
        <w:rPr>
          <w:rFonts w:cs="Arial" w:hint="cs"/>
          <w:sz w:val="20"/>
          <w:szCs w:val="20"/>
          <w:rtl/>
        </w:rPr>
        <w:t>בתוך</w:t>
      </w:r>
      <w:r w:rsidRPr="0058378C">
        <w:rPr>
          <w:rFonts w:cs="Arial"/>
          <w:sz w:val="20"/>
          <w:szCs w:val="20"/>
          <w:rtl/>
        </w:rPr>
        <w:t xml:space="preserve"> </w:t>
      </w:r>
      <w:r w:rsidRPr="0058378C">
        <w:rPr>
          <w:rFonts w:cs="Arial" w:hint="cs"/>
          <w:sz w:val="20"/>
          <w:szCs w:val="20"/>
          <w:rtl/>
        </w:rPr>
        <w:t>י</w:t>
      </w:r>
      <w:r w:rsidRPr="0058378C">
        <w:rPr>
          <w:rFonts w:cs="Arial"/>
          <w:sz w:val="20"/>
          <w:szCs w:val="20"/>
          <w:rtl/>
        </w:rPr>
        <w:t>"</w:t>
      </w:r>
      <w:r w:rsidRPr="0058378C">
        <w:rPr>
          <w:rFonts w:cs="Arial" w:hint="cs"/>
          <w:sz w:val="20"/>
          <w:szCs w:val="20"/>
          <w:rtl/>
        </w:rPr>
        <w:t>א</w:t>
      </w:r>
      <w:r w:rsidRPr="0058378C">
        <w:rPr>
          <w:rFonts w:cs="Arial"/>
          <w:sz w:val="20"/>
          <w:szCs w:val="20"/>
          <w:rtl/>
        </w:rPr>
        <w:t xml:space="preserve"> </w:t>
      </w:r>
      <w:r w:rsidRPr="0058378C">
        <w:rPr>
          <w:rFonts w:cs="Arial" w:hint="cs"/>
          <w:sz w:val="20"/>
          <w:szCs w:val="20"/>
          <w:rtl/>
        </w:rPr>
        <w:t>יום</w:t>
      </w:r>
      <w:r w:rsidRPr="0058378C">
        <w:rPr>
          <w:rFonts w:cs="Arial"/>
          <w:sz w:val="20"/>
          <w:szCs w:val="20"/>
          <w:rtl/>
        </w:rPr>
        <w:t xml:space="preserve"> </w:t>
      </w:r>
      <w:r w:rsidRPr="0058378C">
        <w:rPr>
          <w:rFonts w:cs="Arial" w:hint="cs"/>
          <w:sz w:val="20"/>
          <w:szCs w:val="20"/>
          <w:rtl/>
        </w:rPr>
        <w:t>שאחרי</w:t>
      </w:r>
      <w:r w:rsidRPr="0058378C">
        <w:rPr>
          <w:rFonts w:cs="Arial"/>
          <w:sz w:val="20"/>
          <w:szCs w:val="20"/>
          <w:rtl/>
        </w:rPr>
        <w:t xml:space="preserve"> </w:t>
      </w:r>
      <w:r w:rsidRPr="0058378C">
        <w:rPr>
          <w:rFonts w:cs="Arial" w:hint="cs"/>
          <w:sz w:val="20"/>
          <w:szCs w:val="20"/>
          <w:rtl/>
        </w:rPr>
        <w:t>נ</w:t>
      </w:r>
      <w:r>
        <w:rPr>
          <w:rFonts w:cs="Arial" w:hint="cs"/>
          <w:sz w:val="20"/>
          <w:szCs w:val="20"/>
          <w:rtl/>
        </w:rPr>
        <w:t>י</w:t>
      </w:r>
      <w:r w:rsidRPr="0058378C">
        <w:rPr>
          <w:rFonts w:cs="Arial" w:hint="cs"/>
          <w:sz w:val="20"/>
          <w:szCs w:val="20"/>
          <w:rtl/>
        </w:rPr>
        <w:t>דותה</w:t>
      </w:r>
      <w:r w:rsidRPr="0058378C">
        <w:rPr>
          <w:rFonts w:cs="Arial"/>
          <w:sz w:val="20"/>
          <w:szCs w:val="20"/>
          <w:rtl/>
        </w:rPr>
        <w:t xml:space="preserve"> </w:t>
      </w:r>
      <w:r w:rsidRPr="0058378C">
        <w:rPr>
          <w:rFonts w:cs="Arial" w:hint="cs"/>
          <w:sz w:val="20"/>
          <w:szCs w:val="20"/>
          <w:rtl/>
        </w:rPr>
        <w:t>והימים</w:t>
      </w:r>
      <w:r w:rsidRPr="0058378C">
        <w:rPr>
          <w:rFonts w:cs="Arial"/>
          <w:sz w:val="20"/>
          <w:szCs w:val="20"/>
          <w:rtl/>
        </w:rPr>
        <w:t xml:space="preserve"> </w:t>
      </w:r>
      <w:r w:rsidRPr="0058378C">
        <w:rPr>
          <w:rFonts w:cs="Arial" w:hint="cs"/>
          <w:sz w:val="20"/>
          <w:szCs w:val="20"/>
          <w:rtl/>
        </w:rPr>
        <w:t>האלו</w:t>
      </w:r>
      <w:r w:rsidRPr="0058378C">
        <w:rPr>
          <w:rFonts w:cs="Arial"/>
          <w:sz w:val="20"/>
          <w:szCs w:val="20"/>
          <w:rtl/>
        </w:rPr>
        <w:t xml:space="preserve"> </w:t>
      </w:r>
      <w:r w:rsidRPr="0058378C">
        <w:rPr>
          <w:rFonts w:cs="Arial" w:hint="cs"/>
          <w:sz w:val="20"/>
          <w:szCs w:val="20"/>
          <w:rtl/>
        </w:rPr>
        <w:t>הן</w:t>
      </w:r>
      <w:r w:rsidRPr="0058378C">
        <w:rPr>
          <w:rFonts w:cs="Arial"/>
          <w:sz w:val="20"/>
          <w:szCs w:val="20"/>
          <w:rtl/>
        </w:rPr>
        <w:t xml:space="preserve"> </w:t>
      </w:r>
      <w:r w:rsidRPr="0058378C">
        <w:rPr>
          <w:rFonts w:cs="Arial" w:hint="cs"/>
          <w:sz w:val="20"/>
          <w:szCs w:val="20"/>
          <w:rtl/>
        </w:rPr>
        <w:t>בחזקת</w:t>
      </w:r>
      <w:r w:rsidRPr="0058378C">
        <w:rPr>
          <w:rFonts w:cs="Arial"/>
          <w:sz w:val="20"/>
          <w:szCs w:val="20"/>
          <w:rtl/>
        </w:rPr>
        <w:t xml:space="preserve"> </w:t>
      </w:r>
      <w:r w:rsidRPr="0058378C">
        <w:rPr>
          <w:rFonts w:cs="Arial" w:hint="cs"/>
          <w:sz w:val="20"/>
          <w:szCs w:val="20"/>
          <w:rtl/>
        </w:rPr>
        <w:t>טהרה</w:t>
      </w:r>
      <w:r>
        <w:rPr>
          <w:rFonts w:cs="Arial" w:hint="cs"/>
          <w:sz w:val="20"/>
          <w:szCs w:val="20"/>
          <w:rtl/>
        </w:rPr>
        <w:t xml:space="preserve">... </w:t>
      </w:r>
      <w:r w:rsidRPr="0058378C">
        <w:rPr>
          <w:rFonts w:cs="Arial" w:hint="cs"/>
          <w:sz w:val="20"/>
          <w:szCs w:val="20"/>
          <w:rtl/>
        </w:rPr>
        <w:t>ולא</w:t>
      </w:r>
      <w:r w:rsidRPr="0058378C">
        <w:rPr>
          <w:rFonts w:cs="Arial"/>
          <w:sz w:val="20"/>
          <w:szCs w:val="20"/>
          <w:rtl/>
        </w:rPr>
        <w:t xml:space="preserve"> </w:t>
      </w:r>
      <w:r w:rsidRPr="0058378C">
        <w:rPr>
          <w:rFonts w:cs="Arial" w:hint="cs"/>
          <w:sz w:val="20"/>
          <w:szCs w:val="20"/>
          <w:rtl/>
        </w:rPr>
        <w:t>שייך</w:t>
      </w:r>
      <w:r w:rsidRPr="0058378C">
        <w:rPr>
          <w:rFonts w:cs="Arial"/>
          <w:sz w:val="20"/>
          <w:szCs w:val="20"/>
          <w:rtl/>
        </w:rPr>
        <w:t xml:space="preserve"> </w:t>
      </w:r>
      <w:r w:rsidRPr="0058378C">
        <w:rPr>
          <w:rFonts w:cs="Arial" w:hint="cs"/>
          <w:sz w:val="20"/>
          <w:szCs w:val="20"/>
          <w:rtl/>
        </w:rPr>
        <w:t>לחוש</w:t>
      </w:r>
      <w:r w:rsidRPr="0058378C">
        <w:rPr>
          <w:rFonts w:cs="Arial"/>
          <w:sz w:val="20"/>
          <w:szCs w:val="20"/>
          <w:rtl/>
        </w:rPr>
        <w:t xml:space="preserve"> </w:t>
      </w:r>
      <w:r w:rsidRPr="0058378C">
        <w:rPr>
          <w:rFonts w:cs="Arial" w:hint="cs"/>
          <w:sz w:val="20"/>
          <w:szCs w:val="20"/>
          <w:rtl/>
        </w:rPr>
        <w:t>לדם</w:t>
      </w:r>
      <w:r w:rsidRPr="0058378C">
        <w:rPr>
          <w:rFonts w:cs="Arial"/>
          <w:sz w:val="20"/>
          <w:szCs w:val="20"/>
          <w:rtl/>
        </w:rPr>
        <w:t xml:space="preserve"> </w:t>
      </w:r>
      <w:r w:rsidRPr="0058378C">
        <w:rPr>
          <w:rFonts w:cs="Arial" w:hint="cs"/>
          <w:sz w:val="20"/>
          <w:szCs w:val="20"/>
          <w:rtl/>
        </w:rPr>
        <w:t>ולכן</w:t>
      </w:r>
      <w:r w:rsidRPr="0058378C">
        <w:rPr>
          <w:rFonts w:cs="Arial"/>
          <w:sz w:val="20"/>
          <w:szCs w:val="20"/>
          <w:rtl/>
        </w:rPr>
        <w:t xml:space="preserve"> </w:t>
      </w:r>
      <w:r w:rsidRPr="0058378C">
        <w:rPr>
          <w:rFonts w:cs="Arial" w:hint="cs"/>
          <w:sz w:val="20"/>
          <w:szCs w:val="20"/>
          <w:rtl/>
        </w:rPr>
        <w:t>מנהגינו</w:t>
      </w:r>
      <w:r w:rsidRPr="0058378C">
        <w:rPr>
          <w:rFonts w:cs="Arial"/>
          <w:sz w:val="20"/>
          <w:szCs w:val="20"/>
          <w:rtl/>
        </w:rPr>
        <w:t xml:space="preserve"> </w:t>
      </w:r>
      <w:r w:rsidRPr="0058378C">
        <w:rPr>
          <w:rFonts w:cs="Arial" w:hint="cs"/>
          <w:sz w:val="20"/>
          <w:szCs w:val="20"/>
          <w:rtl/>
        </w:rPr>
        <w:t>א</w:t>
      </w:r>
      <w:r>
        <w:rPr>
          <w:rFonts w:cs="Arial" w:hint="cs"/>
          <w:sz w:val="20"/>
          <w:szCs w:val="20"/>
          <w:rtl/>
        </w:rPr>
        <w:t xml:space="preserve">תי </w:t>
      </w:r>
      <w:r w:rsidRPr="0058378C">
        <w:rPr>
          <w:rFonts w:cs="Arial" w:hint="cs"/>
          <w:sz w:val="20"/>
          <w:szCs w:val="20"/>
          <w:rtl/>
        </w:rPr>
        <w:t>ש</w:t>
      </w:r>
      <w:r>
        <w:rPr>
          <w:rFonts w:cs="Arial" w:hint="cs"/>
          <w:sz w:val="20"/>
          <w:szCs w:val="20"/>
          <w:rtl/>
        </w:rPr>
        <w:t>פיר</w:t>
      </w:r>
      <w:r w:rsidRPr="0058378C">
        <w:rPr>
          <w:rFonts w:cs="Arial"/>
          <w:sz w:val="20"/>
          <w:szCs w:val="20"/>
          <w:rtl/>
        </w:rPr>
        <w:t xml:space="preserve"> </w:t>
      </w:r>
      <w:r w:rsidRPr="0058378C">
        <w:rPr>
          <w:rFonts w:cs="Arial" w:hint="cs"/>
          <w:sz w:val="20"/>
          <w:szCs w:val="20"/>
          <w:rtl/>
        </w:rPr>
        <w:t>לדעת</w:t>
      </w:r>
      <w:r w:rsidRPr="0058378C">
        <w:rPr>
          <w:rFonts w:cs="Arial"/>
          <w:sz w:val="20"/>
          <w:szCs w:val="20"/>
          <w:rtl/>
        </w:rPr>
        <w:t xml:space="preserve"> </w:t>
      </w:r>
      <w:r w:rsidRPr="0058378C">
        <w:rPr>
          <w:rFonts w:cs="Arial" w:hint="cs"/>
          <w:sz w:val="20"/>
          <w:szCs w:val="20"/>
          <w:rtl/>
        </w:rPr>
        <w:t>הרמב</w:t>
      </w:r>
      <w:r w:rsidRPr="0058378C">
        <w:rPr>
          <w:rFonts w:cs="Arial"/>
          <w:sz w:val="20"/>
          <w:szCs w:val="20"/>
          <w:rtl/>
        </w:rPr>
        <w:t>"</w:t>
      </w:r>
      <w:r w:rsidRPr="0058378C">
        <w:rPr>
          <w:rFonts w:cs="Arial" w:hint="cs"/>
          <w:sz w:val="20"/>
          <w:szCs w:val="20"/>
          <w:rtl/>
        </w:rPr>
        <w:t>ם</w:t>
      </w:r>
      <w:r w:rsidRPr="0058378C">
        <w:rPr>
          <w:rFonts w:cs="Arial"/>
          <w:sz w:val="20"/>
          <w:szCs w:val="20"/>
          <w:rtl/>
        </w:rPr>
        <w:t xml:space="preserve"> </w:t>
      </w:r>
      <w:r w:rsidRPr="0058378C">
        <w:rPr>
          <w:rFonts w:cs="Arial" w:hint="cs"/>
          <w:sz w:val="20"/>
          <w:szCs w:val="20"/>
          <w:rtl/>
        </w:rPr>
        <w:t>ג</w:t>
      </w:r>
      <w:r>
        <w:rPr>
          <w:rFonts w:cs="Arial" w:hint="cs"/>
          <w:sz w:val="20"/>
          <w:szCs w:val="20"/>
          <w:rtl/>
        </w:rPr>
        <w:t xml:space="preserve">ם </w:t>
      </w:r>
      <w:r w:rsidRPr="0058378C">
        <w:rPr>
          <w:rFonts w:cs="Arial" w:hint="cs"/>
          <w:sz w:val="20"/>
          <w:szCs w:val="20"/>
          <w:rtl/>
        </w:rPr>
        <w:t>כ</w:t>
      </w:r>
      <w:r>
        <w:rPr>
          <w:rFonts w:cs="Arial" w:hint="cs"/>
          <w:sz w:val="20"/>
          <w:szCs w:val="20"/>
          <w:rtl/>
        </w:rPr>
        <w:t>ן</w:t>
      </w:r>
      <w:r w:rsidRPr="0058378C">
        <w:rPr>
          <w:rFonts w:cs="Arial"/>
          <w:sz w:val="20"/>
          <w:szCs w:val="20"/>
          <w:rtl/>
        </w:rPr>
        <w:t xml:space="preserve"> </w:t>
      </w:r>
      <w:r w:rsidRPr="0058378C">
        <w:rPr>
          <w:rFonts w:cs="Arial" w:hint="cs"/>
          <w:sz w:val="20"/>
          <w:szCs w:val="20"/>
          <w:rtl/>
        </w:rPr>
        <w:t>וברור</w:t>
      </w:r>
      <w:r w:rsidRPr="0058378C">
        <w:rPr>
          <w:rFonts w:cs="Arial"/>
          <w:sz w:val="20"/>
          <w:szCs w:val="20"/>
          <w:rtl/>
        </w:rPr>
        <w:t xml:space="preserve"> </w:t>
      </w:r>
      <w:r w:rsidRPr="0058378C">
        <w:rPr>
          <w:rFonts w:cs="Arial" w:hint="cs"/>
          <w:sz w:val="20"/>
          <w:szCs w:val="20"/>
          <w:rtl/>
        </w:rPr>
        <w:t>הוא</w:t>
      </w:r>
      <w:r w:rsidRPr="0058378C">
        <w:rPr>
          <w:rFonts w:cs="Arial"/>
          <w:sz w:val="20"/>
          <w:szCs w:val="20"/>
          <w:rtl/>
        </w:rPr>
        <w:t xml:space="preserve"> </w:t>
      </w:r>
      <w:r w:rsidRPr="0058378C">
        <w:rPr>
          <w:rFonts w:cs="Arial" w:hint="cs"/>
          <w:sz w:val="20"/>
          <w:szCs w:val="20"/>
          <w:rtl/>
        </w:rPr>
        <w:t>בס</w:t>
      </w:r>
      <w:r w:rsidRPr="0058378C">
        <w:rPr>
          <w:rFonts w:cs="Arial"/>
          <w:sz w:val="20"/>
          <w:szCs w:val="20"/>
          <w:rtl/>
        </w:rPr>
        <w:t>"</w:t>
      </w:r>
      <w:r w:rsidRPr="0058378C">
        <w:rPr>
          <w:rFonts w:cs="Arial" w:hint="cs"/>
          <w:sz w:val="20"/>
          <w:szCs w:val="20"/>
          <w:rtl/>
        </w:rPr>
        <w:t>ד</w:t>
      </w:r>
      <w:r>
        <w:rPr>
          <w:rFonts w:cs="Arial" w:hint="cs"/>
          <w:sz w:val="20"/>
          <w:szCs w:val="20"/>
          <w:rtl/>
        </w:rPr>
        <w:t>".</w:t>
      </w:r>
      <w:r>
        <w:rPr>
          <w:rFonts w:hint="cs"/>
          <w:sz w:val="20"/>
          <w:szCs w:val="20"/>
          <w:rtl/>
        </w:rPr>
        <w:br/>
      </w:r>
    </w:p>
    <w:p w:rsidR="00620060" w:rsidRDefault="00620060" w:rsidP="00620060">
      <w:pPr>
        <w:rPr>
          <w:sz w:val="20"/>
          <w:szCs w:val="20"/>
          <w:rtl/>
        </w:rPr>
      </w:pPr>
      <w:r>
        <w:rPr>
          <w:rFonts w:hint="cs"/>
          <w:b/>
          <w:bCs/>
          <w:sz w:val="20"/>
          <w:szCs w:val="20"/>
          <w:rtl/>
        </w:rPr>
        <w:t xml:space="preserve">סעיף ב </w:t>
      </w:r>
      <w:r>
        <w:rPr>
          <w:b/>
          <w:bCs/>
          <w:sz w:val="20"/>
          <w:szCs w:val="20"/>
          <w:rtl/>
        </w:rPr>
        <w:t>–</w:t>
      </w:r>
      <w:r>
        <w:rPr>
          <w:rFonts w:hint="cs"/>
          <w:b/>
          <w:bCs/>
          <w:sz w:val="20"/>
          <w:szCs w:val="20"/>
          <w:rtl/>
        </w:rPr>
        <w:t xml:space="preserve"> דין בדיקות באשה שאין לה ווסת</w:t>
      </w:r>
      <w:r>
        <w:rPr>
          <w:b/>
          <w:bCs/>
          <w:sz w:val="20"/>
          <w:szCs w:val="20"/>
          <w:rtl/>
        </w:rPr>
        <w:br/>
      </w:r>
      <w:r>
        <w:rPr>
          <w:rFonts w:hint="cs"/>
          <w:b/>
          <w:bCs/>
          <w:sz w:val="20"/>
          <w:szCs w:val="20"/>
          <w:rtl/>
        </w:rPr>
        <w:t>מקורות הדין</w:t>
      </w:r>
      <w:r>
        <w:rPr>
          <w:b/>
          <w:bCs/>
          <w:sz w:val="20"/>
          <w:szCs w:val="20"/>
          <w:rtl/>
        </w:rPr>
        <w:br/>
      </w:r>
      <w:r>
        <w:rPr>
          <w:rFonts w:hint="cs"/>
          <w:sz w:val="20"/>
          <w:szCs w:val="20"/>
          <w:rtl/>
        </w:rPr>
        <w:t xml:space="preserve">א. </w:t>
      </w:r>
      <w:r w:rsidRPr="00361FA9">
        <w:rPr>
          <w:rFonts w:hint="cs"/>
          <w:b/>
          <w:bCs/>
          <w:sz w:val="20"/>
          <w:szCs w:val="20"/>
          <w:rtl/>
        </w:rPr>
        <w:t>משנה</w:t>
      </w:r>
      <w:r>
        <w:rPr>
          <w:rFonts w:hint="cs"/>
          <w:sz w:val="20"/>
          <w:szCs w:val="20"/>
          <w:rtl/>
        </w:rPr>
        <w:t xml:space="preserve"> נידה (יא.) "</w:t>
      </w:r>
      <w:r w:rsidRPr="001B7011">
        <w:rPr>
          <w:rFonts w:cs="Arial" w:hint="cs"/>
          <w:sz w:val="20"/>
          <w:szCs w:val="20"/>
          <w:rtl/>
        </w:rPr>
        <w:t>ופעמ</w:t>
      </w:r>
      <w:r>
        <w:rPr>
          <w:rFonts w:cs="Arial" w:hint="cs"/>
          <w:sz w:val="20"/>
          <w:szCs w:val="20"/>
          <w:rtl/>
        </w:rPr>
        <w:t>י</w:t>
      </w:r>
      <w:r w:rsidRPr="001B7011">
        <w:rPr>
          <w:rFonts w:cs="Arial" w:hint="cs"/>
          <w:sz w:val="20"/>
          <w:szCs w:val="20"/>
          <w:rtl/>
        </w:rPr>
        <w:t>ים</w:t>
      </w:r>
      <w:r w:rsidRPr="001B7011">
        <w:rPr>
          <w:rFonts w:cs="Arial"/>
          <w:sz w:val="20"/>
          <w:szCs w:val="20"/>
          <w:rtl/>
        </w:rPr>
        <w:t xml:space="preserve"> </w:t>
      </w:r>
      <w:r w:rsidRPr="001B7011">
        <w:rPr>
          <w:rFonts w:cs="Arial" w:hint="cs"/>
          <w:sz w:val="20"/>
          <w:szCs w:val="20"/>
          <w:rtl/>
        </w:rPr>
        <w:t>צריכה</w:t>
      </w:r>
      <w:r w:rsidRPr="001B7011">
        <w:rPr>
          <w:rFonts w:cs="Arial"/>
          <w:sz w:val="20"/>
          <w:szCs w:val="20"/>
          <w:rtl/>
        </w:rPr>
        <w:t xml:space="preserve"> </w:t>
      </w:r>
      <w:r w:rsidRPr="001B7011">
        <w:rPr>
          <w:rFonts w:cs="Arial" w:hint="cs"/>
          <w:sz w:val="20"/>
          <w:szCs w:val="20"/>
          <w:rtl/>
        </w:rPr>
        <w:t>להיות</w:t>
      </w:r>
      <w:r w:rsidRPr="001B7011">
        <w:rPr>
          <w:rFonts w:cs="Arial"/>
          <w:sz w:val="20"/>
          <w:szCs w:val="20"/>
          <w:rtl/>
        </w:rPr>
        <w:t xml:space="preserve"> </w:t>
      </w:r>
      <w:r w:rsidRPr="001B7011">
        <w:rPr>
          <w:rFonts w:cs="Arial" w:hint="cs"/>
          <w:sz w:val="20"/>
          <w:szCs w:val="20"/>
          <w:rtl/>
        </w:rPr>
        <w:t>בודקת</w:t>
      </w:r>
      <w:r w:rsidRPr="001B7011">
        <w:rPr>
          <w:rFonts w:cs="Arial"/>
          <w:sz w:val="20"/>
          <w:szCs w:val="20"/>
          <w:rtl/>
        </w:rPr>
        <w:t xml:space="preserve"> </w:t>
      </w:r>
      <w:r w:rsidRPr="001B7011">
        <w:rPr>
          <w:rFonts w:cs="Arial" w:hint="cs"/>
          <w:sz w:val="18"/>
          <w:szCs w:val="18"/>
          <w:rtl/>
        </w:rPr>
        <w:t xml:space="preserve">(רש"י </w:t>
      </w:r>
      <w:r w:rsidRPr="001B7011">
        <w:rPr>
          <w:rFonts w:cs="Arial"/>
          <w:sz w:val="18"/>
          <w:szCs w:val="18"/>
          <w:rtl/>
        </w:rPr>
        <w:t>–</w:t>
      </w:r>
      <w:r w:rsidRPr="001B7011">
        <w:rPr>
          <w:rFonts w:cs="Arial" w:hint="cs"/>
          <w:sz w:val="18"/>
          <w:szCs w:val="18"/>
          <w:rtl/>
        </w:rPr>
        <w:t xml:space="preserve"> כל אשה) </w:t>
      </w:r>
      <w:r w:rsidRPr="001B7011">
        <w:rPr>
          <w:rFonts w:cs="Arial"/>
          <w:sz w:val="20"/>
          <w:szCs w:val="20"/>
          <w:rtl/>
        </w:rPr>
        <w:t xml:space="preserve">- </w:t>
      </w:r>
      <w:r w:rsidRPr="001B7011">
        <w:rPr>
          <w:rFonts w:cs="Arial" w:hint="cs"/>
          <w:sz w:val="20"/>
          <w:szCs w:val="20"/>
          <w:rtl/>
        </w:rPr>
        <w:t>שחרית</w:t>
      </w:r>
      <w:r w:rsidRPr="001B7011">
        <w:rPr>
          <w:rFonts w:cs="Arial"/>
          <w:sz w:val="20"/>
          <w:szCs w:val="20"/>
          <w:rtl/>
        </w:rPr>
        <w:t xml:space="preserve"> </w:t>
      </w:r>
      <w:r w:rsidRPr="001B7011">
        <w:rPr>
          <w:rFonts w:cs="Arial" w:hint="cs"/>
          <w:sz w:val="20"/>
          <w:szCs w:val="20"/>
          <w:rtl/>
        </w:rPr>
        <w:t>ובין</w:t>
      </w:r>
      <w:r w:rsidRPr="001B7011">
        <w:rPr>
          <w:rFonts w:cs="Arial"/>
          <w:sz w:val="20"/>
          <w:szCs w:val="20"/>
          <w:rtl/>
        </w:rPr>
        <w:t xml:space="preserve"> </w:t>
      </w:r>
      <w:r w:rsidRPr="001B7011">
        <w:rPr>
          <w:rFonts w:cs="Arial" w:hint="cs"/>
          <w:sz w:val="20"/>
          <w:szCs w:val="20"/>
          <w:rtl/>
        </w:rPr>
        <w:t>השמשות</w:t>
      </w:r>
      <w:r w:rsidRPr="001B7011">
        <w:rPr>
          <w:rFonts w:cs="Arial"/>
          <w:sz w:val="20"/>
          <w:szCs w:val="20"/>
          <w:rtl/>
        </w:rPr>
        <w:t xml:space="preserve">, </w:t>
      </w:r>
      <w:r w:rsidRPr="001B7011">
        <w:rPr>
          <w:rFonts w:cs="Arial" w:hint="cs"/>
          <w:sz w:val="20"/>
          <w:szCs w:val="20"/>
          <w:rtl/>
        </w:rPr>
        <w:t>ובשעה</w:t>
      </w:r>
      <w:r w:rsidRPr="001B7011">
        <w:rPr>
          <w:rFonts w:cs="Arial"/>
          <w:sz w:val="20"/>
          <w:szCs w:val="20"/>
          <w:rtl/>
        </w:rPr>
        <w:t xml:space="preserve"> </w:t>
      </w:r>
      <w:r w:rsidRPr="001B7011">
        <w:rPr>
          <w:rFonts w:cs="Arial" w:hint="cs"/>
          <w:sz w:val="20"/>
          <w:szCs w:val="20"/>
          <w:rtl/>
        </w:rPr>
        <w:t>שהיא</w:t>
      </w:r>
      <w:r w:rsidRPr="001B7011">
        <w:rPr>
          <w:rFonts w:cs="Arial"/>
          <w:sz w:val="20"/>
          <w:szCs w:val="20"/>
          <w:rtl/>
        </w:rPr>
        <w:t xml:space="preserve"> </w:t>
      </w:r>
      <w:r w:rsidRPr="001B7011">
        <w:rPr>
          <w:rFonts w:cs="Arial" w:hint="cs"/>
          <w:sz w:val="20"/>
          <w:szCs w:val="20"/>
          <w:rtl/>
        </w:rPr>
        <w:t>עוברת</w:t>
      </w:r>
      <w:r w:rsidRPr="001B7011">
        <w:rPr>
          <w:rFonts w:cs="Arial"/>
          <w:sz w:val="20"/>
          <w:szCs w:val="20"/>
          <w:rtl/>
        </w:rPr>
        <w:t xml:space="preserve"> </w:t>
      </w:r>
      <w:r w:rsidRPr="001B7011">
        <w:rPr>
          <w:rFonts w:cs="Arial" w:hint="cs"/>
          <w:sz w:val="20"/>
          <w:szCs w:val="20"/>
          <w:rtl/>
        </w:rPr>
        <w:t>לשמש</w:t>
      </w:r>
      <w:r w:rsidRPr="001B7011">
        <w:rPr>
          <w:rFonts w:cs="Arial"/>
          <w:sz w:val="20"/>
          <w:szCs w:val="20"/>
          <w:rtl/>
        </w:rPr>
        <w:t xml:space="preserve"> </w:t>
      </w:r>
      <w:r w:rsidRPr="001B7011">
        <w:rPr>
          <w:rFonts w:cs="Arial" w:hint="cs"/>
          <w:sz w:val="20"/>
          <w:szCs w:val="20"/>
          <w:rtl/>
        </w:rPr>
        <w:t>את</w:t>
      </w:r>
      <w:r w:rsidRPr="001B7011">
        <w:rPr>
          <w:rFonts w:cs="Arial"/>
          <w:sz w:val="20"/>
          <w:szCs w:val="20"/>
          <w:rtl/>
        </w:rPr>
        <w:t xml:space="preserve"> </w:t>
      </w:r>
      <w:r w:rsidRPr="001B7011">
        <w:rPr>
          <w:rFonts w:cs="Arial" w:hint="cs"/>
          <w:sz w:val="20"/>
          <w:szCs w:val="20"/>
          <w:rtl/>
        </w:rPr>
        <w:t>ביתה</w:t>
      </w:r>
      <w:r>
        <w:rPr>
          <w:rFonts w:cs="Arial" w:hint="cs"/>
          <w:sz w:val="20"/>
          <w:szCs w:val="20"/>
          <w:rtl/>
        </w:rPr>
        <w:t>".</w:t>
      </w:r>
      <w:r>
        <w:rPr>
          <w:rFonts w:hint="cs"/>
          <w:b/>
          <w:bCs/>
          <w:sz w:val="20"/>
          <w:szCs w:val="20"/>
          <w:rtl/>
        </w:rPr>
        <w:t xml:space="preserve"> </w:t>
      </w:r>
      <w:r>
        <w:rPr>
          <w:rFonts w:hint="cs"/>
          <w:b/>
          <w:bCs/>
          <w:sz w:val="20"/>
          <w:szCs w:val="20"/>
          <w:rtl/>
        </w:rPr>
        <w:br/>
        <w:t xml:space="preserve">גמרא </w:t>
      </w:r>
      <w:r>
        <w:rPr>
          <w:rFonts w:hint="cs"/>
          <w:sz w:val="20"/>
          <w:szCs w:val="20"/>
          <w:rtl/>
        </w:rPr>
        <w:t>שם (ע"ב)</w:t>
      </w:r>
      <w:r w:rsidRPr="00E264B1">
        <w:rPr>
          <w:rFonts w:cs="Arial"/>
          <w:sz w:val="20"/>
          <w:szCs w:val="20"/>
          <w:rtl/>
        </w:rPr>
        <w:t xml:space="preserve"> </w:t>
      </w:r>
      <w:r>
        <w:rPr>
          <w:rFonts w:cs="Arial" w:hint="cs"/>
          <w:sz w:val="20"/>
          <w:szCs w:val="20"/>
          <w:rtl/>
        </w:rPr>
        <w:t xml:space="preserve">אמר </w:t>
      </w:r>
      <w:r w:rsidRPr="00E264B1">
        <w:rPr>
          <w:rFonts w:cs="Arial" w:hint="cs"/>
          <w:sz w:val="20"/>
          <w:szCs w:val="20"/>
          <w:rtl/>
        </w:rPr>
        <w:t>ר</w:t>
      </w:r>
      <w:r>
        <w:rPr>
          <w:rFonts w:cs="Arial" w:hint="cs"/>
          <w:sz w:val="20"/>
          <w:szCs w:val="20"/>
          <w:rtl/>
        </w:rPr>
        <w:t>ב</w:t>
      </w:r>
      <w:r w:rsidRPr="00E264B1">
        <w:rPr>
          <w:rFonts w:cs="Arial"/>
          <w:sz w:val="20"/>
          <w:szCs w:val="20"/>
          <w:rtl/>
        </w:rPr>
        <w:t xml:space="preserve"> </w:t>
      </w:r>
      <w:r w:rsidRPr="00E264B1">
        <w:rPr>
          <w:rFonts w:cs="Arial" w:hint="cs"/>
          <w:sz w:val="20"/>
          <w:szCs w:val="20"/>
          <w:rtl/>
        </w:rPr>
        <w:t>יהודה</w:t>
      </w:r>
      <w:r w:rsidRPr="00E264B1">
        <w:rPr>
          <w:rFonts w:cs="Arial"/>
          <w:sz w:val="20"/>
          <w:szCs w:val="20"/>
          <w:rtl/>
        </w:rPr>
        <w:t xml:space="preserve"> </w:t>
      </w:r>
      <w:r w:rsidRPr="00E264B1">
        <w:rPr>
          <w:rFonts w:cs="Arial" w:hint="cs"/>
          <w:sz w:val="20"/>
          <w:szCs w:val="20"/>
          <w:rtl/>
        </w:rPr>
        <w:t>אמר</w:t>
      </w:r>
      <w:r w:rsidRPr="00E264B1">
        <w:rPr>
          <w:rFonts w:cs="Arial"/>
          <w:sz w:val="20"/>
          <w:szCs w:val="20"/>
          <w:rtl/>
        </w:rPr>
        <w:t xml:space="preserve"> </w:t>
      </w:r>
      <w:r w:rsidRPr="00E264B1">
        <w:rPr>
          <w:rFonts w:cs="Arial" w:hint="cs"/>
          <w:sz w:val="20"/>
          <w:szCs w:val="20"/>
          <w:rtl/>
        </w:rPr>
        <w:t>שמואל</w:t>
      </w:r>
      <w:r w:rsidRPr="00E264B1">
        <w:rPr>
          <w:rFonts w:cs="Arial"/>
          <w:sz w:val="20"/>
          <w:szCs w:val="20"/>
          <w:rtl/>
        </w:rPr>
        <w:t xml:space="preserve">: </w:t>
      </w:r>
      <w:r w:rsidRPr="00E264B1">
        <w:rPr>
          <w:rFonts w:cs="Arial" w:hint="cs"/>
          <w:sz w:val="20"/>
          <w:szCs w:val="20"/>
          <w:rtl/>
        </w:rPr>
        <w:t>לא</w:t>
      </w:r>
      <w:r w:rsidRPr="00E264B1">
        <w:rPr>
          <w:rFonts w:cs="Arial"/>
          <w:sz w:val="20"/>
          <w:szCs w:val="20"/>
          <w:rtl/>
        </w:rPr>
        <w:t xml:space="preserve"> </w:t>
      </w:r>
      <w:r w:rsidRPr="00E264B1">
        <w:rPr>
          <w:rFonts w:cs="Arial" w:hint="cs"/>
          <w:sz w:val="20"/>
          <w:szCs w:val="20"/>
          <w:rtl/>
        </w:rPr>
        <w:t>שנו</w:t>
      </w:r>
      <w:r w:rsidRPr="00E264B1">
        <w:rPr>
          <w:rFonts w:cs="Arial"/>
          <w:sz w:val="20"/>
          <w:szCs w:val="20"/>
          <w:rtl/>
        </w:rPr>
        <w:t xml:space="preserve"> </w:t>
      </w:r>
      <w:r w:rsidRPr="00E264B1">
        <w:rPr>
          <w:rFonts w:cs="Arial" w:hint="cs"/>
          <w:sz w:val="20"/>
          <w:szCs w:val="20"/>
          <w:rtl/>
        </w:rPr>
        <w:t>אלא</w:t>
      </w:r>
      <w:r w:rsidRPr="00E264B1">
        <w:rPr>
          <w:rFonts w:cs="Arial"/>
          <w:sz w:val="20"/>
          <w:szCs w:val="20"/>
          <w:rtl/>
        </w:rPr>
        <w:t xml:space="preserve"> </w:t>
      </w:r>
      <w:r w:rsidRPr="00E264B1">
        <w:rPr>
          <w:rFonts w:cs="Arial" w:hint="cs"/>
          <w:sz w:val="20"/>
          <w:szCs w:val="20"/>
          <w:rtl/>
        </w:rPr>
        <w:t>באשה</w:t>
      </w:r>
      <w:r w:rsidRPr="00E264B1">
        <w:rPr>
          <w:rFonts w:cs="Arial"/>
          <w:sz w:val="20"/>
          <w:szCs w:val="20"/>
          <w:rtl/>
        </w:rPr>
        <w:t xml:space="preserve"> </w:t>
      </w:r>
      <w:r w:rsidRPr="00E264B1">
        <w:rPr>
          <w:rFonts w:cs="Arial" w:hint="cs"/>
          <w:sz w:val="20"/>
          <w:szCs w:val="20"/>
          <w:rtl/>
        </w:rPr>
        <w:t>עסוקה</w:t>
      </w:r>
      <w:r w:rsidRPr="00E264B1">
        <w:rPr>
          <w:rFonts w:cs="Arial"/>
          <w:sz w:val="20"/>
          <w:szCs w:val="20"/>
          <w:rtl/>
        </w:rPr>
        <w:t xml:space="preserve"> </w:t>
      </w:r>
      <w:r w:rsidRPr="00E264B1">
        <w:rPr>
          <w:rFonts w:cs="Arial" w:hint="cs"/>
          <w:sz w:val="20"/>
          <w:szCs w:val="20"/>
          <w:rtl/>
        </w:rPr>
        <w:t>בטהרות</w:t>
      </w:r>
      <w:r w:rsidRPr="00E264B1">
        <w:rPr>
          <w:rFonts w:cs="Arial"/>
          <w:sz w:val="20"/>
          <w:szCs w:val="20"/>
          <w:rtl/>
        </w:rPr>
        <w:t xml:space="preserve">, </w:t>
      </w:r>
      <w:r w:rsidRPr="00E264B1">
        <w:rPr>
          <w:rFonts w:cs="Arial" w:hint="cs"/>
          <w:sz w:val="20"/>
          <w:szCs w:val="20"/>
          <w:rtl/>
        </w:rPr>
        <w:t>דמגו</w:t>
      </w:r>
      <w:r w:rsidRPr="00E264B1">
        <w:rPr>
          <w:rFonts w:cs="Arial"/>
          <w:sz w:val="20"/>
          <w:szCs w:val="20"/>
          <w:rtl/>
        </w:rPr>
        <w:t xml:space="preserve"> </w:t>
      </w:r>
      <w:r w:rsidRPr="00E264B1">
        <w:rPr>
          <w:rFonts w:cs="Arial" w:hint="cs"/>
          <w:sz w:val="20"/>
          <w:szCs w:val="20"/>
          <w:rtl/>
        </w:rPr>
        <w:t>דבעיא</w:t>
      </w:r>
      <w:r w:rsidRPr="00E264B1">
        <w:rPr>
          <w:rFonts w:cs="Arial"/>
          <w:sz w:val="20"/>
          <w:szCs w:val="20"/>
          <w:rtl/>
        </w:rPr>
        <w:t xml:space="preserve"> </w:t>
      </w:r>
      <w:r w:rsidRPr="00E264B1">
        <w:rPr>
          <w:rFonts w:cs="Arial" w:hint="cs"/>
          <w:sz w:val="20"/>
          <w:szCs w:val="20"/>
          <w:rtl/>
        </w:rPr>
        <w:t>בדיקה</w:t>
      </w:r>
      <w:r w:rsidRPr="00E264B1">
        <w:rPr>
          <w:rFonts w:cs="Arial"/>
          <w:sz w:val="20"/>
          <w:szCs w:val="20"/>
          <w:rtl/>
        </w:rPr>
        <w:t xml:space="preserve"> </w:t>
      </w:r>
      <w:r w:rsidRPr="00E264B1">
        <w:rPr>
          <w:rFonts w:cs="Arial" w:hint="cs"/>
          <w:sz w:val="20"/>
          <w:szCs w:val="20"/>
          <w:rtl/>
        </w:rPr>
        <w:t>לטהרות</w:t>
      </w:r>
      <w:r w:rsidRPr="00E264B1">
        <w:rPr>
          <w:rFonts w:cs="Arial"/>
          <w:sz w:val="20"/>
          <w:szCs w:val="20"/>
          <w:rtl/>
        </w:rPr>
        <w:t xml:space="preserve"> - </w:t>
      </w:r>
      <w:r w:rsidRPr="00E264B1">
        <w:rPr>
          <w:rFonts w:cs="Arial" w:hint="cs"/>
          <w:sz w:val="20"/>
          <w:szCs w:val="20"/>
          <w:rtl/>
        </w:rPr>
        <w:t>בעיא</w:t>
      </w:r>
      <w:r w:rsidRPr="00E264B1">
        <w:rPr>
          <w:rFonts w:cs="Arial"/>
          <w:sz w:val="20"/>
          <w:szCs w:val="20"/>
          <w:rtl/>
        </w:rPr>
        <w:t xml:space="preserve"> </w:t>
      </w:r>
      <w:r w:rsidRPr="00E264B1">
        <w:rPr>
          <w:rFonts w:cs="Arial" w:hint="cs"/>
          <w:sz w:val="20"/>
          <w:szCs w:val="20"/>
          <w:rtl/>
        </w:rPr>
        <w:t>נמי</w:t>
      </w:r>
      <w:r w:rsidRPr="00E264B1">
        <w:rPr>
          <w:rFonts w:cs="Arial"/>
          <w:sz w:val="20"/>
          <w:szCs w:val="20"/>
          <w:rtl/>
        </w:rPr>
        <w:t xml:space="preserve"> </w:t>
      </w:r>
      <w:r w:rsidRPr="00E264B1">
        <w:rPr>
          <w:rFonts w:cs="Arial" w:hint="cs"/>
          <w:sz w:val="20"/>
          <w:szCs w:val="20"/>
          <w:rtl/>
        </w:rPr>
        <w:t>בדיקה</w:t>
      </w:r>
      <w:r w:rsidRPr="00E264B1">
        <w:rPr>
          <w:rFonts w:cs="Arial"/>
          <w:sz w:val="20"/>
          <w:szCs w:val="20"/>
          <w:rtl/>
        </w:rPr>
        <w:t xml:space="preserve"> </w:t>
      </w:r>
      <w:r w:rsidRPr="00E264B1">
        <w:rPr>
          <w:rFonts w:cs="Arial" w:hint="cs"/>
          <w:sz w:val="20"/>
          <w:szCs w:val="20"/>
          <w:rtl/>
        </w:rPr>
        <w:t>לבעלה</w:t>
      </w:r>
      <w:r w:rsidRPr="00E264B1">
        <w:rPr>
          <w:rFonts w:cs="Arial"/>
          <w:sz w:val="20"/>
          <w:szCs w:val="20"/>
          <w:rtl/>
        </w:rPr>
        <w:t xml:space="preserve">, </w:t>
      </w:r>
      <w:r w:rsidRPr="00E264B1">
        <w:rPr>
          <w:rFonts w:cs="Arial" w:hint="cs"/>
          <w:sz w:val="20"/>
          <w:szCs w:val="20"/>
          <w:rtl/>
        </w:rPr>
        <w:t>אבל</w:t>
      </w:r>
      <w:r w:rsidRPr="00E264B1">
        <w:rPr>
          <w:rFonts w:cs="Arial"/>
          <w:sz w:val="20"/>
          <w:szCs w:val="20"/>
          <w:rtl/>
        </w:rPr>
        <w:t xml:space="preserve"> </w:t>
      </w:r>
      <w:r w:rsidRPr="00E264B1">
        <w:rPr>
          <w:rFonts w:cs="Arial" w:hint="cs"/>
          <w:sz w:val="20"/>
          <w:szCs w:val="20"/>
          <w:rtl/>
        </w:rPr>
        <w:t>אינה</w:t>
      </w:r>
      <w:r w:rsidRPr="00E264B1">
        <w:rPr>
          <w:rFonts w:cs="Arial"/>
          <w:sz w:val="20"/>
          <w:szCs w:val="20"/>
          <w:rtl/>
        </w:rPr>
        <w:t xml:space="preserve"> </w:t>
      </w:r>
      <w:r w:rsidRPr="00E264B1">
        <w:rPr>
          <w:rFonts w:cs="Arial" w:hint="cs"/>
          <w:sz w:val="20"/>
          <w:szCs w:val="20"/>
          <w:rtl/>
        </w:rPr>
        <w:t>עסוקה</w:t>
      </w:r>
      <w:r w:rsidRPr="00E264B1">
        <w:rPr>
          <w:rFonts w:cs="Arial"/>
          <w:sz w:val="20"/>
          <w:szCs w:val="20"/>
          <w:rtl/>
        </w:rPr>
        <w:t xml:space="preserve"> </w:t>
      </w:r>
      <w:r w:rsidRPr="00E264B1">
        <w:rPr>
          <w:rFonts w:cs="Arial" w:hint="cs"/>
          <w:sz w:val="20"/>
          <w:szCs w:val="20"/>
          <w:rtl/>
        </w:rPr>
        <w:t>בטהרות</w:t>
      </w:r>
      <w:r w:rsidRPr="00E264B1">
        <w:rPr>
          <w:rFonts w:cs="Arial"/>
          <w:sz w:val="20"/>
          <w:szCs w:val="20"/>
          <w:rtl/>
        </w:rPr>
        <w:t xml:space="preserve"> - </w:t>
      </w:r>
      <w:r w:rsidRPr="00E264B1">
        <w:rPr>
          <w:rFonts w:cs="Arial" w:hint="cs"/>
          <w:sz w:val="20"/>
          <w:szCs w:val="20"/>
          <w:rtl/>
        </w:rPr>
        <w:t>לא</w:t>
      </w:r>
      <w:r w:rsidRPr="00E264B1">
        <w:rPr>
          <w:rFonts w:cs="Arial"/>
          <w:sz w:val="20"/>
          <w:szCs w:val="20"/>
          <w:rtl/>
        </w:rPr>
        <w:t xml:space="preserve"> </w:t>
      </w:r>
      <w:r w:rsidRPr="00E264B1">
        <w:rPr>
          <w:rFonts w:cs="Arial" w:hint="cs"/>
          <w:sz w:val="20"/>
          <w:szCs w:val="20"/>
          <w:rtl/>
        </w:rPr>
        <w:t>בעיא</w:t>
      </w:r>
      <w:r w:rsidRPr="00E264B1">
        <w:rPr>
          <w:rFonts w:cs="Arial"/>
          <w:sz w:val="20"/>
          <w:szCs w:val="20"/>
          <w:rtl/>
        </w:rPr>
        <w:t xml:space="preserve"> </w:t>
      </w:r>
      <w:r w:rsidRPr="00E264B1">
        <w:rPr>
          <w:rFonts w:cs="Arial" w:hint="cs"/>
          <w:sz w:val="20"/>
          <w:szCs w:val="20"/>
          <w:rtl/>
        </w:rPr>
        <w:t>בדיקה</w:t>
      </w:r>
      <w:r w:rsidRPr="00E264B1">
        <w:rPr>
          <w:rFonts w:cs="Arial"/>
          <w:sz w:val="20"/>
          <w:szCs w:val="20"/>
          <w:rtl/>
        </w:rPr>
        <w:t xml:space="preserve">. </w:t>
      </w:r>
      <w:r w:rsidRPr="00E264B1">
        <w:rPr>
          <w:rFonts w:cs="Arial" w:hint="cs"/>
          <w:sz w:val="20"/>
          <w:szCs w:val="20"/>
          <w:rtl/>
        </w:rPr>
        <w:t>מאי</w:t>
      </w:r>
      <w:r w:rsidRPr="00E264B1">
        <w:rPr>
          <w:rFonts w:cs="Arial"/>
          <w:sz w:val="20"/>
          <w:szCs w:val="20"/>
          <w:rtl/>
        </w:rPr>
        <w:t xml:space="preserve"> </w:t>
      </w:r>
      <w:r w:rsidRPr="00E264B1">
        <w:rPr>
          <w:rFonts w:cs="Arial" w:hint="cs"/>
          <w:sz w:val="20"/>
          <w:szCs w:val="20"/>
          <w:rtl/>
        </w:rPr>
        <w:t>ק</w:t>
      </w:r>
      <w:r>
        <w:rPr>
          <w:rFonts w:cs="Arial" w:hint="cs"/>
          <w:sz w:val="20"/>
          <w:szCs w:val="20"/>
          <w:rtl/>
        </w:rPr>
        <w:t xml:space="preserve">א משמע </w:t>
      </w:r>
      <w:r w:rsidRPr="00E264B1">
        <w:rPr>
          <w:rFonts w:cs="Arial" w:hint="cs"/>
          <w:sz w:val="20"/>
          <w:szCs w:val="20"/>
          <w:rtl/>
        </w:rPr>
        <w:t>ל</w:t>
      </w:r>
      <w:r>
        <w:rPr>
          <w:rFonts w:cs="Arial" w:hint="cs"/>
          <w:sz w:val="20"/>
          <w:szCs w:val="20"/>
          <w:rtl/>
        </w:rPr>
        <w:t>ן</w:t>
      </w:r>
      <w:r w:rsidRPr="00E264B1">
        <w:rPr>
          <w:rFonts w:cs="Arial"/>
          <w:sz w:val="20"/>
          <w:szCs w:val="20"/>
          <w:rtl/>
        </w:rPr>
        <w:t xml:space="preserve">? </w:t>
      </w:r>
      <w:r w:rsidRPr="00E264B1">
        <w:rPr>
          <w:rFonts w:cs="Arial" w:hint="cs"/>
          <w:sz w:val="20"/>
          <w:szCs w:val="20"/>
          <w:rtl/>
        </w:rPr>
        <w:t>תנינא</w:t>
      </w:r>
      <w:r w:rsidRPr="00E264B1">
        <w:rPr>
          <w:rFonts w:cs="Arial"/>
          <w:sz w:val="20"/>
          <w:szCs w:val="20"/>
          <w:rtl/>
        </w:rPr>
        <w:t xml:space="preserve"> - </w:t>
      </w:r>
      <w:r w:rsidRPr="00E264B1">
        <w:rPr>
          <w:rFonts w:cs="Arial" w:hint="cs"/>
          <w:sz w:val="20"/>
          <w:szCs w:val="20"/>
          <w:rtl/>
        </w:rPr>
        <w:t>כל</w:t>
      </w:r>
      <w:r w:rsidRPr="00E264B1">
        <w:rPr>
          <w:rFonts w:cs="Arial"/>
          <w:sz w:val="20"/>
          <w:szCs w:val="20"/>
          <w:rtl/>
        </w:rPr>
        <w:t xml:space="preserve"> </w:t>
      </w:r>
      <w:r w:rsidRPr="00E264B1">
        <w:rPr>
          <w:rFonts w:cs="Arial" w:hint="cs"/>
          <w:sz w:val="20"/>
          <w:szCs w:val="20"/>
          <w:rtl/>
        </w:rPr>
        <w:t>הנשים</w:t>
      </w:r>
      <w:r w:rsidRPr="00E264B1">
        <w:rPr>
          <w:rFonts w:cs="Arial"/>
          <w:sz w:val="20"/>
          <w:szCs w:val="20"/>
          <w:rtl/>
        </w:rPr>
        <w:t xml:space="preserve"> </w:t>
      </w:r>
      <w:r w:rsidRPr="00E264B1">
        <w:rPr>
          <w:rFonts w:cs="Arial" w:hint="cs"/>
          <w:sz w:val="20"/>
          <w:szCs w:val="20"/>
          <w:rtl/>
        </w:rPr>
        <w:t>בחזקת</w:t>
      </w:r>
      <w:r w:rsidRPr="00E264B1">
        <w:rPr>
          <w:rFonts w:cs="Arial"/>
          <w:sz w:val="20"/>
          <w:szCs w:val="20"/>
          <w:rtl/>
        </w:rPr>
        <w:t xml:space="preserve"> </w:t>
      </w:r>
      <w:r w:rsidRPr="00E264B1">
        <w:rPr>
          <w:rFonts w:cs="Arial" w:hint="cs"/>
          <w:sz w:val="20"/>
          <w:szCs w:val="20"/>
          <w:rtl/>
        </w:rPr>
        <w:t>טהרה</w:t>
      </w:r>
      <w:r w:rsidRPr="00E264B1">
        <w:rPr>
          <w:rFonts w:cs="Arial"/>
          <w:sz w:val="20"/>
          <w:szCs w:val="20"/>
          <w:rtl/>
        </w:rPr>
        <w:t xml:space="preserve"> </w:t>
      </w:r>
      <w:r w:rsidRPr="00E264B1">
        <w:rPr>
          <w:rFonts w:cs="Arial" w:hint="cs"/>
          <w:sz w:val="20"/>
          <w:szCs w:val="20"/>
          <w:rtl/>
        </w:rPr>
        <w:t>לבעליהן</w:t>
      </w:r>
      <w:r w:rsidRPr="00E264B1">
        <w:rPr>
          <w:rFonts w:cs="Arial"/>
          <w:sz w:val="20"/>
          <w:szCs w:val="20"/>
          <w:rtl/>
        </w:rPr>
        <w:t xml:space="preserve">! </w:t>
      </w:r>
      <w:r w:rsidRPr="00E264B1">
        <w:rPr>
          <w:rFonts w:cs="Arial" w:hint="cs"/>
          <w:sz w:val="20"/>
          <w:szCs w:val="20"/>
          <w:rtl/>
        </w:rPr>
        <w:t>אי</w:t>
      </w:r>
      <w:r w:rsidRPr="00E264B1">
        <w:rPr>
          <w:rFonts w:cs="Arial"/>
          <w:sz w:val="20"/>
          <w:szCs w:val="20"/>
          <w:rtl/>
        </w:rPr>
        <w:t xml:space="preserve"> </w:t>
      </w:r>
      <w:r w:rsidRPr="00E264B1">
        <w:rPr>
          <w:rFonts w:cs="Arial" w:hint="cs"/>
          <w:sz w:val="20"/>
          <w:szCs w:val="20"/>
          <w:rtl/>
        </w:rPr>
        <w:t>ממתני</w:t>
      </w:r>
      <w:r>
        <w:rPr>
          <w:rFonts w:cs="Arial" w:hint="cs"/>
          <w:sz w:val="20"/>
          <w:szCs w:val="20"/>
          <w:rtl/>
        </w:rPr>
        <w:t xml:space="preserve">תין </w:t>
      </w:r>
      <w:r w:rsidRPr="00E264B1">
        <w:rPr>
          <w:rFonts w:cs="Arial"/>
          <w:sz w:val="20"/>
          <w:szCs w:val="20"/>
          <w:rtl/>
        </w:rPr>
        <w:t xml:space="preserve">- </w:t>
      </w:r>
      <w:r w:rsidRPr="00E264B1">
        <w:rPr>
          <w:rFonts w:cs="Arial" w:hint="cs"/>
          <w:sz w:val="20"/>
          <w:szCs w:val="20"/>
          <w:rtl/>
        </w:rPr>
        <w:t>הוה</w:t>
      </w:r>
      <w:r w:rsidRPr="00E264B1">
        <w:rPr>
          <w:rFonts w:cs="Arial"/>
          <w:sz w:val="20"/>
          <w:szCs w:val="20"/>
          <w:rtl/>
        </w:rPr>
        <w:t xml:space="preserve"> </w:t>
      </w:r>
      <w:r w:rsidRPr="00E264B1">
        <w:rPr>
          <w:rFonts w:cs="Arial" w:hint="cs"/>
          <w:sz w:val="20"/>
          <w:szCs w:val="20"/>
          <w:rtl/>
        </w:rPr>
        <w:t>אמינא</w:t>
      </w:r>
      <w:r w:rsidRPr="00E264B1">
        <w:rPr>
          <w:rFonts w:cs="Arial"/>
          <w:sz w:val="20"/>
          <w:szCs w:val="20"/>
          <w:rtl/>
        </w:rPr>
        <w:t xml:space="preserve">: </w:t>
      </w:r>
      <w:r w:rsidRPr="00E264B1">
        <w:rPr>
          <w:rFonts w:cs="Arial" w:hint="cs"/>
          <w:sz w:val="20"/>
          <w:szCs w:val="20"/>
          <w:rtl/>
        </w:rPr>
        <w:t>הני</w:t>
      </w:r>
      <w:r w:rsidRPr="00E264B1">
        <w:rPr>
          <w:rFonts w:cs="Arial"/>
          <w:sz w:val="20"/>
          <w:szCs w:val="20"/>
          <w:rtl/>
        </w:rPr>
        <w:t xml:space="preserve"> </w:t>
      </w:r>
      <w:r w:rsidRPr="00E264B1">
        <w:rPr>
          <w:rFonts w:cs="Arial" w:hint="cs"/>
          <w:sz w:val="20"/>
          <w:szCs w:val="20"/>
          <w:rtl/>
        </w:rPr>
        <w:t>מילי</w:t>
      </w:r>
      <w:r w:rsidRPr="00E264B1">
        <w:rPr>
          <w:rFonts w:cs="Arial"/>
          <w:sz w:val="20"/>
          <w:szCs w:val="20"/>
          <w:rtl/>
        </w:rPr>
        <w:t xml:space="preserve"> - </w:t>
      </w:r>
      <w:r w:rsidRPr="00E264B1">
        <w:rPr>
          <w:rFonts w:cs="Arial" w:hint="cs"/>
          <w:sz w:val="20"/>
          <w:szCs w:val="20"/>
          <w:rtl/>
        </w:rPr>
        <w:t>באשה</w:t>
      </w:r>
      <w:r w:rsidRPr="00E264B1">
        <w:rPr>
          <w:rFonts w:cs="Arial"/>
          <w:sz w:val="20"/>
          <w:szCs w:val="20"/>
          <w:rtl/>
        </w:rPr>
        <w:t xml:space="preserve"> </w:t>
      </w:r>
      <w:r w:rsidRPr="00E264B1">
        <w:rPr>
          <w:rFonts w:cs="Arial" w:hint="cs"/>
          <w:sz w:val="20"/>
          <w:szCs w:val="20"/>
          <w:rtl/>
        </w:rPr>
        <w:t>שיש</w:t>
      </w:r>
      <w:r w:rsidRPr="00E264B1">
        <w:rPr>
          <w:rFonts w:cs="Arial"/>
          <w:sz w:val="20"/>
          <w:szCs w:val="20"/>
          <w:rtl/>
        </w:rPr>
        <w:t xml:space="preserve"> </w:t>
      </w:r>
      <w:r w:rsidRPr="00E264B1">
        <w:rPr>
          <w:rFonts w:cs="Arial" w:hint="cs"/>
          <w:sz w:val="20"/>
          <w:szCs w:val="20"/>
          <w:rtl/>
        </w:rPr>
        <w:t>לה</w:t>
      </w:r>
      <w:r w:rsidRPr="00E264B1">
        <w:rPr>
          <w:rFonts w:cs="Arial"/>
          <w:sz w:val="20"/>
          <w:szCs w:val="20"/>
          <w:rtl/>
        </w:rPr>
        <w:t xml:space="preserve"> </w:t>
      </w:r>
      <w:r w:rsidRPr="00E264B1">
        <w:rPr>
          <w:rFonts w:cs="Arial" w:hint="cs"/>
          <w:sz w:val="20"/>
          <w:szCs w:val="20"/>
          <w:rtl/>
        </w:rPr>
        <w:t>וסת</w:t>
      </w:r>
      <w:r w:rsidRPr="00E264B1">
        <w:rPr>
          <w:rFonts w:cs="Arial"/>
          <w:sz w:val="20"/>
          <w:szCs w:val="20"/>
          <w:rtl/>
        </w:rPr>
        <w:t xml:space="preserve">. </w:t>
      </w:r>
      <w:r w:rsidRPr="00E264B1">
        <w:rPr>
          <w:rFonts w:cs="Arial" w:hint="cs"/>
          <w:sz w:val="20"/>
          <w:szCs w:val="20"/>
          <w:rtl/>
        </w:rPr>
        <w:t>אבל</w:t>
      </w:r>
      <w:r w:rsidRPr="00E264B1">
        <w:rPr>
          <w:rFonts w:cs="Arial"/>
          <w:sz w:val="20"/>
          <w:szCs w:val="20"/>
          <w:rtl/>
        </w:rPr>
        <w:t xml:space="preserve"> </w:t>
      </w:r>
      <w:r w:rsidRPr="00E264B1">
        <w:rPr>
          <w:rFonts w:cs="Arial" w:hint="cs"/>
          <w:sz w:val="20"/>
          <w:szCs w:val="20"/>
          <w:rtl/>
        </w:rPr>
        <w:t>אשה</w:t>
      </w:r>
      <w:r w:rsidRPr="00E264B1">
        <w:rPr>
          <w:rFonts w:cs="Arial"/>
          <w:sz w:val="20"/>
          <w:szCs w:val="20"/>
          <w:rtl/>
        </w:rPr>
        <w:t xml:space="preserve"> </w:t>
      </w:r>
      <w:r w:rsidRPr="00E264B1">
        <w:rPr>
          <w:rFonts w:cs="Arial" w:hint="cs"/>
          <w:sz w:val="20"/>
          <w:szCs w:val="20"/>
          <w:rtl/>
        </w:rPr>
        <w:t>שאין</w:t>
      </w:r>
      <w:r w:rsidRPr="00E264B1">
        <w:rPr>
          <w:rFonts w:cs="Arial"/>
          <w:sz w:val="20"/>
          <w:szCs w:val="20"/>
          <w:rtl/>
        </w:rPr>
        <w:t xml:space="preserve"> </w:t>
      </w:r>
      <w:r w:rsidRPr="00E264B1">
        <w:rPr>
          <w:rFonts w:cs="Arial" w:hint="cs"/>
          <w:sz w:val="20"/>
          <w:szCs w:val="20"/>
          <w:rtl/>
        </w:rPr>
        <w:t>לה</w:t>
      </w:r>
      <w:r w:rsidRPr="00E264B1">
        <w:rPr>
          <w:rFonts w:cs="Arial"/>
          <w:sz w:val="20"/>
          <w:szCs w:val="20"/>
          <w:rtl/>
        </w:rPr>
        <w:t xml:space="preserve"> </w:t>
      </w:r>
      <w:r w:rsidRPr="00E264B1">
        <w:rPr>
          <w:rFonts w:cs="Arial" w:hint="cs"/>
          <w:sz w:val="20"/>
          <w:szCs w:val="20"/>
          <w:rtl/>
        </w:rPr>
        <w:t>וסת</w:t>
      </w:r>
      <w:r w:rsidRPr="00E264B1">
        <w:rPr>
          <w:rFonts w:cs="Arial"/>
          <w:sz w:val="20"/>
          <w:szCs w:val="20"/>
          <w:rtl/>
        </w:rPr>
        <w:t xml:space="preserve"> - </w:t>
      </w:r>
      <w:r w:rsidRPr="00E264B1">
        <w:rPr>
          <w:rFonts w:cs="Arial" w:hint="cs"/>
          <w:sz w:val="20"/>
          <w:szCs w:val="20"/>
          <w:rtl/>
        </w:rPr>
        <w:t>בעיא</w:t>
      </w:r>
      <w:r w:rsidRPr="00E264B1">
        <w:rPr>
          <w:rFonts w:cs="Arial"/>
          <w:sz w:val="20"/>
          <w:szCs w:val="20"/>
          <w:rtl/>
        </w:rPr>
        <w:t xml:space="preserve"> </w:t>
      </w:r>
      <w:r w:rsidRPr="00E264B1">
        <w:rPr>
          <w:rFonts w:cs="Arial" w:hint="cs"/>
          <w:sz w:val="20"/>
          <w:szCs w:val="20"/>
          <w:rtl/>
        </w:rPr>
        <w:t>בדיקה</w:t>
      </w:r>
      <w:r w:rsidRPr="00E264B1">
        <w:rPr>
          <w:rFonts w:cs="Arial"/>
          <w:sz w:val="20"/>
          <w:szCs w:val="20"/>
          <w:rtl/>
        </w:rPr>
        <w:t>.</w:t>
      </w:r>
      <w:r>
        <w:rPr>
          <w:rFonts w:cs="Arial" w:hint="cs"/>
          <w:sz w:val="20"/>
          <w:szCs w:val="20"/>
          <w:rtl/>
        </w:rPr>
        <w:t>.</w:t>
      </w:r>
      <w:r w:rsidRPr="00E264B1">
        <w:rPr>
          <w:rFonts w:cs="Arial"/>
          <w:sz w:val="20"/>
          <w:szCs w:val="20"/>
          <w:rtl/>
        </w:rPr>
        <w:t xml:space="preserve">. </w:t>
      </w:r>
      <w:r w:rsidRPr="00E264B1">
        <w:rPr>
          <w:rFonts w:cs="Arial" w:hint="cs"/>
          <w:sz w:val="20"/>
          <w:szCs w:val="20"/>
          <w:rtl/>
        </w:rPr>
        <w:t>תניא</w:t>
      </w:r>
      <w:r w:rsidRPr="00E264B1">
        <w:rPr>
          <w:rFonts w:cs="Arial"/>
          <w:sz w:val="20"/>
          <w:szCs w:val="20"/>
          <w:rtl/>
        </w:rPr>
        <w:t xml:space="preserve"> </w:t>
      </w:r>
      <w:r w:rsidRPr="00E264B1">
        <w:rPr>
          <w:rFonts w:cs="Arial" w:hint="cs"/>
          <w:sz w:val="20"/>
          <w:szCs w:val="20"/>
          <w:rtl/>
        </w:rPr>
        <w:t>נמי</w:t>
      </w:r>
      <w:r w:rsidRPr="00E264B1">
        <w:rPr>
          <w:rFonts w:cs="Arial"/>
          <w:sz w:val="20"/>
          <w:szCs w:val="20"/>
          <w:rtl/>
        </w:rPr>
        <w:t xml:space="preserve"> </w:t>
      </w:r>
      <w:r w:rsidRPr="00E264B1">
        <w:rPr>
          <w:rFonts w:cs="Arial" w:hint="cs"/>
          <w:sz w:val="20"/>
          <w:szCs w:val="20"/>
          <w:rtl/>
        </w:rPr>
        <w:t>הכי</w:t>
      </w:r>
      <w:r w:rsidRPr="00E264B1">
        <w:rPr>
          <w:rFonts w:cs="Arial"/>
          <w:sz w:val="20"/>
          <w:szCs w:val="20"/>
          <w:rtl/>
        </w:rPr>
        <w:t xml:space="preserve">: </w:t>
      </w:r>
      <w:r w:rsidRPr="00E264B1">
        <w:rPr>
          <w:rFonts w:cs="Arial" w:hint="cs"/>
          <w:sz w:val="20"/>
          <w:szCs w:val="20"/>
          <w:rtl/>
        </w:rPr>
        <w:t>ב</w:t>
      </w:r>
      <w:r>
        <w:rPr>
          <w:rFonts w:cs="Arial" w:hint="cs"/>
          <w:sz w:val="20"/>
          <w:szCs w:val="20"/>
          <w:rtl/>
        </w:rPr>
        <w:t xml:space="preserve">מה דברים </w:t>
      </w:r>
      <w:r w:rsidRPr="00E264B1">
        <w:rPr>
          <w:rFonts w:cs="Arial" w:hint="cs"/>
          <w:sz w:val="20"/>
          <w:szCs w:val="20"/>
          <w:rtl/>
        </w:rPr>
        <w:t>א</w:t>
      </w:r>
      <w:r>
        <w:rPr>
          <w:rFonts w:cs="Arial" w:hint="cs"/>
          <w:sz w:val="20"/>
          <w:szCs w:val="20"/>
          <w:rtl/>
        </w:rPr>
        <w:t>מורים</w:t>
      </w:r>
      <w:r w:rsidRPr="00E264B1">
        <w:rPr>
          <w:rFonts w:cs="Arial"/>
          <w:sz w:val="20"/>
          <w:szCs w:val="20"/>
          <w:rtl/>
        </w:rPr>
        <w:t xml:space="preserve"> - </w:t>
      </w:r>
      <w:r w:rsidRPr="00E264B1">
        <w:rPr>
          <w:rFonts w:cs="Arial" w:hint="cs"/>
          <w:sz w:val="20"/>
          <w:szCs w:val="20"/>
          <w:rtl/>
        </w:rPr>
        <w:t>לטהרות</w:t>
      </w:r>
      <w:r w:rsidRPr="00E264B1">
        <w:rPr>
          <w:rFonts w:cs="Arial"/>
          <w:sz w:val="20"/>
          <w:szCs w:val="20"/>
          <w:rtl/>
        </w:rPr>
        <w:t xml:space="preserve">, </w:t>
      </w:r>
      <w:r w:rsidRPr="00E264B1">
        <w:rPr>
          <w:rFonts w:cs="Arial" w:hint="cs"/>
          <w:sz w:val="20"/>
          <w:szCs w:val="20"/>
          <w:rtl/>
        </w:rPr>
        <w:t>אבל</w:t>
      </w:r>
      <w:r w:rsidRPr="00E264B1">
        <w:rPr>
          <w:rFonts w:cs="Arial"/>
          <w:sz w:val="20"/>
          <w:szCs w:val="20"/>
          <w:rtl/>
        </w:rPr>
        <w:t xml:space="preserve"> </w:t>
      </w:r>
      <w:r w:rsidRPr="00E264B1">
        <w:rPr>
          <w:rFonts w:cs="Arial" w:hint="cs"/>
          <w:sz w:val="20"/>
          <w:szCs w:val="20"/>
          <w:rtl/>
        </w:rPr>
        <w:t>לבעלה</w:t>
      </w:r>
      <w:r w:rsidRPr="00E264B1">
        <w:rPr>
          <w:rFonts w:cs="Arial"/>
          <w:sz w:val="20"/>
          <w:szCs w:val="20"/>
          <w:rtl/>
        </w:rPr>
        <w:t xml:space="preserve"> </w:t>
      </w:r>
      <w:r>
        <w:rPr>
          <w:rFonts w:cs="Arial"/>
          <w:sz w:val="20"/>
          <w:szCs w:val="20"/>
          <w:rtl/>
        </w:rPr>
        <w:t>–</w:t>
      </w:r>
      <w:r w:rsidRPr="00E264B1">
        <w:rPr>
          <w:rFonts w:cs="Arial"/>
          <w:sz w:val="20"/>
          <w:szCs w:val="20"/>
          <w:rtl/>
        </w:rPr>
        <w:t xml:space="preserve"> </w:t>
      </w:r>
      <w:r w:rsidRPr="00E264B1">
        <w:rPr>
          <w:rFonts w:cs="Arial" w:hint="cs"/>
          <w:sz w:val="20"/>
          <w:szCs w:val="20"/>
          <w:rtl/>
        </w:rPr>
        <w:t>מותרת</w:t>
      </w:r>
      <w:r>
        <w:rPr>
          <w:rFonts w:cs="Arial" w:hint="cs"/>
          <w:sz w:val="20"/>
          <w:szCs w:val="20"/>
          <w:rtl/>
        </w:rPr>
        <w:t>".</w:t>
      </w:r>
    </w:p>
    <w:p w:rsidR="00620060" w:rsidRDefault="00620060" w:rsidP="00620060">
      <w:pPr>
        <w:rPr>
          <w:sz w:val="20"/>
          <w:szCs w:val="20"/>
          <w:rtl/>
        </w:rPr>
      </w:pPr>
      <w:r>
        <w:rPr>
          <w:rFonts w:hint="cs"/>
          <w:sz w:val="20"/>
          <w:szCs w:val="20"/>
          <w:rtl/>
        </w:rPr>
        <w:t xml:space="preserve">ב. </w:t>
      </w:r>
      <w:r>
        <w:rPr>
          <w:rFonts w:hint="cs"/>
          <w:b/>
          <w:bCs/>
          <w:sz w:val="20"/>
          <w:szCs w:val="20"/>
          <w:rtl/>
        </w:rPr>
        <w:t xml:space="preserve">גמרא </w:t>
      </w:r>
      <w:r>
        <w:rPr>
          <w:rFonts w:hint="cs"/>
          <w:sz w:val="20"/>
          <w:szCs w:val="20"/>
          <w:rtl/>
        </w:rPr>
        <w:t>שם (יב.) "</w:t>
      </w:r>
      <w:r w:rsidRPr="00B230E4">
        <w:rPr>
          <w:rFonts w:cs="Arial" w:hint="cs"/>
          <w:sz w:val="20"/>
          <w:szCs w:val="20"/>
          <w:rtl/>
        </w:rPr>
        <w:t>אמר</w:t>
      </w:r>
      <w:r w:rsidRPr="00B230E4">
        <w:rPr>
          <w:rFonts w:cs="Arial"/>
          <w:sz w:val="20"/>
          <w:szCs w:val="20"/>
          <w:rtl/>
        </w:rPr>
        <w:t xml:space="preserve"> </w:t>
      </w:r>
      <w:r w:rsidRPr="00B230E4">
        <w:rPr>
          <w:rFonts w:cs="Arial" w:hint="cs"/>
          <w:sz w:val="20"/>
          <w:szCs w:val="20"/>
          <w:rtl/>
        </w:rPr>
        <w:t>רבי</w:t>
      </w:r>
      <w:r w:rsidRPr="00B230E4">
        <w:rPr>
          <w:rFonts w:cs="Arial"/>
          <w:sz w:val="20"/>
          <w:szCs w:val="20"/>
          <w:rtl/>
        </w:rPr>
        <w:t xml:space="preserve"> </w:t>
      </w:r>
      <w:r w:rsidRPr="00B230E4">
        <w:rPr>
          <w:rFonts w:cs="Arial" w:hint="cs"/>
          <w:sz w:val="20"/>
          <w:szCs w:val="20"/>
          <w:rtl/>
        </w:rPr>
        <w:t>זירא</w:t>
      </w:r>
      <w:r w:rsidRPr="00B230E4">
        <w:rPr>
          <w:rFonts w:cs="Arial"/>
          <w:sz w:val="20"/>
          <w:szCs w:val="20"/>
          <w:rtl/>
        </w:rPr>
        <w:t xml:space="preserve"> </w:t>
      </w:r>
      <w:r w:rsidRPr="00B230E4">
        <w:rPr>
          <w:rFonts w:cs="Arial" w:hint="cs"/>
          <w:sz w:val="20"/>
          <w:szCs w:val="20"/>
          <w:rtl/>
        </w:rPr>
        <w:t>אמר</w:t>
      </w:r>
      <w:r w:rsidRPr="00B230E4">
        <w:rPr>
          <w:rFonts w:cs="Arial"/>
          <w:sz w:val="20"/>
          <w:szCs w:val="20"/>
          <w:rtl/>
        </w:rPr>
        <w:t xml:space="preserve"> </w:t>
      </w:r>
      <w:r w:rsidRPr="00B230E4">
        <w:rPr>
          <w:rFonts w:cs="Arial" w:hint="cs"/>
          <w:sz w:val="20"/>
          <w:szCs w:val="20"/>
          <w:rtl/>
        </w:rPr>
        <w:t>רבי</w:t>
      </w:r>
      <w:r w:rsidRPr="00B230E4">
        <w:rPr>
          <w:rFonts w:cs="Arial"/>
          <w:sz w:val="20"/>
          <w:szCs w:val="20"/>
          <w:rtl/>
        </w:rPr>
        <w:t xml:space="preserve"> </w:t>
      </w:r>
      <w:r w:rsidRPr="00B230E4">
        <w:rPr>
          <w:rFonts w:cs="Arial" w:hint="cs"/>
          <w:sz w:val="20"/>
          <w:szCs w:val="20"/>
          <w:rtl/>
        </w:rPr>
        <w:t>אבא</w:t>
      </w:r>
      <w:r w:rsidRPr="00B230E4">
        <w:rPr>
          <w:rFonts w:cs="Arial"/>
          <w:sz w:val="20"/>
          <w:szCs w:val="20"/>
          <w:rtl/>
        </w:rPr>
        <w:t xml:space="preserve"> </w:t>
      </w:r>
      <w:r w:rsidRPr="00B230E4">
        <w:rPr>
          <w:rFonts w:cs="Arial" w:hint="cs"/>
          <w:sz w:val="20"/>
          <w:szCs w:val="20"/>
          <w:rtl/>
        </w:rPr>
        <w:t>בר</w:t>
      </w:r>
      <w:r w:rsidRPr="00B230E4">
        <w:rPr>
          <w:rFonts w:cs="Arial"/>
          <w:sz w:val="20"/>
          <w:szCs w:val="20"/>
          <w:rtl/>
        </w:rPr>
        <w:t xml:space="preserve"> </w:t>
      </w:r>
      <w:r w:rsidRPr="00B230E4">
        <w:rPr>
          <w:rFonts w:cs="Arial" w:hint="cs"/>
          <w:sz w:val="20"/>
          <w:szCs w:val="20"/>
          <w:rtl/>
        </w:rPr>
        <w:t>ירמיה</w:t>
      </w:r>
      <w:r w:rsidRPr="00B230E4">
        <w:rPr>
          <w:rFonts w:cs="Arial"/>
          <w:sz w:val="20"/>
          <w:szCs w:val="20"/>
          <w:rtl/>
        </w:rPr>
        <w:t xml:space="preserve"> </w:t>
      </w:r>
      <w:r w:rsidRPr="00B230E4">
        <w:rPr>
          <w:rFonts w:cs="Arial" w:hint="cs"/>
          <w:sz w:val="20"/>
          <w:szCs w:val="20"/>
          <w:rtl/>
        </w:rPr>
        <w:t>אמר</w:t>
      </w:r>
      <w:r w:rsidRPr="00B230E4">
        <w:rPr>
          <w:rFonts w:cs="Arial"/>
          <w:sz w:val="20"/>
          <w:szCs w:val="20"/>
          <w:rtl/>
        </w:rPr>
        <w:t xml:space="preserve"> </w:t>
      </w:r>
      <w:r w:rsidRPr="00B230E4">
        <w:rPr>
          <w:rFonts w:cs="Arial" w:hint="cs"/>
          <w:sz w:val="20"/>
          <w:szCs w:val="20"/>
          <w:rtl/>
        </w:rPr>
        <w:t>שמואל</w:t>
      </w:r>
      <w:r w:rsidRPr="00B230E4">
        <w:rPr>
          <w:rFonts w:cs="Arial"/>
          <w:sz w:val="20"/>
          <w:szCs w:val="20"/>
          <w:rtl/>
        </w:rPr>
        <w:t xml:space="preserve">: </w:t>
      </w:r>
      <w:r w:rsidRPr="00B230E4">
        <w:rPr>
          <w:rFonts w:cs="Arial" w:hint="cs"/>
          <w:sz w:val="20"/>
          <w:szCs w:val="20"/>
          <w:rtl/>
        </w:rPr>
        <w:t>אשה</w:t>
      </w:r>
      <w:r w:rsidRPr="00B230E4">
        <w:rPr>
          <w:rFonts w:cs="Arial"/>
          <w:sz w:val="20"/>
          <w:szCs w:val="20"/>
          <w:rtl/>
        </w:rPr>
        <w:t xml:space="preserve"> </w:t>
      </w:r>
      <w:r w:rsidRPr="00B230E4">
        <w:rPr>
          <w:rFonts w:cs="Arial" w:hint="cs"/>
          <w:sz w:val="20"/>
          <w:szCs w:val="20"/>
          <w:rtl/>
        </w:rPr>
        <w:t>שאין</w:t>
      </w:r>
      <w:r w:rsidRPr="00B230E4">
        <w:rPr>
          <w:rFonts w:cs="Arial"/>
          <w:sz w:val="20"/>
          <w:szCs w:val="20"/>
          <w:rtl/>
        </w:rPr>
        <w:t xml:space="preserve"> </w:t>
      </w:r>
      <w:r w:rsidRPr="00B230E4">
        <w:rPr>
          <w:rFonts w:cs="Arial" w:hint="cs"/>
          <w:sz w:val="20"/>
          <w:szCs w:val="20"/>
          <w:rtl/>
        </w:rPr>
        <w:t>לה</w:t>
      </w:r>
      <w:r w:rsidRPr="00B230E4">
        <w:rPr>
          <w:rFonts w:cs="Arial"/>
          <w:sz w:val="20"/>
          <w:szCs w:val="20"/>
          <w:rtl/>
        </w:rPr>
        <w:t xml:space="preserve"> </w:t>
      </w:r>
      <w:r w:rsidRPr="00B230E4">
        <w:rPr>
          <w:rFonts w:cs="Arial" w:hint="cs"/>
          <w:sz w:val="20"/>
          <w:szCs w:val="20"/>
          <w:rtl/>
        </w:rPr>
        <w:t>וסת</w:t>
      </w:r>
      <w:r w:rsidRPr="00B230E4">
        <w:rPr>
          <w:rFonts w:cs="Arial"/>
          <w:sz w:val="20"/>
          <w:szCs w:val="20"/>
          <w:rtl/>
        </w:rPr>
        <w:t xml:space="preserve"> - </w:t>
      </w:r>
      <w:r w:rsidRPr="00B230E4">
        <w:rPr>
          <w:rFonts w:cs="Arial" w:hint="cs"/>
          <w:sz w:val="20"/>
          <w:szCs w:val="20"/>
          <w:rtl/>
        </w:rPr>
        <w:t>אסורה</w:t>
      </w:r>
      <w:r w:rsidRPr="00B230E4">
        <w:rPr>
          <w:rFonts w:cs="Arial"/>
          <w:sz w:val="20"/>
          <w:szCs w:val="20"/>
          <w:rtl/>
        </w:rPr>
        <w:t xml:space="preserve"> </w:t>
      </w:r>
      <w:r w:rsidRPr="00B230E4">
        <w:rPr>
          <w:rFonts w:cs="Arial" w:hint="cs"/>
          <w:sz w:val="20"/>
          <w:szCs w:val="20"/>
          <w:rtl/>
        </w:rPr>
        <w:t>לשמש</w:t>
      </w:r>
      <w:r w:rsidRPr="00B230E4">
        <w:rPr>
          <w:rFonts w:cs="Arial"/>
          <w:sz w:val="20"/>
          <w:szCs w:val="20"/>
          <w:rtl/>
        </w:rPr>
        <w:t xml:space="preserve"> </w:t>
      </w:r>
      <w:r w:rsidRPr="00B230E4">
        <w:rPr>
          <w:rFonts w:cs="Arial" w:hint="cs"/>
          <w:sz w:val="20"/>
          <w:szCs w:val="20"/>
          <w:rtl/>
        </w:rPr>
        <w:t>עד</w:t>
      </w:r>
      <w:r w:rsidRPr="00B230E4">
        <w:rPr>
          <w:rFonts w:cs="Arial"/>
          <w:sz w:val="20"/>
          <w:szCs w:val="20"/>
          <w:rtl/>
        </w:rPr>
        <w:t xml:space="preserve"> </w:t>
      </w:r>
      <w:r w:rsidRPr="00B230E4">
        <w:rPr>
          <w:rFonts w:cs="Arial" w:hint="cs"/>
          <w:sz w:val="20"/>
          <w:szCs w:val="20"/>
          <w:rtl/>
        </w:rPr>
        <w:t>שתבדוק</w:t>
      </w:r>
      <w:r>
        <w:rPr>
          <w:rFonts w:cs="Arial" w:hint="cs"/>
          <w:sz w:val="20"/>
          <w:szCs w:val="20"/>
          <w:rtl/>
        </w:rPr>
        <w:t>". ובמסקנת הגמרא נאמר להדיא שדין זה נאמר רק לעסוקה בטהרות.</w:t>
      </w:r>
    </w:p>
    <w:p w:rsidR="00620060" w:rsidRDefault="00620060" w:rsidP="00620060">
      <w:pPr>
        <w:rPr>
          <w:sz w:val="20"/>
          <w:szCs w:val="20"/>
          <w:rtl/>
        </w:rPr>
      </w:pPr>
      <w:r>
        <w:rPr>
          <w:rFonts w:hint="cs"/>
          <w:sz w:val="20"/>
          <w:szCs w:val="20"/>
          <w:rtl/>
        </w:rPr>
        <w:t xml:space="preserve">ג. </w:t>
      </w:r>
      <w:r>
        <w:rPr>
          <w:rFonts w:hint="cs"/>
          <w:b/>
          <w:bCs/>
          <w:sz w:val="20"/>
          <w:szCs w:val="20"/>
          <w:rtl/>
        </w:rPr>
        <w:t xml:space="preserve">גמרא </w:t>
      </w:r>
      <w:r>
        <w:rPr>
          <w:rFonts w:hint="cs"/>
          <w:sz w:val="20"/>
          <w:szCs w:val="20"/>
          <w:rtl/>
        </w:rPr>
        <w:t>שם (ע"ב) "</w:t>
      </w:r>
      <w:r w:rsidRPr="00521BB1">
        <w:rPr>
          <w:rFonts w:cs="Arial" w:hint="cs"/>
          <w:sz w:val="20"/>
          <w:szCs w:val="20"/>
          <w:rtl/>
        </w:rPr>
        <w:t>ת</w:t>
      </w:r>
      <w:r>
        <w:rPr>
          <w:rFonts w:cs="Arial" w:hint="cs"/>
          <w:sz w:val="20"/>
          <w:szCs w:val="20"/>
          <w:rtl/>
        </w:rPr>
        <w:t>נו רבנן</w:t>
      </w:r>
      <w:r w:rsidRPr="00521BB1">
        <w:rPr>
          <w:rFonts w:cs="Arial"/>
          <w:sz w:val="20"/>
          <w:szCs w:val="20"/>
          <w:rtl/>
        </w:rPr>
        <w:t xml:space="preserve">, </w:t>
      </w:r>
      <w:r w:rsidRPr="00521BB1">
        <w:rPr>
          <w:rFonts w:cs="Arial" w:hint="cs"/>
          <w:sz w:val="20"/>
          <w:szCs w:val="20"/>
          <w:rtl/>
        </w:rPr>
        <w:t>אשה</w:t>
      </w:r>
      <w:r w:rsidRPr="00521BB1">
        <w:rPr>
          <w:rFonts w:cs="Arial"/>
          <w:sz w:val="20"/>
          <w:szCs w:val="20"/>
          <w:rtl/>
        </w:rPr>
        <w:t xml:space="preserve"> </w:t>
      </w:r>
      <w:r w:rsidRPr="00521BB1">
        <w:rPr>
          <w:rFonts w:cs="Arial" w:hint="cs"/>
          <w:sz w:val="20"/>
          <w:szCs w:val="20"/>
          <w:rtl/>
        </w:rPr>
        <w:t>שאין</w:t>
      </w:r>
      <w:r w:rsidRPr="00521BB1">
        <w:rPr>
          <w:rFonts w:cs="Arial"/>
          <w:sz w:val="20"/>
          <w:szCs w:val="20"/>
          <w:rtl/>
        </w:rPr>
        <w:t xml:space="preserve"> </w:t>
      </w:r>
      <w:r w:rsidRPr="00521BB1">
        <w:rPr>
          <w:rFonts w:cs="Arial" w:hint="cs"/>
          <w:sz w:val="20"/>
          <w:szCs w:val="20"/>
          <w:rtl/>
        </w:rPr>
        <w:t>לה</w:t>
      </w:r>
      <w:r w:rsidRPr="00521BB1">
        <w:rPr>
          <w:rFonts w:cs="Arial"/>
          <w:sz w:val="20"/>
          <w:szCs w:val="20"/>
          <w:rtl/>
        </w:rPr>
        <w:t xml:space="preserve"> </w:t>
      </w:r>
      <w:r w:rsidRPr="00521BB1">
        <w:rPr>
          <w:rFonts w:cs="Arial" w:hint="cs"/>
          <w:sz w:val="20"/>
          <w:szCs w:val="20"/>
          <w:rtl/>
        </w:rPr>
        <w:t>וסת</w:t>
      </w:r>
      <w:r w:rsidRPr="00521BB1">
        <w:rPr>
          <w:rFonts w:cs="Arial"/>
          <w:sz w:val="20"/>
          <w:szCs w:val="20"/>
          <w:rtl/>
        </w:rPr>
        <w:t xml:space="preserve"> - </w:t>
      </w:r>
      <w:r w:rsidRPr="00521BB1">
        <w:rPr>
          <w:rFonts w:cs="Arial" w:hint="cs"/>
          <w:sz w:val="20"/>
          <w:szCs w:val="20"/>
          <w:rtl/>
        </w:rPr>
        <w:t>אסורה</w:t>
      </w:r>
      <w:r w:rsidRPr="00521BB1">
        <w:rPr>
          <w:rFonts w:cs="Arial"/>
          <w:sz w:val="20"/>
          <w:szCs w:val="20"/>
          <w:rtl/>
        </w:rPr>
        <w:t xml:space="preserve"> </w:t>
      </w:r>
      <w:r w:rsidRPr="00521BB1">
        <w:rPr>
          <w:rFonts w:cs="Arial" w:hint="cs"/>
          <w:sz w:val="20"/>
          <w:szCs w:val="20"/>
          <w:rtl/>
        </w:rPr>
        <w:t>לשַׁמֵשׁ</w:t>
      </w:r>
      <w:r w:rsidRPr="00521BB1">
        <w:rPr>
          <w:rFonts w:cs="Arial"/>
          <w:sz w:val="20"/>
          <w:szCs w:val="20"/>
          <w:rtl/>
        </w:rPr>
        <w:t xml:space="preserve">, </w:t>
      </w:r>
      <w:r w:rsidRPr="00521BB1">
        <w:rPr>
          <w:rFonts w:cs="Arial" w:hint="cs"/>
          <w:sz w:val="20"/>
          <w:szCs w:val="20"/>
          <w:rtl/>
        </w:rPr>
        <w:t>ואין</w:t>
      </w:r>
      <w:r w:rsidRPr="00521BB1">
        <w:rPr>
          <w:rFonts w:cs="Arial"/>
          <w:sz w:val="20"/>
          <w:szCs w:val="20"/>
          <w:rtl/>
        </w:rPr>
        <w:t xml:space="preserve"> </w:t>
      </w:r>
      <w:r w:rsidRPr="00521BB1">
        <w:rPr>
          <w:rFonts w:cs="Arial" w:hint="cs"/>
          <w:sz w:val="20"/>
          <w:szCs w:val="20"/>
          <w:rtl/>
        </w:rPr>
        <w:t>לה</w:t>
      </w:r>
      <w:r w:rsidRPr="00521BB1">
        <w:rPr>
          <w:rFonts w:cs="Arial"/>
          <w:sz w:val="20"/>
          <w:szCs w:val="20"/>
          <w:rtl/>
        </w:rPr>
        <w:t xml:space="preserve"> </w:t>
      </w:r>
      <w:r w:rsidRPr="00521BB1">
        <w:rPr>
          <w:rFonts w:cs="Arial" w:hint="cs"/>
          <w:sz w:val="20"/>
          <w:szCs w:val="20"/>
          <w:rtl/>
        </w:rPr>
        <w:t>לא</w:t>
      </w:r>
      <w:r w:rsidRPr="00521BB1">
        <w:rPr>
          <w:rFonts w:cs="Arial"/>
          <w:sz w:val="20"/>
          <w:szCs w:val="20"/>
          <w:rtl/>
        </w:rPr>
        <w:t xml:space="preserve"> </w:t>
      </w:r>
      <w:r w:rsidRPr="00521BB1">
        <w:rPr>
          <w:rFonts w:cs="Arial" w:hint="cs"/>
          <w:sz w:val="20"/>
          <w:szCs w:val="20"/>
          <w:rtl/>
        </w:rPr>
        <w:t>כתובה</w:t>
      </w:r>
      <w:r w:rsidRPr="00521BB1">
        <w:rPr>
          <w:rFonts w:cs="Arial"/>
          <w:sz w:val="20"/>
          <w:szCs w:val="20"/>
          <w:rtl/>
        </w:rPr>
        <w:t xml:space="preserve"> </w:t>
      </w:r>
      <w:r w:rsidRPr="00521BB1">
        <w:rPr>
          <w:rFonts w:cs="Arial" w:hint="cs"/>
          <w:sz w:val="20"/>
          <w:szCs w:val="20"/>
          <w:rtl/>
        </w:rPr>
        <w:t>ולא</w:t>
      </w:r>
      <w:r w:rsidRPr="00521BB1">
        <w:rPr>
          <w:rFonts w:cs="Arial"/>
          <w:sz w:val="20"/>
          <w:szCs w:val="20"/>
          <w:rtl/>
        </w:rPr>
        <w:t xml:space="preserve"> </w:t>
      </w:r>
      <w:r w:rsidRPr="00521BB1">
        <w:rPr>
          <w:rFonts w:cs="Arial" w:hint="cs"/>
          <w:sz w:val="20"/>
          <w:szCs w:val="20"/>
          <w:rtl/>
        </w:rPr>
        <w:t>פירות</w:t>
      </w:r>
      <w:r w:rsidRPr="00521BB1">
        <w:rPr>
          <w:rFonts w:cs="Arial"/>
          <w:sz w:val="20"/>
          <w:szCs w:val="20"/>
          <w:rtl/>
        </w:rPr>
        <w:t xml:space="preserve"> </w:t>
      </w:r>
      <w:r w:rsidRPr="00521BB1">
        <w:rPr>
          <w:rFonts w:cs="Arial" w:hint="cs"/>
          <w:sz w:val="20"/>
          <w:szCs w:val="20"/>
          <w:rtl/>
        </w:rPr>
        <w:t>ולא</w:t>
      </w:r>
      <w:r w:rsidRPr="00521BB1">
        <w:rPr>
          <w:rFonts w:cs="Arial"/>
          <w:sz w:val="20"/>
          <w:szCs w:val="20"/>
          <w:rtl/>
        </w:rPr>
        <w:t xml:space="preserve"> </w:t>
      </w:r>
      <w:r w:rsidRPr="00521BB1">
        <w:rPr>
          <w:rFonts w:cs="Arial" w:hint="cs"/>
          <w:sz w:val="20"/>
          <w:szCs w:val="20"/>
          <w:rtl/>
        </w:rPr>
        <w:t>מזונות</w:t>
      </w:r>
      <w:r w:rsidRPr="00521BB1">
        <w:rPr>
          <w:rFonts w:cs="Arial"/>
          <w:sz w:val="20"/>
          <w:szCs w:val="20"/>
          <w:rtl/>
        </w:rPr>
        <w:t xml:space="preserve"> </w:t>
      </w:r>
      <w:r w:rsidRPr="00521BB1">
        <w:rPr>
          <w:rFonts w:cs="Arial" w:hint="cs"/>
          <w:sz w:val="20"/>
          <w:szCs w:val="20"/>
          <w:rtl/>
        </w:rPr>
        <w:t>ולא</w:t>
      </w:r>
      <w:r w:rsidRPr="00521BB1">
        <w:rPr>
          <w:rFonts w:cs="Arial"/>
          <w:sz w:val="20"/>
          <w:szCs w:val="20"/>
          <w:rtl/>
        </w:rPr>
        <w:t xml:space="preserve"> </w:t>
      </w:r>
      <w:r w:rsidRPr="00521BB1">
        <w:rPr>
          <w:rFonts w:cs="Arial" w:hint="cs"/>
          <w:sz w:val="20"/>
          <w:szCs w:val="20"/>
          <w:rtl/>
        </w:rPr>
        <w:t>בלאות</w:t>
      </w:r>
      <w:r w:rsidRPr="00521BB1">
        <w:rPr>
          <w:rFonts w:cs="Arial"/>
          <w:sz w:val="20"/>
          <w:szCs w:val="20"/>
          <w:rtl/>
        </w:rPr>
        <w:t xml:space="preserve">, </w:t>
      </w:r>
      <w:r w:rsidRPr="00521BB1">
        <w:rPr>
          <w:rFonts w:cs="Arial" w:hint="cs"/>
          <w:sz w:val="20"/>
          <w:szCs w:val="20"/>
          <w:rtl/>
        </w:rPr>
        <w:t>ויוציא</w:t>
      </w:r>
      <w:r w:rsidRPr="00521BB1">
        <w:rPr>
          <w:rFonts w:cs="Arial"/>
          <w:sz w:val="20"/>
          <w:szCs w:val="20"/>
          <w:rtl/>
        </w:rPr>
        <w:t xml:space="preserve"> </w:t>
      </w:r>
      <w:r w:rsidRPr="00521BB1">
        <w:rPr>
          <w:rFonts w:cs="Arial" w:hint="cs"/>
          <w:sz w:val="20"/>
          <w:szCs w:val="20"/>
          <w:rtl/>
        </w:rPr>
        <w:t>ולא</w:t>
      </w:r>
      <w:r w:rsidRPr="00521BB1">
        <w:rPr>
          <w:rFonts w:cs="Arial"/>
          <w:sz w:val="20"/>
          <w:szCs w:val="20"/>
          <w:rtl/>
        </w:rPr>
        <w:t xml:space="preserve"> </w:t>
      </w:r>
      <w:r w:rsidRPr="00521BB1">
        <w:rPr>
          <w:rFonts w:cs="Arial" w:hint="cs"/>
          <w:sz w:val="20"/>
          <w:szCs w:val="20"/>
          <w:rtl/>
        </w:rPr>
        <w:t>מחזיר</w:t>
      </w:r>
      <w:r w:rsidRPr="00521BB1">
        <w:rPr>
          <w:rFonts w:cs="Arial"/>
          <w:sz w:val="20"/>
          <w:szCs w:val="20"/>
          <w:rtl/>
        </w:rPr>
        <w:t xml:space="preserve"> </w:t>
      </w:r>
      <w:r w:rsidRPr="00521BB1">
        <w:rPr>
          <w:rFonts w:cs="Arial" w:hint="cs"/>
          <w:sz w:val="20"/>
          <w:szCs w:val="20"/>
          <w:rtl/>
        </w:rPr>
        <w:t>עולמית</w:t>
      </w:r>
      <w:r w:rsidRPr="00521BB1">
        <w:rPr>
          <w:rFonts w:cs="Arial"/>
          <w:sz w:val="20"/>
          <w:szCs w:val="20"/>
          <w:rtl/>
        </w:rPr>
        <w:t xml:space="preserve"> - </w:t>
      </w:r>
      <w:r w:rsidRPr="00521BB1">
        <w:rPr>
          <w:rFonts w:cs="Arial" w:hint="cs"/>
          <w:sz w:val="20"/>
          <w:szCs w:val="20"/>
          <w:rtl/>
        </w:rPr>
        <w:t>דברי</w:t>
      </w:r>
      <w:r w:rsidRPr="00521BB1">
        <w:rPr>
          <w:rFonts w:cs="Arial"/>
          <w:sz w:val="20"/>
          <w:szCs w:val="20"/>
          <w:rtl/>
        </w:rPr>
        <w:t xml:space="preserve"> </w:t>
      </w:r>
      <w:r w:rsidRPr="00521BB1">
        <w:rPr>
          <w:rFonts w:cs="Arial" w:hint="cs"/>
          <w:sz w:val="20"/>
          <w:szCs w:val="20"/>
          <w:rtl/>
        </w:rPr>
        <w:t>ר</w:t>
      </w:r>
      <w:r>
        <w:rPr>
          <w:rFonts w:cs="Arial" w:hint="cs"/>
          <w:sz w:val="20"/>
          <w:szCs w:val="20"/>
          <w:rtl/>
        </w:rPr>
        <w:t xml:space="preserve">בי </w:t>
      </w:r>
      <w:r w:rsidRPr="00521BB1">
        <w:rPr>
          <w:rFonts w:cs="Arial" w:hint="cs"/>
          <w:sz w:val="20"/>
          <w:szCs w:val="20"/>
          <w:rtl/>
        </w:rPr>
        <w:t>מ</w:t>
      </w:r>
      <w:r>
        <w:rPr>
          <w:rFonts w:cs="Arial" w:hint="cs"/>
          <w:sz w:val="20"/>
          <w:szCs w:val="20"/>
          <w:rtl/>
        </w:rPr>
        <w:t>איר</w:t>
      </w:r>
      <w:r w:rsidRPr="00521BB1">
        <w:rPr>
          <w:rFonts w:cs="Arial"/>
          <w:sz w:val="20"/>
          <w:szCs w:val="20"/>
          <w:rtl/>
        </w:rPr>
        <w:t xml:space="preserve">. </w:t>
      </w:r>
      <w:r w:rsidRPr="00521BB1">
        <w:rPr>
          <w:rFonts w:cs="Arial" w:hint="cs"/>
          <w:sz w:val="20"/>
          <w:szCs w:val="20"/>
          <w:rtl/>
        </w:rPr>
        <w:t>רבי</w:t>
      </w:r>
      <w:r w:rsidRPr="00521BB1">
        <w:rPr>
          <w:rFonts w:cs="Arial"/>
          <w:sz w:val="20"/>
          <w:szCs w:val="20"/>
          <w:rtl/>
        </w:rPr>
        <w:t xml:space="preserve"> </w:t>
      </w:r>
      <w:r w:rsidRPr="00521BB1">
        <w:rPr>
          <w:rFonts w:cs="Arial" w:hint="cs"/>
          <w:sz w:val="20"/>
          <w:szCs w:val="20"/>
          <w:rtl/>
        </w:rPr>
        <w:t>חנינא</w:t>
      </w:r>
      <w:r w:rsidRPr="00521BB1">
        <w:rPr>
          <w:rFonts w:cs="Arial"/>
          <w:sz w:val="20"/>
          <w:szCs w:val="20"/>
          <w:rtl/>
        </w:rPr>
        <w:t xml:space="preserve"> </w:t>
      </w:r>
      <w:r w:rsidRPr="00521BB1">
        <w:rPr>
          <w:rFonts w:cs="Arial" w:hint="cs"/>
          <w:sz w:val="20"/>
          <w:szCs w:val="20"/>
          <w:rtl/>
        </w:rPr>
        <w:t>בן</w:t>
      </w:r>
      <w:r w:rsidRPr="00521BB1">
        <w:rPr>
          <w:rFonts w:cs="Arial"/>
          <w:sz w:val="20"/>
          <w:szCs w:val="20"/>
          <w:rtl/>
        </w:rPr>
        <w:t xml:space="preserve"> </w:t>
      </w:r>
      <w:r w:rsidRPr="00521BB1">
        <w:rPr>
          <w:rFonts w:cs="Arial" w:hint="cs"/>
          <w:sz w:val="20"/>
          <w:szCs w:val="20"/>
          <w:rtl/>
        </w:rPr>
        <w:t>אנטיגנוס</w:t>
      </w:r>
      <w:r w:rsidRPr="00521BB1">
        <w:rPr>
          <w:rFonts w:cs="Arial"/>
          <w:sz w:val="20"/>
          <w:szCs w:val="20"/>
          <w:rtl/>
        </w:rPr>
        <w:t xml:space="preserve"> </w:t>
      </w:r>
      <w:r w:rsidRPr="00521BB1">
        <w:rPr>
          <w:rFonts w:cs="Arial" w:hint="cs"/>
          <w:sz w:val="20"/>
          <w:szCs w:val="20"/>
          <w:rtl/>
        </w:rPr>
        <w:t>אומר</w:t>
      </w:r>
      <w:r w:rsidRPr="00521BB1">
        <w:rPr>
          <w:rFonts w:cs="Arial"/>
          <w:sz w:val="20"/>
          <w:szCs w:val="20"/>
          <w:rtl/>
        </w:rPr>
        <w:t xml:space="preserve">: </w:t>
      </w:r>
      <w:r w:rsidRPr="00521BB1">
        <w:rPr>
          <w:rFonts w:cs="Arial" w:hint="cs"/>
          <w:sz w:val="20"/>
          <w:szCs w:val="20"/>
          <w:rtl/>
        </w:rPr>
        <w:t>משמשת</w:t>
      </w:r>
      <w:r w:rsidRPr="00521BB1">
        <w:rPr>
          <w:rFonts w:cs="Arial"/>
          <w:sz w:val="20"/>
          <w:szCs w:val="20"/>
          <w:rtl/>
        </w:rPr>
        <w:t xml:space="preserve"> </w:t>
      </w:r>
      <w:r w:rsidRPr="00521BB1">
        <w:rPr>
          <w:rFonts w:cs="Arial" w:hint="cs"/>
          <w:sz w:val="20"/>
          <w:szCs w:val="20"/>
          <w:rtl/>
        </w:rPr>
        <w:t>בשני</w:t>
      </w:r>
      <w:r w:rsidRPr="00521BB1">
        <w:rPr>
          <w:rFonts w:cs="Arial"/>
          <w:sz w:val="20"/>
          <w:szCs w:val="20"/>
          <w:rtl/>
        </w:rPr>
        <w:t xml:space="preserve"> </w:t>
      </w:r>
      <w:r w:rsidRPr="00521BB1">
        <w:rPr>
          <w:rFonts w:cs="Arial" w:hint="cs"/>
          <w:sz w:val="20"/>
          <w:szCs w:val="20"/>
          <w:rtl/>
        </w:rPr>
        <w:t>עדים</w:t>
      </w:r>
      <w:r w:rsidRPr="00521BB1">
        <w:rPr>
          <w:rFonts w:cs="Arial"/>
          <w:sz w:val="20"/>
          <w:szCs w:val="20"/>
          <w:rtl/>
        </w:rPr>
        <w:t xml:space="preserve">, </w:t>
      </w:r>
      <w:r w:rsidRPr="00521BB1">
        <w:rPr>
          <w:rFonts w:cs="Arial" w:hint="cs"/>
          <w:sz w:val="20"/>
          <w:szCs w:val="20"/>
          <w:rtl/>
        </w:rPr>
        <w:t>הן</w:t>
      </w:r>
      <w:r w:rsidRPr="00521BB1">
        <w:rPr>
          <w:rFonts w:cs="Arial"/>
          <w:sz w:val="20"/>
          <w:szCs w:val="20"/>
          <w:rtl/>
        </w:rPr>
        <w:t xml:space="preserve"> </w:t>
      </w:r>
      <w:r w:rsidRPr="00521BB1">
        <w:rPr>
          <w:rFonts w:cs="Arial" w:hint="cs"/>
          <w:sz w:val="20"/>
          <w:szCs w:val="20"/>
          <w:rtl/>
        </w:rPr>
        <w:t>עותוה</w:t>
      </w:r>
      <w:r w:rsidRPr="00521BB1">
        <w:rPr>
          <w:rFonts w:cs="Arial"/>
          <w:sz w:val="20"/>
          <w:szCs w:val="20"/>
          <w:rtl/>
        </w:rPr>
        <w:t xml:space="preserve"> </w:t>
      </w:r>
      <w:r w:rsidRPr="00521BB1">
        <w:rPr>
          <w:rFonts w:cs="Arial" w:hint="cs"/>
          <w:sz w:val="20"/>
          <w:szCs w:val="20"/>
          <w:rtl/>
        </w:rPr>
        <w:t>הן</w:t>
      </w:r>
      <w:r w:rsidRPr="00521BB1">
        <w:rPr>
          <w:rFonts w:cs="Arial"/>
          <w:sz w:val="20"/>
          <w:szCs w:val="20"/>
          <w:rtl/>
        </w:rPr>
        <w:t xml:space="preserve"> </w:t>
      </w:r>
      <w:r w:rsidRPr="00521BB1">
        <w:rPr>
          <w:rFonts w:cs="Arial" w:hint="cs"/>
          <w:sz w:val="20"/>
          <w:szCs w:val="20"/>
          <w:rtl/>
        </w:rPr>
        <w:t>תקנוה</w:t>
      </w:r>
      <w:r>
        <w:rPr>
          <w:rFonts w:cs="Arial"/>
          <w:sz w:val="20"/>
          <w:szCs w:val="20"/>
          <w:rtl/>
        </w:rPr>
        <w:t>.</w:t>
      </w:r>
      <w:r>
        <w:rPr>
          <w:rFonts w:cs="Arial" w:hint="cs"/>
          <w:sz w:val="20"/>
          <w:szCs w:val="20"/>
          <w:rtl/>
        </w:rPr>
        <w:t xml:space="preserve">.. </w:t>
      </w:r>
      <w:r>
        <w:rPr>
          <w:rFonts w:cs="Arial"/>
          <w:sz w:val="20"/>
          <w:szCs w:val="20"/>
          <w:rtl/>
        </w:rPr>
        <w:br/>
      </w:r>
      <w:r w:rsidRPr="00521BB1">
        <w:rPr>
          <w:rFonts w:cs="Arial" w:hint="cs"/>
          <w:sz w:val="20"/>
          <w:szCs w:val="20"/>
          <w:rtl/>
        </w:rPr>
        <w:t>אמר</w:t>
      </w:r>
      <w:r w:rsidRPr="00521BB1">
        <w:rPr>
          <w:rFonts w:cs="Arial"/>
          <w:sz w:val="20"/>
          <w:szCs w:val="20"/>
          <w:rtl/>
        </w:rPr>
        <w:t xml:space="preserve"> </w:t>
      </w:r>
      <w:r w:rsidRPr="00521BB1">
        <w:rPr>
          <w:rFonts w:cs="Arial" w:hint="cs"/>
          <w:sz w:val="20"/>
          <w:szCs w:val="20"/>
          <w:rtl/>
        </w:rPr>
        <w:t>רב</w:t>
      </w:r>
      <w:r w:rsidRPr="00521BB1">
        <w:rPr>
          <w:rFonts w:cs="Arial"/>
          <w:sz w:val="20"/>
          <w:szCs w:val="20"/>
          <w:rtl/>
        </w:rPr>
        <w:t xml:space="preserve"> </w:t>
      </w:r>
      <w:r w:rsidRPr="00521BB1">
        <w:rPr>
          <w:rFonts w:cs="Arial" w:hint="cs"/>
          <w:sz w:val="20"/>
          <w:szCs w:val="20"/>
          <w:rtl/>
        </w:rPr>
        <w:t>יהודה</w:t>
      </w:r>
      <w:r w:rsidRPr="00521BB1">
        <w:rPr>
          <w:rFonts w:cs="Arial"/>
          <w:sz w:val="20"/>
          <w:szCs w:val="20"/>
          <w:rtl/>
        </w:rPr>
        <w:t xml:space="preserve"> </w:t>
      </w:r>
      <w:r w:rsidRPr="00521BB1">
        <w:rPr>
          <w:rFonts w:cs="Arial" w:hint="cs"/>
          <w:sz w:val="20"/>
          <w:szCs w:val="20"/>
          <w:rtl/>
        </w:rPr>
        <w:t>אמר</w:t>
      </w:r>
      <w:r w:rsidRPr="00521BB1">
        <w:rPr>
          <w:rFonts w:cs="Arial"/>
          <w:sz w:val="20"/>
          <w:szCs w:val="20"/>
          <w:rtl/>
        </w:rPr>
        <w:t xml:space="preserve"> </w:t>
      </w:r>
      <w:r w:rsidRPr="00521BB1">
        <w:rPr>
          <w:rFonts w:cs="Arial" w:hint="cs"/>
          <w:sz w:val="20"/>
          <w:szCs w:val="20"/>
          <w:rtl/>
        </w:rPr>
        <w:t>שמואל</w:t>
      </w:r>
      <w:r w:rsidRPr="00521BB1">
        <w:rPr>
          <w:rFonts w:cs="Arial"/>
          <w:sz w:val="20"/>
          <w:szCs w:val="20"/>
          <w:rtl/>
        </w:rPr>
        <w:t xml:space="preserve">: </w:t>
      </w:r>
      <w:r w:rsidRPr="00521BB1">
        <w:rPr>
          <w:rFonts w:cs="Arial" w:hint="cs"/>
          <w:sz w:val="20"/>
          <w:szCs w:val="20"/>
          <w:rtl/>
        </w:rPr>
        <w:t>הלכה</w:t>
      </w:r>
      <w:r w:rsidRPr="00521BB1">
        <w:rPr>
          <w:rFonts w:cs="Arial"/>
          <w:sz w:val="20"/>
          <w:szCs w:val="20"/>
          <w:rtl/>
        </w:rPr>
        <w:t xml:space="preserve"> </w:t>
      </w:r>
      <w:r w:rsidRPr="00521BB1">
        <w:rPr>
          <w:rFonts w:cs="Arial" w:hint="cs"/>
          <w:sz w:val="20"/>
          <w:szCs w:val="20"/>
          <w:rtl/>
        </w:rPr>
        <w:t>כר</w:t>
      </w:r>
      <w:r>
        <w:rPr>
          <w:rFonts w:cs="Arial" w:hint="cs"/>
          <w:sz w:val="20"/>
          <w:szCs w:val="20"/>
          <w:rtl/>
        </w:rPr>
        <w:t>בי</w:t>
      </w:r>
      <w:r w:rsidRPr="00521BB1">
        <w:rPr>
          <w:rFonts w:cs="Arial"/>
          <w:sz w:val="20"/>
          <w:szCs w:val="20"/>
          <w:rtl/>
        </w:rPr>
        <w:t xml:space="preserve"> </w:t>
      </w:r>
      <w:r w:rsidRPr="00521BB1">
        <w:rPr>
          <w:rFonts w:cs="Arial" w:hint="cs"/>
          <w:sz w:val="20"/>
          <w:szCs w:val="20"/>
          <w:rtl/>
        </w:rPr>
        <w:t>חנינא</w:t>
      </w:r>
      <w:r w:rsidRPr="00521BB1">
        <w:rPr>
          <w:rFonts w:cs="Arial"/>
          <w:sz w:val="20"/>
          <w:szCs w:val="20"/>
          <w:rtl/>
        </w:rPr>
        <w:t xml:space="preserve"> </w:t>
      </w:r>
      <w:r w:rsidRPr="00521BB1">
        <w:rPr>
          <w:rFonts w:cs="Arial" w:hint="cs"/>
          <w:sz w:val="20"/>
          <w:szCs w:val="20"/>
          <w:rtl/>
        </w:rPr>
        <w:t>בן</w:t>
      </w:r>
      <w:r w:rsidRPr="00521BB1">
        <w:rPr>
          <w:rFonts w:cs="Arial"/>
          <w:sz w:val="20"/>
          <w:szCs w:val="20"/>
          <w:rtl/>
        </w:rPr>
        <w:t xml:space="preserve"> </w:t>
      </w:r>
      <w:r w:rsidRPr="00521BB1">
        <w:rPr>
          <w:rFonts w:cs="Arial" w:hint="cs"/>
          <w:sz w:val="20"/>
          <w:szCs w:val="20"/>
          <w:rtl/>
        </w:rPr>
        <w:t>אנטיגנוס</w:t>
      </w:r>
      <w:r w:rsidRPr="00521BB1">
        <w:rPr>
          <w:rFonts w:cs="Arial"/>
          <w:sz w:val="20"/>
          <w:szCs w:val="20"/>
          <w:rtl/>
        </w:rPr>
        <w:t xml:space="preserve">. </w:t>
      </w:r>
      <w:r w:rsidRPr="00521BB1">
        <w:rPr>
          <w:rFonts w:cs="Arial" w:hint="cs"/>
          <w:sz w:val="20"/>
          <w:szCs w:val="20"/>
          <w:rtl/>
        </w:rPr>
        <w:t>ובמאי</w:t>
      </w:r>
      <w:r w:rsidRPr="00521BB1">
        <w:rPr>
          <w:rFonts w:cs="Arial"/>
          <w:sz w:val="20"/>
          <w:szCs w:val="20"/>
          <w:rtl/>
        </w:rPr>
        <w:t xml:space="preserve">? </w:t>
      </w:r>
      <w:r w:rsidRPr="00521BB1">
        <w:rPr>
          <w:rFonts w:cs="Arial" w:hint="cs"/>
          <w:sz w:val="20"/>
          <w:szCs w:val="20"/>
          <w:rtl/>
        </w:rPr>
        <w:t>אי</w:t>
      </w:r>
      <w:r w:rsidRPr="00521BB1">
        <w:rPr>
          <w:rFonts w:cs="Arial"/>
          <w:sz w:val="20"/>
          <w:szCs w:val="20"/>
          <w:rtl/>
        </w:rPr>
        <w:t xml:space="preserve"> </w:t>
      </w:r>
      <w:r w:rsidRPr="00521BB1">
        <w:rPr>
          <w:rFonts w:cs="Arial" w:hint="cs"/>
          <w:sz w:val="20"/>
          <w:szCs w:val="20"/>
          <w:rtl/>
        </w:rPr>
        <w:t>בעסוקה</w:t>
      </w:r>
      <w:r w:rsidRPr="00521BB1">
        <w:rPr>
          <w:rFonts w:cs="Arial"/>
          <w:sz w:val="20"/>
          <w:szCs w:val="20"/>
          <w:rtl/>
        </w:rPr>
        <w:t xml:space="preserve"> </w:t>
      </w:r>
      <w:r w:rsidRPr="00521BB1">
        <w:rPr>
          <w:rFonts w:cs="Arial" w:hint="cs"/>
          <w:sz w:val="20"/>
          <w:szCs w:val="20"/>
          <w:rtl/>
        </w:rPr>
        <w:t>בטהרות</w:t>
      </w:r>
      <w:r w:rsidRPr="00521BB1">
        <w:rPr>
          <w:rFonts w:cs="Arial"/>
          <w:sz w:val="20"/>
          <w:szCs w:val="20"/>
          <w:rtl/>
        </w:rPr>
        <w:t xml:space="preserve"> - </w:t>
      </w:r>
      <w:r w:rsidRPr="00521BB1">
        <w:rPr>
          <w:rFonts w:cs="Arial" w:hint="cs"/>
          <w:sz w:val="20"/>
          <w:szCs w:val="20"/>
          <w:rtl/>
        </w:rPr>
        <w:t>הא</w:t>
      </w:r>
      <w:r w:rsidRPr="00521BB1">
        <w:rPr>
          <w:rFonts w:cs="Arial"/>
          <w:sz w:val="20"/>
          <w:szCs w:val="20"/>
          <w:rtl/>
        </w:rPr>
        <w:t xml:space="preserve"> </w:t>
      </w:r>
      <w:r w:rsidRPr="00521BB1">
        <w:rPr>
          <w:rFonts w:cs="Arial" w:hint="cs"/>
          <w:sz w:val="20"/>
          <w:szCs w:val="20"/>
          <w:rtl/>
        </w:rPr>
        <w:t>אמרה</w:t>
      </w:r>
      <w:r w:rsidRPr="00521BB1">
        <w:rPr>
          <w:rFonts w:cs="Arial"/>
          <w:sz w:val="20"/>
          <w:szCs w:val="20"/>
          <w:rtl/>
        </w:rPr>
        <w:t xml:space="preserve"> </w:t>
      </w:r>
      <w:r w:rsidRPr="00521BB1">
        <w:rPr>
          <w:rFonts w:cs="Arial" w:hint="cs"/>
          <w:sz w:val="20"/>
          <w:szCs w:val="20"/>
          <w:rtl/>
        </w:rPr>
        <w:t>שמואל</w:t>
      </w:r>
      <w:r w:rsidRPr="00521BB1">
        <w:rPr>
          <w:rFonts w:cs="Arial"/>
          <w:sz w:val="20"/>
          <w:szCs w:val="20"/>
          <w:rtl/>
        </w:rPr>
        <w:t xml:space="preserve"> </w:t>
      </w:r>
      <w:r w:rsidRPr="00521BB1">
        <w:rPr>
          <w:rFonts w:cs="Arial" w:hint="cs"/>
          <w:sz w:val="20"/>
          <w:szCs w:val="20"/>
          <w:rtl/>
        </w:rPr>
        <w:t>חדא</w:t>
      </w:r>
      <w:r w:rsidRPr="00521BB1">
        <w:rPr>
          <w:rFonts w:cs="Arial"/>
          <w:sz w:val="20"/>
          <w:szCs w:val="20"/>
          <w:rtl/>
        </w:rPr>
        <w:t xml:space="preserve"> </w:t>
      </w:r>
      <w:r w:rsidRPr="00521BB1">
        <w:rPr>
          <w:rFonts w:cs="Arial" w:hint="cs"/>
          <w:sz w:val="20"/>
          <w:szCs w:val="20"/>
          <w:rtl/>
        </w:rPr>
        <w:t>זימנא</w:t>
      </w:r>
      <w:r w:rsidRPr="00521BB1">
        <w:rPr>
          <w:rFonts w:cs="Arial"/>
          <w:sz w:val="20"/>
          <w:szCs w:val="20"/>
          <w:rtl/>
        </w:rPr>
        <w:t xml:space="preserve">! </w:t>
      </w:r>
      <w:r w:rsidRPr="00521BB1">
        <w:rPr>
          <w:rFonts w:cs="Arial" w:hint="cs"/>
          <w:sz w:val="20"/>
          <w:szCs w:val="20"/>
          <w:rtl/>
        </w:rPr>
        <w:t>ואי</w:t>
      </w:r>
      <w:r w:rsidRPr="00521BB1">
        <w:rPr>
          <w:rFonts w:cs="Arial"/>
          <w:sz w:val="20"/>
          <w:szCs w:val="20"/>
          <w:rtl/>
        </w:rPr>
        <w:t xml:space="preserve"> </w:t>
      </w:r>
      <w:r w:rsidRPr="00521BB1">
        <w:rPr>
          <w:rFonts w:cs="Arial" w:hint="cs"/>
          <w:sz w:val="20"/>
          <w:szCs w:val="20"/>
          <w:rtl/>
        </w:rPr>
        <w:t>בשאינה</w:t>
      </w:r>
      <w:r w:rsidRPr="00521BB1">
        <w:rPr>
          <w:rFonts w:cs="Arial"/>
          <w:sz w:val="20"/>
          <w:szCs w:val="20"/>
          <w:rtl/>
        </w:rPr>
        <w:t xml:space="preserve"> </w:t>
      </w:r>
      <w:r w:rsidRPr="00521BB1">
        <w:rPr>
          <w:rFonts w:cs="Arial" w:hint="cs"/>
          <w:sz w:val="20"/>
          <w:szCs w:val="20"/>
          <w:rtl/>
        </w:rPr>
        <w:t>עסוקה</w:t>
      </w:r>
      <w:r w:rsidRPr="00521BB1">
        <w:rPr>
          <w:rFonts w:cs="Arial"/>
          <w:sz w:val="20"/>
          <w:szCs w:val="20"/>
          <w:rtl/>
        </w:rPr>
        <w:t xml:space="preserve"> </w:t>
      </w:r>
      <w:r w:rsidRPr="00521BB1">
        <w:rPr>
          <w:rFonts w:cs="Arial" w:hint="cs"/>
          <w:sz w:val="20"/>
          <w:szCs w:val="20"/>
          <w:rtl/>
        </w:rPr>
        <w:t>בטהרות</w:t>
      </w:r>
      <w:r w:rsidRPr="00521BB1">
        <w:rPr>
          <w:rFonts w:cs="Arial"/>
          <w:sz w:val="20"/>
          <w:szCs w:val="20"/>
          <w:rtl/>
        </w:rPr>
        <w:t xml:space="preserve"> - </w:t>
      </w:r>
      <w:r w:rsidRPr="00521BB1">
        <w:rPr>
          <w:rFonts w:cs="Arial" w:hint="cs"/>
          <w:sz w:val="20"/>
          <w:szCs w:val="20"/>
          <w:rtl/>
        </w:rPr>
        <w:t>הא</w:t>
      </w:r>
      <w:r w:rsidRPr="00521BB1">
        <w:rPr>
          <w:rFonts w:cs="Arial"/>
          <w:sz w:val="20"/>
          <w:szCs w:val="20"/>
          <w:rtl/>
        </w:rPr>
        <w:t xml:space="preserve"> </w:t>
      </w:r>
      <w:r w:rsidRPr="00521BB1">
        <w:rPr>
          <w:rFonts w:cs="Arial" w:hint="cs"/>
          <w:sz w:val="20"/>
          <w:szCs w:val="20"/>
          <w:rtl/>
        </w:rPr>
        <w:t>אמר</w:t>
      </w:r>
      <w:r w:rsidRPr="00521BB1">
        <w:rPr>
          <w:rFonts w:cs="Arial"/>
          <w:sz w:val="20"/>
          <w:szCs w:val="20"/>
          <w:rtl/>
        </w:rPr>
        <w:t xml:space="preserve"> </w:t>
      </w:r>
      <w:r w:rsidRPr="00521BB1">
        <w:rPr>
          <w:rFonts w:cs="Arial" w:hint="cs"/>
          <w:sz w:val="20"/>
          <w:szCs w:val="20"/>
          <w:rtl/>
        </w:rPr>
        <w:t>כל</w:t>
      </w:r>
      <w:r w:rsidRPr="00521BB1">
        <w:rPr>
          <w:rFonts w:cs="Arial"/>
          <w:sz w:val="20"/>
          <w:szCs w:val="20"/>
          <w:rtl/>
        </w:rPr>
        <w:t xml:space="preserve"> </w:t>
      </w:r>
      <w:r w:rsidRPr="00521BB1">
        <w:rPr>
          <w:rFonts w:cs="Arial" w:hint="cs"/>
          <w:sz w:val="20"/>
          <w:szCs w:val="20"/>
          <w:rtl/>
        </w:rPr>
        <w:t>לבעלה</w:t>
      </w:r>
      <w:r w:rsidRPr="00521BB1">
        <w:rPr>
          <w:rFonts w:cs="Arial"/>
          <w:sz w:val="20"/>
          <w:szCs w:val="20"/>
          <w:rtl/>
        </w:rPr>
        <w:t xml:space="preserve"> - </w:t>
      </w:r>
      <w:r w:rsidRPr="00521BB1">
        <w:rPr>
          <w:rFonts w:cs="Arial" w:hint="cs"/>
          <w:sz w:val="20"/>
          <w:szCs w:val="20"/>
          <w:rtl/>
        </w:rPr>
        <w:t>לא</w:t>
      </w:r>
      <w:r w:rsidRPr="00521BB1">
        <w:rPr>
          <w:rFonts w:cs="Arial"/>
          <w:sz w:val="20"/>
          <w:szCs w:val="20"/>
          <w:rtl/>
        </w:rPr>
        <w:t xml:space="preserve"> </w:t>
      </w:r>
      <w:r w:rsidRPr="00521BB1">
        <w:rPr>
          <w:rFonts w:cs="Arial" w:hint="cs"/>
          <w:sz w:val="20"/>
          <w:szCs w:val="20"/>
          <w:rtl/>
        </w:rPr>
        <w:t>בעיא</w:t>
      </w:r>
      <w:r w:rsidRPr="00521BB1">
        <w:rPr>
          <w:rFonts w:cs="Arial"/>
          <w:sz w:val="20"/>
          <w:szCs w:val="20"/>
          <w:rtl/>
        </w:rPr>
        <w:t xml:space="preserve"> </w:t>
      </w:r>
      <w:r w:rsidRPr="00521BB1">
        <w:rPr>
          <w:rFonts w:cs="Arial" w:hint="cs"/>
          <w:sz w:val="20"/>
          <w:szCs w:val="20"/>
          <w:rtl/>
        </w:rPr>
        <w:t>בדיקה</w:t>
      </w:r>
      <w:r w:rsidRPr="00521BB1">
        <w:rPr>
          <w:rFonts w:cs="Arial"/>
          <w:sz w:val="20"/>
          <w:szCs w:val="20"/>
          <w:rtl/>
        </w:rPr>
        <w:t xml:space="preserve">, </w:t>
      </w:r>
      <w:r w:rsidRPr="00521BB1">
        <w:rPr>
          <w:rFonts w:cs="Arial" w:hint="cs"/>
          <w:sz w:val="20"/>
          <w:szCs w:val="20"/>
          <w:rtl/>
        </w:rPr>
        <w:t>דא</w:t>
      </w:r>
      <w:r>
        <w:rPr>
          <w:rFonts w:cs="Arial" w:hint="cs"/>
          <w:sz w:val="20"/>
          <w:szCs w:val="20"/>
          <w:rtl/>
        </w:rPr>
        <w:t xml:space="preserve">מר </w:t>
      </w:r>
      <w:r w:rsidRPr="00521BB1">
        <w:rPr>
          <w:rFonts w:cs="Arial" w:hint="cs"/>
          <w:sz w:val="20"/>
          <w:szCs w:val="20"/>
          <w:rtl/>
        </w:rPr>
        <w:t>ר</w:t>
      </w:r>
      <w:r>
        <w:rPr>
          <w:rFonts w:cs="Arial" w:hint="cs"/>
          <w:sz w:val="20"/>
          <w:szCs w:val="20"/>
          <w:rtl/>
        </w:rPr>
        <w:t>בי</w:t>
      </w:r>
      <w:r w:rsidRPr="00521BB1">
        <w:rPr>
          <w:rFonts w:cs="Arial"/>
          <w:sz w:val="20"/>
          <w:szCs w:val="20"/>
          <w:rtl/>
        </w:rPr>
        <w:t xml:space="preserve"> </w:t>
      </w:r>
      <w:r w:rsidRPr="00521BB1">
        <w:rPr>
          <w:rFonts w:cs="Arial" w:hint="cs"/>
          <w:sz w:val="20"/>
          <w:szCs w:val="20"/>
          <w:rtl/>
        </w:rPr>
        <w:t>זירא</w:t>
      </w:r>
      <w:r w:rsidRPr="00521BB1">
        <w:rPr>
          <w:rFonts w:cs="Arial"/>
          <w:sz w:val="20"/>
          <w:szCs w:val="20"/>
          <w:rtl/>
        </w:rPr>
        <w:t xml:space="preserve"> </w:t>
      </w:r>
      <w:r w:rsidRPr="00521BB1">
        <w:rPr>
          <w:rFonts w:cs="Arial" w:hint="cs"/>
          <w:sz w:val="20"/>
          <w:szCs w:val="20"/>
          <w:rtl/>
        </w:rPr>
        <w:t>א</w:t>
      </w:r>
      <w:r>
        <w:rPr>
          <w:rFonts w:cs="Arial" w:hint="cs"/>
          <w:sz w:val="20"/>
          <w:szCs w:val="20"/>
          <w:rtl/>
        </w:rPr>
        <w:t>מר רבי</w:t>
      </w:r>
      <w:r w:rsidRPr="00521BB1">
        <w:rPr>
          <w:rFonts w:cs="Arial"/>
          <w:sz w:val="20"/>
          <w:szCs w:val="20"/>
          <w:rtl/>
        </w:rPr>
        <w:t xml:space="preserve"> </w:t>
      </w:r>
      <w:r w:rsidRPr="00521BB1">
        <w:rPr>
          <w:rFonts w:cs="Arial" w:hint="cs"/>
          <w:sz w:val="20"/>
          <w:szCs w:val="20"/>
          <w:rtl/>
        </w:rPr>
        <w:lastRenderedPageBreak/>
        <w:t>אבא</w:t>
      </w:r>
      <w:r w:rsidRPr="00521BB1">
        <w:rPr>
          <w:rFonts w:cs="Arial"/>
          <w:sz w:val="20"/>
          <w:szCs w:val="20"/>
          <w:rtl/>
        </w:rPr>
        <w:t xml:space="preserve"> </w:t>
      </w:r>
      <w:r w:rsidRPr="00521BB1">
        <w:rPr>
          <w:rFonts w:cs="Arial" w:hint="cs"/>
          <w:sz w:val="20"/>
          <w:szCs w:val="20"/>
          <w:rtl/>
        </w:rPr>
        <w:t>בר</w:t>
      </w:r>
      <w:r w:rsidRPr="00521BB1">
        <w:rPr>
          <w:rFonts w:cs="Arial"/>
          <w:sz w:val="20"/>
          <w:szCs w:val="20"/>
          <w:rtl/>
        </w:rPr>
        <w:t xml:space="preserve"> </w:t>
      </w:r>
      <w:r w:rsidRPr="00521BB1">
        <w:rPr>
          <w:rFonts w:cs="Arial" w:hint="cs"/>
          <w:sz w:val="20"/>
          <w:szCs w:val="20"/>
          <w:rtl/>
        </w:rPr>
        <w:t>ירמיה</w:t>
      </w:r>
      <w:r w:rsidRPr="00521BB1">
        <w:rPr>
          <w:rFonts w:cs="Arial"/>
          <w:sz w:val="20"/>
          <w:szCs w:val="20"/>
          <w:rtl/>
        </w:rPr>
        <w:t xml:space="preserve"> </w:t>
      </w:r>
      <w:r w:rsidRPr="00521BB1">
        <w:rPr>
          <w:rFonts w:cs="Arial" w:hint="cs"/>
          <w:sz w:val="20"/>
          <w:szCs w:val="20"/>
          <w:rtl/>
        </w:rPr>
        <w:t>אמר</w:t>
      </w:r>
      <w:r w:rsidRPr="00521BB1">
        <w:rPr>
          <w:rFonts w:cs="Arial"/>
          <w:sz w:val="20"/>
          <w:szCs w:val="20"/>
          <w:rtl/>
        </w:rPr>
        <w:t xml:space="preserve"> </w:t>
      </w:r>
      <w:r w:rsidRPr="00521BB1">
        <w:rPr>
          <w:rFonts w:cs="Arial" w:hint="cs"/>
          <w:sz w:val="20"/>
          <w:szCs w:val="20"/>
          <w:rtl/>
        </w:rPr>
        <w:t>שמואל</w:t>
      </w:r>
      <w:r w:rsidRPr="00521BB1">
        <w:rPr>
          <w:rFonts w:cs="Arial"/>
          <w:sz w:val="20"/>
          <w:szCs w:val="20"/>
          <w:rtl/>
        </w:rPr>
        <w:t xml:space="preserve">: </w:t>
      </w:r>
      <w:r w:rsidRPr="00521BB1">
        <w:rPr>
          <w:rFonts w:cs="Arial" w:hint="cs"/>
          <w:sz w:val="20"/>
          <w:szCs w:val="20"/>
          <w:rtl/>
        </w:rPr>
        <w:t>אשה</w:t>
      </w:r>
      <w:r w:rsidRPr="00521BB1">
        <w:rPr>
          <w:rFonts w:cs="Arial"/>
          <w:sz w:val="20"/>
          <w:szCs w:val="20"/>
          <w:rtl/>
        </w:rPr>
        <w:t xml:space="preserve"> </w:t>
      </w:r>
      <w:r w:rsidRPr="00521BB1">
        <w:rPr>
          <w:rFonts w:cs="Arial" w:hint="cs"/>
          <w:sz w:val="20"/>
          <w:szCs w:val="20"/>
          <w:rtl/>
        </w:rPr>
        <w:t>שאין</w:t>
      </w:r>
      <w:r w:rsidRPr="00521BB1">
        <w:rPr>
          <w:rFonts w:cs="Arial"/>
          <w:sz w:val="20"/>
          <w:szCs w:val="20"/>
          <w:rtl/>
        </w:rPr>
        <w:t xml:space="preserve"> </w:t>
      </w:r>
      <w:r w:rsidRPr="00521BB1">
        <w:rPr>
          <w:rFonts w:cs="Arial" w:hint="cs"/>
          <w:sz w:val="20"/>
          <w:szCs w:val="20"/>
          <w:rtl/>
        </w:rPr>
        <w:t>לה</w:t>
      </w:r>
      <w:r w:rsidRPr="00521BB1">
        <w:rPr>
          <w:rFonts w:cs="Arial"/>
          <w:sz w:val="20"/>
          <w:szCs w:val="20"/>
          <w:rtl/>
        </w:rPr>
        <w:t xml:space="preserve"> </w:t>
      </w:r>
      <w:r w:rsidRPr="00521BB1">
        <w:rPr>
          <w:rFonts w:cs="Arial" w:hint="cs"/>
          <w:sz w:val="20"/>
          <w:szCs w:val="20"/>
          <w:rtl/>
        </w:rPr>
        <w:t>וסת</w:t>
      </w:r>
      <w:r w:rsidRPr="00521BB1">
        <w:rPr>
          <w:rFonts w:cs="Arial"/>
          <w:sz w:val="20"/>
          <w:szCs w:val="20"/>
          <w:rtl/>
        </w:rPr>
        <w:t xml:space="preserve"> - </w:t>
      </w:r>
      <w:r w:rsidRPr="00521BB1">
        <w:rPr>
          <w:rFonts w:cs="Arial" w:hint="cs"/>
          <w:sz w:val="20"/>
          <w:szCs w:val="20"/>
          <w:rtl/>
        </w:rPr>
        <w:t>אסורה</w:t>
      </w:r>
      <w:r w:rsidRPr="00521BB1">
        <w:rPr>
          <w:rFonts w:cs="Arial"/>
          <w:sz w:val="20"/>
          <w:szCs w:val="20"/>
          <w:rtl/>
        </w:rPr>
        <w:t xml:space="preserve"> </w:t>
      </w:r>
      <w:r w:rsidRPr="00521BB1">
        <w:rPr>
          <w:rFonts w:cs="Arial" w:hint="cs"/>
          <w:sz w:val="20"/>
          <w:szCs w:val="20"/>
          <w:rtl/>
        </w:rPr>
        <w:t>לשמש</w:t>
      </w:r>
      <w:r w:rsidRPr="00521BB1">
        <w:rPr>
          <w:rFonts w:cs="Arial"/>
          <w:sz w:val="20"/>
          <w:szCs w:val="20"/>
          <w:rtl/>
        </w:rPr>
        <w:t xml:space="preserve"> </w:t>
      </w:r>
      <w:r w:rsidRPr="00521BB1">
        <w:rPr>
          <w:rFonts w:cs="Arial" w:hint="cs"/>
          <w:sz w:val="20"/>
          <w:szCs w:val="20"/>
          <w:rtl/>
        </w:rPr>
        <w:t>עד</w:t>
      </w:r>
      <w:r w:rsidRPr="00521BB1">
        <w:rPr>
          <w:rFonts w:cs="Arial"/>
          <w:sz w:val="20"/>
          <w:szCs w:val="20"/>
          <w:rtl/>
        </w:rPr>
        <w:t xml:space="preserve"> </w:t>
      </w:r>
      <w:r w:rsidRPr="00521BB1">
        <w:rPr>
          <w:rFonts w:cs="Arial" w:hint="cs"/>
          <w:sz w:val="20"/>
          <w:szCs w:val="20"/>
          <w:rtl/>
        </w:rPr>
        <w:t>שתבדוק</w:t>
      </w:r>
      <w:r w:rsidRPr="00521BB1">
        <w:rPr>
          <w:rFonts w:cs="Arial"/>
          <w:sz w:val="20"/>
          <w:szCs w:val="20"/>
          <w:rtl/>
        </w:rPr>
        <w:t xml:space="preserve">, </w:t>
      </w:r>
      <w:r w:rsidRPr="00521BB1">
        <w:rPr>
          <w:rFonts w:cs="Arial" w:hint="cs"/>
          <w:sz w:val="20"/>
          <w:szCs w:val="20"/>
          <w:rtl/>
        </w:rPr>
        <w:t>ואוקימנא</w:t>
      </w:r>
      <w:r w:rsidRPr="00521BB1">
        <w:rPr>
          <w:rFonts w:cs="Arial"/>
          <w:sz w:val="20"/>
          <w:szCs w:val="20"/>
          <w:rtl/>
        </w:rPr>
        <w:t xml:space="preserve"> </w:t>
      </w:r>
      <w:r w:rsidRPr="00521BB1">
        <w:rPr>
          <w:rFonts w:cs="Arial" w:hint="cs"/>
          <w:sz w:val="20"/>
          <w:szCs w:val="20"/>
          <w:rtl/>
        </w:rPr>
        <w:t>לה</w:t>
      </w:r>
      <w:r w:rsidRPr="00521BB1">
        <w:rPr>
          <w:rFonts w:cs="Arial"/>
          <w:sz w:val="20"/>
          <w:szCs w:val="20"/>
          <w:rtl/>
        </w:rPr>
        <w:t xml:space="preserve"> </w:t>
      </w:r>
      <w:r w:rsidRPr="005A5BD1">
        <w:rPr>
          <w:rFonts w:cs="Arial" w:hint="cs"/>
          <w:sz w:val="18"/>
          <w:szCs w:val="18"/>
          <w:rtl/>
        </w:rPr>
        <w:t xml:space="preserve">(לעיל בע"א, מקור ב) </w:t>
      </w:r>
      <w:r w:rsidRPr="00521BB1">
        <w:rPr>
          <w:rFonts w:cs="Arial"/>
          <w:sz w:val="20"/>
          <w:szCs w:val="20"/>
          <w:rtl/>
        </w:rPr>
        <w:t xml:space="preserve">- </w:t>
      </w:r>
      <w:r w:rsidRPr="00521BB1">
        <w:rPr>
          <w:rFonts w:cs="Arial" w:hint="cs"/>
          <w:sz w:val="20"/>
          <w:szCs w:val="20"/>
          <w:rtl/>
        </w:rPr>
        <w:t>בעסוקה</w:t>
      </w:r>
      <w:r w:rsidRPr="00521BB1">
        <w:rPr>
          <w:rFonts w:cs="Arial"/>
          <w:sz w:val="20"/>
          <w:szCs w:val="20"/>
          <w:rtl/>
        </w:rPr>
        <w:t xml:space="preserve"> </w:t>
      </w:r>
      <w:r w:rsidRPr="00521BB1">
        <w:rPr>
          <w:rFonts w:cs="Arial" w:hint="cs"/>
          <w:sz w:val="20"/>
          <w:szCs w:val="20"/>
          <w:rtl/>
        </w:rPr>
        <w:t>בטהרות</w:t>
      </w:r>
      <w:r w:rsidRPr="00521BB1">
        <w:rPr>
          <w:rFonts w:cs="Arial"/>
          <w:sz w:val="20"/>
          <w:szCs w:val="20"/>
          <w:rtl/>
        </w:rPr>
        <w:t xml:space="preserve">! </w:t>
      </w:r>
      <w:r w:rsidRPr="00521BB1">
        <w:rPr>
          <w:rFonts w:cs="Arial" w:hint="cs"/>
          <w:sz w:val="20"/>
          <w:szCs w:val="20"/>
          <w:rtl/>
        </w:rPr>
        <w:t>מאן</w:t>
      </w:r>
      <w:r w:rsidRPr="00521BB1">
        <w:rPr>
          <w:rFonts w:cs="Arial"/>
          <w:sz w:val="20"/>
          <w:szCs w:val="20"/>
          <w:rtl/>
        </w:rPr>
        <w:t xml:space="preserve"> </w:t>
      </w:r>
      <w:r w:rsidRPr="00521BB1">
        <w:rPr>
          <w:rFonts w:cs="Arial" w:hint="cs"/>
          <w:sz w:val="20"/>
          <w:szCs w:val="20"/>
          <w:rtl/>
        </w:rPr>
        <w:t>דמתני</w:t>
      </w:r>
      <w:r w:rsidRPr="00521BB1">
        <w:rPr>
          <w:rFonts w:cs="Arial"/>
          <w:sz w:val="20"/>
          <w:szCs w:val="20"/>
          <w:rtl/>
        </w:rPr>
        <w:t xml:space="preserve"> </w:t>
      </w:r>
      <w:r w:rsidRPr="00521BB1">
        <w:rPr>
          <w:rFonts w:cs="Arial" w:hint="cs"/>
          <w:sz w:val="20"/>
          <w:szCs w:val="20"/>
          <w:rtl/>
        </w:rPr>
        <w:t>הא</w:t>
      </w:r>
      <w:r w:rsidRPr="00521BB1">
        <w:rPr>
          <w:rFonts w:cs="Arial"/>
          <w:sz w:val="20"/>
          <w:szCs w:val="20"/>
          <w:rtl/>
        </w:rPr>
        <w:t xml:space="preserve"> </w:t>
      </w:r>
      <w:r w:rsidRPr="00521BB1">
        <w:rPr>
          <w:rFonts w:cs="Arial" w:hint="cs"/>
          <w:sz w:val="20"/>
          <w:szCs w:val="20"/>
          <w:rtl/>
        </w:rPr>
        <w:t>לא</w:t>
      </w:r>
      <w:r w:rsidRPr="00521BB1">
        <w:rPr>
          <w:rFonts w:cs="Arial"/>
          <w:sz w:val="20"/>
          <w:szCs w:val="20"/>
          <w:rtl/>
        </w:rPr>
        <w:t xml:space="preserve"> </w:t>
      </w:r>
      <w:r w:rsidRPr="00521BB1">
        <w:rPr>
          <w:rFonts w:cs="Arial" w:hint="cs"/>
          <w:sz w:val="20"/>
          <w:szCs w:val="20"/>
          <w:rtl/>
        </w:rPr>
        <w:t>מתני</w:t>
      </w:r>
      <w:r w:rsidRPr="00521BB1">
        <w:rPr>
          <w:rFonts w:cs="Arial"/>
          <w:sz w:val="20"/>
          <w:szCs w:val="20"/>
          <w:rtl/>
        </w:rPr>
        <w:t xml:space="preserve"> </w:t>
      </w:r>
      <w:r w:rsidRPr="00521BB1">
        <w:rPr>
          <w:rFonts w:cs="Arial" w:hint="cs"/>
          <w:sz w:val="20"/>
          <w:szCs w:val="20"/>
          <w:rtl/>
        </w:rPr>
        <w:t>הא</w:t>
      </w:r>
      <w:r>
        <w:rPr>
          <w:rFonts w:cs="Arial" w:hint="cs"/>
          <w:sz w:val="20"/>
          <w:szCs w:val="20"/>
          <w:rtl/>
        </w:rPr>
        <w:t>"</w:t>
      </w:r>
      <w:r w:rsidRPr="00521BB1">
        <w:rPr>
          <w:rFonts w:cs="Arial"/>
          <w:sz w:val="20"/>
          <w:szCs w:val="20"/>
          <w:rtl/>
        </w:rPr>
        <w:t>.</w:t>
      </w:r>
    </w:p>
    <w:p w:rsidR="00620060" w:rsidRDefault="00620060" w:rsidP="00620060">
      <w:pPr>
        <w:rPr>
          <w:sz w:val="20"/>
          <w:szCs w:val="20"/>
          <w:rtl/>
        </w:rPr>
      </w:pPr>
      <w:r w:rsidRPr="00AC5FB6">
        <w:rPr>
          <w:rFonts w:hint="cs"/>
          <w:b/>
          <w:bCs/>
          <w:sz w:val="20"/>
          <w:szCs w:val="20"/>
          <w:rtl/>
        </w:rPr>
        <w:t>שיטות הראשונים</w:t>
      </w:r>
      <w:r>
        <w:rPr>
          <w:sz w:val="20"/>
          <w:szCs w:val="20"/>
          <w:u w:val="single"/>
          <w:rtl/>
        </w:rPr>
        <w:br/>
      </w:r>
      <w:r>
        <w:rPr>
          <w:rFonts w:hint="cs"/>
          <w:sz w:val="20"/>
          <w:szCs w:val="20"/>
          <w:rtl/>
        </w:rPr>
        <w:t xml:space="preserve">א. </w:t>
      </w:r>
      <w:r w:rsidRPr="00AE67FE">
        <w:rPr>
          <w:rFonts w:hint="cs"/>
          <w:b/>
          <w:bCs/>
          <w:sz w:val="20"/>
          <w:szCs w:val="20"/>
          <w:rtl/>
        </w:rPr>
        <w:t>רש"י</w:t>
      </w:r>
      <w:r>
        <w:rPr>
          <w:rFonts w:hint="cs"/>
          <w:sz w:val="20"/>
          <w:szCs w:val="20"/>
          <w:rtl/>
        </w:rPr>
        <w:t xml:space="preserve">, </w:t>
      </w:r>
      <w:r w:rsidRPr="00AE67FE">
        <w:rPr>
          <w:rFonts w:hint="cs"/>
          <w:b/>
          <w:bCs/>
          <w:sz w:val="20"/>
          <w:szCs w:val="20"/>
          <w:rtl/>
        </w:rPr>
        <w:t>סמ"ג וספר התרומה</w:t>
      </w:r>
      <w:r>
        <w:rPr>
          <w:rFonts w:hint="cs"/>
          <w:sz w:val="20"/>
          <w:szCs w:val="20"/>
          <w:rtl/>
        </w:rPr>
        <w:t xml:space="preserve"> </w:t>
      </w:r>
      <w:r>
        <w:rPr>
          <w:sz w:val="20"/>
          <w:szCs w:val="20"/>
          <w:rtl/>
        </w:rPr>
        <w:t>–</w:t>
      </w:r>
      <w:r>
        <w:rPr>
          <w:rFonts w:hint="cs"/>
          <w:sz w:val="20"/>
          <w:szCs w:val="20"/>
          <w:rtl/>
        </w:rPr>
        <w:t xml:space="preserve"> אינה צריכה לבדוק כלל, לא לפני תשמיש ולא לאחר תשמיש, בין יש לה ווסת קבוע ובין אין לה ווסת קבוע. </w:t>
      </w:r>
      <w:r w:rsidRPr="00334C0A">
        <w:rPr>
          <w:rFonts w:hint="cs"/>
          <w:sz w:val="18"/>
          <w:szCs w:val="18"/>
          <w:rtl/>
        </w:rPr>
        <w:t>[</w:t>
      </w:r>
      <w:r w:rsidRPr="00334C0A">
        <w:rPr>
          <w:rFonts w:hint="cs"/>
          <w:b/>
          <w:bCs/>
          <w:sz w:val="18"/>
          <w:szCs w:val="18"/>
          <w:rtl/>
        </w:rPr>
        <w:t>הגה"מ</w:t>
      </w:r>
      <w:r w:rsidRPr="00334C0A">
        <w:rPr>
          <w:rFonts w:hint="cs"/>
          <w:sz w:val="18"/>
          <w:szCs w:val="18"/>
          <w:rtl/>
        </w:rPr>
        <w:t xml:space="preserve"> </w:t>
      </w:r>
      <w:r w:rsidRPr="00334C0A">
        <w:rPr>
          <w:sz w:val="18"/>
          <w:szCs w:val="18"/>
          <w:rtl/>
        </w:rPr>
        <w:t>–</w:t>
      </w:r>
      <w:r w:rsidRPr="00334C0A">
        <w:rPr>
          <w:rFonts w:hint="cs"/>
          <w:sz w:val="18"/>
          <w:szCs w:val="18"/>
          <w:rtl/>
        </w:rPr>
        <w:t xml:space="preserve"> לדעה זאת, </w:t>
      </w:r>
      <w:r>
        <w:rPr>
          <w:rFonts w:hint="cs"/>
          <w:sz w:val="18"/>
          <w:szCs w:val="18"/>
          <w:rtl/>
        </w:rPr>
        <w:t>אסורה להחמיר על עצמה ולבדוק</w:t>
      </w:r>
      <w:r w:rsidRPr="00334C0A">
        <w:rPr>
          <w:rFonts w:hint="cs"/>
          <w:sz w:val="18"/>
          <w:szCs w:val="18"/>
          <w:rtl/>
        </w:rPr>
        <w:t>, כדי שלא יהיה ליבו נוקפו].</w:t>
      </w:r>
      <w:r>
        <w:rPr>
          <w:sz w:val="20"/>
          <w:szCs w:val="20"/>
          <w:rtl/>
        </w:rPr>
        <w:br/>
      </w:r>
      <w:r>
        <w:rPr>
          <w:rFonts w:hint="cs"/>
          <w:sz w:val="20"/>
          <w:szCs w:val="20"/>
          <w:rtl/>
        </w:rPr>
        <w:t xml:space="preserve">ב. </w:t>
      </w:r>
      <w:r w:rsidRPr="001420BB">
        <w:rPr>
          <w:rFonts w:hint="cs"/>
          <w:b/>
          <w:bCs/>
          <w:sz w:val="20"/>
          <w:szCs w:val="20"/>
          <w:rtl/>
        </w:rPr>
        <w:t>רבינו חננאל</w:t>
      </w:r>
      <w:r>
        <w:rPr>
          <w:rFonts w:hint="cs"/>
          <w:sz w:val="20"/>
          <w:szCs w:val="20"/>
          <w:rtl/>
        </w:rPr>
        <w:t xml:space="preserve"> </w:t>
      </w:r>
      <w:r>
        <w:rPr>
          <w:sz w:val="20"/>
          <w:szCs w:val="20"/>
          <w:rtl/>
        </w:rPr>
        <w:t>–</w:t>
      </w:r>
      <w:r>
        <w:rPr>
          <w:rFonts w:hint="cs"/>
          <w:sz w:val="20"/>
          <w:szCs w:val="20"/>
          <w:rtl/>
        </w:rPr>
        <w:t xml:space="preserve"> אשה שאין לה ווסת משמשת בשני עדים, אחד לפני תשמיש ואחד לאחר תשמיש.</w:t>
      </w:r>
      <w:r>
        <w:rPr>
          <w:rFonts w:hint="cs"/>
          <w:sz w:val="20"/>
          <w:szCs w:val="20"/>
          <w:rtl/>
        </w:rPr>
        <w:br/>
        <w:t xml:space="preserve">ג. </w:t>
      </w:r>
      <w:r w:rsidRPr="008C1D4F">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כפירוש ר"ח, אלא שהוסיף בדיקה אף לאיש לאחר תשמיש.</w:t>
      </w:r>
      <w:r>
        <w:rPr>
          <w:sz w:val="20"/>
          <w:szCs w:val="20"/>
          <w:rtl/>
        </w:rPr>
        <w:br/>
      </w:r>
      <w:r>
        <w:rPr>
          <w:rFonts w:hint="cs"/>
          <w:sz w:val="20"/>
          <w:szCs w:val="20"/>
          <w:rtl/>
        </w:rPr>
        <w:t xml:space="preserve">ד. </w:t>
      </w:r>
      <w:r w:rsidRPr="00AB0788">
        <w:rPr>
          <w:rFonts w:hint="cs"/>
          <w:b/>
          <w:bCs/>
          <w:sz w:val="20"/>
          <w:szCs w:val="20"/>
          <w:rtl/>
        </w:rPr>
        <w:t>רי"ף</w:t>
      </w:r>
      <w:r>
        <w:rPr>
          <w:rFonts w:hint="cs"/>
          <w:sz w:val="20"/>
          <w:szCs w:val="20"/>
          <w:rtl/>
        </w:rPr>
        <w:t xml:space="preserve"> </w:t>
      </w:r>
      <w:r w:rsidRPr="001C2F6C">
        <w:rPr>
          <w:rFonts w:hint="cs"/>
          <w:sz w:val="18"/>
          <w:szCs w:val="18"/>
          <w:rtl/>
        </w:rPr>
        <w:t xml:space="preserve">(ע"פ הרא"ש, ר"ן ועוד ראשונים) </w:t>
      </w:r>
      <w:r>
        <w:rPr>
          <w:sz w:val="20"/>
          <w:szCs w:val="20"/>
          <w:rtl/>
        </w:rPr>
        <w:t>–</w:t>
      </w:r>
      <w:r>
        <w:rPr>
          <w:rFonts w:hint="cs"/>
          <w:sz w:val="20"/>
          <w:szCs w:val="20"/>
          <w:rtl/>
        </w:rPr>
        <w:t xml:space="preserve"> אשה שאין לה ווסת קבוע צריכה לבדוק בשלוש הפעמים הראשונות שהיא משמשת עם בעלה, ואם לא ראתה דם מותרת לו מעתה לעולם ללא בדיקה. אך אם ראתה דם בשלוש הפעמים האלו, אסורה לבעלה ויוצאת ללא כתובה, כדברי רבי חנינא בן אנטיגנוס, וכ"פ </w:t>
      </w:r>
      <w:r w:rsidRPr="00254EB0">
        <w:rPr>
          <w:rFonts w:hint="cs"/>
          <w:b/>
          <w:bCs/>
          <w:sz w:val="20"/>
          <w:szCs w:val="20"/>
          <w:rtl/>
        </w:rPr>
        <w:t>המחבר</w:t>
      </w:r>
      <w:r>
        <w:rPr>
          <w:rFonts w:hint="cs"/>
          <w:sz w:val="20"/>
          <w:szCs w:val="20"/>
          <w:rtl/>
        </w:rPr>
        <w:t>.</w:t>
      </w:r>
      <w:r>
        <w:rPr>
          <w:sz w:val="20"/>
          <w:szCs w:val="20"/>
          <w:rtl/>
        </w:rPr>
        <w:br/>
      </w:r>
      <w:r>
        <w:rPr>
          <w:rFonts w:hint="cs"/>
          <w:sz w:val="20"/>
          <w:szCs w:val="20"/>
          <w:rtl/>
        </w:rPr>
        <w:t xml:space="preserve">אופן הבדיקה </w:t>
      </w:r>
      <w:r>
        <w:rPr>
          <w:sz w:val="20"/>
          <w:szCs w:val="20"/>
          <w:rtl/>
        </w:rPr>
        <w:t>–</w:t>
      </w:r>
      <w:r>
        <w:rPr>
          <w:rFonts w:hint="cs"/>
          <w:sz w:val="20"/>
          <w:szCs w:val="20"/>
          <w:rtl/>
        </w:rPr>
        <w:t xml:space="preserve"> הבדיקה נעשית לאחר התשמיש, ויש לבדוק בשני עדים, </w:t>
      </w:r>
      <w:r w:rsidRPr="000602B4">
        <w:rPr>
          <w:rFonts w:hint="cs"/>
          <w:sz w:val="20"/>
          <w:szCs w:val="20"/>
          <w:u w:val="single"/>
          <w:rtl/>
        </w:rPr>
        <w:t>אחד לו</w:t>
      </w:r>
      <w:r>
        <w:rPr>
          <w:rFonts w:hint="cs"/>
          <w:sz w:val="20"/>
          <w:szCs w:val="20"/>
          <w:rtl/>
        </w:rPr>
        <w:t xml:space="preserve"> ואחד לה.</w:t>
      </w:r>
      <w:r w:rsidRPr="000602B4">
        <w:rPr>
          <w:rFonts w:hint="cs"/>
          <w:sz w:val="18"/>
          <w:szCs w:val="18"/>
          <w:rtl/>
        </w:rPr>
        <w:t xml:space="preserve"> </w:t>
      </w:r>
    </w:p>
    <w:p w:rsidR="00620060" w:rsidRDefault="00620060" w:rsidP="00620060">
      <w:pPr>
        <w:rPr>
          <w:sz w:val="20"/>
          <w:szCs w:val="20"/>
          <w:rtl/>
        </w:rPr>
      </w:pPr>
      <w:r>
        <w:rPr>
          <w:rFonts w:hint="cs"/>
          <w:sz w:val="20"/>
          <w:szCs w:val="20"/>
          <w:u w:val="single"/>
          <w:rtl/>
        </w:rPr>
        <w:t>הכרעת הרא"ש</w:t>
      </w:r>
      <w:r>
        <w:rPr>
          <w:sz w:val="20"/>
          <w:szCs w:val="20"/>
          <w:u w:val="single"/>
          <w:rtl/>
        </w:rPr>
        <w:br/>
      </w:r>
      <w:r>
        <w:rPr>
          <w:rFonts w:hint="cs"/>
          <w:sz w:val="20"/>
          <w:szCs w:val="20"/>
          <w:rtl/>
        </w:rPr>
        <w:t>היה נראה לפרש את הסוגייה כרש"י, ורק עסוקה בטהרות בעיא בדיקה. אלא שלא מלאו ליבו להקל כנגד ר"ח מכיוון שדבריו דברי קבלה, ולכן אשה שאין לה ווסת קבוע צריכה לבדוק תמיד לפני תשמיש ולאחר תשמיש.</w:t>
      </w:r>
    </w:p>
    <w:p w:rsidR="00620060" w:rsidRPr="00AD6D1C" w:rsidRDefault="00620060" w:rsidP="00620060">
      <w:pPr>
        <w:rPr>
          <w:sz w:val="20"/>
          <w:szCs w:val="20"/>
          <w:rtl/>
        </w:rPr>
      </w:pPr>
      <w:r>
        <w:rPr>
          <w:rFonts w:hint="cs"/>
          <w:sz w:val="20"/>
          <w:szCs w:val="20"/>
          <w:u w:val="single"/>
          <w:rtl/>
        </w:rPr>
        <w:t>הכרעת הרשב"א</w:t>
      </w:r>
      <w:r>
        <w:rPr>
          <w:sz w:val="20"/>
          <w:szCs w:val="20"/>
          <w:u w:val="single"/>
          <w:rtl/>
        </w:rPr>
        <w:br/>
      </w:r>
      <w:r>
        <w:rPr>
          <w:rFonts w:hint="cs"/>
          <w:sz w:val="20"/>
          <w:szCs w:val="20"/>
          <w:rtl/>
        </w:rPr>
        <w:t>הלכה כרי"ף.</w:t>
      </w:r>
    </w:p>
    <w:p w:rsidR="00620060" w:rsidRDefault="00620060" w:rsidP="00620060">
      <w:pPr>
        <w:rPr>
          <w:sz w:val="20"/>
          <w:szCs w:val="20"/>
          <w:rtl/>
        </w:rPr>
      </w:pPr>
      <w:r>
        <w:rPr>
          <w:rFonts w:hint="cs"/>
          <w:b/>
          <w:bCs/>
          <w:sz w:val="20"/>
          <w:szCs w:val="20"/>
          <w:rtl/>
        </w:rPr>
        <w:t>ביאור שיטות הראשונים במקור ג' בסוגייה</w:t>
      </w:r>
      <w:r>
        <w:rPr>
          <w:b/>
          <w:bCs/>
          <w:sz w:val="20"/>
          <w:szCs w:val="20"/>
          <w:rtl/>
        </w:rPr>
        <w:br/>
      </w:r>
      <w:r>
        <w:rPr>
          <w:rFonts w:hint="cs"/>
          <w:sz w:val="20"/>
          <w:szCs w:val="20"/>
          <w:u w:val="single"/>
          <w:rtl/>
        </w:rPr>
        <w:t>א. שיטת רש"י</w:t>
      </w:r>
      <w:r>
        <w:rPr>
          <w:rFonts w:hint="cs"/>
          <w:sz w:val="20"/>
          <w:szCs w:val="20"/>
          <w:u w:val="single"/>
          <w:rtl/>
        </w:rPr>
        <w:br/>
      </w:r>
      <w:r>
        <w:rPr>
          <w:rFonts w:hint="cs"/>
          <w:sz w:val="20"/>
          <w:szCs w:val="20"/>
          <w:rtl/>
        </w:rPr>
        <w:t xml:space="preserve">במקורות א </w:t>
      </w:r>
      <w:r>
        <w:rPr>
          <w:sz w:val="20"/>
          <w:szCs w:val="20"/>
          <w:rtl/>
        </w:rPr>
        <w:t>–</w:t>
      </w:r>
      <w:r>
        <w:rPr>
          <w:rFonts w:hint="cs"/>
          <w:sz w:val="20"/>
          <w:szCs w:val="20"/>
          <w:rtl/>
        </w:rPr>
        <w:t xml:space="preserve"> ב מוכח להדיא שבדיקה זאת נועדה רק לאשה עסוקה בטהרות. ובסוף מקור ג יש לפרש את יישוב הכפילות בהוראות שמואל כך: גם רב יהודה וגם רבי אבא הורו את הוראתם רק לגבי אשה עסוקה בטהרות, אלא שרבי אבא לא שנה את דברי רב יהודה, ורב יהודה לא שנה את דברי רבי אבא.</w:t>
      </w:r>
      <w:r>
        <w:rPr>
          <w:rStyle w:val="a5"/>
          <w:sz w:val="20"/>
          <w:szCs w:val="20"/>
        </w:rPr>
        <w:footnoteReference w:id="75"/>
      </w:r>
      <w:r>
        <w:rPr>
          <w:rFonts w:hint="cs"/>
          <w:sz w:val="20"/>
          <w:szCs w:val="20"/>
          <w:rtl/>
        </w:rPr>
        <w:t xml:space="preserve"> </w:t>
      </w:r>
      <w:r>
        <w:rPr>
          <w:rStyle w:val="a5"/>
          <w:sz w:val="20"/>
          <w:szCs w:val="20"/>
          <w:rtl/>
        </w:rPr>
        <w:footnoteReference w:id="76"/>
      </w:r>
    </w:p>
    <w:p w:rsidR="00620060" w:rsidRDefault="00620060" w:rsidP="00620060">
      <w:pPr>
        <w:rPr>
          <w:sz w:val="20"/>
          <w:szCs w:val="20"/>
          <w:rtl/>
        </w:rPr>
      </w:pPr>
      <w:r>
        <w:rPr>
          <w:rFonts w:hint="cs"/>
          <w:sz w:val="20"/>
          <w:szCs w:val="20"/>
          <w:u w:val="single"/>
          <w:rtl/>
        </w:rPr>
        <w:t>ב. שיטת רבינו חננאל, הרי"ף והרמב"ם</w:t>
      </w:r>
      <w:r>
        <w:rPr>
          <w:sz w:val="20"/>
          <w:szCs w:val="20"/>
          <w:u w:val="single"/>
          <w:rtl/>
        </w:rPr>
        <w:br/>
      </w:r>
      <w:r>
        <w:rPr>
          <w:rFonts w:hint="cs"/>
          <w:sz w:val="20"/>
          <w:szCs w:val="20"/>
          <w:rtl/>
        </w:rPr>
        <w:t>הסבר כפילות הוראותיו של שמואל כך: נחלקו האמוראים מהי שיטת שמואל. רב יהודה סובר שכל אשה שאין לה ווסת צריכה בדיקה לפני תשמיש ולאחר תשמיש אף כשאינה עסוקה בטהרות, ולכן פסק כרבי חנינא בן אנטיגנוס, אך רבי אבא חולק וסובר שרק עסוקה בטהרות בעי בדיקה.</w:t>
      </w:r>
      <w:r>
        <w:rPr>
          <w:rStyle w:val="a5"/>
          <w:sz w:val="20"/>
          <w:szCs w:val="20"/>
          <w:rtl/>
        </w:rPr>
        <w:footnoteReference w:id="77"/>
      </w:r>
      <w:r>
        <w:rPr>
          <w:rFonts w:hint="cs"/>
          <w:sz w:val="20"/>
          <w:szCs w:val="20"/>
          <w:rtl/>
        </w:rPr>
        <w:t xml:space="preserve"> </w:t>
      </w:r>
      <w:r w:rsidRPr="00956A07">
        <w:rPr>
          <w:rFonts w:hint="cs"/>
          <w:sz w:val="18"/>
          <w:szCs w:val="18"/>
          <w:rtl/>
        </w:rPr>
        <w:t xml:space="preserve">[ר"ח ורי"ף מפרשים את תירוץ הגמרא </w:t>
      </w:r>
      <w:r w:rsidRPr="00956A07">
        <w:rPr>
          <w:rFonts w:cs="Arial" w:hint="cs"/>
          <w:sz w:val="18"/>
          <w:szCs w:val="18"/>
          <w:rtl/>
        </w:rPr>
        <w:t>"מאן</w:t>
      </w:r>
      <w:r w:rsidRPr="00956A07">
        <w:rPr>
          <w:rFonts w:cs="Arial"/>
          <w:sz w:val="18"/>
          <w:szCs w:val="18"/>
          <w:rtl/>
        </w:rPr>
        <w:t xml:space="preserve"> </w:t>
      </w:r>
      <w:r w:rsidRPr="00956A07">
        <w:rPr>
          <w:rFonts w:cs="Arial" w:hint="cs"/>
          <w:sz w:val="18"/>
          <w:szCs w:val="18"/>
          <w:rtl/>
        </w:rPr>
        <w:t>דמתני</w:t>
      </w:r>
      <w:r w:rsidRPr="00956A07">
        <w:rPr>
          <w:rFonts w:cs="Arial"/>
          <w:sz w:val="18"/>
          <w:szCs w:val="18"/>
          <w:rtl/>
        </w:rPr>
        <w:t xml:space="preserve"> </w:t>
      </w:r>
      <w:r w:rsidRPr="00956A07">
        <w:rPr>
          <w:rFonts w:cs="Arial" w:hint="cs"/>
          <w:sz w:val="18"/>
          <w:szCs w:val="18"/>
          <w:rtl/>
        </w:rPr>
        <w:t>הא</w:t>
      </w:r>
      <w:r w:rsidRPr="00956A07">
        <w:rPr>
          <w:rFonts w:cs="Arial"/>
          <w:sz w:val="18"/>
          <w:szCs w:val="18"/>
          <w:rtl/>
        </w:rPr>
        <w:t xml:space="preserve"> </w:t>
      </w:r>
      <w:r w:rsidRPr="00956A07">
        <w:rPr>
          <w:rFonts w:cs="Arial" w:hint="cs"/>
          <w:sz w:val="18"/>
          <w:szCs w:val="18"/>
          <w:rtl/>
        </w:rPr>
        <w:t>לא</w:t>
      </w:r>
      <w:r w:rsidRPr="00956A07">
        <w:rPr>
          <w:rFonts w:cs="Arial"/>
          <w:sz w:val="18"/>
          <w:szCs w:val="18"/>
          <w:rtl/>
        </w:rPr>
        <w:t xml:space="preserve"> </w:t>
      </w:r>
      <w:r w:rsidRPr="00956A07">
        <w:rPr>
          <w:rFonts w:cs="Arial" w:hint="cs"/>
          <w:sz w:val="18"/>
          <w:szCs w:val="18"/>
          <w:rtl/>
        </w:rPr>
        <w:t>מתני</w:t>
      </w:r>
      <w:r w:rsidRPr="00956A07">
        <w:rPr>
          <w:rFonts w:cs="Arial"/>
          <w:sz w:val="18"/>
          <w:szCs w:val="18"/>
          <w:rtl/>
        </w:rPr>
        <w:t xml:space="preserve"> </w:t>
      </w:r>
      <w:r w:rsidRPr="00956A07">
        <w:rPr>
          <w:rFonts w:cs="Arial" w:hint="cs"/>
          <w:sz w:val="18"/>
          <w:szCs w:val="18"/>
          <w:rtl/>
        </w:rPr>
        <w:t>הא" באותו אופן, אלא שנחלקו בביאור דברי רבי חנינא. ר"ח סובר שיש לבדוק לעולם, אך הרי"ף סובר שיש לבדוק ג פעמים ואם לא ראתה מותרת לעולם ללא בדיקה].</w:t>
      </w:r>
    </w:p>
    <w:p w:rsidR="00620060" w:rsidRDefault="00620060" w:rsidP="00620060">
      <w:pPr>
        <w:rPr>
          <w:sz w:val="20"/>
          <w:szCs w:val="20"/>
          <w:rtl/>
        </w:rPr>
      </w:pPr>
      <w:r>
        <w:rPr>
          <w:rFonts w:hint="cs"/>
          <w:b/>
          <w:bCs/>
          <w:sz w:val="20"/>
          <w:szCs w:val="20"/>
          <w:rtl/>
        </w:rPr>
        <w:t>משא ומתן בשיטת הרי"ף</w:t>
      </w:r>
      <w:r>
        <w:rPr>
          <w:rFonts w:hint="cs"/>
          <w:b/>
          <w:bCs/>
          <w:sz w:val="20"/>
          <w:szCs w:val="20"/>
          <w:rtl/>
        </w:rPr>
        <w:br/>
      </w:r>
      <w:r w:rsidRPr="00670680">
        <w:rPr>
          <w:rFonts w:hint="cs"/>
          <w:sz w:val="20"/>
          <w:szCs w:val="20"/>
          <w:u w:val="single"/>
          <w:rtl/>
        </w:rPr>
        <w:t>קושיות הרא"ש</w:t>
      </w:r>
      <w:r>
        <w:rPr>
          <w:b/>
          <w:bCs/>
          <w:sz w:val="20"/>
          <w:szCs w:val="20"/>
          <w:rtl/>
        </w:rPr>
        <w:br/>
      </w:r>
      <w:r>
        <w:rPr>
          <w:rFonts w:hint="cs"/>
          <w:sz w:val="20"/>
          <w:szCs w:val="20"/>
          <w:rtl/>
        </w:rPr>
        <w:t>א. במקור ג הגמרא מקשה "</w:t>
      </w:r>
      <w:r w:rsidRPr="00521BB1">
        <w:rPr>
          <w:rFonts w:cs="Arial" w:hint="cs"/>
          <w:sz w:val="20"/>
          <w:szCs w:val="20"/>
          <w:rtl/>
        </w:rPr>
        <w:t>ובמאי</w:t>
      </w:r>
      <w:r w:rsidRPr="00521BB1">
        <w:rPr>
          <w:rFonts w:cs="Arial"/>
          <w:sz w:val="20"/>
          <w:szCs w:val="20"/>
          <w:rtl/>
        </w:rPr>
        <w:t>?</w:t>
      </w:r>
      <w:r>
        <w:rPr>
          <w:rFonts w:cs="Arial" w:hint="cs"/>
          <w:sz w:val="20"/>
          <w:szCs w:val="20"/>
          <w:rtl/>
        </w:rPr>
        <w:t xml:space="preserve"> </w:t>
      </w:r>
      <w:r w:rsidRPr="00521BB1">
        <w:rPr>
          <w:rFonts w:cs="Arial" w:hint="cs"/>
          <w:sz w:val="20"/>
          <w:szCs w:val="20"/>
          <w:rtl/>
        </w:rPr>
        <w:t>אי</w:t>
      </w:r>
      <w:r w:rsidRPr="00521BB1">
        <w:rPr>
          <w:rFonts w:cs="Arial"/>
          <w:sz w:val="20"/>
          <w:szCs w:val="20"/>
          <w:rtl/>
        </w:rPr>
        <w:t xml:space="preserve"> </w:t>
      </w:r>
      <w:r w:rsidRPr="00521BB1">
        <w:rPr>
          <w:rFonts w:cs="Arial" w:hint="cs"/>
          <w:sz w:val="20"/>
          <w:szCs w:val="20"/>
          <w:rtl/>
        </w:rPr>
        <w:t>בעסוקה</w:t>
      </w:r>
      <w:r w:rsidRPr="00521BB1">
        <w:rPr>
          <w:rFonts w:cs="Arial"/>
          <w:sz w:val="20"/>
          <w:szCs w:val="20"/>
          <w:rtl/>
        </w:rPr>
        <w:t xml:space="preserve"> </w:t>
      </w:r>
      <w:r w:rsidRPr="00521BB1">
        <w:rPr>
          <w:rFonts w:cs="Arial" w:hint="cs"/>
          <w:sz w:val="20"/>
          <w:szCs w:val="20"/>
          <w:rtl/>
        </w:rPr>
        <w:t>בטהרות</w:t>
      </w:r>
      <w:r w:rsidRPr="00521BB1">
        <w:rPr>
          <w:rFonts w:cs="Arial"/>
          <w:sz w:val="20"/>
          <w:szCs w:val="20"/>
          <w:rtl/>
        </w:rPr>
        <w:t xml:space="preserve"> - </w:t>
      </w:r>
      <w:r w:rsidRPr="00521BB1">
        <w:rPr>
          <w:rFonts w:cs="Arial" w:hint="cs"/>
          <w:sz w:val="20"/>
          <w:szCs w:val="20"/>
          <w:rtl/>
        </w:rPr>
        <w:t>הא</w:t>
      </w:r>
      <w:r w:rsidRPr="00521BB1">
        <w:rPr>
          <w:rFonts w:cs="Arial"/>
          <w:sz w:val="20"/>
          <w:szCs w:val="20"/>
          <w:rtl/>
        </w:rPr>
        <w:t xml:space="preserve"> </w:t>
      </w:r>
      <w:r w:rsidRPr="00521BB1">
        <w:rPr>
          <w:rFonts w:cs="Arial" w:hint="cs"/>
          <w:sz w:val="20"/>
          <w:szCs w:val="20"/>
          <w:rtl/>
        </w:rPr>
        <w:t>אמרה</w:t>
      </w:r>
      <w:r w:rsidRPr="00521BB1">
        <w:rPr>
          <w:rFonts w:cs="Arial"/>
          <w:sz w:val="20"/>
          <w:szCs w:val="20"/>
          <w:rtl/>
        </w:rPr>
        <w:t xml:space="preserve"> </w:t>
      </w:r>
      <w:r w:rsidRPr="00521BB1">
        <w:rPr>
          <w:rFonts w:cs="Arial" w:hint="cs"/>
          <w:sz w:val="20"/>
          <w:szCs w:val="20"/>
          <w:rtl/>
        </w:rPr>
        <w:t>שמואל</w:t>
      </w:r>
      <w:r w:rsidRPr="00521BB1">
        <w:rPr>
          <w:rFonts w:cs="Arial"/>
          <w:sz w:val="20"/>
          <w:szCs w:val="20"/>
          <w:rtl/>
        </w:rPr>
        <w:t xml:space="preserve"> </w:t>
      </w:r>
      <w:r w:rsidRPr="00521BB1">
        <w:rPr>
          <w:rFonts w:cs="Arial" w:hint="cs"/>
          <w:sz w:val="20"/>
          <w:szCs w:val="20"/>
          <w:rtl/>
        </w:rPr>
        <w:t>חדא</w:t>
      </w:r>
      <w:r w:rsidRPr="00521BB1">
        <w:rPr>
          <w:rFonts w:cs="Arial"/>
          <w:sz w:val="20"/>
          <w:szCs w:val="20"/>
          <w:rtl/>
        </w:rPr>
        <w:t xml:space="preserve"> </w:t>
      </w:r>
      <w:r w:rsidRPr="00521BB1">
        <w:rPr>
          <w:rFonts w:cs="Arial" w:hint="cs"/>
          <w:sz w:val="20"/>
          <w:szCs w:val="20"/>
          <w:rtl/>
        </w:rPr>
        <w:t>זימנא</w:t>
      </w:r>
      <w:r>
        <w:rPr>
          <w:rFonts w:cs="Arial" w:hint="cs"/>
          <w:sz w:val="20"/>
          <w:szCs w:val="20"/>
          <w:rtl/>
        </w:rPr>
        <w:t>", ולדברי הרי"ף יקשה שהרי שמואל קאי על המשנה, והתם מיירי בבדיקה לפני תשמיש</w:t>
      </w:r>
      <w:r>
        <w:rPr>
          <w:rFonts w:hint="cs"/>
          <w:sz w:val="20"/>
          <w:szCs w:val="20"/>
          <w:rtl/>
        </w:rPr>
        <w:t xml:space="preserve"> ואילו רבי חנינא מיירי בבדיקה לאחר תשמיש.</w:t>
      </w:r>
      <w:r>
        <w:rPr>
          <w:rFonts w:hint="cs"/>
          <w:sz w:val="20"/>
          <w:szCs w:val="20"/>
          <w:rtl/>
        </w:rPr>
        <w:br/>
        <w:t>ב. הגמרא (שם) מקשה "</w:t>
      </w:r>
      <w:r w:rsidRPr="00521BB1">
        <w:rPr>
          <w:rFonts w:cs="Arial" w:hint="cs"/>
          <w:sz w:val="20"/>
          <w:szCs w:val="20"/>
          <w:rtl/>
        </w:rPr>
        <w:t>ואי</w:t>
      </w:r>
      <w:r w:rsidRPr="00521BB1">
        <w:rPr>
          <w:rFonts w:cs="Arial"/>
          <w:sz w:val="20"/>
          <w:szCs w:val="20"/>
          <w:rtl/>
        </w:rPr>
        <w:t xml:space="preserve"> </w:t>
      </w:r>
      <w:r w:rsidRPr="00521BB1">
        <w:rPr>
          <w:rFonts w:cs="Arial" w:hint="cs"/>
          <w:sz w:val="20"/>
          <w:szCs w:val="20"/>
          <w:rtl/>
        </w:rPr>
        <w:t>בשאינה</w:t>
      </w:r>
      <w:r w:rsidRPr="00521BB1">
        <w:rPr>
          <w:rFonts w:cs="Arial"/>
          <w:sz w:val="20"/>
          <w:szCs w:val="20"/>
          <w:rtl/>
        </w:rPr>
        <w:t xml:space="preserve"> </w:t>
      </w:r>
      <w:r w:rsidRPr="00521BB1">
        <w:rPr>
          <w:rFonts w:cs="Arial" w:hint="cs"/>
          <w:sz w:val="20"/>
          <w:szCs w:val="20"/>
          <w:rtl/>
        </w:rPr>
        <w:t>עסוקה</w:t>
      </w:r>
      <w:r w:rsidRPr="00521BB1">
        <w:rPr>
          <w:rFonts w:cs="Arial"/>
          <w:sz w:val="20"/>
          <w:szCs w:val="20"/>
          <w:rtl/>
        </w:rPr>
        <w:t xml:space="preserve"> </w:t>
      </w:r>
      <w:r w:rsidRPr="00521BB1">
        <w:rPr>
          <w:rFonts w:cs="Arial" w:hint="cs"/>
          <w:sz w:val="20"/>
          <w:szCs w:val="20"/>
          <w:rtl/>
        </w:rPr>
        <w:t>בטהרות</w:t>
      </w:r>
      <w:r w:rsidRPr="00521BB1">
        <w:rPr>
          <w:rFonts w:cs="Arial"/>
          <w:sz w:val="20"/>
          <w:szCs w:val="20"/>
          <w:rtl/>
        </w:rPr>
        <w:t xml:space="preserve"> - </w:t>
      </w:r>
      <w:r w:rsidRPr="00521BB1">
        <w:rPr>
          <w:rFonts w:cs="Arial" w:hint="cs"/>
          <w:sz w:val="20"/>
          <w:szCs w:val="20"/>
          <w:rtl/>
        </w:rPr>
        <w:t>הא</w:t>
      </w:r>
      <w:r w:rsidRPr="00521BB1">
        <w:rPr>
          <w:rFonts w:cs="Arial"/>
          <w:sz w:val="20"/>
          <w:szCs w:val="20"/>
          <w:rtl/>
        </w:rPr>
        <w:t xml:space="preserve"> </w:t>
      </w:r>
      <w:r w:rsidRPr="00521BB1">
        <w:rPr>
          <w:rFonts w:cs="Arial" w:hint="cs"/>
          <w:sz w:val="20"/>
          <w:szCs w:val="20"/>
          <w:rtl/>
        </w:rPr>
        <w:t>אמר</w:t>
      </w:r>
      <w:r w:rsidRPr="00521BB1">
        <w:rPr>
          <w:rFonts w:cs="Arial"/>
          <w:sz w:val="20"/>
          <w:szCs w:val="20"/>
          <w:rtl/>
        </w:rPr>
        <w:t xml:space="preserve"> </w:t>
      </w:r>
      <w:r w:rsidRPr="00521BB1">
        <w:rPr>
          <w:rFonts w:cs="Arial" w:hint="cs"/>
          <w:sz w:val="20"/>
          <w:szCs w:val="20"/>
          <w:rtl/>
        </w:rPr>
        <w:t>כל</w:t>
      </w:r>
      <w:r w:rsidRPr="00521BB1">
        <w:rPr>
          <w:rFonts w:cs="Arial"/>
          <w:sz w:val="20"/>
          <w:szCs w:val="20"/>
          <w:rtl/>
        </w:rPr>
        <w:t xml:space="preserve"> </w:t>
      </w:r>
      <w:r w:rsidRPr="00521BB1">
        <w:rPr>
          <w:rFonts w:cs="Arial" w:hint="cs"/>
          <w:sz w:val="20"/>
          <w:szCs w:val="20"/>
          <w:rtl/>
        </w:rPr>
        <w:t>לבעלה</w:t>
      </w:r>
      <w:r w:rsidRPr="00521BB1">
        <w:rPr>
          <w:rFonts w:cs="Arial"/>
          <w:sz w:val="20"/>
          <w:szCs w:val="20"/>
          <w:rtl/>
        </w:rPr>
        <w:t xml:space="preserve"> - </w:t>
      </w:r>
      <w:r w:rsidRPr="00521BB1">
        <w:rPr>
          <w:rFonts w:cs="Arial" w:hint="cs"/>
          <w:sz w:val="20"/>
          <w:szCs w:val="20"/>
          <w:rtl/>
        </w:rPr>
        <w:t>לא</w:t>
      </w:r>
      <w:r w:rsidRPr="00521BB1">
        <w:rPr>
          <w:rFonts w:cs="Arial"/>
          <w:sz w:val="20"/>
          <w:szCs w:val="20"/>
          <w:rtl/>
        </w:rPr>
        <w:t xml:space="preserve"> </w:t>
      </w:r>
      <w:r w:rsidRPr="00521BB1">
        <w:rPr>
          <w:rFonts w:cs="Arial" w:hint="cs"/>
          <w:sz w:val="20"/>
          <w:szCs w:val="20"/>
          <w:rtl/>
        </w:rPr>
        <w:t>בעיא</w:t>
      </w:r>
      <w:r w:rsidRPr="00521BB1">
        <w:rPr>
          <w:rFonts w:cs="Arial"/>
          <w:sz w:val="20"/>
          <w:szCs w:val="20"/>
          <w:rtl/>
        </w:rPr>
        <w:t xml:space="preserve"> </w:t>
      </w:r>
      <w:r w:rsidRPr="00521BB1">
        <w:rPr>
          <w:rFonts w:cs="Arial" w:hint="cs"/>
          <w:sz w:val="20"/>
          <w:szCs w:val="20"/>
          <w:rtl/>
        </w:rPr>
        <w:t>בדיקה</w:t>
      </w:r>
      <w:r>
        <w:rPr>
          <w:rFonts w:cs="Arial" w:hint="cs"/>
          <w:sz w:val="20"/>
          <w:szCs w:val="20"/>
          <w:rtl/>
        </w:rPr>
        <w:t>", ומאי קושייה, הרי גם רבי חנינא לא מצריך אותה בדיקה אלא רק בשלוש הפעמים הראשונות, וייתכן ששמואל מודה לכך.</w:t>
      </w:r>
      <w:r>
        <w:rPr>
          <w:sz w:val="20"/>
          <w:szCs w:val="20"/>
          <w:rtl/>
        </w:rPr>
        <w:br/>
      </w:r>
      <w:r>
        <w:rPr>
          <w:rFonts w:hint="cs"/>
          <w:sz w:val="20"/>
          <w:szCs w:val="20"/>
          <w:rtl/>
        </w:rPr>
        <w:t>ג. מה מועילה בדיקה ג פעמים לפני תשמיש, הרי החשש הוא שמא תפרוס נידה תחתיו כיוון שאין לה ווסת קבוע, ואם כן לעולם יש לחוש לכך.</w:t>
      </w:r>
      <w:r>
        <w:rPr>
          <w:sz w:val="20"/>
          <w:szCs w:val="20"/>
          <w:rtl/>
        </w:rPr>
        <w:br/>
      </w:r>
      <w:r>
        <w:rPr>
          <w:rFonts w:hint="cs"/>
          <w:sz w:val="20"/>
          <w:szCs w:val="20"/>
          <w:rtl/>
        </w:rPr>
        <w:t>ד. מדוע רבי חנינא לא הצריך אותה בדיקה לפני תשמיש כדי שתדע שהיא טהורה ויכולה לשמש?</w:t>
      </w:r>
    </w:p>
    <w:p w:rsidR="00620060" w:rsidRDefault="00620060" w:rsidP="00620060">
      <w:pPr>
        <w:rPr>
          <w:sz w:val="20"/>
          <w:szCs w:val="20"/>
          <w:rtl/>
        </w:rPr>
      </w:pPr>
      <w:r w:rsidRPr="005D59F9">
        <w:rPr>
          <w:rFonts w:hint="cs"/>
          <w:sz w:val="20"/>
          <w:szCs w:val="20"/>
          <w:u w:val="single"/>
          <w:rtl/>
        </w:rPr>
        <w:t>יישוב הבית יוסף</w:t>
      </w:r>
      <w:r>
        <w:rPr>
          <w:sz w:val="20"/>
          <w:szCs w:val="20"/>
          <w:u w:val="single"/>
          <w:rtl/>
        </w:rPr>
        <w:br/>
      </w:r>
      <w:r>
        <w:rPr>
          <w:rFonts w:hint="cs"/>
          <w:sz w:val="20"/>
          <w:szCs w:val="20"/>
          <w:rtl/>
        </w:rPr>
        <w:t>א. רבי חנינא מצריך בדיקה גם לפני תשמיש, אלא שלא הוצרך לכתוב זאת שהרי הורה לבדוק לאחר תשמיש, ואם כן כל שכן שיש לבדוק לפני תשמיש, ובכך מיושבות קושיות א, ד.</w:t>
      </w:r>
      <w:r>
        <w:rPr>
          <w:sz w:val="20"/>
          <w:szCs w:val="20"/>
          <w:rtl/>
        </w:rPr>
        <w:br/>
      </w:r>
      <w:r>
        <w:rPr>
          <w:rFonts w:hint="cs"/>
          <w:sz w:val="20"/>
          <w:szCs w:val="20"/>
          <w:rtl/>
        </w:rPr>
        <w:lastRenderedPageBreak/>
        <w:t>ב. הגמרא מבינה מלשונו של שמואל שאינו מצריך בדיקה כלל אפילו פעם אחת, וכך מיושבת קושייה ב.</w:t>
      </w:r>
      <w:r>
        <w:rPr>
          <w:sz w:val="20"/>
          <w:szCs w:val="20"/>
          <w:rtl/>
        </w:rPr>
        <w:br/>
      </w:r>
      <w:r>
        <w:rPr>
          <w:rFonts w:hint="cs"/>
          <w:sz w:val="20"/>
          <w:szCs w:val="20"/>
          <w:rtl/>
        </w:rPr>
        <w:t>ג. הר"ן מבאר בדעת הרי"ף שהחשש באשה שאין לה ווסת, הוא שמא ראיותיה באות לה מחמת המקרים שקורים לה, ושמא מחמת תשמיש רואה. ולכן ג בדיקות לאחר תשמיש מהוות הוכחה לכך שראיותיה אינן באות לה מחמת זאת, וכך מיושבת קושייה ג.</w:t>
      </w:r>
    </w:p>
    <w:p w:rsidR="00620060" w:rsidRDefault="00620060" w:rsidP="00620060">
      <w:pPr>
        <w:rPr>
          <w:sz w:val="20"/>
          <w:szCs w:val="20"/>
          <w:rtl/>
        </w:rPr>
      </w:pPr>
      <w:r>
        <w:rPr>
          <w:rFonts w:hint="cs"/>
          <w:b/>
          <w:bCs/>
          <w:sz w:val="20"/>
          <w:szCs w:val="20"/>
          <w:rtl/>
        </w:rPr>
        <w:t>משא ומתן בשיטת ר"ח</w:t>
      </w:r>
      <w:r>
        <w:rPr>
          <w:b/>
          <w:bCs/>
          <w:sz w:val="20"/>
          <w:szCs w:val="20"/>
          <w:rtl/>
        </w:rPr>
        <w:br/>
      </w:r>
      <w:r w:rsidRPr="00956A07">
        <w:rPr>
          <w:rFonts w:hint="cs"/>
          <w:sz w:val="20"/>
          <w:szCs w:val="20"/>
          <w:u w:val="single"/>
          <w:rtl/>
        </w:rPr>
        <w:t>קושיות הרשב"א</w:t>
      </w:r>
      <w:r>
        <w:rPr>
          <w:sz w:val="20"/>
          <w:szCs w:val="20"/>
          <w:rtl/>
        </w:rPr>
        <w:br/>
      </w:r>
      <w:r>
        <w:rPr>
          <w:rFonts w:hint="cs"/>
          <w:sz w:val="20"/>
          <w:szCs w:val="20"/>
          <w:rtl/>
        </w:rPr>
        <w:t xml:space="preserve">א. רב יהודה סותר עצמו, מכיוון שבדף יב: </w:t>
      </w:r>
      <w:r w:rsidRPr="00793CCB">
        <w:rPr>
          <w:rFonts w:hint="cs"/>
          <w:sz w:val="18"/>
          <w:szCs w:val="18"/>
          <w:rtl/>
        </w:rPr>
        <w:t xml:space="preserve">(מקור ג) </w:t>
      </w:r>
      <w:r>
        <w:rPr>
          <w:rFonts w:hint="cs"/>
          <w:sz w:val="20"/>
          <w:szCs w:val="20"/>
          <w:rtl/>
        </w:rPr>
        <w:t xml:space="preserve">משמע שצריך בדיקה אף כשאינה עסוקה בטהרות, ואילו בדף יא. </w:t>
      </w:r>
      <w:r w:rsidRPr="00793CCB">
        <w:rPr>
          <w:rFonts w:hint="cs"/>
          <w:sz w:val="18"/>
          <w:szCs w:val="18"/>
          <w:rtl/>
        </w:rPr>
        <w:t xml:space="preserve">(מקור א) </w:t>
      </w:r>
      <w:r>
        <w:rPr>
          <w:rFonts w:hint="cs"/>
          <w:sz w:val="20"/>
          <w:szCs w:val="20"/>
          <w:rtl/>
        </w:rPr>
        <w:t xml:space="preserve">הורה רב יהודה שרק אשה עסוקה בטהרות צריכה לבדוק. </w:t>
      </w:r>
      <w:r w:rsidRPr="00793CCB">
        <w:rPr>
          <w:rFonts w:hint="cs"/>
          <w:sz w:val="18"/>
          <w:szCs w:val="18"/>
          <w:rtl/>
        </w:rPr>
        <w:t>(זו גם קושיית רש"י שמחמתה דחה את שיטת ר"ח, מובא בהערה לעיל).</w:t>
      </w:r>
      <w:r>
        <w:rPr>
          <w:sz w:val="18"/>
          <w:szCs w:val="18"/>
          <w:rtl/>
        </w:rPr>
        <w:br/>
      </w:r>
      <w:r w:rsidRPr="00BD5269">
        <w:rPr>
          <w:rFonts w:hint="cs"/>
          <w:sz w:val="20"/>
          <w:szCs w:val="20"/>
          <w:rtl/>
        </w:rPr>
        <w:t xml:space="preserve">ב. </w:t>
      </w:r>
      <w:r w:rsidRPr="00D06E17">
        <w:rPr>
          <w:rFonts w:hint="cs"/>
          <w:b/>
          <w:bCs/>
          <w:sz w:val="20"/>
          <w:szCs w:val="20"/>
          <w:rtl/>
        </w:rPr>
        <w:t xml:space="preserve">גמרא </w:t>
      </w:r>
      <w:r w:rsidRPr="00BD5269">
        <w:rPr>
          <w:rFonts w:hint="cs"/>
          <w:sz w:val="20"/>
          <w:szCs w:val="20"/>
          <w:rtl/>
        </w:rPr>
        <w:t>נידה (יב.) "</w:t>
      </w:r>
      <w:r w:rsidRPr="00BD5269">
        <w:rPr>
          <w:rFonts w:cs="Arial" w:hint="cs"/>
          <w:sz w:val="20"/>
          <w:szCs w:val="20"/>
          <w:rtl/>
        </w:rPr>
        <w:t>בעא</w:t>
      </w:r>
      <w:r w:rsidRPr="00BD5269">
        <w:rPr>
          <w:rFonts w:cs="Arial"/>
          <w:sz w:val="20"/>
          <w:szCs w:val="20"/>
          <w:rtl/>
        </w:rPr>
        <w:t xml:space="preserve"> </w:t>
      </w:r>
      <w:r w:rsidRPr="00BD5269">
        <w:rPr>
          <w:rFonts w:cs="Arial" w:hint="cs"/>
          <w:sz w:val="20"/>
          <w:szCs w:val="20"/>
          <w:rtl/>
        </w:rPr>
        <w:t>מיניה</w:t>
      </w:r>
      <w:r w:rsidRPr="00BD5269">
        <w:rPr>
          <w:rFonts w:cs="Arial"/>
          <w:sz w:val="20"/>
          <w:szCs w:val="20"/>
          <w:rtl/>
        </w:rPr>
        <w:t xml:space="preserve"> </w:t>
      </w:r>
      <w:r w:rsidRPr="00BD5269">
        <w:rPr>
          <w:rFonts w:cs="Arial" w:hint="cs"/>
          <w:sz w:val="20"/>
          <w:szCs w:val="20"/>
          <w:rtl/>
        </w:rPr>
        <w:t>רבי</w:t>
      </w:r>
      <w:r w:rsidRPr="00BD5269">
        <w:rPr>
          <w:rFonts w:cs="Arial"/>
          <w:sz w:val="20"/>
          <w:szCs w:val="20"/>
          <w:rtl/>
        </w:rPr>
        <w:t xml:space="preserve"> </w:t>
      </w:r>
      <w:r w:rsidRPr="00BD5269">
        <w:rPr>
          <w:rFonts w:cs="Arial" w:hint="cs"/>
          <w:sz w:val="20"/>
          <w:szCs w:val="20"/>
          <w:rtl/>
        </w:rPr>
        <w:t>זירא</w:t>
      </w:r>
      <w:r w:rsidRPr="00BD5269">
        <w:rPr>
          <w:rFonts w:cs="Arial"/>
          <w:sz w:val="20"/>
          <w:szCs w:val="20"/>
          <w:rtl/>
        </w:rPr>
        <w:t xml:space="preserve"> </w:t>
      </w:r>
      <w:r w:rsidRPr="00BD5269">
        <w:rPr>
          <w:rFonts w:cs="Arial" w:hint="cs"/>
          <w:sz w:val="20"/>
          <w:szCs w:val="20"/>
          <w:rtl/>
        </w:rPr>
        <w:t>מרב</w:t>
      </w:r>
      <w:r w:rsidRPr="00BD5269">
        <w:rPr>
          <w:rFonts w:cs="Arial"/>
          <w:sz w:val="20"/>
          <w:szCs w:val="20"/>
          <w:rtl/>
        </w:rPr>
        <w:t xml:space="preserve"> </w:t>
      </w:r>
      <w:r w:rsidRPr="00BD5269">
        <w:rPr>
          <w:rFonts w:cs="Arial" w:hint="cs"/>
          <w:sz w:val="20"/>
          <w:szCs w:val="20"/>
          <w:rtl/>
        </w:rPr>
        <w:t>יהודה</w:t>
      </w:r>
      <w:r w:rsidRPr="00BD5269">
        <w:rPr>
          <w:rFonts w:cs="Arial"/>
          <w:sz w:val="20"/>
          <w:szCs w:val="20"/>
          <w:rtl/>
        </w:rPr>
        <w:t xml:space="preserve">: </w:t>
      </w:r>
      <w:r w:rsidRPr="00BD5269">
        <w:rPr>
          <w:rFonts w:cs="Arial" w:hint="cs"/>
          <w:sz w:val="20"/>
          <w:szCs w:val="20"/>
          <w:rtl/>
        </w:rPr>
        <w:t>אשה</w:t>
      </w:r>
      <w:r w:rsidRPr="00BD5269">
        <w:rPr>
          <w:rFonts w:cs="Arial"/>
          <w:sz w:val="20"/>
          <w:szCs w:val="20"/>
          <w:rtl/>
        </w:rPr>
        <w:t xml:space="preserve"> </w:t>
      </w:r>
      <w:r w:rsidRPr="00BD5269">
        <w:rPr>
          <w:rFonts w:cs="Arial" w:hint="cs"/>
          <w:sz w:val="20"/>
          <w:szCs w:val="20"/>
          <w:rtl/>
        </w:rPr>
        <w:t>מהו</w:t>
      </w:r>
      <w:r w:rsidRPr="00BD5269">
        <w:rPr>
          <w:rFonts w:cs="Arial"/>
          <w:sz w:val="20"/>
          <w:szCs w:val="20"/>
          <w:rtl/>
        </w:rPr>
        <w:t xml:space="preserve"> </w:t>
      </w:r>
      <w:r w:rsidRPr="00BD5269">
        <w:rPr>
          <w:rFonts w:cs="Arial" w:hint="cs"/>
          <w:sz w:val="20"/>
          <w:szCs w:val="20"/>
          <w:rtl/>
        </w:rPr>
        <w:t>שתבדוק</w:t>
      </w:r>
      <w:r w:rsidRPr="00BD5269">
        <w:rPr>
          <w:rFonts w:cs="Arial"/>
          <w:sz w:val="20"/>
          <w:szCs w:val="20"/>
          <w:rtl/>
        </w:rPr>
        <w:t xml:space="preserve"> </w:t>
      </w:r>
      <w:r w:rsidRPr="00BD5269">
        <w:rPr>
          <w:rFonts w:cs="Arial" w:hint="cs"/>
          <w:sz w:val="20"/>
          <w:szCs w:val="20"/>
          <w:rtl/>
        </w:rPr>
        <w:t>עצמה</w:t>
      </w:r>
      <w:r w:rsidRPr="00BD5269">
        <w:rPr>
          <w:rFonts w:cs="Arial"/>
          <w:sz w:val="20"/>
          <w:szCs w:val="20"/>
          <w:rtl/>
        </w:rPr>
        <w:t xml:space="preserve"> </w:t>
      </w:r>
      <w:r w:rsidRPr="00BD5269">
        <w:rPr>
          <w:rFonts w:cs="Arial" w:hint="cs"/>
          <w:sz w:val="20"/>
          <w:szCs w:val="20"/>
          <w:rtl/>
        </w:rPr>
        <w:t>לבעלה</w:t>
      </w:r>
      <w:r w:rsidRPr="00BD5269">
        <w:rPr>
          <w:rFonts w:cs="Arial"/>
          <w:sz w:val="20"/>
          <w:szCs w:val="20"/>
          <w:rtl/>
        </w:rPr>
        <w:t xml:space="preserve">? </w:t>
      </w:r>
      <w:r w:rsidRPr="00BD5269">
        <w:rPr>
          <w:rFonts w:cs="Arial" w:hint="cs"/>
          <w:sz w:val="20"/>
          <w:szCs w:val="20"/>
          <w:rtl/>
        </w:rPr>
        <w:t>אמר</w:t>
      </w:r>
      <w:r w:rsidRPr="00BD5269">
        <w:rPr>
          <w:rFonts w:cs="Arial"/>
          <w:sz w:val="20"/>
          <w:szCs w:val="20"/>
          <w:rtl/>
        </w:rPr>
        <w:t xml:space="preserve"> </w:t>
      </w:r>
      <w:r w:rsidRPr="00BD5269">
        <w:rPr>
          <w:rFonts w:cs="Arial" w:hint="cs"/>
          <w:sz w:val="20"/>
          <w:szCs w:val="20"/>
          <w:rtl/>
        </w:rPr>
        <w:t>ליה</w:t>
      </w:r>
      <w:r w:rsidRPr="00BD5269">
        <w:rPr>
          <w:rFonts w:cs="Arial"/>
          <w:sz w:val="20"/>
          <w:szCs w:val="20"/>
          <w:rtl/>
        </w:rPr>
        <w:t xml:space="preserve">: </w:t>
      </w:r>
      <w:r w:rsidRPr="00BD5269">
        <w:rPr>
          <w:rFonts w:cs="Arial" w:hint="cs"/>
          <w:sz w:val="20"/>
          <w:szCs w:val="20"/>
          <w:rtl/>
        </w:rPr>
        <w:t>לא</w:t>
      </w:r>
      <w:r w:rsidRPr="00BD5269">
        <w:rPr>
          <w:rFonts w:cs="Arial"/>
          <w:sz w:val="20"/>
          <w:szCs w:val="20"/>
          <w:rtl/>
        </w:rPr>
        <w:t xml:space="preserve"> </w:t>
      </w:r>
      <w:r w:rsidRPr="00BD5269">
        <w:rPr>
          <w:rFonts w:cs="Arial" w:hint="cs"/>
          <w:sz w:val="20"/>
          <w:szCs w:val="20"/>
          <w:rtl/>
        </w:rPr>
        <w:t>תבדוק</w:t>
      </w:r>
      <w:r w:rsidRPr="00BD5269">
        <w:rPr>
          <w:rFonts w:cs="Arial"/>
          <w:sz w:val="20"/>
          <w:szCs w:val="20"/>
          <w:rtl/>
        </w:rPr>
        <w:t xml:space="preserve">. </w:t>
      </w:r>
      <w:r w:rsidRPr="00BD5269">
        <w:rPr>
          <w:rFonts w:cs="Arial" w:hint="cs"/>
          <w:sz w:val="20"/>
          <w:szCs w:val="20"/>
          <w:rtl/>
        </w:rPr>
        <w:t>ותבדוק</w:t>
      </w:r>
      <w:r w:rsidRPr="00BD5269">
        <w:rPr>
          <w:rFonts w:cs="Arial"/>
          <w:sz w:val="20"/>
          <w:szCs w:val="20"/>
          <w:rtl/>
        </w:rPr>
        <w:t xml:space="preserve">, </w:t>
      </w:r>
      <w:r w:rsidRPr="00BD5269">
        <w:rPr>
          <w:rFonts w:cs="Arial" w:hint="cs"/>
          <w:sz w:val="20"/>
          <w:szCs w:val="20"/>
          <w:rtl/>
        </w:rPr>
        <w:t>ומה</w:t>
      </w:r>
      <w:r w:rsidRPr="00BD5269">
        <w:rPr>
          <w:rFonts w:cs="Arial"/>
          <w:sz w:val="20"/>
          <w:szCs w:val="20"/>
          <w:rtl/>
        </w:rPr>
        <w:t xml:space="preserve"> </w:t>
      </w:r>
      <w:r w:rsidRPr="00BD5269">
        <w:rPr>
          <w:rFonts w:cs="Arial" w:hint="cs"/>
          <w:sz w:val="20"/>
          <w:szCs w:val="20"/>
          <w:rtl/>
        </w:rPr>
        <w:t>בכך</w:t>
      </w:r>
      <w:r w:rsidRPr="00BD5269">
        <w:rPr>
          <w:rFonts w:cs="Arial"/>
          <w:sz w:val="20"/>
          <w:szCs w:val="20"/>
          <w:rtl/>
        </w:rPr>
        <w:t xml:space="preserve">? </w:t>
      </w:r>
      <w:r w:rsidRPr="00BD5269">
        <w:rPr>
          <w:rFonts w:cs="Arial" w:hint="cs"/>
          <w:sz w:val="20"/>
          <w:szCs w:val="20"/>
          <w:rtl/>
        </w:rPr>
        <w:t>אם</w:t>
      </w:r>
      <w:r w:rsidRPr="00BD5269">
        <w:rPr>
          <w:rFonts w:cs="Arial"/>
          <w:sz w:val="20"/>
          <w:szCs w:val="20"/>
          <w:rtl/>
        </w:rPr>
        <w:t xml:space="preserve"> </w:t>
      </w:r>
      <w:r w:rsidRPr="00BD5269">
        <w:rPr>
          <w:rFonts w:cs="Arial" w:hint="cs"/>
          <w:sz w:val="20"/>
          <w:szCs w:val="20"/>
          <w:rtl/>
        </w:rPr>
        <w:t>כן</w:t>
      </w:r>
      <w:r w:rsidRPr="00BD5269">
        <w:rPr>
          <w:rFonts w:cs="Arial"/>
          <w:sz w:val="20"/>
          <w:szCs w:val="20"/>
          <w:rtl/>
        </w:rPr>
        <w:t xml:space="preserve"> - </w:t>
      </w:r>
      <w:r w:rsidRPr="00BD5269">
        <w:rPr>
          <w:rFonts w:cs="Arial" w:hint="cs"/>
          <w:sz w:val="20"/>
          <w:szCs w:val="20"/>
          <w:rtl/>
        </w:rPr>
        <w:t>לבו</w:t>
      </w:r>
      <w:r w:rsidRPr="00BD5269">
        <w:rPr>
          <w:rFonts w:cs="Arial"/>
          <w:sz w:val="20"/>
          <w:szCs w:val="20"/>
          <w:rtl/>
        </w:rPr>
        <w:t xml:space="preserve"> </w:t>
      </w:r>
      <w:r w:rsidRPr="00BD5269">
        <w:rPr>
          <w:rFonts w:cs="Arial" w:hint="cs"/>
          <w:sz w:val="20"/>
          <w:szCs w:val="20"/>
          <w:rtl/>
        </w:rPr>
        <w:t>נוקפו</w:t>
      </w:r>
      <w:r w:rsidRPr="00BD5269">
        <w:rPr>
          <w:rFonts w:cs="Arial"/>
          <w:sz w:val="20"/>
          <w:szCs w:val="20"/>
          <w:rtl/>
        </w:rPr>
        <w:t xml:space="preserve"> </w:t>
      </w:r>
      <w:r w:rsidRPr="00BD5269">
        <w:rPr>
          <w:rFonts w:cs="Arial" w:hint="cs"/>
          <w:sz w:val="20"/>
          <w:szCs w:val="20"/>
          <w:rtl/>
        </w:rPr>
        <w:t>ופורש".</w:t>
      </w:r>
      <w:r w:rsidRPr="00BD5269">
        <w:rPr>
          <w:rFonts w:hint="cs"/>
          <w:sz w:val="20"/>
          <w:szCs w:val="20"/>
          <w:rtl/>
        </w:rPr>
        <w:t xml:space="preserve"> משמע שהגמרא מדברת גם באשה </w:t>
      </w:r>
      <w:r>
        <w:rPr>
          <w:rFonts w:hint="cs"/>
          <w:sz w:val="20"/>
          <w:szCs w:val="20"/>
          <w:rtl/>
        </w:rPr>
        <w:t>שאין לה ווסת, משום שאם לא כך היתה ה</w:t>
      </w:r>
      <w:r w:rsidRPr="00BD5269">
        <w:rPr>
          <w:rFonts w:hint="cs"/>
          <w:sz w:val="20"/>
          <w:szCs w:val="20"/>
          <w:rtl/>
        </w:rPr>
        <w:t xml:space="preserve">גמרא </w:t>
      </w:r>
      <w:r>
        <w:rPr>
          <w:rFonts w:hint="cs"/>
          <w:sz w:val="20"/>
          <w:szCs w:val="20"/>
          <w:rtl/>
        </w:rPr>
        <w:t>מ</w:t>
      </w:r>
      <w:r w:rsidRPr="00BD5269">
        <w:rPr>
          <w:rFonts w:hint="cs"/>
          <w:sz w:val="20"/>
          <w:szCs w:val="20"/>
          <w:rtl/>
        </w:rPr>
        <w:t>פרש</w:t>
      </w:r>
      <w:r>
        <w:rPr>
          <w:rFonts w:hint="cs"/>
          <w:sz w:val="20"/>
          <w:szCs w:val="20"/>
          <w:rtl/>
        </w:rPr>
        <w:t>ת</w:t>
      </w:r>
      <w:r w:rsidRPr="00BD5269">
        <w:rPr>
          <w:rFonts w:hint="cs"/>
          <w:sz w:val="20"/>
          <w:szCs w:val="20"/>
          <w:rtl/>
        </w:rPr>
        <w:t xml:space="preserve"> זאת.</w:t>
      </w:r>
      <w:r>
        <w:rPr>
          <w:sz w:val="20"/>
          <w:szCs w:val="20"/>
          <w:rtl/>
        </w:rPr>
        <w:br/>
      </w:r>
      <w:r>
        <w:rPr>
          <w:rFonts w:hint="cs"/>
          <w:sz w:val="20"/>
          <w:szCs w:val="20"/>
          <w:rtl/>
        </w:rPr>
        <w:t xml:space="preserve">ג. </w:t>
      </w:r>
      <w:r w:rsidRPr="00D06E17">
        <w:rPr>
          <w:rFonts w:hint="cs"/>
          <w:b/>
          <w:bCs/>
          <w:sz w:val="20"/>
          <w:szCs w:val="20"/>
          <w:rtl/>
        </w:rPr>
        <w:t>משנה</w:t>
      </w:r>
      <w:r>
        <w:rPr>
          <w:rFonts w:hint="cs"/>
          <w:sz w:val="20"/>
          <w:szCs w:val="20"/>
          <w:rtl/>
        </w:rPr>
        <w:t xml:space="preserve"> נידה (טו.) "</w:t>
      </w:r>
      <w:r w:rsidRPr="00A7476A">
        <w:rPr>
          <w:rFonts w:cs="Arial" w:hint="cs"/>
          <w:sz w:val="20"/>
          <w:szCs w:val="20"/>
          <w:u w:val="single"/>
          <w:rtl/>
        </w:rPr>
        <w:t>כל</w:t>
      </w:r>
      <w:r w:rsidRPr="00A7476A">
        <w:rPr>
          <w:rFonts w:cs="Arial"/>
          <w:sz w:val="20"/>
          <w:szCs w:val="20"/>
          <w:rtl/>
        </w:rPr>
        <w:t xml:space="preserve"> </w:t>
      </w:r>
      <w:r w:rsidRPr="00A7476A">
        <w:rPr>
          <w:rFonts w:cs="Arial" w:hint="cs"/>
          <w:sz w:val="20"/>
          <w:szCs w:val="20"/>
          <w:rtl/>
        </w:rPr>
        <w:t>הנשים</w:t>
      </w:r>
      <w:r w:rsidRPr="00A7476A">
        <w:rPr>
          <w:rFonts w:cs="Arial"/>
          <w:sz w:val="20"/>
          <w:szCs w:val="20"/>
          <w:rtl/>
        </w:rPr>
        <w:t xml:space="preserve"> </w:t>
      </w:r>
      <w:r w:rsidRPr="00A7476A">
        <w:rPr>
          <w:rFonts w:cs="Arial" w:hint="cs"/>
          <w:sz w:val="20"/>
          <w:szCs w:val="20"/>
          <w:rtl/>
        </w:rPr>
        <w:t>בחזקת</w:t>
      </w:r>
      <w:r w:rsidRPr="00A7476A">
        <w:rPr>
          <w:rFonts w:cs="Arial"/>
          <w:sz w:val="20"/>
          <w:szCs w:val="20"/>
          <w:rtl/>
        </w:rPr>
        <w:t xml:space="preserve"> </w:t>
      </w:r>
      <w:r w:rsidRPr="00A7476A">
        <w:rPr>
          <w:rFonts w:cs="Arial" w:hint="cs"/>
          <w:sz w:val="20"/>
          <w:szCs w:val="20"/>
          <w:rtl/>
        </w:rPr>
        <w:t>טהרה</w:t>
      </w:r>
      <w:r w:rsidRPr="00A7476A">
        <w:rPr>
          <w:rFonts w:cs="Arial"/>
          <w:sz w:val="20"/>
          <w:szCs w:val="20"/>
          <w:rtl/>
        </w:rPr>
        <w:t xml:space="preserve"> </w:t>
      </w:r>
      <w:r w:rsidRPr="00A7476A">
        <w:rPr>
          <w:rFonts w:cs="Arial" w:hint="cs"/>
          <w:sz w:val="20"/>
          <w:szCs w:val="20"/>
          <w:rtl/>
        </w:rPr>
        <w:t>לבעליהן"</w:t>
      </w:r>
      <w:r>
        <w:rPr>
          <w:rFonts w:hint="cs"/>
          <w:sz w:val="20"/>
          <w:szCs w:val="20"/>
          <w:rtl/>
        </w:rPr>
        <w:t>,</w:t>
      </w:r>
      <w:r w:rsidRPr="00A7476A">
        <w:rPr>
          <w:rFonts w:hint="cs"/>
          <w:sz w:val="20"/>
          <w:szCs w:val="20"/>
          <w:rtl/>
        </w:rPr>
        <w:t xml:space="preserve"> משמע אפילו אשה שאין לה ווסת.</w:t>
      </w:r>
      <w:r>
        <w:rPr>
          <w:rtl/>
        </w:rPr>
        <w:br/>
      </w:r>
      <w:r w:rsidRPr="00D06E17">
        <w:rPr>
          <w:rFonts w:hint="cs"/>
          <w:sz w:val="20"/>
          <w:szCs w:val="20"/>
          <w:rtl/>
        </w:rPr>
        <w:t xml:space="preserve">ד. </w:t>
      </w:r>
      <w:r w:rsidRPr="00D06E17">
        <w:rPr>
          <w:rFonts w:hint="cs"/>
          <w:b/>
          <w:bCs/>
          <w:sz w:val="20"/>
          <w:szCs w:val="20"/>
          <w:rtl/>
        </w:rPr>
        <w:t>גמרא</w:t>
      </w:r>
      <w:r w:rsidRPr="00D06E17">
        <w:rPr>
          <w:rFonts w:hint="cs"/>
          <w:sz w:val="20"/>
          <w:szCs w:val="20"/>
          <w:rtl/>
        </w:rPr>
        <w:t xml:space="preserve"> נידה (יב:) "</w:t>
      </w:r>
      <w:r>
        <w:rPr>
          <w:rFonts w:hint="cs"/>
          <w:sz w:val="20"/>
          <w:szCs w:val="20"/>
          <w:rtl/>
        </w:rPr>
        <w:t>א</w:t>
      </w:r>
      <w:r w:rsidRPr="00D06E17">
        <w:rPr>
          <w:rFonts w:cs="Arial" w:hint="cs"/>
          <w:sz w:val="20"/>
          <w:szCs w:val="20"/>
          <w:rtl/>
        </w:rPr>
        <w:t>מר</w:t>
      </w:r>
      <w:r w:rsidRPr="00D06E17">
        <w:rPr>
          <w:rFonts w:cs="Arial"/>
          <w:sz w:val="20"/>
          <w:szCs w:val="20"/>
          <w:rtl/>
        </w:rPr>
        <w:t xml:space="preserve"> </w:t>
      </w:r>
      <w:r w:rsidRPr="00D06E17">
        <w:rPr>
          <w:rFonts w:cs="Arial" w:hint="cs"/>
          <w:sz w:val="20"/>
          <w:szCs w:val="20"/>
          <w:rtl/>
        </w:rPr>
        <w:t>רב</w:t>
      </w:r>
      <w:r w:rsidRPr="00D06E17">
        <w:rPr>
          <w:rFonts w:cs="Arial"/>
          <w:sz w:val="20"/>
          <w:szCs w:val="20"/>
          <w:rtl/>
        </w:rPr>
        <w:t xml:space="preserve"> </w:t>
      </w:r>
      <w:r w:rsidRPr="00D06E17">
        <w:rPr>
          <w:rFonts w:cs="Arial" w:hint="cs"/>
          <w:sz w:val="20"/>
          <w:szCs w:val="20"/>
          <w:rtl/>
        </w:rPr>
        <w:t>כהנא</w:t>
      </w:r>
      <w:r w:rsidRPr="00D06E17">
        <w:rPr>
          <w:rFonts w:cs="Arial"/>
          <w:sz w:val="20"/>
          <w:szCs w:val="20"/>
          <w:rtl/>
        </w:rPr>
        <w:t xml:space="preserve">: </w:t>
      </w:r>
      <w:r w:rsidRPr="00D06E17">
        <w:rPr>
          <w:rFonts w:cs="Arial" w:hint="cs"/>
          <w:sz w:val="20"/>
          <w:szCs w:val="20"/>
          <w:rtl/>
        </w:rPr>
        <w:t>שאלתינהו</w:t>
      </w:r>
      <w:r w:rsidRPr="00D06E17">
        <w:rPr>
          <w:rFonts w:cs="Arial"/>
          <w:sz w:val="20"/>
          <w:szCs w:val="20"/>
          <w:rtl/>
        </w:rPr>
        <w:t xml:space="preserve"> </w:t>
      </w:r>
      <w:r w:rsidRPr="00D06E17">
        <w:rPr>
          <w:rFonts w:cs="Arial" w:hint="cs"/>
          <w:sz w:val="20"/>
          <w:szCs w:val="20"/>
          <w:rtl/>
        </w:rPr>
        <w:t>לאינשי</w:t>
      </w:r>
      <w:r w:rsidRPr="00D06E17">
        <w:rPr>
          <w:rFonts w:cs="Arial"/>
          <w:sz w:val="20"/>
          <w:szCs w:val="20"/>
          <w:rtl/>
        </w:rPr>
        <w:t xml:space="preserve"> </w:t>
      </w:r>
      <w:r w:rsidRPr="00D06E17">
        <w:rPr>
          <w:rFonts w:cs="Arial" w:hint="cs"/>
          <w:sz w:val="20"/>
          <w:szCs w:val="20"/>
          <w:rtl/>
        </w:rPr>
        <w:t>ביתיה</w:t>
      </w:r>
      <w:r w:rsidRPr="00D06E17">
        <w:rPr>
          <w:rFonts w:cs="Arial"/>
          <w:sz w:val="20"/>
          <w:szCs w:val="20"/>
          <w:rtl/>
        </w:rPr>
        <w:t xml:space="preserve"> </w:t>
      </w:r>
      <w:r w:rsidRPr="00D06E17">
        <w:rPr>
          <w:rFonts w:cs="Arial" w:hint="cs"/>
          <w:sz w:val="20"/>
          <w:szCs w:val="20"/>
          <w:rtl/>
        </w:rPr>
        <w:t>דרב</w:t>
      </w:r>
      <w:r w:rsidRPr="00D06E17">
        <w:rPr>
          <w:rFonts w:cs="Arial"/>
          <w:sz w:val="20"/>
          <w:szCs w:val="20"/>
          <w:rtl/>
        </w:rPr>
        <w:t xml:space="preserve"> </w:t>
      </w:r>
      <w:r w:rsidRPr="00D06E17">
        <w:rPr>
          <w:rFonts w:cs="Arial" w:hint="cs"/>
          <w:sz w:val="20"/>
          <w:szCs w:val="20"/>
          <w:rtl/>
        </w:rPr>
        <w:t>פפא</w:t>
      </w:r>
      <w:r w:rsidRPr="00D06E17">
        <w:rPr>
          <w:rFonts w:cs="Arial"/>
          <w:sz w:val="20"/>
          <w:szCs w:val="20"/>
          <w:rtl/>
        </w:rPr>
        <w:t xml:space="preserve"> </w:t>
      </w:r>
      <w:r w:rsidRPr="00D06E17">
        <w:rPr>
          <w:rFonts w:cs="Arial" w:hint="cs"/>
          <w:sz w:val="20"/>
          <w:szCs w:val="20"/>
          <w:rtl/>
        </w:rPr>
        <w:t>ודרב</w:t>
      </w:r>
      <w:r w:rsidRPr="00D06E17">
        <w:rPr>
          <w:rFonts w:cs="Arial"/>
          <w:sz w:val="20"/>
          <w:szCs w:val="20"/>
          <w:rtl/>
        </w:rPr>
        <w:t xml:space="preserve"> </w:t>
      </w:r>
      <w:r w:rsidRPr="00D06E17">
        <w:rPr>
          <w:rFonts w:cs="Arial" w:hint="cs"/>
          <w:sz w:val="20"/>
          <w:szCs w:val="20"/>
          <w:rtl/>
        </w:rPr>
        <w:t>הונא</w:t>
      </w:r>
      <w:r w:rsidRPr="00D06E17">
        <w:rPr>
          <w:rFonts w:cs="Arial"/>
          <w:sz w:val="20"/>
          <w:szCs w:val="20"/>
          <w:rtl/>
        </w:rPr>
        <w:t xml:space="preserve"> </w:t>
      </w:r>
      <w:r w:rsidRPr="00D06E17">
        <w:rPr>
          <w:rFonts w:cs="Arial" w:hint="cs"/>
          <w:sz w:val="20"/>
          <w:szCs w:val="20"/>
          <w:rtl/>
        </w:rPr>
        <w:t>בריה</w:t>
      </w:r>
      <w:r w:rsidRPr="00D06E17">
        <w:rPr>
          <w:rFonts w:cs="Arial"/>
          <w:sz w:val="20"/>
          <w:szCs w:val="20"/>
          <w:rtl/>
        </w:rPr>
        <w:t xml:space="preserve"> </w:t>
      </w:r>
      <w:r w:rsidRPr="00D06E17">
        <w:rPr>
          <w:rFonts w:cs="Arial" w:hint="cs"/>
          <w:sz w:val="20"/>
          <w:szCs w:val="20"/>
          <w:rtl/>
        </w:rPr>
        <w:t>דרב</w:t>
      </w:r>
      <w:r w:rsidRPr="00D06E17">
        <w:rPr>
          <w:rFonts w:cs="Arial"/>
          <w:sz w:val="20"/>
          <w:szCs w:val="20"/>
          <w:rtl/>
        </w:rPr>
        <w:t xml:space="preserve"> </w:t>
      </w:r>
      <w:r w:rsidRPr="00D06E17">
        <w:rPr>
          <w:rFonts w:cs="Arial" w:hint="cs"/>
          <w:sz w:val="20"/>
          <w:szCs w:val="20"/>
          <w:rtl/>
        </w:rPr>
        <w:t>יהושע</w:t>
      </w:r>
      <w:r w:rsidRPr="00D06E17">
        <w:rPr>
          <w:rFonts w:cs="Arial"/>
          <w:sz w:val="20"/>
          <w:szCs w:val="20"/>
          <w:rtl/>
        </w:rPr>
        <w:t xml:space="preserve">, </w:t>
      </w:r>
      <w:r w:rsidRPr="00D06E17">
        <w:rPr>
          <w:rFonts w:cs="Arial" w:hint="cs"/>
          <w:sz w:val="20"/>
          <w:szCs w:val="20"/>
          <w:rtl/>
        </w:rPr>
        <w:t>כי</w:t>
      </w:r>
      <w:r w:rsidRPr="00D06E17">
        <w:rPr>
          <w:rFonts w:cs="Arial"/>
          <w:sz w:val="20"/>
          <w:szCs w:val="20"/>
          <w:rtl/>
        </w:rPr>
        <w:t xml:space="preserve"> </w:t>
      </w:r>
      <w:r w:rsidRPr="00D06E17">
        <w:rPr>
          <w:rFonts w:cs="Arial" w:hint="cs"/>
          <w:sz w:val="20"/>
          <w:szCs w:val="20"/>
          <w:rtl/>
        </w:rPr>
        <w:t>אתו</w:t>
      </w:r>
      <w:r w:rsidRPr="00D06E17">
        <w:rPr>
          <w:rFonts w:cs="Arial"/>
          <w:sz w:val="20"/>
          <w:szCs w:val="20"/>
          <w:rtl/>
        </w:rPr>
        <w:t xml:space="preserve"> </w:t>
      </w:r>
      <w:r w:rsidRPr="00D06E17">
        <w:rPr>
          <w:rFonts w:cs="Arial" w:hint="cs"/>
          <w:sz w:val="20"/>
          <w:szCs w:val="20"/>
          <w:rtl/>
        </w:rPr>
        <w:t>רבנן</w:t>
      </w:r>
      <w:r w:rsidRPr="00D06E17">
        <w:rPr>
          <w:rFonts w:cs="Arial"/>
          <w:sz w:val="20"/>
          <w:szCs w:val="20"/>
          <w:rtl/>
        </w:rPr>
        <w:t xml:space="preserve"> </w:t>
      </w:r>
      <w:r w:rsidRPr="00D06E17">
        <w:rPr>
          <w:rFonts w:cs="Arial" w:hint="cs"/>
          <w:sz w:val="20"/>
          <w:szCs w:val="20"/>
          <w:rtl/>
        </w:rPr>
        <w:t>מבי</w:t>
      </w:r>
      <w:r w:rsidRPr="00D06E17">
        <w:rPr>
          <w:rFonts w:cs="Arial"/>
          <w:sz w:val="20"/>
          <w:szCs w:val="20"/>
          <w:rtl/>
        </w:rPr>
        <w:t xml:space="preserve"> </w:t>
      </w:r>
      <w:r w:rsidRPr="00D06E17">
        <w:rPr>
          <w:rFonts w:cs="Arial" w:hint="cs"/>
          <w:sz w:val="20"/>
          <w:szCs w:val="20"/>
          <w:rtl/>
        </w:rPr>
        <w:t>רב</w:t>
      </w:r>
      <w:r w:rsidRPr="00D06E17">
        <w:rPr>
          <w:rFonts w:cs="Arial"/>
          <w:sz w:val="20"/>
          <w:szCs w:val="20"/>
          <w:rtl/>
        </w:rPr>
        <w:t xml:space="preserve"> </w:t>
      </w:r>
      <w:r w:rsidRPr="00D06E17">
        <w:rPr>
          <w:rFonts w:cs="Arial" w:hint="cs"/>
          <w:sz w:val="20"/>
          <w:szCs w:val="20"/>
          <w:rtl/>
        </w:rPr>
        <w:t>מצרכי</w:t>
      </w:r>
      <w:r w:rsidRPr="00D06E17">
        <w:rPr>
          <w:rFonts w:cs="Arial"/>
          <w:sz w:val="20"/>
          <w:szCs w:val="20"/>
          <w:rtl/>
        </w:rPr>
        <w:t xml:space="preserve"> </w:t>
      </w:r>
      <w:r w:rsidRPr="00D06E17">
        <w:rPr>
          <w:rFonts w:cs="Arial" w:hint="cs"/>
          <w:sz w:val="20"/>
          <w:szCs w:val="20"/>
          <w:rtl/>
        </w:rPr>
        <w:t>לכו</w:t>
      </w:r>
      <w:r w:rsidRPr="00D06E17">
        <w:rPr>
          <w:rFonts w:cs="Arial"/>
          <w:sz w:val="20"/>
          <w:szCs w:val="20"/>
          <w:rtl/>
        </w:rPr>
        <w:t xml:space="preserve"> </w:t>
      </w:r>
      <w:r w:rsidRPr="00D06E17">
        <w:rPr>
          <w:rFonts w:cs="Arial" w:hint="cs"/>
          <w:sz w:val="20"/>
          <w:szCs w:val="20"/>
          <w:rtl/>
        </w:rPr>
        <w:t>בדיקה</w:t>
      </w:r>
      <w:r w:rsidRPr="00D06E17">
        <w:rPr>
          <w:rFonts w:cs="Arial"/>
          <w:sz w:val="20"/>
          <w:szCs w:val="20"/>
          <w:rtl/>
        </w:rPr>
        <w:t xml:space="preserve">? </w:t>
      </w:r>
      <w:r w:rsidRPr="00D06E17">
        <w:rPr>
          <w:rFonts w:cs="Arial" w:hint="cs"/>
          <w:sz w:val="20"/>
          <w:szCs w:val="20"/>
          <w:rtl/>
        </w:rPr>
        <w:t>ואמרו</w:t>
      </w:r>
      <w:r w:rsidRPr="00D06E17">
        <w:rPr>
          <w:rFonts w:cs="Arial"/>
          <w:sz w:val="20"/>
          <w:szCs w:val="20"/>
          <w:rtl/>
        </w:rPr>
        <w:t xml:space="preserve"> </w:t>
      </w:r>
      <w:r w:rsidRPr="00D06E17">
        <w:rPr>
          <w:rFonts w:cs="Arial" w:hint="cs"/>
          <w:sz w:val="20"/>
          <w:szCs w:val="20"/>
          <w:rtl/>
        </w:rPr>
        <w:t>לי</w:t>
      </w:r>
      <w:r w:rsidRPr="00D06E17">
        <w:rPr>
          <w:rFonts w:cs="Arial"/>
          <w:sz w:val="20"/>
          <w:szCs w:val="20"/>
          <w:rtl/>
        </w:rPr>
        <w:t xml:space="preserve">: </w:t>
      </w:r>
      <w:r w:rsidRPr="00D06E17">
        <w:rPr>
          <w:rFonts w:cs="Arial" w:hint="cs"/>
          <w:sz w:val="20"/>
          <w:szCs w:val="20"/>
          <w:rtl/>
        </w:rPr>
        <w:t>לא</w:t>
      </w:r>
      <w:r>
        <w:rPr>
          <w:rFonts w:cs="Arial" w:hint="cs"/>
          <w:sz w:val="20"/>
          <w:szCs w:val="20"/>
          <w:rtl/>
        </w:rPr>
        <w:t>".</w:t>
      </w:r>
    </w:p>
    <w:p w:rsidR="00620060" w:rsidRDefault="00620060" w:rsidP="00620060">
      <w:pPr>
        <w:rPr>
          <w:sz w:val="20"/>
          <w:szCs w:val="20"/>
          <w:rtl/>
        </w:rPr>
      </w:pPr>
      <w:r>
        <w:rPr>
          <w:rFonts w:hint="cs"/>
          <w:b/>
          <w:bCs/>
          <w:sz w:val="20"/>
          <w:szCs w:val="20"/>
          <w:rtl/>
        </w:rPr>
        <w:t>שיטת הרמב"ם</w:t>
      </w:r>
      <w:r>
        <w:rPr>
          <w:b/>
          <w:bCs/>
          <w:sz w:val="20"/>
          <w:szCs w:val="20"/>
          <w:rtl/>
        </w:rPr>
        <w:br/>
      </w:r>
      <w:r>
        <w:rPr>
          <w:rFonts w:hint="cs"/>
          <w:sz w:val="20"/>
          <w:szCs w:val="20"/>
          <w:rtl/>
        </w:rPr>
        <w:t xml:space="preserve">דין </w:t>
      </w:r>
      <w:r>
        <w:rPr>
          <w:sz w:val="20"/>
          <w:szCs w:val="20"/>
          <w:rtl/>
        </w:rPr>
        <w:t>–</w:t>
      </w:r>
      <w:r>
        <w:rPr>
          <w:rFonts w:hint="cs"/>
          <w:sz w:val="20"/>
          <w:szCs w:val="20"/>
          <w:rtl/>
        </w:rPr>
        <w:t xml:space="preserve"> לאחר תשמיש צריכים שניהם לבדוק, בין כשיש לה ווסת ובין כשאין לה ווסת.</w:t>
      </w:r>
      <w:r>
        <w:rPr>
          <w:sz w:val="20"/>
          <w:szCs w:val="20"/>
          <w:rtl/>
        </w:rPr>
        <w:br/>
      </w:r>
      <w:r>
        <w:rPr>
          <w:rFonts w:hint="cs"/>
          <w:sz w:val="20"/>
          <w:szCs w:val="20"/>
          <w:rtl/>
        </w:rPr>
        <w:t>לפני תשמיש, כשאין לה ווסת צריכה לבדוק, כשיש לה ווסת אין חובה לבדוק אך כך היא דרך הצנועות.</w:t>
      </w:r>
    </w:p>
    <w:p w:rsidR="00620060" w:rsidRDefault="00620060" w:rsidP="00620060">
      <w:pPr>
        <w:rPr>
          <w:sz w:val="20"/>
          <w:szCs w:val="20"/>
          <w:rtl/>
        </w:rPr>
      </w:pPr>
      <w:r>
        <w:rPr>
          <w:rFonts w:hint="cs"/>
          <w:sz w:val="20"/>
          <w:szCs w:val="20"/>
          <w:u w:val="single"/>
          <w:rtl/>
        </w:rPr>
        <w:t>ביאור שיטתו</w:t>
      </w:r>
      <w:r>
        <w:rPr>
          <w:sz w:val="20"/>
          <w:szCs w:val="20"/>
          <w:u w:val="single"/>
          <w:rtl/>
        </w:rPr>
        <w:br/>
      </w:r>
      <w:r>
        <w:rPr>
          <w:rFonts w:hint="cs"/>
          <w:sz w:val="20"/>
          <w:szCs w:val="20"/>
          <w:rtl/>
        </w:rPr>
        <w:t xml:space="preserve">א. </w:t>
      </w:r>
      <w:r w:rsidRPr="00FE1D5E">
        <w:rPr>
          <w:rFonts w:hint="cs"/>
          <w:b/>
          <w:bCs/>
          <w:sz w:val="20"/>
          <w:szCs w:val="20"/>
          <w:rtl/>
        </w:rPr>
        <w:t>משנה</w:t>
      </w:r>
      <w:r>
        <w:rPr>
          <w:rFonts w:hint="cs"/>
          <w:sz w:val="20"/>
          <w:szCs w:val="20"/>
          <w:rtl/>
        </w:rPr>
        <w:t xml:space="preserve"> נידה (יד.) "</w:t>
      </w:r>
      <w:r w:rsidRPr="00FE1D5E">
        <w:rPr>
          <w:rFonts w:cs="Arial" w:hint="cs"/>
          <w:sz w:val="20"/>
          <w:szCs w:val="20"/>
          <w:rtl/>
        </w:rPr>
        <w:t>דרך</w:t>
      </w:r>
      <w:r w:rsidRPr="00FE1D5E">
        <w:rPr>
          <w:rFonts w:cs="Arial"/>
          <w:sz w:val="20"/>
          <w:szCs w:val="20"/>
          <w:rtl/>
        </w:rPr>
        <w:t xml:space="preserve"> </w:t>
      </w:r>
      <w:r w:rsidRPr="00FE1D5E">
        <w:rPr>
          <w:rFonts w:cs="Arial" w:hint="cs"/>
          <w:sz w:val="20"/>
          <w:szCs w:val="20"/>
          <w:rtl/>
        </w:rPr>
        <w:t>בנות</w:t>
      </w:r>
      <w:r w:rsidRPr="00FE1D5E">
        <w:rPr>
          <w:rFonts w:cs="Arial"/>
          <w:sz w:val="20"/>
          <w:szCs w:val="20"/>
          <w:rtl/>
        </w:rPr>
        <w:t xml:space="preserve"> </w:t>
      </w:r>
      <w:r w:rsidRPr="00FE1D5E">
        <w:rPr>
          <w:rFonts w:cs="Arial" w:hint="cs"/>
          <w:sz w:val="20"/>
          <w:szCs w:val="20"/>
          <w:rtl/>
        </w:rPr>
        <w:t>ישראל</w:t>
      </w:r>
      <w:r w:rsidRPr="00FE1D5E">
        <w:rPr>
          <w:rFonts w:cs="Arial"/>
          <w:sz w:val="20"/>
          <w:szCs w:val="20"/>
          <w:rtl/>
        </w:rPr>
        <w:t xml:space="preserve"> </w:t>
      </w:r>
      <w:r w:rsidRPr="00FE1D5E">
        <w:rPr>
          <w:rFonts w:cs="Arial" w:hint="cs"/>
          <w:sz w:val="20"/>
          <w:szCs w:val="20"/>
          <w:rtl/>
        </w:rPr>
        <w:t>משמשות</w:t>
      </w:r>
      <w:r w:rsidRPr="00FE1D5E">
        <w:rPr>
          <w:rFonts w:cs="Arial"/>
          <w:sz w:val="20"/>
          <w:szCs w:val="20"/>
          <w:rtl/>
        </w:rPr>
        <w:t xml:space="preserve"> </w:t>
      </w:r>
      <w:r w:rsidRPr="00FE1D5E">
        <w:rPr>
          <w:rFonts w:cs="Arial" w:hint="cs"/>
          <w:sz w:val="20"/>
          <w:szCs w:val="20"/>
          <w:rtl/>
        </w:rPr>
        <w:t>בשני</w:t>
      </w:r>
      <w:r w:rsidRPr="00FE1D5E">
        <w:rPr>
          <w:rFonts w:cs="Arial"/>
          <w:sz w:val="20"/>
          <w:szCs w:val="20"/>
          <w:rtl/>
        </w:rPr>
        <w:t xml:space="preserve"> </w:t>
      </w:r>
      <w:r w:rsidRPr="00FE1D5E">
        <w:rPr>
          <w:rFonts w:cs="Arial" w:hint="cs"/>
          <w:sz w:val="20"/>
          <w:szCs w:val="20"/>
          <w:rtl/>
        </w:rPr>
        <w:t>עדים</w:t>
      </w:r>
      <w:r w:rsidRPr="00FE1D5E">
        <w:rPr>
          <w:rFonts w:cs="Arial"/>
          <w:sz w:val="20"/>
          <w:szCs w:val="20"/>
          <w:rtl/>
        </w:rPr>
        <w:t xml:space="preserve"> </w:t>
      </w:r>
      <w:r w:rsidRPr="00FE1D5E">
        <w:rPr>
          <w:rFonts w:cs="Arial" w:hint="cs"/>
          <w:sz w:val="20"/>
          <w:szCs w:val="20"/>
          <w:rtl/>
        </w:rPr>
        <w:t>אחד</w:t>
      </w:r>
      <w:r w:rsidRPr="00FE1D5E">
        <w:rPr>
          <w:rFonts w:cs="Arial"/>
          <w:sz w:val="20"/>
          <w:szCs w:val="20"/>
          <w:rtl/>
        </w:rPr>
        <w:t xml:space="preserve"> </w:t>
      </w:r>
      <w:r w:rsidRPr="00FE1D5E">
        <w:rPr>
          <w:rFonts w:cs="Arial" w:hint="cs"/>
          <w:sz w:val="20"/>
          <w:szCs w:val="20"/>
          <w:rtl/>
        </w:rPr>
        <w:t>לו</w:t>
      </w:r>
      <w:r w:rsidRPr="00FE1D5E">
        <w:rPr>
          <w:rFonts w:cs="Arial"/>
          <w:sz w:val="20"/>
          <w:szCs w:val="20"/>
          <w:rtl/>
        </w:rPr>
        <w:t xml:space="preserve"> </w:t>
      </w:r>
      <w:r w:rsidRPr="00FE1D5E">
        <w:rPr>
          <w:rFonts w:cs="Arial" w:hint="cs"/>
          <w:sz w:val="20"/>
          <w:szCs w:val="20"/>
          <w:rtl/>
        </w:rPr>
        <w:t>ואחד</w:t>
      </w:r>
      <w:r w:rsidRPr="00FE1D5E">
        <w:rPr>
          <w:rFonts w:cs="Arial"/>
          <w:sz w:val="20"/>
          <w:szCs w:val="20"/>
          <w:rtl/>
        </w:rPr>
        <w:t xml:space="preserve"> </w:t>
      </w:r>
      <w:r w:rsidRPr="00FE1D5E">
        <w:rPr>
          <w:rFonts w:cs="Arial" w:hint="cs"/>
          <w:sz w:val="20"/>
          <w:szCs w:val="20"/>
          <w:rtl/>
        </w:rPr>
        <w:t>לה</w:t>
      </w:r>
      <w:r>
        <w:rPr>
          <w:rFonts w:cs="Arial" w:hint="cs"/>
          <w:sz w:val="20"/>
          <w:szCs w:val="20"/>
          <w:rtl/>
        </w:rPr>
        <w:t>,</w:t>
      </w:r>
      <w:r w:rsidRPr="00FE1D5E">
        <w:rPr>
          <w:rFonts w:cs="Arial"/>
          <w:sz w:val="20"/>
          <w:szCs w:val="20"/>
          <w:rtl/>
        </w:rPr>
        <w:t xml:space="preserve"> </w:t>
      </w:r>
      <w:r w:rsidRPr="00FE1D5E">
        <w:rPr>
          <w:rFonts w:cs="Arial" w:hint="cs"/>
          <w:sz w:val="20"/>
          <w:szCs w:val="20"/>
          <w:rtl/>
        </w:rPr>
        <w:t>והצנועות</w:t>
      </w:r>
      <w:r w:rsidRPr="00FE1D5E">
        <w:rPr>
          <w:rFonts w:cs="Arial"/>
          <w:sz w:val="20"/>
          <w:szCs w:val="20"/>
          <w:rtl/>
        </w:rPr>
        <w:t xml:space="preserve"> </w:t>
      </w:r>
      <w:r w:rsidRPr="00FE1D5E">
        <w:rPr>
          <w:rFonts w:cs="Arial" w:hint="cs"/>
          <w:sz w:val="20"/>
          <w:szCs w:val="20"/>
          <w:rtl/>
        </w:rPr>
        <w:t>מתקנות</w:t>
      </w:r>
      <w:r w:rsidRPr="00FE1D5E">
        <w:rPr>
          <w:rFonts w:cs="Arial"/>
          <w:sz w:val="20"/>
          <w:szCs w:val="20"/>
          <w:rtl/>
        </w:rPr>
        <w:t xml:space="preserve"> </w:t>
      </w:r>
      <w:r w:rsidRPr="00FE1D5E">
        <w:rPr>
          <w:rFonts w:cs="Arial" w:hint="cs"/>
          <w:sz w:val="20"/>
          <w:szCs w:val="20"/>
          <w:rtl/>
        </w:rPr>
        <w:t>שלישי</w:t>
      </w:r>
      <w:r w:rsidRPr="00FE1D5E">
        <w:rPr>
          <w:rFonts w:cs="Arial"/>
          <w:sz w:val="20"/>
          <w:szCs w:val="20"/>
          <w:rtl/>
        </w:rPr>
        <w:t xml:space="preserve"> </w:t>
      </w:r>
      <w:r w:rsidRPr="00FE1D5E">
        <w:rPr>
          <w:rFonts w:cs="Arial" w:hint="cs"/>
          <w:sz w:val="20"/>
          <w:szCs w:val="20"/>
          <w:rtl/>
        </w:rPr>
        <w:t>לתקן</w:t>
      </w:r>
      <w:r w:rsidRPr="00FE1D5E">
        <w:rPr>
          <w:rFonts w:cs="Arial"/>
          <w:sz w:val="20"/>
          <w:szCs w:val="20"/>
          <w:rtl/>
        </w:rPr>
        <w:t xml:space="preserve"> </w:t>
      </w:r>
      <w:r w:rsidRPr="00FE1D5E">
        <w:rPr>
          <w:rFonts w:cs="Arial" w:hint="cs"/>
          <w:sz w:val="20"/>
          <w:szCs w:val="20"/>
          <w:rtl/>
        </w:rPr>
        <w:t>את</w:t>
      </w:r>
      <w:r w:rsidRPr="00FE1D5E">
        <w:rPr>
          <w:rFonts w:cs="Arial"/>
          <w:sz w:val="20"/>
          <w:szCs w:val="20"/>
          <w:rtl/>
        </w:rPr>
        <w:t xml:space="preserve"> </w:t>
      </w:r>
      <w:r w:rsidRPr="00FE1D5E">
        <w:rPr>
          <w:rFonts w:cs="Arial" w:hint="cs"/>
          <w:sz w:val="20"/>
          <w:szCs w:val="20"/>
          <w:rtl/>
        </w:rPr>
        <w:t>הבית</w:t>
      </w:r>
      <w:r>
        <w:rPr>
          <w:rFonts w:cs="Arial" w:hint="cs"/>
          <w:sz w:val="20"/>
          <w:szCs w:val="20"/>
          <w:rtl/>
        </w:rPr>
        <w:t xml:space="preserve">..." </w:t>
      </w:r>
      <w:r>
        <w:rPr>
          <w:rFonts w:cs="Arial"/>
          <w:b/>
          <w:bCs/>
          <w:sz w:val="20"/>
          <w:szCs w:val="20"/>
          <w:rtl/>
        </w:rPr>
        <w:br/>
      </w:r>
      <w:r>
        <w:rPr>
          <w:rFonts w:cs="Arial" w:hint="cs"/>
          <w:sz w:val="20"/>
          <w:szCs w:val="20"/>
          <w:rtl/>
        </w:rPr>
        <w:t xml:space="preserve">ב. </w:t>
      </w:r>
      <w:r w:rsidRPr="00FA1B21">
        <w:rPr>
          <w:rFonts w:cs="Arial" w:hint="cs"/>
          <w:b/>
          <w:bCs/>
          <w:sz w:val="20"/>
          <w:szCs w:val="20"/>
          <w:rtl/>
        </w:rPr>
        <w:t>גמרא</w:t>
      </w:r>
      <w:r>
        <w:rPr>
          <w:rFonts w:cs="Arial" w:hint="cs"/>
          <w:sz w:val="20"/>
          <w:szCs w:val="20"/>
          <w:rtl/>
        </w:rPr>
        <w:t xml:space="preserve"> (יא:) "</w:t>
      </w:r>
      <w:r w:rsidRPr="00A553CB">
        <w:rPr>
          <w:rFonts w:cs="Arial" w:hint="cs"/>
          <w:sz w:val="20"/>
          <w:szCs w:val="20"/>
          <w:rtl/>
        </w:rPr>
        <w:t>א</w:t>
      </w:r>
      <w:r>
        <w:rPr>
          <w:rFonts w:cs="Arial" w:hint="cs"/>
          <w:sz w:val="20"/>
          <w:szCs w:val="20"/>
          <w:rtl/>
        </w:rPr>
        <w:t xml:space="preserve">מר </w:t>
      </w:r>
      <w:r w:rsidRPr="00A553CB">
        <w:rPr>
          <w:rFonts w:cs="Arial" w:hint="cs"/>
          <w:sz w:val="20"/>
          <w:szCs w:val="20"/>
          <w:rtl/>
        </w:rPr>
        <w:t>ר</w:t>
      </w:r>
      <w:r>
        <w:rPr>
          <w:rFonts w:cs="Arial" w:hint="cs"/>
          <w:sz w:val="20"/>
          <w:szCs w:val="20"/>
          <w:rtl/>
        </w:rPr>
        <w:t>ב</w:t>
      </w:r>
      <w:r w:rsidRPr="00A553CB">
        <w:rPr>
          <w:rFonts w:cs="Arial"/>
          <w:sz w:val="20"/>
          <w:szCs w:val="20"/>
          <w:rtl/>
        </w:rPr>
        <w:t xml:space="preserve"> </w:t>
      </w:r>
      <w:r w:rsidRPr="00A553CB">
        <w:rPr>
          <w:rFonts w:cs="Arial" w:hint="cs"/>
          <w:sz w:val="20"/>
          <w:szCs w:val="20"/>
          <w:rtl/>
        </w:rPr>
        <w:t>יהודה</w:t>
      </w:r>
      <w:r w:rsidRPr="00A553CB">
        <w:rPr>
          <w:rFonts w:cs="Arial"/>
          <w:sz w:val="20"/>
          <w:szCs w:val="20"/>
          <w:rtl/>
        </w:rPr>
        <w:t xml:space="preserve"> </w:t>
      </w:r>
      <w:r w:rsidRPr="00A553CB">
        <w:rPr>
          <w:rFonts w:cs="Arial" w:hint="cs"/>
          <w:sz w:val="20"/>
          <w:szCs w:val="20"/>
          <w:rtl/>
        </w:rPr>
        <w:t>אמר</w:t>
      </w:r>
      <w:r w:rsidRPr="00A553CB">
        <w:rPr>
          <w:rFonts w:cs="Arial"/>
          <w:sz w:val="20"/>
          <w:szCs w:val="20"/>
          <w:rtl/>
        </w:rPr>
        <w:t xml:space="preserve"> </w:t>
      </w:r>
      <w:r w:rsidRPr="00A553CB">
        <w:rPr>
          <w:rFonts w:cs="Arial" w:hint="cs"/>
          <w:sz w:val="20"/>
          <w:szCs w:val="20"/>
          <w:rtl/>
        </w:rPr>
        <w:t>שמואל</w:t>
      </w:r>
      <w:r w:rsidRPr="00A553CB">
        <w:rPr>
          <w:rFonts w:cs="Arial"/>
          <w:sz w:val="20"/>
          <w:szCs w:val="20"/>
          <w:rtl/>
        </w:rPr>
        <w:t xml:space="preserve">: </w:t>
      </w:r>
      <w:r w:rsidRPr="00A553CB">
        <w:rPr>
          <w:rFonts w:cs="Arial" w:hint="cs"/>
          <w:sz w:val="20"/>
          <w:szCs w:val="20"/>
          <w:rtl/>
        </w:rPr>
        <w:t>לא</w:t>
      </w:r>
      <w:r w:rsidRPr="00A553CB">
        <w:rPr>
          <w:rFonts w:cs="Arial"/>
          <w:sz w:val="20"/>
          <w:szCs w:val="20"/>
          <w:rtl/>
        </w:rPr>
        <w:t xml:space="preserve"> </w:t>
      </w:r>
      <w:r w:rsidRPr="00A553CB">
        <w:rPr>
          <w:rFonts w:cs="Arial" w:hint="cs"/>
          <w:sz w:val="20"/>
          <w:szCs w:val="20"/>
          <w:rtl/>
        </w:rPr>
        <w:t>שנו</w:t>
      </w:r>
      <w:r w:rsidRPr="00A553CB">
        <w:rPr>
          <w:rFonts w:cs="Arial"/>
          <w:sz w:val="20"/>
          <w:szCs w:val="20"/>
          <w:rtl/>
        </w:rPr>
        <w:t xml:space="preserve"> </w:t>
      </w:r>
      <w:r w:rsidRPr="00A553CB">
        <w:rPr>
          <w:rFonts w:cs="Arial" w:hint="cs"/>
          <w:sz w:val="20"/>
          <w:szCs w:val="20"/>
          <w:rtl/>
        </w:rPr>
        <w:t>אלא</w:t>
      </w:r>
      <w:r w:rsidRPr="00A553CB">
        <w:rPr>
          <w:rFonts w:cs="Arial"/>
          <w:sz w:val="20"/>
          <w:szCs w:val="20"/>
          <w:rtl/>
        </w:rPr>
        <w:t xml:space="preserve"> </w:t>
      </w:r>
      <w:r w:rsidRPr="00A553CB">
        <w:rPr>
          <w:rFonts w:cs="Arial" w:hint="cs"/>
          <w:sz w:val="20"/>
          <w:szCs w:val="20"/>
          <w:rtl/>
        </w:rPr>
        <w:t>באשה</w:t>
      </w:r>
      <w:r w:rsidRPr="00A553CB">
        <w:rPr>
          <w:rFonts w:cs="Arial"/>
          <w:sz w:val="20"/>
          <w:szCs w:val="20"/>
          <w:rtl/>
        </w:rPr>
        <w:t xml:space="preserve"> </w:t>
      </w:r>
      <w:r w:rsidRPr="00A553CB">
        <w:rPr>
          <w:rFonts w:cs="Arial" w:hint="cs"/>
          <w:sz w:val="20"/>
          <w:szCs w:val="20"/>
          <w:rtl/>
        </w:rPr>
        <w:t>עסוקה</w:t>
      </w:r>
      <w:r w:rsidRPr="00A553CB">
        <w:rPr>
          <w:rFonts w:cs="Arial"/>
          <w:sz w:val="20"/>
          <w:szCs w:val="20"/>
          <w:rtl/>
        </w:rPr>
        <w:t xml:space="preserve"> </w:t>
      </w:r>
      <w:r w:rsidRPr="00A553CB">
        <w:rPr>
          <w:rFonts w:cs="Arial" w:hint="cs"/>
          <w:sz w:val="20"/>
          <w:szCs w:val="20"/>
          <w:rtl/>
        </w:rPr>
        <w:t>בטהרות</w:t>
      </w:r>
      <w:r w:rsidRPr="00A553CB">
        <w:rPr>
          <w:rFonts w:cs="Arial"/>
          <w:sz w:val="20"/>
          <w:szCs w:val="20"/>
          <w:rtl/>
        </w:rPr>
        <w:t xml:space="preserve">, </w:t>
      </w:r>
      <w:r w:rsidRPr="00A553CB">
        <w:rPr>
          <w:rFonts w:cs="Arial" w:hint="cs"/>
          <w:sz w:val="20"/>
          <w:szCs w:val="20"/>
          <w:rtl/>
        </w:rPr>
        <w:t>דמגו</w:t>
      </w:r>
      <w:r w:rsidRPr="00A553CB">
        <w:rPr>
          <w:rFonts w:cs="Arial"/>
          <w:sz w:val="20"/>
          <w:szCs w:val="20"/>
          <w:rtl/>
        </w:rPr>
        <w:t xml:space="preserve"> </w:t>
      </w:r>
      <w:r w:rsidRPr="00A553CB">
        <w:rPr>
          <w:rFonts w:cs="Arial" w:hint="cs"/>
          <w:sz w:val="20"/>
          <w:szCs w:val="20"/>
          <w:rtl/>
        </w:rPr>
        <w:t>דבעיא</w:t>
      </w:r>
      <w:r w:rsidRPr="00A553CB">
        <w:rPr>
          <w:rFonts w:cs="Arial"/>
          <w:sz w:val="20"/>
          <w:szCs w:val="20"/>
          <w:rtl/>
        </w:rPr>
        <w:t xml:space="preserve"> </w:t>
      </w:r>
      <w:r w:rsidRPr="00A553CB">
        <w:rPr>
          <w:rFonts w:cs="Arial" w:hint="cs"/>
          <w:sz w:val="20"/>
          <w:szCs w:val="20"/>
          <w:rtl/>
        </w:rPr>
        <w:t>בדיקה</w:t>
      </w:r>
      <w:r w:rsidRPr="00A553CB">
        <w:rPr>
          <w:rFonts w:cs="Arial"/>
          <w:sz w:val="20"/>
          <w:szCs w:val="20"/>
          <w:rtl/>
        </w:rPr>
        <w:t xml:space="preserve"> </w:t>
      </w:r>
      <w:r w:rsidRPr="00A553CB">
        <w:rPr>
          <w:rFonts w:cs="Arial" w:hint="cs"/>
          <w:sz w:val="20"/>
          <w:szCs w:val="20"/>
          <w:rtl/>
        </w:rPr>
        <w:t>לטהרות</w:t>
      </w:r>
      <w:r w:rsidRPr="00A553CB">
        <w:rPr>
          <w:rFonts w:cs="Arial"/>
          <w:sz w:val="20"/>
          <w:szCs w:val="20"/>
          <w:rtl/>
        </w:rPr>
        <w:t xml:space="preserve"> - </w:t>
      </w:r>
      <w:r w:rsidRPr="00A553CB">
        <w:rPr>
          <w:rFonts w:cs="Arial" w:hint="cs"/>
          <w:sz w:val="20"/>
          <w:szCs w:val="20"/>
          <w:rtl/>
        </w:rPr>
        <w:t>בעיא</w:t>
      </w:r>
      <w:r w:rsidRPr="00A553CB">
        <w:rPr>
          <w:rFonts w:cs="Arial"/>
          <w:sz w:val="20"/>
          <w:szCs w:val="20"/>
          <w:rtl/>
        </w:rPr>
        <w:t xml:space="preserve"> </w:t>
      </w:r>
      <w:r w:rsidRPr="00A553CB">
        <w:rPr>
          <w:rFonts w:cs="Arial" w:hint="cs"/>
          <w:sz w:val="20"/>
          <w:szCs w:val="20"/>
          <w:rtl/>
        </w:rPr>
        <w:t>נמי</w:t>
      </w:r>
      <w:r w:rsidRPr="00A553CB">
        <w:rPr>
          <w:rFonts w:cs="Arial"/>
          <w:sz w:val="20"/>
          <w:szCs w:val="20"/>
          <w:rtl/>
        </w:rPr>
        <w:t xml:space="preserve"> </w:t>
      </w:r>
      <w:r w:rsidRPr="00A553CB">
        <w:rPr>
          <w:rFonts w:cs="Arial" w:hint="cs"/>
          <w:sz w:val="20"/>
          <w:szCs w:val="20"/>
          <w:rtl/>
        </w:rPr>
        <w:t>בדיקה</w:t>
      </w:r>
      <w:r w:rsidRPr="00A553CB">
        <w:rPr>
          <w:rFonts w:cs="Arial"/>
          <w:sz w:val="20"/>
          <w:szCs w:val="20"/>
          <w:rtl/>
        </w:rPr>
        <w:t xml:space="preserve"> </w:t>
      </w:r>
      <w:r w:rsidRPr="00A553CB">
        <w:rPr>
          <w:rFonts w:cs="Arial" w:hint="cs"/>
          <w:sz w:val="20"/>
          <w:szCs w:val="20"/>
          <w:rtl/>
        </w:rPr>
        <w:t>לבעלה</w:t>
      </w:r>
      <w:r w:rsidRPr="00A553CB">
        <w:rPr>
          <w:rFonts w:cs="Arial"/>
          <w:sz w:val="20"/>
          <w:szCs w:val="20"/>
          <w:rtl/>
        </w:rPr>
        <w:t xml:space="preserve">, </w:t>
      </w:r>
      <w:r w:rsidRPr="00A553CB">
        <w:rPr>
          <w:rFonts w:cs="Arial" w:hint="cs"/>
          <w:sz w:val="20"/>
          <w:szCs w:val="20"/>
          <w:rtl/>
        </w:rPr>
        <w:t>אבל</w:t>
      </w:r>
      <w:r w:rsidRPr="00A553CB">
        <w:rPr>
          <w:rFonts w:cs="Arial"/>
          <w:sz w:val="20"/>
          <w:szCs w:val="20"/>
          <w:rtl/>
        </w:rPr>
        <w:t xml:space="preserve"> </w:t>
      </w:r>
      <w:r w:rsidRPr="00A553CB">
        <w:rPr>
          <w:rFonts w:cs="Arial" w:hint="cs"/>
          <w:sz w:val="20"/>
          <w:szCs w:val="20"/>
          <w:rtl/>
        </w:rPr>
        <w:t>אינה</w:t>
      </w:r>
      <w:r w:rsidRPr="00A553CB">
        <w:rPr>
          <w:rFonts w:cs="Arial"/>
          <w:sz w:val="20"/>
          <w:szCs w:val="20"/>
          <w:rtl/>
        </w:rPr>
        <w:t xml:space="preserve"> </w:t>
      </w:r>
      <w:r w:rsidRPr="00A553CB">
        <w:rPr>
          <w:rFonts w:cs="Arial" w:hint="cs"/>
          <w:sz w:val="20"/>
          <w:szCs w:val="20"/>
          <w:rtl/>
        </w:rPr>
        <w:t>עסוקה</w:t>
      </w:r>
      <w:r w:rsidRPr="00A553CB">
        <w:rPr>
          <w:rFonts w:cs="Arial"/>
          <w:sz w:val="20"/>
          <w:szCs w:val="20"/>
          <w:rtl/>
        </w:rPr>
        <w:t xml:space="preserve"> </w:t>
      </w:r>
      <w:r w:rsidRPr="00A553CB">
        <w:rPr>
          <w:rFonts w:cs="Arial" w:hint="cs"/>
          <w:sz w:val="20"/>
          <w:szCs w:val="20"/>
          <w:rtl/>
        </w:rPr>
        <w:t>בטהרות</w:t>
      </w:r>
      <w:r w:rsidRPr="00A553CB">
        <w:rPr>
          <w:rFonts w:cs="Arial"/>
          <w:sz w:val="20"/>
          <w:szCs w:val="20"/>
          <w:rtl/>
        </w:rPr>
        <w:t xml:space="preserve"> - </w:t>
      </w:r>
      <w:r w:rsidRPr="00A553CB">
        <w:rPr>
          <w:rFonts w:cs="Arial" w:hint="cs"/>
          <w:sz w:val="20"/>
          <w:szCs w:val="20"/>
          <w:rtl/>
        </w:rPr>
        <w:t>לא</w:t>
      </w:r>
      <w:r w:rsidRPr="00A553CB">
        <w:rPr>
          <w:rFonts w:cs="Arial"/>
          <w:sz w:val="20"/>
          <w:szCs w:val="20"/>
          <w:rtl/>
        </w:rPr>
        <w:t xml:space="preserve"> </w:t>
      </w:r>
      <w:r w:rsidRPr="00A553CB">
        <w:rPr>
          <w:rFonts w:cs="Arial" w:hint="cs"/>
          <w:sz w:val="20"/>
          <w:szCs w:val="20"/>
          <w:rtl/>
        </w:rPr>
        <w:t>בעיא</w:t>
      </w:r>
      <w:r w:rsidRPr="00A553CB">
        <w:rPr>
          <w:rFonts w:cs="Arial"/>
          <w:sz w:val="20"/>
          <w:szCs w:val="20"/>
          <w:rtl/>
        </w:rPr>
        <w:t xml:space="preserve"> </w:t>
      </w:r>
      <w:r w:rsidRPr="00A553CB">
        <w:rPr>
          <w:rFonts w:cs="Arial" w:hint="cs"/>
          <w:sz w:val="20"/>
          <w:szCs w:val="20"/>
          <w:rtl/>
        </w:rPr>
        <w:t>בדיקה</w:t>
      </w:r>
      <w:r>
        <w:rPr>
          <w:rFonts w:cs="Arial" w:hint="cs"/>
          <w:sz w:val="20"/>
          <w:szCs w:val="20"/>
          <w:rtl/>
        </w:rPr>
        <w:t>"</w:t>
      </w:r>
      <w:r w:rsidRPr="00A553CB">
        <w:rPr>
          <w:rFonts w:cs="Arial"/>
          <w:sz w:val="20"/>
          <w:szCs w:val="20"/>
          <w:rtl/>
        </w:rPr>
        <w:t>.</w:t>
      </w:r>
    </w:p>
    <w:p w:rsidR="00620060" w:rsidRDefault="00620060" w:rsidP="00620060">
      <w:pPr>
        <w:rPr>
          <w:sz w:val="20"/>
          <w:szCs w:val="20"/>
          <w:rtl/>
        </w:rPr>
      </w:pPr>
      <w:r w:rsidRPr="005A1C82">
        <w:rPr>
          <w:rFonts w:hint="cs"/>
          <w:sz w:val="20"/>
          <w:szCs w:val="20"/>
          <w:u w:val="single"/>
          <w:rtl/>
        </w:rPr>
        <w:t xml:space="preserve">הסבר </w:t>
      </w:r>
      <w:r w:rsidRPr="00181F8D">
        <w:rPr>
          <w:rFonts w:hint="cs"/>
          <w:sz w:val="20"/>
          <w:szCs w:val="20"/>
          <w:u w:val="single"/>
          <w:rtl/>
        </w:rPr>
        <w:t>הרמב"ם (מגיד משנה)</w:t>
      </w:r>
      <w:r>
        <w:rPr>
          <w:rFonts w:hint="cs"/>
          <w:sz w:val="20"/>
          <w:szCs w:val="20"/>
          <w:rtl/>
        </w:rPr>
        <w:t xml:space="preserve"> </w:t>
      </w:r>
      <w:r>
        <w:rPr>
          <w:sz w:val="20"/>
          <w:szCs w:val="20"/>
          <w:rtl/>
        </w:rPr>
        <w:br/>
      </w:r>
      <w:r>
        <w:rPr>
          <w:rFonts w:hint="cs"/>
          <w:sz w:val="20"/>
          <w:szCs w:val="20"/>
          <w:rtl/>
        </w:rPr>
        <w:t xml:space="preserve">הסבר מקור א </w:t>
      </w:r>
      <w:r>
        <w:rPr>
          <w:sz w:val="20"/>
          <w:szCs w:val="20"/>
          <w:rtl/>
        </w:rPr>
        <w:t>–</w:t>
      </w:r>
      <w:r>
        <w:rPr>
          <w:rFonts w:hint="cs"/>
          <w:sz w:val="20"/>
          <w:szCs w:val="20"/>
          <w:rtl/>
        </w:rPr>
        <w:t xml:space="preserve"> המשנה עוסקת באשה בעלת ווסת קבוע, שניהם צריכים לבדוק לאחר תשמיש, והצנועות בודקות גם לפני תשמיש, אך מעיקר הדין פטורות.</w:t>
      </w:r>
      <w:r>
        <w:rPr>
          <w:sz w:val="20"/>
          <w:szCs w:val="20"/>
          <w:rtl/>
        </w:rPr>
        <w:br/>
      </w:r>
      <w:r>
        <w:rPr>
          <w:rFonts w:hint="cs"/>
          <w:sz w:val="20"/>
          <w:szCs w:val="20"/>
          <w:rtl/>
        </w:rPr>
        <w:t xml:space="preserve">הסבר מקור ב - מדובר בבדיקה שלפני תשמיש, אך בדיקה שלאחר תשמיש נאמרה לגבי כל אשה. </w:t>
      </w:r>
      <w:r>
        <w:rPr>
          <w:sz w:val="20"/>
          <w:szCs w:val="20"/>
          <w:rtl/>
        </w:rPr>
        <w:br/>
      </w:r>
      <w:r w:rsidRPr="00A553CB">
        <w:rPr>
          <w:rFonts w:hint="cs"/>
          <w:sz w:val="18"/>
          <w:szCs w:val="18"/>
          <w:rtl/>
        </w:rPr>
        <w:t>[ומטעם זה קבעה הגמרא את המימרא של שמואל על הקטע במשנה "</w:t>
      </w:r>
      <w:r w:rsidRPr="00A553CB">
        <w:rPr>
          <w:rFonts w:cs="Arial" w:hint="cs"/>
          <w:sz w:val="18"/>
          <w:szCs w:val="18"/>
          <w:rtl/>
        </w:rPr>
        <w:t>ובשעה</w:t>
      </w:r>
      <w:r w:rsidRPr="00A553CB">
        <w:rPr>
          <w:rFonts w:cs="Arial"/>
          <w:sz w:val="18"/>
          <w:szCs w:val="18"/>
          <w:rtl/>
        </w:rPr>
        <w:t xml:space="preserve"> </w:t>
      </w:r>
      <w:r w:rsidRPr="00A553CB">
        <w:rPr>
          <w:rFonts w:cs="Arial" w:hint="cs"/>
          <w:sz w:val="18"/>
          <w:szCs w:val="18"/>
          <w:rtl/>
        </w:rPr>
        <w:t>שהיא</w:t>
      </w:r>
      <w:r w:rsidRPr="00A553CB">
        <w:rPr>
          <w:rFonts w:cs="Arial"/>
          <w:sz w:val="18"/>
          <w:szCs w:val="18"/>
          <w:rtl/>
        </w:rPr>
        <w:t xml:space="preserve"> </w:t>
      </w:r>
      <w:r w:rsidRPr="00A553CB">
        <w:rPr>
          <w:rFonts w:cs="Arial" w:hint="cs"/>
          <w:sz w:val="18"/>
          <w:szCs w:val="18"/>
          <w:rtl/>
        </w:rPr>
        <w:t>עוברת</w:t>
      </w:r>
      <w:r w:rsidRPr="00A553CB">
        <w:rPr>
          <w:rFonts w:cs="Arial"/>
          <w:sz w:val="18"/>
          <w:szCs w:val="18"/>
          <w:rtl/>
        </w:rPr>
        <w:t xml:space="preserve"> </w:t>
      </w:r>
      <w:r w:rsidRPr="00A553CB">
        <w:rPr>
          <w:rFonts w:cs="Arial" w:hint="cs"/>
          <w:sz w:val="18"/>
          <w:szCs w:val="18"/>
          <w:rtl/>
        </w:rPr>
        <w:t>לשמש</w:t>
      </w:r>
      <w:r w:rsidRPr="00A553CB">
        <w:rPr>
          <w:rFonts w:cs="Arial"/>
          <w:sz w:val="18"/>
          <w:szCs w:val="18"/>
          <w:rtl/>
        </w:rPr>
        <w:t xml:space="preserve"> </w:t>
      </w:r>
      <w:r w:rsidRPr="00A553CB">
        <w:rPr>
          <w:rFonts w:cs="Arial" w:hint="cs"/>
          <w:sz w:val="18"/>
          <w:szCs w:val="18"/>
          <w:rtl/>
        </w:rPr>
        <w:t>את</w:t>
      </w:r>
      <w:r w:rsidRPr="00A553CB">
        <w:rPr>
          <w:rFonts w:cs="Arial"/>
          <w:sz w:val="18"/>
          <w:szCs w:val="18"/>
          <w:rtl/>
        </w:rPr>
        <w:t xml:space="preserve"> </w:t>
      </w:r>
      <w:r w:rsidRPr="00A553CB">
        <w:rPr>
          <w:rFonts w:cs="Arial" w:hint="cs"/>
          <w:sz w:val="18"/>
          <w:szCs w:val="18"/>
          <w:rtl/>
        </w:rPr>
        <w:t xml:space="preserve">ביתה </w:t>
      </w:r>
      <w:r w:rsidRPr="00A553CB">
        <w:rPr>
          <w:rFonts w:cs="Arial" w:hint="cs"/>
          <w:sz w:val="16"/>
          <w:szCs w:val="16"/>
          <w:rtl/>
        </w:rPr>
        <w:t xml:space="preserve">(מקור א) </w:t>
      </w:r>
      <w:r w:rsidRPr="00A553CB">
        <w:rPr>
          <w:rFonts w:hint="cs"/>
          <w:sz w:val="18"/>
          <w:szCs w:val="18"/>
          <w:rtl/>
        </w:rPr>
        <w:t>, כיוון שבבדיקה לאחר תשמיש חייבות כולן].</w:t>
      </w:r>
      <w:r>
        <w:rPr>
          <w:rFonts w:hint="cs"/>
          <w:sz w:val="20"/>
          <w:szCs w:val="20"/>
          <w:rtl/>
        </w:rPr>
        <w:br/>
        <w:t xml:space="preserve">בדיקה לפני תשמיש באשה שאין לה ווסת קבוע </w:t>
      </w:r>
      <w:r>
        <w:rPr>
          <w:sz w:val="20"/>
          <w:szCs w:val="20"/>
          <w:rtl/>
        </w:rPr>
        <w:t>–</w:t>
      </w:r>
      <w:r>
        <w:rPr>
          <w:rFonts w:hint="cs"/>
          <w:sz w:val="20"/>
          <w:szCs w:val="20"/>
          <w:rtl/>
        </w:rPr>
        <w:t xml:space="preserve"> סובר הרמב"ם שהלכה כרבי חנינא בן אנטיגנוס, ודבריו נאמרו אפילו לבעלה ולאו דווקא לגבי אשה עסוקה בטהרות, כאמור לעיל.</w:t>
      </w:r>
      <w:r>
        <w:rPr>
          <w:sz w:val="20"/>
          <w:szCs w:val="20"/>
          <w:rtl/>
        </w:rPr>
        <w:br/>
      </w:r>
      <w:r>
        <w:rPr>
          <w:rFonts w:hint="cs"/>
          <w:sz w:val="20"/>
          <w:szCs w:val="20"/>
          <w:rtl/>
        </w:rPr>
        <w:t>ומה שאמרו בגמרא שלא תבדוק עצמה לבעלה כדי שלא יהיה ליבו נוקף ופורש, זה נאמר רק לגבי בדיקה הנעשית לאחר התשמיש וסמוך לו באופן שיכול לחייבם קרבן, ולעולם יש להם לבדוק עצמם לאחר תשמיש בשעה שאינה מחייבת קרבן.</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"א</w:t>
      </w:r>
      <w:r w:rsidRPr="00254EB0">
        <w:rPr>
          <w:rFonts w:cs="Arial" w:hint="cs"/>
          <w:sz w:val="20"/>
          <w:szCs w:val="20"/>
          <w:rtl/>
        </w:rPr>
        <w:t>ם</w:t>
      </w:r>
      <w:r w:rsidRPr="00254EB0">
        <w:rPr>
          <w:rFonts w:cs="Arial"/>
          <w:sz w:val="20"/>
          <w:szCs w:val="20"/>
          <w:rtl/>
        </w:rPr>
        <w:t xml:space="preserve"> </w:t>
      </w:r>
      <w:r w:rsidRPr="00254EB0">
        <w:rPr>
          <w:rFonts w:cs="Arial" w:hint="cs"/>
          <w:sz w:val="20"/>
          <w:szCs w:val="20"/>
          <w:rtl/>
        </w:rPr>
        <w:t>אין</w:t>
      </w:r>
      <w:r w:rsidRPr="00254EB0">
        <w:rPr>
          <w:rFonts w:cs="Arial"/>
          <w:sz w:val="20"/>
          <w:szCs w:val="20"/>
          <w:rtl/>
        </w:rPr>
        <w:t xml:space="preserve"> </w:t>
      </w:r>
      <w:r w:rsidRPr="00254EB0">
        <w:rPr>
          <w:rFonts w:cs="Arial" w:hint="cs"/>
          <w:sz w:val="20"/>
          <w:szCs w:val="20"/>
          <w:rtl/>
        </w:rPr>
        <w:t>לה</w:t>
      </w:r>
      <w:r w:rsidRPr="00254EB0">
        <w:rPr>
          <w:rFonts w:cs="Arial"/>
          <w:sz w:val="20"/>
          <w:szCs w:val="20"/>
          <w:rtl/>
        </w:rPr>
        <w:t xml:space="preserve"> </w:t>
      </w:r>
      <w:r w:rsidRPr="00254EB0">
        <w:rPr>
          <w:rFonts w:cs="Arial" w:hint="cs"/>
          <w:sz w:val="20"/>
          <w:szCs w:val="20"/>
          <w:rtl/>
        </w:rPr>
        <w:t>וסת</w:t>
      </w:r>
      <w:r w:rsidRPr="00254EB0">
        <w:rPr>
          <w:rFonts w:cs="Arial"/>
          <w:sz w:val="20"/>
          <w:szCs w:val="20"/>
          <w:rtl/>
        </w:rPr>
        <w:t xml:space="preserve"> </w:t>
      </w:r>
      <w:r w:rsidRPr="00254EB0">
        <w:rPr>
          <w:rFonts w:cs="Arial" w:hint="cs"/>
          <w:sz w:val="20"/>
          <w:szCs w:val="20"/>
          <w:rtl/>
        </w:rPr>
        <w:t>קבוע</w:t>
      </w:r>
      <w:r w:rsidRPr="00254EB0">
        <w:rPr>
          <w:rFonts w:cs="Arial"/>
          <w:sz w:val="20"/>
          <w:szCs w:val="20"/>
          <w:rtl/>
        </w:rPr>
        <w:t xml:space="preserve">, </w:t>
      </w:r>
      <w:r w:rsidRPr="00254EB0">
        <w:rPr>
          <w:rFonts w:cs="Arial" w:hint="cs"/>
          <w:sz w:val="20"/>
          <w:szCs w:val="20"/>
          <w:rtl/>
        </w:rPr>
        <w:t>שלשה</w:t>
      </w:r>
      <w:r w:rsidRPr="00254EB0">
        <w:rPr>
          <w:rFonts w:cs="Arial"/>
          <w:sz w:val="20"/>
          <w:szCs w:val="20"/>
          <w:rtl/>
        </w:rPr>
        <w:t xml:space="preserve"> </w:t>
      </w:r>
      <w:r w:rsidRPr="00254EB0">
        <w:rPr>
          <w:rFonts w:cs="Arial" w:hint="cs"/>
          <w:sz w:val="20"/>
          <w:szCs w:val="20"/>
          <w:rtl/>
        </w:rPr>
        <w:t>פעמים</w:t>
      </w:r>
      <w:r w:rsidRPr="00254EB0">
        <w:rPr>
          <w:rFonts w:cs="Arial"/>
          <w:sz w:val="20"/>
          <w:szCs w:val="20"/>
          <w:rtl/>
        </w:rPr>
        <w:t xml:space="preserve"> </w:t>
      </w:r>
      <w:r w:rsidRPr="00254EB0">
        <w:rPr>
          <w:rFonts w:cs="Arial" w:hint="cs"/>
          <w:sz w:val="20"/>
          <w:szCs w:val="20"/>
          <w:rtl/>
        </w:rPr>
        <w:t>הראשונים</w:t>
      </w:r>
      <w:r w:rsidRPr="00254EB0">
        <w:rPr>
          <w:rFonts w:cs="Arial"/>
          <w:sz w:val="20"/>
          <w:szCs w:val="20"/>
          <w:rtl/>
        </w:rPr>
        <w:t xml:space="preserve"> </w:t>
      </w:r>
      <w:r w:rsidRPr="00254EB0">
        <w:rPr>
          <w:rFonts w:cs="Arial" w:hint="cs"/>
          <w:sz w:val="20"/>
          <w:szCs w:val="20"/>
          <w:rtl/>
        </w:rPr>
        <w:t>צריכין</w:t>
      </w:r>
      <w:r w:rsidRPr="00254EB0">
        <w:rPr>
          <w:rFonts w:cs="Arial"/>
          <w:sz w:val="20"/>
          <w:szCs w:val="20"/>
          <w:rtl/>
        </w:rPr>
        <w:t xml:space="preserve"> </w:t>
      </w:r>
      <w:r w:rsidRPr="00254EB0">
        <w:rPr>
          <w:rFonts w:cs="Arial" w:hint="cs"/>
          <w:sz w:val="20"/>
          <w:szCs w:val="20"/>
          <w:rtl/>
        </w:rPr>
        <w:t>לבדוק</w:t>
      </w:r>
      <w:r w:rsidRPr="00254EB0">
        <w:rPr>
          <w:rFonts w:cs="Arial"/>
          <w:sz w:val="20"/>
          <w:szCs w:val="20"/>
          <w:rtl/>
        </w:rPr>
        <w:t xml:space="preserve"> </w:t>
      </w:r>
      <w:r w:rsidRPr="00254EB0">
        <w:rPr>
          <w:rFonts w:cs="Arial" w:hint="cs"/>
          <w:sz w:val="20"/>
          <w:szCs w:val="20"/>
          <w:rtl/>
        </w:rPr>
        <w:t>קודם</w:t>
      </w:r>
      <w:r w:rsidRPr="00254EB0">
        <w:rPr>
          <w:rFonts w:cs="Arial"/>
          <w:sz w:val="20"/>
          <w:szCs w:val="20"/>
          <w:rtl/>
        </w:rPr>
        <w:t xml:space="preserve"> </w:t>
      </w:r>
      <w:r w:rsidRPr="00254EB0">
        <w:rPr>
          <w:rFonts w:cs="Arial" w:hint="cs"/>
          <w:sz w:val="20"/>
          <w:szCs w:val="20"/>
          <w:rtl/>
        </w:rPr>
        <w:t>תשמיש</w:t>
      </w:r>
      <w:r w:rsidRPr="00254EB0">
        <w:rPr>
          <w:rFonts w:cs="Arial"/>
          <w:sz w:val="20"/>
          <w:szCs w:val="20"/>
          <w:rtl/>
        </w:rPr>
        <w:t xml:space="preserve"> </w:t>
      </w:r>
      <w:r w:rsidRPr="00254EB0">
        <w:rPr>
          <w:rFonts w:cs="Arial" w:hint="cs"/>
          <w:sz w:val="20"/>
          <w:szCs w:val="20"/>
          <w:rtl/>
        </w:rPr>
        <w:t>ואחר</w:t>
      </w:r>
      <w:r w:rsidRPr="00254EB0">
        <w:rPr>
          <w:rFonts w:cs="Arial"/>
          <w:sz w:val="20"/>
          <w:szCs w:val="20"/>
          <w:rtl/>
        </w:rPr>
        <w:t xml:space="preserve"> </w:t>
      </w:r>
      <w:r w:rsidRPr="00254EB0">
        <w:rPr>
          <w:rFonts w:cs="Arial" w:hint="cs"/>
          <w:sz w:val="20"/>
          <w:szCs w:val="20"/>
          <w:rtl/>
        </w:rPr>
        <w:t>תשמיש</w:t>
      </w:r>
      <w:r w:rsidRPr="00254EB0">
        <w:rPr>
          <w:rFonts w:cs="Arial"/>
          <w:sz w:val="20"/>
          <w:szCs w:val="20"/>
          <w:rtl/>
        </w:rPr>
        <w:t xml:space="preserve">, </w:t>
      </w:r>
      <w:r w:rsidRPr="00254EB0">
        <w:rPr>
          <w:rFonts w:cs="Arial" w:hint="cs"/>
          <w:sz w:val="20"/>
          <w:szCs w:val="20"/>
          <w:rtl/>
        </w:rPr>
        <w:t>הוא</w:t>
      </w:r>
      <w:r w:rsidRPr="00254EB0">
        <w:rPr>
          <w:rFonts w:cs="Arial"/>
          <w:sz w:val="20"/>
          <w:szCs w:val="20"/>
          <w:rtl/>
        </w:rPr>
        <w:t xml:space="preserve"> </w:t>
      </w:r>
      <w:r w:rsidRPr="00254EB0">
        <w:rPr>
          <w:rFonts w:cs="Arial" w:hint="cs"/>
          <w:sz w:val="20"/>
          <w:szCs w:val="20"/>
          <w:rtl/>
        </w:rPr>
        <w:t>בעד</w:t>
      </w:r>
      <w:r w:rsidRPr="00254EB0">
        <w:rPr>
          <w:rFonts w:cs="Arial"/>
          <w:sz w:val="20"/>
          <w:szCs w:val="20"/>
          <w:rtl/>
        </w:rPr>
        <w:t xml:space="preserve"> </w:t>
      </w:r>
      <w:r w:rsidRPr="00254EB0">
        <w:rPr>
          <w:rFonts w:cs="Arial" w:hint="cs"/>
          <w:sz w:val="20"/>
          <w:szCs w:val="20"/>
          <w:rtl/>
        </w:rPr>
        <w:t>שלו</w:t>
      </w:r>
      <w:r w:rsidRPr="00254EB0">
        <w:rPr>
          <w:rFonts w:cs="Arial"/>
          <w:sz w:val="20"/>
          <w:szCs w:val="20"/>
          <w:rtl/>
        </w:rPr>
        <w:t xml:space="preserve"> </w:t>
      </w:r>
      <w:r w:rsidRPr="00254EB0">
        <w:rPr>
          <w:rFonts w:cs="Arial" w:hint="cs"/>
          <w:sz w:val="20"/>
          <w:szCs w:val="20"/>
          <w:rtl/>
        </w:rPr>
        <w:t>והיא</w:t>
      </w:r>
      <w:r w:rsidRPr="00254EB0">
        <w:rPr>
          <w:rFonts w:cs="Arial"/>
          <w:sz w:val="20"/>
          <w:szCs w:val="20"/>
          <w:rtl/>
        </w:rPr>
        <w:t xml:space="preserve"> </w:t>
      </w:r>
      <w:r w:rsidRPr="00254EB0">
        <w:rPr>
          <w:rFonts w:cs="Arial" w:hint="cs"/>
          <w:sz w:val="20"/>
          <w:szCs w:val="20"/>
          <w:rtl/>
        </w:rPr>
        <w:t>בעד</w:t>
      </w:r>
      <w:r w:rsidRPr="00254EB0">
        <w:rPr>
          <w:rFonts w:cs="Arial"/>
          <w:sz w:val="20"/>
          <w:szCs w:val="20"/>
          <w:rtl/>
        </w:rPr>
        <w:t xml:space="preserve"> </w:t>
      </w:r>
      <w:r w:rsidRPr="00254EB0">
        <w:rPr>
          <w:rFonts w:cs="Arial" w:hint="cs"/>
          <w:sz w:val="20"/>
          <w:szCs w:val="20"/>
          <w:rtl/>
        </w:rPr>
        <w:t>שלה</w:t>
      </w:r>
      <w:r w:rsidRPr="00254EB0">
        <w:rPr>
          <w:rFonts w:cs="Arial"/>
          <w:sz w:val="20"/>
          <w:szCs w:val="20"/>
          <w:rtl/>
        </w:rPr>
        <w:t xml:space="preserve">, </w:t>
      </w:r>
      <w:r w:rsidRPr="00254EB0">
        <w:rPr>
          <w:rFonts w:cs="Arial" w:hint="cs"/>
          <w:sz w:val="20"/>
          <w:szCs w:val="20"/>
          <w:rtl/>
        </w:rPr>
        <w:t>ואם</w:t>
      </w:r>
      <w:r w:rsidRPr="00254EB0">
        <w:rPr>
          <w:rFonts w:cs="Arial"/>
          <w:sz w:val="20"/>
          <w:szCs w:val="20"/>
          <w:rtl/>
        </w:rPr>
        <w:t xml:space="preserve"> </w:t>
      </w:r>
      <w:r w:rsidRPr="00254EB0">
        <w:rPr>
          <w:rFonts w:cs="Arial" w:hint="cs"/>
          <w:sz w:val="20"/>
          <w:szCs w:val="20"/>
          <w:rtl/>
        </w:rPr>
        <w:t>הוחזקה</w:t>
      </w:r>
      <w:r w:rsidRPr="00254EB0">
        <w:rPr>
          <w:rFonts w:cs="Arial"/>
          <w:sz w:val="20"/>
          <w:szCs w:val="20"/>
          <w:rtl/>
        </w:rPr>
        <w:t xml:space="preserve"> </w:t>
      </w:r>
      <w:r w:rsidRPr="00254EB0">
        <w:rPr>
          <w:rFonts w:cs="Arial" w:hint="cs"/>
          <w:sz w:val="20"/>
          <w:szCs w:val="20"/>
          <w:rtl/>
        </w:rPr>
        <w:t>באותם</w:t>
      </w:r>
      <w:r w:rsidRPr="00254EB0">
        <w:rPr>
          <w:rFonts w:cs="Arial"/>
          <w:sz w:val="20"/>
          <w:szCs w:val="20"/>
          <w:rtl/>
        </w:rPr>
        <w:t xml:space="preserve"> </w:t>
      </w:r>
      <w:r w:rsidRPr="00254EB0">
        <w:rPr>
          <w:rFonts w:cs="Arial" w:hint="cs"/>
          <w:sz w:val="20"/>
          <w:szCs w:val="20"/>
          <w:rtl/>
        </w:rPr>
        <w:t>שלשה</w:t>
      </w:r>
      <w:r w:rsidRPr="00254EB0">
        <w:rPr>
          <w:rFonts w:cs="Arial"/>
          <w:sz w:val="20"/>
          <w:szCs w:val="20"/>
          <w:rtl/>
        </w:rPr>
        <w:t xml:space="preserve"> </w:t>
      </w:r>
      <w:r w:rsidRPr="00254EB0">
        <w:rPr>
          <w:rFonts w:cs="Arial" w:hint="cs"/>
          <w:sz w:val="20"/>
          <w:szCs w:val="20"/>
          <w:rtl/>
        </w:rPr>
        <w:t>פעמים</w:t>
      </w:r>
      <w:r w:rsidRPr="00254EB0">
        <w:rPr>
          <w:rFonts w:cs="Arial"/>
          <w:sz w:val="20"/>
          <w:szCs w:val="20"/>
          <w:rtl/>
        </w:rPr>
        <w:t xml:space="preserve"> </w:t>
      </w:r>
      <w:r w:rsidRPr="00254EB0">
        <w:rPr>
          <w:rFonts w:cs="Arial" w:hint="cs"/>
          <w:sz w:val="20"/>
          <w:szCs w:val="20"/>
          <w:rtl/>
        </w:rPr>
        <w:t>שאינה</w:t>
      </w:r>
      <w:r w:rsidRPr="00254EB0">
        <w:rPr>
          <w:rFonts w:cs="Arial"/>
          <w:sz w:val="20"/>
          <w:szCs w:val="20"/>
          <w:rtl/>
        </w:rPr>
        <w:t xml:space="preserve"> </w:t>
      </w:r>
      <w:r w:rsidRPr="00254EB0">
        <w:rPr>
          <w:rFonts w:cs="Arial" w:hint="cs"/>
          <w:sz w:val="20"/>
          <w:szCs w:val="20"/>
          <w:rtl/>
        </w:rPr>
        <w:t>רואה</w:t>
      </w:r>
      <w:r w:rsidRPr="00254EB0">
        <w:rPr>
          <w:rFonts w:cs="Arial"/>
          <w:sz w:val="20"/>
          <w:szCs w:val="20"/>
          <w:rtl/>
        </w:rPr>
        <w:t xml:space="preserve"> </w:t>
      </w:r>
      <w:r w:rsidRPr="00254EB0">
        <w:rPr>
          <w:rFonts w:cs="Arial" w:hint="cs"/>
          <w:sz w:val="20"/>
          <w:szCs w:val="20"/>
          <w:rtl/>
        </w:rPr>
        <w:t>דם</w:t>
      </w:r>
      <w:r w:rsidRPr="00254EB0">
        <w:rPr>
          <w:rFonts w:cs="Arial"/>
          <w:sz w:val="20"/>
          <w:szCs w:val="20"/>
          <w:rtl/>
        </w:rPr>
        <w:t xml:space="preserve"> </w:t>
      </w:r>
      <w:r w:rsidRPr="00254EB0">
        <w:rPr>
          <w:rFonts w:cs="Arial" w:hint="cs"/>
          <w:sz w:val="20"/>
          <w:szCs w:val="20"/>
          <w:rtl/>
        </w:rPr>
        <w:t>מחמת</w:t>
      </w:r>
      <w:r w:rsidRPr="00254EB0">
        <w:rPr>
          <w:rFonts w:cs="Arial"/>
          <w:sz w:val="20"/>
          <w:szCs w:val="20"/>
          <w:rtl/>
        </w:rPr>
        <w:t xml:space="preserve"> </w:t>
      </w:r>
      <w:r w:rsidRPr="00254EB0">
        <w:rPr>
          <w:rFonts w:cs="Arial" w:hint="cs"/>
          <w:sz w:val="20"/>
          <w:szCs w:val="20"/>
          <w:rtl/>
        </w:rPr>
        <w:t>תשמיש</w:t>
      </w:r>
      <w:r w:rsidRPr="00254EB0">
        <w:rPr>
          <w:rFonts w:cs="Arial"/>
          <w:sz w:val="20"/>
          <w:szCs w:val="20"/>
          <w:rtl/>
        </w:rPr>
        <w:t xml:space="preserve">, </w:t>
      </w:r>
      <w:r w:rsidRPr="00254EB0">
        <w:rPr>
          <w:rFonts w:cs="Arial" w:hint="cs"/>
          <w:sz w:val="20"/>
          <w:szCs w:val="20"/>
          <w:rtl/>
        </w:rPr>
        <w:t>שוב</w:t>
      </w:r>
      <w:r w:rsidRPr="00254EB0">
        <w:rPr>
          <w:rFonts w:cs="Arial"/>
          <w:sz w:val="20"/>
          <w:szCs w:val="20"/>
          <w:rtl/>
        </w:rPr>
        <w:t xml:space="preserve"> </w:t>
      </w:r>
      <w:r w:rsidRPr="00254EB0">
        <w:rPr>
          <w:rFonts w:cs="Arial" w:hint="cs"/>
          <w:sz w:val="20"/>
          <w:szCs w:val="20"/>
          <w:rtl/>
        </w:rPr>
        <w:t>אינה</w:t>
      </w:r>
      <w:r w:rsidRPr="00254EB0">
        <w:rPr>
          <w:rFonts w:cs="Arial"/>
          <w:sz w:val="20"/>
          <w:szCs w:val="20"/>
          <w:rtl/>
        </w:rPr>
        <w:t xml:space="preserve"> </w:t>
      </w:r>
      <w:r w:rsidRPr="00254EB0">
        <w:rPr>
          <w:rFonts w:cs="Arial" w:hint="cs"/>
          <w:sz w:val="20"/>
          <w:szCs w:val="20"/>
          <w:rtl/>
        </w:rPr>
        <w:t>צריכה</w:t>
      </w:r>
      <w:r w:rsidRPr="00254EB0">
        <w:rPr>
          <w:rFonts w:cs="Arial"/>
          <w:sz w:val="20"/>
          <w:szCs w:val="20"/>
          <w:rtl/>
        </w:rPr>
        <w:t xml:space="preserve"> </w:t>
      </w:r>
      <w:r w:rsidRPr="00254EB0">
        <w:rPr>
          <w:rFonts w:cs="Arial" w:hint="cs"/>
          <w:sz w:val="20"/>
          <w:szCs w:val="20"/>
          <w:rtl/>
        </w:rPr>
        <w:t>בדיקה</w:t>
      </w:r>
      <w:r w:rsidRPr="00254EB0">
        <w:rPr>
          <w:rFonts w:cs="Arial"/>
          <w:sz w:val="20"/>
          <w:szCs w:val="20"/>
          <w:rtl/>
        </w:rPr>
        <w:t xml:space="preserve"> </w:t>
      </w:r>
      <w:r w:rsidRPr="00254EB0">
        <w:rPr>
          <w:rFonts w:cs="Arial" w:hint="cs"/>
          <w:sz w:val="20"/>
          <w:szCs w:val="20"/>
          <w:rtl/>
        </w:rPr>
        <w:t>כלל</w:t>
      </w:r>
      <w:r w:rsidRPr="00254EB0">
        <w:rPr>
          <w:rFonts w:cs="Arial"/>
          <w:sz w:val="20"/>
          <w:szCs w:val="20"/>
          <w:rtl/>
        </w:rPr>
        <w:t xml:space="preserve">, </w:t>
      </w:r>
      <w:r w:rsidRPr="00254EB0">
        <w:rPr>
          <w:rFonts w:cs="Arial" w:hint="cs"/>
          <w:sz w:val="20"/>
          <w:szCs w:val="20"/>
          <w:rtl/>
        </w:rPr>
        <w:t>לא</w:t>
      </w:r>
      <w:r w:rsidRPr="00254EB0">
        <w:rPr>
          <w:rFonts w:cs="Arial"/>
          <w:sz w:val="20"/>
          <w:szCs w:val="20"/>
          <w:rtl/>
        </w:rPr>
        <w:t xml:space="preserve"> </w:t>
      </w:r>
      <w:r w:rsidRPr="00254EB0">
        <w:rPr>
          <w:rFonts w:cs="Arial" w:hint="cs"/>
          <w:sz w:val="20"/>
          <w:szCs w:val="20"/>
          <w:rtl/>
        </w:rPr>
        <w:t>לפני</w:t>
      </w:r>
      <w:r w:rsidRPr="00254EB0">
        <w:rPr>
          <w:rFonts w:cs="Arial"/>
          <w:sz w:val="20"/>
          <w:szCs w:val="20"/>
          <w:rtl/>
        </w:rPr>
        <w:t xml:space="preserve"> </w:t>
      </w:r>
      <w:r w:rsidRPr="00254EB0">
        <w:rPr>
          <w:rFonts w:cs="Arial" w:hint="cs"/>
          <w:sz w:val="20"/>
          <w:szCs w:val="20"/>
          <w:rtl/>
        </w:rPr>
        <w:t>תשמיש</w:t>
      </w:r>
      <w:r w:rsidRPr="00254EB0">
        <w:rPr>
          <w:rFonts w:cs="Arial"/>
          <w:sz w:val="20"/>
          <w:szCs w:val="20"/>
          <w:rtl/>
        </w:rPr>
        <w:t xml:space="preserve"> </w:t>
      </w:r>
      <w:r w:rsidRPr="00254EB0">
        <w:rPr>
          <w:rFonts w:cs="Arial" w:hint="cs"/>
          <w:sz w:val="20"/>
          <w:szCs w:val="20"/>
          <w:rtl/>
        </w:rPr>
        <w:t>ולא</w:t>
      </w:r>
      <w:r w:rsidRPr="00254EB0">
        <w:rPr>
          <w:rFonts w:cs="Arial"/>
          <w:sz w:val="20"/>
          <w:szCs w:val="20"/>
          <w:rtl/>
        </w:rPr>
        <w:t xml:space="preserve"> </w:t>
      </w:r>
      <w:r w:rsidRPr="00254EB0">
        <w:rPr>
          <w:rFonts w:cs="Arial" w:hint="cs"/>
          <w:sz w:val="20"/>
          <w:szCs w:val="20"/>
          <w:rtl/>
        </w:rPr>
        <w:t>לאחר</w:t>
      </w:r>
      <w:r w:rsidRPr="00254EB0">
        <w:rPr>
          <w:rFonts w:cs="Arial"/>
          <w:sz w:val="20"/>
          <w:szCs w:val="20"/>
          <w:rtl/>
        </w:rPr>
        <w:t xml:space="preserve"> </w:t>
      </w:r>
      <w:r w:rsidRPr="00254EB0">
        <w:rPr>
          <w:rFonts w:cs="Arial" w:hint="cs"/>
          <w:sz w:val="20"/>
          <w:szCs w:val="20"/>
          <w:rtl/>
        </w:rPr>
        <w:t>תשמיש</w:t>
      </w:r>
      <w:r w:rsidRPr="00254EB0">
        <w:rPr>
          <w:rFonts w:cs="Arial"/>
          <w:sz w:val="20"/>
          <w:szCs w:val="20"/>
          <w:rtl/>
        </w:rPr>
        <w:t xml:space="preserve">. </w:t>
      </w:r>
      <w:r w:rsidRPr="00254EB0">
        <w:rPr>
          <w:rFonts w:cs="Arial" w:hint="cs"/>
          <w:sz w:val="20"/>
          <w:szCs w:val="20"/>
          <w:rtl/>
        </w:rPr>
        <w:t>ולהרמב</w:t>
      </w:r>
      <w:r w:rsidRPr="00254EB0">
        <w:rPr>
          <w:rFonts w:cs="Arial"/>
          <w:sz w:val="20"/>
          <w:szCs w:val="20"/>
          <w:rtl/>
        </w:rPr>
        <w:t>"</w:t>
      </w:r>
      <w:r w:rsidRPr="00254EB0">
        <w:rPr>
          <w:rFonts w:cs="Arial" w:hint="cs"/>
          <w:sz w:val="20"/>
          <w:szCs w:val="20"/>
          <w:rtl/>
        </w:rPr>
        <w:t>ם</w:t>
      </w:r>
      <w:r w:rsidRPr="00254EB0">
        <w:rPr>
          <w:rFonts w:cs="Arial"/>
          <w:sz w:val="20"/>
          <w:szCs w:val="20"/>
          <w:rtl/>
        </w:rPr>
        <w:t xml:space="preserve"> </w:t>
      </w:r>
      <w:r w:rsidRPr="00254EB0">
        <w:rPr>
          <w:rFonts w:cs="Arial" w:hint="cs"/>
          <w:sz w:val="20"/>
          <w:szCs w:val="20"/>
          <w:rtl/>
        </w:rPr>
        <w:t>והרא</w:t>
      </w:r>
      <w:r w:rsidRPr="00254EB0">
        <w:rPr>
          <w:rFonts w:cs="Arial"/>
          <w:sz w:val="20"/>
          <w:szCs w:val="20"/>
          <w:rtl/>
        </w:rPr>
        <w:t>"</w:t>
      </w:r>
      <w:r w:rsidRPr="00254EB0">
        <w:rPr>
          <w:rFonts w:cs="Arial" w:hint="cs"/>
          <w:sz w:val="20"/>
          <w:szCs w:val="20"/>
          <w:rtl/>
        </w:rPr>
        <w:t>ש</w:t>
      </w:r>
      <w:r w:rsidRPr="00254EB0">
        <w:rPr>
          <w:rFonts w:cs="Arial"/>
          <w:sz w:val="20"/>
          <w:szCs w:val="20"/>
          <w:rtl/>
        </w:rPr>
        <w:t xml:space="preserve">, </w:t>
      </w:r>
      <w:r w:rsidRPr="00254EB0">
        <w:rPr>
          <w:rFonts w:cs="Arial" w:hint="cs"/>
          <w:sz w:val="20"/>
          <w:szCs w:val="20"/>
          <w:rtl/>
        </w:rPr>
        <w:t>כל</w:t>
      </w:r>
      <w:r w:rsidRPr="00254EB0">
        <w:rPr>
          <w:rFonts w:cs="Arial"/>
          <w:sz w:val="20"/>
          <w:szCs w:val="20"/>
          <w:rtl/>
        </w:rPr>
        <w:t xml:space="preserve"> </w:t>
      </w:r>
      <w:r w:rsidRPr="00254EB0">
        <w:rPr>
          <w:rFonts w:cs="Arial" w:hint="cs"/>
          <w:sz w:val="20"/>
          <w:szCs w:val="20"/>
          <w:rtl/>
        </w:rPr>
        <w:t>זמן</w:t>
      </w:r>
      <w:r w:rsidRPr="00254EB0">
        <w:rPr>
          <w:rFonts w:cs="Arial"/>
          <w:sz w:val="20"/>
          <w:szCs w:val="20"/>
          <w:rtl/>
        </w:rPr>
        <w:t xml:space="preserve"> </w:t>
      </w:r>
      <w:r w:rsidRPr="00254EB0">
        <w:rPr>
          <w:rFonts w:cs="Arial" w:hint="cs"/>
          <w:sz w:val="20"/>
          <w:szCs w:val="20"/>
          <w:rtl/>
        </w:rPr>
        <w:t>שאין</w:t>
      </w:r>
      <w:r w:rsidRPr="00254EB0">
        <w:rPr>
          <w:rFonts w:cs="Arial"/>
          <w:sz w:val="20"/>
          <w:szCs w:val="20"/>
          <w:rtl/>
        </w:rPr>
        <w:t xml:space="preserve"> </w:t>
      </w:r>
      <w:r w:rsidRPr="00254EB0">
        <w:rPr>
          <w:rFonts w:cs="Arial" w:hint="cs"/>
          <w:sz w:val="20"/>
          <w:szCs w:val="20"/>
          <w:rtl/>
        </w:rPr>
        <w:t>לה</w:t>
      </w:r>
      <w:r w:rsidRPr="00254EB0">
        <w:rPr>
          <w:rFonts w:cs="Arial"/>
          <w:sz w:val="20"/>
          <w:szCs w:val="20"/>
          <w:rtl/>
        </w:rPr>
        <w:t xml:space="preserve"> </w:t>
      </w:r>
      <w:r w:rsidRPr="00254EB0">
        <w:rPr>
          <w:rFonts w:cs="Arial" w:hint="cs"/>
          <w:sz w:val="20"/>
          <w:szCs w:val="20"/>
          <w:rtl/>
        </w:rPr>
        <w:t>וסת</w:t>
      </w:r>
      <w:r w:rsidRPr="00254EB0">
        <w:rPr>
          <w:rFonts w:cs="Arial"/>
          <w:sz w:val="20"/>
          <w:szCs w:val="20"/>
          <w:rtl/>
        </w:rPr>
        <w:t xml:space="preserve"> </w:t>
      </w:r>
      <w:r w:rsidRPr="00254EB0">
        <w:rPr>
          <w:rFonts w:cs="Arial" w:hint="cs"/>
          <w:sz w:val="20"/>
          <w:szCs w:val="20"/>
          <w:rtl/>
        </w:rPr>
        <w:t>צריכה</w:t>
      </w:r>
      <w:r w:rsidRPr="00254EB0">
        <w:rPr>
          <w:rFonts w:cs="Arial"/>
          <w:sz w:val="20"/>
          <w:szCs w:val="20"/>
          <w:rtl/>
        </w:rPr>
        <w:t xml:space="preserve"> </w:t>
      </w:r>
      <w:r w:rsidRPr="00254EB0">
        <w:rPr>
          <w:rFonts w:cs="Arial" w:hint="cs"/>
          <w:sz w:val="20"/>
          <w:szCs w:val="20"/>
          <w:rtl/>
        </w:rPr>
        <w:t>היא</w:t>
      </w:r>
      <w:r w:rsidRPr="00254EB0">
        <w:rPr>
          <w:rFonts w:cs="Arial"/>
          <w:sz w:val="20"/>
          <w:szCs w:val="20"/>
          <w:rtl/>
        </w:rPr>
        <w:t xml:space="preserve"> </w:t>
      </w:r>
      <w:r w:rsidRPr="00254EB0">
        <w:rPr>
          <w:rFonts w:cs="Arial" w:hint="cs"/>
          <w:sz w:val="20"/>
          <w:szCs w:val="20"/>
          <w:rtl/>
        </w:rPr>
        <w:t>בדיקה</w:t>
      </w:r>
      <w:r w:rsidRPr="00254EB0">
        <w:rPr>
          <w:rFonts w:cs="Arial"/>
          <w:sz w:val="20"/>
          <w:szCs w:val="20"/>
          <w:rtl/>
        </w:rPr>
        <w:t xml:space="preserve"> </w:t>
      </w:r>
      <w:r w:rsidRPr="00254EB0">
        <w:rPr>
          <w:rFonts w:cs="Arial" w:hint="cs"/>
          <w:sz w:val="20"/>
          <w:szCs w:val="20"/>
          <w:rtl/>
        </w:rPr>
        <w:t>לעולם</w:t>
      </w:r>
      <w:r w:rsidRPr="00254EB0">
        <w:rPr>
          <w:rFonts w:cs="Arial"/>
          <w:sz w:val="20"/>
          <w:szCs w:val="20"/>
          <w:rtl/>
        </w:rPr>
        <w:t xml:space="preserve">, </w:t>
      </w:r>
      <w:r w:rsidRPr="00254EB0">
        <w:rPr>
          <w:rFonts w:cs="Arial" w:hint="cs"/>
          <w:sz w:val="20"/>
          <w:szCs w:val="20"/>
          <w:rtl/>
        </w:rPr>
        <w:t>קודם</w:t>
      </w:r>
      <w:r w:rsidRPr="00254EB0">
        <w:rPr>
          <w:rFonts w:cs="Arial"/>
          <w:sz w:val="20"/>
          <w:szCs w:val="20"/>
          <w:rtl/>
        </w:rPr>
        <w:t xml:space="preserve"> </w:t>
      </w:r>
      <w:r w:rsidRPr="00254EB0">
        <w:rPr>
          <w:rFonts w:cs="Arial" w:hint="cs"/>
          <w:sz w:val="20"/>
          <w:szCs w:val="20"/>
          <w:rtl/>
        </w:rPr>
        <w:t>תשמיש</w:t>
      </w:r>
      <w:r w:rsidRPr="00254EB0">
        <w:rPr>
          <w:rFonts w:cs="Arial"/>
          <w:sz w:val="20"/>
          <w:szCs w:val="20"/>
          <w:rtl/>
        </w:rPr>
        <w:t xml:space="preserve"> </w:t>
      </w:r>
      <w:r w:rsidRPr="00254EB0">
        <w:rPr>
          <w:rFonts w:cs="Arial" w:hint="cs"/>
          <w:sz w:val="20"/>
          <w:szCs w:val="20"/>
          <w:rtl/>
        </w:rPr>
        <w:t>ואחר</w:t>
      </w:r>
      <w:r w:rsidRPr="00254EB0">
        <w:rPr>
          <w:rFonts w:cs="Arial"/>
          <w:sz w:val="20"/>
          <w:szCs w:val="20"/>
          <w:rtl/>
        </w:rPr>
        <w:t xml:space="preserve"> </w:t>
      </w:r>
      <w:r w:rsidRPr="00254EB0">
        <w:rPr>
          <w:rFonts w:cs="Arial" w:hint="cs"/>
          <w:sz w:val="20"/>
          <w:szCs w:val="20"/>
          <w:rtl/>
        </w:rPr>
        <w:t>תשמיש</w:t>
      </w:r>
      <w:r w:rsidRPr="00254EB0">
        <w:rPr>
          <w:rFonts w:cs="Arial"/>
          <w:sz w:val="20"/>
          <w:szCs w:val="20"/>
          <w:rtl/>
        </w:rPr>
        <w:t xml:space="preserve">, </w:t>
      </w:r>
      <w:r w:rsidRPr="00254EB0">
        <w:rPr>
          <w:rFonts w:cs="Arial" w:hint="cs"/>
          <w:sz w:val="20"/>
          <w:szCs w:val="20"/>
          <w:rtl/>
        </w:rPr>
        <w:t>והרמב</w:t>
      </w:r>
      <w:r w:rsidRPr="00254EB0">
        <w:rPr>
          <w:rFonts w:cs="Arial"/>
          <w:sz w:val="20"/>
          <w:szCs w:val="20"/>
          <w:rtl/>
        </w:rPr>
        <w:t>"</w:t>
      </w:r>
      <w:r w:rsidRPr="00254EB0">
        <w:rPr>
          <w:rFonts w:cs="Arial" w:hint="cs"/>
          <w:sz w:val="20"/>
          <w:szCs w:val="20"/>
          <w:rtl/>
        </w:rPr>
        <w:t>ם</w:t>
      </w:r>
      <w:r w:rsidRPr="00254EB0">
        <w:rPr>
          <w:rFonts w:cs="Arial"/>
          <w:sz w:val="20"/>
          <w:szCs w:val="20"/>
          <w:rtl/>
        </w:rPr>
        <w:t xml:space="preserve"> </w:t>
      </w:r>
      <w:r w:rsidRPr="00254EB0">
        <w:rPr>
          <w:rFonts w:cs="Arial" w:hint="cs"/>
          <w:sz w:val="20"/>
          <w:szCs w:val="20"/>
          <w:rtl/>
        </w:rPr>
        <w:t>מצריך</w:t>
      </w:r>
      <w:r w:rsidRPr="00254EB0">
        <w:rPr>
          <w:rFonts w:cs="Arial"/>
          <w:sz w:val="20"/>
          <w:szCs w:val="20"/>
          <w:rtl/>
        </w:rPr>
        <w:t xml:space="preserve"> </w:t>
      </w:r>
      <w:r w:rsidRPr="00254EB0">
        <w:rPr>
          <w:rFonts w:cs="Arial" w:hint="cs"/>
          <w:sz w:val="20"/>
          <w:szCs w:val="20"/>
          <w:rtl/>
        </w:rPr>
        <w:t>שגם</w:t>
      </w:r>
      <w:r w:rsidRPr="00254EB0">
        <w:rPr>
          <w:rFonts w:cs="Arial"/>
          <w:sz w:val="20"/>
          <w:szCs w:val="20"/>
          <w:rtl/>
        </w:rPr>
        <w:t xml:space="preserve"> </w:t>
      </w:r>
      <w:r w:rsidRPr="00254EB0">
        <w:rPr>
          <w:rFonts w:cs="Arial" w:hint="cs"/>
          <w:sz w:val="20"/>
          <w:szCs w:val="20"/>
          <w:rtl/>
        </w:rPr>
        <w:t>הבעל</w:t>
      </w:r>
      <w:r w:rsidRPr="00254EB0">
        <w:rPr>
          <w:rFonts w:cs="Arial"/>
          <w:sz w:val="20"/>
          <w:szCs w:val="20"/>
          <w:rtl/>
        </w:rPr>
        <w:t xml:space="preserve"> </w:t>
      </w:r>
      <w:r w:rsidRPr="00254EB0">
        <w:rPr>
          <w:rFonts w:cs="Arial" w:hint="cs"/>
          <w:sz w:val="20"/>
          <w:szCs w:val="20"/>
          <w:rtl/>
        </w:rPr>
        <w:t>יבדוק</w:t>
      </w:r>
      <w:r w:rsidRPr="00254EB0">
        <w:rPr>
          <w:rFonts w:cs="Arial"/>
          <w:sz w:val="20"/>
          <w:szCs w:val="20"/>
          <w:rtl/>
        </w:rPr>
        <w:t xml:space="preserve"> </w:t>
      </w:r>
      <w:r w:rsidRPr="00254EB0">
        <w:rPr>
          <w:rFonts w:cs="Arial" w:hint="cs"/>
          <w:sz w:val="20"/>
          <w:szCs w:val="20"/>
          <w:rtl/>
        </w:rPr>
        <w:t>עצמו</w:t>
      </w:r>
      <w:r w:rsidRPr="00254EB0">
        <w:rPr>
          <w:rFonts w:cs="Arial"/>
          <w:sz w:val="20"/>
          <w:szCs w:val="20"/>
          <w:rtl/>
        </w:rPr>
        <w:t xml:space="preserve"> </w:t>
      </w:r>
      <w:r w:rsidRPr="00254EB0">
        <w:rPr>
          <w:rFonts w:cs="Arial" w:hint="cs"/>
          <w:sz w:val="20"/>
          <w:szCs w:val="20"/>
          <w:rtl/>
        </w:rPr>
        <w:t>אחר</w:t>
      </w:r>
      <w:r w:rsidRPr="00254EB0">
        <w:rPr>
          <w:rFonts w:cs="Arial"/>
          <w:sz w:val="20"/>
          <w:szCs w:val="20"/>
          <w:rtl/>
        </w:rPr>
        <w:t xml:space="preserve"> </w:t>
      </w:r>
      <w:r w:rsidRPr="00254EB0">
        <w:rPr>
          <w:rFonts w:cs="Arial" w:hint="cs"/>
          <w:sz w:val="20"/>
          <w:szCs w:val="20"/>
          <w:rtl/>
        </w:rPr>
        <w:t>תשמיש</w:t>
      </w:r>
      <w:r>
        <w:rPr>
          <w:rFonts w:cs="Arial" w:hint="cs"/>
          <w:sz w:val="20"/>
          <w:szCs w:val="20"/>
          <w:rtl/>
        </w:rPr>
        <w:t>"</w:t>
      </w:r>
      <w:r w:rsidRPr="00254EB0">
        <w:rPr>
          <w:rFonts w:cs="Arial"/>
          <w:sz w:val="20"/>
          <w:szCs w:val="20"/>
          <w:rtl/>
        </w:rPr>
        <w:t>.</w:t>
      </w:r>
      <w:r>
        <w:rPr>
          <w:rStyle w:val="a5"/>
          <w:sz w:val="20"/>
          <w:szCs w:val="20"/>
          <w:rtl/>
        </w:rPr>
        <w:footnoteReference w:id="78"/>
      </w:r>
      <w:r>
        <w:rPr>
          <w:rFonts w:hint="cs"/>
          <w:sz w:val="20"/>
          <w:szCs w:val="20"/>
          <w:rtl/>
        </w:rPr>
        <w:t xml:space="preserve"> </w:t>
      </w:r>
      <w:r>
        <w:rPr>
          <w:rStyle w:val="a5"/>
          <w:sz w:val="20"/>
          <w:szCs w:val="20"/>
          <w:rtl/>
        </w:rPr>
        <w:footnoteReference w:id="79"/>
      </w:r>
    </w:p>
    <w:p w:rsidR="00620060" w:rsidRDefault="00620060" w:rsidP="00620060">
      <w:pPr>
        <w:rPr>
          <w:sz w:val="20"/>
          <w:szCs w:val="20"/>
          <w:rtl/>
        </w:rPr>
      </w:pPr>
      <w:r w:rsidRPr="00AD3B0F">
        <w:rPr>
          <w:rFonts w:hint="cs"/>
          <w:b/>
          <w:bCs/>
          <w:sz w:val="20"/>
          <w:szCs w:val="20"/>
          <w:rtl/>
        </w:rPr>
        <w:lastRenderedPageBreak/>
        <w:t>שיטת הש"ך בביאור דעת הרי"ף</w:t>
      </w:r>
      <w:r>
        <w:rPr>
          <w:sz w:val="20"/>
          <w:szCs w:val="20"/>
          <w:rtl/>
        </w:rPr>
        <w:br/>
      </w:r>
      <w:r>
        <w:rPr>
          <w:rFonts w:hint="cs"/>
          <w:sz w:val="20"/>
          <w:szCs w:val="20"/>
          <w:u w:val="single"/>
          <w:rtl/>
        </w:rPr>
        <w:t>הצגת דברי הרי"ף</w:t>
      </w:r>
      <w:r w:rsidRPr="00AD3B0F">
        <w:rPr>
          <w:rFonts w:hint="cs"/>
          <w:sz w:val="20"/>
          <w:szCs w:val="20"/>
          <w:rtl/>
        </w:rPr>
        <w:br/>
      </w:r>
      <w:r>
        <w:rPr>
          <w:rFonts w:hint="cs"/>
          <w:sz w:val="20"/>
          <w:szCs w:val="20"/>
          <w:rtl/>
        </w:rPr>
        <w:t xml:space="preserve">הרי"ף בכתובות מביא את מחלוקת רבי מאיר ורבי חנינא </w:t>
      </w:r>
      <w:r w:rsidRPr="00A23AB3">
        <w:rPr>
          <w:rFonts w:hint="cs"/>
          <w:sz w:val="18"/>
          <w:szCs w:val="18"/>
          <w:rtl/>
        </w:rPr>
        <w:t>(מקור ג)</w:t>
      </w:r>
      <w:r>
        <w:rPr>
          <w:rFonts w:hint="cs"/>
          <w:sz w:val="18"/>
          <w:szCs w:val="18"/>
          <w:rtl/>
        </w:rPr>
        <w:t xml:space="preserve"> </w:t>
      </w:r>
      <w:r w:rsidRPr="00E90410">
        <w:rPr>
          <w:rFonts w:hint="cs"/>
          <w:sz w:val="20"/>
          <w:szCs w:val="20"/>
          <w:rtl/>
        </w:rPr>
        <w:t xml:space="preserve">ומרחיב בביאורה, </w:t>
      </w:r>
      <w:r>
        <w:rPr>
          <w:rFonts w:hint="cs"/>
          <w:sz w:val="20"/>
          <w:szCs w:val="20"/>
          <w:rtl/>
        </w:rPr>
        <w:t>ופוסק כר"ח שיש לבדוק ג' פעמים ע"י שני עדים, עד לאיש ועד לאישה.</w:t>
      </w:r>
      <w:r>
        <w:rPr>
          <w:sz w:val="20"/>
          <w:szCs w:val="20"/>
          <w:rtl/>
        </w:rPr>
        <w:br/>
      </w:r>
      <w:r>
        <w:rPr>
          <w:rFonts w:hint="cs"/>
          <w:sz w:val="20"/>
          <w:szCs w:val="20"/>
          <w:rtl/>
        </w:rPr>
        <w:t>לעומת זאת, בהלכות נידה לרי"ף הביא את הברייתא הנ"ל ולא פירשה כלל, אלא כתב שכבר פירשה בכתובות. והוסיף הרי"ף לכתוב בסמוך לכך מייד את דין רואה מחמת תשמיש שיש לגרשה לאחר שראתה ג פעמים.</w:t>
      </w:r>
    </w:p>
    <w:p w:rsidR="00620060" w:rsidRPr="00716AAA" w:rsidRDefault="00620060" w:rsidP="00620060">
      <w:pPr>
        <w:rPr>
          <w:sz w:val="18"/>
          <w:szCs w:val="18"/>
          <w:rtl/>
        </w:rPr>
      </w:pPr>
      <w:r>
        <w:rPr>
          <w:rFonts w:hint="cs"/>
          <w:sz w:val="20"/>
          <w:szCs w:val="20"/>
          <w:u w:val="single"/>
          <w:rtl/>
        </w:rPr>
        <w:t>קושיות הש"ך על שיטת הרי"ף</w:t>
      </w:r>
      <w:r>
        <w:rPr>
          <w:sz w:val="20"/>
          <w:szCs w:val="20"/>
          <w:u w:val="single"/>
          <w:rtl/>
        </w:rPr>
        <w:br/>
      </w:r>
      <w:r>
        <w:rPr>
          <w:rFonts w:hint="cs"/>
          <w:sz w:val="20"/>
          <w:szCs w:val="20"/>
          <w:rtl/>
        </w:rPr>
        <w:t>א. מדוע הרי"ף פירש את מחלוקת התנאים בהלכות כתובות ולא בהלכות נידה?</w:t>
      </w:r>
      <w:r>
        <w:rPr>
          <w:sz w:val="20"/>
          <w:szCs w:val="20"/>
          <w:rtl/>
        </w:rPr>
        <w:br/>
      </w:r>
      <w:r>
        <w:rPr>
          <w:rFonts w:hint="cs"/>
          <w:sz w:val="20"/>
          <w:szCs w:val="20"/>
          <w:rtl/>
        </w:rPr>
        <w:t xml:space="preserve">ב. למה הרי"ף כתב שפירש כבר דין זה בהל' כתובות, ולא כתב שפירש דין זה בסוף פרק יא במסכת כתובות? </w:t>
      </w:r>
      <w:r>
        <w:rPr>
          <w:sz w:val="20"/>
          <w:szCs w:val="20"/>
          <w:rtl/>
        </w:rPr>
        <w:br/>
      </w:r>
      <w:r>
        <w:rPr>
          <w:rFonts w:hint="cs"/>
          <w:sz w:val="20"/>
          <w:szCs w:val="20"/>
          <w:rtl/>
        </w:rPr>
        <w:t>ג. מניין למד הרי"ף שמשמשת בעדים רק ג' פעמים, לכאורה לרבי חנינא יש לשמש תמיד בעדים!</w:t>
      </w:r>
      <w:r>
        <w:rPr>
          <w:rFonts w:hint="cs"/>
          <w:sz w:val="20"/>
          <w:szCs w:val="20"/>
          <w:rtl/>
        </w:rPr>
        <w:br/>
      </w:r>
      <w:r>
        <w:rPr>
          <w:rFonts w:hint="cs"/>
          <w:sz w:val="20"/>
          <w:szCs w:val="20"/>
          <w:rtl/>
        </w:rPr>
        <w:br/>
      </w:r>
      <w:r>
        <w:rPr>
          <w:rFonts w:hint="cs"/>
          <w:sz w:val="20"/>
          <w:szCs w:val="20"/>
          <w:u w:val="single"/>
          <w:rtl/>
        </w:rPr>
        <w:t>ביאור שיטת הרי"ף</w:t>
      </w:r>
      <w:r>
        <w:rPr>
          <w:sz w:val="20"/>
          <w:szCs w:val="20"/>
          <w:u w:val="single"/>
          <w:rtl/>
        </w:rPr>
        <w:br/>
      </w:r>
      <w:r>
        <w:rPr>
          <w:rFonts w:hint="cs"/>
          <w:sz w:val="20"/>
          <w:szCs w:val="20"/>
          <w:rtl/>
        </w:rPr>
        <w:t>הרי"ף סובר ככל שאר הראשונים שרצו לחלוק עליו, שאין צריך כלל לבדוק, לא לפני תשמיש ולא לאחר תשמיש.</w:t>
      </w:r>
      <w:r>
        <w:rPr>
          <w:sz w:val="20"/>
          <w:szCs w:val="20"/>
          <w:rtl/>
        </w:rPr>
        <w:br/>
      </w:r>
      <w:r>
        <w:rPr>
          <w:rFonts w:hint="cs"/>
          <w:sz w:val="20"/>
          <w:szCs w:val="20"/>
          <w:rtl/>
        </w:rPr>
        <w:t>משום כך הרי"ף לא כתב כלל בשום מקום שצריך לבדוק, והברייתא המביאה מחלוקת רבי מאיר ורבי חנינא מיירי בעסוקה בטהרות, אך לבעלה מותרת, כרש"י. לכן לא פירש הרי"ף ברייתא זו בהלכות נידה, משום שאין נפק"מ עבורנו בדין זה כיוון שאין טהרות נוהגות כיום.</w:t>
      </w:r>
      <w:r>
        <w:rPr>
          <w:rFonts w:hint="cs"/>
          <w:sz w:val="20"/>
          <w:szCs w:val="20"/>
          <w:rtl/>
        </w:rPr>
        <w:br/>
        <w:t xml:space="preserve">אמנם, בנוסף לטהרות, גם אשה הרואה מחמת תשמיש צריכה בדיקה, משום כך הסמיך הרי"ף ברייתא זו של רואה מחמת תשמיש בהלכות נידה מייד לאחר שהביא את מחלוקת ר"מ ור"ח מפני שהם עניין אחד. </w:t>
      </w:r>
      <w:r>
        <w:rPr>
          <w:sz w:val="20"/>
          <w:szCs w:val="20"/>
          <w:rtl/>
        </w:rPr>
        <w:br/>
      </w:r>
      <w:r>
        <w:rPr>
          <w:rFonts w:hint="cs"/>
          <w:sz w:val="20"/>
          <w:szCs w:val="20"/>
          <w:rtl/>
        </w:rPr>
        <w:t>הסבר זה מדוייק ברי"ף שכתב בהלכות נידה "נישאת וראתה דם מחמת תשמיש, משמשת פעם ראשונה ושניה ושלישית", משמע שראיית דם בפעם הראשונה אינה מהמניין, כיוון שכל עוד לא ראתה דם אינה צריכה בדיקה כלל.</w:t>
      </w:r>
      <w:r>
        <w:rPr>
          <w:rFonts w:hint="cs"/>
          <w:sz w:val="20"/>
          <w:szCs w:val="20"/>
          <w:rtl/>
        </w:rPr>
        <w:br/>
        <w:t xml:space="preserve">ולפי הסבר זה מבואר מדוע הרי"ף פירט דין ברייתא זו דווקא בהלכות כתובות, מכיוון שעיקר הנפק"מ בימינו במחלוקת ר"מ ור"ח היא לגבי הפסד כתובתה. </w:t>
      </w:r>
      <w:r>
        <w:rPr>
          <w:sz w:val="18"/>
          <w:szCs w:val="18"/>
          <w:rtl/>
        </w:rPr>
        <w:br/>
      </w:r>
      <w:r w:rsidRPr="00A8635B">
        <w:rPr>
          <w:rFonts w:hint="cs"/>
          <w:sz w:val="18"/>
          <w:szCs w:val="18"/>
          <w:rtl/>
        </w:rPr>
        <w:t xml:space="preserve">[אמנם, הש"ך מקשה על הסבר זה </w:t>
      </w:r>
      <w:r w:rsidRPr="00A8635B">
        <w:rPr>
          <w:sz w:val="18"/>
          <w:szCs w:val="18"/>
          <w:rtl/>
        </w:rPr>
        <w:t>–</w:t>
      </w:r>
      <w:r w:rsidRPr="00A8635B">
        <w:rPr>
          <w:rFonts w:hint="cs"/>
          <w:sz w:val="18"/>
          <w:szCs w:val="18"/>
          <w:rtl/>
        </w:rPr>
        <w:t xml:space="preserve"> מדוע הרי"ף לא פירש בכתובות שמדובר על רואה מחמת תשמיש? ומיישב </w:t>
      </w:r>
      <w:r w:rsidRPr="00A8635B">
        <w:rPr>
          <w:sz w:val="18"/>
          <w:szCs w:val="18"/>
          <w:rtl/>
        </w:rPr>
        <w:t>–</w:t>
      </w:r>
      <w:r w:rsidRPr="00A8635B">
        <w:rPr>
          <w:rFonts w:hint="cs"/>
          <w:sz w:val="18"/>
          <w:szCs w:val="18"/>
          <w:rtl/>
        </w:rPr>
        <w:t xml:space="preserve"> סמך עצמו על כך שבהלכות נידה הסמיך ברייתא של רואה מחמת תשמיש למחלוקת ר"מ ור"ח. אי נמי, יכול הבעל לומר כבר בתחילת חיי הנישואין שהוא רוצה שאשתו תשמש בעדים בשלוש הפעמים הראשונות אע"פ שלא ראתה מחמת תשמיש, כדי לדעת אם הוא צריך לשלם לה כתובה, אך ליכא איסור לשמש ללא עדים אם לא ראתה מחמת תשמיש].</w:t>
      </w:r>
    </w:p>
    <w:p w:rsidR="00620060" w:rsidRDefault="00620060" w:rsidP="00620060">
      <w:pPr>
        <w:rPr>
          <w:sz w:val="20"/>
          <w:szCs w:val="20"/>
          <w:rtl/>
        </w:rPr>
      </w:pPr>
      <w:r>
        <w:rPr>
          <w:rFonts w:hint="cs"/>
          <w:sz w:val="20"/>
          <w:szCs w:val="20"/>
          <w:u w:val="single"/>
          <w:rtl/>
        </w:rPr>
        <w:t>מסקנת הש"ך</w:t>
      </w:r>
      <w:r>
        <w:rPr>
          <w:rFonts w:hint="cs"/>
          <w:sz w:val="20"/>
          <w:szCs w:val="20"/>
          <w:u w:val="single"/>
          <w:rtl/>
        </w:rPr>
        <w:br/>
      </w:r>
      <w:r>
        <w:rPr>
          <w:rFonts w:hint="cs"/>
          <w:sz w:val="20"/>
          <w:szCs w:val="20"/>
          <w:rtl/>
        </w:rPr>
        <w:t>אין לבדוק כלל, לא לפני תשמיש ולא לאחר תשמיש.</w:t>
      </w:r>
      <w:r>
        <w:rPr>
          <w:sz w:val="20"/>
          <w:szCs w:val="20"/>
          <w:rtl/>
        </w:rPr>
        <w:br/>
      </w:r>
      <w:r w:rsidRPr="002B5E06">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רוב הראשונים (</w:t>
      </w:r>
      <w:r>
        <w:rPr>
          <w:rFonts w:hint="cs"/>
          <w:sz w:val="18"/>
          <w:szCs w:val="18"/>
          <w:rtl/>
        </w:rPr>
        <w:t>מלבד</w:t>
      </w:r>
      <w:r w:rsidRPr="0086058A">
        <w:rPr>
          <w:rFonts w:hint="cs"/>
          <w:sz w:val="18"/>
          <w:szCs w:val="18"/>
          <w:rtl/>
        </w:rPr>
        <w:t xml:space="preserve"> הרמב"ם) </w:t>
      </w:r>
      <w:r>
        <w:rPr>
          <w:rFonts w:hint="cs"/>
          <w:sz w:val="20"/>
          <w:szCs w:val="20"/>
          <w:rtl/>
        </w:rPr>
        <w:t xml:space="preserve">כתבו שנראה להם כרש"י, אלא שלא מלאם ליבם לחלוק על הרי"ף. </w:t>
      </w:r>
      <w:r>
        <w:rPr>
          <w:sz w:val="20"/>
          <w:szCs w:val="20"/>
          <w:rtl/>
        </w:rPr>
        <w:br/>
      </w:r>
      <w:r>
        <w:rPr>
          <w:rFonts w:hint="cs"/>
          <w:sz w:val="20"/>
          <w:szCs w:val="20"/>
          <w:rtl/>
        </w:rPr>
        <w:t xml:space="preserve">אולם, מכיוון שהוכח שהרי"ף לא התכוון כלל לפסוק שיש לבדוק לפני תשמיש ואחר תשמיש, אין לבדוק. </w:t>
      </w:r>
      <w:r>
        <w:rPr>
          <w:sz w:val="20"/>
          <w:szCs w:val="20"/>
          <w:rtl/>
        </w:rPr>
        <w:br/>
      </w:r>
      <w:r>
        <w:rPr>
          <w:rFonts w:hint="cs"/>
          <w:sz w:val="20"/>
          <w:szCs w:val="20"/>
          <w:rtl/>
        </w:rPr>
        <w:t>ומכיוון שאין צורך לבדוק, אף אסור לבדוק כדי שלא יהיה ליבו נוקפו ויפרוש.</w:t>
      </w:r>
      <w:r>
        <w:rPr>
          <w:rFonts w:hint="cs"/>
          <w:sz w:val="20"/>
          <w:szCs w:val="20"/>
          <w:rtl/>
        </w:rPr>
        <w:br/>
        <w:t xml:space="preserve">הש"ך חותם את דבריו ואומר: "וכן כתב האגור בשם מהרי"ל, </w:t>
      </w:r>
      <w:r w:rsidRPr="0086058A">
        <w:rPr>
          <w:rFonts w:hint="cs"/>
          <w:sz w:val="20"/>
          <w:szCs w:val="20"/>
          <w:u w:val="single"/>
          <w:rtl/>
        </w:rPr>
        <w:t>וכמדומה שכן עמא דבר</w:t>
      </w:r>
      <w:r>
        <w:rPr>
          <w:rFonts w:hint="cs"/>
          <w:sz w:val="20"/>
          <w:szCs w:val="20"/>
          <w:rtl/>
        </w:rPr>
        <w:t>".</w:t>
      </w:r>
    </w:p>
    <w:p w:rsidR="00620060" w:rsidRDefault="00620060" w:rsidP="00620060">
      <w:pPr>
        <w:rPr>
          <w:sz w:val="20"/>
          <w:szCs w:val="20"/>
          <w:rtl/>
        </w:rPr>
      </w:pPr>
      <w:r>
        <w:rPr>
          <w:rFonts w:hint="cs"/>
          <w:b/>
          <w:bCs/>
          <w:sz w:val="20"/>
          <w:szCs w:val="20"/>
          <w:rtl/>
        </w:rPr>
        <w:t>דחיית שיטת הש"ך</w:t>
      </w:r>
      <w:r>
        <w:rPr>
          <w:b/>
          <w:bCs/>
          <w:sz w:val="20"/>
          <w:szCs w:val="20"/>
          <w:rtl/>
        </w:rPr>
        <w:br/>
      </w:r>
      <w:r>
        <w:rPr>
          <w:rFonts w:hint="cs"/>
          <w:b/>
          <w:bCs/>
          <w:sz w:val="20"/>
          <w:szCs w:val="20"/>
          <w:rtl/>
        </w:rPr>
        <w:t xml:space="preserve">תורת השלמים </w:t>
      </w:r>
      <w:r>
        <w:rPr>
          <w:sz w:val="20"/>
          <w:szCs w:val="20"/>
          <w:rtl/>
        </w:rPr>
        <w:t>–</w:t>
      </w:r>
      <w:r>
        <w:rPr>
          <w:rFonts w:hint="cs"/>
          <w:sz w:val="20"/>
          <w:szCs w:val="20"/>
          <w:rtl/>
        </w:rPr>
        <w:t xml:space="preserve"> הש"ך כתב שמלבד הרמב"ם דעת כל הראשונים להקל, אך אין זה נכון, משום שהרא"ש והטור כתבו להדיא שנראה להם להחמיר כדברי רבינו חננאל שדבריו דברי קבלה, ויש לבדוק לפני </w:t>
      </w:r>
      <w:r w:rsidRPr="0086058A">
        <w:rPr>
          <w:rFonts w:hint="cs"/>
          <w:b/>
          <w:bCs/>
          <w:sz w:val="20"/>
          <w:szCs w:val="20"/>
          <w:u w:val="single"/>
          <w:rtl/>
        </w:rPr>
        <w:t>כל</w:t>
      </w:r>
      <w:r>
        <w:rPr>
          <w:rFonts w:hint="cs"/>
          <w:sz w:val="20"/>
          <w:szCs w:val="20"/>
          <w:rtl/>
        </w:rPr>
        <w:t xml:space="preserve"> תשמיש. </w:t>
      </w:r>
      <w:r>
        <w:rPr>
          <w:sz w:val="20"/>
          <w:szCs w:val="20"/>
          <w:rtl/>
        </w:rPr>
        <w:br/>
      </w:r>
      <w:r>
        <w:rPr>
          <w:rFonts w:hint="cs"/>
          <w:sz w:val="20"/>
          <w:szCs w:val="20"/>
          <w:rtl/>
        </w:rPr>
        <w:t xml:space="preserve">גם המחבר הביא את שיטת הרא"ש, והבין אותה באופן שונה משיטת הרי"ף. </w:t>
      </w:r>
      <w:r>
        <w:rPr>
          <w:sz w:val="20"/>
          <w:szCs w:val="20"/>
          <w:rtl/>
        </w:rPr>
        <w:br/>
      </w:r>
      <w:r>
        <w:rPr>
          <w:rFonts w:hint="cs"/>
          <w:sz w:val="20"/>
          <w:szCs w:val="20"/>
          <w:rtl/>
        </w:rPr>
        <w:t>אם כן, כיצד ניתן לדחות את דברי המחבר שפסק כרא"ש, מכוח פירוש שונה בדברי הרי"ף?</w:t>
      </w:r>
      <w:r>
        <w:rPr>
          <w:sz w:val="20"/>
          <w:szCs w:val="20"/>
          <w:rtl/>
        </w:rPr>
        <w:br/>
      </w:r>
      <w:r>
        <w:rPr>
          <w:rFonts w:hint="cs"/>
          <w:sz w:val="20"/>
          <w:szCs w:val="20"/>
          <w:u w:val="single"/>
          <w:rtl/>
        </w:rPr>
        <w:t>לדינא</w:t>
      </w:r>
      <w:r>
        <w:rPr>
          <w:rFonts w:hint="cs"/>
          <w:sz w:val="20"/>
          <w:szCs w:val="20"/>
          <w:rtl/>
        </w:rPr>
        <w:t xml:space="preserve"> </w:t>
      </w:r>
      <w:r>
        <w:rPr>
          <w:sz w:val="20"/>
          <w:szCs w:val="20"/>
          <w:rtl/>
        </w:rPr>
        <w:t>–</w:t>
      </w:r>
      <w:r>
        <w:rPr>
          <w:rFonts w:hint="cs"/>
          <w:sz w:val="20"/>
          <w:szCs w:val="20"/>
          <w:rtl/>
        </w:rPr>
        <w:t xml:space="preserve"> במקום שנהגו להקל בבדיקות אלו אין להחמיר, כי יש להם על מי לסמוך, אך העיקר לדינא לבדוק.</w:t>
      </w:r>
    </w:p>
    <w:p w:rsidR="00620060" w:rsidRDefault="00620060" w:rsidP="00620060">
      <w:pPr>
        <w:rPr>
          <w:sz w:val="20"/>
          <w:szCs w:val="20"/>
          <w:rtl/>
        </w:rPr>
      </w:pPr>
      <w:r>
        <w:rPr>
          <w:rFonts w:hint="cs"/>
          <w:sz w:val="20"/>
          <w:szCs w:val="20"/>
          <w:u w:val="single"/>
          <w:rtl/>
        </w:rPr>
        <w:t>סייג בשיטת המקלים (פת"ש)</w:t>
      </w:r>
      <w:r>
        <w:rPr>
          <w:sz w:val="20"/>
          <w:szCs w:val="20"/>
          <w:u w:val="single"/>
          <w:rtl/>
        </w:rPr>
        <w:br/>
      </w:r>
      <w:r>
        <w:rPr>
          <w:rFonts w:hint="cs"/>
          <w:sz w:val="20"/>
          <w:szCs w:val="20"/>
          <w:rtl/>
        </w:rPr>
        <w:t xml:space="preserve">א. </w:t>
      </w:r>
      <w:r w:rsidRPr="003F0A57">
        <w:rPr>
          <w:rFonts w:hint="cs"/>
          <w:b/>
          <w:bCs/>
          <w:sz w:val="20"/>
          <w:szCs w:val="20"/>
          <w:rtl/>
        </w:rPr>
        <w:t>חוות דעת</w:t>
      </w:r>
      <w:r>
        <w:rPr>
          <w:rFonts w:hint="cs"/>
          <w:sz w:val="20"/>
          <w:szCs w:val="20"/>
          <w:rtl/>
        </w:rPr>
        <w:t xml:space="preserve"> </w:t>
      </w:r>
      <w:r>
        <w:rPr>
          <w:sz w:val="20"/>
          <w:szCs w:val="20"/>
          <w:rtl/>
        </w:rPr>
        <w:t>–</w:t>
      </w:r>
      <w:r>
        <w:rPr>
          <w:rFonts w:hint="cs"/>
          <w:sz w:val="20"/>
          <w:szCs w:val="20"/>
          <w:rtl/>
        </w:rPr>
        <w:t xml:space="preserve"> אף לשיטת המקלים לא לבדוק, היינו רק בדיקת חורים וסדקים אין צריך, אך מכל מקום צריכה לבדוק ע"י קינוח ולהשהות העד על גופה כשיעור ווסת </w:t>
      </w:r>
      <w:r w:rsidRPr="00006B2B">
        <w:rPr>
          <w:rFonts w:hint="cs"/>
          <w:sz w:val="18"/>
          <w:szCs w:val="18"/>
          <w:rtl/>
        </w:rPr>
        <w:t>(מבואר לקמן קצ')</w:t>
      </w:r>
      <w:r>
        <w:rPr>
          <w:rFonts w:hint="cs"/>
          <w:sz w:val="20"/>
          <w:szCs w:val="20"/>
          <w:rtl/>
        </w:rPr>
        <w:t xml:space="preserve"> והקינוח יהיה כשאינה שוכבת פרקדן.</w:t>
      </w:r>
      <w:r>
        <w:rPr>
          <w:rFonts w:hint="cs"/>
          <w:sz w:val="20"/>
          <w:szCs w:val="20"/>
          <w:rtl/>
        </w:rPr>
        <w:br/>
        <w:t xml:space="preserve">ב. </w:t>
      </w:r>
      <w:r w:rsidRPr="00D15BB0">
        <w:rPr>
          <w:rFonts w:hint="cs"/>
          <w:b/>
          <w:bCs/>
          <w:sz w:val="20"/>
          <w:szCs w:val="20"/>
          <w:rtl/>
        </w:rPr>
        <w:t>חוות דעת</w:t>
      </w:r>
      <w:r>
        <w:rPr>
          <w:rFonts w:hint="cs"/>
          <w:sz w:val="20"/>
          <w:szCs w:val="20"/>
          <w:rtl/>
        </w:rPr>
        <w:t xml:space="preserve"> </w:t>
      </w:r>
      <w:r>
        <w:rPr>
          <w:sz w:val="20"/>
          <w:szCs w:val="20"/>
          <w:rtl/>
        </w:rPr>
        <w:t>–</w:t>
      </w:r>
      <w:r>
        <w:rPr>
          <w:rFonts w:hint="cs"/>
          <w:sz w:val="20"/>
          <w:szCs w:val="20"/>
          <w:rtl/>
        </w:rPr>
        <w:t xml:space="preserve"> אם ראתה פעם אחת בליל התשמיש, אפילו היה זה זמן רב לאחר התשמיש, צריכה בדיקה להבא כדי שתתחזק שאינה רואה מחמת תשמיש. אם אין לה ווסת צריכה </w:t>
      </w:r>
      <w:r w:rsidRPr="00AC5FB6">
        <w:rPr>
          <w:rFonts w:cs="Arial"/>
          <w:sz w:val="20"/>
          <w:szCs w:val="20"/>
          <w:rtl/>
        </w:rPr>
        <w:t>לבדוק</w:t>
      </w:r>
      <w:r w:rsidRPr="00AC5FB6">
        <w:rPr>
          <w:rFonts w:cs="Arial" w:hint="cs"/>
          <w:sz w:val="20"/>
          <w:szCs w:val="20"/>
          <w:rtl/>
        </w:rPr>
        <w:t xml:space="preserve"> </w:t>
      </w:r>
      <w:r>
        <w:rPr>
          <w:rFonts w:hint="cs"/>
          <w:sz w:val="20"/>
          <w:szCs w:val="20"/>
          <w:rtl/>
        </w:rPr>
        <w:t>ג' פעמים, ואם יש לה ווסת די בבדיקה אחת.</w:t>
      </w:r>
    </w:p>
    <w:p w:rsidR="00620060" w:rsidRPr="009357F0" w:rsidRDefault="00620060" w:rsidP="00620060">
      <w:pPr>
        <w:rPr>
          <w:sz w:val="20"/>
          <w:szCs w:val="20"/>
          <w:rtl/>
        </w:rPr>
      </w:pPr>
      <w:r>
        <w:rPr>
          <w:rFonts w:hint="cs"/>
          <w:sz w:val="20"/>
          <w:szCs w:val="20"/>
          <w:u w:val="single"/>
          <w:rtl/>
        </w:rPr>
        <w:lastRenderedPageBreak/>
        <w:t>בדיקות למעוברת ומניקה (פת"ש)</w:t>
      </w:r>
      <w:r>
        <w:rPr>
          <w:rFonts w:hint="cs"/>
          <w:sz w:val="20"/>
          <w:szCs w:val="20"/>
          <w:u w:val="single"/>
          <w:rtl/>
        </w:rPr>
        <w:br/>
      </w:r>
      <w:r w:rsidRPr="009357F0">
        <w:rPr>
          <w:rFonts w:hint="cs"/>
          <w:b/>
          <w:bCs/>
          <w:sz w:val="20"/>
          <w:szCs w:val="20"/>
          <w:rtl/>
        </w:rPr>
        <w:t>מהר"ם פדאווה</w:t>
      </w:r>
      <w:r>
        <w:rPr>
          <w:rFonts w:hint="cs"/>
          <w:sz w:val="20"/>
          <w:szCs w:val="20"/>
          <w:rtl/>
        </w:rPr>
        <w:t xml:space="preserve"> </w:t>
      </w:r>
      <w:r>
        <w:rPr>
          <w:sz w:val="20"/>
          <w:szCs w:val="20"/>
          <w:rtl/>
        </w:rPr>
        <w:t>–</w:t>
      </w:r>
      <w:r>
        <w:rPr>
          <w:rFonts w:hint="cs"/>
          <w:sz w:val="20"/>
          <w:szCs w:val="20"/>
          <w:rtl/>
        </w:rPr>
        <w:t xml:space="preserve"> מעוברת אינה צריכה בדיקה אפילו אם אין לה ווסת קבוע, ומדבריו למד הפת"ש למניקה שאף היא אינה צריכה בדיקה.</w:t>
      </w:r>
    </w:p>
    <w:p w:rsidR="00620060" w:rsidRDefault="00620060" w:rsidP="00620060">
      <w:pPr>
        <w:rPr>
          <w:sz w:val="20"/>
          <w:szCs w:val="20"/>
          <w:rtl/>
        </w:rPr>
      </w:pPr>
      <w:r>
        <w:rPr>
          <w:rFonts w:hint="cs"/>
          <w:b/>
          <w:bCs/>
          <w:sz w:val="20"/>
          <w:szCs w:val="20"/>
          <w:rtl/>
        </w:rPr>
        <w:t>מספר הבדיקות למשמשים מיטתם כמה פעמים בלילה</w:t>
      </w:r>
      <w:r>
        <w:rPr>
          <w:rFonts w:hint="cs"/>
          <w:b/>
          <w:bCs/>
          <w:sz w:val="20"/>
          <w:szCs w:val="20"/>
          <w:rtl/>
        </w:rPr>
        <w:br/>
        <w:t xml:space="preserve">משנה </w:t>
      </w:r>
      <w:r>
        <w:rPr>
          <w:rFonts w:hint="cs"/>
          <w:sz w:val="20"/>
          <w:szCs w:val="20"/>
          <w:rtl/>
        </w:rPr>
        <w:t>נידה (טז.) "</w:t>
      </w:r>
      <w:r w:rsidRPr="005F5D26">
        <w:rPr>
          <w:rFonts w:cs="Arial" w:hint="cs"/>
          <w:sz w:val="20"/>
          <w:szCs w:val="20"/>
          <w:rtl/>
        </w:rPr>
        <w:t>בית</w:t>
      </w:r>
      <w:r w:rsidRPr="005F5D26">
        <w:rPr>
          <w:rFonts w:cs="Arial"/>
          <w:sz w:val="20"/>
          <w:szCs w:val="20"/>
          <w:rtl/>
        </w:rPr>
        <w:t xml:space="preserve"> </w:t>
      </w:r>
      <w:r w:rsidRPr="005F5D26">
        <w:rPr>
          <w:rFonts w:cs="Arial" w:hint="cs"/>
          <w:sz w:val="20"/>
          <w:szCs w:val="20"/>
          <w:rtl/>
        </w:rPr>
        <w:t>שמאי</w:t>
      </w:r>
      <w:r w:rsidRPr="005F5D26">
        <w:rPr>
          <w:rFonts w:cs="Arial"/>
          <w:sz w:val="20"/>
          <w:szCs w:val="20"/>
          <w:rtl/>
        </w:rPr>
        <w:t xml:space="preserve"> </w:t>
      </w:r>
      <w:r w:rsidRPr="005F5D26">
        <w:rPr>
          <w:rFonts w:cs="Arial" w:hint="cs"/>
          <w:sz w:val="20"/>
          <w:szCs w:val="20"/>
          <w:rtl/>
        </w:rPr>
        <w:t>אומרים</w:t>
      </w:r>
      <w:r w:rsidRPr="005F5D26">
        <w:rPr>
          <w:rFonts w:cs="Arial"/>
          <w:sz w:val="20"/>
          <w:szCs w:val="20"/>
          <w:rtl/>
        </w:rPr>
        <w:t xml:space="preserve">: </w:t>
      </w:r>
      <w:r w:rsidRPr="005F5D26">
        <w:rPr>
          <w:rFonts w:cs="Arial" w:hint="cs"/>
          <w:sz w:val="20"/>
          <w:szCs w:val="20"/>
          <w:rtl/>
        </w:rPr>
        <w:t>צריכה</w:t>
      </w:r>
      <w:r w:rsidRPr="005F5D26">
        <w:rPr>
          <w:rFonts w:cs="Arial"/>
          <w:sz w:val="20"/>
          <w:szCs w:val="20"/>
          <w:rtl/>
        </w:rPr>
        <w:t xml:space="preserve"> </w:t>
      </w:r>
      <w:r w:rsidRPr="005F5D26">
        <w:rPr>
          <w:rFonts w:cs="Arial" w:hint="cs"/>
          <w:sz w:val="20"/>
          <w:szCs w:val="20"/>
          <w:rtl/>
        </w:rPr>
        <w:t>ב</w:t>
      </w:r>
      <w:r w:rsidRPr="005F5D26">
        <w:rPr>
          <w:rFonts w:cs="Arial"/>
          <w:sz w:val="20"/>
          <w:szCs w:val="20"/>
          <w:rtl/>
        </w:rPr>
        <w:t xml:space="preserve">' </w:t>
      </w:r>
      <w:r w:rsidRPr="005F5D26">
        <w:rPr>
          <w:rFonts w:cs="Arial" w:hint="cs"/>
          <w:sz w:val="20"/>
          <w:szCs w:val="20"/>
          <w:rtl/>
        </w:rPr>
        <w:t>עדים</w:t>
      </w:r>
      <w:r w:rsidRPr="005F5D26">
        <w:rPr>
          <w:rFonts w:cs="Arial"/>
          <w:sz w:val="20"/>
          <w:szCs w:val="20"/>
          <w:rtl/>
        </w:rPr>
        <w:t xml:space="preserve"> </w:t>
      </w:r>
      <w:r w:rsidRPr="005F5D26">
        <w:rPr>
          <w:rFonts w:cs="Arial" w:hint="cs"/>
          <w:sz w:val="20"/>
          <w:szCs w:val="20"/>
          <w:rtl/>
        </w:rPr>
        <w:t>על</w:t>
      </w:r>
      <w:r w:rsidRPr="005F5D26">
        <w:rPr>
          <w:rFonts w:cs="Arial"/>
          <w:sz w:val="20"/>
          <w:szCs w:val="20"/>
          <w:rtl/>
        </w:rPr>
        <w:t xml:space="preserve"> </w:t>
      </w:r>
      <w:r w:rsidRPr="005F5D26">
        <w:rPr>
          <w:rFonts w:cs="Arial" w:hint="cs"/>
          <w:sz w:val="20"/>
          <w:szCs w:val="20"/>
          <w:rtl/>
        </w:rPr>
        <w:t>כל</w:t>
      </w:r>
      <w:r w:rsidRPr="005F5D26">
        <w:rPr>
          <w:rFonts w:cs="Arial"/>
          <w:sz w:val="20"/>
          <w:szCs w:val="20"/>
          <w:rtl/>
        </w:rPr>
        <w:t xml:space="preserve"> </w:t>
      </w:r>
      <w:r w:rsidRPr="005F5D26">
        <w:rPr>
          <w:rFonts w:cs="Arial" w:hint="cs"/>
          <w:sz w:val="20"/>
          <w:szCs w:val="20"/>
          <w:rtl/>
        </w:rPr>
        <w:t>תשמיש</w:t>
      </w:r>
      <w:r w:rsidRPr="005F5D26">
        <w:rPr>
          <w:rFonts w:cs="Arial"/>
          <w:sz w:val="20"/>
          <w:szCs w:val="20"/>
          <w:rtl/>
        </w:rPr>
        <w:t xml:space="preserve"> </w:t>
      </w:r>
      <w:r w:rsidRPr="005F5D26">
        <w:rPr>
          <w:rFonts w:cs="Arial" w:hint="cs"/>
          <w:sz w:val="20"/>
          <w:szCs w:val="20"/>
          <w:rtl/>
        </w:rPr>
        <w:t>ותשמיש</w:t>
      </w:r>
      <w:r w:rsidRPr="005F5D26">
        <w:rPr>
          <w:rFonts w:cs="Arial"/>
          <w:sz w:val="20"/>
          <w:szCs w:val="20"/>
          <w:rtl/>
        </w:rPr>
        <w:t xml:space="preserve">, </w:t>
      </w:r>
      <w:r w:rsidRPr="005F5D26">
        <w:rPr>
          <w:rFonts w:cs="Arial" w:hint="cs"/>
          <w:sz w:val="20"/>
          <w:szCs w:val="20"/>
          <w:rtl/>
        </w:rPr>
        <w:t>או</w:t>
      </w:r>
      <w:r w:rsidRPr="005F5D26">
        <w:rPr>
          <w:rFonts w:cs="Arial"/>
          <w:sz w:val="20"/>
          <w:szCs w:val="20"/>
          <w:rtl/>
        </w:rPr>
        <w:t xml:space="preserve"> </w:t>
      </w:r>
      <w:r w:rsidRPr="005F5D26">
        <w:rPr>
          <w:rFonts w:cs="Arial" w:hint="cs"/>
          <w:sz w:val="20"/>
          <w:szCs w:val="20"/>
          <w:rtl/>
        </w:rPr>
        <w:t>תשמש</w:t>
      </w:r>
      <w:r w:rsidRPr="005F5D26">
        <w:rPr>
          <w:rFonts w:cs="Arial"/>
          <w:sz w:val="20"/>
          <w:szCs w:val="20"/>
          <w:rtl/>
        </w:rPr>
        <w:t xml:space="preserve"> </w:t>
      </w:r>
      <w:r w:rsidRPr="005F5D26">
        <w:rPr>
          <w:rFonts w:cs="Arial" w:hint="cs"/>
          <w:sz w:val="20"/>
          <w:szCs w:val="20"/>
          <w:rtl/>
        </w:rPr>
        <w:t>לאור</w:t>
      </w:r>
      <w:r w:rsidRPr="005F5D26">
        <w:rPr>
          <w:rFonts w:cs="Arial"/>
          <w:sz w:val="20"/>
          <w:szCs w:val="20"/>
          <w:rtl/>
        </w:rPr>
        <w:t xml:space="preserve"> </w:t>
      </w:r>
      <w:r w:rsidRPr="005F5D26">
        <w:rPr>
          <w:rFonts w:cs="Arial" w:hint="cs"/>
          <w:sz w:val="20"/>
          <w:szCs w:val="20"/>
          <w:rtl/>
        </w:rPr>
        <w:t>הנר</w:t>
      </w:r>
      <w:r w:rsidRPr="005F5D26">
        <w:rPr>
          <w:rFonts w:cs="Arial"/>
          <w:sz w:val="20"/>
          <w:szCs w:val="20"/>
          <w:rtl/>
        </w:rPr>
        <w:t xml:space="preserve">. </w:t>
      </w:r>
      <w:r w:rsidRPr="005F5D26">
        <w:rPr>
          <w:rFonts w:cs="Arial" w:hint="cs"/>
          <w:sz w:val="20"/>
          <w:szCs w:val="20"/>
          <w:rtl/>
        </w:rPr>
        <w:t>בית</w:t>
      </w:r>
      <w:r w:rsidRPr="005F5D26">
        <w:rPr>
          <w:rFonts w:cs="Arial"/>
          <w:sz w:val="20"/>
          <w:szCs w:val="20"/>
          <w:rtl/>
        </w:rPr>
        <w:t xml:space="preserve"> </w:t>
      </w:r>
      <w:r w:rsidRPr="005F5D26">
        <w:rPr>
          <w:rFonts w:cs="Arial" w:hint="cs"/>
          <w:sz w:val="20"/>
          <w:szCs w:val="20"/>
          <w:rtl/>
        </w:rPr>
        <w:t>הלל</w:t>
      </w:r>
      <w:r w:rsidRPr="005F5D26">
        <w:rPr>
          <w:rFonts w:cs="Arial"/>
          <w:sz w:val="20"/>
          <w:szCs w:val="20"/>
          <w:rtl/>
        </w:rPr>
        <w:t xml:space="preserve"> </w:t>
      </w:r>
      <w:r w:rsidRPr="005F5D26">
        <w:rPr>
          <w:rFonts w:cs="Arial" w:hint="cs"/>
          <w:sz w:val="20"/>
          <w:szCs w:val="20"/>
          <w:rtl/>
        </w:rPr>
        <w:t>אומרים</w:t>
      </w:r>
      <w:r w:rsidRPr="005F5D26">
        <w:rPr>
          <w:rFonts w:cs="Arial"/>
          <w:sz w:val="20"/>
          <w:szCs w:val="20"/>
          <w:rtl/>
        </w:rPr>
        <w:t xml:space="preserve">: </w:t>
      </w:r>
      <w:r w:rsidRPr="005F5D26">
        <w:rPr>
          <w:rFonts w:cs="Arial" w:hint="cs"/>
          <w:sz w:val="20"/>
          <w:szCs w:val="20"/>
          <w:rtl/>
        </w:rPr>
        <w:t>דיה</w:t>
      </w:r>
      <w:r w:rsidRPr="005F5D26">
        <w:rPr>
          <w:rFonts w:cs="Arial"/>
          <w:sz w:val="20"/>
          <w:szCs w:val="20"/>
          <w:rtl/>
        </w:rPr>
        <w:t xml:space="preserve"> </w:t>
      </w:r>
      <w:r w:rsidRPr="005F5D26">
        <w:rPr>
          <w:rFonts w:cs="Arial" w:hint="cs"/>
          <w:sz w:val="20"/>
          <w:szCs w:val="20"/>
          <w:rtl/>
        </w:rPr>
        <w:t>בשני</w:t>
      </w:r>
      <w:r w:rsidRPr="005F5D26">
        <w:rPr>
          <w:rFonts w:cs="Arial"/>
          <w:sz w:val="20"/>
          <w:szCs w:val="20"/>
          <w:rtl/>
        </w:rPr>
        <w:t xml:space="preserve"> </w:t>
      </w:r>
      <w:r w:rsidRPr="005F5D26">
        <w:rPr>
          <w:rFonts w:cs="Arial" w:hint="cs"/>
          <w:sz w:val="20"/>
          <w:szCs w:val="20"/>
          <w:rtl/>
        </w:rPr>
        <w:t>עדים</w:t>
      </w:r>
      <w:r w:rsidRPr="005F5D26">
        <w:rPr>
          <w:rFonts w:cs="Arial"/>
          <w:sz w:val="20"/>
          <w:szCs w:val="20"/>
          <w:rtl/>
        </w:rPr>
        <w:t xml:space="preserve"> </w:t>
      </w:r>
      <w:r w:rsidRPr="005F5D26">
        <w:rPr>
          <w:rFonts w:cs="Arial" w:hint="cs"/>
          <w:sz w:val="20"/>
          <w:szCs w:val="20"/>
          <w:rtl/>
        </w:rPr>
        <w:t>כל</w:t>
      </w:r>
      <w:r w:rsidRPr="005F5D26">
        <w:rPr>
          <w:rFonts w:cs="Arial"/>
          <w:sz w:val="20"/>
          <w:szCs w:val="20"/>
          <w:rtl/>
        </w:rPr>
        <w:t xml:space="preserve"> </w:t>
      </w:r>
      <w:r w:rsidRPr="005F5D26">
        <w:rPr>
          <w:rFonts w:cs="Arial" w:hint="cs"/>
          <w:sz w:val="20"/>
          <w:szCs w:val="20"/>
          <w:rtl/>
        </w:rPr>
        <w:t>הלילה</w:t>
      </w:r>
      <w:r w:rsidRPr="005F5D26">
        <w:rPr>
          <w:rFonts w:cs="Arial"/>
          <w:sz w:val="20"/>
          <w:szCs w:val="20"/>
          <w:rtl/>
        </w:rPr>
        <w:t>.</w:t>
      </w:r>
      <w:r>
        <w:rPr>
          <w:rFonts w:hint="cs"/>
          <w:sz w:val="20"/>
          <w:szCs w:val="20"/>
          <w:rtl/>
        </w:rPr>
        <w:t>..</w:t>
      </w:r>
      <w:r>
        <w:rPr>
          <w:sz w:val="20"/>
          <w:szCs w:val="20"/>
          <w:rtl/>
        </w:rPr>
        <w:br/>
      </w:r>
      <w:r w:rsidRPr="003A1CF4">
        <w:rPr>
          <w:rFonts w:cs="Arial" w:hint="cs"/>
          <w:sz w:val="20"/>
          <w:szCs w:val="20"/>
          <w:rtl/>
        </w:rPr>
        <w:t>אמר</w:t>
      </w:r>
      <w:r w:rsidRPr="003A1CF4">
        <w:rPr>
          <w:rFonts w:cs="Arial"/>
          <w:sz w:val="20"/>
          <w:szCs w:val="20"/>
          <w:rtl/>
        </w:rPr>
        <w:t xml:space="preserve"> </w:t>
      </w:r>
      <w:r w:rsidRPr="003A1CF4">
        <w:rPr>
          <w:rFonts w:cs="Arial" w:hint="cs"/>
          <w:sz w:val="20"/>
          <w:szCs w:val="20"/>
          <w:rtl/>
        </w:rPr>
        <w:t>ר</w:t>
      </w:r>
      <w:r>
        <w:rPr>
          <w:rFonts w:cs="Arial" w:hint="cs"/>
          <w:sz w:val="20"/>
          <w:szCs w:val="20"/>
          <w:rtl/>
        </w:rPr>
        <w:t>בי</w:t>
      </w:r>
      <w:r w:rsidRPr="003A1CF4">
        <w:rPr>
          <w:rFonts w:cs="Arial"/>
          <w:sz w:val="20"/>
          <w:szCs w:val="20"/>
          <w:rtl/>
        </w:rPr>
        <w:t xml:space="preserve"> </w:t>
      </w:r>
      <w:r w:rsidRPr="003A1CF4">
        <w:rPr>
          <w:rFonts w:cs="Arial" w:hint="cs"/>
          <w:sz w:val="20"/>
          <w:szCs w:val="20"/>
          <w:rtl/>
        </w:rPr>
        <w:t>זירא</w:t>
      </w:r>
      <w:r w:rsidRPr="003A1CF4">
        <w:rPr>
          <w:rFonts w:cs="Arial"/>
          <w:sz w:val="20"/>
          <w:szCs w:val="20"/>
          <w:rtl/>
        </w:rPr>
        <w:t xml:space="preserve">: </w:t>
      </w:r>
      <w:r w:rsidRPr="003A1CF4">
        <w:rPr>
          <w:rFonts w:cs="Arial" w:hint="cs"/>
          <w:sz w:val="20"/>
          <w:szCs w:val="20"/>
          <w:rtl/>
        </w:rPr>
        <w:t>מדברי</w:t>
      </w:r>
      <w:r w:rsidRPr="003A1CF4">
        <w:rPr>
          <w:rFonts w:cs="Arial"/>
          <w:sz w:val="20"/>
          <w:szCs w:val="20"/>
          <w:rtl/>
        </w:rPr>
        <w:t xml:space="preserve"> </w:t>
      </w:r>
      <w:r w:rsidRPr="003A1CF4">
        <w:rPr>
          <w:rFonts w:cs="Arial" w:hint="cs"/>
          <w:sz w:val="20"/>
          <w:szCs w:val="20"/>
          <w:rtl/>
        </w:rPr>
        <w:t>כולם</w:t>
      </w:r>
      <w:r w:rsidRPr="003A1CF4">
        <w:rPr>
          <w:rFonts w:cs="Arial"/>
          <w:sz w:val="20"/>
          <w:szCs w:val="20"/>
          <w:rtl/>
        </w:rPr>
        <w:t xml:space="preserve"> </w:t>
      </w:r>
      <w:r w:rsidRPr="003A1CF4">
        <w:rPr>
          <w:rFonts w:cs="Arial" w:hint="cs"/>
          <w:sz w:val="20"/>
          <w:szCs w:val="20"/>
          <w:rtl/>
        </w:rPr>
        <w:t>נלמד</w:t>
      </w:r>
      <w:r w:rsidRPr="003A1CF4">
        <w:rPr>
          <w:rFonts w:cs="Arial"/>
          <w:sz w:val="20"/>
          <w:szCs w:val="20"/>
          <w:rtl/>
        </w:rPr>
        <w:t xml:space="preserve"> - </w:t>
      </w:r>
      <w:r w:rsidRPr="003A1CF4">
        <w:rPr>
          <w:rFonts w:cs="Arial" w:hint="cs"/>
          <w:sz w:val="20"/>
          <w:szCs w:val="20"/>
          <w:rtl/>
        </w:rPr>
        <w:t>בעל</w:t>
      </w:r>
      <w:r w:rsidRPr="003A1CF4">
        <w:rPr>
          <w:rFonts w:cs="Arial"/>
          <w:sz w:val="20"/>
          <w:szCs w:val="20"/>
          <w:rtl/>
        </w:rPr>
        <w:t xml:space="preserve"> </w:t>
      </w:r>
      <w:r w:rsidRPr="003A1CF4">
        <w:rPr>
          <w:rFonts w:cs="Arial" w:hint="cs"/>
          <w:sz w:val="20"/>
          <w:szCs w:val="20"/>
          <w:rtl/>
        </w:rPr>
        <w:t>נפש</w:t>
      </w:r>
      <w:r w:rsidRPr="003A1CF4">
        <w:rPr>
          <w:rFonts w:cs="Arial"/>
          <w:sz w:val="20"/>
          <w:szCs w:val="20"/>
          <w:rtl/>
        </w:rPr>
        <w:t xml:space="preserve"> </w:t>
      </w:r>
      <w:r w:rsidRPr="003A1CF4">
        <w:rPr>
          <w:rFonts w:cs="Arial" w:hint="cs"/>
          <w:sz w:val="20"/>
          <w:szCs w:val="20"/>
          <w:rtl/>
        </w:rPr>
        <w:t>לא</w:t>
      </w:r>
      <w:r w:rsidRPr="003A1CF4">
        <w:rPr>
          <w:rFonts w:cs="Arial"/>
          <w:sz w:val="20"/>
          <w:szCs w:val="20"/>
          <w:rtl/>
        </w:rPr>
        <w:t xml:space="preserve"> </w:t>
      </w:r>
      <w:r w:rsidRPr="003A1CF4">
        <w:rPr>
          <w:rFonts w:cs="Arial" w:hint="cs"/>
          <w:sz w:val="20"/>
          <w:szCs w:val="20"/>
          <w:rtl/>
        </w:rPr>
        <w:t>יבעול</w:t>
      </w:r>
      <w:r w:rsidRPr="003A1CF4">
        <w:rPr>
          <w:rFonts w:cs="Arial"/>
          <w:sz w:val="20"/>
          <w:szCs w:val="20"/>
          <w:rtl/>
        </w:rPr>
        <w:t xml:space="preserve"> </w:t>
      </w:r>
      <w:r w:rsidRPr="003A1CF4">
        <w:rPr>
          <w:rFonts w:cs="Arial" w:hint="cs"/>
          <w:sz w:val="20"/>
          <w:szCs w:val="20"/>
          <w:rtl/>
        </w:rPr>
        <w:t>וישנה</w:t>
      </w:r>
      <w:r>
        <w:rPr>
          <w:rFonts w:cs="Arial" w:hint="cs"/>
          <w:sz w:val="20"/>
          <w:szCs w:val="20"/>
          <w:rtl/>
        </w:rPr>
        <w:t xml:space="preserve"> </w:t>
      </w:r>
      <w:r w:rsidRPr="00815036">
        <w:rPr>
          <w:rFonts w:cs="Arial" w:hint="cs"/>
          <w:sz w:val="18"/>
          <w:szCs w:val="18"/>
          <w:rtl/>
        </w:rPr>
        <w:t>(רש"י - בלא</w:t>
      </w:r>
      <w:r w:rsidRPr="00815036">
        <w:rPr>
          <w:rFonts w:cs="Arial"/>
          <w:sz w:val="18"/>
          <w:szCs w:val="18"/>
          <w:rtl/>
        </w:rPr>
        <w:t xml:space="preserve"> </w:t>
      </w:r>
      <w:r w:rsidRPr="00815036">
        <w:rPr>
          <w:rFonts w:cs="Arial" w:hint="cs"/>
          <w:sz w:val="18"/>
          <w:szCs w:val="18"/>
          <w:rtl/>
        </w:rPr>
        <w:t>בדיקה</w:t>
      </w:r>
      <w:r w:rsidRPr="00815036">
        <w:rPr>
          <w:rFonts w:cs="Arial"/>
          <w:sz w:val="18"/>
          <w:szCs w:val="18"/>
          <w:rtl/>
        </w:rPr>
        <w:t xml:space="preserve"> </w:t>
      </w:r>
      <w:r w:rsidRPr="00815036">
        <w:rPr>
          <w:rFonts w:cs="Arial" w:hint="cs"/>
          <w:sz w:val="18"/>
          <w:szCs w:val="18"/>
          <w:rtl/>
        </w:rPr>
        <w:t>בינתים</w:t>
      </w:r>
      <w:r>
        <w:rPr>
          <w:rFonts w:cs="Arial" w:hint="cs"/>
          <w:sz w:val="18"/>
          <w:szCs w:val="18"/>
          <w:rtl/>
        </w:rPr>
        <w:t>,</w:t>
      </w:r>
      <w:r w:rsidRPr="00815036">
        <w:rPr>
          <w:rFonts w:cs="Arial"/>
          <w:sz w:val="18"/>
          <w:szCs w:val="18"/>
          <w:rtl/>
        </w:rPr>
        <w:t xml:space="preserve"> </w:t>
      </w:r>
      <w:r w:rsidRPr="00815036">
        <w:rPr>
          <w:rFonts w:cs="Arial" w:hint="cs"/>
          <w:sz w:val="18"/>
          <w:szCs w:val="18"/>
          <w:rtl/>
        </w:rPr>
        <w:t>דאפילו</w:t>
      </w:r>
      <w:r w:rsidRPr="00815036">
        <w:rPr>
          <w:rFonts w:cs="Arial"/>
          <w:sz w:val="18"/>
          <w:szCs w:val="18"/>
          <w:rtl/>
        </w:rPr>
        <w:t xml:space="preserve"> </w:t>
      </w:r>
      <w:r w:rsidRPr="00815036">
        <w:rPr>
          <w:rFonts w:cs="Arial" w:hint="cs"/>
          <w:sz w:val="18"/>
          <w:szCs w:val="18"/>
          <w:rtl/>
        </w:rPr>
        <w:t>ב</w:t>
      </w:r>
      <w:r>
        <w:rPr>
          <w:rFonts w:cs="Arial" w:hint="cs"/>
          <w:sz w:val="18"/>
          <w:szCs w:val="18"/>
          <w:rtl/>
        </w:rPr>
        <w:t xml:space="preserve">ית </w:t>
      </w:r>
      <w:r w:rsidRPr="00815036">
        <w:rPr>
          <w:rFonts w:cs="Arial" w:hint="cs"/>
          <w:sz w:val="18"/>
          <w:szCs w:val="18"/>
          <w:rtl/>
        </w:rPr>
        <w:t>ה</w:t>
      </w:r>
      <w:r>
        <w:rPr>
          <w:rFonts w:cs="Arial" w:hint="cs"/>
          <w:sz w:val="18"/>
          <w:szCs w:val="18"/>
          <w:rtl/>
        </w:rPr>
        <w:t>לל</w:t>
      </w:r>
      <w:r w:rsidRPr="00815036">
        <w:rPr>
          <w:rFonts w:cs="Arial"/>
          <w:sz w:val="18"/>
          <w:szCs w:val="18"/>
          <w:rtl/>
        </w:rPr>
        <w:t xml:space="preserve"> </w:t>
      </w:r>
      <w:r w:rsidRPr="00815036">
        <w:rPr>
          <w:rFonts w:cs="Arial" w:hint="cs"/>
          <w:sz w:val="18"/>
          <w:szCs w:val="18"/>
          <w:rtl/>
        </w:rPr>
        <w:t>מצרכי</w:t>
      </w:r>
      <w:r w:rsidRPr="00815036">
        <w:rPr>
          <w:rFonts w:cs="Arial"/>
          <w:sz w:val="18"/>
          <w:szCs w:val="18"/>
          <w:rtl/>
        </w:rPr>
        <w:t xml:space="preserve"> </w:t>
      </w:r>
      <w:r w:rsidRPr="00815036">
        <w:rPr>
          <w:rFonts w:cs="Arial" w:hint="cs"/>
          <w:sz w:val="18"/>
          <w:szCs w:val="18"/>
          <w:rtl/>
        </w:rPr>
        <w:t>בדיקה</w:t>
      </w:r>
      <w:r w:rsidRPr="00815036">
        <w:rPr>
          <w:rFonts w:cs="Arial"/>
          <w:sz w:val="18"/>
          <w:szCs w:val="18"/>
          <w:rtl/>
        </w:rPr>
        <w:t xml:space="preserve"> </w:t>
      </w:r>
      <w:r w:rsidRPr="00815036">
        <w:rPr>
          <w:rFonts w:cs="Arial" w:hint="cs"/>
          <w:sz w:val="18"/>
          <w:szCs w:val="18"/>
          <w:rtl/>
        </w:rPr>
        <w:t>לסוף</w:t>
      </w:r>
      <w:r w:rsidRPr="00815036">
        <w:rPr>
          <w:rFonts w:cs="Arial"/>
          <w:sz w:val="18"/>
          <w:szCs w:val="18"/>
          <w:rtl/>
        </w:rPr>
        <w:t xml:space="preserve"> </w:t>
      </w:r>
      <w:r w:rsidRPr="00815036">
        <w:rPr>
          <w:rFonts w:cs="Arial" w:hint="cs"/>
          <w:sz w:val="18"/>
          <w:szCs w:val="18"/>
          <w:rtl/>
        </w:rPr>
        <w:t>תשמיש</w:t>
      </w:r>
      <w:r>
        <w:rPr>
          <w:rFonts w:cs="Arial" w:hint="cs"/>
          <w:sz w:val="18"/>
          <w:szCs w:val="18"/>
          <w:rtl/>
        </w:rPr>
        <w:t>,</w:t>
      </w:r>
      <w:r w:rsidRPr="00815036">
        <w:rPr>
          <w:rFonts w:cs="Arial"/>
          <w:sz w:val="18"/>
          <w:szCs w:val="18"/>
          <w:rtl/>
        </w:rPr>
        <w:t xml:space="preserve"> </w:t>
      </w:r>
      <w:r w:rsidRPr="00815036">
        <w:rPr>
          <w:rFonts w:cs="Arial" w:hint="cs"/>
          <w:sz w:val="18"/>
          <w:szCs w:val="18"/>
          <w:rtl/>
        </w:rPr>
        <w:t>אלמא</w:t>
      </w:r>
      <w:r w:rsidRPr="00815036">
        <w:rPr>
          <w:rFonts w:cs="Arial"/>
          <w:sz w:val="18"/>
          <w:szCs w:val="18"/>
          <w:rtl/>
        </w:rPr>
        <w:t xml:space="preserve"> </w:t>
      </w:r>
      <w:r w:rsidRPr="00815036">
        <w:rPr>
          <w:rFonts w:cs="Arial" w:hint="cs"/>
          <w:sz w:val="18"/>
          <w:szCs w:val="18"/>
          <w:rtl/>
        </w:rPr>
        <w:t>חיישינן</w:t>
      </w:r>
      <w:r w:rsidRPr="00815036">
        <w:rPr>
          <w:rFonts w:cs="Arial"/>
          <w:sz w:val="18"/>
          <w:szCs w:val="18"/>
          <w:rtl/>
        </w:rPr>
        <w:t xml:space="preserve"> </w:t>
      </w:r>
      <w:r w:rsidRPr="00815036">
        <w:rPr>
          <w:rFonts w:cs="Arial" w:hint="cs"/>
          <w:sz w:val="18"/>
          <w:szCs w:val="18"/>
          <w:rtl/>
        </w:rPr>
        <w:t>לשמא</w:t>
      </w:r>
      <w:r w:rsidRPr="00815036">
        <w:rPr>
          <w:rFonts w:cs="Arial"/>
          <w:sz w:val="18"/>
          <w:szCs w:val="18"/>
          <w:rtl/>
        </w:rPr>
        <w:t xml:space="preserve"> </w:t>
      </w:r>
      <w:r w:rsidRPr="00815036">
        <w:rPr>
          <w:rFonts w:cs="Arial" w:hint="cs"/>
          <w:sz w:val="18"/>
          <w:szCs w:val="18"/>
          <w:rtl/>
        </w:rPr>
        <w:t>ראתה</w:t>
      </w:r>
      <w:r w:rsidRPr="00815036">
        <w:rPr>
          <w:rFonts w:cs="Arial"/>
          <w:sz w:val="18"/>
          <w:szCs w:val="18"/>
          <w:rtl/>
        </w:rPr>
        <w:t xml:space="preserve"> </w:t>
      </w:r>
      <w:r w:rsidRPr="00815036">
        <w:rPr>
          <w:rFonts w:cs="Arial" w:hint="cs"/>
          <w:sz w:val="18"/>
          <w:szCs w:val="18"/>
          <w:rtl/>
        </w:rPr>
        <w:t>דם</w:t>
      </w:r>
      <w:r w:rsidRPr="00815036">
        <w:rPr>
          <w:rFonts w:cs="Arial"/>
          <w:sz w:val="18"/>
          <w:szCs w:val="18"/>
          <w:rtl/>
        </w:rPr>
        <w:t xml:space="preserve"> </w:t>
      </w:r>
      <w:r w:rsidRPr="00815036">
        <w:rPr>
          <w:rFonts w:cs="Arial" w:hint="cs"/>
          <w:sz w:val="18"/>
          <w:szCs w:val="18"/>
          <w:rtl/>
        </w:rPr>
        <w:t>מחמת</w:t>
      </w:r>
      <w:r w:rsidRPr="00815036">
        <w:rPr>
          <w:rFonts w:cs="Arial"/>
          <w:sz w:val="18"/>
          <w:szCs w:val="18"/>
          <w:rtl/>
        </w:rPr>
        <w:t xml:space="preserve"> </w:t>
      </w:r>
      <w:r w:rsidRPr="00815036">
        <w:rPr>
          <w:rFonts w:cs="Arial" w:hint="cs"/>
          <w:sz w:val="18"/>
          <w:szCs w:val="18"/>
          <w:rtl/>
        </w:rPr>
        <w:t>תשמיש</w:t>
      </w:r>
      <w:r>
        <w:rPr>
          <w:rFonts w:cs="Arial" w:hint="cs"/>
          <w:sz w:val="18"/>
          <w:szCs w:val="18"/>
          <w:rtl/>
        </w:rPr>
        <w:t>,</w:t>
      </w:r>
      <w:r w:rsidRPr="00815036">
        <w:rPr>
          <w:rFonts w:cs="Arial"/>
          <w:sz w:val="18"/>
          <w:szCs w:val="18"/>
          <w:rtl/>
        </w:rPr>
        <w:t xml:space="preserve"> </w:t>
      </w:r>
      <w:r w:rsidRPr="00815036">
        <w:rPr>
          <w:rFonts w:cs="Arial" w:hint="cs"/>
          <w:sz w:val="18"/>
          <w:szCs w:val="18"/>
          <w:rtl/>
        </w:rPr>
        <w:t>אלמא</w:t>
      </w:r>
      <w:r w:rsidRPr="00815036">
        <w:rPr>
          <w:rFonts w:cs="Arial"/>
          <w:sz w:val="18"/>
          <w:szCs w:val="18"/>
          <w:rtl/>
        </w:rPr>
        <w:t xml:space="preserve"> </w:t>
      </w:r>
      <w:r w:rsidRPr="00815036">
        <w:rPr>
          <w:rFonts w:cs="Arial" w:hint="cs"/>
          <w:sz w:val="18"/>
          <w:szCs w:val="18"/>
          <w:rtl/>
        </w:rPr>
        <w:t>מי</w:t>
      </w:r>
      <w:r w:rsidRPr="00815036">
        <w:rPr>
          <w:rFonts w:cs="Arial"/>
          <w:sz w:val="18"/>
          <w:szCs w:val="18"/>
          <w:rtl/>
        </w:rPr>
        <w:t xml:space="preserve"> </w:t>
      </w:r>
      <w:r w:rsidRPr="00815036">
        <w:rPr>
          <w:rFonts w:cs="Arial" w:hint="cs"/>
          <w:sz w:val="18"/>
          <w:szCs w:val="18"/>
          <w:rtl/>
        </w:rPr>
        <w:t>שהוא</w:t>
      </w:r>
      <w:r w:rsidRPr="00815036">
        <w:rPr>
          <w:rFonts w:cs="Arial"/>
          <w:sz w:val="18"/>
          <w:szCs w:val="18"/>
          <w:rtl/>
        </w:rPr>
        <w:t xml:space="preserve"> </w:t>
      </w:r>
      <w:r w:rsidRPr="00815036">
        <w:rPr>
          <w:rFonts w:cs="Arial" w:hint="cs"/>
          <w:sz w:val="18"/>
          <w:szCs w:val="18"/>
          <w:rtl/>
        </w:rPr>
        <w:t>ירא</w:t>
      </w:r>
      <w:r w:rsidRPr="00815036">
        <w:rPr>
          <w:rFonts w:cs="Arial"/>
          <w:sz w:val="18"/>
          <w:szCs w:val="18"/>
          <w:rtl/>
        </w:rPr>
        <w:t xml:space="preserve"> </w:t>
      </w:r>
      <w:r w:rsidRPr="00815036">
        <w:rPr>
          <w:rFonts w:cs="Arial" w:hint="cs"/>
          <w:sz w:val="18"/>
          <w:szCs w:val="18"/>
          <w:rtl/>
        </w:rPr>
        <w:t>ופורש</w:t>
      </w:r>
      <w:r w:rsidRPr="00815036">
        <w:rPr>
          <w:rFonts w:cs="Arial"/>
          <w:sz w:val="18"/>
          <w:szCs w:val="18"/>
          <w:rtl/>
        </w:rPr>
        <w:t xml:space="preserve"> </w:t>
      </w:r>
      <w:r w:rsidRPr="00815036">
        <w:rPr>
          <w:rFonts w:cs="Arial" w:hint="cs"/>
          <w:sz w:val="18"/>
          <w:szCs w:val="18"/>
          <w:rtl/>
        </w:rPr>
        <w:t>מספק</w:t>
      </w:r>
      <w:r w:rsidRPr="00815036">
        <w:rPr>
          <w:rFonts w:cs="Arial"/>
          <w:sz w:val="18"/>
          <w:szCs w:val="18"/>
          <w:rtl/>
        </w:rPr>
        <w:t xml:space="preserve"> </w:t>
      </w:r>
      <w:r w:rsidRPr="00815036">
        <w:rPr>
          <w:rFonts w:cs="Arial" w:hint="cs"/>
          <w:sz w:val="18"/>
          <w:szCs w:val="18"/>
          <w:rtl/>
        </w:rPr>
        <w:t>איסור</w:t>
      </w:r>
      <w:r w:rsidRPr="00815036">
        <w:rPr>
          <w:rFonts w:cs="Arial"/>
          <w:sz w:val="18"/>
          <w:szCs w:val="18"/>
          <w:rtl/>
        </w:rPr>
        <w:t xml:space="preserve"> </w:t>
      </w:r>
      <w:r w:rsidRPr="00815036">
        <w:rPr>
          <w:rFonts w:cs="Arial" w:hint="cs"/>
          <w:sz w:val="18"/>
          <w:szCs w:val="18"/>
          <w:rtl/>
        </w:rPr>
        <w:t>לא</w:t>
      </w:r>
      <w:r w:rsidRPr="00815036">
        <w:rPr>
          <w:rFonts w:cs="Arial"/>
          <w:sz w:val="18"/>
          <w:szCs w:val="18"/>
          <w:rtl/>
        </w:rPr>
        <w:t xml:space="preserve"> </w:t>
      </w:r>
      <w:r w:rsidRPr="00815036">
        <w:rPr>
          <w:rFonts w:cs="Arial" w:hint="cs"/>
          <w:sz w:val="18"/>
          <w:szCs w:val="18"/>
          <w:rtl/>
        </w:rPr>
        <w:t>יבעול</w:t>
      </w:r>
      <w:r w:rsidRPr="00815036">
        <w:rPr>
          <w:rFonts w:cs="Arial"/>
          <w:sz w:val="18"/>
          <w:szCs w:val="18"/>
          <w:rtl/>
        </w:rPr>
        <w:t xml:space="preserve"> </w:t>
      </w:r>
      <w:r w:rsidRPr="00815036">
        <w:rPr>
          <w:rFonts w:cs="Arial" w:hint="cs"/>
          <w:sz w:val="18"/>
          <w:szCs w:val="18"/>
          <w:rtl/>
        </w:rPr>
        <w:t>וישנה)</w:t>
      </w:r>
      <w:r w:rsidRPr="003A1CF4">
        <w:rPr>
          <w:rFonts w:cs="Arial"/>
          <w:sz w:val="20"/>
          <w:szCs w:val="20"/>
          <w:rtl/>
        </w:rPr>
        <w:t xml:space="preserve">. </w:t>
      </w:r>
      <w:r w:rsidRPr="003A1CF4">
        <w:rPr>
          <w:rFonts w:cs="Arial" w:hint="cs"/>
          <w:sz w:val="20"/>
          <w:szCs w:val="20"/>
          <w:rtl/>
        </w:rPr>
        <w:t>רבא</w:t>
      </w:r>
      <w:r w:rsidRPr="003A1CF4">
        <w:rPr>
          <w:rFonts w:cs="Arial"/>
          <w:sz w:val="20"/>
          <w:szCs w:val="20"/>
          <w:rtl/>
        </w:rPr>
        <w:t xml:space="preserve"> </w:t>
      </w:r>
      <w:r w:rsidRPr="003A1CF4">
        <w:rPr>
          <w:rFonts w:cs="Arial" w:hint="cs"/>
          <w:sz w:val="20"/>
          <w:szCs w:val="20"/>
          <w:rtl/>
        </w:rPr>
        <w:t>אמר</w:t>
      </w:r>
      <w:r w:rsidRPr="003A1CF4">
        <w:rPr>
          <w:rFonts w:cs="Arial"/>
          <w:sz w:val="20"/>
          <w:szCs w:val="20"/>
          <w:rtl/>
        </w:rPr>
        <w:t xml:space="preserve">: </w:t>
      </w:r>
      <w:r w:rsidRPr="003A1CF4">
        <w:rPr>
          <w:rFonts w:cs="Arial" w:hint="cs"/>
          <w:sz w:val="20"/>
          <w:szCs w:val="20"/>
          <w:rtl/>
        </w:rPr>
        <w:t>בועל</w:t>
      </w:r>
      <w:r w:rsidRPr="003A1CF4">
        <w:rPr>
          <w:rFonts w:cs="Arial"/>
          <w:sz w:val="20"/>
          <w:szCs w:val="20"/>
          <w:rtl/>
        </w:rPr>
        <w:t xml:space="preserve"> </w:t>
      </w:r>
      <w:r w:rsidRPr="003A1CF4">
        <w:rPr>
          <w:rFonts w:cs="Arial" w:hint="cs"/>
          <w:sz w:val="20"/>
          <w:szCs w:val="20"/>
          <w:rtl/>
        </w:rPr>
        <w:t>ושונה</w:t>
      </w:r>
      <w:r w:rsidRPr="003A1CF4">
        <w:rPr>
          <w:rFonts w:cs="Arial"/>
          <w:sz w:val="20"/>
          <w:szCs w:val="20"/>
          <w:rtl/>
        </w:rPr>
        <w:t xml:space="preserve">, </w:t>
      </w:r>
      <w:r w:rsidRPr="003A1CF4">
        <w:rPr>
          <w:rFonts w:cs="Arial" w:hint="cs"/>
          <w:sz w:val="20"/>
          <w:szCs w:val="20"/>
          <w:rtl/>
        </w:rPr>
        <w:t>כי</w:t>
      </w:r>
      <w:r w:rsidRPr="003A1CF4">
        <w:rPr>
          <w:rFonts w:cs="Arial"/>
          <w:sz w:val="20"/>
          <w:szCs w:val="20"/>
          <w:rtl/>
        </w:rPr>
        <w:t xml:space="preserve"> </w:t>
      </w:r>
      <w:r w:rsidRPr="003A1CF4">
        <w:rPr>
          <w:rFonts w:cs="Arial" w:hint="cs"/>
          <w:sz w:val="20"/>
          <w:szCs w:val="20"/>
          <w:rtl/>
        </w:rPr>
        <w:t>תניא</w:t>
      </w:r>
      <w:r w:rsidRPr="003A1CF4">
        <w:rPr>
          <w:rFonts w:cs="Arial"/>
          <w:sz w:val="20"/>
          <w:szCs w:val="20"/>
          <w:rtl/>
        </w:rPr>
        <w:t xml:space="preserve"> </w:t>
      </w:r>
      <w:r w:rsidRPr="003A1CF4">
        <w:rPr>
          <w:rFonts w:cs="Arial" w:hint="cs"/>
          <w:sz w:val="20"/>
          <w:szCs w:val="20"/>
          <w:rtl/>
        </w:rPr>
        <w:t>ההיא</w:t>
      </w:r>
      <w:r w:rsidRPr="003A1CF4">
        <w:rPr>
          <w:rFonts w:cs="Arial"/>
          <w:sz w:val="20"/>
          <w:szCs w:val="20"/>
          <w:rtl/>
        </w:rPr>
        <w:t xml:space="preserve"> - </w:t>
      </w:r>
      <w:r w:rsidRPr="003A1CF4">
        <w:rPr>
          <w:rFonts w:cs="Arial" w:hint="cs"/>
          <w:sz w:val="20"/>
          <w:szCs w:val="20"/>
          <w:rtl/>
        </w:rPr>
        <w:t>לטהרות</w:t>
      </w:r>
      <w:r w:rsidRPr="003A1CF4">
        <w:rPr>
          <w:rFonts w:cs="Arial"/>
          <w:sz w:val="20"/>
          <w:szCs w:val="20"/>
          <w:rtl/>
        </w:rPr>
        <w:t xml:space="preserve">. </w:t>
      </w:r>
      <w:r w:rsidRPr="003A1CF4">
        <w:rPr>
          <w:rFonts w:cs="Arial" w:hint="cs"/>
          <w:sz w:val="20"/>
          <w:szCs w:val="20"/>
          <w:rtl/>
        </w:rPr>
        <w:t>תניא</w:t>
      </w:r>
      <w:r w:rsidRPr="003A1CF4">
        <w:rPr>
          <w:rFonts w:cs="Arial"/>
          <w:sz w:val="20"/>
          <w:szCs w:val="20"/>
          <w:rtl/>
        </w:rPr>
        <w:t xml:space="preserve"> </w:t>
      </w:r>
      <w:r w:rsidRPr="003A1CF4">
        <w:rPr>
          <w:rFonts w:cs="Arial" w:hint="cs"/>
          <w:sz w:val="20"/>
          <w:szCs w:val="20"/>
          <w:rtl/>
        </w:rPr>
        <w:t>נמי</w:t>
      </w:r>
      <w:r w:rsidRPr="003A1CF4">
        <w:rPr>
          <w:rFonts w:cs="Arial"/>
          <w:sz w:val="20"/>
          <w:szCs w:val="20"/>
          <w:rtl/>
        </w:rPr>
        <w:t xml:space="preserve"> </w:t>
      </w:r>
      <w:r w:rsidRPr="003A1CF4">
        <w:rPr>
          <w:rFonts w:cs="Arial" w:hint="cs"/>
          <w:sz w:val="20"/>
          <w:szCs w:val="20"/>
          <w:rtl/>
        </w:rPr>
        <w:t>הכי</w:t>
      </w:r>
      <w:r w:rsidRPr="003A1CF4">
        <w:rPr>
          <w:rFonts w:cs="Arial"/>
          <w:sz w:val="20"/>
          <w:szCs w:val="20"/>
          <w:rtl/>
        </w:rPr>
        <w:t xml:space="preserve">: </w:t>
      </w:r>
      <w:r w:rsidRPr="003A1CF4">
        <w:rPr>
          <w:rFonts w:cs="Arial" w:hint="cs"/>
          <w:sz w:val="20"/>
          <w:szCs w:val="20"/>
          <w:rtl/>
        </w:rPr>
        <w:t>ב</w:t>
      </w:r>
      <w:r>
        <w:rPr>
          <w:rFonts w:cs="Arial" w:hint="cs"/>
          <w:sz w:val="20"/>
          <w:szCs w:val="20"/>
          <w:rtl/>
        </w:rPr>
        <w:t xml:space="preserve">מה דברים </w:t>
      </w:r>
      <w:r w:rsidRPr="003A1CF4">
        <w:rPr>
          <w:rFonts w:cs="Arial" w:hint="cs"/>
          <w:sz w:val="20"/>
          <w:szCs w:val="20"/>
          <w:rtl/>
        </w:rPr>
        <w:t>א</w:t>
      </w:r>
      <w:r>
        <w:rPr>
          <w:rFonts w:cs="Arial" w:hint="cs"/>
          <w:sz w:val="20"/>
          <w:szCs w:val="20"/>
          <w:rtl/>
        </w:rPr>
        <w:t>מורים</w:t>
      </w:r>
      <w:r w:rsidRPr="003A1CF4">
        <w:rPr>
          <w:rFonts w:cs="Arial"/>
          <w:sz w:val="20"/>
          <w:szCs w:val="20"/>
          <w:rtl/>
        </w:rPr>
        <w:t xml:space="preserve"> - </w:t>
      </w:r>
      <w:r w:rsidRPr="003A1CF4">
        <w:rPr>
          <w:rFonts w:cs="Arial" w:hint="cs"/>
          <w:sz w:val="20"/>
          <w:szCs w:val="20"/>
          <w:rtl/>
        </w:rPr>
        <w:t>לטהרות</w:t>
      </w:r>
      <w:r w:rsidRPr="003A1CF4">
        <w:rPr>
          <w:rFonts w:cs="Arial"/>
          <w:sz w:val="20"/>
          <w:szCs w:val="20"/>
          <w:rtl/>
        </w:rPr>
        <w:t xml:space="preserve">, </w:t>
      </w:r>
      <w:r w:rsidRPr="003A1CF4">
        <w:rPr>
          <w:rFonts w:cs="Arial" w:hint="cs"/>
          <w:sz w:val="20"/>
          <w:szCs w:val="20"/>
          <w:rtl/>
        </w:rPr>
        <w:t>אבל</w:t>
      </w:r>
      <w:r w:rsidRPr="003A1CF4">
        <w:rPr>
          <w:rFonts w:cs="Arial"/>
          <w:sz w:val="20"/>
          <w:szCs w:val="20"/>
          <w:rtl/>
        </w:rPr>
        <w:t xml:space="preserve"> </w:t>
      </w:r>
      <w:r w:rsidRPr="003A1CF4">
        <w:rPr>
          <w:rFonts w:cs="Arial" w:hint="cs"/>
          <w:sz w:val="20"/>
          <w:szCs w:val="20"/>
          <w:rtl/>
        </w:rPr>
        <w:t>לבעלה</w:t>
      </w:r>
      <w:r w:rsidRPr="003A1CF4">
        <w:rPr>
          <w:rFonts w:cs="Arial"/>
          <w:sz w:val="20"/>
          <w:szCs w:val="20"/>
          <w:rtl/>
        </w:rPr>
        <w:t xml:space="preserve"> </w:t>
      </w:r>
      <w:r>
        <w:rPr>
          <w:rFonts w:cs="Arial"/>
          <w:sz w:val="20"/>
          <w:szCs w:val="20"/>
          <w:rtl/>
        </w:rPr>
        <w:t>–</w:t>
      </w:r>
      <w:r w:rsidRPr="003A1CF4">
        <w:rPr>
          <w:rFonts w:cs="Arial"/>
          <w:sz w:val="20"/>
          <w:szCs w:val="20"/>
          <w:rtl/>
        </w:rPr>
        <w:t xml:space="preserve"> </w:t>
      </w:r>
      <w:r w:rsidRPr="003A1CF4">
        <w:rPr>
          <w:rFonts w:cs="Arial" w:hint="cs"/>
          <w:sz w:val="20"/>
          <w:szCs w:val="20"/>
          <w:rtl/>
        </w:rPr>
        <w:t>מותרת</w:t>
      </w:r>
      <w:r>
        <w:rPr>
          <w:rFonts w:cs="Arial" w:hint="cs"/>
          <w:sz w:val="20"/>
          <w:szCs w:val="20"/>
          <w:rtl/>
        </w:rPr>
        <w:t>"</w:t>
      </w:r>
      <w:r w:rsidRPr="003A1CF4">
        <w:rPr>
          <w:rFonts w:cs="Arial"/>
          <w:sz w:val="20"/>
          <w:szCs w:val="20"/>
          <w:rtl/>
        </w:rPr>
        <w:t>.</w:t>
      </w:r>
    </w:p>
    <w:p w:rsidR="00620060" w:rsidRDefault="00620060" w:rsidP="00620060">
      <w:pPr>
        <w:rPr>
          <w:sz w:val="20"/>
          <w:szCs w:val="20"/>
          <w:rtl/>
        </w:rPr>
      </w:pPr>
      <w:r w:rsidRPr="00AC5FB6">
        <w:rPr>
          <w:rFonts w:hint="cs"/>
          <w:b/>
          <w:bCs/>
          <w:sz w:val="20"/>
          <w:szCs w:val="20"/>
          <w:rtl/>
        </w:rPr>
        <w:t>שיטות הראשונים</w:t>
      </w:r>
      <w:r>
        <w:rPr>
          <w:rFonts w:hint="cs"/>
          <w:sz w:val="20"/>
          <w:szCs w:val="20"/>
          <w:u w:val="single"/>
          <w:rtl/>
        </w:rPr>
        <w:br/>
      </w:r>
      <w:r>
        <w:rPr>
          <w:rFonts w:hint="cs"/>
          <w:sz w:val="20"/>
          <w:szCs w:val="20"/>
          <w:rtl/>
        </w:rPr>
        <w:t>האם מותר לשמש כמה פעמים ללא בדיקה בינתיים?</w:t>
      </w:r>
      <w:r>
        <w:rPr>
          <w:sz w:val="20"/>
          <w:szCs w:val="20"/>
          <w:u w:val="single"/>
          <w:rtl/>
        </w:rPr>
        <w:br/>
      </w:r>
      <w:r>
        <w:rPr>
          <w:rFonts w:hint="cs"/>
          <w:sz w:val="20"/>
          <w:szCs w:val="20"/>
          <w:rtl/>
        </w:rPr>
        <w:t xml:space="preserve">א. </w:t>
      </w:r>
      <w:r w:rsidRPr="0015648A">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אסור, הלכה כרבי זירא שיש לבדוק לאחר כל תשמיש.</w:t>
      </w:r>
      <w:r>
        <w:rPr>
          <w:sz w:val="20"/>
          <w:szCs w:val="20"/>
          <w:rtl/>
        </w:rPr>
        <w:br/>
      </w:r>
      <w:r w:rsidRPr="0015648A">
        <w:rPr>
          <w:rFonts w:hint="cs"/>
          <w:b/>
          <w:bCs/>
          <w:sz w:val="20"/>
          <w:szCs w:val="20"/>
          <w:rtl/>
        </w:rPr>
        <w:t>הסבר</w:t>
      </w:r>
      <w:r>
        <w:rPr>
          <w:rFonts w:hint="cs"/>
          <w:sz w:val="20"/>
          <w:szCs w:val="20"/>
          <w:rtl/>
        </w:rPr>
        <w:t xml:space="preserve"> </w:t>
      </w:r>
      <w:r>
        <w:rPr>
          <w:sz w:val="20"/>
          <w:szCs w:val="20"/>
          <w:rtl/>
        </w:rPr>
        <w:t>–</w:t>
      </w:r>
      <w:r>
        <w:rPr>
          <w:rFonts w:hint="cs"/>
          <w:sz w:val="20"/>
          <w:szCs w:val="20"/>
          <w:rtl/>
        </w:rPr>
        <w:t xml:space="preserve"> הרמב"ם פוסק כדעת רבי זירא שכל דיני בדיקה נאמרו אף לבעלה, ואע"פ שרבי זירא אמר את הוראתו רק ל'בעל נפש', מבין הרמב"ם שזו שורת הדין ואינה מידת חסידות.</w:t>
      </w:r>
      <w:r>
        <w:rPr>
          <w:rFonts w:hint="cs"/>
          <w:sz w:val="20"/>
          <w:szCs w:val="20"/>
          <w:rtl/>
        </w:rPr>
        <w:br/>
        <w:t xml:space="preserve">ב. </w:t>
      </w:r>
      <w:r w:rsidRPr="00B853A9">
        <w:rPr>
          <w:rFonts w:hint="cs"/>
          <w:b/>
          <w:bCs/>
          <w:sz w:val="20"/>
          <w:szCs w:val="20"/>
          <w:rtl/>
        </w:rPr>
        <w:t>רמב"ן ורשב"א</w:t>
      </w:r>
      <w:r>
        <w:rPr>
          <w:rFonts w:hint="cs"/>
          <w:sz w:val="20"/>
          <w:szCs w:val="20"/>
          <w:rtl/>
        </w:rPr>
        <w:t xml:space="preserve"> </w:t>
      </w:r>
      <w:r>
        <w:rPr>
          <w:sz w:val="20"/>
          <w:szCs w:val="20"/>
          <w:rtl/>
        </w:rPr>
        <w:t>–</w:t>
      </w:r>
      <w:r>
        <w:rPr>
          <w:rFonts w:hint="cs"/>
          <w:sz w:val="20"/>
          <w:szCs w:val="20"/>
          <w:rtl/>
        </w:rPr>
        <w:t xml:space="preserve"> מותר, הלכה כרבא שמחלוקת ב"ש וב"ה היא לגבי טהרות, אך לבעלה אין צריך בדיקה.</w:t>
      </w:r>
    </w:p>
    <w:p w:rsidR="00620060" w:rsidRDefault="00620060" w:rsidP="00620060">
      <w:pPr>
        <w:rPr>
          <w:sz w:val="20"/>
          <w:szCs w:val="20"/>
          <w:rtl/>
        </w:rPr>
      </w:pPr>
      <w:r>
        <w:rPr>
          <w:rFonts w:hint="cs"/>
          <w:b/>
          <w:bCs/>
          <w:sz w:val="20"/>
          <w:szCs w:val="20"/>
          <w:rtl/>
        </w:rPr>
        <w:t>פסיקת הלכה</w:t>
      </w:r>
      <w:r w:rsidRPr="00573D0D">
        <w:rPr>
          <w:rStyle w:val="a5"/>
          <w:sz w:val="20"/>
          <w:szCs w:val="20"/>
          <w:rtl/>
        </w:rPr>
        <w:footnoteReference w:id="80"/>
      </w:r>
      <w:r>
        <w:rPr>
          <w:b/>
          <w:bCs/>
          <w:sz w:val="20"/>
          <w:szCs w:val="20"/>
          <w:rtl/>
        </w:rPr>
        <w:br/>
      </w:r>
      <w:r>
        <w:rPr>
          <w:rFonts w:hint="cs"/>
          <w:b/>
          <w:bCs/>
          <w:sz w:val="20"/>
          <w:szCs w:val="20"/>
          <w:rtl/>
        </w:rPr>
        <w:t xml:space="preserve">רמ"א </w:t>
      </w:r>
      <w:r w:rsidRPr="003B61A0">
        <w:rPr>
          <w:rFonts w:hint="cs"/>
          <w:sz w:val="18"/>
          <w:szCs w:val="18"/>
          <w:rtl/>
        </w:rPr>
        <w:t xml:space="preserve">(מביא את שיטת </w:t>
      </w:r>
      <w:r w:rsidRPr="00A01A7B">
        <w:rPr>
          <w:rFonts w:hint="cs"/>
          <w:b/>
          <w:bCs/>
          <w:sz w:val="18"/>
          <w:szCs w:val="18"/>
          <w:rtl/>
        </w:rPr>
        <w:t>הרמב"ם</w:t>
      </w:r>
      <w:r w:rsidRPr="003B61A0">
        <w:rPr>
          <w:rFonts w:hint="cs"/>
          <w:sz w:val="18"/>
          <w:szCs w:val="18"/>
          <w:rtl/>
        </w:rPr>
        <w:t xml:space="preserve"> אליבא דבית הלל) </w:t>
      </w:r>
      <w:r>
        <w:rPr>
          <w:rFonts w:hint="cs"/>
          <w:sz w:val="20"/>
          <w:szCs w:val="20"/>
          <w:rtl/>
        </w:rPr>
        <w:t xml:space="preserve">- </w:t>
      </w:r>
      <w:r w:rsidRPr="00A01A7B">
        <w:rPr>
          <w:rFonts w:hint="cs"/>
          <w:sz w:val="18"/>
          <w:szCs w:val="18"/>
          <w:rtl/>
        </w:rPr>
        <w:t>"</w:t>
      </w:r>
      <w:r w:rsidRPr="00A01A7B">
        <w:rPr>
          <w:rFonts w:cs="Arial" w:hint="cs"/>
          <w:sz w:val="18"/>
          <w:szCs w:val="18"/>
          <w:rtl/>
        </w:rPr>
        <w:t>ואין</w:t>
      </w:r>
      <w:r w:rsidRPr="00A01A7B">
        <w:rPr>
          <w:rFonts w:cs="Arial"/>
          <w:sz w:val="18"/>
          <w:szCs w:val="18"/>
          <w:rtl/>
        </w:rPr>
        <w:t xml:space="preserve"> </w:t>
      </w:r>
      <w:r w:rsidRPr="00A01A7B">
        <w:rPr>
          <w:rFonts w:cs="Arial" w:hint="cs"/>
          <w:sz w:val="18"/>
          <w:szCs w:val="18"/>
          <w:rtl/>
        </w:rPr>
        <w:t>צריכין</w:t>
      </w:r>
      <w:r w:rsidRPr="00A01A7B">
        <w:rPr>
          <w:rFonts w:cs="Arial"/>
          <w:sz w:val="18"/>
          <w:szCs w:val="18"/>
          <w:rtl/>
        </w:rPr>
        <w:t xml:space="preserve"> </w:t>
      </w:r>
      <w:r w:rsidRPr="00A01A7B">
        <w:rPr>
          <w:rFonts w:cs="Arial" w:hint="cs"/>
          <w:sz w:val="18"/>
          <w:szCs w:val="18"/>
          <w:rtl/>
        </w:rPr>
        <w:t>לבדוק</w:t>
      </w:r>
      <w:r w:rsidRPr="00A01A7B">
        <w:rPr>
          <w:rFonts w:cs="Arial"/>
          <w:sz w:val="18"/>
          <w:szCs w:val="18"/>
          <w:rtl/>
        </w:rPr>
        <w:t xml:space="preserve"> </w:t>
      </w:r>
      <w:r w:rsidRPr="00A01A7B">
        <w:rPr>
          <w:rFonts w:cs="Arial" w:hint="cs"/>
          <w:sz w:val="18"/>
          <w:szCs w:val="18"/>
          <w:rtl/>
        </w:rPr>
        <w:t>עצמם</w:t>
      </w:r>
      <w:r w:rsidRPr="00A01A7B">
        <w:rPr>
          <w:rFonts w:cs="Arial"/>
          <w:sz w:val="18"/>
          <w:szCs w:val="18"/>
          <w:rtl/>
        </w:rPr>
        <w:t xml:space="preserve"> </w:t>
      </w:r>
      <w:r w:rsidRPr="00A01A7B">
        <w:rPr>
          <w:rFonts w:cs="Arial" w:hint="cs"/>
          <w:sz w:val="18"/>
          <w:szCs w:val="18"/>
          <w:rtl/>
        </w:rPr>
        <w:t>אחר</w:t>
      </w:r>
      <w:r w:rsidRPr="00A01A7B">
        <w:rPr>
          <w:rFonts w:cs="Arial"/>
          <w:sz w:val="18"/>
          <w:szCs w:val="18"/>
          <w:rtl/>
        </w:rPr>
        <w:t xml:space="preserve"> </w:t>
      </w:r>
      <w:r w:rsidRPr="00A01A7B">
        <w:rPr>
          <w:rFonts w:cs="Arial" w:hint="cs"/>
          <w:sz w:val="18"/>
          <w:szCs w:val="18"/>
          <w:rtl/>
        </w:rPr>
        <w:t>כל</w:t>
      </w:r>
      <w:r w:rsidRPr="00A01A7B">
        <w:rPr>
          <w:rFonts w:cs="Arial"/>
          <w:sz w:val="18"/>
          <w:szCs w:val="18"/>
          <w:rtl/>
        </w:rPr>
        <w:t xml:space="preserve"> </w:t>
      </w:r>
      <w:r w:rsidRPr="00A01A7B">
        <w:rPr>
          <w:rFonts w:cs="Arial" w:hint="cs"/>
          <w:sz w:val="18"/>
          <w:szCs w:val="18"/>
          <w:rtl/>
        </w:rPr>
        <w:t>תשמיש</w:t>
      </w:r>
      <w:r w:rsidRPr="00A01A7B">
        <w:rPr>
          <w:rFonts w:cs="Arial"/>
          <w:sz w:val="18"/>
          <w:szCs w:val="18"/>
          <w:rtl/>
        </w:rPr>
        <w:t xml:space="preserve"> </w:t>
      </w:r>
      <w:r w:rsidRPr="00A01A7B">
        <w:rPr>
          <w:rFonts w:cs="Arial" w:hint="cs"/>
          <w:sz w:val="18"/>
          <w:szCs w:val="18"/>
          <w:rtl/>
        </w:rPr>
        <w:t>ותשמיש</w:t>
      </w:r>
      <w:r w:rsidRPr="00A01A7B">
        <w:rPr>
          <w:rFonts w:cs="Arial"/>
          <w:sz w:val="18"/>
          <w:szCs w:val="18"/>
          <w:rtl/>
        </w:rPr>
        <w:t xml:space="preserve"> </w:t>
      </w:r>
      <w:r w:rsidRPr="00A01A7B">
        <w:rPr>
          <w:rFonts w:cs="Arial" w:hint="cs"/>
          <w:sz w:val="18"/>
          <w:szCs w:val="18"/>
          <w:rtl/>
        </w:rPr>
        <w:t>שעושין</w:t>
      </w:r>
      <w:r w:rsidRPr="00A01A7B">
        <w:rPr>
          <w:rFonts w:cs="Arial"/>
          <w:sz w:val="18"/>
          <w:szCs w:val="18"/>
          <w:rtl/>
        </w:rPr>
        <w:t xml:space="preserve"> </w:t>
      </w:r>
      <w:r w:rsidRPr="00A01A7B">
        <w:rPr>
          <w:rFonts w:cs="Arial" w:hint="cs"/>
          <w:sz w:val="18"/>
          <w:szCs w:val="18"/>
          <w:rtl/>
        </w:rPr>
        <w:t>בלילה</w:t>
      </w:r>
      <w:r w:rsidRPr="00A01A7B">
        <w:rPr>
          <w:rFonts w:cs="Arial"/>
          <w:sz w:val="18"/>
          <w:szCs w:val="18"/>
          <w:rtl/>
        </w:rPr>
        <w:t xml:space="preserve"> </w:t>
      </w:r>
      <w:r w:rsidRPr="00A01A7B">
        <w:rPr>
          <w:rFonts w:cs="Arial" w:hint="cs"/>
          <w:sz w:val="18"/>
          <w:szCs w:val="18"/>
          <w:rtl/>
        </w:rPr>
        <w:t>אחת</w:t>
      </w:r>
      <w:r w:rsidRPr="00A01A7B">
        <w:rPr>
          <w:rFonts w:cs="Arial"/>
          <w:sz w:val="18"/>
          <w:szCs w:val="18"/>
          <w:rtl/>
        </w:rPr>
        <w:t xml:space="preserve">, </w:t>
      </w:r>
      <w:r w:rsidRPr="00A01A7B">
        <w:rPr>
          <w:rFonts w:cs="Arial" w:hint="cs"/>
          <w:sz w:val="18"/>
          <w:szCs w:val="18"/>
          <w:rtl/>
        </w:rPr>
        <w:t>אלא</w:t>
      </w:r>
      <w:r w:rsidRPr="00A01A7B">
        <w:rPr>
          <w:rFonts w:cs="Arial"/>
          <w:sz w:val="18"/>
          <w:szCs w:val="18"/>
          <w:rtl/>
        </w:rPr>
        <w:t xml:space="preserve"> </w:t>
      </w:r>
      <w:r w:rsidRPr="00A01A7B">
        <w:rPr>
          <w:rFonts w:cs="Arial" w:hint="cs"/>
          <w:sz w:val="18"/>
          <w:szCs w:val="18"/>
          <w:rtl/>
        </w:rPr>
        <w:t>מקנחין</w:t>
      </w:r>
      <w:r w:rsidRPr="00A01A7B">
        <w:rPr>
          <w:rFonts w:cs="Arial"/>
          <w:sz w:val="18"/>
          <w:szCs w:val="18"/>
          <w:rtl/>
        </w:rPr>
        <w:t xml:space="preserve"> </w:t>
      </w:r>
      <w:r w:rsidRPr="00A01A7B">
        <w:rPr>
          <w:rFonts w:cs="Arial" w:hint="cs"/>
          <w:sz w:val="18"/>
          <w:szCs w:val="18"/>
          <w:rtl/>
        </w:rPr>
        <w:t>עצמן</w:t>
      </w:r>
      <w:r w:rsidRPr="00A01A7B">
        <w:rPr>
          <w:rFonts w:cs="Arial"/>
          <w:sz w:val="18"/>
          <w:szCs w:val="18"/>
          <w:rtl/>
        </w:rPr>
        <w:t xml:space="preserve"> </w:t>
      </w:r>
      <w:r w:rsidRPr="00A01A7B">
        <w:rPr>
          <w:rFonts w:cs="Arial" w:hint="cs"/>
          <w:sz w:val="18"/>
          <w:szCs w:val="18"/>
          <w:rtl/>
        </w:rPr>
        <w:t>כל</w:t>
      </w:r>
      <w:r w:rsidRPr="00A01A7B">
        <w:rPr>
          <w:rFonts w:cs="Arial"/>
          <w:sz w:val="18"/>
          <w:szCs w:val="18"/>
          <w:rtl/>
        </w:rPr>
        <w:t xml:space="preserve"> </w:t>
      </w:r>
      <w:r w:rsidRPr="00A01A7B">
        <w:rPr>
          <w:rFonts w:cs="Arial" w:hint="cs"/>
          <w:sz w:val="18"/>
          <w:szCs w:val="18"/>
          <w:rtl/>
        </w:rPr>
        <w:t>הלילה</w:t>
      </w:r>
      <w:r w:rsidRPr="00A01A7B">
        <w:rPr>
          <w:rFonts w:cs="Arial"/>
          <w:sz w:val="18"/>
          <w:szCs w:val="18"/>
          <w:rtl/>
        </w:rPr>
        <w:t xml:space="preserve"> </w:t>
      </w:r>
      <w:r w:rsidRPr="00A01A7B">
        <w:rPr>
          <w:rFonts w:cs="Arial" w:hint="cs"/>
          <w:sz w:val="18"/>
          <w:szCs w:val="18"/>
          <w:rtl/>
        </w:rPr>
        <w:t>בעד</w:t>
      </w:r>
      <w:r w:rsidRPr="00A01A7B">
        <w:rPr>
          <w:rFonts w:cs="Arial"/>
          <w:sz w:val="18"/>
          <w:szCs w:val="18"/>
          <w:rtl/>
        </w:rPr>
        <w:t xml:space="preserve">, </w:t>
      </w:r>
      <w:r w:rsidRPr="00A01A7B">
        <w:rPr>
          <w:rFonts w:cs="Arial" w:hint="cs"/>
          <w:sz w:val="18"/>
          <w:szCs w:val="18"/>
          <w:rtl/>
        </w:rPr>
        <w:t>ולמחר</w:t>
      </w:r>
      <w:r w:rsidRPr="00A01A7B">
        <w:rPr>
          <w:rFonts w:cs="Arial"/>
          <w:sz w:val="18"/>
          <w:szCs w:val="18"/>
          <w:rtl/>
        </w:rPr>
        <w:t xml:space="preserve"> </w:t>
      </w:r>
      <w:r w:rsidRPr="00A01A7B">
        <w:rPr>
          <w:rFonts w:cs="Arial" w:hint="cs"/>
          <w:sz w:val="18"/>
          <w:szCs w:val="18"/>
          <w:rtl/>
        </w:rPr>
        <w:t>צריכין</w:t>
      </w:r>
      <w:r w:rsidRPr="00A01A7B">
        <w:rPr>
          <w:rFonts w:cs="Arial"/>
          <w:sz w:val="18"/>
          <w:szCs w:val="18"/>
          <w:rtl/>
        </w:rPr>
        <w:t xml:space="preserve"> </w:t>
      </w:r>
      <w:r w:rsidRPr="00A01A7B">
        <w:rPr>
          <w:rFonts w:cs="Arial" w:hint="cs"/>
          <w:sz w:val="18"/>
          <w:szCs w:val="18"/>
          <w:rtl/>
        </w:rPr>
        <w:t>בדיקה</w:t>
      </w:r>
      <w:r w:rsidRPr="00A01A7B">
        <w:rPr>
          <w:rFonts w:cs="Arial"/>
          <w:sz w:val="18"/>
          <w:szCs w:val="18"/>
          <w:rtl/>
        </w:rPr>
        <w:t xml:space="preserve">, </w:t>
      </w:r>
      <w:r w:rsidRPr="00A01A7B">
        <w:rPr>
          <w:rFonts w:cs="Arial" w:hint="cs"/>
          <w:sz w:val="18"/>
          <w:szCs w:val="18"/>
          <w:rtl/>
        </w:rPr>
        <w:t>ואם</w:t>
      </w:r>
      <w:r w:rsidRPr="00A01A7B">
        <w:rPr>
          <w:rFonts w:cs="Arial"/>
          <w:sz w:val="18"/>
          <w:szCs w:val="18"/>
          <w:rtl/>
        </w:rPr>
        <w:t xml:space="preserve"> </w:t>
      </w:r>
      <w:r w:rsidRPr="00A01A7B">
        <w:rPr>
          <w:rFonts w:cs="Arial" w:hint="cs"/>
          <w:sz w:val="18"/>
          <w:szCs w:val="18"/>
          <w:rtl/>
        </w:rPr>
        <w:t>נמצא</w:t>
      </w:r>
      <w:r w:rsidRPr="00A01A7B">
        <w:rPr>
          <w:rFonts w:cs="Arial"/>
          <w:sz w:val="18"/>
          <w:szCs w:val="18"/>
          <w:rtl/>
        </w:rPr>
        <w:t xml:space="preserve"> </w:t>
      </w:r>
      <w:r w:rsidRPr="00A01A7B">
        <w:rPr>
          <w:rFonts w:cs="Arial" w:hint="cs"/>
          <w:sz w:val="18"/>
          <w:szCs w:val="18"/>
          <w:rtl/>
        </w:rPr>
        <w:t>דם</w:t>
      </w:r>
      <w:r w:rsidRPr="00A01A7B">
        <w:rPr>
          <w:rFonts w:cs="Arial"/>
          <w:sz w:val="18"/>
          <w:szCs w:val="18"/>
          <w:rtl/>
        </w:rPr>
        <w:t xml:space="preserve"> </w:t>
      </w:r>
      <w:r w:rsidRPr="00A01A7B">
        <w:rPr>
          <w:rFonts w:cs="Arial" w:hint="cs"/>
          <w:sz w:val="18"/>
          <w:szCs w:val="18"/>
          <w:rtl/>
        </w:rPr>
        <w:t>טמאה"</w:t>
      </w:r>
      <w:r w:rsidRPr="00A01A7B">
        <w:rPr>
          <w:rFonts w:cs="Arial"/>
          <w:sz w:val="18"/>
          <w:szCs w:val="18"/>
          <w:rtl/>
        </w:rPr>
        <w:t xml:space="preserve">. </w:t>
      </w:r>
      <w:r w:rsidRPr="00A01A7B">
        <w:rPr>
          <w:rFonts w:hint="cs"/>
          <w:sz w:val="18"/>
          <w:szCs w:val="18"/>
          <w:rtl/>
        </w:rPr>
        <w:t xml:space="preserve"> </w:t>
      </w:r>
    </w:p>
    <w:p w:rsidR="00620060" w:rsidRDefault="00620060" w:rsidP="00620060">
      <w:pPr>
        <w:rPr>
          <w:sz w:val="20"/>
          <w:szCs w:val="20"/>
          <w:rtl/>
        </w:rPr>
      </w:pPr>
      <w:r>
        <w:rPr>
          <w:rFonts w:hint="cs"/>
          <w:sz w:val="20"/>
          <w:szCs w:val="20"/>
          <w:u w:val="single"/>
          <w:rtl/>
        </w:rPr>
        <w:t>נפק"מ בדברי הרמ"א לשיטת הרי"ף</w:t>
      </w:r>
      <w:r>
        <w:rPr>
          <w:sz w:val="20"/>
          <w:szCs w:val="20"/>
          <w:u w:val="single"/>
          <w:rtl/>
        </w:rPr>
        <w:br/>
      </w:r>
      <w:r w:rsidRPr="0027321C">
        <w:rPr>
          <w:rFonts w:hint="cs"/>
          <w:b/>
          <w:bCs/>
          <w:sz w:val="20"/>
          <w:szCs w:val="20"/>
          <w:rtl/>
        </w:rPr>
        <w:t>בדי השולחן</w:t>
      </w:r>
      <w:r>
        <w:rPr>
          <w:rFonts w:hint="cs"/>
          <w:sz w:val="20"/>
          <w:szCs w:val="20"/>
          <w:rtl/>
        </w:rPr>
        <w:t xml:space="preserve"> </w:t>
      </w:r>
      <w:r>
        <w:rPr>
          <w:sz w:val="20"/>
          <w:szCs w:val="20"/>
          <w:rtl/>
        </w:rPr>
        <w:t>–</w:t>
      </w:r>
      <w:r>
        <w:rPr>
          <w:rFonts w:hint="cs"/>
          <w:sz w:val="20"/>
          <w:szCs w:val="20"/>
          <w:rtl/>
        </w:rPr>
        <w:t xml:space="preserve"> כוונת הרמ"א להשמיע קולה אף לשיטת הרי"ף, שאע"פ שצריך לבדוק </w:t>
      </w:r>
      <w:r w:rsidRPr="0027321C">
        <w:rPr>
          <w:rFonts w:hint="cs"/>
          <w:sz w:val="20"/>
          <w:szCs w:val="20"/>
          <w:u w:val="single"/>
          <w:rtl/>
        </w:rPr>
        <w:t>לאחר</w:t>
      </w:r>
      <w:r>
        <w:rPr>
          <w:rFonts w:hint="cs"/>
          <w:sz w:val="20"/>
          <w:szCs w:val="20"/>
          <w:rtl/>
        </w:rPr>
        <w:t xml:space="preserve"> תשמיש, מכל מקום אין צריך לעיין מייד בעדי הבדיקה אלא ניתן להניחם ולעיין בהם בבוקר. </w:t>
      </w:r>
      <w:r>
        <w:rPr>
          <w:sz w:val="20"/>
          <w:szCs w:val="20"/>
          <w:rtl/>
        </w:rPr>
        <w:br/>
      </w:r>
      <w:r>
        <w:rPr>
          <w:rFonts w:hint="cs"/>
          <w:sz w:val="20"/>
          <w:szCs w:val="20"/>
          <w:rtl/>
        </w:rPr>
        <w:t>ויש שפירשו שכוונת הרמ"א להקל אף בבדיקה שלפני תשמיש שאין צריך לעיין בעד הבדיקה עד הבוקר, אך יש חולקים ואומרים שצריכה לעיין מייד בעד שקודם תשמיש.</w:t>
      </w:r>
      <w:r>
        <w:rPr>
          <w:sz w:val="20"/>
          <w:szCs w:val="20"/>
          <w:rtl/>
        </w:rPr>
        <w:br/>
      </w:r>
      <w:r w:rsidRPr="00A53668">
        <w:rPr>
          <w:rFonts w:hint="cs"/>
          <w:sz w:val="20"/>
          <w:szCs w:val="20"/>
          <w:u w:val="single"/>
          <w:rtl/>
        </w:rPr>
        <w:t xml:space="preserve">ולדינא </w:t>
      </w:r>
      <w:r>
        <w:rPr>
          <w:sz w:val="20"/>
          <w:szCs w:val="20"/>
          <w:rtl/>
        </w:rPr>
        <w:t>–</w:t>
      </w:r>
      <w:r>
        <w:rPr>
          <w:rFonts w:hint="cs"/>
          <w:sz w:val="20"/>
          <w:szCs w:val="20"/>
          <w:rtl/>
        </w:rPr>
        <w:t xml:space="preserve"> מצדד בדה"ש להחמיר, ע"פ האחרונים, בין בבדיקה שלפני תשמיש ובין בבדיקה שלאחר תשמיש, לעיין מייד בעדי הבדיקה ולא לנהוג בכל סוגי הקריבה לפני העיון.</w:t>
      </w:r>
    </w:p>
    <w:p w:rsidR="00620060" w:rsidRDefault="00620060" w:rsidP="00620060">
      <w:pPr>
        <w:rPr>
          <w:sz w:val="20"/>
          <w:szCs w:val="20"/>
          <w:rtl/>
        </w:rPr>
      </w:pPr>
      <w:r>
        <w:rPr>
          <w:rFonts w:hint="cs"/>
          <w:b/>
          <w:bCs/>
          <w:sz w:val="20"/>
          <w:szCs w:val="20"/>
          <w:rtl/>
        </w:rPr>
        <w:t>בדקה ואיבדה את עד הבדיקה</w:t>
      </w:r>
      <w:r>
        <w:rPr>
          <w:b/>
          <w:bCs/>
          <w:sz w:val="20"/>
          <w:szCs w:val="20"/>
          <w:rtl/>
        </w:rPr>
        <w:br/>
      </w:r>
      <w:r>
        <w:rPr>
          <w:rFonts w:hint="cs"/>
          <w:b/>
          <w:bCs/>
          <w:sz w:val="20"/>
          <w:szCs w:val="20"/>
          <w:rtl/>
        </w:rPr>
        <w:t xml:space="preserve">גמרא </w:t>
      </w:r>
      <w:r>
        <w:rPr>
          <w:rFonts w:hint="cs"/>
          <w:sz w:val="20"/>
          <w:szCs w:val="20"/>
          <w:rtl/>
        </w:rPr>
        <w:t>שם (ע"</w:t>
      </w:r>
      <w:r w:rsidRPr="00B21BF6">
        <w:rPr>
          <w:rFonts w:hint="cs"/>
          <w:sz w:val="20"/>
          <w:szCs w:val="20"/>
          <w:rtl/>
        </w:rPr>
        <w:t>ב) "</w:t>
      </w:r>
      <w:r w:rsidRPr="00B21BF6">
        <w:rPr>
          <w:rFonts w:cs="Arial" w:hint="cs"/>
          <w:sz w:val="20"/>
          <w:szCs w:val="20"/>
          <w:rtl/>
        </w:rPr>
        <w:t>אמר</w:t>
      </w:r>
      <w:r>
        <w:rPr>
          <w:rFonts w:cs="Arial" w:hint="cs"/>
          <w:sz w:val="20"/>
          <w:szCs w:val="20"/>
          <w:rtl/>
        </w:rPr>
        <w:t xml:space="preserve"> רבי</w:t>
      </w:r>
      <w:r w:rsidRPr="00B21BF6">
        <w:rPr>
          <w:rFonts w:cs="Arial"/>
          <w:sz w:val="20"/>
          <w:szCs w:val="20"/>
          <w:rtl/>
        </w:rPr>
        <w:t xml:space="preserve"> </w:t>
      </w:r>
      <w:r w:rsidRPr="00B21BF6">
        <w:rPr>
          <w:rFonts w:cs="Arial" w:hint="cs"/>
          <w:sz w:val="20"/>
          <w:szCs w:val="20"/>
          <w:rtl/>
        </w:rPr>
        <w:t>אבא</w:t>
      </w:r>
      <w:r w:rsidRPr="00B21BF6">
        <w:rPr>
          <w:rFonts w:cs="Arial"/>
          <w:sz w:val="20"/>
          <w:szCs w:val="20"/>
          <w:rtl/>
        </w:rPr>
        <w:t xml:space="preserve"> </w:t>
      </w:r>
      <w:r w:rsidRPr="00B21BF6">
        <w:rPr>
          <w:rFonts w:cs="Arial" w:hint="cs"/>
          <w:sz w:val="20"/>
          <w:szCs w:val="20"/>
          <w:rtl/>
        </w:rPr>
        <w:t>א</w:t>
      </w:r>
      <w:r>
        <w:rPr>
          <w:rFonts w:cs="Arial" w:hint="cs"/>
          <w:sz w:val="20"/>
          <w:szCs w:val="20"/>
          <w:rtl/>
        </w:rPr>
        <w:t xml:space="preserve">מר </w:t>
      </w:r>
      <w:r w:rsidRPr="00B21BF6">
        <w:rPr>
          <w:rFonts w:cs="Arial" w:hint="cs"/>
          <w:sz w:val="20"/>
          <w:szCs w:val="20"/>
          <w:rtl/>
        </w:rPr>
        <w:t>ר</w:t>
      </w:r>
      <w:r>
        <w:rPr>
          <w:rFonts w:cs="Arial" w:hint="cs"/>
          <w:sz w:val="20"/>
          <w:szCs w:val="20"/>
          <w:rtl/>
        </w:rPr>
        <w:t>בי</w:t>
      </w:r>
      <w:r w:rsidRPr="00B21BF6">
        <w:rPr>
          <w:rFonts w:cs="Arial"/>
          <w:sz w:val="20"/>
          <w:szCs w:val="20"/>
          <w:rtl/>
        </w:rPr>
        <w:t xml:space="preserve"> </w:t>
      </w:r>
      <w:r w:rsidRPr="00B21BF6">
        <w:rPr>
          <w:rFonts w:cs="Arial" w:hint="cs"/>
          <w:sz w:val="20"/>
          <w:szCs w:val="20"/>
          <w:rtl/>
        </w:rPr>
        <w:t>חייא</w:t>
      </w:r>
      <w:r w:rsidRPr="00B21BF6">
        <w:rPr>
          <w:rFonts w:cs="Arial"/>
          <w:sz w:val="20"/>
          <w:szCs w:val="20"/>
          <w:rtl/>
        </w:rPr>
        <w:t xml:space="preserve"> </w:t>
      </w:r>
      <w:r w:rsidRPr="00B21BF6">
        <w:rPr>
          <w:rFonts w:cs="Arial" w:hint="cs"/>
          <w:sz w:val="20"/>
          <w:szCs w:val="20"/>
          <w:rtl/>
        </w:rPr>
        <w:t>בר</w:t>
      </w:r>
      <w:r w:rsidRPr="00B21BF6">
        <w:rPr>
          <w:rFonts w:cs="Arial"/>
          <w:sz w:val="20"/>
          <w:szCs w:val="20"/>
          <w:rtl/>
        </w:rPr>
        <w:t xml:space="preserve"> </w:t>
      </w:r>
      <w:r w:rsidRPr="00B21BF6">
        <w:rPr>
          <w:rFonts w:cs="Arial" w:hint="cs"/>
          <w:sz w:val="20"/>
          <w:szCs w:val="20"/>
          <w:rtl/>
        </w:rPr>
        <w:t>אשי</w:t>
      </w:r>
      <w:r w:rsidRPr="00B21BF6">
        <w:rPr>
          <w:rFonts w:cs="Arial"/>
          <w:sz w:val="20"/>
          <w:szCs w:val="20"/>
          <w:rtl/>
        </w:rPr>
        <w:t xml:space="preserve"> </w:t>
      </w:r>
      <w:r w:rsidRPr="00B21BF6">
        <w:rPr>
          <w:rFonts w:cs="Arial" w:hint="cs"/>
          <w:sz w:val="20"/>
          <w:szCs w:val="20"/>
          <w:rtl/>
        </w:rPr>
        <w:t>אמר</w:t>
      </w:r>
      <w:r w:rsidRPr="00B21BF6">
        <w:rPr>
          <w:rFonts w:cs="Arial"/>
          <w:sz w:val="20"/>
          <w:szCs w:val="20"/>
          <w:rtl/>
        </w:rPr>
        <w:t xml:space="preserve"> </w:t>
      </w:r>
      <w:r w:rsidRPr="00B21BF6">
        <w:rPr>
          <w:rFonts w:cs="Arial" w:hint="cs"/>
          <w:sz w:val="20"/>
          <w:szCs w:val="20"/>
          <w:rtl/>
        </w:rPr>
        <w:t>רב</w:t>
      </w:r>
      <w:r w:rsidRPr="00B21BF6">
        <w:rPr>
          <w:rFonts w:cs="Arial"/>
          <w:sz w:val="20"/>
          <w:szCs w:val="20"/>
          <w:rtl/>
        </w:rPr>
        <w:t xml:space="preserve">: </w:t>
      </w:r>
      <w:r w:rsidRPr="00B21BF6">
        <w:rPr>
          <w:rFonts w:cs="Arial" w:hint="cs"/>
          <w:sz w:val="20"/>
          <w:szCs w:val="20"/>
          <w:rtl/>
        </w:rPr>
        <w:t>בדקה</w:t>
      </w:r>
      <w:r w:rsidRPr="00B21BF6">
        <w:rPr>
          <w:rFonts w:cs="Arial"/>
          <w:sz w:val="20"/>
          <w:szCs w:val="20"/>
          <w:rtl/>
        </w:rPr>
        <w:t xml:space="preserve"> </w:t>
      </w:r>
      <w:r w:rsidRPr="00B21BF6">
        <w:rPr>
          <w:rFonts w:cs="Arial" w:hint="cs"/>
          <w:sz w:val="20"/>
          <w:szCs w:val="20"/>
          <w:rtl/>
        </w:rPr>
        <w:t>בעד</w:t>
      </w:r>
      <w:r w:rsidRPr="00B21BF6">
        <w:rPr>
          <w:rFonts w:cs="Arial"/>
          <w:sz w:val="20"/>
          <w:szCs w:val="20"/>
          <w:rtl/>
        </w:rPr>
        <w:t xml:space="preserve"> </w:t>
      </w:r>
      <w:r w:rsidRPr="00B21BF6">
        <w:rPr>
          <w:rFonts w:cs="Arial" w:hint="cs"/>
          <w:sz w:val="20"/>
          <w:szCs w:val="20"/>
          <w:rtl/>
        </w:rPr>
        <w:t>ואבד</w:t>
      </w:r>
      <w:r w:rsidRPr="00B21BF6">
        <w:rPr>
          <w:rFonts w:cs="Arial"/>
          <w:sz w:val="20"/>
          <w:szCs w:val="20"/>
          <w:rtl/>
        </w:rPr>
        <w:t xml:space="preserve"> - </w:t>
      </w:r>
      <w:r w:rsidRPr="00B21BF6">
        <w:rPr>
          <w:rFonts w:cs="Arial" w:hint="cs"/>
          <w:sz w:val="20"/>
          <w:szCs w:val="20"/>
          <w:rtl/>
        </w:rPr>
        <w:t>אסורה</w:t>
      </w:r>
      <w:r w:rsidRPr="00B21BF6">
        <w:rPr>
          <w:rFonts w:cs="Arial"/>
          <w:sz w:val="20"/>
          <w:szCs w:val="20"/>
          <w:rtl/>
        </w:rPr>
        <w:t xml:space="preserve"> </w:t>
      </w:r>
      <w:r w:rsidRPr="00B21BF6">
        <w:rPr>
          <w:rFonts w:cs="Arial" w:hint="cs"/>
          <w:sz w:val="20"/>
          <w:szCs w:val="20"/>
          <w:rtl/>
        </w:rPr>
        <w:t>לשמש</w:t>
      </w:r>
      <w:r w:rsidRPr="00B21BF6">
        <w:rPr>
          <w:rFonts w:cs="Arial"/>
          <w:sz w:val="20"/>
          <w:szCs w:val="20"/>
          <w:rtl/>
        </w:rPr>
        <w:t xml:space="preserve"> </w:t>
      </w:r>
      <w:r w:rsidRPr="00B21BF6">
        <w:rPr>
          <w:rFonts w:cs="Arial" w:hint="cs"/>
          <w:sz w:val="20"/>
          <w:szCs w:val="20"/>
          <w:rtl/>
        </w:rPr>
        <w:t>עד</w:t>
      </w:r>
      <w:r w:rsidRPr="00B21BF6">
        <w:rPr>
          <w:rFonts w:cs="Arial"/>
          <w:sz w:val="20"/>
          <w:szCs w:val="20"/>
          <w:rtl/>
        </w:rPr>
        <w:t xml:space="preserve"> </w:t>
      </w:r>
      <w:r w:rsidRPr="00B21BF6">
        <w:rPr>
          <w:rFonts w:cs="Arial" w:hint="cs"/>
          <w:sz w:val="20"/>
          <w:szCs w:val="20"/>
          <w:rtl/>
        </w:rPr>
        <w:t>שתבדוק</w:t>
      </w:r>
      <w:r w:rsidRPr="00B21BF6">
        <w:rPr>
          <w:rFonts w:cs="Arial"/>
          <w:sz w:val="20"/>
          <w:szCs w:val="20"/>
          <w:rtl/>
        </w:rPr>
        <w:t xml:space="preserve">. </w:t>
      </w:r>
      <w:r w:rsidRPr="00B21BF6">
        <w:rPr>
          <w:rFonts w:cs="Arial" w:hint="cs"/>
          <w:sz w:val="20"/>
          <w:szCs w:val="20"/>
          <w:rtl/>
        </w:rPr>
        <w:t>מתקיף</w:t>
      </w:r>
      <w:r w:rsidRPr="00B21BF6">
        <w:rPr>
          <w:rFonts w:cs="Arial"/>
          <w:sz w:val="20"/>
          <w:szCs w:val="20"/>
          <w:rtl/>
        </w:rPr>
        <w:t xml:space="preserve"> </w:t>
      </w:r>
      <w:r w:rsidRPr="00B21BF6">
        <w:rPr>
          <w:rFonts w:cs="Arial" w:hint="cs"/>
          <w:sz w:val="20"/>
          <w:szCs w:val="20"/>
          <w:rtl/>
        </w:rPr>
        <w:t>לה</w:t>
      </w:r>
      <w:r w:rsidRPr="00B21BF6">
        <w:rPr>
          <w:rFonts w:cs="Arial"/>
          <w:sz w:val="20"/>
          <w:szCs w:val="20"/>
          <w:rtl/>
        </w:rPr>
        <w:t xml:space="preserve"> </w:t>
      </w:r>
      <w:r w:rsidRPr="00B21BF6">
        <w:rPr>
          <w:rFonts w:cs="Arial" w:hint="cs"/>
          <w:sz w:val="20"/>
          <w:szCs w:val="20"/>
          <w:rtl/>
        </w:rPr>
        <w:t>ר</w:t>
      </w:r>
      <w:r w:rsidRPr="00B21BF6">
        <w:rPr>
          <w:rFonts w:cs="Arial"/>
          <w:sz w:val="20"/>
          <w:szCs w:val="20"/>
          <w:rtl/>
        </w:rPr>
        <w:t xml:space="preserve">' </w:t>
      </w:r>
      <w:r w:rsidRPr="00B21BF6">
        <w:rPr>
          <w:rFonts w:cs="Arial" w:hint="cs"/>
          <w:sz w:val="20"/>
          <w:szCs w:val="20"/>
          <w:rtl/>
        </w:rPr>
        <w:t>אילא</w:t>
      </w:r>
      <w:r w:rsidRPr="00B21BF6">
        <w:rPr>
          <w:rFonts w:cs="Arial"/>
          <w:sz w:val="20"/>
          <w:szCs w:val="20"/>
          <w:rtl/>
        </w:rPr>
        <w:t xml:space="preserve">: </w:t>
      </w:r>
      <w:r w:rsidRPr="00B21BF6">
        <w:rPr>
          <w:rFonts w:cs="Arial" w:hint="cs"/>
          <w:sz w:val="20"/>
          <w:szCs w:val="20"/>
          <w:rtl/>
        </w:rPr>
        <w:t>אילו</w:t>
      </w:r>
      <w:r w:rsidRPr="00B21BF6">
        <w:rPr>
          <w:rFonts w:cs="Arial"/>
          <w:sz w:val="20"/>
          <w:szCs w:val="20"/>
          <w:rtl/>
        </w:rPr>
        <w:t xml:space="preserve"> </w:t>
      </w:r>
      <w:r w:rsidRPr="00B21BF6">
        <w:rPr>
          <w:rFonts w:cs="Arial" w:hint="cs"/>
          <w:sz w:val="20"/>
          <w:szCs w:val="20"/>
          <w:rtl/>
        </w:rPr>
        <w:t>איתא</w:t>
      </w:r>
      <w:r w:rsidRPr="00B21BF6">
        <w:rPr>
          <w:rFonts w:cs="Arial"/>
          <w:sz w:val="20"/>
          <w:szCs w:val="20"/>
          <w:rtl/>
        </w:rPr>
        <w:t xml:space="preserve"> - </w:t>
      </w:r>
      <w:r w:rsidRPr="00B21BF6">
        <w:rPr>
          <w:rFonts w:cs="Arial" w:hint="cs"/>
          <w:sz w:val="20"/>
          <w:szCs w:val="20"/>
          <w:rtl/>
        </w:rPr>
        <w:t>מי</w:t>
      </w:r>
      <w:r w:rsidRPr="00B21BF6">
        <w:rPr>
          <w:rFonts w:cs="Arial"/>
          <w:sz w:val="20"/>
          <w:szCs w:val="20"/>
          <w:rtl/>
        </w:rPr>
        <w:t xml:space="preserve"> </w:t>
      </w:r>
      <w:r w:rsidRPr="00B21BF6">
        <w:rPr>
          <w:rFonts w:cs="Arial" w:hint="cs"/>
          <w:sz w:val="20"/>
          <w:szCs w:val="20"/>
          <w:rtl/>
        </w:rPr>
        <w:t>לא</w:t>
      </w:r>
      <w:r w:rsidRPr="00B21BF6">
        <w:rPr>
          <w:rFonts w:cs="Arial"/>
          <w:sz w:val="20"/>
          <w:szCs w:val="20"/>
          <w:rtl/>
        </w:rPr>
        <w:t xml:space="preserve"> </w:t>
      </w:r>
      <w:r w:rsidRPr="00B21BF6">
        <w:rPr>
          <w:rFonts w:cs="Arial" w:hint="cs"/>
          <w:sz w:val="20"/>
          <w:szCs w:val="20"/>
          <w:rtl/>
        </w:rPr>
        <w:t>משמשה</w:t>
      </w:r>
      <w:r w:rsidRPr="00B21BF6">
        <w:rPr>
          <w:rFonts w:cs="Arial"/>
          <w:sz w:val="20"/>
          <w:szCs w:val="20"/>
          <w:rtl/>
        </w:rPr>
        <w:t xml:space="preserve"> </w:t>
      </w:r>
      <w:r w:rsidRPr="00B21BF6">
        <w:rPr>
          <w:rFonts w:cs="Arial" w:hint="cs"/>
          <w:sz w:val="20"/>
          <w:szCs w:val="20"/>
          <w:rtl/>
        </w:rPr>
        <w:t>ואף</w:t>
      </w:r>
      <w:r w:rsidRPr="00B21BF6">
        <w:rPr>
          <w:rFonts w:cs="Arial"/>
          <w:sz w:val="20"/>
          <w:szCs w:val="20"/>
          <w:rtl/>
        </w:rPr>
        <w:t xml:space="preserve"> </w:t>
      </w:r>
      <w:r w:rsidRPr="00B21BF6">
        <w:rPr>
          <w:rFonts w:cs="Arial" w:hint="cs"/>
          <w:sz w:val="20"/>
          <w:szCs w:val="20"/>
          <w:rtl/>
        </w:rPr>
        <w:t>על</w:t>
      </w:r>
      <w:r w:rsidRPr="00B21BF6">
        <w:rPr>
          <w:rFonts w:cs="Arial"/>
          <w:sz w:val="20"/>
          <w:szCs w:val="20"/>
          <w:rtl/>
        </w:rPr>
        <w:t xml:space="preserve"> </w:t>
      </w:r>
      <w:r w:rsidRPr="00B21BF6">
        <w:rPr>
          <w:rFonts w:cs="Arial" w:hint="cs"/>
          <w:sz w:val="20"/>
          <w:szCs w:val="20"/>
          <w:rtl/>
        </w:rPr>
        <w:t>גב</w:t>
      </w:r>
      <w:r w:rsidRPr="00B21BF6">
        <w:rPr>
          <w:rFonts w:cs="Arial"/>
          <w:sz w:val="20"/>
          <w:szCs w:val="20"/>
          <w:rtl/>
        </w:rPr>
        <w:t xml:space="preserve"> </w:t>
      </w:r>
      <w:r w:rsidRPr="00B21BF6">
        <w:rPr>
          <w:rFonts w:cs="Arial" w:hint="cs"/>
          <w:sz w:val="20"/>
          <w:szCs w:val="20"/>
          <w:rtl/>
        </w:rPr>
        <w:t>דלא</w:t>
      </w:r>
      <w:r w:rsidRPr="00B21BF6">
        <w:rPr>
          <w:rFonts w:cs="Arial"/>
          <w:sz w:val="20"/>
          <w:szCs w:val="20"/>
          <w:rtl/>
        </w:rPr>
        <w:t xml:space="preserve"> </w:t>
      </w:r>
      <w:r w:rsidRPr="00B21BF6">
        <w:rPr>
          <w:rFonts w:cs="Arial" w:hint="cs"/>
          <w:sz w:val="20"/>
          <w:szCs w:val="20"/>
          <w:rtl/>
        </w:rPr>
        <w:t>ידעה</w:t>
      </w:r>
      <w:r w:rsidRPr="00B21BF6">
        <w:rPr>
          <w:rFonts w:cs="Arial"/>
          <w:sz w:val="20"/>
          <w:szCs w:val="20"/>
          <w:rtl/>
        </w:rPr>
        <w:t xml:space="preserve">? </w:t>
      </w:r>
      <w:r w:rsidRPr="00B21BF6">
        <w:rPr>
          <w:rFonts w:cs="Arial" w:hint="cs"/>
          <w:sz w:val="20"/>
          <w:szCs w:val="20"/>
          <w:rtl/>
        </w:rPr>
        <w:t>השתא</w:t>
      </w:r>
      <w:r w:rsidRPr="00B21BF6">
        <w:rPr>
          <w:rFonts w:cs="Arial"/>
          <w:sz w:val="20"/>
          <w:szCs w:val="20"/>
          <w:rtl/>
        </w:rPr>
        <w:t xml:space="preserve"> </w:t>
      </w:r>
      <w:r w:rsidRPr="00B21BF6">
        <w:rPr>
          <w:rFonts w:cs="Arial" w:hint="cs"/>
          <w:sz w:val="20"/>
          <w:szCs w:val="20"/>
          <w:rtl/>
        </w:rPr>
        <w:t>נמי</w:t>
      </w:r>
      <w:r w:rsidRPr="00B21BF6">
        <w:rPr>
          <w:rFonts w:cs="Arial"/>
          <w:sz w:val="20"/>
          <w:szCs w:val="20"/>
          <w:rtl/>
        </w:rPr>
        <w:t xml:space="preserve"> - </w:t>
      </w:r>
      <w:r w:rsidRPr="00B21BF6">
        <w:rPr>
          <w:rFonts w:cs="Arial" w:hint="cs"/>
          <w:sz w:val="20"/>
          <w:szCs w:val="20"/>
          <w:rtl/>
        </w:rPr>
        <w:t>תשמש</w:t>
      </w:r>
      <w:r w:rsidRPr="00B21BF6">
        <w:rPr>
          <w:rFonts w:cs="Arial"/>
          <w:sz w:val="20"/>
          <w:szCs w:val="20"/>
          <w:rtl/>
        </w:rPr>
        <w:t xml:space="preserve">! </w:t>
      </w:r>
      <w:r w:rsidRPr="00B21BF6">
        <w:rPr>
          <w:rFonts w:cs="Arial" w:hint="cs"/>
          <w:sz w:val="20"/>
          <w:szCs w:val="20"/>
          <w:rtl/>
        </w:rPr>
        <w:t>א</w:t>
      </w:r>
      <w:r>
        <w:rPr>
          <w:rFonts w:cs="Arial" w:hint="cs"/>
          <w:sz w:val="20"/>
          <w:szCs w:val="20"/>
          <w:rtl/>
        </w:rPr>
        <w:t xml:space="preserve">מר </w:t>
      </w:r>
      <w:r w:rsidRPr="00B21BF6">
        <w:rPr>
          <w:rFonts w:cs="Arial" w:hint="cs"/>
          <w:sz w:val="20"/>
          <w:szCs w:val="20"/>
          <w:rtl/>
        </w:rPr>
        <w:t>ל</w:t>
      </w:r>
      <w:r>
        <w:rPr>
          <w:rFonts w:cs="Arial" w:hint="cs"/>
          <w:sz w:val="20"/>
          <w:szCs w:val="20"/>
          <w:rtl/>
        </w:rPr>
        <w:t>יה</w:t>
      </w:r>
      <w:r w:rsidRPr="00B21BF6">
        <w:rPr>
          <w:rFonts w:cs="Arial"/>
          <w:sz w:val="20"/>
          <w:szCs w:val="20"/>
          <w:rtl/>
        </w:rPr>
        <w:t xml:space="preserve"> </w:t>
      </w:r>
      <w:r w:rsidRPr="00B21BF6">
        <w:rPr>
          <w:rFonts w:cs="Arial" w:hint="cs"/>
          <w:sz w:val="20"/>
          <w:szCs w:val="20"/>
          <w:rtl/>
        </w:rPr>
        <w:t>רבא</w:t>
      </w:r>
      <w:r w:rsidRPr="00B21BF6">
        <w:rPr>
          <w:rFonts w:cs="Arial"/>
          <w:sz w:val="20"/>
          <w:szCs w:val="20"/>
          <w:rtl/>
        </w:rPr>
        <w:t xml:space="preserve">: </w:t>
      </w:r>
      <w:r w:rsidRPr="00B21BF6">
        <w:rPr>
          <w:rFonts w:cs="Arial" w:hint="cs"/>
          <w:sz w:val="20"/>
          <w:szCs w:val="20"/>
          <w:rtl/>
        </w:rPr>
        <w:t>זו</w:t>
      </w:r>
      <w:r w:rsidRPr="00B21BF6">
        <w:rPr>
          <w:rFonts w:cs="Arial"/>
          <w:sz w:val="20"/>
          <w:szCs w:val="20"/>
          <w:rtl/>
        </w:rPr>
        <w:t xml:space="preserve"> - </w:t>
      </w:r>
      <w:r w:rsidRPr="00B21BF6">
        <w:rPr>
          <w:rFonts w:cs="Arial" w:hint="cs"/>
          <w:sz w:val="20"/>
          <w:szCs w:val="20"/>
          <w:rtl/>
        </w:rPr>
        <w:t>מוכיחה</w:t>
      </w:r>
      <w:r w:rsidRPr="00B21BF6">
        <w:rPr>
          <w:rFonts w:cs="Arial"/>
          <w:sz w:val="20"/>
          <w:szCs w:val="20"/>
          <w:rtl/>
        </w:rPr>
        <w:t xml:space="preserve"> </w:t>
      </w:r>
      <w:r w:rsidRPr="00B21BF6">
        <w:rPr>
          <w:rFonts w:cs="Arial" w:hint="cs"/>
          <w:sz w:val="20"/>
          <w:szCs w:val="20"/>
          <w:rtl/>
        </w:rPr>
        <w:t>קיים</w:t>
      </w:r>
      <w:r w:rsidRPr="00B21BF6">
        <w:rPr>
          <w:rFonts w:cs="Arial"/>
          <w:sz w:val="20"/>
          <w:szCs w:val="20"/>
          <w:rtl/>
        </w:rPr>
        <w:t xml:space="preserve">, </w:t>
      </w:r>
      <w:r w:rsidRPr="00B21BF6">
        <w:rPr>
          <w:rFonts w:cs="Arial" w:hint="cs"/>
          <w:sz w:val="20"/>
          <w:szCs w:val="20"/>
          <w:rtl/>
        </w:rPr>
        <w:t>וזו</w:t>
      </w:r>
      <w:r w:rsidRPr="00B21BF6">
        <w:rPr>
          <w:rFonts w:cs="Arial"/>
          <w:sz w:val="20"/>
          <w:szCs w:val="20"/>
          <w:rtl/>
        </w:rPr>
        <w:t xml:space="preserve"> - </w:t>
      </w:r>
      <w:r w:rsidRPr="00B21BF6">
        <w:rPr>
          <w:rFonts w:cs="Arial" w:hint="cs"/>
          <w:sz w:val="20"/>
          <w:szCs w:val="20"/>
          <w:rtl/>
        </w:rPr>
        <w:t>אין</w:t>
      </w:r>
      <w:r w:rsidRPr="00B21BF6">
        <w:rPr>
          <w:rFonts w:cs="Arial"/>
          <w:sz w:val="20"/>
          <w:szCs w:val="20"/>
          <w:rtl/>
        </w:rPr>
        <w:t xml:space="preserve"> </w:t>
      </w:r>
      <w:r w:rsidRPr="00B21BF6">
        <w:rPr>
          <w:rFonts w:cs="Arial" w:hint="cs"/>
          <w:sz w:val="20"/>
          <w:szCs w:val="20"/>
          <w:rtl/>
        </w:rPr>
        <w:t>מוכיחה</w:t>
      </w:r>
      <w:r w:rsidRPr="00B21BF6">
        <w:rPr>
          <w:rFonts w:cs="Arial"/>
          <w:sz w:val="20"/>
          <w:szCs w:val="20"/>
          <w:rtl/>
        </w:rPr>
        <w:t xml:space="preserve"> </w:t>
      </w:r>
      <w:r w:rsidRPr="00B21BF6">
        <w:rPr>
          <w:rFonts w:cs="Arial" w:hint="cs"/>
          <w:sz w:val="20"/>
          <w:szCs w:val="20"/>
          <w:rtl/>
        </w:rPr>
        <w:t>קיים</w:t>
      </w:r>
      <w:r>
        <w:rPr>
          <w:rFonts w:cs="Arial" w:hint="cs"/>
          <w:sz w:val="20"/>
          <w:szCs w:val="20"/>
          <w:rtl/>
        </w:rPr>
        <w:t>".</w:t>
      </w:r>
    </w:p>
    <w:p w:rsidR="00620060" w:rsidRDefault="00620060" w:rsidP="00620060">
      <w:pPr>
        <w:rPr>
          <w:sz w:val="20"/>
          <w:szCs w:val="20"/>
          <w:rtl/>
        </w:rPr>
      </w:pPr>
      <w:r w:rsidRPr="00AD4FA0">
        <w:rPr>
          <w:rFonts w:hint="cs"/>
          <w:b/>
          <w:bCs/>
          <w:sz w:val="20"/>
          <w:szCs w:val="20"/>
          <w:rtl/>
        </w:rPr>
        <w:t>פסיקת הלכה</w:t>
      </w:r>
      <w:r w:rsidRPr="00AD4FA0">
        <w:rPr>
          <w:b/>
          <w:bCs/>
          <w:sz w:val="20"/>
          <w:szCs w:val="20"/>
          <w:rtl/>
        </w:rPr>
        <w:br/>
      </w:r>
      <w:r w:rsidRPr="00AD4FA0">
        <w:rPr>
          <w:rFonts w:hint="cs"/>
          <w:b/>
          <w:bCs/>
          <w:sz w:val="20"/>
          <w:szCs w:val="20"/>
          <w:rtl/>
        </w:rPr>
        <w:t>רמ"א</w:t>
      </w:r>
      <w:r>
        <w:rPr>
          <w:rFonts w:hint="cs"/>
          <w:sz w:val="20"/>
          <w:szCs w:val="20"/>
          <w:rtl/>
        </w:rPr>
        <w:t xml:space="preserve"> </w:t>
      </w:r>
      <w:r w:rsidRPr="00AD4FA0">
        <w:rPr>
          <w:rFonts w:hint="cs"/>
          <w:sz w:val="18"/>
          <w:szCs w:val="18"/>
          <w:rtl/>
        </w:rPr>
        <w:t xml:space="preserve">(ע"פ הרמב"ם) </w:t>
      </w:r>
      <w:r w:rsidRPr="00AD4FA0">
        <w:rPr>
          <w:sz w:val="18"/>
          <w:szCs w:val="18"/>
          <w:rtl/>
        </w:rPr>
        <w:t>–</w:t>
      </w:r>
      <w:r w:rsidRPr="00AD4FA0">
        <w:rPr>
          <w:rFonts w:hint="cs"/>
          <w:sz w:val="18"/>
          <w:szCs w:val="18"/>
          <w:rtl/>
        </w:rPr>
        <w:t xml:space="preserve"> "ק</w:t>
      </w:r>
      <w:r w:rsidRPr="00AD4FA0">
        <w:rPr>
          <w:rFonts w:cs="Arial" w:hint="cs"/>
          <w:sz w:val="18"/>
          <w:szCs w:val="18"/>
          <w:rtl/>
        </w:rPr>
        <w:t>נחה</w:t>
      </w:r>
      <w:r w:rsidRPr="00AD4FA0">
        <w:rPr>
          <w:rFonts w:cs="Arial"/>
          <w:sz w:val="18"/>
          <w:szCs w:val="18"/>
          <w:rtl/>
        </w:rPr>
        <w:t xml:space="preserve"> </w:t>
      </w:r>
      <w:r w:rsidRPr="00AD4FA0">
        <w:rPr>
          <w:rFonts w:cs="Arial" w:hint="cs"/>
          <w:sz w:val="18"/>
          <w:szCs w:val="18"/>
          <w:rtl/>
        </w:rPr>
        <w:t>עצמה</w:t>
      </w:r>
      <w:r w:rsidRPr="00AD4FA0">
        <w:rPr>
          <w:rFonts w:cs="Arial"/>
          <w:sz w:val="18"/>
          <w:szCs w:val="18"/>
          <w:rtl/>
        </w:rPr>
        <w:t xml:space="preserve"> </w:t>
      </w:r>
      <w:r w:rsidRPr="00AD4FA0">
        <w:rPr>
          <w:rFonts w:cs="Arial" w:hint="cs"/>
          <w:sz w:val="18"/>
          <w:szCs w:val="18"/>
          <w:rtl/>
        </w:rPr>
        <w:t>בעד</w:t>
      </w:r>
      <w:r w:rsidRPr="00AD4FA0">
        <w:rPr>
          <w:rFonts w:cs="Arial"/>
          <w:sz w:val="18"/>
          <w:szCs w:val="18"/>
          <w:rtl/>
        </w:rPr>
        <w:t xml:space="preserve">, </w:t>
      </w:r>
      <w:r w:rsidRPr="00AD4FA0">
        <w:rPr>
          <w:rFonts w:cs="Arial" w:hint="cs"/>
          <w:sz w:val="18"/>
          <w:szCs w:val="18"/>
          <w:rtl/>
        </w:rPr>
        <w:t>ואבדה</w:t>
      </w:r>
      <w:r w:rsidRPr="00AD4FA0">
        <w:rPr>
          <w:rFonts w:cs="Arial"/>
          <w:sz w:val="18"/>
          <w:szCs w:val="18"/>
          <w:rtl/>
        </w:rPr>
        <w:t xml:space="preserve">, </w:t>
      </w:r>
      <w:r w:rsidRPr="00AD4FA0">
        <w:rPr>
          <w:rFonts w:cs="Arial" w:hint="cs"/>
          <w:sz w:val="18"/>
          <w:szCs w:val="18"/>
          <w:rtl/>
        </w:rPr>
        <w:t>לא</w:t>
      </w:r>
      <w:r w:rsidRPr="00AD4FA0">
        <w:rPr>
          <w:rFonts w:cs="Arial"/>
          <w:sz w:val="18"/>
          <w:szCs w:val="18"/>
          <w:rtl/>
        </w:rPr>
        <w:t xml:space="preserve"> </w:t>
      </w:r>
      <w:r w:rsidRPr="00AD4FA0">
        <w:rPr>
          <w:rFonts w:cs="Arial" w:hint="cs"/>
          <w:sz w:val="18"/>
          <w:szCs w:val="18"/>
          <w:rtl/>
        </w:rPr>
        <w:t>תשמש</w:t>
      </w:r>
      <w:r w:rsidRPr="00AD4FA0">
        <w:rPr>
          <w:rFonts w:cs="Arial"/>
          <w:sz w:val="18"/>
          <w:szCs w:val="18"/>
          <w:rtl/>
        </w:rPr>
        <w:t xml:space="preserve"> </w:t>
      </w:r>
      <w:r w:rsidRPr="00AD4FA0">
        <w:rPr>
          <w:rFonts w:cs="Arial" w:hint="cs"/>
          <w:sz w:val="18"/>
          <w:szCs w:val="18"/>
          <w:rtl/>
        </w:rPr>
        <w:t>עד</w:t>
      </w:r>
      <w:r w:rsidRPr="00AD4FA0">
        <w:rPr>
          <w:rFonts w:cs="Arial"/>
          <w:sz w:val="18"/>
          <w:szCs w:val="18"/>
          <w:rtl/>
        </w:rPr>
        <w:t xml:space="preserve"> </w:t>
      </w:r>
      <w:r w:rsidRPr="00AD4FA0">
        <w:rPr>
          <w:rFonts w:cs="Arial" w:hint="cs"/>
          <w:sz w:val="18"/>
          <w:szCs w:val="18"/>
          <w:rtl/>
        </w:rPr>
        <w:t>שתבדוק</w:t>
      </w:r>
      <w:r w:rsidRPr="00AD4FA0">
        <w:rPr>
          <w:rFonts w:cs="Arial"/>
          <w:sz w:val="18"/>
          <w:szCs w:val="18"/>
          <w:rtl/>
        </w:rPr>
        <w:t xml:space="preserve"> </w:t>
      </w:r>
      <w:r w:rsidRPr="00AD4FA0">
        <w:rPr>
          <w:rFonts w:cs="Arial" w:hint="cs"/>
          <w:sz w:val="18"/>
          <w:szCs w:val="18"/>
          <w:rtl/>
        </w:rPr>
        <w:t>עצמה</w:t>
      </w:r>
      <w:r w:rsidRPr="00AD4FA0">
        <w:rPr>
          <w:rFonts w:cs="Arial"/>
          <w:sz w:val="18"/>
          <w:szCs w:val="18"/>
          <w:rtl/>
        </w:rPr>
        <w:t xml:space="preserve">, </w:t>
      </w:r>
      <w:r w:rsidRPr="00AD4FA0">
        <w:rPr>
          <w:rFonts w:cs="Arial" w:hint="cs"/>
          <w:sz w:val="18"/>
          <w:szCs w:val="18"/>
          <w:rtl/>
        </w:rPr>
        <w:t>הואיל</w:t>
      </w:r>
      <w:r w:rsidRPr="00AD4FA0">
        <w:rPr>
          <w:rFonts w:cs="Arial"/>
          <w:sz w:val="18"/>
          <w:szCs w:val="18"/>
          <w:rtl/>
        </w:rPr>
        <w:t xml:space="preserve"> </w:t>
      </w:r>
      <w:r w:rsidRPr="00AD4FA0">
        <w:rPr>
          <w:rFonts w:cs="Arial" w:hint="cs"/>
          <w:sz w:val="18"/>
          <w:szCs w:val="18"/>
          <w:rtl/>
        </w:rPr>
        <w:t>ואין</w:t>
      </w:r>
      <w:r w:rsidRPr="00AD4FA0">
        <w:rPr>
          <w:rFonts w:cs="Arial"/>
          <w:sz w:val="18"/>
          <w:szCs w:val="18"/>
          <w:rtl/>
        </w:rPr>
        <w:t xml:space="preserve"> </w:t>
      </w:r>
      <w:r w:rsidRPr="00AD4FA0">
        <w:rPr>
          <w:rFonts w:cs="Arial" w:hint="cs"/>
          <w:sz w:val="18"/>
          <w:szCs w:val="18"/>
          <w:rtl/>
        </w:rPr>
        <w:t>לה</w:t>
      </w:r>
      <w:r w:rsidRPr="00AD4FA0">
        <w:rPr>
          <w:rFonts w:cs="Arial"/>
          <w:sz w:val="18"/>
          <w:szCs w:val="18"/>
          <w:rtl/>
        </w:rPr>
        <w:t xml:space="preserve"> </w:t>
      </w:r>
      <w:r w:rsidRPr="00AD4FA0">
        <w:rPr>
          <w:rFonts w:cs="Arial" w:hint="cs"/>
          <w:sz w:val="18"/>
          <w:szCs w:val="18"/>
          <w:rtl/>
        </w:rPr>
        <w:t>וסת".</w:t>
      </w:r>
      <w:r>
        <w:rPr>
          <w:rStyle w:val="a5"/>
          <w:sz w:val="20"/>
          <w:szCs w:val="20"/>
          <w:rtl/>
        </w:rPr>
        <w:footnoteReference w:id="81"/>
      </w:r>
    </w:p>
    <w:p w:rsidR="00620060" w:rsidRDefault="00620060" w:rsidP="00620060">
      <w:pPr>
        <w:rPr>
          <w:sz w:val="20"/>
          <w:szCs w:val="20"/>
          <w:rtl/>
        </w:rPr>
      </w:pPr>
      <w:r w:rsidRPr="002929FB">
        <w:rPr>
          <w:rFonts w:hint="cs"/>
          <w:b/>
          <w:bCs/>
          <w:sz w:val="20"/>
          <w:szCs w:val="20"/>
          <w:rtl/>
        </w:rPr>
        <w:t>סיכום</w:t>
      </w:r>
      <w:r>
        <w:rPr>
          <w:sz w:val="20"/>
          <w:szCs w:val="20"/>
          <w:rtl/>
        </w:rPr>
        <w:br/>
      </w:r>
      <w:r>
        <w:rPr>
          <w:rFonts w:hint="cs"/>
          <w:sz w:val="20"/>
          <w:szCs w:val="20"/>
          <w:rtl/>
        </w:rPr>
        <w:t xml:space="preserve">1. </w:t>
      </w:r>
      <w:r w:rsidRPr="00E90410">
        <w:rPr>
          <w:rStyle w:val="10"/>
          <w:rFonts w:hint="cs"/>
          <w:rtl/>
        </w:rPr>
        <w:t>סעיף א</w:t>
      </w:r>
      <w:r>
        <w:rPr>
          <w:rFonts w:hint="cs"/>
          <w:sz w:val="20"/>
          <w:szCs w:val="20"/>
          <w:rtl/>
        </w:rPr>
        <w:t xml:space="preserve">. </w:t>
      </w:r>
      <w:r w:rsidRPr="002929FB">
        <w:rPr>
          <w:rFonts w:hint="cs"/>
          <w:sz w:val="20"/>
          <w:szCs w:val="20"/>
          <w:u w:val="single"/>
          <w:rtl/>
        </w:rPr>
        <w:t>אשה שיש לה ווסת קבוע</w:t>
      </w:r>
      <w:r>
        <w:rPr>
          <w:rFonts w:hint="cs"/>
          <w:sz w:val="20"/>
          <w:szCs w:val="20"/>
          <w:rtl/>
        </w:rPr>
        <w:t xml:space="preserve">. </w:t>
      </w:r>
      <w:r w:rsidRPr="002929FB">
        <w:rPr>
          <w:rFonts w:hint="cs"/>
          <w:b/>
          <w:bCs/>
          <w:sz w:val="20"/>
          <w:szCs w:val="20"/>
          <w:rtl/>
        </w:rPr>
        <w:t>רי"ף</w:t>
      </w:r>
      <w:r>
        <w:rPr>
          <w:rFonts w:hint="cs"/>
          <w:sz w:val="20"/>
          <w:szCs w:val="20"/>
          <w:rtl/>
        </w:rPr>
        <w:t xml:space="preserve">. א"צ לבדוק כלל, ולא תחמיר כדי שבעלה לא יפרוש ממנה, </w:t>
      </w:r>
      <w:r>
        <w:rPr>
          <w:sz w:val="20"/>
          <w:szCs w:val="20"/>
          <w:rtl/>
        </w:rPr>
        <w:br/>
      </w:r>
      <w:r>
        <w:rPr>
          <w:rFonts w:hint="cs"/>
          <w:sz w:val="20"/>
          <w:szCs w:val="20"/>
          <w:rtl/>
        </w:rPr>
        <w:t xml:space="preserve">וכ"פ </w:t>
      </w:r>
      <w:r w:rsidRPr="002929FB">
        <w:rPr>
          <w:rFonts w:hint="cs"/>
          <w:b/>
          <w:bCs/>
          <w:sz w:val="20"/>
          <w:szCs w:val="20"/>
          <w:rtl/>
        </w:rPr>
        <w:t>המחבר</w:t>
      </w:r>
      <w:r>
        <w:rPr>
          <w:rFonts w:hint="cs"/>
          <w:sz w:val="20"/>
          <w:szCs w:val="20"/>
          <w:rtl/>
        </w:rPr>
        <w:t xml:space="preserve">. </w:t>
      </w:r>
      <w:r w:rsidRPr="002929FB">
        <w:rPr>
          <w:rFonts w:hint="cs"/>
          <w:b/>
          <w:bCs/>
          <w:sz w:val="20"/>
          <w:szCs w:val="20"/>
          <w:rtl/>
        </w:rPr>
        <w:t>רמב"ם</w:t>
      </w:r>
      <w:r>
        <w:rPr>
          <w:rFonts w:hint="cs"/>
          <w:sz w:val="20"/>
          <w:szCs w:val="20"/>
          <w:rtl/>
        </w:rPr>
        <w:t>. לאחר תשמיש שניהם בודקים, והצנועות בודקות אף לפני תשמיש.</w:t>
      </w:r>
      <w:r>
        <w:rPr>
          <w:rFonts w:hint="cs"/>
          <w:sz w:val="20"/>
          <w:szCs w:val="20"/>
          <w:rtl/>
        </w:rPr>
        <w:br/>
        <w:t xml:space="preserve">2. </w:t>
      </w:r>
      <w:r w:rsidRPr="002929FB">
        <w:rPr>
          <w:rFonts w:hint="cs"/>
          <w:b/>
          <w:bCs/>
          <w:sz w:val="20"/>
          <w:szCs w:val="20"/>
          <w:rtl/>
        </w:rPr>
        <w:t>ערוה"ש</w:t>
      </w:r>
      <w:r>
        <w:rPr>
          <w:rFonts w:hint="cs"/>
          <w:sz w:val="20"/>
          <w:szCs w:val="20"/>
          <w:rtl/>
        </w:rPr>
        <w:t xml:space="preserve">. בימינו שהטבילה נעשית לאחר זמן רב מהראייה, אף </w:t>
      </w:r>
      <w:r w:rsidRPr="00FD5268">
        <w:rPr>
          <w:rFonts w:hint="cs"/>
          <w:b/>
          <w:bCs/>
          <w:sz w:val="20"/>
          <w:szCs w:val="20"/>
          <w:rtl/>
        </w:rPr>
        <w:t>הרמב"ם</w:t>
      </w:r>
      <w:r>
        <w:rPr>
          <w:rFonts w:hint="cs"/>
          <w:sz w:val="20"/>
          <w:szCs w:val="20"/>
          <w:rtl/>
        </w:rPr>
        <w:t xml:space="preserve"> מודה שאין צריך לבדוק.</w:t>
      </w:r>
      <w:r>
        <w:rPr>
          <w:sz w:val="20"/>
          <w:szCs w:val="20"/>
          <w:rtl/>
        </w:rPr>
        <w:br/>
      </w:r>
      <w:r>
        <w:rPr>
          <w:rFonts w:hint="cs"/>
          <w:sz w:val="20"/>
          <w:szCs w:val="20"/>
          <w:rtl/>
        </w:rPr>
        <w:t xml:space="preserve">3. </w:t>
      </w:r>
      <w:r w:rsidRPr="00E90410">
        <w:rPr>
          <w:rStyle w:val="10"/>
          <w:rFonts w:hint="cs"/>
          <w:sz w:val="24"/>
          <w:szCs w:val="24"/>
          <w:rtl/>
        </w:rPr>
        <w:t>סעיף ב</w:t>
      </w:r>
      <w:r>
        <w:rPr>
          <w:rFonts w:hint="cs"/>
          <w:sz w:val="20"/>
          <w:szCs w:val="20"/>
          <w:rtl/>
        </w:rPr>
        <w:t xml:space="preserve">. </w:t>
      </w:r>
      <w:r w:rsidRPr="002929FB">
        <w:rPr>
          <w:rFonts w:hint="cs"/>
          <w:sz w:val="20"/>
          <w:szCs w:val="20"/>
          <w:u w:val="single"/>
          <w:rtl/>
        </w:rPr>
        <w:t>אשה שאין לה ווסת קבוע</w:t>
      </w:r>
      <w:r>
        <w:rPr>
          <w:rFonts w:hint="cs"/>
          <w:sz w:val="20"/>
          <w:szCs w:val="20"/>
          <w:rtl/>
        </w:rPr>
        <w:t xml:space="preserve">. </w:t>
      </w:r>
      <w:r w:rsidRPr="002929FB">
        <w:rPr>
          <w:rFonts w:hint="cs"/>
          <w:b/>
          <w:bCs/>
          <w:sz w:val="20"/>
          <w:szCs w:val="20"/>
          <w:rtl/>
        </w:rPr>
        <w:t>רש"י</w:t>
      </w:r>
      <w:r>
        <w:rPr>
          <w:rFonts w:hint="cs"/>
          <w:sz w:val="20"/>
          <w:szCs w:val="20"/>
          <w:rtl/>
        </w:rPr>
        <w:t xml:space="preserve">. א"צ לבדוק כלל, הבדיקות בגמרא נאמרו רק לגבי טהרות. </w:t>
      </w:r>
      <w:r w:rsidRPr="002929FB">
        <w:rPr>
          <w:rFonts w:hint="cs"/>
          <w:b/>
          <w:bCs/>
          <w:sz w:val="20"/>
          <w:szCs w:val="20"/>
          <w:rtl/>
        </w:rPr>
        <w:t>ר"ח</w:t>
      </w:r>
      <w:r>
        <w:rPr>
          <w:rFonts w:hint="cs"/>
          <w:sz w:val="20"/>
          <w:szCs w:val="20"/>
          <w:rtl/>
        </w:rPr>
        <w:t xml:space="preserve">. יש לבדוק לפני תשמיש ולאחר תשמיש. </w:t>
      </w:r>
      <w:r w:rsidRPr="002929FB">
        <w:rPr>
          <w:rFonts w:hint="cs"/>
          <w:b/>
          <w:bCs/>
          <w:sz w:val="20"/>
          <w:szCs w:val="20"/>
          <w:rtl/>
        </w:rPr>
        <w:t>רמב"ם</w:t>
      </w:r>
      <w:r>
        <w:rPr>
          <w:rFonts w:hint="cs"/>
          <w:sz w:val="20"/>
          <w:szCs w:val="20"/>
          <w:rtl/>
        </w:rPr>
        <w:t xml:space="preserve">. כר"ח, אלא שאף האיש צריך לבדוק לאחר תשמיש. </w:t>
      </w:r>
      <w:r w:rsidRPr="002929FB">
        <w:rPr>
          <w:rFonts w:hint="cs"/>
          <w:b/>
          <w:bCs/>
          <w:sz w:val="20"/>
          <w:szCs w:val="20"/>
          <w:rtl/>
        </w:rPr>
        <w:t>רי"ף</w:t>
      </w:r>
      <w:r>
        <w:rPr>
          <w:rFonts w:hint="cs"/>
          <w:sz w:val="20"/>
          <w:szCs w:val="20"/>
          <w:rtl/>
        </w:rPr>
        <w:t xml:space="preserve">. רק בג' פעמים הראשונות צריך לבדוק, ואם לא ראתה בהם דם מותרת מכאן ולעולם ללא בדיקה, וכ"פ </w:t>
      </w:r>
      <w:r w:rsidRPr="002929FB">
        <w:rPr>
          <w:rFonts w:hint="cs"/>
          <w:b/>
          <w:bCs/>
          <w:sz w:val="20"/>
          <w:szCs w:val="20"/>
          <w:rtl/>
        </w:rPr>
        <w:t>המחבר</w:t>
      </w:r>
      <w:r>
        <w:rPr>
          <w:rFonts w:hint="cs"/>
          <w:sz w:val="20"/>
          <w:szCs w:val="20"/>
          <w:rtl/>
        </w:rPr>
        <w:t>.</w:t>
      </w:r>
      <w:r>
        <w:rPr>
          <w:sz w:val="20"/>
          <w:szCs w:val="20"/>
          <w:rtl/>
        </w:rPr>
        <w:br/>
      </w:r>
      <w:r>
        <w:rPr>
          <w:rFonts w:hint="cs"/>
          <w:sz w:val="20"/>
          <w:szCs w:val="20"/>
          <w:rtl/>
        </w:rPr>
        <w:lastRenderedPageBreak/>
        <w:t xml:space="preserve">4. </w:t>
      </w:r>
      <w:r w:rsidRPr="002929FB">
        <w:rPr>
          <w:rFonts w:hint="cs"/>
          <w:b/>
          <w:bCs/>
          <w:sz w:val="20"/>
          <w:szCs w:val="20"/>
          <w:rtl/>
        </w:rPr>
        <w:t>רא"ש</w:t>
      </w:r>
      <w:r>
        <w:rPr>
          <w:rFonts w:hint="cs"/>
          <w:sz w:val="20"/>
          <w:szCs w:val="20"/>
          <w:rtl/>
        </w:rPr>
        <w:t xml:space="preserve">. היה נראה לפסוק כרש"י, אך לא מלאו ליבו לחלוק על ר"ח. </w:t>
      </w:r>
      <w:r w:rsidRPr="00A443C9">
        <w:rPr>
          <w:rFonts w:hint="cs"/>
          <w:b/>
          <w:bCs/>
          <w:sz w:val="20"/>
          <w:szCs w:val="20"/>
          <w:rtl/>
        </w:rPr>
        <w:t>רשב"א</w:t>
      </w:r>
      <w:r>
        <w:rPr>
          <w:rFonts w:hint="cs"/>
          <w:sz w:val="20"/>
          <w:szCs w:val="20"/>
          <w:rtl/>
        </w:rPr>
        <w:t>. הלכה כרי"ף.</w:t>
      </w:r>
      <w:r>
        <w:rPr>
          <w:sz w:val="20"/>
          <w:szCs w:val="20"/>
          <w:rtl/>
        </w:rPr>
        <w:br/>
      </w:r>
      <w:r>
        <w:rPr>
          <w:rFonts w:hint="cs"/>
          <w:sz w:val="20"/>
          <w:szCs w:val="20"/>
          <w:rtl/>
        </w:rPr>
        <w:t xml:space="preserve">5. עיקר מחלוקת רש"י והראשונים תלויה בהבנת תירוץ הגמרא "מאן דמתני הא לא מתני הא". </w:t>
      </w:r>
      <w:r w:rsidRPr="00A443C9">
        <w:rPr>
          <w:rFonts w:hint="cs"/>
          <w:b/>
          <w:bCs/>
          <w:sz w:val="20"/>
          <w:szCs w:val="20"/>
          <w:rtl/>
        </w:rPr>
        <w:t>רש"י</w:t>
      </w:r>
      <w:r>
        <w:rPr>
          <w:rFonts w:hint="cs"/>
          <w:sz w:val="20"/>
          <w:szCs w:val="20"/>
          <w:rtl/>
        </w:rPr>
        <w:t xml:space="preserve"> </w:t>
      </w:r>
      <w:r>
        <w:rPr>
          <w:sz w:val="20"/>
          <w:szCs w:val="20"/>
          <w:rtl/>
        </w:rPr>
        <w:t>–</w:t>
      </w:r>
      <w:r>
        <w:rPr>
          <w:rFonts w:hint="cs"/>
          <w:sz w:val="20"/>
          <w:szCs w:val="20"/>
          <w:rtl/>
        </w:rPr>
        <w:t xml:space="preserve"> זו כפילות הוראות בדעת שמואל, ולכו"ע בדיקה רק לעסוקה בטהרות. שאר הראשונים </w:t>
      </w:r>
      <w:r>
        <w:rPr>
          <w:sz w:val="20"/>
          <w:szCs w:val="20"/>
          <w:rtl/>
        </w:rPr>
        <w:t>–</w:t>
      </w:r>
      <w:r>
        <w:rPr>
          <w:rFonts w:hint="cs"/>
          <w:sz w:val="20"/>
          <w:szCs w:val="20"/>
          <w:rtl/>
        </w:rPr>
        <w:t xml:space="preserve"> זו מחלוקת בדעת שמואל האם הבדיקה נועדה רק לעסוקה בטהרות, ופסקו כרב יהודה שפסק כרבי חנינא דבעי בדיקה.</w:t>
      </w:r>
      <w:r>
        <w:rPr>
          <w:rFonts w:hint="cs"/>
          <w:sz w:val="20"/>
          <w:szCs w:val="20"/>
          <w:rtl/>
        </w:rPr>
        <w:br/>
        <w:t xml:space="preserve">6. </w:t>
      </w:r>
      <w:r w:rsidRPr="004A40BC">
        <w:rPr>
          <w:rFonts w:hint="cs"/>
          <w:b/>
          <w:bCs/>
          <w:sz w:val="20"/>
          <w:szCs w:val="20"/>
          <w:rtl/>
        </w:rPr>
        <w:t>מחבר</w:t>
      </w:r>
      <w:r>
        <w:rPr>
          <w:rFonts w:hint="cs"/>
          <w:sz w:val="20"/>
          <w:szCs w:val="20"/>
          <w:rtl/>
        </w:rPr>
        <w:t xml:space="preserve">. הביא את </w:t>
      </w:r>
      <w:r w:rsidRPr="004A40BC">
        <w:rPr>
          <w:rFonts w:hint="cs"/>
          <w:sz w:val="20"/>
          <w:szCs w:val="20"/>
          <w:rtl/>
        </w:rPr>
        <w:t>הרי"ף</w:t>
      </w:r>
      <w:r>
        <w:rPr>
          <w:rFonts w:hint="cs"/>
          <w:sz w:val="20"/>
          <w:szCs w:val="20"/>
          <w:rtl/>
        </w:rPr>
        <w:t xml:space="preserve"> בסתמא, לאחר מכן הביא את שיטת הר"ח ואח"כ את הרמב"ם, משמע דעתו כרי"ף.</w:t>
      </w:r>
      <w:r>
        <w:rPr>
          <w:sz w:val="20"/>
          <w:szCs w:val="20"/>
          <w:rtl/>
        </w:rPr>
        <w:br/>
      </w:r>
      <w:r>
        <w:rPr>
          <w:rFonts w:hint="cs"/>
          <w:sz w:val="20"/>
          <w:szCs w:val="20"/>
          <w:rtl/>
        </w:rPr>
        <w:t xml:space="preserve">7. </w:t>
      </w:r>
      <w:r w:rsidRPr="004A40BC">
        <w:rPr>
          <w:rFonts w:hint="cs"/>
          <w:b/>
          <w:bCs/>
          <w:sz w:val="20"/>
          <w:szCs w:val="20"/>
          <w:rtl/>
        </w:rPr>
        <w:t>ש"ך</w:t>
      </w:r>
      <w:r>
        <w:rPr>
          <w:rFonts w:hint="cs"/>
          <w:sz w:val="20"/>
          <w:szCs w:val="20"/>
          <w:rtl/>
        </w:rPr>
        <w:t>. הבנת הראשונים ברי"ף מוטעית. הוראת הרי"ף נאמרה רק לגבי רואה מחמת תשמיש, אך בעלמא א"צ לבדוק אלא רק לטהרות, כרש"י. ומש"ה פסק הרי"ף דין זה רק בהלכות כתובות ולא בהלכות נידה.</w:t>
      </w:r>
      <w:r>
        <w:rPr>
          <w:sz w:val="20"/>
          <w:szCs w:val="20"/>
          <w:rtl/>
        </w:rPr>
        <w:br/>
      </w:r>
      <w:r w:rsidRPr="00012ED5">
        <w:rPr>
          <w:rFonts w:hint="cs"/>
          <w:sz w:val="20"/>
          <w:szCs w:val="20"/>
          <w:rtl/>
        </w:rPr>
        <w:t xml:space="preserve">הכרעת </w:t>
      </w:r>
      <w:r w:rsidRPr="00012ED5">
        <w:rPr>
          <w:rFonts w:hint="cs"/>
          <w:b/>
          <w:bCs/>
          <w:sz w:val="20"/>
          <w:szCs w:val="20"/>
          <w:rtl/>
        </w:rPr>
        <w:t>הש"ך</w:t>
      </w:r>
      <w:r>
        <w:rPr>
          <w:rFonts w:hint="cs"/>
          <w:sz w:val="20"/>
          <w:szCs w:val="20"/>
          <w:rtl/>
        </w:rPr>
        <w:t xml:space="preserve"> </w:t>
      </w:r>
      <w:r>
        <w:rPr>
          <w:sz w:val="20"/>
          <w:szCs w:val="20"/>
          <w:rtl/>
        </w:rPr>
        <w:t>–</w:t>
      </w:r>
      <w:r>
        <w:rPr>
          <w:rFonts w:hint="cs"/>
          <w:sz w:val="20"/>
          <w:szCs w:val="20"/>
          <w:rtl/>
        </w:rPr>
        <w:t xml:space="preserve"> אין לבדוק כלל, ואף אין להחמיר בכך כדי שבעלה לא יפרוש ממנה.</w:t>
      </w:r>
      <w:r>
        <w:rPr>
          <w:sz w:val="20"/>
          <w:szCs w:val="20"/>
          <w:rtl/>
        </w:rPr>
        <w:br/>
      </w:r>
      <w:r>
        <w:rPr>
          <w:rFonts w:hint="cs"/>
          <w:sz w:val="20"/>
          <w:szCs w:val="20"/>
          <w:rtl/>
        </w:rPr>
        <w:t xml:space="preserve">8. </w:t>
      </w:r>
      <w:r w:rsidRPr="004A40BC">
        <w:rPr>
          <w:rFonts w:hint="cs"/>
          <w:b/>
          <w:bCs/>
          <w:sz w:val="20"/>
          <w:szCs w:val="20"/>
          <w:rtl/>
        </w:rPr>
        <w:t>תוה"ש</w:t>
      </w:r>
      <w:r>
        <w:rPr>
          <w:rFonts w:hint="cs"/>
          <w:sz w:val="20"/>
          <w:szCs w:val="20"/>
          <w:rtl/>
        </w:rPr>
        <w:t xml:space="preserve">. דברי הש"ך דחויים, כיוון שמלבד הרי"ף איתא גם שיטת הרא"ש שפסק כר"ח. </w:t>
      </w:r>
      <w:r>
        <w:rPr>
          <w:sz w:val="20"/>
          <w:szCs w:val="20"/>
          <w:rtl/>
        </w:rPr>
        <w:br/>
      </w:r>
      <w:r>
        <w:rPr>
          <w:rFonts w:hint="cs"/>
          <w:sz w:val="20"/>
          <w:szCs w:val="20"/>
          <w:rtl/>
        </w:rPr>
        <w:t xml:space="preserve">לדינא </w:t>
      </w:r>
      <w:r>
        <w:rPr>
          <w:sz w:val="20"/>
          <w:szCs w:val="20"/>
          <w:rtl/>
        </w:rPr>
        <w:t>–</w:t>
      </w:r>
      <w:r>
        <w:rPr>
          <w:rFonts w:hint="cs"/>
          <w:sz w:val="20"/>
          <w:szCs w:val="20"/>
          <w:rtl/>
        </w:rPr>
        <w:t xml:space="preserve"> במקום שנהגו להקל אין להחמיר, אך במקום שאין מנהג יש להחמיר ולבדוק.</w:t>
      </w:r>
      <w:r>
        <w:rPr>
          <w:sz w:val="20"/>
          <w:szCs w:val="20"/>
          <w:rtl/>
        </w:rPr>
        <w:br/>
      </w:r>
      <w:r>
        <w:rPr>
          <w:rFonts w:hint="cs"/>
          <w:sz w:val="20"/>
          <w:szCs w:val="20"/>
          <w:rtl/>
        </w:rPr>
        <w:t xml:space="preserve">9. </w:t>
      </w:r>
      <w:r w:rsidRPr="004A40BC">
        <w:rPr>
          <w:rFonts w:hint="cs"/>
          <w:b/>
          <w:bCs/>
          <w:sz w:val="20"/>
          <w:szCs w:val="20"/>
          <w:rtl/>
        </w:rPr>
        <w:t>חוו"ד</w:t>
      </w:r>
      <w:r>
        <w:rPr>
          <w:rFonts w:hint="cs"/>
          <w:sz w:val="20"/>
          <w:szCs w:val="20"/>
          <w:rtl/>
        </w:rPr>
        <w:t>. אף המקלים, מ"מ בעי בדיקה ע"י קינוח. וכן, אם ראתה פ"א בליל התשמיש בעיא בדיקה להבא.</w:t>
      </w:r>
      <w:r>
        <w:rPr>
          <w:rFonts w:hint="cs"/>
          <w:sz w:val="20"/>
          <w:szCs w:val="20"/>
          <w:rtl/>
        </w:rPr>
        <w:br/>
        <w:t xml:space="preserve">10. </w:t>
      </w:r>
      <w:r w:rsidRPr="009357F0">
        <w:rPr>
          <w:rFonts w:hint="cs"/>
          <w:b/>
          <w:bCs/>
          <w:sz w:val="20"/>
          <w:szCs w:val="20"/>
          <w:rtl/>
        </w:rPr>
        <w:t>פת"ש</w:t>
      </w:r>
      <w:r>
        <w:rPr>
          <w:rFonts w:hint="cs"/>
          <w:sz w:val="20"/>
          <w:szCs w:val="20"/>
          <w:rtl/>
        </w:rPr>
        <w:t>. מעוברת ומניקה אינן צריכות בדיקה, אפילו כשאין להן ווסת קבוע.</w:t>
      </w:r>
      <w:r>
        <w:rPr>
          <w:sz w:val="20"/>
          <w:szCs w:val="20"/>
          <w:rtl/>
        </w:rPr>
        <w:br/>
      </w:r>
      <w:r>
        <w:rPr>
          <w:rFonts w:hint="cs"/>
          <w:sz w:val="20"/>
          <w:szCs w:val="20"/>
          <w:rtl/>
        </w:rPr>
        <w:t xml:space="preserve">11. </w:t>
      </w:r>
      <w:r w:rsidRPr="004A40BC">
        <w:rPr>
          <w:rFonts w:hint="cs"/>
          <w:b/>
          <w:bCs/>
          <w:sz w:val="20"/>
          <w:szCs w:val="20"/>
          <w:rtl/>
        </w:rPr>
        <w:t>משנה</w:t>
      </w:r>
      <w:r>
        <w:rPr>
          <w:rFonts w:hint="cs"/>
          <w:sz w:val="20"/>
          <w:szCs w:val="20"/>
          <w:rtl/>
        </w:rPr>
        <w:t xml:space="preserve">. משמשים מיטתם כמה פעמים בלילה. </w:t>
      </w:r>
      <w:r w:rsidRPr="00012ED5">
        <w:rPr>
          <w:rFonts w:hint="cs"/>
          <w:sz w:val="20"/>
          <w:szCs w:val="20"/>
          <w:u w:val="single"/>
          <w:rtl/>
        </w:rPr>
        <w:t>ב"ש</w:t>
      </w:r>
      <w:r>
        <w:rPr>
          <w:rFonts w:hint="cs"/>
          <w:sz w:val="20"/>
          <w:szCs w:val="20"/>
          <w:rtl/>
        </w:rPr>
        <w:t xml:space="preserve">. שני עדים על כל תשמיש. </w:t>
      </w:r>
      <w:r w:rsidRPr="00012ED5">
        <w:rPr>
          <w:rFonts w:hint="cs"/>
          <w:sz w:val="20"/>
          <w:szCs w:val="20"/>
          <w:u w:val="single"/>
          <w:rtl/>
        </w:rPr>
        <w:t>ב"ה</w:t>
      </w:r>
      <w:r>
        <w:rPr>
          <w:rFonts w:hint="cs"/>
          <w:sz w:val="20"/>
          <w:szCs w:val="20"/>
          <w:rtl/>
        </w:rPr>
        <w:t>. שני עדים לכל הלילה.</w:t>
      </w:r>
      <w:r>
        <w:rPr>
          <w:sz w:val="20"/>
          <w:szCs w:val="20"/>
          <w:rtl/>
        </w:rPr>
        <w:br/>
      </w:r>
      <w:r>
        <w:rPr>
          <w:rFonts w:hint="cs"/>
          <w:sz w:val="20"/>
          <w:szCs w:val="20"/>
          <w:rtl/>
        </w:rPr>
        <w:t xml:space="preserve">12. </w:t>
      </w:r>
      <w:r w:rsidRPr="004A40BC">
        <w:rPr>
          <w:rFonts w:hint="cs"/>
          <w:b/>
          <w:bCs/>
          <w:sz w:val="20"/>
          <w:szCs w:val="20"/>
          <w:rtl/>
        </w:rPr>
        <w:t>גמרא</w:t>
      </w:r>
      <w:r>
        <w:rPr>
          <w:rFonts w:hint="cs"/>
          <w:sz w:val="20"/>
          <w:szCs w:val="20"/>
          <w:rtl/>
        </w:rPr>
        <w:t xml:space="preserve">. </w:t>
      </w:r>
      <w:r w:rsidRPr="00D95CA5">
        <w:rPr>
          <w:rFonts w:hint="cs"/>
          <w:sz w:val="20"/>
          <w:szCs w:val="20"/>
          <w:u w:val="single"/>
          <w:rtl/>
        </w:rPr>
        <w:t>רבי זירא</w:t>
      </w:r>
      <w:r>
        <w:rPr>
          <w:rFonts w:hint="cs"/>
          <w:sz w:val="20"/>
          <w:szCs w:val="20"/>
          <w:rtl/>
        </w:rPr>
        <w:t xml:space="preserve">. בעל נפש לא יבעול וישנה ללא בדיקה בינתיים. </w:t>
      </w:r>
      <w:r w:rsidRPr="00D95CA5">
        <w:rPr>
          <w:rFonts w:hint="cs"/>
          <w:sz w:val="20"/>
          <w:szCs w:val="20"/>
          <w:u w:val="single"/>
          <w:rtl/>
        </w:rPr>
        <w:t>רבא</w:t>
      </w:r>
      <w:r>
        <w:rPr>
          <w:rFonts w:hint="cs"/>
          <w:sz w:val="20"/>
          <w:szCs w:val="20"/>
          <w:rtl/>
        </w:rPr>
        <w:t>. מותר, המשנה קאי רק לטהרות.</w:t>
      </w:r>
      <w:r>
        <w:rPr>
          <w:rFonts w:hint="cs"/>
          <w:sz w:val="20"/>
          <w:szCs w:val="20"/>
          <w:rtl/>
        </w:rPr>
        <w:br/>
        <w:t xml:space="preserve">13. </w:t>
      </w:r>
      <w:r w:rsidRPr="004A40BC">
        <w:rPr>
          <w:rFonts w:hint="cs"/>
          <w:b/>
          <w:bCs/>
          <w:sz w:val="20"/>
          <w:szCs w:val="20"/>
          <w:rtl/>
        </w:rPr>
        <w:t>רמב"ם</w:t>
      </w:r>
      <w:r>
        <w:rPr>
          <w:rFonts w:hint="cs"/>
          <w:sz w:val="20"/>
          <w:szCs w:val="20"/>
          <w:rtl/>
        </w:rPr>
        <w:t xml:space="preserve">. הלכה כרבי זירא. </w:t>
      </w:r>
      <w:r w:rsidRPr="00012ED5">
        <w:rPr>
          <w:rFonts w:hint="cs"/>
          <w:b/>
          <w:bCs/>
          <w:sz w:val="20"/>
          <w:szCs w:val="20"/>
          <w:rtl/>
        </w:rPr>
        <w:t>רמב"ן ורשב"א</w:t>
      </w:r>
      <w:r>
        <w:rPr>
          <w:rFonts w:hint="cs"/>
          <w:sz w:val="20"/>
          <w:szCs w:val="20"/>
          <w:rtl/>
        </w:rPr>
        <w:t xml:space="preserve">. הלכה כרבא. </w:t>
      </w:r>
      <w:r>
        <w:rPr>
          <w:sz w:val="20"/>
          <w:szCs w:val="20"/>
          <w:rtl/>
        </w:rPr>
        <w:br/>
      </w:r>
      <w:r>
        <w:rPr>
          <w:rFonts w:hint="cs"/>
          <w:sz w:val="20"/>
          <w:szCs w:val="20"/>
          <w:rtl/>
        </w:rPr>
        <w:t xml:space="preserve">14. </w:t>
      </w:r>
      <w:r w:rsidRPr="004A40BC">
        <w:rPr>
          <w:rFonts w:hint="cs"/>
          <w:b/>
          <w:bCs/>
          <w:sz w:val="20"/>
          <w:szCs w:val="20"/>
          <w:rtl/>
        </w:rPr>
        <w:t>רמ"א</w:t>
      </w:r>
      <w:r>
        <w:rPr>
          <w:rFonts w:hint="cs"/>
          <w:sz w:val="20"/>
          <w:szCs w:val="20"/>
          <w:rtl/>
        </w:rPr>
        <w:t xml:space="preserve">. הביא את דברי הרמב"ם. נפק"מ לדידן </w:t>
      </w:r>
      <w:r>
        <w:rPr>
          <w:sz w:val="20"/>
          <w:szCs w:val="20"/>
          <w:rtl/>
        </w:rPr>
        <w:t>–</w:t>
      </w:r>
      <w:r>
        <w:rPr>
          <w:rFonts w:hint="cs"/>
          <w:sz w:val="20"/>
          <w:szCs w:val="20"/>
          <w:rtl/>
        </w:rPr>
        <w:t xml:space="preserve"> אע"פ שהרי"ף בעי בדיקה לאחר תשמיש, מ"מ ניתן להניחו ולעיין בו רק בבוקר, וי"א שה"ה גם בבדיקה לפני תשמיש. </w:t>
      </w:r>
      <w:r w:rsidRPr="004A40BC">
        <w:rPr>
          <w:rFonts w:hint="cs"/>
          <w:b/>
          <w:bCs/>
          <w:sz w:val="20"/>
          <w:szCs w:val="20"/>
          <w:rtl/>
        </w:rPr>
        <w:t>בדה"ש</w:t>
      </w:r>
      <w:r>
        <w:rPr>
          <w:rFonts w:hint="cs"/>
          <w:sz w:val="20"/>
          <w:szCs w:val="20"/>
          <w:rtl/>
        </w:rPr>
        <w:t>. לדינא אין להקל כרמ"א.</w:t>
      </w:r>
      <w:r>
        <w:rPr>
          <w:sz w:val="20"/>
          <w:szCs w:val="20"/>
          <w:rtl/>
        </w:rPr>
        <w:br/>
      </w:r>
      <w:r>
        <w:rPr>
          <w:rFonts w:hint="cs"/>
          <w:sz w:val="20"/>
          <w:szCs w:val="20"/>
          <w:rtl/>
        </w:rPr>
        <w:t xml:space="preserve">15. </w:t>
      </w:r>
      <w:r w:rsidRPr="004A40BC">
        <w:rPr>
          <w:rFonts w:hint="cs"/>
          <w:b/>
          <w:bCs/>
          <w:sz w:val="20"/>
          <w:szCs w:val="20"/>
          <w:rtl/>
        </w:rPr>
        <w:t>גמרא</w:t>
      </w:r>
      <w:r>
        <w:rPr>
          <w:rFonts w:hint="cs"/>
          <w:sz w:val="20"/>
          <w:szCs w:val="20"/>
          <w:rtl/>
        </w:rPr>
        <w:t xml:space="preserve">. בדקה ואבד העד, מחלוקת האם מותרת לשמש. </w:t>
      </w:r>
      <w:r w:rsidRPr="004A40BC">
        <w:rPr>
          <w:rFonts w:hint="cs"/>
          <w:b/>
          <w:bCs/>
          <w:sz w:val="20"/>
          <w:szCs w:val="20"/>
          <w:rtl/>
        </w:rPr>
        <w:t>רמ"א</w:t>
      </w:r>
      <w:r>
        <w:rPr>
          <w:rFonts w:hint="cs"/>
          <w:sz w:val="20"/>
          <w:szCs w:val="20"/>
          <w:rtl/>
        </w:rPr>
        <w:t>. אסור לשמש אם העד אבד ותבדוק שוב.</w:t>
      </w:r>
    </w:p>
    <w:p w:rsidR="00620060" w:rsidRDefault="00620060" w:rsidP="00620060">
      <w:pPr>
        <w:rPr>
          <w:sz w:val="20"/>
          <w:szCs w:val="20"/>
          <w:rtl/>
        </w:rPr>
      </w:pPr>
      <w:r w:rsidRPr="00552CB3">
        <w:rPr>
          <w:b/>
          <w:bCs/>
          <w:sz w:val="20"/>
          <w:szCs w:val="20"/>
          <w:rtl/>
        </w:rPr>
        <w:br/>
      </w:r>
      <w:r w:rsidRPr="00552CB3">
        <w:rPr>
          <w:rFonts w:hint="cs"/>
          <w:b/>
          <w:bCs/>
          <w:sz w:val="20"/>
          <w:szCs w:val="20"/>
          <w:rtl/>
        </w:rPr>
        <w:t xml:space="preserve">סעיף ג </w:t>
      </w:r>
      <w:r w:rsidRPr="00552CB3">
        <w:rPr>
          <w:b/>
          <w:bCs/>
          <w:sz w:val="20"/>
          <w:szCs w:val="20"/>
          <w:rtl/>
        </w:rPr>
        <w:t>–</w:t>
      </w:r>
      <w:r w:rsidRPr="00552CB3">
        <w:rPr>
          <w:rFonts w:hint="cs"/>
          <w:b/>
          <w:bCs/>
          <w:sz w:val="20"/>
          <w:szCs w:val="20"/>
          <w:rtl/>
        </w:rPr>
        <w:t xml:space="preserve"> ווסת חצי קבוע</w:t>
      </w:r>
      <w:r w:rsidRPr="00552CB3">
        <w:rPr>
          <w:b/>
          <w:bCs/>
          <w:sz w:val="20"/>
          <w:szCs w:val="20"/>
          <w:rtl/>
        </w:rPr>
        <w:br/>
      </w:r>
      <w:r w:rsidRPr="00552CB3">
        <w:rPr>
          <w:rFonts w:hint="cs"/>
          <w:b/>
          <w:bCs/>
          <w:sz w:val="20"/>
          <w:szCs w:val="20"/>
          <w:rtl/>
        </w:rPr>
        <w:t>פסיקת הלכה</w:t>
      </w:r>
      <w:r w:rsidRPr="00552CB3">
        <w:rPr>
          <w:b/>
          <w:bCs/>
          <w:sz w:val="20"/>
          <w:szCs w:val="20"/>
          <w:rtl/>
        </w:rPr>
        <w:br/>
      </w:r>
      <w:r w:rsidRPr="00552CB3">
        <w:rPr>
          <w:rFonts w:hint="cs"/>
          <w:b/>
          <w:bCs/>
          <w:sz w:val="20"/>
          <w:szCs w:val="20"/>
          <w:rtl/>
        </w:rPr>
        <w:t>שולחן ערוך</w:t>
      </w:r>
      <w:r>
        <w:rPr>
          <w:rFonts w:hint="cs"/>
          <w:sz w:val="20"/>
          <w:szCs w:val="20"/>
          <w:rtl/>
        </w:rPr>
        <w:t xml:space="preserve"> </w:t>
      </w:r>
      <w:r w:rsidRPr="00552CB3">
        <w:rPr>
          <w:rFonts w:hint="cs"/>
          <w:sz w:val="18"/>
          <w:szCs w:val="18"/>
          <w:rtl/>
        </w:rPr>
        <w:t xml:space="preserve">(ע"פ </w:t>
      </w:r>
      <w:r w:rsidRPr="00552CB3">
        <w:rPr>
          <w:rFonts w:hint="cs"/>
          <w:b/>
          <w:bCs/>
          <w:sz w:val="18"/>
          <w:szCs w:val="18"/>
          <w:rtl/>
        </w:rPr>
        <w:t>תרומת הדשן</w:t>
      </w:r>
      <w:r w:rsidRPr="00552CB3">
        <w:rPr>
          <w:rFonts w:hint="cs"/>
          <w:sz w:val="18"/>
          <w:szCs w:val="18"/>
          <w:rtl/>
        </w:rPr>
        <w:t xml:space="preserve">) </w:t>
      </w:r>
      <w:r>
        <w:rPr>
          <w:sz w:val="20"/>
          <w:szCs w:val="20"/>
          <w:rtl/>
        </w:rPr>
        <w:t>–</w:t>
      </w:r>
      <w:r>
        <w:rPr>
          <w:rFonts w:hint="cs"/>
          <w:sz w:val="20"/>
          <w:szCs w:val="20"/>
          <w:rtl/>
        </w:rPr>
        <w:t xml:space="preserve"> "</w:t>
      </w:r>
      <w:r w:rsidRPr="00552CB3">
        <w:rPr>
          <w:rFonts w:cs="Arial" w:hint="cs"/>
          <w:sz w:val="20"/>
          <w:szCs w:val="20"/>
          <w:rtl/>
        </w:rPr>
        <w:t>אשה</w:t>
      </w:r>
      <w:r w:rsidRPr="00552CB3">
        <w:rPr>
          <w:rFonts w:cs="Arial"/>
          <w:sz w:val="20"/>
          <w:szCs w:val="20"/>
          <w:rtl/>
        </w:rPr>
        <w:t xml:space="preserve"> </w:t>
      </w:r>
      <w:r w:rsidRPr="00552CB3">
        <w:rPr>
          <w:rFonts w:cs="Arial" w:hint="cs"/>
          <w:sz w:val="20"/>
          <w:szCs w:val="20"/>
          <w:rtl/>
        </w:rPr>
        <w:t>שאינה</w:t>
      </w:r>
      <w:r w:rsidRPr="00552CB3">
        <w:rPr>
          <w:rFonts w:cs="Arial"/>
          <w:sz w:val="20"/>
          <w:szCs w:val="20"/>
          <w:rtl/>
        </w:rPr>
        <w:t xml:space="preserve"> </w:t>
      </w:r>
      <w:r w:rsidRPr="00552CB3">
        <w:rPr>
          <w:rFonts w:cs="Arial" w:hint="cs"/>
          <w:sz w:val="20"/>
          <w:szCs w:val="20"/>
          <w:rtl/>
        </w:rPr>
        <w:t>רואה</w:t>
      </w:r>
      <w:r w:rsidRPr="00552CB3">
        <w:rPr>
          <w:rFonts w:cs="Arial"/>
          <w:sz w:val="20"/>
          <w:szCs w:val="20"/>
          <w:rtl/>
        </w:rPr>
        <w:t xml:space="preserve"> </w:t>
      </w:r>
      <w:r w:rsidRPr="00552CB3">
        <w:rPr>
          <w:rFonts w:cs="Arial" w:hint="cs"/>
          <w:sz w:val="20"/>
          <w:szCs w:val="20"/>
          <w:rtl/>
        </w:rPr>
        <w:t>בפחות</w:t>
      </w:r>
      <w:r w:rsidRPr="00552CB3">
        <w:rPr>
          <w:rFonts w:cs="Arial"/>
          <w:sz w:val="20"/>
          <w:szCs w:val="20"/>
          <w:rtl/>
        </w:rPr>
        <w:t xml:space="preserve"> </w:t>
      </w:r>
      <w:r w:rsidRPr="00552CB3">
        <w:rPr>
          <w:rFonts w:cs="Arial" w:hint="cs"/>
          <w:sz w:val="20"/>
          <w:szCs w:val="20"/>
          <w:rtl/>
        </w:rPr>
        <w:t>מי</w:t>
      </w:r>
      <w:r w:rsidRPr="00552CB3">
        <w:rPr>
          <w:rFonts w:cs="Arial"/>
          <w:sz w:val="20"/>
          <w:szCs w:val="20"/>
          <w:rtl/>
        </w:rPr>
        <w:t>"</w:t>
      </w:r>
      <w:r w:rsidRPr="00552CB3">
        <w:rPr>
          <w:rFonts w:cs="Arial" w:hint="cs"/>
          <w:sz w:val="20"/>
          <w:szCs w:val="20"/>
          <w:rtl/>
        </w:rPr>
        <w:t>ד</w:t>
      </w:r>
      <w:r w:rsidRPr="00552CB3">
        <w:rPr>
          <w:rFonts w:cs="Arial"/>
          <w:sz w:val="20"/>
          <w:szCs w:val="20"/>
          <w:rtl/>
        </w:rPr>
        <w:t xml:space="preserve"> </w:t>
      </w:r>
      <w:r w:rsidRPr="00552CB3">
        <w:rPr>
          <w:rFonts w:cs="Arial" w:hint="cs"/>
          <w:sz w:val="20"/>
          <w:szCs w:val="20"/>
          <w:rtl/>
        </w:rPr>
        <w:t>ימים</w:t>
      </w:r>
      <w:r w:rsidRPr="00552CB3">
        <w:rPr>
          <w:rFonts w:cs="Arial"/>
          <w:sz w:val="20"/>
          <w:szCs w:val="20"/>
          <w:rtl/>
        </w:rPr>
        <w:t xml:space="preserve"> </w:t>
      </w:r>
      <w:r w:rsidRPr="00552CB3">
        <w:rPr>
          <w:rFonts w:cs="Arial" w:hint="cs"/>
          <w:sz w:val="20"/>
          <w:szCs w:val="20"/>
          <w:rtl/>
        </w:rPr>
        <w:t>אחר</w:t>
      </w:r>
      <w:r w:rsidRPr="00552CB3">
        <w:rPr>
          <w:rFonts w:cs="Arial"/>
          <w:sz w:val="20"/>
          <w:szCs w:val="20"/>
          <w:rtl/>
        </w:rPr>
        <w:t xml:space="preserve"> </w:t>
      </w:r>
      <w:r w:rsidRPr="00552CB3">
        <w:rPr>
          <w:rFonts w:cs="Arial" w:hint="cs"/>
          <w:sz w:val="20"/>
          <w:szCs w:val="20"/>
          <w:rtl/>
        </w:rPr>
        <w:t>טבילתה</w:t>
      </w:r>
      <w:r w:rsidRPr="00552CB3">
        <w:rPr>
          <w:rFonts w:cs="Arial"/>
          <w:sz w:val="20"/>
          <w:szCs w:val="20"/>
          <w:rtl/>
        </w:rPr>
        <w:t xml:space="preserve">, </w:t>
      </w:r>
      <w:r w:rsidRPr="00552CB3">
        <w:rPr>
          <w:rFonts w:cs="Arial" w:hint="cs"/>
          <w:sz w:val="20"/>
          <w:szCs w:val="20"/>
          <w:rtl/>
        </w:rPr>
        <w:t>אבל</w:t>
      </w:r>
      <w:r w:rsidRPr="00552CB3">
        <w:rPr>
          <w:rFonts w:cs="Arial"/>
          <w:sz w:val="20"/>
          <w:szCs w:val="20"/>
          <w:rtl/>
        </w:rPr>
        <w:t xml:space="preserve"> </w:t>
      </w:r>
      <w:r w:rsidRPr="00552CB3">
        <w:rPr>
          <w:rFonts w:cs="Arial" w:hint="cs"/>
          <w:sz w:val="20"/>
          <w:szCs w:val="20"/>
          <w:rtl/>
        </w:rPr>
        <w:t>לאחר</w:t>
      </w:r>
      <w:r w:rsidRPr="00552CB3">
        <w:rPr>
          <w:rFonts w:cs="Arial"/>
          <w:sz w:val="20"/>
          <w:szCs w:val="20"/>
          <w:rtl/>
        </w:rPr>
        <w:t xml:space="preserve"> </w:t>
      </w:r>
      <w:r w:rsidRPr="00552CB3">
        <w:rPr>
          <w:rFonts w:cs="Arial" w:hint="cs"/>
          <w:sz w:val="20"/>
          <w:szCs w:val="20"/>
          <w:rtl/>
        </w:rPr>
        <w:t>י</w:t>
      </w:r>
      <w:r w:rsidRPr="00552CB3">
        <w:rPr>
          <w:rFonts w:cs="Arial"/>
          <w:sz w:val="20"/>
          <w:szCs w:val="20"/>
          <w:rtl/>
        </w:rPr>
        <w:t>"</w:t>
      </w:r>
      <w:r w:rsidRPr="00552CB3">
        <w:rPr>
          <w:rFonts w:cs="Arial" w:hint="cs"/>
          <w:sz w:val="20"/>
          <w:szCs w:val="20"/>
          <w:rtl/>
        </w:rPr>
        <w:t>ד</w:t>
      </w:r>
      <w:r w:rsidRPr="00552CB3">
        <w:rPr>
          <w:rFonts w:cs="Arial"/>
          <w:sz w:val="20"/>
          <w:szCs w:val="20"/>
          <w:rtl/>
        </w:rPr>
        <w:t xml:space="preserve"> </w:t>
      </w:r>
      <w:r w:rsidRPr="00552CB3">
        <w:rPr>
          <w:rFonts w:cs="Arial" w:hint="cs"/>
          <w:sz w:val="20"/>
          <w:szCs w:val="20"/>
          <w:rtl/>
        </w:rPr>
        <w:t>ימים</w:t>
      </w:r>
      <w:r w:rsidRPr="00552CB3">
        <w:rPr>
          <w:rFonts w:cs="Arial"/>
          <w:sz w:val="20"/>
          <w:szCs w:val="20"/>
          <w:rtl/>
        </w:rPr>
        <w:t xml:space="preserve"> </w:t>
      </w:r>
      <w:r w:rsidRPr="00552CB3">
        <w:rPr>
          <w:rFonts w:cs="Arial" w:hint="cs"/>
          <w:sz w:val="20"/>
          <w:szCs w:val="20"/>
          <w:rtl/>
        </w:rPr>
        <w:t>אין</w:t>
      </w:r>
      <w:r w:rsidRPr="00552CB3">
        <w:rPr>
          <w:rFonts w:cs="Arial"/>
          <w:sz w:val="20"/>
          <w:szCs w:val="20"/>
          <w:rtl/>
        </w:rPr>
        <w:t xml:space="preserve"> </w:t>
      </w:r>
      <w:r w:rsidRPr="00552CB3">
        <w:rPr>
          <w:rFonts w:cs="Arial" w:hint="cs"/>
          <w:sz w:val="20"/>
          <w:szCs w:val="20"/>
          <w:rtl/>
        </w:rPr>
        <w:t>לה</w:t>
      </w:r>
      <w:r w:rsidRPr="00552CB3">
        <w:rPr>
          <w:rFonts w:cs="Arial"/>
          <w:sz w:val="20"/>
          <w:szCs w:val="20"/>
          <w:rtl/>
        </w:rPr>
        <w:t xml:space="preserve"> </w:t>
      </w:r>
      <w:r w:rsidRPr="00552CB3">
        <w:rPr>
          <w:rFonts w:cs="Arial" w:hint="cs"/>
          <w:sz w:val="20"/>
          <w:szCs w:val="20"/>
          <w:rtl/>
        </w:rPr>
        <w:t>קבע</w:t>
      </w:r>
      <w:r w:rsidRPr="00552CB3">
        <w:rPr>
          <w:rFonts w:cs="Arial"/>
          <w:sz w:val="20"/>
          <w:szCs w:val="20"/>
          <w:rtl/>
        </w:rPr>
        <w:t xml:space="preserve">, </w:t>
      </w:r>
      <w:r w:rsidRPr="00552CB3">
        <w:rPr>
          <w:rFonts w:cs="Arial" w:hint="cs"/>
          <w:sz w:val="20"/>
          <w:szCs w:val="20"/>
          <w:rtl/>
        </w:rPr>
        <w:t>עד</w:t>
      </w:r>
      <w:r w:rsidRPr="00552CB3">
        <w:rPr>
          <w:rFonts w:cs="Arial"/>
          <w:sz w:val="20"/>
          <w:szCs w:val="20"/>
          <w:rtl/>
        </w:rPr>
        <w:t xml:space="preserve"> </w:t>
      </w:r>
      <w:r w:rsidRPr="00552CB3">
        <w:rPr>
          <w:rFonts w:cs="Arial" w:hint="cs"/>
          <w:sz w:val="20"/>
          <w:szCs w:val="20"/>
          <w:rtl/>
        </w:rPr>
        <w:t>י</w:t>
      </w:r>
      <w:r w:rsidRPr="00552CB3">
        <w:rPr>
          <w:rFonts w:cs="Arial"/>
          <w:sz w:val="20"/>
          <w:szCs w:val="20"/>
          <w:rtl/>
        </w:rPr>
        <w:t>"</w:t>
      </w:r>
      <w:r w:rsidRPr="00552CB3">
        <w:rPr>
          <w:rFonts w:cs="Arial" w:hint="cs"/>
          <w:sz w:val="20"/>
          <w:szCs w:val="20"/>
          <w:rtl/>
        </w:rPr>
        <w:t>ד</w:t>
      </w:r>
      <w:r w:rsidRPr="00552CB3">
        <w:rPr>
          <w:rFonts w:cs="Arial"/>
          <w:sz w:val="20"/>
          <w:szCs w:val="20"/>
          <w:rtl/>
        </w:rPr>
        <w:t xml:space="preserve"> </w:t>
      </w:r>
      <w:r w:rsidRPr="00552CB3">
        <w:rPr>
          <w:rFonts w:cs="Arial" w:hint="cs"/>
          <w:sz w:val="20"/>
          <w:szCs w:val="20"/>
          <w:rtl/>
        </w:rPr>
        <w:t>יום</w:t>
      </w:r>
      <w:r w:rsidRPr="00552CB3">
        <w:rPr>
          <w:rFonts w:cs="Arial"/>
          <w:sz w:val="20"/>
          <w:szCs w:val="20"/>
          <w:rtl/>
        </w:rPr>
        <w:t xml:space="preserve"> </w:t>
      </w:r>
      <w:r w:rsidRPr="00552CB3">
        <w:rPr>
          <w:rFonts w:cs="Arial" w:hint="cs"/>
          <w:sz w:val="20"/>
          <w:szCs w:val="20"/>
          <w:rtl/>
        </w:rPr>
        <w:t>דינה</w:t>
      </w:r>
      <w:r w:rsidRPr="00552CB3">
        <w:rPr>
          <w:rFonts w:cs="Arial"/>
          <w:sz w:val="20"/>
          <w:szCs w:val="20"/>
          <w:rtl/>
        </w:rPr>
        <w:t xml:space="preserve"> </w:t>
      </w:r>
      <w:r w:rsidRPr="00552CB3">
        <w:rPr>
          <w:rFonts w:cs="Arial" w:hint="cs"/>
          <w:sz w:val="20"/>
          <w:szCs w:val="20"/>
          <w:rtl/>
        </w:rPr>
        <w:t>כדין</w:t>
      </w:r>
      <w:r w:rsidRPr="00552CB3">
        <w:rPr>
          <w:rFonts w:cs="Arial"/>
          <w:sz w:val="20"/>
          <w:szCs w:val="20"/>
          <w:rtl/>
        </w:rPr>
        <w:t xml:space="preserve"> </w:t>
      </w:r>
      <w:r w:rsidRPr="00552CB3">
        <w:rPr>
          <w:rFonts w:cs="Arial" w:hint="cs"/>
          <w:sz w:val="20"/>
          <w:szCs w:val="20"/>
          <w:rtl/>
        </w:rPr>
        <w:t>אשה</w:t>
      </w:r>
      <w:r w:rsidRPr="00552CB3">
        <w:rPr>
          <w:rFonts w:cs="Arial"/>
          <w:sz w:val="20"/>
          <w:szCs w:val="20"/>
          <w:rtl/>
        </w:rPr>
        <w:t xml:space="preserve"> </w:t>
      </w:r>
      <w:r w:rsidRPr="00552CB3">
        <w:rPr>
          <w:rFonts w:cs="Arial" w:hint="cs"/>
          <w:sz w:val="20"/>
          <w:szCs w:val="20"/>
          <w:rtl/>
        </w:rPr>
        <w:t>שיש</w:t>
      </w:r>
      <w:r w:rsidRPr="00552CB3">
        <w:rPr>
          <w:rFonts w:cs="Arial"/>
          <w:sz w:val="20"/>
          <w:szCs w:val="20"/>
          <w:rtl/>
        </w:rPr>
        <w:t xml:space="preserve"> </w:t>
      </w:r>
      <w:r w:rsidRPr="00552CB3">
        <w:rPr>
          <w:rFonts w:cs="Arial" w:hint="cs"/>
          <w:sz w:val="20"/>
          <w:szCs w:val="20"/>
          <w:rtl/>
        </w:rPr>
        <w:t>לה</w:t>
      </w:r>
      <w:r w:rsidRPr="00552CB3">
        <w:rPr>
          <w:rFonts w:cs="Arial"/>
          <w:sz w:val="20"/>
          <w:szCs w:val="20"/>
          <w:rtl/>
        </w:rPr>
        <w:t xml:space="preserve"> </w:t>
      </w:r>
      <w:r w:rsidRPr="00552CB3">
        <w:rPr>
          <w:rFonts w:cs="Arial" w:hint="cs"/>
          <w:sz w:val="20"/>
          <w:szCs w:val="20"/>
          <w:rtl/>
        </w:rPr>
        <w:t>וסת</w:t>
      </w:r>
      <w:r>
        <w:rPr>
          <w:rFonts w:cs="Arial" w:hint="cs"/>
          <w:sz w:val="20"/>
          <w:szCs w:val="20"/>
          <w:rtl/>
        </w:rPr>
        <w:t>".</w:t>
      </w:r>
      <w:r>
        <w:rPr>
          <w:rFonts w:hint="cs"/>
          <w:sz w:val="20"/>
          <w:szCs w:val="20"/>
          <w:rtl/>
        </w:rPr>
        <w:br/>
      </w:r>
      <w:r w:rsidRPr="00EB57F0">
        <w:rPr>
          <w:rFonts w:hint="cs"/>
          <w:b/>
          <w:bCs/>
          <w:sz w:val="20"/>
          <w:szCs w:val="20"/>
          <w:rtl/>
        </w:rPr>
        <w:t>ששבה"ל</w:t>
      </w:r>
      <w:r>
        <w:rPr>
          <w:rFonts w:hint="cs"/>
          <w:sz w:val="20"/>
          <w:szCs w:val="20"/>
          <w:rtl/>
        </w:rPr>
        <w:t xml:space="preserve"> </w:t>
      </w:r>
      <w:r>
        <w:rPr>
          <w:sz w:val="20"/>
          <w:szCs w:val="20"/>
          <w:rtl/>
        </w:rPr>
        <w:t>–</w:t>
      </w:r>
      <w:r>
        <w:rPr>
          <w:rFonts w:hint="cs"/>
          <w:sz w:val="20"/>
          <w:szCs w:val="20"/>
          <w:rtl/>
        </w:rPr>
        <w:t xml:space="preserve"> לפי"ז, דין בדיקות לפני תשמיש המבואר בסעיף הקודם, אינו יכול להיעשות באותם יד' יום כיוון שבהם היא בעלת ווסת קבוע.</w:t>
      </w:r>
      <w:r>
        <w:rPr>
          <w:rStyle w:val="a5"/>
          <w:sz w:val="20"/>
          <w:szCs w:val="20"/>
          <w:rtl/>
        </w:rPr>
        <w:footnoteReference w:id="82"/>
      </w:r>
    </w:p>
    <w:p w:rsidR="00620060" w:rsidRDefault="00620060" w:rsidP="00620060">
      <w:pPr>
        <w:rPr>
          <w:sz w:val="20"/>
          <w:szCs w:val="20"/>
          <w:rtl/>
        </w:rPr>
      </w:pPr>
      <w:r>
        <w:rPr>
          <w:sz w:val="20"/>
          <w:szCs w:val="20"/>
          <w:rtl/>
        </w:rPr>
        <w:br/>
      </w:r>
      <w:r>
        <w:rPr>
          <w:rFonts w:hint="cs"/>
          <w:b/>
          <w:bCs/>
          <w:sz w:val="20"/>
          <w:szCs w:val="20"/>
          <w:rtl/>
        </w:rPr>
        <w:t xml:space="preserve">סעיף ד </w:t>
      </w:r>
      <w:r>
        <w:rPr>
          <w:b/>
          <w:bCs/>
          <w:sz w:val="20"/>
          <w:szCs w:val="20"/>
          <w:rtl/>
        </w:rPr>
        <w:t>–</w:t>
      </w:r>
      <w:r>
        <w:rPr>
          <w:rFonts w:hint="cs"/>
          <w:b/>
          <w:bCs/>
          <w:sz w:val="20"/>
          <w:szCs w:val="20"/>
          <w:rtl/>
        </w:rPr>
        <w:t xml:space="preserve"> נאמנות האשה על העד של האיש</w:t>
      </w:r>
      <w:r>
        <w:rPr>
          <w:b/>
          <w:b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שולחן ערוך </w:t>
      </w:r>
      <w:r>
        <w:rPr>
          <w:rFonts w:hint="cs"/>
          <w:sz w:val="20"/>
          <w:szCs w:val="20"/>
          <w:rtl/>
        </w:rPr>
        <w:t xml:space="preserve">(ע"פ </w:t>
      </w:r>
      <w:r w:rsidRPr="0083753A">
        <w:rPr>
          <w:rFonts w:hint="cs"/>
          <w:b/>
          <w:bCs/>
          <w:sz w:val="20"/>
          <w:szCs w:val="20"/>
          <w:rtl/>
        </w:rPr>
        <w:t>הרמב"ם</w:t>
      </w:r>
      <w:r>
        <w:rPr>
          <w:rFonts w:hint="cs"/>
          <w:sz w:val="20"/>
          <w:szCs w:val="20"/>
          <w:rtl/>
        </w:rPr>
        <w:t xml:space="preserve">) </w:t>
      </w:r>
      <w:r>
        <w:rPr>
          <w:sz w:val="20"/>
          <w:szCs w:val="20"/>
          <w:rtl/>
        </w:rPr>
        <w:t>–</w:t>
      </w:r>
      <w:r>
        <w:rPr>
          <w:rFonts w:hint="cs"/>
          <w:sz w:val="20"/>
          <w:szCs w:val="20"/>
          <w:rtl/>
        </w:rPr>
        <w:t xml:space="preserve"> "</w:t>
      </w:r>
      <w:r w:rsidRPr="0083753A">
        <w:rPr>
          <w:rFonts w:cs="Arial" w:hint="cs"/>
          <w:sz w:val="20"/>
          <w:szCs w:val="20"/>
          <w:rtl/>
        </w:rPr>
        <w:t>יש</w:t>
      </w:r>
      <w:r w:rsidRPr="0083753A">
        <w:rPr>
          <w:rFonts w:cs="Arial"/>
          <w:sz w:val="20"/>
          <w:szCs w:val="20"/>
          <w:rtl/>
        </w:rPr>
        <w:t xml:space="preserve"> </w:t>
      </w:r>
      <w:r w:rsidRPr="0083753A">
        <w:rPr>
          <w:rFonts w:cs="Arial" w:hint="cs"/>
          <w:sz w:val="20"/>
          <w:szCs w:val="20"/>
          <w:rtl/>
        </w:rPr>
        <w:t>לאדם</w:t>
      </w:r>
      <w:r w:rsidRPr="0083753A">
        <w:rPr>
          <w:rFonts w:cs="Arial"/>
          <w:sz w:val="20"/>
          <w:szCs w:val="20"/>
          <w:rtl/>
        </w:rPr>
        <w:t xml:space="preserve"> </w:t>
      </w:r>
      <w:r w:rsidRPr="0083753A">
        <w:rPr>
          <w:rFonts w:cs="Arial" w:hint="cs"/>
          <w:sz w:val="20"/>
          <w:szCs w:val="20"/>
          <w:rtl/>
        </w:rPr>
        <w:t>להניח</w:t>
      </w:r>
      <w:r w:rsidRPr="0083753A">
        <w:rPr>
          <w:rFonts w:cs="Arial"/>
          <w:sz w:val="20"/>
          <w:szCs w:val="20"/>
          <w:rtl/>
        </w:rPr>
        <w:t xml:space="preserve"> </w:t>
      </w:r>
      <w:r w:rsidRPr="0083753A">
        <w:rPr>
          <w:rFonts w:cs="Arial" w:hint="cs"/>
          <w:sz w:val="20"/>
          <w:szCs w:val="20"/>
          <w:rtl/>
        </w:rPr>
        <w:t>את</w:t>
      </w:r>
      <w:r w:rsidRPr="0083753A">
        <w:rPr>
          <w:rFonts w:cs="Arial"/>
          <w:sz w:val="20"/>
          <w:szCs w:val="20"/>
          <w:rtl/>
        </w:rPr>
        <w:t xml:space="preserve"> </w:t>
      </w:r>
      <w:r w:rsidRPr="0083753A">
        <w:rPr>
          <w:rFonts w:cs="Arial" w:hint="cs"/>
          <w:sz w:val="20"/>
          <w:szCs w:val="20"/>
          <w:rtl/>
        </w:rPr>
        <w:t>אשתו</w:t>
      </w:r>
      <w:r w:rsidRPr="0083753A">
        <w:rPr>
          <w:rFonts w:cs="Arial"/>
          <w:sz w:val="20"/>
          <w:szCs w:val="20"/>
          <w:rtl/>
        </w:rPr>
        <w:t xml:space="preserve"> </w:t>
      </w:r>
      <w:r w:rsidRPr="0083753A">
        <w:rPr>
          <w:rFonts w:cs="Arial" w:hint="cs"/>
          <w:sz w:val="20"/>
          <w:szCs w:val="20"/>
          <w:rtl/>
        </w:rPr>
        <w:t>שתבדוק</w:t>
      </w:r>
      <w:r w:rsidRPr="0083753A">
        <w:rPr>
          <w:rFonts w:cs="Arial"/>
          <w:sz w:val="20"/>
          <w:szCs w:val="20"/>
          <w:rtl/>
        </w:rPr>
        <w:t xml:space="preserve"> </w:t>
      </w:r>
      <w:r w:rsidRPr="0083753A">
        <w:rPr>
          <w:rFonts w:cs="Arial" w:hint="cs"/>
          <w:sz w:val="20"/>
          <w:szCs w:val="20"/>
          <w:rtl/>
        </w:rPr>
        <w:t>בעד</w:t>
      </w:r>
      <w:r w:rsidRPr="0083753A">
        <w:rPr>
          <w:rFonts w:cs="Arial"/>
          <w:sz w:val="20"/>
          <w:szCs w:val="20"/>
          <w:rtl/>
        </w:rPr>
        <w:t xml:space="preserve"> </w:t>
      </w:r>
      <w:r w:rsidRPr="0083753A">
        <w:rPr>
          <w:rFonts w:cs="Arial" w:hint="cs"/>
          <w:sz w:val="20"/>
          <w:szCs w:val="20"/>
          <w:rtl/>
        </w:rPr>
        <w:t>שלו</w:t>
      </w:r>
      <w:r>
        <w:rPr>
          <w:rFonts w:cs="Arial" w:hint="cs"/>
          <w:sz w:val="20"/>
          <w:szCs w:val="20"/>
          <w:rtl/>
        </w:rPr>
        <w:t xml:space="preserve"> </w:t>
      </w:r>
      <w:r w:rsidRPr="0083753A">
        <w:rPr>
          <w:rFonts w:cs="Arial" w:hint="cs"/>
          <w:sz w:val="18"/>
          <w:szCs w:val="18"/>
          <w:rtl/>
        </w:rPr>
        <w:t>(ואחר כך תאמר אם העד כולו נקי)</w:t>
      </w:r>
      <w:r w:rsidRPr="0083753A">
        <w:rPr>
          <w:rFonts w:cs="Arial"/>
          <w:sz w:val="20"/>
          <w:szCs w:val="20"/>
          <w:rtl/>
        </w:rPr>
        <w:t xml:space="preserve">, </w:t>
      </w:r>
      <w:r w:rsidRPr="0083753A">
        <w:rPr>
          <w:rFonts w:cs="Arial" w:hint="cs"/>
          <w:sz w:val="20"/>
          <w:szCs w:val="20"/>
          <w:rtl/>
        </w:rPr>
        <w:t>מתוך</w:t>
      </w:r>
      <w:r w:rsidRPr="0083753A">
        <w:rPr>
          <w:rFonts w:cs="Arial"/>
          <w:sz w:val="20"/>
          <w:szCs w:val="20"/>
          <w:rtl/>
        </w:rPr>
        <w:t xml:space="preserve"> </w:t>
      </w:r>
      <w:r w:rsidRPr="0083753A">
        <w:rPr>
          <w:rFonts w:cs="Arial" w:hint="cs"/>
          <w:sz w:val="20"/>
          <w:szCs w:val="20"/>
          <w:rtl/>
        </w:rPr>
        <w:t>שנאמנת</w:t>
      </w:r>
      <w:r w:rsidRPr="0083753A">
        <w:rPr>
          <w:rFonts w:cs="Arial"/>
          <w:sz w:val="20"/>
          <w:szCs w:val="20"/>
          <w:rtl/>
        </w:rPr>
        <w:t xml:space="preserve"> </w:t>
      </w:r>
      <w:r w:rsidRPr="0083753A">
        <w:rPr>
          <w:rFonts w:cs="Arial" w:hint="cs"/>
          <w:sz w:val="20"/>
          <w:szCs w:val="20"/>
          <w:rtl/>
        </w:rPr>
        <w:t>על</w:t>
      </w:r>
      <w:r w:rsidRPr="0083753A">
        <w:rPr>
          <w:rFonts w:cs="Arial"/>
          <w:sz w:val="20"/>
          <w:szCs w:val="20"/>
          <w:rtl/>
        </w:rPr>
        <w:t xml:space="preserve"> </w:t>
      </w:r>
      <w:r w:rsidRPr="0083753A">
        <w:rPr>
          <w:rFonts w:cs="Arial" w:hint="cs"/>
          <w:sz w:val="20"/>
          <w:szCs w:val="20"/>
          <w:rtl/>
        </w:rPr>
        <w:t>שלה</w:t>
      </w:r>
      <w:r w:rsidRPr="0083753A">
        <w:rPr>
          <w:rFonts w:cs="Arial"/>
          <w:sz w:val="20"/>
          <w:szCs w:val="20"/>
          <w:rtl/>
        </w:rPr>
        <w:t xml:space="preserve">, </w:t>
      </w:r>
      <w:r w:rsidRPr="0083753A">
        <w:rPr>
          <w:rFonts w:cs="Arial" w:hint="cs"/>
          <w:sz w:val="20"/>
          <w:szCs w:val="20"/>
          <w:rtl/>
        </w:rPr>
        <w:t>נאמנת</w:t>
      </w:r>
      <w:r w:rsidRPr="0083753A">
        <w:rPr>
          <w:rFonts w:cs="Arial"/>
          <w:sz w:val="20"/>
          <w:szCs w:val="20"/>
          <w:rtl/>
        </w:rPr>
        <w:t xml:space="preserve"> </w:t>
      </w:r>
      <w:r w:rsidRPr="0083753A">
        <w:rPr>
          <w:rFonts w:cs="Arial" w:hint="cs"/>
          <w:sz w:val="20"/>
          <w:szCs w:val="20"/>
          <w:rtl/>
        </w:rPr>
        <w:t>על</w:t>
      </w:r>
      <w:r w:rsidRPr="0083753A">
        <w:rPr>
          <w:rFonts w:cs="Arial"/>
          <w:sz w:val="20"/>
          <w:szCs w:val="20"/>
          <w:rtl/>
        </w:rPr>
        <w:t xml:space="preserve"> </w:t>
      </w:r>
      <w:r w:rsidRPr="0083753A">
        <w:rPr>
          <w:rFonts w:cs="Arial" w:hint="cs"/>
          <w:sz w:val="20"/>
          <w:szCs w:val="20"/>
          <w:rtl/>
        </w:rPr>
        <w:t>שלו</w:t>
      </w:r>
      <w:r>
        <w:rPr>
          <w:rFonts w:cs="Arial" w:hint="cs"/>
          <w:sz w:val="20"/>
          <w:szCs w:val="20"/>
          <w:rtl/>
        </w:rPr>
        <w:t>"</w:t>
      </w:r>
      <w:r w:rsidRPr="0083753A">
        <w:rPr>
          <w:rFonts w:cs="Arial"/>
          <w:sz w:val="20"/>
          <w:szCs w:val="20"/>
          <w:rtl/>
        </w:rPr>
        <w:t>.</w:t>
      </w:r>
    </w:p>
    <w:p w:rsidR="00620060" w:rsidRDefault="00620060" w:rsidP="00620060">
      <w:pPr>
        <w:rPr>
          <w:sz w:val="20"/>
          <w:szCs w:val="20"/>
          <w:rtl/>
        </w:rPr>
      </w:pPr>
      <w:r>
        <w:rPr>
          <w:rFonts w:hint="cs"/>
          <w:sz w:val="20"/>
          <w:szCs w:val="20"/>
          <w:u w:val="single"/>
          <w:rtl/>
        </w:rPr>
        <w:t>האם הבעל נאמן על העד של אשתו?</w:t>
      </w:r>
      <w:r>
        <w:rPr>
          <w:sz w:val="20"/>
          <w:szCs w:val="20"/>
          <w:rtl/>
        </w:rPr>
        <w:br/>
      </w:r>
      <w:r w:rsidRPr="0083753A">
        <w:rPr>
          <w:rFonts w:hint="cs"/>
          <w:b/>
          <w:bCs/>
          <w:sz w:val="20"/>
          <w:szCs w:val="20"/>
          <w:rtl/>
        </w:rPr>
        <w:t>שבט הלוי</w:t>
      </w:r>
      <w:r>
        <w:rPr>
          <w:rFonts w:hint="cs"/>
          <w:sz w:val="20"/>
          <w:szCs w:val="20"/>
          <w:rtl/>
        </w:rPr>
        <w:t xml:space="preserve"> </w:t>
      </w:r>
      <w:r>
        <w:rPr>
          <w:sz w:val="20"/>
          <w:szCs w:val="20"/>
          <w:rtl/>
        </w:rPr>
        <w:t>–</w:t>
      </w:r>
      <w:r>
        <w:rPr>
          <w:rFonts w:hint="cs"/>
          <w:sz w:val="20"/>
          <w:szCs w:val="20"/>
          <w:rtl/>
        </w:rPr>
        <w:t xml:space="preserve"> גם הבעל נאמן על כך שהעד של אשתו נקי.</w:t>
      </w:r>
      <w:r>
        <w:rPr>
          <w:sz w:val="20"/>
          <w:szCs w:val="20"/>
          <w:rtl/>
        </w:rPr>
        <w:br/>
      </w:r>
      <w:r w:rsidRPr="0083753A">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עד אחד נאמן באיסורים, וכן משום שרוב הנשים אינן רואות מחמת תשמיש.</w:t>
      </w:r>
    </w:p>
    <w:p w:rsidR="00620060" w:rsidRPr="001B70C4" w:rsidRDefault="00620060" w:rsidP="00620060">
      <w:pPr>
        <w:rPr>
          <w:sz w:val="20"/>
          <w:szCs w:val="20"/>
        </w:rPr>
      </w:pPr>
      <w:r>
        <w:rPr>
          <w:sz w:val="20"/>
          <w:szCs w:val="20"/>
          <w:rtl/>
        </w:rPr>
        <w:br/>
      </w:r>
      <w:r>
        <w:rPr>
          <w:rFonts w:hint="cs"/>
          <w:b/>
          <w:bCs/>
          <w:sz w:val="20"/>
          <w:szCs w:val="20"/>
          <w:rtl/>
        </w:rPr>
        <w:t xml:space="preserve">סעיף ה </w:t>
      </w:r>
      <w:r>
        <w:rPr>
          <w:b/>
          <w:bCs/>
          <w:sz w:val="20"/>
          <w:szCs w:val="20"/>
          <w:rtl/>
        </w:rPr>
        <w:t>–</w:t>
      </w:r>
      <w:r>
        <w:rPr>
          <w:rFonts w:hint="cs"/>
          <w:b/>
          <w:bCs/>
          <w:sz w:val="20"/>
          <w:szCs w:val="20"/>
          <w:rtl/>
        </w:rPr>
        <w:t xml:space="preserve"> דין רואה מחמת תשמיש</w:t>
      </w:r>
      <w:r>
        <w:rPr>
          <w:b/>
          <w:b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1B70C4">
        <w:rPr>
          <w:rFonts w:cs="Arial" w:hint="cs"/>
          <w:sz w:val="20"/>
          <w:szCs w:val="20"/>
          <w:rtl/>
        </w:rPr>
        <w:t>אם</w:t>
      </w:r>
      <w:r w:rsidRPr="001B70C4">
        <w:rPr>
          <w:rFonts w:cs="Arial"/>
          <w:sz w:val="20"/>
          <w:szCs w:val="20"/>
          <w:rtl/>
        </w:rPr>
        <w:t xml:space="preserve"> </w:t>
      </w:r>
      <w:r w:rsidRPr="001B70C4">
        <w:rPr>
          <w:rFonts w:cs="Arial" w:hint="cs"/>
          <w:sz w:val="20"/>
          <w:szCs w:val="20"/>
          <w:rtl/>
        </w:rPr>
        <w:t>ראתה</w:t>
      </w:r>
      <w:r w:rsidRPr="001B70C4">
        <w:rPr>
          <w:rFonts w:cs="Arial"/>
          <w:sz w:val="20"/>
          <w:szCs w:val="20"/>
          <w:rtl/>
        </w:rPr>
        <w:t xml:space="preserve"> </w:t>
      </w:r>
      <w:r w:rsidRPr="001B70C4">
        <w:rPr>
          <w:rFonts w:cs="Arial" w:hint="cs"/>
          <w:sz w:val="20"/>
          <w:szCs w:val="20"/>
          <w:rtl/>
        </w:rPr>
        <w:t>דם</w:t>
      </w:r>
      <w:r w:rsidRPr="001B70C4">
        <w:rPr>
          <w:rFonts w:cs="Arial"/>
          <w:sz w:val="20"/>
          <w:szCs w:val="20"/>
          <w:rtl/>
        </w:rPr>
        <w:t xml:space="preserve"> </w:t>
      </w:r>
      <w:r w:rsidRPr="001B70C4">
        <w:rPr>
          <w:rFonts w:cs="Arial" w:hint="cs"/>
          <w:sz w:val="20"/>
          <w:szCs w:val="20"/>
          <w:rtl/>
        </w:rPr>
        <w:t>מחמת</w:t>
      </w:r>
      <w:r w:rsidRPr="001B70C4">
        <w:rPr>
          <w:rFonts w:cs="Arial"/>
          <w:sz w:val="20"/>
          <w:szCs w:val="20"/>
          <w:rtl/>
        </w:rPr>
        <w:t xml:space="preserve"> </w:t>
      </w:r>
      <w:r w:rsidRPr="001B70C4">
        <w:rPr>
          <w:rFonts w:cs="Arial" w:hint="cs"/>
          <w:sz w:val="20"/>
          <w:szCs w:val="20"/>
          <w:rtl/>
        </w:rPr>
        <w:t>תשמיש</w:t>
      </w:r>
      <w:r w:rsidRPr="001B70C4">
        <w:rPr>
          <w:rFonts w:cs="Arial"/>
          <w:sz w:val="20"/>
          <w:szCs w:val="20"/>
          <w:rtl/>
        </w:rPr>
        <w:t xml:space="preserve"> </w:t>
      </w:r>
      <w:r w:rsidRPr="001B70C4">
        <w:rPr>
          <w:rFonts w:cs="Arial" w:hint="cs"/>
          <w:sz w:val="20"/>
          <w:szCs w:val="20"/>
          <w:rtl/>
        </w:rPr>
        <w:t>שלש</w:t>
      </w:r>
      <w:r w:rsidRPr="001B70C4">
        <w:rPr>
          <w:rFonts w:cs="Arial"/>
          <w:sz w:val="20"/>
          <w:szCs w:val="20"/>
          <w:rtl/>
        </w:rPr>
        <w:t xml:space="preserve"> </w:t>
      </w:r>
      <w:r w:rsidRPr="001B70C4">
        <w:rPr>
          <w:rFonts w:cs="Arial" w:hint="cs"/>
          <w:sz w:val="20"/>
          <w:szCs w:val="20"/>
          <w:rtl/>
        </w:rPr>
        <w:t>פעמים</w:t>
      </w:r>
      <w:r w:rsidRPr="001B70C4">
        <w:rPr>
          <w:rFonts w:cs="Arial"/>
          <w:sz w:val="20"/>
          <w:szCs w:val="20"/>
          <w:rtl/>
        </w:rPr>
        <w:t xml:space="preserve"> </w:t>
      </w:r>
      <w:r w:rsidRPr="001B70C4">
        <w:rPr>
          <w:rFonts w:cs="Arial" w:hint="cs"/>
          <w:sz w:val="20"/>
          <w:szCs w:val="20"/>
          <w:rtl/>
        </w:rPr>
        <w:t>רצופים</w:t>
      </w:r>
      <w:r w:rsidRPr="001B70C4">
        <w:rPr>
          <w:rFonts w:cs="Arial"/>
          <w:sz w:val="20"/>
          <w:szCs w:val="20"/>
          <w:rtl/>
        </w:rPr>
        <w:t xml:space="preserve">, </w:t>
      </w:r>
      <w:r w:rsidRPr="001B70C4">
        <w:rPr>
          <w:rFonts w:cs="Arial" w:hint="cs"/>
          <w:sz w:val="20"/>
          <w:szCs w:val="20"/>
          <w:rtl/>
        </w:rPr>
        <w:t>אסורה</w:t>
      </w:r>
      <w:r w:rsidRPr="001B70C4">
        <w:rPr>
          <w:rFonts w:cs="Arial"/>
          <w:sz w:val="20"/>
          <w:szCs w:val="20"/>
          <w:rtl/>
        </w:rPr>
        <w:t xml:space="preserve"> </w:t>
      </w:r>
      <w:r w:rsidRPr="001B70C4">
        <w:rPr>
          <w:rFonts w:cs="Arial" w:hint="cs"/>
          <w:sz w:val="20"/>
          <w:szCs w:val="20"/>
          <w:rtl/>
        </w:rPr>
        <w:t>לשמש</w:t>
      </w:r>
      <w:r w:rsidRPr="001B70C4">
        <w:rPr>
          <w:rFonts w:cs="Arial"/>
          <w:sz w:val="20"/>
          <w:szCs w:val="20"/>
          <w:rtl/>
        </w:rPr>
        <w:t xml:space="preserve"> </w:t>
      </w:r>
      <w:r w:rsidRPr="001B70C4">
        <w:rPr>
          <w:rFonts w:cs="Arial" w:hint="cs"/>
          <w:sz w:val="20"/>
          <w:szCs w:val="20"/>
          <w:rtl/>
        </w:rPr>
        <w:t>לעולם</w:t>
      </w:r>
      <w:r w:rsidRPr="001B70C4">
        <w:rPr>
          <w:rFonts w:cs="Arial"/>
          <w:sz w:val="20"/>
          <w:szCs w:val="20"/>
          <w:rtl/>
        </w:rPr>
        <w:t xml:space="preserve"> </w:t>
      </w:r>
      <w:r w:rsidRPr="001B70C4">
        <w:rPr>
          <w:rFonts w:cs="Arial" w:hint="cs"/>
          <w:sz w:val="20"/>
          <w:szCs w:val="20"/>
          <w:rtl/>
        </w:rPr>
        <w:t>עם</w:t>
      </w:r>
      <w:r w:rsidRPr="001B70C4">
        <w:rPr>
          <w:rFonts w:cs="Arial"/>
          <w:sz w:val="20"/>
          <w:szCs w:val="20"/>
          <w:rtl/>
        </w:rPr>
        <w:t xml:space="preserve"> </w:t>
      </w:r>
      <w:r w:rsidRPr="001B70C4">
        <w:rPr>
          <w:rFonts w:cs="Arial" w:hint="cs"/>
          <w:sz w:val="20"/>
          <w:szCs w:val="20"/>
          <w:rtl/>
        </w:rPr>
        <w:t>אותו</w:t>
      </w:r>
      <w:r w:rsidRPr="001B70C4">
        <w:rPr>
          <w:rFonts w:cs="Arial"/>
          <w:sz w:val="20"/>
          <w:szCs w:val="20"/>
          <w:rtl/>
        </w:rPr>
        <w:t xml:space="preserve"> </w:t>
      </w:r>
      <w:r w:rsidRPr="001B70C4">
        <w:rPr>
          <w:rFonts w:cs="Arial" w:hint="cs"/>
          <w:sz w:val="20"/>
          <w:szCs w:val="20"/>
          <w:rtl/>
        </w:rPr>
        <w:t>בעל</w:t>
      </w:r>
      <w:r w:rsidRPr="001B70C4">
        <w:rPr>
          <w:rFonts w:cs="Arial"/>
          <w:sz w:val="20"/>
          <w:szCs w:val="20"/>
          <w:rtl/>
        </w:rPr>
        <w:t xml:space="preserve">, </w:t>
      </w:r>
      <w:r w:rsidRPr="001B70C4">
        <w:rPr>
          <w:rFonts w:cs="Arial" w:hint="cs"/>
          <w:sz w:val="20"/>
          <w:szCs w:val="20"/>
          <w:rtl/>
        </w:rPr>
        <w:t>ויתבאר</w:t>
      </w:r>
      <w:r w:rsidRPr="001B70C4">
        <w:rPr>
          <w:rFonts w:cs="Arial"/>
          <w:sz w:val="20"/>
          <w:szCs w:val="20"/>
          <w:rtl/>
        </w:rPr>
        <w:t xml:space="preserve"> </w:t>
      </w:r>
      <w:r w:rsidRPr="001B70C4">
        <w:rPr>
          <w:rFonts w:cs="Arial" w:hint="cs"/>
          <w:sz w:val="20"/>
          <w:szCs w:val="20"/>
          <w:rtl/>
        </w:rPr>
        <w:t>בסימן</w:t>
      </w:r>
      <w:r w:rsidRPr="001B70C4">
        <w:rPr>
          <w:rFonts w:cs="Arial"/>
          <w:sz w:val="20"/>
          <w:szCs w:val="20"/>
          <w:rtl/>
        </w:rPr>
        <w:t xml:space="preserve"> </w:t>
      </w:r>
      <w:r w:rsidRPr="001B70C4">
        <w:rPr>
          <w:rFonts w:cs="Arial" w:hint="cs"/>
          <w:sz w:val="20"/>
          <w:szCs w:val="20"/>
          <w:rtl/>
        </w:rPr>
        <w:t>שאחר</w:t>
      </w:r>
      <w:r w:rsidRPr="001B70C4">
        <w:rPr>
          <w:rFonts w:cs="Arial"/>
          <w:sz w:val="20"/>
          <w:szCs w:val="20"/>
          <w:rtl/>
        </w:rPr>
        <w:t xml:space="preserve"> </w:t>
      </w:r>
      <w:r w:rsidRPr="001B70C4">
        <w:rPr>
          <w:rFonts w:cs="Arial" w:hint="cs"/>
          <w:sz w:val="20"/>
          <w:szCs w:val="20"/>
          <w:rtl/>
        </w:rPr>
        <w:t>זה</w:t>
      </w:r>
      <w:r>
        <w:rPr>
          <w:rFonts w:cs="Arial" w:hint="cs"/>
          <w:sz w:val="20"/>
          <w:szCs w:val="20"/>
          <w:rtl/>
        </w:rPr>
        <w:t>".</w:t>
      </w:r>
    </w:p>
    <w:p w:rsidR="00620060" w:rsidRPr="00E87324" w:rsidRDefault="00620060" w:rsidP="00620060">
      <w:pPr>
        <w:rPr>
          <w:sz w:val="20"/>
          <w:szCs w:val="20"/>
          <w:rtl/>
        </w:rPr>
      </w:pPr>
    </w:p>
    <w:p w:rsidR="00620060" w:rsidRPr="00BE4255" w:rsidRDefault="00620060" w:rsidP="00620060">
      <w:pPr>
        <w:rPr>
          <w:sz w:val="20"/>
          <w:szCs w:val="20"/>
          <w:rtl/>
        </w:rPr>
      </w:pPr>
      <w:r>
        <w:rPr>
          <w:sz w:val="20"/>
          <w:szCs w:val="20"/>
          <w:u w:val="single"/>
          <w:rtl/>
        </w:rPr>
        <w:br/>
      </w:r>
      <w:r>
        <w:rPr>
          <w:sz w:val="20"/>
          <w:szCs w:val="20"/>
          <w:rtl/>
        </w:rPr>
        <w:br/>
      </w:r>
    </w:p>
    <w:p w:rsidR="00620060" w:rsidRPr="00C759E3" w:rsidRDefault="00620060" w:rsidP="00620060">
      <w:pPr>
        <w:rPr>
          <w:b/>
          <w:bCs/>
          <w:sz w:val="20"/>
          <w:szCs w:val="20"/>
          <w:rtl/>
        </w:rPr>
      </w:pPr>
      <w:bookmarkStart w:id="0" w:name="_GoBack"/>
      <w:r w:rsidRPr="00C759E3">
        <w:rPr>
          <w:rFonts w:hint="cs"/>
          <w:b/>
          <w:bCs/>
          <w:sz w:val="20"/>
          <w:szCs w:val="20"/>
          <w:rtl/>
        </w:rPr>
        <w:lastRenderedPageBreak/>
        <w:t xml:space="preserve">בעזרת </w:t>
      </w:r>
      <w:bookmarkEnd w:id="0"/>
      <w:r w:rsidRPr="00C759E3">
        <w:rPr>
          <w:rFonts w:hint="cs"/>
          <w:b/>
          <w:bCs/>
          <w:sz w:val="20"/>
          <w:szCs w:val="20"/>
          <w:rtl/>
        </w:rPr>
        <w:t>ה' יתברך</w:t>
      </w:r>
    </w:p>
    <w:p w:rsidR="00620060" w:rsidRPr="00C759E3" w:rsidRDefault="00620060" w:rsidP="00620060">
      <w:pPr>
        <w:rPr>
          <w:b/>
          <w:bCs/>
          <w:sz w:val="20"/>
          <w:szCs w:val="20"/>
          <w:rtl/>
        </w:rPr>
      </w:pPr>
      <w:r w:rsidRPr="00C759E3">
        <w:rPr>
          <w:rFonts w:hint="cs"/>
          <w:b/>
          <w:bCs/>
          <w:sz w:val="20"/>
          <w:szCs w:val="20"/>
          <w:rtl/>
        </w:rPr>
        <w:t xml:space="preserve">סימן קפז </w:t>
      </w:r>
      <w:r w:rsidRPr="00C759E3">
        <w:rPr>
          <w:b/>
          <w:bCs/>
          <w:sz w:val="20"/>
          <w:szCs w:val="20"/>
          <w:rtl/>
        </w:rPr>
        <w:t>–</w:t>
      </w:r>
      <w:r w:rsidRPr="00C759E3">
        <w:rPr>
          <w:rFonts w:hint="cs"/>
          <w:b/>
          <w:bCs/>
          <w:sz w:val="20"/>
          <w:szCs w:val="20"/>
          <w:rtl/>
        </w:rPr>
        <w:t xml:space="preserve"> רואה דם מחמת תשמיש</w:t>
      </w:r>
    </w:p>
    <w:p w:rsidR="00620060" w:rsidRDefault="00620060" w:rsidP="00620060">
      <w:pPr>
        <w:rPr>
          <w:sz w:val="20"/>
          <w:szCs w:val="20"/>
          <w:rtl/>
        </w:rPr>
      </w:pPr>
      <w:r w:rsidRPr="00C759E3">
        <w:rPr>
          <w:rFonts w:hint="cs"/>
          <w:b/>
          <w:bCs/>
          <w:sz w:val="20"/>
          <w:szCs w:val="20"/>
          <w:rtl/>
        </w:rPr>
        <w:t>סעיף א</w:t>
      </w:r>
      <w:r>
        <w:rPr>
          <w:rFonts w:hint="cs"/>
          <w:b/>
          <w:bCs/>
          <w:sz w:val="20"/>
          <w:szCs w:val="20"/>
          <w:rtl/>
        </w:rPr>
        <w:t xml:space="preserve"> </w:t>
      </w:r>
      <w:r>
        <w:rPr>
          <w:b/>
          <w:bCs/>
          <w:sz w:val="20"/>
          <w:szCs w:val="20"/>
          <w:rtl/>
        </w:rPr>
        <w:t>–</w:t>
      </w:r>
      <w:r>
        <w:rPr>
          <w:rFonts w:hint="cs"/>
          <w:b/>
          <w:bCs/>
          <w:sz w:val="20"/>
          <w:szCs w:val="20"/>
          <w:rtl/>
        </w:rPr>
        <w:t xml:space="preserve"> אשה שראתה דם ג' פעמים מחמת תשמיש אסורה לבעלה</w:t>
      </w:r>
      <w:r w:rsidRPr="00C759E3">
        <w:rPr>
          <w:b/>
          <w:bCs/>
          <w:sz w:val="20"/>
          <w:szCs w:val="20"/>
          <w:rtl/>
        </w:rPr>
        <w:br/>
      </w:r>
      <w:r w:rsidRPr="00C759E3">
        <w:rPr>
          <w:rFonts w:hint="cs"/>
          <w:b/>
          <w:bCs/>
          <w:sz w:val="20"/>
          <w:szCs w:val="20"/>
          <w:rtl/>
        </w:rPr>
        <w:t>מקור הדין</w:t>
      </w:r>
      <w:r w:rsidRPr="00C759E3">
        <w:rPr>
          <w:b/>
          <w:bCs/>
          <w:sz w:val="20"/>
          <w:szCs w:val="20"/>
          <w:rtl/>
        </w:rPr>
        <w:br/>
      </w:r>
      <w:r w:rsidRPr="00C759E3">
        <w:rPr>
          <w:rFonts w:hint="cs"/>
          <w:b/>
          <w:bCs/>
          <w:sz w:val="20"/>
          <w:szCs w:val="20"/>
          <w:rtl/>
        </w:rPr>
        <w:t xml:space="preserve">גמרא </w:t>
      </w:r>
      <w:r>
        <w:rPr>
          <w:rFonts w:hint="cs"/>
          <w:sz w:val="20"/>
          <w:szCs w:val="20"/>
          <w:rtl/>
        </w:rPr>
        <w:t>נידה (סה:) "</w:t>
      </w:r>
      <w:r w:rsidRPr="00C759E3">
        <w:rPr>
          <w:rFonts w:cs="Arial" w:hint="cs"/>
          <w:sz w:val="20"/>
          <w:szCs w:val="20"/>
          <w:rtl/>
        </w:rPr>
        <w:t>תנו</w:t>
      </w:r>
      <w:r w:rsidRPr="00C759E3">
        <w:rPr>
          <w:rFonts w:cs="Arial"/>
          <w:sz w:val="20"/>
          <w:szCs w:val="20"/>
          <w:rtl/>
        </w:rPr>
        <w:t xml:space="preserve"> </w:t>
      </w:r>
      <w:r w:rsidRPr="00C759E3">
        <w:rPr>
          <w:rFonts w:cs="Arial" w:hint="cs"/>
          <w:sz w:val="20"/>
          <w:szCs w:val="20"/>
          <w:rtl/>
        </w:rPr>
        <w:t>רבנן</w:t>
      </w:r>
      <w:r w:rsidRPr="00C759E3">
        <w:rPr>
          <w:rFonts w:cs="Arial"/>
          <w:sz w:val="20"/>
          <w:szCs w:val="20"/>
          <w:rtl/>
        </w:rPr>
        <w:t xml:space="preserve">: </w:t>
      </w:r>
      <w:r w:rsidRPr="00C759E3">
        <w:rPr>
          <w:rFonts w:cs="Arial" w:hint="cs"/>
          <w:sz w:val="20"/>
          <w:szCs w:val="20"/>
          <w:rtl/>
        </w:rPr>
        <w:t>הרואה</w:t>
      </w:r>
      <w:r w:rsidRPr="00C759E3">
        <w:rPr>
          <w:rFonts w:cs="Arial"/>
          <w:sz w:val="20"/>
          <w:szCs w:val="20"/>
          <w:rtl/>
        </w:rPr>
        <w:t xml:space="preserve"> </w:t>
      </w:r>
      <w:r w:rsidRPr="00C759E3">
        <w:rPr>
          <w:rFonts w:cs="Arial" w:hint="cs"/>
          <w:sz w:val="20"/>
          <w:szCs w:val="20"/>
          <w:rtl/>
        </w:rPr>
        <w:t>דם</w:t>
      </w:r>
      <w:r w:rsidRPr="00C759E3">
        <w:rPr>
          <w:rFonts w:cs="Arial"/>
          <w:sz w:val="20"/>
          <w:szCs w:val="20"/>
          <w:rtl/>
        </w:rPr>
        <w:t xml:space="preserve"> </w:t>
      </w:r>
      <w:r w:rsidRPr="00C759E3">
        <w:rPr>
          <w:rFonts w:cs="Arial" w:hint="cs"/>
          <w:sz w:val="20"/>
          <w:szCs w:val="20"/>
          <w:rtl/>
        </w:rPr>
        <w:t>מחמת</w:t>
      </w:r>
      <w:r w:rsidRPr="00C759E3">
        <w:rPr>
          <w:rFonts w:cs="Arial"/>
          <w:sz w:val="20"/>
          <w:szCs w:val="20"/>
          <w:rtl/>
        </w:rPr>
        <w:t xml:space="preserve"> </w:t>
      </w:r>
      <w:r w:rsidRPr="00C759E3">
        <w:rPr>
          <w:rFonts w:cs="Arial" w:hint="cs"/>
          <w:sz w:val="20"/>
          <w:szCs w:val="20"/>
          <w:rtl/>
        </w:rPr>
        <w:t>תשמיש</w:t>
      </w:r>
      <w:r>
        <w:rPr>
          <w:rStyle w:val="a5"/>
          <w:rFonts w:cs="Arial"/>
          <w:sz w:val="20"/>
          <w:szCs w:val="20"/>
          <w:rtl/>
        </w:rPr>
        <w:footnoteReference w:id="83"/>
      </w:r>
      <w:r w:rsidRPr="00C759E3">
        <w:rPr>
          <w:rFonts w:cs="Arial"/>
          <w:sz w:val="20"/>
          <w:szCs w:val="20"/>
          <w:rtl/>
        </w:rPr>
        <w:t xml:space="preserve"> - </w:t>
      </w:r>
      <w:r w:rsidRPr="00C759E3">
        <w:rPr>
          <w:rFonts w:cs="Arial" w:hint="cs"/>
          <w:sz w:val="20"/>
          <w:szCs w:val="20"/>
          <w:rtl/>
        </w:rPr>
        <w:t>משמשת</w:t>
      </w:r>
      <w:r w:rsidRPr="00C759E3">
        <w:rPr>
          <w:rFonts w:cs="Arial"/>
          <w:sz w:val="20"/>
          <w:szCs w:val="20"/>
          <w:rtl/>
        </w:rPr>
        <w:t xml:space="preserve"> </w:t>
      </w:r>
      <w:r w:rsidRPr="00C759E3">
        <w:rPr>
          <w:rFonts w:cs="Arial" w:hint="cs"/>
          <w:sz w:val="20"/>
          <w:szCs w:val="20"/>
          <w:rtl/>
        </w:rPr>
        <w:t>פעם</w:t>
      </w:r>
      <w:r w:rsidRPr="00C759E3">
        <w:rPr>
          <w:rFonts w:cs="Arial"/>
          <w:sz w:val="20"/>
          <w:szCs w:val="20"/>
          <w:rtl/>
        </w:rPr>
        <w:t xml:space="preserve"> </w:t>
      </w:r>
      <w:r w:rsidRPr="00C759E3">
        <w:rPr>
          <w:rFonts w:cs="Arial" w:hint="cs"/>
          <w:sz w:val="20"/>
          <w:szCs w:val="20"/>
          <w:rtl/>
        </w:rPr>
        <w:t>ראשונה</w:t>
      </w:r>
      <w:r w:rsidRPr="00C759E3">
        <w:rPr>
          <w:rFonts w:cs="Arial"/>
          <w:sz w:val="20"/>
          <w:szCs w:val="20"/>
          <w:rtl/>
        </w:rPr>
        <w:t xml:space="preserve"> </w:t>
      </w:r>
      <w:r w:rsidRPr="00C759E3">
        <w:rPr>
          <w:rFonts w:cs="Arial" w:hint="cs"/>
          <w:sz w:val="20"/>
          <w:szCs w:val="20"/>
          <w:rtl/>
        </w:rPr>
        <w:t>ושניה</w:t>
      </w:r>
      <w:r w:rsidRPr="00C759E3">
        <w:rPr>
          <w:rFonts w:cs="Arial"/>
          <w:sz w:val="20"/>
          <w:szCs w:val="20"/>
          <w:rtl/>
        </w:rPr>
        <w:t xml:space="preserve"> </w:t>
      </w:r>
      <w:r w:rsidRPr="00C759E3">
        <w:rPr>
          <w:rFonts w:cs="Arial" w:hint="cs"/>
          <w:sz w:val="20"/>
          <w:szCs w:val="20"/>
          <w:rtl/>
        </w:rPr>
        <w:t>ושלישית</w:t>
      </w:r>
      <w:r w:rsidRPr="00C759E3">
        <w:rPr>
          <w:rFonts w:cs="Arial"/>
          <w:sz w:val="20"/>
          <w:szCs w:val="20"/>
          <w:rtl/>
        </w:rPr>
        <w:t xml:space="preserve">, </w:t>
      </w:r>
      <w:r w:rsidRPr="00C759E3">
        <w:rPr>
          <w:rFonts w:cs="Arial" w:hint="cs"/>
          <w:sz w:val="20"/>
          <w:szCs w:val="20"/>
          <w:rtl/>
        </w:rPr>
        <w:t>מכאן</w:t>
      </w:r>
      <w:r w:rsidRPr="00C759E3">
        <w:rPr>
          <w:rFonts w:cs="Arial"/>
          <w:sz w:val="20"/>
          <w:szCs w:val="20"/>
          <w:rtl/>
        </w:rPr>
        <w:t xml:space="preserve"> </w:t>
      </w:r>
      <w:r w:rsidRPr="00C759E3">
        <w:rPr>
          <w:rFonts w:cs="Arial" w:hint="cs"/>
          <w:sz w:val="20"/>
          <w:szCs w:val="20"/>
          <w:rtl/>
        </w:rPr>
        <w:t>ואילך</w:t>
      </w:r>
      <w:r w:rsidRPr="00C759E3">
        <w:rPr>
          <w:rFonts w:cs="Arial"/>
          <w:sz w:val="20"/>
          <w:szCs w:val="20"/>
          <w:rtl/>
        </w:rPr>
        <w:t xml:space="preserve"> - </w:t>
      </w:r>
      <w:r w:rsidRPr="00C759E3">
        <w:rPr>
          <w:rFonts w:cs="Arial" w:hint="cs"/>
          <w:sz w:val="20"/>
          <w:szCs w:val="20"/>
          <w:rtl/>
        </w:rPr>
        <w:t>לא</w:t>
      </w:r>
      <w:r w:rsidRPr="00C759E3">
        <w:rPr>
          <w:rFonts w:cs="Arial"/>
          <w:sz w:val="20"/>
          <w:szCs w:val="20"/>
          <w:rtl/>
        </w:rPr>
        <w:t xml:space="preserve"> </w:t>
      </w:r>
      <w:r w:rsidRPr="00C759E3">
        <w:rPr>
          <w:rFonts w:cs="Arial" w:hint="cs"/>
          <w:sz w:val="20"/>
          <w:szCs w:val="20"/>
          <w:rtl/>
        </w:rPr>
        <w:t>תשמש</w:t>
      </w:r>
      <w:r w:rsidRPr="00C759E3">
        <w:rPr>
          <w:rFonts w:cs="Arial"/>
          <w:sz w:val="20"/>
          <w:szCs w:val="20"/>
          <w:rtl/>
        </w:rPr>
        <w:t xml:space="preserve">, </w:t>
      </w:r>
      <w:r w:rsidRPr="00C759E3">
        <w:rPr>
          <w:rFonts w:cs="Arial" w:hint="cs"/>
          <w:sz w:val="20"/>
          <w:szCs w:val="20"/>
          <w:rtl/>
        </w:rPr>
        <w:t>עד</w:t>
      </w:r>
      <w:r w:rsidRPr="00C759E3">
        <w:rPr>
          <w:rFonts w:cs="Arial"/>
          <w:sz w:val="20"/>
          <w:szCs w:val="20"/>
          <w:rtl/>
        </w:rPr>
        <w:t xml:space="preserve"> </w:t>
      </w:r>
      <w:r w:rsidRPr="00C759E3">
        <w:rPr>
          <w:rFonts w:cs="Arial" w:hint="cs"/>
          <w:sz w:val="20"/>
          <w:szCs w:val="20"/>
          <w:rtl/>
        </w:rPr>
        <w:t>שתתגרש</w:t>
      </w:r>
      <w:r>
        <w:rPr>
          <w:rFonts w:cs="Arial" w:hint="cs"/>
          <w:sz w:val="20"/>
          <w:szCs w:val="20"/>
          <w:rtl/>
        </w:rPr>
        <w:t xml:space="preserve"> </w:t>
      </w:r>
      <w:r w:rsidRPr="00C759E3">
        <w:rPr>
          <w:rFonts w:cs="Arial" w:hint="cs"/>
          <w:sz w:val="20"/>
          <w:szCs w:val="20"/>
          <w:rtl/>
        </w:rPr>
        <w:t>ות</w:t>
      </w:r>
      <w:r>
        <w:rPr>
          <w:rFonts w:cs="Arial" w:hint="cs"/>
          <w:sz w:val="20"/>
          <w:szCs w:val="20"/>
          <w:rtl/>
        </w:rPr>
        <w:t>י</w:t>
      </w:r>
      <w:r w:rsidRPr="00C759E3">
        <w:rPr>
          <w:rFonts w:cs="Arial" w:hint="cs"/>
          <w:sz w:val="20"/>
          <w:szCs w:val="20"/>
          <w:rtl/>
        </w:rPr>
        <w:t>נשא</w:t>
      </w:r>
      <w:r w:rsidRPr="00C759E3">
        <w:rPr>
          <w:rFonts w:cs="Arial"/>
          <w:sz w:val="20"/>
          <w:szCs w:val="20"/>
          <w:rtl/>
        </w:rPr>
        <w:t xml:space="preserve"> </w:t>
      </w:r>
      <w:r w:rsidRPr="00C759E3">
        <w:rPr>
          <w:rFonts w:cs="Arial" w:hint="cs"/>
          <w:sz w:val="20"/>
          <w:szCs w:val="20"/>
          <w:rtl/>
        </w:rPr>
        <w:t>לאחר</w:t>
      </w:r>
      <w:r w:rsidRPr="00C759E3">
        <w:rPr>
          <w:rFonts w:cs="Arial"/>
          <w:sz w:val="20"/>
          <w:szCs w:val="20"/>
          <w:rtl/>
        </w:rPr>
        <w:t xml:space="preserve">. </w:t>
      </w:r>
      <w:r w:rsidRPr="00C759E3">
        <w:rPr>
          <w:rFonts w:cs="Arial" w:hint="cs"/>
          <w:sz w:val="20"/>
          <w:szCs w:val="20"/>
          <w:rtl/>
        </w:rPr>
        <w:t>ניסת</w:t>
      </w:r>
      <w:r w:rsidRPr="00C759E3">
        <w:rPr>
          <w:rFonts w:cs="Arial"/>
          <w:sz w:val="20"/>
          <w:szCs w:val="20"/>
          <w:rtl/>
        </w:rPr>
        <w:t xml:space="preserve"> </w:t>
      </w:r>
      <w:r w:rsidRPr="00C759E3">
        <w:rPr>
          <w:rFonts w:cs="Arial" w:hint="cs"/>
          <w:sz w:val="20"/>
          <w:szCs w:val="20"/>
          <w:rtl/>
        </w:rPr>
        <w:t>לאחר</w:t>
      </w:r>
      <w:r w:rsidRPr="00C759E3">
        <w:rPr>
          <w:rFonts w:cs="Arial"/>
          <w:sz w:val="20"/>
          <w:szCs w:val="20"/>
          <w:rtl/>
        </w:rPr>
        <w:t xml:space="preserve"> </w:t>
      </w:r>
      <w:r w:rsidRPr="00C759E3">
        <w:rPr>
          <w:rFonts w:cs="Arial" w:hint="cs"/>
          <w:sz w:val="20"/>
          <w:szCs w:val="20"/>
          <w:rtl/>
        </w:rPr>
        <w:t>וראתה</w:t>
      </w:r>
      <w:r w:rsidRPr="00C759E3">
        <w:rPr>
          <w:rFonts w:cs="Arial"/>
          <w:sz w:val="20"/>
          <w:szCs w:val="20"/>
          <w:rtl/>
        </w:rPr>
        <w:t xml:space="preserve"> </w:t>
      </w:r>
      <w:r w:rsidRPr="00C759E3">
        <w:rPr>
          <w:rFonts w:cs="Arial" w:hint="cs"/>
          <w:sz w:val="20"/>
          <w:szCs w:val="20"/>
          <w:rtl/>
        </w:rPr>
        <w:t>דם</w:t>
      </w:r>
      <w:r w:rsidRPr="00C759E3">
        <w:rPr>
          <w:rFonts w:cs="Arial"/>
          <w:sz w:val="20"/>
          <w:szCs w:val="20"/>
          <w:rtl/>
        </w:rPr>
        <w:t xml:space="preserve"> </w:t>
      </w:r>
      <w:r w:rsidRPr="00C759E3">
        <w:rPr>
          <w:rFonts w:cs="Arial" w:hint="cs"/>
          <w:sz w:val="20"/>
          <w:szCs w:val="20"/>
          <w:rtl/>
        </w:rPr>
        <w:t>מחמת</w:t>
      </w:r>
      <w:r w:rsidRPr="00C759E3">
        <w:rPr>
          <w:rFonts w:cs="Arial"/>
          <w:sz w:val="20"/>
          <w:szCs w:val="20"/>
          <w:rtl/>
        </w:rPr>
        <w:t xml:space="preserve"> </w:t>
      </w:r>
      <w:r w:rsidRPr="00C759E3">
        <w:rPr>
          <w:rFonts w:cs="Arial" w:hint="cs"/>
          <w:sz w:val="20"/>
          <w:szCs w:val="20"/>
          <w:rtl/>
        </w:rPr>
        <w:t>תשמיש</w:t>
      </w:r>
      <w:r w:rsidRPr="00C759E3">
        <w:rPr>
          <w:rFonts w:cs="Arial"/>
          <w:sz w:val="20"/>
          <w:szCs w:val="20"/>
          <w:rtl/>
        </w:rPr>
        <w:t xml:space="preserve"> - </w:t>
      </w:r>
      <w:r w:rsidRPr="00C759E3">
        <w:rPr>
          <w:rFonts w:cs="Arial" w:hint="cs"/>
          <w:sz w:val="20"/>
          <w:szCs w:val="20"/>
          <w:rtl/>
        </w:rPr>
        <w:t>משמשת</w:t>
      </w:r>
      <w:r w:rsidRPr="00C759E3">
        <w:rPr>
          <w:rFonts w:cs="Arial"/>
          <w:sz w:val="20"/>
          <w:szCs w:val="20"/>
          <w:rtl/>
        </w:rPr>
        <w:t xml:space="preserve"> </w:t>
      </w:r>
      <w:r w:rsidRPr="00C759E3">
        <w:rPr>
          <w:rFonts w:cs="Arial" w:hint="cs"/>
          <w:sz w:val="20"/>
          <w:szCs w:val="20"/>
          <w:rtl/>
        </w:rPr>
        <w:t>פעם</w:t>
      </w:r>
      <w:r w:rsidRPr="00C759E3">
        <w:rPr>
          <w:rFonts w:cs="Arial"/>
          <w:sz w:val="20"/>
          <w:szCs w:val="20"/>
          <w:rtl/>
        </w:rPr>
        <w:t xml:space="preserve"> </w:t>
      </w:r>
      <w:r w:rsidRPr="00C759E3">
        <w:rPr>
          <w:rFonts w:cs="Arial" w:hint="cs"/>
          <w:sz w:val="20"/>
          <w:szCs w:val="20"/>
          <w:rtl/>
        </w:rPr>
        <w:t>ראשונה</w:t>
      </w:r>
      <w:r w:rsidRPr="00C759E3">
        <w:rPr>
          <w:rFonts w:cs="Arial"/>
          <w:sz w:val="20"/>
          <w:szCs w:val="20"/>
          <w:rtl/>
        </w:rPr>
        <w:t xml:space="preserve"> </w:t>
      </w:r>
      <w:r w:rsidRPr="00C759E3">
        <w:rPr>
          <w:rFonts w:cs="Arial" w:hint="cs"/>
          <w:sz w:val="20"/>
          <w:szCs w:val="20"/>
          <w:rtl/>
        </w:rPr>
        <w:t>ושניה</w:t>
      </w:r>
      <w:r w:rsidRPr="00C759E3">
        <w:rPr>
          <w:rFonts w:cs="Arial"/>
          <w:sz w:val="20"/>
          <w:szCs w:val="20"/>
          <w:rtl/>
        </w:rPr>
        <w:t xml:space="preserve"> </w:t>
      </w:r>
      <w:r w:rsidRPr="00C759E3">
        <w:rPr>
          <w:rFonts w:cs="Arial" w:hint="cs"/>
          <w:sz w:val="20"/>
          <w:szCs w:val="20"/>
          <w:rtl/>
        </w:rPr>
        <w:t>ושלישית</w:t>
      </w:r>
      <w:r w:rsidRPr="00C759E3">
        <w:rPr>
          <w:rFonts w:cs="Arial"/>
          <w:sz w:val="20"/>
          <w:szCs w:val="20"/>
          <w:rtl/>
        </w:rPr>
        <w:t xml:space="preserve">, </w:t>
      </w:r>
      <w:r w:rsidRPr="00C759E3">
        <w:rPr>
          <w:rFonts w:cs="Arial" w:hint="cs"/>
          <w:sz w:val="20"/>
          <w:szCs w:val="20"/>
          <w:rtl/>
        </w:rPr>
        <w:t>מכאן</w:t>
      </w:r>
      <w:r w:rsidRPr="00C759E3">
        <w:rPr>
          <w:rFonts w:cs="Arial"/>
          <w:sz w:val="20"/>
          <w:szCs w:val="20"/>
          <w:rtl/>
        </w:rPr>
        <w:t xml:space="preserve"> </w:t>
      </w:r>
      <w:r w:rsidRPr="00C759E3">
        <w:rPr>
          <w:rFonts w:cs="Arial" w:hint="cs"/>
          <w:sz w:val="20"/>
          <w:szCs w:val="20"/>
          <w:rtl/>
        </w:rPr>
        <w:t>ואילך</w:t>
      </w:r>
      <w:r w:rsidRPr="00C759E3">
        <w:rPr>
          <w:rFonts w:cs="Arial"/>
          <w:sz w:val="20"/>
          <w:szCs w:val="20"/>
          <w:rtl/>
        </w:rPr>
        <w:t xml:space="preserve"> - </w:t>
      </w:r>
      <w:r w:rsidRPr="00C759E3">
        <w:rPr>
          <w:rFonts w:cs="Arial" w:hint="cs"/>
          <w:sz w:val="20"/>
          <w:szCs w:val="20"/>
          <w:rtl/>
        </w:rPr>
        <w:t>לא</w:t>
      </w:r>
      <w:r w:rsidRPr="00C759E3">
        <w:rPr>
          <w:rFonts w:cs="Arial"/>
          <w:sz w:val="20"/>
          <w:szCs w:val="20"/>
          <w:rtl/>
        </w:rPr>
        <w:t xml:space="preserve"> </w:t>
      </w:r>
      <w:r w:rsidRPr="00C759E3">
        <w:rPr>
          <w:rFonts w:cs="Arial" w:hint="cs"/>
          <w:sz w:val="20"/>
          <w:szCs w:val="20"/>
          <w:rtl/>
        </w:rPr>
        <w:t>תשמש</w:t>
      </w:r>
      <w:r w:rsidRPr="00C759E3">
        <w:rPr>
          <w:rFonts w:cs="Arial"/>
          <w:sz w:val="20"/>
          <w:szCs w:val="20"/>
          <w:rtl/>
        </w:rPr>
        <w:t xml:space="preserve">, </w:t>
      </w:r>
      <w:r w:rsidRPr="00C759E3">
        <w:rPr>
          <w:rFonts w:cs="Arial" w:hint="cs"/>
          <w:sz w:val="20"/>
          <w:szCs w:val="20"/>
          <w:rtl/>
        </w:rPr>
        <w:t>עד</w:t>
      </w:r>
      <w:r w:rsidRPr="00C759E3">
        <w:rPr>
          <w:rFonts w:cs="Arial"/>
          <w:sz w:val="20"/>
          <w:szCs w:val="20"/>
          <w:rtl/>
        </w:rPr>
        <w:t xml:space="preserve"> </w:t>
      </w:r>
      <w:r w:rsidRPr="00C759E3">
        <w:rPr>
          <w:rFonts w:cs="Arial" w:hint="cs"/>
          <w:sz w:val="20"/>
          <w:szCs w:val="20"/>
          <w:rtl/>
        </w:rPr>
        <w:t>שתתגרש</w:t>
      </w:r>
      <w:r w:rsidRPr="00C759E3">
        <w:rPr>
          <w:rFonts w:cs="Arial"/>
          <w:sz w:val="20"/>
          <w:szCs w:val="20"/>
          <w:rtl/>
        </w:rPr>
        <w:t xml:space="preserve"> </w:t>
      </w:r>
      <w:r w:rsidRPr="00C759E3">
        <w:rPr>
          <w:rFonts w:cs="Arial" w:hint="cs"/>
          <w:sz w:val="20"/>
          <w:szCs w:val="20"/>
          <w:rtl/>
        </w:rPr>
        <w:t>ות</w:t>
      </w:r>
      <w:r>
        <w:rPr>
          <w:rFonts w:cs="Arial" w:hint="cs"/>
          <w:sz w:val="20"/>
          <w:szCs w:val="20"/>
          <w:rtl/>
        </w:rPr>
        <w:t>י</w:t>
      </w:r>
      <w:r w:rsidRPr="00C759E3">
        <w:rPr>
          <w:rFonts w:cs="Arial" w:hint="cs"/>
          <w:sz w:val="20"/>
          <w:szCs w:val="20"/>
          <w:rtl/>
        </w:rPr>
        <w:t>נשא</w:t>
      </w:r>
      <w:r w:rsidRPr="00C759E3">
        <w:rPr>
          <w:rFonts w:cs="Arial"/>
          <w:sz w:val="20"/>
          <w:szCs w:val="20"/>
          <w:rtl/>
        </w:rPr>
        <w:t xml:space="preserve"> </w:t>
      </w:r>
      <w:r w:rsidRPr="00C759E3">
        <w:rPr>
          <w:rFonts w:cs="Arial" w:hint="cs"/>
          <w:sz w:val="20"/>
          <w:szCs w:val="20"/>
          <w:rtl/>
        </w:rPr>
        <w:t>לאחר</w:t>
      </w:r>
      <w:r w:rsidRPr="00C759E3">
        <w:rPr>
          <w:rFonts w:cs="Arial"/>
          <w:sz w:val="20"/>
          <w:szCs w:val="20"/>
          <w:rtl/>
        </w:rPr>
        <w:t xml:space="preserve">. </w:t>
      </w:r>
      <w:r w:rsidRPr="00C759E3">
        <w:rPr>
          <w:rFonts w:cs="Arial" w:hint="cs"/>
          <w:sz w:val="20"/>
          <w:szCs w:val="20"/>
          <w:rtl/>
        </w:rPr>
        <w:t>ניסת</w:t>
      </w:r>
      <w:r w:rsidRPr="00C759E3">
        <w:rPr>
          <w:rFonts w:cs="Arial"/>
          <w:sz w:val="20"/>
          <w:szCs w:val="20"/>
          <w:rtl/>
        </w:rPr>
        <w:t xml:space="preserve"> </w:t>
      </w:r>
      <w:r w:rsidRPr="00C759E3">
        <w:rPr>
          <w:rFonts w:cs="Arial" w:hint="cs"/>
          <w:sz w:val="20"/>
          <w:szCs w:val="20"/>
          <w:rtl/>
        </w:rPr>
        <w:t>לאחר</w:t>
      </w:r>
      <w:r w:rsidRPr="00C759E3">
        <w:rPr>
          <w:rFonts w:cs="Arial"/>
          <w:sz w:val="20"/>
          <w:szCs w:val="20"/>
          <w:rtl/>
        </w:rPr>
        <w:t xml:space="preserve"> </w:t>
      </w:r>
      <w:r w:rsidRPr="00C759E3">
        <w:rPr>
          <w:rFonts w:cs="Arial" w:hint="cs"/>
          <w:sz w:val="20"/>
          <w:szCs w:val="20"/>
          <w:rtl/>
        </w:rPr>
        <w:t>וראתה</w:t>
      </w:r>
      <w:r w:rsidRPr="00C759E3">
        <w:rPr>
          <w:rFonts w:cs="Arial"/>
          <w:sz w:val="20"/>
          <w:szCs w:val="20"/>
          <w:rtl/>
        </w:rPr>
        <w:t xml:space="preserve"> </w:t>
      </w:r>
      <w:r w:rsidRPr="00C759E3">
        <w:rPr>
          <w:rFonts w:cs="Arial" w:hint="cs"/>
          <w:sz w:val="20"/>
          <w:szCs w:val="20"/>
          <w:rtl/>
        </w:rPr>
        <w:t>דם</w:t>
      </w:r>
      <w:r w:rsidRPr="00C759E3">
        <w:rPr>
          <w:rFonts w:cs="Arial"/>
          <w:sz w:val="20"/>
          <w:szCs w:val="20"/>
          <w:rtl/>
        </w:rPr>
        <w:t xml:space="preserve"> </w:t>
      </w:r>
      <w:r w:rsidRPr="00C759E3">
        <w:rPr>
          <w:rFonts w:cs="Arial" w:hint="cs"/>
          <w:sz w:val="20"/>
          <w:szCs w:val="20"/>
          <w:rtl/>
        </w:rPr>
        <w:t>מחמת</w:t>
      </w:r>
      <w:r w:rsidRPr="00C759E3">
        <w:rPr>
          <w:rFonts w:cs="Arial"/>
          <w:sz w:val="20"/>
          <w:szCs w:val="20"/>
          <w:rtl/>
        </w:rPr>
        <w:t xml:space="preserve"> </w:t>
      </w:r>
      <w:r w:rsidRPr="00C759E3">
        <w:rPr>
          <w:rFonts w:cs="Arial" w:hint="cs"/>
          <w:sz w:val="20"/>
          <w:szCs w:val="20"/>
          <w:rtl/>
        </w:rPr>
        <w:t>תשמיש</w:t>
      </w:r>
      <w:r w:rsidRPr="00C759E3">
        <w:rPr>
          <w:rFonts w:cs="Arial"/>
          <w:sz w:val="20"/>
          <w:szCs w:val="20"/>
          <w:rtl/>
        </w:rPr>
        <w:t xml:space="preserve"> - </w:t>
      </w:r>
      <w:r w:rsidRPr="00C759E3">
        <w:rPr>
          <w:rFonts w:cs="Arial" w:hint="cs"/>
          <w:sz w:val="20"/>
          <w:szCs w:val="20"/>
          <w:rtl/>
        </w:rPr>
        <w:t>משמשת</w:t>
      </w:r>
      <w:r w:rsidRPr="00C759E3">
        <w:rPr>
          <w:rFonts w:cs="Arial"/>
          <w:sz w:val="20"/>
          <w:szCs w:val="20"/>
          <w:rtl/>
        </w:rPr>
        <w:t xml:space="preserve"> </w:t>
      </w:r>
      <w:r w:rsidRPr="00C759E3">
        <w:rPr>
          <w:rFonts w:cs="Arial" w:hint="cs"/>
          <w:sz w:val="20"/>
          <w:szCs w:val="20"/>
          <w:rtl/>
        </w:rPr>
        <w:t>פעם</w:t>
      </w:r>
      <w:r w:rsidRPr="00C759E3">
        <w:rPr>
          <w:rFonts w:cs="Arial"/>
          <w:sz w:val="20"/>
          <w:szCs w:val="20"/>
          <w:rtl/>
        </w:rPr>
        <w:t xml:space="preserve"> </w:t>
      </w:r>
      <w:r w:rsidRPr="00C759E3">
        <w:rPr>
          <w:rFonts w:cs="Arial" w:hint="cs"/>
          <w:sz w:val="20"/>
          <w:szCs w:val="20"/>
          <w:rtl/>
        </w:rPr>
        <w:t>ראשונה</w:t>
      </w:r>
      <w:r w:rsidRPr="00C759E3">
        <w:rPr>
          <w:rFonts w:cs="Arial"/>
          <w:sz w:val="20"/>
          <w:szCs w:val="20"/>
          <w:rtl/>
        </w:rPr>
        <w:t xml:space="preserve"> </w:t>
      </w:r>
      <w:r w:rsidRPr="00C759E3">
        <w:rPr>
          <w:rFonts w:cs="Arial" w:hint="cs"/>
          <w:sz w:val="20"/>
          <w:szCs w:val="20"/>
          <w:rtl/>
        </w:rPr>
        <w:t>ושניה</w:t>
      </w:r>
      <w:r w:rsidRPr="00C759E3">
        <w:rPr>
          <w:rFonts w:cs="Arial"/>
          <w:sz w:val="20"/>
          <w:szCs w:val="20"/>
          <w:rtl/>
        </w:rPr>
        <w:t xml:space="preserve"> </w:t>
      </w:r>
      <w:r w:rsidRPr="00C759E3">
        <w:rPr>
          <w:rFonts w:cs="Arial" w:hint="cs"/>
          <w:sz w:val="20"/>
          <w:szCs w:val="20"/>
          <w:rtl/>
        </w:rPr>
        <w:t>ושלישית</w:t>
      </w:r>
      <w:r w:rsidRPr="00C759E3">
        <w:rPr>
          <w:rFonts w:cs="Arial"/>
          <w:sz w:val="20"/>
          <w:szCs w:val="20"/>
          <w:rtl/>
        </w:rPr>
        <w:t xml:space="preserve">, </w:t>
      </w:r>
      <w:r w:rsidRPr="00C759E3">
        <w:rPr>
          <w:rFonts w:cs="Arial" w:hint="cs"/>
          <w:sz w:val="20"/>
          <w:szCs w:val="20"/>
          <w:rtl/>
        </w:rPr>
        <w:t>מכאן</w:t>
      </w:r>
      <w:r w:rsidRPr="00C759E3">
        <w:rPr>
          <w:rFonts w:cs="Arial"/>
          <w:sz w:val="20"/>
          <w:szCs w:val="20"/>
          <w:rtl/>
        </w:rPr>
        <w:t xml:space="preserve"> </w:t>
      </w:r>
      <w:r w:rsidRPr="00C759E3">
        <w:rPr>
          <w:rFonts w:cs="Arial" w:hint="cs"/>
          <w:sz w:val="20"/>
          <w:szCs w:val="20"/>
          <w:rtl/>
        </w:rPr>
        <w:t>ואילך</w:t>
      </w:r>
      <w:r w:rsidRPr="00C759E3">
        <w:rPr>
          <w:rFonts w:cs="Arial"/>
          <w:sz w:val="20"/>
          <w:szCs w:val="20"/>
          <w:rtl/>
        </w:rPr>
        <w:t xml:space="preserve"> </w:t>
      </w:r>
      <w:r w:rsidRPr="00C759E3">
        <w:rPr>
          <w:rFonts w:cs="Arial" w:hint="cs"/>
          <w:sz w:val="20"/>
          <w:szCs w:val="20"/>
          <w:rtl/>
        </w:rPr>
        <w:t>לא</w:t>
      </w:r>
      <w:r w:rsidRPr="00C759E3">
        <w:rPr>
          <w:rFonts w:cs="Arial"/>
          <w:sz w:val="20"/>
          <w:szCs w:val="20"/>
          <w:rtl/>
        </w:rPr>
        <w:t xml:space="preserve"> </w:t>
      </w:r>
      <w:r w:rsidRPr="00C759E3">
        <w:rPr>
          <w:rFonts w:cs="Arial" w:hint="cs"/>
          <w:sz w:val="20"/>
          <w:szCs w:val="20"/>
          <w:rtl/>
        </w:rPr>
        <w:t>תשמש</w:t>
      </w:r>
      <w:r w:rsidRPr="00C759E3">
        <w:rPr>
          <w:rFonts w:cs="Arial"/>
          <w:sz w:val="20"/>
          <w:szCs w:val="20"/>
          <w:rtl/>
        </w:rPr>
        <w:t xml:space="preserve"> </w:t>
      </w:r>
      <w:r w:rsidRPr="00C759E3">
        <w:rPr>
          <w:rFonts w:cs="Arial" w:hint="cs"/>
          <w:sz w:val="20"/>
          <w:szCs w:val="20"/>
          <w:rtl/>
        </w:rPr>
        <w:t>עד</w:t>
      </w:r>
      <w:r w:rsidRPr="00C759E3">
        <w:rPr>
          <w:rFonts w:cs="Arial"/>
          <w:sz w:val="20"/>
          <w:szCs w:val="20"/>
          <w:rtl/>
        </w:rPr>
        <w:t xml:space="preserve"> </w:t>
      </w:r>
      <w:r w:rsidRPr="00C759E3">
        <w:rPr>
          <w:rFonts w:cs="Arial" w:hint="cs"/>
          <w:sz w:val="20"/>
          <w:szCs w:val="20"/>
          <w:rtl/>
        </w:rPr>
        <w:t>שתבדוק</w:t>
      </w:r>
      <w:r w:rsidRPr="00C759E3">
        <w:rPr>
          <w:rFonts w:cs="Arial"/>
          <w:sz w:val="20"/>
          <w:szCs w:val="20"/>
          <w:rtl/>
        </w:rPr>
        <w:t xml:space="preserve"> </w:t>
      </w:r>
      <w:r w:rsidRPr="00C759E3">
        <w:rPr>
          <w:rFonts w:cs="Arial" w:hint="cs"/>
          <w:sz w:val="20"/>
          <w:szCs w:val="20"/>
          <w:rtl/>
        </w:rPr>
        <w:t>עצמה</w:t>
      </w:r>
      <w:r>
        <w:rPr>
          <w:rFonts w:hint="cs"/>
          <w:sz w:val="20"/>
          <w:szCs w:val="20"/>
          <w:rtl/>
        </w:rPr>
        <w:t>...</w:t>
      </w:r>
      <w:r>
        <w:rPr>
          <w:sz w:val="20"/>
          <w:szCs w:val="20"/>
          <w:rtl/>
        </w:rPr>
        <w:br/>
      </w:r>
      <w:r w:rsidRPr="00A64ECA">
        <w:rPr>
          <w:rFonts w:cs="Arial" w:hint="cs"/>
          <w:sz w:val="20"/>
          <w:szCs w:val="20"/>
          <w:rtl/>
        </w:rPr>
        <w:t>אמר</w:t>
      </w:r>
      <w:r w:rsidRPr="00A64ECA">
        <w:rPr>
          <w:rFonts w:cs="Arial"/>
          <w:sz w:val="20"/>
          <w:szCs w:val="20"/>
          <w:rtl/>
        </w:rPr>
        <w:t xml:space="preserve"> </w:t>
      </w:r>
      <w:r w:rsidRPr="00A64ECA">
        <w:rPr>
          <w:rFonts w:cs="Arial" w:hint="cs"/>
          <w:sz w:val="20"/>
          <w:szCs w:val="20"/>
          <w:rtl/>
        </w:rPr>
        <w:t>ליה</w:t>
      </w:r>
      <w:r w:rsidRPr="00A64ECA">
        <w:rPr>
          <w:rFonts w:cs="Arial"/>
          <w:sz w:val="20"/>
          <w:szCs w:val="20"/>
          <w:rtl/>
        </w:rPr>
        <w:t xml:space="preserve"> </w:t>
      </w:r>
      <w:r w:rsidRPr="00A64ECA">
        <w:rPr>
          <w:rFonts w:cs="Arial" w:hint="cs"/>
          <w:sz w:val="20"/>
          <w:szCs w:val="20"/>
          <w:rtl/>
        </w:rPr>
        <w:t>ריש</w:t>
      </w:r>
      <w:r w:rsidRPr="00A64ECA">
        <w:rPr>
          <w:rFonts w:cs="Arial"/>
          <w:sz w:val="20"/>
          <w:szCs w:val="20"/>
          <w:rtl/>
        </w:rPr>
        <w:t xml:space="preserve"> </w:t>
      </w:r>
      <w:r w:rsidRPr="00A64ECA">
        <w:rPr>
          <w:rFonts w:cs="Arial" w:hint="cs"/>
          <w:sz w:val="20"/>
          <w:szCs w:val="20"/>
          <w:rtl/>
        </w:rPr>
        <w:t>לקיש</w:t>
      </w:r>
      <w:r w:rsidRPr="00A64ECA">
        <w:rPr>
          <w:rFonts w:cs="Arial"/>
          <w:sz w:val="20"/>
          <w:szCs w:val="20"/>
          <w:rtl/>
        </w:rPr>
        <w:t xml:space="preserve"> </w:t>
      </w:r>
      <w:r w:rsidRPr="00A64ECA">
        <w:rPr>
          <w:rFonts w:cs="Arial" w:hint="cs"/>
          <w:sz w:val="20"/>
          <w:szCs w:val="20"/>
          <w:rtl/>
        </w:rPr>
        <w:t>לרבי</w:t>
      </w:r>
      <w:r w:rsidRPr="00A64ECA">
        <w:rPr>
          <w:rFonts w:cs="Arial"/>
          <w:sz w:val="20"/>
          <w:szCs w:val="20"/>
          <w:rtl/>
        </w:rPr>
        <w:t xml:space="preserve"> </w:t>
      </w:r>
      <w:r w:rsidRPr="00A64ECA">
        <w:rPr>
          <w:rFonts w:cs="Arial" w:hint="cs"/>
          <w:sz w:val="20"/>
          <w:szCs w:val="20"/>
          <w:rtl/>
        </w:rPr>
        <w:t>יוחנן</w:t>
      </w:r>
      <w:r w:rsidRPr="00A64ECA">
        <w:rPr>
          <w:rFonts w:cs="Arial"/>
          <w:sz w:val="20"/>
          <w:szCs w:val="20"/>
          <w:rtl/>
        </w:rPr>
        <w:t xml:space="preserve">: </w:t>
      </w:r>
      <w:r w:rsidRPr="00A64ECA">
        <w:rPr>
          <w:rFonts w:cs="Arial" w:hint="cs"/>
          <w:sz w:val="20"/>
          <w:szCs w:val="20"/>
          <w:rtl/>
        </w:rPr>
        <w:t>ותבדוק</w:t>
      </w:r>
      <w:r w:rsidRPr="00A64ECA">
        <w:rPr>
          <w:rFonts w:cs="Arial"/>
          <w:sz w:val="20"/>
          <w:szCs w:val="20"/>
          <w:rtl/>
        </w:rPr>
        <w:t xml:space="preserve"> </w:t>
      </w:r>
      <w:r w:rsidRPr="00A64ECA">
        <w:rPr>
          <w:rFonts w:cs="Arial" w:hint="cs"/>
          <w:sz w:val="20"/>
          <w:szCs w:val="20"/>
          <w:rtl/>
        </w:rPr>
        <w:t>עצמה</w:t>
      </w:r>
      <w:r w:rsidRPr="00A64ECA">
        <w:rPr>
          <w:rFonts w:cs="Arial"/>
          <w:sz w:val="20"/>
          <w:szCs w:val="20"/>
          <w:rtl/>
        </w:rPr>
        <w:t xml:space="preserve"> </w:t>
      </w:r>
      <w:r w:rsidRPr="00A64ECA">
        <w:rPr>
          <w:rFonts w:cs="Arial" w:hint="cs"/>
          <w:sz w:val="20"/>
          <w:szCs w:val="20"/>
          <w:rtl/>
        </w:rPr>
        <w:t>בביאה</w:t>
      </w:r>
      <w:r w:rsidRPr="00A64ECA">
        <w:rPr>
          <w:rFonts w:cs="Arial"/>
          <w:sz w:val="20"/>
          <w:szCs w:val="20"/>
          <w:rtl/>
        </w:rPr>
        <w:t xml:space="preserve"> </w:t>
      </w:r>
      <w:r w:rsidRPr="00A64ECA">
        <w:rPr>
          <w:rFonts w:cs="Arial" w:hint="cs"/>
          <w:sz w:val="20"/>
          <w:szCs w:val="20"/>
          <w:rtl/>
        </w:rPr>
        <w:t>שלישית</w:t>
      </w:r>
      <w:r w:rsidRPr="00A64ECA">
        <w:rPr>
          <w:rFonts w:cs="Arial"/>
          <w:sz w:val="20"/>
          <w:szCs w:val="20"/>
          <w:rtl/>
        </w:rPr>
        <w:t xml:space="preserve"> </w:t>
      </w:r>
      <w:r w:rsidRPr="00A64ECA">
        <w:rPr>
          <w:rFonts w:cs="Arial" w:hint="cs"/>
          <w:sz w:val="20"/>
          <w:szCs w:val="20"/>
          <w:rtl/>
        </w:rPr>
        <w:t>של</w:t>
      </w:r>
      <w:r w:rsidRPr="00A64ECA">
        <w:rPr>
          <w:rFonts w:cs="Arial"/>
          <w:sz w:val="20"/>
          <w:szCs w:val="20"/>
          <w:rtl/>
        </w:rPr>
        <w:t xml:space="preserve"> </w:t>
      </w:r>
      <w:r w:rsidRPr="00A64ECA">
        <w:rPr>
          <w:rFonts w:cs="Arial" w:hint="cs"/>
          <w:sz w:val="20"/>
          <w:szCs w:val="20"/>
          <w:rtl/>
        </w:rPr>
        <w:t>בעל</w:t>
      </w:r>
      <w:r w:rsidRPr="00A64ECA">
        <w:rPr>
          <w:rFonts w:cs="Arial"/>
          <w:sz w:val="20"/>
          <w:szCs w:val="20"/>
          <w:rtl/>
        </w:rPr>
        <w:t xml:space="preserve"> </w:t>
      </w:r>
      <w:r w:rsidRPr="00A64ECA">
        <w:rPr>
          <w:rFonts w:cs="Arial" w:hint="cs"/>
          <w:sz w:val="20"/>
          <w:szCs w:val="20"/>
          <w:rtl/>
        </w:rPr>
        <w:t>הראשון</w:t>
      </w:r>
      <w:r w:rsidRPr="00A64ECA">
        <w:rPr>
          <w:rFonts w:cs="Arial"/>
          <w:sz w:val="20"/>
          <w:szCs w:val="20"/>
          <w:rtl/>
        </w:rPr>
        <w:t xml:space="preserve">? </w:t>
      </w:r>
      <w:r w:rsidRPr="00A64ECA">
        <w:rPr>
          <w:rFonts w:cs="Arial" w:hint="cs"/>
          <w:sz w:val="20"/>
          <w:szCs w:val="20"/>
          <w:rtl/>
        </w:rPr>
        <w:t>אמר</w:t>
      </w:r>
      <w:r w:rsidRPr="00A64ECA">
        <w:rPr>
          <w:rFonts w:cs="Arial"/>
          <w:sz w:val="20"/>
          <w:szCs w:val="20"/>
          <w:rtl/>
        </w:rPr>
        <w:t xml:space="preserve"> </w:t>
      </w:r>
      <w:r w:rsidRPr="00A64ECA">
        <w:rPr>
          <w:rFonts w:cs="Arial" w:hint="cs"/>
          <w:sz w:val="20"/>
          <w:szCs w:val="20"/>
          <w:rtl/>
        </w:rPr>
        <w:t>ליה</w:t>
      </w:r>
      <w:r w:rsidRPr="00A64ECA">
        <w:rPr>
          <w:rFonts w:cs="Arial"/>
          <w:sz w:val="20"/>
          <w:szCs w:val="20"/>
          <w:rtl/>
        </w:rPr>
        <w:t xml:space="preserve">: </w:t>
      </w:r>
      <w:r w:rsidRPr="00A64ECA">
        <w:rPr>
          <w:rFonts w:cs="Arial" w:hint="cs"/>
          <w:sz w:val="20"/>
          <w:szCs w:val="20"/>
          <w:rtl/>
        </w:rPr>
        <w:t>לפי</w:t>
      </w:r>
      <w:r w:rsidRPr="00A64ECA">
        <w:rPr>
          <w:rFonts w:cs="Arial"/>
          <w:sz w:val="20"/>
          <w:szCs w:val="20"/>
          <w:rtl/>
        </w:rPr>
        <w:t xml:space="preserve"> </w:t>
      </w:r>
      <w:r w:rsidRPr="00A64ECA">
        <w:rPr>
          <w:rFonts w:cs="Arial" w:hint="cs"/>
          <w:sz w:val="20"/>
          <w:szCs w:val="20"/>
          <w:rtl/>
        </w:rPr>
        <w:t>שאין</w:t>
      </w:r>
      <w:r w:rsidRPr="00A64ECA">
        <w:rPr>
          <w:rFonts w:cs="Arial"/>
          <w:sz w:val="20"/>
          <w:szCs w:val="20"/>
          <w:rtl/>
        </w:rPr>
        <w:t xml:space="preserve"> </w:t>
      </w:r>
      <w:r w:rsidRPr="00A64ECA">
        <w:rPr>
          <w:rFonts w:cs="Arial" w:hint="cs"/>
          <w:sz w:val="20"/>
          <w:szCs w:val="20"/>
          <w:rtl/>
        </w:rPr>
        <w:t>כל</w:t>
      </w:r>
      <w:r w:rsidRPr="00A64ECA">
        <w:rPr>
          <w:rFonts w:cs="Arial"/>
          <w:sz w:val="20"/>
          <w:szCs w:val="20"/>
          <w:rtl/>
        </w:rPr>
        <w:t xml:space="preserve"> </w:t>
      </w:r>
      <w:r w:rsidRPr="00A64ECA">
        <w:rPr>
          <w:rFonts w:cs="Arial" w:hint="cs"/>
          <w:sz w:val="20"/>
          <w:szCs w:val="20"/>
          <w:rtl/>
        </w:rPr>
        <w:t>האצבעות</w:t>
      </w:r>
      <w:r w:rsidRPr="00A64ECA">
        <w:rPr>
          <w:rFonts w:cs="Arial"/>
          <w:sz w:val="20"/>
          <w:szCs w:val="20"/>
          <w:rtl/>
        </w:rPr>
        <w:t xml:space="preserve"> </w:t>
      </w:r>
      <w:r w:rsidRPr="00A64ECA">
        <w:rPr>
          <w:rFonts w:cs="Arial" w:hint="cs"/>
          <w:sz w:val="20"/>
          <w:szCs w:val="20"/>
          <w:rtl/>
        </w:rPr>
        <w:t>שוות</w:t>
      </w:r>
      <w:r w:rsidRPr="00A64ECA">
        <w:rPr>
          <w:rFonts w:cs="Arial"/>
          <w:sz w:val="20"/>
          <w:szCs w:val="20"/>
          <w:rtl/>
        </w:rPr>
        <w:t xml:space="preserve">. </w:t>
      </w:r>
      <w:r w:rsidRPr="00A64ECA">
        <w:rPr>
          <w:rFonts w:cs="Arial" w:hint="cs"/>
          <w:sz w:val="20"/>
          <w:szCs w:val="20"/>
          <w:rtl/>
        </w:rPr>
        <w:t>אמר</w:t>
      </w:r>
      <w:r w:rsidRPr="00A64ECA">
        <w:rPr>
          <w:rFonts w:cs="Arial"/>
          <w:sz w:val="20"/>
          <w:szCs w:val="20"/>
          <w:rtl/>
        </w:rPr>
        <w:t xml:space="preserve"> </w:t>
      </w:r>
      <w:r w:rsidRPr="00A64ECA">
        <w:rPr>
          <w:rFonts w:cs="Arial" w:hint="cs"/>
          <w:sz w:val="20"/>
          <w:szCs w:val="20"/>
          <w:rtl/>
        </w:rPr>
        <w:t>ליה</w:t>
      </w:r>
      <w:r w:rsidRPr="00A64ECA">
        <w:rPr>
          <w:rFonts w:cs="Arial"/>
          <w:sz w:val="20"/>
          <w:szCs w:val="20"/>
          <w:rtl/>
        </w:rPr>
        <w:t xml:space="preserve">: </w:t>
      </w:r>
      <w:r w:rsidRPr="00A64ECA">
        <w:rPr>
          <w:rFonts w:cs="Arial" w:hint="cs"/>
          <w:sz w:val="20"/>
          <w:szCs w:val="20"/>
          <w:rtl/>
        </w:rPr>
        <w:t>ותבדוק</w:t>
      </w:r>
      <w:r w:rsidRPr="00A64ECA">
        <w:rPr>
          <w:rFonts w:cs="Arial"/>
          <w:sz w:val="20"/>
          <w:szCs w:val="20"/>
          <w:rtl/>
        </w:rPr>
        <w:t xml:space="preserve"> </w:t>
      </w:r>
      <w:r w:rsidRPr="00A64ECA">
        <w:rPr>
          <w:rFonts w:cs="Arial" w:hint="cs"/>
          <w:sz w:val="20"/>
          <w:szCs w:val="20"/>
          <w:rtl/>
        </w:rPr>
        <w:t>עצמה</w:t>
      </w:r>
      <w:r w:rsidRPr="00A64ECA">
        <w:rPr>
          <w:rFonts w:cs="Arial"/>
          <w:sz w:val="20"/>
          <w:szCs w:val="20"/>
          <w:rtl/>
        </w:rPr>
        <w:t xml:space="preserve"> </w:t>
      </w:r>
      <w:r w:rsidRPr="00A64ECA">
        <w:rPr>
          <w:rFonts w:cs="Arial" w:hint="cs"/>
          <w:sz w:val="20"/>
          <w:szCs w:val="20"/>
          <w:rtl/>
        </w:rPr>
        <w:t>בביאה</w:t>
      </w:r>
      <w:r w:rsidRPr="00A64ECA">
        <w:rPr>
          <w:rFonts w:cs="Arial"/>
          <w:sz w:val="20"/>
          <w:szCs w:val="20"/>
          <w:rtl/>
        </w:rPr>
        <w:t xml:space="preserve"> </w:t>
      </w:r>
      <w:r w:rsidRPr="00A64ECA">
        <w:rPr>
          <w:rFonts w:cs="Arial" w:hint="cs"/>
          <w:sz w:val="20"/>
          <w:szCs w:val="20"/>
          <w:rtl/>
        </w:rPr>
        <w:t>ראשונה</w:t>
      </w:r>
      <w:r w:rsidRPr="00A64ECA">
        <w:rPr>
          <w:rFonts w:cs="Arial"/>
          <w:sz w:val="20"/>
          <w:szCs w:val="20"/>
          <w:rtl/>
        </w:rPr>
        <w:t xml:space="preserve"> </w:t>
      </w:r>
      <w:r w:rsidRPr="00A64ECA">
        <w:rPr>
          <w:rFonts w:cs="Arial" w:hint="cs"/>
          <w:sz w:val="20"/>
          <w:szCs w:val="20"/>
          <w:rtl/>
        </w:rPr>
        <w:t>של</w:t>
      </w:r>
      <w:r w:rsidRPr="00A64ECA">
        <w:rPr>
          <w:rFonts w:cs="Arial"/>
          <w:sz w:val="20"/>
          <w:szCs w:val="20"/>
          <w:rtl/>
        </w:rPr>
        <w:t xml:space="preserve"> </w:t>
      </w:r>
      <w:r w:rsidRPr="00A64ECA">
        <w:rPr>
          <w:rFonts w:cs="Arial" w:hint="cs"/>
          <w:sz w:val="20"/>
          <w:szCs w:val="20"/>
          <w:rtl/>
        </w:rPr>
        <w:t>בעל</w:t>
      </w:r>
      <w:r w:rsidRPr="00A64ECA">
        <w:rPr>
          <w:rFonts w:cs="Arial"/>
          <w:sz w:val="20"/>
          <w:szCs w:val="20"/>
          <w:rtl/>
        </w:rPr>
        <w:t xml:space="preserve"> </w:t>
      </w:r>
      <w:r w:rsidRPr="00A64ECA">
        <w:rPr>
          <w:rFonts w:cs="Arial" w:hint="cs"/>
          <w:sz w:val="20"/>
          <w:szCs w:val="20"/>
          <w:rtl/>
        </w:rPr>
        <w:t>שלישי</w:t>
      </w:r>
      <w:r w:rsidRPr="00A64ECA">
        <w:rPr>
          <w:rFonts w:cs="Arial"/>
          <w:sz w:val="20"/>
          <w:szCs w:val="20"/>
          <w:rtl/>
        </w:rPr>
        <w:t xml:space="preserve">? </w:t>
      </w:r>
      <w:r w:rsidRPr="00A64ECA">
        <w:rPr>
          <w:rFonts w:cs="Arial" w:hint="cs"/>
          <w:sz w:val="20"/>
          <w:szCs w:val="20"/>
          <w:rtl/>
        </w:rPr>
        <w:t>לפי</w:t>
      </w:r>
      <w:r w:rsidRPr="00A64ECA">
        <w:rPr>
          <w:rFonts w:cs="Arial"/>
          <w:sz w:val="20"/>
          <w:szCs w:val="20"/>
          <w:rtl/>
        </w:rPr>
        <w:t xml:space="preserve"> </w:t>
      </w:r>
      <w:r w:rsidRPr="00A64ECA">
        <w:rPr>
          <w:rFonts w:cs="Arial" w:hint="cs"/>
          <w:sz w:val="20"/>
          <w:szCs w:val="20"/>
          <w:rtl/>
        </w:rPr>
        <w:t>שאין</w:t>
      </w:r>
      <w:r w:rsidRPr="00A64ECA">
        <w:rPr>
          <w:rFonts w:cs="Arial"/>
          <w:sz w:val="20"/>
          <w:szCs w:val="20"/>
          <w:rtl/>
        </w:rPr>
        <w:t xml:space="preserve"> </w:t>
      </w:r>
      <w:r w:rsidRPr="00A64ECA">
        <w:rPr>
          <w:rFonts w:cs="Arial" w:hint="cs"/>
          <w:sz w:val="20"/>
          <w:szCs w:val="20"/>
          <w:rtl/>
        </w:rPr>
        <w:t>כל</w:t>
      </w:r>
      <w:r w:rsidRPr="00A64ECA">
        <w:rPr>
          <w:rFonts w:cs="Arial"/>
          <w:sz w:val="20"/>
          <w:szCs w:val="20"/>
          <w:rtl/>
        </w:rPr>
        <w:t xml:space="preserve"> </w:t>
      </w:r>
      <w:r w:rsidRPr="00A64ECA">
        <w:rPr>
          <w:rFonts w:cs="Arial" w:hint="cs"/>
          <w:sz w:val="20"/>
          <w:szCs w:val="20"/>
          <w:rtl/>
        </w:rPr>
        <w:t>הכ</w:t>
      </w:r>
      <w:r>
        <w:rPr>
          <w:rFonts w:cs="Arial" w:hint="cs"/>
          <w:sz w:val="20"/>
          <w:szCs w:val="20"/>
          <w:rtl/>
        </w:rPr>
        <w:t>ו</w:t>
      </w:r>
      <w:r w:rsidRPr="00A64ECA">
        <w:rPr>
          <w:rFonts w:cs="Arial" w:hint="cs"/>
          <w:sz w:val="20"/>
          <w:szCs w:val="20"/>
          <w:rtl/>
        </w:rPr>
        <w:t>חות</w:t>
      </w:r>
      <w:r w:rsidRPr="00A64ECA">
        <w:rPr>
          <w:rFonts w:cs="Arial"/>
          <w:sz w:val="20"/>
          <w:szCs w:val="20"/>
          <w:rtl/>
        </w:rPr>
        <w:t xml:space="preserve"> </w:t>
      </w:r>
      <w:r w:rsidRPr="00A64ECA">
        <w:rPr>
          <w:rFonts w:cs="Arial" w:hint="cs"/>
          <w:sz w:val="20"/>
          <w:szCs w:val="20"/>
          <w:rtl/>
        </w:rPr>
        <w:t>שוות</w:t>
      </w:r>
      <w:r>
        <w:rPr>
          <w:rFonts w:hint="cs"/>
          <w:sz w:val="20"/>
          <w:szCs w:val="20"/>
          <w:rtl/>
        </w:rPr>
        <w:t>".</w:t>
      </w:r>
      <w:r>
        <w:rPr>
          <w:rStyle w:val="a5"/>
          <w:sz w:val="20"/>
          <w:szCs w:val="20"/>
          <w:rtl/>
        </w:rPr>
        <w:footnoteReference w:id="84"/>
      </w:r>
    </w:p>
    <w:p w:rsidR="00620060" w:rsidRDefault="00620060" w:rsidP="00620060">
      <w:pPr>
        <w:rPr>
          <w:b/>
          <w:bCs/>
          <w:sz w:val="18"/>
          <w:szCs w:val="18"/>
          <w:rtl/>
        </w:rPr>
      </w:pPr>
      <w:r>
        <w:rPr>
          <w:rFonts w:hint="cs"/>
          <w:b/>
          <w:bCs/>
          <w:sz w:val="20"/>
          <w:szCs w:val="20"/>
          <w:rtl/>
        </w:rPr>
        <w:t>ראתה ג' פעמים שאינן רצופות</w:t>
      </w:r>
      <w:r>
        <w:rPr>
          <w:b/>
          <w:bCs/>
          <w:sz w:val="20"/>
          <w:szCs w:val="20"/>
          <w:rtl/>
        </w:rPr>
        <w:br/>
      </w:r>
      <w:r>
        <w:rPr>
          <w:rFonts w:hint="cs"/>
          <w:b/>
          <w:bCs/>
          <w:sz w:val="20"/>
          <w:szCs w:val="20"/>
          <w:rtl/>
        </w:rPr>
        <w:t xml:space="preserve">רשב"א </w:t>
      </w:r>
      <w:r>
        <w:rPr>
          <w:sz w:val="20"/>
          <w:szCs w:val="20"/>
          <w:rtl/>
        </w:rPr>
        <w:t>–</w:t>
      </w:r>
      <w:r>
        <w:rPr>
          <w:rFonts w:hint="cs"/>
          <w:sz w:val="20"/>
          <w:szCs w:val="20"/>
          <w:rtl/>
        </w:rPr>
        <w:t xml:space="preserve"> אשה שראתה ג' פעמים מחמת תשמיש אך פעמים אלו לא היו ברציפות </w:t>
      </w:r>
      <w:r>
        <w:rPr>
          <w:sz w:val="20"/>
          <w:szCs w:val="20"/>
          <w:rtl/>
        </w:rPr>
        <w:t>–</w:t>
      </w:r>
      <w:r>
        <w:rPr>
          <w:rFonts w:hint="cs"/>
          <w:sz w:val="20"/>
          <w:szCs w:val="20"/>
          <w:rtl/>
        </w:rPr>
        <w:t xml:space="preserve"> מותרת, וכ"פ </w:t>
      </w:r>
      <w:r w:rsidRPr="0095421A">
        <w:rPr>
          <w:rFonts w:hint="cs"/>
          <w:b/>
          <w:bCs/>
          <w:sz w:val="20"/>
          <w:szCs w:val="20"/>
          <w:rtl/>
        </w:rPr>
        <w:t>המחבר</w:t>
      </w:r>
      <w:r>
        <w:rPr>
          <w:rFonts w:hint="cs"/>
          <w:sz w:val="20"/>
          <w:szCs w:val="20"/>
          <w:rtl/>
        </w:rPr>
        <w:t>.</w:t>
      </w:r>
      <w:r>
        <w:rPr>
          <w:sz w:val="20"/>
          <w:szCs w:val="20"/>
          <w:rtl/>
        </w:rPr>
        <w:br/>
      </w:r>
      <w:r w:rsidRPr="00BA4892">
        <w:rPr>
          <w:rFonts w:hint="cs"/>
          <w:b/>
          <w:bCs/>
          <w:sz w:val="20"/>
          <w:szCs w:val="20"/>
          <w:rtl/>
        </w:rPr>
        <w:t xml:space="preserve">טעם </w:t>
      </w:r>
      <w:r>
        <w:rPr>
          <w:sz w:val="20"/>
          <w:szCs w:val="20"/>
          <w:rtl/>
        </w:rPr>
        <w:t>–</w:t>
      </w:r>
      <w:r>
        <w:rPr>
          <w:rFonts w:hint="cs"/>
          <w:sz w:val="20"/>
          <w:szCs w:val="20"/>
          <w:rtl/>
        </w:rPr>
        <w:t xml:space="preserve"> הדם אינו מחמת תשמיש אלא שלאשה זו אין ווסת, ודינה מבואר בסימן הקודם.</w:t>
      </w:r>
      <w:r>
        <w:rPr>
          <w:rFonts w:hint="cs"/>
          <w:sz w:val="20"/>
          <w:szCs w:val="20"/>
          <w:rtl/>
        </w:rPr>
        <w:br/>
        <w:t>ומהי רציפות זו?</w:t>
      </w:r>
      <w:r>
        <w:rPr>
          <w:sz w:val="20"/>
          <w:szCs w:val="20"/>
          <w:rtl/>
        </w:rPr>
        <w:br/>
      </w:r>
      <w:r w:rsidRPr="00F32186">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אין הכוונה שראתה ג' לילות רצופים, אלא הכוונה היא שבכל ג' תשמישים רצופים ראתה דם.</w:t>
      </w:r>
    </w:p>
    <w:p w:rsidR="00620060" w:rsidRDefault="00620060" w:rsidP="00620060">
      <w:pPr>
        <w:rPr>
          <w:sz w:val="20"/>
          <w:szCs w:val="20"/>
          <w:u w:val="single"/>
          <w:rtl/>
        </w:rPr>
      </w:pPr>
      <w:r>
        <w:rPr>
          <w:rFonts w:hint="cs"/>
          <w:b/>
          <w:bCs/>
          <w:sz w:val="20"/>
          <w:szCs w:val="20"/>
          <w:rtl/>
        </w:rPr>
        <w:t>פרק הזמן שעבר מהתשמיש עד ראיית הדם</w:t>
      </w:r>
      <w:r>
        <w:rPr>
          <w:b/>
          <w:bCs/>
          <w:sz w:val="20"/>
          <w:szCs w:val="20"/>
          <w:rtl/>
        </w:rPr>
        <w:br/>
      </w:r>
      <w:r>
        <w:rPr>
          <w:rFonts w:hint="cs"/>
          <w:sz w:val="20"/>
          <w:szCs w:val="20"/>
          <w:rtl/>
        </w:rPr>
        <w:t xml:space="preserve">א. </w:t>
      </w:r>
      <w:r w:rsidRPr="00F95B12">
        <w:rPr>
          <w:rFonts w:hint="cs"/>
          <w:b/>
          <w:bCs/>
          <w:sz w:val="20"/>
          <w:szCs w:val="20"/>
          <w:rtl/>
        </w:rPr>
        <w:t>סמ"ק</w:t>
      </w:r>
      <w:r>
        <w:rPr>
          <w:rFonts w:hint="cs"/>
          <w:sz w:val="20"/>
          <w:szCs w:val="20"/>
          <w:rtl/>
        </w:rPr>
        <w:t xml:space="preserve">, </w:t>
      </w:r>
      <w:r w:rsidRPr="00F95B12">
        <w:rPr>
          <w:rFonts w:hint="cs"/>
          <w:b/>
          <w:bCs/>
          <w:sz w:val="20"/>
          <w:szCs w:val="20"/>
          <w:rtl/>
        </w:rPr>
        <w:t>תרומה וטור</w:t>
      </w:r>
      <w:r>
        <w:rPr>
          <w:rFonts w:hint="cs"/>
          <w:sz w:val="20"/>
          <w:szCs w:val="20"/>
          <w:rtl/>
        </w:rPr>
        <w:t xml:space="preserve"> </w:t>
      </w:r>
      <w:r>
        <w:rPr>
          <w:sz w:val="20"/>
          <w:szCs w:val="20"/>
          <w:rtl/>
        </w:rPr>
        <w:t>–</w:t>
      </w:r>
      <w:r>
        <w:rPr>
          <w:rFonts w:hint="cs"/>
          <w:sz w:val="20"/>
          <w:szCs w:val="20"/>
          <w:rtl/>
        </w:rPr>
        <w:t xml:space="preserve"> בכדי שתרד מהמיטה ותקנח את פניה שלמטה </w:t>
      </w:r>
      <w:r w:rsidRPr="00DB1412">
        <w:rPr>
          <w:rFonts w:hint="cs"/>
          <w:sz w:val="18"/>
          <w:szCs w:val="18"/>
          <w:rtl/>
        </w:rPr>
        <w:t>(זמן ארוך)</w:t>
      </w:r>
      <w:r>
        <w:rPr>
          <w:rFonts w:hint="cs"/>
          <w:sz w:val="20"/>
          <w:szCs w:val="20"/>
          <w:rtl/>
        </w:rPr>
        <w:t>.</w:t>
      </w:r>
      <w:r>
        <w:rPr>
          <w:sz w:val="20"/>
          <w:szCs w:val="20"/>
          <w:rtl/>
        </w:rPr>
        <w:br/>
      </w:r>
      <w:r>
        <w:rPr>
          <w:rFonts w:hint="cs"/>
          <w:sz w:val="20"/>
          <w:szCs w:val="20"/>
          <w:rtl/>
        </w:rPr>
        <w:t xml:space="preserve">ב. </w:t>
      </w:r>
      <w:r w:rsidRPr="00F95B12">
        <w:rPr>
          <w:rFonts w:hint="cs"/>
          <w:b/>
          <w:bCs/>
          <w:sz w:val="20"/>
          <w:szCs w:val="20"/>
          <w:rtl/>
        </w:rPr>
        <w:t>ראב"ד</w:t>
      </w:r>
      <w:r>
        <w:rPr>
          <w:rFonts w:hint="cs"/>
          <w:sz w:val="20"/>
          <w:szCs w:val="20"/>
          <w:rtl/>
        </w:rPr>
        <w:t xml:space="preserve"> </w:t>
      </w:r>
      <w:r>
        <w:rPr>
          <w:sz w:val="20"/>
          <w:szCs w:val="20"/>
          <w:rtl/>
        </w:rPr>
        <w:t>–</w:t>
      </w:r>
      <w:r>
        <w:rPr>
          <w:rFonts w:hint="cs"/>
          <w:sz w:val="20"/>
          <w:szCs w:val="20"/>
          <w:rtl/>
        </w:rPr>
        <w:t xml:space="preserve"> בכדי שתושיט ידה תחת הכר או תחת הכסת ותיטול עד ותבדוק בו </w:t>
      </w:r>
      <w:r w:rsidRPr="00DB1412">
        <w:rPr>
          <w:rFonts w:hint="cs"/>
          <w:sz w:val="18"/>
          <w:szCs w:val="18"/>
          <w:rtl/>
        </w:rPr>
        <w:t>(זמן קצר)</w:t>
      </w:r>
      <w:r>
        <w:rPr>
          <w:rFonts w:hint="cs"/>
          <w:sz w:val="18"/>
          <w:szCs w:val="18"/>
          <w:rtl/>
        </w:rPr>
        <w:t xml:space="preserve">, </w:t>
      </w:r>
      <w:r w:rsidRPr="0095421A">
        <w:rPr>
          <w:rFonts w:hint="cs"/>
          <w:sz w:val="20"/>
          <w:szCs w:val="20"/>
          <w:rtl/>
        </w:rPr>
        <w:t xml:space="preserve">וכ"פ </w:t>
      </w:r>
      <w:r w:rsidRPr="0095421A">
        <w:rPr>
          <w:rFonts w:hint="cs"/>
          <w:b/>
          <w:bCs/>
          <w:sz w:val="20"/>
          <w:szCs w:val="20"/>
          <w:rtl/>
        </w:rPr>
        <w:t>המחבר</w:t>
      </w:r>
      <w:r>
        <w:rPr>
          <w:rFonts w:hint="cs"/>
          <w:sz w:val="20"/>
          <w:szCs w:val="20"/>
          <w:rtl/>
        </w:rPr>
        <w:t>.</w:t>
      </w:r>
      <w:r w:rsidRPr="00BD3AE7">
        <w:rPr>
          <w:rStyle w:val="a5"/>
          <w:sz w:val="20"/>
          <w:szCs w:val="20"/>
          <w:rtl/>
        </w:rPr>
        <w:footnoteReference w:id="85"/>
      </w:r>
      <w:r>
        <w:rPr>
          <w:rFonts w:hint="cs"/>
          <w:sz w:val="20"/>
          <w:szCs w:val="20"/>
          <w:u w:val="single"/>
          <w:rtl/>
        </w:rPr>
        <w:br/>
      </w:r>
      <w:r>
        <w:rPr>
          <w:rFonts w:hint="cs"/>
          <w:sz w:val="20"/>
          <w:szCs w:val="20"/>
          <w:rtl/>
        </w:rPr>
        <w:t xml:space="preserve">ג. </w:t>
      </w:r>
      <w:r w:rsidRPr="00F95B12">
        <w:rPr>
          <w:rFonts w:hint="cs"/>
          <w:b/>
          <w:bCs/>
          <w:sz w:val="20"/>
          <w:szCs w:val="20"/>
          <w:rtl/>
        </w:rPr>
        <w:t>יש אומרים בראב"ד</w:t>
      </w:r>
      <w:r>
        <w:rPr>
          <w:rFonts w:hint="cs"/>
          <w:sz w:val="20"/>
          <w:szCs w:val="20"/>
          <w:rtl/>
        </w:rPr>
        <w:t xml:space="preserve"> </w:t>
      </w:r>
      <w:r>
        <w:rPr>
          <w:sz w:val="20"/>
          <w:szCs w:val="20"/>
          <w:rtl/>
        </w:rPr>
        <w:t>–</w:t>
      </w:r>
      <w:r>
        <w:rPr>
          <w:rFonts w:hint="cs"/>
          <w:sz w:val="20"/>
          <w:szCs w:val="20"/>
          <w:rtl/>
        </w:rPr>
        <w:t xml:space="preserve"> איננו בקיאים כיום בשיעורים אלו, ולכן כל סמוך לביאה אם בדקה עצמה וראתה דם, דינה כרואה מחמת תשמיש, וכ"פ </w:t>
      </w:r>
      <w:r>
        <w:rPr>
          <w:rFonts w:hint="cs"/>
          <w:b/>
          <w:bCs/>
          <w:sz w:val="20"/>
          <w:szCs w:val="20"/>
          <w:rtl/>
        </w:rPr>
        <w:t>הרמ"א</w:t>
      </w:r>
      <w:r>
        <w:rPr>
          <w:rFonts w:hint="cs"/>
          <w:sz w:val="20"/>
          <w:szCs w:val="20"/>
          <w:rtl/>
        </w:rPr>
        <w:t>.</w:t>
      </w:r>
    </w:p>
    <w:p w:rsidR="00620060" w:rsidRDefault="00620060" w:rsidP="00620060">
      <w:pPr>
        <w:rPr>
          <w:sz w:val="20"/>
          <w:szCs w:val="20"/>
          <w:u w:val="single"/>
          <w:rtl/>
        </w:rPr>
      </w:pPr>
      <w:r w:rsidRPr="00F95B12">
        <w:rPr>
          <w:rFonts w:hint="cs"/>
          <w:sz w:val="20"/>
          <w:szCs w:val="20"/>
          <w:u w:val="single"/>
          <w:rtl/>
        </w:rPr>
        <w:t>הסבר השיטות</w:t>
      </w:r>
      <w:r w:rsidRPr="00F95B12">
        <w:rPr>
          <w:sz w:val="20"/>
          <w:szCs w:val="20"/>
          <w:u w:val="single"/>
          <w:rtl/>
        </w:rPr>
        <w:br/>
      </w:r>
      <w:r w:rsidRPr="00F95B12">
        <w:rPr>
          <w:rFonts w:hint="cs"/>
          <w:b/>
          <w:bCs/>
          <w:sz w:val="20"/>
          <w:szCs w:val="20"/>
          <w:rtl/>
        </w:rPr>
        <w:t>משנה</w:t>
      </w:r>
      <w:r>
        <w:rPr>
          <w:rFonts w:hint="cs"/>
          <w:sz w:val="20"/>
          <w:szCs w:val="20"/>
          <w:rtl/>
        </w:rPr>
        <w:t xml:space="preserve"> נידה (יד.) "</w:t>
      </w:r>
      <w:r w:rsidRPr="00F95B12">
        <w:rPr>
          <w:rFonts w:cs="Arial" w:hint="cs"/>
          <w:sz w:val="20"/>
          <w:szCs w:val="20"/>
          <w:rtl/>
        </w:rPr>
        <w:t>דרך</w:t>
      </w:r>
      <w:r w:rsidRPr="00F95B12">
        <w:rPr>
          <w:rFonts w:cs="Arial"/>
          <w:sz w:val="20"/>
          <w:szCs w:val="20"/>
          <w:rtl/>
        </w:rPr>
        <w:t xml:space="preserve"> </w:t>
      </w:r>
      <w:r w:rsidRPr="00F95B12">
        <w:rPr>
          <w:rFonts w:cs="Arial" w:hint="cs"/>
          <w:sz w:val="20"/>
          <w:szCs w:val="20"/>
          <w:rtl/>
        </w:rPr>
        <w:t>בנות</w:t>
      </w:r>
      <w:r w:rsidRPr="00F95B12">
        <w:rPr>
          <w:rFonts w:cs="Arial"/>
          <w:sz w:val="20"/>
          <w:szCs w:val="20"/>
          <w:rtl/>
        </w:rPr>
        <w:t xml:space="preserve"> </w:t>
      </w:r>
      <w:r w:rsidRPr="00F95B12">
        <w:rPr>
          <w:rFonts w:cs="Arial" w:hint="cs"/>
          <w:sz w:val="20"/>
          <w:szCs w:val="20"/>
          <w:rtl/>
        </w:rPr>
        <w:t>ישראל</w:t>
      </w:r>
      <w:r w:rsidRPr="00F95B12">
        <w:rPr>
          <w:rFonts w:cs="Arial"/>
          <w:sz w:val="20"/>
          <w:szCs w:val="20"/>
          <w:rtl/>
        </w:rPr>
        <w:t xml:space="preserve"> </w:t>
      </w:r>
      <w:r w:rsidRPr="00F95B12">
        <w:rPr>
          <w:rFonts w:cs="Arial" w:hint="cs"/>
          <w:sz w:val="20"/>
          <w:szCs w:val="20"/>
          <w:rtl/>
        </w:rPr>
        <w:t>משמשות</w:t>
      </w:r>
      <w:r w:rsidRPr="00F95B12">
        <w:rPr>
          <w:rFonts w:cs="Arial"/>
          <w:sz w:val="20"/>
          <w:szCs w:val="20"/>
          <w:rtl/>
        </w:rPr>
        <w:t xml:space="preserve"> </w:t>
      </w:r>
      <w:r w:rsidRPr="00F95B12">
        <w:rPr>
          <w:rFonts w:cs="Arial" w:hint="cs"/>
          <w:sz w:val="20"/>
          <w:szCs w:val="20"/>
          <w:rtl/>
        </w:rPr>
        <w:t>בשני</w:t>
      </w:r>
      <w:r w:rsidRPr="00F95B12">
        <w:rPr>
          <w:rFonts w:cs="Arial"/>
          <w:sz w:val="20"/>
          <w:szCs w:val="20"/>
          <w:rtl/>
        </w:rPr>
        <w:t xml:space="preserve"> </w:t>
      </w:r>
      <w:r w:rsidRPr="00F95B12">
        <w:rPr>
          <w:rFonts w:cs="Arial" w:hint="cs"/>
          <w:sz w:val="20"/>
          <w:szCs w:val="20"/>
          <w:rtl/>
        </w:rPr>
        <w:t>עדים</w:t>
      </w:r>
      <w:r w:rsidRPr="00F95B12">
        <w:rPr>
          <w:rFonts w:cs="Arial"/>
          <w:sz w:val="20"/>
          <w:szCs w:val="20"/>
          <w:rtl/>
        </w:rPr>
        <w:t xml:space="preserve"> </w:t>
      </w:r>
      <w:r w:rsidRPr="00F95B12">
        <w:rPr>
          <w:rFonts w:cs="Arial" w:hint="cs"/>
          <w:sz w:val="20"/>
          <w:szCs w:val="20"/>
          <w:rtl/>
        </w:rPr>
        <w:t>אחד</w:t>
      </w:r>
      <w:r w:rsidRPr="00F95B12">
        <w:rPr>
          <w:rFonts w:cs="Arial"/>
          <w:sz w:val="20"/>
          <w:szCs w:val="20"/>
          <w:rtl/>
        </w:rPr>
        <w:t xml:space="preserve"> </w:t>
      </w:r>
      <w:r w:rsidRPr="00F95B12">
        <w:rPr>
          <w:rFonts w:cs="Arial" w:hint="cs"/>
          <w:sz w:val="20"/>
          <w:szCs w:val="20"/>
          <w:rtl/>
        </w:rPr>
        <w:t>לו</w:t>
      </w:r>
      <w:r w:rsidRPr="00F95B12">
        <w:rPr>
          <w:rFonts w:cs="Arial"/>
          <w:sz w:val="20"/>
          <w:szCs w:val="20"/>
          <w:rtl/>
        </w:rPr>
        <w:t xml:space="preserve"> </w:t>
      </w:r>
      <w:r w:rsidRPr="00F95B12">
        <w:rPr>
          <w:rFonts w:cs="Arial" w:hint="cs"/>
          <w:sz w:val="20"/>
          <w:szCs w:val="20"/>
          <w:rtl/>
        </w:rPr>
        <w:t>ואחד</w:t>
      </w:r>
      <w:r w:rsidRPr="00F95B12">
        <w:rPr>
          <w:rFonts w:cs="Arial"/>
          <w:sz w:val="20"/>
          <w:szCs w:val="20"/>
          <w:rtl/>
        </w:rPr>
        <w:t xml:space="preserve"> </w:t>
      </w:r>
      <w:r w:rsidRPr="00F95B12">
        <w:rPr>
          <w:rFonts w:cs="Arial" w:hint="cs"/>
          <w:sz w:val="20"/>
          <w:szCs w:val="20"/>
          <w:rtl/>
        </w:rPr>
        <w:t>לה</w:t>
      </w:r>
      <w:r w:rsidRPr="00F95B12">
        <w:rPr>
          <w:rFonts w:cs="Arial"/>
          <w:sz w:val="20"/>
          <w:szCs w:val="20"/>
          <w:rtl/>
        </w:rPr>
        <w:t xml:space="preserve"> </w:t>
      </w:r>
      <w:r w:rsidRPr="00F95B12">
        <w:rPr>
          <w:rFonts w:cs="Arial" w:hint="cs"/>
          <w:sz w:val="20"/>
          <w:szCs w:val="20"/>
          <w:rtl/>
        </w:rPr>
        <w:t>והצנועות</w:t>
      </w:r>
      <w:r w:rsidRPr="00F95B12">
        <w:rPr>
          <w:rFonts w:cs="Arial"/>
          <w:sz w:val="20"/>
          <w:szCs w:val="20"/>
          <w:rtl/>
        </w:rPr>
        <w:t xml:space="preserve"> </w:t>
      </w:r>
      <w:r w:rsidRPr="00F95B12">
        <w:rPr>
          <w:rFonts w:cs="Arial" w:hint="cs"/>
          <w:sz w:val="20"/>
          <w:szCs w:val="20"/>
          <w:rtl/>
        </w:rPr>
        <w:t>מתקנות</w:t>
      </w:r>
      <w:r w:rsidRPr="00F95B12">
        <w:rPr>
          <w:rFonts w:cs="Arial"/>
          <w:sz w:val="20"/>
          <w:szCs w:val="20"/>
          <w:rtl/>
        </w:rPr>
        <w:t xml:space="preserve"> </w:t>
      </w:r>
      <w:r w:rsidRPr="00F95B12">
        <w:rPr>
          <w:rFonts w:cs="Arial" w:hint="cs"/>
          <w:sz w:val="20"/>
          <w:szCs w:val="20"/>
          <w:rtl/>
        </w:rPr>
        <w:t>שלישי</w:t>
      </w:r>
      <w:r w:rsidRPr="00F95B12">
        <w:rPr>
          <w:rFonts w:cs="Arial"/>
          <w:sz w:val="20"/>
          <w:szCs w:val="20"/>
          <w:rtl/>
        </w:rPr>
        <w:t xml:space="preserve"> </w:t>
      </w:r>
      <w:r w:rsidRPr="00F95B12">
        <w:rPr>
          <w:rFonts w:cs="Arial" w:hint="cs"/>
          <w:sz w:val="20"/>
          <w:szCs w:val="20"/>
          <w:rtl/>
        </w:rPr>
        <w:t>לתקן</w:t>
      </w:r>
      <w:r w:rsidRPr="00F95B12">
        <w:rPr>
          <w:rFonts w:cs="Arial"/>
          <w:sz w:val="20"/>
          <w:szCs w:val="20"/>
          <w:rtl/>
        </w:rPr>
        <w:t xml:space="preserve"> </w:t>
      </w:r>
      <w:r w:rsidRPr="00F95B12">
        <w:rPr>
          <w:rFonts w:cs="Arial" w:hint="cs"/>
          <w:sz w:val="20"/>
          <w:szCs w:val="20"/>
          <w:rtl/>
        </w:rPr>
        <w:t>את</w:t>
      </w:r>
      <w:r w:rsidRPr="00F95B12">
        <w:rPr>
          <w:rFonts w:cs="Arial"/>
          <w:sz w:val="20"/>
          <w:szCs w:val="20"/>
          <w:rtl/>
        </w:rPr>
        <w:t xml:space="preserve"> </w:t>
      </w:r>
      <w:r w:rsidRPr="00F95B12">
        <w:rPr>
          <w:rFonts w:cs="Arial" w:hint="cs"/>
          <w:sz w:val="20"/>
          <w:szCs w:val="20"/>
          <w:rtl/>
        </w:rPr>
        <w:t>הבית</w:t>
      </w:r>
      <w:r w:rsidRPr="00F95B12">
        <w:rPr>
          <w:rFonts w:cs="Arial"/>
          <w:sz w:val="20"/>
          <w:szCs w:val="20"/>
          <w:rtl/>
        </w:rPr>
        <w:t xml:space="preserve"> </w:t>
      </w:r>
      <w:r w:rsidRPr="00F95B12">
        <w:rPr>
          <w:rFonts w:cs="Arial" w:hint="cs"/>
          <w:sz w:val="20"/>
          <w:szCs w:val="20"/>
          <w:rtl/>
        </w:rPr>
        <w:t>נמצא</w:t>
      </w:r>
      <w:r w:rsidRPr="00F95B12">
        <w:rPr>
          <w:rFonts w:cs="Arial"/>
          <w:sz w:val="20"/>
          <w:szCs w:val="20"/>
          <w:rtl/>
        </w:rPr>
        <w:t xml:space="preserve"> </w:t>
      </w:r>
      <w:r w:rsidRPr="00F95B12">
        <w:rPr>
          <w:rFonts w:cs="Arial" w:hint="cs"/>
          <w:sz w:val="20"/>
          <w:szCs w:val="20"/>
          <w:rtl/>
        </w:rPr>
        <w:t>על</w:t>
      </w:r>
      <w:r w:rsidRPr="00F95B12">
        <w:rPr>
          <w:rFonts w:cs="Arial"/>
          <w:sz w:val="20"/>
          <w:szCs w:val="20"/>
          <w:rtl/>
        </w:rPr>
        <w:t xml:space="preserve"> </w:t>
      </w:r>
      <w:r w:rsidRPr="00F95B12">
        <w:rPr>
          <w:rFonts w:cs="Arial" w:hint="cs"/>
          <w:sz w:val="20"/>
          <w:szCs w:val="20"/>
          <w:rtl/>
        </w:rPr>
        <w:t>שלו</w:t>
      </w:r>
      <w:r w:rsidRPr="00F95B12">
        <w:rPr>
          <w:rFonts w:cs="Arial"/>
          <w:sz w:val="20"/>
          <w:szCs w:val="20"/>
          <w:rtl/>
        </w:rPr>
        <w:t xml:space="preserve"> - </w:t>
      </w:r>
      <w:r w:rsidRPr="00F95B12">
        <w:rPr>
          <w:rFonts w:cs="Arial" w:hint="cs"/>
          <w:sz w:val="20"/>
          <w:szCs w:val="20"/>
          <w:rtl/>
        </w:rPr>
        <w:t>טמאין</w:t>
      </w:r>
      <w:r w:rsidRPr="00F95B12">
        <w:rPr>
          <w:rFonts w:cs="Arial"/>
          <w:sz w:val="20"/>
          <w:szCs w:val="20"/>
          <w:rtl/>
        </w:rPr>
        <w:t xml:space="preserve"> </w:t>
      </w:r>
      <w:r w:rsidRPr="00F95B12">
        <w:rPr>
          <w:rFonts w:cs="Arial" w:hint="cs"/>
          <w:sz w:val="20"/>
          <w:szCs w:val="20"/>
          <w:rtl/>
        </w:rPr>
        <w:t>וחייבין</w:t>
      </w:r>
      <w:r w:rsidRPr="00F95B12">
        <w:rPr>
          <w:rFonts w:cs="Arial"/>
          <w:sz w:val="20"/>
          <w:szCs w:val="20"/>
          <w:rtl/>
        </w:rPr>
        <w:t xml:space="preserve"> </w:t>
      </w:r>
      <w:r w:rsidRPr="00F95B12">
        <w:rPr>
          <w:rFonts w:cs="Arial" w:hint="cs"/>
          <w:sz w:val="20"/>
          <w:szCs w:val="20"/>
          <w:rtl/>
        </w:rPr>
        <w:t>קרבן</w:t>
      </w:r>
      <w:r w:rsidRPr="00F95B12">
        <w:rPr>
          <w:rFonts w:cs="Arial"/>
          <w:sz w:val="20"/>
          <w:szCs w:val="20"/>
          <w:rtl/>
        </w:rPr>
        <w:t xml:space="preserve">. </w:t>
      </w:r>
      <w:r w:rsidRPr="00F95B12">
        <w:rPr>
          <w:rFonts w:cs="Arial" w:hint="cs"/>
          <w:sz w:val="20"/>
          <w:szCs w:val="20"/>
          <w:rtl/>
        </w:rPr>
        <w:t>נמצא</w:t>
      </w:r>
      <w:r w:rsidRPr="00F95B12">
        <w:rPr>
          <w:rFonts w:cs="Arial"/>
          <w:sz w:val="20"/>
          <w:szCs w:val="20"/>
          <w:rtl/>
        </w:rPr>
        <w:t xml:space="preserve"> </w:t>
      </w:r>
      <w:r w:rsidRPr="00F95B12">
        <w:rPr>
          <w:rFonts w:cs="Arial" w:hint="cs"/>
          <w:sz w:val="20"/>
          <w:szCs w:val="20"/>
          <w:rtl/>
        </w:rPr>
        <w:t>על</w:t>
      </w:r>
      <w:r w:rsidRPr="00F95B12">
        <w:rPr>
          <w:rFonts w:cs="Arial"/>
          <w:sz w:val="20"/>
          <w:szCs w:val="20"/>
          <w:rtl/>
        </w:rPr>
        <w:t xml:space="preserve"> </w:t>
      </w:r>
      <w:r w:rsidRPr="00F95B12">
        <w:rPr>
          <w:rFonts w:cs="Arial" w:hint="cs"/>
          <w:sz w:val="20"/>
          <w:szCs w:val="20"/>
          <w:rtl/>
        </w:rPr>
        <w:t>שלה</w:t>
      </w:r>
      <w:r w:rsidRPr="00F95B12">
        <w:rPr>
          <w:rFonts w:cs="Arial"/>
          <w:sz w:val="20"/>
          <w:szCs w:val="20"/>
          <w:rtl/>
        </w:rPr>
        <w:t xml:space="preserve">, </w:t>
      </w:r>
      <w:r w:rsidRPr="00F95B12">
        <w:rPr>
          <w:rFonts w:cs="Arial" w:hint="cs"/>
          <w:sz w:val="20"/>
          <w:szCs w:val="20"/>
          <w:rtl/>
        </w:rPr>
        <w:t>אותיום</w:t>
      </w:r>
      <w:r w:rsidRPr="00F95B12">
        <w:rPr>
          <w:rFonts w:cs="Arial"/>
          <w:sz w:val="20"/>
          <w:szCs w:val="20"/>
          <w:rtl/>
        </w:rPr>
        <w:t xml:space="preserve"> - </w:t>
      </w:r>
      <w:r w:rsidRPr="00F95B12">
        <w:rPr>
          <w:rFonts w:cs="Arial" w:hint="cs"/>
          <w:sz w:val="20"/>
          <w:szCs w:val="20"/>
          <w:rtl/>
        </w:rPr>
        <w:t>טמאין</w:t>
      </w:r>
      <w:r w:rsidRPr="00F95B12">
        <w:rPr>
          <w:rFonts w:cs="Arial"/>
          <w:sz w:val="20"/>
          <w:szCs w:val="20"/>
          <w:rtl/>
        </w:rPr>
        <w:t xml:space="preserve"> </w:t>
      </w:r>
      <w:r w:rsidRPr="00F95B12">
        <w:rPr>
          <w:rFonts w:cs="Arial" w:hint="cs"/>
          <w:sz w:val="20"/>
          <w:szCs w:val="20"/>
          <w:rtl/>
        </w:rPr>
        <w:t>וחייבין</w:t>
      </w:r>
      <w:r w:rsidRPr="00F95B12">
        <w:rPr>
          <w:rFonts w:cs="Arial"/>
          <w:sz w:val="20"/>
          <w:szCs w:val="20"/>
          <w:rtl/>
        </w:rPr>
        <w:t xml:space="preserve"> </w:t>
      </w:r>
      <w:r w:rsidRPr="00F95B12">
        <w:rPr>
          <w:rFonts w:cs="Arial" w:hint="cs"/>
          <w:sz w:val="20"/>
          <w:szCs w:val="20"/>
          <w:rtl/>
        </w:rPr>
        <w:t>בקרבן</w:t>
      </w:r>
      <w:r w:rsidRPr="00F95B12">
        <w:rPr>
          <w:rFonts w:cs="Arial"/>
          <w:sz w:val="20"/>
          <w:szCs w:val="20"/>
          <w:rtl/>
        </w:rPr>
        <w:t xml:space="preserve">, </w:t>
      </w:r>
      <w:r w:rsidRPr="00F95B12">
        <w:rPr>
          <w:rFonts w:cs="Arial" w:hint="cs"/>
          <w:sz w:val="20"/>
          <w:szCs w:val="20"/>
          <w:rtl/>
        </w:rPr>
        <w:t>נמצא</w:t>
      </w:r>
      <w:r w:rsidRPr="00F95B12">
        <w:rPr>
          <w:rFonts w:cs="Arial"/>
          <w:sz w:val="20"/>
          <w:szCs w:val="20"/>
          <w:rtl/>
        </w:rPr>
        <w:t xml:space="preserve"> </w:t>
      </w:r>
      <w:r w:rsidRPr="00F95B12">
        <w:rPr>
          <w:rFonts w:cs="Arial" w:hint="cs"/>
          <w:sz w:val="20"/>
          <w:szCs w:val="20"/>
          <w:rtl/>
        </w:rPr>
        <w:t>על</w:t>
      </w:r>
      <w:r w:rsidRPr="00F95B12">
        <w:rPr>
          <w:rFonts w:cs="Arial"/>
          <w:sz w:val="20"/>
          <w:szCs w:val="20"/>
          <w:rtl/>
        </w:rPr>
        <w:t xml:space="preserve"> </w:t>
      </w:r>
      <w:r w:rsidRPr="00F95B12">
        <w:rPr>
          <w:rFonts w:cs="Arial" w:hint="cs"/>
          <w:sz w:val="20"/>
          <w:szCs w:val="20"/>
          <w:rtl/>
        </w:rPr>
        <w:t>שלה</w:t>
      </w:r>
      <w:r w:rsidRPr="00F95B12">
        <w:rPr>
          <w:rFonts w:cs="Arial"/>
          <w:sz w:val="20"/>
          <w:szCs w:val="20"/>
          <w:rtl/>
        </w:rPr>
        <w:t xml:space="preserve"> </w:t>
      </w:r>
      <w:r w:rsidRPr="00F95B12">
        <w:rPr>
          <w:rFonts w:cs="Arial" w:hint="cs"/>
          <w:sz w:val="20"/>
          <w:szCs w:val="20"/>
          <w:rtl/>
        </w:rPr>
        <w:t>לאחר</w:t>
      </w:r>
      <w:r w:rsidRPr="00F95B12">
        <w:rPr>
          <w:rFonts w:cs="Arial"/>
          <w:sz w:val="20"/>
          <w:szCs w:val="20"/>
          <w:rtl/>
        </w:rPr>
        <w:t xml:space="preserve"> </w:t>
      </w:r>
      <w:r w:rsidRPr="00F95B12">
        <w:rPr>
          <w:rFonts w:cs="Arial" w:hint="cs"/>
          <w:sz w:val="20"/>
          <w:szCs w:val="20"/>
          <w:rtl/>
        </w:rPr>
        <w:t>זמן</w:t>
      </w:r>
      <w:r w:rsidRPr="00F95B12">
        <w:rPr>
          <w:rFonts w:cs="Arial"/>
          <w:sz w:val="20"/>
          <w:szCs w:val="20"/>
          <w:rtl/>
        </w:rPr>
        <w:t xml:space="preserve"> - </w:t>
      </w:r>
      <w:r w:rsidRPr="00F95B12">
        <w:rPr>
          <w:rFonts w:cs="Arial" w:hint="cs"/>
          <w:sz w:val="20"/>
          <w:szCs w:val="20"/>
          <w:rtl/>
        </w:rPr>
        <w:t>טמאין</w:t>
      </w:r>
      <w:r w:rsidRPr="00F95B12">
        <w:rPr>
          <w:rFonts w:cs="Arial"/>
          <w:sz w:val="20"/>
          <w:szCs w:val="20"/>
          <w:rtl/>
        </w:rPr>
        <w:t xml:space="preserve"> </w:t>
      </w:r>
      <w:r w:rsidRPr="00F95B12">
        <w:rPr>
          <w:rFonts w:cs="Arial" w:hint="cs"/>
          <w:sz w:val="20"/>
          <w:szCs w:val="20"/>
          <w:rtl/>
        </w:rPr>
        <w:t>מספק</w:t>
      </w:r>
      <w:r w:rsidRPr="00F95B12">
        <w:rPr>
          <w:rFonts w:cs="Arial"/>
          <w:sz w:val="20"/>
          <w:szCs w:val="20"/>
          <w:rtl/>
        </w:rPr>
        <w:t xml:space="preserve">, </w:t>
      </w:r>
      <w:r w:rsidRPr="00F95B12">
        <w:rPr>
          <w:rFonts w:cs="Arial" w:hint="cs"/>
          <w:sz w:val="20"/>
          <w:szCs w:val="20"/>
          <w:rtl/>
        </w:rPr>
        <w:t>ופטורין</w:t>
      </w:r>
      <w:r w:rsidRPr="00F95B12">
        <w:rPr>
          <w:rFonts w:cs="Arial"/>
          <w:sz w:val="20"/>
          <w:szCs w:val="20"/>
          <w:rtl/>
        </w:rPr>
        <w:t xml:space="preserve"> </w:t>
      </w:r>
      <w:r w:rsidRPr="00F95B12">
        <w:rPr>
          <w:rFonts w:cs="Arial" w:hint="cs"/>
          <w:sz w:val="20"/>
          <w:szCs w:val="20"/>
          <w:rtl/>
        </w:rPr>
        <w:t>מן</w:t>
      </w:r>
      <w:r w:rsidRPr="00F95B12">
        <w:rPr>
          <w:rFonts w:cs="Arial"/>
          <w:sz w:val="20"/>
          <w:szCs w:val="20"/>
          <w:rtl/>
        </w:rPr>
        <w:t xml:space="preserve"> </w:t>
      </w:r>
      <w:r w:rsidRPr="00F95B12">
        <w:rPr>
          <w:rFonts w:cs="Arial" w:hint="cs"/>
          <w:sz w:val="20"/>
          <w:szCs w:val="20"/>
          <w:rtl/>
        </w:rPr>
        <w:t>הקרבן</w:t>
      </w:r>
      <w:r w:rsidRPr="00F95B12">
        <w:rPr>
          <w:rFonts w:cs="Arial"/>
          <w:sz w:val="20"/>
          <w:szCs w:val="20"/>
          <w:rtl/>
        </w:rPr>
        <w:t xml:space="preserve">. </w:t>
      </w:r>
      <w:r w:rsidRPr="00F95B12">
        <w:rPr>
          <w:rFonts w:cs="Arial" w:hint="cs"/>
          <w:sz w:val="20"/>
          <w:szCs w:val="20"/>
          <w:rtl/>
        </w:rPr>
        <w:t>איזהו</w:t>
      </w:r>
      <w:r w:rsidRPr="00F95B12">
        <w:rPr>
          <w:rFonts w:cs="Arial"/>
          <w:sz w:val="20"/>
          <w:szCs w:val="20"/>
          <w:rtl/>
        </w:rPr>
        <w:t xml:space="preserve"> </w:t>
      </w:r>
      <w:r w:rsidRPr="00F95B12">
        <w:rPr>
          <w:rFonts w:cs="Arial" w:hint="cs"/>
          <w:sz w:val="20"/>
          <w:szCs w:val="20"/>
          <w:rtl/>
        </w:rPr>
        <w:t>אחר</w:t>
      </w:r>
      <w:r w:rsidRPr="00F95B12">
        <w:rPr>
          <w:rFonts w:cs="Arial"/>
          <w:sz w:val="20"/>
          <w:szCs w:val="20"/>
          <w:rtl/>
        </w:rPr>
        <w:t xml:space="preserve"> </w:t>
      </w:r>
      <w:r w:rsidRPr="00F95B12">
        <w:rPr>
          <w:rFonts w:cs="Arial" w:hint="cs"/>
          <w:sz w:val="20"/>
          <w:szCs w:val="20"/>
          <w:rtl/>
        </w:rPr>
        <w:t>זמן</w:t>
      </w:r>
      <w:r w:rsidRPr="00F95B12">
        <w:rPr>
          <w:rFonts w:cs="Arial"/>
          <w:sz w:val="20"/>
          <w:szCs w:val="20"/>
          <w:rtl/>
        </w:rPr>
        <w:t xml:space="preserve"> </w:t>
      </w:r>
      <w:r w:rsidRPr="00F95B12">
        <w:rPr>
          <w:rFonts w:cs="Arial" w:hint="cs"/>
          <w:sz w:val="20"/>
          <w:szCs w:val="20"/>
          <w:rtl/>
        </w:rPr>
        <w:t>כדי</w:t>
      </w:r>
      <w:r w:rsidRPr="00F95B12">
        <w:rPr>
          <w:rFonts w:cs="Arial"/>
          <w:sz w:val="20"/>
          <w:szCs w:val="20"/>
          <w:rtl/>
        </w:rPr>
        <w:t xml:space="preserve"> </w:t>
      </w:r>
      <w:r w:rsidRPr="00F95B12">
        <w:rPr>
          <w:rFonts w:cs="Arial" w:hint="cs"/>
          <w:sz w:val="20"/>
          <w:szCs w:val="20"/>
          <w:rtl/>
        </w:rPr>
        <w:t>שתרד</w:t>
      </w:r>
      <w:r w:rsidRPr="00F95B12">
        <w:rPr>
          <w:rFonts w:cs="Arial"/>
          <w:sz w:val="20"/>
          <w:szCs w:val="20"/>
          <w:rtl/>
        </w:rPr>
        <w:t xml:space="preserve"> </w:t>
      </w:r>
      <w:r w:rsidRPr="00F95B12">
        <w:rPr>
          <w:rFonts w:cs="Arial" w:hint="cs"/>
          <w:sz w:val="20"/>
          <w:szCs w:val="20"/>
          <w:rtl/>
        </w:rPr>
        <w:t>מן</w:t>
      </w:r>
      <w:r w:rsidRPr="00F95B12">
        <w:rPr>
          <w:rFonts w:cs="Arial"/>
          <w:sz w:val="20"/>
          <w:szCs w:val="20"/>
          <w:rtl/>
        </w:rPr>
        <w:t xml:space="preserve"> </w:t>
      </w:r>
      <w:r w:rsidRPr="00F95B12">
        <w:rPr>
          <w:rFonts w:cs="Arial" w:hint="cs"/>
          <w:sz w:val="20"/>
          <w:szCs w:val="20"/>
          <w:rtl/>
        </w:rPr>
        <w:t>המטה</w:t>
      </w:r>
      <w:r w:rsidRPr="00F95B12">
        <w:rPr>
          <w:rFonts w:cs="Arial"/>
          <w:sz w:val="20"/>
          <w:szCs w:val="20"/>
          <w:rtl/>
        </w:rPr>
        <w:t xml:space="preserve"> </w:t>
      </w:r>
      <w:r w:rsidRPr="00F95B12">
        <w:rPr>
          <w:rFonts w:cs="Arial" w:hint="cs"/>
          <w:sz w:val="20"/>
          <w:szCs w:val="20"/>
          <w:rtl/>
        </w:rPr>
        <w:t>ותדיח</w:t>
      </w:r>
      <w:r w:rsidRPr="00F95B12">
        <w:rPr>
          <w:rFonts w:cs="Arial"/>
          <w:sz w:val="20"/>
          <w:szCs w:val="20"/>
          <w:rtl/>
        </w:rPr>
        <w:t xml:space="preserve"> </w:t>
      </w:r>
      <w:r w:rsidRPr="00F95B12">
        <w:rPr>
          <w:rFonts w:cs="Arial" w:hint="cs"/>
          <w:sz w:val="20"/>
          <w:szCs w:val="20"/>
          <w:rtl/>
        </w:rPr>
        <w:t>פניה</w:t>
      </w:r>
      <w:r w:rsidRPr="00F95B12">
        <w:rPr>
          <w:rFonts w:cs="Arial"/>
          <w:sz w:val="20"/>
          <w:szCs w:val="20"/>
          <w:rtl/>
        </w:rPr>
        <w:t xml:space="preserve"> </w:t>
      </w:r>
      <w:r w:rsidRPr="00F95B12">
        <w:rPr>
          <w:rFonts w:cs="Arial" w:hint="cs"/>
          <w:sz w:val="20"/>
          <w:szCs w:val="20"/>
          <w:rtl/>
        </w:rPr>
        <w:t>ואח</w:t>
      </w:r>
      <w:r>
        <w:rPr>
          <w:rFonts w:cs="Arial" w:hint="cs"/>
          <w:sz w:val="20"/>
          <w:szCs w:val="20"/>
          <w:rtl/>
        </w:rPr>
        <w:t xml:space="preserve">ר </w:t>
      </w:r>
      <w:r w:rsidRPr="00F95B12">
        <w:rPr>
          <w:rFonts w:cs="Arial" w:hint="cs"/>
          <w:sz w:val="20"/>
          <w:szCs w:val="20"/>
          <w:rtl/>
        </w:rPr>
        <w:t>כ</w:t>
      </w:r>
      <w:r>
        <w:rPr>
          <w:rFonts w:cs="Arial" w:hint="cs"/>
          <w:sz w:val="20"/>
          <w:szCs w:val="20"/>
          <w:rtl/>
        </w:rPr>
        <w:t>ך</w:t>
      </w:r>
      <w:r w:rsidRPr="00F95B12">
        <w:rPr>
          <w:rFonts w:cs="Arial"/>
          <w:sz w:val="20"/>
          <w:szCs w:val="20"/>
          <w:rtl/>
        </w:rPr>
        <w:t xml:space="preserve"> </w:t>
      </w:r>
      <w:r w:rsidRPr="00F95B12">
        <w:rPr>
          <w:rFonts w:cs="Arial" w:hint="cs"/>
          <w:sz w:val="20"/>
          <w:szCs w:val="20"/>
          <w:rtl/>
        </w:rPr>
        <w:t>מטמאה</w:t>
      </w:r>
      <w:r w:rsidRPr="00F95B12">
        <w:rPr>
          <w:rFonts w:cs="Arial"/>
          <w:sz w:val="20"/>
          <w:szCs w:val="20"/>
          <w:rtl/>
        </w:rPr>
        <w:t xml:space="preserve"> </w:t>
      </w:r>
      <w:r w:rsidRPr="00F95B12">
        <w:rPr>
          <w:rFonts w:cs="Arial" w:hint="cs"/>
          <w:sz w:val="20"/>
          <w:szCs w:val="20"/>
          <w:rtl/>
        </w:rPr>
        <w:t>מעת</w:t>
      </w:r>
      <w:r w:rsidRPr="00F95B12">
        <w:rPr>
          <w:rFonts w:cs="Arial"/>
          <w:sz w:val="20"/>
          <w:szCs w:val="20"/>
          <w:rtl/>
        </w:rPr>
        <w:t xml:space="preserve"> </w:t>
      </w:r>
      <w:r w:rsidRPr="00F95B12">
        <w:rPr>
          <w:rFonts w:cs="Arial" w:hint="cs"/>
          <w:sz w:val="20"/>
          <w:szCs w:val="20"/>
          <w:rtl/>
        </w:rPr>
        <w:t>לעת</w:t>
      </w:r>
      <w:r w:rsidRPr="00F95B12">
        <w:rPr>
          <w:rFonts w:cs="Arial"/>
          <w:sz w:val="20"/>
          <w:szCs w:val="20"/>
          <w:rtl/>
        </w:rPr>
        <w:t xml:space="preserve"> </w:t>
      </w:r>
      <w:r w:rsidRPr="00F95B12">
        <w:rPr>
          <w:rFonts w:cs="Arial" w:hint="cs"/>
          <w:sz w:val="20"/>
          <w:szCs w:val="20"/>
          <w:rtl/>
        </w:rPr>
        <w:t>ואינה</w:t>
      </w:r>
      <w:r w:rsidRPr="00F95B12">
        <w:rPr>
          <w:rFonts w:cs="Arial"/>
          <w:sz w:val="20"/>
          <w:szCs w:val="20"/>
          <w:rtl/>
        </w:rPr>
        <w:t xml:space="preserve"> </w:t>
      </w:r>
      <w:r w:rsidRPr="00F95B12">
        <w:rPr>
          <w:rFonts w:cs="Arial" w:hint="cs"/>
          <w:sz w:val="20"/>
          <w:szCs w:val="20"/>
          <w:rtl/>
        </w:rPr>
        <w:t>מטמאה</w:t>
      </w:r>
      <w:r w:rsidRPr="00F95B12">
        <w:rPr>
          <w:rFonts w:cs="Arial"/>
          <w:sz w:val="20"/>
          <w:szCs w:val="20"/>
          <w:rtl/>
        </w:rPr>
        <w:t xml:space="preserve"> </w:t>
      </w:r>
      <w:r w:rsidRPr="00F95B12">
        <w:rPr>
          <w:rFonts w:cs="Arial" w:hint="cs"/>
          <w:sz w:val="20"/>
          <w:szCs w:val="20"/>
          <w:rtl/>
        </w:rPr>
        <w:t>את</w:t>
      </w:r>
      <w:r w:rsidRPr="00F95B12">
        <w:rPr>
          <w:rFonts w:cs="Arial"/>
          <w:sz w:val="20"/>
          <w:szCs w:val="20"/>
          <w:rtl/>
        </w:rPr>
        <w:t xml:space="preserve"> </w:t>
      </w:r>
      <w:r w:rsidRPr="00F95B12">
        <w:rPr>
          <w:rFonts w:cs="Arial" w:hint="cs"/>
          <w:sz w:val="20"/>
          <w:szCs w:val="20"/>
          <w:rtl/>
        </w:rPr>
        <w:t>בועלה</w:t>
      </w:r>
      <w:r>
        <w:rPr>
          <w:rFonts w:cs="Arial" w:hint="cs"/>
          <w:sz w:val="20"/>
          <w:szCs w:val="20"/>
          <w:rtl/>
        </w:rPr>
        <w:t>..."</w:t>
      </w:r>
      <w:r>
        <w:rPr>
          <w:sz w:val="20"/>
          <w:szCs w:val="20"/>
          <w:u w:val="single"/>
          <w:rtl/>
        </w:rPr>
        <w:br/>
      </w:r>
      <w:r>
        <w:rPr>
          <w:rFonts w:hint="cs"/>
          <w:b/>
          <w:bCs/>
          <w:sz w:val="20"/>
          <w:szCs w:val="20"/>
          <w:rtl/>
        </w:rPr>
        <w:t xml:space="preserve">גמרא </w:t>
      </w:r>
      <w:r>
        <w:rPr>
          <w:rFonts w:hint="cs"/>
          <w:sz w:val="20"/>
          <w:szCs w:val="20"/>
          <w:rtl/>
        </w:rPr>
        <w:t>(שם, יד: - טו.) "</w:t>
      </w:r>
      <w:r w:rsidRPr="00F95B12">
        <w:rPr>
          <w:rFonts w:cs="Arial" w:hint="cs"/>
          <w:sz w:val="20"/>
          <w:szCs w:val="20"/>
          <w:rtl/>
        </w:rPr>
        <w:t>איזהו</w:t>
      </w:r>
      <w:r w:rsidRPr="00F95B12">
        <w:rPr>
          <w:rFonts w:cs="Arial"/>
          <w:sz w:val="20"/>
          <w:szCs w:val="20"/>
          <w:rtl/>
        </w:rPr>
        <w:t xml:space="preserve"> </w:t>
      </w:r>
      <w:r w:rsidRPr="00F95B12">
        <w:rPr>
          <w:rFonts w:cs="Arial" w:hint="cs"/>
          <w:sz w:val="20"/>
          <w:szCs w:val="20"/>
          <w:rtl/>
        </w:rPr>
        <w:t>אחר</w:t>
      </w:r>
      <w:r w:rsidRPr="00F95B12">
        <w:rPr>
          <w:rFonts w:cs="Arial"/>
          <w:sz w:val="20"/>
          <w:szCs w:val="20"/>
          <w:rtl/>
        </w:rPr>
        <w:t xml:space="preserve"> </w:t>
      </w:r>
      <w:r w:rsidRPr="00F95B12">
        <w:rPr>
          <w:rFonts w:cs="Arial" w:hint="cs"/>
          <w:sz w:val="20"/>
          <w:szCs w:val="20"/>
          <w:rtl/>
        </w:rPr>
        <w:t>זמן</w:t>
      </w:r>
      <w:r w:rsidRPr="00F95B12">
        <w:rPr>
          <w:rFonts w:cs="Arial"/>
          <w:sz w:val="20"/>
          <w:szCs w:val="20"/>
          <w:rtl/>
        </w:rPr>
        <w:t xml:space="preserve"> </w:t>
      </w:r>
      <w:r w:rsidRPr="00F95B12">
        <w:rPr>
          <w:rFonts w:cs="Arial" w:hint="cs"/>
          <w:sz w:val="20"/>
          <w:szCs w:val="20"/>
          <w:rtl/>
        </w:rPr>
        <w:t>וכו</w:t>
      </w:r>
      <w:r w:rsidRPr="00F95B12">
        <w:rPr>
          <w:rFonts w:cs="Arial"/>
          <w:sz w:val="20"/>
          <w:szCs w:val="20"/>
          <w:rtl/>
        </w:rPr>
        <w:t xml:space="preserve">'. </w:t>
      </w:r>
      <w:r w:rsidRPr="00F95B12">
        <w:rPr>
          <w:rFonts w:cs="Arial" w:hint="cs"/>
          <w:sz w:val="20"/>
          <w:szCs w:val="20"/>
          <w:rtl/>
        </w:rPr>
        <w:t>ורמינהי</w:t>
      </w:r>
      <w:r w:rsidRPr="00F95B12">
        <w:rPr>
          <w:rFonts w:cs="Arial"/>
          <w:sz w:val="20"/>
          <w:szCs w:val="20"/>
          <w:rtl/>
        </w:rPr>
        <w:t xml:space="preserve">, </w:t>
      </w:r>
      <w:r w:rsidRPr="00F95B12">
        <w:rPr>
          <w:rFonts w:cs="Arial" w:hint="cs"/>
          <w:sz w:val="20"/>
          <w:szCs w:val="20"/>
          <w:rtl/>
        </w:rPr>
        <w:t>איזהו</w:t>
      </w:r>
      <w:r w:rsidRPr="00F95B12">
        <w:rPr>
          <w:rFonts w:cs="Arial"/>
          <w:sz w:val="20"/>
          <w:szCs w:val="20"/>
          <w:rtl/>
        </w:rPr>
        <w:t xml:space="preserve"> </w:t>
      </w:r>
      <w:r w:rsidRPr="00F95B12">
        <w:rPr>
          <w:rFonts w:cs="Arial" w:hint="cs"/>
          <w:sz w:val="20"/>
          <w:szCs w:val="20"/>
          <w:rtl/>
        </w:rPr>
        <w:t>אחר</w:t>
      </w:r>
      <w:r w:rsidRPr="00F95B12">
        <w:rPr>
          <w:rFonts w:cs="Arial"/>
          <w:sz w:val="20"/>
          <w:szCs w:val="20"/>
          <w:rtl/>
        </w:rPr>
        <w:t xml:space="preserve"> </w:t>
      </w:r>
      <w:r w:rsidRPr="00F95B12">
        <w:rPr>
          <w:rFonts w:cs="Arial" w:hint="cs"/>
          <w:sz w:val="20"/>
          <w:szCs w:val="20"/>
          <w:rtl/>
        </w:rPr>
        <w:t>זמן</w:t>
      </w:r>
      <w:r w:rsidRPr="00F95B12">
        <w:rPr>
          <w:rFonts w:cs="Arial"/>
          <w:sz w:val="20"/>
          <w:szCs w:val="20"/>
          <w:rtl/>
        </w:rPr>
        <w:t xml:space="preserve">? </w:t>
      </w:r>
      <w:r w:rsidRPr="00F95B12">
        <w:rPr>
          <w:rFonts w:cs="Arial" w:hint="cs"/>
          <w:sz w:val="20"/>
          <w:szCs w:val="20"/>
          <w:rtl/>
        </w:rPr>
        <w:t>פירש</w:t>
      </w:r>
      <w:r w:rsidRPr="00F95B12">
        <w:rPr>
          <w:rFonts w:cs="Arial"/>
          <w:sz w:val="20"/>
          <w:szCs w:val="20"/>
          <w:rtl/>
        </w:rPr>
        <w:t xml:space="preserve"> </w:t>
      </w:r>
      <w:r w:rsidRPr="00F95B12">
        <w:rPr>
          <w:rFonts w:cs="Arial" w:hint="cs"/>
          <w:sz w:val="20"/>
          <w:szCs w:val="20"/>
          <w:rtl/>
        </w:rPr>
        <w:t>ר</w:t>
      </w:r>
      <w:r>
        <w:rPr>
          <w:rFonts w:cs="Arial" w:hint="cs"/>
          <w:sz w:val="20"/>
          <w:szCs w:val="20"/>
          <w:rtl/>
        </w:rPr>
        <w:t>בי</w:t>
      </w:r>
      <w:r w:rsidRPr="00F95B12">
        <w:rPr>
          <w:rFonts w:cs="Arial"/>
          <w:sz w:val="20"/>
          <w:szCs w:val="20"/>
          <w:rtl/>
        </w:rPr>
        <w:t xml:space="preserve"> </w:t>
      </w:r>
      <w:r w:rsidRPr="00F95B12">
        <w:rPr>
          <w:rFonts w:cs="Arial" w:hint="cs"/>
          <w:sz w:val="20"/>
          <w:szCs w:val="20"/>
          <w:rtl/>
        </w:rPr>
        <w:t>אליעזר</w:t>
      </w:r>
      <w:r w:rsidRPr="00F95B12">
        <w:rPr>
          <w:rFonts w:cs="Arial"/>
          <w:sz w:val="20"/>
          <w:szCs w:val="20"/>
          <w:rtl/>
        </w:rPr>
        <w:t xml:space="preserve"> </w:t>
      </w:r>
      <w:r w:rsidRPr="00F95B12">
        <w:rPr>
          <w:rFonts w:cs="Arial" w:hint="cs"/>
          <w:sz w:val="20"/>
          <w:szCs w:val="20"/>
          <w:rtl/>
        </w:rPr>
        <w:t>ברבי</w:t>
      </w:r>
      <w:r w:rsidRPr="00F95B12">
        <w:rPr>
          <w:rFonts w:cs="Arial"/>
          <w:sz w:val="20"/>
          <w:szCs w:val="20"/>
          <w:rtl/>
        </w:rPr>
        <w:t xml:space="preserve"> </w:t>
      </w:r>
      <w:r w:rsidRPr="00F95B12">
        <w:rPr>
          <w:rFonts w:cs="Arial" w:hint="cs"/>
          <w:sz w:val="20"/>
          <w:szCs w:val="20"/>
          <w:rtl/>
        </w:rPr>
        <w:t>צדוק</w:t>
      </w:r>
      <w:r w:rsidRPr="00F95B12">
        <w:rPr>
          <w:rFonts w:cs="Arial"/>
          <w:sz w:val="20"/>
          <w:szCs w:val="20"/>
          <w:rtl/>
        </w:rPr>
        <w:t xml:space="preserve">: </w:t>
      </w:r>
      <w:r w:rsidRPr="00F95B12">
        <w:rPr>
          <w:rFonts w:cs="Arial" w:hint="cs"/>
          <w:sz w:val="20"/>
          <w:szCs w:val="20"/>
          <w:rtl/>
        </w:rPr>
        <w:t>כדי</w:t>
      </w:r>
      <w:r w:rsidRPr="00F95B12">
        <w:rPr>
          <w:rFonts w:cs="Arial"/>
          <w:sz w:val="20"/>
          <w:szCs w:val="20"/>
          <w:rtl/>
        </w:rPr>
        <w:t xml:space="preserve"> </w:t>
      </w:r>
      <w:r w:rsidRPr="00F95B12">
        <w:rPr>
          <w:rFonts w:cs="Arial" w:hint="cs"/>
          <w:sz w:val="20"/>
          <w:szCs w:val="20"/>
          <w:rtl/>
        </w:rPr>
        <w:t>שתושיט</w:t>
      </w:r>
      <w:r w:rsidRPr="00F95B12">
        <w:rPr>
          <w:rFonts w:cs="Arial"/>
          <w:sz w:val="20"/>
          <w:szCs w:val="20"/>
          <w:rtl/>
        </w:rPr>
        <w:t xml:space="preserve"> </w:t>
      </w:r>
      <w:r w:rsidRPr="00F95B12">
        <w:rPr>
          <w:rFonts w:cs="Arial" w:hint="cs"/>
          <w:sz w:val="20"/>
          <w:szCs w:val="20"/>
          <w:rtl/>
        </w:rPr>
        <w:t>ידה</w:t>
      </w:r>
      <w:r w:rsidRPr="00F95B12">
        <w:rPr>
          <w:rFonts w:cs="Arial"/>
          <w:sz w:val="20"/>
          <w:szCs w:val="20"/>
          <w:rtl/>
        </w:rPr>
        <w:t xml:space="preserve"> </w:t>
      </w:r>
      <w:r w:rsidRPr="00F95B12">
        <w:rPr>
          <w:rFonts w:cs="Arial" w:hint="cs"/>
          <w:sz w:val="20"/>
          <w:szCs w:val="20"/>
          <w:rtl/>
        </w:rPr>
        <w:t>תחת</w:t>
      </w:r>
      <w:r w:rsidRPr="00F95B12">
        <w:rPr>
          <w:rFonts w:cs="Arial"/>
          <w:sz w:val="20"/>
          <w:szCs w:val="20"/>
          <w:rtl/>
        </w:rPr>
        <w:t xml:space="preserve"> </w:t>
      </w:r>
      <w:r w:rsidRPr="00F95B12">
        <w:rPr>
          <w:rFonts w:cs="Arial" w:hint="cs"/>
          <w:sz w:val="20"/>
          <w:szCs w:val="20"/>
          <w:rtl/>
        </w:rPr>
        <w:t>הכר</w:t>
      </w:r>
      <w:r w:rsidRPr="00F95B12">
        <w:rPr>
          <w:rFonts w:cs="Arial"/>
          <w:sz w:val="20"/>
          <w:szCs w:val="20"/>
          <w:rtl/>
        </w:rPr>
        <w:t xml:space="preserve"> </w:t>
      </w:r>
      <w:r w:rsidRPr="00F95B12">
        <w:rPr>
          <w:rFonts w:cs="Arial" w:hint="cs"/>
          <w:sz w:val="20"/>
          <w:szCs w:val="20"/>
          <w:rtl/>
        </w:rPr>
        <w:t>או</w:t>
      </w:r>
      <w:r w:rsidRPr="00F95B12">
        <w:rPr>
          <w:rFonts w:cs="Arial"/>
          <w:sz w:val="20"/>
          <w:szCs w:val="20"/>
          <w:rtl/>
        </w:rPr>
        <w:t xml:space="preserve"> </w:t>
      </w:r>
      <w:r w:rsidRPr="00F95B12">
        <w:rPr>
          <w:rFonts w:cs="Arial" w:hint="cs"/>
          <w:sz w:val="20"/>
          <w:szCs w:val="20"/>
          <w:rtl/>
        </w:rPr>
        <w:t>תחת</w:t>
      </w:r>
      <w:r w:rsidRPr="00F95B12">
        <w:rPr>
          <w:rFonts w:cs="Arial"/>
          <w:sz w:val="20"/>
          <w:szCs w:val="20"/>
          <w:rtl/>
        </w:rPr>
        <w:t xml:space="preserve"> </w:t>
      </w:r>
      <w:r w:rsidRPr="00F95B12">
        <w:rPr>
          <w:rFonts w:cs="Arial" w:hint="cs"/>
          <w:sz w:val="20"/>
          <w:szCs w:val="20"/>
          <w:rtl/>
        </w:rPr>
        <w:t>הכסת</w:t>
      </w:r>
      <w:r w:rsidRPr="00F95B12">
        <w:rPr>
          <w:rFonts w:cs="Arial"/>
          <w:sz w:val="20"/>
          <w:szCs w:val="20"/>
          <w:rtl/>
        </w:rPr>
        <w:t xml:space="preserve"> </w:t>
      </w:r>
      <w:r w:rsidRPr="00F95B12">
        <w:rPr>
          <w:rFonts w:cs="Arial" w:hint="cs"/>
          <w:sz w:val="20"/>
          <w:szCs w:val="20"/>
          <w:rtl/>
        </w:rPr>
        <w:t>ות</w:t>
      </w:r>
      <w:r>
        <w:rPr>
          <w:rFonts w:cs="Arial" w:hint="cs"/>
          <w:sz w:val="20"/>
          <w:szCs w:val="20"/>
          <w:rtl/>
        </w:rPr>
        <w:t>י</w:t>
      </w:r>
      <w:r w:rsidRPr="00F95B12">
        <w:rPr>
          <w:rFonts w:cs="Arial" w:hint="cs"/>
          <w:sz w:val="20"/>
          <w:szCs w:val="20"/>
          <w:rtl/>
        </w:rPr>
        <w:t>טול</w:t>
      </w:r>
      <w:r w:rsidRPr="00F95B12">
        <w:rPr>
          <w:rFonts w:cs="Arial"/>
          <w:sz w:val="20"/>
          <w:szCs w:val="20"/>
          <w:rtl/>
        </w:rPr>
        <w:t xml:space="preserve"> </w:t>
      </w:r>
      <w:r w:rsidRPr="00F95B12">
        <w:rPr>
          <w:rFonts w:cs="Arial" w:hint="cs"/>
          <w:sz w:val="20"/>
          <w:szCs w:val="20"/>
          <w:rtl/>
        </w:rPr>
        <w:t>עד</w:t>
      </w:r>
      <w:r w:rsidRPr="00F95B12">
        <w:rPr>
          <w:rFonts w:cs="Arial"/>
          <w:sz w:val="20"/>
          <w:szCs w:val="20"/>
          <w:rtl/>
        </w:rPr>
        <w:t xml:space="preserve"> </w:t>
      </w:r>
      <w:r w:rsidRPr="00F95B12">
        <w:rPr>
          <w:rFonts w:cs="Arial" w:hint="cs"/>
          <w:sz w:val="20"/>
          <w:szCs w:val="20"/>
          <w:rtl/>
        </w:rPr>
        <w:t>ותבדוק</w:t>
      </w:r>
      <w:r w:rsidRPr="00F95B12">
        <w:rPr>
          <w:rFonts w:cs="Arial"/>
          <w:sz w:val="20"/>
          <w:szCs w:val="20"/>
          <w:rtl/>
        </w:rPr>
        <w:t xml:space="preserve"> </w:t>
      </w:r>
      <w:r w:rsidRPr="00F95B12">
        <w:rPr>
          <w:rFonts w:cs="Arial" w:hint="cs"/>
          <w:sz w:val="20"/>
          <w:szCs w:val="20"/>
          <w:rtl/>
        </w:rPr>
        <w:t>בו</w:t>
      </w:r>
      <w:r w:rsidRPr="00F95B12">
        <w:rPr>
          <w:rFonts w:cs="Arial"/>
          <w:sz w:val="20"/>
          <w:szCs w:val="20"/>
          <w:rtl/>
        </w:rPr>
        <w:t xml:space="preserve">! </w:t>
      </w:r>
      <w:r w:rsidRPr="00F95B12">
        <w:rPr>
          <w:rFonts w:cs="Arial" w:hint="cs"/>
          <w:sz w:val="20"/>
          <w:szCs w:val="20"/>
          <w:rtl/>
        </w:rPr>
        <w:t>אמר</w:t>
      </w:r>
      <w:r w:rsidRPr="00F95B12">
        <w:rPr>
          <w:rFonts w:cs="Arial"/>
          <w:sz w:val="20"/>
          <w:szCs w:val="20"/>
          <w:rtl/>
        </w:rPr>
        <w:t xml:space="preserve"> </w:t>
      </w:r>
      <w:r w:rsidRPr="00F95B12">
        <w:rPr>
          <w:rFonts w:cs="Arial" w:hint="cs"/>
          <w:sz w:val="20"/>
          <w:szCs w:val="20"/>
          <w:rtl/>
        </w:rPr>
        <w:t>רב</w:t>
      </w:r>
      <w:r w:rsidRPr="00F95B12">
        <w:rPr>
          <w:rFonts w:cs="Arial"/>
          <w:sz w:val="20"/>
          <w:szCs w:val="20"/>
          <w:rtl/>
        </w:rPr>
        <w:t xml:space="preserve"> </w:t>
      </w:r>
      <w:r w:rsidRPr="00F95B12">
        <w:rPr>
          <w:rFonts w:cs="Arial" w:hint="cs"/>
          <w:sz w:val="20"/>
          <w:szCs w:val="20"/>
          <w:rtl/>
        </w:rPr>
        <w:t>חסדא</w:t>
      </w:r>
      <w:r w:rsidRPr="00F95B12">
        <w:rPr>
          <w:rFonts w:cs="Arial"/>
          <w:sz w:val="20"/>
          <w:szCs w:val="20"/>
          <w:rtl/>
        </w:rPr>
        <w:t xml:space="preserve">: </w:t>
      </w:r>
      <w:r w:rsidRPr="00F95B12">
        <w:rPr>
          <w:rFonts w:cs="Arial" w:hint="cs"/>
          <w:sz w:val="20"/>
          <w:szCs w:val="20"/>
          <w:rtl/>
        </w:rPr>
        <w:t>מאי</w:t>
      </w:r>
      <w:r w:rsidRPr="00F95B12">
        <w:rPr>
          <w:rFonts w:cs="Arial"/>
          <w:sz w:val="20"/>
          <w:szCs w:val="20"/>
          <w:rtl/>
        </w:rPr>
        <w:t xml:space="preserve"> </w:t>
      </w:r>
      <w:r w:rsidRPr="00F95B12">
        <w:rPr>
          <w:rFonts w:cs="Arial" w:hint="cs"/>
          <w:sz w:val="20"/>
          <w:szCs w:val="20"/>
          <w:rtl/>
        </w:rPr>
        <w:t>אחר</w:t>
      </w:r>
      <w:r w:rsidRPr="00F95B12">
        <w:rPr>
          <w:rFonts w:cs="Arial"/>
          <w:sz w:val="20"/>
          <w:szCs w:val="20"/>
          <w:rtl/>
        </w:rPr>
        <w:t xml:space="preserve"> - </w:t>
      </w:r>
      <w:r w:rsidRPr="00F95B12">
        <w:rPr>
          <w:rFonts w:cs="Arial" w:hint="cs"/>
          <w:sz w:val="20"/>
          <w:szCs w:val="20"/>
          <w:rtl/>
        </w:rPr>
        <w:t>אחר</w:t>
      </w:r>
      <w:r w:rsidRPr="00F95B12">
        <w:rPr>
          <w:rFonts w:cs="Arial"/>
          <w:sz w:val="20"/>
          <w:szCs w:val="20"/>
          <w:rtl/>
        </w:rPr>
        <w:t xml:space="preserve"> </w:t>
      </w:r>
      <w:r w:rsidRPr="00F95B12">
        <w:rPr>
          <w:rFonts w:cs="Arial" w:hint="cs"/>
          <w:sz w:val="20"/>
          <w:szCs w:val="20"/>
          <w:rtl/>
        </w:rPr>
        <w:t>אחר</w:t>
      </w:r>
      <w:r>
        <w:rPr>
          <w:rFonts w:cs="Arial" w:hint="cs"/>
          <w:sz w:val="20"/>
          <w:szCs w:val="20"/>
          <w:rtl/>
        </w:rPr>
        <w:t>...</w:t>
      </w:r>
      <w:r>
        <w:rPr>
          <w:rFonts w:cs="Arial"/>
          <w:sz w:val="20"/>
          <w:szCs w:val="20"/>
          <w:rtl/>
        </w:rPr>
        <w:br/>
      </w:r>
      <w:r w:rsidRPr="00F95B12">
        <w:rPr>
          <w:rFonts w:cs="Arial" w:hint="cs"/>
          <w:sz w:val="20"/>
          <w:szCs w:val="20"/>
          <w:rtl/>
        </w:rPr>
        <w:t>רב</w:t>
      </w:r>
      <w:r w:rsidRPr="00F95B12">
        <w:rPr>
          <w:rFonts w:cs="Arial"/>
          <w:sz w:val="20"/>
          <w:szCs w:val="20"/>
          <w:rtl/>
        </w:rPr>
        <w:t xml:space="preserve"> </w:t>
      </w:r>
      <w:r w:rsidRPr="00F95B12">
        <w:rPr>
          <w:rFonts w:cs="Arial" w:hint="cs"/>
          <w:sz w:val="20"/>
          <w:szCs w:val="20"/>
          <w:rtl/>
        </w:rPr>
        <w:t>אשי</w:t>
      </w:r>
      <w:r w:rsidRPr="00F95B12">
        <w:rPr>
          <w:rFonts w:cs="Arial"/>
          <w:sz w:val="20"/>
          <w:szCs w:val="20"/>
          <w:rtl/>
        </w:rPr>
        <w:t xml:space="preserve"> </w:t>
      </w:r>
      <w:r w:rsidRPr="00F95B12">
        <w:rPr>
          <w:rFonts w:cs="Arial" w:hint="cs"/>
          <w:sz w:val="20"/>
          <w:szCs w:val="20"/>
          <w:rtl/>
        </w:rPr>
        <w:t>אמר</w:t>
      </w:r>
      <w:r w:rsidRPr="00F95B12">
        <w:rPr>
          <w:rFonts w:cs="Arial"/>
          <w:sz w:val="20"/>
          <w:szCs w:val="20"/>
          <w:rtl/>
        </w:rPr>
        <w:t xml:space="preserve">: </w:t>
      </w:r>
      <w:r w:rsidRPr="00F95B12">
        <w:rPr>
          <w:rFonts w:cs="Arial" w:hint="cs"/>
          <w:sz w:val="20"/>
          <w:szCs w:val="20"/>
          <w:rtl/>
        </w:rPr>
        <w:t>אידי</w:t>
      </w:r>
      <w:r w:rsidRPr="00F95B12">
        <w:rPr>
          <w:rFonts w:cs="Arial"/>
          <w:sz w:val="20"/>
          <w:szCs w:val="20"/>
          <w:rtl/>
        </w:rPr>
        <w:t xml:space="preserve"> </w:t>
      </w:r>
      <w:r w:rsidRPr="00F95B12">
        <w:rPr>
          <w:rFonts w:cs="Arial" w:hint="cs"/>
          <w:sz w:val="20"/>
          <w:szCs w:val="20"/>
          <w:rtl/>
        </w:rPr>
        <w:t>ואידי</w:t>
      </w:r>
      <w:r w:rsidRPr="00F95B12">
        <w:rPr>
          <w:rFonts w:cs="Arial"/>
          <w:sz w:val="20"/>
          <w:szCs w:val="20"/>
          <w:rtl/>
        </w:rPr>
        <w:t xml:space="preserve"> </w:t>
      </w:r>
      <w:r w:rsidRPr="00F95B12">
        <w:rPr>
          <w:rFonts w:cs="Arial" w:hint="cs"/>
          <w:sz w:val="20"/>
          <w:szCs w:val="20"/>
          <w:rtl/>
        </w:rPr>
        <w:t>חד</w:t>
      </w:r>
      <w:r w:rsidRPr="00F95B12">
        <w:rPr>
          <w:rFonts w:cs="Arial"/>
          <w:sz w:val="20"/>
          <w:szCs w:val="20"/>
          <w:rtl/>
        </w:rPr>
        <w:t xml:space="preserve"> </w:t>
      </w:r>
      <w:r w:rsidRPr="00F95B12">
        <w:rPr>
          <w:rFonts w:cs="Arial" w:hint="cs"/>
          <w:sz w:val="20"/>
          <w:szCs w:val="20"/>
          <w:rtl/>
        </w:rPr>
        <w:t>שיעורא</w:t>
      </w:r>
      <w:r w:rsidRPr="00F95B12">
        <w:rPr>
          <w:rFonts w:cs="Arial"/>
          <w:sz w:val="20"/>
          <w:szCs w:val="20"/>
          <w:rtl/>
        </w:rPr>
        <w:t xml:space="preserve"> </w:t>
      </w:r>
      <w:r w:rsidRPr="00F95B12">
        <w:rPr>
          <w:rFonts w:cs="Arial" w:hint="cs"/>
          <w:sz w:val="20"/>
          <w:szCs w:val="20"/>
          <w:rtl/>
        </w:rPr>
        <w:t>הוא</w:t>
      </w:r>
      <w:r w:rsidRPr="00F95B12">
        <w:rPr>
          <w:rFonts w:cs="Arial"/>
          <w:sz w:val="20"/>
          <w:szCs w:val="20"/>
          <w:rtl/>
        </w:rPr>
        <w:t xml:space="preserve">, </w:t>
      </w:r>
      <w:r w:rsidRPr="00F95B12">
        <w:rPr>
          <w:rFonts w:cs="Arial" w:hint="cs"/>
          <w:sz w:val="20"/>
          <w:szCs w:val="20"/>
          <w:rtl/>
        </w:rPr>
        <w:t>עד</w:t>
      </w:r>
      <w:r w:rsidRPr="00F95B12">
        <w:rPr>
          <w:rFonts w:cs="Arial"/>
          <w:sz w:val="20"/>
          <w:szCs w:val="20"/>
          <w:rtl/>
        </w:rPr>
        <w:t xml:space="preserve"> </w:t>
      </w:r>
      <w:r w:rsidRPr="00F95B12">
        <w:rPr>
          <w:rFonts w:cs="Arial" w:hint="cs"/>
          <w:sz w:val="20"/>
          <w:szCs w:val="20"/>
          <w:rtl/>
        </w:rPr>
        <w:t>בידה</w:t>
      </w:r>
      <w:r w:rsidRPr="00F95B12">
        <w:rPr>
          <w:rFonts w:cs="Arial"/>
          <w:sz w:val="20"/>
          <w:szCs w:val="20"/>
          <w:rtl/>
        </w:rPr>
        <w:t xml:space="preserve"> - </w:t>
      </w:r>
      <w:r w:rsidRPr="00F95B12">
        <w:rPr>
          <w:rFonts w:cs="Arial" w:hint="cs"/>
          <w:sz w:val="20"/>
          <w:szCs w:val="20"/>
          <w:rtl/>
        </w:rPr>
        <w:t>כדי</w:t>
      </w:r>
      <w:r w:rsidRPr="00F95B12">
        <w:rPr>
          <w:rFonts w:cs="Arial"/>
          <w:sz w:val="20"/>
          <w:szCs w:val="20"/>
          <w:rtl/>
        </w:rPr>
        <w:t xml:space="preserve"> </w:t>
      </w:r>
      <w:r w:rsidRPr="00F95B12">
        <w:rPr>
          <w:rFonts w:cs="Arial" w:hint="cs"/>
          <w:sz w:val="20"/>
          <w:szCs w:val="20"/>
          <w:rtl/>
        </w:rPr>
        <w:t>שתרד</w:t>
      </w:r>
      <w:r w:rsidRPr="00F95B12">
        <w:rPr>
          <w:rFonts w:cs="Arial"/>
          <w:sz w:val="20"/>
          <w:szCs w:val="20"/>
          <w:rtl/>
        </w:rPr>
        <w:t xml:space="preserve"> </w:t>
      </w:r>
      <w:r w:rsidRPr="00F95B12">
        <w:rPr>
          <w:rFonts w:cs="Arial" w:hint="cs"/>
          <w:sz w:val="20"/>
          <w:szCs w:val="20"/>
          <w:rtl/>
        </w:rPr>
        <w:t>מן</w:t>
      </w:r>
      <w:r w:rsidRPr="00F95B12">
        <w:rPr>
          <w:rFonts w:cs="Arial"/>
          <w:sz w:val="20"/>
          <w:szCs w:val="20"/>
          <w:rtl/>
        </w:rPr>
        <w:t xml:space="preserve"> </w:t>
      </w:r>
      <w:r w:rsidRPr="00F95B12">
        <w:rPr>
          <w:rFonts w:cs="Arial" w:hint="cs"/>
          <w:sz w:val="20"/>
          <w:szCs w:val="20"/>
          <w:rtl/>
        </w:rPr>
        <w:t>המטה</w:t>
      </w:r>
      <w:r w:rsidRPr="00F95B12">
        <w:rPr>
          <w:rFonts w:cs="Arial"/>
          <w:sz w:val="20"/>
          <w:szCs w:val="20"/>
          <w:rtl/>
        </w:rPr>
        <w:t xml:space="preserve"> </w:t>
      </w:r>
      <w:r w:rsidRPr="00F95B12">
        <w:rPr>
          <w:rFonts w:cs="Arial" w:hint="cs"/>
          <w:sz w:val="20"/>
          <w:szCs w:val="20"/>
          <w:rtl/>
        </w:rPr>
        <w:t>ותדיח</w:t>
      </w:r>
      <w:r w:rsidRPr="00F95B12">
        <w:rPr>
          <w:rFonts w:cs="Arial"/>
          <w:sz w:val="20"/>
          <w:szCs w:val="20"/>
          <w:rtl/>
        </w:rPr>
        <w:t xml:space="preserve"> </w:t>
      </w:r>
      <w:r w:rsidRPr="00F95B12">
        <w:rPr>
          <w:rFonts w:cs="Arial" w:hint="cs"/>
          <w:sz w:val="20"/>
          <w:szCs w:val="20"/>
          <w:rtl/>
        </w:rPr>
        <w:t>את</w:t>
      </w:r>
      <w:r w:rsidRPr="00F95B12">
        <w:rPr>
          <w:rFonts w:cs="Arial"/>
          <w:sz w:val="20"/>
          <w:szCs w:val="20"/>
          <w:rtl/>
        </w:rPr>
        <w:t xml:space="preserve"> </w:t>
      </w:r>
      <w:r w:rsidRPr="00F95B12">
        <w:rPr>
          <w:rFonts w:cs="Arial" w:hint="cs"/>
          <w:sz w:val="20"/>
          <w:szCs w:val="20"/>
          <w:rtl/>
        </w:rPr>
        <w:t>פניה</w:t>
      </w:r>
      <w:r w:rsidRPr="00F95B12">
        <w:rPr>
          <w:rFonts w:cs="Arial"/>
          <w:sz w:val="20"/>
          <w:szCs w:val="20"/>
          <w:rtl/>
        </w:rPr>
        <w:t xml:space="preserve">, </w:t>
      </w:r>
      <w:r w:rsidRPr="00F95B12">
        <w:rPr>
          <w:rFonts w:cs="Arial" w:hint="cs"/>
          <w:sz w:val="20"/>
          <w:szCs w:val="20"/>
          <w:rtl/>
        </w:rPr>
        <w:t>אין</w:t>
      </w:r>
      <w:r w:rsidRPr="00F95B12">
        <w:rPr>
          <w:rFonts w:cs="Arial"/>
          <w:sz w:val="20"/>
          <w:szCs w:val="20"/>
          <w:rtl/>
        </w:rPr>
        <w:t xml:space="preserve"> </w:t>
      </w:r>
      <w:r w:rsidRPr="00F95B12">
        <w:rPr>
          <w:rFonts w:cs="Arial" w:hint="cs"/>
          <w:sz w:val="20"/>
          <w:szCs w:val="20"/>
          <w:rtl/>
        </w:rPr>
        <w:t>עד</w:t>
      </w:r>
      <w:r w:rsidRPr="00F95B12">
        <w:rPr>
          <w:rFonts w:cs="Arial"/>
          <w:sz w:val="20"/>
          <w:szCs w:val="20"/>
          <w:rtl/>
        </w:rPr>
        <w:t xml:space="preserve"> </w:t>
      </w:r>
      <w:r w:rsidRPr="00F95B12">
        <w:rPr>
          <w:rFonts w:cs="Arial" w:hint="cs"/>
          <w:sz w:val="20"/>
          <w:szCs w:val="20"/>
          <w:rtl/>
        </w:rPr>
        <w:t>בידה</w:t>
      </w:r>
      <w:r w:rsidRPr="00F95B12">
        <w:rPr>
          <w:rFonts w:cs="Arial"/>
          <w:sz w:val="20"/>
          <w:szCs w:val="20"/>
          <w:rtl/>
        </w:rPr>
        <w:t xml:space="preserve"> - </w:t>
      </w:r>
      <w:r w:rsidRPr="00F95B12">
        <w:rPr>
          <w:rFonts w:cs="Arial" w:hint="cs"/>
          <w:sz w:val="20"/>
          <w:szCs w:val="20"/>
          <w:rtl/>
        </w:rPr>
        <w:t>כדי</w:t>
      </w:r>
      <w:r w:rsidRPr="00F95B12">
        <w:rPr>
          <w:rFonts w:cs="Arial"/>
          <w:sz w:val="20"/>
          <w:szCs w:val="20"/>
          <w:rtl/>
        </w:rPr>
        <w:t xml:space="preserve"> </w:t>
      </w:r>
      <w:r w:rsidRPr="00F95B12">
        <w:rPr>
          <w:rFonts w:cs="Arial" w:hint="cs"/>
          <w:sz w:val="20"/>
          <w:szCs w:val="20"/>
          <w:rtl/>
        </w:rPr>
        <w:t>שתושיט</w:t>
      </w:r>
      <w:r w:rsidRPr="00F95B12">
        <w:rPr>
          <w:rFonts w:cs="Arial"/>
          <w:sz w:val="20"/>
          <w:szCs w:val="20"/>
          <w:rtl/>
        </w:rPr>
        <w:t xml:space="preserve"> </w:t>
      </w:r>
      <w:r w:rsidRPr="00F95B12">
        <w:rPr>
          <w:rFonts w:cs="Arial" w:hint="cs"/>
          <w:sz w:val="20"/>
          <w:szCs w:val="20"/>
          <w:rtl/>
        </w:rPr>
        <w:t>ידה</w:t>
      </w:r>
      <w:r w:rsidRPr="00F95B12">
        <w:rPr>
          <w:rFonts w:cs="Arial"/>
          <w:sz w:val="20"/>
          <w:szCs w:val="20"/>
          <w:rtl/>
        </w:rPr>
        <w:t xml:space="preserve"> </w:t>
      </w:r>
      <w:r w:rsidRPr="00F95B12">
        <w:rPr>
          <w:rFonts w:cs="Arial" w:hint="cs"/>
          <w:sz w:val="20"/>
          <w:szCs w:val="20"/>
          <w:rtl/>
        </w:rPr>
        <w:t>לתחת</w:t>
      </w:r>
      <w:r w:rsidRPr="00F95B12">
        <w:rPr>
          <w:rFonts w:cs="Arial"/>
          <w:sz w:val="20"/>
          <w:szCs w:val="20"/>
          <w:rtl/>
        </w:rPr>
        <w:t xml:space="preserve"> </w:t>
      </w:r>
      <w:r w:rsidRPr="00F95B12">
        <w:rPr>
          <w:rFonts w:cs="Arial" w:hint="cs"/>
          <w:sz w:val="20"/>
          <w:szCs w:val="20"/>
          <w:rtl/>
        </w:rPr>
        <w:t>הכר</w:t>
      </w:r>
      <w:r w:rsidRPr="00F95B12">
        <w:rPr>
          <w:rFonts w:cs="Arial"/>
          <w:sz w:val="20"/>
          <w:szCs w:val="20"/>
          <w:rtl/>
        </w:rPr>
        <w:t xml:space="preserve"> </w:t>
      </w:r>
      <w:r w:rsidRPr="00F95B12">
        <w:rPr>
          <w:rFonts w:cs="Arial" w:hint="cs"/>
          <w:sz w:val="20"/>
          <w:szCs w:val="20"/>
          <w:rtl/>
        </w:rPr>
        <w:t>או</w:t>
      </w:r>
      <w:r w:rsidRPr="00F95B12">
        <w:rPr>
          <w:rFonts w:cs="Arial"/>
          <w:sz w:val="20"/>
          <w:szCs w:val="20"/>
          <w:rtl/>
        </w:rPr>
        <w:t xml:space="preserve"> </w:t>
      </w:r>
      <w:r w:rsidRPr="00F95B12">
        <w:rPr>
          <w:rFonts w:cs="Arial" w:hint="cs"/>
          <w:sz w:val="20"/>
          <w:szCs w:val="20"/>
          <w:rtl/>
        </w:rPr>
        <w:t>לתחת</w:t>
      </w:r>
      <w:r w:rsidRPr="00F95B12">
        <w:rPr>
          <w:rFonts w:cs="Arial"/>
          <w:sz w:val="20"/>
          <w:szCs w:val="20"/>
          <w:rtl/>
        </w:rPr>
        <w:t xml:space="preserve"> </w:t>
      </w:r>
      <w:r w:rsidRPr="00F95B12">
        <w:rPr>
          <w:rFonts w:cs="Arial" w:hint="cs"/>
          <w:sz w:val="20"/>
          <w:szCs w:val="20"/>
          <w:rtl/>
        </w:rPr>
        <w:t>הכסת</w:t>
      </w:r>
      <w:r w:rsidRPr="00F95B12">
        <w:rPr>
          <w:rFonts w:cs="Arial"/>
          <w:sz w:val="20"/>
          <w:szCs w:val="20"/>
          <w:rtl/>
        </w:rPr>
        <w:t xml:space="preserve"> </w:t>
      </w:r>
      <w:r w:rsidRPr="00F95B12">
        <w:rPr>
          <w:rFonts w:cs="Arial" w:hint="cs"/>
          <w:sz w:val="20"/>
          <w:szCs w:val="20"/>
          <w:rtl/>
        </w:rPr>
        <w:t>ותטול</w:t>
      </w:r>
      <w:r w:rsidRPr="00F95B12">
        <w:rPr>
          <w:rFonts w:cs="Arial"/>
          <w:sz w:val="20"/>
          <w:szCs w:val="20"/>
          <w:rtl/>
        </w:rPr>
        <w:t xml:space="preserve"> </w:t>
      </w:r>
      <w:r w:rsidRPr="00F95B12">
        <w:rPr>
          <w:rFonts w:cs="Arial" w:hint="cs"/>
          <w:sz w:val="20"/>
          <w:szCs w:val="20"/>
          <w:rtl/>
        </w:rPr>
        <w:t>עד</w:t>
      </w:r>
      <w:r w:rsidRPr="00F95B12">
        <w:rPr>
          <w:rFonts w:cs="Arial"/>
          <w:sz w:val="20"/>
          <w:szCs w:val="20"/>
          <w:rtl/>
        </w:rPr>
        <w:t xml:space="preserve"> </w:t>
      </w:r>
      <w:r w:rsidRPr="00F95B12">
        <w:rPr>
          <w:rFonts w:cs="Arial" w:hint="cs"/>
          <w:sz w:val="20"/>
          <w:szCs w:val="20"/>
          <w:rtl/>
        </w:rPr>
        <w:t>ותבדוק</w:t>
      </w:r>
      <w:r w:rsidRPr="00F95B12">
        <w:rPr>
          <w:rFonts w:cs="Arial"/>
          <w:sz w:val="20"/>
          <w:szCs w:val="20"/>
          <w:rtl/>
        </w:rPr>
        <w:t xml:space="preserve"> </w:t>
      </w:r>
      <w:r w:rsidRPr="00F95B12">
        <w:rPr>
          <w:rFonts w:cs="Arial" w:hint="cs"/>
          <w:sz w:val="20"/>
          <w:szCs w:val="20"/>
          <w:rtl/>
        </w:rPr>
        <w:t>בו</w:t>
      </w:r>
      <w:r w:rsidRPr="00F95B12">
        <w:rPr>
          <w:rFonts w:cs="Arial"/>
          <w:sz w:val="20"/>
          <w:szCs w:val="20"/>
          <w:rtl/>
        </w:rPr>
        <w:t xml:space="preserve">. </w:t>
      </w:r>
      <w:r w:rsidRPr="00F95B12">
        <w:rPr>
          <w:rFonts w:cs="Arial" w:hint="cs"/>
          <w:sz w:val="20"/>
          <w:szCs w:val="20"/>
          <w:rtl/>
        </w:rPr>
        <w:t>מיתיבי</w:t>
      </w:r>
      <w:r>
        <w:rPr>
          <w:rFonts w:cs="Arial" w:hint="cs"/>
          <w:sz w:val="20"/>
          <w:szCs w:val="20"/>
          <w:rtl/>
        </w:rPr>
        <w:t xml:space="preserve">... </w:t>
      </w:r>
      <w:r w:rsidRPr="00F95B12">
        <w:rPr>
          <w:rFonts w:cs="Arial" w:hint="cs"/>
          <w:sz w:val="20"/>
          <w:szCs w:val="20"/>
          <w:rtl/>
        </w:rPr>
        <w:t>אלא</w:t>
      </w:r>
      <w:r w:rsidRPr="00F95B12">
        <w:rPr>
          <w:rFonts w:cs="Arial"/>
          <w:sz w:val="20"/>
          <w:szCs w:val="20"/>
          <w:rtl/>
        </w:rPr>
        <w:t xml:space="preserve"> </w:t>
      </w:r>
      <w:r w:rsidRPr="00F95B12">
        <w:rPr>
          <w:rFonts w:cs="Arial" w:hint="cs"/>
          <w:sz w:val="20"/>
          <w:szCs w:val="20"/>
          <w:rtl/>
        </w:rPr>
        <w:t>לרב</w:t>
      </w:r>
      <w:r w:rsidRPr="00F95B12">
        <w:rPr>
          <w:rFonts w:cs="Arial"/>
          <w:sz w:val="20"/>
          <w:szCs w:val="20"/>
          <w:rtl/>
        </w:rPr>
        <w:t xml:space="preserve"> </w:t>
      </w:r>
      <w:r w:rsidRPr="00F95B12">
        <w:rPr>
          <w:rFonts w:cs="Arial" w:hint="cs"/>
          <w:sz w:val="20"/>
          <w:szCs w:val="20"/>
          <w:rtl/>
        </w:rPr>
        <w:t>אשי</w:t>
      </w:r>
      <w:r w:rsidRPr="00F95B12">
        <w:rPr>
          <w:rFonts w:cs="Arial"/>
          <w:sz w:val="20"/>
          <w:szCs w:val="20"/>
          <w:rtl/>
        </w:rPr>
        <w:t xml:space="preserve"> - </w:t>
      </w:r>
      <w:r w:rsidRPr="00F95B12">
        <w:rPr>
          <w:rFonts w:cs="Arial" w:hint="cs"/>
          <w:sz w:val="20"/>
          <w:szCs w:val="20"/>
          <w:rtl/>
        </w:rPr>
        <w:t>אמאי</w:t>
      </w:r>
      <w:r w:rsidRPr="00F95B12">
        <w:rPr>
          <w:rFonts w:cs="Arial"/>
          <w:sz w:val="20"/>
          <w:szCs w:val="20"/>
          <w:rtl/>
        </w:rPr>
        <w:t xml:space="preserve"> </w:t>
      </w:r>
      <w:r w:rsidRPr="00F95B12">
        <w:rPr>
          <w:rFonts w:cs="Arial" w:hint="cs"/>
          <w:sz w:val="20"/>
          <w:szCs w:val="20"/>
          <w:rtl/>
        </w:rPr>
        <w:t>מטהרי</w:t>
      </w:r>
      <w:r w:rsidRPr="00F95B12">
        <w:rPr>
          <w:rFonts w:cs="Arial"/>
          <w:sz w:val="20"/>
          <w:szCs w:val="20"/>
          <w:rtl/>
        </w:rPr>
        <w:t xml:space="preserve"> </w:t>
      </w:r>
      <w:r w:rsidRPr="00F95B12">
        <w:rPr>
          <w:rFonts w:cs="Arial" w:hint="cs"/>
          <w:sz w:val="20"/>
          <w:szCs w:val="20"/>
          <w:rtl/>
        </w:rPr>
        <w:t>רבנן</w:t>
      </w:r>
      <w:r w:rsidRPr="00F95B12">
        <w:rPr>
          <w:rFonts w:cs="Arial"/>
          <w:sz w:val="20"/>
          <w:szCs w:val="20"/>
          <w:rtl/>
        </w:rPr>
        <w:t xml:space="preserve">? </w:t>
      </w:r>
      <w:r w:rsidRPr="00F95B12">
        <w:rPr>
          <w:rFonts w:cs="Arial" w:hint="cs"/>
          <w:sz w:val="20"/>
          <w:szCs w:val="20"/>
          <w:rtl/>
        </w:rPr>
        <w:t>וכי</w:t>
      </w:r>
      <w:r w:rsidRPr="00F95B12">
        <w:rPr>
          <w:rFonts w:cs="Arial"/>
          <w:sz w:val="20"/>
          <w:szCs w:val="20"/>
          <w:rtl/>
        </w:rPr>
        <w:t xml:space="preserve"> </w:t>
      </w:r>
      <w:r w:rsidRPr="00F95B12">
        <w:rPr>
          <w:rFonts w:cs="Arial" w:hint="cs"/>
          <w:sz w:val="20"/>
          <w:szCs w:val="20"/>
          <w:rtl/>
        </w:rPr>
        <w:t>תימא</w:t>
      </w:r>
      <w:r w:rsidRPr="00F95B12">
        <w:rPr>
          <w:rFonts w:cs="Arial"/>
          <w:sz w:val="20"/>
          <w:szCs w:val="20"/>
          <w:rtl/>
        </w:rPr>
        <w:t xml:space="preserve"> </w:t>
      </w:r>
      <w:r w:rsidRPr="00F95B12">
        <w:rPr>
          <w:rFonts w:cs="Arial" w:hint="cs"/>
          <w:sz w:val="20"/>
          <w:szCs w:val="20"/>
          <w:rtl/>
        </w:rPr>
        <w:t>דאין</w:t>
      </w:r>
      <w:r w:rsidRPr="00F95B12">
        <w:rPr>
          <w:rFonts w:cs="Arial"/>
          <w:sz w:val="20"/>
          <w:szCs w:val="20"/>
          <w:rtl/>
        </w:rPr>
        <w:t xml:space="preserve"> </w:t>
      </w:r>
      <w:r w:rsidRPr="00F95B12">
        <w:rPr>
          <w:rFonts w:cs="Arial" w:hint="cs"/>
          <w:sz w:val="20"/>
          <w:szCs w:val="20"/>
          <w:rtl/>
        </w:rPr>
        <w:t>עד</w:t>
      </w:r>
      <w:r w:rsidRPr="00F95B12">
        <w:rPr>
          <w:rFonts w:cs="Arial"/>
          <w:sz w:val="20"/>
          <w:szCs w:val="20"/>
          <w:rtl/>
        </w:rPr>
        <w:t xml:space="preserve"> </w:t>
      </w:r>
      <w:r w:rsidRPr="00F95B12">
        <w:rPr>
          <w:rFonts w:cs="Arial" w:hint="cs"/>
          <w:sz w:val="20"/>
          <w:szCs w:val="20"/>
          <w:rtl/>
        </w:rPr>
        <w:t>בידה</w:t>
      </w:r>
      <w:r w:rsidRPr="00F95B12">
        <w:rPr>
          <w:rFonts w:cs="Arial"/>
          <w:sz w:val="20"/>
          <w:szCs w:val="20"/>
          <w:rtl/>
        </w:rPr>
        <w:t xml:space="preserve">, </w:t>
      </w:r>
      <w:r w:rsidRPr="00F95B12">
        <w:rPr>
          <w:rFonts w:cs="Arial" w:hint="cs"/>
          <w:sz w:val="20"/>
          <w:szCs w:val="20"/>
          <w:rtl/>
        </w:rPr>
        <w:t>האי</w:t>
      </w:r>
      <w:r w:rsidRPr="00F95B12">
        <w:rPr>
          <w:rFonts w:cs="Arial"/>
          <w:sz w:val="20"/>
          <w:szCs w:val="20"/>
          <w:rtl/>
        </w:rPr>
        <w:t xml:space="preserve"> </w:t>
      </w:r>
      <w:r w:rsidRPr="00F95B12">
        <w:rPr>
          <w:rFonts w:cs="Arial" w:hint="cs"/>
          <w:sz w:val="20"/>
          <w:szCs w:val="20"/>
          <w:rtl/>
        </w:rPr>
        <w:t>עד</w:t>
      </w:r>
      <w:r w:rsidRPr="00F95B12">
        <w:rPr>
          <w:rFonts w:cs="Arial"/>
          <w:sz w:val="20"/>
          <w:szCs w:val="20"/>
          <w:rtl/>
        </w:rPr>
        <w:t xml:space="preserve"> </w:t>
      </w:r>
      <w:r w:rsidRPr="00F95B12">
        <w:rPr>
          <w:rFonts w:cs="Arial" w:hint="cs"/>
          <w:sz w:val="20"/>
          <w:szCs w:val="20"/>
          <w:rtl/>
        </w:rPr>
        <w:t>בידה</w:t>
      </w:r>
      <w:r w:rsidRPr="00F95B12">
        <w:rPr>
          <w:rFonts w:cs="Arial"/>
          <w:sz w:val="20"/>
          <w:szCs w:val="20"/>
          <w:rtl/>
        </w:rPr>
        <w:t xml:space="preserve"> </w:t>
      </w:r>
      <w:r w:rsidRPr="00F95B12">
        <w:rPr>
          <w:rFonts w:cs="Arial" w:hint="cs"/>
          <w:sz w:val="20"/>
          <w:szCs w:val="20"/>
          <w:rtl/>
        </w:rPr>
        <w:t>ואין</w:t>
      </w:r>
      <w:r w:rsidRPr="00F95B12">
        <w:rPr>
          <w:rFonts w:cs="Arial"/>
          <w:sz w:val="20"/>
          <w:szCs w:val="20"/>
          <w:rtl/>
        </w:rPr>
        <w:t xml:space="preserve"> </w:t>
      </w:r>
      <w:r w:rsidRPr="00F95B12">
        <w:rPr>
          <w:rFonts w:cs="Arial" w:hint="cs"/>
          <w:sz w:val="20"/>
          <w:szCs w:val="20"/>
          <w:rtl/>
        </w:rPr>
        <w:t>עד</w:t>
      </w:r>
      <w:r w:rsidRPr="00F95B12">
        <w:rPr>
          <w:rFonts w:cs="Arial"/>
          <w:sz w:val="20"/>
          <w:szCs w:val="20"/>
          <w:rtl/>
        </w:rPr>
        <w:t xml:space="preserve"> </w:t>
      </w:r>
      <w:r w:rsidRPr="00F95B12">
        <w:rPr>
          <w:rFonts w:cs="Arial" w:hint="cs"/>
          <w:sz w:val="20"/>
          <w:szCs w:val="20"/>
          <w:rtl/>
        </w:rPr>
        <w:t>בידה</w:t>
      </w:r>
      <w:r w:rsidRPr="00F95B12">
        <w:rPr>
          <w:rFonts w:cs="Arial"/>
          <w:sz w:val="20"/>
          <w:szCs w:val="20"/>
          <w:rtl/>
        </w:rPr>
        <w:t xml:space="preserve"> </w:t>
      </w:r>
      <w:r w:rsidRPr="00F95B12">
        <w:rPr>
          <w:rFonts w:cs="Arial" w:hint="cs"/>
          <w:sz w:val="20"/>
          <w:szCs w:val="20"/>
          <w:rtl/>
        </w:rPr>
        <w:t>מיבעי</w:t>
      </w:r>
      <w:r w:rsidRPr="00F95B12">
        <w:rPr>
          <w:rFonts w:cs="Arial"/>
          <w:sz w:val="20"/>
          <w:szCs w:val="20"/>
          <w:rtl/>
        </w:rPr>
        <w:t xml:space="preserve"> </w:t>
      </w:r>
      <w:r w:rsidRPr="00F95B12">
        <w:rPr>
          <w:rFonts w:cs="Arial" w:hint="cs"/>
          <w:sz w:val="20"/>
          <w:szCs w:val="20"/>
          <w:rtl/>
        </w:rPr>
        <w:t>ליה</w:t>
      </w:r>
      <w:r w:rsidRPr="00F95B12">
        <w:rPr>
          <w:rFonts w:cs="Arial"/>
          <w:sz w:val="20"/>
          <w:szCs w:val="20"/>
          <w:rtl/>
        </w:rPr>
        <w:t xml:space="preserve">! </w:t>
      </w:r>
      <w:r w:rsidRPr="00F95B12">
        <w:rPr>
          <w:rFonts w:cs="Arial" w:hint="cs"/>
          <w:sz w:val="20"/>
          <w:szCs w:val="20"/>
          <w:rtl/>
        </w:rPr>
        <w:t>קשיא</w:t>
      </w:r>
      <w:r>
        <w:rPr>
          <w:rFonts w:cs="Arial" w:hint="cs"/>
          <w:sz w:val="20"/>
          <w:szCs w:val="20"/>
          <w:rtl/>
        </w:rPr>
        <w:t>"</w:t>
      </w:r>
      <w:r w:rsidRPr="00F95B12">
        <w:rPr>
          <w:rFonts w:cs="Arial"/>
          <w:sz w:val="20"/>
          <w:szCs w:val="20"/>
          <w:rtl/>
        </w:rPr>
        <w:t>.</w:t>
      </w:r>
    </w:p>
    <w:p w:rsidR="00620060" w:rsidRDefault="00620060" w:rsidP="00620060">
      <w:pPr>
        <w:rPr>
          <w:sz w:val="20"/>
          <w:szCs w:val="20"/>
          <w:u w:val="single"/>
          <w:rtl/>
        </w:rPr>
      </w:pPr>
      <w:r>
        <w:rPr>
          <w:rFonts w:hint="cs"/>
          <w:sz w:val="20"/>
          <w:szCs w:val="20"/>
          <w:u w:val="single"/>
          <w:rtl/>
        </w:rPr>
        <w:t>הסבר</w:t>
      </w:r>
      <w:r>
        <w:rPr>
          <w:sz w:val="20"/>
          <w:szCs w:val="20"/>
          <w:u w:val="single"/>
          <w:rtl/>
        </w:rPr>
        <w:br/>
      </w:r>
      <w:r>
        <w:rPr>
          <w:rFonts w:hint="cs"/>
          <w:sz w:val="20"/>
          <w:szCs w:val="20"/>
          <w:rtl/>
        </w:rPr>
        <w:t>המשנה דנה באיש ואשה ששימשו ואחר כך מצאו דם, מתי טמאים וחייבים קרבן ומתי טהורים ופטורים מקרבן -</w:t>
      </w:r>
      <w:r>
        <w:rPr>
          <w:sz w:val="20"/>
          <w:szCs w:val="20"/>
          <w:rtl/>
        </w:rPr>
        <w:br/>
      </w:r>
      <w:r w:rsidRPr="00862DE4">
        <w:rPr>
          <w:rFonts w:hint="cs"/>
          <w:sz w:val="20"/>
          <w:szCs w:val="20"/>
          <w:rtl/>
        </w:rPr>
        <w:t>נמצא על שלו אפילו לאחר זמן</w:t>
      </w:r>
      <w:r>
        <w:rPr>
          <w:rFonts w:hint="cs"/>
          <w:sz w:val="20"/>
          <w:szCs w:val="20"/>
          <w:rtl/>
        </w:rPr>
        <w:t>,</w:t>
      </w:r>
      <w:r w:rsidRPr="00862DE4">
        <w:rPr>
          <w:rFonts w:hint="cs"/>
          <w:sz w:val="20"/>
          <w:szCs w:val="20"/>
          <w:rtl/>
        </w:rPr>
        <w:t xml:space="preserve"> או </w:t>
      </w:r>
      <w:r>
        <w:rPr>
          <w:rFonts w:hint="cs"/>
          <w:sz w:val="20"/>
          <w:szCs w:val="20"/>
          <w:rtl/>
        </w:rPr>
        <w:t xml:space="preserve">נמצא על שלה מייד </w:t>
      </w:r>
      <w:r w:rsidRPr="00862DE4">
        <w:rPr>
          <w:rFonts w:hint="cs"/>
          <w:sz w:val="18"/>
          <w:szCs w:val="18"/>
          <w:rtl/>
        </w:rPr>
        <w:t>(אותיום)</w:t>
      </w:r>
      <w:r>
        <w:rPr>
          <w:rFonts w:hint="cs"/>
          <w:sz w:val="18"/>
          <w:szCs w:val="18"/>
          <w:rtl/>
        </w:rPr>
        <w:t xml:space="preserve"> </w:t>
      </w:r>
      <w:r>
        <w:rPr>
          <w:rFonts w:hint="cs"/>
          <w:sz w:val="20"/>
          <w:szCs w:val="20"/>
          <w:rtl/>
        </w:rPr>
        <w:t xml:space="preserve">- טמאים וחייבים קרבן. </w:t>
      </w:r>
      <w:r>
        <w:rPr>
          <w:sz w:val="20"/>
          <w:szCs w:val="20"/>
          <w:rtl/>
        </w:rPr>
        <w:br/>
      </w:r>
      <w:r>
        <w:rPr>
          <w:rFonts w:hint="cs"/>
          <w:sz w:val="20"/>
          <w:szCs w:val="20"/>
          <w:rtl/>
        </w:rPr>
        <w:t xml:space="preserve">נמצא על שלה לאחר זמן </w:t>
      </w:r>
      <w:r>
        <w:rPr>
          <w:sz w:val="20"/>
          <w:szCs w:val="20"/>
          <w:rtl/>
        </w:rPr>
        <w:t>–</w:t>
      </w:r>
      <w:r>
        <w:rPr>
          <w:rFonts w:hint="cs"/>
          <w:sz w:val="20"/>
          <w:szCs w:val="20"/>
          <w:rtl/>
        </w:rPr>
        <w:t xml:space="preserve"> טמאים מספק ופטורים מקרבן.</w:t>
      </w:r>
      <w:r>
        <w:rPr>
          <w:rFonts w:hint="cs"/>
          <w:sz w:val="20"/>
          <w:szCs w:val="20"/>
          <w:rtl/>
        </w:rPr>
        <w:br/>
      </w:r>
      <w:r>
        <w:rPr>
          <w:sz w:val="20"/>
          <w:szCs w:val="20"/>
          <w:rtl/>
        </w:rPr>
        <w:br/>
      </w:r>
      <w:r>
        <w:rPr>
          <w:rFonts w:hint="cs"/>
          <w:sz w:val="20"/>
          <w:szCs w:val="20"/>
          <w:rtl/>
        </w:rPr>
        <w:t>ומהו אחר זמן? במשנה נאמר "כדי שתרד מן המיטה ותדיח פניה", אך בברייתא נאמר שיעור שונה "כדי שתושיט ידה לתחת הכר או לתחת הכסת ותיטול עד ותבדוק בו".</w:t>
      </w:r>
      <w:r>
        <w:rPr>
          <w:sz w:val="20"/>
          <w:szCs w:val="20"/>
          <w:rtl/>
        </w:rPr>
        <w:br/>
      </w:r>
      <w:r>
        <w:rPr>
          <w:rFonts w:hint="cs"/>
          <w:sz w:val="20"/>
          <w:szCs w:val="20"/>
          <w:rtl/>
        </w:rPr>
        <w:t xml:space="preserve">רב חסדא מיישב </w:t>
      </w:r>
      <w:r>
        <w:rPr>
          <w:sz w:val="20"/>
          <w:szCs w:val="20"/>
          <w:rtl/>
        </w:rPr>
        <w:t>–</w:t>
      </w:r>
      <w:r>
        <w:rPr>
          <w:rFonts w:hint="cs"/>
          <w:sz w:val="20"/>
          <w:szCs w:val="20"/>
          <w:rtl/>
        </w:rPr>
        <w:t xml:space="preserve"> השיעור בברייתא הוא השיעור הנכון, השיעור במשנה הוא אחריו וטהורים ופטורים.</w:t>
      </w:r>
      <w:r>
        <w:rPr>
          <w:sz w:val="20"/>
          <w:szCs w:val="20"/>
          <w:rtl/>
        </w:rPr>
        <w:br/>
      </w:r>
      <w:r>
        <w:rPr>
          <w:rFonts w:hint="cs"/>
          <w:sz w:val="20"/>
          <w:szCs w:val="20"/>
          <w:rtl/>
        </w:rPr>
        <w:lastRenderedPageBreak/>
        <w:t xml:space="preserve">רב אשי מיישב </w:t>
      </w:r>
      <w:r>
        <w:rPr>
          <w:sz w:val="20"/>
          <w:szCs w:val="20"/>
          <w:rtl/>
        </w:rPr>
        <w:t>–</w:t>
      </w:r>
      <w:r>
        <w:rPr>
          <w:rFonts w:hint="cs"/>
          <w:sz w:val="20"/>
          <w:szCs w:val="20"/>
          <w:rtl/>
        </w:rPr>
        <w:t xml:space="preserve"> אין מחלוקת, במשנה מדובר שיש עד בידה ואילו בברייתא מדובר שאין עד בידה.</w:t>
      </w:r>
      <w:r>
        <w:rPr>
          <w:sz w:val="20"/>
          <w:szCs w:val="20"/>
          <w:rtl/>
        </w:rPr>
        <w:br/>
      </w:r>
      <w:r>
        <w:rPr>
          <w:rFonts w:hint="cs"/>
          <w:sz w:val="20"/>
          <w:szCs w:val="20"/>
          <w:rtl/>
        </w:rPr>
        <w:t xml:space="preserve">מסקנת הסוגייה לא כרב אשי והגמרא מניחה אותו בקשיא. </w:t>
      </w:r>
    </w:p>
    <w:p w:rsidR="00620060" w:rsidRPr="00C277BD" w:rsidRDefault="00620060" w:rsidP="00620060">
      <w:pPr>
        <w:rPr>
          <w:sz w:val="20"/>
          <w:szCs w:val="20"/>
          <w:rtl/>
        </w:rPr>
      </w:pPr>
      <w:r>
        <w:rPr>
          <w:rFonts w:hint="cs"/>
          <w:sz w:val="20"/>
          <w:szCs w:val="20"/>
          <w:u w:val="single"/>
          <w:rtl/>
        </w:rPr>
        <w:t>השוואה בין הסוגייה הנ"ל לרואה מחמת תשמיש</w:t>
      </w:r>
      <w:r>
        <w:rPr>
          <w:sz w:val="20"/>
          <w:szCs w:val="20"/>
          <w:u w:val="single"/>
          <w:rtl/>
        </w:rPr>
        <w:br/>
      </w:r>
      <w:r>
        <w:rPr>
          <w:rFonts w:hint="cs"/>
          <w:sz w:val="20"/>
          <w:szCs w:val="20"/>
          <w:rtl/>
        </w:rPr>
        <w:t xml:space="preserve">הראשונים מקשרים בין הסוגייה הנ"ל לדין רואה מחמת תשמיש </w:t>
      </w:r>
      <w:r w:rsidRPr="001568C3">
        <w:rPr>
          <w:rFonts w:hint="cs"/>
          <w:sz w:val="18"/>
          <w:szCs w:val="18"/>
          <w:rtl/>
        </w:rPr>
        <w:t>(להלן גם רמ"ת)</w:t>
      </w:r>
      <w:r>
        <w:rPr>
          <w:rFonts w:hint="cs"/>
          <w:sz w:val="20"/>
          <w:szCs w:val="20"/>
          <w:rtl/>
        </w:rPr>
        <w:t xml:space="preserve">. </w:t>
      </w:r>
      <w:r>
        <w:rPr>
          <w:sz w:val="20"/>
          <w:szCs w:val="20"/>
          <w:rtl/>
        </w:rPr>
        <w:br/>
      </w:r>
      <w:r>
        <w:rPr>
          <w:rFonts w:hint="cs"/>
          <w:sz w:val="20"/>
          <w:szCs w:val="20"/>
          <w:rtl/>
        </w:rPr>
        <w:t xml:space="preserve">כלומר </w:t>
      </w:r>
      <w:r>
        <w:rPr>
          <w:sz w:val="20"/>
          <w:szCs w:val="20"/>
          <w:rtl/>
        </w:rPr>
        <w:t>–</w:t>
      </w:r>
      <w:r>
        <w:rPr>
          <w:rFonts w:hint="cs"/>
          <w:sz w:val="20"/>
          <w:szCs w:val="20"/>
          <w:rtl/>
        </w:rPr>
        <w:t xml:space="preserve"> באופנים בהם חייבים קרבן, הוא הדין שאסורה כדין רואה מחמת תשמיש.</w:t>
      </w:r>
      <w:r>
        <w:rPr>
          <w:sz w:val="20"/>
          <w:szCs w:val="20"/>
          <w:rtl/>
        </w:rPr>
        <w:br/>
      </w:r>
      <w:r w:rsidRPr="00971C68">
        <w:rPr>
          <w:rFonts w:hint="cs"/>
          <w:sz w:val="18"/>
          <w:szCs w:val="18"/>
          <w:rtl/>
        </w:rPr>
        <w:t xml:space="preserve">(ההיגיון בכך הוא, שאם לגבי קרבן מקשרים בין התשמיש לראייה, </w:t>
      </w:r>
      <w:r>
        <w:rPr>
          <w:rFonts w:hint="cs"/>
          <w:sz w:val="18"/>
          <w:szCs w:val="18"/>
          <w:rtl/>
        </w:rPr>
        <w:t>ה"ה</w:t>
      </w:r>
      <w:r w:rsidRPr="00971C68">
        <w:rPr>
          <w:rFonts w:hint="cs"/>
          <w:sz w:val="18"/>
          <w:szCs w:val="18"/>
          <w:rtl/>
        </w:rPr>
        <w:t xml:space="preserve"> שיש לקשר בין התשמיש לראייה גם לגבי </w:t>
      </w:r>
      <w:r>
        <w:rPr>
          <w:rFonts w:hint="cs"/>
          <w:sz w:val="18"/>
          <w:szCs w:val="18"/>
          <w:rtl/>
        </w:rPr>
        <w:t>רמ"ת)</w:t>
      </w:r>
      <w:r>
        <w:rPr>
          <w:rFonts w:hint="cs"/>
          <w:sz w:val="20"/>
          <w:szCs w:val="20"/>
          <w:rtl/>
        </w:rPr>
        <w:t>.</w:t>
      </w:r>
    </w:p>
    <w:p w:rsidR="00620060" w:rsidRDefault="00620060" w:rsidP="00620060">
      <w:pPr>
        <w:rPr>
          <w:sz w:val="20"/>
          <w:szCs w:val="20"/>
          <w:rtl/>
        </w:rPr>
      </w:pPr>
      <w:r>
        <w:rPr>
          <w:rFonts w:hint="cs"/>
          <w:sz w:val="20"/>
          <w:szCs w:val="20"/>
          <w:u w:val="single"/>
          <w:rtl/>
        </w:rPr>
        <w:t>הסבר שיטת הראב"ד</w:t>
      </w:r>
      <w:r>
        <w:rPr>
          <w:sz w:val="20"/>
          <w:szCs w:val="20"/>
          <w:rtl/>
        </w:rPr>
        <w:br/>
      </w:r>
      <w:r>
        <w:rPr>
          <w:rFonts w:hint="cs"/>
          <w:sz w:val="20"/>
          <w:szCs w:val="20"/>
          <w:rtl/>
        </w:rPr>
        <w:t>משמע בגמרא שהלכה כרב חסדא, כיוון שרב אשי נשאר בקשיא.</w:t>
      </w:r>
    </w:p>
    <w:p w:rsidR="00620060" w:rsidRDefault="00620060" w:rsidP="00620060">
      <w:pPr>
        <w:rPr>
          <w:sz w:val="20"/>
          <w:szCs w:val="20"/>
          <w:u w:val="single"/>
          <w:rtl/>
        </w:rPr>
      </w:pPr>
      <w:r>
        <w:rPr>
          <w:rFonts w:hint="cs"/>
          <w:sz w:val="20"/>
          <w:szCs w:val="20"/>
          <w:u w:val="single"/>
          <w:rtl/>
        </w:rPr>
        <w:t>הסבר שיטת הסמ"ק</w:t>
      </w:r>
      <w:r>
        <w:rPr>
          <w:sz w:val="20"/>
          <w:szCs w:val="20"/>
          <w:u w:val="single"/>
          <w:rtl/>
        </w:rPr>
        <w:br/>
      </w:r>
      <w:r>
        <w:rPr>
          <w:rFonts w:hint="cs"/>
          <w:sz w:val="20"/>
          <w:szCs w:val="20"/>
          <w:rtl/>
        </w:rPr>
        <w:t xml:space="preserve">א. </w:t>
      </w:r>
      <w:r w:rsidRPr="003371A2">
        <w:rPr>
          <w:rFonts w:hint="cs"/>
          <w:b/>
          <w:bCs/>
          <w:sz w:val="20"/>
          <w:szCs w:val="20"/>
          <w:rtl/>
        </w:rPr>
        <w:t>בית יוסף</w:t>
      </w:r>
      <w:r>
        <w:rPr>
          <w:rFonts w:hint="cs"/>
          <w:sz w:val="20"/>
          <w:szCs w:val="20"/>
          <w:rtl/>
        </w:rPr>
        <w:t xml:space="preserve"> </w:t>
      </w:r>
      <w:r>
        <w:rPr>
          <w:sz w:val="20"/>
          <w:szCs w:val="20"/>
          <w:rtl/>
        </w:rPr>
        <w:t>–</w:t>
      </w:r>
      <w:r>
        <w:rPr>
          <w:rFonts w:hint="cs"/>
          <w:sz w:val="20"/>
          <w:szCs w:val="20"/>
          <w:rtl/>
        </w:rPr>
        <w:t xml:space="preserve"> צריך עיון מדוע הסמ"ק פוסק לכאורה כדעת רב אשי, ועיין הערה.</w:t>
      </w:r>
      <w:r>
        <w:rPr>
          <w:rStyle w:val="a5"/>
          <w:sz w:val="20"/>
          <w:szCs w:val="20"/>
          <w:rtl/>
        </w:rPr>
        <w:footnoteReference w:id="86"/>
      </w:r>
      <w:r>
        <w:rPr>
          <w:sz w:val="20"/>
          <w:szCs w:val="20"/>
          <w:u w:val="single"/>
          <w:rtl/>
        </w:rPr>
        <w:br/>
      </w:r>
      <w:r>
        <w:rPr>
          <w:rFonts w:hint="cs"/>
          <w:sz w:val="20"/>
          <w:szCs w:val="20"/>
          <w:rtl/>
        </w:rPr>
        <w:t xml:space="preserve">ב. </w:t>
      </w:r>
      <w:r w:rsidRPr="003371A2">
        <w:rPr>
          <w:rFonts w:hint="cs"/>
          <w:b/>
          <w:bCs/>
          <w:sz w:val="20"/>
          <w:szCs w:val="20"/>
          <w:rtl/>
        </w:rPr>
        <w:t>ב"ח</w:t>
      </w:r>
      <w:r>
        <w:rPr>
          <w:rFonts w:hint="cs"/>
          <w:sz w:val="20"/>
          <w:szCs w:val="20"/>
          <w:rtl/>
        </w:rPr>
        <w:t xml:space="preserve"> </w:t>
      </w:r>
      <w:r>
        <w:rPr>
          <w:sz w:val="20"/>
          <w:szCs w:val="20"/>
          <w:rtl/>
        </w:rPr>
        <w:t>–</w:t>
      </w:r>
      <w:r>
        <w:rPr>
          <w:rFonts w:hint="cs"/>
          <w:sz w:val="20"/>
          <w:szCs w:val="20"/>
          <w:rtl/>
        </w:rPr>
        <w:t xml:space="preserve"> הסמ"ק סובר שהלכה כרב אשי למרות שדבריו נותרו בקשיא.</w:t>
      </w:r>
    </w:p>
    <w:p w:rsidR="00620060" w:rsidRDefault="00620060" w:rsidP="00620060">
      <w:pPr>
        <w:rPr>
          <w:b/>
          <w:bCs/>
          <w:sz w:val="20"/>
          <w:szCs w:val="20"/>
          <w:rtl/>
        </w:rPr>
      </w:pPr>
      <w:r>
        <w:rPr>
          <w:rFonts w:hint="cs"/>
          <w:b/>
          <w:bCs/>
          <w:sz w:val="20"/>
          <w:szCs w:val="20"/>
          <w:rtl/>
        </w:rPr>
        <w:t>האם ג' פעמים לרמ"ת זו גם דעת רבי?</w:t>
      </w:r>
      <w:r>
        <w:rPr>
          <w:b/>
          <w:bCs/>
          <w:sz w:val="20"/>
          <w:szCs w:val="20"/>
          <w:rtl/>
        </w:rPr>
        <w:br/>
      </w:r>
      <w:r>
        <w:rPr>
          <w:rFonts w:hint="cs"/>
          <w:sz w:val="20"/>
          <w:szCs w:val="20"/>
          <w:rtl/>
        </w:rPr>
        <w:t>נחלקו רבי ורשב"ג אימתי היא חזקה, רבי סובר שחזקה נוצרת בפעמיים ואילו רשב"ג סובר שבג' פעמים, ועיין הרחבה בהערה.</w:t>
      </w:r>
      <w:r>
        <w:rPr>
          <w:rStyle w:val="a5"/>
          <w:sz w:val="20"/>
          <w:szCs w:val="20"/>
          <w:rtl/>
        </w:rPr>
        <w:footnoteReference w:id="87"/>
      </w:r>
    </w:p>
    <w:p w:rsidR="00620060" w:rsidRDefault="00620060" w:rsidP="00620060">
      <w:pPr>
        <w:rPr>
          <w:sz w:val="20"/>
          <w:szCs w:val="20"/>
          <w:rtl/>
        </w:rPr>
      </w:pPr>
      <w:r w:rsidRPr="00224997">
        <w:rPr>
          <w:rFonts w:hint="cs"/>
          <w:b/>
          <w:bCs/>
          <w:sz w:val="20"/>
          <w:szCs w:val="20"/>
          <w:rtl/>
        </w:rPr>
        <w:t>שיטות הראשונים</w:t>
      </w:r>
      <w:r>
        <w:rPr>
          <w:sz w:val="20"/>
          <w:szCs w:val="20"/>
          <w:u w:val="single"/>
          <w:rtl/>
        </w:rPr>
        <w:br/>
      </w:r>
      <w:r>
        <w:rPr>
          <w:rFonts w:hint="cs"/>
          <w:sz w:val="20"/>
          <w:szCs w:val="20"/>
          <w:rtl/>
        </w:rPr>
        <w:t xml:space="preserve">א. </w:t>
      </w:r>
      <w:r w:rsidRPr="00761962">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הברייתא שמתירה ל</w:t>
      </w:r>
      <w:r w:rsidRPr="001568C3">
        <w:rPr>
          <w:rFonts w:hint="cs"/>
          <w:sz w:val="20"/>
          <w:szCs w:val="20"/>
          <w:rtl/>
        </w:rPr>
        <w:t xml:space="preserve">רמ"ת </w:t>
      </w:r>
      <w:r>
        <w:rPr>
          <w:rFonts w:hint="cs"/>
          <w:sz w:val="20"/>
          <w:szCs w:val="20"/>
          <w:rtl/>
        </w:rPr>
        <w:t>לשמש עם בעל שלישי נאמרה אליבא דרשב"ג.</w:t>
      </w:r>
      <w:r>
        <w:rPr>
          <w:b/>
          <w:bCs/>
          <w:sz w:val="20"/>
          <w:szCs w:val="20"/>
          <w:rtl/>
        </w:rPr>
        <w:br/>
      </w:r>
      <w:r w:rsidRPr="00761962">
        <w:rPr>
          <w:rFonts w:hint="cs"/>
          <w:b/>
          <w:bCs/>
          <w:sz w:val="20"/>
          <w:szCs w:val="20"/>
          <w:rtl/>
        </w:rPr>
        <w:t xml:space="preserve">טעם </w:t>
      </w:r>
      <w:r>
        <w:rPr>
          <w:sz w:val="20"/>
          <w:szCs w:val="20"/>
          <w:rtl/>
        </w:rPr>
        <w:t>–</w:t>
      </w:r>
      <w:r>
        <w:rPr>
          <w:rFonts w:hint="cs"/>
          <w:sz w:val="20"/>
          <w:szCs w:val="20"/>
          <w:rtl/>
        </w:rPr>
        <w:t xml:space="preserve"> רבי חולק וסובר שאסורה לשמש עם בעל ג' משום שמוחזקת לראות, אלא שבווסתות קיי"ל כרשב"ג, ודין זה הוא בכלל ווסתות.</w:t>
      </w:r>
      <w:r>
        <w:rPr>
          <w:b/>
          <w:bCs/>
          <w:sz w:val="20"/>
          <w:szCs w:val="20"/>
          <w:rtl/>
        </w:rPr>
        <w:br/>
      </w:r>
      <w:r>
        <w:rPr>
          <w:rFonts w:hint="cs"/>
          <w:sz w:val="20"/>
          <w:szCs w:val="20"/>
          <w:rtl/>
        </w:rPr>
        <w:t xml:space="preserve">ב. </w:t>
      </w:r>
      <w:r w:rsidRPr="00761962">
        <w:rPr>
          <w:rFonts w:hint="cs"/>
          <w:b/>
          <w:bCs/>
          <w:sz w:val="20"/>
          <w:szCs w:val="20"/>
          <w:rtl/>
        </w:rPr>
        <w:t>תוספות</w:t>
      </w:r>
      <w:r>
        <w:rPr>
          <w:rFonts w:hint="cs"/>
          <w:sz w:val="20"/>
          <w:szCs w:val="20"/>
          <w:rtl/>
        </w:rPr>
        <w:t xml:space="preserve"> </w:t>
      </w:r>
      <w:r>
        <w:rPr>
          <w:sz w:val="20"/>
          <w:szCs w:val="20"/>
          <w:rtl/>
        </w:rPr>
        <w:t>–</w:t>
      </w:r>
      <w:r>
        <w:rPr>
          <w:rFonts w:hint="cs"/>
          <w:sz w:val="20"/>
          <w:szCs w:val="20"/>
          <w:rtl/>
        </w:rPr>
        <w:t xml:space="preserve"> הברייתא נאמרה גם אליבא דרבי.</w:t>
      </w:r>
      <w:r>
        <w:rPr>
          <w:sz w:val="20"/>
          <w:szCs w:val="20"/>
          <w:rtl/>
        </w:rPr>
        <w:br/>
      </w:r>
      <w:r w:rsidRPr="00761962">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רבי מודה לרשב"ג ברמ"ת שרק לאחר ג' פעמים נוצרת חזקה.</w:t>
      </w:r>
      <w:r>
        <w:rPr>
          <w:b/>
          <w:bCs/>
          <w:sz w:val="20"/>
          <w:szCs w:val="20"/>
          <w:rtl/>
        </w:rPr>
        <w:br/>
      </w:r>
      <w:r>
        <w:rPr>
          <w:rFonts w:hint="cs"/>
          <w:sz w:val="20"/>
          <w:szCs w:val="20"/>
          <w:rtl/>
        </w:rPr>
        <w:t xml:space="preserve">ג. </w:t>
      </w:r>
      <w:r w:rsidRPr="00F703FF">
        <w:rPr>
          <w:rFonts w:hint="cs"/>
          <w:b/>
          <w:bCs/>
          <w:sz w:val="20"/>
          <w:szCs w:val="20"/>
          <w:rtl/>
        </w:rPr>
        <w:t>סמ"ג</w:t>
      </w:r>
      <w:r>
        <w:rPr>
          <w:rFonts w:hint="cs"/>
          <w:sz w:val="20"/>
          <w:szCs w:val="20"/>
          <w:rtl/>
        </w:rPr>
        <w:t xml:space="preserve"> - הברייתא נאמרה בשיטת רשב"ג, אך לדינא הלכה כרבי ואסורה לשמש עם בעל שלישי, ועיין הערה.</w:t>
      </w:r>
      <w:r>
        <w:rPr>
          <w:rStyle w:val="a5"/>
          <w:sz w:val="20"/>
          <w:szCs w:val="20"/>
          <w:rtl/>
        </w:rPr>
        <w:footnoteReference w:id="88"/>
      </w:r>
      <w:r>
        <w:rPr>
          <w:b/>
          <w:bCs/>
          <w:sz w:val="20"/>
          <w:szCs w:val="20"/>
          <w:rtl/>
        </w:rPr>
        <w:br/>
      </w:r>
      <w:r>
        <w:rPr>
          <w:rFonts w:hint="cs"/>
          <w:b/>
          <w:bCs/>
          <w:sz w:val="20"/>
          <w:szCs w:val="20"/>
          <w:rtl/>
        </w:rPr>
        <w:t xml:space="preserve">טעם </w:t>
      </w:r>
      <w:r w:rsidRPr="00B0128B">
        <w:rPr>
          <w:sz w:val="20"/>
          <w:szCs w:val="20"/>
          <w:rtl/>
        </w:rPr>
        <w:t>–</w:t>
      </w:r>
      <w:r w:rsidRPr="00B0128B">
        <w:rPr>
          <w:rFonts w:hint="cs"/>
          <w:sz w:val="20"/>
          <w:szCs w:val="20"/>
          <w:rtl/>
        </w:rPr>
        <w:t xml:space="preserve"> הלכה כרבי מחבירו, ואין מחלוקת זו בכלל ווסתות שנפסקה בהן הלכה כרשב"ג.</w:t>
      </w:r>
      <w:r>
        <w:rPr>
          <w:rFonts w:hint="cs"/>
          <w:b/>
          <w:bCs/>
          <w:sz w:val="20"/>
          <w:szCs w:val="20"/>
          <w:rtl/>
        </w:rPr>
        <w:br/>
      </w:r>
      <w:r>
        <w:rPr>
          <w:b/>
          <w:bCs/>
          <w:sz w:val="20"/>
          <w:szCs w:val="20"/>
          <w:rtl/>
        </w:rPr>
        <w:br/>
      </w:r>
      <w:r>
        <w:rPr>
          <w:rFonts w:hint="cs"/>
          <w:sz w:val="20"/>
          <w:szCs w:val="20"/>
          <w:rtl/>
        </w:rPr>
        <w:t xml:space="preserve">הכרעת </w:t>
      </w:r>
      <w:r w:rsidRPr="00FC2844">
        <w:rPr>
          <w:rFonts w:hint="cs"/>
          <w:b/>
          <w:bCs/>
          <w:sz w:val="20"/>
          <w:szCs w:val="20"/>
          <w:rtl/>
        </w:rPr>
        <w:t>הבית יוסף</w:t>
      </w:r>
      <w:r>
        <w:rPr>
          <w:rFonts w:hint="cs"/>
          <w:sz w:val="20"/>
          <w:szCs w:val="20"/>
          <w:rtl/>
        </w:rPr>
        <w:t xml:space="preserve"> </w:t>
      </w:r>
      <w:r>
        <w:rPr>
          <w:sz w:val="20"/>
          <w:szCs w:val="20"/>
          <w:rtl/>
        </w:rPr>
        <w:t>–</w:t>
      </w:r>
      <w:r>
        <w:rPr>
          <w:rFonts w:hint="cs"/>
          <w:sz w:val="20"/>
          <w:szCs w:val="20"/>
          <w:rtl/>
        </w:rPr>
        <w:t xml:space="preserve"> אין הלכה כסמ"ג משום שהוא דעת יחיד, אלא הלכה כרוב הראשונים שברייתא זו אליבא דהלכתא היא ומותר לרמ"ת לשמש גם עם בעל שלישי.</w:t>
      </w:r>
    </w:p>
    <w:p w:rsidR="00620060" w:rsidRPr="00903990" w:rsidRDefault="00620060" w:rsidP="00620060">
      <w:pPr>
        <w:rPr>
          <w:sz w:val="20"/>
          <w:szCs w:val="20"/>
          <w:rtl/>
        </w:rPr>
      </w:pPr>
      <w:r>
        <w:rPr>
          <w:rFonts w:hint="cs"/>
          <w:b/>
          <w:bCs/>
          <w:sz w:val="20"/>
          <w:szCs w:val="20"/>
          <w:rtl/>
        </w:rPr>
        <w:t>האם ג' ראיותיה צריכות להיות סמוך לנישואיה?</w:t>
      </w:r>
      <w:r>
        <w:rPr>
          <w:rFonts w:hint="cs"/>
          <w:b/>
          <w:bCs/>
          <w:sz w:val="20"/>
          <w:szCs w:val="20"/>
          <w:rtl/>
        </w:rPr>
        <w:br/>
      </w:r>
      <w:r>
        <w:rPr>
          <w:rFonts w:hint="cs"/>
          <w:sz w:val="20"/>
          <w:szCs w:val="20"/>
          <w:rtl/>
        </w:rPr>
        <w:t xml:space="preserve">א. </w:t>
      </w:r>
      <w:r w:rsidRPr="007E3495">
        <w:rPr>
          <w:rFonts w:hint="cs"/>
          <w:b/>
          <w:bCs/>
          <w:sz w:val="20"/>
          <w:szCs w:val="20"/>
          <w:rtl/>
        </w:rPr>
        <w:t>ר"ח</w:t>
      </w:r>
      <w:r>
        <w:rPr>
          <w:rFonts w:hint="cs"/>
          <w:sz w:val="20"/>
          <w:szCs w:val="20"/>
          <w:rtl/>
        </w:rPr>
        <w:t xml:space="preserve"> </w:t>
      </w:r>
      <w:r>
        <w:rPr>
          <w:sz w:val="20"/>
          <w:szCs w:val="20"/>
          <w:rtl/>
        </w:rPr>
        <w:t>–</w:t>
      </w:r>
      <w:r>
        <w:rPr>
          <w:rFonts w:hint="cs"/>
          <w:sz w:val="20"/>
          <w:szCs w:val="20"/>
          <w:rtl/>
        </w:rPr>
        <w:t xml:space="preserve"> דין רמ"ת שייך רק באשה שראתה את כל ג' הראיות מייד לאחר נישואיה, אך אם בתחילה היו לה ביאות היתר ללא ראייה ואחר כך התחילה לראות </w:t>
      </w:r>
      <w:r>
        <w:rPr>
          <w:sz w:val="20"/>
          <w:szCs w:val="20"/>
          <w:rtl/>
        </w:rPr>
        <w:t>–</w:t>
      </w:r>
      <w:r>
        <w:rPr>
          <w:rFonts w:hint="cs"/>
          <w:sz w:val="20"/>
          <w:szCs w:val="20"/>
          <w:rtl/>
        </w:rPr>
        <w:t xml:space="preserve"> אינה רמ"ת.</w:t>
      </w:r>
      <w:r>
        <w:rPr>
          <w:sz w:val="20"/>
          <w:szCs w:val="20"/>
          <w:rtl/>
        </w:rPr>
        <w:br/>
      </w:r>
      <w:r>
        <w:rPr>
          <w:rFonts w:hint="cs"/>
          <w:sz w:val="20"/>
          <w:szCs w:val="20"/>
          <w:rtl/>
        </w:rPr>
        <w:lastRenderedPageBreak/>
        <w:t xml:space="preserve">ב. </w:t>
      </w:r>
      <w:r w:rsidRPr="007E3495">
        <w:rPr>
          <w:rFonts w:hint="cs"/>
          <w:b/>
          <w:bCs/>
          <w:sz w:val="20"/>
          <w:szCs w:val="20"/>
          <w:rtl/>
        </w:rPr>
        <w:t>רמב"ם</w:t>
      </w:r>
      <w:r>
        <w:rPr>
          <w:rFonts w:hint="cs"/>
          <w:sz w:val="20"/>
          <w:szCs w:val="20"/>
          <w:rtl/>
        </w:rPr>
        <w:t xml:space="preserve">, </w:t>
      </w:r>
      <w:r w:rsidRPr="007E3495">
        <w:rPr>
          <w:rFonts w:hint="cs"/>
          <w:b/>
          <w:bCs/>
          <w:sz w:val="20"/>
          <w:szCs w:val="20"/>
          <w:rtl/>
        </w:rPr>
        <w:t>טור</w:t>
      </w:r>
      <w:r>
        <w:rPr>
          <w:rFonts w:hint="cs"/>
          <w:sz w:val="20"/>
          <w:szCs w:val="20"/>
          <w:rtl/>
        </w:rPr>
        <w:t xml:space="preserve"> ושאר פוסקים </w:t>
      </w:r>
      <w:r>
        <w:rPr>
          <w:sz w:val="20"/>
          <w:szCs w:val="20"/>
          <w:rtl/>
        </w:rPr>
        <w:t>–</w:t>
      </w:r>
      <w:r>
        <w:rPr>
          <w:rFonts w:hint="cs"/>
          <w:sz w:val="20"/>
          <w:szCs w:val="20"/>
          <w:rtl/>
        </w:rPr>
        <w:t xml:space="preserve"> אין חילוק מתי היא רמ"ת, אפילו אם היו לה ביאות היתר ללא ראייה והתקלקלה אחר כך וראתה, דינה רמ"ת ואסורה ללא בדיקה, וכ"פ </w:t>
      </w:r>
      <w:r w:rsidRPr="007E3495">
        <w:rPr>
          <w:rFonts w:hint="cs"/>
          <w:b/>
          <w:bCs/>
          <w:sz w:val="20"/>
          <w:szCs w:val="20"/>
          <w:rtl/>
        </w:rPr>
        <w:t>הרמ"א</w:t>
      </w:r>
      <w:r>
        <w:rPr>
          <w:rFonts w:hint="cs"/>
          <w:sz w:val="20"/>
          <w:szCs w:val="20"/>
          <w:rtl/>
        </w:rPr>
        <w:t>.</w:t>
      </w:r>
      <w:r>
        <w:rPr>
          <w:rStyle w:val="a5"/>
          <w:sz w:val="20"/>
          <w:szCs w:val="20"/>
          <w:rtl/>
        </w:rPr>
        <w:footnoteReference w:id="89"/>
      </w:r>
    </w:p>
    <w:p w:rsidR="00620060" w:rsidRDefault="00620060" w:rsidP="00620060">
      <w:pPr>
        <w:rPr>
          <w:b/>
          <w:bCs/>
          <w:sz w:val="18"/>
          <w:szCs w:val="18"/>
          <w:rtl/>
        </w:rPr>
      </w:pPr>
      <w:r w:rsidRPr="00134039">
        <w:rPr>
          <w:rFonts w:hint="cs"/>
          <w:b/>
          <w:bCs/>
          <w:sz w:val="20"/>
          <w:szCs w:val="20"/>
          <w:rtl/>
        </w:rPr>
        <w:t>פסיקת הלכה</w:t>
      </w:r>
      <w:r w:rsidRPr="00134039">
        <w:rPr>
          <w:b/>
          <w:bCs/>
          <w:sz w:val="20"/>
          <w:szCs w:val="20"/>
          <w:rtl/>
        </w:rPr>
        <w:br/>
      </w:r>
      <w:r w:rsidRPr="00134039">
        <w:rPr>
          <w:rFonts w:hint="cs"/>
          <w:b/>
          <w:bCs/>
          <w:sz w:val="20"/>
          <w:szCs w:val="20"/>
          <w:rtl/>
        </w:rPr>
        <w:t>שולחן ערוך</w:t>
      </w:r>
      <w:r>
        <w:rPr>
          <w:rFonts w:hint="cs"/>
          <w:sz w:val="20"/>
          <w:szCs w:val="20"/>
          <w:rtl/>
        </w:rPr>
        <w:t xml:space="preserve"> </w:t>
      </w:r>
      <w:r>
        <w:rPr>
          <w:sz w:val="20"/>
          <w:szCs w:val="20"/>
          <w:rtl/>
        </w:rPr>
        <w:t>–</w:t>
      </w:r>
      <w:r>
        <w:rPr>
          <w:rFonts w:hint="cs"/>
          <w:sz w:val="20"/>
          <w:szCs w:val="20"/>
          <w:rtl/>
        </w:rPr>
        <w:t xml:space="preserve"> "</w:t>
      </w:r>
      <w:r w:rsidRPr="00134039">
        <w:rPr>
          <w:rFonts w:cs="Arial" w:hint="cs"/>
          <w:sz w:val="20"/>
          <w:szCs w:val="20"/>
          <w:rtl/>
        </w:rPr>
        <w:t>אשה</w:t>
      </w:r>
      <w:r w:rsidRPr="00134039">
        <w:rPr>
          <w:rFonts w:cs="Arial"/>
          <w:sz w:val="20"/>
          <w:szCs w:val="20"/>
          <w:rtl/>
        </w:rPr>
        <w:t xml:space="preserve"> </w:t>
      </w:r>
      <w:r w:rsidRPr="00134039">
        <w:rPr>
          <w:rFonts w:cs="Arial" w:hint="cs"/>
          <w:sz w:val="20"/>
          <w:szCs w:val="20"/>
          <w:rtl/>
        </w:rPr>
        <w:t>שראתה</w:t>
      </w:r>
      <w:r w:rsidRPr="00134039">
        <w:rPr>
          <w:rFonts w:cs="Arial"/>
          <w:sz w:val="20"/>
          <w:szCs w:val="20"/>
          <w:rtl/>
        </w:rPr>
        <w:t xml:space="preserve"> </w:t>
      </w:r>
      <w:r w:rsidRPr="00134039">
        <w:rPr>
          <w:rFonts w:cs="Arial" w:hint="cs"/>
          <w:sz w:val="20"/>
          <w:szCs w:val="20"/>
          <w:rtl/>
        </w:rPr>
        <w:t>דם</w:t>
      </w:r>
      <w:r w:rsidRPr="00134039">
        <w:rPr>
          <w:rFonts w:cs="Arial"/>
          <w:sz w:val="20"/>
          <w:szCs w:val="20"/>
          <w:rtl/>
        </w:rPr>
        <w:t xml:space="preserve"> </w:t>
      </w:r>
      <w:r w:rsidRPr="00134039">
        <w:rPr>
          <w:rFonts w:cs="Arial" w:hint="cs"/>
          <w:sz w:val="20"/>
          <w:szCs w:val="20"/>
          <w:rtl/>
        </w:rPr>
        <w:t>מחמת</w:t>
      </w:r>
      <w:r w:rsidRPr="00134039">
        <w:rPr>
          <w:rFonts w:cs="Arial"/>
          <w:sz w:val="20"/>
          <w:szCs w:val="20"/>
          <w:rtl/>
        </w:rPr>
        <w:t xml:space="preserve"> </w:t>
      </w:r>
      <w:r w:rsidRPr="00134039">
        <w:rPr>
          <w:rFonts w:cs="Arial" w:hint="cs"/>
          <w:sz w:val="20"/>
          <w:szCs w:val="20"/>
          <w:rtl/>
        </w:rPr>
        <w:t>תשמיש</w:t>
      </w:r>
      <w:r w:rsidRPr="00134039">
        <w:rPr>
          <w:rFonts w:cs="Arial"/>
          <w:sz w:val="20"/>
          <w:szCs w:val="20"/>
          <w:rtl/>
        </w:rPr>
        <w:t xml:space="preserve"> </w:t>
      </w:r>
      <w:r w:rsidRPr="00134039">
        <w:rPr>
          <w:rFonts w:cs="Arial" w:hint="cs"/>
          <w:sz w:val="20"/>
          <w:szCs w:val="20"/>
          <w:rtl/>
        </w:rPr>
        <w:t>מיד</w:t>
      </w:r>
      <w:r w:rsidRPr="00134039">
        <w:rPr>
          <w:rFonts w:cs="Arial"/>
          <w:sz w:val="20"/>
          <w:szCs w:val="20"/>
          <w:rtl/>
        </w:rPr>
        <w:t xml:space="preserve">, </w:t>
      </w:r>
      <w:r w:rsidRPr="00134039">
        <w:rPr>
          <w:rFonts w:cs="Arial" w:hint="cs"/>
          <w:sz w:val="20"/>
          <w:szCs w:val="20"/>
          <w:rtl/>
        </w:rPr>
        <w:t>בכדי</w:t>
      </w:r>
      <w:r w:rsidRPr="00134039">
        <w:rPr>
          <w:rFonts w:cs="Arial"/>
          <w:sz w:val="20"/>
          <w:szCs w:val="20"/>
          <w:rtl/>
        </w:rPr>
        <w:t xml:space="preserve"> </w:t>
      </w:r>
      <w:r w:rsidRPr="00134039">
        <w:rPr>
          <w:rFonts w:cs="Arial" w:hint="cs"/>
          <w:sz w:val="20"/>
          <w:szCs w:val="20"/>
          <w:rtl/>
        </w:rPr>
        <w:t>שתושיט</w:t>
      </w:r>
      <w:r w:rsidRPr="00134039">
        <w:rPr>
          <w:rFonts w:cs="Arial"/>
          <w:sz w:val="20"/>
          <w:szCs w:val="20"/>
          <w:rtl/>
        </w:rPr>
        <w:t xml:space="preserve"> </w:t>
      </w:r>
      <w:r w:rsidRPr="00134039">
        <w:rPr>
          <w:rFonts w:cs="Arial" w:hint="cs"/>
          <w:sz w:val="20"/>
          <w:szCs w:val="20"/>
          <w:rtl/>
        </w:rPr>
        <w:t>ידה</w:t>
      </w:r>
      <w:r w:rsidRPr="00134039">
        <w:rPr>
          <w:rFonts w:cs="Arial"/>
          <w:sz w:val="20"/>
          <w:szCs w:val="20"/>
          <w:rtl/>
        </w:rPr>
        <w:t xml:space="preserve"> </w:t>
      </w:r>
      <w:r w:rsidRPr="00134039">
        <w:rPr>
          <w:rFonts w:cs="Arial" w:hint="cs"/>
          <w:sz w:val="20"/>
          <w:szCs w:val="20"/>
          <w:rtl/>
        </w:rPr>
        <w:t>לתחת</w:t>
      </w:r>
      <w:r w:rsidRPr="00134039">
        <w:rPr>
          <w:rFonts w:cs="Arial"/>
          <w:sz w:val="20"/>
          <w:szCs w:val="20"/>
          <w:rtl/>
        </w:rPr>
        <w:t xml:space="preserve"> </w:t>
      </w:r>
      <w:r w:rsidRPr="00134039">
        <w:rPr>
          <w:rFonts w:cs="Arial" w:hint="cs"/>
          <w:sz w:val="20"/>
          <w:szCs w:val="20"/>
          <w:rtl/>
        </w:rPr>
        <w:t>הכר</w:t>
      </w:r>
      <w:r w:rsidRPr="00134039">
        <w:rPr>
          <w:rFonts w:cs="Arial"/>
          <w:sz w:val="20"/>
          <w:szCs w:val="20"/>
          <w:rtl/>
        </w:rPr>
        <w:t xml:space="preserve">, </w:t>
      </w:r>
      <w:r w:rsidRPr="00134039">
        <w:rPr>
          <w:rFonts w:cs="Arial" w:hint="cs"/>
          <w:sz w:val="20"/>
          <w:szCs w:val="20"/>
          <w:rtl/>
        </w:rPr>
        <w:t>או</w:t>
      </w:r>
      <w:r w:rsidRPr="00134039">
        <w:rPr>
          <w:rFonts w:cs="Arial"/>
          <w:sz w:val="20"/>
          <w:szCs w:val="20"/>
          <w:rtl/>
        </w:rPr>
        <w:t xml:space="preserve"> </w:t>
      </w:r>
      <w:r w:rsidRPr="00134039">
        <w:rPr>
          <w:rFonts w:cs="Arial" w:hint="cs"/>
          <w:sz w:val="20"/>
          <w:szCs w:val="20"/>
          <w:rtl/>
        </w:rPr>
        <w:t>לתחת</w:t>
      </w:r>
      <w:r w:rsidRPr="00134039">
        <w:rPr>
          <w:rFonts w:cs="Arial"/>
          <w:sz w:val="20"/>
          <w:szCs w:val="20"/>
          <w:rtl/>
        </w:rPr>
        <w:t xml:space="preserve"> </w:t>
      </w:r>
      <w:r w:rsidRPr="00134039">
        <w:rPr>
          <w:rFonts w:cs="Arial" w:hint="cs"/>
          <w:sz w:val="20"/>
          <w:szCs w:val="20"/>
          <w:rtl/>
        </w:rPr>
        <w:t>הכסת</w:t>
      </w:r>
      <w:r w:rsidRPr="00134039">
        <w:rPr>
          <w:rFonts w:cs="Arial"/>
          <w:sz w:val="20"/>
          <w:szCs w:val="20"/>
          <w:rtl/>
        </w:rPr>
        <w:t xml:space="preserve">, </w:t>
      </w:r>
      <w:r w:rsidRPr="00134039">
        <w:rPr>
          <w:rFonts w:cs="Arial" w:hint="cs"/>
          <w:sz w:val="20"/>
          <w:szCs w:val="20"/>
          <w:rtl/>
        </w:rPr>
        <w:t>ות</w:t>
      </w:r>
      <w:r>
        <w:rPr>
          <w:rFonts w:cs="Arial" w:hint="cs"/>
          <w:sz w:val="20"/>
          <w:szCs w:val="20"/>
          <w:rtl/>
        </w:rPr>
        <w:t>י</w:t>
      </w:r>
      <w:r w:rsidRPr="00134039">
        <w:rPr>
          <w:rFonts w:cs="Arial" w:hint="cs"/>
          <w:sz w:val="20"/>
          <w:szCs w:val="20"/>
          <w:rtl/>
        </w:rPr>
        <w:t>טול</w:t>
      </w:r>
      <w:r w:rsidRPr="00134039">
        <w:rPr>
          <w:rFonts w:cs="Arial"/>
          <w:sz w:val="20"/>
          <w:szCs w:val="20"/>
          <w:rtl/>
        </w:rPr>
        <w:t xml:space="preserve"> </w:t>
      </w:r>
      <w:r w:rsidRPr="00134039">
        <w:rPr>
          <w:rFonts w:cs="Arial" w:hint="cs"/>
          <w:sz w:val="20"/>
          <w:szCs w:val="20"/>
          <w:rtl/>
        </w:rPr>
        <w:t>עד</w:t>
      </w:r>
      <w:r w:rsidRPr="00134039">
        <w:rPr>
          <w:rFonts w:cs="Arial"/>
          <w:sz w:val="20"/>
          <w:szCs w:val="20"/>
          <w:rtl/>
        </w:rPr>
        <w:t xml:space="preserve"> </w:t>
      </w:r>
      <w:r w:rsidRPr="00134039">
        <w:rPr>
          <w:rFonts w:cs="Arial" w:hint="cs"/>
          <w:sz w:val="20"/>
          <w:szCs w:val="20"/>
          <w:rtl/>
        </w:rPr>
        <w:t>לבדוק</w:t>
      </w:r>
      <w:r w:rsidRPr="00134039">
        <w:rPr>
          <w:rFonts w:cs="Arial"/>
          <w:sz w:val="20"/>
          <w:szCs w:val="20"/>
          <w:rtl/>
        </w:rPr>
        <w:t xml:space="preserve"> </w:t>
      </w:r>
      <w:r w:rsidRPr="00134039">
        <w:rPr>
          <w:rFonts w:cs="Arial" w:hint="cs"/>
          <w:sz w:val="20"/>
          <w:szCs w:val="20"/>
          <w:rtl/>
        </w:rPr>
        <w:t>בו</w:t>
      </w:r>
      <w:r w:rsidRPr="00134039">
        <w:rPr>
          <w:rFonts w:cs="Arial"/>
          <w:sz w:val="20"/>
          <w:szCs w:val="20"/>
          <w:rtl/>
        </w:rPr>
        <w:t xml:space="preserve">, </w:t>
      </w:r>
      <w:r w:rsidRPr="00134039">
        <w:rPr>
          <w:rFonts w:cs="Arial" w:hint="cs"/>
          <w:sz w:val="20"/>
          <w:szCs w:val="20"/>
          <w:rtl/>
        </w:rPr>
        <w:t>ותקנח</w:t>
      </w:r>
      <w:r w:rsidRPr="00134039">
        <w:rPr>
          <w:rFonts w:cs="Arial"/>
          <w:sz w:val="20"/>
          <w:szCs w:val="20"/>
          <w:rtl/>
        </w:rPr>
        <w:t xml:space="preserve"> </w:t>
      </w:r>
      <w:r w:rsidRPr="00134039">
        <w:rPr>
          <w:rFonts w:cs="Arial" w:hint="cs"/>
          <w:sz w:val="20"/>
          <w:szCs w:val="20"/>
          <w:rtl/>
        </w:rPr>
        <w:t>עצמה</w:t>
      </w:r>
      <w:r w:rsidRPr="00134039">
        <w:rPr>
          <w:rFonts w:cs="Arial"/>
          <w:sz w:val="20"/>
          <w:szCs w:val="20"/>
          <w:rtl/>
        </w:rPr>
        <w:t xml:space="preserve">, </w:t>
      </w:r>
      <w:r w:rsidRPr="00134039">
        <w:rPr>
          <w:rFonts w:cs="Arial" w:hint="cs"/>
          <w:sz w:val="20"/>
          <w:szCs w:val="20"/>
          <w:rtl/>
        </w:rPr>
        <w:t>משמשת</w:t>
      </w:r>
      <w:r w:rsidRPr="00134039">
        <w:rPr>
          <w:rFonts w:cs="Arial"/>
          <w:sz w:val="20"/>
          <w:szCs w:val="20"/>
          <w:rtl/>
        </w:rPr>
        <w:t xml:space="preserve"> </w:t>
      </w:r>
      <w:r w:rsidRPr="00134039">
        <w:rPr>
          <w:rFonts w:cs="Arial" w:hint="cs"/>
          <w:sz w:val="20"/>
          <w:szCs w:val="20"/>
          <w:rtl/>
        </w:rPr>
        <w:t>ג</w:t>
      </w:r>
      <w:r>
        <w:rPr>
          <w:rFonts w:cs="Arial" w:hint="cs"/>
          <w:sz w:val="20"/>
          <w:szCs w:val="20"/>
          <w:rtl/>
        </w:rPr>
        <w:t xml:space="preserve">' </w:t>
      </w:r>
      <w:r w:rsidRPr="00134039">
        <w:rPr>
          <w:rFonts w:cs="Arial" w:hint="cs"/>
          <w:sz w:val="20"/>
          <w:szCs w:val="20"/>
          <w:rtl/>
        </w:rPr>
        <w:t>פ</w:t>
      </w:r>
      <w:r>
        <w:rPr>
          <w:rFonts w:cs="Arial" w:hint="cs"/>
          <w:sz w:val="20"/>
          <w:szCs w:val="20"/>
          <w:rtl/>
        </w:rPr>
        <w:t>עמים</w:t>
      </w:r>
      <w:r w:rsidRPr="00134039">
        <w:rPr>
          <w:rFonts w:cs="Arial"/>
          <w:sz w:val="20"/>
          <w:szCs w:val="20"/>
          <w:rtl/>
        </w:rPr>
        <w:t xml:space="preserve">. </w:t>
      </w:r>
      <w:r w:rsidRPr="00134039">
        <w:rPr>
          <w:rFonts w:cs="Arial" w:hint="cs"/>
          <w:sz w:val="20"/>
          <w:szCs w:val="20"/>
          <w:rtl/>
        </w:rPr>
        <w:t>אם</w:t>
      </w:r>
      <w:r w:rsidRPr="00134039">
        <w:rPr>
          <w:rFonts w:cs="Arial"/>
          <w:sz w:val="20"/>
          <w:szCs w:val="20"/>
          <w:rtl/>
        </w:rPr>
        <w:t xml:space="preserve"> </w:t>
      </w:r>
      <w:r w:rsidRPr="00134039">
        <w:rPr>
          <w:rFonts w:cs="Arial" w:hint="cs"/>
          <w:sz w:val="20"/>
          <w:szCs w:val="20"/>
          <w:rtl/>
        </w:rPr>
        <w:t>בכל</w:t>
      </w:r>
      <w:r w:rsidRPr="00134039">
        <w:rPr>
          <w:rFonts w:cs="Arial"/>
          <w:sz w:val="20"/>
          <w:szCs w:val="20"/>
          <w:rtl/>
        </w:rPr>
        <w:t xml:space="preserve"> </w:t>
      </w:r>
      <w:r w:rsidRPr="00134039">
        <w:rPr>
          <w:rFonts w:cs="Arial" w:hint="cs"/>
          <w:sz w:val="20"/>
          <w:szCs w:val="20"/>
          <w:rtl/>
        </w:rPr>
        <w:t>ג</w:t>
      </w:r>
      <w:r w:rsidRPr="00134039">
        <w:rPr>
          <w:rFonts w:cs="Arial"/>
          <w:sz w:val="20"/>
          <w:szCs w:val="20"/>
          <w:rtl/>
        </w:rPr>
        <w:t xml:space="preserve">' </w:t>
      </w:r>
      <w:r w:rsidRPr="00134039">
        <w:rPr>
          <w:rFonts w:cs="Arial" w:hint="cs"/>
          <w:sz w:val="20"/>
          <w:szCs w:val="20"/>
          <w:rtl/>
        </w:rPr>
        <w:t>פעמים</w:t>
      </w:r>
      <w:r w:rsidRPr="00134039">
        <w:rPr>
          <w:rFonts w:cs="Arial"/>
          <w:sz w:val="20"/>
          <w:szCs w:val="20"/>
          <w:rtl/>
        </w:rPr>
        <w:t xml:space="preserve"> </w:t>
      </w:r>
      <w:r w:rsidRPr="00134039">
        <w:rPr>
          <w:rFonts w:cs="Arial" w:hint="cs"/>
          <w:sz w:val="20"/>
          <w:szCs w:val="20"/>
          <w:rtl/>
        </w:rPr>
        <w:t>רצופים</w:t>
      </w:r>
      <w:r w:rsidRPr="00134039">
        <w:rPr>
          <w:rFonts w:cs="Arial"/>
          <w:sz w:val="20"/>
          <w:szCs w:val="20"/>
          <w:rtl/>
        </w:rPr>
        <w:t xml:space="preserve"> </w:t>
      </w:r>
      <w:r w:rsidRPr="00134039">
        <w:rPr>
          <w:rFonts w:cs="Arial" w:hint="cs"/>
          <w:sz w:val="20"/>
          <w:szCs w:val="20"/>
          <w:rtl/>
        </w:rPr>
        <w:t>ראתה</w:t>
      </w:r>
      <w:r w:rsidRPr="00134039">
        <w:rPr>
          <w:rFonts w:cs="Arial"/>
          <w:sz w:val="20"/>
          <w:szCs w:val="20"/>
          <w:rtl/>
        </w:rPr>
        <w:t xml:space="preserve"> </w:t>
      </w:r>
      <w:r w:rsidRPr="00134039">
        <w:rPr>
          <w:rFonts w:cs="Arial" w:hint="cs"/>
          <w:sz w:val="20"/>
          <w:szCs w:val="20"/>
          <w:rtl/>
        </w:rPr>
        <w:t>דם</w:t>
      </w:r>
      <w:r w:rsidRPr="00134039">
        <w:rPr>
          <w:rFonts w:cs="Arial"/>
          <w:sz w:val="20"/>
          <w:szCs w:val="20"/>
          <w:rtl/>
        </w:rPr>
        <w:t xml:space="preserve"> </w:t>
      </w:r>
      <w:r w:rsidRPr="00134039">
        <w:rPr>
          <w:rFonts w:cs="Arial"/>
          <w:sz w:val="18"/>
          <w:szCs w:val="18"/>
          <w:rtl/>
        </w:rPr>
        <w:t>(</w:t>
      </w:r>
      <w:r w:rsidRPr="00134039">
        <w:rPr>
          <w:rFonts w:cs="Arial" w:hint="cs"/>
          <w:sz w:val="18"/>
          <w:szCs w:val="18"/>
          <w:rtl/>
        </w:rPr>
        <w:t>וכ</w:t>
      </w:r>
      <w:r>
        <w:rPr>
          <w:rFonts w:cs="Arial" w:hint="cs"/>
          <w:sz w:val="18"/>
          <w:szCs w:val="18"/>
          <w:rtl/>
        </w:rPr>
        <w:t xml:space="preserve">ל </w:t>
      </w:r>
      <w:r w:rsidRPr="00134039">
        <w:rPr>
          <w:rFonts w:cs="Arial" w:hint="cs"/>
          <w:sz w:val="18"/>
          <w:szCs w:val="18"/>
          <w:rtl/>
        </w:rPr>
        <w:t>ש</w:t>
      </w:r>
      <w:r>
        <w:rPr>
          <w:rFonts w:cs="Arial" w:hint="cs"/>
          <w:sz w:val="18"/>
          <w:szCs w:val="18"/>
          <w:rtl/>
        </w:rPr>
        <w:t>כן</w:t>
      </w:r>
      <w:r w:rsidRPr="00134039">
        <w:rPr>
          <w:rFonts w:cs="Arial"/>
          <w:sz w:val="18"/>
          <w:szCs w:val="18"/>
          <w:rtl/>
        </w:rPr>
        <w:t xml:space="preserve"> </w:t>
      </w:r>
      <w:r w:rsidRPr="00134039">
        <w:rPr>
          <w:rFonts w:cs="Arial" w:hint="cs"/>
          <w:sz w:val="18"/>
          <w:szCs w:val="18"/>
          <w:rtl/>
        </w:rPr>
        <w:t>אם</w:t>
      </w:r>
      <w:r w:rsidRPr="00134039">
        <w:rPr>
          <w:rFonts w:cs="Arial"/>
          <w:sz w:val="18"/>
          <w:szCs w:val="18"/>
          <w:rtl/>
        </w:rPr>
        <w:t xml:space="preserve"> </w:t>
      </w:r>
      <w:r w:rsidRPr="00134039">
        <w:rPr>
          <w:rFonts w:cs="Arial" w:hint="cs"/>
          <w:sz w:val="18"/>
          <w:szCs w:val="18"/>
          <w:rtl/>
        </w:rPr>
        <w:t>מצאה</w:t>
      </w:r>
      <w:r w:rsidRPr="00134039">
        <w:rPr>
          <w:rFonts w:cs="Arial"/>
          <w:sz w:val="18"/>
          <w:szCs w:val="18"/>
          <w:rtl/>
        </w:rPr>
        <w:t xml:space="preserve"> </w:t>
      </w:r>
      <w:r w:rsidRPr="00134039">
        <w:rPr>
          <w:rFonts w:cs="Arial" w:hint="cs"/>
          <w:sz w:val="18"/>
          <w:szCs w:val="18"/>
          <w:rtl/>
        </w:rPr>
        <w:t>ג</w:t>
      </w:r>
      <w:r w:rsidRPr="00134039">
        <w:rPr>
          <w:rFonts w:cs="Arial"/>
          <w:sz w:val="18"/>
          <w:szCs w:val="18"/>
          <w:rtl/>
        </w:rPr>
        <w:t xml:space="preserve">' </w:t>
      </w:r>
      <w:r w:rsidRPr="00134039">
        <w:rPr>
          <w:rFonts w:cs="Arial" w:hint="cs"/>
          <w:sz w:val="18"/>
          <w:szCs w:val="18"/>
          <w:rtl/>
        </w:rPr>
        <w:t>פעמים</w:t>
      </w:r>
      <w:r w:rsidRPr="00134039">
        <w:rPr>
          <w:rFonts w:cs="Arial"/>
          <w:sz w:val="18"/>
          <w:szCs w:val="18"/>
          <w:rtl/>
        </w:rPr>
        <w:t xml:space="preserve"> </w:t>
      </w:r>
      <w:r w:rsidRPr="00134039">
        <w:rPr>
          <w:rFonts w:cs="Arial" w:hint="cs"/>
          <w:sz w:val="18"/>
          <w:szCs w:val="18"/>
          <w:rtl/>
        </w:rPr>
        <w:t>דם</w:t>
      </w:r>
      <w:r w:rsidRPr="00134039">
        <w:rPr>
          <w:rFonts w:cs="Arial"/>
          <w:sz w:val="18"/>
          <w:szCs w:val="18"/>
          <w:rtl/>
        </w:rPr>
        <w:t xml:space="preserve"> </w:t>
      </w:r>
      <w:r w:rsidRPr="00134039">
        <w:rPr>
          <w:rFonts w:cs="Arial" w:hint="cs"/>
          <w:sz w:val="18"/>
          <w:szCs w:val="18"/>
          <w:rtl/>
        </w:rPr>
        <w:t>על</w:t>
      </w:r>
      <w:r w:rsidRPr="00134039">
        <w:rPr>
          <w:rFonts w:cs="Arial"/>
          <w:sz w:val="18"/>
          <w:szCs w:val="18"/>
          <w:rtl/>
        </w:rPr>
        <w:t xml:space="preserve"> </w:t>
      </w:r>
      <w:r w:rsidRPr="00134039">
        <w:rPr>
          <w:rFonts w:cs="Arial" w:hint="cs"/>
          <w:sz w:val="18"/>
          <w:szCs w:val="18"/>
          <w:rtl/>
        </w:rPr>
        <w:t>עד</w:t>
      </w:r>
      <w:r w:rsidRPr="00134039">
        <w:rPr>
          <w:rFonts w:cs="Arial"/>
          <w:sz w:val="18"/>
          <w:szCs w:val="18"/>
          <w:rtl/>
        </w:rPr>
        <w:t xml:space="preserve"> </w:t>
      </w:r>
      <w:r w:rsidRPr="00134039">
        <w:rPr>
          <w:rFonts w:cs="Arial" w:hint="cs"/>
          <w:sz w:val="18"/>
          <w:szCs w:val="18"/>
          <w:rtl/>
        </w:rPr>
        <w:t>שלו</w:t>
      </w:r>
      <w:r>
        <w:rPr>
          <w:rStyle w:val="a5"/>
          <w:rFonts w:cs="Arial"/>
          <w:sz w:val="18"/>
          <w:szCs w:val="18"/>
          <w:rtl/>
        </w:rPr>
        <w:footnoteReference w:id="90"/>
      </w:r>
      <w:r w:rsidRPr="00134039">
        <w:rPr>
          <w:rFonts w:cs="Arial"/>
          <w:sz w:val="20"/>
          <w:szCs w:val="20"/>
          <w:rtl/>
        </w:rPr>
        <w:t>)</w:t>
      </w:r>
      <w:r>
        <w:rPr>
          <w:rFonts w:cs="Arial" w:hint="cs"/>
          <w:sz w:val="20"/>
          <w:szCs w:val="20"/>
          <w:rtl/>
        </w:rPr>
        <w:t>,</w:t>
      </w:r>
      <w:r w:rsidRPr="00134039">
        <w:rPr>
          <w:rFonts w:cs="Arial"/>
          <w:sz w:val="20"/>
          <w:szCs w:val="20"/>
          <w:rtl/>
        </w:rPr>
        <w:t xml:space="preserve"> </w:t>
      </w:r>
      <w:r w:rsidRPr="00134039">
        <w:rPr>
          <w:rFonts w:cs="Arial" w:hint="cs"/>
          <w:sz w:val="20"/>
          <w:szCs w:val="20"/>
          <w:rtl/>
        </w:rPr>
        <w:t>אסורה</w:t>
      </w:r>
      <w:r w:rsidRPr="00134039">
        <w:rPr>
          <w:rFonts w:cs="Arial"/>
          <w:sz w:val="20"/>
          <w:szCs w:val="20"/>
          <w:rtl/>
        </w:rPr>
        <w:t xml:space="preserve"> </w:t>
      </w:r>
      <w:r w:rsidRPr="00134039">
        <w:rPr>
          <w:rFonts w:cs="Arial" w:hint="cs"/>
          <w:sz w:val="20"/>
          <w:szCs w:val="20"/>
          <w:rtl/>
        </w:rPr>
        <w:t>לשמש</w:t>
      </w:r>
      <w:r w:rsidRPr="00134039">
        <w:rPr>
          <w:rFonts w:cs="Arial"/>
          <w:sz w:val="20"/>
          <w:szCs w:val="20"/>
          <w:rtl/>
        </w:rPr>
        <w:t xml:space="preserve"> </w:t>
      </w:r>
      <w:r w:rsidRPr="00134039">
        <w:rPr>
          <w:rFonts w:cs="Arial" w:hint="cs"/>
          <w:sz w:val="20"/>
          <w:szCs w:val="20"/>
          <w:rtl/>
        </w:rPr>
        <w:t>עם</w:t>
      </w:r>
      <w:r w:rsidRPr="00134039">
        <w:rPr>
          <w:rFonts w:cs="Arial"/>
          <w:sz w:val="20"/>
          <w:szCs w:val="20"/>
          <w:rtl/>
        </w:rPr>
        <w:t xml:space="preserve"> </w:t>
      </w:r>
      <w:r w:rsidRPr="00134039">
        <w:rPr>
          <w:rFonts w:cs="Arial" w:hint="cs"/>
          <w:sz w:val="20"/>
          <w:szCs w:val="20"/>
          <w:rtl/>
        </w:rPr>
        <w:t>בעל</w:t>
      </w:r>
      <w:r w:rsidRPr="00134039">
        <w:rPr>
          <w:rFonts w:cs="Arial"/>
          <w:sz w:val="20"/>
          <w:szCs w:val="20"/>
          <w:rtl/>
        </w:rPr>
        <w:t xml:space="preserve"> </w:t>
      </w:r>
      <w:r w:rsidRPr="00134039">
        <w:rPr>
          <w:rFonts w:cs="Arial" w:hint="cs"/>
          <w:sz w:val="20"/>
          <w:szCs w:val="20"/>
          <w:rtl/>
        </w:rPr>
        <w:t>זה</w:t>
      </w:r>
      <w:r w:rsidRPr="00134039">
        <w:rPr>
          <w:rFonts w:cs="Arial"/>
          <w:sz w:val="20"/>
          <w:szCs w:val="20"/>
          <w:rtl/>
        </w:rPr>
        <w:t xml:space="preserve">, </w:t>
      </w:r>
      <w:r w:rsidRPr="00134039">
        <w:rPr>
          <w:rFonts w:cs="Arial" w:hint="cs"/>
          <w:sz w:val="20"/>
          <w:szCs w:val="20"/>
          <w:rtl/>
        </w:rPr>
        <w:t>אלא</w:t>
      </w:r>
      <w:r w:rsidRPr="00134039">
        <w:rPr>
          <w:rFonts w:cs="Arial"/>
          <w:sz w:val="20"/>
          <w:szCs w:val="20"/>
          <w:rtl/>
        </w:rPr>
        <w:t xml:space="preserve"> </w:t>
      </w:r>
      <w:r w:rsidRPr="00134039">
        <w:rPr>
          <w:rFonts w:cs="Arial" w:hint="cs"/>
          <w:sz w:val="20"/>
          <w:szCs w:val="20"/>
          <w:rtl/>
        </w:rPr>
        <w:t>תתגרש</w:t>
      </w:r>
      <w:r w:rsidRPr="00134039">
        <w:rPr>
          <w:rFonts w:cs="Arial"/>
          <w:sz w:val="20"/>
          <w:szCs w:val="20"/>
          <w:rtl/>
        </w:rPr>
        <w:t xml:space="preserve"> </w:t>
      </w:r>
      <w:r w:rsidRPr="00134039">
        <w:rPr>
          <w:rFonts w:cs="Arial" w:hint="cs"/>
          <w:sz w:val="20"/>
          <w:szCs w:val="20"/>
          <w:rtl/>
        </w:rPr>
        <w:t>ות</w:t>
      </w:r>
      <w:r>
        <w:rPr>
          <w:rFonts w:cs="Arial" w:hint="cs"/>
          <w:sz w:val="20"/>
          <w:szCs w:val="20"/>
          <w:rtl/>
        </w:rPr>
        <w:t>י</w:t>
      </w:r>
      <w:r w:rsidRPr="00134039">
        <w:rPr>
          <w:rFonts w:cs="Arial" w:hint="cs"/>
          <w:sz w:val="20"/>
          <w:szCs w:val="20"/>
          <w:rtl/>
        </w:rPr>
        <w:t>נשא</w:t>
      </w:r>
      <w:r w:rsidRPr="00134039">
        <w:rPr>
          <w:rFonts w:cs="Arial"/>
          <w:sz w:val="20"/>
          <w:szCs w:val="20"/>
          <w:rtl/>
        </w:rPr>
        <w:t xml:space="preserve"> </w:t>
      </w:r>
      <w:r w:rsidRPr="00134039">
        <w:rPr>
          <w:rFonts w:cs="Arial" w:hint="cs"/>
          <w:sz w:val="20"/>
          <w:szCs w:val="20"/>
          <w:rtl/>
        </w:rPr>
        <w:t>לאחר</w:t>
      </w:r>
      <w:r w:rsidRPr="00134039">
        <w:rPr>
          <w:rFonts w:cs="Arial"/>
          <w:sz w:val="20"/>
          <w:szCs w:val="20"/>
          <w:rtl/>
        </w:rPr>
        <w:t xml:space="preserve">. </w:t>
      </w:r>
      <w:r w:rsidRPr="00134039">
        <w:rPr>
          <w:rFonts w:cs="Arial" w:hint="cs"/>
          <w:sz w:val="20"/>
          <w:szCs w:val="20"/>
          <w:rtl/>
        </w:rPr>
        <w:t>נשאת</w:t>
      </w:r>
      <w:r w:rsidRPr="00134039">
        <w:rPr>
          <w:rFonts w:cs="Arial"/>
          <w:sz w:val="20"/>
          <w:szCs w:val="20"/>
          <w:rtl/>
        </w:rPr>
        <w:t xml:space="preserve"> </w:t>
      </w:r>
      <w:r w:rsidRPr="00134039">
        <w:rPr>
          <w:rFonts w:cs="Arial" w:hint="cs"/>
          <w:sz w:val="20"/>
          <w:szCs w:val="20"/>
          <w:rtl/>
        </w:rPr>
        <w:t>לאחר</w:t>
      </w:r>
      <w:r w:rsidRPr="00134039">
        <w:rPr>
          <w:rFonts w:cs="Arial"/>
          <w:sz w:val="20"/>
          <w:szCs w:val="20"/>
          <w:rtl/>
        </w:rPr>
        <w:t xml:space="preserve">, </w:t>
      </w:r>
      <w:r w:rsidRPr="00134039">
        <w:rPr>
          <w:rFonts w:cs="Arial" w:hint="cs"/>
          <w:sz w:val="20"/>
          <w:szCs w:val="20"/>
          <w:rtl/>
        </w:rPr>
        <w:t>וראתה</w:t>
      </w:r>
      <w:r w:rsidRPr="00134039">
        <w:rPr>
          <w:rFonts w:cs="Arial"/>
          <w:sz w:val="20"/>
          <w:szCs w:val="20"/>
          <w:rtl/>
        </w:rPr>
        <w:t xml:space="preserve"> </w:t>
      </w:r>
      <w:r w:rsidRPr="00134039">
        <w:rPr>
          <w:rFonts w:cs="Arial" w:hint="cs"/>
          <w:sz w:val="20"/>
          <w:szCs w:val="20"/>
          <w:rtl/>
        </w:rPr>
        <w:t>דם</w:t>
      </w:r>
      <w:r w:rsidRPr="00134039">
        <w:rPr>
          <w:rFonts w:cs="Arial"/>
          <w:sz w:val="20"/>
          <w:szCs w:val="20"/>
          <w:rtl/>
        </w:rPr>
        <w:t xml:space="preserve"> </w:t>
      </w:r>
      <w:r w:rsidRPr="00134039">
        <w:rPr>
          <w:rFonts w:cs="Arial" w:hint="cs"/>
          <w:sz w:val="20"/>
          <w:szCs w:val="20"/>
          <w:rtl/>
        </w:rPr>
        <w:t>מחמת</w:t>
      </w:r>
      <w:r w:rsidRPr="00134039">
        <w:rPr>
          <w:rFonts w:cs="Arial"/>
          <w:sz w:val="20"/>
          <w:szCs w:val="20"/>
          <w:rtl/>
        </w:rPr>
        <w:t xml:space="preserve"> </w:t>
      </w:r>
      <w:r w:rsidRPr="00134039">
        <w:rPr>
          <w:rFonts w:cs="Arial" w:hint="cs"/>
          <w:sz w:val="20"/>
          <w:szCs w:val="20"/>
          <w:rtl/>
        </w:rPr>
        <w:t>תשמיש</w:t>
      </w:r>
      <w:r w:rsidRPr="00134039">
        <w:rPr>
          <w:rFonts w:cs="Arial"/>
          <w:sz w:val="20"/>
          <w:szCs w:val="20"/>
          <w:rtl/>
        </w:rPr>
        <w:t xml:space="preserve"> </w:t>
      </w:r>
      <w:r w:rsidRPr="00134039">
        <w:rPr>
          <w:rFonts w:cs="Arial" w:hint="cs"/>
          <w:sz w:val="20"/>
          <w:szCs w:val="20"/>
          <w:rtl/>
        </w:rPr>
        <w:t>ג</w:t>
      </w:r>
      <w:r w:rsidRPr="00134039">
        <w:rPr>
          <w:rFonts w:cs="Arial"/>
          <w:sz w:val="20"/>
          <w:szCs w:val="20"/>
          <w:rtl/>
        </w:rPr>
        <w:t xml:space="preserve">' </w:t>
      </w:r>
      <w:r w:rsidRPr="00134039">
        <w:rPr>
          <w:rFonts w:cs="Arial" w:hint="cs"/>
          <w:sz w:val="20"/>
          <w:szCs w:val="20"/>
          <w:rtl/>
        </w:rPr>
        <w:t>פעמים</w:t>
      </w:r>
      <w:r w:rsidRPr="00134039">
        <w:rPr>
          <w:rFonts w:cs="Arial"/>
          <w:sz w:val="20"/>
          <w:szCs w:val="20"/>
          <w:rtl/>
        </w:rPr>
        <w:t xml:space="preserve"> </w:t>
      </w:r>
      <w:r w:rsidRPr="00134039">
        <w:rPr>
          <w:rFonts w:cs="Arial" w:hint="cs"/>
          <w:sz w:val="20"/>
          <w:szCs w:val="20"/>
          <w:rtl/>
        </w:rPr>
        <w:t>רצופים</w:t>
      </w:r>
      <w:r w:rsidRPr="00134039">
        <w:rPr>
          <w:rFonts w:cs="Arial"/>
          <w:sz w:val="20"/>
          <w:szCs w:val="20"/>
          <w:rtl/>
        </w:rPr>
        <w:t xml:space="preserve">, </w:t>
      </w:r>
      <w:r w:rsidRPr="00134039">
        <w:rPr>
          <w:rFonts w:cs="Arial" w:hint="cs"/>
          <w:sz w:val="20"/>
          <w:szCs w:val="20"/>
          <w:rtl/>
        </w:rPr>
        <w:t>אסורה</w:t>
      </w:r>
      <w:r w:rsidRPr="00134039">
        <w:rPr>
          <w:rFonts w:cs="Arial"/>
          <w:sz w:val="20"/>
          <w:szCs w:val="20"/>
          <w:rtl/>
        </w:rPr>
        <w:t xml:space="preserve"> </w:t>
      </w:r>
      <w:r w:rsidRPr="00134039">
        <w:rPr>
          <w:rFonts w:cs="Arial" w:hint="cs"/>
          <w:sz w:val="20"/>
          <w:szCs w:val="20"/>
          <w:rtl/>
        </w:rPr>
        <w:t>לשמש</w:t>
      </w:r>
      <w:r w:rsidRPr="00134039">
        <w:rPr>
          <w:rFonts w:cs="Arial"/>
          <w:sz w:val="20"/>
          <w:szCs w:val="20"/>
          <w:rtl/>
        </w:rPr>
        <w:t xml:space="preserve"> </w:t>
      </w:r>
      <w:r w:rsidRPr="00134039">
        <w:rPr>
          <w:rFonts w:cs="Arial" w:hint="cs"/>
          <w:sz w:val="20"/>
          <w:szCs w:val="20"/>
          <w:rtl/>
        </w:rPr>
        <w:t>גם</w:t>
      </w:r>
      <w:r w:rsidRPr="00134039">
        <w:rPr>
          <w:rFonts w:cs="Arial"/>
          <w:sz w:val="20"/>
          <w:szCs w:val="20"/>
          <w:rtl/>
        </w:rPr>
        <w:t xml:space="preserve"> </w:t>
      </w:r>
      <w:r w:rsidRPr="00134039">
        <w:rPr>
          <w:rFonts w:cs="Arial" w:hint="cs"/>
          <w:sz w:val="20"/>
          <w:szCs w:val="20"/>
          <w:rtl/>
        </w:rPr>
        <w:t>עם</w:t>
      </w:r>
      <w:r w:rsidRPr="00134039">
        <w:rPr>
          <w:rFonts w:cs="Arial"/>
          <w:sz w:val="20"/>
          <w:szCs w:val="20"/>
          <w:rtl/>
        </w:rPr>
        <w:t xml:space="preserve"> </w:t>
      </w:r>
      <w:r w:rsidRPr="00134039">
        <w:rPr>
          <w:rFonts w:cs="Arial" w:hint="cs"/>
          <w:sz w:val="20"/>
          <w:szCs w:val="20"/>
          <w:rtl/>
        </w:rPr>
        <w:t>אותו</w:t>
      </w:r>
      <w:r w:rsidRPr="00134039">
        <w:rPr>
          <w:rFonts w:cs="Arial"/>
          <w:sz w:val="20"/>
          <w:szCs w:val="20"/>
          <w:rtl/>
        </w:rPr>
        <w:t xml:space="preserve"> </w:t>
      </w:r>
      <w:r w:rsidRPr="00134039">
        <w:rPr>
          <w:rFonts w:cs="Arial" w:hint="cs"/>
          <w:sz w:val="20"/>
          <w:szCs w:val="20"/>
          <w:rtl/>
        </w:rPr>
        <w:t>בעל</w:t>
      </w:r>
      <w:r w:rsidRPr="00134039">
        <w:rPr>
          <w:rFonts w:cs="Arial"/>
          <w:sz w:val="20"/>
          <w:szCs w:val="20"/>
          <w:rtl/>
        </w:rPr>
        <w:t xml:space="preserve">, </w:t>
      </w:r>
      <w:r w:rsidRPr="00134039">
        <w:rPr>
          <w:rFonts w:cs="Arial" w:hint="cs"/>
          <w:sz w:val="20"/>
          <w:szCs w:val="20"/>
          <w:rtl/>
        </w:rPr>
        <w:t>אלא</w:t>
      </w:r>
      <w:r w:rsidRPr="00134039">
        <w:rPr>
          <w:rFonts w:cs="Arial"/>
          <w:sz w:val="20"/>
          <w:szCs w:val="20"/>
          <w:rtl/>
        </w:rPr>
        <w:t xml:space="preserve"> </w:t>
      </w:r>
      <w:r w:rsidRPr="00134039">
        <w:rPr>
          <w:rFonts w:cs="Arial" w:hint="cs"/>
          <w:sz w:val="20"/>
          <w:szCs w:val="20"/>
          <w:rtl/>
        </w:rPr>
        <w:t>תתגרש</w:t>
      </w:r>
      <w:r w:rsidRPr="00134039">
        <w:rPr>
          <w:rFonts w:cs="Arial"/>
          <w:sz w:val="20"/>
          <w:szCs w:val="20"/>
          <w:rtl/>
        </w:rPr>
        <w:t xml:space="preserve"> </w:t>
      </w:r>
      <w:r w:rsidRPr="00134039">
        <w:rPr>
          <w:rFonts w:cs="Arial" w:hint="cs"/>
          <w:sz w:val="20"/>
          <w:szCs w:val="20"/>
          <w:rtl/>
        </w:rPr>
        <w:t>ות</w:t>
      </w:r>
      <w:r>
        <w:rPr>
          <w:rFonts w:cs="Arial" w:hint="cs"/>
          <w:sz w:val="20"/>
          <w:szCs w:val="20"/>
          <w:rtl/>
        </w:rPr>
        <w:t>י</w:t>
      </w:r>
      <w:r w:rsidRPr="00134039">
        <w:rPr>
          <w:rFonts w:cs="Arial" w:hint="cs"/>
          <w:sz w:val="20"/>
          <w:szCs w:val="20"/>
          <w:rtl/>
        </w:rPr>
        <w:t>נשא</w:t>
      </w:r>
      <w:r w:rsidRPr="00134039">
        <w:rPr>
          <w:rFonts w:cs="Arial"/>
          <w:sz w:val="20"/>
          <w:szCs w:val="20"/>
          <w:rtl/>
        </w:rPr>
        <w:t xml:space="preserve"> </w:t>
      </w:r>
      <w:r w:rsidRPr="00134039">
        <w:rPr>
          <w:rFonts w:cs="Arial" w:hint="cs"/>
          <w:sz w:val="20"/>
          <w:szCs w:val="20"/>
          <w:rtl/>
        </w:rPr>
        <w:t>לשלישי</w:t>
      </w:r>
      <w:r w:rsidRPr="00134039">
        <w:rPr>
          <w:rFonts w:cs="Arial"/>
          <w:sz w:val="20"/>
          <w:szCs w:val="20"/>
          <w:rtl/>
        </w:rPr>
        <w:t xml:space="preserve">. </w:t>
      </w:r>
      <w:r w:rsidRPr="00134039">
        <w:rPr>
          <w:rFonts w:cs="Arial" w:hint="cs"/>
          <w:sz w:val="20"/>
          <w:szCs w:val="20"/>
          <w:rtl/>
        </w:rPr>
        <w:t>ואם</w:t>
      </w:r>
      <w:r w:rsidRPr="00134039">
        <w:rPr>
          <w:rFonts w:cs="Arial"/>
          <w:sz w:val="20"/>
          <w:szCs w:val="20"/>
          <w:rtl/>
        </w:rPr>
        <w:t xml:space="preserve"> </w:t>
      </w:r>
      <w:r w:rsidRPr="00134039">
        <w:rPr>
          <w:rFonts w:cs="Arial" w:hint="cs"/>
          <w:sz w:val="20"/>
          <w:szCs w:val="20"/>
          <w:rtl/>
        </w:rPr>
        <w:t>גם</w:t>
      </w:r>
      <w:r w:rsidRPr="00134039">
        <w:rPr>
          <w:rFonts w:cs="Arial"/>
          <w:sz w:val="20"/>
          <w:szCs w:val="20"/>
          <w:rtl/>
        </w:rPr>
        <w:t xml:space="preserve"> </w:t>
      </w:r>
      <w:r w:rsidRPr="00134039">
        <w:rPr>
          <w:rFonts w:cs="Arial" w:hint="cs"/>
          <w:sz w:val="20"/>
          <w:szCs w:val="20"/>
          <w:rtl/>
        </w:rPr>
        <w:t>עם</w:t>
      </w:r>
      <w:r w:rsidRPr="00134039">
        <w:rPr>
          <w:rFonts w:cs="Arial"/>
          <w:sz w:val="20"/>
          <w:szCs w:val="20"/>
          <w:rtl/>
        </w:rPr>
        <w:t xml:space="preserve"> </w:t>
      </w:r>
      <w:r w:rsidRPr="00134039">
        <w:rPr>
          <w:rFonts w:cs="Arial" w:hint="cs"/>
          <w:sz w:val="20"/>
          <w:szCs w:val="20"/>
          <w:rtl/>
        </w:rPr>
        <w:t>השלישי</w:t>
      </w:r>
      <w:r w:rsidRPr="00134039">
        <w:rPr>
          <w:rFonts w:cs="Arial"/>
          <w:sz w:val="20"/>
          <w:szCs w:val="20"/>
          <w:rtl/>
        </w:rPr>
        <w:t xml:space="preserve"> </w:t>
      </w:r>
      <w:r w:rsidRPr="00134039">
        <w:rPr>
          <w:rFonts w:cs="Arial" w:hint="cs"/>
          <w:sz w:val="20"/>
          <w:szCs w:val="20"/>
          <w:rtl/>
        </w:rPr>
        <w:t>ראתה</w:t>
      </w:r>
      <w:r w:rsidRPr="00134039">
        <w:rPr>
          <w:rFonts w:cs="Arial"/>
          <w:sz w:val="20"/>
          <w:szCs w:val="20"/>
          <w:rtl/>
        </w:rPr>
        <w:t xml:space="preserve"> </w:t>
      </w:r>
      <w:r w:rsidRPr="00134039">
        <w:rPr>
          <w:rFonts w:cs="Arial" w:hint="cs"/>
          <w:sz w:val="20"/>
          <w:szCs w:val="20"/>
          <w:rtl/>
        </w:rPr>
        <w:t>דם</w:t>
      </w:r>
      <w:r w:rsidRPr="00134039">
        <w:rPr>
          <w:rFonts w:cs="Arial"/>
          <w:sz w:val="20"/>
          <w:szCs w:val="20"/>
          <w:rtl/>
        </w:rPr>
        <w:t xml:space="preserve"> </w:t>
      </w:r>
      <w:r w:rsidRPr="00134039">
        <w:rPr>
          <w:rFonts w:cs="Arial" w:hint="cs"/>
          <w:sz w:val="20"/>
          <w:szCs w:val="20"/>
          <w:rtl/>
        </w:rPr>
        <w:t>מחמת</w:t>
      </w:r>
      <w:r w:rsidRPr="00134039">
        <w:rPr>
          <w:rFonts w:cs="Arial"/>
          <w:sz w:val="20"/>
          <w:szCs w:val="20"/>
          <w:rtl/>
        </w:rPr>
        <w:t xml:space="preserve"> </w:t>
      </w:r>
      <w:r w:rsidRPr="00134039">
        <w:rPr>
          <w:rFonts w:cs="Arial" w:hint="cs"/>
          <w:sz w:val="20"/>
          <w:szCs w:val="20"/>
          <w:rtl/>
        </w:rPr>
        <w:t>תשמיש</w:t>
      </w:r>
      <w:r w:rsidRPr="00134039">
        <w:rPr>
          <w:rFonts w:cs="Arial"/>
          <w:sz w:val="20"/>
          <w:szCs w:val="20"/>
          <w:rtl/>
        </w:rPr>
        <w:t xml:space="preserve"> </w:t>
      </w:r>
      <w:r w:rsidRPr="00F62E32">
        <w:rPr>
          <w:rFonts w:cs="Arial" w:hint="cs"/>
          <w:sz w:val="20"/>
          <w:szCs w:val="20"/>
          <w:rtl/>
        </w:rPr>
        <w:t>ג</w:t>
      </w:r>
      <w:r w:rsidRPr="00F62E32">
        <w:rPr>
          <w:rFonts w:cs="Arial"/>
          <w:sz w:val="20"/>
          <w:szCs w:val="20"/>
          <w:rtl/>
        </w:rPr>
        <w:t xml:space="preserve">' </w:t>
      </w:r>
      <w:r w:rsidRPr="00F62E32">
        <w:rPr>
          <w:rFonts w:cs="Arial" w:hint="cs"/>
          <w:sz w:val="20"/>
          <w:szCs w:val="20"/>
          <w:rtl/>
        </w:rPr>
        <w:t>פעמים</w:t>
      </w:r>
      <w:r w:rsidRPr="00F62E32">
        <w:rPr>
          <w:rFonts w:cs="Arial"/>
          <w:sz w:val="20"/>
          <w:szCs w:val="20"/>
          <w:rtl/>
        </w:rPr>
        <w:t xml:space="preserve"> </w:t>
      </w:r>
      <w:r w:rsidRPr="00134039">
        <w:rPr>
          <w:rFonts w:cs="Arial" w:hint="cs"/>
          <w:sz w:val="20"/>
          <w:szCs w:val="20"/>
          <w:rtl/>
        </w:rPr>
        <w:t>רצופים</w:t>
      </w:r>
      <w:r w:rsidRPr="00134039">
        <w:rPr>
          <w:rFonts w:cs="Arial"/>
          <w:sz w:val="20"/>
          <w:szCs w:val="20"/>
          <w:rtl/>
        </w:rPr>
        <w:t xml:space="preserve">, </w:t>
      </w:r>
      <w:r w:rsidRPr="00134039">
        <w:rPr>
          <w:rFonts w:cs="Arial" w:hint="cs"/>
          <w:sz w:val="20"/>
          <w:szCs w:val="20"/>
          <w:rtl/>
        </w:rPr>
        <w:t>לא</w:t>
      </w:r>
      <w:r w:rsidRPr="00134039">
        <w:rPr>
          <w:rFonts w:cs="Arial"/>
          <w:sz w:val="20"/>
          <w:szCs w:val="20"/>
          <w:rtl/>
        </w:rPr>
        <w:t xml:space="preserve"> </w:t>
      </w:r>
      <w:r w:rsidRPr="00134039">
        <w:rPr>
          <w:rFonts w:cs="Arial" w:hint="cs"/>
          <w:sz w:val="20"/>
          <w:szCs w:val="20"/>
          <w:rtl/>
        </w:rPr>
        <w:t>ת</w:t>
      </w:r>
      <w:r>
        <w:rPr>
          <w:rFonts w:cs="Arial" w:hint="cs"/>
          <w:sz w:val="20"/>
          <w:szCs w:val="20"/>
          <w:rtl/>
        </w:rPr>
        <w:t>י</w:t>
      </w:r>
      <w:r w:rsidRPr="00134039">
        <w:rPr>
          <w:rFonts w:cs="Arial" w:hint="cs"/>
          <w:sz w:val="20"/>
          <w:szCs w:val="20"/>
          <w:rtl/>
        </w:rPr>
        <w:t>נשא</w:t>
      </w:r>
      <w:r w:rsidRPr="00134039">
        <w:rPr>
          <w:rFonts w:cs="Arial"/>
          <w:sz w:val="20"/>
          <w:szCs w:val="20"/>
          <w:rtl/>
        </w:rPr>
        <w:t xml:space="preserve"> </w:t>
      </w:r>
      <w:r w:rsidRPr="00134039">
        <w:rPr>
          <w:rFonts w:cs="Arial" w:hint="cs"/>
          <w:sz w:val="20"/>
          <w:szCs w:val="20"/>
          <w:rtl/>
        </w:rPr>
        <w:t>לאחר</w:t>
      </w:r>
      <w:r w:rsidRPr="00134039">
        <w:rPr>
          <w:rFonts w:cs="Arial"/>
          <w:sz w:val="20"/>
          <w:szCs w:val="20"/>
          <w:rtl/>
        </w:rPr>
        <w:t xml:space="preserve"> </w:t>
      </w:r>
      <w:r w:rsidRPr="00134039">
        <w:rPr>
          <w:rFonts w:cs="Arial" w:hint="cs"/>
          <w:sz w:val="20"/>
          <w:szCs w:val="20"/>
          <w:rtl/>
        </w:rPr>
        <w:t>אלא</w:t>
      </w:r>
      <w:r w:rsidRPr="00134039">
        <w:rPr>
          <w:rFonts w:cs="Arial"/>
          <w:sz w:val="20"/>
          <w:szCs w:val="20"/>
          <w:rtl/>
        </w:rPr>
        <w:t xml:space="preserve"> </w:t>
      </w:r>
      <w:r w:rsidRPr="00134039">
        <w:rPr>
          <w:rFonts w:cs="Arial" w:hint="cs"/>
          <w:sz w:val="20"/>
          <w:szCs w:val="20"/>
          <w:rtl/>
        </w:rPr>
        <w:t>אסורה</w:t>
      </w:r>
      <w:r w:rsidRPr="00134039">
        <w:rPr>
          <w:rFonts w:cs="Arial"/>
          <w:sz w:val="20"/>
          <w:szCs w:val="20"/>
          <w:rtl/>
        </w:rPr>
        <w:t xml:space="preserve"> </w:t>
      </w:r>
      <w:r w:rsidRPr="00134039">
        <w:rPr>
          <w:rFonts w:cs="Arial" w:hint="cs"/>
          <w:sz w:val="20"/>
          <w:szCs w:val="20"/>
          <w:rtl/>
        </w:rPr>
        <w:t>לכל</w:t>
      </w:r>
      <w:r w:rsidRPr="00134039">
        <w:rPr>
          <w:rFonts w:cs="Arial"/>
          <w:sz w:val="20"/>
          <w:szCs w:val="20"/>
          <w:rtl/>
        </w:rPr>
        <w:t xml:space="preserve"> </w:t>
      </w:r>
      <w:r w:rsidRPr="00134039">
        <w:rPr>
          <w:rFonts w:cs="Arial" w:hint="cs"/>
          <w:sz w:val="20"/>
          <w:szCs w:val="20"/>
          <w:rtl/>
        </w:rPr>
        <w:t>עד</w:t>
      </w:r>
      <w:r w:rsidRPr="00134039">
        <w:rPr>
          <w:rFonts w:cs="Arial"/>
          <w:sz w:val="20"/>
          <w:szCs w:val="20"/>
          <w:rtl/>
        </w:rPr>
        <w:t xml:space="preserve"> </w:t>
      </w:r>
      <w:r w:rsidRPr="00134039">
        <w:rPr>
          <w:rFonts w:cs="Arial" w:hint="cs"/>
          <w:sz w:val="20"/>
          <w:szCs w:val="20"/>
          <w:rtl/>
        </w:rPr>
        <w:t>שתבדוק</w:t>
      </w:r>
      <w:r w:rsidRPr="00134039">
        <w:rPr>
          <w:rFonts w:cs="Arial"/>
          <w:sz w:val="20"/>
          <w:szCs w:val="20"/>
          <w:rtl/>
        </w:rPr>
        <w:t xml:space="preserve">. </w:t>
      </w:r>
      <w:r>
        <w:rPr>
          <w:rFonts w:cs="Arial"/>
          <w:sz w:val="18"/>
          <w:szCs w:val="18"/>
          <w:rtl/>
        </w:rPr>
        <w:br/>
      </w:r>
      <w:r w:rsidRPr="00134039">
        <w:rPr>
          <w:rFonts w:cs="Arial" w:hint="cs"/>
          <w:sz w:val="18"/>
          <w:szCs w:val="18"/>
          <w:rtl/>
        </w:rPr>
        <w:t>הגה</w:t>
      </w:r>
      <w:r w:rsidRPr="00134039">
        <w:rPr>
          <w:rFonts w:cs="Arial"/>
          <w:sz w:val="18"/>
          <w:szCs w:val="18"/>
          <w:rtl/>
        </w:rPr>
        <w:t xml:space="preserve">: </w:t>
      </w:r>
      <w:r w:rsidRPr="00134039">
        <w:rPr>
          <w:rFonts w:cs="Arial" w:hint="cs"/>
          <w:sz w:val="18"/>
          <w:szCs w:val="18"/>
          <w:rtl/>
        </w:rPr>
        <w:t>וי</w:t>
      </w:r>
      <w:r>
        <w:rPr>
          <w:rFonts w:cs="Arial" w:hint="cs"/>
          <w:sz w:val="18"/>
          <w:szCs w:val="18"/>
          <w:rtl/>
        </w:rPr>
        <w:t>ש אומרים</w:t>
      </w:r>
      <w:r w:rsidRPr="00134039">
        <w:rPr>
          <w:rFonts w:cs="Arial"/>
          <w:sz w:val="18"/>
          <w:szCs w:val="18"/>
          <w:rtl/>
        </w:rPr>
        <w:t xml:space="preserve"> </w:t>
      </w:r>
      <w:r w:rsidRPr="00134039">
        <w:rPr>
          <w:rFonts w:cs="Arial" w:hint="cs"/>
          <w:sz w:val="18"/>
          <w:szCs w:val="18"/>
          <w:rtl/>
        </w:rPr>
        <w:t>שאין</w:t>
      </w:r>
      <w:r w:rsidRPr="00134039">
        <w:rPr>
          <w:rFonts w:cs="Arial"/>
          <w:sz w:val="18"/>
          <w:szCs w:val="18"/>
          <w:rtl/>
        </w:rPr>
        <w:t xml:space="preserve"> </w:t>
      </w:r>
      <w:r w:rsidRPr="00134039">
        <w:rPr>
          <w:rFonts w:cs="Arial" w:hint="cs"/>
          <w:sz w:val="18"/>
          <w:szCs w:val="18"/>
          <w:rtl/>
        </w:rPr>
        <w:t>אנו</w:t>
      </w:r>
      <w:r w:rsidRPr="00134039">
        <w:rPr>
          <w:rFonts w:cs="Arial"/>
          <w:sz w:val="18"/>
          <w:szCs w:val="18"/>
          <w:rtl/>
        </w:rPr>
        <w:t xml:space="preserve"> </w:t>
      </w:r>
      <w:r w:rsidRPr="00134039">
        <w:rPr>
          <w:rFonts w:cs="Arial" w:hint="cs"/>
          <w:sz w:val="18"/>
          <w:szCs w:val="18"/>
          <w:rtl/>
        </w:rPr>
        <w:t>בקיאין</w:t>
      </w:r>
      <w:r w:rsidRPr="00134039">
        <w:rPr>
          <w:rFonts w:cs="Arial"/>
          <w:sz w:val="18"/>
          <w:szCs w:val="18"/>
          <w:rtl/>
        </w:rPr>
        <w:t xml:space="preserve"> </w:t>
      </w:r>
      <w:r w:rsidRPr="00134039">
        <w:rPr>
          <w:rFonts w:cs="Arial" w:hint="cs"/>
          <w:sz w:val="18"/>
          <w:szCs w:val="18"/>
          <w:rtl/>
        </w:rPr>
        <w:t>איזה</w:t>
      </w:r>
      <w:r w:rsidRPr="00134039">
        <w:rPr>
          <w:rFonts w:cs="Arial"/>
          <w:sz w:val="18"/>
          <w:szCs w:val="18"/>
          <w:rtl/>
        </w:rPr>
        <w:t xml:space="preserve"> </w:t>
      </w:r>
      <w:r w:rsidRPr="00134039">
        <w:rPr>
          <w:rFonts w:cs="Arial" w:hint="cs"/>
          <w:sz w:val="18"/>
          <w:szCs w:val="18"/>
          <w:rtl/>
        </w:rPr>
        <w:t>מקרי</w:t>
      </w:r>
      <w:r w:rsidRPr="00134039">
        <w:rPr>
          <w:rFonts w:cs="Arial"/>
          <w:sz w:val="18"/>
          <w:szCs w:val="18"/>
          <w:rtl/>
        </w:rPr>
        <w:t xml:space="preserve"> </w:t>
      </w:r>
      <w:r w:rsidRPr="00134039">
        <w:rPr>
          <w:rFonts w:cs="Arial" w:hint="cs"/>
          <w:sz w:val="18"/>
          <w:szCs w:val="18"/>
          <w:rtl/>
        </w:rPr>
        <w:t>מחמת</w:t>
      </w:r>
      <w:r w:rsidRPr="00134039">
        <w:rPr>
          <w:rFonts w:cs="Arial"/>
          <w:sz w:val="18"/>
          <w:szCs w:val="18"/>
          <w:rtl/>
        </w:rPr>
        <w:t xml:space="preserve"> </w:t>
      </w:r>
      <w:r w:rsidRPr="00134039">
        <w:rPr>
          <w:rFonts w:cs="Arial" w:hint="cs"/>
          <w:sz w:val="18"/>
          <w:szCs w:val="18"/>
          <w:rtl/>
        </w:rPr>
        <w:t>תשמיש</w:t>
      </w:r>
      <w:r w:rsidRPr="00134039">
        <w:rPr>
          <w:rFonts w:cs="Arial"/>
          <w:sz w:val="18"/>
          <w:szCs w:val="18"/>
          <w:rtl/>
        </w:rPr>
        <w:t xml:space="preserve">, </w:t>
      </w:r>
      <w:r w:rsidRPr="00134039">
        <w:rPr>
          <w:rFonts w:cs="Arial" w:hint="cs"/>
          <w:sz w:val="18"/>
          <w:szCs w:val="18"/>
          <w:rtl/>
        </w:rPr>
        <w:t>כי</w:t>
      </w:r>
      <w:r w:rsidRPr="00134039">
        <w:rPr>
          <w:rFonts w:cs="Arial"/>
          <w:sz w:val="18"/>
          <w:szCs w:val="18"/>
          <w:rtl/>
        </w:rPr>
        <w:t xml:space="preserve"> </w:t>
      </w:r>
      <w:r w:rsidRPr="00134039">
        <w:rPr>
          <w:rFonts w:cs="Arial" w:hint="cs"/>
          <w:sz w:val="18"/>
          <w:szCs w:val="18"/>
          <w:rtl/>
        </w:rPr>
        <w:t>אין</w:t>
      </w:r>
      <w:r w:rsidRPr="00134039">
        <w:rPr>
          <w:rFonts w:cs="Arial"/>
          <w:sz w:val="18"/>
          <w:szCs w:val="18"/>
          <w:rtl/>
        </w:rPr>
        <w:t xml:space="preserve"> </w:t>
      </w:r>
      <w:r w:rsidRPr="00134039">
        <w:rPr>
          <w:rFonts w:cs="Arial" w:hint="cs"/>
          <w:sz w:val="18"/>
          <w:szCs w:val="18"/>
          <w:rtl/>
        </w:rPr>
        <w:t>בקיאין</w:t>
      </w:r>
      <w:r w:rsidRPr="00134039">
        <w:rPr>
          <w:rFonts w:cs="Arial"/>
          <w:sz w:val="18"/>
          <w:szCs w:val="18"/>
          <w:rtl/>
        </w:rPr>
        <w:t xml:space="preserve"> </w:t>
      </w:r>
      <w:r w:rsidRPr="00134039">
        <w:rPr>
          <w:rFonts w:cs="Arial" w:hint="cs"/>
          <w:sz w:val="18"/>
          <w:szCs w:val="18"/>
          <w:rtl/>
        </w:rPr>
        <w:t>בשיעור</w:t>
      </w:r>
      <w:r w:rsidRPr="00134039">
        <w:rPr>
          <w:rFonts w:cs="Arial"/>
          <w:sz w:val="18"/>
          <w:szCs w:val="18"/>
          <w:rtl/>
        </w:rPr>
        <w:t xml:space="preserve"> </w:t>
      </w:r>
      <w:r w:rsidRPr="00134039">
        <w:rPr>
          <w:rFonts w:cs="Arial" w:hint="cs"/>
          <w:sz w:val="18"/>
          <w:szCs w:val="18"/>
          <w:rtl/>
        </w:rPr>
        <w:t>הנזכר</w:t>
      </w:r>
      <w:r w:rsidRPr="00134039">
        <w:rPr>
          <w:rFonts w:cs="Arial"/>
          <w:sz w:val="18"/>
          <w:szCs w:val="18"/>
          <w:rtl/>
        </w:rPr>
        <w:t xml:space="preserve">, </w:t>
      </w:r>
      <w:r w:rsidRPr="00134039">
        <w:rPr>
          <w:rFonts w:cs="Arial" w:hint="cs"/>
          <w:sz w:val="18"/>
          <w:szCs w:val="18"/>
          <w:rtl/>
        </w:rPr>
        <w:t>ולכן</w:t>
      </w:r>
      <w:r w:rsidRPr="00134039">
        <w:rPr>
          <w:rFonts w:cs="Arial"/>
          <w:sz w:val="18"/>
          <w:szCs w:val="18"/>
          <w:rtl/>
        </w:rPr>
        <w:t xml:space="preserve"> </w:t>
      </w:r>
      <w:r w:rsidRPr="00134039">
        <w:rPr>
          <w:rFonts w:cs="Arial" w:hint="cs"/>
          <w:sz w:val="18"/>
          <w:szCs w:val="18"/>
          <w:rtl/>
        </w:rPr>
        <w:t>כל</w:t>
      </w:r>
      <w:r w:rsidRPr="00134039">
        <w:rPr>
          <w:rFonts w:cs="Arial"/>
          <w:sz w:val="18"/>
          <w:szCs w:val="18"/>
          <w:rtl/>
        </w:rPr>
        <w:t xml:space="preserve"> </w:t>
      </w:r>
      <w:r w:rsidRPr="00134039">
        <w:rPr>
          <w:rFonts w:cs="Arial" w:hint="cs"/>
          <w:sz w:val="18"/>
          <w:szCs w:val="18"/>
          <w:rtl/>
        </w:rPr>
        <w:t>שרואה</w:t>
      </w:r>
      <w:r w:rsidRPr="00134039">
        <w:rPr>
          <w:rFonts w:cs="Arial"/>
          <w:sz w:val="18"/>
          <w:szCs w:val="18"/>
          <w:rtl/>
        </w:rPr>
        <w:t xml:space="preserve"> </w:t>
      </w:r>
      <w:r w:rsidRPr="00134039">
        <w:rPr>
          <w:rFonts w:cs="Arial" w:hint="cs"/>
          <w:sz w:val="18"/>
          <w:szCs w:val="18"/>
          <w:rtl/>
        </w:rPr>
        <w:t>ג</w:t>
      </w:r>
      <w:r w:rsidRPr="00134039">
        <w:rPr>
          <w:rFonts w:cs="Arial"/>
          <w:sz w:val="18"/>
          <w:szCs w:val="18"/>
          <w:rtl/>
        </w:rPr>
        <w:t xml:space="preserve">' </w:t>
      </w:r>
      <w:r w:rsidRPr="00134039">
        <w:rPr>
          <w:rFonts w:cs="Arial" w:hint="cs"/>
          <w:sz w:val="18"/>
          <w:szCs w:val="18"/>
          <w:rtl/>
        </w:rPr>
        <w:t>פעמים</w:t>
      </w:r>
      <w:r w:rsidRPr="00134039">
        <w:rPr>
          <w:rFonts w:cs="Arial"/>
          <w:sz w:val="18"/>
          <w:szCs w:val="18"/>
          <w:rtl/>
        </w:rPr>
        <w:t xml:space="preserve"> </w:t>
      </w:r>
      <w:r w:rsidRPr="00134039">
        <w:rPr>
          <w:rFonts w:cs="Arial" w:hint="cs"/>
          <w:sz w:val="18"/>
          <w:szCs w:val="18"/>
          <w:rtl/>
        </w:rPr>
        <w:t>סמוך</w:t>
      </w:r>
      <w:r w:rsidRPr="00134039">
        <w:rPr>
          <w:rFonts w:cs="Arial"/>
          <w:sz w:val="18"/>
          <w:szCs w:val="18"/>
          <w:rtl/>
        </w:rPr>
        <w:t xml:space="preserve"> </w:t>
      </w:r>
      <w:r w:rsidRPr="00134039">
        <w:rPr>
          <w:rFonts w:cs="Arial" w:hint="cs"/>
          <w:sz w:val="18"/>
          <w:szCs w:val="18"/>
          <w:rtl/>
        </w:rPr>
        <w:t>לתשמיש</w:t>
      </w:r>
      <w:r w:rsidRPr="00134039">
        <w:rPr>
          <w:rFonts w:cs="Arial"/>
          <w:sz w:val="18"/>
          <w:szCs w:val="18"/>
          <w:rtl/>
        </w:rPr>
        <w:t xml:space="preserve"> </w:t>
      </w:r>
      <w:r w:rsidRPr="00134039">
        <w:rPr>
          <w:rFonts w:cs="Arial" w:hint="cs"/>
          <w:sz w:val="18"/>
          <w:szCs w:val="18"/>
          <w:rtl/>
        </w:rPr>
        <w:t>מקרי</w:t>
      </w:r>
      <w:r w:rsidRPr="00134039">
        <w:rPr>
          <w:rFonts w:cs="Arial"/>
          <w:sz w:val="18"/>
          <w:szCs w:val="18"/>
          <w:rtl/>
        </w:rPr>
        <w:t xml:space="preserve"> </w:t>
      </w:r>
      <w:r w:rsidRPr="00134039">
        <w:rPr>
          <w:rFonts w:cs="Arial" w:hint="cs"/>
          <w:sz w:val="18"/>
          <w:szCs w:val="18"/>
          <w:rtl/>
        </w:rPr>
        <w:t>לדידן</w:t>
      </w:r>
      <w:r w:rsidRPr="00134039">
        <w:rPr>
          <w:rFonts w:cs="Arial"/>
          <w:sz w:val="18"/>
          <w:szCs w:val="18"/>
          <w:rtl/>
        </w:rPr>
        <w:t xml:space="preserve"> </w:t>
      </w:r>
      <w:r w:rsidRPr="00134039">
        <w:rPr>
          <w:rFonts w:cs="Arial" w:hint="cs"/>
          <w:sz w:val="18"/>
          <w:szCs w:val="18"/>
          <w:rtl/>
        </w:rPr>
        <w:t>מחמת</w:t>
      </w:r>
      <w:r w:rsidRPr="00134039">
        <w:rPr>
          <w:rFonts w:cs="Arial"/>
          <w:sz w:val="18"/>
          <w:szCs w:val="18"/>
          <w:rtl/>
        </w:rPr>
        <w:t xml:space="preserve"> </w:t>
      </w:r>
      <w:r w:rsidRPr="00134039">
        <w:rPr>
          <w:rFonts w:cs="Arial" w:hint="cs"/>
          <w:sz w:val="18"/>
          <w:szCs w:val="18"/>
          <w:rtl/>
        </w:rPr>
        <w:t>תשמיש</w:t>
      </w:r>
      <w:r w:rsidRPr="00134039">
        <w:rPr>
          <w:rFonts w:cs="Arial"/>
          <w:sz w:val="18"/>
          <w:szCs w:val="18"/>
          <w:rtl/>
        </w:rPr>
        <w:t xml:space="preserve">, </w:t>
      </w:r>
      <w:r w:rsidRPr="00134039">
        <w:rPr>
          <w:rFonts w:cs="Arial" w:hint="cs"/>
          <w:sz w:val="18"/>
          <w:szCs w:val="18"/>
          <w:rtl/>
        </w:rPr>
        <w:t>ונאסרה</w:t>
      </w:r>
      <w:r w:rsidRPr="00134039">
        <w:rPr>
          <w:rFonts w:cs="Arial"/>
          <w:sz w:val="18"/>
          <w:szCs w:val="18"/>
          <w:rtl/>
        </w:rPr>
        <w:t xml:space="preserve"> </w:t>
      </w:r>
      <w:r w:rsidRPr="00134039">
        <w:rPr>
          <w:rFonts w:cs="Arial" w:hint="cs"/>
          <w:sz w:val="18"/>
          <w:szCs w:val="18"/>
          <w:rtl/>
        </w:rPr>
        <w:t>על</w:t>
      </w:r>
      <w:r w:rsidRPr="00134039">
        <w:rPr>
          <w:rFonts w:cs="Arial"/>
          <w:sz w:val="18"/>
          <w:szCs w:val="18"/>
          <w:rtl/>
        </w:rPr>
        <w:t xml:space="preserve"> </w:t>
      </w:r>
      <w:r w:rsidRPr="00134039">
        <w:rPr>
          <w:rFonts w:cs="Arial" w:hint="cs"/>
          <w:sz w:val="18"/>
          <w:szCs w:val="18"/>
          <w:rtl/>
        </w:rPr>
        <w:t>בעלה</w:t>
      </w:r>
      <w:r>
        <w:rPr>
          <w:rFonts w:cs="Arial"/>
          <w:sz w:val="18"/>
          <w:szCs w:val="18"/>
          <w:rtl/>
        </w:rPr>
        <w:t>.</w:t>
      </w:r>
      <w:r w:rsidRPr="00134039">
        <w:rPr>
          <w:rFonts w:cs="Arial"/>
          <w:sz w:val="18"/>
          <w:szCs w:val="18"/>
          <w:rtl/>
        </w:rPr>
        <w:t xml:space="preserve"> </w:t>
      </w:r>
      <w:r w:rsidRPr="00134039">
        <w:rPr>
          <w:rFonts w:cs="Arial" w:hint="cs"/>
          <w:sz w:val="18"/>
          <w:szCs w:val="18"/>
          <w:rtl/>
        </w:rPr>
        <w:t>ואלו</w:t>
      </w:r>
      <w:r w:rsidRPr="00134039">
        <w:rPr>
          <w:rFonts w:cs="Arial"/>
          <w:sz w:val="18"/>
          <w:szCs w:val="18"/>
          <w:rtl/>
        </w:rPr>
        <w:t xml:space="preserve"> </w:t>
      </w:r>
      <w:r w:rsidRPr="00134039">
        <w:rPr>
          <w:rFonts w:cs="Arial" w:hint="cs"/>
          <w:sz w:val="18"/>
          <w:szCs w:val="18"/>
          <w:rtl/>
        </w:rPr>
        <w:t>ג</w:t>
      </w:r>
      <w:r>
        <w:rPr>
          <w:rFonts w:cs="Arial" w:hint="cs"/>
          <w:sz w:val="18"/>
          <w:szCs w:val="18"/>
          <w:rtl/>
        </w:rPr>
        <w:t>' פעמים</w:t>
      </w:r>
      <w:r w:rsidRPr="00134039">
        <w:rPr>
          <w:rFonts w:cs="Arial"/>
          <w:sz w:val="18"/>
          <w:szCs w:val="18"/>
          <w:rtl/>
        </w:rPr>
        <w:t xml:space="preserve"> </w:t>
      </w:r>
      <w:r w:rsidRPr="00134039">
        <w:rPr>
          <w:rFonts w:cs="Arial" w:hint="cs"/>
          <w:sz w:val="18"/>
          <w:szCs w:val="18"/>
          <w:rtl/>
        </w:rPr>
        <w:t>צריכים</w:t>
      </w:r>
      <w:r w:rsidRPr="00134039">
        <w:rPr>
          <w:rFonts w:cs="Arial"/>
          <w:sz w:val="18"/>
          <w:szCs w:val="18"/>
          <w:rtl/>
        </w:rPr>
        <w:t xml:space="preserve"> </w:t>
      </w:r>
      <w:r w:rsidRPr="00134039">
        <w:rPr>
          <w:rFonts w:cs="Arial" w:hint="cs"/>
          <w:sz w:val="18"/>
          <w:szCs w:val="18"/>
          <w:rtl/>
        </w:rPr>
        <w:t>להיות</w:t>
      </w:r>
      <w:r w:rsidRPr="00134039">
        <w:rPr>
          <w:rFonts w:cs="Arial"/>
          <w:sz w:val="18"/>
          <w:szCs w:val="18"/>
          <w:rtl/>
        </w:rPr>
        <w:t xml:space="preserve"> </w:t>
      </w:r>
      <w:r w:rsidRPr="00134039">
        <w:rPr>
          <w:rFonts w:cs="Arial" w:hint="cs"/>
          <w:sz w:val="18"/>
          <w:szCs w:val="18"/>
          <w:rtl/>
        </w:rPr>
        <w:t>רצופים</w:t>
      </w:r>
      <w:r w:rsidRPr="00134039">
        <w:rPr>
          <w:rFonts w:cs="Arial"/>
          <w:sz w:val="18"/>
          <w:szCs w:val="18"/>
          <w:rtl/>
        </w:rPr>
        <w:t xml:space="preserve">, </w:t>
      </w:r>
      <w:r w:rsidRPr="00134039">
        <w:rPr>
          <w:rFonts w:cs="Arial" w:hint="cs"/>
          <w:sz w:val="18"/>
          <w:szCs w:val="18"/>
          <w:rtl/>
        </w:rPr>
        <w:t>אבל</w:t>
      </w:r>
      <w:r w:rsidRPr="00134039">
        <w:rPr>
          <w:rFonts w:cs="Arial"/>
          <w:sz w:val="18"/>
          <w:szCs w:val="18"/>
          <w:rtl/>
        </w:rPr>
        <w:t xml:space="preserve"> </w:t>
      </w:r>
      <w:r w:rsidRPr="00134039">
        <w:rPr>
          <w:rFonts w:cs="Arial" w:hint="cs"/>
          <w:sz w:val="18"/>
          <w:szCs w:val="18"/>
          <w:rtl/>
        </w:rPr>
        <w:t>אם</w:t>
      </w:r>
      <w:r w:rsidRPr="00134039">
        <w:rPr>
          <w:rFonts w:cs="Arial"/>
          <w:sz w:val="18"/>
          <w:szCs w:val="18"/>
          <w:rtl/>
        </w:rPr>
        <w:t xml:space="preserve"> </w:t>
      </w:r>
      <w:r w:rsidRPr="00134039">
        <w:rPr>
          <w:rFonts w:cs="Arial" w:hint="cs"/>
          <w:sz w:val="18"/>
          <w:szCs w:val="18"/>
          <w:rtl/>
        </w:rPr>
        <w:t>לא</w:t>
      </w:r>
      <w:r w:rsidRPr="00134039">
        <w:rPr>
          <w:rFonts w:cs="Arial"/>
          <w:sz w:val="18"/>
          <w:szCs w:val="18"/>
          <w:rtl/>
        </w:rPr>
        <w:t xml:space="preserve"> </w:t>
      </w:r>
      <w:r w:rsidRPr="00134039">
        <w:rPr>
          <w:rFonts w:cs="Arial" w:hint="cs"/>
          <w:sz w:val="18"/>
          <w:szCs w:val="18"/>
          <w:rtl/>
        </w:rPr>
        <w:t>היו</w:t>
      </w:r>
      <w:r w:rsidRPr="00134039">
        <w:rPr>
          <w:rFonts w:cs="Arial"/>
          <w:sz w:val="18"/>
          <w:szCs w:val="18"/>
          <w:rtl/>
        </w:rPr>
        <w:t xml:space="preserve"> </w:t>
      </w:r>
      <w:r w:rsidRPr="00134039">
        <w:rPr>
          <w:rFonts w:cs="Arial" w:hint="cs"/>
          <w:sz w:val="18"/>
          <w:szCs w:val="18"/>
          <w:rtl/>
        </w:rPr>
        <w:t>רצופים</w:t>
      </w:r>
      <w:r w:rsidRPr="00134039">
        <w:rPr>
          <w:rFonts w:cs="Arial"/>
          <w:sz w:val="18"/>
          <w:szCs w:val="18"/>
          <w:rtl/>
        </w:rPr>
        <w:t xml:space="preserve"> </w:t>
      </w:r>
      <w:r w:rsidRPr="00134039">
        <w:rPr>
          <w:rFonts w:cs="Arial" w:hint="cs"/>
          <w:sz w:val="18"/>
          <w:szCs w:val="18"/>
          <w:rtl/>
        </w:rPr>
        <w:t>לא</w:t>
      </w:r>
      <w:r w:rsidRPr="00134039">
        <w:rPr>
          <w:rFonts w:cs="Arial"/>
          <w:sz w:val="18"/>
          <w:szCs w:val="18"/>
          <w:rtl/>
        </w:rPr>
        <w:t xml:space="preserve"> </w:t>
      </w:r>
      <w:r w:rsidRPr="00134039">
        <w:rPr>
          <w:rFonts w:cs="Arial" w:hint="cs"/>
          <w:sz w:val="18"/>
          <w:szCs w:val="18"/>
          <w:rtl/>
        </w:rPr>
        <w:t>נאסרה</w:t>
      </w:r>
      <w:r w:rsidRPr="00134039">
        <w:rPr>
          <w:rFonts w:cs="Arial"/>
          <w:sz w:val="18"/>
          <w:szCs w:val="18"/>
          <w:rtl/>
        </w:rPr>
        <w:t xml:space="preserve"> </w:t>
      </w:r>
      <w:r w:rsidRPr="00134039">
        <w:rPr>
          <w:rFonts w:cs="Arial" w:hint="cs"/>
          <w:sz w:val="18"/>
          <w:szCs w:val="18"/>
          <w:rtl/>
        </w:rPr>
        <w:t>על</w:t>
      </w:r>
      <w:r w:rsidRPr="00134039">
        <w:rPr>
          <w:rFonts w:cs="Arial"/>
          <w:sz w:val="18"/>
          <w:szCs w:val="18"/>
          <w:rtl/>
        </w:rPr>
        <w:t xml:space="preserve"> </w:t>
      </w:r>
      <w:r w:rsidRPr="00134039">
        <w:rPr>
          <w:rFonts w:cs="Arial" w:hint="cs"/>
          <w:sz w:val="18"/>
          <w:szCs w:val="18"/>
          <w:rtl/>
        </w:rPr>
        <w:t>בעלה</w:t>
      </w:r>
      <w:r w:rsidRPr="00134039">
        <w:rPr>
          <w:rFonts w:cs="Arial"/>
          <w:sz w:val="18"/>
          <w:szCs w:val="18"/>
          <w:rtl/>
        </w:rPr>
        <w:t xml:space="preserve">. </w:t>
      </w:r>
      <w:r w:rsidRPr="00134039">
        <w:rPr>
          <w:rFonts w:cs="Arial" w:hint="cs"/>
          <w:sz w:val="18"/>
          <w:szCs w:val="18"/>
          <w:rtl/>
        </w:rPr>
        <w:t>ואין</w:t>
      </w:r>
      <w:r w:rsidRPr="00134039">
        <w:rPr>
          <w:rFonts w:cs="Arial"/>
          <w:sz w:val="18"/>
          <w:szCs w:val="18"/>
          <w:rtl/>
        </w:rPr>
        <w:t xml:space="preserve"> </w:t>
      </w:r>
      <w:r w:rsidRPr="00134039">
        <w:rPr>
          <w:rFonts w:cs="Arial" w:hint="cs"/>
          <w:sz w:val="18"/>
          <w:szCs w:val="18"/>
          <w:rtl/>
        </w:rPr>
        <w:t>חילוק</w:t>
      </w:r>
      <w:r w:rsidRPr="00134039">
        <w:rPr>
          <w:rFonts w:cs="Arial"/>
          <w:sz w:val="18"/>
          <w:szCs w:val="18"/>
          <w:rtl/>
        </w:rPr>
        <w:t xml:space="preserve"> </w:t>
      </w:r>
      <w:r w:rsidRPr="00134039">
        <w:rPr>
          <w:rFonts w:cs="Arial" w:hint="cs"/>
          <w:sz w:val="18"/>
          <w:szCs w:val="18"/>
          <w:rtl/>
        </w:rPr>
        <w:t>בין</w:t>
      </w:r>
      <w:r w:rsidRPr="00134039">
        <w:rPr>
          <w:rFonts w:cs="Arial"/>
          <w:sz w:val="18"/>
          <w:szCs w:val="18"/>
          <w:rtl/>
        </w:rPr>
        <w:t xml:space="preserve"> </w:t>
      </w:r>
      <w:r w:rsidRPr="00134039">
        <w:rPr>
          <w:rFonts w:cs="Arial" w:hint="cs"/>
          <w:sz w:val="18"/>
          <w:szCs w:val="18"/>
          <w:rtl/>
        </w:rPr>
        <w:t>אם</w:t>
      </w:r>
      <w:r w:rsidRPr="00134039">
        <w:rPr>
          <w:rFonts w:cs="Arial"/>
          <w:sz w:val="18"/>
          <w:szCs w:val="18"/>
          <w:rtl/>
        </w:rPr>
        <w:t xml:space="preserve"> </w:t>
      </w:r>
      <w:r w:rsidRPr="00134039">
        <w:rPr>
          <w:rFonts w:cs="Arial" w:hint="cs"/>
          <w:sz w:val="18"/>
          <w:szCs w:val="18"/>
          <w:rtl/>
        </w:rPr>
        <w:t>ראתה</w:t>
      </w:r>
      <w:r w:rsidRPr="00134039">
        <w:rPr>
          <w:rFonts w:cs="Arial"/>
          <w:sz w:val="18"/>
          <w:szCs w:val="18"/>
          <w:rtl/>
        </w:rPr>
        <w:t xml:space="preserve"> </w:t>
      </w:r>
      <w:r w:rsidRPr="00134039">
        <w:rPr>
          <w:rFonts w:cs="Arial" w:hint="cs"/>
          <w:sz w:val="18"/>
          <w:szCs w:val="18"/>
          <w:rtl/>
        </w:rPr>
        <w:t>ג</w:t>
      </w:r>
      <w:r w:rsidRPr="00134039">
        <w:rPr>
          <w:rFonts w:cs="Arial"/>
          <w:sz w:val="18"/>
          <w:szCs w:val="18"/>
          <w:rtl/>
        </w:rPr>
        <w:t xml:space="preserve">' </w:t>
      </w:r>
      <w:r w:rsidRPr="00134039">
        <w:rPr>
          <w:rFonts w:cs="Arial" w:hint="cs"/>
          <w:sz w:val="18"/>
          <w:szCs w:val="18"/>
          <w:rtl/>
        </w:rPr>
        <w:t>פעמים</w:t>
      </w:r>
      <w:r w:rsidRPr="00134039">
        <w:rPr>
          <w:rFonts w:cs="Arial"/>
          <w:sz w:val="18"/>
          <w:szCs w:val="18"/>
          <w:rtl/>
        </w:rPr>
        <w:t xml:space="preserve"> </w:t>
      </w:r>
      <w:r w:rsidRPr="00134039">
        <w:rPr>
          <w:rFonts w:cs="Arial" w:hint="cs"/>
          <w:sz w:val="18"/>
          <w:szCs w:val="18"/>
          <w:rtl/>
        </w:rPr>
        <w:t>מיד</w:t>
      </w:r>
      <w:r w:rsidRPr="00134039">
        <w:rPr>
          <w:rFonts w:cs="Arial"/>
          <w:sz w:val="18"/>
          <w:szCs w:val="18"/>
          <w:rtl/>
        </w:rPr>
        <w:t xml:space="preserve"> </w:t>
      </w:r>
      <w:r w:rsidRPr="00134039">
        <w:rPr>
          <w:rFonts w:cs="Arial" w:hint="cs"/>
          <w:sz w:val="18"/>
          <w:szCs w:val="18"/>
          <w:rtl/>
        </w:rPr>
        <w:t>שנשאה</w:t>
      </w:r>
      <w:r w:rsidRPr="00134039">
        <w:rPr>
          <w:rFonts w:cs="Arial"/>
          <w:sz w:val="18"/>
          <w:szCs w:val="18"/>
          <w:rtl/>
        </w:rPr>
        <w:t xml:space="preserve">, </w:t>
      </w:r>
      <w:r w:rsidRPr="00134039">
        <w:rPr>
          <w:rFonts w:cs="Arial" w:hint="cs"/>
          <w:sz w:val="18"/>
          <w:szCs w:val="18"/>
          <w:rtl/>
        </w:rPr>
        <w:t>ובין</w:t>
      </w:r>
      <w:r w:rsidRPr="00134039">
        <w:rPr>
          <w:rFonts w:cs="Arial"/>
          <w:sz w:val="18"/>
          <w:szCs w:val="18"/>
          <w:rtl/>
        </w:rPr>
        <w:t xml:space="preserve"> </w:t>
      </w:r>
      <w:r w:rsidRPr="00134039">
        <w:rPr>
          <w:rFonts w:cs="Arial" w:hint="cs"/>
          <w:sz w:val="18"/>
          <w:szCs w:val="18"/>
          <w:rtl/>
        </w:rPr>
        <w:t>נתקלקלה</w:t>
      </w:r>
      <w:r w:rsidRPr="00134039">
        <w:rPr>
          <w:rFonts w:cs="Arial"/>
          <w:sz w:val="18"/>
          <w:szCs w:val="18"/>
          <w:rtl/>
        </w:rPr>
        <w:t xml:space="preserve"> </w:t>
      </w:r>
      <w:r w:rsidRPr="00134039">
        <w:rPr>
          <w:rFonts w:cs="Arial" w:hint="cs"/>
          <w:sz w:val="18"/>
          <w:szCs w:val="18"/>
          <w:rtl/>
        </w:rPr>
        <w:t>אח</w:t>
      </w:r>
      <w:r>
        <w:rPr>
          <w:rFonts w:cs="Arial" w:hint="cs"/>
          <w:sz w:val="18"/>
          <w:szCs w:val="18"/>
          <w:rtl/>
        </w:rPr>
        <w:t xml:space="preserve">ר </w:t>
      </w:r>
      <w:r w:rsidRPr="00134039">
        <w:rPr>
          <w:rFonts w:cs="Arial" w:hint="cs"/>
          <w:sz w:val="18"/>
          <w:szCs w:val="18"/>
          <w:rtl/>
        </w:rPr>
        <w:t>כ</w:t>
      </w:r>
      <w:r>
        <w:rPr>
          <w:rFonts w:cs="Arial" w:hint="cs"/>
          <w:sz w:val="18"/>
          <w:szCs w:val="18"/>
          <w:rtl/>
        </w:rPr>
        <w:t>ך</w:t>
      </w:r>
      <w:r w:rsidRPr="00134039">
        <w:rPr>
          <w:rFonts w:cs="Arial"/>
          <w:sz w:val="18"/>
          <w:szCs w:val="18"/>
          <w:rtl/>
        </w:rPr>
        <w:t xml:space="preserve"> </w:t>
      </w:r>
      <w:r w:rsidRPr="00134039">
        <w:rPr>
          <w:rFonts w:cs="Arial" w:hint="cs"/>
          <w:sz w:val="18"/>
          <w:szCs w:val="18"/>
          <w:rtl/>
        </w:rPr>
        <w:t>וראתה</w:t>
      </w:r>
      <w:r w:rsidRPr="00134039">
        <w:rPr>
          <w:rFonts w:cs="Arial"/>
          <w:sz w:val="18"/>
          <w:szCs w:val="18"/>
          <w:rtl/>
        </w:rPr>
        <w:t xml:space="preserve"> </w:t>
      </w:r>
      <w:r w:rsidRPr="00134039">
        <w:rPr>
          <w:rFonts w:cs="Arial" w:hint="cs"/>
          <w:sz w:val="18"/>
          <w:szCs w:val="18"/>
          <w:rtl/>
        </w:rPr>
        <w:t>ג</w:t>
      </w:r>
      <w:r w:rsidRPr="00134039">
        <w:rPr>
          <w:rFonts w:cs="Arial"/>
          <w:sz w:val="18"/>
          <w:szCs w:val="18"/>
          <w:rtl/>
        </w:rPr>
        <w:t xml:space="preserve">' </w:t>
      </w:r>
      <w:r w:rsidRPr="00134039">
        <w:rPr>
          <w:rFonts w:cs="Arial" w:hint="cs"/>
          <w:sz w:val="18"/>
          <w:szCs w:val="18"/>
          <w:rtl/>
        </w:rPr>
        <w:t>פעמים</w:t>
      </w:r>
      <w:r w:rsidRPr="00134039">
        <w:rPr>
          <w:rFonts w:cs="Arial"/>
          <w:sz w:val="18"/>
          <w:szCs w:val="18"/>
          <w:rtl/>
        </w:rPr>
        <w:t xml:space="preserve">. </w:t>
      </w:r>
      <w:r w:rsidRPr="00134039">
        <w:rPr>
          <w:rFonts w:cs="Arial" w:hint="cs"/>
          <w:sz w:val="18"/>
          <w:szCs w:val="18"/>
          <w:rtl/>
        </w:rPr>
        <w:t>וכל</w:t>
      </w:r>
      <w:r w:rsidRPr="00134039">
        <w:rPr>
          <w:rFonts w:cs="Arial"/>
          <w:sz w:val="18"/>
          <w:szCs w:val="18"/>
          <w:rtl/>
        </w:rPr>
        <w:t xml:space="preserve"> </w:t>
      </w:r>
      <w:r w:rsidRPr="00134039">
        <w:rPr>
          <w:rFonts w:cs="Arial" w:hint="cs"/>
          <w:sz w:val="18"/>
          <w:szCs w:val="18"/>
          <w:rtl/>
        </w:rPr>
        <w:t>זה</w:t>
      </w:r>
      <w:r w:rsidRPr="00134039">
        <w:rPr>
          <w:rFonts w:cs="Arial"/>
          <w:sz w:val="18"/>
          <w:szCs w:val="18"/>
          <w:rtl/>
        </w:rPr>
        <w:t xml:space="preserve"> </w:t>
      </w:r>
      <w:r w:rsidRPr="00134039">
        <w:rPr>
          <w:rFonts w:cs="Arial" w:hint="cs"/>
          <w:sz w:val="18"/>
          <w:szCs w:val="18"/>
          <w:rtl/>
        </w:rPr>
        <w:t>לא</w:t>
      </w:r>
      <w:r w:rsidRPr="00134039">
        <w:rPr>
          <w:rFonts w:cs="Arial"/>
          <w:sz w:val="18"/>
          <w:szCs w:val="18"/>
          <w:rtl/>
        </w:rPr>
        <w:t xml:space="preserve"> </w:t>
      </w:r>
      <w:r w:rsidRPr="00134039">
        <w:rPr>
          <w:rFonts w:cs="Arial" w:hint="cs"/>
          <w:sz w:val="18"/>
          <w:szCs w:val="18"/>
          <w:rtl/>
        </w:rPr>
        <w:t>מיירי</w:t>
      </w:r>
      <w:r w:rsidRPr="00134039">
        <w:rPr>
          <w:rFonts w:cs="Arial"/>
          <w:sz w:val="18"/>
          <w:szCs w:val="18"/>
          <w:rtl/>
        </w:rPr>
        <w:t xml:space="preserve"> </w:t>
      </w:r>
      <w:r w:rsidRPr="00134039">
        <w:rPr>
          <w:rFonts w:cs="Arial" w:hint="cs"/>
          <w:sz w:val="18"/>
          <w:szCs w:val="18"/>
          <w:rtl/>
        </w:rPr>
        <w:t>אלא</w:t>
      </w:r>
      <w:r w:rsidRPr="00134039">
        <w:rPr>
          <w:rFonts w:cs="Arial"/>
          <w:sz w:val="18"/>
          <w:szCs w:val="18"/>
          <w:rtl/>
        </w:rPr>
        <w:t xml:space="preserve"> </w:t>
      </w:r>
      <w:r w:rsidRPr="00134039">
        <w:rPr>
          <w:rFonts w:cs="Arial" w:hint="cs"/>
          <w:sz w:val="18"/>
          <w:szCs w:val="18"/>
          <w:rtl/>
        </w:rPr>
        <w:t>בראתה</w:t>
      </w:r>
      <w:r w:rsidRPr="00134039">
        <w:rPr>
          <w:rFonts w:cs="Arial"/>
          <w:sz w:val="18"/>
          <w:szCs w:val="18"/>
          <w:rtl/>
        </w:rPr>
        <w:t xml:space="preserve"> </w:t>
      </w:r>
      <w:r w:rsidRPr="00134039">
        <w:rPr>
          <w:rFonts w:cs="Arial" w:hint="cs"/>
          <w:sz w:val="18"/>
          <w:szCs w:val="18"/>
          <w:rtl/>
        </w:rPr>
        <w:t>סמוך</w:t>
      </w:r>
      <w:r w:rsidRPr="00134039">
        <w:rPr>
          <w:rFonts w:cs="Arial"/>
          <w:sz w:val="18"/>
          <w:szCs w:val="18"/>
          <w:rtl/>
        </w:rPr>
        <w:t xml:space="preserve"> </w:t>
      </w:r>
      <w:r w:rsidRPr="00134039">
        <w:rPr>
          <w:rFonts w:cs="Arial" w:hint="cs"/>
          <w:sz w:val="18"/>
          <w:szCs w:val="18"/>
          <w:rtl/>
        </w:rPr>
        <w:t>לתשמיש</w:t>
      </w:r>
      <w:r w:rsidRPr="00134039">
        <w:rPr>
          <w:rFonts w:cs="Arial"/>
          <w:sz w:val="18"/>
          <w:szCs w:val="18"/>
          <w:rtl/>
        </w:rPr>
        <w:t xml:space="preserve">, </w:t>
      </w:r>
      <w:r w:rsidRPr="00134039">
        <w:rPr>
          <w:rFonts w:cs="Arial" w:hint="cs"/>
          <w:sz w:val="18"/>
          <w:szCs w:val="18"/>
          <w:rtl/>
        </w:rPr>
        <w:t>אבל</w:t>
      </w:r>
      <w:r w:rsidRPr="00134039">
        <w:rPr>
          <w:rFonts w:cs="Arial"/>
          <w:sz w:val="18"/>
          <w:szCs w:val="18"/>
          <w:rtl/>
        </w:rPr>
        <w:t xml:space="preserve"> </w:t>
      </w:r>
      <w:r w:rsidRPr="00134039">
        <w:rPr>
          <w:rFonts w:cs="Arial" w:hint="cs"/>
          <w:sz w:val="18"/>
          <w:szCs w:val="18"/>
          <w:rtl/>
        </w:rPr>
        <w:t>אם</w:t>
      </w:r>
      <w:r w:rsidRPr="00134039">
        <w:rPr>
          <w:rFonts w:cs="Arial"/>
          <w:sz w:val="18"/>
          <w:szCs w:val="18"/>
          <w:rtl/>
        </w:rPr>
        <w:t xml:space="preserve"> </w:t>
      </w:r>
      <w:r w:rsidRPr="00134039">
        <w:rPr>
          <w:rFonts w:cs="Arial" w:hint="cs"/>
          <w:sz w:val="18"/>
          <w:szCs w:val="18"/>
          <w:rtl/>
        </w:rPr>
        <w:t>לא</w:t>
      </w:r>
      <w:r w:rsidRPr="00134039">
        <w:rPr>
          <w:rFonts w:cs="Arial"/>
          <w:sz w:val="18"/>
          <w:szCs w:val="18"/>
          <w:rtl/>
        </w:rPr>
        <w:t xml:space="preserve"> </w:t>
      </w:r>
      <w:r w:rsidRPr="00134039">
        <w:rPr>
          <w:rFonts w:cs="Arial" w:hint="cs"/>
          <w:sz w:val="18"/>
          <w:szCs w:val="18"/>
          <w:rtl/>
        </w:rPr>
        <w:t>ראתה</w:t>
      </w:r>
      <w:r w:rsidRPr="00134039">
        <w:rPr>
          <w:rFonts w:cs="Arial"/>
          <w:sz w:val="18"/>
          <w:szCs w:val="18"/>
          <w:rtl/>
        </w:rPr>
        <w:t xml:space="preserve"> </w:t>
      </w:r>
      <w:r w:rsidRPr="00134039">
        <w:rPr>
          <w:rFonts w:cs="Arial" w:hint="cs"/>
          <w:sz w:val="18"/>
          <w:szCs w:val="18"/>
          <w:rtl/>
        </w:rPr>
        <w:t>סמוך</w:t>
      </w:r>
      <w:r w:rsidRPr="00134039">
        <w:rPr>
          <w:rFonts w:cs="Arial"/>
          <w:sz w:val="18"/>
          <w:szCs w:val="18"/>
          <w:rtl/>
        </w:rPr>
        <w:t xml:space="preserve"> </w:t>
      </w:r>
      <w:r w:rsidRPr="00134039">
        <w:rPr>
          <w:rFonts w:cs="Arial" w:hint="cs"/>
          <w:sz w:val="18"/>
          <w:szCs w:val="18"/>
          <w:rtl/>
        </w:rPr>
        <w:t>לתשמיש</w:t>
      </w:r>
      <w:r w:rsidRPr="00134039">
        <w:rPr>
          <w:rFonts w:cs="Arial"/>
          <w:sz w:val="18"/>
          <w:szCs w:val="18"/>
          <w:rtl/>
        </w:rPr>
        <w:t xml:space="preserve">, </w:t>
      </w:r>
      <w:r w:rsidRPr="00134039">
        <w:rPr>
          <w:rFonts w:cs="Arial" w:hint="cs"/>
          <w:sz w:val="18"/>
          <w:szCs w:val="18"/>
          <w:rtl/>
        </w:rPr>
        <w:t>לא</w:t>
      </w:r>
      <w:r w:rsidRPr="00134039">
        <w:rPr>
          <w:rFonts w:cs="Arial"/>
          <w:sz w:val="18"/>
          <w:szCs w:val="18"/>
          <w:rtl/>
        </w:rPr>
        <w:t xml:space="preserve"> </w:t>
      </w:r>
      <w:r w:rsidRPr="00134039">
        <w:rPr>
          <w:rFonts w:cs="Arial" w:hint="cs"/>
          <w:sz w:val="18"/>
          <w:szCs w:val="18"/>
          <w:rtl/>
        </w:rPr>
        <w:t>נאסרה</w:t>
      </w:r>
      <w:r w:rsidRPr="00134039">
        <w:rPr>
          <w:rFonts w:cs="Arial"/>
          <w:sz w:val="18"/>
          <w:szCs w:val="18"/>
          <w:rtl/>
        </w:rPr>
        <w:t xml:space="preserve"> </w:t>
      </w:r>
      <w:r w:rsidRPr="00134039">
        <w:rPr>
          <w:rFonts w:cs="Arial" w:hint="cs"/>
          <w:sz w:val="18"/>
          <w:szCs w:val="18"/>
          <w:rtl/>
        </w:rPr>
        <w:t>על</w:t>
      </w:r>
      <w:r w:rsidRPr="00134039">
        <w:rPr>
          <w:rFonts w:cs="Arial"/>
          <w:sz w:val="18"/>
          <w:szCs w:val="18"/>
          <w:rtl/>
        </w:rPr>
        <w:t xml:space="preserve"> </w:t>
      </w:r>
      <w:r w:rsidRPr="00134039">
        <w:rPr>
          <w:rFonts w:cs="Arial" w:hint="cs"/>
          <w:sz w:val="18"/>
          <w:szCs w:val="18"/>
          <w:rtl/>
        </w:rPr>
        <w:t>בעלה</w:t>
      </w:r>
      <w:r w:rsidRPr="00134039">
        <w:rPr>
          <w:rFonts w:cs="Arial"/>
          <w:sz w:val="18"/>
          <w:szCs w:val="18"/>
          <w:rtl/>
        </w:rPr>
        <w:t xml:space="preserve">, </w:t>
      </w:r>
      <w:r w:rsidRPr="00134039">
        <w:rPr>
          <w:rFonts w:cs="Arial" w:hint="cs"/>
          <w:sz w:val="18"/>
          <w:szCs w:val="18"/>
          <w:rtl/>
        </w:rPr>
        <w:t>ומותרת</w:t>
      </w:r>
      <w:r w:rsidRPr="00134039">
        <w:rPr>
          <w:rFonts w:cs="Arial"/>
          <w:sz w:val="18"/>
          <w:szCs w:val="18"/>
          <w:rtl/>
        </w:rPr>
        <w:t xml:space="preserve"> </w:t>
      </w:r>
      <w:r w:rsidRPr="00134039">
        <w:rPr>
          <w:rFonts w:cs="Arial" w:hint="cs"/>
          <w:sz w:val="18"/>
          <w:szCs w:val="18"/>
          <w:rtl/>
        </w:rPr>
        <w:t>לו</w:t>
      </w:r>
      <w:r w:rsidRPr="00134039">
        <w:rPr>
          <w:rFonts w:cs="Arial"/>
          <w:sz w:val="18"/>
          <w:szCs w:val="18"/>
          <w:rtl/>
        </w:rPr>
        <w:t xml:space="preserve"> </w:t>
      </w:r>
      <w:r w:rsidRPr="00134039">
        <w:rPr>
          <w:rFonts w:cs="Arial" w:hint="cs"/>
          <w:sz w:val="18"/>
          <w:szCs w:val="18"/>
          <w:rtl/>
        </w:rPr>
        <w:t>לאחר</w:t>
      </w:r>
      <w:r w:rsidRPr="00134039">
        <w:rPr>
          <w:rFonts w:cs="Arial"/>
          <w:sz w:val="18"/>
          <w:szCs w:val="18"/>
          <w:rtl/>
        </w:rPr>
        <w:t xml:space="preserve"> </w:t>
      </w:r>
      <w:r w:rsidRPr="00134039">
        <w:rPr>
          <w:rFonts w:cs="Arial" w:hint="cs"/>
          <w:sz w:val="18"/>
          <w:szCs w:val="18"/>
          <w:rtl/>
        </w:rPr>
        <w:t>טהרתה</w:t>
      </w:r>
      <w:r w:rsidRPr="00134039">
        <w:rPr>
          <w:rFonts w:cs="Arial"/>
          <w:sz w:val="18"/>
          <w:szCs w:val="18"/>
          <w:rtl/>
        </w:rPr>
        <w:t xml:space="preserve"> </w:t>
      </w:r>
      <w:r w:rsidRPr="00134039">
        <w:rPr>
          <w:rFonts w:cs="Arial" w:hint="cs"/>
          <w:sz w:val="18"/>
          <w:szCs w:val="18"/>
          <w:rtl/>
        </w:rPr>
        <w:t>תמיד</w:t>
      </w:r>
      <w:r w:rsidRPr="00134039">
        <w:rPr>
          <w:rFonts w:cs="Arial"/>
          <w:sz w:val="18"/>
          <w:szCs w:val="18"/>
          <w:rtl/>
        </w:rPr>
        <w:t xml:space="preserve"> </w:t>
      </w:r>
      <w:r w:rsidRPr="00134039">
        <w:rPr>
          <w:rFonts w:cs="Arial" w:hint="cs"/>
          <w:sz w:val="18"/>
          <w:szCs w:val="18"/>
          <w:rtl/>
        </w:rPr>
        <w:t>ודינה</w:t>
      </w:r>
      <w:r w:rsidRPr="00134039">
        <w:rPr>
          <w:rFonts w:cs="Arial"/>
          <w:sz w:val="18"/>
          <w:szCs w:val="18"/>
          <w:rtl/>
        </w:rPr>
        <w:t xml:space="preserve"> </w:t>
      </w:r>
      <w:r w:rsidRPr="00134039">
        <w:rPr>
          <w:rFonts w:cs="Arial" w:hint="cs"/>
          <w:sz w:val="18"/>
          <w:szCs w:val="18"/>
          <w:rtl/>
        </w:rPr>
        <w:t>כמו</w:t>
      </w:r>
      <w:r w:rsidRPr="00134039">
        <w:rPr>
          <w:rFonts w:cs="Arial"/>
          <w:sz w:val="18"/>
          <w:szCs w:val="18"/>
          <w:rtl/>
        </w:rPr>
        <w:t xml:space="preserve"> </w:t>
      </w:r>
      <w:r w:rsidRPr="00134039">
        <w:rPr>
          <w:rFonts w:cs="Arial" w:hint="cs"/>
          <w:sz w:val="18"/>
          <w:szCs w:val="18"/>
          <w:rtl/>
        </w:rPr>
        <w:t>שאין</w:t>
      </w:r>
      <w:r w:rsidRPr="00134039">
        <w:rPr>
          <w:rFonts w:cs="Arial"/>
          <w:sz w:val="18"/>
          <w:szCs w:val="18"/>
          <w:rtl/>
        </w:rPr>
        <w:t xml:space="preserve"> </w:t>
      </w:r>
      <w:r w:rsidRPr="00134039">
        <w:rPr>
          <w:rFonts w:cs="Arial" w:hint="cs"/>
          <w:sz w:val="18"/>
          <w:szCs w:val="18"/>
          <w:rtl/>
        </w:rPr>
        <w:t>לה</w:t>
      </w:r>
      <w:r w:rsidRPr="00134039">
        <w:rPr>
          <w:rFonts w:cs="Arial"/>
          <w:sz w:val="18"/>
          <w:szCs w:val="18"/>
          <w:rtl/>
        </w:rPr>
        <w:t xml:space="preserve"> </w:t>
      </w:r>
      <w:r w:rsidRPr="00134039">
        <w:rPr>
          <w:rFonts w:cs="Arial" w:hint="cs"/>
          <w:sz w:val="18"/>
          <w:szCs w:val="18"/>
          <w:rtl/>
        </w:rPr>
        <w:t>וסת</w:t>
      </w:r>
      <w:r>
        <w:rPr>
          <w:rFonts w:cs="Arial" w:hint="cs"/>
          <w:sz w:val="18"/>
          <w:szCs w:val="18"/>
          <w:rtl/>
        </w:rPr>
        <w:t>"</w:t>
      </w:r>
      <w:r w:rsidRPr="00134039">
        <w:rPr>
          <w:rFonts w:cs="Arial"/>
          <w:sz w:val="18"/>
          <w:szCs w:val="18"/>
          <w:rtl/>
        </w:rPr>
        <w:t>.</w:t>
      </w:r>
    </w:p>
    <w:p w:rsidR="00620060" w:rsidRDefault="00620060" w:rsidP="00620060">
      <w:pPr>
        <w:rPr>
          <w:b/>
          <w:bCs/>
          <w:sz w:val="18"/>
          <w:szCs w:val="18"/>
          <w:rtl/>
        </w:rPr>
      </w:pPr>
      <w:r>
        <w:rPr>
          <w:rFonts w:hint="cs"/>
          <w:sz w:val="20"/>
          <w:szCs w:val="20"/>
          <w:u w:val="single"/>
          <w:rtl/>
        </w:rPr>
        <w:t>בדקה עצמה מייד לאחר תשמיש ולא ראתה</w:t>
      </w:r>
      <w:r>
        <w:rPr>
          <w:sz w:val="20"/>
          <w:szCs w:val="20"/>
          <w:u w:val="single"/>
          <w:rtl/>
        </w:rPr>
        <w:br/>
      </w:r>
      <w:r w:rsidRPr="00F32186">
        <w:rPr>
          <w:rFonts w:hint="cs"/>
          <w:b/>
          <w:bCs/>
          <w:sz w:val="20"/>
          <w:szCs w:val="20"/>
          <w:rtl/>
        </w:rPr>
        <w:t>ש"ך</w:t>
      </w:r>
      <w:r>
        <w:rPr>
          <w:rFonts w:hint="cs"/>
          <w:sz w:val="20"/>
          <w:szCs w:val="20"/>
          <w:rtl/>
        </w:rPr>
        <w:t xml:space="preserve"> </w:t>
      </w:r>
      <w:r w:rsidRPr="00A821BE">
        <w:rPr>
          <w:rFonts w:hint="cs"/>
          <w:sz w:val="18"/>
          <w:szCs w:val="18"/>
          <w:rtl/>
        </w:rPr>
        <w:t xml:space="preserve">(בשם אביו) </w:t>
      </w:r>
      <w:r>
        <w:rPr>
          <w:sz w:val="20"/>
          <w:szCs w:val="20"/>
          <w:rtl/>
        </w:rPr>
        <w:t>–</w:t>
      </w:r>
      <w:r>
        <w:rPr>
          <w:rFonts w:hint="cs"/>
          <w:sz w:val="20"/>
          <w:szCs w:val="20"/>
          <w:rtl/>
        </w:rPr>
        <w:t xml:space="preserve"> אם בדקה עצמה מייד לאחר תשמיש ולא ראתה דם, אפילו אם לאחר מכן ראתה דם בתוך שיעור זמן שתושיט ידה לתחת הכר או לתחת הכסת </w:t>
      </w:r>
      <w:r>
        <w:rPr>
          <w:sz w:val="20"/>
          <w:szCs w:val="20"/>
          <w:rtl/>
        </w:rPr>
        <w:t>–</w:t>
      </w:r>
      <w:r>
        <w:rPr>
          <w:rFonts w:hint="cs"/>
          <w:sz w:val="20"/>
          <w:szCs w:val="20"/>
          <w:rtl/>
        </w:rPr>
        <w:t xml:space="preserve"> אין דינה רמ"ת.</w:t>
      </w:r>
      <w:r>
        <w:rPr>
          <w:sz w:val="20"/>
          <w:szCs w:val="20"/>
          <w:rtl/>
        </w:rPr>
        <w:br/>
      </w:r>
      <w:r>
        <w:rPr>
          <w:rFonts w:hint="cs"/>
          <w:sz w:val="20"/>
          <w:szCs w:val="20"/>
          <w:rtl/>
        </w:rPr>
        <w:t xml:space="preserve">וכן לדידן דקיי"ל כרמ"א, אם בדקה מייד לאחר התשמיש אפילו אם כעבור זמן מה ראתה דם </w:t>
      </w:r>
      <w:r>
        <w:rPr>
          <w:sz w:val="20"/>
          <w:szCs w:val="20"/>
          <w:rtl/>
        </w:rPr>
        <w:t>–</w:t>
      </w:r>
      <w:r>
        <w:rPr>
          <w:rFonts w:hint="cs"/>
          <w:sz w:val="20"/>
          <w:szCs w:val="20"/>
          <w:rtl/>
        </w:rPr>
        <w:t xml:space="preserve"> אינה רמ"ת.</w:t>
      </w:r>
      <w:r>
        <w:rPr>
          <w:b/>
          <w:bCs/>
          <w:sz w:val="18"/>
          <w:szCs w:val="18"/>
          <w:rtl/>
        </w:rPr>
        <w:br/>
      </w:r>
      <w:r w:rsidRPr="008B247F">
        <w:rPr>
          <w:rFonts w:hint="cs"/>
          <w:sz w:val="20"/>
          <w:szCs w:val="20"/>
          <w:rtl/>
        </w:rPr>
        <w:t>וכל שכן אם קמה בבוקר ומצאה את הכתונת שלה מלאה דם, שאינה רמ"ת משום שבדקה עצמה לאחר התשמיש ומצאה טהורה.</w:t>
      </w:r>
      <w:r>
        <w:rPr>
          <w:b/>
          <w:bCs/>
          <w:sz w:val="18"/>
          <w:szCs w:val="18"/>
          <w:rtl/>
        </w:rPr>
        <w:br/>
      </w:r>
      <w:r w:rsidRPr="00A821BE">
        <w:rPr>
          <w:rFonts w:hint="cs"/>
          <w:sz w:val="20"/>
          <w:szCs w:val="20"/>
          <w:rtl/>
        </w:rPr>
        <w:t xml:space="preserve">מוסיף </w:t>
      </w:r>
      <w:r w:rsidRPr="00F32186">
        <w:rPr>
          <w:rFonts w:hint="cs"/>
          <w:b/>
          <w:bCs/>
          <w:sz w:val="20"/>
          <w:szCs w:val="20"/>
          <w:rtl/>
        </w:rPr>
        <w:t>הש"ך</w:t>
      </w:r>
      <w:r w:rsidRPr="00A821BE">
        <w:rPr>
          <w:rFonts w:hint="cs"/>
          <w:sz w:val="20"/>
          <w:szCs w:val="20"/>
          <w:rtl/>
        </w:rPr>
        <w:t xml:space="preserve"> </w:t>
      </w:r>
      <w:r w:rsidRPr="00A821BE">
        <w:rPr>
          <w:sz w:val="20"/>
          <w:szCs w:val="20"/>
          <w:rtl/>
        </w:rPr>
        <w:t>–</w:t>
      </w:r>
      <w:r w:rsidRPr="00A821BE">
        <w:rPr>
          <w:rFonts w:hint="cs"/>
          <w:sz w:val="20"/>
          <w:szCs w:val="20"/>
          <w:rtl/>
        </w:rPr>
        <w:t xml:space="preserve"> אפילו אם </w:t>
      </w:r>
      <w:r>
        <w:rPr>
          <w:rFonts w:hint="cs"/>
          <w:sz w:val="20"/>
          <w:szCs w:val="20"/>
          <w:rtl/>
        </w:rPr>
        <w:t>ראת</w:t>
      </w:r>
      <w:r w:rsidRPr="00A821BE">
        <w:rPr>
          <w:rFonts w:hint="cs"/>
          <w:sz w:val="20"/>
          <w:szCs w:val="20"/>
          <w:rtl/>
        </w:rPr>
        <w:t>ה בשתי הפ</w:t>
      </w:r>
      <w:r>
        <w:rPr>
          <w:rFonts w:hint="cs"/>
          <w:sz w:val="20"/>
          <w:szCs w:val="20"/>
          <w:rtl/>
        </w:rPr>
        <w:t>עמ</w:t>
      </w:r>
      <w:r w:rsidRPr="00A821BE">
        <w:rPr>
          <w:rFonts w:hint="cs"/>
          <w:sz w:val="20"/>
          <w:szCs w:val="20"/>
          <w:rtl/>
        </w:rPr>
        <w:t>ים הבאות מחמת תשמיש, אין לומר שגם פעם קודמת מצטרפת והוחזקה להיות רמ"ת, אלא הפעם הראשונה אינה נחשבת כלל שהרי בדקה ולא ראתה מייד לאחר התשמיש.</w:t>
      </w:r>
      <w:r>
        <w:rPr>
          <w:b/>
          <w:bCs/>
          <w:sz w:val="18"/>
          <w:szCs w:val="18"/>
          <w:rtl/>
        </w:rPr>
        <w:br/>
      </w:r>
      <w:r>
        <w:rPr>
          <w:rFonts w:hint="cs"/>
          <w:sz w:val="20"/>
          <w:szCs w:val="20"/>
          <w:rtl/>
        </w:rPr>
        <w:t xml:space="preserve">ומוסיף עוד </w:t>
      </w:r>
      <w:r w:rsidRPr="00F32186">
        <w:rPr>
          <w:rFonts w:hint="cs"/>
          <w:b/>
          <w:bCs/>
          <w:sz w:val="20"/>
          <w:szCs w:val="20"/>
          <w:rtl/>
        </w:rPr>
        <w:t xml:space="preserve">הש"ך </w:t>
      </w:r>
      <w:r>
        <w:rPr>
          <w:sz w:val="20"/>
          <w:szCs w:val="20"/>
          <w:rtl/>
        </w:rPr>
        <w:t>–</w:t>
      </w:r>
      <w:r>
        <w:rPr>
          <w:rFonts w:hint="cs"/>
          <w:sz w:val="20"/>
          <w:szCs w:val="20"/>
          <w:rtl/>
        </w:rPr>
        <w:t xml:space="preserve"> באופנים שאין דינה רמ"ת, אפילו אם ראתה כמה פעמים מכל מקום אינה רמ"ת.</w:t>
      </w:r>
    </w:p>
    <w:p w:rsidR="00620060" w:rsidRDefault="00620060" w:rsidP="00620060">
      <w:pPr>
        <w:rPr>
          <w:b/>
          <w:bCs/>
          <w:sz w:val="18"/>
          <w:szCs w:val="18"/>
          <w:rtl/>
        </w:rPr>
      </w:pPr>
      <w:r>
        <w:rPr>
          <w:rFonts w:hint="cs"/>
          <w:sz w:val="20"/>
          <w:szCs w:val="20"/>
          <w:u w:val="single"/>
          <w:rtl/>
        </w:rPr>
        <w:t>איסור לכל העולם מחמת חוסר בקיאות</w:t>
      </w:r>
      <w:r>
        <w:rPr>
          <w:sz w:val="20"/>
          <w:szCs w:val="20"/>
          <w:u w:val="single"/>
          <w:rtl/>
        </w:rPr>
        <w:br/>
      </w:r>
      <w:r w:rsidRPr="00504086">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דעת הרמ"א להחמיר ולאוסרה על בעלה בכל אופן שראייתה סמוכה לתשמיש. </w:t>
      </w:r>
      <w:r>
        <w:rPr>
          <w:sz w:val="20"/>
          <w:szCs w:val="20"/>
          <w:rtl/>
        </w:rPr>
        <w:br/>
      </w:r>
      <w:r>
        <w:rPr>
          <w:rFonts w:hint="cs"/>
          <w:sz w:val="20"/>
          <w:szCs w:val="20"/>
          <w:rtl/>
        </w:rPr>
        <w:t>אמנם, יש לעיין האם חומרה זו נאמרה גם אם ראתה מחמת תשמיש אצל ג' בעלים וכעת תיאסר על כל העולם, או שבכה"ג לא החמיר הרמ"א לומר שאיננו בקיאים.</w:t>
      </w:r>
    </w:p>
    <w:p w:rsidR="00620060" w:rsidRDefault="00620060" w:rsidP="00620060">
      <w:pPr>
        <w:rPr>
          <w:sz w:val="18"/>
          <w:szCs w:val="18"/>
          <w:u w:val="single"/>
          <w:rtl/>
        </w:rPr>
      </w:pPr>
      <w:r>
        <w:rPr>
          <w:rFonts w:hint="cs"/>
          <w:sz w:val="20"/>
          <w:szCs w:val="20"/>
          <w:u w:val="single"/>
          <w:rtl/>
        </w:rPr>
        <w:t>שיעור הזמן שבו תראה ותיאסר לשיטת הרמ"א</w:t>
      </w:r>
      <w:r>
        <w:rPr>
          <w:sz w:val="20"/>
          <w:szCs w:val="20"/>
          <w:u w:val="single"/>
          <w:rtl/>
        </w:rPr>
        <w:br/>
      </w:r>
      <w:r>
        <w:rPr>
          <w:rFonts w:hint="cs"/>
          <w:sz w:val="20"/>
          <w:szCs w:val="20"/>
          <w:rtl/>
        </w:rPr>
        <w:t>הרמ"א הביא את דברי הראב"ד שאיננו בקיאים מהו שיעור הזמן האוסר, ולכן יש להחמיר.</w:t>
      </w:r>
      <w:r>
        <w:rPr>
          <w:sz w:val="20"/>
          <w:szCs w:val="20"/>
          <w:rtl/>
        </w:rPr>
        <w:br/>
      </w:r>
      <w:r>
        <w:rPr>
          <w:rFonts w:hint="cs"/>
          <w:sz w:val="20"/>
          <w:szCs w:val="20"/>
          <w:rtl/>
        </w:rPr>
        <w:t xml:space="preserve">אמנם, הרמ"א לא ביאר עד כמה זמן לאחר התשמיש יש להחמיר, ונחלקו האחרונים - </w:t>
      </w:r>
      <w:r>
        <w:rPr>
          <w:sz w:val="20"/>
          <w:szCs w:val="20"/>
          <w:rtl/>
        </w:rPr>
        <w:br/>
      </w:r>
      <w:r>
        <w:rPr>
          <w:rFonts w:hint="cs"/>
          <w:sz w:val="20"/>
          <w:szCs w:val="20"/>
          <w:rtl/>
        </w:rPr>
        <w:t xml:space="preserve">א. </w:t>
      </w:r>
      <w:r w:rsidRPr="00774BD2">
        <w:rPr>
          <w:rFonts w:hint="cs"/>
          <w:b/>
          <w:bCs/>
          <w:sz w:val="20"/>
          <w:szCs w:val="20"/>
          <w:rtl/>
        </w:rPr>
        <w:t>טהרת הבית</w:t>
      </w:r>
      <w:r>
        <w:rPr>
          <w:rFonts w:hint="cs"/>
          <w:sz w:val="20"/>
          <w:szCs w:val="20"/>
          <w:rtl/>
        </w:rPr>
        <w:t xml:space="preserve"> </w:t>
      </w:r>
      <w:r>
        <w:rPr>
          <w:sz w:val="20"/>
          <w:szCs w:val="20"/>
          <w:rtl/>
        </w:rPr>
        <w:t>–</w:t>
      </w:r>
      <w:r>
        <w:rPr>
          <w:rFonts w:hint="cs"/>
          <w:sz w:val="20"/>
          <w:szCs w:val="20"/>
          <w:rtl/>
        </w:rPr>
        <w:t xml:space="preserve"> אין להחמיר לאחר שלוש דקות.</w:t>
      </w:r>
      <w:r>
        <w:rPr>
          <w:sz w:val="20"/>
          <w:szCs w:val="20"/>
          <w:rtl/>
        </w:rPr>
        <w:br/>
      </w:r>
      <w:r>
        <w:rPr>
          <w:rFonts w:hint="cs"/>
          <w:sz w:val="20"/>
          <w:szCs w:val="20"/>
          <w:rtl/>
        </w:rPr>
        <w:t xml:space="preserve">ב. </w:t>
      </w:r>
      <w:r w:rsidRPr="00774BD2">
        <w:rPr>
          <w:rFonts w:hint="cs"/>
          <w:b/>
          <w:bCs/>
          <w:sz w:val="20"/>
          <w:szCs w:val="20"/>
          <w:rtl/>
        </w:rPr>
        <w:t>שבט הלוי</w:t>
      </w:r>
      <w:r>
        <w:rPr>
          <w:rFonts w:hint="cs"/>
          <w:sz w:val="20"/>
          <w:szCs w:val="20"/>
          <w:rtl/>
        </w:rPr>
        <w:t xml:space="preserve"> </w:t>
      </w:r>
      <w:r>
        <w:rPr>
          <w:sz w:val="20"/>
          <w:szCs w:val="20"/>
          <w:rtl/>
        </w:rPr>
        <w:t>–</w:t>
      </w:r>
      <w:r>
        <w:rPr>
          <w:rFonts w:hint="cs"/>
          <w:sz w:val="20"/>
          <w:szCs w:val="20"/>
          <w:rtl/>
        </w:rPr>
        <w:t xml:space="preserve"> אין להחמיר לאחר עשר דקות, ויש לעשות שאלת חכם.</w:t>
      </w:r>
      <w:r w:rsidRPr="00134039">
        <w:rPr>
          <w:rFonts w:hint="cs"/>
          <w:b/>
          <w:bCs/>
          <w:sz w:val="18"/>
          <w:szCs w:val="18"/>
          <w:rtl/>
        </w:rPr>
        <w:br/>
      </w:r>
      <w:r>
        <w:rPr>
          <w:sz w:val="18"/>
          <w:szCs w:val="18"/>
          <w:u w:val="single"/>
          <w:rtl/>
        </w:rPr>
        <w:br/>
      </w:r>
      <w:r>
        <w:rPr>
          <w:rFonts w:hint="cs"/>
          <w:sz w:val="20"/>
          <w:szCs w:val="20"/>
          <w:u w:val="single"/>
          <w:rtl/>
        </w:rPr>
        <w:t>דין רמ"ת לאשה שאין לה ווסת (פת"ש)</w:t>
      </w:r>
      <w:r>
        <w:rPr>
          <w:rFonts w:hint="cs"/>
          <w:sz w:val="20"/>
          <w:szCs w:val="20"/>
          <w:u w:val="single"/>
          <w:rtl/>
        </w:rPr>
        <w:br/>
      </w:r>
      <w:r>
        <w:rPr>
          <w:rFonts w:hint="cs"/>
          <w:sz w:val="20"/>
          <w:szCs w:val="20"/>
          <w:rtl/>
        </w:rPr>
        <w:t xml:space="preserve">א. </w:t>
      </w:r>
      <w:r w:rsidRPr="00D23C5F">
        <w:rPr>
          <w:rFonts w:hint="cs"/>
          <w:b/>
          <w:bCs/>
          <w:sz w:val="20"/>
          <w:szCs w:val="20"/>
          <w:rtl/>
        </w:rPr>
        <w:t>נודע ביהודה</w:t>
      </w:r>
      <w:r>
        <w:rPr>
          <w:rFonts w:hint="cs"/>
          <w:sz w:val="20"/>
          <w:szCs w:val="20"/>
          <w:rtl/>
        </w:rPr>
        <w:t xml:space="preserve"> - אשה רמ"ת שאין לה ווסת</w:t>
      </w:r>
      <w:r>
        <w:rPr>
          <w:rFonts w:hint="cs"/>
          <w:sz w:val="18"/>
          <w:szCs w:val="18"/>
          <w:rtl/>
        </w:rPr>
        <w:t xml:space="preserve"> </w:t>
      </w:r>
      <w:r>
        <w:rPr>
          <w:rFonts w:hint="cs"/>
          <w:sz w:val="20"/>
          <w:szCs w:val="20"/>
          <w:rtl/>
        </w:rPr>
        <w:t>לא נאסרה על בעלה, אלא תמתין עד שתיקבע ווסת ומותרת.</w:t>
      </w:r>
      <w:r>
        <w:rPr>
          <w:sz w:val="20"/>
          <w:szCs w:val="20"/>
          <w:rtl/>
        </w:rPr>
        <w:br/>
      </w:r>
      <w:r w:rsidRPr="00D23C5F">
        <w:rPr>
          <w:rFonts w:hint="cs"/>
          <w:b/>
          <w:bCs/>
          <w:sz w:val="20"/>
          <w:szCs w:val="20"/>
          <w:rtl/>
        </w:rPr>
        <w:t xml:space="preserve">טעם </w:t>
      </w:r>
      <w:r>
        <w:rPr>
          <w:sz w:val="20"/>
          <w:szCs w:val="20"/>
          <w:rtl/>
        </w:rPr>
        <w:t>–</w:t>
      </w:r>
      <w:r>
        <w:rPr>
          <w:rFonts w:hint="cs"/>
          <w:sz w:val="20"/>
          <w:szCs w:val="20"/>
          <w:rtl/>
        </w:rPr>
        <w:t xml:space="preserve"> רמ"ת אסורה לבעלה מדין ווסת, וכמו קפיצה הגורמת לדם שיבוא כך באשה זו התשמיש גורם לדם לבוא. קיי"ל שווסת התלוי במעשה בלבד הרי הוא כווסת שאינו קבוע. עוד קיי"ל בווסת שאינו קבוע שהוא נעקר ע"י ווסת קבוע. ומעתה יש לומר </w:t>
      </w:r>
      <w:r>
        <w:rPr>
          <w:sz w:val="20"/>
          <w:szCs w:val="20"/>
          <w:rtl/>
        </w:rPr>
        <w:t>–</w:t>
      </w:r>
      <w:r>
        <w:rPr>
          <w:rFonts w:hint="cs"/>
          <w:sz w:val="20"/>
          <w:szCs w:val="20"/>
          <w:rtl/>
        </w:rPr>
        <w:t xml:space="preserve"> אשה זו למודה לראות מחמת תשמיש, דהיינו שיש לה ווסת שאינו קבוע, וע"י שתקבע ווסת גמור תעקור ווסת זה ומותרת לבעלה.</w:t>
      </w:r>
      <w:r>
        <w:rPr>
          <w:sz w:val="20"/>
          <w:szCs w:val="20"/>
          <w:rtl/>
        </w:rPr>
        <w:br/>
      </w:r>
      <w:r>
        <w:rPr>
          <w:rFonts w:hint="cs"/>
          <w:sz w:val="20"/>
          <w:szCs w:val="20"/>
          <w:rtl/>
        </w:rPr>
        <w:t xml:space="preserve">ב. </w:t>
      </w:r>
      <w:r w:rsidRPr="00D23C5F">
        <w:rPr>
          <w:rFonts w:hint="cs"/>
          <w:b/>
          <w:bCs/>
          <w:sz w:val="20"/>
          <w:szCs w:val="20"/>
          <w:rtl/>
        </w:rPr>
        <w:t>חוות דעת</w:t>
      </w:r>
      <w:r>
        <w:rPr>
          <w:rFonts w:hint="cs"/>
          <w:sz w:val="20"/>
          <w:szCs w:val="20"/>
          <w:rtl/>
        </w:rPr>
        <w:t xml:space="preserve"> </w:t>
      </w:r>
      <w:r>
        <w:rPr>
          <w:sz w:val="20"/>
          <w:szCs w:val="20"/>
          <w:rtl/>
        </w:rPr>
        <w:t>–</w:t>
      </w:r>
      <w:r>
        <w:rPr>
          <w:rFonts w:hint="cs"/>
          <w:sz w:val="20"/>
          <w:szCs w:val="20"/>
          <w:rtl/>
        </w:rPr>
        <w:t xml:space="preserve"> אשה רמ"ת נאסרה על בעלה אפילו כשאין לה ווסת, ועצת הנוב"י ליתא.</w:t>
      </w:r>
      <w:r>
        <w:rPr>
          <w:sz w:val="20"/>
          <w:szCs w:val="20"/>
          <w:rtl/>
        </w:rPr>
        <w:br/>
      </w:r>
      <w:r w:rsidRPr="00D23C5F">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רמ"ת לא נאסרה מחמת קביעת ווסת לתשמיש, אלא משום שזו היא מחלה שבכל תשמיש רואה.</w:t>
      </w:r>
      <w:r>
        <w:rPr>
          <w:sz w:val="20"/>
          <w:szCs w:val="20"/>
          <w:rtl/>
        </w:rPr>
        <w:br/>
      </w:r>
      <w:r>
        <w:rPr>
          <w:rFonts w:hint="cs"/>
          <w:sz w:val="20"/>
          <w:szCs w:val="20"/>
          <w:rtl/>
        </w:rPr>
        <w:t xml:space="preserve">ועוד </w:t>
      </w:r>
      <w:r>
        <w:rPr>
          <w:sz w:val="20"/>
          <w:szCs w:val="20"/>
          <w:rtl/>
        </w:rPr>
        <w:t>–</w:t>
      </w:r>
      <w:r>
        <w:rPr>
          <w:rFonts w:hint="cs"/>
          <w:sz w:val="20"/>
          <w:szCs w:val="20"/>
          <w:rtl/>
        </w:rPr>
        <w:t xml:space="preserve"> אשה שיש לה ווסת קבוע וווסת שאינו קבוע, חוששת אף לווסת שאינו קבוע.</w:t>
      </w:r>
      <w:r>
        <w:rPr>
          <w:rFonts w:hint="cs"/>
          <w:sz w:val="18"/>
          <w:szCs w:val="18"/>
          <w:u w:val="single"/>
          <w:rtl/>
        </w:rPr>
        <w:t xml:space="preserve"> </w:t>
      </w:r>
    </w:p>
    <w:p w:rsidR="00620060" w:rsidRDefault="00620060" w:rsidP="00620060">
      <w:pPr>
        <w:rPr>
          <w:sz w:val="18"/>
          <w:szCs w:val="18"/>
          <w:u w:val="single"/>
          <w:rtl/>
        </w:rPr>
      </w:pPr>
      <w:r>
        <w:rPr>
          <w:rFonts w:hint="cs"/>
          <w:sz w:val="20"/>
          <w:szCs w:val="20"/>
          <w:u w:val="single"/>
          <w:rtl/>
        </w:rPr>
        <w:t>האם הראייה הראשונה מצטרפת למניין ג'? (פת"ש ותוה"ש)</w:t>
      </w:r>
      <w:r>
        <w:rPr>
          <w:rFonts w:hint="cs"/>
          <w:sz w:val="20"/>
          <w:szCs w:val="20"/>
          <w:u w:val="single"/>
          <w:rtl/>
        </w:rPr>
        <w:br/>
      </w:r>
      <w:r>
        <w:rPr>
          <w:rFonts w:hint="cs"/>
          <w:sz w:val="20"/>
          <w:szCs w:val="20"/>
          <w:rtl/>
        </w:rPr>
        <w:t xml:space="preserve">א. </w:t>
      </w:r>
      <w:r w:rsidRPr="001A20DE">
        <w:rPr>
          <w:rFonts w:hint="cs"/>
          <w:b/>
          <w:bCs/>
          <w:sz w:val="20"/>
          <w:szCs w:val="20"/>
          <w:rtl/>
        </w:rPr>
        <w:t>טור ושו"ע</w:t>
      </w:r>
      <w:r>
        <w:rPr>
          <w:rFonts w:hint="cs"/>
          <w:sz w:val="20"/>
          <w:szCs w:val="20"/>
          <w:rtl/>
        </w:rPr>
        <w:t xml:space="preserve"> </w:t>
      </w:r>
      <w:r>
        <w:rPr>
          <w:sz w:val="20"/>
          <w:szCs w:val="20"/>
          <w:rtl/>
        </w:rPr>
        <w:t>–</w:t>
      </w:r>
      <w:r>
        <w:rPr>
          <w:rFonts w:hint="cs"/>
          <w:sz w:val="20"/>
          <w:szCs w:val="20"/>
          <w:rtl/>
        </w:rPr>
        <w:t xml:space="preserve"> משמע שפעם ראשונה אינה מצטרפת ומותר לה לשמש עוד ג' פעמים, וכ"כ </w:t>
      </w:r>
      <w:r w:rsidRPr="001A20DE">
        <w:rPr>
          <w:rFonts w:hint="cs"/>
          <w:b/>
          <w:bCs/>
          <w:sz w:val="20"/>
          <w:szCs w:val="20"/>
          <w:rtl/>
        </w:rPr>
        <w:t>הראב"ד</w:t>
      </w:r>
      <w:r>
        <w:rPr>
          <w:rFonts w:hint="cs"/>
          <w:sz w:val="20"/>
          <w:szCs w:val="20"/>
          <w:rtl/>
        </w:rPr>
        <w:t xml:space="preserve"> להדיא.</w:t>
      </w:r>
      <w:r>
        <w:rPr>
          <w:sz w:val="20"/>
          <w:szCs w:val="20"/>
          <w:rtl/>
        </w:rPr>
        <w:br/>
      </w:r>
      <w:r>
        <w:rPr>
          <w:rFonts w:hint="cs"/>
          <w:sz w:val="20"/>
          <w:szCs w:val="20"/>
          <w:rtl/>
        </w:rPr>
        <w:lastRenderedPageBreak/>
        <w:t xml:space="preserve">ב. </w:t>
      </w:r>
      <w:r w:rsidRPr="001A20DE">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פעם ראשונה מצטרפת למניין ג' פעמים לרמ"ת.</w:t>
      </w:r>
      <w:r>
        <w:rPr>
          <w:rStyle w:val="a5"/>
          <w:sz w:val="20"/>
          <w:szCs w:val="20"/>
          <w:rtl/>
        </w:rPr>
        <w:footnoteReference w:id="91"/>
      </w:r>
      <w:r>
        <w:rPr>
          <w:sz w:val="18"/>
          <w:szCs w:val="18"/>
          <w:u w:val="single"/>
          <w:rtl/>
        </w:rPr>
        <w:br/>
      </w:r>
      <w:r w:rsidRPr="001A20DE">
        <w:rPr>
          <w:rFonts w:hint="cs"/>
          <w:sz w:val="20"/>
          <w:szCs w:val="20"/>
          <w:rtl/>
        </w:rPr>
        <w:t xml:space="preserve">הכרעת </w:t>
      </w:r>
      <w:r w:rsidRPr="001A20DE">
        <w:rPr>
          <w:rFonts w:hint="cs"/>
          <w:b/>
          <w:bCs/>
          <w:sz w:val="20"/>
          <w:szCs w:val="20"/>
          <w:rtl/>
        </w:rPr>
        <w:t>הט"ז והש"ך</w:t>
      </w:r>
      <w:r w:rsidRPr="001A20DE">
        <w:rPr>
          <w:rFonts w:hint="cs"/>
          <w:sz w:val="20"/>
          <w:szCs w:val="20"/>
          <w:rtl/>
        </w:rPr>
        <w:t xml:space="preserve"> </w:t>
      </w:r>
      <w:r w:rsidRPr="001A20DE">
        <w:rPr>
          <w:sz w:val="20"/>
          <w:szCs w:val="20"/>
          <w:rtl/>
        </w:rPr>
        <w:t>–</w:t>
      </w:r>
      <w:r w:rsidRPr="001A20DE">
        <w:rPr>
          <w:rFonts w:hint="cs"/>
          <w:sz w:val="20"/>
          <w:szCs w:val="20"/>
          <w:rtl/>
        </w:rPr>
        <w:t xml:space="preserve"> ראייה הראשונה מצטרפת</w:t>
      </w:r>
      <w:r>
        <w:rPr>
          <w:rFonts w:hint="cs"/>
          <w:sz w:val="20"/>
          <w:szCs w:val="20"/>
          <w:rtl/>
        </w:rPr>
        <w:t>,</w:t>
      </w:r>
      <w:r w:rsidRPr="001A20DE">
        <w:rPr>
          <w:rFonts w:hint="cs"/>
          <w:sz w:val="20"/>
          <w:szCs w:val="20"/>
          <w:rtl/>
        </w:rPr>
        <w:t xml:space="preserve"> ומכאן ואילך משמשת עוד פעמיים.</w:t>
      </w:r>
      <w:r w:rsidRPr="001A20DE">
        <w:rPr>
          <w:rStyle w:val="a5"/>
          <w:sz w:val="20"/>
          <w:szCs w:val="20"/>
          <w:rtl/>
        </w:rPr>
        <w:footnoteReference w:id="92"/>
      </w:r>
      <w:r w:rsidRPr="001A20DE">
        <w:rPr>
          <w:rFonts w:hint="cs"/>
          <w:sz w:val="20"/>
          <w:szCs w:val="20"/>
          <w:rtl/>
        </w:rPr>
        <w:t xml:space="preserve"> </w:t>
      </w:r>
    </w:p>
    <w:p w:rsidR="00620060" w:rsidRPr="00427422" w:rsidRDefault="00620060" w:rsidP="00620060">
      <w:pPr>
        <w:rPr>
          <w:sz w:val="20"/>
          <w:szCs w:val="20"/>
          <w:rtl/>
        </w:rPr>
      </w:pPr>
      <w:r>
        <w:rPr>
          <w:rFonts w:hint="cs"/>
          <w:sz w:val="20"/>
          <w:szCs w:val="20"/>
          <w:u w:val="single"/>
          <w:rtl/>
        </w:rPr>
        <w:t>בדקה פעמיים רצופות ועוד פעם אחת לא רצופה (פת"ש)</w:t>
      </w:r>
      <w:r>
        <w:rPr>
          <w:sz w:val="20"/>
          <w:szCs w:val="20"/>
          <w:u w:val="single"/>
          <w:rtl/>
        </w:rPr>
        <w:br/>
      </w:r>
      <w:r>
        <w:rPr>
          <w:rFonts w:hint="cs"/>
          <w:sz w:val="20"/>
          <w:szCs w:val="20"/>
          <w:rtl/>
        </w:rPr>
        <w:t xml:space="preserve">בדקה ב' פעמים רצופות וראתה דם, ואחר כך שימשה כמה פעמים ולא בדקה, ובתשמיש הבא ראתה </w:t>
      </w:r>
      <w:r>
        <w:rPr>
          <w:sz w:val="20"/>
          <w:szCs w:val="20"/>
          <w:rtl/>
        </w:rPr>
        <w:t>–</w:t>
      </w:r>
      <w:r>
        <w:rPr>
          <w:rFonts w:hint="cs"/>
          <w:sz w:val="20"/>
          <w:szCs w:val="20"/>
          <w:u w:val="single"/>
          <w:rtl/>
        </w:rPr>
        <w:br/>
      </w:r>
      <w:r>
        <w:rPr>
          <w:rFonts w:hint="cs"/>
          <w:sz w:val="20"/>
          <w:szCs w:val="20"/>
          <w:rtl/>
        </w:rPr>
        <w:t xml:space="preserve">א. </w:t>
      </w:r>
      <w:r w:rsidRPr="00D01C03">
        <w:rPr>
          <w:rFonts w:hint="cs"/>
          <w:b/>
          <w:bCs/>
          <w:sz w:val="20"/>
          <w:szCs w:val="20"/>
          <w:rtl/>
        </w:rPr>
        <w:t>חוות דעת</w:t>
      </w:r>
      <w:r>
        <w:rPr>
          <w:rFonts w:hint="cs"/>
          <w:sz w:val="20"/>
          <w:szCs w:val="20"/>
          <w:rtl/>
        </w:rPr>
        <w:t xml:space="preserve"> </w:t>
      </w:r>
      <w:r>
        <w:rPr>
          <w:sz w:val="20"/>
          <w:szCs w:val="20"/>
          <w:rtl/>
        </w:rPr>
        <w:t>–</w:t>
      </w:r>
      <w:r>
        <w:rPr>
          <w:rFonts w:hint="cs"/>
          <w:sz w:val="20"/>
          <w:szCs w:val="20"/>
          <w:rtl/>
        </w:rPr>
        <w:t xml:space="preserve"> אסורה.</w:t>
      </w:r>
      <w:r>
        <w:rPr>
          <w:sz w:val="20"/>
          <w:szCs w:val="20"/>
          <w:rtl/>
        </w:rPr>
        <w:br/>
      </w:r>
      <w:r w:rsidRPr="00D01C03">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הוי כאילו אלו ג' פעמים רצופות, משום שבכל ג' הפעמים שבדקה עצמה ברציפות מצאה דם.</w:t>
      </w:r>
      <w:r>
        <w:rPr>
          <w:sz w:val="20"/>
          <w:szCs w:val="20"/>
          <w:rtl/>
        </w:rPr>
        <w:br/>
      </w:r>
      <w:r>
        <w:rPr>
          <w:rFonts w:hint="cs"/>
          <w:sz w:val="20"/>
          <w:szCs w:val="20"/>
          <w:rtl/>
        </w:rPr>
        <w:t xml:space="preserve">ב. </w:t>
      </w:r>
      <w:r w:rsidRPr="00E42AD6">
        <w:rPr>
          <w:rFonts w:hint="cs"/>
          <w:b/>
          <w:bCs/>
          <w:sz w:val="20"/>
          <w:szCs w:val="20"/>
          <w:rtl/>
        </w:rPr>
        <w:t>שו"ת ברכת יוסף וטהרת הבית</w:t>
      </w:r>
      <w:r>
        <w:rPr>
          <w:rFonts w:hint="cs"/>
          <w:sz w:val="20"/>
          <w:szCs w:val="20"/>
          <w:rtl/>
        </w:rPr>
        <w:t xml:space="preserve"> </w:t>
      </w:r>
      <w:r w:rsidRPr="00E42AD6">
        <w:rPr>
          <w:rFonts w:hint="cs"/>
          <w:sz w:val="18"/>
          <w:szCs w:val="18"/>
          <w:rtl/>
        </w:rPr>
        <w:t xml:space="preserve">(עמ' ריד </w:t>
      </w:r>
      <w:r w:rsidRPr="00E42AD6">
        <w:rPr>
          <w:sz w:val="18"/>
          <w:szCs w:val="18"/>
          <w:rtl/>
        </w:rPr>
        <w:t>–</w:t>
      </w:r>
      <w:r w:rsidRPr="00E42AD6">
        <w:rPr>
          <w:rFonts w:hint="cs"/>
          <w:sz w:val="18"/>
          <w:szCs w:val="18"/>
          <w:rtl/>
        </w:rPr>
        <w:t xml:space="preserve"> רטו) </w:t>
      </w:r>
      <w:r>
        <w:rPr>
          <w:sz w:val="20"/>
          <w:szCs w:val="20"/>
          <w:rtl/>
        </w:rPr>
        <w:t>–</w:t>
      </w:r>
      <w:r>
        <w:rPr>
          <w:rFonts w:hint="cs"/>
          <w:sz w:val="20"/>
          <w:szCs w:val="20"/>
          <w:rtl/>
        </w:rPr>
        <w:t xml:space="preserve"> מותרת.</w:t>
      </w:r>
      <w:r>
        <w:rPr>
          <w:sz w:val="20"/>
          <w:szCs w:val="20"/>
          <w:rtl/>
        </w:rPr>
        <w:br/>
      </w:r>
      <w:r w:rsidRPr="00E42AD6">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הוי כווסת שאינו קבוע שנעקר בפעם אחת אפילו ללא בדיקה.</w:t>
      </w:r>
      <w:r>
        <w:rPr>
          <w:rStyle w:val="a5"/>
          <w:sz w:val="20"/>
          <w:szCs w:val="20"/>
          <w:rtl/>
        </w:rPr>
        <w:footnoteReference w:id="93"/>
      </w:r>
    </w:p>
    <w:p w:rsidR="00620060" w:rsidRDefault="00620060" w:rsidP="00620060">
      <w:pPr>
        <w:rPr>
          <w:sz w:val="18"/>
          <w:szCs w:val="18"/>
          <w:u w:val="single"/>
          <w:rtl/>
        </w:rPr>
      </w:pPr>
      <w:r>
        <w:rPr>
          <w:rFonts w:hint="cs"/>
          <w:sz w:val="20"/>
          <w:szCs w:val="20"/>
          <w:u w:val="single"/>
          <w:rtl/>
        </w:rPr>
        <w:t>נאמנות האשה לחזור בה מדיבורה (פת"ש)</w:t>
      </w:r>
      <w:r>
        <w:rPr>
          <w:rFonts w:hint="cs"/>
          <w:sz w:val="20"/>
          <w:szCs w:val="20"/>
          <w:u w:val="single"/>
          <w:rtl/>
        </w:rPr>
        <w:br/>
      </w:r>
      <w:r w:rsidRPr="00F56E76">
        <w:rPr>
          <w:rFonts w:hint="cs"/>
          <w:b/>
          <w:bCs/>
          <w:sz w:val="20"/>
          <w:szCs w:val="20"/>
          <w:rtl/>
        </w:rPr>
        <w:t>שו"ת שיבת ציון</w:t>
      </w:r>
      <w:r>
        <w:rPr>
          <w:rFonts w:hint="cs"/>
          <w:sz w:val="20"/>
          <w:szCs w:val="20"/>
          <w:rtl/>
        </w:rPr>
        <w:t xml:space="preserve"> </w:t>
      </w:r>
      <w:r>
        <w:rPr>
          <w:sz w:val="20"/>
          <w:szCs w:val="20"/>
          <w:rtl/>
        </w:rPr>
        <w:t>–</w:t>
      </w:r>
      <w:r>
        <w:rPr>
          <w:rFonts w:hint="cs"/>
          <w:sz w:val="20"/>
          <w:szCs w:val="20"/>
          <w:rtl/>
        </w:rPr>
        <w:t xml:space="preserve"> מעשה באשה שאמרה שראתה דם ג' פעמים רצופות מחמת תשמיש, ולאחר בירור עם הרב התברר שבפעם השנייה לא בדקה תיכף לאחר התשמיש אלא רק למחרת בדקה וראתה דם.</w:t>
      </w:r>
      <w:r>
        <w:rPr>
          <w:sz w:val="20"/>
          <w:szCs w:val="20"/>
          <w:rtl/>
        </w:rPr>
        <w:br/>
      </w:r>
      <w:r>
        <w:rPr>
          <w:rFonts w:hint="cs"/>
          <w:sz w:val="20"/>
          <w:szCs w:val="20"/>
          <w:rtl/>
        </w:rPr>
        <w:t xml:space="preserve">השאלה </w:t>
      </w:r>
      <w:r>
        <w:rPr>
          <w:sz w:val="20"/>
          <w:szCs w:val="20"/>
          <w:rtl/>
        </w:rPr>
        <w:t>–</w:t>
      </w:r>
      <w:r>
        <w:rPr>
          <w:rFonts w:hint="cs"/>
          <w:sz w:val="20"/>
          <w:szCs w:val="20"/>
          <w:rtl/>
        </w:rPr>
        <w:t xml:space="preserve"> האם האשה מותרת, וכן האם נאמנת לחזור בה מדיבורה הראשון?</w:t>
      </w:r>
      <w:r>
        <w:rPr>
          <w:rFonts w:hint="cs"/>
          <w:sz w:val="20"/>
          <w:szCs w:val="20"/>
          <w:rtl/>
        </w:rPr>
        <w:br/>
        <w:t xml:space="preserve">תשובה </w:t>
      </w:r>
      <w:r>
        <w:rPr>
          <w:sz w:val="20"/>
          <w:szCs w:val="20"/>
          <w:rtl/>
        </w:rPr>
        <w:t>–</w:t>
      </w:r>
      <w:r>
        <w:rPr>
          <w:rFonts w:hint="cs"/>
          <w:sz w:val="20"/>
          <w:szCs w:val="20"/>
          <w:rtl/>
        </w:rPr>
        <w:t xml:space="preserve"> האשה מותרת.</w:t>
      </w:r>
      <w:r>
        <w:rPr>
          <w:sz w:val="20"/>
          <w:szCs w:val="20"/>
          <w:rtl/>
        </w:rPr>
        <w:br/>
      </w:r>
      <w:r w:rsidRPr="00F56E76">
        <w:rPr>
          <w:rFonts w:hint="cs"/>
          <w:b/>
          <w:bCs/>
          <w:sz w:val="20"/>
          <w:szCs w:val="20"/>
          <w:rtl/>
        </w:rPr>
        <w:t xml:space="preserve">טעם </w:t>
      </w:r>
      <w:r>
        <w:rPr>
          <w:sz w:val="20"/>
          <w:szCs w:val="20"/>
          <w:rtl/>
        </w:rPr>
        <w:t>–</w:t>
      </w:r>
      <w:r>
        <w:rPr>
          <w:rFonts w:hint="cs"/>
          <w:sz w:val="20"/>
          <w:szCs w:val="20"/>
          <w:rtl/>
        </w:rPr>
        <w:t xml:space="preserve"> אין זה בגדר רמ"ת שהרי בפעם השנייה לא ראתה תיכף אחר התשמיש. </w:t>
      </w:r>
      <w:r>
        <w:rPr>
          <w:sz w:val="20"/>
          <w:szCs w:val="20"/>
          <w:rtl/>
        </w:rPr>
        <w:br/>
      </w:r>
      <w:r>
        <w:rPr>
          <w:rFonts w:hint="cs"/>
          <w:sz w:val="20"/>
          <w:szCs w:val="20"/>
          <w:rtl/>
        </w:rPr>
        <w:t>ולעניין נאמנותה, פשוט שנאמנת משום שיכולה לתרץ את דבריה ואין במשמעותם איסור ברור.</w:t>
      </w:r>
    </w:p>
    <w:p w:rsidR="00620060" w:rsidRDefault="00620060" w:rsidP="00620060">
      <w:pPr>
        <w:rPr>
          <w:sz w:val="18"/>
          <w:szCs w:val="18"/>
          <w:u w:val="single"/>
          <w:rtl/>
        </w:rPr>
      </w:pPr>
      <w:r>
        <w:rPr>
          <w:rFonts w:hint="cs"/>
          <w:sz w:val="20"/>
          <w:szCs w:val="20"/>
          <w:u w:val="single"/>
          <w:rtl/>
        </w:rPr>
        <w:t>מדוע אשה נאמנת לומר שהיא רמ"ת? (פת"ש)</w:t>
      </w:r>
      <w:r>
        <w:rPr>
          <w:rFonts w:hint="cs"/>
          <w:sz w:val="20"/>
          <w:szCs w:val="20"/>
          <w:u w:val="single"/>
          <w:rtl/>
        </w:rPr>
        <w:br/>
      </w:r>
      <w:r w:rsidRPr="00123110">
        <w:rPr>
          <w:rFonts w:hint="cs"/>
          <w:b/>
          <w:bCs/>
          <w:sz w:val="20"/>
          <w:szCs w:val="20"/>
          <w:rtl/>
        </w:rPr>
        <w:t>שו"ת שיבת ציון</w:t>
      </w:r>
      <w:r>
        <w:rPr>
          <w:rFonts w:hint="cs"/>
          <w:sz w:val="20"/>
          <w:szCs w:val="20"/>
          <w:rtl/>
        </w:rPr>
        <w:t xml:space="preserve"> </w:t>
      </w:r>
      <w:r>
        <w:rPr>
          <w:sz w:val="20"/>
          <w:szCs w:val="20"/>
          <w:rtl/>
        </w:rPr>
        <w:t>–</w:t>
      </w:r>
      <w:r>
        <w:rPr>
          <w:rFonts w:hint="cs"/>
          <w:sz w:val="20"/>
          <w:szCs w:val="20"/>
          <w:rtl/>
        </w:rPr>
        <w:t xml:space="preserve"> מדוע אשה נאמנת לומר שהיא רמ"ת ואין חוששים שמא עיניה נתנה באחר?</w:t>
      </w:r>
      <w:r>
        <w:rPr>
          <w:rFonts w:hint="cs"/>
          <w:sz w:val="20"/>
          <w:szCs w:val="20"/>
          <w:rtl/>
        </w:rPr>
        <w:br/>
        <w:t xml:space="preserve">תשובה </w:t>
      </w:r>
      <w:r>
        <w:rPr>
          <w:sz w:val="20"/>
          <w:szCs w:val="20"/>
          <w:rtl/>
        </w:rPr>
        <w:t>–</w:t>
      </w:r>
      <w:r>
        <w:rPr>
          <w:rFonts w:hint="cs"/>
          <w:sz w:val="20"/>
          <w:szCs w:val="20"/>
          <w:rtl/>
        </w:rPr>
        <w:t xml:space="preserve"> דין רמ"ת הוא מילתא דעבידא לגלויי, שהרי מייד כשאומרת לו שנטמאה יכול בעלה לבדוק את עד הבדיקה ולראות אם יש עליו דם. ולפי"ז, יש לומר שרק אם אומרת לו בכל ג' הפעמים מייד לאחר התשמיש שהיא נטמאה </w:t>
      </w:r>
      <w:r>
        <w:rPr>
          <w:sz w:val="20"/>
          <w:szCs w:val="20"/>
          <w:rtl/>
        </w:rPr>
        <w:t>–</w:t>
      </w:r>
      <w:r>
        <w:rPr>
          <w:rFonts w:hint="cs"/>
          <w:sz w:val="20"/>
          <w:szCs w:val="20"/>
          <w:rtl/>
        </w:rPr>
        <w:t xml:space="preserve"> נאמנת, אך אם רק למחרת אמרה לו שנטמאה אפשר לומר שאינה נאמנת.</w:t>
      </w:r>
      <w:r>
        <w:rPr>
          <w:sz w:val="18"/>
          <w:szCs w:val="18"/>
          <w:u w:val="single"/>
          <w:rtl/>
        </w:rPr>
        <w:br/>
      </w:r>
      <w:r w:rsidRPr="00123110">
        <w:rPr>
          <w:rFonts w:hint="cs"/>
          <w:b/>
          <w:bCs/>
          <w:sz w:val="20"/>
          <w:szCs w:val="20"/>
          <w:rtl/>
        </w:rPr>
        <w:t>פת"ש</w:t>
      </w:r>
      <w:r>
        <w:rPr>
          <w:rFonts w:hint="cs"/>
          <w:sz w:val="20"/>
          <w:szCs w:val="20"/>
          <w:rtl/>
        </w:rPr>
        <w:t xml:space="preserve"> </w:t>
      </w:r>
      <w:r>
        <w:rPr>
          <w:sz w:val="20"/>
          <w:szCs w:val="20"/>
          <w:rtl/>
        </w:rPr>
        <w:t>–</w:t>
      </w:r>
      <w:r>
        <w:rPr>
          <w:rFonts w:hint="cs"/>
          <w:sz w:val="20"/>
          <w:szCs w:val="20"/>
          <w:rtl/>
        </w:rPr>
        <w:t xml:space="preserve"> לכאורה סגי בכך שרק בפעם השלישית תאמר לו מייד, אך בפעמיים הראשונות לא נאסרת עליו ונאמנת לומר זאת גם למחרת.</w:t>
      </w:r>
      <w:r w:rsidRPr="00907B45">
        <w:rPr>
          <w:rStyle w:val="a5"/>
          <w:sz w:val="20"/>
          <w:szCs w:val="20"/>
          <w:rtl/>
        </w:rPr>
        <w:footnoteReference w:id="94"/>
      </w:r>
    </w:p>
    <w:p w:rsidR="00620060" w:rsidRDefault="00620060" w:rsidP="00620060">
      <w:pPr>
        <w:rPr>
          <w:sz w:val="20"/>
          <w:szCs w:val="20"/>
          <w:rtl/>
        </w:rPr>
      </w:pPr>
      <w:r>
        <w:rPr>
          <w:rFonts w:hint="cs"/>
          <w:sz w:val="20"/>
          <w:szCs w:val="20"/>
          <w:u w:val="single"/>
          <w:rtl/>
        </w:rPr>
        <w:t>נמצא על עד שלו (פת"ש)</w:t>
      </w:r>
      <w:r>
        <w:rPr>
          <w:rFonts w:hint="cs"/>
          <w:sz w:val="20"/>
          <w:szCs w:val="20"/>
          <w:u w:val="single"/>
          <w:rtl/>
        </w:rPr>
        <w:br/>
      </w:r>
      <w:r>
        <w:rPr>
          <w:rFonts w:hint="cs"/>
          <w:b/>
          <w:bCs/>
          <w:sz w:val="20"/>
          <w:szCs w:val="20"/>
          <w:rtl/>
        </w:rPr>
        <w:t xml:space="preserve">שו"ת פנים מאירות </w:t>
      </w:r>
      <w:r>
        <w:rPr>
          <w:rFonts w:hint="cs"/>
          <w:sz w:val="20"/>
          <w:szCs w:val="20"/>
          <w:rtl/>
        </w:rPr>
        <w:t xml:space="preserve">- אע"פ שאם נמצא על עד שלו דינה רמ"ת, מכל מקום דין זה נאמר דווקא כשנמצא על עד שהוכן לקינוח, אך אם נמצא כתם על הבגד שלו </w:t>
      </w:r>
      <w:r>
        <w:rPr>
          <w:sz w:val="20"/>
          <w:szCs w:val="20"/>
          <w:rtl/>
        </w:rPr>
        <w:t>–</w:t>
      </w:r>
      <w:r>
        <w:rPr>
          <w:rFonts w:hint="cs"/>
          <w:sz w:val="20"/>
          <w:szCs w:val="20"/>
          <w:rtl/>
        </w:rPr>
        <w:t xml:space="preserve"> אינה רמ"ת.</w:t>
      </w:r>
      <w:r>
        <w:rPr>
          <w:sz w:val="20"/>
          <w:szCs w:val="20"/>
          <w:rtl/>
        </w:rPr>
        <w:br/>
      </w:r>
      <w:r w:rsidRPr="008539D7">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כשנמצא על בגד שלו הרי זה כשאר כתם ולא מצאנו שגזרו חז"ל על כתם הנמצא בבגדו.</w:t>
      </w:r>
      <w:r>
        <w:rPr>
          <w:sz w:val="20"/>
          <w:szCs w:val="20"/>
          <w:rtl/>
        </w:rPr>
        <w:br/>
      </w:r>
      <w:r>
        <w:rPr>
          <w:rFonts w:hint="cs"/>
          <w:sz w:val="20"/>
          <w:szCs w:val="20"/>
          <w:rtl/>
        </w:rPr>
        <w:t xml:space="preserve">מוסיף </w:t>
      </w:r>
      <w:r w:rsidRPr="008539D7">
        <w:rPr>
          <w:rFonts w:hint="cs"/>
          <w:b/>
          <w:bCs/>
          <w:sz w:val="20"/>
          <w:szCs w:val="20"/>
          <w:rtl/>
        </w:rPr>
        <w:t>הסד"ט</w:t>
      </w:r>
      <w:r>
        <w:rPr>
          <w:rFonts w:hint="cs"/>
          <w:sz w:val="20"/>
          <w:szCs w:val="20"/>
          <w:rtl/>
        </w:rPr>
        <w:t xml:space="preserve"> - אפילו אם מצאה גם היא כתם על חלוקה אינה רמ"ת, שמא כתם זה בא לאחר זמן מרובה.</w:t>
      </w:r>
    </w:p>
    <w:p w:rsidR="00620060" w:rsidRDefault="00620060" w:rsidP="00620060">
      <w:pPr>
        <w:rPr>
          <w:sz w:val="20"/>
          <w:szCs w:val="20"/>
          <w:rtl/>
        </w:rPr>
      </w:pPr>
      <w:r>
        <w:rPr>
          <w:rFonts w:hint="cs"/>
          <w:sz w:val="20"/>
          <w:szCs w:val="20"/>
          <w:u w:val="single"/>
          <w:rtl/>
        </w:rPr>
        <w:t>דין רמ"ת בזמן עיבור והנקה (פת"ש)</w:t>
      </w:r>
      <w:r>
        <w:rPr>
          <w:rFonts w:hint="cs"/>
          <w:sz w:val="20"/>
          <w:szCs w:val="20"/>
          <w:u w:val="single"/>
          <w:rtl/>
        </w:rPr>
        <w:br/>
      </w:r>
      <w:r>
        <w:rPr>
          <w:rFonts w:hint="cs"/>
          <w:sz w:val="20"/>
          <w:szCs w:val="20"/>
          <w:rtl/>
        </w:rPr>
        <w:t>האם רמ"ת מותרת לשמש בימי עיבור והנקה?</w:t>
      </w:r>
      <w:r>
        <w:rPr>
          <w:rStyle w:val="a5"/>
          <w:sz w:val="20"/>
          <w:szCs w:val="20"/>
          <w:rtl/>
        </w:rPr>
        <w:footnoteReference w:id="95"/>
      </w:r>
      <w:r>
        <w:rPr>
          <w:sz w:val="20"/>
          <w:szCs w:val="20"/>
          <w:u w:val="single"/>
          <w:rtl/>
        </w:rPr>
        <w:br/>
      </w:r>
      <w:r>
        <w:rPr>
          <w:rFonts w:hint="cs"/>
          <w:sz w:val="20"/>
          <w:szCs w:val="20"/>
          <w:rtl/>
        </w:rPr>
        <w:t xml:space="preserve">א. </w:t>
      </w:r>
      <w:r w:rsidRPr="00C922EF">
        <w:rPr>
          <w:rFonts w:hint="cs"/>
          <w:b/>
          <w:bCs/>
          <w:sz w:val="20"/>
          <w:szCs w:val="20"/>
          <w:rtl/>
        </w:rPr>
        <w:t xml:space="preserve">חוו"ד </w:t>
      </w:r>
      <w:r>
        <w:rPr>
          <w:sz w:val="20"/>
          <w:szCs w:val="20"/>
          <w:rtl/>
        </w:rPr>
        <w:t>–</w:t>
      </w:r>
      <w:r>
        <w:rPr>
          <w:rFonts w:hint="cs"/>
          <w:sz w:val="20"/>
          <w:szCs w:val="20"/>
          <w:rtl/>
        </w:rPr>
        <w:t xml:space="preserve"> לא.</w:t>
      </w:r>
      <w:r>
        <w:rPr>
          <w:sz w:val="20"/>
          <w:szCs w:val="20"/>
          <w:rtl/>
        </w:rPr>
        <w:br/>
      </w:r>
      <w:r w:rsidRPr="00C922EF">
        <w:rPr>
          <w:rFonts w:hint="cs"/>
          <w:b/>
          <w:bCs/>
          <w:sz w:val="20"/>
          <w:szCs w:val="20"/>
          <w:rtl/>
        </w:rPr>
        <w:lastRenderedPageBreak/>
        <w:t>טעם</w:t>
      </w:r>
      <w:r>
        <w:rPr>
          <w:rFonts w:hint="cs"/>
          <w:sz w:val="20"/>
          <w:szCs w:val="20"/>
          <w:rtl/>
        </w:rPr>
        <w:t xml:space="preserve"> </w:t>
      </w:r>
      <w:r>
        <w:rPr>
          <w:sz w:val="20"/>
          <w:szCs w:val="20"/>
          <w:rtl/>
        </w:rPr>
        <w:t>–</w:t>
      </w:r>
      <w:r>
        <w:rPr>
          <w:rFonts w:hint="cs"/>
          <w:sz w:val="20"/>
          <w:szCs w:val="20"/>
          <w:rtl/>
        </w:rPr>
        <w:t xml:space="preserve"> רמ"ת הוא חולי, ולכן אע"פ שמעוברת ומניקה מסולקות דמים מכל מקום מחמת חולי עלולה לראות.</w:t>
      </w:r>
      <w:r>
        <w:rPr>
          <w:sz w:val="20"/>
          <w:szCs w:val="20"/>
          <w:rtl/>
        </w:rPr>
        <w:br/>
      </w:r>
      <w:r>
        <w:rPr>
          <w:rFonts w:hint="cs"/>
          <w:sz w:val="20"/>
          <w:szCs w:val="20"/>
          <w:rtl/>
        </w:rPr>
        <w:t xml:space="preserve">ב. </w:t>
      </w:r>
      <w:r w:rsidRPr="00C922EF">
        <w:rPr>
          <w:rFonts w:hint="cs"/>
          <w:b/>
          <w:bCs/>
          <w:sz w:val="20"/>
          <w:szCs w:val="20"/>
          <w:rtl/>
        </w:rPr>
        <w:t>נוב"י</w:t>
      </w:r>
      <w:r>
        <w:rPr>
          <w:rFonts w:hint="cs"/>
          <w:sz w:val="20"/>
          <w:szCs w:val="20"/>
          <w:rtl/>
        </w:rPr>
        <w:t xml:space="preserve"> </w:t>
      </w:r>
      <w:r>
        <w:rPr>
          <w:sz w:val="20"/>
          <w:szCs w:val="20"/>
          <w:rtl/>
        </w:rPr>
        <w:t>–</w:t>
      </w:r>
      <w:r>
        <w:rPr>
          <w:rFonts w:hint="cs"/>
          <w:sz w:val="20"/>
          <w:szCs w:val="20"/>
          <w:rtl/>
        </w:rPr>
        <w:t xml:space="preserve"> כן.</w:t>
      </w:r>
      <w:r>
        <w:rPr>
          <w:sz w:val="20"/>
          <w:szCs w:val="20"/>
          <w:rtl/>
        </w:rPr>
        <w:br/>
      </w:r>
      <w:r w:rsidRPr="00C922EF">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רמ"ת אינו חולי אלא הוא ווסת שאינו קבוע, ומעוברת ומניקה מסולקות דמים ואינן חוששות לווסתן.</w:t>
      </w:r>
    </w:p>
    <w:p w:rsidR="00620060" w:rsidRDefault="00620060" w:rsidP="00620060">
      <w:pPr>
        <w:rPr>
          <w:sz w:val="20"/>
          <w:szCs w:val="20"/>
          <w:rtl/>
        </w:rPr>
      </w:pPr>
      <w:r>
        <w:rPr>
          <w:rFonts w:hint="cs"/>
          <w:sz w:val="20"/>
          <w:szCs w:val="20"/>
          <w:u w:val="single"/>
          <w:rtl/>
        </w:rPr>
        <w:t>רמ"ת שרואה דם בשפע (פת"ש)</w:t>
      </w:r>
      <w:r>
        <w:rPr>
          <w:rFonts w:hint="cs"/>
          <w:sz w:val="20"/>
          <w:szCs w:val="20"/>
          <w:u w:val="single"/>
          <w:rtl/>
        </w:rPr>
        <w:br/>
      </w:r>
      <w:r>
        <w:rPr>
          <w:rFonts w:hint="cs"/>
          <w:sz w:val="20"/>
          <w:szCs w:val="20"/>
          <w:rtl/>
        </w:rPr>
        <w:t xml:space="preserve">א. </w:t>
      </w:r>
      <w:r w:rsidRPr="003716DA">
        <w:rPr>
          <w:rFonts w:hint="cs"/>
          <w:b/>
          <w:bCs/>
          <w:sz w:val="20"/>
          <w:szCs w:val="20"/>
          <w:rtl/>
        </w:rPr>
        <w:t>נודע ביהודה</w:t>
      </w:r>
      <w:r>
        <w:rPr>
          <w:rFonts w:hint="cs"/>
          <w:sz w:val="20"/>
          <w:szCs w:val="20"/>
          <w:rtl/>
        </w:rPr>
        <w:t xml:space="preserve"> </w:t>
      </w:r>
      <w:r>
        <w:rPr>
          <w:sz w:val="20"/>
          <w:szCs w:val="20"/>
          <w:rtl/>
        </w:rPr>
        <w:t>–</w:t>
      </w:r>
      <w:r>
        <w:rPr>
          <w:rFonts w:hint="cs"/>
          <w:sz w:val="20"/>
          <w:szCs w:val="20"/>
          <w:rtl/>
        </w:rPr>
        <w:t xml:space="preserve"> אם ראתה דם מחמת תשמיש בשפע, אסורה להינשא לבעל שני.</w:t>
      </w:r>
      <w:r>
        <w:rPr>
          <w:sz w:val="20"/>
          <w:szCs w:val="20"/>
          <w:rtl/>
        </w:rPr>
        <w:br/>
      </w:r>
      <w:r w:rsidRPr="003716DA">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ההיתר להינשא לאחר הוא מחמת ספק ספקא, ספק הדם בא מהצדדים וספק האבר של בעל אחר לא יגרום לדם לצאת. ואולם, כאשר הדם יוצא בשפע אין לומר שיש ספק שמא הדם בא לה מהצדדים, אלא וודאי הוא מגיע מהמקור, ועוד יש לפקפק אפילו בבדיקת שפופרת מטעם זה.</w:t>
      </w:r>
      <w:r>
        <w:rPr>
          <w:sz w:val="20"/>
          <w:szCs w:val="20"/>
          <w:rtl/>
        </w:rPr>
        <w:br/>
      </w:r>
      <w:r w:rsidRPr="009A53DF">
        <w:rPr>
          <w:rFonts w:hint="cs"/>
          <w:sz w:val="18"/>
          <w:szCs w:val="18"/>
          <w:rtl/>
        </w:rPr>
        <w:t>[וייתכן לומר שדין זה איתא אף אם בב' הפעמים הראשונות לא ראתה דם בשפע אלא רק בפעם השלישית ראתה כך].</w:t>
      </w:r>
      <w:r>
        <w:rPr>
          <w:sz w:val="20"/>
          <w:szCs w:val="20"/>
          <w:rtl/>
        </w:rPr>
        <w:br/>
      </w:r>
      <w:r>
        <w:rPr>
          <w:rFonts w:hint="cs"/>
          <w:sz w:val="20"/>
          <w:szCs w:val="20"/>
          <w:rtl/>
        </w:rPr>
        <w:t xml:space="preserve">ב. </w:t>
      </w:r>
      <w:r w:rsidRPr="00360186">
        <w:rPr>
          <w:rFonts w:hint="cs"/>
          <w:b/>
          <w:bCs/>
          <w:sz w:val="20"/>
          <w:szCs w:val="20"/>
          <w:rtl/>
        </w:rPr>
        <w:t>שו"ת שואל ומשיב</w:t>
      </w:r>
      <w:r>
        <w:rPr>
          <w:rFonts w:hint="cs"/>
          <w:sz w:val="20"/>
          <w:szCs w:val="20"/>
          <w:rtl/>
        </w:rPr>
        <w:t xml:space="preserve"> </w:t>
      </w:r>
      <w:r>
        <w:rPr>
          <w:sz w:val="20"/>
          <w:szCs w:val="20"/>
          <w:rtl/>
        </w:rPr>
        <w:t>–</w:t>
      </w:r>
      <w:r>
        <w:rPr>
          <w:rFonts w:hint="cs"/>
          <w:sz w:val="20"/>
          <w:szCs w:val="20"/>
          <w:rtl/>
        </w:rPr>
        <w:t xml:space="preserve"> אפילו אם ראתה דם בשפע מותרת להינשא לבעל שני.</w:t>
      </w:r>
      <w:r>
        <w:rPr>
          <w:sz w:val="20"/>
          <w:szCs w:val="20"/>
          <w:rtl/>
        </w:rPr>
        <w:br/>
      </w:r>
      <w:r w:rsidRPr="00360186">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דווקא העובדה שהדם בא בשפע מוכיחה שאין הדם מחמת תשמיש.</w:t>
      </w:r>
    </w:p>
    <w:p w:rsidR="00620060" w:rsidRDefault="00620060" w:rsidP="00620060">
      <w:pPr>
        <w:rPr>
          <w:sz w:val="20"/>
          <w:szCs w:val="20"/>
          <w:rtl/>
        </w:rPr>
      </w:pPr>
      <w:r>
        <w:rPr>
          <w:rFonts w:hint="cs"/>
          <w:sz w:val="20"/>
          <w:szCs w:val="20"/>
          <w:u w:val="single"/>
          <w:rtl/>
        </w:rPr>
        <w:t>דין רמ"ת בזקנה מסולקת דמים (פת"ש)</w:t>
      </w:r>
      <w:r>
        <w:rPr>
          <w:rFonts w:hint="cs"/>
          <w:sz w:val="20"/>
          <w:szCs w:val="20"/>
          <w:u w:val="single"/>
          <w:rtl/>
        </w:rPr>
        <w:br/>
      </w:r>
      <w:r w:rsidRPr="009131E1">
        <w:rPr>
          <w:rFonts w:hint="cs"/>
          <w:b/>
          <w:bCs/>
          <w:sz w:val="20"/>
          <w:szCs w:val="20"/>
          <w:rtl/>
        </w:rPr>
        <w:t>שבות יעקב</w:t>
      </w:r>
      <w:r>
        <w:rPr>
          <w:rFonts w:hint="cs"/>
          <w:sz w:val="20"/>
          <w:szCs w:val="20"/>
          <w:rtl/>
        </w:rPr>
        <w:t xml:space="preserve"> </w:t>
      </w:r>
      <w:r>
        <w:rPr>
          <w:sz w:val="20"/>
          <w:szCs w:val="20"/>
          <w:rtl/>
        </w:rPr>
        <w:t>–</w:t>
      </w:r>
      <w:r>
        <w:rPr>
          <w:rFonts w:hint="cs"/>
          <w:sz w:val="20"/>
          <w:szCs w:val="20"/>
          <w:rtl/>
        </w:rPr>
        <w:t xml:space="preserve"> אשה זקנה שהיא מסולקת דמים וכעת התחילה לראות מחמת תשמיש, ובשעת תשמיש מרגישה כאב וצער </w:t>
      </w:r>
      <w:r>
        <w:rPr>
          <w:sz w:val="20"/>
          <w:szCs w:val="20"/>
          <w:rtl/>
        </w:rPr>
        <w:t>–</w:t>
      </w:r>
      <w:r>
        <w:rPr>
          <w:rFonts w:hint="cs"/>
          <w:sz w:val="20"/>
          <w:szCs w:val="20"/>
          <w:rtl/>
        </w:rPr>
        <w:t xml:space="preserve"> מותרת ואינה צריכה בדיקת שפופרת.</w:t>
      </w:r>
      <w:r>
        <w:rPr>
          <w:sz w:val="20"/>
          <w:szCs w:val="20"/>
          <w:rtl/>
        </w:rPr>
        <w:br/>
      </w:r>
      <w:r w:rsidRPr="009131E1">
        <w:rPr>
          <w:rFonts w:hint="cs"/>
          <w:sz w:val="18"/>
          <w:szCs w:val="18"/>
          <w:rtl/>
        </w:rPr>
        <w:t>(אמנם, אם היתה רמ"ת בילדותה לא מהני לה מה שהזקינה כדי להתירה אם עדיין רואה מחמת תשמיש).</w:t>
      </w:r>
    </w:p>
    <w:p w:rsidR="00620060" w:rsidRPr="00B333B7" w:rsidRDefault="00620060" w:rsidP="00620060">
      <w:pPr>
        <w:rPr>
          <w:sz w:val="20"/>
          <w:szCs w:val="20"/>
          <w:rtl/>
        </w:rPr>
      </w:pPr>
      <w:r>
        <w:rPr>
          <w:rFonts w:hint="cs"/>
          <w:sz w:val="20"/>
          <w:szCs w:val="20"/>
          <w:u w:val="single"/>
          <w:rtl/>
        </w:rPr>
        <w:t>בדיקה לרמ"ת בהיותה מעוברת (פת"ש)</w:t>
      </w:r>
      <w:r>
        <w:rPr>
          <w:sz w:val="20"/>
          <w:szCs w:val="20"/>
          <w:u w:val="single"/>
          <w:rtl/>
        </w:rPr>
        <w:br/>
      </w:r>
      <w:r w:rsidRPr="00B333B7">
        <w:rPr>
          <w:rFonts w:hint="cs"/>
          <w:b/>
          <w:bCs/>
          <w:sz w:val="20"/>
          <w:szCs w:val="20"/>
          <w:rtl/>
        </w:rPr>
        <w:t>נודע ביהודה</w:t>
      </w:r>
      <w:r>
        <w:rPr>
          <w:rFonts w:hint="cs"/>
          <w:sz w:val="20"/>
          <w:szCs w:val="20"/>
          <w:rtl/>
        </w:rPr>
        <w:t xml:space="preserve"> </w:t>
      </w:r>
      <w:r>
        <w:rPr>
          <w:sz w:val="20"/>
          <w:szCs w:val="20"/>
          <w:rtl/>
        </w:rPr>
        <w:t>–</w:t>
      </w:r>
      <w:r>
        <w:rPr>
          <w:rFonts w:hint="cs"/>
          <w:sz w:val="20"/>
          <w:szCs w:val="20"/>
          <w:rtl/>
        </w:rPr>
        <w:t xml:space="preserve"> אשה שראתה ג' פעמים מחמת תשמיש ובפעם השלישית התעברה, לא מהני לה בדיקה עד לאחר ימי עיבורה והנקתה.</w:t>
      </w:r>
      <w:r>
        <w:rPr>
          <w:sz w:val="20"/>
          <w:szCs w:val="20"/>
          <w:rtl/>
        </w:rPr>
        <w:br/>
      </w:r>
      <w:r w:rsidRPr="00B333B7">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כל אותם ימים היא מסולקת דמים ולא מהני מה שלא תמצא דם בשעת בדיקה. </w:t>
      </w:r>
      <w:r>
        <w:rPr>
          <w:sz w:val="20"/>
          <w:szCs w:val="20"/>
          <w:rtl/>
        </w:rPr>
        <w:br/>
      </w:r>
      <w:r>
        <w:rPr>
          <w:rFonts w:hint="cs"/>
          <w:sz w:val="20"/>
          <w:szCs w:val="20"/>
          <w:rtl/>
        </w:rPr>
        <w:t>ואמנם, אם תראה דם בצדדי השפופרת, שפיר מהני לה הבדיקה.</w:t>
      </w:r>
      <w:r>
        <w:rPr>
          <w:rFonts w:hint="cs"/>
          <w:sz w:val="20"/>
          <w:szCs w:val="20"/>
          <w:rtl/>
        </w:rPr>
        <w:br/>
        <w:t>ואף אם לא תמצא דם, בדיקה זו מהני לה לימי עיבורה שמותרת לשמש בהם, ולעניין בדיקת עיבור האם מהני לימי הנקה צ"ע.</w:t>
      </w:r>
    </w:p>
    <w:p w:rsidR="00620060" w:rsidRDefault="00620060" w:rsidP="00620060">
      <w:pPr>
        <w:rPr>
          <w:sz w:val="20"/>
          <w:szCs w:val="20"/>
          <w:rtl/>
        </w:rPr>
      </w:pPr>
      <w:r>
        <w:rPr>
          <w:rFonts w:hint="cs"/>
          <w:sz w:val="20"/>
          <w:szCs w:val="20"/>
          <w:u w:val="single"/>
          <w:rtl/>
        </w:rPr>
        <w:t>אימתי נעשית בדיקת שפופרת (פת"ש)</w:t>
      </w:r>
      <w:r>
        <w:rPr>
          <w:rFonts w:hint="cs"/>
          <w:sz w:val="20"/>
          <w:szCs w:val="20"/>
          <w:u w:val="single"/>
          <w:rtl/>
        </w:rPr>
        <w:br/>
      </w:r>
      <w:r w:rsidRPr="00B333B7">
        <w:rPr>
          <w:rFonts w:hint="cs"/>
          <w:b/>
          <w:bCs/>
          <w:sz w:val="20"/>
          <w:szCs w:val="20"/>
          <w:rtl/>
        </w:rPr>
        <w:t>נודע ביהודה</w:t>
      </w:r>
      <w:r>
        <w:rPr>
          <w:rFonts w:hint="cs"/>
          <w:sz w:val="20"/>
          <w:szCs w:val="20"/>
          <w:rtl/>
        </w:rPr>
        <w:t xml:space="preserve"> </w:t>
      </w:r>
      <w:r>
        <w:rPr>
          <w:sz w:val="20"/>
          <w:szCs w:val="20"/>
          <w:rtl/>
        </w:rPr>
        <w:t>–</w:t>
      </w:r>
      <w:r>
        <w:rPr>
          <w:rFonts w:hint="cs"/>
          <w:sz w:val="20"/>
          <w:szCs w:val="20"/>
          <w:rtl/>
        </w:rPr>
        <w:t xml:space="preserve"> בדיקת שפופרת צריכה להיעשות דווקא לאחר ז' נקיים.</w:t>
      </w:r>
      <w:r>
        <w:rPr>
          <w:sz w:val="20"/>
          <w:szCs w:val="20"/>
          <w:rtl/>
        </w:rPr>
        <w:br/>
      </w:r>
      <w:r w:rsidRPr="00B333B7">
        <w:rPr>
          <w:rFonts w:hint="cs"/>
          <w:b/>
          <w:bCs/>
          <w:sz w:val="20"/>
          <w:szCs w:val="20"/>
          <w:rtl/>
        </w:rPr>
        <w:t xml:space="preserve">טעם </w:t>
      </w:r>
      <w:r>
        <w:rPr>
          <w:sz w:val="20"/>
          <w:szCs w:val="20"/>
          <w:rtl/>
        </w:rPr>
        <w:t>–</w:t>
      </w:r>
      <w:r>
        <w:rPr>
          <w:rFonts w:hint="cs"/>
          <w:sz w:val="20"/>
          <w:szCs w:val="20"/>
          <w:rtl/>
        </w:rPr>
        <w:t xml:space="preserve"> אם בבדיקת שפופרת מצאה דם בצדדים, היא מותרת לבעלה גם אם תמשיך לראות בשעת תשמיש. </w:t>
      </w:r>
      <w:r>
        <w:rPr>
          <w:sz w:val="20"/>
          <w:szCs w:val="20"/>
          <w:rtl/>
        </w:rPr>
        <w:br/>
      </w:r>
      <w:r>
        <w:rPr>
          <w:rFonts w:hint="cs"/>
          <w:sz w:val="20"/>
          <w:szCs w:val="20"/>
          <w:rtl/>
        </w:rPr>
        <w:t>מכיוון שכך, צריך לוודא שבאמת הדם בא לה מהצד ולא מהמקור, לכן הבדיקה צריכה לבוא דווקא לאחר ז' נקיים משום שאם לא כך ייתכן שהדם שראתה בצד השפופרת מקורו במקור, אלא שהמקום של האשה לא היה נקי ולכן ראתה את הדם בצד.</w:t>
      </w:r>
      <w:r>
        <w:rPr>
          <w:rStyle w:val="a5"/>
          <w:sz w:val="20"/>
          <w:szCs w:val="20"/>
          <w:rtl/>
        </w:rPr>
        <w:footnoteReference w:id="96"/>
      </w:r>
    </w:p>
    <w:p w:rsidR="00620060" w:rsidRDefault="00620060" w:rsidP="00620060">
      <w:pPr>
        <w:rPr>
          <w:sz w:val="20"/>
          <w:szCs w:val="20"/>
          <w:rtl/>
        </w:rPr>
      </w:pPr>
      <w:r>
        <w:rPr>
          <w:rFonts w:hint="cs"/>
          <w:sz w:val="20"/>
          <w:szCs w:val="20"/>
          <w:u w:val="single"/>
          <w:rtl/>
        </w:rPr>
        <w:t>ראתה דם לאחר זמן רב (פת"ש)</w:t>
      </w:r>
      <w:r>
        <w:rPr>
          <w:rFonts w:hint="cs"/>
          <w:sz w:val="20"/>
          <w:szCs w:val="20"/>
          <w:u w:val="single"/>
          <w:rtl/>
        </w:rPr>
        <w:br/>
      </w:r>
      <w:r w:rsidRPr="002213A0">
        <w:rPr>
          <w:rFonts w:hint="cs"/>
          <w:b/>
          <w:bCs/>
          <w:sz w:val="20"/>
          <w:szCs w:val="20"/>
          <w:rtl/>
        </w:rPr>
        <w:t>רמ"א</w:t>
      </w:r>
      <w:r>
        <w:rPr>
          <w:rFonts w:hint="cs"/>
          <w:sz w:val="20"/>
          <w:szCs w:val="20"/>
          <w:rtl/>
        </w:rPr>
        <w:t xml:space="preserve"> </w:t>
      </w:r>
      <w:r>
        <w:rPr>
          <w:sz w:val="20"/>
          <w:szCs w:val="20"/>
          <w:rtl/>
        </w:rPr>
        <w:t>–</w:t>
      </w:r>
      <w:r>
        <w:rPr>
          <w:rFonts w:hint="cs"/>
          <w:sz w:val="20"/>
          <w:szCs w:val="20"/>
          <w:rtl/>
        </w:rPr>
        <w:t xml:space="preserve"> "</w:t>
      </w:r>
      <w:r w:rsidRPr="00134039">
        <w:rPr>
          <w:rFonts w:cs="Arial" w:hint="cs"/>
          <w:sz w:val="18"/>
          <w:szCs w:val="18"/>
          <w:rtl/>
        </w:rPr>
        <w:t>אבל</w:t>
      </w:r>
      <w:r w:rsidRPr="00134039">
        <w:rPr>
          <w:rFonts w:cs="Arial"/>
          <w:sz w:val="18"/>
          <w:szCs w:val="18"/>
          <w:rtl/>
        </w:rPr>
        <w:t xml:space="preserve"> </w:t>
      </w:r>
      <w:r w:rsidRPr="00134039">
        <w:rPr>
          <w:rFonts w:cs="Arial" w:hint="cs"/>
          <w:sz w:val="18"/>
          <w:szCs w:val="18"/>
          <w:rtl/>
        </w:rPr>
        <w:t>אם</w:t>
      </w:r>
      <w:r w:rsidRPr="00134039">
        <w:rPr>
          <w:rFonts w:cs="Arial"/>
          <w:sz w:val="18"/>
          <w:szCs w:val="18"/>
          <w:rtl/>
        </w:rPr>
        <w:t xml:space="preserve"> </w:t>
      </w:r>
      <w:r w:rsidRPr="00134039">
        <w:rPr>
          <w:rFonts w:cs="Arial" w:hint="cs"/>
          <w:sz w:val="18"/>
          <w:szCs w:val="18"/>
          <w:rtl/>
        </w:rPr>
        <w:t>לא</w:t>
      </w:r>
      <w:r w:rsidRPr="00134039">
        <w:rPr>
          <w:rFonts w:cs="Arial"/>
          <w:sz w:val="18"/>
          <w:szCs w:val="18"/>
          <w:rtl/>
        </w:rPr>
        <w:t xml:space="preserve"> </w:t>
      </w:r>
      <w:r w:rsidRPr="00134039">
        <w:rPr>
          <w:rFonts w:cs="Arial" w:hint="cs"/>
          <w:sz w:val="18"/>
          <w:szCs w:val="18"/>
          <w:rtl/>
        </w:rPr>
        <w:t>ראתה</w:t>
      </w:r>
      <w:r w:rsidRPr="00134039">
        <w:rPr>
          <w:rFonts w:cs="Arial"/>
          <w:sz w:val="18"/>
          <w:szCs w:val="18"/>
          <w:rtl/>
        </w:rPr>
        <w:t xml:space="preserve"> </w:t>
      </w:r>
      <w:r w:rsidRPr="00134039">
        <w:rPr>
          <w:rFonts w:cs="Arial" w:hint="cs"/>
          <w:sz w:val="18"/>
          <w:szCs w:val="18"/>
          <w:rtl/>
        </w:rPr>
        <w:t>סמוך</w:t>
      </w:r>
      <w:r w:rsidRPr="00134039">
        <w:rPr>
          <w:rFonts w:cs="Arial"/>
          <w:sz w:val="18"/>
          <w:szCs w:val="18"/>
          <w:rtl/>
        </w:rPr>
        <w:t xml:space="preserve"> </w:t>
      </w:r>
      <w:r w:rsidRPr="00134039">
        <w:rPr>
          <w:rFonts w:cs="Arial" w:hint="cs"/>
          <w:sz w:val="18"/>
          <w:szCs w:val="18"/>
          <w:rtl/>
        </w:rPr>
        <w:t>לתשמיש</w:t>
      </w:r>
      <w:r w:rsidRPr="00134039">
        <w:rPr>
          <w:rFonts w:cs="Arial"/>
          <w:sz w:val="18"/>
          <w:szCs w:val="18"/>
          <w:rtl/>
        </w:rPr>
        <w:t xml:space="preserve">, </w:t>
      </w:r>
      <w:r w:rsidRPr="00134039">
        <w:rPr>
          <w:rFonts w:cs="Arial" w:hint="cs"/>
          <w:sz w:val="18"/>
          <w:szCs w:val="18"/>
          <w:rtl/>
        </w:rPr>
        <w:t>לא</w:t>
      </w:r>
      <w:r w:rsidRPr="00134039">
        <w:rPr>
          <w:rFonts w:cs="Arial"/>
          <w:sz w:val="18"/>
          <w:szCs w:val="18"/>
          <w:rtl/>
        </w:rPr>
        <w:t xml:space="preserve"> </w:t>
      </w:r>
      <w:r w:rsidRPr="00134039">
        <w:rPr>
          <w:rFonts w:cs="Arial" w:hint="cs"/>
          <w:sz w:val="18"/>
          <w:szCs w:val="18"/>
          <w:rtl/>
        </w:rPr>
        <w:t>נאסרה</w:t>
      </w:r>
      <w:r w:rsidRPr="00134039">
        <w:rPr>
          <w:rFonts w:cs="Arial"/>
          <w:sz w:val="18"/>
          <w:szCs w:val="18"/>
          <w:rtl/>
        </w:rPr>
        <w:t xml:space="preserve"> </w:t>
      </w:r>
      <w:r w:rsidRPr="00134039">
        <w:rPr>
          <w:rFonts w:cs="Arial" w:hint="cs"/>
          <w:sz w:val="18"/>
          <w:szCs w:val="18"/>
          <w:rtl/>
        </w:rPr>
        <w:t>על</w:t>
      </w:r>
      <w:r w:rsidRPr="00134039">
        <w:rPr>
          <w:rFonts w:cs="Arial"/>
          <w:sz w:val="18"/>
          <w:szCs w:val="18"/>
          <w:rtl/>
        </w:rPr>
        <w:t xml:space="preserve"> </w:t>
      </w:r>
      <w:r w:rsidRPr="00134039">
        <w:rPr>
          <w:rFonts w:cs="Arial" w:hint="cs"/>
          <w:sz w:val="18"/>
          <w:szCs w:val="18"/>
          <w:rtl/>
        </w:rPr>
        <w:t>בעלה</w:t>
      </w:r>
      <w:r>
        <w:rPr>
          <w:rFonts w:hint="cs"/>
          <w:sz w:val="20"/>
          <w:szCs w:val="20"/>
          <w:rtl/>
        </w:rPr>
        <w:t>".</w:t>
      </w:r>
      <w:r>
        <w:rPr>
          <w:sz w:val="20"/>
          <w:szCs w:val="20"/>
          <w:rtl/>
        </w:rPr>
        <w:br/>
      </w:r>
      <w:r w:rsidRPr="008B6EC9">
        <w:rPr>
          <w:rFonts w:hint="cs"/>
          <w:b/>
          <w:bCs/>
          <w:sz w:val="20"/>
          <w:szCs w:val="20"/>
          <w:rtl/>
        </w:rPr>
        <w:t>חוות דעת</w:t>
      </w:r>
      <w:r>
        <w:rPr>
          <w:rFonts w:hint="cs"/>
          <w:sz w:val="20"/>
          <w:szCs w:val="20"/>
          <w:rtl/>
        </w:rPr>
        <w:t xml:space="preserve"> </w:t>
      </w:r>
      <w:r>
        <w:rPr>
          <w:sz w:val="20"/>
          <w:szCs w:val="20"/>
          <w:rtl/>
        </w:rPr>
        <w:t>–</w:t>
      </w:r>
      <w:r>
        <w:rPr>
          <w:rFonts w:hint="cs"/>
          <w:sz w:val="20"/>
          <w:szCs w:val="20"/>
          <w:rtl/>
        </w:rPr>
        <w:t xml:space="preserve"> מכל מקום, אין לו לבוא עליה ביאה שנייה באותו הלילה.</w:t>
      </w:r>
      <w:r>
        <w:rPr>
          <w:sz w:val="20"/>
          <w:szCs w:val="20"/>
          <w:rtl/>
        </w:rPr>
        <w:br/>
      </w:r>
      <w:r w:rsidRPr="00C92BA5">
        <w:rPr>
          <w:rFonts w:hint="cs"/>
          <w:b/>
          <w:bCs/>
          <w:sz w:val="20"/>
          <w:szCs w:val="20"/>
          <w:rtl/>
        </w:rPr>
        <w:t>טעם</w:t>
      </w:r>
      <w:r>
        <w:rPr>
          <w:rFonts w:hint="cs"/>
          <w:sz w:val="20"/>
          <w:szCs w:val="20"/>
          <w:rtl/>
        </w:rPr>
        <w:t xml:space="preserve"> - כיוון שהיא עונה הסמוכה לווסת עד שתיעקר בג' פעמים, דהיינו שג' פעמים תשמש ולא תראה דם כלל.</w:t>
      </w:r>
    </w:p>
    <w:p w:rsidR="00620060" w:rsidRDefault="00620060" w:rsidP="00620060">
      <w:pPr>
        <w:rPr>
          <w:sz w:val="20"/>
          <w:szCs w:val="20"/>
          <w:rtl/>
        </w:rPr>
      </w:pPr>
      <w:r>
        <w:rPr>
          <w:rFonts w:hint="cs"/>
          <w:sz w:val="20"/>
          <w:szCs w:val="20"/>
          <w:u w:val="single"/>
          <w:rtl/>
        </w:rPr>
        <w:t>דין רמ"ת בזמנינו</w:t>
      </w:r>
      <w:r>
        <w:rPr>
          <w:sz w:val="20"/>
          <w:szCs w:val="20"/>
          <w:u w:val="single"/>
          <w:rtl/>
        </w:rPr>
        <w:br/>
      </w:r>
      <w:r w:rsidRPr="00360186">
        <w:rPr>
          <w:rFonts w:hint="cs"/>
          <w:b/>
          <w:bCs/>
          <w:sz w:val="20"/>
          <w:szCs w:val="20"/>
          <w:rtl/>
        </w:rPr>
        <w:t>שבט הלוי</w:t>
      </w:r>
      <w:r>
        <w:rPr>
          <w:rFonts w:hint="cs"/>
          <w:sz w:val="20"/>
          <w:szCs w:val="20"/>
          <w:rtl/>
        </w:rPr>
        <w:t xml:space="preserve"> </w:t>
      </w:r>
      <w:r>
        <w:rPr>
          <w:sz w:val="20"/>
          <w:szCs w:val="20"/>
          <w:rtl/>
        </w:rPr>
        <w:t>–</w:t>
      </w:r>
      <w:r>
        <w:rPr>
          <w:rFonts w:hint="cs"/>
          <w:sz w:val="20"/>
          <w:szCs w:val="20"/>
          <w:rtl/>
        </w:rPr>
        <w:t xml:space="preserve"> בזמנינו ניתן למנוע דין רמ"ת, כיוון שיש זריקות וכדורים למניעת הדם. ואפילו אם ראתה פעמיים לאחר תשמיש, יכולה למנוע את הדם בביאה שלישית ע"י טיפול ברפואות שונות.</w:t>
      </w:r>
    </w:p>
    <w:p w:rsidR="00620060"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Pr>
          <w:rFonts w:hint="cs"/>
          <w:b/>
          <w:bCs/>
          <w:sz w:val="20"/>
          <w:szCs w:val="20"/>
          <w:rtl/>
        </w:rPr>
        <w:t>גמרא</w:t>
      </w:r>
      <w:r>
        <w:rPr>
          <w:rFonts w:hint="cs"/>
          <w:sz w:val="20"/>
          <w:szCs w:val="20"/>
          <w:rtl/>
        </w:rPr>
        <w:t>.</w:t>
      </w:r>
      <w:r>
        <w:rPr>
          <w:rFonts w:hint="cs"/>
          <w:b/>
          <w:bCs/>
          <w:sz w:val="20"/>
          <w:szCs w:val="20"/>
          <w:rtl/>
        </w:rPr>
        <w:t xml:space="preserve"> </w:t>
      </w:r>
      <w:r>
        <w:rPr>
          <w:rFonts w:hint="cs"/>
          <w:sz w:val="20"/>
          <w:szCs w:val="20"/>
          <w:rtl/>
        </w:rPr>
        <w:t xml:space="preserve">הרואה דם מחמת תשמיש ג' פעמים אסורה על בעלה ותינשא לאחר. ראתה ג' פעמים גם אצל ב' בעלים נוספים </w:t>
      </w:r>
      <w:r>
        <w:rPr>
          <w:sz w:val="20"/>
          <w:szCs w:val="20"/>
          <w:rtl/>
        </w:rPr>
        <w:t>–</w:t>
      </w:r>
      <w:r>
        <w:rPr>
          <w:rFonts w:hint="cs"/>
          <w:sz w:val="20"/>
          <w:szCs w:val="20"/>
          <w:rtl/>
        </w:rPr>
        <w:t xml:space="preserve"> תיבדק. אינה בודקת תחת בעל ראשון משום שאין כל האצבעות שוות. אינה בודקת בביאה א' של בעל ג' משום שאין כל הכוחות שווים.</w:t>
      </w:r>
      <w:r>
        <w:rPr>
          <w:rFonts w:hint="cs"/>
          <w:sz w:val="20"/>
          <w:szCs w:val="20"/>
          <w:rtl/>
        </w:rPr>
        <w:br/>
        <w:t xml:space="preserve">2. </w:t>
      </w:r>
      <w:r w:rsidRPr="00F849ED">
        <w:rPr>
          <w:rFonts w:hint="cs"/>
          <w:b/>
          <w:bCs/>
          <w:sz w:val="20"/>
          <w:szCs w:val="20"/>
          <w:rtl/>
        </w:rPr>
        <w:t>רשב"א</w:t>
      </w:r>
      <w:r>
        <w:rPr>
          <w:rFonts w:hint="cs"/>
          <w:sz w:val="20"/>
          <w:szCs w:val="20"/>
          <w:rtl/>
        </w:rPr>
        <w:t xml:space="preserve">. רק אם ראתה ג"פ רצופות נאסרת. </w:t>
      </w:r>
      <w:r w:rsidRPr="00F849ED">
        <w:rPr>
          <w:rFonts w:hint="cs"/>
          <w:b/>
          <w:bCs/>
          <w:sz w:val="20"/>
          <w:szCs w:val="20"/>
          <w:rtl/>
        </w:rPr>
        <w:t>ש"ך</w:t>
      </w:r>
      <w:r>
        <w:rPr>
          <w:rFonts w:hint="cs"/>
          <w:sz w:val="20"/>
          <w:szCs w:val="20"/>
          <w:rtl/>
        </w:rPr>
        <w:t>. רצופים היינו שלא היה תשמיש היתר בין התשמישים.</w:t>
      </w:r>
      <w:r>
        <w:rPr>
          <w:rFonts w:hint="cs"/>
          <w:sz w:val="20"/>
          <w:szCs w:val="20"/>
          <w:rtl/>
        </w:rPr>
        <w:br/>
        <w:t xml:space="preserve">3. </w:t>
      </w:r>
      <w:r w:rsidRPr="00F849ED">
        <w:rPr>
          <w:rFonts w:hint="cs"/>
          <w:sz w:val="20"/>
          <w:szCs w:val="20"/>
          <w:u w:val="single"/>
          <w:rtl/>
        </w:rPr>
        <w:t>מהו פרק הזמן שראייתה באה לה מחמת תשמיש?</w:t>
      </w:r>
      <w:r>
        <w:rPr>
          <w:rFonts w:hint="cs"/>
          <w:sz w:val="20"/>
          <w:szCs w:val="20"/>
          <w:rtl/>
        </w:rPr>
        <w:t xml:space="preserve"> </w:t>
      </w:r>
      <w:r w:rsidRPr="00F849ED">
        <w:rPr>
          <w:rFonts w:hint="cs"/>
          <w:b/>
          <w:bCs/>
          <w:sz w:val="20"/>
          <w:szCs w:val="20"/>
          <w:rtl/>
        </w:rPr>
        <w:t>סמ"ק</w:t>
      </w:r>
      <w:r>
        <w:rPr>
          <w:rFonts w:hint="cs"/>
          <w:sz w:val="20"/>
          <w:szCs w:val="20"/>
          <w:rtl/>
        </w:rPr>
        <w:t xml:space="preserve">. בכדי שתרד מהמיטה ותקנח פניה של מטה. </w:t>
      </w:r>
      <w:r w:rsidRPr="00F849ED">
        <w:rPr>
          <w:rFonts w:hint="cs"/>
          <w:b/>
          <w:bCs/>
          <w:sz w:val="20"/>
          <w:szCs w:val="20"/>
          <w:rtl/>
        </w:rPr>
        <w:t>ראב"ד</w:t>
      </w:r>
      <w:r>
        <w:rPr>
          <w:rFonts w:hint="cs"/>
          <w:sz w:val="20"/>
          <w:szCs w:val="20"/>
          <w:rtl/>
        </w:rPr>
        <w:t xml:space="preserve">. בכדי שתושיט ידה תחת הכר או הכסת ותיטול עד ותבדוק בו, וכ"פ </w:t>
      </w:r>
      <w:r w:rsidRPr="00F849ED">
        <w:rPr>
          <w:rFonts w:hint="cs"/>
          <w:b/>
          <w:bCs/>
          <w:sz w:val="20"/>
          <w:szCs w:val="20"/>
          <w:rtl/>
        </w:rPr>
        <w:t>המחבר</w:t>
      </w:r>
      <w:r>
        <w:rPr>
          <w:rFonts w:hint="cs"/>
          <w:sz w:val="20"/>
          <w:szCs w:val="20"/>
          <w:rtl/>
        </w:rPr>
        <w:t xml:space="preserve">. </w:t>
      </w:r>
      <w:r w:rsidRPr="00F849ED">
        <w:rPr>
          <w:rFonts w:hint="cs"/>
          <w:b/>
          <w:bCs/>
          <w:sz w:val="20"/>
          <w:szCs w:val="20"/>
          <w:rtl/>
        </w:rPr>
        <w:t>י</w:t>
      </w:r>
      <w:r>
        <w:rPr>
          <w:rFonts w:hint="cs"/>
          <w:b/>
          <w:bCs/>
          <w:sz w:val="20"/>
          <w:szCs w:val="20"/>
          <w:rtl/>
        </w:rPr>
        <w:t>ש אומרים</w:t>
      </w:r>
      <w:r w:rsidRPr="00F849ED">
        <w:rPr>
          <w:rFonts w:hint="cs"/>
          <w:b/>
          <w:bCs/>
          <w:sz w:val="20"/>
          <w:szCs w:val="20"/>
          <w:rtl/>
        </w:rPr>
        <w:t xml:space="preserve"> בראב"ד</w:t>
      </w:r>
      <w:r>
        <w:rPr>
          <w:rFonts w:hint="cs"/>
          <w:sz w:val="20"/>
          <w:szCs w:val="20"/>
          <w:rtl/>
        </w:rPr>
        <w:t xml:space="preserve">. איננו בקיאים, יש להחמיר בכל ראייה הסמוכה לתשמיש, וכ"פ </w:t>
      </w:r>
      <w:r w:rsidRPr="00F849ED">
        <w:rPr>
          <w:rFonts w:hint="cs"/>
          <w:b/>
          <w:bCs/>
          <w:sz w:val="20"/>
          <w:szCs w:val="20"/>
          <w:rtl/>
        </w:rPr>
        <w:t>הרמ"א</w:t>
      </w:r>
      <w:r>
        <w:rPr>
          <w:rFonts w:hint="cs"/>
          <w:sz w:val="20"/>
          <w:szCs w:val="20"/>
          <w:rtl/>
        </w:rPr>
        <w:t>.</w:t>
      </w:r>
      <w:r>
        <w:rPr>
          <w:rFonts w:hint="cs"/>
          <w:sz w:val="20"/>
          <w:szCs w:val="20"/>
          <w:rtl/>
        </w:rPr>
        <w:br/>
      </w:r>
      <w:r>
        <w:rPr>
          <w:rFonts w:hint="cs"/>
          <w:sz w:val="20"/>
          <w:szCs w:val="20"/>
          <w:rtl/>
        </w:rPr>
        <w:lastRenderedPageBreak/>
        <w:t>4</w:t>
      </w:r>
      <w:r w:rsidRPr="00224997">
        <w:rPr>
          <w:rFonts w:hint="cs"/>
          <w:sz w:val="20"/>
          <w:szCs w:val="20"/>
          <w:rtl/>
        </w:rPr>
        <w:t>. הסבר השיטות</w:t>
      </w:r>
      <w:r>
        <w:rPr>
          <w:rFonts w:hint="cs"/>
          <w:sz w:val="20"/>
          <w:szCs w:val="20"/>
          <w:rtl/>
        </w:rPr>
        <w:t xml:space="preserve">. </w:t>
      </w:r>
      <w:r w:rsidRPr="00F849ED">
        <w:rPr>
          <w:rFonts w:hint="cs"/>
          <w:b/>
          <w:bCs/>
          <w:sz w:val="20"/>
          <w:szCs w:val="20"/>
          <w:rtl/>
        </w:rPr>
        <w:t>משנה</w:t>
      </w:r>
      <w:r>
        <w:rPr>
          <w:rFonts w:hint="cs"/>
          <w:sz w:val="20"/>
          <w:szCs w:val="20"/>
          <w:rtl/>
        </w:rPr>
        <w:t xml:space="preserve">. יש לבדוק לאחר תשמיש. בדקה ומצאה דם על עד שלה </w:t>
      </w:r>
      <w:r>
        <w:rPr>
          <w:sz w:val="20"/>
          <w:szCs w:val="20"/>
          <w:rtl/>
        </w:rPr>
        <w:t>–</w:t>
      </w:r>
      <w:r>
        <w:rPr>
          <w:rFonts w:hint="cs"/>
          <w:sz w:val="20"/>
          <w:szCs w:val="20"/>
          <w:rtl/>
        </w:rPr>
        <w:t xml:space="preserve"> אם מצאה מייד, טמאים וחייבים קרבן. מצאה לאחר זמן, טמאים מספק ופטורים מקרבן. נחלקו אמוראים בגמרא בהסבר 'אחר זמן'.</w:t>
      </w:r>
      <w:r>
        <w:rPr>
          <w:rFonts w:hint="cs"/>
          <w:sz w:val="20"/>
          <w:szCs w:val="20"/>
          <w:rtl/>
        </w:rPr>
        <w:br/>
      </w:r>
      <w:r w:rsidRPr="00F849ED">
        <w:rPr>
          <w:rFonts w:hint="cs"/>
          <w:sz w:val="20"/>
          <w:szCs w:val="20"/>
          <w:u w:val="single"/>
          <w:rtl/>
        </w:rPr>
        <w:t>רב חסדא</w:t>
      </w:r>
      <w:r>
        <w:rPr>
          <w:rFonts w:hint="cs"/>
          <w:sz w:val="20"/>
          <w:szCs w:val="20"/>
          <w:rtl/>
        </w:rPr>
        <w:t xml:space="preserve"> ע"פ הברייתא </w:t>
      </w:r>
      <w:r>
        <w:rPr>
          <w:sz w:val="20"/>
          <w:szCs w:val="20"/>
          <w:rtl/>
        </w:rPr>
        <w:t>–</w:t>
      </w:r>
      <w:r>
        <w:rPr>
          <w:rFonts w:hint="cs"/>
          <w:sz w:val="20"/>
          <w:szCs w:val="20"/>
          <w:rtl/>
        </w:rPr>
        <w:t xml:space="preserve"> כדי שתושיט ידה לתחת הכר או תחת הכסת ותיטול עד ותבדוק,</w:t>
      </w:r>
      <w:r w:rsidRPr="00E96B20">
        <w:rPr>
          <w:rFonts w:hint="cs"/>
          <w:sz w:val="20"/>
          <w:szCs w:val="20"/>
          <w:rtl/>
        </w:rPr>
        <w:t xml:space="preserve"> </w:t>
      </w:r>
      <w:r>
        <w:rPr>
          <w:rFonts w:hint="cs"/>
          <w:sz w:val="20"/>
          <w:szCs w:val="20"/>
          <w:rtl/>
        </w:rPr>
        <w:t xml:space="preserve">וכ"פ </w:t>
      </w:r>
      <w:r w:rsidRPr="00F849ED">
        <w:rPr>
          <w:rFonts w:hint="cs"/>
          <w:b/>
          <w:bCs/>
          <w:sz w:val="20"/>
          <w:szCs w:val="20"/>
          <w:rtl/>
        </w:rPr>
        <w:t>הראב"ד</w:t>
      </w:r>
      <w:r>
        <w:rPr>
          <w:rFonts w:hint="cs"/>
          <w:sz w:val="20"/>
          <w:szCs w:val="20"/>
          <w:rtl/>
        </w:rPr>
        <w:t>.</w:t>
      </w:r>
      <w:r>
        <w:rPr>
          <w:sz w:val="20"/>
          <w:szCs w:val="20"/>
          <w:rtl/>
        </w:rPr>
        <w:br/>
      </w:r>
      <w:r w:rsidRPr="00F849ED">
        <w:rPr>
          <w:rFonts w:hint="cs"/>
          <w:sz w:val="20"/>
          <w:szCs w:val="20"/>
          <w:u w:val="single"/>
          <w:rtl/>
        </w:rPr>
        <w:t>רב אשי</w:t>
      </w:r>
      <w:r>
        <w:rPr>
          <w:rFonts w:hint="cs"/>
          <w:sz w:val="20"/>
          <w:szCs w:val="20"/>
          <w:rtl/>
        </w:rPr>
        <w:t xml:space="preserve"> ע"פ המשנה </w:t>
      </w:r>
      <w:r>
        <w:rPr>
          <w:sz w:val="20"/>
          <w:szCs w:val="20"/>
          <w:rtl/>
        </w:rPr>
        <w:t>–</w:t>
      </w:r>
      <w:r>
        <w:rPr>
          <w:rFonts w:hint="cs"/>
          <w:sz w:val="20"/>
          <w:szCs w:val="20"/>
          <w:rtl/>
        </w:rPr>
        <w:t xml:space="preserve"> כדי שתרד מהמיטה ותקנח פניה שלמטה,</w:t>
      </w:r>
      <w:r w:rsidRPr="00E96B20">
        <w:rPr>
          <w:rFonts w:hint="cs"/>
          <w:sz w:val="20"/>
          <w:szCs w:val="20"/>
          <w:rtl/>
        </w:rPr>
        <w:t xml:space="preserve"> </w:t>
      </w:r>
      <w:r>
        <w:rPr>
          <w:rFonts w:hint="cs"/>
          <w:sz w:val="20"/>
          <w:szCs w:val="20"/>
          <w:rtl/>
        </w:rPr>
        <w:t xml:space="preserve">וכ"פ </w:t>
      </w:r>
      <w:r w:rsidRPr="00F849ED">
        <w:rPr>
          <w:rFonts w:hint="cs"/>
          <w:b/>
          <w:bCs/>
          <w:sz w:val="20"/>
          <w:szCs w:val="20"/>
          <w:rtl/>
        </w:rPr>
        <w:t>הסמ"ק</w:t>
      </w:r>
      <w:r>
        <w:rPr>
          <w:rFonts w:hint="cs"/>
          <w:sz w:val="20"/>
          <w:szCs w:val="20"/>
          <w:rtl/>
        </w:rPr>
        <w:t xml:space="preserve">. </w:t>
      </w:r>
      <w:r>
        <w:rPr>
          <w:rFonts w:hint="cs"/>
          <w:sz w:val="20"/>
          <w:szCs w:val="20"/>
          <w:rtl/>
        </w:rPr>
        <w:br/>
        <w:t xml:space="preserve">שיטת </w:t>
      </w:r>
      <w:r w:rsidRPr="00F849ED">
        <w:rPr>
          <w:rFonts w:hint="cs"/>
          <w:b/>
          <w:bCs/>
          <w:sz w:val="20"/>
          <w:szCs w:val="20"/>
          <w:rtl/>
        </w:rPr>
        <w:t>הסמ"ק</w:t>
      </w:r>
      <w:r>
        <w:rPr>
          <w:rFonts w:hint="cs"/>
          <w:sz w:val="20"/>
          <w:szCs w:val="20"/>
          <w:rtl/>
        </w:rPr>
        <w:t xml:space="preserve"> קשה לכאורה משום שבגמרא הניחו את רב אשי בקשיא! </w:t>
      </w:r>
      <w:r w:rsidRPr="00F849ED">
        <w:rPr>
          <w:rFonts w:hint="cs"/>
          <w:b/>
          <w:bCs/>
          <w:sz w:val="20"/>
          <w:szCs w:val="20"/>
          <w:rtl/>
        </w:rPr>
        <w:t>ב"י</w:t>
      </w:r>
      <w:r>
        <w:rPr>
          <w:rFonts w:hint="cs"/>
          <w:sz w:val="20"/>
          <w:szCs w:val="20"/>
          <w:rtl/>
        </w:rPr>
        <w:t xml:space="preserve">. צ"ע. </w:t>
      </w:r>
      <w:r w:rsidRPr="00F849ED">
        <w:rPr>
          <w:rFonts w:hint="cs"/>
          <w:b/>
          <w:bCs/>
          <w:sz w:val="20"/>
          <w:szCs w:val="20"/>
          <w:rtl/>
        </w:rPr>
        <w:t>ב"ח</w:t>
      </w:r>
      <w:r>
        <w:rPr>
          <w:rFonts w:hint="cs"/>
          <w:sz w:val="20"/>
          <w:szCs w:val="20"/>
          <w:rtl/>
        </w:rPr>
        <w:t>. הלכה כרב אשי למרות שדבריו נשארו בקשיא.</w:t>
      </w:r>
      <w:r>
        <w:rPr>
          <w:rFonts w:hint="cs"/>
          <w:sz w:val="20"/>
          <w:szCs w:val="20"/>
          <w:rtl/>
        </w:rPr>
        <w:br/>
        <w:t xml:space="preserve">5. </w:t>
      </w:r>
      <w:r w:rsidRPr="00F849ED">
        <w:rPr>
          <w:rFonts w:hint="cs"/>
          <w:sz w:val="20"/>
          <w:szCs w:val="20"/>
          <w:u w:val="single"/>
          <w:rtl/>
        </w:rPr>
        <w:t>רבי</w:t>
      </w:r>
      <w:r>
        <w:rPr>
          <w:rFonts w:hint="cs"/>
          <w:sz w:val="20"/>
          <w:szCs w:val="20"/>
          <w:rtl/>
        </w:rPr>
        <w:t xml:space="preserve">. חזקה נוצרת בפעמיים. </w:t>
      </w:r>
      <w:r w:rsidRPr="00F849ED">
        <w:rPr>
          <w:rFonts w:hint="cs"/>
          <w:sz w:val="20"/>
          <w:szCs w:val="20"/>
          <w:u w:val="single"/>
          <w:rtl/>
        </w:rPr>
        <w:t>רשב"ג</w:t>
      </w:r>
      <w:r>
        <w:rPr>
          <w:rFonts w:hint="cs"/>
          <w:sz w:val="20"/>
          <w:szCs w:val="20"/>
          <w:rtl/>
        </w:rPr>
        <w:t xml:space="preserve">. חזקה נוצרת בג' פעמים. </w:t>
      </w:r>
      <w:r w:rsidRPr="00F849ED">
        <w:rPr>
          <w:rFonts w:hint="cs"/>
          <w:b/>
          <w:bCs/>
          <w:sz w:val="20"/>
          <w:szCs w:val="20"/>
          <w:rtl/>
        </w:rPr>
        <w:t>רשב"א</w:t>
      </w:r>
      <w:r>
        <w:rPr>
          <w:rFonts w:hint="cs"/>
          <w:sz w:val="20"/>
          <w:szCs w:val="20"/>
          <w:rtl/>
        </w:rPr>
        <w:t xml:space="preserve">. הברייתא שמתירה לרמ"ת לשמש עם בעל ג' נאמרה אליבא דרשב"ג, לרבי אסורה לאחר שני בעלים, וקיי"ל כרשב"ג בווסתות ולכן גם כאן הלכה כמותו. </w:t>
      </w:r>
      <w:r w:rsidRPr="00F849ED">
        <w:rPr>
          <w:rFonts w:hint="cs"/>
          <w:b/>
          <w:bCs/>
          <w:sz w:val="20"/>
          <w:szCs w:val="20"/>
          <w:rtl/>
        </w:rPr>
        <w:t>תוספות</w:t>
      </w:r>
      <w:r>
        <w:rPr>
          <w:rFonts w:hint="cs"/>
          <w:sz w:val="20"/>
          <w:szCs w:val="20"/>
          <w:rtl/>
        </w:rPr>
        <w:t xml:space="preserve">. גם רבי מודה כאן. </w:t>
      </w:r>
      <w:r w:rsidRPr="00F849ED">
        <w:rPr>
          <w:rFonts w:hint="cs"/>
          <w:b/>
          <w:bCs/>
          <w:sz w:val="20"/>
          <w:szCs w:val="20"/>
          <w:rtl/>
        </w:rPr>
        <w:t>סמ"ג</w:t>
      </w:r>
      <w:r>
        <w:rPr>
          <w:rFonts w:hint="cs"/>
          <w:sz w:val="20"/>
          <w:szCs w:val="20"/>
          <w:rtl/>
        </w:rPr>
        <w:t xml:space="preserve">. הברייתא אליבא דרשב"ג, רבי חולק וכוותיה קיי"ל. </w:t>
      </w:r>
      <w:r>
        <w:rPr>
          <w:sz w:val="20"/>
          <w:szCs w:val="20"/>
          <w:rtl/>
        </w:rPr>
        <w:br/>
      </w:r>
      <w:r>
        <w:rPr>
          <w:rFonts w:hint="cs"/>
          <w:sz w:val="20"/>
          <w:szCs w:val="20"/>
          <w:rtl/>
        </w:rPr>
        <w:t xml:space="preserve">הכרעת </w:t>
      </w:r>
      <w:r w:rsidRPr="00F849ED">
        <w:rPr>
          <w:rFonts w:hint="cs"/>
          <w:b/>
          <w:bCs/>
          <w:sz w:val="20"/>
          <w:szCs w:val="20"/>
          <w:rtl/>
        </w:rPr>
        <w:t>הבית יוסף</w:t>
      </w:r>
      <w:r>
        <w:rPr>
          <w:rFonts w:hint="cs"/>
          <w:sz w:val="20"/>
          <w:szCs w:val="20"/>
          <w:rtl/>
        </w:rPr>
        <w:t xml:space="preserve"> </w:t>
      </w:r>
      <w:r>
        <w:rPr>
          <w:sz w:val="20"/>
          <w:szCs w:val="20"/>
          <w:rtl/>
        </w:rPr>
        <w:t>–</w:t>
      </w:r>
      <w:r>
        <w:rPr>
          <w:rFonts w:hint="cs"/>
          <w:sz w:val="20"/>
          <w:szCs w:val="20"/>
          <w:rtl/>
        </w:rPr>
        <w:t xml:space="preserve"> אין מי שפסק כסמ"ג, אלא לכו"ע מותרת לשמש עם בעל שלישי.</w:t>
      </w:r>
      <w:r>
        <w:rPr>
          <w:sz w:val="20"/>
          <w:szCs w:val="20"/>
          <w:rtl/>
        </w:rPr>
        <w:br/>
      </w:r>
      <w:r>
        <w:rPr>
          <w:rFonts w:hint="cs"/>
          <w:sz w:val="20"/>
          <w:szCs w:val="20"/>
          <w:rtl/>
        </w:rPr>
        <w:t xml:space="preserve">6. </w:t>
      </w:r>
      <w:r w:rsidRPr="00F849ED">
        <w:rPr>
          <w:rFonts w:hint="cs"/>
          <w:b/>
          <w:bCs/>
          <w:sz w:val="20"/>
          <w:szCs w:val="20"/>
          <w:rtl/>
        </w:rPr>
        <w:t>ר"ח</w:t>
      </w:r>
      <w:r>
        <w:rPr>
          <w:rFonts w:hint="cs"/>
          <w:sz w:val="20"/>
          <w:szCs w:val="20"/>
          <w:rtl/>
        </w:rPr>
        <w:t xml:space="preserve">. רמ"ת נאמר רק אם ג' הראיות היו מייד לאחר נישואיה ללא תשמישי היתר. </w:t>
      </w:r>
      <w:r w:rsidRPr="00F849ED">
        <w:rPr>
          <w:rFonts w:hint="cs"/>
          <w:b/>
          <w:bCs/>
          <w:sz w:val="20"/>
          <w:szCs w:val="20"/>
          <w:rtl/>
        </w:rPr>
        <w:t>רמב"ם</w:t>
      </w:r>
      <w:r>
        <w:rPr>
          <w:rFonts w:hint="cs"/>
          <w:sz w:val="20"/>
          <w:szCs w:val="20"/>
          <w:rtl/>
        </w:rPr>
        <w:t xml:space="preserve"> ושאר הראשונים. אפילו אם התקלקלה לאחר זמן אסורה כדין רמ"ת, וכ"פ </w:t>
      </w:r>
      <w:r w:rsidRPr="00F849ED">
        <w:rPr>
          <w:rFonts w:hint="cs"/>
          <w:b/>
          <w:bCs/>
          <w:sz w:val="20"/>
          <w:szCs w:val="20"/>
          <w:rtl/>
        </w:rPr>
        <w:t>הרמ"א</w:t>
      </w:r>
      <w:r>
        <w:rPr>
          <w:rFonts w:hint="cs"/>
          <w:sz w:val="20"/>
          <w:szCs w:val="20"/>
          <w:rtl/>
        </w:rPr>
        <w:t>.</w:t>
      </w:r>
      <w:r>
        <w:rPr>
          <w:rFonts w:hint="cs"/>
          <w:sz w:val="20"/>
          <w:szCs w:val="20"/>
          <w:rtl/>
        </w:rPr>
        <w:br/>
        <w:t xml:space="preserve">7. </w:t>
      </w:r>
      <w:r w:rsidRPr="00F849ED">
        <w:rPr>
          <w:rFonts w:hint="cs"/>
          <w:b/>
          <w:bCs/>
          <w:sz w:val="20"/>
          <w:szCs w:val="20"/>
          <w:rtl/>
        </w:rPr>
        <w:t>רמ"א</w:t>
      </w:r>
      <w:r>
        <w:rPr>
          <w:rFonts w:hint="cs"/>
          <w:sz w:val="20"/>
          <w:szCs w:val="20"/>
          <w:rtl/>
        </w:rPr>
        <w:t>. רמ"ת הוא אפילו אם מצא הבעל על עד שלו, שהרי גם לעניין קרבן חייבים באופן זה.</w:t>
      </w:r>
      <w:r>
        <w:rPr>
          <w:rFonts w:hint="cs"/>
          <w:sz w:val="20"/>
          <w:szCs w:val="20"/>
          <w:rtl/>
        </w:rPr>
        <w:br/>
        <w:t xml:space="preserve">8. </w:t>
      </w:r>
      <w:r w:rsidRPr="00F849ED">
        <w:rPr>
          <w:rFonts w:hint="cs"/>
          <w:b/>
          <w:bCs/>
          <w:sz w:val="20"/>
          <w:szCs w:val="20"/>
          <w:rtl/>
        </w:rPr>
        <w:t>ש"ך</w:t>
      </w:r>
      <w:r>
        <w:rPr>
          <w:rFonts w:hint="cs"/>
          <w:sz w:val="20"/>
          <w:szCs w:val="20"/>
          <w:rtl/>
        </w:rPr>
        <w:t xml:space="preserve">. אם בדקה עצמה מייד לאחר תשמיש ולא ראתה דם, אפילו אם אחר כך ראתה </w:t>
      </w:r>
      <w:r>
        <w:rPr>
          <w:sz w:val="20"/>
          <w:szCs w:val="20"/>
          <w:rtl/>
        </w:rPr>
        <w:t>–</w:t>
      </w:r>
      <w:r>
        <w:rPr>
          <w:rFonts w:hint="cs"/>
          <w:sz w:val="20"/>
          <w:szCs w:val="20"/>
          <w:rtl/>
        </w:rPr>
        <w:t xml:space="preserve"> מותרת. וכל שכן אם קמה בבוקר וראתה שסדינה מוכתם בדם שמותרת. ואפילו אם ראתה בב' הפעמים שאחר כך מותרת, ואין מצרפים את הפעם הראשונה.</w:t>
      </w:r>
      <w:r>
        <w:rPr>
          <w:sz w:val="20"/>
          <w:szCs w:val="20"/>
          <w:rtl/>
        </w:rPr>
        <w:br/>
      </w:r>
      <w:r>
        <w:rPr>
          <w:rFonts w:hint="cs"/>
          <w:sz w:val="20"/>
          <w:szCs w:val="20"/>
          <w:rtl/>
        </w:rPr>
        <w:t xml:space="preserve">9. </w:t>
      </w:r>
      <w:r w:rsidRPr="00F849ED">
        <w:rPr>
          <w:rFonts w:hint="cs"/>
          <w:b/>
          <w:bCs/>
          <w:sz w:val="20"/>
          <w:szCs w:val="20"/>
          <w:rtl/>
        </w:rPr>
        <w:t>ש"ך</w:t>
      </w:r>
      <w:r>
        <w:rPr>
          <w:rFonts w:hint="cs"/>
          <w:sz w:val="20"/>
          <w:szCs w:val="20"/>
          <w:rtl/>
        </w:rPr>
        <w:t xml:space="preserve">. אע"פ </w:t>
      </w:r>
      <w:r w:rsidRPr="00F849ED">
        <w:rPr>
          <w:rFonts w:hint="cs"/>
          <w:b/>
          <w:bCs/>
          <w:sz w:val="20"/>
          <w:szCs w:val="20"/>
          <w:rtl/>
        </w:rPr>
        <w:t>שהרמ"א</w:t>
      </w:r>
      <w:r>
        <w:rPr>
          <w:rFonts w:hint="cs"/>
          <w:sz w:val="20"/>
          <w:szCs w:val="20"/>
          <w:rtl/>
        </w:rPr>
        <w:t xml:space="preserve"> החמיר שאיננו בקיאים, צ"ע אם לאוסרה על כל העולם מחמת חוסר בקיאות.</w:t>
      </w:r>
      <w:r>
        <w:rPr>
          <w:sz w:val="20"/>
          <w:szCs w:val="20"/>
          <w:rtl/>
        </w:rPr>
        <w:br/>
      </w:r>
      <w:r>
        <w:rPr>
          <w:rFonts w:hint="cs"/>
          <w:sz w:val="20"/>
          <w:szCs w:val="20"/>
          <w:rtl/>
        </w:rPr>
        <w:t xml:space="preserve">10. </w:t>
      </w:r>
      <w:r w:rsidRPr="00224997">
        <w:rPr>
          <w:rFonts w:hint="cs"/>
          <w:sz w:val="20"/>
          <w:szCs w:val="20"/>
          <w:rtl/>
        </w:rPr>
        <w:t xml:space="preserve">שיעור הזמן שנחמיר מחשש לחוסר בקיאות. </w:t>
      </w:r>
      <w:r w:rsidRPr="00224997">
        <w:rPr>
          <w:rFonts w:hint="cs"/>
          <w:b/>
          <w:bCs/>
          <w:sz w:val="20"/>
          <w:szCs w:val="20"/>
          <w:rtl/>
        </w:rPr>
        <w:t>טה"ב</w:t>
      </w:r>
      <w:r w:rsidRPr="00224997">
        <w:rPr>
          <w:rFonts w:hint="cs"/>
          <w:sz w:val="20"/>
          <w:szCs w:val="20"/>
          <w:rtl/>
        </w:rPr>
        <w:t xml:space="preserve">. עד שלוש דקות. </w:t>
      </w:r>
      <w:r w:rsidRPr="00224997">
        <w:rPr>
          <w:rFonts w:hint="cs"/>
          <w:b/>
          <w:bCs/>
          <w:sz w:val="20"/>
          <w:szCs w:val="20"/>
          <w:rtl/>
        </w:rPr>
        <w:t>ששבה"ל</w:t>
      </w:r>
      <w:r w:rsidRPr="00224997">
        <w:rPr>
          <w:rFonts w:hint="cs"/>
          <w:sz w:val="20"/>
          <w:szCs w:val="20"/>
          <w:rtl/>
        </w:rPr>
        <w:t>. עד עשר דקות.</w:t>
      </w:r>
      <w:r w:rsidRPr="00224997">
        <w:rPr>
          <w:rFonts w:hint="cs"/>
          <w:sz w:val="20"/>
          <w:szCs w:val="20"/>
          <w:rtl/>
        </w:rPr>
        <w:br/>
        <w:t xml:space="preserve">11. </w:t>
      </w:r>
      <w:r w:rsidRPr="00224997">
        <w:rPr>
          <w:rFonts w:hint="cs"/>
          <w:b/>
          <w:bCs/>
          <w:sz w:val="20"/>
          <w:szCs w:val="20"/>
          <w:rtl/>
        </w:rPr>
        <w:t>נוב"י</w:t>
      </w:r>
      <w:r w:rsidRPr="00224997">
        <w:rPr>
          <w:rFonts w:hint="cs"/>
          <w:sz w:val="20"/>
          <w:szCs w:val="20"/>
          <w:rtl/>
        </w:rPr>
        <w:t>. רמ"ת שאין לה ווסת אינה נאסרת, אלא תמתין עד שתקבע ווסת ויעקור את ווסת התשמיש.</w:t>
      </w:r>
      <w:r w:rsidRPr="00224997">
        <w:rPr>
          <w:sz w:val="20"/>
          <w:szCs w:val="20"/>
          <w:rtl/>
        </w:rPr>
        <w:br/>
      </w:r>
      <w:r w:rsidRPr="00224997">
        <w:rPr>
          <w:rFonts w:hint="cs"/>
          <w:b/>
          <w:bCs/>
          <w:sz w:val="20"/>
          <w:szCs w:val="20"/>
          <w:rtl/>
        </w:rPr>
        <w:t>חוו"ד</w:t>
      </w:r>
      <w:r w:rsidRPr="00224997">
        <w:rPr>
          <w:rFonts w:hint="cs"/>
          <w:sz w:val="20"/>
          <w:szCs w:val="20"/>
          <w:rtl/>
        </w:rPr>
        <w:t>. לא מהני קביעת ווסת הנ"ל, משום שרמ"ת אינו ווסת אלא חולי.</w:t>
      </w:r>
      <w:r w:rsidRPr="00224997">
        <w:rPr>
          <w:rFonts w:hint="cs"/>
          <w:sz w:val="20"/>
          <w:szCs w:val="20"/>
          <w:rtl/>
        </w:rPr>
        <w:br/>
        <w:t xml:space="preserve">12. האם ראייה הראשונה מצטרפת? </w:t>
      </w:r>
      <w:r w:rsidRPr="00224997">
        <w:rPr>
          <w:rFonts w:hint="cs"/>
          <w:b/>
          <w:bCs/>
          <w:sz w:val="20"/>
          <w:szCs w:val="20"/>
          <w:rtl/>
        </w:rPr>
        <w:t>ראב"ד</w:t>
      </w:r>
      <w:r w:rsidRPr="00224997">
        <w:rPr>
          <w:rFonts w:hint="cs"/>
          <w:sz w:val="20"/>
          <w:szCs w:val="20"/>
          <w:rtl/>
        </w:rPr>
        <w:t xml:space="preserve">. לא. </w:t>
      </w:r>
      <w:r w:rsidRPr="00224997">
        <w:rPr>
          <w:rFonts w:hint="cs"/>
          <w:b/>
          <w:bCs/>
          <w:sz w:val="20"/>
          <w:szCs w:val="20"/>
          <w:rtl/>
        </w:rPr>
        <w:t>רמב"ם</w:t>
      </w:r>
      <w:r w:rsidRPr="00224997">
        <w:rPr>
          <w:rFonts w:hint="cs"/>
          <w:sz w:val="20"/>
          <w:szCs w:val="20"/>
          <w:rtl/>
        </w:rPr>
        <w:t xml:space="preserve">. כן, וכ"פ </w:t>
      </w:r>
      <w:r w:rsidRPr="00224997">
        <w:rPr>
          <w:rFonts w:hint="cs"/>
          <w:b/>
          <w:bCs/>
          <w:sz w:val="20"/>
          <w:szCs w:val="20"/>
          <w:rtl/>
        </w:rPr>
        <w:t>הט"ז והש"ך</w:t>
      </w:r>
      <w:r w:rsidRPr="00224997">
        <w:rPr>
          <w:rFonts w:hint="cs"/>
          <w:sz w:val="20"/>
          <w:szCs w:val="20"/>
          <w:rtl/>
        </w:rPr>
        <w:t>.</w:t>
      </w:r>
      <w:r w:rsidRPr="00224997">
        <w:rPr>
          <w:rFonts w:hint="cs"/>
          <w:sz w:val="20"/>
          <w:szCs w:val="20"/>
          <w:rtl/>
        </w:rPr>
        <w:br/>
        <w:t xml:space="preserve">13. בדקה ב' פעמים רצופות וראתה, ופעם שלישית לא רצופה וראתה. </w:t>
      </w:r>
      <w:r w:rsidRPr="00224997">
        <w:rPr>
          <w:rFonts w:hint="cs"/>
          <w:b/>
          <w:bCs/>
          <w:sz w:val="20"/>
          <w:szCs w:val="20"/>
          <w:rtl/>
        </w:rPr>
        <w:t>חוו"ד</w:t>
      </w:r>
      <w:r w:rsidRPr="00224997">
        <w:rPr>
          <w:rFonts w:hint="cs"/>
          <w:sz w:val="20"/>
          <w:szCs w:val="20"/>
          <w:rtl/>
        </w:rPr>
        <w:t xml:space="preserve">. אסורה. </w:t>
      </w:r>
      <w:r w:rsidRPr="00224997">
        <w:rPr>
          <w:rFonts w:hint="cs"/>
          <w:b/>
          <w:bCs/>
          <w:sz w:val="20"/>
          <w:szCs w:val="20"/>
          <w:rtl/>
        </w:rPr>
        <w:t>טה"ב</w:t>
      </w:r>
      <w:r w:rsidRPr="00224997">
        <w:rPr>
          <w:rFonts w:hint="cs"/>
          <w:sz w:val="20"/>
          <w:szCs w:val="20"/>
          <w:rtl/>
        </w:rPr>
        <w:t>. מותרת.</w:t>
      </w:r>
      <w:r w:rsidRPr="00224997">
        <w:rPr>
          <w:rFonts w:hint="cs"/>
          <w:sz w:val="20"/>
          <w:szCs w:val="20"/>
          <w:rtl/>
        </w:rPr>
        <w:br/>
        <w:t xml:space="preserve">14. </w:t>
      </w:r>
      <w:r w:rsidRPr="00224997">
        <w:rPr>
          <w:rFonts w:hint="cs"/>
          <w:b/>
          <w:bCs/>
          <w:sz w:val="20"/>
          <w:szCs w:val="20"/>
          <w:rtl/>
        </w:rPr>
        <w:t>שיבת ציון</w:t>
      </w:r>
      <w:r w:rsidRPr="00224997">
        <w:rPr>
          <w:rFonts w:hint="cs"/>
          <w:sz w:val="20"/>
          <w:szCs w:val="20"/>
          <w:rtl/>
        </w:rPr>
        <w:t xml:space="preserve">. אם באחת הפעמים לא ראתה מייד לאחר התשמיש </w:t>
      </w:r>
      <w:r w:rsidRPr="00224997">
        <w:rPr>
          <w:sz w:val="20"/>
          <w:szCs w:val="20"/>
          <w:rtl/>
        </w:rPr>
        <w:t>–</w:t>
      </w:r>
      <w:r w:rsidRPr="00224997">
        <w:rPr>
          <w:rFonts w:hint="cs"/>
          <w:sz w:val="20"/>
          <w:szCs w:val="20"/>
          <w:rtl/>
        </w:rPr>
        <w:t xml:space="preserve"> מותרת, ונאמנת להסביר זאת.</w:t>
      </w:r>
      <w:r w:rsidRPr="00224997">
        <w:rPr>
          <w:sz w:val="20"/>
          <w:szCs w:val="20"/>
          <w:rtl/>
        </w:rPr>
        <w:br/>
      </w:r>
      <w:r w:rsidRPr="00224997">
        <w:rPr>
          <w:rFonts w:hint="cs"/>
          <w:sz w:val="20"/>
          <w:szCs w:val="20"/>
          <w:rtl/>
        </w:rPr>
        <w:t xml:space="preserve">15. </w:t>
      </w:r>
      <w:r w:rsidRPr="00224997">
        <w:rPr>
          <w:rFonts w:hint="cs"/>
          <w:b/>
          <w:bCs/>
          <w:sz w:val="20"/>
          <w:szCs w:val="20"/>
          <w:rtl/>
        </w:rPr>
        <w:t>שיבת ציון</w:t>
      </w:r>
      <w:r w:rsidRPr="00224997">
        <w:rPr>
          <w:rFonts w:hint="cs"/>
          <w:sz w:val="20"/>
          <w:szCs w:val="20"/>
          <w:rtl/>
        </w:rPr>
        <w:t xml:space="preserve">. אין חשש שמא נתנה עיניה באחר ולא נאמנת, מייד שאומרת לו נטמאתי יכול לבדוק את העד. </w:t>
      </w:r>
      <w:r w:rsidRPr="00224997">
        <w:rPr>
          <w:sz w:val="20"/>
          <w:szCs w:val="20"/>
          <w:rtl/>
        </w:rPr>
        <w:br/>
      </w:r>
      <w:r w:rsidRPr="00224997">
        <w:rPr>
          <w:rFonts w:hint="cs"/>
          <w:sz w:val="20"/>
          <w:szCs w:val="20"/>
          <w:rtl/>
        </w:rPr>
        <w:t xml:space="preserve">16. </w:t>
      </w:r>
      <w:r w:rsidRPr="00224997">
        <w:rPr>
          <w:rFonts w:hint="cs"/>
          <w:b/>
          <w:bCs/>
          <w:sz w:val="20"/>
          <w:szCs w:val="20"/>
          <w:rtl/>
        </w:rPr>
        <w:t>פנים מאירות</w:t>
      </w:r>
      <w:r w:rsidRPr="00224997">
        <w:rPr>
          <w:rFonts w:hint="cs"/>
          <w:sz w:val="20"/>
          <w:szCs w:val="20"/>
          <w:rtl/>
        </w:rPr>
        <w:t xml:space="preserve">. נמצא על עד שלו אסורה, דווקא עד שהוכן לקינוח, דאל"ה לא מצאנו שחז"ל גזרו בו כתם. </w:t>
      </w:r>
      <w:r w:rsidRPr="00224997">
        <w:rPr>
          <w:rFonts w:hint="cs"/>
          <w:sz w:val="20"/>
          <w:szCs w:val="20"/>
          <w:rtl/>
        </w:rPr>
        <w:br/>
        <w:t xml:space="preserve">17. האם מותר לרמ"ת לשמש בזמן עיבור והנקה? </w:t>
      </w:r>
      <w:r w:rsidRPr="00224997">
        <w:rPr>
          <w:rFonts w:hint="cs"/>
          <w:b/>
          <w:bCs/>
          <w:sz w:val="20"/>
          <w:szCs w:val="20"/>
          <w:rtl/>
        </w:rPr>
        <w:t>חוו"ד</w:t>
      </w:r>
      <w:r w:rsidRPr="00224997">
        <w:rPr>
          <w:rFonts w:hint="cs"/>
          <w:sz w:val="20"/>
          <w:szCs w:val="20"/>
          <w:rtl/>
        </w:rPr>
        <w:t xml:space="preserve">. לא, זהו חולי. </w:t>
      </w:r>
      <w:r w:rsidRPr="00224997">
        <w:rPr>
          <w:rFonts w:hint="cs"/>
          <w:b/>
          <w:bCs/>
          <w:sz w:val="20"/>
          <w:szCs w:val="20"/>
          <w:rtl/>
        </w:rPr>
        <w:t>נוב"י</w:t>
      </w:r>
      <w:r w:rsidRPr="00224997">
        <w:rPr>
          <w:rFonts w:hint="cs"/>
          <w:sz w:val="20"/>
          <w:szCs w:val="20"/>
          <w:rtl/>
        </w:rPr>
        <w:t>. כן, זה וסת והיא מסולקת דמים.</w:t>
      </w:r>
      <w:r w:rsidRPr="00224997">
        <w:rPr>
          <w:sz w:val="20"/>
          <w:szCs w:val="20"/>
          <w:rtl/>
        </w:rPr>
        <w:br/>
      </w:r>
      <w:r w:rsidRPr="00224997">
        <w:rPr>
          <w:rFonts w:hint="cs"/>
          <w:sz w:val="20"/>
          <w:szCs w:val="20"/>
          <w:rtl/>
        </w:rPr>
        <w:t>18. רמ"ת שרואה דם בשפע, האם מותרת להינשא לבעל שני?</w:t>
      </w:r>
      <w:r>
        <w:rPr>
          <w:rFonts w:hint="cs"/>
          <w:sz w:val="20"/>
          <w:szCs w:val="20"/>
          <w:rtl/>
        </w:rPr>
        <w:t xml:space="preserve"> </w:t>
      </w:r>
      <w:r w:rsidRPr="0080289A">
        <w:rPr>
          <w:rFonts w:hint="cs"/>
          <w:b/>
          <w:bCs/>
          <w:sz w:val="20"/>
          <w:szCs w:val="20"/>
          <w:rtl/>
        </w:rPr>
        <w:t>נוב"י</w:t>
      </w:r>
      <w:r>
        <w:rPr>
          <w:rFonts w:hint="cs"/>
          <w:sz w:val="20"/>
          <w:szCs w:val="20"/>
          <w:rtl/>
        </w:rPr>
        <w:t xml:space="preserve">. לא, אין כאן ספק שמא בא מהצדדים. </w:t>
      </w:r>
      <w:r w:rsidRPr="0080289A">
        <w:rPr>
          <w:rFonts w:hint="cs"/>
          <w:b/>
          <w:bCs/>
          <w:sz w:val="20"/>
          <w:szCs w:val="20"/>
          <w:rtl/>
        </w:rPr>
        <w:t>שואל ומשיב</w:t>
      </w:r>
      <w:r>
        <w:rPr>
          <w:rFonts w:hint="cs"/>
          <w:sz w:val="20"/>
          <w:szCs w:val="20"/>
          <w:rtl/>
        </w:rPr>
        <w:t>. מותרת, אדרבה, מוכח שאין זה דם מקור.</w:t>
      </w:r>
      <w:r>
        <w:rPr>
          <w:sz w:val="20"/>
          <w:szCs w:val="20"/>
          <w:rtl/>
        </w:rPr>
        <w:br/>
      </w:r>
      <w:r>
        <w:rPr>
          <w:rFonts w:hint="cs"/>
          <w:sz w:val="20"/>
          <w:szCs w:val="20"/>
          <w:rtl/>
        </w:rPr>
        <w:t xml:space="preserve">19. </w:t>
      </w:r>
      <w:r w:rsidRPr="0080289A">
        <w:rPr>
          <w:rFonts w:hint="cs"/>
          <w:b/>
          <w:bCs/>
          <w:sz w:val="20"/>
          <w:szCs w:val="20"/>
          <w:rtl/>
        </w:rPr>
        <w:t>שבות יעקב</w:t>
      </w:r>
      <w:r>
        <w:rPr>
          <w:rFonts w:hint="cs"/>
          <w:sz w:val="20"/>
          <w:szCs w:val="20"/>
          <w:rtl/>
        </w:rPr>
        <w:t xml:space="preserve">. זקנה מסולקת דמים שהתחילה להיות רמ"ת ומרגישה כאב </w:t>
      </w:r>
      <w:r>
        <w:rPr>
          <w:sz w:val="20"/>
          <w:szCs w:val="20"/>
          <w:rtl/>
        </w:rPr>
        <w:t>–</w:t>
      </w:r>
      <w:r>
        <w:rPr>
          <w:rFonts w:hint="cs"/>
          <w:sz w:val="20"/>
          <w:szCs w:val="20"/>
          <w:rtl/>
        </w:rPr>
        <w:t xml:space="preserve"> אינה צריכה בדיקה.</w:t>
      </w:r>
      <w:r>
        <w:rPr>
          <w:rFonts w:hint="cs"/>
          <w:sz w:val="20"/>
          <w:szCs w:val="20"/>
          <w:rtl/>
        </w:rPr>
        <w:br/>
        <w:t xml:space="preserve">20. </w:t>
      </w:r>
      <w:r w:rsidRPr="0080289A">
        <w:rPr>
          <w:rFonts w:hint="cs"/>
          <w:b/>
          <w:bCs/>
          <w:sz w:val="20"/>
          <w:szCs w:val="20"/>
          <w:rtl/>
        </w:rPr>
        <w:t>נוב"י</w:t>
      </w:r>
      <w:r>
        <w:rPr>
          <w:rFonts w:hint="cs"/>
          <w:sz w:val="20"/>
          <w:szCs w:val="20"/>
          <w:rtl/>
        </w:rPr>
        <w:t xml:space="preserve">. אם התעברה בביאה ג' אין לה להיבדק כל ימי עיבור והנקה. </w:t>
      </w:r>
      <w:r w:rsidRPr="0080289A">
        <w:rPr>
          <w:rFonts w:hint="cs"/>
          <w:b/>
          <w:bCs/>
          <w:sz w:val="20"/>
          <w:szCs w:val="20"/>
          <w:rtl/>
        </w:rPr>
        <w:t>טעם</w:t>
      </w:r>
      <w:r>
        <w:rPr>
          <w:rFonts w:hint="cs"/>
          <w:sz w:val="20"/>
          <w:szCs w:val="20"/>
          <w:rtl/>
        </w:rPr>
        <w:t xml:space="preserve">. היא מסולקת דמים ולא מהני אא"כ תמצא דם בצדדים. ומכל מקום הבדיקה מהני לימי עיבורה, ולימי הנקה צ"ע. </w:t>
      </w:r>
      <w:r>
        <w:rPr>
          <w:rFonts w:hint="cs"/>
          <w:sz w:val="20"/>
          <w:szCs w:val="20"/>
          <w:rtl/>
        </w:rPr>
        <w:br/>
        <w:t xml:space="preserve">21. </w:t>
      </w:r>
      <w:r w:rsidRPr="0080289A">
        <w:rPr>
          <w:rFonts w:hint="cs"/>
          <w:b/>
          <w:bCs/>
          <w:sz w:val="20"/>
          <w:szCs w:val="20"/>
          <w:rtl/>
        </w:rPr>
        <w:t>נוב"י</w:t>
      </w:r>
      <w:r>
        <w:rPr>
          <w:rFonts w:hint="cs"/>
          <w:sz w:val="20"/>
          <w:szCs w:val="20"/>
          <w:rtl/>
        </w:rPr>
        <w:t xml:space="preserve">. בדיקת שפופרת נעשית רק לאחר ז"נ. </w:t>
      </w:r>
      <w:r w:rsidRPr="0080289A">
        <w:rPr>
          <w:rFonts w:hint="cs"/>
          <w:b/>
          <w:bCs/>
          <w:sz w:val="20"/>
          <w:szCs w:val="20"/>
          <w:rtl/>
        </w:rPr>
        <w:t>טעם</w:t>
      </w:r>
      <w:r>
        <w:rPr>
          <w:rFonts w:hint="cs"/>
          <w:sz w:val="20"/>
          <w:szCs w:val="20"/>
          <w:rtl/>
        </w:rPr>
        <w:t>. אם בבדיקה זו תמצא דם בצדדים, נמצא שהבדיקה מתירה אותה לשמש אפילו אם תראה דם, לכן צריך בדיקה מעליא שברור שהדם אינו נשאר שם מלפני כן.</w:t>
      </w:r>
      <w:r>
        <w:rPr>
          <w:sz w:val="20"/>
          <w:szCs w:val="20"/>
          <w:rtl/>
        </w:rPr>
        <w:br/>
      </w:r>
      <w:r>
        <w:rPr>
          <w:rFonts w:hint="cs"/>
          <w:sz w:val="20"/>
          <w:szCs w:val="20"/>
          <w:rtl/>
        </w:rPr>
        <w:t xml:space="preserve">22. </w:t>
      </w:r>
      <w:r w:rsidRPr="0080289A">
        <w:rPr>
          <w:rFonts w:hint="cs"/>
          <w:b/>
          <w:bCs/>
          <w:sz w:val="20"/>
          <w:szCs w:val="20"/>
          <w:rtl/>
        </w:rPr>
        <w:t>רמ"א</w:t>
      </w:r>
      <w:r>
        <w:rPr>
          <w:rFonts w:hint="cs"/>
          <w:sz w:val="20"/>
          <w:szCs w:val="20"/>
          <w:rtl/>
        </w:rPr>
        <w:t xml:space="preserve">. אם לא ראתה סמוך לתשמיש לא נאסרה על בעלה. </w:t>
      </w:r>
      <w:r w:rsidRPr="0080289A">
        <w:rPr>
          <w:rFonts w:hint="cs"/>
          <w:b/>
          <w:bCs/>
          <w:sz w:val="20"/>
          <w:szCs w:val="20"/>
          <w:rtl/>
        </w:rPr>
        <w:t>חוו"ד</w:t>
      </w:r>
      <w:r>
        <w:rPr>
          <w:rFonts w:hint="cs"/>
          <w:sz w:val="20"/>
          <w:szCs w:val="20"/>
          <w:rtl/>
        </w:rPr>
        <w:t xml:space="preserve">. אין לו לבוא עליה ביאה שנייה באותו לילה. </w:t>
      </w:r>
      <w:r w:rsidRPr="0080289A">
        <w:rPr>
          <w:rFonts w:hint="cs"/>
          <w:b/>
          <w:bCs/>
          <w:sz w:val="20"/>
          <w:szCs w:val="20"/>
          <w:rtl/>
        </w:rPr>
        <w:t>טעם</w:t>
      </w:r>
      <w:r>
        <w:rPr>
          <w:rFonts w:hint="cs"/>
          <w:sz w:val="20"/>
          <w:szCs w:val="20"/>
          <w:rtl/>
        </w:rPr>
        <w:t>. זו ביאה סמוך לווסת ואסור עד שתיעקר בג' פעמים.</w:t>
      </w:r>
      <w:r>
        <w:rPr>
          <w:rFonts w:hint="cs"/>
          <w:sz w:val="20"/>
          <w:szCs w:val="20"/>
          <w:rtl/>
        </w:rPr>
        <w:br/>
        <w:t xml:space="preserve">23. </w:t>
      </w:r>
      <w:r w:rsidRPr="0080289A">
        <w:rPr>
          <w:rFonts w:hint="cs"/>
          <w:b/>
          <w:bCs/>
          <w:sz w:val="20"/>
          <w:szCs w:val="20"/>
          <w:rtl/>
        </w:rPr>
        <w:t>ששבה"ל</w:t>
      </w:r>
      <w:r>
        <w:rPr>
          <w:rFonts w:hint="cs"/>
          <w:sz w:val="20"/>
          <w:szCs w:val="20"/>
          <w:rtl/>
        </w:rPr>
        <w:t>. בזמנינו יש לאשה אפשרויות רפואיות שונות להימנע מלראות דם מחמת תשמיש.</w:t>
      </w:r>
    </w:p>
    <w:p w:rsidR="00620060" w:rsidRDefault="00620060" w:rsidP="00620060">
      <w:pPr>
        <w:rPr>
          <w:sz w:val="20"/>
          <w:szCs w:val="20"/>
          <w:rtl/>
        </w:rPr>
      </w:pPr>
      <w:r>
        <w:rPr>
          <w:sz w:val="20"/>
          <w:szCs w:val="20"/>
          <w:rtl/>
        </w:rPr>
        <w:br/>
      </w:r>
      <w:r>
        <w:rPr>
          <w:rFonts w:hint="cs"/>
          <w:b/>
          <w:bCs/>
          <w:sz w:val="20"/>
          <w:szCs w:val="20"/>
          <w:rtl/>
        </w:rPr>
        <w:t xml:space="preserve">סעיף ב </w:t>
      </w:r>
      <w:r>
        <w:rPr>
          <w:b/>
          <w:bCs/>
          <w:sz w:val="20"/>
          <w:szCs w:val="20"/>
          <w:rtl/>
        </w:rPr>
        <w:t>–</w:t>
      </w:r>
      <w:r>
        <w:rPr>
          <w:rFonts w:hint="cs"/>
          <w:b/>
          <w:bCs/>
          <w:sz w:val="20"/>
          <w:szCs w:val="20"/>
          <w:rtl/>
        </w:rPr>
        <w:t xml:space="preserve"> בדיקת שפופרת</w:t>
      </w:r>
      <w:r>
        <w:rPr>
          <w:b/>
          <w:bCs/>
          <w:sz w:val="20"/>
          <w:szCs w:val="20"/>
          <w:rtl/>
        </w:rPr>
        <w:br/>
      </w:r>
      <w:r>
        <w:rPr>
          <w:rFonts w:hint="cs"/>
          <w:b/>
          <w:bCs/>
          <w:sz w:val="20"/>
          <w:szCs w:val="20"/>
          <w:rtl/>
        </w:rPr>
        <w:t>מקור הדין</w:t>
      </w:r>
      <w:r>
        <w:rPr>
          <w:b/>
          <w:bCs/>
          <w:sz w:val="20"/>
          <w:szCs w:val="20"/>
          <w:rtl/>
        </w:rPr>
        <w:br/>
      </w:r>
      <w:r>
        <w:rPr>
          <w:rFonts w:hint="cs"/>
          <w:b/>
          <w:bCs/>
          <w:sz w:val="20"/>
          <w:szCs w:val="20"/>
          <w:rtl/>
        </w:rPr>
        <w:t>גמרא</w:t>
      </w:r>
      <w:r w:rsidRPr="00D02B89">
        <w:rPr>
          <w:rFonts w:hint="cs"/>
          <w:sz w:val="20"/>
          <w:szCs w:val="20"/>
          <w:rtl/>
        </w:rPr>
        <w:t xml:space="preserve"> </w:t>
      </w:r>
      <w:r>
        <w:rPr>
          <w:rFonts w:cs="Arial" w:hint="cs"/>
          <w:sz w:val="20"/>
          <w:szCs w:val="20"/>
          <w:rtl/>
        </w:rPr>
        <w:t>(שם) "</w:t>
      </w:r>
      <w:r w:rsidRPr="00D02B89">
        <w:rPr>
          <w:rFonts w:cs="Arial" w:hint="cs"/>
          <w:sz w:val="20"/>
          <w:szCs w:val="20"/>
          <w:rtl/>
        </w:rPr>
        <w:t>כיצד</w:t>
      </w:r>
      <w:r w:rsidRPr="00D02B89">
        <w:rPr>
          <w:rFonts w:cs="Arial"/>
          <w:sz w:val="20"/>
          <w:szCs w:val="20"/>
          <w:rtl/>
        </w:rPr>
        <w:t xml:space="preserve"> </w:t>
      </w:r>
      <w:r w:rsidRPr="00D02B89">
        <w:rPr>
          <w:rFonts w:cs="Arial" w:hint="cs"/>
          <w:sz w:val="20"/>
          <w:szCs w:val="20"/>
          <w:rtl/>
        </w:rPr>
        <w:t>בודקת</w:t>
      </w:r>
      <w:r w:rsidRPr="00D02B89">
        <w:rPr>
          <w:rFonts w:cs="Arial"/>
          <w:sz w:val="20"/>
          <w:szCs w:val="20"/>
          <w:rtl/>
        </w:rPr>
        <w:t xml:space="preserve"> </w:t>
      </w:r>
      <w:r w:rsidRPr="00D02B89">
        <w:rPr>
          <w:rFonts w:cs="Arial" w:hint="cs"/>
          <w:sz w:val="20"/>
          <w:szCs w:val="20"/>
          <w:rtl/>
        </w:rPr>
        <w:t>את</w:t>
      </w:r>
      <w:r w:rsidRPr="00D02B89">
        <w:rPr>
          <w:rFonts w:cs="Arial"/>
          <w:sz w:val="20"/>
          <w:szCs w:val="20"/>
          <w:rtl/>
        </w:rPr>
        <w:t xml:space="preserve"> </w:t>
      </w:r>
      <w:r w:rsidRPr="00D02B89">
        <w:rPr>
          <w:rFonts w:cs="Arial" w:hint="cs"/>
          <w:sz w:val="20"/>
          <w:szCs w:val="20"/>
          <w:rtl/>
        </w:rPr>
        <w:t>עצמה</w:t>
      </w:r>
      <w:r w:rsidRPr="00D02B89">
        <w:rPr>
          <w:rFonts w:cs="Arial"/>
          <w:sz w:val="20"/>
          <w:szCs w:val="20"/>
          <w:rtl/>
        </w:rPr>
        <w:t xml:space="preserve"> - </w:t>
      </w:r>
      <w:r w:rsidRPr="00D02B89">
        <w:rPr>
          <w:rFonts w:cs="Arial" w:hint="cs"/>
          <w:sz w:val="20"/>
          <w:szCs w:val="20"/>
          <w:rtl/>
        </w:rPr>
        <w:t>מביאה</w:t>
      </w:r>
      <w:r w:rsidRPr="00D02B89">
        <w:rPr>
          <w:rFonts w:cs="Arial"/>
          <w:sz w:val="20"/>
          <w:szCs w:val="20"/>
          <w:rtl/>
        </w:rPr>
        <w:t xml:space="preserve"> </w:t>
      </w:r>
      <w:r w:rsidRPr="00D02B89">
        <w:rPr>
          <w:rFonts w:cs="Arial" w:hint="cs"/>
          <w:sz w:val="20"/>
          <w:szCs w:val="20"/>
          <w:rtl/>
        </w:rPr>
        <w:t>שפופרת</w:t>
      </w:r>
      <w:r w:rsidRPr="00D02B89">
        <w:rPr>
          <w:rFonts w:cs="Arial"/>
          <w:sz w:val="20"/>
          <w:szCs w:val="20"/>
          <w:rtl/>
        </w:rPr>
        <w:t xml:space="preserve"> </w:t>
      </w:r>
      <w:r w:rsidRPr="00D02B89">
        <w:rPr>
          <w:rFonts w:cs="Arial" w:hint="cs"/>
          <w:sz w:val="20"/>
          <w:szCs w:val="20"/>
          <w:rtl/>
        </w:rPr>
        <w:t>ובתוכה</w:t>
      </w:r>
      <w:r w:rsidRPr="00D02B89">
        <w:rPr>
          <w:rFonts w:cs="Arial"/>
          <w:sz w:val="20"/>
          <w:szCs w:val="20"/>
          <w:rtl/>
        </w:rPr>
        <w:t xml:space="preserve"> </w:t>
      </w:r>
      <w:r w:rsidRPr="00D02B89">
        <w:rPr>
          <w:rFonts w:cs="Arial" w:hint="cs"/>
          <w:sz w:val="20"/>
          <w:szCs w:val="20"/>
          <w:rtl/>
        </w:rPr>
        <w:t>מכחול</w:t>
      </w:r>
      <w:r>
        <w:rPr>
          <w:rFonts w:cs="Arial" w:hint="cs"/>
          <w:sz w:val="20"/>
          <w:szCs w:val="20"/>
          <w:rtl/>
        </w:rPr>
        <w:t xml:space="preserve"> </w:t>
      </w:r>
      <w:r w:rsidRPr="00D02B89">
        <w:rPr>
          <w:rFonts w:cs="Arial" w:hint="cs"/>
          <w:sz w:val="18"/>
          <w:szCs w:val="18"/>
          <w:rtl/>
        </w:rPr>
        <w:t>(קיסם ארוך)</w:t>
      </w:r>
      <w:r w:rsidRPr="00D02B89">
        <w:rPr>
          <w:rFonts w:cs="Arial"/>
          <w:sz w:val="20"/>
          <w:szCs w:val="20"/>
          <w:rtl/>
        </w:rPr>
        <w:t xml:space="preserve">, </w:t>
      </w:r>
      <w:r w:rsidRPr="00D02B89">
        <w:rPr>
          <w:rFonts w:cs="Arial" w:hint="cs"/>
          <w:sz w:val="20"/>
          <w:szCs w:val="20"/>
          <w:rtl/>
        </w:rPr>
        <w:t>ומוך</w:t>
      </w:r>
      <w:r w:rsidRPr="00D02B89">
        <w:rPr>
          <w:rFonts w:cs="Arial"/>
          <w:sz w:val="20"/>
          <w:szCs w:val="20"/>
          <w:rtl/>
        </w:rPr>
        <w:t xml:space="preserve"> </w:t>
      </w:r>
      <w:r w:rsidRPr="00D02B89">
        <w:rPr>
          <w:rFonts w:cs="Arial" w:hint="cs"/>
          <w:sz w:val="20"/>
          <w:szCs w:val="20"/>
          <w:rtl/>
        </w:rPr>
        <w:t>מונח</w:t>
      </w:r>
      <w:r w:rsidRPr="00D02B89">
        <w:rPr>
          <w:rFonts w:cs="Arial"/>
          <w:sz w:val="20"/>
          <w:szCs w:val="20"/>
          <w:rtl/>
        </w:rPr>
        <w:t xml:space="preserve"> </w:t>
      </w:r>
      <w:r w:rsidRPr="00D02B89">
        <w:rPr>
          <w:rFonts w:cs="Arial" w:hint="cs"/>
          <w:sz w:val="20"/>
          <w:szCs w:val="20"/>
          <w:rtl/>
        </w:rPr>
        <w:t>על</w:t>
      </w:r>
      <w:r w:rsidRPr="00D02B89">
        <w:rPr>
          <w:rFonts w:cs="Arial"/>
          <w:sz w:val="20"/>
          <w:szCs w:val="20"/>
          <w:rtl/>
        </w:rPr>
        <w:t xml:space="preserve"> </w:t>
      </w:r>
      <w:r w:rsidRPr="00D02B89">
        <w:rPr>
          <w:rFonts w:cs="Arial" w:hint="cs"/>
          <w:sz w:val="20"/>
          <w:szCs w:val="20"/>
          <w:rtl/>
        </w:rPr>
        <w:t>ראשו</w:t>
      </w:r>
      <w:r w:rsidRPr="00D02B89">
        <w:rPr>
          <w:rFonts w:cs="Arial"/>
          <w:sz w:val="20"/>
          <w:szCs w:val="20"/>
          <w:rtl/>
        </w:rPr>
        <w:t xml:space="preserve">, </w:t>
      </w:r>
      <w:r w:rsidRPr="00D02B89">
        <w:rPr>
          <w:rFonts w:cs="Arial" w:hint="cs"/>
          <w:sz w:val="20"/>
          <w:szCs w:val="20"/>
          <w:rtl/>
        </w:rPr>
        <w:t>אם</w:t>
      </w:r>
      <w:r w:rsidRPr="00D02B89">
        <w:rPr>
          <w:rFonts w:cs="Arial"/>
          <w:sz w:val="20"/>
          <w:szCs w:val="20"/>
          <w:rtl/>
        </w:rPr>
        <w:t xml:space="preserve"> </w:t>
      </w:r>
      <w:r w:rsidRPr="00D02B89">
        <w:rPr>
          <w:rFonts w:cs="Arial" w:hint="cs"/>
          <w:sz w:val="20"/>
          <w:szCs w:val="20"/>
          <w:rtl/>
        </w:rPr>
        <w:t>נמצא</w:t>
      </w:r>
      <w:r w:rsidRPr="00D02B89">
        <w:rPr>
          <w:rFonts w:cs="Arial"/>
          <w:sz w:val="20"/>
          <w:szCs w:val="20"/>
          <w:rtl/>
        </w:rPr>
        <w:t xml:space="preserve"> </w:t>
      </w:r>
      <w:r w:rsidRPr="00D02B89">
        <w:rPr>
          <w:rFonts w:cs="Arial" w:hint="cs"/>
          <w:sz w:val="20"/>
          <w:szCs w:val="20"/>
          <w:rtl/>
        </w:rPr>
        <w:t>דם</w:t>
      </w:r>
      <w:r w:rsidRPr="00D02B89">
        <w:rPr>
          <w:rFonts w:cs="Arial"/>
          <w:sz w:val="20"/>
          <w:szCs w:val="20"/>
          <w:rtl/>
        </w:rPr>
        <w:t xml:space="preserve"> </w:t>
      </w:r>
      <w:r w:rsidRPr="00D02B89">
        <w:rPr>
          <w:rFonts w:cs="Arial" w:hint="cs"/>
          <w:sz w:val="20"/>
          <w:szCs w:val="20"/>
          <w:rtl/>
        </w:rPr>
        <w:t>על</w:t>
      </w:r>
      <w:r w:rsidRPr="00D02B89">
        <w:rPr>
          <w:rFonts w:cs="Arial"/>
          <w:sz w:val="20"/>
          <w:szCs w:val="20"/>
          <w:rtl/>
        </w:rPr>
        <w:t xml:space="preserve"> </w:t>
      </w:r>
      <w:r w:rsidRPr="00D02B89">
        <w:rPr>
          <w:rFonts w:cs="Arial" w:hint="cs"/>
          <w:sz w:val="20"/>
          <w:szCs w:val="20"/>
          <w:rtl/>
        </w:rPr>
        <w:t>ראש</w:t>
      </w:r>
      <w:r w:rsidRPr="00D02B89">
        <w:rPr>
          <w:rFonts w:cs="Arial"/>
          <w:sz w:val="20"/>
          <w:szCs w:val="20"/>
          <w:rtl/>
        </w:rPr>
        <w:t xml:space="preserve"> </w:t>
      </w:r>
      <w:r w:rsidRPr="00D02B89">
        <w:rPr>
          <w:rFonts w:cs="Arial" w:hint="cs"/>
          <w:sz w:val="20"/>
          <w:szCs w:val="20"/>
          <w:rtl/>
        </w:rPr>
        <w:t>המוך</w:t>
      </w:r>
      <w:r w:rsidRPr="00D02B89">
        <w:rPr>
          <w:rFonts w:cs="Arial"/>
          <w:sz w:val="20"/>
          <w:szCs w:val="20"/>
          <w:rtl/>
        </w:rPr>
        <w:t xml:space="preserve"> - </w:t>
      </w:r>
      <w:r w:rsidRPr="00D02B89">
        <w:rPr>
          <w:rFonts w:cs="Arial" w:hint="cs"/>
          <w:sz w:val="20"/>
          <w:szCs w:val="20"/>
          <w:rtl/>
        </w:rPr>
        <w:t>בידוע</w:t>
      </w:r>
      <w:r w:rsidRPr="00D02B89">
        <w:rPr>
          <w:rFonts w:cs="Arial"/>
          <w:sz w:val="20"/>
          <w:szCs w:val="20"/>
          <w:rtl/>
        </w:rPr>
        <w:t xml:space="preserve"> </w:t>
      </w:r>
      <w:r w:rsidRPr="00D02B89">
        <w:rPr>
          <w:rFonts w:cs="Arial" w:hint="cs"/>
          <w:sz w:val="20"/>
          <w:szCs w:val="20"/>
          <w:rtl/>
        </w:rPr>
        <w:t>שמן</w:t>
      </w:r>
      <w:r w:rsidRPr="00D02B89">
        <w:rPr>
          <w:rFonts w:cs="Arial"/>
          <w:sz w:val="20"/>
          <w:szCs w:val="20"/>
          <w:rtl/>
        </w:rPr>
        <w:t xml:space="preserve"> </w:t>
      </w:r>
      <w:r w:rsidRPr="00D02B89">
        <w:rPr>
          <w:rFonts w:cs="Arial" w:hint="cs"/>
          <w:sz w:val="20"/>
          <w:szCs w:val="20"/>
          <w:rtl/>
        </w:rPr>
        <w:t>המקור</w:t>
      </w:r>
      <w:r w:rsidRPr="00D02B89">
        <w:rPr>
          <w:rFonts w:cs="Arial"/>
          <w:sz w:val="20"/>
          <w:szCs w:val="20"/>
          <w:rtl/>
        </w:rPr>
        <w:t xml:space="preserve"> </w:t>
      </w:r>
      <w:r w:rsidRPr="00D02B89">
        <w:rPr>
          <w:rFonts w:cs="Arial" w:hint="cs"/>
          <w:sz w:val="20"/>
          <w:szCs w:val="20"/>
          <w:rtl/>
        </w:rPr>
        <w:t>הוא</w:t>
      </w:r>
      <w:r w:rsidRPr="00D02B89">
        <w:rPr>
          <w:rFonts w:cs="Arial"/>
          <w:sz w:val="20"/>
          <w:szCs w:val="20"/>
          <w:rtl/>
        </w:rPr>
        <w:t xml:space="preserve"> </w:t>
      </w:r>
      <w:r w:rsidRPr="00D02B89">
        <w:rPr>
          <w:rFonts w:cs="Arial" w:hint="cs"/>
          <w:sz w:val="20"/>
          <w:szCs w:val="20"/>
          <w:rtl/>
        </w:rPr>
        <w:t>בא</w:t>
      </w:r>
      <w:r w:rsidRPr="00D02B89">
        <w:rPr>
          <w:rFonts w:cs="Arial"/>
          <w:sz w:val="20"/>
          <w:szCs w:val="20"/>
          <w:rtl/>
        </w:rPr>
        <w:t xml:space="preserve">, </w:t>
      </w:r>
      <w:r w:rsidRPr="00D02B89">
        <w:rPr>
          <w:rFonts w:cs="Arial" w:hint="cs"/>
          <w:sz w:val="20"/>
          <w:szCs w:val="20"/>
          <w:rtl/>
        </w:rPr>
        <w:t>לא</w:t>
      </w:r>
      <w:r w:rsidRPr="00D02B89">
        <w:rPr>
          <w:rFonts w:cs="Arial"/>
          <w:sz w:val="20"/>
          <w:szCs w:val="20"/>
          <w:rtl/>
        </w:rPr>
        <w:t xml:space="preserve"> </w:t>
      </w:r>
      <w:r w:rsidRPr="00D02B89">
        <w:rPr>
          <w:rFonts w:cs="Arial" w:hint="cs"/>
          <w:sz w:val="20"/>
          <w:szCs w:val="20"/>
          <w:rtl/>
        </w:rPr>
        <w:t>נמצא</w:t>
      </w:r>
      <w:r w:rsidRPr="00D02B89">
        <w:rPr>
          <w:rFonts w:cs="Arial"/>
          <w:sz w:val="20"/>
          <w:szCs w:val="20"/>
          <w:rtl/>
        </w:rPr>
        <w:t xml:space="preserve"> </w:t>
      </w:r>
      <w:r w:rsidRPr="00D02B89">
        <w:rPr>
          <w:rFonts w:cs="Arial" w:hint="cs"/>
          <w:sz w:val="20"/>
          <w:szCs w:val="20"/>
          <w:rtl/>
        </w:rPr>
        <w:t>דם</w:t>
      </w:r>
      <w:r w:rsidRPr="00D02B89">
        <w:rPr>
          <w:rFonts w:cs="Arial"/>
          <w:sz w:val="20"/>
          <w:szCs w:val="20"/>
          <w:rtl/>
        </w:rPr>
        <w:t xml:space="preserve"> </w:t>
      </w:r>
      <w:r w:rsidRPr="00D02B89">
        <w:rPr>
          <w:rFonts w:cs="Arial" w:hint="cs"/>
          <w:sz w:val="20"/>
          <w:szCs w:val="20"/>
          <w:rtl/>
        </w:rPr>
        <w:t>על</w:t>
      </w:r>
      <w:r w:rsidRPr="00D02B89">
        <w:rPr>
          <w:rFonts w:cs="Arial"/>
          <w:sz w:val="20"/>
          <w:szCs w:val="20"/>
          <w:rtl/>
        </w:rPr>
        <w:t xml:space="preserve"> </w:t>
      </w:r>
      <w:r w:rsidRPr="00D02B89">
        <w:rPr>
          <w:rFonts w:cs="Arial" w:hint="cs"/>
          <w:sz w:val="20"/>
          <w:szCs w:val="20"/>
          <w:rtl/>
        </w:rPr>
        <w:t>ראשו</w:t>
      </w:r>
      <w:r w:rsidRPr="00D02B89">
        <w:rPr>
          <w:rFonts w:cs="Arial"/>
          <w:sz w:val="20"/>
          <w:szCs w:val="20"/>
          <w:rtl/>
        </w:rPr>
        <w:t xml:space="preserve"> - </w:t>
      </w:r>
      <w:r w:rsidRPr="00D02B89">
        <w:rPr>
          <w:rFonts w:cs="Arial" w:hint="cs"/>
          <w:sz w:val="20"/>
          <w:szCs w:val="20"/>
          <w:rtl/>
        </w:rPr>
        <w:t>בידוע</w:t>
      </w:r>
      <w:r w:rsidRPr="00D02B89">
        <w:rPr>
          <w:rFonts w:cs="Arial"/>
          <w:sz w:val="20"/>
          <w:szCs w:val="20"/>
          <w:rtl/>
        </w:rPr>
        <w:t xml:space="preserve"> </w:t>
      </w:r>
      <w:r w:rsidRPr="00D02B89">
        <w:rPr>
          <w:rFonts w:cs="Arial" w:hint="cs"/>
          <w:sz w:val="20"/>
          <w:szCs w:val="20"/>
          <w:rtl/>
        </w:rPr>
        <w:t>שמן</w:t>
      </w:r>
      <w:r w:rsidRPr="00D02B89">
        <w:rPr>
          <w:rFonts w:cs="Arial"/>
          <w:sz w:val="20"/>
          <w:szCs w:val="20"/>
          <w:rtl/>
        </w:rPr>
        <w:t xml:space="preserve"> </w:t>
      </w:r>
      <w:r w:rsidRPr="00D02B89">
        <w:rPr>
          <w:rFonts w:cs="Arial" w:hint="cs"/>
          <w:sz w:val="20"/>
          <w:szCs w:val="20"/>
          <w:rtl/>
        </w:rPr>
        <w:t>הצדדין</w:t>
      </w:r>
      <w:r w:rsidRPr="00D02B89">
        <w:rPr>
          <w:rFonts w:cs="Arial"/>
          <w:sz w:val="20"/>
          <w:szCs w:val="20"/>
          <w:rtl/>
        </w:rPr>
        <w:t xml:space="preserve"> </w:t>
      </w:r>
      <w:r w:rsidRPr="00D02B89">
        <w:rPr>
          <w:rFonts w:cs="Arial" w:hint="cs"/>
          <w:sz w:val="20"/>
          <w:szCs w:val="20"/>
          <w:rtl/>
        </w:rPr>
        <w:t>הוא</w:t>
      </w:r>
      <w:r w:rsidRPr="00D02B89">
        <w:rPr>
          <w:rFonts w:cs="Arial"/>
          <w:sz w:val="20"/>
          <w:szCs w:val="20"/>
          <w:rtl/>
        </w:rPr>
        <w:t xml:space="preserve"> </w:t>
      </w:r>
      <w:r w:rsidRPr="00D02B89">
        <w:rPr>
          <w:rFonts w:cs="Arial" w:hint="cs"/>
          <w:sz w:val="20"/>
          <w:szCs w:val="20"/>
          <w:rtl/>
        </w:rPr>
        <w:t>בא</w:t>
      </w:r>
      <w:r w:rsidRPr="00D02B89">
        <w:rPr>
          <w:rFonts w:cs="Arial"/>
          <w:sz w:val="20"/>
          <w:szCs w:val="20"/>
          <w:rtl/>
        </w:rPr>
        <w:t>.</w:t>
      </w:r>
      <w:r w:rsidRPr="00D02B89">
        <w:rPr>
          <w:rFonts w:cs="Arial" w:hint="cs"/>
          <w:sz w:val="20"/>
          <w:szCs w:val="20"/>
          <w:rtl/>
        </w:rPr>
        <w:t>..</w:t>
      </w:r>
      <w:r w:rsidRPr="00D02B89">
        <w:rPr>
          <w:rFonts w:cs="Arial"/>
          <w:sz w:val="20"/>
          <w:szCs w:val="20"/>
          <w:rtl/>
        </w:rPr>
        <w:br/>
      </w:r>
      <w:r w:rsidRPr="00D02B89">
        <w:rPr>
          <w:rFonts w:cs="Arial" w:hint="cs"/>
          <w:sz w:val="20"/>
          <w:szCs w:val="20"/>
          <w:rtl/>
        </w:rPr>
        <w:t>שפופרת</w:t>
      </w:r>
      <w:r w:rsidRPr="00D02B89">
        <w:rPr>
          <w:rFonts w:cs="Arial"/>
          <w:sz w:val="20"/>
          <w:szCs w:val="20"/>
          <w:rtl/>
        </w:rPr>
        <w:t xml:space="preserve">, </w:t>
      </w:r>
      <w:r w:rsidRPr="00D02B89">
        <w:rPr>
          <w:rFonts w:cs="Arial" w:hint="cs"/>
          <w:sz w:val="20"/>
          <w:szCs w:val="20"/>
          <w:rtl/>
        </w:rPr>
        <w:t>אפגורי</w:t>
      </w:r>
      <w:r w:rsidRPr="00D02B89">
        <w:rPr>
          <w:rFonts w:cs="Arial"/>
          <w:sz w:val="20"/>
          <w:szCs w:val="20"/>
          <w:rtl/>
        </w:rPr>
        <w:t xml:space="preserve"> </w:t>
      </w:r>
      <w:r w:rsidRPr="00D02B89">
        <w:rPr>
          <w:rFonts w:cs="Arial" w:hint="cs"/>
          <w:sz w:val="20"/>
          <w:szCs w:val="20"/>
          <w:rtl/>
        </w:rPr>
        <w:t>מפגרא</w:t>
      </w:r>
      <w:r>
        <w:rPr>
          <w:rFonts w:cs="Arial" w:hint="cs"/>
          <w:sz w:val="20"/>
          <w:szCs w:val="20"/>
          <w:rtl/>
        </w:rPr>
        <w:t xml:space="preserve"> </w:t>
      </w:r>
      <w:r w:rsidRPr="00D02B89">
        <w:rPr>
          <w:rFonts w:cs="Arial" w:hint="cs"/>
          <w:sz w:val="18"/>
          <w:szCs w:val="18"/>
          <w:rtl/>
        </w:rPr>
        <w:t>(שורט)</w:t>
      </w:r>
      <w:r w:rsidRPr="00D02B89">
        <w:rPr>
          <w:rFonts w:cs="Arial"/>
          <w:sz w:val="18"/>
          <w:szCs w:val="18"/>
          <w:rtl/>
        </w:rPr>
        <w:t xml:space="preserve"> </w:t>
      </w:r>
      <w:r w:rsidRPr="00D02B89">
        <w:rPr>
          <w:rFonts w:cs="Arial" w:hint="cs"/>
          <w:sz w:val="20"/>
          <w:szCs w:val="20"/>
          <w:rtl/>
        </w:rPr>
        <w:t>לה</w:t>
      </w:r>
      <w:r w:rsidRPr="00D02B89">
        <w:rPr>
          <w:rFonts w:cs="Arial"/>
          <w:sz w:val="20"/>
          <w:szCs w:val="20"/>
          <w:rtl/>
        </w:rPr>
        <w:t xml:space="preserve">! </w:t>
      </w:r>
      <w:r w:rsidRPr="00D02B89">
        <w:rPr>
          <w:rFonts w:cs="Arial" w:hint="cs"/>
          <w:sz w:val="20"/>
          <w:szCs w:val="20"/>
          <w:rtl/>
        </w:rPr>
        <w:t>אמר</w:t>
      </w:r>
      <w:r w:rsidRPr="00D02B89">
        <w:rPr>
          <w:rFonts w:cs="Arial"/>
          <w:sz w:val="20"/>
          <w:szCs w:val="20"/>
          <w:rtl/>
        </w:rPr>
        <w:t xml:space="preserve"> </w:t>
      </w:r>
      <w:r w:rsidRPr="00D02B89">
        <w:rPr>
          <w:rFonts w:cs="Arial" w:hint="cs"/>
          <w:sz w:val="20"/>
          <w:szCs w:val="20"/>
          <w:rtl/>
        </w:rPr>
        <w:t>שמואל</w:t>
      </w:r>
      <w:r w:rsidRPr="00D02B89">
        <w:rPr>
          <w:rFonts w:cs="Arial"/>
          <w:sz w:val="20"/>
          <w:szCs w:val="20"/>
          <w:rtl/>
        </w:rPr>
        <w:t xml:space="preserve">: </w:t>
      </w:r>
      <w:r w:rsidRPr="00D02B89">
        <w:rPr>
          <w:rFonts w:cs="Arial" w:hint="cs"/>
          <w:sz w:val="20"/>
          <w:szCs w:val="20"/>
          <w:rtl/>
        </w:rPr>
        <w:t>בשפופרת</w:t>
      </w:r>
      <w:r w:rsidRPr="00D02B89">
        <w:rPr>
          <w:rFonts w:cs="Arial"/>
          <w:sz w:val="20"/>
          <w:szCs w:val="20"/>
          <w:rtl/>
        </w:rPr>
        <w:t xml:space="preserve"> </w:t>
      </w:r>
      <w:r w:rsidRPr="00D02B89">
        <w:rPr>
          <w:rFonts w:cs="Arial" w:hint="cs"/>
          <w:sz w:val="20"/>
          <w:szCs w:val="20"/>
          <w:rtl/>
        </w:rPr>
        <w:t>של</w:t>
      </w:r>
      <w:r w:rsidRPr="00D02B89">
        <w:rPr>
          <w:rFonts w:cs="Arial"/>
          <w:sz w:val="20"/>
          <w:szCs w:val="20"/>
          <w:rtl/>
        </w:rPr>
        <w:t xml:space="preserve"> </w:t>
      </w:r>
      <w:r w:rsidRPr="00D02B89">
        <w:rPr>
          <w:rFonts w:cs="Arial" w:hint="cs"/>
          <w:sz w:val="20"/>
          <w:szCs w:val="20"/>
          <w:rtl/>
        </w:rPr>
        <w:t>אבר</w:t>
      </w:r>
      <w:r>
        <w:rPr>
          <w:rFonts w:cs="Arial" w:hint="cs"/>
          <w:sz w:val="20"/>
          <w:szCs w:val="20"/>
          <w:rtl/>
        </w:rPr>
        <w:t xml:space="preserve"> </w:t>
      </w:r>
      <w:r w:rsidRPr="00D02B89">
        <w:rPr>
          <w:rFonts w:cs="Arial" w:hint="cs"/>
          <w:sz w:val="18"/>
          <w:szCs w:val="18"/>
          <w:rtl/>
        </w:rPr>
        <w:t>(מתכת)</w:t>
      </w:r>
      <w:r w:rsidRPr="00D02B89">
        <w:rPr>
          <w:rFonts w:cs="Arial"/>
          <w:sz w:val="20"/>
          <w:szCs w:val="20"/>
          <w:rtl/>
        </w:rPr>
        <w:t xml:space="preserve">, </w:t>
      </w:r>
      <w:r w:rsidRPr="00D02B89">
        <w:rPr>
          <w:rFonts w:cs="Arial" w:hint="cs"/>
          <w:sz w:val="20"/>
          <w:szCs w:val="20"/>
          <w:rtl/>
        </w:rPr>
        <w:t>ופיה</w:t>
      </w:r>
      <w:r w:rsidRPr="00D02B89">
        <w:rPr>
          <w:rFonts w:cs="Arial"/>
          <w:sz w:val="20"/>
          <w:szCs w:val="20"/>
          <w:rtl/>
        </w:rPr>
        <w:t xml:space="preserve"> </w:t>
      </w:r>
      <w:r w:rsidRPr="00D02B89">
        <w:rPr>
          <w:rFonts w:cs="Arial" w:hint="cs"/>
          <w:sz w:val="20"/>
          <w:szCs w:val="20"/>
          <w:rtl/>
        </w:rPr>
        <w:t>רצוף</w:t>
      </w:r>
      <w:r>
        <w:rPr>
          <w:rFonts w:cs="Arial" w:hint="cs"/>
          <w:sz w:val="20"/>
          <w:szCs w:val="20"/>
          <w:rtl/>
        </w:rPr>
        <w:t xml:space="preserve"> </w:t>
      </w:r>
      <w:r w:rsidRPr="00D02B89">
        <w:rPr>
          <w:rFonts w:cs="Arial" w:hint="cs"/>
          <w:sz w:val="18"/>
          <w:szCs w:val="18"/>
          <w:rtl/>
        </w:rPr>
        <w:t>(כפול)</w:t>
      </w:r>
      <w:r w:rsidRPr="00D02B89">
        <w:rPr>
          <w:rFonts w:cs="Arial"/>
          <w:sz w:val="18"/>
          <w:szCs w:val="18"/>
          <w:rtl/>
        </w:rPr>
        <w:t xml:space="preserve"> </w:t>
      </w:r>
      <w:r w:rsidRPr="00D02B89">
        <w:rPr>
          <w:rFonts w:cs="Arial" w:hint="cs"/>
          <w:sz w:val="20"/>
          <w:szCs w:val="20"/>
          <w:rtl/>
        </w:rPr>
        <w:t>לתוכה"</w:t>
      </w:r>
      <w:r w:rsidRPr="00D02B89">
        <w:rPr>
          <w:rFonts w:cs="Arial"/>
          <w:sz w:val="20"/>
          <w:szCs w:val="20"/>
          <w:rtl/>
        </w:rPr>
        <w:t>.</w:t>
      </w:r>
    </w:p>
    <w:p w:rsidR="00620060" w:rsidRDefault="00620060" w:rsidP="00620060">
      <w:pPr>
        <w:rPr>
          <w:sz w:val="20"/>
          <w:szCs w:val="20"/>
          <w:rtl/>
        </w:rPr>
      </w:pPr>
      <w:r>
        <w:rPr>
          <w:rFonts w:hint="cs"/>
          <w:b/>
          <w:bCs/>
          <w:sz w:val="20"/>
          <w:szCs w:val="20"/>
          <w:rtl/>
        </w:rPr>
        <w:t>הסבר הבית יוסף לבדיקה זו</w:t>
      </w:r>
      <w:r>
        <w:rPr>
          <w:b/>
          <w:bCs/>
          <w:sz w:val="20"/>
          <w:szCs w:val="20"/>
          <w:rtl/>
        </w:rPr>
        <w:br/>
      </w:r>
      <w:r>
        <w:rPr>
          <w:rFonts w:hint="cs"/>
          <w:sz w:val="20"/>
          <w:szCs w:val="20"/>
          <w:u w:val="single"/>
          <w:rtl/>
        </w:rPr>
        <w:t>מטרת הבדיקה</w:t>
      </w:r>
      <w:r>
        <w:rPr>
          <w:sz w:val="20"/>
          <w:szCs w:val="20"/>
          <w:u w:val="single"/>
          <w:rtl/>
        </w:rPr>
        <w:br/>
      </w:r>
      <w:r>
        <w:rPr>
          <w:rFonts w:hint="cs"/>
          <w:sz w:val="20"/>
          <w:szCs w:val="20"/>
          <w:rtl/>
        </w:rPr>
        <w:t>המטרה היא לבדוק האם הדם מגיע מהמקור או מהצדדים, ומכיוון שלמודה לראות ע"י אבר התשמיש, מסתמא תראה גם ע"י מכחול זה שמדמה את אבר התשמיש.</w:t>
      </w:r>
    </w:p>
    <w:p w:rsidR="00620060" w:rsidRDefault="00620060" w:rsidP="00620060">
      <w:pPr>
        <w:rPr>
          <w:sz w:val="20"/>
          <w:szCs w:val="20"/>
          <w:rtl/>
        </w:rPr>
      </w:pPr>
      <w:r>
        <w:rPr>
          <w:rFonts w:hint="cs"/>
          <w:sz w:val="20"/>
          <w:szCs w:val="20"/>
          <w:u w:val="single"/>
          <w:rtl/>
        </w:rPr>
        <w:t>אופן הבדיקה</w:t>
      </w:r>
      <w:r>
        <w:rPr>
          <w:sz w:val="20"/>
          <w:szCs w:val="20"/>
          <w:rtl/>
        </w:rPr>
        <w:br/>
      </w:r>
      <w:r>
        <w:rPr>
          <w:rFonts w:hint="cs"/>
          <w:sz w:val="20"/>
          <w:szCs w:val="20"/>
          <w:rtl/>
        </w:rPr>
        <w:t>ואמנם, אם המכחול לא היה נתון בתוך שפופרת לא היתה הבדיקה מועילה, משום שאם המכחול היה יוצא מלוכלך לא היתה אפשרות לדעת האם הדם בא מהמקור או מהצדדים, אך כאשר הוא נתון בשפופרת ודאי הדם שנמצא על ראשו בא לו מהמקור, שהרי השפופרת הפסיקה בינו לבין הצדדים.</w:t>
      </w:r>
      <w:r>
        <w:rPr>
          <w:sz w:val="20"/>
          <w:szCs w:val="20"/>
          <w:rtl/>
        </w:rPr>
        <w:br/>
      </w:r>
      <w:r>
        <w:rPr>
          <w:rFonts w:hint="cs"/>
          <w:sz w:val="20"/>
          <w:szCs w:val="20"/>
          <w:rtl/>
        </w:rPr>
        <w:lastRenderedPageBreak/>
        <w:t xml:space="preserve">ומדוע נותנים מוך בראש המכחול? מפני שהדם אינו ניכר יפה בעץ כפי שהוא ניכר במוך. </w:t>
      </w:r>
      <w:r>
        <w:rPr>
          <w:sz w:val="20"/>
          <w:szCs w:val="20"/>
          <w:rtl/>
        </w:rPr>
        <w:br/>
      </w:r>
      <w:r>
        <w:rPr>
          <w:rFonts w:hint="cs"/>
          <w:sz w:val="20"/>
          <w:szCs w:val="20"/>
          <w:rtl/>
        </w:rPr>
        <w:t>ועוד, כדי שלא ישרוט העץ את בשרה.</w:t>
      </w:r>
      <w:r>
        <w:rPr>
          <w:rFonts w:hint="cs"/>
          <w:sz w:val="20"/>
          <w:szCs w:val="20"/>
          <w:rtl/>
        </w:rPr>
        <w:br/>
        <w:t xml:space="preserve">מוסיף </w:t>
      </w:r>
      <w:r w:rsidRPr="00D840D3">
        <w:rPr>
          <w:rFonts w:hint="cs"/>
          <w:b/>
          <w:bCs/>
          <w:sz w:val="20"/>
          <w:szCs w:val="20"/>
          <w:rtl/>
        </w:rPr>
        <w:t>תורת השלמים</w:t>
      </w:r>
      <w:r>
        <w:rPr>
          <w:rFonts w:hint="cs"/>
          <w:sz w:val="20"/>
          <w:szCs w:val="20"/>
          <w:rtl/>
        </w:rPr>
        <w:t xml:space="preserve"> </w:t>
      </w:r>
      <w:r w:rsidRPr="00D840D3">
        <w:rPr>
          <w:rFonts w:hint="cs"/>
          <w:sz w:val="18"/>
          <w:szCs w:val="18"/>
          <w:rtl/>
        </w:rPr>
        <w:t xml:space="preserve">(ע"פ </w:t>
      </w:r>
      <w:r w:rsidRPr="00627B6E">
        <w:rPr>
          <w:rFonts w:hint="cs"/>
          <w:b/>
          <w:bCs/>
          <w:sz w:val="18"/>
          <w:szCs w:val="18"/>
          <w:rtl/>
        </w:rPr>
        <w:t>הרמב"ם</w:t>
      </w:r>
      <w:r w:rsidRPr="00D840D3">
        <w:rPr>
          <w:rFonts w:hint="cs"/>
          <w:sz w:val="18"/>
          <w:szCs w:val="18"/>
          <w:rtl/>
        </w:rPr>
        <w:t xml:space="preserve">) </w:t>
      </w:r>
      <w:r>
        <w:rPr>
          <w:sz w:val="20"/>
          <w:szCs w:val="20"/>
          <w:rtl/>
        </w:rPr>
        <w:t>–</w:t>
      </w:r>
      <w:r>
        <w:rPr>
          <w:rFonts w:hint="cs"/>
          <w:sz w:val="20"/>
          <w:szCs w:val="20"/>
          <w:rtl/>
        </w:rPr>
        <w:t xml:space="preserve"> יש להכניס תחילה את השפופרת ואחר כך תכניס את המכחול בתוכה.</w:t>
      </w:r>
      <w:r>
        <w:rPr>
          <w:sz w:val="20"/>
          <w:szCs w:val="20"/>
          <w:rtl/>
        </w:rPr>
        <w:br/>
      </w:r>
      <w:r w:rsidRPr="00CA3729">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אם תכניס את השפופרת תחילה עם המכחול בראשה, אפילו אם ייצא המכחול מלוכלך בראשו ייתכן שהדם בא מהצדדים.</w:t>
      </w:r>
      <w:r>
        <w:rPr>
          <w:rFonts w:hint="cs"/>
          <w:sz w:val="20"/>
          <w:szCs w:val="20"/>
          <w:rtl/>
        </w:rPr>
        <w:br/>
        <w:t xml:space="preserve">מוסיף </w:t>
      </w:r>
      <w:r w:rsidRPr="00CA3729">
        <w:rPr>
          <w:rFonts w:hint="cs"/>
          <w:b/>
          <w:bCs/>
          <w:sz w:val="20"/>
          <w:szCs w:val="20"/>
          <w:rtl/>
        </w:rPr>
        <w:t>הסד"ט</w:t>
      </w:r>
      <w:r>
        <w:rPr>
          <w:rFonts w:hint="cs"/>
          <w:sz w:val="20"/>
          <w:szCs w:val="20"/>
          <w:rtl/>
        </w:rPr>
        <w:t xml:space="preserve"> </w:t>
      </w:r>
      <w:r>
        <w:rPr>
          <w:sz w:val="20"/>
          <w:szCs w:val="20"/>
          <w:rtl/>
        </w:rPr>
        <w:t>–</w:t>
      </w:r>
      <w:r>
        <w:rPr>
          <w:rFonts w:hint="cs"/>
          <w:sz w:val="20"/>
          <w:szCs w:val="20"/>
          <w:rtl/>
        </w:rPr>
        <w:t xml:space="preserve"> גם בשעה שמוציאה את השפופרת, יש להוציא בתחילה את המכחול ואחר כך את השפופרת.</w:t>
      </w:r>
    </w:p>
    <w:p w:rsidR="00620060" w:rsidRDefault="00620060" w:rsidP="00620060">
      <w:pPr>
        <w:rPr>
          <w:sz w:val="20"/>
          <w:szCs w:val="20"/>
          <w:rtl/>
        </w:rPr>
      </w:pPr>
      <w:r>
        <w:rPr>
          <w:rFonts w:hint="cs"/>
          <w:sz w:val="20"/>
          <w:szCs w:val="20"/>
          <w:u w:val="single"/>
          <w:rtl/>
        </w:rPr>
        <w:t>עד היכן מכניסה את השפופרת</w:t>
      </w:r>
      <w:r>
        <w:rPr>
          <w:sz w:val="20"/>
          <w:szCs w:val="20"/>
          <w:u w:val="single"/>
          <w:rtl/>
        </w:rPr>
        <w:br/>
      </w:r>
      <w:r w:rsidRPr="00F306F9">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יש להכניס את השפופרת עד סוף המקום שאבר התשמיש דש בו, כלומר עד צוואר הרחם.</w:t>
      </w:r>
      <w:r>
        <w:rPr>
          <w:sz w:val="20"/>
          <w:szCs w:val="20"/>
          <w:rtl/>
        </w:rPr>
        <w:br/>
      </w:r>
      <w:r w:rsidRPr="00F306F9">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הבדיקה צריכה להיות אמינה ולדמות תשמיש ממש, ומכיוון שבשעת התשמיש האבר דש עד צוואר הרחם יש להכניס בכל אותו מקום את השפופרת.</w:t>
      </w:r>
      <w:r>
        <w:rPr>
          <w:rFonts w:hint="cs"/>
          <w:sz w:val="20"/>
          <w:szCs w:val="20"/>
          <w:rtl/>
        </w:rPr>
        <w:br/>
        <w:t xml:space="preserve">אמנם, כתב </w:t>
      </w:r>
      <w:r w:rsidRPr="00D601BE">
        <w:rPr>
          <w:rFonts w:hint="cs"/>
          <w:b/>
          <w:bCs/>
          <w:sz w:val="20"/>
          <w:szCs w:val="20"/>
          <w:rtl/>
        </w:rPr>
        <w:t>המשאת בנימין</w:t>
      </w:r>
      <w:r>
        <w:rPr>
          <w:rFonts w:hint="cs"/>
          <w:sz w:val="20"/>
          <w:szCs w:val="20"/>
          <w:rtl/>
        </w:rPr>
        <w:t xml:space="preserve"> שאין האשה צריכה להכניס את השפופרת למקום צר ודחוק, אלא תכניס עד מקום שהיא מגיעה ומשערת לפי אומד דעתה שהשמש דש שם, והאשה עצמה נאמנת על כך, ואין לחשוש שמא לא הכניסה כשיעור דישה, לפי שלא ניתנה תורה למלאכי השרת.</w:t>
      </w:r>
    </w:p>
    <w:p w:rsidR="00620060" w:rsidRDefault="00620060" w:rsidP="00620060">
      <w:pPr>
        <w:rPr>
          <w:sz w:val="20"/>
          <w:szCs w:val="20"/>
          <w:rtl/>
        </w:rPr>
      </w:pPr>
      <w:r>
        <w:rPr>
          <w:rFonts w:hint="cs"/>
          <w:sz w:val="20"/>
          <w:szCs w:val="20"/>
          <w:u w:val="single"/>
          <w:rtl/>
        </w:rPr>
        <w:t>מדוע סומכים על בדיקה זו?</w:t>
      </w:r>
      <w:r>
        <w:rPr>
          <w:rFonts w:hint="cs"/>
          <w:sz w:val="20"/>
          <w:szCs w:val="20"/>
          <w:u w:val="single"/>
          <w:rtl/>
        </w:rPr>
        <w:br/>
      </w:r>
      <w:r>
        <w:rPr>
          <w:rFonts w:hint="cs"/>
          <w:sz w:val="20"/>
          <w:szCs w:val="20"/>
          <w:rtl/>
        </w:rPr>
        <w:t>קשה - מדוע סומכים על בדיקה זו כאשר לא נמצא דם ומתירים את האשה, הרי ייתכן שהשפופרת אינה עבה כאבר התשמיש שהרי לא כל האצבעות שוות, או שלא הכניסה את השפופרת בכוח שהרי אין כל הכוחות שווים!</w:t>
      </w:r>
      <w:r>
        <w:rPr>
          <w:rFonts w:hint="cs"/>
          <w:sz w:val="20"/>
          <w:szCs w:val="20"/>
          <w:rtl/>
        </w:rPr>
        <w:br/>
        <w:t xml:space="preserve">ויש לומר </w:t>
      </w:r>
      <w:r>
        <w:rPr>
          <w:sz w:val="20"/>
          <w:szCs w:val="20"/>
          <w:rtl/>
        </w:rPr>
        <w:t>–</w:t>
      </w:r>
      <w:r>
        <w:rPr>
          <w:rFonts w:hint="cs"/>
          <w:sz w:val="20"/>
          <w:szCs w:val="20"/>
          <w:rtl/>
        </w:rPr>
        <w:t xml:space="preserve"> סברות אלו שאין כל האצבעות שוות ואין כל הכוחות שווים נאמרו רק להקל אך לא להחמיר.</w:t>
      </w:r>
      <w:r>
        <w:rPr>
          <w:sz w:val="20"/>
          <w:szCs w:val="20"/>
          <w:rtl/>
        </w:rPr>
        <w:br/>
      </w:r>
      <w:r w:rsidRPr="00DC6C9F">
        <w:rPr>
          <w:rFonts w:hint="cs"/>
          <w:b/>
          <w:bCs/>
          <w:sz w:val="20"/>
          <w:szCs w:val="20"/>
          <w:rtl/>
        </w:rPr>
        <w:t>טעם</w:t>
      </w:r>
      <w:r>
        <w:rPr>
          <w:rFonts w:hint="cs"/>
          <w:sz w:val="20"/>
          <w:szCs w:val="20"/>
          <w:rtl/>
        </w:rPr>
        <w:t xml:space="preserve"> - רוב הנשים אינן רואות דם מחמת תשמיש, ולכן כל מה שאפשר לתלות ולמצוא דרך להתיר </w:t>
      </w:r>
      <w:r>
        <w:rPr>
          <w:sz w:val="20"/>
          <w:szCs w:val="20"/>
          <w:rtl/>
        </w:rPr>
        <w:t>–</w:t>
      </w:r>
      <w:r>
        <w:rPr>
          <w:rFonts w:hint="cs"/>
          <w:sz w:val="20"/>
          <w:szCs w:val="20"/>
          <w:rtl/>
        </w:rPr>
        <w:t xml:space="preserve"> מתירים, שהרי יש רגליים לדבר ע"י בדיקה זו שלא נמצא דם.</w:t>
      </w:r>
      <w:r>
        <w:rPr>
          <w:rFonts w:hint="cs"/>
          <w:sz w:val="20"/>
          <w:szCs w:val="20"/>
          <w:rtl/>
        </w:rPr>
        <w:br/>
        <w:t>ומכל מקום, כתבו האחרונים שיש לעשות את השפופרת בעובי של אבר בינוני.</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DC6C9F">
        <w:rPr>
          <w:rFonts w:cs="Arial" w:hint="cs"/>
          <w:sz w:val="20"/>
          <w:szCs w:val="20"/>
          <w:rtl/>
        </w:rPr>
        <w:t>כיצד</w:t>
      </w:r>
      <w:r w:rsidRPr="00DC6C9F">
        <w:rPr>
          <w:rFonts w:cs="Arial"/>
          <w:sz w:val="20"/>
          <w:szCs w:val="20"/>
          <w:rtl/>
        </w:rPr>
        <w:t xml:space="preserve"> </w:t>
      </w:r>
      <w:r w:rsidRPr="00DC6C9F">
        <w:rPr>
          <w:rFonts w:cs="Arial" w:hint="cs"/>
          <w:sz w:val="20"/>
          <w:szCs w:val="20"/>
          <w:rtl/>
        </w:rPr>
        <w:t>בודקת</w:t>
      </w:r>
      <w:r w:rsidRPr="00DC6C9F">
        <w:rPr>
          <w:rFonts w:cs="Arial"/>
          <w:sz w:val="20"/>
          <w:szCs w:val="20"/>
          <w:rtl/>
        </w:rPr>
        <w:t xml:space="preserve">, </w:t>
      </w:r>
      <w:r w:rsidRPr="00DC6C9F">
        <w:rPr>
          <w:rFonts w:cs="Arial" w:hint="cs"/>
          <w:sz w:val="20"/>
          <w:szCs w:val="20"/>
          <w:rtl/>
        </w:rPr>
        <w:t>נוטלת</w:t>
      </w:r>
      <w:r w:rsidRPr="00DC6C9F">
        <w:rPr>
          <w:rFonts w:cs="Arial"/>
          <w:sz w:val="20"/>
          <w:szCs w:val="20"/>
          <w:rtl/>
        </w:rPr>
        <w:t xml:space="preserve"> </w:t>
      </w:r>
      <w:r w:rsidRPr="00DC6C9F">
        <w:rPr>
          <w:rFonts w:cs="Arial" w:hint="cs"/>
          <w:sz w:val="20"/>
          <w:szCs w:val="20"/>
          <w:rtl/>
        </w:rPr>
        <w:t>שפופרת</w:t>
      </w:r>
      <w:r w:rsidRPr="00DC6C9F">
        <w:rPr>
          <w:rFonts w:cs="Arial"/>
          <w:sz w:val="20"/>
          <w:szCs w:val="20"/>
          <w:rtl/>
        </w:rPr>
        <w:t xml:space="preserve"> </w:t>
      </w:r>
      <w:r w:rsidRPr="00DC6C9F">
        <w:rPr>
          <w:rFonts w:cs="Arial"/>
          <w:sz w:val="18"/>
          <w:szCs w:val="18"/>
          <w:rtl/>
        </w:rPr>
        <w:t>(</w:t>
      </w:r>
      <w:r w:rsidRPr="00DC6C9F">
        <w:rPr>
          <w:rFonts w:cs="Arial" w:hint="cs"/>
          <w:sz w:val="18"/>
          <w:szCs w:val="18"/>
          <w:rtl/>
        </w:rPr>
        <w:t>פירוש</w:t>
      </w:r>
      <w:r w:rsidRPr="00DC6C9F">
        <w:rPr>
          <w:rFonts w:cs="Arial"/>
          <w:sz w:val="18"/>
          <w:szCs w:val="18"/>
          <w:rtl/>
        </w:rPr>
        <w:t xml:space="preserve"> </w:t>
      </w:r>
      <w:r w:rsidRPr="00DC6C9F">
        <w:rPr>
          <w:rFonts w:cs="Arial" w:hint="cs"/>
          <w:sz w:val="18"/>
          <w:szCs w:val="18"/>
          <w:rtl/>
        </w:rPr>
        <w:t>קנה</w:t>
      </w:r>
      <w:r w:rsidRPr="00DC6C9F">
        <w:rPr>
          <w:rFonts w:cs="Arial"/>
          <w:sz w:val="18"/>
          <w:szCs w:val="18"/>
          <w:rtl/>
        </w:rPr>
        <w:t xml:space="preserve"> </w:t>
      </w:r>
      <w:r w:rsidRPr="00DC6C9F">
        <w:rPr>
          <w:rFonts w:cs="Arial" w:hint="cs"/>
          <w:sz w:val="18"/>
          <w:szCs w:val="18"/>
          <w:rtl/>
        </w:rPr>
        <w:t>חלול</w:t>
      </w:r>
      <w:r w:rsidRPr="00DC6C9F">
        <w:rPr>
          <w:rFonts w:cs="Arial"/>
          <w:sz w:val="18"/>
          <w:szCs w:val="18"/>
          <w:rtl/>
        </w:rPr>
        <w:t xml:space="preserve"> </w:t>
      </w:r>
      <w:r w:rsidRPr="00DC6C9F">
        <w:rPr>
          <w:rFonts w:cs="Arial" w:hint="cs"/>
          <w:sz w:val="18"/>
          <w:szCs w:val="18"/>
          <w:rtl/>
        </w:rPr>
        <w:t>של</w:t>
      </w:r>
      <w:r w:rsidRPr="00DC6C9F">
        <w:rPr>
          <w:rFonts w:cs="Arial"/>
          <w:sz w:val="18"/>
          <w:szCs w:val="18"/>
          <w:rtl/>
        </w:rPr>
        <w:t xml:space="preserve"> </w:t>
      </w:r>
      <w:r w:rsidRPr="00DC6C9F">
        <w:rPr>
          <w:rFonts w:cs="Arial" w:hint="cs"/>
          <w:sz w:val="18"/>
          <w:szCs w:val="18"/>
          <w:rtl/>
        </w:rPr>
        <w:t>עופרת</w:t>
      </w:r>
      <w:r w:rsidRPr="00DC6C9F">
        <w:rPr>
          <w:rFonts w:cs="Arial"/>
          <w:sz w:val="18"/>
          <w:szCs w:val="18"/>
          <w:rtl/>
        </w:rPr>
        <w:t xml:space="preserve">) </w:t>
      </w:r>
      <w:r w:rsidRPr="00DC6C9F">
        <w:rPr>
          <w:rFonts w:cs="Arial" w:hint="cs"/>
          <w:sz w:val="20"/>
          <w:szCs w:val="20"/>
          <w:rtl/>
        </w:rPr>
        <w:t>של</w:t>
      </w:r>
      <w:r w:rsidRPr="00DC6C9F">
        <w:rPr>
          <w:rFonts w:cs="Arial"/>
          <w:sz w:val="20"/>
          <w:szCs w:val="20"/>
          <w:rtl/>
        </w:rPr>
        <w:t xml:space="preserve"> </w:t>
      </w:r>
      <w:r w:rsidRPr="00DC6C9F">
        <w:rPr>
          <w:rFonts w:cs="Arial" w:hint="cs"/>
          <w:sz w:val="20"/>
          <w:szCs w:val="20"/>
          <w:rtl/>
        </w:rPr>
        <w:t>אבר</w:t>
      </w:r>
      <w:r w:rsidRPr="00DC6C9F">
        <w:rPr>
          <w:rFonts w:cs="Arial"/>
          <w:sz w:val="20"/>
          <w:szCs w:val="20"/>
          <w:rtl/>
        </w:rPr>
        <w:t xml:space="preserve">, </w:t>
      </w:r>
      <w:r w:rsidRPr="00DC6C9F">
        <w:rPr>
          <w:rFonts w:cs="Arial" w:hint="cs"/>
          <w:sz w:val="20"/>
          <w:szCs w:val="20"/>
          <w:rtl/>
        </w:rPr>
        <w:t>ופיה</w:t>
      </w:r>
      <w:r w:rsidRPr="00DC6C9F">
        <w:rPr>
          <w:rFonts w:cs="Arial"/>
          <w:sz w:val="20"/>
          <w:szCs w:val="20"/>
          <w:rtl/>
        </w:rPr>
        <w:t xml:space="preserve"> </w:t>
      </w:r>
      <w:r w:rsidRPr="00DC6C9F">
        <w:rPr>
          <w:rFonts w:cs="Arial" w:hint="cs"/>
          <w:sz w:val="20"/>
          <w:szCs w:val="20"/>
          <w:rtl/>
        </w:rPr>
        <w:t>רצוף</w:t>
      </w:r>
      <w:r w:rsidRPr="00DC6C9F">
        <w:rPr>
          <w:rFonts w:cs="Arial"/>
          <w:sz w:val="20"/>
          <w:szCs w:val="20"/>
          <w:rtl/>
        </w:rPr>
        <w:t xml:space="preserve"> </w:t>
      </w:r>
      <w:r w:rsidRPr="00DC6C9F">
        <w:rPr>
          <w:rFonts w:cs="Arial" w:hint="cs"/>
          <w:sz w:val="20"/>
          <w:szCs w:val="20"/>
          <w:rtl/>
        </w:rPr>
        <w:t>לתוכה</w:t>
      </w:r>
      <w:r w:rsidRPr="00DC6C9F">
        <w:rPr>
          <w:rFonts w:cs="Arial"/>
          <w:sz w:val="20"/>
          <w:szCs w:val="20"/>
          <w:rtl/>
        </w:rPr>
        <w:t xml:space="preserve">, </w:t>
      </w:r>
      <w:r w:rsidRPr="00DC6C9F">
        <w:rPr>
          <w:rFonts w:cs="Arial" w:hint="cs"/>
          <w:sz w:val="20"/>
          <w:szCs w:val="20"/>
          <w:rtl/>
        </w:rPr>
        <w:t>ונותנת</w:t>
      </w:r>
      <w:r w:rsidRPr="00DC6C9F">
        <w:rPr>
          <w:rFonts w:cs="Arial"/>
          <w:sz w:val="20"/>
          <w:szCs w:val="20"/>
          <w:rtl/>
        </w:rPr>
        <w:t xml:space="preserve"> </w:t>
      </w:r>
      <w:r w:rsidRPr="00DC6C9F">
        <w:rPr>
          <w:rFonts w:cs="Arial" w:hint="cs"/>
          <w:sz w:val="20"/>
          <w:szCs w:val="20"/>
          <w:rtl/>
        </w:rPr>
        <w:t>בתוכה</w:t>
      </w:r>
      <w:r w:rsidRPr="00DC6C9F">
        <w:rPr>
          <w:rFonts w:cs="Arial"/>
          <w:sz w:val="20"/>
          <w:szCs w:val="20"/>
          <w:rtl/>
        </w:rPr>
        <w:t xml:space="preserve"> </w:t>
      </w:r>
      <w:r w:rsidRPr="00DC6C9F">
        <w:rPr>
          <w:rFonts w:cs="Arial" w:hint="cs"/>
          <w:sz w:val="20"/>
          <w:szCs w:val="20"/>
          <w:rtl/>
        </w:rPr>
        <w:t>מכחול</w:t>
      </w:r>
      <w:r w:rsidRPr="00DC6C9F">
        <w:rPr>
          <w:rFonts w:cs="Arial"/>
          <w:sz w:val="20"/>
          <w:szCs w:val="20"/>
          <w:rtl/>
        </w:rPr>
        <w:t xml:space="preserve"> </w:t>
      </w:r>
      <w:r w:rsidRPr="00DC6C9F">
        <w:rPr>
          <w:rFonts w:cs="Arial" w:hint="cs"/>
          <w:sz w:val="20"/>
          <w:szCs w:val="20"/>
          <w:rtl/>
        </w:rPr>
        <w:t>ובראשו</w:t>
      </w:r>
      <w:r w:rsidRPr="00DC6C9F">
        <w:rPr>
          <w:rFonts w:cs="Arial"/>
          <w:sz w:val="20"/>
          <w:szCs w:val="20"/>
          <w:rtl/>
        </w:rPr>
        <w:t xml:space="preserve"> </w:t>
      </w:r>
      <w:r w:rsidRPr="00DC6C9F">
        <w:rPr>
          <w:rFonts w:cs="Arial" w:hint="cs"/>
          <w:sz w:val="20"/>
          <w:szCs w:val="20"/>
          <w:rtl/>
        </w:rPr>
        <w:t>מוך</w:t>
      </w:r>
      <w:r w:rsidRPr="00DC6C9F">
        <w:rPr>
          <w:rFonts w:cs="Arial"/>
          <w:sz w:val="20"/>
          <w:szCs w:val="20"/>
          <w:rtl/>
        </w:rPr>
        <w:t xml:space="preserve">, </w:t>
      </w:r>
      <w:r w:rsidRPr="00DC6C9F">
        <w:rPr>
          <w:rFonts w:cs="Arial" w:hint="cs"/>
          <w:sz w:val="20"/>
          <w:szCs w:val="20"/>
          <w:rtl/>
        </w:rPr>
        <w:t>ומכנסת</w:t>
      </w:r>
      <w:r w:rsidRPr="00DC6C9F">
        <w:rPr>
          <w:rFonts w:cs="Arial"/>
          <w:sz w:val="20"/>
          <w:szCs w:val="20"/>
          <w:rtl/>
        </w:rPr>
        <w:t xml:space="preserve"> </w:t>
      </w:r>
      <w:r w:rsidRPr="00DC6C9F">
        <w:rPr>
          <w:rFonts w:cs="Arial" w:hint="cs"/>
          <w:sz w:val="20"/>
          <w:szCs w:val="20"/>
          <w:rtl/>
        </w:rPr>
        <w:t>אותו</w:t>
      </w:r>
      <w:r w:rsidRPr="00DC6C9F">
        <w:rPr>
          <w:rFonts w:cs="Arial"/>
          <w:sz w:val="20"/>
          <w:szCs w:val="20"/>
          <w:rtl/>
        </w:rPr>
        <w:t xml:space="preserve"> </w:t>
      </w:r>
      <w:r w:rsidRPr="00DC6C9F">
        <w:rPr>
          <w:rFonts w:cs="Arial" w:hint="cs"/>
          <w:sz w:val="20"/>
          <w:szCs w:val="20"/>
          <w:rtl/>
        </w:rPr>
        <w:t>באותו</w:t>
      </w:r>
      <w:r w:rsidRPr="00DC6C9F">
        <w:rPr>
          <w:rFonts w:cs="Arial"/>
          <w:sz w:val="20"/>
          <w:szCs w:val="20"/>
          <w:rtl/>
        </w:rPr>
        <w:t xml:space="preserve"> </w:t>
      </w:r>
      <w:r w:rsidRPr="00DC6C9F">
        <w:rPr>
          <w:rFonts w:cs="Arial" w:hint="cs"/>
          <w:sz w:val="20"/>
          <w:szCs w:val="20"/>
          <w:rtl/>
        </w:rPr>
        <w:t>מקום</w:t>
      </w:r>
      <w:r w:rsidRPr="00DC6C9F">
        <w:rPr>
          <w:rFonts w:cs="Arial"/>
          <w:sz w:val="20"/>
          <w:szCs w:val="20"/>
          <w:rtl/>
        </w:rPr>
        <w:t xml:space="preserve"> </w:t>
      </w:r>
      <w:r w:rsidRPr="00DC6C9F">
        <w:rPr>
          <w:rFonts w:cs="Arial" w:hint="cs"/>
          <w:sz w:val="20"/>
          <w:szCs w:val="20"/>
          <w:rtl/>
        </w:rPr>
        <w:t>עד</w:t>
      </w:r>
      <w:r w:rsidRPr="00DC6C9F">
        <w:rPr>
          <w:rFonts w:cs="Arial"/>
          <w:sz w:val="20"/>
          <w:szCs w:val="20"/>
          <w:rtl/>
        </w:rPr>
        <w:t xml:space="preserve"> </w:t>
      </w:r>
      <w:r w:rsidRPr="00DC6C9F">
        <w:rPr>
          <w:rFonts w:cs="Arial" w:hint="cs"/>
          <w:sz w:val="20"/>
          <w:szCs w:val="20"/>
          <w:rtl/>
        </w:rPr>
        <w:t>מקום</w:t>
      </w:r>
      <w:r w:rsidRPr="00DC6C9F">
        <w:rPr>
          <w:rFonts w:cs="Arial"/>
          <w:sz w:val="20"/>
          <w:szCs w:val="20"/>
          <w:rtl/>
        </w:rPr>
        <w:t xml:space="preserve"> </w:t>
      </w:r>
      <w:r w:rsidRPr="00DC6C9F">
        <w:rPr>
          <w:rFonts w:cs="Arial" w:hint="cs"/>
          <w:sz w:val="20"/>
          <w:szCs w:val="20"/>
          <w:rtl/>
        </w:rPr>
        <w:t>שהשמש</w:t>
      </w:r>
      <w:r w:rsidRPr="00DC6C9F">
        <w:rPr>
          <w:rFonts w:cs="Arial"/>
          <w:sz w:val="20"/>
          <w:szCs w:val="20"/>
          <w:rtl/>
        </w:rPr>
        <w:t xml:space="preserve"> </w:t>
      </w:r>
      <w:r w:rsidRPr="00DC6C9F">
        <w:rPr>
          <w:rFonts w:cs="Arial" w:hint="cs"/>
          <w:sz w:val="20"/>
          <w:szCs w:val="20"/>
          <w:rtl/>
        </w:rPr>
        <w:t>דש</w:t>
      </w:r>
      <w:r w:rsidRPr="00DC6C9F">
        <w:rPr>
          <w:rFonts w:cs="Arial"/>
          <w:sz w:val="20"/>
          <w:szCs w:val="20"/>
          <w:rtl/>
        </w:rPr>
        <w:t xml:space="preserve">, </w:t>
      </w:r>
      <w:r w:rsidRPr="00DC6C9F">
        <w:rPr>
          <w:rFonts w:cs="Arial" w:hint="cs"/>
          <w:sz w:val="20"/>
          <w:szCs w:val="20"/>
          <w:rtl/>
        </w:rPr>
        <w:t>נמצא</w:t>
      </w:r>
      <w:r w:rsidRPr="00DC6C9F">
        <w:rPr>
          <w:rFonts w:cs="Arial"/>
          <w:sz w:val="20"/>
          <w:szCs w:val="20"/>
          <w:rtl/>
        </w:rPr>
        <w:t xml:space="preserve"> </w:t>
      </w:r>
      <w:r w:rsidRPr="00DC6C9F">
        <w:rPr>
          <w:rFonts w:cs="Arial" w:hint="cs"/>
          <w:sz w:val="20"/>
          <w:szCs w:val="20"/>
          <w:rtl/>
        </w:rPr>
        <w:t>דם</w:t>
      </w:r>
      <w:r w:rsidRPr="00DC6C9F">
        <w:rPr>
          <w:rFonts w:cs="Arial"/>
          <w:sz w:val="20"/>
          <w:szCs w:val="20"/>
          <w:rtl/>
        </w:rPr>
        <w:t xml:space="preserve"> </w:t>
      </w:r>
      <w:r w:rsidRPr="00DC6C9F">
        <w:rPr>
          <w:rFonts w:cs="Arial" w:hint="cs"/>
          <w:sz w:val="20"/>
          <w:szCs w:val="20"/>
          <w:rtl/>
        </w:rPr>
        <w:t>על</w:t>
      </w:r>
      <w:r w:rsidRPr="00DC6C9F">
        <w:rPr>
          <w:rFonts w:cs="Arial"/>
          <w:sz w:val="20"/>
          <w:szCs w:val="20"/>
          <w:rtl/>
        </w:rPr>
        <w:t xml:space="preserve"> </w:t>
      </w:r>
      <w:r w:rsidRPr="00DC6C9F">
        <w:rPr>
          <w:rFonts w:cs="Arial" w:hint="cs"/>
          <w:sz w:val="20"/>
          <w:szCs w:val="20"/>
          <w:rtl/>
        </w:rPr>
        <w:t>ראשו</w:t>
      </w:r>
      <w:r w:rsidRPr="00DC6C9F">
        <w:rPr>
          <w:rFonts w:cs="Arial"/>
          <w:sz w:val="20"/>
          <w:szCs w:val="20"/>
          <w:rtl/>
        </w:rPr>
        <w:t xml:space="preserve"> </w:t>
      </w:r>
      <w:r w:rsidRPr="00DC6C9F">
        <w:rPr>
          <w:rFonts w:cs="Arial" w:hint="cs"/>
          <w:sz w:val="20"/>
          <w:szCs w:val="20"/>
          <w:rtl/>
        </w:rPr>
        <w:t>בידוע</w:t>
      </w:r>
      <w:r w:rsidRPr="00DC6C9F">
        <w:rPr>
          <w:rFonts w:cs="Arial"/>
          <w:sz w:val="20"/>
          <w:szCs w:val="20"/>
          <w:rtl/>
        </w:rPr>
        <w:t xml:space="preserve"> </w:t>
      </w:r>
      <w:r w:rsidRPr="00DC6C9F">
        <w:rPr>
          <w:rFonts w:cs="Arial" w:hint="cs"/>
          <w:sz w:val="20"/>
          <w:szCs w:val="20"/>
          <w:rtl/>
        </w:rPr>
        <w:t>שהוא</w:t>
      </w:r>
      <w:r w:rsidRPr="00DC6C9F">
        <w:rPr>
          <w:rFonts w:cs="Arial"/>
          <w:sz w:val="20"/>
          <w:szCs w:val="20"/>
          <w:rtl/>
        </w:rPr>
        <w:t xml:space="preserve"> </w:t>
      </w:r>
      <w:r w:rsidRPr="00DC6C9F">
        <w:rPr>
          <w:rFonts w:cs="Arial" w:hint="cs"/>
          <w:sz w:val="20"/>
          <w:szCs w:val="20"/>
          <w:rtl/>
        </w:rPr>
        <w:t>מן</w:t>
      </w:r>
      <w:r w:rsidRPr="00DC6C9F">
        <w:rPr>
          <w:rFonts w:cs="Arial"/>
          <w:sz w:val="20"/>
          <w:szCs w:val="20"/>
          <w:rtl/>
        </w:rPr>
        <w:t xml:space="preserve"> </w:t>
      </w:r>
      <w:r w:rsidRPr="00DC6C9F">
        <w:rPr>
          <w:rFonts w:cs="Arial" w:hint="cs"/>
          <w:sz w:val="20"/>
          <w:szCs w:val="20"/>
          <w:rtl/>
        </w:rPr>
        <w:t>המקור</w:t>
      </w:r>
      <w:r w:rsidRPr="00DC6C9F">
        <w:rPr>
          <w:rFonts w:cs="Arial"/>
          <w:sz w:val="20"/>
          <w:szCs w:val="20"/>
          <w:rtl/>
        </w:rPr>
        <w:t xml:space="preserve">, </w:t>
      </w:r>
      <w:r w:rsidRPr="00DC6C9F">
        <w:rPr>
          <w:rFonts w:cs="Arial" w:hint="cs"/>
          <w:sz w:val="20"/>
          <w:szCs w:val="20"/>
          <w:rtl/>
        </w:rPr>
        <w:t>ואסורה</w:t>
      </w:r>
      <w:r w:rsidRPr="00DC6C9F">
        <w:rPr>
          <w:rFonts w:cs="Arial"/>
          <w:sz w:val="20"/>
          <w:szCs w:val="20"/>
          <w:rtl/>
        </w:rPr>
        <w:t xml:space="preserve">, </w:t>
      </w:r>
      <w:r w:rsidRPr="00DC6C9F">
        <w:rPr>
          <w:rFonts w:cs="Arial" w:hint="cs"/>
          <w:sz w:val="20"/>
          <w:szCs w:val="20"/>
          <w:rtl/>
        </w:rPr>
        <w:t>ואם</w:t>
      </w:r>
      <w:r w:rsidRPr="00DC6C9F">
        <w:rPr>
          <w:rFonts w:cs="Arial"/>
          <w:sz w:val="20"/>
          <w:szCs w:val="20"/>
          <w:rtl/>
        </w:rPr>
        <w:t xml:space="preserve"> </w:t>
      </w:r>
      <w:r w:rsidRPr="00DC6C9F">
        <w:rPr>
          <w:rFonts w:cs="Arial" w:hint="cs"/>
          <w:sz w:val="20"/>
          <w:szCs w:val="20"/>
          <w:rtl/>
        </w:rPr>
        <w:t>לאו</w:t>
      </w:r>
      <w:r w:rsidRPr="00DC6C9F">
        <w:rPr>
          <w:rFonts w:cs="Arial"/>
          <w:sz w:val="20"/>
          <w:szCs w:val="20"/>
          <w:rtl/>
        </w:rPr>
        <w:t xml:space="preserve">, </w:t>
      </w:r>
      <w:r w:rsidRPr="00DC6C9F">
        <w:rPr>
          <w:rFonts w:cs="Arial" w:hint="cs"/>
          <w:sz w:val="20"/>
          <w:szCs w:val="20"/>
          <w:rtl/>
        </w:rPr>
        <w:t>בידוע</w:t>
      </w:r>
      <w:r w:rsidRPr="00DC6C9F">
        <w:rPr>
          <w:rFonts w:cs="Arial"/>
          <w:sz w:val="20"/>
          <w:szCs w:val="20"/>
          <w:rtl/>
        </w:rPr>
        <w:t xml:space="preserve"> </w:t>
      </w:r>
      <w:r w:rsidRPr="00DC6C9F">
        <w:rPr>
          <w:rFonts w:cs="Arial" w:hint="cs"/>
          <w:sz w:val="20"/>
          <w:szCs w:val="20"/>
          <w:rtl/>
        </w:rPr>
        <w:t>שהוא</w:t>
      </w:r>
      <w:r w:rsidRPr="00DC6C9F">
        <w:rPr>
          <w:rFonts w:cs="Arial"/>
          <w:sz w:val="20"/>
          <w:szCs w:val="20"/>
          <w:rtl/>
        </w:rPr>
        <w:t xml:space="preserve"> </w:t>
      </w:r>
      <w:r w:rsidRPr="00DC6C9F">
        <w:rPr>
          <w:rFonts w:cs="Arial" w:hint="cs"/>
          <w:sz w:val="20"/>
          <w:szCs w:val="20"/>
          <w:rtl/>
        </w:rPr>
        <w:t>מן</w:t>
      </w:r>
      <w:r w:rsidRPr="00DC6C9F">
        <w:rPr>
          <w:rFonts w:cs="Arial"/>
          <w:sz w:val="20"/>
          <w:szCs w:val="20"/>
          <w:rtl/>
        </w:rPr>
        <w:t xml:space="preserve"> </w:t>
      </w:r>
      <w:r w:rsidRPr="00DC6C9F">
        <w:rPr>
          <w:rFonts w:cs="Arial" w:hint="cs"/>
          <w:sz w:val="20"/>
          <w:szCs w:val="20"/>
          <w:rtl/>
        </w:rPr>
        <w:t>הצדדין</w:t>
      </w:r>
      <w:r w:rsidRPr="00DC6C9F">
        <w:rPr>
          <w:rFonts w:cs="Arial"/>
          <w:sz w:val="20"/>
          <w:szCs w:val="20"/>
          <w:rtl/>
        </w:rPr>
        <w:t xml:space="preserve">, </w:t>
      </w:r>
      <w:r w:rsidRPr="00DC6C9F">
        <w:rPr>
          <w:rFonts w:cs="Arial" w:hint="cs"/>
          <w:sz w:val="20"/>
          <w:szCs w:val="20"/>
          <w:rtl/>
        </w:rPr>
        <w:t>ומותרת</w:t>
      </w:r>
      <w:r>
        <w:rPr>
          <w:rFonts w:cs="Arial" w:hint="cs"/>
          <w:sz w:val="20"/>
          <w:szCs w:val="20"/>
          <w:rtl/>
        </w:rPr>
        <w:t>"</w:t>
      </w:r>
      <w:r w:rsidRPr="00DC6C9F">
        <w:rPr>
          <w:rFonts w:cs="Arial"/>
          <w:sz w:val="20"/>
          <w:szCs w:val="20"/>
          <w:rtl/>
        </w:rPr>
        <w:t>.</w:t>
      </w:r>
      <w:r>
        <w:rPr>
          <w:sz w:val="20"/>
          <w:szCs w:val="20"/>
          <w:rtl/>
        </w:rPr>
        <w:br/>
      </w:r>
      <w:r w:rsidRPr="00CD62EE">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משמע שאם לא נמצא דם על ראש המכחול, אפילו אם לא נמצא בצדדי השפופרת מותרת. </w:t>
      </w:r>
      <w:r>
        <w:rPr>
          <w:sz w:val="20"/>
          <w:szCs w:val="20"/>
          <w:rtl/>
        </w:rPr>
        <w:br/>
      </w:r>
      <w:r>
        <w:rPr>
          <w:rFonts w:hint="cs"/>
          <w:sz w:val="20"/>
          <w:szCs w:val="20"/>
          <w:rtl/>
        </w:rPr>
        <w:t>והטעם לכך הוא, שמא התרפאה שהרי ע"י הכנסת השפופרת רגילה לראות כמו ע"י אצבע.</w:t>
      </w:r>
    </w:p>
    <w:p w:rsidR="00620060" w:rsidRDefault="00620060" w:rsidP="00620060">
      <w:pPr>
        <w:rPr>
          <w:sz w:val="20"/>
          <w:szCs w:val="20"/>
          <w:rtl/>
        </w:rPr>
      </w:pPr>
      <w:r>
        <w:rPr>
          <w:rFonts w:hint="cs"/>
          <w:b/>
          <w:bCs/>
          <w:sz w:val="20"/>
          <w:szCs w:val="20"/>
          <w:rtl/>
        </w:rPr>
        <w:t>האם ניתן לסמוך על בדיקה זו גם בזמנינו?</w:t>
      </w:r>
      <w:r>
        <w:rPr>
          <w:rFonts w:hint="cs"/>
          <w:b/>
          <w:bCs/>
          <w:sz w:val="20"/>
          <w:szCs w:val="20"/>
          <w:rtl/>
        </w:rPr>
        <w:br/>
      </w:r>
      <w:r>
        <w:rPr>
          <w:rFonts w:hint="cs"/>
          <w:sz w:val="20"/>
          <w:szCs w:val="20"/>
          <w:rtl/>
        </w:rPr>
        <w:t xml:space="preserve">א. </w:t>
      </w:r>
      <w:r w:rsidRPr="00834C85">
        <w:rPr>
          <w:rFonts w:hint="cs"/>
          <w:b/>
          <w:bCs/>
          <w:sz w:val="20"/>
          <w:szCs w:val="20"/>
          <w:rtl/>
        </w:rPr>
        <w:t>ראב"ד</w:t>
      </w:r>
      <w:r>
        <w:rPr>
          <w:rFonts w:hint="cs"/>
          <w:b/>
          <w:bCs/>
          <w:sz w:val="20"/>
          <w:szCs w:val="20"/>
          <w:rtl/>
        </w:rPr>
        <w:t xml:space="preserve"> </w:t>
      </w:r>
      <w:r>
        <w:rPr>
          <w:sz w:val="20"/>
          <w:szCs w:val="20"/>
          <w:rtl/>
        </w:rPr>
        <w:t>–</w:t>
      </w:r>
      <w:r>
        <w:rPr>
          <w:rFonts w:hint="cs"/>
          <w:sz w:val="20"/>
          <w:szCs w:val="20"/>
          <w:rtl/>
        </w:rPr>
        <w:t xml:space="preserve"> אין לסמוך על בדיקה זו כיום.</w:t>
      </w:r>
      <w:r>
        <w:rPr>
          <w:sz w:val="20"/>
          <w:szCs w:val="20"/>
          <w:rtl/>
        </w:rPr>
        <w:br/>
      </w:r>
      <w:r w:rsidRPr="00834C85">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אין אנו בקיאים בבדיקה זו.</w:t>
      </w:r>
      <w:r>
        <w:rPr>
          <w:sz w:val="20"/>
          <w:szCs w:val="20"/>
          <w:rtl/>
        </w:rPr>
        <w:br/>
      </w:r>
      <w:r>
        <w:rPr>
          <w:rFonts w:hint="cs"/>
          <w:sz w:val="20"/>
          <w:szCs w:val="20"/>
          <w:rtl/>
        </w:rPr>
        <w:t xml:space="preserve">ועוד </w:t>
      </w:r>
      <w:r>
        <w:rPr>
          <w:sz w:val="20"/>
          <w:szCs w:val="20"/>
          <w:rtl/>
        </w:rPr>
        <w:t>–</w:t>
      </w:r>
      <w:r>
        <w:rPr>
          <w:rFonts w:hint="cs"/>
          <w:sz w:val="20"/>
          <w:szCs w:val="20"/>
          <w:rtl/>
        </w:rPr>
        <w:t xml:space="preserve"> אפילו אם הדם בא מהצדדים, הרי בנות ישראל החמירו לשבת על כל טיפת דם ז' נקיים.</w:t>
      </w:r>
      <w:r>
        <w:rPr>
          <w:rFonts w:hint="cs"/>
          <w:sz w:val="20"/>
          <w:szCs w:val="20"/>
          <w:rtl/>
        </w:rPr>
        <w:br/>
      </w:r>
      <w:r>
        <w:rPr>
          <w:rFonts w:cs="Arial" w:hint="cs"/>
          <w:sz w:val="20"/>
          <w:szCs w:val="20"/>
          <w:rtl/>
        </w:rPr>
        <w:t xml:space="preserve">ואמנם, מודה </w:t>
      </w:r>
      <w:r w:rsidRPr="008E2322">
        <w:rPr>
          <w:rFonts w:cs="Arial" w:hint="cs"/>
          <w:b/>
          <w:bCs/>
          <w:sz w:val="20"/>
          <w:szCs w:val="20"/>
          <w:rtl/>
        </w:rPr>
        <w:t>הראב"ד</w:t>
      </w:r>
      <w:r>
        <w:rPr>
          <w:rFonts w:cs="Arial" w:hint="cs"/>
          <w:sz w:val="20"/>
          <w:szCs w:val="20"/>
          <w:rtl/>
        </w:rPr>
        <w:t xml:space="preserve"> שאם בדקה ומצאה טהורה, שאין מוציאים אותה מבעלה.</w:t>
      </w:r>
      <w:r>
        <w:rPr>
          <w:sz w:val="20"/>
          <w:szCs w:val="20"/>
          <w:rtl/>
        </w:rPr>
        <w:br/>
      </w:r>
      <w:r>
        <w:rPr>
          <w:rFonts w:cs="Arial" w:hint="cs"/>
          <w:sz w:val="20"/>
          <w:szCs w:val="20"/>
          <w:rtl/>
        </w:rPr>
        <w:t xml:space="preserve">ב. </w:t>
      </w:r>
      <w:r w:rsidRPr="00627B6E">
        <w:rPr>
          <w:rFonts w:cs="Arial" w:hint="cs"/>
          <w:b/>
          <w:bCs/>
          <w:sz w:val="20"/>
          <w:szCs w:val="20"/>
          <w:rtl/>
        </w:rPr>
        <w:t>רי"ף</w:t>
      </w:r>
      <w:r>
        <w:rPr>
          <w:rFonts w:cs="Arial" w:hint="cs"/>
          <w:sz w:val="20"/>
          <w:szCs w:val="20"/>
          <w:rtl/>
        </w:rPr>
        <w:t xml:space="preserve">, </w:t>
      </w:r>
      <w:r w:rsidRPr="008E2322">
        <w:rPr>
          <w:rFonts w:cs="Arial" w:hint="cs"/>
          <w:b/>
          <w:bCs/>
          <w:sz w:val="20"/>
          <w:szCs w:val="20"/>
          <w:rtl/>
        </w:rPr>
        <w:t>רמב"ם ורא"ש</w:t>
      </w:r>
      <w:r>
        <w:rPr>
          <w:rFonts w:cs="Arial" w:hint="cs"/>
          <w:sz w:val="20"/>
          <w:szCs w:val="20"/>
          <w:rtl/>
        </w:rPr>
        <w:t xml:space="preserve"> </w:t>
      </w:r>
      <w:r>
        <w:rPr>
          <w:rFonts w:cs="Arial"/>
          <w:sz w:val="20"/>
          <w:szCs w:val="20"/>
          <w:rtl/>
        </w:rPr>
        <w:t>–</w:t>
      </w:r>
      <w:r>
        <w:rPr>
          <w:rFonts w:hint="cs"/>
          <w:sz w:val="20"/>
          <w:szCs w:val="20"/>
          <w:rtl/>
        </w:rPr>
        <w:t xml:space="preserve"> יש לסמוך גם היום על בדיקה זו, וכ"פ </w:t>
      </w:r>
      <w:r w:rsidRPr="00627B6E">
        <w:rPr>
          <w:rFonts w:hint="cs"/>
          <w:b/>
          <w:bCs/>
          <w:sz w:val="20"/>
          <w:szCs w:val="20"/>
          <w:rtl/>
        </w:rPr>
        <w:t>הרמ"א</w:t>
      </w:r>
      <w:r>
        <w:rPr>
          <w:rFonts w:hint="cs"/>
          <w:sz w:val="20"/>
          <w:szCs w:val="20"/>
          <w:rtl/>
        </w:rPr>
        <w:t>.</w:t>
      </w:r>
      <w:r>
        <w:rPr>
          <w:rStyle w:val="a5"/>
          <w:sz w:val="20"/>
          <w:szCs w:val="20"/>
          <w:rtl/>
        </w:rPr>
        <w:footnoteReference w:id="97"/>
      </w:r>
      <w:r>
        <w:rPr>
          <w:sz w:val="20"/>
          <w:szCs w:val="20"/>
          <w:rtl/>
        </w:rPr>
        <w:br/>
      </w:r>
      <w:r w:rsidRPr="00627B6E">
        <w:rPr>
          <w:rFonts w:hint="cs"/>
          <w:b/>
          <w:bCs/>
          <w:sz w:val="20"/>
          <w:szCs w:val="20"/>
          <w:rtl/>
        </w:rPr>
        <w:t>ד</w:t>
      </w:r>
      <w:r w:rsidRPr="008E2322">
        <w:rPr>
          <w:rFonts w:hint="cs"/>
          <w:b/>
          <w:bCs/>
          <w:sz w:val="20"/>
          <w:szCs w:val="20"/>
          <w:rtl/>
        </w:rPr>
        <w:t>חיית טעם הראב"ד</w:t>
      </w:r>
      <w:r>
        <w:rPr>
          <w:rFonts w:hint="cs"/>
          <w:sz w:val="20"/>
          <w:szCs w:val="20"/>
          <w:rtl/>
        </w:rPr>
        <w:t xml:space="preserve"> </w:t>
      </w:r>
      <w:r>
        <w:rPr>
          <w:sz w:val="20"/>
          <w:szCs w:val="20"/>
          <w:rtl/>
        </w:rPr>
        <w:t>–</w:t>
      </w:r>
      <w:r>
        <w:rPr>
          <w:rFonts w:hint="cs"/>
          <w:sz w:val="20"/>
          <w:szCs w:val="20"/>
          <w:rtl/>
        </w:rPr>
        <w:t xml:space="preserve"> איזו בקיאות שייכת בבדיקה זו? אם לא נמצא דם בראש המוך מותרת.</w:t>
      </w:r>
      <w:r>
        <w:rPr>
          <w:sz w:val="20"/>
          <w:szCs w:val="20"/>
          <w:rtl/>
        </w:rPr>
        <w:br/>
      </w:r>
      <w:r>
        <w:rPr>
          <w:rFonts w:hint="cs"/>
          <w:sz w:val="20"/>
          <w:szCs w:val="20"/>
          <w:rtl/>
        </w:rPr>
        <w:t xml:space="preserve">ולגבי חומרת רבי זירא </w:t>
      </w:r>
      <w:r>
        <w:rPr>
          <w:sz w:val="20"/>
          <w:szCs w:val="20"/>
          <w:rtl/>
        </w:rPr>
        <w:t>–</w:t>
      </w:r>
      <w:r>
        <w:rPr>
          <w:rFonts w:hint="cs"/>
          <w:sz w:val="20"/>
          <w:szCs w:val="20"/>
          <w:rtl/>
        </w:rPr>
        <w:t xml:space="preserve"> החומרה נאמרה רק בדם מקור אך לא בדם צדדים.</w:t>
      </w:r>
      <w:r>
        <w:rPr>
          <w:sz w:val="20"/>
          <w:szCs w:val="20"/>
          <w:rtl/>
        </w:rPr>
        <w:br/>
      </w:r>
      <w:r>
        <w:rPr>
          <w:rFonts w:hint="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רמ"א </w:t>
      </w:r>
      <w:r>
        <w:rPr>
          <w:sz w:val="20"/>
          <w:szCs w:val="20"/>
          <w:rtl/>
        </w:rPr>
        <w:t>–</w:t>
      </w:r>
      <w:r>
        <w:rPr>
          <w:rFonts w:hint="cs"/>
          <w:sz w:val="20"/>
          <w:szCs w:val="20"/>
          <w:rtl/>
        </w:rPr>
        <w:t xml:space="preserve"> </w:t>
      </w:r>
      <w:r w:rsidRPr="008E2322">
        <w:rPr>
          <w:rFonts w:hint="cs"/>
          <w:sz w:val="18"/>
          <w:szCs w:val="18"/>
          <w:rtl/>
        </w:rPr>
        <w:t>"</w:t>
      </w:r>
      <w:r w:rsidRPr="008E2322">
        <w:rPr>
          <w:rFonts w:cs="Arial" w:hint="cs"/>
          <w:sz w:val="18"/>
          <w:szCs w:val="18"/>
          <w:rtl/>
        </w:rPr>
        <w:t>ואף</w:t>
      </w:r>
      <w:r w:rsidRPr="008E2322">
        <w:rPr>
          <w:rFonts w:cs="Arial"/>
          <w:sz w:val="18"/>
          <w:szCs w:val="18"/>
          <w:rtl/>
        </w:rPr>
        <w:t xml:space="preserve"> </w:t>
      </w:r>
      <w:r w:rsidRPr="008E2322">
        <w:rPr>
          <w:rFonts w:cs="Arial" w:hint="cs"/>
          <w:sz w:val="18"/>
          <w:szCs w:val="18"/>
          <w:rtl/>
        </w:rPr>
        <w:t>בזמן</w:t>
      </w:r>
      <w:r w:rsidRPr="008E2322">
        <w:rPr>
          <w:rFonts w:cs="Arial"/>
          <w:sz w:val="18"/>
          <w:szCs w:val="18"/>
          <w:rtl/>
        </w:rPr>
        <w:t xml:space="preserve"> </w:t>
      </w:r>
      <w:r w:rsidRPr="008E2322">
        <w:rPr>
          <w:rFonts w:cs="Arial" w:hint="cs"/>
          <w:sz w:val="18"/>
          <w:szCs w:val="18"/>
          <w:rtl/>
        </w:rPr>
        <w:t>הזה</w:t>
      </w:r>
      <w:r w:rsidRPr="008E2322">
        <w:rPr>
          <w:rFonts w:cs="Arial"/>
          <w:sz w:val="18"/>
          <w:szCs w:val="18"/>
          <w:rtl/>
        </w:rPr>
        <w:t xml:space="preserve"> </w:t>
      </w:r>
      <w:r w:rsidRPr="008E2322">
        <w:rPr>
          <w:rFonts w:cs="Arial" w:hint="cs"/>
          <w:sz w:val="18"/>
          <w:szCs w:val="18"/>
          <w:rtl/>
        </w:rPr>
        <w:t>יש</w:t>
      </w:r>
      <w:r w:rsidRPr="008E2322">
        <w:rPr>
          <w:rFonts w:cs="Arial"/>
          <w:sz w:val="18"/>
          <w:szCs w:val="18"/>
          <w:rtl/>
        </w:rPr>
        <w:t xml:space="preserve"> </w:t>
      </w:r>
      <w:r w:rsidRPr="008E2322">
        <w:rPr>
          <w:rFonts w:cs="Arial" w:hint="cs"/>
          <w:sz w:val="18"/>
          <w:szCs w:val="18"/>
          <w:rtl/>
        </w:rPr>
        <w:t>לסמוך</w:t>
      </w:r>
      <w:r w:rsidRPr="008E2322">
        <w:rPr>
          <w:rFonts w:cs="Arial"/>
          <w:sz w:val="18"/>
          <w:szCs w:val="18"/>
          <w:rtl/>
        </w:rPr>
        <w:t xml:space="preserve"> </w:t>
      </w:r>
      <w:r w:rsidRPr="008E2322">
        <w:rPr>
          <w:rFonts w:cs="Arial" w:hint="cs"/>
          <w:sz w:val="18"/>
          <w:szCs w:val="18"/>
          <w:rtl/>
        </w:rPr>
        <w:t>אבדיקה</w:t>
      </w:r>
      <w:r w:rsidRPr="008E2322">
        <w:rPr>
          <w:rFonts w:cs="Arial"/>
          <w:sz w:val="18"/>
          <w:szCs w:val="18"/>
          <w:rtl/>
        </w:rPr>
        <w:t xml:space="preserve"> </w:t>
      </w:r>
      <w:r w:rsidRPr="008E2322">
        <w:rPr>
          <w:rFonts w:cs="Arial" w:hint="cs"/>
          <w:sz w:val="18"/>
          <w:szCs w:val="18"/>
          <w:rtl/>
        </w:rPr>
        <w:t>זו</w:t>
      </w:r>
      <w:r w:rsidRPr="008E2322">
        <w:rPr>
          <w:rFonts w:hint="cs"/>
          <w:sz w:val="18"/>
          <w:szCs w:val="18"/>
          <w:rtl/>
        </w:rPr>
        <w:t>".</w:t>
      </w:r>
    </w:p>
    <w:p w:rsidR="00620060" w:rsidRPr="00C456AD" w:rsidRDefault="00620060" w:rsidP="00620060">
      <w:pPr>
        <w:rPr>
          <w:sz w:val="20"/>
          <w:szCs w:val="20"/>
          <w:rtl/>
        </w:rPr>
      </w:pPr>
      <w:r>
        <w:rPr>
          <w:rFonts w:hint="cs"/>
          <w:sz w:val="20"/>
          <w:szCs w:val="20"/>
          <w:u w:val="single"/>
          <w:rtl/>
        </w:rPr>
        <w:t>מדוע מתירים אשה שלא מצאה דם על המכחול? (בדי השולחן)</w:t>
      </w:r>
      <w:r>
        <w:rPr>
          <w:rFonts w:hint="cs"/>
          <w:sz w:val="20"/>
          <w:szCs w:val="20"/>
          <w:u w:val="single"/>
          <w:rtl/>
        </w:rPr>
        <w:br/>
      </w:r>
      <w:r>
        <w:rPr>
          <w:rFonts w:hint="cs"/>
          <w:sz w:val="20"/>
          <w:szCs w:val="20"/>
          <w:rtl/>
        </w:rPr>
        <w:t xml:space="preserve">א. </w:t>
      </w:r>
      <w:r w:rsidRPr="00245C78">
        <w:rPr>
          <w:rFonts w:hint="cs"/>
          <w:b/>
          <w:bCs/>
          <w:sz w:val="20"/>
          <w:szCs w:val="20"/>
          <w:rtl/>
        </w:rPr>
        <w:t>תשובת מיימוני</w:t>
      </w:r>
      <w:r>
        <w:rPr>
          <w:rFonts w:hint="cs"/>
          <w:sz w:val="20"/>
          <w:szCs w:val="20"/>
          <w:rtl/>
        </w:rPr>
        <w:t xml:space="preserve"> </w:t>
      </w:r>
      <w:r>
        <w:rPr>
          <w:sz w:val="20"/>
          <w:szCs w:val="20"/>
          <w:rtl/>
        </w:rPr>
        <w:t>–</w:t>
      </w:r>
      <w:r>
        <w:rPr>
          <w:rFonts w:hint="cs"/>
          <w:sz w:val="20"/>
          <w:szCs w:val="20"/>
          <w:rtl/>
        </w:rPr>
        <w:t xml:space="preserve"> תולים לומר שהאשה התרפאה ולא תראה יותר דם.</w:t>
      </w:r>
      <w:r>
        <w:rPr>
          <w:sz w:val="20"/>
          <w:szCs w:val="20"/>
          <w:rtl/>
        </w:rPr>
        <w:br/>
      </w:r>
      <w:r>
        <w:rPr>
          <w:rFonts w:hint="cs"/>
          <w:sz w:val="20"/>
          <w:szCs w:val="20"/>
          <w:rtl/>
        </w:rPr>
        <w:t xml:space="preserve">ב. </w:t>
      </w:r>
      <w:r w:rsidRPr="00245C78">
        <w:rPr>
          <w:rFonts w:hint="cs"/>
          <w:b/>
          <w:bCs/>
          <w:sz w:val="20"/>
          <w:szCs w:val="20"/>
          <w:rtl/>
        </w:rPr>
        <w:t>הגהות שערי דורא</w:t>
      </w:r>
      <w:r>
        <w:rPr>
          <w:rFonts w:hint="cs"/>
          <w:sz w:val="20"/>
          <w:szCs w:val="20"/>
          <w:rtl/>
        </w:rPr>
        <w:t xml:space="preserve"> </w:t>
      </w:r>
      <w:r>
        <w:rPr>
          <w:sz w:val="20"/>
          <w:szCs w:val="20"/>
          <w:rtl/>
        </w:rPr>
        <w:t>–</w:t>
      </w:r>
      <w:r>
        <w:rPr>
          <w:rFonts w:hint="cs"/>
          <w:sz w:val="20"/>
          <w:szCs w:val="20"/>
          <w:rtl/>
        </w:rPr>
        <w:t xml:space="preserve"> אם הדם היה בא מהמקור מחמת שהאבר נוגע בצוואר הרחם, הוא היה צריך לצאת גם ע"י השפופרת. אלא, מכך שהדם לא יצא ע"י שפופרת הוי הוכחה שבשעת תשמיש הדם בא לה מהצדדים מחמת דוחק האבר, אך השפופרת הוכנסה בנחת ולכן לא פגעה בצדדים בצורה שמוציאה דם.</w:t>
      </w:r>
    </w:p>
    <w:p w:rsidR="00620060" w:rsidRDefault="00620060" w:rsidP="00620060">
      <w:pPr>
        <w:rPr>
          <w:sz w:val="20"/>
          <w:szCs w:val="20"/>
          <w:rtl/>
        </w:rPr>
      </w:pPr>
      <w:r>
        <w:rPr>
          <w:rFonts w:hint="cs"/>
          <w:sz w:val="20"/>
          <w:szCs w:val="20"/>
          <w:u w:val="single"/>
          <w:rtl/>
        </w:rPr>
        <w:t>בדקה ולא מצאה כלום ואחר כך שימשה וראתה ג' פעמים (בדה"ש סקמ"ח)</w:t>
      </w:r>
      <w:r>
        <w:rPr>
          <w:rFonts w:hint="cs"/>
          <w:sz w:val="20"/>
          <w:szCs w:val="20"/>
          <w:u w:val="single"/>
          <w:rtl/>
        </w:rPr>
        <w:br/>
      </w:r>
      <w:r>
        <w:rPr>
          <w:rFonts w:hint="cs"/>
          <w:sz w:val="20"/>
          <w:szCs w:val="20"/>
          <w:rtl/>
        </w:rPr>
        <w:t>ע"פ טעמי ההיתר המבוארים לעיל</w:t>
      </w:r>
      <w:r w:rsidRPr="00245C78">
        <w:rPr>
          <w:rFonts w:hint="cs"/>
          <w:sz w:val="20"/>
          <w:szCs w:val="20"/>
          <w:rtl/>
        </w:rPr>
        <w:t>, נחלקו ה</w:t>
      </w:r>
      <w:r>
        <w:rPr>
          <w:rFonts w:hint="cs"/>
          <w:sz w:val="20"/>
          <w:szCs w:val="20"/>
          <w:rtl/>
        </w:rPr>
        <w:t>אחרונים</w:t>
      </w:r>
      <w:r w:rsidRPr="00245C78">
        <w:rPr>
          <w:rFonts w:hint="cs"/>
          <w:sz w:val="20"/>
          <w:szCs w:val="20"/>
          <w:rtl/>
        </w:rPr>
        <w:t xml:space="preserve"> במקרה הבא -</w:t>
      </w:r>
      <w:r>
        <w:rPr>
          <w:rFonts w:hint="cs"/>
          <w:sz w:val="20"/>
          <w:szCs w:val="20"/>
          <w:u w:val="single"/>
          <w:rtl/>
        </w:rPr>
        <w:t xml:space="preserve"> </w:t>
      </w:r>
      <w:r>
        <w:rPr>
          <w:rFonts w:hint="cs"/>
          <w:sz w:val="20"/>
          <w:szCs w:val="20"/>
          <w:u w:val="single"/>
          <w:rtl/>
        </w:rPr>
        <w:br/>
      </w:r>
      <w:r>
        <w:rPr>
          <w:rFonts w:hint="cs"/>
          <w:sz w:val="20"/>
          <w:szCs w:val="20"/>
          <w:rtl/>
        </w:rPr>
        <w:lastRenderedPageBreak/>
        <w:t>אשה שבדקה עצמה בשפופרת ולא מצאה דם, אך אחר כך שימשה ג' פעמים ומצאה דם, מה דינה?</w:t>
      </w:r>
      <w:r>
        <w:rPr>
          <w:rFonts w:hint="cs"/>
          <w:sz w:val="20"/>
          <w:szCs w:val="20"/>
          <w:rtl/>
        </w:rPr>
        <w:br/>
        <w:t xml:space="preserve">א. </w:t>
      </w:r>
      <w:r w:rsidRPr="00CA3B1B">
        <w:rPr>
          <w:rFonts w:hint="cs"/>
          <w:b/>
          <w:bCs/>
          <w:sz w:val="20"/>
          <w:szCs w:val="20"/>
          <w:rtl/>
        </w:rPr>
        <w:t>סדרי טהרה</w:t>
      </w:r>
      <w:r>
        <w:rPr>
          <w:rFonts w:hint="cs"/>
          <w:sz w:val="20"/>
          <w:szCs w:val="20"/>
          <w:rtl/>
        </w:rPr>
        <w:t xml:space="preserve"> </w:t>
      </w:r>
      <w:r>
        <w:rPr>
          <w:sz w:val="20"/>
          <w:szCs w:val="20"/>
          <w:rtl/>
        </w:rPr>
        <w:t>–</w:t>
      </w:r>
      <w:r>
        <w:rPr>
          <w:rFonts w:hint="cs"/>
          <w:sz w:val="20"/>
          <w:szCs w:val="20"/>
          <w:rtl/>
        </w:rPr>
        <w:t xml:space="preserve"> אסורה לכל העולם.</w:t>
      </w:r>
      <w:r>
        <w:rPr>
          <w:sz w:val="20"/>
          <w:szCs w:val="20"/>
          <w:rtl/>
        </w:rPr>
        <w:br/>
      </w:r>
      <w:r w:rsidRPr="00CA3B1B">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הואיל וראתה שוב כששימשה ג' פעמים, הוי הוכחה שלא התרפאה, וכנראה הבדיקה לא נעשתה כראוי.</w:t>
      </w:r>
      <w:r>
        <w:rPr>
          <w:sz w:val="20"/>
          <w:szCs w:val="20"/>
          <w:rtl/>
        </w:rPr>
        <w:br/>
      </w:r>
      <w:r>
        <w:rPr>
          <w:rFonts w:hint="cs"/>
          <w:sz w:val="20"/>
          <w:szCs w:val="20"/>
          <w:rtl/>
        </w:rPr>
        <w:t xml:space="preserve">ב. </w:t>
      </w:r>
      <w:r w:rsidRPr="00CA3B1B">
        <w:rPr>
          <w:rFonts w:hint="cs"/>
          <w:b/>
          <w:bCs/>
          <w:sz w:val="20"/>
          <w:szCs w:val="20"/>
          <w:rtl/>
        </w:rPr>
        <w:t>חוות דעת</w:t>
      </w:r>
      <w:r>
        <w:rPr>
          <w:rFonts w:hint="cs"/>
          <w:sz w:val="20"/>
          <w:szCs w:val="20"/>
          <w:rtl/>
        </w:rPr>
        <w:t xml:space="preserve"> </w:t>
      </w:r>
      <w:r>
        <w:rPr>
          <w:sz w:val="20"/>
          <w:szCs w:val="20"/>
          <w:rtl/>
        </w:rPr>
        <w:t>–</w:t>
      </w:r>
      <w:r>
        <w:rPr>
          <w:rFonts w:hint="cs"/>
          <w:sz w:val="20"/>
          <w:szCs w:val="20"/>
          <w:rtl/>
        </w:rPr>
        <w:t xml:space="preserve"> מותרת גם לבעלה הנוכחי.</w:t>
      </w:r>
      <w:r>
        <w:rPr>
          <w:sz w:val="20"/>
          <w:szCs w:val="20"/>
          <w:rtl/>
        </w:rPr>
        <w:br/>
      </w:r>
      <w:r w:rsidRPr="00CA3B1B">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בדיקת שפופרת מתירה לא מטעם רפואה, אלא משום שהיא מוכיחה שהדם בשעת תשמיש לא בא לה מהמקור אלא מהצדדים, וכאמור לעיל. </w:t>
      </w:r>
      <w:r>
        <w:rPr>
          <w:sz w:val="20"/>
          <w:szCs w:val="20"/>
          <w:rtl/>
        </w:rPr>
        <w:br/>
      </w:r>
      <w:r>
        <w:rPr>
          <w:rFonts w:hint="cs"/>
          <w:sz w:val="20"/>
          <w:szCs w:val="20"/>
          <w:rtl/>
        </w:rPr>
        <w:t xml:space="preserve">ג. </w:t>
      </w:r>
      <w:r w:rsidRPr="00CA3B1B">
        <w:rPr>
          <w:rFonts w:hint="cs"/>
          <w:b/>
          <w:bCs/>
          <w:sz w:val="20"/>
          <w:szCs w:val="20"/>
          <w:rtl/>
        </w:rPr>
        <w:t>נודע ביהודה</w:t>
      </w:r>
      <w:r>
        <w:rPr>
          <w:rFonts w:hint="cs"/>
          <w:sz w:val="20"/>
          <w:szCs w:val="20"/>
          <w:rtl/>
        </w:rPr>
        <w:t xml:space="preserve"> </w:t>
      </w:r>
      <w:r>
        <w:rPr>
          <w:sz w:val="20"/>
          <w:szCs w:val="20"/>
          <w:rtl/>
        </w:rPr>
        <w:t>–</w:t>
      </w:r>
      <w:r>
        <w:rPr>
          <w:rFonts w:hint="cs"/>
          <w:sz w:val="20"/>
          <w:szCs w:val="20"/>
          <w:rtl/>
        </w:rPr>
        <w:t xml:space="preserve"> דינה כאשה חדשה שמותרת כעת לשני בעלים נוספים ללא בדיקה.</w:t>
      </w:r>
      <w:r>
        <w:rPr>
          <w:sz w:val="20"/>
          <w:szCs w:val="20"/>
          <w:rtl/>
        </w:rPr>
        <w:br/>
      </w:r>
      <w:r w:rsidRPr="00CA3B1B">
        <w:rPr>
          <w:rFonts w:hint="cs"/>
          <w:b/>
          <w:bCs/>
          <w:sz w:val="20"/>
          <w:szCs w:val="20"/>
          <w:rtl/>
        </w:rPr>
        <w:t xml:space="preserve">טעם </w:t>
      </w:r>
      <w:r>
        <w:rPr>
          <w:sz w:val="20"/>
          <w:szCs w:val="20"/>
          <w:rtl/>
        </w:rPr>
        <w:t>–</w:t>
      </w:r>
      <w:r>
        <w:rPr>
          <w:rFonts w:hint="cs"/>
          <w:sz w:val="20"/>
          <w:szCs w:val="20"/>
          <w:rtl/>
        </w:rPr>
        <w:t xml:space="preserve"> טעם ההיתר ע"י בדיקת שפופרת הוא משום שהתרפאה, אך חזינן השתא שהתחילה לראות שוב מחמת תשמיש, אם כן דינה כאשה חדשה.</w:t>
      </w:r>
      <w:r>
        <w:rPr>
          <w:sz w:val="20"/>
          <w:szCs w:val="20"/>
          <w:rtl/>
        </w:rPr>
        <w:br/>
      </w:r>
      <w:r>
        <w:rPr>
          <w:rFonts w:hint="cs"/>
          <w:sz w:val="20"/>
          <w:szCs w:val="20"/>
          <w:rtl/>
        </w:rPr>
        <w:t xml:space="preserve">ואמנם, מודה </w:t>
      </w:r>
      <w:r w:rsidRPr="00B575DD">
        <w:rPr>
          <w:rFonts w:hint="cs"/>
          <w:b/>
          <w:bCs/>
          <w:sz w:val="20"/>
          <w:szCs w:val="20"/>
          <w:rtl/>
        </w:rPr>
        <w:t>הנוב"י</w:t>
      </w:r>
      <w:r>
        <w:rPr>
          <w:rFonts w:hint="cs"/>
          <w:sz w:val="20"/>
          <w:szCs w:val="20"/>
          <w:rtl/>
        </w:rPr>
        <w:t xml:space="preserve"> שאם בבדיקת השפופרת מצאה דם בצדי המוך, אע"פ שאחר כך ראתה דם ג' פעמים בשעת תשמיש מותרת לבעלה, שהרי יש הוכחה לכך שהדם אינו דם מקור.</w:t>
      </w:r>
    </w:p>
    <w:p w:rsidR="00620060" w:rsidRDefault="00620060" w:rsidP="00620060">
      <w:pPr>
        <w:rPr>
          <w:sz w:val="20"/>
          <w:szCs w:val="20"/>
          <w:rtl/>
        </w:rPr>
      </w:pPr>
      <w:r>
        <w:rPr>
          <w:rFonts w:hint="cs"/>
          <w:sz w:val="20"/>
          <w:szCs w:val="20"/>
          <w:u w:val="single"/>
          <w:rtl/>
        </w:rPr>
        <w:t>בדקה בשפופרת של עץ (פת"ש)</w:t>
      </w:r>
      <w:r>
        <w:rPr>
          <w:sz w:val="20"/>
          <w:szCs w:val="20"/>
          <w:u w:val="single"/>
          <w:rtl/>
        </w:rPr>
        <w:br/>
      </w:r>
      <w:r>
        <w:rPr>
          <w:rFonts w:hint="cs"/>
          <w:sz w:val="20"/>
          <w:szCs w:val="20"/>
          <w:rtl/>
        </w:rPr>
        <w:t>מבואר בגמרא שאין לבדוק בשפופרת של עץ משום שהיא שורטת את הבשר, אמנם בדיעבד ברור שמהני.</w:t>
      </w:r>
      <w:r>
        <w:rPr>
          <w:sz w:val="20"/>
          <w:szCs w:val="20"/>
          <w:rtl/>
        </w:rPr>
        <w:br/>
      </w:r>
      <w:r>
        <w:rPr>
          <w:rFonts w:hint="cs"/>
          <w:sz w:val="20"/>
          <w:szCs w:val="20"/>
          <w:rtl/>
        </w:rPr>
        <w:t xml:space="preserve">ברם, </w:t>
      </w:r>
      <w:r w:rsidRPr="00030C6B">
        <w:rPr>
          <w:rFonts w:hint="cs"/>
          <w:b/>
          <w:bCs/>
          <w:sz w:val="20"/>
          <w:szCs w:val="20"/>
          <w:rtl/>
        </w:rPr>
        <w:t>הפת"ש</w:t>
      </w:r>
      <w:r>
        <w:rPr>
          <w:rFonts w:hint="cs"/>
          <w:sz w:val="20"/>
          <w:szCs w:val="20"/>
          <w:rtl/>
        </w:rPr>
        <w:t xml:space="preserve"> מסייג </w:t>
      </w:r>
      <w:r>
        <w:rPr>
          <w:sz w:val="20"/>
          <w:szCs w:val="20"/>
          <w:rtl/>
        </w:rPr>
        <w:t>–</w:t>
      </w:r>
      <w:r>
        <w:rPr>
          <w:rFonts w:hint="cs"/>
          <w:sz w:val="20"/>
          <w:szCs w:val="20"/>
          <w:rtl/>
        </w:rPr>
        <w:t xml:space="preserve"> אם מצאה דם בצדדי השפופרת יש כמה קולות</w:t>
      </w:r>
      <w:r>
        <w:rPr>
          <w:rStyle w:val="a5"/>
          <w:sz w:val="20"/>
          <w:szCs w:val="20"/>
          <w:rtl/>
        </w:rPr>
        <w:footnoteReference w:id="98"/>
      </w:r>
      <w:r>
        <w:rPr>
          <w:rFonts w:hint="cs"/>
          <w:sz w:val="20"/>
          <w:szCs w:val="20"/>
          <w:rtl/>
        </w:rPr>
        <w:t xml:space="preserve"> שלא קיימות כאשר לא מצאה כלל דם, וקולות אלו אינן קיימות כאשר בדקה בשפופרת של עץ ומצאה דם בצדדים.</w:t>
      </w:r>
      <w:r>
        <w:rPr>
          <w:sz w:val="20"/>
          <w:szCs w:val="20"/>
          <w:rtl/>
        </w:rPr>
        <w:br/>
      </w:r>
      <w:r w:rsidRPr="00030C6B">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הקולא בנמצא בצדדים הוא משום שהדבר מוכיח שהדם בשעת תשמיש יוצא מחמת מכה, אך כאן אין לתלות בדם מכה אלא יש לתלות את הדם בשריטה שנעשתה כעת בבדיקה.</w:t>
      </w:r>
    </w:p>
    <w:p w:rsidR="00620060" w:rsidRDefault="00620060" w:rsidP="00620060">
      <w:pPr>
        <w:rPr>
          <w:sz w:val="20"/>
          <w:szCs w:val="20"/>
          <w:rtl/>
        </w:rPr>
      </w:pPr>
      <w:r>
        <w:rPr>
          <w:rFonts w:hint="cs"/>
          <w:sz w:val="20"/>
          <w:szCs w:val="20"/>
          <w:u w:val="single"/>
          <w:rtl/>
        </w:rPr>
        <w:t>בדקה ונאסרה האם יש להתירה בבדיקה נוספת? (פת"ש)</w:t>
      </w:r>
      <w:r>
        <w:rPr>
          <w:rFonts w:hint="cs"/>
          <w:sz w:val="20"/>
          <w:szCs w:val="20"/>
          <w:u w:val="single"/>
          <w:rtl/>
        </w:rPr>
        <w:br/>
      </w:r>
      <w:r w:rsidRPr="00156749">
        <w:rPr>
          <w:rFonts w:hint="cs"/>
          <w:b/>
          <w:bCs/>
          <w:sz w:val="20"/>
          <w:szCs w:val="20"/>
          <w:rtl/>
        </w:rPr>
        <w:t>נודע ביהודה וסדרי טהרה</w:t>
      </w:r>
      <w:r>
        <w:rPr>
          <w:rFonts w:hint="cs"/>
          <w:sz w:val="20"/>
          <w:szCs w:val="20"/>
          <w:rtl/>
        </w:rPr>
        <w:t xml:space="preserve"> </w:t>
      </w:r>
      <w:r>
        <w:rPr>
          <w:sz w:val="20"/>
          <w:szCs w:val="20"/>
          <w:rtl/>
        </w:rPr>
        <w:t>–</w:t>
      </w:r>
      <w:r>
        <w:rPr>
          <w:rFonts w:hint="cs"/>
          <w:sz w:val="20"/>
          <w:szCs w:val="20"/>
          <w:rtl/>
        </w:rPr>
        <w:t xml:space="preserve"> אם מצאה דם בראש המוך ונאסרה, לא מהני לה בדיקה נוספת אפילו אם תמצא עצמה נקייה בה או שתמצא דם בצדדי השפופרת, וכן אין לסמוך להיתר על רפואת הרופאים </w:t>
      </w:r>
      <w:r w:rsidRPr="00BA20D7">
        <w:rPr>
          <w:rFonts w:hint="cs"/>
          <w:sz w:val="18"/>
          <w:szCs w:val="18"/>
          <w:rtl/>
        </w:rPr>
        <w:t>(אך עיין סעיף ח')</w:t>
      </w:r>
      <w:r>
        <w:rPr>
          <w:rStyle w:val="a5"/>
          <w:sz w:val="20"/>
          <w:szCs w:val="20"/>
          <w:rtl/>
        </w:rPr>
        <w:footnoteReference w:id="99"/>
      </w:r>
      <w:r>
        <w:rPr>
          <w:rFonts w:hint="cs"/>
          <w:sz w:val="20"/>
          <w:szCs w:val="20"/>
          <w:rtl/>
        </w:rPr>
        <w:t>.</w:t>
      </w:r>
      <w:r>
        <w:rPr>
          <w:sz w:val="20"/>
          <w:szCs w:val="20"/>
          <w:rtl/>
        </w:rPr>
        <w:br/>
      </w:r>
      <w:r w:rsidRPr="00156749">
        <w:rPr>
          <w:rFonts w:hint="cs"/>
          <w:b/>
          <w:bCs/>
          <w:sz w:val="20"/>
          <w:szCs w:val="20"/>
          <w:rtl/>
        </w:rPr>
        <w:t xml:space="preserve">טעם </w:t>
      </w:r>
      <w:r>
        <w:rPr>
          <w:sz w:val="20"/>
          <w:szCs w:val="20"/>
          <w:rtl/>
        </w:rPr>
        <w:t>–</w:t>
      </w:r>
      <w:r>
        <w:rPr>
          <w:rFonts w:hint="cs"/>
          <w:sz w:val="20"/>
          <w:szCs w:val="20"/>
          <w:rtl/>
        </w:rPr>
        <w:t xml:space="preserve"> חשש שמא ראיותיה באות לה מחמת חימוד התשמיש.</w:t>
      </w:r>
      <w:r>
        <w:rPr>
          <w:sz w:val="20"/>
          <w:szCs w:val="20"/>
          <w:rtl/>
        </w:rPr>
        <w:br/>
      </w:r>
      <w:r>
        <w:rPr>
          <w:rFonts w:hint="cs"/>
          <w:sz w:val="20"/>
          <w:szCs w:val="20"/>
          <w:rtl/>
        </w:rPr>
        <w:t>אמנם, דין זה נאמר רק לאחר בעל השלישי, אך אם בדקה עצמה שנית לאחר שהתגרשה מבעל הראשון, מותרת לבעל השני.</w:t>
      </w:r>
    </w:p>
    <w:p w:rsidR="00620060" w:rsidRDefault="00620060" w:rsidP="00620060">
      <w:pPr>
        <w:rPr>
          <w:sz w:val="20"/>
          <w:szCs w:val="20"/>
          <w:rtl/>
        </w:rPr>
      </w:pPr>
      <w:r>
        <w:rPr>
          <w:rFonts w:hint="cs"/>
          <w:sz w:val="20"/>
          <w:szCs w:val="20"/>
          <w:u w:val="single"/>
          <w:rtl/>
        </w:rPr>
        <w:t>האם יש לשבת על דם הצדדים ז' נקיים (פת"ש)</w:t>
      </w:r>
      <w:r>
        <w:rPr>
          <w:rFonts w:hint="cs"/>
          <w:sz w:val="20"/>
          <w:szCs w:val="20"/>
          <w:u w:val="single"/>
          <w:rtl/>
        </w:rPr>
        <w:br/>
      </w:r>
      <w:r>
        <w:rPr>
          <w:rFonts w:hint="cs"/>
          <w:sz w:val="20"/>
          <w:szCs w:val="20"/>
          <w:rtl/>
        </w:rPr>
        <w:t>אשה שבדקה עצמה ומצאה על השפופרת דם בצדדים, וכן לאחר מכן שימשה עם בעלה וראתה דם מחמת תשמיש, האם צריכה לשבת על דם זה ז' נקיים?</w:t>
      </w:r>
      <w:r>
        <w:rPr>
          <w:rFonts w:hint="cs"/>
          <w:sz w:val="20"/>
          <w:szCs w:val="20"/>
          <w:rtl/>
        </w:rPr>
        <w:br/>
        <w:t xml:space="preserve">א. </w:t>
      </w:r>
      <w:r w:rsidRPr="00532378">
        <w:rPr>
          <w:rFonts w:hint="cs"/>
          <w:b/>
          <w:bCs/>
          <w:sz w:val="20"/>
          <w:szCs w:val="20"/>
          <w:rtl/>
        </w:rPr>
        <w:t xml:space="preserve">חוות דעת </w:t>
      </w:r>
      <w:r>
        <w:rPr>
          <w:sz w:val="20"/>
          <w:szCs w:val="20"/>
          <w:rtl/>
        </w:rPr>
        <w:t>–</w:t>
      </w:r>
      <w:r>
        <w:rPr>
          <w:rFonts w:hint="cs"/>
          <w:sz w:val="20"/>
          <w:szCs w:val="20"/>
          <w:rtl/>
        </w:rPr>
        <w:t xml:space="preserve"> כן.</w:t>
      </w:r>
      <w:r>
        <w:rPr>
          <w:sz w:val="20"/>
          <w:szCs w:val="20"/>
          <w:rtl/>
        </w:rPr>
        <w:br/>
      </w:r>
      <w:r w:rsidRPr="00532378">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בדיקה זו מועילה דווקא לדין דרבנן של רואה מחמת תשמיש שהוא כווסת ווסתות דרבנן, אך היא אינה מועילה לגבי חשש דאורייתא שמא היא נידה, ולכן צריכה ז' נקיים.</w:t>
      </w:r>
      <w:r>
        <w:rPr>
          <w:sz w:val="20"/>
          <w:szCs w:val="20"/>
          <w:rtl/>
        </w:rPr>
        <w:br/>
      </w:r>
      <w:r>
        <w:rPr>
          <w:rFonts w:hint="cs"/>
          <w:sz w:val="20"/>
          <w:szCs w:val="20"/>
          <w:rtl/>
        </w:rPr>
        <w:t xml:space="preserve">ב. </w:t>
      </w:r>
      <w:r w:rsidRPr="00532378">
        <w:rPr>
          <w:rFonts w:hint="cs"/>
          <w:b/>
          <w:bCs/>
          <w:sz w:val="20"/>
          <w:szCs w:val="20"/>
          <w:rtl/>
        </w:rPr>
        <w:t>תשובות הר"ן</w:t>
      </w:r>
      <w:r>
        <w:rPr>
          <w:rFonts w:hint="cs"/>
          <w:sz w:val="20"/>
          <w:szCs w:val="20"/>
          <w:rtl/>
        </w:rPr>
        <w:t xml:space="preserve"> </w:t>
      </w:r>
      <w:r w:rsidRPr="00532378">
        <w:rPr>
          <w:rFonts w:hint="cs"/>
          <w:sz w:val="18"/>
          <w:szCs w:val="18"/>
          <w:rtl/>
        </w:rPr>
        <w:t xml:space="preserve">(וכן הביא בדה"ש שפסקו הגר"ז ולחו"ש) </w:t>
      </w:r>
      <w:r>
        <w:rPr>
          <w:sz w:val="20"/>
          <w:szCs w:val="20"/>
          <w:rtl/>
        </w:rPr>
        <w:t>–</w:t>
      </w:r>
      <w:r>
        <w:rPr>
          <w:rFonts w:hint="cs"/>
          <w:sz w:val="20"/>
          <w:szCs w:val="20"/>
          <w:rtl/>
        </w:rPr>
        <w:t xml:space="preserve"> לא.</w:t>
      </w:r>
      <w:r>
        <w:rPr>
          <w:sz w:val="20"/>
          <w:szCs w:val="20"/>
          <w:rtl/>
        </w:rPr>
        <w:br/>
      </w:r>
      <w:r w:rsidRPr="00532378">
        <w:rPr>
          <w:rFonts w:hint="cs"/>
          <w:b/>
          <w:bCs/>
          <w:sz w:val="20"/>
          <w:szCs w:val="20"/>
          <w:rtl/>
        </w:rPr>
        <w:t xml:space="preserve">טעם </w:t>
      </w:r>
      <w:r>
        <w:rPr>
          <w:sz w:val="20"/>
          <w:szCs w:val="20"/>
          <w:rtl/>
        </w:rPr>
        <w:t>–</w:t>
      </w:r>
      <w:r>
        <w:rPr>
          <w:rFonts w:hint="cs"/>
          <w:sz w:val="20"/>
          <w:szCs w:val="20"/>
          <w:rtl/>
        </w:rPr>
        <w:t xml:space="preserve"> דם צדדים אינו מטמא.</w:t>
      </w:r>
      <w:r>
        <w:rPr>
          <w:sz w:val="20"/>
          <w:szCs w:val="20"/>
          <w:rtl/>
        </w:rPr>
        <w:br/>
      </w:r>
      <w:r>
        <w:rPr>
          <w:rFonts w:hint="cs"/>
          <w:sz w:val="20"/>
          <w:szCs w:val="20"/>
          <w:rtl/>
        </w:rPr>
        <w:t xml:space="preserve">הכרעת </w:t>
      </w:r>
      <w:r w:rsidRPr="00D52F0E">
        <w:rPr>
          <w:rFonts w:hint="cs"/>
          <w:b/>
          <w:bCs/>
          <w:sz w:val="20"/>
          <w:szCs w:val="20"/>
          <w:rtl/>
        </w:rPr>
        <w:t>טה"ב</w:t>
      </w:r>
      <w:r>
        <w:rPr>
          <w:rFonts w:hint="cs"/>
          <w:sz w:val="20"/>
          <w:szCs w:val="20"/>
          <w:rtl/>
        </w:rPr>
        <w:t xml:space="preserve"> </w:t>
      </w:r>
      <w:r w:rsidRPr="00D52F0E">
        <w:rPr>
          <w:rFonts w:hint="cs"/>
          <w:sz w:val="18"/>
          <w:szCs w:val="18"/>
          <w:rtl/>
        </w:rPr>
        <w:t>(עמוד רל')</w:t>
      </w:r>
      <w:r>
        <w:rPr>
          <w:rFonts w:hint="cs"/>
          <w:sz w:val="18"/>
          <w:szCs w:val="18"/>
          <w:rtl/>
        </w:rPr>
        <w:t xml:space="preserve"> </w:t>
      </w:r>
      <w:r w:rsidRPr="00D52F0E">
        <w:rPr>
          <w:sz w:val="20"/>
          <w:szCs w:val="20"/>
          <w:rtl/>
        </w:rPr>
        <w:t>–</w:t>
      </w:r>
      <w:r>
        <w:rPr>
          <w:rFonts w:hint="cs"/>
          <w:sz w:val="20"/>
          <w:szCs w:val="20"/>
          <w:rtl/>
        </w:rPr>
        <w:t xml:space="preserve"> משמע שהפוסקים הקלו בדין זה וכן עיקר לדינא, אולם המחמיר תבוא עליו ברכה.</w:t>
      </w:r>
    </w:p>
    <w:p w:rsidR="00620060" w:rsidRDefault="00620060" w:rsidP="00620060">
      <w:pPr>
        <w:rPr>
          <w:sz w:val="20"/>
          <w:szCs w:val="20"/>
          <w:rtl/>
        </w:rPr>
      </w:pPr>
      <w:r>
        <w:rPr>
          <w:rFonts w:hint="cs"/>
          <w:sz w:val="20"/>
          <w:szCs w:val="20"/>
          <w:u w:val="single"/>
          <w:rtl/>
        </w:rPr>
        <w:t>בדיקה במכחול ומוך ללא שפופרת (פת"ש)</w:t>
      </w:r>
      <w:r>
        <w:rPr>
          <w:rFonts w:hint="cs"/>
          <w:sz w:val="20"/>
          <w:szCs w:val="20"/>
          <w:u w:val="single"/>
          <w:rtl/>
        </w:rPr>
        <w:br/>
      </w:r>
      <w:r>
        <w:rPr>
          <w:rFonts w:hint="cs"/>
          <w:sz w:val="20"/>
          <w:szCs w:val="20"/>
          <w:rtl/>
        </w:rPr>
        <w:t xml:space="preserve">א. </w:t>
      </w:r>
      <w:r w:rsidRPr="00B6499F">
        <w:rPr>
          <w:rFonts w:hint="cs"/>
          <w:b/>
          <w:bCs/>
          <w:sz w:val="20"/>
          <w:szCs w:val="20"/>
          <w:rtl/>
        </w:rPr>
        <w:t>אמונת שמואל</w:t>
      </w:r>
      <w:r>
        <w:rPr>
          <w:rFonts w:hint="cs"/>
          <w:sz w:val="20"/>
          <w:szCs w:val="20"/>
          <w:rtl/>
        </w:rPr>
        <w:t xml:space="preserve"> </w:t>
      </w:r>
      <w:r>
        <w:rPr>
          <w:sz w:val="20"/>
          <w:szCs w:val="20"/>
          <w:rtl/>
        </w:rPr>
        <w:t>–</w:t>
      </w:r>
      <w:r>
        <w:rPr>
          <w:rFonts w:hint="cs"/>
          <w:sz w:val="20"/>
          <w:szCs w:val="20"/>
          <w:rtl/>
        </w:rPr>
        <w:t xml:space="preserve"> ניתן לבדוק אשה רמ"ת ע"י מכחול ומוך ללא שפופרת, ובדיקה זו כוחה יפה לקולא בלבד.</w:t>
      </w:r>
      <w:r>
        <w:rPr>
          <w:sz w:val="20"/>
          <w:szCs w:val="20"/>
          <w:rtl/>
        </w:rPr>
        <w:br/>
      </w:r>
      <w:r>
        <w:rPr>
          <w:rFonts w:hint="cs"/>
          <w:sz w:val="20"/>
          <w:szCs w:val="20"/>
          <w:rtl/>
        </w:rPr>
        <w:t xml:space="preserve">כלומר, אם לא תראה דם או תמצא דם בצדדים </w:t>
      </w:r>
      <w:r>
        <w:rPr>
          <w:sz w:val="20"/>
          <w:szCs w:val="20"/>
          <w:rtl/>
        </w:rPr>
        <w:t>–</w:t>
      </w:r>
      <w:r>
        <w:rPr>
          <w:rFonts w:hint="cs"/>
          <w:sz w:val="20"/>
          <w:szCs w:val="20"/>
          <w:rtl/>
        </w:rPr>
        <w:t xml:space="preserve"> מותרת, אם תמצא דם בראש המוך </w:t>
      </w:r>
      <w:r>
        <w:rPr>
          <w:sz w:val="20"/>
          <w:szCs w:val="20"/>
          <w:rtl/>
        </w:rPr>
        <w:t>–</w:t>
      </w:r>
      <w:r>
        <w:rPr>
          <w:rFonts w:hint="cs"/>
          <w:sz w:val="20"/>
          <w:szCs w:val="20"/>
          <w:rtl/>
        </w:rPr>
        <w:t xml:space="preserve"> לא נאסרה עד הבדיקה שתיעשה כדין בשפופרת.</w:t>
      </w:r>
      <w:r>
        <w:rPr>
          <w:sz w:val="20"/>
          <w:szCs w:val="20"/>
          <w:rtl/>
        </w:rPr>
        <w:br/>
      </w:r>
      <w:r w:rsidRPr="00627B6E">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שמא דם זה מהצדדים בא לה ורק מחמת שלא היה המכחול בשפופרת נראה על ראשו.</w:t>
      </w:r>
      <w:r>
        <w:rPr>
          <w:sz w:val="20"/>
          <w:szCs w:val="20"/>
          <w:rtl/>
        </w:rPr>
        <w:br/>
      </w:r>
      <w:r>
        <w:rPr>
          <w:rFonts w:hint="cs"/>
          <w:sz w:val="20"/>
          <w:szCs w:val="20"/>
          <w:rtl/>
        </w:rPr>
        <w:t xml:space="preserve">ב. </w:t>
      </w:r>
      <w:r w:rsidRPr="00B6499F">
        <w:rPr>
          <w:rFonts w:hint="cs"/>
          <w:b/>
          <w:bCs/>
          <w:sz w:val="20"/>
          <w:szCs w:val="20"/>
          <w:rtl/>
        </w:rPr>
        <w:t>תורת השלמים</w:t>
      </w:r>
      <w:r>
        <w:rPr>
          <w:rFonts w:hint="cs"/>
          <w:sz w:val="20"/>
          <w:szCs w:val="20"/>
          <w:rtl/>
        </w:rPr>
        <w:t xml:space="preserve"> </w:t>
      </w:r>
      <w:r>
        <w:rPr>
          <w:sz w:val="20"/>
          <w:szCs w:val="20"/>
          <w:rtl/>
        </w:rPr>
        <w:t>–</w:t>
      </w:r>
      <w:r>
        <w:rPr>
          <w:rFonts w:hint="cs"/>
          <w:sz w:val="20"/>
          <w:szCs w:val="20"/>
          <w:rtl/>
        </w:rPr>
        <w:t xml:space="preserve"> בדיקה זו מיותרת, ומן הסתם יימצא דם בראש המוך למרות שמקורו מהצדדים.</w:t>
      </w:r>
      <w:r>
        <w:rPr>
          <w:sz w:val="20"/>
          <w:szCs w:val="20"/>
          <w:rtl/>
        </w:rPr>
        <w:br/>
      </w:r>
      <w:r>
        <w:rPr>
          <w:rFonts w:hint="cs"/>
          <w:sz w:val="20"/>
          <w:szCs w:val="20"/>
          <w:rtl/>
        </w:rPr>
        <w:t>ועוד, יש לחוש שמא ע"י בדיקה זו תתקלקל האשה בגופה ע"י המשמוש והבדיקה.</w:t>
      </w:r>
    </w:p>
    <w:p w:rsidR="00620060" w:rsidRDefault="00620060" w:rsidP="00620060">
      <w:pPr>
        <w:rPr>
          <w:sz w:val="20"/>
          <w:szCs w:val="20"/>
          <w:rtl/>
        </w:rPr>
      </w:pPr>
      <w:r>
        <w:rPr>
          <w:rFonts w:hint="cs"/>
          <w:sz w:val="20"/>
          <w:szCs w:val="20"/>
          <w:u w:val="single"/>
          <w:rtl/>
        </w:rPr>
        <w:t>בדיקה ע"י בגד פשתן (פת"ש)</w:t>
      </w:r>
      <w:r>
        <w:rPr>
          <w:rFonts w:hint="cs"/>
          <w:sz w:val="20"/>
          <w:szCs w:val="20"/>
          <w:u w:val="single"/>
          <w:rtl/>
        </w:rPr>
        <w:br/>
      </w:r>
      <w:r w:rsidRPr="008454AF">
        <w:rPr>
          <w:rFonts w:hint="cs"/>
          <w:b/>
          <w:bCs/>
          <w:sz w:val="20"/>
          <w:szCs w:val="20"/>
          <w:rtl/>
        </w:rPr>
        <w:t>סדרי טהרה</w:t>
      </w:r>
      <w:r>
        <w:rPr>
          <w:rFonts w:hint="cs"/>
          <w:sz w:val="20"/>
          <w:szCs w:val="20"/>
          <w:rtl/>
        </w:rPr>
        <w:t xml:space="preserve"> </w:t>
      </w:r>
      <w:r>
        <w:rPr>
          <w:sz w:val="20"/>
          <w:szCs w:val="20"/>
          <w:rtl/>
        </w:rPr>
        <w:t>–</w:t>
      </w:r>
      <w:r>
        <w:rPr>
          <w:rFonts w:hint="cs"/>
          <w:sz w:val="20"/>
          <w:szCs w:val="20"/>
          <w:rtl/>
        </w:rPr>
        <w:t xml:space="preserve"> ניתן לבדוק ע"י בד העשוי בדמות האבר ובראשו יהיה דק מעט, ואם תמצא דם בצדדים מותרת. אמנם, אם לא תמצא דם כלל אסורה עד שתבדוק כרגיל, משום שקשה להכניס דבר רך כל כך בעומק עד מקום שהשמש דש.</w:t>
      </w:r>
    </w:p>
    <w:p w:rsidR="00620060" w:rsidRDefault="00620060" w:rsidP="00620060">
      <w:pPr>
        <w:rPr>
          <w:sz w:val="20"/>
          <w:szCs w:val="20"/>
          <w:rtl/>
        </w:rPr>
      </w:pPr>
      <w:r>
        <w:rPr>
          <w:rFonts w:hint="cs"/>
          <w:b/>
          <w:bCs/>
          <w:sz w:val="20"/>
          <w:szCs w:val="20"/>
          <w:rtl/>
        </w:rPr>
        <w:lastRenderedPageBreak/>
        <w:t>סיכום</w:t>
      </w:r>
      <w:r>
        <w:rPr>
          <w:b/>
          <w:bCs/>
          <w:sz w:val="20"/>
          <w:szCs w:val="20"/>
          <w:rtl/>
        </w:rPr>
        <w:br/>
      </w:r>
      <w:r>
        <w:rPr>
          <w:rFonts w:hint="cs"/>
          <w:sz w:val="20"/>
          <w:szCs w:val="20"/>
          <w:rtl/>
        </w:rPr>
        <w:t xml:space="preserve">1. </w:t>
      </w:r>
      <w:r w:rsidRPr="00741260">
        <w:rPr>
          <w:rFonts w:hint="cs"/>
          <w:b/>
          <w:bCs/>
          <w:sz w:val="20"/>
          <w:szCs w:val="20"/>
          <w:rtl/>
        </w:rPr>
        <w:t>גמרא</w:t>
      </w:r>
      <w:r>
        <w:rPr>
          <w:rFonts w:hint="cs"/>
          <w:sz w:val="20"/>
          <w:szCs w:val="20"/>
          <w:rtl/>
        </w:rPr>
        <w:t xml:space="preserve">. רמ"ת יכולה לבדוק עצמה ע"י שפופרת שבתוכה מכחול ובראשו מוך, אם נמצא דם על ראשו אסורה. </w:t>
      </w:r>
      <w:r>
        <w:rPr>
          <w:rFonts w:hint="cs"/>
          <w:sz w:val="20"/>
          <w:szCs w:val="20"/>
          <w:rtl/>
        </w:rPr>
        <w:br/>
        <w:t xml:space="preserve">2. </w:t>
      </w:r>
      <w:r w:rsidRPr="004D749E">
        <w:rPr>
          <w:rFonts w:hint="cs"/>
          <w:sz w:val="20"/>
          <w:szCs w:val="20"/>
          <w:rtl/>
        </w:rPr>
        <w:t>מטרת הבדיקה. לבדוק האם הדם בא מהצדדים או מהמקור, השפופרת מדמה את אבר התשמיש.</w:t>
      </w:r>
      <w:r w:rsidRPr="004D749E">
        <w:rPr>
          <w:sz w:val="20"/>
          <w:szCs w:val="20"/>
          <w:rtl/>
        </w:rPr>
        <w:br/>
      </w:r>
      <w:r w:rsidRPr="004D749E">
        <w:rPr>
          <w:rFonts w:hint="cs"/>
          <w:sz w:val="20"/>
          <w:szCs w:val="20"/>
          <w:rtl/>
        </w:rPr>
        <w:t xml:space="preserve">3. המכחול צריך להיות בתוך השפופרת, אם לא הוא יתלכלך מהצדדים וייראה על ראשו. </w:t>
      </w:r>
      <w:r w:rsidRPr="004D749E">
        <w:rPr>
          <w:rFonts w:hint="cs"/>
          <w:b/>
          <w:bCs/>
          <w:sz w:val="20"/>
          <w:szCs w:val="20"/>
          <w:rtl/>
        </w:rPr>
        <w:t>תוה"ש</w:t>
      </w:r>
      <w:r w:rsidRPr="004D749E">
        <w:rPr>
          <w:rFonts w:hint="cs"/>
          <w:sz w:val="20"/>
          <w:szCs w:val="20"/>
          <w:rtl/>
        </w:rPr>
        <w:t xml:space="preserve">. יש להכניס תחילה את השפופרת ואח"כ בתוכה את המכחול. </w:t>
      </w:r>
      <w:r w:rsidRPr="004D749E">
        <w:rPr>
          <w:rFonts w:hint="cs"/>
          <w:b/>
          <w:bCs/>
          <w:sz w:val="20"/>
          <w:szCs w:val="20"/>
          <w:rtl/>
        </w:rPr>
        <w:t>סד"ט</w:t>
      </w:r>
      <w:r w:rsidRPr="004D749E">
        <w:rPr>
          <w:rFonts w:hint="cs"/>
          <w:sz w:val="20"/>
          <w:szCs w:val="20"/>
          <w:rtl/>
        </w:rPr>
        <w:t>. גם בשעת הוצאה תוציא את המכחול קודם.</w:t>
      </w:r>
      <w:r w:rsidRPr="004D749E">
        <w:rPr>
          <w:rFonts w:hint="cs"/>
          <w:sz w:val="20"/>
          <w:szCs w:val="20"/>
          <w:rtl/>
        </w:rPr>
        <w:br/>
        <w:t xml:space="preserve">4. </w:t>
      </w:r>
      <w:r w:rsidRPr="004D749E">
        <w:rPr>
          <w:rFonts w:hint="cs"/>
          <w:b/>
          <w:bCs/>
          <w:sz w:val="20"/>
          <w:szCs w:val="20"/>
          <w:rtl/>
        </w:rPr>
        <w:t>רמב"ם</w:t>
      </w:r>
      <w:r w:rsidRPr="004D749E">
        <w:rPr>
          <w:rFonts w:hint="cs"/>
          <w:sz w:val="20"/>
          <w:szCs w:val="20"/>
          <w:rtl/>
        </w:rPr>
        <w:t xml:space="preserve">. יש להכניס עד מקום שהשמש דש. </w:t>
      </w:r>
      <w:r w:rsidRPr="004D749E">
        <w:rPr>
          <w:rFonts w:hint="cs"/>
          <w:b/>
          <w:bCs/>
          <w:sz w:val="20"/>
          <w:szCs w:val="20"/>
          <w:rtl/>
        </w:rPr>
        <w:t>מ"ב</w:t>
      </w:r>
      <w:r w:rsidRPr="004D749E">
        <w:rPr>
          <w:rFonts w:hint="cs"/>
          <w:sz w:val="20"/>
          <w:szCs w:val="20"/>
          <w:rtl/>
        </w:rPr>
        <w:t>. אין לדחוק יותר מדי אלא לפי אומד דעת האשה.</w:t>
      </w:r>
      <w:r w:rsidRPr="004D749E">
        <w:rPr>
          <w:sz w:val="20"/>
          <w:szCs w:val="20"/>
          <w:rtl/>
        </w:rPr>
        <w:br/>
      </w:r>
      <w:r w:rsidRPr="004D749E">
        <w:rPr>
          <w:rFonts w:hint="cs"/>
          <w:sz w:val="20"/>
          <w:szCs w:val="20"/>
          <w:rtl/>
        </w:rPr>
        <w:t xml:space="preserve">5. אין לומר שלא ראתה דם מחמת שהשפופרת לא עבה או הוכנסה חלש, סברות אלו נאמרו רק לקולא. </w:t>
      </w:r>
      <w:r w:rsidRPr="004D749E">
        <w:rPr>
          <w:sz w:val="20"/>
          <w:szCs w:val="20"/>
          <w:rtl/>
        </w:rPr>
        <w:br/>
      </w:r>
      <w:r w:rsidRPr="004D749E">
        <w:rPr>
          <w:rFonts w:hint="cs"/>
          <w:b/>
          <w:bCs/>
          <w:sz w:val="20"/>
          <w:szCs w:val="20"/>
          <w:rtl/>
        </w:rPr>
        <w:t>טעם</w:t>
      </w:r>
      <w:r w:rsidRPr="004D749E">
        <w:rPr>
          <w:rFonts w:hint="cs"/>
          <w:sz w:val="20"/>
          <w:szCs w:val="20"/>
          <w:rtl/>
        </w:rPr>
        <w:t>. רוב הנשים אינן רמ"ת ולכן כל מה שאפשר לתלות תולים לקולא. ומ"מ יעשו השפופרת כאבר בינוני.</w:t>
      </w:r>
      <w:r w:rsidRPr="004D749E">
        <w:rPr>
          <w:rFonts w:hint="cs"/>
          <w:sz w:val="20"/>
          <w:szCs w:val="20"/>
          <w:rtl/>
        </w:rPr>
        <w:br/>
        <w:t xml:space="preserve">6. </w:t>
      </w:r>
      <w:r w:rsidRPr="004D749E">
        <w:rPr>
          <w:rFonts w:hint="cs"/>
          <w:b/>
          <w:bCs/>
          <w:sz w:val="20"/>
          <w:szCs w:val="20"/>
          <w:rtl/>
        </w:rPr>
        <w:t>ש"ך</w:t>
      </w:r>
      <w:r w:rsidRPr="004D749E">
        <w:rPr>
          <w:rFonts w:hint="cs"/>
          <w:sz w:val="20"/>
          <w:szCs w:val="20"/>
          <w:rtl/>
        </w:rPr>
        <w:t xml:space="preserve">. משמע מהמחבר שאפילו לא נמצא דם בצדדים מותרת. </w:t>
      </w:r>
      <w:r w:rsidRPr="004D749E">
        <w:rPr>
          <w:rFonts w:hint="cs"/>
          <w:b/>
          <w:bCs/>
          <w:sz w:val="20"/>
          <w:szCs w:val="20"/>
          <w:rtl/>
        </w:rPr>
        <w:t>טעם</w:t>
      </w:r>
      <w:r w:rsidRPr="004D749E">
        <w:rPr>
          <w:rFonts w:hint="cs"/>
          <w:sz w:val="20"/>
          <w:szCs w:val="20"/>
          <w:rtl/>
        </w:rPr>
        <w:t>. שמא התרפאה.</w:t>
      </w:r>
      <w:r w:rsidRPr="004D749E">
        <w:rPr>
          <w:sz w:val="20"/>
          <w:szCs w:val="20"/>
          <w:rtl/>
        </w:rPr>
        <w:br/>
      </w:r>
      <w:r w:rsidRPr="004D749E">
        <w:rPr>
          <w:rFonts w:hint="cs"/>
          <w:sz w:val="20"/>
          <w:szCs w:val="20"/>
          <w:rtl/>
        </w:rPr>
        <w:t xml:space="preserve">7. </w:t>
      </w:r>
      <w:r w:rsidRPr="004D749E">
        <w:rPr>
          <w:rFonts w:hint="cs"/>
          <w:b/>
          <w:bCs/>
          <w:sz w:val="20"/>
          <w:szCs w:val="20"/>
          <w:rtl/>
        </w:rPr>
        <w:t>ראב"ד</w:t>
      </w:r>
      <w:r w:rsidRPr="004D749E">
        <w:rPr>
          <w:rFonts w:hint="cs"/>
          <w:sz w:val="20"/>
          <w:szCs w:val="20"/>
          <w:rtl/>
        </w:rPr>
        <w:t xml:space="preserve">. אין לסמוך על בדיקה זו היום. </w:t>
      </w:r>
      <w:r w:rsidRPr="004D749E">
        <w:rPr>
          <w:rFonts w:hint="cs"/>
          <w:b/>
          <w:bCs/>
          <w:sz w:val="20"/>
          <w:szCs w:val="20"/>
          <w:rtl/>
        </w:rPr>
        <w:t>טעם</w:t>
      </w:r>
      <w:r w:rsidRPr="004D749E">
        <w:rPr>
          <w:rFonts w:hint="cs"/>
          <w:sz w:val="20"/>
          <w:szCs w:val="20"/>
          <w:rtl/>
        </w:rPr>
        <w:t xml:space="preserve">. איננו בקיאים, וכן משום חומרת רבי זירא. אמנם, אם בדקה ומצאה טהורה </w:t>
      </w:r>
      <w:r w:rsidRPr="004D749E">
        <w:rPr>
          <w:sz w:val="20"/>
          <w:szCs w:val="20"/>
          <w:rtl/>
        </w:rPr>
        <w:t>–</w:t>
      </w:r>
      <w:r w:rsidRPr="004D749E">
        <w:rPr>
          <w:rFonts w:hint="cs"/>
          <w:sz w:val="20"/>
          <w:szCs w:val="20"/>
          <w:rtl/>
        </w:rPr>
        <w:t xml:space="preserve"> מותרת. </w:t>
      </w:r>
      <w:r w:rsidRPr="004D749E">
        <w:rPr>
          <w:rFonts w:hint="cs"/>
          <w:sz w:val="20"/>
          <w:szCs w:val="20"/>
          <w:rtl/>
        </w:rPr>
        <w:br/>
        <w:t xml:space="preserve">8. </w:t>
      </w:r>
      <w:r w:rsidRPr="004D749E">
        <w:rPr>
          <w:rFonts w:hint="cs"/>
          <w:b/>
          <w:bCs/>
          <w:sz w:val="20"/>
          <w:szCs w:val="20"/>
          <w:rtl/>
        </w:rPr>
        <w:t>רמב"ם ורא"ש</w:t>
      </w:r>
      <w:r w:rsidRPr="004D749E">
        <w:rPr>
          <w:rFonts w:hint="cs"/>
          <w:sz w:val="20"/>
          <w:szCs w:val="20"/>
          <w:rtl/>
        </w:rPr>
        <w:t xml:space="preserve">. גם בזה"ז סומכים על בדיקה, וכן משמע </w:t>
      </w:r>
      <w:r w:rsidRPr="004D749E">
        <w:rPr>
          <w:rFonts w:hint="cs"/>
          <w:b/>
          <w:bCs/>
          <w:sz w:val="20"/>
          <w:szCs w:val="20"/>
          <w:rtl/>
        </w:rPr>
        <w:t>ברי"ף</w:t>
      </w:r>
      <w:r w:rsidRPr="004D749E">
        <w:rPr>
          <w:rFonts w:hint="cs"/>
          <w:sz w:val="20"/>
          <w:szCs w:val="20"/>
          <w:rtl/>
        </w:rPr>
        <w:t xml:space="preserve">, וכ"פ </w:t>
      </w:r>
      <w:r w:rsidRPr="004D749E">
        <w:rPr>
          <w:rFonts w:hint="cs"/>
          <w:b/>
          <w:bCs/>
          <w:sz w:val="20"/>
          <w:szCs w:val="20"/>
          <w:rtl/>
        </w:rPr>
        <w:t>הרמ"א</w:t>
      </w:r>
      <w:r w:rsidRPr="004D749E">
        <w:rPr>
          <w:rFonts w:hint="cs"/>
          <w:sz w:val="20"/>
          <w:szCs w:val="20"/>
          <w:rtl/>
        </w:rPr>
        <w:t xml:space="preserve">. דחיית טעם הראב"ד. אין צריך בקיאות בכך, החמירו בדם מקור אך לא בדם צדדים. </w:t>
      </w:r>
      <w:r w:rsidRPr="004D749E">
        <w:rPr>
          <w:sz w:val="20"/>
          <w:szCs w:val="20"/>
          <w:rtl/>
        </w:rPr>
        <w:br/>
      </w:r>
      <w:r w:rsidRPr="004D749E">
        <w:rPr>
          <w:rFonts w:hint="cs"/>
          <w:sz w:val="20"/>
          <w:szCs w:val="20"/>
          <w:rtl/>
        </w:rPr>
        <w:t>9. מדוע מתירים אשה שלא מצאה דם כלל על המכחול?</w:t>
      </w:r>
      <w:r>
        <w:rPr>
          <w:rFonts w:hint="cs"/>
          <w:sz w:val="20"/>
          <w:szCs w:val="20"/>
          <w:rtl/>
        </w:rPr>
        <w:t xml:space="preserve"> </w:t>
      </w:r>
      <w:r w:rsidRPr="00741260">
        <w:rPr>
          <w:rFonts w:hint="cs"/>
          <w:b/>
          <w:bCs/>
          <w:sz w:val="20"/>
          <w:szCs w:val="20"/>
          <w:rtl/>
        </w:rPr>
        <w:t>תשובת מיימוני</w:t>
      </w:r>
      <w:r>
        <w:rPr>
          <w:rFonts w:hint="cs"/>
          <w:sz w:val="20"/>
          <w:szCs w:val="20"/>
          <w:rtl/>
        </w:rPr>
        <w:t xml:space="preserve">. התרפאה. </w:t>
      </w:r>
      <w:r w:rsidRPr="00741260">
        <w:rPr>
          <w:rFonts w:hint="cs"/>
          <w:b/>
          <w:bCs/>
          <w:sz w:val="20"/>
          <w:szCs w:val="20"/>
          <w:rtl/>
        </w:rPr>
        <w:t>הגהש"ד</w:t>
      </w:r>
      <w:r>
        <w:rPr>
          <w:rFonts w:hint="cs"/>
          <w:sz w:val="20"/>
          <w:szCs w:val="20"/>
          <w:rtl/>
        </w:rPr>
        <w:t>. הוי הוכחה שהדם בא מהצדדים ולכן ע"י שפופרת לא יצא כיוון שהוכנסה בנחת, אם בא מהמקור היה יוצא גם בבדיקה.</w:t>
      </w:r>
      <w:r>
        <w:rPr>
          <w:rFonts w:hint="cs"/>
          <w:sz w:val="20"/>
          <w:szCs w:val="20"/>
          <w:rtl/>
        </w:rPr>
        <w:br/>
        <w:t xml:space="preserve">10. ע"פ הנ"ל נחלקו האחרונים </w:t>
      </w:r>
      <w:r>
        <w:rPr>
          <w:sz w:val="20"/>
          <w:szCs w:val="20"/>
          <w:rtl/>
        </w:rPr>
        <w:t>–</w:t>
      </w:r>
      <w:r>
        <w:rPr>
          <w:rFonts w:hint="cs"/>
          <w:sz w:val="20"/>
          <w:szCs w:val="20"/>
          <w:rtl/>
        </w:rPr>
        <w:t xml:space="preserve"> בדקה ומצאה טהור ואח"כ שימשה ג' פעמים וראתה דם, מותרת?</w:t>
      </w:r>
      <w:r>
        <w:rPr>
          <w:rFonts w:hint="cs"/>
          <w:sz w:val="20"/>
          <w:szCs w:val="20"/>
          <w:rtl/>
        </w:rPr>
        <w:br/>
      </w:r>
      <w:r w:rsidRPr="00741260">
        <w:rPr>
          <w:rFonts w:hint="cs"/>
          <w:b/>
          <w:bCs/>
          <w:sz w:val="20"/>
          <w:szCs w:val="20"/>
          <w:rtl/>
        </w:rPr>
        <w:t>סד"ט</w:t>
      </w:r>
      <w:r>
        <w:rPr>
          <w:rFonts w:hint="cs"/>
          <w:sz w:val="20"/>
          <w:szCs w:val="20"/>
          <w:rtl/>
        </w:rPr>
        <w:t xml:space="preserve">. אסורה לכל. </w:t>
      </w:r>
      <w:r w:rsidRPr="00741260">
        <w:rPr>
          <w:rFonts w:hint="cs"/>
          <w:b/>
          <w:bCs/>
          <w:sz w:val="20"/>
          <w:szCs w:val="20"/>
          <w:rtl/>
        </w:rPr>
        <w:t>טעם</w:t>
      </w:r>
      <w:r>
        <w:rPr>
          <w:rFonts w:hint="cs"/>
          <w:sz w:val="20"/>
          <w:szCs w:val="20"/>
          <w:rtl/>
        </w:rPr>
        <w:t xml:space="preserve">. חזינן שלא התרפאה, בדקה באופן לא טוב. </w:t>
      </w:r>
      <w:r w:rsidRPr="00741260">
        <w:rPr>
          <w:rFonts w:hint="cs"/>
          <w:b/>
          <w:bCs/>
          <w:sz w:val="20"/>
          <w:szCs w:val="20"/>
          <w:rtl/>
        </w:rPr>
        <w:t>חוו"ד</w:t>
      </w:r>
      <w:r>
        <w:rPr>
          <w:rFonts w:hint="cs"/>
          <w:sz w:val="20"/>
          <w:szCs w:val="20"/>
          <w:rtl/>
        </w:rPr>
        <w:t xml:space="preserve">. מותרת גם לבעלה הנוכחי. </w:t>
      </w:r>
      <w:r>
        <w:rPr>
          <w:b/>
          <w:bCs/>
          <w:sz w:val="20"/>
          <w:szCs w:val="20"/>
          <w:rtl/>
        </w:rPr>
        <w:br/>
      </w:r>
      <w:r w:rsidRPr="00741260">
        <w:rPr>
          <w:rFonts w:hint="cs"/>
          <w:b/>
          <w:bCs/>
          <w:sz w:val="20"/>
          <w:szCs w:val="20"/>
          <w:rtl/>
        </w:rPr>
        <w:t>טעם</w:t>
      </w:r>
      <w:r>
        <w:rPr>
          <w:rFonts w:hint="cs"/>
          <w:sz w:val="20"/>
          <w:szCs w:val="20"/>
          <w:rtl/>
        </w:rPr>
        <w:t>. השפופרת גילתה שדם תשמיש בא מהצדדים.</w:t>
      </w:r>
      <w:r w:rsidRPr="00627B6E">
        <w:rPr>
          <w:rFonts w:hint="cs"/>
          <w:b/>
          <w:bCs/>
          <w:sz w:val="20"/>
          <w:szCs w:val="20"/>
          <w:rtl/>
        </w:rPr>
        <w:t xml:space="preserve"> </w:t>
      </w:r>
      <w:r w:rsidRPr="00741260">
        <w:rPr>
          <w:rFonts w:hint="cs"/>
          <w:b/>
          <w:bCs/>
          <w:sz w:val="20"/>
          <w:szCs w:val="20"/>
          <w:rtl/>
        </w:rPr>
        <w:t>נוב"י</w:t>
      </w:r>
      <w:r>
        <w:rPr>
          <w:rFonts w:hint="cs"/>
          <w:sz w:val="20"/>
          <w:szCs w:val="20"/>
          <w:rtl/>
        </w:rPr>
        <w:t>. מותרת לשני בעלים נוספים, כמו אשה חדשה.</w:t>
      </w:r>
      <w:r>
        <w:rPr>
          <w:rFonts w:hint="cs"/>
          <w:sz w:val="20"/>
          <w:szCs w:val="20"/>
          <w:rtl/>
        </w:rPr>
        <w:br/>
        <w:t xml:space="preserve">11. </w:t>
      </w:r>
      <w:r w:rsidRPr="00741260">
        <w:rPr>
          <w:rFonts w:hint="cs"/>
          <w:b/>
          <w:bCs/>
          <w:sz w:val="20"/>
          <w:szCs w:val="20"/>
          <w:rtl/>
        </w:rPr>
        <w:t>גמרא</w:t>
      </w:r>
      <w:r>
        <w:rPr>
          <w:rFonts w:hint="cs"/>
          <w:sz w:val="20"/>
          <w:szCs w:val="20"/>
          <w:rtl/>
        </w:rPr>
        <w:t xml:space="preserve">. אין לבדוק בשפופרת של עץ משום ששורטת. </w:t>
      </w:r>
      <w:r w:rsidRPr="00741260">
        <w:rPr>
          <w:rFonts w:hint="cs"/>
          <w:b/>
          <w:bCs/>
          <w:sz w:val="20"/>
          <w:szCs w:val="20"/>
          <w:rtl/>
        </w:rPr>
        <w:t>פת"ש</w:t>
      </w:r>
      <w:r>
        <w:rPr>
          <w:rFonts w:hint="cs"/>
          <w:sz w:val="20"/>
          <w:szCs w:val="20"/>
          <w:rtl/>
        </w:rPr>
        <w:t>. ברור שגם עץ מהני להתירה. אמנם, אם נמצא על הצדדים אין בה את הקולות של נמצא בצדדים, שמא מחמת העץ ששרט אותה נמצא בצדדים.</w:t>
      </w:r>
      <w:r>
        <w:rPr>
          <w:sz w:val="20"/>
          <w:szCs w:val="20"/>
          <w:rtl/>
        </w:rPr>
        <w:br/>
      </w:r>
      <w:r>
        <w:rPr>
          <w:rFonts w:hint="cs"/>
          <w:sz w:val="20"/>
          <w:szCs w:val="20"/>
          <w:rtl/>
        </w:rPr>
        <w:t xml:space="preserve">12. </w:t>
      </w:r>
      <w:r w:rsidRPr="00741260">
        <w:rPr>
          <w:rFonts w:hint="cs"/>
          <w:b/>
          <w:bCs/>
          <w:sz w:val="20"/>
          <w:szCs w:val="20"/>
          <w:rtl/>
        </w:rPr>
        <w:t>נוב"י וסד"ט</w:t>
      </w:r>
      <w:r>
        <w:rPr>
          <w:rFonts w:hint="cs"/>
          <w:sz w:val="20"/>
          <w:szCs w:val="20"/>
          <w:rtl/>
        </w:rPr>
        <w:t xml:space="preserve">. אין לרמ"ת לבדוק עצמה פעם שנייה ואין לסמוך על הרופאים, שמא רואה מחמת חימוד. אמנם, אם בדקה עצמה שנית לאחר שהתגרשה מבעלה הראשון </w:t>
      </w:r>
      <w:r>
        <w:rPr>
          <w:sz w:val="20"/>
          <w:szCs w:val="20"/>
          <w:rtl/>
        </w:rPr>
        <w:t>–</w:t>
      </w:r>
      <w:r>
        <w:rPr>
          <w:rFonts w:hint="cs"/>
          <w:sz w:val="20"/>
          <w:szCs w:val="20"/>
          <w:rtl/>
        </w:rPr>
        <w:t xml:space="preserve"> שפיר מהני.</w:t>
      </w:r>
      <w:r>
        <w:rPr>
          <w:rFonts w:hint="cs"/>
          <w:sz w:val="20"/>
          <w:szCs w:val="20"/>
          <w:rtl/>
        </w:rPr>
        <w:br/>
        <w:t xml:space="preserve">13. בדקה ומצאה דם בצדדים, וכן שימשה אח"כ וראתה דם, האם צריכה ז' נקיים? </w:t>
      </w:r>
      <w:r w:rsidRPr="00741260">
        <w:rPr>
          <w:rFonts w:hint="cs"/>
          <w:b/>
          <w:bCs/>
          <w:sz w:val="20"/>
          <w:szCs w:val="20"/>
          <w:rtl/>
        </w:rPr>
        <w:t>חוו"ד</w:t>
      </w:r>
      <w:r>
        <w:rPr>
          <w:rFonts w:hint="cs"/>
          <w:sz w:val="20"/>
          <w:szCs w:val="20"/>
          <w:rtl/>
        </w:rPr>
        <w:t xml:space="preserve">. כן. </w:t>
      </w:r>
      <w:r w:rsidRPr="00741260">
        <w:rPr>
          <w:rFonts w:hint="cs"/>
          <w:b/>
          <w:bCs/>
          <w:sz w:val="20"/>
          <w:szCs w:val="20"/>
          <w:rtl/>
        </w:rPr>
        <w:t>טעם</w:t>
      </w:r>
      <w:r>
        <w:rPr>
          <w:rFonts w:hint="cs"/>
          <w:sz w:val="20"/>
          <w:szCs w:val="20"/>
          <w:rtl/>
        </w:rPr>
        <w:t xml:space="preserve">. הקלו רק ברמ"ת שהוא דרבנן, אך לא הקלו בדם שהוא חשש דאורייתא. </w:t>
      </w:r>
      <w:r w:rsidRPr="00741260">
        <w:rPr>
          <w:rFonts w:hint="cs"/>
          <w:b/>
          <w:bCs/>
          <w:sz w:val="20"/>
          <w:szCs w:val="20"/>
          <w:rtl/>
        </w:rPr>
        <w:t>גר"ז</w:t>
      </w:r>
      <w:r>
        <w:rPr>
          <w:rFonts w:hint="cs"/>
          <w:sz w:val="20"/>
          <w:szCs w:val="20"/>
          <w:rtl/>
        </w:rPr>
        <w:t xml:space="preserve">. לא. </w:t>
      </w:r>
      <w:r w:rsidRPr="00741260">
        <w:rPr>
          <w:rFonts w:hint="cs"/>
          <w:b/>
          <w:bCs/>
          <w:sz w:val="20"/>
          <w:szCs w:val="20"/>
          <w:rtl/>
        </w:rPr>
        <w:t>טעם</w:t>
      </w:r>
      <w:r>
        <w:rPr>
          <w:rFonts w:hint="cs"/>
          <w:sz w:val="20"/>
          <w:szCs w:val="20"/>
          <w:rtl/>
        </w:rPr>
        <w:t xml:space="preserve">. דם צדדים אינו מטמא. </w:t>
      </w:r>
      <w:r>
        <w:rPr>
          <w:rFonts w:hint="cs"/>
          <w:sz w:val="20"/>
          <w:szCs w:val="20"/>
          <w:rtl/>
        </w:rPr>
        <w:br/>
        <w:t xml:space="preserve">14. </w:t>
      </w:r>
      <w:r w:rsidRPr="00741260">
        <w:rPr>
          <w:rFonts w:hint="cs"/>
          <w:b/>
          <w:bCs/>
          <w:sz w:val="20"/>
          <w:szCs w:val="20"/>
          <w:rtl/>
        </w:rPr>
        <w:t>אמו"ש</w:t>
      </w:r>
      <w:r>
        <w:rPr>
          <w:rFonts w:hint="cs"/>
          <w:sz w:val="20"/>
          <w:szCs w:val="20"/>
          <w:rtl/>
        </w:rPr>
        <w:t xml:space="preserve">. ניתן לבדוק במכחול ללא שפופרת ומועיל רק לקולא. </w:t>
      </w:r>
      <w:r w:rsidRPr="00741260">
        <w:rPr>
          <w:rFonts w:hint="cs"/>
          <w:b/>
          <w:bCs/>
          <w:sz w:val="20"/>
          <w:szCs w:val="20"/>
          <w:rtl/>
        </w:rPr>
        <w:t>תוה"ש</w:t>
      </w:r>
      <w:r>
        <w:rPr>
          <w:rFonts w:hint="cs"/>
          <w:sz w:val="20"/>
          <w:szCs w:val="20"/>
          <w:rtl/>
        </w:rPr>
        <w:t>. זו בדיקה מיותרת ויש חשש קלקול.</w:t>
      </w:r>
      <w:r>
        <w:rPr>
          <w:rFonts w:hint="cs"/>
          <w:sz w:val="20"/>
          <w:szCs w:val="20"/>
          <w:rtl/>
        </w:rPr>
        <w:br/>
        <w:t xml:space="preserve">15. </w:t>
      </w:r>
      <w:r w:rsidRPr="00741260">
        <w:rPr>
          <w:rFonts w:hint="cs"/>
          <w:b/>
          <w:bCs/>
          <w:sz w:val="20"/>
          <w:szCs w:val="20"/>
          <w:rtl/>
        </w:rPr>
        <w:t>סד"ט</w:t>
      </w:r>
      <w:r>
        <w:rPr>
          <w:rFonts w:hint="cs"/>
          <w:sz w:val="20"/>
          <w:szCs w:val="20"/>
          <w:rtl/>
        </w:rPr>
        <w:t xml:space="preserve">. ניתן לבדוק ע"י בד העשוי כדמות האבר, ורק אם יימצא עליו דם בצדדים מותרת. </w:t>
      </w:r>
    </w:p>
    <w:p w:rsidR="00620060" w:rsidRDefault="00620060" w:rsidP="00620060">
      <w:pPr>
        <w:rPr>
          <w:sz w:val="20"/>
          <w:szCs w:val="20"/>
          <w:rtl/>
        </w:rPr>
      </w:pPr>
      <w:r>
        <w:rPr>
          <w:sz w:val="20"/>
          <w:szCs w:val="20"/>
          <w:rtl/>
        </w:rPr>
        <w:br/>
      </w:r>
      <w:r>
        <w:rPr>
          <w:rFonts w:hint="cs"/>
          <w:b/>
          <w:bCs/>
          <w:sz w:val="20"/>
          <w:szCs w:val="20"/>
          <w:rtl/>
        </w:rPr>
        <w:t xml:space="preserve">סעיף ג </w:t>
      </w:r>
      <w:r>
        <w:rPr>
          <w:b/>
          <w:bCs/>
          <w:sz w:val="20"/>
          <w:szCs w:val="20"/>
          <w:rtl/>
        </w:rPr>
        <w:t>–</w:t>
      </w:r>
      <w:r>
        <w:rPr>
          <w:rFonts w:hint="cs"/>
          <w:b/>
          <w:bCs/>
          <w:sz w:val="20"/>
          <w:szCs w:val="20"/>
          <w:rtl/>
        </w:rPr>
        <w:t xml:space="preserve"> בדיקה בהיותה תחת בעלה הראשון</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גמרא </w:t>
      </w:r>
      <w:r>
        <w:rPr>
          <w:rFonts w:hint="cs"/>
          <w:sz w:val="20"/>
          <w:szCs w:val="20"/>
          <w:rtl/>
        </w:rPr>
        <w:t>נידה (סו.) "</w:t>
      </w:r>
      <w:r w:rsidRPr="00B5123C">
        <w:rPr>
          <w:rFonts w:cs="Arial" w:hint="cs"/>
          <w:sz w:val="20"/>
          <w:szCs w:val="20"/>
          <w:rtl/>
        </w:rPr>
        <w:t>אמר</w:t>
      </w:r>
      <w:r w:rsidRPr="00B5123C">
        <w:rPr>
          <w:rFonts w:cs="Arial"/>
          <w:sz w:val="20"/>
          <w:szCs w:val="20"/>
          <w:rtl/>
        </w:rPr>
        <w:t xml:space="preserve"> </w:t>
      </w:r>
      <w:r w:rsidRPr="00B5123C">
        <w:rPr>
          <w:rFonts w:cs="Arial" w:hint="cs"/>
          <w:sz w:val="20"/>
          <w:szCs w:val="20"/>
          <w:rtl/>
        </w:rPr>
        <w:t>ליה</w:t>
      </w:r>
      <w:r w:rsidRPr="00B5123C">
        <w:rPr>
          <w:rFonts w:cs="Arial"/>
          <w:sz w:val="20"/>
          <w:szCs w:val="20"/>
          <w:rtl/>
        </w:rPr>
        <w:t xml:space="preserve"> </w:t>
      </w:r>
      <w:r w:rsidRPr="00B5123C">
        <w:rPr>
          <w:rFonts w:cs="Arial" w:hint="cs"/>
          <w:sz w:val="20"/>
          <w:szCs w:val="20"/>
          <w:rtl/>
        </w:rPr>
        <w:t>ריש</w:t>
      </w:r>
      <w:r w:rsidRPr="00B5123C">
        <w:rPr>
          <w:rFonts w:cs="Arial"/>
          <w:sz w:val="20"/>
          <w:szCs w:val="20"/>
          <w:rtl/>
        </w:rPr>
        <w:t xml:space="preserve"> </w:t>
      </w:r>
      <w:r w:rsidRPr="00B5123C">
        <w:rPr>
          <w:rFonts w:cs="Arial" w:hint="cs"/>
          <w:sz w:val="20"/>
          <w:szCs w:val="20"/>
          <w:rtl/>
        </w:rPr>
        <w:t>לקיש</w:t>
      </w:r>
      <w:r w:rsidRPr="00B5123C">
        <w:rPr>
          <w:rFonts w:cs="Arial"/>
          <w:sz w:val="20"/>
          <w:szCs w:val="20"/>
          <w:rtl/>
        </w:rPr>
        <w:t xml:space="preserve"> </w:t>
      </w:r>
      <w:r w:rsidRPr="00B5123C">
        <w:rPr>
          <w:rFonts w:cs="Arial" w:hint="cs"/>
          <w:sz w:val="20"/>
          <w:szCs w:val="20"/>
          <w:rtl/>
        </w:rPr>
        <w:t>לרבי</w:t>
      </w:r>
      <w:r w:rsidRPr="00B5123C">
        <w:rPr>
          <w:rFonts w:cs="Arial"/>
          <w:sz w:val="20"/>
          <w:szCs w:val="20"/>
          <w:rtl/>
        </w:rPr>
        <w:t xml:space="preserve"> </w:t>
      </w:r>
      <w:r w:rsidRPr="00B5123C">
        <w:rPr>
          <w:rFonts w:cs="Arial" w:hint="cs"/>
          <w:sz w:val="20"/>
          <w:szCs w:val="20"/>
          <w:rtl/>
        </w:rPr>
        <w:t>יוחנן</w:t>
      </w:r>
      <w:r w:rsidRPr="00B5123C">
        <w:rPr>
          <w:rFonts w:cs="Arial"/>
          <w:sz w:val="20"/>
          <w:szCs w:val="20"/>
          <w:rtl/>
        </w:rPr>
        <w:t xml:space="preserve">: </w:t>
      </w:r>
      <w:r w:rsidRPr="00B5123C">
        <w:rPr>
          <w:rFonts w:cs="Arial" w:hint="cs"/>
          <w:sz w:val="20"/>
          <w:szCs w:val="20"/>
          <w:rtl/>
        </w:rPr>
        <w:t>ותבדוק</w:t>
      </w:r>
      <w:r w:rsidRPr="00B5123C">
        <w:rPr>
          <w:rFonts w:cs="Arial"/>
          <w:sz w:val="20"/>
          <w:szCs w:val="20"/>
          <w:rtl/>
        </w:rPr>
        <w:t xml:space="preserve"> </w:t>
      </w:r>
      <w:r w:rsidRPr="00B5123C">
        <w:rPr>
          <w:rFonts w:cs="Arial" w:hint="cs"/>
          <w:sz w:val="20"/>
          <w:szCs w:val="20"/>
          <w:rtl/>
        </w:rPr>
        <w:t>עצמה</w:t>
      </w:r>
      <w:r w:rsidRPr="00B5123C">
        <w:rPr>
          <w:rFonts w:cs="Arial"/>
          <w:sz w:val="20"/>
          <w:szCs w:val="20"/>
          <w:rtl/>
        </w:rPr>
        <w:t xml:space="preserve"> </w:t>
      </w:r>
      <w:r w:rsidRPr="00B5123C">
        <w:rPr>
          <w:rFonts w:cs="Arial" w:hint="cs"/>
          <w:sz w:val="20"/>
          <w:szCs w:val="20"/>
          <w:rtl/>
        </w:rPr>
        <w:t>בביאה</w:t>
      </w:r>
      <w:r w:rsidRPr="00B5123C">
        <w:rPr>
          <w:rFonts w:cs="Arial"/>
          <w:sz w:val="20"/>
          <w:szCs w:val="20"/>
          <w:rtl/>
        </w:rPr>
        <w:t xml:space="preserve"> </w:t>
      </w:r>
      <w:r w:rsidRPr="00B5123C">
        <w:rPr>
          <w:rFonts w:cs="Arial" w:hint="cs"/>
          <w:sz w:val="20"/>
          <w:szCs w:val="20"/>
          <w:rtl/>
        </w:rPr>
        <w:t>שלישית</w:t>
      </w:r>
      <w:r w:rsidRPr="00B5123C">
        <w:rPr>
          <w:rFonts w:cs="Arial"/>
          <w:sz w:val="20"/>
          <w:szCs w:val="20"/>
          <w:rtl/>
        </w:rPr>
        <w:t xml:space="preserve"> </w:t>
      </w:r>
      <w:r w:rsidRPr="00B5123C">
        <w:rPr>
          <w:rFonts w:cs="Arial" w:hint="cs"/>
          <w:sz w:val="20"/>
          <w:szCs w:val="20"/>
          <w:rtl/>
        </w:rPr>
        <w:t>של</w:t>
      </w:r>
      <w:r w:rsidRPr="00B5123C">
        <w:rPr>
          <w:rFonts w:cs="Arial"/>
          <w:sz w:val="20"/>
          <w:szCs w:val="20"/>
          <w:rtl/>
        </w:rPr>
        <w:t xml:space="preserve"> </w:t>
      </w:r>
      <w:r w:rsidRPr="00B5123C">
        <w:rPr>
          <w:rFonts w:cs="Arial" w:hint="cs"/>
          <w:sz w:val="20"/>
          <w:szCs w:val="20"/>
          <w:rtl/>
        </w:rPr>
        <w:t>בעל</w:t>
      </w:r>
      <w:r w:rsidRPr="00B5123C">
        <w:rPr>
          <w:rFonts w:cs="Arial"/>
          <w:sz w:val="20"/>
          <w:szCs w:val="20"/>
          <w:rtl/>
        </w:rPr>
        <w:t xml:space="preserve"> </w:t>
      </w:r>
      <w:r w:rsidRPr="00B5123C">
        <w:rPr>
          <w:rFonts w:cs="Arial" w:hint="cs"/>
          <w:sz w:val="20"/>
          <w:szCs w:val="20"/>
          <w:rtl/>
        </w:rPr>
        <w:t>הראשון</w:t>
      </w:r>
      <w:r w:rsidRPr="00B5123C">
        <w:rPr>
          <w:rFonts w:cs="Arial"/>
          <w:sz w:val="20"/>
          <w:szCs w:val="20"/>
          <w:rtl/>
        </w:rPr>
        <w:t xml:space="preserve">? </w:t>
      </w:r>
      <w:r w:rsidRPr="00B5123C">
        <w:rPr>
          <w:rFonts w:cs="Arial" w:hint="cs"/>
          <w:sz w:val="20"/>
          <w:szCs w:val="20"/>
          <w:rtl/>
        </w:rPr>
        <w:t>אמר</w:t>
      </w:r>
      <w:r w:rsidRPr="00B5123C">
        <w:rPr>
          <w:rFonts w:cs="Arial"/>
          <w:sz w:val="20"/>
          <w:szCs w:val="20"/>
          <w:rtl/>
        </w:rPr>
        <w:t xml:space="preserve"> </w:t>
      </w:r>
      <w:r w:rsidRPr="00B5123C">
        <w:rPr>
          <w:rFonts w:cs="Arial" w:hint="cs"/>
          <w:sz w:val="20"/>
          <w:szCs w:val="20"/>
          <w:rtl/>
        </w:rPr>
        <w:t>ליה</w:t>
      </w:r>
      <w:r w:rsidRPr="00B5123C">
        <w:rPr>
          <w:rFonts w:cs="Arial"/>
          <w:sz w:val="20"/>
          <w:szCs w:val="20"/>
          <w:rtl/>
        </w:rPr>
        <w:t xml:space="preserve">: </w:t>
      </w:r>
      <w:r w:rsidRPr="00B5123C">
        <w:rPr>
          <w:rFonts w:cs="Arial" w:hint="cs"/>
          <w:sz w:val="20"/>
          <w:szCs w:val="20"/>
          <w:rtl/>
        </w:rPr>
        <w:t>לפי</w:t>
      </w:r>
      <w:r w:rsidRPr="00B5123C">
        <w:rPr>
          <w:rFonts w:cs="Arial"/>
          <w:sz w:val="20"/>
          <w:szCs w:val="20"/>
          <w:rtl/>
        </w:rPr>
        <w:t xml:space="preserve"> </w:t>
      </w:r>
      <w:r w:rsidRPr="00B5123C">
        <w:rPr>
          <w:rFonts w:cs="Arial" w:hint="cs"/>
          <w:sz w:val="20"/>
          <w:szCs w:val="20"/>
          <w:rtl/>
        </w:rPr>
        <w:t>שאין</w:t>
      </w:r>
      <w:r w:rsidRPr="00B5123C">
        <w:rPr>
          <w:rFonts w:cs="Arial"/>
          <w:sz w:val="20"/>
          <w:szCs w:val="20"/>
          <w:rtl/>
        </w:rPr>
        <w:t xml:space="preserve"> </w:t>
      </w:r>
      <w:r w:rsidRPr="00B5123C">
        <w:rPr>
          <w:rFonts w:cs="Arial" w:hint="cs"/>
          <w:sz w:val="20"/>
          <w:szCs w:val="20"/>
          <w:rtl/>
        </w:rPr>
        <w:t>כל</w:t>
      </w:r>
      <w:r w:rsidRPr="00B5123C">
        <w:rPr>
          <w:rFonts w:cs="Arial"/>
          <w:sz w:val="20"/>
          <w:szCs w:val="20"/>
          <w:rtl/>
        </w:rPr>
        <w:t xml:space="preserve"> </w:t>
      </w:r>
      <w:r w:rsidRPr="00B5123C">
        <w:rPr>
          <w:rFonts w:cs="Arial" w:hint="cs"/>
          <w:sz w:val="20"/>
          <w:szCs w:val="20"/>
          <w:rtl/>
        </w:rPr>
        <w:t>האצבעות</w:t>
      </w:r>
      <w:r w:rsidRPr="00B5123C">
        <w:rPr>
          <w:rFonts w:cs="Arial"/>
          <w:sz w:val="20"/>
          <w:szCs w:val="20"/>
          <w:rtl/>
        </w:rPr>
        <w:t xml:space="preserve"> </w:t>
      </w:r>
      <w:r w:rsidRPr="00B5123C">
        <w:rPr>
          <w:rFonts w:cs="Arial" w:hint="cs"/>
          <w:sz w:val="20"/>
          <w:szCs w:val="20"/>
          <w:rtl/>
        </w:rPr>
        <w:t>שוות</w:t>
      </w:r>
      <w:r w:rsidRPr="00B5123C">
        <w:rPr>
          <w:rFonts w:cs="Arial"/>
          <w:sz w:val="20"/>
          <w:szCs w:val="20"/>
          <w:rtl/>
        </w:rPr>
        <w:t xml:space="preserve">. </w:t>
      </w:r>
      <w:r w:rsidRPr="00B5123C">
        <w:rPr>
          <w:rFonts w:cs="Arial" w:hint="cs"/>
          <w:sz w:val="20"/>
          <w:szCs w:val="20"/>
          <w:rtl/>
        </w:rPr>
        <w:t>אמר</w:t>
      </w:r>
      <w:r w:rsidRPr="00B5123C">
        <w:rPr>
          <w:rFonts w:cs="Arial"/>
          <w:sz w:val="20"/>
          <w:szCs w:val="20"/>
          <w:rtl/>
        </w:rPr>
        <w:t xml:space="preserve"> </w:t>
      </w:r>
      <w:r w:rsidRPr="00B5123C">
        <w:rPr>
          <w:rFonts w:cs="Arial" w:hint="cs"/>
          <w:sz w:val="20"/>
          <w:szCs w:val="20"/>
          <w:rtl/>
        </w:rPr>
        <w:t>ליה</w:t>
      </w:r>
      <w:r w:rsidRPr="00B5123C">
        <w:rPr>
          <w:rFonts w:cs="Arial"/>
          <w:sz w:val="20"/>
          <w:szCs w:val="20"/>
          <w:rtl/>
        </w:rPr>
        <w:t xml:space="preserve">: </w:t>
      </w:r>
      <w:r w:rsidRPr="00B5123C">
        <w:rPr>
          <w:rFonts w:cs="Arial" w:hint="cs"/>
          <w:sz w:val="20"/>
          <w:szCs w:val="20"/>
          <w:rtl/>
        </w:rPr>
        <w:t>ותבדוק</w:t>
      </w:r>
      <w:r w:rsidRPr="00B5123C">
        <w:rPr>
          <w:rFonts w:cs="Arial"/>
          <w:sz w:val="20"/>
          <w:szCs w:val="20"/>
          <w:rtl/>
        </w:rPr>
        <w:t xml:space="preserve"> </w:t>
      </w:r>
      <w:r w:rsidRPr="00B5123C">
        <w:rPr>
          <w:rFonts w:cs="Arial" w:hint="cs"/>
          <w:sz w:val="20"/>
          <w:szCs w:val="20"/>
          <w:rtl/>
        </w:rPr>
        <w:t>עצמה</w:t>
      </w:r>
      <w:r w:rsidRPr="00B5123C">
        <w:rPr>
          <w:rFonts w:cs="Arial"/>
          <w:sz w:val="20"/>
          <w:szCs w:val="20"/>
          <w:rtl/>
        </w:rPr>
        <w:t xml:space="preserve"> </w:t>
      </w:r>
      <w:r w:rsidRPr="00B5123C">
        <w:rPr>
          <w:rFonts w:cs="Arial" w:hint="cs"/>
          <w:sz w:val="20"/>
          <w:szCs w:val="20"/>
          <w:rtl/>
        </w:rPr>
        <w:t>בביאה</w:t>
      </w:r>
      <w:r w:rsidRPr="00B5123C">
        <w:rPr>
          <w:rFonts w:cs="Arial"/>
          <w:sz w:val="20"/>
          <w:szCs w:val="20"/>
          <w:rtl/>
        </w:rPr>
        <w:t xml:space="preserve"> </w:t>
      </w:r>
      <w:r w:rsidRPr="00B5123C">
        <w:rPr>
          <w:rFonts w:cs="Arial" w:hint="cs"/>
          <w:sz w:val="20"/>
          <w:szCs w:val="20"/>
          <w:rtl/>
        </w:rPr>
        <w:t>ראשונה</w:t>
      </w:r>
      <w:r w:rsidRPr="00B5123C">
        <w:rPr>
          <w:rFonts w:cs="Arial"/>
          <w:sz w:val="20"/>
          <w:szCs w:val="20"/>
          <w:rtl/>
        </w:rPr>
        <w:t xml:space="preserve"> </w:t>
      </w:r>
      <w:r w:rsidRPr="00B5123C">
        <w:rPr>
          <w:rFonts w:cs="Arial" w:hint="cs"/>
          <w:sz w:val="20"/>
          <w:szCs w:val="20"/>
          <w:rtl/>
        </w:rPr>
        <w:t>של</w:t>
      </w:r>
      <w:r w:rsidRPr="00B5123C">
        <w:rPr>
          <w:rFonts w:cs="Arial"/>
          <w:sz w:val="20"/>
          <w:szCs w:val="20"/>
          <w:rtl/>
        </w:rPr>
        <w:t xml:space="preserve"> </w:t>
      </w:r>
      <w:r w:rsidRPr="00B5123C">
        <w:rPr>
          <w:rFonts w:cs="Arial" w:hint="cs"/>
          <w:sz w:val="20"/>
          <w:szCs w:val="20"/>
          <w:rtl/>
        </w:rPr>
        <w:t>בעל</w:t>
      </w:r>
      <w:r w:rsidRPr="00B5123C">
        <w:rPr>
          <w:rFonts w:cs="Arial"/>
          <w:sz w:val="20"/>
          <w:szCs w:val="20"/>
          <w:rtl/>
        </w:rPr>
        <w:t xml:space="preserve"> </w:t>
      </w:r>
      <w:r w:rsidRPr="00B5123C">
        <w:rPr>
          <w:rFonts w:cs="Arial" w:hint="cs"/>
          <w:sz w:val="20"/>
          <w:szCs w:val="20"/>
          <w:rtl/>
        </w:rPr>
        <w:t>שלישי</w:t>
      </w:r>
      <w:r w:rsidRPr="00B5123C">
        <w:rPr>
          <w:rFonts w:cs="Arial"/>
          <w:sz w:val="20"/>
          <w:szCs w:val="20"/>
          <w:rtl/>
        </w:rPr>
        <w:t xml:space="preserve">? </w:t>
      </w:r>
      <w:r w:rsidRPr="00B5123C">
        <w:rPr>
          <w:rFonts w:cs="Arial" w:hint="cs"/>
          <w:sz w:val="20"/>
          <w:szCs w:val="20"/>
          <w:rtl/>
        </w:rPr>
        <w:t>לפי</w:t>
      </w:r>
      <w:r w:rsidRPr="00B5123C">
        <w:rPr>
          <w:rFonts w:cs="Arial"/>
          <w:sz w:val="20"/>
          <w:szCs w:val="20"/>
          <w:rtl/>
        </w:rPr>
        <w:t xml:space="preserve"> </w:t>
      </w:r>
      <w:r w:rsidRPr="00B5123C">
        <w:rPr>
          <w:rFonts w:cs="Arial" w:hint="cs"/>
          <w:sz w:val="20"/>
          <w:szCs w:val="20"/>
          <w:rtl/>
        </w:rPr>
        <w:t>שאין</w:t>
      </w:r>
      <w:r w:rsidRPr="00B5123C">
        <w:rPr>
          <w:rFonts w:cs="Arial"/>
          <w:sz w:val="20"/>
          <w:szCs w:val="20"/>
          <w:rtl/>
        </w:rPr>
        <w:t xml:space="preserve"> </w:t>
      </w:r>
      <w:r w:rsidRPr="00B5123C">
        <w:rPr>
          <w:rFonts w:cs="Arial" w:hint="cs"/>
          <w:sz w:val="20"/>
          <w:szCs w:val="20"/>
          <w:rtl/>
        </w:rPr>
        <w:t>כל</w:t>
      </w:r>
      <w:r w:rsidRPr="00B5123C">
        <w:rPr>
          <w:rFonts w:cs="Arial"/>
          <w:sz w:val="20"/>
          <w:szCs w:val="20"/>
          <w:rtl/>
        </w:rPr>
        <w:t xml:space="preserve"> </w:t>
      </w:r>
      <w:r w:rsidRPr="00B5123C">
        <w:rPr>
          <w:rFonts w:cs="Arial" w:hint="cs"/>
          <w:sz w:val="20"/>
          <w:szCs w:val="20"/>
          <w:rtl/>
        </w:rPr>
        <w:t>הכ</w:t>
      </w:r>
      <w:r>
        <w:rPr>
          <w:rFonts w:cs="Arial" w:hint="cs"/>
          <w:sz w:val="20"/>
          <w:szCs w:val="20"/>
          <w:rtl/>
        </w:rPr>
        <w:t>ו</w:t>
      </w:r>
      <w:r w:rsidRPr="00B5123C">
        <w:rPr>
          <w:rFonts w:cs="Arial" w:hint="cs"/>
          <w:sz w:val="20"/>
          <w:szCs w:val="20"/>
          <w:rtl/>
        </w:rPr>
        <w:t>חות</w:t>
      </w:r>
      <w:r w:rsidRPr="00B5123C">
        <w:rPr>
          <w:rFonts w:cs="Arial"/>
          <w:sz w:val="20"/>
          <w:szCs w:val="20"/>
          <w:rtl/>
        </w:rPr>
        <w:t xml:space="preserve"> </w:t>
      </w:r>
      <w:r w:rsidRPr="00B5123C">
        <w:rPr>
          <w:rFonts w:cs="Arial" w:hint="cs"/>
          <w:sz w:val="20"/>
          <w:szCs w:val="20"/>
          <w:rtl/>
        </w:rPr>
        <w:t>שוות</w:t>
      </w:r>
      <w:r>
        <w:rPr>
          <w:rFonts w:cs="Arial" w:hint="cs"/>
          <w:sz w:val="20"/>
          <w:szCs w:val="20"/>
          <w:rtl/>
        </w:rPr>
        <w:t>".</w:t>
      </w:r>
    </w:p>
    <w:p w:rsidR="00620060" w:rsidRDefault="00620060" w:rsidP="00620060">
      <w:pPr>
        <w:rPr>
          <w:sz w:val="20"/>
          <w:szCs w:val="20"/>
          <w:rtl/>
        </w:rPr>
      </w:pPr>
      <w:r>
        <w:rPr>
          <w:rFonts w:hint="cs"/>
          <w:b/>
          <w:bCs/>
          <w:sz w:val="20"/>
          <w:szCs w:val="20"/>
          <w:rtl/>
        </w:rPr>
        <w:t>שיטות הראשונים</w:t>
      </w:r>
      <w:r>
        <w:rPr>
          <w:b/>
          <w:bCs/>
          <w:sz w:val="20"/>
          <w:szCs w:val="20"/>
          <w:rtl/>
        </w:rPr>
        <w:br/>
      </w:r>
      <w:r>
        <w:rPr>
          <w:rFonts w:hint="cs"/>
          <w:sz w:val="20"/>
          <w:szCs w:val="20"/>
          <w:rtl/>
        </w:rPr>
        <w:t xml:space="preserve">א. </w:t>
      </w:r>
      <w:r w:rsidRPr="00D14D83">
        <w:rPr>
          <w:rFonts w:hint="cs"/>
          <w:b/>
          <w:bCs/>
          <w:sz w:val="20"/>
          <w:szCs w:val="20"/>
          <w:rtl/>
        </w:rPr>
        <w:t>רש"י</w:t>
      </w:r>
      <w:r>
        <w:rPr>
          <w:rFonts w:hint="cs"/>
          <w:sz w:val="20"/>
          <w:szCs w:val="20"/>
          <w:rtl/>
        </w:rPr>
        <w:t xml:space="preserve"> </w:t>
      </w:r>
      <w:r w:rsidRPr="00B5123C">
        <w:rPr>
          <w:rFonts w:hint="cs"/>
          <w:sz w:val="18"/>
          <w:szCs w:val="18"/>
          <w:rtl/>
        </w:rPr>
        <w:t>(להבנת תוס</w:t>
      </w:r>
      <w:r>
        <w:rPr>
          <w:rFonts w:hint="cs"/>
          <w:sz w:val="18"/>
          <w:szCs w:val="18"/>
          <w:rtl/>
        </w:rPr>
        <w:t>'</w:t>
      </w:r>
      <w:r>
        <w:rPr>
          <w:rStyle w:val="a5"/>
          <w:sz w:val="18"/>
          <w:szCs w:val="18"/>
          <w:rtl/>
        </w:rPr>
        <w:footnoteReference w:id="100"/>
      </w:r>
      <w:r w:rsidRPr="00B5123C">
        <w:rPr>
          <w:rFonts w:hint="cs"/>
          <w:sz w:val="18"/>
          <w:szCs w:val="18"/>
          <w:rtl/>
        </w:rPr>
        <w:t xml:space="preserve">) </w:t>
      </w:r>
      <w:r>
        <w:rPr>
          <w:sz w:val="20"/>
          <w:szCs w:val="20"/>
          <w:rtl/>
        </w:rPr>
        <w:t>–</w:t>
      </w:r>
      <w:r>
        <w:rPr>
          <w:rFonts w:hint="cs"/>
          <w:sz w:val="20"/>
          <w:szCs w:val="20"/>
          <w:rtl/>
        </w:rPr>
        <w:t xml:space="preserve"> אין לאשה לבדוק עצמה תחת בעלה הראשון או השני, רק תחת בעלה השלישי הקלו.</w:t>
      </w:r>
      <w:r>
        <w:rPr>
          <w:rFonts w:hint="cs"/>
          <w:sz w:val="20"/>
          <w:szCs w:val="20"/>
          <w:rtl/>
        </w:rPr>
        <w:br/>
      </w:r>
      <w:r w:rsidRPr="00D14D83">
        <w:rPr>
          <w:rFonts w:hint="cs"/>
          <w:b/>
          <w:bCs/>
          <w:sz w:val="20"/>
          <w:szCs w:val="20"/>
          <w:rtl/>
        </w:rPr>
        <w:t xml:space="preserve">טעם </w:t>
      </w:r>
      <w:r>
        <w:rPr>
          <w:sz w:val="20"/>
          <w:szCs w:val="20"/>
          <w:rtl/>
        </w:rPr>
        <w:t>–</w:t>
      </w:r>
      <w:r>
        <w:rPr>
          <w:rFonts w:hint="cs"/>
          <w:sz w:val="20"/>
          <w:szCs w:val="20"/>
          <w:rtl/>
        </w:rPr>
        <w:t xml:space="preserve"> עדיף שתינשא לאחר ושמא לא תראה מחמת תשמיש, מאשר שתבדוק עצמה ותימצא טהורה ועלולה להמשיך לראות מחמת תשמיש ולבוא לידי שגגת כרת.</w:t>
      </w:r>
      <w:r>
        <w:rPr>
          <w:rStyle w:val="a5"/>
          <w:sz w:val="20"/>
          <w:szCs w:val="20"/>
          <w:rtl/>
        </w:rPr>
        <w:footnoteReference w:id="101"/>
      </w:r>
      <w:r>
        <w:rPr>
          <w:rFonts w:hint="cs"/>
          <w:sz w:val="20"/>
          <w:szCs w:val="20"/>
          <w:rtl/>
        </w:rPr>
        <w:br/>
        <w:t xml:space="preserve">ב. </w:t>
      </w:r>
      <w:r w:rsidRPr="00443109">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אין לאשה לבדוק עצמה בזמן שהיא נשואה לבעל שרואה מחמתו</w:t>
      </w:r>
      <w:r w:rsidRPr="00EB4CEF">
        <w:rPr>
          <w:rFonts w:hint="cs"/>
          <w:sz w:val="20"/>
          <w:szCs w:val="20"/>
          <w:rtl/>
        </w:rPr>
        <w:t xml:space="preserve"> </w:t>
      </w:r>
      <w:r>
        <w:rPr>
          <w:rFonts w:hint="cs"/>
          <w:sz w:val="20"/>
          <w:szCs w:val="20"/>
          <w:rtl/>
        </w:rPr>
        <w:t>אלא תתגרש ולאחר מכן תבדוק.</w:t>
      </w:r>
      <w:r>
        <w:rPr>
          <w:sz w:val="20"/>
          <w:szCs w:val="20"/>
          <w:rtl/>
        </w:rPr>
        <w:br/>
      </w:r>
      <w:r w:rsidRPr="00F11DF6">
        <w:rPr>
          <w:rFonts w:hint="cs"/>
          <w:b/>
          <w:bCs/>
          <w:sz w:val="20"/>
          <w:szCs w:val="20"/>
          <w:rtl/>
        </w:rPr>
        <w:t>טעם</w:t>
      </w:r>
      <w:r>
        <w:rPr>
          <w:rFonts w:hint="cs"/>
          <w:sz w:val="20"/>
          <w:szCs w:val="20"/>
          <w:rtl/>
        </w:rPr>
        <w:t xml:space="preserve"> </w:t>
      </w:r>
      <w:r w:rsidRPr="00443109">
        <w:rPr>
          <w:rFonts w:hint="cs"/>
          <w:sz w:val="18"/>
          <w:szCs w:val="18"/>
          <w:rtl/>
        </w:rPr>
        <w:t>(ע"פ הסבר הגה"מ</w:t>
      </w:r>
      <w:r>
        <w:rPr>
          <w:rStyle w:val="a5"/>
          <w:sz w:val="18"/>
          <w:szCs w:val="18"/>
          <w:rtl/>
        </w:rPr>
        <w:footnoteReference w:id="102"/>
      </w:r>
      <w:r w:rsidRPr="00443109">
        <w:rPr>
          <w:rFonts w:hint="cs"/>
          <w:sz w:val="18"/>
          <w:szCs w:val="18"/>
          <w:rtl/>
        </w:rPr>
        <w:t xml:space="preserve">) </w:t>
      </w:r>
      <w:r>
        <w:rPr>
          <w:sz w:val="20"/>
          <w:szCs w:val="20"/>
          <w:rtl/>
        </w:rPr>
        <w:t>–</w:t>
      </w:r>
      <w:r>
        <w:rPr>
          <w:rFonts w:hint="cs"/>
          <w:sz w:val="20"/>
          <w:szCs w:val="20"/>
          <w:rtl/>
        </w:rPr>
        <w:t xml:space="preserve"> הבדיקה לא מועילה משום שמוחזקת היא לראות ע"י תשמיש עם בעל זה.</w:t>
      </w:r>
      <w:r>
        <w:rPr>
          <w:rFonts w:hint="cs"/>
          <w:sz w:val="20"/>
          <w:szCs w:val="20"/>
          <w:rtl/>
        </w:rPr>
        <w:br/>
      </w:r>
      <w:r>
        <w:rPr>
          <w:rFonts w:hint="cs"/>
          <w:sz w:val="20"/>
          <w:szCs w:val="20"/>
          <w:rtl/>
        </w:rPr>
        <w:lastRenderedPageBreak/>
        <w:t>וכן משום חשש שמא לא יעמיד את עצמו ויבוא עליה אפילו לפני שתבדוק עצמה.</w:t>
      </w:r>
      <w:r>
        <w:rPr>
          <w:rFonts w:hint="cs"/>
          <w:sz w:val="20"/>
          <w:szCs w:val="20"/>
          <w:rtl/>
        </w:rPr>
        <w:br/>
        <w:t>אמנם, יכולה היא לבדוק עצמה בין בעל ראשון לשני, דלא כרש"י.</w:t>
      </w:r>
      <w:r>
        <w:rPr>
          <w:rFonts w:hint="cs"/>
          <w:sz w:val="20"/>
          <w:szCs w:val="20"/>
          <w:rtl/>
        </w:rPr>
        <w:br/>
        <w:t xml:space="preserve">ג. </w:t>
      </w:r>
      <w:r w:rsidRPr="00E96E3E">
        <w:rPr>
          <w:rFonts w:hint="cs"/>
          <w:b/>
          <w:bCs/>
          <w:sz w:val="20"/>
          <w:szCs w:val="20"/>
          <w:rtl/>
        </w:rPr>
        <w:t>תוספות</w:t>
      </w:r>
      <w:r>
        <w:rPr>
          <w:rFonts w:hint="cs"/>
          <w:sz w:val="20"/>
          <w:szCs w:val="20"/>
          <w:rtl/>
        </w:rPr>
        <w:t xml:space="preserve">, </w:t>
      </w:r>
      <w:r>
        <w:rPr>
          <w:rFonts w:hint="cs"/>
          <w:b/>
          <w:bCs/>
          <w:sz w:val="20"/>
          <w:szCs w:val="20"/>
          <w:rtl/>
        </w:rPr>
        <w:t>סמ"ק</w:t>
      </w:r>
      <w:r w:rsidRPr="00E96E3E">
        <w:rPr>
          <w:rFonts w:hint="cs"/>
          <w:b/>
          <w:bCs/>
          <w:sz w:val="20"/>
          <w:szCs w:val="20"/>
          <w:rtl/>
        </w:rPr>
        <w:t xml:space="preserve"> </w:t>
      </w:r>
      <w:r>
        <w:rPr>
          <w:rFonts w:hint="cs"/>
          <w:sz w:val="20"/>
          <w:szCs w:val="20"/>
          <w:rtl/>
        </w:rPr>
        <w:t xml:space="preserve">ורוב הראשונים </w:t>
      </w:r>
      <w:r>
        <w:rPr>
          <w:sz w:val="20"/>
          <w:szCs w:val="20"/>
          <w:rtl/>
        </w:rPr>
        <w:t>–</w:t>
      </w:r>
      <w:r>
        <w:rPr>
          <w:rFonts w:hint="cs"/>
          <w:sz w:val="20"/>
          <w:szCs w:val="20"/>
          <w:rtl/>
        </w:rPr>
        <w:t xml:space="preserve"> מותר לאשה לבדוק עצמה אפילו תחת בעלה הראשון, וכ"פ </w:t>
      </w:r>
      <w:r w:rsidRPr="00255B65">
        <w:rPr>
          <w:rFonts w:hint="cs"/>
          <w:b/>
          <w:bCs/>
          <w:sz w:val="20"/>
          <w:szCs w:val="20"/>
          <w:rtl/>
        </w:rPr>
        <w:t>המחבר</w:t>
      </w:r>
      <w:r>
        <w:rPr>
          <w:rFonts w:hint="cs"/>
          <w:sz w:val="20"/>
          <w:szCs w:val="20"/>
          <w:rtl/>
        </w:rPr>
        <w:t>.</w:t>
      </w:r>
      <w:r>
        <w:rPr>
          <w:sz w:val="20"/>
          <w:szCs w:val="20"/>
          <w:rtl/>
        </w:rPr>
        <w:br/>
      </w:r>
      <w:r w:rsidRPr="00E96E3E">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אין כוונת הברייתא להורות שחייבת להתגרש ואסורה אפילו בבדיקה, אלא הברייתא השמיעה חידוש לקולא שמותרת לבעל שני ושלישי אפילו ללא בדיקה, ועצה טובה קמ"ל שלא תבדוק עצמה תחת בעלה הראשון שמא תמצא דם בראש המכחול ותיאסר לכל העולם.</w:t>
      </w:r>
      <w:r>
        <w:rPr>
          <w:sz w:val="20"/>
          <w:szCs w:val="20"/>
          <w:rtl/>
        </w:rPr>
        <w:br/>
      </w:r>
      <w:r>
        <w:rPr>
          <w:rFonts w:hint="cs"/>
          <w:sz w:val="20"/>
          <w:szCs w:val="20"/>
          <w:rtl/>
        </w:rPr>
        <w:t xml:space="preserve">ועוד, אם לבעל השלישי מותרת ללא בדיקה האם נאמר שאסורה לראשון אפילו בבדיקה?! </w:t>
      </w:r>
    </w:p>
    <w:p w:rsidR="00620060" w:rsidRDefault="00620060" w:rsidP="00620060">
      <w:pPr>
        <w:rPr>
          <w:sz w:val="20"/>
          <w:szCs w:val="20"/>
          <w:rtl/>
        </w:rPr>
      </w:pPr>
      <w:r w:rsidRPr="00E84E41">
        <w:rPr>
          <w:rFonts w:hint="cs"/>
          <w:b/>
          <w:bCs/>
          <w:sz w:val="20"/>
          <w:szCs w:val="20"/>
          <w:rtl/>
        </w:rPr>
        <w:t xml:space="preserve">האם בעל נפש יסמוך על בדיקה? </w:t>
      </w:r>
      <w:r>
        <w:rPr>
          <w:rFonts w:hint="cs"/>
          <w:sz w:val="20"/>
          <w:szCs w:val="20"/>
          <w:u w:val="single"/>
          <w:rtl/>
        </w:rPr>
        <w:br/>
      </w:r>
      <w:r w:rsidRPr="004E7A33">
        <w:rPr>
          <w:rFonts w:hint="cs"/>
          <w:b/>
          <w:bCs/>
          <w:sz w:val="20"/>
          <w:szCs w:val="20"/>
          <w:rtl/>
        </w:rPr>
        <w:t>ריצב"א</w:t>
      </w:r>
      <w:r>
        <w:rPr>
          <w:rFonts w:hint="cs"/>
          <w:sz w:val="20"/>
          <w:szCs w:val="20"/>
          <w:rtl/>
        </w:rPr>
        <w:t xml:space="preserve"> </w:t>
      </w:r>
      <w:r>
        <w:rPr>
          <w:sz w:val="20"/>
          <w:szCs w:val="20"/>
          <w:rtl/>
        </w:rPr>
        <w:t>–</w:t>
      </w:r>
      <w:r>
        <w:rPr>
          <w:rFonts w:hint="cs"/>
          <w:sz w:val="20"/>
          <w:szCs w:val="20"/>
          <w:rtl/>
        </w:rPr>
        <w:t xml:space="preserve"> בדיקת שפופרת היא בדיקה טובה, ואפילו בעל נפש יכול לסמוך עליה אפילו כשהיא נעשית בהיותה תחת בעלה הראשון.</w:t>
      </w:r>
    </w:p>
    <w:p w:rsidR="00620060" w:rsidRDefault="00620060" w:rsidP="00620060">
      <w:pPr>
        <w:rPr>
          <w:sz w:val="20"/>
          <w:szCs w:val="20"/>
          <w:rtl/>
        </w:rPr>
      </w:pPr>
      <w:r>
        <w:rPr>
          <w:rFonts w:hint="cs"/>
          <w:b/>
          <w:bCs/>
          <w:sz w:val="20"/>
          <w:szCs w:val="20"/>
          <w:rtl/>
        </w:rPr>
        <w:t>אשה שמצטערת מחמת תשמיש</w:t>
      </w:r>
      <w:r>
        <w:rPr>
          <w:b/>
          <w:bCs/>
          <w:sz w:val="20"/>
          <w:szCs w:val="20"/>
          <w:rtl/>
        </w:rPr>
        <w:br/>
      </w:r>
      <w:r>
        <w:rPr>
          <w:rFonts w:hint="cs"/>
          <w:b/>
          <w:bCs/>
          <w:sz w:val="20"/>
          <w:szCs w:val="20"/>
          <w:rtl/>
        </w:rPr>
        <w:t xml:space="preserve">ריצב"א </w:t>
      </w:r>
      <w:r>
        <w:rPr>
          <w:sz w:val="20"/>
          <w:szCs w:val="20"/>
          <w:rtl/>
        </w:rPr>
        <w:t>–</w:t>
      </w:r>
      <w:r>
        <w:rPr>
          <w:rFonts w:hint="cs"/>
          <w:sz w:val="20"/>
          <w:szCs w:val="20"/>
          <w:rtl/>
        </w:rPr>
        <w:t xml:space="preserve"> אשה שמצטערת מחמת תשמיש, יכולה להיבדק תחת בעלה הראשון אפילו לרש"י, וכ"פ </w:t>
      </w:r>
      <w:r w:rsidRPr="002171F8">
        <w:rPr>
          <w:rFonts w:hint="cs"/>
          <w:b/>
          <w:bCs/>
          <w:sz w:val="20"/>
          <w:szCs w:val="20"/>
          <w:rtl/>
        </w:rPr>
        <w:t>הרמ"א</w:t>
      </w:r>
      <w:r>
        <w:rPr>
          <w:rFonts w:hint="cs"/>
          <w:sz w:val="20"/>
          <w:szCs w:val="20"/>
          <w:rtl/>
        </w:rPr>
        <w:t>.</w:t>
      </w:r>
      <w:r>
        <w:rPr>
          <w:sz w:val="20"/>
          <w:szCs w:val="20"/>
          <w:rtl/>
        </w:rPr>
        <w:br/>
      </w:r>
      <w:r w:rsidRPr="00AF21EF">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מסתבר שהצער בא לה מחמת חולי ומכה שיש באותו מקום, ובכה"ג שפיר יש לסמוך על בדיקה.</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sz w:val="20"/>
          <w:szCs w:val="20"/>
          <w:rtl/>
        </w:rPr>
        <w:t xml:space="preserve">א. </w:t>
      </w:r>
      <w:r>
        <w:rPr>
          <w:rFonts w:hint="cs"/>
          <w:b/>
          <w:bCs/>
          <w:sz w:val="20"/>
          <w:szCs w:val="20"/>
          <w:rtl/>
        </w:rPr>
        <w:t xml:space="preserve">שולחן ערוך </w:t>
      </w:r>
      <w:r>
        <w:rPr>
          <w:sz w:val="20"/>
          <w:szCs w:val="20"/>
          <w:rtl/>
        </w:rPr>
        <w:t>–</w:t>
      </w:r>
      <w:r>
        <w:rPr>
          <w:rFonts w:hint="cs"/>
          <w:sz w:val="20"/>
          <w:szCs w:val="20"/>
          <w:rtl/>
        </w:rPr>
        <w:t xml:space="preserve"> "</w:t>
      </w:r>
      <w:r w:rsidRPr="004E7A33">
        <w:rPr>
          <w:rFonts w:cs="Arial" w:hint="cs"/>
          <w:sz w:val="20"/>
          <w:szCs w:val="20"/>
          <w:rtl/>
        </w:rPr>
        <w:t>אם</w:t>
      </w:r>
      <w:r w:rsidRPr="004E7A33">
        <w:rPr>
          <w:rFonts w:cs="Arial"/>
          <w:sz w:val="20"/>
          <w:szCs w:val="20"/>
          <w:rtl/>
        </w:rPr>
        <w:t xml:space="preserve"> </w:t>
      </w:r>
      <w:r w:rsidRPr="004E7A33">
        <w:rPr>
          <w:rFonts w:cs="Arial" w:hint="cs"/>
          <w:sz w:val="20"/>
          <w:szCs w:val="20"/>
          <w:rtl/>
        </w:rPr>
        <w:t>רוצה</w:t>
      </w:r>
      <w:r w:rsidRPr="004E7A33">
        <w:rPr>
          <w:rFonts w:cs="Arial"/>
          <w:sz w:val="20"/>
          <w:szCs w:val="20"/>
          <w:rtl/>
        </w:rPr>
        <w:t xml:space="preserve"> </w:t>
      </w:r>
      <w:r w:rsidRPr="004E7A33">
        <w:rPr>
          <w:rFonts w:cs="Arial" w:hint="cs"/>
          <w:sz w:val="20"/>
          <w:szCs w:val="20"/>
          <w:rtl/>
        </w:rPr>
        <w:t>לבדוק</w:t>
      </w:r>
      <w:r w:rsidRPr="004E7A33">
        <w:rPr>
          <w:rFonts w:cs="Arial"/>
          <w:sz w:val="20"/>
          <w:szCs w:val="20"/>
          <w:rtl/>
        </w:rPr>
        <w:t xml:space="preserve"> </w:t>
      </w:r>
      <w:r w:rsidRPr="004E7A33">
        <w:rPr>
          <w:rFonts w:cs="Arial" w:hint="cs"/>
          <w:sz w:val="20"/>
          <w:szCs w:val="20"/>
          <w:rtl/>
        </w:rPr>
        <w:t>עצמה</w:t>
      </w:r>
      <w:r w:rsidRPr="004E7A33">
        <w:rPr>
          <w:rFonts w:cs="Arial"/>
          <w:sz w:val="20"/>
          <w:szCs w:val="20"/>
          <w:rtl/>
        </w:rPr>
        <w:t xml:space="preserve"> </w:t>
      </w:r>
      <w:r w:rsidRPr="004E7A33">
        <w:rPr>
          <w:rFonts w:cs="Arial" w:hint="cs"/>
          <w:sz w:val="20"/>
          <w:szCs w:val="20"/>
          <w:rtl/>
        </w:rPr>
        <w:t>בעודה</w:t>
      </w:r>
      <w:r w:rsidRPr="004E7A33">
        <w:rPr>
          <w:rFonts w:cs="Arial"/>
          <w:sz w:val="20"/>
          <w:szCs w:val="20"/>
          <w:rtl/>
        </w:rPr>
        <w:t xml:space="preserve"> </w:t>
      </w:r>
      <w:r w:rsidRPr="004E7A33">
        <w:rPr>
          <w:rFonts w:cs="Arial" w:hint="cs"/>
          <w:sz w:val="20"/>
          <w:szCs w:val="20"/>
          <w:rtl/>
        </w:rPr>
        <w:t>תחת</w:t>
      </w:r>
      <w:r w:rsidRPr="004E7A33">
        <w:rPr>
          <w:rFonts w:cs="Arial"/>
          <w:sz w:val="20"/>
          <w:szCs w:val="20"/>
          <w:rtl/>
        </w:rPr>
        <w:t xml:space="preserve"> </w:t>
      </w:r>
      <w:r w:rsidRPr="004E7A33">
        <w:rPr>
          <w:rFonts w:cs="Arial" w:hint="cs"/>
          <w:sz w:val="20"/>
          <w:szCs w:val="20"/>
          <w:rtl/>
        </w:rPr>
        <w:t>הראשון</w:t>
      </w:r>
      <w:r w:rsidRPr="004E7A33">
        <w:rPr>
          <w:rFonts w:cs="Arial"/>
          <w:sz w:val="20"/>
          <w:szCs w:val="20"/>
          <w:rtl/>
        </w:rPr>
        <w:t xml:space="preserve">, </w:t>
      </w:r>
      <w:r w:rsidRPr="004E7A33">
        <w:rPr>
          <w:rFonts w:cs="Arial" w:hint="cs"/>
          <w:sz w:val="20"/>
          <w:szCs w:val="20"/>
          <w:rtl/>
        </w:rPr>
        <w:t>אחר</w:t>
      </w:r>
      <w:r w:rsidRPr="004E7A33">
        <w:rPr>
          <w:rFonts w:cs="Arial"/>
          <w:sz w:val="20"/>
          <w:szCs w:val="20"/>
          <w:rtl/>
        </w:rPr>
        <w:t xml:space="preserve"> </w:t>
      </w:r>
      <w:r w:rsidRPr="004E7A33">
        <w:rPr>
          <w:rFonts w:cs="Arial" w:hint="cs"/>
          <w:sz w:val="20"/>
          <w:szCs w:val="20"/>
          <w:rtl/>
        </w:rPr>
        <w:t>שש</w:t>
      </w:r>
      <w:r>
        <w:rPr>
          <w:rFonts w:cs="Arial" w:hint="cs"/>
          <w:sz w:val="20"/>
          <w:szCs w:val="20"/>
          <w:rtl/>
        </w:rPr>
        <w:t>י</w:t>
      </w:r>
      <w:r w:rsidRPr="004E7A33">
        <w:rPr>
          <w:rFonts w:cs="Arial" w:hint="cs"/>
          <w:sz w:val="20"/>
          <w:szCs w:val="20"/>
          <w:rtl/>
        </w:rPr>
        <w:t>משה</w:t>
      </w:r>
      <w:r w:rsidRPr="004E7A33">
        <w:rPr>
          <w:rFonts w:cs="Arial"/>
          <w:sz w:val="20"/>
          <w:szCs w:val="20"/>
          <w:rtl/>
        </w:rPr>
        <w:t xml:space="preserve"> </w:t>
      </w:r>
      <w:r w:rsidRPr="004E7A33">
        <w:rPr>
          <w:rFonts w:cs="Arial" w:hint="cs"/>
          <w:sz w:val="20"/>
          <w:szCs w:val="20"/>
          <w:rtl/>
        </w:rPr>
        <w:t>של</w:t>
      </w:r>
      <w:r>
        <w:rPr>
          <w:rFonts w:cs="Arial" w:hint="cs"/>
          <w:sz w:val="20"/>
          <w:szCs w:val="20"/>
          <w:rtl/>
        </w:rPr>
        <w:t>ו</w:t>
      </w:r>
      <w:r w:rsidRPr="004E7A33">
        <w:rPr>
          <w:rFonts w:cs="Arial" w:hint="cs"/>
          <w:sz w:val="20"/>
          <w:szCs w:val="20"/>
          <w:rtl/>
        </w:rPr>
        <w:t>ש</w:t>
      </w:r>
      <w:r w:rsidRPr="004E7A33">
        <w:rPr>
          <w:rFonts w:cs="Arial"/>
          <w:sz w:val="20"/>
          <w:szCs w:val="20"/>
          <w:rtl/>
        </w:rPr>
        <w:t xml:space="preserve"> </w:t>
      </w:r>
      <w:r w:rsidRPr="004E7A33">
        <w:rPr>
          <w:rFonts w:cs="Arial" w:hint="cs"/>
          <w:sz w:val="20"/>
          <w:szCs w:val="20"/>
          <w:rtl/>
        </w:rPr>
        <w:t>פעמים</w:t>
      </w:r>
      <w:r w:rsidRPr="004E7A33">
        <w:rPr>
          <w:rFonts w:cs="Arial"/>
          <w:sz w:val="20"/>
          <w:szCs w:val="20"/>
          <w:rtl/>
        </w:rPr>
        <w:t xml:space="preserve">, </w:t>
      </w:r>
      <w:r w:rsidRPr="004E7A33">
        <w:rPr>
          <w:rFonts w:cs="Arial" w:hint="cs"/>
          <w:sz w:val="20"/>
          <w:szCs w:val="20"/>
          <w:rtl/>
        </w:rPr>
        <w:t>הרשות</w:t>
      </w:r>
      <w:r w:rsidRPr="004E7A33">
        <w:rPr>
          <w:rFonts w:cs="Arial"/>
          <w:sz w:val="20"/>
          <w:szCs w:val="20"/>
          <w:rtl/>
        </w:rPr>
        <w:t xml:space="preserve"> </w:t>
      </w:r>
      <w:r w:rsidRPr="004E7A33">
        <w:rPr>
          <w:rFonts w:cs="Arial" w:hint="cs"/>
          <w:sz w:val="20"/>
          <w:szCs w:val="20"/>
          <w:rtl/>
        </w:rPr>
        <w:t>בידה</w:t>
      </w:r>
      <w:r w:rsidRPr="004E7A33">
        <w:rPr>
          <w:rFonts w:cs="Arial"/>
          <w:sz w:val="20"/>
          <w:szCs w:val="20"/>
          <w:rtl/>
        </w:rPr>
        <w:t xml:space="preserve">, </w:t>
      </w:r>
      <w:r w:rsidRPr="004E7A33">
        <w:rPr>
          <w:rFonts w:cs="Arial" w:hint="cs"/>
          <w:sz w:val="20"/>
          <w:szCs w:val="20"/>
          <w:rtl/>
        </w:rPr>
        <w:t>ומותרת</w:t>
      </w:r>
      <w:r w:rsidRPr="004E7A33">
        <w:rPr>
          <w:rFonts w:cs="Arial"/>
          <w:sz w:val="20"/>
          <w:szCs w:val="20"/>
          <w:rtl/>
        </w:rPr>
        <w:t xml:space="preserve"> </w:t>
      </w:r>
      <w:r w:rsidRPr="004E7A33">
        <w:rPr>
          <w:rFonts w:cs="Arial" w:hint="cs"/>
          <w:sz w:val="20"/>
          <w:szCs w:val="20"/>
          <w:rtl/>
        </w:rPr>
        <w:t>לו</w:t>
      </w:r>
      <w:r w:rsidRPr="004E7A33">
        <w:rPr>
          <w:rFonts w:cs="Arial"/>
          <w:sz w:val="20"/>
          <w:szCs w:val="20"/>
          <w:rtl/>
        </w:rPr>
        <w:t xml:space="preserve">. </w:t>
      </w:r>
      <w:r w:rsidRPr="004E7A33">
        <w:rPr>
          <w:rFonts w:cs="Arial" w:hint="cs"/>
          <w:sz w:val="20"/>
          <w:szCs w:val="20"/>
          <w:rtl/>
        </w:rPr>
        <w:t>ויש</w:t>
      </w:r>
      <w:r w:rsidRPr="004E7A33">
        <w:rPr>
          <w:rFonts w:cs="Arial"/>
          <w:sz w:val="20"/>
          <w:szCs w:val="20"/>
          <w:rtl/>
        </w:rPr>
        <w:t xml:space="preserve"> </w:t>
      </w:r>
      <w:r w:rsidRPr="004E7A33">
        <w:rPr>
          <w:rFonts w:cs="Arial" w:hint="cs"/>
          <w:sz w:val="20"/>
          <w:szCs w:val="20"/>
          <w:rtl/>
        </w:rPr>
        <w:t>אומרים</w:t>
      </w:r>
      <w:r w:rsidRPr="004E7A33">
        <w:rPr>
          <w:rFonts w:cs="Arial"/>
          <w:sz w:val="20"/>
          <w:szCs w:val="20"/>
          <w:rtl/>
        </w:rPr>
        <w:t xml:space="preserve"> </w:t>
      </w:r>
      <w:r w:rsidRPr="004E7A33">
        <w:rPr>
          <w:rFonts w:cs="Arial" w:hint="cs"/>
          <w:sz w:val="20"/>
          <w:szCs w:val="20"/>
          <w:rtl/>
        </w:rPr>
        <w:t>שאסורה</w:t>
      </w:r>
      <w:r w:rsidRPr="004E7A33">
        <w:rPr>
          <w:rFonts w:cs="Arial"/>
          <w:sz w:val="20"/>
          <w:szCs w:val="20"/>
          <w:rtl/>
        </w:rPr>
        <w:t xml:space="preserve"> </w:t>
      </w:r>
      <w:r w:rsidRPr="004E7A33">
        <w:rPr>
          <w:rFonts w:cs="Arial" w:hint="cs"/>
          <w:sz w:val="20"/>
          <w:szCs w:val="20"/>
          <w:rtl/>
        </w:rPr>
        <w:t>לראשון</w:t>
      </w:r>
      <w:r w:rsidRPr="004E7A33">
        <w:rPr>
          <w:rFonts w:cs="Arial"/>
          <w:sz w:val="20"/>
          <w:szCs w:val="20"/>
          <w:rtl/>
        </w:rPr>
        <w:t xml:space="preserve"> </w:t>
      </w:r>
      <w:r w:rsidRPr="004E7A33">
        <w:rPr>
          <w:rFonts w:cs="Arial" w:hint="cs"/>
          <w:sz w:val="20"/>
          <w:szCs w:val="20"/>
          <w:rtl/>
        </w:rPr>
        <w:t>מתשמיש</w:t>
      </w:r>
      <w:r w:rsidRPr="004E7A33">
        <w:rPr>
          <w:rFonts w:cs="Arial"/>
          <w:sz w:val="20"/>
          <w:szCs w:val="20"/>
          <w:rtl/>
        </w:rPr>
        <w:t xml:space="preserve"> </w:t>
      </w:r>
      <w:r w:rsidRPr="004E7A33">
        <w:rPr>
          <w:rFonts w:cs="Arial" w:hint="cs"/>
          <w:sz w:val="20"/>
          <w:szCs w:val="20"/>
          <w:rtl/>
        </w:rPr>
        <w:t>שלישי</w:t>
      </w:r>
      <w:r w:rsidRPr="004E7A33">
        <w:rPr>
          <w:rFonts w:cs="Arial"/>
          <w:sz w:val="20"/>
          <w:szCs w:val="20"/>
          <w:rtl/>
        </w:rPr>
        <w:t xml:space="preserve"> </w:t>
      </w:r>
      <w:r w:rsidRPr="004E7A33">
        <w:rPr>
          <w:rFonts w:cs="Arial" w:hint="cs"/>
          <w:sz w:val="20"/>
          <w:szCs w:val="20"/>
          <w:rtl/>
        </w:rPr>
        <w:t>ואילך</w:t>
      </w:r>
      <w:r w:rsidRPr="004E7A33">
        <w:rPr>
          <w:rFonts w:cs="Arial"/>
          <w:sz w:val="20"/>
          <w:szCs w:val="20"/>
          <w:rtl/>
        </w:rPr>
        <w:t xml:space="preserve">, </w:t>
      </w:r>
      <w:r w:rsidRPr="004E7A33">
        <w:rPr>
          <w:rFonts w:cs="Arial" w:hint="cs"/>
          <w:sz w:val="20"/>
          <w:szCs w:val="20"/>
          <w:rtl/>
        </w:rPr>
        <w:t>אפילו</w:t>
      </w:r>
      <w:r w:rsidRPr="004E7A33">
        <w:rPr>
          <w:rFonts w:cs="Arial"/>
          <w:sz w:val="20"/>
          <w:szCs w:val="20"/>
          <w:rtl/>
        </w:rPr>
        <w:t xml:space="preserve"> </w:t>
      </w:r>
      <w:r w:rsidRPr="004E7A33">
        <w:rPr>
          <w:rFonts w:cs="Arial" w:hint="cs"/>
          <w:sz w:val="20"/>
          <w:szCs w:val="20"/>
          <w:rtl/>
        </w:rPr>
        <w:t>בבדיקה</w:t>
      </w:r>
      <w:r w:rsidRPr="004E7A33">
        <w:rPr>
          <w:rFonts w:cs="Arial"/>
          <w:sz w:val="20"/>
          <w:szCs w:val="20"/>
          <w:rtl/>
        </w:rPr>
        <w:t xml:space="preserve">. </w:t>
      </w:r>
      <w:r w:rsidRPr="004E7A33">
        <w:rPr>
          <w:rFonts w:cs="Arial" w:hint="cs"/>
          <w:sz w:val="18"/>
          <w:szCs w:val="18"/>
          <w:rtl/>
        </w:rPr>
        <w:t>הגה</w:t>
      </w:r>
      <w:r w:rsidRPr="004E7A33">
        <w:rPr>
          <w:rFonts w:cs="Arial"/>
          <w:sz w:val="18"/>
          <w:szCs w:val="18"/>
          <w:rtl/>
        </w:rPr>
        <w:t xml:space="preserve">: </w:t>
      </w:r>
      <w:r w:rsidRPr="004E7A33">
        <w:rPr>
          <w:rFonts w:cs="Arial" w:hint="cs"/>
          <w:sz w:val="18"/>
          <w:szCs w:val="18"/>
          <w:rtl/>
        </w:rPr>
        <w:t>ויש</w:t>
      </w:r>
      <w:r w:rsidRPr="004E7A33">
        <w:rPr>
          <w:rFonts w:cs="Arial"/>
          <w:sz w:val="18"/>
          <w:szCs w:val="18"/>
          <w:rtl/>
        </w:rPr>
        <w:t xml:space="preserve"> </w:t>
      </w:r>
      <w:r w:rsidRPr="004E7A33">
        <w:rPr>
          <w:rFonts w:cs="Arial" w:hint="cs"/>
          <w:sz w:val="18"/>
          <w:szCs w:val="18"/>
          <w:rtl/>
        </w:rPr>
        <w:t>לסמוך</w:t>
      </w:r>
      <w:r w:rsidRPr="004E7A33">
        <w:rPr>
          <w:rFonts w:cs="Arial"/>
          <w:sz w:val="18"/>
          <w:szCs w:val="18"/>
          <w:rtl/>
        </w:rPr>
        <w:t xml:space="preserve"> </w:t>
      </w:r>
      <w:r w:rsidRPr="004E7A33">
        <w:rPr>
          <w:rFonts w:cs="Arial" w:hint="cs"/>
          <w:sz w:val="18"/>
          <w:szCs w:val="18"/>
          <w:rtl/>
        </w:rPr>
        <w:t>אסברא</w:t>
      </w:r>
      <w:r w:rsidRPr="004E7A33">
        <w:rPr>
          <w:rFonts w:cs="Arial"/>
          <w:sz w:val="18"/>
          <w:szCs w:val="18"/>
          <w:rtl/>
        </w:rPr>
        <w:t xml:space="preserve"> </w:t>
      </w:r>
      <w:r w:rsidRPr="004E7A33">
        <w:rPr>
          <w:rFonts w:cs="Arial" w:hint="cs"/>
          <w:sz w:val="18"/>
          <w:szCs w:val="18"/>
          <w:rtl/>
        </w:rPr>
        <w:t>ראשונה</w:t>
      </w:r>
      <w:r w:rsidRPr="004E7A33">
        <w:rPr>
          <w:rFonts w:cs="Arial"/>
          <w:sz w:val="18"/>
          <w:szCs w:val="18"/>
          <w:rtl/>
        </w:rPr>
        <w:t xml:space="preserve"> </w:t>
      </w:r>
      <w:r w:rsidRPr="004E7A33">
        <w:rPr>
          <w:rFonts w:cs="Arial" w:hint="cs"/>
          <w:sz w:val="18"/>
          <w:szCs w:val="18"/>
          <w:rtl/>
        </w:rPr>
        <w:t>להקל</w:t>
      </w:r>
      <w:r w:rsidRPr="004E7A33">
        <w:rPr>
          <w:rFonts w:cs="Arial"/>
          <w:sz w:val="18"/>
          <w:szCs w:val="18"/>
          <w:rtl/>
        </w:rPr>
        <w:t xml:space="preserve">. </w:t>
      </w:r>
      <w:r w:rsidRPr="004E7A33">
        <w:rPr>
          <w:rFonts w:cs="Arial" w:hint="cs"/>
          <w:sz w:val="18"/>
          <w:szCs w:val="18"/>
          <w:rtl/>
        </w:rPr>
        <w:t>ואם</w:t>
      </w:r>
      <w:r w:rsidRPr="004E7A33">
        <w:rPr>
          <w:rFonts w:cs="Arial"/>
          <w:sz w:val="18"/>
          <w:szCs w:val="18"/>
          <w:rtl/>
        </w:rPr>
        <w:t xml:space="preserve"> </w:t>
      </w:r>
      <w:r w:rsidRPr="004E7A33">
        <w:rPr>
          <w:rFonts w:cs="Arial" w:hint="cs"/>
          <w:sz w:val="18"/>
          <w:szCs w:val="18"/>
          <w:rtl/>
        </w:rPr>
        <w:t>הרגישה</w:t>
      </w:r>
      <w:r w:rsidRPr="004E7A33">
        <w:rPr>
          <w:rFonts w:cs="Arial"/>
          <w:sz w:val="18"/>
          <w:szCs w:val="18"/>
          <w:rtl/>
        </w:rPr>
        <w:t xml:space="preserve"> </w:t>
      </w:r>
      <w:r w:rsidRPr="004E7A33">
        <w:rPr>
          <w:rFonts w:cs="Arial" w:hint="cs"/>
          <w:sz w:val="18"/>
          <w:szCs w:val="18"/>
          <w:rtl/>
        </w:rPr>
        <w:t>צער</w:t>
      </w:r>
      <w:r w:rsidRPr="004E7A33">
        <w:rPr>
          <w:rFonts w:cs="Arial"/>
          <w:sz w:val="18"/>
          <w:szCs w:val="18"/>
          <w:rtl/>
        </w:rPr>
        <w:t xml:space="preserve"> </w:t>
      </w:r>
      <w:r w:rsidRPr="004E7A33">
        <w:rPr>
          <w:rFonts w:cs="Arial" w:hint="cs"/>
          <w:sz w:val="18"/>
          <w:szCs w:val="18"/>
          <w:rtl/>
        </w:rPr>
        <w:t>וכאב</w:t>
      </w:r>
      <w:r w:rsidRPr="004E7A33">
        <w:rPr>
          <w:rFonts w:cs="Arial"/>
          <w:sz w:val="18"/>
          <w:szCs w:val="18"/>
          <w:rtl/>
        </w:rPr>
        <w:t xml:space="preserve"> </w:t>
      </w:r>
      <w:r w:rsidRPr="004E7A33">
        <w:rPr>
          <w:rFonts w:cs="Arial" w:hint="cs"/>
          <w:sz w:val="18"/>
          <w:szCs w:val="18"/>
          <w:rtl/>
        </w:rPr>
        <w:t>בשעת</w:t>
      </w:r>
      <w:r w:rsidRPr="004E7A33">
        <w:rPr>
          <w:rFonts w:cs="Arial"/>
          <w:sz w:val="18"/>
          <w:szCs w:val="18"/>
          <w:rtl/>
        </w:rPr>
        <w:t xml:space="preserve"> </w:t>
      </w:r>
      <w:r w:rsidRPr="004E7A33">
        <w:rPr>
          <w:rFonts w:cs="Arial" w:hint="cs"/>
          <w:sz w:val="18"/>
          <w:szCs w:val="18"/>
          <w:rtl/>
        </w:rPr>
        <w:t>תשמיש</w:t>
      </w:r>
      <w:r w:rsidRPr="004E7A33">
        <w:rPr>
          <w:rFonts w:cs="Arial"/>
          <w:sz w:val="18"/>
          <w:szCs w:val="18"/>
          <w:rtl/>
        </w:rPr>
        <w:t xml:space="preserve">, </w:t>
      </w:r>
      <w:r w:rsidRPr="004E7A33">
        <w:rPr>
          <w:rFonts w:cs="Arial" w:hint="cs"/>
          <w:sz w:val="18"/>
          <w:szCs w:val="18"/>
          <w:rtl/>
        </w:rPr>
        <w:t>לכולי עלמא</w:t>
      </w:r>
      <w:r w:rsidRPr="004E7A33">
        <w:rPr>
          <w:rFonts w:cs="Arial"/>
          <w:sz w:val="18"/>
          <w:szCs w:val="18"/>
          <w:rtl/>
        </w:rPr>
        <w:t xml:space="preserve"> </w:t>
      </w:r>
      <w:r w:rsidRPr="004E7A33">
        <w:rPr>
          <w:rFonts w:cs="Arial" w:hint="cs"/>
          <w:sz w:val="18"/>
          <w:szCs w:val="18"/>
          <w:rtl/>
        </w:rPr>
        <w:t>יש</w:t>
      </w:r>
      <w:r w:rsidRPr="004E7A33">
        <w:rPr>
          <w:rFonts w:cs="Arial"/>
          <w:sz w:val="18"/>
          <w:szCs w:val="18"/>
          <w:rtl/>
        </w:rPr>
        <w:t xml:space="preserve"> </w:t>
      </w:r>
      <w:r w:rsidRPr="004E7A33">
        <w:rPr>
          <w:rFonts w:cs="Arial" w:hint="cs"/>
          <w:sz w:val="18"/>
          <w:szCs w:val="18"/>
          <w:rtl/>
        </w:rPr>
        <w:t>לסמוך</w:t>
      </w:r>
      <w:r w:rsidRPr="004E7A33">
        <w:rPr>
          <w:rFonts w:cs="Arial"/>
          <w:sz w:val="18"/>
          <w:szCs w:val="18"/>
          <w:rtl/>
        </w:rPr>
        <w:t xml:space="preserve"> </w:t>
      </w:r>
      <w:r w:rsidRPr="004E7A33">
        <w:rPr>
          <w:rFonts w:cs="Arial" w:hint="cs"/>
          <w:sz w:val="18"/>
          <w:szCs w:val="18"/>
          <w:rtl/>
        </w:rPr>
        <w:t>אבדיקה</w:t>
      </w:r>
      <w:r w:rsidRPr="004E7A33">
        <w:rPr>
          <w:rFonts w:cs="Arial"/>
          <w:sz w:val="18"/>
          <w:szCs w:val="18"/>
          <w:rtl/>
        </w:rPr>
        <w:t xml:space="preserve"> </w:t>
      </w:r>
      <w:r w:rsidRPr="004E7A33">
        <w:rPr>
          <w:rFonts w:cs="Arial" w:hint="cs"/>
          <w:sz w:val="18"/>
          <w:szCs w:val="18"/>
          <w:rtl/>
        </w:rPr>
        <w:t>בבעל</w:t>
      </w:r>
      <w:r w:rsidRPr="004E7A33">
        <w:rPr>
          <w:rFonts w:cs="Arial"/>
          <w:sz w:val="18"/>
          <w:szCs w:val="18"/>
          <w:rtl/>
        </w:rPr>
        <w:t xml:space="preserve"> </w:t>
      </w:r>
      <w:r w:rsidRPr="004E7A33">
        <w:rPr>
          <w:rFonts w:cs="Arial" w:hint="cs"/>
          <w:sz w:val="18"/>
          <w:szCs w:val="18"/>
          <w:rtl/>
        </w:rPr>
        <w:t>הראשון</w:t>
      </w:r>
      <w:r>
        <w:rPr>
          <w:rFonts w:cs="Arial" w:hint="cs"/>
          <w:sz w:val="20"/>
          <w:szCs w:val="20"/>
          <w:rtl/>
        </w:rPr>
        <w:t>".</w:t>
      </w:r>
      <w:r>
        <w:rPr>
          <w:rFonts w:hint="cs"/>
          <w:sz w:val="20"/>
          <w:szCs w:val="20"/>
          <w:rtl/>
        </w:rPr>
        <w:br/>
      </w:r>
      <w:r>
        <w:rPr>
          <w:sz w:val="20"/>
          <w:szCs w:val="20"/>
          <w:rtl/>
        </w:rPr>
        <w:br/>
      </w:r>
      <w:r>
        <w:rPr>
          <w:rFonts w:hint="cs"/>
          <w:sz w:val="20"/>
          <w:szCs w:val="20"/>
          <w:rtl/>
        </w:rPr>
        <w:t xml:space="preserve">ב. </w:t>
      </w:r>
      <w:r w:rsidRPr="003B35CD">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אין לאשה לבדוק את עצמה תחת בעלה הראשון.</w:t>
      </w:r>
      <w:r>
        <w:rPr>
          <w:sz w:val="20"/>
          <w:szCs w:val="20"/>
          <w:rtl/>
        </w:rPr>
        <w:br/>
      </w:r>
      <w:r w:rsidRPr="003B35CD">
        <w:rPr>
          <w:rFonts w:hint="cs"/>
          <w:b/>
          <w:bCs/>
          <w:sz w:val="20"/>
          <w:szCs w:val="20"/>
          <w:rtl/>
        </w:rPr>
        <w:t xml:space="preserve">טעם </w:t>
      </w:r>
      <w:r>
        <w:rPr>
          <w:sz w:val="20"/>
          <w:szCs w:val="20"/>
          <w:rtl/>
        </w:rPr>
        <w:t>–</w:t>
      </w:r>
      <w:r>
        <w:rPr>
          <w:rFonts w:hint="cs"/>
          <w:sz w:val="20"/>
          <w:szCs w:val="20"/>
          <w:rtl/>
        </w:rPr>
        <w:t xml:space="preserve"> </w:t>
      </w:r>
      <w:r>
        <w:rPr>
          <w:rFonts w:hint="cs"/>
          <w:sz w:val="20"/>
          <w:szCs w:val="20"/>
          <w:vertAlign w:val="superscript"/>
          <w:rtl/>
        </w:rPr>
        <w:t xml:space="preserve"> 1</w:t>
      </w:r>
      <w:r>
        <w:rPr>
          <w:rFonts w:hint="cs"/>
          <w:sz w:val="20"/>
          <w:szCs w:val="20"/>
          <w:rtl/>
        </w:rPr>
        <w:t>רש"י והרמב"ם מחמירים בכך</w:t>
      </w:r>
      <w:r>
        <w:rPr>
          <w:rStyle w:val="a5"/>
          <w:sz w:val="20"/>
          <w:szCs w:val="20"/>
          <w:rtl/>
        </w:rPr>
        <w:footnoteReference w:id="103"/>
      </w:r>
      <w:r>
        <w:rPr>
          <w:rFonts w:hint="cs"/>
          <w:sz w:val="20"/>
          <w:szCs w:val="20"/>
          <w:rtl/>
        </w:rPr>
        <w:t xml:space="preserve">. </w:t>
      </w:r>
      <w:r>
        <w:rPr>
          <w:sz w:val="20"/>
          <w:szCs w:val="20"/>
          <w:rtl/>
        </w:rPr>
        <w:br/>
      </w:r>
      <w:r>
        <w:rPr>
          <w:rFonts w:hint="cs"/>
          <w:sz w:val="20"/>
          <w:szCs w:val="20"/>
          <w:vertAlign w:val="superscript"/>
          <w:rtl/>
        </w:rPr>
        <w:t>2</w:t>
      </w:r>
      <w:r>
        <w:rPr>
          <w:rFonts w:hint="cs"/>
          <w:sz w:val="20"/>
          <w:szCs w:val="20"/>
          <w:rtl/>
        </w:rPr>
        <w:t xml:space="preserve"> ועוד יש להתחשב בדעת הראב"ד והרמב"ן שכיום אין לסמוך כלל על בדיקה.</w:t>
      </w:r>
      <w:r>
        <w:rPr>
          <w:sz w:val="20"/>
          <w:szCs w:val="20"/>
          <w:rtl/>
        </w:rPr>
        <w:br/>
      </w:r>
      <w:r>
        <w:rPr>
          <w:rFonts w:hint="cs"/>
          <w:sz w:val="20"/>
          <w:szCs w:val="20"/>
          <w:vertAlign w:val="superscript"/>
          <w:rtl/>
        </w:rPr>
        <w:t>3</w:t>
      </w:r>
      <w:r>
        <w:rPr>
          <w:rFonts w:hint="cs"/>
          <w:sz w:val="20"/>
          <w:szCs w:val="20"/>
          <w:rtl/>
        </w:rPr>
        <w:t xml:space="preserve"> וכן משום שאם יימצא דם על המוך תהיה אסורה לכל העולם ונמצא שהבדיקה תקלקל אותה. </w:t>
      </w:r>
      <w:r>
        <w:rPr>
          <w:sz w:val="20"/>
          <w:szCs w:val="20"/>
          <w:rtl/>
        </w:rPr>
        <w:br/>
      </w:r>
      <w:r>
        <w:rPr>
          <w:rFonts w:hint="cs"/>
          <w:sz w:val="20"/>
          <w:szCs w:val="20"/>
          <w:vertAlign w:val="superscript"/>
          <w:rtl/>
        </w:rPr>
        <w:t>4</w:t>
      </w:r>
      <w:r>
        <w:rPr>
          <w:rFonts w:hint="cs"/>
          <w:sz w:val="20"/>
          <w:szCs w:val="20"/>
          <w:rtl/>
        </w:rPr>
        <w:t xml:space="preserve"> גם </w:t>
      </w:r>
      <w:r w:rsidRPr="0083079D">
        <w:rPr>
          <w:rFonts w:hint="cs"/>
          <w:b/>
          <w:bCs/>
          <w:sz w:val="20"/>
          <w:szCs w:val="20"/>
          <w:rtl/>
        </w:rPr>
        <w:t>הרשב"א ורבינו ירוחם</w:t>
      </w:r>
      <w:r>
        <w:rPr>
          <w:rFonts w:hint="cs"/>
          <w:sz w:val="20"/>
          <w:szCs w:val="20"/>
          <w:rtl/>
        </w:rPr>
        <w:t xml:space="preserve"> כתבו שטוב להחמיר, לכן אין להקל.</w:t>
      </w:r>
      <w:r>
        <w:rPr>
          <w:rFonts w:hint="cs"/>
          <w:sz w:val="20"/>
          <w:szCs w:val="20"/>
          <w:rtl/>
        </w:rPr>
        <w:br/>
      </w:r>
      <w:r>
        <w:rPr>
          <w:sz w:val="20"/>
          <w:szCs w:val="20"/>
          <w:rtl/>
        </w:rPr>
        <w:br/>
      </w:r>
      <w:r>
        <w:rPr>
          <w:rFonts w:hint="cs"/>
          <w:sz w:val="20"/>
          <w:szCs w:val="20"/>
          <w:rtl/>
        </w:rPr>
        <w:t xml:space="preserve">הכרעת האחרונים </w:t>
      </w:r>
      <w:r>
        <w:rPr>
          <w:sz w:val="20"/>
          <w:szCs w:val="20"/>
          <w:rtl/>
        </w:rPr>
        <w:t>–</w:t>
      </w:r>
      <w:r>
        <w:rPr>
          <w:rFonts w:hint="cs"/>
          <w:sz w:val="20"/>
          <w:szCs w:val="20"/>
          <w:rtl/>
        </w:rPr>
        <w:t xml:space="preserve"> </w:t>
      </w:r>
      <w:r w:rsidRPr="00206D03">
        <w:rPr>
          <w:rFonts w:hint="cs"/>
          <w:b/>
          <w:bCs/>
          <w:sz w:val="20"/>
          <w:szCs w:val="20"/>
          <w:rtl/>
        </w:rPr>
        <w:t>הפת"ש</w:t>
      </w:r>
      <w:r>
        <w:rPr>
          <w:rFonts w:hint="cs"/>
          <w:sz w:val="20"/>
          <w:szCs w:val="20"/>
          <w:rtl/>
        </w:rPr>
        <w:t xml:space="preserve"> כתב בשם כמה אחרונים שיש להקל, וכ"פ </w:t>
      </w:r>
      <w:r w:rsidRPr="00206D03">
        <w:rPr>
          <w:rFonts w:hint="cs"/>
          <w:b/>
          <w:bCs/>
          <w:sz w:val="20"/>
          <w:szCs w:val="20"/>
          <w:rtl/>
        </w:rPr>
        <w:t>ששבה"ל</w:t>
      </w:r>
      <w:r>
        <w:rPr>
          <w:rFonts w:hint="cs"/>
          <w:sz w:val="20"/>
          <w:szCs w:val="20"/>
          <w:rtl/>
        </w:rPr>
        <w:t>.</w:t>
      </w:r>
    </w:p>
    <w:p w:rsidR="00620060" w:rsidRDefault="00620060" w:rsidP="00620060">
      <w:pPr>
        <w:rPr>
          <w:sz w:val="20"/>
          <w:szCs w:val="20"/>
          <w:u w:val="single"/>
          <w:rtl/>
        </w:rPr>
      </w:pPr>
      <w:r>
        <w:rPr>
          <w:rFonts w:hint="cs"/>
          <w:sz w:val="20"/>
          <w:szCs w:val="20"/>
          <w:u w:val="single"/>
          <w:rtl/>
        </w:rPr>
        <w:t>בדקה תחת בעלה הראשון ולא מצאה דם (פת"ש ובדה"ש)</w:t>
      </w:r>
      <w:r>
        <w:rPr>
          <w:rFonts w:hint="cs"/>
          <w:sz w:val="20"/>
          <w:szCs w:val="20"/>
          <w:u w:val="single"/>
          <w:rtl/>
        </w:rPr>
        <w:br/>
      </w:r>
      <w:r>
        <w:rPr>
          <w:rFonts w:hint="cs"/>
          <w:sz w:val="20"/>
          <w:szCs w:val="20"/>
          <w:rtl/>
        </w:rPr>
        <w:t xml:space="preserve">א. </w:t>
      </w:r>
      <w:r w:rsidRPr="002E7AB4">
        <w:rPr>
          <w:rFonts w:hint="cs"/>
          <w:b/>
          <w:bCs/>
          <w:sz w:val="20"/>
          <w:szCs w:val="20"/>
          <w:rtl/>
        </w:rPr>
        <w:t>נודע ביהודה</w:t>
      </w:r>
      <w:r w:rsidRPr="002E7AB4">
        <w:rPr>
          <w:rFonts w:hint="cs"/>
          <w:sz w:val="20"/>
          <w:szCs w:val="20"/>
          <w:rtl/>
        </w:rPr>
        <w:t xml:space="preserve"> </w:t>
      </w:r>
      <w:r w:rsidRPr="002E7AB4">
        <w:rPr>
          <w:sz w:val="20"/>
          <w:szCs w:val="20"/>
          <w:rtl/>
        </w:rPr>
        <w:t>–</w:t>
      </w:r>
      <w:r w:rsidRPr="002E7AB4">
        <w:rPr>
          <w:rFonts w:hint="cs"/>
          <w:sz w:val="20"/>
          <w:szCs w:val="20"/>
          <w:rtl/>
        </w:rPr>
        <w:t xml:space="preserve"> גם המקלים לבדוק תחת בעלה הראשון, היינו רק אם בדקה ומצאה דם בצדדים, אך אם בדקה ולא מצאה כלל אסורה.</w:t>
      </w:r>
      <w:r w:rsidRPr="0083079D">
        <w:rPr>
          <w:rStyle w:val="a5"/>
          <w:sz w:val="20"/>
          <w:szCs w:val="20"/>
          <w:rtl/>
        </w:rPr>
        <w:footnoteReference w:id="104"/>
      </w:r>
      <w:r>
        <w:rPr>
          <w:sz w:val="20"/>
          <w:szCs w:val="20"/>
          <w:u w:val="single"/>
          <w:rtl/>
        </w:rPr>
        <w:br/>
      </w:r>
      <w:r w:rsidRPr="001C4E44">
        <w:rPr>
          <w:rFonts w:hint="cs"/>
          <w:sz w:val="20"/>
          <w:szCs w:val="20"/>
          <w:rtl/>
        </w:rPr>
        <w:t xml:space="preserve">ב. </w:t>
      </w:r>
      <w:r w:rsidRPr="001C4E44">
        <w:rPr>
          <w:rFonts w:hint="cs"/>
          <w:b/>
          <w:bCs/>
          <w:sz w:val="20"/>
          <w:szCs w:val="20"/>
          <w:rtl/>
        </w:rPr>
        <w:t>בדי השולחן</w:t>
      </w:r>
      <w:r w:rsidRPr="001C4E44">
        <w:rPr>
          <w:rFonts w:hint="cs"/>
          <w:sz w:val="20"/>
          <w:szCs w:val="20"/>
          <w:rtl/>
        </w:rPr>
        <w:t xml:space="preserve"> </w:t>
      </w:r>
      <w:r w:rsidRPr="001C4E44">
        <w:rPr>
          <w:sz w:val="20"/>
          <w:szCs w:val="20"/>
          <w:rtl/>
        </w:rPr>
        <w:t>–</w:t>
      </w:r>
      <w:r w:rsidRPr="001C4E44">
        <w:rPr>
          <w:rFonts w:hint="cs"/>
          <w:sz w:val="20"/>
          <w:szCs w:val="20"/>
          <w:rtl/>
        </w:rPr>
        <w:t xml:space="preserve"> אין חילוק בין הבדיקות, וכפי שבבדיקות האחרות מותרת גם כשלא מצאה דם, הוא הדין בבדיקה זו מותרת אפילו אם לא מצאה דם.</w:t>
      </w:r>
    </w:p>
    <w:p w:rsidR="00620060" w:rsidRDefault="00620060" w:rsidP="00620060">
      <w:pPr>
        <w:rPr>
          <w:sz w:val="20"/>
          <w:szCs w:val="20"/>
          <w:rtl/>
        </w:rPr>
      </w:pPr>
      <w:r w:rsidRPr="00413481">
        <w:rPr>
          <w:rFonts w:hint="cs"/>
          <w:sz w:val="20"/>
          <w:szCs w:val="20"/>
          <w:u w:val="single"/>
          <w:rtl/>
        </w:rPr>
        <w:t>בדקה תחת בעלה הראשון ומצאה דם בראש המוך (</w:t>
      </w:r>
      <w:r>
        <w:rPr>
          <w:rFonts w:hint="cs"/>
          <w:sz w:val="20"/>
          <w:szCs w:val="20"/>
          <w:u w:val="single"/>
          <w:rtl/>
        </w:rPr>
        <w:t>בית יוסף, ש"ך ו</w:t>
      </w:r>
      <w:r w:rsidRPr="00413481">
        <w:rPr>
          <w:rFonts w:hint="cs"/>
          <w:sz w:val="20"/>
          <w:szCs w:val="20"/>
          <w:u w:val="single"/>
          <w:rtl/>
        </w:rPr>
        <w:t>פת"ש)</w:t>
      </w:r>
      <w:r>
        <w:rPr>
          <w:rFonts w:hint="cs"/>
          <w:sz w:val="20"/>
          <w:szCs w:val="20"/>
          <w:u w:val="single"/>
          <w:rtl/>
        </w:rPr>
        <w:br/>
      </w:r>
      <w:r w:rsidRPr="003A33DB">
        <w:rPr>
          <w:rFonts w:hint="cs"/>
          <w:b/>
          <w:bCs/>
          <w:sz w:val="20"/>
          <w:szCs w:val="20"/>
          <w:rtl/>
        </w:rPr>
        <w:t>סמ"ג</w:t>
      </w:r>
      <w:r w:rsidRPr="008A05A1">
        <w:rPr>
          <w:rFonts w:hint="cs"/>
          <w:sz w:val="20"/>
          <w:szCs w:val="20"/>
          <w:rtl/>
        </w:rPr>
        <w:t xml:space="preserve"> </w:t>
      </w:r>
      <w:r>
        <w:rPr>
          <w:rFonts w:hint="cs"/>
          <w:sz w:val="20"/>
          <w:szCs w:val="20"/>
          <w:rtl/>
        </w:rPr>
        <w:t xml:space="preserve">- </w:t>
      </w:r>
      <w:r w:rsidRPr="008A05A1">
        <w:rPr>
          <w:rFonts w:hint="cs"/>
          <w:sz w:val="20"/>
          <w:szCs w:val="20"/>
          <w:rtl/>
        </w:rPr>
        <w:t xml:space="preserve">טעם ההיתר להינשא לאחר למרות שראתה תחת הראשון הוא מחמת ספק ספקא, ספק הדם מקור ספק הוא דם צדדים, ואף את"ל דם מקור שמא באצבע של בעל אחר לא תראה. </w:t>
      </w:r>
      <w:r w:rsidRPr="008A05A1">
        <w:rPr>
          <w:sz w:val="20"/>
          <w:szCs w:val="20"/>
          <w:rtl/>
        </w:rPr>
        <w:br/>
      </w:r>
      <w:r>
        <w:rPr>
          <w:rFonts w:hint="cs"/>
          <w:sz w:val="20"/>
          <w:szCs w:val="20"/>
          <w:rtl/>
        </w:rPr>
        <w:t xml:space="preserve">אמנם, אם ראתה דם בבדיקה תחת בעלה הראשון </w:t>
      </w:r>
      <w:r>
        <w:rPr>
          <w:sz w:val="20"/>
          <w:szCs w:val="20"/>
          <w:rtl/>
        </w:rPr>
        <w:t>–</w:t>
      </w:r>
      <w:r>
        <w:rPr>
          <w:rFonts w:hint="cs"/>
          <w:sz w:val="20"/>
          <w:szCs w:val="20"/>
          <w:rtl/>
        </w:rPr>
        <w:t xml:space="preserve"> אסורה לכל העולם, שהרי אין בה ספק ספקא, ברור שהדם הוא דם מקור ויש בה רק ספק אחד, וכ"פ </w:t>
      </w:r>
      <w:r w:rsidRPr="003A33DB">
        <w:rPr>
          <w:rFonts w:hint="cs"/>
          <w:b/>
          <w:bCs/>
          <w:sz w:val="20"/>
          <w:szCs w:val="20"/>
          <w:rtl/>
        </w:rPr>
        <w:t>הש"ך</w:t>
      </w:r>
      <w:r>
        <w:rPr>
          <w:rFonts w:hint="cs"/>
          <w:sz w:val="20"/>
          <w:szCs w:val="20"/>
          <w:rtl/>
        </w:rPr>
        <w:t>, ועיין הערה.</w:t>
      </w:r>
      <w:r w:rsidRPr="003A33DB">
        <w:rPr>
          <w:rStyle w:val="a5"/>
          <w:sz w:val="20"/>
          <w:szCs w:val="20"/>
          <w:rtl/>
        </w:rPr>
        <w:footnoteReference w:id="105"/>
      </w:r>
      <w:r w:rsidRPr="003A33DB">
        <w:rPr>
          <w:sz w:val="20"/>
          <w:szCs w:val="20"/>
          <w:rtl/>
        </w:rPr>
        <w:t xml:space="preserve"> </w:t>
      </w:r>
      <w:r>
        <w:rPr>
          <w:rFonts w:hint="cs"/>
          <w:sz w:val="20"/>
          <w:szCs w:val="20"/>
          <w:u w:val="single"/>
          <w:rtl/>
        </w:rPr>
        <w:br/>
      </w:r>
      <w:r w:rsidRPr="00EA31AE">
        <w:rPr>
          <w:rFonts w:hint="cs"/>
          <w:sz w:val="20"/>
          <w:szCs w:val="20"/>
          <w:rtl/>
        </w:rPr>
        <w:t xml:space="preserve">אמנם, </w:t>
      </w:r>
      <w:r w:rsidRPr="00EA31AE">
        <w:rPr>
          <w:rFonts w:hint="cs"/>
          <w:b/>
          <w:bCs/>
          <w:sz w:val="20"/>
          <w:szCs w:val="20"/>
          <w:rtl/>
        </w:rPr>
        <w:t>החוו"ד</w:t>
      </w:r>
      <w:r w:rsidRPr="00EA31AE">
        <w:rPr>
          <w:rFonts w:hint="cs"/>
          <w:sz w:val="20"/>
          <w:szCs w:val="20"/>
          <w:rtl/>
        </w:rPr>
        <w:t xml:space="preserve"> כתב שאם בדקה לאחר מכן ולא מצאה דם, מותרת לבעל שני ואסורה לבעל ראשון.</w:t>
      </w:r>
      <w:r>
        <w:rPr>
          <w:sz w:val="20"/>
          <w:szCs w:val="20"/>
          <w:u w:val="single"/>
          <w:rtl/>
        </w:rPr>
        <w:br/>
      </w:r>
      <w:r>
        <w:rPr>
          <w:sz w:val="20"/>
          <w:szCs w:val="20"/>
          <w:rtl/>
        </w:rPr>
        <w:lastRenderedPageBreak/>
        <w:br/>
      </w:r>
      <w:r w:rsidRPr="00C63D3C">
        <w:rPr>
          <w:rFonts w:hint="cs"/>
          <w:b/>
          <w:bCs/>
          <w:sz w:val="20"/>
          <w:szCs w:val="20"/>
          <w:rtl/>
        </w:rPr>
        <w:t>סיכום</w:t>
      </w:r>
      <w:r>
        <w:rPr>
          <w:sz w:val="20"/>
          <w:szCs w:val="20"/>
          <w:rtl/>
        </w:rPr>
        <w:br/>
      </w:r>
      <w:r>
        <w:rPr>
          <w:rFonts w:hint="cs"/>
          <w:sz w:val="20"/>
          <w:szCs w:val="20"/>
          <w:rtl/>
        </w:rPr>
        <w:t xml:space="preserve">1. </w:t>
      </w:r>
      <w:r w:rsidRPr="00C63D3C">
        <w:rPr>
          <w:rFonts w:hint="cs"/>
          <w:b/>
          <w:bCs/>
          <w:sz w:val="20"/>
          <w:szCs w:val="20"/>
          <w:rtl/>
        </w:rPr>
        <w:t>גמרא</w:t>
      </w:r>
      <w:r>
        <w:rPr>
          <w:rFonts w:hint="cs"/>
          <w:sz w:val="20"/>
          <w:szCs w:val="20"/>
          <w:rtl/>
        </w:rPr>
        <w:t>. אינה בודקת תחת בעל הראשון לפי שאין כל האצבעות שוות, ואינה בודקת בביאה ראשונה של בעל שלישי לפי שאין כל הכוחות שווים.</w:t>
      </w:r>
      <w:r>
        <w:rPr>
          <w:sz w:val="20"/>
          <w:szCs w:val="20"/>
          <w:rtl/>
        </w:rPr>
        <w:br/>
      </w:r>
      <w:r>
        <w:rPr>
          <w:rFonts w:hint="cs"/>
          <w:sz w:val="20"/>
          <w:szCs w:val="20"/>
          <w:rtl/>
        </w:rPr>
        <w:t xml:space="preserve">2. </w:t>
      </w:r>
      <w:r w:rsidRPr="00C63D3C">
        <w:rPr>
          <w:rFonts w:hint="cs"/>
          <w:b/>
          <w:bCs/>
          <w:sz w:val="20"/>
          <w:szCs w:val="20"/>
          <w:rtl/>
        </w:rPr>
        <w:t>רש"י</w:t>
      </w:r>
      <w:r>
        <w:rPr>
          <w:rFonts w:hint="cs"/>
          <w:sz w:val="20"/>
          <w:szCs w:val="20"/>
          <w:rtl/>
        </w:rPr>
        <w:t xml:space="preserve">. בדיקה נעשית רק תחת בעל שלישי. </w:t>
      </w:r>
      <w:r w:rsidRPr="00967968">
        <w:rPr>
          <w:rFonts w:hint="cs"/>
          <w:b/>
          <w:bCs/>
          <w:sz w:val="20"/>
          <w:szCs w:val="20"/>
          <w:rtl/>
        </w:rPr>
        <w:t>טעם</w:t>
      </w:r>
      <w:r>
        <w:rPr>
          <w:rFonts w:hint="cs"/>
          <w:sz w:val="20"/>
          <w:szCs w:val="20"/>
          <w:rtl/>
        </w:rPr>
        <w:t xml:space="preserve">. חשש משגגת כרת שמא הבדיקה אינה טובה. </w:t>
      </w:r>
      <w:r>
        <w:rPr>
          <w:sz w:val="20"/>
          <w:szCs w:val="20"/>
          <w:rtl/>
        </w:rPr>
        <w:br/>
      </w:r>
      <w:r w:rsidRPr="00C63D3C">
        <w:rPr>
          <w:rFonts w:hint="cs"/>
          <w:b/>
          <w:bCs/>
          <w:sz w:val="20"/>
          <w:szCs w:val="20"/>
          <w:rtl/>
        </w:rPr>
        <w:t>רמב"ם</w:t>
      </w:r>
      <w:r>
        <w:rPr>
          <w:rFonts w:hint="cs"/>
          <w:sz w:val="20"/>
          <w:szCs w:val="20"/>
          <w:rtl/>
        </w:rPr>
        <w:t xml:space="preserve">. אין לאשה להיבדק בהיותה נשואה, תתגרש ואח"כ תבדוק. </w:t>
      </w:r>
      <w:r w:rsidRPr="00C63D3C">
        <w:rPr>
          <w:rFonts w:hint="cs"/>
          <w:b/>
          <w:bCs/>
          <w:sz w:val="20"/>
          <w:szCs w:val="20"/>
          <w:rtl/>
        </w:rPr>
        <w:t>טעם</w:t>
      </w:r>
      <w:r>
        <w:rPr>
          <w:rFonts w:hint="cs"/>
          <w:sz w:val="20"/>
          <w:szCs w:val="20"/>
          <w:rtl/>
        </w:rPr>
        <w:t xml:space="preserve">. מוחזקת לראות אצל בעל זה, וכן חשש שמא יבוא עליה לפני בדיקה. </w:t>
      </w:r>
      <w:r w:rsidRPr="00C63D3C">
        <w:rPr>
          <w:rFonts w:hint="cs"/>
          <w:b/>
          <w:bCs/>
          <w:sz w:val="20"/>
          <w:szCs w:val="20"/>
          <w:rtl/>
        </w:rPr>
        <w:t>תוספות</w:t>
      </w:r>
      <w:r>
        <w:rPr>
          <w:rFonts w:hint="cs"/>
          <w:sz w:val="20"/>
          <w:szCs w:val="20"/>
          <w:rtl/>
        </w:rPr>
        <w:t xml:space="preserve"> ורוב הראשונים. מותר להיבדק תמיד, וכ"פ </w:t>
      </w:r>
      <w:r w:rsidRPr="00C63D3C">
        <w:rPr>
          <w:rFonts w:hint="cs"/>
          <w:b/>
          <w:bCs/>
          <w:sz w:val="20"/>
          <w:szCs w:val="20"/>
          <w:rtl/>
        </w:rPr>
        <w:t>המחבר והרמ"א</w:t>
      </w:r>
      <w:r>
        <w:rPr>
          <w:rFonts w:hint="cs"/>
          <w:sz w:val="20"/>
          <w:szCs w:val="20"/>
          <w:rtl/>
        </w:rPr>
        <w:t xml:space="preserve">. </w:t>
      </w:r>
      <w:r>
        <w:rPr>
          <w:rFonts w:hint="cs"/>
          <w:sz w:val="20"/>
          <w:szCs w:val="20"/>
          <w:rtl/>
        </w:rPr>
        <w:br/>
        <w:t xml:space="preserve">3. </w:t>
      </w:r>
      <w:r w:rsidRPr="00C63D3C">
        <w:rPr>
          <w:rFonts w:hint="cs"/>
          <w:b/>
          <w:bCs/>
          <w:sz w:val="20"/>
          <w:szCs w:val="20"/>
          <w:rtl/>
        </w:rPr>
        <w:t>ריצב"א</w:t>
      </w:r>
      <w:r>
        <w:rPr>
          <w:rFonts w:hint="cs"/>
          <w:sz w:val="20"/>
          <w:szCs w:val="20"/>
          <w:rtl/>
        </w:rPr>
        <w:t>. אפילו בעל נפש יכול לסמוך על הבדיקה אפילו כשהיא תחת בעלה הראשון.</w:t>
      </w:r>
      <w:r>
        <w:rPr>
          <w:rFonts w:hint="cs"/>
          <w:sz w:val="20"/>
          <w:szCs w:val="20"/>
          <w:rtl/>
        </w:rPr>
        <w:br/>
        <w:t xml:space="preserve">4. </w:t>
      </w:r>
      <w:r w:rsidRPr="00C63D3C">
        <w:rPr>
          <w:rFonts w:hint="cs"/>
          <w:b/>
          <w:bCs/>
          <w:sz w:val="20"/>
          <w:szCs w:val="20"/>
          <w:rtl/>
        </w:rPr>
        <w:t>ריצב"א</w:t>
      </w:r>
      <w:r>
        <w:rPr>
          <w:rFonts w:hint="cs"/>
          <w:sz w:val="20"/>
          <w:szCs w:val="20"/>
          <w:rtl/>
        </w:rPr>
        <w:t>. אם מצטערת מחמת תשמיש, יש לה לסמוך על הבדיקה אפילו לשיטת רש"י.</w:t>
      </w:r>
      <w:r>
        <w:rPr>
          <w:rFonts w:hint="cs"/>
          <w:sz w:val="20"/>
          <w:szCs w:val="20"/>
          <w:rtl/>
        </w:rPr>
        <w:br/>
        <w:t xml:space="preserve">5. </w:t>
      </w:r>
      <w:r w:rsidRPr="00C63D3C">
        <w:rPr>
          <w:rFonts w:hint="cs"/>
          <w:b/>
          <w:bCs/>
          <w:sz w:val="20"/>
          <w:szCs w:val="20"/>
          <w:rtl/>
        </w:rPr>
        <w:t>מחבר</w:t>
      </w:r>
      <w:r>
        <w:rPr>
          <w:rFonts w:hint="cs"/>
          <w:sz w:val="20"/>
          <w:szCs w:val="20"/>
          <w:rtl/>
        </w:rPr>
        <w:t xml:space="preserve">. מותר להיבדק תחת בעלה הראשון. יש אוסרים. </w:t>
      </w:r>
      <w:r w:rsidRPr="000D201E">
        <w:rPr>
          <w:rFonts w:hint="cs"/>
          <w:b/>
          <w:bCs/>
          <w:sz w:val="20"/>
          <w:szCs w:val="20"/>
          <w:rtl/>
        </w:rPr>
        <w:t>רמ"א</w:t>
      </w:r>
      <w:r>
        <w:rPr>
          <w:rFonts w:hint="cs"/>
          <w:sz w:val="20"/>
          <w:szCs w:val="20"/>
          <w:rtl/>
        </w:rPr>
        <w:t>. אם מרגישה כאב בתשמיש לכו"ע יש להקל.</w:t>
      </w:r>
      <w:r>
        <w:rPr>
          <w:sz w:val="20"/>
          <w:szCs w:val="20"/>
          <w:rtl/>
        </w:rPr>
        <w:br/>
      </w:r>
      <w:r>
        <w:rPr>
          <w:rFonts w:hint="cs"/>
          <w:sz w:val="20"/>
          <w:szCs w:val="20"/>
          <w:rtl/>
        </w:rPr>
        <w:t xml:space="preserve">6. </w:t>
      </w:r>
      <w:r w:rsidRPr="00C63D3C">
        <w:rPr>
          <w:rFonts w:hint="cs"/>
          <w:b/>
          <w:bCs/>
          <w:sz w:val="20"/>
          <w:szCs w:val="20"/>
          <w:rtl/>
        </w:rPr>
        <w:t>ש"ך</w:t>
      </w:r>
      <w:r>
        <w:rPr>
          <w:rFonts w:hint="cs"/>
          <w:sz w:val="20"/>
          <w:szCs w:val="20"/>
          <w:rtl/>
        </w:rPr>
        <w:t>. אין להיבדק תחת בעלה הראשון, לחוש לרש"י ורמב"ם, וכן לראב"ד ורמב"ן שבדיקה לא מהני היום.</w:t>
      </w:r>
      <w:r>
        <w:rPr>
          <w:rFonts w:hint="cs"/>
          <w:sz w:val="20"/>
          <w:szCs w:val="20"/>
          <w:rtl/>
        </w:rPr>
        <w:br/>
        <w:t xml:space="preserve">7. </w:t>
      </w:r>
      <w:r w:rsidRPr="00C63D3C">
        <w:rPr>
          <w:rFonts w:hint="cs"/>
          <w:b/>
          <w:bCs/>
          <w:sz w:val="20"/>
          <w:szCs w:val="20"/>
          <w:rtl/>
        </w:rPr>
        <w:t>נוב"י</w:t>
      </w:r>
      <w:r>
        <w:rPr>
          <w:rFonts w:hint="cs"/>
          <w:sz w:val="20"/>
          <w:szCs w:val="20"/>
          <w:rtl/>
        </w:rPr>
        <w:t xml:space="preserve">. בדיקה תחת בעל ראשון מועילה רק אם מצאה דם בצדדים. </w:t>
      </w:r>
      <w:r w:rsidRPr="00967968">
        <w:rPr>
          <w:rFonts w:hint="cs"/>
          <w:b/>
          <w:bCs/>
          <w:sz w:val="20"/>
          <w:szCs w:val="20"/>
          <w:rtl/>
        </w:rPr>
        <w:t>בדה"ש</w:t>
      </w:r>
      <w:r>
        <w:rPr>
          <w:rFonts w:hint="cs"/>
          <w:sz w:val="20"/>
          <w:szCs w:val="20"/>
          <w:rtl/>
        </w:rPr>
        <w:t>. מהני בכל אופן.</w:t>
      </w:r>
      <w:r>
        <w:rPr>
          <w:rFonts w:hint="cs"/>
          <w:sz w:val="20"/>
          <w:szCs w:val="20"/>
          <w:rtl/>
        </w:rPr>
        <w:br/>
        <w:t xml:space="preserve">8. </w:t>
      </w:r>
      <w:r w:rsidRPr="00C63D3C">
        <w:rPr>
          <w:rFonts w:hint="cs"/>
          <w:b/>
          <w:bCs/>
          <w:sz w:val="20"/>
          <w:szCs w:val="20"/>
          <w:rtl/>
        </w:rPr>
        <w:t>סמ"ג</w:t>
      </w:r>
      <w:r>
        <w:rPr>
          <w:rFonts w:hint="cs"/>
          <w:sz w:val="20"/>
          <w:szCs w:val="20"/>
          <w:rtl/>
        </w:rPr>
        <w:t xml:space="preserve">. טעם ההיתר להינשא לאחר הוא משום ספק ספקא </w:t>
      </w:r>
      <w:r>
        <w:rPr>
          <w:sz w:val="20"/>
          <w:szCs w:val="20"/>
          <w:rtl/>
        </w:rPr>
        <w:t>–</w:t>
      </w:r>
      <w:r>
        <w:rPr>
          <w:rFonts w:hint="cs"/>
          <w:sz w:val="20"/>
          <w:szCs w:val="20"/>
          <w:rtl/>
        </w:rPr>
        <w:t xml:space="preserve"> שמא דם צדדים ושמא באצבע אחרת לא תראה דם. לכן, אם בדקה תחת הראשון ומצאה דם מקור </w:t>
      </w:r>
      <w:r>
        <w:rPr>
          <w:sz w:val="20"/>
          <w:szCs w:val="20"/>
          <w:rtl/>
        </w:rPr>
        <w:t>–</w:t>
      </w:r>
      <w:r>
        <w:rPr>
          <w:rFonts w:hint="cs"/>
          <w:sz w:val="20"/>
          <w:szCs w:val="20"/>
          <w:rtl/>
        </w:rPr>
        <w:t xml:space="preserve"> אסורה לכל העולם. </w:t>
      </w:r>
      <w:r w:rsidRPr="00C63D3C">
        <w:rPr>
          <w:rFonts w:hint="cs"/>
          <w:b/>
          <w:bCs/>
          <w:sz w:val="20"/>
          <w:szCs w:val="20"/>
          <w:rtl/>
        </w:rPr>
        <w:t>חוו"ד</w:t>
      </w:r>
      <w:r>
        <w:rPr>
          <w:rFonts w:hint="cs"/>
          <w:sz w:val="20"/>
          <w:szCs w:val="20"/>
          <w:rtl/>
        </w:rPr>
        <w:t>. אם אחר כך בדקה ולא מצאה דם, מותרת לשני ואסורה לראשון.</w:t>
      </w:r>
    </w:p>
    <w:p w:rsidR="00620060" w:rsidRDefault="00620060" w:rsidP="00620060">
      <w:pPr>
        <w:rPr>
          <w:sz w:val="20"/>
          <w:szCs w:val="20"/>
          <w:rtl/>
        </w:rPr>
      </w:pPr>
      <w:r>
        <w:rPr>
          <w:sz w:val="20"/>
          <w:szCs w:val="20"/>
          <w:rtl/>
        </w:rPr>
        <w:br/>
      </w:r>
      <w:r>
        <w:rPr>
          <w:rFonts w:hint="cs"/>
          <w:b/>
          <w:bCs/>
          <w:sz w:val="20"/>
          <w:szCs w:val="20"/>
          <w:rtl/>
        </w:rPr>
        <w:t xml:space="preserve">סעיף ד </w:t>
      </w:r>
      <w:r>
        <w:rPr>
          <w:b/>
          <w:bCs/>
          <w:sz w:val="20"/>
          <w:szCs w:val="20"/>
          <w:rtl/>
        </w:rPr>
        <w:t>–</w:t>
      </w:r>
      <w:r>
        <w:rPr>
          <w:rFonts w:hint="cs"/>
          <w:b/>
          <w:bCs/>
          <w:sz w:val="20"/>
          <w:szCs w:val="20"/>
          <w:rtl/>
        </w:rPr>
        <w:t xml:space="preserve"> תלייה בווסת</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גמרא </w:t>
      </w:r>
      <w:r>
        <w:rPr>
          <w:rFonts w:hint="cs"/>
          <w:sz w:val="20"/>
          <w:szCs w:val="20"/>
          <w:rtl/>
        </w:rPr>
        <w:t>(שם) "</w:t>
      </w:r>
      <w:r w:rsidRPr="000D2498">
        <w:rPr>
          <w:rFonts w:cs="Arial" w:hint="cs"/>
          <w:sz w:val="20"/>
          <w:szCs w:val="20"/>
          <w:rtl/>
        </w:rPr>
        <w:t>ואם</w:t>
      </w:r>
      <w:r w:rsidRPr="000D2498">
        <w:rPr>
          <w:rFonts w:cs="Arial"/>
          <w:sz w:val="20"/>
          <w:szCs w:val="20"/>
          <w:rtl/>
        </w:rPr>
        <w:t xml:space="preserve"> </w:t>
      </w:r>
      <w:r w:rsidRPr="000D2498">
        <w:rPr>
          <w:rFonts w:cs="Arial" w:hint="cs"/>
          <w:sz w:val="20"/>
          <w:szCs w:val="20"/>
          <w:rtl/>
        </w:rPr>
        <w:t>יש</w:t>
      </w:r>
      <w:r w:rsidRPr="000D2498">
        <w:rPr>
          <w:rFonts w:cs="Arial"/>
          <w:sz w:val="20"/>
          <w:szCs w:val="20"/>
          <w:rtl/>
        </w:rPr>
        <w:t xml:space="preserve"> </w:t>
      </w:r>
      <w:r w:rsidRPr="000D2498">
        <w:rPr>
          <w:rFonts w:cs="Arial" w:hint="cs"/>
          <w:sz w:val="20"/>
          <w:szCs w:val="20"/>
          <w:rtl/>
        </w:rPr>
        <w:t>לה</w:t>
      </w:r>
      <w:r w:rsidRPr="000D2498">
        <w:rPr>
          <w:rFonts w:cs="Arial"/>
          <w:sz w:val="20"/>
          <w:szCs w:val="20"/>
          <w:rtl/>
        </w:rPr>
        <w:t xml:space="preserve"> </w:t>
      </w:r>
      <w:r w:rsidRPr="000D2498">
        <w:rPr>
          <w:rFonts w:cs="Arial" w:hint="cs"/>
          <w:sz w:val="20"/>
          <w:szCs w:val="20"/>
          <w:rtl/>
        </w:rPr>
        <w:t>וסת</w:t>
      </w:r>
      <w:r w:rsidRPr="000D2498">
        <w:rPr>
          <w:rFonts w:cs="Arial"/>
          <w:sz w:val="20"/>
          <w:szCs w:val="20"/>
          <w:rtl/>
        </w:rPr>
        <w:t xml:space="preserve"> - </w:t>
      </w:r>
      <w:r w:rsidRPr="000D2498">
        <w:rPr>
          <w:rFonts w:cs="Arial" w:hint="cs"/>
          <w:sz w:val="20"/>
          <w:szCs w:val="20"/>
          <w:rtl/>
        </w:rPr>
        <w:t>תולה</w:t>
      </w:r>
      <w:r w:rsidRPr="000D2498">
        <w:rPr>
          <w:rFonts w:cs="Arial"/>
          <w:sz w:val="20"/>
          <w:szCs w:val="20"/>
          <w:rtl/>
        </w:rPr>
        <w:t xml:space="preserve"> </w:t>
      </w:r>
      <w:r w:rsidRPr="000D2498">
        <w:rPr>
          <w:rFonts w:cs="Arial" w:hint="cs"/>
          <w:sz w:val="20"/>
          <w:szCs w:val="20"/>
          <w:rtl/>
        </w:rPr>
        <w:t>ב</w:t>
      </w:r>
      <w:r>
        <w:rPr>
          <w:rFonts w:cs="Arial" w:hint="cs"/>
          <w:sz w:val="20"/>
          <w:szCs w:val="20"/>
          <w:rtl/>
        </w:rPr>
        <w:t>ו</w:t>
      </w:r>
      <w:r w:rsidRPr="000D2498">
        <w:rPr>
          <w:rFonts w:cs="Arial" w:hint="cs"/>
          <w:sz w:val="20"/>
          <w:szCs w:val="20"/>
          <w:rtl/>
        </w:rPr>
        <w:t>וסתה</w:t>
      </w:r>
      <w:r>
        <w:rPr>
          <w:rFonts w:cs="Arial" w:hint="cs"/>
          <w:sz w:val="20"/>
          <w:szCs w:val="20"/>
          <w:rtl/>
        </w:rPr>
        <w:t>".</w:t>
      </w:r>
    </w:p>
    <w:p w:rsidR="00620060" w:rsidRDefault="00620060" w:rsidP="00620060">
      <w:pPr>
        <w:rPr>
          <w:sz w:val="20"/>
          <w:szCs w:val="20"/>
          <w:rtl/>
        </w:rPr>
      </w:pPr>
      <w:r>
        <w:rPr>
          <w:rFonts w:hint="cs"/>
          <w:b/>
          <w:bCs/>
          <w:sz w:val="20"/>
          <w:szCs w:val="20"/>
          <w:rtl/>
        </w:rPr>
        <w:t>שיטות הראשונים</w:t>
      </w:r>
      <w:r>
        <w:rPr>
          <w:b/>
          <w:bCs/>
          <w:sz w:val="20"/>
          <w:szCs w:val="20"/>
          <w:rtl/>
        </w:rPr>
        <w:br/>
      </w:r>
      <w:r>
        <w:rPr>
          <w:rFonts w:hint="cs"/>
          <w:sz w:val="20"/>
          <w:szCs w:val="20"/>
          <w:rtl/>
        </w:rPr>
        <w:t xml:space="preserve">נחלקו הראשונים בביאור דברי הברייתא - </w:t>
      </w:r>
      <w:r>
        <w:rPr>
          <w:sz w:val="20"/>
          <w:szCs w:val="20"/>
          <w:rtl/>
        </w:rPr>
        <w:br/>
      </w:r>
      <w:r>
        <w:rPr>
          <w:rFonts w:hint="cs"/>
          <w:sz w:val="20"/>
          <w:szCs w:val="20"/>
          <w:rtl/>
        </w:rPr>
        <w:t xml:space="preserve">א. </w:t>
      </w:r>
      <w:r w:rsidRPr="0012240D">
        <w:rPr>
          <w:rFonts w:hint="cs"/>
          <w:b/>
          <w:bCs/>
          <w:sz w:val="20"/>
          <w:szCs w:val="20"/>
          <w:rtl/>
        </w:rPr>
        <w:t>רש"י</w:t>
      </w:r>
      <w:r>
        <w:rPr>
          <w:rFonts w:hint="cs"/>
          <w:sz w:val="20"/>
          <w:szCs w:val="20"/>
          <w:rtl/>
        </w:rPr>
        <w:t xml:space="preserve"> </w:t>
      </w:r>
      <w:r>
        <w:rPr>
          <w:sz w:val="20"/>
          <w:szCs w:val="20"/>
          <w:rtl/>
        </w:rPr>
        <w:t>–</w:t>
      </w:r>
      <w:r>
        <w:rPr>
          <w:rFonts w:hint="cs"/>
          <w:sz w:val="20"/>
          <w:szCs w:val="20"/>
          <w:rtl/>
        </w:rPr>
        <w:t xml:space="preserve"> אם יש לה ווסת לקלקול זה, כלומר שאינה רואה בכל תשמיש אך ראיותיה לעיתים קבועות, מותרת לשמש בזמנים שבהם אינה למודה להיות רמ"ת.</w:t>
      </w:r>
      <w:r>
        <w:rPr>
          <w:sz w:val="20"/>
          <w:szCs w:val="20"/>
          <w:rtl/>
        </w:rPr>
        <w:br/>
      </w:r>
      <w:r>
        <w:rPr>
          <w:rFonts w:hint="cs"/>
          <w:sz w:val="20"/>
          <w:szCs w:val="20"/>
          <w:rtl/>
        </w:rPr>
        <w:t xml:space="preserve">ב. </w:t>
      </w:r>
      <w:r w:rsidRPr="0012240D">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אם שימשה סמוך לווסת ורמ"ת, תולים לומר שראייתה באה לה מחמת הווסת, וכ"פ </w:t>
      </w:r>
      <w:r w:rsidRPr="00EB6C1A">
        <w:rPr>
          <w:rFonts w:hint="cs"/>
          <w:b/>
          <w:bCs/>
          <w:sz w:val="20"/>
          <w:szCs w:val="20"/>
          <w:rtl/>
        </w:rPr>
        <w:t>המחבר</w:t>
      </w:r>
      <w:r>
        <w:rPr>
          <w:rFonts w:hint="cs"/>
          <w:sz w:val="20"/>
          <w:szCs w:val="20"/>
          <w:rtl/>
        </w:rPr>
        <w:t xml:space="preserve"> כאן.</w:t>
      </w:r>
      <w:r>
        <w:rPr>
          <w:rFonts w:hint="cs"/>
          <w:sz w:val="20"/>
          <w:szCs w:val="20"/>
          <w:rtl/>
        </w:rPr>
        <w:br/>
        <w:t>הכרעת</w:t>
      </w:r>
      <w:r w:rsidRPr="000D2498">
        <w:rPr>
          <w:rFonts w:hint="cs"/>
          <w:b/>
          <w:bCs/>
          <w:sz w:val="20"/>
          <w:szCs w:val="20"/>
          <w:rtl/>
        </w:rPr>
        <w:t xml:space="preserve"> הבית יוסף </w:t>
      </w:r>
      <w:r>
        <w:rPr>
          <w:sz w:val="20"/>
          <w:szCs w:val="20"/>
          <w:rtl/>
        </w:rPr>
        <w:t>–</w:t>
      </w:r>
      <w:r>
        <w:rPr>
          <w:rFonts w:hint="cs"/>
          <w:sz w:val="20"/>
          <w:szCs w:val="20"/>
          <w:rtl/>
        </w:rPr>
        <w:t xml:space="preserve"> רש"י ורמב"ם לא נחלקו לדינא, ושני הפירושים האלו נכונים להלכה.</w:t>
      </w:r>
      <w:r>
        <w:rPr>
          <w:sz w:val="20"/>
          <w:szCs w:val="20"/>
          <w:rtl/>
        </w:rPr>
        <w:br/>
      </w:r>
      <w:r>
        <w:rPr>
          <w:rFonts w:hint="cs"/>
          <w:sz w:val="20"/>
          <w:szCs w:val="20"/>
          <w:rtl/>
        </w:rPr>
        <w:t xml:space="preserve">ג. </w:t>
      </w:r>
      <w:r>
        <w:rPr>
          <w:rFonts w:hint="cs"/>
          <w:b/>
          <w:bCs/>
          <w:sz w:val="20"/>
          <w:szCs w:val="20"/>
          <w:rtl/>
        </w:rPr>
        <w:t xml:space="preserve">מרדכי </w:t>
      </w:r>
      <w:r w:rsidRPr="00EB6C1A">
        <w:rPr>
          <w:rFonts w:hint="cs"/>
          <w:sz w:val="18"/>
          <w:szCs w:val="18"/>
          <w:rtl/>
        </w:rPr>
        <w:t>(להבנת</w:t>
      </w:r>
      <w:r w:rsidRPr="00EB6C1A">
        <w:rPr>
          <w:rFonts w:hint="cs"/>
          <w:b/>
          <w:bCs/>
          <w:sz w:val="18"/>
          <w:szCs w:val="18"/>
          <w:rtl/>
        </w:rPr>
        <w:t xml:space="preserve"> הבית יוסף</w:t>
      </w:r>
      <w:r w:rsidRPr="002B4390">
        <w:rPr>
          <w:rStyle w:val="a5"/>
          <w:sz w:val="18"/>
          <w:szCs w:val="18"/>
          <w:rtl/>
        </w:rPr>
        <w:footnoteReference w:id="106"/>
      </w:r>
      <w:r w:rsidRPr="00EB6C1A">
        <w:rPr>
          <w:rFonts w:hint="cs"/>
          <w:sz w:val="18"/>
          <w:szCs w:val="18"/>
          <w:rtl/>
        </w:rPr>
        <w:t xml:space="preserve">) </w:t>
      </w:r>
      <w:r>
        <w:rPr>
          <w:rFonts w:hint="cs"/>
          <w:sz w:val="20"/>
          <w:szCs w:val="20"/>
          <w:rtl/>
        </w:rPr>
        <w:t>- אשה שיש לה ווסת קבוע אינה נאסרת לעולם מחמת תשמיש, כיוון שיכולה לומר שדם זה טהור משום שעדיין לא הגיע הזמן שבו רגילה לראות את דם הווסת.</w:t>
      </w:r>
      <w:r>
        <w:rPr>
          <w:rFonts w:hint="cs"/>
          <w:sz w:val="20"/>
          <w:szCs w:val="20"/>
          <w:rtl/>
        </w:rPr>
        <w:br/>
        <w:t xml:space="preserve">ד. </w:t>
      </w:r>
      <w:r w:rsidRPr="00496D2C">
        <w:rPr>
          <w:rFonts w:hint="cs"/>
          <w:b/>
          <w:bCs/>
          <w:sz w:val="20"/>
          <w:szCs w:val="20"/>
          <w:rtl/>
        </w:rPr>
        <w:t>רז"ה</w:t>
      </w:r>
      <w:r>
        <w:rPr>
          <w:rFonts w:hint="cs"/>
          <w:sz w:val="20"/>
          <w:szCs w:val="20"/>
          <w:rtl/>
        </w:rPr>
        <w:t xml:space="preserve"> </w:t>
      </w:r>
      <w:r>
        <w:rPr>
          <w:sz w:val="20"/>
          <w:szCs w:val="20"/>
          <w:rtl/>
        </w:rPr>
        <w:t>–</w:t>
      </w:r>
      <w:r>
        <w:rPr>
          <w:rFonts w:hint="cs"/>
          <w:sz w:val="20"/>
          <w:szCs w:val="20"/>
          <w:rtl/>
        </w:rPr>
        <w:t xml:space="preserve"> אם בשעת תשמיש פיהקה וראתה, הרי זו תולה את ראייתה בפיהוק ולא בתשמיש והיא אינה רמ"ת עד שתקבע ווסת מורכב זו בג' פעמים.</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0D2498">
        <w:rPr>
          <w:rFonts w:cs="Arial" w:hint="cs"/>
          <w:sz w:val="20"/>
          <w:szCs w:val="20"/>
          <w:rtl/>
        </w:rPr>
        <w:t>אם</w:t>
      </w:r>
      <w:r w:rsidRPr="000D2498">
        <w:rPr>
          <w:rFonts w:cs="Arial"/>
          <w:sz w:val="20"/>
          <w:szCs w:val="20"/>
          <w:rtl/>
        </w:rPr>
        <w:t xml:space="preserve"> </w:t>
      </w:r>
      <w:r w:rsidRPr="000D2498">
        <w:rPr>
          <w:rFonts w:cs="Arial" w:hint="cs"/>
          <w:sz w:val="20"/>
          <w:szCs w:val="20"/>
          <w:rtl/>
        </w:rPr>
        <w:t>שמשה</w:t>
      </w:r>
      <w:r w:rsidRPr="000D2498">
        <w:rPr>
          <w:rFonts w:cs="Arial"/>
          <w:sz w:val="20"/>
          <w:szCs w:val="20"/>
          <w:rtl/>
        </w:rPr>
        <w:t xml:space="preserve"> </w:t>
      </w:r>
      <w:r w:rsidRPr="000D2498">
        <w:rPr>
          <w:rFonts w:cs="Arial" w:hint="cs"/>
          <w:sz w:val="20"/>
          <w:szCs w:val="20"/>
          <w:rtl/>
        </w:rPr>
        <w:t>סמוך</w:t>
      </w:r>
      <w:r w:rsidRPr="000D2498">
        <w:rPr>
          <w:rFonts w:cs="Arial"/>
          <w:sz w:val="20"/>
          <w:szCs w:val="20"/>
          <w:rtl/>
        </w:rPr>
        <w:t xml:space="preserve"> </w:t>
      </w:r>
      <w:r w:rsidRPr="000D2498">
        <w:rPr>
          <w:rFonts w:cs="Arial" w:hint="cs"/>
          <w:sz w:val="20"/>
          <w:szCs w:val="20"/>
          <w:rtl/>
        </w:rPr>
        <w:t>לו</w:t>
      </w:r>
      <w:r>
        <w:rPr>
          <w:rFonts w:cs="Arial" w:hint="cs"/>
          <w:sz w:val="20"/>
          <w:szCs w:val="20"/>
          <w:rtl/>
        </w:rPr>
        <w:t>ו</w:t>
      </w:r>
      <w:r w:rsidRPr="000D2498">
        <w:rPr>
          <w:rFonts w:cs="Arial" w:hint="cs"/>
          <w:sz w:val="20"/>
          <w:szCs w:val="20"/>
          <w:rtl/>
        </w:rPr>
        <w:t>סתה</w:t>
      </w:r>
      <w:r w:rsidRPr="000D2498">
        <w:rPr>
          <w:rFonts w:cs="Arial"/>
          <w:sz w:val="20"/>
          <w:szCs w:val="20"/>
          <w:rtl/>
        </w:rPr>
        <w:t xml:space="preserve">, </w:t>
      </w:r>
      <w:r w:rsidRPr="000D2498">
        <w:rPr>
          <w:rFonts w:cs="Arial" w:hint="cs"/>
          <w:sz w:val="20"/>
          <w:szCs w:val="20"/>
          <w:rtl/>
        </w:rPr>
        <w:t>אנו</w:t>
      </w:r>
      <w:r w:rsidRPr="000D2498">
        <w:rPr>
          <w:rFonts w:cs="Arial"/>
          <w:sz w:val="20"/>
          <w:szCs w:val="20"/>
          <w:rtl/>
        </w:rPr>
        <w:t xml:space="preserve"> </w:t>
      </w:r>
      <w:r w:rsidRPr="000D2498">
        <w:rPr>
          <w:rFonts w:cs="Arial" w:hint="cs"/>
          <w:sz w:val="20"/>
          <w:szCs w:val="20"/>
          <w:rtl/>
        </w:rPr>
        <w:t>תולין</w:t>
      </w:r>
      <w:r w:rsidRPr="000D2498">
        <w:rPr>
          <w:rFonts w:cs="Arial"/>
          <w:sz w:val="20"/>
          <w:szCs w:val="20"/>
          <w:rtl/>
        </w:rPr>
        <w:t xml:space="preserve"> </w:t>
      </w:r>
      <w:r w:rsidRPr="000D2498">
        <w:rPr>
          <w:rFonts w:cs="Arial" w:hint="cs"/>
          <w:sz w:val="20"/>
          <w:szCs w:val="20"/>
          <w:rtl/>
        </w:rPr>
        <w:t>ראייתה</w:t>
      </w:r>
      <w:r w:rsidRPr="000D2498">
        <w:rPr>
          <w:rFonts w:cs="Arial"/>
          <w:sz w:val="20"/>
          <w:szCs w:val="20"/>
          <w:rtl/>
        </w:rPr>
        <w:t xml:space="preserve"> </w:t>
      </w:r>
      <w:r w:rsidRPr="000D2498">
        <w:rPr>
          <w:rFonts w:cs="Arial" w:hint="cs"/>
          <w:sz w:val="20"/>
          <w:szCs w:val="20"/>
          <w:rtl/>
        </w:rPr>
        <w:t>משום</w:t>
      </w:r>
      <w:r w:rsidRPr="000D2498">
        <w:rPr>
          <w:rFonts w:cs="Arial"/>
          <w:sz w:val="20"/>
          <w:szCs w:val="20"/>
          <w:rtl/>
        </w:rPr>
        <w:t xml:space="preserve"> </w:t>
      </w:r>
      <w:r w:rsidRPr="000D2498">
        <w:rPr>
          <w:rFonts w:cs="Arial" w:hint="cs"/>
          <w:sz w:val="20"/>
          <w:szCs w:val="20"/>
          <w:rtl/>
        </w:rPr>
        <w:t>וסתה</w:t>
      </w:r>
      <w:r w:rsidRPr="000D2498">
        <w:rPr>
          <w:rFonts w:cs="Arial"/>
          <w:sz w:val="20"/>
          <w:szCs w:val="20"/>
          <w:rtl/>
        </w:rPr>
        <w:t xml:space="preserve"> </w:t>
      </w:r>
      <w:r w:rsidRPr="000D2498">
        <w:rPr>
          <w:rFonts w:cs="Arial" w:hint="cs"/>
          <w:sz w:val="20"/>
          <w:szCs w:val="20"/>
          <w:rtl/>
        </w:rPr>
        <w:t>ולא</w:t>
      </w:r>
      <w:r w:rsidRPr="000D2498">
        <w:rPr>
          <w:rFonts w:cs="Arial"/>
          <w:sz w:val="20"/>
          <w:szCs w:val="20"/>
          <w:rtl/>
        </w:rPr>
        <w:t xml:space="preserve"> </w:t>
      </w:r>
      <w:r w:rsidRPr="000D2498">
        <w:rPr>
          <w:rFonts w:cs="Arial" w:hint="cs"/>
          <w:sz w:val="20"/>
          <w:szCs w:val="20"/>
          <w:rtl/>
        </w:rPr>
        <w:t>חשבינן</w:t>
      </w:r>
      <w:r w:rsidRPr="000D2498">
        <w:rPr>
          <w:rFonts w:cs="Arial"/>
          <w:sz w:val="20"/>
          <w:szCs w:val="20"/>
          <w:rtl/>
        </w:rPr>
        <w:t xml:space="preserve"> </w:t>
      </w:r>
      <w:r w:rsidRPr="000D2498">
        <w:rPr>
          <w:rFonts w:cs="Arial" w:hint="cs"/>
          <w:sz w:val="20"/>
          <w:szCs w:val="20"/>
          <w:rtl/>
        </w:rPr>
        <w:t>לה</w:t>
      </w:r>
      <w:r w:rsidRPr="000D2498">
        <w:rPr>
          <w:rFonts w:cs="Arial"/>
          <w:sz w:val="20"/>
          <w:szCs w:val="20"/>
          <w:rtl/>
        </w:rPr>
        <w:t xml:space="preserve"> </w:t>
      </w:r>
      <w:r w:rsidRPr="000D2498">
        <w:rPr>
          <w:rFonts w:cs="Arial" w:hint="cs"/>
          <w:sz w:val="20"/>
          <w:szCs w:val="20"/>
          <w:rtl/>
        </w:rPr>
        <w:t>רואה</w:t>
      </w:r>
      <w:r w:rsidRPr="000D2498">
        <w:rPr>
          <w:rFonts w:cs="Arial"/>
          <w:sz w:val="20"/>
          <w:szCs w:val="20"/>
          <w:rtl/>
        </w:rPr>
        <w:t xml:space="preserve"> </w:t>
      </w:r>
      <w:r w:rsidRPr="000D2498">
        <w:rPr>
          <w:rFonts w:cs="Arial" w:hint="cs"/>
          <w:sz w:val="20"/>
          <w:szCs w:val="20"/>
          <w:rtl/>
        </w:rPr>
        <w:t>מחמת</w:t>
      </w:r>
      <w:r w:rsidRPr="000D2498">
        <w:rPr>
          <w:rFonts w:cs="Arial"/>
          <w:sz w:val="20"/>
          <w:szCs w:val="20"/>
          <w:rtl/>
        </w:rPr>
        <w:t xml:space="preserve"> </w:t>
      </w:r>
      <w:r w:rsidRPr="000D2498">
        <w:rPr>
          <w:rFonts w:cs="Arial" w:hint="cs"/>
          <w:sz w:val="20"/>
          <w:szCs w:val="20"/>
          <w:rtl/>
        </w:rPr>
        <w:t>תשמיש</w:t>
      </w:r>
      <w:r>
        <w:rPr>
          <w:rFonts w:cs="Arial" w:hint="cs"/>
          <w:sz w:val="20"/>
          <w:szCs w:val="20"/>
          <w:rtl/>
        </w:rPr>
        <w:t>".</w:t>
      </w:r>
      <w:r>
        <w:rPr>
          <w:sz w:val="20"/>
          <w:szCs w:val="20"/>
          <w:rtl/>
        </w:rPr>
        <w:br/>
      </w:r>
      <w:r>
        <w:rPr>
          <w:rFonts w:hint="cs"/>
          <w:sz w:val="20"/>
          <w:szCs w:val="20"/>
          <w:rtl/>
        </w:rPr>
        <w:br/>
      </w:r>
      <w:r>
        <w:rPr>
          <w:rFonts w:hint="cs"/>
          <w:sz w:val="20"/>
          <w:szCs w:val="20"/>
          <w:u w:val="single"/>
          <w:rtl/>
        </w:rPr>
        <w:t>מדוע המחבר השמיט את פירוש רש"י?</w:t>
      </w:r>
      <w:r>
        <w:rPr>
          <w:rFonts w:hint="cs"/>
          <w:sz w:val="20"/>
          <w:szCs w:val="20"/>
          <w:rtl/>
        </w:rPr>
        <w:br/>
      </w:r>
      <w:r w:rsidRPr="00222FFA">
        <w:rPr>
          <w:rFonts w:hint="cs"/>
          <w:b/>
          <w:bCs/>
          <w:sz w:val="20"/>
          <w:szCs w:val="20"/>
          <w:rtl/>
        </w:rPr>
        <w:t>תורת השלמים</w:t>
      </w:r>
      <w:r>
        <w:rPr>
          <w:rFonts w:hint="cs"/>
          <w:sz w:val="20"/>
          <w:szCs w:val="20"/>
          <w:rtl/>
        </w:rPr>
        <w:t xml:space="preserve"> </w:t>
      </w:r>
      <w:r>
        <w:rPr>
          <w:sz w:val="20"/>
          <w:szCs w:val="20"/>
          <w:rtl/>
        </w:rPr>
        <w:t>–</w:t>
      </w:r>
      <w:r>
        <w:rPr>
          <w:rFonts w:hint="cs"/>
          <w:sz w:val="20"/>
          <w:szCs w:val="20"/>
          <w:rtl/>
        </w:rPr>
        <w:t xml:space="preserve"> אע"פ שהמחבר לא כתב כאן את פירוש רש"י, ודאי שקיי"ל כוותיה ולית מאן דפליג שכך היא הלכה. והמחבר כתב זאת בסעיף א', בכך שהתנה את דין רמ"ת דווקא אם היו ראיותיה בג' תשמישים רצופים, משמע שאם לא היו רצופים מותרת, כרש"י. וכן איתא לקמן סעיף יא' שאם קבעה לה ווסת לראיותיה מחמת תשמיש, מותרת בזמן שאינה למודה לראות.</w:t>
      </w:r>
    </w:p>
    <w:p w:rsidR="00620060" w:rsidRDefault="00620060" w:rsidP="00620060">
      <w:pPr>
        <w:rPr>
          <w:sz w:val="20"/>
          <w:szCs w:val="20"/>
          <w:rtl/>
        </w:rPr>
      </w:pPr>
      <w:r>
        <w:rPr>
          <w:rFonts w:hint="cs"/>
          <w:sz w:val="20"/>
          <w:szCs w:val="20"/>
          <w:u w:val="single"/>
          <w:rtl/>
        </w:rPr>
        <w:t xml:space="preserve">דיון בשיטת המרדכי </w:t>
      </w:r>
      <w:r>
        <w:rPr>
          <w:rFonts w:hint="cs"/>
          <w:sz w:val="20"/>
          <w:szCs w:val="20"/>
          <w:rtl/>
        </w:rPr>
        <w:t xml:space="preserve"> </w:t>
      </w:r>
      <w:r>
        <w:rPr>
          <w:sz w:val="20"/>
          <w:szCs w:val="20"/>
          <w:rtl/>
        </w:rPr>
        <w:br/>
      </w:r>
      <w:r>
        <w:rPr>
          <w:rFonts w:hint="cs"/>
          <w:sz w:val="20"/>
          <w:szCs w:val="20"/>
          <w:rtl/>
        </w:rPr>
        <w:t xml:space="preserve">א. </w:t>
      </w:r>
      <w:r w:rsidRPr="00EB6C1A">
        <w:rPr>
          <w:rFonts w:hint="cs"/>
          <w:b/>
          <w:bCs/>
          <w:sz w:val="20"/>
          <w:szCs w:val="20"/>
          <w:rtl/>
        </w:rPr>
        <w:t>דרכ"מ</w:t>
      </w:r>
      <w:r>
        <w:rPr>
          <w:rFonts w:hint="cs"/>
          <w:sz w:val="20"/>
          <w:szCs w:val="20"/>
          <w:rtl/>
        </w:rPr>
        <w:t xml:space="preserve"> </w:t>
      </w:r>
      <w:r w:rsidRPr="00EB6C1A">
        <w:rPr>
          <w:sz w:val="20"/>
          <w:szCs w:val="20"/>
          <w:rtl/>
        </w:rPr>
        <w:t>–</w:t>
      </w:r>
      <w:r w:rsidRPr="00EB6C1A">
        <w:rPr>
          <w:rFonts w:hint="cs"/>
          <w:sz w:val="20"/>
          <w:szCs w:val="20"/>
          <w:rtl/>
        </w:rPr>
        <w:t xml:space="preserve"> </w:t>
      </w:r>
      <w:r>
        <w:rPr>
          <w:rFonts w:hint="cs"/>
          <w:sz w:val="20"/>
          <w:szCs w:val="20"/>
          <w:rtl/>
        </w:rPr>
        <w:t xml:space="preserve">תמוה </w:t>
      </w:r>
      <w:r w:rsidRPr="00EB6C1A">
        <w:rPr>
          <w:rFonts w:hint="cs"/>
          <w:sz w:val="20"/>
          <w:szCs w:val="20"/>
          <w:rtl/>
        </w:rPr>
        <w:t>מדוע הבית יוסף הביא את דברי המרדכי בסתמא כאילו אין מי שחולק עליהם, הרי הפוסקים כתבו את דין רמ"ת בסתמא וסתם אשה יש לה ווסת, הרי שלא קיבלו את הקולא של המרדכי.</w:t>
      </w:r>
      <w:r>
        <w:rPr>
          <w:sz w:val="20"/>
          <w:szCs w:val="20"/>
          <w:rtl/>
        </w:rPr>
        <w:br/>
      </w:r>
      <w:r>
        <w:rPr>
          <w:rFonts w:hint="cs"/>
          <w:sz w:val="20"/>
          <w:szCs w:val="20"/>
          <w:rtl/>
        </w:rPr>
        <w:t xml:space="preserve">ב. </w:t>
      </w:r>
      <w:r w:rsidRPr="0012240D">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דברי הבית יוסף בהסבר המרדכי קשים, שאם כן כל דם שתראה בין ווסת לווסת נאמר שהוא דם טהור? ודבר זה לא שמענו מעולם </w:t>
      </w:r>
      <w:r w:rsidRPr="0041786D">
        <w:rPr>
          <w:rFonts w:hint="cs"/>
          <w:sz w:val="18"/>
          <w:szCs w:val="18"/>
          <w:rtl/>
        </w:rPr>
        <w:t xml:space="preserve">(ע"פ </w:t>
      </w:r>
      <w:r w:rsidRPr="0041786D">
        <w:rPr>
          <w:rFonts w:hint="cs"/>
          <w:b/>
          <w:bCs/>
          <w:sz w:val="18"/>
          <w:szCs w:val="18"/>
          <w:rtl/>
        </w:rPr>
        <w:t>ששבה"ל</w:t>
      </w:r>
      <w:r w:rsidRPr="0041786D">
        <w:rPr>
          <w:rFonts w:hint="cs"/>
          <w:sz w:val="18"/>
          <w:szCs w:val="18"/>
          <w:rtl/>
        </w:rPr>
        <w:t>)</w:t>
      </w:r>
      <w:r>
        <w:rPr>
          <w:rFonts w:hint="cs"/>
          <w:sz w:val="20"/>
          <w:szCs w:val="20"/>
          <w:rtl/>
        </w:rPr>
        <w:t xml:space="preserve">. </w:t>
      </w:r>
      <w:r>
        <w:rPr>
          <w:sz w:val="20"/>
          <w:szCs w:val="20"/>
          <w:rtl/>
        </w:rPr>
        <w:br/>
      </w:r>
      <w:r>
        <w:rPr>
          <w:rFonts w:hint="cs"/>
          <w:sz w:val="20"/>
          <w:szCs w:val="20"/>
          <w:rtl/>
        </w:rPr>
        <w:t>אלא, לאחר עיון בלשון המרדכי יש לומר שדבריו נאמרו רק לגבי אשה שיש לה מכה שאין ראוי לתלות בה כל כך את הדם, שבצירוף לכך שיש לה ווסת קבוע תולים להקל.</w:t>
      </w:r>
    </w:p>
    <w:p w:rsidR="00620060" w:rsidRDefault="00620060" w:rsidP="00620060">
      <w:pPr>
        <w:rPr>
          <w:sz w:val="20"/>
          <w:szCs w:val="20"/>
          <w:rtl/>
        </w:rPr>
      </w:pPr>
      <w:r>
        <w:rPr>
          <w:rFonts w:hint="cs"/>
          <w:sz w:val="20"/>
          <w:szCs w:val="20"/>
          <w:u w:val="single"/>
          <w:rtl/>
        </w:rPr>
        <w:t>כיצד שימש סמוך לווסתה?</w:t>
      </w:r>
      <w:r>
        <w:rPr>
          <w:sz w:val="20"/>
          <w:szCs w:val="20"/>
          <w:u w:val="single"/>
          <w:rtl/>
        </w:rPr>
        <w:br/>
      </w:r>
      <w:r>
        <w:rPr>
          <w:rFonts w:hint="cs"/>
          <w:sz w:val="20"/>
          <w:szCs w:val="20"/>
          <w:rtl/>
        </w:rPr>
        <w:t>מבואר בסימן קפד' שאסור לשמש סמוך לווסת, ואם כן קשה כיצד כאן שימש סמוך לווסתה?</w:t>
      </w:r>
      <w:r>
        <w:rPr>
          <w:rFonts w:hint="cs"/>
          <w:sz w:val="20"/>
          <w:szCs w:val="20"/>
          <w:rtl/>
        </w:rPr>
        <w:br/>
        <w:t xml:space="preserve">א. </w:t>
      </w:r>
      <w:r w:rsidRPr="0033297A">
        <w:rPr>
          <w:rFonts w:hint="cs"/>
          <w:b/>
          <w:bCs/>
          <w:sz w:val="20"/>
          <w:szCs w:val="20"/>
          <w:rtl/>
        </w:rPr>
        <w:t xml:space="preserve">פרישה </w:t>
      </w:r>
      <w:r>
        <w:rPr>
          <w:sz w:val="20"/>
          <w:szCs w:val="20"/>
          <w:rtl/>
        </w:rPr>
        <w:t>–</w:t>
      </w:r>
      <w:r>
        <w:rPr>
          <w:rFonts w:hint="cs"/>
          <w:sz w:val="20"/>
          <w:szCs w:val="20"/>
          <w:rtl/>
        </w:rPr>
        <w:t xml:space="preserve"> אין לומר ששימש באיסור, משום דלאו ברשיעי עסקינן, אלא שימש לפני יציאתו לדרך שהתירו </w:t>
      </w:r>
      <w:r>
        <w:rPr>
          <w:rFonts w:hint="cs"/>
          <w:sz w:val="20"/>
          <w:szCs w:val="20"/>
          <w:rtl/>
        </w:rPr>
        <w:lastRenderedPageBreak/>
        <w:t>חכמים לשמש סמוך לווסת, עיין שם.</w:t>
      </w:r>
      <w:r>
        <w:rPr>
          <w:sz w:val="20"/>
          <w:szCs w:val="20"/>
          <w:rtl/>
        </w:rPr>
        <w:br/>
      </w:r>
      <w:r>
        <w:rPr>
          <w:rFonts w:hint="cs"/>
          <w:sz w:val="20"/>
          <w:szCs w:val="20"/>
          <w:rtl/>
        </w:rPr>
        <w:t xml:space="preserve">אמנם, אכתי יקשה לשיטת </w:t>
      </w:r>
      <w:r w:rsidRPr="0033297A">
        <w:rPr>
          <w:rFonts w:hint="cs"/>
          <w:b/>
          <w:bCs/>
          <w:sz w:val="20"/>
          <w:szCs w:val="20"/>
          <w:rtl/>
        </w:rPr>
        <w:t>ר"ת</w:t>
      </w:r>
      <w:r>
        <w:rPr>
          <w:rFonts w:hint="cs"/>
          <w:sz w:val="20"/>
          <w:szCs w:val="20"/>
          <w:rtl/>
        </w:rPr>
        <w:t xml:space="preserve"> הסובר שאף ביוצא לדרך אסור לשמש סמוך לווסת? </w:t>
      </w:r>
      <w:r>
        <w:rPr>
          <w:sz w:val="20"/>
          <w:szCs w:val="20"/>
          <w:rtl/>
        </w:rPr>
        <w:br/>
      </w:r>
      <w:r>
        <w:rPr>
          <w:rFonts w:hint="cs"/>
          <w:sz w:val="20"/>
          <w:szCs w:val="20"/>
          <w:rtl/>
        </w:rPr>
        <w:t>ויש לומר שווסתה ביום ומותר לשמש עמה כל הלילה שלפני, ובכה"ג אם ראתה מחמת תשמיש תולים בווסת.</w:t>
      </w:r>
      <w:r>
        <w:rPr>
          <w:rFonts w:hint="cs"/>
          <w:sz w:val="20"/>
          <w:szCs w:val="20"/>
          <w:rtl/>
        </w:rPr>
        <w:br/>
        <w:t xml:space="preserve">דוחה </w:t>
      </w:r>
      <w:r w:rsidRPr="0033297A">
        <w:rPr>
          <w:rFonts w:hint="cs"/>
          <w:b/>
          <w:bCs/>
          <w:sz w:val="20"/>
          <w:szCs w:val="20"/>
          <w:rtl/>
        </w:rPr>
        <w:t>הש"ך</w:t>
      </w:r>
      <w:r>
        <w:rPr>
          <w:rFonts w:hint="cs"/>
          <w:sz w:val="20"/>
          <w:szCs w:val="20"/>
          <w:rtl/>
        </w:rPr>
        <w:t xml:space="preserve"> </w:t>
      </w:r>
      <w:r>
        <w:rPr>
          <w:sz w:val="20"/>
          <w:szCs w:val="20"/>
          <w:rtl/>
        </w:rPr>
        <w:t>–</w:t>
      </w:r>
      <w:r>
        <w:rPr>
          <w:rFonts w:hint="cs"/>
          <w:sz w:val="20"/>
          <w:szCs w:val="20"/>
          <w:rtl/>
        </w:rPr>
        <w:t xml:space="preserve"> טעם ההיתר לשמש בלילה שלפני הווסת הוא, משום שאין חשש שמא יבוא לה הווסת, ואם כן כיצד תתלה את ראייתה מחמת תשמיש בווסת?</w:t>
      </w:r>
      <w:r>
        <w:rPr>
          <w:sz w:val="20"/>
          <w:szCs w:val="20"/>
          <w:rtl/>
        </w:rPr>
        <w:br/>
      </w:r>
      <w:r>
        <w:rPr>
          <w:rFonts w:hint="cs"/>
          <w:sz w:val="20"/>
          <w:szCs w:val="20"/>
          <w:rtl/>
        </w:rPr>
        <w:t xml:space="preserve">אמנם, לדינא כתב </w:t>
      </w:r>
      <w:r w:rsidRPr="00953916">
        <w:rPr>
          <w:rFonts w:hint="cs"/>
          <w:b/>
          <w:bCs/>
          <w:sz w:val="20"/>
          <w:szCs w:val="20"/>
          <w:rtl/>
        </w:rPr>
        <w:t>הפת"ש</w:t>
      </w:r>
      <w:r>
        <w:rPr>
          <w:rFonts w:hint="cs"/>
          <w:sz w:val="20"/>
          <w:szCs w:val="20"/>
          <w:rtl/>
        </w:rPr>
        <w:t xml:space="preserve"> שהאחרונים הכריעו להקל כדעת הפרישה, ועיין הערה</w:t>
      </w:r>
      <w:r>
        <w:rPr>
          <w:rStyle w:val="a5"/>
          <w:sz w:val="20"/>
          <w:szCs w:val="20"/>
          <w:rtl/>
        </w:rPr>
        <w:footnoteReference w:id="107"/>
      </w:r>
      <w:r>
        <w:rPr>
          <w:rFonts w:hint="cs"/>
          <w:sz w:val="20"/>
          <w:szCs w:val="20"/>
          <w:rtl/>
        </w:rPr>
        <w:t xml:space="preserve">. </w:t>
      </w:r>
      <w:r>
        <w:rPr>
          <w:rFonts w:hint="cs"/>
          <w:sz w:val="20"/>
          <w:szCs w:val="20"/>
          <w:rtl/>
        </w:rPr>
        <w:br/>
        <w:t xml:space="preserve">ב. </w:t>
      </w:r>
      <w:r w:rsidRPr="00F02808">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שימש עמה באיסור.</w:t>
      </w:r>
      <w:r>
        <w:rPr>
          <w:sz w:val="20"/>
          <w:szCs w:val="20"/>
          <w:rtl/>
        </w:rPr>
        <w:br/>
      </w:r>
      <w:r>
        <w:rPr>
          <w:rFonts w:hint="cs"/>
          <w:sz w:val="20"/>
          <w:szCs w:val="20"/>
          <w:rtl/>
        </w:rPr>
        <w:t xml:space="preserve">ג. </w:t>
      </w:r>
      <w:r w:rsidRPr="00F02808">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אי נמי יש לומר שר"ת יפרש את הברייתא כרש"י או כמרדכי ולא כרמב"ם.</w:t>
      </w:r>
      <w:r>
        <w:rPr>
          <w:sz w:val="20"/>
          <w:szCs w:val="20"/>
          <w:rtl/>
        </w:rPr>
        <w:br/>
      </w:r>
      <w:r>
        <w:rPr>
          <w:rFonts w:hint="cs"/>
          <w:sz w:val="20"/>
          <w:szCs w:val="20"/>
          <w:rtl/>
        </w:rPr>
        <w:t xml:space="preserve">ד. </w:t>
      </w:r>
      <w:r w:rsidRPr="00F02808">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אי נמי, מדובר בקטנה או שלא הביאה סימנים שאין צריך לפרוש ממנה סמוך לווסת שאינו קבוע, ואחר כך ראתה עוד פעם או פעמיים וקבעה ווסת, והתברר לאחר קביעת הווסת שראייתה מחמת תשמיש היתה סמוך לווסת. </w:t>
      </w:r>
    </w:p>
    <w:p w:rsidR="00620060" w:rsidRDefault="00620060" w:rsidP="00620060">
      <w:pPr>
        <w:rPr>
          <w:sz w:val="20"/>
          <w:szCs w:val="20"/>
          <w:rtl/>
        </w:rPr>
      </w:pPr>
      <w:r>
        <w:rPr>
          <w:rFonts w:hint="cs"/>
          <w:sz w:val="20"/>
          <w:szCs w:val="20"/>
          <w:u w:val="single"/>
          <w:rtl/>
        </w:rPr>
        <w:t>ראתה פעמיים אחר כך מחמת תשמיש (פת"ש)</w:t>
      </w:r>
      <w:r>
        <w:rPr>
          <w:rFonts w:hint="cs"/>
          <w:sz w:val="20"/>
          <w:szCs w:val="20"/>
          <w:u w:val="single"/>
          <w:rtl/>
        </w:rPr>
        <w:br/>
      </w:r>
      <w:r w:rsidRPr="00496D2C">
        <w:rPr>
          <w:rFonts w:hint="cs"/>
          <w:b/>
          <w:bCs/>
          <w:sz w:val="20"/>
          <w:szCs w:val="20"/>
          <w:rtl/>
        </w:rPr>
        <w:t>סדרי טהרה</w:t>
      </w:r>
      <w:r>
        <w:rPr>
          <w:rFonts w:hint="cs"/>
          <w:sz w:val="20"/>
          <w:szCs w:val="20"/>
          <w:rtl/>
        </w:rPr>
        <w:t xml:space="preserve"> </w:t>
      </w:r>
      <w:r>
        <w:rPr>
          <w:sz w:val="20"/>
          <w:szCs w:val="20"/>
          <w:rtl/>
        </w:rPr>
        <w:t>–</w:t>
      </w:r>
      <w:r>
        <w:rPr>
          <w:rFonts w:hint="cs"/>
          <w:sz w:val="20"/>
          <w:szCs w:val="20"/>
          <w:rtl/>
        </w:rPr>
        <w:t xml:space="preserve"> אפילו אם לאחר שראתה פעם אחת סמוך לווסתה ראתה עוד פעמיים מחמת תשמיש והיה זה זמן מופלג מווסתה, אין מצרפים את הראייה הראשונה לשתי הראיות האחרונות.</w:t>
      </w:r>
    </w:p>
    <w:p w:rsidR="00620060" w:rsidRDefault="00620060" w:rsidP="00620060">
      <w:pPr>
        <w:rPr>
          <w:sz w:val="20"/>
          <w:szCs w:val="20"/>
          <w:rtl/>
        </w:rPr>
      </w:pPr>
      <w:r w:rsidRPr="006C3DB6">
        <w:rPr>
          <w:rFonts w:hint="cs"/>
          <w:b/>
          <w:bCs/>
          <w:sz w:val="20"/>
          <w:szCs w:val="20"/>
          <w:rtl/>
        </w:rPr>
        <w:t>סיכום</w:t>
      </w:r>
      <w:r>
        <w:rPr>
          <w:sz w:val="20"/>
          <w:szCs w:val="20"/>
          <w:rtl/>
        </w:rPr>
        <w:br/>
      </w:r>
      <w:r>
        <w:rPr>
          <w:rFonts w:hint="cs"/>
          <w:sz w:val="20"/>
          <w:szCs w:val="20"/>
          <w:rtl/>
        </w:rPr>
        <w:t xml:space="preserve">1. </w:t>
      </w:r>
      <w:r w:rsidRPr="006C3DB6">
        <w:rPr>
          <w:rFonts w:hint="cs"/>
          <w:b/>
          <w:bCs/>
          <w:sz w:val="20"/>
          <w:szCs w:val="20"/>
          <w:rtl/>
        </w:rPr>
        <w:t>גמרא</w:t>
      </w:r>
      <w:r>
        <w:rPr>
          <w:rFonts w:hint="cs"/>
          <w:sz w:val="20"/>
          <w:szCs w:val="20"/>
          <w:rtl/>
        </w:rPr>
        <w:t>. "אם יש לה ווסת - תולה בווסתה".</w:t>
      </w:r>
      <w:r>
        <w:rPr>
          <w:sz w:val="20"/>
          <w:szCs w:val="20"/>
          <w:rtl/>
        </w:rPr>
        <w:br/>
      </w:r>
      <w:r>
        <w:rPr>
          <w:rFonts w:hint="cs"/>
          <w:sz w:val="20"/>
          <w:szCs w:val="20"/>
          <w:rtl/>
        </w:rPr>
        <w:t xml:space="preserve">2. </w:t>
      </w:r>
      <w:r w:rsidRPr="002B4390">
        <w:rPr>
          <w:rFonts w:hint="cs"/>
          <w:sz w:val="20"/>
          <w:szCs w:val="20"/>
          <w:rtl/>
        </w:rPr>
        <w:t xml:space="preserve">ביאור. </w:t>
      </w:r>
      <w:r w:rsidRPr="002B4390">
        <w:rPr>
          <w:rFonts w:hint="cs"/>
          <w:b/>
          <w:bCs/>
          <w:sz w:val="20"/>
          <w:szCs w:val="20"/>
          <w:rtl/>
        </w:rPr>
        <w:t>רש"י</w:t>
      </w:r>
      <w:r w:rsidRPr="002B4390">
        <w:rPr>
          <w:rFonts w:hint="cs"/>
          <w:sz w:val="20"/>
          <w:szCs w:val="20"/>
          <w:rtl/>
        </w:rPr>
        <w:t xml:space="preserve">. אם יש זמן קבוע לקלקול זה, מותרת לשמש בזמנים שאינה למודה להיות בהם רמ"ת. </w:t>
      </w:r>
      <w:r w:rsidRPr="002B4390">
        <w:rPr>
          <w:rFonts w:hint="cs"/>
          <w:b/>
          <w:bCs/>
          <w:sz w:val="20"/>
          <w:szCs w:val="20"/>
          <w:rtl/>
        </w:rPr>
        <w:t>רמב"ם</w:t>
      </w:r>
      <w:r w:rsidRPr="002B4390">
        <w:rPr>
          <w:rFonts w:hint="cs"/>
          <w:sz w:val="20"/>
          <w:szCs w:val="20"/>
          <w:rtl/>
        </w:rPr>
        <w:t xml:space="preserve">. אם שימשה סמוך לווסת וראתה דם, תולים אותו בווסת, וכ"פ </w:t>
      </w:r>
      <w:r w:rsidRPr="002B4390">
        <w:rPr>
          <w:rFonts w:hint="cs"/>
          <w:b/>
          <w:bCs/>
          <w:sz w:val="20"/>
          <w:szCs w:val="20"/>
          <w:rtl/>
        </w:rPr>
        <w:t xml:space="preserve">המחבר </w:t>
      </w:r>
      <w:r w:rsidRPr="002B4390">
        <w:rPr>
          <w:rFonts w:hint="cs"/>
          <w:sz w:val="20"/>
          <w:szCs w:val="20"/>
          <w:rtl/>
        </w:rPr>
        <w:t xml:space="preserve">כאן. </w:t>
      </w:r>
      <w:r w:rsidRPr="002B4390">
        <w:rPr>
          <w:rFonts w:hint="cs"/>
          <w:b/>
          <w:bCs/>
          <w:sz w:val="20"/>
          <w:szCs w:val="20"/>
          <w:rtl/>
        </w:rPr>
        <w:t>מרדכי</w:t>
      </w:r>
      <w:r w:rsidRPr="002B4390">
        <w:rPr>
          <w:rFonts w:hint="cs"/>
          <w:sz w:val="20"/>
          <w:szCs w:val="20"/>
          <w:rtl/>
        </w:rPr>
        <w:t xml:space="preserve"> </w:t>
      </w:r>
      <w:r w:rsidRPr="002B4390">
        <w:rPr>
          <w:rFonts w:hint="cs"/>
          <w:sz w:val="18"/>
          <w:szCs w:val="18"/>
          <w:rtl/>
        </w:rPr>
        <w:t>(אליבא דהב"י)</w:t>
      </w:r>
      <w:r w:rsidRPr="002B4390">
        <w:rPr>
          <w:rFonts w:hint="cs"/>
          <w:sz w:val="20"/>
          <w:szCs w:val="20"/>
          <w:rtl/>
        </w:rPr>
        <w:t xml:space="preserve">. אשה שיש לה ווסת אינה נאסרת לעולם מחמת תשמיש. </w:t>
      </w:r>
      <w:r w:rsidRPr="002B4390">
        <w:rPr>
          <w:rFonts w:hint="cs"/>
          <w:b/>
          <w:bCs/>
          <w:sz w:val="20"/>
          <w:szCs w:val="20"/>
          <w:rtl/>
        </w:rPr>
        <w:t>רז"ה.</w:t>
      </w:r>
      <w:r w:rsidRPr="002B4390">
        <w:rPr>
          <w:rFonts w:hint="cs"/>
          <w:sz w:val="20"/>
          <w:szCs w:val="20"/>
          <w:rtl/>
        </w:rPr>
        <w:t xml:space="preserve"> אם פיהקה וראתה מ"ת, תולה ראייתה בפיהוק ולא בתשמיש.</w:t>
      </w:r>
      <w:r w:rsidRPr="002B4390">
        <w:rPr>
          <w:rFonts w:hint="cs"/>
          <w:sz w:val="20"/>
          <w:szCs w:val="20"/>
          <w:rtl/>
        </w:rPr>
        <w:br/>
        <w:t xml:space="preserve">3. </w:t>
      </w:r>
      <w:r w:rsidRPr="002B4390">
        <w:rPr>
          <w:rFonts w:hint="cs"/>
          <w:b/>
          <w:bCs/>
          <w:sz w:val="20"/>
          <w:szCs w:val="20"/>
          <w:rtl/>
        </w:rPr>
        <w:t xml:space="preserve">מחבר </w:t>
      </w:r>
      <w:r w:rsidRPr="002B4390">
        <w:rPr>
          <w:sz w:val="20"/>
          <w:szCs w:val="20"/>
          <w:rtl/>
        </w:rPr>
        <w:t>–</w:t>
      </w:r>
      <w:r w:rsidRPr="002B4390">
        <w:rPr>
          <w:rFonts w:hint="cs"/>
          <w:sz w:val="20"/>
          <w:szCs w:val="20"/>
          <w:rtl/>
        </w:rPr>
        <w:t xml:space="preserve"> </w:t>
      </w:r>
      <w:r w:rsidRPr="002B4390">
        <w:rPr>
          <w:rFonts w:hint="cs"/>
          <w:b/>
          <w:bCs/>
          <w:sz w:val="20"/>
          <w:szCs w:val="20"/>
          <w:rtl/>
        </w:rPr>
        <w:t>כרמב"ם</w:t>
      </w:r>
      <w:r w:rsidRPr="002B4390">
        <w:rPr>
          <w:rFonts w:hint="cs"/>
          <w:sz w:val="20"/>
          <w:szCs w:val="20"/>
          <w:rtl/>
        </w:rPr>
        <w:t xml:space="preserve">. </w:t>
      </w:r>
      <w:r w:rsidRPr="002B4390">
        <w:rPr>
          <w:rFonts w:hint="cs"/>
          <w:b/>
          <w:bCs/>
          <w:sz w:val="20"/>
          <w:szCs w:val="20"/>
          <w:rtl/>
        </w:rPr>
        <w:t>תוה"ש</w:t>
      </w:r>
      <w:r w:rsidRPr="002B4390">
        <w:rPr>
          <w:rFonts w:hint="cs"/>
          <w:sz w:val="20"/>
          <w:szCs w:val="20"/>
          <w:rtl/>
        </w:rPr>
        <w:t xml:space="preserve">. קיי"ל גם </w:t>
      </w:r>
      <w:r w:rsidRPr="002B4390">
        <w:rPr>
          <w:rFonts w:hint="cs"/>
          <w:b/>
          <w:bCs/>
          <w:sz w:val="20"/>
          <w:szCs w:val="20"/>
          <w:rtl/>
        </w:rPr>
        <w:t>כרש"י</w:t>
      </w:r>
      <w:r w:rsidRPr="002B4390">
        <w:rPr>
          <w:rFonts w:hint="cs"/>
          <w:sz w:val="20"/>
          <w:szCs w:val="20"/>
          <w:rtl/>
        </w:rPr>
        <w:t>, אלא שהמחבר כתב זאת בסעיף א' וכן בסעיף יא'.</w:t>
      </w:r>
      <w:r w:rsidRPr="002B4390">
        <w:rPr>
          <w:sz w:val="20"/>
          <w:szCs w:val="20"/>
          <w:rtl/>
        </w:rPr>
        <w:br/>
      </w:r>
      <w:r w:rsidRPr="002B4390">
        <w:rPr>
          <w:rFonts w:hint="cs"/>
          <w:sz w:val="20"/>
          <w:szCs w:val="20"/>
          <w:rtl/>
        </w:rPr>
        <w:t xml:space="preserve">4. דיון בשיטת המרדכי. </w:t>
      </w:r>
      <w:r w:rsidRPr="002B4390">
        <w:rPr>
          <w:rFonts w:hint="cs"/>
          <w:b/>
          <w:bCs/>
          <w:sz w:val="20"/>
          <w:szCs w:val="20"/>
          <w:rtl/>
        </w:rPr>
        <w:t>ד"מ</w:t>
      </w:r>
      <w:r w:rsidRPr="002B4390">
        <w:rPr>
          <w:rFonts w:hint="cs"/>
          <w:sz w:val="20"/>
          <w:szCs w:val="20"/>
          <w:rtl/>
        </w:rPr>
        <w:t xml:space="preserve">. משמע </w:t>
      </w:r>
      <w:r>
        <w:rPr>
          <w:rFonts w:hint="cs"/>
          <w:sz w:val="20"/>
          <w:szCs w:val="20"/>
          <w:rtl/>
        </w:rPr>
        <w:t xml:space="preserve">שהפוסקים </w:t>
      </w:r>
      <w:r w:rsidRPr="002B4390">
        <w:rPr>
          <w:rFonts w:hint="cs"/>
          <w:sz w:val="20"/>
          <w:szCs w:val="20"/>
          <w:rtl/>
        </w:rPr>
        <w:t xml:space="preserve">חולקים על המרדכי. </w:t>
      </w:r>
      <w:r w:rsidRPr="002B4390">
        <w:rPr>
          <w:rFonts w:hint="cs"/>
          <w:b/>
          <w:bCs/>
          <w:sz w:val="20"/>
          <w:szCs w:val="20"/>
          <w:rtl/>
        </w:rPr>
        <w:t>ט"ז</w:t>
      </w:r>
      <w:r w:rsidRPr="002B4390">
        <w:rPr>
          <w:rFonts w:hint="cs"/>
          <w:sz w:val="20"/>
          <w:szCs w:val="20"/>
          <w:rtl/>
        </w:rPr>
        <w:t>. המרדכי התיר רק בצירוף למכה.</w:t>
      </w:r>
      <w:r w:rsidRPr="002B4390">
        <w:rPr>
          <w:rFonts w:hint="cs"/>
          <w:sz w:val="20"/>
          <w:szCs w:val="20"/>
          <w:rtl/>
        </w:rPr>
        <w:br/>
        <w:t>5. כיצד שימשה סמוך לווסתה?</w:t>
      </w:r>
      <w:r>
        <w:rPr>
          <w:rFonts w:hint="cs"/>
          <w:sz w:val="20"/>
          <w:szCs w:val="20"/>
          <w:rtl/>
        </w:rPr>
        <w:t xml:space="preserve"> </w:t>
      </w:r>
      <w:r w:rsidRPr="006C3DB6">
        <w:rPr>
          <w:rFonts w:hint="cs"/>
          <w:b/>
          <w:bCs/>
          <w:sz w:val="20"/>
          <w:szCs w:val="20"/>
          <w:rtl/>
        </w:rPr>
        <w:t>פרישה</w:t>
      </w:r>
      <w:r>
        <w:rPr>
          <w:rFonts w:hint="cs"/>
          <w:sz w:val="20"/>
          <w:szCs w:val="20"/>
          <w:rtl/>
        </w:rPr>
        <w:t xml:space="preserve">. סמוך ליציאתו לדרך, </w:t>
      </w:r>
      <w:r w:rsidRPr="006C3DB6">
        <w:rPr>
          <w:rFonts w:hint="cs"/>
          <w:b/>
          <w:bCs/>
          <w:sz w:val="20"/>
          <w:szCs w:val="20"/>
          <w:rtl/>
        </w:rPr>
        <w:t>ו</w:t>
      </w:r>
      <w:r>
        <w:rPr>
          <w:rFonts w:hint="cs"/>
          <w:b/>
          <w:bCs/>
          <w:sz w:val="20"/>
          <w:szCs w:val="20"/>
          <w:rtl/>
        </w:rPr>
        <w:t>ל</w:t>
      </w:r>
      <w:r w:rsidRPr="006C3DB6">
        <w:rPr>
          <w:rFonts w:hint="cs"/>
          <w:b/>
          <w:bCs/>
          <w:sz w:val="20"/>
          <w:szCs w:val="20"/>
          <w:rtl/>
        </w:rPr>
        <w:t>ר"ת</w:t>
      </w:r>
      <w:r>
        <w:rPr>
          <w:rFonts w:hint="cs"/>
          <w:sz w:val="20"/>
          <w:szCs w:val="20"/>
          <w:rtl/>
        </w:rPr>
        <w:t xml:space="preserve"> שאוסר אף בכה"ג יש לומר שווסתה ביום ומותר לשמש בלילה, ואם ראתה תולים בווסת, וכ"פ האחרונים. </w:t>
      </w:r>
      <w:r w:rsidRPr="006C3DB6">
        <w:rPr>
          <w:rFonts w:hint="cs"/>
          <w:b/>
          <w:bCs/>
          <w:sz w:val="20"/>
          <w:szCs w:val="20"/>
          <w:rtl/>
        </w:rPr>
        <w:t>ש"ך</w:t>
      </w:r>
      <w:r>
        <w:rPr>
          <w:rFonts w:hint="cs"/>
          <w:sz w:val="20"/>
          <w:szCs w:val="20"/>
          <w:rtl/>
        </w:rPr>
        <w:t xml:space="preserve">. דוחה, אם התירו לשמש בלילה כיצד יש לתלות את הראייה בווסת? אלא </w:t>
      </w:r>
      <w:r>
        <w:rPr>
          <w:sz w:val="20"/>
          <w:szCs w:val="20"/>
          <w:rtl/>
        </w:rPr>
        <w:t>–</w:t>
      </w:r>
      <w:r>
        <w:rPr>
          <w:rFonts w:hint="cs"/>
          <w:sz w:val="20"/>
          <w:szCs w:val="20"/>
          <w:rtl/>
        </w:rPr>
        <w:t xml:space="preserve"> שימש באיסור, או שר"ת יפרש כרש"י או כמרדכי, או שמדובר בקטנה שאין פורשים ממנה סמוך לווסת </w:t>
      </w:r>
      <w:r w:rsidRPr="005A30EE">
        <w:rPr>
          <w:rFonts w:hint="cs"/>
          <w:sz w:val="18"/>
          <w:szCs w:val="18"/>
          <w:rtl/>
        </w:rPr>
        <w:t>(שאינו קבוע)</w:t>
      </w:r>
      <w:r>
        <w:rPr>
          <w:rFonts w:hint="cs"/>
          <w:sz w:val="20"/>
          <w:szCs w:val="20"/>
          <w:rtl/>
        </w:rPr>
        <w:t>.</w:t>
      </w:r>
      <w:r>
        <w:rPr>
          <w:sz w:val="20"/>
          <w:szCs w:val="20"/>
          <w:rtl/>
        </w:rPr>
        <w:br/>
      </w:r>
      <w:r>
        <w:rPr>
          <w:rFonts w:hint="cs"/>
          <w:sz w:val="20"/>
          <w:szCs w:val="20"/>
          <w:rtl/>
        </w:rPr>
        <w:t xml:space="preserve">6. </w:t>
      </w:r>
      <w:r w:rsidRPr="006C3DB6">
        <w:rPr>
          <w:rFonts w:hint="cs"/>
          <w:b/>
          <w:bCs/>
          <w:sz w:val="20"/>
          <w:szCs w:val="20"/>
          <w:rtl/>
        </w:rPr>
        <w:t>סד"ט</w:t>
      </w:r>
      <w:r>
        <w:rPr>
          <w:rFonts w:hint="cs"/>
          <w:sz w:val="20"/>
          <w:szCs w:val="20"/>
          <w:rtl/>
        </w:rPr>
        <w:t>. אפילו אם לאחר שראתה סמוך לווסת ראתה עוד ב' פעמים מופלג מהווסת מחמ"ת, אין מצטרפים.</w:t>
      </w:r>
    </w:p>
    <w:p w:rsidR="00620060" w:rsidRDefault="00620060" w:rsidP="00620060">
      <w:pPr>
        <w:rPr>
          <w:sz w:val="20"/>
          <w:szCs w:val="20"/>
          <w:rtl/>
        </w:rPr>
      </w:pPr>
      <w:r>
        <w:rPr>
          <w:sz w:val="20"/>
          <w:szCs w:val="20"/>
          <w:rtl/>
        </w:rPr>
        <w:br/>
      </w:r>
      <w:r>
        <w:rPr>
          <w:rFonts w:hint="cs"/>
          <w:b/>
          <w:bCs/>
          <w:sz w:val="20"/>
          <w:szCs w:val="20"/>
          <w:rtl/>
        </w:rPr>
        <w:t xml:space="preserve">סעיף ה </w:t>
      </w:r>
      <w:r>
        <w:rPr>
          <w:b/>
          <w:bCs/>
          <w:sz w:val="20"/>
          <w:szCs w:val="20"/>
          <w:rtl/>
        </w:rPr>
        <w:t>–</w:t>
      </w:r>
      <w:r>
        <w:rPr>
          <w:rFonts w:hint="cs"/>
          <w:b/>
          <w:bCs/>
          <w:sz w:val="20"/>
          <w:szCs w:val="20"/>
          <w:rtl/>
        </w:rPr>
        <w:t xml:space="preserve"> רואה מחמת תשמיש ויש לה מכה באותו מקום</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גמרא </w:t>
      </w:r>
      <w:r>
        <w:rPr>
          <w:rFonts w:hint="cs"/>
          <w:sz w:val="20"/>
          <w:szCs w:val="20"/>
          <w:rtl/>
        </w:rPr>
        <w:t>(שם) "</w:t>
      </w:r>
      <w:r w:rsidRPr="002F05B8">
        <w:rPr>
          <w:rFonts w:cs="Arial" w:hint="cs"/>
          <w:sz w:val="20"/>
          <w:szCs w:val="20"/>
          <w:rtl/>
        </w:rPr>
        <w:t>ואם</w:t>
      </w:r>
      <w:r w:rsidRPr="002F05B8">
        <w:rPr>
          <w:rFonts w:cs="Arial"/>
          <w:sz w:val="20"/>
          <w:szCs w:val="20"/>
          <w:rtl/>
        </w:rPr>
        <w:t xml:space="preserve"> </w:t>
      </w:r>
      <w:r w:rsidRPr="002F05B8">
        <w:rPr>
          <w:rFonts w:cs="Arial" w:hint="cs"/>
          <w:sz w:val="20"/>
          <w:szCs w:val="20"/>
          <w:rtl/>
        </w:rPr>
        <w:t>יש</w:t>
      </w:r>
      <w:r w:rsidRPr="002F05B8">
        <w:rPr>
          <w:rFonts w:cs="Arial"/>
          <w:sz w:val="20"/>
          <w:szCs w:val="20"/>
          <w:rtl/>
        </w:rPr>
        <w:t xml:space="preserve"> </w:t>
      </w:r>
      <w:r w:rsidRPr="002F05B8">
        <w:rPr>
          <w:rFonts w:cs="Arial" w:hint="cs"/>
          <w:sz w:val="20"/>
          <w:szCs w:val="20"/>
          <w:rtl/>
        </w:rPr>
        <w:t>לה</w:t>
      </w:r>
      <w:r w:rsidRPr="002F05B8">
        <w:rPr>
          <w:rFonts w:cs="Arial"/>
          <w:sz w:val="20"/>
          <w:szCs w:val="20"/>
          <w:rtl/>
        </w:rPr>
        <w:t xml:space="preserve"> </w:t>
      </w:r>
      <w:r w:rsidRPr="002F05B8">
        <w:rPr>
          <w:rFonts w:cs="Arial" w:hint="cs"/>
          <w:sz w:val="20"/>
          <w:szCs w:val="20"/>
          <w:rtl/>
        </w:rPr>
        <w:t>מכה</w:t>
      </w:r>
      <w:r w:rsidRPr="002F05B8">
        <w:rPr>
          <w:rFonts w:cs="Arial"/>
          <w:sz w:val="20"/>
          <w:szCs w:val="20"/>
          <w:rtl/>
        </w:rPr>
        <w:t xml:space="preserve"> </w:t>
      </w:r>
      <w:r w:rsidRPr="002F05B8">
        <w:rPr>
          <w:rFonts w:cs="Arial" w:hint="cs"/>
          <w:sz w:val="20"/>
          <w:szCs w:val="20"/>
          <w:rtl/>
        </w:rPr>
        <w:t>באותו</w:t>
      </w:r>
      <w:r w:rsidRPr="002F05B8">
        <w:rPr>
          <w:rFonts w:cs="Arial"/>
          <w:sz w:val="20"/>
          <w:szCs w:val="20"/>
          <w:rtl/>
        </w:rPr>
        <w:t xml:space="preserve"> </w:t>
      </w:r>
      <w:r w:rsidRPr="002F05B8">
        <w:rPr>
          <w:rFonts w:cs="Arial" w:hint="cs"/>
          <w:sz w:val="20"/>
          <w:szCs w:val="20"/>
          <w:rtl/>
        </w:rPr>
        <w:t>מקום</w:t>
      </w:r>
      <w:r w:rsidRPr="002F05B8">
        <w:rPr>
          <w:rFonts w:cs="Arial"/>
          <w:sz w:val="20"/>
          <w:szCs w:val="20"/>
          <w:rtl/>
        </w:rPr>
        <w:t xml:space="preserve"> - </w:t>
      </w:r>
      <w:r w:rsidRPr="002F05B8">
        <w:rPr>
          <w:rFonts w:cs="Arial" w:hint="cs"/>
          <w:sz w:val="20"/>
          <w:szCs w:val="20"/>
          <w:rtl/>
        </w:rPr>
        <w:t>תולה</w:t>
      </w:r>
      <w:r w:rsidRPr="002F05B8">
        <w:rPr>
          <w:rFonts w:cs="Arial"/>
          <w:sz w:val="20"/>
          <w:szCs w:val="20"/>
          <w:rtl/>
        </w:rPr>
        <w:t xml:space="preserve"> </w:t>
      </w:r>
      <w:r w:rsidRPr="002F05B8">
        <w:rPr>
          <w:rFonts w:cs="Arial" w:hint="cs"/>
          <w:sz w:val="20"/>
          <w:szCs w:val="20"/>
          <w:rtl/>
        </w:rPr>
        <w:t>במכתה</w:t>
      </w:r>
      <w:r w:rsidRPr="002F05B8">
        <w:rPr>
          <w:rFonts w:cs="Arial"/>
          <w:sz w:val="20"/>
          <w:szCs w:val="20"/>
          <w:rtl/>
        </w:rPr>
        <w:t xml:space="preserve">. </w:t>
      </w:r>
      <w:r w:rsidRPr="002F05B8">
        <w:rPr>
          <w:rFonts w:cs="Arial" w:hint="cs"/>
          <w:sz w:val="20"/>
          <w:szCs w:val="20"/>
          <w:rtl/>
        </w:rPr>
        <w:t>ואם</w:t>
      </w:r>
      <w:r w:rsidRPr="002F05B8">
        <w:rPr>
          <w:rFonts w:cs="Arial"/>
          <w:sz w:val="20"/>
          <w:szCs w:val="20"/>
          <w:rtl/>
        </w:rPr>
        <w:t xml:space="preserve"> </w:t>
      </w:r>
      <w:r w:rsidRPr="002F05B8">
        <w:rPr>
          <w:rFonts w:cs="Arial" w:hint="cs"/>
          <w:sz w:val="20"/>
          <w:szCs w:val="20"/>
          <w:rtl/>
        </w:rPr>
        <w:t>היה</w:t>
      </w:r>
      <w:r w:rsidRPr="002F05B8">
        <w:rPr>
          <w:rFonts w:cs="Arial"/>
          <w:sz w:val="20"/>
          <w:szCs w:val="20"/>
          <w:rtl/>
        </w:rPr>
        <w:t xml:space="preserve"> </w:t>
      </w:r>
      <w:r w:rsidRPr="002F05B8">
        <w:rPr>
          <w:rFonts w:cs="Arial" w:hint="cs"/>
          <w:sz w:val="20"/>
          <w:szCs w:val="20"/>
          <w:rtl/>
        </w:rPr>
        <w:t>דם</w:t>
      </w:r>
      <w:r w:rsidRPr="002F05B8">
        <w:rPr>
          <w:rFonts w:cs="Arial"/>
          <w:sz w:val="20"/>
          <w:szCs w:val="20"/>
          <w:rtl/>
        </w:rPr>
        <w:t xml:space="preserve"> </w:t>
      </w:r>
      <w:r w:rsidRPr="002F05B8">
        <w:rPr>
          <w:rFonts w:cs="Arial" w:hint="cs"/>
          <w:sz w:val="20"/>
          <w:szCs w:val="20"/>
          <w:rtl/>
        </w:rPr>
        <w:t>מכתה</w:t>
      </w:r>
      <w:r w:rsidRPr="002F05B8">
        <w:rPr>
          <w:rFonts w:cs="Arial"/>
          <w:sz w:val="20"/>
          <w:szCs w:val="20"/>
          <w:rtl/>
        </w:rPr>
        <w:t xml:space="preserve"> </w:t>
      </w:r>
      <w:r w:rsidRPr="002F05B8">
        <w:rPr>
          <w:rFonts w:cs="Arial" w:hint="cs"/>
          <w:sz w:val="20"/>
          <w:szCs w:val="20"/>
          <w:rtl/>
        </w:rPr>
        <w:t>משונה</w:t>
      </w:r>
      <w:r w:rsidRPr="002F05B8">
        <w:rPr>
          <w:rFonts w:cs="Arial"/>
          <w:sz w:val="20"/>
          <w:szCs w:val="20"/>
          <w:rtl/>
        </w:rPr>
        <w:t xml:space="preserve"> </w:t>
      </w:r>
      <w:r w:rsidRPr="002F05B8">
        <w:rPr>
          <w:rFonts w:cs="Arial" w:hint="cs"/>
          <w:sz w:val="20"/>
          <w:szCs w:val="20"/>
          <w:rtl/>
        </w:rPr>
        <w:t>מדם</w:t>
      </w:r>
      <w:r w:rsidRPr="002F05B8">
        <w:rPr>
          <w:rFonts w:cs="Arial"/>
          <w:sz w:val="20"/>
          <w:szCs w:val="20"/>
          <w:rtl/>
        </w:rPr>
        <w:t xml:space="preserve"> </w:t>
      </w:r>
      <w:r w:rsidRPr="002F05B8">
        <w:rPr>
          <w:rFonts w:cs="Arial" w:hint="cs"/>
          <w:sz w:val="20"/>
          <w:szCs w:val="20"/>
          <w:rtl/>
        </w:rPr>
        <w:t>ראייתה</w:t>
      </w:r>
      <w:r w:rsidRPr="002F05B8">
        <w:rPr>
          <w:rFonts w:cs="Arial"/>
          <w:sz w:val="20"/>
          <w:szCs w:val="20"/>
          <w:rtl/>
        </w:rPr>
        <w:t xml:space="preserve"> - </w:t>
      </w:r>
      <w:r w:rsidRPr="002F05B8">
        <w:rPr>
          <w:rFonts w:cs="Arial" w:hint="cs"/>
          <w:sz w:val="20"/>
          <w:szCs w:val="20"/>
          <w:rtl/>
        </w:rPr>
        <w:t>אינה</w:t>
      </w:r>
      <w:r w:rsidRPr="002F05B8">
        <w:rPr>
          <w:rFonts w:cs="Arial"/>
          <w:sz w:val="20"/>
          <w:szCs w:val="20"/>
          <w:rtl/>
        </w:rPr>
        <w:t xml:space="preserve"> </w:t>
      </w:r>
      <w:r w:rsidRPr="002F05B8">
        <w:rPr>
          <w:rFonts w:cs="Arial" w:hint="cs"/>
          <w:sz w:val="20"/>
          <w:szCs w:val="20"/>
          <w:rtl/>
        </w:rPr>
        <w:t>תולה</w:t>
      </w:r>
      <w:r>
        <w:rPr>
          <w:rFonts w:cs="Arial" w:hint="cs"/>
          <w:sz w:val="20"/>
          <w:szCs w:val="20"/>
          <w:rtl/>
        </w:rPr>
        <w:t>".</w:t>
      </w:r>
    </w:p>
    <w:p w:rsidR="00620060" w:rsidRDefault="00620060" w:rsidP="00620060">
      <w:pPr>
        <w:rPr>
          <w:sz w:val="20"/>
          <w:szCs w:val="20"/>
          <w:rtl/>
        </w:rPr>
      </w:pPr>
      <w:r>
        <w:rPr>
          <w:rFonts w:hint="cs"/>
          <w:b/>
          <w:bCs/>
          <w:sz w:val="20"/>
          <w:szCs w:val="20"/>
          <w:rtl/>
        </w:rPr>
        <w:t>מתי חוששים שמא דם המכה משונה מדם ראייתה?</w:t>
      </w:r>
      <w:r>
        <w:rPr>
          <w:rFonts w:hint="cs"/>
          <w:sz w:val="20"/>
          <w:szCs w:val="20"/>
          <w:rtl/>
        </w:rPr>
        <w:br/>
        <w:t xml:space="preserve">א. </w:t>
      </w:r>
      <w:r w:rsidRPr="00E341A3">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אע"פ שאם דם המכה שונה מהדם שרואה מחמת תשמיש אין תולים במכה, מכל מקום זה רק אם </w:t>
      </w:r>
      <w:r w:rsidRPr="002F05B8">
        <w:rPr>
          <w:rFonts w:hint="cs"/>
          <w:sz w:val="20"/>
          <w:szCs w:val="20"/>
          <w:u w:val="single"/>
          <w:rtl/>
        </w:rPr>
        <w:t>התברר</w:t>
      </w:r>
      <w:r w:rsidRPr="002F05B8">
        <w:rPr>
          <w:rFonts w:hint="cs"/>
          <w:sz w:val="20"/>
          <w:szCs w:val="20"/>
          <w:rtl/>
        </w:rPr>
        <w:t xml:space="preserve"> </w:t>
      </w:r>
      <w:r>
        <w:rPr>
          <w:rFonts w:hint="cs"/>
          <w:sz w:val="20"/>
          <w:szCs w:val="20"/>
          <w:rtl/>
        </w:rPr>
        <w:t xml:space="preserve">שהדם משונה אך אין חוששים לומר שמא הוא משונה, וכ"פ </w:t>
      </w:r>
      <w:r w:rsidRPr="002F05B8">
        <w:rPr>
          <w:rFonts w:hint="cs"/>
          <w:b/>
          <w:bCs/>
          <w:sz w:val="20"/>
          <w:szCs w:val="20"/>
          <w:rtl/>
        </w:rPr>
        <w:t>הש"ך</w:t>
      </w:r>
      <w:r>
        <w:rPr>
          <w:rFonts w:hint="cs"/>
          <w:sz w:val="20"/>
          <w:szCs w:val="20"/>
          <w:rtl/>
        </w:rPr>
        <w:t>.</w:t>
      </w:r>
      <w:r>
        <w:rPr>
          <w:rFonts w:hint="cs"/>
          <w:sz w:val="20"/>
          <w:szCs w:val="20"/>
          <w:rtl/>
        </w:rPr>
        <w:br/>
      </w:r>
      <w:r w:rsidRPr="002F05B8">
        <w:rPr>
          <w:rFonts w:hint="cs"/>
          <w:b/>
          <w:bCs/>
          <w:sz w:val="20"/>
          <w:szCs w:val="20"/>
          <w:rtl/>
        </w:rPr>
        <w:t xml:space="preserve">טעם </w:t>
      </w:r>
      <w:r>
        <w:rPr>
          <w:sz w:val="20"/>
          <w:szCs w:val="20"/>
          <w:rtl/>
        </w:rPr>
        <w:t>–</w:t>
      </w:r>
      <w:r>
        <w:rPr>
          <w:rFonts w:hint="cs"/>
          <w:sz w:val="20"/>
          <w:szCs w:val="20"/>
          <w:rtl/>
        </w:rPr>
        <w:t xml:space="preserve"> האשה בחזקת טהרה עומדת עד שתראה בוודאי, וכל שיש לה לתלות תולה.</w:t>
      </w:r>
      <w:r>
        <w:rPr>
          <w:rFonts w:hint="cs"/>
          <w:sz w:val="20"/>
          <w:szCs w:val="20"/>
          <w:rtl/>
        </w:rPr>
        <w:br/>
        <w:t xml:space="preserve">מוסיף </w:t>
      </w:r>
      <w:r w:rsidRPr="00720FE4">
        <w:rPr>
          <w:rFonts w:hint="cs"/>
          <w:b/>
          <w:bCs/>
          <w:sz w:val="20"/>
          <w:szCs w:val="20"/>
          <w:rtl/>
        </w:rPr>
        <w:t xml:space="preserve">הש"ך </w:t>
      </w:r>
      <w:r>
        <w:rPr>
          <w:rFonts w:hint="cs"/>
          <w:sz w:val="20"/>
          <w:szCs w:val="20"/>
          <w:rtl/>
        </w:rPr>
        <w:t xml:space="preserve">שמשמע </w:t>
      </w:r>
      <w:r w:rsidRPr="00720FE4">
        <w:rPr>
          <w:rFonts w:hint="cs"/>
          <w:b/>
          <w:bCs/>
          <w:sz w:val="20"/>
          <w:szCs w:val="20"/>
          <w:rtl/>
        </w:rPr>
        <w:t>מהרא"ש</w:t>
      </w:r>
      <w:r>
        <w:rPr>
          <w:rFonts w:hint="cs"/>
          <w:sz w:val="20"/>
          <w:szCs w:val="20"/>
          <w:rtl/>
        </w:rPr>
        <w:t xml:space="preserve"> </w:t>
      </w:r>
      <w:r>
        <w:rPr>
          <w:sz w:val="20"/>
          <w:szCs w:val="20"/>
          <w:rtl/>
        </w:rPr>
        <w:t>–</w:t>
      </w:r>
      <w:r>
        <w:rPr>
          <w:rFonts w:hint="cs"/>
          <w:sz w:val="20"/>
          <w:szCs w:val="20"/>
          <w:rtl/>
        </w:rPr>
        <w:t xml:space="preserve"> אין צריך להראות את הדם לחכם ולבדוק האם הוא משונה.</w:t>
      </w:r>
      <w:r>
        <w:rPr>
          <w:sz w:val="20"/>
          <w:szCs w:val="20"/>
          <w:rtl/>
        </w:rPr>
        <w:br/>
      </w:r>
      <w:r>
        <w:rPr>
          <w:rFonts w:hint="cs"/>
          <w:sz w:val="20"/>
          <w:szCs w:val="20"/>
          <w:rtl/>
        </w:rPr>
        <w:t xml:space="preserve">ב. </w:t>
      </w:r>
      <w:r w:rsidRPr="002F05B8">
        <w:rPr>
          <w:rFonts w:hint="cs"/>
          <w:b/>
          <w:bCs/>
          <w:sz w:val="20"/>
          <w:szCs w:val="20"/>
          <w:rtl/>
        </w:rPr>
        <w:t>רמב"ן</w:t>
      </w:r>
      <w:r>
        <w:rPr>
          <w:rFonts w:hint="cs"/>
          <w:sz w:val="20"/>
          <w:szCs w:val="20"/>
          <w:rtl/>
        </w:rPr>
        <w:t xml:space="preserve"> </w:t>
      </w:r>
      <w:r>
        <w:rPr>
          <w:sz w:val="20"/>
          <w:szCs w:val="20"/>
          <w:rtl/>
        </w:rPr>
        <w:t>–</w:t>
      </w:r>
      <w:r>
        <w:rPr>
          <w:rFonts w:hint="cs"/>
          <w:sz w:val="20"/>
          <w:szCs w:val="20"/>
          <w:rtl/>
        </w:rPr>
        <w:t xml:space="preserve"> אין לתלות כיום במכה כלל.</w:t>
      </w:r>
      <w:r>
        <w:rPr>
          <w:sz w:val="20"/>
          <w:szCs w:val="20"/>
          <w:rtl/>
        </w:rPr>
        <w:br/>
      </w:r>
      <w:r w:rsidRPr="002F05B8">
        <w:rPr>
          <w:rFonts w:hint="cs"/>
          <w:b/>
          <w:bCs/>
          <w:sz w:val="20"/>
          <w:szCs w:val="20"/>
          <w:rtl/>
        </w:rPr>
        <w:t xml:space="preserve">טעם </w:t>
      </w:r>
      <w:r>
        <w:rPr>
          <w:sz w:val="20"/>
          <w:szCs w:val="20"/>
          <w:rtl/>
        </w:rPr>
        <w:t>–</w:t>
      </w:r>
      <w:r>
        <w:rPr>
          <w:rFonts w:hint="cs"/>
          <w:sz w:val="20"/>
          <w:szCs w:val="20"/>
          <w:rtl/>
        </w:rPr>
        <w:t xml:space="preserve"> איננו בקיאים האם דם המכה משונה מדם ראייתה.</w:t>
      </w:r>
      <w:r>
        <w:rPr>
          <w:sz w:val="20"/>
          <w:szCs w:val="20"/>
          <w:rtl/>
        </w:rPr>
        <w:br/>
      </w:r>
      <w:r>
        <w:rPr>
          <w:rFonts w:hint="cs"/>
          <w:sz w:val="20"/>
          <w:szCs w:val="20"/>
          <w:rtl/>
        </w:rPr>
        <w:t xml:space="preserve">כלומר </w:t>
      </w:r>
      <w:r>
        <w:rPr>
          <w:sz w:val="20"/>
          <w:szCs w:val="20"/>
          <w:rtl/>
        </w:rPr>
        <w:t>–</w:t>
      </w:r>
      <w:r>
        <w:rPr>
          <w:rFonts w:hint="cs"/>
          <w:sz w:val="20"/>
          <w:szCs w:val="20"/>
          <w:rtl/>
        </w:rPr>
        <w:t xml:space="preserve"> משמע מדבריו שיש חובה לברר זאת ועד שלא יתברר שזהו אותו מראה </w:t>
      </w:r>
      <w:r>
        <w:rPr>
          <w:sz w:val="20"/>
          <w:szCs w:val="20"/>
          <w:rtl/>
        </w:rPr>
        <w:t>–</w:t>
      </w:r>
      <w:r>
        <w:rPr>
          <w:rFonts w:hint="cs"/>
          <w:sz w:val="20"/>
          <w:szCs w:val="20"/>
          <w:rtl/>
        </w:rPr>
        <w:t xml:space="preserve"> אסורה.</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A413C0">
        <w:rPr>
          <w:rFonts w:cs="Arial" w:hint="cs"/>
          <w:sz w:val="20"/>
          <w:szCs w:val="20"/>
          <w:rtl/>
        </w:rPr>
        <w:t>אם</w:t>
      </w:r>
      <w:r w:rsidRPr="00A413C0">
        <w:rPr>
          <w:rFonts w:cs="Arial"/>
          <w:sz w:val="20"/>
          <w:szCs w:val="20"/>
          <w:rtl/>
        </w:rPr>
        <w:t xml:space="preserve"> </w:t>
      </w:r>
      <w:r w:rsidRPr="00A413C0">
        <w:rPr>
          <w:rFonts w:cs="Arial" w:hint="cs"/>
          <w:sz w:val="20"/>
          <w:szCs w:val="20"/>
          <w:rtl/>
        </w:rPr>
        <w:t>יש</w:t>
      </w:r>
      <w:r w:rsidRPr="00A413C0">
        <w:rPr>
          <w:rFonts w:cs="Arial"/>
          <w:sz w:val="20"/>
          <w:szCs w:val="20"/>
          <w:rtl/>
        </w:rPr>
        <w:t xml:space="preserve"> </w:t>
      </w:r>
      <w:r w:rsidRPr="00A413C0">
        <w:rPr>
          <w:rFonts w:cs="Arial" w:hint="cs"/>
          <w:sz w:val="20"/>
          <w:szCs w:val="20"/>
          <w:rtl/>
        </w:rPr>
        <w:t>מכה</w:t>
      </w:r>
      <w:r w:rsidRPr="00A413C0">
        <w:rPr>
          <w:rFonts w:cs="Arial"/>
          <w:sz w:val="20"/>
          <w:szCs w:val="20"/>
          <w:rtl/>
        </w:rPr>
        <w:t xml:space="preserve"> </w:t>
      </w:r>
      <w:r w:rsidRPr="00A413C0">
        <w:rPr>
          <w:rFonts w:cs="Arial" w:hint="cs"/>
          <w:sz w:val="20"/>
          <w:szCs w:val="20"/>
          <w:rtl/>
        </w:rPr>
        <w:t>באותו</w:t>
      </w:r>
      <w:r w:rsidRPr="00A413C0">
        <w:rPr>
          <w:rFonts w:cs="Arial"/>
          <w:sz w:val="20"/>
          <w:szCs w:val="20"/>
          <w:rtl/>
        </w:rPr>
        <w:t xml:space="preserve"> </w:t>
      </w:r>
      <w:r w:rsidRPr="00A413C0">
        <w:rPr>
          <w:rFonts w:cs="Arial" w:hint="cs"/>
          <w:sz w:val="20"/>
          <w:szCs w:val="20"/>
          <w:rtl/>
        </w:rPr>
        <w:t>מקום</w:t>
      </w:r>
      <w:r w:rsidRPr="00A413C0">
        <w:rPr>
          <w:rFonts w:cs="Arial"/>
          <w:sz w:val="20"/>
          <w:szCs w:val="20"/>
          <w:rtl/>
        </w:rPr>
        <w:t xml:space="preserve">, </w:t>
      </w:r>
      <w:r w:rsidRPr="00A413C0">
        <w:rPr>
          <w:rFonts w:cs="Arial" w:hint="cs"/>
          <w:sz w:val="20"/>
          <w:szCs w:val="20"/>
          <w:rtl/>
        </w:rPr>
        <w:t>תולין</w:t>
      </w:r>
      <w:r w:rsidRPr="00A413C0">
        <w:rPr>
          <w:rFonts w:cs="Arial"/>
          <w:sz w:val="20"/>
          <w:szCs w:val="20"/>
          <w:rtl/>
        </w:rPr>
        <w:t xml:space="preserve"> </w:t>
      </w:r>
      <w:r w:rsidRPr="00A413C0">
        <w:rPr>
          <w:rFonts w:cs="Arial" w:hint="cs"/>
          <w:sz w:val="20"/>
          <w:szCs w:val="20"/>
          <w:rtl/>
        </w:rPr>
        <w:t>בדם</w:t>
      </w:r>
      <w:r w:rsidRPr="00A413C0">
        <w:rPr>
          <w:rFonts w:cs="Arial"/>
          <w:sz w:val="20"/>
          <w:szCs w:val="20"/>
          <w:rtl/>
        </w:rPr>
        <w:t xml:space="preserve"> </w:t>
      </w:r>
      <w:r w:rsidRPr="00A413C0">
        <w:rPr>
          <w:rFonts w:cs="Arial" w:hint="cs"/>
          <w:sz w:val="20"/>
          <w:szCs w:val="20"/>
          <w:rtl/>
        </w:rPr>
        <w:t>מכתה</w:t>
      </w:r>
      <w:r w:rsidRPr="00A413C0">
        <w:rPr>
          <w:rFonts w:cs="Arial"/>
          <w:sz w:val="20"/>
          <w:szCs w:val="20"/>
          <w:rtl/>
        </w:rPr>
        <w:t xml:space="preserve">. </w:t>
      </w:r>
      <w:r w:rsidRPr="00A413C0">
        <w:rPr>
          <w:rFonts w:cs="Arial" w:hint="cs"/>
          <w:sz w:val="20"/>
          <w:szCs w:val="20"/>
          <w:rtl/>
        </w:rPr>
        <w:t>ואם</w:t>
      </w:r>
      <w:r w:rsidRPr="00A413C0">
        <w:rPr>
          <w:rFonts w:cs="Arial"/>
          <w:sz w:val="20"/>
          <w:szCs w:val="20"/>
          <w:rtl/>
        </w:rPr>
        <w:t xml:space="preserve"> </w:t>
      </w:r>
      <w:r w:rsidRPr="00A413C0">
        <w:rPr>
          <w:rFonts w:cs="Arial" w:hint="cs"/>
          <w:sz w:val="20"/>
          <w:szCs w:val="20"/>
          <w:rtl/>
        </w:rPr>
        <w:t>דם</w:t>
      </w:r>
      <w:r w:rsidRPr="00A413C0">
        <w:rPr>
          <w:rFonts w:cs="Arial"/>
          <w:sz w:val="20"/>
          <w:szCs w:val="20"/>
          <w:rtl/>
        </w:rPr>
        <w:t xml:space="preserve"> </w:t>
      </w:r>
      <w:r w:rsidRPr="00A413C0">
        <w:rPr>
          <w:rFonts w:cs="Arial" w:hint="cs"/>
          <w:sz w:val="20"/>
          <w:szCs w:val="20"/>
          <w:rtl/>
        </w:rPr>
        <w:t>מכתה</w:t>
      </w:r>
      <w:r w:rsidRPr="00A413C0">
        <w:rPr>
          <w:rFonts w:cs="Arial"/>
          <w:sz w:val="20"/>
          <w:szCs w:val="20"/>
          <w:rtl/>
        </w:rPr>
        <w:t xml:space="preserve"> </w:t>
      </w:r>
      <w:r w:rsidRPr="00A413C0">
        <w:rPr>
          <w:rFonts w:cs="Arial" w:hint="cs"/>
          <w:sz w:val="20"/>
          <w:szCs w:val="20"/>
          <w:rtl/>
        </w:rPr>
        <w:t>משונה</w:t>
      </w:r>
      <w:r w:rsidRPr="00A413C0">
        <w:rPr>
          <w:rFonts w:cs="Arial"/>
          <w:sz w:val="20"/>
          <w:szCs w:val="20"/>
          <w:rtl/>
        </w:rPr>
        <w:t xml:space="preserve"> </w:t>
      </w:r>
      <w:r w:rsidRPr="00A413C0">
        <w:rPr>
          <w:rFonts w:cs="Arial" w:hint="cs"/>
          <w:sz w:val="20"/>
          <w:szCs w:val="20"/>
          <w:rtl/>
        </w:rPr>
        <w:t>מדם</w:t>
      </w:r>
      <w:r w:rsidRPr="00A413C0">
        <w:rPr>
          <w:rFonts w:cs="Arial"/>
          <w:sz w:val="20"/>
          <w:szCs w:val="20"/>
          <w:rtl/>
        </w:rPr>
        <w:t xml:space="preserve"> </w:t>
      </w:r>
      <w:r w:rsidRPr="00A413C0">
        <w:rPr>
          <w:rFonts w:cs="Arial" w:hint="cs"/>
          <w:sz w:val="20"/>
          <w:szCs w:val="20"/>
          <w:rtl/>
        </w:rPr>
        <w:t>ראייתה</w:t>
      </w:r>
      <w:r w:rsidRPr="00A413C0">
        <w:rPr>
          <w:rFonts w:cs="Arial"/>
          <w:sz w:val="20"/>
          <w:szCs w:val="20"/>
          <w:rtl/>
        </w:rPr>
        <w:t xml:space="preserve">, </w:t>
      </w:r>
      <w:r w:rsidRPr="00A413C0">
        <w:rPr>
          <w:rFonts w:cs="Arial" w:hint="cs"/>
          <w:sz w:val="20"/>
          <w:szCs w:val="20"/>
          <w:rtl/>
        </w:rPr>
        <w:t>אינה</w:t>
      </w:r>
      <w:r w:rsidRPr="00A413C0">
        <w:rPr>
          <w:rFonts w:cs="Arial"/>
          <w:sz w:val="20"/>
          <w:szCs w:val="20"/>
          <w:rtl/>
        </w:rPr>
        <w:t xml:space="preserve"> </w:t>
      </w:r>
      <w:r w:rsidRPr="00A413C0">
        <w:rPr>
          <w:rFonts w:cs="Arial" w:hint="cs"/>
          <w:sz w:val="20"/>
          <w:szCs w:val="20"/>
          <w:rtl/>
        </w:rPr>
        <w:t>תולה</w:t>
      </w:r>
      <w:r w:rsidRPr="00A413C0">
        <w:rPr>
          <w:rFonts w:cs="Arial"/>
          <w:sz w:val="20"/>
          <w:szCs w:val="20"/>
          <w:rtl/>
        </w:rPr>
        <w:t xml:space="preserve"> </w:t>
      </w:r>
      <w:r w:rsidRPr="00A413C0">
        <w:rPr>
          <w:rFonts w:cs="Arial" w:hint="cs"/>
          <w:sz w:val="20"/>
          <w:szCs w:val="20"/>
          <w:rtl/>
        </w:rPr>
        <w:t>בדם</w:t>
      </w:r>
      <w:r w:rsidRPr="00A413C0">
        <w:rPr>
          <w:rFonts w:cs="Arial"/>
          <w:sz w:val="20"/>
          <w:szCs w:val="20"/>
          <w:rtl/>
        </w:rPr>
        <w:t xml:space="preserve"> </w:t>
      </w:r>
      <w:r w:rsidRPr="00A413C0">
        <w:rPr>
          <w:rFonts w:cs="Arial" w:hint="cs"/>
          <w:sz w:val="20"/>
          <w:szCs w:val="20"/>
          <w:rtl/>
        </w:rPr>
        <w:t>מכתה</w:t>
      </w:r>
      <w:r>
        <w:rPr>
          <w:rFonts w:cs="Arial" w:hint="cs"/>
          <w:sz w:val="20"/>
          <w:szCs w:val="20"/>
          <w:rtl/>
        </w:rPr>
        <w:t>".</w:t>
      </w:r>
      <w:r>
        <w:rPr>
          <w:rFonts w:hint="cs"/>
          <w:sz w:val="20"/>
          <w:szCs w:val="20"/>
          <w:rtl/>
        </w:rPr>
        <w:t xml:space="preserve"> </w:t>
      </w:r>
      <w:r>
        <w:rPr>
          <w:sz w:val="20"/>
          <w:szCs w:val="20"/>
          <w:rtl/>
        </w:rPr>
        <w:br/>
      </w:r>
      <w:r w:rsidRPr="00DE2348">
        <w:rPr>
          <w:rFonts w:hint="cs"/>
          <w:b/>
          <w:bCs/>
          <w:sz w:val="20"/>
          <w:szCs w:val="20"/>
          <w:rtl/>
        </w:rPr>
        <w:t>פרישה</w:t>
      </w:r>
      <w:r>
        <w:rPr>
          <w:rFonts w:hint="cs"/>
          <w:sz w:val="20"/>
          <w:szCs w:val="20"/>
          <w:rtl/>
        </w:rPr>
        <w:t xml:space="preserve"> </w:t>
      </w:r>
      <w:r w:rsidRPr="00DE2348">
        <w:rPr>
          <w:rFonts w:hint="cs"/>
          <w:sz w:val="18"/>
          <w:szCs w:val="18"/>
          <w:rtl/>
        </w:rPr>
        <w:t xml:space="preserve">(הו"ד </w:t>
      </w:r>
      <w:r w:rsidRPr="00DE2348">
        <w:rPr>
          <w:rFonts w:hint="cs"/>
          <w:b/>
          <w:bCs/>
          <w:sz w:val="18"/>
          <w:szCs w:val="18"/>
          <w:rtl/>
        </w:rPr>
        <w:t>בש"ך</w:t>
      </w:r>
      <w:r w:rsidRPr="00DE2348">
        <w:rPr>
          <w:rFonts w:hint="cs"/>
          <w:sz w:val="18"/>
          <w:szCs w:val="18"/>
          <w:rtl/>
        </w:rPr>
        <w:t xml:space="preserve">) </w:t>
      </w:r>
      <w:r>
        <w:rPr>
          <w:sz w:val="20"/>
          <w:szCs w:val="20"/>
          <w:rtl/>
        </w:rPr>
        <w:t>–</w:t>
      </w:r>
      <w:r>
        <w:rPr>
          <w:rFonts w:hint="cs"/>
          <w:sz w:val="20"/>
          <w:szCs w:val="20"/>
          <w:rtl/>
        </w:rPr>
        <w:t xml:space="preserve"> אם שני הדמים לפניו חייב לברר האם הם דומים או שונים, וכל אדם יכול לברר זאת.</w:t>
      </w:r>
    </w:p>
    <w:p w:rsidR="00620060" w:rsidRDefault="00620060" w:rsidP="00620060">
      <w:pPr>
        <w:rPr>
          <w:sz w:val="20"/>
          <w:szCs w:val="20"/>
          <w:rtl/>
        </w:rPr>
      </w:pPr>
      <w:r>
        <w:rPr>
          <w:rFonts w:hint="cs"/>
          <w:sz w:val="20"/>
          <w:szCs w:val="20"/>
          <w:u w:val="single"/>
          <w:rtl/>
        </w:rPr>
        <w:lastRenderedPageBreak/>
        <w:t>באיזו מכה תולים?</w:t>
      </w:r>
      <w:r>
        <w:rPr>
          <w:rFonts w:hint="cs"/>
          <w:sz w:val="20"/>
          <w:szCs w:val="20"/>
          <w:u w:val="single"/>
          <w:rtl/>
        </w:rPr>
        <w:br/>
      </w:r>
      <w:r w:rsidRPr="00A413C0">
        <w:rPr>
          <w:rFonts w:hint="cs"/>
          <w:b/>
          <w:bCs/>
          <w:sz w:val="20"/>
          <w:szCs w:val="20"/>
          <w:rtl/>
        </w:rPr>
        <w:t>ב"ח</w:t>
      </w:r>
      <w:r>
        <w:rPr>
          <w:rFonts w:hint="cs"/>
          <w:sz w:val="20"/>
          <w:szCs w:val="20"/>
          <w:rtl/>
        </w:rPr>
        <w:t xml:space="preserve"> </w:t>
      </w:r>
      <w:r w:rsidRPr="00A413C0">
        <w:rPr>
          <w:rFonts w:hint="cs"/>
          <w:sz w:val="18"/>
          <w:szCs w:val="18"/>
          <w:rtl/>
        </w:rPr>
        <w:t xml:space="preserve">(הו"ד בש"ך) </w:t>
      </w:r>
      <w:r>
        <w:rPr>
          <w:sz w:val="20"/>
          <w:szCs w:val="20"/>
          <w:rtl/>
        </w:rPr>
        <w:t>–</w:t>
      </w:r>
      <w:r>
        <w:rPr>
          <w:rFonts w:hint="cs"/>
          <w:sz w:val="20"/>
          <w:szCs w:val="20"/>
          <w:rtl/>
        </w:rPr>
        <w:t xml:space="preserve"> דווקא אם אומרת שיש לה מכה באותו מקום עצמו שמשם יוצא דם, אך אם אומרת סתם שיש לה מכה באותו אזור אין תולים את דם ראייתה במכה.</w:t>
      </w:r>
      <w:r>
        <w:rPr>
          <w:rStyle w:val="a5"/>
          <w:sz w:val="20"/>
          <w:szCs w:val="20"/>
          <w:rtl/>
        </w:rPr>
        <w:footnoteReference w:id="108"/>
      </w:r>
      <w:r>
        <w:rPr>
          <w:rFonts w:hint="cs"/>
          <w:sz w:val="20"/>
          <w:szCs w:val="20"/>
          <w:rtl/>
        </w:rPr>
        <w:t xml:space="preserve"> </w:t>
      </w:r>
      <w:r>
        <w:rPr>
          <w:rStyle w:val="a5"/>
          <w:sz w:val="20"/>
          <w:szCs w:val="20"/>
          <w:rtl/>
        </w:rPr>
        <w:footnoteReference w:id="109"/>
      </w:r>
      <w:r>
        <w:rPr>
          <w:rFonts w:hint="cs"/>
          <w:sz w:val="20"/>
          <w:szCs w:val="20"/>
          <w:rtl/>
        </w:rPr>
        <w:br/>
        <w:t xml:space="preserve">מסייג </w:t>
      </w:r>
      <w:r w:rsidRPr="00361FB7">
        <w:rPr>
          <w:rFonts w:hint="cs"/>
          <w:b/>
          <w:bCs/>
          <w:sz w:val="20"/>
          <w:szCs w:val="20"/>
          <w:rtl/>
        </w:rPr>
        <w:t>החוו"ד</w:t>
      </w:r>
      <w:r>
        <w:rPr>
          <w:rFonts w:hint="cs"/>
          <w:sz w:val="20"/>
          <w:szCs w:val="20"/>
          <w:rtl/>
        </w:rPr>
        <w:t xml:space="preserve"> </w:t>
      </w:r>
      <w:r w:rsidRPr="00BF4468">
        <w:rPr>
          <w:rFonts w:hint="cs"/>
          <w:sz w:val="18"/>
          <w:szCs w:val="18"/>
          <w:rtl/>
        </w:rPr>
        <w:t xml:space="preserve">(הו"ד בפת"ש) </w:t>
      </w:r>
      <w:r>
        <w:rPr>
          <w:sz w:val="20"/>
          <w:szCs w:val="20"/>
          <w:rtl/>
        </w:rPr>
        <w:t>–</w:t>
      </w:r>
      <w:r>
        <w:rPr>
          <w:rFonts w:hint="cs"/>
          <w:sz w:val="20"/>
          <w:szCs w:val="20"/>
          <w:rtl/>
        </w:rPr>
        <w:t xml:space="preserve"> דווקא אם אומרת שמרגישה את הדם יוצא מהמקור, אך אם אינה מרגישה שהדם יוצא מהמקור </w:t>
      </w:r>
      <w:r>
        <w:rPr>
          <w:sz w:val="20"/>
          <w:szCs w:val="20"/>
          <w:rtl/>
        </w:rPr>
        <w:t>–</w:t>
      </w:r>
      <w:r>
        <w:rPr>
          <w:rFonts w:hint="cs"/>
          <w:sz w:val="20"/>
          <w:szCs w:val="20"/>
          <w:rtl/>
        </w:rPr>
        <w:t xml:space="preserve"> תולים במכה אפילו ודאי שהיא בצדדים.</w:t>
      </w:r>
    </w:p>
    <w:p w:rsidR="00620060" w:rsidRDefault="00620060" w:rsidP="00620060">
      <w:pPr>
        <w:rPr>
          <w:sz w:val="20"/>
          <w:szCs w:val="20"/>
          <w:rtl/>
        </w:rPr>
      </w:pPr>
      <w:r>
        <w:rPr>
          <w:rFonts w:hint="cs"/>
          <w:sz w:val="20"/>
          <w:szCs w:val="20"/>
          <w:u w:val="single"/>
          <w:rtl/>
        </w:rPr>
        <w:t>מכה באברים פנימיים (פת"ש)</w:t>
      </w:r>
      <w:r>
        <w:rPr>
          <w:rFonts w:hint="cs"/>
          <w:sz w:val="20"/>
          <w:szCs w:val="20"/>
          <w:u w:val="single"/>
          <w:rtl/>
        </w:rPr>
        <w:br/>
      </w:r>
      <w:r w:rsidRPr="00DC0368">
        <w:rPr>
          <w:rFonts w:hint="cs"/>
          <w:b/>
          <w:bCs/>
          <w:sz w:val="20"/>
          <w:szCs w:val="20"/>
          <w:rtl/>
        </w:rPr>
        <w:t>פנים מאירות</w:t>
      </w:r>
      <w:r>
        <w:rPr>
          <w:rFonts w:hint="cs"/>
          <w:sz w:val="20"/>
          <w:szCs w:val="20"/>
          <w:rtl/>
        </w:rPr>
        <w:t xml:space="preserve"> </w:t>
      </w:r>
      <w:r>
        <w:rPr>
          <w:sz w:val="20"/>
          <w:szCs w:val="20"/>
          <w:rtl/>
        </w:rPr>
        <w:t>–</w:t>
      </w:r>
      <w:r>
        <w:rPr>
          <w:rFonts w:hint="cs"/>
          <w:sz w:val="20"/>
          <w:szCs w:val="20"/>
          <w:rtl/>
        </w:rPr>
        <w:t xml:space="preserve"> אם יש לה מכה באברים פנימיים, שדרכו של הדם להיבלע בגופה ולצאת דרך המקור, אינה תולה במכה זו.</w:t>
      </w:r>
      <w:r>
        <w:rPr>
          <w:sz w:val="20"/>
          <w:szCs w:val="20"/>
          <w:rtl/>
        </w:rPr>
        <w:br/>
      </w:r>
      <w:r w:rsidRPr="00DC0368">
        <w:rPr>
          <w:rFonts w:hint="cs"/>
          <w:b/>
          <w:bCs/>
          <w:sz w:val="20"/>
          <w:szCs w:val="20"/>
          <w:rtl/>
        </w:rPr>
        <w:t>טעם</w:t>
      </w:r>
      <w:r>
        <w:rPr>
          <w:rFonts w:hint="cs"/>
          <w:sz w:val="20"/>
          <w:szCs w:val="20"/>
          <w:rtl/>
        </w:rPr>
        <w:t xml:space="preserve"> </w:t>
      </w:r>
      <w:r w:rsidRPr="00DC0368">
        <w:rPr>
          <w:rFonts w:hint="cs"/>
          <w:sz w:val="18"/>
          <w:szCs w:val="18"/>
          <w:rtl/>
        </w:rPr>
        <w:t xml:space="preserve">(בדה"ש) </w:t>
      </w:r>
      <w:r>
        <w:rPr>
          <w:sz w:val="20"/>
          <w:szCs w:val="20"/>
          <w:rtl/>
        </w:rPr>
        <w:t>–</w:t>
      </w:r>
      <w:r>
        <w:rPr>
          <w:rFonts w:hint="cs"/>
          <w:sz w:val="20"/>
          <w:szCs w:val="20"/>
          <w:rtl/>
        </w:rPr>
        <w:t xml:space="preserve"> כל דמי האשה כך הם, שע"י ריבוי דמים נובעים משאר אבריה לגידי המקור.</w:t>
      </w:r>
    </w:p>
    <w:p w:rsidR="00620060" w:rsidRDefault="00620060" w:rsidP="00620060">
      <w:pPr>
        <w:rPr>
          <w:sz w:val="20"/>
          <w:szCs w:val="20"/>
          <w:rtl/>
        </w:rPr>
      </w:pPr>
      <w:r>
        <w:rPr>
          <w:rFonts w:hint="cs"/>
          <w:sz w:val="20"/>
          <w:szCs w:val="20"/>
          <w:u w:val="single"/>
          <w:rtl/>
        </w:rPr>
        <w:t>מראה דם מכה שיוצא באופן יזום (פת"ש)</w:t>
      </w:r>
      <w:r>
        <w:rPr>
          <w:sz w:val="20"/>
          <w:szCs w:val="20"/>
          <w:u w:val="single"/>
          <w:rtl/>
        </w:rPr>
        <w:br/>
      </w:r>
      <w:r w:rsidRPr="00F175A2">
        <w:rPr>
          <w:rFonts w:hint="cs"/>
          <w:b/>
          <w:bCs/>
          <w:sz w:val="20"/>
          <w:szCs w:val="20"/>
          <w:rtl/>
        </w:rPr>
        <w:t>נודע ביהודה</w:t>
      </w:r>
      <w:r>
        <w:rPr>
          <w:rFonts w:hint="cs"/>
          <w:sz w:val="20"/>
          <w:szCs w:val="20"/>
          <w:rtl/>
        </w:rPr>
        <w:t xml:space="preserve"> </w:t>
      </w:r>
      <w:r>
        <w:rPr>
          <w:sz w:val="20"/>
          <w:szCs w:val="20"/>
          <w:rtl/>
        </w:rPr>
        <w:t>–</w:t>
      </w:r>
      <w:r>
        <w:rPr>
          <w:rFonts w:hint="cs"/>
          <w:sz w:val="20"/>
          <w:szCs w:val="20"/>
          <w:rtl/>
        </w:rPr>
        <w:t xml:space="preserve"> אע"פ שאם דם מכתה שונה מדם ראייתה אינה תולה בו, היינו דווקא דם מכה היוצא מאליו, אך אם הוציאה דם זה באופן יזום ע"י הכנסת אצבע לאותו מקום וע"י כך צבע הדם שונה </w:t>
      </w:r>
      <w:r>
        <w:rPr>
          <w:sz w:val="20"/>
          <w:szCs w:val="20"/>
          <w:rtl/>
        </w:rPr>
        <w:t>–</w:t>
      </w:r>
      <w:r>
        <w:rPr>
          <w:rFonts w:hint="cs"/>
          <w:sz w:val="20"/>
          <w:szCs w:val="20"/>
          <w:rtl/>
        </w:rPr>
        <w:t xml:space="preserve"> אין להחמיר.</w:t>
      </w:r>
      <w:r>
        <w:rPr>
          <w:sz w:val="20"/>
          <w:szCs w:val="20"/>
          <w:rtl/>
        </w:rPr>
        <w:br/>
      </w:r>
      <w:r w:rsidRPr="00F175A2">
        <w:rPr>
          <w:rFonts w:hint="cs"/>
          <w:b/>
          <w:bCs/>
          <w:sz w:val="20"/>
          <w:szCs w:val="20"/>
          <w:rtl/>
        </w:rPr>
        <w:t xml:space="preserve">טעם </w:t>
      </w:r>
      <w:r>
        <w:rPr>
          <w:sz w:val="20"/>
          <w:szCs w:val="20"/>
          <w:rtl/>
        </w:rPr>
        <w:t>–</w:t>
      </w:r>
      <w:r>
        <w:rPr>
          <w:rFonts w:hint="cs"/>
          <w:sz w:val="20"/>
          <w:szCs w:val="20"/>
          <w:rtl/>
        </w:rPr>
        <w:t xml:space="preserve"> הדם יצא לפני שהתבשל ולכן הוא שונה.</w:t>
      </w:r>
      <w:r>
        <w:rPr>
          <w:rStyle w:val="a5"/>
          <w:sz w:val="20"/>
          <w:szCs w:val="20"/>
          <w:rtl/>
        </w:rPr>
        <w:footnoteReference w:id="110"/>
      </w:r>
    </w:p>
    <w:p w:rsidR="00620060" w:rsidRPr="0028678F" w:rsidRDefault="00620060" w:rsidP="00620060">
      <w:pPr>
        <w:rPr>
          <w:sz w:val="20"/>
          <w:szCs w:val="20"/>
          <w:rtl/>
        </w:rPr>
      </w:pPr>
      <w:r>
        <w:rPr>
          <w:rFonts w:hint="cs"/>
          <w:sz w:val="20"/>
          <w:szCs w:val="20"/>
          <w:u w:val="single"/>
          <w:rtl/>
        </w:rPr>
        <w:t>האם בשבעה נקיים צריכה להשוות את הדמים זה לזה? (פת"ש)</w:t>
      </w:r>
      <w:r>
        <w:rPr>
          <w:rFonts w:hint="cs"/>
          <w:sz w:val="20"/>
          <w:szCs w:val="20"/>
          <w:u w:val="single"/>
          <w:rtl/>
        </w:rPr>
        <w:br/>
      </w:r>
      <w:r>
        <w:rPr>
          <w:rFonts w:hint="cs"/>
          <w:sz w:val="20"/>
          <w:szCs w:val="20"/>
          <w:rtl/>
        </w:rPr>
        <w:t xml:space="preserve">א. </w:t>
      </w:r>
      <w:r>
        <w:rPr>
          <w:rFonts w:hint="cs"/>
          <w:b/>
          <w:bCs/>
          <w:sz w:val="20"/>
          <w:szCs w:val="20"/>
          <w:rtl/>
        </w:rPr>
        <w:t>דגמ"ר</w:t>
      </w:r>
      <w:r>
        <w:rPr>
          <w:rFonts w:hint="cs"/>
          <w:sz w:val="20"/>
          <w:szCs w:val="20"/>
          <w:rtl/>
        </w:rPr>
        <w:t xml:space="preserve"> </w:t>
      </w:r>
      <w:r>
        <w:rPr>
          <w:sz w:val="20"/>
          <w:szCs w:val="20"/>
          <w:rtl/>
        </w:rPr>
        <w:t>–</w:t>
      </w:r>
      <w:r>
        <w:rPr>
          <w:rFonts w:hint="cs"/>
          <w:sz w:val="20"/>
          <w:szCs w:val="20"/>
          <w:rtl/>
        </w:rPr>
        <w:t xml:space="preserve"> בז' נקיים צריך עיון האם צריכה להשוות את דם מכתה לדם ראייתה.</w:t>
      </w:r>
      <w:r>
        <w:rPr>
          <w:sz w:val="20"/>
          <w:szCs w:val="20"/>
          <w:rtl/>
        </w:rPr>
        <w:br/>
      </w:r>
      <w:r w:rsidRPr="0028678F">
        <w:rPr>
          <w:rFonts w:hint="cs"/>
          <w:b/>
          <w:bCs/>
          <w:sz w:val="20"/>
          <w:szCs w:val="20"/>
          <w:rtl/>
        </w:rPr>
        <w:t xml:space="preserve">טעם </w:t>
      </w:r>
      <w:r>
        <w:rPr>
          <w:sz w:val="20"/>
          <w:szCs w:val="20"/>
          <w:rtl/>
        </w:rPr>
        <w:t>–</w:t>
      </w:r>
      <w:r>
        <w:rPr>
          <w:rFonts w:hint="cs"/>
          <w:sz w:val="20"/>
          <w:szCs w:val="20"/>
          <w:rtl/>
        </w:rPr>
        <w:t xml:space="preserve"> בימים אלו היא אינה בחזקת טהרה.</w:t>
      </w:r>
      <w:r>
        <w:rPr>
          <w:sz w:val="20"/>
          <w:szCs w:val="20"/>
          <w:rtl/>
        </w:rPr>
        <w:br/>
      </w:r>
      <w:r>
        <w:rPr>
          <w:rFonts w:hint="cs"/>
          <w:sz w:val="20"/>
          <w:szCs w:val="20"/>
          <w:rtl/>
        </w:rPr>
        <w:t xml:space="preserve">ב. </w:t>
      </w:r>
      <w:r w:rsidRPr="0028678F">
        <w:rPr>
          <w:rFonts w:hint="cs"/>
          <w:b/>
          <w:bCs/>
          <w:sz w:val="20"/>
          <w:szCs w:val="20"/>
          <w:rtl/>
        </w:rPr>
        <w:t>חוות דעת</w:t>
      </w:r>
      <w:r>
        <w:rPr>
          <w:rFonts w:hint="cs"/>
          <w:sz w:val="20"/>
          <w:szCs w:val="20"/>
          <w:rtl/>
        </w:rPr>
        <w:t xml:space="preserve"> </w:t>
      </w:r>
      <w:r>
        <w:rPr>
          <w:sz w:val="20"/>
          <w:szCs w:val="20"/>
          <w:rtl/>
        </w:rPr>
        <w:t>–</w:t>
      </w:r>
      <w:r>
        <w:rPr>
          <w:rFonts w:hint="cs"/>
          <w:sz w:val="20"/>
          <w:szCs w:val="20"/>
          <w:rtl/>
        </w:rPr>
        <w:t xml:space="preserve"> גם בימים אלו אינה צריכה להשוות את הדמים זה לזה.</w:t>
      </w:r>
      <w:r>
        <w:rPr>
          <w:sz w:val="20"/>
          <w:szCs w:val="20"/>
          <w:rtl/>
        </w:rPr>
        <w:br/>
      </w:r>
      <w:r w:rsidRPr="0028678F">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גם בימי ליבונה היא עומדת בחזקת טהרה.</w:t>
      </w:r>
    </w:p>
    <w:p w:rsidR="00620060" w:rsidRDefault="00620060" w:rsidP="00620060">
      <w:pPr>
        <w:rPr>
          <w:sz w:val="20"/>
          <w:szCs w:val="20"/>
          <w:rtl/>
        </w:rPr>
      </w:pPr>
      <w:r>
        <w:rPr>
          <w:rFonts w:hint="cs"/>
          <w:b/>
          <w:bCs/>
          <w:sz w:val="20"/>
          <w:szCs w:val="20"/>
          <w:rtl/>
        </w:rPr>
        <w:t>האם צריכה להרגיש שהדם מגיע מהמכה?</w:t>
      </w:r>
      <w:r>
        <w:rPr>
          <w:rFonts w:hint="cs"/>
          <w:b/>
          <w:bCs/>
          <w:sz w:val="20"/>
          <w:szCs w:val="20"/>
          <w:rtl/>
        </w:rPr>
        <w:br/>
        <w:t>שיטות הראשונים</w:t>
      </w:r>
      <w:r>
        <w:rPr>
          <w:b/>
          <w:bCs/>
          <w:sz w:val="20"/>
          <w:szCs w:val="20"/>
          <w:rtl/>
        </w:rPr>
        <w:br/>
      </w:r>
      <w:r>
        <w:rPr>
          <w:rFonts w:hint="cs"/>
          <w:sz w:val="20"/>
          <w:szCs w:val="20"/>
          <w:rtl/>
        </w:rPr>
        <w:t xml:space="preserve">א. </w:t>
      </w:r>
      <w:r w:rsidRPr="00283A87">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אפילו אם אינה מרגישה שהדם מגיע מהמכה, אלא יודעת שיש מכה באותו מקום - אינה רמ"ת.</w:t>
      </w:r>
      <w:r>
        <w:rPr>
          <w:sz w:val="20"/>
          <w:szCs w:val="20"/>
          <w:rtl/>
        </w:rPr>
        <w:br/>
      </w:r>
      <w:r w:rsidRPr="00283A87">
        <w:rPr>
          <w:rFonts w:hint="cs"/>
          <w:b/>
          <w:bCs/>
          <w:sz w:val="20"/>
          <w:szCs w:val="20"/>
          <w:rtl/>
        </w:rPr>
        <w:t xml:space="preserve">טעם </w:t>
      </w:r>
      <w:r>
        <w:rPr>
          <w:sz w:val="20"/>
          <w:szCs w:val="20"/>
          <w:rtl/>
        </w:rPr>
        <w:t>–</w:t>
      </w:r>
      <w:r>
        <w:rPr>
          <w:rFonts w:hint="cs"/>
          <w:sz w:val="20"/>
          <w:szCs w:val="20"/>
          <w:rtl/>
        </w:rPr>
        <w:t xml:space="preserve"> אין עיניה בין מכתה לדעת שהדם בא מהמכה.</w:t>
      </w:r>
      <w:r>
        <w:rPr>
          <w:rStyle w:val="a5"/>
          <w:sz w:val="20"/>
          <w:szCs w:val="20"/>
          <w:rtl/>
        </w:rPr>
        <w:footnoteReference w:id="111"/>
      </w:r>
      <w:r>
        <w:rPr>
          <w:rFonts w:hint="cs"/>
          <w:sz w:val="20"/>
          <w:szCs w:val="20"/>
          <w:rtl/>
        </w:rPr>
        <w:br/>
        <w:t xml:space="preserve">ב. </w:t>
      </w:r>
      <w:r w:rsidRPr="0037147A">
        <w:rPr>
          <w:rFonts w:hint="cs"/>
          <w:b/>
          <w:bCs/>
          <w:sz w:val="20"/>
          <w:szCs w:val="20"/>
          <w:rtl/>
        </w:rPr>
        <w:t>ספר התרומה</w:t>
      </w:r>
      <w:r>
        <w:rPr>
          <w:rFonts w:hint="cs"/>
          <w:sz w:val="20"/>
          <w:szCs w:val="20"/>
          <w:rtl/>
        </w:rPr>
        <w:t xml:space="preserve"> </w:t>
      </w:r>
      <w:r>
        <w:rPr>
          <w:sz w:val="20"/>
          <w:szCs w:val="20"/>
          <w:rtl/>
        </w:rPr>
        <w:t>–</w:t>
      </w:r>
      <w:r>
        <w:rPr>
          <w:rFonts w:hint="cs"/>
          <w:sz w:val="20"/>
          <w:szCs w:val="20"/>
          <w:rtl/>
        </w:rPr>
        <w:t xml:space="preserve"> דווקא אם יודעת שמכתה מוציאה דם נאמנת ואינה רמ"ת, אך אם יש לה מכה באותו מקום ואינה מרגישה שהדם שותת ממנה, היא רמ"ת.</w:t>
      </w:r>
      <w:r>
        <w:rPr>
          <w:rFonts w:hint="cs"/>
          <w:sz w:val="20"/>
          <w:szCs w:val="20"/>
          <w:rtl/>
        </w:rPr>
        <w:br/>
        <w:t xml:space="preserve">ג. </w:t>
      </w:r>
      <w:r w:rsidRPr="0037147A">
        <w:rPr>
          <w:rFonts w:hint="cs"/>
          <w:b/>
          <w:bCs/>
          <w:sz w:val="20"/>
          <w:szCs w:val="20"/>
          <w:rtl/>
        </w:rPr>
        <w:t>תרומת הדשן</w:t>
      </w:r>
      <w:r>
        <w:rPr>
          <w:rFonts w:hint="cs"/>
          <w:sz w:val="20"/>
          <w:szCs w:val="20"/>
          <w:rtl/>
        </w:rPr>
        <w:t xml:space="preserve"> </w:t>
      </w:r>
      <w:r>
        <w:rPr>
          <w:sz w:val="20"/>
          <w:szCs w:val="20"/>
          <w:rtl/>
        </w:rPr>
        <w:t>–</w:t>
      </w:r>
      <w:r>
        <w:rPr>
          <w:rFonts w:hint="cs"/>
          <w:sz w:val="20"/>
          <w:szCs w:val="20"/>
          <w:rtl/>
        </w:rPr>
        <w:t xml:space="preserve"> אם יש לה ווסת קבוע, אפילו אינה יודעת שמכתה מוציאה דם, שלא בשעת ווסתה אינה רמ"ת, וכ"פ </w:t>
      </w:r>
      <w:r w:rsidRPr="0021672A">
        <w:rPr>
          <w:rFonts w:hint="cs"/>
          <w:b/>
          <w:bCs/>
          <w:sz w:val="20"/>
          <w:szCs w:val="20"/>
          <w:rtl/>
        </w:rPr>
        <w:t>הרמ"א</w:t>
      </w:r>
      <w:r>
        <w:rPr>
          <w:rFonts w:hint="cs"/>
          <w:sz w:val="20"/>
          <w:szCs w:val="20"/>
          <w:rtl/>
        </w:rPr>
        <w:t>.</w:t>
      </w:r>
      <w:r>
        <w:rPr>
          <w:rStyle w:val="a5"/>
          <w:sz w:val="20"/>
          <w:szCs w:val="20"/>
          <w:rtl/>
        </w:rPr>
        <w:footnoteReference w:id="112"/>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sz w:val="20"/>
          <w:szCs w:val="20"/>
          <w:rtl/>
        </w:rPr>
        <w:t xml:space="preserve">א. </w:t>
      </w:r>
      <w:r>
        <w:rPr>
          <w:rFonts w:hint="cs"/>
          <w:b/>
          <w:bCs/>
          <w:sz w:val="20"/>
          <w:szCs w:val="20"/>
          <w:rtl/>
        </w:rPr>
        <w:t>רמ"א</w:t>
      </w:r>
      <w:r w:rsidRPr="003D3823">
        <w:rPr>
          <w:rStyle w:val="a5"/>
          <w:sz w:val="20"/>
          <w:szCs w:val="20"/>
          <w:rtl/>
        </w:rPr>
        <w:footnoteReference w:id="113"/>
      </w:r>
      <w:r w:rsidRPr="003D3823">
        <w:rPr>
          <w:rFonts w:hint="cs"/>
          <w:sz w:val="20"/>
          <w:szCs w:val="20"/>
          <w:rtl/>
        </w:rPr>
        <w:t xml:space="preserve"> </w:t>
      </w:r>
      <w:r>
        <w:rPr>
          <w:sz w:val="20"/>
          <w:szCs w:val="20"/>
          <w:rtl/>
        </w:rPr>
        <w:t>–</w:t>
      </w:r>
      <w:r>
        <w:rPr>
          <w:rFonts w:hint="cs"/>
          <w:sz w:val="20"/>
          <w:szCs w:val="20"/>
          <w:rtl/>
        </w:rPr>
        <w:t xml:space="preserve"> </w:t>
      </w:r>
      <w:r w:rsidRPr="002409E7">
        <w:rPr>
          <w:rFonts w:hint="cs"/>
          <w:sz w:val="18"/>
          <w:szCs w:val="18"/>
          <w:rtl/>
        </w:rPr>
        <w:t>"</w:t>
      </w:r>
      <w:r w:rsidRPr="002409E7">
        <w:rPr>
          <w:rFonts w:cs="Arial" w:hint="cs"/>
          <w:sz w:val="18"/>
          <w:szCs w:val="18"/>
          <w:rtl/>
        </w:rPr>
        <w:t>וכל</w:t>
      </w:r>
      <w:r w:rsidRPr="002409E7">
        <w:rPr>
          <w:rFonts w:cs="Arial"/>
          <w:sz w:val="18"/>
          <w:szCs w:val="18"/>
          <w:rtl/>
        </w:rPr>
        <w:t xml:space="preserve"> </w:t>
      </w:r>
      <w:r w:rsidRPr="002409E7">
        <w:rPr>
          <w:rFonts w:cs="Arial" w:hint="cs"/>
          <w:sz w:val="18"/>
          <w:szCs w:val="18"/>
          <w:rtl/>
        </w:rPr>
        <w:t>זה</w:t>
      </w:r>
      <w:r w:rsidRPr="002409E7">
        <w:rPr>
          <w:rFonts w:cs="Arial"/>
          <w:sz w:val="18"/>
          <w:szCs w:val="18"/>
          <w:rtl/>
        </w:rPr>
        <w:t xml:space="preserve"> </w:t>
      </w:r>
      <w:r w:rsidRPr="002409E7">
        <w:rPr>
          <w:rFonts w:cs="Arial" w:hint="cs"/>
          <w:sz w:val="18"/>
          <w:szCs w:val="18"/>
          <w:rtl/>
        </w:rPr>
        <w:t>באשה</w:t>
      </w:r>
      <w:r w:rsidRPr="002409E7">
        <w:rPr>
          <w:rFonts w:cs="Arial"/>
          <w:sz w:val="18"/>
          <w:szCs w:val="18"/>
          <w:rtl/>
        </w:rPr>
        <w:t xml:space="preserve"> </w:t>
      </w:r>
      <w:r w:rsidRPr="002409E7">
        <w:rPr>
          <w:rFonts w:cs="Arial" w:hint="cs"/>
          <w:sz w:val="18"/>
          <w:szCs w:val="18"/>
          <w:rtl/>
        </w:rPr>
        <w:t>שיש</w:t>
      </w:r>
      <w:r w:rsidRPr="002409E7">
        <w:rPr>
          <w:rFonts w:cs="Arial"/>
          <w:sz w:val="18"/>
          <w:szCs w:val="18"/>
          <w:rtl/>
        </w:rPr>
        <w:t xml:space="preserve"> </w:t>
      </w:r>
      <w:r w:rsidRPr="002409E7">
        <w:rPr>
          <w:rFonts w:cs="Arial" w:hint="cs"/>
          <w:sz w:val="18"/>
          <w:szCs w:val="18"/>
          <w:rtl/>
        </w:rPr>
        <w:t>לה</w:t>
      </w:r>
      <w:r w:rsidRPr="002409E7">
        <w:rPr>
          <w:rFonts w:cs="Arial"/>
          <w:sz w:val="18"/>
          <w:szCs w:val="18"/>
          <w:rtl/>
        </w:rPr>
        <w:t xml:space="preserve"> </w:t>
      </w:r>
      <w:r w:rsidRPr="002409E7">
        <w:rPr>
          <w:rFonts w:cs="Arial" w:hint="cs"/>
          <w:sz w:val="18"/>
          <w:szCs w:val="18"/>
          <w:rtl/>
        </w:rPr>
        <w:t>וסת</w:t>
      </w:r>
      <w:r w:rsidRPr="002409E7">
        <w:rPr>
          <w:rFonts w:cs="Arial"/>
          <w:sz w:val="18"/>
          <w:szCs w:val="18"/>
          <w:rtl/>
        </w:rPr>
        <w:t xml:space="preserve"> </w:t>
      </w:r>
      <w:r w:rsidRPr="002409E7">
        <w:rPr>
          <w:rFonts w:cs="Arial" w:hint="cs"/>
          <w:sz w:val="18"/>
          <w:szCs w:val="18"/>
          <w:rtl/>
        </w:rPr>
        <w:t>קבוע</w:t>
      </w:r>
      <w:r w:rsidRPr="002409E7">
        <w:rPr>
          <w:rFonts w:cs="Arial"/>
          <w:sz w:val="18"/>
          <w:szCs w:val="18"/>
          <w:rtl/>
        </w:rPr>
        <w:t xml:space="preserve">, </w:t>
      </w:r>
      <w:r w:rsidRPr="002409E7">
        <w:rPr>
          <w:rFonts w:cs="Arial" w:hint="cs"/>
          <w:sz w:val="18"/>
          <w:szCs w:val="18"/>
          <w:rtl/>
        </w:rPr>
        <w:t>ואז</w:t>
      </w:r>
      <w:r w:rsidRPr="002409E7">
        <w:rPr>
          <w:rFonts w:cs="Arial"/>
          <w:sz w:val="18"/>
          <w:szCs w:val="18"/>
          <w:rtl/>
        </w:rPr>
        <w:t xml:space="preserve"> </w:t>
      </w:r>
      <w:r w:rsidRPr="002409E7">
        <w:rPr>
          <w:rFonts w:cs="Arial" w:hint="cs"/>
          <w:sz w:val="18"/>
          <w:szCs w:val="18"/>
          <w:rtl/>
        </w:rPr>
        <w:t>יכולים</w:t>
      </w:r>
      <w:r w:rsidRPr="002409E7">
        <w:rPr>
          <w:rFonts w:cs="Arial"/>
          <w:sz w:val="18"/>
          <w:szCs w:val="18"/>
          <w:rtl/>
        </w:rPr>
        <w:t xml:space="preserve"> </w:t>
      </w:r>
      <w:r w:rsidRPr="002409E7">
        <w:rPr>
          <w:rFonts w:cs="Arial" w:hint="cs"/>
          <w:sz w:val="18"/>
          <w:szCs w:val="18"/>
          <w:rtl/>
        </w:rPr>
        <w:t>לתלות</w:t>
      </w:r>
      <w:r w:rsidRPr="002409E7">
        <w:rPr>
          <w:rFonts w:cs="Arial"/>
          <w:sz w:val="18"/>
          <w:szCs w:val="18"/>
          <w:rtl/>
        </w:rPr>
        <w:t xml:space="preserve"> </w:t>
      </w:r>
      <w:r w:rsidRPr="002409E7">
        <w:rPr>
          <w:rFonts w:cs="Arial" w:hint="cs"/>
          <w:sz w:val="18"/>
          <w:szCs w:val="18"/>
          <w:rtl/>
        </w:rPr>
        <w:t>שלא</w:t>
      </w:r>
      <w:r w:rsidRPr="002409E7">
        <w:rPr>
          <w:rFonts w:cs="Arial"/>
          <w:sz w:val="18"/>
          <w:szCs w:val="18"/>
          <w:rtl/>
        </w:rPr>
        <w:t xml:space="preserve"> </w:t>
      </w:r>
      <w:r w:rsidRPr="002409E7">
        <w:rPr>
          <w:rFonts w:cs="Arial" w:hint="cs"/>
          <w:sz w:val="18"/>
          <w:szCs w:val="18"/>
          <w:rtl/>
        </w:rPr>
        <w:t>בשעת</w:t>
      </w:r>
      <w:r w:rsidRPr="002409E7">
        <w:rPr>
          <w:rFonts w:cs="Arial"/>
          <w:sz w:val="18"/>
          <w:szCs w:val="18"/>
          <w:rtl/>
        </w:rPr>
        <w:t xml:space="preserve"> </w:t>
      </w:r>
      <w:r w:rsidRPr="002409E7">
        <w:rPr>
          <w:rFonts w:cs="Arial" w:hint="cs"/>
          <w:sz w:val="18"/>
          <w:szCs w:val="18"/>
          <w:rtl/>
        </w:rPr>
        <w:t>וסתה</w:t>
      </w:r>
      <w:r w:rsidRPr="002409E7">
        <w:rPr>
          <w:rFonts w:cs="Arial"/>
          <w:sz w:val="18"/>
          <w:szCs w:val="18"/>
          <w:rtl/>
        </w:rPr>
        <w:t xml:space="preserve"> </w:t>
      </w:r>
      <w:r w:rsidRPr="002409E7">
        <w:rPr>
          <w:rFonts w:cs="Arial" w:hint="cs"/>
          <w:sz w:val="18"/>
          <w:szCs w:val="18"/>
          <w:rtl/>
        </w:rPr>
        <w:t>במכתה</w:t>
      </w:r>
      <w:r w:rsidRPr="002409E7">
        <w:rPr>
          <w:rFonts w:cs="Arial"/>
          <w:sz w:val="18"/>
          <w:szCs w:val="18"/>
          <w:rtl/>
        </w:rPr>
        <w:t xml:space="preserve">, </w:t>
      </w:r>
      <w:r w:rsidRPr="002409E7">
        <w:rPr>
          <w:rFonts w:cs="Arial" w:hint="cs"/>
          <w:sz w:val="18"/>
          <w:szCs w:val="18"/>
          <w:rtl/>
        </w:rPr>
        <w:t>אף</w:t>
      </w:r>
      <w:r w:rsidRPr="002409E7">
        <w:rPr>
          <w:rFonts w:cs="Arial"/>
          <w:sz w:val="18"/>
          <w:szCs w:val="18"/>
          <w:rtl/>
        </w:rPr>
        <w:t xml:space="preserve"> </w:t>
      </w:r>
      <w:r w:rsidRPr="002409E7">
        <w:rPr>
          <w:rFonts w:cs="Arial" w:hint="cs"/>
          <w:sz w:val="18"/>
          <w:szCs w:val="18"/>
          <w:rtl/>
        </w:rPr>
        <w:t>על</w:t>
      </w:r>
      <w:r w:rsidRPr="002409E7">
        <w:rPr>
          <w:rFonts w:cs="Arial"/>
          <w:sz w:val="18"/>
          <w:szCs w:val="18"/>
          <w:rtl/>
        </w:rPr>
        <w:t xml:space="preserve"> </w:t>
      </w:r>
      <w:r w:rsidRPr="002409E7">
        <w:rPr>
          <w:rFonts w:cs="Arial" w:hint="cs"/>
          <w:sz w:val="18"/>
          <w:szCs w:val="18"/>
          <w:rtl/>
        </w:rPr>
        <w:t>פי</w:t>
      </w:r>
      <w:r w:rsidRPr="002409E7">
        <w:rPr>
          <w:rFonts w:cs="Arial"/>
          <w:sz w:val="18"/>
          <w:szCs w:val="18"/>
          <w:rtl/>
        </w:rPr>
        <w:t xml:space="preserve"> </w:t>
      </w:r>
      <w:r w:rsidRPr="002409E7">
        <w:rPr>
          <w:rFonts w:cs="Arial" w:hint="cs"/>
          <w:sz w:val="18"/>
          <w:szCs w:val="18"/>
          <w:rtl/>
        </w:rPr>
        <w:t>שאינה</w:t>
      </w:r>
      <w:r w:rsidRPr="002409E7">
        <w:rPr>
          <w:rFonts w:cs="Arial"/>
          <w:sz w:val="18"/>
          <w:szCs w:val="18"/>
          <w:rtl/>
        </w:rPr>
        <w:t xml:space="preserve"> </w:t>
      </w:r>
      <w:r w:rsidRPr="002409E7">
        <w:rPr>
          <w:rFonts w:cs="Arial" w:hint="cs"/>
          <w:sz w:val="18"/>
          <w:szCs w:val="18"/>
          <w:rtl/>
        </w:rPr>
        <w:t>יודעת</w:t>
      </w:r>
      <w:r w:rsidRPr="002409E7">
        <w:rPr>
          <w:rFonts w:cs="Arial"/>
          <w:sz w:val="18"/>
          <w:szCs w:val="18"/>
          <w:rtl/>
        </w:rPr>
        <w:t xml:space="preserve"> </w:t>
      </w:r>
      <w:r w:rsidRPr="002409E7">
        <w:rPr>
          <w:rFonts w:cs="Arial" w:hint="cs"/>
          <w:sz w:val="18"/>
          <w:szCs w:val="18"/>
          <w:rtl/>
        </w:rPr>
        <w:t>בודאי</w:t>
      </w:r>
      <w:r w:rsidRPr="002409E7">
        <w:rPr>
          <w:rFonts w:cs="Arial"/>
          <w:sz w:val="18"/>
          <w:szCs w:val="18"/>
          <w:rtl/>
        </w:rPr>
        <w:t xml:space="preserve"> </w:t>
      </w:r>
      <w:r w:rsidRPr="002409E7">
        <w:rPr>
          <w:rFonts w:cs="Arial" w:hint="cs"/>
          <w:sz w:val="18"/>
          <w:szCs w:val="18"/>
          <w:rtl/>
        </w:rPr>
        <w:t>שמכתה</w:t>
      </w:r>
      <w:r w:rsidRPr="002409E7">
        <w:rPr>
          <w:rFonts w:cs="Arial"/>
          <w:sz w:val="18"/>
          <w:szCs w:val="18"/>
          <w:rtl/>
        </w:rPr>
        <w:t xml:space="preserve"> </w:t>
      </w:r>
      <w:r w:rsidRPr="002409E7">
        <w:rPr>
          <w:rFonts w:cs="Arial" w:hint="cs"/>
          <w:sz w:val="18"/>
          <w:szCs w:val="18"/>
          <w:rtl/>
        </w:rPr>
        <w:t>הוציאה</w:t>
      </w:r>
      <w:r w:rsidRPr="002409E7">
        <w:rPr>
          <w:rFonts w:cs="Arial"/>
          <w:sz w:val="18"/>
          <w:szCs w:val="18"/>
          <w:rtl/>
        </w:rPr>
        <w:t xml:space="preserve"> </w:t>
      </w:r>
      <w:r w:rsidRPr="002409E7">
        <w:rPr>
          <w:rFonts w:cs="Arial" w:hint="cs"/>
          <w:sz w:val="18"/>
          <w:szCs w:val="18"/>
          <w:rtl/>
        </w:rPr>
        <w:t>דם".</w:t>
      </w:r>
      <w:r>
        <w:rPr>
          <w:b/>
          <w:bCs/>
          <w:sz w:val="20"/>
          <w:szCs w:val="20"/>
          <w:rtl/>
        </w:rPr>
        <w:br/>
      </w:r>
      <w:r>
        <w:rPr>
          <w:rFonts w:hint="cs"/>
          <w:sz w:val="20"/>
          <w:szCs w:val="20"/>
          <w:rtl/>
        </w:rPr>
        <w:t xml:space="preserve">ב. </w:t>
      </w:r>
      <w:r w:rsidRPr="00CA05D2">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דברי הרמ"א אינם, אלא יש להקל רק כשיש לה ווסת קבוע </w:t>
      </w:r>
      <w:r w:rsidRPr="000D3E1A">
        <w:rPr>
          <w:rFonts w:hint="cs"/>
          <w:sz w:val="20"/>
          <w:szCs w:val="20"/>
          <w:u w:val="single"/>
          <w:rtl/>
        </w:rPr>
        <w:t>ויודעת</w:t>
      </w:r>
      <w:r>
        <w:rPr>
          <w:rFonts w:hint="cs"/>
          <w:sz w:val="20"/>
          <w:szCs w:val="20"/>
          <w:rtl/>
        </w:rPr>
        <w:t xml:space="preserve"> בוודאי שמכתה מוציאה דם, ועיין הערה.</w:t>
      </w:r>
      <w:r>
        <w:rPr>
          <w:rStyle w:val="a5"/>
          <w:sz w:val="20"/>
          <w:szCs w:val="20"/>
          <w:rtl/>
        </w:rPr>
        <w:footnoteReference w:id="114"/>
      </w:r>
    </w:p>
    <w:p w:rsidR="00620060" w:rsidRDefault="00620060" w:rsidP="00620060">
      <w:pPr>
        <w:rPr>
          <w:sz w:val="20"/>
          <w:szCs w:val="20"/>
          <w:rtl/>
        </w:rPr>
      </w:pPr>
      <w:r>
        <w:rPr>
          <w:rFonts w:hint="cs"/>
          <w:sz w:val="20"/>
          <w:szCs w:val="20"/>
          <w:u w:val="single"/>
          <w:rtl/>
        </w:rPr>
        <w:lastRenderedPageBreak/>
        <w:t xml:space="preserve">קולות לדעת הט"ז </w:t>
      </w:r>
      <w:r>
        <w:rPr>
          <w:rFonts w:hint="cs"/>
          <w:sz w:val="20"/>
          <w:szCs w:val="20"/>
          <w:u w:val="single"/>
          <w:rtl/>
        </w:rPr>
        <w:br/>
      </w:r>
      <w:r>
        <w:rPr>
          <w:rFonts w:hint="cs"/>
          <w:sz w:val="20"/>
          <w:szCs w:val="20"/>
          <w:rtl/>
        </w:rPr>
        <w:t xml:space="preserve">אע"פ שהט"ז החמיר כנגד הרמ"א, מכל מקום הקל בשני מקרים אע"פ שאינה יודעת שמכתה מוציאה דם - </w:t>
      </w:r>
      <w:r>
        <w:rPr>
          <w:sz w:val="20"/>
          <w:szCs w:val="20"/>
          <w:rtl/>
        </w:rPr>
        <w:br/>
      </w:r>
      <w:r>
        <w:rPr>
          <w:rFonts w:hint="cs"/>
          <w:sz w:val="20"/>
          <w:szCs w:val="20"/>
          <w:rtl/>
        </w:rPr>
        <w:t>א. אם בשעה שרואה דם מרגישה כאב הוי הוכחה שהדם בא מהמכה, ואע"פ שאחר כך ממשיכה לראות דם ללא כאב יש להתירה, משום שמסתבר שדם זה בא מתמצית הדם שבא מחמת המכה.</w:t>
      </w:r>
      <w:r>
        <w:rPr>
          <w:rFonts w:hint="cs"/>
          <w:sz w:val="20"/>
          <w:szCs w:val="20"/>
          <w:rtl/>
        </w:rPr>
        <w:br/>
        <w:t xml:space="preserve">ב. אם יש לה מכה שדרכה להוציא דם אצל נשים אחרות, אע"פ שזו אינה יודעת אם מכתה מוציאה דם </w:t>
      </w:r>
      <w:r>
        <w:rPr>
          <w:sz w:val="20"/>
          <w:szCs w:val="20"/>
          <w:rtl/>
        </w:rPr>
        <w:t>–</w:t>
      </w:r>
      <w:r>
        <w:rPr>
          <w:rFonts w:hint="cs"/>
          <w:sz w:val="20"/>
          <w:szCs w:val="20"/>
          <w:rtl/>
        </w:rPr>
        <w:t xml:space="preserve"> יש לתלות במכה.</w:t>
      </w:r>
    </w:p>
    <w:p w:rsidR="00620060" w:rsidRDefault="00620060" w:rsidP="00620060">
      <w:pPr>
        <w:rPr>
          <w:sz w:val="20"/>
          <w:szCs w:val="20"/>
          <w:rtl/>
        </w:rPr>
      </w:pPr>
      <w:r>
        <w:rPr>
          <w:rFonts w:hint="cs"/>
          <w:sz w:val="20"/>
          <w:szCs w:val="20"/>
          <w:u w:val="single"/>
          <w:rtl/>
        </w:rPr>
        <w:t>נשים נוספות שמקלים בהן לשיטת הרמ"א (פת"ש)</w:t>
      </w:r>
      <w:r>
        <w:rPr>
          <w:sz w:val="20"/>
          <w:szCs w:val="20"/>
          <w:u w:val="single"/>
          <w:rtl/>
        </w:rPr>
        <w:br/>
      </w:r>
      <w:r>
        <w:rPr>
          <w:rFonts w:hint="cs"/>
          <w:sz w:val="20"/>
          <w:szCs w:val="20"/>
          <w:rtl/>
        </w:rPr>
        <w:t xml:space="preserve">א. </w:t>
      </w:r>
      <w:r w:rsidRPr="00563FA5">
        <w:rPr>
          <w:rFonts w:hint="cs"/>
          <w:b/>
          <w:bCs/>
          <w:sz w:val="20"/>
          <w:szCs w:val="20"/>
          <w:rtl/>
        </w:rPr>
        <w:t>בית מאיר</w:t>
      </w:r>
      <w:r>
        <w:rPr>
          <w:rFonts w:hint="cs"/>
          <w:sz w:val="20"/>
          <w:szCs w:val="20"/>
          <w:rtl/>
        </w:rPr>
        <w:t xml:space="preserve"> </w:t>
      </w:r>
      <w:r>
        <w:rPr>
          <w:sz w:val="20"/>
          <w:szCs w:val="20"/>
          <w:rtl/>
        </w:rPr>
        <w:t>–</w:t>
      </w:r>
      <w:r>
        <w:rPr>
          <w:rFonts w:hint="cs"/>
          <w:sz w:val="20"/>
          <w:szCs w:val="20"/>
          <w:rtl/>
        </w:rPr>
        <w:t xml:space="preserve"> דין זקנה כדין אשה שיש לה ווסת, ויש להקל בה כאמור לעיל.</w:t>
      </w:r>
      <w:r>
        <w:rPr>
          <w:sz w:val="20"/>
          <w:szCs w:val="20"/>
          <w:rtl/>
        </w:rPr>
        <w:br/>
      </w:r>
      <w:r>
        <w:rPr>
          <w:rFonts w:hint="cs"/>
          <w:sz w:val="20"/>
          <w:szCs w:val="20"/>
          <w:rtl/>
        </w:rPr>
        <w:t xml:space="preserve">ב. </w:t>
      </w:r>
      <w:r w:rsidRPr="00563FA5">
        <w:rPr>
          <w:rFonts w:hint="cs"/>
          <w:b/>
          <w:bCs/>
          <w:sz w:val="20"/>
          <w:szCs w:val="20"/>
          <w:rtl/>
        </w:rPr>
        <w:t>חוות דעת</w:t>
      </w:r>
      <w:r>
        <w:rPr>
          <w:rFonts w:hint="cs"/>
          <w:sz w:val="20"/>
          <w:szCs w:val="20"/>
          <w:rtl/>
        </w:rPr>
        <w:t xml:space="preserve"> </w:t>
      </w:r>
      <w:r>
        <w:rPr>
          <w:sz w:val="20"/>
          <w:szCs w:val="20"/>
          <w:rtl/>
        </w:rPr>
        <w:t>–</w:t>
      </w:r>
      <w:r>
        <w:rPr>
          <w:rFonts w:hint="cs"/>
          <w:sz w:val="20"/>
          <w:szCs w:val="20"/>
          <w:rtl/>
        </w:rPr>
        <w:t xml:space="preserve"> אשה שאין לה ווסת קבוע אך כל משך זמן מסויים, כגון יד' יום למודה שאינה רואה, באותם הימים דינה כאשה שיש לה ווסת קבוע.</w:t>
      </w:r>
    </w:p>
    <w:p w:rsidR="00620060" w:rsidRDefault="00620060" w:rsidP="00620060">
      <w:pPr>
        <w:rPr>
          <w:sz w:val="20"/>
          <w:szCs w:val="20"/>
          <w:rtl/>
        </w:rPr>
      </w:pPr>
      <w:r>
        <w:rPr>
          <w:rFonts w:hint="cs"/>
          <w:b/>
          <w:bCs/>
          <w:sz w:val="20"/>
          <w:szCs w:val="20"/>
          <w:rtl/>
        </w:rPr>
        <w:t>קולא נוספת של הרמ"א במכה שאין ידוע אם מוציאה דם</w:t>
      </w:r>
      <w:r>
        <w:rPr>
          <w:b/>
          <w:b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רמ"א </w:t>
      </w:r>
      <w:r>
        <w:rPr>
          <w:sz w:val="20"/>
          <w:szCs w:val="20"/>
          <w:rtl/>
        </w:rPr>
        <w:t>–</w:t>
      </w:r>
      <w:r>
        <w:rPr>
          <w:rFonts w:hint="cs"/>
          <w:sz w:val="20"/>
          <w:szCs w:val="20"/>
          <w:rtl/>
        </w:rPr>
        <w:t xml:space="preserve"> </w:t>
      </w:r>
      <w:r w:rsidRPr="00623FD4">
        <w:rPr>
          <w:rFonts w:hint="cs"/>
          <w:sz w:val="18"/>
          <w:szCs w:val="18"/>
          <w:rtl/>
        </w:rPr>
        <w:t>"</w:t>
      </w:r>
      <w:r w:rsidRPr="00623FD4">
        <w:rPr>
          <w:rFonts w:cs="Arial"/>
          <w:sz w:val="18"/>
          <w:szCs w:val="18"/>
          <w:rtl/>
        </w:rPr>
        <w:t>וכן אם אין לה וסת קבוע, והוא ספק אם הדם בא מן המקור או מן הצדדין, תלינן במכה מכ</w:t>
      </w:r>
      <w:r>
        <w:rPr>
          <w:rFonts w:cs="Arial" w:hint="cs"/>
          <w:sz w:val="18"/>
          <w:szCs w:val="18"/>
          <w:rtl/>
        </w:rPr>
        <w:t>ו</w:t>
      </w:r>
      <w:r w:rsidRPr="00623FD4">
        <w:rPr>
          <w:rFonts w:cs="Arial"/>
          <w:sz w:val="18"/>
          <w:szCs w:val="18"/>
          <w:rtl/>
        </w:rPr>
        <w:t>ח ספק ספיקא, ספק מן הצדדין או מן המקור, וא</w:t>
      </w:r>
      <w:r w:rsidRPr="00623FD4">
        <w:rPr>
          <w:rFonts w:cs="Arial" w:hint="cs"/>
          <w:sz w:val="18"/>
          <w:szCs w:val="18"/>
          <w:rtl/>
        </w:rPr>
        <w:t xml:space="preserve">ם תמצי לומר </w:t>
      </w:r>
      <w:r w:rsidRPr="00623FD4">
        <w:rPr>
          <w:rFonts w:cs="Arial"/>
          <w:sz w:val="18"/>
          <w:szCs w:val="18"/>
          <w:rtl/>
        </w:rPr>
        <w:t>מן המקור, שמא הוא מן המכה</w:t>
      </w:r>
      <w:r w:rsidRPr="00623FD4">
        <w:rPr>
          <w:rFonts w:cs="Arial" w:hint="cs"/>
          <w:sz w:val="18"/>
          <w:szCs w:val="18"/>
          <w:rtl/>
        </w:rPr>
        <w:t>".</w:t>
      </w:r>
      <w:r>
        <w:rPr>
          <w:rStyle w:val="a5"/>
          <w:sz w:val="20"/>
          <w:szCs w:val="20"/>
          <w:rtl/>
        </w:rPr>
        <w:footnoteReference w:id="115"/>
      </w:r>
    </w:p>
    <w:p w:rsidR="00620060" w:rsidRDefault="00620060" w:rsidP="00620060">
      <w:pPr>
        <w:rPr>
          <w:sz w:val="20"/>
          <w:szCs w:val="20"/>
          <w:rtl/>
        </w:rPr>
      </w:pPr>
      <w:r>
        <w:rPr>
          <w:rFonts w:hint="cs"/>
          <w:b/>
          <w:bCs/>
          <w:sz w:val="20"/>
          <w:szCs w:val="20"/>
          <w:rtl/>
        </w:rPr>
        <w:t xml:space="preserve">דחיית פסק הרמ"א </w:t>
      </w:r>
      <w:r>
        <w:rPr>
          <w:b/>
          <w:bCs/>
          <w:sz w:val="20"/>
          <w:szCs w:val="20"/>
          <w:rtl/>
        </w:rPr>
        <w:t>–</w:t>
      </w:r>
      <w:r>
        <w:rPr>
          <w:rFonts w:hint="cs"/>
          <w:b/>
          <w:bCs/>
          <w:sz w:val="20"/>
          <w:szCs w:val="20"/>
          <w:rtl/>
        </w:rPr>
        <w:t xml:space="preserve"> ש"ך</w:t>
      </w:r>
      <w:r>
        <w:rPr>
          <w:b/>
          <w:bCs/>
          <w:sz w:val="20"/>
          <w:szCs w:val="20"/>
          <w:rtl/>
        </w:rPr>
        <w:br/>
      </w:r>
      <w:r>
        <w:rPr>
          <w:rFonts w:hint="cs"/>
          <w:sz w:val="20"/>
          <w:szCs w:val="20"/>
          <w:u w:val="single"/>
          <w:rtl/>
        </w:rPr>
        <w:t xml:space="preserve">מקור דברי הרמ"א </w:t>
      </w:r>
      <w:r>
        <w:rPr>
          <w:sz w:val="20"/>
          <w:szCs w:val="20"/>
          <w:u w:val="single"/>
          <w:rtl/>
        </w:rPr>
        <w:br/>
      </w:r>
      <w:r>
        <w:rPr>
          <w:rFonts w:hint="cs"/>
          <w:b/>
          <w:bCs/>
          <w:sz w:val="20"/>
          <w:szCs w:val="20"/>
          <w:rtl/>
        </w:rPr>
        <w:t xml:space="preserve">ש"ך </w:t>
      </w:r>
      <w:r>
        <w:rPr>
          <w:sz w:val="20"/>
          <w:szCs w:val="20"/>
          <w:rtl/>
        </w:rPr>
        <w:t>–</w:t>
      </w:r>
      <w:r>
        <w:rPr>
          <w:rFonts w:hint="cs"/>
          <w:sz w:val="20"/>
          <w:szCs w:val="20"/>
          <w:rtl/>
        </w:rPr>
        <w:t xml:space="preserve"> מקור דברי הרמ"א, ע"פ מה שכתב </w:t>
      </w:r>
      <w:r w:rsidRPr="00D84190">
        <w:rPr>
          <w:rFonts w:hint="cs"/>
          <w:b/>
          <w:bCs/>
          <w:sz w:val="20"/>
          <w:szCs w:val="20"/>
          <w:rtl/>
        </w:rPr>
        <w:t>בדרכי משה</w:t>
      </w:r>
      <w:r>
        <w:rPr>
          <w:rFonts w:hint="cs"/>
          <w:sz w:val="20"/>
          <w:szCs w:val="20"/>
          <w:rtl/>
        </w:rPr>
        <w:t xml:space="preserve">, הוא בדברי </w:t>
      </w:r>
      <w:r w:rsidRPr="00D84190">
        <w:rPr>
          <w:rFonts w:hint="cs"/>
          <w:b/>
          <w:bCs/>
          <w:sz w:val="20"/>
          <w:szCs w:val="20"/>
          <w:rtl/>
        </w:rPr>
        <w:t>הגהש"ד</w:t>
      </w:r>
      <w:r>
        <w:rPr>
          <w:rFonts w:hint="cs"/>
          <w:sz w:val="20"/>
          <w:szCs w:val="20"/>
          <w:rtl/>
        </w:rPr>
        <w:t>, זו לשונו:</w:t>
      </w:r>
      <w:r>
        <w:rPr>
          <w:sz w:val="20"/>
          <w:szCs w:val="20"/>
          <w:rtl/>
        </w:rPr>
        <w:br/>
        <w:t>"</w:t>
      </w:r>
      <w:r w:rsidRPr="00623FD4">
        <w:rPr>
          <w:rFonts w:cs="Arial"/>
          <w:sz w:val="20"/>
          <w:szCs w:val="20"/>
          <w:rtl/>
        </w:rPr>
        <w:t>אשה שיש לה מכה באותו מקום ואינה יודעת אם המכה מוציאה דם</w:t>
      </w:r>
      <w:r>
        <w:rPr>
          <w:rFonts w:cs="Arial" w:hint="cs"/>
          <w:sz w:val="20"/>
          <w:szCs w:val="20"/>
          <w:rtl/>
        </w:rPr>
        <w:t>,</w:t>
      </w:r>
      <w:r w:rsidRPr="00623FD4">
        <w:rPr>
          <w:rFonts w:cs="Arial"/>
          <w:sz w:val="20"/>
          <w:szCs w:val="20"/>
          <w:rtl/>
        </w:rPr>
        <w:t xml:space="preserve"> אם מרגשת בעצמה שהדם בא מן הרחם טמאה ואינה יכולה לתלות במכה</w:t>
      </w:r>
      <w:r>
        <w:rPr>
          <w:rFonts w:cs="Arial" w:hint="cs"/>
          <w:sz w:val="20"/>
          <w:szCs w:val="20"/>
          <w:rtl/>
        </w:rPr>
        <w:t>,</w:t>
      </w:r>
      <w:r w:rsidRPr="00623FD4">
        <w:rPr>
          <w:rFonts w:cs="Arial"/>
          <w:sz w:val="20"/>
          <w:szCs w:val="20"/>
          <w:rtl/>
        </w:rPr>
        <w:t xml:space="preserve"> ואם יודעת שבא מן המכה טהורה שתולה במכה</w:t>
      </w:r>
      <w:r>
        <w:rPr>
          <w:rFonts w:cs="Arial" w:hint="cs"/>
          <w:sz w:val="20"/>
          <w:szCs w:val="20"/>
          <w:rtl/>
        </w:rPr>
        <w:t>.</w:t>
      </w:r>
      <w:r w:rsidRPr="00623FD4">
        <w:rPr>
          <w:rFonts w:cs="Arial"/>
          <w:sz w:val="20"/>
          <w:szCs w:val="20"/>
          <w:rtl/>
        </w:rPr>
        <w:t xml:space="preserve"> </w:t>
      </w:r>
      <w:r>
        <w:rPr>
          <w:rFonts w:cs="Arial"/>
          <w:sz w:val="20"/>
          <w:szCs w:val="20"/>
          <w:rtl/>
        </w:rPr>
        <w:br/>
      </w:r>
      <w:r w:rsidRPr="00623FD4">
        <w:rPr>
          <w:rFonts w:cs="Arial"/>
          <w:sz w:val="20"/>
          <w:szCs w:val="20"/>
          <w:rtl/>
        </w:rPr>
        <w:t xml:space="preserve">אבל בשעת וסתה אף על פי שיודעת שבא מן המכה </w:t>
      </w:r>
      <w:r>
        <w:rPr>
          <w:rFonts w:cs="Arial"/>
          <w:sz w:val="20"/>
          <w:szCs w:val="20"/>
          <w:rtl/>
        </w:rPr>
        <w:t>–</w:t>
      </w:r>
      <w:r>
        <w:rPr>
          <w:rFonts w:cs="Arial" w:hint="cs"/>
          <w:sz w:val="20"/>
          <w:szCs w:val="20"/>
          <w:rtl/>
        </w:rPr>
        <w:t xml:space="preserve"> </w:t>
      </w:r>
      <w:r w:rsidRPr="00623FD4">
        <w:rPr>
          <w:rFonts w:cs="Arial"/>
          <w:sz w:val="20"/>
          <w:szCs w:val="20"/>
          <w:rtl/>
        </w:rPr>
        <w:t>טמאה</w:t>
      </w:r>
      <w:r>
        <w:rPr>
          <w:rFonts w:cs="Arial" w:hint="cs"/>
          <w:sz w:val="20"/>
          <w:szCs w:val="20"/>
          <w:rtl/>
        </w:rPr>
        <w:t>,</w:t>
      </w:r>
      <w:r w:rsidRPr="00623FD4">
        <w:rPr>
          <w:rFonts w:cs="Arial"/>
          <w:sz w:val="20"/>
          <w:szCs w:val="20"/>
          <w:rtl/>
        </w:rPr>
        <w:t xml:space="preserve"> דא</w:t>
      </w:r>
      <w:r>
        <w:rPr>
          <w:rFonts w:cs="Arial" w:hint="cs"/>
          <w:sz w:val="20"/>
          <w:szCs w:val="20"/>
          <w:rtl/>
        </w:rPr>
        <w:t xml:space="preserve">ם לא כן </w:t>
      </w:r>
      <w:r w:rsidRPr="00623FD4">
        <w:rPr>
          <w:rFonts w:cs="Arial"/>
          <w:sz w:val="20"/>
          <w:szCs w:val="20"/>
          <w:rtl/>
        </w:rPr>
        <w:t>אשה שיש לה מכה באותו מקום לא תהא טמאה לעולם</w:t>
      </w:r>
      <w:r>
        <w:rPr>
          <w:rFonts w:cs="Arial" w:hint="cs"/>
          <w:sz w:val="20"/>
          <w:szCs w:val="20"/>
          <w:rtl/>
        </w:rPr>
        <w:t>.</w:t>
      </w:r>
      <w:r w:rsidRPr="00623FD4">
        <w:rPr>
          <w:rFonts w:cs="Arial"/>
          <w:sz w:val="20"/>
          <w:szCs w:val="20"/>
          <w:rtl/>
        </w:rPr>
        <w:t xml:space="preserve"> אך כל כתמיה שנמצאו בבגדיה טהורים</w:t>
      </w:r>
      <w:r>
        <w:rPr>
          <w:rFonts w:cs="Arial" w:hint="cs"/>
          <w:sz w:val="20"/>
          <w:szCs w:val="20"/>
          <w:rtl/>
        </w:rPr>
        <w:t>,</w:t>
      </w:r>
      <w:r w:rsidRPr="00623FD4">
        <w:rPr>
          <w:rFonts w:cs="Arial"/>
          <w:sz w:val="20"/>
          <w:szCs w:val="20"/>
          <w:rtl/>
        </w:rPr>
        <w:t xml:space="preserve"> שתולים במכה אף על פי שאינה יודעת אם המכה מוציאה דם</w:t>
      </w:r>
      <w:r>
        <w:rPr>
          <w:rFonts w:cs="Arial" w:hint="cs"/>
          <w:sz w:val="20"/>
          <w:szCs w:val="20"/>
          <w:rtl/>
        </w:rPr>
        <w:t>,</w:t>
      </w:r>
      <w:r w:rsidRPr="00623FD4">
        <w:rPr>
          <w:rFonts w:cs="Arial"/>
          <w:sz w:val="20"/>
          <w:szCs w:val="20"/>
          <w:rtl/>
        </w:rPr>
        <w:t xml:space="preserve"> שבכתמים הולכין להקל</w:t>
      </w:r>
      <w:r>
        <w:rPr>
          <w:rFonts w:cs="Arial" w:hint="cs"/>
          <w:sz w:val="20"/>
          <w:szCs w:val="20"/>
          <w:rtl/>
        </w:rPr>
        <w:t>".</w:t>
      </w:r>
    </w:p>
    <w:p w:rsidR="00620060" w:rsidRDefault="00620060" w:rsidP="00620060">
      <w:pPr>
        <w:rPr>
          <w:sz w:val="20"/>
          <w:szCs w:val="20"/>
          <w:rtl/>
        </w:rPr>
      </w:pPr>
      <w:r>
        <w:rPr>
          <w:rFonts w:hint="cs"/>
          <w:sz w:val="20"/>
          <w:szCs w:val="20"/>
          <w:u w:val="single"/>
          <w:rtl/>
        </w:rPr>
        <w:t>הדיוק של הרמ"א</w:t>
      </w:r>
      <w:r>
        <w:rPr>
          <w:sz w:val="20"/>
          <w:szCs w:val="20"/>
          <w:u w:val="single"/>
          <w:rtl/>
        </w:rPr>
        <w:br/>
      </w:r>
      <w:r w:rsidRPr="00487E1B">
        <w:rPr>
          <w:rFonts w:hint="cs"/>
          <w:b/>
          <w:bCs/>
          <w:sz w:val="20"/>
          <w:szCs w:val="20"/>
          <w:rtl/>
        </w:rPr>
        <w:t>הגהש"ד</w:t>
      </w:r>
      <w:r>
        <w:rPr>
          <w:rFonts w:hint="cs"/>
          <w:sz w:val="20"/>
          <w:szCs w:val="20"/>
          <w:rtl/>
        </w:rPr>
        <w:t xml:space="preserve"> כתב שהאשה מרגישה שהדם בא מהרחם ולכן היא טמאה אע"פ שאינה יודעת אם מכתה מוציאה דם, משמע מדבריו שאם אינה מרגישה שהדם בא מהרחם טהורה אע"פ שאינה יודעת שמכתה הוציאה דם.</w:t>
      </w:r>
      <w:r>
        <w:rPr>
          <w:sz w:val="20"/>
          <w:szCs w:val="20"/>
          <w:rtl/>
        </w:rPr>
        <w:br/>
      </w:r>
      <w:r>
        <w:rPr>
          <w:rFonts w:hint="cs"/>
          <w:sz w:val="20"/>
          <w:szCs w:val="20"/>
          <w:rtl/>
        </w:rPr>
        <w:t>ע"פ דיוק זה פסק הרמ"א כאן שטהורה אע"פ שאינה יודעת שמכתה מוציאה דם, ובלבד שאינה מרגשת שהדם בא מהרחם.</w:t>
      </w:r>
    </w:p>
    <w:p w:rsidR="00620060" w:rsidRDefault="00620060" w:rsidP="00620060">
      <w:pPr>
        <w:rPr>
          <w:sz w:val="20"/>
          <w:szCs w:val="20"/>
          <w:rtl/>
        </w:rPr>
      </w:pPr>
      <w:r>
        <w:rPr>
          <w:rFonts w:hint="cs"/>
          <w:sz w:val="20"/>
          <w:szCs w:val="20"/>
          <w:u w:val="single"/>
          <w:rtl/>
        </w:rPr>
        <w:t>דחיית דברי הרמ"א</w:t>
      </w:r>
      <w:r>
        <w:rPr>
          <w:sz w:val="20"/>
          <w:szCs w:val="20"/>
          <w:u w:val="single"/>
          <w:rtl/>
        </w:rPr>
        <w:br/>
      </w:r>
      <w:r w:rsidRPr="00E16DD5">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הדיוק של הרמ"א אינו נכון, הגהש"ד כתב שהאשה מרגישה שהדם בא מהרחם כדי לחדש שאפילו בכה"ג יש להקל בכתם, אך אין כוונתו להקל בראייה מחמת הטעם שאינה מרגשת שהדם בא מהרחם.</w:t>
      </w:r>
      <w:r>
        <w:rPr>
          <w:sz w:val="20"/>
          <w:szCs w:val="20"/>
          <w:rtl/>
        </w:rPr>
        <w:br/>
      </w:r>
      <w:r>
        <w:rPr>
          <w:rFonts w:hint="cs"/>
          <w:sz w:val="20"/>
          <w:szCs w:val="20"/>
          <w:rtl/>
        </w:rPr>
        <w:t xml:space="preserve">ועוד יש להקשות על דברי הרמ"א </w:t>
      </w:r>
      <w:r>
        <w:rPr>
          <w:sz w:val="20"/>
          <w:szCs w:val="20"/>
          <w:rtl/>
        </w:rPr>
        <w:t>–</w:t>
      </w:r>
      <w:r>
        <w:rPr>
          <w:rFonts w:hint="cs"/>
          <w:sz w:val="20"/>
          <w:szCs w:val="20"/>
          <w:rtl/>
        </w:rPr>
        <w:t xml:space="preserve"> בכה"ג אינו נחשב ספק ספקא, אלא זהו ספק אחד בלבד שמא הוא דם נידה.</w:t>
      </w:r>
    </w:p>
    <w:p w:rsidR="00620060" w:rsidRPr="00CB4470" w:rsidRDefault="00620060" w:rsidP="00620060">
      <w:pPr>
        <w:rPr>
          <w:sz w:val="20"/>
          <w:szCs w:val="20"/>
          <w:rtl/>
        </w:rPr>
      </w:pPr>
      <w:r>
        <w:rPr>
          <w:rFonts w:hint="cs"/>
          <w:sz w:val="20"/>
          <w:szCs w:val="20"/>
          <w:u w:val="single"/>
          <w:rtl/>
        </w:rPr>
        <w:lastRenderedPageBreak/>
        <w:t>הגבלות האחרונים בפסק הרמ"א (פת"ש)</w:t>
      </w:r>
      <w:r>
        <w:rPr>
          <w:sz w:val="20"/>
          <w:szCs w:val="20"/>
          <w:u w:val="single"/>
          <w:rtl/>
        </w:rPr>
        <w:br/>
      </w:r>
      <w:r>
        <w:rPr>
          <w:rFonts w:hint="cs"/>
          <w:sz w:val="20"/>
          <w:szCs w:val="20"/>
          <w:rtl/>
        </w:rPr>
        <w:t xml:space="preserve">א. </w:t>
      </w:r>
      <w:r w:rsidRPr="00CB4470">
        <w:rPr>
          <w:rFonts w:hint="cs"/>
          <w:b/>
          <w:bCs/>
          <w:sz w:val="20"/>
          <w:szCs w:val="20"/>
          <w:rtl/>
        </w:rPr>
        <w:t>חוות דעת</w:t>
      </w:r>
      <w:r>
        <w:rPr>
          <w:rFonts w:hint="cs"/>
          <w:sz w:val="20"/>
          <w:szCs w:val="20"/>
          <w:rtl/>
        </w:rPr>
        <w:t xml:space="preserve"> </w:t>
      </w:r>
      <w:r>
        <w:rPr>
          <w:sz w:val="20"/>
          <w:szCs w:val="20"/>
          <w:rtl/>
        </w:rPr>
        <w:t>–</w:t>
      </w:r>
      <w:r>
        <w:rPr>
          <w:rFonts w:hint="cs"/>
          <w:sz w:val="20"/>
          <w:szCs w:val="20"/>
          <w:rtl/>
        </w:rPr>
        <w:t xml:space="preserve"> ניתן להקל ע"פ הספק ספקא של הרמ"א רק כשלא הרגישה בשעה שראתה, אך אם הרגישה או שראתה בבדיקה או בשעת התשמיש עצמו </w:t>
      </w:r>
      <w:r w:rsidRPr="00CB4470">
        <w:rPr>
          <w:rFonts w:hint="cs"/>
          <w:sz w:val="18"/>
          <w:szCs w:val="18"/>
          <w:rtl/>
        </w:rPr>
        <w:t>(שאז חוששים דלמא ארגשה ולאו אדעתה)</w:t>
      </w:r>
      <w:r>
        <w:rPr>
          <w:rFonts w:hint="cs"/>
          <w:sz w:val="20"/>
          <w:szCs w:val="20"/>
          <w:rtl/>
        </w:rPr>
        <w:t xml:space="preserve"> </w:t>
      </w:r>
      <w:r>
        <w:rPr>
          <w:sz w:val="20"/>
          <w:szCs w:val="20"/>
          <w:rtl/>
        </w:rPr>
        <w:t>–</w:t>
      </w:r>
      <w:r>
        <w:rPr>
          <w:rFonts w:hint="cs"/>
          <w:sz w:val="20"/>
          <w:szCs w:val="20"/>
          <w:rtl/>
        </w:rPr>
        <w:t xml:space="preserve"> אין להקל עד שנדע בוודאות שהדם בא מחמת המכה.</w:t>
      </w:r>
      <w:r>
        <w:rPr>
          <w:sz w:val="20"/>
          <w:szCs w:val="20"/>
          <w:rtl/>
        </w:rPr>
        <w:br/>
      </w:r>
      <w:r>
        <w:rPr>
          <w:rFonts w:hint="cs"/>
          <w:sz w:val="20"/>
          <w:szCs w:val="20"/>
          <w:rtl/>
        </w:rPr>
        <w:t xml:space="preserve">ב. </w:t>
      </w:r>
      <w:r w:rsidRPr="001B7D7D">
        <w:rPr>
          <w:rFonts w:hint="cs"/>
          <w:b/>
          <w:bCs/>
          <w:sz w:val="20"/>
          <w:szCs w:val="20"/>
          <w:rtl/>
        </w:rPr>
        <w:t>נודע ביהודה</w:t>
      </w:r>
      <w:r>
        <w:rPr>
          <w:rFonts w:hint="cs"/>
          <w:sz w:val="20"/>
          <w:szCs w:val="20"/>
          <w:rtl/>
        </w:rPr>
        <w:t xml:space="preserve"> </w:t>
      </w:r>
      <w:r>
        <w:rPr>
          <w:sz w:val="20"/>
          <w:szCs w:val="20"/>
          <w:rtl/>
        </w:rPr>
        <w:t>–</w:t>
      </w:r>
      <w:r>
        <w:rPr>
          <w:rFonts w:hint="cs"/>
          <w:sz w:val="20"/>
          <w:szCs w:val="20"/>
          <w:rtl/>
        </w:rPr>
        <w:t xml:space="preserve"> דברי הרמ"א נאמרו רק בימי טהרה, אך בימי ווסתה היא בחזקת טמאה ואין להקל.</w:t>
      </w:r>
    </w:p>
    <w:p w:rsidR="00620060" w:rsidRDefault="00620060" w:rsidP="00620060">
      <w:pPr>
        <w:rPr>
          <w:sz w:val="20"/>
          <w:szCs w:val="20"/>
          <w:rtl/>
        </w:rPr>
      </w:pPr>
      <w:r w:rsidRPr="004432C5">
        <w:rPr>
          <w:rFonts w:hint="cs"/>
          <w:b/>
          <w:bCs/>
          <w:sz w:val="20"/>
          <w:szCs w:val="20"/>
          <w:rtl/>
        </w:rPr>
        <w:t>האם צריכה למנות ז' נקיים?</w:t>
      </w:r>
      <w:r>
        <w:rPr>
          <w:sz w:val="20"/>
          <w:szCs w:val="20"/>
          <w:rtl/>
        </w:rPr>
        <w:br/>
      </w:r>
      <w:r>
        <w:rPr>
          <w:rFonts w:hint="cs"/>
          <w:sz w:val="20"/>
          <w:szCs w:val="20"/>
          <w:rtl/>
        </w:rPr>
        <w:t>בשני האופנים בהם הקל הרמ"א במכה שאין ידוע שמוציאה דם, האם צריכה למנות ז' נקיים?</w:t>
      </w:r>
      <w:r w:rsidRPr="007E76DA">
        <w:rPr>
          <w:rFonts w:hint="cs"/>
          <w:sz w:val="20"/>
          <w:szCs w:val="20"/>
          <w:rtl/>
        </w:rPr>
        <w:br/>
        <w:t xml:space="preserve">א. </w:t>
      </w:r>
      <w:r w:rsidRPr="007E76DA">
        <w:rPr>
          <w:rFonts w:hint="cs"/>
          <w:b/>
          <w:bCs/>
          <w:sz w:val="20"/>
          <w:szCs w:val="20"/>
          <w:rtl/>
        </w:rPr>
        <w:t>ש"ך</w:t>
      </w:r>
      <w:r w:rsidRPr="0055405D">
        <w:rPr>
          <w:rFonts w:hint="cs"/>
          <w:b/>
          <w:bCs/>
          <w:sz w:val="20"/>
          <w:szCs w:val="20"/>
          <w:rtl/>
        </w:rPr>
        <w:t xml:space="preserve"> ורעק"א</w:t>
      </w:r>
      <w:r>
        <w:rPr>
          <w:rFonts w:hint="cs"/>
          <w:sz w:val="20"/>
          <w:szCs w:val="20"/>
          <w:rtl/>
        </w:rPr>
        <w:t xml:space="preserve"> </w:t>
      </w:r>
      <w:r w:rsidRPr="007E76DA">
        <w:rPr>
          <w:sz w:val="20"/>
          <w:szCs w:val="20"/>
          <w:rtl/>
        </w:rPr>
        <w:t>–</w:t>
      </w:r>
      <w:r w:rsidRPr="007E76DA">
        <w:rPr>
          <w:rFonts w:hint="cs"/>
          <w:sz w:val="20"/>
          <w:szCs w:val="20"/>
          <w:rtl/>
        </w:rPr>
        <w:t xml:space="preserve"> אע"פ שהיא אינה רמ"ת, מכל מקום צריכה לשבת על דם זה ז' נקיים.</w:t>
      </w:r>
      <w:r>
        <w:rPr>
          <w:rStyle w:val="a5"/>
          <w:sz w:val="20"/>
          <w:szCs w:val="20"/>
          <w:rtl/>
        </w:rPr>
        <w:footnoteReference w:id="116"/>
      </w:r>
      <w:r>
        <w:rPr>
          <w:sz w:val="20"/>
          <w:szCs w:val="20"/>
          <w:rtl/>
        </w:rPr>
        <w:br/>
      </w:r>
      <w:r w:rsidRPr="0055405D">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משום עיגונה יש להקל שלא לאוסרה על בעלה, אך לגבי ז' נקיים אין להקל, </w:t>
      </w:r>
      <w:r w:rsidRPr="0055405D">
        <w:rPr>
          <w:rFonts w:hint="cs"/>
          <w:b/>
          <w:bCs/>
          <w:sz w:val="20"/>
          <w:szCs w:val="20"/>
          <w:rtl/>
        </w:rPr>
        <w:t>ש"ך</w:t>
      </w:r>
      <w:r>
        <w:rPr>
          <w:rFonts w:hint="cs"/>
          <w:sz w:val="20"/>
          <w:szCs w:val="20"/>
          <w:rtl/>
        </w:rPr>
        <w:t>.</w:t>
      </w:r>
      <w:r w:rsidRPr="007E76DA">
        <w:rPr>
          <w:sz w:val="20"/>
          <w:szCs w:val="20"/>
          <w:rtl/>
        </w:rPr>
        <w:br/>
      </w:r>
      <w:r>
        <w:rPr>
          <w:rFonts w:hint="cs"/>
          <w:b/>
          <w:bCs/>
          <w:sz w:val="20"/>
          <w:szCs w:val="20"/>
          <w:rtl/>
        </w:rPr>
        <w:t xml:space="preserve">ורעק"א </w:t>
      </w:r>
      <w:r w:rsidRPr="0055405D">
        <w:rPr>
          <w:rFonts w:hint="cs"/>
          <w:sz w:val="20"/>
          <w:szCs w:val="20"/>
          <w:rtl/>
        </w:rPr>
        <w:t>נתן טעם נוסף -</w:t>
      </w:r>
      <w:r w:rsidRPr="007E76DA">
        <w:rPr>
          <w:rFonts w:hint="cs"/>
          <w:sz w:val="20"/>
          <w:szCs w:val="20"/>
          <w:rtl/>
        </w:rPr>
        <w:t xml:space="preserve"> </w:t>
      </w:r>
      <w:r>
        <w:rPr>
          <w:rFonts w:hint="cs"/>
          <w:sz w:val="20"/>
          <w:szCs w:val="20"/>
          <w:rtl/>
        </w:rPr>
        <w:t>הקולות של הרמ"א נאמרו רק לגבי דין רמ"ת שהאיסור מחמת וסת שהוא דין דרבנן וסמך על המקלים, אך לעניין נידה שהוא דין דאורייתא אין להקל.</w:t>
      </w:r>
      <w:r w:rsidRPr="007E76DA">
        <w:rPr>
          <w:rFonts w:hint="cs"/>
          <w:sz w:val="20"/>
          <w:szCs w:val="20"/>
          <w:rtl/>
        </w:rPr>
        <w:br/>
        <w:t xml:space="preserve">ב. </w:t>
      </w:r>
      <w:r w:rsidRPr="007E76DA">
        <w:rPr>
          <w:rFonts w:hint="cs"/>
          <w:b/>
          <w:bCs/>
          <w:sz w:val="20"/>
          <w:szCs w:val="20"/>
          <w:rtl/>
        </w:rPr>
        <w:t>ב"ח</w:t>
      </w:r>
      <w:r w:rsidRPr="007E76DA">
        <w:rPr>
          <w:rFonts w:hint="cs"/>
          <w:sz w:val="20"/>
          <w:szCs w:val="20"/>
          <w:rtl/>
        </w:rPr>
        <w:t xml:space="preserve"> </w:t>
      </w:r>
      <w:r w:rsidRPr="007E76DA">
        <w:rPr>
          <w:sz w:val="20"/>
          <w:szCs w:val="20"/>
          <w:rtl/>
        </w:rPr>
        <w:t>–</w:t>
      </w:r>
      <w:r w:rsidRPr="007E76DA">
        <w:rPr>
          <w:rFonts w:hint="cs"/>
          <w:sz w:val="20"/>
          <w:szCs w:val="20"/>
          <w:rtl/>
        </w:rPr>
        <w:t xml:space="preserve"> אינה צריכה לשבת ז' נקיים על דם זה.</w:t>
      </w:r>
      <w:r w:rsidRPr="007E76DA">
        <w:rPr>
          <w:sz w:val="20"/>
          <w:szCs w:val="20"/>
          <w:rtl/>
        </w:rPr>
        <w:br/>
      </w:r>
      <w:r w:rsidRPr="007E76DA">
        <w:rPr>
          <w:rFonts w:hint="cs"/>
          <w:b/>
          <w:bCs/>
          <w:sz w:val="20"/>
          <w:szCs w:val="20"/>
          <w:rtl/>
        </w:rPr>
        <w:t>טעם</w:t>
      </w:r>
      <w:r w:rsidRPr="007E76DA">
        <w:rPr>
          <w:rFonts w:hint="cs"/>
          <w:sz w:val="20"/>
          <w:szCs w:val="20"/>
          <w:rtl/>
        </w:rPr>
        <w:t xml:space="preserve"> </w:t>
      </w:r>
      <w:r w:rsidRPr="007E76DA">
        <w:rPr>
          <w:sz w:val="20"/>
          <w:szCs w:val="20"/>
          <w:rtl/>
        </w:rPr>
        <w:t>–</w:t>
      </w:r>
      <w:r w:rsidRPr="007E76DA">
        <w:rPr>
          <w:rFonts w:hint="cs"/>
          <w:sz w:val="20"/>
          <w:szCs w:val="20"/>
          <w:rtl/>
        </w:rPr>
        <w:t xml:space="preserve"> הרשב"א הקל </w:t>
      </w:r>
      <w:r>
        <w:rPr>
          <w:rFonts w:hint="cs"/>
          <w:sz w:val="20"/>
          <w:szCs w:val="20"/>
          <w:rtl/>
        </w:rPr>
        <w:t>אפילו כשאינה יודעת שמכתה מוציאה דם,</w:t>
      </w:r>
      <w:r w:rsidRPr="007E76DA">
        <w:rPr>
          <w:rFonts w:hint="cs"/>
          <w:sz w:val="20"/>
          <w:szCs w:val="20"/>
          <w:rtl/>
        </w:rPr>
        <w:t xml:space="preserve"> כאמור לעיל, ולכן אין להחמיר.</w:t>
      </w:r>
      <w:r w:rsidRPr="007E76DA">
        <w:rPr>
          <w:sz w:val="20"/>
          <w:szCs w:val="20"/>
          <w:rtl/>
        </w:rPr>
        <w:br/>
      </w:r>
      <w:r w:rsidRPr="007E76DA">
        <w:rPr>
          <w:rFonts w:hint="cs"/>
          <w:sz w:val="20"/>
          <w:szCs w:val="20"/>
          <w:rtl/>
        </w:rPr>
        <w:t xml:space="preserve">הכרעת </w:t>
      </w:r>
      <w:r w:rsidRPr="007E76DA">
        <w:rPr>
          <w:rFonts w:hint="cs"/>
          <w:b/>
          <w:bCs/>
          <w:sz w:val="20"/>
          <w:szCs w:val="20"/>
          <w:rtl/>
        </w:rPr>
        <w:t>טהרת הבית</w:t>
      </w:r>
      <w:r w:rsidRPr="007E76DA">
        <w:rPr>
          <w:rFonts w:hint="cs"/>
          <w:sz w:val="20"/>
          <w:szCs w:val="20"/>
          <w:rtl/>
        </w:rPr>
        <w:t xml:space="preserve"> </w:t>
      </w:r>
      <w:r w:rsidRPr="007E76DA">
        <w:rPr>
          <w:sz w:val="20"/>
          <w:szCs w:val="20"/>
          <w:rtl/>
        </w:rPr>
        <w:t>–</w:t>
      </w:r>
      <w:r w:rsidRPr="007E76DA">
        <w:rPr>
          <w:rFonts w:hint="cs"/>
          <w:sz w:val="20"/>
          <w:szCs w:val="20"/>
          <w:rtl/>
        </w:rPr>
        <w:t xml:space="preserve"> הלכה כש"ך, רק אם יודעת בוודאות שמכתה מוציאה דם אינה צריכה ז' נקיים, אך כשאינה יודעת בוודאות </w:t>
      </w:r>
      <w:r w:rsidRPr="007E76DA">
        <w:rPr>
          <w:sz w:val="20"/>
          <w:szCs w:val="20"/>
          <w:rtl/>
        </w:rPr>
        <w:t>–</w:t>
      </w:r>
      <w:r w:rsidRPr="007E76DA">
        <w:rPr>
          <w:rFonts w:hint="cs"/>
          <w:sz w:val="20"/>
          <w:szCs w:val="20"/>
          <w:rtl/>
        </w:rPr>
        <w:t xml:space="preserve"> צריכה ז' נקיים.</w:t>
      </w:r>
    </w:p>
    <w:p w:rsidR="00620060" w:rsidRDefault="00620060" w:rsidP="00620060">
      <w:pPr>
        <w:rPr>
          <w:sz w:val="20"/>
          <w:szCs w:val="20"/>
          <w:rtl/>
        </w:rPr>
      </w:pPr>
      <w:r>
        <w:rPr>
          <w:rFonts w:hint="cs"/>
          <w:sz w:val="20"/>
          <w:szCs w:val="20"/>
          <w:u w:val="single"/>
          <w:rtl/>
        </w:rPr>
        <w:t>האם יש להקל גם בכאב? (פת"ש)</w:t>
      </w:r>
      <w:r>
        <w:rPr>
          <w:sz w:val="20"/>
          <w:szCs w:val="20"/>
          <w:u w:val="single"/>
          <w:rtl/>
        </w:rPr>
        <w:br/>
      </w:r>
      <w:r>
        <w:rPr>
          <w:rFonts w:hint="cs"/>
          <w:sz w:val="20"/>
          <w:szCs w:val="20"/>
          <w:rtl/>
        </w:rPr>
        <w:t xml:space="preserve">הסכמת האחרונים היא, שאע"פ שהרמ"א הקל לתלות דם במכה אפילו כשאין ידוע שמוציאה דם, מכל מקום כאב אינו כמכה, ואם כואב לה אך אין לה מכה באותו מקום </w:t>
      </w:r>
      <w:r>
        <w:rPr>
          <w:sz w:val="20"/>
          <w:szCs w:val="20"/>
          <w:rtl/>
        </w:rPr>
        <w:t>–</w:t>
      </w:r>
      <w:r>
        <w:rPr>
          <w:rFonts w:hint="cs"/>
          <w:sz w:val="20"/>
          <w:szCs w:val="20"/>
          <w:rtl/>
        </w:rPr>
        <w:t xml:space="preserve"> אינה יכולה לתלות את הדם בכאב.</w:t>
      </w:r>
    </w:p>
    <w:p w:rsidR="00620060" w:rsidRDefault="00620060" w:rsidP="00620060">
      <w:pPr>
        <w:rPr>
          <w:sz w:val="20"/>
          <w:szCs w:val="20"/>
          <w:rtl/>
        </w:rPr>
      </w:pPr>
      <w:r>
        <w:rPr>
          <w:rFonts w:hint="cs"/>
          <w:b/>
          <w:bCs/>
          <w:sz w:val="20"/>
          <w:szCs w:val="20"/>
          <w:rtl/>
        </w:rPr>
        <w:t>שיטת הרמ"א כשידוע שהדם בא מהמקור</w:t>
      </w:r>
      <w:r>
        <w:rPr>
          <w:b/>
          <w:b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רמ"א </w:t>
      </w:r>
      <w:r>
        <w:rPr>
          <w:sz w:val="20"/>
          <w:szCs w:val="20"/>
          <w:rtl/>
        </w:rPr>
        <w:t>–</w:t>
      </w:r>
      <w:r>
        <w:rPr>
          <w:rFonts w:hint="cs"/>
          <w:b/>
          <w:bCs/>
          <w:sz w:val="20"/>
          <w:szCs w:val="20"/>
          <w:rtl/>
        </w:rPr>
        <w:t xml:space="preserve"> </w:t>
      </w:r>
      <w:r w:rsidRPr="00B8122B">
        <w:rPr>
          <w:rFonts w:hint="cs"/>
          <w:sz w:val="18"/>
          <w:szCs w:val="18"/>
          <w:rtl/>
        </w:rPr>
        <w:t>"</w:t>
      </w:r>
      <w:r w:rsidRPr="00B8122B">
        <w:rPr>
          <w:rFonts w:cs="Arial"/>
          <w:sz w:val="18"/>
          <w:szCs w:val="18"/>
          <w:rtl/>
        </w:rPr>
        <w:t>אבל אם ידוע שבא מן המקור, אף על פי שיש לה מכה במקור, אינה תולה במכה, אם אין לה וסת קבוע, אלא אם כן יודעת בו</w:t>
      </w:r>
      <w:r>
        <w:rPr>
          <w:rFonts w:cs="Arial" w:hint="cs"/>
          <w:sz w:val="18"/>
          <w:szCs w:val="18"/>
          <w:rtl/>
        </w:rPr>
        <w:t>ו</w:t>
      </w:r>
      <w:r w:rsidRPr="00B8122B">
        <w:rPr>
          <w:rFonts w:cs="Arial"/>
          <w:sz w:val="18"/>
          <w:szCs w:val="18"/>
          <w:rtl/>
        </w:rPr>
        <w:t>דאי שמכתה מוציאה דם</w:t>
      </w:r>
      <w:r w:rsidRPr="00B8122B">
        <w:rPr>
          <w:rFonts w:cs="Arial" w:hint="cs"/>
          <w:sz w:val="18"/>
          <w:szCs w:val="18"/>
          <w:rtl/>
        </w:rPr>
        <w:t>".</w:t>
      </w:r>
    </w:p>
    <w:p w:rsidR="00620060" w:rsidRDefault="00620060" w:rsidP="00620060">
      <w:pPr>
        <w:rPr>
          <w:sz w:val="20"/>
          <w:szCs w:val="20"/>
          <w:rtl/>
        </w:rPr>
      </w:pPr>
      <w:r>
        <w:rPr>
          <w:rFonts w:hint="cs"/>
          <w:sz w:val="20"/>
          <w:szCs w:val="20"/>
          <w:u w:val="single"/>
          <w:rtl/>
        </w:rPr>
        <w:t>האם צריכה ז' נקיים?</w:t>
      </w:r>
      <w:r>
        <w:rPr>
          <w:sz w:val="20"/>
          <w:szCs w:val="20"/>
          <w:u w:val="single"/>
          <w:rtl/>
        </w:rPr>
        <w:br/>
      </w:r>
      <w:r w:rsidRPr="00B8122B">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כאן בוודאי שאינה צריכה ז' נקיים, שהרי יודעת שהדם בא מחמת המכה ואינו דם מקור.</w:t>
      </w:r>
    </w:p>
    <w:p w:rsidR="00620060" w:rsidRDefault="00620060" w:rsidP="00620060">
      <w:pPr>
        <w:rPr>
          <w:b/>
          <w:bCs/>
          <w:sz w:val="20"/>
          <w:szCs w:val="20"/>
          <w:rtl/>
        </w:rPr>
      </w:pPr>
      <w:r>
        <w:rPr>
          <w:rFonts w:hint="cs"/>
          <w:sz w:val="20"/>
          <w:szCs w:val="20"/>
          <w:u w:val="single"/>
          <w:rtl/>
        </w:rPr>
        <w:t>האם צריכה להרגיש שהדם בא מהמכה?</w:t>
      </w:r>
      <w:r>
        <w:rPr>
          <w:sz w:val="20"/>
          <w:szCs w:val="20"/>
          <w:u w:val="single"/>
          <w:rtl/>
        </w:rPr>
        <w:br/>
      </w:r>
      <w:r w:rsidRPr="00B8122B">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'יודעת בוודאי שמכתה מוציאה דם' היינו אע"פ שאינה יודעת כעת שמכתה מוציאה דם, אלא יודעת היא שדרך המכה להוציא דם </w:t>
      </w:r>
      <w:r>
        <w:rPr>
          <w:sz w:val="20"/>
          <w:szCs w:val="20"/>
          <w:rtl/>
        </w:rPr>
        <w:t>–</w:t>
      </w:r>
      <w:r>
        <w:rPr>
          <w:rFonts w:hint="cs"/>
          <w:sz w:val="20"/>
          <w:szCs w:val="20"/>
          <w:rtl/>
        </w:rPr>
        <w:t xml:space="preserve"> מהני.</w:t>
      </w:r>
    </w:p>
    <w:p w:rsidR="00620060" w:rsidRDefault="00620060" w:rsidP="00620060">
      <w:pPr>
        <w:rPr>
          <w:sz w:val="20"/>
          <w:szCs w:val="20"/>
          <w:rtl/>
        </w:rPr>
      </w:pPr>
      <w:r>
        <w:rPr>
          <w:rFonts w:hint="cs"/>
          <w:b/>
          <w:bCs/>
          <w:sz w:val="20"/>
          <w:szCs w:val="20"/>
          <w:rtl/>
        </w:rPr>
        <w:t>האם בשעת ווסתה יש לתלות את הדם במכה?</w:t>
      </w:r>
      <w:r w:rsidRPr="00CD44F0">
        <w:rPr>
          <w:rFonts w:hint="cs"/>
          <w:b/>
          <w:bCs/>
          <w:sz w:val="20"/>
          <w:szCs w:val="20"/>
          <w:rtl/>
        </w:rPr>
        <w:t xml:space="preserve"> </w:t>
      </w:r>
      <w:r>
        <w:rPr>
          <w:rFonts w:hint="cs"/>
          <w:b/>
          <w:bCs/>
          <w:sz w:val="20"/>
          <w:szCs w:val="20"/>
          <w:rtl/>
        </w:rPr>
        <w:t xml:space="preserve">- </w:t>
      </w:r>
      <w:r w:rsidRPr="00CD44F0">
        <w:rPr>
          <w:rFonts w:hint="cs"/>
          <w:b/>
          <w:bCs/>
          <w:sz w:val="20"/>
          <w:szCs w:val="20"/>
          <w:rtl/>
        </w:rPr>
        <w:t>שיטות הראשונים</w:t>
      </w:r>
      <w:r w:rsidRPr="00CD44F0">
        <w:rPr>
          <w:b/>
          <w:bCs/>
          <w:sz w:val="20"/>
          <w:szCs w:val="20"/>
          <w:rtl/>
        </w:rPr>
        <w:br/>
      </w:r>
      <w:r>
        <w:rPr>
          <w:rFonts w:hint="cs"/>
          <w:sz w:val="20"/>
          <w:szCs w:val="20"/>
          <w:rtl/>
        </w:rPr>
        <w:t xml:space="preserve">א. </w:t>
      </w:r>
      <w:r w:rsidRPr="0054586F">
        <w:rPr>
          <w:rFonts w:hint="cs"/>
          <w:b/>
          <w:bCs/>
          <w:sz w:val="20"/>
          <w:szCs w:val="20"/>
          <w:rtl/>
        </w:rPr>
        <w:t>הגה"מ ומרדכי</w:t>
      </w:r>
      <w:r>
        <w:rPr>
          <w:rFonts w:hint="cs"/>
          <w:sz w:val="20"/>
          <w:szCs w:val="20"/>
          <w:rtl/>
        </w:rPr>
        <w:t xml:space="preserve"> - בימי ווסתה אין לתלות את הדם במכה, וכ"פ </w:t>
      </w:r>
      <w:r w:rsidRPr="00910E4B">
        <w:rPr>
          <w:rFonts w:hint="cs"/>
          <w:b/>
          <w:bCs/>
          <w:sz w:val="20"/>
          <w:szCs w:val="20"/>
          <w:rtl/>
        </w:rPr>
        <w:t>הרמ"א</w:t>
      </w:r>
      <w:r>
        <w:rPr>
          <w:rFonts w:hint="cs"/>
          <w:sz w:val="20"/>
          <w:szCs w:val="20"/>
          <w:rtl/>
        </w:rPr>
        <w:t>.</w:t>
      </w:r>
      <w:r>
        <w:rPr>
          <w:sz w:val="20"/>
          <w:szCs w:val="20"/>
          <w:rtl/>
        </w:rPr>
        <w:br/>
      </w:r>
      <w:r w:rsidRPr="0054586F">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אם תתלה את הדם במכה לא תטמא אשה זו לעולם.</w:t>
      </w:r>
      <w:r>
        <w:rPr>
          <w:sz w:val="20"/>
          <w:szCs w:val="20"/>
          <w:rtl/>
        </w:rPr>
        <w:br/>
      </w:r>
      <w:r>
        <w:rPr>
          <w:rFonts w:hint="cs"/>
          <w:sz w:val="20"/>
          <w:szCs w:val="20"/>
          <w:rtl/>
        </w:rPr>
        <w:t xml:space="preserve">ב. </w:t>
      </w:r>
      <w:r w:rsidRPr="0054586F">
        <w:rPr>
          <w:rFonts w:hint="cs"/>
          <w:b/>
          <w:bCs/>
          <w:sz w:val="20"/>
          <w:szCs w:val="20"/>
          <w:rtl/>
        </w:rPr>
        <w:t>רמב"ם ורשב"א</w:t>
      </w:r>
      <w:r>
        <w:rPr>
          <w:rFonts w:hint="cs"/>
          <w:sz w:val="20"/>
          <w:szCs w:val="20"/>
          <w:rtl/>
        </w:rPr>
        <w:t xml:space="preserve"> </w:t>
      </w:r>
      <w:r>
        <w:rPr>
          <w:sz w:val="20"/>
          <w:szCs w:val="20"/>
          <w:rtl/>
        </w:rPr>
        <w:t>–</w:t>
      </w:r>
      <w:r>
        <w:rPr>
          <w:rFonts w:hint="cs"/>
          <w:sz w:val="20"/>
          <w:szCs w:val="20"/>
          <w:rtl/>
        </w:rPr>
        <w:t xml:space="preserve"> גם בימי ווסתה יש לתלות את הדם במכה.</w:t>
      </w:r>
      <w:r>
        <w:rPr>
          <w:sz w:val="20"/>
          <w:szCs w:val="20"/>
          <w:rtl/>
        </w:rPr>
        <w:br/>
      </w:r>
      <w:r w:rsidRPr="0054586F">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אשה עומדת בחזקת טהרה ווסתות דרבנן, לכן אין להחמיר עליה מספק ולאוסרה, ועיין ראיה בהערה</w:t>
      </w:r>
      <w:r>
        <w:rPr>
          <w:rStyle w:val="a5"/>
          <w:sz w:val="20"/>
          <w:szCs w:val="20"/>
          <w:rtl/>
        </w:rPr>
        <w:footnoteReference w:id="117"/>
      </w:r>
      <w:r>
        <w:rPr>
          <w:rFonts w:hint="cs"/>
          <w:sz w:val="20"/>
          <w:szCs w:val="20"/>
          <w:rtl/>
        </w:rPr>
        <w:t xml:space="preserve">. </w:t>
      </w:r>
      <w:r>
        <w:rPr>
          <w:rFonts w:hint="cs"/>
          <w:sz w:val="20"/>
          <w:szCs w:val="20"/>
          <w:rtl/>
        </w:rPr>
        <w:br/>
        <w:t xml:space="preserve">הסבר </w:t>
      </w:r>
      <w:r w:rsidRPr="000658D2">
        <w:rPr>
          <w:rFonts w:hint="cs"/>
          <w:b/>
          <w:bCs/>
          <w:sz w:val="20"/>
          <w:szCs w:val="20"/>
          <w:rtl/>
        </w:rPr>
        <w:t>הש"ך</w:t>
      </w:r>
      <w:r>
        <w:rPr>
          <w:rFonts w:hint="cs"/>
          <w:sz w:val="20"/>
          <w:szCs w:val="20"/>
          <w:rtl/>
        </w:rPr>
        <w:t xml:space="preserve"> </w:t>
      </w:r>
      <w:r>
        <w:rPr>
          <w:sz w:val="20"/>
          <w:szCs w:val="20"/>
          <w:rtl/>
        </w:rPr>
        <w:t>–</w:t>
      </w:r>
      <w:r>
        <w:rPr>
          <w:rFonts w:hint="cs"/>
          <w:sz w:val="20"/>
          <w:szCs w:val="20"/>
          <w:rtl/>
        </w:rPr>
        <w:t xml:space="preserve"> מחלוקת ראשונים זו לא נאמרה לגבי רמ"ת, אלא באופן כללי לגבי אשה שרואה דם ויש לה מכה באותו מקום</w:t>
      </w:r>
      <w:r>
        <w:rPr>
          <w:rStyle w:val="a5"/>
          <w:sz w:val="20"/>
          <w:szCs w:val="20"/>
          <w:rtl/>
        </w:rPr>
        <w:footnoteReference w:id="118"/>
      </w:r>
      <w:r>
        <w:rPr>
          <w:rFonts w:hint="cs"/>
          <w:sz w:val="20"/>
          <w:szCs w:val="20"/>
          <w:rtl/>
        </w:rPr>
        <w:t>.</w:t>
      </w:r>
    </w:p>
    <w:p w:rsidR="00620060" w:rsidRDefault="00620060" w:rsidP="00620060">
      <w:pPr>
        <w:rPr>
          <w:sz w:val="20"/>
          <w:szCs w:val="20"/>
          <w:rtl/>
        </w:rPr>
      </w:pPr>
      <w:r>
        <w:rPr>
          <w:rFonts w:hint="cs"/>
          <w:b/>
          <w:bCs/>
          <w:sz w:val="20"/>
          <w:szCs w:val="20"/>
          <w:rtl/>
        </w:rPr>
        <w:lastRenderedPageBreak/>
        <w:t>פסיקת הלכה</w:t>
      </w:r>
      <w:r>
        <w:rPr>
          <w:b/>
          <w:bCs/>
          <w:sz w:val="20"/>
          <w:szCs w:val="20"/>
          <w:rtl/>
        </w:rPr>
        <w:br/>
      </w:r>
      <w:r>
        <w:rPr>
          <w:rFonts w:hint="cs"/>
          <w:b/>
          <w:bCs/>
          <w:sz w:val="20"/>
          <w:szCs w:val="20"/>
          <w:rtl/>
        </w:rPr>
        <w:t xml:space="preserve">רמ"א </w:t>
      </w:r>
      <w:r>
        <w:rPr>
          <w:sz w:val="20"/>
          <w:szCs w:val="20"/>
          <w:rtl/>
        </w:rPr>
        <w:t>–</w:t>
      </w:r>
      <w:r w:rsidRPr="009B32D7">
        <w:rPr>
          <w:rFonts w:hint="cs"/>
          <w:sz w:val="18"/>
          <w:szCs w:val="18"/>
          <w:rtl/>
        </w:rPr>
        <w:t xml:space="preserve"> "</w:t>
      </w:r>
      <w:r w:rsidRPr="009B32D7">
        <w:rPr>
          <w:rFonts w:cs="Arial"/>
          <w:sz w:val="18"/>
          <w:szCs w:val="18"/>
          <w:rtl/>
        </w:rPr>
        <w:t>ומ</w:t>
      </w:r>
      <w:r w:rsidRPr="009B32D7">
        <w:rPr>
          <w:rFonts w:cs="Arial" w:hint="cs"/>
          <w:sz w:val="18"/>
          <w:szCs w:val="18"/>
          <w:rtl/>
        </w:rPr>
        <w:t>כל מקום</w:t>
      </w:r>
      <w:r w:rsidRPr="009B32D7">
        <w:rPr>
          <w:rFonts w:cs="Arial"/>
          <w:sz w:val="18"/>
          <w:szCs w:val="18"/>
          <w:rtl/>
        </w:rPr>
        <w:t xml:space="preserve"> בשעת וסתה, או מל' יום לל' יום, אינה תולה במכתה, דא</w:t>
      </w:r>
      <w:r w:rsidRPr="009B32D7">
        <w:rPr>
          <w:rFonts w:cs="Arial" w:hint="cs"/>
          <w:sz w:val="18"/>
          <w:szCs w:val="18"/>
          <w:rtl/>
        </w:rPr>
        <w:t xml:space="preserve">ם לא כן </w:t>
      </w:r>
      <w:r w:rsidRPr="009B32D7">
        <w:rPr>
          <w:rFonts w:cs="Arial"/>
          <w:sz w:val="18"/>
          <w:szCs w:val="18"/>
          <w:rtl/>
        </w:rPr>
        <w:t>לא תיטמא לעולם</w:t>
      </w:r>
      <w:r w:rsidRPr="009B32D7">
        <w:rPr>
          <w:rFonts w:cs="Arial" w:hint="cs"/>
          <w:sz w:val="18"/>
          <w:szCs w:val="18"/>
          <w:rtl/>
        </w:rPr>
        <w:t>".</w:t>
      </w:r>
      <w:r>
        <w:rPr>
          <w:sz w:val="18"/>
          <w:szCs w:val="18"/>
          <w:rtl/>
        </w:rPr>
        <w:br/>
      </w:r>
      <w:r w:rsidRPr="00BF2FC4">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כוונת הרמ"א להחמיר אם יודעת שמכתה מוציאה דם אך אינה מרגישה זאת, אבל אם היא מרגישה שמכתה מוציאה דם, טהורה.</w:t>
      </w:r>
      <w:r>
        <w:rPr>
          <w:sz w:val="20"/>
          <w:szCs w:val="20"/>
          <w:rtl/>
        </w:rPr>
        <w:br/>
      </w:r>
      <w:r w:rsidRPr="00BF2FC4">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בכה"ג אין שייך לומר שלא תטמא לעולם, שהרי כשלא תרגיש שהדם מחמת המכה תטמא.</w:t>
      </w:r>
    </w:p>
    <w:p w:rsidR="00620060" w:rsidRDefault="00620060" w:rsidP="00620060">
      <w:pPr>
        <w:rPr>
          <w:sz w:val="20"/>
          <w:szCs w:val="20"/>
          <w:rtl/>
        </w:rPr>
      </w:pPr>
      <w:r>
        <w:rPr>
          <w:rFonts w:hint="cs"/>
          <w:b/>
          <w:bCs/>
          <w:sz w:val="20"/>
          <w:szCs w:val="20"/>
          <w:rtl/>
        </w:rPr>
        <w:t xml:space="preserve">תליית כתם במכה </w:t>
      </w:r>
      <w:r>
        <w:rPr>
          <w:b/>
          <w:b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רמ"א </w:t>
      </w:r>
      <w:r w:rsidRPr="006945E0">
        <w:rPr>
          <w:rFonts w:hint="cs"/>
          <w:sz w:val="18"/>
          <w:szCs w:val="18"/>
          <w:rtl/>
        </w:rPr>
        <w:t xml:space="preserve">(ע"פ </w:t>
      </w:r>
      <w:r w:rsidRPr="001A02E3">
        <w:rPr>
          <w:rFonts w:hint="cs"/>
          <w:b/>
          <w:bCs/>
          <w:sz w:val="18"/>
          <w:szCs w:val="18"/>
          <w:rtl/>
        </w:rPr>
        <w:t>המרדכי</w:t>
      </w:r>
      <w:r w:rsidRPr="006945E0">
        <w:rPr>
          <w:rFonts w:hint="cs"/>
          <w:sz w:val="18"/>
          <w:szCs w:val="18"/>
          <w:rtl/>
        </w:rPr>
        <w:t xml:space="preserve">) </w:t>
      </w:r>
      <w:r w:rsidRPr="006945E0">
        <w:rPr>
          <w:sz w:val="18"/>
          <w:szCs w:val="18"/>
          <w:rtl/>
        </w:rPr>
        <w:t>–</w:t>
      </w:r>
      <w:r w:rsidRPr="006945E0">
        <w:rPr>
          <w:rFonts w:hint="cs"/>
          <w:sz w:val="18"/>
          <w:szCs w:val="18"/>
          <w:rtl/>
        </w:rPr>
        <w:t xml:space="preserve"> "</w:t>
      </w:r>
      <w:r w:rsidRPr="006945E0">
        <w:rPr>
          <w:rFonts w:cs="Arial"/>
          <w:sz w:val="18"/>
          <w:szCs w:val="18"/>
          <w:rtl/>
        </w:rPr>
        <w:t>וכתמים, תולה בה בכל ענין</w:t>
      </w:r>
      <w:r w:rsidRPr="006945E0">
        <w:rPr>
          <w:rFonts w:hint="cs"/>
          <w:sz w:val="18"/>
          <w:szCs w:val="18"/>
          <w:rtl/>
        </w:rPr>
        <w:t>".</w:t>
      </w:r>
    </w:p>
    <w:p w:rsidR="00620060" w:rsidRDefault="00620060" w:rsidP="00620060">
      <w:pPr>
        <w:rPr>
          <w:sz w:val="20"/>
          <w:szCs w:val="20"/>
          <w:rtl/>
        </w:rPr>
      </w:pPr>
      <w:r>
        <w:rPr>
          <w:rFonts w:hint="cs"/>
          <w:sz w:val="20"/>
          <w:szCs w:val="20"/>
          <w:u w:val="single"/>
          <w:rtl/>
        </w:rPr>
        <w:t>הסבר</w:t>
      </w:r>
      <w:r>
        <w:rPr>
          <w:sz w:val="20"/>
          <w:szCs w:val="20"/>
          <w:u w:val="single"/>
          <w:rtl/>
        </w:rPr>
        <w:br/>
      </w:r>
      <w:r w:rsidRPr="00720FE4">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כוונת הרמ"א להקל אפילו בשעת ווסתה, ואפילו אינה יודעת שמכתה מוציאה דם.</w:t>
      </w:r>
    </w:p>
    <w:p w:rsidR="00620060" w:rsidRDefault="00620060" w:rsidP="00620060">
      <w:pPr>
        <w:rPr>
          <w:sz w:val="20"/>
          <w:szCs w:val="20"/>
          <w:rtl/>
        </w:rPr>
      </w:pPr>
      <w:r>
        <w:rPr>
          <w:rFonts w:hint="cs"/>
          <w:sz w:val="20"/>
          <w:szCs w:val="20"/>
          <w:u w:val="single"/>
          <w:rtl/>
        </w:rPr>
        <w:t>דין כתמים לאשה שיש לה כאב (פת"ש)</w:t>
      </w:r>
      <w:r>
        <w:rPr>
          <w:sz w:val="20"/>
          <w:szCs w:val="20"/>
          <w:u w:val="single"/>
          <w:rtl/>
        </w:rPr>
        <w:br/>
      </w:r>
      <w:r>
        <w:rPr>
          <w:rFonts w:hint="cs"/>
          <w:sz w:val="20"/>
          <w:szCs w:val="20"/>
          <w:rtl/>
        </w:rPr>
        <w:t xml:space="preserve">א. </w:t>
      </w:r>
      <w:r w:rsidRPr="006945E0">
        <w:rPr>
          <w:rFonts w:hint="cs"/>
          <w:b/>
          <w:bCs/>
          <w:sz w:val="20"/>
          <w:szCs w:val="20"/>
          <w:rtl/>
        </w:rPr>
        <w:t>נודע ביהודה</w:t>
      </w:r>
      <w:r>
        <w:rPr>
          <w:rFonts w:hint="cs"/>
          <w:sz w:val="20"/>
          <w:szCs w:val="20"/>
          <w:rtl/>
        </w:rPr>
        <w:t xml:space="preserve"> </w:t>
      </w:r>
      <w:r>
        <w:rPr>
          <w:sz w:val="20"/>
          <w:szCs w:val="20"/>
          <w:rtl/>
        </w:rPr>
        <w:t>–</w:t>
      </w:r>
      <w:r>
        <w:rPr>
          <w:rFonts w:hint="cs"/>
          <w:sz w:val="20"/>
          <w:szCs w:val="20"/>
          <w:rtl/>
        </w:rPr>
        <w:t xml:space="preserve"> אשה שיש לה כאב באותו מקום, יכולה לתלות את הכתם בכאב. </w:t>
      </w:r>
      <w:r>
        <w:rPr>
          <w:sz w:val="20"/>
          <w:szCs w:val="20"/>
          <w:rtl/>
        </w:rPr>
        <w:br/>
      </w:r>
      <w:r>
        <w:rPr>
          <w:rFonts w:hint="cs"/>
          <w:sz w:val="20"/>
          <w:szCs w:val="20"/>
          <w:rtl/>
        </w:rPr>
        <w:t>ואמנם, דין תליית כתם בכאב נאמר רק בימי טהרתה ובד' ימים האחרונים של ז' נקיים, אך לא בימי טומאתה, בימי ווסתה ובג' ימים הראשונים של ז' נקיים.</w:t>
      </w:r>
      <w:r>
        <w:rPr>
          <w:sz w:val="20"/>
          <w:szCs w:val="20"/>
          <w:rtl/>
        </w:rPr>
        <w:br/>
      </w:r>
      <w:r>
        <w:rPr>
          <w:rFonts w:hint="cs"/>
          <w:sz w:val="20"/>
          <w:szCs w:val="20"/>
          <w:rtl/>
        </w:rPr>
        <w:t xml:space="preserve">ב. </w:t>
      </w:r>
      <w:r w:rsidRPr="008E6E0F">
        <w:rPr>
          <w:rFonts w:hint="cs"/>
          <w:b/>
          <w:bCs/>
          <w:sz w:val="20"/>
          <w:szCs w:val="20"/>
          <w:rtl/>
        </w:rPr>
        <w:t>פנים מאירות</w:t>
      </w:r>
      <w:r>
        <w:rPr>
          <w:rFonts w:hint="cs"/>
          <w:sz w:val="20"/>
          <w:szCs w:val="20"/>
          <w:rtl/>
        </w:rPr>
        <w:t xml:space="preserve"> - אשה שהייתה לה מכה באותו מקום והתרפאה, ואחר כך שימשה עם בעלה ומצאה כתם לאחר התשמיש, יש להקל שהכתם בא לה מחמת המכה.</w:t>
      </w:r>
    </w:p>
    <w:p w:rsidR="00620060" w:rsidRDefault="00620060" w:rsidP="00620060">
      <w:pPr>
        <w:rPr>
          <w:sz w:val="20"/>
          <w:szCs w:val="20"/>
          <w:rtl/>
        </w:rPr>
      </w:pPr>
      <w:r w:rsidRPr="001A02E3">
        <w:rPr>
          <w:rFonts w:hint="cs"/>
          <w:b/>
          <w:bCs/>
          <w:sz w:val="20"/>
          <w:szCs w:val="20"/>
          <w:rtl/>
        </w:rPr>
        <w:t>סיכום</w:t>
      </w:r>
      <w:r>
        <w:rPr>
          <w:sz w:val="20"/>
          <w:szCs w:val="20"/>
          <w:rtl/>
        </w:rPr>
        <w:br/>
      </w:r>
      <w:r>
        <w:rPr>
          <w:rFonts w:hint="cs"/>
          <w:sz w:val="20"/>
          <w:szCs w:val="20"/>
          <w:rtl/>
        </w:rPr>
        <w:t xml:space="preserve">1. </w:t>
      </w:r>
      <w:r w:rsidRPr="001A02E3">
        <w:rPr>
          <w:rFonts w:hint="cs"/>
          <w:b/>
          <w:bCs/>
          <w:sz w:val="20"/>
          <w:szCs w:val="20"/>
          <w:rtl/>
        </w:rPr>
        <w:t>גמרא</w:t>
      </w:r>
      <w:r>
        <w:rPr>
          <w:rFonts w:hint="cs"/>
          <w:sz w:val="20"/>
          <w:szCs w:val="20"/>
          <w:rtl/>
        </w:rPr>
        <w:t xml:space="preserve">. רמ"ת שיש לה מכה באותו מקום </w:t>
      </w:r>
      <w:r>
        <w:rPr>
          <w:sz w:val="20"/>
          <w:szCs w:val="20"/>
          <w:rtl/>
        </w:rPr>
        <w:t>–</w:t>
      </w:r>
      <w:r>
        <w:rPr>
          <w:rFonts w:hint="cs"/>
          <w:sz w:val="20"/>
          <w:szCs w:val="20"/>
          <w:rtl/>
        </w:rPr>
        <w:t xml:space="preserve"> תולה במכתה, ובלבד שאין דם המכה משונה מדם ראייתה.</w:t>
      </w:r>
      <w:r>
        <w:rPr>
          <w:sz w:val="20"/>
          <w:szCs w:val="20"/>
          <w:rtl/>
        </w:rPr>
        <w:br/>
      </w:r>
      <w:r>
        <w:rPr>
          <w:rFonts w:hint="cs"/>
          <w:sz w:val="20"/>
          <w:szCs w:val="20"/>
          <w:rtl/>
        </w:rPr>
        <w:t xml:space="preserve">2. </w:t>
      </w:r>
      <w:r w:rsidRPr="001A02E3">
        <w:rPr>
          <w:rFonts w:hint="cs"/>
          <w:b/>
          <w:bCs/>
          <w:sz w:val="20"/>
          <w:szCs w:val="20"/>
          <w:rtl/>
        </w:rPr>
        <w:t>רשב"א</w:t>
      </w:r>
      <w:r>
        <w:rPr>
          <w:rFonts w:hint="cs"/>
          <w:sz w:val="20"/>
          <w:szCs w:val="20"/>
          <w:rtl/>
        </w:rPr>
        <w:t xml:space="preserve">. אין חוששים שמא הדם משונה. </w:t>
      </w:r>
      <w:r w:rsidRPr="001A02E3">
        <w:rPr>
          <w:rFonts w:hint="cs"/>
          <w:b/>
          <w:bCs/>
          <w:sz w:val="20"/>
          <w:szCs w:val="20"/>
          <w:rtl/>
        </w:rPr>
        <w:t>ש"ך</w:t>
      </w:r>
      <w:r>
        <w:rPr>
          <w:rFonts w:hint="cs"/>
          <w:sz w:val="20"/>
          <w:szCs w:val="20"/>
          <w:rtl/>
        </w:rPr>
        <w:t xml:space="preserve">. משמע </w:t>
      </w:r>
      <w:r w:rsidRPr="001A02E3">
        <w:rPr>
          <w:rFonts w:hint="cs"/>
          <w:b/>
          <w:bCs/>
          <w:sz w:val="20"/>
          <w:szCs w:val="20"/>
          <w:rtl/>
        </w:rPr>
        <w:t>ברא"ש</w:t>
      </w:r>
      <w:r>
        <w:rPr>
          <w:rFonts w:hint="cs"/>
          <w:sz w:val="20"/>
          <w:szCs w:val="20"/>
          <w:rtl/>
        </w:rPr>
        <w:t xml:space="preserve"> שא"צ להראות לחכם לבדוק האם הוא משונה. </w:t>
      </w:r>
      <w:r w:rsidRPr="001A02E3">
        <w:rPr>
          <w:rFonts w:hint="cs"/>
          <w:b/>
          <w:bCs/>
          <w:sz w:val="20"/>
          <w:szCs w:val="20"/>
          <w:rtl/>
        </w:rPr>
        <w:t>רמב"ן</w:t>
      </w:r>
      <w:r>
        <w:rPr>
          <w:rFonts w:hint="cs"/>
          <w:sz w:val="20"/>
          <w:szCs w:val="20"/>
          <w:rtl/>
        </w:rPr>
        <w:t>. צריך לברר שהדמים דומים, אך איננו בקיאים בכך ולכן</w:t>
      </w:r>
      <w:r w:rsidRPr="00CD44F0">
        <w:rPr>
          <w:rFonts w:hint="cs"/>
          <w:sz w:val="20"/>
          <w:szCs w:val="20"/>
          <w:rtl/>
        </w:rPr>
        <w:t xml:space="preserve"> </w:t>
      </w:r>
      <w:r>
        <w:rPr>
          <w:rFonts w:hint="cs"/>
          <w:sz w:val="20"/>
          <w:szCs w:val="20"/>
          <w:rtl/>
        </w:rPr>
        <w:t>היום אין תולים במכה.</w:t>
      </w:r>
      <w:r>
        <w:rPr>
          <w:sz w:val="20"/>
          <w:szCs w:val="20"/>
          <w:rtl/>
        </w:rPr>
        <w:br/>
      </w:r>
      <w:r>
        <w:rPr>
          <w:rFonts w:hint="cs"/>
          <w:sz w:val="20"/>
          <w:szCs w:val="20"/>
          <w:rtl/>
        </w:rPr>
        <w:t xml:space="preserve">3. הכרעה </w:t>
      </w:r>
      <w:r>
        <w:rPr>
          <w:sz w:val="20"/>
          <w:szCs w:val="20"/>
          <w:rtl/>
        </w:rPr>
        <w:t>–</w:t>
      </w:r>
      <w:r>
        <w:rPr>
          <w:rFonts w:hint="cs"/>
          <w:sz w:val="20"/>
          <w:szCs w:val="20"/>
          <w:rtl/>
        </w:rPr>
        <w:t xml:space="preserve"> משמע </w:t>
      </w:r>
      <w:r w:rsidRPr="001A02E3">
        <w:rPr>
          <w:rFonts w:hint="cs"/>
          <w:b/>
          <w:bCs/>
          <w:sz w:val="20"/>
          <w:szCs w:val="20"/>
          <w:rtl/>
        </w:rPr>
        <w:t>בש"ך</w:t>
      </w:r>
      <w:r>
        <w:rPr>
          <w:rFonts w:hint="cs"/>
          <w:sz w:val="20"/>
          <w:szCs w:val="20"/>
          <w:rtl/>
        </w:rPr>
        <w:t xml:space="preserve"> שא"צ לברר, אך אם שני הדמים לפניו צריך לברר וכל אדם בקי בכך, </w:t>
      </w:r>
      <w:r w:rsidRPr="00CD44F0">
        <w:rPr>
          <w:rFonts w:hint="cs"/>
          <w:b/>
          <w:bCs/>
          <w:sz w:val="20"/>
          <w:szCs w:val="20"/>
          <w:rtl/>
        </w:rPr>
        <w:t>פרישה</w:t>
      </w:r>
      <w:r>
        <w:rPr>
          <w:rFonts w:hint="cs"/>
          <w:sz w:val="20"/>
          <w:szCs w:val="20"/>
          <w:rtl/>
        </w:rPr>
        <w:t>.</w:t>
      </w:r>
      <w:r>
        <w:rPr>
          <w:sz w:val="20"/>
          <w:szCs w:val="20"/>
          <w:rtl/>
        </w:rPr>
        <w:br/>
      </w:r>
      <w:r>
        <w:rPr>
          <w:rFonts w:hint="cs"/>
          <w:sz w:val="20"/>
          <w:szCs w:val="20"/>
          <w:rtl/>
        </w:rPr>
        <w:t xml:space="preserve">4. </w:t>
      </w:r>
      <w:r w:rsidRPr="001A02E3">
        <w:rPr>
          <w:rFonts w:hint="cs"/>
          <w:b/>
          <w:bCs/>
          <w:sz w:val="20"/>
          <w:szCs w:val="20"/>
          <w:rtl/>
        </w:rPr>
        <w:t>ב"ח</w:t>
      </w:r>
      <w:r>
        <w:rPr>
          <w:rFonts w:hint="cs"/>
          <w:sz w:val="20"/>
          <w:szCs w:val="20"/>
          <w:rtl/>
        </w:rPr>
        <w:t xml:space="preserve">. תולים רק במכה שהאשה יודעת שהיא נמצאת באותו מקום. </w:t>
      </w:r>
      <w:r w:rsidRPr="001A02E3">
        <w:rPr>
          <w:rFonts w:hint="cs"/>
          <w:b/>
          <w:bCs/>
          <w:sz w:val="20"/>
          <w:szCs w:val="20"/>
          <w:rtl/>
        </w:rPr>
        <w:t>חוו"ד</w:t>
      </w:r>
      <w:r>
        <w:rPr>
          <w:rFonts w:hint="cs"/>
          <w:sz w:val="20"/>
          <w:szCs w:val="20"/>
          <w:rtl/>
        </w:rPr>
        <w:t>. חומרת הב"ח נאמרה רק אם מרגישה שהדם בא מהמקור, הא לאו הכי תולים אפילו ידוע שהמכה בצדדים.</w:t>
      </w:r>
      <w:r>
        <w:rPr>
          <w:sz w:val="20"/>
          <w:szCs w:val="20"/>
          <w:rtl/>
        </w:rPr>
        <w:br/>
      </w:r>
      <w:r>
        <w:rPr>
          <w:rFonts w:hint="cs"/>
          <w:sz w:val="20"/>
          <w:szCs w:val="20"/>
          <w:rtl/>
        </w:rPr>
        <w:t xml:space="preserve">5. </w:t>
      </w:r>
      <w:r w:rsidRPr="001A02E3">
        <w:rPr>
          <w:rFonts w:hint="cs"/>
          <w:b/>
          <w:bCs/>
          <w:sz w:val="20"/>
          <w:szCs w:val="20"/>
          <w:rtl/>
        </w:rPr>
        <w:t>פנים מאירות</w:t>
      </w:r>
      <w:r>
        <w:rPr>
          <w:rFonts w:hint="cs"/>
          <w:sz w:val="20"/>
          <w:szCs w:val="20"/>
          <w:rtl/>
        </w:rPr>
        <w:t>. אין תולים להקל כשיש מכה באברים הפנימיים שמחמתה רואה.</w:t>
      </w:r>
      <w:r>
        <w:rPr>
          <w:sz w:val="20"/>
          <w:szCs w:val="20"/>
          <w:rtl/>
        </w:rPr>
        <w:br/>
      </w:r>
      <w:r>
        <w:rPr>
          <w:rFonts w:hint="cs"/>
          <w:sz w:val="20"/>
          <w:szCs w:val="20"/>
          <w:rtl/>
        </w:rPr>
        <w:t xml:space="preserve">6. </w:t>
      </w:r>
      <w:r w:rsidRPr="001A02E3">
        <w:rPr>
          <w:rFonts w:hint="cs"/>
          <w:b/>
          <w:bCs/>
          <w:sz w:val="20"/>
          <w:szCs w:val="20"/>
          <w:rtl/>
        </w:rPr>
        <w:t>נוב"י</w:t>
      </w:r>
      <w:r>
        <w:rPr>
          <w:rFonts w:hint="cs"/>
          <w:sz w:val="20"/>
          <w:szCs w:val="20"/>
          <w:rtl/>
        </w:rPr>
        <w:t>. דם מכה צריך להיות דומה לדם ראייתה רק כשיוצא כדרכו, אך לא אם יוצא באופן יזום.</w:t>
      </w:r>
      <w:r>
        <w:rPr>
          <w:sz w:val="20"/>
          <w:szCs w:val="20"/>
          <w:rtl/>
        </w:rPr>
        <w:br/>
      </w:r>
      <w:r>
        <w:rPr>
          <w:rFonts w:hint="cs"/>
          <w:sz w:val="20"/>
          <w:szCs w:val="20"/>
          <w:rtl/>
        </w:rPr>
        <w:t xml:space="preserve">7. </w:t>
      </w:r>
      <w:r w:rsidRPr="001A02E3">
        <w:rPr>
          <w:rFonts w:hint="cs"/>
          <w:b/>
          <w:bCs/>
          <w:sz w:val="20"/>
          <w:szCs w:val="20"/>
          <w:rtl/>
        </w:rPr>
        <w:t>נוב"י</w:t>
      </w:r>
      <w:r>
        <w:rPr>
          <w:rFonts w:hint="cs"/>
          <w:sz w:val="20"/>
          <w:szCs w:val="20"/>
          <w:rtl/>
        </w:rPr>
        <w:t xml:space="preserve">. בז"נ צ"ע האם צריכה להשוות את הדמים. </w:t>
      </w:r>
      <w:r w:rsidRPr="001A02E3">
        <w:rPr>
          <w:rFonts w:hint="cs"/>
          <w:b/>
          <w:bCs/>
          <w:sz w:val="20"/>
          <w:szCs w:val="20"/>
          <w:rtl/>
        </w:rPr>
        <w:t>חוו"ד</w:t>
      </w:r>
      <w:r>
        <w:rPr>
          <w:rFonts w:hint="cs"/>
          <w:sz w:val="20"/>
          <w:szCs w:val="20"/>
          <w:rtl/>
        </w:rPr>
        <w:t>. אינה צריכה להשוות.</w:t>
      </w:r>
      <w:r>
        <w:rPr>
          <w:sz w:val="20"/>
          <w:szCs w:val="20"/>
          <w:rtl/>
        </w:rPr>
        <w:br/>
      </w:r>
      <w:r>
        <w:rPr>
          <w:rFonts w:hint="cs"/>
          <w:sz w:val="20"/>
          <w:szCs w:val="20"/>
          <w:rtl/>
        </w:rPr>
        <w:t>8</w:t>
      </w:r>
      <w:r w:rsidRPr="00CD44F0">
        <w:rPr>
          <w:rFonts w:hint="cs"/>
          <w:sz w:val="20"/>
          <w:szCs w:val="20"/>
          <w:rtl/>
        </w:rPr>
        <w:t xml:space="preserve">. האם צריכה להרגיש שהדם בא מהמכה? </w:t>
      </w:r>
      <w:r w:rsidRPr="00CD44F0">
        <w:rPr>
          <w:rFonts w:hint="cs"/>
          <w:b/>
          <w:bCs/>
          <w:sz w:val="20"/>
          <w:szCs w:val="20"/>
          <w:rtl/>
        </w:rPr>
        <w:t>רשב"א</w:t>
      </w:r>
      <w:r w:rsidRPr="00CD44F0">
        <w:rPr>
          <w:rFonts w:hint="cs"/>
          <w:sz w:val="20"/>
          <w:szCs w:val="20"/>
          <w:rtl/>
        </w:rPr>
        <w:t xml:space="preserve">. לא. </w:t>
      </w:r>
      <w:r w:rsidRPr="00CD44F0">
        <w:rPr>
          <w:rFonts w:hint="cs"/>
          <w:b/>
          <w:bCs/>
          <w:sz w:val="20"/>
          <w:szCs w:val="20"/>
          <w:rtl/>
        </w:rPr>
        <w:t>טעם</w:t>
      </w:r>
      <w:r w:rsidRPr="00CD44F0">
        <w:rPr>
          <w:rFonts w:hint="cs"/>
          <w:sz w:val="20"/>
          <w:szCs w:val="20"/>
          <w:rtl/>
        </w:rPr>
        <w:t xml:space="preserve">. אין עיניה בין מכתה. </w:t>
      </w:r>
      <w:r w:rsidRPr="00CD44F0">
        <w:rPr>
          <w:rFonts w:hint="cs"/>
          <w:b/>
          <w:bCs/>
          <w:sz w:val="20"/>
          <w:szCs w:val="20"/>
          <w:rtl/>
        </w:rPr>
        <w:t>תרומה</w:t>
      </w:r>
      <w:r w:rsidRPr="00CD44F0">
        <w:rPr>
          <w:rFonts w:hint="cs"/>
          <w:sz w:val="20"/>
          <w:szCs w:val="20"/>
          <w:rtl/>
        </w:rPr>
        <w:t xml:space="preserve">. כן. </w:t>
      </w:r>
      <w:r w:rsidRPr="00CD44F0">
        <w:rPr>
          <w:rFonts w:hint="cs"/>
          <w:b/>
          <w:bCs/>
          <w:sz w:val="20"/>
          <w:szCs w:val="20"/>
          <w:rtl/>
        </w:rPr>
        <w:t>ת"ה</w:t>
      </w:r>
      <w:r w:rsidRPr="00CD44F0">
        <w:rPr>
          <w:rFonts w:hint="cs"/>
          <w:sz w:val="20"/>
          <w:szCs w:val="20"/>
          <w:rtl/>
        </w:rPr>
        <w:t xml:space="preserve">. אשה שיש לה ווסת קבוע תולה שלא בשעת ווסתה אפילו אינה יודעת שמכתה מוציאה דם, וכ"פ </w:t>
      </w:r>
      <w:r w:rsidRPr="00CD44F0">
        <w:rPr>
          <w:rFonts w:hint="cs"/>
          <w:b/>
          <w:bCs/>
          <w:sz w:val="20"/>
          <w:szCs w:val="20"/>
          <w:rtl/>
        </w:rPr>
        <w:t>הרמ"א</w:t>
      </w:r>
      <w:r w:rsidRPr="00CD44F0">
        <w:rPr>
          <w:rFonts w:hint="cs"/>
          <w:sz w:val="20"/>
          <w:szCs w:val="20"/>
          <w:rtl/>
        </w:rPr>
        <w:t>.</w:t>
      </w:r>
      <w:r w:rsidRPr="00CD44F0">
        <w:rPr>
          <w:sz w:val="20"/>
          <w:szCs w:val="20"/>
          <w:rtl/>
        </w:rPr>
        <w:br/>
      </w:r>
      <w:r w:rsidRPr="00CD44F0">
        <w:rPr>
          <w:rFonts w:hint="cs"/>
          <w:sz w:val="20"/>
          <w:szCs w:val="20"/>
          <w:rtl/>
        </w:rPr>
        <w:t xml:space="preserve">9. </w:t>
      </w:r>
      <w:r w:rsidRPr="00CD44F0">
        <w:rPr>
          <w:rFonts w:hint="cs"/>
          <w:b/>
          <w:bCs/>
          <w:sz w:val="20"/>
          <w:szCs w:val="20"/>
          <w:rtl/>
        </w:rPr>
        <w:t>ט"ז</w:t>
      </w:r>
      <w:r w:rsidRPr="00CD44F0">
        <w:rPr>
          <w:rFonts w:hint="cs"/>
          <w:sz w:val="20"/>
          <w:szCs w:val="20"/>
          <w:rtl/>
        </w:rPr>
        <w:t xml:space="preserve">. דברי </w:t>
      </w:r>
      <w:r w:rsidRPr="00CD44F0">
        <w:rPr>
          <w:rFonts w:hint="cs"/>
          <w:b/>
          <w:bCs/>
          <w:sz w:val="20"/>
          <w:szCs w:val="20"/>
          <w:rtl/>
        </w:rPr>
        <w:t>הרמ"א</w:t>
      </w:r>
      <w:r w:rsidRPr="00CD44F0">
        <w:rPr>
          <w:rFonts w:hint="cs"/>
          <w:sz w:val="20"/>
          <w:szCs w:val="20"/>
          <w:rtl/>
        </w:rPr>
        <w:t xml:space="preserve"> אינם, אלא הלכה כתרומה שצריכה לדעת שמכתה מוציאה דם. ומכל מקום הקל ב </w:t>
      </w:r>
      <w:r w:rsidRPr="00CD44F0">
        <w:rPr>
          <w:sz w:val="20"/>
          <w:szCs w:val="20"/>
          <w:rtl/>
        </w:rPr>
        <w:t>–</w:t>
      </w:r>
      <w:r w:rsidRPr="00CD44F0">
        <w:rPr>
          <w:rFonts w:hint="cs"/>
          <w:sz w:val="20"/>
          <w:szCs w:val="20"/>
          <w:rtl/>
        </w:rPr>
        <w:t xml:space="preserve"> </w:t>
      </w:r>
      <w:r w:rsidRPr="00CD44F0">
        <w:rPr>
          <w:sz w:val="20"/>
          <w:szCs w:val="20"/>
          <w:rtl/>
        </w:rPr>
        <w:br/>
      </w:r>
      <w:r w:rsidRPr="00CD44F0">
        <w:rPr>
          <w:rFonts w:hint="cs"/>
          <w:sz w:val="20"/>
          <w:szCs w:val="20"/>
          <w:rtl/>
        </w:rPr>
        <w:t>א. אם מרגישה כאב, הוי הוכחה שהדם מהמכה. ב. אם יש לה מכה שמוציאה דם אצל נשים אחרות.</w:t>
      </w:r>
      <w:r w:rsidRPr="00CD44F0">
        <w:rPr>
          <w:sz w:val="20"/>
          <w:szCs w:val="20"/>
          <w:rtl/>
        </w:rPr>
        <w:br/>
      </w:r>
      <w:r w:rsidRPr="00CD44F0">
        <w:rPr>
          <w:rFonts w:hint="cs"/>
          <w:sz w:val="20"/>
          <w:szCs w:val="20"/>
          <w:rtl/>
        </w:rPr>
        <w:t xml:space="preserve">10. קולות בשיטת הרמ"א. </w:t>
      </w:r>
      <w:r w:rsidRPr="00CD44F0">
        <w:rPr>
          <w:rFonts w:hint="cs"/>
          <w:b/>
          <w:bCs/>
          <w:sz w:val="20"/>
          <w:szCs w:val="20"/>
          <w:rtl/>
        </w:rPr>
        <w:t>בית מאיר</w:t>
      </w:r>
      <w:r w:rsidRPr="00CD44F0">
        <w:rPr>
          <w:rFonts w:hint="cs"/>
          <w:sz w:val="20"/>
          <w:szCs w:val="20"/>
          <w:rtl/>
        </w:rPr>
        <w:t xml:space="preserve">. דין זקנה כאשה שיש לה ווסת. </w:t>
      </w:r>
      <w:r w:rsidRPr="00CD44F0">
        <w:rPr>
          <w:rFonts w:hint="cs"/>
          <w:b/>
          <w:bCs/>
          <w:sz w:val="20"/>
          <w:szCs w:val="20"/>
          <w:rtl/>
        </w:rPr>
        <w:t>חוות דעת</w:t>
      </w:r>
      <w:r w:rsidRPr="00CD44F0">
        <w:rPr>
          <w:rFonts w:hint="cs"/>
          <w:sz w:val="20"/>
          <w:szCs w:val="20"/>
          <w:rtl/>
        </w:rPr>
        <w:t>. אם כל יד' יום, למשל, אינה רואה, דינה באותם ימים כאשה שיש לה ווסת קבוע.</w:t>
      </w:r>
      <w:r w:rsidRPr="00CD44F0">
        <w:rPr>
          <w:sz w:val="20"/>
          <w:szCs w:val="20"/>
          <w:rtl/>
        </w:rPr>
        <w:br/>
      </w:r>
      <w:r w:rsidRPr="00CD44F0">
        <w:rPr>
          <w:rFonts w:hint="cs"/>
          <w:sz w:val="20"/>
          <w:szCs w:val="20"/>
          <w:rtl/>
        </w:rPr>
        <w:t xml:space="preserve">11. קולא נוספת של הרמ"א. אם אינה יודעת שמכתה מוציאה דם, אך ספק הדם מהצדדים </w:t>
      </w:r>
      <w:r w:rsidRPr="00CD44F0">
        <w:rPr>
          <w:sz w:val="20"/>
          <w:szCs w:val="20"/>
          <w:rtl/>
        </w:rPr>
        <w:t>–</w:t>
      </w:r>
      <w:r w:rsidRPr="00CD44F0">
        <w:rPr>
          <w:rFonts w:hint="cs"/>
          <w:sz w:val="20"/>
          <w:szCs w:val="20"/>
          <w:rtl/>
        </w:rPr>
        <w:t xml:space="preserve"> טהורה. </w:t>
      </w:r>
      <w:r w:rsidRPr="00CD44F0">
        <w:rPr>
          <w:b/>
          <w:bCs/>
          <w:sz w:val="20"/>
          <w:szCs w:val="20"/>
          <w:rtl/>
        </w:rPr>
        <w:br/>
      </w:r>
      <w:r w:rsidRPr="00CD44F0">
        <w:rPr>
          <w:rFonts w:hint="cs"/>
          <w:b/>
          <w:bCs/>
          <w:sz w:val="20"/>
          <w:szCs w:val="20"/>
          <w:rtl/>
        </w:rPr>
        <w:t>טעם</w:t>
      </w:r>
      <w:r w:rsidRPr="00CD44F0">
        <w:rPr>
          <w:rFonts w:hint="cs"/>
          <w:sz w:val="20"/>
          <w:szCs w:val="20"/>
          <w:rtl/>
        </w:rPr>
        <w:t>. ספק ספקא, ספק מקור ספק צדדים ואת"ל מקור שמא מחמת מכה.</w:t>
      </w:r>
      <w:r w:rsidRPr="00CD44F0">
        <w:rPr>
          <w:sz w:val="20"/>
          <w:szCs w:val="20"/>
          <w:rtl/>
        </w:rPr>
        <w:br/>
      </w:r>
      <w:r w:rsidRPr="00CD44F0">
        <w:rPr>
          <w:rFonts w:hint="cs"/>
          <w:sz w:val="20"/>
          <w:szCs w:val="20"/>
          <w:rtl/>
        </w:rPr>
        <w:t xml:space="preserve">12. </w:t>
      </w:r>
      <w:r w:rsidRPr="00CD44F0">
        <w:rPr>
          <w:rFonts w:hint="cs"/>
          <w:b/>
          <w:bCs/>
          <w:sz w:val="20"/>
          <w:szCs w:val="20"/>
          <w:rtl/>
        </w:rPr>
        <w:t>ש"ך</w:t>
      </w:r>
      <w:r w:rsidRPr="00CD44F0">
        <w:rPr>
          <w:rFonts w:hint="cs"/>
          <w:sz w:val="20"/>
          <w:szCs w:val="20"/>
          <w:rtl/>
        </w:rPr>
        <w:t xml:space="preserve">. מקור דברי </w:t>
      </w:r>
      <w:r w:rsidRPr="00CD44F0">
        <w:rPr>
          <w:rFonts w:hint="cs"/>
          <w:b/>
          <w:bCs/>
          <w:sz w:val="20"/>
          <w:szCs w:val="20"/>
          <w:rtl/>
        </w:rPr>
        <w:t>הרמ"א</w:t>
      </w:r>
      <w:r w:rsidRPr="00CD44F0">
        <w:rPr>
          <w:rFonts w:hint="cs"/>
          <w:sz w:val="20"/>
          <w:szCs w:val="20"/>
          <w:rtl/>
        </w:rPr>
        <w:t xml:space="preserve"> בדיוק דברי </w:t>
      </w:r>
      <w:r w:rsidRPr="00CD44F0">
        <w:rPr>
          <w:rFonts w:hint="cs"/>
          <w:b/>
          <w:bCs/>
          <w:sz w:val="20"/>
          <w:szCs w:val="20"/>
          <w:rtl/>
        </w:rPr>
        <w:t>הגהש"ד</w:t>
      </w:r>
      <w:r w:rsidRPr="00CD44F0">
        <w:rPr>
          <w:rFonts w:hint="cs"/>
          <w:sz w:val="20"/>
          <w:szCs w:val="20"/>
          <w:rtl/>
        </w:rPr>
        <w:t>, יש לדחות דיוק זה, וכן אין זה ס"ס אלא ספק אחד.</w:t>
      </w:r>
      <w:r w:rsidRPr="00CD44F0">
        <w:rPr>
          <w:sz w:val="20"/>
          <w:szCs w:val="20"/>
          <w:rtl/>
        </w:rPr>
        <w:br/>
      </w:r>
      <w:r w:rsidRPr="00CD44F0">
        <w:rPr>
          <w:rFonts w:hint="cs"/>
          <w:sz w:val="20"/>
          <w:szCs w:val="20"/>
          <w:rtl/>
        </w:rPr>
        <w:t xml:space="preserve">13. הגבלות בפסק הרמ"א. </w:t>
      </w:r>
      <w:r w:rsidRPr="00CD44F0">
        <w:rPr>
          <w:rFonts w:hint="cs"/>
          <w:b/>
          <w:bCs/>
          <w:sz w:val="20"/>
          <w:szCs w:val="20"/>
          <w:rtl/>
        </w:rPr>
        <w:t>חוו"ד</w:t>
      </w:r>
      <w:r w:rsidRPr="00CD44F0">
        <w:rPr>
          <w:rFonts w:hint="cs"/>
          <w:sz w:val="20"/>
          <w:szCs w:val="20"/>
          <w:rtl/>
        </w:rPr>
        <w:t xml:space="preserve">. יש להקל רק אם לא הרגישה, אך אם הרגישה או ראתה בשעת תשמיש או בשעת בדיקה </w:t>
      </w:r>
      <w:r w:rsidRPr="00CD44F0">
        <w:rPr>
          <w:sz w:val="20"/>
          <w:szCs w:val="20"/>
          <w:rtl/>
        </w:rPr>
        <w:t>–</w:t>
      </w:r>
      <w:r w:rsidRPr="00CD44F0">
        <w:rPr>
          <w:rFonts w:hint="cs"/>
          <w:sz w:val="20"/>
          <w:szCs w:val="20"/>
          <w:rtl/>
        </w:rPr>
        <w:t xml:space="preserve"> טמאה. </w:t>
      </w:r>
      <w:r w:rsidRPr="00CD44F0">
        <w:rPr>
          <w:rFonts w:hint="cs"/>
          <w:b/>
          <w:bCs/>
          <w:sz w:val="20"/>
          <w:szCs w:val="20"/>
          <w:rtl/>
        </w:rPr>
        <w:t>נוב"י</w:t>
      </w:r>
      <w:r w:rsidRPr="00CD44F0">
        <w:rPr>
          <w:rFonts w:hint="cs"/>
          <w:sz w:val="20"/>
          <w:szCs w:val="20"/>
          <w:rtl/>
        </w:rPr>
        <w:t>. הרמ"א הקל רק בימי טהרתה.</w:t>
      </w:r>
      <w:r w:rsidRPr="00CD44F0">
        <w:rPr>
          <w:sz w:val="20"/>
          <w:szCs w:val="20"/>
          <w:rtl/>
        </w:rPr>
        <w:br/>
      </w:r>
      <w:r w:rsidRPr="00CD44F0">
        <w:rPr>
          <w:rFonts w:hint="cs"/>
          <w:sz w:val="20"/>
          <w:szCs w:val="20"/>
          <w:rtl/>
        </w:rPr>
        <w:t xml:space="preserve">14. באופנים שהקל הרמ"א במכה שאין ידוע אם מוציאה דם, האם צריכה ז"נ? </w:t>
      </w:r>
      <w:r w:rsidRPr="00CD44F0">
        <w:rPr>
          <w:rFonts w:hint="cs"/>
          <w:b/>
          <w:bCs/>
          <w:sz w:val="20"/>
          <w:szCs w:val="20"/>
          <w:rtl/>
        </w:rPr>
        <w:t>ש</w:t>
      </w:r>
      <w:r w:rsidRPr="001A02E3">
        <w:rPr>
          <w:rFonts w:hint="cs"/>
          <w:b/>
          <w:bCs/>
          <w:sz w:val="20"/>
          <w:szCs w:val="20"/>
          <w:rtl/>
        </w:rPr>
        <w:t>"ך ורעק"א</w:t>
      </w:r>
      <w:r>
        <w:rPr>
          <w:rFonts w:hint="cs"/>
          <w:sz w:val="20"/>
          <w:szCs w:val="20"/>
          <w:rtl/>
        </w:rPr>
        <w:t xml:space="preserve">. כן. </w:t>
      </w:r>
      <w:r w:rsidRPr="001A02E3">
        <w:rPr>
          <w:rFonts w:hint="cs"/>
          <w:b/>
          <w:bCs/>
          <w:sz w:val="20"/>
          <w:szCs w:val="20"/>
          <w:rtl/>
        </w:rPr>
        <w:t>טעם</w:t>
      </w:r>
      <w:r>
        <w:rPr>
          <w:rFonts w:hint="cs"/>
          <w:sz w:val="20"/>
          <w:szCs w:val="20"/>
          <w:rtl/>
        </w:rPr>
        <w:t xml:space="preserve">. הקלו רק לגבי רמ"ת, נידה דאורייתא וטמאה. </w:t>
      </w:r>
      <w:r w:rsidRPr="001A02E3">
        <w:rPr>
          <w:rFonts w:hint="cs"/>
          <w:b/>
          <w:bCs/>
          <w:sz w:val="20"/>
          <w:szCs w:val="20"/>
          <w:rtl/>
        </w:rPr>
        <w:t>ב"ח</w:t>
      </w:r>
      <w:r>
        <w:rPr>
          <w:rFonts w:hint="cs"/>
          <w:sz w:val="20"/>
          <w:szCs w:val="20"/>
          <w:rtl/>
        </w:rPr>
        <w:t xml:space="preserve">. לא. </w:t>
      </w:r>
      <w:r w:rsidRPr="001A02E3">
        <w:rPr>
          <w:rFonts w:hint="cs"/>
          <w:b/>
          <w:bCs/>
          <w:sz w:val="20"/>
          <w:szCs w:val="20"/>
          <w:rtl/>
        </w:rPr>
        <w:t>טעם</w:t>
      </w:r>
      <w:r>
        <w:rPr>
          <w:rFonts w:hint="cs"/>
          <w:sz w:val="20"/>
          <w:szCs w:val="20"/>
          <w:rtl/>
        </w:rPr>
        <w:t>. יש לסמוך על הרשב"א שמקל בכל עניין.</w:t>
      </w:r>
      <w:r>
        <w:rPr>
          <w:sz w:val="20"/>
          <w:szCs w:val="20"/>
          <w:rtl/>
        </w:rPr>
        <w:br/>
      </w:r>
      <w:r>
        <w:rPr>
          <w:rFonts w:hint="cs"/>
          <w:sz w:val="20"/>
          <w:szCs w:val="20"/>
          <w:rtl/>
        </w:rPr>
        <w:t xml:space="preserve">15. </w:t>
      </w:r>
      <w:r w:rsidRPr="001A02E3">
        <w:rPr>
          <w:rFonts w:hint="cs"/>
          <w:b/>
          <w:bCs/>
          <w:sz w:val="20"/>
          <w:szCs w:val="20"/>
          <w:rtl/>
        </w:rPr>
        <w:t>פת"ש</w:t>
      </w:r>
      <w:r>
        <w:rPr>
          <w:rFonts w:hint="cs"/>
          <w:sz w:val="20"/>
          <w:szCs w:val="20"/>
          <w:rtl/>
        </w:rPr>
        <w:t>. אע"פ שהרמ"א הקל במכה כנ"ל, מכל מקום בכאב גרידא אין להקל.</w:t>
      </w:r>
      <w:r>
        <w:rPr>
          <w:sz w:val="20"/>
          <w:szCs w:val="20"/>
          <w:rtl/>
        </w:rPr>
        <w:br/>
      </w:r>
      <w:r>
        <w:rPr>
          <w:rFonts w:hint="cs"/>
          <w:sz w:val="20"/>
          <w:szCs w:val="20"/>
          <w:rtl/>
        </w:rPr>
        <w:t xml:space="preserve">16. </w:t>
      </w:r>
      <w:r w:rsidRPr="001A02E3">
        <w:rPr>
          <w:rFonts w:hint="cs"/>
          <w:b/>
          <w:bCs/>
          <w:sz w:val="20"/>
          <w:szCs w:val="20"/>
          <w:rtl/>
        </w:rPr>
        <w:t>רמ"א</w:t>
      </w:r>
      <w:r>
        <w:rPr>
          <w:rFonts w:hint="cs"/>
          <w:sz w:val="20"/>
          <w:szCs w:val="20"/>
          <w:rtl/>
        </w:rPr>
        <w:t>. אם ידוע שהדם בא מהמקור ואין לה ווסת קבוע, תולה במכה רק אם יודעת שמכתה מוציאה דם.</w:t>
      </w:r>
      <w:r>
        <w:rPr>
          <w:sz w:val="20"/>
          <w:szCs w:val="20"/>
          <w:rtl/>
        </w:rPr>
        <w:br/>
      </w:r>
      <w:r>
        <w:rPr>
          <w:rFonts w:hint="cs"/>
          <w:sz w:val="20"/>
          <w:szCs w:val="20"/>
          <w:rtl/>
        </w:rPr>
        <w:t xml:space="preserve">17. </w:t>
      </w:r>
      <w:r w:rsidRPr="001A02E3">
        <w:rPr>
          <w:rFonts w:hint="cs"/>
          <w:b/>
          <w:bCs/>
          <w:sz w:val="20"/>
          <w:szCs w:val="20"/>
          <w:rtl/>
        </w:rPr>
        <w:t>ש"ך</w:t>
      </w:r>
      <w:r>
        <w:rPr>
          <w:rFonts w:hint="cs"/>
          <w:sz w:val="20"/>
          <w:szCs w:val="20"/>
          <w:rtl/>
        </w:rPr>
        <w:t>. א. א"צ ז"נ, ברור שזה דם מכה. ב. סגי בכך שיודעת שדרך מכתה להוציא דם.</w:t>
      </w:r>
      <w:r>
        <w:rPr>
          <w:sz w:val="20"/>
          <w:szCs w:val="20"/>
          <w:rtl/>
        </w:rPr>
        <w:br/>
      </w:r>
      <w:r>
        <w:rPr>
          <w:rFonts w:hint="cs"/>
          <w:sz w:val="20"/>
          <w:szCs w:val="20"/>
          <w:rtl/>
        </w:rPr>
        <w:t xml:space="preserve">18. </w:t>
      </w:r>
      <w:r w:rsidRPr="001A02E3">
        <w:rPr>
          <w:rFonts w:hint="cs"/>
          <w:b/>
          <w:bCs/>
          <w:sz w:val="20"/>
          <w:szCs w:val="20"/>
          <w:rtl/>
        </w:rPr>
        <w:t>הגה"מ</w:t>
      </w:r>
      <w:r>
        <w:rPr>
          <w:rFonts w:hint="cs"/>
          <w:sz w:val="20"/>
          <w:szCs w:val="20"/>
          <w:rtl/>
        </w:rPr>
        <w:t xml:space="preserve">. בשעת ווסתה אין לתלות את הדם במכה, וכ"פ </w:t>
      </w:r>
      <w:r w:rsidRPr="001A02E3">
        <w:rPr>
          <w:rFonts w:hint="cs"/>
          <w:b/>
          <w:bCs/>
          <w:sz w:val="20"/>
          <w:szCs w:val="20"/>
          <w:rtl/>
        </w:rPr>
        <w:t>הרמ"א</w:t>
      </w:r>
      <w:r>
        <w:rPr>
          <w:rFonts w:hint="cs"/>
          <w:sz w:val="20"/>
          <w:szCs w:val="20"/>
          <w:rtl/>
        </w:rPr>
        <w:t xml:space="preserve">. </w:t>
      </w:r>
      <w:r w:rsidRPr="001A02E3">
        <w:rPr>
          <w:rFonts w:hint="cs"/>
          <w:b/>
          <w:bCs/>
          <w:sz w:val="20"/>
          <w:szCs w:val="20"/>
          <w:rtl/>
        </w:rPr>
        <w:t>טעם</w:t>
      </w:r>
      <w:r>
        <w:rPr>
          <w:rFonts w:hint="cs"/>
          <w:sz w:val="20"/>
          <w:szCs w:val="20"/>
          <w:rtl/>
        </w:rPr>
        <w:t xml:space="preserve">. אם כן לא תטמא לעולם. </w:t>
      </w:r>
      <w:r>
        <w:rPr>
          <w:sz w:val="20"/>
          <w:szCs w:val="20"/>
          <w:rtl/>
        </w:rPr>
        <w:br/>
      </w:r>
      <w:r w:rsidRPr="001A02E3">
        <w:rPr>
          <w:rFonts w:hint="cs"/>
          <w:b/>
          <w:bCs/>
          <w:sz w:val="20"/>
          <w:szCs w:val="20"/>
          <w:rtl/>
        </w:rPr>
        <w:t>רמב"ם</w:t>
      </w:r>
      <w:r>
        <w:rPr>
          <w:rFonts w:hint="cs"/>
          <w:sz w:val="20"/>
          <w:szCs w:val="20"/>
          <w:rtl/>
        </w:rPr>
        <w:t xml:space="preserve">. גם בימי ווסתה תולה. </w:t>
      </w:r>
      <w:r w:rsidRPr="001A02E3">
        <w:rPr>
          <w:rFonts w:hint="cs"/>
          <w:b/>
          <w:bCs/>
          <w:sz w:val="20"/>
          <w:szCs w:val="20"/>
          <w:rtl/>
        </w:rPr>
        <w:t>טעם</w:t>
      </w:r>
      <w:r>
        <w:rPr>
          <w:rFonts w:hint="cs"/>
          <w:sz w:val="20"/>
          <w:szCs w:val="20"/>
          <w:rtl/>
        </w:rPr>
        <w:t>. אשה בחזקת טהרה עומדת, וסתות דרבנן ואין לאסור מספק.</w:t>
      </w:r>
      <w:r>
        <w:rPr>
          <w:sz w:val="20"/>
          <w:szCs w:val="20"/>
          <w:rtl/>
        </w:rPr>
        <w:br/>
      </w:r>
      <w:r>
        <w:rPr>
          <w:rFonts w:hint="cs"/>
          <w:sz w:val="20"/>
          <w:szCs w:val="20"/>
          <w:rtl/>
        </w:rPr>
        <w:t xml:space="preserve">19. </w:t>
      </w:r>
      <w:r w:rsidRPr="001A02E3">
        <w:rPr>
          <w:rFonts w:hint="cs"/>
          <w:b/>
          <w:bCs/>
          <w:sz w:val="20"/>
          <w:szCs w:val="20"/>
          <w:rtl/>
        </w:rPr>
        <w:t>רמ"א</w:t>
      </w:r>
      <w:r>
        <w:rPr>
          <w:rFonts w:hint="cs"/>
          <w:sz w:val="20"/>
          <w:szCs w:val="20"/>
          <w:rtl/>
        </w:rPr>
        <w:t xml:space="preserve">. בשעת ווסתה אינה תולה במכתה. </w:t>
      </w:r>
      <w:r w:rsidRPr="001A02E3">
        <w:rPr>
          <w:rFonts w:hint="cs"/>
          <w:b/>
          <w:bCs/>
          <w:sz w:val="20"/>
          <w:szCs w:val="20"/>
          <w:rtl/>
        </w:rPr>
        <w:t>ש"ך</w:t>
      </w:r>
      <w:r>
        <w:rPr>
          <w:rFonts w:hint="cs"/>
          <w:sz w:val="20"/>
          <w:szCs w:val="20"/>
          <w:rtl/>
        </w:rPr>
        <w:t xml:space="preserve">. אם מרגישה שהדם בא מהמכה </w:t>
      </w:r>
      <w:r>
        <w:rPr>
          <w:sz w:val="20"/>
          <w:szCs w:val="20"/>
          <w:rtl/>
        </w:rPr>
        <w:t>–</w:t>
      </w:r>
      <w:r>
        <w:rPr>
          <w:rFonts w:hint="cs"/>
          <w:sz w:val="20"/>
          <w:szCs w:val="20"/>
          <w:rtl/>
        </w:rPr>
        <w:t xml:space="preserve"> מותרת אף לרמ"א.</w:t>
      </w:r>
      <w:r>
        <w:rPr>
          <w:rFonts w:hint="cs"/>
          <w:sz w:val="20"/>
          <w:szCs w:val="20"/>
          <w:rtl/>
        </w:rPr>
        <w:br/>
        <w:t xml:space="preserve">20. </w:t>
      </w:r>
      <w:r w:rsidRPr="001A02E3">
        <w:rPr>
          <w:rFonts w:hint="cs"/>
          <w:b/>
          <w:bCs/>
          <w:sz w:val="20"/>
          <w:szCs w:val="20"/>
          <w:rtl/>
        </w:rPr>
        <w:t>רמ"א</w:t>
      </w:r>
      <w:r>
        <w:rPr>
          <w:rFonts w:hint="cs"/>
          <w:sz w:val="20"/>
          <w:szCs w:val="20"/>
          <w:rtl/>
        </w:rPr>
        <w:t>. כתמים תולה במכתה אפילו בשעת ווסתה ואפילו אינה יודעת שמכתה מוציאה דם.</w:t>
      </w:r>
      <w:r>
        <w:rPr>
          <w:sz w:val="20"/>
          <w:szCs w:val="20"/>
          <w:rtl/>
        </w:rPr>
        <w:br/>
      </w:r>
      <w:r>
        <w:rPr>
          <w:rFonts w:hint="cs"/>
          <w:sz w:val="20"/>
          <w:szCs w:val="20"/>
          <w:rtl/>
        </w:rPr>
        <w:t xml:space="preserve">21. </w:t>
      </w:r>
      <w:r w:rsidRPr="001A02E3">
        <w:rPr>
          <w:rFonts w:hint="cs"/>
          <w:b/>
          <w:bCs/>
          <w:sz w:val="20"/>
          <w:szCs w:val="20"/>
          <w:rtl/>
        </w:rPr>
        <w:t>נוב"י</w:t>
      </w:r>
      <w:r>
        <w:rPr>
          <w:rFonts w:hint="cs"/>
          <w:sz w:val="20"/>
          <w:szCs w:val="20"/>
          <w:rtl/>
        </w:rPr>
        <w:t>. כתם יש לתלות אפילו בכאב, ובלבד שאינו בימי טומאתה או ימי ווסתה או ג' ימים ראשונים לז"נ.</w:t>
      </w:r>
      <w:r>
        <w:rPr>
          <w:sz w:val="20"/>
          <w:szCs w:val="20"/>
          <w:rtl/>
        </w:rPr>
        <w:br/>
      </w:r>
      <w:r>
        <w:rPr>
          <w:rFonts w:hint="cs"/>
          <w:sz w:val="20"/>
          <w:szCs w:val="20"/>
          <w:rtl/>
        </w:rPr>
        <w:t xml:space="preserve">22. </w:t>
      </w:r>
      <w:r w:rsidRPr="001A02E3">
        <w:rPr>
          <w:rFonts w:hint="cs"/>
          <w:b/>
          <w:bCs/>
          <w:sz w:val="20"/>
          <w:szCs w:val="20"/>
          <w:rtl/>
        </w:rPr>
        <w:t>פנים מאירות</w:t>
      </w:r>
      <w:r>
        <w:rPr>
          <w:rFonts w:hint="cs"/>
          <w:sz w:val="20"/>
          <w:szCs w:val="20"/>
          <w:rtl/>
        </w:rPr>
        <w:t xml:space="preserve">. היתה לה מכה והתרפאה ושימשה עם בעלה וראתה דם </w:t>
      </w:r>
      <w:r>
        <w:rPr>
          <w:sz w:val="20"/>
          <w:szCs w:val="20"/>
          <w:rtl/>
        </w:rPr>
        <w:t>–</w:t>
      </w:r>
      <w:r>
        <w:rPr>
          <w:rFonts w:hint="cs"/>
          <w:sz w:val="20"/>
          <w:szCs w:val="20"/>
          <w:rtl/>
        </w:rPr>
        <w:t xml:space="preserve"> יש להקל שהכתם מהמכה.</w:t>
      </w:r>
    </w:p>
    <w:p w:rsidR="00620060" w:rsidRPr="00C72F07" w:rsidRDefault="00620060" w:rsidP="00620060">
      <w:pPr>
        <w:rPr>
          <w:sz w:val="20"/>
          <w:szCs w:val="20"/>
          <w:rtl/>
        </w:rPr>
      </w:pPr>
      <w:r>
        <w:rPr>
          <w:rFonts w:hint="cs"/>
          <w:b/>
          <w:bCs/>
          <w:sz w:val="20"/>
          <w:szCs w:val="20"/>
          <w:rtl/>
        </w:rPr>
        <w:lastRenderedPageBreak/>
        <w:t>הוספה</w:t>
      </w:r>
      <w:r>
        <w:rPr>
          <w:sz w:val="20"/>
          <w:szCs w:val="20"/>
          <w:u w:val="single"/>
          <w:rtl/>
        </w:rPr>
        <w:br/>
      </w:r>
      <w:r>
        <w:rPr>
          <w:rFonts w:hint="cs"/>
          <w:sz w:val="20"/>
          <w:szCs w:val="20"/>
          <w:u w:val="single"/>
          <w:rtl/>
        </w:rPr>
        <w:t xml:space="preserve">דין אשה שאינה יכולה להיטהר מחמת המכה (טהרת הבית חלק א' עמ' רסו </w:t>
      </w:r>
      <w:r>
        <w:rPr>
          <w:sz w:val="20"/>
          <w:szCs w:val="20"/>
          <w:u w:val="single"/>
          <w:rtl/>
        </w:rPr>
        <w:t>–</w:t>
      </w:r>
      <w:r>
        <w:rPr>
          <w:rFonts w:hint="cs"/>
          <w:sz w:val="20"/>
          <w:szCs w:val="20"/>
          <w:u w:val="single"/>
          <w:rtl/>
        </w:rPr>
        <w:t xml:space="preserve"> רסז)</w:t>
      </w:r>
      <w:r>
        <w:rPr>
          <w:sz w:val="20"/>
          <w:szCs w:val="20"/>
          <w:u w:val="single"/>
          <w:rtl/>
        </w:rPr>
        <w:br/>
      </w:r>
      <w:r w:rsidRPr="00882358">
        <w:rPr>
          <w:rFonts w:hint="cs"/>
          <w:sz w:val="20"/>
          <w:szCs w:val="20"/>
          <w:rtl/>
        </w:rPr>
        <w:t>המקרה</w:t>
      </w:r>
      <w:r>
        <w:rPr>
          <w:rFonts w:hint="cs"/>
          <w:sz w:val="20"/>
          <w:szCs w:val="20"/>
          <w:rtl/>
        </w:rPr>
        <w:t xml:space="preserve"> </w:t>
      </w:r>
      <w:r>
        <w:rPr>
          <w:sz w:val="20"/>
          <w:szCs w:val="20"/>
          <w:rtl/>
        </w:rPr>
        <w:t>–</w:t>
      </w:r>
      <w:r>
        <w:rPr>
          <w:rFonts w:hint="cs"/>
          <w:sz w:val="20"/>
          <w:szCs w:val="20"/>
          <w:rtl/>
        </w:rPr>
        <w:t xml:space="preserve"> אשה שיש לה מכה שמוציאה דם ואינה יכולה לפסוק בטהרה ע"י בדיקת מוך, משום שתמיד יוצא ממנה דם על העד, האם וכיצד יכולה להיטהר?</w:t>
      </w:r>
      <w:r>
        <w:rPr>
          <w:sz w:val="20"/>
          <w:szCs w:val="20"/>
          <w:rtl/>
        </w:rPr>
        <w:br/>
      </w:r>
      <w:r>
        <w:rPr>
          <w:rFonts w:hint="cs"/>
          <w:sz w:val="20"/>
          <w:szCs w:val="20"/>
          <w:rtl/>
        </w:rPr>
        <w:br/>
        <w:t xml:space="preserve">א. </w:t>
      </w:r>
      <w:r w:rsidRPr="00C72F07">
        <w:rPr>
          <w:rFonts w:hint="cs"/>
          <w:b/>
          <w:bCs/>
          <w:sz w:val="20"/>
          <w:szCs w:val="20"/>
          <w:rtl/>
        </w:rPr>
        <w:t>חוות דעת</w:t>
      </w:r>
      <w:r>
        <w:rPr>
          <w:rFonts w:hint="cs"/>
          <w:sz w:val="20"/>
          <w:szCs w:val="20"/>
          <w:rtl/>
        </w:rPr>
        <w:t xml:space="preserve"> </w:t>
      </w:r>
      <w:r>
        <w:rPr>
          <w:sz w:val="20"/>
          <w:szCs w:val="20"/>
          <w:rtl/>
        </w:rPr>
        <w:t>–</w:t>
      </w:r>
      <w:r>
        <w:rPr>
          <w:rFonts w:hint="cs"/>
          <w:sz w:val="20"/>
          <w:szCs w:val="20"/>
          <w:rtl/>
        </w:rPr>
        <w:t xml:space="preserve"> אינה יכולה להיטהר ואסורה.</w:t>
      </w:r>
      <w:r>
        <w:rPr>
          <w:sz w:val="20"/>
          <w:szCs w:val="20"/>
          <w:rtl/>
        </w:rPr>
        <w:br/>
      </w:r>
      <w:r w:rsidRPr="00C72F07">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תלייה במכה היא רק לאשה שעומדת בחזקת טהרה, אך אשה זו עומדת בחזקת טומאה מחמת הווסת, ומכיוון שאינה יכולה להעלות עצמה מטומאה לטהרה ע"י הפסק טהרה אין לה תקנה. לעומת זאת, אם תפסיק יום אחד בטהרה תהיה בחזקת טהרה, ולכן כל הדמים שתראה מההפסק ואילך תולים במכה. ואין חילוק בדין זה בין אם המכה קדמה לווסת ובין אם הווסת קדם למכה, בכל עניין טמאה מחמת הטעם הנ"ל.</w:t>
      </w:r>
      <w:r>
        <w:rPr>
          <w:rFonts w:hint="cs"/>
          <w:sz w:val="20"/>
          <w:szCs w:val="20"/>
          <w:rtl/>
        </w:rPr>
        <w:br/>
        <w:t xml:space="preserve">ומסיים </w:t>
      </w:r>
      <w:r w:rsidRPr="004F4823">
        <w:rPr>
          <w:rFonts w:hint="cs"/>
          <w:b/>
          <w:bCs/>
          <w:sz w:val="20"/>
          <w:szCs w:val="20"/>
          <w:rtl/>
        </w:rPr>
        <w:t>החוו"ד</w:t>
      </w:r>
      <w:r>
        <w:rPr>
          <w:rFonts w:hint="cs"/>
          <w:sz w:val="20"/>
          <w:szCs w:val="20"/>
          <w:rtl/>
        </w:rPr>
        <w:t xml:space="preserve"> בצ"ע על המחבר והרמ"א שסתמו דבריהם בזה.</w:t>
      </w:r>
      <w:r>
        <w:rPr>
          <w:sz w:val="20"/>
          <w:szCs w:val="20"/>
          <w:rtl/>
        </w:rPr>
        <w:br/>
      </w:r>
      <w:r>
        <w:rPr>
          <w:rFonts w:hint="cs"/>
          <w:sz w:val="20"/>
          <w:szCs w:val="20"/>
          <w:rtl/>
        </w:rPr>
        <w:t xml:space="preserve">ב. </w:t>
      </w:r>
      <w:r w:rsidRPr="004F4823">
        <w:rPr>
          <w:rFonts w:hint="cs"/>
          <w:b/>
          <w:bCs/>
          <w:sz w:val="20"/>
          <w:szCs w:val="20"/>
          <w:rtl/>
        </w:rPr>
        <w:t>חתם סופר</w:t>
      </w:r>
      <w:r>
        <w:rPr>
          <w:rFonts w:hint="cs"/>
          <w:sz w:val="20"/>
          <w:szCs w:val="20"/>
          <w:rtl/>
        </w:rPr>
        <w:t xml:space="preserve"> </w:t>
      </w:r>
      <w:r>
        <w:rPr>
          <w:sz w:val="20"/>
          <w:szCs w:val="20"/>
          <w:rtl/>
        </w:rPr>
        <w:t>–</w:t>
      </w:r>
      <w:r>
        <w:rPr>
          <w:rFonts w:hint="cs"/>
          <w:sz w:val="20"/>
          <w:szCs w:val="20"/>
          <w:rtl/>
        </w:rPr>
        <w:t xml:space="preserve"> אם המכה קדמה לווסת יש לה תקנה, אך אם הווסת קדם למכה אין לה תקנה.</w:t>
      </w:r>
      <w:r>
        <w:rPr>
          <w:sz w:val="20"/>
          <w:szCs w:val="20"/>
          <w:rtl/>
        </w:rPr>
        <w:br/>
      </w:r>
      <w:r w:rsidRPr="004F4823">
        <w:rPr>
          <w:rFonts w:hint="cs"/>
          <w:b/>
          <w:bCs/>
          <w:sz w:val="20"/>
          <w:szCs w:val="20"/>
          <w:rtl/>
        </w:rPr>
        <w:t>ביאור</w:t>
      </w:r>
      <w:r>
        <w:rPr>
          <w:rFonts w:hint="cs"/>
          <w:sz w:val="20"/>
          <w:szCs w:val="20"/>
          <w:rtl/>
        </w:rPr>
        <w:t xml:space="preserve"> - באופן שבו המכה קדמה לווסת והגיע שעת ווסתה, טמאה כמניין הימים שדרך דם הווסת להימשך בהם, כגון חמישה ימים. לאחר חמישה ימים תפסוק בטהרה באופן שתסיח את דעתה מכל מחשבה ותשגיח על עצמה כדי שתדע שלא נפתח המקור, ולאחר ז' 'נקיים' תטהר.</w:t>
      </w:r>
      <w:r>
        <w:rPr>
          <w:sz w:val="20"/>
          <w:szCs w:val="20"/>
          <w:rtl/>
        </w:rPr>
        <w:br/>
      </w:r>
      <w:r w:rsidRPr="004F4823">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לאחר שהמתינה סך הימים שרגילה לראות בהם אין חשש לדם טמא, אלא ע"כ הדם מכה וטהורה.</w:t>
      </w:r>
      <w:r>
        <w:rPr>
          <w:sz w:val="20"/>
          <w:szCs w:val="20"/>
          <w:rtl/>
        </w:rPr>
        <w:br/>
      </w:r>
      <w:r>
        <w:rPr>
          <w:rFonts w:hint="cs"/>
          <w:sz w:val="20"/>
          <w:szCs w:val="20"/>
          <w:rtl/>
        </w:rPr>
        <w:t>אמנם, אם הווסת קדמה למכה, הרי מעיינה עדיין פתוח וטמאה ואין תולים את הדם במכה, עיין הערה.</w:t>
      </w:r>
      <w:r>
        <w:rPr>
          <w:rStyle w:val="a5"/>
          <w:sz w:val="20"/>
          <w:szCs w:val="20"/>
          <w:rtl/>
        </w:rPr>
        <w:footnoteReference w:id="119"/>
      </w:r>
      <w:r>
        <w:rPr>
          <w:rFonts w:hint="cs"/>
          <w:sz w:val="20"/>
          <w:szCs w:val="20"/>
          <w:rtl/>
        </w:rPr>
        <w:br/>
        <w:t xml:space="preserve">ג. </w:t>
      </w:r>
      <w:r w:rsidRPr="008F03AA">
        <w:rPr>
          <w:rFonts w:hint="cs"/>
          <w:b/>
          <w:bCs/>
          <w:sz w:val="20"/>
          <w:szCs w:val="20"/>
          <w:rtl/>
        </w:rPr>
        <w:t xml:space="preserve">חזון אי"ש ושו"ת זכרון יוסף </w:t>
      </w:r>
      <w:r>
        <w:rPr>
          <w:sz w:val="20"/>
          <w:szCs w:val="20"/>
          <w:rtl/>
        </w:rPr>
        <w:t>–</w:t>
      </w:r>
      <w:r>
        <w:rPr>
          <w:rFonts w:hint="cs"/>
          <w:sz w:val="20"/>
          <w:szCs w:val="20"/>
          <w:rtl/>
        </w:rPr>
        <w:t xml:space="preserve"> בכל עניין יש לסמוך על חישוב ימי ווסתה, לעשות הפסק כנ"ל ומותרת.</w:t>
      </w:r>
      <w:r>
        <w:rPr>
          <w:sz w:val="20"/>
          <w:szCs w:val="20"/>
          <w:rtl/>
        </w:rPr>
        <w:br/>
      </w:r>
      <w:r w:rsidRPr="00176F1C">
        <w:rPr>
          <w:rFonts w:hint="cs"/>
          <w:b/>
          <w:bCs/>
          <w:sz w:val="20"/>
          <w:szCs w:val="20"/>
          <w:rtl/>
        </w:rPr>
        <w:t>טעם</w:t>
      </w:r>
      <w:r>
        <w:rPr>
          <w:rFonts w:hint="cs"/>
          <w:sz w:val="20"/>
          <w:szCs w:val="20"/>
          <w:rtl/>
        </w:rPr>
        <w:t xml:space="preserve"> - רוב הנשים פוסקות לראות דם לאחר כמה ימים, ויש לסמוך על כך ולהתירה לאחר סך ימים אלו ע"י הפסק טהרה הנעשה באופן הנ"ל.</w:t>
      </w:r>
      <w:r>
        <w:rPr>
          <w:sz w:val="20"/>
          <w:szCs w:val="20"/>
          <w:rtl/>
        </w:rPr>
        <w:br/>
      </w:r>
      <w:r w:rsidRPr="00D771EB">
        <w:rPr>
          <w:rFonts w:hint="cs"/>
          <w:b/>
          <w:bCs/>
          <w:sz w:val="20"/>
          <w:szCs w:val="20"/>
          <w:rtl/>
        </w:rPr>
        <w:t>ראיה</w:t>
      </w:r>
      <w:r w:rsidRPr="00D771EB">
        <w:rPr>
          <w:rFonts w:hint="cs"/>
          <w:sz w:val="20"/>
          <w:szCs w:val="20"/>
          <w:rtl/>
        </w:rPr>
        <w:t xml:space="preserve"> - </w:t>
      </w:r>
      <w:r w:rsidRPr="00D771EB">
        <w:rPr>
          <w:rFonts w:hint="cs"/>
          <w:b/>
          <w:bCs/>
          <w:sz w:val="20"/>
          <w:szCs w:val="20"/>
          <w:rtl/>
        </w:rPr>
        <w:t>גמרא</w:t>
      </w:r>
      <w:r>
        <w:rPr>
          <w:rFonts w:hint="cs"/>
          <w:sz w:val="20"/>
          <w:szCs w:val="20"/>
          <w:rtl/>
        </w:rPr>
        <w:t xml:space="preserve"> </w:t>
      </w:r>
      <w:r w:rsidRPr="00D771EB">
        <w:rPr>
          <w:rFonts w:hint="cs"/>
          <w:sz w:val="20"/>
          <w:szCs w:val="20"/>
          <w:rtl/>
        </w:rPr>
        <w:t>נידה (טו:) "</w:t>
      </w:r>
      <w:r w:rsidRPr="00D771EB">
        <w:rPr>
          <w:rFonts w:cs="Arial"/>
          <w:sz w:val="20"/>
          <w:szCs w:val="20"/>
          <w:rtl/>
        </w:rPr>
        <w:t>אמר רב שמואל משמיה דרבי יוחנן: אשה שיש לה וסת - בעלה מחשב ימי וסתה ובא עליה</w:t>
      </w:r>
      <w:r w:rsidRPr="00D771EB">
        <w:rPr>
          <w:rFonts w:cs="Arial" w:hint="cs"/>
          <w:sz w:val="20"/>
          <w:szCs w:val="20"/>
          <w:rtl/>
        </w:rPr>
        <w:t>"</w:t>
      </w:r>
      <w:r>
        <w:rPr>
          <w:rFonts w:cs="Arial" w:hint="cs"/>
          <w:sz w:val="20"/>
          <w:szCs w:val="20"/>
          <w:rtl/>
        </w:rPr>
        <w:t>. מוכח שניתן להתחשב ברגילות של הנשים בראיית הדם, ולהתיר אפילו כשאין בירור נוסף שהיא טהורה.</w:t>
      </w:r>
      <w:r>
        <w:rPr>
          <w:rFonts w:hint="cs"/>
          <w:sz w:val="20"/>
          <w:szCs w:val="20"/>
          <w:rtl/>
        </w:rPr>
        <w:br/>
      </w:r>
      <w:r>
        <w:rPr>
          <w:sz w:val="20"/>
          <w:szCs w:val="20"/>
          <w:rtl/>
        </w:rPr>
        <w:br/>
      </w:r>
      <w:r>
        <w:rPr>
          <w:rFonts w:hint="cs"/>
          <w:sz w:val="20"/>
          <w:szCs w:val="20"/>
          <w:rtl/>
        </w:rPr>
        <w:t xml:space="preserve">הכרעת </w:t>
      </w:r>
      <w:r w:rsidRPr="00176F1C">
        <w:rPr>
          <w:rFonts w:hint="cs"/>
          <w:b/>
          <w:bCs/>
          <w:sz w:val="20"/>
          <w:szCs w:val="20"/>
          <w:rtl/>
        </w:rPr>
        <w:t>טהרת הבית</w:t>
      </w:r>
      <w:r>
        <w:rPr>
          <w:rFonts w:hint="cs"/>
          <w:sz w:val="20"/>
          <w:szCs w:val="20"/>
          <w:rtl/>
        </w:rPr>
        <w:t xml:space="preserve"> </w:t>
      </w:r>
      <w:r>
        <w:rPr>
          <w:sz w:val="20"/>
          <w:szCs w:val="20"/>
          <w:rtl/>
        </w:rPr>
        <w:t>–</w:t>
      </w:r>
      <w:r>
        <w:rPr>
          <w:rFonts w:hint="cs"/>
          <w:sz w:val="20"/>
          <w:szCs w:val="20"/>
          <w:rtl/>
        </w:rPr>
        <w:t xml:space="preserve"> יש להקל כדברי </w:t>
      </w:r>
      <w:r w:rsidRPr="00176F1C">
        <w:rPr>
          <w:rFonts w:hint="cs"/>
          <w:b/>
          <w:bCs/>
          <w:sz w:val="20"/>
          <w:szCs w:val="20"/>
          <w:rtl/>
        </w:rPr>
        <w:t>החזו"א</w:t>
      </w:r>
      <w:r>
        <w:rPr>
          <w:rFonts w:hint="cs"/>
          <w:sz w:val="20"/>
          <w:szCs w:val="20"/>
          <w:rtl/>
        </w:rPr>
        <w:t xml:space="preserve"> ולעשות הספק טהרה כנ"ל לאחר שישה ימים לראייתה.</w:t>
      </w:r>
      <w:r>
        <w:rPr>
          <w:rStyle w:val="a5"/>
          <w:sz w:val="20"/>
          <w:szCs w:val="20"/>
          <w:rtl/>
        </w:rPr>
        <w:footnoteReference w:id="120"/>
      </w:r>
      <w:r>
        <w:rPr>
          <w:rFonts w:hint="cs"/>
          <w:sz w:val="20"/>
          <w:szCs w:val="20"/>
          <w:rtl/>
        </w:rPr>
        <w:br/>
      </w:r>
      <w:r w:rsidRPr="00176F1C">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קיי"ל רוב עדיף מחזקה. רוב נשים רואות את ראיית ווסתן סך מסוים של ימים, ולכן יש לומר גם במקרה כאן שמוחזקת בטומאה שלאחר שישה ימים בוודאי שהדם שרואה אינו מחמת הווסת אלא דם מכה</w:t>
      </w:r>
      <w:r>
        <w:rPr>
          <w:rStyle w:val="a5"/>
          <w:sz w:val="20"/>
          <w:szCs w:val="20"/>
          <w:rtl/>
        </w:rPr>
        <w:footnoteReference w:id="121"/>
      </w:r>
      <w:r>
        <w:rPr>
          <w:rFonts w:hint="cs"/>
          <w:sz w:val="20"/>
          <w:szCs w:val="20"/>
          <w:rtl/>
        </w:rPr>
        <w:t>.</w:t>
      </w:r>
    </w:p>
    <w:p w:rsidR="00620060" w:rsidRDefault="00620060" w:rsidP="00620060">
      <w:pPr>
        <w:rPr>
          <w:rFonts w:cs="Arial"/>
          <w:sz w:val="20"/>
          <w:szCs w:val="20"/>
          <w:rtl/>
        </w:rPr>
      </w:pPr>
      <w:r>
        <w:rPr>
          <w:sz w:val="20"/>
          <w:szCs w:val="20"/>
          <w:rtl/>
        </w:rPr>
        <w:br/>
      </w:r>
      <w:r>
        <w:rPr>
          <w:rFonts w:hint="cs"/>
          <w:b/>
          <w:bCs/>
          <w:sz w:val="20"/>
          <w:szCs w:val="20"/>
          <w:rtl/>
        </w:rPr>
        <w:t xml:space="preserve">סעיף ו </w:t>
      </w:r>
      <w:r>
        <w:rPr>
          <w:b/>
          <w:bCs/>
          <w:sz w:val="20"/>
          <w:szCs w:val="20"/>
          <w:rtl/>
        </w:rPr>
        <w:t>–</w:t>
      </w:r>
      <w:r>
        <w:rPr>
          <w:rFonts w:hint="cs"/>
          <w:b/>
          <w:bCs/>
          <w:sz w:val="20"/>
          <w:szCs w:val="20"/>
          <w:rtl/>
        </w:rPr>
        <w:t xml:space="preserve"> נאמנות האשה לומר שיש לה מכה </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גמרא </w:t>
      </w:r>
      <w:r>
        <w:rPr>
          <w:rFonts w:hint="cs"/>
          <w:sz w:val="20"/>
          <w:szCs w:val="20"/>
          <w:rtl/>
        </w:rPr>
        <w:t>(שם) "</w:t>
      </w:r>
      <w:r w:rsidRPr="00843D78">
        <w:rPr>
          <w:rFonts w:cs="Arial"/>
          <w:sz w:val="20"/>
          <w:szCs w:val="20"/>
          <w:rtl/>
        </w:rPr>
        <w:t>ונאמנת אשה לומר מכה יש לי במקור שממנה דם יוצא - דברי רבי</w:t>
      </w:r>
      <w:r>
        <w:rPr>
          <w:rFonts w:cs="Arial" w:hint="cs"/>
          <w:sz w:val="20"/>
          <w:szCs w:val="20"/>
          <w:rtl/>
        </w:rPr>
        <w:t>".</w:t>
      </w:r>
      <w:r>
        <w:rPr>
          <w:rStyle w:val="a5"/>
          <w:rFonts w:cs="Arial"/>
          <w:sz w:val="20"/>
          <w:szCs w:val="20"/>
          <w:rtl/>
        </w:rPr>
        <w:footnoteReference w:id="122"/>
      </w:r>
    </w:p>
    <w:p w:rsidR="00620060" w:rsidRDefault="00620060" w:rsidP="00620060">
      <w:pPr>
        <w:rPr>
          <w:sz w:val="20"/>
          <w:szCs w:val="20"/>
          <w:rtl/>
        </w:rPr>
      </w:pPr>
      <w:r>
        <w:rPr>
          <w:rFonts w:cs="Arial" w:hint="cs"/>
          <w:b/>
          <w:bCs/>
          <w:sz w:val="20"/>
          <w:szCs w:val="20"/>
          <w:rtl/>
        </w:rPr>
        <w:t>פסיקת הלכה</w:t>
      </w:r>
      <w:r>
        <w:rPr>
          <w:rFonts w:cs="Arial"/>
          <w:b/>
          <w:bCs/>
          <w:sz w:val="20"/>
          <w:szCs w:val="20"/>
          <w:rtl/>
        </w:rPr>
        <w:br/>
      </w:r>
      <w:r>
        <w:rPr>
          <w:rFonts w:cs="Arial" w:hint="cs"/>
          <w:b/>
          <w:bCs/>
          <w:sz w:val="20"/>
          <w:szCs w:val="20"/>
          <w:rtl/>
        </w:rPr>
        <w:t xml:space="preserve">שולחן ערוך </w:t>
      </w:r>
      <w:r>
        <w:rPr>
          <w:rFonts w:cs="Arial"/>
          <w:sz w:val="20"/>
          <w:szCs w:val="20"/>
          <w:rtl/>
        </w:rPr>
        <w:t>–</w:t>
      </w:r>
      <w:r>
        <w:rPr>
          <w:rFonts w:cs="Arial" w:hint="cs"/>
          <w:sz w:val="20"/>
          <w:szCs w:val="20"/>
          <w:rtl/>
        </w:rPr>
        <w:t xml:space="preserve"> "</w:t>
      </w:r>
      <w:r w:rsidRPr="00843D78">
        <w:rPr>
          <w:rFonts w:cs="Arial"/>
          <w:sz w:val="20"/>
          <w:szCs w:val="20"/>
          <w:rtl/>
        </w:rPr>
        <w:t>נאמנת אשה לומר: מכה י</w:t>
      </w:r>
      <w:r>
        <w:rPr>
          <w:rFonts w:cs="Arial"/>
          <w:sz w:val="20"/>
          <w:szCs w:val="20"/>
          <w:rtl/>
        </w:rPr>
        <w:t>ש לי באותו מקום שהדם יוצא ממנה</w:t>
      </w:r>
      <w:r>
        <w:rPr>
          <w:rFonts w:cs="Arial" w:hint="cs"/>
          <w:sz w:val="20"/>
          <w:szCs w:val="20"/>
          <w:rtl/>
        </w:rPr>
        <w:t>".</w:t>
      </w:r>
      <w:r>
        <w:rPr>
          <w:sz w:val="20"/>
          <w:szCs w:val="20"/>
          <w:rtl/>
        </w:rPr>
        <w:br/>
      </w:r>
      <w:r>
        <w:rPr>
          <w:sz w:val="20"/>
          <w:szCs w:val="20"/>
          <w:rtl/>
        </w:rPr>
        <w:br/>
      </w:r>
      <w:r>
        <w:rPr>
          <w:rFonts w:hint="cs"/>
          <w:sz w:val="20"/>
          <w:szCs w:val="20"/>
          <w:u w:val="single"/>
          <w:rtl/>
        </w:rPr>
        <w:t>נאמנות אשה להעיד על מכה של אשה אחרת (פת"ש)</w:t>
      </w:r>
      <w:r>
        <w:rPr>
          <w:sz w:val="20"/>
          <w:szCs w:val="20"/>
          <w:u w:val="single"/>
          <w:rtl/>
        </w:rPr>
        <w:br/>
      </w:r>
      <w:r w:rsidRPr="00B17A25">
        <w:rPr>
          <w:rFonts w:hint="cs"/>
          <w:b/>
          <w:bCs/>
          <w:sz w:val="20"/>
          <w:szCs w:val="20"/>
          <w:rtl/>
        </w:rPr>
        <w:t>חתם סופר</w:t>
      </w:r>
      <w:r>
        <w:rPr>
          <w:rFonts w:hint="cs"/>
          <w:sz w:val="20"/>
          <w:szCs w:val="20"/>
          <w:rtl/>
        </w:rPr>
        <w:t xml:space="preserve"> </w:t>
      </w:r>
      <w:r>
        <w:rPr>
          <w:sz w:val="20"/>
          <w:szCs w:val="20"/>
          <w:rtl/>
        </w:rPr>
        <w:t>–</w:t>
      </w:r>
      <w:r>
        <w:rPr>
          <w:rFonts w:hint="cs"/>
          <w:sz w:val="20"/>
          <w:szCs w:val="20"/>
          <w:rtl/>
        </w:rPr>
        <w:t xml:space="preserve"> אשה אחת נאמנת להעיד על אשה אחרת שיש לה מכה באותו מקום שממנה יוצא דם.</w:t>
      </w:r>
      <w:r>
        <w:rPr>
          <w:sz w:val="20"/>
          <w:szCs w:val="20"/>
          <w:rtl/>
        </w:rPr>
        <w:br/>
      </w:r>
      <w:r w:rsidRPr="00B17A25">
        <w:rPr>
          <w:rFonts w:hint="cs"/>
          <w:b/>
          <w:bCs/>
          <w:sz w:val="20"/>
          <w:szCs w:val="20"/>
          <w:rtl/>
        </w:rPr>
        <w:t xml:space="preserve">טעם </w:t>
      </w:r>
      <w:r>
        <w:rPr>
          <w:sz w:val="20"/>
          <w:szCs w:val="20"/>
          <w:rtl/>
        </w:rPr>
        <w:t>–</w:t>
      </w:r>
      <w:r>
        <w:rPr>
          <w:rFonts w:hint="cs"/>
          <w:sz w:val="20"/>
          <w:szCs w:val="20"/>
          <w:rtl/>
        </w:rPr>
        <w:t xml:space="preserve"> עד אחד נאמן במקום שאין חזקת איסור, כל שכן כאן שרוב נשים אינן רואות מחמת תשמיש.</w:t>
      </w:r>
    </w:p>
    <w:p w:rsidR="00620060" w:rsidRDefault="00620060" w:rsidP="00620060">
      <w:pPr>
        <w:rPr>
          <w:sz w:val="20"/>
          <w:szCs w:val="20"/>
          <w:rtl/>
        </w:rPr>
      </w:pPr>
      <w:r>
        <w:rPr>
          <w:rFonts w:hint="cs"/>
          <w:b/>
          <w:bCs/>
          <w:sz w:val="20"/>
          <w:szCs w:val="20"/>
          <w:rtl/>
        </w:rPr>
        <w:t>אשה שברי לה שהדם אינו מהמקור</w:t>
      </w:r>
      <w:r>
        <w:rPr>
          <w:b/>
          <w:bCs/>
          <w:sz w:val="20"/>
          <w:szCs w:val="20"/>
          <w:rtl/>
        </w:rPr>
        <w:br/>
      </w:r>
      <w:r>
        <w:rPr>
          <w:rFonts w:hint="cs"/>
          <w:b/>
          <w:bCs/>
          <w:sz w:val="20"/>
          <w:szCs w:val="20"/>
          <w:rtl/>
        </w:rPr>
        <w:t>פסיקת הלכה</w:t>
      </w:r>
      <w:r>
        <w:rPr>
          <w:b/>
          <w:bCs/>
          <w:sz w:val="20"/>
          <w:szCs w:val="20"/>
          <w:rtl/>
        </w:rPr>
        <w:br/>
      </w:r>
      <w:r>
        <w:rPr>
          <w:rFonts w:hint="cs"/>
          <w:sz w:val="20"/>
          <w:szCs w:val="20"/>
          <w:rtl/>
        </w:rPr>
        <w:t xml:space="preserve">א. </w:t>
      </w:r>
      <w:r w:rsidRPr="00974A2C">
        <w:rPr>
          <w:rFonts w:hint="cs"/>
          <w:b/>
          <w:bCs/>
          <w:sz w:val="20"/>
          <w:szCs w:val="20"/>
          <w:rtl/>
        </w:rPr>
        <w:t>רמ"א</w:t>
      </w:r>
      <w:r>
        <w:rPr>
          <w:rFonts w:hint="cs"/>
          <w:sz w:val="20"/>
          <w:szCs w:val="20"/>
          <w:rtl/>
        </w:rPr>
        <w:t xml:space="preserve"> </w:t>
      </w:r>
      <w:r>
        <w:rPr>
          <w:sz w:val="20"/>
          <w:szCs w:val="20"/>
          <w:rtl/>
        </w:rPr>
        <w:t>–</w:t>
      </w:r>
      <w:r>
        <w:rPr>
          <w:rFonts w:cs="Arial" w:hint="cs"/>
          <w:sz w:val="18"/>
          <w:szCs w:val="18"/>
          <w:rtl/>
        </w:rPr>
        <w:t xml:space="preserve"> "</w:t>
      </w:r>
      <w:r w:rsidRPr="00843D78">
        <w:rPr>
          <w:rFonts w:cs="Arial"/>
          <w:sz w:val="18"/>
          <w:szCs w:val="18"/>
          <w:rtl/>
        </w:rPr>
        <w:t>וכן אם אומרת: ברי לי שאין דם זה בא מן המקור, נאמנת וטהורה</w:t>
      </w:r>
      <w:r>
        <w:rPr>
          <w:rFonts w:cs="Arial" w:hint="cs"/>
          <w:sz w:val="18"/>
          <w:szCs w:val="18"/>
          <w:rtl/>
        </w:rPr>
        <w:t>".</w:t>
      </w:r>
      <w:r>
        <w:rPr>
          <w:rFonts w:cs="Arial"/>
          <w:sz w:val="18"/>
          <w:szCs w:val="18"/>
          <w:rtl/>
        </w:rPr>
        <w:br/>
      </w:r>
      <w:r w:rsidRPr="00974A2C">
        <w:rPr>
          <w:rFonts w:cs="Arial" w:hint="cs"/>
          <w:sz w:val="20"/>
          <w:szCs w:val="20"/>
          <w:rtl/>
        </w:rPr>
        <w:t xml:space="preserve">ב. </w:t>
      </w:r>
      <w:r w:rsidRPr="00974A2C">
        <w:rPr>
          <w:rFonts w:hint="cs"/>
          <w:b/>
          <w:bCs/>
          <w:sz w:val="20"/>
          <w:szCs w:val="20"/>
          <w:rtl/>
        </w:rPr>
        <w:t>תוה"ש</w:t>
      </w:r>
      <w:r>
        <w:rPr>
          <w:rFonts w:hint="cs"/>
          <w:sz w:val="20"/>
          <w:szCs w:val="20"/>
          <w:rtl/>
        </w:rPr>
        <w:t xml:space="preserve">, </w:t>
      </w:r>
      <w:r w:rsidRPr="00974A2C">
        <w:rPr>
          <w:rFonts w:hint="cs"/>
          <w:b/>
          <w:bCs/>
          <w:sz w:val="20"/>
          <w:szCs w:val="20"/>
          <w:rtl/>
        </w:rPr>
        <w:t>דגמ"ר וחוו"ד</w:t>
      </w:r>
      <w:r>
        <w:rPr>
          <w:rFonts w:hint="cs"/>
          <w:sz w:val="20"/>
          <w:szCs w:val="20"/>
          <w:rtl/>
        </w:rPr>
        <w:t xml:space="preserve"> </w:t>
      </w:r>
      <w:r w:rsidRPr="00974A2C">
        <w:rPr>
          <w:rFonts w:hint="cs"/>
          <w:sz w:val="18"/>
          <w:szCs w:val="18"/>
          <w:rtl/>
        </w:rPr>
        <w:t xml:space="preserve">(הו"ד </w:t>
      </w:r>
      <w:r w:rsidRPr="00202EE1">
        <w:rPr>
          <w:rFonts w:hint="cs"/>
          <w:b/>
          <w:bCs/>
          <w:sz w:val="18"/>
          <w:szCs w:val="18"/>
          <w:rtl/>
        </w:rPr>
        <w:t>בפת"ש</w:t>
      </w:r>
      <w:r w:rsidRPr="00974A2C">
        <w:rPr>
          <w:rFonts w:hint="cs"/>
          <w:sz w:val="18"/>
          <w:szCs w:val="18"/>
          <w:rtl/>
        </w:rPr>
        <w:t xml:space="preserve">) </w:t>
      </w:r>
      <w:r>
        <w:rPr>
          <w:sz w:val="20"/>
          <w:szCs w:val="20"/>
          <w:rtl/>
        </w:rPr>
        <w:t>–</w:t>
      </w:r>
      <w:r>
        <w:rPr>
          <w:rFonts w:hint="cs"/>
          <w:sz w:val="20"/>
          <w:szCs w:val="20"/>
          <w:rtl/>
        </w:rPr>
        <w:t xml:space="preserve"> אינה נאמנת לומר כך, משום שאינה טוענת שיש לה מכה.</w:t>
      </w:r>
    </w:p>
    <w:p w:rsidR="00620060" w:rsidRDefault="00620060" w:rsidP="00620060">
      <w:pPr>
        <w:rPr>
          <w:sz w:val="20"/>
          <w:szCs w:val="20"/>
          <w:rtl/>
        </w:rPr>
      </w:pPr>
      <w:r>
        <w:rPr>
          <w:rFonts w:hint="cs"/>
          <w:b/>
          <w:bCs/>
          <w:sz w:val="20"/>
          <w:szCs w:val="20"/>
          <w:rtl/>
        </w:rPr>
        <w:lastRenderedPageBreak/>
        <w:t>סיכום</w:t>
      </w:r>
      <w:r>
        <w:rPr>
          <w:b/>
          <w:bCs/>
          <w:sz w:val="20"/>
          <w:szCs w:val="20"/>
          <w:rtl/>
        </w:rPr>
        <w:br/>
      </w:r>
      <w:r>
        <w:rPr>
          <w:rFonts w:hint="cs"/>
          <w:sz w:val="20"/>
          <w:szCs w:val="20"/>
          <w:rtl/>
        </w:rPr>
        <w:t xml:space="preserve">1. </w:t>
      </w:r>
      <w:r w:rsidRPr="00254AD1">
        <w:rPr>
          <w:rFonts w:hint="cs"/>
          <w:b/>
          <w:bCs/>
          <w:sz w:val="20"/>
          <w:szCs w:val="20"/>
          <w:rtl/>
        </w:rPr>
        <w:t>גמרא</w:t>
      </w:r>
      <w:r>
        <w:rPr>
          <w:rFonts w:hint="cs"/>
          <w:sz w:val="20"/>
          <w:szCs w:val="20"/>
          <w:rtl/>
        </w:rPr>
        <w:t xml:space="preserve">. נאמנת אשה לומר שיש לה מכה באותו מקום. </w:t>
      </w:r>
      <w:r w:rsidRPr="00137470">
        <w:rPr>
          <w:rFonts w:hint="cs"/>
          <w:b/>
          <w:bCs/>
          <w:sz w:val="20"/>
          <w:szCs w:val="20"/>
          <w:rtl/>
        </w:rPr>
        <w:t>חת"ס</w:t>
      </w:r>
      <w:r>
        <w:rPr>
          <w:rFonts w:hint="cs"/>
          <w:sz w:val="20"/>
          <w:szCs w:val="20"/>
          <w:rtl/>
        </w:rPr>
        <w:t>. אשה נאמנת להעיד שיש מכה לחברתה.</w:t>
      </w:r>
      <w:r>
        <w:rPr>
          <w:sz w:val="20"/>
          <w:szCs w:val="20"/>
          <w:rtl/>
        </w:rPr>
        <w:br/>
      </w:r>
      <w:r>
        <w:rPr>
          <w:rFonts w:hint="cs"/>
          <w:sz w:val="20"/>
          <w:szCs w:val="20"/>
          <w:rtl/>
        </w:rPr>
        <w:t xml:space="preserve">2. </w:t>
      </w:r>
      <w:r w:rsidRPr="00202EE1">
        <w:rPr>
          <w:rFonts w:hint="cs"/>
          <w:sz w:val="20"/>
          <w:szCs w:val="20"/>
          <w:rtl/>
        </w:rPr>
        <w:t xml:space="preserve">ברי לאשה שהדם אינו מקור אך אינה טוענת שיש לה מכה. </w:t>
      </w:r>
      <w:r w:rsidRPr="00202EE1">
        <w:rPr>
          <w:rFonts w:hint="cs"/>
          <w:b/>
          <w:bCs/>
          <w:sz w:val="20"/>
          <w:szCs w:val="20"/>
          <w:rtl/>
        </w:rPr>
        <w:t>רמ</w:t>
      </w:r>
      <w:r w:rsidRPr="00137470">
        <w:rPr>
          <w:rFonts w:hint="cs"/>
          <w:b/>
          <w:bCs/>
          <w:sz w:val="20"/>
          <w:szCs w:val="20"/>
          <w:rtl/>
        </w:rPr>
        <w:t>"א</w:t>
      </w:r>
      <w:r>
        <w:rPr>
          <w:rFonts w:hint="cs"/>
          <w:sz w:val="20"/>
          <w:szCs w:val="20"/>
          <w:rtl/>
        </w:rPr>
        <w:t xml:space="preserve">. טהורה. </w:t>
      </w:r>
      <w:r w:rsidRPr="00137470">
        <w:rPr>
          <w:rFonts w:hint="cs"/>
          <w:b/>
          <w:bCs/>
          <w:sz w:val="20"/>
          <w:szCs w:val="20"/>
          <w:rtl/>
        </w:rPr>
        <w:t>פת"ש</w:t>
      </w:r>
      <w:r>
        <w:rPr>
          <w:rFonts w:hint="cs"/>
          <w:sz w:val="20"/>
          <w:szCs w:val="20"/>
          <w:rtl/>
        </w:rPr>
        <w:t xml:space="preserve"> בשם אחרונים. טמאה.</w:t>
      </w:r>
      <w:r w:rsidRPr="00974A2C">
        <w:rPr>
          <w:sz w:val="20"/>
          <w:szCs w:val="20"/>
          <w:rtl/>
        </w:rPr>
        <w:br/>
      </w:r>
    </w:p>
    <w:p w:rsidR="00620060" w:rsidRDefault="00620060" w:rsidP="00620060">
      <w:pPr>
        <w:rPr>
          <w:sz w:val="20"/>
          <w:szCs w:val="20"/>
          <w:rtl/>
        </w:rPr>
      </w:pPr>
      <w:r>
        <w:rPr>
          <w:rFonts w:hint="cs"/>
          <w:b/>
          <w:bCs/>
          <w:sz w:val="20"/>
          <w:szCs w:val="20"/>
          <w:rtl/>
        </w:rPr>
        <w:t xml:space="preserve">סעיף ז </w:t>
      </w:r>
      <w:r>
        <w:rPr>
          <w:b/>
          <w:bCs/>
          <w:sz w:val="20"/>
          <w:szCs w:val="20"/>
          <w:rtl/>
        </w:rPr>
        <w:t>–</w:t>
      </w:r>
      <w:r>
        <w:rPr>
          <w:rFonts w:hint="cs"/>
          <w:b/>
          <w:bCs/>
          <w:sz w:val="20"/>
          <w:szCs w:val="20"/>
          <w:rtl/>
        </w:rPr>
        <w:t xml:space="preserve"> זיהוי המכה על ידי בדיקת עד</w:t>
      </w:r>
      <w:r>
        <w:rPr>
          <w:b/>
          <w:b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שולחן ערוך </w:t>
      </w:r>
      <w:r w:rsidRPr="007155C2">
        <w:rPr>
          <w:rFonts w:hint="cs"/>
          <w:sz w:val="18"/>
          <w:szCs w:val="18"/>
          <w:rtl/>
        </w:rPr>
        <w:t xml:space="preserve">(ע"פ </w:t>
      </w:r>
      <w:r w:rsidRPr="007155C2">
        <w:rPr>
          <w:rFonts w:hint="cs"/>
          <w:b/>
          <w:bCs/>
          <w:sz w:val="18"/>
          <w:szCs w:val="18"/>
          <w:rtl/>
        </w:rPr>
        <w:t>תרומת הדשן</w:t>
      </w:r>
      <w:r w:rsidRPr="007155C2">
        <w:rPr>
          <w:rFonts w:hint="cs"/>
          <w:sz w:val="18"/>
          <w:szCs w:val="18"/>
          <w:rtl/>
        </w:rPr>
        <w:t xml:space="preserve">) </w:t>
      </w:r>
      <w:r>
        <w:rPr>
          <w:sz w:val="20"/>
          <w:szCs w:val="20"/>
          <w:rtl/>
        </w:rPr>
        <w:t>–</w:t>
      </w:r>
      <w:r>
        <w:rPr>
          <w:rFonts w:hint="cs"/>
          <w:sz w:val="20"/>
          <w:szCs w:val="20"/>
          <w:rtl/>
        </w:rPr>
        <w:t xml:space="preserve"> "</w:t>
      </w:r>
      <w:r w:rsidRPr="007155C2">
        <w:rPr>
          <w:rFonts w:cs="Arial"/>
          <w:sz w:val="20"/>
          <w:szCs w:val="20"/>
          <w:rtl/>
        </w:rPr>
        <w:t>אם כל זמן</w:t>
      </w:r>
      <w:r>
        <w:rPr>
          <w:rStyle w:val="a5"/>
          <w:rFonts w:cs="Arial"/>
          <w:sz w:val="20"/>
          <w:szCs w:val="20"/>
          <w:rtl/>
        </w:rPr>
        <w:footnoteReference w:id="123"/>
      </w:r>
      <w:r w:rsidRPr="007155C2">
        <w:rPr>
          <w:rFonts w:cs="Arial"/>
          <w:sz w:val="20"/>
          <w:szCs w:val="20"/>
          <w:rtl/>
        </w:rPr>
        <w:t xml:space="preserve"> שהיא בודקת בכל החורים והסדקים אינה מוצאה כתמים, כי אם במקום אחד בצדדין, יש לתלות שממכה שבאותו צד בא. וכל שכן אם מרגשת בשעת בדיקה, כשנוגעת בצד המקום ההוא כואב לה קצת, ובשאר חורין וסדקים אינה מרגשת כאב כלל</w:t>
      </w:r>
      <w:r>
        <w:rPr>
          <w:rFonts w:cs="Arial" w:hint="cs"/>
          <w:sz w:val="20"/>
          <w:szCs w:val="20"/>
          <w:rtl/>
        </w:rPr>
        <w:t>"</w:t>
      </w:r>
      <w:r w:rsidRPr="007155C2">
        <w:rPr>
          <w:rFonts w:cs="Arial"/>
          <w:sz w:val="20"/>
          <w:szCs w:val="20"/>
          <w:rtl/>
        </w:rPr>
        <w:t>.</w:t>
      </w:r>
    </w:p>
    <w:p w:rsidR="00620060" w:rsidRDefault="00620060" w:rsidP="00620060">
      <w:pPr>
        <w:rPr>
          <w:sz w:val="20"/>
          <w:szCs w:val="20"/>
          <w:rtl/>
        </w:rPr>
      </w:pPr>
      <w:r>
        <w:rPr>
          <w:rFonts w:hint="cs"/>
          <w:sz w:val="20"/>
          <w:szCs w:val="20"/>
          <w:u w:val="single"/>
          <w:rtl/>
        </w:rPr>
        <w:t>האם מדובר באשה שיש לה ווסת קבוע?</w:t>
      </w:r>
      <w:r>
        <w:rPr>
          <w:sz w:val="20"/>
          <w:szCs w:val="20"/>
          <w:u w:val="single"/>
          <w:rtl/>
        </w:rPr>
        <w:br/>
      </w:r>
      <w:r>
        <w:rPr>
          <w:rFonts w:hint="cs"/>
          <w:sz w:val="20"/>
          <w:szCs w:val="20"/>
          <w:rtl/>
        </w:rPr>
        <w:t xml:space="preserve">א. </w:t>
      </w:r>
      <w:r w:rsidRPr="00712C98">
        <w:rPr>
          <w:rFonts w:hint="cs"/>
          <w:b/>
          <w:bCs/>
          <w:sz w:val="20"/>
          <w:szCs w:val="20"/>
          <w:rtl/>
        </w:rPr>
        <w:t>ט"ז</w:t>
      </w:r>
      <w:r>
        <w:rPr>
          <w:rFonts w:hint="cs"/>
          <w:sz w:val="20"/>
          <w:szCs w:val="20"/>
          <w:rtl/>
        </w:rPr>
        <w:t xml:space="preserve"> </w:t>
      </w:r>
      <w:r w:rsidRPr="00712C98">
        <w:rPr>
          <w:rFonts w:hint="cs"/>
          <w:sz w:val="18"/>
          <w:szCs w:val="18"/>
          <w:rtl/>
        </w:rPr>
        <w:t xml:space="preserve">(סק"י) </w:t>
      </w:r>
      <w:r>
        <w:rPr>
          <w:sz w:val="20"/>
          <w:szCs w:val="20"/>
          <w:rtl/>
        </w:rPr>
        <w:t>–</w:t>
      </w:r>
      <w:r>
        <w:rPr>
          <w:rFonts w:hint="cs"/>
          <w:sz w:val="20"/>
          <w:szCs w:val="20"/>
          <w:rtl/>
        </w:rPr>
        <w:t xml:space="preserve"> תרומת הדשן הקל רק באשה שיש לה ווסת קבוע.</w:t>
      </w:r>
      <w:r>
        <w:rPr>
          <w:sz w:val="20"/>
          <w:szCs w:val="20"/>
          <w:rtl/>
        </w:rPr>
        <w:br/>
      </w:r>
      <w:r w:rsidRPr="008C3AEC">
        <w:rPr>
          <w:rFonts w:hint="cs"/>
          <w:b/>
          <w:bCs/>
          <w:sz w:val="20"/>
          <w:szCs w:val="20"/>
          <w:rtl/>
        </w:rPr>
        <w:t xml:space="preserve">טעם </w:t>
      </w:r>
      <w:r>
        <w:rPr>
          <w:rFonts w:hint="cs"/>
          <w:sz w:val="20"/>
          <w:szCs w:val="20"/>
          <w:rtl/>
        </w:rPr>
        <w:t>- כיוון שאינה יודעת שמכתה מוציאה דם.</w:t>
      </w:r>
      <w:r>
        <w:rPr>
          <w:sz w:val="20"/>
          <w:szCs w:val="20"/>
          <w:rtl/>
        </w:rPr>
        <w:br/>
      </w:r>
      <w:r>
        <w:rPr>
          <w:rFonts w:hint="cs"/>
          <w:sz w:val="20"/>
          <w:szCs w:val="20"/>
          <w:rtl/>
        </w:rPr>
        <w:t xml:space="preserve">ב. </w:t>
      </w:r>
      <w:r w:rsidRPr="008C3AEC">
        <w:rPr>
          <w:rFonts w:hint="cs"/>
          <w:b/>
          <w:bCs/>
          <w:sz w:val="20"/>
          <w:szCs w:val="20"/>
          <w:rtl/>
        </w:rPr>
        <w:t>נוב"י</w:t>
      </w:r>
      <w:r>
        <w:rPr>
          <w:rFonts w:hint="cs"/>
          <w:sz w:val="20"/>
          <w:szCs w:val="20"/>
          <w:rtl/>
        </w:rPr>
        <w:t xml:space="preserve"> </w:t>
      </w:r>
      <w:r>
        <w:rPr>
          <w:sz w:val="20"/>
          <w:szCs w:val="20"/>
          <w:rtl/>
        </w:rPr>
        <w:t>–</w:t>
      </w:r>
      <w:r>
        <w:rPr>
          <w:rFonts w:hint="cs"/>
          <w:sz w:val="20"/>
          <w:szCs w:val="20"/>
          <w:rtl/>
        </w:rPr>
        <w:t xml:space="preserve"> יש להקל גם באשה שאין לה ווסת קבוע.</w:t>
      </w:r>
      <w:r>
        <w:rPr>
          <w:sz w:val="20"/>
          <w:szCs w:val="20"/>
          <w:rtl/>
        </w:rPr>
        <w:br/>
      </w:r>
      <w:r w:rsidRPr="008C3AEC">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כיוון שהדם נמצא במקום המכה בלבד, הוי כאילו ידוע שמכתה מוציאה דם.</w:t>
      </w:r>
      <w:r>
        <w:rPr>
          <w:rStyle w:val="a5"/>
          <w:sz w:val="20"/>
          <w:szCs w:val="20"/>
          <w:rtl/>
        </w:rPr>
        <w:footnoteReference w:id="124"/>
      </w:r>
    </w:p>
    <w:p w:rsidR="00620060"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DD20E9">
        <w:rPr>
          <w:rFonts w:hint="cs"/>
          <w:b/>
          <w:bCs/>
          <w:sz w:val="20"/>
          <w:szCs w:val="20"/>
          <w:rtl/>
        </w:rPr>
        <w:t>מחבר</w:t>
      </w:r>
      <w:r>
        <w:rPr>
          <w:rFonts w:hint="cs"/>
          <w:sz w:val="20"/>
          <w:szCs w:val="20"/>
          <w:rtl/>
        </w:rPr>
        <w:t>. אם בזמן שבודקת מוצאת תמיד דם רק במקום מסויים, תולה במכה, וכ"ש אם המקום מכאיב לה.</w:t>
      </w:r>
      <w:r>
        <w:rPr>
          <w:sz w:val="20"/>
          <w:szCs w:val="20"/>
          <w:rtl/>
        </w:rPr>
        <w:br/>
      </w:r>
      <w:r>
        <w:rPr>
          <w:rFonts w:hint="cs"/>
          <w:sz w:val="20"/>
          <w:szCs w:val="20"/>
          <w:rtl/>
        </w:rPr>
        <w:t xml:space="preserve">2. </w:t>
      </w:r>
      <w:r w:rsidRPr="00DD20E9">
        <w:rPr>
          <w:rFonts w:hint="cs"/>
          <w:b/>
          <w:bCs/>
          <w:sz w:val="20"/>
          <w:szCs w:val="20"/>
          <w:rtl/>
        </w:rPr>
        <w:t>ט"ז</w:t>
      </w:r>
      <w:r>
        <w:rPr>
          <w:rFonts w:hint="cs"/>
          <w:sz w:val="20"/>
          <w:szCs w:val="20"/>
          <w:rtl/>
        </w:rPr>
        <w:t xml:space="preserve">. קולה זו נאמרה רק כשיש לה ווסת קבוע. </w:t>
      </w:r>
      <w:r w:rsidRPr="00DD20E9">
        <w:rPr>
          <w:rFonts w:hint="cs"/>
          <w:b/>
          <w:bCs/>
          <w:sz w:val="20"/>
          <w:szCs w:val="20"/>
          <w:rtl/>
        </w:rPr>
        <w:t>נוב"י</w:t>
      </w:r>
      <w:r>
        <w:rPr>
          <w:rFonts w:hint="cs"/>
          <w:sz w:val="20"/>
          <w:szCs w:val="20"/>
          <w:rtl/>
        </w:rPr>
        <w:t>. אפילו כשאין לה ווסת קבוע.</w:t>
      </w:r>
      <w:r>
        <w:rPr>
          <w:sz w:val="20"/>
          <w:szCs w:val="20"/>
          <w:rtl/>
        </w:rPr>
        <w:br/>
      </w:r>
      <w:r>
        <w:rPr>
          <w:rFonts w:hint="cs"/>
          <w:sz w:val="20"/>
          <w:szCs w:val="20"/>
          <w:rtl/>
        </w:rPr>
        <w:t xml:space="preserve">3. </w:t>
      </w:r>
      <w:r w:rsidRPr="00DD20E9">
        <w:rPr>
          <w:rFonts w:hint="cs"/>
          <w:b/>
          <w:bCs/>
          <w:sz w:val="20"/>
          <w:szCs w:val="20"/>
          <w:rtl/>
        </w:rPr>
        <w:t>ששבה"ל</w:t>
      </w:r>
      <w:r>
        <w:rPr>
          <w:rFonts w:hint="cs"/>
          <w:sz w:val="20"/>
          <w:szCs w:val="20"/>
          <w:rtl/>
        </w:rPr>
        <w:t xml:space="preserve">. </w:t>
      </w:r>
      <w:r w:rsidRPr="00DD20E9">
        <w:rPr>
          <w:rFonts w:hint="cs"/>
          <w:b/>
          <w:bCs/>
          <w:sz w:val="20"/>
          <w:szCs w:val="20"/>
          <w:rtl/>
        </w:rPr>
        <w:t>הנוב"י</w:t>
      </w:r>
      <w:r>
        <w:rPr>
          <w:rFonts w:hint="cs"/>
          <w:sz w:val="20"/>
          <w:szCs w:val="20"/>
          <w:rtl/>
        </w:rPr>
        <w:t xml:space="preserve"> הקל רק כשידוע שיש לה מכה, ויש שהקלו אפילו כשאין ידוע, ויש להקל במסולקת דמים.</w:t>
      </w:r>
    </w:p>
    <w:p w:rsidR="00620060" w:rsidRDefault="00620060" w:rsidP="00620060">
      <w:pPr>
        <w:rPr>
          <w:sz w:val="20"/>
          <w:szCs w:val="20"/>
          <w:rtl/>
        </w:rPr>
      </w:pPr>
      <w:r>
        <w:rPr>
          <w:b/>
          <w:bCs/>
          <w:sz w:val="20"/>
          <w:szCs w:val="20"/>
          <w:rtl/>
        </w:rPr>
        <w:br/>
      </w:r>
      <w:r>
        <w:rPr>
          <w:rFonts w:hint="cs"/>
          <w:b/>
          <w:bCs/>
          <w:sz w:val="20"/>
          <w:szCs w:val="20"/>
          <w:rtl/>
        </w:rPr>
        <w:t xml:space="preserve">סעיף ח </w:t>
      </w:r>
      <w:r>
        <w:rPr>
          <w:b/>
          <w:bCs/>
          <w:sz w:val="20"/>
          <w:szCs w:val="20"/>
          <w:rtl/>
        </w:rPr>
        <w:t>–</w:t>
      </w:r>
      <w:r>
        <w:rPr>
          <w:rFonts w:hint="cs"/>
          <w:b/>
          <w:bCs/>
          <w:sz w:val="20"/>
          <w:szCs w:val="20"/>
          <w:rtl/>
        </w:rPr>
        <w:t xml:space="preserve"> רפואה לאשה שהוחזקה להיות רמ"ת</w:t>
      </w:r>
      <w:r>
        <w:rPr>
          <w:b/>
          <w:bCs/>
          <w:sz w:val="20"/>
          <w:szCs w:val="20"/>
          <w:rtl/>
        </w:rPr>
        <w:br/>
      </w:r>
      <w:r>
        <w:rPr>
          <w:rFonts w:hint="cs"/>
          <w:b/>
          <w:bCs/>
          <w:sz w:val="20"/>
          <w:szCs w:val="20"/>
          <w:rtl/>
        </w:rPr>
        <w:t>שיטות הראשונים</w:t>
      </w:r>
      <w:r>
        <w:rPr>
          <w:b/>
          <w:bCs/>
          <w:sz w:val="20"/>
          <w:szCs w:val="20"/>
          <w:rtl/>
        </w:rPr>
        <w:br/>
      </w:r>
      <w:r>
        <w:rPr>
          <w:rFonts w:hint="cs"/>
          <w:sz w:val="20"/>
          <w:szCs w:val="20"/>
          <w:rtl/>
        </w:rPr>
        <w:t>האם רופא נאמן לומר לאשה שהוחזקה להיות רמ"ת שהיא התרפאה ושוב לא תראה?</w:t>
      </w:r>
      <w:r>
        <w:rPr>
          <w:b/>
          <w:bCs/>
          <w:sz w:val="20"/>
          <w:szCs w:val="20"/>
          <w:rtl/>
        </w:rPr>
        <w:br/>
      </w:r>
      <w:r>
        <w:rPr>
          <w:rFonts w:hint="cs"/>
          <w:sz w:val="20"/>
          <w:szCs w:val="20"/>
          <w:rtl/>
        </w:rPr>
        <w:t xml:space="preserve">א. </w:t>
      </w:r>
      <w:r w:rsidRPr="00151BA4">
        <w:rPr>
          <w:rFonts w:hint="cs"/>
          <w:b/>
          <w:bCs/>
          <w:sz w:val="20"/>
          <w:szCs w:val="20"/>
          <w:rtl/>
        </w:rPr>
        <w:t xml:space="preserve">תרומה </w:t>
      </w:r>
      <w:r>
        <w:rPr>
          <w:sz w:val="20"/>
          <w:szCs w:val="20"/>
          <w:rtl/>
        </w:rPr>
        <w:t>–</w:t>
      </w:r>
      <w:r>
        <w:rPr>
          <w:rFonts w:hint="cs"/>
          <w:sz w:val="20"/>
          <w:szCs w:val="20"/>
          <w:rtl/>
        </w:rPr>
        <w:t xml:space="preserve"> הרופא נאמן רק לפני שהוחזקה להיות רמ"ת בג' פעמים, אך לאחר שהוחזקה צ"ע אם נאמן. </w:t>
      </w:r>
      <w:r>
        <w:rPr>
          <w:sz w:val="20"/>
          <w:szCs w:val="20"/>
          <w:rtl/>
        </w:rPr>
        <w:br/>
      </w:r>
      <w:r>
        <w:rPr>
          <w:rFonts w:hint="cs"/>
          <w:sz w:val="20"/>
          <w:szCs w:val="20"/>
          <w:rtl/>
        </w:rPr>
        <w:t xml:space="preserve">ב. </w:t>
      </w:r>
      <w:r w:rsidRPr="00151BA4">
        <w:rPr>
          <w:rFonts w:hint="cs"/>
          <w:b/>
          <w:bCs/>
          <w:sz w:val="20"/>
          <w:szCs w:val="20"/>
          <w:rtl/>
        </w:rPr>
        <w:t>ריצב"א</w:t>
      </w:r>
      <w:r>
        <w:rPr>
          <w:rFonts w:hint="cs"/>
          <w:sz w:val="20"/>
          <w:szCs w:val="20"/>
          <w:rtl/>
        </w:rPr>
        <w:t xml:space="preserve"> </w:t>
      </w:r>
      <w:r>
        <w:rPr>
          <w:sz w:val="20"/>
          <w:szCs w:val="20"/>
          <w:rtl/>
        </w:rPr>
        <w:t>–</w:t>
      </w:r>
      <w:r>
        <w:rPr>
          <w:rFonts w:hint="cs"/>
          <w:sz w:val="20"/>
          <w:szCs w:val="20"/>
          <w:rtl/>
        </w:rPr>
        <w:t xml:space="preserve"> רופא ישראל</w:t>
      </w:r>
      <w:r>
        <w:rPr>
          <w:rStyle w:val="a5"/>
          <w:sz w:val="20"/>
          <w:szCs w:val="20"/>
          <w:rtl/>
        </w:rPr>
        <w:footnoteReference w:id="125"/>
      </w:r>
      <w:r>
        <w:rPr>
          <w:rFonts w:hint="cs"/>
          <w:sz w:val="20"/>
          <w:szCs w:val="20"/>
          <w:rtl/>
        </w:rPr>
        <w:t xml:space="preserve"> נאמן אפילו לאחר שהתחזקה, אך רופא גוי אינו נאמן אלא אם כן יש הוכחה שהתרפאה, כגון </w:t>
      </w:r>
      <w:r>
        <w:rPr>
          <w:sz w:val="20"/>
          <w:szCs w:val="20"/>
          <w:rtl/>
        </w:rPr>
        <w:t>–</w:t>
      </w:r>
      <w:r>
        <w:rPr>
          <w:rFonts w:hint="cs"/>
          <w:sz w:val="20"/>
          <w:szCs w:val="20"/>
          <w:rtl/>
        </w:rPr>
        <w:t xml:space="preserve"> פסק דם ווסתה וראייתה מחמת הרפואה.</w:t>
      </w:r>
      <w:r>
        <w:rPr>
          <w:sz w:val="20"/>
          <w:szCs w:val="20"/>
          <w:rtl/>
        </w:rPr>
        <w:br/>
      </w:r>
      <w:r w:rsidRPr="00D209CA">
        <w:rPr>
          <w:rFonts w:hint="cs"/>
          <w:b/>
          <w:bCs/>
          <w:sz w:val="20"/>
          <w:szCs w:val="20"/>
          <w:rtl/>
        </w:rPr>
        <w:t>ראיה</w:t>
      </w:r>
      <w:r>
        <w:rPr>
          <w:rFonts w:hint="cs"/>
          <w:sz w:val="20"/>
          <w:szCs w:val="20"/>
          <w:rtl/>
        </w:rPr>
        <w:t xml:space="preserve"> </w:t>
      </w:r>
      <w:r>
        <w:rPr>
          <w:sz w:val="20"/>
          <w:szCs w:val="20"/>
          <w:rtl/>
        </w:rPr>
        <w:t>–</w:t>
      </w:r>
      <w:r>
        <w:rPr>
          <w:rFonts w:hint="cs"/>
          <w:sz w:val="20"/>
          <w:szCs w:val="20"/>
          <w:rtl/>
        </w:rPr>
        <w:t xml:space="preserve"> רופא ישראל נאמן, שכך נאמר בירושלמי (שבת, ו, ב): "</w:t>
      </w:r>
      <w:r w:rsidRPr="00D209CA">
        <w:rPr>
          <w:rFonts w:cs="Arial"/>
          <w:sz w:val="20"/>
          <w:szCs w:val="20"/>
          <w:rtl/>
        </w:rPr>
        <w:t>נאמן הרופא לומר קמיע זה מומחה ריפיתי בו ושניתי ושילשתי</w:t>
      </w:r>
      <w:r>
        <w:rPr>
          <w:rFonts w:hint="cs"/>
          <w:sz w:val="20"/>
          <w:szCs w:val="20"/>
          <w:rtl/>
        </w:rPr>
        <w:t>", ועל סמך דיבורו ניתן לצאת בקמע זה בשבת.</w:t>
      </w:r>
      <w:r>
        <w:rPr>
          <w:sz w:val="20"/>
          <w:szCs w:val="20"/>
          <w:rtl/>
        </w:rPr>
        <w:br/>
      </w:r>
      <w:r>
        <w:rPr>
          <w:rFonts w:hint="cs"/>
          <w:sz w:val="20"/>
          <w:szCs w:val="20"/>
          <w:rtl/>
        </w:rPr>
        <w:t xml:space="preserve">רופא גוי </w:t>
      </w:r>
      <w:r>
        <w:rPr>
          <w:sz w:val="20"/>
          <w:szCs w:val="20"/>
          <w:rtl/>
        </w:rPr>
        <w:t>–</w:t>
      </w:r>
      <w:r>
        <w:rPr>
          <w:rFonts w:hint="cs"/>
          <w:sz w:val="20"/>
          <w:szCs w:val="20"/>
          <w:rtl/>
        </w:rPr>
        <w:t xml:space="preserve"> על סמך דיבורו גרידא אין להאמינו, אפילו אם הוא מומחה לרבים ולא מרע נפשיה. </w:t>
      </w:r>
      <w:r>
        <w:rPr>
          <w:sz w:val="20"/>
          <w:szCs w:val="20"/>
          <w:rtl/>
        </w:rPr>
        <w:br/>
      </w:r>
      <w:r>
        <w:rPr>
          <w:rFonts w:hint="cs"/>
          <w:sz w:val="20"/>
          <w:szCs w:val="20"/>
          <w:rtl/>
        </w:rPr>
        <w:t>אך אם יש הוכחה נאמן שכך מוכח בגמרא (נידה סו.) שיש לדבר זה רפואה: "</w:t>
      </w:r>
      <w:r w:rsidRPr="00D209CA">
        <w:rPr>
          <w:rFonts w:cs="Arial"/>
          <w:sz w:val="20"/>
          <w:szCs w:val="20"/>
          <w:rtl/>
        </w:rPr>
        <w:t>ההיא דאתאי לקמיה דרבי, אמר ליה לאבדן: זיל בעתה אזל בעתה, ונפל ממנה חררת דם. אמר רבי: נתרפאה זאת</w:t>
      </w:r>
      <w:r>
        <w:rPr>
          <w:rFonts w:cs="Arial" w:hint="cs"/>
          <w:sz w:val="20"/>
          <w:szCs w:val="20"/>
          <w:rtl/>
        </w:rPr>
        <w:t>"</w:t>
      </w:r>
      <w:r w:rsidRPr="00D209CA">
        <w:rPr>
          <w:rFonts w:cs="Arial"/>
          <w:sz w:val="20"/>
          <w:szCs w:val="20"/>
          <w:rtl/>
        </w:rPr>
        <w:t>.</w:t>
      </w:r>
    </w:p>
    <w:p w:rsidR="00620060" w:rsidRDefault="00620060" w:rsidP="00620060">
      <w:pPr>
        <w:rPr>
          <w:rFonts w:cs="Arial"/>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9A6402">
        <w:rPr>
          <w:rFonts w:cs="Arial"/>
          <w:sz w:val="20"/>
          <w:szCs w:val="20"/>
          <w:rtl/>
        </w:rPr>
        <w:t>אם תרצה להתרפאות, צריך שיהיה קודם שתתחזק. אבל לאחר שתתחזק, יש מסתפקים אם מותר לסמוך על הרפואה לשמש אח</w:t>
      </w:r>
      <w:r>
        <w:rPr>
          <w:rFonts w:cs="Arial" w:hint="cs"/>
          <w:sz w:val="20"/>
          <w:szCs w:val="20"/>
          <w:rtl/>
        </w:rPr>
        <w:t>ר כך</w:t>
      </w:r>
      <w:r w:rsidRPr="009A6402">
        <w:rPr>
          <w:rFonts w:cs="Arial"/>
          <w:sz w:val="20"/>
          <w:szCs w:val="20"/>
          <w:rtl/>
        </w:rPr>
        <w:t>. ויש מי שמתיר אם אמר לה רופא ישראל: נתרפאת. ואם תראה האשה שפסק דם וסתה וראייתה על ידי הרפואות, וניכר שהועילו, יש לסמוך אף על עו</w:t>
      </w:r>
      <w:r>
        <w:rPr>
          <w:rFonts w:cs="Arial" w:hint="cs"/>
          <w:sz w:val="20"/>
          <w:szCs w:val="20"/>
          <w:rtl/>
        </w:rPr>
        <w:t>בד כוכבים".</w:t>
      </w:r>
    </w:p>
    <w:p w:rsidR="00620060" w:rsidRDefault="00620060" w:rsidP="00620060">
      <w:pPr>
        <w:rPr>
          <w:sz w:val="20"/>
          <w:szCs w:val="20"/>
          <w:rtl/>
        </w:rPr>
      </w:pPr>
      <w:r>
        <w:rPr>
          <w:rFonts w:cs="Arial" w:hint="cs"/>
          <w:sz w:val="20"/>
          <w:szCs w:val="20"/>
          <w:u w:val="single"/>
          <w:rtl/>
        </w:rPr>
        <w:t>רופא שריפא רמ"ת - האם נאמן?</w:t>
      </w:r>
      <w:r>
        <w:rPr>
          <w:rStyle w:val="a5"/>
          <w:rFonts w:cs="Arial"/>
          <w:sz w:val="20"/>
          <w:szCs w:val="20"/>
          <w:u w:val="single"/>
          <w:rtl/>
        </w:rPr>
        <w:footnoteReference w:id="126"/>
      </w:r>
      <w:r>
        <w:rPr>
          <w:rFonts w:cs="Arial"/>
          <w:sz w:val="20"/>
          <w:szCs w:val="20"/>
          <w:u w:val="single"/>
          <w:rtl/>
        </w:rPr>
        <w:br/>
      </w:r>
      <w:r w:rsidRPr="00CD6EF6">
        <w:rPr>
          <w:rFonts w:cs="Arial" w:hint="cs"/>
          <w:sz w:val="20"/>
          <w:szCs w:val="20"/>
          <w:rtl/>
        </w:rPr>
        <w:t>א.</w:t>
      </w:r>
      <w:r>
        <w:rPr>
          <w:rFonts w:cs="Arial" w:hint="cs"/>
          <w:b/>
          <w:bCs/>
          <w:sz w:val="20"/>
          <w:szCs w:val="20"/>
          <w:rtl/>
        </w:rPr>
        <w:t xml:space="preserve"> </w:t>
      </w:r>
      <w:r w:rsidRPr="00607755">
        <w:rPr>
          <w:rFonts w:cs="Arial" w:hint="cs"/>
          <w:b/>
          <w:bCs/>
          <w:sz w:val="20"/>
          <w:szCs w:val="20"/>
          <w:rtl/>
        </w:rPr>
        <w:t>ב"ח</w:t>
      </w:r>
      <w:r>
        <w:rPr>
          <w:rFonts w:cs="Arial" w:hint="cs"/>
          <w:sz w:val="20"/>
          <w:szCs w:val="20"/>
          <w:rtl/>
        </w:rPr>
        <w:t xml:space="preserve"> </w:t>
      </w:r>
      <w:r>
        <w:rPr>
          <w:rFonts w:cs="Arial"/>
          <w:sz w:val="20"/>
          <w:szCs w:val="20"/>
          <w:rtl/>
        </w:rPr>
        <w:t>–</w:t>
      </w:r>
      <w:r>
        <w:rPr>
          <w:rFonts w:cs="Arial" w:hint="cs"/>
          <w:sz w:val="20"/>
          <w:szCs w:val="20"/>
          <w:rtl/>
        </w:rPr>
        <w:t xml:space="preserve"> גם לדעת התרומה, אפילו אם ריפא רמ"ת שראתה רק פעם אחת, נאמן לרפא אשה שראתה ג"פ.</w:t>
      </w:r>
      <w:r>
        <w:rPr>
          <w:sz w:val="20"/>
          <w:szCs w:val="20"/>
          <w:rtl/>
        </w:rPr>
        <w:br/>
      </w:r>
      <w:r>
        <w:rPr>
          <w:rFonts w:hint="cs"/>
          <w:sz w:val="20"/>
          <w:szCs w:val="20"/>
          <w:rtl/>
        </w:rPr>
        <w:t xml:space="preserve">ב. </w:t>
      </w:r>
      <w:r w:rsidRPr="00CD6EF6">
        <w:rPr>
          <w:rFonts w:hint="cs"/>
          <w:b/>
          <w:bCs/>
          <w:sz w:val="20"/>
          <w:szCs w:val="20"/>
          <w:rtl/>
        </w:rPr>
        <w:t>חוו"ד ופת"ש</w:t>
      </w:r>
      <w:r>
        <w:rPr>
          <w:rFonts w:hint="cs"/>
          <w:sz w:val="20"/>
          <w:szCs w:val="20"/>
          <w:rtl/>
        </w:rPr>
        <w:t xml:space="preserve"> </w:t>
      </w:r>
      <w:r>
        <w:rPr>
          <w:sz w:val="20"/>
          <w:szCs w:val="20"/>
          <w:rtl/>
        </w:rPr>
        <w:t>–</w:t>
      </w:r>
      <w:r>
        <w:rPr>
          <w:rFonts w:hint="cs"/>
          <w:sz w:val="20"/>
          <w:szCs w:val="20"/>
          <w:rtl/>
        </w:rPr>
        <w:t xml:space="preserve"> אינו נאמן.</w:t>
      </w:r>
      <w:r>
        <w:rPr>
          <w:sz w:val="20"/>
          <w:szCs w:val="20"/>
          <w:rtl/>
        </w:rPr>
        <w:br/>
      </w:r>
      <w:r w:rsidRPr="00224062">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הראשונה לא הוחזקה בג"פ ושמא רפואתה לא באה מחמתו אלא התרפאה מאליה. </w:t>
      </w:r>
      <w:r>
        <w:rPr>
          <w:sz w:val="20"/>
          <w:szCs w:val="20"/>
          <w:rtl/>
        </w:rPr>
        <w:br/>
      </w:r>
      <w:r>
        <w:rPr>
          <w:rFonts w:hint="cs"/>
          <w:sz w:val="20"/>
          <w:szCs w:val="20"/>
          <w:rtl/>
        </w:rPr>
        <w:t xml:space="preserve"> </w:t>
      </w:r>
      <w:r>
        <w:rPr>
          <w:sz w:val="20"/>
          <w:szCs w:val="20"/>
          <w:rtl/>
        </w:rPr>
        <w:br/>
      </w:r>
      <w:r>
        <w:rPr>
          <w:rFonts w:hint="cs"/>
          <w:sz w:val="20"/>
          <w:szCs w:val="20"/>
          <w:u w:val="single"/>
          <w:rtl/>
        </w:rPr>
        <w:t>רגליים לדבר שהתרפאה (פת"ש)</w:t>
      </w:r>
      <w:r>
        <w:rPr>
          <w:sz w:val="20"/>
          <w:szCs w:val="20"/>
          <w:u w:val="single"/>
          <w:rtl/>
        </w:rPr>
        <w:br/>
      </w:r>
      <w:r w:rsidRPr="00107C02">
        <w:rPr>
          <w:rFonts w:hint="cs"/>
          <w:b/>
          <w:bCs/>
          <w:sz w:val="20"/>
          <w:szCs w:val="20"/>
          <w:rtl/>
        </w:rPr>
        <w:t>רדב"ז</w:t>
      </w:r>
      <w:r>
        <w:rPr>
          <w:rFonts w:hint="cs"/>
          <w:sz w:val="20"/>
          <w:szCs w:val="20"/>
          <w:rtl/>
        </w:rPr>
        <w:t xml:space="preserve"> </w:t>
      </w:r>
      <w:r>
        <w:rPr>
          <w:sz w:val="20"/>
          <w:szCs w:val="20"/>
          <w:rtl/>
        </w:rPr>
        <w:t>–</w:t>
      </w:r>
      <w:r>
        <w:rPr>
          <w:rFonts w:hint="cs"/>
          <w:sz w:val="20"/>
          <w:szCs w:val="20"/>
          <w:rtl/>
        </w:rPr>
        <w:t xml:space="preserve"> אם יש רגליים לדבר שהתרפאה, כגון שכל ימיה היתה משמשת שלא בצער ועתה התחילה להצטער, יכולה לסמוך על רופא שאמר שהתרפאה וחזרה להרגלה אפילו אם הוחזקה.</w:t>
      </w:r>
    </w:p>
    <w:p w:rsidR="00620060" w:rsidRDefault="00620060" w:rsidP="00620060">
      <w:pPr>
        <w:rPr>
          <w:sz w:val="20"/>
          <w:szCs w:val="20"/>
          <w:rtl/>
        </w:rPr>
      </w:pPr>
      <w:r>
        <w:rPr>
          <w:rFonts w:hint="cs"/>
          <w:sz w:val="20"/>
          <w:szCs w:val="20"/>
          <w:u w:val="single"/>
          <w:rtl/>
        </w:rPr>
        <w:lastRenderedPageBreak/>
        <w:t>נאמנות הרופאים בזמנינו</w:t>
      </w:r>
      <w:r>
        <w:rPr>
          <w:sz w:val="20"/>
          <w:szCs w:val="20"/>
          <w:u w:val="single"/>
          <w:rtl/>
        </w:rPr>
        <w:br/>
      </w:r>
      <w:r w:rsidRPr="00A0695F">
        <w:rPr>
          <w:rFonts w:hint="cs"/>
          <w:b/>
          <w:bCs/>
          <w:sz w:val="20"/>
          <w:szCs w:val="20"/>
          <w:rtl/>
        </w:rPr>
        <w:t>שבט הלוי וטהרת הבית</w:t>
      </w:r>
      <w:r>
        <w:rPr>
          <w:rFonts w:hint="cs"/>
          <w:sz w:val="20"/>
          <w:szCs w:val="20"/>
          <w:rtl/>
        </w:rPr>
        <w:t xml:space="preserve"> </w:t>
      </w:r>
      <w:r>
        <w:rPr>
          <w:sz w:val="20"/>
          <w:szCs w:val="20"/>
          <w:rtl/>
        </w:rPr>
        <w:t>–</w:t>
      </w:r>
      <w:r>
        <w:rPr>
          <w:rFonts w:hint="cs"/>
          <w:sz w:val="20"/>
          <w:szCs w:val="20"/>
          <w:rtl/>
        </w:rPr>
        <w:t xml:space="preserve"> היום ניתן לסמוך אפילו על רופא גוי אף באשה שהוחזקה להיות רמ"ת.</w:t>
      </w:r>
      <w:r>
        <w:rPr>
          <w:sz w:val="20"/>
          <w:szCs w:val="20"/>
          <w:rtl/>
        </w:rPr>
        <w:br/>
      </w:r>
      <w:r w:rsidRPr="00A0695F">
        <w:rPr>
          <w:rFonts w:hint="cs"/>
          <w:b/>
          <w:bCs/>
          <w:sz w:val="20"/>
          <w:szCs w:val="20"/>
          <w:rtl/>
        </w:rPr>
        <w:t xml:space="preserve">טעם </w:t>
      </w:r>
      <w:r>
        <w:rPr>
          <w:sz w:val="20"/>
          <w:szCs w:val="20"/>
          <w:rtl/>
        </w:rPr>
        <w:t>–</w:t>
      </w:r>
      <w:r>
        <w:rPr>
          <w:rFonts w:hint="cs"/>
          <w:sz w:val="20"/>
          <w:szCs w:val="20"/>
          <w:rtl/>
        </w:rPr>
        <w:t xml:space="preserve"> הפוסקים הסתפקו בדין זה משום שבזמנם לא היה ניתן לראות את המכה, אך היום ניתן לראות את המכה ע"י צילום ושאר אמצעים חדישים, בכה"ג הרופא נאמן משום שזו מילתא דעבידא לאיגלויי.</w:t>
      </w:r>
      <w:r>
        <w:rPr>
          <w:sz w:val="20"/>
          <w:szCs w:val="20"/>
          <w:rtl/>
        </w:rPr>
        <w:br/>
      </w:r>
      <w:r>
        <w:rPr>
          <w:rFonts w:hint="cs"/>
          <w:sz w:val="20"/>
          <w:szCs w:val="20"/>
          <w:rtl/>
        </w:rPr>
        <w:t xml:space="preserve">כמו כן, ניתן לסמוך על תרופות שנוסו הרבה פעמים והועילו, וכגון זריקה למניעת דם, אך רפואה חדשה שלא נוסתה עדיין </w:t>
      </w:r>
      <w:r>
        <w:rPr>
          <w:sz w:val="20"/>
          <w:szCs w:val="20"/>
          <w:rtl/>
        </w:rPr>
        <w:t>–</w:t>
      </w:r>
      <w:r>
        <w:rPr>
          <w:rFonts w:hint="cs"/>
          <w:sz w:val="20"/>
          <w:szCs w:val="20"/>
          <w:rtl/>
        </w:rPr>
        <w:t xml:space="preserve"> אין לסמוך עליה. </w:t>
      </w:r>
    </w:p>
    <w:p w:rsidR="00620060"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C4010D">
        <w:rPr>
          <w:rFonts w:hint="cs"/>
          <w:b/>
          <w:bCs/>
          <w:sz w:val="20"/>
          <w:szCs w:val="20"/>
          <w:rtl/>
        </w:rPr>
        <w:t>תרומה</w:t>
      </w:r>
      <w:r>
        <w:rPr>
          <w:rFonts w:hint="cs"/>
          <w:sz w:val="20"/>
          <w:szCs w:val="20"/>
          <w:rtl/>
        </w:rPr>
        <w:t xml:space="preserve">. לפני שהוחזקה להיות רמ"ת </w:t>
      </w:r>
      <w:r>
        <w:rPr>
          <w:sz w:val="20"/>
          <w:szCs w:val="20"/>
          <w:rtl/>
        </w:rPr>
        <w:t>–</w:t>
      </w:r>
      <w:r>
        <w:rPr>
          <w:rFonts w:hint="cs"/>
          <w:sz w:val="20"/>
          <w:szCs w:val="20"/>
          <w:rtl/>
        </w:rPr>
        <w:t xml:space="preserve"> נאמן הרופא לומר שהתרפאה, לאחר שהוחזקה צ"ע. </w:t>
      </w:r>
      <w:r>
        <w:rPr>
          <w:sz w:val="20"/>
          <w:szCs w:val="20"/>
          <w:rtl/>
        </w:rPr>
        <w:br/>
      </w:r>
      <w:r w:rsidRPr="00C4010D">
        <w:rPr>
          <w:rFonts w:hint="cs"/>
          <w:b/>
          <w:bCs/>
          <w:sz w:val="20"/>
          <w:szCs w:val="20"/>
          <w:rtl/>
        </w:rPr>
        <w:t>ריצב"א</w:t>
      </w:r>
      <w:r>
        <w:rPr>
          <w:rFonts w:hint="cs"/>
          <w:sz w:val="20"/>
          <w:szCs w:val="20"/>
          <w:rtl/>
        </w:rPr>
        <w:t>. רופא ישראל נאמן אפילו לאחר שהתחזקה, רופא גוי נאמן רק אם יש הוכחה לכך שהתרפאה.</w:t>
      </w:r>
      <w:r>
        <w:rPr>
          <w:sz w:val="20"/>
          <w:szCs w:val="20"/>
          <w:rtl/>
        </w:rPr>
        <w:br/>
      </w:r>
      <w:r>
        <w:rPr>
          <w:rFonts w:hint="cs"/>
          <w:sz w:val="20"/>
          <w:szCs w:val="20"/>
          <w:rtl/>
        </w:rPr>
        <w:t xml:space="preserve">2. </w:t>
      </w:r>
      <w:r w:rsidRPr="00C4010D">
        <w:rPr>
          <w:rFonts w:hint="cs"/>
          <w:b/>
          <w:bCs/>
          <w:sz w:val="20"/>
          <w:szCs w:val="20"/>
          <w:rtl/>
        </w:rPr>
        <w:t>מחבר</w:t>
      </w:r>
      <w:r>
        <w:rPr>
          <w:rFonts w:hint="cs"/>
          <w:sz w:val="20"/>
          <w:szCs w:val="20"/>
          <w:rtl/>
        </w:rPr>
        <w:t>. הביא את שתי הדעות ולא הכריע ביניהן.</w:t>
      </w:r>
      <w:r>
        <w:rPr>
          <w:sz w:val="20"/>
          <w:szCs w:val="20"/>
          <w:rtl/>
        </w:rPr>
        <w:br/>
      </w:r>
      <w:r>
        <w:rPr>
          <w:rFonts w:hint="cs"/>
          <w:sz w:val="20"/>
          <w:szCs w:val="20"/>
          <w:rtl/>
        </w:rPr>
        <w:t xml:space="preserve">3. </w:t>
      </w:r>
      <w:r w:rsidRPr="00C4010D">
        <w:rPr>
          <w:rFonts w:hint="cs"/>
          <w:b/>
          <w:bCs/>
          <w:sz w:val="20"/>
          <w:szCs w:val="20"/>
          <w:rtl/>
        </w:rPr>
        <w:t>ב"ח</w:t>
      </w:r>
      <w:r>
        <w:rPr>
          <w:rFonts w:hint="cs"/>
          <w:sz w:val="20"/>
          <w:szCs w:val="20"/>
          <w:rtl/>
        </w:rPr>
        <w:t xml:space="preserve">. ריפא אשה שלא הוחזקה, נאמן לרפא אשה שהוחזקה. </w:t>
      </w:r>
      <w:r w:rsidRPr="00C4010D">
        <w:rPr>
          <w:rFonts w:hint="cs"/>
          <w:b/>
          <w:bCs/>
          <w:sz w:val="20"/>
          <w:szCs w:val="20"/>
          <w:rtl/>
        </w:rPr>
        <w:t>חוו"ד</w:t>
      </w:r>
      <w:r>
        <w:rPr>
          <w:rFonts w:hint="cs"/>
          <w:sz w:val="20"/>
          <w:szCs w:val="20"/>
          <w:rtl/>
        </w:rPr>
        <w:t>. אינו נאמן, דלמא מאליה התרפאה.</w:t>
      </w:r>
      <w:r>
        <w:rPr>
          <w:sz w:val="20"/>
          <w:szCs w:val="20"/>
          <w:rtl/>
        </w:rPr>
        <w:br/>
      </w:r>
      <w:r>
        <w:rPr>
          <w:rFonts w:hint="cs"/>
          <w:sz w:val="20"/>
          <w:szCs w:val="20"/>
          <w:rtl/>
        </w:rPr>
        <w:t xml:space="preserve">4. </w:t>
      </w:r>
      <w:r w:rsidRPr="00C4010D">
        <w:rPr>
          <w:rFonts w:hint="cs"/>
          <w:b/>
          <w:bCs/>
          <w:sz w:val="20"/>
          <w:szCs w:val="20"/>
          <w:rtl/>
        </w:rPr>
        <w:t>רדב"ז</w:t>
      </w:r>
      <w:r>
        <w:rPr>
          <w:rFonts w:hint="cs"/>
          <w:sz w:val="20"/>
          <w:szCs w:val="20"/>
          <w:rtl/>
        </w:rPr>
        <w:t>. רמ"ת שכל ימיה שימשה ללא דם, נאמן הרופא לומר שהתרפאה.</w:t>
      </w:r>
      <w:r>
        <w:rPr>
          <w:sz w:val="20"/>
          <w:szCs w:val="20"/>
          <w:rtl/>
        </w:rPr>
        <w:br/>
      </w:r>
      <w:r>
        <w:rPr>
          <w:rFonts w:hint="cs"/>
          <w:sz w:val="20"/>
          <w:szCs w:val="20"/>
          <w:rtl/>
        </w:rPr>
        <w:t xml:space="preserve">5. </w:t>
      </w:r>
      <w:r w:rsidRPr="00C4010D">
        <w:rPr>
          <w:rFonts w:hint="cs"/>
          <w:b/>
          <w:bCs/>
          <w:sz w:val="20"/>
          <w:szCs w:val="20"/>
          <w:rtl/>
        </w:rPr>
        <w:t>שבה"ל וטה"ב</w:t>
      </w:r>
      <w:r>
        <w:rPr>
          <w:rFonts w:hint="cs"/>
          <w:sz w:val="20"/>
          <w:szCs w:val="20"/>
          <w:rtl/>
        </w:rPr>
        <w:t xml:space="preserve">. כיום הרופאים נאמנים בכל עניין. </w:t>
      </w:r>
      <w:r w:rsidRPr="0006119C">
        <w:rPr>
          <w:rFonts w:hint="cs"/>
          <w:b/>
          <w:bCs/>
          <w:sz w:val="20"/>
          <w:szCs w:val="20"/>
          <w:rtl/>
        </w:rPr>
        <w:t>ט</w:t>
      </w:r>
      <w:r w:rsidRPr="00224062">
        <w:rPr>
          <w:rFonts w:hint="cs"/>
          <w:b/>
          <w:bCs/>
          <w:sz w:val="20"/>
          <w:szCs w:val="20"/>
          <w:rtl/>
        </w:rPr>
        <w:t>עם</w:t>
      </w:r>
      <w:r>
        <w:rPr>
          <w:rFonts w:hint="cs"/>
          <w:sz w:val="20"/>
          <w:szCs w:val="20"/>
          <w:rtl/>
        </w:rPr>
        <w:t>. מילתא דעבידא לאיגלויי ע"י צילום וכדומה. וכן יש לסמוך גם על תרופות שנוסו והועילו, אך לא על תרופות חדשניות שלא נוסו.</w:t>
      </w:r>
    </w:p>
    <w:p w:rsidR="00620060" w:rsidRDefault="00620060" w:rsidP="00620060">
      <w:pPr>
        <w:rPr>
          <w:rFonts w:cs="Arial"/>
          <w:sz w:val="20"/>
          <w:szCs w:val="20"/>
          <w:rtl/>
        </w:rPr>
      </w:pPr>
      <w:r>
        <w:rPr>
          <w:sz w:val="20"/>
          <w:szCs w:val="20"/>
          <w:rtl/>
        </w:rPr>
        <w:br/>
      </w:r>
      <w:r>
        <w:rPr>
          <w:rFonts w:hint="cs"/>
          <w:b/>
          <w:bCs/>
          <w:sz w:val="20"/>
          <w:szCs w:val="20"/>
          <w:rtl/>
        </w:rPr>
        <w:t xml:space="preserve">סעיף ט </w:t>
      </w:r>
      <w:r>
        <w:rPr>
          <w:b/>
          <w:bCs/>
          <w:sz w:val="20"/>
          <w:szCs w:val="20"/>
          <w:rtl/>
        </w:rPr>
        <w:t>–</w:t>
      </w:r>
      <w:r>
        <w:rPr>
          <w:rFonts w:hint="cs"/>
          <w:b/>
          <w:bCs/>
          <w:sz w:val="20"/>
          <w:szCs w:val="20"/>
          <w:rtl/>
        </w:rPr>
        <w:t xml:space="preserve"> רפואה ע"י הפלת חררת דם</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גמרא </w:t>
      </w:r>
      <w:r>
        <w:rPr>
          <w:rFonts w:hint="cs"/>
          <w:sz w:val="20"/>
          <w:szCs w:val="20"/>
          <w:rtl/>
        </w:rPr>
        <w:t>נידה (סו.) "</w:t>
      </w:r>
      <w:r w:rsidRPr="00410066">
        <w:rPr>
          <w:rFonts w:cs="Arial"/>
          <w:sz w:val="20"/>
          <w:szCs w:val="20"/>
          <w:rtl/>
        </w:rPr>
        <w:t>ההיא דאתאי לקמיה דרבי, אמר ליה לאבדן: זיל בעתה אזל בעתה, ונפל ממ</w:t>
      </w:r>
      <w:r>
        <w:rPr>
          <w:rFonts w:cs="Arial"/>
          <w:sz w:val="20"/>
          <w:szCs w:val="20"/>
          <w:rtl/>
        </w:rPr>
        <w:t>נה חררת דם. אמר רבי: נתרפאה זאת</w:t>
      </w:r>
      <w:r>
        <w:rPr>
          <w:rFonts w:cs="Arial" w:hint="cs"/>
          <w:sz w:val="20"/>
          <w:szCs w:val="20"/>
          <w:rtl/>
        </w:rPr>
        <w:t>".</w:t>
      </w:r>
    </w:p>
    <w:p w:rsidR="00620060" w:rsidRPr="00410066" w:rsidRDefault="00620060" w:rsidP="00620060">
      <w:pPr>
        <w:rPr>
          <w:rFonts w:cs="Arial"/>
          <w:sz w:val="20"/>
          <w:szCs w:val="20"/>
          <w:rtl/>
        </w:rPr>
      </w:pPr>
      <w:r>
        <w:rPr>
          <w:rFonts w:cs="Arial" w:hint="cs"/>
          <w:b/>
          <w:bCs/>
          <w:sz w:val="20"/>
          <w:szCs w:val="20"/>
          <w:rtl/>
        </w:rPr>
        <w:t>הפילה חררה וראתה אחר כך דם מחמת תשמיש</w:t>
      </w:r>
      <w:r>
        <w:rPr>
          <w:rFonts w:cs="Arial"/>
          <w:b/>
          <w:bCs/>
          <w:sz w:val="20"/>
          <w:szCs w:val="20"/>
          <w:rtl/>
        </w:rPr>
        <w:br/>
      </w:r>
      <w:r>
        <w:rPr>
          <w:rFonts w:cs="Arial" w:hint="cs"/>
          <w:b/>
          <w:bCs/>
          <w:sz w:val="20"/>
          <w:szCs w:val="20"/>
          <w:rtl/>
        </w:rPr>
        <w:t xml:space="preserve">רמב"ן </w:t>
      </w:r>
      <w:r>
        <w:rPr>
          <w:rFonts w:cs="Arial"/>
          <w:sz w:val="20"/>
          <w:szCs w:val="20"/>
          <w:rtl/>
        </w:rPr>
        <w:t>–</w:t>
      </w:r>
      <w:r>
        <w:rPr>
          <w:rFonts w:cs="Arial" w:hint="cs"/>
          <w:sz w:val="20"/>
          <w:szCs w:val="20"/>
          <w:rtl/>
        </w:rPr>
        <w:t xml:space="preserve"> אם חזרה וראתה דם מחמת תשמיש לאחר רפואה זו </w:t>
      </w:r>
      <w:r>
        <w:rPr>
          <w:rFonts w:cs="Arial"/>
          <w:sz w:val="20"/>
          <w:szCs w:val="20"/>
          <w:rtl/>
        </w:rPr>
        <w:t>–</w:t>
      </w:r>
      <w:r>
        <w:rPr>
          <w:rFonts w:cs="Arial" w:hint="cs"/>
          <w:sz w:val="20"/>
          <w:szCs w:val="20"/>
          <w:rtl/>
        </w:rPr>
        <w:t xml:space="preserve"> נאסרת אפילו בפעם אחת.</w:t>
      </w:r>
      <w:r>
        <w:rPr>
          <w:rFonts w:cs="Arial"/>
          <w:sz w:val="20"/>
          <w:szCs w:val="20"/>
          <w:rtl/>
        </w:rPr>
        <w:br/>
      </w:r>
      <w:r w:rsidRPr="00410066">
        <w:rPr>
          <w:rFonts w:cs="Arial" w:hint="cs"/>
          <w:b/>
          <w:bCs/>
          <w:sz w:val="20"/>
          <w:szCs w:val="20"/>
          <w:rtl/>
        </w:rPr>
        <w:t>טעם</w:t>
      </w:r>
      <w:r>
        <w:rPr>
          <w:rFonts w:cs="Arial" w:hint="cs"/>
          <w:sz w:val="20"/>
          <w:szCs w:val="20"/>
          <w:rtl/>
        </w:rPr>
        <w:t xml:space="preserve"> </w:t>
      </w:r>
      <w:r>
        <w:rPr>
          <w:rFonts w:cs="Arial"/>
          <w:sz w:val="20"/>
          <w:szCs w:val="20"/>
          <w:rtl/>
        </w:rPr>
        <w:t>–</w:t>
      </w:r>
      <w:r>
        <w:rPr>
          <w:rFonts w:cs="Arial" w:hint="cs"/>
          <w:sz w:val="20"/>
          <w:szCs w:val="20"/>
          <w:rtl/>
        </w:rPr>
        <w:t xml:space="preserve"> כיוון שהוחזקה להיות רמ"ת, התברר כעת שלא התרפאה ממחלתה וחוזרת לאיסורה.</w:t>
      </w:r>
    </w:p>
    <w:p w:rsidR="00620060" w:rsidRPr="00564D1B" w:rsidRDefault="00620060" w:rsidP="00620060">
      <w:pPr>
        <w:rPr>
          <w:sz w:val="20"/>
          <w:szCs w:val="20"/>
          <w:rtl/>
        </w:rPr>
      </w:pPr>
      <w:r>
        <w:rPr>
          <w:rFonts w:cs="Arial" w:hint="cs"/>
          <w:b/>
          <w:bCs/>
          <w:sz w:val="20"/>
          <w:szCs w:val="20"/>
          <w:rtl/>
        </w:rPr>
        <w:t>ה</w:t>
      </w:r>
      <w:r>
        <w:rPr>
          <w:rFonts w:hint="cs"/>
          <w:b/>
          <w:bCs/>
          <w:sz w:val="20"/>
          <w:szCs w:val="20"/>
          <w:rtl/>
        </w:rPr>
        <w:t>אם דין זה נוהג כיום?</w:t>
      </w:r>
      <w:r>
        <w:rPr>
          <w:b/>
          <w:bCs/>
          <w:sz w:val="20"/>
          <w:szCs w:val="20"/>
          <w:rtl/>
        </w:rPr>
        <w:br/>
      </w:r>
      <w:r>
        <w:rPr>
          <w:rFonts w:hint="cs"/>
          <w:b/>
          <w:bCs/>
          <w:sz w:val="20"/>
          <w:szCs w:val="20"/>
          <w:rtl/>
        </w:rPr>
        <w:t xml:space="preserve">רמב"ן </w:t>
      </w:r>
      <w:r>
        <w:rPr>
          <w:sz w:val="20"/>
          <w:szCs w:val="20"/>
          <w:rtl/>
        </w:rPr>
        <w:t>–</w:t>
      </w:r>
      <w:r>
        <w:rPr>
          <w:rFonts w:hint="cs"/>
          <w:sz w:val="20"/>
          <w:szCs w:val="20"/>
          <w:rtl/>
        </w:rPr>
        <w:t xml:space="preserve"> אין דין זה נוהג כיום.</w:t>
      </w:r>
      <w:r>
        <w:rPr>
          <w:sz w:val="20"/>
          <w:szCs w:val="20"/>
          <w:rtl/>
        </w:rPr>
        <w:br/>
      </w:r>
      <w:r w:rsidRPr="00410066">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איננו בקיאים מהי חררה ומהי הפלה זו.</w:t>
      </w:r>
      <w:r>
        <w:rPr>
          <w:sz w:val="20"/>
          <w:szCs w:val="20"/>
          <w:rtl/>
        </w:rPr>
        <w:br/>
      </w:r>
      <w:r w:rsidRPr="00410066">
        <w:rPr>
          <w:rFonts w:hint="cs"/>
          <w:b/>
          <w:bCs/>
          <w:sz w:val="20"/>
          <w:szCs w:val="20"/>
          <w:rtl/>
        </w:rPr>
        <w:t>ב</w:t>
      </w:r>
      <w:r>
        <w:rPr>
          <w:rFonts w:hint="cs"/>
          <w:b/>
          <w:bCs/>
          <w:sz w:val="20"/>
          <w:szCs w:val="20"/>
          <w:rtl/>
        </w:rPr>
        <w:t xml:space="preserve">"י </w:t>
      </w:r>
      <w:r>
        <w:rPr>
          <w:sz w:val="20"/>
          <w:szCs w:val="20"/>
          <w:rtl/>
        </w:rPr>
        <w:t>–</w:t>
      </w:r>
      <w:r>
        <w:rPr>
          <w:rFonts w:hint="cs"/>
          <w:sz w:val="20"/>
          <w:szCs w:val="20"/>
          <w:rtl/>
        </w:rPr>
        <w:t xml:space="preserve"> כנראה משום טעם זה השמיטו זאת הפוסקים, למרות שהוא מפורש בגמרא שהתירו ע"י אשה לבעלה.</w:t>
      </w:r>
      <w:r>
        <w:rPr>
          <w:b/>
          <w:bCs/>
          <w:sz w:val="20"/>
          <w:szCs w:val="20"/>
          <w:rtl/>
        </w:rPr>
        <w:br/>
      </w:r>
      <w:r>
        <w:rPr>
          <w:b/>
          <w:bCs/>
          <w:sz w:val="20"/>
          <w:szCs w:val="20"/>
          <w:rtl/>
        </w:rPr>
        <w:br/>
      </w:r>
      <w:r>
        <w:rPr>
          <w:rFonts w:hint="cs"/>
          <w:b/>
          <w:bCs/>
          <w:sz w:val="20"/>
          <w:szCs w:val="20"/>
          <w:rtl/>
        </w:rPr>
        <w:t>הפילה חררת דם ושימשה עם בעלה</w:t>
      </w:r>
      <w:r>
        <w:rPr>
          <w:b/>
          <w:bCs/>
          <w:sz w:val="20"/>
          <w:szCs w:val="20"/>
          <w:rtl/>
        </w:rPr>
        <w:br/>
      </w:r>
      <w:r>
        <w:rPr>
          <w:rFonts w:hint="cs"/>
          <w:b/>
          <w:bCs/>
          <w:sz w:val="20"/>
          <w:szCs w:val="20"/>
          <w:rtl/>
        </w:rPr>
        <w:t xml:space="preserve">רמב"ן </w:t>
      </w:r>
      <w:r>
        <w:rPr>
          <w:sz w:val="20"/>
          <w:szCs w:val="20"/>
          <w:rtl/>
        </w:rPr>
        <w:t>–</w:t>
      </w:r>
      <w:r>
        <w:rPr>
          <w:rFonts w:hint="cs"/>
          <w:sz w:val="20"/>
          <w:szCs w:val="20"/>
          <w:rtl/>
        </w:rPr>
        <w:t xml:space="preserve"> למרות שאין לסמוך על רפואה זו, כאמור לעיל, מכל מקום אם הפילה חררת דם וסמכה על רפואה זו ושימשה עם בעלה ולא ראתה דם </w:t>
      </w:r>
      <w:r>
        <w:rPr>
          <w:sz w:val="20"/>
          <w:szCs w:val="20"/>
          <w:rtl/>
        </w:rPr>
        <w:t>–</w:t>
      </w:r>
      <w:r>
        <w:rPr>
          <w:rFonts w:hint="cs"/>
          <w:sz w:val="20"/>
          <w:szCs w:val="20"/>
          <w:rtl/>
        </w:rPr>
        <w:t xml:space="preserve"> מותרת, ואין מוציאים אותה ממנו.</w:t>
      </w:r>
    </w:p>
    <w:p w:rsidR="00620060" w:rsidRDefault="00620060" w:rsidP="00620060">
      <w:pPr>
        <w:rPr>
          <w:sz w:val="20"/>
          <w:szCs w:val="20"/>
          <w:rtl/>
        </w:rPr>
      </w:pPr>
      <w:r w:rsidRPr="00362FBD">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362FBD">
        <w:rPr>
          <w:rFonts w:cs="Arial"/>
          <w:sz w:val="20"/>
          <w:szCs w:val="20"/>
          <w:rtl/>
        </w:rPr>
        <w:t>הפחידוה פתאום ונפל ממנה חררת דם</w:t>
      </w:r>
      <w:r>
        <w:rPr>
          <w:rStyle w:val="a5"/>
          <w:rFonts w:cs="Arial"/>
          <w:sz w:val="20"/>
          <w:szCs w:val="20"/>
          <w:rtl/>
        </w:rPr>
        <w:footnoteReference w:id="127"/>
      </w:r>
      <w:r w:rsidRPr="00362FBD">
        <w:rPr>
          <w:rFonts w:cs="Arial"/>
          <w:sz w:val="20"/>
          <w:szCs w:val="20"/>
          <w:rtl/>
        </w:rPr>
        <w:t>, נתרפאת ומותרת לבעלה. ואם חזרה וראתה מחמת תשמיש, אפילו פעם אחת, בידוע שלא נתרפאת. ובזמן הזה אין מתירין ע</w:t>
      </w:r>
      <w:r>
        <w:rPr>
          <w:rFonts w:cs="Arial" w:hint="cs"/>
          <w:sz w:val="20"/>
          <w:szCs w:val="20"/>
          <w:rtl/>
        </w:rPr>
        <w:t>ל ידי</w:t>
      </w:r>
      <w:r w:rsidRPr="00362FBD">
        <w:rPr>
          <w:rFonts w:cs="Arial"/>
          <w:sz w:val="20"/>
          <w:szCs w:val="20"/>
          <w:rtl/>
        </w:rPr>
        <w:t xml:space="preserve"> רפואה זו. ומיהו אין מוציאין אותה מבעלה אחר רפואה זו, עד שתבעל ותחזור לקלקולה</w:t>
      </w:r>
      <w:r>
        <w:rPr>
          <w:rFonts w:cs="Arial" w:hint="cs"/>
          <w:sz w:val="20"/>
          <w:szCs w:val="20"/>
          <w:rtl/>
        </w:rPr>
        <w:t>".</w:t>
      </w:r>
    </w:p>
    <w:p w:rsidR="00620060"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964F79">
        <w:rPr>
          <w:rFonts w:hint="cs"/>
          <w:b/>
          <w:bCs/>
          <w:sz w:val="20"/>
          <w:szCs w:val="20"/>
          <w:rtl/>
        </w:rPr>
        <w:t>גמרא</w:t>
      </w:r>
      <w:r>
        <w:rPr>
          <w:rFonts w:hint="cs"/>
          <w:sz w:val="20"/>
          <w:szCs w:val="20"/>
          <w:rtl/>
        </w:rPr>
        <w:t xml:space="preserve">. הפילה חררת דם </w:t>
      </w:r>
      <w:r>
        <w:rPr>
          <w:sz w:val="20"/>
          <w:szCs w:val="20"/>
          <w:rtl/>
        </w:rPr>
        <w:t>–</w:t>
      </w:r>
      <w:r>
        <w:rPr>
          <w:rFonts w:hint="cs"/>
          <w:sz w:val="20"/>
          <w:szCs w:val="20"/>
          <w:rtl/>
        </w:rPr>
        <w:t xml:space="preserve"> התרפאה ומותרת.</w:t>
      </w:r>
      <w:r>
        <w:rPr>
          <w:sz w:val="20"/>
          <w:szCs w:val="20"/>
          <w:rtl/>
        </w:rPr>
        <w:br/>
      </w:r>
      <w:r>
        <w:rPr>
          <w:rFonts w:hint="cs"/>
          <w:sz w:val="20"/>
          <w:szCs w:val="20"/>
          <w:rtl/>
        </w:rPr>
        <w:t xml:space="preserve">2. </w:t>
      </w:r>
      <w:r w:rsidRPr="00964F79">
        <w:rPr>
          <w:rFonts w:hint="cs"/>
          <w:b/>
          <w:bCs/>
          <w:sz w:val="20"/>
          <w:szCs w:val="20"/>
          <w:rtl/>
        </w:rPr>
        <w:t>רמב"ן</w:t>
      </w:r>
      <w:r>
        <w:rPr>
          <w:rFonts w:hint="cs"/>
          <w:sz w:val="20"/>
          <w:szCs w:val="20"/>
          <w:rtl/>
        </w:rPr>
        <w:t xml:space="preserve">. אם חזרה וראתה דם אפילו פעם אחת לאחר הרפואה </w:t>
      </w:r>
      <w:r>
        <w:rPr>
          <w:sz w:val="20"/>
          <w:szCs w:val="20"/>
          <w:rtl/>
        </w:rPr>
        <w:t>–</w:t>
      </w:r>
      <w:r>
        <w:rPr>
          <w:rFonts w:hint="cs"/>
          <w:sz w:val="20"/>
          <w:szCs w:val="20"/>
          <w:rtl/>
        </w:rPr>
        <w:t xml:space="preserve"> אסורה.</w:t>
      </w:r>
      <w:r>
        <w:rPr>
          <w:sz w:val="20"/>
          <w:szCs w:val="20"/>
          <w:rtl/>
        </w:rPr>
        <w:br/>
      </w:r>
      <w:r>
        <w:rPr>
          <w:rFonts w:hint="cs"/>
          <w:sz w:val="20"/>
          <w:szCs w:val="20"/>
          <w:rtl/>
        </w:rPr>
        <w:t xml:space="preserve">3. </w:t>
      </w:r>
      <w:r w:rsidRPr="00964F79">
        <w:rPr>
          <w:rFonts w:hint="cs"/>
          <w:b/>
          <w:bCs/>
          <w:sz w:val="20"/>
          <w:szCs w:val="20"/>
          <w:rtl/>
        </w:rPr>
        <w:t>רמב"ן</w:t>
      </w:r>
      <w:r>
        <w:rPr>
          <w:rFonts w:hint="cs"/>
          <w:sz w:val="20"/>
          <w:szCs w:val="20"/>
          <w:rtl/>
        </w:rPr>
        <w:t xml:space="preserve">. היתר הפלת חררת דם אינו נוהג כיום. </w:t>
      </w:r>
      <w:r w:rsidRPr="00683BEE">
        <w:rPr>
          <w:rFonts w:hint="cs"/>
          <w:b/>
          <w:bCs/>
          <w:sz w:val="20"/>
          <w:szCs w:val="20"/>
          <w:rtl/>
        </w:rPr>
        <w:t>טעם</w:t>
      </w:r>
      <w:r>
        <w:rPr>
          <w:rFonts w:hint="cs"/>
          <w:sz w:val="20"/>
          <w:szCs w:val="20"/>
          <w:rtl/>
        </w:rPr>
        <w:t>. איננו בקיאים מהי חררה ומהי הפלה זו.</w:t>
      </w:r>
      <w:r>
        <w:rPr>
          <w:sz w:val="20"/>
          <w:szCs w:val="20"/>
          <w:rtl/>
        </w:rPr>
        <w:br/>
      </w:r>
      <w:r>
        <w:rPr>
          <w:rFonts w:hint="cs"/>
          <w:sz w:val="20"/>
          <w:szCs w:val="20"/>
          <w:rtl/>
        </w:rPr>
        <w:t xml:space="preserve">4. </w:t>
      </w:r>
      <w:r w:rsidRPr="00964F79">
        <w:rPr>
          <w:rFonts w:hint="cs"/>
          <w:b/>
          <w:bCs/>
          <w:sz w:val="20"/>
          <w:szCs w:val="20"/>
          <w:rtl/>
        </w:rPr>
        <w:t>רמב"ן</w:t>
      </w:r>
      <w:r>
        <w:rPr>
          <w:rFonts w:hint="cs"/>
          <w:sz w:val="20"/>
          <w:szCs w:val="20"/>
          <w:rtl/>
        </w:rPr>
        <w:t xml:space="preserve">. אע"פ שאין לסמוך על רפואה זו, מכל מקום אם התרפאה ושימשה עם בעלה ולא ראתה </w:t>
      </w:r>
      <w:r>
        <w:rPr>
          <w:sz w:val="20"/>
          <w:szCs w:val="20"/>
          <w:rtl/>
        </w:rPr>
        <w:t>–</w:t>
      </w:r>
      <w:r>
        <w:rPr>
          <w:rFonts w:hint="cs"/>
          <w:sz w:val="20"/>
          <w:szCs w:val="20"/>
          <w:rtl/>
        </w:rPr>
        <w:t xml:space="preserve"> מותרת.</w:t>
      </w:r>
    </w:p>
    <w:p w:rsidR="00620060" w:rsidRDefault="00620060" w:rsidP="00620060">
      <w:pPr>
        <w:rPr>
          <w:sz w:val="20"/>
          <w:szCs w:val="20"/>
          <w:rtl/>
        </w:rPr>
      </w:pPr>
      <w:r>
        <w:rPr>
          <w:sz w:val="20"/>
          <w:szCs w:val="20"/>
          <w:rtl/>
        </w:rPr>
        <w:br/>
      </w:r>
      <w:r>
        <w:rPr>
          <w:rFonts w:hint="cs"/>
          <w:b/>
          <w:bCs/>
          <w:sz w:val="20"/>
          <w:szCs w:val="20"/>
          <w:rtl/>
        </w:rPr>
        <w:t xml:space="preserve">סעיף י </w:t>
      </w:r>
      <w:r>
        <w:rPr>
          <w:b/>
          <w:bCs/>
          <w:sz w:val="20"/>
          <w:szCs w:val="20"/>
          <w:rtl/>
        </w:rPr>
        <w:t>–</w:t>
      </w:r>
      <w:r>
        <w:rPr>
          <w:rFonts w:hint="cs"/>
          <w:b/>
          <w:bCs/>
          <w:sz w:val="20"/>
          <w:szCs w:val="20"/>
          <w:rtl/>
        </w:rPr>
        <w:t xml:space="preserve"> ראתה מחמת תשמיש בליל טבילה או לאחר לידה</w:t>
      </w:r>
      <w:r>
        <w:rPr>
          <w:b/>
          <w:bCs/>
          <w:sz w:val="20"/>
          <w:szCs w:val="20"/>
          <w:rtl/>
        </w:rPr>
        <w:br/>
      </w:r>
      <w:r w:rsidRPr="00D70DAE">
        <w:rPr>
          <w:rStyle w:val="10"/>
          <w:rFonts w:hint="cs"/>
          <w:sz w:val="24"/>
          <w:szCs w:val="24"/>
          <w:rtl/>
        </w:rPr>
        <w:t>א. רואה מחמת תשמיש בליל טבילה</w:t>
      </w:r>
      <w:r>
        <w:rPr>
          <w:sz w:val="20"/>
          <w:szCs w:val="20"/>
          <w:rtl/>
        </w:rPr>
        <w:br/>
      </w:r>
      <w:r>
        <w:rPr>
          <w:rFonts w:hint="cs"/>
          <w:b/>
          <w:bCs/>
          <w:sz w:val="20"/>
          <w:szCs w:val="20"/>
          <w:rtl/>
        </w:rPr>
        <w:t>פסיקת הלכה</w:t>
      </w:r>
      <w:r>
        <w:rPr>
          <w:b/>
          <w:bCs/>
          <w:sz w:val="20"/>
          <w:szCs w:val="20"/>
          <w:rtl/>
        </w:rPr>
        <w:br/>
      </w:r>
      <w:r>
        <w:rPr>
          <w:rFonts w:hint="cs"/>
          <w:b/>
          <w:bCs/>
          <w:sz w:val="20"/>
          <w:szCs w:val="20"/>
          <w:rtl/>
        </w:rPr>
        <w:t xml:space="preserve">שולחן ערוך </w:t>
      </w:r>
      <w:r w:rsidRPr="001740DA">
        <w:rPr>
          <w:rFonts w:hint="cs"/>
          <w:sz w:val="18"/>
          <w:szCs w:val="18"/>
          <w:rtl/>
        </w:rPr>
        <w:t xml:space="preserve">(ע"פ </w:t>
      </w:r>
      <w:r w:rsidRPr="00EB79EA">
        <w:rPr>
          <w:rFonts w:hint="cs"/>
          <w:b/>
          <w:bCs/>
          <w:sz w:val="18"/>
          <w:szCs w:val="18"/>
          <w:rtl/>
        </w:rPr>
        <w:t>הגה"מ</w:t>
      </w:r>
      <w:r w:rsidRPr="001740DA">
        <w:rPr>
          <w:rFonts w:hint="cs"/>
          <w:sz w:val="18"/>
          <w:szCs w:val="18"/>
          <w:rtl/>
        </w:rPr>
        <w:t xml:space="preserve">) </w:t>
      </w:r>
      <w:r>
        <w:rPr>
          <w:sz w:val="20"/>
          <w:szCs w:val="20"/>
          <w:rtl/>
        </w:rPr>
        <w:t>–</w:t>
      </w:r>
      <w:r>
        <w:rPr>
          <w:rFonts w:hint="cs"/>
          <w:sz w:val="20"/>
          <w:szCs w:val="20"/>
          <w:rtl/>
        </w:rPr>
        <w:t xml:space="preserve"> "</w:t>
      </w:r>
      <w:r w:rsidRPr="001740DA">
        <w:rPr>
          <w:rFonts w:cs="Arial"/>
          <w:sz w:val="20"/>
          <w:szCs w:val="20"/>
          <w:rtl/>
        </w:rPr>
        <w:t xml:space="preserve">הרואה דם בשעת תשמיש, מותרת לשמש פעם שנית כשתטהר. מיהו מיחש חיישינן חדא זימנא אחר ראייתה, כגון ראתה פעם אחת או פעמים בליל של טבילתה, כשתגיע טבילה אחרת  </w:t>
      </w:r>
      <w:r>
        <w:rPr>
          <w:rFonts w:cs="Arial"/>
          <w:sz w:val="20"/>
          <w:szCs w:val="20"/>
          <w:rtl/>
        </w:rPr>
        <w:lastRenderedPageBreak/>
        <w:t>צריכה לפרוש</w:t>
      </w:r>
      <w:r>
        <w:rPr>
          <w:rFonts w:cs="Arial" w:hint="cs"/>
          <w:sz w:val="20"/>
          <w:szCs w:val="20"/>
          <w:rtl/>
        </w:rPr>
        <w:t xml:space="preserve"> </w:t>
      </w:r>
      <w:r w:rsidRPr="001740DA">
        <w:rPr>
          <w:rFonts w:cs="Arial"/>
          <w:sz w:val="20"/>
          <w:szCs w:val="20"/>
          <w:rtl/>
        </w:rPr>
        <w:t>ליל של טבילתה, ואין צריך לפרוש ליל של טבילה שלישית, דכל מידי דלא קבעה וסת לא חיישינן אלא חדא זמנא</w:t>
      </w:r>
      <w:r>
        <w:rPr>
          <w:rFonts w:cs="Arial" w:hint="cs"/>
          <w:sz w:val="20"/>
          <w:szCs w:val="20"/>
          <w:rtl/>
        </w:rPr>
        <w:t>"</w:t>
      </w:r>
      <w:r w:rsidRPr="001740DA">
        <w:rPr>
          <w:rFonts w:cs="Arial"/>
          <w:sz w:val="20"/>
          <w:szCs w:val="20"/>
          <w:rtl/>
        </w:rPr>
        <w:t>.</w:t>
      </w:r>
    </w:p>
    <w:p w:rsidR="00620060" w:rsidRPr="002468A2" w:rsidRDefault="00620060" w:rsidP="00620060">
      <w:pPr>
        <w:rPr>
          <w:sz w:val="20"/>
          <w:szCs w:val="20"/>
          <w:rtl/>
        </w:rPr>
      </w:pPr>
      <w:r>
        <w:rPr>
          <w:rFonts w:hint="cs"/>
          <w:sz w:val="20"/>
          <w:szCs w:val="20"/>
          <w:u w:val="single"/>
          <w:rtl/>
        </w:rPr>
        <w:t>ראתה כמה ימים לאחר טבילה (פת"ש)</w:t>
      </w:r>
      <w:r>
        <w:rPr>
          <w:sz w:val="20"/>
          <w:szCs w:val="20"/>
          <w:u w:val="single"/>
          <w:rtl/>
        </w:rPr>
        <w:br/>
      </w:r>
      <w:r w:rsidRPr="002468A2">
        <w:rPr>
          <w:rFonts w:hint="cs"/>
          <w:b/>
          <w:bCs/>
          <w:sz w:val="20"/>
          <w:szCs w:val="20"/>
          <w:rtl/>
        </w:rPr>
        <w:t>חוות דעת</w:t>
      </w:r>
      <w:r>
        <w:rPr>
          <w:rFonts w:hint="cs"/>
          <w:sz w:val="20"/>
          <w:szCs w:val="20"/>
          <w:rtl/>
        </w:rPr>
        <w:t xml:space="preserve"> </w:t>
      </w:r>
      <w:r>
        <w:rPr>
          <w:sz w:val="20"/>
          <w:szCs w:val="20"/>
          <w:rtl/>
        </w:rPr>
        <w:t>–</w:t>
      </w:r>
      <w:r>
        <w:rPr>
          <w:rFonts w:hint="cs"/>
          <w:sz w:val="20"/>
          <w:szCs w:val="20"/>
          <w:rtl/>
        </w:rPr>
        <w:t xml:space="preserve"> דווקא הרואה בל"ט חוששת לטבילה הבאה, וכן יש אומרים שאם רואה בליל ב' לאחר טבילה חוששת, אך אם ראתה כמה ימים לאחר הטבילה לכו"ע אינה חוששת, ואין לומר שהטבילה גרמה לראייה.</w:t>
      </w:r>
    </w:p>
    <w:p w:rsidR="00620060" w:rsidRDefault="00620060" w:rsidP="00620060">
      <w:pPr>
        <w:rPr>
          <w:sz w:val="20"/>
          <w:szCs w:val="20"/>
          <w:rtl/>
        </w:rPr>
      </w:pPr>
      <w:r>
        <w:rPr>
          <w:rFonts w:hint="cs"/>
          <w:sz w:val="20"/>
          <w:szCs w:val="20"/>
          <w:u w:val="single"/>
          <w:rtl/>
        </w:rPr>
        <w:t>כיצד נעקר ווסת זה (פת"ש וששבה"ל)</w:t>
      </w:r>
      <w:r>
        <w:rPr>
          <w:sz w:val="20"/>
          <w:szCs w:val="20"/>
          <w:u w:val="single"/>
          <w:rtl/>
        </w:rPr>
        <w:br/>
      </w:r>
      <w:r>
        <w:rPr>
          <w:rFonts w:hint="cs"/>
          <w:sz w:val="20"/>
          <w:szCs w:val="20"/>
          <w:rtl/>
        </w:rPr>
        <w:t xml:space="preserve">א. </w:t>
      </w:r>
      <w:r w:rsidRPr="001740DA">
        <w:rPr>
          <w:rFonts w:hint="cs"/>
          <w:b/>
          <w:bCs/>
          <w:sz w:val="20"/>
          <w:szCs w:val="20"/>
          <w:rtl/>
        </w:rPr>
        <w:t>חוות דעת</w:t>
      </w:r>
      <w:r>
        <w:rPr>
          <w:rFonts w:hint="cs"/>
          <w:sz w:val="20"/>
          <w:szCs w:val="20"/>
          <w:rtl/>
        </w:rPr>
        <w:t xml:space="preserve"> </w:t>
      </w:r>
      <w:r>
        <w:rPr>
          <w:sz w:val="20"/>
          <w:szCs w:val="20"/>
          <w:rtl/>
        </w:rPr>
        <w:t>–</w:t>
      </w:r>
      <w:r>
        <w:rPr>
          <w:rFonts w:hint="cs"/>
          <w:sz w:val="20"/>
          <w:szCs w:val="20"/>
          <w:rtl/>
        </w:rPr>
        <w:t xml:space="preserve"> יש לחשוש לווסת המורכב מטבילה ותשמיש, לכן ווסת זו נעקר רק לאחר שתשמש באיסור בליל טבילתה ולא תראה דם, אך לא מהני לה מה שלא תראה דם בליל טבילה אם לא שימשה בו, שהרי ווסת  נעקר רק כעין שנקבע.</w:t>
      </w:r>
      <w:r>
        <w:rPr>
          <w:sz w:val="20"/>
          <w:szCs w:val="20"/>
          <w:rtl/>
        </w:rPr>
        <w:br/>
      </w:r>
      <w:r>
        <w:rPr>
          <w:rFonts w:hint="cs"/>
          <w:sz w:val="20"/>
          <w:szCs w:val="20"/>
          <w:rtl/>
        </w:rPr>
        <w:t xml:space="preserve">ב. </w:t>
      </w:r>
      <w:r w:rsidRPr="001740DA">
        <w:rPr>
          <w:rFonts w:hint="cs"/>
          <w:b/>
          <w:bCs/>
          <w:sz w:val="20"/>
          <w:szCs w:val="20"/>
          <w:rtl/>
        </w:rPr>
        <w:t>סדרי טהרה</w:t>
      </w:r>
      <w:r>
        <w:rPr>
          <w:rFonts w:hint="cs"/>
          <w:sz w:val="20"/>
          <w:szCs w:val="20"/>
          <w:rtl/>
        </w:rPr>
        <w:t xml:space="preserve"> </w:t>
      </w:r>
      <w:r>
        <w:rPr>
          <w:sz w:val="20"/>
          <w:szCs w:val="20"/>
          <w:rtl/>
        </w:rPr>
        <w:t>–</w:t>
      </w:r>
      <w:r>
        <w:rPr>
          <w:rFonts w:hint="cs"/>
          <w:sz w:val="20"/>
          <w:szCs w:val="20"/>
          <w:rtl/>
        </w:rPr>
        <w:t xml:space="preserve"> אין לחשוש מייד לווסת המורכב מטבילה ותשמיש, אלא יש לתלות את ראייתה בטבילה בלבד, ולכן אם טבלה לאחר מכן ולא ראתה דם בלילה טבילה </w:t>
      </w:r>
      <w:r>
        <w:rPr>
          <w:sz w:val="20"/>
          <w:szCs w:val="20"/>
          <w:rtl/>
        </w:rPr>
        <w:t>–</w:t>
      </w:r>
      <w:r>
        <w:rPr>
          <w:rFonts w:hint="cs"/>
          <w:sz w:val="20"/>
          <w:szCs w:val="20"/>
          <w:rtl/>
        </w:rPr>
        <w:t xml:space="preserve"> הותר ליל טבילה.</w:t>
      </w:r>
    </w:p>
    <w:p w:rsidR="00620060" w:rsidRDefault="00620060" w:rsidP="00620060">
      <w:pPr>
        <w:pStyle w:val="1"/>
        <w:rPr>
          <w:sz w:val="24"/>
          <w:szCs w:val="24"/>
          <w:rtl/>
        </w:rPr>
      </w:pPr>
      <w:r w:rsidRPr="00D70DAE">
        <w:rPr>
          <w:sz w:val="24"/>
          <w:szCs w:val="24"/>
          <w:rtl/>
        </w:rPr>
        <w:t xml:space="preserve">ב. ראתה מחמת תשמיש בג' </w:t>
      </w:r>
      <w:r>
        <w:rPr>
          <w:rFonts w:hint="cs"/>
          <w:sz w:val="24"/>
          <w:szCs w:val="24"/>
          <w:rtl/>
        </w:rPr>
        <w:t xml:space="preserve">לילי </w:t>
      </w:r>
      <w:r w:rsidRPr="00D70DAE">
        <w:rPr>
          <w:sz w:val="24"/>
          <w:szCs w:val="24"/>
          <w:rtl/>
        </w:rPr>
        <w:t>טביל</w:t>
      </w:r>
      <w:r>
        <w:rPr>
          <w:rFonts w:hint="cs"/>
          <w:sz w:val="24"/>
          <w:szCs w:val="24"/>
          <w:rtl/>
        </w:rPr>
        <w:t>ה</w:t>
      </w:r>
      <w:r w:rsidRPr="00D70DAE">
        <w:rPr>
          <w:sz w:val="24"/>
          <w:szCs w:val="24"/>
          <w:rtl/>
        </w:rPr>
        <w:t xml:space="preserve"> רצופ</w:t>
      </w:r>
      <w:r>
        <w:rPr>
          <w:rFonts w:hint="cs"/>
          <w:sz w:val="24"/>
          <w:szCs w:val="24"/>
          <w:rtl/>
        </w:rPr>
        <w:t>ים</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רמ"א </w:t>
      </w:r>
      <w:r w:rsidRPr="00D70DAE">
        <w:rPr>
          <w:rFonts w:hint="cs"/>
          <w:sz w:val="18"/>
          <w:szCs w:val="18"/>
          <w:rtl/>
        </w:rPr>
        <w:t xml:space="preserve">(ע"פ תשובת הרשב"א) </w:t>
      </w:r>
      <w:r w:rsidRPr="00D70DAE">
        <w:rPr>
          <w:sz w:val="18"/>
          <w:szCs w:val="18"/>
          <w:rtl/>
        </w:rPr>
        <w:t>–</w:t>
      </w:r>
      <w:r w:rsidRPr="00D70DAE">
        <w:rPr>
          <w:rFonts w:hint="cs"/>
          <w:sz w:val="18"/>
          <w:szCs w:val="18"/>
          <w:rtl/>
        </w:rPr>
        <w:t xml:space="preserve"> "</w:t>
      </w:r>
      <w:r w:rsidRPr="00D70DAE">
        <w:rPr>
          <w:rFonts w:cs="Arial"/>
          <w:sz w:val="18"/>
          <w:szCs w:val="18"/>
          <w:rtl/>
        </w:rPr>
        <w:t>ואם ראתה ג</w:t>
      </w:r>
      <w:r w:rsidRPr="00D70DAE">
        <w:rPr>
          <w:rFonts w:cs="Arial" w:hint="cs"/>
          <w:sz w:val="18"/>
          <w:szCs w:val="18"/>
          <w:rtl/>
        </w:rPr>
        <w:t xml:space="preserve">' </w:t>
      </w:r>
      <w:r w:rsidRPr="00D70DAE">
        <w:rPr>
          <w:rFonts w:cs="Arial"/>
          <w:sz w:val="18"/>
          <w:szCs w:val="18"/>
          <w:rtl/>
        </w:rPr>
        <w:t>פ</w:t>
      </w:r>
      <w:r w:rsidRPr="00D70DAE">
        <w:rPr>
          <w:rFonts w:cs="Arial" w:hint="cs"/>
          <w:sz w:val="18"/>
          <w:szCs w:val="18"/>
          <w:rtl/>
        </w:rPr>
        <w:t>עמים</w:t>
      </w:r>
      <w:r w:rsidRPr="00D70DAE">
        <w:rPr>
          <w:rFonts w:cs="Arial"/>
          <w:sz w:val="18"/>
          <w:szCs w:val="18"/>
          <w:rtl/>
        </w:rPr>
        <w:t>, כל פעם בביאה ראשונה שאחר טבילתה, אסורה לבעלה כאילו ראתה ג</w:t>
      </w:r>
      <w:r w:rsidRPr="00D70DAE">
        <w:rPr>
          <w:rFonts w:cs="Arial" w:hint="cs"/>
          <w:sz w:val="18"/>
          <w:szCs w:val="18"/>
          <w:rtl/>
        </w:rPr>
        <w:t xml:space="preserve">' </w:t>
      </w:r>
      <w:r w:rsidRPr="00D70DAE">
        <w:rPr>
          <w:rFonts w:cs="Arial"/>
          <w:sz w:val="18"/>
          <w:szCs w:val="18"/>
          <w:rtl/>
        </w:rPr>
        <w:t>פ</w:t>
      </w:r>
      <w:r w:rsidRPr="00D70DAE">
        <w:rPr>
          <w:rFonts w:cs="Arial" w:hint="cs"/>
          <w:sz w:val="18"/>
          <w:szCs w:val="18"/>
          <w:rtl/>
        </w:rPr>
        <w:t>עמים</w:t>
      </w:r>
      <w:r w:rsidRPr="00D70DAE">
        <w:rPr>
          <w:rFonts w:cs="Arial"/>
          <w:sz w:val="18"/>
          <w:szCs w:val="18"/>
          <w:rtl/>
        </w:rPr>
        <w:t xml:space="preserve"> רצופים, שהרי אי אפשר לה לטבול ולשמש עמו, שהרי היא רואה כל פעם אחר טבילתה</w:t>
      </w:r>
      <w:r w:rsidRPr="00D70DAE">
        <w:rPr>
          <w:rFonts w:cs="Arial" w:hint="cs"/>
          <w:sz w:val="18"/>
          <w:szCs w:val="18"/>
          <w:rtl/>
        </w:rPr>
        <w:t>"</w:t>
      </w:r>
      <w:r w:rsidRPr="00D70DAE">
        <w:rPr>
          <w:rFonts w:cs="Arial"/>
          <w:sz w:val="18"/>
          <w:szCs w:val="18"/>
          <w:rtl/>
        </w:rPr>
        <w:t>.</w:t>
      </w:r>
    </w:p>
    <w:p w:rsidR="00620060" w:rsidRDefault="00620060" w:rsidP="00620060">
      <w:pPr>
        <w:rPr>
          <w:sz w:val="20"/>
          <w:szCs w:val="20"/>
          <w:rtl/>
        </w:rPr>
      </w:pPr>
      <w:r>
        <w:rPr>
          <w:rFonts w:hint="cs"/>
          <w:sz w:val="20"/>
          <w:szCs w:val="20"/>
          <w:u w:val="single"/>
          <w:rtl/>
        </w:rPr>
        <w:t>הסבר (ט"ז, ש"ך ופת"ש)</w:t>
      </w:r>
      <w:r>
        <w:rPr>
          <w:sz w:val="20"/>
          <w:szCs w:val="20"/>
          <w:u w:val="single"/>
          <w:rtl/>
        </w:rPr>
        <w:br/>
      </w:r>
      <w:r>
        <w:rPr>
          <w:rFonts w:hint="cs"/>
          <w:sz w:val="20"/>
          <w:szCs w:val="20"/>
          <w:rtl/>
        </w:rPr>
        <w:t xml:space="preserve">א. </w:t>
      </w:r>
      <w:r w:rsidRPr="00026F09">
        <w:rPr>
          <w:rFonts w:hint="cs"/>
          <w:b/>
          <w:bCs/>
          <w:sz w:val="20"/>
          <w:szCs w:val="20"/>
          <w:rtl/>
        </w:rPr>
        <w:t>ט"ז וש"ך</w:t>
      </w:r>
      <w:r>
        <w:rPr>
          <w:rFonts w:hint="cs"/>
          <w:sz w:val="20"/>
          <w:szCs w:val="20"/>
          <w:rtl/>
        </w:rPr>
        <w:t xml:space="preserve"> </w:t>
      </w:r>
      <w:r>
        <w:rPr>
          <w:sz w:val="20"/>
          <w:szCs w:val="20"/>
          <w:rtl/>
        </w:rPr>
        <w:t>–</w:t>
      </w:r>
      <w:r>
        <w:rPr>
          <w:rFonts w:hint="cs"/>
          <w:sz w:val="20"/>
          <w:szCs w:val="20"/>
          <w:rtl/>
        </w:rPr>
        <w:t xml:space="preserve"> מדובר שרואה בתשמיש הראשון שמקיימת לאחר טבילה. </w:t>
      </w:r>
      <w:r>
        <w:rPr>
          <w:sz w:val="20"/>
          <w:szCs w:val="20"/>
          <w:rtl/>
        </w:rPr>
        <w:br/>
      </w:r>
      <w:r>
        <w:rPr>
          <w:rFonts w:hint="cs"/>
          <w:sz w:val="20"/>
          <w:szCs w:val="20"/>
          <w:rtl/>
        </w:rPr>
        <w:t xml:space="preserve">בכך שונים דברי הרמ"א מדברי המחבר, שהמחבר מיירי שרואה בליל טבילה כשמשמשת, אך אם תשמש לילה אחד לאחר הטבילה לא תראה ולכן מותרת לבעלה. </w:t>
      </w:r>
      <w:r>
        <w:rPr>
          <w:sz w:val="20"/>
          <w:szCs w:val="20"/>
          <w:rtl/>
        </w:rPr>
        <w:br/>
      </w:r>
      <w:r>
        <w:rPr>
          <w:rFonts w:hint="cs"/>
          <w:sz w:val="20"/>
          <w:szCs w:val="20"/>
          <w:rtl/>
        </w:rPr>
        <w:t>לעומת זאת, הרמ"א מדבר שרואה תמיד בתשמיש שנעשה לאחר טבילה אפילו הוא מופלג מליל טבילה.</w:t>
      </w:r>
      <w:r>
        <w:rPr>
          <w:sz w:val="20"/>
          <w:szCs w:val="20"/>
          <w:rtl/>
        </w:rPr>
        <w:br/>
      </w:r>
      <w:r>
        <w:rPr>
          <w:rFonts w:hint="cs"/>
          <w:sz w:val="20"/>
          <w:szCs w:val="20"/>
          <w:rtl/>
        </w:rPr>
        <w:t xml:space="preserve">ולכן, אפילו אם שימשה בין טבילה לטבילה </w:t>
      </w:r>
      <w:r w:rsidRPr="00482CEC">
        <w:rPr>
          <w:rFonts w:hint="cs"/>
          <w:sz w:val="18"/>
          <w:szCs w:val="18"/>
          <w:rtl/>
        </w:rPr>
        <w:t xml:space="preserve">(באיסור, שהרי היא צריכה טבילה) </w:t>
      </w:r>
      <w:r>
        <w:rPr>
          <w:rFonts w:hint="cs"/>
          <w:sz w:val="20"/>
          <w:szCs w:val="20"/>
          <w:rtl/>
        </w:rPr>
        <w:t>ולא ראתה מחמת תשמיש אסורה, דמכל מקום אינה יכולה לטבול ולשמש שהרי רואה מייד בתשמיש הראשון שלאחר טבילה.</w:t>
      </w:r>
      <w:r>
        <w:rPr>
          <w:rStyle w:val="a5"/>
          <w:sz w:val="20"/>
          <w:szCs w:val="20"/>
          <w:rtl/>
        </w:rPr>
        <w:footnoteReference w:id="128"/>
      </w:r>
      <w:r>
        <w:rPr>
          <w:rFonts w:hint="cs"/>
          <w:sz w:val="20"/>
          <w:szCs w:val="20"/>
          <w:rtl/>
        </w:rPr>
        <w:t xml:space="preserve"> </w:t>
      </w:r>
      <w:r>
        <w:rPr>
          <w:sz w:val="20"/>
          <w:szCs w:val="20"/>
          <w:rtl/>
        </w:rPr>
        <w:br/>
      </w:r>
      <w:r>
        <w:rPr>
          <w:rFonts w:hint="cs"/>
          <w:sz w:val="20"/>
          <w:szCs w:val="20"/>
          <w:rtl/>
        </w:rPr>
        <w:t xml:space="preserve">ב. </w:t>
      </w:r>
      <w:r w:rsidRPr="002A0506">
        <w:rPr>
          <w:rFonts w:hint="cs"/>
          <w:b/>
          <w:bCs/>
          <w:sz w:val="20"/>
          <w:szCs w:val="20"/>
          <w:rtl/>
        </w:rPr>
        <w:t>סדרי טהרה וחוות דעת</w:t>
      </w:r>
      <w:r>
        <w:rPr>
          <w:rFonts w:hint="cs"/>
          <w:sz w:val="20"/>
          <w:szCs w:val="20"/>
          <w:rtl/>
        </w:rPr>
        <w:t xml:space="preserve"> </w:t>
      </w:r>
      <w:r>
        <w:rPr>
          <w:sz w:val="20"/>
          <w:szCs w:val="20"/>
          <w:rtl/>
        </w:rPr>
        <w:t>–</w:t>
      </w:r>
      <w:r>
        <w:rPr>
          <w:rFonts w:hint="cs"/>
          <w:sz w:val="20"/>
          <w:szCs w:val="20"/>
          <w:rtl/>
        </w:rPr>
        <w:t xml:space="preserve"> הרמ"א מדבר באופן שלא היו תשמישי היתר בינתיים, אך אם היו תשמישי היתר לא הוי כרצופים ומותרת.</w:t>
      </w:r>
      <w:r>
        <w:rPr>
          <w:sz w:val="20"/>
          <w:szCs w:val="20"/>
          <w:rtl/>
        </w:rPr>
        <w:br/>
      </w:r>
      <w:r>
        <w:rPr>
          <w:sz w:val="20"/>
          <w:szCs w:val="20"/>
          <w:u w:val="single"/>
          <w:rtl/>
        </w:rPr>
        <w:br/>
      </w:r>
      <w:r>
        <w:rPr>
          <w:rFonts w:hint="cs"/>
          <w:sz w:val="20"/>
          <w:szCs w:val="20"/>
          <w:u w:val="single"/>
          <w:rtl/>
        </w:rPr>
        <w:t>קולות שנדחו בדין רואה מחמת תשמיש (פת"ש)</w:t>
      </w:r>
      <w:r>
        <w:rPr>
          <w:sz w:val="20"/>
          <w:szCs w:val="20"/>
          <w:u w:val="single"/>
          <w:rtl/>
        </w:rPr>
        <w:br/>
      </w:r>
      <w:r>
        <w:rPr>
          <w:rFonts w:hint="cs"/>
          <w:sz w:val="20"/>
          <w:szCs w:val="20"/>
          <w:rtl/>
        </w:rPr>
        <w:t>א. ראתה מחמת תשמיש ג' פעמים כל פעם בליל טבילתה, היו אחרונים שכתבו להתיר בכה"ג לשמש בליל ב' לאחר טבילתה, אך הפת"ש כתב לדחות היתר זה.</w:t>
      </w:r>
      <w:r>
        <w:rPr>
          <w:sz w:val="20"/>
          <w:szCs w:val="20"/>
          <w:rtl/>
        </w:rPr>
        <w:br/>
      </w:r>
      <w:r>
        <w:rPr>
          <w:rFonts w:hint="cs"/>
          <w:sz w:val="20"/>
          <w:szCs w:val="20"/>
          <w:rtl/>
        </w:rPr>
        <w:t>ב. ראתה ג' פעמים מחמת תשמיש ביום קבוע לחודש, היו אחרונים שהתירו לה לשמש בשאר ימי החודש, אך הפת"ש דחה גם היתר זה.</w:t>
      </w:r>
    </w:p>
    <w:p w:rsidR="00620060" w:rsidRDefault="00620060" w:rsidP="00620060">
      <w:pPr>
        <w:pStyle w:val="1"/>
        <w:rPr>
          <w:sz w:val="24"/>
          <w:szCs w:val="24"/>
          <w:rtl/>
        </w:rPr>
      </w:pPr>
      <w:r w:rsidRPr="00FA1517">
        <w:rPr>
          <w:rFonts w:hint="cs"/>
          <w:sz w:val="24"/>
          <w:szCs w:val="24"/>
          <w:rtl/>
        </w:rPr>
        <w:t>ג. רואה מחמת תשמיש לאחר לידה</w:t>
      </w:r>
    </w:p>
    <w:p w:rsidR="00620060" w:rsidRPr="00FA1517" w:rsidRDefault="00620060" w:rsidP="00620060">
      <w:pPr>
        <w:rPr>
          <w:sz w:val="20"/>
          <w:szCs w:val="20"/>
        </w:rPr>
      </w:pPr>
      <w:r>
        <w:rPr>
          <w:rFonts w:hint="cs"/>
          <w:b/>
          <w:bCs/>
          <w:sz w:val="20"/>
          <w:szCs w:val="20"/>
          <w:rtl/>
        </w:rPr>
        <w:t>פסיקת הלכה</w:t>
      </w:r>
      <w:r>
        <w:rPr>
          <w:b/>
          <w:bCs/>
          <w:sz w:val="20"/>
          <w:szCs w:val="20"/>
          <w:rtl/>
        </w:rPr>
        <w:br/>
      </w:r>
      <w:r>
        <w:rPr>
          <w:rFonts w:hint="cs"/>
          <w:b/>
          <w:bCs/>
          <w:sz w:val="20"/>
          <w:szCs w:val="20"/>
          <w:rtl/>
        </w:rPr>
        <w:t xml:space="preserve">רמ"א </w:t>
      </w:r>
      <w:r w:rsidRPr="00FA1517">
        <w:rPr>
          <w:rFonts w:hint="cs"/>
          <w:sz w:val="18"/>
          <w:szCs w:val="18"/>
          <w:rtl/>
        </w:rPr>
        <w:t xml:space="preserve">(ע"פ </w:t>
      </w:r>
      <w:r w:rsidRPr="00FA1517">
        <w:rPr>
          <w:rFonts w:hint="cs"/>
          <w:b/>
          <w:bCs/>
          <w:sz w:val="18"/>
          <w:szCs w:val="18"/>
          <w:rtl/>
        </w:rPr>
        <w:t>הגהש"ד</w:t>
      </w:r>
      <w:r w:rsidRPr="00FA1517">
        <w:rPr>
          <w:rFonts w:hint="cs"/>
          <w:sz w:val="18"/>
          <w:szCs w:val="18"/>
          <w:rtl/>
        </w:rPr>
        <w:t xml:space="preserve">) </w:t>
      </w:r>
      <w:r>
        <w:rPr>
          <w:sz w:val="20"/>
          <w:szCs w:val="20"/>
          <w:rtl/>
        </w:rPr>
        <w:t>–</w:t>
      </w:r>
      <w:r>
        <w:rPr>
          <w:rFonts w:hint="cs"/>
          <w:sz w:val="20"/>
          <w:szCs w:val="20"/>
          <w:rtl/>
        </w:rPr>
        <w:t xml:space="preserve"> "</w:t>
      </w:r>
      <w:r w:rsidRPr="00FA1517">
        <w:rPr>
          <w:rFonts w:cs="Arial"/>
          <w:sz w:val="18"/>
          <w:szCs w:val="18"/>
          <w:rtl/>
        </w:rPr>
        <w:t>ואם אירע לה שראתה ג</w:t>
      </w:r>
      <w:r>
        <w:rPr>
          <w:rFonts w:cs="Arial" w:hint="cs"/>
          <w:sz w:val="18"/>
          <w:szCs w:val="18"/>
          <w:rtl/>
        </w:rPr>
        <w:t xml:space="preserve">' </w:t>
      </w:r>
      <w:r w:rsidRPr="00FA1517">
        <w:rPr>
          <w:rFonts w:cs="Arial"/>
          <w:sz w:val="18"/>
          <w:szCs w:val="18"/>
          <w:rtl/>
        </w:rPr>
        <w:t>פ</w:t>
      </w:r>
      <w:r>
        <w:rPr>
          <w:rFonts w:cs="Arial" w:hint="cs"/>
          <w:sz w:val="18"/>
          <w:szCs w:val="18"/>
          <w:rtl/>
        </w:rPr>
        <w:t>עמים</w:t>
      </w:r>
      <w:r w:rsidRPr="00FA1517">
        <w:rPr>
          <w:rFonts w:cs="Arial"/>
          <w:sz w:val="18"/>
          <w:szCs w:val="18"/>
          <w:rtl/>
        </w:rPr>
        <w:t xml:space="preserve"> בביאה ראשונה שאחר לידתה, או ראתה אחר כל לידה ג' פעמים, וב</w:t>
      </w:r>
      <w:r>
        <w:rPr>
          <w:rFonts w:cs="Arial" w:hint="cs"/>
          <w:sz w:val="18"/>
          <w:szCs w:val="18"/>
          <w:rtl/>
        </w:rPr>
        <w:t>י</w:t>
      </w:r>
      <w:r w:rsidRPr="00FA1517">
        <w:rPr>
          <w:rFonts w:cs="Arial"/>
          <w:sz w:val="18"/>
          <w:szCs w:val="18"/>
          <w:rtl/>
        </w:rPr>
        <w:t>נתיים לא ראתה, יש שכתבו להקל להתירה לבעלה, כי תלינן הראייה בחולשתה עדיין מכ</w:t>
      </w:r>
      <w:r>
        <w:rPr>
          <w:rFonts w:cs="Arial" w:hint="cs"/>
          <w:sz w:val="18"/>
          <w:szCs w:val="18"/>
          <w:rtl/>
        </w:rPr>
        <w:t>ו</w:t>
      </w:r>
      <w:r w:rsidRPr="00FA1517">
        <w:rPr>
          <w:rFonts w:cs="Arial"/>
          <w:sz w:val="18"/>
          <w:szCs w:val="18"/>
          <w:rtl/>
        </w:rPr>
        <w:t>ח לידתה, שהוכו הצדדים מכ</w:t>
      </w:r>
      <w:r>
        <w:rPr>
          <w:rFonts w:cs="Arial" w:hint="cs"/>
          <w:sz w:val="18"/>
          <w:szCs w:val="18"/>
          <w:rtl/>
        </w:rPr>
        <w:t>ו</w:t>
      </w:r>
      <w:r w:rsidRPr="00FA1517">
        <w:rPr>
          <w:rFonts w:cs="Arial"/>
          <w:sz w:val="18"/>
          <w:szCs w:val="18"/>
          <w:rtl/>
        </w:rPr>
        <w:t>ח לידתה, ולכן רואה סמוך ללידה ולא אחר כך,</w:t>
      </w:r>
      <w:r>
        <w:rPr>
          <w:rFonts w:cs="Arial"/>
          <w:sz w:val="18"/>
          <w:szCs w:val="18"/>
          <w:rtl/>
        </w:rPr>
        <w:t xml:space="preserve"> ותלינן בלידה כמו שתלינן במכה. </w:t>
      </w:r>
      <w:r w:rsidRPr="00FA1517">
        <w:rPr>
          <w:rFonts w:cs="Arial"/>
          <w:sz w:val="18"/>
          <w:szCs w:val="18"/>
          <w:rtl/>
        </w:rPr>
        <w:t>וכל זה אם כבר עברה ושמשה בין לידות הראשונות שהוחזקו ביאות של היתר, אחר ביאות של איסור. אבל אם ראתה ג' פעמים רצופין אחר לידה, לא תלינן בלידה, אלא צריכה בדיקת השפופרת. מיהו כ</w:t>
      </w:r>
      <w:r>
        <w:rPr>
          <w:rFonts w:cs="Arial" w:hint="cs"/>
          <w:sz w:val="18"/>
          <w:szCs w:val="18"/>
          <w:rtl/>
        </w:rPr>
        <w:t xml:space="preserve">ל </w:t>
      </w:r>
      <w:r w:rsidRPr="00FA1517">
        <w:rPr>
          <w:rFonts w:cs="Arial"/>
          <w:sz w:val="18"/>
          <w:szCs w:val="18"/>
          <w:rtl/>
        </w:rPr>
        <w:t>מ</w:t>
      </w:r>
      <w:r>
        <w:rPr>
          <w:rFonts w:cs="Arial" w:hint="cs"/>
          <w:sz w:val="18"/>
          <w:szCs w:val="18"/>
          <w:rtl/>
        </w:rPr>
        <w:t>קום</w:t>
      </w:r>
      <w:r w:rsidRPr="00FA1517">
        <w:rPr>
          <w:rFonts w:cs="Arial"/>
          <w:sz w:val="18"/>
          <w:szCs w:val="18"/>
          <w:rtl/>
        </w:rPr>
        <w:t xml:space="preserve"> שצריכה בדיקה, אם עברה ושמשה, ולא ראתה, מותרת, דתשמיש זה שלא</w:t>
      </w:r>
      <w:r>
        <w:rPr>
          <w:rFonts w:cs="Arial"/>
          <w:sz w:val="18"/>
          <w:szCs w:val="18"/>
          <w:rtl/>
        </w:rPr>
        <w:t xml:space="preserve"> ראתה בו, עדיף מבדיקת השפופרת כ</w:t>
      </w:r>
      <w:r>
        <w:rPr>
          <w:rFonts w:cs="Arial" w:hint="cs"/>
          <w:sz w:val="18"/>
          <w:szCs w:val="18"/>
          <w:rtl/>
        </w:rPr>
        <w:t>ך נראה לי".</w:t>
      </w:r>
    </w:p>
    <w:p w:rsidR="00620060" w:rsidRDefault="00620060" w:rsidP="00620060">
      <w:pPr>
        <w:rPr>
          <w:sz w:val="20"/>
          <w:szCs w:val="20"/>
          <w:rtl/>
        </w:rPr>
      </w:pPr>
      <w:r>
        <w:rPr>
          <w:rFonts w:hint="cs"/>
          <w:sz w:val="20"/>
          <w:szCs w:val="20"/>
          <w:u w:val="single"/>
          <w:rtl/>
        </w:rPr>
        <w:t xml:space="preserve">סיכום הדינים </w:t>
      </w:r>
      <w:r>
        <w:rPr>
          <w:sz w:val="20"/>
          <w:szCs w:val="20"/>
          <w:u w:val="single"/>
          <w:rtl/>
        </w:rPr>
        <w:t>–</w:t>
      </w:r>
      <w:r>
        <w:rPr>
          <w:rFonts w:hint="cs"/>
          <w:sz w:val="20"/>
          <w:szCs w:val="20"/>
          <w:u w:val="single"/>
          <w:rtl/>
        </w:rPr>
        <w:t xml:space="preserve"> ט"ז</w:t>
      </w:r>
      <w:r>
        <w:rPr>
          <w:sz w:val="20"/>
          <w:szCs w:val="20"/>
          <w:u w:val="single"/>
          <w:rtl/>
        </w:rPr>
        <w:br/>
      </w:r>
      <w:r>
        <w:rPr>
          <w:rFonts w:hint="cs"/>
          <w:sz w:val="20"/>
          <w:szCs w:val="20"/>
          <w:rtl/>
        </w:rPr>
        <w:t xml:space="preserve">א. </w:t>
      </w:r>
      <w:r w:rsidRPr="00F60EFD">
        <w:rPr>
          <w:rFonts w:hint="cs"/>
          <w:b/>
          <w:bCs/>
          <w:sz w:val="20"/>
          <w:szCs w:val="20"/>
          <w:rtl/>
        </w:rPr>
        <w:t>הגהש"ד</w:t>
      </w:r>
      <w:r>
        <w:rPr>
          <w:rFonts w:hint="cs"/>
          <w:sz w:val="20"/>
          <w:szCs w:val="20"/>
          <w:rtl/>
        </w:rPr>
        <w:t xml:space="preserve"> כתב </w:t>
      </w:r>
      <w:r>
        <w:rPr>
          <w:sz w:val="20"/>
          <w:szCs w:val="20"/>
          <w:rtl/>
        </w:rPr>
        <w:t>–</w:t>
      </w:r>
      <w:r>
        <w:rPr>
          <w:rFonts w:hint="cs"/>
          <w:sz w:val="20"/>
          <w:szCs w:val="20"/>
          <w:rtl/>
        </w:rPr>
        <w:t xml:space="preserve"> ראתה פעם אחת לאחר לידה, וכך אירע לה בג' לידות שראתה פעם אחת מחמת תשמיש בתשמיש הראשון שלאחר הלידה, אך לאחר תשמיש זה משמשת ואינה רואה </w:t>
      </w:r>
      <w:r>
        <w:rPr>
          <w:sz w:val="20"/>
          <w:szCs w:val="20"/>
          <w:rtl/>
        </w:rPr>
        <w:t>–</w:t>
      </w:r>
      <w:r>
        <w:rPr>
          <w:rFonts w:hint="cs"/>
          <w:sz w:val="20"/>
          <w:szCs w:val="20"/>
          <w:rtl/>
        </w:rPr>
        <w:t xml:space="preserve"> אינה רמ"ת ומותרת לבעלה.</w:t>
      </w:r>
      <w:r>
        <w:rPr>
          <w:sz w:val="20"/>
          <w:szCs w:val="20"/>
          <w:rtl/>
        </w:rPr>
        <w:br/>
      </w:r>
      <w:r w:rsidRPr="00856890">
        <w:rPr>
          <w:rFonts w:hint="cs"/>
          <w:b/>
          <w:bCs/>
          <w:sz w:val="20"/>
          <w:szCs w:val="20"/>
          <w:rtl/>
        </w:rPr>
        <w:t xml:space="preserve">טעם </w:t>
      </w:r>
      <w:r>
        <w:rPr>
          <w:sz w:val="20"/>
          <w:szCs w:val="20"/>
          <w:rtl/>
        </w:rPr>
        <w:t>–</w:t>
      </w:r>
      <w:r>
        <w:rPr>
          <w:rFonts w:hint="cs"/>
          <w:sz w:val="20"/>
          <w:szCs w:val="20"/>
          <w:rtl/>
        </w:rPr>
        <w:t xml:space="preserve"> יש לומר שראיותיה באות לה מחמת שהוכו צדדיה בשעת הלידה, שהרי יש לה ביאות היתר בינתיים.</w:t>
      </w:r>
      <w:r>
        <w:rPr>
          <w:sz w:val="20"/>
          <w:szCs w:val="20"/>
          <w:rtl/>
        </w:rPr>
        <w:br/>
      </w:r>
      <w:r>
        <w:rPr>
          <w:rFonts w:hint="cs"/>
          <w:sz w:val="20"/>
          <w:szCs w:val="20"/>
          <w:rtl/>
        </w:rPr>
        <w:t xml:space="preserve">ב. מדייק </w:t>
      </w:r>
      <w:r w:rsidRPr="00F60EFD">
        <w:rPr>
          <w:rFonts w:hint="cs"/>
          <w:b/>
          <w:bCs/>
          <w:sz w:val="20"/>
          <w:szCs w:val="20"/>
          <w:rtl/>
        </w:rPr>
        <w:t>הט"ז</w:t>
      </w:r>
      <w:r>
        <w:rPr>
          <w:rFonts w:hint="cs"/>
          <w:sz w:val="20"/>
          <w:szCs w:val="20"/>
          <w:rtl/>
        </w:rPr>
        <w:t xml:space="preserve"> </w:t>
      </w:r>
      <w:r>
        <w:rPr>
          <w:sz w:val="20"/>
          <w:szCs w:val="20"/>
          <w:rtl/>
        </w:rPr>
        <w:t>–</w:t>
      </w:r>
      <w:r>
        <w:rPr>
          <w:rFonts w:hint="cs"/>
          <w:sz w:val="20"/>
          <w:szCs w:val="20"/>
          <w:rtl/>
        </w:rPr>
        <w:t xml:space="preserve"> אם לא היו לה ביאות היתר בינתיים, כלומר ששימשה רק פעם אחת לאחר הלידה וראתה </w:t>
      </w:r>
      <w:r>
        <w:rPr>
          <w:rFonts w:hint="cs"/>
          <w:sz w:val="20"/>
          <w:szCs w:val="20"/>
          <w:rtl/>
        </w:rPr>
        <w:lastRenderedPageBreak/>
        <w:t xml:space="preserve">מחמת תשמיש באופן זה בג' לידות </w:t>
      </w:r>
      <w:r>
        <w:rPr>
          <w:sz w:val="20"/>
          <w:szCs w:val="20"/>
          <w:rtl/>
        </w:rPr>
        <w:t>–</w:t>
      </w:r>
      <w:r>
        <w:rPr>
          <w:rFonts w:hint="cs"/>
          <w:sz w:val="20"/>
          <w:szCs w:val="20"/>
          <w:rtl/>
        </w:rPr>
        <w:t xml:space="preserve"> אסורה.</w:t>
      </w:r>
      <w:r>
        <w:rPr>
          <w:sz w:val="20"/>
          <w:szCs w:val="20"/>
          <w:rtl/>
        </w:rPr>
        <w:br/>
      </w:r>
      <w:r w:rsidRPr="00F60EFD">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בכה"ג איננו יכולים לומר שראיותיה מחמת תשמיש הן, שהרי אין ביאות היתר באמצע.</w:t>
      </w:r>
      <w:r>
        <w:rPr>
          <w:sz w:val="20"/>
          <w:szCs w:val="20"/>
          <w:rtl/>
        </w:rPr>
        <w:br/>
      </w:r>
      <w:r>
        <w:rPr>
          <w:rFonts w:hint="cs"/>
          <w:sz w:val="20"/>
          <w:szCs w:val="20"/>
          <w:rtl/>
        </w:rPr>
        <w:t xml:space="preserve">ג. מוסיף </w:t>
      </w:r>
      <w:r w:rsidRPr="00F60EFD">
        <w:rPr>
          <w:rFonts w:hint="cs"/>
          <w:b/>
          <w:bCs/>
          <w:sz w:val="20"/>
          <w:szCs w:val="20"/>
          <w:rtl/>
        </w:rPr>
        <w:t>הט"ז</w:t>
      </w:r>
      <w:r>
        <w:rPr>
          <w:rFonts w:hint="cs"/>
          <w:sz w:val="20"/>
          <w:szCs w:val="20"/>
          <w:rtl/>
        </w:rPr>
        <w:t xml:space="preserve"> </w:t>
      </w:r>
      <w:r>
        <w:rPr>
          <w:sz w:val="20"/>
          <w:szCs w:val="20"/>
          <w:rtl/>
        </w:rPr>
        <w:t>–</w:t>
      </w:r>
      <w:r>
        <w:rPr>
          <w:rFonts w:hint="cs"/>
          <w:sz w:val="20"/>
          <w:szCs w:val="20"/>
          <w:rtl/>
        </w:rPr>
        <w:t xml:space="preserve"> קל וחומר אם שימשה לאחר לידה אחת ג' פעמים וראתה בכולם, שאסורה כדין רמ"ת.</w:t>
      </w:r>
      <w:r>
        <w:rPr>
          <w:sz w:val="20"/>
          <w:szCs w:val="20"/>
          <w:rtl/>
        </w:rPr>
        <w:br/>
      </w:r>
      <w:r>
        <w:rPr>
          <w:rFonts w:hint="cs"/>
          <w:sz w:val="20"/>
          <w:szCs w:val="20"/>
          <w:rtl/>
        </w:rPr>
        <w:t>ומכל מקום, בדיקת שפופרת שפיר מהני לה, וכן אם בא עליה באיסור ולא ראתה - מותרת.</w:t>
      </w:r>
      <w:r>
        <w:rPr>
          <w:sz w:val="20"/>
          <w:szCs w:val="20"/>
          <w:rtl/>
        </w:rPr>
        <w:br/>
      </w:r>
      <w:r>
        <w:rPr>
          <w:sz w:val="20"/>
          <w:szCs w:val="20"/>
          <w:rtl/>
        </w:rPr>
        <w:br/>
      </w:r>
      <w:r>
        <w:rPr>
          <w:rFonts w:hint="cs"/>
          <w:sz w:val="20"/>
          <w:szCs w:val="20"/>
          <w:u w:val="single"/>
          <w:rtl/>
        </w:rPr>
        <w:t>ראתה ג' פעמים רצופים לאחר ג' לידות רצופות</w:t>
      </w:r>
      <w:r>
        <w:rPr>
          <w:sz w:val="20"/>
          <w:szCs w:val="20"/>
          <w:rtl/>
        </w:rPr>
        <w:br/>
      </w:r>
      <w:r>
        <w:rPr>
          <w:rFonts w:hint="cs"/>
          <w:sz w:val="20"/>
          <w:szCs w:val="20"/>
          <w:rtl/>
        </w:rPr>
        <w:t xml:space="preserve">א. מדייק </w:t>
      </w:r>
      <w:r w:rsidRPr="00F60EFD">
        <w:rPr>
          <w:rFonts w:hint="cs"/>
          <w:b/>
          <w:bCs/>
          <w:sz w:val="20"/>
          <w:szCs w:val="20"/>
          <w:rtl/>
        </w:rPr>
        <w:t>הט"ז</w:t>
      </w:r>
      <w:r>
        <w:rPr>
          <w:rFonts w:hint="cs"/>
          <w:sz w:val="20"/>
          <w:szCs w:val="20"/>
          <w:rtl/>
        </w:rPr>
        <w:t xml:space="preserve">  </w:t>
      </w:r>
      <w:r w:rsidRPr="004755EB">
        <w:rPr>
          <w:rFonts w:hint="cs"/>
          <w:b/>
          <w:bCs/>
          <w:sz w:val="20"/>
          <w:szCs w:val="20"/>
          <w:rtl/>
        </w:rPr>
        <w:t>מהגהש"ד</w:t>
      </w:r>
      <w:r>
        <w:rPr>
          <w:rFonts w:hint="cs"/>
          <w:sz w:val="20"/>
          <w:szCs w:val="20"/>
          <w:rtl/>
        </w:rPr>
        <w:t xml:space="preserve"> </w:t>
      </w:r>
      <w:r>
        <w:rPr>
          <w:sz w:val="20"/>
          <w:szCs w:val="20"/>
          <w:rtl/>
        </w:rPr>
        <w:t>–</w:t>
      </w:r>
      <w:r>
        <w:rPr>
          <w:rFonts w:hint="cs"/>
          <w:sz w:val="20"/>
          <w:szCs w:val="20"/>
          <w:rtl/>
        </w:rPr>
        <w:t xml:space="preserve"> </w:t>
      </w:r>
      <w:r w:rsidRPr="00155BEF">
        <w:rPr>
          <w:rFonts w:hint="cs"/>
          <w:sz w:val="20"/>
          <w:szCs w:val="20"/>
          <w:rtl/>
        </w:rPr>
        <w:t xml:space="preserve">אם ראתה </w:t>
      </w:r>
      <w:r>
        <w:rPr>
          <w:rFonts w:hint="cs"/>
          <w:sz w:val="20"/>
          <w:szCs w:val="20"/>
          <w:rtl/>
        </w:rPr>
        <w:t xml:space="preserve">ג' פעמים </w:t>
      </w:r>
      <w:r w:rsidRPr="00155BEF">
        <w:rPr>
          <w:rFonts w:hint="cs"/>
          <w:sz w:val="20"/>
          <w:szCs w:val="20"/>
          <w:rtl/>
        </w:rPr>
        <w:t xml:space="preserve">רצופות </w:t>
      </w:r>
      <w:r>
        <w:rPr>
          <w:rFonts w:hint="cs"/>
          <w:sz w:val="20"/>
          <w:szCs w:val="20"/>
          <w:rtl/>
        </w:rPr>
        <w:t>ל</w:t>
      </w:r>
      <w:r w:rsidRPr="00155BEF">
        <w:rPr>
          <w:rFonts w:hint="cs"/>
          <w:sz w:val="20"/>
          <w:szCs w:val="20"/>
          <w:rtl/>
        </w:rPr>
        <w:t>אחר לידה</w:t>
      </w:r>
      <w:r>
        <w:rPr>
          <w:rFonts w:hint="cs"/>
          <w:sz w:val="20"/>
          <w:szCs w:val="20"/>
          <w:rtl/>
        </w:rPr>
        <w:t xml:space="preserve">, וכך אירע לה בג' לידות </w:t>
      </w:r>
      <w:r w:rsidRPr="00C37B8B">
        <w:rPr>
          <w:rFonts w:hint="cs"/>
          <w:sz w:val="18"/>
          <w:szCs w:val="18"/>
          <w:rtl/>
        </w:rPr>
        <w:t>(סה"כ ט' ראיות)</w:t>
      </w:r>
      <w:r>
        <w:rPr>
          <w:rFonts w:hint="cs"/>
          <w:sz w:val="18"/>
          <w:szCs w:val="18"/>
          <w:rtl/>
        </w:rPr>
        <w:t>,</w:t>
      </w:r>
      <w:r w:rsidRPr="00C37B8B">
        <w:rPr>
          <w:rFonts w:hint="cs"/>
          <w:sz w:val="18"/>
          <w:szCs w:val="18"/>
          <w:rtl/>
        </w:rPr>
        <w:t xml:space="preserve"> </w:t>
      </w:r>
      <w:r>
        <w:rPr>
          <w:rFonts w:hint="cs"/>
          <w:sz w:val="20"/>
          <w:szCs w:val="20"/>
          <w:rtl/>
        </w:rPr>
        <w:t xml:space="preserve">אפילו אם היו לה ביאות היתר בינתיים אסורה לו עולמית לאחר לידה ד' </w:t>
      </w:r>
      <w:r w:rsidRPr="004755EB">
        <w:rPr>
          <w:rFonts w:hint="cs"/>
          <w:sz w:val="20"/>
          <w:szCs w:val="20"/>
          <w:u w:val="single"/>
          <w:rtl/>
        </w:rPr>
        <w:t>ולא מהני לה בדיקת שפופרת, ובהכי חמור דינה מסתם רמ"ת</w:t>
      </w:r>
      <w:r w:rsidRPr="004755EB">
        <w:rPr>
          <w:rStyle w:val="a5"/>
          <w:sz w:val="20"/>
          <w:szCs w:val="20"/>
          <w:rtl/>
        </w:rPr>
        <w:footnoteReference w:id="129"/>
      </w:r>
      <w:r w:rsidRPr="004755EB">
        <w:rPr>
          <w:rFonts w:hint="cs"/>
          <w:sz w:val="20"/>
          <w:szCs w:val="20"/>
          <w:rtl/>
        </w:rPr>
        <w:t xml:space="preserve">. </w:t>
      </w:r>
      <w:r>
        <w:rPr>
          <w:rFonts w:hint="cs"/>
          <w:sz w:val="20"/>
          <w:szCs w:val="20"/>
          <w:rtl/>
        </w:rPr>
        <w:t>אמנם, אם שימש עמה באיסור לאחר לידה רביעית ולא ראתה - הותרה.</w:t>
      </w:r>
      <w:r>
        <w:rPr>
          <w:sz w:val="20"/>
          <w:szCs w:val="20"/>
          <w:rtl/>
        </w:rPr>
        <w:br/>
      </w:r>
      <w:r w:rsidRPr="00C37B8B">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קבעה לה ווסת לאחר כל לידה ולכן ברור שתראה בביאה זו, ואסורה לאחר לידה רביעית אפילו אם היו לה ביאות היתר בינתיים. </w:t>
      </w:r>
      <w:r>
        <w:rPr>
          <w:sz w:val="20"/>
          <w:szCs w:val="20"/>
          <w:rtl/>
        </w:rPr>
        <w:br/>
      </w:r>
      <w:r>
        <w:rPr>
          <w:rFonts w:hint="cs"/>
          <w:sz w:val="20"/>
          <w:szCs w:val="20"/>
          <w:rtl/>
        </w:rPr>
        <w:t xml:space="preserve">ב. </w:t>
      </w:r>
      <w:r w:rsidRPr="00155BEF">
        <w:rPr>
          <w:rFonts w:hint="cs"/>
          <w:b/>
          <w:bCs/>
          <w:sz w:val="20"/>
          <w:szCs w:val="20"/>
          <w:rtl/>
        </w:rPr>
        <w:t>ש"ך ובאר הגולה</w:t>
      </w:r>
      <w:r>
        <w:rPr>
          <w:rFonts w:hint="cs"/>
          <w:sz w:val="20"/>
          <w:szCs w:val="20"/>
          <w:rtl/>
        </w:rPr>
        <w:t xml:space="preserve"> </w:t>
      </w:r>
      <w:r>
        <w:rPr>
          <w:sz w:val="20"/>
          <w:szCs w:val="20"/>
          <w:rtl/>
        </w:rPr>
        <w:t>–</w:t>
      </w:r>
      <w:r>
        <w:rPr>
          <w:rFonts w:hint="cs"/>
          <w:sz w:val="20"/>
          <w:szCs w:val="20"/>
          <w:rtl/>
        </w:rPr>
        <w:t xml:space="preserve"> אין דין קביעת ווסת בכה"ג, אלא יש לומר שראיותיה באו לה מחמת מכה שבצדדים, ולכן אם היו לה ביאות היתר לאחר ג' פעמים שראתה מחמת תשמיש </w:t>
      </w:r>
      <w:r w:rsidRPr="00155BEF">
        <w:rPr>
          <w:rFonts w:hint="cs"/>
          <w:sz w:val="18"/>
          <w:szCs w:val="18"/>
          <w:rtl/>
        </w:rPr>
        <w:t xml:space="preserve">(אע"פ שאסורה לשמש כדין כל רמ"ת) </w:t>
      </w:r>
      <w:r>
        <w:rPr>
          <w:rFonts w:hint="cs"/>
          <w:sz w:val="20"/>
          <w:szCs w:val="20"/>
          <w:rtl/>
        </w:rPr>
        <w:t>לאחר לידה, מותרת לשמש אפילו לאחר לידה רביעית</w:t>
      </w:r>
      <w:r>
        <w:rPr>
          <w:rStyle w:val="a5"/>
          <w:sz w:val="20"/>
          <w:szCs w:val="20"/>
          <w:rtl/>
        </w:rPr>
        <w:footnoteReference w:id="130"/>
      </w:r>
      <w:r>
        <w:rPr>
          <w:rFonts w:hint="cs"/>
          <w:sz w:val="20"/>
          <w:szCs w:val="20"/>
          <w:rtl/>
        </w:rPr>
        <w:t xml:space="preserve">. ואפילו אם תראה ג"פ לאחר לידה ד', אכתי היא מותרת הואיל וביאות ההיתר שהיו לה קודם לכן מוכיחות שראיותיה הן מחמת מכת הלידה. </w:t>
      </w:r>
    </w:p>
    <w:p w:rsidR="00620060" w:rsidRDefault="00620060" w:rsidP="00620060">
      <w:pPr>
        <w:rPr>
          <w:sz w:val="20"/>
          <w:szCs w:val="20"/>
          <w:rtl/>
        </w:rPr>
      </w:pPr>
      <w:r>
        <w:rPr>
          <w:rFonts w:hint="cs"/>
          <w:sz w:val="20"/>
          <w:szCs w:val="20"/>
          <w:u w:val="single"/>
          <w:rtl/>
        </w:rPr>
        <w:t>ראתה מחמת תשמיש בימי טוהר</w:t>
      </w:r>
      <w:r>
        <w:rPr>
          <w:sz w:val="20"/>
          <w:szCs w:val="20"/>
          <w:u w:val="single"/>
          <w:rtl/>
        </w:rPr>
        <w:br/>
      </w:r>
      <w:r w:rsidRPr="00F531A2">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אין אשה נעשית רמ"ת בראיות שרואה בימי טוהר, ולכן הרמ"א כאן מיירי שראתה לאחר ימי טוהר.</w:t>
      </w:r>
      <w:r>
        <w:rPr>
          <w:sz w:val="20"/>
          <w:szCs w:val="20"/>
          <w:rtl/>
        </w:rPr>
        <w:br/>
      </w:r>
      <w:r w:rsidRPr="00F531A2">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נהי שהחמירו לטמא אפילו דם טוהר, מכל מקום לא החמירו בו להוציא אשה מבעלה.</w:t>
      </w:r>
      <w:r>
        <w:rPr>
          <w:sz w:val="20"/>
          <w:szCs w:val="20"/>
          <w:rtl/>
        </w:rPr>
        <w:br/>
      </w:r>
      <w:r w:rsidRPr="00F531A2">
        <w:rPr>
          <w:rFonts w:hint="cs"/>
          <w:b/>
          <w:bCs/>
          <w:sz w:val="20"/>
          <w:szCs w:val="20"/>
          <w:rtl/>
        </w:rPr>
        <w:t>ראיה</w:t>
      </w:r>
      <w:r>
        <w:rPr>
          <w:rFonts w:hint="cs"/>
          <w:sz w:val="20"/>
          <w:szCs w:val="20"/>
          <w:rtl/>
        </w:rPr>
        <w:t xml:space="preserve"> </w:t>
      </w:r>
      <w:r>
        <w:rPr>
          <w:sz w:val="20"/>
          <w:szCs w:val="20"/>
          <w:rtl/>
        </w:rPr>
        <w:t>–</w:t>
      </w:r>
      <w:r>
        <w:rPr>
          <w:rFonts w:hint="cs"/>
          <w:sz w:val="20"/>
          <w:szCs w:val="20"/>
          <w:rtl/>
        </w:rPr>
        <w:t xml:space="preserve"> בסימן קצ' כתבו הפוסקים שאם השאילה חלוקה ליושבת על דם טוהר תולה בה אפילו בזמן הזה, וטעמם הוא שאע"פ שהחמירו לטמא דם טוהר מכל מקום לא החמירו שלא תציל על חברתה.</w:t>
      </w:r>
      <w:r>
        <w:rPr>
          <w:sz w:val="20"/>
          <w:szCs w:val="20"/>
          <w:rtl/>
        </w:rPr>
        <w:br/>
      </w:r>
      <w:r>
        <w:rPr>
          <w:rFonts w:hint="cs"/>
          <w:sz w:val="20"/>
          <w:szCs w:val="20"/>
          <w:rtl/>
        </w:rPr>
        <w:t xml:space="preserve">ועוד </w:t>
      </w:r>
      <w:r>
        <w:rPr>
          <w:sz w:val="20"/>
          <w:szCs w:val="20"/>
          <w:rtl/>
        </w:rPr>
        <w:t>–</w:t>
      </w:r>
      <w:r>
        <w:rPr>
          <w:rFonts w:hint="cs"/>
          <w:sz w:val="20"/>
          <w:szCs w:val="20"/>
          <w:rtl/>
        </w:rPr>
        <w:t xml:space="preserve"> כאן יש טעם נוסף להתיר, שמא ראייתה באה לה מחמת חולשת הלידה.</w:t>
      </w:r>
    </w:p>
    <w:p w:rsidR="00620060" w:rsidRDefault="00620060" w:rsidP="00620060">
      <w:pPr>
        <w:rPr>
          <w:sz w:val="20"/>
          <w:szCs w:val="20"/>
          <w:rtl/>
        </w:rPr>
      </w:pPr>
      <w:r>
        <w:rPr>
          <w:rFonts w:hint="cs"/>
          <w:sz w:val="20"/>
          <w:szCs w:val="20"/>
          <w:u w:val="single"/>
          <w:rtl/>
        </w:rPr>
        <w:t xml:space="preserve">תשמיש במקום בדיקת שפופרת </w:t>
      </w:r>
      <w:r>
        <w:rPr>
          <w:sz w:val="20"/>
          <w:szCs w:val="20"/>
          <w:u w:val="single"/>
          <w:rtl/>
        </w:rPr>
        <w:t>–</w:t>
      </w:r>
      <w:r>
        <w:rPr>
          <w:rFonts w:hint="cs"/>
          <w:sz w:val="20"/>
          <w:szCs w:val="20"/>
          <w:u w:val="single"/>
          <w:rtl/>
        </w:rPr>
        <w:t xml:space="preserve"> האם צריך שלושה תשמישים?</w:t>
      </w:r>
      <w:r>
        <w:rPr>
          <w:sz w:val="20"/>
          <w:szCs w:val="20"/>
          <w:u w:val="single"/>
          <w:rtl/>
        </w:rPr>
        <w:br/>
      </w:r>
      <w:r>
        <w:rPr>
          <w:rFonts w:hint="cs"/>
          <w:sz w:val="20"/>
          <w:szCs w:val="20"/>
          <w:rtl/>
        </w:rPr>
        <w:t xml:space="preserve">א. </w:t>
      </w:r>
      <w:r w:rsidRPr="00531D9C">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דין תשמיש כדין בדיקת שפופרת, סגי בפעם אחת להתירה לבעלה.</w:t>
      </w:r>
      <w:r>
        <w:rPr>
          <w:sz w:val="20"/>
          <w:szCs w:val="20"/>
          <w:rtl/>
        </w:rPr>
        <w:br/>
      </w:r>
      <w:r>
        <w:rPr>
          <w:rFonts w:hint="cs"/>
          <w:sz w:val="20"/>
          <w:szCs w:val="20"/>
          <w:rtl/>
        </w:rPr>
        <w:t xml:space="preserve">ב. </w:t>
      </w:r>
      <w:r w:rsidRPr="00531D9C">
        <w:rPr>
          <w:rFonts w:hint="cs"/>
          <w:b/>
          <w:bCs/>
          <w:sz w:val="20"/>
          <w:szCs w:val="20"/>
          <w:rtl/>
        </w:rPr>
        <w:t>אפי רברבי</w:t>
      </w:r>
      <w:r>
        <w:rPr>
          <w:rFonts w:hint="cs"/>
          <w:sz w:val="20"/>
          <w:szCs w:val="20"/>
          <w:rtl/>
        </w:rPr>
        <w:t xml:space="preserve"> </w:t>
      </w:r>
      <w:r>
        <w:rPr>
          <w:sz w:val="20"/>
          <w:szCs w:val="20"/>
          <w:rtl/>
        </w:rPr>
        <w:t>–</w:t>
      </w:r>
      <w:r>
        <w:rPr>
          <w:rFonts w:hint="cs"/>
          <w:sz w:val="20"/>
          <w:szCs w:val="20"/>
          <w:rtl/>
        </w:rPr>
        <w:t xml:space="preserve"> בתשמיש בעי ג' פעמים להתירה לבעלה.</w:t>
      </w:r>
      <w:r>
        <w:rPr>
          <w:sz w:val="20"/>
          <w:szCs w:val="20"/>
          <w:rtl/>
        </w:rPr>
        <w:br/>
      </w:r>
      <w:r w:rsidRPr="00531D9C">
        <w:rPr>
          <w:rFonts w:hint="cs"/>
          <w:b/>
          <w:bCs/>
          <w:sz w:val="20"/>
          <w:szCs w:val="20"/>
          <w:rtl/>
        </w:rPr>
        <w:t xml:space="preserve">טעם </w:t>
      </w:r>
      <w:r w:rsidRPr="00531D9C">
        <w:rPr>
          <w:rFonts w:hint="cs"/>
          <w:sz w:val="18"/>
          <w:szCs w:val="18"/>
          <w:rtl/>
        </w:rPr>
        <w:t>(</w:t>
      </w:r>
      <w:r w:rsidRPr="00531D9C">
        <w:rPr>
          <w:rFonts w:hint="cs"/>
          <w:b/>
          <w:bCs/>
          <w:sz w:val="18"/>
          <w:szCs w:val="18"/>
          <w:rtl/>
        </w:rPr>
        <w:t>דגמ"ר</w:t>
      </w:r>
      <w:r w:rsidRPr="00531D9C">
        <w:rPr>
          <w:rFonts w:hint="cs"/>
          <w:sz w:val="18"/>
          <w:szCs w:val="18"/>
          <w:rtl/>
        </w:rPr>
        <w:t xml:space="preserve">) </w:t>
      </w:r>
      <w:r>
        <w:rPr>
          <w:sz w:val="20"/>
          <w:szCs w:val="20"/>
          <w:rtl/>
        </w:rPr>
        <w:t>–</w:t>
      </w:r>
      <w:r>
        <w:rPr>
          <w:rFonts w:hint="cs"/>
          <w:sz w:val="20"/>
          <w:szCs w:val="20"/>
          <w:rtl/>
        </w:rPr>
        <w:t xml:space="preserve"> גם בשפופרת מהני רק אם מצאה דם בצדדים, אך אם לא מצאה כלל צריכה לבדוק ג' פעמים.</w:t>
      </w:r>
      <w:r>
        <w:rPr>
          <w:sz w:val="20"/>
          <w:szCs w:val="20"/>
          <w:rtl/>
        </w:rPr>
        <w:br/>
      </w:r>
      <w:r>
        <w:rPr>
          <w:rFonts w:hint="cs"/>
          <w:sz w:val="20"/>
          <w:szCs w:val="20"/>
          <w:rtl/>
        </w:rPr>
        <w:t>או טעמו שתשמיש גרע משפופרת, שמא יצא דם וחיפתו שכבת זרע.</w:t>
      </w:r>
    </w:p>
    <w:p w:rsidR="00620060" w:rsidRDefault="00620060" w:rsidP="00620060">
      <w:pPr>
        <w:rPr>
          <w:sz w:val="20"/>
          <w:szCs w:val="20"/>
          <w:rtl/>
        </w:rPr>
      </w:pPr>
      <w:r w:rsidRPr="000F215A">
        <w:rPr>
          <w:b/>
          <w:bCs/>
          <w:sz w:val="20"/>
          <w:szCs w:val="20"/>
          <w:rtl/>
        </w:rPr>
        <w:t>סיכום</w:t>
      </w:r>
      <w:r>
        <w:rPr>
          <w:sz w:val="20"/>
          <w:szCs w:val="20"/>
          <w:rtl/>
        </w:rPr>
        <w:br/>
      </w:r>
      <w:r>
        <w:rPr>
          <w:rFonts w:hint="cs"/>
          <w:sz w:val="20"/>
          <w:szCs w:val="20"/>
          <w:rtl/>
        </w:rPr>
        <w:t xml:space="preserve">1. </w:t>
      </w:r>
      <w:r w:rsidRPr="000F215A">
        <w:rPr>
          <w:rFonts w:hint="cs"/>
          <w:b/>
          <w:bCs/>
          <w:sz w:val="20"/>
          <w:szCs w:val="20"/>
          <w:rtl/>
        </w:rPr>
        <w:t>שו"ע</w:t>
      </w:r>
      <w:r>
        <w:rPr>
          <w:rFonts w:hint="cs"/>
          <w:sz w:val="20"/>
          <w:szCs w:val="20"/>
          <w:rtl/>
        </w:rPr>
        <w:t>. ראתה פעם אחת בליל טבילה, חוששת לל"ט הבא ואינה משמשת בו.</w:t>
      </w:r>
      <w:r>
        <w:rPr>
          <w:sz w:val="20"/>
          <w:szCs w:val="20"/>
          <w:rtl/>
        </w:rPr>
        <w:br/>
      </w:r>
      <w:r>
        <w:rPr>
          <w:rFonts w:hint="cs"/>
          <w:sz w:val="20"/>
          <w:szCs w:val="20"/>
          <w:rtl/>
        </w:rPr>
        <w:t xml:space="preserve">2. </w:t>
      </w:r>
      <w:r w:rsidRPr="000F215A">
        <w:rPr>
          <w:rFonts w:hint="cs"/>
          <w:b/>
          <w:bCs/>
          <w:sz w:val="20"/>
          <w:szCs w:val="20"/>
          <w:rtl/>
        </w:rPr>
        <w:t>חוו"ד</w:t>
      </w:r>
      <w:r>
        <w:rPr>
          <w:rFonts w:hint="cs"/>
          <w:sz w:val="20"/>
          <w:szCs w:val="20"/>
          <w:rtl/>
        </w:rPr>
        <w:t xml:space="preserve">. אם הרחיקה ראייתה מטבילתה, אינה חוששת ללילה זה </w:t>
      </w:r>
      <w:r w:rsidRPr="00681FD7">
        <w:rPr>
          <w:rFonts w:hint="cs"/>
          <w:sz w:val="18"/>
          <w:szCs w:val="18"/>
          <w:rtl/>
        </w:rPr>
        <w:t>(</w:t>
      </w:r>
      <w:r>
        <w:rPr>
          <w:rFonts w:hint="cs"/>
          <w:sz w:val="18"/>
          <w:szCs w:val="18"/>
          <w:rtl/>
        </w:rPr>
        <w:t xml:space="preserve">אך </w:t>
      </w:r>
      <w:r w:rsidRPr="00681FD7">
        <w:rPr>
          <w:rFonts w:hint="cs"/>
          <w:sz w:val="18"/>
          <w:szCs w:val="18"/>
          <w:rtl/>
        </w:rPr>
        <w:t>יש מחמירים גם בליל ב' לטבילה).</w:t>
      </w:r>
      <w:r>
        <w:rPr>
          <w:sz w:val="20"/>
          <w:szCs w:val="20"/>
          <w:rtl/>
        </w:rPr>
        <w:br/>
      </w:r>
      <w:r>
        <w:rPr>
          <w:rFonts w:hint="cs"/>
          <w:sz w:val="20"/>
          <w:szCs w:val="20"/>
          <w:rtl/>
        </w:rPr>
        <w:t xml:space="preserve">3. </w:t>
      </w:r>
      <w:r w:rsidRPr="007364CC">
        <w:rPr>
          <w:rFonts w:hint="cs"/>
          <w:sz w:val="20"/>
          <w:szCs w:val="20"/>
          <w:rtl/>
        </w:rPr>
        <w:t xml:space="preserve">כיצד נעקר הווסת. </w:t>
      </w:r>
      <w:r w:rsidRPr="007364CC">
        <w:rPr>
          <w:rFonts w:hint="cs"/>
          <w:b/>
          <w:bCs/>
          <w:sz w:val="20"/>
          <w:szCs w:val="20"/>
          <w:rtl/>
        </w:rPr>
        <w:t>חוו"ד</w:t>
      </w:r>
      <w:r w:rsidRPr="007364CC">
        <w:rPr>
          <w:rFonts w:hint="cs"/>
          <w:sz w:val="20"/>
          <w:szCs w:val="20"/>
          <w:rtl/>
        </w:rPr>
        <w:t xml:space="preserve">. רק אם תשמש באיסור בל"ט. </w:t>
      </w:r>
      <w:r w:rsidRPr="007364CC">
        <w:rPr>
          <w:rFonts w:hint="cs"/>
          <w:b/>
          <w:bCs/>
          <w:sz w:val="20"/>
          <w:szCs w:val="20"/>
          <w:rtl/>
        </w:rPr>
        <w:t>סד"ט</w:t>
      </w:r>
      <w:r w:rsidRPr="007364CC">
        <w:rPr>
          <w:rFonts w:hint="cs"/>
          <w:sz w:val="20"/>
          <w:szCs w:val="20"/>
          <w:rtl/>
        </w:rPr>
        <w:t>. אפילו לא שימשה, נעקר כשלא ראתה.</w:t>
      </w:r>
      <w:r w:rsidRPr="007364CC">
        <w:rPr>
          <w:sz w:val="20"/>
          <w:szCs w:val="20"/>
          <w:rtl/>
        </w:rPr>
        <w:br/>
      </w:r>
      <w:r w:rsidRPr="007364CC">
        <w:rPr>
          <w:rFonts w:hint="cs"/>
          <w:sz w:val="20"/>
          <w:szCs w:val="20"/>
          <w:rtl/>
        </w:rPr>
        <w:t xml:space="preserve">4. </w:t>
      </w:r>
      <w:r w:rsidRPr="007364CC">
        <w:rPr>
          <w:rFonts w:hint="cs"/>
          <w:b/>
          <w:bCs/>
          <w:sz w:val="20"/>
          <w:szCs w:val="20"/>
          <w:rtl/>
        </w:rPr>
        <w:t>רמ"א</w:t>
      </w:r>
      <w:r w:rsidRPr="007364CC">
        <w:rPr>
          <w:rFonts w:hint="cs"/>
          <w:sz w:val="20"/>
          <w:szCs w:val="20"/>
          <w:rtl/>
        </w:rPr>
        <w:t xml:space="preserve">. ראתה ג' פעמים בתשמיש שלאחר טבילה </w:t>
      </w:r>
      <w:r w:rsidRPr="007364CC">
        <w:rPr>
          <w:rFonts w:hint="cs"/>
          <w:sz w:val="18"/>
          <w:szCs w:val="18"/>
          <w:rtl/>
        </w:rPr>
        <w:t xml:space="preserve">(אפילו הוא מופלג מהטבילה) </w:t>
      </w:r>
      <w:r w:rsidRPr="007364CC">
        <w:rPr>
          <w:sz w:val="20"/>
          <w:szCs w:val="20"/>
          <w:rtl/>
        </w:rPr>
        <w:t>–</w:t>
      </w:r>
      <w:r w:rsidRPr="007364CC">
        <w:rPr>
          <w:rFonts w:hint="cs"/>
          <w:sz w:val="20"/>
          <w:szCs w:val="20"/>
          <w:rtl/>
        </w:rPr>
        <w:t xml:space="preserve"> אסורה לו. </w:t>
      </w:r>
      <w:r w:rsidRPr="007364CC">
        <w:rPr>
          <w:rFonts w:hint="cs"/>
          <w:b/>
          <w:bCs/>
          <w:sz w:val="20"/>
          <w:szCs w:val="20"/>
          <w:rtl/>
        </w:rPr>
        <w:t>טעם</w:t>
      </w:r>
      <w:r w:rsidRPr="007364CC">
        <w:rPr>
          <w:rFonts w:hint="cs"/>
          <w:sz w:val="20"/>
          <w:szCs w:val="20"/>
          <w:rtl/>
        </w:rPr>
        <w:t xml:space="preserve">. אינה יכולה לטבול ולשמש. </w:t>
      </w:r>
      <w:r w:rsidRPr="007364CC">
        <w:rPr>
          <w:sz w:val="20"/>
          <w:szCs w:val="20"/>
          <w:rtl/>
        </w:rPr>
        <w:br/>
      </w:r>
      <w:r w:rsidRPr="007364CC">
        <w:rPr>
          <w:rFonts w:hint="cs"/>
          <w:sz w:val="20"/>
          <w:szCs w:val="20"/>
          <w:rtl/>
        </w:rPr>
        <w:t xml:space="preserve">5. בין טבילה לטבילה היו תשמישים שלא ראתה, האם אסורה לו? </w:t>
      </w:r>
      <w:r w:rsidRPr="007364CC">
        <w:rPr>
          <w:rFonts w:hint="cs"/>
          <w:b/>
          <w:bCs/>
          <w:sz w:val="20"/>
          <w:szCs w:val="20"/>
          <w:rtl/>
        </w:rPr>
        <w:t>ט"ז וש"ך</w:t>
      </w:r>
      <w:r w:rsidRPr="007364CC">
        <w:rPr>
          <w:rFonts w:hint="cs"/>
          <w:sz w:val="20"/>
          <w:szCs w:val="20"/>
          <w:rtl/>
        </w:rPr>
        <w:t xml:space="preserve">. אסורה. </w:t>
      </w:r>
      <w:r w:rsidRPr="007364CC">
        <w:rPr>
          <w:rFonts w:hint="cs"/>
          <w:b/>
          <w:bCs/>
          <w:sz w:val="20"/>
          <w:szCs w:val="20"/>
          <w:rtl/>
        </w:rPr>
        <w:t>חוו"ד וסד"ט</w:t>
      </w:r>
      <w:r w:rsidRPr="007364CC">
        <w:rPr>
          <w:rFonts w:hint="cs"/>
          <w:sz w:val="20"/>
          <w:szCs w:val="20"/>
          <w:rtl/>
        </w:rPr>
        <w:t>. מותרת.</w:t>
      </w:r>
      <w:r w:rsidRPr="007364CC">
        <w:rPr>
          <w:sz w:val="20"/>
          <w:szCs w:val="20"/>
          <w:rtl/>
        </w:rPr>
        <w:br/>
      </w:r>
      <w:r w:rsidRPr="007364CC">
        <w:rPr>
          <w:rFonts w:hint="cs"/>
          <w:sz w:val="20"/>
          <w:szCs w:val="20"/>
          <w:rtl/>
        </w:rPr>
        <w:lastRenderedPageBreak/>
        <w:t>6. קולות דחויות. א. קבעה ווסת לל"ט תשמש בליל ב'. ב. ראתה ג"פ ביום קבוע לחודש תשמש ביום אחר.</w:t>
      </w:r>
      <w:r w:rsidRPr="007364CC">
        <w:rPr>
          <w:sz w:val="20"/>
          <w:szCs w:val="20"/>
          <w:rtl/>
        </w:rPr>
        <w:br/>
      </w:r>
      <w:r w:rsidRPr="007364CC">
        <w:rPr>
          <w:rFonts w:hint="cs"/>
          <w:sz w:val="20"/>
          <w:szCs w:val="20"/>
          <w:rtl/>
        </w:rPr>
        <w:t>7. יולדת רמ"ת</w:t>
      </w:r>
      <w:r>
        <w:rPr>
          <w:rFonts w:hint="cs"/>
          <w:sz w:val="20"/>
          <w:szCs w:val="20"/>
          <w:rtl/>
        </w:rPr>
        <w:t xml:space="preserve">. </w:t>
      </w:r>
      <w:r w:rsidRPr="000F215A">
        <w:rPr>
          <w:rFonts w:hint="cs"/>
          <w:b/>
          <w:bCs/>
          <w:sz w:val="20"/>
          <w:szCs w:val="20"/>
          <w:rtl/>
        </w:rPr>
        <w:t>הגהש"ד</w:t>
      </w:r>
      <w:r>
        <w:rPr>
          <w:rFonts w:hint="cs"/>
          <w:sz w:val="20"/>
          <w:szCs w:val="20"/>
          <w:rtl/>
        </w:rPr>
        <w:t xml:space="preserve">. רמ"ת בתשמיש הראשון לאחר לידה ג"פ ואח"כ שימשה ולא ראתה </w:t>
      </w:r>
      <w:r>
        <w:rPr>
          <w:sz w:val="20"/>
          <w:szCs w:val="20"/>
          <w:rtl/>
        </w:rPr>
        <w:t>–</w:t>
      </w:r>
      <w:r>
        <w:rPr>
          <w:rFonts w:hint="cs"/>
          <w:sz w:val="20"/>
          <w:szCs w:val="20"/>
          <w:rtl/>
        </w:rPr>
        <w:t xml:space="preserve"> אינה רמ"ת. </w:t>
      </w:r>
      <w:r w:rsidRPr="000F215A">
        <w:rPr>
          <w:rFonts w:hint="cs"/>
          <w:b/>
          <w:bCs/>
          <w:sz w:val="20"/>
          <w:szCs w:val="20"/>
          <w:rtl/>
        </w:rPr>
        <w:t>טעם</w:t>
      </w:r>
      <w:r>
        <w:rPr>
          <w:rFonts w:hint="cs"/>
          <w:sz w:val="20"/>
          <w:szCs w:val="20"/>
          <w:rtl/>
        </w:rPr>
        <w:t xml:space="preserve">. רמ"ת מחמת מכה. </w:t>
      </w:r>
      <w:r w:rsidRPr="000F215A">
        <w:rPr>
          <w:rFonts w:hint="cs"/>
          <w:b/>
          <w:bCs/>
          <w:sz w:val="20"/>
          <w:szCs w:val="20"/>
          <w:rtl/>
        </w:rPr>
        <w:t>ט"ז</w:t>
      </w:r>
      <w:r>
        <w:rPr>
          <w:rFonts w:hint="cs"/>
          <w:sz w:val="20"/>
          <w:szCs w:val="20"/>
          <w:rtl/>
        </w:rPr>
        <w:t xml:space="preserve">. אם לא היו ביאות היתר </w:t>
      </w:r>
      <w:r>
        <w:rPr>
          <w:sz w:val="20"/>
          <w:szCs w:val="20"/>
          <w:rtl/>
        </w:rPr>
        <w:t>–</w:t>
      </w:r>
      <w:r>
        <w:rPr>
          <w:rFonts w:hint="cs"/>
          <w:sz w:val="20"/>
          <w:szCs w:val="20"/>
          <w:rtl/>
        </w:rPr>
        <w:t xml:space="preserve"> אסורה. </w:t>
      </w:r>
      <w:r w:rsidRPr="000F215A">
        <w:rPr>
          <w:rFonts w:hint="cs"/>
          <w:b/>
          <w:bCs/>
          <w:sz w:val="20"/>
          <w:szCs w:val="20"/>
          <w:rtl/>
        </w:rPr>
        <w:t>ט"ז</w:t>
      </w:r>
      <w:r>
        <w:rPr>
          <w:rFonts w:hint="cs"/>
          <w:sz w:val="20"/>
          <w:szCs w:val="20"/>
          <w:rtl/>
        </w:rPr>
        <w:t xml:space="preserve">. ק"ו אם שימשה ג"פ לאחר לידה אחת וראתה בכולן </w:t>
      </w:r>
      <w:r>
        <w:rPr>
          <w:sz w:val="20"/>
          <w:szCs w:val="20"/>
          <w:rtl/>
        </w:rPr>
        <w:t>–</w:t>
      </w:r>
      <w:r>
        <w:rPr>
          <w:rFonts w:hint="cs"/>
          <w:sz w:val="20"/>
          <w:szCs w:val="20"/>
          <w:rtl/>
        </w:rPr>
        <w:t xml:space="preserve"> רמ"ת ואסורה.</w:t>
      </w:r>
      <w:r>
        <w:rPr>
          <w:sz w:val="20"/>
          <w:szCs w:val="20"/>
          <w:rtl/>
        </w:rPr>
        <w:br/>
      </w:r>
      <w:r>
        <w:rPr>
          <w:rFonts w:hint="cs"/>
          <w:sz w:val="20"/>
          <w:szCs w:val="20"/>
          <w:rtl/>
        </w:rPr>
        <w:t xml:space="preserve">8. </w:t>
      </w:r>
      <w:r w:rsidRPr="000F215A">
        <w:rPr>
          <w:rFonts w:hint="cs"/>
          <w:b/>
          <w:bCs/>
          <w:sz w:val="20"/>
          <w:szCs w:val="20"/>
          <w:rtl/>
        </w:rPr>
        <w:t>ט"ז</w:t>
      </w:r>
      <w:r>
        <w:rPr>
          <w:rFonts w:hint="cs"/>
          <w:sz w:val="20"/>
          <w:szCs w:val="20"/>
          <w:rtl/>
        </w:rPr>
        <w:t xml:space="preserve">. ראתה ג"פ רצוף לאחר לידה, וכך אירע לה לאחר ג' לידות </w:t>
      </w:r>
      <w:r w:rsidRPr="00961D3C">
        <w:rPr>
          <w:rFonts w:hint="cs"/>
          <w:sz w:val="18"/>
          <w:szCs w:val="18"/>
          <w:rtl/>
        </w:rPr>
        <w:t>(סה"כ ט' ראיות)</w:t>
      </w:r>
      <w:r>
        <w:rPr>
          <w:rFonts w:hint="cs"/>
          <w:sz w:val="20"/>
          <w:szCs w:val="20"/>
          <w:rtl/>
        </w:rPr>
        <w:t xml:space="preserve">, אסורה עולמית לאחר לידה רביעית ולא מהני שפופרת. שימש באיסור ולא ראתה </w:t>
      </w:r>
      <w:r>
        <w:rPr>
          <w:sz w:val="20"/>
          <w:szCs w:val="20"/>
          <w:rtl/>
        </w:rPr>
        <w:t>–</w:t>
      </w:r>
      <w:r>
        <w:rPr>
          <w:rFonts w:hint="cs"/>
          <w:sz w:val="20"/>
          <w:szCs w:val="20"/>
          <w:rtl/>
        </w:rPr>
        <w:t xml:space="preserve"> מותרת. </w:t>
      </w:r>
      <w:r w:rsidRPr="000F215A">
        <w:rPr>
          <w:rFonts w:hint="cs"/>
          <w:b/>
          <w:bCs/>
          <w:sz w:val="20"/>
          <w:szCs w:val="20"/>
          <w:rtl/>
        </w:rPr>
        <w:t>ש"ך</w:t>
      </w:r>
      <w:r>
        <w:rPr>
          <w:rFonts w:hint="cs"/>
          <w:sz w:val="20"/>
          <w:szCs w:val="20"/>
          <w:rtl/>
        </w:rPr>
        <w:t xml:space="preserve">. אין דין קביעת ווסת בכך ומותרת לו גם לאחר לידה ד', ובלבד שהיו ביאות היתר לאחר שראתה ג"פ </w:t>
      </w:r>
      <w:r w:rsidRPr="00961D3C">
        <w:rPr>
          <w:rFonts w:hint="cs"/>
          <w:sz w:val="18"/>
          <w:szCs w:val="18"/>
          <w:rtl/>
        </w:rPr>
        <w:t>(אע"פ שאסורה לשמש ושימשה באיסור)</w:t>
      </w:r>
      <w:r>
        <w:rPr>
          <w:rFonts w:hint="cs"/>
          <w:sz w:val="20"/>
          <w:szCs w:val="20"/>
          <w:rtl/>
        </w:rPr>
        <w:t>. ואפילו אם ראתה ג"פ לאחר לידה ד' מותרת.</w:t>
      </w:r>
      <w:r>
        <w:rPr>
          <w:sz w:val="20"/>
          <w:szCs w:val="20"/>
          <w:rtl/>
        </w:rPr>
        <w:br/>
      </w:r>
      <w:r>
        <w:rPr>
          <w:rFonts w:hint="cs"/>
          <w:sz w:val="20"/>
          <w:szCs w:val="20"/>
          <w:rtl/>
        </w:rPr>
        <w:t xml:space="preserve">9. </w:t>
      </w:r>
      <w:r w:rsidRPr="000F215A">
        <w:rPr>
          <w:rFonts w:hint="cs"/>
          <w:b/>
          <w:bCs/>
          <w:sz w:val="20"/>
          <w:szCs w:val="20"/>
          <w:rtl/>
        </w:rPr>
        <w:t>ש"ך</w:t>
      </w:r>
      <w:r>
        <w:rPr>
          <w:rFonts w:hint="cs"/>
          <w:sz w:val="20"/>
          <w:szCs w:val="20"/>
          <w:rtl/>
        </w:rPr>
        <w:t xml:space="preserve">. אין דין רמ"ת כשרואה בימי טוהר. </w:t>
      </w:r>
      <w:r w:rsidRPr="000F215A">
        <w:rPr>
          <w:rFonts w:hint="cs"/>
          <w:b/>
          <w:bCs/>
          <w:sz w:val="20"/>
          <w:szCs w:val="20"/>
          <w:rtl/>
        </w:rPr>
        <w:t>טעם</w:t>
      </w:r>
      <w:r>
        <w:rPr>
          <w:rFonts w:hint="cs"/>
          <w:sz w:val="20"/>
          <w:szCs w:val="20"/>
          <w:rtl/>
        </w:rPr>
        <w:t>. החמירו בדם זה דווקא לטמא, אך לא להוציא אשה מבעלה.</w:t>
      </w:r>
      <w:r>
        <w:rPr>
          <w:sz w:val="20"/>
          <w:szCs w:val="20"/>
          <w:rtl/>
        </w:rPr>
        <w:br/>
      </w:r>
      <w:r>
        <w:rPr>
          <w:rFonts w:hint="cs"/>
          <w:sz w:val="20"/>
          <w:szCs w:val="20"/>
          <w:rtl/>
        </w:rPr>
        <w:t xml:space="preserve">10. </w:t>
      </w:r>
      <w:r w:rsidRPr="000F215A">
        <w:rPr>
          <w:rFonts w:hint="cs"/>
          <w:b/>
          <w:bCs/>
          <w:sz w:val="20"/>
          <w:szCs w:val="20"/>
          <w:rtl/>
        </w:rPr>
        <w:t>רמ"א</w:t>
      </w:r>
      <w:r>
        <w:rPr>
          <w:rFonts w:hint="cs"/>
          <w:sz w:val="20"/>
          <w:szCs w:val="20"/>
          <w:rtl/>
        </w:rPr>
        <w:t xml:space="preserve">. במקום שדרושה בדיקת שפופרת סגי בתשמיש במקום בדיקה. </w:t>
      </w:r>
      <w:r w:rsidRPr="004C31EE">
        <w:rPr>
          <w:rFonts w:hint="cs"/>
          <w:b/>
          <w:bCs/>
          <w:sz w:val="20"/>
          <w:szCs w:val="20"/>
          <w:rtl/>
        </w:rPr>
        <w:t>ש"ך</w:t>
      </w:r>
      <w:r>
        <w:rPr>
          <w:rFonts w:hint="cs"/>
          <w:sz w:val="20"/>
          <w:szCs w:val="20"/>
          <w:rtl/>
        </w:rPr>
        <w:t xml:space="preserve">. סגי בתשמיש אחד, כדין שפופרת. </w:t>
      </w:r>
      <w:r w:rsidRPr="004C31EE">
        <w:rPr>
          <w:rFonts w:hint="cs"/>
          <w:b/>
          <w:bCs/>
          <w:sz w:val="20"/>
          <w:szCs w:val="20"/>
          <w:rtl/>
        </w:rPr>
        <w:t>אפי רברבי</w:t>
      </w:r>
      <w:r>
        <w:rPr>
          <w:rFonts w:hint="cs"/>
          <w:sz w:val="20"/>
          <w:szCs w:val="20"/>
          <w:rtl/>
        </w:rPr>
        <w:t xml:space="preserve">. רק ג' תשמישים מהני. </w:t>
      </w:r>
      <w:r>
        <w:rPr>
          <w:sz w:val="20"/>
          <w:szCs w:val="20"/>
          <w:rtl/>
        </w:rPr>
        <w:br/>
      </w:r>
    </w:p>
    <w:p w:rsidR="00620060" w:rsidRDefault="00620060" w:rsidP="00620060">
      <w:pPr>
        <w:rPr>
          <w:sz w:val="20"/>
          <w:szCs w:val="20"/>
          <w:rtl/>
        </w:rPr>
      </w:pPr>
      <w:r w:rsidRPr="00354CCF">
        <w:rPr>
          <w:rFonts w:hint="cs"/>
          <w:b/>
          <w:bCs/>
          <w:sz w:val="20"/>
          <w:szCs w:val="20"/>
          <w:rtl/>
        </w:rPr>
        <w:t xml:space="preserve">סעיף יא </w:t>
      </w:r>
      <w:r w:rsidRPr="00354CCF">
        <w:rPr>
          <w:b/>
          <w:bCs/>
          <w:sz w:val="20"/>
          <w:szCs w:val="20"/>
          <w:rtl/>
        </w:rPr>
        <w:t>–</w:t>
      </w:r>
      <w:r w:rsidRPr="00354CCF">
        <w:rPr>
          <w:rFonts w:hint="cs"/>
          <w:b/>
          <w:bCs/>
          <w:sz w:val="20"/>
          <w:szCs w:val="20"/>
          <w:rtl/>
        </w:rPr>
        <w:t xml:space="preserve"> קביעת ווסת לרואה מחמת תשמיש</w:t>
      </w:r>
      <w:r>
        <w:rPr>
          <w:sz w:val="20"/>
          <w:szCs w:val="20"/>
          <w:rtl/>
        </w:rPr>
        <w:br/>
      </w:r>
      <w:r w:rsidRPr="00A90E5E">
        <w:rPr>
          <w:rFonts w:hint="cs"/>
          <w:b/>
          <w:bCs/>
          <w:sz w:val="20"/>
          <w:szCs w:val="20"/>
          <w:rtl/>
        </w:rPr>
        <w:t>ראתה פעמיים מחמת תשמיש בהפלגת חצי שנה</w:t>
      </w:r>
      <w:r w:rsidRPr="00A90E5E">
        <w:rPr>
          <w:b/>
          <w:bCs/>
          <w:sz w:val="20"/>
          <w:szCs w:val="20"/>
          <w:rtl/>
        </w:rPr>
        <w:br/>
      </w:r>
      <w:r w:rsidRPr="00354CCF">
        <w:rPr>
          <w:rFonts w:hint="cs"/>
          <w:b/>
          <w:bCs/>
          <w:sz w:val="20"/>
          <w:szCs w:val="20"/>
          <w:rtl/>
        </w:rPr>
        <w:t>פסיקת הלכה</w:t>
      </w:r>
      <w:r w:rsidRPr="00354CCF">
        <w:rPr>
          <w:b/>
          <w:bCs/>
          <w:sz w:val="20"/>
          <w:szCs w:val="20"/>
          <w:rtl/>
        </w:rPr>
        <w:br/>
      </w:r>
      <w:r w:rsidRPr="00354CCF">
        <w:rPr>
          <w:rFonts w:hint="cs"/>
          <w:b/>
          <w:bCs/>
          <w:sz w:val="20"/>
          <w:szCs w:val="20"/>
          <w:rtl/>
        </w:rPr>
        <w:t>שולחן ערוך</w:t>
      </w:r>
      <w:r>
        <w:rPr>
          <w:rFonts w:hint="cs"/>
          <w:sz w:val="20"/>
          <w:szCs w:val="20"/>
          <w:rtl/>
        </w:rPr>
        <w:t xml:space="preserve"> </w:t>
      </w:r>
      <w:r w:rsidRPr="00354CCF">
        <w:rPr>
          <w:rFonts w:hint="cs"/>
          <w:sz w:val="18"/>
          <w:szCs w:val="18"/>
          <w:rtl/>
        </w:rPr>
        <w:t xml:space="preserve">(ע"פ </w:t>
      </w:r>
      <w:r w:rsidRPr="00354CCF">
        <w:rPr>
          <w:rFonts w:hint="cs"/>
          <w:b/>
          <w:bCs/>
          <w:sz w:val="18"/>
          <w:szCs w:val="18"/>
          <w:rtl/>
        </w:rPr>
        <w:t>שו"ת הרשב"א</w:t>
      </w:r>
      <w:r w:rsidRPr="00354CCF">
        <w:rPr>
          <w:rFonts w:hint="cs"/>
          <w:sz w:val="18"/>
          <w:szCs w:val="18"/>
          <w:rtl/>
        </w:rPr>
        <w:t xml:space="preserve">) </w:t>
      </w:r>
      <w:r>
        <w:rPr>
          <w:sz w:val="20"/>
          <w:szCs w:val="20"/>
          <w:rtl/>
        </w:rPr>
        <w:t>–</w:t>
      </w:r>
      <w:r>
        <w:rPr>
          <w:rFonts w:hint="cs"/>
          <w:sz w:val="20"/>
          <w:szCs w:val="20"/>
          <w:rtl/>
        </w:rPr>
        <w:t xml:space="preserve"> "</w:t>
      </w:r>
      <w:r w:rsidRPr="006B5BAD">
        <w:rPr>
          <w:rFonts w:cs="Arial"/>
          <w:sz w:val="20"/>
          <w:szCs w:val="20"/>
          <w:rtl/>
        </w:rPr>
        <w:t>אשה שראתה מחמת תשמיש, ולאחר חצי שנה חזרה וראתה מחמת תשמיש, מותרת לבעלה, שהרי לא קבעה בג' וסתות שו</w:t>
      </w:r>
      <w:r>
        <w:rPr>
          <w:rFonts w:cs="Arial" w:hint="cs"/>
          <w:sz w:val="20"/>
          <w:szCs w:val="20"/>
          <w:rtl/>
        </w:rPr>
        <w:t>ו</w:t>
      </w:r>
      <w:r w:rsidRPr="006B5BAD">
        <w:rPr>
          <w:rFonts w:cs="Arial"/>
          <w:sz w:val="20"/>
          <w:szCs w:val="20"/>
          <w:rtl/>
        </w:rPr>
        <w:t>ים ולא בדילוג. מיהו חוששת לאחרון פעם אח</w:t>
      </w:r>
      <w:r>
        <w:rPr>
          <w:rFonts w:cs="Arial" w:hint="cs"/>
          <w:sz w:val="20"/>
          <w:szCs w:val="20"/>
          <w:rtl/>
        </w:rPr>
        <w:t>ת</w:t>
      </w:r>
      <w:r w:rsidRPr="006B5BAD">
        <w:rPr>
          <w:rFonts w:cs="Arial"/>
          <w:sz w:val="20"/>
          <w:szCs w:val="20"/>
          <w:rtl/>
        </w:rPr>
        <w:t xml:space="preserve">, וכשיגיע חצי שנה מיום </w:t>
      </w:r>
      <w:r>
        <w:rPr>
          <w:rFonts w:cs="Arial"/>
          <w:sz w:val="20"/>
          <w:szCs w:val="20"/>
          <w:rtl/>
        </w:rPr>
        <w:t>ראיית דם האחרון, אסורה עונה אחת</w:t>
      </w:r>
      <w:r>
        <w:rPr>
          <w:rFonts w:cs="Arial" w:hint="cs"/>
          <w:sz w:val="20"/>
          <w:szCs w:val="20"/>
          <w:rtl/>
        </w:rPr>
        <w:t>".</w:t>
      </w:r>
      <w:r>
        <w:rPr>
          <w:sz w:val="20"/>
          <w:szCs w:val="20"/>
          <w:rtl/>
        </w:rPr>
        <w:br/>
      </w:r>
      <w:r w:rsidRPr="005C6160">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הוא הדין שחוששת גם לווסת החודש, כגון אם ראתה מחמת תשמיש ביג' לחודש חוששת חודש הבא ליג' ולא תשמש בו שמא תראה, ככל שאר ווסת שאינו קבוע.</w:t>
      </w:r>
    </w:p>
    <w:p w:rsidR="00620060" w:rsidRDefault="00620060" w:rsidP="00620060">
      <w:pPr>
        <w:rPr>
          <w:sz w:val="20"/>
          <w:szCs w:val="20"/>
          <w:rtl/>
        </w:rPr>
      </w:pPr>
      <w:r>
        <w:rPr>
          <w:rFonts w:hint="cs"/>
          <w:sz w:val="20"/>
          <w:szCs w:val="20"/>
          <w:u w:val="single"/>
          <w:rtl/>
        </w:rPr>
        <w:t>אופן עקירת הווסת</w:t>
      </w:r>
      <w:r>
        <w:rPr>
          <w:sz w:val="20"/>
          <w:szCs w:val="20"/>
          <w:u w:val="single"/>
          <w:rtl/>
        </w:rPr>
        <w:br/>
      </w:r>
      <w:r>
        <w:rPr>
          <w:rFonts w:hint="cs"/>
          <w:sz w:val="20"/>
          <w:szCs w:val="20"/>
          <w:rtl/>
        </w:rPr>
        <w:t xml:space="preserve">נחלקו האחרונים כיצד נעקר ווסת שנקבע ע"י תשמיש וזמן קבוע - </w:t>
      </w:r>
      <w:r>
        <w:rPr>
          <w:sz w:val="20"/>
          <w:szCs w:val="20"/>
          <w:u w:val="single"/>
          <w:rtl/>
        </w:rPr>
        <w:br/>
      </w:r>
      <w:r>
        <w:rPr>
          <w:rFonts w:hint="cs"/>
          <w:sz w:val="20"/>
          <w:szCs w:val="20"/>
          <w:rtl/>
        </w:rPr>
        <w:t xml:space="preserve">א. </w:t>
      </w:r>
      <w:r w:rsidRPr="005C6160">
        <w:rPr>
          <w:rFonts w:hint="cs"/>
          <w:b/>
          <w:bCs/>
          <w:sz w:val="20"/>
          <w:szCs w:val="20"/>
          <w:rtl/>
        </w:rPr>
        <w:t>ש"ך</w:t>
      </w:r>
      <w:r w:rsidRPr="00C47937">
        <w:rPr>
          <w:rFonts w:hint="cs"/>
          <w:sz w:val="20"/>
          <w:szCs w:val="20"/>
          <w:rtl/>
        </w:rPr>
        <w:t xml:space="preserve"> </w:t>
      </w:r>
      <w:r w:rsidRPr="00C47937">
        <w:rPr>
          <w:sz w:val="20"/>
          <w:szCs w:val="20"/>
          <w:rtl/>
        </w:rPr>
        <w:t>–</w:t>
      </w:r>
      <w:r w:rsidRPr="00C47937">
        <w:rPr>
          <w:rFonts w:hint="cs"/>
          <w:sz w:val="20"/>
          <w:szCs w:val="20"/>
          <w:rtl/>
        </w:rPr>
        <w:t xml:space="preserve"> סגי בכך שהגיע היום בחודש שרגילה לראות בו ולא ראתה, אפילו אם לא שימשה</w:t>
      </w:r>
      <w:r>
        <w:rPr>
          <w:rFonts w:hint="cs"/>
          <w:sz w:val="20"/>
          <w:szCs w:val="20"/>
          <w:rtl/>
        </w:rPr>
        <w:t>.</w:t>
      </w:r>
      <w:r w:rsidRPr="00C47937">
        <w:rPr>
          <w:rStyle w:val="a5"/>
          <w:sz w:val="20"/>
          <w:szCs w:val="20"/>
          <w:rtl/>
        </w:rPr>
        <w:footnoteReference w:id="131"/>
      </w:r>
      <w:r>
        <w:rPr>
          <w:sz w:val="20"/>
          <w:szCs w:val="20"/>
          <w:rtl/>
        </w:rPr>
        <w:br/>
      </w:r>
      <w:r>
        <w:rPr>
          <w:rFonts w:hint="cs"/>
          <w:sz w:val="20"/>
          <w:szCs w:val="20"/>
          <w:rtl/>
        </w:rPr>
        <w:t xml:space="preserve">ב. </w:t>
      </w:r>
      <w:r w:rsidRPr="005C6160">
        <w:rPr>
          <w:rFonts w:hint="cs"/>
          <w:b/>
          <w:bCs/>
          <w:sz w:val="20"/>
          <w:szCs w:val="20"/>
          <w:rtl/>
        </w:rPr>
        <w:t>חוו"ד</w:t>
      </w:r>
      <w:r>
        <w:rPr>
          <w:rFonts w:hint="cs"/>
          <w:sz w:val="20"/>
          <w:szCs w:val="20"/>
          <w:rtl/>
        </w:rPr>
        <w:t xml:space="preserve"> </w:t>
      </w:r>
      <w:r>
        <w:rPr>
          <w:sz w:val="20"/>
          <w:szCs w:val="20"/>
          <w:rtl/>
        </w:rPr>
        <w:t>–</w:t>
      </w:r>
      <w:r>
        <w:rPr>
          <w:rFonts w:hint="cs"/>
          <w:sz w:val="20"/>
          <w:szCs w:val="20"/>
          <w:rtl/>
        </w:rPr>
        <w:t xml:space="preserve"> אסורה לעולם ביום החודש שראתה, וכן אסורה לעולם להפלגת חצי שנה, עד שתשמש באיסור ביום החודש או להפלגת חצי שנה ולא תראה.</w:t>
      </w:r>
      <w:r>
        <w:rPr>
          <w:rStyle w:val="a5"/>
          <w:sz w:val="20"/>
          <w:szCs w:val="20"/>
          <w:rtl/>
        </w:rPr>
        <w:footnoteReference w:id="132"/>
      </w:r>
      <w:r>
        <w:rPr>
          <w:sz w:val="20"/>
          <w:szCs w:val="20"/>
          <w:u w:val="single"/>
          <w:rtl/>
        </w:rPr>
        <w:br/>
      </w:r>
      <w:r>
        <w:rPr>
          <w:b/>
          <w:bCs/>
          <w:sz w:val="20"/>
          <w:szCs w:val="20"/>
          <w:rtl/>
        </w:rPr>
        <w:br/>
      </w:r>
      <w:r w:rsidRPr="00A90E5E">
        <w:rPr>
          <w:rFonts w:hint="cs"/>
          <w:b/>
          <w:bCs/>
          <w:sz w:val="20"/>
          <w:szCs w:val="20"/>
          <w:rtl/>
        </w:rPr>
        <w:t xml:space="preserve">ראתה </w:t>
      </w:r>
      <w:r>
        <w:rPr>
          <w:rFonts w:hint="cs"/>
          <w:b/>
          <w:bCs/>
          <w:sz w:val="20"/>
          <w:szCs w:val="20"/>
          <w:rtl/>
        </w:rPr>
        <w:t xml:space="preserve">ג' פעמים מחמת תשמיש </w:t>
      </w:r>
      <w:r w:rsidRPr="008E21D7">
        <w:rPr>
          <w:rFonts w:hint="cs"/>
          <w:b/>
          <w:bCs/>
          <w:sz w:val="20"/>
          <w:szCs w:val="20"/>
          <w:u w:val="single"/>
          <w:rtl/>
        </w:rPr>
        <w:t>וקבעה ווסת</w:t>
      </w:r>
      <w:r>
        <w:rPr>
          <w:b/>
          <w:b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b/>
          <w:bCs/>
          <w:sz w:val="20"/>
          <w:szCs w:val="20"/>
          <w:rtl/>
        </w:rPr>
        <w:t xml:space="preserve"> </w:t>
      </w:r>
      <w:r>
        <w:rPr>
          <w:rFonts w:hint="cs"/>
          <w:sz w:val="20"/>
          <w:szCs w:val="20"/>
          <w:rtl/>
        </w:rPr>
        <w:t>"ו</w:t>
      </w:r>
      <w:r w:rsidRPr="00A90E5E">
        <w:rPr>
          <w:rFonts w:cs="Arial"/>
          <w:sz w:val="20"/>
          <w:szCs w:val="20"/>
          <w:rtl/>
        </w:rPr>
        <w:t>אם קבעה וסת לראיית דם מחמת תשמיש של</w:t>
      </w:r>
      <w:r>
        <w:rPr>
          <w:rFonts w:cs="Arial" w:hint="cs"/>
          <w:sz w:val="20"/>
          <w:szCs w:val="20"/>
          <w:rtl/>
        </w:rPr>
        <w:t>ו</w:t>
      </w:r>
      <w:r w:rsidRPr="00A90E5E">
        <w:rPr>
          <w:rFonts w:cs="Arial"/>
          <w:sz w:val="20"/>
          <w:szCs w:val="20"/>
          <w:rtl/>
        </w:rPr>
        <w:t>ש זימני וסת שו</w:t>
      </w:r>
      <w:r>
        <w:rPr>
          <w:rFonts w:cs="Arial" w:hint="cs"/>
          <w:sz w:val="20"/>
          <w:szCs w:val="20"/>
          <w:rtl/>
        </w:rPr>
        <w:t>ו</w:t>
      </w:r>
      <w:r w:rsidRPr="00A90E5E">
        <w:rPr>
          <w:rFonts w:cs="Arial"/>
          <w:sz w:val="20"/>
          <w:szCs w:val="20"/>
          <w:rtl/>
        </w:rPr>
        <w:t>ה, מותרת לשמש בין וסת לוסת</w:t>
      </w:r>
      <w:r>
        <w:rPr>
          <w:rFonts w:cs="Arial" w:hint="cs"/>
          <w:sz w:val="20"/>
          <w:szCs w:val="20"/>
          <w:rtl/>
        </w:rPr>
        <w:t>,</w:t>
      </w:r>
      <w:r w:rsidRPr="00A90E5E">
        <w:rPr>
          <w:rFonts w:cs="Arial"/>
          <w:sz w:val="20"/>
          <w:szCs w:val="20"/>
          <w:rtl/>
        </w:rPr>
        <w:t xml:space="preserve"> אך ימ</w:t>
      </w:r>
      <w:r>
        <w:rPr>
          <w:rFonts w:cs="Arial"/>
          <w:sz w:val="20"/>
          <w:szCs w:val="20"/>
          <w:rtl/>
        </w:rPr>
        <w:t>י הוסת פורשת עד שיעקר שלש פעמים</w:t>
      </w:r>
      <w:r>
        <w:rPr>
          <w:rFonts w:cs="Arial" w:hint="cs"/>
          <w:sz w:val="20"/>
          <w:szCs w:val="20"/>
          <w:rtl/>
        </w:rPr>
        <w:t>".</w:t>
      </w:r>
      <w:r>
        <w:rPr>
          <w:sz w:val="20"/>
          <w:szCs w:val="20"/>
          <w:rtl/>
        </w:rPr>
        <w:br/>
      </w:r>
      <w:r w:rsidRPr="00F664AE">
        <w:rPr>
          <w:rFonts w:hint="cs"/>
          <w:b/>
          <w:bCs/>
          <w:sz w:val="20"/>
          <w:szCs w:val="20"/>
          <w:rtl/>
        </w:rPr>
        <w:t>תורת השלמים</w:t>
      </w:r>
      <w:r>
        <w:rPr>
          <w:rFonts w:hint="cs"/>
          <w:sz w:val="20"/>
          <w:szCs w:val="20"/>
          <w:rtl/>
        </w:rPr>
        <w:t xml:space="preserve"> </w:t>
      </w:r>
      <w:r>
        <w:rPr>
          <w:sz w:val="20"/>
          <w:szCs w:val="20"/>
          <w:rtl/>
        </w:rPr>
        <w:t>–</w:t>
      </w:r>
      <w:r>
        <w:rPr>
          <w:rFonts w:hint="cs"/>
          <w:sz w:val="20"/>
          <w:szCs w:val="20"/>
          <w:rtl/>
        </w:rPr>
        <w:t xml:space="preserve"> עקירת ווסת זו נעשית ע"י שתשמש באיסור ג' פעמים בעונת הווסת ולא תראה.</w:t>
      </w:r>
    </w:p>
    <w:p w:rsidR="00620060"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4905BC">
        <w:rPr>
          <w:rFonts w:hint="cs"/>
          <w:b/>
          <w:bCs/>
          <w:sz w:val="20"/>
          <w:szCs w:val="20"/>
          <w:rtl/>
        </w:rPr>
        <w:t>שו"ע</w:t>
      </w:r>
      <w:r>
        <w:rPr>
          <w:rFonts w:hint="cs"/>
          <w:sz w:val="20"/>
          <w:szCs w:val="20"/>
          <w:rtl/>
        </w:rPr>
        <w:t xml:space="preserve">. רמ"ת אחת לחצי שנה, חוששת לווסת זו. </w:t>
      </w:r>
      <w:r w:rsidRPr="004905BC">
        <w:rPr>
          <w:rFonts w:hint="cs"/>
          <w:b/>
          <w:bCs/>
          <w:sz w:val="20"/>
          <w:szCs w:val="20"/>
          <w:rtl/>
        </w:rPr>
        <w:t>ש"ך</w:t>
      </w:r>
      <w:r>
        <w:rPr>
          <w:rFonts w:hint="cs"/>
          <w:sz w:val="20"/>
          <w:szCs w:val="20"/>
          <w:rtl/>
        </w:rPr>
        <w:t>. הוא הדין שחוששת גם ליום החודש ולא תשמש בו.</w:t>
      </w:r>
      <w:r>
        <w:rPr>
          <w:sz w:val="20"/>
          <w:szCs w:val="20"/>
          <w:rtl/>
        </w:rPr>
        <w:br/>
      </w:r>
      <w:r>
        <w:rPr>
          <w:rFonts w:hint="cs"/>
          <w:sz w:val="20"/>
          <w:szCs w:val="20"/>
          <w:rtl/>
        </w:rPr>
        <w:t xml:space="preserve">2. כיצד נעקר הווסת. </w:t>
      </w:r>
      <w:r w:rsidRPr="005C6160">
        <w:rPr>
          <w:rFonts w:hint="cs"/>
          <w:b/>
          <w:bCs/>
          <w:sz w:val="20"/>
          <w:szCs w:val="20"/>
          <w:rtl/>
        </w:rPr>
        <w:t>ש"ך</w:t>
      </w:r>
      <w:r>
        <w:rPr>
          <w:rFonts w:hint="cs"/>
          <w:sz w:val="20"/>
          <w:szCs w:val="20"/>
          <w:rtl/>
        </w:rPr>
        <w:t xml:space="preserve">. הגיע יום החודש ולא ראתה. </w:t>
      </w:r>
      <w:r w:rsidRPr="005C6160">
        <w:rPr>
          <w:rFonts w:hint="cs"/>
          <w:b/>
          <w:bCs/>
          <w:sz w:val="20"/>
          <w:szCs w:val="20"/>
          <w:rtl/>
        </w:rPr>
        <w:t>חוו"ד</w:t>
      </w:r>
      <w:r>
        <w:rPr>
          <w:rFonts w:hint="cs"/>
          <w:sz w:val="20"/>
          <w:szCs w:val="20"/>
          <w:rtl/>
        </w:rPr>
        <w:t>. אסורה לעולם עד שתשמש באיסור ולא תראה.</w:t>
      </w:r>
      <w:r>
        <w:rPr>
          <w:sz w:val="20"/>
          <w:szCs w:val="20"/>
          <w:rtl/>
        </w:rPr>
        <w:br/>
      </w:r>
      <w:r>
        <w:rPr>
          <w:rFonts w:hint="cs"/>
          <w:sz w:val="20"/>
          <w:szCs w:val="20"/>
          <w:rtl/>
        </w:rPr>
        <w:t xml:space="preserve">3. </w:t>
      </w:r>
      <w:r w:rsidRPr="00255103">
        <w:rPr>
          <w:rFonts w:hint="cs"/>
          <w:b/>
          <w:bCs/>
          <w:sz w:val="20"/>
          <w:szCs w:val="20"/>
          <w:rtl/>
        </w:rPr>
        <w:t>שו"ע</w:t>
      </w:r>
      <w:r>
        <w:rPr>
          <w:rFonts w:hint="cs"/>
          <w:sz w:val="20"/>
          <w:szCs w:val="20"/>
          <w:rtl/>
        </w:rPr>
        <w:t xml:space="preserve">. רמ"ת לזמן קבוע, קבעה ווסת ומותרת בין הווסתות, עד שייעקר ג' פעמים. </w:t>
      </w:r>
      <w:r w:rsidRPr="00255103">
        <w:rPr>
          <w:rFonts w:hint="cs"/>
          <w:b/>
          <w:bCs/>
          <w:sz w:val="20"/>
          <w:szCs w:val="20"/>
          <w:rtl/>
        </w:rPr>
        <w:t>תוה"ש</w:t>
      </w:r>
      <w:r>
        <w:rPr>
          <w:rFonts w:hint="cs"/>
          <w:sz w:val="20"/>
          <w:szCs w:val="20"/>
          <w:rtl/>
        </w:rPr>
        <w:t>. עקירה זו נעשית ע"י שתשמש ג' פעמים בעונת הווסת ולא תראה.</w:t>
      </w:r>
    </w:p>
    <w:p w:rsidR="00620060" w:rsidRDefault="00620060" w:rsidP="00620060">
      <w:pPr>
        <w:rPr>
          <w:sz w:val="20"/>
          <w:szCs w:val="20"/>
          <w:rtl/>
        </w:rPr>
      </w:pPr>
      <w:r>
        <w:rPr>
          <w:sz w:val="20"/>
          <w:szCs w:val="20"/>
          <w:rtl/>
        </w:rPr>
        <w:br/>
      </w:r>
      <w:r>
        <w:rPr>
          <w:rFonts w:hint="cs"/>
          <w:b/>
          <w:bCs/>
          <w:sz w:val="20"/>
          <w:szCs w:val="20"/>
          <w:rtl/>
        </w:rPr>
        <w:t xml:space="preserve">סעיף יב </w:t>
      </w:r>
      <w:r>
        <w:rPr>
          <w:b/>
          <w:bCs/>
          <w:sz w:val="20"/>
          <w:szCs w:val="20"/>
          <w:rtl/>
        </w:rPr>
        <w:t>–</w:t>
      </w:r>
      <w:r>
        <w:rPr>
          <w:rFonts w:hint="cs"/>
          <w:b/>
          <w:bCs/>
          <w:sz w:val="20"/>
          <w:szCs w:val="20"/>
          <w:rtl/>
        </w:rPr>
        <w:t xml:space="preserve"> מגורים עם אשה רמ"ת שאסורה עליו</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רשב"א </w:t>
      </w:r>
      <w:r>
        <w:rPr>
          <w:sz w:val="20"/>
          <w:szCs w:val="20"/>
          <w:rtl/>
        </w:rPr>
        <w:t>–</w:t>
      </w:r>
      <w:r>
        <w:rPr>
          <w:rFonts w:hint="cs"/>
          <w:sz w:val="20"/>
          <w:szCs w:val="20"/>
          <w:rtl/>
        </w:rPr>
        <w:t xml:space="preserve"> אשה רמ"ת שנאסרה על בעלה, אסור לו לדור עמה בבית.</w:t>
      </w:r>
      <w:r>
        <w:rPr>
          <w:sz w:val="20"/>
          <w:szCs w:val="20"/>
          <w:rtl/>
        </w:rPr>
        <w:br/>
      </w:r>
      <w:r w:rsidRPr="00B20C8E">
        <w:rPr>
          <w:rFonts w:hint="cs"/>
          <w:b/>
          <w:bCs/>
          <w:sz w:val="20"/>
          <w:szCs w:val="20"/>
          <w:rtl/>
        </w:rPr>
        <w:t xml:space="preserve">טעם </w:t>
      </w:r>
      <w:r>
        <w:rPr>
          <w:sz w:val="20"/>
          <w:szCs w:val="20"/>
          <w:rtl/>
        </w:rPr>
        <w:t>–</w:t>
      </w:r>
      <w:r>
        <w:rPr>
          <w:rFonts w:hint="cs"/>
          <w:sz w:val="20"/>
          <w:szCs w:val="20"/>
          <w:rtl/>
        </w:rPr>
        <w:t xml:space="preserve"> חשש שמא יבוא עליה באיסור.</w:t>
      </w:r>
    </w:p>
    <w:p w:rsidR="00620060" w:rsidRDefault="00620060" w:rsidP="00620060">
      <w:pPr>
        <w:rPr>
          <w:sz w:val="20"/>
          <w:szCs w:val="20"/>
          <w:rtl/>
        </w:rPr>
      </w:pPr>
      <w:r>
        <w:rPr>
          <w:rFonts w:hint="cs"/>
          <w:sz w:val="20"/>
          <w:szCs w:val="20"/>
          <w:u w:val="single"/>
          <w:rtl/>
        </w:rPr>
        <w:t>ראיות והסבר לפסק זה</w:t>
      </w:r>
      <w:r>
        <w:rPr>
          <w:sz w:val="20"/>
          <w:szCs w:val="20"/>
          <w:u w:val="single"/>
          <w:rtl/>
        </w:rPr>
        <w:br/>
      </w:r>
      <w:r>
        <w:rPr>
          <w:rFonts w:hint="cs"/>
          <w:sz w:val="20"/>
          <w:szCs w:val="20"/>
          <w:rtl/>
        </w:rPr>
        <w:t xml:space="preserve">א. החשש מביאת איסור הוא לאחר שתטבול ותהיה אסורה לו מדרבנן בלבד </w:t>
      </w:r>
      <w:r w:rsidRPr="00B20C8E">
        <w:rPr>
          <w:rFonts w:hint="cs"/>
          <w:sz w:val="18"/>
          <w:szCs w:val="18"/>
          <w:rtl/>
        </w:rPr>
        <w:t xml:space="preserve">(כדין כל רמ"ת שהאיסור דרבנן, מדין </w:t>
      </w:r>
      <w:r w:rsidRPr="00B20C8E">
        <w:rPr>
          <w:rFonts w:hint="cs"/>
          <w:sz w:val="18"/>
          <w:szCs w:val="18"/>
          <w:rtl/>
        </w:rPr>
        <w:lastRenderedPageBreak/>
        <w:t>ווסת וווסתות דרבנן)</w:t>
      </w:r>
      <w:r>
        <w:rPr>
          <w:rFonts w:hint="cs"/>
          <w:sz w:val="20"/>
          <w:szCs w:val="20"/>
          <w:rtl/>
        </w:rPr>
        <w:t>, שכיוון שהאיסור קל חוששים שמא יחטא.</w:t>
      </w:r>
      <w:r>
        <w:rPr>
          <w:sz w:val="20"/>
          <w:szCs w:val="20"/>
          <w:rtl/>
        </w:rPr>
        <w:br/>
      </w:r>
      <w:r>
        <w:rPr>
          <w:rFonts w:hint="cs"/>
          <w:sz w:val="20"/>
          <w:szCs w:val="20"/>
          <w:rtl/>
        </w:rPr>
        <w:t>ב. כיוון שמדובר באיסור עולמי, חוששים שמא יחטא אפילו באיסור דאורייתא.</w:t>
      </w:r>
      <w:r>
        <w:rPr>
          <w:sz w:val="20"/>
          <w:szCs w:val="20"/>
          <w:rtl/>
        </w:rPr>
        <w:br/>
      </w:r>
      <w:r w:rsidRPr="004116B1">
        <w:rPr>
          <w:rFonts w:hint="cs"/>
          <w:b/>
          <w:bCs/>
          <w:sz w:val="20"/>
          <w:szCs w:val="20"/>
          <w:rtl/>
        </w:rPr>
        <w:t xml:space="preserve">ראיה </w:t>
      </w:r>
      <w:r>
        <w:rPr>
          <w:sz w:val="20"/>
          <w:szCs w:val="20"/>
          <w:rtl/>
        </w:rPr>
        <w:t>–</w:t>
      </w:r>
      <w:r>
        <w:rPr>
          <w:rFonts w:hint="cs"/>
          <w:sz w:val="20"/>
          <w:szCs w:val="20"/>
          <w:rtl/>
        </w:rPr>
        <w:t xml:space="preserve"> </w:t>
      </w:r>
      <w:r w:rsidRPr="00F87AB6">
        <w:rPr>
          <w:rFonts w:hint="cs"/>
          <w:b/>
          <w:bCs/>
          <w:sz w:val="20"/>
          <w:szCs w:val="20"/>
          <w:rtl/>
        </w:rPr>
        <w:t>גמרא</w:t>
      </w:r>
      <w:r>
        <w:rPr>
          <w:rFonts w:hint="cs"/>
          <w:sz w:val="20"/>
          <w:szCs w:val="20"/>
          <w:rtl/>
        </w:rPr>
        <w:t xml:space="preserve"> כתובות (כז:) "</w:t>
      </w:r>
      <w:r w:rsidRPr="005A3A9B">
        <w:rPr>
          <w:rFonts w:cs="Arial"/>
          <w:sz w:val="20"/>
          <w:szCs w:val="20"/>
          <w:rtl/>
        </w:rPr>
        <w:t>המגרש את אשתו - לא ת</w:t>
      </w:r>
      <w:r>
        <w:rPr>
          <w:rFonts w:cs="Arial" w:hint="cs"/>
          <w:sz w:val="20"/>
          <w:szCs w:val="20"/>
          <w:rtl/>
        </w:rPr>
        <w:t>י</w:t>
      </w:r>
      <w:r w:rsidRPr="005A3A9B">
        <w:rPr>
          <w:rFonts w:cs="Arial"/>
          <w:sz w:val="20"/>
          <w:szCs w:val="20"/>
          <w:rtl/>
        </w:rPr>
        <w:t>נשא בשכונתו</w:t>
      </w:r>
      <w:r>
        <w:rPr>
          <w:rFonts w:cs="Arial" w:hint="cs"/>
          <w:sz w:val="20"/>
          <w:szCs w:val="20"/>
          <w:rtl/>
        </w:rPr>
        <w:t>"</w:t>
      </w:r>
      <w:r>
        <w:rPr>
          <w:rFonts w:hint="cs"/>
          <w:sz w:val="20"/>
          <w:szCs w:val="20"/>
          <w:rtl/>
        </w:rPr>
        <w:t>, והתם מדובר באיסור דאורייתא וחיישינן משום שהוא איסור עולמי, הוא הדין כאן שיש לחוש כיוון שהוא איסור עולמי.</w:t>
      </w:r>
      <w:r>
        <w:rPr>
          <w:sz w:val="20"/>
          <w:szCs w:val="20"/>
          <w:rtl/>
        </w:rPr>
        <w:br/>
      </w:r>
      <w:r>
        <w:rPr>
          <w:rFonts w:hint="cs"/>
          <w:sz w:val="20"/>
          <w:szCs w:val="20"/>
          <w:rtl/>
        </w:rPr>
        <w:t xml:space="preserve">ג. כך יש לדייק גם מלשון </w:t>
      </w:r>
      <w:r w:rsidRPr="004116B1">
        <w:rPr>
          <w:rFonts w:hint="cs"/>
          <w:b/>
          <w:bCs/>
          <w:sz w:val="20"/>
          <w:szCs w:val="20"/>
          <w:rtl/>
        </w:rPr>
        <w:t>הרמב"ם</w:t>
      </w:r>
      <w:r>
        <w:rPr>
          <w:rFonts w:hint="cs"/>
          <w:sz w:val="20"/>
          <w:szCs w:val="20"/>
          <w:rtl/>
        </w:rPr>
        <w:t xml:space="preserve"> </w:t>
      </w:r>
      <w:r>
        <w:rPr>
          <w:sz w:val="20"/>
          <w:szCs w:val="20"/>
          <w:rtl/>
        </w:rPr>
        <w:t>–</w:t>
      </w:r>
      <w:r>
        <w:rPr>
          <w:rFonts w:hint="cs"/>
          <w:sz w:val="20"/>
          <w:szCs w:val="20"/>
          <w:rtl/>
        </w:rPr>
        <w:t xml:space="preserve"> "</w:t>
      </w:r>
      <w:r w:rsidRPr="00847308">
        <w:rPr>
          <w:rFonts w:cs="Arial"/>
          <w:sz w:val="20"/>
          <w:szCs w:val="20"/>
          <w:rtl/>
        </w:rPr>
        <w:t>נמצא דם על עד שלה או על עד שלו</w:t>
      </w:r>
      <w:r>
        <w:rPr>
          <w:rFonts w:cs="Arial" w:hint="cs"/>
          <w:sz w:val="20"/>
          <w:szCs w:val="20"/>
          <w:rtl/>
        </w:rPr>
        <w:t>,</w:t>
      </w:r>
      <w:r w:rsidRPr="00847308">
        <w:rPr>
          <w:rFonts w:cs="Arial"/>
          <w:sz w:val="20"/>
          <w:szCs w:val="20"/>
          <w:rtl/>
        </w:rPr>
        <w:t xml:space="preserve"> אם אירע זה פעם אחר פעם שלשה פעמים סמוכות זו לזו </w:t>
      </w:r>
      <w:r>
        <w:rPr>
          <w:rFonts w:cs="Arial" w:hint="cs"/>
          <w:sz w:val="20"/>
          <w:szCs w:val="20"/>
          <w:rtl/>
        </w:rPr>
        <w:t xml:space="preserve">- </w:t>
      </w:r>
      <w:r w:rsidRPr="00847308">
        <w:rPr>
          <w:rFonts w:cs="Arial"/>
          <w:sz w:val="20"/>
          <w:szCs w:val="20"/>
          <w:u w:val="single"/>
          <w:rtl/>
        </w:rPr>
        <w:t>הרי זו אסורה לישב עם בעלה</w:t>
      </w:r>
      <w:r>
        <w:rPr>
          <w:rFonts w:cs="Arial" w:hint="cs"/>
          <w:sz w:val="20"/>
          <w:szCs w:val="20"/>
          <w:rtl/>
        </w:rPr>
        <w:t>".</w:t>
      </w:r>
    </w:p>
    <w:p w:rsidR="00620060" w:rsidRDefault="00620060" w:rsidP="00620060">
      <w:pPr>
        <w:rPr>
          <w:sz w:val="20"/>
          <w:szCs w:val="20"/>
          <w:rtl/>
        </w:rPr>
      </w:pPr>
      <w:r>
        <w:rPr>
          <w:rFonts w:hint="cs"/>
          <w:sz w:val="20"/>
          <w:szCs w:val="20"/>
          <w:u w:val="single"/>
          <w:rtl/>
        </w:rPr>
        <w:t>האם צריך לגרש?</w:t>
      </w:r>
      <w:r>
        <w:rPr>
          <w:sz w:val="20"/>
          <w:szCs w:val="20"/>
          <w:u w:val="single"/>
          <w:rtl/>
        </w:rPr>
        <w:br/>
      </w:r>
      <w:r w:rsidRPr="004116B1">
        <w:rPr>
          <w:rFonts w:hint="cs"/>
          <w:b/>
          <w:bCs/>
          <w:sz w:val="20"/>
          <w:szCs w:val="20"/>
          <w:rtl/>
        </w:rPr>
        <w:t>רשב"א</w:t>
      </w:r>
      <w:r>
        <w:rPr>
          <w:rFonts w:hint="cs"/>
          <w:sz w:val="20"/>
          <w:szCs w:val="20"/>
          <w:rtl/>
        </w:rPr>
        <w:t xml:space="preserve"> - אינו חייב לגרש אלא יכול לשהותה ע"י שליש, ובלבד שלא יתייחד עמה ללא עדים, וכ"פ </w:t>
      </w:r>
      <w:r w:rsidRPr="00847308">
        <w:rPr>
          <w:rFonts w:hint="cs"/>
          <w:b/>
          <w:bCs/>
          <w:sz w:val="20"/>
          <w:szCs w:val="20"/>
          <w:rtl/>
        </w:rPr>
        <w:t>המחבר</w:t>
      </w:r>
      <w:r>
        <w:rPr>
          <w:rFonts w:hint="cs"/>
          <w:sz w:val="20"/>
          <w:szCs w:val="20"/>
          <w:rtl/>
        </w:rPr>
        <w:t>.</w:t>
      </w:r>
    </w:p>
    <w:p w:rsidR="00620060" w:rsidRDefault="00620060" w:rsidP="00620060">
      <w:pPr>
        <w:rPr>
          <w:rFonts w:cs="Arial"/>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847308">
        <w:rPr>
          <w:rFonts w:cs="Arial"/>
          <w:sz w:val="20"/>
          <w:szCs w:val="20"/>
          <w:rtl/>
        </w:rPr>
        <w:t>הרואה מחמת תשמיש ג' פעמים, אסור להשהותה אף אם אינו רוצה לבא עליה, אלא א</w:t>
      </w:r>
      <w:r>
        <w:rPr>
          <w:rFonts w:cs="Arial" w:hint="cs"/>
          <w:sz w:val="20"/>
          <w:szCs w:val="20"/>
          <w:rtl/>
        </w:rPr>
        <w:t>ם כן</w:t>
      </w:r>
      <w:r w:rsidRPr="00847308">
        <w:rPr>
          <w:rFonts w:cs="Arial"/>
          <w:sz w:val="20"/>
          <w:szCs w:val="20"/>
          <w:rtl/>
        </w:rPr>
        <w:t xml:space="preserve"> רוצה להשהותה ע</w:t>
      </w:r>
      <w:r>
        <w:rPr>
          <w:rFonts w:cs="Arial" w:hint="cs"/>
          <w:sz w:val="20"/>
          <w:szCs w:val="20"/>
          <w:rtl/>
        </w:rPr>
        <w:t>ל ידי</w:t>
      </w:r>
      <w:r>
        <w:rPr>
          <w:rFonts w:cs="Arial"/>
          <w:sz w:val="20"/>
          <w:szCs w:val="20"/>
          <w:rtl/>
        </w:rPr>
        <w:t xml:space="preserve"> שליש. ולא ילך אצלה, אלא ב</w:t>
      </w:r>
      <w:r>
        <w:rPr>
          <w:rFonts w:cs="Arial" w:hint="cs"/>
          <w:sz w:val="20"/>
          <w:szCs w:val="20"/>
          <w:rtl/>
        </w:rPr>
        <w:t>עדים"</w:t>
      </w:r>
      <w:r>
        <w:rPr>
          <w:rStyle w:val="a5"/>
          <w:rFonts w:cs="Arial"/>
          <w:sz w:val="20"/>
          <w:szCs w:val="20"/>
          <w:rtl/>
        </w:rPr>
        <w:footnoteReference w:id="133"/>
      </w:r>
      <w:r>
        <w:rPr>
          <w:rFonts w:cs="Arial" w:hint="cs"/>
          <w:sz w:val="20"/>
          <w:szCs w:val="20"/>
          <w:rtl/>
        </w:rPr>
        <w:t>.</w:t>
      </w:r>
    </w:p>
    <w:p w:rsidR="00620060" w:rsidRDefault="00620060" w:rsidP="00620060">
      <w:pPr>
        <w:rPr>
          <w:b/>
          <w:bCs/>
          <w:sz w:val="20"/>
          <w:szCs w:val="20"/>
          <w:rtl/>
        </w:rPr>
      </w:pPr>
      <w:r>
        <w:rPr>
          <w:rFonts w:cs="Arial" w:hint="cs"/>
          <w:sz w:val="20"/>
          <w:szCs w:val="20"/>
          <w:u w:val="single"/>
          <w:rtl/>
        </w:rPr>
        <w:t>האם כופים לגרשה כשלא קיים פריה ורביה?</w:t>
      </w:r>
      <w:r>
        <w:rPr>
          <w:rFonts w:cs="Arial"/>
          <w:sz w:val="20"/>
          <w:szCs w:val="20"/>
          <w:u w:val="single"/>
          <w:rtl/>
        </w:rPr>
        <w:br/>
      </w:r>
      <w:r>
        <w:rPr>
          <w:rFonts w:cs="Arial" w:hint="cs"/>
          <w:sz w:val="20"/>
          <w:szCs w:val="20"/>
          <w:rtl/>
        </w:rPr>
        <w:t xml:space="preserve">א. </w:t>
      </w:r>
      <w:r w:rsidRPr="00DA2AE3">
        <w:rPr>
          <w:rFonts w:cs="Arial" w:hint="cs"/>
          <w:b/>
          <w:bCs/>
          <w:sz w:val="20"/>
          <w:szCs w:val="20"/>
          <w:rtl/>
        </w:rPr>
        <w:t>מהר"ם פדאווה</w:t>
      </w:r>
      <w:r>
        <w:rPr>
          <w:rFonts w:cs="Arial" w:hint="cs"/>
          <w:sz w:val="20"/>
          <w:szCs w:val="20"/>
          <w:rtl/>
        </w:rPr>
        <w:t xml:space="preserve"> </w:t>
      </w:r>
      <w:r>
        <w:rPr>
          <w:rFonts w:cs="Arial"/>
          <w:sz w:val="20"/>
          <w:szCs w:val="20"/>
          <w:rtl/>
        </w:rPr>
        <w:t>–</w:t>
      </w:r>
      <w:r>
        <w:rPr>
          <w:rFonts w:cs="Arial" w:hint="cs"/>
          <w:sz w:val="20"/>
          <w:szCs w:val="20"/>
          <w:rtl/>
        </w:rPr>
        <w:t xml:space="preserve"> אם לא קיים מצוות פריה ורביה, כופים אותו לגרש כדי לקיים מצווה זו.</w:t>
      </w:r>
      <w:r>
        <w:rPr>
          <w:rFonts w:cs="Arial"/>
          <w:sz w:val="20"/>
          <w:szCs w:val="20"/>
          <w:rtl/>
        </w:rPr>
        <w:br/>
      </w:r>
      <w:r>
        <w:rPr>
          <w:rFonts w:cs="Arial" w:hint="cs"/>
          <w:sz w:val="20"/>
          <w:szCs w:val="20"/>
          <w:rtl/>
        </w:rPr>
        <w:t xml:space="preserve">ב. </w:t>
      </w:r>
      <w:r w:rsidRPr="00DA2AE3">
        <w:rPr>
          <w:rFonts w:cs="Arial" w:hint="cs"/>
          <w:b/>
          <w:bCs/>
          <w:sz w:val="20"/>
          <w:szCs w:val="20"/>
          <w:rtl/>
        </w:rPr>
        <w:t>רמ"א</w:t>
      </w:r>
      <w:r>
        <w:rPr>
          <w:rFonts w:cs="Arial" w:hint="cs"/>
          <w:sz w:val="20"/>
          <w:szCs w:val="20"/>
          <w:rtl/>
        </w:rPr>
        <w:t xml:space="preserve"> באבן העזר (א, ג) </w:t>
      </w:r>
      <w:r>
        <w:rPr>
          <w:rFonts w:cs="Arial"/>
          <w:sz w:val="20"/>
          <w:szCs w:val="20"/>
          <w:rtl/>
        </w:rPr>
        <w:t>–</w:t>
      </w:r>
      <w:r>
        <w:rPr>
          <w:rFonts w:cs="Arial" w:hint="cs"/>
          <w:sz w:val="20"/>
          <w:szCs w:val="20"/>
          <w:rtl/>
        </w:rPr>
        <w:t xml:space="preserve"> "</w:t>
      </w:r>
      <w:r w:rsidRPr="00DA2AE3">
        <w:rPr>
          <w:rFonts w:cs="Arial"/>
          <w:sz w:val="20"/>
          <w:szCs w:val="20"/>
          <w:rtl/>
        </w:rPr>
        <w:t>ובזמן הזה נהגו שלא לכוף על זה. וכן מי שלא קיים פריה ורביה ובא לישא אשה שאינה בת בנים, כגון עקרה וזקנה או קטנה, משום שחושק בה או משום ממון שלה, אעפ"י שמדינא היה למחות בו, לא נהגו מכמה דורות לדקדק בענין הזיווגים. ואפילו נשא אשה ושהה עמה עשרה שנים לא נהגו לכוף אותו לגרשה, אף על פי שלא קיים פריה ורביה, וכן בשאר ענייני זיווגים.</w:t>
      </w:r>
      <w:r>
        <w:rPr>
          <w:rFonts w:cs="Arial"/>
          <w:sz w:val="20"/>
          <w:szCs w:val="20"/>
          <w:rtl/>
        </w:rPr>
        <w:t xml:space="preserve"> ובלבד שלא תהא אסורה עליו</w:t>
      </w:r>
      <w:r>
        <w:rPr>
          <w:rFonts w:cs="Arial" w:hint="cs"/>
          <w:sz w:val="20"/>
          <w:szCs w:val="20"/>
          <w:rtl/>
        </w:rPr>
        <w:t>".</w:t>
      </w:r>
    </w:p>
    <w:p w:rsidR="00620060"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DA2AE3">
        <w:rPr>
          <w:rFonts w:hint="cs"/>
          <w:b/>
          <w:bCs/>
          <w:sz w:val="20"/>
          <w:szCs w:val="20"/>
          <w:rtl/>
        </w:rPr>
        <w:t>רשב"א</w:t>
      </w:r>
      <w:r>
        <w:rPr>
          <w:rFonts w:hint="cs"/>
          <w:sz w:val="20"/>
          <w:szCs w:val="20"/>
          <w:rtl/>
        </w:rPr>
        <w:t>. אין לבעל לדור עם אשה רמ"ת בבית.</w:t>
      </w:r>
      <w:r w:rsidRPr="004D4422">
        <w:rPr>
          <w:rFonts w:hint="cs"/>
          <w:b/>
          <w:bCs/>
          <w:sz w:val="20"/>
          <w:szCs w:val="20"/>
          <w:rtl/>
        </w:rPr>
        <w:t xml:space="preserve"> טעם</w:t>
      </w:r>
      <w:r>
        <w:rPr>
          <w:rFonts w:hint="cs"/>
          <w:sz w:val="20"/>
          <w:szCs w:val="20"/>
          <w:rtl/>
        </w:rPr>
        <w:t>. חשש שמא יבוא עליה באיסור.</w:t>
      </w:r>
      <w:r>
        <w:rPr>
          <w:sz w:val="20"/>
          <w:szCs w:val="20"/>
          <w:rtl/>
        </w:rPr>
        <w:br/>
      </w:r>
      <w:r>
        <w:rPr>
          <w:rFonts w:hint="cs"/>
          <w:sz w:val="20"/>
          <w:szCs w:val="20"/>
          <w:rtl/>
        </w:rPr>
        <w:t xml:space="preserve">2. </w:t>
      </w:r>
      <w:r w:rsidRPr="00F87AB6">
        <w:rPr>
          <w:rFonts w:hint="cs"/>
          <w:sz w:val="20"/>
          <w:szCs w:val="20"/>
          <w:rtl/>
        </w:rPr>
        <w:t>ראיות והסבר. א. חשש שמא ישמש עמה לאחר טבילה דהוי איסור דרבנן וקיל ליה. ב. משום שזה איסור עולמי יש לחוש אפילו באיסור דאורייתא. ג. גם מלשון הרמב"ם משמע שאין לו לדור עמה בבית.</w:t>
      </w:r>
      <w:r w:rsidRPr="00F87AB6">
        <w:rPr>
          <w:sz w:val="20"/>
          <w:szCs w:val="20"/>
          <w:rtl/>
        </w:rPr>
        <w:br/>
      </w:r>
      <w:r w:rsidRPr="00F87AB6">
        <w:rPr>
          <w:rFonts w:hint="cs"/>
          <w:sz w:val="20"/>
          <w:szCs w:val="20"/>
          <w:rtl/>
        </w:rPr>
        <w:t>3. האם צריך לגרש?</w:t>
      </w:r>
      <w:r>
        <w:rPr>
          <w:rFonts w:hint="cs"/>
          <w:sz w:val="20"/>
          <w:szCs w:val="20"/>
          <w:rtl/>
        </w:rPr>
        <w:t xml:space="preserve"> </w:t>
      </w:r>
      <w:r w:rsidRPr="00DA2AE3">
        <w:rPr>
          <w:rFonts w:hint="cs"/>
          <w:b/>
          <w:bCs/>
          <w:sz w:val="20"/>
          <w:szCs w:val="20"/>
          <w:rtl/>
        </w:rPr>
        <w:t>רשב"א</w:t>
      </w:r>
      <w:r>
        <w:rPr>
          <w:rFonts w:hint="cs"/>
          <w:sz w:val="20"/>
          <w:szCs w:val="20"/>
          <w:rtl/>
        </w:rPr>
        <w:t xml:space="preserve">. לא, אך אסור להתייחד עמה, וכ"פ </w:t>
      </w:r>
      <w:r w:rsidRPr="00DA2AE3">
        <w:rPr>
          <w:rFonts w:hint="cs"/>
          <w:b/>
          <w:bCs/>
          <w:sz w:val="20"/>
          <w:szCs w:val="20"/>
          <w:rtl/>
        </w:rPr>
        <w:t>המחבר</w:t>
      </w:r>
      <w:r>
        <w:rPr>
          <w:rFonts w:hint="cs"/>
          <w:sz w:val="20"/>
          <w:szCs w:val="20"/>
          <w:rtl/>
        </w:rPr>
        <w:t>.</w:t>
      </w:r>
      <w:r>
        <w:rPr>
          <w:sz w:val="20"/>
          <w:szCs w:val="20"/>
          <w:rtl/>
        </w:rPr>
        <w:br/>
      </w:r>
      <w:r>
        <w:rPr>
          <w:rFonts w:hint="cs"/>
          <w:sz w:val="20"/>
          <w:szCs w:val="20"/>
          <w:rtl/>
        </w:rPr>
        <w:t xml:space="preserve">4. </w:t>
      </w:r>
      <w:r w:rsidRPr="00DA2AE3">
        <w:rPr>
          <w:rFonts w:hint="cs"/>
          <w:b/>
          <w:bCs/>
          <w:sz w:val="20"/>
          <w:szCs w:val="20"/>
          <w:rtl/>
        </w:rPr>
        <w:t>מחבר</w:t>
      </w:r>
      <w:r>
        <w:rPr>
          <w:rFonts w:hint="cs"/>
          <w:sz w:val="20"/>
          <w:szCs w:val="20"/>
          <w:rtl/>
        </w:rPr>
        <w:t>. אסור להשהות רמ"ת אפילו אם לא יבוא עליה, ורשאי לשהותה ע"י שליש ובלבד שאינו מתייחד עמה.</w:t>
      </w:r>
      <w:r>
        <w:rPr>
          <w:sz w:val="20"/>
          <w:szCs w:val="20"/>
          <w:rtl/>
        </w:rPr>
        <w:br/>
      </w:r>
      <w:r>
        <w:rPr>
          <w:rFonts w:hint="cs"/>
          <w:sz w:val="20"/>
          <w:szCs w:val="20"/>
          <w:rtl/>
        </w:rPr>
        <w:t xml:space="preserve">5. </w:t>
      </w:r>
      <w:r w:rsidRPr="00DA2AE3">
        <w:rPr>
          <w:rFonts w:hint="cs"/>
          <w:b/>
          <w:bCs/>
          <w:sz w:val="20"/>
          <w:szCs w:val="20"/>
          <w:rtl/>
        </w:rPr>
        <w:t>מהר"ם פדאווה</w:t>
      </w:r>
      <w:r>
        <w:rPr>
          <w:rFonts w:hint="cs"/>
          <w:sz w:val="20"/>
          <w:szCs w:val="20"/>
          <w:rtl/>
        </w:rPr>
        <w:t xml:space="preserve">. אם לא קיים פר"ו </w:t>
      </w:r>
      <w:r>
        <w:rPr>
          <w:sz w:val="20"/>
          <w:szCs w:val="20"/>
          <w:rtl/>
        </w:rPr>
        <w:t>–</w:t>
      </w:r>
      <w:r>
        <w:rPr>
          <w:rFonts w:hint="cs"/>
          <w:sz w:val="20"/>
          <w:szCs w:val="20"/>
          <w:rtl/>
        </w:rPr>
        <w:t xml:space="preserve"> כופים לגרש. </w:t>
      </w:r>
      <w:r w:rsidRPr="00DA2AE3">
        <w:rPr>
          <w:rFonts w:hint="cs"/>
          <w:b/>
          <w:bCs/>
          <w:sz w:val="20"/>
          <w:szCs w:val="20"/>
          <w:rtl/>
        </w:rPr>
        <w:t>רמ"א</w:t>
      </w:r>
      <w:r>
        <w:rPr>
          <w:rFonts w:hint="cs"/>
          <w:sz w:val="20"/>
          <w:szCs w:val="20"/>
          <w:rtl/>
        </w:rPr>
        <w:t>. נהגו לא לכפות בעניין הזיווגים.</w:t>
      </w:r>
      <w:r>
        <w:rPr>
          <w:sz w:val="20"/>
          <w:szCs w:val="20"/>
          <w:rtl/>
        </w:rPr>
        <w:br/>
      </w:r>
    </w:p>
    <w:p w:rsidR="00620060" w:rsidRDefault="00620060" w:rsidP="00620060">
      <w:pPr>
        <w:rPr>
          <w:sz w:val="20"/>
          <w:szCs w:val="20"/>
          <w:rtl/>
        </w:rPr>
      </w:pPr>
      <w:r>
        <w:rPr>
          <w:rFonts w:hint="cs"/>
          <w:b/>
          <w:bCs/>
          <w:sz w:val="20"/>
          <w:szCs w:val="20"/>
          <w:rtl/>
        </w:rPr>
        <w:t xml:space="preserve">סעיף יג </w:t>
      </w:r>
      <w:r>
        <w:rPr>
          <w:b/>
          <w:bCs/>
          <w:sz w:val="20"/>
          <w:szCs w:val="20"/>
          <w:rtl/>
        </w:rPr>
        <w:t>–</w:t>
      </w:r>
      <w:r>
        <w:rPr>
          <w:rFonts w:hint="cs"/>
          <w:b/>
          <w:bCs/>
          <w:sz w:val="20"/>
          <w:szCs w:val="20"/>
          <w:rtl/>
        </w:rPr>
        <w:t xml:space="preserve"> בתולה שרואה מחמת תשמיש</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בית יוסף </w:t>
      </w:r>
      <w:r>
        <w:rPr>
          <w:sz w:val="20"/>
          <w:szCs w:val="20"/>
          <w:rtl/>
        </w:rPr>
        <w:t>–</w:t>
      </w:r>
      <w:r>
        <w:rPr>
          <w:rFonts w:hint="cs"/>
          <w:sz w:val="20"/>
          <w:szCs w:val="20"/>
          <w:rtl/>
        </w:rPr>
        <w:t xml:space="preserve"> הבועל את הבתולה ורואה מחמת תשמיש, אפילו אם רואה כמה פעמים מותרת ואינה רמ"ת.</w:t>
      </w:r>
      <w:r>
        <w:rPr>
          <w:sz w:val="20"/>
          <w:szCs w:val="20"/>
          <w:rtl/>
        </w:rPr>
        <w:br/>
      </w:r>
      <w:r w:rsidRPr="00BB2C77">
        <w:rPr>
          <w:rFonts w:hint="cs"/>
          <w:b/>
          <w:bCs/>
          <w:sz w:val="20"/>
          <w:szCs w:val="20"/>
          <w:rtl/>
        </w:rPr>
        <w:t xml:space="preserve">טעם </w:t>
      </w:r>
      <w:r>
        <w:rPr>
          <w:sz w:val="20"/>
          <w:szCs w:val="20"/>
          <w:rtl/>
        </w:rPr>
        <w:t>–</w:t>
      </w:r>
      <w:r>
        <w:rPr>
          <w:rFonts w:hint="cs"/>
          <w:sz w:val="20"/>
          <w:szCs w:val="20"/>
          <w:rtl/>
        </w:rPr>
        <w:t xml:space="preserve"> יש לתלות את הדם בבתולים.</w:t>
      </w:r>
      <w:r>
        <w:rPr>
          <w:sz w:val="20"/>
          <w:szCs w:val="20"/>
          <w:rtl/>
        </w:rPr>
        <w:br/>
      </w:r>
      <w:r>
        <w:rPr>
          <w:rFonts w:hint="cs"/>
          <w:sz w:val="20"/>
          <w:szCs w:val="20"/>
          <w:rtl/>
        </w:rPr>
        <w:t>אמנם, אם פסקה לראות פעם אחת מחמת תשמיש, שוב אין תולים את הדם בבתולים ואם תראה ג' פעמים תיאסר כשאר אשה שרואה מחמת תשמיש.</w:t>
      </w:r>
    </w:p>
    <w:p w:rsidR="00620060" w:rsidRDefault="00620060" w:rsidP="00620060">
      <w:pPr>
        <w:rPr>
          <w:rFonts w:cs="Arial"/>
          <w:sz w:val="20"/>
          <w:szCs w:val="20"/>
          <w:rtl/>
        </w:rPr>
      </w:pPr>
      <w:r>
        <w:rPr>
          <w:rFonts w:hint="cs"/>
          <w:sz w:val="20"/>
          <w:szCs w:val="20"/>
          <w:u w:val="single"/>
          <w:rtl/>
        </w:rPr>
        <w:t>ראיות לפסק זה</w:t>
      </w:r>
      <w:r>
        <w:rPr>
          <w:sz w:val="20"/>
          <w:szCs w:val="20"/>
          <w:u w:val="single"/>
          <w:rtl/>
        </w:rPr>
        <w:br/>
      </w:r>
      <w:r>
        <w:rPr>
          <w:rFonts w:hint="cs"/>
          <w:sz w:val="20"/>
          <w:szCs w:val="20"/>
          <w:rtl/>
        </w:rPr>
        <w:t xml:space="preserve">א. </w:t>
      </w:r>
      <w:r w:rsidRPr="00774A37">
        <w:rPr>
          <w:rFonts w:hint="cs"/>
          <w:b/>
          <w:bCs/>
          <w:sz w:val="20"/>
          <w:szCs w:val="20"/>
          <w:rtl/>
        </w:rPr>
        <w:t>תוספתא</w:t>
      </w:r>
      <w:r>
        <w:rPr>
          <w:rFonts w:hint="cs"/>
          <w:sz w:val="20"/>
          <w:szCs w:val="20"/>
          <w:rtl/>
        </w:rPr>
        <w:t xml:space="preserve"> נדה (ט, ט) </w:t>
      </w:r>
      <w:r>
        <w:rPr>
          <w:sz w:val="20"/>
          <w:szCs w:val="20"/>
          <w:rtl/>
        </w:rPr>
        <w:t>–</w:t>
      </w:r>
      <w:r>
        <w:rPr>
          <w:rFonts w:hint="cs"/>
          <w:sz w:val="20"/>
          <w:szCs w:val="20"/>
          <w:rtl/>
        </w:rPr>
        <w:t xml:space="preserve"> "</w:t>
      </w:r>
      <w:r w:rsidRPr="00BB2C77">
        <w:rPr>
          <w:rFonts w:cs="Arial"/>
          <w:sz w:val="20"/>
          <w:szCs w:val="20"/>
          <w:rtl/>
        </w:rPr>
        <w:t>וכולן שהיו רואות דם</w:t>
      </w:r>
      <w:r>
        <w:rPr>
          <w:rFonts w:cs="Arial" w:hint="cs"/>
          <w:sz w:val="20"/>
          <w:szCs w:val="20"/>
          <w:rtl/>
        </w:rPr>
        <w:t xml:space="preserve"> -</w:t>
      </w:r>
      <w:r w:rsidRPr="00BB2C77">
        <w:rPr>
          <w:rFonts w:cs="Arial"/>
          <w:sz w:val="20"/>
          <w:szCs w:val="20"/>
          <w:rtl/>
        </w:rPr>
        <w:t xml:space="preserve"> בודקין אותן בשפופרת</w:t>
      </w:r>
      <w:r>
        <w:rPr>
          <w:rFonts w:cs="Arial" w:hint="cs"/>
          <w:sz w:val="20"/>
          <w:szCs w:val="20"/>
          <w:rtl/>
        </w:rPr>
        <w:t>.</w:t>
      </w:r>
      <w:r w:rsidRPr="00BB2C77">
        <w:rPr>
          <w:rFonts w:cs="Arial"/>
          <w:sz w:val="20"/>
          <w:szCs w:val="20"/>
          <w:rtl/>
        </w:rPr>
        <w:t xml:space="preserve"> חוץ מן הבתולה שד</w:t>
      </w:r>
      <w:r>
        <w:rPr>
          <w:rFonts w:cs="Arial"/>
          <w:sz w:val="20"/>
          <w:szCs w:val="20"/>
          <w:rtl/>
        </w:rPr>
        <w:t>מיה טהורין</w:t>
      </w:r>
      <w:r>
        <w:rPr>
          <w:rFonts w:cs="Arial" w:hint="cs"/>
          <w:sz w:val="20"/>
          <w:szCs w:val="20"/>
          <w:rtl/>
        </w:rPr>
        <w:t>,</w:t>
      </w:r>
      <w:r>
        <w:rPr>
          <w:rFonts w:cs="Arial"/>
          <w:sz w:val="20"/>
          <w:szCs w:val="20"/>
          <w:rtl/>
        </w:rPr>
        <w:t xml:space="preserve"> מפני שהוא דם בתולין</w:t>
      </w:r>
      <w:r>
        <w:rPr>
          <w:rFonts w:cs="Arial" w:hint="cs"/>
          <w:sz w:val="20"/>
          <w:szCs w:val="20"/>
          <w:rtl/>
        </w:rPr>
        <w:t>".</w:t>
      </w:r>
      <w:r>
        <w:rPr>
          <w:rFonts w:hint="cs"/>
          <w:sz w:val="20"/>
          <w:szCs w:val="20"/>
          <w:rtl/>
        </w:rPr>
        <w:t xml:space="preserve"> בתוספתא מדובר על רואה מחמת תשמיש, וקמ"ל שאין בודקים את הבתולה. </w:t>
      </w:r>
      <w:r>
        <w:rPr>
          <w:sz w:val="20"/>
          <w:szCs w:val="20"/>
          <w:rtl/>
        </w:rPr>
        <w:br/>
      </w:r>
      <w:r>
        <w:rPr>
          <w:rFonts w:hint="cs"/>
          <w:sz w:val="20"/>
          <w:szCs w:val="20"/>
          <w:rtl/>
        </w:rPr>
        <w:t>הטעם הוא, לפי שדמיה טהורים, כלומר שמקור הדם בבתולים.</w:t>
      </w:r>
      <w:r>
        <w:rPr>
          <w:sz w:val="20"/>
          <w:szCs w:val="20"/>
          <w:rtl/>
        </w:rPr>
        <w:br/>
      </w:r>
      <w:r>
        <w:rPr>
          <w:rFonts w:hint="cs"/>
          <w:sz w:val="20"/>
          <w:szCs w:val="20"/>
          <w:rtl/>
        </w:rPr>
        <w:t xml:space="preserve">ב. </w:t>
      </w:r>
      <w:r w:rsidRPr="00774A37">
        <w:rPr>
          <w:rFonts w:hint="cs"/>
          <w:b/>
          <w:bCs/>
          <w:sz w:val="20"/>
          <w:szCs w:val="20"/>
          <w:rtl/>
        </w:rPr>
        <w:t xml:space="preserve">גמרא </w:t>
      </w:r>
      <w:r>
        <w:rPr>
          <w:rFonts w:hint="cs"/>
          <w:sz w:val="20"/>
          <w:szCs w:val="20"/>
          <w:rtl/>
        </w:rPr>
        <w:t>נידה (יא:) "</w:t>
      </w:r>
      <w:r w:rsidRPr="00CA46A0">
        <w:rPr>
          <w:rFonts w:cs="Arial"/>
          <w:sz w:val="20"/>
          <w:szCs w:val="20"/>
          <w:rtl/>
        </w:rPr>
        <w:t>תינוקת שלא הגיע זמנה לראות ונשאת, ב</w:t>
      </w:r>
      <w:r>
        <w:rPr>
          <w:rFonts w:cs="Arial" w:hint="cs"/>
          <w:sz w:val="20"/>
          <w:szCs w:val="20"/>
          <w:rtl/>
        </w:rPr>
        <w:t xml:space="preserve">ית </w:t>
      </w:r>
      <w:r w:rsidRPr="00CA46A0">
        <w:rPr>
          <w:rFonts w:cs="Arial"/>
          <w:sz w:val="20"/>
          <w:szCs w:val="20"/>
          <w:rtl/>
        </w:rPr>
        <w:t>ש</w:t>
      </w:r>
      <w:r>
        <w:rPr>
          <w:rFonts w:cs="Arial" w:hint="cs"/>
          <w:sz w:val="20"/>
          <w:szCs w:val="20"/>
          <w:rtl/>
        </w:rPr>
        <w:t>מאי</w:t>
      </w:r>
      <w:r w:rsidRPr="00CA46A0">
        <w:rPr>
          <w:rFonts w:cs="Arial"/>
          <w:sz w:val="20"/>
          <w:szCs w:val="20"/>
          <w:rtl/>
        </w:rPr>
        <w:t xml:space="preserve"> אומרים: נותנין לה ארבע לילות, וב</w:t>
      </w:r>
      <w:r>
        <w:rPr>
          <w:rFonts w:cs="Arial" w:hint="cs"/>
          <w:sz w:val="20"/>
          <w:szCs w:val="20"/>
          <w:rtl/>
        </w:rPr>
        <w:t xml:space="preserve">ית </w:t>
      </w:r>
      <w:r w:rsidRPr="00CA46A0">
        <w:rPr>
          <w:rFonts w:cs="Arial"/>
          <w:sz w:val="20"/>
          <w:szCs w:val="20"/>
          <w:rtl/>
        </w:rPr>
        <w:t>ה</w:t>
      </w:r>
      <w:r>
        <w:rPr>
          <w:rFonts w:cs="Arial" w:hint="cs"/>
          <w:sz w:val="20"/>
          <w:szCs w:val="20"/>
          <w:rtl/>
        </w:rPr>
        <w:t>לל</w:t>
      </w:r>
      <w:r w:rsidRPr="00CA46A0">
        <w:rPr>
          <w:rFonts w:cs="Arial"/>
          <w:sz w:val="20"/>
          <w:szCs w:val="20"/>
          <w:rtl/>
        </w:rPr>
        <w:t xml:space="preserve"> אומרים: עד שתחיה המכה. אמר רב גידל אמר שמואל: לא שנו אלא שלא פסקה מחמת תשמיש, וראתה שלא מחמת תשמיש; אבל פסקה מחמת תשמיש וראתה </w:t>
      </w:r>
      <w:r>
        <w:rPr>
          <w:rFonts w:cs="Arial"/>
          <w:sz w:val="20"/>
          <w:szCs w:val="20"/>
          <w:rtl/>
        </w:rPr>
        <w:t>–</w:t>
      </w:r>
      <w:r w:rsidRPr="00CA46A0">
        <w:rPr>
          <w:rFonts w:cs="Arial"/>
          <w:sz w:val="20"/>
          <w:szCs w:val="20"/>
          <w:rtl/>
        </w:rPr>
        <w:t xml:space="preserve"> טמאה</w:t>
      </w:r>
      <w:r>
        <w:rPr>
          <w:rFonts w:cs="Arial" w:hint="cs"/>
          <w:sz w:val="20"/>
          <w:szCs w:val="20"/>
          <w:rtl/>
        </w:rPr>
        <w:t>"</w:t>
      </w:r>
      <w:r w:rsidRPr="00CA46A0">
        <w:rPr>
          <w:rFonts w:cs="Arial"/>
          <w:sz w:val="20"/>
          <w:szCs w:val="20"/>
          <w:rtl/>
        </w:rPr>
        <w:t>.</w:t>
      </w:r>
      <w:r>
        <w:rPr>
          <w:rFonts w:cs="Arial"/>
          <w:sz w:val="20"/>
          <w:szCs w:val="20"/>
          <w:rtl/>
        </w:rPr>
        <w:br/>
      </w:r>
      <w:r>
        <w:rPr>
          <w:rFonts w:cs="Arial" w:hint="cs"/>
          <w:sz w:val="20"/>
          <w:szCs w:val="20"/>
          <w:rtl/>
        </w:rPr>
        <w:t>ואע"פ שלא קיי"ל כמשנה זו, אלא נותנים לה בעילת מצווה בלבד, אפילו הכי יש ללמוד מהתם את הדין העקרוני שיש לתלות את הדם בבתולים, ולכן אין להחשיב בתולה שראתה דם כאשה הרואה מחמת תשמיש.</w:t>
      </w:r>
    </w:p>
    <w:p w:rsidR="00620060" w:rsidRDefault="00620060" w:rsidP="00620060">
      <w:pPr>
        <w:rPr>
          <w:sz w:val="20"/>
          <w:szCs w:val="20"/>
          <w:rtl/>
        </w:rPr>
      </w:pPr>
      <w:r>
        <w:rPr>
          <w:rFonts w:cs="Arial" w:hint="cs"/>
          <w:sz w:val="20"/>
          <w:szCs w:val="20"/>
          <w:u w:val="single"/>
          <w:rtl/>
        </w:rPr>
        <w:t>הסתייגות מפסק זה</w:t>
      </w:r>
      <w:r>
        <w:rPr>
          <w:rFonts w:cs="Arial"/>
          <w:sz w:val="20"/>
          <w:szCs w:val="20"/>
          <w:u w:val="single"/>
          <w:rtl/>
        </w:rPr>
        <w:br/>
      </w:r>
      <w:r w:rsidRPr="00C21D3B">
        <w:rPr>
          <w:rFonts w:cs="Arial" w:hint="cs"/>
          <w:b/>
          <w:bCs/>
          <w:sz w:val="20"/>
          <w:szCs w:val="20"/>
          <w:rtl/>
        </w:rPr>
        <w:t>בית יוסף</w:t>
      </w:r>
      <w:r>
        <w:rPr>
          <w:rFonts w:cs="Arial" w:hint="cs"/>
          <w:sz w:val="20"/>
          <w:szCs w:val="20"/>
          <w:rtl/>
        </w:rPr>
        <w:t xml:space="preserve"> </w:t>
      </w:r>
      <w:r>
        <w:rPr>
          <w:rFonts w:cs="Arial"/>
          <w:sz w:val="20"/>
          <w:szCs w:val="20"/>
          <w:rtl/>
        </w:rPr>
        <w:t>–</w:t>
      </w:r>
      <w:r>
        <w:rPr>
          <w:rFonts w:cs="Arial" w:hint="cs"/>
          <w:sz w:val="20"/>
          <w:szCs w:val="20"/>
          <w:rtl/>
        </w:rPr>
        <w:t xml:space="preserve"> למעשה הבית יוסף </w:t>
      </w:r>
      <w:r>
        <w:rPr>
          <w:rFonts w:hint="cs"/>
          <w:sz w:val="20"/>
          <w:szCs w:val="20"/>
          <w:rtl/>
        </w:rPr>
        <w:t>חשש להקל, וכתב שרק אם יש הוכחה נוספת שהוא דם בתולים יש להקל.</w:t>
      </w:r>
      <w:r>
        <w:rPr>
          <w:rFonts w:hint="cs"/>
          <w:sz w:val="20"/>
          <w:szCs w:val="20"/>
          <w:rtl/>
        </w:rPr>
        <w:br/>
        <w:t xml:space="preserve">מסביר </w:t>
      </w:r>
      <w:r w:rsidRPr="00A15C7E">
        <w:rPr>
          <w:rFonts w:hint="cs"/>
          <w:b/>
          <w:bCs/>
          <w:sz w:val="20"/>
          <w:szCs w:val="20"/>
          <w:rtl/>
        </w:rPr>
        <w:t>הט"ז</w:t>
      </w:r>
      <w:r>
        <w:rPr>
          <w:rFonts w:hint="cs"/>
          <w:sz w:val="20"/>
          <w:szCs w:val="20"/>
          <w:rtl/>
        </w:rPr>
        <w:t xml:space="preserve"> </w:t>
      </w:r>
      <w:r>
        <w:rPr>
          <w:sz w:val="20"/>
          <w:szCs w:val="20"/>
          <w:rtl/>
        </w:rPr>
        <w:t>–</w:t>
      </w:r>
      <w:r>
        <w:rPr>
          <w:rFonts w:hint="cs"/>
          <w:sz w:val="20"/>
          <w:szCs w:val="20"/>
          <w:rtl/>
        </w:rPr>
        <w:t xml:space="preserve"> הבית יוסף חשש להקל בכך משום שבתוספתא נאמר שיש להקל בבתולה בלבד. </w:t>
      </w:r>
      <w:r>
        <w:rPr>
          <w:sz w:val="20"/>
          <w:szCs w:val="20"/>
          <w:rtl/>
        </w:rPr>
        <w:br/>
      </w:r>
      <w:r>
        <w:rPr>
          <w:rFonts w:hint="cs"/>
          <w:sz w:val="20"/>
          <w:szCs w:val="20"/>
          <w:rtl/>
        </w:rPr>
        <w:lastRenderedPageBreak/>
        <w:t>דין בתולה מבואר במשנה ריש פרק תינוקת, ונאמרו בכך פרקי זמן שונים, עיין בהערה</w:t>
      </w:r>
      <w:r>
        <w:rPr>
          <w:rStyle w:val="a5"/>
          <w:sz w:val="20"/>
          <w:szCs w:val="20"/>
          <w:rtl/>
        </w:rPr>
        <w:footnoteReference w:id="134"/>
      </w:r>
      <w:r>
        <w:rPr>
          <w:rFonts w:hint="cs"/>
          <w:sz w:val="20"/>
          <w:szCs w:val="20"/>
          <w:rtl/>
        </w:rPr>
        <w:t>.</w:t>
      </w:r>
      <w:r>
        <w:rPr>
          <w:rFonts w:hint="cs"/>
          <w:sz w:val="20"/>
          <w:szCs w:val="20"/>
          <w:rtl/>
        </w:rPr>
        <w:br/>
        <w:t>ומעתה יש לומר שיש להתירה מחמת דם בתולים רק ע"פ פרקי הזמן שבמשנה, אך אין להקל בכל משך הזמן שלא פסקה לראות דם מחמת תשמיש.</w:t>
      </w:r>
    </w:p>
    <w:p w:rsidR="00620060" w:rsidRPr="00CA46A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774A37">
        <w:rPr>
          <w:rFonts w:cs="Arial"/>
          <w:sz w:val="20"/>
          <w:szCs w:val="20"/>
          <w:rtl/>
        </w:rPr>
        <w:t>הבועל את הבתולה כמה פעמים, וראתה דם מחמת תשמיש, לעולם מחזקינן שהם דם בתולים</w:t>
      </w:r>
      <w:r>
        <w:rPr>
          <w:rStyle w:val="a5"/>
          <w:rFonts w:cs="Arial"/>
          <w:sz w:val="20"/>
          <w:szCs w:val="20"/>
          <w:rtl/>
        </w:rPr>
        <w:footnoteReference w:id="135"/>
      </w:r>
      <w:r w:rsidRPr="00774A37">
        <w:rPr>
          <w:rFonts w:cs="Arial"/>
          <w:sz w:val="20"/>
          <w:szCs w:val="20"/>
          <w:rtl/>
        </w:rPr>
        <w:t xml:space="preserve"> עד שתשמש פעם אחת ולא תראה דם מחמת תשמיש. ואם אחר כך תראה של</w:t>
      </w:r>
      <w:r>
        <w:rPr>
          <w:rFonts w:cs="Arial" w:hint="cs"/>
          <w:sz w:val="20"/>
          <w:szCs w:val="20"/>
          <w:rtl/>
        </w:rPr>
        <w:t>ו</w:t>
      </w:r>
      <w:r w:rsidRPr="00774A37">
        <w:rPr>
          <w:rFonts w:cs="Arial"/>
          <w:sz w:val="20"/>
          <w:szCs w:val="20"/>
          <w:rtl/>
        </w:rPr>
        <w:t xml:space="preserve">ש פעמים מחמת תשמיש, הוחזקה להיות רואה דם מחמת תשמיש. </w:t>
      </w:r>
      <w:r w:rsidRPr="00774A37">
        <w:rPr>
          <w:rFonts w:cs="Arial"/>
          <w:sz w:val="18"/>
          <w:szCs w:val="18"/>
          <w:rtl/>
        </w:rPr>
        <w:t>הגה: ואפילו אם לא פסקה לראות פעם א</w:t>
      </w:r>
      <w:r>
        <w:rPr>
          <w:rFonts w:cs="Arial" w:hint="cs"/>
          <w:sz w:val="18"/>
          <w:szCs w:val="18"/>
          <w:rtl/>
        </w:rPr>
        <w:t>חת</w:t>
      </w:r>
      <w:r w:rsidRPr="00774A37">
        <w:rPr>
          <w:rFonts w:cs="Arial"/>
          <w:sz w:val="18"/>
          <w:szCs w:val="18"/>
          <w:rtl/>
        </w:rPr>
        <w:t>, אם אין לה צער כלל בשעת תשמיש, הרי היא ככל הנשים ולא תלינן בדם בתולים</w:t>
      </w:r>
      <w:r>
        <w:rPr>
          <w:rFonts w:cs="Arial" w:hint="cs"/>
          <w:sz w:val="20"/>
          <w:szCs w:val="20"/>
          <w:rtl/>
        </w:rPr>
        <w:t>"</w:t>
      </w:r>
      <w:r w:rsidRPr="00774A37">
        <w:rPr>
          <w:rFonts w:cs="Arial"/>
          <w:sz w:val="20"/>
          <w:szCs w:val="20"/>
          <w:rtl/>
        </w:rPr>
        <w:t xml:space="preserve">.  </w:t>
      </w:r>
    </w:p>
    <w:p w:rsidR="00620060" w:rsidRDefault="00620060" w:rsidP="00620060">
      <w:pPr>
        <w:rPr>
          <w:sz w:val="20"/>
          <w:szCs w:val="20"/>
          <w:rtl/>
        </w:rPr>
      </w:pPr>
      <w:r>
        <w:rPr>
          <w:rFonts w:hint="cs"/>
          <w:sz w:val="20"/>
          <w:szCs w:val="20"/>
          <w:u w:val="single"/>
          <w:rtl/>
        </w:rPr>
        <w:t>הסבר</w:t>
      </w:r>
      <w:r>
        <w:rPr>
          <w:sz w:val="20"/>
          <w:szCs w:val="20"/>
          <w:u w:val="single"/>
          <w:rtl/>
        </w:rPr>
        <w:br/>
      </w:r>
      <w:r>
        <w:rPr>
          <w:rFonts w:hint="cs"/>
          <w:sz w:val="20"/>
          <w:szCs w:val="20"/>
          <w:rtl/>
        </w:rPr>
        <w:t xml:space="preserve">אע"פ שמסקנת </w:t>
      </w:r>
      <w:r w:rsidRPr="0039285C">
        <w:rPr>
          <w:rFonts w:hint="cs"/>
          <w:b/>
          <w:bCs/>
          <w:sz w:val="20"/>
          <w:szCs w:val="20"/>
          <w:rtl/>
        </w:rPr>
        <w:t>הבית יוסף</w:t>
      </w:r>
      <w:r>
        <w:rPr>
          <w:rFonts w:hint="cs"/>
          <w:sz w:val="20"/>
          <w:szCs w:val="20"/>
          <w:rtl/>
        </w:rPr>
        <w:t xml:space="preserve"> היתה להקל רק כשיש הוכחה נוספת שהוא דם בתולים, מכל מקום פסק כאן בסתמא שיש להקל</w:t>
      </w:r>
      <w:r>
        <w:rPr>
          <w:rStyle w:val="a5"/>
          <w:sz w:val="20"/>
          <w:szCs w:val="20"/>
          <w:rtl/>
        </w:rPr>
        <w:footnoteReference w:id="136"/>
      </w:r>
      <w:r>
        <w:rPr>
          <w:rFonts w:hint="cs"/>
          <w:sz w:val="20"/>
          <w:szCs w:val="20"/>
          <w:rtl/>
        </w:rPr>
        <w:t xml:space="preserve">, וכ"פ </w:t>
      </w:r>
      <w:r w:rsidRPr="0039285C">
        <w:rPr>
          <w:rFonts w:hint="cs"/>
          <w:b/>
          <w:bCs/>
          <w:sz w:val="20"/>
          <w:szCs w:val="20"/>
          <w:rtl/>
        </w:rPr>
        <w:t>הב"ח</w:t>
      </w:r>
      <w:r>
        <w:rPr>
          <w:rFonts w:hint="cs"/>
          <w:sz w:val="20"/>
          <w:szCs w:val="20"/>
          <w:rtl/>
        </w:rPr>
        <w:t>.</w:t>
      </w:r>
      <w:r>
        <w:rPr>
          <w:sz w:val="20"/>
          <w:szCs w:val="20"/>
          <w:rtl/>
        </w:rPr>
        <w:br/>
      </w:r>
      <w:r>
        <w:rPr>
          <w:rFonts w:hint="cs"/>
          <w:sz w:val="20"/>
          <w:szCs w:val="20"/>
          <w:rtl/>
        </w:rPr>
        <w:t xml:space="preserve">אמנם, </w:t>
      </w:r>
      <w:r w:rsidRPr="0039285C">
        <w:rPr>
          <w:rFonts w:hint="cs"/>
          <w:b/>
          <w:bCs/>
          <w:sz w:val="20"/>
          <w:szCs w:val="20"/>
          <w:rtl/>
        </w:rPr>
        <w:t>הרמ"א</w:t>
      </w:r>
      <w:r>
        <w:rPr>
          <w:rFonts w:hint="cs"/>
          <w:sz w:val="20"/>
          <w:szCs w:val="20"/>
          <w:rtl/>
        </w:rPr>
        <w:t xml:space="preserve"> החמיר כדברי הבית יוסף וכתב שאם אין לה צער, כלומר אם אין הוכחה נוספת שהדם הוא דם בתולים, אין להקל.</w:t>
      </w:r>
    </w:p>
    <w:p w:rsidR="00620060" w:rsidRDefault="00620060" w:rsidP="00620060">
      <w:pPr>
        <w:rPr>
          <w:sz w:val="20"/>
          <w:szCs w:val="20"/>
          <w:rtl/>
        </w:rPr>
      </w:pPr>
      <w:r>
        <w:rPr>
          <w:rFonts w:hint="cs"/>
          <w:sz w:val="20"/>
          <w:szCs w:val="20"/>
          <w:u w:val="single"/>
          <w:rtl/>
        </w:rPr>
        <w:t>שימשה ולא בדקה עצמה (פת"ש ובדה"ש)</w:t>
      </w:r>
      <w:r>
        <w:rPr>
          <w:sz w:val="20"/>
          <w:szCs w:val="20"/>
          <w:u w:val="single"/>
          <w:rtl/>
        </w:rPr>
        <w:br/>
      </w:r>
      <w:r>
        <w:rPr>
          <w:rFonts w:hint="cs"/>
          <w:sz w:val="20"/>
          <w:szCs w:val="20"/>
          <w:rtl/>
        </w:rPr>
        <w:t>בתולה ששימשה וראתה כמה פעמים, ולאחר מכן שימשה פעם אחת ולא בדקה עצמה האם ראתה מחמת תשמיש, האם יכולה להמשיך ולשמש ולתלות את הדם בבתולים?</w:t>
      </w:r>
      <w:r>
        <w:rPr>
          <w:sz w:val="20"/>
          <w:szCs w:val="20"/>
          <w:rtl/>
        </w:rPr>
        <w:br/>
      </w:r>
      <w:r>
        <w:rPr>
          <w:rFonts w:hint="cs"/>
          <w:sz w:val="20"/>
          <w:szCs w:val="20"/>
          <w:rtl/>
        </w:rPr>
        <w:t xml:space="preserve">א. </w:t>
      </w:r>
      <w:r w:rsidRPr="004C2A42">
        <w:rPr>
          <w:rFonts w:hint="cs"/>
          <w:b/>
          <w:bCs/>
          <w:sz w:val="20"/>
          <w:szCs w:val="20"/>
          <w:rtl/>
        </w:rPr>
        <w:t>חוות דעת</w:t>
      </w:r>
      <w:r>
        <w:rPr>
          <w:rFonts w:hint="cs"/>
          <w:sz w:val="20"/>
          <w:szCs w:val="20"/>
          <w:rtl/>
        </w:rPr>
        <w:t xml:space="preserve"> </w:t>
      </w:r>
      <w:r>
        <w:rPr>
          <w:sz w:val="20"/>
          <w:szCs w:val="20"/>
          <w:rtl/>
        </w:rPr>
        <w:t>–</w:t>
      </w:r>
      <w:r>
        <w:rPr>
          <w:rFonts w:hint="cs"/>
          <w:sz w:val="20"/>
          <w:szCs w:val="20"/>
          <w:rtl/>
        </w:rPr>
        <w:t xml:space="preserve"> לא, אם תראה מעתה ג' פעמים תיאסר כשאר אשה רמ"ת.</w:t>
      </w:r>
      <w:r>
        <w:rPr>
          <w:sz w:val="20"/>
          <w:szCs w:val="20"/>
          <w:rtl/>
        </w:rPr>
        <w:br/>
      </w:r>
      <w:r>
        <w:rPr>
          <w:rFonts w:hint="cs"/>
          <w:sz w:val="20"/>
          <w:szCs w:val="20"/>
          <w:rtl/>
        </w:rPr>
        <w:t xml:space="preserve">ב. </w:t>
      </w:r>
      <w:r w:rsidRPr="004C2A42">
        <w:rPr>
          <w:rFonts w:hint="cs"/>
          <w:b/>
          <w:bCs/>
          <w:sz w:val="20"/>
          <w:szCs w:val="20"/>
          <w:rtl/>
        </w:rPr>
        <w:t>בדי השולחן</w:t>
      </w:r>
      <w:r>
        <w:rPr>
          <w:rFonts w:hint="cs"/>
          <w:sz w:val="20"/>
          <w:szCs w:val="20"/>
          <w:rtl/>
        </w:rPr>
        <w:t xml:space="preserve"> </w:t>
      </w:r>
      <w:r>
        <w:rPr>
          <w:sz w:val="20"/>
          <w:szCs w:val="20"/>
          <w:rtl/>
        </w:rPr>
        <w:t>–</w:t>
      </w:r>
      <w:r>
        <w:rPr>
          <w:rFonts w:hint="cs"/>
          <w:sz w:val="20"/>
          <w:szCs w:val="20"/>
          <w:rtl/>
        </w:rPr>
        <w:t xml:space="preserve"> כן, תשמיש זה כמאן דליתא דמי, שהרי אין ידוע לנו להדיא שפסקה לראות מחמת תשמיש.</w:t>
      </w:r>
    </w:p>
    <w:p w:rsidR="00620060" w:rsidRPr="008002BA" w:rsidRDefault="00620060" w:rsidP="00620060">
      <w:pPr>
        <w:rPr>
          <w:sz w:val="20"/>
          <w:szCs w:val="20"/>
          <w:rtl/>
        </w:rPr>
      </w:pPr>
      <w:r>
        <w:rPr>
          <w:rFonts w:hint="cs"/>
          <w:sz w:val="20"/>
          <w:szCs w:val="20"/>
          <w:u w:val="single"/>
          <w:rtl/>
        </w:rPr>
        <w:t>שימשה אך לא היתה ביאה גמורה (פת"ש)</w:t>
      </w:r>
      <w:r>
        <w:rPr>
          <w:rFonts w:hint="cs"/>
          <w:sz w:val="20"/>
          <w:szCs w:val="20"/>
          <w:u w:val="single"/>
          <w:rtl/>
        </w:rPr>
        <w:br/>
      </w:r>
      <w:r w:rsidRPr="008002BA">
        <w:rPr>
          <w:rFonts w:hint="cs"/>
          <w:b/>
          <w:bCs/>
          <w:sz w:val="20"/>
          <w:szCs w:val="20"/>
          <w:rtl/>
        </w:rPr>
        <w:t>נודע ביהודה</w:t>
      </w:r>
      <w:r>
        <w:rPr>
          <w:rFonts w:hint="cs"/>
          <w:sz w:val="20"/>
          <w:szCs w:val="20"/>
          <w:rtl/>
        </w:rPr>
        <w:t xml:space="preserve"> </w:t>
      </w:r>
      <w:r>
        <w:rPr>
          <w:sz w:val="20"/>
          <w:szCs w:val="20"/>
          <w:rtl/>
        </w:rPr>
        <w:t>–</w:t>
      </w:r>
      <w:r>
        <w:rPr>
          <w:rFonts w:hint="cs"/>
          <w:sz w:val="20"/>
          <w:szCs w:val="20"/>
          <w:rtl/>
        </w:rPr>
        <w:t xml:space="preserve"> מעשה בבתולה שראתה מחמת תשמיש וגם הרגישה כאב. ואולם, בשני תשמישים לא ראתה ואחר כך המשיכה לראות, אלא שהיא טוענת שבפעמיים שלא ראתה לא היתה ביאה גמורה.</w:t>
      </w:r>
      <w:r>
        <w:rPr>
          <w:sz w:val="20"/>
          <w:szCs w:val="20"/>
          <w:rtl/>
        </w:rPr>
        <w:br/>
      </w:r>
      <w:r>
        <w:rPr>
          <w:rFonts w:hint="cs"/>
          <w:sz w:val="20"/>
          <w:szCs w:val="20"/>
          <w:rtl/>
        </w:rPr>
        <w:t>הנוב"י נטה להקל שהיא אינה רמ"ת אלא ראיותיה מחמת בתולים, אלא שכתב לסמוך על כך רק בצירוף צדדים נוספים, וכן שלא יזדקק לה בעלה בליל הטבילה.</w:t>
      </w:r>
    </w:p>
    <w:p w:rsidR="00620060" w:rsidRDefault="00620060" w:rsidP="00620060">
      <w:pPr>
        <w:rPr>
          <w:rFonts w:cs="Arial"/>
          <w:sz w:val="20"/>
          <w:szCs w:val="20"/>
          <w:rtl/>
        </w:rPr>
      </w:pPr>
      <w:r>
        <w:rPr>
          <w:rFonts w:hint="cs"/>
          <w:b/>
          <w:bCs/>
          <w:sz w:val="20"/>
          <w:szCs w:val="20"/>
          <w:rtl/>
        </w:rPr>
        <w:t>רמ"ת שלבעלה יוצא דם מפי האמה</w:t>
      </w:r>
      <w:r>
        <w:rPr>
          <w:b/>
          <w:bCs/>
          <w:sz w:val="20"/>
          <w:szCs w:val="20"/>
          <w:rtl/>
        </w:rPr>
        <w:br/>
      </w:r>
      <w:r>
        <w:rPr>
          <w:rFonts w:hint="cs"/>
          <w:b/>
          <w:bCs/>
          <w:sz w:val="20"/>
          <w:szCs w:val="20"/>
          <w:rtl/>
        </w:rPr>
        <w:t xml:space="preserve">משנה </w:t>
      </w:r>
      <w:r>
        <w:rPr>
          <w:rFonts w:hint="cs"/>
          <w:sz w:val="20"/>
          <w:szCs w:val="20"/>
          <w:rtl/>
        </w:rPr>
        <w:t>נידה (נח:) "</w:t>
      </w:r>
      <w:r w:rsidRPr="0068309A">
        <w:rPr>
          <w:rFonts w:cs="Arial"/>
          <w:sz w:val="20"/>
          <w:szCs w:val="20"/>
          <w:rtl/>
        </w:rPr>
        <w:t>ותולה בכל דבר שהיא יכולה לתלות;</w:t>
      </w:r>
      <w:r>
        <w:rPr>
          <w:rFonts w:cs="Arial" w:hint="cs"/>
          <w:sz w:val="20"/>
          <w:szCs w:val="20"/>
          <w:rtl/>
        </w:rPr>
        <w:t>...</w:t>
      </w:r>
      <w:r w:rsidRPr="0068309A">
        <w:rPr>
          <w:rFonts w:cs="Arial"/>
          <w:sz w:val="20"/>
          <w:szCs w:val="20"/>
          <w:rtl/>
        </w:rPr>
        <w:t xml:space="preserve"> ותולה בבנה או בבעלה</w:t>
      </w:r>
      <w:r>
        <w:rPr>
          <w:rFonts w:cs="Arial" w:hint="cs"/>
          <w:sz w:val="20"/>
          <w:szCs w:val="20"/>
          <w:rtl/>
        </w:rPr>
        <w:t>"</w:t>
      </w:r>
      <w:r w:rsidRPr="0068309A">
        <w:rPr>
          <w:rFonts w:cs="Arial"/>
          <w:sz w:val="20"/>
          <w:szCs w:val="20"/>
          <w:rtl/>
        </w:rPr>
        <w:t>.</w:t>
      </w:r>
    </w:p>
    <w:p w:rsidR="00620060" w:rsidRDefault="00620060" w:rsidP="00620060">
      <w:pPr>
        <w:rPr>
          <w:sz w:val="20"/>
          <w:szCs w:val="20"/>
          <w:rtl/>
        </w:rPr>
      </w:pPr>
      <w:r>
        <w:rPr>
          <w:rFonts w:cs="Arial" w:hint="cs"/>
          <w:b/>
          <w:bCs/>
          <w:sz w:val="20"/>
          <w:szCs w:val="20"/>
          <w:rtl/>
        </w:rPr>
        <w:t>פסיקת הלכה</w:t>
      </w:r>
      <w:r>
        <w:rPr>
          <w:rFonts w:cs="Arial"/>
          <w:b/>
          <w:bCs/>
          <w:sz w:val="20"/>
          <w:szCs w:val="20"/>
          <w:rtl/>
        </w:rPr>
        <w:br/>
      </w:r>
      <w:r>
        <w:rPr>
          <w:rFonts w:cs="Arial" w:hint="cs"/>
          <w:b/>
          <w:bCs/>
          <w:sz w:val="20"/>
          <w:szCs w:val="20"/>
          <w:rtl/>
        </w:rPr>
        <w:t xml:space="preserve">רמ"א </w:t>
      </w:r>
      <w:r w:rsidRPr="0068309A">
        <w:rPr>
          <w:rFonts w:cs="Arial" w:hint="cs"/>
          <w:sz w:val="18"/>
          <w:szCs w:val="18"/>
          <w:rtl/>
        </w:rPr>
        <w:t xml:space="preserve">(ע"פ תשובת </w:t>
      </w:r>
      <w:r w:rsidRPr="0068309A">
        <w:rPr>
          <w:rFonts w:cs="Arial" w:hint="cs"/>
          <w:b/>
          <w:bCs/>
          <w:sz w:val="18"/>
          <w:szCs w:val="18"/>
          <w:rtl/>
        </w:rPr>
        <w:t>הרשב"א</w:t>
      </w:r>
      <w:r w:rsidRPr="0068309A">
        <w:rPr>
          <w:rFonts w:cs="Arial" w:hint="cs"/>
          <w:sz w:val="18"/>
          <w:szCs w:val="18"/>
          <w:rtl/>
        </w:rPr>
        <w:t xml:space="preserve">) </w:t>
      </w:r>
      <w:r w:rsidRPr="0068309A">
        <w:rPr>
          <w:rFonts w:cs="Arial"/>
          <w:sz w:val="18"/>
          <w:szCs w:val="18"/>
          <w:rtl/>
        </w:rPr>
        <w:t>–</w:t>
      </w:r>
      <w:r w:rsidRPr="0068309A">
        <w:rPr>
          <w:rFonts w:cs="Arial" w:hint="cs"/>
          <w:sz w:val="18"/>
          <w:szCs w:val="18"/>
          <w:rtl/>
        </w:rPr>
        <w:t xml:space="preserve"> "</w:t>
      </w:r>
      <w:r w:rsidRPr="0068309A">
        <w:rPr>
          <w:rFonts w:cs="Arial"/>
          <w:sz w:val="18"/>
          <w:szCs w:val="18"/>
          <w:rtl/>
        </w:rPr>
        <w:t>מי שיוצא דם ממנו דרך פי אמה, וש</w:t>
      </w:r>
      <w:r w:rsidRPr="0068309A">
        <w:rPr>
          <w:rFonts w:cs="Arial" w:hint="cs"/>
          <w:sz w:val="18"/>
          <w:szCs w:val="18"/>
          <w:rtl/>
        </w:rPr>
        <w:t>י</w:t>
      </w:r>
      <w:r w:rsidRPr="0068309A">
        <w:rPr>
          <w:rFonts w:cs="Arial"/>
          <w:sz w:val="18"/>
          <w:szCs w:val="18"/>
          <w:rtl/>
        </w:rPr>
        <w:t>מש, האשה תולה בו</w:t>
      </w:r>
      <w:r w:rsidRPr="0068309A">
        <w:rPr>
          <w:rFonts w:hint="cs"/>
          <w:sz w:val="18"/>
          <w:szCs w:val="18"/>
          <w:rtl/>
        </w:rPr>
        <w:t>".</w:t>
      </w:r>
    </w:p>
    <w:p w:rsidR="00620060" w:rsidRPr="00E63E80"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E63E80">
        <w:rPr>
          <w:rFonts w:hint="cs"/>
          <w:b/>
          <w:bCs/>
          <w:sz w:val="20"/>
          <w:szCs w:val="20"/>
          <w:rtl/>
        </w:rPr>
        <w:t>בית יוסף</w:t>
      </w:r>
      <w:r>
        <w:rPr>
          <w:rFonts w:hint="cs"/>
          <w:sz w:val="20"/>
          <w:szCs w:val="20"/>
          <w:rtl/>
        </w:rPr>
        <w:t>. בתולה שרואה מחמת תשמיש, תולה בבתולים ומותרת עד שתפסוק לראות פ"א מחמת תשמיש.</w:t>
      </w:r>
      <w:r>
        <w:rPr>
          <w:sz w:val="20"/>
          <w:szCs w:val="20"/>
          <w:rtl/>
        </w:rPr>
        <w:br/>
      </w:r>
      <w:r>
        <w:rPr>
          <w:rFonts w:hint="cs"/>
          <w:sz w:val="20"/>
          <w:szCs w:val="20"/>
          <w:rtl/>
        </w:rPr>
        <w:t xml:space="preserve">2. </w:t>
      </w:r>
      <w:r w:rsidRPr="00A15C7E">
        <w:rPr>
          <w:rFonts w:hint="cs"/>
          <w:sz w:val="20"/>
          <w:szCs w:val="20"/>
          <w:rtl/>
        </w:rPr>
        <w:t>הסתייגות.</w:t>
      </w:r>
      <w:r>
        <w:rPr>
          <w:rFonts w:hint="cs"/>
          <w:sz w:val="20"/>
          <w:szCs w:val="20"/>
          <w:rtl/>
        </w:rPr>
        <w:t xml:space="preserve"> למעשה, חשש </w:t>
      </w:r>
      <w:r w:rsidRPr="00EF3A29">
        <w:rPr>
          <w:rFonts w:hint="cs"/>
          <w:b/>
          <w:bCs/>
          <w:sz w:val="20"/>
          <w:szCs w:val="20"/>
          <w:rtl/>
        </w:rPr>
        <w:t>הב"י</w:t>
      </w:r>
      <w:r>
        <w:rPr>
          <w:rFonts w:hint="cs"/>
          <w:sz w:val="20"/>
          <w:szCs w:val="20"/>
          <w:rtl/>
        </w:rPr>
        <w:t xml:space="preserve"> להקל וכתב שרק אם יש הוכחה נוספת שהוא דם בתולים יש להקל.</w:t>
      </w:r>
      <w:r>
        <w:rPr>
          <w:rFonts w:hint="cs"/>
          <w:sz w:val="20"/>
          <w:szCs w:val="20"/>
          <w:rtl/>
        </w:rPr>
        <w:br/>
        <w:t xml:space="preserve">3. </w:t>
      </w:r>
      <w:r w:rsidRPr="00A15C7E">
        <w:rPr>
          <w:rFonts w:hint="cs"/>
          <w:b/>
          <w:bCs/>
          <w:sz w:val="20"/>
          <w:szCs w:val="20"/>
          <w:rtl/>
        </w:rPr>
        <w:t>ט"ז</w:t>
      </w:r>
      <w:r>
        <w:rPr>
          <w:rFonts w:hint="cs"/>
          <w:sz w:val="20"/>
          <w:szCs w:val="20"/>
          <w:rtl/>
        </w:rPr>
        <w:t xml:space="preserve">. </w:t>
      </w:r>
      <w:r w:rsidRPr="00A15C7E">
        <w:rPr>
          <w:rFonts w:hint="cs"/>
          <w:b/>
          <w:bCs/>
          <w:sz w:val="20"/>
          <w:szCs w:val="20"/>
          <w:rtl/>
        </w:rPr>
        <w:t>הב"י</w:t>
      </w:r>
      <w:r>
        <w:rPr>
          <w:rFonts w:hint="cs"/>
          <w:sz w:val="20"/>
          <w:szCs w:val="20"/>
          <w:rtl/>
        </w:rPr>
        <w:t xml:space="preserve"> חשש להקל משום שבמשנה נאמרו פרקי זמן מוגדרים לבתולה ואין להתיר לעולם.</w:t>
      </w:r>
      <w:r>
        <w:rPr>
          <w:sz w:val="20"/>
          <w:szCs w:val="20"/>
          <w:rtl/>
        </w:rPr>
        <w:br/>
      </w:r>
      <w:r>
        <w:rPr>
          <w:rFonts w:hint="cs"/>
          <w:sz w:val="20"/>
          <w:szCs w:val="20"/>
          <w:rtl/>
        </w:rPr>
        <w:t xml:space="preserve">4. </w:t>
      </w:r>
      <w:r w:rsidRPr="00EF3A29">
        <w:rPr>
          <w:rFonts w:hint="cs"/>
          <w:b/>
          <w:bCs/>
          <w:sz w:val="20"/>
          <w:szCs w:val="20"/>
          <w:rtl/>
        </w:rPr>
        <w:t>מחבר</w:t>
      </w:r>
      <w:r>
        <w:rPr>
          <w:rFonts w:hint="cs"/>
          <w:sz w:val="20"/>
          <w:szCs w:val="20"/>
          <w:rtl/>
        </w:rPr>
        <w:t xml:space="preserve">. בתולה אינה נעשית רמ"ת עד שתפסוק פ"א. </w:t>
      </w:r>
      <w:r w:rsidRPr="00EF3A29">
        <w:rPr>
          <w:rFonts w:hint="cs"/>
          <w:b/>
          <w:bCs/>
          <w:sz w:val="20"/>
          <w:szCs w:val="20"/>
          <w:rtl/>
        </w:rPr>
        <w:t>רמ"א</w:t>
      </w:r>
      <w:r>
        <w:rPr>
          <w:rFonts w:hint="cs"/>
          <w:sz w:val="20"/>
          <w:szCs w:val="20"/>
          <w:rtl/>
        </w:rPr>
        <w:t>. רק אם יש הוכחה נוספת, כגון שמצטערת.</w:t>
      </w:r>
      <w:r>
        <w:rPr>
          <w:sz w:val="20"/>
          <w:szCs w:val="20"/>
          <w:rtl/>
        </w:rPr>
        <w:br/>
      </w:r>
      <w:r>
        <w:rPr>
          <w:rFonts w:hint="cs"/>
          <w:sz w:val="20"/>
          <w:szCs w:val="20"/>
          <w:rtl/>
        </w:rPr>
        <w:t xml:space="preserve">5. בתולה ששימשה וראתה, אח"כ שימשה ולא בדקה, האם עדיין תולה בבתולים? </w:t>
      </w:r>
      <w:r w:rsidRPr="00EF3A29">
        <w:rPr>
          <w:rFonts w:hint="cs"/>
          <w:b/>
          <w:bCs/>
          <w:sz w:val="20"/>
          <w:szCs w:val="20"/>
          <w:rtl/>
        </w:rPr>
        <w:t>חוו"ד</w:t>
      </w:r>
      <w:r>
        <w:rPr>
          <w:rFonts w:hint="cs"/>
          <w:sz w:val="20"/>
          <w:szCs w:val="20"/>
          <w:rtl/>
        </w:rPr>
        <w:t xml:space="preserve">. לא. </w:t>
      </w:r>
      <w:r w:rsidRPr="00EF3A29">
        <w:rPr>
          <w:rFonts w:hint="cs"/>
          <w:b/>
          <w:bCs/>
          <w:sz w:val="20"/>
          <w:szCs w:val="20"/>
          <w:rtl/>
        </w:rPr>
        <w:t>בדה"ש</w:t>
      </w:r>
      <w:r>
        <w:rPr>
          <w:rFonts w:hint="cs"/>
          <w:sz w:val="20"/>
          <w:szCs w:val="20"/>
          <w:rtl/>
        </w:rPr>
        <w:t>. כן.</w:t>
      </w:r>
      <w:r>
        <w:rPr>
          <w:rFonts w:hint="cs"/>
          <w:sz w:val="20"/>
          <w:szCs w:val="20"/>
          <w:rtl/>
        </w:rPr>
        <w:br/>
        <w:t xml:space="preserve">6. </w:t>
      </w:r>
      <w:r w:rsidRPr="00BA433F">
        <w:rPr>
          <w:rFonts w:hint="cs"/>
          <w:b/>
          <w:bCs/>
          <w:sz w:val="20"/>
          <w:szCs w:val="20"/>
          <w:rtl/>
        </w:rPr>
        <w:t>נוב"י</w:t>
      </w:r>
      <w:r>
        <w:rPr>
          <w:rFonts w:hint="cs"/>
          <w:sz w:val="20"/>
          <w:szCs w:val="20"/>
          <w:rtl/>
        </w:rPr>
        <w:t>. בתולה רמ"ת שפעמיים לא ראתה אך טוענת שלא היו אלו ביאות גמורות, יש לצרף זאת להקל.</w:t>
      </w:r>
      <w:r>
        <w:rPr>
          <w:sz w:val="20"/>
          <w:szCs w:val="20"/>
          <w:rtl/>
        </w:rPr>
        <w:br/>
      </w:r>
      <w:r>
        <w:rPr>
          <w:rFonts w:hint="cs"/>
          <w:sz w:val="20"/>
          <w:szCs w:val="20"/>
          <w:rtl/>
        </w:rPr>
        <w:t xml:space="preserve">7. </w:t>
      </w:r>
      <w:r w:rsidRPr="00EF3A29">
        <w:rPr>
          <w:rFonts w:hint="cs"/>
          <w:b/>
          <w:bCs/>
          <w:sz w:val="20"/>
          <w:szCs w:val="20"/>
          <w:rtl/>
        </w:rPr>
        <w:t>רמ"א</w:t>
      </w:r>
      <w:r>
        <w:rPr>
          <w:rFonts w:hint="cs"/>
          <w:sz w:val="20"/>
          <w:szCs w:val="20"/>
          <w:rtl/>
        </w:rPr>
        <w:t xml:space="preserve"> </w:t>
      </w:r>
      <w:r w:rsidRPr="00EF3A29">
        <w:rPr>
          <w:rFonts w:hint="cs"/>
          <w:sz w:val="18"/>
          <w:szCs w:val="18"/>
          <w:rtl/>
        </w:rPr>
        <w:t xml:space="preserve">(ע"פ </w:t>
      </w:r>
      <w:r w:rsidRPr="00EF3A29">
        <w:rPr>
          <w:rFonts w:hint="cs"/>
          <w:b/>
          <w:bCs/>
          <w:sz w:val="18"/>
          <w:szCs w:val="18"/>
          <w:rtl/>
        </w:rPr>
        <w:t>הרשב"א</w:t>
      </w:r>
      <w:r w:rsidRPr="00EF3A29">
        <w:rPr>
          <w:rFonts w:hint="cs"/>
          <w:sz w:val="18"/>
          <w:szCs w:val="18"/>
          <w:rtl/>
        </w:rPr>
        <w:t>)</w:t>
      </w:r>
      <w:r>
        <w:rPr>
          <w:rFonts w:hint="cs"/>
          <w:sz w:val="20"/>
          <w:szCs w:val="20"/>
          <w:rtl/>
        </w:rPr>
        <w:t>. מי שיוצא ממנו דם מפי האמה ושימש, אשתו תולה בו.</w:t>
      </w:r>
    </w:p>
    <w:p w:rsidR="00620060" w:rsidRPr="00884292" w:rsidRDefault="00620060" w:rsidP="00620060">
      <w:pPr>
        <w:rPr>
          <w:sz w:val="20"/>
          <w:szCs w:val="20"/>
          <w:rtl/>
        </w:rPr>
      </w:pPr>
      <w:r>
        <w:rPr>
          <w:sz w:val="20"/>
          <w:szCs w:val="20"/>
          <w:rtl/>
        </w:rPr>
        <w:lastRenderedPageBreak/>
        <w:br/>
      </w:r>
      <w:r>
        <w:rPr>
          <w:rFonts w:hint="cs"/>
          <w:b/>
          <w:bCs/>
          <w:sz w:val="20"/>
          <w:szCs w:val="20"/>
          <w:rtl/>
        </w:rPr>
        <w:t xml:space="preserve">סעיף יד </w:t>
      </w:r>
      <w:r>
        <w:rPr>
          <w:b/>
          <w:bCs/>
          <w:sz w:val="20"/>
          <w:szCs w:val="20"/>
          <w:rtl/>
        </w:rPr>
        <w:t>–</w:t>
      </w:r>
      <w:r>
        <w:rPr>
          <w:rFonts w:hint="cs"/>
          <w:b/>
          <w:bCs/>
          <w:sz w:val="20"/>
          <w:szCs w:val="20"/>
          <w:rtl/>
        </w:rPr>
        <w:t xml:space="preserve"> גירושי אשה שאינו יכול לקיים עמה פריה ורביה</w:t>
      </w:r>
      <w:r>
        <w:rPr>
          <w:b/>
          <w:b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שולחן ערוך </w:t>
      </w:r>
      <w:r w:rsidRPr="00884292">
        <w:rPr>
          <w:rFonts w:hint="cs"/>
          <w:sz w:val="18"/>
          <w:szCs w:val="18"/>
          <w:rtl/>
        </w:rPr>
        <w:t xml:space="preserve">(ע"פ </w:t>
      </w:r>
      <w:r w:rsidRPr="00884292">
        <w:rPr>
          <w:rFonts w:hint="cs"/>
          <w:b/>
          <w:bCs/>
          <w:sz w:val="18"/>
          <w:szCs w:val="18"/>
          <w:rtl/>
        </w:rPr>
        <w:t>התשב"ץ</w:t>
      </w:r>
      <w:r w:rsidRPr="00884292">
        <w:rPr>
          <w:rFonts w:hint="cs"/>
          <w:sz w:val="18"/>
          <w:szCs w:val="18"/>
          <w:rtl/>
        </w:rPr>
        <w:t xml:space="preserve">) </w:t>
      </w:r>
      <w:r>
        <w:rPr>
          <w:sz w:val="20"/>
          <w:szCs w:val="20"/>
          <w:rtl/>
        </w:rPr>
        <w:t>–</w:t>
      </w:r>
      <w:r>
        <w:rPr>
          <w:rFonts w:hint="cs"/>
          <w:sz w:val="20"/>
          <w:szCs w:val="20"/>
          <w:rtl/>
        </w:rPr>
        <w:t xml:space="preserve"> "</w:t>
      </w:r>
      <w:r w:rsidRPr="00884292">
        <w:rPr>
          <w:rFonts w:cs="Arial"/>
          <w:sz w:val="20"/>
          <w:szCs w:val="20"/>
          <w:rtl/>
        </w:rPr>
        <w:t>אשה שיש לה מכות ופצעים שאינה יכולה לטבול, תצא מתחת בעלה, כדי שלא יבטל מפריה ורביה</w:t>
      </w:r>
      <w:r>
        <w:rPr>
          <w:rFonts w:cs="Arial" w:hint="cs"/>
          <w:sz w:val="20"/>
          <w:szCs w:val="20"/>
          <w:rtl/>
        </w:rPr>
        <w:t>"</w:t>
      </w:r>
      <w:r w:rsidRPr="00884292">
        <w:rPr>
          <w:rFonts w:cs="Arial"/>
          <w:sz w:val="20"/>
          <w:szCs w:val="20"/>
          <w:rtl/>
        </w:rPr>
        <w:t>.</w:t>
      </w:r>
      <w:r>
        <w:rPr>
          <w:sz w:val="20"/>
          <w:szCs w:val="20"/>
          <w:rtl/>
        </w:rPr>
        <w:br/>
      </w:r>
      <w:r w:rsidRPr="001A633A">
        <w:rPr>
          <w:rFonts w:hint="cs"/>
          <w:b/>
          <w:bCs/>
          <w:sz w:val="20"/>
          <w:szCs w:val="20"/>
          <w:rtl/>
        </w:rPr>
        <w:t>ששבה"ל</w:t>
      </w:r>
      <w:r>
        <w:rPr>
          <w:rFonts w:hint="cs"/>
          <w:sz w:val="20"/>
          <w:szCs w:val="20"/>
          <w:rtl/>
        </w:rPr>
        <w:t xml:space="preserve"> </w:t>
      </w:r>
      <w:r>
        <w:rPr>
          <w:sz w:val="20"/>
          <w:szCs w:val="20"/>
          <w:rtl/>
        </w:rPr>
        <w:t>–</w:t>
      </w:r>
      <w:r>
        <w:rPr>
          <w:rFonts w:hint="cs"/>
          <w:sz w:val="20"/>
          <w:szCs w:val="20"/>
          <w:rtl/>
        </w:rPr>
        <w:t xml:space="preserve"> מדוייק בדברי המחבר שרק אם לא קיים פר"ו צריך לגרש, אך אם קיים פר"ו אין כופים לגרש כדי לקיים "בערב אל תנח ידך".</w:t>
      </w:r>
    </w:p>
    <w:p w:rsidR="00620060" w:rsidRDefault="00620060" w:rsidP="00620060">
      <w:pPr>
        <w:rPr>
          <w:sz w:val="20"/>
          <w:szCs w:val="20"/>
          <w:rtl/>
        </w:rPr>
      </w:pPr>
      <w:r>
        <w:rPr>
          <w:rFonts w:hint="cs"/>
          <w:sz w:val="20"/>
          <w:szCs w:val="20"/>
          <w:u w:val="single"/>
          <w:rtl/>
        </w:rPr>
        <w:t>האם יכול לגרש בעל כורחה?</w:t>
      </w:r>
      <w:r>
        <w:rPr>
          <w:sz w:val="20"/>
          <w:szCs w:val="20"/>
          <w:u w:val="single"/>
          <w:rtl/>
        </w:rPr>
        <w:br/>
      </w:r>
      <w:r w:rsidRPr="00E63E80">
        <w:rPr>
          <w:rFonts w:hint="cs"/>
          <w:b/>
          <w:bCs/>
          <w:sz w:val="20"/>
          <w:szCs w:val="20"/>
          <w:rtl/>
        </w:rPr>
        <w:t>יד אברהם</w:t>
      </w:r>
      <w:r>
        <w:rPr>
          <w:rFonts w:hint="cs"/>
          <w:sz w:val="20"/>
          <w:szCs w:val="20"/>
          <w:rtl/>
        </w:rPr>
        <w:t xml:space="preserve"> </w:t>
      </w:r>
      <w:r w:rsidRPr="00E63E80">
        <w:rPr>
          <w:rFonts w:hint="cs"/>
          <w:sz w:val="18"/>
          <w:szCs w:val="18"/>
          <w:rtl/>
        </w:rPr>
        <w:t xml:space="preserve">(על הגיליון) </w:t>
      </w:r>
      <w:r>
        <w:rPr>
          <w:sz w:val="20"/>
          <w:szCs w:val="20"/>
          <w:rtl/>
        </w:rPr>
        <w:t>–</w:t>
      </w:r>
      <w:r>
        <w:rPr>
          <w:rFonts w:hint="cs"/>
          <w:sz w:val="20"/>
          <w:szCs w:val="20"/>
          <w:rtl/>
        </w:rPr>
        <w:t xml:space="preserve"> למרות שרבינו גרשום תיקן שאין לגרש את האשה בעל כורחה, יש לומר שבכה"ג לא תיקן, כיוון שהיא אינה יכולה לטבול ויעמוד בלא אשה ויתבטל ממצות פר"ו.</w:t>
      </w:r>
    </w:p>
    <w:p w:rsidR="00620060" w:rsidRDefault="00620060" w:rsidP="00620060">
      <w:pPr>
        <w:rPr>
          <w:sz w:val="20"/>
          <w:szCs w:val="20"/>
          <w:rtl/>
        </w:rPr>
      </w:pPr>
      <w:r>
        <w:rPr>
          <w:rFonts w:hint="cs"/>
          <w:sz w:val="20"/>
          <w:szCs w:val="20"/>
          <w:u w:val="single"/>
          <w:rtl/>
        </w:rPr>
        <w:t>הדין למעשה</w:t>
      </w:r>
      <w:r>
        <w:rPr>
          <w:sz w:val="20"/>
          <w:szCs w:val="20"/>
          <w:u w:val="single"/>
          <w:rtl/>
        </w:rPr>
        <w:br/>
      </w:r>
      <w:r>
        <w:rPr>
          <w:rFonts w:hint="cs"/>
          <w:sz w:val="20"/>
          <w:szCs w:val="20"/>
          <w:rtl/>
        </w:rPr>
        <w:t xml:space="preserve">עיין לעיל </w:t>
      </w:r>
      <w:r w:rsidRPr="00E63E80">
        <w:rPr>
          <w:rFonts w:hint="cs"/>
          <w:sz w:val="18"/>
          <w:szCs w:val="18"/>
          <w:rtl/>
        </w:rPr>
        <w:t xml:space="preserve">(סוף סעיף יב') </w:t>
      </w:r>
      <w:r>
        <w:rPr>
          <w:rFonts w:hint="cs"/>
          <w:sz w:val="20"/>
          <w:szCs w:val="20"/>
          <w:rtl/>
        </w:rPr>
        <w:t>שדעת הרמ"א להקל בזמן הזה, שאין כופים על קיום מצוות פר"ו.</w:t>
      </w:r>
    </w:p>
    <w:p w:rsidR="00620060" w:rsidRPr="00EF3A29"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1A633A">
        <w:rPr>
          <w:rFonts w:hint="cs"/>
          <w:b/>
          <w:bCs/>
          <w:sz w:val="20"/>
          <w:szCs w:val="20"/>
          <w:rtl/>
        </w:rPr>
        <w:t>מחבר</w:t>
      </w:r>
      <w:r>
        <w:rPr>
          <w:rFonts w:hint="cs"/>
          <w:sz w:val="20"/>
          <w:szCs w:val="20"/>
          <w:rtl/>
        </w:rPr>
        <w:t xml:space="preserve">. אשה שאינה יכולה לטבול, אם בעלה לא קיים פר"ו צריך לגרש </w:t>
      </w:r>
      <w:r w:rsidRPr="001A633A">
        <w:rPr>
          <w:rFonts w:hint="cs"/>
          <w:sz w:val="18"/>
          <w:szCs w:val="18"/>
          <w:rtl/>
        </w:rPr>
        <w:t xml:space="preserve">(ע"פ </w:t>
      </w:r>
      <w:r w:rsidRPr="001A633A">
        <w:rPr>
          <w:rFonts w:hint="cs"/>
          <w:b/>
          <w:bCs/>
          <w:sz w:val="18"/>
          <w:szCs w:val="18"/>
          <w:rtl/>
        </w:rPr>
        <w:t>ששבה"ל</w:t>
      </w:r>
      <w:r w:rsidRPr="001A633A">
        <w:rPr>
          <w:rFonts w:hint="cs"/>
          <w:sz w:val="18"/>
          <w:szCs w:val="18"/>
          <w:rtl/>
        </w:rPr>
        <w:t>)</w:t>
      </w:r>
      <w:r>
        <w:rPr>
          <w:rFonts w:hint="cs"/>
          <w:sz w:val="20"/>
          <w:szCs w:val="20"/>
          <w:rtl/>
        </w:rPr>
        <w:t>.</w:t>
      </w:r>
      <w:r>
        <w:rPr>
          <w:sz w:val="20"/>
          <w:szCs w:val="20"/>
          <w:rtl/>
        </w:rPr>
        <w:br/>
      </w:r>
      <w:r>
        <w:rPr>
          <w:rFonts w:hint="cs"/>
          <w:sz w:val="20"/>
          <w:szCs w:val="20"/>
          <w:rtl/>
        </w:rPr>
        <w:t xml:space="preserve">2. </w:t>
      </w:r>
      <w:r w:rsidRPr="001A633A">
        <w:rPr>
          <w:rFonts w:hint="cs"/>
          <w:b/>
          <w:bCs/>
          <w:sz w:val="20"/>
          <w:szCs w:val="20"/>
          <w:rtl/>
        </w:rPr>
        <w:t>יד אברהם</w:t>
      </w:r>
      <w:r>
        <w:rPr>
          <w:rFonts w:hint="cs"/>
          <w:sz w:val="20"/>
          <w:szCs w:val="20"/>
          <w:rtl/>
        </w:rPr>
        <w:t>. יכול לגרש אף בעל כורחה למרות חרם דרבינו גרשום, בכה"ג לא תיקן.</w:t>
      </w:r>
      <w:r>
        <w:rPr>
          <w:sz w:val="20"/>
          <w:szCs w:val="20"/>
          <w:rtl/>
        </w:rPr>
        <w:br/>
      </w:r>
      <w:r>
        <w:rPr>
          <w:rFonts w:hint="cs"/>
          <w:sz w:val="20"/>
          <w:szCs w:val="20"/>
          <w:rtl/>
        </w:rPr>
        <w:t xml:space="preserve">3. למעשה, פסק </w:t>
      </w:r>
      <w:r w:rsidRPr="001A633A">
        <w:rPr>
          <w:rFonts w:hint="cs"/>
          <w:b/>
          <w:bCs/>
          <w:sz w:val="20"/>
          <w:szCs w:val="20"/>
          <w:rtl/>
        </w:rPr>
        <w:t>הרמ"א</w:t>
      </w:r>
      <w:r>
        <w:rPr>
          <w:rFonts w:hint="cs"/>
          <w:sz w:val="20"/>
          <w:szCs w:val="20"/>
          <w:rtl/>
        </w:rPr>
        <w:t xml:space="preserve"> באה"ע שבזמן הזה אין כופים על ענייני הזיווגים.</w:t>
      </w:r>
    </w:p>
    <w:p w:rsidR="00620060" w:rsidRPr="00B8122B" w:rsidRDefault="00620060" w:rsidP="00620060">
      <w:pPr>
        <w:rPr>
          <w:b/>
          <w:bCs/>
          <w:sz w:val="20"/>
          <w:szCs w:val="20"/>
          <w:rtl/>
        </w:rPr>
      </w:pPr>
    </w:p>
    <w:p w:rsidR="00620060" w:rsidRPr="00487E1B" w:rsidRDefault="00620060" w:rsidP="00620060">
      <w:pPr>
        <w:rPr>
          <w:sz w:val="20"/>
          <w:szCs w:val="20"/>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Pr="00AD1767" w:rsidRDefault="00620060" w:rsidP="00620060">
      <w:pPr>
        <w:rPr>
          <w:b/>
          <w:bCs/>
          <w:sz w:val="20"/>
          <w:szCs w:val="20"/>
          <w:rtl/>
        </w:rPr>
      </w:pPr>
      <w:r w:rsidRPr="00AD1767">
        <w:rPr>
          <w:rFonts w:hint="cs"/>
          <w:b/>
          <w:bCs/>
          <w:sz w:val="20"/>
          <w:szCs w:val="20"/>
          <w:rtl/>
        </w:rPr>
        <w:lastRenderedPageBreak/>
        <w:t>בעזרת ה' יתברך</w:t>
      </w:r>
    </w:p>
    <w:p w:rsidR="00620060" w:rsidRPr="00AD1767" w:rsidRDefault="00620060" w:rsidP="00620060">
      <w:pPr>
        <w:rPr>
          <w:b/>
          <w:bCs/>
          <w:sz w:val="20"/>
          <w:szCs w:val="20"/>
          <w:rtl/>
        </w:rPr>
      </w:pPr>
      <w:r w:rsidRPr="00AD1767">
        <w:rPr>
          <w:rFonts w:hint="cs"/>
          <w:b/>
          <w:bCs/>
          <w:sz w:val="20"/>
          <w:szCs w:val="20"/>
          <w:rtl/>
        </w:rPr>
        <w:t xml:space="preserve">סימן קפח </w:t>
      </w:r>
      <w:r w:rsidRPr="00AD1767">
        <w:rPr>
          <w:b/>
          <w:bCs/>
          <w:sz w:val="20"/>
          <w:szCs w:val="20"/>
          <w:rtl/>
        </w:rPr>
        <w:t>–</w:t>
      </w:r>
      <w:r w:rsidRPr="00AD1767">
        <w:rPr>
          <w:rFonts w:hint="cs"/>
          <w:b/>
          <w:bCs/>
          <w:sz w:val="20"/>
          <w:szCs w:val="20"/>
          <w:rtl/>
        </w:rPr>
        <w:t xml:space="preserve"> דיני מראות הדמים</w:t>
      </w:r>
    </w:p>
    <w:p w:rsidR="00620060" w:rsidRDefault="00620060" w:rsidP="00620060">
      <w:pPr>
        <w:rPr>
          <w:sz w:val="20"/>
          <w:szCs w:val="20"/>
          <w:rtl/>
        </w:rPr>
      </w:pPr>
      <w:r w:rsidRPr="00AD1767">
        <w:rPr>
          <w:rFonts w:hint="cs"/>
          <w:b/>
          <w:bCs/>
          <w:sz w:val="20"/>
          <w:szCs w:val="20"/>
          <w:rtl/>
        </w:rPr>
        <w:t xml:space="preserve">סעיף א </w:t>
      </w:r>
      <w:r>
        <w:rPr>
          <w:b/>
          <w:bCs/>
          <w:sz w:val="20"/>
          <w:szCs w:val="20"/>
          <w:rtl/>
        </w:rPr>
        <w:t>–</w:t>
      </w:r>
      <w:r w:rsidRPr="00AD1767">
        <w:rPr>
          <w:rFonts w:hint="cs"/>
          <w:b/>
          <w:bCs/>
          <w:sz w:val="20"/>
          <w:szCs w:val="20"/>
          <w:rtl/>
        </w:rPr>
        <w:t xml:space="preserve"> </w:t>
      </w:r>
      <w:r>
        <w:rPr>
          <w:rFonts w:hint="cs"/>
          <w:b/>
          <w:bCs/>
          <w:sz w:val="20"/>
          <w:szCs w:val="20"/>
          <w:rtl/>
        </w:rPr>
        <w:t>אילו מראות טמאים ואילו טהורים</w:t>
      </w:r>
      <w:r w:rsidRPr="00AD1767">
        <w:rPr>
          <w:b/>
          <w:bCs/>
          <w:sz w:val="20"/>
          <w:szCs w:val="20"/>
          <w:rtl/>
        </w:rPr>
        <w:br/>
      </w:r>
      <w:r w:rsidRPr="00AD1767">
        <w:rPr>
          <w:rFonts w:hint="cs"/>
          <w:b/>
          <w:bCs/>
          <w:sz w:val="20"/>
          <w:szCs w:val="20"/>
          <w:rtl/>
        </w:rPr>
        <w:t>מקורות הדין</w:t>
      </w:r>
      <w:r>
        <w:rPr>
          <w:rFonts w:hint="cs"/>
          <w:b/>
          <w:bCs/>
          <w:sz w:val="20"/>
          <w:szCs w:val="20"/>
          <w:rtl/>
        </w:rPr>
        <w:br/>
      </w:r>
      <w:r>
        <w:rPr>
          <w:rFonts w:hint="cs"/>
          <w:sz w:val="20"/>
          <w:szCs w:val="20"/>
          <w:rtl/>
        </w:rPr>
        <w:t xml:space="preserve">א. </w:t>
      </w:r>
      <w:r>
        <w:rPr>
          <w:rFonts w:hint="cs"/>
          <w:b/>
          <w:bCs/>
          <w:sz w:val="20"/>
          <w:szCs w:val="20"/>
          <w:rtl/>
        </w:rPr>
        <w:t xml:space="preserve">משנה </w:t>
      </w:r>
      <w:r>
        <w:rPr>
          <w:rFonts w:hint="cs"/>
          <w:sz w:val="20"/>
          <w:szCs w:val="20"/>
          <w:rtl/>
        </w:rPr>
        <w:t>נידה (יט.) "</w:t>
      </w:r>
      <w:r w:rsidRPr="00093877">
        <w:rPr>
          <w:rFonts w:cs="Arial" w:hint="cs"/>
          <w:sz w:val="20"/>
          <w:szCs w:val="20"/>
          <w:rtl/>
        </w:rPr>
        <w:t>חמשה</w:t>
      </w:r>
      <w:r w:rsidRPr="00093877">
        <w:rPr>
          <w:rFonts w:cs="Arial"/>
          <w:sz w:val="20"/>
          <w:szCs w:val="20"/>
          <w:rtl/>
        </w:rPr>
        <w:t xml:space="preserve"> </w:t>
      </w:r>
      <w:r w:rsidRPr="00093877">
        <w:rPr>
          <w:rFonts w:cs="Arial" w:hint="cs"/>
          <w:sz w:val="20"/>
          <w:szCs w:val="20"/>
          <w:rtl/>
        </w:rPr>
        <w:t>דמים</w:t>
      </w:r>
      <w:r w:rsidRPr="00093877">
        <w:rPr>
          <w:rFonts w:cs="Arial"/>
          <w:sz w:val="20"/>
          <w:szCs w:val="20"/>
          <w:rtl/>
        </w:rPr>
        <w:t xml:space="preserve"> </w:t>
      </w:r>
      <w:r w:rsidRPr="00093877">
        <w:rPr>
          <w:rFonts w:cs="Arial" w:hint="cs"/>
          <w:sz w:val="20"/>
          <w:szCs w:val="20"/>
          <w:rtl/>
        </w:rPr>
        <w:t>טמאים</w:t>
      </w:r>
      <w:r w:rsidRPr="00093877">
        <w:rPr>
          <w:rFonts w:cs="Arial"/>
          <w:sz w:val="20"/>
          <w:szCs w:val="20"/>
          <w:rtl/>
        </w:rPr>
        <w:t xml:space="preserve"> </w:t>
      </w:r>
      <w:r w:rsidRPr="00093877">
        <w:rPr>
          <w:rFonts w:cs="Arial" w:hint="cs"/>
          <w:sz w:val="20"/>
          <w:szCs w:val="20"/>
          <w:rtl/>
        </w:rPr>
        <w:t>באשה</w:t>
      </w:r>
      <w:r w:rsidRPr="00093877">
        <w:rPr>
          <w:rFonts w:cs="Arial"/>
          <w:sz w:val="20"/>
          <w:szCs w:val="20"/>
          <w:rtl/>
        </w:rPr>
        <w:t xml:space="preserve">: </w:t>
      </w:r>
      <w:r w:rsidRPr="00093877">
        <w:rPr>
          <w:rFonts w:cs="Arial" w:hint="cs"/>
          <w:sz w:val="20"/>
          <w:szCs w:val="20"/>
          <w:rtl/>
        </w:rPr>
        <w:t>האדום</w:t>
      </w:r>
      <w:r w:rsidRPr="00093877">
        <w:rPr>
          <w:rFonts w:cs="Arial"/>
          <w:sz w:val="20"/>
          <w:szCs w:val="20"/>
          <w:rtl/>
        </w:rPr>
        <w:t xml:space="preserve">, </w:t>
      </w:r>
      <w:r w:rsidRPr="00093877">
        <w:rPr>
          <w:rFonts w:cs="Arial" w:hint="cs"/>
          <w:sz w:val="20"/>
          <w:szCs w:val="20"/>
          <w:rtl/>
        </w:rPr>
        <w:t>והשחור</w:t>
      </w:r>
      <w:r w:rsidRPr="00093877">
        <w:rPr>
          <w:rFonts w:cs="Arial"/>
          <w:sz w:val="20"/>
          <w:szCs w:val="20"/>
          <w:rtl/>
        </w:rPr>
        <w:t xml:space="preserve">, </w:t>
      </w:r>
      <w:r w:rsidRPr="00093877">
        <w:rPr>
          <w:rFonts w:cs="Arial" w:hint="cs"/>
          <w:sz w:val="20"/>
          <w:szCs w:val="20"/>
          <w:rtl/>
        </w:rPr>
        <w:t>וכקרן</w:t>
      </w:r>
      <w:r w:rsidRPr="00093877">
        <w:rPr>
          <w:rFonts w:cs="Arial"/>
          <w:sz w:val="20"/>
          <w:szCs w:val="20"/>
          <w:rtl/>
        </w:rPr>
        <w:t xml:space="preserve"> </w:t>
      </w:r>
      <w:r w:rsidRPr="00093877">
        <w:rPr>
          <w:rFonts w:cs="Arial" w:hint="cs"/>
          <w:sz w:val="20"/>
          <w:szCs w:val="20"/>
          <w:rtl/>
        </w:rPr>
        <w:t>כרכום</w:t>
      </w:r>
      <w:r w:rsidRPr="00093877">
        <w:rPr>
          <w:rFonts w:cs="Arial"/>
          <w:sz w:val="20"/>
          <w:szCs w:val="20"/>
          <w:rtl/>
        </w:rPr>
        <w:t xml:space="preserve">, </w:t>
      </w:r>
      <w:r w:rsidRPr="00093877">
        <w:rPr>
          <w:rFonts w:cs="Arial" w:hint="cs"/>
          <w:sz w:val="20"/>
          <w:szCs w:val="20"/>
          <w:rtl/>
        </w:rPr>
        <w:t>וכמימי</w:t>
      </w:r>
      <w:r w:rsidRPr="00093877">
        <w:rPr>
          <w:rFonts w:cs="Arial"/>
          <w:sz w:val="20"/>
          <w:szCs w:val="20"/>
          <w:rtl/>
        </w:rPr>
        <w:t xml:space="preserve"> </w:t>
      </w:r>
      <w:r w:rsidRPr="00093877">
        <w:rPr>
          <w:rFonts w:cs="Arial" w:hint="cs"/>
          <w:sz w:val="20"/>
          <w:szCs w:val="20"/>
          <w:rtl/>
        </w:rPr>
        <w:t>אדמה</w:t>
      </w:r>
      <w:r w:rsidRPr="00093877">
        <w:rPr>
          <w:rFonts w:cs="Arial"/>
          <w:sz w:val="20"/>
          <w:szCs w:val="20"/>
          <w:rtl/>
        </w:rPr>
        <w:t xml:space="preserve">, </w:t>
      </w:r>
      <w:r w:rsidRPr="00093877">
        <w:rPr>
          <w:rFonts w:cs="Arial" w:hint="cs"/>
          <w:sz w:val="20"/>
          <w:szCs w:val="20"/>
          <w:rtl/>
        </w:rPr>
        <w:t>וכמזוג</w:t>
      </w:r>
      <w:r w:rsidRPr="00093877">
        <w:rPr>
          <w:rFonts w:cs="Arial"/>
          <w:sz w:val="20"/>
          <w:szCs w:val="20"/>
          <w:rtl/>
        </w:rPr>
        <w:t xml:space="preserve">. </w:t>
      </w:r>
      <w:r>
        <w:rPr>
          <w:rFonts w:cs="Arial"/>
          <w:sz w:val="20"/>
          <w:szCs w:val="20"/>
          <w:rtl/>
        </w:rPr>
        <w:br/>
      </w:r>
      <w:r>
        <w:rPr>
          <w:rFonts w:cs="Arial" w:hint="cs"/>
          <w:sz w:val="20"/>
          <w:szCs w:val="20"/>
          <w:rtl/>
        </w:rPr>
        <w:t>בית שמאי אומרים</w:t>
      </w:r>
      <w:r w:rsidRPr="00093877">
        <w:rPr>
          <w:rFonts w:cs="Arial"/>
          <w:sz w:val="20"/>
          <w:szCs w:val="20"/>
          <w:rtl/>
        </w:rPr>
        <w:t xml:space="preserve">: </w:t>
      </w:r>
      <w:r w:rsidRPr="00093877">
        <w:rPr>
          <w:rFonts w:cs="Arial" w:hint="cs"/>
          <w:sz w:val="20"/>
          <w:szCs w:val="20"/>
          <w:rtl/>
        </w:rPr>
        <w:t>אף</w:t>
      </w:r>
      <w:r w:rsidRPr="00093877">
        <w:rPr>
          <w:rFonts w:cs="Arial"/>
          <w:sz w:val="20"/>
          <w:szCs w:val="20"/>
          <w:rtl/>
        </w:rPr>
        <w:t xml:space="preserve"> </w:t>
      </w:r>
      <w:r w:rsidRPr="00093877">
        <w:rPr>
          <w:rFonts w:cs="Arial" w:hint="cs"/>
          <w:sz w:val="20"/>
          <w:szCs w:val="20"/>
          <w:rtl/>
        </w:rPr>
        <w:t>כמימי</w:t>
      </w:r>
      <w:r w:rsidRPr="00093877">
        <w:rPr>
          <w:rFonts w:cs="Arial"/>
          <w:sz w:val="20"/>
          <w:szCs w:val="20"/>
          <w:rtl/>
        </w:rPr>
        <w:t xml:space="preserve"> </w:t>
      </w:r>
      <w:r w:rsidRPr="00093877">
        <w:rPr>
          <w:rFonts w:cs="Arial" w:hint="cs"/>
          <w:sz w:val="20"/>
          <w:szCs w:val="20"/>
          <w:rtl/>
        </w:rPr>
        <w:t>תלתן</w:t>
      </w:r>
      <w:r w:rsidRPr="00093877">
        <w:rPr>
          <w:rFonts w:cs="Arial"/>
          <w:sz w:val="20"/>
          <w:szCs w:val="20"/>
          <w:rtl/>
        </w:rPr>
        <w:t xml:space="preserve">, </w:t>
      </w:r>
      <w:r w:rsidRPr="00093877">
        <w:rPr>
          <w:rFonts w:cs="Arial" w:hint="cs"/>
          <w:sz w:val="20"/>
          <w:szCs w:val="20"/>
          <w:rtl/>
        </w:rPr>
        <w:t>וכמימי</w:t>
      </w:r>
      <w:r w:rsidRPr="00093877">
        <w:rPr>
          <w:rFonts w:cs="Arial"/>
          <w:sz w:val="20"/>
          <w:szCs w:val="20"/>
          <w:rtl/>
        </w:rPr>
        <w:t xml:space="preserve"> </w:t>
      </w:r>
      <w:r w:rsidRPr="00093877">
        <w:rPr>
          <w:rFonts w:cs="Arial" w:hint="cs"/>
          <w:sz w:val="20"/>
          <w:szCs w:val="20"/>
          <w:rtl/>
        </w:rPr>
        <w:t>בשר</w:t>
      </w:r>
      <w:r w:rsidRPr="00093877">
        <w:rPr>
          <w:rFonts w:cs="Arial"/>
          <w:sz w:val="20"/>
          <w:szCs w:val="20"/>
          <w:rtl/>
        </w:rPr>
        <w:t xml:space="preserve"> </w:t>
      </w:r>
      <w:r w:rsidRPr="00093877">
        <w:rPr>
          <w:rFonts w:cs="Arial" w:hint="cs"/>
          <w:sz w:val="20"/>
          <w:szCs w:val="20"/>
          <w:rtl/>
        </w:rPr>
        <w:t>צלי</w:t>
      </w:r>
      <w:r w:rsidRPr="00093877">
        <w:rPr>
          <w:rFonts w:cs="Arial"/>
          <w:sz w:val="20"/>
          <w:szCs w:val="20"/>
          <w:rtl/>
        </w:rPr>
        <w:t xml:space="preserve">, </w:t>
      </w:r>
      <w:r w:rsidRPr="00093877">
        <w:rPr>
          <w:rFonts w:cs="Arial" w:hint="cs"/>
          <w:sz w:val="20"/>
          <w:szCs w:val="20"/>
          <w:rtl/>
        </w:rPr>
        <w:t>וב</w:t>
      </w:r>
      <w:r>
        <w:rPr>
          <w:rFonts w:cs="Arial" w:hint="cs"/>
          <w:sz w:val="20"/>
          <w:szCs w:val="20"/>
          <w:rtl/>
        </w:rPr>
        <w:t xml:space="preserve">ית </w:t>
      </w:r>
      <w:r w:rsidRPr="00093877">
        <w:rPr>
          <w:rFonts w:cs="Arial" w:hint="cs"/>
          <w:sz w:val="20"/>
          <w:szCs w:val="20"/>
          <w:rtl/>
        </w:rPr>
        <w:t>ה</w:t>
      </w:r>
      <w:r>
        <w:rPr>
          <w:rFonts w:cs="Arial" w:hint="cs"/>
          <w:sz w:val="20"/>
          <w:szCs w:val="20"/>
          <w:rtl/>
        </w:rPr>
        <w:t>לל</w:t>
      </w:r>
      <w:r w:rsidRPr="00093877">
        <w:rPr>
          <w:rFonts w:cs="Arial"/>
          <w:sz w:val="20"/>
          <w:szCs w:val="20"/>
          <w:rtl/>
        </w:rPr>
        <w:t xml:space="preserve"> </w:t>
      </w:r>
      <w:r w:rsidRPr="00093877">
        <w:rPr>
          <w:rFonts w:cs="Arial" w:hint="cs"/>
          <w:sz w:val="20"/>
          <w:szCs w:val="20"/>
          <w:rtl/>
        </w:rPr>
        <w:t>מטהרים</w:t>
      </w:r>
      <w:r w:rsidRPr="00093877">
        <w:rPr>
          <w:rFonts w:cs="Arial"/>
          <w:sz w:val="20"/>
          <w:szCs w:val="20"/>
          <w:rtl/>
        </w:rPr>
        <w:t xml:space="preserve">. </w:t>
      </w:r>
      <w:r w:rsidRPr="00093877">
        <w:rPr>
          <w:rFonts w:cs="Arial" w:hint="cs"/>
          <w:sz w:val="20"/>
          <w:szCs w:val="20"/>
          <w:rtl/>
        </w:rPr>
        <w:t>הירוק</w:t>
      </w:r>
      <w:r w:rsidRPr="00093877">
        <w:rPr>
          <w:rFonts w:cs="Arial"/>
          <w:sz w:val="20"/>
          <w:szCs w:val="20"/>
          <w:rtl/>
        </w:rPr>
        <w:t xml:space="preserve">, </w:t>
      </w:r>
      <w:r w:rsidRPr="00093877">
        <w:rPr>
          <w:rFonts w:cs="Arial" w:hint="cs"/>
          <w:sz w:val="20"/>
          <w:szCs w:val="20"/>
          <w:rtl/>
        </w:rPr>
        <w:t>עקביא</w:t>
      </w:r>
      <w:r w:rsidRPr="00093877">
        <w:rPr>
          <w:rFonts w:cs="Arial"/>
          <w:sz w:val="20"/>
          <w:szCs w:val="20"/>
          <w:rtl/>
        </w:rPr>
        <w:t xml:space="preserve"> </w:t>
      </w:r>
      <w:r w:rsidRPr="00093877">
        <w:rPr>
          <w:rFonts w:cs="Arial" w:hint="cs"/>
          <w:sz w:val="20"/>
          <w:szCs w:val="20"/>
          <w:rtl/>
        </w:rPr>
        <w:t>בן</w:t>
      </w:r>
      <w:r w:rsidRPr="00093877">
        <w:rPr>
          <w:rFonts w:cs="Arial"/>
          <w:sz w:val="20"/>
          <w:szCs w:val="20"/>
          <w:rtl/>
        </w:rPr>
        <w:t xml:space="preserve"> </w:t>
      </w:r>
      <w:r w:rsidRPr="00093877">
        <w:rPr>
          <w:rFonts w:cs="Arial" w:hint="cs"/>
          <w:sz w:val="20"/>
          <w:szCs w:val="20"/>
          <w:rtl/>
        </w:rPr>
        <w:t>מהללאל</w:t>
      </w:r>
      <w:r w:rsidRPr="00093877">
        <w:rPr>
          <w:rFonts w:cs="Arial"/>
          <w:sz w:val="20"/>
          <w:szCs w:val="20"/>
          <w:rtl/>
        </w:rPr>
        <w:t xml:space="preserve"> </w:t>
      </w:r>
      <w:r w:rsidRPr="00093877">
        <w:rPr>
          <w:rFonts w:cs="Arial" w:hint="cs"/>
          <w:sz w:val="20"/>
          <w:szCs w:val="20"/>
          <w:rtl/>
        </w:rPr>
        <w:t>מטמא</w:t>
      </w:r>
      <w:r w:rsidRPr="00093877">
        <w:rPr>
          <w:rFonts w:cs="Arial"/>
          <w:sz w:val="20"/>
          <w:szCs w:val="20"/>
          <w:rtl/>
        </w:rPr>
        <w:t xml:space="preserve">, </w:t>
      </w:r>
      <w:r w:rsidRPr="00093877">
        <w:rPr>
          <w:rFonts w:cs="Arial" w:hint="cs"/>
          <w:sz w:val="20"/>
          <w:szCs w:val="20"/>
          <w:rtl/>
        </w:rPr>
        <w:t>וחכמים</w:t>
      </w:r>
      <w:r w:rsidRPr="00093877">
        <w:rPr>
          <w:rFonts w:cs="Arial"/>
          <w:sz w:val="20"/>
          <w:szCs w:val="20"/>
          <w:rtl/>
        </w:rPr>
        <w:t xml:space="preserve"> </w:t>
      </w:r>
      <w:r w:rsidRPr="00093877">
        <w:rPr>
          <w:rFonts w:cs="Arial" w:hint="cs"/>
          <w:sz w:val="20"/>
          <w:szCs w:val="20"/>
          <w:rtl/>
        </w:rPr>
        <w:t>מטהרין</w:t>
      </w:r>
      <w:r w:rsidRPr="00093877">
        <w:rPr>
          <w:rFonts w:cs="Arial"/>
          <w:sz w:val="20"/>
          <w:szCs w:val="20"/>
          <w:rtl/>
        </w:rPr>
        <w:t>.</w:t>
      </w:r>
      <w:r>
        <w:rPr>
          <w:rFonts w:cs="Arial" w:hint="cs"/>
          <w:sz w:val="20"/>
          <w:szCs w:val="20"/>
          <w:rtl/>
        </w:rPr>
        <w:t>..</w:t>
      </w:r>
      <w:r w:rsidRPr="00093877">
        <w:rPr>
          <w:rFonts w:cs="Arial"/>
          <w:sz w:val="20"/>
          <w:szCs w:val="20"/>
          <w:rtl/>
        </w:rPr>
        <w:t xml:space="preserve"> </w:t>
      </w:r>
      <w:r w:rsidRPr="00093877">
        <w:rPr>
          <w:rFonts w:cs="Arial" w:hint="cs"/>
          <w:sz w:val="20"/>
          <w:szCs w:val="20"/>
          <w:rtl/>
        </w:rPr>
        <w:t>איזהו</w:t>
      </w:r>
      <w:r w:rsidRPr="00093877">
        <w:rPr>
          <w:rFonts w:cs="Arial"/>
          <w:sz w:val="20"/>
          <w:szCs w:val="20"/>
          <w:rtl/>
        </w:rPr>
        <w:t xml:space="preserve"> </w:t>
      </w:r>
      <w:r w:rsidRPr="00093877">
        <w:rPr>
          <w:rFonts w:cs="Arial" w:hint="cs"/>
          <w:sz w:val="20"/>
          <w:szCs w:val="20"/>
          <w:rtl/>
        </w:rPr>
        <w:t>אדום</w:t>
      </w:r>
      <w:r w:rsidRPr="00093877">
        <w:rPr>
          <w:rFonts w:cs="Arial"/>
          <w:sz w:val="20"/>
          <w:szCs w:val="20"/>
          <w:rtl/>
        </w:rPr>
        <w:t xml:space="preserve"> - </w:t>
      </w:r>
      <w:r w:rsidRPr="00093877">
        <w:rPr>
          <w:rFonts w:cs="Arial" w:hint="cs"/>
          <w:sz w:val="20"/>
          <w:szCs w:val="20"/>
          <w:rtl/>
        </w:rPr>
        <w:t>כדם</w:t>
      </w:r>
      <w:r w:rsidRPr="00093877">
        <w:rPr>
          <w:rFonts w:cs="Arial"/>
          <w:sz w:val="20"/>
          <w:szCs w:val="20"/>
          <w:rtl/>
        </w:rPr>
        <w:t xml:space="preserve"> </w:t>
      </w:r>
      <w:r w:rsidRPr="00093877">
        <w:rPr>
          <w:rFonts w:cs="Arial" w:hint="cs"/>
          <w:sz w:val="20"/>
          <w:szCs w:val="20"/>
          <w:rtl/>
        </w:rPr>
        <w:t>המכה</w:t>
      </w:r>
      <w:r w:rsidRPr="00093877">
        <w:rPr>
          <w:rFonts w:cs="Arial"/>
          <w:sz w:val="20"/>
          <w:szCs w:val="20"/>
          <w:rtl/>
        </w:rPr>
        <w:t xml:space="preserve">, </w:t>
      </w:r>
      <w:r w:rsidRPr="00093877">
        <w:rPr>
          <w:rFonts w:cs="Arial" w:hint="cs"/>
          <w:sz w:val="20"/>
          <w:szCs w:val="20"/>
          <w:rtl/>
        </w:rPr>
        <w:t>שחור</w:t>
      </w:r>
      <w:r w:rsidRPr="00093877">
        <w:rPr>
          <w:rFonts w:cs="Arial"/>
          <w:sz w:val="20"/>
          <w:szCs w:val="20"/>
          <w:rtl/>
        </w:rPr>
        <w:t xml:space="preserve"> - </w:t>
      </w:r>
      <w:r w:rsidRPr="00093877">
        <w:rPr>
          <w:rFonts w:cs="Arial" w:hint="cs"/>
          <w:sz w:val="20"/>
          <w:szCs w:val="20"/>
          <w:rtl/>
        </w:rPr>
        <w:t>כחרת</w:t>
      </w:r>
      <w:r w:rsidRPr="00093877">
        <w:rPr>
          <w:rFonts w:cs="Arial"/>
          <w:sz w:val="20"/>
          <w:szCs w:val="20"/>
          <w:rtl/>
        </w:rPr>
        <w:t xml:space="preserve">, </w:t>
      </w:r>
      <w:r w:rsidRPr="00093877">
        <w:rPr>
          <w:rFonts w:cs="Arial" w:hint="cs"/>
          <w:sz w:val="20"/>
          <w:szCs w:val="20"/>
          <w:rtl/>
        </w:rPr>
        <w:t>עמוק</w:t>
      </w:r>
      <w:r w:rsidRPr="00093877">
        <w:rPr>
          <w:rFonts w:cs="Arial"/>
          <w:sz w:val="20"/>
          <w:szCs w:val="20"/>
          <w:rtl/>
        </w:rPr>
        <w:t xml:space="preserve"> </w:t>
      </w:r>
      <w:r w:rsidRPr="00093877">
        <w:rPr>
          <w:rFonts w:cs="Arial" w:hint="cs"/>
          <w:sz w:val="20"/>
          <w:szCs w:val="20"/>
          <w:rtl/>
        </w:rPr>
        <w:t>מכן</w:t>
      </w:r>
      <w:r w:rsidRPr="00093877">
        <w:rPr>
          <w:rFonts w:cs="Arial"/>
          <w:sz w:val="20"/>
          <w:szCs w:val="20"/>
          <w:rtl/>
        </w:rPr>
        <w:t xml:space="preserve"> - </w:t>
      </w:r>
      <w:r w:rsidRPr="00093877">
        <w:rPr>
          <w:rFonts w:cs="Arial" w:hint="cs"/>
          <w:sz w:val="20"/>
          <w:szCs w:val="20"/>
          <w:rtl/>
        </w:rPr>
        <w:t>טמא</w:t>
      </w:r>
      <w:r w:rsidRPr="00093877">
        <w:rPr>
          <w:rFonts w:cs="Arial"/>
          <w:sz w:val="20"/>
          <w:szCs w:val="20"/>
          <w:rtl/>
        </w:rPr>
        <w:t xml:space="preserve">, </w:t>
      </w:r>
      <w:r w:rsidRPr="00093877">
        <w:rPr>
          <w:rFonts w:cs="Arial" w:hint="cs"/>
          <w:sz w:val="20"/>
          <w:szCs w:val="20"/>
          <w:rtl/>
        </w:rPr>
        <w:t>דיהה</w:t>
      </w:r>
      <w:r w:rsidRPr="00093877">
        <w:rPr>
          <w:rFonts w:cs="Arial"/>
          <w:sz w:val="20"/>
          <w:szCs w:val="20"/>
          <w:rtl/>
        </w:rPr>
        <w:t xml:space="preserve"> </w:t>
      </w:r>
      <w:r w:rsidRPr="00093877">
        <w:rPr>
          <w:rFonts w:cs="Arial" w:hint="cs"/>
          <w:sz w:val="20"/>
          <w:szCs w:val="20"/>
          <w:rtl/>
        </w:rPr>
        <w:t>מכן</w:t>
      </w:r>
      <w:r w:rsidRPr="00093877">
        <w:rPr>
          <w:rFonts w:cs="Arial"/>
          <w:sz w:val="20"/>
          <w:szCs w:val="20"/>
          <w:rtl/>
        </w:rPr>
        <w:t xml:space="preserve"> - </w:t>
      </w:r>
      <w:r w:rsidRPr="00093877">
        <w:rPr>
          <w:rFonts w:cs="Arial" w:hint="cs"/>
          <w:sz w:val="20"/>
          <w:szCs w:val="20"/>
          <w:rtl/>
        </w:rPr>
        <w:t>טהור</w:t>
      </w:r>
      <w:r w:rsidRPr="00093877">
        <w:rPr>
          <w:rFonts w:cs="Arial"/>
          <w:sz w:val="20"/>
          <w:szCs w:val="20"/>
          <w:rtl/>
        </w:rPr>
        <w:t xml:space="preserve">. </w:t>
      </w:r>
      <w:r w:rsidRPr="00093877">
        <w:rPr>
          <w:rFonts w:cs="Arial" w:hint="cs"/>
          <w:sz w:val="20"/>
          <w:szCs w:val="20"/>
          <w:rtl/>
        </w:rPr>
        <w:t>וכקרן</w:t>
      </w:r>
      <w:r w:rsidRPr="00093877">
        <w:rPr>
          <w:rFonts w:cs="Arial"/>
          <w:sz w:val="20"/>
          <w:szCs w:val="20"/>
          <w:rtl/>
        </w:rPr>
        <w:t xml:space="preserve"> </w:t>
      </w:r>
      <w:r w:rsidRPr="00093877">
        <w:rPr>
          <w:rFonts w:cs="Arial" w:hint="cs"/>
          <w:sz w:val="20"/>
          <w:szCs w:val="20"/>
          <w:rtl/>
        </w:rPr>
        <w:t>כרכום</w:t>
      </w:r>
      <w:r w:rsidRPr="00093877">
        <w:rPr>
          <w:rFonts w:cs="Arial"/>
          <w:sz w:val="20"/>
          <w:szCs w:val="20"/>
          <w:rtl/>
        </w:rPr>
        <w:t xml:space="preserve"> - </w:t>
      </w:r>
      <w:r w:rsidRPr="00093877">
        <w:rPr>
          <w:rFonts w:cs="Arial" w:hint="cs"/>
          <w:sz w:val="20"/>
          <w:szCs w:val="20"/>
          <w:rtl/>
        </w:rPr>
        <w:t>כברור</w:t>
      </w:r>
      <w:r w:rsidRPr="00093877">
        <w:rPr>
          <w:rFonts w:cs="Arial"/>
          <w:sz w:val="20"/>
          <w:szCs w:val="20"/>
          <w:rtl/>
        </w:rPr>
        <w:t xml:space="preserve"> </w:t>
      </w:r>
      <w:r w:rsidRPr="00093877">
        <w:rPr>
          <w:rFonts w:cs="Arial" w:hint="cs"/>
          <w:sz w:val="20"/>
          <w:szCs w:val="20"/>
          <w:rtl/>
        </w:rPr>
        <w:t>שבו</w:t>
      </w:r>
      <w:r w:rsidRPr="00093877">
        <w:rPr>
          <w:rFonts w:cs="Arial"/>
          <w:sz w:val="20"/>
          <w:szCs w:val="20"/>
          <w:rtl/>
        </w:rPr>
        <w:t xml:space="preserve">, </w:t>
      </w:r>
      <w:r w:rsidRPr="00093877">
        <w:rPr>
          <w:rFonts w:cs="Arial" w:hint="cs"/>
          <w:sz w:val="20"/>
          <w:szCs w:val="20"/>
          <w:rtl/>
        </w:rPr>
        <w:t>וכמימי</w:t>
      </w:r>
      <w:r w:rsidRPr="00093877">
        <w:rPr>
          <w:rFonts w:cs="Arial"/>
          <w:sz w:val="20"/>
          <w:szCs w:val="20"/>
          <w:rtl/>
        </w:rPr>
        <w:t xml:space="preserve"> </w:t>
      </w:r>
      <w:r w:rsidRPr="00093877">
        <w:rPr>
          <w:rFonts w:cs="Arial" w:hint="cs"/>
          <w:sz w:val="20"/>
          <w:szCs w:val="20"/>
          <w:rtl/>
        </w:rPr>
        <w:t>אדמה</w:t>
      </w:r>
      <w:r w:rsidRPr="00093877">
        <w:rPr>
          <w:rFonts w:cs="Arial"/>
          <w:sz w:val="20"/>
          <w:szCs w:val="20"/>
          <w:rtl/>
        </w:rPr>
        <w:t xml:space="preserve"> - </w:t>
      </w:r>
      <w:r w:rsidRPr="00093877">
        <w:rPr>
          <w:rFonts w:cs="Arial" w:hint="cs"/>
          <w:sz w:val="20"/>
          <w:szCs w:val="20"/>
          <w:rtl/>
        </w:rPr>
        <w:t>מבקעת</w:t>
      </w:r>
      <w:r w:rsidRPr="00093877">
        <w:rPr>
          <w:rFonts w:cs="Arial"/>
          <w:sz w:val="20"/>
          <w:szCs w:val="20"/>
          <w:rtl/>
        </w:rPr>
        <w:t xml:space="preserve"> </w:t>
      </w:r>
      <w:r w:rsidRPr="00093877">
        <w:rPr>
          <w:rFonts w:cs="Arial" w:hint="cs"/>
          <w:sz w:val="20"/>
          <w:szCs w:val="20"/>
          <w:rtl/>
        </w:rPr>
        <w:t>בית</w:t>
      </w:r>
      <w:r w:rsidRPr="00093877">
        <w:rPr>
          <w:rFonts w:cs="Arial"/>
          <w:sz w:val="20"/>
          <w:szCs w:val="20"/>
          <w:rtl/>
        </w:rPr>
        <w:t xml:space="preserve"> </w:t>
      </w:r>
      <w:r w:rsidRPr="00093877">
        <w:rPr>
          <w:rFonts w:cs="Arial" w:hint="cs"/>
          <w:sz w:val="20"/>
          <w:szCs w:val="20"/>
          <w:rtl/>
        </w:rPr>
        <w:t>כרם</w:t>
      </w:r>
      <w:r w:rsidRPr="00093877">
        <w:rPr>
          <w:rFonts w:cs="Arial"/>
          <w:sz w:val="20"/>
          <w:szCs w:val="20"/>
          <w:rtl/>
        </w:rPr>
        <w:t xml:space="preserve"> </w:t>
      </w:r>
      <w:r w:rsidRPr="00093877">
        <w:rPr>
          <w:rFonts w:cs="Arial" w:hint="cs"/>
          <w:sz w:val="20"/>
          <w:szCs w:val="20"/>
          <w:rtl/>
        </w:rPr>
        <w:t>ומיצף</w:t>
      </w:r>
      <w:r w:rsidRPr="00093877">
        <w:rPr>
          <w:rFonts w:cs="Arial"/>
          <w:sz w:val="20"/>
          <w:szCs w:val="20"/>
          <w:rtl/>
        </w:rPr>
        <w:t xml:space="preserve"> </w:t>
      </w:r>
      <w:r w:rsidRPr="00093877">
        <w:rPr>
          <w:rFonts w:cs="Arial" w:hint="cs"/>
          <w:sz w:val="20"/>
          <w:szCs w:val="20"/>
          <w:rtl/>
        </w:rPr>
        <w:t>מים</w:t>
      </w:r>
      <w:r w:rsidRPr="00093877">
        <w:rPr>
          <w:rFonts w:cs="Arial"/>
          <w:sz w:val="20"/>
          <w:szCs w:val="20"/>
          <w:rtl/>
        </w:rPr>
        <w:t xml:space="preserve">, </w:t>
      </w:r>
      <w:r w:rsidRPr="00093877">
        <w:rPr>
          <w:rFonts w:cs="Arial" w:hint="cs"/>
          <w:sz w:val="20"/>
          <w:szCs w:val="20"/>
          <w:rtl/>
        </w:rPr>
        <w:t>וכמזוג</w:t>
      </w:r>
      <w:r w:rsidRPr="00093877">
        <w:rPr>
          <w:rFonts w:cs="Arial"/>
          <w:sz w:val="20"/>
          <w:szCs w:val="20"/>
          <w:rtl/>
        </w:rPr>
        <w:t xml:space="preserve"> </w:t>
      </w:r>
      <w:r w:rsidRPr="00093877">
        <w:rPr>
          <w:rFonts w:cs="Arial" w:hint="cs"/>
          <w:sz w:val="20"/>
          <w:szCs w:val="20"/>
          <w:rtl/>
        </w:rPr>
        <w:t>שני</w:t>
      </w:r>
      <w:r w:rsidRPr="00093877">
        <w:rPr>
          <w:rFonts w:cs="Arial"/>
          <w:sz w:val="20"/>
          <w:szCs w:val="20"/>
          <w:rtl/>
        </w:rPr>
        <w:t xml:space="preserve"> </w:t>
      </w:r>
      <w:r w:rsidRPr="00093877">
        <w:rPr>
          <w:rFonts w:cs="Arial" w:hint="cs"/>
          <w:sz w:val="20"/>
          <w:szCs w:val="20"/>
          <w:rtl/>
        </w:rPr>
        <w:t>חלקים</w:t>
      </w:r>
      <w:r w:rsidRPr="00093877">
        <w:rPr>
          <w:rFonts w:cs="Arial"/>
          <w:sz w:val="20"/>
          <w:szCs w:val="20"/>
          <w:rtl/>
        </w:rPr>
        <w:t xml:space="preserve"> </w:t>
      </w:r>
      <w:r w:rsidRPr="00093877">
        <w:rPr>
          <w:rFonts w:cs="Arial" w:hint="cs"/>
          <w:sz w:val="20"/>
          <w:szCs w:val="20"/>
          <w:rtl/>
        </w:rPr>
        <w:t>מים</w:t>
      </w:r>
      <w:r w:rsidRPr="00093877">
        <w:rPr>
          <w:rFonts w:cs="Arial"/>
          <w:sz w:val="20"/>
          <w:szCs w:val="20"/>
          <w:rtl/>
        </w:rPr>
        <w:t xml:space="preserve"> </w:t>
      </w:r>
      <w:r w:rsidRPr="00093877">
        <w:rPr>
          <w:rFonts w:cs="Arial" w:hint="cs"/>
          <w:sz w:val="20"/>
          <w:szCs w:val="20"/>
          <w:rtl/>
        </w:rPr>
        <w:t>ואחד</w:t>
      </w:r>
      <w:r w:rsidRPr="00093877">
        <w:rPr>
          <w:rFonts w:cs="Arial"/>
          <w:sz w:val="20"/>
          <w:szCs w:val="20"/>
          <w:rtl/>
        </w:rPr>
        <w:t xml:space="preserve"> </w:t>
      </w:r>
      <w:r w:rsidRPr="00093877">
        <w:rPr>
          <w:rFonts w:cs="Arial" w:hint="cs"/>
          <w:sz w:val="20"/>
          <w:szCs w:val="20"/>
          <w:rtl/>
        </w:rPr>
        <w:t>יין</w:t>
      </w:r>
      <w:r w:rsidRPr="00093877">
        <w:rPr>
          <w:rFonts w:cs="Arial"/>
          <w:sz w:val="20"/>
          <w:szCs w:val="20"/>
          <w:rtl/>
        </w:rPr>
        <w:t xml:space="preserve">, </w:t>
      </w:r>
      <w:r w:rsidRPr="00093877">
        <w:rPr>
          <w:rFonts w:cs="Arial" w:hint="cs"/>
          <w:sz w:val="20"/>
          <w:szCs w:val="20"/>
          <w:rtl/>
        </w:rPr>
        <w:t>מן</w:t>
      </w:r>
      <w:r w:rsidRPr="00093877">
        <w:rPr>
          <w:rFonts w:cs="Arial"/>
          <w:sz w:val="20"/>
          <w:szCs w:val="20"/>
          <w:rtl/>
        </w:rPr>
        <w:t xml:space="preserve"> </w:t>
      </w:r>
      <w:r w:rsidRPr="00093877">
        <w:rPr>
          <w:rFonts w:cs="Arial" w:hint="cs"/>
          <w:sz w:val="20"/>
          <w:szCs w:val="20"/>
          <w:rtl/>
        </w:rPr>
        <w:t>היין</w:t>
      </w:r>
      <w:r w:rsidRPr="00093877">
        <w:rPr>
          <w:rFonts w:cs="Arial"/>
          <w:sz w:val="20"/>
          <w:szCs w:val="20"/>
          <w:rtl/>
        </w:rPr>
        <w:t xml:space="preserve"> </w:t>
      </w:r>
      <w:r w:rsidRPr="00093877">
        <w:rPr>
          <w:rFonts w:cs="Arial" w:hint="cs"/>
          <w:sz w:val="20"/>
          <w:szCs w:val="20"/>
          <w:rtl/>
        </w:rPr>
        <w:t>השרוני</w:t>
      </w:r>
      <w:r>
        <w:rPr>
          <w:rFonts w:cs="Arial" w:hint="cs"/>
          <w:sz w:val="20"/>
          <w:szCs w:val="20"/>
          <w:rtl/>
        </w:rPr>
        <w:t>"</w:t>
      </w:r>
      <w:r w:rsidRPr="00093877">
        <w:rPr>
          <w:rFonts w:cs="Arial"/>
          <w:sz w:val="20"/>
          <w:szCs w:val="20"/>
          <w:rtl/>
        </w:rPr>
        <w:t xml:space="preserve">. </w:t>
      </w:r>
      <w:r>
        <w:rPr>
          <w:rFonts w:hint="cs"/>
          <w:b/>
          <w:bCs/>
          <w:sz w:val="20"/>
          <w:szCs w:val="20"/>
          <w:rtl/>
        </w:rPr>
        <w:t xml:space="preserve">גמרא </w:t>
      </w:r>
      <w:r>
        <w:rPr>
          <w:rFonts w:hint="cs"/>
          <w:sz w:val="20"/>
          <w:szCs w:val="20"/>
          <w:rtl/>
        </w:rPr>
        <w:t>(שם) "</w:t>
      </w:r>
      <w:r w:rsidRPr="00093877">
        <w:rPr>
          <w:rFonts w:cs="Arial" w:hint="cs"/>
          <w:sz w:val="20"/>
          <w:szCs w:val="20"/>
          <w:rtl/>
        </w:rPr>
        <w:t>מנלן</w:t>
      </w:r>
      <w:r w:rsidRPr="00093877">
        <w:rPr>
          <w:rFonts w:cs="Arial"/>
          <w:sz w:val="20"/>
          <w:szCs w:val="20"/>
          <w:rtl/>
        </w:rPr>
        <w:t xml:space="preserve"> </w:t>
      </w:r>
      <w:r w:rsidRPr="00093877">
        <w:rPr>
          <w:rFonts w:cs="Arial" w:hint="cs"/>
          <w:sz w:val="20"/>
          <w:szCs w:val="20"/>
          <w:rtl/>
        </w:rPr>
        <w:t>דאיכא</w:t>
      </w:r>
      <w:r w:rsidRPr="00093877">
        <w:rPr>
          <w:rFonts w:cs="Arial"/>
          <w:sz w:val="20"/>
          <w:szCs w:val="20"/>
          <w:rtl/>
        </w:rPr>
        <w:t xml:space="preserve"> </w:t>
      </w:r>
      <w:r w:rsidRPr="00093877">
        <w:rPr>
          <w:rFonts w:cs="Arial" w:hint="cs"/>
          <w:sz w:val="20"/>
          <w:szCs w:val="20"/>
          <w:rtl/>
        </w:rPr>
        <w:t>דם</w:t>
      </w:r>
      <w:r w:rsidRPr="00093877">
        <w:rPr>
          <w:rFonts w:cs="Arial"/>
          <w:sz w:val="20"/>
          <w:szCs w:val="20"/>
          <w:rtl/>
        </w:rPr>
        <w:t xml:space="preserve"> </w:t>
      </w:r>
      <w:r w:rsidRPr="00093877">
        <w:rPr>
          <w:rFonts w:cs="Arial" w:hint="cs"/>
          <w:sz w:val="20"/>
          <w:szCs w:val="20"/>
          <w:rtl/>
        </w:rPr>
        <w:t>טהור</w:t>
      </w:r>
      <w:r w:rsidRPr="00093877">
        <w:rPr>
          <w:rFonts w:cs="Arial"/>
          <w:sz w:val="20"/>
          <w:szCs w:val="20"/>
          <w:rtl/>
        </w:rPr>
        <w:t xml:space="preserve"> </w:t>
      </w:r>
      <w:r w:rsidRPr="00093877">
        <w:rPr>
          <w:rFonts w:cs="Arial" w:hint="cs"/>
          <w:sz w:val="20"/>
          <w:szCs w:val="20"/>
          <w:rtl/>
        </w:rPr>
        <w:t>באשה</w:t>
      </w:r>
      <w:r w:rsidRPr="00093877">
        <w:rPr>
          <w:rFonts w:cs="Arial"/>
          <w:sz w:val="20"/>
          <w:szCs w:val="20"/>
          <w:rtl/>
        </w:rPr>
        <w:t>?</w:t>
      </w:r>
      <w:r>
        <w:rPr>
          <w:rFonts w:cs="Arial" w:hint="cs"/>
          <w:sz w:val="20"/>
          <w:szCs w:val="20"/>
          <w:rtl/>
        </w:rPr>
        <w:t xml:space="preserve"> </w:t>
      </w:r>
      <w:r w:rsidRPr="00093877">
        <w:rPr>
          <w:rFonts w:cs="Arial" w:hint="cs"/>
          <w:sz w:val="20"/>
          <w:szCs w:val="20"/>
          <w:rtl/>
        </w:rPr>
        <w:t>דלמא</w:t>
      </w:r>
      <w:r w:rsidRPr="00093877">
        <w:rPr>
          <w:rFonts w:cs="Arial"/>
          <w:sz w:val="20"/>
          <w:szCs w:val="20"/>
          <w:rtl/>
        </w:rPr>
        <w:t xml:space="preserve"> </w:t>
      </w:r>
      <w:r w:rsidRPr="00093877">
        <w:rPr>
          <w:rFonts w:cs="Arial" w:hint="cs"/>
          <w:sz w:val="20"/>
          <w:szCs w:val="20"/>
          <w:rtl/>
        </w:rPr>
        <w:t>כל</w:t>
      </w:r>
      <w:r w:rsidRPr="00093877">
        <w:rPr>
          <w:rFonts w:cs="Arial"/>
          <w:sz w:val="20"/>
          <w:szCs w:val="20"/>
          <w:rtl/>
        </w:rPr>
        <w:t xml:space="preserve"> </w:t>
      </w:r>
      <w:r w:rsidRPr="00093877">
        <w:rPr>
          <w:rFonts w:cs="Arial" w:hint="cs"/>
          <w:sz w:val="20"/>
          <w:szCs w:val="20"/>
          <w:rtl/>
        </w:rPr>
        <w:t>דם</w:t>
      </w:r>
      <w:r w:rsidRPr="00093877">
        <w:rPr>
          <w:rFonts w:cs="Arial"/>
          <w:sz w:val="20"/>
          <w:szCs w:val="20"/>
          <w:rtl/>
        </w:rPr>
        <w:t xml:space="preserve"> </w:t>
      </w:r>
      <w:r w:rsidRPr="00093877">
        <w:rPr>
          <w:rFonts w:cs="Arial" w:hint="cs"/>
          <w:sz w:val="20"/>
          <w:szCs w:val="20"/>
          <w:rtl/>
        </w:rPr>
        <w:t>דאתי</w:t>
      </w:r>
      <w:r w:rsidRPr="00093877">
        <w:rPr>
          <w:rFonts w:cs="Arial"/>
          <w:sz w:val="20"/>
          <w:szCs w:val="20"/>
          <w:rtl/>
        </w:rPr>
        <w:t xml:space="preserve"> </w:t>
      </w:r>
      <w:r w:rsidRPr="00093877">
        <w:rPr>
          <w:rFonts w:cs="Arial" w:hint="cs"/>
          <w:sz w:val="20"/>
          <w:szCs w:val="20"/>
          <w:rtl/>
        </w:rPr>
        <w:t>מינה</w:t>
      </w:r>
      <w:r w:rsidRPr="00093877">
        <w:rPr>
          <w:rFonts w:cs="Arial"/>
          <w:sz w:val="20"/>
          <w:szCs w:val="20"/>
          <w:rtl/>
        </w:rPr>
        <w:t xml:space="preserve"> </w:t>
      </w:r>
      <w:r w:rsidRPr="00093877">
        <w:rPr>
          <w:rFonts w:cs="Arial" w:hint="cs"/>
          <w:sz w:val="20"/>
          <w:szCs w:val="20"/>
          <w:rtl/>
        </w:rPr>
        <w:t>טמא</w:t>
      </w:r>
      <w:r w:rsidRPr="00093877">
        <w:rPr>
          <w:rFonts w:cs="Arial"/>
          <w:sz w:val="20"/>
          <w:szCs w:val="20"/>
          <w:rtl/>
        </w:rPr>
        <w:t xml:space="preserve">! </w:t>
      </w:r>
      <w:r w:rsidRPr="00093877">
        <w:rPr>
          <w:rFonts w:cs="Arial" w:hint="cs"/>
          <w:sz w:val="20"/>
          <w:szCs w:val="20"/>
          <w:rtl/>
        </w:rPr>
        <w:t>אמר</w:t>
      </w:r>
      <w:r w:rsidRPr="00093877">
        <w:rPr>
          <w:rFonts w:cs="Arial"/>
          <w:sz w:val="20"/>
          <w:szCs w:val="20"/>
          <w:rtl/>
        </w:rPr>
        <w:t xml:space="preserve"> </w:t>
      </w:r>
      <w:r w:rsidRPr="00093877">
        <w:rPr>
          <w:rFonts w:cs="Arial" w:hint="cs"/>
          <w:sz w:val="20"/>
          <w:szCs w:val="20"/>
          <w:rtl/>
        </w:rPr>
        <w:t>רבי</w:t>
      </w:r>
      <w:r w:rsidRPr="00093877">
        <w:rPr>
          <w:rFonts w:cs="Arial"/>
          <w:sz w:val="20"/>
          <w:szCs w:val="20"/>
          <w:rtl/>
        </w:rPr>
        <w:t xml:space="preserve"> </w:t>
      </w:r>
      <w:r w:rsidRPr="00093877">
        <w:rPr>
          <w:rFonts w:cs="Arial" w:hint="cs"/>
          <w:sz w:val="20"/>
          <w:szCs w:val="20"/>
          <w:rtl/>
        </w:rPr>
        <w:t>חמא</w:t>
      </w:r>
      <w:r w:rsidRPr="00093877">
        <w:rPr>
          <w:rFonts w:cs="Arial"/>
          <w:sz w:val="20"/>
          <w:szCs w:val="20"/>
          <w:rtl/>
        </w:rPr>
        <w:t xml:space="preserve"> </w:t>
      </w:r>
      <w:r w:rsidRPr="00093877">
        <w:rPr>
          <w:rFonts w:cs="Arial" w:hint="cs"/>
          <w:sz w:val="20"/>
          <w:szCs w:val="20"/>
          <w:rtl/>
        </w:rPr>
        <w:t>בר</w:t>
      </w:r>
      <w:r w:rsidRPr="00093877">
        <w:rPr>
          <w:rFonts w:cs="Arial"/>
          <w:sz w:val="20"/>
          <w:szCs w:val="20"/>
          <w:rtl/>
        </w:rPr>
        <w:t xml:space="preserve"> </w:t>
      </w:r>
      <w:r w:rsidRPr="00093877">
        <w:rPr>
          <w:rFonts w:cs="Arial" w:hint="cs"/>
          <w:sz w:val="20"/>
          <w:szCs w:val="20"/>
          <w:rtl/>
        </w:rPr>
        <w:t>יוסף</w:t>
      </w:r>
      <w:r w:rsidRPr="00093877">
        <w:rPr>
          <w:rFonts w:cs="Arial"/>
          <w:sz w:val="20"/>
          <w:szCs w:val="20"/>
          <w:rtl/>
        </w:rPr>
        <w:t xml:space="preserve"> </w:t>
      </w:r>
      <w:r w:rsidRPr="00093877">
        <w:rPr>
          <w:rFonts w:cs="Arial" w:hint="cs"/>
          <w:sz w:val="20"/>
          <w:szCs w:val="20"/>
          <w:rtl/>
        </w:rPr>
        <w:t>אמר</w:t>
      </w:r>
      <w:r w:rsidRPr="00093877">
        <w:rPr>
          <w:rFonts w:cs="Arial"/>
          <w:sz w:val="20"/>
          <w:szCs w:val="20"/>
          <w:rtl/>
        </w:rPr>
        <w:t xml:space="preserve"> </w:t>
      </w:r>
      <w:r w:rsidRPr="00093877">
        <w:rPr>
          <w:rFonts w:cs="Arial" w:hint="cs"/>
          <w:sz w:val="20"/>
          <w:szCs w:val="20"/>
          <w:rtl/>
        </w:rPr>
        <w:t>רבי</w:t>
      </w:r>
      <w:r w:rsidRPr="00093877">
        <w:rPr>
          <w:rFonts w:cs="Arial"/>
          <w:sz w:val="20"/>
          <w:szCs w:val="20"/>
          <w:rtl/>
        </w:rPr>
        <w:t xml:space="preserve"> </w:t>
      </w:r>
      <w:r w:rsidRPr="00093877">
        <w:rPr>
          <w:rFonts w:cs="Arial" w:hint="cs"/>
          <w:sz w:val="20"/>
          <w:szCs w:val="20"/>
          <w:rtl/>
        </w:rPr>
        <w:t>אושעיא</w:t>
      </w:r>
      <w:r w:rsidRPr="00093877">
        <w:rPr>
          <w:rFonts w:cs="Arial"/>
          <w:sz w:val="20"/>
          <w:szCs w:val="20"/>
          <w:rtl/>
        </w:rPr>
        <w:t xml:space="preserve">: </w:t>
      </w:r>
      <w:r w:rsidRPr="00093877">
        <w:rPr>
          <w:rFonts w:cs="Arial" w:hint="cs"/>
          <w:sz w:val="20"/>
          <w:szCs w:val="20"/>
          <w:rtl/>
        </w:rPr>
        <w:t>אמר</w:t>
      </w:r>
      <w:r w:rsidRPr="00093877">
        <w:rPr>
          <w:rFonts w:cs="Arial"/>
          <w:sz w:val="20"/>
          <w:szCs w:val="20"/>
          <w:rtl/>
        </w:rPr>
        <w:t xml:space="preserve"> </w:t>
      </w:r>
      <w:r w:rsidRPr="00093877">
        <w:rPr>
          <w:rFonts w:cs="Arial" w:hint="cs"/>
          <w:sz w:val="20"/>
          <w:szCs w:val="20"/>
          <w:rtl/>
        </w:rPr>
        <w:t>קרא</w:t>
      </w:r>
      <w:r w:rsidRPr="00093877">
        <w:rPr>
          <w:rFonts w:cs="Arial"/>
          <w:sz w:val="20"/>
          <w:szCs w:val="20"/>
          <w:rtl/>
        </w:rPr>
        <w:t xml:space="preserve"> </w:t>
      </w:r>
      <w:r w:rsidRPr="00093877">
        <w:rPr>
          <w:rFonts w:cs="Arial" w:hint="cs"/>
          <w:sz w:val="20"/>
          <w:szCs w:val="20"/>
          <w:rtl/>
        </w:rPr>
        <w:t>כי</w:t>
      </w:r>
      <w:r w:rsidRPr="00093877">
        <w:rPr>
          <w:rFonts w:cs="Arial"/>
          <w:sz w:val="20"/>
          <w:szCs w:val="20"/>
          <w:rtl/>
        </w:rPr>
        <w:t xml:space="preserve"> </w:t>
      </w:r>
      <w:r w:rsidRPr="00093877">
        <w:rPr>
          <w:rFonts w:cs="Arial" w:hint="cs"/>
          <w:sz w:val="20"/>
          <w:szCs w:val="20"/>
          <w:rtl/>
        </w:rPr>
        <w:t>יפלא</w:t>
      </w:r>
      <w:r w:rsidRPr="00093877">
        <w:rPr>
          <w:rFonts w:cs="Arial"/>
          <w:sz w:val="20"/>
          <w:szCs w:val="20"/>
          <w:rtl/>
        </w:rPr>
        <w:t xml:space="preserve"> </w:t>
      </w:r>
      <w:r w:rsidRPr="00093877">
        <w:rPr>
          <w:rFonts w:cs="Arial" w:hint="cs"/>
          <w:sz w:val="20"/>
          <w:szCs w:val="20"/>
          <w:rtl/>
        </w:rPr>
        <w:t>ממך</w:t>
      </w:r>
      <w:r w:rsidRPr="00093877">
        <w:rPr>
          <w:rFonts w:cs="Arial"/>
          <w:sz w:val="20"/>
          <w:szCs w:val="20"/>
          <w:rtl/>
        </w:rPr>
        <w:t xml:space="preserve"> </w:t>
      </w:r>
      <w:r w:rsidRPr="00093877">
        <w:rPr>
          <w:rFonts w:cs="Arial" w:hint="cs"/>
          <w:sz w:val="20"/>
          <w:szCs w:val="20"/>
          <w:rtl/>
        </w:rPr>
        <w:t>דבר</w:t>
      </w:r>
      <w:r w:rsidRPr="00093877">
        <w:rPr>
          <w:rFonts w:cs="Arial"/>
          <w:sz w:val="20"/>
          <w:szCs w:val="20"/>
          <w:rtl/>
        </w:rPr>
        <w:t xml:space="preserve"> </w:t>
      </w:r>
      <w:r w:rsidRPr="00093877">
        <w:rPr>
          <w:rFonts w:cs="Arial" w:hint="cs"/>
          <w:sz w:val="20"/>
          <w:szCs w:val="20"/>
          <w:rtl/>
        </w:rPr>
        <w:t>למשפט</w:t>
      </w:r>
      <w:r w:rsidRPr="00093877">
        <w:rPr>
          <w:rFonts w:cs="Arial"/>
          <w:sz w:val="20"/>
          <w:szCs w:val="20"/>
          <w:rtl/>
        </w:rPr>
        <w:t xml:space="preserve"> </w:t>
      </w:r>
      <w:r w:rsidRPr="00093877">
        <w:rPr>
          <w:rFonts w:cs="Arial" w:hint="cs"/>
          <w:sz w:val="20"/>
          <w:szCs w:val="20"/>
          <w:rtl/>
        </w:rPr>
        <w:t>בין</w:t>
      </w:r>
      <w:r w:rsidRPr="00093877">
        <w:rPr>
          <w:rFonts w:cs="Arial"/>
          <w:sz w:val="20"/>
          <w:szCs w:val="20"/>
          <w:rtl/>
        </w:rPr>
        <w:t xml:space="preserve"> </w:t>
      </w:r>
      <w:r w:rsidRPr="00093877">
        <w:rPr>
          <w:rFonts w:cs="Arial" w:hint="cs"/>
          <w:sz w:val="20"/>
          <w:szCs w:val="20"/>
          <w:rtl/>
        </w:rPr>
        <w:t>דם</w:t>
      </w:r>
      <w:r w:rsidRPr="00093877">
        <w:rPr>
          <w:rFonts w:cs="Arial"/>
          <w:sz w:val="20"/>
          <w:szCs w:val="20"/>
          <w:rtl/>
        </w:rPr>
        <w:t xml:space="preserve"> </w:t>
      </w:r>
      <w:r w:rsidRPr="00093877">
        <w:rPr>
          <w:rFonts w:cs="Arial" w:hint="cs"/>
          <w:sz w:val="20"/>
          <w:szCs w:val="20"/>
          <w:rtl/>
        </w:rPr>
        <w:t>לדם</w:t>
      </w:r>
      <w:r w:rsidRPr="00093877">
        <w:rPr>
          <w:rFonts w:cs="Arial"/>
          <w:sz w:val="20"/>
          <w:szCs w:val="20"/>
          <w:rtl/>
        </w:rPr>
        <w:t xml:space="preserve"> </w:t>
      </w:r>
      <w:r w:rsidRPr="00093877">
        <w:rPr>
          <w:rFonts w:cs="Arial" w:hint="cs"/>
          <w:sz w:val="20"/>
          <w:szCs w:val="20"/>
          <w:rtl/>
        </w:rPr>
        <w:t>בין</w:t>
      </w:r>
      <w:r w:rsidRPr="00093877">
        <w:rPr>
          <w:rFonts w:cs="Arial"/>
          <w:sz w:val="20"/>
          <w:szCs w:val="20"/>
          <w:rtl/>
        </w:rPr>
        <w:t xml:space="preserve"> </w:t>
      </w:r>
      <w:r w:rsidRPr="00093877">
        <w:rPr>
          <w:rFonts w:cs="Arial" w:hint="cs"/>
          <w:sz w:val="20"/>
          <w:szCs w:val="20"/>
          <w:rtl/>
        </w:rPr>
        <w:t>דם</w:t>
      </w:r>
      <w:r w:rsidRPr="00093877">
        <w:rPr>
          <w:rFonts w:cs="Arial"/>
          <w:sz w:val="20"/>
          <w:szCs w:val="20"/>
          <w:rtl/>
        </w:rPr>
        <w:t xml:space="preserve"> </w:t>
      </w:r>
      <w:r w:rsidRPr="00093877">
        <w:rPr>
          <w:rFonts w:cs="Arial" w:hint="cs"/>
          <w:sz w:val="20"/>
          <w:szCs w:val="20"/>
          <w:rtl/>
        </w:rPr>
        <w:t>טהור</w:t>
      </w:r>
      <w:r w:rsidRPr="00093877">
        <w:rPr>
          <w:rFonts w:cs="Arial"/>
          <w:sz w:val="20"/>
          <w:szCs w:val="20"/>
          <w:rtl/>
        </w:rPr>
        <w:t xml:space="preserve"> </w:t>
      </w:r>
      <w:r w:rsidRPr="00093877">
        <w:rPr>
          <w:rFonts w:cs="Arial" w:hint="cs"/>
          <w:sz w:val="20"/>
          <w:szCs w:val="20"/>
          <w:rtl/>
        </w:rPr>
        <w:t>לדם</w:t>
      </w:r>
      <w:r w:rsidRPr="00093877">
        <w:rPr>
          <w:rFonts w:cs="Arial"/>
          <w:sz w:val="20"/>
          <w:szCs w:val="20"/>
          <w:rtl/>
        </w:rPr>
        <w:t xml:space="preserve"> </w:t>
      </w:r>
      <w:r w:rsidRPr="00093877">
        <w:rPr>
          <w:rFonts w:cs="Arial" w:hint="cs"/>
          <w:sz w:val="20"/>
          <w:szCs w:val="20"/>
          <w:rtl/>
        </w:rPr>
        <w:t>טמא</w:t>
      </w:r>
      <w:r>
        <w:rPr>
          <w:rFonts w:cs="Arial" w:hint="cs"/>
          <w:sz w:val="20"/>
          <w:szCs w:val="20"/>
          <w:rtl/>
        </w:rPr>
        <w:t>".</w:t>
      </w:r>
    </w:p>
    <w:p w:rsidR="00620060" w:rsidRDefault="00620060" w:rsidP="00620060">
      <w:pPr>
        <w:rPr>
          <w:sz w:val="20"/>
          <w:szCs w:val="20"/>
          <w:rtl/>
        </w:rPr>
      </w:pPr>
      <w:r>
        <w:rPr>
          <w:rFonts w:hint="cs"/>
          <w:sz w:val="20"/>
          <w:szCs w:val="20"/>
          <w:rtl/>
        </w:rPr>
        <w:t xml:space="preserve">ב. </w:t>
      </w:r>
      <w:r w:rsidRPr="00347134">
        <w:rPr>
          <w:rFonts w:hint="cs"/>
          <w:b/>
          <w:bCs/>
          <w:sz w:val="20"/>
          <w:szCs w:val="20"/>
          <w:rtl/>
        </w:rPr>
        <w:t>גמרא</w:t>
      </w:r>
      <w:r>
        <w:rPr>
          <w:rFonts w:hint="cs"/>
          <w:sz w:val="20"/>
          <w:szCs w:val="20"/>
          <w:rtl/>
        </w:rPr>
        <w:t xml:space="preserve"> (שם) "</w:t>
      </w:r>
      <w:r w:rsidRPr="00347134">
        <w:rPr>
          <w:rFonts w:cs="Arial" w:hint="cs"/>
          <w:sz w:val="20"/>
          <w:szCs w:val="20"/>
          <w:rtl/>
        </w:rPr>
        <w:t>וממאי</w:t>
      </w:r>
      <w:r w:rsidRPr="00347134">
        <w:rPr>
          <w:rFonts w:cs="Arial"/>
          <w:sz w:val="20"/>
          <w:szCs w:val="20"/>
          <w:rtl/>
        </w:rPr>
        <w:t xml:space="preserve"> </w:t>
      </w:r>
      <w:r w:rsidRPr="00347134">
        <w:rPr>
          <w:rFonts w:cs="Arial" w:hint="cs"/>
          <w:sz w:val="20"/>
          <w:szCs w:val="20"/>
          <w:rtl/>
        </w:rPr>
        <w:t>דהני</w:t>
      </w:r>
      <w:r w:rsidRPr="00347134">
        <w:rPr>
          <w:rFonts w:cs="Arial"/>
          <w:sz w:val="20"/>
          <w:szCs w:val="20"/>
          <w:rtl/>
        </w:rPr>
        <w:t xml:space="preserve"> </w:t>
      </w:r>
      <w:r w:rsidRPr="00347134">
        <w:rPr>
          <w:rFonts w:cs="Arial" w:hint="cs"/>
          <w:sz w:val="20"/>
          <w:szCs w:val="20"/>
          <w:rtl/>
        </w:rPr>
        <w:t>טהורין</w:t>
      </w:r>
      <w:r w:rsidRPr="00347134">
        <w:rPr>
          <w:rFonts w:cs="Arial"/>
          <w:sz w:val="20"/>
          <w:szCs w:val="20"/>
          <w:rtl/>
        </w:rPr>
        <w:t xml:space="preserve"> </w:t>
      </w:r>
      <w:r w:rsidRPr="00347134">
        <w:rPr>
          <w:rFonts w:cs="Arial" w:hint="cs"/>
          <w:sz w:val="20"/>
          <w:szCs w:val="20"/>
          <w:rtl/>
        </w:rPr>
        <w:t>והני</w:t>
      </w:r>
      <w:r w:rsidRPr="00347134">
        <w:rPr>
          <w:rFonts w:cs="Arial"/>
          <w:sz w:val="20"/>
          <w:szCs w:val="20"/>
          <w:rtl/>
        </w:rPr>
        <w:t xml:space="preserve"> </w:t>
      </w:r>
      <w:r w:rsidRPr="00347134">
        <w:rPr>
          <w:rFonts w:cs="Arial" w:hint="cs"/>
          <w:sz w:val="20"/>
          <w:szCs w:val="20"/>
          <w:rtl/>
        </w:rPr>
        <w:t>טמאין</w:t>
      </w:r>
      <w:r w:rsidRPr="00347134">
        <w:rPr>
          <w:rFonts w:cs="Arial"/>
          <w:sz w:val="20"/>
          <w:szCs w:val="20"/>
          <w:rtl/>
        </w:rPr>
        <w:t xml:space="preserve">? </w:t>
      </w:r>
      <w:r w:rsidRPr="00347134">
        <w:rPr>
          <w:rFonts w:cs="Arial" w:hint="cs"/>
          <w:sz w:val="20"/>
          <w:szCs w:val="20"/>
          <w:rtl/>
        </w:rPr>
        <w:t>אמר</w:t>
      </w:r>
      <w:r w:rsidRPr="00347134">
        <w:rPr>
          <w:rFonts w:cs="Arial"/>
          <w:sz w:val="20"/>
          <w:szCs w:val="20"/>
          <w:rtl/>
        </w:rPr>
        <w:t xml:space="preserve"> </w:t>
      </w:r>
      <w:r w:rsidRPr="00347134">
        <w:rPr>
          <w:rFonts w:cs="Arial" w:hint="cs"/>
          <w:sz w:val="20"/>
          <w:szCs w:val="20"/>
          <w:rtl/>
        </w:rPr>
        <w:t>רבי</w:t>
      </w:r>
      <w:r w:rsidRPr="00347134">
        <w:rPr>
          <w:rFonts w:cs="Arial"/>
          <w:sz w:val="20"/>
          <w:szCs w:val="20"/>
          <w:rtl/>
        </w:rPr>
        <w:t xml:space="preserve"> </w:t>
      </w:r>
      <w:r w:rsidRPr="00347134">
        <w:rPr>
          <w:rFonts w:cs="Arial" w:hint="cs"/>
          <w:sz w:val="20"/>
          <w:szCs w:val="20"/>
          <w:rtl/>
        </w:rPr>
        <w:t>אבהו</w:t>
      </w:r>
      <w:r w:rsidRPr="00347134">
        <w:rPr>
          <w:rFonts w:cs="Arial"/>
          <w:sz w:val="20"/>
          <w:szCs w:val="20"/>
          <w:rtl/>
        </w:rPr>
        <w:t xml:space="preserve">: </w:t>
      </w:r>
      <w:r w:rsidRPr="00347134">
        <w:rPr>
          <w:rFonts w:cs="Arial" w:hint="cs"/>
          <w:sz w:val="20"/>
          <w:szCs w:val="20"/>
          <w:rtl/>
        </w:rPr>
        <w:t>דאמר</w:t>
      </w:r>
      <w:r w:rsidRPr="00347134">
        <w:rPr>
          <w:rFonts w:cs="Arial"/>
          <w:sz w:val="20"/>
          <w:szCs w:val="20"/>
          <w:rtl/>
        </w:rPr>
        <w:t xml:space="preserve"> </w:t>
      </w:r>
      <w:r w:rsidRPr="00347134">
        <w:rPr>
          <w:rFonts w:cs="Arial" w:hint="cs"/>
          <w:sz w:val="20"/>
          <w:szCs w:val="20"/>
          <w:rtl/>
        </w:rPr>
        <w:t>קרא</w:t>
      </w:r>
      <w:r w:rsidRPr="00347134">
        <w:rPr>
          <w:rFonts w:cs="Arial"/>
          <w:sz w:val="20"/>
          <w:szCs w:val="20"/>
          <w:rtl/>
        </w:rPr>
        <w:t xml:space="preserve"> </w:t>
      </w:r>
      <w:r w:rsidRPr="00347134">
        <w:rPr>
          <w:rFonts w:cs="Arial" w:hint="cs"/>
          <w:sz w:val="20"/>
          <w:szCs w:val="20"/>
          <w:rtl/>
        </w:rPr>
        <w:t>ויראו</w:t>
      </w:r>
      <w:r w:rsidRPr="00347134">
        <w:rPr>
          <w:rFonts w:cs="Arial"/>
          <w:sz w:val="20"/>
          <w:szCs w:val="20"/>
          <w:rtl/>
        </w:rPr>
        <w:t xml:space="preserve"> </w:t>
      </w:r>
      <w:r w:rsidRPr="00347134">
        <w:rPr>
          <w:rFonts w:cs="Arial" w:hint="cs"/>
          <w:sz w:val="20"/>
          <w:szCs w:val="20"/>
          <w:rtl/>
        </w:rPr>
        <w:t>מואב</w:t>
      </w:r>
      <w:r w:rsidRPr="00347134">
        <w:rPr>
          <w:rFonts w:cs="Arial"/>
          <w:sz w:val="20"/>
          <w:szCs w:val="20"/>
          <w:rtl/>
        </w:rPr>
        <w:t xml:space="preserve"> </w:t>
      </w:r>
      <w:r w:rsidRPr="00347134">
        <w:rPr>
          <w:rFonts w:cs="Arial" w:hint="cs"/>
          <w:sz w:val="20"/>
          <w:szCs w:val="20"/>
          <w:rtl/>
        </w:rPr>
        <w:t>את</w:t>
      </w:r>
      <w:r w:rsidRPr="00347134">
        <w:rPr>
          <w:rFonts w:cs="Arial"/>
          <w:sz w:val="20"/>
          <w:szCs w:val="20"/>
          <w:rtl/>
        </w:rPr>
        <w:t xml:space="preserve"> </w:t>
      </w:r>
      <w:r w:rsidRPr="00347134">
        <w:rPr>
          <w:rFonts w:cs="Arial" w:hint="cs"/>
          <w:sz w:val="20"/>
          <w:szCs w:val="20"/>
          <w:rtl/>
        </w:rPr>
        <w:t>המים</w:t>
      </w:r>
      <w:r w:rsidRPr="00347134">
        <w:rPr>
          <w:rFonts w:cs="Arial"/>
          <w:sz w:val="20"/>
          <w:szCs w:val="20"/>
          <w:rtl/>
        </w:rPr>
        <w:t xml:space="preserve"> </w:t>
      </w:r>
      <w:r w:rsidRPr="00347134">
        <w:rPr>
          <w:rFonts w:cs="Arial" w:hint="cs"/>
          <w:sz w:val="20"/>
          <w:szCs w:val="20"/>
          <w:rtl/>
        </w:rPr>
        <w:t>אדומים</w:t>
      </w:r>
      <w:r w:rsidRPr="00347134">
        <w:rPr>
          <w:rFonts w:cs="Arial"/>
          <w:sz w:val="20"/>
          <w:szCs w:val="20"/>
          <w:rtl/>
        </w:rPr>
        <w:t xml:space="preserve"> </w:t>
      </w:r>
      <w:r w:rsidRPr="00347134">
        <w:rPr>
          <w:rFonts w:cs="Arial" w:hint="cs"/>
          <w:sz w:val="20"/>
          <w:szCs w:val="20"/>
          <w:rtl/>
        </w:rPr>
        <w:t>כדם</w:t>
      </w:r>
      <w:r w:rsidRPr="00347134">
        <w:rPr>
          <w:rFonts w:cs="Arial"/>
          <w:sz w:val="20"/>
          <w:szCs w:val="20"/>
          <w:rtl/>
        </w:rPr>
        <w:t xml:space="preserve"> </w:t>
      </w:r>
      <w:r w:rsidRPr="00347134">
        <w:rPr>
          <w:rFonts w:cs="Arial" w:hint="cs"/>
          <w:sz w:val="20"/>
          <w:szCs w:val="20"/>
          <w:rtl/>
        </w:rPr>
        <w:t>למימרא</w:t>
      </w:r>
      <w:r w:rsidRPr="00347134">
        <w:rPr>
          <w:rFonts w:cs="Arial"/>
          <w:sz w:val="20"/>
          <w:szCs w:val="20"/>
          <w:rtl/>
        </w:rPr>
        <w:t xml:space="preserve"> </w:t>
      </w:r>
      <w:r w:rsidRPr="00347134">
        <w:rPr>
          <w:rFonts w:cs="Arial" w:hint="cs"/>
          <w:sz w:val="20"/>
          <w:szCs w:val="20"/>
          <w:rtl/>
        </w:rPr>
        <w:t>דדם</w:t>
      </w:r>
      <w:r w:rsidRPr="00347134">
        <w:rPr>
          <w:rFonts w:cs="Arial"/>
          <w:sz w:val="20"/>
          <w:szCs w:val="20"/>
          <w:rtl/>
        </w:rPr>
        <w:t xml:space="preserve"> </w:t>
      </w:r>
      <w:r w:rsidRPr="00347134">
        <w:rPr>
          <w:rFonts w:cs="Arial" w:hint="cs"/>
          <w:sz w:val="20"/>
          <w:szCs w:val="20"/>
          <w:rtl/>
        </w:rPr>
        <w:t>אדום</w:t>
      </w:r>
      <w:r w:rsidRPr="00347134">
        <w:rPr>
          <w:rFonts w:cs="Arial"/>
          <w:sz w:val="20"/>
          <w:szCs w:val="20"/>
          <w:rtl/>
        </w:rPr>
        <w:t xml:space="preserve"> </w:t>
      </w:r>
      <w:r w:rsidRPr="00347134">
        <w:rPr>
          <w:rFonts w:cs="Arial" w:hint="cs"/>
          <w:sz w:val="20"/>
          <w:szCs w:val="20"/>
          <w:rtl/>
        </w:rPr>
        <w:t>הוא</w:t>
      </w:r>
      <w:r w:rsidRPr="00347134">
        <w:rPr>
          <w:rFonts w:cs="Arial"/>
          <w:sz w:val="20"/>
          <w:szCs w:val="20"/>
          <w:rtl/>
        </w:rPr>
        <w:t xml:space="preserve">. </w:t>
      </w:r>
      <w:r w:rsidRPr="00347134">
        <w:rPr>
          <w:rFonts w:cs="Arial" w:hint="cs"/>
          <w:sz w:val="20"/>
          <w:szCs w:val="20"/>
          <w:rtl/>
        </w:rPr>
        <w:t>אימא</w:t>
      </w:r>
      <w:r w:rsidRPr="00347134">
        <w:rPr>
          <w:rFonts w:cs="Arial"/>
          <w:sz w:val="20"/>
          <w:szCs w:val="20"/>
          <w:rtl/>
        </w:rPr>
        <w:t xml:space="preserve"> </w:t>
      </w:r>
      <w:r w:rsidRPr="00347134">
        <w:rPr>
          <w:rFonts w:cs="Arial" w:hint="cs"/>
          <w:sz w:val="20"/>
          <w:szCs w:val="20"/>
          <w:rtl/>
        </w:rPr>
        <w:t>אדום</w:t>
      </w:r>
      <w:r w:rsidRPr="00347134">
        <w:rPr>
          <w:rFonts w:cs="Arial"/>
          <w:sz w:val="20"/>
          <w:szCs w:val="20"/>
          <w:rtl/>
        </w:rPr>
        <w:t xml:space="preserve"> </w:t>
      </w:r>
      <w:r w:rsidRPr="00347134">
        <w:rPr>
          <w:rFonts w:cs="Arial" w:hint="cs"/>
          <w:sz w:val="20"/>
          <w:szCs w:val="20"/>
          <w:rtl/>
        </w:rPr>
        <w:t>ותו</w:t>
      </w:r>
      <w:r w:rsidRPr="00347134">
        <w:rPr>
          <w:rFonts w:cs="Arial"/>
          <w:sz w:val="20"/>
          <w:szCs w:val="20"/>
          <w:rtl/>
        </w:rPr>
        <w:t xml:space="preserve"> </w:t>
      </w:r>
      <w:r w:rsidRPr="00347134">
        <w:rPr>
          <w:rFonts w:cs="Arial" w:hint="cs"/>
          <w:sz w:val="20"/>
          <w:szCs w:val="20"/>
          <w:rtl/>
        </w:rPr>
        <w:t>לא</w:t>
      </w:r>
      <w:r w:rsidRPr="00347134">
        <w:rPr>
          <w:rFonts w:cs="Arial"/>
          <w:sz w:val="20"/>
          <w:szCs w:val="20"/>
          <w:rtl/>
        </w:rPr>
        <w:t xml:space="preserve">! </w:t>
      </w:r>
      <w:r w:rsidRPr="00347134">
        <w:rPr>
          <w:rFonts w:cs="Arial" w:hint="cs"/>
          <w:sz w:val="20"/>
          <w:szCs w:val="20"/>
          <w:rtl/>
        </w:rPr>
        <w:t>א</w:t>
      </w:r>
      <w:r>
        <w:rPr>
          <w:rFonts w:cs="Arial" w:hint="cs"/>
          <w:sz w:val="20"/>
          <w:szCs w:val="20"/>
          <w:rtl/>
        </w:rPr>
        <w:t xml:space="preserve">מר </w:t>
      </w:r>
      <w:r w:rsidRPr="00347134">
        <w:rPr>
          <w:rFonts w:cs="Arial" w:hint="cs"/>
          <w:sz w:val="20"/>
          <w:szCs w:val="20"/>
          <w:rtl/>
        </w:rPr>
        <w:t>ר</w:t>
      </w:r>
      <w:r>
        <w:rPr>
          <w:rFonts w:cs="Arial" w:hint="cs"/>
          <w:sz w:val="20"/>
          <w:szCs w:val="20"/>
          <w:rtl/>
        </w:rPr>
        <w:t>בי</w:t>
      </w:r>
      <w:r w:rsidRPr="00347134">
        <w:rPr>
          <w:rFonts w:cs="Arial"/>
          <w:sz w:val="20"/>
          <w:szCs w:val="20"/>
          <w:rtl/>
        </w:rPr>
        <w:t xml:space="preserve"> </w:t>
      </w:r>
      <w:r w:rsidRPr="00347134">
        <w:rPr>
          <w:rFonts w:cs="Arial" w:hint="cs"/>
          <w:sz w:val="20"/>
          <w:szCs w:val="20"/>
          <w:rtl/>
        </w:rPr>
        <w:t>אבהו</w:t>
      </w:r>
      <w:r w:rsidRPr="00347134">
        <w:rPr>
          <w:rFonts w:cs="Arial"/>
          <w:sz w:val="20"/>
          <w:szCs w:val="20"/>
          <w:rtl/>
        </w:rPr>
        <w:t xml:space="preserve">: </w:t>
      </w:r>
      <w:r w:rsidRPr="00347134">
        <w:rPr>
          <w:rFonts w:cs="Arial" w:hint="cs"/>
          <w:sz w:val="20"/>
          <w:szCs w:val="20"/>
          <w:rtl/>
        </w:rPr>
        <w:t>אמר</w:t>
      </w:r>
      <w:r w:rsidRPr="00347134">
        <w:rPr>
          <w:rFonts w:cs="Arial"/>
          <w:sz w:val="20"/>
          <w:szCs w:val="20"/>
          <w:rtl/>
        </w:rPr>
        <w:t xml:space="preserve"> </w:t>
      </w:r>
      <w:r w:rsidRPr="00347134">
        <w:rPr>
          <w:rFonts w:cs="Arial" w:hint="cs"/>
          <w:sz w:val="20"/>
          <w:szCs w:val="20"/>
          <w:rtl/>
        </w:rPr>
        <w:t>קרא</w:t>
      </w:r>
      <w:r w:rsidRPr="00347134">
        <w:rPr>
          <w:rFonts w:cs="Arial"/>
          <w:sz w:val="20"/>
          <w:szCs w:val="20"/>
          <w:rtl/>
        </w:rPr>
        <w:t xml:space="preserve"> </w:t>
      </w:r>
      <w:r w:rsidRPr="00347134">
        <w:rPr>
          <w:rFonts w:cs="Arial" w:hint="cs"/>
          <w:sz w:val="20"/>
          <w:szCs w:val="20"/>
          <w:rtl/>
        </w:rPr>
        <w:t>דמיה</w:t>
      </w:r>
      <w:r w:rsidRPr="00347134">
        <w:rPr>
          <w:rFonts w:cs="Arial"/>
          <w:sz w:val="20"/>
          <w:szCs w:val="20"/>
          <w:rtl/>
        </w:rPr>
        <w:t xml:space="preserve"> </w:t>
      </w:r>
      <w:r w:rsidRPr="00347134">
        <w:rPr>
          <w:rFonts w:cs="Arial" w:hint="cs"/>
          <w:sz w:val="20"/>
          <w:szCs w:val="20"/>
          <w:rtl/>
        </w:rPr>
        <w:t>דמיה</w:t>
      </w:r>
      <w:r w:rsidRPr="00347134">
        <w:rPr>
          <w:rFonts w:cs="Arial"/>
          <w:sz w:val="20"/>
          <w:szCs w:val="20"/>
          <w:rtl/>
        </w:rPr>
        <w:t xml:space="preserve"> - </w:t>
      </w:r>
      <w:r w:rsidRPr="00347134">
        <w:rPr>
          <w:rFonts w:cs="Arial" w:hint="cs"/>
          <w:sz w:val="20"/>
          <w:szCs w:val="20"/>
          <w:rtl/>
        </w:rPr>
        <w:t>הרי</w:t>
      </w:r>
      <w:r w:rsidRPr="00347134">
        <w:rPr>
          <w:rFonts w:cs="Arial"/>
          <w:sz w:val="20"/>
          <w:szCs w:val="20"/>
          <w:rtl/>
        </w:rPr>
        <w:t xml:space="preserve"> </w:t>
      </w:r>
      <w:r w:rsidRPr="00347134">
        <w:rPr>
          <w:rFonts w:cs="Arial" w:hint="cs"/>
          <w:sz w:val="20"/>
          <w:szCs w:val="20"/>
          <w:rtl/>
        </w:rPr>
        <w:t>כאן</w:t>
      </w:r>
      <w:r w:rsidRPr="00347134">
        <w:rPr>
          <w:rFonts w:cs="Arial"/>
          <w:sz w:val="20"/>
          <w:szCs w:val="20"/>
          <w:rtl/>
        </w:rPr>
        <w:t xml:space="preserve"> </w:t>
      </w:r>
      <w:r w:rsidRPr="00347134">
        <w:rPr>
          <w:rFonts w:cs="Arial" w:hint="cs"/>
          <w:sz w:val="20"/>
          <w:szCs w:val="20"/>
          <w:rtl/>
        </w:rPr>
        <w:t>ארבעה</w:t>
      </w:r>
      <w:r w:rsidRPr="00347134">
        <w:rPr>
          <w:rFonts w:cs="Arial"/>
          <w:sz w:val="20"/>
          <w:szCs w:val="20"/>
          <w:rtl/>
        </w:rPr>
        <w:t xml:space="preserve">. </w:t>
      </w:r>
      <w:r w:rsidRPr="00347134">
        <w:rPr>
          <w:rFonts w:cs="Arial" w:hint="cs"/>
          <w:sz w:val="20"/>
          <w:szCs w:val="20"/>
          <w:rtl/>
        </w:rPr>
        <w:t>והא</w:t>
      </w:r>
      <w:r w:rsidRPr="00347134">
        <w:rPr>
          <w:rFonts w:cs="Arial"/>
          <w:sz w:val="20"/>
          <w:szCs w:val="20"/>
          <w:rtl/>
        </w:rPr>
        <w:t xml:space="preserve"> </w:t>
      </w:r>
      <w:r w:rsidRPr="00347134">
        <w:rPr>
          <w:rFonts w:cs="Arial" w:hint="cs"/>
          <w:sz w:val="20"/>
          <w:szCs w:val="20"/>
          <w:rtl/>
        </w:rPr>
        <w:t>אנן</w:t>
      </w:r>
      <w:r w:rsidRPr="00347134">
        <w:rPr>
          <w:rFonts w:cs="Arial"/>
          <w:sz w:val="20"/>
          <w:szCs w:val="20"/>
          <w:rtl/>
        </w:rPr>
        <w:t xml:space="preserve"> </w:t>
      </w:r>
      <w:r w:rsidRPr="00347134">
        <w:rPr>
          <w:rFonts w:cs="Arial" w:hint="cs"/>
          <w:sz w:val="20"/>
          <w:szCs w:val="20"/>
          <w:rtl/>
        </w:rPr>
        <w:t>חמשה</w:t>
      </w:r>
      <w:r w:rsidRPr="00347134">
        <w:rPr>
          <w:rFonts w:cs="Arial"/>
          <w:sz w:val="20"/>
          <w:szCs w:val="20"/>
          <w:rtl/>
        </w:rPr>
        <w:t xml:space="preserve"> </w:t>
      </w:r>
      <w:r w:rsidRPr="00347134">
        <w:rPr>
          <w:rFonts w:cs="Arial" w:hint="cs"/>
          <w:sz w:val="20"/>
          <w:szCs w:val="20"/>
          <w:rtl/>
        </w:rPr>
        <w:t>תנן</w:t>
      </w:r>
      <w:r w:rsidRPr="00347134">
        <w:rPr>
          <w:rFonts w:cs="Arial"/>
          <w:sz w:val="20"/>
          <w:szCs w:val="20"/>
          <w:rtl/>
        </w:rPr>
        <w:t xml:space="preserve">! </w:t>
      </w:r>
      <w:r w:rsidRPr="00347134">
        <w:rPr>
          <w:rFonts w:cs="Arial" w:hint="cs"/>
          <w:sz w:val="20"/>
          <w:szCs w:val="20"/>
          <w:rtl/>
        </w:rPr>
        <w:t>אמר</w:t>
      </w:r>
      <w:r w:rsidRPr="00347134">
        <w:rPr>
          <w:rFonts w:cs="Arial"/>
          <w:sz w:val="20"/>
          <w:szCs w:val="20"/>
          <w:rtl/>
        </w:rPr>
        <w:t xml:space="preserve"> </w:t>
      </w:r>
      <w:r w:rsidRPr="00347134">
        <w:rPr>
          <w:rFonts w:cs="Arial" w:hint="cs"/>
          <w:sz w:val="20"/>
          <w:szCs w:val="20"/>
          <w:rtl/>
        </w:rPr>
        <w:t>רבי</w:t>
      </w:r>
      <w:r w:rsidRPr="00347134">
        <w:rPr>
          <w:rFonts w:cs="Arial"/>
          <w:sz w:val="20"/>
          <w:szCs w:val="20"/>
          <w:rtl/>
        </w:rPr>
        <w:t xml:space="preserve"> </w:t>
      </w:r>
      <w:r w:rsidRPr="00347134">
        <w:rPr>
          <w:rFonts w:cs="Arial" w:hint="cs"/>
          <w:sz w:val="20"/>
          <w:szCs w:val="20"/>
          <w:rtl/>
        </w:rPr>
        <w:t>חנינא</w:t>
      </w:r>
      <w:r w:rsidRPr="00347134">
        <w:rPr>
          <w:rFonts w:cs="Arial"/>
          <w:sz w:val="20"/>
          <w:szCs w:val="20"/>
          <w:rtl/>
        </w:rPr>
        <w:t xml:space="preserve">: </w:t>
      </w:r>
      <w:r w:rsidRPr="00347134">
        <w:rPr>
          <w:rFonts w:cs="Arial" w:hint="cs"/>
          <w:sz w:val="20"/>
          <w:szCs w:val="20"/>
          <w:rtl/>
        </w:rPr>
        <w:t>שחור</w:t>
      </w:r>
      <w:r w:rsidRPr="00347134">
        <w:rPr>
          <w:rFonts w:cs="Arial"/>
          <w:sz w:val="20"/>
          <w:szCs w:val="20"/>
          <w:rtl/>
        </w:rPr>
        <w:t xml:space="preserve"> - </w:t>
      </w:r>
      <w:r w:rsidRPr="00347134">
        <w:rPr>
          <w:rFonts w:cs="Arial" w:hint="cs"/>
          <w:sz w:val="20"/>
          <w:szCs w:val="20"/>
          <w:rtl/>
        </w:rPr>
        <w:t>אדום</w:t>
      </w:r>
      <w:r w:rsidRPr="00347134">
        <w:rPr>
          <w:rFonts w:cs="Arial"/>
          <w:sz w:val="20"/>
          <w:szCs w:val="20"/>
          <w:rtl/>
        </w:rPr>
        <w:t xml:space="preserve"> </w:t>
      </w:r>
      <w:r w:rsidRPr="00347134">
        <w:rPr>
          <w:rFonts w:cs="Arial" w:hint="cs"/>
          <w:sz w:val="20"/>
          <w:szCs w:val="20"/>
          <w:rtl/>
        </w:rPr>
        <w:t>הוא</w:t>
      </w:r>
      <w:r w:rsidRPr="00347134">
        <w:rPr>
          <w:rFonts w:cs="Arial"/>
          <w:sz w:val="20"/>
          <w:szCs w:val="20"/>
          <w:rtl/>
        </w:rPr>
        <w:t xml:space="preserve">, </w:t>
      </w:r>
      <w:r w:rsidRPr="00347134">
        <w:rPr>
          <w:rFonts w:cs="Arial" w:hint="cs"/>
          <w:sz w:val="20"/>
          <w:szCs w:val="20"/>
          <w:rtl/>
        </w:rPr>
        <w:t>אלא</w:t>
      </w:r>
      <w:r w:rsidRPr="00347134">
        <w:rPr>
          <w:rFonts w:cs="Arial"/>
          <w:sz w:val="20"/>
          <w:szCs w:val="20"/>
          <w:rtl/>
        </w:rPr>
        <w:t xml:space="preserve"> </w:t>
      </w:r>
      <w:r w:rsidRPr="00347134">
        <w:rPr>
          <w:rFonts w:cs="Arial" w:hint="cs"/>
          <w:sz w:val="20"/>
          <w:szCs w:val="20"/>
          <w:rtl/>
        </w:rPr>
        <w:t>שלקה</w:t>
      </w:r>
      <w:r>
        <w:rPr>
          <w:rStyle w:val="a5"/>
          <w:rFonts w:cs="Arial"/>
          <w:sz w:val="20"/>
          <w:szCs w:val="20"/>
          <w:rtl/>
        </w:rPr>
        <w:footnoteReference w:id="137"/>
      </w:r>
      <w:r>
        <w:rPr>
          <w:rFonts w:cs="Arial" w:hint="cs"/>
          <w:sz w:val="20"/>
          <w:szCs w:val="20"/>
          <w:rtl/>
        </w:rPr>
        <w:t>".</w:t>
      </w:r>
    </w:p>
    <w:p w:rsidR="00620060" w:rsidRPr="002940F2" w:rsidRDefault="00620060" w:rsidP="00620060">
      <w:pPr>
        <w:rPr>
          <w:sz w:val="20"/>
          <w:szCs w:val="20"/>
          <w:rtl/>
        </w:rPr>
      </w:pPr>
      <w:r>
        <w:rPr>
          <w:rFonts w:hint="cs"/>
          <w:sz w:val="20"/>
          <w:szCs w:val="20"/>
          <w:rtl/>
        </w:rPr>
        <w:t xml:space="preserve">ג. </w:t>
      </w:r>
      <w:r w:rsidRPr="002940F2">
        <w:rPr>
          <w:rFonts w:hint="cs"/>
          <w:b/>
          <w:bCs/>
          <w:sz w:val="20"/>
          <w:szCs w:val="20"/>
          <w:rtl/>
        </w:rPr>
        <w:t>גמרא</w:t>
      </w:r>
      <w:r>
        <w:rPr>
          <w:rFonts w:hint="cs"/>
          <w:sz w:val="20"/>
          <w:szCs w:val="20"/>
          <w:rtl/>
        </w:rPr>
        <w:t xml:space="preserve"> (שם) "כמימי תלתן... </w:t>
      </w:r>
      <w:r w:rsidRPr="002940F2">
        <w:rPr>
          <w:rFonts w:cs="Arial" w:hint="cs"/>
          <w:sz w:val="20"/>
          <w:szCs w:val="20"/>
          <w:rtl/>
        </w:rPr>
        <w:t>וב</w:t>
      </w:r>
      <w:r w:rsidRPr="002940F2">
        <w:rPr>
          <w:rFonts w:cs="Arial"/>
          <w:sz w:val="20"/>
          <w:szCs w:val="20"/>
          <w:rtl/>
        </w:rPr>
        <w:t>"</w:t>
      </w:r>
      <w:r w:rsidRPr="002940F2">
        <w:rPr>
          <w:rFonts w:cs="Arial" w:hint="cs"/>
          <w:sz w:val="20"/>
          <w:szCs w:val="20"/>
          <w:rtl/>
        </w:rPr>
        <w:t>ה</w:t>
      </w:r>
      <w:r w:rsidRPr="002940F2">
        <w:rPr>
          <w:rFonts w:cs="Arial"/>
          <w:sz w:val="20"/>
          <w:szCs w:val="20"/>
          <w:rtl/>
        </w:rPr>
        <w:t xml:space="preserve"> </w:t>
      </w:r>
      <w:r w:rsidRPr="002940F2">
        <w:rPr>
          <w:rFonts w:cs="Arial" w:hint="cs"/>
          <w:sz w:val="20"/>
          <w:szCs w:val="20"/>
          <w:rtl/>
        </w:rPr>
        <w:t>מטהרין</w:t>
      </w:r>
      <w:r w:rsidRPr="002940F2">
        <w:rPr>
          <w:rFonts w:cs="Arial"/>
          <w:sz w:val="20"/>
          <w:szCs w:val="20"/>
          <w:rtl/>
        </w:rPr>
        <w:t xml:space="preserve">. </w:t>
      </w:r>
      <w:r w:rsidRPr="002940F2">
        <w:rPr>
          <w:rFonts w:cs="Arial" w:hint="cs"/>
          <w:sz w:val="20"/>
          <w:szCs w:val="20"/>
          <w:rtl/>
        </w:rPr>
        <w:t>היינו</w:t>
      </w:r>
      <w:r w:rsidRPr="002940F2">
        <w:rPr>
          <w:rFonts w:cs="Arial"/>
          <w:sz w:val="20"/>
          <w:szCs w:val="20"/>
          <w:rtl/>
        </w:rPr>
        <w:t xml:space="preserve"> </w:t>
      </w:r>
      <w:r w:rsidRPr="002940F2">
        <w:rPr>
          <w:rFonts w:cs="Arial" w:hint="cs"/>
          <w:sz w:val="20"/>
          <w:szCs w:val="20"/>
          <w:rtl/>
        </w:rPr>
        <w:t>תנא</w:t>
      </w:r>
      <w:r w:rsidRPr="002940F2">
        <w:rPr>
          <w:rFonts w:cs="Arial"/>
          <w:sz w:val="20"/>
          <w:szCs w:val="20"/>
          <w:rtl/>
        </w:rPr>
        <w:t xml:space="preserve"> </w:t>
      </w:r>
      <w:r w:rsidRPr="002940F2">
        <w:rPr>
          <w:rFonts w:cs="Arial" w:hint="cs"/>
          <w:sz w:val="20"/>
          <w:szCs w:val="20"/>
          <w:rtl/>
        </w:rPr>
        <w:t>קמא</w:t>
      </w:r>
      <w:r w:rsidRPr="002940F2">
        <w:rPr>
          <w:rFonts w:cs="Arial"/>
          <w:sz w:val="20"/>
          <w:szCs w:val="20"/>
          <w:rtl/>
        </w:rPr>
        <w:t xml:space="preserve">! </w:t>
      </w:r>
      <w:r w:rsidRPr="002940F2">
        <w:rPr>
          <w:rFonts w:cs="Arial" w:hint="cs"/>
          <w:sz w:val="20"/>
          <w:szCs w:val="20"/>
          <w:rtl/>
        </w:rPr>
        <w:t>איכא</w:t>
      </w:r>
      <w:r w:rsidRPr="002940F2">
        <w:rPr>
          <w:rFonts w:cs="Arial"/>
          <w:sz w:val="20"/>
          <w:szCs w:val="20"/>
          <w:rtl/>
        </w:rPr>
        <w:t xml:space="preserve"> </w:t>
      </w:r>
      <w:r w:rsidRPr="002940F2">
        <w:rPr>
          <w:rFonts w:cs="Arial" w:hint="cs"/>
          <w:sz w:val="20"/>
          <w:szCs w:val="20"/>
          <w:rtl/>
        </w:rPr>
        <w:t>בינייהו</w:t>
      </w:r>
      <w:r>
        <w:rPr>
          <w:rFonts w:hint="cs"/>
          <w:sz w:val="20"/>
          <w:szCs w:val="20"/>
          <w:rtl/>
        </w:rPr>
        <w:t xml:space="preserve"> לתלות".</w:t>
      </w:r>
      <w:r>
        <w:rPr>
          <w:sz w:val="20"/>
          <w:szCs w:val="20"/>
          <w:rtl/>
        </w:rPr>
        <w:br/>
      </w:r>
      <w:r w:rsidRPr="002940F2">
        <w:rPr>
          <w:rFonts w:hint="cs"/>
          <w:b/>
          <w:bCs/>
          <w:sz w:val="20"/>
          <w:szCs w:val="20"/>
          <w:rtl/>
        </w:rPr>
        <w:t>רמב"ן</w:t>
      </w:r>
      <w:r>
        <w:rPr>
          <w:rFonts w:hint="cs"/>
          <w:sz w:val="20"/>
          <w:szCs w:val="20"/>
          <w:rtl/>
        </w:rPr>
        <w:t xml:space="preserve"> </w:t>
      </w:r>
      <w:r>
        <w:rPr>
          <w:sz w:val="20"/>
          <w:szCs w:val="20"/>
          <w:rtl/>
        </w:rPr>
        <w:t>–</w:t>
      </w:r>
      <w:r>
        <w:rPr>
          <w:rFonts w:hint="cs"/>
          <w:sz w:val="20"/>
          <w:szCs w:val="20"/>
          <w:rtl/>
        </w:rPr>
        <w:t xml:space="preserve"> הלכה כת"ק, דם זה טמא מספק.</w:t>
      </w:r>
      <w:r>
        <w:rPr>
          <w:sz w:val="20"/>
          <w:szCs w:val="20"/>
          <w:rtl/>
        </w:rPr>
        <w:br/>
      </w:r>
      <w:r w:rsidRPr="002940F2">
        <w:rPr>
          <w:rFonts w:hint="cs"/>
          <w:b/>
          <w:bCs/>
          <w:sz w:val="20"/>
          <w:szCs w:val="20"/>
          <w:rtl/>
        </w:rPr>
        <w:t>רא"ש</w:t>
      </w:r>
      <w:r>
        <w:rPr>
          <w:rFonts w:hint="cs"/>
          <w:sz w:val="20"/>
          <w:szCs w:val="20"/>
          <w:rtl/>
        </w:rPr>
        <w:t xml:space="preserve"> </w:t>
      </w:r>
      <w:r>
        <w:rPr>
          <w:sz w:val="20"/>
          <w:szCs w:val="20"/>
          <w:rtl/>
        </w:rPr>
        <w:t>–</w:t>
      </w:r>
      <w:r>
        <w:rPr>
          <w:rFonts w:hint="cs"/>
          <w:sz w:val="20"/>
          <w:szCs w:val="20"/>
          <w:rtl/>
        </w:rPr>
        <w:t xml:space="preserve"> הלכה כב"ה, דם זה טהור לגמרי </w:t>
      </w:r>
      <w:r w:rsidRPr="003664F4">
        <w:rPr>
          <w:rFonts w:hint="cs"/>
          <w:sz w:val="18"/>
          <w:szCs w:val="18"/>
          <w:rtl/>
        </w:rPr>
        <w:t>(אך למעשה אין נוהגים לטהרו, יבואר בסמוך)</w:t>
      </w:r>
      <w:r>
        <w:rPr>
          <w:rFonts w:hint="cs"/>
          <w:sz w:val="20"/>
          <w:szCs w:val="20"/>
          <w:rtl/>
        </w:rPr>
        <w:t>.</w:t>
      </w:r>
    </w:p>
    <w:p w:rsidR="00620060" w:rsidRDefault="00620060" w:rsidP="00620060">
      <w:pPr>
        <w:rPr>
          <w:sz w:val="20"/>
          <w:szCs w:val="20"/>
          <w:rtl/>
        </w:rPr>
      </w:pPr>
      <w:r>
        <w:rPr>
          <w:rFonts w:hint="cs"/>
          <w:sz w:val="20"/>
          <w:szCs w:val="20"/>
          <w:rtl/>
        </w:rPr>
        <w:t xml:space="preserve">ד. </w:t>
      </w:r>
      <w:r w:rsidRPr="002940F2">
        <w:rPr>
          <w:rFonts w:hint="cs"/>
          <w:b/>
          <w:bCs/>
          <w:sz w:val="20"/>
          <w:szCs w:val="20"/>
          <w:rtl/>
        </w:rPr>
        <w:t xml:space="preserve">גמרא </w:t>
      </w:r>
      <w:r>
        <w:rPr>
          <w:rFonts w:hint="cs"/>
          <w:sz w:val="20"/>
          <w:szCs w:val="20"/>
          <w:rtl/>
        </w:rPr>
        <w:t xml:space="preserve">(שם, ע"ב) "הירוק... </w:t>
      </w:r>
      <w:r w:rsidRPr="00C8134C">
        <w:rPr>
          <w:rFonts w:cs="Arial" w:hint="cs"/>
          <w:sz w:val="20"/>
          <w:szCs w:val="20"/>
          <w:rtl/>
        </w:rPr>
        <w:t>וחכמים</w:t>
      </w:r>
      <w:r w:rsidRPr="00C8134C">
        <w:rPr>
          <w:rFonts w:cs="Arial"/>
          <w:sz w:val="20"/>
          <w:szCs w:val="20"/>
          <w:rtl/>
        </w:rPr>
        <w:t xml:space="preserve"> </w:t>
      </w:r>
      <w:r w:rsidRPr="00C8134C">
        <w:rPr>
          <w:rFonts w:cs="Arial" w:hint="cs"/>
          <w:sz w:val="20"/>
          <w:szCs w:val="20"/>
          <w:rtl/>
        </w:rPr>
        <w:t>מטהרין</w:t>
      </w:r>
      <w:r w:rsidRPr="00C8134C">
        <w:rPr>
          <w:rFonts w:cs="Arial"/>
          <w:sz w:val="20"/>
          <w:szCs w:val="20"/>
          <w:rtl/>
        </w:rPr>
        <w:t xml:space="preserve">. </w:t>
      </w:r>
      <w:r w:rsidRPr="00C8134C">
        <w:rPr>
          <w:rFonts w:cs="Arial" w:hint="cs"/>
          <w:sz w:val="20"/>
          <w:szCs w:val="20"/>
          <w:rtl/>
        </w:rPr>
        <w:t>היינו</w:t>
      </w:r>
      <w:r w:rsidRPr="00C8134C">
        <w:rPr>
          <w:rFonts w:cs="Arial"/>
          <w:sz w:val="20"/>
          <w:szCs w:val="20"/>
          <w:rtl/>
        </w:rPr>
        <w:t xml:space="preserve"> </w:t>
      </w:r>
      <w:r w:rsidRPr="00C8134C">
        <w:rPr>
          <w:rFonts w:cs="Arial" w:hint="cs"/>
          <w:sz w:val="20"/>
          <w:szCs w:val="20"/>
          <w:rtl/>
        </w:rPr>
        <w:t>ת</w:t>
      </w:r>
      <w:r>
        <w:rPr>
          <w:rFonts w:cs="Arial" w:hint="cs"/>
          <w:sz w:val="20"/>
          <w:szCs w:val="20"/>
          <w:rtl/>
        </w:rPr>
        <w:t xml:space="preserve">נא </w:t>
      </w:r>
      <w:r w:rsidRPr="00C8134C">
        <w:rPr>
          <w:rFonts w:cs="Arial" w:hint="cs"/>
          <w:sz w:val="20"/>
          <w:szCs w:val="20"/>
          <w:rtl/>
        </w:rPr>
        <w:t>ק</w:t>
      </w:r>
      <w:r>
        <w:rPr>
          <w:rFonts w:cs="Arial" w:hint="cs"/>
          <w:sz w:val="20"/>
          <w:szCs w:val="20"/>
          <w:rtl/>
        </w:rPr>
        <w:t>מא</w:t>
      </w:r>
      <w:r w:rsidRPr="00C8134C">
        <w:rPr>
          <w:rFonts w:cs="Arial"/>
          <w:sz w:val="20"/>
          <w:szCs w:val="20"/>
          <w:rtl/>
        </w:rPr>
        <w:t xml:space="preserve">! </w:t>
      </w:r>
      <w:r w:rsidRPr="00C8134C">
        <w:rPr>
          <w:rFonts w:cs="Arial" w:hint="cs"/>
          <w:sz w:val="20"/>
          <w:szCs w:val="20"/>
          <w:rtl/>
        </w:rPr>
        <w:t>איכא</w:t>
      </w:r>
      <w:r w:rsidRPr="00C8134C">
        <w:rPr>
          <w:rFonts w:cs="Arial"/>
          <w:sz w:val="20"/>
          <w:szCs w:val="20"/>
          <w:rtl/>
        </w:rPr>
        <w:t xml:space="preserve"> </w:t>
      </w:r>
      <w:r w:rsidRPr="00C8134C">
        <w:rPr>
          <w:rFonts w:cs="Arial" w:hint="cs"/>
          <w:sz w:val="20"/>
          <w:szCs w:val="20"/>
          <w:rtl/>
        </w:rPr>
        <w:t>בינייהו</w:t>
      </w:r>
      <w:r w:rsidRPr="00C8134C">
        <w:rPr>
          <w:rFonts w:cs="Arial"/>
          <w:sz w:val="20"/>
          <w:szCs w:val="20"/>
          <w:rtl/>
        </w:rPr>
        <w:t xml:space="preserve"> </w:t>
      </w:r>
      <w:r w:rsidRPr="00C8134C">
        <w:rPr>
          <w:rFonts w:cs="Arial" w:hint="cs"/>
          <w:sz w:val="20"/>
          <w:szCs w:val="20"/>
          <w:rtl/>
        </w:rPr>
        <w:t>לתלות</w:t>
      </w:r>
      <w:r>
        <w:rPr>
          <w:rFonts w:cs="Arial" w:hint="cs"/>
          <w:sz w:val="20"/>
          <w:szCs w:val="20"/>
          <w:rtl/>
        </w:rPr>
        <w:t>"</w:t>
      </w:r>
      <w:r w:rsidRPr="00C8134C">
        <w:rPr>
          <w:rFonts w:cs="Arial"/>
          <w:sz w:val="20"/>
          <w:szCs w:val="20"/>
          <w:rtl/>
        </w:rPr>
        <w:t>.</w:t>
      </w:r>
      <w:r>
        <w:rPr>
          <w:rFonts w:cs="Arial" w:hint="cs"/>
          <w:sz w:val="20"/>
          <w:szCs w:val="20"/>
          <w:rtl/>
        </w:rPr>
        <w:br/>
        <w:t>ופסקו הראשונים כב"ה שמטהרים לגמרי את הירוק.</w:t>
      </w:r>
    </w:p>
    <w:p w:rsidR="00620060" w:rsidRDefault="00620060" w:rsidP="00620060">
      <w:pPr>
        <w:rPr>
          <w:sz w:val="20"/>
          <w:szCs w:val="20"/>
          <w:rtl/>
        </w:rPr>
      </w:pPr>
      <w:r>
        <w:rPr>
          <w:rFonts w:hint="cs"/>
          <w:b/>
          <w:bCs/>
          <w:sz w:val="20"/>
          <w:szCs w:val="20"/>
          <w:rtl/>
        </w:rPr>
        <w:t>המנהג למעשה במראות הדמים</w:t>
      </w:r>
      <w:r>
        <w:rPr>
          <w:b/>
          <w:bCs/>
          <w:sz w:val="20"/>
          <w:szCs w:val="20"/>
          <w:rtl/>
        </w:rPr>
        <w:br/>
      </w:r>
      <w:r w:rsidRPr="00C37CF2">
        <w:rPr>
          <w:rFonts w:cs="Arial" w:hint="cs"/>
          <w:b/>
          <w:bCs/>
          <w:sz w:val="20"/>
          <w:szCs w:val="20"/>
          <w:rtl/>
        </w:rPr>
        <w:t>גמרא</w:t>
      </w:r>
      <w:r w:rsidRPr="00C37CF2">
        <w:rPr>
          <w:rFonts w:cs="Arial" w:hint="cs"/>
          <w:sz w:val="20"/>
          <w:szCs w:val="20"/>
          <w:rtl/>
        </w:rPr>
        <w:t xml:space="preserve"> נידה (כ:) "אמר</w:t>
      </w:r>
      <w:r w:rsidRPr="00C37CF2">
        <w:rPr>
          <w:rFonts w:cs="Arial"/>
          <w:sz w:val="20"/>
          <w:szCs w:val="20"/>
          <w:rtl/>
        </w:rPr>
        <w:t xml:space="preserve"> </w:t>
      </w:r>
      <w:r w:rsidRPr="00C37CF2">
        <w:rPr>
          <w:rFonts w:cs="Arial" w:hint="cs"/>
          <w:sz w:val="20"/>
          <w:szCs w:val="20"/>
          <w:rtl/>
        </w:rPr>
        <w:t>רבי</w:t>
      </w:r>
      <w:r w:rsidRPr="00C37CF2">
        <w:rPr>
          <w:rFonts w:cs="Arial"/>
          <w:sz w:val="20"/>
          <w:szCs w:val="20"/>
          <w:rtl/>
        </w:rPr>
        <w:t xml:space="preserve"> </w:t>
      </w:r>
      <w:r w:rsidRPr="00C37CF2">
        <w:rPr>
          <w:rFonts w:cs="Arial" w:hint="cs"/>
          <w:sz w:val="20"/>
          <w:szCs w:val="20"/>
          <w:rtl/>
        </w:rPr>
        <w:t>יוחנן</w:t>
      </w:r>
      <w:r w:rsidRPr="00C37CF2">
        <w:rPr>
          <w:rFonts w:cs="Arial"/>
          <w:sz w:val="20"/>
          <w:szCs w:val="20"/>
          <w:rtl/>
        </w:rPr>
        <w:t xml:space="preserve">: </w:t>
      </w:r>
      <w:r w:rsidRPr="00C37CF2">
        <w:rPr>
          <w:rFonts w:cs="Arial" w:hint="cs"/>
          <w:sz w:val="20"/>
          <w:szCs w:val="20"/>
          <w:rtl/>
        </w:rPr>
        <w:t>חכמתא</w:t>
      </w:r>
      <w:r w:rsidRPr="00C37CF2">
        <w:rPr>
          <w:rFonts w:cs="Arial"/>
          <w:sz w:val="20"/>
          <w:szCs w:val="20"/>
          <w:rtl/>
        </w:rPr>
        <w:t xml:space="preserve"> </w:t>
      </w:r>
      <w:r w:rsidRPr="00C37CF2">
        <w:rPr>
          <w:rFonts w:cs="Arial" w:hint="cs"/>
          <w:sz w:val="20"/>
          <w:szCs w:val="20"/>
          <w:rtl/>
        </w:rPr>
        <w:t>דרבי</w:t>
      </w:r>
      <w:r w:rsidRPr="00C37CF2">
        <w:rPr>
          <w:rFonts w:cs="Arial"/>
          <w:sz w:val="20"/>
          <w:szCs w:val="20"/>
          <w:rtl/>
        </w:rPr>
        <w:t xml:space="preserve"> </w:t>
      </w:r>
      <w:r w:rsidRPr="00C37CF2">
        <w:rPr>
          <w:rFonts w:cs="Arial" w:hint="cs"/>
          <w:sz w:val="20"/>
          <w:szCs w:val="20"/>
          <w:rtl/>
        </w:rPr>
        <w:t>חנינא</w:t>
      </w:r>
      <w:r w:rsidRPr="00C37CF2">
        <w:rPr>
          <w:rFonts w:cs="Arial"/>
          <w:sz w:val="20"/>
          <w:szCs w:val="20"/>
          <w:rtl/>
        </w:rPr>
        <w:t xml:space="preserve"> </w:t>
      </w:r>
      <w:r w:rsidRPr="00C37CF2">
        <w:rPr>
          <w:rFonts w:cs="Arial" w:hint="cs"/>
          <w:sz w:val="20"/>
          <w:szCs w:val="20"/>
          <w:rtl/>
        </w:rPr>
        <w:t>גרמא</w:t>
      </w:r>
      <w:r w:rsidRPr="00C37CF2">
        <w:rPr>
          <w:rFonts w:cs="Arial"/>
          <w:sz w:val="20"/>
          <w:szCs w:val="20"/>
          <w:rtl/>
        </w:rPr>
        <w:t xml:space="preserve"> </w:t>
      </w:r>
      <w:r w:rsidRPr="00C37CF2">
        <w:rPr>
          <w:rFonts w:cs="Arial" w:hint="cs"/>
          <w:sz w:val="20"/>
          <w:szCs w:val="20"/>
          <w:rtl/>
        </w:rPr>
        <w:t>לי</w:t>
      </w:r>
      <w:r w:rsidRPr="00C37CF2">
        <w:rPr>
          <w:rFonts w:cs="Arial"/>
          <w:sz w:val="20"/>
          <w:szCs w:val="20"/>
          <w:rtl/>
        </w:rPr>
        <w:t xml:space="preserve"> </w:t>
      </w:r>
      <w:r w:rsidRPr="00C37CF2">
        <w:rPr>
          <w:rFonts w:cs="Arial" w:hint="cs"/>
          <w:sz w:val="20"/>
          <w:szCs w:val="20"/>
          <w:rtl/>
        </w:rPr>
        <w:t>דלא</w:t>
      </w:r>
      <w:r w:rsidRPr="00C37CF2">
        <w:rPr>
          <w:rFonts w:cs="Arial"/>
          <w:sz w:val="20"/>
          <w:szCs w:val="20"/>
          <w:rtl/>
        </w:rPr>
        <w:t xml:space="preserve"> </w:t>
      </w:r>
      <w:r w:rsidRPr="00C37CF2">
        <w:rPr>
          <w:rFonts w:cs="Arial" w:hint="cs"/>
          <w:sz w:val="20"/>
          <w:szCs w:val="20"/>
          <w:rtl/>
        </w:rPr>
        <w:t>אחזי</w:t>
      </w:r>
      <w:r w:rsidRPr="00C37CF2">
        <w:rPr>
          <w:rFonts w:cs="Arial"/>
          <w:sz w:val="20"/>
          <w:szCs w:val="20"/>
          <w:rtl/>
        </w:rPr>
        <w:t xml:space="preserve"> </w:t>
      </w:r>
      <w:r w:rsidRPr="00C37CF2">
        <w:rPr>
          <w:rFonts w:cs="Arial" w:hint="cs"/>
          <w:sz w:val="20"/>
          <w:szCs w:val="20"/>
          <w:rtl/>
        </w:rPr>
        <w:t>דמא</w:t>
      </w:r>
      <w:r w:rsidRPr="00C37CF2">
        <w:rPr>
          <w:rFonts w:cs="Arial"/>
          <w:sz w:val="20"/>
          <w:szCs w:val="20"/>
          <w:rtl/>
        </w:rPr>
        <w:t xml:space="preserve">, </w:t>
      </w:r>
      <w:r w:rsidRPr="00C37CF2">
        <w:rPr>
          <w:rFonts w:cs="Arial" w:hint="cs"/>
          <w:sz w:val="20"/>
          <w:szCs w:val="20"/>
          <w:rtl/>
        </w:rPr>
        <w:t>מטמינא</w:t>
      </w:r>
      <w:r w:rsidRPr="00C37CF2">
        <w:rPr>
          <w:rFonts w:cs="Arial"/>
          <w:sz w:val="20"/>
          <w:szCs w:val="20"/>
          <w:rtl/>
        </w:rPr>
        <w:t xml:space="preserve"> - </w:t>
      </w:r>
      <w:r w:rsidRPr="00C37CF2">
        <w:rPr>
          <w:rFonts w:cs="Arial" w:hint="cs"/>
          <w:sz w:val="20"/>
          <w:szCs w:val="20"/>
          <w:rtl/>
        </w:rPr>
        <w:t>מטהר</w:t>
      </w:r>
      <w:r w:rsidRPr="00C37CF2">
        <w:rPr>
          <w:rFonts w:cs="Arial"/>
          <w:sz w:val="20"/>
          <w:szCs w:val="20"/>
          <w:rtl/>
        </w:rPr>
        <w:t xml:space="preserve">, </w:t>
      </w:r>
      <w:r w:rsidRPr="00C37CF2">
        <w:rPr>
          <w:rFonts w:cs="Arial" w:hint="cs"/>
          <w:sz w:val="20"/>
          <w:szCs w:val="20"/>
          <w:rtl/>
        </w:rPr>
        <w:t>מטהרנא</w:t>
      </w:r>
      <w:r w:rsidRPr="00C37CF2">
        <w:rPr>
          <w:rFonts w:cs="Arial"/>
          <w:sz w:val="20"/>
          <w:szCs w:val="20"/>
          <w:rtl/>
        </w:rPr>
        <w:t xml:space="preserve"> - </w:t>
      </w:r>
      <w:r w:rsidRPr="00C37CF2">
        <w:rPr>
          <w:rFonts w:cs="Arial" w:hint="cs"/>
          <w:sz w:val="20"/>
          <w:szCs w:val="20"/>
          <w:rtl/>
        </w:rPr>
        <w:t>מטמא</w:t>
      </w:r>
      <w:r w:rsidRPr="00C37CF2">
        <w:rPr>
          <w:rFonts w:cs="Arial"/>
          <w:sz w:val="20"/>
          <w:szCs w:val="20"/>
          <w:rtl/>
        </w:rPr>
        <w:t>.</w:t>
      </w:r>
      <w:r w:rsidRPr="00C37CF2">
        <w:rPr>
          <w:rFonts w:cs="Arial" w:hint="cs"/>
          <w:sz w:val="20"/>
          <w:szCs w:val="20"/>
          <w:rtl/>
        </w:rPr>
        <w:t>.. אמר</w:t>
      </w:r>
      <w:r w:rsidRPr="00C37CF2">
        <w:rPr>
          <w:rFonts w:cs="Arial"/>
          <w:sz w:val="20"/>
          <w:szCs w:val="20"/>
          <w:rtl/>
        </w:rPr>
        <w:t xml:space="preserve"> </w:t>
      </w:r>
      <w:r w:rsidRPr="00C37CF2">
        <w:rPr>
          <w:rFonts w:cs="Arial" w:hint="cs"/>
          <w:sz w:val="20"/>
          <w:szCs w:val="20"/>
          <w:rtl/>
        </w:rPr>
        <w:t>רבי</w:t>
      </w:r>
      <w:r w:rsidRPr="00C37CF2">
        <w:rPr>
          <w:rFonts w:cs="Arial"/>
          <w:sz w:val="20"/>
          <w:szCs w:val="20"/>
          <w:rtl/>
        </w:rPr>
        <w:t xml:space="preserve"> </w:t>
      </w:r>
      <w:r w:rsidRPr="00C37CF2">
        <w:rPr>
          <w:rFonts w:cs="Arial" w:hint="cs"/>
          <w:sz w:val="20"/>
          <w:szCs w:val="20"/>
          <w:rtl/>
        </w:rPr>
        <w:t>זירא</w:t>
      </w:r>
      <w:r w:rsidRPr="00C37CF2">
        <w:rPr>
          <w:rFonts w:cs="Arial"/>
          <w:sz w:val="20"/>
          <w:szCs w:val="20"/>
          <w:rtl/>
        </w:rPr>
        <w:t xml:space="preserve">: </w:t>
      </w:r>
      <w:r w:rsidRPr="00C37CF2">
        <w:rPr>
          <w:rFonts w:cs="Arial" w:hint="cs"/>
          <w:sz w:val="20"/>
          <w:szCs w:val="20"/>
          <w:rtl/>
        </w:rPr>
        <w:t>טבעא</w:t>
      </w:r>
      <w:r w:rsidRPr="00C37CF2">
        <w:rPr>
          <w:rFonts w:cs="Arial"/>
          <w:sz w:val="20"/>
          <w:szCs w:val="20"/>
          <w:rtl/>
        </w:rPr>
        <w:t xml:space="preserve"> </w:t>
      </w:r>
      <w:r w:rsidRPr="00C37CF2">
        <w:rPr>
          <w:rFonts w:cs="Arial" w:hint="cs"/>
          <w:sz w:val="20"/>
          <w:szCs w:val="20"/>
          <w:rtl/>
        </w:rPr>
        <w:t>דבבל</w:t>
      </w:r>
      <w:r w:rsidRPr="00C37CF2">
        <w:rPr>
          <w:rFonts w:cs="Arial"/>
          <w:sz w:val="20"/>
          <w:szCs w:val="20"/>
          <w:rtl/>
        </w:rPr>
        <w:t xml:space="preserve"> </w:t>
      </w:r>
      <w:r w:rsidRPr="00C37CF2">
        <w:rPr>
          <w:rFonts w:cs="Arial" w:hint="cs"/>
          <w:sz w:val="20"/>
          <w:szCs w:val="20"/>
          <w:rtl/>
        </w:rPr>
        <w:t>גרמא</w:t>
      </w:r>
      <w:r w:rsidRPr="00C37CF2">
        <w:rPr>
          <w:rFonts w:cs="Arial"/>
          <w:sz w:val="20"/>
          <w:szCs w:val="20"/>
          <w:rtl/>
        </w:rPr>
        <w:t xml:space="preserve"> </w:t>
      </w:r>
      <w:r w:rsidRPr="00C37CF2">
        <w:rPr>
          <w:rFonts w:cs="Arial" w:hint="cs"/>
          <w:sz w:val="20"/>
          <w:szCs w:val="20"/>
          <w:rtl/>
        </w:rPr>
        <w:t>לי</w:t>
      </w:r>
      <w:r w:rsidRPr="00C37CF2">
        <w:rPr>
          <w:rFonts w:cs="Arial"/>
          <w:sz w:val="20"/>
          <w:szCs w:val="20"/>
          <w:rtl/>
        </w:rPr>
        <w:t xml:space="preserve"> </w:t>
      </w:r>
      <w:r w:rsidRPr="00C37CF2">
        <w:rPr>
          <w:rFonts w:cs="Arial" w:hint="cs"/>
          <w:sz w:val="20"/>
          <w:szCs w:val="20"/>
          <w:rtl/>
        </w:rPr>
        <w:t>דלא</w:t>
      </w:r>
      <w:r w:rsidRPr="00C37CF2">
        <w:rPr>
          <w:rFonts w:cs="Arial"/>
          <w:sz w:val="20"/>
          <w:szCs w:val="20"/>
          <w:rtl/>
        </w:rPr>
        <w:t xml:space="preserve"> </w:t>
      </w:r>
      <w:r w:rsidRPr="00C37CF2">
        <w:rPr>
          <w:rFonts w:cs="Arial" w:hint="cs"/>
          <w:sz w:val="20"/>
          <w:szCs w:val="20"/>
          <w:rtl/>
        </w:rPr>
        <w:t>חזאי</w:t>
      </w:r>
      <w:r w:rsidRPr="00C37CF2">
        <w:rPr>
          <w:rFonts w:cs="Arial"/>
          <w:sz w:val="20"/>
          <w:szCs w:val="20"/>
          <w:rtl/>
        </w:rPr>
        <w:t xml:space="preserve"> </w:t>
      </w:r>
      <w:r w:rsidRPr="00C37CF2">
        <w:rPr>
          <w:rFonts w:cs="Arial" w:hint="cs"/>
          <w:sz w:val="20"/>
          <w:szCs w:val="20"/>
          <w:rtl/>
        </w:rPr>
        <w:t>דמא</w:t>
      </w:r>
      <w:r w:rsidRPr="00C37CF2">
        <w:rPr>
          <w:rFonts w:cs="Arial"/>
          <w:sz w:val="20"/>
          <w:szCs w:val="20"/>
          <w:rtl/>
        </w:rPr>
        <w:t xml:space="preserve">, </w:t>
      </w:r>
      <w:r w:rsidRPr="00C37CF2">
        <w:rPr>
          <w:rFonts w:cs="Arial" w:hint="cs"/>
          <w:sz w:val="20"/>
          <w:szCs w:val="20"/>
          <w:rtl/>
        </w:rPr>
        <w:t>דאמינא</w:t>
      </w:r>
      <w:r w:rsidRPr="00C37CF2">
        <w:rPr>
          <w:rFonts w:cs="Arial"/>
          <w:sz w:val="20"/>
          <w:szCs w:val="20"/>
          <w:rtl/>
        </w:rPr>
        <w:t xml:space="preserve"> </w:t>
      </w:r>
      <w:r w:rsidRPr="00C37CF2">
        <w:rPr>
          <w:rFonts w:cs="Arial" w:hint="cs"/>
          <w:sz w:val="20"/>
          <w:szCs w:val="20"/>
          <w:rtl/>
        </w:rPr>
        <w:t>בטבעא</w:t>
      </w:r>
      <w:r w:rsidRPr="00C37CF2">
        <w:rPr>
          <w:rFonts w:cs="Arial"/>
          <w:sz w:val="20"/>
          <w:szCs w:val="20"/>
          <w:rtl/>
        </w:rPr>
        <w:t xml:space="preserve"> </w:t>
      </w:r>
      <w:r w:rsidRPr="00C37CF2">
        <w:rPr>
          <w:rFonts w:cs="Arial" w:hint="cs"/>
          <w:sz w:val="20"/>
          <w:szCs w:val="20"/>
          <w:rtl/>
        </w:rPr>
        <w:t>לא</w:t>
      </w:r>
      <w:r w:rsidRPr="00C37CF2">
        <w:rPr>
          <w:rFonts w:cs="Arial"/>
          <w:sz w:val="20"/>
          <w:szCs w:val="20"/>
          <w:rtl/>
        </w:rPr>
        <w:t xml:space="preserve"> </w:t>
      </w:r>
      <w:r w:rsidRPr="00C37CF2">
        <w:rPr>
          <w:rFonts w:cs="Arial" w:hint="cs"/>
          <w:sz w:val="20"/>
          <w:szCs w:val="20"/>
          <w:rtl/>
        </w:rPr>
        <w:t>ידענא</w:t>
      </w:r>
      <w:r w:rsidRPr="00C37CF2">
        <w:rPr>
          <w:rFonts w:cs="Arial"/>
          <w:sz w:val="20"/>
          <w:szCs w:val="20"/>
          <w:rtl/>
        </w:rPr>
        <w:t xml:space="preserve">, </w:t>
      </w:r>
      <w:r w:rsidRPr="00C37CF2">
        <w:rPr>
          <w:rFonts w:cs="Arial" w:hint="cs"/>
          <w:sz w:val="20"/>
          <w:szCs w:val="20"/>
          <w:rtl/>
        </w:rPr>
        <w:t>בדמא</w:t>
      </w:r>
      <w:r w:rsidRPr="00C37CF2">
        <w:rPr>
          <w:rFonts w:cs="Arial"/>
          <w:sz w:val="20"/>
          <w:szCs w:val="20"/>
          <w:rtl/>
        </w:rPr>
        <w:t xml:space="preserve"> </w:t>
      </w:r>
      <w:r w:rsidRPr="00C37CF2">
        <w:rPr>
          <w:rFonts w:cs="Arial" w:hint="cs"/>
          <w:sz w:val="20"/>
          <w:szCs w:val="20"/>
          <w:rtl/>
        </w:rPr>
        <w:t>ידענא</w:t>
      </w:r>
      <w:r w:rsidRPr="00C37CF2">
        <w:rPr>
          <w:rFonts w:cs="Arial"/>
          <w:sz w:val="20"/>
          <w:szCs w:val="20"/>
          <w:rtl/>
        </w:rPr>
        <w:t xml:space="preserve">? </w:t>
      </w:r>
      <w:r w:rsidRPr="00C37CF2">
        <w:rPr>
          <w:rFonts w:cs="Arial" w:hint="cs"/>
          <w:sz w:val="20"/>
          <w:szCs w:val="20"/>
          <w:rtl/>
        </w:rPr>
        <w:t>למימרא</w:t>
      </w:r>
      <w:r w:rsidRPr="00C37CF2">
        <w:rPr>
          <w:rFonts w:cs="Arial"/>
          <w:sz w:val="20"/>
          <w:szCs w:val="20"/>
          <w:rtl/>
        </w:rPr>
        <w:t xml:space="preserve"> </w:t>
      </w:r>
      <w:r w:rsidRPr="00C37CF2">
        <w:rPr>
          <w:rFonts w:cs="Arial" w:hint="cs"/>
          <w:sz w:val="20"/>
          <w:szCs w:val="20"/>
          <w:rtl/>
        </w:rPr>
        <w:t>דבטבעא</w:t>
      </w:r>
      <w:r w:rsidRPr="00C37CF2">
        <w:rPr>
          <w:rFonts w:cs="Arial"/>
          <w:sz w:val="20"/>
          <w:szCs w:val="20"/>
          <w:rtl/>
        </w:rPr>
        <w:t xml:space="preserve"> </w:t>
      </w:r>
      <w:r w:rsidRPr="00C37CF2">
        <w:rPr>
          <w:rFonts w:cs="Arial" w:hint="cs"/>
          <w:sz w:val="20"/>
          <w:szCs w:val="20"/>
          <w:rtl/>
        </w:rPr>
        <w:t>תליא</w:t>
      </w:r>
      <w:r w:rsidRPr="00C37CF2">
        <w:rPr>
          <w:rFonts w:cs="Arial"/>
          <w:sz w:val="20"/>
          <w:szCs w:val="20"/>
          <w:rtl/>
        </w:rPr>
        <w:t xml:space="preserve"> </w:t>
      </w:r>
      <w:r w:rsidRPr="00C37CF2">
        <w:rPr>
          <w:rFonts w:cs="Arial" w:hint="cs"/>
          <w:sz w:val="20"/>
          <w:szCs w:val="20"/>
          <w:rtl/>
        </w:rPr>
        <w:t>מלתא</w:t>
      </w:r>
      <w:r w:rsidRPr="00C37CF2">
        <w:rPr>
          <w:rFonts w:cs="Arial"/>
          <w:sz w:val="20"/>
          <w:szCs w:val="20"/>
          <w:rtl/>
        </w:rPr>
        <w:t xml:space="preserve">, </w:t>
      </w:r>
      <w:r w:rsidRPr="00C37CF2">
        <w:rPr>
          <w:rFonts w:cs="Arial" w:hint="cs"/>
          <w:sz w:val="20"/>
          <w:szCs w:val="20"/>
          <w:rtl/>
        </w:rPr>
        <w:t>והא</w:t>
      </w:r>
      <w:r w:rsidRPr="00C37CF2">
        <w:rPr>
          <w:rFonts w:cs="Arial"/>
          <w:sz w:val="20"/>
          <w:szCs w:val="20"/>
          <w:rtl/>
        </w:rPr>
        <w:t xml:space="preserve"> </w:t>
      </w:r>
      <w:r w:rsidRPr="00C37CF2">
        <w:rPr>
          <w:rFonts w:cs="Arial" w:hint="cs"/>
          <w:sz w:val="20"/>
          <w:szCs w:val="20"/>
          <w:rtl/>
        </w:rPr>
        <w:t>רבה</w:t>
      </w:r>
      <w:r w:rsidRPr="00C37CF2">
        <w:rPr>
          <w:rFonts w:cs="Arial"/>
          <w:sz w:val="20"/>
          <w:szCs w:val="20"/>
          <w:rtl/>
        </w:rPr>
        <w:t xml:space="preserve"> </w:t>
      </w:r>
      <w:r w:rsidRPr="00C37CF2">
        <w:rPr>
          <w:rFonts w:cs="Arial" w:hint="cs"/>
          <w:sz w:val="20"/>
          <w:szCs w:val="20"/>
          <w:rtl/>
        </w:rPr>
        <w:t>הוא</w:t>
      </w:r>
      <w:r w:rsidRPr="00C37CF2">
        <w:rPr>
          <w:rFonts w:cs="Arial"/>
          <w:sz w:val="20"/>
          <w:szCs w:val="20"/>
          <w:rtl/>
        </w:rPr>
        <w:t xml:space="preserve"> </w:t>
      </w:r>
      <w:r w:rsidRPr="00C37CF2">
        <w:rPr>
          <w:rFonts w:cs="Arial" w:hint="cs"/>
          <w:sz w:val="20"/>
          <w:szCs w:val="20"/>
          <w:rtl/>
        </w:rPr>
        <w:t>דידע</w:t>
      </w:r>
      <w:r w:rsidRPr="00C37CF2">
        <w:rPr>
          <w:rFonts w:cs="Arial"/>
          <w:sz w:val="20"/>
          <w:szCs w:val="20"/>
          <w:rtl/>
        </w:rPr>
        <w:t xml:space="preserve"> </w:t>
      </w:r>
      <w:r w:rsidRPr="00C37CF2">
        <w:rPr>
          <w:rFonts w:cs="Arial" w:hint="cs"/>
          <w:sz w:val="20"/>
          <w:szCs w:val="20"/>
          <w:rtl/>
        </w:rPr>
        <w:t>בטבעא</w:t>
      </w:r>
      <w:r w:rsidRPr="00C37CF2">
        <w:rPr>
          <w:rFonts w:cs="Arial"/>
          <w:sz w:val="20"/>
          <w:szCs w:val="20"/>
          <w:rtl/>
        </w:rPr>
        <w:t xml:space="preserve"> </w:t>
      </w:r>
      <w:r w:rsidRPr="00C37CF2">
        <w:rPr>
          <w:rFonts w:cs="Arial" w:hint="cs"/>
          <w:sz w:val="20"/>
          <w:szCs w:val="20"/>
          <w:rtl/>
        </w:rPr>
        <w:t>ולא</w:t>
      </w:r>
      <w:r w:rsidRPr="00C37CF2">
        <w:rPr>
          <w:rFonts w:cs="Arial"/>
          <w:sz w:val="20"/>
          <w:szCs w:val="20"/>
          <w:rtl/>
        </w:rPr>
        <w:t xml:space="preserve"> </w:t>
      </w:r>
      <w:r w:rsidRPr="00C37CF2">
        <w:rPr>
          <w:rFonts w:cs="Arial" w:hint="cs"/>
          <w:sz w:val="20"/>
          <w:szCs w:val="20"/>
          <w:rtl/>
        </w:rPr>
        <w:t>ידע</w:t>
      </w:r>
      <w:r w:rsidRPr="00C37CF2">
        <w:rPr>
          <w:rFonts w:cs="Arial"/>
          <w:sz w:val="20"/>
          <w:szCs w:val="20"/>
          <w:rtl/>
        </w:rPr>
        <w:t xml:space="preserve"> </w:t>
      </w:r>
      <w:r w:rsidRPr="00C37CF2">
        <w:rPr>
          <w:rFonts w:cs="Arial" w:hint="cs"/>
          <w:sz w:val="20"/>
          <w:szCs w:val="20"/>
          <w:rtl/>
        </w:rPr>
        <w:t>בדמא</w:t>
      </w:r>
      <w:r w:rsidRPr="00C37CF2">
        <w:rPr>
          <w:rFonts w:cs="Arial"/>
          <w:sz w:val="20"/>
          <w:szCs w:val="20"/>
          <w:rtl/>
        </w:rPr>
        <w:t xml:space="preserve">! </w:t>
      </w:r>
      <w:r w:rsidRPr="00C37CF2">
        <w:rPr>
          <w:rFonts w:cs="Arial" w:hint="cs"/>
          <w:sz w:val="20"/>
          <w:szCs w:val="20"/>
          <w:rtl/>
        </w:rPr>
        <w:t>כל</w:t>
      </w:r>
      <w:r w:rsidRPr="00C37CF2">
        <w:rPr>
          <w:rFonts w:cs="Arial"/>
          <w:sz w:val="20"/>
          <w:szCs w:val="20"/>
          <w:rtl/>
        </w:rPr>
        <w:t xml:space="preserve"> </w:t>
      </w:r>
      <w:r w:rsidRPr="00C37CF2">
        <w:rPr>
          <w:rFonts w:cs="Arial" w:hint="cs"/>
          <w:sz w:val="20"/>
          <w:szCs w:val="20"/>
          <w:rtl/>
        </w:rPr>
        <w:t>שכן</w:t>
      </w:r>
      <w:r w:rsidRPr="00C37CF2">
        <w:rPr>
          <w:rFonts w:cs="Arial"/>
          <w:sz w:val="20"/>
          <w:szCs w:val="20"/>
          <w:rtl/>
        </w:rPr>
        <w:t xml:space="preserve"> </w:t>
      </w:r>
      <w:r w:rsidRPr="00C37CF2">
        <w:rPr>
          <w:rFonts w:cs="Arial" w:hint="cs"/>
          <w:sz w:val="20"/>
          <w:szCs w:val="20"/>
          <w:rtl/>
        </w:rPr>
        <w:t>קאמר</w:t>
      </w:r>
      <w:r w:rsidRPr="00C37CF2">
        <w:rPr>
          <w:rFonts w:cs="Arial"/>
          <w:sz w:val="20"/>
          <w:szCs w:val="20"/>
          <w:rtl/>
        </w:rPr>
        <w:t xml:space="preserve">, </w:t>
      </w:r>
      <w:r w:rsidRPr="00C37CF2">
        <w:rPr>
          <w:rFonts w:cs="Arial" w:hint="cs"/>
          <w:sz w:val="20"/>
          <w:szCs w:val="20"/>
          <w:rtl/>
        </w:rPr>
        <w:t>ומה</w:t>
      </w:r>
      <w:r w:rsidRPr="00C37CF2">
        <w:rPr>
          <w:rFonts w:cs="Arial"/>
          <w:sz w:val="20"/>
          <w:szCs w:val="20"/>
          <w:rtl/>
        </w:rPr>
        <w:t xml:space="preserve"> </w:t>
      </w:r>
      <w:r w:rsidRPr="00C37CF2">
        <w:rPr>
          <w:rFonts w:cs="Arial" w:hint="cs"/>
          <w:sz w:val="20"/>
          <w:szCs w:val="20"/>
          <w:rtl/>
        </w:rPr>
        <w:t>רבה</w:t>
      </w:r>
      <w:r w:rsidRPr="00C37CF2">
        <w:rPr>
          <w:rFonts w:cs="Arial"/>
          <w:sz w:val="20"/>
          <w:szCs w:val="20"/>
          <w:rtl/>
        </w:rPr>
        <w:t xml:space="preserve"> </w:t>
      </w:r>
      <w:r w:rsidRPr="00C37CF2">
        <w:rPr>
          <w:rFonts w:cs="Arial" w:hint="cs"/>
          <w:sz w:val="20"/>
          <w:szCs w:val="20"/>
          <w:rtl/>
        </w:rPr>
        <w:t>דידע</w:t>
      </w:r>
      <w:r w:rsidRPr="00C37CF2">
        <w:rPr>
          <w:rFonts w:cs="Arial"/>
          <w:sz w:val="20"/>
          <w:szCs w:val="20"/>
          <w:rtl/>
        </w:rPr>
        <w:t xml:space="preserve"> </w:t>
      </w:r>
      <w:r w:rsidRPr="00C37CF2">
        <w:rPr>
          <w:rFonts w:cs="Arial" w:hint="cs"/>
          <w:sz w:val="20"/>
          <w:szCs w:val="20"/>
          <w:rtl/>
        </w:rPr>
        <w:t>בטבעא</w:t>
      </w:r>
      <w:r w:rsidRPr="00C37CF2">
        <w:rPr>
          <w:rFonts w:cs="Arial"/>
          <w:sz w:val="20"/>
          <w:szCs w:val="20"/>
          <w:rtl/>
        </w:rPr>
        <w:t xml:space="preserve"> - </w:t>
      </w:r>
      <w:r w:rsidRPr="00C37CF2">
        <w:rPr>
          <w:rFonts w:cs="Arial" w:hint="cs"/>
          <w:sz w:val="20"/>
          <w:szCs w:val="20"/>
          <w:rtl/>
        </w:rPr>
        <w:t>לא</w:t>
      </w:r>
      <w:r w:rsidRPr="00C37CF2">
        <w:rPr>
          <w:rFonts w:cs="Arial"/>
          <w:sz w:val="20"/>
          <w:szCs w:val="20"/>
          <w:rtl/>
        </w:rPr>
        <w:t xml:space="preserve"> </w:t>
      </w:r>
      <w:r w:rsidRPr="00C37CF2">
        <w:rPr>
          <w:rFonts w:cs="Arial" w:hint="cs"/>
          <w:sz w:val="20"/>
          <w:szCs w:val="20"/>
          <w:rtl/>
        </w:rPr>
        <w:t>חזא</w:t>
      </w:r>
      <w:r w:rsidRPr="00C37CF2">
        <w:rPr>
          <w:rFonts w:cs="Arial"/>
          <w:sz w:val="20"/>
          <w:szCs w:val="20"/>
          <w:rtl/>
        </w:rPr>
        <w:t xml:space="preserve"> </w:t>
      </w:r>
      <w:r w:rsidRPr="00C37CF2">
        <w:rPr>
          <w:rFonts w:cs="Arial" w:hint="cs"/>
          <w:sz w:val="20"/>
          <w:szCs w:val="20"/>
          <w:rtl/>
        </w:rPr>
        <w:t>דמא</w:t>
      </w:r>
      <w:r w:rsidRPr="00C37CF2">
        <w:rPr>
          <w:rFonts w:cs="Arial"/>
          <w:sz w:val="20"/>
          <w:szCs w:val="20"/>
          <w:rtl/>
        </w:rPr>
        <w:t xml:space="preserve">, </w:t>
      </w:r>
      <w:r w:rsidRPr="00C37CF2">
        <w:rPr>
          <w:rFonts w:cs="Arial" w:hint="cs"/>
          <w:sz w:val="20"/>
          <w:szCs w:val="20"/>
          <w:rtl/>
        </w:rPr>
        <w:t>ואנא</w:t>
      </w:r>
      <w:r w:rsidRPr="00C37CF2">
        <w:rPr>
          <w:rFonts w:cs="Arial"/>
          <w:sz w:val="20"/>
          <w:szCs w:val="20"/>
          <w:rtl/>
        </w:rPr>
        <w:t xml:space="preserve"> </w:t>
      </w:r>
      <w:r w:rsidRPr="00C37CF2">
        <w:rPr>
          <w:rFonts w:cs="Arial" w:hint="cs"/>
          <w:sz w:val="20"/>
          <w:szCs w:val="20"/>
          <w:rtl/>
        </w:rPr>
        <w:t>אחזי</w:t>
      </w:r>
      <w:r w:rsidRPr="00C37CF2">
        <w:rPr>
          <w:rFonts w:cs="Arial"/>
          <w:sz w:val="20"/>
          <w:szCs w:val="20"/>
          <w:rtl/>
        </w:rPr>
        <w:t>?</w:t>
      </w:r>
      <w:r w:rsidRPr="00C37CF2">
        <w:rPr>
          <w:rFonts w:cs="Arial" w:hint="cs"/>
          <w:sz w:val="20"/>
          <w:szCs w:val="20"/>
          <w:rtl/>
        </w:rPr>
        <w:t>"</w:t>
      </w:r>
      <w:r>
        <w:rPr>
          <w:sz w:val="20"/>
          <w:szCs w:val="20"/>
          <w:rtl/>
        </w:rPr>
        <w:br/>
      </w:r>
      <w:r>
        <w:rPr>
          <w:rFonts w:hint="cs"/>
          <w:sz w:val="20"/>
          <w:szCs w:val="20"/>
          <w:rtl/>
        </w:rPr>
        <w:t>הרי לנו שגם בתקופת האמוראים לא כל החכמים היו בקיאים להבחין בין מראה טהור לטמא, משום כך החמירו חכמי ישראל הראשונים</w:t>
      </w:r>
      <w:r>
        <w:rPr>
          <w:rStyle w:val="a5"/>
          <w:sz w:val="20"/>
          <w:szCs w:val="20"/>
          <w:rtl/>
        </w:rPr>
        <w:footnoteReference w:id="138"/>
      </w:r>
      <w:r>
        <w:rPr>
          <w:rFonts w:hint="cs"/>
          <w:sz w:val="20"/>
          <w:szCs w:val="20"/>
          <w:rtl/>
        </w:rPr>
        <w:t xml:space="preserve"> שלא לסמוך על המשנה הנ"ל, אלא כל מראה שנוטה לאדמומיות </w:t>
      </w:r>
      <w:r>
        <w:rPr>
          <w:sz w:val="20"/>
          <w:szCs w:val="20"/>
          <w:rtl/>
        </w:rPr>
        <w:t>–</w:t>
      </w:r>
      <w:r>
        <w:rPr>
          <w:rFonts w:hint="cs"/>
          <w:sz w:val="20"/>
          <w:szCs w:val="20"/>
          <w:rtl/>
        </w:rPr>
        <w:t xml:space="preserve"> טמא, וכן מראה שחור טמא אף הוא.</w:t>
      </w:r>
    </w:p>
    <w:p w:rsidR="00620060" w:rsidRDefault="00620060" w:rsidP="00620060">
      <w:pPr>
        <w:rPr>
          <w:sz w:val="20"/>
          <w:szCs w:val="20"/>
          <w:rtl/>
        </w:rPr>
      </w:pPr>
      <w:r>
        <w:rPr>
          <w:rFonts w:hint="cs"/>
          <w:b/>
          <w:bCs/>
          <w:sz w:val="20"/>
          <w:szCs w:val="20"/>
          <w:rtl/>
        </w:rPr>
        <w:t>דין מראה ירוק ולבן בזמן הזה</w:t>
      </w:r>
      <w:r>
        <w:rPr>
          <w:b/>
          <w:bCs/>
          <w:sz w:val="20"/>
          <w:szCs w:val="20"/>
          <w:rtl/>
        </w:rPr>
        <w:br/>
      </w:r>
      <w:r w:rsidRPr="00014285">
        <w:rPr>
          <w:rFonts w:hint="cs"/>
          <w:b/>
          <w:bCs/>
          <w:sz w:val="20"/>
          <w:szCs w:val="20"/>
          <w:rtl/>
        </w:rPr>
        <w:t>בית יוסף</w:t>
      </w:r>
      <w:r>
        <w:rPr>
          <w:rFonts w:hint="cs"/>
          <w:sz w:val="20"/>
          <w:szCs w:val="20"/>
          <w:rtl/>
        </w:rPr>
        <w:t xml:space="preserve"> </w:t>
      </w:r>
      <w:r>
        <w:rPr>
          <w:sz w:val="20"/>
          <w:szCs w:val="20"/>
          <w:rtl/>
        </w:rPr>
        <w:t>–</w:t>
      </w:r>
      <w:r>
        <w:rPr>
          <w:rFonts w:hint="cs"/>
          <w:sz w:val="20"/>
          <w:szCs w:val="20"/>
          <w:rtl/>
        </w:rPr>
        <w:t xml:space="preserve"> נאמר בגמרא להדיא שמראה ירוק ולבן טהור, וכן נהגו הראשונים לטהר מראות אלו.</w:t>
      </w:r>
      <w:r>
        <w:rPr>
          <w:sz w:val="20"/>
          <w:szCs w:val="20"/>
          <w:rtl/>
        </w:rPr>
        <w:br/>
      </w:r>
      <w:r w:rsidRPr="00D15249">
        <w:rPr>
          <w:rFonts w:hint="cs"/>
          <w:sz w:val="20"/>
          <w:szCs w:val="20"/>
          <w:rtl/>
        </w:rPr>
        <w:t xml:space="preserve">וקשה </w:t>
      </w:r>
      <w:r w:rsidRPr="00D15249">
        <w:rPr>
          <w:sz w:val="20"/>
          <w:szCs w:val="20"/>
          <w:rtl/>
        </w:rPr>
        <w:t>–</w:t>
      </w:r>
      <w:r w:rsidRPr="00D15249">
        <w:rPr>
          <w:rFonts w:hint="cs"/>
          <w:sz w:val="20"/>
          <w:szCs w:val="20"/>
          <w:rtl/>
        </w:rPr>
        <w:t xml:space="preserve"> כיוון שפסקו הלכה כב"ה שמטהרים מראה כמימי תלתן וכמראה בשר צלי, מדוע לא התירו זאת אף בימינו כשם שהתירו מראה לבן וירוק?</w:t>
      </w:r>
      <w:r w:rsidRPr="00D15249">
        <w:rPr>
          <w:rFonts w:hint="cs"/>
          <w:sz w:val="20"/>
          <w:szCs w:val="20"/>
          <w:rtl/>
        </w:rPr>
        <w:br/>
        <w:t>מיישב</w:t>
      </w:r>
      <w:r>
        <w:rPr>
          <w:rFonts w:hint="cs"/>
          <w:sz w:val="20"/>
          <w:szCs w:val="20"/>
          <w:rtl/>
        </w:rPr>
        <w:t xml:space="preserve"> </w:t>
      </w:r>
      <w:r>
        <w:rPr>
          <w:sz w:val="20"/>
          <w:szCs w:val="20"/>
          <w:rtl/>
        </w:rPr>
        <w:t>–</w:t>
      </w:r>
      <w:r>
        <w:rPr>
          <w:rFonts w:hint="cs"/>
          <w:sz w:val="20"/>
          <w:szCs w:val="20"/>
          <w:rtl/>
        </w:rPr>
        <w:t xml:space="preserve"> מראה לבן וירוק אינו נוטה כלל לאדמומיות, אך מראה בשר צלי ומימי תלתן נוטה לאדמומיות, ומכיוון שאיננו בקיאים בכך - טמא. </w:t>
      </w:r>
      <w:r w:rsidRPr="00014285">
        <w:rPr>
          <w:rFonts w:hint="cs"/>
          <w:sz w:val="18"/>
          <w:szCs w:val="18"/>
          <w:rtl/>
        </w:rPr>
        <w:t>[אמנם, עקביא ס"ל שגם מראה ירוק נוטה לאדום הוא ולכן טימא, אך חכמים פליגי וסוברים שאינו נוטה כלל למראה אדום והכי קיי"ל].</w:t>
      </w:r>
    </w:p>
    <w:p w:rsidR="00620060" w:rsidRDefault="00620060" w:rsidP="00620060">
      <w:pPr>
        <w:rPr>
          <w:sz w:val="20"/>
          <w:szCs w:val="20"/>
          <w:rtl/>
        </w:rPr>
      </w:pPr>
      <w:r>
        <w:rPr>
          <w:rFonts w:hint="cs"/>
          <w:b/>
          <w:bCs/>
          <w:sz w:val="20"/>
          <w:szCs w:val="20"/>
          <w:rtl/>
        </w:rPr>
        <w:t>מהו צבע ירוק?</w:t>
      </w:r>
      <w:r>
        <w:rPr>
          <w:b/>
          <w:bCs/>
          <w:sz w:val="20"/>
          <w:szCs w:val="20"/>
          <w:rtl/>
        </w:rPr>
        <w:br/>
      </w:r>
      <w:r w:rsidRPr="00A43A22">
        <w:rPr>
          <w:rFonts w:hint="cs"/>
          <w:b/>
          <w:bCs/>
          <w:sz w:val="20"/>
          <w:szCs w:val="20"/>
          <w:rtl/>
        </w:rPr>
        <w:t>תוספות ורא"ש</w:t>
      </w:r>
      <w:r>
        <w:rPr>
          <w:rFonts w:hint="cs"/>
          <w:sz w:val="20"/>
          <w:szCs w:val="20"/>
          <w:rtl/>
        </w:rPr>
        <w:t xml:space="preserve"> </w:t>
      </w:r>
      <w:r>
        <w:rPr>
          <w:sz w:val="20"/>
          <w:szCs w:val="20"/>
          <w:rtl/>
        </w:rPr>
        <w:t>–</w:t>
      </w:r>
      <w:r>
        <w:rPr>
          <w:rFonts w:hint="cs"/>
          <w:sz w:val="20"/>
          <w:szCs w:val="20"/>
          <w:rtl/>
        </w:rPr>
        <w:t xml:space="preserve"> אין לומר שעקביא טימא צבע ירוק ככרתי וכעשבים, משום שהוא אינו נוטה כלל לאדום. </w:t>
      </w:r>
      <w:r>
        <w:rPr>
          <w:sz w:val="20"/>
          <w:szCs w:val="20"/>
          <w:rtl/>
        </w:rPr>
        <w:br/>
      </w:r>
      <w:r>
        <w:rPr>
          <w:rFonts w:hint="cs"/>
          <w:sz w:val="20"/>
          <w:szCs w:val="20"/>
          <w:rtl/>
        </w:rPr>
        <w:lastRenderedPageBreak/>
        <w:t>אלא, מחלוקת עקביא וחכמים היתה לגבי מראה כעין חלמון / זהב, ובכה"ג חכמים מטהרים משום שלדעתם אינו נוטה כלל למראה אדום, והכי קיי"ל.</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EF21F5">
        <w:rPr>
          <w:rFonts w:cs="Arial" w:hint="cs"/>
          <w:sz w:val="20"/>
          <w:szCs w:val="20"/>
          <w:rtl/>
        </w:rPr>
        <w:t>כל</w:t>
      </w:r>
      <w:r w:rsidRPr="00EF21F5">
        <w:rPr>
          <w:rFonts w:cs="Arial"/>
          <w:sz w:val="20"/>
          <w:szCs w:val="20"/>
          <w:rtl/>
        </w:rPr>
        <w:t xml:space="preserve"> </w:t>
      </w:r>
      <w:r w:rsidRPr="00EF21F5">
        <w:rPr>
          <w:rFonts w:cs="Arial" w:hint="cs"/>
          <w:sz w:val="20"/>
          <w:szCs w:val="20"/>
          <w:rtl/>
        </w:rPr>
        <w:t>מראה</w:t>
      </w:r>
      <w:r w:rsidRPr="00EF21F5">
        <w:rPr>
          <w:rFonts w:cs="Arial"/>
          <w:sz w:val="20"/>
          <w:szCs w:val="20"/>
          <w:rtl/>
        </w:rPr>
        <w:t xml:space="preserve"> </w:t>
      </w:r>
      <w:r w:rsidRPr="00EF21F5">
        <w:rPr>
          <w:rFonts w:cs="Arial" w:hint="cs"/>
          <w:sz w:val="20"/>
          <w:szCs w:val="20"/>
          <w:rtl/>
        </w:rPr>
        <w:t>אדום</w:t>
      </w:r>
      <w:r w:rsidRPr="00EF21F5">
        <w:rPr>
          <w:rFonts w:cs="Arial"/>
          <w:sz w:val="20"/>
          <w:szCs w:val="20"/>
          <w:rtl/>
        </w:rPr>
        <w:t xml:space="preserve">, </w:t>
      </w:r>
      <w:r w:rsidRPr="00EF21F5">
        <w:rPr>
          <w:rFonts w:cs="Arial" w:hint="cs"/>
          <w:sz w:val="20"/>
          <w:szCs w:val="20"/>
          <w:rtl/>
        </w:rPr>
        <w:t>בין</w:t>
      </w:r>
      <w:r w:rsidRPr="00EF21F5">
        <w:rPr>
          <w:rFonts w:cs="Arial"/>
          <w:sz w:val="20"/>
          <w:szCs w:val="20"/>
          <w:rtl/>
        </w:rPr>
        <w:t xml:space="preserve"> </w:t>
      </w:r>
      <w:r w:rsidRPr="00EF21F5">
        <w:rPr>
          <w:rFonts w:cs="Arial" w:hint="cs"/>
          <w:sz w:val="20"/>
          <w:szCs w:val="20"/>
          <w:rtl/>
        </w:rPr>
        <w:t>אם</w:t>
      </w:r>
      <w:r w:rsidRPr="00EF21F5">
        <w:rPr>
          <w:rFonts w:cs="Arial"/>
          <w:sz w:val="20"/>
          <w:szCs w:val="20"/>
          <w:rtl/>
        </w:rPr>
        <w:t xml:space="preserve"> </w:t>
      </w:r>
      <w:r w:rsidRPr="00EF21F5">
        <w:rPr>
          <w:rFonts w:cs="Arial" w:hint="cs"/>
          <w:sz w:val="20"/>
          <w:szCs w:val="20"/>
          <w:rtl/>
        </w:rPr>
        <w:t>היא</w:t>
      </w:r>
      <w:r w:rsidRPr="00EF21F5">
        <w:rPr>
          <w:rFonts w:cs="Arial"/>
          <w:sz w:val="20"/>
          <w:szCs w:val="20"/>
          <w:rtl/>
        </w:rPr>
        <w:t xml:space="preserve"> </w:t>
      </w:r>
      <w:r w:rsidRPr="00EF21F5">
        <w:rPr>
          <w:rFonts w:cs="Arial" w:hint="cs"/>
          <w:sz w:val="20"/>
          <w:szCs w:val="20"/>
          <w:rtl/>
        </w:rPr>
        <w:t>כהה</w:t>
      </w:r>
      <w:r w:rsidRPr="00EF21F5">
        <w:rPr>
          <w:rFonts w:cs="Arial"/>
          <w:sz w:val="20"/>
          <w:szCs w:val="20"/>
          <w:rtl/>
        </w:rPr>
        <w:t xml:space="preserve"> </w:t>
      </w:r>
      <w:r w:rsidRPr="00EF21F5">
        <w:rPr>
          <w:rFonts w:cs="Arial" w:hint="cs"/>
          <w:sz w:val="20"/>
          <w:szCs w:val="20"/>
          <w:rtl/>
        </w:rPr>
        <w:t>הרבה</w:t>
      </w:r>
      <w:r w:rsidRPr="00EF21F5">
        <w:rPr>
          <w:rFonts w:cs="Arial"/>
          <w:sz w:val="20"/>
          <w:szCs w:val="20"/>
          <w:rtl/>
        </w:rPr>
        <w:t xml:space="preserve">, </w:t>
      </w:r>
      <w:r w:rsidRPr="00EF21F5">
        <w:rPr>
          <w:rFonts w:cs="Arial" w:hint="cs"/>
          <w:sz w:val="20"/>
          <w:szCs w:val="20"/>
          <w:rtl/>
        </w:rPr>
        <w:t>או</w:t>
      </w:r>
      <w:r w:rsidRPr="00EF21F5">
        <w:rPr>
          <w:rFonts w:cs="Arial"/>
          <w:sz w:val="20"/>
          <w:szCs w:val="20"/>
          <w:rtl/>
        </w:rPr>
        <w:t xml:space="preserve"> </w:t>
      </w:r>
      <w:r w:rsidRPr="00EF21F5">
        <w:rPr>
          <w:rFonts w:cs="Arial" w:hint="cs"/>
          <w:sz w:val="20"/>
          <w:szCs w:val="20"/>
          <w:rtl/>
        </w:rPr>
        <w:t>עמוק</w:t>
      </w:r>
      <w:r w:rsidRPr="00EF21F5">
        <w:rPr>
          <w:rFonts w:cs="Arial"/>
          <w:sz w:val="20"/>
          <w:szCs w:val="20"/>
          <w:rtl/>
        </w:rPr>
        <w:t xml:space="preserve">, </w:t>
      </w:r>
      <w:r w:rsidRPr="00EF21F5">
        <w:rPr>
          <w:rFonts w:cs="Arial" w:hint="cs"/>
          <w:sz w:val="20"/>
          <w:szCs w:val="20"/>
          <w:rtl/>
        </w:rPr>
        <w:t>טמאים</w:t>
      </w:r>
      <w:r w:rsidRPr="00EF21F5">
        <w:rPr>
          <w:rFonts w:cs="Arial"/>
          <w:sz w:val="20"/>
          <w:szCs w:val="20"/>
          <w:rtl/>
        </w:rPr>
        <w:t xml:space="preserve">. </w:t>
      </w:r>
      <w:r w:rsidRPr="00EF21F5">
        <w:rPr>
          <w:rFonts w:cs="Arial" w:hint="cs"/>
          <w:sz w:val="20"/>
          <w:szCs w:val="20"/>
          <w:rtl/>
        </w:rPr>
        <w:t>וכן</w:t>
      </w:r>
      <w:r w:rsidRPr="00EF21F5">
        <w:rPr>
          <w:rFonts w:cs="Arial"/>
          <w:sz w:val="20"/>
          <w:szCs w:val="20"/>
          <w:rtl/>
        </w:rPr>
        <w:t xml:space="preserve"> </w:t>
      </w:r>
      <w:r w:rsidRPr="00EF21F5">
        <w:rPr>
          <w:rFonts w:cs="Arial" w:hint="cs"/>
          <w:sz w:val="20"/>
          <w:szCs w:val="20"/>
          <w:rtl/>
        </w:rPr>
        <w:t>כל</w:t>
      </w:r>
      <w:r w:rsidRPr="00EF21F5">
        <w:rPr>
          <w:rFonts w:cs="Arial"/>
          <w:sz w:val="20"/>
          <w:szCs w:val="20"/>
          <w:rtl/>
        </w:rPr>
        <w:t xml:space="preserve"> </w:t>
      </w:r>
      <w:r w:rsidRPr="00EF21F5">
        <w:rPr>
          <w:rFonts w:cs="Arial" w:hint="cs"/>
          <w:sz w:val="20"/>
          <w:szCs w:val="20"/>
          <w:rtl/>
        </w:rPr>
        <w:t>מראה</w:t>
      </w:r>
      <w:r w:rsidRPr="00EF21F5">
        <w:rPr>
          <w:rFonts w:cs="Arial"/>
          <w:sz w:val="20"/>
          <w:szCs w:val="20"/>
          <w:rtl/>
        </w:rPr>
        <w:t xml:space="preserve"> </w:t>
      </w:r>
      <w:r w:rsidRPr="00EF21F5">
        <w:rPr>
          <w:rFonts w:cs="Arial" w:hint="cs"/>
          <w:sz w:val="20"/>
          <w:szCs w:val="20"/>
          <w:rtl/>
        </w:rPr>
        <w:t>שחור</w:t>
      </w:r>
      <w:r w:rsidRPr="00EF21F5">
        <w:rPr>
          <w:rFonts w:cs="Arial"/>
          <w:sz w:val="20"/>
          <w:szCs w:val="20"/>
          <w:rtl/>
        </w:rPr>
        <w:t xml:space="preserve">. </w:t>
      </w:r>
      <w:r w:rsidRPr="00EF21F5">
        <w:rPr>
          <w:rFonts w:cs="Arial" w:hint="cs"/>
          <w:sz w:val="20"/>
          <w:szCs w:val="20"/>
          <w:rtl/>
        </w:rPr>
        <w:t>ואין</w:t>
      </w:r>
      <w:r w:rsidRPr="00EF21F5">
        <w:rPr>
          <w:rFonts w:cs="Arial"/>
          <w:sz w:val="20"/>
          <w:szCs w:val="20"/>
          <w:rtl/>
        </w:rPr>
        <w:t xml:space="preserve"> </w:t>
      </w:r>
      <w:r w:rsidRPr="00EF21F5">
        <w:rPr>
          <w:rFonts w:cs="Arial" w:hint="cs"/>
          <w:sz w:val="20"/>
          <w:szCs w:val="20"/>
          <w:rtl/>
        </w:rPr>
        <w:t>טהור</w:t>
      </w:r>
      <w:r w:rsidRPr="00EF21F5">
        <w:rPr>
          <w:rFonts w:cs="Arial"/>
          <w:sz w:val="20"/>
          <w:szCs w:val="20"/>
          <w:rtl/>
        </w:rPr>
        <w:t xml:space="preserve"> </w:t>
      </w:r>
      <w:r w:rsidRPr="00EF21F5">
        <w:rPr>
          <w:rFonts w:cs="Arial" w:hint="cs"/>
          <w:sz w:val="20"/>
          <w:szCs w:val="20"/>
          <w:rtl/>
        </w:rPr>
        <w:t>אלא</w:t>
      </w:r>
      <w:r w:rsidRPr="00EF21F5">
        <w:rPr>
          <w:rFonts w:cs="Arial"/>
          <w:sz w:val="20"/>
          <w:szCs w:val="20"/>
          <w:rtl/>
        </w:rPr>
        <w:t xml:space="preserve"> </w:t>
      </w:r>
      <w:r w:rsidRPr="00EF21F5">
        <w:rPr>
          <w:rFonts w:cs="Arial" w:hint="cs"/>
          <w:sz w:val="20"/>
          <w:szCs w:val="20"/>
          <w:rtl/>
        </w:rPr>
        <w:t>מראה</w:t>
      </w:r>
      <w:r w:rsidRPr="00EF21F5">
        <w:rPr>
          <w:rFonts w:cs="Arial"/>
          <w:sz w:val="20"/>
          <w:szCs w:val="20"/>
          <w:rtl/>
        </w:rPr>
        <w:t xml:space="preserve"> </w:t>
      </w:r>
      <w:r w:rsidRPr="00EF21F5">
        <w:rPr>
          <w:rFonts w:cs="Arial" w:hint="cs"/>
          <w:sz w:val="20"/>
          <w:szCs w:val="20"/>
          <w:rtl/>
        </w:rPr>
        <w:t>לבן</w:t>
      </w:r>
      <w:r w:rsidRPr="00EF21F5">
        <w:rPr>
          <w:rFonts w:cs="Arial"/>
          <w:sz w:val="20"/>
          <w:szCs w:val="20"/>
          <w:rtl/>
        </w:rPr>
        <w:t xml:space="preserve"> </w:t>
      </w:r>
      <w:r w:rsidRPr="00EF21F5">
        <w:rPr>
          <w:rFonts w:cs="Arial" w:hint="cs"/>
          <w:sz w:val="20"/>
          <w:szCs w:val="20"/>
          <w:rtl/>
        </w:rPr>
        <w:t>וכן</w:t>
      </w:r>
      <w:r w:rsidRPr="00EF21F5">
        <w:rPr>
          <w:rFonts w:cs="Arial"/>
          <w:sz w:val="20"/>
          <w:szCs w:val="20"/>
          <w:rtl/>
        </w:rPr>
        <w:t xml:space="preserve"> </w:t>
      </w:r>
      <w:r w:rsidRPr="00EF21F5">
        <w:rPr>
          <w:rFonts w:cs="Arial" w:hint="cs"/>
          <w:sz w:val="20"/>
          <w:szCs w:val="20"/>
          <w:rtl/>
        </w:rPr>
        <w:t>מראה</w:t>
      </w:r>
      <w:r w:rsidRPr="00EF21F5">
        <w:rPr>
          <w:rFonts w:cs="Arial"/>
          <w:sz w:val="20"/>
          <w:szCs w:val="20"/>
          <w:rtl/>
        </w:rPr>
        <w:t xml:space="preserve"> </w:t>
      </w:r>
      <w:r w:rsidRPr="00EF21F5">
        <w:rPr>
          <w:rFonts w:cs="Arial" w:hint="cs"/>
          <w:sz w:val="20"/>
          <w:szCs w:val="20"/>
          <w:rtl/>
        </w:rPr>
        <w:t>ירוק</w:t>
      </w:r>
      <w:r>
        <w:rPr>
          <w:rStyle w:val="a5"/>
          <w:rFonts w:cs="Arial"/>
          <w:sz w:val="20"/>
          <w:szCs w:val="20"/>
          <w:rtl/>
        </w:rPr>
        <w:footnoteReference w:id="139"/>
      </w:r>
      <w:r w:rsidRPr="00EF21F5">
        <w:rPr>
          <w:rFonts w:cs="Arial"/>
          <w:sz w:val="20"/>
          <w:szCs w:val="20"/>
          <w:rtl/>
        </w:rPr>
        <w:t xml:space="preserve">, </w:t>
      </w:r>
      <w:r w:rsidRPr="00EF21F5">
        <w:rPr>
          <w:rFonts w:cs="Arial" w:hint="cs"/>
          <w:sz w:val="20"/>
          <w:szCs w:val="20"/>
          <w:rtl/>
        </w:rPr>
        <w:t>אפילו</w:t>
      </w:r>
      <w:r w:rsidRPr="00EF21F5">
        <w:rPr>
          <w:rFonts w:cs="Arial"/>
          <w:sz w:val="20"/>
          <w:szCs w:val="20"/>
          <w:rtl/>
        </w:rPr>
        <w:t xml:space="preserve"> </w:t>
      </w:r>
      <w:r w:rsidRPr="00EF21F5">
        <w:rPr>
          <w:rFonts w:cs="Arial" w:hint="cs"/>
          <w:sz w:val="20"/>
          <w:szCs w:val="20"/>
          <w:rtl/>
        </w:rPr>
        <w:t>כמראה</w:t>
      </w:r>
      <w:r w:rsidRPr="00EF21F5">
        <w:rPr>
          <w:rFonts w:cs="Arial"/>
          <w:sz w:val="20"/>
          <w:szCs w:val="20"/>
          <w:rtl/>
        </w:rPr>
        <w:t xml:space="preserve"> </w:t>
      </w:r>
      <w:r w:rsidRPr="00EF21F5">
        <w:rPr>
          <w:rFonts w:cs="Arial" w:hint="cs"/>
          <w:sz w:val="20"/>
          <w:szCs w:val="20"/>
          <w:rtl/>
        </w:rPr>
        <w:t>השעוה</w:t>
      </w:r>
      <w:r w:rsidRPr="00EF21F5">
        <w:rPr>
          <w:rFonts w:cs="Arial"/>
          <w:sz w:val="20"/>
          <w:szCs w:val="20"/>
          <w:rtl/>
        </w:rPr>
        <w:t xml:space="preserve"> </w:t>
      </w:r>
      <w:r w:rsidRPr="00EF21F5">
        <w:rPr>
          <w:rFonts w:cs="Arial" w:hint="cs"/>
          <w:sz w:val="20"/>
          <w:szCs w:val="20"/>
          <w:rtl/>
        </w:rPr>
        <w:t>או</w:t>
      </w:r>
      <w:r w:rsidRPr="00EF21F5">
        <w:rPr>
          <w:rFonts w:cs="Arial"/>
          <w:sz w:val="20"/>
          <w:szCs w:val="20"/>
          <w:rtl/>
        </w:rPr>
        <w:t xml:space="preserve"> </w:t>
      </w:r>
      <w:r w:rsidRPr="00EF21F5">
        <w:rPr>
          <w:rFonts w:cs="Arial" w:hint="cs"/>
          <w:sz w:val="20"/>
          <w:szCs w:val="20"/>
          <w:rtl/>
        </w:rPr>
        <w:t>הזהב</w:t>
      </w:r>
      <w:r w:rsidRPr="00EF21F5">
        <w:rPr>
          <w:rFonts w:cs="Arial"/>
          <w:sz w:val="20"/>
          <w:szCs w:val="20"/>
          <w:rtl/>
        </w:rPr>
        <w:t xml:space="preserve">, </w:t>
      </w:r>
      <w:r w:rsidRPr="00EF21F5">
        <w:rPr>
          <w:rFonts w:cs="Arial" w:hint="cs"/>
          <w:sz w:val="20"/>
          <w:szCs w:val="20"/>
          <w:rtl/>
        </w:rPr>
        <w:t>וכ</w:t>
      </w:r>
      <w:r>
        <w:rPr>
          <w:rFonts w:cs="Arial" w:hint="cs"/>
          <w:sz w:val="20"/>
          <w:szCs w:val="20"/>
          <w:rtl/>
        </w:rPr>
        <w:t>ל שכן</w:t>
      </w:r>
      <w:r w:rsidRPr="00EF21F5">
        <w:rPr>
          <w:rFonts w:cs="Arial"/>
          <w:sz w:val="20"/>
          <w:szCs w:val="20"/>
          <w:rtl/>
        </w:rPr>
        <w:t xml:space="preserve"> </w:t>
      </w:r>
      <w:r w:rsidRPr="00EF21F5">
        <w:rPr>
          <w:rFonts w:cs="Arial" w:hint="cs"/>
          <w:sz w:val="20"/>
          <w:szCs w:val="20"/>
          <w:rtl/>
        </w:rPr>
        <w:t>הירוק</w:t>
      </w:r>
      <w:r w:rsidRPr="00EF21F5">
        <w:rPr>
          <w:rFonts w:cs="Arial"/>
          <w:sz w:val="20"/>
          <w:szCs w:val="20"/>
          <w:rtl/>
        </w:rPr>
        <w:t xml:space="preserve"> </w:t>
      </w:r>
      <w:r w:rsidRPr="00EF21F5">
        <w:rPr>
          <w:rFonts w:cs="Arial" w:hint="cs"/>
          <w:sz w:val="20"/>
          <w:szCs w:val="20"/>
          <w:rtl/>
        </w:rPr>
        <w:t>ככרתי</w:t>
      </w:r>
      <w:r w:rsidRPr="00EF21F5">
        <w:rPr>
          <w:rFonts w:cs="Arial"/>
          <w:sz w:val="20"/>
          <w:szCs w:val="20"/>
          <w:rtl/>
        </w:rPr>
        <w:t xml:space="preserve"> </w:t>
      </w:r>
      <w:r w:rsidRPr="00EF21F5">
        <w:rPr>
          <w:rFonts w:cs="Arial" w:hint="cs"/>
          <w:sz w:val="20"/>
          <w:szCs w:val="20"/>
          <w:rtl/>
        </w:rPr>
        <w:t>או</w:t>
      </w:r>
      <w:r w:rsidRPr="00EF21F5">
        <w:rPr>
          <w:rFonts w:cs="Arial"/>
          <w:sz w:val="20"/>
          <w:szCs w:val="20"/>
          <w:rtl/>
        </w:rPr>
        <w:t xml:space="preserve"> </w:t>
      </w:r>
      <w:r w:rsidRPr="00EF21F5">
        <w:rPr>
          <w:rFonts w:cs="Arial" w:hint="cs"/>
          <w:sz w:val="20"/>
          <w:szCs w:val="20"/>
          <w:rtl/>
        </w:rPr>
        <w:t>כעשבים</w:t>
      </w:r>
      <w:r w:rsidRPr="00EF21F5">
        <w:rPr>
          <w:rFonts w:cs="Arial"/>
          <w:sz w:val="20"/>
          <w:szCs w:val="20"/>
          <w:rtl/>
        </w:rPr>
        <w:t>.</w:t>
      </w:r>
      <w:r w:rsidRPr="00EF21F5">
        <w:rPr>
          <w:rFonts w:cs="Arial"/>
          <w:sz w:val="18"/>
          <w:szCs w:val="18"/>
          <w:rtl/>
        </w:rPr>
        <w:t xml:space="preserve"> (</w:t>
      </w:r>
      <w:r w:rsidRPr="00EF21F5">
        <w:rPr>
          <w:rFonts w:cs="Arial" w:hint="cs"/>
          <w:sz w:val="18"/>
          <w:szCs w:val="18"/>
          <w:rtl/>
        </w:rPr>
        <w:t>וכן</w:t>
      </w:r>
      <w:r w:rsidRPr="00EF21F5">
        <w:rPr>
          <w:rFonts w:cs="Arial"/>
          <w:sz w:val="18"/>
          <w:szCs w:val="18"/>
          <w:rtl/>
        </w:rPr>
        <w:t xml:space="preserve"> </w:t>
      </w:r>
      <w:r w:rsidRPr="00EF21F5">
        <w:rPr>
          <w:rFonts w:cs="Arial" w:hint="cs"/>
          <w:sz w:val="18"/>
          <w:szCs w:val="18"/>
          <w:rtl/>
        </w:rPr>
        <w:t>מראה</w:t>
      </w:r>
      <w:r w:rsidRPr="00EF21F5">
        <w:rPr>
          <w:rFonts w:cs="Arial"/>
          <w:sz w:val="18"/>
          <w:szCs w:val="18"/>
          <w:rtl/>
        </w:rPr>
        <w:t xml:space="preserve"> </w:t>
      </w:r>
      <w:r w:rsidRPr="00EF21F5">
        <w:rPr>
          <w:rFonts w:cs="Arial" w:hint="cs"/>
          <w:sz w:val="18"/>
          <w:szCs w:val="18"/>
          <w:rtl/>
        </w:rPr>
        <w:t>שקורין</w:t>
      </w:r>
      <w:r w:rsidRPr="00EF21F5">
        <w:rPr>
          <w:rFonts w:cs="Arial"/>
          <w:sz w:val="18"/>
          <w:szCs w:val="18"/>
          <w:rtl/>
        </w:rPr>
        <w:t xml:space="preserve"> </w:t>
      </w:r>
      <w:r w:rsidRPr="00EF21F5">
        <w:rPr>
          <w:rFonts w:cs="Arial" w:hint="cs"/>
          <w:sz w:val="18"/>
          <w:szCs w:val="18"/>
          <w:rtl/>
        </w:rPr>
        <w:t>בל</w:t>
      </w:r>
      <w:r>
        <w:rPr>
          <w:rFonts w:cs="Arial" w:hint="cs"/>
          <w:sz w:val="18"/>
          <w:szCs w:val="18"/>
          <w:rtl/>
        </w:rPr>
        <w:t>שון אחרת</w:t>
      </w:r>
      <w:r w:rsidRPr="00EF21F5">
        <w:rPr>
          <w:rFonts w:cs="Arial"/>
          <w:sz w:val="18"/>
          <w:szCs w:val="18"/>
          <w:rtl/>
        </w:rPr>
        <w:t xml:space="preserve"> </w:t>
      </w:r>
      <w:r w:rsidRPr="00EF21F5">
        <w:rPr>
          <w:rFonts w:cs="Arial" w:hint="cs"/>
          <w:sz w:val="18"/>
          <w:szCs w:val="18"/>
          <w:rtl/>
        </w:rPr>
        <w:t>בלו</w:t>
      </w:r>
      <w:r w:rsidRPr="00EF21F5">
        <w:rPr>
          <w:rFonts w:cs="Arial"/>
          <w:sz w:val="18"/>
          <w:szCs w:val="18"/>
          <w:rtl/>
        </w:rPr>
        <w:t>"</w:t>
      </w:r>
      <w:r w:rsidRPr="00EF21F5">
        <w:rPr>
          <w:rFonts w:cs="Arial" w:hint="cs"/>
          <w:sz w:val="18"/>
          <w:szCs w:val="18"/>
          <w:rtl/>
        </w:rPr>
        <w:t>א</w:t>
      </w:r>
      <w:r w:rsidRPr="00EF21F5">
        <w:rPr>
          <w:rFonts w:cs="Arial"/>
          <w:sz w:val="18"/>
          <w:szCs w:val="18"/>
          <w:rtl/>
        </w:rPr>
        <w:t xml:space="preserve"> </w:t>
      </w:r>
      <w:r>
        <w:rPr>
          <w:rFonts w:cs="Arial" w:hint="cs"/>
          <w:sz w:val="18"/>
          <w:szCs w:val="18"/>
          <w:rtl/>
        </w:rPr>
        <w:t xml:space="preserve">[כחול] </w:t>
      </w:r>
      <w:r w:rsidRPr="00EF21F5">
        <w:rPr>
          <w:rFonts w:cs="Arial" w:hint="cs"/>
          <w:sz w:val="18"/>
          <w:szCs w:val="18"/>
          <w:rtl/>
        </w:rPr>
        <w:t>בכלל</w:t>
      </w:r>
      <w:r w:rsidRPr="00EF21F5">
        <w:rPr>
          <w:rFonts w:cs="Arial"/>
          <w:sz w:val="18"/>
          <w:szCs w:val="18"/>
          <w:rtl/>
        </w:rPr>
        <w:t xml:space="preserve"> </w:t>
      </w:r>
      <w:r w:rsidRPr="00EF21F5">
        <w:rPr>
          <w:rFonts w:cs="Arial" w:hint="cs"/>
          <w:sz w:val="18"/>
          <w:szCs w:val="18"/>
          <w:rtl/>
        </w:rPr>
        <w:t>ירוק</w:t>
      </w:r>
      <w:r w:rsidRPr="00EF21F5">
        <w:rPr>
          <w:rFonts w:cs="Arial"/>
          <w:sz w:val="18"/>
          <w:szCs w:val="18"/>
          <w:rtl/>
        </w:rPr>
        <w:t xml:space="preserve"> </w:t>
      </w:r>
      <w:r w:rsidRPr="00EF21F5">
        <w:rPr>
          <w:rFonts w:cs="Arial" w:hint="cs"/>
          <w:sz w:val="18"/>
          <w:szCs w:val="18"/>
          <w:rtl/>
        </w:rPr>
        <w:t>הוא</w:t>
      </w:r>
      <w:r w:rsidRPr="00EF21F5">
        <w:rPr>
          <w:rFonts w:cs="Arial"/>
          <w:sz w:val="18"/>
          <w:szCs w:val="18"/>
          <w:rtl/>
        </w:rPr>
        <w:t>)</w:t>
      </w:r>
      <w:r w:rsidRPr="00EF21F5">
        <w:rPr>
          <w:rFonts w:cs="Arial" w:hint="cs"/>
          <w:sz w:val="18"/>
          <w:szCs w:val="18"/>
          <w:rtl/>
        </w:rPr>
        <w:t>".</w:t>
      </w:r>
    </w:p>
    <w:p w:rsidR="00620060" w:rsidRPr="004542E3" w:rsidRDefault="00620060" w:rsidP="00620060">
      <w:pPr>
        <w:rPr>
          <w:sz w:val="20"/>
          <w:szCs w:val="20"/>
          <w:u w:val="single"/>
          <w:rtl/>
        </w:rPr>
      </w:pPr>
      <w:r>
        <w:rPr>
          <w:rFonts w:hint="cs"/>
          <w:sz w:val="20"/>
          <w:szCs w:val="20"/>
          <w:u w:val="single"/>
          <w:rtl/>
        </w:rPr>
        <w:t>מראה ירוק (פת"ש)</w:t>
      </w:r>
      <w:r>
        <w:rPr>
          <w:rFonts w:hint="cs"/>
          <w:sz w:val="20"/>
          <w:szCs w:val="20"/>
          <w:u w:val="single"/>
          <w:rtl/>
        </w:rPr>
        <w:br/>
      </w:r>
      <w:r w:rsidRPr="004542E3">
        <w:rPr>
          <w:rFonts w:hint="cs"/>
          <w:sz w:val="20"/>
          <w:szCs w:val="20"/>
          <w:rtl/>
        </w:rPr>
        <w:t xml:space="preserve">א. </w:t>
      </w:r>
      <w:r w:rsidRPr="004542E3">
        <w:rPr>
          <w:rFonts w:hint="cs"/>
          <w:b/>
          <w:bCs/>
          <w:sz w:val="20"/>
          <w:szCs w:val="20"/>
          <w:rtl/>
        </w:rPr>
        <w:t>מהרש"ל</w:t>
      </w:r>
      <w:r w:rsidRPr="004542E3">
        <w:rPr>
          <w:rFonts w:hint="cs"/>
          <w:sz w:val="20"/>
          <w:szCs w:val="20"/>
          <w:rtl/>
        </w:rPr>
        <w:t xml:space="preserve"> </w:t>
      </w:r>
      <w:r>
        <w:rPr>
          <w:sz w:val="20"/>
          <w:szCs w:val="20"/>
          <w:rtl/>
        </w:rPr>
        <w:t>–</w:t>
      </w:r>
      <w:r>
        <w:rPr>
          <w:rFonts w:hint="cs"/>
          <w:sz w:val="20"/>
          <w:szCs w:val="20"/>
          <w:rtl/>
        </w:rPr>
        <w:t xml:space="preserve"> יש </w:t>
      </w:r>
      <w:r w:rsidRPr="004542E3">
        <w:rPr>
          <w:rFonts w:hint="cs"/>
          <w:sz w:val="20"/>
          <w:szCs w:val="20"/>
          <w:rtl/>
        </w:rPr>
        <w:t xml:space="preserve">להחמיר במראה ירוק, וכל שכן במראה צהוב, אלא אם כן יש צדדים נוספים להקל שהיא אינה נידה. ואם מצאה מראה זה בהרגשה יש להחמיר, אך אם היה בלי הרגשה יש להקל, והכל לפי העניין. </w:t>
      </w:r>
      <w:r w:rsidRPr="004542E3">
        <w:rPr>
          <w:sz w:val="20"/>
          <w:szCs w:val="20"/>
          <w:rtl/>
        </w:rPr>
        <w:br/>
      </w:r>
      <w:r w:rsidRPr="004542E3">
        <w:rPr>
          <w:rFonts w:hint="cs"/>
          <w:sz w:val="20"/>
          <w:szCs w:val="20"/>
          <w:rtl/>
        </w:rPr>
        <w:t xml:space="preserve">ב. </w:t>
      </w:r>
      <w:r w:rsidRPr="004542E3">
        <w:rPr>
          <w:rFonts w:hint="cs"/>
          <w:b/>
          <w:bCs/>
          <w:sz w:val="20"/>
          <w:szCs w:val="20"/>
          <w:rtl/>
        </w:rPr>
        <w:t xml:space="preserve">סדרי טהרה </w:t>
      </w:r>
      <w:r w:rsidRPr="004542E3">
        <w:rPr>
          <w:rFonts w:hint="cs"/>
          <w:sz w:val="20"/>
          <w:szCs w:val="20"/>
          <w:rtl/>
        </w:rPr>
        <w:t>- האחרונים לא העתיקו את דברי מהרש"ל האלו ולא חשו לו, אך בעל נפש יחמיר לעצמו.</w:t>
      </w:r>
    </w:p>
    <w:p w:rsidR="00620060" w:rsidRDefault="00620060" w:rsidP="00620060">
      <w:pPr>
        <w:rPr>
          <w:sz w:val="20"/>
          <w:szCs w:val="20"/>
          <w:rtl/>
        </w:rPr>
      </w:pPr>
      <w:r>
        <w:rPr>
          <w:rFonts w:hint="cs"/>
          <w:sz w:val="20"/>
          <w:szCs w:val="20"/>
          <w:u w:val="single"/>
          <w:rtl/>
        </w:rPr>
        <w:t>רחצה ומצאה דם לבן (ט"ז)</w:t>
      </w:r>
      <w:r>
        <w:rPr>
          <w:sz w:val="20"/>
          <w:szCs w:val="20"/>
          <w:rtl/>
        </w:rPr>
        <w:br/>
      </w:r>
      <w:r>
        <w:rPr>
          <w:rFonts w:hint="cs"/>
          <w:sz w:val="20"/>
          <w:szCs w:val="20"/>
          <w:rtl/>
        </w:rPr>
        <w:t>המקרה - אשה שרחצה ולאחר כמה שעות יצא ממנה דם לבן סמיך:</w:t>
      </w:r>
      <w:r>
        <w:rPr>
          <w:rFonts w:hint="cs"/>
          <w:sz w:val="20"/>
          <w:szCs w:val="20"/>
          <w:rtl/>
        </w:rPr>
        <w:br/>
        <w:t xml:space="preserve">א. </w:t>
      </w:r>
      <w:r w:rsidRPr="00534456">
        <w:rPr>
          <w:rFonts w:hint="cs"/>
          <w:b/>
          <w:bCs/>
          <w:sz w:val="20"/>
          <w:szCs w:val="20"/>
          <w:rtl/>
        </w:rPr>
        <w:t>ב"ח</w:t>
      </w:r>
      <w:r>
        <w:rPr>
          <w:rFonts w:hint="cs"/>
          <w:sz w:val="20"/>
          <w:szCs w:val="20"/>
          <w:rtl/>
        </w:rPr>
        <w:t xml:space="preserve"> </w:t>
      </w:r>
      <w:r w:rsidRPr="001863F0">
        <w:rPr>
          <w:rFonts w:hint="cs"/>
          <w:sz w:val="18"/>
          <w:szCs w:val="18"/>
          <w:rtl/>
        </w:rPr>
        <w:t xml:space="preserve">(בשם </w:t>
      </w:r>
      <w:r w:rsidRPr="001863F0">
        <w:rPr>
          <w:rFonts w:hint="cs"/>
          <w:b/>
          <w:bCs/>
          <w:sz w:val="18"/>
          <w:szCs w:val="18"/>
          <w:rtl/>
        </w:rPr>
        <w:t>מהר"י מרגלית</w:t>
      </w:r>
      <w:r w:rsidRPr="001863F0">
        <w:rPr>
          <w:rFonts w:hint="cs"/>
          <w:sz w:val="18"/>
          <w:szCs w:val="18"/>
          <w:rtl/>
        </w:rPr>
        <w:t xml:space="preserve">) </w:t>
      </w:r>
      <w:r>
        <w:rPr>
          <w:sz w:val="20"/>
          <w:szCs w:val="20"/>
          <w:rtl/>
        </w:rPr>
        <w:t>–</w:t>
      </w:r>
      <w:r>
        <w:rPr>
          <w:rFonts w:hint="cs"/>
          <w:sz w:val="20"/>
          <w:szCs w:val="20"/>
          <w:rtl/>
        </w:rPr>
        <w:t xml:space="preserve"> טמאה.</w:t>
      </w:r>
      <w:r>
        <w:rPr>
          <w:sz w:val="20"/>
          <w:szCs w:val="20"/>
          <w:rtl/>
        </w:rPr>
        <w:br/>
      </w:r>
      <w:r w:rsidRPr="00663088">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דרך הדם להתלבן מחמת רחיצה.</w:t>
      </w:r>
      <w:r>
        <w:rPr>
          <w:sz w:val="20"/>
          <w:szCs w:val="20"/>
          <w:rtl/>
        </w:rPr>
        <w:br/>
      </w:r>
      <w:r>
        <w:rPr>
          <w:rFonts w:hint="cs"/>
          <w:sz w:val="20"/>
          <w:szCs w:val="20"/>
          <w:rtl/>
        </w:rPr>
        <w:t xml:space="preserve">ב. </w:t>
      </w:r>
      <w:r w:rsidRPr="00663088">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טהורה.</w:t>
      </w:r>
      <w:r>
        <w:rPr>
          <w:sz w:val="20"/>
          <w:szCs w:val="20"/>
          <w:rtl/>
        </w:rPr>
        <w:br/>
      </w:r>
      <w:r w:rsidRPr="00663088">
        <w:rPr>
          <w:rFonts w:hint="cs"/>
          <w:b/>
          <w:bCs/>
          <w:sz w:val="20"/>
          <w:szCs w:val="20"/>
          <w:rtl/>
        </w:rPr>
        <w:t xml:space="preserve">טעם </w:t>
      </w:r>
      <w:r>
        <w:rPr>
          <w:rFonts w:hint="cs"/>
          <w:sz w:val="20"/>
          <w:szCs w:val="20"/>
          <w:rtl/>
        </w:rPr>
        <w:t xml:space="preserve">- דין זה הוא חידוש שלא נמצא בתלמוד; אדרבה, נאמר להדיא ששחור הוא אדום שלקה, ואם איתא לסברה זו היה לו לומר רבותא טפי שאפילו בלבן אשכחן לפעמים שלוקה. </w:t>
      </w:r>
      <w:r>
        <w:rPr>
          <w:sz w:val="20"/>
          <w:szCs w:val="20"/>
          <w:rtl/>
        </w:rPr>
        <w:br/>
      </w:r>
      <w:r>
        <w:rPr>
          <w:rFonts w:hint="cs"/>
          <w:sz w:val="20"/>
          <w:szCs w:val="20"/>
          <w:rtl/>
        </w:rPr>
        <w:t>וכן, בסוף סעיף זה פוסק המחבר שדם לבן טהור אפילו סמיך, ואינו מחלק אם רחצה לפני כן או לא רחצה.</w:t>
      </w:r>
      <w:r>
        <w:rPr>
          <w:sz w:val="20"/>
          <w:szCs w:val="20"/>
          <w:rtl/>
        </w:rPr>
        <w:br/>
      </w:r>
      <w:r w:rsidRPr="005C5512">
        <w:rPr>
          <w:rFonts w:hint="cs"/>
          <w:sz w:val="20"/>
          <w:szCs w:val="20"/>
          <w:rtl/>
        </w:rPr>
        <w:t xml:space="preserve">הכרעת </w:t>
      </w:r>
      <w:r w:rsidRPr="005C5512">
        <w:rPr>
          <w:rFonts w:hint="cs"/>
          <w:b/>
          <w:bCs/>
          <w:sz w:val="20"/>
          <w:szCs w:val="20"/>
          <w:rtl/>
        </w:rPr>
        <w:t>טהרת הבית</w:t>
      </w:r>
      <w:r w:rsidRPr="005C5512">
        <w:rPr>
          <w:rFonts w:hint="cs"/>
          <w:sz w:val="20"/>
          <w:szCs w:val="20"/>
          <w:rtl/>
        </w:rPr>
        <w:t xml:space="preserve"> </w:t>
      </w:r>
      <w:r w:rsidRPr="005C5512">
        <w:rPr>
          <w:sz w:val="20"/>
          <w:szCs w:val="20"/>
          <w:rtl/>
        </w:rPr>
        <w:t>–</w:t>
      </w:r>
      <w:r>
        <w:rPr>
          <w:rFonts w:hint="cs"/>
          <w:sz w:val="20"/>
          <w:szCs w:val="20"/>
          <w:rtl/>
        </w:rPr>
        <w:t xml:space="preserve"> טהורה, ומותר לה לרחוץ את עצמה אף בימי ליבונה.</w:t>
      </w:r>
    </w:p>
    <w:p w:rsidR="00620060" w:rsidRDefault="00620060" w:rsidP="00620060">
      <w:pPr>
        <w:rPr>
          <w:sz w:val="20"/>
          <w:szCs w:val="20"/>
          <w:rtl/>
        </w:rPr>
      </w:pPr>
      <w:r>
        <w:rPr>
          <w:rFonts w:hint="cs"/>
          <w:sz w:val="20"/>
          <w:szCs w:val="20"/>
          <w:u w:val="single"/>
          <w:rtl/>
        </w:rPr>
        <w:t>ראיית מראה בעת שהוא לח (ט"ז ופת"ש)</w:t>
      </w:r>
      <w:r>
        <w:rPr>
          <w:rFonts w:hint="cs"/>
          <w:sz w:val="20"/>
          <w:szCs w:val="20"/>
          <w:u w:val="single"/>
          <w:rtl/>
        </w:rPr>
        <w:br/>
      </w:r>
      <w:r>
        <w:rPr>
          <w:rFonts w:hint="cs"/>
          <w:sz w:val="20"/>
          <w:szCs w:val="20"/>
          <w:rtl/>
        </w:rPr>
        <w:t xml:space="preserve">א. </w:t>
      </w:r>
      <w:r w:rsidRPr="007D6BB1">
        <w:rPr>
          <w:rFonts w:hint="cs"/>
          <w:b/>
          <w:bCs/>
          <w:sz w:val="20"/>
          <w:szCs w:val="20"/>
          <w:rtl/>
        </w:rPr>
        <w:t>ב"ח</w:t>
      </w:r>
      <w:r>
        <w:rPr>
          <w:rFonts w:hint="cs"/>
          <w:sz w:val="20"/>
          <w:szCs w:val="20"/>
          <w:rtl/>
        </w:rPr>
        <w:t xml:space="preserve"> </w:t>
      </w:r>
      <w:r>
        <w:rPr>
          <w:sz w:val="20"/>
          <w:szCs w:val="20"/>
          <w:rtl/>
        </w:rPr>
        <w:t>–</w:t>
      </w:r>
      <w:r>
        <w:rPr>
          <w:rFonts w:hint="cs"/>
          <w:sz w:val="20"/>
          <w:szCs w:val="20"/>
          <w:rtl/>
        </w:rPr>
        <w:t xml:space="preserve"> אין לחכם לטהר מראה ירוק ולבן בעודו לח, אלא ימתין עד שייבש ואז יראהו.</w:t>
      </w:r>
      <w:r>
        <w:rPr>
          <w:sz w:val="20"/>
          <w:szCs w:val="20"/>
          <w:rtl/>
        </w:rPr>
        <w:br/>
      </w:r>
      <w:r w:rsidRPr="007D6BB1">
        <w:rPr>
          <w:rFonts w:hint="cs"/>
          <w:b/>
          <w:bCs/>
          <w:sz w:val="20"/>
          <w:szCs w:val="20"/>
          <w:rtl/>
        </w:rPr>
        <w:t xml:space="preserve">טעם </w:t>
      </w:r>
      <w:r>
        <w:rPr>
          <w:sz w:val="20"/>
          <w:szCs w:val="20"/>
          <w:rtl/>
        </w:rPr>
        <w:t>–</w:t>
      </w:r>
      <w:r>
        <w:rPr>
          <w:rFonts w:hint="cs"/>
          <w:sz w:val="20"/>
          <w:szCs w:val="20"/>
          <w:rtl/>
        </w:rPr>
        <w:t xml:space="preserve"> לפעמים לאחר שהדם מתייבש הוא נהיה אדום בקצותיו וטמא.</w:t>
      </w:r>
      <w:r>
        <w:rPr>
          <w:sz w:val="20"/>
          <w:szCs w:val="20"/>
          <w:rtl/>
        </w:rPr>
        <w:br/>
      </w:r>
      <w:r>
        <w:rPr>
          <w:rFonts w:hint="cs"/>
          <w:sz w:val="20"/>
          <w:szCs w:val="20"/>
          <w:rtl/>
        </w:rPr>
        <w:t xml:space="preserve">ב. </w:t>
      </w:r>
      <w:r w:rsidRPr="007D6BB1">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מותר לחכם לראות מראה דם ולטהרו גם כשהוא לח.</w:t>
      </w:r>
      <w:r>
        <w:rPr>
          <w:sz w:val="20"/>
          <w:szCs w:val="20"/>
          <w:rtl/>
        </w:rPr>
        <w:br/>
      </w:r>
      <w:r w:rsidRPr="007D6BB1">
        <w:rPr>
          <w:rFonts w:hint="cs"/>
          <w:b/>
          <w:bCs/>
          <w:sz w:val="20"/>
          <w:szCs w:val="20"/>
          <w:rtl/>
        </w:rPr>
        <w:t>ראיות</w:t>
      </w:r>
      <w:r>
        <w:rPr>
          <w:rFonts w:hint="cs"/>
          <w:sz w:val="20"/>
          <w:szCs w:val="20"/>
          <w:rtl/>
        </w:rPr>
        <w:t xml:space="preserve"> </w:t>
      </w:r>
      <w:r>
        <w:rPr>
          <w:sz w:val="20"/>
          <w:szCs w:val="20"/>
          <w:rtl/>
        </w:rPr>
        <w:t>–</w:t>
      </w:r>
      <w:r>
        <w:rPr>
          <w:rFonts w:hint="cs"/>
          <w:sz w:val="20"/>
          <w:szCs w:val="20"/>
          <w:rtl/>
        </w:rPr>
        <w:t xml:space="preserve"> </w:t>
      </w:r>
      <w:r>
        <w:rPr>
          <w:rFonts w:hint="cs"/>
          <w:sz w:val="20"/>
          <w:szCs w:val="20"/>
          <w:vertAlign w:val="superscript"/>
          <w:rtl/>
        </w:rPr>
        <w:t xml:space="preserve">1 </w:t>
      </w:r>
      <w:r>
        <w:rPr>
          <w:rFonts w:hint="cs"/>
          <w:sz w:val="20"/>
          <w:szCs w:val="20"/>
          <w:rtl/>
        </w:rPr>
        <w:t>לעיל בסימן קפו נפסק שאשה שאין לה ווסת צריכה לבדוק לפני תשמיש, ולדעת הב"ח מה מהני לבדוק, הרי אסור להם לשמש עד שהדם יתייבש!</w:t>
      </w:r>
      <w:r>
        <w:rPr>
          <w:rFonts w:hint="cs"/>
          <w:sz w:val="20"/>
          <w:szCs w:val="20"/>
          <w:rtl/>
        </w:rPr>
        <w:br/>
      </w:r>
      <w:r>
        <w:rPr>
          <w:rFonts w:hint="cs"/>
          <w:sz w:val="20"/>
          <w:szCs w:val="20"/>
          <w:vertAlign w:val="superscript"/>
          <w:rtl/>
        </w:rPr>
        <w:t xml:space="preserve">2 </w:t>
      </w:r>
      <w:r>
        <w:rPr>
          <w:rFonts w:hint="cs"/>
          <w:sz w:val="20"/>
          <w:szCs w:val="20"/>
          <w:rtl/>
        </w:rPr>
        <w:t>נאמר בגמרא נידה (כ:) "</w:t>
      </w:r>
      <w:r w:rsidRPr="002720EC">
        <w:rPr>
          <w:rFonts w:cs="Arial" w:hint="cs"/>
          <w:sz w:val="20"/>
          <w:szCs w:val="20"/>
          <w:rtl/>
        </w:rPr>
        <w:t>תניא</w:t>
      </w:r>
      <w:r w:rsidRPr="002720EC">
        <w:rPr>
          <w:rFonts w:cs="Arial"/>
          <w:sz w:val="20"/>
          <w:szCs w:val="20"/>
          <w:rtl/>
        </w:rPr>
        <w:t xml:space="preserve">: </w:t>
      </w:r>
      <w:r w:rsidRPr="002720EC">
        <w:rPr>
          <w:rFonts w:cs="Arial" w:hint="cs"/>
          <w:sz w:val="20"/>
          <w:szCs w:val="20"/>
          <w:rtl/>
        </w:rPr>
        <w:t>לא</w:t>
      </w:r>
      <w:r w:rsidRPr="002720EC">
        <w:rPr>
          <w:rFonts w:cs="Arial"/>
          <w:sz w:val="20"/>
          <w:szCs w:val="20"/>
          <w:rtl/>
        </w:rPr>
        <w:t xml:space="preserve"> </w:t>
      </w:r>
      <w:r w:rsidRPr="002720EC">
        <w:rPr>
          <w:rFonts w:cs="Arial" w:hint="cs"/>
          <w:sz w:val="20"/>
          <w:szCs w:val="20"/>
          <w:rtl/>
        </w:rPr>
        <w:t>יאמר</w:t>
      </w:r>
      <w:r w:rsidRPr="002720EC">
        <w:rPr>
          <w:rFonts w:cs="Arial"/>
          <w:sz w:val="20"/>
          <w:szCs w:val="20"/>
          <w:rtl/>
        </w:rPr>
        <w:t xml:space="preserve"> </w:t>
      </w:r>
      <w:r w:rsidRPr="002720EC">
        <w:rPr>
          <w:rFonts w:cs="Arial" w:hint="cs"/>
          <w:sz w:val="20"/>
          <w:szCs w:val="20"/>
          <w:rtl/>
        </w:rPr>
        <w:t>חכם</w:t>
      </w:r>
      <w:r w:rsidRPr="002720EC">
        <w:rPr>
          <w:rFonts w:cs="Arial"/>
          <w:sz w:val="20"/>
          <w:szCs w:val="20"/>
          <w:rtl/>
        </w:rPr>
        <w:t xml:space="preserve"> </w:t>
      </w:r>
      <w:r w:rsidRPr="002720EC">
        <w:rPr>
          <w:rFonts w:cs="Arial" w:hint="cs"/>
          <w:sz w:val="20"/>
          <w:szCs w:val="20"/>
          <w:rtl/>
        </w:rPr>
        <w:t>אילו</w:t>
      </w:r>
      <w:r w:rsidRPr="002720EC">
        <w:rPr>
          <w:rFonts w:cs="Arial"/>
          <w:sz w:val="20"/>
          <w:szCs w:val="20"/>
          <w:rtl/>
        </w:rPr>
        <w:t xml:space="preserve"> </w:t>
      </w:r>
      <w:r w:rsidRPr="002720EC">
        <w:rPr>
          <w:rFonts w:cs="Arial" w:hint="cs"/>
          <w:sz w:val="20"/>
          <w:szCs w:val="20"/>
          <w:rtl/>
        </w:rPr>
        <w:t>היה</w:t>
      </w:r>
      <w:r w:rsidRPr="002720EC">
        <w:rPr>
          <w:rFonts w:cs="Arial"/>
          <w:sz w:val="20"/>
          <w:szCs w:val="20"/>
          <w:rtl/>
        </w:rPr>
        <w:t xml:space="preserve"> </w:t>
      </w:r>
      <w:r w:rsidRPr="002720EC">
        <w:rPr>
          <w:rFonts w:cs="Arial" w:hint="cs"/>
          <w:sz w:val="20"/>
          <w:szCs w:val="20"/>
          <w:rtl/>
        </w:rPr>
        <w:t>לח</w:t>
      </w:r>
      <w:r w:rsidRPr="002720EC">
        <w:rPr>
          <w:rFonts w:cs="Arial"/>
          <w:sz w:val="20"/>
          <w:szCs w:val="20"/>
          <w:rtl/>
        </w:rPr>
        <w:t xml:space="preserve"> </w:t>
      </w:r>
      <w:r w:rsidRPr="002720EC">
        <w:rPr>
          <w:rFonts w:cs="Arial" w:hint="cs"/>
          <w:sz w:val="20"/>
          <w:szCs w:val="20"/>
          <w:rtl/>
        </w:rPr>
        <w:t>היה</w:t>
      </w:r>
      <w:r w:rsidRPr="002720EC">
        <w:rPr>
          <w:rFonts w:cs="Arial"/>
          <w:sz w:val="20"/>
          <w:szCs w:val="20"/>
          <w:rtl/>
        </w:rPr>
        <w:t xml:space="preserve"> </w:t>
      </w:r>
      <w:r w:rsidRPr="002720EC">
        <w:rPr>
          <w:rFonts w:cs="Arial" w:hint="cs"/>
          <w:sz w:val="20"/>
          <w:szCs w:val="20"/>
          <w:rtl/>
        </w:rPr>
        <w:t>ודאי</w:t>
      </w:r>
      <w:r w:rsidRPr="002720EC">
        <w:rPr>
          <w:rFonts w:cs="Arial"/>
          <w:sz w:val="20"/>
          <w:szCs w:val="20"/>
          <w:rtl/>
        </w:rPr>
        <w:t xml:space="preserve"> </w:t>
      </w:r>
      <w:r w:rsidRPr="002720EC">
        <w:rPr>
          <w:rFonts w:cs="Arial" w:hint="cs"/>
          <w:sz w:val="20"/>
          <w:szCs w:val="20"/>
          <w:rtl/>
        </w:rPr>
        <w:t>טמא</w:t>
      </w:r>
      <w:r w:rsidRPr="002720EC">
        <w:rPr>
          <w:rFonts w:cs="Arial"/>
          <w:sz w:val="20"/>
          <w:szCs w:val="20"/>
          <w:rtl/>
        </w:rPr>
        <w:t xml:space="preserve">, </w:t>
      </w:r>
      <w:r w:rsidRPr="002720EC">
        <w:rPr>
          <w:rFonts w:cs="Arial" w:hint="cs"/>
          <w:sz w:val="20"/>
          <w:szCs w:val="20"/>
          <w:rtl/>
        </w:rPr>
        <w:t>אלא</w:t>
      </w:r>
      <w:r w:rsidRPr="002720EC">
        <w:rPr>
          <w:rFonts w:cs="Arial"/>
          <w:sz w:val="20"/>
          <w:szCs w:val="20"/>
          <w:rtl/>
        </w:rPr>
        <w:t xml:space="preserve"> </w:t>
      </w:r>
      <w:r w:rsidRPr="002720EC">
        <w:rPr>
          <w:rFonts w:cs="Arial" w:hint="cs"/>
          <w:sz w:val="20"/>
          <w:szCs w:val="20"/>
          <w:rtl/>
        </w:rPr>
        <w:t>אמר</w:t>
      </w:r>
      <w:r>
        <w:rPr>
          <w:rFonts w:cs="Arial" w:hint="cs"/>
          <w:sz w:val="20"/>
          <w:szCs w:val="20"/>
          <w:rtl/>
        </w:rPr>
        <w:t>ו</w:t>
      </w:r>
      <w:r w:rsidRPr="002720EC">
        <w:rPr>
          <w:rFonts w:cs="Arial"/>
          <w:sz w:val="20"/>
          <w:szCs w:val="20"/>
          <w:rtl/>
        </w:rPr>
        <w:t xml:space="preserve"> </w:t>
      </w:r>
      <w:r w:rsidRPr="002720EC">
        <w:rPr>
          <w:rFonts w:cs="Arial" w:hint="cs"/>
          <w:sz w:val="20"/>
          <w:szCs w:val="20"/>
          <w:rtl/>
        </w:rPr>
        <w:t>אין</w:t>
      </w:r>
      <w:r w:rsidRPr="002720EC">
        <w:rPr>
          <w:rFonts w:cs="Arial"/>
          <w:sz w:val="20"/>
          <w:szCs w:val="20"/>
          <w:rtl/>
        </w:rPr>
        <w:t xml:space="preserve"> </w:t>
      </w:r>
      <w:r w:rsidRPr="002720EC">
        <w:rPr>
          <w:rFonts w:cs="Arial" w:hint="cs"/>
          <w:sz w:val="20"/>
          <w:szCs w:val="20"/>
          <w:rtl/>
        </w:rPr>
        <w:t>לו</w:t>
      </w:r>
      <w:r w:rsidRPr="002720EC">
        <w:rPr>
          <w:rFonts w:cs="Arial"/>
          <w:sz w:val="20"/>
          <w:szCs w:val="20"/>
          <w:rtl/>
        </w:rPr>
        <w:t xml:space="preserve"> </w:t>
      </w:r>
      <w:r w:rsidRPr="002720EC">
        <w:rPr>
          <w:rFonts w:cs="Arial" w:hint="cs"/>
          <w:sz w:val="20"/>
          <w:szCs w:val="20"/>
          <w:rtl/>
        </w:rPr>
        <w:t>לדיין</w:t>
      </w:r>
      <w:r w:rsidRPr="002720EC">
        <w:rPr>
          <w:rFonts w:cs="Arial"/>
          <w:sz w:val="20"/>
          <w:szCs w:val="20"/>
          <w:rtl/>
        </w:rPr>
        <w:t xml:space="preserve"> </w:t>
      </w:r>
      <w:r w:rsidRPr="002720EC">
        <w:rPr>
          <w:rFonts w:cs="Arial" w:hint="cs"/>
          <w:sz w:val="20"/>
          <w:szCs w:val="20"/>
          <w:rtl/>
        </w:rPr>
        <w:t>אלא</w:t>
      </w:r>
      <w:r w:rsidRPr="002720EC">
        <w:rPr>
          <w:rFonts w:cs="Arial"/>
          <w:sz w:val="20"/>
          <w:szCs w:val="20"/>
          <w:rtl/>
        </w:rPr>
        <w:t xml:space="preserve"> </w:t>
      </w:r>
      <w:r w:rsidRPr="002720EC">
        <w:rPr>
          <w:rFonts w:cs="Arial" w:hint="cs"/>
          <w:sz w:val="20"/>
          <w:szCs w:val="20"/>
          <w:rtl/>
        </w:rPr>
        <w:t>מה</w:t>
      </w:r>
      <w:r w:rsidRPr="002720EC">
        <w:rPr>
          <w:rFonts w:cs="Arial"/>
          <w:sz w:val="20"/>
          <w:szCs w:val="20"/>
          <w:rtl/>
        </w:rPr>
        <w:t xml:space="preserve"> </w:t>
      </w:r>
      <w:r w:rsidRPr="002720EC">
        <w:rPr>
          <w:rFonts w:cs="Arial" w:hint="cs"/>
          <w:sz w:val="20"/>
          <w:szCs w:val="20"/>
          <w:rtl/>
        </w:rPr>
        <w:t>שעיניו</w:t>
      </w:r>
      <w:r w:rsidRPr="002720EC">
        <w:rPr>
          <w:rFonts w:cs="Arial"/>
          <w:sz w:val="20"/>
          <w:szCs w:val="20"/>
          <w:rtl/>
        </w:rPr>
        <w:t xml:space="preserve"> </w:t>
      </w:r>
      <w:r w:rsidRPr="002720EC">
        <w:rPr>
          <w:rFonts w:cs="Arial" w:hint="cs"/>
          <w:sz w:val="20"/>
          <w:szCs w:val="20"/>
          <w:rtl/>
        </w:rPr>
        <w:t>רואות</w:t>
      </w:r>
      <w:r>
        <w:rPr>
          <w:rFonts w:hint="cs"/>
          <w:sz w:val="20"/>
          <w:szCs w:val="20"/>
          <w:rtl/>
        </w:rPr>
        <w:t>". ומגמרא זו יש להסיק גם לאידך גיסא, דהיינו שלא יאמר החכם בשעה שרואה דם לח שאם היה רואהו יבש היה משתנה.</w:t>
      </w:r>
      <w:r>
        <w:rPr>
          <w:sz w:val="20"/>
          <w:szCs w:val="20"/>
          <w:rtl/>
        </w:rPr>
        <w:br/>
      </w:r>
      <w:r>
        <w:rPr>
          <w:rFonts w:hint="cs"/>
          <w:sz w:val="20"/>
          <w:szCs w:val="20"/>
          <w:vertAlign w:val="superscript"/>
          <w:rtl/>
        </w:rPr>
        <w:t xml:space="preserve">3 </w:t>
      </w:r>
      <w:r>
        <w:rPr>
          <w:rFonts w:hint="cs"/>
          <w:sz w:val="20"/>
          <w:szCs w:val="20"/>
          <w:rtl/>
        </w:rPr>
        <w:t>מסופר בגמרא (שם) שרבי ראה דם בלילה, ורש"י מפרש להדיא שראה בעודו לח, משמע שלא חש לומר שמא לכשיתייבש יהיה טמא.</w:t>
      </w:r>
      <w:r>
        <w:rPr>
          <w:rStyle w:val="a5"/>
          <w:sz w:val="20"/>
          <w:szCs w:val="20"/>
          <w:rtl/>
        </w:rPr>
        <w:footnoteReference w:id="140"/>
      </w:r>
      <w:r>
        <w:rPr>
          <w:rFonts w:hint="cs"/>
          <w:sz w:val="20"/>
          <w:szCs w:val="20"/>
          <w:rtl/>
        </w:rPr>
        <w:t xml:space="preserve"> </w:t>
      </w:r>
      <w:r>
        <w:rPr>
          <w:sz w:val="20"/>
          <w:szCs w:val="20"/>
          <w:rtl/>
        </w:rPr>
        <w:br/>
      </w:r>
      <w:r>
        <w:rPr>
          <w:rFonts w:hint="cs"/>
          <w:sz w:val="20"/>
          <w:szCs w:val="20"/>
          <w:vertAlign w:val="superscript"/>
          <w:rtl/>
        </w:rPr>
        <w:t xml:space="preserve">4 </w:t>
      </w:r>
      <w:r>
        <w:rPr>
          <w:rFonts w:hint="cs"/>
          <w:sz w:val="20"/>
          <w:szCs w:val="20"/>
          <w:rtl/>
        </w:rPr>
        <w:t xml:space="preserve">בסימן נב' פוסק המחבר לגבי בהמה שנפלה לאור שאם שלק את בני מעיה ונשתנה מראיהם </w:t>
      </w:r>
      <w:r>
        <w:rPr>
          <w:sz w:val="20"/>
          <w:szCs w:val="20"/>
          <w:rtl/>
        </w:rPr>
        <w:t>–</w:t>
      </w:r>
      <w:r>
        <w:rPr>
          <w:rFonts w:hint="cs"/>
          <w:sz w:val="20"/>
          <w:szCs w:val="20"/>
          <w:rtl/>
        </w:rPr>
        <w:t xml:space="preserve"> טרפה, ואעפ"כ מותר לאכול אותה צלויה ואין צריך לשלוק כדי לבדוק את כשרותה. והטעם לדין זה מבואר ברש"י, משום שכל ריעותא דלא חזינן לא מחזקינן, והוא הדין כאן.</w:t>
      </w:r>
      <w:r>
        <w:rPr>
          <w:sz w:val="20"/>
          <w:szCs w:val="20"/>
          <w:rtl/>
        </w:rPr>
        <w:br/>
      </w:r>
      <w:r>
        <w:rPr>
          <w:rFonts w:hint="cs"/>
          <w:sz w:val="20"/>
          <w:szCs w:val="20"/>
          <w:rtl/>
        </w:rPr>
        <w:t xml:space="preserve">ג. </w:t>
      </w:r>
      <w:r w:rsidRPr="00770B86">
        <w:rPr>
          <w:rFonts w:hint="cs"/>
          <w:b/>
          <w:bCs/>
          <w:sz w:val="20"/>
          <w:szCs w:val="20"/>
          <w:rtl/>
        </w:rPr>
        <w:t>חכם צבי</w:t>
      </w:r>
      <w:r>
        <w:rPr>
          <w:rFonts w:hint="cs"/>
          <w:sz w:val="20"/>
          <w:szCs w:val="20"/>
          <w:rtl/>
        </w:rPr>
        <w:t xml:space="preserve"> </w:t>
      </w:r>
      <w:r>
        <w:rPr>
          <w:sz w:val="20"/>
          <w:szCs w:val="20"/>
          <w:rtl/>
        </w:rPr>
        <w:t>–</w:t>
      </w:r>
      <w:r>
        <w:rPr>
          <w:rFonts w:hint="cs"/>
          <w:sz w:val="20"/>
          <w:szCs w:val="20"/>
          <w:rtl/>
        </w:rPr>
        <w:t xml:space="preserve"> אזלינן תמיד בתר זמן יציאת הדם מהגוף, לטמא ולטהר. משום כך, אם בשעה שהדם לח נראה טהור, </w:t>
      </w:r>
      <w:r w:rsidRPr="00390268">
        <w:rPr>
          <w:rFonts w:hint="cs"/>
          <w:sz w:val="20"/>
          <w:szCs w:val="20"/>
          <w:u w:val="single"/>
          <w:rtl/>
        </w:rPr>
        <w:t xml:space="preserve">אע"פ שהתייבש ונראה טמא </w:t>
      </w:r>
      <w:r w:rsidRPr="00390268">
        <w:rPr>
          <w:sz w:val="20"/>
          <w:szCs w:val="20"/>
          <w:u w:val="single"/>
          <w:rtl/>
        </w:rPr>
        <w:t>–</w:t>
      </w:r>
      <w:r w:rsidRPr="00390268">
        <w:rPr>
          <w:rFonts w:hint="cs"/>
          <w:sz w:val="20"/>
          <w:szCs w:val="20"/>
          <w:u w:val="single"/>
          <w:rtl/>
        </w:rPr>
        <w:t xml:space="preserve"> טהורה</w:t>
      </w:r>
      <w:r>
        <w:rPr>
          <w:rFonts w:hint="cs"/>
          <w:sz w:val="20"/>
          <w:szCs w:val="20"/>
          <w:rtl/>
        </w:rPr>
        <w:t>, דלא כב"ח.</w:t>
      </w:r>
      <w:r>
        <w:rPr>
          <w:rStyle w:val="a5"/>
          <w:sz w:val="20"/>
          <w:szCs w:val="20"/>
          <w:rtl/>
        </w:rPr>
        <w:footnoteReference w:id="141"/>
      </w:r>
      <w:r>
        <w:rPr>
          <w:sz w:val="20"/>
          <w:szCs w:val="20"/>
          <w:rtl/>
        </w:rPr>
        <w:br/>
      </w:r>
      <w:r w:rsidRPr="005C5512">
        <w:rPr>
          <w:rFonts w:hint="cs"/>
          <w:sz w:val="20"/>
          <w:szCs w:val="20"/>
          <w:rtl/>
        </w:rPr>
        <w:t xml:space="preserve">הכרעת </w:t>
      </w:r>
      <w:r w:rsidRPr="005C5512">
        <w:rPr>
          <w:rFonts w:hint="cs"/>
          <w:b/>
          <w:bCs/>
          <w:sz w:val="20"/>
          <w:szCs w:val="20"/>
          <w:rtl/>
        </w:rPr>
        <w:t>טהרת הבית</w:t>
      </w:r>
      <w:r w:rsidRPr="009704A4">
        <w:rPr>
          <w:rFonts w:hint="cs"/>
          <w:sz w:val="18"/>
          <w:szCs w:val="18"/>
          <w:rtl/>
        </w:rPr>
        <w:t xml:space="preserve"> (א, ו , ב) </w:t>
      </w:r>
      <w:r>
        <w:rPr>
          <w:sz w:val="20"/>
          <w:szCs w:val="20"/>
          <w:rtl/>
        </w:rPr>
        <w:t>–</w:t>
      </w:r>
      <w:r>
        <w:rPr>
          <w:rFonts w:hint="cs"/>
          <w:sz w:val="20"/>
          <w:szCs w:val="20"/>
          <w:rtl/>
        </w:rPr>
        <w:t xml:space="preserve"> מותר לראות דם גם בשעה שהוא לח, כיוון שאין לדיין אלא מה שעיניו רואות. </w:t>
      </w:r>
      <w:r>
        <w:rPr>
          <w:sz w:val="20"/>
          <w:szCs w:val="20"/>
          <w:rtl/>
        </w:rPr>
        <w:br/>
      </w:r>
      <w:r>
        <w:rPr>
          <w:rFonts w:hint="cs"/>
          <w:sz w:val="20"/>
          <w:szCs w:val="20"/>
          <w:rtl/>
        </w:rPr>
        <w:t xml:space="preserve">ולגבי מראה דם שהשתנה הדין כך </w:t>
      </w:r>
      <w:r>
        <w:rPr>
          <w:sz w:val="20"/>
          <w:szCs w:val="20"/>
          <w:rtl/>
        </w:rPr>
        <w:t>–</w:t>
      </w:r>
      <w:r>
        <w:rPr>
          <w:rFonts w:hint="cs"/>
          <w:sz w:val="20"/>
          <w:szCs w:val="20"/>
          <w:rtl/>
        </w:rPr>
        <w:t xml:space="preserve"> אם היה בראייה ע"י הרגשה יש להחמיר, אך אם היה ע"י בדיקת עד או כתם ללא הרגשה </w:t>
      </w:r>
      <w:r>
        <w:rPr>
          <w:sz w:val="20"/>
          <w:szCs w:val="20"/>
          <w:rtl/>
        </w:rPr>
        <w:t>–</w:t>
      </w:r>
      <w:r>
        <w:rPr>
          <w:rFonts w:hint="cs"/>
          <w:sz w:val="20"/>
          <w:szCs w:val="20"/>
          <w:rtl/>
        </w:rPr>
        <w:t xml:space="preserve"> טהורה.</w:t>
      </w:r>
      <w:r>
        <w:rPr>
          <w:rStyle w:val="a5"/>
          <w:sz w:val="20"/>
          <w:szCs w:val="20"/>
          <w:rtl/>
        </w:rPr>
        <w:footnoteReference w:id="142"/>
      </w:r>
    </w:p>
    <w:p w:rsidR="00620060" w:rsidRDefault="00620060" w:rsidP="00620060">
      <w:pPr>
        <w:rPr>
          <w:sz w:val="20"/>
          <w:szCs w:val="20"/>
          <w:rtl/>
        </w:rPr>
      </w:pPr>
      <w:r>
        <w:rPr>
          <w:rFonts w:hint="cs"/>
          <w:b/>
          <w:bCs/>
          <w:sz w:val="20"/>
          <w:szCs w:val="20"/>
          <w:rtl/>
        </w:rPr>
        <w:lastRenderedPageBreak/>
        <w:t>חומרות תרומת הדשן במראה לבן וירוק</w:t>
      </w:r>
      <w:r>
        <w:rPr>
          <w:b/>
          <w:bCs/>
          <w:sz w:val="20"/>
          <w:szCs w:val="20"/>
          <w:rtl/>
        </w:rPr>
        <w:br/>
      </w:r>
      <w:r>
        <w:rPr>
          <w:rFonts w:hint="cs"/>
          <w:sz w:val="20"/>
          <w:szCs w:val="20"/>
          <w:rtl/>
        </w:rPr>
        <w:t xml:space="preserve">א. מראה דם לבן סמיך ועב </w:t>
      </w:r>
      <w:r>
        <w:rPr>
          <w:sz w:val="20"/>
          <w:szCs w:val="20"/>
          <w:rtl/>
        </w:rPr>
        <w:t>–</w:t>
      </w:r>
      <w:r>
        <w:rPr>
          <w:rFonts w:hint="cs"/>
          <w:sz w:val="20"/>
          <w:szCs w:val="20"/>
          <w:rtl/>
        </w:rPr>
        <w:t xml:space="preserve"> טמא.</w:t>
      </w:r>
      <w:r>
        <w:rPr>
          <w:rFonts w:hint="cs"/>
          <w:sz w:val="20"/>
          <w:szCs w:val="20"/>
          <w:rtl/>
        </w:rPr>
        <w:br/>
      </w:r>
      <w:r w:rsidRPr="007D6BB1">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מפני הטועים שאינם יודעים להבחין בין דם לדם.</w:t>
      </w:r>
      <w:r>
        <w:rPr>
          <w:sz w:val="20"/>
          <w:szCs w:val="20"/>
          <w:rtl/>
        </w:rPr>
        <w:br/>
      </w:r>
      <w:r>
        <w:rPr>
          <w:rFonts w:hint="cs"/>
          <w:sz w:val="20"/>
          <w:szCs w:val="20"/>
          <w:rtl/>
        </w:rPr>
        <w:t xml:space="preserve">ב. הרגישה שנפתח המקור ובדקה עצמה ולא מצאה כלום </w:t>
      </w:r>
      <w:r>
        <w:rPr>
          <w:sz w:val="20"/>
          <w:szCs w:val="20"/>
          <w:rtl/>
        </w:rPr>
        <w:t>–</w:t>
      </w:r>
      <w:r>
        <w:rPr>
          <w:rFonts w:hint="cs"/>
          <w:sz w:val="20"/>
          <w:szCs w:val="20"/>
          <w:rtl/>
        </w:rPr>
        <w:t xml:space="preserve"> טמאה.</w:t>
      </w:r>
      <w:r>
        <w:rPr>
          <w:rFonts w:hint="cs"/>
          <w:sz w:val="20"/>
          <w:szCs w:val="20"/>
          <w:rtl/>
        </w:rPr>
        <w:br/>
      </w:r>
      <w:r w:rsidRPr="001808DA">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הרגשה היא סברה דאורייתא לטמא מחמתה כאשר אין לתלות במראה טהור.</w:t>
      </w:r>
      <w:r>
        <w:rPr>
          <w:sz w:val="20"/>
          <w:szCs w:val="20"/>
          <w:rtl/>
        </w:rPr>
        <w:br/>
      </w:r>
      <w:r w:rsidRPr="00286665">
        <w:rPr>
          <w:rFonts w:hint="cs"/>
          <w:b/>
          <w:bCs/>
          <w:sz w:val="20"/>
          <w:szCs w:val="20"/>
          <w:rtl/>
        </w:rPr>
        <w:t>בית יוסף</w:t>
      </w:r>
      <w:r>
        <w:rPr>
          <w:rFonts w:hint="cs"/>
          <w:sz w:val="20"/>
          <w:szCs w:val="20"/>
          <w:rtl/>
        </w:rPr>
        <w:t xml:space="preserve"> </w:t>
      </w:r>
      <w:r>
        <w:rPr>
          <w:sz w:val="20"/>
          <w:szCs w:val="20"/>
          <w:rtl/>
        </w:rPr>
        <w:t>–</w:t>
      </w:r>
      <w:r>
        <w:rPr>
          <w:rFonts w:hint="cs"/>
          <w:sz w:val="20"/>
          <w:szCs w:val="20"/>
          <w:rtl/>
        </w:rPr>
        <w:t xml:space="preserve"> "ונראה לי שחומרות יתרות הם ולית דחש להו", וכ"כ </w:t>
      </w:r>
      <w:r w:rsidRPr="00C322C3">
        <w:rPr>
          <w:rFonts w:hint="cs"/>
          <w:b/>
          <w:bCs/>
          <w:sz w:val="20"/>
          <w:szCs w:val="20"/>
          <w:rtl/>
        </w:rPr>
        <w:t>הדרכ"מ</w:t>
      </w:r>
      <w:r>
        <w:rPr>
          <w:rFonts w:hint="cs"/>
          <w:sz w:val="20"/>
          <w:szCs w:val="20"/>
          <w:rtl/>
        </w:rPr>
        <w:t>.</w:t>
      </w:r>
      <w:r>
        <w:rPr>
          <w:rFonts w:hint="cs"/>
          <w:sz w:val="20"/>
          <w:szCs w:val="20"/>
          <w:rtl/>
        </w:rPr>
        <w:br/>
      </w:r>
      <w:r w:rsidRPr="00E85983">
        <w:rPr>
          <w:rFonts w:hint="cs"/>
          <w:sz w:val="18"/>
          <w:szCs w:val="18"/>
          <w:rtl/>
        </w:rPr>
        <w:t xml:space="preserve">[אמנם, </w:t>
      </w:r>
      <w:r>
        <w:rPr>
          <w:rFonts w:hint="cs"/>
          <w:sz w:val="18"/>
          <w:szCs w:val="18"/>
          <w:rtl/>
        </w:rPr>
        <w:t xml:space="preserve">בריש סימן קצ' משמע שהמחבר פוסק את </w:t>
      </w:r>
      <w:r w:rsidRPr="00E85983">
        <w:rPr>
          <w:rFonts w:hint="cs"/>
          <w:sz w:val="18"/>
          <w:szCs w:val="18"/>
          <w:rtl/>
        </w:rPr>
        <w:t>חומרת הרגשת פתיחת פי המקור</w:t>
      </w:r>
      <w:r>
        <w:rPr>
          <w:rFonts w:hint="cs"/>
          <w:sz w:val="18"/>
          <w:szCs w:val="18"/>
          <w:rtl/>
        </w:rPr>
        <w:t xml:space="preserve"> אם לא מצאה כלום</w:t>
      </w:r>
      <w:r w:rsidRPr="00E85983">
        <w:rPr>
          <w:rFonts w:hint="cs"/>
          <w:sz w:val="18"/>
          <w:szCs w:val="18"/>
          <w:rtl/>
        </w:rPr>
        <w:t>].</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434268">
        <w:rPr>
          <w:rFonts w:cs="Arial" w:hint="cs"/>
          <w:sz w:val="20"/>
          <w:szCs w:val="20"/>
          <w:rtl/>
        </w:rPr>
        <w:t>ואפילו</w:t>
      </w:r>
      <w:r w:rsidRPr="00434268">
        <w:rPr>
          <w:rFonts w:cs="Arial"/>
          <w:sz w:val="20"/>
          <w:szCs w:val="20"/>
          <w:rtl/>
        </w:rPr>
        <w:t xml:space="preserve"> </w:t>
      </w:r>
      <w:r w:rsidRPr="00434268">
        <w:rPr>
          <w:rFonts w:cs="Arial" w:hint="cs"/>
          <w:sz w:val="20"/>
          <w:szCs w:val="20"/>
          <w:rtl/>
        </w:rPr>
        <w:t>יש</w:t>
      </w:r>
      <w:r w:rsidRPr="00434268">
        <w:rPr>
          <w:rFonts w:cs="Arial"/>
          <w:sz w:val="20"/>
          <w:szCs w:val="20"/>
          <w:rtl/>
        </w:rPr>
        <w:t xml:space="preserve"> </w:t>
      </w:r>
      <w:r w:rsidRPr="00434268">
        <w:rPr>
          <w:rFonts w:cs="Arial" w:hint="cs"/>
          <w:sz w:val="20"/>
          <w:szCs w:val="20"/>
          <w:rtl/>
        </w:rPr>
        <w:t>בו</w:t>
      </w:r>
      <w:r w:rsidRPr="00434268">
        <w:rPr>
          <w:rFonts w:cs="Arial"/>
          <w:sz w:val="20"/>
          <w:szCs w:val="20"/>
          <w:rtl/>
        </w:rPr>
        <w:t xml:space="preserve"> </w:t>
      </w:r>
      <w:r w:rsidRPr="00434268">
        <w:rPr>
          <w:rFonts w:cs="Arial" w:hint="cs"/>
          <w:sz w:val="20"/>
          <w:szCs w:val="20"/>
          <w:rtl/>
        </w:rPr>
        <w:t>סמיכות</w:t>
      </w:r>
      <w:r w:rsidRPr="00434268">
        <w:rPr>
          <w:rFonts w:cs="Arial"/>
          <w:sz w:val="20"/>
          <w:szCs w:val="20"/>
          <w:rtl/>
        </w:rPr>
        <w:t xml:space="preserve"> </w:t>
      </w:r>
      <w:r w:rsidRPr="00434268">
        <w:rPr>
          <w:rFonts w:cs="Arial" w:hint="cs"/>
          <w:sz w:val="20"/>
          <w:szCs w:val="20"/>
          <w:rtl/>
        </w:rPr>
        <w:t>דם</w:t>
      </w:r>
      <w:r w:rsidRPr="00434268">
        <w:rPr>
          <w:rFonts w:cs="Arial"/>
          <w:sz w:val="20"/>
          <w:szCs w:val="20"/>
          <w:rtl/>
        </w:rPr>
        <w:t xml:space="preserve"> </w:t>
      </w:r>
      <w:r w:rsidRPr="00434268">
        <w:rPr>
          <w:rFonts w:cs="Arial" w:hint="cs"/>
          <w:sz w:val="20"/>
          <w:szCs w:val="20"/>
          <w:rtl/>
        </w:rPr>
        <w:t>והוא</w:t>
      </w:r>
      <w:r w:rsidRPr="00434268">
        <w:rPr>
          <w:rFonts w:cs="Arial"/>
          <w:sz w:val="20"/>
          <w:szCs w:val="20"/>
          <w:rtl/>
        </w:rPr>
        <w:t xml:space="preserve"> </w:t>
      </w:r>
      <w:r w:rsidRPr="00434268">
        <w:rPr>
          <w:rFonts w:cs="Arial" w:hint="cs"/>
          <w:sz w:val="20"/>
          <w:szCs w:val="20"/>
          <w:rtl/>
        </w:rPr>
        <w:t>עב</w:t>
      </w:r>
      <w:r w:rsidRPr="00434268">
        <w:rPr>
          <w:rFonts w:cs="Arial"/>
          <w:sz w:val="20"/>
          <w:szCs w:val="20"/>
          <w:rtl/>
        </w:rPr>
        <w:t xml:space="preserve"> </w:t>
      </w:r>
      <w:r w:rsidRPr="00434268">
        <w:rPr>
          <w:rFonts w:cs="Arial" w:hint="cs"/>
          <w:sz w:val="20"/>
          <w:szCs w:val="20"/>
          <w:rtl/>
        </w:rPr>
        <w:t>הרבה</w:t>
      </w:r>
      <w:r w:rsidRPr="00434268">
        <w:rPr>
          <w:rFonts w:cs="Arial"/>
          <w:sz w:val="20"/>
          <w:szCs w:val="20"/>
          <w:rtl/>
        </w:rPr>
        <w:t xml:space="preserve">, </w:t>
      </w:r>
      <w:r w:rsidRPr="00434268">
        <w:rPr>
          <w:rFonts w:cs="Arial" w:hint="cs"/>
          <w:sz w:val="20"/>
          <w:szCs w:val="20"/>
          <w:rtl/>
        </w:rPr>
        <w:t>ואפילו</w:t>
      </w:r>
      <w:r w:rsidRPr="00434268">
        <w:rPr>
          <w:rFonts w:cs="Arial"/>
          <w:sz w:val="20"/>
          <w:szCs w:val="20"/>
          <w:rtl/>
        </w:rPr>
        <w:t xml:space="preserve"> </w:t>
      </w:r>
      <w:r w:rsidRPr="00434268">
        <w:rPr>
          <w:rFonts w:cs="Arial" w:hint="cs"/>
          <w:sz w:val="20"/>
          <w:szCs w:val="20"/>
          <w:rtl/>
        </w:rPr>
        <w:t>הרגישה</w:t>
      </w:r>
      <w:r w:rsidRPr="00434268">
        <w:rPr>
          <w:rFonts w:cs="Arial"/>
          <w:sz w:val="20"/>
          <w:szCs w:val="20"/>
          <w:rtl/>
        </w:rPr>
        <w:t xml:space="preserve"> </w:t>
      </w:r>
      <w:r w:rsidRPr="00434268">
        <w:rPr>
          <w:rFonts w:cs="Arial" w:hint="cs"/>
          <w:sz w:val="20"/>
          <w:szCs w:val="20"/>
          <w:rtl/>
        </w:rPr>
        <w:t>שנפתח</w:t>
      </w:r>
      <w:r w:rsidRPr="00434268">
        <w:rPr>
          <w:rFonts w:cs="Arial"/>
          <w:sz w:val="20"/>
          <w:szCs w:val="20"/>
          <w:rtl/>
        </w:rPr>
        <w:t xml:space="preserve"> </w:t>
      </w:r>
      <w:r w:rsidRPr="00434268">
        <w:rPr>
          <w:rFonts w:cs="Arial" w:hint="cs"/>
          <w:sz w:val="20"/>
          <w:szCs w:val="20"/>
          <w:rtl/>
        </w:rPr>
        <w:t>מקורה</w:t>
      </w:r>
      <w:r w:rsidRPr="00434268">
        <w:rPr>
          <w:rFonts w:cs="Arial"/>
          <w:sz w:val="20"/>
          <w:szCs w:val="20"/>
          <w:rtl/>
        </w:rPr>
        <w:t xml:space="preserve">, </w:t>
      </w:r>
      <w:r w:rsidRPr="00434268">
        <w:rPr>
          <w:rFonts w:cs="Arial" w:hint="cs"/>
          <w:sz w:val="20"/>
          <w:szCs w:val="20"/>
          <w:rtl/>
        </w:rPr>
        <w:t>ובדקה</w:t>
      </w:r>
      <w:r w:rsidRPr="00434268">
        <w:rPr>
          <w:rFonts w:cs="Arial"/>
          <w:sz w:val="20"/>
          <w:szCs w:val="20"/>
          <w:rtl/>
        </w:rPr>
        <w:t xml:space="preserve"> </w:t>
      </w:r>
      <w:r w:rsidRPr="00434268">
        <w:rPr>
          <w:rFonts w:cs="Arial" w:hint="cs"/>
          <w:sz w:val="20"/>
          <w:szCs w:val="20"/>
          <w:rtl/>
        </w:rPr>
        <w:t>מיד</w:t>
      </w:r>
      <w:r w:rsidRPr="00434268">
        <w:rPr>
          <w:rFonts w:cs="Arial"/>
          <w:sz w:val="20"/>
          <w:szCs w:val="20"/>
          <w:rtl/>
        </w:rPr>
        <w:t xml:space="preserve"> </w:t>
      </w:r>
      <w:r w:rsidRPr="00434268">
        <w:rPr>
          <w:rFonts w:cs="Arial" w:hint="cs"/>
          <w:sz w:val="20"/>
          <w:szCs w:val="20"/>
          <w:rtl/>
        </w:rPr>
        <w:t>ומצאה</w:t>
      </w:r>
      <w:r w:rsidRPr="00434268">
        <w:rPr>
          <w:rFonts w:cs="Arial"/>
          <w:sz w:val="20"/>
          <w:szCs w:val="20"/>
          <w:rtl/>
        </w:rPr>
        <w:t xml:space="preserve"> </w:t>
      </w:r>
      <w:r w:rsidRPr="00434268">
        <w:rPr>
          <w:rFonts w:cs="Arial" w:hint="cs"/>
          <w:sz w:val="20"/>
          <w:szCs w:val="20"/>
          <w:rtl/>
        </w:rPr>
        <w:t>מראות</w:t>
      </w:r>
      <w:r w:rsidRPr="00434268">
        <w:rPr>
          <w:rFonts w:cs="Arial"/>
          <w:sz w:val="20"/>
          <w:szCs w:val="20"/>
          <w:rtl/>
        </w:rPr>
        <w:t xml:space="preserve"> </w:t>
      </w:r>
      <w:r w:rsidRPr="00434268">
        <w:rPr>
          <w:rFonts w:cs="Arial" w:hint="cs"/>
          <w:sz w:val="20"/>
          <w:szCs w:val="20"/>
          <w:rtl/>
        </w:rPr>
        <w:t>הללו</w:t>
      </w:r>
      <w:r w:rsidRPr="00434268">
        <w:rPr>
          <w:rFonts w:cs="Arial"/>
          <w:sz w:val="20"/>
          <w:szCs w:val="20"/>
          <w:rtl/>
        </w:rPr>
        <w:t xml:space="preserve">, </w:t>
      </w:r>
      <w:r w:rsidRPr="00434268">
        <w:rPr>
          <w:rFonts w:cs="Arial" w:hint="cs"/>
          <w:sz w:val="20"/>
          <w:szCs w:val="20"/>
          <w:rtl/>
        </w:rPr>
        <w:t>טהורה</w:t>
      </w:r>
      <w:r>
        <w:rPr>
          <w:rFonts w:cs="Arial" w:hint="cs"/>
          <w:sz w:val="20"/>
          <w:szCs w:val="20"/>
          <w:rtl/>
        </w:rPr>
        <w:t xml:space="preserve">. </w:t>
      </w:r>
      <w:r w:rsidRPr="00434268">
        <w:rPr>
          <w:rFonts w:cs="Arial" w:hint="cs"/>
          <w:sz w:val="18"/>
          <w:szCs w:val="18"/>
          <w:rtl/>
        </w:rPr>
        <w:t>הגה</w:t>
      </w:r>
      <w:r w:rsidRPr="00434268">
        <w:rPr>
          <w:rFonts w:cs="Arial"/>
          <w:sz w:val="18"/>
          <w:szCs w:val="18"/>
          <w:rtl/>
        </w:rPr>
        <w:t xml:space="preserve">: </w:t>
      </w:r>
      <w:r w:rsidRPr="00434268">
        <w:rPr>
          <w:rFonts w:cs="Arial" w:hint="cs"/>
          <w:sz w:val="18"/>
          <w:szCs w:val="18"/>
          <w:rtl/>
        </w:rPr>
        <w:t>וכן</w:t>
      </w:r>
      <w:r w:rsidRPr="00434268">
        <w:rPr>
          <w:rFonts w:cs="Arial"/>
          <w:sz w:val="18"/>
          <w:szCs w:val="18"/>
          <w:rtl/>
        </w:rPr>
        <w:t xml:space="preserve"> </w:t>
      </w:r>
      <w:r w:rsidRPr="00434268">
        <w:rPr>
          <w:rFonts w:cs="Arial" w:hint="cs"/>
          <w:sz w:val="18"/>
          <w:szCs w:val="18"/>
          <w:rtl/>
        </w:rPr>
        <w:t>עיקר, דלא</w:t>
      </w:r>
      <w:r w:rsidRPr="00434268">
        <w:rPr>
          <w:rFonts w:cs="Arial"/>
          <w:sz w:val="18"/>
          <w:szCs w:val="18"/>
          <w:rtl/>
        </w:rPr>
        <w:t xml:space="preserve"> </w:t>
      </w:r>
      <w:r w:rsidRPr="00434268">
        <w:rPr>
          <w:rFonts w:cs="Arial" w:hint="cs"/>
          <w:sz w:val="18"/>
          <w:szCs w:val="18"/>
          <w:rtl/>
        </w:rPr>
        <w:t>כיש</w:t>
      </w:r>
      <w:r w:rsidRPr="00434268">
        <w:rPr>
          <w:rFonts w:cs="Arial"/>
          <w:sz w:val="18"/>
          <w:szCs w:val="18"/>
          <w:rtl/>
        </w:rPr>
        <w:t xml:space="preserve"> </w:t>
      </w:r>
      <w:r w:rsidRPr="00434268">
        <w:rPr>
          <w:rFonts w:cs="Arial" w:hint="cs"/>
          <w:sz w:val="18"/>
          <w:szCs w:val="18"/>
          <w:rtl/>
        </w:rPr>
        <w:t>מחמירין</w:t>
      </w:r>
      <w:r w:rsidRPr="00434268">
        <w:rPr>
          <w:rFonts w:cs="Arial"/>
          <w:sz w:val="18"/>
          <w:szCs w:val="18"/>
          <w:rtl/>
        </w:rPr>
        <w:t xml:space="preserve"> </w:t>
      </w:r>
      <w:r w:rsidRPr="00434268">
        <w:rPr>
          <w:rFonts w:cs="Arial" w:hint="cs"/>
          <w:sz w:val="18"/>
          <w:szCs w:val="18"/>
          <w:rtl/>
        </w:rPr>
        <w:t>לטמאה</w:t>
      </w:r>
      <w:r w:rsidRPr="00434268">
        <w:rPr>
          <w:rFonts w:cs="Arial"/>
          <w:sz w:val="18"/>
          <w:szCs w:val="18"/>
          <w:rtl/>
        </w:rPr>
        <w:t xml:space="preserve"> </w:t>
      </w:r>
      <w:r w:rsidRPr="00434268">
        <w:rPr>
          <w:rFonts w:cs="Arial" w:hint="cs"/>
          <w:sz w:val="18"/>
          <w:szCs w:val="18"/>
          <w:rtl/>
        </w:rPr>
        <w:t>אם</w:t>
      </w:r>
      <w:r w:rsidRPr="00434268">
        <w:rPr>
          <w:rFonts w:cs="Arial"/>
          <w:sz w:val="18"/>
          <w:szCs w:val="18"/>
          <w:rtl/>
        </w:rPr>
        <w:t xml:space="preserve"> </w:t>
      </w:r>
      <w:r w:rsidRPr="00434268">
        <w:rPr>
          <w:rFonts w:cs="Arial" w:hint="cs"/>
          <w:sz w:val="18"/>
          <w:szCs w:val="18"/>
          <w:rtl/>
        </w:rPr>
        <w:t>יש</w:t>
      </w:r>
      <w:r w:rsidRPr="00434268">
        <w:rPr>
          <w:rFonts w:cs="Arial"/>
          <w:sz w:val="18"/>
          <w:szCs w:val="18"/>
          <w:rtl/>
        </w:rPr>
        <w:t xml:space="preserve"> </w:t>
      </w:r>
      <w:r w:rsidRPr="00434268">
        <w:rPr>
          <w:rFonts w:cs="Arial" w:hint="cs"/>
          <w:sz w:val="18"/>
          <w:szCs w:val="18"/>
          <w:rtl/>
        </w:rPr>
        <w:t>בו</w:t>
      </w:r>
      <w:r w:rsidRPr="00434268">
        <w:rPr>
          <w:rFonts w:cs="Arial"/>
          <w:sz w:val="18"/>
          <w:szCs w:val="18"/>
          <w:rtl/>
        </w:rPr>
        <w:t xml:space="preserve"> </w:t>
      </w:r>
      <w:r w:rsidRPr="00434268">
        <w:rPr>
          <w:rFonts w:cs="Arial" w:hint="cs"/>
          <w:sz w:val="18"/>
          <w:szCs w:val="18"/>
          <w:rtl/>
        </w:rPr>
        <w:t>סמיכות</w:t>
      </w:r>
      <w:r w:rsidRPr="00434268">
        <w:rPr>
          <w:rFonts w:cs="Arial"/>
          <w:sz w:val="18"/>
          <w:szCs w:val="18"/>
          <w:rtl/>
        </w:rPr>
        <w:t xml:space="preserve"> </w:t>
      </w:r>
      <w:r w:rsidRPr="00434268">
        <w:rPr>
          <w:rFonts w:cs="Arial" w:hint="cs"/>
          <w:sz w:val="18"/>
          <w:szCs w:val="18"/>
          <w:rtl/>
        </w:rPr>
        <w:t>והוא</w:t>
      </w:r>
      <w:r w:rsidRPr="00434268">
        <w:rPr>
          <w:rFonts w:cs="Arial"/>
          <w:sz w:val="18"/>
          <w:szCs w:val="18"/>
          <w:rtl/>
        </w:rPr>
        <w:t xml:space="preserve"> </w:t>
      </w:r>
      <w:r w:rsidRPr="00434268">
        <w:rPr>
          <w:rFonts w:cs="Arial" w:hint="cs"/>
          <w:sz w:val="18"/>
          <w:szCs w:val="18"/>
          <w:rtl/>
        </w:rPr>
        <w:t>עב</w:t>
      </w:r>
      <w:r w:rsidRPr="00434268">
        <w:rPr>
          <w:rFonts w:cs="Arial"/>
          <w:sz w:val="18"/>
          <w:szCs w:val="18"/>
          <w:rtl/>
        </w:rPr>
        <w:t>. (</w:t>
      </w:r>
      <w:r w:rsidRPr="00434268">
        <w:rPr>
          <w:rFonts w:cs="Arial" w:hint="cs"/>
          <w:sz w:val="18"/>
          <w:szCs w:val="18"/>
          <w:rtl/>
        </w:rPr>
        <w:t>ואם</w:t>
      </w:r>
      <w:r w:rsidRPr="00434268">
        <w:rPr>
          <w:rFonts w:cs="Arial"/>
          <w:sz w:val="18"/>
          <w:szCs w:val="18"/>
          <w:rtl/>
        </w:rPr>
        <w:t xml:space="preserve"> </w:t>
      </w:r>
      <w:r w:rsidRPr="00434268">
        <w:rPr>
          <w:rFonts w:cs="Arial" w:hint="cs"/>
          <w:sz w:val="18"/>
          <w:szCs w:val="18"/>
          <w:rtl/>
        </w:rPr>
        <w:t>הרגישה</w:t>
      </w:r>
      <w:r w:rsidRPr="00434268">
        <w:rPr>
          <w:rFonts w:cs="Arial"/>
          <w:sz w:val="18"/>
          <w:szCs w:val="18"/>
          <w:rtl/>
        </w:rPr>
        <w:t xml:space="preserve"> </w:t>
      </w:r>
      <w:r w:rsidRPr="00434268">
        <w:rPr>
          <w:rFonts w:cs="Arial" w:hint="cs"/>
          <w:sz w:val="18"/>
          <w:szCs w:val="18"/>
          <w:rtl/>
        </w:rPr>
        <w:t>שנפתח</w:t>
      </w:r>
      <w:r w:rsidRPr="00434268">
        <w:rPr>
          <w:rFonts w:cs="Arial"/>
          <w:sz w:val="18"/>
          <w:szCs w:val="18"/>
          <w:rtl/>
        </w:rPr>
        <w:t xml:space="preserve"> </w:t>
      </w:r>
      <w:r w:rsidRPr="00434268">
        <w:rPr>
          <w:rFonts w:cs="Arial" w:hint="cs"/>
          <w:sz w:val="18"/>
          <w:szCs w:val="18"/>
          <w:rtl/>
        </w:rPr>
        <w:t>מקורה</w:t>
      </w:r>
      <w:r w:rsidRPr="00434268">
        <w:rPr>
          <w:rFonts w:cs="Arial"/>
          <w:sz w:val="18"/>
          <w:szCs w:val="18"/>
          <w:rtl/>
        </w:rPr>
        <w:t xml:space="preserve">, </w:t>
      </w:r>
      <w:r w:rsidRPr="00434268">
        <w:rPr>
          <w:rFonts w:cs="Arial" w:hint="cs"/>
          <w:sz w:val="18"/>
          <w:szCs w:val="18"/>
          <w:rtl/>
        </w:rPr>
        <w:t>ובדקה</w:t>
      </w:r>
      <w:r w:rsidRPr="00434268">
        <w:rPr>
          <w:rFonts w:cs="Arial"/>
          <w:sz w:val="18"/>
          <w:szCs w:val="18"/>
          <w:rtl/>
        </w:rPr>
        <w:t xml:space="preserve"> </w:t>
      </w:r>
      <w:r w:rsidRPr="00434268">
        <w:rPr>
          <w:rFonts w:cs="Arial" w:hint="cs"/>
          <w:sz w:val="18"/>
          <w:szCs w:val="18"/>
          <w:rtl/>
        </w:rPr>
        <w:t>מיד</w:t>
      </w:r>
      <w:r w:rsidRPr="00434268">
        <w:rPr>
          <w:rFonts w:cs="Arial"/>
          <w:sz w:val="18"/>
          <w:szCs w:val="18"/>
          <w:rtl/>
        </w:rPr>
        <w:t xml:space="preserve"> </w:t>
      </w:r>
      <w:r w:rsidRPr="00434268">
        <w:rPr>
          <w:rFonts w:cs="Arial" w:hint="cs"/>
          <w:sz w:val="18"/>
          <w:szCs w:val="18"/>
          <w:rtl/>
        </w:rPr>
        <w:t>ולא</w:t>
      </w:r>
      <w:r w:rsidRPr="00434268">
        <w:rPr>
          <w:rFonts w:cs="Arial"/>
          <w:sz w:val="18"/>
          <w:szCs w:val="18"/>
          <w:rtl/>
        </w:rPr>
        <w:t xml:space="preserve"> </w:t>
      </w:r>
      <w:r w:rsidRPr="00434268">
        <w:rPr>
          <w:rFonts w:cs="Arial" w:hint="cs"/>
          <w:sz w:val="18"/>
          <w:szCs w:val="18"/>
          <w:rtl/>
        </w:rPr>
        <w:t>מצאה</w:t>
      </w:r>
      <w:r w:rsidRPr="00434268">
        <w:rPr>
          <w:rFonts w:cs="Arial"/>
          <w:sz w:val="18"/>
          <w:szCs w:val="18"/>
          <w:rtl/>
        </w:rPr>
        <w:t xml:space="preserve"> </w:t>
      </w:r>
      <w:r w:rsidRPr="00434268">
        <w:rPr>
          <w:rFonts w:cs="Arial" w:hint="cs"/>
          <w:sz w:val="18"/>
          <w:szCs w:val="18"/>
          <w:rtl/>
        </w:rPr>
        <w:t>כלום</w:t>
      </w:r>
      <w:r w:rsidRPr="00434268">
        <w:rPr>
          <w:rFonts w:cs="Arial"/>
          <w:sz w:val="18"/>
          <w:szCs w:val="18"/>
          <w:rtl/>
        </w:rPr>
        <w:t>,</w:t>
      </w:r>
      <w:r w:rsidRPr="00434268">
        <w:rPr>
          <w:rFonts w:hint="cs"/>
          <w:sz w:val="20"/>
          <w:szCs w:val="20"/>
          <w:rtl/>
        </w:rPr>
        <w:t xml:space="preserve"> </w:t>
      </w:r>
      <w:r w:rsidRPr="00434268">
        <w:rPr>
          <w:rFonts w:cs="Arial" w:hint="cs"/>
          <w:sz w:val="18"/>
          <w:szCs w:val="18"/>
          <w:rtl/>
        </w:rPr>
        <w:t>ע</w:t>
      </w:r>
      <w:r w:rsidRPr="00434268">
        <w:rPr>
          <w:rFonts w:cs="Arial"/>
          <w:sz w:val="18"/>
          <w:szCs w:val="18"/>
          <w:rtl/>
        </w:rPr>
        <w:t>"</w:t>
      </w:r>
      <w:r w:rsidRPr="00434268">
        <w:rPr>
          <w:rFonts w:cs="Arial" w:hint="cs"/>
          <w:sz w:val="18"/>
          <w:szCs w:val="18"/>
          <w:rtl/>
        </w:rPr>
        <w:t>ל</w:t>
      </w:r>
      <w:r w:rsidRPr="00434268">
        <w:rPr>
          <w:rFonts w:cs="Arial"/>
          <w:sz w:val="18"/>
          <w:szCs w:val="18"/>
          <w:rtl/>
        </w:rPr>
        <w:t xml:space="preserve"> </w:t>
      </w:r>
      <w:r w:rsidRPr="00434268">
        <w:rPr>
          <w:rFonts w:cs="Arial" w:hint="cs"/>
          <w:sz w:val="18"/>
          <w:szCs w:val="18"/>
          <w:rtl/>
        </w:rPr>
        <w:t>סימן</w:t>
      </w:r>
      <w:r w:rsidRPr="00434268">
        <w:rPr>
          <w:rFonts w:cs="Arial"/>
          <w:sz w:val="18"/>
          <w:szCs w:val="18"/>
          <w:rtl/>
        </w:rPr>
        <w:t xml:space="preserve"> </w:t>
      </w:r>
      <w:r w:rsidRPr="00434268">
        <w:rPr>
          <w:rFonts w:cs="Arial" w:hint="cs"/>
          <w:sz w:val="18"/>
          <w:szCs w:val="18"/>
          <w:rtl/>
        </w:rPr>
        <w:t>ק</w:t>
      </w:r>
      <w:r w:rsidRPr="00434268">
        <w:rPr>
          <w:rFonts w:cs="Arial"/>
          <w:sz w:val="18"/>
          <w:szCs w:val="18"/>
          <w:rtl/>
        </w:rPr>
        <w:t>"</w:t>
      </w:r>
      <w:r w:rsidRPr="00434268">
        <w:rPr>
          <w:rFonts w:cs="Arial" w:hint="cs"/>
          <w:sz w:val="18"/>
          <w:szCs w:val="18"/>
          <w:rtl/>
        </w:rPr>
        <w:t>ץ</w:t>
      </w:r>
      <w:r>
        <w:rPr>
          <w:rStyle w:val="a5"/>
          <w:rFonts w:cs="Arial"/>
          <w:sz w:val="18"/>
          <w:szCs w:val="18"/>
          <w:rtl/>
        </w:rPr>
        <w:footnoteReference w:id="143"/>
      </w:r>
      <w:r w:rsidRPr="00434268">
        <w:rPr>
          <w:rFonts w:cs="Arial"/>
          <w:sz w:val="18"/>
          <w:szCs w:val="18"/>
          <w:rtl/>
        </w:rPr>
        <w:t>)</w:t>
      </w:r>
      <w:r w:rsidRPr="00C56A07">
        <w:rPr>
          <w:rFonts w:hint="cs"/>
          <w:sz w:val="20"/>
          <w:szCs w:val="20"/>
          <w:rtl/>
        </w:rPr>
        <w:t>".</w:t>
      </w:r>
      <w:r>
        <w:rPr>
          <w:rFonts w:hint="cs"/>
          <w:sz w:val="20"/>
          <w:szCs w:val="20"/>
          <w:rtl/>
        </w:rPr>
        <w:br/>
      </w:r>
      <w:r>
        <w:rPr>
          <w:rFonts w:hint="cs"/>
          <w:sz w:val="20"/>
          <w:szCs w:val="20"/>
          <w:rtl/>
        </w:rPr>
        <w:br/>
      </w:r>
      <w:r>
        <w:rPr>
          <w:rFonts w:hint="cs"/>
          <w:sz w:val="20"/>
          <w:szCs w:val="20"/>
          <w:u w:val="single"/>
          <w:rtl/>
        </w:rPr>
        <w:t xml:space="preserve">מראה אפור </w:t>
      </w:r>
      <w:r>
        <w:rPr>
          <w:sz w:val="20"/>
          <w:szCs w:val="20"/>
          <w:rtl/>
        </w:rPr>
        <w:br/>
      </w:r>
      <w:r w:rsidRPr="00E700E0">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מבואר בב"י שאפילו אין המראה לבן לגמרי אלא כמראה בגד לבן מאובק </w:t>
      </w:r>
      <w:r>
        <w:rPr>
          <w:rFonts w:hint="cs"/>
          <w:sz w:val="18"/>
          <w:szCs w:val="18"/>
          <w:rtl/>
        </w:rPr>
        <w:t>(כהה)</w:t>
      </w:r>
      <w:r>
        <w:rPr>
          <w:rFonts w:hint="cs"/>
          <w:sz w:val="20"/>
          <w:szCs w:val="20"/>
          <w:rtl/>
        </w:rPr>
        <w:t xml:space="preserve">, אפילו הכי טהור. </w:t>
      </w:r>
      <w:r>
        <w:rPr>
          <w:sz w:val="20"/>
          <w:szCs w:val="20"/>
          <w:rtl/>
        </w:rPr>
        <w:br/>
      </w:r>
      <w:r w:rsidRPr="00E700E0">
        <w:rPr>
          <w:rFonts w:hint="cs"/>
          <w:b/>
          <w:bCs/>
          <w:sz w:val="20"/>
          <w:szCs w:val="20"/>
          <w:rtl/>
        </w:rPr>
        <w:t xml:space="preserve">טעם </w:t>
      </w:r>
      <w:r>
        <w:rPr>
          <w:sz w:val="20"/>
          <w:szCs w:val="20"/>
          <w:rtl/>
        </w:rPr>
        <w:t>–</w:t>
      </w:r>
      <w:r>
        <w:rPr>
          <w:rFonts w:hint="cs"/>
          <w:sz w:val="20"/>
          <w:szCs w:val="20"/>
          <w:rtl/>
        </w:rPr>
        <w:t xml:space="preserve"> אין שחרורית זאת באה ממראה אדום שלקה. </w:t>
      </w:r>
      <w:r>
        <w:rPr>
          <w:sz w:val="20"/>
          <w:szCs w:val="20"/>
          <w:rtl/>
        </w:rPr>
        <w:br/>
      </w:r>
      <w:r>
        <w:rPr>
          <w:rFonts w:hint="cs"/>
          <w:sz w:val="20"/>
          <w:szCs w:val="20"/>
          <w:rtl/>
        </w:rPr>
        <w:t xml:space="preserve">וכן פסק בספר </w:t>
      </w:r>
      <w:r w:rsidRPr="00FA7DB3">
        <w:rPr>
          <w:rFonts w:hint="cs"/>
          <w:b/>
          <w:bCs/>
          <w:sz w:val="20"/>
          <w:szCs w:val="20"/>
          <w:rtl/>
        </w:rPr>
        <w:t>טהרת הבית</w:t>
      </w:r>
      <w:r>
        <w:rPr>
          <w:rFonts w:hint="cs"/>
          <w:sz w:val="20"/>
          <w:szCs w:val="20"/>
          <w:rtl/>
        </w:rPr>
        <w:t>, שמראה אפור טהור.</w:t>
      </w:r>
    </w:p>
    <w:p w:rsidR="00620060" w:rsidRDefault="00620060" w:rsidP="00620060">
      <w:pPr>
        <w:rPr>
          <w:sz w:val="20"/>
          <w:szCs w:val="20"/>
          <w:rtl/>
        </w:rPr>
      </w:pPr>
      <w:r>
        <w:rPr>
          <w:rFonts w:hint="cs"/>
          <w:sz w:val="20"/>
          <w:szCs w:val="20"/>
          <w:u w:val="single"/>
          <w:rtl/>
        </w:rPr>
        <w:t>נראה בלילה טמא וביום טהור (פת"ש)</w:t>
      </w:r>
      <w:r>
        <w:rPr>
          <w:rFonts w:hint="cs"/>
          <w:sz w:val="20"/>
          <w:szCs w:val="20"/>
          <w:u w:val="single"/>
          <w:rtl/>
        </w:rPr>
        <w:br/>
      </w:r>
      <w:r w:rsidRPr="000E047F">
        <w:rPr>
          <w:rFonts w:hint="cs"/>
          <w:b/>
          <w:bCs/>
          <w:sz w:val="20"/>
          <w:szCs w:val="20"/>
          <w:rtl/>
        </w:rPr>
        <w:t>גבעת שאול</w:t>
      </w:r>
      <w:r>
        <w:rPr>
          <w:rFonts w:hint="cs"/>
          <w:sz w:val="20"/>
          <w:szCs w:val="20"/>
          <w:rtl/>
        </w:rPr>
        <w:t xml:space="preserve"> </w:t>
      </w:r>
      <w:r>
        <w:rPr>
          <w:sz w:val="20"/>
          <w:szCs w:val="20"/>
          <w:rtl/>
        </w:rPr>
        <w:t>–</w:t>
      </w:r>
      <w:r>
        <w:rPr>
          <w:rFonts w:hint="cs"/>
          <w:sz w:val="20"/>
          <w:szCs w:val="20"/>
          <w:rtl/>
        </w:rPr>
        <w:t xml:space="preserve"> דם שנראה בלילה טמא וביום טהור </w:t>
      </w:r>
      <w:r>
        <w:rPr>
          <w:sz w:val="20"/>
          <w:szCs w:val="20"/>
          <w:rtl/>
        </w:rPr>
        <w:t>–</w:t>
      </w:r>
      <w:r>
        <w:rPr>
          <w:rFonts w:hint="cs"/>
          <w:sz w:val="20"/>
          <w:szCs w:val="20"/>
          <w:rtl/>
        </w:rPr>
        <w:t xml:space="preserve"> טהור.</w:t>
      </w:r>
      <w:r>
        <w:rPr>
          <w:rFonts w:hint="cs"/>
          <w:sz w:val="20"/>
          <w:szCs w:val="20"/>
          <w:rtl/>
        </w:rPr>
        <w:br/>
        <w:t xml:space="preserve">מעירים האחרונים - </w:t>
      </w:r>
      <w:r>
        <w:rPr>
          <w:sz w:val="20"/>
          <w:szCs w:val="20"/>
          <w:rtl/>
        </w:rPr>
        <w:br/>
      </w:r>
      <w:r w:rsidRPr="000E047F">
        <w:rPr>
          <w:rFonts w:hint="cs"/>
          <w:b/>
          <w:bCs/>
          <w:sz w:val="20"/>
          <w:szCs w:val="20"/>
          <w:rtl/>
        </w:rPr>
        <w:t>לבושי שרד</w:t>
      </w:r>
      <w:r>
        <w:rPr>
          <w:rFonts w:hint="cs"/>
          <w:sz w:val="20"/>
          <w:szCs w:val="20"/>
          <w:rtl/>
        </w:rPr>
        <w:t xml:space="preserve"> </w:t>
      </w:r>
      <w:r>
        <w:rPr>
          <w:sz w:val="20"/>
          <w:szCs w:val="20"/>
          <w:rtl/>
        </w:rPr>
        <w:t>–</w:t>
      </w:r>
      <w:r>
        <w:rPr>
          <w:rFonts w:hint="cs"/>
          <w:sz w:val="20"/>
          <w:szCs w:val="20"/>
          <w:rtl/>
        </w:rPr>
        <w:t xml:space="preserve"> אם ראהו אח"כ ביום שנית ונשתנה ממראהו האחרון </w:t>
      </w:r>
      <w:r>
        <w:rPr>
          <w:sz w:val="20"/>
          <w:szCs w:val="20"/>
          <w:rtl/>
        </w:rPr>
        <w:t>–</w:t>
      </w:r>
      <w:r>
        <w:rPr>
          <w:rFonts w:hint="cs"/>
          <w:sz w:val="20"/>
          <w:szCs w:val="20"/>
          <w:rtl/>
        </w:rPr>
        <w:t xml:space="preserve"> טמא.</w:t>
      </w:r>
      <w:r>
        <w:rPr>
          <w:sz w:val="20"/>
          <w:szCs w:val="20"/>
          <w:rtl/>
        </w:rPr>
        <w:br/>
      </w:r>
      <w:r w:rsidRPr="000E047F">
        <w:rPr>
          <w:rFonts w:hint="cs"/>
          <w:b/>
          <w:bCs/>
          <w:sz w:val="20"/>
          <w:szCs w:val="20"/>
          <w:rtl/>
        </w:rPr>
        <w:t>סדרי טהרה</w:t>
      </w:r>
      <w:r>
        <w:rPr>
          <w:rFonts w:hint="cs"/>
          <w:sz w:val="20"/>
          <w:szCs w:val="20"/>
          <w:rtl/>
        </w:rPr>
        <w:t xml:space="preserve"> </w:t>
      </w:r>
      <w:r>
        <w:rPr>
          <w:sz w:val="20"/>
          <w:szCs w:val="20"/>
          <w:rtl/>
        </w:rPr>
        <w:t>–</w:t>
      </w:r>
      <w:r>
        <w:rPr>
          <w:rFonts w:hint="cs"/>
          <w:sz w:val="20"/>
          <w:szCs w:val="20"/>
          <w:rtl/>
        </w:rPr>
        <w:t xml:space="preserve"> דווקא אם בלילה הסתפק, אך אם בלילה היה</w:t>
      </w:r>
      <w:r w:rsidRPr="00F77750">
        <w:rPr>
          <w:rFonts w:hint="cs"/>
          <w:sz w:val="20"/>
          <w:szCs w:val="20"/>
          <w:rtl/>
        </w:rPr>
        <w:t xml:space="preserve"> </w:t>
      </w:r>
      <w:r>
        <w:rPr>
          <w:rFonts w:hint="cs"/>
          <w:sz w:val="20"/>
          <w:szCs w:val="20"/>
          <w:rtl/>
        </w:rPr>
        <w:t xml:space="preserve">ודאי טמא </w:t>
      </w:r>
      <w:r>
        <w:rPr>
          <w:sz w:val="20"/>
          <w:szCs w:val="20"/>
          <w:rtl/>
        </w:rPr>
        <w:t>–</w:t>
      </w:r>
      <w:r>
        <w:rPr>
          <w:rFonts w:hint="cs"/>
          <w:sz w:val="20"/>
          <w:szCs w:val="20"/>
          <w:rtl/>
        </w:rPr>
        <w:t xml:space="preserve"> טמא, אע"פ שביום נראה טהור.</w:t>
      </w:r>
      <w:r>
        <w:rPr>
          <w:rStyle w:val="a5"/>
          <w:sz w:val="20"/>
          <w:szCs w:val="20"/>
          <w:rtl/>
        </w:rPr>
        <w:footnoteReference w:id="144"/>
      </w:r>
    </w:p>
    <w:p w:rsidR="00620060" w:rsidRDefault="00620060" w:rsidP="00620060">
      <w:pPr>
        <w:rPr>
          <w:sz w:val="20"/>
          <w:szCs w:val="20"/>
          <w:rtl/>
        </w:rPr>
      </w:pPr>
      <w:r>
        <w:rPr>
          <w:rFonts w:hint="cs"/>
          <w:sz w:val="20"/>
          <w:szCs w:val="20"/>
          <w:u w:val="single"/>
          <w:rtl/>
        </w:rPr>
        <w:t>צבע חום (פת"ש וטה"ב)</w:t>
      </w:r>
      <w:r>
        <w:rPr>
          <w:sz w:val="20"/>
          <w:szCs w:val="20"/>
          <w:u w:val="single"/>
          <w:rtl/>
        </w:rPr>
        <w:br/>
      </w:r>
      <w:r>
        <w:rPr>
          <w:rFonts w:hint="cs"/>
          <w:sz w:val="20"/>
          <w:szCs w:val="20"/>
          <w:rtl/>
        </w:rPr>
        <w:t>מה דין דם בצבע חום?</w:t>
      </w:r>
      <w:r>
        <w:rPr>
          <w:rFonts w:hint="cs"/>
          <w:sz w:val="20"/>
          <w:szCs w:val="20"/>
          <w:u w:val="single"/>
          <w:rtl/>
        </w:rPr>
        <w:br/>
      </w:r>
      <w:r>
        <w:rPr>
          <w:rFonts w:hint="cs"/>
          <w:sz w:val="20"/>
          <w:szCs w:val="20"/>
          <w:rtl/>
        </w:rPr>
        <w:t xml:space="preserve">א. </w:t>
      </w:r>
      <w:r w:rsidRPr="007D6BB1">
        <w:rPr>
          <w:rFonts w:hint="cs"/>
          <w:b/>
          <w:bCs/>
          <w:sz w:val="20"/>
          <w:szCs w:val="20"/>
          <w:rtl/>
        </w:rPr>
        <w:t>סדרי טהרה</w:t>
      </w:r>
      <w:r>
        <w:rPr>
          <w:rFonts w:hint="cs"/>
          <w:sz w:val="20"/>
          <w:szCs w:val="20"/>
          <w:rtl/>
        </w:rPr>
        <w:t xml:space="preserve"> </w:t>
      </w:r>
      <w:r>
        <w:rPr>
          <w:sz w:val="20"/>
          <w:szCs w:val="20"/>
          <w:rtl/>
        </w:rPr>
        <w:t>–</w:t>
      </w:r>
      <w:r>
        <w:rPr>
          <w:rFonts w:hint="cs"/>
          <w:sz w:val="20"/>
          <w:szCs w:val="20"/>
          <w:rtl/>
        </w:rPr>
        <w:t xml:space="preserve"> טהור, וכ"פ </w:t>
      </w:r>
      <w:r w:rsidRPr="00263AA6">
        <w:rPr>
          <w:rFonts w:hint="cs"/>
          <w:b/>
          <w:bCs/>
          <w:sz w:val="20"/>
          <w:szCs w:val="20"/>
          <w:rtl/>
        </w:rPr>
        <w:t>הפת"ש</w:t>
      </w:r>
      <w:r>
        <w:rPr>
          <w:rFonts w:hint="cs"/>
          <w:sz w:val="20"/>
          <w:szCs w:val="20"/>
          <w:rtl/>
        </w:rPr>
        <w:t>.</w:t>
      </w:r>
      <w:r>
        <w:rPr>
          <w:sz w:val="20"/>
          <w:szCs w:val="20"/>
          <w:rtl/>
        </w:rPr>
        <w:br/>
      </w:r>
      <w:r>
        <w:rPr>
          <w:rFonts w:hint="cs"/>
          <w:sz w:val="20"/>
          <w:szCs w:val="20"/>
          <w:rtl/>
        </w:rPr>
        <w:t xml:space="preserve">ב. </w:t>
      </w:r>
      <w:r w:rsidRPr="00FA7DB3">
        <w:rPr>
          <w:rFonts w:hint="cs"/>
          <w:b/>
          <w:bCs/>
          <w:sz w:val="20"/>
          <w:szCs w:val="20"/>
          <w:rtl/>
        </w:rPr>
        <w:t>לחם ושמלה</w:t>
      </w:r>
      <w:r>
        <w:rPr>
          <w:rFonts w:hint="cs"/>
          <w:sz w:val="20"/>
          <w:szCs w:val="20"/>
          <w:rtl/>
        </w:rPr>
        <w:t xml:space="preserve"> </w:t>
      </w:r>
      <w:r>
        <w:rPr>
          <w:sz w:val="20"/>
          <w:szCs w:val="20"/>
          <w:rtl/>
        </w:rPr>
        <w:t>–</w:t>
      </w:r>
      <w:r>
        <w:rPr>
          <w:rFonts w:hint="cs"/>
          <w:sz w:val="20"/>
          <w:szCs w:val="20"/>
          <w:rtl/>
        </w:rPr>
        <w:t xml:space="preserve"> טמא.</w:t>
      </w:r>
      <w:r>
        <w:rPr>
          <w:sz w:val="20"/>
          <w:szCs w:val="20"/>
          <w:rtl/>
        </w:rPr>
        <w:br/>
      </w:r>
      <w:r>
        <w:rPr>
          <w:rFonts w:hint="cs"/>
          <w:sz w:val="20"/>
          <w:szCs w:val="20"/>
          <w:rtl/>
        </w:rPr>
        <w:t xml:space="preserve">הכרעת </w:t>
      </w:r>
      <w:r w:rsidRPr="00AB74C4">
        <w:rPr>
          <w:rFonts w:hint="cs"/>
          <w:b/>
          <w:bCs/>
          <w:sz w:val="20"/>
          <w:szCs w:val="20"/>
          <w:rtl/>
        </w:rPr>
        <w:t>טהרת הבית</w:t>
      </w:r>
      <w:r>
        <w:rPr>
          <w:rFonts w:hint="cs"/>
          <w:sz w:val="20"/>
          <w:szCs w:val="20"/>
          <w:rtl/>
        </w:rPr>
        <w:t xml:space="preserve"> </w:t>
      </w:r>
      <w:r>
        <w:rPr>
          <w:sz w:val="20"/>
          <w:szCs w:val="20"/>
          <w:rtl/>
        </w:rPr>
        <w:t>–</w:t>
      </w:r>
      <w:r>
        <w:rPr>
          <w:rFonts w:hint="cs"/>
          <w:sz w:val="20"/>
          <w:szCs w:val="20"/>
          <w:rtl/>
        </w:rPr>
        <w:t xml:space="preserve"> אם ראתה צבע חום בהרגשה </w:t>
      </w:r>
      <w:r>
        <w:rPr>
          <w:sz w:val="20"/>
          <w:szCs w:val="20"/>
          <w:rtl/>
        </w:rPr>
        <w:t>–</w:t>
      </w:r>
      <w:r>
        <w:rPr>
          <w:rFonts w:hint="cs"/>
          <w:sz w:val="20"/>
          <w:szCs w:val="20"/>
          <w:rtl/>
        </w:rPr>
        <w:t xml:space="preserve"> טמאה, אך אם מצאתו על עד הבדיקה או בכתם ללא הרגשה </w:t>
      </w:r>
      <w:r>
        <w:rPr>
          <w:sz w:val="20"/>
          <w:szCs w:val="20"/>
          <w:rtl/>
        </w:rPr>
        <w:t>–</w:t>
      </w:r>
      <w:r>
        <w:rPr>
          <w:rFonts w:hint="cs"/>
          <w:sz w:val="20"/>
          <w:szCs w:val="20"/>
          <w:rtl/>
        </w:rPr>
        <w:t xml:space="preserve"> טהורה. אולם, אם ראתה צבע חום על עד הבדיקה בהפסק טהרה </w:t>
      </w:r>
      <w:r>
        <w:rPr>
          <w:sz w:val="20"/>
          <w:szCs w:val="20"/>
          <w:rtl/>
        </w:rPr>
        <w:t>–</w:t>
      </w:r>
      <w:r>
        <w:rPr>
          <w:rFonts w:hint="cs"/>
          <w:sz w:val="20"/>
          <w:szCs w:val="20"/>
          <w:rtl/>
        </w:rPr>
        <w:t xml:space="preserve"> יש להחמיר.</w:t>
      </w:r>
      <w:r>
        <w:rPr>
          <w:sz w:val="20"/>
          <w:szCs w:val="20"/>
          <w:rtl/>
        </w:rPr>
        <w:br/>
      </w:r>
      <w:r>
        <w:rPr>
          <w:rFonts w:hint="cs"/>
          <w:sz w:val="20"/>
          <w:szCs w:val="20"/>
          <w:rtl/>
        </w:rPr>
        <w:t xml:space="preserve">ברם, אם צבע חום זה נוטה לצהוב, או נוטה לשחור ואין בו מראה אדמומיות כלל, אפילו הרגישה ביציאתו ואפילו אם ראתה זאת על עד הבדיקה בהפסק טהרה </w:t>
      </w:r>
      <w:r>
        <w:rPr>
          <w:sz w:val="20"/>
          <w:szCs w:val="20"/>
          <w:rtl/>
        </w:rPr>
        <w:t>–</w:t>
      </w:r>
      <w:r>
        <w:rPr>
          <w:rFonts w:hint="cs"/>
          <w:sz w:val="20"/>
          <w:szCs w:val="20"/>
          <w:rtl/>
        </w:rPr>
        <w:t xml:space="preserve"> טהורה.</w:t>
      </w:r>
      <w:r>
        <w:rPr>
          <w:rStyle w:val="a5"/>
          <w:sz w:val="20"/>
          <w:szCs w:val="20"/>
          <w:rtl/>
        </w:rPr>
        <w:footnoteReference w:id="145"/>
      </w:r>
    </w:p>
    <w:p w:rsidR="00620060" w:rsidRPr="00E576A9" w:rsidRDefault="00620060" w:rsidP="00620060">
      <w:pPr>
        <w:rPr>
          <w:sz w:val="20"/>
          <w:szCs w:val="20"/>
          <w:rtl/>
        </w:rPr>
      </w:pPr>
      <w:r>
        <w:rPr>
          <w:rFonts w:hint="cs"/>
          <w:sz w:val="20"/>
          <w:szCs w:val="20"/>
          <w:u w:val="single"/>
          <w:rtl/>
        </w:rPr>
        <w:t xml:space="preserve">צבע צהוב סמיך </w:t>
      </w:r>
      <w:r>
        <w:rPr>
          <w:sz w:val="20"/>
          <w:szCs w:val="20"/>
          <w:u w:val="single"/>
          <w:rtl/>
        </w:rPr>
        <w:br/>
      </w:r>
      <w:r w:rsidRPr="006544A4">
        <w:rPr>
          <w:rFonts w:hint="cs"/>
          <w:b/>
          <w:bCs/>
          <w:sz w:val="20"/>
          <w:szCs w:val="20"/>
          <w:rtl/>
        </w:rPr>
        <w:t>תפארת צבי ושבט הלוי</w:t>
      </w:r>
      <w:r>
        <w:rPr>
          <w:rFonts w:hint="cs"/>
          <w:sz w:val="20"/>
          <w:szCs w:val="20"/>
          <w:rtl/>
        </w:rPr>
        <w:t xml:space="preserve"> </w:t>
      </w:r>
      <w:r>
        <w:rPr>
          <w:sz w:val="20"/>
          <w:szCs w:val="20"/>
          <w:rtl/>
        </w:rPr>
        <w:t>–</w:t>
      </w:r>
      <w:r>
        <w:rPr>
          <w:rFonts w:hint="cs"/>
          <w:sz w:val="20"/>
          <w:szCs w:val="20"/>
          <w:rtl/>
        </w:rPr>
        <w:t xml:space="preserve"> אשה שראתה דם צהוב סמיך, יש לה לפרוש מבעלה באותו לילה בלבד.</w:t>
      </w:r>
      <w:r>
        <w:rPr>
          <w:sz w:val="20"/>
          <w:szCs w:val="20"/>
          <w:rtl/>
        </w:rPr>
        <w:br/>
      </w:r>
      <w:r w:rsidRPr="006544A4">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לעיתים, מראה זה מסמן את תחילת הווסת ואף הוא עצמו דם טמא. ואמנם, אם לא תראה במשך הלילה דם </w:t>
      </w:r>
      <w:r>
        <w:rPr>
          <w:sz w:val="20"/>
          <w:szCs w:val="20"/>
          <w:rtl/>
        </w:rPr>
        <w:t>–</w:t>
      </w:r>
      <w:r>
        <w:rPr>
          <w:rFonts w:hint="cs"/>
          <w:sz w:val="20"/>
          <w:szCs w:val="20"/>
          <w:rtl/>
        </w:rPr>
        <w:t xml:space="preserve"> טהורה לבעלה.</w:t>
      </w:r>
      <w:r>
        <w:rPr>
          <w:rStyle w:val="a5"/>
          <w:sz w:val="20"/>
          <w:szCs w:val="20"/>
          <w:rtl/>
        </w:rPr>
        <w:footnoteReference w:id="146"/>
      </w:r>
    </w:p>
    <w:p w:rsidR="00620060" w:rsidRDefault="00620060" w:rsidP="00620060">
      <w:pPr>
        <w:rPr>
          <w:sz w:val="20"/>
          <w:szCs w:val="20"/>
          <w:rtl/>
        </w:rPr>
      </w:pPr>
      <w:r>
        <w:rPr>
          <w:rFonts w:hint="cs"/>
          <w:sz w:val="20"/>
          <w:szCs w:val="20"/>
          <w:u w:val="single"/>
          <w:rtl/>
        </w:rPr>
        <w:lastRenderedPageBreak/>
        <w:t>האם אדם רשאי להחמיר על עצמו על חשבון אשתו? (פת"ש)</w:t>
      </w:r>
      <w:r>
        <w:rPr>
          <w:rFonts w:hint="cs"/>
          <w:sz w:val="20"/>
          <w:szCs w:val="20"/>
          <w:u w:val="single"/>
          <w:rtl/>
        </w:rPr>
        <w:br/>
      </w:r>
      <w:r w:rsidRPr="00492C89">
        <w:rPr>
          <w:rFonts w:hint="cs"/>
          <w:b/>
          <w:bCs/>
          <w:sz w:val="20"/>
          <w:szCs w:val="20"/>
          <w:rtl/>
        </w:rPr>
        <w:t xml:space="preserve">חתם סופר </w:t>
      </w:r>
      <w:r>
        <w:rPr>
          <w:sz w:val="20"/>
          <w:szCs w:val="20"/>
          <w:rtl/>
        </w:rPr>
        <w:t>–</w:t>
      </w:r>
      <w:r>
        <w:rPr>
          <w:rFonts w:hint="cs"/>
          <w:sz w:val="20"/>
          <w:szCs w:val="20"/>
          <w:rtl/>
        </w:rPr>
        <w:t xml:space="preserve"> רשאי אדם להחמיר על עצמו ולנהוג באשתו כאילו היא טמאה לאחר שהתעוררה שאלה הלכתית על טהרתה, אע"פ שחכם אחר פסק שהיא טהורה. ואפילו אם האשה מתנגדת לכך, רשאי, כיוון שכך היא דרכם של פרושים להחמיר על עצמם אפילו בדבר שמותר מן הדין. </w:t>
      </w:r>
    </w:p>
    <w:p w:rsidR="00620060" w:rsidRDefault="00620060" w:rsidP="00620060">
      <w:pPr>
        <w:rPr>
          <w:sz w:val="20"/>
          <w:szCs w:val="20"/>
          <w:rtl/>
        </w:rPr>
      </w:pPr>
      <w:r>
        <w:rPr>
          <w:rFonts w:hint="cs"/>
          <w:sz w:val="20"/>
          <w:szCs w:val="20"/>
          <w:u w:val="single"/>
          <w:rtl/>
        </w:rPr>
        <w:t>זמן ומיקום ההתבוננות במראות הדמים (תורת השלמים)</w:t>
      </w:r>
      <w:r>
        <w:rPr>
          <w:rFonts w:hint="cs"/>
          <w:sz w:val="20"/>
          <w:szCs w:val="20"/>
          <w:u w:val="single"/>
          <w:rtl/>
        </w:rPr>
        <w:br/>
      </w:r>
      <w:r w:rsidRPr="005B0C68">
        <w:rPr>
          <w:rFonts w:hint="cs"/>
          <w:b/>
          <w:bCs/>
          <w:sz w:val="20"/>
          <w:szCs w:val="20"/>
          <w:rtl/>
        </w:rPr>
        <w:t xml:space="preserve">גמרא </w:t>
      </w:r>
      <w:r>
        <w:rPr>
          <w:rFonts w:hint="cs"/>
          <w:sz w:val="20"/>
          <w:szCs w:val="20"/>
          <w:rtl/>
        </w:rPr>
        <w:t xml:space="preserve">נידה </w:t>
      </w:r>
      <w:r>
        <w:rPr>
          <w:rFonts w:cs="Arial" w:hint="cs"/>
          <w:sz w:val="20"/>
          <w:szCs w:val="20"/>
          <w:rtl/>
        </w:rPr>
        <w:t>"</w:t>
      </w:r>
      <w:r w:rsidRPr="001B4030">
        <w:rPr>
          <w:rFonts w:cs="Arial" w:hint="cs"/>
          <w:sz w:val="20"/>
          <w:szCs w:val="20"/>
          <w:rtl/>
        </w:rPr>
        <w:t>רבי</w:t>
      </w:r>
      <w:r w:rsidRPr="001B4030">
        <w:rPr>
          <w:rFonts w:cs="Arial"/>
          <w:sz w:val="20"/>
          <w:szCs w:val="20"/>
          <w:rtl/>
        </w:rPr>
        <w:t xml:space="preserve"> </w:t>
      </w:r>
      <w:r w:rsidRPr="001B4030">
        <w:rPr>
          <w:rFonts w:cs="Arial" w:hint="cs"/>
          <w:sz w:val="20"/>
          <w:szCs w:val="20"/>
          <w:rtl/>
        </w:rPr>
        <w:t>בדיק</w:t>
      </w:r>
      <w:r w:rsidRPr="001B4030">
        <w:rPr>
          <w:rFonts w:cs="Arial"/>
          <w:sz w:val="20"/>
          <w:szCs w:val="20"/>
          <w:rtl/>
        </w:rPr>
        <w:t xml:space="preserve"> </w:t>
      </w:r>
      <w:r w:rsidRPr="005514EF">
        <w:rPr>
          <w:rFonts w:cs="Arial" w:hint="cs"/>
          <w:sz w:val="18"/>
          <w:szCs w:val="18"/>
          <w:rtl/>
        </w:rPr>
        <w:t xml:space="preserve">(אפילו) </w:t>
      </w:r>
      <w:r w:rsidRPr="001B4030">
        <w:rPr>
          <w:rFonts w:cs="Arial" w:hint="cs"/>
          <w:sz w:val="20"/>
          <w:szCs w:val="20"/>
          <w:rtl/>
        </w:rPr>
        <w:t>לאור</w:t>
      </w:r>
      <w:r w:rsidRPr="001B4030">
        <w:rPr>
          <w:rFonts w:cs="Arial"/>
          <w:sz w:val="20"/>
          <w:szCs w:val="20"/>
          <w:rtl/>
        </w:rPr>
        <w:t xml:space="preserve"> </w:t>
      </w:r>
      <w:r w:rsidRPr="001B4030">
        <w:rPr>
          <w:rFonts w:cs="Arial" w:hint="cs"/>
          <w:sz w:val="20"/>
          <w:szCs w:val="20"/>
          <w:rtl/>
        </w:rPr>
        <w:t>הנר</w:t>
      </w:r>
      <w:r w:rsidRPr="001B4030">
        <w:rPr>
          <w:rFonts w:cs="Arial"/>
          <w:sz w:val="20"/>
          <w:szCs w:val="20"/>
          <w:rtl/>
        </w:rPr>
        <w:t xml:space="preserve">, </w:t>
      </w:r>
      <w:r w:rsidRPr="001B4030">
        <w:rPr>
          <w:rFonts w:cs="Arial" w:hint="cs"/>
          <w:sz w:val="20"/>
          <w:szCs w:val="20"/>
          <w:rtl/>
        </w:rPr>
        <w:t>רבי</w:t>
      </w:r>
      <w:r w:rsidRPr="001B4030">
        <w:rPr>
          <w:rFonts w:cs="Arial"/>
          <w:sz w:val="20"/>
          <w:szCs w:val="20"/>
          <w:rtl/>
        </w:rPr>
        <w:t xml:space="preserve"> </w:t>
      </w:r>
      <w:r w:rsidRPr="001B4030">
        <w:rPr>
          <w:rFonts w:cs="Arial" w:hint="cs"/>
          <w:sz w:val="20"/>
          <w:szCs w:val="20"/>
          <w:rtl/>
        </w:rPr>
        <w:t>ישמעאל</w:t>
      </w:r>
      <w:r w:rsidRPr="001B4030">
        <w:rPr>
          <w:rFonts w:cs="Arial"/>
          <w:sz w:val="20"/>
          <w:szCs w:val="20"/>
          <w:rtl/>
        </w:rPr>
        <w:t xml:space="preserve"> </w:t>
      </w:r>
      <w:r w:rsidRPr="001B4030">
        <w:rPr>
          <w:rFonts w:cs="Arial" w:hint="cs"/>
          <w:sz w:val="20"/>
          <w:szCs w:val="20"/>
          <w:rtl/>
        </w:rPr>
        <w:t>ברבי</w:t>
      </w:r>
      <w:r w:rsidRPr="001B4030">
        <w:rPr>
          <w:rFonts w:cs="Arial"/>
          <w:sz w:val="20"/>
          <w:szCs w:val="20"/>
          <w:rtl/>
        </w:rPr>
        <w:t xml:space="preserve"> </w:t>
      </w:r>
      <w:r w:rsidRPr="001B4030">
        <w:rPr>
          <w:rFonts w:cs="Arial" w:hint="cs"/>
          <w:sz w:val="20"/>
          <w:szCs w:val="20"/>
          <w:rtl/>
        </w:rPr>
        <w:t>יוסף</w:t>
      </w:r>
      <w:r w:rsidRPr="001B4030">
        <w:rPr>
          <w:rFonts w:cs="Arial"/>
          <w:sz w:val="20"/>
          <w:szCs w:val="20"/>
          <w:rtl/>
        </w:rPr>
        <w:t xml:space="preserve"> </w:t>
      </w:r>
      <w:r w:rsidRPr="001B4030">
        <w:rPr>
          <w:rFonts w:cs="Arial" w:hint="cs"/>
          <w:sz w:val="20"/>
          <w:szCs w:val="20"/>
          <w:rtl/>
        </w:rPr>
        <w:t>בדיק</w:t>
      </w:r>
      <w:r>
        <w:rPr>
          <w:rFonts w:cs="Arial" w:hint="cs"/>
          <w:sz w:val="20"/>
          <w:szCs w:val="20"/>
          <w:rtl/>
        </w:rPr>
        <w:t xml:space="preserve"> </w:t>
      </w:r>
      <w:r w:rsidRPr="001B4030">
        <w:rPr>
          <w:rFonts w:cs="Arial" w:hint="cs"/>
          <w:sz w:val="18"/>
          <w:szCs w:val="18"/>
          <w:rtl/>
        </w:rPr>
        <w:t>(אפילו)</w:t>
      </w:r>
      <w:r w:rsidRPr="001B4030">
        <w:rPr>
          <w:rFonts w:cs="Arial"/>
          <w:sz w:val="18"/>
          <w:szCs w:val="18"/>
          <w:rtl/>
        </w:rPr>
        <w:t xml:space="preserve"> </w:t>
      </w:r>
      <w:r w:rsidRPr="001B4030">
        <w:rPr>
          <w:rFonts w:cs="Arial" w:hint="cs"/>
          <w:sz w:val="20"/>
          <w:szCs w:val="20"/>
          <w:rtl/>
        </w:rPr>
        <w:t>ביום</w:t>
      </w:r>
      <w:r w:rsidRPr="001B4030">
        <w:rPr>
          <w:rFonts w:cs="Arial"/>
          <w:sz w:val="20"/>
          <w:szCs w:val="20"/>
          <w:rtl/>
        </w:rPr>
        <w:t xml:space="preserve"> </w:t>
      </w:r>
      <w:r w:rsidRPr="001B4030">
        <w:rPr>
          <w:rFonts w:cs="Arial" w:hint="cs"/>
          <w:sz w:val="20"/>
          <w:szCs w:val="20"/>
          <w:rtl/>
        </w:rPr>
        <w:t>המעונן</w:t>
      </w:r>
      <w:r w:rsidRPr="001B4030">
        <w:rPr>
          <w:rFonts w:cs="Arial"/>
          <w:sz w:val="20"/>
          <w:szCs w:val="20"/>
          <w:rtl/>
        </w:rPr>
        <w:t xml:space="preserve"> </w:t>
      </w:r>
      <w:r w:rsidRPr="001B4030">
        <w:rPr>
          <w:rFonts w:cs="Arial" w:hint="cs"/>
          <w:sz w:val="20"/>
          <w:szCs w:val="20"/>
          <w:rtl/>
        </w:rPr>
        <w:t>ביני</w:t>
      </w:r>
      <w:r w:rsidRPr="001B4030">
        <w:rPr>
          <w:rFonts w:cs="Arial"/>
          <w:sz w:val="20"/>
          <w:szCs w:val="20"/>
          <w:rtl/>
        </w:rPr>
        <w:t xml:space="preserve"> </w:t>
      </w:r>
      <w:r w:rsidRPr="001B4030">
        <w:rPr>
          <w:rFonts w:cs="Arial" w:hint="cs"/>
          <w:sz w:val="20"/>
          <w:szCs w:val="20"/>
          <w:rtl/>
        </w:rPr>
        <w:t>עמודי</w:t>
      </w:r>
      <w:r>
        <w:rPr>
          <w:rFonts w:cs="Arial" w:hint="cs"/>
          <w:sz w:val="20"/>
          <w:szCs w:val="20"/>
          <w:rtl/>
        </w:rPr>
        <w:t xml:space="preserve"> </w:t>
      </w:r>
      <w:r w:rsidRPr="001B4030">
        <w:rPr>
          <w:rFonts w:cs="Arial" w:hint="cs"/>
          <w:sz w:val="18"/>
          <w:szCs w:val="18"/>
          <w:rtl/>
        </w:rPr>
        <w:t>(למרות שהאור אינו מאיר שם יפה)</w:t>
      </w:r>
      <w:r w:rsidRPr="001B4030">
        <w:rPr>
          <w:rFonts w:cs="Arial"/>
          <w:sz w:val="20"/>
          <w:szCs w:val="20"/>
          <w:rtl/>
        </w:rPr>
        <w:t xml:space="preserve">. </w:t>
      </w:r>
      <w:r w:rsidRPr="001B4030">
        <w:rPr>
          <w:rFonts w:cs="Arial" w:hint="cs"/>
          <w:sz w:val="20"/>
          <w:szCs w:val="20"/>
          <w:rtl/>
        </w:rPr>
        <w:t>אמר</w:t>
      </w:r>
      <w:r w:rsidRPr="001B4030">
        <w:rPr>
          <w:rFonts w:cs="Arial"/>
          <w:sz w:val="20"/>
          <w:szCs w:val="20"/>
          <w:rtl/>
        </w:rPr>
        <w:t xml:space="preserve"> </w:t>
      </w:r>
      <w:r w:rsidRPr="001B4030">
        <w:rPr>
          <w:rFonts w:cs="Arial" w:hint="cs"/>
          <w:sz w:val="20"/>
          <w:szCs w:val="20"/>
          <w:rtl/>
        </w:rPr>
        <w:t>רב</w:t>
      </w:r>
      <w:r w:rsidRPr="001B4030">
        <w:rPr>
          <w:rFonts w:cs="Arial"/>
          <w:sz w:val="20"/>
          <w:szCs w:val="20"/>
          <w:rtl/>
        </w:rPr>
        <w:t xml:space="preserve"> </w:t>
      </w:r>
      <w:r w:rsidRPr="001B4030">
        <w:rPr>
          <w:rFonts w:cs="Arial" w:hint="cs"/>
          <w:sz w:val="20"/>
          <w:szCs w:val="20"/>
          <w:rtl/>
        </w:rPr>
        <w:t>אמי</w:t>
      </w:r>
      <w:r w:rsidRPr="001B4030">
        <w:rPr>
          <w:rFonts w:cs="Arial"/>
          <w:sz w:val="20"/>
          <w:szCs w:val="20"/>
          <w:rtl/>
        </w:rPr>
        <w:t xml:space="preserve"> </w:t>
      </w:r>
      <w:r w:rsidRPr="001B4030">
        <w:rPr>
          <w:rFonts w:cs="Arial" w:hint="cs"/>
          <w:sz w:val="20"/>
          <w:szCs w:val="20"/>
          <w:rtl/>
        </w:rPr>
        <w:t>בר</w:t>
      </w:r>
      <w:r w:rsidRPr="001B4030">
        <w:rPr>
          <w:rFonts w:cs="Arial"/>
          <w:sz w:val="20"/>
          <w:szCs w:val="20"/>
          <w:rtl/>
        </w:rPr>
        <w:t xml:space="preserve"> </w:t>
      </w:r>
      <w:r w:rsidRPr="001B4030">
        <w:rPr>
          <w:rFonts w:cs="Arial" w:hint="cs"/>
          <w:sz w:val="20"/>
          <w:szCs w:val="20"/>
          <w:rtl/>
        </w:rPr>
        <w:t>שמואל</w:t>
      </w:r>
      <w:r w:rsidRPr="001B4030">
        <w:rPr>
          <w:rFonts w:cs="Arial"/>
          <w:sz w:val="20"/>
          <w:szCs w:val="20"/>
          <w:rtl/>
        </w:rPr>
        <w:t xml:space="preserve">: </w:t>
      </w:r>
      <w:r w:rsidRPr="001B4030">
        <w:rPr>
          <w:rFonts w:cs="Arial" w:hint="cs"/>
          <w:sz w:val="20"/>
          <w:szCs w:val="20"/>
          <w:rtl/>
        </w:rPr>
        <w:t>וכולן</w:t>
      </w:r>
      <w:r w:rsidRPr="001B4030">
        <w:rPr>
          <w:rFonts w:cs="Arial"/>
          <w:sz w:val="20"/>
          <w:szCs w:val="20"/>
          <w:rtl/>
        </w:rPr>
        <w:t xml:space="preserve"> </w:t>
      </w:r>
      <w:r w:rsidRPr="001B4030">
        <w:rPr>
          <w:rFonts w:cs="Arial" w:hint="cs"/>
          <w:sz w:val="20"/>
          <w:szCs w:val="20"/>
          <w:rtl/>
        </w:rPr>
        <w:t>אין</w:t>
      </w:r>
      <w:r w:rsidRPr="001B4030">
        <w:rPr>
          <w:rFonts w:cs="Arial"/>
          <w:sz w:val="20"/>
          <w:szCs w:val="20"/>
          <w:rtl/>
        </w:rPr>
        <w:t xml:space="preserve"> </w:t>
      </w:r>
      <w:r w:rsidRPr="001B4030">
        <w:rPr>
          <w:rFonts w:cs="Arial" w:hint="cs"/>
          <w:sz w:val="20"/>
          <w:szCs w:val="20"/>
          <w:rtl/>
        </w:rPr>
        <w:t>בודקין</w:t>
      </w:r>
      <w:r w:rsidRPr="001B4030">
        <w:rPr>
          <w:rFonts w:cs="Arial"/>
          <w:sz w:val="20"/>
          <w:szCs w:val="20"/>
          <w:rtl/>
        </w:rPr>
        <w:t xml:space="preserve"> </w:t>
      </w:r>
      <w:r w:rsidRPr="001B4030">
        <w:rPr>
          <w:rFonts w:cs="Arial" w:hint="cs"/>
          <w:sz w:val="20"/>
          <w:szCs w:val="20"/>
          <w:rtl/>
        </w:rPr>
        <w:t>אותן</w:t>
      </w:r>
      <w:r w:rsidRPr="001B4030">
        <w:rPr>
          <w:rFonts w:cs="Arial"/>
          <w:sz w:val="20"/>
          <w:szCs w:val="20"/>
          <w:rtl/>
        </w:rPr>
        <w:t xml:space="preserve"> </w:t>
      </w:r>
      <w:r w:rsidRPr="001B4030">
        <w:rPr>
          <w:rFonts w:cs="Arial" w:hint="cs"/>
          <w:sz w:val="20"/>
          <w:szCs w:val="20"/>
          <w:rtl/>
        </w:rPr>
        <w:t>אלא</w:t>
      </w:r>
      <w:r w:rsidRPr="001B4030">
        <w:rPr>
          <w:rFonts w:cs="Arial"/>
          <w:sz w:val="20"/>
          <w:szCs w:val="20"/>
          <w:rtl/>
        </w:rPr>
        <w:t xml:space="preserve"> </w:t>
      </w:r>
      <w:r w:rsidRPr="001B4030">
        <w:rPr>
          <w:rFonts w:cs="Arial" w:hint="cs"/>
          <w:sz w:val="20"/>
          <w:szCs w:val="20"/>
          <w:rtl/>
        </w:rPr>
        <w:t>בין</w:t>
      </w:r>
      <w:r w:rsidRPr="001B4030">
        <w:rPr>
          <w:rFonts w:cs="Arial"/>
          <w:sz w:val="20"/>
          <w:szCs w:val="20"/>
          <w:rtl/>
        </w:rPr>
        <w:t xml:space="preserve"> </w:t>
      </w:r>
      <w:r w:rsidRPr="001B4030">
        <w:rPr>
          <w:rFonts w:cs="Arial" w:hint="cs"/>
          <w:sz w:val="20"/>
          <w:szCs w:val="20"/>
          <w:rtl/>
        </w:rPr>
        <w:t>חמה</w:t>
      </w:r>
      <w:r w:rsidRPr="001B4030">
        <w:rPr>
          <w:rFonts w:cs="Arial"/>
          <w:sz w:val="20"/>
          <w:szCs w:val="20"/>
          <w:rtl/>
        </w:rPr>
        <w:t xml:space="preserve"> </w:t>
      </w:r>
      <w:r w:rsidRPr="001B4030">
        <w:rPr>
          <w:rFonts w:cs="Arial" w:hint="cs"/>
          <w:sz w:val="20"/>
          <w:szCs w:val="20"/>
          <w:rtl/>
        </w:rPr>
        <w:t>לצל</w:t>
      </w:r>
      <w:r>
        <w:rPr>
          <w:rFonts w:cs="Arial" w:hint="cs"/>
          <w:sz w:val="20"/>
          <w:szCs w:val="20"/>
          <w:rtl/>
        </w:rPr>
        <w:t xml:space="preserve"> </w:t>
      </w:r>
      <w:r w:rsidRPr="001B4030">
        <w:rPr>
          <w:rFonts w:cs="Arial" w:hint="cs"/>
          <w:sz w:val="18"/>
          <w:szCs w:val="18"/>
          <w:rtl/>
        </w:rPr>
        <w:t>(כלומר, במקום שהחמה והצל נפגשים בקרקע)</w:t>
      </w:r>
      <w:r w:rsidRPr="001B4030">
        <w:rPr>
          <w:rFonts w:cs="Arial"/>
          <w:sz w:val="20"/>
          <w:szCs w:val="20"/>
          <w:rtl/>
        </w:rPr>
        <w:t xml:space="preserve">. </w:t>
      </w:r>
      <w:r w:rsidRPr="001B4030">
        <w:rPr>
          <w:rFonts w:cs="Arial" w:hint="cs"/>
          <w:sz w:val="20"/>
          <w:szCs w:val="20"/>
          <w:rtl/>
        </w:rPr>
        <w:t>רב</w:t>
      </w:r>
      <w:r w:rsidRPr="001B4030">
        <w:rPr>
          <w:rFonts w:cs="Arial"/>
          <w:sz w:val="20"/>
          <w:szCs w:val="20"/>
          <w:rtl/>
        </w:rPr>
        <w:t xml:space="preserve"> </w:t>
      </w:r>
      <w:r w:rsidRPr="001B4030">
        <w:rPr>
          <w:rFonts w:cs="Arial" w:hint="cs"/>
          <w:sz w:val="20"/>
          <w:szCs w:val="20"/>
          <w:rtl/>
        </w:rPr>
        <w:t>נחמן</w:t>
      </w:r>
      <w:r w:rsidRPr="001B4030">
        <w:rPr>
          <w:rFonts w:cs="Arial"/>
          <w:sz w:val="20"/>
          <w:szCs w:val="20"/>
          <w:rtl/>
        </w:rPr>
        <w:t xml:space="preserve"> </w:t>
      </w:r>
      <w:r w:rsidRPr="001B4030">
        <w:rPr>
          <w:rFonts w:cs="Arial" w:hint="cs"/>
          <w:sz w:val="20"/>
          <w:szCs w:val="20"/>
          <w:rtl/>
        </w:rPr>
        <w:t>אמר</w:t>
      </w:r>
      <w:r w:rsidRPr="001B4030">
        <w:rPr>
          <w:rFonts w:cs="Arial"/>
          <w:sz w:val="20"/>
          <w:szCs w:val="20"/>
          <w:rtl/>
        </w:rPr>
        <w:t xml:space="preserve"> </w:t>
      </w:r>
      <w:r w:rsidRPr="001B4030">
        <w:rPr>
          <w:rFonts w:cs="Arial" w:hint="cs"/>
          <w:sz w:val="20"/>
          <w:szCs w:val="20"/>
          <w:rtl/>
        </w:rPr>
        <w:t>רבה</w:t>
      </w:r>
      <w:r w:rsidRPr="001B4030">
        <w:rPr>
          <w:rFonts w:cs="Arial"/>
          <w:sz w:val="20"/>
          <w:szCs w:val="20"/>
          <w:rtl/>
        </w:rPr>
        <w:t xml:space="preserve"> </w:t>
      </w:r>
      <w:r w:rsidRPr="001B4030">
        <w:rPr>
          <w:rFonts w:cs="Arial" w:hint="cs"/>
          <w:sz w:val="20"/>
          <w:szCs w:val="20"/>
          <w:rtl/>
        </w:rPr>
        <w:t>בר</w:t>
      </w:r>
      <w:r w:rsidRPr="001B4030">
        <w:rPr>
          <w:rFonts w:cs="Arial"/>
          <w:sz w:val="20"/>
          <w:szCs w:val="20"/>
          <w:rtl/>
        </w:rPr>
        <w:t xml:space="preserve"> </w:t>
      </w:r>
      <w:r w:rsidRPr="001B4030">
        <w:rPr>
          <w:rFonts w:cs="Arial" w:hint="cs"/>
          <w:sz w:val="20"/>
          <w:szCs w:val="20"/>
          <w:rtl/>
        </w:rPr>
        <w:t>אבוה</w:t>
      </w:r>
      <w:r w:rsidRPr="001B4030">
        <w:rPr>
          <w:rFonts w:cs="Arial"/>
          <w:sz w:val="20"/>
          <w:szCs w:val="20"/>
          <w:rtl/>
        </w:rPr>
        <w:t xml:space="preserve">: </w:t>
      </w:r>
      <w:r w:rsidRPr="001B4030">
        <w:rPr>
          <w:rFonts w:cs="Arial" w:hint="cs"/>
          <w:sz w:val="20"/>
          <w:szCs w:val="20"/>
          <w:rtl/>
        </w:rPr>
        <w:t>בחמה</w:t>
      </w:r>
      <w:r>
        <w:rPr>
          <w:rFonts w:cs="Arial" w:hint="cs"/>
          <w:sz w:val="20"/>
          <w:szCs w:val="20"/>
          <w:rtl/>
        </w:rPr>
        <w:t xml:space="preserve"> </w:t>
      </w:r>
      <w:r w:rsidRPr="005514EF">
        <w:rPr>
          <w:rFonts w:cs="Arial" w:hint="cs"/>
          <w:sz w:val="18"/>
          <w:szCs w:val="18"/>
          <w:rtl/>
        </w:rPr>
        <w:t>(עצמה)</w:t>
      </w:r>
      <w:r w:rsidRPr="001B4030">
        <w:rPr>
          <w:rFonts w:cs="Arial"/>
          <w:sz w:val="20"/>
          <w:szCs w:val="20"/>
          <w:rtl/>
        </w:rPr>
        <w:t xml:space="preserve">, </w:t>
      </w:r>
      <w:r w:rsidRPr="001B4030">
        <w:rPr>
          <w:rFonts w:cs="Arial" w:hint="cs"/>
          <w:sz w:val="20"/>
          <w:szCs w:val="20"/>
          <w:rtl/>
        </w:rPr>
        <w:t>ובצל</w:t>
      </w:r>
      <w:r w:rsidRPr="001B4030">
        <w:rPr>
          <w:rFonts w:cs="Arial"/>
          <w:sz w:val="20"/>
          <w:szCs w:val="20"/>
          <w:rtl/>
        </w:rPr>
        <w:t xml:space="preserve"> </w:t>
      </w:r>
      <w:r w:rsidRPr="001B4030">
        <w:rPr>
          <w:rFonts w:cs="Arial" w:hint="cs"/>
          <w:sz w:val="20"/>
          <w:szCs w:val="20"/>
          <w:rtl/>
        </w:rPr>
        <w:t>ידו</w:t>
      </w:r>
      <w:r>
        <w:rPr>
          <w:rFonts w:cs="Arial" w:hint="cs"/>
          <w:sz w:val="20"/>
          <w:szCs w:val="20"/>
          <w:rtl/>
        </w:rPr>
        <w:t xml:space="preserve"> </w:t>
      </w:r>
      <w:r w:rsidRPr="001B4030">
        <w:rPr>
          <w:rFonts w:cs="Arial" w:hint="cs"/>
          <w:sz w:val="18"/>
          <w:szCs w:val="18"/>
          <w:rtl/>
        </w:rPr>
        <w:t>(מצל בידו על המראה)</w:t>
      </w:r>
      <w:r>
        <w:rPr>
          <w:rFonts w:cs="Arial" w:hint="cs"/>
          <w:sz w:val="20"/>
          <w:szCs w:val="20"/>
          <w:rtl/>
        </w:rPr>
        <w:t>"</w:t>
      </w:r>
      <w:r w:rsidRPr="001B4030">
        <w:rPr>
          <w:rFonts w:cs="Arial"/>
          <w:sz w:val="20"/>
          <w:szCs w:val="20"/>
          <w:rtl/>
        </w:rPr>
        <w:t>.</w:t>
      </w:r>
      <w:r>
        <w:rPr>
          <w:rStyle w:val="a5"/>
          <w:sz w:val="20"/>
          <w:szCs w:val="20"/>
          <w:rtl/>
        </w:rPr>
        <w:footnoteReference w:id="147"/>
      </w:r>
    </w:p>
    <w:p w:rsidR="00620060" w:rsidRPr="005B0C68" w:rsidRDefault="00620060" w:rsidP="00620060">
      <w:pPr>
        <w:rPr>
          <w:sz w:val="20"/>
          <w:szCs w:val="20"/>
          <w:rtl/>
        </w:rPr>
      </w:pPr>
      <w:r>
        <w:rPr>
          <w:rFonts w:hint="cs"/>
          <w:sz w:val="20"/>
          <w:szCs w:val="20"/>
          <w:u w:val="single"/>
          <w:rtl/>
        </w:rPr>
        <w:t>שיטות הראשונים</w:t>
      </w:r>
      <w:r>
        <w:rPr>
          <w:sz w:val="20"/>
          <w:szCs w:val="20"/>
          <w:u w:val="single"/>
          <w:rtl/>
        </w:rPr>
        <w:br/>
      </w:r>
      <w:r>
        <w:rPr>
          <w:rFonts w:hint="cs"/>
          <w:sz w:val="20"/>
          <w:szCs w:val="20"/>
          <w:rtl/>
        </w:rPr>
        <w:t xml:space="preserve">א. </w:t>
      </w:r>
      <w:r w:rsidRPr="00981871">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יש לבדוק את מראה הדם בחמה ולעשות צל בידו על הדם. ואמנם, מי שבקי בטביעות עין במראות הדמים אינו צריך לכך.</w:t>
      </w:r>
      <w:r>
        <w:rPr>
          <w:sz w:val="20"/>
          <w:szCs w:val="20"/>
          <w:rtl/>
        </w:rPr>
        <w:br/>
      </w:r>
      <w:r>
        <w:rPr>
          <w:rFonts w:hint="cs"/>
          <w:sz w:val="20"/>
          <w:szCs w:val="20"/>
          <w:rtl/>
        </w:rPr>
        <w:t xml:space="preserve">ב. </w:t>
      </w:r>
      <w:r w:rsidRPr="00981871">
        <w:rPr>
          <w:rFonts w:hint="cs"/>
          <w:b/>
          <w:bCs/>
          <w:sz w:val="20"/>
          <w:szCs w:val="20"/>
          <w:rtl/>
        </w:rPr>
        <w:t>ראב"ד</w:t>
      </w:r>
      <w:r>
        <w:rPr>
          <w:rFonts w:hint="cs"/>
          <w:sz w:val="20"/>
          <w:szCs w:val="20"/>
          <w:rtl/>
        </w:rPr>
        <w:t xml:space="preserve"> </w:t>
      </w:r>
      <w:r>
        <w:rPr>
          <w:sz w:val="20"/>
          <w:szCs w:val="20"/>
          <w:rtl/>
        </w:rPr>
        <w:t>–</w:t>
      </w:r>
      <w:r>
        <w:rPr>
          <w:rFonts w:hint="cs"/>
          <w:sz w:val="20"/>
          <w:szCs w:val="20"/>
          <w:rtl/>
        </w:rPr>
        <w:t xml:space="preserve"> אין צריך לדקדק באופן הבדיקה, כיוון שמטמאים כל מראה אדום, ולכן אין הבדיקה בימינו צריכה להיות מדוקדקת כבזמן הגמרא.</w:t>
      </w:r>
      <w:r>
        <w:rPr>
          <w:rFonts w:hint="cs"/>
          <w:sz w:val="20"/>
          <w:szCs w:val="20"/>
          <w:rtl/>
        </w:rPr>
        <w:br/>
      </w:r>
      <w:r>
        <w:rPr>
          <w:sz w:val="20"/>
          <w:szCs w:val="20"/>
          <w:rtl/>
        </w:rPr>
        <w:br/>
      </w:r>
      <w:r>
        <w:rPr>
          <w:rFonts w:hint="cs"/>
          <w:sz w:val="20"/>
          <w:szCs w:val="20"/>
          <w:u w:val="single"/>
          <w:rtl/>
        </w:rPr>
        <w:t>שיטות האחרונים</w:t>
      </w:r>
      <w:r>
        <w:rPr>
          <w:rFonts w:hint="cs"/>
          <w:sz w:val="20"/>
          <w:szCs w:val="20"/>
          <w:rtl/>
        </w:rPr>
        <w:br/>
        <w:t xml:space="preserve">א. </w:t>
      </w:r>
      <w:r w:rsidRPr="009E485D">
        <w:rPr>
          <w:rFonts w:hint="cs"/>
          <w:b/>
          <w:bCs/>
          <w:sz w:val="20"/>
          <w:szCs w:val="20"/>
          <w:rtl/>
        </w:rPr>
        <w:t>תורת השלמים</w:t>
      </w:r>
      <w:r>
        <w:rPr>
          <w:rFonts w:hint="cs"/>
          <w:sz w:val="20"/>
          <w:szCs w:val="20"/>
          <w:rtl/>
        </w:rPr>
        <w:t xml:space="preserve"> </w:t>
      </w:r>
      <w:r>
        <w:rPr>
          <w:sz w:val="20"/>
          <w:szCs w:val="20"/>
          <w:rtl/>
        </w:rPr>
        <w:t>–</w:t>
      </w:r>
      <w:r>
        <w:rPr>
          <w:rFonts w:hint="cs"/>
          <w:sz w:val="20"/>
          <w:szCs w:val="20"/>
          <w:rtl/>
        </w:rPr>
        <w:t xml:space="preserve"> הלכה כראב"ד, ולכן לא העתיקו המחבר והטור דין זה משום שאין לו נפק"מ עבורנו.</w:t>
      </w:r>
      <w:r>
        <w:rPr>
          <w:rFonts w:hint="cs"/>
          <w:sz w:val="20"/>
          <w:szCs w:val="20"/>
          <w:rtl/>
        </w:rPr>
        <w:br/>
        <w:t xml:space="preserve">ב. </w:t>
      </w:r>
      <w:r w:rsidRPr="009E485D">
        <w:rPr>
          <w:rFonts w:hint="cs"/>
          <w:b/>
          <w:bCs/>
          <w:sz w:val="20"/>
          <w:szCs w:val="20"/>
          <w:rtl/>
        </w:rPr>
        <w:t>ערוך השולחן</w:t>
      </w:r>
      <w:r>
        <w:rPr>
          <w:rFonts w:hint="cs"/>
          <w:sz w:val="20"/>
          <w:szCs w:val="20"/>
          <w:rtl/>
        </w:rPr>
        <w:t xml:space="preserve"> </w:t>
      </w:r>
      <w:r>
        <w:rPr>
          <w:sz w:val="20"/>
          <w:szCs w:val="20"/>
          <w:rtl/>
        </w:rPr>
        <w:t>–</w:t>
      </w:r>
      <w:r>
        <w:rPr>
          <w:rFonts w:hint="cs"/>
          <w:sz w:val="20"/>
          <w:szCs w:val="20"/>
          <w:rtl/>
        </w:rPr>
        <w:t xml:space="preserve"> לכתחילה יש לראות ביום, מכיוון שלפעמים המראה</w:t>
      </w:r>
      <w:r w:rsidRPr="009E485D">
        <w:rPr>
          <w:rFonts w:hint="cs"/>
          <w:sz w:val="20"/>
          <w:szCs w:val="20"/>
          <w:rtl/>
        </w:rPr>
        <w:t xml:space="preserve"> </w:t>
      </w:r>
      <w:r>
        <w:rPr>
          <w:rFonts w:hint="cs"/>
          <w:sz w:val="20"/>
          <w:szCs w:val="20"/>
          <w:rtl/>
        </w:rPr>
        <w:t>בלילה שונה.</w:t>
      </w:r>
      <w:r>
        <w:rPr>
          <w:rFonts w:hint="cs"/>
          <w:sz w:val="20"/>
          <w:szCs w:val="20"/>
          <w:rtl/>
        </w:rPr>
        <w:br/>
        <w:t xml:space="preserve">ג. </w:t>
      </w:r>
      <w:r w:rsidRPr="00EF0428">
        <w:rPr>
          <w:rFonts w:hint="cs"/>
          <w:b/>
          <w:bCs/>
          <w:sz w:val="20"/>
          <w:szCs w:val="20"/>
          <w:rtl/>
        </w:rPr>
        <w:t>שבט הלוי</w:t>
      </w:r>
      <w:r>
        <w:rPr>
          <w:rFonts w:hint="cs"/>
          <w:sz w:val="20"/>
          <w:szCs w:val="20"/>
          <w:rtl/>
        </w:rPr>
        <w:t xml:space="preserve"> </w:t>
      </w:r>
      <w:r>
        <w:rPr>
          <w:sz w:val="20"/>
          <w:szCs w:val="20"/>
          <w:rtl/>
        </w:rPr>
        <w:t>–</w:t>
      </w:r>
      <w:r>
        <w:rPr>
          <w:rFonts w:hint="cs"/>
          <w:sz w:val="20"/>
          <w:szCs w:val="20"/>
          <w:rtl/>
        </w:rPr>
        <w:t xml:space="preserve"> מותר לבדוק בלילה, אך יש להיזהר לא לבדוק לאור מנורת פלורסנט מכיוון שהיא גורמת למראה שייראה לבן מעט, וכן אין לבדוק לאור צהוב </w:t>
      </w:r>
      <w:r w:rsidRPr="00EF0428">
        <w:rPr>
          <w:rFonts w:hint="cs"/>
          <w:sz w:val="18"/>
          <w:szCs w:val="18"/>
          <w:rtl/>
        </w:rPr>
        <w:t>(</w:t>
      </w:r>
      <w:r>
        <w:rPr>
          <w:rFonts w:hint="cs"/>
          <w:sz w:val="18"/>
          <w:szCs w:val="18"/>
          <w:rtl/>
        </w:rPr>
        <w:t xml:space="preserve">נורת </w:t>
      </w:r>
      <w:r w:rsidRPr="00EF0428">
        <w:rPr>
          <w:rFonts w:hint="cs"/>
          <w:sz w:val="18"/>
          <w:szCs w:val="18"/>
          <w:rtl/>
        </w:rPr>
        <w:t xml:space="preserve">להט) </w:t>
      </w:r>
      <w:r>
        <w:rPr>
          <w:rFonts w:hint="cs"/>
          <w:sz w:val="20"/>
          <w:szCs w:val="20"/>
          <w:rtl/>
        </w:rPr>
        <w:t>משום שהיא גורמת למראה להיות אדום יותר.</w:t>
      </w:r>
    </w:p>
    <w:p w:rsidR="00620060" w:rsidRDefault="00620060" w:rsidP="00620060">
      <w:pPr>
        <w:rPr>
          <w:sz w:val="20"/>
          <w:szCs w:val="20"/>
          <w:rtl/>
        </w:rPr>
      </w:pPr>
      <w:r w:rsidRPr="00F906FA">
        <w:rPr>
          <w:rFonts w:hint="cs"/>
          <w:b/>
          <w:bCs/>
          <w:sz w:val="20"/>
          <w:szCs w:val="20"/>
          <w:rtl/>
        </w:rPr>
        <w:t>סיכום</w:t>
      </w:r>
      <w:r>
        <w:rPr>
          <w:sz w:val="20"/>
          <w:szCs w:val="20"/>
          <w:rtl/>
        </w:rPr>
        <w:br/>
      </w:r>
      <w:r>
        <w:rPr>
          <w:rFonts w:hint="cs"/>
          <w:sz w:val="20"/>
          <w:szCs w:val="20"/>
          <w:rtl/>
        </w:rPr>
        <w:t xml:space="preserve">1. </w:t>
      </w:r>
      <w:r w:rsidRPr="00F906FA">
        <w:rPr>
          <w:rFonts w:hint="cs"/>
          <w:b/>
          <w:bCs/>
          <w:sz w:val="20"/>
          <w:szCs w:val="20"/>
          <w:rtl/>
        </w:rPr>
        <w:t>משנה</w:t>
      </w:r>
      <w:r>
        <w:rPr>
          <w:rFonts w:hint="cs"/>
          <w:sz w:val="20"/>
          <w:szCs w:val="20"/>
          <w:rtl/>
        </w:rPr>
        <w:t xml:space="preserve">. חמישה מראות טמאים. </w:t>
      </w:r>
      <w:r w:rsidRPr="005514EF">
        <w:rPr>
          <w:rFonts w:hint="cs"/>
          <w:b/>
          <w:bCs/>
          <w:sz w:val="20"/>
          <w:szCs w:val="20"/>
          <w:rtl/>
        </w:rPr>
        <w:t>גמרא</w:t>
      </w:r>
      <w:r>
        <w:rPr>
          <w:rFonts w:hint="cs"/>
          <w:sz w:val="20"/>
          <w:szCs w:val="20"/>
          <w:rtl/>
        </w:rPr>
        <w:t xml:space="preserve">. ריבוי דמיה דמיה שלאו דווקא אדום טמא.  </w:t>
      </w:r>
      <w:r>
        <w:rPr>
          <w:rFonts w:hint="cs"/>
          <w:sz w:val="20"/>
          <w:szCs w:val="20"/>
          <w:rtl/>
        </w:rPr>
        <w:br/>
        <w:t xml:space="preserve">2. </w:t>
      </w:r>
      <w:r w:rsidRPr="00225B93">
        <w:rPr>
          <w:rFonts w:hint="cs"/>
          <w:sz w:val="20"/>
          <w:szCs w:val="20"/>
          <w:rtl/>
        </w:rPr>
        <w:t xml:space="preserve">המנהג למעשה. מטמאים כל מראה שנוטה לאדום. </w:t>
      </w:r>
      <w:r w:rsidRPr="00225B93">
        <w:rPr>
          <w:rFonts w:hint="cs"/>
          <w:b/>
          <w:bCs/>
          <w:sz w:val="20"/>
          <w:szCs w:val="20"/>
          <w:rtl/>
        </w:rPr>
        <w:t>טעם</w:t>
      </w:r>
      <w:r w:rsidRPr="00225B93">
        <w:rPr>
          <w:rFonts w:hint="cs"/>
          <w:sz w:val="20"/>
          <w:szCs w:val="20"/>
          <w:rtl/>
        </w:rPr>
        <w:t>. איננו יודעים להבחין.</w:t>
      </w:r>
      <w:r w:rsidRPr="00225B93">
        <w:rPr>
          <w:sz w:val="20"/>
          <w:szCs w:val="20"/>
          <w:rtl/>
        </w:rPr>
        <w:br/>
      </w:r>
      <w:r w:rsidRPr="00225B93">
        <w:rPr>
          <w:rFonts w:hint="cs"/>
          <w:sz w:val="20"/>
          <w:szCs w:val="20"/>
          <w:rtl/>
        </w:rPr>
        <w:t>3. ירוק. עקביא מטמא וחכמים מטהרים, וכחכמים קיי"ל. ומראה זה אינו ירוק ממש אלא כזהב.</w:t>
      </w:r>
      <w:r w:rsidRPr="00225B93">
        <w:rPr>
          <w:rFonts w:hint="cs"/>
          <w:sz w:val="20"/>
          <w:szCs w:val="20"/>
          <w:rtl/>
        </w:rPr>
        <w:br/>
        <w:t xml:space="preserve">4. </w:t>
      </w:r>
      <w:r w:rsidRPr="00225B93">
        <w:rPr>
          <w:rFonts w:hint="cs"/>
          <w:b/>
          <w:bCs/>
          <w:sz w:val="20"/>
          <w:szCs w:val="20"/>
          <w:rtl/>
        </w:rPr>
        <w:t>ב"י</w:t>
      </w:r>
      <w:r w:rsidRPr="00225B93">
        <w:rPr>
          <w:rFonts w:hint="cs"/>
          <w:sz w:val="20"/>
          <w:szCs w:val="20"/>
          <w:rtl/>
        </w:rPr>
        <w:t>. מראה לבן וירוק טהור אף האידנא, משום שאינו דומה כלל לאדום, בניגוד למימי תלתן ובשר צלי.</w:t>
      </w:r>
      <w:r w:rsidRPr="00225B93">
        <w:rPr>
          <w:rFonts w:hint="cs"/>
          <w:sz w:val="20"/>
          <w:szCs w:val="20"/>
          <w:rtl/>
        </w:rPr>
        <w:br/>
        <w:t xml:space="preserve">5. </w:t>
      </w:r>
      <w:r w:rsidRPr="00225B93">
        <w:rPr>
          <w:rFonts w:hint="cs"/>
          <w:b/>
          <w:bCs/>
          <w:sz w:val="20"/>
          <w:szCs w:val="20"/>
          <w:rtl/>
        </w:rPr>
        <w:t>מחבר</w:t>
      </w:r>
      <w:r w:rsidRPr="00225B93">
        <w:rPr>
          <w:rFonts w:hint="cs"/>
          <w:sz w:val="20"/>
          <w:szCs w:val="20"/>
          <w:rtl/>
        </w:rPr>
        <w:t>. כל מראה אדום ושחור טמא, לבן וירוק טהור, ולבן זה כזהב וכ"ש ירוק כעשב טהור.</w:t>
      </w:r>
      <w:r w:rsidRPr="00225B93">
        <w:rPr>
          <w:rFonts w:hint="cs"/>
          <w:sz w:val="20"/>
          <w:szCs w:val="20"/>
          <w:rtl/>
        </w:rPr>
        <w:br/>
        <w:t xml:space="preserve">6. מראה ירוק וצהוב. </w:t>
      </w:r>
      <w:r w:rsidRPr="00225B93">
        <w:rPr>
          <w:rFonts w:hint="cs"/>
          <w:b/>
          <w:bCs/>
          <w:sz w:val="20"/>
          <w:szCs w:val="20"/>
          <w:rtl/>
        </w:rPr>
        <w:t>מהרש"ל</w:t>
      </w:r>
      <w:r w:rsidRPr="00225B93">
        <w:rPr>
          <w:rFonts w:hint="cs"/>
          <w:sz w:val="20"/>
          <w:szCs w:val="20"/>
          <w:rtl/>
        </w:rPr>
        <w:t xml:space="preserve">. מחמיר, ויש להקל בצירוף צדדים נוספים. </w:t>
      </w:r>
      <w:r w:rsidRPr="00225B93">
        <w:rPr>
          <w:rFonts w:hint="cs"/>
          <w:b/>
          <w:bCs/>
          <w:sz w:val="20"/>
          <w:szCs w:val="20"/>
          <w:rtl/>
        </w:rPr>
        <w:t>סד"ט</w:t>
      </w:r>
      <w:r w:rsidRPr="00225B93">
        <w:rPr>
          <w:rFonts w:hint="cs"/>
          <w:sz w:val="20"/>
          <w:szCs w:val="20"/>
          <w:rtl/>
        </w:rPr>
        <w:t xml:space="preserve">. בעל נפש יחמיר לעצמו. </w:t>
      </w:r>
      <w:r w:rsidRPr="00225B93">
        <w:rPr>
          <w:sz w:val="20"/>
          <w:szCs w:val="20"/>
          <w:rtl/>
        </w:rPr>
        <w:br/>
      </w:r>
      <w:r w:rsidRPr="00225B93">
        <w:rPr>
          <w:rFonts w:hint="cs"/>
          <w:sz w:val="20"/>
          <w:szCs w:val="20"/>
          <w:rtl/>
        </w:rPr>
        <w:t xml:space="preserve">7. רחצה ומצאה דם לבן. </w:t>
      </w:r>
      <w:r w:rsidRPr="00225B93">
        <w:rPr>
          <w:rFonts w:hint="cs"/>
          <w:b/>
          <w:bCs/>
          <w:sz w:val="20"/>
          <w:szCs w:val="20"/>
          <w:rtl/>
        </w:rPr>
        <w:t>ב"ח</w:t>
      </w:r>
      <w:r w:rsidRPr="00225B93">
        <w:rPr>
          <w:rFonts w:hint="cs"/>
          <w:sz w:val="20"/>
          <w:szCs w:val="20"/>
          <w:rtl/>
        </w:rPr>
        <w:t xml:space="preserve">. טמאה, אדום שלקה. </w:t>
      </w:r>
      <w:r w:rsidRPr="00225B93">
        <w:rPr>
          <w:rFonts w:hint="cs"/>
          <w:b/>
          <w:bCs/>
          <w:sz w:val="20"/>
          <w:szCs w:val="20"/>
          <w:rtl/>
        </w:rPr>
        <w:t>ט"ז</w:t>
      </w:r>
      <w:r w:rsidRPr="00225B93">
        <w:rPr>
          <w:rFonts w:hint="cs"/>
          <w:sz w:val="20"/>
          <w:szCs w:val="20"/>
          <w:rtl/>
        </w:rPr>
        <w:t xml:space="preserve">. טהורה, דברי </w:t>
      </w:r>
      <w:r w:rsidRPr="00225B93">
        <w:rPr>
          <w:rFonts w:hint="cs"/>
          <w:b/>
          <w:bCs/>
          <w:sz w:val="20"/>
          <w:szCs w:val="20"/>
          <w:rtl/>
        </w:rPr>
        <w:t>הב"ח</w:t>
      </w:r>
      <w:r w:rsidRPr="00225B93">
        <w:rPr>
          <w:rFonts w:hint="cs"/>
          <w:sz w:val="20"/>
          <w:szCs w:val="20"/>
          <w:rtl/>
        </w:rPr>
        <w:t xml:space="preserve"> הם חידוש שלא נמצא בש"ס.</w:t>
      </w:r>
      <w:r w:rsidRPr="00225B93">
        <w:rPr>
          <w:sz w:val="20"/>
          <w:szCs w:val="20"/>
          <w:rtl/>
        </w:rPr>
        <w:br/>
      </w:r>
      <w:r w:rsidRPr="00225B93">
        <w:rPr>
          <w:rFonts w:hint="cs"/>
          <w:sz w:val="20"/>
          <w:szCs w:val="20"/>
          <w:rtl/>
        </w:rPr>
        <w:t xml:space="preserve">8. האם מותר לפסוק במראה לח. </w:t>
      </w:r>
      <w:r w:rsidRPr="00225B93">
        <w:rPr>
          <w:rFonts w:hint="cs"/>
          <w:b/>
          <w:bCs/>
          <w:sz w:val="20"/>
          <w:szCs w:val="20"/>
          <w:rtl/>
        </w:rPr>
        <w:t>ב"ח</w:t>
      </w:r>
      <w:r w:rsidRPr="00225B93">
        <w:rPr>
          <w:rFonts w:hint="cs"/>
          <w:sz w:val="20"/>
          <w:szCs w:val="20"/>
          <w:rtl/>
        </w:rPr>
        <w:t xml:space="preserve">. יש לראות דם רק כשיבש, לח עשוי להשתנות. </w:t>
      </w:r>
      <w:r w:rsidRPr="00225B93">
        <w:rPr>
          <w:rFonts w:hint="cs"/>
          <w:b/>
          <w:bCs/>
          <w:sz w:val="20"/>
          <w:szCs w:val="20"/>
          <w:rtl/>
        </w:rPr>
        <w:t>ט"ז</w:t>
      </w:r>
      <w:r w:rsidRPr="00225B93">
        <w:rPr>
          <w:rFonts w:hint="cs"/>
          <w:sz w:val="20"/>
          <w:szCs w:val="20"/>
          <w:rtl/>
        </w:rPr>
        <w:t xml:space="preserve">. מותר לראות דם כשהוא לח. </w:t>
      </w:r>
      <w:r w:rsidRPr="00225B93">
        <w:rPr>
          <w:rFonts w:hint="cs"/>
          <w:b/>
          <w:bCs/>
          <w:sz w:val="20"/>
          <w:szCs w:val="20"/>
          <w:rtl/>
        </w:rPr>
        <w:t>חכ"צ</w:t>
      </w:r>
      <w:r w:rsidRPr="00225B93">
        <w:rPr>
          <w:rFonts w:hint="cs"/>
          <w:sz w:val="20"/>
          <w:szCs w:val="20"/>
          <w:rtl/>
        </w:rPr>
        <w:t>. אזלינן תמיד בתר זמן יציאת הדם מהגוף, כלומר בזמן שהוא לח.</w:t>
      </w:r>
      <w:r w:rsidRPr="00225B93">
        <w:rPr>
          <w:sz w:val="20"/>
          <w:szCs w:val="20"/>
          <w:rtl/>
        </w:rPr>
        <w:br/>
      </w:r>
      <w:r w:rsidRPr="00225B93">
        <w:rPr>
          <w:rFonts w:hint="cs"/>
          <w:sz w:val="20"/>
          <w:szCs w:val="20"/>
          <w:rtl/>
        </w:rPr>
        <w:t xml:space="preserve">9. חומרות </w:t>
      </w:r>
      <w:r w:rsidRPr="00225B93">
        <w:rPr>
          <w:rFonts w:hint="cs"/>
          <w:b/>
          <w:bCs/>
          <w:sz w:val="20"/>
          <w:szCs w:val="20"/>
          <w:rtl/>
        </w:rPr>
        <w:t>ת"ה</w:t>
      </w:r>
      <w:r w:rsidRPr="00225B93">
        <w:rPr>
          <w:rFonts w:hint="cs"/>
          <w:sz w:val="20"/>
          <w:szCs w:val="20"/>
          <w:rtl/>
        </w:rPr>
        <w:t xml:space="preserve">. דם לבן סמיך </w:t>
      </w:r>
      <w:r w:rsidRPr="00225B93">
        <w:rPr>
          <w:sz w:val="20"/>
          <w:szCs w:val="20"/>
          <w:rtl/>
        </w:rPr>
        <w:t>–</w:t>
      </w:r>
      <w:r w:rsidRPr="00225B93">
        <w:rPr>
          <w:rFonts w:hint="cs"/>
          <w:sz w:val="20"/>
          <w:szCs w:val="20"/>
          <w:rtl/>
        </w:rPr>
        <w:t xml:space="preserve"> טמא. הרגישה שנפתח המקור ו</w:t>
      </w:r>
      <w:r>
        <w:rPr>
          <w:rFonts w:hint="cs"/>
          <w:sz w:val="20"/>
          <w:szCs w:val="20"/>
          <w:rtl/>
        </w:rPr>
        <w:t xml:space="preserve">לא מצאה כלום </w:t>
      </w:r>
      <w:r w:rsidRPr="00225B93">
        <w:rPr>
          <w:sz w:val="20"/>
          <w:szCs w:val="20"/>
          <w:rtl/>
        </w:rPr>
        <w:t>–</w:t>
      </w:r>
      <w:r w:rsidRPr="00225B93">
        <w:rPr>
          <w:rFonts w:hint="cs"/>
          <w:sz w:val="20"/>
          <w:szCs w:val="20"/>
          <w:rtl/>
        </w:rPr>
        <w:t xml:space="preserve"> טמאה. </w:t>
      </w:r>
      <w:r w:rsidRPr="00225B93">
        <w:rPr>
          <w:rFonts w:hint="cs"/>
          <w:b/>
          <w:bCs/>
          <w:sz w:val="20"/>
          <w:szCs w:val="20"/>
          <w:rtl/>
        </w:rPr>
        <w:t>ב"י</w:t>
      </w:r>
      <w:r w:rsidRPr="00225B93">
        <w:rPr>
          <w:rFonts w:hint="cs"/>
          <w:sz w:val="20"/>
          <w:szCs w:val="20"/>
          <w:rtl/>
        </w:rPr>
        <w:t>. דחה וטיהר.</w:t>
      </w:r>
      <w:r w:rsidRPr="00225B93">
        <w:rPr>
          <w:sz w:val="20"/>
          <w:szCs w:val="20"/>
          <w:rtl/>
        </w:rPr>
        <w:br/>
      </w:r>
      <w:r w:rsidRPr="00225B93">
        <w:rPr>
          <w:rFonts w:hint="cs"/>
          <w:sz w:val="20"/>
          <w:szCs w:val="20"/>
          <w:rtl/>
        </w:rPr>
        <w:t xml:space="preserve">10. </w:t>
      </w:r>
      <w:r w:rsidRPr="00225B93">
        <w:rPr>
          <w:rFonts w:hint="cs"/>
          <w:b/>
          <w:bCs/>
          <w:sz w:val="20"/>
          <w:szCs w:val="20"/>
          <w:rtl/>
        </w:rPr>
        <w:t>ט"ז</w:t>
      </w:r>
      <w:r w:rsidRPr="00225B93">
        <w:rPr>
          <w:rFonts w:hint="cs"/>
          <w:sz w:val="20"/>
          <w:szCs w:val="20"/>
          <w:rtl/>
        </w:rPr>
        <w:t xml:space="preserve">. אפילו מראה לבן כהה </w:t>
      </w:r>
      <w:r w:rsidRPr="00225B93">
        <w:rPr>
          <w:rFonts w:hint="cs"/>
          <w:sz w:val="18"/>
          <w:szCs w:val="18"/>
          <w:rtl/>
        </w:rPr>
        <w:t xml:space="preserve">(אפור) </w:t>
      </w:r>
      <w:r w:rsidRPr="00225B93">
        <w:rPr>
          <w:sz w:val="20"/>
          <w:szCs w:val="20"/>
          <w:rtl/>
        </w:rPr>
        <w:t>–</w:t>
      </w:r>
      <w:r w:rsidRPr="00225B93">
        <w:rPr>
          <w:rFonts w:hint="cs"/>
          <w:sz w:val="20"/>
          <w:szCs w:val="20"/>
          <w:rtl/>
        </w:rPr>
        <w:t xml:space="preserve"> טהור, וכ"פ </w:t>
      </w:r>
      <w:r w:rsidRPr="00225B93">
        <w:rPr>
          <w:rFonts w:hint="cs"/>
          <w:b/>
          <w:bCs/>
          <w:sz w:val="20"/>
          <w:szCs w:val="20"/>
          <w:rtl/>
        </w:rPr>
        <w:t>טהרת הבית</w:t>
      </w:r>
      <w:r w:rsidRPr="00225B93">
        <w:rPr>
          <w:rFonts w:hint="cs"/>
          <w:sz w:val="20"/>
          <w:szCs w:val="20"/>
          <w:rtl/>
        </w:rPr>
        <w:t>.</w:t>
      </w:r>
      <w:r w:rsidRPr="00225B93">
        <w:rPr>
          <w:rFonts w:hint="cs"/>
          <w:sz w:val="20"/>
          <w:szCs w:val="20"/>
          <w:rtl/>
        </w:rPr>
        <w:br/>
        <w:t xml:space="preserve">11. </w:t>
      </w:r>
      <w:r w:rsidRPr="00225B93">
        <w:rPr>
          <w:rFonts w:hint="cs"/>
          <w:b/>
          <w:bCs/>
          <w:sz w:val="20"/>
          <w:szCs w:val="20"/>
          <w:rtl/>
        </w:rPr>
        <w:t>פת"ש</w:t>
      </w:r>
      <w:r w:rsidRPr="00225B93">
        <w:rPr>
          <w:rFonts w:hint="cs"/>
          <w:sz w:val="20"/>
          <w:szCs w:val="20"/>
          <w:rtl/>
        </w:rPr>
        <w:t xml:space="preserve">. נראה בלילה טמא וביום טהור. </w:t>
      </w:r>
      <w:r w:rsidRPr="00225B93">
        <w:rPr>
          <w:rFonts w:hint="cs"/>
          <w:b/>
          <w:bCs/>
          <w:sz w:val="20"/>
          <w:szCs w:val="20"/>
          <w:rtl/>
        </w:rPr>
        <w:t>גב"ש</w:t>
      </w:r>
      <w:r w:rsidRPr="00225B93">
        <w:rPr>
          <w:rFonts w:hint="cs"/>
          <w:sz w:val="20"/>
          <w:szCs w:val="20"/>
          <w:rtl/>
        </w:rPr>
        <w:t xml:space="preserve">. טהור. </w:t>
      </w:r>
      <w:r w:rsidRPr="00225B93">
        <w:rPr>
          <w:rFonts w:hint="cs"/>
          <w:b/>
          <w:bCs/>
          <w:sz w:val="20"/>
          <w:szCs w:val="20"/>
          <w:rtl/>
        </w:rPr>
        <w:t>לב"ש</w:t>
      </w:r>
      <w:r w:rsidRPr="00225B93">
        <w:rPr>
          <w:rFonts w:hint="cs"/>
          <w:sz w:val="20"/>
          <w:szCs w:val="20"/>
          <w:rtl/>
        </w:rPr>
        <w:t xml:space="preserve">. אם ראה פעם נוספת ביום והשתנה שוב </w:t>
      </w:r>
      <w:r w:rsidRPr="00225B93">
        <w:rPr>
          <w:sz w:val="20"/>
          <w:szCs w:val="20"/>
          <w:rtl/>
        </w:rPr>
        <w:t>–</w:t>
      </w:r>
      <w:r w:rsidRPr="00225B93">
        <w:rPr>
          <w:rFonts w:hint="cs"/>
          <w:sz w:val="20"/>
          <w:szCs w:val="20"/>
          <w:rtl/>
        </w:rPr>
        <w:t xml:space="preserve"> טמא. </w:t>
      </w:r>
      <w:r w:rsidRPr="00225B93">
        <w:rPr>
          <w:rFonts w:hint="cs"/>
          <w:b/>
          <w:bCs/>
          <w:sz w:val="20"/>
          <w:szCs w:val="20"/>
          <w:rtl/>
        </w:rPr>
        <w:t>סד"ט</w:t>
      </w:r>
      <w:r w:rsidRPr="00225B93">
        <w:rPr>
          <w:rFonts w:hint="cs"/>
          <w:sz w:val="20"/>
          <w:szCs w:val="20"/>
          <w:rtl/>
        </w:rPr>
        <w:t xml:space="preserve">. דווקא אם בלילה הסתפק, אך אם בלילה היה טמא בוודאי </w:t>
      </w:r>
      <w:r w:rsidRPr="00225B93">
        <w:rPr>
          <w:sz w:val="20"/>
          <w:szCs w:val="20"/>
          <w:rtl/>
        </w:rPr>
        <w:t>–</w:t>
      </w:r>
      <w:r w:rsidRPr="00225B93">
        <w:rPr>
          <w:rFonts w:hint="cs"/>
          <w:sz w:val="20"/>
          <w:szCs w:val="20"/>
          <w:rtl/>
        </w:rPr>
        <w:t xml:space="preserve"> טמא.</w:t>
      </w:r>
      <w:r w:rsidRPr="00225B93">
        <w:rPr>
          <w:sz w:val="20"/>
          <w:szCs w:val="20"/>
          <w:rtl/>
        </w:rPr>
        <w:br/>
      </w:r>
      <w:r w:rsidRPr="00225B93">
        <w:rPr>
          <w:rFonts w:hint="cs"/>
          <w:sz w:val="20"/>
          <w:szCs w:val="20"/>
          <w:rtl/>
        </w:rPr>
        <w:t>12. צבע חום.</w:t>
      </w:r>
      <w:r>
        <w:rPr>
          <w:rFonts w:hint="cs"/>
          <w:sz w:val="20"/>
          <w:szCs w:val="20"/>
          <w:rtl/>
        </w:rPr>
        <w:t xml:space="preserve"> </w:t>
      </w:r>
      <w:r w:rsidRPr="00F906FA">
        <w:rPr>
          <w:rFonts w:hint="cs"/>
          <w:b/>
          <w:bCs/>
          <w:sz w:val="20"/>
          <w:szCs w:val="20"/>
          <w:rtl/>
        </w:rPr>
        <w:t>סד"ט</w:t>
      </w:r>
      <w:r>
        <w:rPr>
          <w:rFonts w:hint="cs"/>
          <w:sz w:val="20"/>
          <w:szCs w:val="20"/>
          <w:rtl/>
        </w:rPr>
        <w:t xml:space="preserve"> </w:t>
      </w:r>
      <w:r>
        <w:rPr>
          <w:sz w:val="20"/>
          <w:szCs w:val="20"/>
          <w:rtl/>
        </w:rPr>
        <w:t>–</w:t>
      </w:r>
      <w:r>
        <w:rPr>
          <w:rFonts w:hint="cs"/>
          <w:sz w:val="20"/>
          <w:szCs w:val="20"/>
          <w:rtl/>
        </w:rPr>
        <w:t xml:space="preserve"> טהור. </w:t>
      </w:r>
      <w:r w:rsidRPr="00FA7DB3">
        <w:rPr>
          <w:rFonts w:hint="cs"/>
          <w:b/>
          <w:bCs/>
          <w:sz w:val="20"/>
          <w:szCs w:val="20"/>
          <w:rtl/>
        </w:rPr>
        <w:t>לחו"ש</w:t>
      </w:r>
      <w:r>
        <w:rPr>
          <w:rFonts w:hint="cs"/>
          <w:sz w:val="20"/>
          <w:szCs w:val="20"/>
          <w:rtl/>
        </w:rPr>
        <w:t xml:space="preserve">. טמא. </w:t>
      </w:r>
      <w:r w:rsidRPr="00FA7DB3">
        <w:rPr>
          <w:rFonts w:hint="cs"/>
          <w:b/>
          <w:bCs/>
          <w:sz w:val="20"/>
          <w:szCs w:val="20"/>
          <w:rtl/>
        </w:rPr>
        <w:t>טה"ב</w:t>
      </w:r>
      <w:r>
        <w:rPr>
          <w:rFonts w:hint="cs"/>
          <w:sz w:val="20"/>
          <w:szCs w:val="20"/>
          <w:rtl/>
        </w:rPr>
        <w:t xml:space="preserve">. בהרגשה טמאה, עד בדיקה או כתם </w:t>
      </w:r>
      <w:r>
        <w:rPr>
          <w:sz w:val="20"/>
          <w:szCs w:val="20"/>
          <w:rtl/>
        </w:rPr>
        <w:t>–</w:t>
      </w:r>
      <w:r>
        <w:rPr>
          <w:rFonts w:hint="cs"/>
          <w:sz w:val="20"/>
          <w:szCs w:val="20"/>
          <w:rtl/>
        </w:rPr>
        <w:t xml:space="preserve"> טהורה. ובהפסק טהרה יש להחמיר. אך אם נוטה לצהוב או שחור </w:t>
      </w:r>
      <w:r>
        <w:rPr>
          <w:sz w:val="20"/>
          <w:szCs w:val="20"/>
          <w:rtl/>
        </w:rPr>
        <w:t>–</w:t>
      </w:r>
      <w:r>
        <w:rPr>
          <w:rFonts w:hint="cs"/>
          <w:sz w:val="20"/>
          <w:szCs w:val="20"/>
          <w:rtl/>
        </w:rPr>
        <w:t xml:space="preserve"> טהורה.</w:t>
      </w:r>
      <w:r>
        <w:rPr>
          <w:rFonts w:hint="cs"/>
          <w:sz w:val="20"/>
          <w:szCs w:val="20"/>
          <w:rtl/>
        </w:rPr>
        <w:br/>
        <w:t xml:space="preserve">13. </w:t>
      </w:r>
      <w:r w:rsidRPr="006544A4">
        <w:rPr>
          <w:rFonts w:hint="cs"/>
          <w:b/>
          <w:bCs/>
          <w:sz w:val="20"/>
          <w:szCs w:val="20"/>
          <w:rtl/>
        </w:rPr>
        <w:t>תפא"צ ושבה"ל</w:t>
      </w:r>
      <w:r>
        <w:rPr>
          <w:rFonts w:hint="cs"/>
          <w:sz w:val="20"/>
          <w:szCs w:val="20"/>
          <w:rtl/>
        </w:rPr>
        <w:t>. לכתחילה יש להורות במראה צהוב לפרוש למשך לילה ולא לשמש.</w:t>
      </w:r>
      <w:r>
        <w:rPr>
          <w:sz w:val="20"/>
          <w:szCs w:val="20"/>
          <w:rtl/>
        </w:rPr>
        <w:br/>
      </w:r>
      <w:r>
        <w:rPr>
          <w:rFonts w:hint="cs"/>
          <w:sz w:val="20"/>
          <w:szCs w:val="20"/>
          <w:rtl/>
        </w:rPr>
        <w:t xml:space="preserve">14. </w:t>
      </w:r>
      <w:r w:rsidRPr="00F906FA">
        <w:rPr>
          <w:rFonts w:hint="cs"/>
          <w:b/>
          <w:bCs/>
          <w:sz w:val="20"/>
          <w:szCs w:val="20"/>
          <w:rtl/>
        </w:rPr>
        <w:t>חת"ס</w:t>
      </w:r>
      <w:r>
        <w:rPr>
          <w:rFonts w:hint="cs"/>
          <w:sz w:val="20"/>
          <w:szCs w:val="20"/>
          <w:rtl/>
        </w:rPr>
        <w:t>. רשאי אדם להחמיר על עצמו במקרה של שאלה בטהרת אשתו, ואע"פ שאשתו אינה מסכימה.</w:t>
      </w:r>
      <w:r>
        <w:rPr>
          <w:rFonts w:hint="cs"/>
          <w:sz w:val="20"/>
          <w:szCs w:val="20"/>
          <w:rtl/>
        </w:rPr>
        <w:br/>
        <w:t xml:space="preserve">15. </w:t>
      </w:r>
      <w:r w:rsidRPr="00906722">
        <w:rPr>
          <w:rFonts w:hint="cs"/>
          <w:b/>
          <w:bCs/>
          <w:sz w:val="20"/>
          <w:szCs w:val="20"/>
          <w:rtl/>
        </w:rPr>
        <w:t>גמרא</w:t>
      </w:r>
      <w:r>
        <w:rPr>
          <w:rFonts w:hint="cs"/>
          <w:sz w:val="20"/>
          <w:szCs w:val="20"/>
          <w:rtl/>
        </w:rPr>
        <w:t xml:space="preserve">. תנאים הקלו לבדוק ביום, אמוראים החמירו לבדוק בחמה ובצל. </w:t>
      </w:r>
      <w:r w:rsidRPr="00906722">
        <w:rPr>
          <w:rFonts w:hint="cs"/>
          <w:b/>
          <w:bCs/>
          <w:sz w:val="20"/>
          <w:szCs w:val="20"/>
          <w:rtl/>
        </w:rPr>
        <w:t>רמב"ם</w:t>
      </w:r>
      <w:r>
        <w:rPr>
          <w:rFonts w:hint="cs"/>
          <w:sz w:val="20"/>
          <w:szCs w:val="20"/>
          <w:rtl/>
        </w:rPr>
        <w:t xml:space="preserve">. יש לבדוק בחמה ובצל. </w:t>
      </w:r>
      <w:r w:rsidRPr="00906722">
        <w:rPr>
          <w:rFonts w:hint="cs"/>
          <w:b/>
          <w:bCs/>
          <w:sz w:val="20"/>
          <w:szCs w:val="20"/>
          <w:rtl/>
        </w:rPr>
        <w:t>ראב"ד</w:t>
      </w:r>
      <w:r>
        <w:rPr>
          <w:rFonts w:hint="cs"/>
          <w:sz w:val="20"/>
          <w:szCs w:val="20"/>
          <w:rtl/>
        </w:rPr>
        <w:t xml:space="preserve">. א"צ להקפיד בכך מכיוון שמטמאים כל מראה אדום. </w:t>
      </w:r>
      <w:r>
        <w:rPr>
          <w:rFonts w:hint="cs"/>
          <w:sz w:val="20"/>
          <w:szCs w:val="20"/>
          <w:rtl/>
        </w:rPr>
        <w:br/>
        <w:t xml:space="preserve">16. </w:t>
      </w:r>
      <w:r w:rsidRPr="00906722">
        <w:rPr>
          <w:rFonts w:hint="cs"/>
          <w:b/>
          <w:bCs/>
          <w:sz w:val="20"/>
          <w:szCs w:val="20"/>
          <w:rtl/>
        </w:rPr>
        <w:t>תוה"ש</w:t>
      </w:r>
      <w:r>
        <w:rPr>
          <w:rFonts w:hint="cs"/>
          <w:sz w:val="20"/>
          <w:szCs w:val="20"/>
          <w:rtl/>
        </w:rPr>
        <w:t xml:space="preserve">. הלכה כראב"ד ולכן השמיטו הפוסקים דין זה. </w:t>
      </w:r>
      <w:r w:rsidRPr="00906722">
        <w:rPr>
          <w:rFonts w:hint="cs"/>
          <w:b/>
          <w:bCs/>
          <w:sz w:val="20"/>
          <w:szCs w:val="20"/>
          <w:rtl/>
        </w:rPr>
        <w:t>ערוה"ש</w:t>
      </w:r>
      <w:r>
        <w:rPr>
          <w:rFonts w:hint="cs"/>
          <w:sz w:val="20"/>
          <w:szCs w:val="20"/>
          <w:rtl/>
        </w:rPr>
        <w:t>. לכתחילה יש לבדוק בחמה.</w:t>
      </w:r>
    </w:p>
    <w:p w:rsidR="00620060" w:rsidRDefault="00620060" w:rsidP="00620060">
      <w:pPr>
        <w:rPr>
          <w:sz w:val="20"/>
          <w:szCs w:val="20"/>
          <w:rtl/>
        </w:rPr>
      </w:pPr>
      <w:r>
        <w:rPr>
          <w:sz w:val="20"/>
          <w:szCs w:val="20"/>
          <w:rtl/>
        </w:rPr>
        <w:br/>
      </w:r>
      <w:r>
        <w:rPr>
          <w:rFonts w:hint="cs"/>
          <w:b/>
          <w:bCs/>
          <w:sz w:val="20"/>
          <w:szCs w:val="20"/>
          <w:rtl/>
        </w:rPr>
        <w:t xml:space="preserve">סעיף ב </w:t>
      </w:r>
      <w:r>
        <w:rPr>
          <w:b/>
          <w:bCs/>
          <w:sz w:val="20"/>
          <w:szCs w:val="20"/>
          <w:rtl/>
        </w:rPr>
        <w:t>–</w:t>
      </w:r>
      <w:r>
        <w:rPr>
          <w:rFonts w:hint="cs"/>
          <w:b/>
          <w:bCs/>
          <w:sz w:val="20"/>
          <w:szCs w:val="20"/>
          <w:rtl/>
        </w:rPr>
        <w:t xml:space="preserve"> נאמנות האשה על מראות הדם</w:t>
      </w:r>
      <w:r w:rsidRPr="00290312">
        <w:rPr>
          <w:rStyle w:val="a5"/>
          <w:sz w:val="20"/>
          <w:szCs w:val="20"/>
          <w:rtl/>
        </w:rPr>
        <w:footnoteReference w:id="148"/>
      </w:r>
      <w:r>
        <w:rPr>
          <w:b/>
          <w:bCs/>
          <w:sz w:val="20"/>
          <w:szCs w:val="20"/>
          <w:rtl/>
        </w:rPr>
        <w:br/>
      </w:r>
      <w:r>
        <w:rPr>
          <w:rFonts w:hint="cs"/>
          <w:b/>
          <w:bCs/>
          <w:sz w:val="20"/>
          <w:szCs w:val="20"/>
          <w:rtl/>
        </w:rPr>
        <w:lastRenderedPageBreak/>
        <w:t>מקור הדין</w:t>
      </w:r>
      <w:r>
        <w:rPr>
          <w:b/>
          <w:bCs/>
          <w:sz w:val="20"/>
          <w:szCs w:val="20"/>
          <w:rtl/>
        </w:rPr>
        <w:br/>
      </w:r>
      <w:r>
        <w:rPr>
          <w:rFonts w:hint="cs"/>
          <w:b/>
          <w:bCs/>
          <w:sz w:val="20"/>
          <w:szCs w:val="20"/>
          <w:rtl/>
        </w:rPr>
        <w:t xml:space="preserve">גמרא </w:t>
      </w:r>
      <w:r>
        <w:rPr>
          <w:rFonts w:hint="cs"/>
          <w:sz w:val="20"/>
          <w:szCs w:val="20"/>
          <w:rtl/>
        </w:rPr>
        <w:t>נידה (כ:) "</w:t>
      </w:r>
      <w:r w:rsidRPr="00DF190B">
        <w:rPr>
          <w:rFonts w:cs="Arial" w:hint="cs"/>
          <w:sz w:val="20"/>
          <w:szCs w:val="20"/>
          <w:rtl/>
        </w:rPr>
        <w:t>תניא</w:t>
      </w:r>
      <w:r w:rsidRPr="00DF190B">
        <w:rPr>
          <w:rFonts w:cs="Arial"/>
          <w:sz w:val="20"/>
          <w:szCs w:val="20"/>
          <w:rtl/>
        </w:rPr>
        <w:t xml:space="preserve">: </w:t>
      </w:r>
      <w:r w:rsidRPr="00DF190B">
        <w:rPr>
          <w:rFonts w:cs="Arial" w:hint="cs"/>
          <w:sz w:val="20"/>
          <w:szCs w:val="20"/>
          <w:rtl/>
        </w:rPr>
        <w:t>נאמנת</w:t>
      </w:r>
      <w:r w:rsidRPr="00DF190B">
        <w:rPr>
          <w:rFonts w:cs="Arial"/>
          <w:sz w:val="20"/>
          <w:szCs w:val="20"/>
          <w:rtl/>
        </w:rPr>
        <w:t xml:space="preserve"> </w:t>
      </w:r>
      <w:r w:rsidRPr="00DF190B">
        <w:rPr>
          <w:rFonts w:cs="Arial" w:hint="cs"/>
          <w:sz w:val="20"/>
          <w:szCs w:val="20"/>
          <w:rtl/>
        </w:rPr>
        <w:t>אשה</w:t>
      </w:r>
      <w:r w:rsidRPr="00DF190B">
        <w:rPr>
          <w:rFonts w:cs="Arial"/>
          <w:sz w:val="20"/>
          <w:szCs w:val="20"/>
          <w:rtl/>
        </w:rPr>
        <w:t xml:space="preserve"> </w:t>
      </w:r>
      <w:r w:rsidRPr="00DF190B">
        <w:rPr>
          <w:rFonts w:cs="Arial" w:hint="cs"/>
          <w:sz w:val="20"/>
          <w:szCs w:val="20"/>
          <w:rtl/>
        </w:rPr>
        <w:t>לומר</w:t>
      </w:r>
      <w:r w:rsidRPr="00DF190B">
        <w:rPr>
          <w:rFonts w:cs="Arial"/>
          <w:sz w:val="20"/>
          <w:szCs w:val="20"/>
          <w:rtl/>
        </w:rPr>
        <w:t xml:space="preserve"> </w:t>
      </w:r>
      <w:r w:rsidRPr="00DF190B">
        <w:rPr>
          <w:rFonts w:cs="Arial" w:hint="cs"/>
          <w:sz w:val="20"/>
          <w:szCs w:val="20"/>
          <w:rtl/>
        </w:rPr>
        <w:t>כזה</w:t>
      </w:r>
      <w:r w:rsidRPr="00DF190B">
        <w:rPr>
          <w:rFonts w:cs="Arial"/>
          <w:sz w:val="20"/>
          <w:szCs w:val="20"/>
          <w:rtl/>
        </w:rPr>
        <w:t xml:space="preserve"> </w:t>
      </w:r>
      <w:r w:rsidRPr="00DF190B">
        <w:rPr>
          <w:rFonts w:cs="Arial" w:hint="cs"/>
          <w:sz w:val="20"/>
          <w:szCs w:val="20"/>
          <w:rtl/>
        </w:rPr>
        <w:t>ראיתי</w:t>
      </w:r>
      <w:r w:rsidRPr="00DF190B">
        <w:rPr>
          <w:rFonts w:cs="Arial"/>
          <w:sz w:val="20"/>
          <w:szCs w:val="20"/>
          <w:rtl/>
        </w:rPr>
        <w:t xml:space="preserve"> </w:t>
      </w:r>
      <w:r w:rsidRPr="00DF190B">
        <w:rPr>
          <w:rFonts w:cs="Arial" w:hint="cs"/>
          <w:sz w:val="20"/>
          <w:szCs w:val="20"/>
          <w:rtl/>
        </w:rPr>
        <w:t>ואבדתיו</w:t>
      </w:r>
      <w:r w:rsidRPr="00DF190B">
        <w:rPr>
          <w:rFonts w:cs="Arial"/>
          <w:sz w:val="20"/>
          <w:szCs w:val="20"/>
          <w:rtl/>
        </w:rPr>
        <w:t xml:space="preserve">. </w:t>
      </w:r>
      <w:r>
        <w:rPr>
          <w:rFonts w:cs="Arial" w:hint="cs"/>
          <w:sz w:val="20"/>
          <w:szCs w:val="20"/>
          <w:rtl/>
        </w:rPr>
        <w:br/>
      </w:r>
      <w:r w:rsidRPr="00DF190B">
        <w:rPr>
          <w:rFonts w:cs="Arial" w:hint="cs"/>
          <w:sz w:val="20"/>
          <w:szCs w:val="20"/>
          <w:rtl/>
        </w:rPr>
        <w:t>איבעיא</w:t>
      </w:r>
      <w:r w:rsidRPr="00DF190B">
        <w:rPr>
          <w:rFonts w:cs="Arial"/>
          <w:sz w:val="20"/>
          <w:szCs w:val="20"/>
          <w:rtl/>
        </w:rPr>
        <w:t xml:space="preserve"> </w:t>
      </w:r>
      <w:r w:rsidRPr="00DF190B">
        <w:rPr>
          <w:rFonts w:cs="Arial" w:hint="cs"/>
          <w:sz w:val="20"/>
          <w:szCs w:val="20"/>
          <w:rtl/>
        </w:rPr>
        <w:t>להו</w:t>
      </w:r>
      <w:r w:rsidRPr="00DF190B">
        <w:rPr>
          <w:rFonts w:cs="Arial"/>
          <w:sz w:val="20"/>
          <w:szCs w:val="20"/>
          <w:rtl/>
        </w:rPr>
        <w:t xml:space="preserve">: </w:t>
      </w:r>
      <w:r w:rsidRPr="00DF190B">
        <w:rPr>
          <w:rFonts w:cs="Arial" w:hint="cs"/>
          <w:sz w:val="20"/>
          <w:szCs w:val="20"/>
          <w:rtl/>
        </w:rPr>
        <w:t>כזה</w:t>
      </w:r>
      <w:r w:rsidRPr="00DF190B">
        <w:rPr>
          <w:rFonts w:cs="Arial"/>
          <w:sz w:val="20"/>
          <w:szCs w:val="20"/>
          <w:rtl/>
        </w:rPr>
        <w:t xml:space="preserve"> </w:t>
      </w:r>
      <w:r w:rsidRPr="00DF190B">
        <w:rPr>
          <w:rFonts w:cs="Arial" w:hint="cs"/>
          <w:sz w:val="20"/>
          <w:szCs w:val="20"/>
          <w:rtl/>
        </w:rPr>
        <w:t>טיהר</w:t>
      </w:r>
      <w:r w:rsidRPr="00DF190B">
        <w:rPr>
          <w:rFonts w:cs="Arial"/>
          <w:sz w:val="20"/>
          <w:szCs w:val="20"/>
          <w:rtl/>
        </w:rPr>
        <w:t xml:space="preserve"> </w:t>
      </w:r>
      <w:r w:rsidRPr="00DF190B">
        <w:rPr>
          <w:rFonts w:cs="Arial" w:hint="cs"/>
          <w:sz w:val="20"/>
          <w:szCs w:val="20"/>
          <w:rtl/>
        </w:rPr>
        <w:t>איש</w:t>
      </w:r>
      <w:r w:rsidRPr="00DF190B">
        <w:rPr>
          <w:rFonts w:cs="Arial"/>
          <w:sz w:val="20"/>
          <w:szCs w:val="20"/>
          <w:rtl/>
        </w:rPr>
        <w:t xml:space="preserve"> </w:t>
      </w:r>
      <w:r w:rsidRPr="00DF190B">
        <w:rPr>
          <w:rFonts w:cs="Arial" w:hint="cs"/>
          <w:sz w:val="20"/>
          <w:szCs w:val="20"/>
          <w:rtl/>
        </w:rPr>
        <w:t>פלוני</w:t>
      </w:r>
      <w:r w:rsidRPr="00DF190B">
        <w:rPr>
          <w:rFonts w:cs="Arial"/>
          <w:sz w:val="20"/>
          <w:szCs w:val="20"/>
          <w:rtl/>
        </w:rPr>
        <w:t xml:space="preserve"> </w:t>
      </w:r>
      <w:r w:rsidRPr="00DF190B">
        <w:rPr>
          <w:rFonts w:cs="Arial" w:hint="cs"/>
          <w:sz w:val="20"/>
          <w:szCs w:val="20"/>
          <w:rtl/>
        </w:rPr>
        <w:t>חכם</w:t>
      </w:r>
      <w:r w:rsidRPr="00DF190B">
        <w:rPr>
          <w:rFonts w:cs="Arial"/>
          <w:sz w:val="20"/>
          <w:szCs w:val="20"/>
          <w:rtl/>
        </w:rPr>
        <w:t xml:space="preserve"> </w:t>
      </w:r>
      <w:r w:rsidRPr="00DF190B">
        <w:rPr>
          <w:rFonts w:cs="Arial" w:hint="cs"/>
          <w:sz w:val="20"/>
          <w:szCs w:val="20"/>
          <w:rtl/>
        </w:rPr>
        <w:t>מהו</w:t>
      </w:r>
      <w:r w:rsidRPr="00DF190B">
        <w:rPr>
          <w:rFonts w:cs="Arial"/>
          <w:sz w:val="20"/>
          <w:szCs w:val="20"/>
          <w:rtl/>
        </w:rPr>
        <w:t xml:space="preserve">! </w:t>
      </w:r>
      <w:r w:rsidRPr="00DF190B">
        <w:rPr>
          <w:rFonts w:cs="Arial" w:hint="cs"/>
          <w:sz w:val="20"/>
          <w:szCs w:val="20"/>
          <w:rtl/>
        </w:rPr>
        <w:t>תא</w:t>
      </w:r>
      <w:r w:rsidRPr="00DF190B">
        <w:rPr>
          <w:rFonts w:cs="Arial"/>
          <w:sz w:val="20"/>
          <w:szCs w:val="20"/>
          <w:rtl/>
        </w:rPr>
        <w:t xml:space="preserve"> </w:t>
      </w:r>
      <w:r w:rsidRPr="00DF190B">
        <w:rPr>
          <w:rFonts w:cs="Arial" w:hint="cs"/>
          <w:sz w:val="20"/>
          <w:szCs w:val="20"/>
          <w:rtl/>
        </w:rPr>
        <w:t>שמע</w:t>
      </w:r>
      <w:r w:rsidRPr="00DF190B">
        <w:rPr>
          <w:rFonts w:cs="Arial"/>
          <w:sz w:val="20"/>
          <w:szCs w:val="20"/>
          <w:rtl/>
        </w:rPr>
        <w:t xml:space="preserve">: </w:t>
      </w:r>
      <w:r w:rsidRPr="00DF190B">
        <w:rPr>
          <w:rFonts w:cs="Arial" w:hint="cs"/>
          <w:sz w:val="20"/>
          <w:szCs w:val="20"/>
          <w:rtl/>
        </w:rPr>
        <w:t>נאמנת</w:t>
      </w:r>
      <w:r w:rsidRPr="00DF190B">
        <w:rPr>
          <w:rFonts w:cs="Arial"/>
          <w:sz w:val="20"/>
          <w:szCs w:val="20"/>
          <w:rtl/>
        </w:rPr>
        <w:t xml:space="preserve"> </w:t>
      </w:r>
      <w:r w:rsidRPr="00DF190B">
        <w:rPr>
          <w:rFonts w:cs="Arial" w:hint="cs"/>
          <w:sz w:val="20"/>
          <w:szCs w:val="20"/>
          <w:rtl/>
        </w:rPr>
        <w:t>אשה</w:t>
      </w:r>
      <w:r w:rsidRPr="00DF190B">
        <w:rPr>
          <w:rFonts w:cs="Arial"/>
          <w:sz w:val="20"/>
          <w:szCs w:val="20"/>
          <w:rtl/>
        </w:rPr>
        <w:t xml:space="preserve"> </w:t>
      </w:r>
      <w:r w:rsidRPr="00DF190B">
        <w:rPr>
          <w:rFonts w:cs="Arial" w:hint="cs"/>
          <w:sz w:val="20"/>
          <w:szCs w:val="20"/>
          <w:rtl/>
        </w:rPr>
        <w:t>לומר</w:t>
      </w:r>
      <w:r w:rsidRPr="00DF190B">
        <w:rPr>
          <w:rFonts w:cs="Arial"/>
          <w:sz w:val="20"/>
          <w:szCs w:val="20"/>
          <w:rtl/>
        </w:rPr>
        <w:t xml:space="preserve"> </w:t>
      </w:r>
      <w:r w:rsidRPr="00DF190B">
        <w:rPr>
          <w:rFonts w:cs="Arial" w:hint="cs"/>
          <w:sz w:val="20"/>
          <w:szCs w:val="20"/>
          <w:rtl/>
        </w:rPr>
        <w:t>כזה</w:t>
      </w:r>
      <w:r w:rsidRPr="00DF190B">
        <w:rPr>
          <w:rFonts w:cs="Arial"/>
          <w:sz w:val="20"/>
          <w:szCs w:val="20"/>
          <w:rtl/>
        </w:rPr>
        <w:t xml:space="preserve"> </w:t>
      </w:r>
      <w:r w:rsidRPr="00DF190B">
        <w:rPr>
          <w:rFonts w:cs="Arial" w:hint="cs"/>
          <w:sz w:val="20"/>
          <w:szCs w:val="20"/>
          <w:rtl/>
        </w:rPr>
        <w:t>ראיתי</w:t>
      </w:r>
      <w:r w:rsidRPr="00DF190B">
        <w:rPr>
          <w:rFonts w:cs="Arial"/>
          <w:sz w:val="20"/>
          <w:szCs w:val="20"/>
          <w:rtl/>
        </w:rPr>
        <w:t xml:space="preserve"> </w:t>
      </w:r>
      <w:r w:rsidRPr="00DF190B">
        <w:rPr>
          <w:rFonts w:cs="Arial" w:hint="cs"/>
          <w:sz w:val="20"/>
          <w:szCs w:val="20"/>
          <w:rtl/>
        </w:rPr>
        <w:t>ואבדתיו</w:t>
      </w:r>
      <w:r w:rsidRPr="00DF190B">
        <w:rPr>
          <w:rFonts w:cs="Arial"/>
          <w:sz w:val="20"/>
          <w:szCs w:val="20"/>
          <w:rtl/>
        </w:rPr>
        <w:t xml:space="preserve">, </w:t>
      </w:r>
      <w:r w:rsidRPr="00DF190B">
        <w:rPr>
          <w:rFonts w:cs="Arial" w:hint="cs"/>
          <w:sz w:val="20"/>
          <w:szCs w:val="20"/>
          <w:rtl/>
        </w:rPr>
        <w:t>שאני</w:t>
      </w:r>
      <w:r w:rsidRPr="00DF190B">
        <w:rPr>
          <w:rFonts w:cs="Arial"/>
          <w:sz w:val="20"/>
          <w:szCs w:val="20"/>
          <w:rtl/>
        </w:rPr>
        <w:t xml:space="preserve"> </w:t>
      </w:r>
      <w:r w:rsidRPr="00DF190B">
        <w:rPr>
          <w:rFonts w:cs="Arial" w:hint="cs"/>
          <w:sz w:val="20"/>
          <w:szCs w:val="20"/>
          <w:rtl/>
        </w:rPr>
        <w:t>התם</w:t>
      </w:r>
      <w:r w:rsidRPr="00DF190B">
        <w:rPr>
          <w:rFonts w:cs="Arial"/>
          <w:sz w:val="20"/>
          <w:szCs w:val="20"/>
          <w:rtl/>
        </w:rPr>
        <w:t xml:space="preserve"> - </w:t>
      </w:r>
      <w:r w:rsidRPr="00DF190B">
        <w:rPr>
          <w:rFonts w:cs="Arial" w:hint="cs"/>
          <w:sz w:val="20"/>
          <w:szCs w:val="20"/>
          <w:rtl/>
        </w:rPr>
        <w:t>דליתיה</w:t>
      </w:r>
      <w:r w:rsidRPr="00DF190B">
        <w:rPr>
          <w:rFonts w:cs="Arial"/>
          <w:sz w:val="20"/>
          <w:szCs w:val="20"/>
          <w:rtl/>
        </w:rPr>
        <w:t xml:space="preserve"> </w:t>
      </w:r>
      <w:r w:rsidRPr="00DF190B">
        <w:rPr>
          <w:rFonts w:cs="Arial" w:hint="cs"/>
          <w:sz w:val="20"/>
          <w:szCs w:val="20"/>
          <w:rtl/>
        </w:rPr>
        <w:t>לקמה</w:t>
      </w:r>
      <w:r w:rsidRPr="00DF190B">
        <w:rPr>
          <w:rFonts w:cs="Arial"/>
          <w:sz w:val="20"/>
          <w:szCs w:val="20"/>
          <w:rtl/>
        </w:rPr>
        <w:t xml:space="preserve">. </w:t>
      </w:r>
      <w:r w:rsidRPr="00DF190B">
        <w:rPr>
          <w:rFonts w:cs="Arial" w:hint="cs"/>
          <w:sz w:val="20"/>
          <w:szCs w:val="20"/>
          <w:rtl/>
        </w:rPr>
        <w:t>תא</w:t>
      </w:r>
      <w:r w:rsidRPr="00DF190B">
        <w:rPr>
          <w:rFonts w:cs="Arial"/>
          <w:sz w:val="20"/>
          <w:szCs w:val="20"/>
          <w:rtl/>
        </w:rPr>
        <w:t xml:space="preserve"> </w:t>
      </w:r>
      <w:r w:rsidRPr="00DF190B">
        <w:rPr>
          <w:rFonts w:cs="Arial" w:hint="cs"/>
          <w:sz w:val="20"/>
          <w:szCs w:val="20"/>
          <w:rtl/>
        </w:rPr>
        <w:t>שמע</w:t>
      </w:r>
      <w:r w:rsidRPr="00DF190B">
        <w:rPr>
          <w:rFonts w:cs="Arial"/>
          <w:sz w:val="20"/>
          <w:szCs w:val="20"/>
          <w:rtl/>
        </w:rPr>
        <w:t xml:space="preserve">: </w:t>
      </w:r>
      <w:r w:rsidRPr="00DF190B">
        <w:rPr>
          <w:rFonts w:cs="Arial" w:hint="cs"/>
          <w:sz w:val="20"/>
          <w:szCs w:val="20"/>
          <w:rtl/>
        </w:rPr>
        <w:t>דילתא</w:t>
      </w:r>
      <w:r w:rsidRPr="00DF190B">
        <w:rPr>
          <w:rFonts w:cs="Arial"/>
          <w:sz w:val="20"/>
          <w:szCs w:val="20"/>
          <w:rtl/>
        </w:rPr>
        <w:t xml:space="preserve"> </w:t>
      </w:r>
      <w:r w:rsidRPr="00DF190B">
        <w:rPr>
          <w:rFonts w:cs="Arial" w:hint="cs"/>
          <w:sz w:val="20"/>
          <w:szCs w:val="20"/>
          <w:rtl/>
        </w:rPr>
        <w:t>אייתא</w:t>
      </w:r>
      <w:r w:rsidRPr="00DF190B">
        <w:rPr>
          <w:rFonts w:cs="Arial"/>
          <w:sz w:val="20"/>
          <w:szCs w:val="20"/>
          <w:rtl/>
        </w:rPr>
        <w:t xml:space="preserve"> </w:t>
      </w:r>
      <w:r w:rsidRPr="00DF190B">
        <w:rPr>
          <w:rFonts w:cs="Arial" w:hint="cs"/>
          <w:sz w:val="20"/>
          <w:szCs w:val="20"/>
          <w:rtl/>
        </w:rPr>
        <w:t>דמא</w:t>
      </w:r>
      <w:r w:rsidRPr="00DF190B">
        <w:rPr>
          <w:rFonts w:cs="Arial"/>
          <w:sz w:val="20"/>
          <w:szCs w:val="20"/>
          <w:rtl/>
        </w:rPr>
        <w:t xml:space="preserve"> </w:t>
      </w:r>
      <w:r w:rsidRPr="00DF190B">
        <w:rPr>
          <w:rFonts w:cs="Arial" w:hint="cs"/>
          <w:sz w:val="20"/>
          <w:szCs w:val="20"/>
          <w:rtl/>
        </w:rPr>
        <w:t>לקמיה</w:t>
      </w:r>
      <w:r w:rsidRPr="00DF190B">
        <w:rPr>
          <w:rFonts w:cs="Arial"/>
          <w:sz w:val="20"/>
          <w:szCs w:val="20"/>
          <w:rtl/>
        </w:rPr>
        <w:t xml:space="preserve"> </w:t>
      </w:r>
      <w:r w:rsidRPr="00DF190B">
        <w:rPr>
          <w:rFonts w:cs="Arial" w:hint="cs"/>
          <w:sz w:val="20"/>
          <w:szCs w:val="20"/>
          <w:rtl/>
        </w:rPr>
        <w:t>דרבה</w:t>
      </w:r>
      <w:r w:rsidRPr="00DF190B">
        <w:rPr>
          <w:rFonts w:cs="Arial"/>
          <w:sz w:val="20"/>
          <w:szCs w:val="20"/>
          <w:rtl/>
        </w:rPr>
        <w:t xml:space="preserve"> </w:t>
      </w:r>
      <w:r w:rsidRPr="00DF190B">
        <w:rPr>
          <w:rFonts w:cs="Arial" w:hint="cs"/>
          <w:sz w:val="20"/>
          <w:szCs w:val="20"/>
          <w:rtl/>
        </w:rPr>
        <w:t>בר</w:t>
      </w:r>
      <w:r w:rsidRPr="00DF190B">
        <w:rPr>
          <w:rFonts w:cs="Arial"/>
          <w:sz w:val="20"/>
          <w:szCs w:val="20"/>
          <w:rtl/>
        </w:rPr>
        <w:t xml:space="preserve"> </w:t>
      </w:r>
      <w:r w:rsidRPr="00DF190B">
        <w:rPr>
          <w:rFonts w:cs="Arial" w:hint="cs"/>
          <w:sz w:val="20"/>
          <w:szCs w:val="20"/>
          <w:rtl/>
        </w:rPr>
        <w:t>בר</w:t>
      </w:r>
      <w:r w:rsidRPr="00DF190B">
        <w:rPr>
          <w:rFonts w:cs="Arial"/>
          <w:sz w:val="20"/>
          <w:szCs w:val="20"/>
          <w:rtl/>
        </w:rPr>
        <w:t xml:space="preserve"> </w:t>
      </w:r>
      <w:r w:rsidRPr="00DF190B">
        <w:rPr>
          <w:rFonts w:cs="Arial" w:hint="cs"/>
          <w:sz w:val="20"/>
          <w:szCs w:val="20"/>
          <w:rtl/>
        </w:rPr>
        <w:t>חנה</w:t>
      </w:r>
      <w:r w:rsidRPr="00DF190B">
        <w:rPr>
          <w:rFonts w:cs="Arial"/>
          <w:sz w:val="20"/>
          <w:szCs w:val="20"/>
          <w:rtl/>
        </w:rPr>
        <w:t xml:space="preserve"> - </w:t>
      </w:r>
      <w:r w:rsidRPr="00DF190B">
        <w:rPr>
          <w:rFonts w:cs="Arial" w:hint="cs"/>
          <w:sz w:val="20"/>
          <w:szCs w:val="20"/>
          <w:rtl/>
        </w:rPr>
        <w:t>וטמי</w:t>
      </w:r>
      <w:r w:rsidRPr="00DF190B">
        <w:rPr>
          <w:rFonts w:cs="Arial"/>
          <w:sz w:val="20"/>
          <w:szCs w:val="20"/>
          <w:rtl/>
        </w:rPr>
        <w:t xml:space="preserve"> </w:t>
      </w:r>
      <w:r w:rsidRPr="00DF190B">
        <w:rPr>
          <w:rFonts w:cs="Arial" w:hint="cs"/>
          <w:sz w:val="20"/>
          <w:szCs w:val="20"/>
          <w:rtl/>
        </w:rPr>
        <w:t>לה</w:t>
      </w:r>
      <w:r w:rsidRPr="00DF190B">
        <w:rPr>
          <w:rFonts w:cs="Arial"/>
          <w:sz w:val="20"/>
          <w:szCs w:val="20"/>
          <w:rtl/>
        </w:rPr>
        <w:t xml:space="preserve">, </w:t>
      </w:r>
      <w:r w:rsidRPr="00DF190B">
        <w:rPr>
          <w:rFonts w:cs="Arial" w:hint="cs"/>
          <w:sz w:val="20"/>
          <w:szCs w:val="20"/>
          <w:rtl/>
        </w:rPr>
        <w:t>לקמיה</w:t>
      </w:r>
      <w:r w:rsidRPr="00DF190B">
        <w:rPr>
          <w:rFonts w:cs="Arial"/>
          <w:sz w:val="20"/>
          <w:szCs w:val="20"/>
          <w:rtl/>
        </w:rPr>
        <w:t xml:space="preserve"> </w:t>
      </w:r>
      <w:r w:rsidRPr="00DF190B">
        <w:rPr>
          <w:rFonts w:cs="Arial" w:hint="cs"/>
          <w:sz w:val="20"/>
          <w:szCs w:val="20"/>
          <w:rtl/>
        </w:rPr>
        <w:t>דרב</w:t>
      </w:r>
      <w:r w:rsidRPr="00DF190B">
        <w:rPr>
          <w:rFonts w:cs="Arial"/>
          <w:sz w:val="20"/>
          <w:szCs w:val="20"/>
          <w:rtl/>
        </w:rPr>
        <w:t xml:space="preserve"> </w:t>
      </w:r>
      <w:r w:rsidRPr="00DF190B">
        <w:rPr>
          <w:rFonts w:cs="Arial" w:hint="cs"/>
          <w:sz w:val="20"/>
          <w:szCs w:val="20"/>
          <w:rtl/>
        </w:rPr>
        <w:t>יצחק</w:t>
      </w:r>
      <w:r w:rsidRPr="00DF190B">
        <w:rPr>
          <w:rFonts w:cs="Arial"/>
          <w:sz w:val="20"/>
          <w:szCs w:val="20"/>
          <w:rtl/>
        </w:rPr>
        <w:t xml:space="preserve"> </w:t>
      </w:r>
      <w:r w:rsidRPr="00DF190B">
        <w:rPr>
          <w:rFonts w:cs="Arial" w:hint="cs"/>
          <w:sz w:val="20"/>
          <w:szCs w:val="20"/>
          <w:rtl/>
        </w:rPr>
        <w:t>בריה</w:t>
      </w:r>
      <w:r w:rsidRPr="00DF190B">
        <w:rPr>
          <w:rFonts w:cs="Arial"/>
          <w:sz w:val="20"/>
          <w:szCs w:val="20"/>
          <w:rtl/>
        </w:rPr>
        <w:t xml:space="preserve"> </w:t>
      </w:r>
      <w:r w:rsidRPr="00DF190B">
        <w:rPr>
          <w:rFonts w:cs="Arial" w:hint="cs"/>
          <w:sz w:val="20"/>
          <w:szCs w:val="20"/>
          <w:rtl/>
        </w:rPr>
        <w:t>דרב</w:t>
      </w:r>
      <w:r w:rsidRPr="00DF190B">
        <w:rPr>
          <w:rFonts w:cs="Arial"/>
          <w:sz w:val="20"/>
          <w:szCs w:val="20"/>
          <w:rtl/>
        </w:rPr>
        <w:t xml:space="preserve"> </w:t>
      </w:r>
      <w:r w:rsidRPr="00DF190B">
        <w:rPr>
          <w:rFonts w:cs="Arial" w:hint="cs"/>
          <w:sz w:val="20"/>
          <w:szCs w:val="20"/>
          <w:rtl/>
        </w:rPr>
        <w:t>יהודה</w:t>
      </w:r>
      <w:r w:rsidRPr="00DF190B">
        <w:rPr>
          <w:rFonts w:cs="Arial"/>
          <w:sz w:val="20"/>
          <w:szCs w:val="20"/>
          <w:rtl/>
        </w:rPr>
        <w:t xml:space="preserve"> - </w:t>
      </w:r>
      <w:r w:rsidRPr="00DF190B">
        <w:rPr>
          <w:rFonts w:cs="Arial" w:hint="cs"/>
          <w:sz w:val="20"/>
          <w:szCs w:val="20"/>
          <w:rtl/>
        </w:rPr>
        <w:t>ודכי</w:t>
      </w:r>
      <w:r w:rsidRPr="00DF190B">
        <w:rPr>
          <w:rFonts w:cs="Arial"/>
          <w:sz w:val="20"/>
          <w:szCs w:val="20"/>
          <w:rtl/>
        </w:rPr>
        <w:t xml:space="preserve"> </w:t>
      </w:r>
      <w:r w:rsidRPr="00DF190B">
        <w:rPr>
          <w:rFonts w:cs="Arial" w:hint="cs"/>
          <w:sz w:val="20"/>
          <w:szCs w:val="20"/>
          <w:rtl/>
        </w:rPr>
        <w:t>לה</w:t>
      </w:r>
      <w:r w:rsidRPr="00DF190B">
        <w:rPr>
          <w:rFonts w:cs="Arial"/>
          <w:sz w:val="20"/>
          <w:szCs w:val="20"/>
          <w:rtl/>
        </w:rPr>
        <w:t xml:space="preserve">. </w:t>
      </w:r>
      <w:r w:rsidRPr="00DF190B">
        <w:rPr>
          <w:rFonts w:cs="Arial" w:hint="cs"/>
          <w:sz w:val="20"/>
          <w:szCs w:val="20"/>
          <w:rtl/>
        </w:rPr>
        <w:t>והיכי</w:t>
      </w:r>
      <w:r w:rsidRPr="00DF190B">
        <w:rPr>
          <w:rFonts w:cs="Arial"/>
          <w:sz w:val="20"/>
          <w:szCs w:val="20"/>
          <w:rtl/>
        </w:rPr>
        <w:t xml:space="preserve"> </w:t>
      </w:r>
      <w:r w:rsidRPr="00DF190B">
        <w:rPr>
          <w:rFonts w:cs="Arial" w:hint="cs"/>
          <w:sz w:val="20"/>
          <w:szCs w:val="20"/>
          <w:rtl/>
        </w:rPr>
        <w:t>עביד</w:t>
      </w:r>
      <w:r w:rsidRPr="00DF190B">
        <w:rPr>
          <w:rFonts w:cs="Arial"/>
          <w:sz w:val="20"/>
          <w:szCs w:val="20"/>
          <w:rtl/>
        </w:rPr>
        <w:t xml:space="preserve"> </w:t>
      </w:r>
      <w:r w:rsidRPr="00DF190B">
        <w:rPr>
          <w:rFonts w:cs="Arial" w:hint="cs"/>
          <w:sz w:val="20"/>
          <w:szCs w:val="20"/>
          <w:rtl/>
        </w:rPr>
        <w:t>הכי</w:t>
      </w:r>
      <w:r w:rsidRPr="00DF190B">
        <w:rPr>
          <w:rFonts w:cs="Arial"/>
          <w:sz w:val="20"/>
          <w:szCs w:val="20"/>
          <w:rtl/>
        </w:rPr>
        <w:t xml:space="preserve">? </w:t>
      </w:r>
      <w:r w:rsidRPr="00DF190B">
        <w:rPr>
          <w:rFonts w:cs="Arial" w:hint="cs"/>
          <w:sz w:val="20"/>
          <w:szCs w:val="20"/>
          <w:rtl/>
        </w:rPr>
        <w:t>והתניא</w:t>
      </w:r>
      <w:r w:rsidRPr="00DF190B">
        <w:rPr>
          <w:rFonts w:cs="Arial"/>
          <w:sz w:val="20"/>
          <w:szCs w:val="20"/>
          <w:rtl/>
        </w:rPr>
        <w:t xml:space="preserve">: </w:t>
      </w:r>
      <w:r w:rsidRPr="00DF190B">
        <w:rPr>
          <w:rFonts w:cs="Arial" w:hint="cs"/>
          <w:sz w:val="20"/>
          <w:szCs w:val="20"/>
          <w:rtl/>
        </w:rPr>
        <w:t>חכם</w:t>
      </w:r>
      <w:r w:rsidRPr="00DF190B">
        <w:rPr>
          <w:rFonts w:cs="Arial"/>
          <w:sz w:val="20"/>
          <w:szCs w:val="20"/>
          <w:rtl/>
        </w:rPr>
        <w:t xml:space="preserve"> </w:t>
      </w:r>
      <w:r w:rsidRPr="00DF190B">
        <w:rPr>
          <w:rFonts w:cs="Arial" w:hint="cs"/>
          <w:sz w:val="20"/>
          <w:szCs w:val="20"/>
          <w:rtl/>
        </w:rPr>
        <w:t>שטימא</w:t>
      </w:r>
      <w:r w:rsidRPr="00DF190B">
        <w:rPr>
          <w:rFonts w:cs="Arial"/>
          <w:sz w:val="20"/>
          <w:szCs w:val="20"/>
          <w:rtl/>
        </w:rPr>
        <w:t xml:space="preserve"> </w:t>
      </w:r>
      <w:r w:rsidRPr="00DF190B">
        <w:rPr>
          <w:rFonts w:cs="Arial" w:hint="cs"/>
          <w:sz w:val="20"/>
          <w:szCs w:val="20"/>
          <w:rtl/>
        </w:rPr>
        <w:t>אין</w:t>
      </w:r>
      <w:r w:rsidRPr="00DF190B">
        <w:rPr>
          <w:rFonts w:cs="Arial"/>
          <w:sz w:val="20"/>
          <w:szCs w:val="20"/>
          <w:rtl/>
        </w:rPr>
        <w:t xml:space="preserve"> </w:t>
      </w:r>
      <w:r w:rsidRPr="00DF190B">
        <w:rPr>
          <w:rFonts w:cs="Arial" w:hint="cs"/>
          <w:sz w:val="20"/>
          <w:szCs w:val="20"/>
          <w:rtl/>
        </w:rPr>
        <w:t>חבירו</w:t>
      </w:r>
      <w:r w:rsidRPr="00DF190B">
        <w:rPr>
          <w:rFonts w:cs="Arial"/>
          <w:sz w:val="20"/>
          <w:szCs w:val="20"/>
          <w:rtl/>
        </w:rPr>
        <w:t xml:space="preserve"> </w:t>
      </w:r>
      <w:r w:rsidRPr="00DF190B">
        <w:rPr>
          <w:rFonts w:cs="Arial" w:hint="cs"/>
          <w:sz w:val="20"/>
          <w:szCs w:val="20"/>
          <w:rtl/>
        </w:rPr>
        <w:t>רשאי</w:t>
      </w:r>
      <w:r w:rsidRPr="00DF190B">
        <w:rPr>
          <w:rFonts w:cs="Arial"/>
          <w:sz w:val="20"/>
          <w:szCs w:val="20"/>
          <w:rtl/>
        </w:rPr>
        <w:t xml:space="preserve"> </w:t>
      </w:r>
      <w:r w:rsidRPr="00DF190B">
        <w:rPr>
          <w:rFonts w:cs="Arial" w:hint="cs"/>
          <w:sz w:val="20"/>
          <w:szCs w:val="20"/>
          <w:rtl/>
        </w:rPr>
        <w:t>לטהר</w:t>
      </w:r>
      <w:r w:rsidRPr="00DF190B">
        <w:rPr>
          <w:rFonts w:cs="Arial"/>
          <w:sz w:val="20"/>
          <w:szCs w:val="20"/>
          <w:rtl/>
        </w:rPr>
        <w:t xml:space="preserve"> </w:t>
      </w:r>
      <w:r w:rsidRPr="00DF190B">
        <w:rPr>
          <w:rFonts w:cs="Arial" w:hint="cs"/>
          <w:sz w:val="20"/>
          <w:szCs w:val="20"/>
          <w:rtl/>
        </w:rPr>
        <w:t>וכו</w:t>
      </w:r>
      <w:r w:rsidRPr="00DF190B">
        <w:rPr>
          <w:rFonts w:cs="Arial"/>
          <w:sz w:val="20"/>
          <w:szCs w:val="20"/>
          <w:rtl/>
        </w:rPr>
        <w:t xml:space="preserve">', </w:t>
      </w:r>
      <w:r w:rsidRPr="00DF190B">
        <w:rPr>
          <w:rFonts w:cs="Arial" w:hint="cs"/>
          <w:sz w:val="20"/>
          <w:szCs w:val="20"/>
          <w:rtl/>
        </w:rPr>
        <w:t>ואמרינן</w:t>
      </w:r>
      <w:r w:rsidRPr="00DF190B">
        <w:rPr>
          <w:rFonts w:cs="Arial"/>
          <w:sz w:val="20"/>
          <w:szCs w:val="20"/>
          <w:rtl/>
        </w:rPr>
        <w:t xml:space="preserve">: </w:t>
      </w:r>
      <w:r w:rsidRPr="00DF190B">
        <w:rPr>
          <w:rFonts w:cs="Arial" w:hint="cs"/>
          <w:sz w:val="20"/>
          <w:szCs w:val="20"/>
          <w:rtl/>
        </w:rPr>
        <w:t>טמויי</w:t>
      </w:r>
      <w:r w:rsidRPr="00DF190B">
        <w:rPr>
          <w:rFonts w:cs="Arial"/>
          <w:sz w:val="20"/>
          <w:szCs w:val="20"/>
          <w:rtl/>
        </w:rPr>
        <w:t xml:space="preserve"> </w:t>
      </w:r>
      <w:r w:rsidRPr="00DF190B">
        <w:rPr>
          <w:rFonts w:cs="Arial" w:hint="cs"/>
          <w:sz w:val="20"/>
          <w:szCs w:val="20"/>
          <w:rtl/>
        </w:rPr>
        <w:t>הוה</w:t>
      </w:r>
      <w:r w:rsidRPr="00DF190B">
        <w:rPr>
          <w:rFonts w:cs="Arial"/>
          <w:sz w:val="20"/>
          <w:szCs w:val="20"/>
          <w:rtl/>
        </w:rPr>
        <w:t xml:space="preserve"> </w:t>
      </w:r>
      <w:r w:rsidRPr="00DF190B">
        <w:rPr>
          <w:rFonts w:cs="Arial" w:hint="cs"/>
          <w:sz w:val="20"/>
          <w:szCs w:val="20"/>
          <w:rtl/>
        </w:rPr>
        <w:t>מטמי</w:t>
      </w:r>
      <w:r w:rsidRPr="00DF190B">
        <w:rPr>
          <w:rFonts w:cs="Arial"/>
          <w:sz w:val="20"/>
          <w:szCs w:val="20"/>
          <w:rtl/>
        </w:rPr>
        <w:t xml:space="preserve"> </w:t>
      </w:r>
      <w:r w:rsidRPr="00DF190B">
        <w:rPr>
          <w:rFonts w:cs="Arial" w:hint="cs"/>
          <w:sz w:val="20"/>
          <w:szCs w:val="20"/>
          <w:rtl/>
        </w:rPr>
        <w:t>לה</w:t>
      </w:r>
      <w:r w:rsidRPr="00DF190B">
        <w:rPr>
          <w:rFonts w:cs="Arial"/>
          <w:sz w:val="20"/>
          <w:szCs w:val="20"/>
          <w:rtl/>
        </w:rPr>
        <w:t xml:space="preserve">, </w:t>
      </w:r>
      <w:r w:rsidRPr="00DF190B">
        <w:rPr>
          <w:rFonts w:cs="Arial" w:hint="cs"/>
          <w:sz w:val="20"/>
          <w:szCs w:val="20"/>
          <w:rtl/>
        </w:rPr>
        <w:t>כיון</w:t>
      </w:r>
      <w:r w:rsidRPr="00DF190B">
        <w:rPr>
          <w:rFonts w:cs="Arial"/>
          <w:sz w:val="20"/>
          <w:szCs w:val="20"/>
          <w:rtl/>
        </w:rPr>
        <w:t xml:space="preserve"> </w:t>
      </w:r>
      <w:r w:rsidRPr="00DF190B">
        <w:rPr>
          <w:rFonts w:cs="Arial" w:hint="cs"/>
          <w:sz w:val="20"/>
          <w:szCs w:val="20"/>
          <w:rtl/>
        </w:rPr>
        <w:t>דאמרה</w:t>
      </w:r>
      <w:r w:rsidRPr="00DF190B">
        <w:rPr>
          <w:rFonts w:cs="Arial"/>
          <w:sz w:val="20"/>
          <w:szCs w:val="20"/>
          <w:rtl/>
        </w:rPr>
        <w:t xml:space="preserve"> </w:t>
      </w:r>
      <w:r w:rsidRPr="00DF190B">
        <w:rPr>
          <w:rFonts w:cs="Arial" w:hint="cs"/>
          <w:sz w:val="20"/>
          <w:szCs w:val="20"/>
          <w:rtl/>
        </w:rPr>
        <w:t>ליה</w:t>
      </w:r>
      <w:r w:rsidRPr="00DF190B">
        <w:rPr>
          <w:rFonts w:cs="Arial"/>
          <w:sz w:val="20"/>
          <w:szCs w:val="20"/>
          <w:rtl/>
        </w:rPr>
        <w:t xml:space="preserve"> </w:t>
      </w:r>
      <w:r w:rsidRPr="00DF190B">
        <w:rPr>
          <w:rFonts w:cs="Arial" w:hint="cs"/>
          <w:sz w:val="20"/>
          <w:szCs w:val="20"/>
          <w:rtl/>
        </w:rPr>
        <w:t>דכל</w:t>
      </w:r>
      <w:r w:rsidRPr="00DF190B">
        <w:rPr>
          <w:rFonts w:cs="Arial"/>
          <w:sz w:val="20"/>
          <w:szCs w:val="20"/>
          <w:rtl/>
        </w:rPr>
        <w:t xml:space="preserve"> </w:t>
      </w:r>
      <w:r w:rsidRPr="00DF190B">
        <w:rPr>
          <w:rFonts w:cs="Arial" w:hint="cs"/>
          <w:sz w:val="20"/>
          <w:szCs w:val="20"/>
          <w:rtl/>
        </w:rPr>
        <w:t>יומא</w:t>
      </w:r>
      <w:r w:rsidRPr="00DF190B">
        <w:rPr>
          <w:rFonts w:cs="Arial"/>
          <w:sz w:val="20"/>
          <w:szCs w:val="20"/>
          <w:rtl/>
        </w:rPr>
        <w:t xml:space="preserve"> </w:t>
      </w:r>
      <w:r w:rsidRPr="00DF190B">
        <w:rPr>
          <w:rFonts w:cs="Arial" w:hint="cs"/>
          <w:sz w:val="20"/>
          <w:szCs w:val="20"/>
          <w:rtl/>
        </w:rPr>
        <w:t>מדכי</w:t>
      </w:r>
      <w:r w:rsidRPr="00DF190B">
        <w:rPr>
          <w:rFonts w:cs="Arial"/>
          <w:sz w:val="20"/>
          <w:szCs w:val="20"/>
          <w:rtl/>
        </w:rPr>
        <w:t xml:space="preserve"> </w:t>
      </w:r>
      <w:r w:rsidRPr="00DF190B">
        <w:rPr>
          <w:rFonts w:cs="Arial" w:hint="cs"/>
          <w:sz w:val="20"/>
          <w:szCs w:val="20"/>
          <w:rtl/>
        </w:rPr>
        <w:t>לה</w:t>
      </w:r>
      <w:r w:rsidRPr="00DF190B">
        <w:rPr>
          <w:rFonts w:cs="Arial"/>
          <w:sz w:val="20"/>
          <w:szCs w:val="20"/>
          <w:rtl/>
        </w:rPr>
        <w:t xml:space="preserve"> </w:t>
      </w:r>
      <w:r w:rsidRPr="00DF190B">
        <w:rPr>
          <w:rFonts w:cs="Arial" w:hint="cs"/>
          <w:sz w:val="20"/>
          <w:szCs w:val="20"/>
          <w:rtl/>
        </w:rPr>
        <w:t>כי</w:t>
      </w:r>
      <w:r w:rsidRPr="00DF190B">
        <w:rPr>
          <w:rFonts w:cs="Arial"/>
          <w:sz w:val="20"/>
          <w:szCs w:val="20"/>
          <w:rtl/>
        </w:rPr>
        <w:t xml:space="preserve"> </w:t>
      </w:r>
      <w:r w:rsidRPr="00DF190B">
        <w:rPr>
          <w:rFonts w:cs="Arial" w:hint="cs"/>
          <w:sz w:val="20"/>
          <w:szCs w:val="20"/>
          <w:rtl/>
        </w:rPr>
        <w:t>האי</w:t>
      </w:r>
      <w:r w:rsidRPr="00DF190B">
        <w:rPr>
          <w:rFonts w:cs="Arial"/>
          <w:sz w:val="20"/>
          <w:szCs w:val="20"/>
          <w:rtl/>
        </w:rPr>
        <w:t xml:space="preserve"> </w:t>
      </w:r>
      <w:r w:rsidRPr="00DF190B">
        <w:rPr>
          <w:rFonts w:cs="Arial" w:hint="cs"/>
          <w:sz w:val="20"/>
          <w:szCs w:val="20"/>
          <w:rtl/>
        </w:rPr>
        <w:t>גונא</w:t>
      </w:r>
      <w:r w:rsidRPr="00DF190B">
        <w:rPr>
          <w:rFonts w:cs="Arial"/>
          <w:sz w:val="20"/>
          <w:szCs w:val="20"/>
          <w:rtl/>
        </w:rPr>
        <w:t xml:space="preserve">, </w:t>
      </w:r>
      <w:r w:rsidRPr="00DF190B">
        <w:rPr>
          <w:rFonts w:cs="Arial" w:hint="cs"/>
          <w:sz w:val="20"/>
          <w:szCs w:val="20"/>
          <w:rtl/>
        </w:rPr>
        <w:t>והאידנא</w:t>
      </w:r>
      <w:r w:rsidRPr="00DF190B">
        <w:rPr>
          <w:rFonts w:cs="Arial"/>
          <w:sz w:val="20"/>
          <w:szCs w:val="20"/>
          <w:rtl/>
        </w:rPr>
        <w:t xml:space="preserve"> </w:t>
      </w:r>
      <w:r w:rsidRPr="00DF190B">
        <w:rPr>
          <w:rFonts w:cs="Arial" w:hint="cs"/>
          <w:sz w:val="20"/>
          <w:szCs w:val="20"/>
          <w:rtl/>
        </w:rPr>
        <w:t>הוא</w:t>
      </w:r>
      <w:r w:rsidRPr="00DF190B">
        <w:rPr>
          <w:rFonts w:cs="Arial"/>
          <w:sz w:val="20"/>
          <w:szCs w:val="20"/>
          <w:rtl/>
        </w:rPr>
        <w:t xml:space="preserve"> </w:t>
      </w:r>
      <w:r w:rsidRPr="00DF190B">
        <w:rPr>
          <w:rFonts w:cs="Arial" w:hint="cs"/>
          <w:sz w:val="20"/>
          <w:szCs w:val="20"/>
          <w:rtl/>
        </w:rPr>
        <w:t>דחש</w:t>
      </w:r>
      <w:r w:rsidRPr="00DF190B">
        <w:rPr>
          <w:rFonts w:cs="Arial"/>
          <w:sz w:val="20"/>
          <w:szCs w:val="20"/>
          <w:rtl/>
        </w:rPr>
        <w:t xml:space="preserve"> </w:t>
      </w:r>
      <w:r w:rsidRPr="00DF190B">
        <w:rPr>
          <w:rFonts w:cs="Arial" w:hint="cs"/>
          <w:sz w:val="20"/>
          <w:szCs w:val="20"/>
          <w:rtl/>
        </w:rPr>
        <w:t>בעיניה</w:t>
      </w:r>
      <w:r w:rsidRPr="00DF190B">
        <w:rPr>
          <w:rFonts w:cs="Arial"/>
          <w:sz w:val="20"/>
          <w:szCs w:val="20"/>
          <w:rtl/>
        </w:rPr>
        <w:t xml:space="preserve"> - </w:t>
      </w:r>
      <w:r w:rsidRPr="00DF190B">
        <w:rPr>
          <w:rFonts w:cs="Arial" w:hint="cs"/>
          <w:sz w:val="20"/>
          <w:szCs w:val="20"/>
          <w:rtl/>
        </w:rPr>
        <w:t>הדר</w:t>
      </w:r>
      <w:r w:rsidRPr="00DF190B">
        <w:rPr>
          <w:rFonts w:cs="Arial"/>
          <w:sz w:val="20"/>
          <w:szCs w:val="20"/>
          <w:rtl/>
        </w:rPr>
        <w:t xml:space="preserve"> </w:t>
      </w:r>
      <w:r w:rsidRPr="00DF190B">
        <w:rPr>
          <w:rFonts w:cs="Arial" w:hint="cs"/>
          <w:sz w:val="20"/>
          <w:szCs w:val="20"/>
          <w:rtl/>
        </w:rPr>
        <w:t>דכי</w:t>
      </w:r>
      <w:r w:rsidRPr="00DF190B">
        <w:rPr>
          <w:rFonts w:cs="Arial"/>
          <w:sz w:val="20"/>
          <w:szCs w:val="20"/>
          <w:rtl/>
        </w:rPr>
        <w:t xml:space="preserve"> </w:t>
      </w:r>
      <w:r w:rsidRPr="00DF190B">
        <w:rPr>
          <w:rFonts w:cs="Arial" w:hint="cs"/>
          <w:sz w:val="20"/>
          <w:szCs w:val="20"/>
          <w:rtl/>
        </w:rPr>
        <w:t>לה</w:t>
      </w:r>
      <w:r w:rsidRPr="00DF190B">
        <w:rPr>
          <w:rFonts w:cs="Arial"/>
          <w:sz w:val="20"/>
          <w:szCs w:val="20"/>
          <w:rtl/>
        </w:rPr>
        <w:t xml:space="preserve">, </w:t>
      </w:r>
      <w:r w:rsidRPr="00DF190B">
        <w:rPr>
          <w:rFonts w:cs="Arial" w:hint="cs"/>
          <w:sz w:val="20"/>
          <w:szCs w:val="20"/>
          <w:rtl/>
        </w:rPr>
        <w:t>אלמא</w:t>
      </w:r>
      <w:r w:rsidRPr="00DF190B">
        <w:rPr>
          <w:rFonts w:cs="Arial"/>
          <w:sz w:val="20"/>
          <w:szCs w:val="20"/>
          <w:rtl/>
        </w:rPr>
        <w:t xml:space="preserve">: </w:t>
      </w:r>
      <w:r w:rsidRPr="00DF190B">
        <w:rPr>
          <w:rFonts w:cs="Arial" w:hint="cs"/>
          <w:sz w:val="20"/>
          <w:szCs w:val="20"/>
          <w:rtl/>
        </w:rPr>
        <w:t>מהימנא</w:t>
      </w:r>
      <w:r w:rsidRPr="00DF190B">
        <w:rPr>
          <w:rFonts w:cs="Arial"/>
          <w:sz w:val="20"/>
          <w:szCs w:val="20"/>
          <w:rtl/>
        </w:rPr>
        <w:t xml:space="preserve"> </w:t>
      </w:r>
      <w:r w:rsidRPr="00DF190B">
        <w:rPr>
          <w:rFonts w:cs="Arial" w:hint="cs"/>
          <w:sz w:val="20"/>
          <w:szCs w:val="20"/>
          <w:rtl/>
        </w:rPr>
        <w:t>לה</w:t>
      </w:r>
      <w:r w:rsidRPr="00DF190B">
        <w:rPr>
          <w:rFonts w:cs="Arial"/>
          <w:sz w:val="20"/>
          <w:szCs w:val="20"/>
          <w:rtl/>
        </w:rPr>
        <w:t xml:space="preserve">! </w:t>
      </w:r>
      <w:r w:rsidRPr="00DF190B">
        <w:rPr>
          <w:rFonts w:cs="Arial" w:hint="cs"/>
          <w:sz w:val="20"/>
          <w:szCs w:val="20"/>
          <w:rtl/>
        </w:rPr>
        <w:t>רב</w:t>
      </w:r>
      <w:r w:rsidRPr="00DF190B">
        <w:rPr>
          <w:rFonts w:cs="Arial"/>
          <w:sz w:val="20"/>
          <w:szCs w:val="20"/>
          <w:rtl/>
        </w:rPr>
        <w:t xml:space="preserve"> </w:t>
      </w:r>
      <w:r w:rsidRPr="00DF190B">
        <w:rPr>
          <w:rFonts w:cs="Arial" w:hint="cs"/>
          <w:sz w:val="20"/>
          <w:szCs w:val="20"/>
          <w:rtl/>
        </w:rPr>
        <w:t>יצחק</w:t>
      </w:r>
      <w:r w:rsidRPr="00DF190B">
        <w:rPr>
          <w:rFonts w:cs="Arial"/>
          <w:sz w:val="20"/>
          <w:szCs w:val="20"/>
          <w:rtl/>
        </w:rPr>
        <w:t xml:space="preserve"> </w:t>
      </w:r>
      <w:r w:rsidRPr="00DF190B">
        <w:rPr>
          <w:rFonts w:cs="Arial" w:hint="cs"/>
          <w:sz w:val="20"/>
          <w:szCs w:val="20"/>
          <w:rtl/>
        </w:rPr>
        <w:t>בר</w:t>
      </w:r>
      <w:r w:rsidRPr="00DF190B">
        <w:rPr>
          <w:rFonts w:cs="Arial"/>
          <w:sz w:val="20"/>
          <w:szCs w:val="20"/>
          <w:rtl/>
        </w:rPr>
        <w:t xml:space="preserve"> </w:t>
      </w:r>
      <w:r w:rsidRPr="00DF190B">
        <w:rPr>
          <w:rFonts w:cs="Arial" w:hint="cs"/>
          <w:sz w:val="20"/>
          <w:szCs w:val="20"/>
          <w:rtl/>
        </w:rPr>
        <w:t>יהודה</w:t>
      </w:r>
      <w:r w:rsidRPr="00DF190B">
        <w:rPr>
          <w:rFonts w:cs="Arial"/>
          <w:sz w:val="20"/>
          <w:szCs w:val="20"/>
          <w:rtl/>
        </w:rPr>
        <w:t xml:space="preserve"> - </w:t>
      </w:r>
      <w:r w:rsidRPr="00DF190B">
        <w:rPr>
          <w:rFonts w:cs="Arial" w:hint="cs"/>
          <w:sz w:val="20"/>
          <w:szCs w:val="20"/>
          <w:rtl/>
        </w:rPr>
        <w:t>אגמריה</w:t>
      </w:r>
      <w:r w:rsidRPr="00DF190B">
        <w:rPr>
          <w:rFonts w:cs="Arial"/>
          <w:sz w:val="20"/>
          <w:szCs w:val="20"/>
          <w:rtl/>
        </w:rPr>
        <w:t xml:space="preserve"> </w:t>
      </w:r>
      <w:r w:rsidRPr="00DF190B">
        <w:rPr>
          <w:rFonts w:cs="Arial" w:hint="cs"/>
          <w:sz w:val="20"/>
          <w:szCs w:val="20"/>
          <w:rtl/>
        </w:rPr>
        <w:t>סמך</w:t>
      </w:r>
      <w:r>
        <w:rPr>
          <w:rFonts w:cs="Arial"/>
          <w:sz w:val="20"/>
          <w:szCs w:val="20"/>
          <w:rtl/>
        </w:rPr>
        <w:t>".</w:t>
      </w:r>
    </w:p>
    <w:p w:rsidR="00620060" w:rsidRDefault="00620060" w:rsidP="00620060">
      <w:pPr>
        <w:rPr>
          <w:sz w:val="20"/>
          <w:szCs w:val="20"/>
          <w:rtl/>
        </w:rPr>
      </w:pPr>
      <w:r>
        <w:rPr>
          <w:rFonts w:hint="cs"/>
          <w:sz w:val="20"/>
          <w:szCs w:val="20"/>
          <w:u w:val="single"/>
          <w:rtl/>
        </w:rPr>
        <w:t>הסבר הרשב"א</w:t>
      </w:r>
      <w:r>
        <w:rPr>
          <w:sz w:val="20"/>
          <w:szCs w:val="20"/>
          <w:u w:val="single"/>
          <w:rtl/>
        </w:rPr>
        <w:br/>
      </w:r>
      <w:r>
        <w:rPr>
          <w:rFonts w:hint="cs"/>
          <w:sz w:val="20"/>
          <w:szCs w:val="20"/>
          <w:rtl/>
        </w:rPr>
        <w:t xml:space="preserve">א. אשה נאמנת לומר על מראה דם: "כזה ראיתי ואבדתיו" </w:t>
      </w:r>
      <w:r w:rsidRPr="0007177A">
        <w:rPr>
          <w:rFonts w:hint="cs"/>
          <w:sz w:val="18"/>
          <w:szCs w:val="18"/>
          <w:rtl/>
        </w:rPr>
        <w:t>(</w:t>
      </w:r>
      <w:r>
        <w:rPr>
          <w:rFonts w:hint="cs"/>
          <w:sz w:val="18"/>
          <w:szCs w:val="18"/>
          <w:rtl/>
        </w:rPr>
        <w:t>דהיינו</w:t>
      </w:r>
      <w:r w:rsidRPr="0007177A">
        <w:rPr>
          <w:rFonts w:hint="cs"/>
          <w:sz w:val="18"/>
          <w:szCs w:val="18"/>
          <w:rtl/>
        </w:rPr>
        <w:t xml:space="preserve"> </w:t>
      </w:r>
      <w:r>
        <w:rPr>
          <w:rFonts w:hint="cs"/>
          <w:sz w:val="18"/>
          <w:szCs w:val="18"/>
          <w:rtl/>
        </w:rPr>
        <w:t>לטהר עצמה</w:t>
      </w:r>
      <w:r w:rsidRPr="0007177A">
        <w:rPr>
          <w:rFonts w:hint="cs"/>
          <w:sz w:val="18"/>
          <w:szCs w:val="18"/>
          <w:rtl/>
        </w:rPr>
        <w:t xml:space="preserve">) </w:t>
      </w:r>
      <w:r>
        <w:rPr>
          <w:rFonts w:hint="cs"/>
          <w:sz w:val="20"/>
          <w:szCs w:val="20"/>
          <w:rtl/>
        </w:rPr>
        <w:t xml:space="preserve">וכפי שנאמר בברייתא. </w:t>
      </w:r>
      <w:r>
        <w:rPr>
          <w:sz w:val="20"/>
          <w:szCs w:val="20"/>
          <w:rtl/>
        </w:rPr>
        <w:br/>
      </w:r>
      <w:r w:rsidRPr="00D63985">
        <w:rPr>
          <w:rFonts w:hint="cs"/>
          <w:b/>
          <w:bCs/>
          <w:sz w:val="20"/>
          <w:szCs w:val="20"/>
          <w:rtl/>
        </w:rPr>
        <w:t>טעם</w:t>
      </w:r>
      <w:r>
        <w:rPr>
          <w:rFonts w:hint="cs"/>
          <w:sz w:val="20"/>
          <w:szCs w:val="20"/>
          <w:rtl/>
        </w:rPr>
        <w:t xml:space="preserve"> - האישה אינה חשודה לשקר, ואף התורה האמינתה כפי שדרשו חז"ל: "וספרה לה </w:t>
      </w:r>
      <w:r>
        <w:rPr>
          <w:sz w:val="20"/>
          <w:szCs w:val="20"/>
          <w:rtl/>
        </w:rPr>
        <w:t>–</w:t>
      </w:r>
      <w:r>
        <w:rPr>
          <w:rFonts w:hint="cs"/>
          <w:sz w:val="20"/>
          <w:szCs w:val="20"/>
          <w:rtl/>
        </w:rPr>
        <w:t xml:space="preserve"> לעצמה"; וכן, אין חוששים לומר שמא היא מדמיינת וטועה במראה.</w:t>
      </w:r>
      <w:r>
        <w:rPr>
          <w:rFonts w:hint="cs"/>
          <w:sz w:val="20"/>
          <w:szCs w:val="20"/>
          <w:rtl/>
        </w:rPr>
        <w:br/>
        <w:t>ב. דם שבא לפני החכם וטימאו או אפילו מסתפק בדינו, אינה נאמנת לומר שחכם אחר טיהר לה כיוצא בזה.</w:t>
      </w:r>
      <w:r>
        <w:rPr>
          <w:rFonts w:hint="cs"/>
          <w:sz w:val="20"/>
          <w:szCs w:val="20"/>
          <w:rtl/>
        </w:rPr>
        <w:br/>
      </w:r>
      <w:r w:rsidRPr="00DC6ABF">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הגמרא הסתפקה בדין זה </w:t>
      </w:r>
      <w:r w:rsidRPr="00C8143E">
        <w:rPr>
          <w:rFonts w:hint="cs"/>
          <w:sz w:val="18"/>
          <w:szCs w:val="18"/>
          <w:rtl/>
        </w:rPr>
        <w:t xml:space="preserve">(איבעיא להו וכו') </w:t>
      </w:r>
      <w:r>
        <w:rPr>
          <w:rFonts w:hint="cs"/>
          <w:sz w:val="20"/>
          <w:szCs w:val="20"/>
          <w:rtl/>
        </w:rPr>
        <w:t>ולא נפסקה בו הלכה, ולכן יש להחמיר, שמא כפי שהדבר אינו ברור לחכם אף לאישה אינו ברור אלא היא טועה בדמיונות שהוא טהור.</w:t>
      </w:r>
      <w:r>
        <w:rPr>
          <w:sz w:val="20"/>
          <w:szCs w:val="20"/>
          <w:rtl/>
        </w:rPr>
        <w:br/>
      </w:r>
      <w:r w:rsidRPr="00935D4D">
        <w:rPr>
          <w:rFonts w:hint="cs"/>
          <w:b/>
          <w:bCs/>
          <w:sz w:val="20"/>
          <w:szCs w:val="20"/>
          <w:rtl/>
        </w:rPr>
        <w:t>והט"ז</w:t>
      </w:r>
      <w:r>
        <w:rPr>
          <w:rFonts w:hint="cs"/>
          <w:sz w:val="20"/>
          <w:szCs w:val="20"/>
          <w:rtl/>
        </w:rPr>
        <w:t xml:space="preserve"> מפרש </w:t>
      </w:r>
      <w:r>
        <w:rPr>
          <w:sz w:val="20"/>
          <w:szCs w:val="20"/>
          <w:rtl/>
        </w:rPr>
        <w:t>–</w:t>
      </w:r>
      <w:r>
        <w:rPr>
          <w:rFonts w:hint="cs"/>
          <w:sz w:val="20"/>
          <w:szCs w:val="20"/>
          <w:rtl/>
        </w:rPr>
        <w:t xml:space="preserve"> שמא גם האשה עצמה מסופקת בדין זה, אלא כיוון שגם חכמים מסופקים חושבת שטהור.</w:t>
      </w:r>
      <w:r>
        <w:rPr>
          <w:rStyle w:val="a5"/>
          <w:sz w:val="20"/>
          <w:szCs w:val="20"/>
          <w:rtl/>
        </w:rPr>
        <w:footnoteReference w:id="149"/>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A41D6E">
        <w:rPr>
          <w:rFonts w:cs="Arial" w:hint="cs"/>
          <w:sz w:val="20"/>
          <w:szCs w:val="20"/>
          <w:rtl/>
        </w:rPr>
        <w:t>נאמנת</w:t>
      </w:r>
      <w:r w:rsidRPr="00A41D6E">
        <w:rPr>
          <w:rFonts w:cs="Arial"/>
          <w:sz w:val="20"/>
          <w:szCs w:val="20"/>
          <w:rtl/>
        </w:rPr>
        <w:t xml:space="preserve"> </w:t>
      </w:r>
      <w:r w:rsidRPr="00A41D6E">
        <w:rPr>
          <w:rFonts w:cs="Arial" w:hint="cs"/>
          <w:sz w:val="20"/>
          <w:szCs w:val="20"/>
          <w:rtl/>
        </w:rPr>
        <w:t>אשה</w:t>
      </w:r>
      <w:r w:rsidRPr="00A41D6E">
        <w:rPr>
          <w:rFonts w:cs="Arial"/>
          <w:sz w:val="20"/>
          <w:szCs w:val="20"/>
          <w:rtl/>
        </w:rPr>
        <w:t xml:space="preserve"> </w:t>
      </w:r>
      <w:r w:rsidRPr="00A41D6E">
        <w:rPr>
          <w:rFonts w:cs="Arial" w:hint="cs"/>
          <w:sz w:val="20"/>
          <w:szCs w:val="20"/>
          <w:rtl/>
        </w:rPr>
        <w:t>לומר</w:t>
      </w:r>
      <w:r w:rsidRPr="00A41D6E">
        <w:rPr>
          <w:rFonts w:cs="Arial"/>
          <w:sz w:val="20"/>
          <w:szCs w:val="20"/>
          <w:rtl/>
        </w:rPr>
        <w:t xml:space="preserve">: </w:t>
      </w:r>
      <w:r w:rsidRPr="00A41D6E">
        <w:rPr>
          <w:rFonts w:cs="Arial" w:hint="cs"/>
          <w:sz w:val="20"/>
          <w:szCs w:val="20"/>
          <w:rtl/>
        </w:rPr>
        <w:t>כזה</w:t>
      </w:r>
      <w:r w:rsidRPr="00A41D6E">
        <w:rPr>
          <w:rFonts w:cs="Arial"/>
          <w:sz w:val="20"/>
          <w:szCs w:val="20"/>
          <w:rtl/>
        </w:rPr>
        <w:t xml:space="preserve"> </w:t>
      </w:r>
      <w:r w:rsidRPr="00A41D6E">
        <w:rPr>
          <w:rFonts w:cs="Arial" w:hint="cs"/>
          <w:sz w:val="20"/>
          <w:szCs w:val="20"/>
          <w:rtl/>
        </w:rPr>
        <w:t>ראיתי</w:t>
      </w:r>
      <w:r w:rsidRPr="00A41D6E">
        <w:rPr>
          <w:rFonts w:cs="Arial"/>
          <w:sz w:val="20"/>
          <w:szCs w:val="20"/>
          <w:rtl/>
        </w:rPr>
        <w:t xml:space="preserve">, </w:t>
      </w:r>
      <w:r w:rsidRPr="00A41D6E">
        <w:rPr>
          <w:rFonts w:cs="Arial" w:hint="cs"/>
          <w:sz w:val="20"/>
          <w:szCs w:val="20"/>
          <w:rtl/>
        </w:rPr>
        <w:t>ואבדתיו</w:t>
      </w:r>
      <w:r w:rsidRPr="00A41D6E">
        <w:rPr>
          <w:rFonts w:cs="Arial"/>
          <w:sz w:val="20"/>
          <w:szCs w:val="20"/>
          <w:rtl/>
        </w:rPr>
        <w:t xml:space="preserve">. </w:t>
      </w:r>
      <w:r w:rsidRPr="00A41D6E">
        <w:rPr>
          <w:rFonts w:cs="Arial" w:hint="cs"/>
          <w:sz w:val="20"/>
          <w:szCs w:val="20"/>
          <w:rtl/>
        </w:rPr>
        <w:t>אם</w:t>
      </w:r>
      <w:r w:rsidRPr="00A41D6E">
        <w:rPr>
          <w:rFonts w:cs="Arial"/>
          <w:sz w:val="20"/>
          <w:szCs w:val="20"/>
          <w:rtl/>
        </w:rPr>
        <w:t xml:space="preserve"> </w:t>
      </w:r>
      <w:r w:rsidRPr="00A41D6E">
        <w:rPr>
          <w:rFonts w:cs="Arial" w:hint="cs"/>
          <w:sz w:val="20"/>
          <w:szCs w:val="20"/>
          <w:rtl/>
        </w:rPr>
        <w:t>הוא</w:t>
      </w:r>
      <w:r w:rsidRPr="00A41D6E">
        <w:rPr>
          <w:rFonts w:cs="Arial"/>
          <w:sz w:val="20"/>
          <w:szCs w:val="20"/>
          <w:rtl/>
        </w:rPr>
        <w:t xml:space="preserve"> </w:t>
      </w:r>
      <w:r w:rsidRPr="00A41D6E">
        <w:rPr>
          <w:rFonts w:cs="Arial" w:hint="cs"/>
          <w:sz w:val="20"/>
          <w:szCs w:val="20"/>
          <w:rtl/>
        </w:rPr>
        <w:t>מראה</w:t>
      </w:r>
      <w:r w:rsidRPr="00A41D6E">
        <w:rPr>
          <w:rFonts w:cs="Arial"/>
          <w:sz w:val="20"/>
          <w:szCs w:val="20"/>
          <w:rtl/>
        </w:rPr>
        <w:t xml:space="preserve"> </w:t>
      </w:r>
      <w:r w:rsidRPr="00A41D6E">
        <w:rPr>
          <w:rFonts w:cs="Arial" w:hint="cs"/>
          <w:sz w:val="20"/>
          <w:szCs w:val="20"/>
          <w:rtl/>
        </w:rPr>
        <w:t>לבן</w:t>
      </w:r>
      <w:r w:rsidRPr="00A41D6E">
        <w:rPr>
          <w:rFonts w:cs="Arial"/>
          <w:sz w:val="20"/>
          <w:szCs w:val="20"/>
          <w:rtl/>
        </w:rPr>
        <w:t xml:space="preserve"> </w:t>
      </w:r>
      <w:r w:rsidRPr="00A41D6E">
        <w:rPr>
          <w:rFonts w:cs="Arial" w:hint="cs"/>
          <w:sz w:val="20"/>
          <w:szCs w:val="20"/>
          <w:rtl/>
        </w:rPr>
        <w:t>או</w:t>
      </w:r>
      <w:r w:rsidRPr="00A41D6E">
        <w:rPr>
          <w:rFonts w:cs="Arial"/>
          <w:sz w:val="20"/>
          <w:szCs w:val="20"/>
          <w:rtl/>
        </w:rPr>
        <w:t xml:space="preserve"> </w:t>
      </w:r>
      <w:r w:rsidRPr="00A41D6E">
        <w:rPr>
          <w:rFonts w:cs="Arial" w:hint="cs"/>
          <w:sz w:val="20"/>
          <w:szCs w:val="20"/>
          <w:rtl/>
        </w:rPr>
        <w:t>ירוק</w:t>
      </w:r>
      <w:r w:rsidRPr="00A41D6E">
        <w:rPr>
          <w:rFonts w:cs="Arial"/>
          <w:sz w:val="20"/>
          <w:szCs w:val="20"/>
          <w:rtl/>
        </w:rPr>
        <w:t xml:space="preserve">, </w:t>
      </w:r>
      <w:r w:rsidRPr="00A41D6E">
        <w:rPr>
          <w:rFonts w:cs="Arial" w:hint="cs"/>
          <w:sz w:val="20"/>
          <w:szCs w:val="20"/>
          <w:rtl/>
        </w:rPr>
        <w:t>טהור</w:t>
      </w:r>
      <w:r w:rsidRPr="00A41D6E">
        <w:rPr>
          <w:rFonts w:cs="Arial"/>
          <w:sz w:val="20"/>
          <w:szCs w:val="20"/>
          <w:rtl/>
        </w:rPr>
        <w:t xml:space="preserve">. </w:t>
      </w:r>
      <w:r w:rsidRPr="00A41D6E">
        <w:rPr>
          <w:rFonts w:cs="Arial" w:hint="cs"/>
          <w:sz w:val="20"/>
          <w:szCs w:val="20"/>
          <w:rtl/>
        </w:rPr>
        <w:t>אבל</w:t>
      </w:r>
      <w:r w:rsidRPr="00A41D6E">
        <w:rPr>
          <w:rFonts w:cs="Arial"/>
          <w:sz w:val="20"/>
          <w:szCs w:val="20"/>
          <w:rtl/>
        </w:rPr>
        <w:t xml:space="preserve"> </w:t>
      </w:r>
      <w:r w:rsidRPr="00A41D6E">
        <w:rPr>
          <w:rFonts w:cs="Arial" w:hint="cs"/>
          <w:sz w:val="20"/>
          <w:szCs w:val="20"/>
          <w:rtl/>
        </w:rPr>
        <w:t>אם</w:t>
      </w:r>
      <w:r w:rsidRPr="00A41D6E">
        <w:rPr>
          <w:rFonts w:cs="Arial"/>
          <w:sz w:val="20"/>
          <w:szCs w:val="20"/>
          <w:rtl/>
        </w:rPr>
        <w:t xml:space="preserve"> </w:t>
      </w:r>
      <w:r w:rsidRPr="00A41D6E">
        <w:rPr>
          <w:rFonts w:cs="Arial" w:hint="cs"/>
          <w:sz w:val="20"/>
          <w:szCs w:val="20"/>
          <w:rtl/>
        </w:rPr>
        <w:t>הביאו</w:t>
      </w:r>
      <w:r w:rsidRPr="00A41D6E">
        <w:rPr>
          <w:rFonts w:cs="Arial"/>
          <w:sz w:val="20"/>
          <w:szCs w:val="20"/>
          <w:rtl/>
        </w:rPr>
        <w:t xml:space="preserve"> </w:t>
      </w:r>
      <w:r w:rsidRPr="00A41D6E">
        <w:rPr>
          <w:rFonts w:cs="Arial" w:hint="cs"/>
          <w:sz w:val="20"/>
          <w:szCs w:val="20"/>
          <w:rtl/>
        </w:rPr>
        <w:t>לפנינו</w:t>
      </w:r>
      <w:r w:rsidRPr="00A41D6E">
        <w:rPr>
          <w:rFonts w:cs="Arial"/>
          <w:sz w:val="20"/>
          <w:szCs w:val="20"/>
          <w:rtl/>
        </w:rPr>
        <w:t xml:space="preserve"> </w:t>
      </w:r>
      <w:r w:rsidRPr="00A41D6E">
        <w:rPr>
          <w:rFonts w:cs="Arial" w:hint="cs"/>
          <w:sz w:val="20"/>
          <w:szCs w:val="20"/>
          <w:rtl/>
        </w:rPr>
        <w:t>דם</w:t>
      </w:r>
      <w:r w:rsidRPr="00A41D6E">
        <w:rPr>
          <w:rFonts w:cs="Arial"/>
          <w:sz w:val="20"/>
          <w:szCs w:val="20"/>
          <w:rtl/>
        </w:rPr>
        <w:t xml:space="preserve">, </w:t>
      </w:r>
      <w:r w:rsidRPr="00A41D6E">
        <w:rPr>
          <w:rFonts w:cs="Arial" w:hint="cs"/>
          <w:sz w:val="20"/>
          <w:szCs w:val="20"/>
          <w:rtl/>
        </w:rPr>
        <w:t>והחזקנוהו</w:t>
      </w:r>
      <w:r w:rsidRPr="00A41D6E">
        <w:rPr>
          <w:rFonts w:cs="Arial"/>
          <w:sz w:val="20"/>
          <w:szCs w:val="20"/>
          <w:rtl/>
        </w:rPr>
        <w:t xml:space="preserve"> </w:t>
      </w:r>
      <w:r w:rsidRPr="00A41D6E">
        <w:rPr>
          <w:rFonts w:cs="Arial" w:hint="cs"/>
          <w:sz w:val="20"/>
          <w:szCs w:val="20"/>
          <w:rtl/>
        </w:rPr>
        <w:t>בטמא</w:t>
      </w:r>
      <w:r w:rsidRPr="00A41D6E">
        <w:rPr>
          <w:rFonts w:cs="Arial"/>
          <w:sz w:val="20"/>
          <w:szCs w:val="20"/>
          <w:rtl/>
        </w:rPr>
        <w:t xml:space="preserve">, </w:t>
      </w:r>
      <w:r w:rsidRPr="00A41D6E">
        <w:rPr>
          <w:rFonts w:cs="Arial" w:hint="cs"/>
          <w:sz w:val="20"/>
          <w:szCs w:val="20"/>
          <w:rtl/>
        </w:rPr>
        <w:t>או</w:t>
      </w:r>
      <w:r w:rsidRPr="00A41D6E">
        <w:rPr>
          <w:rFonts w:cs="Arial"/>
          <w:sz w:val="20"/>
          <w:szCs w:val="20"/>
          <w:rtl/>
        </w:rPr>
        <w:t xml:space="preserve"> </w:t>
      </w:r>
      <w:r w:rsidRPr="00A41D6E">
        <w:rPr>
          <w:rFonts w:cs="Arial" w:hint="cs"/>
          <w:sz w:val="20"/>
          <w:szCs w:val="20"/>
          <w:rtl/>
        </w:rPr>
        <w:t>אפילו</w:t>
      </w:r>
      <w:r w:rsidRPr="00A41D6E">
        <w:rPr>
          <w:rFonts w:cs="Arial"/>
          <w:sz w:val="20"/>
          <w:szCs w:val="20"/>
          <w:rtl/>
        </w:rPr>
        <w:t xml:space="preserve"> </w:t>
      </w:r>
      <w:r w:rsidRPr="00A41D6E">
        <w:rPr>
          <w:rFonts w:cs="Arial" w:hint="cs"/>
          <w:sz w:val="20"/>
          <w:szCs w:val="20"/>
          <w:rtl/>
        </w:rPr>
        <w:t>נסתפקנו</w:t>
      </w:r>
      <w:r w:rsidRPr="00A41D6E">
        <w:rPr>
          <w:rFonts w:cs="Arial"/>
          <w:sz w:val="20"/>
          <w:szCs w:val="20"/>
          <w:rtl/>
        </w:rPr>
        <w:t xml:space="preserve"> </w:t>
      </w:r>
      <w:r w:rsidRPr="00A41D6E">
        <w:rPr>
          <w:rFonts w:cs="Arial" w:hint="cs"/>
          <w:sz w:val="20"/>
          <w:szCs w:val="20"/>
          <w:rtl/>
        </w:rPr>
        <w:t>אם</w:t>
      </w:r>
      <w:r w:rsidRPr="00A41D6E">
        <w:rPr>
          <w:rFonts w:cs="Arial"/>
          <w:sz w:val="20"/>
          <w:szCs w:val="20"/>
          <w:rtl/>
        </w:rPr>
        <w:t xml:space="preserve"> </w:t>
      </w:r>
      <w:r w:rsidRPr="00A41D6E">
        <w:rPr>
          <w:rFonts w:cs="Arial" w:hint="cs"/>
          <w:sz w:val="20"/>
          <w:szCs w:val="20"/>
          <w:rtl/>
        </w:rPr>
        <w:t>הוא</w:t>
      </w:r>
      <w:r w:rsidRPr="00A41D6E">
        <w:rPr>
          <w:rFonts w:cs="Arial"/>
          <w:sz w:val="20"/>
          <w:szCs w:val="20"/>
          <w:rtl/>
        </w:rPr>
        <w:t xml:space="preserve"> </w:t>
      </w:r>
      <w:r w:rsidRPr="00A41D6E">
        <w:rPr>
          <w:rFonts w:cs="Arial" w:hint="cs"/>
          <w:sz w:val="20"/>
          <w:szCs w:val="20"/>
          <w:rtl/>
        </w:rPr>
        <w:t>טמא</w:t>
      </w:r>
      <w:r w:rsidRPr="00A41D6E">
        <w:rPr>
          <w:rFonts w:cs="Arial"/>
          <w:sz w:val="20"/>
          <w:szCs w:val="20"/>
          <w:rtl/>
        </w:rPr>
        <w:t xml:space="preserve"> </w:t>
      </w:r>
      <w:r w:rsidRPr="00A41D6E">
        <w:rPr>
          <w:rFonts w:cs="Arial" w:hint="cs"/>
          <w:sz w:val="20"/>
          <w:szCs w:val="20"/>
          <w:rtl/>
        </w:rPr>
        <w:t>או</w:t>
      </w:r>
      <w:r w:rsidRPr="00A41D6E">
        <w:rPr>
          <w:rFonts w:cs="Arial"/>
          <w:sz w:val="20"/>
          <w:szCs w:val="20"/>
          <w:rtl/>
        </w:rPr>
        <w:t xml:space="preserve"> </w:t>
      </w:r>
      <w:r w:rsidRPr="00A41D6E">
        <w:rPr>
          <w:rFonts w:cs="Arial" w:hint="cs"/>
          <w:sz w:val="20"/>
          <w:szCs w:val="20"/>
          <w:rtl/>
        </w:rPr>
        <w:t>טהור</w:t>
      </w:r>
      <w:r w:rsidRPr="00A41D6E">
        <w:rPr>
          <w:rFonts w:cs="Arial"/>
          <w:sz w:val="20"/>
          <w:szCs w:val="20"/>
          <w:rtl/>
        </w:rPr>
        <w:t xml:space="preserve">, </w:t>
      </w:r>
      <w:r w:rsidRPr="00A41D6E">
        <w:rPr>
          <w:rFonts w:cs="Arial" w:hint="cs"/>
          <w:sz w:val="20"/>
          <w:szCs w:val="20"/>
          <w:rtl/>
        </w:rPr>
        <w:t>והיא</w:t>
      </w:r>
      <w:r w:rsidRPr="00A41D6E">
        <w:rPr>
          <w:rFonts w:cs="Arial"/>
          <w:sz w:val="20"/>
          <w:szCs w:val="20"/>
          <w:rtl/>
        </w:rPr>
        <w:t xml:space="preserve"> </w:t>
      </w:r>
      <w:r w:rsidRPr="00A41D6E">
        <w:rPr>
          <w:rFonts w:cs="Arial" w:hint="cs"/>
          <w:sz w:val="20"/>
          <w:szCs w:val="20"/>
          <w:rtl/>
        </w:rPr>
        <w:t>אומרת</w:t>
      </w:r>
      <w:r w:rsidRPr="00A41D6E">
        <w:rPr>
          <w:rFonts w:cs="Arial"/>
          <w:sz w:val="20"/>
          <w:szCs w:val="20"/>
          <w:rtl/>
        </w:rPr>
        <w:t xml:space="preserve">: </w:t>
      </w:r>
      <w:r w:rsidRPr="00A41D6E">
        <w:rPr>
          <w:rFonts w:cs="Arial" w:hint="cs"/>
          <w:sz w:val="20"/>
          <w:szCs w:val="20"/>
          <w:rtl/>
        </w:rPr>
        <w:t>חכם</w:t>
      </w:r>
      <w:r w:rsidRPr="00A41D6E">
        <w:rPr>
          <w:rFonts w:cs="Arial"/>
          <w:sz w:val="20"/>
          <w:szCs w:val="20"/>
          <w:rtl/>
        </w:rPr>
        <w:t xml:space="preserve"> </w:t>
      </w:r>
      <w:r w:rsidRPr="00A41D6E">
        <w:rPr>
          <w:rFonts w:cs="Arial" w:hint="cs"/>
          <w:sz w:val="20"/>
          <w:szCs w:val="20"/>
          <w:rtl/>
        </w:rPr>
        <w:t>פלוני</w:t>
      </w:r>
      <w:r w:rsidRPr="00A41D6E">
        <w:rPr>
          <w:rFonts w:cs="Arial"/>
          <w:sz w:val="20"/>
          <w:szCs w:val="20"/>
          <w:rtl/>
        </w:rPr>
        <w:t xml:space="preserve"> </w:t>
      </w:r>
      <w:r w:rsidRPr="00A41D6E">
        <w:rPr>
          <w:rFonts w:cs="Arial" w:hint="cs"/>
          <w:sz w:val="20"/>
          <w:szCs w:val="20"/>
          <w:rtl/>
        </w:rPr>
        <w:t>טיהר</w:t>
      </w:r>
      <w:r w:rsidRPr="00A41D6E">
        <w:rPr>
          <w:rFonts w:cs="Arial"/>
          <w:sz w:val="20"/>
          <w:szCs w:val="20"/>
          <w:rtl/>
        </w:rPr>
        <w:t xml:space="preserve"> </w:t>
      </w:r>
      <w:r w:rsidRPr="00A41D6E">
        <w:rPr>
          <w:rFonts w:cs="Arial" w:hint="cs"/>
          <w:sz w:val="20"/>
          <w:szCs w:val="20"/>
          <w:rtl/>
        </w:rPr>
        <w:t>לי</w:t>
      </w:r>
      <w:r w:rsidRPr="00A41D6E">
        <w:rPr>
          <w:rFonts w:cs="Arial"/>
          <w:sz w:val="20"/>
          <w:szCs w:val="20"/>
          <w:rtl/>
        </w:rPr>
        <w:t xml:space="preserve"> </w:t>
      </w:r>
      <w:r w:rsidRPr="00A41D6E">
        <w:rPr>
          <w:rFonts w:cs="Arial" w:hint="cs"/>
          <w:sz w:val="20"/>
          <w:szCs w:val="20"/>
          <w:rtl/>
        </w:rPr>
        <w:t>כיוצא</w:t>
      </w:r>
      <w:r w:rsidRPr="00A41D6E">
        <w:rPr>
          <w:rFonts w:cs="Arial"/>
          <w:sz w:val="20"/>
          <w:szCs w:val="20"/>
          <w:rtl/>
        </w:rPr>
        <w:t xml:space="preserve"> </w:t>
      </w:r>
      <w:r w:rsidRPr="00A41D6E">
        <w:rPr>
          <w:rFonts w:cs="Arial" w:hint="cs"/>
          <w:sz w:val="20"/>
          <w:szCs w:val="20"/>
          <w:rtl/>
        </w:rPr>
        <w:t>בזה</w:t>
      </w:r>
      <w:r w:rsidRPr="00A41D6E">
        <w:rPr>
          <w:rFonts w:cs="Arial"/>
          <w:sz w:val="20"/>
          <w:szCs w:val="20"/>
          <w:rtl/>
        </w:rPr>
        <w:t xml:space="preserve">, </w:t>
      </w:r>
      <w:r w:rsidRPr="00A41D6E">
        <w:rPr>
          <w:rFonts w:cs="Arial" w:hint="cs"/>
          <w:sz w:val="20"/>
          <w:szCs w:val="20"/>
          <w:rtl/>
        </w:rPr>
        <w:t>אין</w:t>
      </w:r>
      <w:r w:rsidRPr="00A41D6E">
        <w:rPr>
          <w:rFonts w:cs="Arial"/>
          <w:sz w:val="20"/>
          <w:szCs w:val="20"/>
          <w:rtl/>
        </w:rPr>
        <w:t xml:space="preserve"> </w:t>
      </w:r>
      <w:r w:rsidRPr="00A41D6E">
        <w:rPr>
          <w:rFonts w:cs="Arial" w:hint="cs"/>
          <w:sz w:val="20"/>
          <w:szCs w:val="20"/>
          <w:rtl/>
        </w:rPr>
        <w:t>סומכין</w:t>
      </w:r>
      <w:r w:rsidRPr="00A41D6E">
        <w:rPr>
          <w:rFonts w:cs="Arial"/>
          <w:sz w:val="20"/>
          <w:szCs w:val="20"/>
          <w:rtl/>
        </w:rPr>
        <w:t xml:space="preserve"> </w:t>
      </w:r>
      <w:r w:rsidRPr="00A41D6E">
        <w:rPr>
          <w:rFonts w:cs="Arial" w:hint="cs"/>
          <w:sz w:val="20"/>
          <w:szCs w:val="20"/>
          <w:rtl/>
        </w:rPr>
        <w:t>עליה</w:t>
      </w:r>
      <w:r>
        <w:rPr>
          <w:rFonts w:cs="Arial" w:hint="cs"/>
          <w:sz w:val="20"/>
          <w:szCs w:val="20"/>
          <w:rtl/>
        </w:rPr>
        <w:t>"</w:t>
      </w:r>
      <w:r>
        <w:rPr>
          <w:rStyle w:val="a5"/>
          <w:rFonts w:cs="Arial" w:hint="cs"/>
          <w:sz w:val="20"/>
          <w:szCs w:val="20"/>
          <w:rtl/>
        </w:rPr>
        <w:t>.</w:t>
      </w:r>
      <w:r>
        <w:rPr>
          <w:rStyle w:val="a5"/>
          <w:sz w:val="20"/>
          <w:szCs w:val="20"/>
          <w:rtl/>
        </w:rPr>
        <w:footnoteReference w:id="150"/>
      </w:r>
      <w:r>
        <w:rPr>
          <w:rFonts w:hint="cs"/>
          <w:sz w:val="20"/>
          <w:szCs w:val="20"/>
          <w:rtl/>
        </w:rPr>
        <w:br/>
      </w:r>
      <w:r>
        <w:rPr>
          <w:rFonts w:hint="cs"/>
          <w:sz w:val="20"/>
          <w:szCs w:val="20"/>
          <w:rtl/>
        </w:rPr>
        <w:br/>
      </w:r>
      <w:r>
        <w:rPr>
          <w:rFonts w:hint="cs"/>
          <w:sz w:val="20"/>
          <w:szCs w:val="20"/>
          <w:u w:val="single"/>
          <w:rtl/>
        </w:rPr>
        <w:t>שיטת רש"י</w:t>
      </w:r>
      <w:r>
        <w:rPr>
          <w:sz w:val="20"/>
          <w:szCs w:val="20"/>
          <w:u w:val="single"/>
          <w:rtl/>
        </w:rPr>
        <w:br/>
      </w:r>
      <w:r w:rsidRPr="00512DC2">
        <w:rPr>
          <w:rFonts w:hint="cs"/>
          <w:b/>
          <w:bCs/>
          <w:sz w:val="20"/>
          <w:szCs w:val="20"/>
          <w:rtl/>
        </w:rPr>
        <w:t>רש"י</w:t>
      </w:r>
      <w:r>
        <w:rPr>
          <w:rFonts w:hint="cs"/>
          <w:sz w:val="20"/>
          <w:szCs w:val="20"/>
          <w:rtl/>
        </w:rPr>
        <w:t xml:space="preserve"> </w:t>
      </w:r>
      <w:r>
        <w:rPr>
          <w:sz w:val="20"/>
          <w:szCs w:val="20"/>
          <w:rtl/>
        </w:rPr>
        <w:t>–</w:t>
      </w:r>
      <w:r>
        <w:rPr>
          <w:rFonts w:hint="cs"/>
          <w:sz w:val="20"/>
          <w:szCs w:val="20"/>
          <w:rtl/>
        </w:rPr>
        <w:t xml:space="preserve"> במראה דם דאיתא קמן, אין האשה יכולה לפסוק אלא עליה להראותו לחכם </w:t>
      </w:r>
      <w:r w:rsidRPr="00512DC2">
        <w:rPr>
          <w:rFonts w:hint="cs"/>
          <w:sz w:val="18"/>
          <w:szCs w:val="18"/>
          <w:rtl/>
        </w:rPr>
        <w:t>(ועיין בהערה לעיל)</w:t>
      </w:r>
      <w:r>
        <w:rPr>
          <w:rFonts w:hint="cs"/>
          <w:sz w:val="20"/>
          <w:szCs w:val="20"/>
          <w:rtl/>
        </w:rPr>
        <w:t>.</w:t>
      </w:r>
      <w:r>
        <w:rPr>
          <w:rFonts w:hint="cs"/>
          <w:sz w:val="20"/>
          <w:szCs w:val="20"/>
          <w:rtl/>
        </w:rPr>
        <w:br/>
        <w:t xml:space="preserve">א. </w:t>
      </w:r>
      <w:r w:rsidRPr="00A05D3D">
        <w:rPr>
          <w:rFonts w:hint="cs"/>
          <w:sz w:val="20"/>
          <w:szCs w:val="20"/>
          <w:rtl/>
        </w:rPr>
        <w:t>לפי"ז פסקו</w:t>
      </w:r>
      <w:r>
        <w:rPr>
          <w:rFonts w:hint="cs"/>
          <w:b/>
          <w:bCs/>
          <w:sz w:val="20"/>
          <w:szCs w:val="20"/>
          <w:rtl/>
        </w:rPr>
        <w:t xml:space="preserve"> </w:t>
      </w:r>
      <w:r w:rsidRPr="00EF2B88">
        <w:rPr>
          <w:rFonts w:hint="cs"/>
          <w:b/>
          <w:bCs/>
          <w:sz w:val="20"/>
          <w:szCs w:val="20"/>
          <w:rtl/>
        </w:rPr>
        <w:t>ב"ח וש"ך</w:t>
      </w:r>
      <w:r>
        <w:rPr>
          <w:rFonts w:hint="cs"/>
          <w:sz w:val="20"/>
          <w:szCs w:val="20"/>
          <w:rtl/>
        </w:rPr>
        <w:t xml:space="preserve"> </w:t>
      </w:r>
      <w:r>
        <w:rPr>
          <w:sz w:val="20"/>
          <w:szCs w:val="20"/>
          <w:rtl/>
        </w:rPr>
        <w:t>–</w:t>
      </w:r>
      <w:r>
        <w:rPr>
          <w:rFonts w:hint="cs"/>
          <w:sz w:val="20"/>
          <w:szCs w:val="20"/>
          <w:rtl/>
        </w:rPr>
        <w:t xml:space="preserve"> אשה אינה יכולה לטהר לחברתה דם ולומר לה שחכם אחר טיהר לה כיוצא בזה.</w:t>
      </w:r>
      <w:r>
        <w:rPr>
          <w:rFonts w:hint="cs"/>
          <w:sz w:val="20"/>
          <w:szCs w:val="20"/>
          <w:rtl/>
        </w:rPr>
        <w:br/>
        <w:t xml:space="preserve">ב. מוסיף </w:t>
      </w:r>
      <w:r w:rsidRPr="00A05D3D">
        <w:rPr>
          <w:rFonts w:hint="cs"/>
          <w:b/>
          <w:bCs/>
          <w:sz w:val="20"/>
          <w:szCs w:val="20"/>
          <w:rtl/>
        </w:rPr>
        <w:t>הסדרי טהרה</w:t>
      </w:r>
      <w:r>
        <w:rPr>
          <w:rFonts w:hint="cs"/>
          <w:sz w:val="20"/>
          <w:szCs w:val="20"/>
          <w:rtl/>
        </w:rPr>
        <w:t xml:space="preserve"> </w:t>
      </w:r>
      <w:r w:rsidRPr="00DB366E">
        <w:rPr>
          <w:rFonts w:hint="cs"/>
          <w:sz w:val="18"/>
          <w:szCs w:val="18"/>
          <w:rtl/>
        </w:rPr>
        <w:t xml:space="preserve">(פת"ש) </w:t>
      </w:r>
      <w:r>
        <w:rPr>
          <w:sz w:val="20"/>
          <w:szCs w:val="20"/>
          <w:rtl/>
        </w:rPr>
        <w:t>–</w:t>
      </w:r>
      <w:r>
        <w:rPr>
          <w:rFonts w:hint="cs"/>
          <w:sz w:val="20"/>
          <w:szCs w:val="20"/>
          <w:rtl/>
        </w:rPr>
        <w:t xml:space="preserve"> אישה אינה יכולה לסמוך אפילו על עצמה, למרות שברור לה שבמקרה כיוצא כזה טיהר לה החכם, אלא עליה לבוא כל פעם לחכם שיראה את הדם ויפסוק.</w:t>
      </w:r>
      <w:r>
        <w:rPr>
          <w:sz w:val="20"/>
          <w:szCs w:val="20"/>
          <w:rtl/>
        </w:rPr>
        <w:br/>
      </w:r>
      <w:r>
        <w:rPr>
          <w:rFonts w:hint="cs"/>
          <w:sz w:val="20"/>
          <w:szCs w:val="20"/>
          <w:rtl/>
        </w:rPr>
        <w:t xml:space="preserve">אמנם, לדעת </w:t>
      </w:r>
      <w:r w:rsidRPr="001C082C">
        <w:rPr>
          <w:rFonts w:hint="cs"/>
          <w:b/>
          <w:bCs/>
          <w:sz w:val="20"/>
          <w:szCs w:val="20"/>
          <w:rtl/>
        </w:rPr>
        <w:t>הרשב"א</w:t>
      </w:r>
      <w:r>
        <w:rPr>
          <w:rFonts w:hint="cs"/>
          <w:sz w:val="20"/>
          <w:szCs w:val="20"/>
          <w:rtl/>
        </w:rPr>
        <w:t xml:space="preserve"> נראה שנאמנת במקרים הנ"ל, משום שהדבר לא היה ספק לחכם. </w:t>
      </w:r>
      <w:r>
        <w:rPr>
          <w:sz w:val="18"/>
          <w:szCs w:val="18"/>
          <w:rtl/>
        </w:rPr>
        <w:br/>
      </w:r>
      <w:r w:rsidRPr="00290312">
        <w:rPr>
          <w:rFonts w:hint="cs"/>
          <w:sz w:val="18"/>
          <w:szCs w:val="18"/>
          <w:rtl/>
        </w:rPr>
        <w:t xml:space="preserve">(כלומר, </w:t>
      </w:r>
      <w:r w:rsidRPr="00290312">
        <w:rPr>
          <w:rFonts w:hint="cs"/>
          <w:b/>
          <w:bCs/>
          <w:sz w:val="18"/>
          <w:szCs w:val="18"/>
          <w:rtl/>
        </w:rPr>
        <w:t>לרשב"א</w:t>
      </w:r>
      <w:r w:rsidRPr="00290312">
        <w:rPr>
          <w:rFonts w:hint="cs"/>
          <w:sz w:val="18"/>
          <w:szCs w:val="18"/>
          <w:rtl/>
        </w:rPr>
        <w:t xml:space="preserve"> אינה נאמנת רק במקום שהחכם מסופק. </w:t>
      </w:r>
      <w:r w:rsidRPr="00290312">
        <w:rPr>
          <w:rFonts w:hint="cs"/>
          <w:b/>
          <w:bCs/>
          <w:sz w:val="18"/>
          <w:szCs w:val="18"/>
          <w:rtl/>
        </w:rPr>
        <w:t>לרש"י</w:t>
      </w:r>
      <w:r w:rsidRPr="00290312">
        <w:rPr>
          <w:rFonts w:hint="cs"/>
          <w:sz w:val="18"/>
          <w:szCs w:val="18"/>
          <w:rtl/>
        </w:rPr>
        <w:t xml:space="preserve"> </w:t>
      </w:r>
      <w:r>
        <w:rPr>
          <w:rFonts w:hint="cs"/>
          <w:sz w:val="18"/>
          <w:szCs w:val="18"/>
          <w:rtl/>
        </w:rPr>
        <w:t>אינה</w:t>
      </w:r>
      <w:r w:rsidRPr="00290312">
        <w:rPr>
          <w:rFonts w:hint="cs"/>
          <w:sz w:val="18"/>
          <w:szCs w:val="18"/>
          <w:rtl/>
        </w:rPr>
        <w:t xml:space="preserve"> נאמנת בכל מקום דאיתא קמן).</w:t>
      </w:r>
    </w:p>
    <w:p w:rsidR="00620060" w:rsidRDefault="00620060" w:rsidP="00620060">
      <w:pPr>
        <w:rPr>
          <w:sz w:val="20"/>
          <w:szCs w:val="20"/>
          <w:rtl/>
        </w:rPr>
      </w:pPr>
      <w:r>
        <w:rPr>
          <w:rFonts w:hint="cs"/>
          <w:sz w:val="20"/>
          <w:szCs w:val="20"/>
          <w:u w:val="single"/>
          <w:rtl/>
        </w:rPr>
        <w:t xml:space="preserve">למעשה - האם מי שאינו בקי יכול לראות מראות </w:t>
      </w:r>
      <w:r>
        <w:rPr>
          <w:sz w:val="20"/>
          <w:szCs w:val="20"/>
          <w:u w:val="single"/>
          <w:rtl/>
        </w:rPr>
        <w:br/>
      </w:r>
      <w:r>
        <w:rPr>
          <w:rFonts w:hint="cs"/>
          <w:sz w:val="20"/>
          <w:szCs w:val="20"/>
          <w:rtl/>
        </w:rPr>
        <w:t xml:space="preserve">א. </w:t>
      </w:r>
      <w:r w:rsidRPr="00C8143E">
        <w:rPr>
          <w:rFonts w:hint="cs"/>
          <w:b/>
          <w:bCs/>
          <w:sz w:val="20"/>
          <w:szCs w:val="20"/>
          <w:rtl/>
        </w:rPr>
        <w:t>דברי חיים</w:t>
      </w:r>
      <w:r>
        <w:rPr>
          <w:rFonts w:hint="cs"/>
          <w:sz w:val="20"/>
          <w:szCs w:val="20"/>
          <w:rtl/>
        </w:rPr>
        <w:t xml:space="preserve"> </w:t>
      </w:r>
      <w:r>
        <w:rPr>
          <w:sz w:val="20"/>
          <w:szCs w:val="20"/>
          <w:rtl/>
        </w:rPr>
        <w:t>–</w:t>
      </w:r>
      <w:r>
        <w:rPr>
          <w:rFonts w:hint="cs"/>
          <w:sz w:val="20"/>
          <w:szCs w:val="20"/>
          <w:rtl/>
        </w:rPr>
        <w:t xml:space="preserve"> בימינו שמטמאים כל מראה הנוטה לאדום, אין צריך הבחנה מרובה ואף לרש"י יכול לראות.</w:t>
      </w:r>
      <w:r>
        <w:rPr>
          <w:sz w:val="20"/>
          <w:szCs w:val="20"/>
          <w:rtl/>
        </w:rPr>
        <w:t xml:space="preserve"> </w:t>
      </w:r>
      <w:r>
        <w:rPr>
          <w:sz w:val="20"/>
          <w:szCs w:val="20"/>
          <w:rtl/>
        </w:rPr>
        <w:br/>
      </w:r>
      <w:r>
        <w:rPr>
          <w:rFonts w:hint="cs"/>
          <w:sz w:val="20"/>
          <w:szCs w:val="20"/>
          <w:rtl/>
        </w:rPr>
        <w:t xml:space="preserve">ב. </w:t>
      </w:r>
      <w:r w:rsidRPr="00C20FD5">
        <w:rPr>
          <w:rFonts w:hint="cs"/>
          <w:b/>
          <w:bCs/>
          <w:sz w:val="20"/>
          <w:szCs w:val="20"/>
          <w:rtl/>
        </w:rPr>
        <w:t xml:space="preserve">שבט הלוי </w:t>
      </w:r>
      <w:r>
        <w:rPr>
          <w:sz w:val="20"/>
          <w:szCs w:val="20"/>
          <w:rtl/>
        </w:rPr>
        <w:t>–</w:t>
      </w:r>
      <w:r>
        <w:rPr>
          <w:rFonts w:hint="cs"/>
          <w:sz w:val="20"/>
          <w:szCs w:val="20"/>
          <w:rtl/>
        </w:rPr>
        <w:t xml:space="preserve"> משמע ברשב"א</w:t>
      </w:r>
      <w:r>
        <w:rPr>
          <w:rStyle w:val="a5"/>
          <w:sz w:val="20"/>
          <w:szCs w:val="20"/>
          <w:rtl/>
        </w:rPr>
        <w:footnoteReference w:id="151"/>
      </w:r>
      <w:r>
        <w:rPr>
          <w:rFonts w:hint="cs"/>
          <w:sz w:val="20"/>
          <w:szCs w:val="20"/>
          <w:rtl/>
        </w:rPr>
        <w:t xml:space="preserve"> שאשה נאמנת תמיד, אך לדינא יש לסמוך על זה רק כשברור הדבר היטב.</w:t>
      </w:r>
    </w:p>
    <w:p w:rsidR="00620060" w:rsidRPr="006E6BAC" w:rsidRDefault="00620060" w:rsidP="00620060">
      <w:pPr>
        <w:rPr>
          <w:sz w:val="20"/>
          <w:szCs w:val="20"/>
          <w:rtl/>
        </w:rPr>
      </w:pPr>
      <w:r>
        <w:rPr>
          <w:rFonts w:hint="cs"/>
          <w:sz w:val="20"/>
          <w:szCs w:val="20"/>
          <w:u w:val="single"/>
          <w:rtl/>
        </w:rPr>
        <w:t>פלוני חכם טיהר לי</w:t>
      </w:r>
      <w:r>
        <w:rPr>
          <w:rFonts w:hint="cs"/>
          <w:sz w:val="20"/>
          <w:szCs w:val="20"/>
          <w:u w:val="single"/>
          <w:rtl/>
        </w:rPr>
        <w:br/>
      </w:r>
      <w:r w:rsidRPr="006E6BAC">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משמע מהמחבר שנאמנת אשה לומר "דם זה או כתם זה טיהר לי פלוני חכם", שהרי רק כשהדבר מסופק אמרינן כאן שאינה נאמנת, הא לאו הכי נאמנת </w:t>
      </w:r>
      <w:r w:rsidRPr="006E6BAC">
        <w:rPr>
          <w:rFonts w:hint="cs"/>
          <w:sz w:val="18"/>
          <w:szCs w:val="18"/>
          <w:rtl/>
        </w:rPr>
        <w:t>(וכן משמע גם ברמ"א לעיל סימן קפה, ג)</w:t>
      </w:r>
      <w:r>
        <w:rPr>
          <w:rFonts w:hint="cs"/>
          <w:sz w:val="20"/>
          <w:szCs w:val="20"/>
          <w:rtl/>
        </w:rPr>
        <w:t>.</w:t>
      </w:r>
    </w:p>
    <w:p w:rsidR="00620060" w:rsidRDefault="00620060" w:rsidP="00620060">
      <w:pPr>
        <w:rPr>
          <w:sz w:val="20"/>
          <w:szCs w:val="20"/>
          <w:rtl/>
        </w:rPr>
      </w:pPr>
      <w:r>
        <w:rPr>
          <w:rFonts w:hint="cs"/>
          <w:sz w:val="20"/>
          <w:szCs w:val="20"/>
          <w:u w:val="single"/>
          <w:rtl/>
        </w:rPr>
        <w:lastRenderedPageBreak/>
        <w:t>מצאה את המראה האבוד</w:t>
      </w:r>
      <w:r>
        <w:rPr>
          <w:sz w:val="20"/>
          <w:szCs w:val="20"/>
          <w:rtl/>
        </w:rPr>
        <w:br/>
      </w:r>
      <w:r>
        <w:rPr>
          <w:rFonts w:hint="cs"/>
          <w:sz w:val="20"/>
          <w:szCs w:val="20"/>
          <w:rtl/>
        </w:rPr>
        <w:t xml:space="preserve">המקרה - מצאה את המראה האבוד ומביאתו לחכם, ואומרת שמראה זה האבוד דומה למראה שאינו אבוד </w:t>
      </w:r>
      <w:r w:rsidRPr="002F5783">
        <w:rPr>
          <w:rFonts w:hint="cs"/>
          <w:sz w:val="18"/>
          <w:szCs w:val="18"/>
          <w:rtl/>
        </w:rPr>
        <w:t>(וחזינן שיודעת להשוות בין הדמים)</w:t>
      </w:r>
      <w:r>
        <w:rPr>
          <w:rFonts w:hint="cs"/>
          <w:sz w:val="18"/>
          <w:szCs w:val="18"/>
          <w:rtl/>
        </w:rPr>
        <w:t>,</w:t>
      </w:r>
      <w:r w:rsidRPr="002F5783">
        <w:rPr>
          <w:rFonts w:hint="cs"/>
          <w:sz w:val="18"/>
          <w:szCs w:val="18"/>
          <w:rtl/>
        </w:rPr>
        <w:t xml:space="preserve"> </w:t>
      </w:r>
      <w:r>
        <w:rPr>
          <w:rFonts w:hint="cs"/>
          <w:sz w:val="20"/>
          <w:szCs w:val="20"/>
          <w:rtl/>
        </w:rPr>
        <w:t>וחכם אחר טיהר לה בעבר מראה כזה, האם נאמנת?</w:t>
      </w:r>
      <w:r>
        <w:rPr>
          <w:sz w:val="20"/>
          <w:szCs w:val="20"/>
          <w:rtl/>
        </w:rPr>
        <w:br/>
      </w:r>
      <w:r>
        <w:rPr>
          <w:rFonts w:hint="cs"/>
          <w:sz w:val="20"/>
          <w:szCs w:val="20"/>
          <w:rtl/>
        </w:rPr>
        <w:t xml:space="preserve">א. </w:t>
      </w:r>
      <w:r w:rsidRPr="002F5783">
        <w:rPr>
          <w:rFonts w:hint="cs"/>
          <w:b/>
          <w:bCs/>
          <w:sz w:val="20"/>
          <w:szCs w:val="20"/>
          <w:rtl/>
        </w:rPr>
        <w:t>תורת השלמים</w:t>
      </w:r>
      <w:r>
        <w:rPr>
          <w:rFonts w:hint="cs"/>
          <w:sz w:val="20"/>
          <w:szCs w:val="20"/>
          <w:rtl/>
        </w:rPr>
        <w:t xml:space="preserve"> </w:t>
      </w:r>
      <w:r>
        <w:rPr>
          <w:sz w:val="20"/>
          <w:szCs w:val="20"/>
          <w:rtl/>
        </w:rPr>
        <w:t>–</w:t>
      </w:r>
      <w:r>
        <w:rPr>
          <w:rFonts w:hint="cs"/>
          <w:sz w:val="20"/>
          <w:szCs w:val="20"/>
          <w:rtl/>
        </w:rPr>
        <w:t xml:space="preserve"> אינה נאמנת</w:t>
      </w:r>
      <w:r>
        <w:rPr>
          <w:rFonts w:hint="cs"/>
          <w:sz w:val="18"/>
          <w:szCs w:val="18"/>
          <w:rtl/>
        </w:rPr>
        <w:t xml:space="preserve"> </w:t>
      </w:r>
      <w:r w:rsidRPr="002F5783">
        <w:rPr>
          <w:rFonts w:hint="cs"/>
          <w:sz w:val="18"/>
          <w:szCs w:val="18"/>
          <w:rtl/>
        </w:rPr>
        <w:t>(וכתב שכך משמע גם מרש"י, דכל היכא דאיתא קמן אינה נאמנת)</w:t>
      </w:r>
      <w:r>
        <w:rPr>
          <w:rFonts w:hint="cs"/>
          <w:sz w:val="20"/>
          <w:szCs w:val="20"/>
          <w:rtl/>
        </w:rPr>
        <w:t>.</w:t>
      </w:r>
      <w:r>
        <w:rPr>
          <w:rFonts w:hint="cs"/>
          <w:sz w:val="20"/>
          <w:szCs w:val="20"/>
          <w:rtl/>
        </w:rPr>
        <w:br/>
        <w:t xml:space="preserve">ב. </w:t>
      </w:r>
      <w:r w:rsidRPr="0023396D">
        <w:rPr>
          <w:rFonts w:hint="cs"/>
          <w:b/>
          <w:bCs/>
          <w:sz w:val="20"/>
          <w:szCs w:val="20"/>
          <w:rtl/>
        </w:rPr>
        <w:t>מי נידה</w:t>
      </w:r>
      <w:r>
        <w:rPr>
          <w:rFonts w:hint="cs"/>
          <w:sz w:val="20"/>
          <w:szCs w:val="20"/>
          <w:rtl/>
        </w:rPr>
        <w:t xml:space="preserve"> </w:t>
      </w:r>
      <w:r>
        <w:rPr>
          <w:sz w:val="20"/>
          <w:szCs w:val="20"/>
          <w:rtl/>
        </w:rPr>
        <w:t>–</w:t>
      </w:r>
      <w:r>
        <w:rPr>
          <w:rFonts w:hint="cs"/>
          <w:sz w:val="20"/>
          <w:szCs w:val="20"/>
          <w:rtl/>
        </w:rPr>
        <w:t xml:space="preserve"> נאמנת </w:t>
      </w:r>
      <w:r w:rsidRPr="0023396D">
        <w:rPr>
          <w:rFonts w:hint="cs"/>
          <w:sz w:val="18"/>
          <w:szCs w:val="18"/>
          <w:rtl/>
        </w:rPr>
        <w:t>(וכן משמע ברשב"א)</w:t>
      </w:r>
      <w:r w:rsidRPr="0023396D">
        <w:rPr>
          <w:rFonts w:hint="cs"/>
          <w:sz w:val="20"/>
          <w:szCs w:val="20"/>
          <w:rtl/>
        </w:rPr>
        <w:t>.</w:t>
      </w:r>
      <w:r w:rsidRPr="0023396D">
        <w:rPr>
          <w:rFonts w:hint="cs"/>
          <w:sz w:val="18"/>
          <w:szCs w:val="18"/>
          <w:rtl/>
        </w:rPr>
        <w:t xml:space="preserve"> </w:t>
      </w:r>
      <w:r>
        <w:rPr>
          <w:sz w:val="20"/>
          <w:szCs w:val="20"/>
          <w:rtl/>
        </w:rPr>
        <w:br/>
      </w:r>
      <w:r>
        <w:rPr>
          <w:sz w:val="20"/>
          <w:szCs w:val="20"/>
          <w:u w:val="single"/>
          <w:rtl/>
        </w:rPr>
        <w:br/>
      </w:r>
      <w:r>
        <w:rPr>
          <w:rFonts w:hint="cs"/>
          <w:sz w:val="20"/>
          <w:szCs w:val="20"/>
          <w:u w:val="single"/>
          <w:rtl/>
        </w:rPr>
        <w:t>ראיית בעל דם אשתו</w:t>
      </w:r>
      <w:r>
        <w:rPr>
          <w:sz w:val="20"/>
          <w:szCs w:val="20"/>
          <w:u w:val="single"/>
          <w:rtl/>
        </w:rPr>
        <w:br/>
      </w:r>
      <w:r w:rsidRPr="00BF6377">
        <w:rPr>
          <w:rFonts w:hint="cs"/>
          <w:b/>
          <w:bCs/>
          <w:sz w:val="20"/>
          <w:szCs w:val="20"/>
          <w:rtl/>
        </w:rPr>
        <w:t>משנה</w:t>
      </w:r>
      <w:r>
        <w:rPr>
          <w:rFonts w:hint="cs"/>
          <w:sz w:val="20"/>
          <w:szCs w:val="20"/>
          <w:rtl/>
        </w:rPr>
        <w:t xml:space="preserve"> נגעים (ב, ה) "</w:t>
      </w:r>
      <w:r w:rsidRPr="00B536FA">
        <w:rPr>
          <w:rFonts w:cs="Arial" w:hint="cs"/>
          <w:sz w:val="20"/>
          <w:szCs w:val="20"/>
          <w:rtl/>
        </w:rPr>
        <w:t>כל</w:t>
      </w:r>
      <w:r w:rsidRPr="00B536FA">
        <w:rPr>
          <w:rFonts w:cs="Arial"/>
          <w:sz w:val="20"/>
          <w:szCs w:val="20"/>
          <w:rtl/>
        </w:rPr>
        <w:t xml:space="preserve"> </w:t>
      </w:r>
      <w:r w:rsidRPr="00B536FA">
        <w:rPr>
          <w:rFonts w:cs="Arial" w:hint="cs"/>
          <w:sz w:val="20"/>
          <w:szCs w:val="20"/>
          <w:rtl/>
        </w:rPr>
        <w:t>הנגעים</w:t>
      </w:r>
      <w:r w:rsidRPr="00B536FA">
        <w:rPr>
          <w:rFonts w:cs="Arial"/>
          <w:sz w:val="20"/>
          <w:szCs w:val="20"/>
          <w:rtl/>
        </w:rPr>
        <w:t xml:space="preserve"> </w:t>
      </w:r>
      <w:r w:rsidRPr="00B536FA">
        <w:rPr>
          <w:rFonts w:cs="Arial" w:hint="cs"/>
          <w:sz w:val="20"/>
          <w:szCs w:val="20"/>
          <w:rtl/>
        </w:rPr>
        <w:t>אדם</w:t>
      </w:r>
      <w:r w:rsidRPr="00B536FA">
        <w:rPr>
          <w:rFonts w:cs="Arial"/>
          <w:sz w:val="20"/>
          <w:szCs w:val="20"/>
          <w:rtl/>
        </w:rPr>
        <w:t xml:space="preserve"> </w:t>
      </w:r>
      <w:r w:rsidRPr="00B536FA">
        <w:rPr>
          <w:rFonts w:cs="Arial" w:hint="cs"/>
          <w:sz w:val="20"/>
          <w:szCs w:val="20"/>
          <w:rtl/>
        </w:rPr>
        <w:t>רואה</w:t>
      </w:r>
      <w:r w:rsidRPr="00B536FA">
        <w:rPr>
          <w:rFonts w:cs="Arial"/>
          <w:sz w:val="20"/>
          <w:szCs w:val="20"/>
          <w:rtl/>
        </w:rPr>
        <w:t xml:space="preserve"> </w:t>
      </w:r>
      <w:r w:rsidRPr="00B536FA">
        <w:rPr>
          <w:rFonts w:cs="Arial" w:hint="cs"/>
          <w:sz w:val="20"/>
          <w:szCs w:val="20"/>
          <w:rtl/>
        </w:rPr>
        <w:t>חוץ</w:t>
      </w:r>
      <w:r w:rsidRPr="00B536FA">
        <w:rPr>
          <w:rFonts w:cs="Arial"/>
          <w:sz w:val="20"/>
          <w:szCs w:val="20"/>
          <w:rtl/>
        </w:rPr>
        <w:t xml:space="preserve"> </w:t>
      </w:r>
      <w:r w:rsidRPr="00B536FA">
        <w:rPr>
          <w:rFonts w:cs="Arial" w:hint="cs"/>
          <w:sz w:val="20"/>
          <w:szCs w:val="20"/>
          <w:rtl/>
        </w:rPr>
        <w:t>מנגעי</w:t>
      </w:r>
      <w:r w:rsidRPr="00B536FA">
        <w:rPr>
          <w:rFonts w:cs="Arial"/>
          <w:sz w:val="20"/>
          <w:szCs w:val="20"/>
          <w:rtl/>
        </w:rPr>
        <w:t xml:space="preserve"> </w:t>
      </w:r>
      <w:r w:rsidRPr="00B536FA">
        <w:rPr>
          <w:rFonts w:cs="Arial" w:hint="cs"/>
          <w:sz w:val="20"/>
          <w:szCs w:val="20"/>
          <w:rtl/>
        </w:rPr>
        <w:t>עצמו</w:t>
      </w:r>
      <w:r>
        <w:rPr>
          <w:rFonts w:cs="Arial" w:hint="cs"/>
          <w:sz w:val="20"/>
          <w:szCs w:val="20"/>
          <w:rtl/>
        </w:rPr>
        <w:t>,</w:t>
      </w:r>
      <w:r w:rsidRPr="00B536FA">
        <w:rPr>
          <w:rFonts w:cs="Arial"/>
          <w:sz w:val="20"/>
          <w:szCs w:val="20"/>
          <w:rtl/>
        </w:rPr>
        <w:t xml:space="preserve"> </w:t>
      </w:r>
      <w:r w:rsidRPr="00B536FA">
        <w:rPr>
          <w:rFonts w:cs="Arial" w:hint="cs"/>
          <w:sz w:val="20"/>
          <w:szCs w:val="20"/>
          <w:rtl/>
        </w:rPr>
        <w:t>ר</w:t>
      </w:r>
      <w:r w:rsidRPr="00B536FA">
        <w:rPr>
          <w:rFonts w:cs="Arial"/>
          <w:sz w:val="20"/>
          <w:szCs w:val="20"/>
          <w:rtl/>
        </w:rPr>
        <w:t xml:space="preserve">' </w:t>
      </w:r>
      <w:r w:rsidRPr="00B536FA">
        <w:rPr>
          <w:rFonts w:cs="Arial" w:hint="cs"/>
          <w:sz w:val="20"/>
          <w:szCs w:val="20"/>
          <w:rtl/>
        </w:rPr>
        <w:t>מאיר</w:t>
      </w:r>
      <w:r w:rsidRPr="00B536FA">
        <w:rPr>
          <w:rFonts w:cs="Arial"/>
          <w:sz w:val="20"/>
          <w:szCs w:val="20"/>
          <w:rtl/>
        </w:rPr>
        <w:t xml:space="preserve"> </w:t>
      </w:r>
      <w:r w:rsidRPr="00B536FA">
        <w:rPr>
          <w:rFonts w:cs="Arial" w:hint="cs"/>
          <w:sz w:val="20"/>
          <w:szCs w:val="20"/>
          <w:rtl/>
        </w:rPr>
        <w:t>אומר</w:t>
      </w:r>
      <w:r w:rsidRPr="00B536FA">
        <w:rPr>
          <w:rFonts w:cs="Arial"/>
          <w:sz w:val="20"/>
          <w:szCs w:val="20"/>
          <w:rtl/>
        </w:rPr>
        <w:t xml:space="preserve"> </w:t>
      </w:r>
      <w:r w:rsidRPr="00B536FA">
        <w:rPr>
          <w:rFonts w:cs="Arial" w:hint="cs"/>
          <w:sz w:val="20"/>
          <w:szCs w:val="20"/>
          <w:rtl/>
        </w:rPr>
        <w:t>אף</w:t>
      </w:r>
      <w:r w:rsidRPr="00B536FA">
        <w:rPr>
          <w:rFonts w:cs="Arial"/>
          <w:sz w:val="20"/>
          <w:szCs w:val="20"/>
          <w:rtl/>
        </w:rPr>
        <w:t xml:space="preserve"> </w:t>
      </w:r>
      <w:r w:rsidRPr="00B536FA">
        <w:rPr>
          <w:rFonts w:cs="Arial" w:hint="cs"/>
          <w:sz w:val="20"/>
          <w:szCs w:val="20"/>
          <w:rtl/>
        </w:rPr>
        <w:t>לא</w:t>
      </w:r>
      <w:r w:rsidRPr="00B536FA">
        <w:rPr>
          <w:rFonts w:cs="Arial"/>
          <w:sz w:val="20"/>
          <w:szCs w:val="20"/>
          <w:rtl/>
        </w:rPr>
        <w:t xml:space="preserve"> </w:t>
      </w:r>
      <w:r w:rsidRPr="00B536FA">
        <w:rPr>
          <w:rFonts w:cs="Arial" w:hint="cs"/>
          <w:sz w:val="20"/>
          <w:szCs w:val="20"/>
          <w:rtl/>
        </w:rPr>
        <w:t>נגעי</w:t>
      </w:r>
      <w:r w:rsidRPr="00B536FA">
        <w:rPr>
          <w:rFonts w:cs="Arial"/>
          <w:sz w:val="20"/>
          <w:szCs w:val="20"/>
          <w:rtl/>
        </w:rPr>
        <w:t xml:space="preserve"> </w:t>
      </w:r>
      <w:r w:rsidRPr="00B536FA">
        <w:rPr>
          <w:rFonts w:cs="Arial" w:hint="cs"/>
          <w:sz w:val="20"/>
          <w:szCs w:val="20"/>
          <w:rtl/>
        </w:rPr>
        <w:t>קרוביו</w:t>
      </w:r>
      <w:r>
        <w:rPr>
          <w:rFonts w:cs="Arial" w:hint="cs"/>
          <w:sz w:val="20"/>
          <w:szCs w:val="20"/>
          <w:rtl/>
        </w:rPr>
        <w:t>.</w:t>
      </w:r>
      <w:r w:rsidRPr="00B536FA">
        <w:rPr>
          <w:rFonts w:cs="Arial"/>
          <w:sz w:val="20"/>
          <w:szCs w:val="20"/>
          <w:rtl/>
        </w:rPr>
        <w:t xml:space="preserve"> </w:t>
      </w:r>
      <w:r w:rsidRPr="00B536FA">
        <w:rPr>
          <w:rFonts w:cs="Arial" w:hint="cs"/>
          <w:sz w:val="20"/>
          <w:szCs w:val="20"/>
          <w:rtl/>
        </w:rPr>
        <w:t>כל</w:t>
      </w:r>
      <w:r w:rsidRPr="00B536FA">
        <w:rPr>
          <w:rFonts w:cs="Arial"/>
          <w:sz w:val="20"/>
          <w:szCs w:val="20"/>
          <w:rtl/>
        </w:rPr>
        <w:t xml:space="preserve"> </w:t>
      </w:r>
      <w:r w:rsidRPr="00B536FA">
        <w:rPr>
          <w:rFonts w:cs="Arial" w:hint="cs"/>
          <w:sz w:val="20"/>
          <w:szCs w:val="20"/>
          <w:rtl/>
        </w:rPr>
        <w:t>הנדרים</w:t>
      </w:r>
      <w:r w:rsidRPr="00B536FA">
        <w:rPr>
          <w:rFonts w:cs="Arial"/>
          <w:sz w:val="20"/>
          <w:szCs w:val="20"/>
          <w:rtl/>
        </w:rPr>
        <w:t xml:space="preserve"> </w:t>
      </w:r>
      <w:r w:rsidRPr="00B536FA">
        <w:rPr>
          <w:rFonts w:cs="Arial" w:hint="cs"/>
          <w:sz w:val="20"/>
          <w:szCs w:val="20"/>
          <w:rtl/>
        </w:rPr>
        <w:t>אדם</w:t>
      </w:r>
      <w:r w:rsidRPr="00B536FA">
        <w:rPr>
          <w:rFonts w:cs="Arial"/>
          <w:sz w:val="20"/>
          <w:szCs w:val="20"/>
          <w:rtl/>
        </w:rPr>
        <w:t xml:space="preserve"> </w:t>
      </w:r>
      <w:r w:rsidRPr="00B536FA">
        <w:rPr>
          <w:rFonts w:cs="Arial" w:hint="cs"/>
          <w:sz w:val="20"/>
          <w:szCs w:val="20"/>
          <w:rtl/>
        </w:rPr>
        <w:t>מתיר</w:t>
      </w:r>
      <w:r w:rsidRPr="00B536FA">
        <w:rPr>
          <w:rFonts w:cs="Arial"/>
          <w:sz w:val="20"/>
          <w:szCs w:val="20"/>
          <w:rtl/>
        </w:rPr>
        <w:t xml:space="preserve"> </w:t>
      </w:r>
      <w:r w:rsidRPr="00B536FA">
        <w:rPr>
          <w:rFonts w:cs="Arial" w:hint="cs"/>
          <w:sz w:val="20"/>
          <w:szCs w:val="20"/>
          <w:rtl/>
        </w:rPr>
        <w:t>חוץ</w:t>
      </w:r>
      <w:r w:rsidRPr="00B536FA">
        <w:rPr>
          <w:rFonts w:cs="Arial"/>
          <w:sz w:val="20"/>
          <w:szCs w:val="20"/>
          <w:rtl/>
        </w:rPr>
        <w:t xml:space="preserve"> </w:t>
      </w:r>
      <w:r w:rsidRPr="00B536FA">
        <w:rPr>
          <w:rFonts w:cs="Arial" w:hint="cs"/>
          <w:sz w:val="20"/>
          <w:szCs w:val="20"/>
          <w:rtl/>
        </w:rPr>
        <w:t>מנדרי</w:t>
      </w:r>
      <w:r w:rsidRPr="00B536FA">
        <w:rPr>
          <w:rFonts w:cs="Arial"/>
          <w:sz w:val="20"/>
          <w:szCs w:val="20"/>
          <w:rtl/>
        </w:rPr>
        <w:t xml:space="preserve"> </w:t>
      </w:r>
      <w:r w:rsidRPr="00B536FA">
        <w:rPr>
          <w:rFonts w:cs="Arial" w:hint="cs"/>
          <w:sz w:val="20"/>
          <w:szCs w:val="20"/>
          <w:rtl/>
        </w:rPr>
        <w:t>עצמו</w:t>
      </w:r>
      <w:r>
        <w:rPr>
          <w:rFonts w:cs="Arial" w:hint="cs"/>
          <w:sz w:val="20"/>
          <w:szCs w:val="20"/>
          <w:rtl/>
        </w:rPr>
        <w:t>,</w:t>
      </w:r>
      <w:r w:rsidRPr="00B536FA">
        <w:rPr>
          <w:rFonts w:cs="Arial"/>
          <w:sz w:val="20"/>
          <w:szCs w:val="20"/>
          <w:rtl/>
        </w:rPr>
        <w:t xml:space="preserve"> </w:t>
      </w:r>
      <w:r w:rsidRPr="00B536FA">
        <w:rPr>
          <w:rFonts w:cs="Arial" w:hint="cs"/>
          <w:sz w:val="20"/>
          <w:szCs w:val="20"/>
          <w:rtl/>
        </w:rPr>
        <w:t>רבי</w:t>
      </w:r>
      <w:r w:rsidRPr="00B536FA">
        <w:rPr>
          <w:rFonts w:cs="Arial"/>
          <w:sz w:val="20"/>
          <w:szCs w:val="20"/>
          <w:rtl/>
        </w:rPr>
        <w:t xml:space="preserve"> </w:t>
      </w:r>
      <w:r w:rsidRPr="00B536FA">
        <w:rPr>
          <w:rFonts w:cs="Arial" w:hint="cs"/>
          <w:sz w:val="20"/>
          <w:szCs w:val="20"/>
          <w:rtl/>
        </w:rPr>
        <w:t>יהודה</w:t>
      </w:r>
      <w:r w:rsidRPr="00B536FA">
        <w:rPr>
          <w:rFonts w:cs="Arial"/>
          <w:sz w:val="20"/>
          <w:szCs w:val="20"/>
          <w:rtl/>
        </w:rPr>
        <w:t xml:space="preserve"> </w:t>
      </w:r>
      <w:r w:rsidRPr="00B536FA">
        <w:rPr>
          <w:rFonts w:cs="Arial" w:hint="cs"/>
          <w:sz w:val="20"/>
          <w:szCs w:val="20"/>
          <w:rtl/>
        </w:rPr>
        <w:t>אומר</w:t>
      </w:r>
      <w:r w:rsidRPr="00B536FA">
        <w:rPr>
          <w:rFonts w:cs="Arial"/>
          <w:sz w:val="20"/>
          <w:szCs w:val="20"/>
          <w:rtl/>
        </w:rPr>
        <w:t xml:space="preserve"> </w:t>
      </w:r>
      <w:r w:rsidRPr="00B536FA">
        <w:rPr>
          <w:rFonts w:cs="Arial" w:hint="cs"/>
          <w:sz w:val="20"/>
          <w:szCs w:val="20"/>
          <w:rtl/>
        </w:rPr>
        <w:t>אף</w:t>
      </w:r>
      <w:r w:rsidRPr="00B536FA">
        <w:rPr>
          <w:rFonts w:cs="Arial"/>
          <w:sz w:val="20"/>
          <w:szCs w:val="20"/>
          <w:rtl/>
        </w:rPr>
        <w:t xml:space="preserve"> </w:t>
      </w:r>
      <w:r w:rsidRPr="00B536FA">
        <w:rPr>
          <w:rFonts w:cs="Arial" w:hint="cs"/>
          <w:sz w:val="20"/>
          <w:szCs w:val="20"/>
          <w:rtl/>
        </w:rPr>
        <w:t>לא</w:t>
      </w:r>
      <w:r w:rsidRPr="00B536FA">
        <w:rPr>
          <w:rFonts w:cs="Arial"/>
          <w:sz w:val="20"/>
          <w:szCs w:val="20"/>
          <w:rtl/>
        </w:rPr>
        <w:t xml:space="preserve"> </w:t>
      </w:r>
      <w:r w:rsidRPr="00B536FA">
        <w:rPr>
          <w:rFonts w:cs="Arial" w:hint="cs"/>
          <w:sz w:val="20"/>
          <w:szCs w:val="20"/>
          <w:rtl/>
        </w:rPr>
        <w:t>נדרי</w:t>
      </w:r>
      <w:r w:rsidRPr="00B536FA">
        <w:rPr>
          <w:rFonts w:cs="Arial"/>
          <w:sz w:val="20"/>
          <w:szCs w:val="20"/>
          <w:rtl/>
        </w:rPr>
        <w:t xml:space="preserve"> </w:t>
      </w:r>
      <w:r w:rsidRPr="00B536FA">
        <w:rPr>
          <w:rFonts w:cs="Arial" w:hint="cs"/>
          <w:sz w:val="20"/>
          <w:szCs w:val="20"/>
          <w:rtl/>
        </w:rPr>
        <w:t>אשתו</w:t>
      </w:r>
      <w:r>
        <w:rPr>
          <w:rFonts w:hint="cs"/>
          <w:sz w:val="20"/>
          <w:szCs w:val="20"/>
          <w:rtl/>
        </w:rPr>
        <w:t>".</w:t>
      </w:r>
      <w:r>
        <w:rPr>
          <w:sz w:val="20"/>
          <w:szCs w:val="20"/>
          <w:rtl/>
        </w:rPr>
        <w:br/>
      </w:r>
      <w:r w:rsidRPr="00BF6377">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מכך שהמשנה לא כתבה שכל הדמים אדם רואה חוץ מדמי אשתו, משמע שיכול לראות.</w:t>
      </w:r>
      <w:r>
        <w:rPr>
          <w:sz w:val="20"/>
          <w:szCs w:val="20"/>
          <w:rtl/>
        </w:rPr>
        <w:br/>
      </w:r>
      <w:r>
        <w:rPr>
          <w:sz w:val="20"/>
          <w:szCs w:val="20"/>
          <w:rtl/>
        </w:rPr>
        <w:br/>
      </w:r>
      <w:r>
        <w:rPr>
          <w:rFonts w:hint="cs"/>
          <w:sz w:val="20"/>
          <w:szCs w:val="20"/>
          <w:u w:val="single"/>
          <w:rtl/>
        </w:rPr>
        <w:t>הוראת חכם לאשתו בדינים נוספים (פת"ש)</w:t>
      </w:r>
      <w:r>
        <w:rPr>
          <w:rFonts w:hint="cs"/>
          <w:sz w:val="20"/>
          <w:szCs w:val="20"/>
          <w:rtl/>
        </w:rPr>
        <w:br/>
      </w:r>
      <w:r w:rsidRPr="005A09B2">
        <w:rPr>
          <w:rFonts w:hint="cs"/>
          <w:b/>
          <w:bCs/>
          <w:sz w:val="20"/>
          <w:szCs w:val="20"/>
          <w:rtl/>
        </w:rPr>
        <w:t>חכמת אדם</w:t>
      </w:r>
      <w:r>
        <w:rPr>
          <w:rFonts w:hint="cs"/>
          <w:sz w:val="20"/>
          <w:szCs w:val="20"/>
          <w:rtl/>
        </w:rPr>
        <w:t xml:space="preserve"> - אע"פ שאדם יכול לראות דם אשתו, מכל מקום אינו יכול להורות לה הלכה בדין ספק בטבילה.</w:t>
      </w:r>
      <w:r>
        <w:rPr>
          <w:sz w:val="20"/>
          <w:szCs w:val="20"/>
          <w:rtl/>
        </w:rPr>
        <w:br/>
      </w:r>
      <w:r w:rsidRPr="005A09B2">
        <w:rPr>
          <w:rFonts w:hint="cs"/>
          <w:b/>
          <w:bCs/>
          <w:sz w:val="20"/>
          <w:szCs w:val="20"/>
          <w:rtl/>
        </w:rPr>
        <w:t>טעם</w:t>
      </w:r>
      <w:r>
        <w:rPr>
          <w:rFonts w:hint="cs"/>
          <w:sz w:val="20"/>
          <w:szCs w:val="20"/>
          <w:rtl/>
        </w:rPr>
        <w:t xml:space="preserve"> - כיוון שאיתחזק איסורא.</w:t>
      </w:r>
    </w:p>
    <w:p w:rsidR="00620060" w:rsidRDefault="00620060" w:rsidP="00620060">
      <w:pPr>
        <w:rPr>
          <w:sz w:val="20"/>
          <w:szCs w:val="20"/>
          <w:rtl/>
        </w:rPr>
      </w:pPr>
      <w:r w:rsidRPr="00097EDD">
        <w:rPr>
          <w:rFonts w:hint="cs"/>
          <w:b/>
          <w:bCs/>
          <w:sz w:val="20"/>
          <w:szCs w:val="20"/>
          <w:rtl/>
        </w:rPr>
        <w:t>סיכום</w:t>
      </w:r>
      <w:r>
        <w:rPr>
          <w:sz w:val="20"/>
          <w:szCs w:val="20"/>
          <w:rtl/>
        </w:rPr>
        <w:br/>
      </w:r>
      <w:r>
        <w:rPr>
          <w:rFonts w:hint="cs"/>
          <w:sz w:val="20"/>
          <w:szCs w:val="20"/>
          <w:rtl/>
        </w:rPr>
        <w:t xml:space="preserve">1. </w:t>
      </w:r>
      <w:r w:rsidRPr="00097EDD">
        <w:rPr>
          <w:rFonts w:hint="cs"/>
          <w:b/>
          <w:bCs/>
          <w:sz w:val="20"/>
          <w:szCs w:val="20"/>
          <w:rtl/>
        </w:rPr>
        <w:t>גמרא</w:t>
      </w:r>
      <w:r>
        <w:rPr>
          <w:rFonts w:hint="cs"/>
          <w:sz w:val="20"/>
          <w:szCs w:val="20"/>
          <w:rtl/>
        </w:rPr>
        <w:t xml:space="preserve">. נאמנת אשה לומר: "דם כזה ראיתי ואיבדתיו". בעיא. האם נאמנת לומר: "כזה טיהר לי חכם פלוני". ובעיא זו לא הוכרעה. </w:t>
      </w:r>
      <w:r w:rsidRPr="000A5099">
        <w:rPr>
          <w:rFonts w:hint="cs"/>
          <w:sz w:val="18"/>
          <w:szCs w:val="18"/>
          <w:rtl/>
        </w:rPr>
        <w:t>[אין חילוק בין איש לאישה, אלא הכוונה היא למי שאינו מומחה במראות].</w:t>
      </w:r>
      <w:r>
        <w:rPr>
          <w:sz w:val="20"/>
          <w:szCs w:val="20"/>
          <w:rtl/>
        </w:rPr>
        <w:br/>
      </w:r>
      <w:r>
        <w:rPr>
          <w:rFonts w:hint="cs"/>
          <w:sz w:val="20"/>
          <w:szCs w:val="20"/>
          <w:rtl/>
        </w:rPr>
        <w:t xml:space="preserve">2. </w:t>
      </w:r>
      <w:r w:rsidRPr="00097EDD">
        <w:rPr>
          <w:rFonts w:hint="cs"/>
          <w:b/>
          <w:bCs/>
          <w:sz w:val="20"/>
          <w:szCs w:val="20"/>
          <w:rtl/>
        </w:rPr>
        <w:t>רשב"א</w:t>
      </w:r>
      <w:r>
        <w:rPr>
          <w:rFonts w:hint="cs"/>
          <w:sz w:val="20"/>
          <w:szCs w:val="20"/>
          <w:rtl/>
        </w:rPr>
        <w:t xml:space="preserve">. נאמנת לומר כנ"ל משום "וספרה לה </w:t>
      </w:r>
      <w:r>
        <w:rPr>
          <w:sz w:val="20"/>
          <w:szCs w:val="20"/>
          <w:rtl/>
        </w:rPr>
        <w:t>–</w:t>
      </w:r>
      <w:r>
        <w:rPr>
          <w:rFonts w:hint="cs"/>
          <w:sz w:val="20"/>
          <w:szCs w:val="20"/>
          <w:rtl/>
        </w:rPr>
        <w:t xml:space="preserve"> לעצמה", אך כאשר הדבר ספק לחכמים אינה נאמנת לומר שחכם אחר טיהר לה, וזו כוונת הגמרא באיבעיא, וכ"פ </w:t>
      </w:r>
      <w:r w:rsidRPr="00097EDD">
        <w:rPr>
          <w:rFonts w:hint="cs"/>
          <w:b/>
          <w:bCs/>
          <w:sz w:val="20"/>
          <w:szCs w:val="20"/>
          <w:rtl/>
        </w:rPr>
        <w:t>המחבר</w:t>
      </w:r>
      <w:r>
        <w:rPr>
          <w:rFonts w:hint="cs"/>
          <w:sz w:val="20"/>
          <w:szCs w:val="20"/>
          <w:rtl/>
        </w:rPr>
        <w:t xml:space="preserve">. </w:t>
      </w:r>
      <w:r>
        <w:rPr>
          <w:rFonts w:hint="cs"/>
          <w:sz w:val="18"/>
          <w:szCs w:val="18"/>
          <w:rtl/>
        </w:rPr>
        <w:t>(</w:t>
      </w:r>
      <w:r w:rsidRPr="00290312">
        <w:rPr>
          <w:rFonts w:hint="cs"/>
          <w:b/>
          <w:bCs/>
          <w:sz w:val="18"/>
          <w:szCs w:val="18"/>
          <w:rtl/>
        </w:rPr>
        <w:t>טה"ב</w:t>
      </w:r>
      <w:r w:rsidRPr="00290312">
        <w:rPr>
          <w:rFonts w:hint="cs"/>
          <w:sz w:val="18"/>
          <w:szCs w:val="18"/>
          <w:rtl/>
        </w:rPr>
        <w:t>. בכתם יש להקל ולהאמינה</w:t>
      </w:r>
      <w:r>
        <w:rPr>
          <w:rFonts w:hint="cs"/>
          <w:sz w:val="18"/>
          <w:szCs w:val="18"/>
          <w:rtl/>
        </w:rPr>
        <w:t>)</w:t>
      </w:r>
      <w:r>
        <w:rPr>
          <w:rFonts w:hint="cs"/>
          <w:sz w:val="20"/>
          <w:szCs w:val="20"/>
          <w:rtl/>
        </w:rPr>
        <w:t>.</w:t>
      </w:r>
      <w:r>
        <w:rPr>
          <w:rFonts w:hint="cs"/>
          <w:sz w:val="20"/>
          <w:szCs w:val="20"/>
          <w:rtl/>
        </w:rPr>
        <w:br/>
        <w:t xml:space="preserve">3. </w:t>
      </w:r>
      <w:r w:rsidRPr="00097EDD">
        <w:rPr>
          <w:rFonts w:hint="cs"/>
          <w:b/>
          <w:bCs/>
          <w:sz w:val="20"/>
          <w:szCs w:val="20"/>
          <w:rtl/>
        </w:rPr>
        <w:t>רש"י</w:t>
      </w:r>
      <w:r>
        <w:rPr>
          <w:rFonts w:hint="cs"/>
          <w:sz w:val="20"/>
          <w:szCs w:val="20"/>
          <w:rtl/>
        </w:rPr>
        <w:t xml:space="preserve">. החילוק בין הברייתא לאיבעיא כך </w:t>
      </w:r>
      <w:r>
        <w:rPr>
          <w:sz w:val="20"/>
          <w:szCs w:val="20"/>
          <w:rtl/>
        </w:rPr>
        <w:t>–</w:t>
      </w:r>
      <w:r>
        <w:rPr>
          <w:rFonts w:hint="cs"/>
          <w:sz w:val="20"/>
          <w:szCs w:val="20"/>
          <w:rtl/>
        </w:rPr>
        <w:t xml:space="preserve"> דם דאיתא קמן אינה נאמנת, ליתא קמן נאמנת.</w:t>
      </w:r>
      <w:r>
        <w:rPr>
          <w:rFonts w:hint="cs"/>
          <w:sz w:val="20"/>
          <w:szCs w:val="20"/>
          <w:rtl/>
        </w:rPr>
        <w:br/>
        <w:t xml:space="preserve">4. </w:t>
      </w:r>
      <w:r w:rsidRPr="00097EDD">
        <w:rPr>
          <w:rFonts w:hint="cs"/>
          <w:b/>
          <w:bCs/>
          <w:sz w:val="20"/>
          <w:szCs w:val="20"/>
          <w:rtl/>
        </w:rPr>
        <w:t>ב"ח וש"ך</w:t>
      </w:r>
      <w:r>
        <w:rPr>
          <w:rFonts w:hint="cs"/>
          <w:sz w:val="20"/>
          <w:szCs w:val="20"/>
          <w:rtl/>
        </w:rPr>
        <w:t xml:space="preserve">. לפי"ז, אין אשה יכולה לראות כלל מראה של חברתה. </w:t>
      </w:r>
      <w:r w:rsidRPr="00097EDD">
        <w:rPr>
          <w:rFonts w:hint="cs"/>
          <w:b/>
          <w:bCs/>
          <w:sz w:val="20"/>
          <w:szCs w:val="20"/>
          <w:rtl/>
        </w:rPr>
        <w:t>סד"ט</w:t>
      </w:r>
      <w:r>
        <w:rPr>
          <w:rFonts w:hint="cs"/>
          <w:sz w:val="20"/>
          <w:szCs w:val="20"/>
          <w:rtl/>
        </w:rPr>
        <w:t>. ה"ה שאינה יכולה לראות מראה שלה. ואמנם, לדעת הרשב"א נראה שיכולה לראות.</w:t>
      </w:r>
      <w:r>
        <w:rPr>
          <w:sz w:val="20"/>
          <w:szCs w:val="20"/>
          <w:rtl/>
        </w:rPr>
        <w:br/>
      </w:r>
      <w:r>
        <w:rPr>
          <w:rFonts w:hint="cs"/>
          <w:sz w:val="20"/>
          <w:szCs w:val="20"/>
          <w:rtl/>
        </w:rPr>
        <w:t xml:space="preserve">5. </w:t>
      </w:r>
      <w:r w:rsidRPr="00097EDD">
        <w:rPr>
          <w:rFonts w:hint="cs"/>
          <w:b/>
          <w:bCs/>
          <w:sz w:val="20"/>
          <w:szCs w:val="20"/>
          <w:rtl/>
        </w:rPr>
        <w:t>דברי חיים</w:t>
      </w:r>
      <w:r>
        <w:rPr>
          <w:rFonts w:hint="cs"/>
          <w:sz w:val="20"/>
          <w:szCs w:val="20"/>
          <w:rtl/>
        </w:rPr>
        <w:t xml:space="preserve">. בימינו גם מי שאינו בקי יכול לפסוק, מטמאים כל מראה אדום. </w:t>
      </w:r>
      <w:r w:rsidRPr="00F140C9">
        <w:rPr>
          <w:rFonts w:hint="cs"/>
          <w:sz w:val="20"/>
          <w:szCs w:val="20"/>
          <w:rtl/>
        </w:rPr>
        <w:t>שבה"ל</w:t>
      </w:r>
      <w:r>
        <w:rPr>
          <w:rFonts w:hint="cs"/>
          <w:sz w:val="20"/>
          <w:szCs w:val="20"/>
          <w:rtl/>
        </w:rPr>
        <w:t>. רק כשהדבר ברור היטב.</w:t>
      </w:r>
      <w:r>
        <w:rPr>
          <w:rFonts w:hint="cs"/>
          <w:sz w:val="20"/>
          <w:szCs w:val="20"/>
          <w:rtl/>
        </w:rPr>
        <w:br/>
        <w:t xml:space="preserve">6. </w:t>
      </w:r>
      <w:r w:rsidRPr="00FB70B6">
        <w:rPr>
          <w:rFonts w:hint="cs"/>
          <w:b/>
          <w:bCs/>
          <w:sz w:val="20"/>
          <w:szCs w:val="20"/>
          <w:rtl/>
        </w:rPr>
        <w:t>ש"ך</w:t>
      </w:r>
      <w:r>
        <w:rPr>
          <w:rFonts w:hint="cs"/>
          <w:sz w:val="20"/>
          <w:szCs w:val="20"/>
          <w:rtl/>
        </w:rPr>
        <w:t>. נאמנת לומר על כתם או דם, שפלוני חכם טיהר לה.</w:t>
      </w:r>
      <w:r>
        <w:rPr>
          <w:sz w:val="20"/>
          <w:szCs w:val="20"/>
          <w:rtl/>
        </w:rPr>
        <w:br/>
      </w:r>
      <w:r>
        <w:rPr>
          <w:rFonts w:hint="cs"/>
          <w:sz w:val="20"/>
          <w:szCs w:val="20"/>
          <w:rtl/>
        </w:rPr>
        <w:t xml:space="preserve">7. מצאה את המראה האבוד ואומרת שחכם אחר טיהר לה זאת בעבר. </w:t>
      </w:r>
      <w:r w:rsidRPr="00290312">
        <w:rPr>
          <w:rFonts w:hint="cs"/>
          <w:b/>
          <w:bCs/>
          <w:sz w:val="20"/>
          <w:szCs w:val="20"/>
          <w:rtl/>
        </w:rPr>
        <w:t>תוה"ש</w:t>
      </w:r>
      <w:r>
        <w:rPr>
          <w:rFonts w:hint="cs"/>
          <w:sz w:val="20"/>
          <w:szCs w:val="20"/>
          <w:rtl/>
        </w:rPr>
        <w:t xml:space="preserve">. אינה נאמנת </w:t>
      </w:r>
      <w:r w:rsidRPr="000A5099">
        <w:rPr>
          <w:rFonts w:hint="cs"/>
          <w:sz w:val="18"/>
          <w:szCs w:val="18"/>
          <w:rtl/>
        </w:rPr>
        <w:t>(אליבא דרש"י)</w:t>
      </w:r>
      <w:r>
        <w:rPr>
          <w:rFonts w:hint="cs"/>
          <w:sz w:val="20"/>
          <w:szCs w:val="20"/>
          <w:rtl/>
        </w:rPr>
        <w:t xml:space="preserve">. </w:t>
      </w:r>
      <w:r w:rsidRPr="00290312">
        <w:rPr>
          <w:rFonts w:hint="cs"/>
          <w:b/>
          <w:bCs/>
          <w:sz w:val="20"/>
          <w:szCs w:val="20"/>
          <w:rtl/>
        </w:rPr>
        <w:t>מי נידה</w:t>
      </w:r>
      <w:r>
        <w:rPr>
          <w:rFonts w:hint="cs"/>
          <w:sz w:val="20"/>
          <w:szCs w:val="20"/>
          <w:rtl/>
        </w:rPr>
        <w:t xml:space="preserve">. נאמנת </w:t>
      </w:r>
      <w:r w:rsidRPr="000A5099">
        <w:rPr>
          <w:rFonts w:hint="cs"/>
          <w:sz w:val="18"/>
          <w:szCs w:val="18"/>
          <w:rtl/>
        </w:rPr>
        <w:t>(אליבא דהרשב"א)</w:t>
      </w:r>
      <w:r>
        <w:rPr>
          <w:rFonts w:hint="cs"/>
          <w:sz w:val="20"/>
          <w:szCs w:val="20"/>
          <w:rtl/>
        </w:rPr>
        <w:t>.</w:t>
      </w:r>
      <w:r>
        <w:rPr>
          <w:rFonts w:hint="cs"/>
          <w:sz w:val="20"/>
          <w:szCs w:val="20"/>
          <w:rtl/>
        </w:rPr>
        <w:br/>
        <w:t xml:space="preserve">8. </w:t>
      </w:r>
      <w:r w:rsidRPr="00097EDD">
        <w:rPr>
          <w:rFonts w:hint="cs"/>
          <w:b/>
          <w:bCs/>
          <w:sz w:val="20"/>
          <w:szCs w:val="20"/>
          <w:rtl/>
        </w:rPr>
        <w:t>רשב"א</w:t>
      </w:r>
      <w:r>
        <w:rPr>
          <w:rFonts w:hint="cs"/>
          <w:sz w:val="20"/>
          <w:szCs w:val="20"/>
          <w:rtl/>
        </w:rPr>
        <w:t>. אדם יכול לראות מראה דם של אשתו, וכן משמע במשנה בנגעים.</w:t>
      </w:r>
      <w:r>
        <w:rPr>
          <w:sz w:val="20"/>
          <w:szCs w:val="20"/>
          <w:rtl/>
        </w:rPr>
        <w:br/>
      </w:r>
      <w:r>
        <w:rPr>
          <w:rFonts w:hint="cs"/>
          <w:sz w:val="20"/>
          <w:szCs w:val="20"/>
          <w:rtl/>
        </w:rPr>
        <w:t xml:space="preserve">9. </w:t>
      </w:r>
      <w:r w:rsidRPr="00097EDD">
        <w:rPr>
          <w:rFonts w:hint="cs"/>
          <w:b/>
          <w:bCs/>
          <w:sz w:val="20"/>
          <w:szCs w:val="20"/>
          <w:rtl/>
        </w:rPr>
        <w:t>חכמת אדם</w:t>
      </w:r>
      <w:r>
        <w:rPr>
          <w:rFonts w:hint="cs"/>
          <w:sz w:val="20"/>
          <w:szCs w:val="20"/>
          <w:rtl/>
        </w:rPr>
        <w:t>. אין אדם יכול להורות לאשתו במקום שאיתחזק איסורא, כגון לגבי טבילה במקווה.</w:t>
      </w:r>
    </w:p>
    <w:p w:rsidR="00620060" w:rsidRDefault="00620060" w:rsidP="00620060">
      <w:pPr>
        <w:rPr>
          <w:rFonts w:cs="Arial"/>
          <w:sz w:val="20"/>
          <w:szCs w:val="20"/>
          <w:rtl/>
        </w:rPr>
      </w:pPr>
      <w:r>
        <w:rPr>
          <w:sz w:val="20"/>
          <w:szCs w:val="20"/>
          <w:rtl/>
        </w:rPr>
        <w:br/>
      </w:r>
      <w:r>
        <w:rPr>
          <w:rFonts w:hint="cs"/>
          <w:b/>
          <w:bCs/>
          <w:sz w:val="20"/>
          <w:szCs w:val="20"/>
          <w:rtl/>
        </w:rPr>
        <w:t xml:space="preserve">סעיף ג </w:t>
      </w:r>
      <w:r>
        <w:rPr>
          <w:b/>
          <w:bCs/>
          <w:sz w:val="20"/>
          <w:szCs w:val="20"/>
          <w:rtl/>
        </w:rPr>
        <w:t>–</w:t>
      </w:r>
      <w:r>
        <w:rPr>
          <w:rFonts w:hint="cs"/>
          <w:b/>
          <w:bCs/>
          <w:sz w:val="20"/>
          <w:szCs w:val="20"/>
          <w:rtl/>
        </w:rPr>
        <w:t xml:space="preserve"> ראתה דם בשפופרת ובחתיכה </w:t>
      </w:r>
      <w:r>
        <w:rPr>
          <w:b/>
          <w:bCs/>
          <w:sz w:val="20"/>
          <w:szCs w:val="20"/>
          <w:rtl/>
        </w:rPr>
        <w:br/>
      </w:r>
      <w:r w:rsidRPr="00DF2807">
        <w:rPr>
          <w:rStyle w:val="10"/>
          <w:rFonts w:hint="cs"/>
          <w:sz w:val="24"/>
          <w:szCs w:val="24"/>
          <w:rtl/>
        </w:rPr>
        <w:t>א. שפופרת</w:t>
      </w:r>
      <w:r w:rsidRPr="00DF2807">
        <w:rPr>
          <w:rFonts w:hint="cs"/>
          <w:sz w:val="18"/>
          <w:szCs w:val="18"/>
          <w:rtl/>
        </w:rPr>
        <w:t xml:space="preserve"> </w:t>
      </w:r>
      <w:r>
        <w:rPr>
          <w:sz w:val="20"/>
          <w:szCs w:val="20"/>
          <w:rtl/>
        </w:rPr>
        <w:br/>
      </w:r>
      <w:r>
        <w:rPr>
          <w:rFonts w:hint="cs"/>
          <w:b/>
          <w:bCs/>
          <w:sz w:val="20"/>
          <w:szCs w:val="20"/>
          <w:rtl/>
        </w:rPr>
        <w:t>מקור הדין</w:t>
      </w:r>
      <w:r>
        <w:rPr>
          <w:b/>
          <w:bCs/>
          <w:sz w:val="20"/>
          <w:szCs w:val="20"/>
          <w:rtl/>
        </w:rPr>
        <w:br/>
      </w:r>
      <w:r>
        <w:rPr>
          <w:rFonts w:hint="cs"/>
          <w:b/>
          <w:bCs/>
          <w:sz w:val="20"/>
          <w:szCs w:val="20"/>
          <w:rtl/>
        </w:rPr>
        <w:t xml:space="preserve">גמרא </w:t>
      </w:r>
      <w:r>
        <w:rPr>
          <w:rFonts w:hint="cs"/>
          <w:sz w:val="20"/>
          <w:szCs w:val="20"/>
          <w:rtl/>
        </w:rPr>
        <w:t>נידה (כא: - כב.) "</w:t>
      </w:r>
      <w:r w:rsidRPr="0005716F">
        <w:rPr>
          <w:rFonts w:cs="Arial" w:hint="cs"/>
          <w:sz w:val="20"/>
          <w:szCs w:val="20"/>
          <w:rtl/>
        </w:rPr>
        <w:t>בעא</w:t>
      </w:r>
      <w:r w:rsidRPr="0005716F">
        <w:rPr>
          <w:rFonts w:cs="Arial"/>
          <w:sz w:val="20"/>
          <w:szCs w:val="20"/>
          <w:rtl/>
        </w:rPr>
        <w:t xml:space="preserve"> </w:t>
      </w:r>
      <w:r w:rsidRPr="0005716F">
        <w:rPr>
          <w:rFonts w:cs="Arial" w:hint="cs"/>
          <w:sz w:val="20"/>
          <w:szCs w:val="20"/>
          <w:rtl/>
        </w:rPr>
        <w:t>מיניה</w:t>
      </w:r>
      <w:r w:rsidRPr="0005716F">
        <w:rPr>
          <w:rFonts w:cs="Arial"/>
          <w:sz w:val="20"/>
          <w:szCs w:val="20"/>
          <w:rtl/>
        </w:rPr>
        <w:t xml:space="preserve"> </w:t>
      </w:r>
      <w:r w:rsidRPr="0005716F">
        <w:rPr>
          <w:rFonts w:cs="Arial" w:hint="cs"/>
          <w:sz w:val="20"/>
          <w:szCs w:val="20"/>
          <w:rtl/>
        </w:rPr>
        <w:t>רבי</w:t>
      </w:r>
      <w:r w:rsidRPr="0005716F">
        <w:rPr>
          <w:rFonts w:cs="Arial"/>
          <w:sz w:val="20"/>
          <w:szCs w:val="20"/>
          <w:rtl/>
        </w:rPr>
        <w:t xml:space="preserve"> </w:t>
      </w:r>
      <w:r w:rsidRPr="0005716F">
        <w:rPr>
          <w:rFonts w:cs="Arial" w:hint="cs"/>
          <w:sz w:val="20"/>
          <w:szCs w:val="20"/>
          <w:rtl/>
        </w:rPr>
        <w:t>ירמיה</w:t>
      </w:r>
      <w:r w:rsidRPr="0005716F">
        <w:rPr>
          <w:rFonts w:cs="Arial"/>
          <w:sz w:val="20"/>
          <w:szCs w:val="20"/>
          <w:rtl/>
        </w:rPr>
        <w:t xml:space="preserve"> </w:t>
      </w:r>
      <w:r w:rsidRPr="0005716F">
        <w:rPr>
          <w:rFonts w:cs="Arial" w:hint="cs"/>
          <w:sz w:val="20"/>
          <w:szCs w:val="20"/>
          <w:rtl/>
        </w:rPr>
        <w:t>מרבי</w:t>
      </w:r>
      <w:r w:rsidRPr="0005716F">
        <w:rPr>
          <w:rFonts w:cs="Arial"/>
          <w:sz w:val="20"/>
          <w:szCs w:val="20"/>
          <w:rtl/>
        </w:rPr>
        <w:t xml:space="preserve"> </w:t>
      </w:r>
      <w:r w:rsidRPr="0005716F">
        <w:rPr>
          <w:rFonts w:cs="Arial" w:hint="cs"/>
          <w:sz w:val="20"/>
          <w:szCs w:val="20"/>
          <w:rtl/>
        </w:rPr>
        <w:t>זירא</w:t>
      </w:r>
      <w:r w:rsidRPr="0005716F">
        <w:rPr>
          <w:rFonts w:cs="Arial"/>
          <w:sz w:val="20"/>
          <w:szCs w:val="20"/>
          <w:rtl/>
        </w:rPr>
        <w:t xml:space="preserve">: </w:t>
      </w:r>
      <w:r w:rsidRPr="0005716F">
        <w:rPr>
          <w:rFonts w:cs="Arial" w:hint="cs"/>
          <w:sz w:val="20"/>
          <w:szCs w:val="20"/>
          <w:rtl/>
        </w:rPr>
        <w:t>הרואה</w:t>
      </w:r>
      <w:r w:rsidRPr="0005716F">
        <w:rPr>
          <w:rFonts w:cs="Arial"/>
          <w:sz w:val="20"/>
          <w:szCs w:val="20"/>
          <w:rtl/>
        </w:rPr>
        <w:t xml:space="preserve"> </w:t>
      </w:r>
      <w:r w:rsidRPr="0005716F">
        <w:rPr>
          <w:rFonts w:cs="Arial" w:hint="cs"/>
          <w:sz w:val="20"/>
          <w:szCs w:val="20"/>
          <w:rtl/>
        </w:rPr>
        <w:t>דם</w:t>
      </w:r>
      <w:r w:rsidRPr="0005716F">
        <w:rPr>
          <w:rFonts w:cs="Arial"/>
          <w:sz w:val="20"/>
          <w:szCs w:val="20"/>
          <w:rtl/>
        </w:rPr>
        <w:t xml:space="preserve"> </w:t>
      </w:r>
      <w:r w:rsidRPr="0005716F">
        <w:rPr>
          <w:rFonts w:cs="Arial" w:hint="cs"/>
          <w:sz w:val="20"/>
          <w:szCs w:val="20"/>
          <w:rtl/>
        </w:rPr>
        <w:t>בשפופרת</w:t>
      </w:r>
      <w:r w:rsidRPr="0005716F">
        <w:rPr>
          <w:rFonts w:cs="Arial"/>
          <w:sz w:val="20"/>
          <w:szCs w:val="20"/>
          <w:rtl/>
        </w:rPr>
        <w:t xml:space="preserve"> </w:t>
      </w:r>
      <w:r w:rsidRPr="0005716F">
        <w:rPr>
          <w:rFonts w:cs="Arial" w:hint="cs"/>
          <w:sz w:val="20"/>
          <w:szCs w:val="20"/>
          <w:rtl/>
        </w:rPr>
        <w:t>מהו</w:t>
      </w:r>
      <w:r w:rsidRPr="0005716F">
        <w:rPr>
          <w:rFonts w:cs="Arial"/>
          <w:sz w:val="20"/>
          <w:szCs w:val="20"/>
          <w:rtl/>
        </w:rPr>
        <w:t xml:space="preserve">? </w:t>
      </w:r>
      <w:r w:rsidRPr="0005716F">
        <w:rPr>
          <w:rFonts w:cs="Arial" w:hint="cs"/>
          <w:sz w:val="20"/>
          <w:szCs w:val="20"/>
          <w:rtl/>
        </w:rPr>
        <w:t>בבשרה</w:t>
      </w:r>
      <w:r w:rsidRPr="0005716F">
        <w:rPr>
          <w:rFonts w:cs="Arial"/>
          <w:sz w:val="20"/>
          <w:szCs w:val="20"/>
          <w:rtl/>
        </w:rPr>
        <w:t xml:space="preserve"> </w:t>
      </w:r>
      <w:r w:rsidRPr="0005716F">
        <w:rPr>
          <w:rFonts w:cs="Arial" w:hint="cs"/>
          <w:sz w:val="20"/>
          <w:szCs w:val="20"/>
          <w:rtl/>
        </w:rPr>
        <w:t>אמר</w:t>
      </w:r>
      <w:r w:rsidRPr="0005716F">
        <w:rPr>
          <w:rFonts w:cs="Arial"/>
          <w:sz w:val="20"/>
          <w:szCs w:val="20"/>
          <w:rtl/>
        </w:rPr>
        <w:t xml:space="preserve"> </w:t>
      </w:r>
      <w:r w:rsidRPr="0005716F">
        <w:rPr>
          <w:rFonts w:cs="Arial" w:hint="cs"/>
          <w:sz w:val="20"/>
          <w:szCs w:val="20"/>
          <w:rtl/>
        </w:rPr>
        <w:t>רחמנא</w:t>
      </w:r>
      <w:r w:rsidRPr="0005716F">
        <w:rPr>
          <w:rFonts w:cs="Arial"/>
          <w:sz w:val="20"/>
          <w:szCs w:val="20"/>
          <w:rtl/>
        </w:rPr>
        <w:t xml:space="preserve"> </w:t>
      </w:r>
      <w:r w:rsidRPr="0005716F">
        <w:rPr>
          <w:rFonts w:cs="Arial" w:hint="cs"/>
          <w:sz w:val="20"/>
          <w:szCs w:val="20"/>
          <w:rtl/>
        </w:rPr>
        <w:t>ולא</w:t>
      </w:r>
      <w:r w:rsidRPr="0005716F">
        <w:rPr>
          <w:rFonts w:cs="Arial"/>
          <w:sz w:val="20"/>
          <w:szCs w:val="20"/>
          <w:rtl/>
        </w:rPr>
        <w:t xml:space="preserve"> </w:t>
      </w:r>
      <w:r w:rsidRPr="0005716F">
        <w:rPr>
          <w:rFonts w:cs="Arial" w:hint="cs"/>
          <w:sz w:val="20"/>
          <w:szCs w:val="20"/>
          <w:rtl/>
        </w:rPr>
        <w:t>בשפופרת</w:t>
      </w:r>
      <w:r w:rsidRPr="0005716F">
        <w:rPr>
          <w:rFonts w:cs="Arial"/>
          <w:sz w:val="20"/>
          <w:szCs w:val="20"/>
          <w:rtl/>
        </w:rPr>
        <w:t xml:space="preserve"> </w:t>
      </w:r>
      <w:r w:rsidRPr="0005716F">
        <w:rPr>
          <w:rFonts w:cs="Arial" w:hint="cs"/>
          <w:sz w:val="20"/>
          <w:szCs w:val="20"/>
          <w:rtl/>
        </w:rPr>
        <w:t>או</w:t>
      </w:r>
      <w:r w:rsidRPr="0005716F">
        <w:rPr>
          <w:rFonts w:cs="Arial"/>
          <w:sz w:val="20"/>
          <w:szCs w:val="20"/>
          <w:rtl/>
        </w:rPr>
        <w:t xml:space="preserve"> </w:t>
      </w:r>
      <w:r w:rsidRPr="0005716F">
        <w:rPr>
          <w:rFonts w:cs="Arial" w:hint="cs"/>
          <w:sz w:val="20"/>
          <w:szCs w:val="20"/>
          <w:rtl/>
        </w:rPr>
        <w:t>דלמא</w:t>
      </w:r>
      <w:r w:rsidRPr="0005716F">
        <w:rPr>
          <w:rFonts w:cs="Arial"/>
          <w:sz w:val="20"/>
          <w:szCs w:val="20"/>
          <w:rtl/>
        </w:rPr>
        <w:t xml:space="preserve"> - </w:t>
      </w:r>
      <w:r w:rsidRPr="0005716F">
        <w:rPr>
          <w:rFonts w:cs="Arial" w:hint="cs"/>
          <w:sz w:val="20"/>
          <w:szCs w:val="20"/>
          <w:rtl/>
        </w:rPr>
        <w:t>האי</w:t>
      </w:r>
      <w:r w:rsidRPr="0005716F">
        <w:rPr>
          <w:rFonts w:cs="Arial"/>
          <w:sz w:val="20"/>
          <w:szCs w:val="20"/>
          <w:rtl/>
        </w:rPr>
        <w:t xml:space="preserve"> </w:t>
      </w:r>
      <w:r w:rsidRPr="0005716F">
        <w:rPr>
          <w:rFonts w:cs="Arial" w:hint="cs"/>
          <w:sz w:val="20"/>
          <w:szCs w:val="20"/>
          <w:rtl/>
        </w:rPr>
        <w:t>בבשרה</w:t>
      </w:r>
      <w:r w:rsidRPr="0005716F">
        <w:rPr>
          <w:rFonts w:cs="Arial"/>
          <w:sz w:val="20"/>
          <w:szCs w:val="20"/>
          <w:rtl/>
        </w:rPr>
        <w:t xml:space="preserve"> </w:t>
      </w:r>
      <w:r w:rsidRPr="0005716F">
        <w:rPr>
          <w:rFonts w:cs="Arial" w:hint="cs"/>
          <w:sz w:val="20"/>
          <w:szCs w:val="20"/>
          <w:rtl/>
        </w:rPr>
        <w:t>מיבעי</w:t>
      </w:r>
      <w:r w:rsidRPr="0005716F">
        <w:rPr>
          <w:rFonts w:cs="Arial"/>
          <w:sz w:val="20"/>
          <w:szCs w:val="20"/>
          <w:rtl/>
        </w:rPr>
        <w:t xml:space="preserve"> </w:t>
      </w:r>
      <w:r w:rsidRPr="0005716F">
        <w:rPr>
          <w:rFonts w:cs="Arial" w:hint="cs"/>
          <w:sz w:val="20"/>
          <w:szCs w:val="20"/>
          <w:rtl/>
        </w:rPr>
        <w:t>ליה</w:t>
      </w:r>
      <w:r w:rsidRPr="0005716F">
        <w:rPr>
          <w:rFonts w:cs="Arial"/>
          <w:sz w:val="20"/>
          <w:szCs w:val="20"/>
          <w:rtl/>
        </w:rPr>
        <w:t xml:space="preserve"> - </w:t>
      </w:r>
      <w:r w:rsidRPr="0005716F">
        <w:rPr>
          <w:rFonts w:cs="Arial" w:hint="cs"/>
          <w:sz w:val="20"/>
          <w:szCs w:val="20"/>
          <w:rtl/>
        </w:rPr>
        <w:t>שמטמאה</w:t>
      </w:r>
      <w:r w:rsidRPr="0005716F">
        <w:rPr>
          <w:rFonts w:cs="Arial"/>
          <w:sz w:val="20"/>
          <w:szCs w:val="20"/>
          <w:rtl/>
        </w:rPr>
        <w:t xml:space="preserve"> </w:t>
      </w:r>
      <w:r w:rsidRPr="0005716F">
        <w:rPr>
          <w:rFonts w:cs="Arial" w:hint="cs"/>
          <w:sz w:val="20"/>
          <w:szCs w:val="20"/>
          <w:rtl/>
        </w:rPr>
        <w:t>מבפנים</w:t>
      </w:r>
      <w:r w:rsidRPr="0005716F">
        <w:rPr>
          <w:rFonts w:cs="Arial"/>
          <w:sz w:val="20"/>
          <w:szCs w:val="20"/>
          <w:rtl/>
        </w:rPr>
        <w:t xml:space="preserve"> </w:t>
      </w:r>
      <w:r w:rsidRPr="0005716F">
        <w:rPr>
          <w:rFonts w:cs="Arial" w:hint="cs"/>
          <w:sz w:val="20"/>
          <w:szCs w:val="20"/>
          <w:rtl/>
        </w:rPr>
        <w:t>כבחוץ</w:t>
      </w:r>
      <w:r w:rsidRPr="0005716F">
        <w:rPr>
          <w:rFonts w:cs="Arial"/>
          <w:sz w:val="20"/>
          <w:szCs w:val="20"/>
          <w:rtl/>
        </w:rPr>
        <w:t xml:space="preserve">? </w:t>
      </w:r>
      <w:r w:rsidRPr="0005716F">
        <w:rPr>
          <w:rFonts w:cs="Arial" w:hint="cs"/>
          <w:sz w:val="20"/>
          <w:szCs w:val="20"/>
          <w:rtl/>
        </w:rPr>
        <w:t>אמר</w:t>
      </w:r>
      <w:r w:rsidRPr="0005716F">
        <w:rPr>
          <w:rFonts w:cs="Arial"/>
          <w:sz w:val="20"/>
          <w:szCs w:val="20"/>
          <w:rtl/>
        </w:rPr>
        <w:t xml:space="preserve"> </w:t>
      </w:r>
      <w:r w:rsidRPr="0005716F">
        <w:rPr>
          <w:rFonts w:cs="Arial" w:hint="cs"/>
          <w:sz w:val="20"/>
          <w:szCs w:val="20"/>
          <w:rtl/>
        </w:rPr>
        <w:t>ליה</w:t>
      </w:r>
      <w:r w:rsidRPr="0005716F">
        <w:rPr>
          <w:rFonts w:cs="Arial"/>
          <w:sz w:val="20"/>
          <w:szCs w:val="20"/>
          <w:rtl/>
        </w:rPr>
        <w:t xml:space="preserve">: </w:t>
      </w:r>
      <w:r w:rsidRPr="0005716F">
        <w:rPr>
          <w:rFonts w:cs="Arial" w:hint="cs"/>
          <w:sz w:val="20"/>
          <w:szCs w:val="20"/>
          <w:rtl/>
        </w:rPr>
        <w:t>בבשרה</w:t>
      </w:r>
      <w:r w:rsidRPr="0005716F">
        <w:rPr>
          <w:rFonts w:cs="Arial"/>
          <w:sz w:val="20"/>
          <w:szCs w:val="20"/>
          <w:rtl/>
        </w:rPr>
        <w:t xml:space="preserve"> </w:t>
      </w:r>
      <w:r w:rsidRPr="0005716F">
        <w:rPr>
          <w:rFonts w:cs="Arial" w:hint="cs"/>
          <w:sz w:val="20"/>
          <w:szCs w:val="20"/>
          <w:rtl/>
        </w:rPr>
        <w:t>אמר</w:t>
      </w:r>
      <w:r w:rsidRPr="0005716F">
        <w:rPr>
          <w:rFonts w:cs="Arial"/>
          <w:sz w:val="20"/>
          <w:szCs w:val="20"/>
          <w:rtl/>
        </w:rPr>
        <w:t xml:space="preserve"> </w:t>
      </w:r>
      <w:r w:rsidRPr="0005716F">
        <w:rPr>
          <w:rFonts w:cs="Arial" w:hint="cs"/>
          <w:sz w:val="20"/>
          <w:szCs w:val="20"/>
          <w:rtl/>
        </w:rPr>
        <w:t>רחמנא</w:t>
      </w:r>
      <w:r w:rsidRPr="0005716F">
        <w:rPr>
          <w:rFonts w:cs="Arial"/>
          <w:sz w:val="20"/>
          <w:szCs w:val="20"/>
          <w:rtl/>
        </w:rPr>
        <w:t xml:space="preserve"> </w:t>
      </w:r>
      <w:r w:rsidRPr="0005716F">
        <w:rPr>
          <w:rFonts w:cs="Arial" w:hint="cs"/>
          <w:sz w:val="20"/>
          <w:szCs w:val="20"/>
          <w:rtl/>
        </w:rPr>
        <w:t>ולא</w:t>
      </w:r>
      <w:r w:rsidRPr="0005716F">
        <w:rPr>
          <w:rFonts w:cs="Arial"/>
          <w:sz w:val="20"/>
          <w:szCs w:val="20"/>
          <w:rtl/>
        </w:rPr>
        <w:t xml:space="preserve"> </w:t>
      </w:r>
      <w:r w:rsidRPr="0005716F">
        <w:rPr>
          <w:rFonts w:cs="Arial" w:hint="cs"/>
          <w:sz w:val="20"/>
          <w:szCs w:val="20"/>
          <w:rtl/>
        </w:rPr>
        <w:t>בשפופרת</w:t>
      </w:r>
      <w:r>
        <w:rPr>
          <w:rFonts w:cs="Arial" w:hint="cs"/>
          <w:sz w:val="20"/>
          <w:szCs w:val="20"/>
          <w:rtl/>
        </w:rPr>
        <w:t>".</w:t>
      </w:r>
    </w:p>
    <w:p w:rsidR="00620060" w:rsidRDefault="00620060" w:rsidP="00620060">
      <w:pPr>
        <w:rPr>
          <w:sz w:val="20"/>
          <w:szCs w:val="20"/>
          <w:rtl/>
        </w:rPr>
      </w:pPr>
      <w:r w:rsidRPr="00356275">
        <w:rPr>
          <w:rFonts w:hint="cs"/>
          <w:b/>
          <w:bCs/>
          <w:sz w:val="20"/>
          <w:szCs w:val="20"/>
          <w:rtl/>
        </w:rPr>
        <w:t>מחלוקת רש"י ור"ש בשפופרת</w:t>
      </w:r>
      <w:r w:rsidRPr="00A543A7">
        <w:rPr>
          <w:rStyle w:val="a5"/>
          <w:sz w:val="20"/>
          <w:szCs w:val="20"/>
          <w:rtl/>
        </w:rPr>
        <w:footnoteReference w:id="152"/>
      </w:r>
      <w:r w:rsidRPr="005D16A1">
        <w:rPr>
          <w:rFonts w:hint="cs"/>
          <w:sz w:val="20"/>
          <w:szCs w:val="20"/>
          <w:u w:val="single"/>
          <w:rtl/>
        </w:rPr>
        <w:t xml:space="preserve"> </w:t>
      </w:r>
      <w:r w:rsidRPr="005D16A1">
        <w:rPr>
          <w:sz w:val="20"/>
          <w:szCs w:val="20"/>
          <w:u w:val="single"/>
          <w:rtl/>
        </w:rPr>
        <w:br/>
      </w:r>
      <w:r w:rsidRPr="005D16A1">
        <w:rPr>
          <w:rFonts w:hint="cs"/>
          <w:sz w:val="20"/>
          <w:szCs w:val="20"/>
          <w:rtl/>
        </w:rPr>
        <w:t>נחלקו רש"י ור</w:t>
      </w:r>
      <w:r>
        <w:rPr>
          <w:rFonts w:hint="cs"/>
          <w:sz w:val="20"/>
          <w:szCs w:val="20"/>
          <w:rtl/>
        </w:rPr>
        <w:t>"</w:t>
      </w:r>
      <w:r w:rsidRPr="005D16A1">
        <w:rPr>
          <w:rFonts w:hint="cs"/>
          <w:sz w:val="20"/>
          <w:szCs w:val="20"/>
          <w:rtl/>
        </w:rPr>
        <w:t>ש מהו טעם ההיתר ברואה דם בשפופרת:</w:t>
      </w:r>
      <w:r w:rsidRPr="005D16A1">
        <w:rPr>
          <w:rFonts w:hint="cs"/>
          <w:sz w:val="20"/>
          <w:szCs w:val="20"/>
          <w:rtl/>
        </w:rPr>
        <w:br/>
      </w:r>
      <w:r w:rsidRPr="005D16A1">
        <w:rPr>
          <w:rFonts w:hint="cs"/>
          <w:sz w:val="20"/>
          <w:szCs w:val="20"/>
          <w:rtl/>
        </w:rPr>
        <w:lastRenderedPageBreak/>
        <w:t xml:space="preserve">א. </w:t>
      </w:r>
      <w:r w:rsidRPr="005D16A1">
        <w:rPr>
          <w:rFonts w:hint="cs"/>
          <w:b/>
          <w:bCs/>
          <w:sz w:val="20"/>
          <w:szCs w:val="20"/>
          <w:rtl/>
        </w:rPr>
        <w:t>רש"י</w:t>
      </w:r>
      <w:r w:rsidRPr="005D16A1">
        <w:rPr>
          <w:rFonts w:hint="cs"/>
          <w:sz w:val="20"/>
          <w:szCs w:val="20"/>
          <w:rtl/>
        </w:rPr>
        <w:t xml:space="preserve"> </w:t>
      </w:r>
      <w:r w:rsidRPr="005D16A1">
        <w:rPr>
          <w:sz w:val="20"/>
          <w:szCs w:val="20"/>
          <w:rtl/>
        </w:rPr>
        <w:t>–</w:t>
      </w:r>
      <w:r>
        <w:rPr>
          <w:rFonts w:hint="cs"/>
          <w:sz w:val="20"/>
          <w:szCs w:val="20"/>
          <w:rtl/>
        </w:rPr>
        <w:t xml:space="preserve"> </w:t>
      </w:r>
      <w:r w:rsidRPr="005D16A1">
        <w:rPr>
          <w:rFonts w:hint="cs"/>
          <w:sz w:val="20"/>
          <w:szCs w:val="20"/>
          <w:rtl/>
        </w:rPr>
        <w:t>משום חציצה.</w:t>
      </w:r>
      <w:r w:rsidRPr="005D16A1">
        <w:rPr>
          <w:sz w:val="20"/>
          <w:szCs w:val="20"/>
          <w:rtl/>
        </w:rPr>
        <w:br/>
      </w:r>
      <w:r w:rsidRPr="005D16A1">
        <w:rPr>
          <w:rFonts w:hint="cs"/>
          <w:sz w:val="20"/>
          <w:szCs w:val="20"/>
          <w:rtl/>
        </w:rPr>
        <w:t xml:space="preserve">ב. </w:t>
      </w:r>
      <w:r w:rsidRPr="005D16A1">
        <w:rPr>
          <w:rFonts w:hint="cs"/>
          <w:b/>
          <w:bCs/>
          <w:sz w:val="20"/>
          <w:szCs w:val="20"/>
          <w:rtl/>
        </w:rPr>
        <w:t>ר"ש</w:t>
      </w:r>
      <w:r w:rsidRPr="005D16A1">
        <w:rPr>
          <w:rFonts w:hint="cs"/>
          <w:sz w:val="20"/>
          <w:szCs w:val="20"/>
          <w:rtl/>
        </w:rPr>
        <w:t xml:space="preserve"> </w:t>
      </w:r>
      <w:r w:rsidRPr="005D16A1">
        <w:rPr>
          <w:sz w:val="20"/>
          <w:szCs w:val="20"/>
          <w:rtl/>
        </w:rPr>
        <w:t>–</w:t>
      </w:r>
      <w:r>
        <w:rPr>
          <w:rFonts w:hint="cs"/>
          <w:sz w:val="20"/>
          <w:szCs w:val="20"/>
          <w:rtl/>
        </w:rPr>
        <w:t xml:space="preserve"> </w:t>
      </w:r>
      <w:r w:rsidRPr="005D16A1">
        <w:rPr>
          <w:rFonts w:hint="cs"/>
          <w:sz w:val="20"/>
          <w:szCs w:val="20"/>
          <w:rtl/>
        </w:rPr>
        <w:t>משום שאין דרכה של אשה לראות באופן זה</w:t>
      </w:r>
      <w:r>
        <w:rPr>
          <w:rFonts w:hint="cs"/>
          <w:sz w:val="20"/>
          <w:szCs w:val="20"/>
          <w:rtl/>
        </w:rPr>
        <w:t xml:space="preserve"> </w:t>
      </w:r>
      <w:r w:rsidRPr="00A543A7">
        <w:rPr>
          <w:rFonts w:hint="cs"/>
          <w:sz w:val="18"/>
          <w:szCs w:val="18"/>
          <w:rtl/>
        </w:rPr>
        <w:t>(ע"י גורם חיצוני)</w:t>
      </w:r>
      <w:r>
        <w:rPr>
          <w:rFonts w:hint="cs"/>
          <w:sz w:val="20"/>
          <w:szCs w:val="20"/>
          <w:rtl/>
        </w:rPr>
        <w:t xml:space="preserve">, וכן משמע שפוסק </w:t>
      </w:r>
      <w:r w:rsidRPr="004B41B0">
        <w:rPr>
          <w:rFonts w:hint="cs"/>
          <w:b/>
          <w:bCs/>
          <w:sz w:val="20"/>
          <w:szCs w:val="20"/>
          <w:rtl/>
        </w:rPr>
        <w:t>המחבר</w:t>
      </w:r>
      <w:r w:rsidRPr="005D16A1">
        <w:rPr>
          <w:rFonts w:hint="cs"/>
          <w:sz w:val="20"/>
          <w:szCs w:val="20"/>
          <w:rtl/>
        </w:rPr>
        <w:t>.</w:t>
      </w:r>
    </w:p>
    <w:p w:rsidR="00620060" w:rsidRDefault="00620060" w:rsidP="00620060">
      <w:pPr>
        <w:rPr>
          <w:sz w:val="20"/>
          <w:szCs w:val="20"/>
          <w:rtl/>
        </w:rPr>
      </w:pPr>
      <w:r>
        <w:rPr>
          <w:rFonts w:hint="cs"/>
          <w:sz w:val="20"/>
          <w:szCs w:val="20"/>
          <w:u w:val="single"/>
          <w:rtl/>
        </w:rPr>
        <w:t>נפקא מינה במחלוקת זו</w:t>
      </w:r>
      <w:r>
        <w:rPr>
          <w:sz w:val="20"/>
          <w:szCs w:val="20"/>
          <w:u w:val="single"/>
          <w:rtl/>
        </w:rPr>
        <w:br/>
      </w:r>
      <w:r>
        <w:rPr>
          <w:rFonts w:hint="cs"/>
          <w:sz w:val="20"/>
          <w:szCs w:val="20"/>
          <w:rtl/>
        </w:rPr>
        <w:t xml:space="preserve">אשה שראתה ראיית ווסת רגילה, אך הדם לא נזל כלל בחוץ אלא כולו יצא ע"י שפופרת. </w:t>
      </w:r>
      <w:r>
        <w:rPr>
          <w:sz w:val="20"/>
          <w:szCs w:val="20"/>
          <w:rtl/>
        </w:rPr>
        <w:br/>
      </w:r>
      <w:r w:rsidRPr="00F56546">
        <w:rPr>
          <w:rFonts w:hint="cs"/>
          <w:b/>
          <w:bCs/>
          <w:sz w:val="20"/>
          <w:szCs w:val="20"/>
          <w:rtl/>
        </w:rPr>
        <w:t>רש"י</w:t>
      </w:r>
      <w:r>
        <w:rPr>
          <w:rFonts w:hint="cs"/>
          <w:sz w:val="20"/>
          <w:szCs w:val="20"/>
          <w:rtl/>
        </w:rPr>
        <w:t xml:space="preserve"> </w:t>
      </w:r>
      <w:r>
        <w:rPr>
          <w:sz w:val="20"/>
          <w:szCs w:val="20"/>
          <w:rtl/>
        </w:rPr>
        <w:t>–</w:t>
      </w:r>
      <w:r>
        <w:rPr>
          <w:rFonts w:hint="cs"/>
          <w:sz w:val="20"/>
          <w:szCs w:val="20"/>
          <w:rtl/>
        </w:rPr>
        <w:t xml:space="preserve"> טהורה; </w:t>
      </w:r>
      <w:r w:rsidRPr="00F56546">
        <w:rPr>
          <w:rFonts w:hint="cs"/>
          <w:b/>
          <w:bCs/>
          <w:sz w:val="20"/>
          <w:szCs w:val="20"/>
          <w:rtl/>
        </w:rPr>
        <w:t>ר"ש</w:t>
      </w:r>
      <w:r>
        <w:rPr>
          <w:rFonts w:hint="cs"/>
          <w:sz w:val="20"/>
          <w:szCs w:val="20"/>
          <w:rtl/>
        </w:rPr>
        <w:t xml:space="preserve"> </w:t>
      </w:r>
      <w:r>
        <w:rPr>
          <w:sz w:val="20"/>
          <w:szCs w:val="20"/>
          <w:rtl/>
        </w:rPr>
        <w:t>–</w:t>
      </w:r>
      <w:r>
        <w:rPr>
          <w:rFonts w:hint="cs"/>
          <w:sz w:val="20"/>
          <w:szCs w:val="20"/>
          <w:rtl/>
        </w:rPr>
        <w:t xml:space="preserve"> טמאה.</w:t>
      </w:r>
      <w:r>
        <w:rPr>
          <w:sz w:val="20"/>
          <w:szCs w:val="20"/>
          <w:rtl/>
        </w:rPr>
        <w:br/>
      </w:r>
      <w:r>
        <w:rPr>
          <w:rFonts w:hint="cs"/>
          <w:sz w:val="20"/>
          <w:szCs w:val="20"/>
          <w:rtl/>
        </w:rPr>
        <w:t>והדבר נפק"מ לדינא באשה שאינה יכולה להיטהר מחמת תכיפות ראיותיה, שאם תניח שפופרת ברחם וכל הדם ייצא רק באופן זה, לדעת רש"י טהורה.</w:t>
      </w:r>
      <w:r>
        <w:rPr>
          <w:sz w:val="20"/>
          <w:szCs w:val="20"/>
          <w:rtl/>
        </w:rPr>
        <w:br/>
      </w:r>
      <w:r w:rsidRPr="00DC203D">
        <w:rPr>
          <w:rFonts w:hint="cs"/>
          <w:sz w:val="20"/>
          <w:szCs w:val="20"/>
          <w:rtl/>
        </w:rPr>
        <w:t>לדינא</w:t>
      </w:r>
      <w:r w:rsidRPr="00F56546">
        <w:rPr>
          <w:rFonts w:hint="cs"/>
          <w:sz w:val="20"/>
          <w:szCs w:val="20"/>
          <w:rtl/>
        </w:rPr>
        <w:t xml:space="preserve"> </w:t>
      </w:r>
      <w:r>
        <w:rPr>
          <w:sz w:val="20"/>
          <w:szCs w:val="20"/>
          <w:rtl/>
        </w:rPr>
        <w:t>–</w:t>
      </w:r>
      <w:r>
        <w:rPr>
          <w:rFonts w:hint="cs"/>
          <w:sz w:val="20"/>
          <w:szCs w:val="20"/>
          <w:rtl/>
        </w:rPr>
        <w:t xml:space="preserve"> האחרונים כתבו שלא לסמוך על היתר זה, ופירש </w:t>
      </w:r>
      <w:r w:rsidRPr="00F56546">
        <w:rPr>
          <w:rFonts w:hint="cs"/>
          <w:b/>
          <w:bCs/>
          <w:sz w:val="20"/>
          <w:szCs w:val="20"/>
          <w:rtl/>
        </w:rPr>
        <w:t>שבט הלוי</w:t>
      </w:r>
      <w:r>
        <w:rPr>
          <w:rFonts w:hint="cs"/>
          <w:sz w:val="20"/>
          <w:szCs w:val="20"/>
          <w:rtl/>
        </w:rPr>
        <w:t xml:space="preserve"> את טעם החומרה: "מי בקי שיכנס ממש עד המקור בלי שיגע כלל דם בבית החיצון ואפילו משהו בעלמא".</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665DDE">
        <w:rPr>
          <w:rFonts w:cs="Arial" w:hint="cs"/>
          <w:sz w:val="20"/>
          <w:szCs w:val="20"/>
          <w:rtl/>
        </w:rPr>
        <w:t>הכניסה</w:t>
      </w:r>
      <w:r w:rsidRPr="00665DDE">
        <w:rPr>
          <w:rFonts w:cs="Arial"/>
          <w:sz w:val="20"/>
          <w:szCs w:val="20"/>
          <w:rtl/>
        </w:rPr>
        <w:t xml:space="preserve"> </w:t>
      </w:r>
      <w:r w:rsidRPr="00665DDE">
        <w:rPr>
          <w:rFonts w:cs="Arial" w:hint="cs"/>
          <w:sz w:val="20"/>
          <w:szCs w:val="20"/>
          <w:rtl/>
        </w:rPr>
        <w:t>שפופרת</w:t>
      </w:r>
      <w:r w:rsidRPr="00665DDE">
        <w:rPr>
          <w:rFonts w:cs="Arial"/>
          <w:sz w:val="20"/>
          <w:szCs w:val="20"/>
          <w:rtl/>
        </w:rPr>
        <w:t xml:space="preserve"> </w:t>
      </w:r>
      <w:r w:rsidRPr="00665DDE">
        <w:rPr>
          <w:rFonts w:cs="Arial" w:hint="cs"/>
          <w:sz w:val="20"/>
          <w:szCs w:val="20"/>
          <w:rtl/>
        </w:rPr>
        <w:t>והוציאה</w:t>
      </w:r>
      <w:r w:rsidRPr="00665DDE">
        <w:rPr>
          <w:rFonts w:cs="Arial"/>
          <w:sz w:val="20"/>
          <w:szCs w:val="20"/>
          <w:rtl/>
        </w:rPr>
        <w:t xml:space="preserve"> </w:t>
      </w:r>
      <w:r w:rsidRPr="00665DDE">
        <w:rPr>
          <w:rFonts w:cs="Arial" w:hint="cs"/>
          <w:sz w:val="20"/>
          <w:szCs w:val="20"/>
          <w:rtl/>
        </w:rPr>
        <w:t>בה</w:t>
      </w:r>
      <w:r w:rsidRPr="00665DDE">
        <w:rPr>
          <w:rFonts w:cs="Arial"/>
          <w:sz w:val="20"/>
          <w:szCs w:val="20"/>
          <w:rtl/>
        </w:rPr>
        <w:t xml:space="preserve"> </w:t>
      </w:r>
      <w:r w:rsidRPr="00665DDE">
        <w:rPr>
          <w:rFonts w:cs="Arial" w:hint="cs"/>
          <w:sz w:val="20"/>
          <w:szCs w:val="20"/>
          <w:rtl/>
        </w:rPr>
        <w:t>דם</w:t>
      </w:r>
      <w:r w:rsidRPr="00665DDE">
        <w:rPr>
          <w:rFonts w:cs="Arial"/>
          <w:sz w:val="20"/>
          <w:szCs w:val="20"/>
          <w:rtl/>
        </w:rPr>
        <w:t xml:space="preserve">, </w:t>
      </w:r>
      <w:r w:rsidRPr="00665DDE">
        <w:rPr>
          <w:rFonts w:cs="Arial" w:hint="cs"/>
          <w:sz w:val="20"/>
          <w:szCs w:val="20"/>
          <w:rtl/>
        </w:rPr>
        <w:t>טהורה</w:t>
      </w:r>
      <w:r>
        <w:rPr>
          <w:rStyle w:val="a5"/>
          <w:rFonts w:cs="Arial"/>
          <w:sz w:val="20"/>
          <w:szCs w:val="20"/>
          <w:rtl/>
        </w:rPr>
        <w:footnoteReference w:id="153"/>
      </w:r>
      <w:r w:rsidRPr="00665DDE">
        <w:rPr>
          <w:rFonts w:cs="Arial"/>
          <w:sz w:val="20"/>
          <w:szCs w:val="20"/>
          <w:rtl/>
        </w:rPr>
        <w:t>.</w:t>
      </w:r>
    </w:p>
    <w:p w:rsidR="00620060" w:rsidRDefault="00620060" w:rsidP="00620060">
      <w:pPr>
        <w:rPr>
          <w:sz w:val="20"/>
          <w:szCs w:val="20"/>
          <w:rtl/>
        </w:rPr>
      </w:pPr>
      <w:r w:rsidRPr="00A543A7">
        <w:rPr>
          <w:rStyle w:val="10"/>
          <w:rFonts w:hint="cs"/>
          <w:sz w:val="24"/>
          <w:szCs w:val="24"/>
          <w:rtl/>
        </w:rPr>
        <w:t>ב. חתיכה</w:t>
      </w:r>
      <w:r>
        <w:rPr>
          <w:rFonts w:cs="Arial"/>
          <w:sz w:val="20"/>
          <w:szCs w:val="20"/>
          <w:rtl/>
        </w:rPr>
        <w:br/>
      </w:r>
      <w:r w:rsidRPr="00A74A9A">
        <w:rPr>
          <w:rFonts w:cs="Arial" w:hint="cs"/>
          <w:b/>
          <w:bCs/>
          <w:sz w:val="20"/>
          <w:szCs w:val="20"/>
          <w:rtl/>
        </w:rPr>
        <w:t>גמרא</w:t>
      </w:r>
      <w:r>
        <w:rPr>
          <w:rFonts w:cs="Arial" w:hint="cs"/>
          <w:sz w:val="20"/>
          <w:szCs w:val="20"/>
          <w:rtl/>
        </w:rPr>
        <w:t xml:space="preserve"> נידה (שם) "</w:t>
      </w:r>
      <w:r w:rsidRPr="0005716F">
        <w:rPr>
          <w:rFonts w:cs="Arial" w:hint="cs"/>
          <w:sz w:val="20"/>
          <w:szCs w:val="20"/>
          <w:rtl/>
        </w:rPr>
        <w:t>לימא</w:t>
      </w:r>
      <w:r w:rsidRPr="0005716F">
        <w:rPr>
          <w:rFonts w:cs="Arial"/>
          <w:sz w:val="20"/>
          <w:szCs w:val="20"/>
          <w:rtl/>
        </w:rPr>
        <w:t xml:space="preserve"> </w:t>
      </w:r>
      <w:r w:rsidRPr="0005716F">
        <w:rPr>
          <w:rFonts w:cs="Arial" w:hint="cs"/>
          <w:sz w:val="20"/>
          <w:szCs w:val="20"/>
          <w:rtl/>
        </w:rPr>
        <w:t>שפופרת</w:t>
      </w:r>
      <w:r w:rsidRPr="0005716F">
        <w:rPr>
          <w:rFonts w:cs="Arial"/>
          <w:sz w:val="20"/>
          <w:szCs w:val="20"/>
          <w:rtl/>
        </w:rPr>
        <w:t xml:space="preserve"> </w:t>
      </w:r>
      <w:r w:rsidRPr="0005716F">
        <w:rPr>
          <w:rFonts w:cs="Arial" w:hint="cs"/>
          <w:sz w:val="20"/>
          <w:szCs w:val="20"/>
          <w:rtl/>
        </w:rPr>
        <w:t>תנאי</w:t>
      </w:r>
      <w:r w:rsidRPr="0005716F">
        <w:rPr>
          <w:rFonts w:cs="Arial"/>
          <w:sz w:val="20"/>
          <w:szCs w:val="20"/>
          <w:rtl/>
        </w:rPr>
        <w:t xml:space="preserve"> </w:t>
      </w:r>
      <w:r w:rsidRPr="0005716F">
        <w:rPr>
          <w:rFonts w:cs="Arial" w:hint="cs"/>
          <w:sz w:val="20"/>
          <w:szCs w:val="20"/>
          <w:rtl/>
        </w:rPr>
        <w:t>היא</w:t>
      </w:r>
      <w:r w:rsidRPr="0005716F">
        <w:rPr>
          <w:rFonts w:cs="Arial"/>
          <w:sz w:val="20"/>
          <w:szCs w:val="20"/>
          <w:rtl/>
        </w:rPr>
        <w:t xml:space="preserve">; </w:t>
      </w:r>
      <w:r w:rsidRPr="0005716F">
        <w:rPr>
          <w:rFonts w:cs="Arial" w:hint="cs"/>
          <w:sz w:val="20"/>
          <w:szCs w:val="20"/>
          <w:rtl/>
        </w:rPr>
        <w:t>דתניא</w:t>
      </w:r>
      <w:r w:rsidRPr="0005716F">
        <w:rPr>
          <w:rFonts w:cs="Arial"/>
          <w:sz w:val="20"/>
          <w:szCs w:val="20"/>
          <w:rtl/>
        </w:rPr>
        <w:t xml:space="preserve">, </w:t>
      </w:r>
      <w:r w:rsidRPr="0005716F">
        <w:rPr>
          <w:rFonts w:cs="Arial" w:hint="cs"/>
          <w:sz w:val="20"/>
          <w:szCs w:val="20"/>
          <w:rtl/>
        </w:rPr>
        <w:t>המפלת</w:t>
      </w:r>
      <w:r w:rsidRPr="0005716F">
        <w:rPr>
          <w:rFonts w:cs="Arial"/>
          <w:sz w:val="20"/>
          <w:szCs w:val="20"/>
          <w:rtl/>
        </w:rPr>
        <w:t xml:space="preserve"> </w:t>
      </w:r>
      <w:r w:rsidRPr="0005716F">
        <w:rPr>
          <w:rFonts w:cs="Arial" w:hint="cs"/>
          <w:sz w:val="20"/>
          <w:szCs w:val="20"/>
          <w:rtl/>
        </w:rPr>
        <w:t>חתיכה</w:t>
      </w:r>
      <w:r w:rsidRPr="0005716F">
        <w:rPr>
          <w:rFonts w:cs="Arial"/>
          <w:sz w:val="20"/>
          <w:szCs w:val="20"/>
          <w:rtl/>
        </w:rPr>
        <w:t xml:space="preserve">, </w:t>
      </w:r>
      <w:r w:rsidRPr="0005716F">
        <w:rPr>
          <w:rFonts w:cs="Arial" w:hint="cs"/>
          <w:sz w:val="20"/>
          <w:szCs w:val="20"/>
          <w:rtl/>
        </w:rPr>
        <w:t>אף</w:t>
      </w:r>
      <w:r w:rsidRPr="0005716F">
        <w:rPr>
          <w:rFonts w:cs="Arial"/>
          <w:sz w:val="20"/>
          <w:szCs w:val="20"/>
          <w:rtl/>
        </w:rPr>
        <w:t xml:space="preserve"> </w:t>
      </w:r>
      <w:r w:rsidRPr="0005716F">
        <w:rPr>
          <w:rFonts w:cs="Arial" w:hint="cs"/>
          <w:sz w:val="20"/>
          <w:szCs w:val="20"/>
          <w:rtl/>
        </w:rPr>
        <w:t>על</w:t>
      </w:r>
      <w:r w:rsidRPr="0005716F">
        <w:rPr>
          <w:rFonts w:cs="Arial"/>
          <w:sz w:val="20"/>
          <w:szCs w:val="20"/>
          <w:rtl/>
        </w:rPr>
        <w:t xml:space="preserve"> </w:t>
      </w:r>
      <w:r w:rsidRPr="0005716F">
        <w:rPr>
          <w:rFonts w:cs="Arial" w:hint="cs"/>
          <w:sz w:val="20"/>
          <w:szCs w:val="20"/>
          <w:rtl/>
        </w:rPr>
        <w:t>פי</w:t>
      </w:r>
      <w:r w:rsidRPr="0005716F">
        <w:rPr>
          <w:rFonts w:cs="Arial"/>
          <w:sz w:val="20"/>
          <w:szCs w:val="20"/>
          <w:rtl/>
        </w:rPr>
        <w:t xml:space="preserve"> </w:t>
      </w:r>
      <w:r w:rsidRPr="0005716F">
        <w:rPr>
          <w:rFonts w:cs="Arial" w:hint="cs"/>
          <w:sz w:val="20"/>
          <w:szCs w:val="20"/>
          <w:rtl/>
        </w:rPr>
        <w:t>שמלאה</w:t>
      </w:r>
      <w:r w:rsidRPr="0005716F">
        <w:rPr>
          <w:rFonts w:cs="Arial"/>
          <w:sz w:val="20"/>
          <w:szCs w:val="20"/>
          <w:rtl/>
        </w:rPr>
        <w:t xml:space="preserve"> </w:t>
      </w:r>
      <w:r w:rsidRPr="0005716F">
        <w:rPr>
          <w:rFonts w:cs="Arial" w:hint="cs"/>
          <w:sz w:val="20"/>
          <w:szCs w:val="20"/>
          <w:rtl/>
        </w:rPr>
        <w:t>דם</w:t>
      </w:r>
      <w:r w:rsidRPr="0005716F">
        <w:rPr>
          <w:rFonts w:cs="Arial"/>
          <w:sz w:val="20"/>
          <w:szCs w:val="20"/>
          <w:rtl/>
        </w:rPr>
        <w:t xml:space="preserve">, </w:t>
      </w:r>
      <w:r w:rsidRPr="0005716F">
        <w:rPr>
          <w:rFonts w:cs="Arial" w:hint="cs"/>
          <w:sz w:val="20"/>
          <w:szCs w:val="20"/>
          <w:rtl/>
        </w:rPr>
        <w:t>אם</w:t>
      </w:r>
      <w:r w:rsidRPr="0005716F">
        <w:rPr>
          <w:rFonts w:cs="Arial"/>
          <w:sz w:val="20"/>
          <w:szCs w:val="20"/>
          <w:rtl/>
        </w:rPr>
        <w:t xml:space="preserve"> </w:t>
      </w:r>
      <w:r w:rsidRPr="0005716F">
        <w:rPr>
          <w:rFonts w:cs="Arial" w:hint="cs"/>
          <w:sz w:val="20"/>
          <w:szCs w:val="20"/>
          <w:rtl/>
        </w:rPr>
        <w:t>יש</w:t>
      </w:r>
      <w:r w:rsidRPr="0005716F">
        <w:rPr>
          <w:rFonts w:cs="Arial"/>
          <w:sz w:val="20"/>
          <w:szCs w:val="20"/>
          <w:rtl/>
        </w:rPr>
        <w:t xml:space="preserve"> </w:t>
      </w:r>
      <w:r w:rsidRPr="0005716F">
        <w:rPr>
          <w:rFonts w:cs="Arial" w:hint="cs"/>
          <w:sz w:val="20"/>
          <w:szCs w:val="20"/>
          <w:rtl/>
        </w:rPr>
        <w:t>עמה</w:t>
      </w:r>
      <w:r w:rsidRPr="0005716F">
        <w:rPr>
          <w:rFonts w:cs="Arial"/>
          <w:sz w:val="20"/>
          <w:szCs w:val="20"/>
          <w:rtl/>
        </w:rPr>
        <w:t xml:space="preserve"> </w:t>
      </w:r>
      <w:r w:rsidRPr="0005716F">
        <w:rPr>
          <w:rFonts w:cs="Arial" w:hint="cs"/>
          <w:sz w:val="20"/>
          <w:szCs w:val="20"/>
          <w:rtl/>
        </w:rPr>
        <w:t>דם</w:t>
      </w:r>
      <w:r w:rsidRPr="0005716F">
        <w:rPr>
          <w:rFonts w:cs="Arial"/>
          <w:sz w:val="20"/>
          <w:szCs w:val="20"/>
          <w:rtl/>
        </w:rPr>
        <w:t xml:space="preserve"> - </w:t>
      </w:r>
      <w:r w:rsidRPr="0005716F">
        <w:rPr>
          <w:rFonts w:cs="Arial" w:hint="cs"/>
          <w:sz w:val="20"/>
          <w:szCs w:val="20"/>
          <w:rtl/>
        </w:rPr>
        <w:t>טמאה</w:t>
      </w:r>
      <w:r w:rsidRPr="0005716F">
        <w:rPr>
          <w:rFonts w:cs="Arial"/>
          <w:sz w:val="20"/>
          <w:szCs w:val="20"/>
          <w:rtl/>
        </w:rPr>
        <w:t xml:space="preserve">, </w:t>
      </w:r>
      <w:r w:rsidRPr="0005716F">
        <w:rPr>
          <w:rFonts w:cs="Arial" w:hint="cs"/>
          <w:sz w:val="20"/>
          <w:szCs w:val="20"/>
          <w:rtl/>
        </w:rPr>
        <w:t>ואם</w:t>
      </w:r>
      <w:r w:rsidRPr="0005716F">
        <w:rPr>
          <w:rFonts w:cs="Arial"/>
          <w:sz w:val="20"/>
          <w:szCs w:val="20"/>
          <w:rtl/>
        </w:rPr>
        <w:t xml:space="preserve"> </w:t>
      </w:r>
      <w:r w:rsidRPr="0005716F">
        <w:rPr>
          <w:rFonts w:cs="Arial" w:hint="cs"/>
          <w:sz w:val="20"/>
          <w:szCs w:val="20"/>
          <w:rtl/>
        </w:rPr>
        <w:t>לאו</w:t>
      </w:r>
      <w:r w:rsidRPr="0005716F">
        <w:rPr>
          <w:rFonts w:cs="Arial"/>
          <w:sz w:val="20"/>
          <w:szCs w:val="20"/>
          <w:rtl/>
        </w:rPr>
        <w:t xml:space="preserve"> - </w:t>
      </w:r>
      <w:r w:rsidRPr="0005716F">
        <w:rPr>
          <w:rFonts w:cs="Arial" w:hint="cs"/>
          <w:sz w:val="20"/>
          <w:szCs w:val="20"/>
          <w:rtl/>
        </w:rPr>
        <w:t>טהורה</w:t>
      </w:r>
      <w:r w:rsidRPr="0005716F">
        <w:rPr>
          <w:rFonts w:cs="Arial"/>
          <w:sz w:val="20"/>
          <w:szCs w:val="20"/>
          <w:rtl/>
        </w:rPr>
        <w:t xml:space="preserve">. </w:t>
      </w:r>
      <w:r w:rsidRPr="0005716F">
        <w:rPr>
          <w:rFonts w:cs="Arial" w:hint="cs"/>
          <w:sz w:val="20"/>
          <w:szCs w:val="20"/>
          <w:rtl/>
        </w:rPr>
        <w:t>שרבי</w:t>
      </w:r>
      <w:r w:rsidRPr="0005716F">
        <w:rPr>
          <w:rFonts w:cs="Arial"/>
          <w:sz w:val="20"/>
          <w:szCs w:val="20"/>
          <w:rtl/>
        </w:rPr>
        <w:t xml:space="preserve"> </w:t>
      </w:r>
      <w:r w:rsidRPr="0005716F">
        <w:rPr>
          <w:rFonts w:cs="Arial" w:hint="cs"/>
          <w:sz w:val="20"/>
          <w:szCs w:val="20"/>
          <w:rtl/>
        </w:rPr>
        <w:t>אליעזר</w:t>
      </w:r>
      <w:r w:rsidRPr="0005716F">
        <w:rPr>
          <w:rFonts w:cs="Arial"/>
          <w:sz w:val="20"/>
          <w:szCs w:val="20"/>
          <w:rtl/>
        </w:rPr>
        <w:t xml:space="preserve"> </w:t>
      </w:r>
      <w:r w:rsidRPr="0005716F">
        <w:rPr>
          <w:rFonts w:cs="Arial" w:hint="cs"/>
          <w:sz w:val="20"/>
          <w:szCs w:val="20"/>
          <w:rtl/>
        </w:rPr>
        <w:t>אומר</w:t>
      </w:r>
      <w:r w:rsidRPr="0005716F">
        <w:rPr>
          <w:rFonts w:cs="Arial"/>
          <w:sz w:val="20"/>
          <w:szCs w:val="20"/>
          <w:rtl/>
        </w:rPr>
        <w:t xml:space="preserve"> </w:t>
      </w:r>
      <w:r w:rsidRPr="0005716F">
        <w:rPr>
          <w:rFonts w:cs="Arial" w:hint="cs"/>
          <w:sz w:val="20"/>
          <w:szCs w:val="20"/>
          <w:rtl/>
        </w:rPr>
        <w:t>בבשרה</w:t>
      </w:r>
      <w:r w:rsidRPr="0005716F">
        <w:rPr>
          <w:rFonts w:cs="Arial"/>
          <w:sz w:val="20"/>
          <w:szCs w:val="20"/>
          <w:rtl/>
        </w:rPr>
        <w:t xml:space="preserve"> </w:t>
      </w:r>
      <w:r w:rsidRPr="0005716F">
        <w:rPr>
          <w:rFonts w:cs="Arial" w:hint="cs"/>
          <w:sz w:val="20"/>
          <w:szCs w:val="20"/>
          <w:rtl/>
        </w:rPr>
        <w:t>ולא</w:t>
      </w:r>
      <w:r w:rsidRPr="0005716F">
        <w:rPr>
          <w:rFonts w:cs="Arial"/>
          <w:sz w:val="20"/>
          <w:szCs w:val="20"/>
          <w:rtl/>
        </w:rPr>
        <w:t xml:space="preserve"> </w:t>
      </w:r>
      <w:r w:rsidRPr="0005716F">
        <w:rPr>
          <w:rFonts w:cs="Arial" w:hint="cs"/>
          <w:sz w:val="20"/>
          <w:szCs w:val="20"/>
          <w:rtl/>
        </w:rPr>
        <w:t>בשפיר</w:t>
      </w:r>
      <w:r w:rsidRPr="0005716F">
        <w:rPr>
          <w:rFonts w:cs="Arial"/>
          <w:sz w:val="20"/>
          <w:szCs w:val="20"/>
          <w:rtl/>
        </w:rPr>
        <w:t xml:space="preserve"> </w:t>
      </w:r>
      <w:r w:rsidRPr="0005716F">
        <w:rPr>
          <w:rFonts w:cs="Arial" w:hint="cs"/>
          <w:sz w:val="20"/>
          <w:szCs w:val="20"/>
          <w:rtl/>
        </w:rPr>
        <w:t>ולא</w:t>
      </w:r>
      <w:r w:rsidRPr="0005716F">
        <w:rPr>
          <w:rFonts w:cs="Arial"/>
          <w:sz w:val="20"/>
          <w:szCs w:val="20"/>
          <w:rtl/>
        </w:rPr>
        <w:t xml:space="preserve"> </w:t>
      </w:r>
      <w:r w:rsidRPr="0005716F">
        <w:rPr>
          <w:rFonts w:cs="Arial" w:hint="cs"/>
          <w:sz w:val="20"/>
          <w:szCs w:val="20"/>
          <w:rtl/>
        </w:rPr>
        <w:t>בחתיכה</w:t>
      </w:r>
      <w:r w:rsidRPr="0005716F">
        <w:rPr>
          <w:rFonts w:cs="Arial"/>
          <w:sz w:val="20"/>
          <w:szCs w:val="20"/>
          <w:rtl/>
        </w:rPr>
        <w:t xml:space="preserve">, </w:t>
      </w:r>
      <w:r w:rsidRPr="0005716F">
        <w:rPr>
          <w:rFonts w:cs="Arial" w:hint="cs"/>
          <w:sz w:val="20"/>
          <w:szCs w:val="20"/>
          <w:rtl/>
        </w:rPr>
        <w:t>וחכמים</w:t>
      </w:r>
      <w:r w:rsidRPr="0005716F">
        <w:rPr>
          <w:rFonts w:cs="Arial"/>
          <w:sz w:val="20"/>
          <w:szCs w:val="20"/>
          <w:rtl/>
        </w:rPr>
        <w:t xml:space="preserve"> </w:t>
      </w:r>
      <w:r w:rsidRPr="0005716F">
        <w:rPr>
          <w:rFonts w:cs="Arial" w:hint="cs"/>
          <w:sz w:val="20"/>
          <w:szCs w:val="20"/>
          <w:rtl/>
        </w:rPr>
        <w:t>אומרים</w:t>
      </w:r>
      <w:r w:rsidRPr="0005716F">
        <w:rPr>
          <w:rFonts w:cs="Arial"/>
          <w:sz w:val="20"/>
          <w:szCs w:val="20"/>
          <w:rtl/>
        </w:rPr>
        <w:t xml:space="preserve">: </w:t>
      </w:r>
      <w:r w:rsidRPr="0005716F">
        <w:rPr>
          <w:rFonts w:cs="Arial" w:hint="cs"/>
          <w:sz w:val="20"/>
          <w:szCs w:val="20"/>
          <w:rtl/>
        </w:rPr>
        <w:t>אין</w:t>
      </w:r>
      <w:r w:rsidRPr="0005716F">
        <w:rPr>
          <w:rFonts w:cs="Arial"/>
          <w:sz w:val="20"/>
          <w:szCs w:val="20"/>
          <w:rtl/>
        </w:rPr>
        <w:t xml:space="preserve"> </w:t>
      </w:r>
      <w:r w:rsidRPr="0005716F">
        <w:rPr>
          <w:rFonts w:cs="Arial" w:hint="cs"/>
          <w:sz w:val="20"/>
          <w:szCs w:val="20"/>
          <w:rtl/>
        </w:rPr>
        <w:t>זה</w:t>
      </w:r>
      <w:r w:rsidRPr="0005716F">
        <w:rPr>
          <w:rFonts w:cs="Arial"/>
          <w:sz w:val="20"/>
          <w:szCs w:val="20"/>
          <w:rtl/>
        </w:rPr>
        <w:t xml:space="preserve"> </w:t>
      </w:r>
      <w:r w:rsidRPr="0005716F">
        <w:rPr>
          <w:rFonts w:cs="Arial" w:hint="cs"/>
          <w:sz w:val="20"/>
          <w:szCs w:val="20"/>
          <w:rtl/>
        </w:rPr>
        <w:t>דם</w:t>
      </w:r>
      <w:r w:rsidRPr="0005716F">
        <w:rPr>
          <w:rFonts w:cs="Arial"/>
          <w:sz w:val="20"/>
          <w:szCs w:val="20"/>
          <w:rtl/>
        </w:rPr>
        <w:t xml:space="preserve"> </w:t>
      </w:r>
      <w:r w:rsidRPr="0005716F">
        <w:rPr>
          <w:rFonts w:cs="Arial" w:hint="cs"/>
          <w:sz w:val="20"/>
          <w:szCs w:val="20"/>
          <w:rtl/>
        </w:rPr>
        <w:t>נדה</w:t>
      </w:r>
      <w:r w:rsidRPr="0005716F">
        <w:rPr>
          <w:rFonts w:cs="Arial"/>
          <w:sz w:val="20"/>
          <w:szCs w:val="20"/>
          <w:rtl/>
        </w:rPr>
        <w:t xml:space="preserve"> </w:t>
      </w:r>
      <w:r w:rsidRPr="0005716F">
        <w:rPr>
          <w:rFonts w:cs="Arial" w:hint="cs"/>
          <w:sz w:val="20"/>
          <w:szCs w:val="20"/>
          <w:rtl/>
        </w:rPr>
        <w:t>אלא</w:t>
      </w:r>
      <w:r w:rsidRPr="0005716F">
        <w:rPr>
          <w:rFonts w:cs="Arial"/>
          <w:sz w:val="20"/>
          <w:szCs w:val="20"/>
          <w:rtl/>
        </w:rPr>
        <w:t xml:space="preserve"> </w:t>
      </w:r>
      <w:r w:rsidRPr="0005716F">
        <w:rPr>
          <w:rFonts w:cs="Arial" w:hint="cs"/>
          <w:sz w:val="20"/>
          <w:szCs w:val="20"/>
          <w:rtl/>
        </w:rPr>
        <w:t>דם</w:t>
      </w:r>
      <w:r w:rsidRPr="0005716F">
        <w:rPr>
          <w:rFonts w:cs="Arial"/>
          <w:sz w:val="20"/>
          <w:szCs w:val="20"/>
          <w:rtl/>
        </w:rPr>
        <w:t xml:space="preserve"> </w:t>
      </w:r>
      <w:r w:rsidRPr="0005716F">
        <w:rPr>
          <w:rFonts w:cs="Arial" w:hint="cs"/>
          <w:sz w:val="20"/>
          <w:szCs w:val="20"/>
          <w:rtl/>
        </w:rPr>
        <w:t>חתיכה</w:t>
      </w:r>
      <w:r w:rsidRPr="0005716F">
        <w:rPr>
          <w:rFonts w:cs="Arial"/>
          <w:sz w:val="20"/>
          <w:szCs w:val="20"/>
          <w:rtl/>
        </w:rPr>
        <w:t xml:space="preserve"> </w:t>
      </w:r>
      <w:r w:rsidRPr="0005716F">
        <w:rPr>
          <w:rFonts w:cs="Arial" w:hint="cs"/>
          <w:sz w:val="20"/>
          <w:szCs w:val="20"/>
          <w:rtl/>
        </w:rPr>
        <w:t>תנא</w:t>
      </w:r>
      <w:r w:rsidRPr="0005716F">
        <w:rPr>
          <w:rFonts w:cs="Arial"/>
          <w:sz w:val="20"/>
          <w:szCs w:val="20"/>
          <w:rtl/>
        </w:rPr>
        <w:t xml:space="preserve"> </w:t>
      </w:r>
      <w:r w:rsidRPr="0005716F">
        <w:rPr>
          <w:rFonts w:cs="Arial" w:hint="cs"/>
          <w:sz w:val="20"/>
          <w:szCs w:val="20"/>
          <w:rtl/>
        </w:rPr>
        <w:t>קמא</w:t>
      </w:r>
      <w:r w:rsidRPr="0005716F">
        <w:rPr>
          <w:rFonts w:cs="Arial"/>
          <w:sz w:val="20"/>
          <w:szCs w:val="20"/>
          <w:rtl/>
        </w:rPr>
        <w:t xml:space="preserve"> </w:t>
      </w:r>
      <w:r w:rsidRPr="0005716F">
        <w:rPr>
          <w:rFonts w:cs="Arial" w:hint="cs"/>
          <w:sz w:val="20"/>
          <w:szCs w:val="20"/>
          <w:rtl/>
        </w:rPr>
        <w:t>נמי</w:t>
      </w:r>
      <w:r w:rsidRPr="0005716F">
        <w:rPr>
          <w:rFonts w:cs="Arial"/>
          <w:sz w:val="20"/>
          <w:szCs w:val="20"/>
          <w:rtl/>
        </w:rPr>
        <w:t xml:space="preserve"> </w:t>
      </w:r>
      <w:r w:rsidRPr="0005716F">
        <w:rPr>
          <w:rFonts w:cs="Arial" w:hint="cs"/>
          <w:sz w:val="20"/>
          <w:szCs w:val="20"/>
          <w:rtl/>
        </w:rPr>
        <w:t>טהורי</w:t>
      </w:r>
      <w:r w:rsidRPr="0005716F">
        <w:rPr>
          <w:rFonts w:cs="Arial"/>
          <w:sz w:val="20"/>
          <w:szCs w:val="20"/>
          <w:rtl/>
        </w:rPr>
        <w:t xml:space="preserve"> </w:t>
      </w:r>
      <w:r w:rsidRPr="0005716F">
        <w:rPr>
          <w:rFonts w:cs="Arial" w:hint="cs"/>
          <w:sz w:val="20"/>
          <w:szCs w:val="20"/>
          <w:rtl/>
        </w:rPr>
        <w:t>מטהר</w:t>
      </w:r>
      <w:r w:rsidRPr="0005716F">
        <w:rPr>
          <w:rFonts w:cs="Arial"/>
          <w:sz w:val="20"/>
          <w:szCs w:val="20"/>
          <w:rtl/>
        </w:rPr>
        <w:t xml:space="preserve">! </w:t>
      </w:r>
      <w:r w:rsidRPr="0005716F">
        <w:rPr>
          <w:rFonts w:cs="Arial" w:hint="cs"/>
          <w:sz w:val="20"/>
          <w:szCs w:val="20"/>
          <w:rtl/>
        </w:rPr>
        <w:t>אלא</w:t>
      </w:r>
      <w:r w:rsidRPr="0005716F">
        <w:rPr>
          <w:rFonts w:cs="Arial"/>
          <w:sz w:val="20"/>
          <w:szCs w:val="20"/>
          <w:rtl/>
        </w:rPr>
        <w:t xml:space="preserve"> </w:t>
      </w:r>
      <w:r w:rsidRPr="0005716F">
        <w:rPr>
          <w:rFonts w:cs="Arial" w:hint="cs"/>
          <w:sz w:val="20"/>
          <w:szCs w:val="20"/>
          <w:rtl/>
        </w:rPr>
        <w:t>דפלי</w:t>
      </w:r>
      <w:r w:rsidRPr="0005716F">
        <w:rPr>
          <w:rFonts w:cs="Arial"/>
          <w:sz w:val="20"/>
          <w:szCs w:val="20"/>
          <w:rtl/>
        </w:rPr>
        <w:t xml:space="preserve"> </w:t>
      </w:r>
      <w:r w:rsidRPr="0005716F">
        <w:rPr>
          <w:rFonts w:cs="Arial" w:hint="cs"/>
          <w:sz w:val="20"/>
          <w:szCs w:val="20"/>
          <w:rtl/>
        </w:rPr>
        <w:t>פלויי</w:t>
      </w:r>
      <w:r w:rsidRPr="0005716F">
        <w:rPr>
          <w:rFonts w:cs="Arial"/>
          <w:sz w:val="20"/>
          <w:szCs w:val="20"/>
          <w:rtl/>
        </w:rPr>
        <w:t xml:space="preserve"> </w:t>
      </w:r>
      <w:r w:rsidRPr="0005716F">
        <w:rPr>
          <w:rFonts w:cs="Arial" w:hint="cs"/>
          <w:sz w:val="20"/>
          <w:szCs w:val="20"/>
          <w:rtl/>
        </w:rPr>
        <w:t>איכא</w:t>
      </w:r>
      <w:r w:rsidRPr="0005716F">
        <w:rPr>
          <w:rFonts w:cs="Arial"/>
          <w:sz w:val="20"/>
          <w:szCs w:val="20"/>
          <w:rtl/>
        </w:rPr>
        <w:t xml:space="preserve"> </w:t>
      </w:r>
      <w:r w:rsidRPr="0005716F">
        <w:rPr>
          <w:rFonts w:cs="Arial" w:hint="cs"/>
          <w:sz w:val="20"/>
          <w:szCs w:val="20"/>
          <w:rtl/>
        </w:rPr>
        <w:t>בינייהו</w:t>
      </w:r>
      <w:r w:rsidRPr="0005716F">
        <w:rPr>
          <w:rFonts w:cs="Arial"/>
          <w:sz w:val="20"/>
          <w:szCs w:val="20"/>
          <w:rtl/>
        </w:rPr>
        <w:t xml:space="preserve">, </w:t>
      </w:r>
      <w:r w:rsidRPr="0005716F">
        <w:rPr>
          <w:rFonts w:cs="Arial" w:hint="cs"/>
          <w:sz w:val="20"/>
          <w:szCs w:val="20"/>
          <w:rtl/>
        </w:rPr>
        <w:t>תנא</w:t>
      </w:r>
      <w:r w:rsidRPr="0005716F">
        <w:rPr>
          <w:rFonts w:cs="Arial"/>
          <w:sz w:val="20"/>
          <w:szCs w:val="20"/>
          <w:rtl/>
        </w:rPr>
        <w:t xml:space="preserve"> </w:t>
      </w:r>
      <w:r w:rsidRPr="0005716F">
        <w:rPr>
          <w:rFonts w:cs="Arial" w:hint="cs"/>
          <w:sz w:val="20"/>
          <w:szCs w:val="20"/>
          <w:rtl/>
        </w:rPr>
        <w:t>קמא</w:t>
      </w:r>
      <w:r w:rsidRPr="0005716F">
        <w:rPr>
          <w:rFonts w:cs="Arial"/>
          <w:sz w:val="20"/>
          <w:szCs w:val="20"/>
          <w:rtl/>
        </w:rPr>
        <w:t xml:space="preserve"> </w:t>
      </w:r>
      <w:r w:rsidRPr="0005716F">
        <w:rPr>
          <w:rFonts w:cs="Arial" w:hint="cs"/>
          <w:sz w:val="20"/>
          <w:szCs w:val="20"/>
          <w:rtl/>
        </w:rPr>
        <w:t>סבר</w:t>
      </w:r>
      <w:r w:rsidRPr="0005716F">
        <w:rPr>
          <w:rFonts w:cs="Arial"/>
          <w:sz w:val="20"/>
          <w:szCs w:val="20"/>
          <w:rtl/>
        </w:rPr>
        <w:t xml:space="preserve">: </w:t>
      </w:r>
      <w:r w:rsidRPr="0005716F">
        <w:rPr>
          <w:rFonts w:cs="Arial" w:hint="cs"/>
          <w:sz w:val="20"/>
          <w:szCs w:val="20"/>
          <w:rtl/>
        </w:rPr>
        <w:t>בבשרה</w:t>
      </w:r>
      <w:r w:rsidRPr="0005716F">
        <w:rPr>
          <w:rFonts w:cs="Arial"/>
          <w:sz w:val="20"/>
          <w:szCs w:val="20"/>
          <w:rtl/>
        </w:rPr>
        <w:t xml:space="preserve"> - </w:t>
      </w:r>
      <w:r w:rsidRPr="0005716F">
        <w:rPr>
          <w:rFonts w:cs="Arial" w:hint="cs"/>
          <w:sz w:val="20"/>
          <w:szCs w:val="20"/>
          <w:rtl/>
        </w:rPr>
        <w:t>ולא</w:t>
      </w:r>
      <w:r w:rsidRPr="0005716F">
        <w:rPr>
          <w:rFonts w:cs="Arial"/>
          <w:sz w:val="20"/>
          <w:szCs w:val="20"/>
          <w:rtl/>
        </w:rPr>
        <w:t xml:space="preserve"> </w:t>
      </w:r>
      <w:r w:rsidRPr="0005716F">
        <w:rPr>
          <w:rFonts w:cs="Arial" w:hint="cs"/>
          <w:sz w:val="20"/>
          <w:szCs w:val="20"/>
          <w:rtl/>
        </w:rPr>
        <w:t>בשפיר</w:t>
      </w:r>
      <w:r w:rsidRPr="0005716F">
        <w:rPr>
          <w:rFonts w:cs="Arial"/>
          <w:sz w:val="20"/>
          <w:szCs w:val="20"/>
          <w:rtl/>
        </w:rPr>
        <w:t xml:space="preserve"> </w:t>
      </w:r>
      <w:r w:rsidRPr="0005716F">
        <w:rPr>
          <w:rFonts w:cs="Arial" w:hint="cs"/>
          <w:sz w:val="20"/>
          <w:szCs w:val="20"/>
          <w:rtl/>
        </w:rPr>
        <w:t>ולא</w:t>
      </w:r>
      <w:r w:rsidRPr="0005716F">
        <w:rPr>
          <w:rFonts w:cs="Arial"/>
          <w:sz w:val="20"/>
          <w:szCs w:val="20"/>
          <w:rtl/>
        </w:rPr>
        <w:t xml:space="preserve"> </w:t>
      </w:r>
      <w:r w:rsidRPr="0005716F">
        <w:rPr>
          <w:rFonts w:cs="Arial" w:hint="cs"/>
          <w:sz w:val="20"/>
          <w:szCs w:val="20"/>
          <w:rtl/>
        </w:rPr>
        <w:t>בחתיכה</w:t>
      </w:r>
      <w:r w:rsidRPr="0005716F">
        <w:rPr>
          <w:rFonts w:cs="Arial"/>
          <w:sz w:val="20"/>
          <w:szCs w:val="20"/>
          <w:rtl/>
        </w:rPr>
        <w:t xml:space="preserve">, </w:t>
      </w:r>
      <w:r w:rsidRPr="0005716F">
        <w:rPr>
          <w:rFonts w:cs="Arial" w:hint="cs"/>
          <w:sz w:val="20"/>
          <w:szCs w:val="20"/>
          <w:rtl/>
        </w:rPr>
        <w:t>והוא</w:t>
      </w:r>
      <w:r w:rsidRPr="0005716F">
        <w:rPr>
          <w:rFonts w:cs="Arial"/>
          <w:sz w:val="20"/>
          <w:szCs w:val="20"/>
          <w:rtl/>
        </w:rPr>
        <w:t xml:space="preserve"> </w:t>
      </w:r>
      <w:r w:rsidRPr="0005716F">
        <w:rPr>
          <w:rFonts w:cs="Arial" w:hint="cs"/>
          <w:sz w:val="20"/>
          <w:szCs w:val="20"/>
          <w:rtl/>
        </w:rPr>
        <w:t>הדין</w:t>
      </w:r>
      <w:r w:rsidRPr="0005716F">
        <w:rPr>
          <w:rFonts w:cs="Arial"/>
          <w:sz w:val="20"/>
          <w:szCs w:val="20"/>
          <w:rtl/>
        </w:rPr>
        <w:t xml:space="preserve"> </w:t>
      </w:r>
      <w:r w:rsidRPr="0005716F">
        <w:rPr>
          <w:rFonts w:cs="Arial" w:hint="cs"/>
          <w:sz w:val="20"/>
          <w:szCs w:val="20"/>
          <w:rtl/>
        </w:rPr>
        <w:t>לשפופרת</w:t>
      </w:r>
      <w:r w:rsidRPr="0005716F">
        <w:rPr>
          <w:rFonts w:cs="Arial"/>
          <w:sz w:val="20"/>
          <w:szCs w:val="20"/>
          <w:rtl/>
        </w:rPr>
        <w:t xml:space="preserve">; </w:t>
      </w:r>
      <w:r w:rsidRPr="0005716F">
        <w:rPr>
          <w:rFonts w:cs="Arial" w:hint="cs"/>
          <w:sz w:val="20"/>
          <w:szCs w:val="20"/>
          <w:rtl/>
        </w:rPr>
        <w:t>והני</w:t>
      </w:r>
      <w:r w:rsidRPr="0005716F">
        <w:rPr>
          <w:rFonts w:cs="Arial"/>
          <w:sz w:val="20"/>
          <w:szCs w:val="20"/>
          <w:rtl/>
        </w:rPr>
        <w:t xml:space="preserve"> </w:t>
      </w:r>
      <w:r w:rsidRPr="0005716F">
        <w:rPr>
          <w:rFonts w:cs="Arial" w:hint="cs"/>
          <w:sz w:val="20"/>
          <w:szCs w:val="20"/>
          <w:rtl/>
        </w:rPr>
        <w:t>מילי</w:t>
      </w:r>
      <w:r w:rsidRPr="0005716F">
        <w:rPr>
          <w:rFonts w:cs="Arial"/>
          <w:sz w:val="20"/>
          <w:szCs w:val="20"/>
          <w:rtl/>
        </w:rPr>
        <w:t xml:space="preserve"> - </w:t>
      </w:r>
      <w:r w:rsidRPr="0005716F">
        <w:rPr>
          <w:rFonts w:cs="Arial" w:hint="cs"/>
          <w:sz w:val="20"/>
          <w:szCs w:val="20"/>
          <w:rtl/>
        </w:rPr>
        <w:t>היכא</w:t>
      </w:r>
      <w:r w:rsidRPr="0005716F">
        <w:rPr>
          <w:rFonts w:cs="Arial"/>
          <w:sz w:val="20"/>
          <w:szCs w:val="20"/>
          <w:rtl/>
        </w:rPr>
        <w:t xml:space="preserve"> </w:t>
      </w:r>
      <w:r w:rsidRPr="0005716F">
        <w:rPr>
          <w:rFonts w:cs="Arial" w:hint="cs"/>
          <w:sz w:val="20"/>
          <w:szCs w:val="20"/>
          <w:rtl/>
        </w:rPr>
        <w:t>דשיעא</w:t>
      </w:r>
      <w:r w:rsidRPr="0005716F">
        <w:rPr>
          <w:rFonts w:cs="Arial"/>
          <w:sz w:val="20"/>
          <w:szCs w:val="20"/>
          <w:rtl/>
        </w:rPr>
        <w:t xml:space="preserve">, </w:t>
      </w:r>
      <w:r w:rsidRPr="0005716F">
        <w:rPr>
          <w:rFonts w:cs="Arial" w:hint="cs"/>
          <w:sz w:val="20"/>
          <w:szCs w:val="20"/>
          <w:rtl/>
        </w:rPr>
        <w:t>אבל</w:t>
      </w:r>
      <w:r w:rsidRPr="0005716F">
        <w:rPr>
          <w:rFonts w:cs="Arial"/>
          <w:sz w:val="20"/>
          <w:szCs w:val="20"/>
          <w:rtl/>
        </w:rPr>
        <w:t xml:space="preserve"> </w:t>
      </w:r>
      <w:r w:rsidRPr="0005716F">
        <w:rPr>
          <w:rFonts w:cs="Arial" w:hint="cs"/>
          <w:sz w:val="20"/>
          <w:szCs w:val="20"/>
          <w:rtl/>
        </w:rPr>
        <w:t>פלי</w:t>
      </w:r>
      <w:r w:rsidRPr="0005716F">
        <w:rPr>
          <w:rFonts w:cs="Arial"/>
          <w:sz w:val="20"/>
          <w:szCs w:val="20"/>
          <w:rtl/>
        </w:rPr>
        <w:t xml:space="preserve"> </w:t>
      </w:r>
      <w:r w:rsidRPr="0005716F">
        <w:rPr>
          <w:rFonts w:cs="Arial" w:hint="cs"/>
          <w:sz w:val="20"/>
          <w:szCs w:val="20"/>
          <w:rtl/>
        </w:rPr>
        <w:t>פלויי</w:t>
      </w:r>
      <w:r w:rsidRPr="0005716F">
        <w:rPr>
          <w:rFonts w:cs="Arial"/>
          <w:sz w:val="20"/>
          <w:szCs w:val="20"/>
          <w:rtl/>
        </w:rPr>
        <w:t xml:space="preserve"> - </w:t>
      </w:r>
      <w:r w:rsidRPr="0005716F">
        <w:rPr>
          <w:rFonts w:cs="Arial" w:hint="cs"/>
          <w:sz w:val="20"/>
          <w:szCs w:val="20"/>
          <w:rtl/>
        </w:rPr>
        <w:t>טמאה</w:t>
      </w:r>
      <w:r w:rsidRPr="0005716F">
        <w:rPr>
          <w:rFonts w:cs="Arial"/>
          <w:sz w:val="20"/>
          <w:szCs w:val="20"/>
          <w:rtl/>
        </w:rPr>
        <w:t xml:space="preserve">, </w:t>
      </w:r>
      <w:r w:rsidRPr="0005716F">
        <w:rPr>
          <w:rFonts w:cs="Arial" w:hint="cs"/>
          <w:sz w:val="20"/>
          <w:szCs w:val="20"/>
          <w:rtl/>
        </w:rPr>
        <w:t>מאי</w:t>
      </w:r>
      <w:r w:rsidRPr="0005716F">
        <w:rPr>
          <w:rFonts w:cs="Arial"/>
          <w:sz w:val="20"/>
          <w:szCs w:val="20"/>
          <w:rtl/>
        </w:rPr>
        <w:t xml:space="preserve"> </w:t>
      </w:r>
      <w:r w:rsidRPr="0005716F">
        <w:rPr>
          <w:rFonts w:cs="Arial" w:hint="cs"/>
          <w:sz w:val="20"/>
          <w:szCs w:val="20"/>
          <w:rtl/>
        </w:rPr>
        <w:t>טעמיה</w:t>
      </w:r>
      <w:r w:rsidRPr="0005716F">
        <w:rPr>
          <w:rFonts w:cs="Arial"/>
          <w:sz w:val="20"/>
          <w:szCs w:val="20"/>
          <w:rtl/>
        </w:rPr>
        <w:t xml:space="preserve"> - </w:t>
      </w:r>
      <w:r w:rsidRPr="0005716F">
        <w:rPr>
          <w:rFonts w:cs="Arial" w:hint="cs"/>
          <w:sz w:val="20"/>
          <w:szCs w:val="20"/>
          <w:rtl/>
        </w:rPr>
        <w:t>בבשרה</w:t>
      </w:r>
      <w:r w:rsidRPr="0005716F">
        <w:rPr>
          <w:rFonts w:cs="Arial"/>
          <w:sz w:val="20"/>
          <w:szCs w:val="20"/>
          <w:rtl/>
        </w:rPr>
        <w:t xml:space="preserve"> </w:t>
      </w:r>
      <w:r w:rsidRPr="0005716F">
        <w:rPr>
          <w:rFonts w:cs="Arial" w:hint="cs"/>
          <w:sz w:val="20"/>
          <w:szCs w:val="20"/>
          <w:rtl/>
        </w:rPr>
        <w:t>קרינא</w:t>
      </w:r>
      <w:r w:rsidRPr="0005716F">
        <w:rPr>
          <w:rFonts w:cs="Arial"/>
          <w:sz w:val="20"/>
          <w:szCs w:val="20"/>
          <w:rtl/>
        </w:rPr>
        <w:t xml:space="preserve"> </w:t>
      </w:r>
      <w:r w:rsidRPr="0005716F">
        <w:rPr>
          <w:rFonts w:cs="Arial" w:hint="cs"/>
          <w:sz w:val="20"/>
          <w:szCs w:val="20"/>
          <w:rtl/>
        </w:rPr>
        <w:t>ביה</w:t>
      </w:r>
      <w:r w:rsidRPr="0005716F">
        <w:rPr>
          <w:rFonts w:cs="Arial"/>
          <w:sz w:val="20"/>
          <w:szCs w:val="20"/>
          <w:rtl/>
        </w:rPr>
        <w:t xml:space="preserve">. </w:t>
      </w:r>
      <w:r w:rsidRPr="0005716F">
        <w:rPr>
          <w:rFonts w:cs="Arial" w:hint="cs"/>
          <w:sz w:val="20"/>
          <w:szCs w:val="20"/>
          <w:rtl/>
        </w:rPr>
        <w:t>ואתו</w:t>
      </w:r>
      <w:r w:rsidRPr="0005716F">
        <w:rPr>
          <w:rFonts w:cs="Arial"/>
          <w:sz w:val="20"/>
          <w:szCs w:val="20"/>
          <w:rtl/>
        </w:rPr>
        <w:t xml:space="preserve"> </w:t>
      </w:r>
      <w:r w:rsidRPr="0005716F">
        <w:rPr>
          <w:rFonts w:cs="Arial" w:hint="cs"/>
          <w:sz w:val="20"/>
          <w:szCs w:val="20"/>
          <w:rtl/>
        </w:rPr>
        <w:t>רבנן</w:t>
      </w:r>
      <w:r w:rsidRPr="0005716F">
        <w:rPr>
          <w:rFonts w:cs="Arial"/>
          <w:sz w:val="20"/>
          <w:szCs w:val="20"/>
          <w:rtl/>
        </w:rPr>
        <w:t xml:space="preserve"> </w:t>
      </w:r>
      <w:r w:rsidRPr="0005716F">
        <w:rPr>
          <w:rFonts w:cs="Arial" w:hint="cs"/>
          <w:sz w:val="20"/>
          <w:szCs w:val="20"/>
          <w:rtl/>
        </w:rPr>
        <w:t>למימר</w:t>
      </w:r>
      <w:r w:rsidRPr="0005716F">
        <w:rPr>
          <w:rFonts w:cs="Arial"/>
          <w:sz w:val="20"/>
          <w:szCs w:val="20"/>
          <w:rtl/>
        </w:rPr>
        <w:t xml:space="preserve">: </w:t>
      </w:r>
      <w:r w:rsidRPr="0005716F">
        <w:rPr>
          <w:rFonts w:cs="Arial" w:hint="cs"/>
          <w:sz w:val="20"/>
          <w:szCs w:val="20"/>
          <w:rtl/>
        </w:rPr>
        <w:t>אף</w:t>
      </w:r>
      <w:r w:rsidRPr="0005716F">
        <w:rPr>
          <w:rFonts w:cs="Arial"/>
          <w:sz w:val="20"/>
          <w:szCs w:val="20"/>
          <w:rtl/>
        </w:rPr>
        <w:t xml:space="preserve"> </w:t>
      </w:r>
      <w:r w:rsidRPr="0005716F">
        <w:rPr>
          <w:rFonts w:cs="Arial" w:hint="cs"/>
          <w:sz w:val="20"/>
          <w:szCs w:val="20"/>
          <w:rtl/>
        </w:rPr>
        <w:t>על</w:t>
      </w:r>
      <w:r w:rsidRPr="0005716F">
        <w:rPr>
          <w:rFonts w:cs="Arial"/>
          <w:sz w:val="20"/>
          <w:szCs w:val="20"/>
          <w:rtl/>
        </w:rPr>
        <w:t xml:space="preserve"> </w:t>
      </w:r>
      <w:r w:rsidRPr="0005716F">
        <w:rPr>
          <w:rFonts w:cs="Arial" w:hint="cs"/>
          <w:sz w:val="20"/>
          <w:szCs w:val="20"/>
          <w:rtl/>
        </w:rPr>
        <w:t>גב</w:t>
      </w:r>
      <w:r w:rsidRPr="0005716F">
        <w:rPr>
          <w:rFonts w:cs="Arial"/>
          <w:sz w:val="20"/>
          <w:szCs w:val="20"/>
          <w:rtl/>
        </w:rPr>
        <w:t xml:space="preserve"> </w:t>
      </w:r>
      <w:r w:rsidRPr="0005716F">
        <w:rPr>
          <w:rFonts w:cs="Arial" w:hint="cs"/>
          <w:sz w:val="20"/>
          <w:szCs w:val="20"/>
          <w:rtl/>
        </w:rPr>
        <w:t>דפלי</w:t>
      </w:r>
      <w:r w:rsidRPr="0005716F">
        <w:rPr>
          <w:rFonts w:cs="Arial"/>
          <w:sz w:val="20"/>
          <w:szCs w:val="20"/>
          <w:rtl/>
        </w:rPr>
        <w:t xml:space="preserve"> </w:t>
      </w:r>
      <w:r w:rsidRPr="0005716F">
        <w:rPr>
          <w:rFonts w:cs="Arial" w:hint="cs"/>
          <w:sz w:val="20"/>
          <w:szCs w:val="20"/>
          <w:rtl/>
        </w:rPr>
        <w:t>פלויי</w:t>
      </w:r>
      <w:r w:rsidRPr="0005716F">
        <w:rPr>
          <w:rFonts w:cs="Arial"/>
          <w:sz w:val="20"/>
          <w:szCs w:val="20"/>
          <w:rtl/>
        </w:rPr>
        <w:t xml:space="preserve"> - </w:t>
      </w:r>
      <w:r w:rsidRPr="0005716F">
        <w:rPr>
          <w:rFonts w:cs="Arial" w:hint="cs"/>
          <w:sz w:val="20"/>
          <w:szCs w:val="20"/>
          <w:rtl/>
        </w:rPr>
        <w:t>אין</w:t>
      </w:r>
      <w:r w:rsidRPr="0005716F">
        <w:rPr>
          <w:rFonts w:cs="Arial"/>
          <w:sz w:val="20"/>
          <w:szCs w:val="20"/>
          <w:rtl/>
        </w:rPr>
        <w:t xml:space="preserve"> </w:t>
      </w:r>
      <w:r w:rsidRPr="0005716F">
        <w:rPr>
          <w:rFonts w:cs="Arial" w:hint="cs"/>
          <w:sz w:val="20"/>
          <w:szCs w:val="20"/>
          <w:rtl/>
        </w:rPr>
        <w:t>זה</w:t>
      </w:r>
      <w:r w:rsidRPr="0005716F">
        <w:rPr>
          <w:rFonts w:cs="Arial"/>
          <w:sz w:val="20"/>
          <w:szCs w:val="20"/>
          <w:rtl/>
        </w:rPr>
        <w:t xml:space="preserve"> </w:t>
      </w:r>
      <w:r w:rsidRPr="0005716F">
        <w:rPr>
          <w:rFonts w:cs="Arial" w:hint="cs"/>
          <w:sz w:val="20"/>
          <w:szCs w:val="20"/>
          <w:rtl/>
        </w:rPr>
        <w:t>דם</w:t>
      </w:r>
      <w:r w:rsidRPr="0005716F">
        <w:rPr>
          <w:rFonts w:cs="Arial"/>
          <w:sz w:val="20"/>
          <w:szCs w:val="20"/>
          <w:rtl/>
        </w:rPr>
        <w:t xml:space="preserve"> </w:t>
      </w:r>
      <w:r w:rsidRPr="0005716F">
        <w:rPr>
          <w:rFonts w:cs="Arial" w:hint="cs"/>
          <w:sz w:val="20"/>
          <w:szCs w:val="20"/>
          <w:rtl/>
        </w:rPr>
        <w:t>נדה</w:t>
      </w:r>
      <w:r w:rsidRPr="0005716F">
        <w:rPr>
          <w:rFonts w:cs="Arial"/>
          <w:sz w:val="20"/>
          <w:szCs w:val="20"/>
          <w:rtl/>
        </w:rPr>
        <w:t xml:space="preserve"> </w:t>
      </w:r>
      <w:r w:rsidRPr="0005716F">
        <w:rPr>
          <w:rFonts w:cs="Arial" w:hint="cs"/>
          <w:sz w:val="20"/>
          <w:szCs w:val="20"/>
          <w:rtl/>
        </w:rPr>
        <w:t>אלא</w:t>
      </w:r>
      <w:r w:rsidRPr="0005716F">
        <w:rPr>
          <w:rFonts w:cs="Arial"/>
          <w:sz w:val="20"/>
          <w:szCs w:val="20"/>
          <w:rtl/>
        </w:rPr>
        <w:t xml:space="preserve"> </w:t>
      </w:r>
      <w:r w:rsidRPr="0005716F">
        <w:rPr>
          <w:rFonts w:cs="Arial" w:hint="cs"/>
          <w:sz w:val="20"/>
          <w:szCs w:val="20"/>
          <w:rtl/>
        </w:rPr>
        <w:t>דם</w:t>
      </w:r>
      <w:r w:rsidRPr="0005716F">
        <w:rPr>
          <w:rFonts w:cs="Arial"/>
          <w:sz w:val="20"/>
          <w:szCs w:val="20"/>
          <w:rtl/>
        </w:rPr>
        <w:t xml:space="preserve"> </w:t>
      </w:r>
      <w:r w:rsidRPr="0005716F">
        <w:rPr>
          <w:rFonts w:cs="Arial" w:hint="cs"/>
          <w:sz w:val="20"/>
          <w:szCs w:val="20"/>
          <w:rtl/>
        </w:rPr>
        <w:t>חתיכה</w:t>
      </w:r>
      <w:r w:rsidRPr="0005716F">
        <w:rPr>
          <w:rFonts w:cs="Arial"/>
          <w:sz w:val="20"/>
          <w:szCs w:val="20"/>
          <w:rtl/>
        </w:rPr>
        <w:t xml:space="preserve">, </w:t>
      </w:r>
      <w:r w:rsidRPr="0005716F">
        <w:rPr>
          <w:rFonts w:cs="Arial" w:hint="cs"/>
          <w:sz w:val="20"/>
          <w:szCs w:val="20"/>
          <w:rtl/>
        </w:rPr>
        <w:t>הא</w:t>
      </w:r>
      <w:r w:rsidRPr="0005716F">
        <w:rPr>
          <w:rFonts w:cs="Arial"/>
          <w:sz w:val="20"/>
          <w:szCs w:val="20"/>
          <w:rtl/>
        </w:rPr>
        <w:t xml:space="preserve"> </w:t>
      </w:r>
      <w:r w:rsidRPr="0005716F">
        <w:rPr>
          <w:rFonts w:cs="Arial" w:hint="cs"/>
          <w:sz w:val="20"/>
          <w:szCs w:val="20"/>
          <w:rtl/>
        </w:rPr>
        <w:t>דם</w:t>
      </w:r>
      <w:r w:rsidRPr="0005716F">
        <w:rPr>
          <w:rFonts w:cs="Arial"/>
          <w:sz w:val="20"/>
          <w:szCs w:val="20"/>
          <w:rtl/>
        </w:rPr>
        <w:t xml:space="preserve"> </w:t>
      </w:r>
      <w:r w:rsidRPr="0005716F">
        <w:rPr>
          <w:rFonts w:cs="Arial" w:hint="cs"/>
          <w:sz w:val="20"/>
          <w:szCs w:val="20"/>
          <w:rtl/>
        </w:rPr>
        <w:t>נדה</w:t>
      </w:r>
      <w:r w:rsidRPr="0005716F">
        <w:rPr>
          <w:rFonts w:cs="Arial"/>
          <w:sz w:val="20"/>
          <w:szCs w:val="20"/>
          <w:rtl/>
        </w:rPr>
        <w:t xml:space="preserve"> </w:t>
      </w:r>
      <w:r w:rsidRPr="0005716F">
        <w:rPr>
          <w:rFonts w:cs="Arial" w:hint="cs"/>
          <w:sz w:val="20"/>
          <w:szCs w:val="20"/>
          <w:rtl/>
        </w:rPr>
        <w:t>ודאי</w:t>
      </w:r>
      <w:r w:rsidRPr="0005716F">
        <w:rPr>
          <w:rFonts w:cs="Arial"/>
          <w:sz w:val="20"/>
          <w:szCs w:val="20"/>
          <w:rtl/>
        </w:rPr>
        <w:t xml:space="preserve"> </w:t>
      </w:r>
      <w:r w:rsidRPr="0005716F">
        <w:rPr>
          <w:rFonts w:cs="Arial" w:hint="cs"/>
          <w:sz w:val="20"/>
          <w:szCs w:val="20"/>
          <w:rtl/>
        </w:rPr>
        <w:t>טמא</w:t>
      </w:r>
      <w:r w:rsidRPr="0005716F">
        <w:rPr>
          <w:rFonts w:cs="Arial"/>
          <w:sz w:val="20"/>
          <w:szCs w:val="20"/>
          <w:rtl/>
        </w:rPr>
        <w:t xml:space="preserve">, </w:t>
      </w:r>
      <w:r w:rsidRPr="0005716F">
        <w:rPr>
          <w:rFonts w:cs="Arial" w:hint="cs"/>
          <w:sz w:val="20"/>
          <w:szCs w:val="20"/>
          <w:rtl/>
        </w:rPr>
        <w:t>ואפילו</w:t>
      </w:r>
      <w:r w:rsidRPr="0005716F">
        <w:rPr>
          <w:rFonts w:cs="Arial"/>
          <w:sz w:val="20"/>
          <w:szCs w:val="20"/>
          <w:rtl/>
        </w:rPr>
        <w:t xml:space="preserve"> </w:t>
      </w:r>
      <w:r w:rsidRPr="0005716F">
        <w:rPr>
          <w:rFonts w:cs="Arial" w:hint="cs"/>
          <w:sz w:val="20"/>
          <w:szCs w:val="20"/>
          <w:rtl/>
        </w:rPr>
        <w:t>בשפופרת</w:t>
      </w:r>
      <w:r w:rsidRPr="0005716F">
        <w:rPr>
          <w:rFonts w:cs="Arial"/>
          <w:sz w:val="20"/>
          <w:szCs w:val="20"/>
          <w:rtl/>
        </w:rPr>
        <w:t xml:space="preserve"> </w:t>
      </w:r>
      <w:r w:rsidRPr="0005716F">
        <w:rPr>
          <w:rFonts w:cs="Arial" w:hint="cs"/>
          <w:sz w:val="20"/>
          <w:szCs w:val="20"/>
          <w:rtl/>
        </w:rPr>
        <w:t>נמי</w:t>
      </w:r>
      <w:r w:rsidRPr="0005716F">
        <w:rPr>
          <w:rFonts w:cs="Arial"/>
          <w:sz w:val="20"/>
          <w:szCs w:val="20"/>
          <w:rtl/>
        </w:rPr>
        <w:t xml:space="preserve">! </w:t>
      </w:r>
      <w:r w:rsidRPr="0005716F">
        <w:rPr>
          <w:rFonts w:cs="Arial" w:hint="cs"/>
          <w:sz w:val="20"/>
          <w:szCs w:val="20"/>
          <w:rtl/>
        </w:rPr>
        <w:t>אמר</w:t>
      </w:r>
      <w:r w:rsidRPr="0005716F">
        <w:rPr>
          <w:rFonts w:cs="Arial"/>
          <w:sz w:val="20"/>
          <w:szCs w:val="20"/>
          <w:rtl/>
        </w:rPr>
        <w:t xml:space="preserve"> </w:t>
      </w:r>
      <w:r w:rsidRPr="0005716F">
        <w:rPr>
          <w:rFonts w:cs="Arial" w:hint="cs"/>
          <w:sz w:val="20"/>
          <w:szCs w:val="20"/>
          <w:rtl/>
        </w:rPr>
        <w:t>אביי</w:t>
      </w:r>
      <w:r w:rsidRPr="0005716F">
        <w:rPr>
          <w:rFonts w:cs="Arial"/>
          <w:sz w:val="20"/>
          <w:szCs w:val="20"/>
          <w:rtl/>
        </w:rPr>
        <w:t xml:space="preserve">: </w:t>
      </w:r>
      <w:r w:rsidRPr="0005716F">
        <w:rPr>
          <w:rFonts w:cs="Arial" w:hint="cs"/>
          <w:sz w:val="20"/>
          <w:szCs w:val="20"/>
          <w:rtl/>
        </w:rPr>
        <w:t>בשפופרת</w:t>
      </w:r>
      <w:r w:rsidRPr="0005716F">
        <w:rPr>
          <w:rFonts w:cs="Arial"/>
          <w:sz w:val="20"/>
          <w:szCs w:val="20"/>
          <w:rtl/>
        </w:rPr>
        <w:t xml:space="preserve"> </w:t>
      </w:r>
      <w:r w:rsidRPr="0005716F">
        <w:rPr>
          <w:rFonts w:cs="Arial" w:hint="cs"/>
          <w:sz w:val="20"/>
          <w:szCs w:val="20"/>
          <w:rtl/>
        </w:rPr>
        <w:t>כולי</w:t>
      </w:r>
      <w:r w:rsidRPr="0005716F">
        <w:rPr>
          <w:rFonts w:cs="Arial"/>
          <w:sz w:val="20"/>
          <w:szCs w:val="20"/>
          <w:rtl/>
        </w:rPr>
        <w:t xml:space="preserve"> </w:t>
      </w:r>
      <w:r w:rsidRPr="0005716F">
        <w:rPr>
          <w:rFonts w:cs="Arial" w:hint="cs"/>
          <w:sz w:val="20"/>
          <w:szCs w:val="20"/>
          <w:rtl/>
        </w:rPr>
        <w:t>עלמא</w:t>
      </w:r>
      <w:r w:rsidRPr="0005716F">
        <w:rPr>
          <w:rFonts w:cs="Arial"/>
          <w:sz w:val="20"/>
          <w:szCs w:val="20"/>
          <w:rtl/>
        </w:rPr>
        <w:t xml:space="preserve"> </w:t>
      </w:r>
      <w:r w:rsidRPr="0005716F">
        <w:rPr>
          <w:rFonts w:cs="Arial" w:hint="cs"/>
          <w:sz w:val="20"/>
          <w:szCs w:val="20"/>
          <w:rtl/>
        </w:rPr>
        <w:t>לא</w:t>
      </w:r>
      <w:r w:rsidRPr="0005716F">
        <w:rPr>
          <w:rFonts w:cs="Arial"/>
          <w:sz w:val="20"/>
          <w:szCs w:val="20"/>
          <w:rtl/>
        </w:rPr>
        <w:t xml:space="preserve"> </w:t>
      </w:r>
      <w:r w:rsidRPr="0005716F">
        <w:rPr>
          <w:rFonts w:cs="Arial" w:hint="cs"/>
          <w:sz w:val="20"/>
          <w:szCs w:val="20"/>
          <w:rtl/>
        </w:rPr>
        <w:t>פליגי</w:t>
      </w:r>
      <w:r w:rsidRPr="0005716F">
        <w:rPr>
          <w:rFonts w:cs="Arial"/>
          <w:sz w:val="20"/>
          <w:szCs w:val="20"/>
          <w:rtl/>
        </w:rPr>
        <w:t xml:space="preserve"> </w:t>
      </w:r>
      <w:r w:rsidRPr="0005716F">
        <w:rPr>
          <w:rFonts w:cs="Arial" w:hint="cs"/>
          <w:sz w:val="20"/>
          <w:szCs w:val="20"/>
          <w:rtl/>
        </w:rPr>
        <w:t>דטהורה</w:t>
      </w:r>
      <w:r w:rsidRPr="0005716F">
        <w:rPr>
          <w:rFonts w:cs="Arial"/>
          <w:sz w:val="20"/>
          <w:szCs w:val="20"/>
          <w:rtl/>
        </w:rPr>
        <w:t>,</w:t>
      </w:r>
      <w:r w:rsidRPr="0005716F">
        <w:rPr>
          <w:rFonts w:hint="cs"/>
          <w:rtl/>
        </w:rPr>
        <w:t xml:space="preserve"> </w:t>
      </w:r>
      <w:r w:rsidRPr="0005716F">
        <w:rPr>
          <w:rFonts w:cs="Arial" w:hint="cs"/>
          <w:sz w:val="20"/>
          <w:szCs w:val="20"/>
          <w:rtl/>
        </w:rPr>
        <w:t>כי</w:t>
      </w:r>
      <w:r w:rsidRPr="0005716F">
        <w:rPr>
          <w:rFonts w:cs="Arial"/>
          <w:sz w:val="20"/>
          <w:szCs w:val="20"/>
          <w:rtl/>
        </w:rPr>
        <w:t xml:space="preserve"> </w:t>
      </w:r>
      <w:r w:rsidRPr="0005716F">
        <w:rPr>
          <w:rFonts w:cs="Arial" w:hint="cs"/>
          <w:sz w:val="20"/>
          <w:szCs w:val="20"/>
          <w:rtl/>
        </w:rPr>
        <w:t>פליגי</w:t>
      </w:r>
      <w:r w:rsidRPr="0005716F">
        <w:rPr>
          <w:rFonts w:cs="Arial"/>
          <w:sz w:val="20"/>
          <w:szCs w:val="20"/>
          <w:rtl/>
        </w:rPr>
        <w:t xml:space="preserve"> - </w:t>
      </w:r>
      <w:r w:rsidRPr="0005716F">
        <w:rPr>
          <w:rFonts w:cs="Arial" w:hint="cs"/>
          <w:sz w:val="20"/>
          <w:szCs w:val="20"/>
          <w:rtl/>
        </w:rPr>
        <w:t>בחתיכה</w:t>
      </w:r>
      <w:r w:rsidRPr="0005716F">
        <w:rPr>
          <w:rFonts w:cs="Arial"/>
          <w:sz w:val="20"/>
          <w:szCs w:val="20"/>
          <w:rtl/>
        </w:rPr>
        <w:t xml:space="preserve">; </w:t>
      </w:r>
      <w:r w:rsidRPr="0005716F">
        <w:rPr>
          <w:rFonts w:cs="Arial" w:hint="cs"/>
          <w:sz w:val="20"/>
          <w:szCs w:val="20"/>
          <w:rtl/>
        </w:rPr>
        <w:t>מר</w:t>
      </w:r>
      <w:r w:rsidRPr="0005716F">
        <w:rPr>
          <w:rFonts w:cs="Arial"/>
          <w:sz w:val="20"/>
          <w:szCs w:val="20"/>
          <w:rtl/>
        </w:rPr>
        <w:t xml:space="preserve"> </w:t>
      </w:r>
      <w:r w:rsidRPr="0005716F">
        <w:rPr>
          <w:rFonts w:cs="Arial" w:hint="cs"/>
          <w:sz w:val="20"/>
          <w:szCs w:val="20"/>
          <w:rtl/>
        </w:rPr>
        <w:t>סבר</w:t>
      </w:r>
      <w:r w:rsidRPr="0005716F">
        <w:rPr>
          <w:rFonts w:cs="Arial"/>
          <w:sz w:val="20"/>
          <w:szCs w:val="20"/>
          <w:rtl/>
        </w:rPr>
        <w:t xml:space="preserve"> </w:t>
      </w:r>
      <w:r w:rsidRPr="0005716F">
        <w:rPr>
          <w:rFonts w:cs="Arial" w:hint="cs"/>
          <w:sz w:val="20"/>
          <w:szCs w:val="20"/>
          <w:rtl/>
        </w:rPr>
        <w:t>דרכה</w:t>
      </w:r>
      <w:r w:rsidRPr="0005716F">
        <w:rPr>
          <w:rFonts w:cs="Arial"/>
          <w:sz w:val="20"/>
          <w:szCs w:val="20"/>
          <w:rtl/>
        </w:rPr>
        <w:t xml:space="preserve"> </w:t>
      </w:r>
      <w:r w:rsidRPr="0005716F">
        <w:rPr>
          <w:rFonts w:cs="Arial" w:hint="cs"/>
          <w:sz w:val="20"/>
          <w:szCs w:val="20"/>
          <w:rtl/>
        </w:rPr>
        <w:t>של</w:t>
      </w:r>
      <w:r w:rsidRPr="0005716F">
        <w:rPr>
          <w:rFonts w:cs="Arial"/>
          <w:sz w:val="20"/>
          <w:szCs w:val="20"/>
          <w:rtl/>
        </w:rPr>
        <w:t xml:space="preserve"> </w:t>
      </w:r>
      <w:r w:rsidRPr="0005716F">
        <w:rPr>
          <w:rFonts w:cs="Arial" w:hint="cs"/>
          <w:sz w:val="20"/>
          <w:szCs w:val="20"/>
          <w:rtl/>
        </w:rPr>
        <w:t>אשה</w:t>
      </w:r>
      <w:r w:rsidRPr="0005716F">
        <w:rPr>
          <w:rFonts w:cs="Arial"/>
          <w:sz w:val="20"/>
          <w:szCs w:val="20"/>
          <w:rtl/>
        </w:rPr>
        <w:t xml:space="preserve"> </w:t>
      </w:r>
      <w:r w:rsidRPr="0005716F">
        <w:rPr>
          <w:rFonts w:cs="Arial" w:hint="cs"/>
          <w:sz w:val="20"/>
          <w:szCs w:val="20"/>
          <w:rtl/>
        </w:rPr>
        <w:t>לראות</w:t>
      </w:r>
      <w:r w:rsidRPr="0005716F">
        <w:rPr>
          <w:rFonts w:cs="Arial"/>
          <w:sz w:val="20"/>
          <w:szCs w:val="20"/>
          <w:rtl/>
        </w:rPr>
        <w:t xml:space="preserve"> </w:t>
      </w:r>
      <w:r w:rsidRPr="0005716F">
        <w:rPr>
          <w:rFonts w:cs="Arial" w:hint="cs"/>
          <w:sz w:val="20"/>
          <w:szCs w:val="20"/>
          <w:rtl/>
        </w:rPr>
        <w:t>דם</w:t>
      </w:r>
      <w:r w:rsidRPr="0005716F">
        <w:rPr>
          <w:rFonts w:cs="Arial"/>
          <w:sz w:val="20"/>
          <w:szCs w:val="20"/>
          <w:rtl/>
        </w:rPr>
        <w:t xml:space="preserve"> </w:t>
      </w:r>
      <w:r w:rsidRPr="0005716F">
        <w:rPr>
          <w:rFonts w:cs="Arial" w:hint="cs"/>
          <w:sz w:val="20"/>
          <w:szCs w:val="20"/>
          <w:rtl/>
        </w:rPr>
        <w:t>בחתיכה</w:t>
      </w:r>
      <w:r w:rsidRPr="0005716F">
        <w:rPr>
          <w:rFonts w:cs="Arial"/>
          <w:sz w:val="20"/>
          <w:szCs w:val="20"/>
          <w:rtl/>
        </w:rPr>
        <w:t xml:space="preserve">, </w:t>
      </w:r>
      <w:r w:rsidRPr="0005716F">
        <w:rPr>
          <w:rFonts w:cs="Arial" w:hint="cs"/>
          <w:sz w:val="20"/>
          <w:szCs w:val="20"/>
          <w:rtl/>
        </w:rPr>
        <w:t>ומר</w:t>
      </w:r>
      <w:r w:rsidRPr="0005716F">
        <w:rPr>
          <w:rFonts w:cs="Arial"/>
          <w:sz w:val="20"/>
          <w:szCs w:val="20"/>
          <w:rtl/>
        </w:rPr>
        <w:t xml:space="preserve"> </w:t>
      </w:r>
      <w:r w:rsidRPr="0005716F">
        <w:rPr>
          <w:rFonts w:cs="Arial" w:hint="cs"/>
          <w:sz w:val="20"/>
          <w:szCs w:val="20"/>
          <w:rtl/>
        </w:rPr>
        <w:t>סבר</w:t>
      </w:r>
      <w:r w:rsidRPr="0005716F">
        <w:rPr>
          <w:rFonts w:cs="Arial"/>
          <w:sz w:val="20"/>
          <w:szCs w:val="20"/>
          <w:rtl/>
        </w:rPr>
        <w:t xml:space="preserve"> </w:t>
      </w:r>
      <w:r w:rsidRPr="0005716F">
        <w:rPr>
          <w:rFonts w:cs="Arial" w:hint="cs"/>
          <w:sz w:val="20"/>
          <w:szCs w:val="20"/>
          <w:rtl/>
        </w:rPr>
        <w:t>אין</w:t>
      </w:r>
      <w:r w:rsidRPr="0005716F">
        <w:rPr>
          <w:rFonts w:cs="Arial"/>
          <w:sz w:val="20"/>
          <w:szCs w:val="20"/>
          <w:rtl/>
        </w:rPr>
        <w:t xml:space="preserve"> </w:t>
      </w:r>
      <w:r w:rsidRPr="0005716F">
        <w:rPr>
          <w:rFonts w:cs="Arial" w:hint="cs"/>
          <w:sz w:val="20"/>
          <w:szCs w:val="20"/>
          <w:rtl/>
        </w:rPr>
        <w:t>דרכה</w:t>
      </w:r>
      <w:r w:rsidRPr="0005716F">
        <w:rPr>
          <w:rFonts w:cs="Arial"/>
          <w:sz w:val="20"/>
          <w:szCs w:val="20"/>
          <w:rtl/>
        </w:rPr>
        <w:t xml:space="preserve"> </w:t>
      </w:r>
      <w:r w:rsidRPr="0005716F">
        <w:rPr>
          <w:rFonts w:cs="Arial" w:hint="cs"/>
          <w:sz w:val="20"/>
          <w:szCs w:val="20"/>
          <w:rtl/>
        </w:rPr>
        <w:t>של</w:t>
      </w:r>
      <w:r w:rsidRPr="0005716F">
        <w:rPr>
          <w:rFonts w:cs="Arial"/>
          <w:sz w:val="20"/>
          <w:szCs w:val="20"/>
          <w:rtl/>
        </w:rPr>
        <w:t xml:space="preserve"> </w:t>
      </w:r>
      <w:r w:rsidRPr="0005716F">
        <w:rPr>
          <w:rFonts w:cs="Arial" w:hint="cs"/>
          <w:sz w:val="20"/>
          <w:szCs w:val="20"/>
          <w:rtl/>
        </w:rPr>
        <w:t>אשה</w:t>
      </w:r>
      <w:r w:rsidRPr="0005716F">
        <w:rPr>
          <w:rFonts w:cs="Arial"/>
          <w:sz w:val="20"/>
          <w:szCs w:val="20"/>
          <w:rtl/>
        </w:rPr>
        <w:t xml:space="preserve"> </w:t>
      </w:r>
      <w:r w:rsidRPr="0005716F">
        <w:rPr>
          <w:rFonts w:cs="Arial" w:hint="cs"/>
          <w:sz w:val="20"/>
          <w:szCs w:val="20"/>
          <w:rtl/>
        </w:rPr>
        <w:t>לראות</w:t>
      </w:r>
      <w:r w:rsidRPr="0005716F">
        <w:rPr>
          <w:rFonts w:cs="Arial"/>
          <w:sz w:val="20"/>
          <w:szCs w:val="20"/>
          <w:rtl/>
        </w:rPr>
        <w:t xml:space="preserve"> </w:t>
      </w:r>
      <w:r w:rsidRPr="0005716F">
        <w:rPr>
          <w:rFonts w:cs="Arial" w:hint="cs"/>
          <w:sz w:val="20"/>
          <w:szCs w:val="20"/>
          <w:rtl/>
        </w:rPr>
        <w:t>דם</w:t>
      </w:r>
      <w:r w:rsidRPr="0005716F">
        <w:rPr>
          <w:rFonts w:cs="Arial"/>
          <w:sz w:val="20"/>
          <w:szCs w:val="20"/>
          <w:rtl/>
        </w:rPr>
        <w:t xml:space="preserve"> </w:t>
      </w:r>
      <w:r w:rsidRPr="0005716F">
        <w:rPr>
          <w:rFonts w:cs="Arial" w:hint="cs"/>
          <w:sz w:val="20"/>
          <w:szCs w:val="20"/>
          <w:rtl/>
        </w:rPr>
        <w:t>בחתיכה</w:t>
      </w:r>
      <w:r>
        <w:rPr>
          <w:rFonts w:cs="Arial" w:hint="cs"/>
          <w:sz w:val="20"/>
          <w:szCs w:val="20"/>
          <w:rtl/>
        </w:rPr>
        <w:t>"</w:t>
      </w:r>
      <w:r w:rsidRPr="0005716F">
        <w:rPr>
          <w:rFonts w:cs="Arial"/>
          <w:sz w:val="20"/>
          <w:szCs w:val="20"/>
          <w:rtl/>
        </w:rPr>
        <w:t>.</w:t>
      </w:r>
    </w:p>
    <w:p w:rsidR="00620060" w:rsidRDefault="00620060" w:rsidP="00620060">
      <w:pPr>
        <w:rPr>
          <w:sz w:val="20"/>
          <w:szCs w:val="20"/>
          <w:rtl/>
        </w:rPr>
      </w:pPr>
      <w:r w:rsidRPr="00A74A9A">
        <w:rPr>
          <w:rFonts w:hint="cs"/>
          <w:b/>
          <w:bCs/>
          <w:sz w:val="20"/>
          <w:szCs w:val="20"/>
          <w:rtl/>
        </w:rPr>
        <w:t>מחלוקת רש"י ור"ש</w:t>
      </w:r>
      <w:r w:rsidRPr="00A74A9A">
        <w:rPr>
          <w:rFonts w:hint="cs"/>
          <w:sz w:val="20"/>
          <w:szCs w:val="20"/>
          <w:rtl/>
        </w:rPr>
        <w:t xml:space="preserve"> </w:t>
      </w:r>
      <w:r w:rsidRPr="00A74A9A">
        <w:rPr>
          <w:rFonts w:hint="cs"/>
          <w:b/>
          <w:bCs/>
          <w:sz w:val="20"/>
          <w:szCs w:val="20"/>
          <w:rtl/>
        </w:rPr>
        <w:t>בדם בחתיכה</w:t>
      </w:r>
      <w:r>
        <w:rPr>
          <w:rFonts w:hint="cs"/>
          <w:sz w:val="20"/>
          <w:szCs w:val="20"/>
          <w:u w:val="single"/>
          <w:rtl/>
        </w:rPr>
        <w:br/>
      </w:r>
      <w:r>
        <w:rPr>
          <w:rFonts w:hint="cs"/>
          <w:sz w:val="20"/>
          <w:szCs w:val="20"/>
          <w:rtl/>
        </w:rPr>
        <w:t>נחלקו רש"י ור"ש מהו טעם חכמים שמטהרים דם פלי פלויי:</w:t>
      </w:r>
      <w:r>
        <w:rPr>
          <w:sz w:val="20"/>
          <w:szCs w:val="20"/>
          <w:u w:val="single"/>
          <w:rtl/>
        </w:rPr>
        <w:br/>
      </w:r>
      <w:r>
        <w:rPr>
          <w:rFonts w:hint="cs"/>
          <w:sz w:val="20"/>
          <w:szCs w:val="20"/>
          <w:rtl/>
        </w:rPr>
        <w:t xml:space="preserve">א. </w:t>
      </w:r>
      <w:r w:rsidRPr="00B94C23">
        <w:rPr>
          <w:rFonts w:hint="cs"/>
          <w:b/>
          <w:bCs/>
          <w:sz w:val="20"/>
          <w:szCs w:val="20"/>
          <w:rtl/>
        </w:rPr>
        <w:t>רש"י</w:t>
      </w:r>
      <w:r>
        <w:rPr>
          <w:rFonts w:hint="cs"/>
          <w:sz w:val="20"/>
          <w:szCs w:val="20"/>
          <w:rtl/>
        </w:rPr>
        <w:t xml:space="preserve"> </w:t>
      </w:r>
      <w:r>
        <w:rPr>
          <w:sz w:val="20"/>
          <w:szCs w:val="20"/>
          <w:rtl/>
        </w:rPr>
        <w:t>–</w:t>
      </w:r>
      <w:r>
        <w:rPr>
          <w:rFonts w:hint="cs"/>
          <w:sz w:val="20"/>
          <w:szCs w:val="20"/>
          <w:rtl/>
        </w:rPr>
        <w:t xml:space="preserve"> אין זה דם נידה אלא דם חתיכה.</w:t>
      </w:r>
      <w:r>
        <w:rPr>
          <w:sz w:val="20"/>
          <w:szCs w:val="20"/>
          <w:rtl/>
        </w:rPr>
        <w:br/>
      </w:r>
      <w:r>
        <w:rPr>
          <w:rFonts w:hint="cs"/>
          <w:sz w:val="20"/>
          <w:szCs w:val="20"/>
          <w:rtl/>
        </w:rPr>
        <w:t xml:space="preserve">ב. </w:t>
      </w:r>
      <w:r w:rsidRPr="00B94C23">
        <w:rPr>
          <w:rFonts w:hint="cs"/>
          <w:b/>
          <w:bCs/>
          <w:sz w:val="20"/>
          <w:szCs w:val="20"/>
          <w:rtl/>
        </w:rPr>
        <w:t>ר"ש</w:t>
      </w:r>
      <w:r>
        <w:rPr>
          <w:rFonts w:hint="cs"/>
          <w:sz w:val="20"/>
          <w:szCs w:val="20"/>
          <w:rtl/>
        </w:rPr>
        <w:t xml:space="preserve"> </w:t>
      </w:r>
      <w:r>
        <w:rPr>
          <w:sz w:val="20"/>
          <w:szCs w:val="20"/>
          <w:rtl/>
        </w:rPr>
        <w:t>–</w:t>
      </w:r>
      <w:r>
        <w:rPr>
          <w:rFonts w:hint="cs"/>
          <w:sz w:val="20"/>
          <w:szCs w:val="20"/>
          <w:rtl/>
        </w:rPr>
        <w:t xml:space="preserve"> אין דרך נשים לראות כך, וכ"פ </w:t>
      </w:r>
      <w:r w:rsidRPr="004B41B0">
        <w:rPr>
          <w:rFonts w:hint="cs"/>
          <w:b/>
          <w:bCs/>
          <w:sz w:val="20"/>
          <w:szCs w:val="20"/>
          <w:rtl/>
        </w:rPr>
        <w:t>המחבר</w:t>
      </w:r>
      <w:r>
        <w:rPr>
          <w:rFonts w:hint="cs"/>
          <w:sz w:val="20"/>
          <w:szCs w:val="20"/>
          <w:rtl/>
        </w:rPr>
        <w:t>.</w:t>
      </w:r>
    </w:p>
    <w:p w:rsidR="00620060" w:rsidRDefault="00620060" w:rsidP="00620060">
      <w:pPr>
        <w:rPr>
          <w:sz w:val="20"/>
          <w:szCs w:val="20"/>
          <w:rtl/>
        </w:rPr>
      </w:pPr>
      <w:r>
        <w:rPr>
          <w:rFonts w:hint="cs"/>
          <w:sz w:val="20"/>
          <w:szCs w:val="20"/>
          <w:u w:val="single"/>
          <w:rtl/>
        </w:rPr>
        <w:t xml:space="preserve">נפקא מינה </w:t>
      </w:r>
      <w:r w:rsidRPr="00B94C23">
        <w:rPr>
          <w:rFonts w:hint="cs"/>
          <w:sz w:val="20"/>
          <w:szCs w:val="20"/>
          <w:u w:val="single"/>
          <w:rtl/>
        </w:rPr>
        <w:t>במחלוקת זו (ב"ח)</w:t>
      </w:r>
      <w:r>
        <w:rPr>
          <w:sz w:val="20"/>
          <w:szCs w:val="20"/>
          <w:rtl/>
        </w:rPr>
        <w:br/>
      </w:r>
      <w:r>
        <w:rPr>
          <w:rFonts w:hint="cs"/>
          <w:sz w:val="20"/>
          <w:szCs w:val="20"/>
          <w:rtl/>
        </w:rPr>
        <w:t>אם ראתה דם נידה ודאי בבקעים שבחתיכה:</w:t>
      </w:r>
      <w:r>
        <w:rPr>
          <w:sz w:val="20"/>
          <w:szCs w:val="20"/>
          <w:rtl/>
        </w:rPr>
        <w:br/>
      </w:r>
      <w:r>
        <w:rPr>
          <w:rFonts w:hint="cs"/>
          <w:sz w:val="20"/>
          <w:szCs w:val="20"/>
          <w:rtl/>
        </w:rPr>
        <w:t xml:space="preserve">א. </w:t>
      </w:r>
      <w:r w:rsidRPr="00D777F3">
        <w:rPr>
          <w:rFonts w:hint="cs"/>
          <w:b/>
          <w:bCs/>
          <w:sz w:val="20"/>
          <w:szCs w:val="20"/>
          <w:rtl/>
        </w:rPr>
        <w:t>רש"י</w:t>
      </w:r>
      <w:r>
        <w:rPr>
          <w:rFonts w:hint="cs"/>
          <w:sz w:val="20"/>
          <w:szCs w:val="20"/>
          <w:rtl/>
        </w:rPr>
        <w:t xml:space="preserve"> </w:t>
      </w:r>
      <w:r>
        <w:rPr>
          <w:sz w:val="20"/>
          <w:szCs w:val="20"/>
          <w:rtl/>
        </w:rPr>
        <w:t>–</w:t>
      </w:r>
      <w:r>
        <w:rPr>
          <w:rFonts w:hint="cs"/>
          <w:sz w:val="20"/>
          <w:szCs w:val="20"/>
          <w:rtl/>
        </w:rPr>
        <w:t xml:space="preserve"> טמאה, וכ"פ </w:t>
      </w:r>
      <w:r w:rsidRPr="00A74A9A">
        <w:rPr>
          <w:rFonts w:hint="cs"/>
          <w:b/>
          <w:bCs/>
          <w:sz w:val="20"/>
          <w:szCs w:val="20"/>
          <w:rtl/>
        </w:rPr>
        <w:t>הב"ח</w:t>
      </w:r>
      <w:r>
        <w:rPr>
          <w:rFonts w:hint="cs"/>
          <w:sz w:val="20"/>
          <w:szCs w:val="20"/>
          <w:rtl/>
        </w:rPr>
        <w:t xml:space="preserve">.  </w:t>
      </w:r>
      <w:r>
        <w:rPr>
          <w:sz w:val="20"/>
          <w:szCs w:val="20"/>
          <w:rtl/>
        </w:rPr>
        <w:br/>
      </w:r>
      <w:r>
        <w:rPr>
          <w:rFonts w:hint="cs"/>
          <w:sz w:val="20"/>
          <w:szCs w:val="20"/>
          <w:rtl/>
        </w:rPr>
        <w:t xml:space="preserve">ב. </w:t>
      </w:r>
      <w:r w:rsidRPr="00D777F3">
        <w:rPr>
          <w:rFonts w:hint="cs"/>
          <w:b/>
          <w:bCs/>
          <w:sz w:val="20"/>
          <w:szCs w:val="20"/>
          <w:rtl/>
        </w:rPr>
        <w:t>ר"ש</w:t>
      </w:r>
      <w:r>
        <w:rPr>
          <w:rFonts w:hint="cs"/>
          <w:sz w:val="20"/>
          <w:szCs w:val="20"/>
          <w:rtl/>
        </w:rPr>
        <w:t xml:space="preserve"> </w:t>
      </w:r>
      <w:r>
        <w:rPr>
          <w:sz w:val="20"/>
          <w:szCs w:val="20"/>
          <w:rtl/>
        </w:rPr>
        <w:t>–</w:t>
      </w:r>
      <w:r>
        <w:rPr>
          <w:rFonts w:hint="cs"/>
          <w:sz w:val="20"/>
          <w:szCs w:val="20"/>
          <w:rtl/>
        </w:rPr>
        <w:t xml:space="preserve"> טהורה, וכ"פ </w:t>
      </w:r>
      <w:r w:rsidRPr="00A74A9A">
        <w:rPr>
          <w:rFonts w:hint="cs"/>
          <w:b/>
          <w:bCs/>
          <w:sz w:val="20"/>
          <w:szCs w:val="20"/>
          <w:rtl/>
        </w:rPr>
        <w:t>המחבר</w:t>
      </w:r>
      <w:r>
        <w:rPr>
          <w:rFonts w:hint="cs"/>
          <w:sz w:val="20"/>
          <w:szCs w:val="20"/>
          <w:rtl/>
        </w:rPr>
        <w:t>.</w:t>
      </w:r>
      <w:r>
        <w:rPr>
          <w:sz w:val="20"/>
          <w:szCs w:val="20"/>
          <w:rtl/>
        </w:rPr>
        <w:br/>
      </w:r>
      <w:r>
        <w:rPr>
          <w:sz w:val="20"/>
          <w:szCs w:val="20"/>
          <w:rtl/>
        </w:rPr>
        <w:br/>
      </w:r>
      <w:r>
        <w:rPr>
          <w:rFonts w:hint="cs"/>
          <w:b/>
          <w:bCs/>
          <w:sz w:val="20"/>
          <w:szCs w:val="20"/>
          <w:rtl/>
        </w:rPr>
        <w:t>פסיקת הלכה</w:t>
      </w:r>
      <w:r>
        <w:rPr>
          <w:b/>
          <w:bCs/>
          <w:sz w:val="20"/>
          <w:szCs w:val="20"/>
          <w:rtl/>
        </w:rPr>
        <w:br/>
      </w:r>
      <w:r>
        <w:rPr>
          <w:rFonts w:hint="cs"/>
          <w:sz w:val="20"/>
          <w:szCs w:val="20"/>
          <w:rtl/>
        </w:rPr>
        <w:t xml:space="preserve">א. </w:t>
      </w:r>
      <w:r>
        <w:rPr>
          <w:rFonts w:hint="cs"/>
          <w:b/>
          <w:bCs/>
          <w:sz w:val="20"/>
          <w:szCs w:val="20"/>
          <w:rtl/>
        </w:rPr>
        <w:t xml:space="preserve">שולחן ערוך </w:t>
      </w:r>
      <w:r>
        <w:rPr>
          <w:sz w:val="20"/>
          <w:szCs w:val="20"/>
          <w:rtl/>
        </w:rPr>
        <w:t>–</w:t>
      </w:r>
      <w:r>
        <w:rPr>
          <w:rFonts w:hint="cs"/>
          <w:sz w:val="20"/>
          <w:szCs w:val="20"/>
          <w:rtl/>
        </w:rPr>
        <w:t xml:space="preserve"> "</w:t>
      </w:r>
      <w:r w:rsidRPr="00665DDE">
        <w:rPr>
          <w:rFonts w:cs="Arial" w:hint="cs"/>
          <w:sz w:val="20"/>
          <w:szCs w:val="20"/>
          <w:rtl/>
        </w:rPr>
        <w:t>וכן</w:t>
      </w:r>
      <w:r w:rsidRPr="00665DDE">
        <w:rPr>
          <w:rFonts w:cs="Arial"/>
          <w:sz w:val="20"/>
          <w:szCs w:val="20"/>
          <w:rtl/>
        </w:rPr>
        <w:t xml:space="preserve"> </w:t>
      </w:r>
      <w:r w:rsidRPr="00665DDE">
        <w:rPr>
          <w:rFonts w:cs="Arial" w:hint="cs"/>
          <w:sz w:val="20"/>
          <w:szCs w:val="20"/>
          <w:rtl/>
        </w:rPr>
        <w:t>אם</w:t>
      </w:r>
      <w:r w:rsidRPr="00665DDE">
        <w:rPr>
          <w:rFonts w:cs="Arial"/>
          <w:sz w:val="20"/>
          <w:szCs w:val="20"/>
          <w:rtl/>
        </w:rPr>
        <w:t xml:space="preserve"> </w:t>
      </w:r>
      <w:r w:rsidRPr="00665DDE">
        <w:rPr>
          <w:rFonts w:cs="Arial" w:hint="cs"/>
          <w:sz w:val="20"/>
          <w:szCs w:val="20"/>
          <w:rtl/>
        </w:rPr>
        <w:t>ראתה</w:t>
      </w:r>
      <w:r w:rsidRPr="00665DDE">
        <w:rPr>
          <w:rFonts w:cs="Arial"/>
          <w:sz w:val="20"/>
          <w:szCs w:val="20"/>
          <w:rtl/>
        </w:rPr>
        <w:t xml:space="preserve"> </w:t>
      </w:r>
      <w:r w:rsidRPr="00665DDE">
        <w:rPr>
          <w:rFonts w:cs="Arial" w:hint="cs"/>
          <w:sz w:val="20"/>
          <w:szCs w:val="20"/>
          <w:rtl/>
        </w:rPr>
        <w:t>דם</w:t>
      </w:r>
      <w:r w:rsidRPr="00665DDE">
        <w:rPr>
          <w:rFonts w:cs="Arial"/>
          <w:sz w:val="20"/>
          <w:szCs w:val="20"/>
          <w:rtl/>
        </w:rPr>
        <w:t xml:space="preserve"> </w:t>
      </w:r>
      <w:r w:rsidRPr="00665DDE">
        <w:rPr>
          <w:rFonts w:cs="Arial" w:hint="cs"/>
          <w:sz w:val="20"/>
          <w:szCs w:val="20"/>
          <w:rtl/>
        </w:rPr>
        <w:t>בחתיכה</w:t>
      </w:r>
      <w:r w:rsidRPr="00665DDE">
        <w:rPr>
          <w:rFonts w:cs="Arial"/>
          <w:sz w:val="20"/>
          <w:szCs w:val="20"/>
          <w:rtl/>
        </w:rPr>
        <w:t xml:space="preserve">, </w:t>
      </w:r>
      <w:r w:rsidRPr="00665DDE">
        <w:rPr>
          <w:rFonts w:cs="Arial" w:hint="cs"/>
          <w:sz w:val="20"/>
          <w:szCs w:val="20"/>
          <w:rtl/>
        </w:rPr>
        <w:t>אפילו</w:t>
      </w:r>
      <w:r w:rsidRPr="00665DDE">
        <w:rPr>
          <w:rFonts w:cs="Arial"/>
          <w:sz w:val="20"/>
          <w:szCs w:val="20"/>
          <w:rtl/>
        </w:rPr>
        <w:t xml:space="preserve"> </w:t>
      </w:r>
      <w:r w:rsidRPr="00665DDE">
        <w:rPr>
          <w:rFonts w:cs="Arial" w:hint="cs"/>
          <w:sz w:val="20"/>
          <w:szCs w:val="20"/>
          <w:rtl/>
        </w:rPr>
        <w:t>היא</w:t>
      </w:r>
      <w:r w:rsidRPr="00665DDE">
        <w:rPr>
          <w:rFonts w:cs="Arial"/>
          <w:sz w:val="20"/>
          <w:szCs w:val="20"/>
          <w:rtl/>
        </w:rPr>
        <w:t xml:space="preserve"> </w:t>
      </w:r>
      <w:r w:rsidRPr="00665DDE">
        <w:rPr>
          <w:rFonts w:cs="Arial" w:hint="cs"/>
          <w:sz w:val="20"/>
          <w:szCs w:val="20"/>
          <w:rtl/>
        </w:rPr>
        <w:t>מבוקעת</w:t>
      </w:r>
      <w:r w:rsidRPr="00665DDE">
        <w:rPr>
          <w:rFonts w:cs="Arial"/>
          <w:sz w:val="20"/>
          <w:szCs w:val="20"/>
          <w:rtl/>
        </w:rPr>
        <w:t xml:space="preserve"> </w:t>
      </w:r>
      <w:r w:rsidRPr="00665DDE">
        <w:rPr>
          <w:rFonts w:cs="Arial" w:hint="cs"/>
          <w:sz w:val="20"/>
          <w:szCs w:val="20"/>
          <w:rtl/>
        </w:rPr>
        <w:t>והדם</w:t>
      </w:r>
      <w:r w:rsidRPr="00665DDE">
        <w:rPr>
          <w:rFonts w:cs="Arial"/>
          <w:sz w:val="20"/>
          <w:szCs w:val="20"/>
          <w:rtl/>
        </w:rPr>
        <w:t xml:space="preserve"> </w:t>
      </w:r>
      <w:r w:rsidRPr="00665DDE">
        <w:rPr>
          <w:rFonts w:cs="Arial" w:hint="cs"/>
          <w:sz w:val="20"/>
          <w:szCs w:val="20"/>
          <w:rtl/>
        </w:rPr>
        <w:t>בבקעים</w:t>
      </w:r>
      <w:r w:rsidRPr="00665DDE">
        <w:rPr>
          <w:rFonts w:cs="Arial"/>
          <w:sz w:val="20"/>
          <w:szCs w:val="20"/>
          <w:rtl/>
        </w:rPr>
        <w:t xml:space="preserve">, </w:t>
      </w:r>
      <w:r w:rsidRPr="00665DDE">
        <w:rPr>
          <w:rFonts w:cs="Arial" w:hint="cs"/>
          <w:sz w:val="20"/>
          <w:szCs w:val="20"/>
          <w:rtl/>
        </w:rPr>
        <w:t>בענין</w:t>
      </w:r>
      <w:r w:rsidRPr="00665DDE">
        <w:rPr>
          <w:rFonts w:cs="Arial"/>
          <w:sz w:val="20"/>
          <w:szCs w:val="20"/>
          <w:rtl/>
        </w:rPr>
        <w:t xml:space="preserve"> </w:t>
      </w:r>
      <w:r w:rsidRPr="00665DDE">
        <w:rPr>
          <w:rFonts w:cs="Arial" w:hint="cs"/>
          <w:sz w:val="20"/>
          <w:szCs w:val="20"/>
          <w:rtl/>
        </w:rPr>
        <w:t>שנוגע</w:t>
      </w:r>
      <w:r w:rsidRPr="00665DDE">
        <w:rPr>
          <w:rFonts w:cs="Arial"/>
          <w:sz w:val="20"/>
          <w:szCs w:val="20"/>
          <w:rtl/>
        </w:rPr>
        <w:t xml:space="preserve"> </w:t>
      </w:r>
      <w:r w:rsidRPr="00665DDE">
        <w:rPr>
          <w:rFonts w:cs="Arial" w:hint="cs"/>
          <w:sz w:val="20"/>
          <w:szCs w:val="20"/>
          <w:rtl/>
        </w:rPr>
        <w:t>בבשרה</w:t>
      </w:r>
      <w:r w:rsidRPr="00665DDE">
        <w:rPr>
          <w:rFonts w:cs="Arial"/>
          <w:sz w:val="20"/>
          <w:szCs w:val="20"/>
          <w:rtl/>
        </w:rPr>
        <w:t xml:space="preserve">, </w:t>
      </w:r>
      <w:r w:rsidRPr="00665DDE">
        <w:rPr>
          <w:rFonts w:cs="Arial" w:hint="cs"/>
          <w:sz w:val="20"/>
          <w:szCs w:val="20"/>
          <w:rtl/>
        </w:rPr>
        <w:lastRenderedPageBreak/>
        <w:t>טהורה</w:t>
      </w:r>
      <w:r w:rsidRPr="00665DDE">
        <w:rPr>
          <w:rFonts w:cs="Arial"/>
          <w:sz w:val="20"/>
          <w:szCs w:val="20"/>
          <w:rtl/>
        </w:rPr>
        <w:t xml:space="preserve">, </w:t>
      </w:r>
      <w:r w:rsidRPr="00665DDE">
        <w:rPr>
          <w:rFonts w:cs="Arial" w:hint="cs"/>
          <w:sz w:val="20"/>
          <w:szCs w:val="20"/>
          <w:rtl/>
        </w:rPr>
        <w:t>כיון</w:t>
      </w:r>
      <w:r w:rsidRPr="00665DDE">
        <w:rPr>
          <w:rFonts w:cs="Arial"/>
          <w:sz w:val="20"/>
          <w:szCs w:val="20"/>
          <w:rtl/>
        </w:rPr>
        <w:t xml:space="preserve"> </w:t>
      </w:r>
      <w:r w:rsidRPr="00665DDE">
        <w:rPr>
          <w:rFonts w:cs="Arial" w:hint="cs"/>
          <w:sz w:val="20"/>
          <w:szCs w:val="20"/>
          <w:rtl/>
        </w:rPr>
        <w:t>שאין</w:t>
      </w:r>
      <w:r w:rsidRPr="00665DDE">
        <w:rPr>
          <w:rFonts w:cs="Arial"/>
          <w:sz w:val="20"/>
          <w:szCs w:val="20"/>
          <w:rtl/>
        </w:rPr>
        <w:t xml:space="preserve"> </w:t>
      </w:r>
      <w:r w:rsidRPr="00665DDE">
        <w:rPr>
          <w:rFonts w:cs="Arial" w:hint="cs"/>
          <w:sz w:val="20"/>
          <w:szCs w:val="20"/>
          <w:rtl/>
        </w:rPr>
        <w:t>דרך</w:t>
      </w:r>
      <w:r w:rsidRPr="00665DDE">
        <w:rPr>
          <w:rFonts w:cs="Arial"/>
          <w:sz w:val="20"/>
          <w:szCs w:val="20"/>
          <w:rtl/>
        </w:rPr>
        <w:t xml:space="preserve"> </w:t>
      </w:r>
      <w:r w:rsidRPr="00665DDE">
        <w:rPr>
          <w:rFonts w:cs="Arial" w:hint="cs"/>
          <w:sz w:val="20"/>
          <w:szCs w:val="20"/>
          <w:rtl/>
        </w:rPr>
        <w:t>לראות</w:t>
      </w:r>
      <w:r w:rsidRPr="00665DDE">
        <w:rPr>
          <w:rFonts w:cs="Arial"/>
          <w:sz w:val="20"/>
          <w:szCs w:val="20"/>
          <w:rtl/>
        </w:rPr>
        <w:t xml:space="preserve"> </w:t>
      </w:r>
      <w:r w:rsidRPr="00665DDE">
        <w:rPr>
          <w:rFonts w:cs="Arial" w:hint="cs"/>
          <w:sz w:val="20"/>
          <w:szCs w:val="20"/>
          <w:rtl/>
        </w:rPr>
        <w:t>כן</w:t>
      </w:r>
      <w:r>
        <w:rPr>
          <w:rFonts w:cs="Arial" w:hint="cs"/>
          <w:sz w:val="20"/>
          <w:szCs w:val="20"/>
          <w:rtl/>
        </w:rPr>
        <w:t>".</w:t>
      </w:r>
      <w:r>
        <w:rPr>
          <w:sz w:val="20"/>
          <w:szCs w:val="20"/>
          <w:rtl/>
        </w:rPr>
        <w:br/>
      </w:r>
      <w:r>
        <w:rPr>
          <w:rFonts w:hint="cs"/>
          <w:sz w:val="20"/>
          <w:szCs w:val="20"/>
          <w:rtl/>
        </w:rPr>
        <w:t xml:space="preserve">ב. </w:t>
      </w:r>
      <w:r w:rsidRPr="00031CAC">
        <w:rPr>
          <w:rFonts w:hint="cs"/>
          <w:b/>
          <w:bCs/>
          <w:sz w:val="20"/>
          <w:szCs w:val="20"/>
          <w:rtl/>
        </w:rPr>
        <w:t>ב"ח</w:t>
      </w:r>
      <w:r>
        <w:rPr>
          <w:rFonts w:hint="cs"/>
          <w:sz w:val="20"/>
          <w:szCs w:val="20"/>
          <w:rtl/>
        </w:rPr>
        <w:t xml:space="preserve"> </w:t>
      </w:r>
      <w:r>
        <w:rPr>
          <w:sz w:val="20"/>
          <w:szCs w:val="20"/>
          <w:rtl/>
        </w:rPr>
        <w:t>–</w:t>
      </w:r>
      <w:r>
        <w:rPr>
          <w:rFonts w:hint="cs"/>
          <w:sz w:val="20"/>
          <w:szCs w:val="20"/>
          <w:rtl/>
        </w:rPr>
        <w:t xml:space="preserve"> יש להחמיר כרש"י ולטמא אשה שראתה דם בבקעים של החתיכה, שמא זה דם נידה.</w:t>
      </w:r>
      <w:r>
        <w:rPr>
          <w:rStyle w:val="a5"/>
          <w:sz w:val="20"/>
          <w:szCs w:val="20"/>
          <w:rtl/>
        </w:rPr>
        <w:footnoteReference w:id="154"/>
      </w:r>
    </w:p>
    <w:p w:rsidR="00620060" w:rsidRDefault="00620060" w:rsidP="00620060">
      <w:pPr>
        <w:rPr>
          <w:sz w:val="20"/>
          <w:szCs w:val="20"/>
          <w:u w:val="single"/>
          <w:rtl/>
        </w:rPr>
      </w:pPr>
      <w:r w:rsidRPr="00FE1406">
        <w:rPr>
          <w:rStyle w:val="10"/>
          <w:rFonts w:hint="cs"/>
          <w:sz w:val="24"/>
          <w:szCs w:val="24"/>
          <w:rtl/>
        </w:rPr>
        <w:t xml:space="preserve">ג. </w:t>
      </w:r>
      <w:r>
        <w:rPr>
          <w:rStyle w:val="10"/>
          <w:rFonts w:hint="cs"/>
          <w:sz w:val="24"/>
          <w:szCs w:val="24"/>
          <w:rtl/>
        </w:rPr>
        <w:t>אשה ש</w:t>
      </w:r>
      <w:r w:rsidRPr="00FE1406">
        <w:rPr>
          <w:rStyle w:val="10"/>
          <w:rFonts w:hint="cs"/>
          <w:sz w:val="24"/>
          <w:szCs w:val="24"/>
          <w:rtl/>
        </w:rPr>
        <w:t>נעקר מקורה</w:t>
      </w:r>
      <w:r>
        <w:rPr>
          <w:b/>
          <w:bCs/>
          <w:sz w:val="20"/>
          <w:szCs w:val="20"/>
          <w:rtl/>
        </w:rPr>
        <w:br/>
      </w:r>
      <w:r w:rsidRPr="00F56546">
        <w:rPr>
          <w:rFonts w:hint="cs"/>
          <w:b/>
          <w:bCs/>
          <w:sz w:val="20"/>
          <w:szCs w:val="20"/>
          <w:rtl/>
        </w:rPr>
        <w:t>הוראת רבינו שמשון לאשה שנעקר מקורה</w:t>
      </w:r>
      <w:r>
        <w:rPr>
          <w:sz w:val="20"/>
          <w:szCs w:val="20"/>
          <w:u w:val="single"/>
          <w:rtl/>
        </w:rPr>
        <w:br/>
      </w:r>
      <w:r>
        <w:rPr>
          <w:rFonts w:hint="cs"/>
          <w:sz w:val="20"/>
          <w:szCs w:val="20"/>
          <w:rtl/>
        </w:rPr>
        <w:t>מכיוון שרבינו שמשון סובר שדם שאשה רואה והוא בא לה שלא כדרכה טהורה, הקל גם במקרה הבא:</w:t>
      </w:r>
      <w:r>
        <w:rPr>
          <w:rFonts w:hint="cs"/>
          <w:sz w:val="20"/>
          <w:szCs w:val="20"/>
          <w:u w:val="single"/>
          <w:rtl/>
        </w:rPr>
        <w:br/>
      </w:r>
      <w:r>
        <w:rPr>
          <w:rFonts w:hint="cs"/>
          <w:sz w:val="20"/>
          <w:szCs w:val="20"/>
          <w:rtl/>
        </w:rPr>
        <w:t xml:space="preserve">זו לשון </w:t>
      </w:r>
      <w:r w:rsidRPr="00374CDE">
        <w:rPr>
          <w:rFonts w:hint="cs"/>
          <w:b/>
          <w:bCs/>
          <w:sz w:val="20"/>
          <w:szCs w:val="20"/>
          <w:rtl/>
        </w:rPr>
        <w:t>הרא"ש</w:t>
      </w:r>
      <w:r>
        <w:rPr>
          <w:rFonts w:hint="cs"/>
          <w:sz w:val="20"/>
          <w:szCs w:val="20"/>
          <w:rtl/>
        </w:rPr>
        <w:t xml:space="preserve"> </w:t>
      </w:r>
      <w:r>
        <w:rPr>
          <w:sz w:val="20"/>
          <w:szCs w:val="20"/>
          <w:rtl/>
        </w:rPr>
        <w:t>–</w:t>
      </w:r>
      <w:r>
        <w:rPr>
          <w:rFonts w:hint="cs"/>
          <w:sz w:val="20"/>
          <w:szCs w:val="20"/>
          <w:rtl/>
        </w:rPr>
        <w:t xml:space="preserve"> "</w:t>
      </w:r>
      <w:r w:rsidRPr="00374CDE">
        <w:rPr>
          <w:rFonts w:cs="Arial" w:hint="cs"/>
          <w:sz w:val="20"/>
          <w:szCs w:val="20"/>
          <w:rtl/>
        </w:rPr>
        <w:t>וכן</w:t>
      </w:r>
      <w:r w:rsidRPr="00374CDE">
        <w:rPr>
          <w:rFonts w:cs="Arial"/>
          <w:sz w:val="20"/>
          <w:szCs w:val="20"/>
          <w:rtl/>
        </w:rPr>
        <w:t xml:space="preserve"> </w:t>
      </w:r>
      <w:r w:rsidRPr="00374CDE">
        <w:rPr>
          <w:rFonts w:cs="Arial" w:hint="cs"/>
          <w:sz w:val="20"/>
          <w:szCs w:val="20"/>
          <w:rtl/>
        </w:rPr>
        <w:t>עשה</w:t>
      </w:r>
      <w:r w:rsidRPr="00374CDE">
        <w:rPr>
          <w:rFonts w:cs="Arial"/>
          <w:sz w:val="20"/>
          <w:szCs w:val="20"/>
          <w:rtl/>
        </w:rPr>
        <w:t xml:space="preserve"> </w:t>
      </w:r>
      <w:r w:rsidRPr="00374CDE">
        <w:rPr>
          <w:rFonts w:cs="Arial" w:hint="cs"/>
          <w:sz w:val="20"/>
          <w:szCs w:val="20"/>
          <w:rtl/>
        </w:rPr>
        <w:t>מעשה</w:t>
      </w:r>
      <w:r w:rsidRPr="00374CDE">
        <w:rPr>
          <w:rFonts w:cs="Arial"/>
          <w:sz w:val="20"/>
          <w:szCs w:val="20"/>
          <w:rtl/>
        </w:rPr>
        <w:t xml:space="preserve"> </w:t>
      </w:r>
      <w:r w:rsidRPr="00374CDE">
        <w:rPr>
          <w:rFonts w:cs="Arial" w:hint="cs"/>
          <w:sz w:val="20"/>
          <w:szCs w:val="20"/>
          <w:rtl/>
        </w:rPr>
        <w:t>רבינו</w:t>
      </w:r>
      <w:r w:rsidRPr="00374CDE">
        <w:rPr>
          <w:rFonts w:cs="Arial"/>
          <w:sz w:val="20"/>
          <w:szCs w:val="20"/>
          <w:rtl/>
        </w:rPr>
        <w:t xml:space="preserve"> </w:t>
      </w:r>
      <w:r w:rsidRPr="00374CDE">
        <w:rPr>
          <w:rFonts w:cs="Arial" w:hint="cs"/>
          <w:sz w:val="20"/>
          <w:szCs w:val="20"/>
          <w:rtl/>
        </w:rPr>
        <w:t>שמשון</w:t>
      </w:r>
      <w:r w:rsidRPr="00374CDE">
        <w:rPr>
          <w:rFonts w:cs="Arial"/>
          <w:sz w:val="20"/>
          <w:szCs w:val="20"/>
          <w:rtl/>
        </w:rPr>
        <w:t xml:space="preserve"> </w:t>
      </w:r>
      <w:r w:rsidRPr="00374CDE">
        <w:rPr>
          <w:rFonts w:cs="Arial" w:hint="cs"/>
          <w:sz w:val="20"/>
          <w:szCs w:val="20"/>
          <w:rtl/>
        </w:rPr>
        <w:t>באשה</w:t>
      </w:r>
      <w:r w:rsidRPr="00374CDE">
        <w:rPr>
          <w:rFonts w:cs="Arial"/>
          <w:sz w:val="20"/>
          <w:szCs w:val="20"/>
          <w:rtl/>
        </w:rPr>
        <w:t xml:space="preserve"> </w:t>
      </w:r>
      <w:r w:rsidRPr="00374CDE">
        <w:rPr>
          <w:rFonts w:cs="Arial" w:hint="cs"/>
          <w:sz w:val="20"/>
          <w:szCs w:val="20"/>
          <w:rtl/>
        </w:rPr>
        <w:t>שנעקר</w:t>
      </w:r>
      <w:r w:rsidRPr="00374CDE">
        <w:rPr>
          <w:rFonts w:cs="Arial"/>
          <w:sz w:val="20"/>
          <w:szCs w:val="20"/>
          <w:rtl/>
        </w:rPr>
        <w:t xml:space="preserve"> </w:t>
      </w:r>
      <w:r w:rsidRPr="00374CDE">
        <w:rPr>
          <w:rFonts w:cs="Arial" w:hint="cs"/>
          <w:sz w:val="20"/>
          <w:szCs w:val="20"/>
          <w:rtl/>
        </w:rPr>
        <w:t>מקור</w:t>
      </w:r>
      <w:r w:rsidRPr="00374CDE">
        <w:rPr>
          <w:rFonts w:cs="Arial"/>
          <w:sz w:val="20"/>
          <w:szCs w:val="20"/>
          <w:rtl/>
        </w:rPr>
        <w:t xml:space="preserve"> </w:t>
      </w:r>
      <w:r w:rsidRPr="00374CDE">
        <w:rPr>
          <w:rFonts w:cs="Arial" w:hint="cs"/>
          <w:sz w:val="20"/>
          <w:szCs w:val="20"/>
          <w:rtl/>
        </w:rPr>
        <w:t>שלה</w:t>
      </w:r>
      <w:r>
        <w:rPr>
          <w:rFonts w:cs="Arial" w:hint="cs"/>
          <w:sz w:val="20"/>
          <w:szCs w:val="20"/>
          <w:rtl/>
        </w:rPr>
        <w:t>,</w:t>
      </w:r>
      <w:r w:rsidRPr="00374CDE">
        <w:rPr>
          <w:rFonts w:cs="Arial"/>
          <w:sz w:val="20"/>
          <w:szCs w:val="20"/>
          <w:rtl/>
        </w:rPr>
        <w:t xml:space="preserve"> </w:t>
      </w:r>
      <w:r w:rsidRPr="00374CDE">
        <w:rPr>
          <w:rFonts w:cs="Arial" w:hint="cs"/>
          <w:sz w:val="20"/>
          <w:szCs w:val="20"/>
          <w:rtl/>
        </w:rPr>
        <w:t>וכמין</w:t>
      </w:r>
      <w:r w:rsidRPr="00374CDE">
        <w:rPr>
          <w:rFonts w:cs="Arial"/>
          <w:sz w:val="20"/>
          <w:szCs w:val="20"/>
          <w:rtl/>
        </w:rPr>
        <w:t xml:space="preserve"> </w:t>
      </w:r>
      <w:r w:rsidRPr="00374CDE">
        <w:rPr>
          <w:rFonts w:cs="Arial" w:hint="cs"/>
          <w:sz w:val="20"/>
          <w:szCs w:val="20"/>
          <w:rtl/>
        </w:rPr>
        <w:t>חתיכות</w:t>
      </w:r>
      <w:r w:rsidRPr="00374CDE">
        <w:rPr>
          <w:rFonts w:cs="Arial"/>
          <w:sz w:val="20"/>
          <w:szCs w:val="20"/>
          <w:rtl/>
        </w:rPr>
        <w:t xml:space="preserve"> </w:t>
      </w:r>
      <w:r w:rsidRPr="00374CDE">
        <w:rPr>
          <w:rFonts w:cs="Arial" w:hint="cs"/>
          <w:sz w:val="20"/>
          <w:szCs w:val="20"/>
          <w:rtl/>
        </w:rPr>
        <w:t>בשר</w:t>
      </w:r>
      <w:r w:rsidRPr="00374CDE">
        <w:rPr>
          <w:rFonts w:cs="Arial"/>
          <w:sz w:val="20"/>
          <w:szCs w:val="20"/>
          <w:rtl/>
        </w:rPr>
        <w:t xml:space="preserve"> </w:t>
      </w:r>
      <w:r w:rsidRPr="00374CDE">
        <w:rPr>
          <w:rFonts w:cs="Arial" w:hint="cs"/>
          <w:sz w:val="20"/>
          <w:szCs w:val="20"/>
          <w:rtl/>
        </w:rPr>
        <w:t>היה</w:t>
      </w:r>
      <w:r w:rsidRPr="00374CDE">
        <w:rPr>
          <w:rFonts w:cs="Arial"/>
          <w:sz w:val="20"/>
          <w:szCs w:val="20"/>
          <w:rtl/>
        </w:rPr>
        <w:t xml:space="preserve"> </w:t>
      </w:r>
      <w:r w:rsidRPr="00374CDE">
        <w:rPr>
          <w:rFonts w:cs="Arial" w:hint="cs"/>
          <w:sz w:val="20"/>
          <w:szCs w:val="20"/>
          <w:rtl/>
        </w:rPr>
        <w:t>נופל</w:t>
      </w:r>
      <w:r w:rsidRPr="00374CDE">
        <w:rPr>
          <w:rFonts w:cs="Arial"/>
          <w:sz w:val="20"/>
          <w:szCs w:val="20"/>
          <w:rtl/>
        </w:rPr>
        <w:t xml:space="preserve"> </w:t>
      </w:r>
      <w:r w:rsidRPr="00374CDE">
        <w:rPr>
          <w:rFonts w:cs="Arial" w:hint="cs"/>
          <w:sz w:val="20"/>
          <w:szCs w:val="20"/>
          <w:rtl/>
        </w:rPr>
        <w:t>לה</w:t>
      </w:r>
      <w:r w:rsidRPr="00374CDE">
        <w:rPr>
          <w:rFonts w:cs="Arial"/>
          <w:sz w:val="20"/>
          <w:szCs w:val="20"/>
          <w:rtl/>
        </w:rPr>
        <w:t xml:space="preserve"> </w:t>
      </w:r>
      <w:r w:rsidRPr="00374CDE">
        <w:rPr>
          <w:rFonts w:cs="Arial" w:hint="cs"/>
          <w:sz w:val="20"/>
          <w:szCs w:val="20"/>
          <w:rtl/>
        </w:rPr>
        <w:t>בבית</w:t>
      </w:r>
      <w:r w:rsidRPr="00374CDE">
        <w:rPr>
          <w:rFonts w:cs="Arial"/>
          <w:sz w:val="20"/>
          <w:szCs w:val="20"/>
          <w:rtl/>
        </w:rPr>
        <w:t xml:space="preserve"> </w:t>
      </w:r>
      <w:r w:rsidRPr="00374CDE">
        <w:rPr>
          <w:rFonts w:cs="Arial" w:hint="cs"/>
          <w:sz w:val="20"/>
          <w:szCs w:val="20"/>
          <w:rtl/>
        </w:rPr>
        <w:t>החיצון</w:t>
      </w:r>
      <w:r>
        <w:rPr>
          <w:rFonts w:cs="Arial" w:hint="cs"/>
          <w:sz w:val="20"/>
          <w:szCs w:val="20"/>
          <w:rtl/>
        </w:rPr>
        <w:t>.</w:t>
      </w:r>
      <w:r w:rsidRPr="00374CDE">
        <w:rPr>
          <w:rFonts w:cs="Arial"/>
          <w:sz w:val="20"/>
          <w:szCs w:val="20"/>
          <w:rtl/>
        </w:rPr>
        <w:t xml:space="preserve"> </w:t>
      </w:r>
      <w:r w:rsidRPr="00374CDE">
        <w:rPr>
          <w:rFonts w:cs="Arial" w:hint="cs"/>
          <w:sz w:val="20"/>
          <w:szCs w:val="20"/>
          <w:rtl/>
        </w:rPr>
        <w:t>וטיהר</w:t>
      </w:r>
      <w:r w:rsidRPr="00374CDE">
        <w:rPr>
          <w:rFonts w:cs="Arial"/>
          <w:sz w:val="20"/>
          <w:szCs w:val="20"/>
          <w:rtl/>
        </w:rPr>
        <w:t xml:space="preserve"> </w:t>
      </w:r>
      <w:r w:rsidRPr="00374CDE">
        <w:rPr>
          <w:rFonts w:cs="Arial" w:hint="cs"/>
          <w:sz w:val="20"/>
          <w:szCs w:val="20"/>
          <w:rtl/>
        </w:rPr>
        <w:t>אותה</w:t>
      </w:r>
      <w:r w:rsidRPr="00374CDE">
        <w:rPr>
          <w:rFonts w:cs="Arial"/>
          <w:sz w:val="20"/>
          <w:szCs w:val="20"/>
          <w:rtl/>
        </w:rPr>
        <w:t xml:space="preserve"> </w:t>
      </w:r>
      <w:r w:rsidRPr="00374CDE">
        <w:rPr>
          <w:rFonts w:cs="Arial" w:hint="cs"/>
          <w:sz w:val="20"/>
          <w:szCs w:val="20"/>
          <w:rtl/>
        </w:rPr>
        <w:t>לבעלה</w:t>
      </w:r>
      <w:r w:rsidRPr="00374CDE">
        <w:rPr>
          <w:rFonts w:cs="Arial"/>
          <w:sz w:val="20"/>
          <w:szCs w:val="20"/>
          <w:rtl/>
        </w:rPr>
        <w:t xml:space="preserve"> </w:t>
      </w:r>
      <w:r w:rsidRPr="00374CDE">
        <w:rPr>
          <w:rFonts w:cs="Arial" w:hint="cs"/>
          <w:sz w:val="20"/>
          <w:szCs w:val="20"/>
          <w:rtl/>
        </w:rPr>
        <w:t>כיון</w:t>
      </w:r>
      <w:r w:rsidRPr="00374CDE">
        <w:rPr>
          <w:rFonts w:cs="Arial"/>
          <w:sz w:val="20"/>
          <w:szCs w:val="20"/>
          <w:rtl/>
        </w:rPr>
        <w:t xml:space="preserve"> </w:t>
      </w:r>
      <w:r w:rsidRPr="00374CDE">
        <w:rPr>
          <w:rFonts w:cs="Arial" w:hint="cs"/>
          <w:sz w:val="20"/>
          <w:szCs w:val="20"/>
          <w:rtl/>
        </w:rPr>
        <w:t>שאין</w:t>
      </w:r>
      <w:r w:rsidRPr="00374CDE">
        <w:rPr>
          <w:rFonts w:cs="Arial"/>
          <w:sz w:val="20"/>
          <w:szCs w:val="20"/>
          <w:rtl/>
        </w:rPr>
        <w:t xml:space="preserve"> </w:t>
      </w:r>
      <w:r w:rsidRPr="00374CDE">
        <w:rPr>
          <w:rFonts w:cs="Arial" w:hint="cs"/>
          <w:sz w:val="20"/>
          <w:szCs w:val="20"/>
          <w:rtl/>
        </w:rPr>
        <w:t>דרך</w:t>
      </w:r>
      <w:r w:rsidRPr="00374CDE">
        <w:rPr>
          <w:rFonts w:cs="Arial"/>
          <w:sz w:val="20"/>
          <w:szCs w:val="20"/>
          <w:rtl/>
        </w:rPr>
        <w:t xml:space="preserve"> </w:t>
      </w:r>
      <w:r w:rsidRPr="00374CDE">
        <w:rPr>
          <w:rFonts w:cs="Arial" w:hint="cs"/>
          <w:sz w:val="20"/>
          <w:szCs w:val="20"/>
          <w:rtl/>
        </w:rPr>
        <w:t>נשים</w:t>
      </w:r>
      <w:r w:rsidRPr="00374CDE">
        <w:rPr>
          <w:rFonts w:cs="Arial"/>
          <w:sz w:val="20"/>
          <w:szCs w:val="20"/>
          <w:rtl/>
        </w:rPr>
        <w:t xml:space="preserve"> </w:t>
      </w:r>
      <w:r w:rsidRPr="00374CDE">
        <w:rPr>
          <w:rFonts w:cs="Arial" w:hint="cs"/>
          <w:sz w:val="20"/>
          <w:szCs w:val="20"/>
          <w:rtl/>
        </w:rPr>
        <w:t>לראות</w:t>
      </w:r>
      <w:r w:rsidRPr="00374CDE">
        <w:rPr>
          <w:rFonts w:cs="Arial"/>
          <w:sz w:val="20"/>
          <w:szCs w:val="20"/>
          <w:rtl/>
        </w:rPr>
        <w:t xml:space="preserve"> </w:t>
      </w:r>
      <w:r w:rsidRPr="00374CDE">
        <w:rPr>
          <w:rFonts w:cs="Arial" w:hint="cs"/>
          <w:sz w:val="20"/>
          <w:szCs w:val="20"/>
          <w:rtl/>
        </w:rPr>
        <w:t>כך</w:t>
      </w:r>
      <w:r>
        <w:rPr>
          <w:rFonts w:cs="Arial" w:hint="cs"/>
          <w:sz w:val="20"/>
          <w:szCs w:val="20"/>
          <w:rtl/>
        </w:rPr>
        <w:t>".</w:t>
      </w:r>
    </w:p>
    <w:p w:rsidR="00620060" w:rsidRDefault="00620060" w:rsidP="00620060">
      <w:pPr>
        <w:rPr>
          <w:sz w:val="20"/>
          <w:szCs w:val="20"/>
          <w:rtl/>
        </w:rPr>
      </w:pPr>
      <w:r w:rsidRPr="00FE1406">
        <w:rPr>
          <w:rFonts w:hint="cs"/>
          <w:sz w:val="20"/>
          <w:szCs w:val="20"/>
          <w:u w:val="single"/>
          <w:rtl/>
        </w:rPr>
        <w:t xml:space="preserve">האם ראתה דם </w:t>
      </w:r>
      <w:r>
        <w:rPr>
          <w:rFonts w:hint="cs"/>
          <w:sz w:val="20"/>
          <w:szCs w:val="20"/>
          <w:u w:val="single"/>
          <w:rtl/>
        </w:rPr>
        <w:t xml:space="preserve">רק </w:t>
      </w:r>
      <w:r w:rsidRPr="00FE1406">
        <w:rPr>
          <w:rFonts w:hint="cs"/>
          <w:sz w:val="20"/>
          <w:szCs w:val="20"/>
          <w:u w:val="single"/>
          <w:rtl/>
        </w:rPr>
        <w:t>בחתיכה או ראתה דם להדיא?</w:t>
      </w:r>
      <w:r>
        <w:rPr>
          <w:rFonts w:hint="cs"/>
          <w:sz w:val="20"/>
          <w:szCs w:val="20"/>
          <w:u w:val="single"/>
          <w:rtl/>
        </w:rPr>
        <w:br/>
      </w:r>
      <w:r>
        <w:rPr>
          <w:rFonts w:hint="cs"/>
          <w:sz w:val="20"/>
          <w:szCs w:val="20"/>
          <w:rtl/>
        </w:rPr>
        <w:t xml:space="preserve">א. משמע </w:t>
      </w:r>
      <w:r w:rsidRPr="00FE1406">
        <w:rPr>
          <w:rFonts w:hint="cs"/>
          <w:b/>
          <w:bCs/>
          <w:sz w:val="20"/>
          <w:szCs w:val="20"/>
          <w:rtl/>
        </w:rPr>
        <w:t>ברא"ש</w:t>
      </w:r>
      <w:r>
        <w:rPr>
          <w:rFonts w:hint="cs"/>
          <w:sz w:val="20"/>
          <w:szCs w:val="20"/>
          <w:rtl/>
        </w:rPr>
        <w:t xml:space="preserve"> </w:t>
      </w:r>
      <w:r>
        <w:rPr>
          <w:sz w:val="20"/>
          <w:szCs w:val="20"/>
          <w:rtl/>
        </w:rPr>
        <w:t>–</w:t>
      </w:r>
      <w:r>
        <w:rPr>
          <w:rFonts w:hint="cs"/>
          <w:sz w:val="20"/>
          <w:szCs w:val="20"/>
          <w:rtl/>
        </w:rPr>
        <w:t xml:space="preserve"> לא ראתה דם להדיא, אלא בחתיכות עצמן היה דם ובכה"ג בלבד טיהר ר"ש.</w:t>
      </w:r>
      <w:r>
        <w:rPr>
          <w:sz w:val="20"/>
          <w:szCs w:val="20"/>
          <w:rtl/>
        </w:rPr>
        <w:br/>
      </w:r>
      <w:r>
        <w:rPr>
          <w:rFonts w:hint="cs"/>
          <w:sz w:val="20"/>
          <w:szCs w:val="20"/>
          <w:rtl/>
        </w:rPr>
        <w:t xml:space="preserve">ב. משמע </w:t>
      </w:r>
      <w:r w:rsidRPr="00FE1406">
        <w:rPr>
          <w:rFonts w:hint="cs"/>
          <w:b/>
          <w:bCs/>
          <w:sz w:val="20"/>
          <w:szCs w:val="20"/>
          <w:rtl/>
        </w:rPr>
        <w:t>בטור</w:t>
      </w:r>
      <w:r>
        <w:rPr>
          <w:rFonts w:hint="cs"/>
          <w:sz w:val="20"/>
          <w:szCs w:val="20"/>
          <w:rtl/>
        </w:rPr>
        <w:t xml:space="preserve"> </w:t>
      </w:r>
      <w:r>
        <w:rPr>
          <w:sz w:val="20"/>
          <w:szCs w:val="20"/>
          <w:rtl/>
        </w:rPr>
        <w:t>–</w:t>
      </w:r>
      <w:r>
        <w:rPr>
          <w:rFonts w:hint="cs"/>
          <w:sz w:val="20"/>
          <w:szCs w:val="20"/>
          <w:rtl/>
        </w:rPr>
        <w:t xml:space="preserve"> ר"ש טיהר אפילו כשהיה דם יוצא ממנה להדיא, כיוון שהדם הגיע מהחתיכות.</w:t>
      </w:r>
    </w:p>
    <w:p w:rsidR="00620060" w:rsidRDefault="00620060" w:rsidP="00620060">
      <w:pPr>
        <w:rPr>
          <w:sz w:val="20"/>
          <w:szCs w:val="20"/>
          <w:rtl/>
        </w:rPr>
      </w:pPr>
      <w:r>
        <w:rPr>
          <w:rFonts w:hint="cs"/>
          <w:sz w:val="20"/>
          <w:szCs w:val="20"/>
          <w:u w:val="single"/>
          <w:rtl/>
        </w:rPr>
        <w:t>הכרעת הפוסקים</w:t>
      </w:r>
      <w:r>
        <w:rPr>
          <w:rFonts w:hint="cs"/>
          <w:sz w:val="20"/>
          <w:szCs w:val="20"/>
          <w:u w:val="single"/>
          <w:rtl/>
        </w:rPr>
        <w:br/>
      </w:r>
      <w:r>
        <w:rPr>
          <w:rFonts w:hint="cs"/>
          <w:sz w:val="20"/>
          <w:szCs w:val="20"/>
          <w:rtl/>
        </w:rPr>
        <w:t xml:space="preserve">א. </w:t>
      </w:r>
      <w:r w:rsidRPr="007059DD">
        <w:rPr>
          <w:rFonts w:hint="cs"/>
          <w:b/>
          <w:bCs/>
          <w:sz w:val="20"/>
          <w:szCs w:val="20"/>
          <w:rtl/>
        </w:rPr>
        <w:t xml:space="preserve">בית יוסף </w:t>
      </w:r>
      <w:r>
        <w:rPr>
          <w:sz w:val="20"/>
          <w:szCs w:val="20"/>
          <w:rtl/>
        </w:rPr>
        <w:t>–</w:t>
      </w:r>
      <w:r>
        <w:rPr>
          <w:rFonts w:hint="cs"/>
          <w:sz w:val="20"/>
          <w:szCs w:val="20"/>
          <w:rtl/>
        </w:rPr>
        <w:t xml:space="preserve"> יש לטהר רק דם בחתיכה.</w:t>
      </w:r>
      <w:r>
        <w:rPr>
          <w:sz w:val="20"/>
          <w:szCs w:val="20"/>
          <w:rtl/>
        </w:rPr>
        <w:br/>
      </w:r>
      <w:r>
        <w:rPr>
          <w:rFonts w:hint="cs"/>
          <w:sz w:val="20"/>
          <w:szCs w:val="20"/>
          <w:rtl/>
        </w:rPr>
        <w:t xml:space="preserve">ב. </w:t>
      </w:r>
      <w:r w:rsidRPr="007059DD">
        <w:rPr>
          <w:rFonts w:hint="cs"/>
          <w:b/>
          <w:bCs/>
          <w:sz w:val="20"/>
          <w:szCs w:val="20"/>
          <w:rtl/>
        </w:rPr>
        <w:t>דרכי משה</w:t>
      </w:r>
      <w:r>
        <w:rPr>
          <w:rFonts w:hint="cs"/>
          <w:sz w:val="20"/>
          <w:szCs w:val="20"/>
          <w:rtl/>
        </w:rPr>
        <w:t xml:space="preserve"> </w:t>
      </w:r>
      <w:r>
        <w:rPr>
          <w:sz w:val="20"/>
          <w:szCs w:val="20"/>
          <w:rtl/>
        </w:rPr>
        <w:t>–</w:t>
      </w:r>
      <w:r>
        <w:rPr>
          <w:rFonts w:hint="cs"/>
          <w:sz w:val="20"/>
          <w:szCs w:val="20"/>
          <w:rtl/>
        </w:rPr>
        <w:t xml:space="preserve"> יש לטהר גם דם שיוצא ממנה להדיא, תולים אותו במכה.</w:t>
      </w:r>
      <w:r>
        <w:rPr>
          <w:rStyle w:val="a5"/>
          <w:sz w:val="20"/>
          <w:szCs w:val="20"/>
          <w:rtl/>
        </w:rPr>
        <w:footnoteReference w:id="155"/>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sz w:val="20"/>
          <w:szCs w:val="20"/>
          <w:rtl/>
        </w:rPr>
        <w:t xml:space="preserve">א. </w:t>
      </w:r>
      <w:r>
        <w:rPr>
          <w:rFonts w:hint="cs"/>
          <w:b/>
          <w:bCs/>
          <w:sz w:val="20"/>
          <w:szCs w:val="20"/>
          <w:rtl/>
        </w:rPr>
        <w:t xml:space="preserve">שולחן ערוך </w:t>
      </w:r>
      <w:r>
        <w:rPr>
          <w:sz w:val="20"/>
          <w:szCs w:val="20"/>
          <w:rtl/>
        </w:rPr>
        <w:t>–</w:t>
      </w:r>
      <w:r>
        <w:rPr>
          <w:rFonts w:cs="Arial" w:hint="cs"/>
          <w:sz w:val="20"/>
          <w:szCs w:val="20"/>
          <w:rtl/>
        </w:rPr>
        <w:t xml:space="preserve"> "</w:t>
      </w:r>
      <w:r w:rsidRPr="00665DDE">
        <w:rPr>
          <w:rFonts w:cs="Arial" w:hint="cs"/>
          <w:sz w:val="20"/>
          <w:szCs w:val="20"/>
          <w:rtl/>
        </w:rPr>
        <w:t>וכן</w:t>
      </w:r>
      <w:r w:rsidRPr="00665DDE">
        <w:rPr>
          <w:rFonts w:cs="Arial"/>
          <w:sz w:val="20"/>
          <w:szCs w:val="20"/>
          <w:rtl/>
        </w:rPr>
        <w:t xml:space="preserve"> </w:t>
      </w:r>
      <w:r w:rsidRPr="00665DDE">
        <w:rPr>
          <w:rFonts w:cs="Arial" w:hint="cs"/>
          <w:sz w:val="20"/>
          <w:szCs w:val="20"/>
          <w:rtl/>
        </w:rPr>
        <w:t>אשה</w:t>
      </w:r>
      <w:r w:rsidRPr="00665DDE">
        <w:rPr>
          <w:rFonts w:cs="Arial"/>
          <w:sz w:val="20"/>
          <w:szCs w:val="20"/>
          <w:rtl/>
        </w:rPr>
        <w:t xml:space="preserve"> </w:t>
      </w:r>
      <w:r w:rsidRPr="00665DDE">
        <w:rPr>
          <w:rFonts w:cs="Arial" w:hint="cs"/>
          <w:sz w:val="20"/>
          <w:szCs w:val="20"/>
          <w:rtl/>
        </w:rPr>
        <w:t>שנעקר</w:t>
      </w:r>
      <w:r w:rsidRPr="00665DDE">
        <w:rPr>
          <w:rFonts w:cs="Arial"/>
          <w:sz w:val="20"/>
          <w:szCs w:val="20"/>
          <w:rtl/>
        </w:rPr>
        <w:t xml:space="preserve"> </w:t>
      </w:r>
      <w:r w:rsidRPr="00665DDE">
        <w:rPr>
          <w:rFonts w:cs="Arial" w:hint="cs"/>
          <w:sz w:val="20"/>
          <w:szCs w:val="20"/>
          <w:rtl/>
        </w:rPr>
        <w:t>מקור</w:t>
      </w:r>
      <w:r w:rsidRPr="00665DDE">
        <w:rPr>
          <w:rFonts w:cs="Arial"/>
          <w:sz w:val="20"/>
          <w:szCs w:val="20"/>
          <w:rtl/>
        </w:rPr>
        <w:t xml:space="preserve"> </w:t>
      </w:r>
      <w:r w:rsidRPr="00665DDE">
        <w:rPr>
          <w:rFonts w:cs="Arial" w:hint="cs"/>
          <w:sz w:val="20"/>
          <w:szCs w:val="20"/>
          <w:rtl/>
        </w:rPr>
        <w:t>שלה</w:t>
      </w:r>
      <w:r w:rsidRPr="00665DDE">
        <w:rPr>
          <w:rFonts w:cs="Arial"/>
          <w:sz w:val="20"/>
          <w:szCs w:val="20"/>
          <w:rtl/>
        </w:rPr>
        <w:t xml:space="preserve">, </w:t>
      </w:r>
      <w:r w:rsidRPr="00665DDE">
        <w:rPr>
          <w:rFonts w:cs="Arial" w:hint="cs"/>
          <w:sz w:val="20"/>
          <w:szCs w:val="20"/>
          <w:rtl/>
        </w:rPr>
        <w:t>וכמין</w:t>
      </w:r>
      <w:r w:rsidRPr="00665DDE">
        <w:rPr>
          <w:rFonts w:cs="Arial"/>
          <w:sz w:val="20"/>
          <w:szCs w:val="20"/>
          <w:rtl/>
        </w:rPr>
        <w:t xml:space="preserve"> </w:t>
      </w:r>
      <w:r w:rsidRPr="00665DDE">
        <w:rPr>
          <w:rFonts w:cs="Arial" w:hint="cs"/>
          <w:sz w:val="20"/>
          <w:szCs w:val="20"/>
          <w:rtl/>
        </w:rPr>
        <w:t>חתיכות</w:t>
      </w:r>
      <w:r w:rsidRPr="00665DDE">
        <w:rPr>
          <w:rFonts w:cs="Arial"/>
          <w:sz w:val="20"/>
          <w:szCs w:val="20"/>
          <w:rtl/>
        </w:rPr>
        <w:t xml:space="preserve"> </w:t>
      </w:r>
      <w:r w:rsidRPr="00665DDE">
        <w:rPr>
          <w:rFonts w:cs="Arial" w:hint="cs"/>
          <w:sz w:val="20"/>
          <w:szCs w:val="20"/>
          <w:rtl/>
        </w:rPr>
        <w:t>בשר</w:t>
      </w:r>
      <w:r w:rsidRPr="00665DDE">
        <w:rPr>
          <w:rFonts w:cs="Arial"/>
          <w:sz w:val="20"/>
          <w:szCs w:val="20"/>
          <w:rtl/>
        </w:rPr>
        <w:t xml:space="preserve"> </w:t>
      </w:r>
      <w:r w:rsidRPr="00665DDE">
        <w:rPr>
          <w:rFonts w:cs="Arial" w:hint="cs"/>
          <w:sz w:val="20"/>
          <w:szCs w:val="20"/>
          <w:rtl/>
        </w:rPr>
        <w:t>נופלים</w:t>
      </w:r>
      <w:r w:rsidRPr="00665DDE">
        <w:rPr>
          <w:rFonts w:cs="Arial"/>
          <w:sz w:val="20"/>
          <w:szCs w:val="20"/>
          <w:rtl/>
        </w:rPr>
        <w:t xml:space="preserve"> </w:t>
      </w:r>
      <w:r w:rsidRPr="00665DDE">
        <w:rPr>
          <w:rFonts w:cs="Arial" w:hint="cs"/>
          <w:sz w:val="20"/>
          <w:szCs w:val="20"/>
          <w:rtl/>
        </w:rPr>
        <w:t>בבית</w:t>
      </w:r>
      <w:r w:rsidRPr="00665DDE">
        <w:rPr>
          <w:rFonts w:cs="Arial"/>
          <w:sz w:val="20"/>
          <w:szCs w:val="20"/>
          <w:rtl/>
        </w:rPr>
        <w:t xml:space="preserve"> </w:t>
      </w:r>
      <w:r w:rsidRPr="00665DDE">
        <w:rPr>
          <w:rFonts w:cs="Arial" w:hint="cs"/>
          <w:sz w:val="20"/>
          <w:szCs w:val="20"/>
          <w:rtl/>
        </w:rPr>
        <w:t>החיצון</w:t>
      </w:r>
      <w:r w:rsidRPr="00665DDE">
        <w:rPr>
          <w:rFonts w:cs="Arial"/>
          <w:sz w:val="20"/>
          <w:szCs w:val="20"/>
          <w:rtl/>
        </w:rPr>
        <w:t xml:space="preserve">, </w:t>
      </w:r>
      <w:r w:rsidRPr="00665DDE">
        <w:rPr>
          <w:rFonts w:cs="Arial" w:hint="cs"/>
          <w:sz w:val="20"/>
          <w:szCs w:val="20"/>
          <w:rtl/>
        </w:rPr>
        <w:t>טהורה</w:t>
      </w:r>
      <w:r w:rsidRPr="00665DDE">
        <w:rPr>
          <w:rFonts w:cs="Arial"/>
          <w:sz w:val="20"/>
          <w:szCs w:val="20"/>
          <w:rtl/>
        </w:rPr>
        <w:t xml:space="preserve">. </w:t>
      </w:r>
      <w:r w:rsidRPr="00EC6AF8">
        <w:rPr>
          <w:rFonts w:cs="Arial" w:hint="cs"/>
          <w:sz w:val="20"/>
          <w:szCs w:val="20"/>
          <w:rtl/>
        </w:rPr>
        <w:t>והוא</w:t>
      </w:r>
      <w:r w:rsidRPr="00EC6AF8">
        <w:rPr>
          <w:rFonts w:cs="Arial"/>
          <w:sz w:val="20"/>
          <w:szCs w:val="20"/>
          <w:rtl/>
        </w:rPr>
        <w:t xml:space="preserve"> </w:t>
      </w:r>
      <w:r w:rsidRPr="00EC6AF8">
        <w:rPr>
          <w:rFonts w:cs="Arial" w:hint="cs"/>
          <w:sz w:val="20"/>
          <w:szCs w:val="20"/>
          <w:rtl/>
        </w:rPr>
        <w:t>שהטיל</w:t>
      </w:r>
      <w:r w:rsidRPr="00EC6AF8">
        <w:rPr>
          <w:rFonts w:cs="Arial"/>
          <w:sz w:val="20"/>
          <w:szCs w:val="20"/>
          <w:rtl/>
        </w:rPr>
        <w:t xml:space="preserve"> </w:t>
      </w:r>
      <w:r w:rsidRPr="00EC6AF8">
        <w:rPr>
          <w:rFonts w:cs="Arial" w:hint="cs"/>
          <w:sz w:val="20"/>
          <w:szCs w:val="20"/>
          <w:rtl/>
        </w:rPr>
        <w:t>החתיכות</w:t>
      </w:r>
      <w:r w:rsidRPr="00EC6AF8">
        <w:rPr>
          <w:rFonts w:cs="Arial"/>
          <w:sz w:val="20"/>
          <w:szCs w:val="20"/>
          <w:rtl/>
        </w:rPr>
        <w:t xml:space="preserve"> </w:t>
      </w:r>
      <w:r w:rsidRPr="00EC6AF8">
        <w:rPr>
          <w:rFonts w:cs="Arial" w:hint="cs"/>
          <w:sz w:val="20"/>
          <w:szCs w:val="20"/>
          <w:rtl/>
        </w:rPr>
        <w:t>במים</w:t>
      </w:r>
      <w:r w:rsidRPr="00EC6AF8">
        <w:rPr>
          <w:rFonts w:cs="Arial"/>
          <w:sz w:val="20"/>
          <w:szCs w:val="20"/>
          <w:rtl/>
        </w:rPr>
        <w:t xml:space="preserve"> </w:t>
      </w:r>
      <w:r w:rsidRPr="00EC6AF8">
        <w:rPr>
          <w:rFonts w:cs="Arial" w:hint="cs"/>
          <w:sz w:val="20"/>
          <w:szCs w:val="20"/>
          <w:rtl/>
        </w:rPr>
        <w:t>פושרין</w:t>
      </w:r>
      <w:r w:rsidRPr="00EC6AF8">
        <w:rPr>
          <w:rFonts w:cs="Arial"/>
          <w:sz w:val="20"/>
          <w:szCs w:val="20"/>
          <w:rtl/>
        </w:rPr>
        <w:t xml:space="preserve">, </w:t>
      </w:r>
      <w:r w:rsidRPr="00EC6AF8">
        <w:rPr>
          <w:rFonts w:cs="Arial" w:hint="cs"/>
          <w:sz w:val="20"/>
          <w:szCs w:val="20"/>
          <w:rtl/>
        </w:rPr>
        <w:t>ולא</w:t>
      </w:r>
      <w:r w:rsidRPr="00EC6AF8">
        <w:rPr>
          <w:rFonts w:cs="Arial"/>
          <w:sz w:val="20"/>
          <w:szCs w:val="20"/>
          <w:rtl/>
        </w:rPr>
        <w:t xml:space="preserve"> </w:t>
      </w:r>
      <w:r w:rsidRPr="00EC6AF8">
        <w:rPr>
          <w:rFonts w:cs="Arial" w:hint="cs"/>
          <w:sz w:val="20"/>
          <w:szCs w:val="20"/>
          <w:rtl/>
        </w:rPr>
        <w:t>נמוחו</w:t>
      </w:r>
      <w:r>
        <w:rPr>
          <w:rStyle w:val="a5"/>
          <w:rFonts w:cs="Arial"/>
          <w:sz w:val="20"/>
          <w:szCs w:val="20"/>
          <w:rtl/>
        </w:rPr>
        <w:footnoteReference w:id="156"/>
      </w:r>
      <w:r>
        <w:rPr>
          <w:rFonts w:cs="Arial" w:hint="cs"/>
          <w:sz w:val="20"/>
          <w:szCs w:val="20"/>
          <w:rtl/>
        </w:rPr>
        <w:t>".</w:t>
      </w:r>
      <w:r w:rsidRPr="00EC6AF8">
        <w:rPr>
          <w:rFonts w:cs="Arial" w:hint="cs"/>
          <w:sz w:val="18"/>
          <w:szCs w:val="18"/>
          <w:rtl/>
        </w:rPr>
        <w:t xml:space="preserve"> (די</w:t>
      </w:r>
      <w:r>
        <w:rPr>
          <w:rFonts w:cs="Arial" w:hint="cs"/>
          <w:sz w:val="18"/>
          <w:szCs w:val="18"/>
          <w:rtl/>
        </w:rPr>
        <w:t xml:space="preserve">ן </w:t>
      </w:r>
      <w:r w:rsidRPr="00EC6AF8">
        <w:rPr>
          <w:rFonts w:cs="Arial" w:hint="cs"/>
          <w:sz w:val="18"/>
          <w:szCs w:val="18"/>
          <w:rtl/>
        </w:rPr>
        <w:t>מיחוי החתיכה במים יבואר בסעיף הבא).</w:t>
      </w:r>
      <w:r>
        <w:rPr>
          <w:rFonts w:cs="Arial"/>
          <w:sz w:val="18"/>
          <w:szCs w:val="18"/>
          <w:rtl/>
        </w:rPr>
        <w:br/>
      </w:r>
      <w:r w:rsidRPr="008B0816">
        <w:rPr>
          <w:rFonts w:cs="Arial" w:hint="cs"/>
          <w:sz w:val="20"/>
          <w:szCs w:val="20"/>
          <w:rtl/>
        </w:rPr>
        <w:t xml:space="preserve">ב. </w:t>
      </w:r>
      <w:r w:rsidRPr="00EC6AF8">
        <w:rPr>
          <w:rFonts w:cs="Arial" w:hint="cs"/>
          <w:b/>
          <w:bCs/>
          <w:sz w:val="20"/>
          <w:szCs w:val="20"/>
          <w:rtl/>
        </w:rPr>
        <w:t xml:space="preserve">רמ"א </w:t>
      </w:r>
      <w:r>
        <w:rPr>
          <w:rFonts w:cs="Arial"/>
          <w:sz w:val="20"/>
          <w:szCs w:val="20"/>
          <w:rtl/>
        </w:rPr>
        <w:t>–</w:t>
      </w:r>
      <w:r>
        <w:rPr>
          <w:rFonts w:cs="Arial" w:hint="cs"/>
          <w:sz w:val="20"/>
          <w:szCs w:val="20"/>
          <w:rtl/>
        </w:rPr>
        <w:t xml:space="preserve"> </w:t>
      </w:r>
      <w:r>
        <w:rPr>
          <w:rFonts w:cs="Arial" w:hint="cs"/>
          <w:sz w:val="18"/>
          <w:szCs w:val="18"/>
          <w:rtl/>
        </w:rPr>
        <w:t>"</w:t>
      </w:r>
      <w:r w:rsidRPr="00665DDE">
        <w:rPr>
          <w:rFonts w:cs="Arial" w:hint="cs"/>
          <w:sz w:val="18"/>
          <w:szCs w:val="18"/>
          <w:rtl/>
        </w:rPr>
        <w:t>הגה</w:t>
      </w:r>
      <w:r w:rsidRPr="00665DDE">
        <w:rPr>
          <w:rFonts w:cs="Arial"/>
          <w:sz w:val="18"/>
          <w:szCs w:val="18"/>
          <w:rtl/>
        </w:rPr>
        <w:t xml:space="preserve">: </w:t>
      </w:r>
      <w:r w:rsidRPr="00665DDE">
        <w:rPr>
          <w:rFonts w:cs="Arial" w:hint="cs"/>
          <w:sz w:val="18"/>
          <w:szCs w:val="18"/>
          <w:rtl/>
        </w:rPr>
        <w:t>אפילו</w:t>
      </w:r>
      <w:r w:rsidRPr="00665DDE">
        <w:rPr>
          <w:rFonts w:cs="Arial"/>
          <w:sz w:val="18"/>
          <w:szCs w:val="18"/>
          <w:rtl/>
        </w:rPr>
        <w:t xml:space="preserve"> </w:t>
      </w:r>
      <w:r w:rsidRPr="00665DDE">
        <w:rPr>
          <w:rFonts w:cs="Arial" w:hint="cs"/>
          <w:sz w:val="18"/>
          <w:szCs w:val="18"/>
          <w:rtl/>
        </w:rPr>
        <w:t>ראתה</w:t>
      </w:r>
      <w:r w:rsidRPr="00665DDE">
        <w:rPr>
          <w:rFonts w:cs="Arial"/>
          <w:sz w:val="18"/>
          <w:szCs w:val="18"/>
          <w:rtl/>
        </w:rPr>
        <w:t xml:space="preserve"> </w:t>
      </w:r>
      <w:r w:rsidRPr="00665DDE">
        <w:rPr>
          <w:rFonts w:cs="Arial" w:hint="cs"/>
          <w:sz w:val="18"/>
          <w:szCs w:val="18"/>
          <w:rtl/>
        </w:rPr>
        <w:t>דם</w:t>
      </w:r>
      <w:r w:rsidRPr="00665DDE">
        <w:rPr>
          <w:rFonts w:cs="Arial"/>
          <w:sz w:val="18"/>
          <w:szCs w:val="18"/>
          <w:rtl/>
        </w:rPr>
        <w:t xml:space="preserve">, </w:t>
      </w:r>
      <w:r w:rsidRPr="00665DDE">
        <w:rPr>
          <w:rFonts w:cs="Arial" w:hint="cs"/>
          <w:sz w:val="18"/>
          <w:szCs w:val="18"/>
          <w:rtl/>
        </w:rPr>
        <w:t>כל</w:t>
      </w:r>
      <w:r w:rsidRPr="00665DDE">
        <w:rPr>
          <w:rFonts w:cs="Arial"/>
          <w:sz w:val="18"/>
          <w:szCs w:val="18"/>
          <w:rtl/>
        </w:rPr>
        <w:t xml:space="preserve"> </w:t>
      </w:r>
      <w:r w:rsidRPr="00665DDE">
        <w:rPr>
          <w:rFonts w:cs="Arial" w:hint="cs"/>
          <w:sz w:val="18"/>
          <w:szCs w:val="18"/>
          <w:rtl/>
        </w:rPr>
        <w:t>זמן</w:t>
      </w:r>
      <w:r w:rsidRPr="00665DDE">
        <w:rPr>
          <w:rFonts w:cs="Arial"/>
          <w:sz w:val="18"/>
          <w:szCs w:val="18"/>
          <w:rtl/>
        </w:rPr>
        <w:t xml:space="preserve"> </w:t>
      </w:r>
      <w:r w:rsidRPr="00665DDE">
        <w:rPr>
          <w:rFonts w:cs="Arial" w:hint="cs"/>
          <w:sz w:val="18"/>
          <w:szCs w:val="18"/>
          <w:rtl/>
        </w:rPr>
        <w:t>שהחתיכות</w:t>
      </w:r>
      <w:r w:rsidRPr="00665DDE">
        <w:rPr>
          <w:rFonts w:cs="Arial"/>
          <w:sz w:val="18"/>
          <w:szCs w:val="18"/>
          <w:rtl/>
        </w:rPr>
        <w:t xml:space="preserve"> </w:t>
      </w:r>
      <w:r w:rsidRPr="00665DDE">
        <w:rPr>
          <w:rFonts w:cs="Arial" w:hint="cs"/>
          <w:sz w:val="18"/>
          <w:szCs w:val="18"/>
          <w:rtl/>
        </w:rPr>
        <w:t>בבית</w:t>
      </w:r>
      <w:r w:rsidRPr="00665DDE">
        <w:rPr>
          <w:rFonts w:cs="Arial"/>
          <w:sz w:val="18"/>
          <w:szCs w:val="18"/>
          <w:rtl/>
        </w:rPr>
        <w:t xml:space="preserve"> </w:t>
      </w:r>
      <w:r w:rsidRPr="00665DDE">
        <w:rPr>
          <w:rFonts w:cs="Arial" w:hint="cs"/>
          <w:sz w:val="18"/>
          <w:szCs w:val="18"/>
          <w:rtl/>
        </w:rPr>
        <w:t>החיצון</w:t>
      </w:r>
      <w:r w:rsidRPr="00665DDE">
        <w:rPr>
          <w:rFonts w:cs="Arial"/>
          <w:sz w:val="18"/>
          <w:szCs w:val="18"/>
          <w:rtl/>
        </w:rPr>
        <w:t xml:space="preserve"> </w:t>
      </w:r>
      <w:r w:rsidRPr="00665DDE">
        <w:rPr>
          <w:rFonts w:cs="Arial" w:hint="cs"/>
          <w:sz w:val="18"/>
          <w:szCs w:val="18"/>
          <w:rtl/>
        </w:rPr>
        <w:t>שלה</w:t>
      </w:r>
      <w:r w:rsidRPr="00665DDE">
        <w:rPr>
          <w:rFonts w:cs="Arial"/>
          <w:sz w:val="18"/>
          <w:szCs w:val="18"/>
          <w:rtl/>
        </w:rPr>
        <w:t xml:space="preserve">, </w:t>
      </w:r>
      <w:r w:rsidRPr="00665DDE">
        <w:rPr>
          <w:rFonts w:cs="Arial" w:hint="cs"/>
          <w:sz w:val="18"/>
          <w:szCs w:val="18"/>
          <w:rtl/>
        </w:rPr>
        <w:t>טהורה</w:t>
      </w:r>
      <w:r w:rsidRPr="00665DDE">
        <w:rPr>
          <w:rFonts w:cs="Arial"/>
          <w:sz w:val="18"/>
          <w:szCs w:val="18"/>
          <w:rtl/>
        </w:rPr>
        <w:t xml:space="preserve">, </w:t>
      </w:r>
      <w:r w:rsidRPr="00665DDE">
        <w:rPr>
          <w:rFonts w:cs="Arial" w:hint="cs"/>
          <w:sz w:val="18"/>
          <w:szCs w:val="18"/>
          <w:rtl/>
        </w:rPr>
        <w:t>דתלינן</w:t>
      </w:r>
      <w:r w:rsidRPr="00665DDE">
        <w:rPr>
          <w:rFonts w:cs="Arial"/>
          <w:sz w:val="18"/>
          <w:szCs w:val="18"/>
          <w:rtl/>
        </w:rPr>
        <w:t xml:space="preserve"> </w:t>
      </w:r>
      <w:r w:rsidRPr="00665DDE">
        <w:rPr>
          <w:rFonts w:cs="Arial" w:hint="cs"/>
          <w:sz w:val="18"/>
          <w:szCs w:val="18"/>
          <w:rtl/>
        </w:rPr>
        <w:t>הדם</w:t>
      </w:r>
      <w:r w:rsidRPr="00665DDE">
        <w:rPr>
          <w:rFonts w:cs="Arial"/>
          <w:sz w:val="18"/>
          <w:szCs w:val="18"/>
          <w:rtl/>
        </w:rPr>
        <w:t xml:space="preserve"> </w:t>
      </w:r>
      <w:r w:rsidRPr="00665DDE">
        <w:rPr>
          <w:rFonts w:cs="Arial" w:hint="cs"/>
          <w:sz w:val="18"/>
          <w:szCs w:val="18"/>
          <w:rtl/>
        </w:rPr>
        <w:t>בחתיכה</w:t>
      </w:r>
      <w:r w:rsidRPr="00665DDE">
        <w:rPr>
          <w:rFonts w:cs="Arial"/>
          <w:sz w:val="18"/>
          <w:szCs w:val="18"/>
          <w:rtl/>
        </w:rPr>
        <w:t xml:space="preserve"> </w:t>
      </w:r>
      <w:r w:rsidRPr="00665DDE">
        <w:rPr>
          <w:rFonts w:cs="Arial" w:hint="cs"/>
          <w:sz w:val="18"/>
          <w:szCs w:val="18"/>
          <w:rtl/>
        </w:rPr>
        <w:t>זו</w:t>
      </w:r>
      <w:r w:rsidRPr="00665DDE">
        <w:rPr>
          <w:rFonts w:cs="Arial"/>
          <w:sz w:val="18"/>
          <w:szCs w:val="18"/>
          <w:rtl/>
        </w:rPr>
        <w:t xml:space="preserve">, </w:t>
      </w:r>
      <w:r w:rsidRPr="00665DDE">
        <w:rPr>
          <w:rFonts w:cs="Arial" w:hint="cs"/>
          <w:sz w:val="18"/>
          <w:szCs w:val="18"/>
          <w:rtl/>
        </w:rPr>
        <w:t>הואיל</w:t>
      </w:r>
      <w:r w:rsidRPr="00665DDE">
        <w:rPr>
          <w:rFonts w:cs="Arial"/>
          <w:sz w:val="18"/>
          <w:szCs w:val="18"/>
          <w:rtl/>
        </w:rPr>
        <w:t xml:space="preserve"> </w:t>
      </w:r>
      <w:r w:rsidRPr="00665DDE">
        <w:rPr>
          <w:rFonts w:cs="Arial" w:hint="cs"/>
          <w:sz w:val="18"/>
          <w:szCs w:val="18"/>
          <w:rtl/>
        </w:rPr>
        <w:t>וידעה</w:t>
      </w:r>
      <w:r w:rsidRPr="00665DDE">
        <w:rPr>
          <w:rFonts w:cs="Arial"/>
          <w:sz w:val="18"/>
          <w:szCs w:val="18"/>
          <w:rtl/>
        </w:rPr>
        <w:t xml:space="preserve"> </w:t>
      </w:r>
      <w:r w:rsidRPr="00665DDE">
        <w:rPr>
          <w:rFonts w:cs="Arial" w:hint="cs"/>
          <w:sz w:val="18"/>
          <w:szCs w:val="18"/>
          <w:rtl/>
        </w:rPr>
        <w:t>ודאי</w:t>
      </w:r>
      <w:r w:rsidRPr="00665DDE">
        <w:rPr>
          <w:rFonts w:cs="Arial"/>
          <w:sz w:val="18"/>
          <w:szCs w:val="18"/>
          <w:rtl/>
        </w:rPr>
        <w:t xml:space="preserve"> </w:t>
      </w:r>
      <w:r w:rsidRPr="00665DDE">
        <w:rPr>
          <w:rFonts w:cs="Arial" w:hint="cs"/>
          <w:sz w:val="18"/>
          <w:szCs w:val="18"/>
          <w:rtl/>
        </w:rPr>
        <w:t>שנעקר</w:t>
      </w:r>
      <w:r w:rsidRPr="00665DDE">
        <w:rPr>
          <w:rFonts w:cs="Arial"/>
          <w:sz w:val="18"/>
          <w:szCs w:val="18"/>
          <w:rtl/>
        </w:rPr>
        <w:t xml:space="preserve"> </w:t>
      </w:r>
      <w:r w:rsidRPr="00665DDE">
        <w:rPr>
          <w:rFonts w:cs="Arial" w:hint="cs"/>
          <w:sz w:val="18"/>
          <w:szCs w:val="18"/>
          <w:rtl/>
        </w:rPr>
        <w:t>מקורה</w:t>
      </w:r>
      <w:r w:rsidRPr="00665DDE">
        <w:rPr>
          <w:rFonts w:cs="Arial"/>
          <w:sz w:val="18"/>
          <w:szCs w:val="18"/>
          <w:rtl/>
        </w:rPr>
        <w:t xml:space="preserve">, </w:t>
      </w:r>
      <w:r w:rsidRPr="00665DDE">
        <w:rPr>
          <w:rFonts w:cs="Arial" w:hint="cs"/>
          <w:sz w:val="18"/>
          <w:szCs w:val="18"/>
          <w:rtl/>
        </w:rPr>
        <w:t>ומחמת</w:t>
      </w:r>
      <w:r w:rsidRPr="00665DDE">
        <w:rPr>
          <w:rFonts w:cs="Arial"/>
          <w:sz w:val="18"/>
          <w:szCs w:val="18"/>
          <w:rtl/>
        </w:rPr>
        <w:t xml:space="preserve"> </w:t>
      </w:r>
      <w:r w:rsidRPr="00665DDE">
        <w:rPr>
          <w:rFonts w:cs="Arial" w:hint="cs"/>
          <w:sz w:val="18"/>
          <w:szCs w:val="18"/>
          <w:rtl/>
        </w:rPr>
        <w:t>מכה</w:t>
      </w:r>
      <w:r w:rsidRPr="00665DDE">
        <w:rPr>
          <w:rFonts w:cs="Arial"/>
          <w:sz w:val="18"/>
          <w:szCs w:val="18"/>
          <w:rtl/>
        </w:rPr>
        <w:t xml:space="preserve"> </w:t>
      </w:r>
      <w:r w:rsidRPr="00665DDE">
        <w:rPr>
          <w:rFonts w:cs="Arial" w:hint="cs"/>
          <w:sz w:val="18"/>
          <w:szCs w:val="18"/>
          <w:rtl/>
        </w:rPr>
        <w:t>היא"</w:t>
      </w:r>
      <w:r w:rsidRPr="00665DDE">
        <w:rPr>
          <w:rFonts w:cs="Arial" w:hint="cs"/>
          <w:sz w:val="20"/>
          <w:szCs w:val="20"/>
          <w:rtl/>
        </w:rPr>
        <w:t>.</w:t>
      </w:r>
      <w:r>
        <w:rPr>
          <w:rFonts w:hint="cs"/>
          <w:sz w:val="18"/>
          <w:szCs w:val="18"/>
          <w:rtl/>
        </w:rPr>
        <w:br/>
      </w:r>
      <w:r>
        <w:rPr>
          <w:rFonts w:hint="cs"/>
          <w:sz w:val="20"/>
          <w:szCs w:val="20"/>
          <w:rtl/>
        </w:rPr>
        <w:t xml:space="preserve">ג. </w:t>
      </w:r>
      <w:r w:rsidRPr="003D0330">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אפילו אם רואה דם נידה להדיא </w:t>
      </w:r>
      <w:r>
        <w:rPr>
          <w:sz w:val="20"/>
          <w:szCs w:val="20"/>
          <w:rtl/>
        </w:rPr>
        <w:t>–</w:t>
      </w:r>
      <w:r>
        <w:rPr>
          <w:rFonts w:hint="cs"/>
          <w:sz w:val="20"/>
          <w:szCs w:val="20"/>
          <w:rtl/>
        </w:rPr>
        <w:t xml:space="preserve"> טהורה.</w:t>
      </w:r>
      <w:r>
        <w:rPr>
          <w:sz w:val="20"/>
          <w:szCs w:val="20"/>
          <w:rtl/>
        </w:rPr>
        <w:br/>
      </w:r>
      <w:r w:rsidRPr="0035300E">
        <w:rPr>
          <w:rFonts w:hint="cs"/>
          <w:b/>
          <w:bCs/>
          <w:sz w:val="20"/>
          <w:szCs w:val="20"/>
          <w:rtl/>
        </w:rPr>
        <w:t xml:space="preserve">טעם </w:t>
      </w:r>
      <w:r>
        <w:rPr>
          <w:sz w:val="20"/>
          <w:szCs w:val="20"/>
          <w:rtl/>
        </w:rPr>
        <w:t>–</w:t>
      </w:r>
      <w:r>
        <w:rPr>
          <w:rFonts w:hint="cs"/>
          <w:sz w:val="20"/>
          <w:szCs w:val="20"/>
          <w:rtl/>
        </w:rPr>
        <w:t xml:space="preserve"> התורה אסרה רק כשהדם יוצא כדרכו, אך כאן נעקר המקור והדם יוצא שלא כדרכו וטהורה.</w:t>
      </w:r>
      <w:r>
        <w:rPr>
          <w:rStyle w:val="a5"/>
          <w:sz w:val="20"/>
          <w:szCs w:val="20"/>
          <w:rtl/>
        </w:rPr>
        <w:footnoteReference w:id="157"/>
      </w:r>
    </w:p>
    <w:p w:rsidR="00620060" w:rsidRDefault="00620060" w:rsidP="00620060">
      <w:pPr>
        <w:rPr>
          <w:sz w:val="20"/>
          <w:szCs w:val="20"/>
          <w:rtl/>
        </w:rPr>
      </w:pPr>
      <w:r>
        <w:rPr>
          <w:rFonts w:hint="cs"/>
          <w:sz w:val="20"/>
          <w:szCs w:val="20"/>
          <w:rtl/>
        </w:rPr>
        <w:t xml:space="preserve">זו לשון </w:t>
      </w:r>
      <w:r w:rsidRPr="0074090F">
        <w:rPr>
          <w:rFonts w:hint="cs"/>
          <w:b/>
          <w:bCs/>
          <w:sz w:val="20"/>
          <w:szCs w:val="20"/>
          <w:rtl/>
        </w:rPr>
        <w:t>הפת"ש</w:t>
      </w:r>
      <w:r>
        <w:rPr>
          <w:rFonts w:hint="cs"/>
          <w:sz w:val="20"/>
          <w:szCs w:val="20"/>
          <w:rtl/>
        </w:rPr>
        <w:t xml:space="preserve"> בדין זה </w:t>
      </w:r>
      <w:r>
        <w:rPr>
          <w:sz w:val="20"/>
          <w:szCs w:val="20"/>
          <w:rtl/>
        </w:rPr>
        <w:t>–</w:t>
      </w:r>
      <w:r>
        <w:rPr>
          <w:rFonts w:hint="cs"/>
          <w:sz w:val="20"/>
          <w:szCs w:val="20"/>
          <w:rtl/>
        </w:rPr>
        <w:t xml:space="preserve"> "</w:t>
      </w:r>
      <w:r w:rsidRPr="0074090F">
        <w:rPr>
          <w:rFonts w:cs="Arial" w:hint="cs"/>
          <w:sz w:val="20"/>
          <w:szCs w:val="20"/>
          <w:rtl/>
        </w:rPr>
        <w:t>מפני</w:t>
      </w:r>
      <w:r w:rsidRPr="0074090F">
        <w:rPr>
          <w:rFonts w:cs="Arial"/>
          <w:sz w:val="20"/>
          <w:szCs w:val="20"/>
          <w:rtl/>
        </w:rPr>
        <w:t xml:space="preserve"> </w:t>
      </w:r>
      <w:r w:rsidRPr="0074090F">
        <w:rPr>
          <w:rFonts w:cs="Arial" w:hint="cs"/>
          <w:sz w:val="20"/>
          <w:szCs w:val="20"/>
          <w:rtl/>
        </w:rPr>
        <w:t>שדבר</w:t>
      </w:r>
      <w:r w:rsidRPr="0074090F">
        <w:rPr>
          <w:rFonts w:cs="Arial"/>
          <w:sz w:val="20"/>
          <w:szCs w:val="20"/>
          <w:rtl/>
        </w:rPr>
        <w:t xml:space="preserve"> </w:t>
      </w:r>
      <w:r w:rsidRPr="0074090F">
        <w:rPr>
          <w:rFonts w:cs="Arial" w:hint="cs"/>
          <w:sz w:val="20"/>
          <w:szCs w:val="20"/>
          <w:rtl/>
        </w:rPr>
        <w:t>זה</w:t>
      </w:r>
      <w:r w:rsidRPr="0074090F">
        <w:rPr>
          <w:rFonts w:cs="Arial"/>
          <w:sz w:val="20"/>
          <w:szCs w:val="20"/>
          <w:rtl/>
        </w:rPr>
        <w:t xml:space="preserve"> </w:t>
      </w:r>
      <w:r w:rsidRPr="0074090F">
        <w:rPr>
          <w:rFonts w:cs="Arial" w:hint="cs"/>
          <w:sz w:val="20"/>
          <w:szCs w:val="20"/>
          <w:rtl/>
        </w:rPr>
        <w:t>וכיוצא</w:t>
      </w:r>
      <w:r w:rsidRPr="0074090F">
        <w:rPr>
          <w:rFonts w:cs="Arial"/>
          <w:sz w:val="20"/>
          <w:szCs w:val="20"/>
          <w:rtl/>
        </w:rPr>
        <w:t xml:space="preserve"> </w:t>
      </w:r>
      <w:r w:rsidRPr="0074090F">
        <w:rPr>
          <w:rFonts w:cs="Arial" w:hint="cs"/>
          <w:sz w:val="20"/>
          <w:szCs w:val="20"/>
          <w:rtl/>
        </w:rPr>
        <w:t>בו</w:t>
      </w:r>
      <w:r w:rsidRPr="0074090F">
        <w:rPr>
          <w:rFonts w:cs="Arial"/>
          <w:sz w:val="20"/>
          <w:szCs w:val="20"/>
          <w:rtl/>
        </w:rPr>
        <w:t xml:space="preserve"> </w:t>
      </w:r>
      <w:r w:rsidRPr="0074090F">
        <w:rPr>
          <w:rFonts w:cs="Arial" w:hint="cs"/>
          <w:sz w:val="20"/>
          <w:szCs w:val="20"/>
          <w:rtl/>
        </w:rPr>
        <w:t>לא</w:t>
      </w:r>
      <w:r w:rsidRPr="0074090F">
        <w:rPr>
          <w:rFonts w:cs="Arial"/>
          <w:sz w:val="20"/>
          <w:szCs w:val="20"/>
          <w:rtl/>
        </w:rPr>
        <w:t xml:space="preserve"> </w:t>
      </w:r>
      <w:r w:rsidRPr="0074090F">
        <w:rPr>
          <w:rFonts w:cs="Arial" w:hint="cs"/>
          <w:sz w:val="20"/>
          <w:szCs w:val="20"/>
          <w:rtl/>
        </w:rPr>
        <w:t>ניתן</w:t>
      </w:r>
      <w:r w:rsidRPr="0074090F">
        <w:rPr>
          <w:rFonts w:cs="Arial"/>
          <w:sz w:val="20"/>
          <w:szCs w:val="20"/>
          <w:rtl/>
        </w:rPr>
        <w:t xml:space="preserve"> </w:t>
      </w:r>
      <w:r w:rsidRPr="0074090F">
        <w:rPr>
          <w:rFonts w:cs="Arial" w:hint="cs"/>
          <w:sz w:val="20"/>
          <w:szCs w:val="20"/>
          <w:rtl/>
        </w:rPr>
        <w:t>רשות</w:t>
      </w:r>
      <w:r w:rsidRPr="0074090F">
        <w:rPr>
          <w:rFonts w:cs="Arial"/>
          <w:sz w:val="20"/>
          <w:szCs w:val="20"/>
          <w:rtl/>
        </w:rPr>
        <w:t xml:space="preserve"> </w:t>
      </w:r>
      <w:r w:rsidRPr="0074090F">
        <w:rPr>
          <w:rFonts w:cs="Arial" w:hint="cs"/>
          <w:sz w:val="20"/>
          <w:szCs w:val="20"/>
          <w:rtl/>
        </w:rPr>
        <w:t>לכל</w:t>
      </w:r>
      <w:r w:rsidRPr="0074090F">
        <w:rPr>
          <w:rFonts w:cs="Arial"/>
          <w:sz w:val="20"/>
          <w:szCs w:val="20"/>
          <w:rtl/>
        </w:rPr>
        <w:t xml:space="preserve"> </w:t>
      </w:r>
      <w:r w:rsidRPr="0074090F">
        <w:rPr>
          <w:rFonts w:cs="Arial" w:hint="cs"/>
          <w:sz w:val="20"/>
          <w:szCs w:val="20"/>
          <w:rtl/>
        </w:rPr>
        <w:t>מורה</w:t>
      </w:r>
      <w:r w:rsidRPr="0074090F">
        <w:rPr>
          <w:rFonts w:cs="Arial"/>
          <w:sz w:val="20"/>
          <w:szCs w:val="20"/>
          <w:rtl/>
        </w:rPr>
        <w:t xml:space="preserve"> </w:t>
      </w:r>
      <w:r w:rsidRPr="0074090F">
        <w:rPr>
          <w:rFonts w:cs="Arial" w:hint="cs"/>
          <w:sz w:val="20"/>
          <w:szCs w:val="20"/>
          <w:rtl/>
        </w:rPr>
        <w:t>לפסוק</w:t>
      </w:r>
      <w:r w:rsidRPr="0074090F">
        <w:rPr>
          <w:rFonts w:cs="Arial"/>
          <w:sz w:val="20"/>
          <w:szCs w:val="20"/>
          <w:rtl/>
        </w:rPr>
        <w:t xml:space="preserve"> </w:t>
      </w:r>
      <w:r w:rsidRPr="0074090F">
        <w:rPr>
          <w:rFonts w:cs="Arial" w:hint="cs"/>
          <w:sz w:val="20"/>
          <w:szCs w:val="20"/>
          <w:rtl/>
        </w:rPr>
        <w:t>הדין</w:t>
      </w:r>
      <w:r w:rsidRPr="0074090F">
        <w:rPr>
          <w:rFonts w:cs="Arial"/>
          <w:sz w:val="20"/>
          <w:szCs w:val="20"/>
          <w:rtl/>
        </w:rPr>
        <w:t xml:space="preserve"> </w:t>
      </w:r>
      <w:r w:rsidRPr="0074090F">
        <w:rPr>
          <w:rFonts w:cs="Arial" w:hint="cs"/>
          <w:sz w:val="20"/>
          <w:szCs w:val="20"/>
          <w:rtl/>
        </w:rPr>
        <w:t>בזה</w:t>
      </w:r>
      <w:r w:rsidRPr="0074090F">
        <w:rPr>
          <w:rFonts w:cs="Arial"/>
          <w:sz w:val="20"/>
          <w:szCs w:val="20"/>
          <w:rtl/>
        </w:rPr>
        <w:t xml:space="preserve"> </w:t>
      </w:r>
      <w:r w:rsidRPr="0074090F">
        <w:rPr>
          <w:rFonts w:cs="Arial" w:hint="cs"/>
          <w:sz w:val="20"/>
          <w:szCs w:val="20"/>
          <w:rtl/>
        </w:rPr>
        <w:t>כ</w:t>
      </w:r>
      <w:r>
        <w:rPr>
          <w:rFonts w:cs="Arial" w:hint="cs"/>
          <w:sz w:val="20"/>
          <w:szCs w:val="20"/>
          <w:rtl/>
        </w:rPr>
        <w:t xml:space="preserve">י </w:t>
      </w:r>
      <w:r w:rsidRPr="0074090F">
        <w:rPr>
          <w:rFonts w:cs="Arial" w:hint="cs"/>
          <w:sz w:val="20"/>
          <w:szCs w:val="20"/>
          <w:rtl/>
        </w:rPr>
        <w:t>א</w:t>
      </w:r>
      <w:r>
        <w:rPr>
          <w:rFonts w:cs="Arial" w:hint="cs"/>
          <w:sz w:val="20"/>
          <w:szCs w:val="20"/>
          <w:rtl/>
        </w:rPr>
        <w:t>ם</w:t>
      </w:r>
      <w:r w:rsidRPr="0074090F">
        <w:rPr>
          <w:rFonts w:cs="Arial"/>
          <w:sz w:val="20"/>
          <w:szCs w:val="20"/>
          <w:rtl/>
        </w:rPr>
        <w:t xml:space="preserve"> </w:t>
      </w:r>
      <w:r w:rsidRPr="0074090F">
        <w:rPr>
          <w:rFonts w:cs="Arial" w:hint="cs"/>
          <w:sz w:val="20"/>
          <w:szCs w:val="20"/>
          <w:rtl/>
        </w:rPr>
        <w:t>לגדולי</w:t>
      </w:r>
      <w:r w:rsidRPr="0074090F">
        <w:rPr>
          <w:rFonts w:cs="Arial"/>
          <w:sz w:val="20"/>
          <w:szCs w:val="20"/>
          <w:rtl/>
        </w:rPr>
        <w:t xml:space="preserve"> </w:t>
      </w:r>
      <w:r w:rsidRPr="0074090F">
        <w:rPr>
          <w:rFonts w:cs="Arial" w:hint="cs"/>
          <w:sz w:val="20"/>
          <w:szCs w:val="20"/>
          <w:rtl/>
        </w:rPr>
        <w:t>הדור</w:t>
      </w:r>
      <w:r>
        <w:rPr>
          <w:rFonts w:cs="Arial" w:hint="cs"/>
          <w:sz w:val="20"/>
          <w:szCs w:val="20"/>
          <w:rtl/>
        </w:rPr>
        <w:t>,</w:t>
      </w:r>
      <w:r w:rsidRPr="0074090F">
        <w:rPr>
          <w:rFonts w:cs="Arial"/>
          <w:sz w:val="20"/>
          <w:szCs w:val="20"/>
          <w:rtl/>
        </w:rPr>
        <w:t xml:space="preserve"> </w:t>
      </w:r>
      <w:r w:rsidRPr="0074090F">
        <w:rPr>
          <w:rFonts w:cs="Arial" w:hint="cs"/>
          <w:sz w:val="20"/>
          <w:szCs w:val="20"/>
          <w:rtl/>
        </w:rPr>
        <w:t>לכן</w:t>
      </w:r>
      <w:r w:rsidRPr="0074090F">
        <w:rPr>
          <w:rFonts w:cs="Arial"/>
          <w:sz w:val="20"/>
          <w:szCs w:val="20"/>
          <w:rtl/>
        </w:rPr>
        <w:t xml:space="preserve"> </w:t>
      </w:r>
      <w:r w:rsidRPr="0074090F">
        <w:rPr>
          <w:rFonts w:cs="Arial" w:hint="cs"/>
          <w:sz w:val="20"/>
          <w:szCs w:val="20"/>
          <w:rtl/>
        </w:rPr>
        <w:t>לא</w:t>
      </w:r>
      <w:r w:rsidRPr="0074090F">
        <w:rPr>
          <w:rFonts w:cs="Arial"/>
          <w:sz w:val="20"/>
          <w:szCs w:val="20"/>
          <w:rtl/>
        </w:rPr>
        <w:t xml:space="preserve"> </w:t>
      </w:r>
      <w:r w:rsidRPr="0074090F">
        <w:rPr>
          <w:rFonts w:cs="Arial" w:hint="cs"/>
          <w:sz w:val="20"/>
          <w:szCs w:val="20"/>
          <w:rtl/>
        </w:rPr>
        <w:t>הבאתי</w:t>
      </w:r>
      <w:r w:rsidRPr="0074090F">
        <w:rPr>
          <w:rFonts w:cs="Arial"/>
          <w:sz w:val="20"/>
          <w:szCs w:val="20"/>
          <w:rtl/>
        </w:rPr>
        <w:t xml:space="preserve"> </w:t>
      </w:r>
      <w:r w:rsidRPr="0074090F">
        <w:rPr>
          <w:rFonts w:cs="Arial" w:hint="cs"/>
          <w:sz w:val="20"/>
          <w:szCs w:val="20"/>
          <w:rtl/>
        </w:rPr>
        <w:t>הכל</w:t>
      </w:r>
      <w:r w:rsidRPr="0074090F">
        <w:rPr>
          <w:rFonts w:cs="Arial"/>
          <w:sz w:val="20"/>
          <w:szCs w:val="20"/>
          <w:rtl/>
        </w:rPr>
        <w:t xml:space="preserve"> </w:t>
      </w:r>
      <w:r w:rsidRPr="0074090F">
        <w:rPr>
          <w:rFonts w:cs="Arial" w:hint="cs"/>
          <w:sz w:val="20"/>
          <w:szCs w:val="20"/>
          <w:rtl/>
        </w:rPr>
        <w:t>באריכות</w:t>
      </w:r>
      <w:r>
        <w:rPr>
          <w:rFonts w:cs="Arial" w:hint="cs"/>
          <w:sz w:val="20"/>
          <w:szCs w:val="20"/>
          <w:rtl/>
        </w:rPr>
        <w:t>".</w:t>
      </w:r>
    </w:p>
    <w:p w:rsidR="00620060" w:rsidRPr="00DF2807" w:rsidRDefault="00620060" w:rsidP="00620060">
      <w:pPr>
        <w:pStyle w:val="1"/>
        <w:rPr>
          <w:sz w:val="24"/>
          <w:szCs w:val="24"/>
          <w:rtl/>
        </w:rPr>
      </w:pPr>
      <w:r>
        <w:rPr>
          <w:rFonts w:hint="cs"/>
          <w:sz w:val="24"/>
          <w:szCs w:val="24"/>
          <w:rtl/>
        </w:rPr>
        <w:t>ד</w:t>
      </w:r>
      <w:r w:rsidRPr="00DF2807">
        <w:rPr>
          <w:rFonts w:hint="cs"/>
          <w:sz w:val="24"/>
          <w:szCs w:val="24"/>
          <w:rtl/>
        </w:rPr>
        <w:t>. פתיחת הקבר</w:t>
      </w:r>
    </w:p>
    <w:p w:rsidR="00620060" w:rsidRDefault="00620060" w:rsidP="00620060">
      <w:pPr>
        <w:rPr>
          <w:b/>
          <w:bCs/>
          <w:sz w:val="20"/>
          <w:szCs w:val="20"/>
          <w:rtl/>
        </w:rPr>
      </w:pPr>
      <w:r w:rsidRPr="00976F99">
        <w:rPr>
          <w:rFonts w:hint="cs"/>
          <w:b/>
          <w:bCs/>
          <w:sz w:val="20"/>
          <w:szCs w:val="20"/>
          <w:rtl/>
        </w:rPr>
        <w:t>מקור הדין</w:t>
      </w:r>
      <w:r w:rsidRPr="00976F99">
        <w:rPr>
          <w:b/>
          <w:bCs/>
          <w:sz w:val="20"/>
          <w:szCs w:val="20"/>
          <w:rtl/>
        </w:rPr>
        <w:br/>
      </w:r>
      <w:r>
        <w:rPr>
          <w:rFonts w:hint="cs"/>
          <w:b/>
          <w:bCs/>
          <w:sz w:val="20"/>
          <w:szCs w:val="20"/>
          <w:rtl/>
        </w:rPr>
        <w:t xml:space="preserve">משנה </w:t>
      </w:r>
      <w:r>
        <w:rPr>
          <w:rFonts w:hint="cs"/>
          <w:sz w:val="20"/>
          <w:szCs w:val="20"/>
          <w:rtl/>
        </w:rPr>
        <w:t>נידה (כא.) "</w:t>
      </w:r>
      <w:r w:rsidRPr="001D502D">
        <w:rPr>
          <w:rFonts w:cs="Arial" w:hint="cs"/>
          <w:sz w:val="20"/>
          <w:szCs w:val="20"/>
          <w:rtl/>
        </w:rPr>
        <w:t>המפלת</w:t>
      </w:r>
      <w:r w:rsidRPr="001D502D">
        <w:rPr>
          <w:rFonts w:cs="Arial"/>
          <w:sz w:val="20"/>
          <w:szCs w:val="20"/>
          <w:rtl/>
        </w:rPr>
        <w:t xml:space="preserve"> </w:t>
      </w:r>
      <w:r w:rsidRPr="001D502D">
        <w:rPr>
          <w:rFonts w:cs="Arial" w:hint="cs"/>
          <w:sz w:val="20"/>
          <w:szCs w:val="20"/>
          <w:rtl/>
        </w:rPr>
        <w:t>חתיכה</w:t>
      </w:r>
      <w:r w:rsidRPr="001D502D">
        <w:rPr>
          <w:rFonts w:cs="Arial"/>
          <w:sz w:val="20"/>
          <w:szCs w:val="20"/>
          <w:rtl/>
        </w:rPr>
        <w:t xml:space="preserve">, </w:t>
      </w:r>
      <w:r w:rsidRPr="001D502D">
        <w:rPr>
          <w:rFonts w:cs="Arial" w:hint="cs"/>
          <w:sz w:val="20"/>
          <w:szCs w:val="20"/>
          <w:rtl/>
        </w:rPr>
        <w:t>אם</w:t>
      </w:r>
      <w:r w:rsidRPr="001D502D">
        <w:rPr>
          <w:rFonts w:cs="Arial"/>
          <w:sz w:val="20"/>
          <w:szCs w:val="20"/>
          <w:rtl/>
        </w:rPr>
        <w:t xml:space="preserve"> </w:t>
      </w:r>
      <w:r w:rsidRPr="001D502D">
        <w:rPr>
          <w:rFonts w:cs="Arial" w:hint="cs"/>
          <w:sz w:val="20"/>
          <w:szCs w:val="20"/>
          <w:rtl/>
        </w:rPr>
        <w:t>יש</w:t>
      </w:r>
      <w:r w:rsidRPr="001D502D">
        <w:rPr>
          <w:rFonts w:cs="Arial"/>
          <w:sz w:val="20"/>
          <w:szCs w:val="20"/>
          <w:rtl/>
        </w:rPr>
        <w:t xml:space="preserve"> </w:t>
      </w:r>
      <w:r w:rsidRPr="001D502D">
        <w:rPr>
          <w:rFonts w:cs="Arial" w:hint="cs"/>
          <w:sz w:val="20"/>
          <w:szCs w:val="20"/>
          <w:rtl/>
        </w:rPr>
        <w:t>עמה</w:t>
      </w:r>
      <w:r w:rsidRPr="001D502D">
        <w:rPr>
          <w:rFonts w:cs="Arial"/>
          <w:sz w:val="20"/>
          <w:szCs w:val="20"/>
          <w:rtl/>
        </w:rPr>
        <w:t xml:space="preserve"> </w:t>
      </w:r>
      <w:r w:rsidRPr="001D502D">
        <w:rPr>
          <w:rFonts w:cs="Arial" w:hint="cs"/>
          <w:sz w:val="20"/>
          <w:szCs w:val="20"/>
          <w:rtl/>
        </w:rPr>
        <w:t>דם</w:t>
      </w:r>
      <w:r w:rsidRPr="001D502D">
        <w:rPr>
          <w:rFonts w:cs="Arial"/>
          <w:sz w:val="20"/>
          <w:szCs w:val="20"/>
          <w:rtl/>
        </w:rPr>
        <w:t xml:space="preserve"> - </w:t>
      </w:r>
      <w:r w:rsidRPr="001D502D">
        <w:rPr>
          <w:rFonts w:cs="Arial" w:hint="cs"/>
          <w:sz w:val="20"/>
          <w:szCs w:val="20"/>
          <w:rtl/>
        </w:rPr>
        <w:t>טמאה</w:t>
      </w:r>
      <w:r w:rsidRPr="001D502D">
        <w:rPr>
          <w:rFonts w:cs="Arial"/>
          <w:sz w:val="20"/>
          <w:szCs w:val="20"/>
          <w:rtl/>
        </w:rPr>
        <w:t xml:space="preserve">, </w:t>
      </w:r>
      <w:r w:rsidRPr="001D502D">
        <w:rPr>
          <w:rFonts w:cs="Arial" w:hint="cs"/>
          <w:sz w:val="20"/>
          <w:szCs w:val="20"/>
          <w:rtl/>
        </w:rPr>
        <w:t>ואם</w:t>
      </w:r>
      <w:r w:rsidRPr="001D502D">
        <w:rPr>
          <w:rFonts w:cs="Arial"/>
          <w:sz w:val="20"/>
          <w:szCs w:val="20"/>
          <w:rtl/>
        </w:rPr>
        <w:t xml:space="preserve"> </w:t>
      </w:r>
      <w:r w:rsidRPr="001D502D">
        <w:rPr>
          <w:rFonts w:cs="Arial" w:hint="cs"/>
          <w:sz w:val="20"/>
          <w:szCs w:val="20"/>
          <w:rtl/>
        </w:rPr>
        <w:t>לאו</w:t>
      </w:r>
      <w:r w:rsidRPr="001D502D">
        <w:rPr>
          <w:rFonts w:cs="Arial"/>
          <w:sz w:val="20"/>
          <w:szCs w:val="20"/>
          <w:rtl/>
        </w:rPr>
        <w:t xml:space="preserve"> - </w:t>
      </w:r>
      <w:r w:rsidRPr="001D502D">
        <w:rPr>
          <w:rFonts w:cs="Arial" w:hint="cs"/>
          <w:sz w:val="20"/>
          <w:szCs w:val="20"/>
          <w:rtl/>
        </w:rPr>
        <w:t>טהורה</w:t>
      </w:r>
      <w:r w:rsidRPr="001D502D">
        <w:rPr>
          <w:rFonts w:cs="Arial"/>
          <w:sz w:val="20"/>
          <w:szCs w:val="20"/>
          <w:rtl/>
        </w:rPr>
        <w:t xml:space="preserve">. </w:t>
      </w:r>
      <w:r w:rsidRPr="001D502D">
        <w:rPr>
          <w:rFonts w:cs="Arial" w:hint="cs"/>
          <w:sz w:val="20"/>
          <w:szCs w:val="20"/>
          <w:rtl/>
        </w:rPr>
        <w:t>ר</w:t>
      </w:r>
      <w:r w:rsidRPr="001D502D">
        <w:rPr>
          <w:rFonts w:cs="Arial"/>
          <w:sz w:val="20"/>
          <w:szCs w:val="20"/>
          <w:rtl/>
        </w:rPr>
        <w:t xml:space="preserve">' </w:t>
      </w:r>
      <w:r w:rsidRPr="001D502D">
        <w:rPr>
          <w:rFonts w:cs="Arial" w:hint="cs"/>
          <w:sz w:val="20"/>
          <w:szCs w:val="20"/>
          <w:rtl/>
        </w:rPr>
        <w:t>יהודה</w:t>
      </w:r>
      <w:r w:rsidRPr="001D502D">
        <w:rPr>
          <w:rFonts w:cs="Arial"/>
          <w:sz w:val="20"/>
          <w:szCs w:val="20"/>
          <w:rtl/>
        </w:rPr>
        <w:t xml:space="preserve"> </w:t>
      </w:r>
      <w:r w:rsidRPr="001D502D">
        <w:rPr>
          <w:rFonts w:cs="Arial" w:hint="cs"/>
          <w:sz w:val="20"/>
          <w:szCs w:val="20"/>
          <w:rtl/>
        </w:rPr>
        <w:t>אומר</w:t>
      </w:r>
      <w:r w:rsidRPr="001D502D">
        <w:rPr>
          <w:rFonts w:cs="Arial"/>
          <w:sz w:val="20"/>
          <w:szCs w:val="20"/>
          <w:rtl/>
        </w:rPr>
        <w:t xml:space="preserve">: </w:t>
      </w:r>
      <w:r w:rsidRPr="001D502D">
        <w:rPr>
          <w:rFonts w:cs="Arial" w:hint="cs"/>
          <w:sz w:val="20"/>
          <w:szCs w:val="20"/>
          <w:rtl/>
        </w:rPr>
        <w:t>בין</w:t>
      </w:r>
      <w:r w:rsidRPr="001D502D">
        <w:rPr>
          <w:rFonts w:cs="Arial"/>
          <w:sz w:val="20"/>
          <w:szCs w:val="20"/>
          <w:rtl/>
        </w:rPr>
        <w:t xml:space="preserve"> </w:t>
      </w:r>
      <w:r w:rsidRPr="001D502D">
        <w:rPr>
          <w:rFonts w:cs="Arial" w:hint="cs"/>
          <w:sz w:val="20"/>
          <w:szCs w:val="20"/>
          <w:rtl/>
        </w:rPr>
        <w:t>כך</w:t>
      </w:r>
      <w:r w:rsidRPr="001D502D">
        <w:rPr>
          <w:rFonts w:cs="Arial"/>
          <w:sz w:val="20"/>
          <w:szCs w:val="20"/>
          <w:rtl/>
        </w:rPr>
        <w:t xml:space="preserve"> </w:t>
      </w:r>
      <w:r w:rsidRPr="001D502D">
        <w:rPr>
          <w:rFonts w:cs="Arial" w:hint="cs"/>
          <w:sz w:val="20"/>
          <w:szCs w:val="20"/>
          <w:rtl/>
        </w:rPr>
        <w:t>ובין</w:t>
      </w:r>
      <w:r w:rsidRPr="001D502D">
        <w:rPr>
          <w:rFonts w:cs="Arial"/>
          <w:sz w:val="20"/>
          <w:szCs w:val="20"/>
          <w:rtl/>
        </w:rPr>
        <w:t xml:space="preserve"> </w:t>
      </w:r>
      <w:r w:rsidRPr="001D502D">
        <w:rPr>
          <w:rFonts w:cs="Arial" w:hint="cs"/>
          <w:sz w:val="20"/>
          <w:szCs w:val="20"/>
          <w:rtl/>
        </w:rPr>
        <w:t>כך</w:t>
      </w:r>
      <w:r w:rsidRPr="001D502D">
        <w:rPr>
          <w:rFonts w:cs="Arial"/>
          <w:sz w:val="20"/>
          <w:szCs w:val="20"/>
          <w:rtl/>
        </w:rPr>
        <w:t xml:space="preserve"> </w:t>
      </w:r>
      <w:r w:rsidRPr="001D502D">
        <w:rPr>
          <w:rFonts w:cs="Arial" w:hint="cs"/>
          <w:sz w:val="20"/>
          <w:szCs w:val="20"/>
          <w:rtl/>
        </w:rPr>
        <w:t>טמאה</w:t>
      </w:r>
      <w:r>
        <w:rPr>
          <w:rFonts w:cs="Arial" w:hint="cs"/>
          <w:sz w:val="20"/>
          <w:szCs w:val="20"/>
          <w:rtl/>
        </w:rPr>
        <w:t>".</w:t>
      </w:r>
      <w:r>
        <w:rPr>
          <w:rFonts w:cs="Arial"/>
          <w:sz w:val="20"/>
          <w:szCs w:val="20"/>
          <w:rtl/>
        </w:rPr>
        <w:br/>
      </w:r>
      <w:r w:rsidRPr="001D502D">
        <w:rPr>
          <w:rFonts w:cs="Arial" w:hint="cs"/>
          <w:b/>
          <w:bCs/>
          <w:sz w:val="20"/>
          <w:szCs w:val="20"/>
          <w:rtl/>
        </w:rPr>
        <w:t>גמרא</w:t>
      </w:r>
      <w:r>
        <w:rPr>
          <w:rFonts w:cs="Arial" w:hint="cs"/>
          <w:sz w:val="20"/>
          <w:szCs w:val="20"/>
          <w:rtl/>
        </w:rPr>
        <w:t xml:space="preserve"> "</w:t>
      </w:r>
      <w:r w:rsidRPr="001D502D">
        <w:rPr>
          <w:rFonts w:cs="Arial" w:hint="cs"/>
          <w:sz w:val="20"/>
          <w:szCs w:val="20"/>
          <w:rtl/>
        </w:rPr>
        <w:t>אמר</w:t>
      </w:r>
      <w:r w:rsidRPr="001D502D">
        <w:rPr>
          <w:rFonts w:cs="Arial"/>
          <w:sz w:val="20"/>
          <w:szCs w:val="20"/>
          <w:rtl/>
        </w:rPr>
        <w:t xml:space="preserve"> </w:t>
      </w:r>
      <w:r w:rsidRPr="001D502D">
        <w:rPr>
          <w:rFonts w:cs="Arial" w:hint="cs"/>
          <w:sz w:val="20"/>
          <w:szCs w:val="20"/>
          <w:rtl/>
        </w:rPr>
        <w:t>רב</w:t>
      </w:r>
      <w:r w:rsidRPr="001D502D">
        <w:rPr>
          <w:rFonts w:cs="Arial"/>
          <w:sz w:val="20"/>
          <w:szCs w:val="20"/>
          <w:rtl/>
        </w:rPr>
        <w:t xml:space="preserve"> </w:t>
      </w:r>
      <w:r w:rsidRPr="001D502D">
        <w:rPr>
          <w:rFonts w:cs="Arial" w:hint="cs"/>
          <w:sz w:val="20"/>
          <w:szCs w:val="20"/>
          <w:rtl/>
        </w:rPr>
        <w:t>נחמן</w:t>
      </w:r>
      <w:r w:rsidRPr="001D502D">
        <w:rPr>
          <w:rFonts w:cs="Arial"/>
          <w:sz w:val="20"/>
          <w:szCs w:val="20"/>
          <w:rtl/>
        </w:rPr>
        <w:t xml:space="preserve"> </w:t>
      </w:r>
      <w:r w:rsidRPr="001D502D">
        <w:rPr>
          <w:rFonts w:cs="Arial" w:hint="cs"/>
          <w:sz w:val="20"/>
          <w:szCs w:val="20"/>
          <w:rtl/>
        </w:rPr>
        <w:t>בר</w:t>
      </w:r>
      <w:r w:rsidRPr="001D502D">
        <w:rPr>
          <w:rFonts w:cs="Arial"/>
          <w:sz w:val="20"/>
          <w:szCs w:val="20"/>
          <w:rtl/>
        </w:rPr>
        <w:t xml:space="preserve"> </w:t>
      </w:r>
      <w:r w:rsidRPr="001D502D">
        <w:rPr>
          <w:rFonts w:cs="Arial" w:hint="cs"/>
          <w:sz w:val="20"/>
          <w:szCs w:val="20"/>
          <w:rtl/>
        </w:rPr>
        <w:t>יצחק</w:t>
      </w:r>
      <w:r w:rsidRPr="001D502D">
        <w:rPr>
          <w:rFonts w:cs="Arial"/>
          <w:sz w:val="20"/>
          <w:szCs w:val="20"/>
          <w:rtl/>
        </w:rPr>
        <w:t xml:space="preserve">: </w:t>
      </w:r>
      <w:r w:rsidRPr="001D502D">
        <w:rPr>
          <w:rFonts w:cs="Arial" w:hint="cs"/>
          <w:sz w:val="20"/>
          <w:szCs w:val="20"/>
          <w:rtl/>
        </w:rPr>
        <w:t>באפשר</w:t>
      </w:r>
      <w:r w:rsidRPr="001D502D">
        <w:rPr>
          <w:rFonts w:cs="Arial"/>
          <w:sz w:val="20"/>
          <w:szCs w:val="20"/>
          <w:rtl/>
        </w:rPr>
        <w:t xml:space="preserve"> </w:t>
      </w:r>
      <w:r w:rsidRPr="001D502D">
        <w:rPr>
          <w:rFonts w:cs="Arial" w:hint="cs"/>
          <w:sz w:val="20"/>
          <w:szCs w:val="20"/>
          <w:rtl/>
        </w:rPr>
        <w:t>לפתיחת</w:t>
      </w:r>
      <w:r w:rsidRPr="001D502D">
        <w:rPr>
          <w:rFonts w:cs="Arial"/>
          <w:sz w:val="20"/>
          <w:szCs w:val="20"/>
          <w:rtl/>
        </w:rPr>
        <w:t xml:space="preserve"> </w:t>
      </w:r>
      <w:r w:rsidRPr="001D502D">
        <w:rPr>
          <w:rFonts w:cs="Arial" w:hint="cs"/>
          <w:sz w:val="20"/>
          <w:szCs w:val="20"/>
          <w:rtl/>
        </w:rPr>
        <w:t>הקבר</w:t>
      </w:r>
      <w:r w:rsidRPr="001D502D">
        <w:rPr>
          <w:rFonts w:cs="Arial"/>
          <w:sz w:val="20"/>
          <w:szCs w:val="20"/>
          <w:rtl/>
        </w:rPr>
        <w:t xml:space="preserve"> </w:t>
      </w:r>
      <w:r w:rsidRPr="001D502D">
        <w:rPr>
          <w:rFonts w:cs="Arial" w:hint="cs"/>
          <w:sz w:val="20"/>
          <w:szCs w:val="20"/>
          <w:rtl/>
        </w:rPr>
        <w:t>בלא</w:t>
      </w:r>
      <w:r w:rsidRPr="001D502D">
        <w:rPr>
          <w:rFonts w:cs="Arial"/>
          <w:sz w:val="20"/>
          <w:szCs w:val="20"/>
          <w:rtl/>
        </w:rPr>
        <w:t xml:space="preserve"> </w:t>
      </w:r>
      <w:r w:rsidRPr="001D502D">
        <w:rPr>
          <w:rFonts w:cs="Arial" w:hint="cs"/>
          <w:sz w:val="20"/>
          <w:szCs w:val="20"/>
          <w:rtl/>
        </w:rPr>
        <w:t>דם</w:t>
      </w:r>
      <w:r w:rsidRPr="001D502D">
        <w:rPr>
          <w:rFonts w:cs="Arial"/>
          <w:sz w:val="20"/>
          <w:szCs w:val="20"/>
          <w:rtl/>
        </w:rPr>
        <w:t xml:space="preserve"> </w:t>
      </w:r>
      <w:r w:rsidRPr="001D502D">
        <w:rPr>
          <w:rFonts w:cs="Arial" w:hint="cs"/>
          <w:sz w:val="20"/>
          <w:szCs w:val="20"/>
          <w:rtl/>
        </w:rPr>
        <w:t>קמיפלגי</w:t>
      </w:r>
      <w:r>
        <w:rPr>
          <w:rFonts w:cs="Arial" w:hint="cs"/>
          <w:sz w:val="20"/>
          <w:szCs w:val="20"/>
          <w:rtl/>
        </w:rPr>
        <w:t>".</w:t>
      </w:r>
      <w:r>
        <w:rPr>
          <w:rFonts w:cs="Arial"/>
          <w:sz w:val="20"/>
          <w:szCs w:val="20"/>
          <w:rtl/>
        </w:rPr>
        <w:br/>
      </w:r>
      <w:r w:rsidRPr="00DC203D">
        <w:rPr>
          <w:rFonts w:cs="Arial" w:hint="cs"/>
          <w:sz w:val="20"/>
          <w:szCs w:val="20"/>
          <w:rtl/>
        </w:rPr>
        <w:t xml:space="preserve">הסבר </w:t>
      </w:r>
      <w:r>
        <w:rPr>
          <w:rFonts w:cs="Arial"/>
          <w:sz w:val="20"/>
          <w:szCs w:val="20"/>
          <w:rtl/>
        </w:rPr>
        <w:t>–</w:t>
      </w:r>
      <w:r>
        <w:rPr>
          <w:rFonts w:cs="Arial" w:hint="cs"/>
          <w:sz w:val="20"/>
          <w:szCs w:val="20"/>
          <w:rtl/>
        </w:rPr>
        <w:t xml:space="preserve"> רבי יהודה סובר שאי אפשר לפתיחת הקבר בלא דם, ולכן טמאה אפילו כשלא נראה דם להדיא.</w:t>
      </w:r>
      <w:r>
        <w:rPr>
          <w:rFonts w:cs="Arial"/>
          <w:sz w:val="20"/>
          <w:szCs w:val="20"/>
          <w:rtl/>
        </w:rPr>
        <w:br/>
      </w:r>
      <w:r>
        <w:rPr>
          <w:rFonts w:cs="Arial" w:hint="cs"/>
          <w:sz w:val="20"/>
          <w:szCs w:val="20"/>
          <w:rtl/>
        </w:rPr>
        <w:t>חכמים חולקים וסוברים שאפשר לפתיחת הקבר בלא דם, ולכן אם לא נראה דם טהורה אע"פ שנפתח הקבר.</w:t>
      </w:r>
      <w:r w:rsidRPr="001D502D">
        <w:rPr>
          <w:rFonts w:cs="Arial"/>
          <w:sz w:val="20"/>
          <w:szCs w:val="20"/>
          <w:rtl/>
        </w:rPr>
        <w:t xml:space="preserve"> </w:t>
      </w:r>
      <w:r>
        <w:rPr>
          <w:rFonts w:hint="cs"/>
          <w:b/>
          <w:bCs/>
          <w:sz w:val="20"/>
          <w:szCs w:val="20"/>
          <w:rtl/>
        </w:rPr>
        <w:t xml:space="preserve"> </w:t>
      </w:r>
    </w:p>
    <w:p w:rsidR="00620060" w:rsidRDefault="00620060" w:rsidP="00620060">
      <w:pPr>
        <w:rPr>
          <w:sz w:val="20"/>
          <w:szCs w:val="20"/>
          <w:rtl/>
        </w:rPr>
      </w:pPr>
      <w:r w:rsidRPr="00DC203D">
        <w:rPr>
          <w:rFonts w:hint="cs"/>
          <w:b/>
          <w:bCs/>
          <w:sz w:val="20"/>
          <w:szCs w:val="20"/>
          <w:rtl/>
        </w:rPr>
        <w:lastRenderedPageBreak/>
        <w:t>שיטות הראשונים</w:t>
      </w:r>
      <w:r>
        <w:rPr>
          <w:sz w:val="20"/>
          <w:szCs w:val="20"/>
          <w:u w:val="single"/>
          <w:rtl/>
        </w:rPr>
        <w:br/>
      </w:r>
      <w:r>
        <w:rPr>
          <w:rFonts w:hint="cs"/>
          <w:sz w:val="20"/>
          <w:szCs w:val="20"/>
          <w:rtl/>
        </w:rPr>
        <w:t xml:space="preserve">א. </w:t>
      </w:r>
      <w:r w:rsidRPr="00DC2168">
        <w:rPr>
          <w:rFonts w:hint="cs"/>
          <w:b/>
          <w:bCs/>
          <w:sz w:val="20"/>
          <w:szCs w:val="20"/>
          <w:rtl/>
        </w:rPr>
        <w:t>רא"ש</w:t>
      </w:r>
      <w:r>
        <w:rPr>
          <w:rFonts w:hint="cs"/>
          <w:sz w:val="20"/>
          <w:szCs w:val="20"/>
          <w:rtl/>
        </w:rPr>
        <w:t xml:space="preserve"> </w:t>
      </w:r>
      <w:r>
        <w:rPr>
          <w:sz w:val="20"/>
          <w:szCs w:val="20"/>
          <w:rtl/>
        </w:rPr>
        <w:t>–</w:t>
      </w:r>
      <w:r>
        <w:rPr>
          <w:rFonts w:hint="cs"/>
          <w:sz w:val="20"/>
          <w:szCs w:val="20"/>
          <w:rtl/>
        </w:rPr>
        <w:t xml:space="preserve"> הלכה</w:t>
      </w:r>
      <w:r w:rsidRPr="00272D40">
        <w:rPr>
          <w:rFonts w:hint="cs"/>
          <w:sz w:val="20"/>
          <w:szCs w:val="20"/>
          <w:rtl/>
        </w:rPr>
        <w:t xml:space="preserve"> </w:t>
      </w:r>
      <w:r>
        <w:rPr>
          <w:rFonts w:hint="cs"/>
          <w:sz w:val="20"/>
          <w:szCs w:val="20"/>
          <w:rtl/>
        </w:rPr>
        <w:t xml:space="preserve">כרבי יהודה, אי אפשר לפתיה"ק בלא דם, וכ"פ </w:t>
      </w:r>
      <w:r w:rsidRPr="00C1296C">
        <w:rPr>
          <w:rFonts w:hint="cs"/>
          <w:b/>
          <w:bCs/>
          <w:sz w:val="20"/>
          <w:szCs w:val="20"/>
          <w:rtl/>
        </w:rPr>
        <w:t>המחבר</w:t>
      </w:r>
      <w:r>
        <w:rPr>
          <w:rFonts w:hint="cs"/>
          <w:sz w:val="20"/>
          <w:szCs w:val="20"/>
          <w:rtl/>
        </w:rPr>
        <w:t>.</w:t>
      </w:r>
      <w:r>
        <w:rPr>
          <w:sz w:val="20"/>
          <w:szCs w:val="20"/>
          <w:rtl/>
        </w:rPr>
        <w:br/>
      </w:r>
      <w:r>
        <w:rPr>
          <w:rFonts w:hint="cs"/>
          <w:sz w:val="20"/>
          <w:szCs w:val="20"/>
          <w:rtl/>
        </w:rPr>
        <w:t xml:space="preserve">ב. </w:t>
      </w:r>
      <w:r w:rsidRPr="00DC2168">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הלכה כחכמים, אפשר לפתיה"ק בלא דם.</w:t>
      </w:r>
      <w:r>
        <w:rPr>
          <w:rStyle w:val="a5"/>
          <w:sz w:val="20"/>
          <w:szCs w:val="20"/>
          <w:rtl/>
        </w:rPr>
        <w:footnoteReference w:id="158"/>
      </w:r>
    </w:p>
    <w:p w:rsidR="00620060" w:rsidRDefault="00620060" w:rsidP="00620060">
      <w:pPr>
        <w:rPr>
          <w:sz w:val="20"/>
          <w:szCs w:val="20"/>
          <w:rtl/>
        </w:rPr>
      </w:pPr>
      <w:r w:rsidRPr="00DC203D">
        <w:rPr>
          <w:rFonts w:hint="cs"/>
          <w:b/>
          <w:bCs/>
          <w:sz w:val="20"/>
          <w:szCs w:val="20"/>
          <w:rtl/>
        </w:rPr>
        <w:t xml:space="preserve">הסבר שיטת הרא"ש </w:t>
      </w:r>
      <w:r w:rsidRPr="00DC203D">
        <w:rPr>
          <w:b/>
          <w:bCs/>
          <w:sz w:val="20"/>
          <w:szCs w:val="20"/>
          <w:rtl/>
        </w:rPr>
        <w:t>–</w:t>
      </w:r>
      <w:r w:rsidRPr="00DC203D">
        <w:rPr>
          <w:rFonts w:hint="cs"/>
          <w:b/>
          <w:bCs/>
          <w:sz w:val="20"/>
          <w:szCs w:val="20"/>
          <w:rtl/>
        </w:rPr>
        <w:t xml:space="preserve"> חילוק בגודל החתיכות (בית יוסף)</w:t>
      </w:r>
      <w:r>
        <w:rPr>
          <w:rFonts w:hint="cs"/>
          <w:sz w:val="20"/>
          <w:szCs w:val="20"/>
          <w:rtl/>
        </w:rPr>
        <w:br/>
      </w:r>
      <w:r w:rsidRPr="00367313">
        <w:rPr>
          <w:rFonts w:hint="cs"/>
          <w:b/>
          <w:bCs/>
          <w:sz w:val="20"/>
          <w:szCs w:val="20"/>
          <w:rtl/>
        </w:rPr>
        <w:t>טור</w:t>
      </w:r>
      <w:r>
        <w:rPr>
          <w:rFonts w:hint="cs"/>
          <w:sz w:val="20"/>
          <w:szCs w:val="20"/>
          <w:rtl/>
        </w:rPr>
        <w:t xml:space="preserve"> </w:t>
      </w:r>
      <w:r>
        <w:rPr>
          <w:sz w:val="20"/>
          <w:szCs w:val="20"/>
          <w:rtl/>
        </w:rPr>
        <w:t>–</w:t>
      </w:r>
      <w:r>
        <w:rPr>
          <w:rFonts w:hint="cs"/>
          <w:sz w:val="20"/>
          <w:szCs w:val="20"/>
          <w:rtl/>
        </w:rPr>
        <w:t xml:space="preserve"> דין חתיכות שטיהר ר"ש לעיל, נאמר דווקא בחתיכות קטנות, אך אם הפילה חתיכות גדולות </w:t>
      </w:r>
      <w:r>
        <w:rPr>
          <w:sz w:val="20"/>
          <w:szCs w:val="20"/>
          <w:rtl/>
        </w:rPr>
        <w:t>–</w:t>
      </w:r>
      <w:r>
        <w:rPr>
          <w:rFonts w:hint="cs"/>
          <w:sz w:val="20"/>
          <w:szCs w:val="20"/>
          <w:rtl/>
        </w:rPr>
        <w:t xml:space="preserve"> טמאה.</w:t>
      </w:r>
      <w:r>
        <w:rPr>
          <w:sz w:val="20"/>
          <w:szCs w:val="20"/>
          <w:rtl/>
        </w:rPr>
        <w:br/>
      </w:r>
      <w:r>
        <w:rPr>
          <w:rFonts w:hint="cs"/>
          <w:sz w:val="20"/>
          <w:szCs w:val="20"/>
          <w:rtl/>
        </w:rPr>
        <w:t xml:space="preserve">ומבאר </w:t>
      </w:r>
      <w:r w:rsidRPr="000724CB">
        <w:rPr>
          <w:rFonts w:hint="cs"/>
          <w:b/>
          <w:bCs/>
          <w:sz w:val="20"/>
          <w:szCs w:val="20"/>
          <w:rtl/>
        </w:rPr>
        <w:t>הבית יוסף</w:t>
      </w:r>
      <w:r>
        <w:rPr>
          <w:rFonts w:hint="cs"/>
          <w:sz w:val="20"/>
          <w:szCs w:val="20"/>
          <w:rtl/>
        </w:rPr>
        <w:t xml:space="preserve"> מניין למד הטור לחלק בין גודל החתיכות - </w:t>
      </w:r>
      <w:r>
        <w:rPr>
          <w:sz w:val="20"/>
          <w:szCs w:val="20"/>
          <w:rtl/>
        </w:rPr>
        <w:br/>
      </w:r>
      <w:r>
        <w:rPr>
          <w:rFonts w:hint="cs"/>
          <w:sz w:val="20"/>
          <w:szCs w:val="20"/>
          <w:rtl/>
        </w:rPr>
        <w:t>לכאורה קשה על פסק הרא"ש, שהרי פסק לגבי רואה דם בשפופרת שהיא טהורה, וכן פסק כחכמים שהרואה דם בחתיכה טהורה, אך יש לעיין בדבריו משום שלכאורה יש לטמא מחמת פתיה"ק!</w:t>
      </w:r>
      <w:r>
        <w:rPr>
          <w:sz w:val="20"/>
          <w:szCs w:val="20"/>
          <w:rtl/>
        </w:rPr>
        <w:br/>
      </w:r>
      <w:r w:rsidRPr="00DC203D">
        <w:rPr>
          <w:rFonts w:hint="cs"/>
          <w:sz w:val="20"/>
          <w:szCs w:val="20"/>
          <w:rtl/>
        </w:rPr>
        <w:t xml:space="preserve">מיישב </w:t>
      </w:r>
      <w:r>
        <w:rPr>
          <w:sz w:val="20"/>
          <w:szCs w:val="20"/>
          <w:rtl/>
        </w:rPr>
        <w:t>–</w:t>
      </w:r>
      <w:r>
        <w:rPr>
          <w:rFonts w:hint="cs"/>
          <w:sz w:val="20"/>
          <w:szCs w:val="20"/>
          <w:rtl/>
        </w:rPr>
        <w:t xml:space="preserve"> על כרחך שהרא"ש סובר רק בחתיכה גדולה שאי אפשר לפתיה"ק בלא דם, אך חתיכה קטנה אינה גורמת בהכרח לפתיה"ק.</w:t>
      </w:r>
      <w:r>
        <w:rPr>
          <w:rStyle w:val="a5"/>
          <w:sz w:val="20"/>
          <w:szCs w:val="20"/>
          <w:rtl/>
        </w:rPr>
        <w:footnoteReference w:id="159"/>
      </w:r>
      <w:r>
        <w:rPr>
          <w:rFonts w:hint="cs"/>
          <w:sz w:val="20"/>
          <w:szCs w:val="20"/>
          <w:rtl/>
        </w:rPr>
        <w:t xml:space="preserve"> </w:t>
      </w:r>
    </w:p>
    <w:p w:rsidR="00620060" w:rsidRDefault="00620060" w:rsidP="00620060">
      <w:pPr>
        <w:rPr>
          <w:sz w:val="20"/>
          <w:szCs w:val="20"/>
          <w:rtl/>
        </w:rPr>
      </w:pPr>
      <w:r>
        <w:rPr>
          <w:rFonts w:hint="cs"/>
          <w:b/>
          <w:bCs/>
          <w:sz w:val="20"/>
          <w:szCs w:val="20"/>
          <w:rtl/>
        </w:rPr>
        <w:t>דין נפל שלא נגמרה צורתו</w:t>
      </w:r>
      <w:r>
        <w:rPr>
          <w:b/>
          <w:bCs/>
          <w:sz w:val="20"/>
          <w:szCs w:val="20"/>
          <w:rtl/>
        </w:rPr>
        <w:br/>
      </w:r>
      <w:r>
        <w:rPr>
          <w:rFonts w:hint="cs"/>
          <w:sz w:val="20"/>
          <w:szCs w:val="20"/>
          <w:rtl/>
        </w:rPr>
        <w:t>נחלקו הראשונים מה דין אשה שהפילה נפל שלא נגמרה צורתו:</w:t>
      </w:r>
      <w:r>
        <w:rPr>
          <w:rFonts w:hint="cs"/>
          <w:sz w:val="20"/>
          <w:szCs w:val="20"/>
          <w:rtl/>
        </w:rPr>
        <w:br/>
        <w:t xml:space="preserve">א. </w:t>
      </w:r>
      <w:r w:rsidRPr="00C360BE">
        <w:rPr>
          <w:rFonts w:hint="cs"/>
          <w:b/>
          <w:bCs/>
          <w:sz w:val="20"/>
          <w:szCs w:val="20"/>
          <w:rtl/>
        </w:rPr>
        <w:t>רא"ש</w:t>
      </w:r>
      <w:r>
        <w:rPr>
          <w:rFonts w:hint="cs"/>
          <w:sz w:val="20"/>
          <w:szCs w:val="20"/>
          <w:rtl/>
        </w:rPr>
        <w:t xml:space="preserve"> </w:t>
      </w:r>
      <w:r>
        <w:rPr>
          <w:sz w:val="20"/>
          <w:szCs w:val="20"/>
          <w:rtl/>
        </w:rPr>
        <w:t>–</w:t>
      </w:r>
      <w:r>
        <w:rPr>
          <w:rFonts w:hint="cs"/>
          <w:sz w:val="20"/>
          <w:szCs w:val="20"/>
          <w:rtl/>
        </w:rPr>
        <w:t xml:space="preserve"> טמאה, אי אפשר לפתיה"ק בלא דם, וכ"פ </w:t>
      </w:r>
      <w:r w:rsidRPr="00305704">
        <w:rPr>
          <w:rFonts w:hint="cs"/>
          <w:b/>
          <w:bCs/>
          <w:sz w:val="20"/>
          <w:szCs w:val="20"/>
          <w:rtl/>
        </w:rPr>
        <w:t>המחבר</w:t>
      </w:r>
      <w:r>
        <w:rPr>
          <w:rFonts w:hint="cs"/>
          <w:sz w:val="20"/>
          <w:szCs w:val="20"/>
          <w:rtl/>
        </w:rPr>
        <w:t>.</w:t>
      </w:r>
      <w:r>
        <w:rPr>
          <w:rStyle w:val="a5"/>
          <w:sz w:val="20"/>
          <w:szCs w:val="20"/>
          <w:rtl/>
        </w:rPr>
        <w:footnoteReference w:id="160"/>
      </w:r>
      <w:r>
        <w:rPr>
          <w:sz w:val="20"/>
          <w:szCs w:val="20"/>
          <w:rtl/>
        </w:rPr>
        <w:br/>
      </w:r>
      <w:r>
        <w:rPr>
          <w:rFonts w:hint="cs"/>
          <w:sz w:val="20"/>
          <w:szCs w:val="20"/>
          <w:rtl/>
        </w:rPr>
        <w:t xml:space="preserve">ב. </w:t>
      </w:r>
      <w:r w:rsidRPr="00C360BE">
        <w:rPr>
          <w:rFonts w:hint="cs"/>
          <w:b/>
          <w:bCs/>
          <w:sz w:val="20"/>
          <w:szCs w:val="20"/>
          <w:rtl/>
        </w:rPr>
        <w:t>בעל השאילתות</w:t>
      </w:r>
      <w:r>
        <w:rPr>
          <w:rFonts w:hint="cs"/>
          <w:sz w:val="20"/>
          <w:szCs w:val="20"/>
          <w:rtl/>
        </w:rPr>
        <w:t xml:space="preserve"> </w:t>
      </w:r>
      <w:r>
        <w:rPr>
          <w:sz w:val="20"/>
          <w:szCs w:val="20"/>
          <w:rtl/>
        </w:rPr>
        <w:t>–</w:t>
      </w:r>
      <w:r>
        <w:rPr>
          <w:rFonts w:hint="cs"/>
          <w:sz w:val="20"/>
          <w:szCs w:val="20"/>
          <w:rtl/>
        </w:rPr>
        <w:t xml:space="preserve"> טהורה, בכה"ג אפשר שפיר לפתיה"ק בלא דם.</w:t>
      </w:r>
      <w:r>
        <w:rPr>
          <w:rFonts w:hint="cs"/>
          <w:sz w:val="20"/>
          <w:szCs w:val="20"/>
          <w:rtl/>
        </w:rPr>
        <w:br/>
      </w:r>
      <w:r w:rsidRPr="002842F0">
        <w:rPr>
          <w:rFonts w:hint="cs"/>
          <w:sz w:val="20"/>
          <w:szCs w:val="20"/>
          <w:rtl/>
        </w:rPr>
        <w:t>ואמנם, כתב ה</w:t>
      </w:r>
      <w:r w:rsidRPr="00933D21">
        <w:rPr>
          <w:rFonts w:hint="cs"/>
          <w:b/>
          <w:bCs/>
          <w:sz w:val="20"/>
          <w:szCs w:val="20"/>
          <w:rtl/>
        </w:rPr>
        <w:t>סמ"ג</w:t>
      </w:r>
      <w:r>
        <w:rPr>
          <w:rFonts w:hint="cs"/>
          <w:sz w:val="20"/>
          <w:szCs w:val="20"/>
          <w:rtl/>
        </w:rPr>
        <w:t xml:space="preserve"> שאיננו בקיאים, ולכן אף לשאילתות יש להחמיר.</w:t>
      </w:r>
      <w:r>
        <w:rPr>
          <w:sz w:val="20"/>
          <w:szCs w:val="20"/>
          <w:rtl/>
        </w:rPr>
        <w:br/>
      </w:r>
      <w:r>
        <w:rPr>
          <w:sz w:val="20"/>
          <w:szCs w:val="20"/>
          <w:rtl/>
        </w:rPr>
        <w:br/>
      </w: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EC6AF8">
        <w:rPr>
          <w:rFonts w:cs="Arial" w:hint="cs"/>
          <w:sz w:val="20"/>
          <w:szCs w:val="20"/>
          <w:rtl/>
        </w:rPr>
        <w:t>ודוקא</w:t>
      </w:r>
      <w:r w:rsidRPr="00EC6AF8">
        <w:rPr>
          <w:rFonts w:cs="Arial"/>
          <w:sz w:val="20"/>
          <w:szCs w:val="20"/>
          <w:rtl/>
        </w:rPr>
        <w:t xml:space="preserve"> </w:t>
      </w:r>
      <w:r w:rsidRPr="00EC6AF8">
        <w:rPr>
          <w:rFonts w:cs="Arial" w:hint="cs"/>
          <w:sz w:val="20"/>
          <w:szCs w:val="20"/>
          <w:rtl/>
        </w:rPr>
        <w:t>חתיכות</w:t>
      </w:r>
      <w:r w:rsidRPr="00EC6AF8">
        <w:rPr>
          <w:rFonts w:cs="Arial"/>
          <w:sz w:val="20"/>
          <w:szCs w:val="20"/>
          <w:rtl/>
        </w:rPr>
        <w:t xml:space="preserve"> </w:t>
      </w:r>
      <w:r w:rsidRPr="00EC6AF8">
        <w:rPr>
          <w:rFonts w:cs="Arial" w:hint="cs"/>
          <w:sz w:val="20"/>
          <w:szCs w:val="20"/>
          <w:rtl/>
        </w:rPr>
        <w:t>קטנות</w:t>
      </w:r>
      <w:r w:rsidRPr="00EC6AF8">
        <w:rPr>
          <w:rFonts w:cs="Arial"/>
          <w:sz w:val="20"/>
          <w:szCs w:val="20"/>
          <w:rtl/>
        </w:rPr>
        <w:t xml:space="preserve"> </w:t>
      </w:r>
      <w:r w:rsidRPr="00EC6AF8">
        <w:rPr>
          <w:rFonts w:cs="Arial" w:hint="cs"/>
          <w:sz w:val="20"/>
          <w:szCs w:val="20"/>
          <w:rtl/>
        </w:rPr>
        <w:t>דומיא</w:t>
      </w:r>
      <w:r w:rsidRPr="00EC6AF8">
        <w:rPr>
          <w:rFonts w:cs="Arial"/>
          <w:sz w:val="20"/>
          <w:szCs w:val="20"/>
          <w:rtl/>
        </w:rPr>
        <w:t xml:space="preserve"> </w:t>
      </w:r>
      <w:r w:rsidRPr="00EC6AF8">
        <w:rPr>
          <w:rFonts w:cs="Arial" w:hint="cs"/>
          <w:sz w:val="20"/>
          <w:szCs w:val="20"/>
          <w:rtl/>
        </w:rPr>
        <w:t>דשפופרת</w:t>
      </w:r>
      <w:r w:rsidRPr="00EC6AF8">
        <w:rPr>
          <w:rFonts w:cs="Arial"/>
          <w:sz w:val="20"/>
          <w:szCs w:val="20"/>
          <w:rtl/>
        </w:rPr>
        <w:t xml:space="preserve">, </w:t>
      </w:r>
      <w:r w:rsidRPr="00EC6AF8">
        <w:rPr>
          <w:rFonts w:cs="Arial" w:hint="cs"/>
          <w:sz w:val="20"/>
          <w:szCs w:val="20"/>
          <w:rtl/>
        </w:rPr>
        <w:t>אבל</w:t>
      </w:r>
      <w:r w:rsidRPr="00EC6AF8">
        <w:rPr>
          <w:rFonts w:cs="Arial"/>
          <w:sz w:val="20"/>
          <w:szCs w:val="20"/>
          <w:rtl/>
        </w:rPr>
        <w:t xml:space="preserve"> </w:t>
      </w:r>
      <w:r w:rsidRPr="00EC6AF8">
        <w:rPr>
          <w:rFonts w:cs="Arial" w:hint="cs"/>
          <w:sz w:val="20"/>
          <w:szCs w:val="20"/>
          <w:rtl/>
        </w:rPr>
        <w:t>חתיכה</w:t>
      </w:r>
      <w:r w:rsidRPr="00EC6AF8">
        <w:rPr>
          <w:rFonts w:cs="Arial"/>
          <w:sz w:val="20"/>
          <w:szCs w:val="20"/>
          <w:rtl/>
        </w:rPr>
        <w:t xml:space="preserve"> </w:t>
      </w:r>
      <w:r w:rsidRPr="00EC6AF8">
        <w:rPr>
          <w:rFonts w:cs="Arial" w:hint="cs"/>
          <w:sz w:val="20"/>
          <w:szCs w:val="20"/>
          <w:rtl/>
        </w:rPr>
        <w:t>גדולה</w:t>
      </w:r>
      <w:r w:rsidRPr="00EC6AF8">
        <w:rPr>
          <w:rFonts w:cs="Arial"/>
          <w:sz w:val="20"/>
          <w:szCs w:val="20"/>
          <w:rtl/>
        </w:rPr>
        <w:t xml:space="preserve">, </w:t>
      </w:r>
      <w:r w:rsidRPr="00EC6AF8">
        <w:rPr>
          <w:rFonts w:cs="Arial" w:hint="cs"/>
          <w:sz w:val="20"/>
          <w:szCs w:val="20"/>
          <w:rtl/>
        </w:rPr>
        <w:t>טמאה</w:t>
      </w:r>
      <w:r w:rsidRPr="00EC6AF8">
        <w:rPr>
          <w:rFonts w:cs="Arial"/>
          <w:sz w:val="20"/>
          <w:szCs w:val="20"/>
          <w:rtl/>
        </w:rPr>
        <w:t xml:space="preserve">, </w:t>
      </w:r>
      <w:r w:rsidRPr="00EC6AF8">
        <w:rPr>
          <w:rFonts w:cs="Arial" w:hint="cs"/>
          <w:sz w:val="20"/>
          <w:szCs w:val="20"/>
          <w:rtl/>
        </w:rPr>
        <w:t>אפילו</w:t>
      </w:r>
      <w:r w:rsidRPr="00EC6AF8">
        <w:rPr>
          <w:rFonts w:cs="Arial"/>
          <w:sz w:val="20"/>
          <w:szCs w:val="20"/>
          <w:rtl/>
        </w:rPr>
        <w:t xml:space="preserve"> </w:t>
      </w:r>
      <w:r w:rsidRPr="00EC6AF8">
        <w:rPr>
          <w:rFonts w:cs="Arial" w:hint="cs"/>
          <w:sz w:val="20"/>
          <w:szCs w:val="20"/>
          <w:rtl/>
        </w:rPr>
        <w:t>לא</w:t>
      </w:r>
      <w:r w:rsidRPr="00EC6AF8">
        <w:rPr>
          <w:rFonts w:cs="Arial"/>
          <w:sz w:val="20"/>
          <w:szCs w:val="20"/>
          <w:rtl/>
        </w:rPr>
        <w:t xml:space="preserve"> </w:t>
      </w:r>
      <w:r w:rsidRPr="00EC6AF8">
        <w:rPr>
          <w:rFonts w:cs="Arial" w:hint="cs"/>
          <w:sz w:val="20"/>
          <w:szCs w:val="20"/>
          <w:rtl/>
        </w:rPr>
        <w:t>ראתה</w:t>
      </w:r>
      <w:r w:rsidRPr="00EC6AF8">
        <w:rPr>
          <w:rFonts w:cs="Arial"/>
          <w:sz w:val="20"/>
          <w:szCs w:val="20"/>
          <w:rtl/>
        </w:rPr>
        <w:t xml:space="preserve"> </w:t>
      </w:r>
      <w:r w:rsidRPr="00EC6AF8">
        <w:rPr>
          <w:rFonts w:cs="Arial" w:hint="cs"/>
          <w:sz w:val="20"/>
          <w:szCs w:val="20"/>
          <w:rtl/>
        </w:rPr>
        <w:t>כלום</w:t>
      </w:r>
      <w:r w:rsidRPr="00EC6AF8">
        <w:rPr>
          <w:rFonts w:cs="Arial"/>
          <w:sz w:val="20"/>
          <w:szCs w:val="20"/>
          <w:rtl/>
        </w:rPr>
        <w:t xml:space="preserve">, </w:t>
      </w:r>
      <w:r w:rsidRPr="00EC6AF8">
        <w:rPr>
          <w:rFonts w:cs="Arial" w:hint="cs"/>
          <w:sz w:val="20"/>
          <w:szCs w:val="20"/>
          <w:rtl/>
        </w:rPr>
        <w:t>לפי</w:t>
      </w:r>
      <w:r w:rsidRPr="00EC6AF8">
        <w:rPr>
          <w:rFonts w:cs="Arial"/>
          <w:sz w:val="20"/>
          <w:szCs w:val="20"/>
          <w:rtl/>
        </w:rPr>
        <w:t xml:space="preserve"> </w:t>
      </w:r>
      <w:r w:rsidRPr="00EC6AF8">
        <w:rPr>
          <w:rFonts w:cs="Arial" w:hint="cs"/>
          <w:sz w:val="20"/>
          <w:szCs w:val="20"/>
          <w:rtl/>
        </w:rPr>
        <w:t>שאי</w:t>
      </w:r>
      <w:r w:rsidRPr="00EC6AF8">
        <w:rPr>
          <w:rFonts w:cs="Arial"/>
          <w:sz w:val="20"/>
          <w:szCs w:val="20"/>
          <w:rtl/>
        </w:rPr>
        <w:t xml:space="preserve"> </w:t>
      </w:r>
      <w:r w:rsidRPr="00EC6AF8">
        <w:rPr>
          <w:rFonts w:cs="Arial" w:hint="cs"/>
          <w:sz w:val="20"/>
          <w:szCs w:val="20"/>
          <w:rtl/>
        </w:rPr>
        <w:t>אפשר</w:t>
      </w:r>
      <w:r w:rsidRPr="00EC6AF8">
        <w:rPr>
          <w:rFonts w:cs="Arial"/>
          <w:sz w:val="20"/>
          <w:szCs w:val="20"/>
          <w:rtl/>
        </w:rPr>
        <w:t xml:space="preserve"> </w:t>
      </w:r>
      <w:r w:rsidRPr="00EC6AF8">
        <w:rPr>
          <w:rFonts w:cs="Arial" w:hint="cs"/>
          <w:sz w:val="20"/>
          <w:szCs w:val="20"/>
          <w:rtl/>
        </w:rPr>
        <w:t>לפתיחת</w:t>
      </w:r>
      <w:r w:rsidRPr="00EC6AF8">
        <w:rPr>
          <w:rFonts w:cs="Arial"/>
          <w:sz w:val="20"/>
          <w:szCs w:val="20"/>
          <w:rtl/>
        </w:rPr>
        <w:t xml:space="preserve"> </w:t>
      </w:r>
      <w:r w:rsidRPr="00EC6AF8">
        <w:rPr>
          <w:rFonts w:cs="Arial" w:hint="cs"/>
          <w:sz w:val="20"/>
          <w:szCs w:val="20"/>
          <w:rtl/>
        </w:rPr>
        <w:t>הקבר</w:t>
      </w:r>
      <w:r w:rsidRPr="00EC6AF8">
        <w:rPr>
          <w:rFonts w:cs="Arial"/>
          <w:sz w:val="20"/>
          <w:szCs w:val="20"/>
          <w:rtl/>
        </w:rPr>
        <w:t xml:space="preserve"> </w:t>
      </w:r>
      <w:r w:rsidRPr="00EC6AF8">
        <w:rPr>
          <w:rFonts w:cs="Arial" w:hint="cs"/>
          <w:sz w:val="20"/>
          <w:szCs w:val="20"/>
          <w:rtl/>
        </w:rPr>
        <w:t>בלא</w:t>
      </w:r>
      <w:r w:rsidRPr="00EC6AF8">
        <w:rPr>
          <w:rFonts w:cs="Arial"/>
          <w:sz w:val="20"/>
          <w:szCs w:val="20"/>
          <w:rtl/>
        </w:rPr>
        <w:t xml:space="preserve"> </w:t>
      </w:r>
      <w:r w:rsidRPr="00EC6AF8">
        <w:rPr>
          <w:rFonts w:cs="Arial" w:hint="cs"/>
          <w:sz w:val="20"/>
          <w:szCs w:val="20"/>
          <w:rtl/>
        </w:rPr>
        <w:t>דם</w:t>
      </w:r>
      <w:r w:rsidRPr="00EC6AF8">
        <w:rPr>
          <w:rFonts w:cs="Arial"/>
          <w:sz w:val="20"/>
          <w:szCs w:val="20"/>
          <w:rtl/>
        </w:rPr>
        <w:t xml:space="preserve">, </w:t>
      </w:r>
      <w:r w:rsidRPr="00EC6AF8">
        <w:rPr>
          <w:rFonts w:cs="Arial" w:hint="cs"/>
          <w:sz w:val="20"/>
          <w:szCs w:val="20"/>
          <w:rtl/>
        </w:rPr>
        <w:t>אפילו</w:t>
      </w:r>
      <w:r w:rsidRPr="00EC6AF8">
        <w:rPr>
          <w:rFonts w:cs="Arial"/>
          <w:sz w:val="20"/>
          <w:szCs w:val="20"/>
          <w:rtl/>
        </w:rPr>
        <w:t xml:space="preserve"> </w:t>
      </w:r>
      <w:r w:rsidRPr="00EC6AF8">
        <w:rPr>
          <w:rFonts w:cs="Arial" w:hint="cs"/>
          <w:sz w:val="20"/>
          <w:szCs w:val="20"/>
          <w:rtl/>
        </w:rPr>
        <w:t>בנפל</w:t>
      </w:r>
      <w:r w:rsidRPr="00EC6AF8">
        <w:rPr>
          <w:rFonts w:cs="Arial"/>
          <w:sz w:val="20"/>
          <w:szCs w:val="20"/>
          <w:rtl/>
        </w:rPr>
        <w:t xml:space="preserve"> </w:t>
      </w:r>
      <w:r w:rsidRPr="00EC6AF8">
        <w:rPr>
          <w:rFonts w:cs="Arial" w:hint="cs"/>
          <w:sz w:val="20"/>
          <w:szCs w:val="20"/>
          <w:rtl/>
        </w:rPr>
        <w:t>שלא</w:t>
      </w:r>
      <w:r w:rsidRPr="00EC6AF8">
        <w:rPr>
          <w:rFonts w:cs="Arial"/>
          <w:sz w:val="20"/>
          <w:szCs w:val="20"/>
          <w:rtl/>
        </w:rPr>
        <w:t xml:space="preserve"> </w:t>
      </w:r>
      <w:r w:rsidRPr="00EC6AF8">
        <w:rPr>
          <w:rFonts w:cs="Arial" w:hint="cs"/>
          <w:sz w:val="20"/>
          <w:szCs w:val="20"/>
          <w:rtl/>
        </w:rPr>
        <w:t>נגמרה</w:t>
      </w:r>
      <w:r w:rsidRPr="00EC6AF8">
        <w:rPr>
          <w:rFonts w:cs="Arial"/>
          <w:sz w:val="20"/>
          <w:szCs w:val="20"/>
          <w:rtl/>
        </w:rPr>
        <w:t xml:space="preserve"> </w:t>
      </w:r>
      <w:r w:rsidRPr="00EC6AF8">
        <w:rPr>
          <w:rFonts w:cs="Arial" w:hint="cs"/>
          <w:sz w:val="20"/>
          <w:szCs w:val="20"/>
          <w:rtl/>
        </w:rPr>
        <w:t>צורתו</w:t>
      </w:r>
      <w:r>
        <w:rPr>
          <w:rFonts w:cs="Arial" w:hint="cs"/>
          <w:sz w:val="20"/>
          <w:szCs w:val="20"/>
          <w:rtl/>
        </w:rPr>
        <w:t>".</w:t>
      </w:r>
      <w:r>
        <w:rPr>
          <w:sz w:val="20"/>
          <w:szCs w:val="20"/>
          <w:rtl/>
        </w:rPr>
        <w:br/>
      </w:r>
      <w:r w:rsidRPr="00305704">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חתיכה קטנה היא כשפופרת הדקה שבדקות.</w:t>
      </w:r>
    </w:p>
    <w:p w:rsidR="00620060" w:rsidRDefault="00620060" w:rsidP="00620060">
      <w:pPr>
        <w:rPr>
          <w:b/>
          <w:bCs/>
          <w:sz w:val="20"/>
          <w:szCs w:val="20"/>
          <w:rtl/>
        </w:rPr>
      </w:pPr>
      <w:r w:rsidRPr="00650C52">
        <w:rPr>
          <w:rFonts w:hint="cs"/>
          <w:b/>
          <w:bCs/>
          <w:sz w:val="20"/>
          <w:szCs w:val="20"/>
          <w:rtl/>
        </w:rPr>
        <w:t>סיכום</w:t>
      </w:r>
      <w:r w:rsidRPr="00650C52">
        <w:rPr>
          <w:b/>
          <w:bCs/>
          <w:sz w:val="20"/>
          <w:szCs w:val="20"/>
          <w:rtl/>
        </w:rPr>
        <w:br/>
      </w:r>
      <w:r>
        <w:rPr>
          <w:rFonts w:hint="cs"/>
          <w:sz w:val="20"/>
          <w:szCs w:val="20"/>
          <w:rtl/>
        </w:rPr>
        <w:t xml:space="preserve">1. </w:t>
      </w:r>
      <w:r w:rsidRPr="00152F44">
        <w:rPr>
          <w:rStyle w:val="10"/>
          <w:rFonts w:hint="cs"/>
          <w:rtl/>
        </w:rPr>
        <w:t>א. שפופרת</w:t>
      </w:r>
      <w:r>
        <w:rPr>
          <w:rFonts w:hint="cs"/>
          <w:sz w:val="20"/>
          <w:szCs w:val="20"/>
          <w:rtl/>
        </w:rPr>
        <w:t xml:space="preserve">. </w:t>
      </w:r>
      <w:r w:rsidRPr="00933D21">
        <w:rPr>
          <w:rFonts w:hint="cs"/>
          <w:b/>
          <w:bCs/>
          <w:sz w:val="20"/>
          <w:szCs w:val="20"/>
          <w:rtl/>
        </w:rPr>
        <w:t>גמרא</w:t>
      </w:r>
      <w:r>
        <w:rPr>
          <w:rFonts w:hint="cs"/>
          <w:sz w:val="20"/>
          <w:szCs w:val="20"/>
          <w:rtl/>
        </w:rPr>
        <w:t xml:space="preserve">. דם בשפופרת אינו מטמא. </w:t>
      </w:r>
      <w:r w:rsidRPr="00933D21">
        <w:rPr>
          <w:rFonts w:hint="cs"/>
          <w:b/>
          <w:bCs/>
          <w:sz w:val="20"/>
          <w:szCs w:val="20"/>
          <w:rtl/>
        </w:rPr>
        <w:t>רש"י</w:t>
      </w:r>
      <w:r>
        <w:rPr>
          <w:rFonts w:hint="cs"/>
          <w:sz w:val="20"/>
          <w:szCs w:val="20"/>
          <w:rtl/>
        </w:rPr>
        <w:t xml:space="preserve">. משום חציצה. </w:t>
      </w:r>
      <w:r w:rsidRPr="00933D21">
        <w:rPr>
          <w:rFonts w:hint="cs"/>
          <w:b/>
          <w:bCs/>
          <w:sz w:val="20"/>
          <w:szCs w:val="20"/>
          <w:rtl/>
        </w:rPr>
        <w:t>ר"ש</w:t>
      </w:r>
      <w:r>
        <w:rPr>
          <w:rFonts w:hint="cs"/>
          <w:sz w:val="20"/>
          <w:szCs w:val="20"/>
          <w:rtl/>
        </w:rPr>
        <w:t>. אין דרכה לראות באופן זה.</w:t>
      </w:r>
      <w:r>
        <w:rPr>
          <w:sz w:val="20"/>
          <w:szCs w:val="20"/>
          <w:rtl/>
        </w:rPr>
        <w:br/>
      </w:r>
      <w:r w:rsidRPr="00DC203D">
        <w:rPr>
          <w:rFonts w:hint="cs"/>
          <w:sz w:val="20"/>
          <w:szCs w:val="20"/>
          <w:rtl/>
        </w:rPr>
        <w:t>נפק"מ.</w:t>
      </w:r>
      <w:r>
        <w:rPr>
          <w:rFonts w:hint="cs"/>
          <w:sz w:val="20"/>
          <w:szCs w:val="20"/>
          <w:rtl/>
        </w:rPr>
        <w:t xml:space="preserve"> דם ווסת רגיל שיוצא בשפופרת. </w:t>
      </w:r>
      <w:r w:rsidRPr="00933D21">
        <w:rPr>
          <w:rFonts w:hint="cs"/>
          <w:b/>
          <w:bCs/>
          <w:sz w:val="20"/>
          <w:szCs w:val="20"/>
          <w:rtl/>
        </w:rPr>
        <w:t>רש"י</w:t>
      </w:r>
      <w:r>
        <w:rPr>
          <w:rFonts w:hint="cs"/>
          <w:sz w:val="20"/>
          <w:szCs w:val="20"/>
          <w:rtl/>
        </w:rPr>
        <w:t xml:space="preserve"> מטהר, </w:t>
      </w:r>
      <w:r w:rsidRPr="00933D21">
        <w:rPr>
          <w:rFonts w:hint="cs"/>
          <w:b/>
          <w:bCs/>
          <w:sz w:val="20"/>
          <w:szCs w:val="20"/>
          <w:rtl/>
        </w:rPr>
        <w:t xml:space="preserve">ר"ש </w:t>
      </w:r>
      <w:r>
        <w:rPr>
          <w:rFonts w:hint="cs"/>
          <w:sz w:val="20"/>
          <w:szCs w:val="20"/>
          <w:rtl/>
        </w:rPr>
        <w:t>מטמא. ולדינא אין להקל כרש"י.</w:t>
      </w:r>
      <w:r>
        <w:rPr>
          <w:sz w:val="20"/>
          <w:szCs w:val="20"/>
          <w:rtl/>
        </w:rPr>
        <w:br/>
      </w:r>
      <w:r>
        <w:rPr>
          <w:rFonts w:hint="cs"/>
          <w:sz w:val="20"/>
          <w:szCs w:val="20"/>
          <w:rtl/>
        </w:rPr>
        <w:t xml:space="preserve">2. </w:t>
      </w:r>
      <w:r w:rsidRPr="00152F44">
        <w:rPr>
          <w:rStyle w:val="10"/>
          <w:rFonts w:hint="cs"/>
          <w:rtl/>
        </w:rPr>
        <w:t>ב. חתיכה</w:t>
      </w:r>
      <w:r w:rsidRPr="007C2FCC">
        <w:rPr>
          <w:rFonts w:hint="cs"/>
          <w:sz w:val="20"/>
          <w:szCs w:val="20"/>
          <w:rtl/>
        </w:rPr>
        <w:t>.</w:t>
      </w:r>
      <w:r>
        <w:rPr>
          <w:rFonts w:hint="cs"/>
          <w:b/>
          <w:bCs/>
          <w:sz w:val="20"/>
          <w:szCs w:val="20"/>
          <w:rtl/>
        </w:rPr>
        <w:t xml:space="preserve"> </w:t>
      </w:r>
      <w:r w:rsidRPr="00933D21">
        <w:rPr>
          <w:rFonts w:hint="cs"/>
          <w:b/>
          <w:bCs/>
          <w:sz w:val="20"/>
          <w:szCs w:val="20"/>
          <w:rtl/>
        </w:rPr>
        <w:t>גמרא</w:t>
      </w:r>
      <w:r>
        <w:rPr>
          <w:rFonts w:hint="cs"/>
          <w:sz w:val="20"/>
          <w:szCs w:val="20"/>
          <w:rtl/>
        </w:rPr>
        <w:t xml:space="preserve">. רואה דם בבקעים שבחתיכה והדם נוגע בבשר. </w:t>
      </w:r>
      <w:r w:rsidRPr="00933D21">
        <w:rPr>
          <w:rFonts w:hint="cs"/>
          <w:sz w:val="20"/>
          <w:szCs w:val="20"/>
          <w:u w:val="single"/>
          <w:rtl/>
        </w:rPr>
        <w:t>ר"א</w:t>
      </w:r>
      <w:r>
        <w:rPr>
          <w:rFonts w:hint="cs"/>
          <w:sz w:val="20"/>
          <w:szCs w:val="20"/>
          <w:rtl/>
        </w:rPr>
        <w:t xml:space="preserve">. מטמא. </w:t>
      </w:r>
      <w:r w:rsidRPr="00933D21">
        <w:rPr>
          <w:rFonts w:hint="cs"/>
          <w:sz w:val="20"/>
          <w:szCs w:val="20"/>
          <w:u w:val="single"/>
          <w:rtl/>
        </w:rPr>
        <w:t>חכמים</w:t>
      </w:r>
      <w:r>
        <w:rPr>
          <w:rFonts w:hint="cs"/>
          <w:sz w:val="20"/>
          <w:szCs w:val="20"/>
          <w:rtl/>
        </w:rPr>
        <w:t>. מטהרים.</w:t>
      </w:r>
      <w:r>
        <w:rPr>
          <w:sz w:val="20"/>
          <w:szCs w:val="20"/>
          <w:rtl/>
        </w:rPr>
        <w:br/>
      </w:r>
      <w:r w:rsidRPr="00DC203D">
        <w:rPr>
          <w:rFonts w:hint="cs"/>
          <w:sz w:val="20"/>
          <w:szCs w:val="20"/>
          <w:rtl/>
        </w:rPr>
        <w:t xml:space="preserve">מהו טעם חכמים? </w:t>
      </w:r>
      <w:r w:rsidRPr="00DC203D">
        <w:rPr>
          <w:rFonts w:hint="cs"/>
          <w:b/>
          <w:bCs/>
          <w:sz w:val="20"/>
          <w:szCs w:val="20"/>
          <w:rtl/>
        </w:rPr>
        <w:t>רש</w:t>
      </w:r>
      <w:r w:rsidRPr="00933D21">
        <w:rPr>
          <w:rFonts w:hint="cs"/>
          <w:b/>
          <w:bCs/>
          <w:sz w:val="20"/>
          <w:szCs w:val="20"/>
          <w:rtl/>
        </w:rPr>
        <w:t>"י</w:t>
      </w:r>
      <w:r>
        <w:rPr>
          <w:rFonts w:hint="cs"/>
          <w:sz w:val="20"/>
          <w:szCs w:val="20"/>
          <w:rtl/>
        </w:rPr>
        <w:t xml:space="preserve">. אין זה דם נידה. </w:t>
      </w:r>
      <w:r w:rsidRPr="00933D21">
        <w:rPr>
          <w:rFonts w:hint="cs"/>
          <w:b/>
          <w:bCs/>
          <w:sz w:val="20"/>
          <w:szCs w:val="20"/>
          <w:rtl/>
        </w:rPr>
        <w:t>ר"ש</w:t>
      </w:r>
      <w:r>
        <w:rPr>
          <w:rFonts w:hint="cs"/>
          <w:sz w:val="20"/>
          <w:szCs w:val="20"/>
          <w:rtl/>
        </w:rPr>
        <w:t>. אין דרכה לראות באופן זה.</w:t>
      </w:r>
      <w:r>
        <w:rPr>
          <w:rFonts w:hint="cs"/>
          <w:sz w:val="20"/>
          <w:szCs w:val="20"/>
          <w:rtl/>
        </w:rPr>
        <w:br/>
      </w:r>
      <w:r w:rsidRPr="00DC203D">
        <w:rPr>
          <w:rFonts w:hint="cs"/>
          <w:sz w:val="20"/>
          <w:szCs w:val="20"/>
          <w:rtl/>
        </w:rPr>
        <w:t>נפק"מ.</w:t>
      </w:r>
      <w:r>
        <w:rPr>
          <w:rFonts w:hint="cs"/>
          <w:sz w:val="20"/>
          <w:szCs w:val="20"/>
          <w:rtl/>
        </w:rPr>
        <w:t xml:space="preserve"> ראתה דם נידה ודאי בבקעים. </w:t>
      </w:r>
      <w:r w:rsidRPr="00933D21">
        <w:rPr>
          <w:rFonts w:hint="cs"/>
          <w:b/>
          <w:bCs/>
          <w:sz w:val="20"/>
          <w:szCs w:val="20"/>
          <w:rtl/>
        </w:rPr>
        <w:t>רש"י</w:t>
      </w:r>
      <w:r>
        <w:rPr>
          <w:rFonts w:hint="cs"/>
          <w:sz w:val="20"/>
          <w:szCs w:val="20"/>
          <w:rtl/>
        </w:rPr>
        <w:t xml:space="preserve">. מטמא. </w:t>
      </w:r>
      <w:r w:rsidRPr="00933D21">
        <w:rPr>
          <w:rFonts w:hint="cs"/>
          <w:b/>
          <w:bCs/>
          <w:sz w:val="20"/>
          <w:szCs w:val="20"/>
          <w:rtl/>
        </w:rPr>
        <w:t>ר"ש</w:t>
      </w:r>
      <w:r>
        <w:rPr>
          <w:rFonts w:hint="cs"/>
          <w:sz w:val="20"/>
          <w:szCs w:val="20"/>
          <w:rtl/>
        </w:rPr>
        <w:t>. מטהר.</w:t>
      </w:r>
      <w:r>
        <w:rPr>
          <w:sz w:val="20"/>
          <w:szCs w:val="20"/>
          <w:rtl/>
        </w:rPr>
        <w:br/>
      </w:r>
      <w:r>
        <w:rPr>
          <w:rFonts w:hint="cs"/>
          <w:sz w:val="20"/>
          <w:szCs w:val="20"/>
          <w:rtl/>
        </w:rPr>
        <w:t xml:space="preserve">3. </w:t>
      </w:r>
      <w:r w:rsidRPr="00933D21">
        <w:rPr>
          <w:rFonts w:hint="cs"/>
          <w:b/>
          <w:bCs/>
          <w:sz w:val="20"/>
          <w:szCs w:val="20"/>
          <w:rtl/>
        </w:rPr>
        <w:t>מחבר</w:t>
      </w:r>
      <w:r>
        <w:rPr>
          <w:rFonts w:hint="cs"/>
          <w:sz w:val="20"/>
          <w:szCs w:val="20"/>
          <w:rtl/>
        </w:rPr>
        <w:t xml:space="preserve">. טהורה. </w:t>
      </w:r>
      <w:r w:rsidRPr="00933D21">
        <w:rPr>
          <w:rFonts w:hint="cs"/>
          <w:b/>
          <w:bCs/>
          <w:sz w:val="20"/>
          <w:szCs w:val="20"/>
          <w:rtl/>
        </w:rPr>
        <w:t>טעם</w:t>
      </w:r>
      <w:r>
        <w:rPr>
          <w:rFonts w:hint="cs"/>
          <w:sz w:val="20"/>
          <w:szCs w:val="20"/>
          <w:rtl/>
        </w:rPr>
        <w:t xml:space="preserve">. אין הדרך לראות כך. </w:t>
      </w:r>
      <w:r w:rsidRPr="00933D21">
        <w:rPr>
          <w:rFonts w:hint="cs"/>
          <w:b/>
          <w:bCs/>
          <w:sz w:val="20"/>
          <w:szCs w:val="20"/>
          <w:rtl/>
        </w:rPr>
        <w:t>ב"ח</w:t>
      </w:r>
      <w:r>
        <w:rPr>
          <w:rFonts w:hint="cs"/>
          <w:sz w:val="20"/>
          <w:szCs w:val="20"/>
          <w:rtl/>
        </w:rPr>
        <w:t xml:space="preserve">. טמאה. </w:t>
      </w:r>
      <w:r>
        <w:rPr>
          <w:rFonts w:hint="cs"/>
          <w:sz w:val="20"/>
          <w:szCs w:val="20"/>
          <w:rtl/>
        </w:rPr>
        <w:br/>
        <w:t xml:space="preserve">4. </w:t>
      </w:r>
      <w:r w:rsidRPr="00152F44">
        <w:rPr>
          <w:rStyle w:val="10"/>
          <w:rFonts w:hint="cs"/>
          <w:rtl/>
        </w:rPr>
        <w:t xml:space="preserve">ג. נעקר המקור. </w:t>
      </w:r>
      <w:r w:rsidRPr="00933D21">
        <w:rPr>
          <w:rFonts w:hint="cs"/>
          <w:b/>
          <w:bCs/>
          <w:sz w:val="20"/>
          <w:szCs w:val="20"/>
          <w:rtl/>
        </w:rPr>
        <w:t>ר"ש</w:t>
      </w:r>
      <w:r>
        <w:rPr>
          <w:rFonts w:hint="cs"/>
          <w:sz w:val="20"/>
          <w:szCs w:val="20"/>
          <w:rtl/>
        </w:rPr>
        <w:t xml:space="preserve">. ע"פ שיטתו שדם לא כדרכו טהור, טיהר אשה שנעקר מקורה ויצאו ממנה חתיכות. </w:t>
      </w:r>
      <w:r>
        <w:rPr>
          <w:sz w:val="20"/>
          <w:szCs w:val="20"/>
          <w:rtl/>
        </w:rPr>
        <w:br/>
      </w:r>
      <w:r w:rsidRPr="00933D21">
        <w:rPr>
          <w:rFonts w:hint="cs"/>
          <w:b/>
          <w:bCs/>
          <w:sz w:val="20"/>
          <w:szCs w:val="20"/>
          <w:rtl/>
        </w:rPr>
        <w:t>רא"ש</w:t>
      </w:r>
      <w:r>
        <w:rPr>
          <w:rFonts w:hint="cs"/>
          <w:sz w:val="20"/>
          <w:szCs w:val="20"/>
          <w:rtl/>
        </w:rPr>
        <w:t xml:space="preserve">. משמע שראתה דם בחתיכה, אך דם לבד טמא. </w:t>
      </w:r>
      <w:r w:rsidRPr="00933D21">
        <w:rPr>
          <w:rFonts w:hint="cs"/>
          <w:b/>
          <w:bCs/>
          <w:sz w:val="20"/>
          <w:szCs w:val="20"/>
          <w:rtl/>
        </w:rPr>
        <w:t>טור</w:t>
      </w:r>
      <w:r>
        <w:rPr>
          <w:rFonts w:hint="cs"/>
          <w:sz w:val="20"/>
          <w:szCs w:val="20"/>
          <w:rtl/>
        </w:rPr>
        <w:t>. משמע שאף דם לבד טהורה, יצא מחמת החתיכה.</w:t>
      </w:r>
      <w:r>
        <w:rPr>
          <w:sz w:val="20"/>
          <w:szCs w:val="20"/>
          <w:rtl/>
        </w:rPr>
        <w:br/>
      </w:r>
      <w:r>
        <w:rPr>
          <w:rFonts w:hint="cs"/>
          <w:sz w:val="20"/>
          <w:szCs w:val="20"/>
          <w:rtl/>
        </w:rPr>
        <w:t xml:space="preserve">5. </w:t>
      </w:r>
      <w:r w:rsidRPr="00933D21">
        <w:rPr>
          <w:rFonts w:hint="cs"/>
          <w:b/>
          <w:bCs/>
          <w:sz w:val="20"/>
          <w:szCs w:val="20"/>
          <w:rtl/>
        </w:rPr>
        <w:t>מחבר</w:t>
      </w:r>
      <w:r>
        <w:rPr>
          <w:rFonts w:hint="cs"/>
          <w:sz w:val="20"/>
          <w:szCs w:val="20"/>
          <w:rtl/>
        </w:rPr>
        <w:t>. נעקר מקורה ויצאו</w:t>
      </w:r>
      <w:r w:rsidRPr="00DC203D">
        <w:rPr>
          <w:rFonts w:hint="cs"/>
          <w:sz w:val="20"/>
          <w:szCs w:val="20"/>
          <w:rtl/>
        </w:rPr>
        <w:t xml:space="preserve"> חתיכות</w:t>
      </w:r>
      <w:r>
        <w:rPr>
          <w:rFonts w:hint="cs"/>
          <w:sz w:val="20"/>
          <w:szCs w:val="20"/>
          <w:rtl/>
        </w:rPr>
        <w:t xml:space="preserve"> </w:t>
      </w:r>
      <w:r>
        <w:rPr>
          <w:sz w:val="20"/>
          <w:szCs w:val="20"/>
          <w:rtl/>
        </w:rPr>
        <w:t>–</w:t>
      </w:r>
      <w:r>
        <w:rPr>
          <w:rFonts w:hint="cs"/>
          <w:sz w:val="20"/>
          <w:szCs w:val="20"/>
          <w:rtl/>
        </w:rPr>
        <w:t xml:space="preserve"> טהורה. </w:t>
      </w:r>
      <w:r w:rsidRPr="00933D21">
        <w:rPr>
          <w:rFonts w:hint="cs"/>
          <w:b/>
          <w:bCs/>
          <w:sz w:val="20"/>
          <w:szCs w:val="20"/>
          <w:rtl/>
        </w:rPr>
        <w:t>רמ"א</w:t>
      </w:r>
      <w:r>
        <w:rPr>
          <w:rFonts w:hint="cs"/>
          <w:sz w:val="20"/>
          <w:szCs w:val="20"/>
          <w:rtl/>
        </w:rPr>
        <w:t xml:space="preserve">. אפילו אם יוצא דם ממש טהורה, מחמת מכה בא לה. </w:t>
      </w:r>
      <w:r w:rsidRPr="00933D21">
        <w:rPr>
          <w:rFonts w:hint="cs"/>
          <w:b/>
          <w:bCs/>
          <w:sz w:val="20"/>
          <w:szCs w:val="20"/>
          <w:rtl/>
        </w:rPr>
        <w:t>ט"ז</w:t>
      </w:r>
      <w:r>
        <w:rPr>
          <w:rFonts w:hint="cs"/>
          <w:sz w:val="20"/>
          <w:szCs w:val="20"/>
          <w:rtl/>
        </w:rPr>
        <w:t>. טהורה אפילו אם זו ראייתה החודשית, כיוון שיוצא שלא כדרכו.</w:t>
      </w:r>
      <w:r>
        <w:rPr>
          <w:rFonts w:hint="cs"/>
          <w:sz w:val="20"/>
          <w:szCs w:val="20"/>
          <w:rtl/>
        </w:rPr>
        <w:br/>
        <w:t xml:space="preserve">7. </w:t>
      </w:r>
      <w:r w:rsidRPr="00152F44">
        <w:rPr>
          <w:rStyle w:val="10"/>
          <w:rFonts w:hint="cs"/>
          <w:rtl/>
        </w:rPr>
        <w:t>ד. פתיחת הקבר.</w:t>
      </w:r>
      <w:r w:rsidRPr="00152F44">
        <w:rPr>
          <w:rFonts w:hint="cs"/>
          <w:sz w:val="14"/>
          <w:szCs w:val="14"/>
          <w:rtl/>
        </w:rPr>
        <w:t xml:space="preserve"> </w:t>
      </w:r>
      <w:r w:rsidRPr="00933D21">
        <w:rPr>
          <w:rFonts w:hint="cs"/>
          <w:b/>
          <w:bCs/>
          <w:sz w:val="20"/>
          <w:szCs w:val="20"/>
          <w:rtl/>
        </w:rPr>
        <w:t>גמרא</w:t>
      </w:r>
      <w:r>
        <w:rPr>
          <w:rFonts w:hint="cs"/>
          <w:sz w:val="20"/>
          <w:szCs w:val="20"/>
          <w:rtl/>
        </w:rPr>
        <w:t xml:space="preserve">. </w:t>
      </w:r>
      <w:r w:rsidRPr="00933D21">
        <w:rPr>
          <w:rFonts w:hint="cs"/>
          <w:sz w:val="20"/>
          <w:szCs w:val="20"/>
          <w:u w:val="single"/>
          <w:rtl/>
        </w:rPr>
        <w:t>חכמים</w:t>
      </w:r>
      <w:r>
        <w:rPr>
          <w:rFonts w:hint="cs"/>
          <w:sz w:val="20"/>
          <w:szCs w:val="20"/>
          <w:rtl/>
        </w:rPr>
        <w:t xml:space="preserve">. אפשר לפתיה"ק בלא דם. </w:t>
      </w:r>
      <w:r w:rsidRPr="00933D21">
        <w:rPr>
          <w:rFonts w:hint="cs"/>
          <w:sz w:val="20"/>
          <w:szCs w:val="20"/>
          <w:u w:val="single"/>
          <w:rtl/>
        </w:rPr>
        <w:t>רבי יהודה</w:t>
      </w:r>
      <w:r>
        <w:rPr>
          <w:rFonts w:hint="cs"/>
          <w:sz w:val="20"/>
          <w:szCs w:val="20"/>
          <w:rtl/>
        </w:rPr>
        <w:t>. אי אפשר לפתיה"ק בלא דם.</w:t>
      </w:r>
      <w:r>
        <w:rPr>
          <w:sz w:val="20"/>
          <w:szCs w:val="20"/>
          <w:rtl/>
        </w:rPr>
        <w:br/>
      </w:r>
      <w:r>
        <w:rPr>
          <w:rFonts w:hint="cs"/>
          <w:sz w:val="20"/>
          <w:szCs w:val="20"/>
          <w:rtl/>
        </w:rPr>
        <w:t xml:space="preserve">8. </w:t>
      </w:r>
      <w:r w:rsidRPr="00933D21">
        <w:rPr>
          <w:rFonts w:hint="cs"/>
          <w:b/>
          <w:bCs/>
          <w:sz w:val="20"/>
          <w:szCs w:val="20"/>
          <w:rtl/>
        </w:rPr>
        <w:t>רא"ש</w:t>
      </w:r>
      <w:r>
        <w:rPr>
          <w:rFonts w:hint="cs"/>
          <w:sz w:val="20"/>
          <w:szCs w:val="20"/>
          <w:rtl/>
        </w:rPr>
        <w:t xml:space="preserve">. כר"י, אי אפשר לפתיה"ק בלא דם. </w:t>
      </w:r>
      <w:r w:rsidRPr="00933D21">
        <w:rPr>
          <w:rFonts w:hint="cs"/>
          <w:b/>
          <w:bCs/>
          <w:sz w:val="20"/>
          <w:szCs w:val="20"/>
          <w:rtl/>
        </w:rPr>
        <w:t>רמב"ם</w:t>
      </w:r>
      <w:r>
        <w:rPr>
          <w:rFonts w:hint="cs"/>
          <w:sz w:val="20"/>
          <w:szCs w:val="20"/>
          <w:rtl/>
        </w:rPr>
        <w:t>. כחכמים, אפשר לפתיה"ק בלא דם.</w:t>
      </w:r>
      <w:r>
        <w:rPr>
          <w:sz w:val="20"/>
          <w:szCs w:val="20"/>
          <w:rtl/>
        </w:rPr>
        <w:br/>
      </w:r>
      <w:r>
        <w:rPr>
          <w:rFonts w:hint="cs"/>
          <w:sz w:val="20"/>
          <w:szCs w:val="20"/>
          <w:rtl/>
        </w:rPr>
        <w:t xml:space="preserve">9. </w:t>
      </w:r>
      <w:r w:rsidRPr="00933D21">
        <w:rPr>
          <w:rFonts w:hint="cs"/>
          <w:b/>
          <w:bCs/>
          <w:sz w:val="20"/>
          <w:szCs w:val="20"/>
          <w:rtl/>
        </w:rPr>
        <w:t>ב"י</w:t>
      </w:r>
      <w:r>
        <w:rPr>
          <w:rFonts w:hint="cs"/>
          <w:sz w:val="20"/>
          <w:szCs w:val="20"/>
          <w:rtl/>
        </w:rPr>
        <w:t xml:space="preserve">. הרא"ש סובר כך רק בחתיכות גדולות, אך בקטנות אפשר לפתיה"ק בלא דם, וכ"פ </w:t>
      </w:r>
      <w:r w:rsidRPr="00933D21">
        <w:rPr>
          <w:rFonts w:hint="cs"/>
          <w:b/>
          <w:bCs/>
          <w:sz w:val="20"/>
          <w:szCs w:val="20"/>
          <w:rtl/>
        </w:rPr>
        <w:t>בשו"ע</w:t>
      </w:r>
      <w:r>
        <w:rPr>
          <w:rFonts w:hint="cs"/>
          <w:sz w:val="20"/>
          <w:szCs w:val="20"/>
          <w:rtl/>
        </w:rPr>
        <w:t>.</w:t>
      </w:r>
      <w:r>
        <w:rPr>
          <w:sz w:val="20"/>
          <w:szCs w:val="20"/>
          <w:rtl/>
        </w:rPr>
        <w:br/>
      </w:r>
      <w:r>
        <w:rPr>
          <w:rFonts w:hint="cs"/>
          <w:sz w:val="20"/>
          <w:szCs w:val="20"/>
          <w:rtl/>
        </w:rPr>
        <w:t xml:space="preserve">10. </w:t>
      </w:r>
      <w:r w:rsidRPr="00DC203D">
        <w:rPr>
          <w:rFonts w:hint="cs"/>
          <w:sz w:val="20"/>
          <w:szCs w:val="20"/>
          <w:rtl/>
        </w:rPr>
        <w:t>נפל שלא נגמרה צורתו.</w:t>
      </w:r>
      <w:r>
        <w:rPr>
          <w:rFonts w:hint="cs"/>
          <w:sz w:val="20"/>
          <w:szCs w:val="20"/>
          <w:rtl/>
        </w:rPr>
        <w:t xml:space="preserve"> </w:t>
      </w:r>
      <w:r w:rsidRPr="00933D21">
        <w:rPr>
          <w:rFonts w:hint="cs"/>
          <w:b/>
          <w:bCs/>
          <w:sz w:val="20"/>
          <w:szCs w:val="20"/>
          <w:rtl/>
        </w:rPr>
        <w:t>רא"ש</w:t>
      </w:r>
      <w:r>
        <w:rPr>
          <w:rFonts w:hint="cs"/>
          <w:sz w:val="20"/>
          <w:szCs w:val="20"/>
          <w:rtl/>
        </w:rPr>
        <w:t xml:space="preserve">. טמאה. </w:t>
      </w:r>
      <w:r w:rsidRPr="007C2FCC">
        <w:rPr>
          <w:rFonts w:hint="cs"/>
          <w:b/>
          <w:bCs/>
          <w:sz w:val="20"/>
          <w:szCs w:val="20"/>
          <w:rtl/>
        </w:rPr>
        <w:t>שאילתות</w:t>
      </w:r>
      <w:r>
        <w:rPr>
          <w:rFonts w:hint="cs"/>
          <w:sz w:val="20"/>
          <w:szCs w:val="20"/>
          <w:rtl/>
        </w:rPr>
        <w:t xml:space="preserve">. טהורה. </w:t>
      </w:r>
      <w:r w:rsidRPr="00933D21">
        <w:rPr>
          <w:rFonts w:hint="cs"/>
          <w:b/>
          <w:bCs/>
          <w:sz w:val="20"/>
          <w:szCs w:val="20"/>
          <w:rtl/>
        </w:rPr>
        <w:t>סמ"ג</w:t>
      </w:r>
      <w:r>
        <w:rPr>
          <w:rFonts w:hint="cs"/>
          <w:sz w:val="20"/>
          <w:szCs w:val="20"/>
          <w:rtl/>
        </w:rPr>
        <w:t>. איננו בקיאים, וגם השאילתות יחמיר.</w:t>
      </w:r>
      <w:r>
        <w:rPr>
          <w:sz w:val="20"/>
          <w:szCs w:val="20"/>
          <w:rtl/>
        </w:rPr>
        <w:br/>
      </w:r>
      <w:r>
        <w:rPr>
          <w:rFonts w:hint="cs"/>
          <w:sz w:val="20"/>
          <w:szCs w:val="20"/>
          <w:rtl/>
        </w:rPr>
        <w:t xml:space="preserve">11. </w:t>
      </w:r>
      <w:r w:rsidRPr="00933D21">
        <w:rPr>
          <w:rFonts w:hint="cs"/>
          <w:b/>
          <w:bCs/>
          <w:sz w:val="20"/>
          <w:szCs w:val="20"/>
          <w:rtl/>
        </w:rPr>
        <w:t>מחבר</w:t>
      </w:r>
      <w:r>
        <w:rPr>
          <w:rFonts w:hint="cs"/>
          <w:sz w:val="20"/>
          <w:szCs w:val="20"/>
          <w:rtl/>
        </w:rPr>
        <w:t>. היתר ר"ש לעיל נאמר דווקא בחתיכות קטנות, אך בגדולות טמאה מחמת פתיחת הקבר.</w:t>
      </w:r>
    </w:p>
    <w:p w:rsidR="00620060" w:rsidRPr="004C4685" w:rsidRDefault="00620060" w:rsidP="00620060">
      <w:pPr>
        <w:rPr>
          <w:sz w:val="20"/>
          <w:szCs w:val="20"/>
          <w:rtl/>
        </w:rPr>
      </w:pPr>
      <w:r>
        <w:rPr>
          <w:rFonts w:hint="cs"/>
          <w:b/>
          <w:bCs/>
          <w:sz w:val="20"/>
          <w:szCs w:val="20"/>
          <w:rtl/>
        </w:rPr>
        <w:lastRenderedPageBreak/>
        <w:t>הוספות</w:t>
      </w:r>
      <w:r>
        <w:rPr>
          <w:sz w:val="20"/>
          <w:szCs w:val="20"/>
          <w:u w:val="single"/>
          <w:rtl/>
        </w:rPr>
        <w:br/>
      </w:r>
      <w:r>
        <w:rPr>
          <w:rFonts w:hint="cs"/>
          <w:sz w:val="20"/>
          <w:szCs w:val="20"/>
          <w:u w:val="single"/>
          <w:rtl/>
        </w:rPr>
        <w:t>שיעור הפתיחה</w:t>
      </w:r>
      <w:r>
        <w:rPr>
          <w:sz w:val="20"/>
          <w:szCs w:val="20"/>
          <w:u w:val="single"/>
          <w:rtl/>
        </w:rPr>
        <w:br/>
      </w:r>
      <w:r w:rsidRPr="00463406">
        <w:rPr>
          <w:rFonts w:hint="cs"/>
          <w:b/>
          <w:bCs/>
          <w:sz w:val="20"/>
          <w:szCs w:val="20"/>
          <w:rtl/>
        </w:rPr>
        <w:t>אגרות משה</w:t>
      </w:r>
      <w:r>
        <w:rPr>
          <w:rFonts w:hint="cs"/>
          <w:sz w:val="20"/>
          <w:szCs w:val="20"/>
          <w:rtl/>
        </w:rPr>
        <w:t xml:space="preserve"> </w:t>
      </w:r>
      <w:r w:rsidRPr="004C4685">
        <w:rPr>
          <w:rFonts w:hint="cs"/>
          <w:sz w:val="18"/>
          <w:szCs w:val="18"/>
          <w:rtl/>
        </w:rPr>
        <w:t xml:space="preserve">(א, פט) </w:t>
      </w:r>
      <w:r>
        <w:rPr>
          <w:sz w:val="20"/>
          <w:szCs w:val="20"/>
          <w:rtl/>
        </w:rPr>
        <w:t>–</w:t>
      </w:r>
      <w:r>
        <w:rPr>
          <w:rFonts w:hint="cs"/>
          <w:sz w:val="20"/>
          <w:szCs w:val="20"/>
          <w:rtl/>
        </w:rPr>
        <w:t xml:space="preserve"> שיעור אצבע קטנה הוא שיעור פתיה"ק שמטמא.</w:t>
      </w:r>
      <w:r>
        <w:rPr>
          <w:rStyle w:val="a5"/>
          <w:sz w:val="20"/>
          <w:szCs w:val="20"/>
          <w:rtl/>
        </w:rPr>
        <w:footnoteReference w:id="161"/>
      </w:r>
    </w:p>
    <w:p w:rsidR="00620060" w:rsidRDefault="00620060" w:rsidP="00620060">
      <w:pPr>
        <w:rPr>
          <w:sz w:val="20"/>
          <w:szCs w:val="20"/>
          <w:rtl/>
        </w:rPr>
      </w:pPr>
      <w:r>
        <w:rPr>
          <w:rFonts w:hint="cs"/>
          <w:sz w:val="20"/>
          <w:szCs w:val="20"/>
          <w:u w:val="single"/>
          <w:rtl/>
        </w:rPr>
        <w:t>פתיחת הקבר ע"י גורם חיצוני</w:t>
      </w:r>
      <w:r>
        <w:rPr>
          <w:sz w:val="20"/>
          <w:szCs w:val="20"/>
          <w:u w:val="single"/>
          <w:rtl/>
        </w:rPr>
        <w:br/>
      </w:r>
      <w:r>
        <w:rPr>
          <w:rFonts w:hint="cs"/>
          <w:sz w:val="20"/>
          <w:szCs w:val="20"/>
          <w:rtl/>
        </w:rPr>
        <w:t xml:space="preserve">א. </w:t>
      </w:r>
      <w:r w:rsidRPr="00F66455">
        <w:rPr>
          <w:rFonts w:hint="cs"/>
          <w:b/>
          <w:bCs/>
          <w:sz w:val="20"/>
          <w:szCs w:val="20"/>
          <w:rtl/>
        </w:rPr>
        <w:t>בית יוסף</w:t>
      </w:r>
      <w:r>
        <w:rPr>
          <w:rFonts w:hint="cs"/>
          <w:sz w:val="20"/>
          <w:szCs w:val="20"/>
          <w:rtl/>
        </w:rPr>
        <w:t xml:space="preserve"> </w:t>
      </w:r>
      <w:r>
        <w:rPr>
          <w:sz w:val="20"/>
          <w:szCs w:val="20"/>
          <w:rtl/>
        </w:rPr>
        <w:t>–</w:t>
      </w:r>
      <w:r>
        <w:rPr>
          <w:rFonts w:hint="cs"/>
          <w:sz w:val="20"/>
          <w:szCs w:val="20"/>
          <w:rtl/>
        </w:rPr>
        <w:t xml:space="preserve"> משמע דעתו להדיא שאף בפתיחת הקבר ע"י גורם חיצוני, טמאה, מטעם הנ"ל.</w:t>
      </w:r>
      <w:r>
        <w:rPr>
          <w:rStyle w:val="a5"/>
          <w:sz w:val="20"/>
          <w:szCs w:val="20"/>
          <w:rtl/>
        </w:rPr>
        <w:footnoteReference w:id="162"/>
      </w:r>
      <w:r>
        <w:rPr>
          <w:rFonts w:hint="cs"/>
          <w:sz w:val="20"/>
          <w:szCs w:val="20"/>
          <w:rtl/>
        </w:rPr>
        <w:t xml:space="preserve"> </w:t>
      </w:r>
      <w:r>
        <w:rPr>
          <w:sz w:val="20"/>
          <w:szCs w:val="20"/>
          <w:rtl/>
        </w:rPr>
        <w:br/>
      </w:r>
      <w:r>
        <w:rPr>
          <w:rFonts w:hint="cs"/>
          <w:sz w:val="20"/>
          <w:szCs w:val="20"/>
          <w:rtl/>
        </w:rPr>
        <w:t xml:space="preserve">וכן פסק </w:t>
      </w:r>
      <w:r w:rsidRPr="00FC5B4F">
        <w:rPr>
          <w:rFonts w:hint="cs"/>
          <w:b/>
          <w:bCs/>
          <w:sz w:val="20"/>
          <w:szCs w:val="20"/>
          <w:rtl/>
        </w:rPr>
        <w:t>הנודע ביהודה</w:t>
      </w:r>
      <w:r>
        <w:rPr>
          <w:rFonts w:hint="cs"/>
          <w:sz w:val="20"/>
          <w:szCs w:val="20"/>
          <w:rtl/>
        </w:rPr>
        <w:t xml:space="preserve"> להדיא </w:t>
      </w:r>
      <w:r w:rsidRPr="00C828C4">
        <w:rPr>
          <w:rFonts w:hint="cs"/>
          <w:sz w:val="18"/>
          <w:szCs w:val="18"/>
          <w:rtl/>
        </w:rPr>
        <w:t>(עיין לקמן סימן קצד' פת"ש אות ד')</w:t>
      </w:r>
      <w:r>
        <w:rPr>
          <w:rStyle w:val="a5"/>
          <w:sz w:val="20"/>
          <w:szCs w:val="20"/>
          <w:rtl/>
        </w:rPr>
        <w:footnoteReference w:id="163"/>
      </w:r>
      <w:r>
        <w:rPr>
          <w:rFonts w:hint="cs"/>
          <w:sz w:val="20"/>
          <w:szCs w:val="20"/>
          <w:rtl/>
        </w:rPr>
        <w:t>.</w:t>
      </w:r>
      <w:r>
        <w:rPr>
          <w:sz w:val="20"/>
          <w:szCs w:val="20"/>
          <w:rtl/>
        </w:rPr>
        <w:br/>
      </w:r>
      <w:r>
        <w:rPr>
          <w:rFonts w:hint="cs"/>
          <w:sz w:val="20"/>
          <w:szCs w:val="20"/>
          <w:rtl/>
        </w:rPr>
        <w:t xml:space="preserve">ב. </w:t>
      </w:r>
      <w:r>
        <w:rPr>
          <w:rFonts w:hint="cs"/>
          <w:b/>
          <w:bCs/>
          <w:sz w:val="20"/>
          <w:szCs w:val="20"/>
          <w:rtl/>
        </w:rPr>
        <w:t xml:space="preserve">תפארת </w:t>
      </w:r>
      <w:r w:rsidRPr="00C15298">
        <w:rPr>
          <w:rFonts w:hint="cs"/>
          <w:b/>
          <w:bCs/>
          <w:sz w:val="20"/>
          <w:szCs w:val="20"/>
          <w:rtl/>
        </w:rPr>
        <w:t>למשה</w:t>
      </w:r>
      <w:r>
        <w:rPr>
          <w:rFonts w:hint="cs"/>
          <w:sz w:val="20"/>
          <w:szCs w:val="20"/>
          <w:rtl/>
        </w:rPr>
        <w:t xml:space="preserve">, </w:t>
      </w:r>
      <w:r w:rsidRPr="00C15298">
        <w:rPr>
          <w:rFonts w:hint="cs"/>
          <w:b/>
          <w:bCs/>
          <w:sz w:val="20"/>
          <w:szCs w:val="20"/>
          <w:rtl/>
        </w:rPr>
        <w:t>חזו</w:t>
      </w:r>
      <w:r w:rsidRPr="001452EB">
        <w:rPr>
          <w:rFonts w:hint="cs"/>
          <w:b/>
          <w:bCs/>
          <w:sz w:val="20"/>
          <w:szCs w:val="20"/>
          <w:rtl/>
        </w:rPr>
        <w:t>"א</w:t>
      </w:r>
      <w:r>
        <w:rPr>
          <w:rFonts w:hint="cs"/>
          <w:sz w:val="20"/>
          <w:szCs w:val="20"/>
          <w:rtl/>
        </w:rPr>
        <w:t xml:space="preserve"> </w:t>
      </w:r>
      <w:r>
        <w:rPr>
          <w:sz w:val="20"/>
          <w:szCs w:val="20"/>
          <w:rtl/>
        </w:rPr>
        <w:t>–</w:t>
      </w:r>
      <w:r>
        <w:rPr>
          <w:rFonts w:hint="cs"/>
          <w:sz w:val="20"/>
          <w:szCs w:val="20"/>
          <w:rtl/>
        </w:rPr>
        <w:t xml:space="preserve"> בפתיחה ע"י גורם חיצוני אין הכרח שייצא דם.</w:t>
      </w:r>
      <w:r>
        <w:rPr>
          <w:rStyle w:val="a5"/>
          <w:sz w:val="20"/>
          <w:szCs w:val="20"/>
          <w:rtl/>
        </w:rPr>
        <w:footnoteReference w:id="164"/>
      </w:r>
      <w:r>
        <w:rPr>
          <w:rFonts w:hint="cs"/>
          <w:sz w:val="20"/>
          <w:szCs w:val="20"/>
          <w:rtl/>
        </w:rPr>
        <w:br/>
      </w:r>
      <w:r w:rsidRPr="002C2496">
        <w:rPr>
          <w:rFonts w:hint="cs"/>
          <w:b/>
          <w:bCs/>
          <w:sz w:val="20"/>
          <w:szCs w:val="20"/>
          <w:rtl/>
        </w:rPr>
        <w:t xml:space="preserve">טעם </w:t>
      </w:r>
      <w:r>
        <w:rPr>
          <w:sz w:val="20"/>
          <w:szCs w:val="20"/>
          <w:rtl/>
        </w:rPr>
        <w:t>–</w:t>
      </w:r>
      <w:r>
        <w:rPr>
          <w:rFonts w:hint="cs"/>
          <w:sz w:val="20"/>
          <w:szCs w:val="20"/>
          <w:rtl/>
        </w:rPr>
        <w:t xml:space="preserve"> דווקא בפתיה"ק ע"י גורם פנימי שיש בו כוח הדוחה אמרינן שא"א ללא דם, משא"כ ע"י אמצעי חיצוני.</w:t>
      </w:r>
      <w:r>
        <w:rPr>
          <w:sz w:val="20"/>
          <w:szCs w:val="20"/>
          <w:rtl/>
        </w:rPr>
        <w:br/>
      </w:r>
      <w:r>
        <w:rPr>
          <w:rFonts w:hint="cs"/>
          <w:sz w:val="20"/>
          <w:szCs w:val="20"/>
          <w:rtl/>
        </w:rPr>
        <w:t>ולפי"ז בכל בדיקה רפואית הנעשית ע"י החדרת מכשיר רפואי לאותו מקום, אם לא יצא דם טהורה.</w:t>
      </w:r>
      <w:r>
        <w:rPr>
          <w:sz w:val="20"/>
          <w:szCs w:val="20"/>
          <w:rtl/>
        </w:rPr>
        <w:br/>
      </w:r>
      <w:r>
        <w:rPr>
          <w:sz w:val="20"/>
          <w:szCs w:val="20"/>
          <w:rtl/>
        </w:rPr>
        <w:br/>
      </w:r>
      <w:r w:rsidRPr="00D64CD0">
        <w:rPr>
          <w:rFonts w:hint="cs"/>
          <w:sz w:val="20"/>
          <w:szCs w:val="20"/>
          <w:rtl/>
        </w:rPr>
        <w:t>לדינא</w:t>
      </w:r>
      <w:r>
        <w:rPr>
          <w:rFonts w:hint="cs"/>
          <w:sz w:val="20"/>
          <w:szCs w:val="20"/>
          <w:rtl/>
        </w:rPr>
        <w:t xml:space="preserve"> </w:t>
      </w:r>
      <w:r>
        <w:rPr>
          <w:sz w:val="20"/>
          <w:szCs w:val="20"/>
          <w:rtl/>
        </w:rPr>
        <w:t>–</w:t>
      </w:r>
      <w:r>
        <w:rPr>
          <w:rFonts w:hint="cs"/>
          <w:sz w:val="20"/>
          <w:szCs w:val="20"/>
          <w:rtl/>
        </w:rPr>
        <w:t xml:space="preserve"> </w:t>
      </w:r>
      <w:r w:rsidRPr="003A126D">
        <w:rPr>
          <w:rFonts w:hint="cs"/>
          <w:b/>
          <w:bCs/>
          <w:sz w:val="20"/>
          <w:szCs w:val="20"/>
          <w:rtl/>
        </w:rPr>
        <w:t>טה"ב</w:t>
      </w:r>
      <w:r>
        <w:rPr>
          <w:rFonts w:hint="cs"/>
          <w:sz w:val="20"/>
          <w:szCs w:val="20"/>
          <w:rtl/>
        </w:rPr>
        <w:t xml:space="preserve"> פסק להקל בדין זה מחמת ספק ספקא, ספק הלכה כרמב"ם שאפשר לפתיה"ק בלא דם, ואף את"ל הלכה כרא"ש, שמא הלכה כתפל"מ שדין זה נאמר רק בפתיחה פנימית ולא בפתיחה ע"י גורם חיצוני.</w:t>
      </w:r>
      <w:r>
        <w:rPr>
          <w:rStyle w:val="a5"/>
          <w:sz w:val="20"/>
          <w:szCs w:val="20"/>
          <w:rtl/>
        </w:rPr>
        <w:footnoteReference w:id="165"/>
      </w:r>
      <w:r>
        <w:rPr>
          <w:sz w:val="20"/>
          <w:szCs w:val="20"/>
          <w:rtl/>
        </w:rPr>
        <w:br/>
      </w:r>
      <w:r w:rsidRPr="009C0A6C">
        <w:rPr>
          <w:rFonts w:hint="cs"/>
          <w:sz w:val="18"/>
          <w:szCs w:val="18"/>
          <w:rtl/>
        </w:rPr>
        <w:t>[עוד הוסיף להקל אפילו אם ראתה דם לאחר טיפול זה, מכיוון שיש לתלות במכה, ומהנכון שתלבש בגדי צבעונים לפני הטיפול ואז אף אם תמצא דם על בגדה, מכל מקום אינו בא בהרגשה ודנו ככתם שאינו מטמא בכה"ג].</w:t>
      </w:r>
    </w:p>
    <w:p w:rsidR="00620060" w:rsidRDefault="00620060" w:rsidP="00620060">
      <w:pPr>
        <w:rPr>
          <w:sz w:val="20"/>
          <w:szCs w:val="20"/>
          <w:rtl/>
        </w:rPr>
      </w:pPr>
      <w:r>
        <w:rPr>
          <w:rFonts w:hint="cs"/>
          <w:sz w:val="20"/>
          <w:szCs w:val="20"/>
          <w:u w:val="single"/>
          <w:rtl/>
        </w:rPr>
        <w:t>'ירידת מים'</w:t>
      </w:r>
      <w:r>
        <w:rPr>
          <w:sz w:val="20"/>
          <w:szCs w:val="20"/>
          <w:rtl/>
        </w:rPr>
        <w:br/>
      </w:r>
      <w:r>
        <w:rPr>
          <w:rFonts w:hint="cs"/>
          <w:sz w:val="20"/>
          <w:szCs w:val="20"/>
          <w:rtl/>
        </w:rPr>
        <w:t xml:space="preserve">א. עיין </w:t>
      </w:r>
      <w:r w:rsidRPr="00BB5B78">
        <w:rPr>
          <w:rFonts w:hint="cs"/>
          <w:b/>
          <w:bCs/>
          <w:sz w:val="20"/>
          <w:szCs w:val="20"/>
          <w:rtl/>
        </w:rPr>
        <w:t>טהרת הבית</w:t>
      </w:r>
      <w:r>
        <w:rPr>
          <w:rFonts w:hint="cs"/>
          <w:sz w:val="20"/>
          <w:szCs w:val="20"/>
          <w:rtl/>
        </w:rPr>
        <w:t xml:space="preserve">, חלק ב עמוד נג' </w:t>
      </w:r>
      <w:r>
        <w:rPr>
          <w:sz w:val="20"/>
          <w:szCs w:val="20"/>
          <w:rtl/>
        </w:rPr>
        <w:t>–</w:t>
      </w:r>
      <w:r>
        <w:rPr>
          <w:rFonts w:hint="cs"/>
          <w:sz w:val="20"/>
          <w:szCs w:val="20"/>
          <w:rtl/>
        </w:rPr>
        <w:t xml:space="preserve"> נד' שדן לגבי אשה מעוברת שירדו ממנה המים שלפני הלידה האם טמאה, ומסיק לדינא להקל בשופי בדין זה. וכן כתב בשו"ת </w:t>
      </w:r>
      <w:r w:rsidRPr="00BB5B78">
        <w:rPr>
          <w:rFonts w:hint="cs"/>
          <w:b/>
          <w:bCs/>
          <w:sz w:val="20"/>
          <w:szCs w:val="20"/>
          <w:rtl/>
        </w:rPr>
        <w:t>באר משה</w:t>
      </w:r>
      <w:r>
        <w:rPr>
          <w:rFonts w:hint="cs"/>
          <w:sz w:val="20"/>
          <w:szCs w:val="20"/>
          <w:rtl/>
        </w:rPr>
        <w:t xml:space="preserve"> ע"פ עדות של רופא מומחה שאין כל קשר בין ירידת המים לבין ראיית דם הלידה והצירים. </w:t>
      </w:r>
      <w:r>
        <w:rPr>
          <w:rFonts w:hint="cs"/>
          <w:sz w:val="20"/>
          <w:szCs w:val="20"/>
          <w:rtl/>
        </w:rPr>
        <w:br/>
        <w:t xml:space="preserve">וכן היא דעת </w:t>
      </w:r>
      <w:r w:rsidRPr="00C828C4">
        <w:rPr>
          <w:rFonts w:hint="cs"/>
          <w:b/>
          <w:bCs/>
          <w:sz w:val="20"/>
          <w:szCs w:val="20"/>
          <w:rtl/>
        </w:rPr>
        <w:t>הנודע ביהודה</w:t>
      </w:r>
      <w:r>
        <w:rPr>
          <w:rFonts w:hint="cs"/>
          <w:sz w:val="20"/>
          <w:szCs w:val="20"/>
          <w:rtl/>
        </w:rPr>
        <w:t xml:space="preserve"> </w:t>
      </w:r>
      <w:r w:rsidRPr="00C828C4">
        <w:rPr>
          <w:rFonts w:hint="cs"/>
          <w:sz w:val="18"/>
          <w:szCs w:val="18"/>
          <w:rtl/>
        </w:rPr>
        <w:t xml:space="preserve">(עיין פת"ש שם) </w:t>
      </w:r>
      <w:r>
        <w:rPr>
          <w:rFonts w:hint="cs"/>
          <w:sz w:val="20"/>
          <w:szCs w:val="20"/>
          <w:rtl/>
        </w:rPr>
        <w:t>שאין פתיה"ק בלא דם נאמר רק אם יצא מאותו מקום דבר גוש כמו ולד או חתיכה, אך אם לא יצא כלום או שיצא ממנו רק דבר דק מאוד, אין אומרים בכה"ג 'אי אפשר לפתיה"ק בלא דם', שהרי אם כן לא מצאת דין דם טוהר</w:t>
      </w:r>
      <w:r>
        <w:rPr>
          <w:sz w:val="20"/>
          <w:szCs w:val="20"/>
          <w:rtl/>
        </w:rPr>
        <w:br/>
      </w:r>
      <w:r>
        <w:rPr>
          <w:rFonts w:hint="cs"/>
          <w:sz w:val="20"/>
          <w:szCs w:val="20"/>
          <w:rtl/>
        </w:rPr>
        <w:t xml:space="preserve">ב. אמנם, יש מהאחרונים שכתבו להחמיר בדין זה, וכ"פ </w:t>
      </w:r>
      <w:r w:rsidRPr="00497061">
        <w:rPr>
          <w:rFonts w:hint="cs"/>
          <w:b/>
          <w:bCs/>
          <w:sz w:val="20"/>
          <w:szCs w:val="20"/>
          <w:rtl/>
        </w:rPr>
        <w:t>בבדה"ש ושבה"ל</w:t>
      </w:r>
      <w:r>
        <w:rPr>
          <w:rFonts w:hint="cs"/>
          <w:sz w:val="20"/>
          <w:szCs w:val="20"/>
          <w:rtl/>
        </w:rPr>
        <w:t>.</w:t>
      </w:r>
      <w:r>
        <w:rPr>
          <w:rStyle w:val="a5"/>
          <w:sz w:val="20"/>
          <w:szCs w:val="20"/>
          <w:rtl/>
        </w:rPr>
        <w:footnoteReference w:id="166"/>
      </w:r>
    </w:p>
    <w:p w:rsidR="00620060" w:rsidRDefault="00620060" w:rsidP="00620060">
      <w:pPr>
        <w:rPr>
          <w:sz w:val="20"/>
          <w:szCs w:val="20"/>
          <w:rtl/>
        </w:rPr>
      </w:pPr>
      <w:r>
        <w:rPr>
          <w:sz w:val="20"/>
          <w:szCs w:val="20"/>
          <w:rtl/>
        </w:rPr>
        <w:br/>
      </w:r>
      <w:r>
        <w:rPr>
          <w:rFonts w:hint="cs"/>
          <w:b/>
          <w:bCs/>
          <w:sz w:val="20"/>
          <w:szCs w:val="20"/>
          <w:rtl/>
        </w:rPr>
        <w:t xml:space="preserve">סעיף ד </w:t>
      </w:r>
      <w:r>
        <w:rPr>
          <w:b/>
          <w:bCs/>
          <w:sz w:val="20"/>
          <w:szCs w:val="20"/>
          <w:rtl/>
        </w:rPr>
        <w:t>–</w:t>
      </w:r>
      <w:r>
        <w:rPr>
          <w:rFonts w:hint="cs"/>
          <w:b/>
          <w:bCs/>
          <w:sz w:val="20"/>
          <w:szCs w:val="20"/>
          <w:rtl/>
        </w:rPr>
        <w:t xml:space="preserve"> דם יבש וחתיכות היוצאות מהמקור</w:t>
      </w:r>
      <w:r>
        <w:rPr>
          <w:b/>
          <w:bCs/>
          <w:sz w:val="20"/>
          <w:szCs w:val="20"/>
          <w:rtl/>
        </w:rPr>
        <w:br/>
      </w:r>
      <w:r>
        <w:rPr>
          <w:rFonts w:hint="cs"/>
          <w:b/>
          <w:bCs/>
          <w:sz w:val="20"/>
          <w:szCs w:val="20"/>
          <w:rtl/>
        </w:rPr>
        <w:t>מקור הדין</w:t>
      </w:r>
      <w:r>
        <w:rPr>
          <w:b/>
          <w:bCs/>
          <w:sz w:val="20"/>
          <w:szCs w:val="20"/>
          <w:rtl/>
        </w:rPr>
        <w:br/>
      </w:r>
      <w:r w:rsidRPr="00642AAF">
        <w:rPr>
          <w:rFonts w:hint="cs"/>
          <w:b/>
          <w:bCs/>
          <w:sz w:val="20"/>
          <w:szCs w:val="20"/>
          <w:rtl/>
        </w:rPr>
        <w:t>גמרא</w:t>
      </w:r>
      <w:r>
        <w:rPr>
          <w:rFonts w:hint="cs"/>
          <w:sz w:val="20"/>
          <w:szCs w:val="20"/>
          <w:rtl/>
        </w:rPr>
        <w:t xml:space="preserve"> נידה (כב. </w:t>
      </w:r>
      <w:r>
        <w:rPr>
          <w:sz w:val="20"/>
          <w:szCs w:val="20"/>
          <w:rtl/>
        </w:rPr>
        <w:t>–</w:t>
      </w:r>
      <w:r>
        <w:rPr>
          <w:rFonts w:hint="cs"/>
          <w:sz w:val="20"/>
          <w:szCs w:val="20"/>
          <w:rtl/>
        </w:rPr>
        <w:t xml:space="preserve"> כב:) "</w:t>
      </w:r>
      <w:r w:rsidRPr="00642AAF">
        <w:rPr>
          <w:rFonts w:cs="Arial" w:hint="cs"/>
          <w:sz w:val="20"/>
          <w:szCs w:val="20"/>
          <w:rtl/>
        </w:rPr>
        <w:t>בעא</w:t>
      </w:r>
      <w:r w:rsidRPr="00642AAF">
        <w:rPr>
          <w:rFonts w:cs="Arial"/>
          <w:sz w:val="20"/>
          <w:szCs w:val="20"/>
          <w:rtl/>
        </w:rPr>
        <w:t xml:space="preserve"> </w:t>
      </w:r>
      <w:r w:rsidRPr="00642AAF">
        <w:rPr>
          <w:rFonts w:cs="Arial" w:hint="cs"/>
          <w:sz w:val="20"/>
          <w:szCs w:val="20"/>
          <w:rtl/>
        </w:rPr>
        <w:t>מיניה</w:t>
      </w:r>
      <w:r w:rsidRPr="00642AAF">
        <w:rPr>
          <w:rFonts w:cs="Arial"/>
          <w:sz w:val="20"/>
          <w:szCs w:val="20"/>
          <w:rtl/>
        </w:rPr>
        <w:t xml:space="preserve"> </w:t>
      </w:r>
      <w:r w:rsidRPr="00642AAF">
        <w:rPr>
          <w:rFonts w:cs="Arial" w:hint="cs"/>
          <w:sz w:val="20"/>
          <w:szCs w:val="20"/>
          <w:rtl/>
        </w:rPr>
        <w:t>ר</w:t>
      </w:r>
      <w:r w:rsidRPr="00642AAF">
        <w:rPr>
          <w:rFonts w:cs="Arial"/>
          <w:sz w:val="20"/>
          <w:szCs w:val="20"/>
          <w:rtl/>
        </w:rPr>
        <w:t xml:space="preserve">' </w:t>
      </w:r>
      <w:r w:rsidRPr="00642AAF">
        <w:rPr>
          <w:rFonts w:cs="Arial" w:hint="cs"/>
          <w:sz w:val="20"/>
          <w:szCs w:val="20"/>
          <w:rtl/>
        </w:rPr>
        <w:t>יוסי</w:t>
      </w:r>
      <w:r w:rsidRPr="00642AAF">
        <w:rPr>
          <w:rFonts w:cs="Arial"/>
          <w:sz w:val="20"/>
          <w:szCs w:val="20"/>
          <w:rtl/>
        </w:rPr>
        <w:t xml:space="preserve"> </w:t>
      </w:r>
      <w:r w:rsidRPr="00642AAF">
        <w:rPr>
          <w:rFonts w:cs="Arial" w:hint="cs"/>
          <w:sz w:val="20"/>
          <w:szCs w:val="20"/>
          <w:rtl/>
        </w:rPr>
        <w:t>ברבי</w:t>
      </w:r>
      <w:r w:rsidRPr="00642AAF">
        <w:rPr>
          <w:rFonts w:cs="Arial"/>
          <w:sz w:val="20"/>
          <w:szCs w:val="20"/>
          <w:rtl/>
        </w:rPr>
        <w:t xml:space="preserve"> </w:t>
      </w:r>
      <w:r w:rsidRPr="00642AAF">
        <w:rPr>
          <w:rFonts w:cs="Arial" w:hint="cs"/>
          <w:sz w:val="20"/>
          <w:szCs w:val="20"/>
          <w:rtl/>
        </w:rPr>
        <w:t>חנינא</w:t>
      </w:r>
      <w:r w:rsidRPr="00642AAF">
        <w:rPr>
          <w:rFonts w:cs="Arial"/>
          <w:sz w:val="20"/>
          <w:szCs w:val="20"/>
          <w:rtl/>
        </w:rPr>
        <w:t xml:space="preserve"> </w:t>
      </w:r>
      <w:r w:rsidRPr="00642AAF">
        <w:rPr>
          <w:rFonts w:cs="Arial" w:hint="cs"/>
          <w:sz w:val="20"/>
          <w:szCs w:val="20"/>
          <w:rtl/>
        </w:rPr>
        <w:t>מרבי</w:t>
      </w:r>
      <w:r w:rsidRPr="00642AAF">
        <w:rPr>
          <w:rFonts w:cs="Arial"/>
          <w:sz w:val="20"/>
          <w:szCs w:val="20"/>
          <w:rtl/>
        </w:rPr>
        <w:t xml:space="preserve"> </w:t>
      </w:r>
      <w:r w:rsidRPr="00642AAF">
        <w:rPr>
          <w:rFonts w:cs="Arial" w:hint="cs"/>
          <w:sz w:val="20"/>
          <w:szCs w:val="20"/>
          <w:rtl/>
        </w:rPr>
        <w:t>אלעזר</w:t>
      </w:r>
      <w:r w:rsidRPr="00642AAF">
        <w:rPr>
          <w:rFonts w:cs="Arial"/>
          <w:sz w:val="20"/>
          <w:szCs w:val="20"/>
          <w:rtl/>
        </w:rPr>
        <w:t xml:space="preserve">: </w:t>
      </w:r>
      <w:r w:rsidRPr="00642AAF">
        <w:rPr>
          <w:rFonts w:cs="Arial" w:hint="cs"/>
          <w:sz w:val="20"/>
          <w:szCs w:val="20"/>
          <w:rtl/>
        </w:rPr>
        <w:t>דם</w:t>
      </w:r>
      <w:r w:rsidRPr="00642AAF">
        <w:rPr>
          <w:rFonts w:cs="Arial"/>
          <w:sz w:val="20"/>
          <w:szCs w:val="20"/>
          <w:rtl/>
        </w:rPr>
        <w:t xml:space="preserve"> </w:t>
      </w:r>
      <w:r w:rsidRPr="00642AAF">
        <w:rPr>
          <w:rFonts w:cs="Arial" w:hint="cs"/>
          <w:sz w:val="20"/>
          <w:szCs w:val="20"/>
          <w:rtl/>
        </w:rPr>
        <w:t>יבש</w:t>
      </w:r>
      <w:r w:rsidRPr="00642AAF">
        <w:rPr>
          <w:rFonts w:cs="Arial"/>
          <w:sz w:val="20"/>
          <w:szCs w:val="20"/>
          <w:rtl/>
        </w:rPr>
        <w:t xml:space="preserve"> </w:t>
      </w:r>
      <w:r w:rsidRPr="00642AAF">
        <w:rPr>
          <w:rFonts w:cs="Arial" w:hint="cs"/>
          <w:sz w:val="20"/>
          <w:szCs w:val="20"/>
          <w:rtl/>
        </w:rPr>
        <w:t>מהו</w:t>
      </w:r>
      <w:r w:rsidRPr="00642AAF">
        <w:rPr>
          <w:rFonts w:cs="Arial"/>
          <w:sz w:val="20"/>
          <w:szCs w:val="20"/>
          <w:rtl/>
        </w:rPr>
        <w:t xml:space="preserve">? </w:t>
      </w:r>
      <w:r w:rsidRPr="00642AAF">
        <w:rPr>
          <w:rFonts w:cs="Arial" w:hint="cs"/>
          <w:sz w:val="20"/>
          <w:szCs w:val="20"/>
          <w:rtl/>
        </w:rPr>
        <w:t>כי</w:t>
      </w:r>
      <w:r w:rsidRPr="00642AAF">
        <w:rPr>
          <w:rFonts w:cs="Arial"/>
          <w:sz w:val="20"/>
          <w:szCs w:val="20"/>
          <w:rtl/>
        </w:rPr>
        <w:t xml:space="preserve"> </w:t>
      </w:r>
      <w:r w:rsidRPr="00642AAF">
        <w:rPr>
          <w:rFonts w:cs="Arial" w:hint="cs"/>
          <w:sz w:val="20"/>
          <w:szCs w:val="20"/>
          <w:rtl/>
        </w:rPr>
        <w:t>יזוב</w:t>
      </w:r>
      <w:r w:rsidRPr="00642AAF">
        <w:rPr>
          <w:rFonts w:cs="Arial"/>
          <w:sz w:val="20"/>
          <w:szCs w:val="20"/>
          <w:rtl/>
        </w:rPr>
        <w:t xml:space="preserve"> </w:t>
      </w:r>
      <w:r w:rsidRPr="00642AAF">
        <w:rPr>
          <w:rFonts w:cs="Arial" w:hint="cs"/>
          <w:sz w:val="20"/>
          <w:szCs w:val="20"/>
          <w:rtl/>
        </w:rPr>
        <w:t>זוב</w:t>
      </w:r>
      <w:r w:rsidRPr="00642AAF">
        <w:rPr>
          <w:rFonts w:cs="Arial"/>
          <w:sz w:val="20"/>
          <w:szCs w:val="20"/>
          <w:rtl/>
        </w:rPr>
        <w:t xml:space="preserve"> </w:t>
      </w:r>
      <w:r w:rsidRPr="00642AAF">
        <w:rPr>
          <w:rFonts w:cs="Arial" w:hint="cs"/>
          <w:sz w:val="20"/>
          <w:szCs w:val="20"/>
          <w:rtl/>
        </w:rPr>
        <w:t>דמה</w:t>
      </w:r>
      <w:r w:rsidRPr="00642AAF">
        <w:rPr>
          <w:rFonts w:cs="Arial"/>
          <w:sz w:val="20"/>
          <w:szCs w:val="20"/>
          <w:rtl/>
        </w:rPr>
        <w:t xml:space="preserve"> </w:t>
      </w:r>
      <w:r w:rsidRPr="00642AAF">
        <w:rPr>
          <w:rFonts w:cs="Arial" w:hint="cs"/>
          <w:sz w:val="20"/>
          <w:szCs w:val="20"/>
          <w:rtl/>
        </w:rPr>
        <w:t>אמר</w:t>
      </w:r>
      <w:r w:rsidRPr="00642AAF">
        <w:rPr>
          <w:rFonts w:cs="Arial"/>
          <w:sz w:val="20"/>
          <w:szCs w:val="20"/>
          <w:rtl/>
        </w:rPr>
        <w:t xml:space="preserve"> </w:t>
      </w:r>
      <w:r w:rsidRPr="00642AAF">
        <w:rPr>
          <w:rFonts w:cs="Arial" w:hint="cs"/>
          <w:sz w:val="20"/>
          <w:szCs w:val="20"/>
          <w:rtl/>
        </w:rPr>
        <w:t>רחמנא</w:t>
      </w:r>
      <w:r w:rsidRPr="00642AAF">
        <w:rPr>
          <w:rFonts w:cs="Arial"/>
          <w:sz w:val="20"/>
          <w:szCs w:val="20"/>
          <w:rtl/>
        </w:rPr>
        <w:t xml:space="preserve"> - </w:t>
      </w:r>
      <w:r w:rsidRPr="00642AAF">
        <w:rPr>
          <w:rFonts w:cs="Arial" w:hint="cs"/>
          <w:sz w:val="20"/>
          <w:szCs w:val="20"/>
          <w:rtl/>
        </w:rPr>
        <w:t>עד</w:t>
      </w:r>
      <w:r w:rsidRPr="00642AAF">
        <w:rPr>
          <w:rFonts w:cs="Arial"/>
          <w:sz w:val="20"/>
          <w:szCs w:val="20"/>
          <w:rtl/>
        </w:rPr>
        <w:t xml:space="preserve"> </w:t>
      </w:r>
      <w:r w:rsidRPr="00642AAF">
        <w:rPr>
          <w:rFonts w:cs="Arial" w:hint="cs"/>
          <w:sz w:val="20"/>
          <w:szCs w:val="20"/>
          <w:rtl/>
        </w:rPr>
        <w:t>דמידב</w:t>
      </w:r>
      <w:r w:rsidRPr="00642AAF">
        <w:rPr>
          <w:rFonts w:cs="Arial"/>
          <w:sz w:val="20"/>
          <w:szCs w:val="20"/>
          <w:rtl/>
        </w:rPr>
        <w:t xml:space="preserve"> </w:t>
      </w:r>
      <w:r w:rsidRPr="00642AAF">
        <w:rPr>
          <w:rFonts w:cs="Arial" w:hint="cs"/>
          <w:sz w:val="20"/>
          <w:szCs w:val="20"/>
          <w:rtl/>
        </w:rPr>
        <w:t>דייב</w:t>
      </w:r>
      <w:r w:rsidRPr="00642AAF">
        <w:rPr>
          <w:rFonts w:cs="Arial"/>
          <w:sz w:val="20"/>
          <w:szCs w:val="20"/>
          <w:rtl/>
        </w:rPr>
        <w:t xml:space="preserve"> </w:t>
      </w:r>
      <w:r w:rsidRPr="00642AAF">
        <w:rPr>
          <w:rFonts w:cs="Arial" w:hint="cs"/>
          <w:sz w:val="20"/>
          <w:szCs w:val="20"/>
          <w:rtl/>
        </w:rPr>
        <w:t>ליה</w:t>
      </w:r>
      <w:r w:rsidRPr="00642AAF">
        <w:rPr>
          <w:rFonts w:cs="Arial"/>
          <w:sz w:val="20"/>
          <w:szCs w:val="20"/>
          <w:rtl/>
        </w:rPr>
        <w:t xml:space="preserve">, </w:t>
      </w:r>
      <w:r w:rsidRPr="00642AAF">
        <w:rPr>
          <w:rFonts w:cs="Arial" w:hint="cs"/>
          <w:sz w:val="20"/>
          <w:szCs w:val="20"/>
          <w:rtl/>
        </w:rPr>
        <w:t>לח</w:t>
      </w:r>
      <w:r w:rsidRPr="00642AAF">
        <w:rPr>
          <w:rFonts w:cs="Arial"/>
          <w:sz w:val="20"/>
          <w:szCs w:val="20"/>
          <w:rtl/>
        </w:rPr>
        <w:t xml:space="preserve"> - </w:t>
      </w:r>
      <w:r w:rsidRPr="00642AAF">
        <w:rPr>
          <w:rFonts w:cs="Arial" w:hint="cs"/>
          <w:sz w:val="20"/>
          <w:szCs w:val="20"/>
          <w:rtl/>
        </w:rPr>
        <w:t>אין</w:t>
      </w:r>
      <w:r w:rsidRPr="00642AAF">
        <w:rPr>
          <w:rFonts w:cs="Arial"/>
          <w:sz w:val="20"/>
          <w:szCs w:val="20"/>
          <w:rtl/>
        </w:rPr>
        <w:t xml:space="preserve">, </w:t>
      </w:r>
      <w:r w:rsidRPr="00642AAF">
        <w:rPr>
          <w:rFonts w:cs="Arial" w:hint="cs"/>
          <w:sz w:val="20"/>
          <w:szCs w:val="20"/>
          <w:rtl/>
        </w:rPr>
        <w:t>יבש</w:t>
      </w:r>
      <w:r w:rsidRPr="00642AAF">
        <w:rPr>
          <w:rFonts w:cs="Arial"/>
          <w:sz w:val="20"/>
          <w:szCs w:val="20"/>
          <w:rtl/>
        </w:rPr>
        <w:t xml:space="preserve"> - </w:t>
      </w:r>
      <w:r w:rsidRPr="00642AAF">
        <w:rPr>
          <w:rFonts w:cs="Arial" w:hint="cs"/>
          <w:sz w:val="20"/>
          <w:szCs w:val="20"/>
          <w:rtl/>
        </w:rPr>
        <w:t>לא</w:t>
      </w:r>
      <w:r w:rsidRPr="00642AAF">
        <w:rPr>
          <w:rFonts w:cs="Arial"/>
          <w:sz w:val="20"/>
          <w:szCs w:val="20"/>
          <w:rtl/>
        </w:rPr>
        <w:t xml:space="preserve">, </w:t>
      </w:r>
      <w:r w:rsidRPr="00642AAF">
        <w:rPr>
          <w:rFonts w:cs="Arial" w:hint="cs"/>
          <w:sz w:val="20"/>
          <w:szCs w:val="20"/>
          <w:rtl/>
        </w:rPr>
        <w:t>או</w:t>
      </w:r>
      <w:r w:rsidRPr="00642AAF">
        <w:rPr>
          <w:rFonts w:cs="Arial"/>
          <w:sz w:val="20"/>
          <w:szCs w:val="20"/>
          <w:rtl/>
        </w:rPr>
        <w:t xml:space="preserve"> </w:t>
      </w:r>
      <w:r w:rsidRPr="00642AAF">
        <w:rPr>
          <w:rFonts w:cs="Arial" w:hint="cs"/>
          <w:sz w:val="20"/>
          <w:szCs w:val="20"/>
          <w:rtl/>
        </w:rPr>
        <w:t>דלמא</w:t>
      </w:r>
      <w:r w:rsidRPr="00642AAF">
        <w:rPr>
          <w:rFonts w:cs="Arial"/>
          <w:sz w:val="20"/>
          <w:szCs w:val="20"/>
          <w:rtl/>
        </w:rPr>
        <w:t xml:space="preserve">: </w:t>
      </w:r>
      <w:r w:rsidRPr="00642AAF">
        <w:rPr>
          <w:rFonts w:cs="Arial" w:hint="cs"/>
          <w:sz w:val="20"/>
          <w:szCs w:val="20"/>
          <w:rtl/>
        </w:rPr>
        <w:t>האי</w:t>
      </w:r>
      <w:r w:rsidRPr="00642AAF">
        <w:rPr>
          <w:rFonts w:cs="Arial"/>
          <w:sz w:val="20"/>
          <w:szCs w:val="20"/>
          <w:rtl/>
        </w:rPr>
        <w:t xml:space="preserve"> </w:t>
      </w:r>
      <w:r w:rsidRPr="00642AAF">
        <w:rPr>
          <w:rFonts w:cs="Arial" w:hint="cs"/>
          <w:sz w:val="20"/>
          <w:szCs w:val="20"/>
          <w:rtl/>
        </w:rPr>
        <w:t>כי</w:t>
      </w:r>
      <w:r w:rsidRPr="00642AAF">
        <w:rPr>
          <w:rFonts w:cs="Arial"/>
          <w:sz w:val="20"/>
          <w:szCs w:val="20"/>
          <w:rtl/>
        </w:rPr>
        <w:t xml:space="preserve"> </w:t>
      </w:r>
      <w:r w:rsidRPr="00642AAF">
        <w:rPr>
          <w:rFonts w:cs="Arial" w:hint="cs"/>
          <w:sz w:val="20"/>
          <w:szCs w:val="20"/>
          <w:rtl/>
        </w:rPr>
        <w:t>יזוב</w:t>
      </w:r>
      <w:r w:rsidRPr="00642AAF">
        <w:rPr>
          <w:rFonts w:cs="Arial"/>
          <w:sz w:val="20"/>
          <w:szCs w:val="20"/>
          <w:rtl/>
        </w:rPr>
        <w:t xml:space="preserve"> </w:t>
      </w:r>
      <w:r w:rsidRPr="00642AAF">
        <w:rPr>
          <w:rFonts w:cs="Arial" w:hint="cs"/>
          <w:sz w:val="20"/>
          <w:szCs w:val="20"/>
          <w:rtl/>
        </w:rPr>
        <w:t>זוב</w:t>
      </w:r>
      <w:r w:rsidRPr="00642AAF">
        <w:rPr>
          <w:rFonts w:cs="Arial"/>
          <w:sz w:val="20"/>
          <w:szCs w:val="20"/>
          <w:rtl/>
        </w:rPr>
        <w:t xml:space="preserve"> </w:t>
      </w:r>
      <w:r w:rsidRPr="00642AAF">
        <w:rPr>
          <w:rFonts w:cs="Arial" w:hint="cs"/>
          <w:sz w:val="20"/>
          <w:szCs w:val="20"/>
          <w:rtl/>
        </w:rPr>
        <w:t>דמה</w:t>
      </w:r>
      <w:r w:rsidRPr="00642AAF">
        <w:rPr>
          <w:rFonts w:cs="Arial"/>
          <w:sz w:val="20"/>
          <w:szCs w:val="20"/>
          <w:rtl/>
        </w:rPr>
        <w:t xml:space="preserve"> - </w:t>
      </w:r>
      <w:r w:rsidRPr="00642AAF">
        <w:rPr>
          <w:rFonts w:cs="Arial" w:hint="cs"/>
          <w:sz w:val="20"/>
          <w:szCs w:val="20"/>
          <w:rtl/>
        </w:rPr>
        <w:t>אורחא</w:t>
      </w:r>
      <w:r w:rsidRPr="00642AAF">
        <w:rPr>
          <w:rFonts w:cs="Arial"/>
          <w:sz w:val="20"/>
          <w:szCs w:val="20"/>
          <w:rtl/>
        </w:rPr>
        <w:t xml:space="preserve"> </w:t>
      </w:r>
      <w:r w:rsidRPr="00642AAF">
        <w:rPr>
          <w:rFonts w:cs="Arial" w:hint="cs"/>
          <w:sz w:val="20"/>
          <w:szCs w:val="20"/>
          <w:rtl/>
        </w:rPr>
        <w:t>דמילתא</w:t>
      </w:r>
      <w:r w:rsidRPr="00642AAF">
        <w:rPr>
          <w:rFonts w:cs="Arial"/>
          <w:sz w:val="20"/>
          <w:szCs w:val="20"/>
          <w:rtl/>
        </w:rPr>
        <w:t xml:space="preserve"> </w:t>
      </w:r>
      <w:r w:rsidRPr="00642AAF">
        <w:rPr>
          <w:rFonts w:cs="Arial" w:hint="cs"/>
          <w:sz w:val="20"/>
          <w:szCs w:val="20"/>
          <w:rtl/>
        </w:rPr>
        <w:t>היא</w:t>
      </w:r>
      <w:r w:rsidRPr="00642AAF">
        <w:rPr>
          <w:rFonts w:cs="Arial"/>
          <w:sz w:val="20"/>
          <w:szCs w:val="20"/>
          <w:rtl/>
        </w:rPr>
        <w:t xml:space="preserve">, </w:t>
      </w:r>
      <w:r w:rsidRPr="00642AAF">
        <w:rPr>
          <w:rFonts w:cs="Arial" w:hint="cs"/>
          <w:sz w:val="20"/>
          <w:szCs w:val="20"/>
          <w:rtl/>
        </w:rPr>
        <w:t>ולעולם</w:t>
      </w:r>
      <w:r w:rsidRPr="00642AAF">
        <w:rPr>
          <w:rFonts w:cs="Arial"/>
          <w:sz w:val="20"/>
          <w:szCs w:val="20"/>
          <w:rtl/>
        </w:rPr>
        <w:t xml:space="preserve"> </w:t>
      </w:r>
      <w:r w:rsidRPr="00642AAF">
        <w:rPr>
          <w:rFonts w:cs="Arial" w:hint="cs"/>
          <w:sz w:val="20"/>
          <w:szCs w:val="20"/>
          <w:rtl/>
        </w:rPr>
        <w:t>אפילו</w:t>
      </w:r>
      <w:r w:rsidRPr="00642AAF">
        <w:rPr>
          <w:rFonts w:cs="Arial"/>
          <w:sz w:val="20"/>
          <w:szCs w:val="20"/>
          <w:rtl/>
        </w:rPr>
        <w:t xml:space="preserve"> </w:t>
      </w:r>
      <w:r w:rsidRPr="00642AAF">
        <w:rPr>
          <w:rFonts w:cs="Arial" w:hint="cs"/>
          <w:sz w:val="20"/>
          <w:szCs w:val="20"/>
          <w:rtl/>
        </w:rPr>
        <w:t>יבש</w:t>
      </w:r>
      <w:r w:rsidRPr="00642AAF">
        <w:rPr>
          <w:rFonts w:cs="Arial"/>
          <w:sz w:val="20"/>
          <w:szCs w:val="20"/>
          <w:rtl/>
        </w:rPr>
        <w:t xml:space="preserve"> </w:t>
      </w:r>
      <w:r w:rsidRPr="00642AAF">
        <w:rPr>
          <w:rFonts w:cs="Arial" w:hint="cs"/>
          <w:sz w:val="20"/>
          <w:szCs w:val="20"/>
          <w:rtl/>
        </w:rPr>
        <w:t>נמי</w:t>
      </w:r>
      <w:r w:rsidRPr="00642AAF">
        <w:rPr>
          <w:rFonts w:cs="Arial"/>
          <w:sz w:val="20"/>
          <w:szCs w:val="20"/>
          <w:rtl/>
        </w:rPr>
        <w:t xml:space="preserve">? </w:t>
      </w:r>
      <w:r w:rsidRPr="002500E5">
        <w:rPr>
          <w:rFonts w:cs="Arial"/>
          <w:sz w:val="20"/>
          <w:szCs w:val="20"/>
          <w:rtl/>
        </w:rPr>
        <w:t>לח ונעשה יבש לא קא מיבעיא לי</w:t>
      </w:r>
      <w:r>
        <w:rPr>
          <w:rFonts w:cs="Arial" w:hint="cs"/>
          <w:sz w:val="20"/>
          <w:szCs w:val="20"/>
          <w:rtl/>
        </w:rPr>
        <w:t xml:space="preserve"> </w:t>
      </w:r>
      <w:r w:rsidRPr="002500E5">
        <w:rPr>
          <w:rFonts w:cs="Arial" w:hint="cs"/>
          <w:sz w:val="18"/>
          <w:szCs w:val="18"/>
          <w:rtl/>
        </w:rPr>
        <w:t>(שדינו טמא)</w:t>
      </w:r>
      <w:r w:rsidRPr="002500E5">
        <w:rPr>
          <w:rFonts w:cs="Arial"/>
          <w:sz w:val="20"/>
          <w:szCs w:val="20"/>
          <w:rtl/>
        </w:rPr>
        <w:t xml:space="preserve">, כי מיבעיא לי - יבש מעיקרא. </w:t>
      </w:r>
      <w:r w:rsidRPr="00642AAF">
        <w:rPr>
          <w:rFonts w:cs="Arial" w:hint="cs"/>
          <w:sz w:val="20"/>
          <w:szCs w:val="20"/>
          <w:rtl/>
        </w:rPr>
        <w:t>א</w:t>
      </w:r>
      <w:r>
        <w:rPr>
          <w:rFonts w:cs="Arial" w:hint="cs"/>
          <w:sz w:val="20"/>
          <w:szCs w:val="20"/>
          <w:rtl/>
        </w:rPr>
        <w:t xml:space="preserve">מר </w:t>
      </w:r>
      <w:r w:rsidRPr="00642AAF">
        <w:rPr>
          <w:rFonts w:cs="Arial" w:hint="cs"/>
          <w:sz w:val="20"/>
          <w:szCs w:val="20"/>
          <w:rtl/>
        </w:rPr>
        <w:t>ל</w:t>
      </w:r>
      <w:r>
        <w:rPr>
          <w:rFonts w:cs="Arial" w:hint="cs"/>
          <w:sz w:val="20"/>
          <w:szCs w:val="20"/>
          <w:rtl/>
        </w:rPr>
        <w:t>יה</w:t>
      </w:r>
      <w:r w:rsidRPr="00642AAF">
        <w:rPr>
          <w:rFonts w:cs="Arial"/>
          <w:sz w:val="20"/>
          <w:szCs w:val="20"/>
          <w:rtl/>
        </w:rPr>
        <w:t xml:space="preserve">: </w:t>
      </w:r>
      <w:r w:rsidRPr="00642AAF">
        <w:rPr>
          <w:rFonts w:cs="Arial" w:hint="cs"/>
          <w:sz w:val="20"/>
          <w:szCs w:val="20"/>
          <w:rtl/>
        </w:rPr>
        <w:t>תניתוה</w:t>
      </w:r>
      <w:r w:rsidRPr="00642AAF">
        <w:rPr>
          <w:rFonts w:cs="Arial"/>
          <w:sz w:val="20"/>
          <w:szCs w:val="20"/>
          <w:rtl/>
        </w:rPr>
        <w:t xml:space="preserve">: </w:t>
      </w:r>
      <w:r w:rsidRPr="00642AAF">
        <w:rPr>
          <w:rFonts w:cs="Arial" w:hint="cs"/>
          <w:sz w:val="20"/>
          <w:szCs w:val="20"/>
          <w:rtl/>
        </w:rPr>
        <w:t>המפלת</w:t>
      </w:r>
      <w:r w:rsidRPr="00642AAF">
        <w:rPr>
          <w:rFonts w:cs="Arial"/>
          <w:sz w:val="20"/>
          <w:szCs w:val="20"/>
          <w:rtl/>
        </w:rPr>
        <w:t xml:space="preserve"> </w:t>
      </w:r>
      <w:r w:rsidRPr="00642AAF">
        <w:rPr>
          <w:rFonts w:cs="Arial" w:hint="cs"/>
          <w:sz w:val="20"/>
          <w:szCs w:val="20"/>
          <w:rtl/>
        </w:rPr>
        <w:t>כמין</w:t>
      </w:r>
      <w:r w:rsidRPr="00642AAF">
        <w:rPr>
          <w:rFonts w:cs="Arial"/>
          <w:sz w:val="20"/>
          <w:szCs w:val="20"/>
          <w:rtl/>
        </w:rPr>
        <w:t xml:space="preserve"> </w:t>
      </w:r>
      <w:r w:rsidRPr="00642AAF">
        <w:rPr>
          <w:rFonts w:cs="Arial" w:hint="cs"/>
          <w:sz w:val="20"/>
          <w:szCs w:val="20"/>
          <w:rtl/>
        </w:rPr>
        <w:t>קליפה</w:t>
      </w:r>
      <w:r w:rsidRPr="00642AAF">
        <w:rPr>
          <w:rFonts w:cs="Arial"/>
          <w:sz w:val="20"/>
          <w:szCs w:val="20"/>
          <w:rtl/>
        </w:rPr>
        <w:t xml:space="preserve">, </w:t>
      </w:r>
      <w:r w:rsidRPr="00642AAF">
        <w:rPr>
          <w:rFonts w:cs="Arial" w:hint="cs"/>
          <w:sz w:val="20"/>
          <w:szCs w:val="20"/>
          <w:rtl/>
        </w:rPr>
        <w:t>כמין</w:t>
      </w:r>
      <w:r w:rsidRPr="00642AAF">
        <w:rPr>
          <w:rFonts w:cs="Arial"/>
          <w:sz w:val="20"/>
          <w:szCs w:val="20"/>
          <w:rtl/>
        </w:rPr>
        <w:t xml:space="preserve"> </w:t>
      </w:r>
      <w:r w:rsidRPr="00642AAF">
        <w:rPr>
          <w:rFonts w:cs="Arial" w:hint="cs"/>
          <w:sz w:val="20"/>
          <w:szCs w:val="20"/>
          <w:rtl/>
        </w:rPr>
        <w:t>שערה</w:t>
      </w:r>
      <w:r w:rsidRPr="00642AAF">
        <w:rPr>
          <w:rFonts w:cs="Arial"/>
          <w:sz w:val="20"/>
          <w:szCs w:val="20"/>
          <w:rtl/>
        </w:rPr>
        <w:t xml:space="preserve">, </w:t>
      </w:r>
      <w:r w:rsidRPr="00642AAF">
        <w:rPr>
          <w:rFonts w:cs="Arial" w:hint="cs"/>
          <w:sz w:val="20"/>
          <w:szCs w:val="20"/>
          <w:rtl/>
        </w:rPr>
        <w:t>כמין</w:t>
      </w:r>
      <w:r w:rsidRPr="00642AAF">
        <w:rPr>
          <w:rFonts w:cs="Arial"/>
          <w:sz w:val="20"/>
          <w:szCs w:val="20"/>
          <w:rtl/>
        </w:rPr>
        <w:t xml:space="preserve"> </w:t>
      </w:r>
      <w:r w:rsidRPr="00642AAF">
        <w:rPr>
          <w:rFonts w:cs="Arial" w:hint="cs"/>
          <w:sz w:val="20"/>
          <w:szCs w:val="20"/>
          <w:rtl/>
        </w:rPr>
        <w:t>עפר</w:t>
      </w:r>
      <w:r w:rsidRPr="00642AAF">
        <w:rPr>
          <w:rFonts w:cs="Arial"/>
          <w:sz w:val="20"/>
          <w:szCs w:val="20"/>
          <w:rtl/>
        </w:rPr>
        <w:t xml:space="preserve">, </w:t>
      </w:r>
      <w:r w:rsidRPr="00642AAF">
        <w:rPr>
          <w:rFonts w:cs="Arial" w:hint="cs"/>
          <w:sz w:val="20"/>
          <w:szCs w:val="20"/>
          <w:rtl/>
        </w:rPr>
        <w:t>כמין</w:t>
      </w:r>
      <w:r w:rsidRPr="00642AAF">
        <w:rPr>
          <w:rFonts w:cs="Arial"/>
          <w:sz w:val="20"/>
          <w:szCs w:val="20"/>
          <w:rtl/>
        </w:rPr>
        <w:t xml:space="preserve"> </w:t>
      </w:r>
      <w:r w:rsidRPr="00642AAF">
        <w:rPr>
          <w:rFonts w:cs="Arial" w:hint="cs"/>
          <w:sz w:val="20"/>
          <w:szCs w:val="20"/>
          <w:rtl/>
        </w:rPr>
        <w:t>יבחושין</w:t>
      </w:r>
      <w:r w:rsidRPr="00642AAF">
        <w:rPr>
          <w:rFonts w:cs="Arial"/>
          <w:sz w:val="20"/>
          <w:szCs w:val="20"/>
          <w:rtl/>
        </w:rPr>
        <w:t xml:space="preserve"> </w:t>
      </w:r>
      <w:r w:rsidRPr="00642AAF">
        <w:rPr>
          <w:rFonts w:cs="Arial" w:hint="cs"/>
          <w:sz w:val="20"/>
          <w:szCs w:val="20"/>
          <w:rtl/>
        </w:rPr>
        <w:t>אדומין</w:t>
      </w:r>
      <w:r w:rsidRPr="00642AAF">
        <w:rPr>
          <w:rFonts w:cs="Arial"/>
          <w:sz w:val="20"/>
          <w:szCs w:val="20"/>
          <w:rtl/>
        </w:rPr>
        <w:t xml:space="preserve"> - </w:t>
      </w:r>
      <w:r w:rsidRPr="00642AAF">
        <w:rPr>
          <w:rFonts w:cs="Arial" w:hint="cs"/>
          <w:sz w:val="20"/>
          <w:szCs w:val="20"/>
          <w:rtl/>
        </w:rPr>
        <w:t>תטיל</w:t>
      </w:r>
      <w:r w:rsidRPr="00642AAF">
        <w:rPr>
          <w:rFonts w:cs="Arial"/>
          <w:sz w:val="20"/>
          <w:szCs w:val="20"/>
          <w:rtl/>
        </w:rPr>
        <w:t xml:space="preserve"> </w:t>
      </w:r>
      <w:r w:rsidRPr="00642AAF">
        <w:rPr>
          <w:rFonts w:cs="Arial" w:hint="cs"/>
          <w:sz w:val="20"/>
          <w:szCs w:val="20"/>
          <w:rtl/>
        </w:rPr>
        <w:t>למים</w:t>
      </w:r>
      <w:r w:rsidRPr="00642AAF">
        <w:rPr>
          <w:rFonts w:cs="Arial"/>
          <w:sz w:val="20"/>
          <w:szCs w:val="20"/>
          <w:rtl/>
        </w:rPr>
        <w:t>,</w:t>
      </w:r>
      <w:r w:rsidRPr="00642AAF">
        <w:rPr>
          <w:rFonts w:hint="cs"/>
          <w:rtl/>
        </w:rPr>
        <w:t xml:space="preserve"> </w:t>
      </w:r>
      <w:r w:rsidRPr="00642AAF">
        <w:rPr>
          <w:rFonts w:cs="Arial" w:hint="cs"/>
          <w:sz w:val="20"/>
          <w:szCs w:val="20"/>
          <w:rtl/>
        </w:rPr>
        <w:t>אם</w:t>
      </w:r>
      <w:r w:rsidRPr="00642AAF">
        <w:rPr>
          <w:rFonts w:cs="Arial"/>
          <w:sz w:val="20"/>
          <w:szCs w:val="20"/>
          <w:rtl/>
        </w:rPr>
        <w:t xml:space="preserve"> </w:t>
      </w:r>
      <w:r w:rsidRPr="00642AAF">
        <w:rPr>
          <w:rFonts w:cs="Arial" w:hint="cs"/>
          <w:sz w:val="20"/>
          <w:szCs w:val="20"/>
          <w:rtl/>
        </w:rPr>
        <w:t>נ</w:t>
      </w:r>
      <w:r>
        <w:rPr>
          <w:rFonts w:cs="Arial" w:hint="cs"/>
          <w:sz w:val="20"/>
          <w:szCs w:val="20"/>
          <w:rtl/>
        </w:rPr>
        <w:t>י</w:t>
      </w:r>
      <w:r w:rsidRPr="00642AAF">
        <w:rPr>
          <w:rFonts w:cs="Arial" w:hint="cs"/>
          <w:sz w:val="20"/>
          <w:szCs w:val="20"/>
          <w:rtl/>
        </w:rPr>
        <w:t>מוחו</w:t>
      </w:r>
      <w:r w:rsidRPr="00642AAF">
        <w:rPr>
          <w:rFonts w:cs="Arial"/>
          <w:sz w:val="20"/>
          <w:szCs w:val="20"/>
          <w:rtl/>
        </w:rPr>
        <w:t xml:space="preserve"> </w:t>
      </w:r>
      <w:r>
        <w:rPr>
          <w:rFonts w:cs="Arial"/>
          <w:sz w:val="20"/>
          <w:szCs w:val="20"/>
          <w:rtl/>
        </w:rPr>
        <w:t>–</w:t>
      </w:r>
      <w:r w:rsidRPr="00642AAF">
        <w:rPr>
          <w:rFonts w:cs="Arial"/>
          <w:sz w:val="20"/>
          <w:szCs w:val="20"/>
          <w:rtl/>
        </w:rPr>
        <w:t xml:space="preserve"> </w:t>
      </w:r>
      <w:r w:rsidRPr="00642AAF">
        <w:rPr>
          <w:rFonts w:cs="Arial" w:hint="cs"/>
          <w:sz w:val="20"/>
          <w:szCs w:val="20"/>
          <w:rtl/>
        </w:rPr>
        <w:t>טמאה</w:t>
      </w:r>
      <w:r>
        <w:rPr>
          <w:rFonts w:cs="Arial" w:hint="cs"/>
          <w:sz w:val="20"/>
          <w:szCs w:val="20"/>
          <w:rtl/>
        </w:rPr>
        <w:t xml:space="preserve"> </w:t>
      </w:r>
      <w:r w:rsidRPr="00642AAF">
        <w:rPr>
          <w:rFonts w:cs="Arial" w:hint="cs"/>
          <w:sz w:val="18"/>
          <w:szCs w:val="18"/>
          <w:rtl/>
        </w:rPr>
        <w:t>(רש"י - דדם</w:t>
      </w:r>
      <w:r w:rsidRPr="00642AAF">
        <w:rPr>
          <w:rFonts w:cs="Arial"/>
          <w:sz w:val="18"/>
          <w:szCs w:val="18"/>
          <w:rtl/>
        </w:rPr>
        <w:t xml:space="preserve"> </w:t>
      </w:r>
      <w:r w:rsidRPr="00642AAF">
        <w:rPr>
          <w:rFonts w:cs="Arial" w:hint="cs"/>
          <w:sz w:val="18"/>
          <w:szCs w:val="18"/>
          <w:rtl/>
        </w:rPr>
        <w:t>הוא</w:t>
      </w:r>
      <w:r>
        <w:rPr>
          <w:rFonts w:cs="Arial" w:hint="cs"/>
          <w:sz w:val="18"/>
          <w:szCs w:val="18"/>
          <w:rtl/>
        </w:rPr>
        <w:t>,</w:t>
      </w:r>
      <w:r w:rsidRPr="00642AAF">
        <w:rPr>
          <w:rFonts w:cs="Arial"/>
          <w:sz w:val="18"/>
          <w:szCs w:val="18"/>
          <w:rtl/>
        </w:rPr>
        <w:t xml:space="preserve"> </w:t>
      </w:r>
      <w:r w:rsidRPr="00642AAF">
        <w:rPr>
          <w:rFonts w:cs="Arial" w:hint="cs"/>
          <w:sz w:val="18"/>
          <w:szCs w:val="18"/>
          <w:rtl/>
        </w:rPr>
        <w:t>אלמא</w:t>
      </w:r>
      <w:r w:rsidRPr="00642AAF">
        <w:rPr>
          <w:rFonts w:cs="Arial"/>
          <w:sz w:val="18"/>
          <w:szCs w:val="18"/>
          <w:rtl/>
        </w:rPr>
        <w:t xml:space="preserve"> </w:t>
      </w:r>
      <w:r w:rsidRPr="00642AAF">
        <w:rPr>
          <w:rFonts w:cs="Arial" w:hint="cs"/>
          <w:sz w:val="18"/>
          <w:szCs w:val="18"/>
          <w:rtl/>
        </w:rPr>
        <w:t>אף</w:t>
      </w:r>
      <w:r w:rsidRPr="00642AAF">
        <w:rPr>
          <w:rFonts w:cs="Arial"/>
          <w:sz w:val="18"/>
          <w:szCs w:val="18"/>
          <w:rtl/>
        </w:rPr>
        <w:t xml:space="preserve"> </w:t>
      </w:r>
      <w:r w:rsidRPr="00642AAF">
        <w:rPr>
          <w:rFonts w:cs="Arial" w:hint="cs"/>
          <w:sz w:val="18"/>
          <w:szCs w:val="18"/>
          <w:rtl/>
        </w:rPr>
        <w:t>על</w:t>
      </w:r>
      <w:r w:rsidRPr="00642AAF">
        <w:rPr>
          <w:rFonts w:cs="Arial"/>
          <w:sz w:val="18"/>
          <w:szCs w:val="18"/>
          <w:rtl/>
        </w:rPr>
        <w:t xml:space="preserve"> </w:t>
      </w:r>
      <w:r w:rsidRPr="00642AAF">
        <w:rPr>
          <w:rFonts w:cs="Arial" w:hint="cs"/>
          <w:sz w:val="18"/>
          <w:szCs w:val="18"/>
          <w:rtl/>
        </w:rPr>
        <w:t>גב</w:t>
      </w:r>
      <w:r w:rsidRPr="00642AAF">
        <w:rPr>
          <w:rFonts w:cs="Arial"/>
          <w:sz w:val="18"/>
          <w:szCs w:val="18"/>
          <w:rtl/>
        </w:rPr>
        <w:t xml:space="preserve"> </w:t>
      </w:r>
      <w:r w:rsidRPr="00642AAF">
        <w:rPr>
          <w:rFonts w:cs="Arial" w:hint="cs"/>
          <w:sz w:val="18"/>
          <w:szCs w:val="18"/>
          <w:rtl/>
        </w:rPr>
        <w:t>דכי</w:t>
      </w:r>
      <w:r w:rsidRPr="00642AAF">
        <w:rPr>
          <w:rFonts w:cs="Arial"/>
          <w:sz w:val="18"/>
          <w:szCs w:val="18"/>
          <w:rtl/>
        </w:rPr>
        <w:t xml:space="preserve"> </w:t>
      </w:r>
      <w:r w:rsidRPr="00642AAF">
        <w:rPr>
          <w:rFonts w:cs="Arial" w:hint="cs"/>
          <w:sz w:val="18"/>
          <w:szCs w:val="18"/>
          <w:rtl/>
        </w:rPr>
        <w:t>חזיתיה</w:t>
      </w:r>
      <w:r w:rsidRPr="00642AAF">
        <w:rPr>
          <w:rFonts w:cs="Arial"/>
          <w:sz w:val="18"/>
          <w:szCs w:val="18"/>
          <w:rtl/>
        </w:rPr>
        <w:t xml:space="preserve"> </w:t>
      </w:r>
      <w:r w:rsidRPr="00642AAF">
        <w:rPr>
          <w:rFonts w:cs="Arial" w:hint="cs"/>
          <w:sz w:val="18"/>
          <w:szCs w:val="18"/>
          <w:rtl/>
        </w:rPr>
        <w:t>יבש</w:t>
      </w:r>
      <w:r w:rsidRPr="00642AAF">
        <w:rPr>
          <w:rFonts w:cs="Arial"/>
          <w:sz w:val="18"/>
          <w:szCs w:val="18"/>
          <w:rtl/>
        </w:rPr>
        <w:t xml:space="preserve"> </w:t>
      </w:r>
      <w:r w:rsidRPr="00642AAF">
        <w:rPr>
          <w:rFonts w:cs="Arial" w:hint="cs"/>
          <w:sz w:val="18"/>
          <w:szCs w:val="18"/>
          <w:rtl/>
        </w:rPr>
        <w:t>היה</w:t>
      </w:r>
      <w:r w:rsidRPr="00642AAF">
        <w:rPr>
          <w:rFonts w:cs="Arial"/>
          <w:sz w:val="18"/>
          <w:szCs w:val="18"/>
          <w:rtl/>
        </w:rPr>
        <w:t xml:space="preserve"> </w:t>
      </w:r>
      <w:r w:rsidRPr="00642AAF">
        <w:rPr>
          <w:rFonts w:cs="Arial" w:hint="cs"/>
          <w:sz w:val="18"/>
          <w:szCs w:val="18"/>
          <w:rtl/>
        </w:rPr>
        <w:t>כעפר)</w:t>
      </w:r>
      <w:r w:rsidRPr="00642AAF">
        <w:rPr>
          <w:rFonts w:cs="Arial"/>
          <w:sz w:val="20"/>
          <w:szCs w:val="20"/>
          <w:rtl/>
        </w:rPr>
        <w:t xml:space="preserve">. </w:t>
      </w:r>
      <w:r w:rsidRPr="00642AAF">
        <w:rPr>
          <w:rFonts w:cs="Arial" w:hint="cs"/>
          <w:sz w:val="20"/>
          <w:szCs w:val="20"/>
          <w:rtl/>
        </w:rPr>
        <w:t>אי</w:t>
      </w:r>
      <w:r w:rsidRPr="00642AAF">
        <w:rPr>
          <w:rFonts w:cs="Arial"/>
          <w:sz w:val="20"/>
          <w:szCs w:val="20"/>
          <w:rtl/>
        </w:rPr>
        <w:t xml:space="preserve"> </w:t>
      </w:r>
      <w:r w:rsidRPr="00642AAF">
        <w:rPr>
          <w:rFonts w:cs="Arial" w:hint="cs"/>
          <w:sz w:val="20"/>
          <w:szCs w:val="20"/>
          <w:rtl/>
        </w:rPr>
        <w:t>הכי</w:t>
      </w:r>
      <w:r w:rsidRPr="00642AAF">
        <w:rPr>
          <w:rFonts w:cs="Arial"/>
          <w:sz w:val="20"/>
          <w:szCs w:val="20"/>
          <w:rtl/>
        </w:rPr>
        <w:t xml:space="preserve"> - </w:t>
      </w:r>
      <w:r w:rsidRPr="00642AAF">
        <w:rPr>
          <w:rFonts w:cs="Arial" w:hint="cs"/>
          <w:sz w:val="20"/>
          <w:szCs w:val="20"/>
          <w:rtl/>
        </w:rPr>
        <w:t>בלא</w:t>
      </w:r>
      <w:r w:rsidRPr="00642AAF">
        <w:rPr>
          <w:rFonts w:cs="Arial"/>
          <w:sz w:val="20"/>
          <w:szCs w:val="20"/>
          <w:rtl/>
        </w:rPr>
        <w:t xml:space="preserve"> </w:t>
      </w:r>
      <w:r w:rsidRPr="00642AAF">
        <w:rPr>
          <w:rFonts w:cs="Arial" w:hint="cs"/>
          <w:sz w:val="20"/>
          <w:szCs w:val="20"/>
          <w:rtl/>
        </w:rPr>
        <w:t>נ</w:t>
      </w:r>
      <w:r>
        <w:rPr>
          <w:rFonts w:cs="Arial" w:hint="cs"/>
          <w:sz w:val="20"/>
          <w:szCs w:val="20"/>
          <w:rtl/>
        </w:rPr>
        <w:t>י</w:t>
      </w:r>
      <w:r w:rsidRPr="00642AAF">
        <w:rPr>
          <w:rFonts w:cs="Arial" w:hint="cs"/>
          <w:sz w:val="20"/>
          <w:szCs w:val="20"/>
          <w:rtl/>
        </w:rPr>
        <w:t>מוחו</w:t>
      </w:r>
      <w:r w:rsidRPr="00642AAF">
        <w:rPr>
          <w:rFonts w:cs="Arial"/>
          <w:sz w:val="20"/>
          <w:szCs w:val="20"/>
          <w:rtl/>
        </w:rPr>
        <w:t xml:space="preserve"> </w:t>
      </w:r>
      <w:r w:rsidRPr="00642AAF">
        <w:rPr>
          <w:rFonts w:cs="Arial" w:hint="cs"/>
          <w:sz w:val="20"/>
          <w:szCs w:val="20"/>
          <w:rtl/>
        </w:rPr>
        <w:t>נמי</w:t>
      </w:r>
      <w:r w:rsidRPr="00642AAF">
        <w:rPr>
          <w:rFonts w:cs="Arial"/>
          <w:sz w:val="20"/>
          <w:szCs w:val="20"/>
          <w:rtl/>
        </w:rPr>
        <w:t xml:space="preserve">: </w:t>
      </w:r>
      <w:r w:rsidRPr="00642AAF">
        <w:rPr>
          <w:rFonts w:cs="Arial" w:hint="cs"/>
          <w:sz w:val="20"/>
          <w:szCs w:val="20"/>
          <w:rtl/>
        </w:rPr>
        <w:t>אמר</w:t>
      </w:r>
      <w:r w:rsidRPr="00642AAF">
        <w:rPr>
          <w:rFonts w:cs="Arial"/>
          <w:sz w:val="20"/>
          <w:szCs w:val="20"/>
          <w:rtl/>
        </w:rPr>
        <w:t xml:space="preserve"> </w:t>
      </w:r>
      <w:r w:rsidRPr="00642AAF">
        <w:rPr>
          <w:rFonts w:cs="Arial" w:hint="cs"/>
          <w:sz w:val="20"/>
          <w:szCs w:val="20"/>
          <w:rtl/>
        </w:rPr>
        <w:t>רבה</w:t>
      </w:r>
      <w:r w:rsidRPr="00642AAF">
        <w:rPr>
          <w:rFonts w:cs="Arial"/>
          <w:sz w:val="20"/>
          <w:szCs w:val="20"/>
          <w:rtl/>
        </w:rPr>
        <w:t xml:space="preserve">: </w:t>
      </w:r>
      <w:r w:rsidRPr="00642AAF">
        <w:rPr>
          <w:rFonts w:cs="Arial" w:hint="cs"/>
          <w:sz w:val="20"/>
          <w:szCs w:val="20"/>
          <w:rtl/>
        </w:rPr>
        <w:t>כי</w:t>
      </w:r>
      <w:r w:rsidRPr="00642AAF">
        <w:rPr>
          <w:rFonts w:cs="Arial"/>
          <w:sz w:val="20"/>
          <w:szCs w:val="20"/>
          <w:rtl/>
        </w:rPr>
        <w:t xml:space="preserve"> </w:t>
      </w:r>
      <w:r w:rsidRPr="00642AAF">
        <w:rPr>
          <w:rFonts w:cs="Arial" w:hint="cs"/>
          <w:sz w:val="20"/>
          <w:szCs w:val="20"/>
          <w:rtl/>
        </w:rPr>
        <w:t>לא</w:t>
      </w:r>
      <w:r w:rsidRPr="00642AAF">
        <w:rPr>
          <w:rFonts w:cs="Arial"/>
          <w:sz w:val="20"/>
          <w:szCs w:val="20"/>
          <w:rtl/>
        </w:rPr>
        <w:t xml:space="preserve"> </w:t>
      </w:r>
      <w:r w:rsidRPr="00642AAF">
        <w:rPr>
          <w:rFonts w:cs="Arial" w:hint="cs"/>
          <w:sz w:val="20"/>
          <w:szCs w:val="20"/>
          <w:rtl/>
        </w:rPr>
        <w:t>נ</w:t>
      </w:r>
      <w:r>
        <w:rPr>
          <w:rFonts w:cs="Arial" w:hint="cs"/>
          <w:sz w:val="20"/>
          <w:szCs w:val="20"/>
          <w:rtl/>
        </w:rPr>
        <w:t>י</w:t>
      </w:r>
      <w:r w:rsidRPr="00642AAF">
        <w:rPr>
          <w:rFonts w:cs="Arial" w:hint="cs"/>
          <w:sz w:val="20"/>
          <w:szCs w:val="20"/>
          <w:rtl/>
        </w:rPr>
        <w:t>מוחו</w:t>
      </w:r>
      <w:r w:rsidRPr="00642AAF">
        <w:rPr>
          <w:rFonts w:cs="Arial"/>
          <w:sz w:val="20"/>
          <w:szCs w:val="20"/>
          <w:rtl/>
        </w:rPr>
        <w:t xml:space="preserve"> - </w:t>
      </w:r>
      <w:r w:rsidRPr="00642AAF">
        <w:rPr>
          <w:rFonts w:cs="Arial" w:hint="cs"/>
          <w:sz w:val="20"/>
          <w:szCs w:val="20"/>
          <w:rtl/>
        </w:rPr>
        <w:t>בריה</w:t>
      </w:r>
      <w:r w:rsidRPr="00642AAF">
        <w:rPr>
          <w:rFonts w:cs="Arial"/>
          <w:sz w:val="20"/>
          <w:szCs w:val="20"/>
          <w:rtl/>
        </w:rPr>
        <w:t xml:space="preserve"> </w:t>
      </w:r>
      <w:r w:rsidRPr="00642AAF">
        <w:rPr>
          <w:rFonts w:cs="Arial" w:hint="cs"/>
          <w:sz w:val="20"/>
          <w:szCs w:val="20"/>
          <w:rtl/>
        </w:rPr>
        <w:t>בפני</w:t>
      </w:r>
      <w:r w:rsidRPr="00642AAF">
        <w:rPr>
          <w:rFonts w:cs="Arial"/>
          <w:sz w:val="20"/>
          <w:szCs w:val="20"/>
          <w:rtl/>
        </w:rPr>
        <w:t xml:space="preserve"> </w:t>
      </w:r>
      <w:r w:rsidRPr="00642AAF">
        <w:rPr>
          <w:rFonts w:cs="Arial" w:hint="cs"/>
          <w:sz w:val="20"/>
          <w:szCs w:val="20"/>
          <w:rtl/>
        </w:rPr>
        <w:t>עצמה</w:t>
      </w:r>
      <w:r w:rsidRPr="00642AAF">
        <w:rPr>
          <w:rFonts w:cs="Arial"/>
          <w:sz w:val="20"/>
          <w:szCs w:val="20"/>
          <w:rtl/>
        </w:rPr>
        <w:t xml:space="preserve"> </w:t>
      </w:r>
      <w:r w:rsidRPr="00642AAF">
        <w:rPr>
          <w:rFonts w:cs="Arial" w:hint="cs"/>
          <w:sz w:val="20"/>
          <w:szCs w:val="20"/>
          <w:rtl/>
        </w:rPr>
        <w:t>היא</w:t>
      </w:r>
      <w:r>
        <w:rPr>
          <w:rFonts w:cs="Arial" w:hint="cs"/>
          <w:sz w:val="20"/>
          <w:szCs w:val="20"/>
          <w:rtl/>
        </w:rPr>
        <w:t>"</w:t>
      </w:r>
      <w:r w:rsidRPr="00642AAF">
        <w:rPr>
          <w:rFonts w:cs="Arial"/>
          <w:sz w:val="20"/>
          <w:szCs w:val="20"/>
          <w:rtl/>
        </w:rPr>
        <w:t>.</w:t>
      </w:r>
      <w:r>
        <w:rPr>
          <w:rFonts w:hint="cs"/>
          <w:sz w:val="20"/>
          <w:szCs w:val="20"/>
          <w:rtl/>
        </w:rPr>
        <w:br/>
      </w:r>
      <w:r w:rsidRPr="007A28D3">
        <w:rPr>
          <w:rFonts w:hint="cs"/>
          <w:b/>
          <w:bCs/>
          <w:sz w:val="20"/>
          <w:szCs w:val="20"/>
          <w:rtl/>
        </w:rPr>
        <w:t>רא"ש</w:t>
      </w:r>
      <w:r>
        <w:rPr>
          <w:rFonts w:hint="cs"/>
          <w:sz w:val="20"/>
          <w:szCs w:val="20"/>
          <w:rtl/>
        </w:rPr>
        <w:t xml:space="preserve"> </w:t>
      </w:r>
      <w:r>
        <w:rPr>
          <w:sz w:val="20"/>
          <w:szCs w:val="20"/>
          <w:rtl/>
        </w:rPr>
        <w:t>–</w:t>
      </w:r>
      <w:r>
        <w:rPr>
          <w:rFonts w:hint="cs"/>
          <w:sz w:val="20"/>
          <w:szCs w:val="20"/>
          <w:rtl/>
        </w:rPr>
        <w:t xml:space="preserve"> 'בריה בפני עצמה', הכוונה היא שאין זו תולדת דם אלא מחמת מכה שיש לה במעיה.</w:t>
      </w:r>
    </w:p>
    <w:p w:rsidR="00620060" w:rsidRDefault="00620060" w:rsidP="00620060">
      <w:pPr>
        <w:rPr>
          <w:sz w:val="20"/>
          <w:szCs w:val="20"/>
          <w:rtl/>
        </w:rPr>
      </w:pPr>
      <w:r>
        <w:rPr>
          <w:rFonts w:cs="Arial" w:hint="cs"/>
          <w:b/>
          <w:bCs/>
          <w:sz w:val="20"/>
          <w:szCs w:val="20"/>
          <w:rtl/>
        </w:rPr>
        <w:t>משך השרייה</w:t>
      </w:r>
      <w:r>
        <w:rPr>
          <w:rFonts w:cs="Arial"/>
          <w:sz w:val="20"/>
          <w:szCs w:val="20"/>
          <w:rtl/>
        </w:rPr>
        <w:br/>
      </w:r>
      <w:r w:rsidRPr="00DB60E9">
        <w:rPr>
          <w:rFonts w:hint="cs"/>
          <w:b/>
          <w:bCs/>
          <w:sz w:val="20"/>
          <w:szCs w:val="20"/>
          <w:rtl/>
        </w:rPr>
        <w:t>גמרא</w:t>
      </w:r>
      <w:r>
        <w:rPr>
          <w:rFonts w:hint="cs"/>
          <w:sz w:val="20"/>
          <w:szCs w:val="20"/>
          <w:rtl/>
        </w:rPr>
        <w:t xml:space="preserve"> (שם) </w:t>
      </w:r>
      <w:r>
        <w:rPr>
          <w:rFonts w:cs="Arial" w:hint="cs"/>
          <w:sz w:val="20"/>
          <w:szCs w:val="20"/>
          <w:rtl/>
        </w:rPr>
        <w:t>"</w:t>
      </w:r>
      <w:r w:rsidRPr="0012095F">
        <w:rPr>
          <w:rFonts w:cs="Arial" w:hint="cs"/>
          <w:sz w:val="20"/>
          <w:szCs w:val="20"/>
          <w:rtl/>
        </w:rPr>
        <w:t>התם</w:t>
      </w:r>
      <w:r w:rsidRPr="0012095F">
        <w:rPr>
          <w:rFonts w:cs="Arial"/>
          <w:sz w:val="20"/>
          <w:szCs w:val="20"/>
          <w:rtl/>
        </w:rPr>
        <w:t xml:space="preserve"> </w:t>
      </w:r>
      <w:r w:rsidRPr="0012095F">
        <w:rPr>
          <w:rFonts w:cs="Arial" w:hint="cs"/>
          <w:sz w:val="20"/>
          <w:szCs w:val="20"/>
          <w:rtl/>
        </w:rPr>
        <w:t>תנן</w:t>
      </w:r>
      <w:r w:rsidRPr="0012095F">
        <w:rPr>
          <w:rFonts w:cs="Arial"/>
          <w:sz w:val="20"/>
          <w:szCs w:val="20"/>
          <w:rtl/>
        </w:rPr>
        <w:t xml:space="preserve">: </w:t>
      </w:r>
      <w:r w:rsidRPr="0012095F">
        <w:rPr>
          <w:rFonts w:cs="Arial" w:hint="cs"/>
          <w:sz w:val="20"/>
          <w:szCs w:val="20"/>
          <w:rtl/>
        </w:rPr>
        <w:t>כמה</w:t>
      </w:r>
      <w:r w:rsidRPr="0012095F">
        <w:rPr>
          <w:rFonts w:cs="Arial"/>
          <w:sz w:val="20"/>
          <w:szCs w:val="20"/>
          <w:rtl/>
        </w:rPr>
        <w:t xml:space="preserve"> </w:t>
      </w:r>
      <w:r w:rsidRPr="0012095F">
        <w:rPr>
          <w:rFonts w:cs="Arial" w:hint="cs"/>
          <w:sz w:val="20"/>
          <w:szCs w:val="20"/>
          <w:rtl/>
        </w:rPr>
        <w:t>היא</w:t>
      </w:r>
      <w:r w:rsidRPr="0012095F">
        <w:rPr>
          <w:rFonts w:cs="Arial"/>
          <w:sz w:val="20"/>
          <w:szCs w:val="20"/>
          <w:rtl/>
        </w:rPr>
        <w:t xml:space="preserve"> </w:t>
      </w:r>
      <w:r w:rsidRPr="0012095F">
        <w:rPr>
          <w:rFonts w:cs="Arial" w:hint="cs"/>
          <w:sz w:val="20"/>
          <w:szCs w:val="20"/>
          <w:rtl/>
        </w:rPr>
        <w:t>שרייתן</w:t>
      </w:r>
      <w:r w:rsidRPr="0012095F">
        <w:rPr>
          <w:rFonts w:cs="Arial"/>
          <w:sz w:val="20"/>
          <w:szCs w:val="20"/>
          <w:rtl/>
        </w:rPr>
        <w:t xml:space="preserve"> </w:t>
      </w:r>
      <w:r w:rsidRPr="0012095F">
        <w:rPr>
          <w:rFonts w:cs="Arial" w:hint="cs"/>
          <w:sz w:val="20"/>
          <w:szCs w:val="20"/>
          <w:rtl/>
        </w:rPr>
        <w:t>בפושרין</w:t>
      </w:r>
      <w:r w:rsidRPr="0012095F">
        <w:rPr>
          <w:rFonts w:cs="Arial"/>
          <w:sz w:val="20"/>
          <w:szCs w:val="20"/>
          <w:rtl/>
        </w:rPr>
        <w:t xml:space="preserve"> - </w:t>
      </w:r>
      <w:r w:rsidRPr="0012095F">
        <w:rPr>
          <w:rFonts w:cs="Arial" w:hint="cs"/>
          <w:sz w:val="20"/>
          <w:szCs w:val="20"/>
          <w:rtl/>
        </w:rPr>
        <w:t>מעת</w:t>
      </w:r>
      <w:r w:rsidRPr="0012095F">
        <w:rPr>
          <w:rFonts w:cs="Arial"/>
          <w:sz w:val="20"/>
          <w:szCs w:val="20"/>
          <w:rtl/>
        </w:rPr>
        <w:t xml:space="preserve"> </w:t>
      </w:r>
      <w:r w:rsidRPr="0012095F">
        <w:rPr>
          <w:rFonts w:cs="Arial" w:hint="cs"/>
          <w:sz w:val="20"/>
          <w:szCs w:val="20"/>
          <w:rtl/>
        </w:rPr>
        <w:t>לעת</w:t>
      </w:r>
      <w:r w:rsidRPr="0012095F">
        <w:rPr>
          <w:rFonts w:cs="Arial"/>
          <w:sz w:val="20"/>
          <w:szCs w:val="20"/>
          <w:rtl/>
        </w:rPr>
        <w:t xml:space="preserve"> </w:t>
      </w:r>
      <w:r w:rsidRPr="0012095F">
        <w:rPr>
          <w:rFonts w:cs="Arial" w:hint="cs"/>
          <w:sz w:val="20"/>
          <w:szCs w:val="20"/>
          <w:rtl/>
        </w:rPr>
        <w:t>הכא</w:t>
      </w:r>
      <w:r w:rsidRPr="0012095F">
        <w:rPr>
          <w:rFonts w:cs="Arial"/>
          <w:sz w:val="20"/>
          <w:szCs w:val="20"/>
          <w:rtl/>
        </w:rPr>
        <w:t xml:space="preserve"> </w:t>
      </w:r>
      <w:r w:rsidRPr="0012095F">
        <w:rPr>
          <w:rFonts w:cs="Arial" w:hint="cs"/>
          <w:sz w:val="20"/>
          <w:szCs w:val="20"/>
          <w:rtl/>
        </w:rPr>
        <w:t>מאי</w:t>
      </w:r>
      <w:r w:rsidRPr="0012095F">
        <w:rPr>
          <w:rFonts w:cs="Arial"/>
          <w:sz w:val="20"/>
          <w:szCs w:val="20"/>
          <w:rtl/>
        </w:rPr>
        <w:t xml:space="preserve">? </w:t>
      </w:r>
      <w:r w:rsidRPr="0012095F">
        <w:rPr>
          <w:rFonts w:cs="Arial" w:hint="cs"/>
          <w:sz w:val="20"/>
          <w:szCs w:val="20"/>
          <w:rtl/>
        </w:rPr>
        <w:t>מי</w:t>
      </w:r>
      <w:r w:rsidRPr="0012095F">
        <w:rPr>
          <w:rFonts w:cs="Arial"/>
          <w:sz w:val="20"/>
          <w:szCs w:val="20"/>
          <w:rtl/>
        </w:rPr>
        <w:t xml:space="preserve"> </w:t>
      </w:r>
      <w:r w:rsidRPr="0012095F">
        <w:rPr>
          <w:rFonts w:cs="Arial" w:hint="cs"/>
          <w:sz w:val="20"/>
          <w:szCs w:val="20"/>
          <w:rtl/>
        </w:rPr>
        <w:t>בעינא</w:t>
      </w:r>
      <w:r w:rsidRPr="0012095F">
        <w:rPr>
          <w:rFonts w:cs="Arial"/>
          <w:sz w:val="20"/>
          <w:szCs w:val="20"/>
          <w:rtl/>
        </w:rPr>
        <w:t xml:space="preserve"> </w:t>
      </w:r>
      <w:r w:rsidRPr="0012095F">
        <w:rPr>
          <w:rFonts w:cs="Arial" w:hint="cs"/>
          <w:sz w:val="20"/>
          <w:szCs w:val="20"/>
          <w:rtl/>
        </w:rPr>
        <w:t>מעת</w:t>
      </w:r>
      <w:r w:rsidRPr="0012095F">
        <w:rPr>
          <w:rFonts w:cs="Arial"/>
          <w:sz w:val="20"/>
          <w:szCs w:val="20"/>
          <w:rtl/>
        </w:rPr>
        <w:t xml:space="preserve"> </w:t>
      </w:r>
      <w:r w:rsidRPr="0012095F">
        <w:rPr>
          <w:rFonts w:cs="Arial" w:hint="cs"/>
          <w:sz w:val="20"/>
          <w:szCs w:val="20"/>
          <w:rtl/>
        </w:rPr>
        <w:t>לעת</w:t>
      </w:r>
      <w:r w:rsidRPr="0012095F">
        <w:rPr>
          <w:rFonts w:cs="Arial"/>
          <w:sz w:val="20"/>
          <w:szCs w:val="20"/>
          <w:rtl/>
        </w:rPr>
        <w:t xml:space="preserve"> </w:t>
      </w:r>
      <w:r w:rsidRPr="0012095F">
        <w:rPr>
          <w:rFonts w:cs="Arial" w:hint="cs"/>
          <w:sz w:val="20"/>
          <w:szCs w:val="20"/>
          <w:rtl/>
        </w:rPr>
        <w:t>או</w:t>
      </w:r>
      <w:r w:rsidRPr="0012095F">
        <w:rPr>
          <w:rFonts w:cs="Arial"/>
          <w:sz w:val="20"/>
          <w:szCs w:val="20"/>
          <w:rtl/>
        </w:rPr>
        <w:t xml:space="preserve"> </w:t>
      </w:r>
      <w:r w:rsidRPr="0012095F">
        <w:rPr>
          <w:rFonts w:cs="Arial" w:hint="cs"/>
          <w:sz w:val="20"/>
          <w:szCs w:val="20"/>
          <w:rtl/>
        </w:rPr>
        <w:t>לא</w:t>
      </w:r>
      <w:r w:rsidRPr="0012095F">
        <w:rPr>
          <w:rFonts w:cs="Arial"/>
          <w:sz w:val="20"/>
          <w:szCs w:val="20"/>
          <w:rtl/>
        </w:rPr>
        <w:t xml:space="preserve">? </w:t>
      </w:r>
      <w:r w:rsidRPr="0012095F">
        <w:rPr>
          <w:rFonts w:cs="Arial" w:hint="cs"/>
          <w:sz w:val="20"/>
          <w:szCs w:val="20"/>
          <w:rtl/>
        </w:rPr>
        <w:t>שרץ</w:t>
      </w:r>
      <w:r w:rsidRPr="0012095F">
        <w:rPr>
          <w:rFonts w:cs="Arial"/>
          <w:sz w:val="20"/>
          <w:szCs w:val="20"/>
          <w:rtl/>
        </w:rPr>
        <w:t xml:space="preserve"> </w:t>
      </w:r>
      <w:r w:rsidRPr="0012095F">
        <w:rPr>
          <w:rFonts w:cs="Arial" w:hint="cs"/>
          <w:sz w:val="20"/>
          <w:szCs w:val="20"/>
          <w:rtl/>
        </w:rPr>
        <w:t>ונבלה</w:t>
      </w:r>
      <w:r w:rsidRPr="0012095F">
        <w:rPr>
          <w:rFonts w:cs="Arial"/>
          <w:sz w:val="20"/>
          <w:szCs w:val="20"/>
          <w:rtl/>
        </w:rPr>
        <w:t xml:space="preserve"> </w:t>
      </w:r>
      <w:r w:rsidRPr="0012095F">
        <w:rPr>
          <w:rFonts w:cs="Arial" w:hint="cs"/>
          <w:sz w:val="20"/>
          <w:szCs w:val="20"/>
          <w:rtl/>
        </w:rPr>
        <w:t>דאקושי</w:t>
      </w:r>
      <w:r w:rsidRPr="0012095F">
        <w:rPr>
          <w:rFonts w:cs="Arial"/>
          <w:sz w:val="20"/>
          <w:szCs w:val="20"/>
          <w:rtl/>
        </w:rPr>
        <w:t xml:space="preserve"> - </w:t>
      </w:r>
      <w:r w:rsidRPr="0012095F">
        <w:rPr>
          <w:rFonts w:cs="Arial" w:hint="cs"/>
          <w:sz w:val="20"/>
          <w:szCs w:val="20"/>
          <w:rtl/>
        </w:rPr>
        <w:t>בעינן</w:t>
      </w:r>
      <w:r w:rsidRPr="0012095F">
        <w:rPr>
          <w:rFonts w:cs="Arial"/>
          <w:sz w:val="20"/>
          <w:szCs w:val="20"/>
          <w:rtl/>
        </w:rPr>
        <w:t xml:space="preserve"> </w:t>
      </w:r>
      <w:r w:rsidRPr="0012095F">
        <w:rPr>
          <w:rFonts w:cs="Arial" w:hint="cs"/>
          <w:sz w:val="20"/>
          <w:szCs w:val="20"/>
          <w:rtl/>
        </w:rPr>
        <w:t>מעת</w:t>
      </w:r>
      <w:r w:rsidRPr="0012095F">
        <w:rPr>
          <w:rFonts w:cs="Arial"/>
          <w:sz w:val="20"/>
          <w:szCs w:val="20"/>
          <w:rtl/>
        </w:rPr>
        <w:t xml:space="preserve"> </w:t>
      </w:r>
      <w:r w:rsidRPr="0012095F">
        <w:rPr>
          <w:rFonts w:cs="Arial" w:hint="cs"/>
          <w:sz w:val="20"/>
          <w:szCs w:val="20"/>
          <w:rtl/>
        </w:rPr>
        <w:t>לעת</w:t>
      </w:r>
      <w:r w:rsidRPr="0012095F">
        <w:rPr>
          <w:rFonts w:cs="Arial"/>
          <w:sz w:val="20"/>
          <w:szCs w:val="20"/>
          <w:rtl/>
        </w:rPr>
        <w:t xml:space="preserve">, </w:t>
      </w:r>
      <w:r w:rsidRPr="0012095F">
        <w:rPr>
          <w:rFonts w:cs="Arial" w:hint="cs"/>
          <w:sz w:val="20"/>
          <w:szCs w:val="20"/>
          <w:rtl/>
        </w:rPr>
        <w:t>אבל</w:t>
      </w:r>
      <w:r w:rsidRPr="0012095F">
        <w:rPr>
          <w:rFonts w:cs="Arial"/>
          <w:sz w:val="20"/>
          <w:szCs w:val="20"/>
          <w:rtl/>
        </w:rPr>
        <w:t xml:space="preserve"> </w:t>
      </w:r>
      <w:r w:rsidRPr="0012095F">
        <w:rPr>
          <w:rFonts w:cs="Arial" w:hint="cs"/>
          <w:sz w:val="20"/>
          <w:szCs w:val="20"/>
          <w:rtl/>
        </w:rPr>
        <w:t>דם</w:t>
      </w:r>
      <w:r w:rsidRPr="0012095F">
        <w:rPr>
          <w:rFonts w:cs="Arial"/>
          <w:sz w:val="20"/>
          <w:szCs w:val="20"/>
          <w:rtl/>
        </w:rPr>
        <w:t xml:space="preserve"> </w:t>
      </w:r>
      <w:r w:rsidRPr="0012095F">
        <w:rPr>
          <w:rFonts w:cs="Arial" w:hint="cs"/>
          <w:sz w:val="20"/>
          <w:szCs w:val="20"/>
          <w:rtl/>
        </w:rPr>
        <w:t>דרכיך</w:t>
      </w:r>
      <w:r w:rsidRPr="0012095F">
        <w:rPr>
          <w:rFonts w:cs="Arial"/>
          <w:sz w:val="20"/>
          <w:szCs w:val="20"/>
          <w:rtl/>
        </w:rPr>
        <w:t xml:space="preserve"> - </w:t>
      </w:r>
      <w:r w:rsidRPr="0012095F">
        <w:rPr>
          <w:rFonts w:cs="Arial" w:hint="cs"/>
          <w:sz w:val="20"/>
          <w:szCs w:val="20"/>
          <w:rtl/>
        </w:rPr>
        <w:t>לא</w:t>
      </w:r>
      <w:r w:rsidRPr="0012095F">
        <w:rPr>
          <w:rFonts w:cs="Arial"/>
          <w:sz w:val="20"/>
          <w:szCs w:val="20"/>
          <w:rtl/>
        </w:rPr>
        <w:t xml:space="preserve">, </w:t>
      </w:r>
      <w:r w:rsidRPr="0012095F">
        <w:rPr>
          <w:rFonts w:cs="Arial" w:hint="cs"/>
          <w:sz w:val="20"/>
          <w:szCs w:val="20"/>
          <w:rtl/>
        </w:rPr>
        <w:t>או</w:t>
      </w:r>
      <w:r w:rsidRPr="0012095F">
        <w:rPr>
          <w:rFonts w:cs="Arial"/>
          <w:sz w:val="20"/>
          <w:szCs w:val="20"/>
          <w:rtl/>
        </w:rPr>
        <w:t xml:space="preserve"> </w:t>
      </w:r>
      <w:r w:rsidRPr="0012095F">
        <w:rPr>
          <w:rFonts w:cs="Arial" w:hint="cs"/>
          <w:sz w:val="20"/>
          <w:szCs w:val="20"/>
          <w:rtl/>
        </w:rPr>
        <w:t>דלמא</w:t>
      </w:r>
      <w:r w:rsidRPr="0012095F">
        <w:rPr>
          <w:rFonts w:cs="Arial"/>
          <w:sz w:val="20"/>
          <w:szCs w:val="20"/>
          <w:rtl/>
        </w:rPr>
        <w:t xml:space="preserve"> </w:t>
      </w:r>
      <w:r w:rsidRPr="0012095F">
        <w:rPr>
          <w:rFonts w:cs="Arial" w:hint="cs"/>
          <w:sz w:val="20"/>
          <w:szCs w:val="20"/>
          <w:rtl/>
        </w:rPr>
        <w:t>לא</w:t>
      </w:r>
      <w:r w:rsidRPr="0012095F">
        <w:rPr>
          <w:rFonts w:cs="Arial"/>
          <w:sz w:val="20"/>
          <w:szCs w:val="20"/>
          <w:rtl/>
        </w:rPr>
        <w:t xml:space="preserve"> </w:t>
      </w:r>
      <w:r w:rsidRPr="0012095F">
        <w:rPr>
          <w:rFonts w:cs="Arial" w:hint="cs"/>
          <w:sz w:val="20"/>
          <w:szCs w:val="20"/>
          <w:rtl/>
        </w:rPr>
        <w:t>שנא</w:t>
      </w:r>
      <w:r w:rsidRPr="0012095F">
        <w:rPr>
          <w:rFonts w:cs="Arial"/>
          <w:sz w:val="20"/>
          <w:szCs w:val="20"/>
          <w:rtl/>
        </w:rPr>
        <w:t xml:space="preserve">? </w:t>
      </w:r>
      <w:r w:rsidRPr="0012095F">
        <w:rPr>
          <w:rFonts w:cs="Arial" w:hint="cs"/>
          <w:sz w:val="20"/>
          <w:szCs w:val="20"/>
          <w:rtl/>
        </w:rPr>
        <w:t>תיקו</w:t>
      </w:r>
      <w:r>
        <w:rPr>
          <w:rFonts w:cs="Arial" w:hint="cs"/>
          <w:sz w:val="20"/>
          <w:szCs w:val="20"/>
          <w:rtl/>
        </w:rPr>
        <w:t>".</w:t>
      </w:r>
      <w:r>
        <w:rPr>
          <w:rFonts w:hint="cs"/>
          <w:sz w:val="20"/>
          <w:szCs w:val="20"/>
          <w:rtl/>
        </w:rPr>
        <w:br/>
      </w:r>
      <w:r w:rsidRPr="00DB60E9">
        <w:rPr>
          <w:rFonts w:cs="Arial" w:hint="cs"/>
          <w:b/>
          <w:bCs/>
          <w:sz w:val="20"/>
          <w:szCs w:val="20"/>
          <w:rtl/>
        </w:rPr>
        <w:t>רא"ש</w:t>
      </w:r>
      <w:r>
        <w:rPr>
          <w:rFonts w:cs="Arial" w:hint="cs"/>
          <w:sz w:val="20"/>
          <w:szCs w:val="20"/>
          <w:rtl/>
        </w:rPr>
        <w:t xml:space="preserve"> </w:t>
      </w:r>
      <w:r>
        <w:rPr>
          <w:rFonts w:cs="Arial"/>
          <w:sz w:val="20"/>
          <w:szCs w:val="20"/>
          <w:rtl/>
        </w:rPr>
        <w:t>–</w:t>
      </w:r>
      <w:r>
        <w:rPr>
          <w:rFonts w:cs="Arial" w:hint="cs"/>
          <w:sz w:val="20"/>
          <w:szCs w:val="20"/>
          <w:rtl/>
        </w:rPr>
        <w:t xml:space="preserve"> כיוון שהבעיא עלתה בתיקו, יש להחמיר ולשרות מעת לעת, וכ"פ </w:t>
      </w:r>
      <w:r w:rsidRPr="00DB60E9">
        <w:rPr>
          <w:rFonts w:cs="Arial" w:hint="cs"/>
          <w:b/>
          <w:bCs/>
          <w:sz w:val="20"/>
          <w:szCs w:val="20"/>
          <w:rtl/>
        </w:rPr>
        <w:t>המחבר</w:t>
      </w:r>
      <w:r>
        <w:rPr>
          <w:rFonts w:cs="Arial" w:hint="cs"/>
          <w:sz w:val="20"/>
          <w:szCs w:val="20"/>
          <w:rtl/>
        </w:rPr>
        <w:t>.</w:t>
      </w:r>
    </w:p>
    <w:p w:rsidR="00620060" w:rsidRDefault="00620060" w:rsidP="00620060">
      <w:pPr>
        <w:rPr>
          <w:rFonts w:cs="Arial"/>
          <w:sz w:val="20"/>
          <w:szCs w:val="20"/>
          <w:rtl/>
        </w:rPr>
      </w:pPr>
      <w:r>
        <w:rPr>
          <w:rFonts w:hint="cs"/>
          <w:b/>
          <w:bCs/>
          <w:sz w:val="20"/>
          <w:szCs w:val="20"/>
          <w:rtl/>
        </w:rPr>
        <w:lastRenderedPageBreak/>
        <w:t>חום המים</w:t>
      </w:r>
      <w:r>
        <w:rPr>
          <w:b/>
          <w:bCs/>
          <w:sz w:val="20"/>
          <w:szCs w:val="20"/>
          <w:rtl/>
        </w:rPr>
        <w:br/>
      </w:r>
      <w:r w:rsidRPr="00DB60E9">
        <w:rPr>
          <w:rFonts w:hint="cs"/>
          <w:b/>
          <w:bCs/>
          <w:sz w:val="20"/>
          <w:szCs w:val="20"/>
          <w:rtl/>
        </w:rPr>
        <w:t>גמרא</w:t>
      </w:r>
      <w:r>
        <w:rPr>
          <w:rFonts w:hint="cs"/>
          <w:sz w:val="20"/>
          <w:szCs w:val="20"/>
          <w:rtl/>
        </w:rPr>
        <w:t xml:space="preserve"> (שם) "</w:t>
      </w:r>
      <w:r w:rsidRPr="0012095F">
        <w:rPr>
          <w:rFonts w:cs="Arial" w:hint="cs"/>
          <w:sz w:val="20"/>
          <w:szCs w:val="20"/>
          <w:rtl/>
        </w:rPr>
        <w:t>אמר</w:t>
      </w:r>
      <w:r w:rsidRPr="0012095F">
        <w:rPr>
          <w:rFonts w:cs="Arial"/>
          <w:sz w:val="20"/>
          <w:szCs w:val="20"/>
          <w:rtl/>
        </w:rPr>
        <w:t xml:space="preserve"> </w:t>
      </w:r>
      <w:r w:rsidRPr="0012095F">
        <w:rPr>
          <w:rFonts w:cs="Arial" w:hint="cs"/>
          <w:sz w:val="20"/>
          <w:szCs w:val="20"/>
          <w:rtl/>
        </w:rPr>
        <w:t>ריש</w:t>
      </w:r>
      <w:r w:rsidRPr="0012095F">
        <w:rPr>
          <w:rFonts w:cs="Arial"/>
          <w:sz w:val="20"/>
          <w:szCs w:val="20"/>
          <w:rtl/>
        </w:rPr>
        <w:t xml:space="preserve"> </w:t>
      </w:r>
      <w:r w:rsidRPr="0012095F">
        <w:rPr>
          <w:rFonts w:cs="Arial" w:hint="cs"/>
          <w:sz w:val="20"/>
          <w:szCs w:val="20"/>
          <w:rtl/>
        </w:rPr>
        <w:t>לקיש</w:t>
      </w:r>
      <w:r w:rsidRPr="0012095F">
        <w:rPr>
          <w:rFonts w:cs="Arial"/>
          <w:sz w:val="20"/>
          <w:szCs w:val="20"/>
          <w:rtl/>
        </w:rPr>
        <w:t xml:space="preserve">: </w:t>
      </w:r>
      <w:r w:rsidRPr="0012095F">
        <w:rPr>
          <w:rFonts w:cs="Arial" w:hint="cs"/>
          <w:sz w:val="20"/>
          <w:szCs w:val="20"/>
          <w:rtl/>
        </w:rPr>
        <w:t>ובפושרין</w:t>
      </w:r>
      <w:r w:rsidRPr="0012095F">
        <w:rPr>
          <w:rFonts w:cs="Arial"/>
          <w:sz w:val="20"/>
          <w:szCs w:val="20"/>
          <w:rtl/>
        </w:rPr>
        <w:t xml:space="preserve">. </w:t>
      </w:r>
      <w:r w:rsidRPr="0012095F">
        <w:rPr>
          <w:rFonts w:cs="Arial" w:hint="cs"/>
          <w:sz w:val="20"/>
          <w:szCs w:val="20"/>
          <w:rtl/>
        </w:rPr>
        <w:t>תניא</w:t>
      </w:r>
      <w:r w:rsidRPr="0012095F">
        <w:rPr>
          <w:rFonts w:cs="Arial"/>
          <w:sz w:val="20"/>
          <w:szCs w:val="20"/>
          <w:rtl/>
        </w:rPr>
        <w:t xml:space="preserve"> </w:t>
      </w:r>
      <w:r w:rsidRPr="0012095F">
        <w:rPr>
          <w:rFonts w:cs="Arial" w:hint="cs"/>
          <w:sz w:val="20"/>
          <w:szCs w:val="20"/>
          <w:rtl/>
        </w:rPr>
        <w:t>נמי</w:t>
      </w:r>
      <w:r w:rsidRPr="0012095F">
        <w:rPr>
          <w:rFonts w:cs="Arial"/>
          <w:sz w:val="20"/>
          <w:szCs w:val="20"/>
          <w:rtl/>
        </w:rPr>
        <w:t xml:space="preserve"> </w:t>
      </w:r>
      <w:r w:rsidRPr="0012095F">
        <w:rPr>
          <w:rFonts w:cs="Arial" w:hint="cs"/>
          <w:sz w:val="20"/>
          <w:szCs w:val="20"/>
          <w:rtl/>
        </w:rPr>
        <w:t>הכי</w:t>
      </w:r>
      <w:r w:rsidRPr="0012095F">
        <w:rPr>
          <w:rFonts w:cs="Arial"/>
          <w:sz w:val="20"/>
          <w:szCs w:val="20"/>
          <w:rtl/>
        </w:rPr>
        <w:t xml:space="preserve">: </w:t>
      </w:r>
      <w:r w:rsidRPr="0012095F">
        <w:rPr>
          <w:rFonts w:cs="Arial" w:hint="cs"/>
          <w:sz w:val="20"/>
          <w:szCs w:val="20"/>
          <w:rtl/>
        </w:rPr>
        <w:t>תטיל</w:t>
      </w:r>
      <w:r w:rsidRPr="0012095F">
        <w:rPr>
          <w:rFonts w:cs="Arial"/>
          <w:sz w:val="20"/>
          <w:szCs w:val="20"/>
          <w:rtl/>
        </w:rPr>
        <w:t xml:space="preserve"> </w:t>
      </w:r>
      <w:r w:rsidRPr="0012095F">
        <w:rPr>
          <w:rFonts w:cs="Arial" w:hint="cs"/>
          <w:sz w:val="20"/>
          <w:szCs w:val="20"/>
          <w:rtl/>
        </w:rPr>
        <w:t>למים</w:t>
      </w:r>
      <w:r w:rsidRPr="0012095F">
        <w:rPr>
          <w:rFonts w:cs="Arial"/>
          <w:sz w:val="20"/>
          <w:szCs w:val="20"/>
          <w:rtl/>
        </w:rPr>
        <w:t xml:space="preserve">, </w:t>
      </w:r>
      <w:r w:rsidRPr="0012095F">
        <w:rPr>
          <w:rFonts w:cs="Arial" w:hint="cs"/>
          <w:sz w:val="20"/>
          <w:szCs w:val="20"/>
          <w:rtl/>
        </w:rPr>
        <w:t>ובפושרין</w:t>
      </w:r>
      <w:r>
        <w:rPr>
          <w:rFonts w:cs="Arial" w:hint="cs"/>
          <w:sz w:val="20"/>
          <w:szCs w:val="20"/>
          <w:rtl/>
        </w:rPr>
        <w:t>..</w:t>
      </w:r>
      <w:r>
        <w:rPr>
          <w:rFonts w:cs="Arial"/>
          <w:sz w:val="20"/>
          <w:szCs w:val="20"/>
          <w:rtl/>
        </w:rPr>
        <w:t>".</w:t>
      </w:r>
      <w:r w:rsidRPr="0012095F">
        <w:rPr>
          <w:rFonts w:cs="Arial"/>
          <w:sz w:val="20"/>
          <w:szCs w:val="20"/>
          <w:rtl/>
        </w:rPr>
        <w:t xml:space="preserve"> </w:t>
      </w:r>
      <w:r>
        <w:rPr>
          <w:rFonts w:cs="Arial" w:hint="cs"/>
          <w:sz w:val="20"/>
          <w:szCs w:val="20"/>
          <w:rtl/>
        </w:rPr>
        <w:br/>
      </w:r>
      <w:r w:rsidRPr="009B184D">
        <w:rPr>
          <w:rFonts w:cs="Arial" w:hint="cs"/>
          <w:b/>
          <w:bCs/>
          <w:sz w:val="20"/>
          <w:szCs w:val="20"/>
          <w:rtl/>
        </w:rPr>
        <w:t>גמרא</w:t>
      </w:r>
      <w:r>
        <w:rPr>
          <w:rFonts w:cs="Arial" w:hint="cs"/>
          <w:sz w:val="20"/>
          <w:szCs w:val="20"/>
          <w:rtl/>
        </w:rPr>
        <w:t xml:space="preserve"> נידה (נו.) "</w:t>
      </w:r>
      <w:r w:rsidRPr="00523041">
        <w:rPr>
          <w:rFonts w:cs="Arial" w:hint="cs"/>
          <w:sz w:val="20"/>
          <w:szCs w:val="20"/>
          <w:rtl/>
        </w:rPr>
        <w:t>תניא</w:t>
      </w:r>
      <w:r w:rsidRPr="00523041">
        <w:rPr>
          <w:rFonts w:cs="Arial"/>
          <w:sz w:val="20"/>
          <w:szCs w:val="20"/>
          <w:rtl/>
        </w:rPr>
        <w:t xml:space="preserve">, </w:t>
      </w:r>
      <w:r w:rsidRPr="00523041">
        <w:rPr>
          <w:rFonts w:cs="Arial" w:hint="cs"/>
          <w:sz w:val="20"/>
          <w:szCs w:val="20"/>
          <w:rtl/>
        </w:rPr>
        <w:t>כמה</w:t>
      </w:r>
      <w:r w:rsidRPr="00523041">
        <w:rPr>
          <w:rFonts w:cs="Arial"/>
          <w:sz w:val="20"/>
          <w:szCs w:val="20"/>
          <w:rtl/>
        </w:rPr>
        <w:t xml:space="preserve"> </w:t>
      </w:r>
      <w:r w:rsidRPr="00523041">
        <w:rPr>
          <w:rFonts w:cs="Arial" w:hint="cs"/>
          <w:sz w:val="20"/>
          <w:szCs w:val="20"/>
          <w:rtl/>
        </w:rPr>
        <w:t>היא</w:t>
      </w:r>
      <w:r w:rsidRPr="00523041">
        <w:rPr>
          <w:rFonts w:cs="Arial"/>
          <w:sz w:val="20"/>
          <w:szCs w:val="20"/>
          <w:rtl/>
        </w:rPr>
        <w:t xml:space="preserve"> </w:t>
      </w:r>
      <w:r w:rsidRPr="00523041">
        <w:rPr>
          <w:rFonts w:cs="Arial" w:hint="cs"/>
          <w:sz w:val="20"/>
          <w:szCs w:val="20"/>
          <w:rtl/>
        </w:rPr>
        <w:t>שרייתן</w:t>
      </w:r>
      <w:r w:rsidRPr="00523041">
        <w:rPr>
          <w:rFonts w:cs="Arial"/>
          <w:sz w:val="20"/>
          <w:szCs w:val="20"/>
          <w:rtl/>
        </w:rPr>
        <w:t xml:space="preserve"> </w:t>
      </w:r>
      <w:r w:rsidRPr="00523041">
        <w:rPr>
          <w:rFonts w:cs="Arial" w:hint="cs"/>
          <w:sz w:val="20"/>
          <w:szCs w:val="20"/>
          <w:rtl/>
        </w:rPr>
        <w:t>בפושרין</w:t>
      </w:r>
      <w:r w:rsidRPr="00523041">
        <w:rPr>
          <w:rFonts w:cs="Arial"/>
          <w:sz w:val="20"/>
          <w:szCs w:val="20"/>
          <w:rtl/>
        </w:rPr>
        <w:t xml:space="preserve">? </w:t>
      </w:r>
      <w:r w:rsidRPr="00523041">
        <w:rPr>
          <w:rFonts w:cs="Arial" w:hint="cs"/>
          <w:sz w:val="20"/>
          <w:szCs w:val="20"/>
          <w:rtl/>
        </w:rPr>
        <w:t>יהודה</w:t>
      </w:r>
      <w:r w:rsidRPr="00523041">
        <w:rPr>
          <w:rFonts w:cs="Arial"/>
          <w:sz w:val="20"/>
          <w:szCs w:val="20"/>
          <w:rtl/>
        </w:rPr>
        <w:t xml:space="preserve"> </w:t>
      </w:r>
      <w:r w:rsidRPr="00523041">
        <w:rPr>
          <w:rFonts w:cs="Arial" w:hint="cs"/>
          <w:sz w:val="20"/>
          <w:szCs w:val="20"/>
          <w:rtl/>
        </w:rPr>
        <w:t>בן</w:t>
      </w:r>
      <w:r w:rsidRPr="00523041">
        <w:rPr>
          <w:rFonts w:cs="Arial"/>
          <w:sz w:val="20"/>
          <w:szCs w:val="20"/>
          <w:rtl/>
        </w:rPr>
        <w:t xml:space="preserve"> </w:t>
      </w:r>
      <w:r w:rsidRPr="00523041">
        <w:rPr>
          <w:rFonts w:cs="Arial" w:hint="cs"/>
          <w:sz w:val="20"/>
          <w:szCs w:val="20"/>
          <w:rtl/>
        </w:rPr>
        <w:t>נקוסא</w:t>
      </w:r>
      <w:r w:rsidRPr="00523041">
        <w:rPr>
          <w:rFonts w:cs="Arial"/>
          <w:sz w:val="20"/>
          <w:szCs w:val="20"/>
          <w:rtl/>
        </w:rPr>
        <w:t xml:space="preserve"> </w:t>
      </w:r>
      <w:r w:rsidRPr="00523041">
        <w:rPr>
          <w:rFonts w:cs="Arial" w:hint="cs"/>
          <w:sz w:val="20"/>
          <w:szCs w:val="20"/>
          <w:rtl/>
        </w:rPr>
        <w:t>אומר</w:t>
      </w:r>
      <w:r w:rsidRPr="00523041">
        <w:rPr>
          <w:rFonts w:cs="Arial"/>
          <w:sz w:val="20"/>
          <w:szCs w:val="20"/>
          <w:rtl/>
        </w:rPr>
        <w:t xml:space="preserve">: </w:t>
      </w:r>
      <w:r w:rsidRPr="00523041">
        <w:rPr>
          <w:rFonts w:cs="Arial" w:hint="cs"/>
          <w:sz w:val="20"/>
          <w:szCs w:val="20"/>
          <w:rtl/>
        </w:rPr>
        <w:t>מעת</w:t>
      </w:r>
      <w:r w:rsidRPr="00523041">
        <w:rPr>
          <w:rFonts w:cs="Arial"/>
          <w:sz w:val="20"/>
          <w:szCs w:val="20"/>
          <w:rtl/>
        </w:rPr>
        <w:t xml:space="preserve"> </w:t>
      </w:r>
      <w:r w:rsidRPr="00523041">
        <w:rPr>
          <w:rFonts w:cs="Arial" w:hint="cs"/>
          <w:sz w:val="20"/>
          <w:szCs w:val="20"/>
          <w:rtl/>
        </w:rPr>
        <w:t>לעת</w:t>
      </w:r>
      <w:r w:rsidRPr="00523041">
        <w:rPr>
          <w:rFonts w:cs="Arial"/>
          <w:sz w:val="20"/>
          <w:szCs w:val="20"/>
          <w:rtl/>
        </w:rPr>
        <w:t xml:space="preserve">, </w:t>
      </w:r>
      <w:r w:rsidRPr="00523041">
        <w:rPr>
          <w:rFonts w:cs="Arial" w:hint="cs"/>
          <w:sz w:val="20"/>
          <w:szCs w:val="20"/>
          <w:rtl/>
        </w:rPr>
        <w:t>תחילתו</w:t>
      </w:r>
      <w:r w:rsidRPr="00523041">
        <w:rPr>
          <w:rFonts w:cs="Arial"/>
          <w:sz w:val="20"/>
          <w:szCs w:val="20"/>
          <w:rtl/>
        </w:rPr>
        <w:t xml:space="preserve"> </w:t>
      </w:r>
      <w:r w:rsidRPr="00523041">
        <w:rPr>
          <w:rFonts w:cs="Arial" w:hint="cs"/>
          <w:sz w:val="20"/>
          <w:szCs w:val="20"/>
          <w:rtl/>
        </w:rPr>
        <w:t>אף</w:t>
      </w:r>
      <w:r w:rsidRPr="00523041">
        <w:rPr>
          <w:rFonts w:cs="Arial"/>
          <w:sz w:val="20"/>
          <w:szCs w:val="20"/>
          <w:rtl/>
        </w:rPr>
        <w:t xml:space="preserve"> </w:t>
      </w:r>
      <w:r w:rsidRPr="00523041">
        <w:rPr>
          <w:rFonts w:cs="Arial" w:hint="cs"/>
          <w:sz w:val="20"/>
          <w:szCs w:val="20"/>
          <w:rtl/>
        </w:rPr>
        <w:t>על</w:t>
      </w:r>
      <w:r w:rsidRPr="00523041">
        <w:rPr>
          <w:rFonts w:cs="Arial"/>
          <w:sz w:val="20"/>
          <w:szCs w:val="20"/>
          <w:rtl/>
        </w:rPr>
        <w:t xml:space="preserve"> </w:t>
      </w:r>
      <w:r w:rsidRPr="00523041">
        <w:rPr>
          <w:rFonts w:cs="Arial" w:hint="cs"/>
          <w:sz w:val="20"/>
          <w:szCs w:val="20"/>
          <w:rtl/>
        </w:rPr>
        <w:t>פי</w:t>
      </w:r>
      <w:r w:rsidRPr="00523041">
        <w:rPr>
          <w:rFonts w:cs="Arial"/>
          <w:sz w:val="20"/>
          <w:szCs w:val="20"/>
          <w:rtl/>
        </w:rPr>
        <w:t xml:space="preserve"> </w:t>
      </w:r>
      <w:r w:rsidRPr="00523041">
        <w:rPr>
          <w:rFonts w:cs="Arial" w:hint="cs"/>
          <w:sz w:val="20"/>
          <w:szCs w:val="20"/>
          <w:rtl/>
        </w:rPr>
        <w:t>שאין</w:t>
      </w:r>
      <w:r w:rsidRPr="00523041">
        <w:rPr>
          <w:rFonts w:cs="Arial"/>
          <w:sz w:val="20"/>
          <w:szCs w:val="20"/>
          <w:rtl/>
        </w:rPr>
        <w:t xml:space="preserve"> </w:t>
      </w:r>
      <w:r w:rsidRPr="00523041">
        <w:rPr>
          <w:rFonts w:cs="Arial" w:hint="cs"/>
          <w:sz w:val="20"/>
          <w:szCs w:val="20"/>
          <w:rtl/>
        </w:rPr>
        <w:t>סופו</w:t>
      </w:r>
      <w:r w:rsidRPr="00523041">
        <w:rPr>
          <w:rFonts w:cs="Arial"/>
          <w:sz w:val="20"/>
          <w:szCs w:val="20"/>
          <w:rtl/>
        </w:rPr>
        <w:t xml:space="preserve">. </w:t>
      </w:r>
      <w:r w:rsidRPr="00523041">
        <w:rPr>
          <w:rFonts w:cs="Arial" w:hint="cs"/>
          <w:sz w:val="20"/>
          <w:szCs w:val="20"/>
          <w:rtl/>
        </w:rPr>
        <w:t>רשב</w:t>
      </w:r>
      <w:r w:rsidRPr="00523041">
        <w:rPr>
          <w:rFonts w:cs="Arial"/>
          <w:sz w:val="20"/>
          <w:szCs w:val="20"/>
          <w:rtl/>
        </w:rPr>
        <w:t>"</w:t>
      </w:r>
      <w:r w:rsidRPr="00523041">
        <w:rPr>
          <w:rFonts w:cs="Arial" w:hint="cs"/>
          <w:sz w:val="20"/>
          <w:szCs w:val="20"/>
          <w:rtl/>
        </w:rPr>
        <w:t>ג</w:t>
      </w:r>
      <w:r w:rsidRPr="00523041">
        <w:rPr>
          <w:rFonts w:cs="Arial"/>
          <w:sz w:val="20"/>
          <w:szCs w:val="20"/>
          <w:rtl/>
        </w:rPr>
        <w:t xml:space="preserve"> </w:t>
      </w:r>
      <w:r w:rsidRPr="00523041">
        <w:rPr>
          <w:rFonts w:cs="Arial" w:hint="cs"/>
          <w:sz w:val="20"/>
          <w:szCs w:val="20"/>
          <w:rtl/>
        </w:rPr>
        <w:t>אומר</w:t>
      </w:r>
      <w:r w:rsidRPr="00523041">
        <w:rPr>
          <w:rFonts w:cs="Arial"/>
          <w:sz w:val="20"/>
          <w:szCs w:val="20"/>
          <w:rtl/>
        </w:rPr>
        <w:t xml:space="preserve">: </w:t>
      </w:r>
      <w:r w:rsidRPr="00523041">
        <w:rPr>
          <w:rFonts w:cs="Arial" w:hint="cs"/>
          <w:sz w:val="20"/>
          <w:szCs w:val="20"/>
          <w:rtl/>
        </w:rPr>
        <w:t>צריכין</w:t>
      </w:r>
      <w:r w:rsidRPr="00523041">
        <w:rPr>
          <w:rFonts w:cs="Arial"/>
          <w:sz w:val="20"/>
          <w:szCs w:val="20"/>
          <w:rtl/>
        </w:rPr>
        <w:t xml:space="preserve"> </w:t>
      </w:r>
      <w:r w:rsidRPr="00523041">
        <w:rPr>
          <w:rFonts w:cs="Arial" w:hint="cs"/>
          <w:sz w:val="20"/>
          <w:szCs w:val="20"/>
          <w:rtl/>
        </w:rPr>
        <w:t>שיהו</w:t>
      </w:r>
      <w:r w:rsidRPr="00523041">
        <w:rPr>
          <w:rFonts w:cs="Arial"/>
          <w:sz w:val="20"/>
          <w:szCs w:val="20"/>
          <w:rtl/>
        </w:rPr>
        <w:t xml:space="preserve"> </w:t>
      </w:r>
      <w:r w:rsidRPr="00523041">
        <w:rPr>
          <w:rFonts w:cs="Arial" w:hint="cs"/>
          <w:sz w:val="20"/>
          <w:szCs w:val="20"/>
          <w:rtl/>
        </w:rPr>
        <w:t>פושרין</w:t>
      </w:r>
      <w:r w:rsidRPr="00523041">
        <w:rPr>
          <w:rFonts w:cs="Arial"/>
          <w:sz w:val="20"/>
          <w:szCs w:val="20"/>
          <w:rtl/>
        </w:rPr>
        <w:t xml:space="preserve"> </w:t>
      </w:r>
      <w:r w:rsidRPr="00523041">
        <w:rPr>
          <w:rFonts w:cs="Arial" w:hint="cs"/>
          <w:sz w:val="20"/>
          <w:szCs w:val="20"/>
          <w:rtl/>
        </w:rPr>
        <w:t>מעת</w:t>
      </w:r>
      <w:r w:rsidRPr="00523041">
        <w:rPr>
          <w:rFonts w:cs="Arial"/>
          <w:sz w:val="20"/>
          <w:szCs w:val="20"/>
          <w:rtl/>
        </w:rPr>
        <w:t xml:space="preserve"> </w:t>
      </w:r>
      <w:r w:rsidRPr="00523041">
        <w:rPr>
          <w:rFonts w:cs="Arial" w:hint="cs"/>
          <w:sz w:val="20"/>
          <w:szCs w:val="20"/>
          <w:rtl/>
        </w:rPr>
        <w:t>לעת</w:t>
      </w:r>
      <w:r>
        <w:rPr>
          <w:rFonts w:cs="Arial" w:hint="cs"/>
          <w:sz w:val="20"/>
          <w:szCs w:val="20"/>
          <w:rtl/>
        </w:rPr>
        <w:t>".</w:t>
      </w:r>
      <w:r>
        <w:rPr>
          <w:rFonts w:cs="Arial" w:hint="cs"/>
          <w:sz w:val="20"/>
          <w:szCs w:val="20"/>
          <w:rtl/>
        </w:rPr>
        <w:br/>
      </w:r>
      <w:r w:rsidRPr="00523041">
        <w:rPr>
          <w:rFonts w:cs="Arial" w:hint="cs"/>
          <w:b/>
          <w:bCs/>
          <w:sz w:val="20"/>
          <w:szCs w:val="20"/>
          <w:rtl/>
        </w:rPr>
        <w:t>רא"ש</w:t>
      </w:r>
      <w:r>
        <w:rPr>
          <w:rFonts w:cs="Arial" w:hint="cs"/>
          <w:sz w:val="20"/>
          <w:szCs w:val="20"/>
          <w:rtl/>
        </w:rPr>
        <w:t xml:space="preserve"> </w:t>
      </w:r>
      <w:r>
        <w:rPr>
          <w:rFonts w:cs="Arial"/>
          <w:sz w:val="20"/>
          <w:szCs w:val="20"/>
          <w:rtl/>
        </w:rPr>
        <w:t>–</w:t>
      </w:r>
      <w:r>
        <w:rPr>
          <w:rFonts w:cs="Arial" w:hint="cs"/>
          <w:sz w:val="20"/>
          <w:szCs w:val="20"/>
          <w:rtl/>
        </w:rPr>
        <w:t xml:space="preserve"> הלכה כרשב"ג שהמים צריכים להיות פושרים בכל המעת לעת.</w:t>
      </w:r>
    </w:p>
    <w:p w:rsidR="00620060" w:rsidRDefault="00620060" w:rsidP="00620060">
      <w:pPr>
        <w:rPr>
          <w:sz w:val="20"/>
          <w:szCs w:val="20"/>
          <w:rtl/>
        </w:rPr>
      </w:pPr>
      <w:r>
        <w:rPr>
          <w:rFonts w:cs="Arial" w:hint="cs"/>
          <w:sz w:val="20"/>
          <w:szCs w:val="20"/>
          <w:u w:val="single"/>
          <w:rtl/>
        </w:rPr>
        <w:t>שיעור חום המים</w:t>
      </w:r>
      <w:r>
        <w:rPr>
          <w:rFonts w:cs="Arial"/>
          <w:sz w:val="20"/>
          <w:szCs w:val="20"/>
          <w:u w:val="single"/>
          <w:rtl/>
        </w:rPr>
        <w:br/>
      </w:r>
      <w:r>
        <w:rPr>
          <w:rFonts w:cs="Arial" w:hint="cs"/>
          <w:sz w:val="20"/>
          <w:szCs w:val="20"/>
          <w:rtl/>
        </w:rPr>
        <w:t xml:space="preserve">א. </w:t>
      </w:r>
      <w:r w:rsidRPr="00263B80">
        <w:rPr>
          <w:rFonts w:cs="Arial" w:hint="cs"/>
          <w:b/>
          <w:bCs/>
          <w:sz w:val="20"/>
          <w:szCs w:val="20"/>
          <w:rtl/>
        </w:rPr>
        <w:t xml:space="preserve">טור </w:t>
      </w:r>
      <w:r>
        <w:rPr>
          <w:rFonts w:cs="Arial"/>
          <w:sz w:val="20"/>
          <w:szCs w:val="20"/>
          <w:rtl/>
        </w:rPr>
        <w:t>–</w:t>
      </w:r>
      <w:r>
        <w:rPr>
          <w:rFonts w:cs="Arial" w:hint="cs"/>
          <w:sz w:val="20"/>
          <w:szCs w:val="20"/>
          <w:rtl/>
        </w:rPr>
        <w:t xml:space="preserve"> חום של מים ששאבו מהנהר או מהמעיין ועמדו בבית מעט זמן, וכ"פ </w:t>
      </w:r>
      <w:r w:rsidRPr="00877692">
        <w:rPr>
          <w:rFonts w:cs="Arial" w:hint="cs"/>
          <w:b/>
          <w:bCs/>
          <w:sz w:val="20"/>
          <w:szCs w:val="20"/>
          <w:rtl/>
        </w:rPr>
        <w:t>המחבר</w:t>
      </w:r>
      <w:r>
        <w:rPr>
          <w:rFonts w:cs="Arial" w:hint="cs"/>
          <w:sz w:val="20"/>
          <w:szCs w:val="20"/>
          <w:rtl/>
        </w:rPr>
        <w:t>.</w:t>
      </w:r>
      <w:r>
        <w:rPr>
          <w:rFonts w:cs="Arial"/>
          <w:sz w:val="20"/>
          <w:szCs w:val="20"/>
          <w:rtl/>
        </w:rPr>
        <w:br/>
      </w:r>
      <w:r>
        <w:rPr>
          <w:rFonts w:cs="Arial" w:hint="cs"/>
          <w:sz w:val="20"/>
          <w:szCs w:val="20"/>
          <w:rtl/>
        </w:rPr>
        <w:t xml:space="preserve">ב. </w:t>
      </w:r>
      <w:r w:rsidRPr="00263B80">
        <w:rPr>
          <w:rFonts w:cs="Arial" w:hint="cs"/>
          <w:b/>
          <w:bCs/>
          <w:sz w:val="20"/>
          <w:szCs w:val="20"/>
          <w:rtl/>
        </w:rPr>
        <w:t>ריטב"א</w:t>
      </w:r>
      <w:r>
        <w:rPr>
          <w:rFonts w:cs="Arial" w:hint="cs"/>
          <w:sz w:val="20"/>
          <w:szCs w:val="20"/>
          <w:rtl/>
        </w:rPr>
        <w:t xml:space="preserve"> </w:t>
      </w:r>
      <w:r>
        <w:rPr>
          <w:rFonts w:cs="Arial"/>
          <w:sz w:val="20"/>
          <w:szCs w:val="20"/>
          <w:rtl/>
        </w:rPr>
        <w:t>–</w:t>
      </w:r>
      <w:r>
        <w:rPr>
          <w:rFonts w:cs="Arial" w:hint="cs"/>
          <w:sz w:val="20"/>
          <w:szCs w:val="20"/>
          <w:rtl/>
        </w:rPr>
        <w:t xml:space="preserve"> כשיעור חמימות הרוק</w:t>
      </w:r>
      <w:r>
        <w:rPr>
          <w:rStyle w:val="a5"/>
          <w:rFonts w:cs="Arial"/>
          <w:sz w:val="20"/>
          <w:szCs w:val="20"/>
          <w:rtl/>
        </w:rPr>
        <w:footnoteReference w:id="167"/>
      </w:r>
      <w:r>
        <w:rPr>
          <w:rFonts w:cs="Arial" w:hint="cs"/>
          <w:sz w:val="20"/>
          <w:szCs w:val="20"/>
          <w:rtl/>
        </w:rPr>
        <w:t xml:space="preserve">, וכ"פ </w:t>
      </w:r>
      <w:r w:rsidRPr="00877692">
        <w:rPr>
          <w:rFonts w:cs="Arial" w:hint="cs"/>
          <w:b/>
          <w:bCs/>
          <w:sz w:val="20"/>
          <w:szCs w:val="20"/>
          <w:rtl/>
        </w:rPr>
        <w:t>הרמ"א</w:t>
      </w:r>
      <w:r>
        <w:rPr>
          <w:rFonts w:cs="Arial" w:hint="cs"/>
          <w:sz w:val="20"/>
          <w:szCs w:val="20"/>
          <w:rtl/>
        </w:rPr>
        <w:t>.</w:t>
      </w:r>
    </w:p>
    <w:p w:rsidR="00620060" w:rsidRDefault="00620060" w:rsidP="00620060">
      <w:pPr>
        <w:rPr>
          <w:sz w:val="20"/>
          <w:szCs w:val="20"/>
          <w:rtl/>
        </w:rPr>
      </w:pPr>
      <w:r w:rsidRPr="001D01F8">
        <w:rPr>
          <w:rFonts w:hint="cs"/>
          <w:b/>
          <w:bCs/>
          <w:sz w:val="20"/>
          <w:szCs w:val="20"/>
          <w:rtl/>
        </w:rPr>
        <w:t>בדיקת דם יבש ע"י ציפורן</w:t>
      </w:r>
      <w:r w:rsidRPr="001D01F8">
        <w:rPr>
          <w:b/>
          <w:bCs/>
          <w:sz w:val="20"/>
          <w:szCs w:val="20"/>
          <w:rtl/>
        </w:rPr>
        <w:br/>
      </w:r>
      <w:r w:rsidRPr="001D01F8">
        <w:rPr>
          <w:rFonts w:hint="cs"/>
          <w:b/>
          <w:bCs/>
          <w:sz w:val="20"/>
          <w:szCs w:val="20"/>
          <w:rtl/>
        </w:rPr>
        <w:t xml:space="preserve">גמרא </w:t>
      </w:r>
      <w:r w:rsidRPr="001D01F8">
        <w:rPr>
          <w:rFonts w:hint="cs"/>
          <w:sz w:val="20"/>
          <w:szCs w:val="20"/>
          <w:rtl/>
        </w:rPr>
        <w:t>שם "רבן שמעון בן גמליאל</w:t>
      </w:r>
      <w:r w:rsidRPr="001D01F8">
        <w:rPr>
          <w:rFonts w:cs="Arial"/>
          <w:sz w:val="20"/>
          <w:szCs w:val="20"/>
          <w:rtl/>
        </w:rPr>
        <w:t xml:space="preserve"> </w:t>
      </w:r>
      <w:r w:rsidRPr="001D01F8">
        <w:rPr>
          <w:rFonts w:cs="Arial" w:hint="cs"/>
          <w:sz w:val="20"/>
          <w:szCs w:val="20"/>
          <w:rtl/>
        </w:rPr>
        <w:t>אומר</w:t>
      </w:r>
      <w:r w:rsidRPr="001D01F8">
        <w:rPr>
          <w:rFonts w:cs="Arial"/>
          <w:sz w:val="20"/>
          <w:szCs w:val="20"/>
          <w:rtl/>
        </w:rPr>
        <w:t xml:space="preserve">: </w:t>
      </w:r>
      <w:r w:rsidRPr="001D01F8">
        <w:rPr>
          <w:rFonts w:cs="Arial" w:hint="cs"/>
          <w:sz w:val="20"/>
          <w:szCs w:val="20"/>
          <w:rtl/>
        </w:rPr>
        <w:t>ממעכתו</w:t>
      </w:r>
      <w:r w:rsidRPr="001D01F8">
        <w:rPr>
          <w:rFonts w:cs="Arial"/>
          <w:sz w:val="20"/>
          <w:szCs w:val="20"/>
          <w:rtl/>
        </w:rPr>
        <w:t xml:space="preserve"> </w:t>
      </w:r>
      <w:r w:rsidRPr="001D01F8">
        <w:rPr>
          <w:rFonts w:cs="Arial" w:hint="cs"/>
          <w:sz w:val="20"/>
          <w:szCs w:val="20"/>
          <w:rtl/>
        </w:rPr>
        <w:t>ברוק</w:t>
      </w:r>
      <w:r w:rsidRPr="001D01F8">
        <w:rPr>
          <w:rFonts w:cs="Arial"/>
          <w:sz w:val="20"/>
          <w:szCs w:val="20"/>
          <w:rtl/>
        </w:rPr>
        <w:t xml:space="preserve"> </w:t>
      </w:r>
      <w:r w:rsidRPr="001D01F8">
        <w:rPr>
          <w:rFonts w:cs="Arial" w:hint="cs"/>
          <w:sz w:val="20"/>
          <w:szCs w:val="20"/>
          <w:rtl/>
        </w:rPr>
        <w:t>על</w:t>
      </w:r>
      <w:r w:rsidRPr="001D01F8">
        <w:rPr>
          <w:rFonts w:cs="Arial"/>
          <w:sz w:val="20"/>
          <w:szCs w:val="20"/>
          <w:rtl/>
        </w:rPr>
        <w:t xml:space="preserve"> </w:t>
      </w:r>
      <w:r w:rsidRPr="001D01F8">
        <w:rPr>
          <w:rFonts w:cs="Arial" w:hint="cs"/>
          <w:sz w:val="20"/>
          <w:szCs w:val="20"/>
          <w:rtl/>
        </w:rPr>
        <w:t>גבי</w:t>
      </w:r>
      <w:r w:rsidRPr="001D01F8">
        <w:rPr>
          <w:rFonts w:cs="Arial"/>
          <w:sz w:val="20"/>
          <w:szCs w:val="20"/>
          <w:rtl/>
        </w:rPr>
        <w:t xml:space="preserve"> </w:t>
      </w:r>
      <w:r w:rsidRPr="001D01F8">
        <w:rPr>
          <w:rFonts w:cs="Arial" w:hint="cs"/>
          <w:sz w:val="20"/>
          <w:szCs w:val="20"/>
          <w:rtl/>
        </w:rPr>
        <w:t>הצ</w:t>
      </w:r>
      <w:r>
        <w:rPr>
          <w:rFonts w:cs="Arial" w:hint="cs"/>
          <w:sz w:val="20"/>
          <w:szCs w:val="20"/>
          <w:rtl/>
        </w:rPr>
        <w:t>י</w:t>
      </w:r>
      <w:r w:rsidRPr="001D01F8">
        <w:rPr>
          <w:rFonts w:cs="Arial" w:hint="cs"/>
          <w:sz w:val="20"/>
          <w:szCs w:val="20"/>
          <w:rtl/>
        </w:rPr>
        <w:t>פורן</w:t>
      </w:r>
      <w:r w:rsidRPr="001D01F8">
        <w:rPr>
          <w:rFonts w:cs="Arial"/>
          <w:sz w:val="20"/>
          <w:szCs w:val="20"/>
          <w:rtl/>
        </w:rPr>
        <w:t xml:space="preserve">. </w:t>
      </w:r>
      <w:r w:rsidRPr="001D01F8">
        <w:rPr>
          <w:rFonts w:cs="Arial" w:hint="cs"/>
          <w:sz w:val="20"/>
          <w:szCs w:val="20"/>
          <w:rtl/>
        </w:rPr>
        <w:t>מאי</w:t>
      </w:r>
      <w:r w:rsidRPr="001D01F8">
        <w:rPr>
          <w:rFonts w:cs="Arial"/>
          <w:sz w:val="20"/>
          <w:szCs w:val="20"/>
          <w:rtl/>
        </w:rPr>
        <w:t xml:space="preserve"> </w:t>
      </w:r>
      <w:r w:rsidRPr="001D01F8">
        <w:rPr>
          <w:rFonts w:cs="Arial" w:hint="cs"/>
          <w:sz w:val="20"/>
          <w:szCs w:val="20"/>
          <w:rtl/>
        </w:rPr>
        <w:t>בינייהו</w:t>
      </w:r>
      <w:r w:rsidRPr="001D01F8">
        <w:rPr>
          <w:rFonts w:cs="Arial"/>
          <w:sz w:val="20"/>
          <w:szCs w:val="20"/>
          <w:rtl/>
        </w:rPr>
        <w:t xml:space="preserve">? </w:t>
      </w:r>
      <w:r w:rsidRPr="001D01F8">
        <w:rPr>
          <w:rFonts w:cs="Arial" w:hint="cs"/>
          <w:sz w:val="20"/>
          <w:szCs w:val="20"/>
          <w:rtl/>
        </w:rPr>
        <w:t>אמר</w:t>
      </w:r>
      <w:r w:rsidRPr="001D01F8">
        <w:rPr>
          <w:rFonts w:cs="Arial"/>
          <w:sz w:val="20"/>
          <w:szCs w:val="20"/>
          <w:rtl/>
        </w:rPr>
        <w:t xml:space="preserve"> </w:t>
      </w:r>
      <w:r w:rsidRPr="001D01F8">
        <w:rPr>
          <w:rFonts w:cs="Arial" w:hint="cs"/>
          <w:sz w:val="20"/>
          <w:szCs w:val="20"/>
          <w:rtl/>
        </w:rPr>
        <w:t>רבינא</w:t>
      </w:r>
      <w:r w:rsidRPr="001D01F8">
        <w:rPr>
          <w:rFonts w:cs="Arial"/>
          <w:sz w:val="20"/>
          <w:szCs w:val="20"/>
          <w:rtl/>
        </w:rPr>
        <w:t xml:space="preserve">: </w:t>
      </w:r>
      <w:r w:rsidRPr="001D01F8">
        <w:rPr>
          <w:rFonts w:cs="Arial" w:hint="cs"/>
          <w:sz w:val="20"/>
          <w:szCs w:val="20"/>
          <w:rtl/>
        </w:rPr>
        <w:t>מ</w:t>
      </w:r>
      <w:r>
        <w:rPr>
          <w:rFonts w:cs="Arial" w:hint="cs"/>
          <w:sz w:val="20"/>
          <w:szCs w:val="20"/>
          <w:rtl/>
        </w:rPr>
        <w:t>י</w:t>
      </w:r>
      <w:r w:rsidRPr="001D01F8">
        <w:rPr>
          <w:rFonts w:cs="Arial" w:hint="cs"/>
          <w:sz w:val="20"/>
          <w:szCs w:val="20"/>
          <w:rtl/>
        </w:rPr>
        <w:t>עוך</w:t>
      </w:r>
      <w:r w:rsidRPr="001D01F8">
        <w:rPr>
          <w:rFonts w:cs="Arial"/>
          <w:sz w:val="20"/>
          <w:szCs w:val="20"/>
          <w:rtl/>
        </w:rPr>
        <w:t xml:space="preserve"> </w:t>
      </w:r>
      <w:r w:rsidRPr="001D01F8">
        <w:rPr>
          <w:rFonts w:cs="Arial" w:hint="cs"/>
          <w:sz w:val="20"/>
          <w:szCs w:val="20"/>
          <w:rtl/>
        </w:rPr>
        <w:t>על</w:t>
      </w:r>
      <w:r w:rsidRPr="001D01F8">
        <w:rPr>
          <w:rFonts w:cs="Arial"/>
          <w:sz w:val="20"/>
          <w:szCs w:val="20"/>
          <w:rtl/>
        </w:rPr>
        <w:t xml:space="preserve"> </w:t>
      </w:r>
      <w:r w:rsidRPr="001D01F8">
        <w:rPr>
          <w:rFonts w:cs="Arial" w:hint="cs"/>
          <w:sz w:val="20"/>
          <w:szCs w:val="20"/>
          <w:rtl/>
        </w:rPr>
        <w:t>ידי</w:t>
      </w:r>
      <w:r w:rsidRPr="001D01F8">
        <w:rPr>
          <w:rFonts w:cs="Arial"/>
          <w:sz w:val="20"/>
          <w:szCs w:val="20"/>
          <w:rtl/>
        </w:rPr>
        <w:t xml:space="preserve"> </w:t>
      </w:r>
      <w:r w:rsidRPr="001D01F8">
        <w:rPr>
          <w:rFonts w:cs="Arial" w:hint="cs"/>
          <w:sz w:val="20"/>
          <w:szCs w:val="20"/>
          <w:rtl/>
        </w:rPr>
        <w:t>הדחק</w:t>
      </w:r>
      <w:r w:rsidRPr="001D01F8">
        <w:rPr>
          <w:rFonts w:cs="Arial"/>
          <w:sz w:val="20"/>
          <w:szCs w:val="20"/>
          <w:rtl/>
        </w:rPr>
        <w:t xml:space="preserve"> </w:t>
      </w:r>
      <w:r w:rsidRPr="001D01F8">
        <w:rPr>
          <w:rFonts w:cs="Arial" w:hint="cs"/>
          <w:sz w:val="20"/>
          <w:szCs w:val="20"/>
          <w:rtl/>
        </w:rPr>
        <w:t>איכא</w:t>
      </w:r>
      <w:r w:rsidRPr="001D01F8">
        <w:rPr>
          <w:rFonts w:cs="Arial"/>
          <w:sz w:val="20"/>
          <w:szCs w:val="20"/>
          <w:rtl/>
        </w:rPr>
        <w:t xml:space="preserve"> </w:t>
      </w:r>
      <w:r w:rsidRPr="001D01F8">
        <w:rPr>
          <w:rFonts w:cs="Arial" w:hint="cs"/>
          <w:sz w:val="20"/>
          <w:szCs w:val="20"/>
          <w:rtl/>
        </w:rPr>
        <w:t>בינייהו".</w:t>
      </w:r>
    </w:p>
    <w:p w:rsidR="00620060" w:rsidRPr="00FC0B3A" w:rsidRDefault="00620060" w:rsidP="00620060">
      <w:pPr>
        <w:rPr>
          <w:sz w:val="20"/>
          <w:szCs w:val="20"/>
          <w:rtl/>
        </w:rPr>
      </w:pPr>
      <w:r>
        <w:rPr>
          <w:rFonts w:hint="cs"/>
          <w:sz w:val="20"/>
          <w:szCs w:val="20"/>
          <w:u w:val="single"/>
          <w:rtl/>
        </w:rPr>
        <w:t>הסבר</w:t>
      </w:r>
      <w:r>
        <w:rPr>
          <w:rFonts w:hint="cs"/>
          <w:sz w:val="20"/>
          <w:szCs w:val="20"/>
          <w:u w:val="single"/>
          <w:rtl/>
        </w:rPr>
        <w:br/>
      </w:r>
      <w:r>
        <w:rPr>
          <w:rFonts w:hint="cs"/>
          <w:sz w:val="20"/>
          <w:szCs w:val="20"/>
          <w:rtl/>
        </w:rPr>
        <w:t>רשב"ג סובר שמיעוך הוא מדד טוב, ת"ק סובר שמיעוך אינו מדד טוב.</w:t>
      </w:r>
      <w:r>
        <w:rPr>
          <w:sz w:val="20"/>
          <w:szCs w:val="20"/>
          <w:rtl/>
        </w:rPr>
        <w:br/>
      </w:r>
      <w:r w:rsidRPr="00877692">
        <w:rPr>
          <w:rFonts w:hint="cs"/>
          <w:b/>
          <w:bCs/>
          <w:sz w:val="20"/>
          <w:szCs w:val="20"/>
          <w:rtl/>
        </w:rPr>
        <w:t xml:space="preserve">טעם </w:t>
      </w:r>
      <w:r>
        <w:rPr>
          <w:sz w:val="20"/>
          <w:szCs w:val="20"/>
          <w:rtl/>
        </w:rPr>
        <w:t>–</w:t>
      </w:r>
      <w:r>
        <w:rPr>
          <w:rFonts w:hint="cs"/>
          <w:sz w:val="20"/>
          <w:szCs w:val="20"/>
          <w:rtl/>
        </w:rPr>
        <w:t xml:space="preserve"> מיעוך חזק יותר משרייה, ת"ק סובר שאע"פ שנמחה במיעוך שמא במים לא היה נמחה, וכ"פ </w:t>
      </w:r>
      <w:r w:rsidRPr="00D414A6">
        <w:rPr>
          <w:rFonts w:hint="cs"/>
          <w:b/>
          <w:bCs/>
          <w:sz w:val="20"/>
          <w:szCs w:val="20"/>
          <w:rtl/>
        </w:rPr>
        <w:t>המחבר</w:t>
      </w:r>
      <w:r>
        <w:rPr>
          <w:rFonts w:hint="cs"/>
          <w:sz w:val="20"/>
          <w:szCs w:val="20"/>
          <w:rtl/>
        </w:rPr>
        <w:t>.</w:t>
      </w:r>
      <w:r>
        <w:rPr>
          <w:sz w:val="20"/>
          <w:szCs w:val="20"/>
          <w:rtl/>
        </w:rPr>
        <w:br/>
      </w:r>
      <w:r>
        <w:rPr>
          <w:rFonts w:hint="cs"/>
          <w:sz w:val="20"/>
          <w:szCs w:val="20"/>
          <w:rtl/>
        </w:rPr>
        <w:t xml:space="preserve">ברם, כל שלא נמחה ע"י מיעוך </w:t>
      </w:r>
      <w:r>
        <w:rPr>
          <w:sz w:val="20"/>
          <w:szCs w:val="20"/>
          <w:rtl/>
        </w:rPr>
        <w:t>–</w:t>
      </w:r>
      <w:r>
        <w:rPr>
          <w:rFonts w:hint="cs"/>
          <w:sz w:val="20"/>
          <w:szCs w:val="20"/>
          <w:rtl/>
        </w:rPr>
        <w:t xml:space="preserve"> טהורה אף לת"ק ואין צריך לבדוק בשרייה, וכ"פ </w:t>
      </w:r>
      <w:r w:rsidRPr="00C53B1D">
        <w:rPr>
          <w:rFonts w:hint="cs"/>
          <w:b/>
          <w:bCs/>
          <w:sz w:val="20"/>
          <w:szCs w:val="20"/>
          <w:rtl/>
        </w:rPr>
        <w:t>הרמ"א</w:t>
      </w:r>
      <w:r>
        <w:rPr>
          <w:rFonts w:hint="cs"/>
          <w:sz w:val="20"/>
          <w:szCs w:val="20"/>
          <w:rtl/>
        </w:rPr>
        <w:t>.</w:t>
      </w:r>
    </w:p>
    <w:p w:rsidR="00620060" w:rsidRDefault="00620060" w:rsidP="00620060">
      <w:pPr>
        <w:rPr>
          <w:sz w:val="18"/>
          <w:szCs w:val="18"/>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400972">
        <w:rPr>
          <w:rFonts w:cs="Arial" w:hint="cs"/>
          <w:sz w:val="20"/>
          <w:szCs w:val="20"/>
          <w:rtl/>
        </w:rPr>
        <w:t>כל</w:t>
      </w:r>
      <w:r w:rsidRPr="00400972">
        <w:rPr>
          <w:rFonts w:cs="Arial"/>
          <w:sz w:val="20"/>
          <w:szCs w:val="20"/>
          <w:rtl/>
        </w:rPr>
        <w:t xml:space="preserve"> </w:t>
      </w:r>
      <w:r w:rsidRPr="00400972">
        <w:rPr>
          <w:rFonts w:cs="Arial" w:hint="cs"/>
          <w:sz w:val="20"/>
          <w:szCs w:val="20"/>
          <w:rtl/>
        </w:rPr>
        <w:t>דם</w:t>
      </w:r>
      <w:r w:rsidRPr="00400972">
        <w:rPr>
          <w:rFonts w:cs="Arial"/>
          <w:sz w:val="20"/>
          <w:szCs w:val="20"/>
          <w:rtl/>
        </w:rPr>
        <w:t xml:space="preserve"> </w:t>
      </w:r>
      <w:r w:rsidRPr="00400972">
        <w:rPr>
          <w:rFonts w:cs="Arial" w:hint="cs"/>
          <w:sz w:val="20"/>
          <w:szCs w:val="20"/>
          <w:rtl/>
        </w:rPr>
        <w:t>היוצא</w:t>
      </w:r>
      <w:r w:rsidRPr="00400972">
        <w:rPr>
          <w:rFonts w:cs="Arial"/>
          <w:sz w:val="20"/>
          <w:szCs w:val="20"/>
          <w:rtl/>
        </w:rPr>
        <w:t xml:space="preserve"> </w:t>
      </w:r>
      <w:r w:rsidRPr="00400972">
        <w:rPr>
          <w:rFonts w:cs="Arial" w:hint="cs"/>
          <w:sz w:val="20"/>
          <w:szCs w:val="20"/>
          <w:rtl/>
        </w:rPr>
        <w:t>מן</w:t>
      </w:r>
      <w:r w:rsidRPr="00400972">
        <w:rPr>
          <w:rFonts w:cs="Arial"/>
          <w:sz w:val="20"/>
          <w:szCs w:val="20"/>
          <w:rtl/>
        </w:rPr>
        <w:t xml:space="preserve"> </w:t>
      </w:r>
      <w:r w:rsidRPr="00400972">
        <w:rPr>
          <w:rFonts w:cs="Arial" w:hint="cs"/>
          <w:sz w:val="20"/>
          <w:szCs w:val="20"/>
          <w:rtl/>
        </w:rPr>
        <w:t>האשה</w:t>
      </w:r>
      <w:r w:rsidRPr="00400972">
        <w:rPr>
          <w:rFonts w:cs="Arial"/>
          <w:sz w:val="20"/>
          <w:szCs w:val="20"/>
          <w:rtl/>
        </w:rPr>
        <w:t xml:space="preserve">, </w:t>
      </w:r>
      <w:r w:rsidRPr="00400972">
        <w:rPr>
          <w:rFonts w:cs="Arial" w:hint="cs"/>
          <w:sz w:val="20"/>
          <w:szCs w:val="20"/>
          <w:rtl/>
        </w:rPr>
        <w:t>בין</w:t>
      </w:r>
      <w:r w:rsidRPr="00400972">
        <w:rPr>
          <w:rFonts w:cs="Arial"/>
          <w:sz w:val="20"/>
          <w:szCs w:val="20"/>
          <w:rtl/>
        </w:rPr>
        <w:t xml:space="preserve"> </w:t>
      </w:r>
      <w:r w:rsidRPr="00400972">
        <w:rPr>
          <w:rFonts w:cs="Arial" w:hint="cs"/>
          <w:sz w:val="20"/>
          <w:szCs w:val="20"/>
          <w:rtl/>
        </w:rPr>
        <w:t>לח</w:t>
      </w:r>
      <w:r w:rsidRPr="00400972">
        <w:rPr>
          <w:rFonts w:cs="Arial"/>
          <w:sz w:val="20"/>
          <w:szCs w:val="20"/>
          <w:rtl/>
        </w:rPr>
        <w:t xml:space="preserve"> </w:t>
      </w:r>
      <w:r w:rsidRPr="00400972">
        <w:rPr>
          <w:rFonts w:cs="Arial" w:hint="cs"/>
          <w:sz w:val="20"/>
          <w:szCs w:val="20"/>
          <w:rtl/>
        </w:rPr>
        <w:t>בין</w:t>
      </w:r>
      <w:r w:rsidRPr="00400972">
        <w:rPr>
          <w:rFonts w:cs="Arial"/>
          <w:sz w:val="20"/>
          <w:szCs w:val="20"/>
          <w:rtl/>
        </w:rPr>
        <w:t xml:space="preserve"> </w:t>
      </w:r>
      <w:r w:rsidRPr="00400972">
        <w:rPr>
          <w:rFonts w:cs="Arial" w:hint="cs"/>
          <w:sz w:val="20"/>
          <w:szCs w:val="20"/>
          <w:rtl/>
        </w:rPr>
        <w:t>יבש</w:t>
      </w:r>
      <w:r w:rsidRPr="00400972">
        <w:rPr>
          <w:rFonts w:cs="Arial"/>
          <w:sz w:val="20"/>
          <w:szCs w:val="20"/>
          <w:rtl/>
        </w:rPr>
        <w:t xml:space="preserve">, </w:t>
      </w:r>
      <w:r w:rsidRPr="00400972">
        <w:rPr>
          <w:rFonts w:cs="Arial" w:hint="cs"/>
          <w:sz w:val="20"/>
          <w:szCs w:val="20"/>
          <w:rtl/>
        </w:rPr>
        <w:t>טמאה</w:t>
      </w:r>
      <w:r w:rsidRPr="00400972">
        <w:rPr>
          <w:rFonts w:cs="Arial"/>
          <w:sz w:val="20"/>
          <w:szCs w:val="20"/>
          <w:rtl/>
        </w:rPr>
        <w:t xml:space="preserve">. </w:t>
      </w:r>
      <w:r w:rsidRPr="00400972">
        <w:rPr>
          <w:rFonts w:cs="Arial" w:hint="cs"/>
          <w:sz w:val="20"/>
          <w:szCs w:val="20"/>
          <w:rtl/>
        </w:rPr>
        <w:t>ולא</w:t>
      </w:r>
      <w:r w:rsidRPr="00400972">
        <w:rPr>
          <w:rFonts w:cs="Arial"/>
          <w:sz w:val="20"/>
          <w:szCs w:val="20"/>
          <w:rtl/>
        </w:rPr>
        <w:t xml:space="preserve"> </w:t>
      </w:r>
      <w:r w:rsidRPr="00400972">
        <w:rPr>
          <w:rFonts w:cs="Arial" w:hint="cs"/>
          <w:sz w:val="20"/>
          <w:szCs w:val="20"/>
          <w:rtl/>
        </w:rPr>
        <w:t>עוד</w:t>
      </w:r>
      <w:r w:rsidRPr="00400972">
        <w:rPr>
          <w:rFonts w:cs="Arial"/>
          <w:sz w:val="20"/>
          <w:szCs w:val="20"/>
          <w:rtl/>
        </w:rPr>
        <w:t xml:space="preserve">, </w:t>
      </w:r>
      <w:r w:rsidRPr="00400972">
        <w:rPr>
          <w:rFonts w:cs="Arial" w:hint="cs"/>
          <w:sz w:val="20"/>
          <w:szCs w:val="20"/>
          <w:rtl/>
        </w:rPr>
        <w:t>אלא</w:t>
      </w:r>
      <w:r w:rsidRPr="00400972">
        <w:rPr>
          <w:rFonts w:cs="Arial"/>
          <w:sz w:val="20"/>
          <w:szCs w:val="20"/>
          <w:rtl/>
        </w:rPr>
        <w:t xml:space="preserve"> </w:t>
      </w:r>
      <w:r w:rsidRPr="00400972">
        <w:rPr>
          <w:rFonts w:cs="Arial" w:hint="cs"/>
          <w:sz w:val="20"/>
          <w:szCs w:val="20"/>
          <w:rtl/>
        </w:rPr>
        <w:t>אפילו</w:t>
      </w:r>
      <w:r w:rsidRPr="00400972">
        <w:rPr>
          <w:rFonts w:cs="Arial"/>
          <w:sz w:val="20"/>
          <w:szCs w:val="20"/>
          <w:rtl/>
        </w:rPr>
        <w:t xml:space="preserve"> </w:t>
      </w:r>
      <w:r w:rsidRPr="00400972">
        <w:rPr>
          <w:rFonts w:cs="Arial" w:hint="cs"/>
          <w:sz w:val="20"/>
          <w:szCs w:val="20"/>
          <w:rtl/>
        </w:rPr>
        <w:t>יצא</w:t>
      </w:r>
      <w:r w:rsidRPr="00400972">
        <w:rPr>
          <w:rFonts w:cs="Arial"/>
          <w:sz w:val="20"/>
          <w:szCs w:val="20"/>
          <w:rtl/>
        </w:rPr>
        <w:t xml:space="preserve"> </w:t>
      </w:r>
      <w:r w:rsidRPr="00400972">
        <w:rPr>
          <w:rFonts w:cs="Arial" w:hint="cs"/>
          <w:sz w:val="20"/>
          <w:szCs w:val="20"/>
          <w:rtl/>
        </w:rPr>
        <w:t>ממנה</w:t>
      </w:r>
      <w:r w:rsidRPr="00400972">
        <w:rPr>
          <w:rFonts w:cs="Arial"/>
          <w:sz w:val="20"/>
          <w:szCs w:val="20"/>
          <w:rtl/>
        </w:rPr>
        <w:t xml:space="preserve"> </w:t>
      </w:r>
      <w:r w:rsidRPr="00400972">
        <w:rPr>
          <w:rFonts w:cs="Arial" w:hint="cs"/>
          <w:sz w:val="20"/>
          <w:szCs w:val="20"/>
          <w:rtl/>
        </w:rPr>
        <w:t>צורת</w:t>
      </w:r>
      <w:r w:rsidRPr="00400972">
        <w:rPr>
          <w:rFonts w:cs="Arial"/>
          <w:sz w:val="20"/>
          <w:szCs w:val="20"/>
          <w:rtl/>
        </w:rPr>
        <w:t xml:space="preserve"> </w:t>
      </w:r>
      <w:r w:rsidRPr="00400972">
        <w:rPr>
          <w:rFonts w:cs="Arial" w:hint="cs"/>
          <w:sz w:val="20"/>
          <w:szCs w:val="20"/>
          <w:rtl/>
        </w:rPr>
        <w:t>בריה</w:t>
      </w:r>
      <w:r w:rsidRPr="00400972">
        <w:rPr>
          <w:rFonts w:cs="Arial"/>
          <w:sz w:val="20"/>
          <w:szCs w:val="20"/>
          <w:rtl/>
        </w:rPr>
        <w:t xml:space="preserve">, </w:t>
      </w:r>
      <w:r w:rsidRPr="00400972">
        <w:rPr>
          <w:rFonts w:cs="Arial" w:hint="cs"/>
          <w:sz w:val="20"/>
          <w:szCs w:val="20"/>
          <w:rtl/>
        </w:rPr>
        <w:t>כמין</w:t>
      </w:r>
      <w:r w:rsidRPr="00400972">
        <w:rPr>
          <w:rFonts w:cs="Arial"/>
          <w:sz w:val="20"/>
          <w:szCs w:val="20"/>
          <w:rtl/>
        </w:rPr>
        <w:t xml:space="preserve"> </w:t>
      </w:r>
      <w:r w:rsidRPr="00400972">
        <w:rPr>
          <w:rFonts w:cs="Arial" w:hint="cs"/>
          <w:sz w:val="20"/>
          <w:szCs w:val="20"/>
          <w:rtl/>
        </w:rPr>
        <w:t>קליפות</w:t>
      </w:r>
      <w:r w:rsidRPr="00400972">
        <w:rPr>
          <w:rFonts w:cs="Arial"/>
          <w:sz w:val="20"/>
          <w:szCs w:val="20"/>
          <w:rtl/>
        </w:rPr>
        <w:t xml:space="preserve"> </w:t>
      </w:r>
      <w:r w:rsidRPr="00400972">
        <w:rPr>
          <w:rFonts w:cs="Arial" w:hint="cs"/>
          <w:sz w:val="20"/>
          <w:szCs w:val="20"/>
          <w:rtl/>
        </w:rPr>
        <w:t>או</w:t>
      </w:r>
      <w:r w:rsidRPr="00400972">
        <w:rPr>
          <w:rFonts w:cs="Arial"/>
          <w:sz w:val="20"/>
          <w:szCs w:val="20"/>
          <w:rtl/>
        </w:rPr>
        <w:t xml:space="preserve"> </w:t>
      </w:r>
      <w:r w:rsidRPr="00400972">
        <w:rPr>
          <w:rFonts w:cs="Arial" w:hint="cs"/>
          <w:sz w:val="20"/>
          <w:szCs w:val="20"/>
          <w:rtl/>
        </w:rPr>
        <w:t>כמין</w:t>
      </w:r>
      <w:r w:rsidRPr="00400972">
        <w:rPr>
          <w:rFonts w:cs="Arial"/>
          <w:sz w:val="20"/>
          <w:szCs w:val="20"/>
          <w:rtl/>
        </w:rPr>
        <w:t xml:space="preserve"> </w:t>
      </w:r>
      <w:r w:rsidRPr="00400972">
        <w:rPr>
          <w:rFonts w:cs="Arial" w:hint="cs"/>
          <w:sz w:val="20"/>
          <w:szCs w:val="20"/>
          <w:rtl/>
        </w:rPr>
        <w:t>שערות</w:t>
      </w:r>
      <w:r w:rsidRPr="00400972">
        <w:rPr>
          <w:rFonts w:cs="Arial"/>
          <w:sz w:val="20"/>
          <w:szCs w:val="20"/>
          <w:rtl/>
        </w:rPr>
        <w:t xml:space="preserve"> </w:t>
      </w:r>
      <w:r w:rsidRPr="00400972">
        <w:rPr>
          <w:rFonts w:cs="Arial" w:hint="cs"/>
          <w:sz w:val="20"/>
          <w:szCs w:val="20"/>
          <w:rtl/>
        </w:rPr>
        <w:t>או</w:t>
      </w:r>
      <w:r w:rsidRPr="00400972">
        <w:rPr>
          <w:rFonts w:cs="Arial"/>
          <w:sz w:val="20"/>
          <w:szCs w:val="20"/>
          <w:rtl/>
        </w:rPr>
        <w:t xml:space="preserve"> </w:t>
      </w:r>
      <w:r w:rsidRPr="00400972">
        <w:rPr>
          <w:rFonts w:cs="Arial" w:hint="cs"/>
          <w:sz w:val="20"/>
          <w:szCs w:val="20"/>
          <w:rtl/>
        </w:rPr>
        <w:t>כמין</w:t>
      </w:r>
      <w:r w:rsidRPr="00400972">
        <w:rPr>
          <w:rFonts w:cs="Arial"/>
          <w:sz w:val="20"/>
          <w:szCs w:val="20"/>
          <w:rtl/>
        </w:rPr>
        <w:t xml:space="preserve"> </w:t>
      </w:r>
      <w:r w:rsidRPr="00400972">
        <w:rPr>
          <w:rFonts w:cs="Arial" w:hint="cs"/>
          <w:sz w:val="20"/>
          <w:szCs w:val="20"/>
          <w:rtl/>
        </w:rPr>
        <w:t>יבחושים</w:t>
      </w:r>
      <w:r w:rsidRPr="00400972">
        <w:rPr>
          <w:rFonts w:cs="Arial"/>
          <w:sz w:val="20"/>
          <w:szCs w:val="20"/>
          <w:rtl/>
        </w:rPr>
        <w:t xml:space="preserve"> </w:t>
      </w:r>
      <w:r w:rsidRPr="00400972">
        <w:rPr>
          <w:rFonts w:cs="Arial" w:hint="cs"/>
          <w:sz w:val="20"/>
          <w:szCs w:val="20"/>
          <w:rtl/>
        </w:rPr>
        <w:t>אדומים</w:t>
      </w:r>
      <w:r w:rsidRPr="00400972">
        <w:rPr>
          <w:rFonts w:cs="Arial"/>
          <w:sz w:val="20"/>
          <w:szCs w:val="20"/>
          <w:rtl/>
        </w:rPr>
        <w:t xml:space="preserve">, </w:t>
      </w:r>
      <w:r w:rsidRPr="00400972">
        <w:rPr>
          <w:rFonts w:cs="Arial" w:hint="cs"/>
          <w:sz w:val="20"/>
          <w:szCs w:val="20"/>
          <w:rtl/>
        </w:rPr>
        <w:t>טמאה</w:t>
      </w:r>
      <w:r w:rsidRPr="00400972">
        <w:rPr>
          <w:rFonts w:cs="Arial"/>
          <w:sz w:val="20"/>
          <w:szCs w:val="20"/>
          <w:rtl/>
        </w:rPr>
        <w:t xml:space="preserve">. </w:t>
      </w:r>
      <w:r w:rsidRPr="00400972">
        <w:rPr>
          <w:rFonts w:cs="Arial" w:hint="cs"/>
          <w:sz w:val="20"/>
          <w:szCs w:val="20"/>
          <w:rtl/>
        </w:rPr>
        <w:t>והוא</w:t>
      </w:r>
      <w:r w:rsidRPr="00400972">
        <w:rPr>
          <w:rFonts w:cs="Arial"/>
          <w:sz w:val="20"/>
          <w:szCs w:val="20"/>
          <w:rtl/>
        </w:rPr>
        <w:t xml:space="preserve"> </w:t>
      </w:r>
      <w:r w:rsidRPr="00400972">
        <w:rPr>
          <w:rFonts w:cs="Arial" w:hint="cs"/>
          <w:sz w:val="20"/>
          <w:szCs w:val="20"/>
          <w:rtl/>
        </w:rPr>
        <w:t>שיהיו</w:t>
      </w:r>
      <w:r w:rsidRPr="00400972">
        <w:rPr>
          <w:rFonts w:cs="Arial"/>
          <w:sz w:val="20"/>
          <w:szCs w:val="20"/>
          <w:rtl/>
        </w:rPr>
        <w:t xml:space="preserve"> </w:t>
      </w:r>
      <w:r w:rsidRPr="00400972">
        <w:rPr>
          <w:rFonts w:cs="Arial" w:hint="cs"/>
          <w:sz w:val="20"/>
          <w:szCs w:val="20"/>
          <w:rtl/>
        </w:rPr>
        <w:t>נ</w:t>
      </w:r>
      <w:r>
        <w:rPr>
          <w:rFonts w:cs="Arial" w:hint="cs"/>
          <w:sz w:val="20"/>
          <w:szCs w:val="20"/>
          <w:rtl/>
        </w:rPr>
        <w:t>י</w:t>
      </w:r>
      <w:r w:rsidRPr="00400972">
        <w:rPr>
          <w:rFonts w:cs="Arial" w:hint="cs"/>
          <w:sz w:val="20"/>
          <w:szCs w:val="20"/>
          <w:rtl/>
        </w:rPr>
        <w:t>מוחים</w:t>
      </w:r>
      <w:r w:rsidRPr="00400972">
        <w:rPr>
          <w:rFonts w:cs="Arial"/>
          <w:sz w:val="20"/>
          <w:szCs w:val="20"/>
          <w:rtl/>
        </w:rPr>
        <w:t xml:space="preserve"> </w:t>
      </w:r>
      <w:r w:rsidRPr="00400972">
        <w:rPr>
          <w:rFonts w:cs="Arial" w:hint="cs"/>
          <w:sz w:val="20"/>
          <w:szCs w:val="20"/>
          <w:rtl/>
        </w:rPr>
        <w:t>בתוך</w:t>
      </w:r>
      <w:r w:rsidRPr="00400972">
        <w:rPr>
          <w:rFonts w:cs="Arial"/>
          <w:sz w:val="20"/>
          <w:szCs w:val="20"/>
          <w:rtl/>
        </w:rPr>
        <w:t xml:space="preserve"> </w:t>
      </w:r>
      <w:r w:rsidRPr="00400972">
        <w:rPr>
          <w:rFonts w:cs="Arial" w:hint="cs"/>
          <w:sz w:val="20"/>
          <w:szCs w:val="20"/>
          <w:rtl/>
        </w:rPr>
        <w:t>מעת</w:t>
      </w:r>
      <w:r w:rsidRPr="00400972">
        <w:rPr>
          <w:rFonts w:cs="Arial"/>
          <w:sz w:val="20"/>
          <w:szCs w:val="20"/>
          <w:rtl/>
        </w:rPr>
        <w:t xml:space="preserve"> </w:t>
      </w:r>
      <w:r w:rsidRPr="00400972">
        <w:rPr>
          <w:rFonts w:cs="Arial" w:hint="cs"/>
          <w:sz w:val="20"/>
          <w:szCs w:val="20"/>
          <w:rtl/>
        </w:rPr>
        <w:t>לעת</w:t>
      </w:r>
      <w:r w:rsidRPr="00400972">
        <w:rPr>
          <w:rFonts w:cs="Arial"/>
          <w:sz w:val="20"/>
          <w:szCs w:val="20"/>
          <w:rtl/>
        </w:rPr>
        <w:t xml:space="preserve">, </w:t>
      </w:r>
      <w:r w:rsidRPr="00400972">
        <w:rPr>
          <w:rFonts w:cs="Arial" w:hint="cs"/>
          <w:sz w:val="20"/>
          <w:szCs w:val="20"/>
          <w:rtl/>
        </w:rPr>
        <w:t>על</w:t>
      </w:r>
      <w:r w:rsidRPr="00400972">
        <w:rPr>
          <w:rFonts w:cs="Arial"/>
          <w:sz w:val="20"/>
          <w:szCs w:val="20"/>
          <w:rtl/>
        </w:rPr>
        <w:t xml:space="preserve"> </w:t>
      </w:r>
      <w:r w:rsidRPr="00400972">
        <w:rPr>
          <w:rFonts w:cs="Arial" w:hint="cs"/>
          <w:sz w:val="20"/>
          <w:szCs w:val="20"/>
          <w:rtl/>
        </w:rPr>
        <w:t>ידי</w:t>
      </w:r>
      <w:r w:rsidRPr="00400972">
        <w:rPr>
          <w:rFonts w:cs="Arial"/>
          <w:sz w:val="20"/>
          <w:szCs w:val="20"/>
          <w:rtl/>
        </w:rPr>
        <w:t xml:space="preserve"> </w:t>
      </w:r>
      <w:r w:rsidRPr="00400972">
        <w:rPr>
          <w:rFonts w:cs="Arial" w:hint="cs"/>
          <w:sz w:val="20"/>
          <w:szCs w:val="20"/>
          <w:rtl/>
        </w:rPr>
        <w:t>ששורים</w:t>
      </w:r>
      <w:r w:rsidRPr="00400972">
        <w:rPr>
          <w:rFonts w:cs="Arial"/>
          <w:sz w:val="20"/>
          <w:szCs w:val="20"/>
          <w:rtl/>
        </w:rPr>
        <w:t xml:space="preserve"> </w:t>
      </w:r>
      <w:r w:rsidRPr="00400972">
        <w:rPr>
          <w:rFonts w:cs="Arial" w:hint="cs"/>
          <w:sz w:val="20"/>
          <w:szCs w:val="20"/>
          <w:rtl/>
        </w:rPr>
        <w:t>אותם</w:t>
      </w:r>
      <w:r w:rsidRPr="00400972">
        <w:rPr>
          <w:rFonts w:cs="Arial"/>
          <w:sz w:val="20"/>
          <w:szCs w:val="20"/>
          <w:rtl/>
        </w:rPr>
        <w:t xml:space="preserve"> </w:t>
      </w:r>
      <w:r w:rsidRPr="00400972">
        <w:rPr>
          <w:rFonts w:cs="Arial" w:hint="cs"/>
          <w:sz w:val="20"/>
          <w:szCs w:val="20"/>
          <w:rtl/>
        </w:rPr>
        <w:t>במים</w:t>
      </w:r>
      <w:r w:rsidRPr="00400972">
        <w:rPr>
          <w:rFonts w:cs="Arial"/>
          <w:sz w:val="20"/>
          <w:szCs w:val="20"/>
          <w:rtl/>
        </w:rPr>
        <w:t xml:space="preserve"> </w:t>
      </w:r>
      <w:r w:rsidRPr="00400972">
        <w:rPr>
          <w:rFonts w:cs="Arial" w:hint="cs"/>
          <w:sz w:val="20"/>
          <w:szCs w:val="20"/>
          <w:rtl/>
        </w:rPr>
        <w:t>פושרים</w:t>
      </w:r>
      <w:r w:rsidRPr="00400972">
        <w:rPr>
          <w:rFonts w:cs="Arial"/>
          <w:sz w:val="20"/>
          <w:szCs w:val="20"/>
          <w:rtl/>
        </w:rPr>
        <w:t xml:space="preserve">, </w:t>
      </w:r>
      <w:r w:rsidRPr="00400972">
        <w:rPr>
          <w:rFonts w:cs="Arial" w:hint="cs"/>
          <w:sz w:val="20"/>
          <w:szCs w:val="20"/>
          <w:rtl/>
        </w:rPr>
        <w:t>ויהיו</w:t>
      </w:r>
      <w:r w:rsidRPr="00400972">
        <w:rPr>
          <w:rFonts w:cs="Arial"/>
          <w:sz w:val="20"/>
          <w:szCs w:val="20"/>
          <w:rtl/>
        </w:rPr>
        <w:t xml:space="preserve"> </w:t>
      </w:r>
      <w:r w:rsidRPr="00400972">
        <w:rPr>
          <w:rFonts w:cs="Arial" w:hint="cs"/>
          <w:sz w:val="20"/>
          <w:szCs w:val="20"/>
          <w:rtl/>
        </w:rPr>
        <w:t>המים</w:t>
      </w:r>
      <w:r w:rsidRPr="00400972">
        <w:rPr>
          <w:rFonts w:cs="Arial"/>
          <w:sz w:val="20"/>
          <w:szCs w:val="20"/>
          <w:rtl/>
        </w:rPr>
        <w:t xml:space="preserve"> </w:t>
      </w:r>
      <w:r w:rsidRPr="00400972">
        <w:rPr>
          <w:rFonts w:cs="Arial" w:hint="cs"/>
          <w:sz w:val="20"/>
          <w:szCs w:val="20"/>
          <w:rtl/>
        </w:rPr>
        <w:t>פושרים</w:t>
      </w:r>
      <w:r w:rsidRPr="00400972">
        <w:rPr>
          <w:rFonts w:cs="Arial"/>
          <w:sz w:val="20"/>
          <w:szCs w:val="20"/>
          <w:rtl/>
        </w:rPr>
        <w:t xml:space="preserve"> </w:t>
      </w:r>
      <w:r w:rsidRPr="00400972">
        <w:rPr>
          <w:rFonts w:cs="Arial" w:hint="cs"/>
          <w:sz w:val="20"/>
          <w:szCs w:val="20"/>
          <w:rtl/>
        </w:rPr>
        <w:t>כל</w:t>
      </w:r>
      <w:r w:rsidRPr="00400972">
        <w:rPr>
          <w:rFonts w:cs="Arial"/>
          <w:sz w:val="20"/>
          <w:szCs w:val="20"/>
          <w:rtl/>
        </w:rPr>
        <w:t xml:space="preserve"> </w:t>
      </w:r>
      <w:r w:rsidRPr="00400972">
        <w:rPr>
          <w:rFonts w:cs="Arial" w:hint="cs"/>
          <w:sz w:val="20"/>
          <w:szCs w:val="20"/>
          <w:rtl/>
        </w:rPr>
        <w:t>משך</w:t>
      </w:r>
      <w:r w:rsidRPr="00400972">
        <w:rPr>
          <w:rFonts w:cs="Arial"/>
          <w:sz w:val="20"/>
          <w:szCs w:val="20"/>
          <w:rtl/>
        </w:rPr>
        <w:t xml:space="preserve"> </w:t>
      </w:r>
      <w:r w:rsidRPr="00400972">
        <w:rPr>
          <w:rFonts w:cs="Arial" w:hint="cs"/>
          <w:sz w:val="20"/>
          <w:szCs w:val="20"/>
          <w:rtl/>
        </w:rPr>
        <w:t>מעת</w:t>
      </w:r>
      <w:r w:rsidRPr="00400972">
        <w:rPr>
          <w:rFonts w:cs="Arial"/>
          <w:sz w:val="20"/>
          <w:szCs w:val="20"/>
          <w:rtl/>
        </w:rPr>
        <w:t xml:space="preserve"> </w:t>
      </w:r>
      <w:r w:rsidRPr="00400972">
        <w:rPr>
          <w:rFonts w:cs="Arial" w:hint="cs"/>
          <w:sz w:val="20"/>
          <w:szCs w:val="20"/>
          <w:rtl/>
        </w:rPr>
        <w:t>לעת</w:t>
      </w:r>
      <w:r w:rsidRPr="00400972">
        <w:rPr>
          <w:rFonts w:cs="Arial"/>
          <w:sz w:val="20"/>
          <w:szCs w:val="20"/>
          <w:rtl/>
        </w:rPr>
        <w:t xml:space="preserve"> </w:t>
      </w:r>
      <w:r w:rsidRPr="00400972">
        <w:rPr>
          <w:rFonts w:cs="Arial" w:hint="cs"/>
          <w:sz w:val="20"/>
          <w:szCs w:val="20"/>
          <w:rtl/>
        </w:rPr>
        <w:t>שהם</w:t>
      </w:r>
      <w:r w:rsidRPr="00400972">
        <w:rPr>
          <w:rFonts w:cs="Arial"/>
          <w:sz w:val="20"/>
          <w:szCs w:val="20"/>
          <w:rtl/>
        </w:rPr>
        <w:t xml:space="preserve"> </w:t>
      </w:r>
      <w:r w:rsidRPr="00400972">
        <w:rPr>
          <w:rFonts w:cs="Arial" w:hint="cs"/>
          <w:sz w:val="20"/>
          <w:szCs w:val="20"/>
          <w:rtl/>
        </w:rPr>
        <w:t>בתוכו</w:t>
      </w:r>
      <w:r w:rsidRPr="00400972">
        <w:rPr>
          <w:rFonts w:cs="Arial"/>
          <w:sz w:val="20"/>
          <w:szCs w:val="20"/>
          <w:rtl/>
        </w:rPr>
        <w:t xml:space="preserve">. </w:t>
      </w:r>
      <w:r w:rsidRPr="00400972">
        <w:rPr>
          <w:rFonts w:cs="Arial" w:hint="cs"/>
          <w:sz w:val="20"/>
          <w:szCs w:val="20"/>
          <w:rtl/>
        </w:rPr>
        <w:t>ושיעור</w:t>
      </w:r>
      <w:r w:rsidRPr="00400972">
        <w:rPr>
          <w:rFonts w:cs="Arial"/>
          <w:sz w:val="20"/>
          <w:szCs w:val="20"/>
          <w:rtl/>
        </w:rPr>
        <w:t xml:space="preserve"> </w:t>
      </w:r>
      <w:r w:rsidRPr="00400972">
        <w:rPr>
          <w:rFonts w:cs="Arial" w:hint="cs"/>
          <w:sz w:val="20"/>
          <w:szCs w:val="20"/>
          <w:rtl/>
        </w:rPr>
        <w:t>החימום</w:t>
      </w:r>
      <w:r w:rsidRPr="00400972">
        <w:rPr>
          <w:rFonts w:cs="Arial"/>
          <w:sz w:val="20"/>
          <w:szCs w:val="20"/>
          <w:rtl/>
        </w:rPr>
        <w:t xml:space="preserve">, </w:t>
      </w:r>
      <w:r w:rsidRPr="00400972">
        <w:rPr>
          <w:rFonts w:cs="Arial" w:hint="cs"/>
          <w:sz w:val="20"/>
          <w:szCs w:val="20"/>
          <w:rtl/>
        </w:rPr>
        <w:t>כמו</w:t>
      </w:r>
      <w:r w:rsidRPr="00400972">
        <w:rPr>
          <w:rFonts w:cs="Arial"/>
          <w:sz w:val="20"/>
          <w:szCs w:val="20"/>
          <w:rtl/>
        </w:rPr>
        <w:t xml:space="preserve"> </w:t>
      </w:r>
      <w:r w:rsidRPr="00400972">
        <w:rPr>
          <w:rFonts w:cs="Arial" w:hint="cs"/>
          <w:sz w:val="20"/>
          <w:szCs w:val="20"/>
          <w:rtl/>
        </w:rPr>
        <w:t>מים</w:t>
      </w:r>
      <w:r w:rsidRPr="00400972">
        <w:rPr>
          <w:rFonts w:cs="Arial"/>
          <w:sz w:val="20"/>
          <w:szCs w:val="20"/>
          <w:rtl/>
        </w:rPr>
        <w:t xml:space="preserve"> </w:t>
      </w:r>
      <w:r w:rsidRPr="00400972">
        <w:rPr>
          <w:rFonts w:cs="Arial" w:hint="cs"/>
          <w:sz w:val="20"/>
          <w:szCs w:val="20"/>
          <w:rtl/>
        </w:rPr>
        <w:t>שנשאבו</w:t>
      </w:r>
      <w:r w:rsidRPr="00400972">
        <w:rPr>
          <w:rFonts w:cs="Arial"/>
          <w:sz w:val="20"/>
          <w:szCs w:val="20"/>
          <w:rtl/>
        </w:rPr>
        <w:t xml:space="preserve"> </w:t>
      </w:r>
      <w:r w:rsidRPr="00400972">
        <w:rPr>
          <w:rFonts w:cs="Arial" w:hint="cs"/>
          <w:sz w:val="20"/>
          <w:szCs w:val="20"/>
          <w:rtl/>
        </w:rPr>
        <w:t>בקיץ</w:t>
      </w:r>
      <w:r w:rsidRPr="00400972">
        <w:rPr>
          <w:rFonts w:cs="Arial"/>
          <w:sz w:val="20"/>
          <w:szCs w:val="20"/>
          <w:rtl/>
        </w:rPr>
        <w:t xml:space="preserve"> </w:t>
      </w:r>
      <w:r w:rsidRPr="00400972">
        <w:rPr>
          <w:rFonts w:cs="Arial" w:hint="cs"/>
          <w:sz w:val="20"/>
          <w:szCs w:val="20"/>
          <w:rtl/>
        </w:rPr>
        <w:t>מהנהר</w:t>
      </w:r>
      <w:r w:rsidRPr="00400972">
        <w:rPr>
          <w:rFonts w:cs="Arial"/>
          <w:sz w:val="20"/>
          <w:szCs w:val="20"/>
          <w:rtl/>
        </w:rPr>
        <w:t xml:space="preserve"> </w:t>
      </w:r>
      <w:r w:rsidRPr="00400972">
        <w:rPr>
          <w:rFonts w:cs="Arial" w:hint="cs"/>
          <w:sz w:val="20"/>
          <w:szCs w:val="20"/>
          <w:rtl/>
        </w:rPr>
        <w:t>או</w:t>
      </w:r>
      <w:r w:rsidRPr="00400972">
        <w:rPr>
          <w:rFonts w:cs="Arial"/>
          <w:sz w:val="20"/>
          <w:szCs w:val="20"/>
          <w:rtl/>
        </w:rPr>
        <w:t xml:space="preserve"> </w:t>
      </w:r>
      <w:r w:rsidRPr="00400972">
        <w:rPr>
          <w:rFonts w:cs="Arial" w:hint="cs"/>
          <w:sz w:val="20"/>
          <w:szCs w:val="20"/>
          <w:rtl/>
        </w:rPr>
        <w:t>מהמע</w:t>
      </w:r>
      <w:r>
        <w:rPr>
          <w:rFonts w:cs="Arial" w:hint="cs"/>
          <w:sz w:val="20"/>
          <w:szCs w:val="20"/>
          <w:rtl/>
        </w:rPr>
        <w:t>י</w:t>
      </w:r>
      <w:r w:rsidRPr="00400972">
        <w:rPr>
          <w:rFonts w:cs="Arial" w:hint="cs"/>
          <w:sz w:val="20"/>
          <w:szCs w:val="20"/>
          <w:rtl/>
        </w:rPr>
        <w:t>ין</w:t>
      </w:r>
      <w:r w:rsidRPr="00400972">
        <w:rPr>
          <w:rFonts w:cs="Arial"/>
          <w:sz w:val="20"/>
          <w:szCs w:val="20"/>
          <w:rtl/>
        </w:rPr>
        <w:t xml:space="preserve">, </w:t>
      </w:r>
      <w:r w:rsidRPr="00400972">
        <w:rPr>
          <w:rFonts w:cs="Arial" w:hint="cs"/>
          <w:sz w:val="20"/>
          <w:szCs w:val="20"/>
          <w:rtl/>
        </w:rPr>
        <w:t>ועמדו</w:t>
      </w:r>
      <w:r w:rsidRPr="00400972">
        <w:rPr>
          <w:rFonts w:cs="Arial"/>
          <w:sz w:val="20"/>
          <w:szCs w:val="20"/>
          <w:rtl/>
        </w:rPr>
        <w:t xml:space="preserve"> </w:t>
      </w:r>
      <w:r w:rsidRPr="00400972">
        <w:rPr>
          <w:rFonts w:cs="Arial" w:hint="cs"/>
          <w:sz w:val="20"/>
          <w:szCs w:val="20"/>
          <w:rtl/>
        </w:rPr>
        <w:t>בבית</w:t>
      </w:r>
      <w:r w:rsidRPr="00400972">
        <w:rPr>
          <w:rFonts w:cs="Arial"/>
          <w:sz w:val="20"/>
          <w:szCs w:val="20"/>
          <w:rtl/>
        </w:rPr>
        <w:t xml:space="preserve">, </w:t>
      </w:r>
      <w:r w:rsidRPr="00400972">
        <w:rPr>
          <w:rFonts w:cs="Arial" w:hint="cs"/>
          <w:sz w:val="20"/>
          <w:szCs w:val="20"/>
          <w:rtl/>
        </w:rPr>
        <w:t>שחום</w:t>
      </w:r>
      <w:r w:rsidRPr="00400972">
        <w:rPr>
          <w:rFonts w:cs="Arial"/>
          <w:sz w:val="20"/>
          <w:szCs w:val="20"/>
          <w:rtl/>
        </w:rPr>
        <w:t xml:space="preserve"> </w:t>
      </w:r>
      <w:r w:rsidRPr="00400972">
        <w:rPr>
          <w:rFonts w:cs="Arial" w:hint="cs"/>
          <w:sz w:val="20"/>
          <w:szCs w:val="20"/>
          <w:rtl/>
        </w:rPr>
        <w:t>הבית</w:t>
      </w:r>
      <w:r w:rsidRPr="00400972">
        <w:rPr>
          <w:rFonts w:cs="Arial"/>
          <w:sz w:val="20"/>
          <w:szCs w:val="20"/>
          <w:rtl/>
        </w:rPr>
        <w:t xml:space="preserve"> </w:t>
      </w:r>
      <w:r w:rsidRPr="00400972">
        <w:rPr>
          <w:rFonts w:cs="Arial" w:hint="cs"/>
          <w:sz w:val="20"/>
          <w:szCs w:val="20"/>
          <w:rtl/>
        </w:rPr>
        <w:t>מחממתן</w:t>
      </w:r>
      <w:r w:rsidRPr="00400972">
        <w:rPr>
          <w:rFonts w:cs="Arial"/>
          <w:sz w:val="20"/>
          <w:szCs w:val="20"/>
          <w:rtl/>
        </w:rPr>
        <w:t xml:space="preserve">. </w:t>
      </w:r>
      <w:r w:rsidRPr="00400972">
        <w:rPr>
          <w:rFonts w:cs="Arial" w:hint="cs"/>
          <w:sz w:val="20"/>
          <w:szCs w:val="20"/>
          <w:rtl/>
        </w:rPr>
        <w:t>וכחימום</w:t>
      </w:r>
      <w:r w:rsidRPr="00400972">
        <w:rPr>
          <w:rFonts w:cs="Arial"/>
          <w:sz w:val="20"/>
          <w:szCs w:val="20"/>
          <w:rtl/>
        </w:rPr>
        <w:t xml:space="preserve"> </w:t>
      </w:r>
      <w:r w:rsidRPr="00400972">
        <w:rPr>
          <w:rFonts w:cs="Arial" w:hint="cs"/>
          <w:sz w:val="20"/>
          <w:szCs w:val="20"/>
          <w:rtl/>
        </w:rPr>
        <w:t>של</w:t>
      </w:r>
      <w:r w:rsidRPr="00400972">
        <w:rPr>
          <w:rFonts w:cs="Arial"/>
          <w:sz w:val="20"/>
          <w:szCs w:val="20"/>
          <w:rtl/>
        </w:rPr>
        <w:t xml:space="preserve"> </w:t>
      </w:r>
      <w:r w:rsidRPr="00400972">
        <w:rPr>
          <w:rFonts w:cs="Arial" w:hint="cs"/>
          <w:sz w:val="20"/>
          <w:szCs w:val="20"/>
          <w:rtl/>
        </w:rPr>
        <w:t>אלו</w:t>
      </w:r>
      <w:r w:rsidRPr="00400972">
        <w:rPr>
          <w:rFonts w:cs="Arial"/>
          <w:sz w:val="20"/>
          <w:szCs w:val="20"/>
          <w:rtl/>
        </w:rPr>
        <w:t xml:space="preserve"> </w:t>
      </w:r>
      <w:r w:rsidRPr="00400972">
        <w:rPr>
          <w:rFonts w:cs="Arial" w:hint="cs"/>
          <w:sz w:val="20"/>
          <w:szCs w:val="20"/>
          <w:rtl/>
        </w:rPr>
        <w:t>כך</w:t>
      </w:r>
      <w:r w:rsidRPr="00400972">
        <w:rPr>
          <w:rFonts w:cs="Arial"/>
          <w:sz w:val="20"/>
          <w:szCs w:val="20"/>
          <w:rtl/>
        </w:rPr>
        <w:t xml:space="preserve"> </w:t>
      </w:r>
      <w:r w:rsidRPr="00400972">
        <w:rPr>
          <w:rFonts w:cs="Arial" w:hint="cs"/>
          <w:sz w:val="20"/>
          <w:szCs w:val="20"/>
          <w:rtl/>
        </w:rPr>
        <w:t>הוא</w:t>
      </w:r>
      <w:r w:rsidRPr="00400972">
        <w:rPr>
          <w:rFonts w:cs="Arial"/>
          <w:sz w:val="20"/>
          <w:szCs w:val="20"/>
          <w:rtl/>
        </w:rPr>
        <w:t xml:space="preserve"> </w:t>
      </w:r>
      <w:r w:rsidRPr="00400972">
        <w:rPr>
          <w:rFonts w:cs="Arial" w:hint="cs"/>
          <w:sz w:val="20"/>
          <w:szCs w:val="20"/>
          <w:rtl/>
        </w:rPr>
        <w:t>שיעור</w:t>
      </w:r>
      <w:r w:rsidRPr="00400972">
        <w:rPr>
          <w:rFonts w:cs="Arial"/>
          <w:sz w:val="20"/>
          <w:szCs w:val="20"/>
          <w:rtl/>
        </w:rPr>
        <w:t xml:space="preserve"> </w:t>
      </w:r>
      <w:r w:rsidRPr="00400972">
        <w:rPr>
          <w:rFonts w:cs="Arial" w:hint="cs"/>
          <w:sz w:val="20"/>
          <w:szCs w:val="20"/>
          <w:rtl/>
        </w:rPr>
        <w:t>פושרים</w:t>
      </w:r>
      <w:r w:rsidRPr="00400972">
        <w:rPr>
          <w:rFonts w:cs="Arial"/>
          <w:sz w:val="20"/>
          <w:szCs w:val="20"/>
          <w:rtl/>
        </w:rPr>
        <w:t xml:space="preserve"> </w:t>
      </w:r>
      <w:r w:rsidRPr="00400972">
        <w:rPr>
          <w:rFonts w:cs="Arial" w:hint="cs"/>
          <w:sz w:val="20"/>
          <w:szCs w:val="20"/>
          <w:rtl/>
        </w:rPr>
        <w:t>בימות</w:t>
      </w:r>
      <w:r w:rsidRPr="00400972">
        <w:rPr>
          <w:rFonts w:cs="Arial"/>
          <w:sz w:val="20"/>
          <w:szCs w:val="20"/>
          <w:rtl/>
        </w:rPr>
        <w:t xml:space="preserve"> </w:t>
      </w:r>
      <w:r w:rsidRPr="00400972">
        <w:rPr>
          <w:rFonts w:cs="Arial" w:hint="cs"/>
          <w:sz w:val="20"/>
          <w:szCs w:val="20"/>
          <w:rtl/>
        </w:rPr>
        <w:t>החורף</w:t>
      </w:r>
      <w:r w:rsidRPr="00400972">
        <w:rPr>
          <w:rFonts w:cs="Arial"/>
          <w:sz w:val="20"/>
          <w:szCs w:val="20"/>
          <w:rtl/>
        </w:rPr>
        <w:t xml:space="preserve">. </w:t>
      </w:r>
      <w:r w:rsidRPr="00400972">
        <w:rPr>
          <w:rFonts w:cs="Arial"/>
          <w:sz w:val="18"/>
          <w:szCs w:val="18"/>
          <w:rtl/>
        </w:rPr>
        <w:t>(</w:t>
      </w:r>
      <w:r w:rsidRPr="00400972">
        <w:rPr>
          <w:rFonts w:cs="Arial" w:hint="cs"/>
          <w:sz w:val="18"/>
          <w:szCs w:val="18"/>
          <w:rtl/>
        </w:rPr>
        <w:t>וסתם</w:t>
      </w:r>
      <w:r w:rsidRPr="00400972">
        <w:rPr>
          <w:rFonts w:cs="Arial"/>
          <w:sz w:val="18"/>
          <w:szCs w:val="18"/>
          <w:rtl/>
        </w:rPr>
        <w:t xml:space="preserve"> </w:t>
      </w:r>
      <w:r w:rsidRPr="00400972">
        <w:rPr>
          <w:rFonts w:cs="Arial" w:hint="cs"/>
          <w:sz w:val="18"/>
          <w:szCs w:val="18"/>
          <w:rtl/>
        </w:rPr>
        <w:t>פושרים</w:t>
      </w:r>
      <w:r w:rsidRPr="00400972">
        <w:rPr>
          <w:rFonts w:cs="Arial"/>
          <w:sz w:val="18"/>
          <w:szCs w:val="18"/>
          <w:rtl/>
        </w:rPr>
        <w:t xml:space="preserve"> </w:t>
      </w:r>
      <w:r w:rsidRPr="00400972">
        <w:rPr>
          <w:rFonts w:cs="Arial" w:hint="cs"/>
          <w:sz w:val="18"/>
          <w:szCs w:val="18"/>
          <w:rtl/>
        </w:rPr>
        <w:t>אינן</w:t>
      </w:r>
      <w:r w:rsidRPr="00400972">
        <w:rPr>
          <w:rFonts w:cs="Arial"/>
          <w:sz w:val="18"/>
          <w:szCs w:val="18"/>
          <w:rtl/>
        </w:rPr>
        <w:t xml:space="preserve"> </w:t>
      </w:r>
      <w:r w:rsidRPr="00400972">
        <w:rPr>
          <w:rFonts w:cs="Arial" w:hint="cs"/>
          <w:sz w:val="18"/>
          <w:szCs w:val="18"/>
          <w:rtl/>
        </w:rPr>
        <w:t>חמין</w:t>
      </w:r>
      <w:r w:rsidRPr="00400972">
        <w:rPr>
          <w:rFonts w:cs="Arial"/>
          <w:sz w:val="18"/>
          <w:szCs w:val="18"/>
          <w:rtl/>
        </w:rPr>
        <w:t xml:space="preserve"> </w:t>
      </w:r>
      <w:r w:rsidRPr="00400972">
        <w:rPr>
          <w:rFonts w:cs="Arial" w:hint="cs"/>
          <w:sz w:val="18"/>
          <w:szCs w:val="18"/>
          <w:rtl/>
        </w:rPr>
        <w:t>יותר</w:t>
      </w:r>
      <w:r w:rsidRPr="00400972">
        <w:rPr>
          <w:rFonts w:cs="Arial"/>
          <w:sz w:val="18"/>
          <w:szCs w:val="18"/>
          <w:rtl/>
        </w:rPr>
        <w:t xml:space="preserve"> </w:t>
      </w:r>
      <w:r w:rsidRPr="00400972">
        <w:rPr>
          <w:rFonts w:cs="Arial" w:hint="cs"/>
          <w:sz w:val="18"/>
          <w:szCs w:val="18"/>
          <w:rtl/>
        </w:rPr>
        <w:t>מחמימות</w:t>
      </w:r>
      <w:r w:rsidRPr="00400972">
        <w:rPr>
          <w:rFonts w:cs="Arial"/>
          <w:sz w:val="18"/>
          <w:szCs w:val="18"/>
          <w:rtl/>
        </w:rPr>
        <w:t xml:space="preserve"> </w:t>
      </w:r>
      <w:r w:rsidRPr="00400972">
        <w:rPr>
          <w:rFonts w:cs="Arial" w:hint="cs"/>
          <w:sz w:val="18"/>
          <w:szCs w:val="18"/>
          <w:rtl/>
        </w:rPr>
        <w:t>הרוק)</w:t>
      </w:r>
      <w:r w:rsidRPr="00400972">
        <w:rPr>
          <w:rFonts w:cs="Arial"/>
          <w:sz w:val="20"/>
          <w:szCs w:val="20"/>
          <w:rtl/>
        </w:rPr>
        <w:t xml:space="preserve">. </w:t>
      </w:r>
      <w:r w:rsidRPr="00400972">
        <w:rPr>
          <w:rFonts w:cs="Arial" w:hint="cs"/>
          <w:sz w:val="20"/>
          <w:szCs w:val="20"/>
          <w:rtl/>
        </w:rPr>
        <w:t>ואם</w:t>
      </w:r>
      <w:r w:rsidRPr="00400972">
        <w:rPr>
          <w:rFonts w:cs="Arial"/>
          <w:sz w:val="20"/>
          <w:szCs w:val="20"/>
          <w:rtl/>
        </w:rPr>
        <w:t xml:space="preserve"> </w:t>
      </w:r>
      <w:r w:rsidRPr="00400972">
        <w:rPr>
          <w:rFonts w:cs="Arial" w:hint="cs"/>
          <w:sz w:val="20"/>
          <w:szCs w:val="20"/>
          <w:rtl/>
        </w:rPr>
        <w:t>הם</w:t>
      </w:r>
      <w:r w:rsidRPr="00400972">
        <w:rPr>
          <w:rFonts w:cs="Arial"/>
          <w:sz w:val="20"/>
          <w:szCs w:val="20"/>
          <w:rtl/>
        </w:rPr>
        <w:t xml:space="preserve"> </w:t>
      </w:r>
      <w:r w:rsidRPr="00400972">
        <w:rPr>
          <w:rFonts w:cs="Arial" w:hint="cs"/>
          <w:sz w:val="20"/>
          <w:szCs w:val="20"/>
          <w:rtl/>
        </w:rPr>
        <w:t>קשים</w:t>
      </w:r>
      <w:r w:rsidRPr="00400972">
        <w:rPr>
          <w:rFonts w:cs="Arial"/>
          <w:sz w:val="20"/>
          <w:szCs w:val="20"/>
          <w:rtl/>
        </w:rPr>
        <w:t xml:space="preserve"> </w:t>
      </w:r>
      <w:r w:rsidRPr="00400972">
        <w:rPr>
          <w:rFonts w:cs="Arial" w:hint="cs"/>
          <w:sz w:val="20"/>
          <w:szCs w:val="20"/>
          <w:rtl/>
        </w:rPr>
        <w:t>כל</w:t>
      </w:r>
      <w:r w:rsidRPr="00400972">
        <w:rPr>
          <w:rFonts w:cs="Arial"/>
          <w:sz w:val="20"/>
          <w:szCs w:val="20"/>
          <w:rtl/>
        </w:rPr>
        <w:t xml:space="preserve"> </w:t>
      </w:r>
      <w:r w:rsidRPr="00400972">
        <w:rPr>
          <w:rFonts w:cs="Arial" w:hint="cs"/>
          <w:sz w:val="20"/>
          <w:szCs w:val="20"/>
          <w:rtl/>
        </w:rPr>
        <w:t>כך</w:t>
      </w:r>
      <w:r w:rsidRPr="00400972">
        <w:rPr>
          <w:rFonts w:cs="Arial"/>
          <w:sz w:val="20"/>
          <w:szCs w:val="20"/>
          <w:rtl/>
        </w:rPr>
        <w:t xml:space="preserve">, </w:t>
      </w:r>
      <w:r w:rsidRPr="00400972">
        <w:rPr>
          <w:rFonts w:cs="Arial" w:hint="cs"/>
          <w:sz w:val="20"/>
          <w:szCs w:val="20"/>
          <w:rtl/>
        </w:rPr>
        <w:t>שאינם</w:t>
      </w:r>
      <w:r w:rsidRPr="00400972">
        <w:rPr>
          <w:rFonts w:cs="Arial"/>
          <w:sz w:val="20"/>
          <w:szCs w:val="20"/>
          <w:rtl/>
        </w:rPr>
        <w:t xml:space="preserve"> </w:t>
      </w:r>
      <w:r w:rsidRPr="00400972">
        <w:rPr>
          <w:rFonts w:cs="Arial" w:hint="cs"/>
          <w:sz w:val="20"/>
          <w:szCs w:val="20"/>
          <w:rtl/>
        </w:rPr>
        <w:t>נ</w:t>
      </w:r>
      <w:r>
        <w:rPr>
          <w:rFonts w:cs="Arial" w:hint="cs"/>
          <w:sz w:val="20"/>
          <w:szCs w:val="20"/>
          <w:rtl/>
        </w:rPr>
        <w:t>י</w:t>
      </w:r>
      <w:r w:rsidRPr="00400972">
        <w:rPr>
          <w:rFonts w:cs="Arial" w:hint="cs"/>
          <w:sz w:val="20"/>
          <w:szCs w:val="20"/>
          <w:rtl/>
        </w:rPr>
        <w:t>מוחים</w:t>
      </w:r>
      <w:r w:rsidRPr="00400972">
        <w:rPr>
          <w:rFonts w:cs="Arial"/>
          <w:sz w:val="20"/>
          <w:szCs w:val="20"/>
          <w:rtl/>
        </w:rPr>
        <w:t xml:space="preserve"> </w:t>
      </w:r>
      <w:r w:rsidRPr="00400972">
        <w:rPr>
          <w:rFonts w:cs="Arial" w:hint="cs"/>
          <w:sz w:val="20"/>
          <w:szCs w:val="20"/>
          <w:rtl/>
        </w:rPr>
        <w:t>בתוך</w:t>
      </w:r>
      <w:r w:rsidRPr="00400972">
        <w:rPr>
          <w:rFonts w:cs="Arial"/>
          <w:sz w:val="20"/>
          <w:szCs w:val="20"/>
          <w:rtl/>
        </w:rPr>
        <w:t xml:space="preserve"> </w:t>
      </w:r>
      <w:r w:rsidRPr="00400972">
        <w:rPr>
          <w:rFonts w:cs="Arial" w:hint="cs"/>
          <w:sz w:val="20"/>
          <w:szCs w:val="20"/>
          <w:rtl/>
        </w:rPr>
        <w:t>מעת</w:t>
      </w:r>
      <w:r w:rsidRPr="00400972">
        <w:rPr>
          <w:rFonts w:cs="Arial"/>
          <w:sz w:val="20"/>
          <w:szCs w:val="20"/>
          <w:rtl/>
        </w:rPr>
        <w:t xml:space="preserve"> </w:t>
      </w:r>
      <w:r w:rsidRPr="00400972">
        <w:rPr>
          <w:rFonts w:cs="Arial" w:hint="cs"/>
          <w:sz w:val="20"/>
          <w:szCs w:val="20"/>
          <w:rtl/>
        </w:rPr>
        <w:t>לעת</w:t>
      </w:r>
      <w:r w:rsidRPr="00400972">
        <w:rPr>
          <w:rFonts w:cs="Arial"/>
          <w:sz w:val="20"/>
          <w:szCs w:val="20"/>
          <w:rtl/>
        </w:rPr>
        <w:t xml:space="preserve"> </w:t>
      </w:r>
      <w:r w:rsidRPr="00400972">
        <w:rPr>
          <w:rFonts w:cs="Arial" w:hint="cs"/>
          <w:sz w:val="20"/>
          <w:szCs w:val="20"/>
          <w:rtl/>
        </w:rPr>
        <w:t>טהורה</w:t>
      </w:r>
      <w:r>
        <w:rPr>
          <w:rFonts w:cs="Arial" w:hint="cs"/>
          <w:sz w:val="20"/>
          <w:szCs w:val="20"/>
          <w:rtl/>
        </w:rPr>
        <w:t>,</w:t>
      </w:r>
      <w:r w:rsidRPr="00877692">
        <w:rPr>
          <w:rFonts w:hint="cs"/>
          <w:rtl/>
        </w:rPr>
        <w:t xml:space="preserve"> </w:t>
      </w:r>
      <w:r w:rsidRPr="00877692">
        <w:rPr>
          <w:rFonts w:cs="Arial" w:hint="cs"/>
          <w:sz w:val="20"/>
          <w:szCs w:val="20"/>
          <w:rtl/>
        </w:rPr>
        <w:t>אפילו</w:t>
      </w:r>
      <w:r w:rsidRPr="00877692">
        <w:rPr>
          <w:rFonts w:cs="Arial"/>
          <w:sz w:val="20"/>
          <w:szCs w:val="20"/>
          <w:rtl/>
        </w:rPr>
        <w:t xml:space="preserve"> </w:t>
      </w:r>
      <w:r w:rsidRPr="00877692">
        <w:rPr>
          <w:rFonts w:cs="Arial" w:hint="cs"/>
          <w:sz w:val="20"/>
          <w:szCs w:val="20"/>
          <w:rtl/>
        </w:rPr>
        <w:t>הם</w:t>
      </w:r>
      <w:r w:rsidRPr="00877692">
        <w:rPr>
          <w:rFonts w:cs="Arial"/>
          <w:sz w:val="20"/>
          <w:szCs w:val="20"/>
          <w:rtl/>
        </w:rPr>
        <w:t xml:space="preserve"> </w:t>
      </w:r>
      <w:r w:rsidRPr="00877692">
        <w:rPr>
          <w:rFonts w:cs="Arial" w:hint="cs"/>
          <w:sz w:val="20"/>
          <w:szCs w:val="20"/>
          <w:rtl/>
        </w:rPr>
        <w:t>נ</w:t>
      </w:r>
      <w:r>
        <w:rPr>
          <w:rFonts w:cs="Arial" w:hint="cs"/>
          <w:sz w:val="20"/>
          <w:szCs w:val="20"/>
          <w:rtl/>
        </w:rPr>
        <w:t>י</w:t>
      </w:r>
      <w:r w:rsidRPr="00877692">
        <w:rPr>
          <w:rFonts w:cs="Arial" w:hint="cs"/>
          <w:sz w:val="20"/>
          <w:szCs w:val="20"/>
          <w:rtl/>
        </w:rPr>
        <w:t>מוחים</w:t>
      </w:r>
      <w:r w:rsidRPr="00877692">
        <w:rPr>
          <w:rFonts w:cs="Arial"/>
          <w:sz w:val="20"/>
          <w:szCs w:val="20"/>
          <w:rtl/>
        </w:rPr>
        <w:t xml:space="preserve"> </w:t>
      </w:r>
      <w:r w:rsidRPr="00877692">
        <w:rPr>
          <w:rFonts w:cs="Arial" w:hint="cs"/>
          <w:sz w:val="20"/>
          <w:szCs w:val="20"/>
          <w:rtl/>
        </w:rPr>
        <w:t>על</w:t>
      </w:r>
      <w:r w:rsidRPr="00877692">
        <w:rPr>
          <w:rFonts w:cs="Arial"/>
          <w:sz w:val="20"/>
          <w:szCs w:val="20"/>
          <w:rtl/>
        </w:rPr>
        <w:t xml:space="preserve"> </w:t>
      </w:r>
      <w:r w:rsidRPr="00877692">
        <w:rPr>
          <w:rFonts w:cs="Arial" w:hint="cs"/>
          <w:sz w:val="20"/>
          <w:szCs w:val="20"/>
          <w:rtl/>
        </w:rPr>
        <w:t>ידי</w:t>
      </w:r>
      <w:r w:rsidRPr="00877692">
        <w:rPr>
          <w:rFonts w:cs="Arial"/>
          <w:sz w:val="20"/>
          <w:szCs w:val="20"/>
          <w:rtl/>
        </w:rPr>
        <w:t xml:space="preserve"> </w:t>
      </w:r>
      <w:r w:rsidRPr="00877692">
        <w:rPr>
          <w:rFonts w:cs="Arial" w:hint="cs"/>
          <w:sz w:val="20"/>
          <w:szCs w:val="20"/>
          <w:rtl/>
        </w:rPr>
        <w:t>מיעוך</w:t>
      </w:r>
      <w:r w:rsidRPr="00877692">
        <w:rPr>
          <w:rFonts w:cs="Arial"/>
          <w:sz w:val="20"/>
          <w:szCs w:val="20"/>
          <w:rtl/>
        </w:rPr>
        <w:t xml:space="preserve"> </w:t>
      </w:r>
      <w:r w:rsidRPr="00877692">
        <w:rPr>
          <w:rFonts w:cs="Arial" w:hint="cs"/>
          <w:sz w:val="20"/>
          <w:szCs w:val="20"/>
          <w:rtl/>
        </w:rPr>
        <w:t>שממעכן</w:t>
      </w:r>
      <w:r w:rsidRPr="00877692">
        <w:rPr>
          <w:rFonts w:cs="Arial"/>
          <w:sz w:val="20"/>
          <w:szCs w:val="20"/>
          <w:rtl/>
        </w:rPr>
        <w:t xml:space="preserve"> </w:t>
      </w:r>
      <w:r w:rsidRPr="00877692">
        <w:rPr>
          <w:rFonts w:cs="Arial" w:hint="cs"/>
          <w:sz w:val="20"/>
          <w:szCs w:val="20"/>
          <w:rtl/>
        </w:rPr>
        <w:t>בצ</w:t>
      </w:r>
      <w:r>
        <w:rPr>
          <w:rFonts w:cs="Arial" w:hint="cs"/>
          <w:sz w:val="20"/>
          <w:szCs w:val="20"/>
          <w:rtl/>
        </w:rPr>
        <w:t>י</w:t>
      </w:r>
      <w:r w:rsidRPr="00877692">
        <w:rPr>
          <w:rFonts w:cs="Arial" w:hint="cs"/>
          <w:sz w:val="20"/>
          <w:szCs w:val="20"/>
          <w:rtl/>
        </w:rPr>
        <w:t>פ</w:t>
      </w:r>
      <w:r>
        <w:rPr>
          <w:rFonts w:cs="Arial" w:hint="cs"/>
          <w:sz w:val="20"/>
          <w:szCs w:val="20"/>
          <w:rtl/>
        </w:rPr>
        <w:t>ו</w:t>
      </w:r>
      <w:r w:rsidRPr="00877692">
        <w:rPr>
          <w:rFonts w:cs="Arial" w:hint="cs"/>
          <w:sz w:val="20"/>
          <w:szCs w:val="20"/>
          <w:rtl/>
        </w:rPr>
        <w:t>רניו</w:t>
      </w:r>
      <w:r>
        <w:rPr>
          <w:rFonts w:cs="Arial"/>
          <w:sz w:val="20"/>
          <w:szCs w:val="20"/>
          <w:rtl/>
        </w:rPr>
        <w:t xml:space="preserve">. </w:t>
      </w:r>
      <w:r w:rsidRPr="00877692">
        <w:rPr>
          <w:rFonts w:cs="Arial"/>
          <w:sz w:val="18"/>
          <w:szCs w:val="18"/>
          <w:rtl/>
        </w:rPr>
        <w:t>(</w:t>
      </w:r>
      <w:r w:rsidRPr="00877692">
        <w:rPr>
          <w:rFonts w:cs="Arial" w:hint="cs"/>
          <w:sz w:val="18"/>
          <w:szCs w:val="18"/>
          <w:rtl/>
        </w:rPr>
        <w:t>ואם</w:t>
      </w:r>
      <w:r w:rsidRPr="00877692">
        <w:rPr>
          <w:rFonts w:cs="Arial"/>
          <w:sz w:val="18"/>
          <w:szCs w:val="18"/>
          <w:rtl/>
        </w:rPr>
        <w:t xml:space="preserve"> </w:t>
      </w:r>
      <w:r w:rsidRPr="00877692">
        <w:rPr>
          <w:rFonts w:cs="Arial" w:hint="cs"/>
          <w:sz w:val="18"/>
          <w:szCs w:val="18"/>
          <w:rtl/>
        </w:rPr>
        <w:t>מעכן</w:t>
      </w:r>
      <w:r w:rsidRPr="00877692">
        <w:rPr>
          <w:rFonts w:cs="Arial"/>
          <w:sz w:val="18"/>
          <w:szCs w:val="18"/>
          <w:rtl/>
        </w:rPr>
        <w:t xml:space="preserve"> </w:t>
      </w:r>
      <w:r w:rsidRPr="00877692">
        <w:rPr>
          <w:rFonts w:cs="Arial" w:hint="cs"/>
          <w:sz w:val="18"/>
          <w:szCs w:val="18"/>
          <w:rtl/>
        </w:rPr>
        <w:t>בצ</w:t>
      </w:r>
      <w:r>
        <w:rPr>
          <w:rFonts w:cs="Arial" w:hint="cs"/>
          <w:sz w:val="18"/>
          <w:szCs w:val="18"/>
          <w:rtl/>
        </w:rPr>
        <w:t>י</w:t>
      </w:r>
      <w:r w:rsidRPr="00877692">
        <w:rPr>
          <w:rFonts w:cs="Arial" w:hint="cs"/>
          <w:sz w:val="18"/>
          <w:szCs w:val="18"/>
          <w:rtl/>
        </w:rPr>
        <w:t>פ</w:t>
      </w:r>
      <w:r>
        <w:rPr>
          <w:rFonts w:cs="Arial" w:hint="cs"/>
          <w:sz w:val="18"/>
          <w:szCs w:val="18"/>
          <w:rtl/>
        </w:rPr>
        <w:t>ו</w:t>
      </w:r>
      <w:r w:rsidRPr="00877692">
        <w:rPr>
          <w:rFonts w:cs="Arial" w:hint="cs"/>
          <w:sz w:val="18"/>
          <w:szCs w:val="18"/>
          <w:rtl/>
        </w:rPr>
        <w:t>רניו</w:t>
      </w:r>
      <w:r w:rsidRPr="00877692">
        <w:rPr>
          <w:rFonts w:cs="Arial"/>
          <w:sz w:val="18"/>
          <w:szCs w:val="18"/>
          <w:rtl/>
        </w:rPr>
        <w:t xml:space="preserve"> </w:t>
      </w:r>
      <w:r w:rsidRPr="00877692">
        <w:rPr>
          <w:rFonts w:cs="Arial" w:hint="cs"/>
          <w:sz w:val="18"/>
          <w:szCs w:val="18"/>
          <w:rtl/>
        </w:rPr>
        <w:t>ולא</w:t>
      </w:r>
      <w:r w:rsidRPr="00877692">
        <w:rPr>
          <w:rFonts w:cs="Arial"/>
          <w:sz w:val="18"/>
          <w:szCs w:val="18"/>
          <w:rtl/>
        </w:rPr>
        <w:t xml:space="preserve"> </w:t>
      </w:r>
      <w:r w:rsidRPr="00877692">
        <w:rPr>
          <w:rFonts w:cs="Arial" w:hint="cs"/>
          <w:sz w:val="18"/>
          <w:szCs w:val="18"/>
          <w:rtl/>
        </w:rPr>
        <w:t>נימוחו</w:t>
      </w:r>
      <w:r w:rsidRPr="00877692">
        <w:rPr>
          <w:rFonts w:cs="Arial"/>
          <w:sz w:val="18"/>
          <w:szCs w:val="18"/>
          <w:rtl/>
        </w:rPr>
        <w:t xml:space="preserve">, </w:t>
      </w:r>
      <w:r w:rsidRPr="00877692">
        <w:rPr>
          <w:rFonts w:cs="Arial" w:hint="cs"/>
          <w:sz w:val="18"/>
          <w:szCs w:val="18"/>
          <w:rtl/>
        </w:rPr>
        <w:t>טהורה</w:t>
      </w:r>
      <w:r w:rsidRPr="00877692">
        <w:rPr>
          <w:rFonts w:cs="Arial"/>
          <w:sz w:val="18"/>
          <w:szCs w:val="18"/>
          <w:rtl/>
        </w:rPr>
        <w:t xml:space="preserve"> </w:t>
      </w:r>
      <w:r w:rsidRPr="00877692">
        <w:rPr>
          <w:rFonts w:cs="Arial" w:hint="cs"/>
          <w:sz w:val="18"/>
          <w:szCs w:val="18"/>
          <w:rtl/>
        </w:rPr>
        <w:t>ואין</w:t>
      </w:r>
      <w:r w:rsidRPr="00877692">
        <w:rPr>
          <w:rFonts w:cs="Arial"/>
          <w:sz w:val="18"/>
          <w:szCs w:val="18"/>
          <w:rtl/>
        </w:rPr>
        <w:t xml:space="preserve"> </w:t>
      </w:r>
      <w:r w:rsidRPr="00877692">
        <w:rPr>
          <w:rFonts w:cs="Arial" w:hint="cs"/>
          <w:sz w:val="18"/>
          <w:szCs w:val="18"/>
          <w:rtl/>
        </w:rPr>
        <w:t>צריך</w:t>
      </w:r>
      <w:r w:rsidRPr="00877692">
        <w:rPr>
          <w:rFonts w:cs="Arial"/>
          <w:sz w:val="18"/>
          <w:szCs w:val="18"/>
          <w:rtl/>
        </w:rPr>
        <w:t xml:space="preserve"> </w:t>
      </w:r>
      <w:r w:rsidRPr="00877692">
        <w:rPr>
          <w:rFonts w:cs="Arial" w:hint="cs"/>
          <w:sz w:val="18"/>
          <w:szCs w:val="18"/>
          <w:rtl/>
        </w:rPr>
        <w:t>לבדוק</w:t>
      </w:r>
      <w:r w:rsidRPr="00877692">
        <w:rPr>
          <w:rFonts w:cs="Arial"/>
          <w:sz w:val="18"/>
          <w:szCs w:val="18"/>
          <w:rtl/>
        </w:rPr>
        <w:t xml:space="preserve"> </w:t>
      </w:r>
      <w:r w:rsidRPr="00877692">
        <w:rPr>
          <w:rFonts w:cs="Arial" w:hint="cs"/>
          <w:sz w:val="18"/>
          <w:szCs w:val="18"/>
          <w:rtl/>
        </w:rPr>
        <w:t>ע</w:t>
      </w:r>
      <w:r>
        <w:rPr>
          <w:rFonts w:cs="Arial" w:hint="cs"/>
          <w:sz w:val="18"/>
          <w:szCs w:val="18"/>
          <w:rtl/>
        </w:rPr>
        <w:t>ל ידי</w:t>
      </w:r>
      <w:r w:rsidRPr="00877692">
        <w:rPr>
          <w:rFonts w:cs="Arial"/>
          <w:sz w:val="18"/>
          <w:szCs w:val="18"/>
          <w:rtl/>
        </w:rPr>
        <w:t xml:space="preserve"> </w:t>
      </w:r>
      <w:r w:rsidRPr="00877692">
        <w:rPr>
          <w:rFonts w:cs="Arial" w:hint="cs"/>
          <w:sz w:val="18"/>
          <w:szCs w:val="18"/>
          <w:rtl/>
        </w:rPr>
        <w:t>שריה</w:t>
      </w:r>
      <w:r w:rsidRPr="00877692">
        <w:rPr>
          <w:rFonts w:cs="Arial"/>
          <w:sz w:val="18"/>
          <w:szCs w:val="18"/>
          <w:rtl/>
        </w:rPr>
        <w:t>)</w:t>
      </w:r>
      <w:r w:rsidRPr="00C60D30">
        <w:rPr>
          <w:rFonts w:cs="Arial" w:hint="cs"/>
          <w:sz w:val="20"/>
          <w:szCs w:val="20"/>
          <w:rtl/>
        </w:rPr>
        <w:t>"</w:t>
      </w:r>
      <w:r w:rsidRPr="00C60D30">
        <w:rPr>
          <w:rFonts w:cs="Arial"/>
          <w:sz w:val="20"/>
          <w:szCs w:val="20"/>
          <w:rtl/>
        </w:rPr>
        <w:t>.</w:t>
      </w:r>
      <w:r>
        <w:rPr>
          <w:sz w:val="18"/>
          <w:szCs w:val="18"/>
          <w:rtl/>
        </w:rPr>
        <w:br/>
      </w:r>
      <w:r w:rsidRPr="00100DEE">
        <w:rPr>
          <w:rFonts w:hint="cs"/>
          <w:b/>
          <w:bCs/>
          <w:sz w:val="20"/>
          <w:szCs w:val="20"/>
          <w:rtl/>
        </w:rPr>
        <w:t>ש"ך</w:t>
      </w:r>
      <w:r w:rsidRPr="00100DEE">
        <w:rPr>
          <w:rFonts w:hint="cs"/>
          <w:sz w:val="20"/>
          <w:szCs w:val="20"/>
          <w:rtl/>
        </w:rPr>
        <w:t xml:space="preserve"> </w:t>
      </w:r>
      <w:r w:rsidRPr="00100DEE">
        <w:rPr>
          <w:sz w:val="20"/>
          <w:szCs w:val="20"/>
          <w:rtl/>
        </w:rPr>
        <w:t>–</w:t>
      </w:r>
      <w:r w:rsidRPr="00100DEE">
        <w:rPr>
          <w:rFonts w:hint="cs"/>
          <w:sz w:val="20"/>
          <w:szCs w:val="20"/>
          <w:rtl/>
        </w:rPr>
        <w:t xml:space="preserve"> אם יש לחוש בחתיכה זו שמא היא וולד, טמאה אף משום לידת נקבה אפילו לא היתה בחזקת מעוברת.</w:t>
      </w:r>
    </w:p>
    <w:p w:rsidR="00620060" w:rsidRDefault="00620060" w:rsidP="00620060">
      <w:pPr>
        <w:rPr>
          <w:sz w:val="20"/>
          <w:szCs w:val="20"/>
          <w:rtl/>
        </w:rPr>
      </w:pPr>
      <w:r w:rsidRPr="006A3C86">
        <w:rPr>
          <w:rFonts w:hint="cs"/>
          <w:sz w:val="20"/>
          <w:szCs w:val="20"/>
          <w:u w:val="single"/>
          <w:rtl/>
        </w:rPr>
        <w:t>ראתה חתיכה ואבדה (פת"ש)</w:t>
      </w:r>
      <w:r w:rsidRPr="006A3C86">
        <w:rPr>
          <w:rFonts w:hint="cs"/>
          <w:sz w:val="20"/>
          <w:szCs w:val="20"/>
          <w:u w:val="single"/>
          <w:rtl/>
        </w:rPr>
        <w:br/>
      </w:r>
      <w:r>
        <w:rPr>
          <w:rFonts w:hint="cs"/>
          <w:sz w:val="20"/>
          <w:szCs w:val="20"/>
          <w:rtl/>
        </w:rPr>
        <w:t>המקרה -</w:t>
      </w:r>
      <w:r w:rsidRPr="006A3C86">
        <w:rPr>
          <w:rFonts w:hint="cs"/>
          <w:sz w:val="20"/>
          <w:szCs w:val="20"/>
          <w:rtl/>
        </w:rPr>
        <w:t xml:space="preserve"> אשה שראתה חתיכה ואבדה</w:t>
      </w:r>
      <w:r>
        <w:rPr>
          <w:rFonts w:hint="cs"/>
          <w:sz w:val="20"/>
          <w:szCs w:val="20"/>
          <w:rtl/>
        </w:rPr>
        <w:t>.</w:t>
      </w:r>
      <w:r w:rsidRPr="006A3C86">
        <w:rPr>
          <w:rFonts w:hint="cs"/>
          <w:sz w:val="20"/>
          <w:szCs w:val="20"/>
          <w:rtl/>
        </w:rPr>
        <w:br/>
        <w:t xml:space="preserve">א. </w:t>
      </w:r>
      <w:r w:rsidRPr="006A3C86">
        <w:rPr>
          <w:rFonts w:hint="cs"/>
          <w:b/>
          <w:bCs/>
          <w:sz w:val="20"/>
          <w:szCs w:val="20"/>
          <w:rtl/>
        </w:rPr>
        <w:t>בית יעקב</w:t>
      </w:r>
      <w:r w:rsidRPr="006A3C86">
        <w:rPr>
          <w:rFonts w:hint="cs"/>
          <w:sz w:val="20"/>
          <w:szCs w:val="20"/>
          <w:rtl/>
        </w:rPr>
        <w:t xml:space="preserve"> </w:t>
      </w:r>
      <w:r w:rsidRPr="006A3C86">
        <w:rPr>
          <w:sz w:val="20"/>
          <w:szCs w:val="20"/>
          <w:rtl/>
        </w:rPr>
        <w:t>–</w:t>
      </w:r>
      <w:r w:rsidRPr="006A3C86">
        <w:rPr>
          <w:rFonts w:hint="cs"/>
          <w:sz w:val="20"/>
          <w:szCs w:val="20"/>
          <w:rtl/>
        </w:rPr>
        <w:t xml:space="preserve"> טהורה.</w:t>
      </w:r>
      <w:r w:rsidRPr="006A3C86">
        <w:rPr>
          <w:sz w:val="20"/>
          <w:szCs w:val="20"/>
          <w:rtl/>
        </w:rPr>
        <w:br/>
      </w:r>
      <w:r w:rsidRPr="006A3C86">
        <w:rPr>
          <w:rFonts w:hint="cs"/>
          <w:b/>
          <w:bCs/>
          <w:sz w:val="20"/>
          <w:szCs w:val="20"/>
          <w:rtl/>
        </w:rPr>
        <w:t>טעם</w:t>
      </w:r>
      <w:r w:rsidRPr="006A3C86">
        <w:rPr>
          <w:rFonts w:hint="cs"/>
          <w:sz w:val="20"/>
          <w:szCs w:val="20"/>
          <w:rtl/>
        </w:rPr>
        <w:t xml:space="preserve"> </w:t>
      </w:r>
      <w:r w:rsidRPr="006A3C86">
        <w:rPr>
          <w:sz w:val="20"/>
          <w:szCs w:val="20"/>
          <w:rtl/>
        </w:rPr>
        <w:t>–</w:t>
      </w:r>
      <w:r w:rsidRPr="006A3C86">
        <w:rPr>
          <w:rFonts w:hint="cs"/>
          <w:sz w:val="20"/>
          <w:szCs w:val="20"/>
          <w:rtl/>
        </w:rPr>
        <w:t xml:space="preserve"> משום ספק ספקא, ספק האם החתיכה היתה אדומה, ואף את"ל אדומה היתה שמא לא הי</w:t>
      </w:r>
      <w:r>
        <w:rPr>
          <w:rFonts w:hint="cs"/>
          <w:sz w:val="20"/>
          <w:szCs w:val="20"/>
          <w:rtl/>
        </w:rPr>
        <w:t>ת</w:t>
      </w:r>
      <w:r w:rsidRPr="006A3C86">
        <w:rPr>
          <w:rFonts w:hint="cs"/>
          <w:sz w:val="20"/>
          <w:szCs w:val="20"/>
          <w:rtl/>
        </w:rPr>
        <w:t>ה נימוח</w:t>
      </w:r>
      <w:r>
        <w:rPr>
          <w:rFonts w:hint="cs"/>
          <w:sz w:val="20"/>
          <w:szCs w:val="20"/>
          <w:rtl/>
        </w:rPr>
        <w:t>ה</w:t>
      </w:r>
      <w:r w:rsidRPr="006A3C86">
        <w:rPr>
          <w:rFonts w:hint="cs"/>
          <w:sz w:val="20"/>
          <w:szCs w:val="20"/>
          <w:rtl/>
        </w:rPr>
        <w:t xml:space="preserve">. </w:t>
      </w:r>
      <w:r w:rsidRPr="006A3C86">
        <w:rPr>
          <w:rFonts w:hint="cs"/>
          <w:sz w:val="18"/>
          <w:szCs w:val="18"/>
          <w:rtl/>
        </w:rPr>
        <w:t xml:space="preserve">(והוסיף </w:t>
      </w:r>
      <w:r w:rsidRPr="006A3C86">
        <w:rPr>
          <w:sz w:val="18"/>
          <w:szCs w:val="18"/>
          <w:rtl/>
        </w:rPr>
        <w:t>–</w:t>
      </w:r>
      <w:r w:rsidRPr="006A3C86">
        <w:rPr>
          <w:rFonts w:hint="cs"/>
          <w:sz w:val="18"/>
          <w:szCs w:val="18"/>
          <w:rtl/>
        </w:rPr>
        <w:t xml:space="preserve"> אפילו האשה אומרת שהחתיכה היתה אדומה, מכל מקום טהורה לפי שיש מראה אדום שאינו מטמא מעיקה"ד).</w:t>
      </w:r>
      <w:r>
        <w:rPr>
          <w:sz w:val="20"/>
          <w:szCs w:val="20"/>
          <w:rtl/>
        </w:rPr>
        <w:br/>
      </w:r>
      <w:r w:rsidRPr="006A3C86">
        <w:rPr>
          <w:rFonts w:hint="cs"/>
          <w:sz w:val="20"/>
          <w:szCs w:val="20"/>
          <w:rtl/>
        </w:rPr>
        <w:t xml:space="preserve">ב. </w:t>
      </w:r>
      <w:r w:rsidRPr="006A3C86">
        <w:rPr>
          <w:rFonts w:hint="cs"/>
          <w:b/>
          <w:bCs/>
          <w:sz w:val="20"/>
          <w:szCs w:val="20"/>
          <w:rtl/>
        </w:rPr>
        <w:t>סדרי טהרה</w:t>
      </w:r>
      <w:r w:rsidRPr="006A3C86">
        <w:rPr>
          <w:rFonts w:hint="cs"/>
          <w:sz w:val="20"/>
          <w:szCs w:val="20"/>
          <w:rtl/>
        </w:rPr>
        <w:t xml:space="preserve"> </w:t>
      </w:r>
      <w:r w:rsidRPr="006A3C86">
        <w:rPr>
          <w:sz w:val="20"/>
          <w:szCs w:val="20"/>
          <w:rtl/>
        </w:rPr>
        <w:t>–</w:t>
      </w:r>
      <w:r w:rsidRPr="006A3C86">
        <w:rPr>
          <w:rFonts w:hint="cs"/>
          <w:sz w:val="20"/>
          <w:szCs w:val="20"/>
          <w:rtl/>
        </w:rPr>
        <w:t xml:space="preserve"> טמאה.</w:t>
      </w:r>
      <w:r w:rsidRPr="006A3C86">
        <w:rPr>
          <w:sz w:val="20"/>
          <w:szCs w:val="20"/>
          <w:rtl/>
        </w:rPr>
        <w:br/>
      </w:r>
      <w:r w:rsidRPr="006A3C86">
        <w:rPr>
          <w:rFonts w:hint="cs"/>
          <w:b/>
          <w:bCs/>
          <w:sz w:val="20"/>
          <w:szCs w:val="20"/>
          <w:rtl/>
        </w:rPr>
        <w:t xml:space="preserve">טעם </w:t>
      </w:r>
      <w:r w:rsidRPr="006A3C86">
        <w:rPr>
          <w:sz w:val="20"/>
          <w:szCs w:val="20"/>
          <w:rtl/>
        </w:rPr>
        <w:t>–</w:t>
      </w:r>
      <w:r w:rsidRPr="006A3C86">
        <w:rPr>
          <w:rFonts w:hint="cs"/>
          <w:sz w:val="20"/>
          <w:szCs w:val="20"/>
          <w:rtl/>
        </w:rPr>
        <w:t xml:space="preserve"> אין זה נחשב ספק ספקא, כיוון שהספק משם אחד </w:t>
      </w:r>
      <w:r w:rsidRPr="006A3C86">
        <w:rPr>
          <w:sz w:val="20"/>
          <w:szCs w:val="20"/>
          <w:rtl/>
        </w:rPr>
        <w:t>–</w:t>
      </w:r>
      <w:r w:rsidRPr="006A3C86">
        <w:rPr>
          <w:rFonts w:hint="cs"/>
          <w:sz w:val="20"/>
          <w:szCs w:val="20"/>
          <w:rtl/>
        </w:rPr>
        <w:t xml:space="preserve"> האם ראתה דם נידה. </w:t>
      </w:r>
    </w:p>
    <w:p w:rsidR="00620060" w:rsidRPr="00412765" w:rsidRDefault="00620060" w:rsidP="00620060">
      <w:pPr>
        <w:rPr>
          <w:sz w:val="20"/>
          <w:szCs w:val="20"/>
          <w:rtl/>
        </w:rPr>
      </w:pPr>
      <w:r>
        <w:rPr>
          <w:rFonts w:hint="cs"/>
          <w:sz w:val="20"/>
          <w:szCs w:val="20"/>
          <w:u w:val="single"/>
          <w:rtl/>
        </w:rPr>
        <w:t>ראתה מעט מראה אדום הנ"ל בתוך מראה לבן (פת"ש)</w:t>
      </w:r>
      <w:r>
        <w:rPr>
          <w:rFonts w:hint="cs"/>
          <w:sz w:val="20"/>
          <w:szCs w:val="20"/>
          <w:u w:val="single"/>
          <w:rtl/>
        </w:rPr>
        <w:br/>
      </w:r>
      <w:r w:rsidRPr="00412765">
        <w:rPr>
          <w:rFonts w:hint="cs"/>
          <w:sz w:val="20"/>
          <w:szCs w:val="20"/>
          <w:rtl/>
        </w:rPr>
        <w:t xml:space="preserve">המקרה </w:t>
      </w:r>
      <w:r>
        <w:rPr>
          <w:sz w:val="20"/>
          <w:szCs w:val="20"/>
          <w:rtl/>
        </w:rPr>
        <w:t>–</w:t>
      </w:r>
      <w:r w:rsidRPr="00412765">
        <w:rPr>
          <w:rFonts w:hint="cs"/>
          <w:sz w:val="20"/>
          <w:szCs w:val="20"/>
          <w:rtl/>
        </w:rPr>
        <w:t xml:space="preserve"> ראתה</w:t>
      </w:r>
      <w:r>
        <w:rPr>
          <w:rFonts w:hint="cs"/>
          <w:sz w:val="20"/>
          <w:szCs w:val="20"/>
          <w:rtl/>
        </w:rPr>
        <w:t xml:space="preserve"> מעט מראה אדום בתוך מראה לובן.</w:t>
      </w:r>
      <w:r>
        <w:rPr>
          <w:sz w:val="20"/>
          <w:szCs w:val="20"/>
          <w:rtl/>
        </w:rPr>
        <w:br/>
      </w:r>
      <w:r>
        <w:rPr>
          <w:rFonts w:hint="cs"/>
          <w:sz w:val="20"/>
          <w:szCs w:val="20"/>
          <w:rtl/>
        </w:rPr>
        <w:t xml:space="preserve">א. </w:t>
      </w:r>
      <w:r w:rsidRPr="00DC7D1D">
        <w:rPr>
          <w:rFonts w:hint="cs"/>
          <w:b/>
          <w:bCs/>
          <w:sz w:val="20"/>
          <w:szCs w:val="20"/>
          <w:rtl/>
        </w:rPr>
        <w:t>חינוך בית יהודה</w:t>
      </w:r>
      <w:r>
        <w:rPr>
          <w:rFonts w:hint="cs"/>
          <w:sz w:val="20"/>
          <w:szCs w:val="20"/>
          <w:rtl/>
        </w:rPr>
        <w:t xml:space="preserve"> </w:t>
      </w:r>
      <w:r>
        <w:rPr>
          <w:sz w:val="20"/>
          <w:szCs w:val="20"/>
          <w:rtl/>
        </w:rPr>
        <w:t>–</w:t>
      </w:r>
      <w:r>
        <w:rPr>
          <w:rFonts w:hint="cs"/>
          <w:sz w:val="20"/>
          <w:szCs w:val="20"/>
          <w:rtl/>
        </w:rPr>
        <w:t xml:space="preserve"> טהורה.</w:t>
      </w:r>
      <w:r>
        <w:rPr>
          <w:sz w:val="20"/>
          <w:szCs w:val="20"/>
          <w:rtl/>
        </w:rPr>
        <w:br/>
      </w:r>
      <w:r>
        <w:rPr>
          <w:rFonts w:hint="cs"/>
          <w:sz w:val="20"/>
          <w:szCs w:val="20"/>
          <w:rtl/>
        </w:rPr>
        <w:t xml:space="preserve">ב. </w:t>
      </w:r>
      <w:r w:rsidRPr="00DC7D1D">
        <w:rPr>
          <w:rFonts w:hint="cs"/>
          <w:b/>
          <w:bCs/>
          <w:sz w:val="20"/>
          <w:szCs w:val="20"/>
          <w:rtl/>
        </w:rPr>
        <w:t>יעב"ץ</w:t>
      </w:r>
      <w:r>
        <w:rPr>
          <w:rFonts w:hint="cs"/>
          <w:sz w:val="20"/>
          <w:szCs w:val="20"/>
          <w:rtl/>
        </w:rPr>
        <w:t xml:space="preserve"> </w:t>
      </w:r>
      <w:r>
        <w:rPr>
          <w:sz w:val="20"/>
          <w:szCs w:val="20"/>
          <w:rtl/>
        </w:rPr>
        <w:t>–</w:t>
      </w:r>
      <w:r>
        <w:rPr>
          <w:rFonts w:hint="cs"/>
          <w:sz w:val="20"/>
          <w:szCs w:val="20"/>
          <w:rtl/>
        </w:rPr>
        <w:t xml:space="preserve"> טמאה.</w:t>
      </w:r>
    </w:p>
    <w:p w:rsidR="00620060" w:rsidRDefault="00620060" w:rsidP="00620060">
      <w:pPr>
        <w:rPr>
          <w:sz w:val="20"/>
          <w:szCs w:val="20"/>
          <w:rtl/>
        </w:rPr>
      </w:pPr>
      <w:r w:rsidRPr="009B184D">
        <w:rPr>
          <w:rFonts w:hint="cs"/>
          <w:b/>
          <w:bCs/>
          <w:sz w:val="20"/>
          <w:szCs w:val="20"/>
          <w:rtl/>
        </w:rPr>
        <w:t>סיכום</w:t>
      </w:r>
      <w:r>
        <w:rPr>
          <w:sz w:val="20"/>
          <w:szCs w:val="20"/>
          <w:rtl/>
        </w:rPr>
        <w:br/>
      </w:r>
      <w:r>
        <w:rPr>
          <w:rFonts w:hint="cs"/>
          <w:sz w:val="20"/>
          <w:szCs w:val="20"/>
          <w:rtl/>
        </w:rPr>
        <w:t xml:space="preserve">1. </w:t>
      </w:r>
      <w:r w:rsidRPr="009B184D">
        <w:rPr>
          <w:rFonts w:hint="cs"/>
          <w:b/>
          <w:bCs/>
          <w:sz w:val="20"/>
          <w:szCs w:val="20"/>
          <w:rtl/>
        </w:rPr>
        <w:t>גמרא</w:t>
      </w:r>
      <w:r>
        <w:rPr>
          <w:rFonts w:hint="cs"/>
          <w:sz w:val="20"/>
          <w:szCs w:val="20"/>
          <w:rtl/>
        </w:rPr>
        <w:t>. דם לח ונעשה יבש, טמא. דם יבש מעיקרו, אם נימוח בשרייה במים טמא, אם לאו טהור.</w:t>
      </w:r>
      <w:r>
        <w:rPr>
          <w:sz w:val="20"/>
          <w:szCs w:val="20"/>
          <w:rtl/>
        </w:rPr>
        <w:br/>
      </w:r>
      <w:r>
        <w:rPr>
          <w:rFonts w:hint="cs"/>
          <w:sz w:val="20"/>
          <w:szCs w:val="20"/>
          <w:rtl/>
        </w:rPr>
        <w:t xml:space="preserve">2. </w:t>
      </w:r>
      <w:r w:rsidRPr="009B184D">
        <w:rPr>
          <w:rFonts w:hint="cs"/>
          <w:b/>
          <w:bCs/>
          <w:sz w:val="20"/>
          <w:szCs w:val="20"/>
          <w:rtl/>
        </w:rPr>
        <w:t>גמרא</w:t>
      </w:r>
      <w:r>
        <w:rPr>
          <w:rFonts w:hint="cs"/>
          <w:sz w:val="20"/>
          <w:szCs w:val="20"/>
          <w:rtl/>
        </w:rPr>
        <w:t xml:space="preserve">. בעיא האם יש להשרות במים מעל"ע? תיקו. </w:t>
      </w:r>
      <w:r w:rsidRPr="002500E5">
        <w:rPr>
          <w:rFonts w:hint="cs"/>
          <w:b/>
          <w:bCs/>
          <w:sz w:val="20"/>
          <w:szCs w:val="20"/>
          <w:rtl/>
        </w:rPr>
        <w:t>רא"ש</w:t>
      </w:r>
      <w:r>
        <w:rPr>
          <w:rFonts w:hint="cs"/>
          <w:sz w:val="20"/>
          <w:szCs w:val="20"/>
          <w:rtl/>
        </w:rPr>
        <w:t xml:space="preserve">. יש להחמיר לשרות מעל"ע, וכ"פ </w:t>
      </w:r>
      <w:r w:rsidRPr="002500E5">
        <w:rPr>
          <w:rFonts w:hint="cs"/>
          <w:b/>
          <w:bCs/>
          <w:sz w:val="20"/>
          <w:szCs w:val="20"/>
          <w:rtl/>
        </w:rPr>
        <w:t>המחבר</w:t>
      </w:r>
      <w:r>
        <w:rPr>
          <w:rFonts w:hint="cs"/>
          <w:sz w:val="20"/>
          <w:szCs w:val="20"/>
          <w:rtl/>
        </w:rPr>
        <w:t>.</w:t>
      </w:r>
      <w:r>
        <w:rPr>
          <w:rFonts w:hint="cs"/>
          <w:sz w:val="20"/>
          <w:szCs w:val="20"/>
          <w:rtl/>
        </w:rPr>
        <w:br/>
        <w:t xml:space="preserve">3. </w:t>
      </w:r>
      <w:r w:rsidRPr="009B184D">
        <w:rPr>
          <w:rFonts w:hint="cs"/>
          <w:b/>
          <w:bCs/>
          <w:sz w:val="20"/>
          <w:szCs w:val="20"/>
          <w:rtl/>
        </w:rPr>
        <w:t>גמרא</w:t>
      </w:r>
      <w:r>
        <w:rPr>
          <w:rFonts w:hint="cs"/>
          <w:sz w:val="20"/>
          <w:szCs w:val="20"/>
          <w:rtl/>
        </w:rPr>
        <w:t>. יש לשרות במים פושרים. והלכה כרשב"ג שכל מעל"ע צריך להיות פושר ולא רק בתחילתם.</w:t>
      </w:r>
      <w:r>
        <w:rPr>
          <w:sz w:val="20"/>
          <w:szCs w:val="20"/>
          <w:rtl/>
        </w:rPr>
        <w:br/>
      </w:r>
      <w:r>
        <w:rPr>
          <w:rFonts w:hint="cs"/>
          <w:sz w:val="20"/>
          <w:szCs w:val="20"/>
          <w:rtl/>
        </w:rPr>
        <w:t xml:space="preserve">4. </w:t>
      </w:r>
      <w:r w:rsidRPr="0020229C">
        <w:rPr>
          <w:rFonts w:hint="cs"/>
          <w:sz w:val="20"/>
          <w:szCs w:val="20"/>
          <w:rtl/>
        </w:rPr>
        <w:t xml:space="preserve">מהו פושר. </w:t>
      </w:r>
      <w:r w:rsidRPr="0020229C">
        <w:rPr>
          <w:rFonts w:hint="cs"/>
          <w:b/>
          <w:bCs/>
          <w:sz w:val="20"/>
          <w:szCs w:val="20"/>
          <w:rtl/>
        </w:rPr>
        <w:t>טור</w:t>
      </w:r>
      <w:r w:rsidRPr="0020229C">
        <w:rPr>
          <w:rFonts w:hint="cs"/>
          <w:sz w:val="20"/>
          <w:szCs w:val="20"/>
          <w:rtl/>
        </w:rPr>
        <w:t xml:space="preserve">. כמים ששאבו מנהר ועמדו מעט בבית, וכ"פ </w:t>
      </w:r>
      <w:r w:rsidRPr="0020229C">
        <w:rPr>
          <w:rFonts w:hint="cs"/>
          <w:b/>
          <w:bCs/>
          <w:sz w:val="20"/>
          <w:szCs w:val="20"/>
          <w:rtl/>
        </w:rPr>
        <w:t>המחבר</w:t>
      </w:r>
      <w:r w:rsidRPr="0020229C">
        <w:rPr>
          <w:rFonts w:hint="cs"/>
          <w:sz w:val="20"/>
          <w:szCs w:val="20"/>
          <w:rtl/>
        </w:rPr>
        <w:t xml:space="preserve">. </w:t>
      </w:r>
      <w:r w:rsidRPr="0020229C">
        <w:rPr>
          <w:rFonts w:hint="cs"/>
          <w:b/>
          <w:bCs/>
          <w:sz w:val="20"/>
          <w:szCs w:val="20"/>
          <w:rtl/>
        </w:rPr>
        <w:t>ריטב"א</w:t>
      </w:r>
      <w:r w:rsidRPr="0020229C">
        <w:rPr>
          <w:rFonts w:hint="cs"/>
          <w:sz w:val="20"/>
          <w:szCs w:val="20"/>
          <w:rtl/>
        </w:rPr>
        <w:t xml:space="preserve">. כחמימות רוק, וכ"פ </w:t>
      </w:r>
      <w:r w:rsidRPr="0020229C">
        <w:rPr>
          <w:rFonts w:hint="cs"/>
          <w:b/>
          <w:bCs/>
          <w:sz w:val="20"/>
          <w:szCs w:val="20"/>
          <w:rtl/>
        </w:rPr>
        <w:t>הרמ"א</w:t>
      </w:r>
      <w:r w:rsidRPr="0020229C">
        <w:rPr>
          <w:rFonts w:hint="cs"/>
          <w:sz w:val="20"/>
          <w:szCs w:val="20"/>
          <w:rtl/>
        </w:rPr>
        <w:t>.</w:t>
      </w:r>
      <w:r w:rsidRPr="0020229C">
        <w:rPr>
          <w:sz w:val="20"/>
          <w:szCs w:val="20"/>
          <w:rtl/>
        </w:rPr>
        <w:br/>
      </w:r>
      <w:r w:rsidRPr="0020229C">
        <w:rPr>
          <w:rFonts w:hint="cs"/>
          <w:sz w:val="20"/>
          <w:szCs w:val="20"/>
          <w:rtl/>
        </w:rPr>
        <w:t xml:space="preserve">5. מיעוך בציפורן. </w:t>
      </w:r>
      <w:r w:rsidRPr="0020229C">
        <w:rPr>
          <w:rFonts w:hint="cs"/>
          <w:sz w:val="20"/>
          <w:szCs w:val="20"/>
          <w:u w:val="single"/>
          <w:rtl/>
        </w:rPr>
        <w:t>רשב"ג</w:t>
      </w:r>
      <w:r w:rsidRPr="0020229C">
        <w:rPr>
          <w:rFonts w:hint="cs"/>
          <w:sz w:val="20"/>
          <w:szCs w:val="20"/>
          <w:rtl/>
        </w:rPr>
        <w:t xml:space="preserve">. מהני כמו מים. </w:t>
      </w:r>
      <w:r w:rsidRPr="0020229C">
        <w:rPr>
          <w:rFonts w:hint="cs"/>
          <w:sz w:val="20"/>
          <w:szCs w:val="20"/>
          <w:u w:val="single"/>
          <w:rtl/>
        </w:rPr>
        <w:t>ת"ק</w:t>
      </w:r>
      <w:r w:rsidRPr="0020229C">
        <w:rPr>
          <w:rFonts w:hint="cs"/>
          <w:sz w:val="20"/>
          <w:szCs w:val="20"/>
          <w:rtl/>
        </w:rPr>
        <w:t xml:space="preserve">. לא מהני, </w:t>
      </w:r>
      <w:r>
        <w:rPr>
          <w:rFonts w:hint="cs"/>
          <w:sz w:val="20"/>
          <w:szCs w:val="20"/>
          <w:rtl/>
        </w:rPr>
        <w:t>מיעוך</w:t>
      </w:r>
      <w:r w:rsidRPr="0020229C">
        <w:rPr>
          <w:rFonts w:hint="cs"/>
          <w:sz w:val="20"/>
          <w:szCs w:val="20"/>
          <w:rtl/>
        </w:rPr>
        <w:t xml:space="preserve"> פועל יותר ושמא במים לא היה נמחה. </w:t>
      </w:r>
      <w:r w:rsidRPr="0020229C">
        <w:rPr>
          <w:sz w:val="20"/>
          <w:szCs w:val="20"/>
          <w:rtl/>
        </w:rPr>
        <w:br/>
      </w:r>
      <w:r w:rsidRPr="0020229C">
        <w:rPr>
          <w:rFonts w:hint="cs"/>
          <w:sz w:val="20"/>
          <w:szCs w:val="20"/>
          <w:rtl/>
        </w:rPr>
        <w:t xml:space="preserve">6. </w:t>
      </w:r>
      <w:r w:rsidRPr="0020229C">
        <w:rPr>
          <w:rFonts w:hint="cs"/>
          <w:b/>
          <w:bCs/>
          <w:sz w:val="20"/>
          <w:szCs w:val="20"/>
          <w:rtl/>
        </w:rPr>
        <w:t>מחבר</w:t>
      </w:r>
      <w:r w:rsidRPr="0020229C">
        <w:rPr>
          <w:rFonts w:hint="cs"/>
          <w:sz w:val="20"/>
          <w:szCs w:val="20"/>
          <w:rtl/>
        </w:rPr>
        <w:t xml:space="preserve">. הלכה כת"ק, אין צריך למעוך בציפורן. </w:t>
      </w:r>
      <w:r w:rsidRPr="0020229C">
        <w:rPr>
          <w:rFonts w:hint="cs"/>
          <w:b/>
          <w:bCs/>
          <w:sz w:val="20"/>
          <w:szCs w:val="20"/>
          <w:rtl/>
        </w:rPr>
        <w:t>רמ"א</w:t>
      </w:r>
      <w:r w:rsidRPr="0020229C">
        <w:rPr>
          <w:rFonts w:hint="cs"/>
          <w:sz w:val="20"/>
          <w:szCs w:val="20"/>
          <w:rtl/>
        </w:rPr>
        <w:t>. אם לא נמחה במיעוך טהורה וא"צ לבדוק בשרייה.</w:t>
      </w:r>
      <w:r w:rsidRPr="0020229C">
        <w:rPr>
          <w:sz w:val="20"/>
          <w:szCs w:val="20"/>
          <w:rtl/>
        </w:rPr>
        <w:br/>
      </w:r>
      <w:r w:rsidRPr="0020229C">
        <w:rPr>
          <w:rFonts w:hint="cs"/>
          <w:sz w:val="20"/>
          <w:szCs w:val="20"/>
          <w:rtl/>
        </w:rPr>
        <w:t>7. ראתה חתיכה ואבדה.</w:t>
      </w:r>
      <w:r>
        <w:rPr>
          <w:rFonts w:hint="cs"/>
          <w:sz w:val="20"/>
          <w:szCs w:val="20"/>
          <w:rtl/>
        </w:rPr>
        <w:t xml:space="preserve"> </w:t>
      </w:r>
      <w:r w:rsidRPr="006A3C86">
        <w:rPr>
          <w:rFonts w:hint="cs"/>
          <w:b/>
          <w:bCs/>
          <w:sz w:val="20"/>
          <w:szCs w:val="20"/>
          <w:rtl/>
        </w:rPr>
        <w:t>בי"ע</w:t>
      </w:r>
      <w:r>
        <w:rPr>
          <w:rFonts w:hint="cs"/>
          <w:sz w:val="20"/>
          <w:szCs w:val="20"/>
          <w:rtl/>
        </w:rPr>
        <w:t xml:space="preserve">. טהורה. </w:t>
      </w:r>
      <w:r w:rsidRPr="006A3C86">
        <w:rPr>
          <w:rFonts w:hint="cs"/>
          <w:b/>
          <w:bCs/>
          <w:sz w:val="20"/>
          <w:szCs w:val="20"/>
          <w:rtl/>
        </w:rPr>
        <w:t>טעם</w:t>
      </w:r>
      <w:r>
        <w:rPr>
          <w:rFonts w:hint="cs"/>
          <w:sz w:val="20"/>
          <w:szCs w:val="20"/>
          <w:rtl/>
        </w:rPr>
        <w:t xml:space="preserve">. ספק ספקא. </w:t>
      </w:r>
      <w:r w:rsidRPr="006A3C86">
        <w:rPr>
          <w:rFonts w:hint="cs"/>
          <w:b/>
          <w:bCs/>
          <w:sz w:val="20"/>
          <w:szCs w:val="20"/>
          <w:rtl/>
        </w:rPr>
        <w:t>סד"ט</w:t>
      </w:r>
      <w:r>
        <w:rPr>
          <w:rFonts w:hint="cs"/>
          <w:sz w:val="20"/>
          <w:szCs w:val="20"/>
          <w:rtl/>
        </w:rPr>
        <w:t>. טמאה.</w:t>
      </w:r>
      <w:r w:rsidRPr="006A3C86">
        <w:rPr>
          <w:rFonts w:hint="cs"/>
          <w:b/>
          <w:bCs/>
          <w:sz w:val="20"/>
          <w:szCs w:val="20"/>
          <w:rtl/>
        </w:rPr>
        <w:t xml:space="preserve"> טעם</w:t>
      </w:r>
      <w:r>
        <w:rPr>
          <w:rFonts w:hint="cs"/>
          <w:sz w:val="20"/>
          <w:szCs w:val="20"/>
          <w:rtl/>
        </w:rPr>
        <w:t>. אין זה ס"ס דהכל משם אחד.</w:t>
      </w:r>
      <w:r>
        <w:rPr>
          <w:sz w:val="20"/>
          <w:szCs w:val="20"/>
          <w:rtl/>
        </w:rPr>
        <w:br/>
      </w:r>
      <w:r>
        <w:rPr>
          <w:rFonts w:hint="cs"/>
          <w:sz w:val="20"/>
          <w:szCs w:val="20"/>
          <w:rtl/>
        </w:rPr>
        <w:t xml:space="preserve">8. ראתה מעט דם בתוך מראה לבן. </w:t>
      </w:r>
      <w:r w:rsidRPr="00DC7D1D">
        <w:rPr>
          <w:rFonts w:hint="cs"/>
          <w:b/>
          <w:bCs/>
          <w:sz w:val="20"/>
          <w:szCs w:val="20"/>
          <w:rtl/>
        </w:rPr>
        <w:t>חינוך ב"י</w:t>
      </w:r>
      <w:r>
        <w:rPr>
          <w:rFonts w:hint="cs"/>
          <w:sz w:val="20"/>
          <w:szCs w:val="20"/>
          <w:rtl/>
        </w:rPr>
        <w:t xml:space="preserve">. טהורה. </w:t>
      </w:r>
      <w:r w:rsidRPr="00DC7D1D">
        <w:rPr>
          <w:rFonts w:hint="cs"/>
          <w:b/>
          <w:bCs/>
          <w:sz w:val="20"/>
          <w:szCs w:val="20"/>
          <w:rtl/>
        </w:rPr>
        <w:t>יעב"ץ</w:t>
      </w:r>
      <w:r>
        <w:rPr>
          <w:rFonts w:hint="cs"/>
          <w:sz w:val="20"/>
          <w:szCs w:val="20"/>
          <w:rtl/>
        </w:rPr>
        <w:t>. טמאה.</w:t>
      </w:r>
    </w:p>
    <w:p w:rsidR="00620060" w:rsidRDefault="00620060" w:rsidP="00620060">
      <w:pPr>
        <w:rPr>
          <w:sz w:val="20"/>
          <w:szCs w:val="20"/>
          <w:rtl/>
        </w:rPr>
      </w:pPr>
      <w:r>
        <w:rPr>
          <w:sz w:val="20"/>
          <w:szCs w:val="20"/>
          <w:rtl/>
        </w:rPr>
        <w:lastRenderedPageBreak/>
        <w:br/>
      </w:r>
      <w:r>
        <w:rPr>
          <w:rFonts w:hint="cs"/>
          <w:b/>
          <w:bCs/>
          <w:sz w:val="20"/>
          <w:szCs w:val="20"/>
          <w:rtl/>
        </w:rPr>
        <w:t xml:space="preserve">סעיף ה </w:t>
      </w:r>
      <w:r>
        <w:rPr>
          <w:b/>
          <w:bCs/>
          <w:sz w:val="20"/>
          <w:szCs w:val="20"/>
          <w:rtl/>
        </w:rPr>
        <w:t>–</w:t>
      </w:r>
      <w:r>
        <w:rPr>
          <w:rFonts w:hint="cs"/>
          <w:b/>
          <w:bCs/>
          <w:sz w:val="20"/>
          <w:szCs w:val="20"/>
          <w:rtl/>
        </w:rPr>
        <w:t xml:space="preserve"> חתיכה שיש עליה לחלוח דם</w:t>
      </w:r>
      <w:r>
        <w:rPr>
          <w:b/>
          <w:b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שולחן ערוך </w:t>
      </w:r>
      <w:r w:rsidRPr="00AE12B2">
        <w:rPr>
          <w:rFonts w:hint="cs"/>
          <w:sz w:val="18"/>
          <w:szCs w:val="18"/>
          <w:rtl/>
        </w:rPr>
        <w:t xml:space="preserve">(ע"פ הרשב"א) </w:t>
      </w:r>
      <w:r>
        <w:rPr>
          <w:sz w:val="20"/>
          <w:szCs w:val="20"/>
          <w:rtl/>
        </w:rPr>
        <w:t>–</w:t>
      </w:r>
      <w:r>
        <w:rPr>
          <w:rFonts w:hint="cs"/>
          <w:sz w:val="20"/>
          <w:szCs w:val="20"/>
          <w:rtl/>
        </w:rPr>
        <w:t xml:space="preserve"> "</w:t>
      </w:r>
      <w:r w:rsidRPr="00AE12B2">
        <w:rPr>
          <w:rFonts w:cs="Arial" w:hint="cs"/>
          <w:sz w:val="20"/>
          <w:szCs w:val="20"/>
          <w:rtl/>
        </w:rPr>
        <w:t>במה</w:t>
      </w:r>
      <w:r w:rsidRPr="00AE12B2">
        <w:rPr>
          <w:rFonts w:cs="Arial"/>
          <w:sz w:val="20"/>
          <w:szCs w:val="20"/>
          <w:rtl/>
        </w:rPr>
        <w:t xml:space="preserve"> </w:t>
      </w:r>
      <w:r w:rsidRPr="00AE12B2">
        <w:rPr>
          <w:rFonts w:cs="Arial" w:hint="cs"/>
          <w:sz w:val="20"/>
          <w:szCs w:val="20"/>
          <w:rtl/>
        </w:rPr>
        <w:t>דברים</w:t>
      </w:r>
      <w:r w:rsidRPr="00AE12B2">
        <w:rPr>
          <w:rFonts w:cs="Arial"/>
          <w:sz w:val="20"/>
          <w:szCs w:val="20"/>
          <w:rtl/>
        </w:rPr>
        <w:t xml:space="preserve"> </w:t>
      </w:r>
      <w:r w:rsidRPr="00AE12B2">
        <w:rPr>
          <w:rFonts w:cs="Arial" w:hint="cs"/>
          <w:sz w:val="20"/>
          <w:szCs w:val="20"/>
          <w:rtl/>
        </w:rPr>
        <w:t>אמורים</w:t>
      </w:r>
      <w:r w:rsidRPr="00AE12B2">
        <w:rPr>
          <w:rFonts w:cs="Arial"/>
          <w:sz w:val="20"/>
          <w:szCs w:val="20"/>
          <w:rtl/>
        </w:rPr>
        <w:t xml:space="preserve"> </w:t>
      </w:r>
      <w:r w:rsidRPr="00AE12B2">
        <w:rPr>
          <w:rFonts w:cs="Arial" w:hint="cs"/>
          <w:sz w:val="20"/>
          <w:szCs w:val="20"/>
          <w:rtl/>
        </w:rPr>
        <w:t>שאם</w:t>
      </w:r>
      <w:r w:rsidRPr="00AE12B2">
        <w:rPr>
          <w:rFonts w:cs="Arial"/>
          <w:sz w:val="20"/>
          <w:szCs w:val="20"/>
          <w:rtl/>
        </w:rPr>
        <w:t xml:space="preserve"> </w:t>
      </w:r>
      <w:r w:rsidRPr="00AE12B2">
        <w:rPr>
          <w:rFonts w:cs="Arial" w:hint="cs"/>
          <w:sz w:val="20"/>
          <w:szCs w:val="20"/>
          <w:rtl/>
        </w:rPr>
        <w:t>לא</w:t>
      </w:r>
      <w:r w:rsidRPr="00AE12B2">
        <w:rPr>
          <w:rFonts w:cs="Arial"/>
          <w:sz w:val="20"/>
          <w:szCs w:val="20"/>
          <w:rtl/>
        </w:rPr>
        <w:t xml:space="preserve"> </w:t>
      </w:r>
      <w:r w:rsidRPr="00AE12B2">
        <w:rPr>
          <w:rFonts w:cs="Arial" w:hint="cs"/>
          <w:sz w:val="20"/>
          <w:szCs w:val="20"/>
          <w:rtl/>
        </w:rPr>
        <w:t>נימוחו</w:t>
      </w:r>
      <w:r w:rsidRPr="00AE12B2">
        <w:rPr>
          <w:rFonts w:cs="Arial"/>
          <w:sz w:val="20"/>
          <w:szCs w:val="20"/>
          <w:rtl/>
        </w:rPr>
        <w:t xml:space="preserve"> </w:t>
      </w:r>
      <w:r w:rsidRPr="00AE12B2">
        <w:rPr>
          <w:rFonts w:cs="Arial" w:hint="cs"/>
          <w:sz w:val="20"/>
          <w:szCs w:val="20"/>
          <w:rtl/>
        </w:rPr>
        <w:t>טהורה</w:t>
      </w:r>
      <w:r w:rsidRPr="00AE12B2">
        <w:rPr>
          <w:rFonts w:cs="Arial"/>
          <w:sz w:val="20"/>
          <w:szCs w:val="20"/>
          <w:rtl/>
        </w:rPr>
        <w:t xml:space="preserve">, </w:t>
      </w:r>
      <w:r w:rsidRPr="00AE12B2">
        <w:rPr>
          <w:rFonts w:cs="Arial" w:hint="cs"/>
          <w:sz w:val="20"/>
          <w:szCs w:val="20"/>
          <w:rtl/>
        </w:rPr>
        <w:t>בזמן</w:t>
      </w:r>
      <w:r w:rsidRPr="00AE12B2">
        <w:rPr>
          <w:rFonts w:cs="Arial"/>
          <w:sz w:val="20"/>
          <w:szCs w:val="20"/>
          <w:rtl/>
        </w:rPr>
        <w:t xml:space="preserve"> </w:t>
      </w:r>
      <w:r w:rsidRPr="00AE12B2">
        <w:rPr>
          <w:rFonts w:cs="Arial" w:hint="cs"/>
          <w:sz w:val="20"/>
          <w:szCs w:val="20"/>
          <w:rtl/>
        </w:rPr>
        <w:t>שהם</w:t>
      </w:r>
      <w:r w:rsidRPr="00AE12B2">
        <w:rPr>
          <w:rFonts w:cs="Arial"/>
          <w:sz w:val="20"/>
          <w:szCs w:val="20"/>
          <w:rtl/>
        </w:rPr>
        <w:t xml:space="preserve"> </w:t>
      </w:r>
      <w:r w:rsidRPr="00AE12B2">
        <w:rPr>
          <w:rFonts w:cs="Arial" w:hint="cs"/>
          <w:sz w:val="20"/>
          <w:szCs w:val="20"/>
          <w:rtl/>
        </w:rPr>
        <w:t>יבשים</w:t>
      </w:r>
      <w:r w:rsidRPr="00AE12B2">
        <w:rPr>
          <w:rFonts w:cs="Arial"/>
          <w:sz w:val="20"/>
          <w:szCs w:val="20"/>
          <w:rtl/>
        </w:rPr>
        <w:t xml:space="preserve"> </w:t>
      </w:r>
      <w:r w:rsidRPr="00AE12B2">
        <w:rPr>
          <w:rFonts w:cs="Arial" w:hint="cs"/>
          <w:sz w:val="20"/>
          <w:szCs w:val="20"/>
          <w:rtl/>
        </w:rPr>
        <w:t>גמורים</w:t>
      </w:r>
      <w:r w:rsidRPr="00AE12B2">
        <w:rPr>
          <w:rFonts w:cs="Arial"/>
          <w:sz w:val="20"/>
          <w:szCs w:val="20"/>
          <w:rtl/>
        </w:rPr>
        <w:t xml:space="preserve">, </w:t>
      </w:r>
      <w:r w:rsidRPr="00AE12B2">
        <w:rPr>
          <w:rFonts w:cs="Arial" w:hint="cs"/>
          <w:sz w:val="20"/>
          <w:szCs w:val="20"/>
          <w:rtl/>
        </w:rPr>
        <w:t>שאין</w:t>
      </w:r>
      <w:r w:rsidRPr="00AE12B2">
        <w:rPr>
          <w:rFonts w:cs="Arial"/>
          <w:sz w:val="20"/>
          <w:szCs w:val="20"/>
          <w:rtl/>
        </w:rPr>
        <w:t xml:space="preserve"> </w:t>
      </w:r>
      <w:r w:rsidRPr="00AE12B2">
        <w:rPr>
          <w:rFonts w:cs="Arial" w:hint="cs"/>
          <w:sz w:val="20"/>
          <w:szCs w:val="20"/>
          <w:rtl/>
        </w:rPr>
        <w:t>עמהם</w:t>
      </w:r>
      <w:r w:rsidRPr="00AE12B2">
        <w:rPr>
          <w:rFonts w:cs="Arial"/>
          <w:sz w:val="20"/>
          <w:szCs w:val="20"/>
          <w:rtl/>
        </w:rPr>
        <w:t xml:space="preserve"> </w:t>
      </w:r>
      <w:r w:rsidRPr="00AE12B2">
        <w:rPr>
          <w:rFonts w:cs="Arial" w:hint="cs"/>
          <w:sz w:val="20"/>
          <w:szCs w:val="20"/>
          <w:rtl/>
        </w:rPr>
        <w:t>דם</w:t>
      </w:r>
      <w:r w:rsidRPr="00AE12B2">
        <w:rPr>
          <w:rFonts w:cs="Arial"/>
          <w:sz w:val="20"/>
          <w:szCs w:val="20"/>
          <w:rtl/>
        </w:rPr>
        <w:t xml:space="preserve"> </w:t>
      </w:r>
      <w:r w:rsidRPr="00AE12B2">
        <w:rPr>
          <w:rFonts w:cs="Arial" w:hint="cs"/>
          <w:sz w:val="20"/>
          <w:szCs w:val="20"/>
          <w:rtl/>
        </w:rPr>
        <w:t>כלל</w:t>
      </w:r>
      <w:r w:rsidRPr="00AE12B2">
        <w:rPr>
          <w:rFonts w:cs="Arial"/>
          <w:sz w:val="20"/>
          <w:szCs w:val="20"/>
          <w:rtl/>
        </w:rPr>
        <w:t xml:space="preserve">. </w:t>
      </w:r>
      <w:r w:rsidRPr="00AE12B2">
        <w:rPr>
          <w:rFonts w:cs="Arial" w:hint="cs"/>
          <w:sz w:val="20"/>
          <w:szCs w:val="20"/>
          <w:rtl/>
        </w:rPr>
        <w:t>אבל</w:t>
      </w:r>
      <w:r w:rsidRPr="00AE12B2">
        <w:rPr>
          <w:rFonts w:cs="Arial"/>
          <w:sz w:val="20"/>
          <w:szCs w:val="20"/>
          <w:rtl/>
        </w:rPr>
        <w:t xml:space="preserve"> </w:t>
      </w:r>
      <w:r w:rsidRPr="00AE12B2">
        <w:rPr>
          <w:rFonts w:cs="Arial" w:hint="cs"/>
          <w:sz w:val="20"/>
          <w:szCs w:val="20"/>
          <w:rtl/>
        </w:rPr>
        <w:t>אם</w:t>
      </w:r>
      <w:r w:rsidRPr="00AE12B2">
        <w:rPr>
          <w:rFonts w:cs="Arial"/>
          <w:sz w:val="20"/>
          <w:szCs w:val="20"/>
          <w:rtl/>
        </w:rPr>
        <w:t xml:space="preserve"> </w:t>
      </w:r>
      <w:r w:rsidRPr="00AE12B2">
        <w:rPr>
          <w:rFonts w:cs="Arial" w:hint="cs"/>
          <w:sz w:val="20"/>
          <w:szCs w:val="20"/>
          <w:rtl/>
        </w:rPr>
        <w:t>יש</w:t>
      </w:r>
      <w:r w:rsidRPr="00AE12B2">
        <w:rPr>
          <w:rFonts w:cs="Arial"/>
          <w:sz w:val="20"/>
          <w:szCs w:val="20"/>
          <w:rtl/>
        </w:rPr>
        <w:t xml:space="preserve"> </w:t>
      </w:r>
      <w:r w:rsidRPr="00AE12B2">
        <w:rPr>
          <w:rFonts w:cs="Arial" w:hint="cs"/>
          <w:sz w:val="20"/>
          <w:szCs w:val="20"/>
          <w:rtl/>
        </w:rPr>
        <w:t>עליהם</w:t>
      </w:r>
      <w:r w:rsidRPr="00AE12B2">
        <w:rPr>
          <w:rFonts w:cs="Arial"/>
          <w:sz w:val="20"/>
          <w:szCs w:val="20"/>
          <w:rtl/>
        </w:rPr>
        <w:t xml:space="preserve"> </w:t>
      </w:r>
      <w:r w:rsidRPr="00AE12B2">
        <w:rPr>
          <w:rFonts w:cs="Arial" w:hint="cs"/>
          <w:sz w:val="20"/>
          <w:szCs w:val="20"/>
          <w:rtl/>
        </w:rPr>
        <w:t>שום</w:t>
      </w:r>
      <w:r w:rsidRPr="00AE12B2">
        <w:rPr>
          <w:rFonts w:cs="Arial"/>
          <w:sz w:val="20"/>
          <w:szCs w:val="20"/>
          <w:rtl/>
        </w:rPr>
        <w:t xml:space="preserve"> </w:t>
      </w:r>
      <w:r w:rsidRPr="00AE12B2">
        <w:rPr>
          <w:rFonts w:cs="Arial" w:hint="cs"/>
          <w:sz w:val="20"/>
          <w:szCs w:val="20"/>
          <w:rtl/>
        </w:rPr>
        <w:t>לחלוח</w:t>
      </w:r>
      <w:r w:rsidRPr="00AE12B2">
        <w:rPr>
          <w:rFonts w:cs="Arial"/>
          <w:sz w:val="20"/>
          <w:szCs w:val="20"/>
          <w:rtl/>
        </w:rPr>
        <w:t xml:space="preserve"> </w:t>
      </w:r>
      <w:r w:rsidRPr="00AE12B2">
        <w:rPr>
          <w:rFonts w:cs="Arial" w:hint="cs"/>
          <w:sz w:val="20"/>
          <w:szCs w:val="20"/>
          <w:rtl/>
        </w:rPr>
        <w:t>דם</w:t>
      </w:r>
      <w:r w:rsidRPr="00AE12B2">
        <w:rPr>
          <w:rFonts w:cs="Arial"/>
          <w:sz w:val="20"/>
          <w:szCs w:val="20"/>
          <w:rtl/>
        </w:rPr>
        <w:t xml:space="preserve">, </w:t>
      </w:r>
      <w:r w:rsidRPr="00AE12B2">
        <w:rPr>
          <w:rFonts w:cs="Arial" w:hint="cs"/>
          <w:sz w:val="20"/>
          <w:szCs w:val="20"/>
          <w:rtl/>
        </w:rPr>
        <w:t>טמאה</w:t>
      </w:r>
      <w:r>
        <w:rPr>
          <w:rFonts w:hint="cs"/>
          <w:sz w:val="20"/>
          <w:szCs w:val="20"/>
          <w:rtl/>
        </w:rPr>
        <w:t>".</w:t>
      </w:r>
    </w:p>
    <w:p w:rsidR="00620060" w:rsidRDefault="00620060" w:rsidP="00620060">
      <w:pPr>
        <w:rPr>
          <w:sz w:val="20"/>
          <w:szCs w:val="20"/>
          <w:rtl/>
        </w:rPr>
      </w:pPr>
      <w:r>
        <w:rPr>
          <w:rFonts w:hint="cs"/>
          <w:sz w:val="20"/>
          <w:szCs w:val="20"/>
          <w:u w:val="single"/>
          <w:rtl/>
        </w:rPr>
        <w:t>ביאור דין זה (ט"ז וש"ך)</w:t>
      </w:r>
      <w:r>
        <w:rPr>
          <w:rFonts w:hint="cs"/>
          <w:sz w:val="20"/>
          <w:szCs w:val="20"/>
          <w:u w:val="single"/>
          <w:rtl/>
        </w:rPr>
        <w:br/>
      </w:r>
      <w:r>
        <w:rPr>
          <w:rFonts w:hint="cs"/>
          <w:sz w:val="20"/>
          <w:szCs w:val="20"/>
          <w:rtl/>
        </w:rPr>
        <w:t xml:space="preserve">קשה </w:t>
      </w:r>
      <w:r>
        <w:rPr>
          <w:sz w:val="20"/>
          <w:szCs w:val="20"/>
          <w:rtl/>
        </w:rPr>
        <w:t>–</w:t>
      </w:r>
      <w:r>
        <w:rPr>
          <w:rFonts w:hint="cs"/>
          <w:sz w:val="20"/>
          <w:szCs w:val="20"/>
          <w:rtl/>
        </w:rPr>
        <w:t xml:space="preserve"> בסעיף ג פסק המחבר להדיא שחתיכה היוצאת מאישה טהורה אע"פ שיש בה דם פלי פלויי, אם כן מאי שנא כאן שטמאה כאשר יש דם על החתיכה?</w:t>
      </w:r>
      <w:r>
        <w:rPr>
          <w:rFonts w:hint="cs"/>
          <w:sz w:val="20"/>
          <w:szCs w:val="20"/>
          <w:rtl/>
        </w:rPr>
        <w:br/>
        <w:t xml:space="preserve">א. </w:t>
      </w:r>
      <w:r w:rsidRPr="00100DEE">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מחמת הדם שיש על החתיכה, אמרינן שגם החתיכה עצמה דם היא, ועוד שמא דרכה של אשה לראות לפעמים כך. </w:t>
      </w:r>
      <w:r w:rsidRPr="0025163E">
        <w:rPr>
          <w:rFonts w:hint="cs"/>
          <w:sz w:val="18"/>
          <w:szCs w:val="18"/>
          <w:rtl/>
        </w:rPr>
        <w:t>(משמע מדבריו שכיון שכאן יש ספק האם החתיכה עצמה דם מחמירים, משא"כ לעיל ש</w:t>
      </w:r>
      <w:r>
        <w:rPr>
          <w:rFonts w:hint="cs"/>
          <w:sz w:val="18"/>
          <w:szCs w:val="18"/>
          <w:rtl/>
        </w:rPr>
        <w:t>איננו מסופקים בחתיכה עצמה שמא היא דם</w:t>
      </w:r>
      <w:r w:rsidRPr="0025163E">
        <w:rPr>
          <w:rFonts w:hint="cs"/>
          <w:sz w:val="18"/>
          <w:szCs w:val="18"/>
          <w:rtl/>
        </w:rPr>
        <w:t>).</w:t>
      </w:r>
      <w:r>
        <w:rPr>
          <w:sz w:val="20"/>
          <w:szCs w:val="20"/>
          <w:rtl/>
        </w:rPr>
        <w:br/>
      </w:r>
      <w:r>
        <w:rPr>
          <w:rFonts w:hint="cs"/>
          <w:sz w:val="20"/>
          <w:szCs w:val="20"/>
          <w:rtl/>
        </w:rPr>
        <w:t xml:space="preserve">ב. </w:t>
      </w:r>
      <w:r w:rsidRPr="00100DEE">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לעיל הדם נמצא </w:t>
      </w:r>
      <w:r w:rsidRPr="00100DEE">
        <w:rPr>
          <w:rFonts w:hint="cs"/>
          <w:sz w:val="20"/>
          <w:szCs w:val="20"/>
          <w:u w:val="single"/>
          <w:rtl/>
        </w:rPr>
        <w:t>בתוך</w:t>
      </w:r>
      <w:r>
        <w:rPr>
          <w:rFonts w:hint="cs"/>
          <w:sz w:val="20"/>
          <w:szCs w:val="20"/>
          <w:rtl/>
        </w:rPr>
        <w:t xml:space="preserve"> החתיכה בבקעים, אך כאן הדם נמצא </w:t>
      </w:r>
      <w:r w:rsidRPr="00100DEE">
        <w:rPr>
          <w:rFonts w:hint="cs"/>
          <w:sz w:val="20"/>
          <w:szCs w:val="20"/>
          <w:u w:val="single"/>
          <w:rtl/>
        </w:rPr>
        <w:t>על גבי</w:t>
      </w:r>
      <w:r>
        <w:rPr>
          <w:rFonts w:hint="cs"/>
          <w:sz w:val="20"/>
          <w:szCs w:val="20"/>
          <w:rtl/>
        </w:rPr>
        <w:t xml:space="preserve"> החתיכה ולכן טמאה.</w:t>
      </w:r>
    </w:p>
    <w:p w:rsidR="00620060" w:rsidRDefault="00620060" w:rsidP="00620060">
      <w:pPr>
        <w:rPr>
          <w:sz w:val="20"/>
          <w:szCs w:val="20"/>
          <w:rtl/>
        </w:rPr>
      </w:pPr>
      <w:r>
        <w:rPr>
          <w:rFonts w:hint="cs"/>
          <w:b/>
          <w:bCs/>
          <w:sz w:val="20"/>
          <w:szCs w:val="20"/>
          <w:rtl/>
        </w:rPr>
        <w:t>נמעכו מעט מהחתיכות</w:t>
      </w:r>
      <w:r>
        <w:rPr>
          <w:b/>
          <w:bCs/>
          <w:sz w:val="20"/>
          <w:szCs w:val="20"/>
          <w:rtl/>
        </w:rPr>
        <w:br/>
      </w:r>
      <w:r>
        <w:rPr>
          <w:rFonts w:hint="cs"/>
          <w:b/>
          <w:bCs/>
          <w:sz w:val="20"/>
          <w:szCs w:val="20"/>
          <w:rtl/>
        </w:rPr>
        <w:t xml:space="preserve">רמ"א </w:t>
      </w:r>
      <w:r w:rsidRPr="00482E82">
        <w:rPr>
          <w:rFonts w:hint="cs"/>
          <w:sz w:val="18"/>
          <w:szCs w:val="18"/>
          <w:rtl/>
        </w:rPr>
        <w:t xml:space="preserve">(ע"פ תרומת הדשן) </w:t>
      </w:r>
      <w:r w:rsidRPr="00482E82">
        <w:rPr>
          <w:sz w:val="18"/>
          <w:szCs w:val="18"/>
          <w:rtl/>
        </w:rPr>
        <w:t>–</w:t>
      </w:r>
      <w:r w:rsidRPr="00482E82">
        <w:rPr>
          <w:rFonts w:hint="cs"/>
          <w:sz w:val="18"/>
          <w:szCs w:val="18"/>
          <w:rtl/>
        </w:rPr>
        <w:t xml:space="preserve"> "</w:t>
      </w:r>
      <w:r w:rsidRPr="00482E82">
        <w:rPr>
          <w:rFonts w:cs="Arial" w:hint="cs"/>
          <w:sz w:val="18"/>
          <w:szCs w:val="18"/>
          <w:rtl/>
        </w:rPr>
        <w:t>והוא</w:t>
      </w:r>
      <w:r w:rsidRPr="00482E82">
        <w:rPr>
          <w:rFonts w:cs="Arial"/>
          <w:sz w:val="18"/>
          <w:szCs w:val="18"/>
          <w:rtl/>
        </w:rPr>
        <w:t xml:space="preserve"> </w:t>
      </w:r>
      <w:r w:rsidRPr="00482E82">
        <w:rPr>
          <w:rFonts w:cs="Arial" w:hint="cs"/>
          <w:sz w:val="18"/>
          <w:szCs w:val="18"/>
          <w:rtl/>
        </w:rPr>
        <w:t>הדין</w:t>
      </w:r>
      <w:r w:rsidRPr="00482E82">
        <w:rPr>
          <w:rFonts w:cs="Arial"/>
          <w:sz w:val="18"/>
          <w:szCs w:val="18"/>
          <w:rtl/>
        </w:rPr>
        <w:t xml:space="preserve"> </w:t>
      </w:r>
      <w:r w:rsidRPr="00482E82">
        <w:rPr>
          <w:rFonts w:cs="Arial" w:hint="cs"/>
          <w:sz w:val="18"/>
          <w:szCs w:val="18"/>
          <w:rtl/>
        </w:rPr>
        <w:t>אם</w:t>
      </w:r>
      <w:r w:rsidRPr="00482E82">
        <w:rPr>
          <w:rFonts w:cs="Arial"/>
          <w:sz w:val="18"/>
          <w:szCs w:val="18"/>
          <w:rtl/>
        </w:rPr>
        <w:t xml:space="preserve"> </w:t>
      </w:r>
      <w:r w:rsidRPr="00482E82">
        <w:rPr>
          <w:rFonts w:cs="Arial" w:hint="cs"/>
          <w:sz w:val="18"/>
          <w:szCs w:val="18"/>
          <w:rtl/>
        </w:rPr>
        <w:t>נתמעכו</w:t>
      </w:r>
      <w:r w:rsidRPr="00482E82">
        <w:rPr>
          <w:rFonts w:cs="Arial"/>
          <w:sz w:val="18"/>
          <w:szCs w:val="18"/>
          <w:rtl/>
        </w:rPr>
        <w:t xml:space="preserve"> </w:t>
      </w:r>
      <w:r w:rsidRPr="00482E82">
        <w:rPr>
          <w:rFonts w:cs="Arial" w:hint="cs"/>
          <w:sz w:val="18"/>
          <w:szCs w:val="18"/>
          <w:rtl/>
        </w:rPr>
        <w:t>או</w:t>
      </w:r>
      <w:r w:rsidRPr="00482E82">
        <w:rPr>
          <w:rFonts w:cs="Arial"/>
          <w:sz w:val="18"/>
          <w:szCs w:val="18"/>
          <w:rtl/>
        </w:rPr>
        <w:t xml:space="preserve"> </w:t>
      </w:r>
      <w:r w:rsidRPr="00482E82">
        <w:rPr>
          <w:rFonts w:cs="Arial" w:hint="cs"/>
          <w:sz w:val="18"/>
          <w:szCs w:val="18"/>
          <w:rtl/>
        </w:rPr>
        <w:t>נימוחו</w:t>
      </w:r>
      <w:r w:rsidRPr="00482E82">
        <w:rPr>
          <w:rFonts w:cs="Arial"/>
          <w:sz w:val="18"/>
          <w:szCs w:val="18"/>
          <w:rtl/>
        </w:rPr>
        <w:t xml:space="preserve"> </w:t>
      </w:r>
      <w:r w:rsidRPr="00482E82">
        <w:rPr>
          <w:rFonts w:cs="Arial" w:hint="cs"/>
          <w:sz w:val="18"/>
          <w:szCs w:val="18"/>
          <w:rtl/>
        </w:rPr>
        <w:t>קצתן</w:t>
      </w:r>
      <w:r w:rsidRPr="00482E82">
        <w:rPr>
          <w:rFonts w:cs="Arial"/>
          <w:sz w:val="18"/>
          <w:szCs w:val="18"/>
          <w:rtl/>
        </w:rPr>
        <w:t xml:space="preserve">, </w:t>
      </w:r>
      <w:r w:rsidRPr="00482E82">
        <w:rPr>
          <w:rFonts w:cs="Arial" w:hint="cs"/>
          <w:sz w:val="18"/>
          <w:szCs w:val="18"/>
          <w:rtl/>
        </w:rPr>
        <w:t>וקצתן</w:t>
      </w:r>
      <w:r w:rsidRPr="00482E82">
        <w:rPr>
          <w:rFonts w:cs="Arial"/>
          <w:sz w:val="18"/>
          <w:szCs w:val="18"/>
          <w:rtl/>
        </w:rPr>
        <w:t xml:space="preserve"> </w:t>
      </w:r>
      <w:r w:rsidRPr="00482E82">
        <w:rPr>
          <w:rFonts w:cs="Arial" w:hint="cs"/>
          <w:sz w:val="18"/>
          <w:szCs w:val="18"/>
          <w:rtl/>
        </w:rPr>
        <w:t>לא</w:t>
      </w:r>
      <w:r w:rsidRPr="00482E82">
        <w:rPr>
          <w:rFonts w:cs="Arial"/>
          <w:sz w:val="18"/>
          <w:szCs w:val="18"/>
          <w:rtl/>
        </w:rPr>
        <w:t xml:space="preserve"> </w:t>
      </w:r>
      <w:r w:rsidRPr="00482E82">
        <w:rPr>
          <w:rFonts w:cs="Arial" w:hint="cs"/>
          <w:sz w:val="18"/>
          <w:szCs w:val="18"/>
          <w:rtl/>
        </w:rPr>
        <w:t>נימוחו</w:t>
      </w:r>
      <w:r w:rsidRPr="00482E82">
        <w:rPr>
          <w:rFonts w:cs="Arial"/>
          <w:sz w:val="18"/>
          <w:szCs w:val="18"/>
          <w:rtl/>
        </w:rPr>
        <w:t xml:space="preserve">, </w:t>
      </w:r>
      <w:r w:rsidRPr="00482E82">
        <w:rPr>
          <w:rFonts w:cs="Arial" w:hint="cs"/>
          <w:sz w:val="18"/>
          <w:szCs w:val="18"/>
          <w:rtl/>
        </w:rPr>
        <w:t>דטמאה".</w:t>
      </w:r>
    </w:p>
    <w:p w:rsidR="00620060" w:rsidRDefault="00620060" w:rsidP="00620060">
      <w:pPr>
        <w:rPr>
          <w:sz w:val="18"/>
          <w:szCs w:val="18"/>
          <w:rtl/>
        </w:rPr>
      </w:pPr>
      <w:r>
        <w:rPr>
          <w:rFonts w:hint="cs"/>
          <w:b/>
          <w:bCs/>
          <w:sz w:val="20"/>
          <w:szCs w:val="20"/>
          <w:rtl/>
        </w:rPr>
        <w:t>בדקה את החתיכות שלוש פעמים בעבר</w:t>
      </w:r>
      <w:r>
        <w:rPr>
          <w:b/>
          <w:bCs/>
          <w:sz w:val="20"/>
          <w:szCs w:val="20"/>
          <w:rtl/>
        </w:rPr>
        <w:br/>
      </w:r>
      <w:r>
        <w:rPr>
          <w:rFonts w:hint="cs"/>
          <w:sz w:val="20"/>
          <w:szCs w:val="20"/>
          <w:rtl/>
        </w:rPr>
        <w:t xml:space="preserve">א. </w:t>
      </w:r>
      <w:r>
        <w:rPr>
          <w:rFonts w:hint="cs"/>
          <w:b/>
          <w:bCs/>
          <w:sz w:val="20"/>
          <w:szCs w:val="20"/>
          <w:rtl/>
        </w:rPr>
        <w:t xml:space="preserve">רמ"א </w:t>
      </w:r>
      <w:r>
        <w:rPr>
          <w:sz w:val="20"/>
          <w:szCs w:val="20"/>
          <w:rtl/>
        </w:rPr>
        <w:t>–</w:t>
      </w:r>
      <w:r>
        <w:rPr>
          <w:rFonts w:hint="cs"/>
          <w:sz w:val="20"/>
          <w:szCs w:val="20"/>
          <w:rtl/>
        </w:rPr>
        <w:t xml:space="preserve"> </w:t>
      </w:r>
      <w:r w:rsidRPr="004A7705">
        <w:rPr>
          <w:rFonts w:hint="cs"/>
          <w:sz w:val="18"/>
          <w:szCs w:val="18"/>
          <w:rtl/>
        </w:rPr>
        <w:t>"</w:t>
      </w:r>
      <w:r w:rsidRPr="004A7705">
        <w:rPr>
          <w:rFonts w:cs="Arial" w:hint="cs"/>
          <w:sz w:val="18"/>
          <w:szCs w:val="18"/>
          <w:rtl/>
        </w:rPr>
        <w:t>מיהו</w:t>
      </w:r>
      <w:r w:rsidRPr="004A7705">
        <w:rPr>
          <w:rFonts w:cs="Arial"/>
          <w:sz w:val="18"/>
          <w:szCs w:val="18"/>
          <w:rtl/>
        </w:rPr>
        <w:t xml:space="preserve"> </w:t>
      </w:r>
      <w:r w:rsidRPr="004A7705">
        <w:rPr>
          <w:rFonts w:cs="Arial" w:hint="cs"/>
          <w:sz w:val="18"/>
          <w:szCs w:val="18"/>
          <w:rtl/>
        </w:rPr>
        <w:t>נראה</w:t>
      </w:r>
      <w:r w:rsidRPr="004A7705">
        <w:rPr>
          <w:rFonts w:cs="Arial"/>
          <w:sz w:val="18"/>
          <w:szCs w:val="18"/>
          <w:rtl/>
        </w:rPr>
        <w:t xml:space="preserve"> </w:t>
      </w:r>
      <w:r w:rsidRPr="004A7705">
        <w:rPr>
          <w:rFonts w:cs="Arial" w:hint="cs"/>
          <w:sz w:val="18"/>
          <w:szCs w:val="18"/>
          <w:rtl/>
        </w:rPr>
        <w:t>לי</w:t>
      </w:r>
      <w:r w:rsidRPr="004A7705">
        <w:rPr>
          <w:rFonts w:cs="Arial"/>
          <w:sz w:val="18"/>
          <w:szCs w:val="18"/>
          <w:rtl/>
        </w:rPr>
        <w:t xml:space="preserve"> </w:t>
      </w:r>
      <w:r w:rsidRPr="004A7705">
        <w:rPr>
          <w:rFonts w:cs="Arial" w:hint="cs"/>
          <w:sz w:val="18"/>
          <w:szCs w:val="18"/>
          <w:rtl/>
        </w:rPr>
        <w:t>דאם</w:t>
      </w:r>
      <w:r w:rsidRPr="004A7705">
        <w:rPr>
          <w:rFonts w:cs="Arial"/>
          <w:sz w:val="18"/>
          <w:szCs w:val="18"/>
          <w:rtl/>
        </w:rPr>
        <w:t xml:space="preserve"> </w:t>
      </w:r>
      <w:r w:rsidRPr="004A7705">
        <w:rPr>
          <w:rFonts w:cs="Arial" w:hint="cs"/>
          <w:sz w:val="18"/>
          <w:szCs w:val="18"/>
          <w:rtl/>
        </w:rPr>
        <w:t>בדקה</w:t>
      </w:r>
      <w:r w:rsidRPr="004A7705">
        <w:rPr>
          <w:rFonts w:cs="Arial"/>
          <w:sz w:val="18"/>
          <w:szCs w:val="18"/>
          <w:rtl/>
        </w:rPr>
        <w:t xml:space="preserve"> </w:t>
      </w:r>
      <w:r w:rsidRPr="004A7705">
        <w:rPr>
          <w:rFonts w:cs="Arial" w:hint="cs"/>
          <w:sz w:val="18"/>
          <w:szCs w:val="18"/>
          <w:rtl/>
        </w:rPr>
        <w:t>ג</w:t>
      </w:r>
      <w:r w:rsidRPr="004A7705">
        <w:rPr>
          <w:rFonts w:cs="Arial"/>
          <w:sz w:val="18"/>
          <w:szCs w:val="18"/>
          <w:rtl/>
        </w:rPr>
        <w:t xml:space="preserve">' </w:t>
      </w:r>
      <w:r w:rsidRPr="004A7705">
        <w:rPr>
          <w:rFonts w:cs="Arial" w:hint="cs"/>
          <w:sz w:val="18"/>
          <w:szCs w:val="18"/>
          <w:rtl/>
        </w:rPr>
        <w:t>פעמים</w:t>
      </w:r>
      <w:r w:rsidRPr="004A7705">
        <w:rPr>
          <w:rFonts w:cs="Arial"/>
          <w:sz w:val="18"/>
          <w:szCs w:val="18"/>
          <w:rtl/>
        </w:rPr>
        <w:t xml:space="preserve">, </w:t>
      </w:r>
      <w:r w:rsidRPr="004A7705">
        <w:rPr>
          <w:rFonts w:cs="Arial" w:hint="cs"/>
          <w:sz w:val="18"/>
          <w:szCs w:val="18"/>
          <w:rtl/>
        </w:rPr>
        <w:t>כל</w:t>
      </w:r>
      <w:r w:rsidRPr="004A7705">
        <w:rPr>
          <w:rFonts w:cs="Arial"/>
          <w:sz w:val="18"/>
          <w:szCs w:val="18"/>
          <w:rtl/>
        </w:rPr>
        <w:t xml:space="preserve"> </w:t>
      </w:r>
      <w:r w:rsidRPr="004A7705">
        <w:rPr>
          <w:rFonts w:cs="Arial" w:hint="cs"/>
          <w:sz w:val="18"/>
          <w:szCs w:val="18"/>
          <w:rtl/>
        </w:rPr>
        <w:t>מה</w:t>
      </w:r>
      <w:r w:rsidRPr="004A7705">
        <w:rPr>
          <w:rFonts w:cs="Arial"/>
          <w:sz w:val="18"/>
          <w:szCs w:val="18"/>
          <w:rtl/>
        </w:rPr>
        <w:t xml:space="preserve"> </w:t>
      </w:r>
      <w:r w:rsidRPr="004A7705">
        <w:rPr>
          <w:rFonts w:cs="Arial" w:hint="cs"/>
          <w:sz w:val="18"/>
          <w:szCs w:val="18"/>
          <w:rtl/>
        </w:rPr>
        <w:t>שראתה</w:t>
      </w:r>
      <w:r w:rsidRPr="004A7705">
        <w:rPr>
          <w:rFonts w:cs="Arial"/>
          <w:sz w:val="18"/>
          <w:szCs w:val="18"/>
          <w:rtl/>
        </w:rPr>
        <w:t xml:space="preserve"> </w:t>
      </w:r>
      <w:r w:rsidRPr="004A7705">
        <w:rPr>
          <w:rFonts w:cs="Arial" w:hint="cs"/>
          <w:sz w:val="18"/>
          <w:szCs w:val="18"/>
          <w:rtl/>
        </w:rPr>
        <w:t>ולא</w:t>
      </w:r>
      <w:r w:rsidRPr="004A7705">
        <w:rPr>
          <w:rFonts w:cs="Arial"/>
          <w:sz w:val="18"/>
          <w:szCs w:val="18"/>
          <w:rtl/>
        </w:rPr>
        <w:t xml:space="preserve"> </w:t>
      </w:r>
      <w:r w:rsidRPr="004A7705">
        <w:rPr>
          <w:rFonts w:cs="Arial" w:hint="cs"/>
          <w:sz w:val="18"/>
          <w:szCs w:val="18"/>
          <w:rtl/>
        </w:rPr>
        <w:t>נימוחו</w:t>
      </w:r>
      <w:r w:rsidRPr="004A7705">
        <w:rPr>
          <w:rFonts w:cs="Arial"/>
          <w:sz w:val="18"/>
          <w:szCs w:val="18"/>
          <w:rtl/>
        </w:rPr>
        <w:t xml:space="preserve"> </w:t>
      </w:r>
      <w:r w:rsidRPr="004A7705">
        <w:rPr>
          <w:rFonts w:cs="Arial" w:hint="cs"/>
          <w:sz w:val="18"/>
          <w:szCs w:val="18"/>
          <w:rtl/>
        </w:rPr>
        <w:t>כלל</w:t>
      </w:r>
      <w:r w:rsidRPr="004A7705">
        <w:rPr>
          <w:rFonts w:cs="Arial"/>
          <w:sz w:val="18"/>
          <w:szCs w:val="18"/>
          <w:rtl/>
        </w:rPr>
        <w:t xml:space="preserve">, </w:t>
      </w:r>
      <w:r w:rsidRPr="004A7705">
        <w:rPr>
          <w:rFonts w:cs="Arial" w:hint="cs"/>
          <w:sz w:val="18"/>
          <w:szCs w:val="18"/>
          <w:rtl/>
        </w:rPr>
        <w:t>שוב</w:t>
      </w:r>
      <w:r w:rsidRPr="004A7705">
        <w:rPr>
          <w:rFonts w:cs="Arial"/>
          <w:sz w:val="18"/>
          <w:szCs w:val="18"/>
          <w:rtl/>
        </w:rPr>
        <w:t xml:space="preserve"> </w:t>
      </w:r>
      <w:r w:rsidRPr="004A7705">
        <w:rPr>
          <w:rFonts w:cs="Arial" w:hint="cs"/>
          <w:sz w:val="18"/>
          <w:szCs w:val="18"/>
          <w:rtl/>
        </w:rPr>
        <w:t>אינה</w:t>
      </w:r>
      <w:r w:rsidRPr="004A7705">
        <w:rPr>
          <w:rFonts w:cs="Arial"/>
          <w:sz w:val="18"/>
          <w:szCs w:val="18"/>
          <w:rtl/>
        </w:rPr>
        <w:t xml:space="preserve"> </w:t>
      </w:r>
      <w:r w:rsidRPr="004A7705">
        <w:rPr>
          <w:rFonts w:cs="Arial" w:hint="cs"/>
          <w:sz w:val="18"/>
          <w:szCs w:val="18"/>
          <w:rtl/>
        </w:rPr>
        <w:t>צריכה</w:t>
      </w:r>
      <w:r w:rsidRPr="004A7705">
        <w:rPr>
          <w:rFonts w:cs="Arial"/>
          <w:sz w:val="18"/>
          <w:szCs w:val="18"/>
          <w:rtl/>
        </w:rPr>
        <w:t xml:space="preserve"> </w:t>
      </w:r>
      <w:r w:rsidRPr="004A7705">
        <w:rPr>
          <w:rFonts w:cs="Arial" w:hint="cs"/>
          <w:sz w:val="18"/>
          <w:szCs w:val="18"/>
          <w:rtl/>
        </w:rPr>
        <w:t>לבדוק</w:t>
      </w:r>
      <w:r w:rsidRPr="004A7705">
        <w:rPr>
          <w:rFonts w:cs="Arial"/>
          <w:sz w:val="18"/>
          <w:szCs w:val="18"/>
          <w:rtl/>
        </w:rPr>
        <w:t xml:space="preserve"> </w:t>
      </w:r>
      <w:r w:rsidRPr="004A7705">
        <w:rPr>
          <w:rFonts w:cs="Arial" w:hint="cs"/>
          <w:sz w:val="18"/>
          <w:szCs w:val="18"/>
          <w:rtl/>
        </w:rPr>
        <w:t>מה</w:t>
      </w:r>
      <w:r w:rsidRPr="004A7705">
        <w:rPr>
          <w:rFonts w:cs="Arial"/>
          <w:sz w:val="18"/>
          <w:szCs w:val="18"/>
          <w:rtl/>
        </w:rPr>
        <w:t xml:space="preserve"> </w:t>
      </w:r>
      <w:r w:rsidRPr="004A7705">
        <w:rPr>
          <w:rFonts w:cs="Arial" w:hint="cs"/>
          <w:sz w:val="18"/>
          <w:szCs w:val="18"/>
          <w:rtl/>
        </w:rPr>
        <w:t>שהיא</w:t>
      </w:r>
      <w:r w:rsidRPr="004A7705">
        <w:rPr>
          <w:rFonts w:cs="Arial"/>
          <w:sz w:val="18"/>
          <w:szCs w:val="18"/>
          <w:rtl/>
        </w:rPr>
        <w:t xml:space="preserve"> </w:t>
      </w:r>
      <w:r w:rsidRPr="004A7705">
        <w:rPr>
          <w:rFonts w:cs="Arial" w:hint="cs"/>
          <w:sz w:val="18"/>
          <w:szCs w:val="18"/>
          <w:rtl/>
        </w:rPr>
        <w:t>רואה</w:t>
      </w:r>
      <w:r w:rsidRPr="004A7705">
        <w:rPr>
          <w:rFonts w:cs="Arial"/>
          <w:sz w:val="18"/>
          <w:szCs w:val="18"/>
          <w:rtl/>
        </w:rPr>
        <w:t xml:space="preserve"> </w:t>
      </w:r>
      <w:r w:rsidRPr="004A7705">
        <w:rPr>
          <w:rFonts w:cs="Arial" w:hint="cs"/>
          <w:sz w:val="18"/>
          <w:szCs w:val="18"/>
          <w:rtl/>
        </w:rPr>
        <w:t>אח</w:t>
      </w:r>
      <w:r w:rsidRPr="004A7705">
        <w:rPr>
          <w:rFonts w:cs="Arial"/>
          <w:sz w:val="18"/>
          <w:szCs w:val="18"/>
          <w:rtl/>
        </w:rPr>
        <w:t>"</w:t>
      </w:r>
      <w:r w:rsidRPr="004A7705">
        <w:rPr>
          <w:rFonts w:cs="Arial" w:hint="cs"/>
          <w:sz w:val="18"/>
          <w:szCs w:val="18"/>
          <w:rtl/>
        </w:rPr>
        <w:t>כ</w:t>
      </w:r>
      <w:r w:rsidRPr="004A7705">
        <w:rPr>
          <w:rFonts w:cs="Arial"/>
          <w:sz w:val="18"/>
          <w:szCs w:val="18"/>
          <w:rtl/>
        </w:rPr>
        <w:t xml:space="preserve">, </w:t>
      </w:r>
      <w:r w:rsidRPr="004A7705">
        <w:rPr>
          <w:rFonts w:cs="Arial" w:hint="cs"/>
          <w:sz w:val="18"/>
          <w:szCs w:val="18"/>
          <w:rtl/>
        </w:rPr>
        <w:t>כדרך</w:t>
      </w:r>
      <w:r w:rsidRPr="004A7705">
        <w:rPr>
          <w:rFonts w:cs="Arial"/>
          <w:sz w:val="18"/>
          <w:szCs w:val="18"/>
          <w:rtl/>
        </w:rPr>
        <w:t xml:space="preserve"> </w:t>
      </w:r>
      <w:r w:rsidRPr="004A7705">
        <w:rPr>
          <w:rFonts w:cs="Arial" w:hint="cs"/>
          <w:sz w:val="18"/>
          <w:szCs w:val="18"/>
          <w:rtl/>
        </w:rPr>
        <w:t>זה</w:t>
      </w:r>
      <w:r w:rsidRPr="004A7705">
        <w:rPr>
          <w:rFonts w:cs="Arial"/>
          <w:sz w:val="18"/>
          <w:szCs w:val="18"/>
          <w:rtl/>
        </w:rPr>
        <w:t xml:space="preserve">, </w:t>
      </w:r>
      <w:r w:rsidRPr="004A7705">
        <w:rPr>
          <w:rFonts w:cs="Arial" w:hint="cs"/>
          <w:sz w:val="18"/>
          <w:szCs w:val="18"/>
          <w:rtl/>
        </w:rPr>
        <w:t>שהרי</w:t>
      </w:r>
      <w:r w:rsidRPr="004A7705">
        <w:rPr>
          <w:rFonts w:cs="Arial"/>
          <w:sz w:val="18"/>
          <w:szCs w:val="18"/>
          <w:rtl/>
        </w:rPr>
        <w:t xml:space="preserve"> </w:t>
      </w:r>
      <w:r w:rsidRPr="004A7705">
        <w:rPr>
          <w:rFonts w:cs="Arial" w:hint="cs"/>
          <w:sz w:val="18"/>
          <w:szCs w:val="18"/>
          <w:rtl/>
        </w:rPr>
        <w:t>הוחזקה</w:t>
      </w:r>
      <w:r w:rsidRPr="004A7705">
        <w:rPr>
          <w:rFonts w:cs="Arial"/>
          <w:sz w:val="18"/>
          <w:szCs w:val="18"/>
          <w:rtl/>
        </w:rPr>
        <w:t xml:space="preserve"> </w:t>
      </w:r>
      <w:r w:rsidRPr="004A7705">
        <w:rPr>
          <w:rFonts w:cs="Arial" w:hint="cs"/>
          <w:sz w:val="18"/>
          <w:szCs w:val="18"/>
          <w:rtl/>
        </w:rPr>
        <w:t>שדברים</w:t>
      </w:r>
      <w:r w:rsidRPr="004A7705">
        <w:rPr>
          <w:rFonts w:cs="Arial"/>
          <w:sz w:val="18"/>
          <w:szCs w:val="18"/>
          <w:rtl/>
        </w:rPr>
        <w:t xml:space="preserve"> </w:t>
      </w:r>
      <w:r w:rsidRPr="004A7705">
        <w:rPr>
          <w:rFonts w:cs="Arial" w:hint="cs"/>
          <w:sz w:val="18"/>
          <w:szCs w:val="18"/>
          <w:rtl/>
        </w:rPr>
        <w:t>אלו</w:t>
      </w:r>
      <w:r w:rsidRPr="004A7705">
        <w:rPr>
          <w:rFonts w:cs="Arial"/>
          <w:sz w:val="18"/>
          <w:szCs w:val="18"/>
          <w:rtl/>
        </w:rPr>
        <w:t xml:space="preserve"> </w:t>
      </w:r>
      <w:r w:rsidRPr="004A7705">
        <w:rPr>
          <w:rFonts w:cs="Arial" w:hint="cs"/>
          <w:sz w:val="18"/>
          <w:szCs w:val="18"/>
          <w:rtl/>
        </w:rPr>
        <w:t>אינן</w:t>
      </w:r>
      <w:r w:rsidRPr="004A7705">
        <w:rPr>
          <w:rFonts w:cs="Arial"/>
          <w:sz w:val="18"/>
          <w:szCs w:val="18"/>
          <w:rtl/>
        </w:rPr>
        <w:t xml:space="preserve"> </w:t>
      </w:r>
      <w:r w:rsidRPr="004A7705">
        <w:rPr>
          <w:rFonts w:cs="Arial" w:hint="cs"/>
          <w:sz w:val="18"/>
          <w:szCs w:val="18"/>
          <w:rtl/>
        </w:rPr>
        <w:t>דם</w:t>
      </w:r>
      <w:r w:rsidRPr="004A7705">
        <w:rPr>
          <w:rFonts w:cs="Arial"/>
          <w:sz w:val="18"/>
          <w:szCs w:val="18"/>
          <w:rtl/>
        </w:rPr>
        <w:t xml:space="preserve">, </w:t>
      </w:r>
      <w:r w:rsidRPr="004A7705">
        <w:rPr>
          <w:rFonts w:cs="Arial" w:hint="cs"/>
          <w:sz w:val="18"/>
          <w:szCs w:val="18"/>
          <w:rtl/>
        </w:rPr>
        <w:t>רק</w:t>
      </w:r>
      <w:r w:rsidRPr="004A7705">
        <w:rPr>
          <w:rFonts w:cs="Arial"/>
          <w:sz w:val="18"/>
          <w:szCs w:val="18"/>
          <w:rtl/>
        </w:rPr>
        <w:t xml:space="preserve"> </w:t>
      </w:r>
      <w:r w:rsidRPr="004A7705">
        <w:rPr>
          <w:rFonts w:cs="Arial" w:hint="cs"/>
          <w:sz w:val="18"/>
          <w:szCs w:val="18"/>
          <w:rtl/>
        </w:rPr>
        <w:t>באים</w:t>
      </w:r>
      <w:r w:rsidRPr="004A7705">
        <w:rPr>
          <w:rFonts w:cs="Arial"/>
          <w:sz w:val="18"/>
          <w:szCs w:val="18"/>
          <w:rtl/>
        </w:rPr>
        <w:t xml:space="preserve"> </w:t>
      </w:r>
      <w:r w:rsidRPr="004A7705">
        <w:rPr>
          <w:rFonts w:cs="Arial" w:hint="cs"/>
          <w:sz w:val="18"/>
          <w:szCs w:val="18"/>
          <w:rtl/>
        </w:rPr>
        <w:t>ממכה</w:t>
      </w:r>
      <w:r w:rsidRPr="004A7705">
        <w:rPr>
          <w:rFonts w:cs="Arial"/>
          <w:sz w:val="18"/>
          <w:szCs w:val="18"/>
          <w:rtl/>
        </w:rPr>
        <w:t xml:space="preserve"> </w:t>
      </w:r>
      <w:r w:rsidRPr="004A7705">
        <w:rPr>
          <w:rFonts w:cs="Arial" w:hint="cs"/>
          <w:sz w:val="18"/>
          <w:szCs w:val="18"/>
          <w:rtl/>
        </w:rPr>
        <w:t>שבגופה</w:t>
      </w:r>
      <w:r w:rsidRPr="004A7705">
        <w:rPr>
          <w:rFonts w:cs="Arial"/>
          <w:sz w:val="18"/>
          <w:szCs w:val="18"/>
          <w:rtl/>
        </w:rPr>
        <w:t xml:space="preserve">. </w:t>
      </w:r>
      <w:r w:rsidRPr="004A7705">
        <w:rPr>
          <w:rFonts w:cs="Arial" w:hint="cs"/>
          <w:sz w:val="18"/>
          <w:szCs w:val="18"/>
          <w:rtl/>
        </w:rPr>
        <w:t>ודווקא</w:t>
      </w:r>
      <w:r w:rsidRPr="004A7705">
        <w:rPr>
          <w:rFonts w:cs="Arial"/>
          <w:sz w:val="18"/>
          <w:szCs w:val="18"/>
          <w:rtl/>
        </w:rPr>
        <w:t xml:space="preserve"> </w:t>
      </w:r>
      <w:r w:rsidRPr="004A7705">
        <w:rPr>
          <w:rFonts w:cs="Arial" w:hint="cs"/>
          <w:sz w:val="18"/>
          <w:szCs w:val="18"/>
          <w:rtl/>
        </w:rPr>
        <w:t>באשה</w:t>
      </w:r>
      <w:r w:rsidRPr="004A7705">
        <w:rPr>
          <w:rFonts w:cs="Arial"/>
          <w:sz w:val="18"/>
          <w:szCs w:val="18"/>
          <w:rtl/>
        </w:rPr>
        <w:t xml:space="preserve"> </w:t>
      </w:r>
      <w:r w:rsidRPr="004A7705">
        <w:rPr>
          <w:rFonts w:cs="Arial" w:hint="cs"/>
          <w:sz w:val="18"/>
          <w:szCs w:val="18"/>
          <w:rtl/>
        </w:rPr>
        <w:t>שיש</w:t>
      </w:r>
      <w:r w:rsidRPr="004A7705">
        <w:rPr>
          <w:rFonts w:cs="Arial"/>
          <w:sz w:val="18"/>
          <w:szCs w:val="18"/>
          <w:rtl/>
        </w:rPr>
        <w:t xml:space="preserve"> </w:t>
      </w:r>
      <w:r w:rsidRPr="004A7705">
        <w:rPr>
          <w:rFonts w:cs="Arial" w:hint="cs"/>
          <w:sz w:val="18"/>
          <w:szCs w:val="18"/>
          <w:rtl/>
        </w:rPr>
        <w:t>לה</w:t>
      </w:r>
      <w:r w:rsidRPr="004A7705">
        <w:rPr>
          <w:rFonts w:cs="Arial"/>
          <w:sz w:val="18"/>
          <w:szCs w:val="18"/>
          <w:rtl/>
        </w:rPr>
        <w:t xml:space="preserve"> </w:t>
      </w:r>
      <w:r w:rsidRPr="004A7705">
        <w:rPr>
          <w:rFonts w:cs="Arial" w:hint="cs"/>
          <w:sz w:val="18"/>
          <w:szCs w:val="18"/>
          <w:rtl/>
        </w:rPr>
        <w:t>וסת</w:t>
      </w:r>
      <w:r w:rsidRPr="004A7705">
        <w:rPr>
          <w:rFonts w:cs="Arial"/>
          <w:sz w:val="18"/>
          <w:szCs w:val="18"/>
          <w:rtl/>
        </w:rPr>
        <w:t xml:space="preserve">, </w:t>
      </w:r>
      <w:r w:rsidRPr="004A7705">
        <w:rPr>
          <w:rFonts w:cs="Arial" w:hint="cs"/>
          <w:sz w:val="18"/>
          <w:szCs w:val="18"/>
          <w:rtl/>
        </w:rPr>
        <w:t>ושלא</w:t>
      </w:r>
      <w:r w:rsidRPr="004A7705">
        <w:rPr>
          <w:rFonts w:cs="Arial"/>
          <w:sz w:val="18"/>
          <w:szCs w:val="18"/>
          <w:rtl/>
        </w:rPr>
        <w:t xml:space="preserve"> </w:t>
      </w:r>
      <w:r w:rsidRPr="004A7705">
        <w:rPr>
          <w:rFonts w:cs="Arial" w:hint="cs"/>
          <w:sz w:val="18"/>
          <w:szCs w:val="18"/>
          <w:rtl/>
        </w:rPr>
        <w:t>בשעת</w:t>
      </w:r>
      <w:r w:rsidRPr="004A7705">
        <w:rPr>
          <w:rFonts w:cs="Arial"/>
          <w:sz w:val="18"/>
          <w:szCs w:val="18"/>
          <w:rtl/>
        </w:rPr>
        <w:t xml:space="preserve"> </w:t>
      </w:r>
      <w:r w:rsidRPr="004A7705">
        <w:rPr>
          <w:rFonts w:cs="Arial" w:hint="cs"/>
          <w:sz w:val="18"/>
          <w:szCs w:val="18"/>
          <w:rtl/>
        </w:rPr>
        <w:t>וסתה</w:t>
      </w:r>
      <w:r w:rsidRPr="004A7705">
        <w:rPr>
          <w:rFonts w:cs="Arial"/>
          <w:sz w:val="18"/>
          <w:szCs w:val="18"/>
          <w:rtl/>
        </w:rPr>
        <w:t xml:space="preserve">, </w:t>
      </w:r>
      <w:r w:rsidRPr="004A7705">
        <w:rPr>
          <w:rFonts w:cs="Arial" w:hint="cs"/>
          <w:sz w:val="18"/>
          <w:szCs w:val="18"/>
          <w:rtl/>
        </w:rPr>
        <w:t>כמו</w:t>
      </w:r>
      <w:r w:rsidRPr="004A7705">
        <w:rPr>
          <w:rFonts w:cs="Arial"/>
          <w:sz w:val="18"/>
          <w:szCs w:val="18"/>
          <w:rtl/>
        </w:rPr>
        <w:t xml:space="preserve"> </w:t>
      </w:r>
      <w:r w:rsidRPr="004A7705">
        <w:rPr>
          <w:rFonts w:cs="Arial" w:hint="cs"/>
          <w:sz w:val="18"/>
          <w:szCs w:val="18"/>
          <w:rtl/>
        </w:rPr>
        <w:t>שנתבאר</w:t>
      </w:r>
      <w:r w:rsidRPr="004A7705">
        <w:rPr>
          <w:rFonts w:cs="Arial"/>
          <w:sz w:val="18"/>
          <w:szCs w:val="18"/>
          <w:rtl/>
        </w:rPr>
        <w:t xml:space="preserve"> </w:t>
      </w:r>
      <w:r w:rsidRPr="004A7705">
        <w:rPr>
          <w:rFonts w:cs="Arial" w:hint="cs"/>
          <w:sz w:val="18"/>
          <w:szCs w:val="18"/>
          <w:rtl/>
        </w:rPr>
        <w:t>גבי</w:t>
      </w:r>
      <w:r w:rsidRPr="004A7705">
        <w:rPr>
          <w:rFonts w:cs="Arial"/>
          <w:sz w:val="18"/>
          <w:szCs w:val="18"/>
          <w:rtl/>
        </w:rPr>
        <w:t xml:space="preserve"> </w:t>
      </w:r>
      <w:r w:rsidRPr="004A7705">
        <w:rPr>
          <w:rFonts w:cs="Arial" w:hint="cs"/>
          <w:sz w:val="18"/>
          <w:szCs w:val="18"/>
          <w:rtl/>
        </w:rPr>
        <w:t>מכה</w:t>
      </w:r>
      <w:r w:rsidRPr="004A7705">
        <w:rPr>
          <w:rFonts w:cs="Arial"/>
          <w:sz w:val="18"/>
          <w:szCs w:val="18"/>
          <w:rtl/>
        </w:rPr>
        <w:t xml:space="preserve">, </w:t>
      </w:r>
      <w:r w:rsidRPr="004A7705">
        <w:rPr>
          <w:rFonts w:cs="Arial" w:hint="cs"/>
          <w:sz w:val="18"/>
          <w:szCs w:val="18"/>
          <w:rtl/>
        </w:rPr>
        <w:t>לעיל</w:t>
      </w:r>
      <w:r w:rsidRPr="004A7705">
        <w:rPr>
          <w:rFonts w:cs="Arial"/>
          <w:sz w:val="18"/>
          <w:szCs w:val="18"/>
          <w:rtl/>
        </w:rPr>
        <w:t xml:space="preserve"> </w:t>
      </w:r>
      <w:r w:rsidRPr="004A7705">
        <w:rPr>
          <w:rFonts w:cs="Arial" w:hint="cs"/>
          <w:sz w:val="18"/>
          <w:szCs w:val="18"/>
          <w:rtl/>
        </w:rPr>
        <w:t>סימן</w:t>
      </w:r>
      <w:r w:rsidRPr="004A7705">
        <w:rPr>
          <w:rFonts w:cs="Arial"/>
          <w:sz w:val="18"/>
          <w:szCs w:val="18"/>
          <w:rtl/>
        </w:rPr>
        <w:t xml:space="preserve"> </w:t>
      </w:r>
      <w:r w:rsidRPr="004A7705">
        <w:rPr>
          <w:rFonts w:cs="Arial" w:hint="cs"/>
          <w:sz w:val="18"/>
          <w:szCs w:val="18"/>
          <w:rtl/>
        </w:rPr>
        <w:t>קפ</w:t>
      </w:r>
      <w:r w:rsidRPr="004A7705">
        <w:rPr>
          <w:rFonts w:cs="Arial"/>
          <w:sz w:val="18"/>
          <w:szCs w:val="18"/>
          <w:rtl/>
        </w:rPr>
        <w:t>"</w:t>
      </w:r>
      <w:r w:rsidRPr="004A7705">
        <w:rPr>
          <w:rFonts w:cs="Arial" w:hint="cs"/>
          <w:sz w:val="18"/>
          <w:szCs w:val="18"/>
          <w:rtl/>
        </w:rPr>
        <w:t>ז".</w:t>
      </w:r>
      <w:r>
        <w:rPr>
          <w:sz w:val="18"/>
          <w:szCs w:val="18"/>
          <w:rtl/>
        </w:rPr>
        <w:br/>
      </w:r>
      <w:r w:rsidRPr="0020597B">
        <w:rPr>
          <w:rFonts w:hint="cs"/>
          <w:sz w:val="20"/>
          <w:szCs w:val="20"/>
          <w:rtl/>
        </w:rPr>
        <w:t xml:space="preserve">ב. </w:t>
      </w:r>
      <w:r w:rsidRPr="0020597B">
        <w:rPr>
          <w:rFonts w:hint="cs"/>
          <w:b/>
          <w:bCs/>
          <w:sz w:val="20"/>
          <w:szCs w:val="20"/>
          <w:rtl/>
        </w:rPr>
        <w:t>ש"ך</w:t>
      </w:r>
      <w:r w:rsidRPr="0020597B">
        <w:rPr>
          <w:rFonts w:hint="cs"/>
          <w:sz w:val="20"/>
          <w:szCs w:val="20"/>
          <w:rtl/>
        </w:rPr>
        <w:t xml:space="preserve"> - גם בשעת</w:t>
      </w:r>
      <w:r w:rsidRPr="002D3063">
        <w:rPr>
          <w:rFonts w:hint="cs"/>
          <w:sz w:val="20"/>
          <w:szCs w:val="20"/>
          <w:rtl/>
        </w:rPr>
        <w:t xml:space="preserve"> ווסתה</w:t>
      </w:r>
      <w:r>
        <w:rPr>
          <w:rFonts w:hint="cs"/>
          <w:sz w:val="20"/>
          <w:szCs w:val="20"/>
          <w:rtl/>
        </w:rPr>
        <w:t xml:space="preserve"> טהורה,</w:t>
      </w:r>
      <w:r w:rsidRPr="002D3063">
        <w:rPr>
          <w:rFonts w:hint="cs"/>
          <w:sz w:val="20"/>
          <w:szCs w:val="20"/>
          <w:rtl/>
        </w:rPr>
        <w:t xml:space="preserve"> </w:t>
      </w:r>
      <w:r>
        <w:rPr>
          <w:rFonts w:hint="cs"/>
          <w:sz w:val="20"/>
          <w:szCs w:val="20"/>
          <w:rtl/>
        </w:rPr>
        <w:t>ו</w:t>
      </w:r>
      <w:r w:rsidRPr="002D3063">
        <w:rPr>
          <w:rFonts w:hint="cs"/>
          <w:sz w:val="20"/>
          <w:szCs w:val="20"/>
          <w:rtl/>
        </w:rPr>
        <w:t xml:space="preserve">דברי הרמ"א </w:t>
      </w:r>
      <w:r>
        <w:rPr>
          <w:rFonts w:hint="cs"/>
          <w:sz w:val="20"/>
          <w:szCs w:val="20"/>
          <w:rtl/>
        </w:rPr>
        <w:t xml:space="preserve">שחילק בכך </w:t>
      </w:r>
      <w:r w:rsidRPr="002D3063">
        <w:rPr>
          <w:rFonts w:hint="cs"/>
          <w:sz w:val="20"/>
          <w:szCs w:val="20"/>
          <w:rtl/>
        </w:rPr>
        <w:t>קשים</w:t>
      </w:r>
      <w:r>
        <w:rPr>
          <w:rFonts w:hint="cs"/>
          <w:sz w:val="20"/>
          <w:szCs w:val="20"/>
          <w:rtl/>
        </w:rPr>
        <w:t xml:space="preserve"> ולא נמצאו בשום פוסק. </w:t>
      </w:r>
      <w:r>
        <w:rPr>
          <w:sz w:val="20"/>
          <w:szCs w:val="20"/>
          <w:rtl/>
        </w:rPr>
        <w:br/>
      </w:r>
      <w:r w:rsidRPr="002D3063">
        <w:rPr>
          <w:rFonts w:hint="cs"/>
          <w:sz w:val="18"/>
          <w:szCs w:val="18"/>
          <w:rtl/>
        </w:rPr>
        <w:t>[ומה שדימה הרמ"א דין זה למכה אינו, כיוון שהתם לא תהיה טמאה לעולם, אך כאן רואה דברים יבשים בלבד, ולכן גם בשעת ווסתה טהורה].</w:t>
      </w:r>
    </w:p>
    <w:p w:rsidR="00620060" w:rsidRDefault="00620060" w:rsidP="00620060">
      <w:pPr>
        <w:rPr>
          <w:sz w:val="20"/>
          <w:szCs w:val="20"/>
          <w:rtl/>
        </w:rPr>
      </w:pPr>
      <w:r>
        <w:rPr>
          <w:rFonts w:hint="cs"/>
          <w:sz w:val="20"/>
          <w:szCs w:val="20"/>
          <w:u w:val="single"/>
          <w:rtl/>
        </w:rPr>
        <w:t>יישוב שיטות הרמ"א והש"ך</w:t>
      </w:r>
      <w:r>
        <w:rPr>
          <w:sz w:val="20"/>
          <w:szCs w:val="20"/>
          <w:u w:val="single"/>
          <w:rtl/>
        </w:rPr>
        <w:br/>
      </w:r>
      <w:r w:rsidRPr="00A20ADD">
        <w:rPr>
          <w:rFonts w:hint="cs"/>
          <w:b/>
          <w:bCs/>
          <w:sz w:val="20"/>
          <w:szCs w:val="20"/>
          <w:rtl/>
        </w:rPr>
        <w:t>תורת השלמים</w:t>
      </w:r>
      <w:r>
        <w:rPr>
          <w:rFonts w:hint="cs"/>
          <w:sz w:val="20"/>
          <w:szCs w:val="20"/>
          <w:rtl/>
        </w:rPr>
        <w:t xml:space="preserve"> </w:t>
      </w:r>
      <w:r>
        <w:rPr>
          <w:sz w:val="20"/>
          <w:szCs w:val="20"/>
          <w:rtl/>
        </w:rPr>
        <w:t>–</w:t>
      </w:r>
      <w:r>
        <w:rPr>
          <w:rFonts w:hint="cs"/>
          <w:sz w:val="20"/>
          <w:szCs w:val="20"/>
          <w:rtl/>
        </w:rPr>
        <w:t xml:space="preserve"> גם הרמ"א מודה לדברי הש"ך. </w:t>
      </w:r>
      <w:r>
        <w:rPr>
          <w:sz w:val="20"/>
          <w:szCs w:val="20"/>
          <w:rtl/>
        </w:rPr>
        <w:br/>
      </w:r>
      <w:r>
        <w:rPr>
          <w:rFonts w:hint="cs"/>
          <w:sz w:val="20"/>
          <w:szCs w:val="20"/>
          <w:rtl/>
        </w:rPr>
        <w:t>אלא, שהש"ך הבין שכוונת הרמ"א להגביל את דין בדיקת חתיכה במים דווקא לאשה שיש לה ווסת ושלא בשעת ווסתה, אך אין זו כוונת הרמ"א. הרמ"א התכוון לסייג רק את הדין שאם בדקה ג"פ אינה צריכה לבדוק עוד, שזה נאמר רק שלא בשעת ווסתה.</w:t>
      </w:r>
    </w:p>
    <w:p w:rsidR="00620060"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81248A">
        <w:rPr>
          <w:rFonts w:hint="cs"/>
          <w:b/>
          <w:bCs/>
          <w:sz w:val="20"/>
          <w:szCs w:val="20"/>
          <w:rtl/>
        </w:rPr>
        <w:t>מחבר</w:t>
      </w:r>
      <w:r>
        <w:rPr>
          <w:rFonts w:hint="cs"/>
          <w:sz w:val="20"/>
          <w:szCs w:val="20"/>
          <w:rtl/>
        </w:rPr>
        <w:t xml:space="preserve">. חתיכה שיש עליה לחלוח דם </w:t>
      </w:r>
      <w:r>
        <w:rPr>
          <w:sz w:val="20"/>
          <w:szCs w:val="20"/>
          <w:rtl/>
        </w:rPr>
        <w:t>–</w:t>
      </w:r>
      <w:r>
        <w:rPr>
          <w:rFonts w:hint="cs"/>
          <w:sz w:val="20"/>
          <w:szCs w:val="20"/>
          <w:rtl/>
        </w:rPr>
        <w:t xml:space="preserve"> טמאה ואין מועיל בה בדיקת פושרים הנ"ל.</w:t>
      </w:r>
      <w:r>
        <w:rPr>
          <w:sz w:val="20"/>
          <w:szCs w:val="20"/>
          <w:rtl/>
        </w:rPr>
        <w:br/>
      </w:r>
      <w:r w:rsidRPr="008C4D37">
        <w:rPr>
          <w:rFonts w:hint="cs"/>
          <w:sz w:val="20"/>
          <w:szCs w:val="20"/>
          <w:rtl/>
        </w:rPr>
        <w:t>2. מאי שנא מדין פלי פלויי?</w:t>
      </w:r>
      <w:r>
        <w:rPr>
          <w:rFonts w:hint="cs"/>
          <w:sz w:val="20"/>
          <w:szCs w:val="20"/>
          <w:rtl/>
        </w:rPr>
        <w:t xml:space="preserve"> </w:t>
      </w:r>
      <w:r w:rsidRPr="0081248A">
        <w:rPr>
          <w:rFonts w:hint="cs"/>
          <w:b/>
          <w:bCs/>
          <w:sz w:val="20"/>
          <w:szCs w:val="20"/>
          <w:rtl/>
        </w:rPr>
        <w:t>ט"ז</w:t>
      </w:r>
      <w:r>
        <w:rPr>
          <w:rFonts w:hint="cs"/>
          <w:sz w:val="20"/>
          <w:szCs w:val="20"/>
          <w:rtl/>
        </w:rPr>
        <w:t xml:space="preserve">. כאן חמיר טפי משום ששמא החתיכה עצמה דם היא. </w:t>
      </w:r>
      <w:r w:rsidRPr="0081248A">
        <w:rPr>
          <w:rFonts w:hint="cs"/>
          <w:b/>
          <w:bCs/>
          <w:sz w:val="20"/>
          <w:szCs w:val="20"/>
          <w:rtl/>
        </w:rPr>
        <w:t>ש"ך</w:t>
      </w:r>
      <w:r>
        <w:rPr>
          <w:rFonts w:hint="cs"/>
          <w:sz w:val="20"/>
          <w:szCs w:val="20"/>
          <w:rtl/>
        </w:rPr>
        <w:t>. כאן הדם נמצא על החתיכה ולא בתוכה.</w:t>
      </w:r>
      <w:r>
        <w:rPr>
          <w:sz w:val="20"/>
          <w:szCs w:val="20"/>
          <w:rtl/>
        </w:rPr>
        <w:br/>
      </w:r>
      <w:r>
        <w:rPr>
          <w:rFonts w:hint="cs"/>
          <w:sz w:val="20"/>
          <w:szCs w:val="20"/>
          <w:rtl/>
        </w:rPr>
        <w:t xml:space="preserve">3. </w:t>
      </w:r>
      <w:r w:rsidRPr="0081248A">
        <w:rPr>
          <w:rFonts w:hint="cs"/>
          <w:b/>
          <w:bCs/>
          <w:sz w:val="20"/>
          <w:szCs w:val="20"/>
          <w:rtl/>
        </w:rPr>
        <w:t>רמ"א</w:t>
      </w:r>
      <w:r>
        <w:rPr>
          <w:rFonts w:hint="cs"/>
          <w:sz w:val="20"/>
          <w:szCs w:val="20"/>
          <w:rtl/>
        </w:rPr>
        <w:t xml:space="preserve">. אם נמעכו מעט מהחתיכות וחלקן לא </w:t>
      </w:r>
      <w:r>
        <w:rPr>
          <w:sz w:val="20"/>
          <w:szCs w:val="20"/>
          <w:rtl/>
        </w:rPr>
        <w:t>–</w:t>
      </w:r>
      <w:r>
        <w:rPr>
          <w:rFonts w:hint="cs"/>
          <w:sz w:val="20"/>
          <w:szCs w:val="20"/>
          <w:rtl/>
        </w:rPr>
        <w:t xml:space="preserve"> טמאה.</w:t>
      </w:r>
      <w:r>
        <w:rPr>
          <w:sz w:val="20"/>
          <w:szCs w:val="20"/>
          <w:rtl/>
        </w:rPr>
        <w:br/>
      </w:r>
      <w:r>
        <w:rPr>
          <w:rFonts w:hint="cs"/>
          <w:sz w:val="20"/>
          <w:szCs w:val="20"/>
          <w:rtl/>
        </w:rPr>
        <w:t xml:space="preserve">4. </w:t>
      </w:r>
      <w:r w:rsidRPr="0081248A">
        <w:rPr>
          <w:rFonts w:hint="cs"/>
          <w:b/>
          <w:bCs/>
          <w:sz w:val="20"/>
          <w:szCs w:val="20"/>
          <w:rtl/>
        </w:rPr>
        <w:t>רמ"א</w:t>
      </w:r>
      <w:r>
        <w:rPr>
          <w:rFonts w:hint="cs"/>
          <w:sz w:val="20"/>
          <w:szCs w:val="20"/>
          <w:rtl/>
        </w:rPr>
        <w:t xml:space="preserve">. אם בדקה את החתיכות ג' פעמים ולא נמצאו טמאות </w:t>
      </w:r>
      <w:r>
        <w:rPr>
          <w:sz w:val="20"/>
          <w:szCs w:val="20"/>
          <w:rtl/>
        </w:rPr>
        <w:t>–</w:t>
      </w:r>
      <w:r>
        <w:rPr>
          <w:rFonts w:hint="cs"/>
          <w:sz w:val="20"/>
          <w:szCs w:val="20"/>
          <w:rtl/>
        </w:rPr>
        <w:t xml:space="preserve"> טהורה מכאן והלאה ללא בדיקה. ובלבד שלא בשעת ווסתה, בשעת ווסתה טמאה.</w:t>
      </w:r>
      <w:r>
        <w:rPr>
          <w:sz w:val="20"/>
          <w:szCs w:val="20"/>
          <w:rtl/>
        </w:rPr>
        <w:br/>
      </w:r>
      <w:r>
        <w:rPr>
          <w:rFonts w:hint="cs"/>
          <w:sz w:val="20"/>
          <w:szCs w:val="20"/>
          <w:rtl/>
        </w:rPr>
        <w:t xml:space="preserve">5. </w:t>
      </w:r>
      <w:r w:rsidRPr="0081248A">
        <w:rPr>
          <w:rFonts w:hint="cs"/>
          <w:b/>
          <w:bCs/>
          <w:sz w:val="20"/>
          <w:szCs w:val="20"/>
          <w:rtl/>
        </w:rPr>
        <w:t>ש"ך</w:t>
      </w:r>
      <w:r>
        <w:rPr>
          <w:rFonts w:hint="cs"/>
          <w:sz w:val="20"/>
          <w:szCs w:val="20"/>
          <w:rtl/>
        </w:rPr>
        <w:t>. גם בשעת ווסתה יש לטהר ודברי הרמ"א קשים.</w:t>
      </w:r>
      <w:r>
        <w:rPr>
          <w:sz w:val="20"/>
          <w:szCs w:val="20"/>
          <w:rtl/>
        </w:rPr>
        <w:br/>
      </w:r>
      <w:r>
        <w:rPr>
          <w:rFonts w:hint="cs"/>
          <w:sz w:val="20"/>
          <w:szCs w:val="20"/>
          <w:rtl/>
        </w:rPr>
        <w:t xml:space="preserve">6. </w:t>
      </w:r>
      <w:r w:rsidRPr="0081248A">
        <w:rPr>
          <w:rFonts w:hint="cs"/>
          <w:b/>
          <w:bCs/>
          <w:sz w:val="20"/>
          <w:szCs w:val="20"/>
          <w:rtl/>
        </w:rPr>
        <w:t>תוה"ש</w:t>
      </w:r>
      <w:r>
        <w:rPr>
          <w:rFonts w:hint="cs"/>
          <w:sz w:val="20"/>
          <w:szCs w:val="20"/>
          <w:rtl/>
        </w:rPr>
        <w:t xml:space="preserve">. הרמ"א התכוון לטהר ללא בדיקה רק אשה שהוחזקה ג"פ שאין זה דם ובכה"ג מהני רק שלא בשעת ווסתה. </w:t>
      </w:r>
      <w:r w:rsidRPr="0081248A">
        <w:rPr>
          <w:rFonts w:hint="cs"/>
          <w:b/>
          <w:bCs/>
          <w:sz w:val="20"/>
          <w:szCs w:val="20"/>
          <w:rtl/>
        </w:rPr>
        <w:t>הש"ך</w:t>
      </w:r>
      <w:r>
        <w:rPr>
          <w:rFonts w:hint="cs"/>
          <w:sz w:val="20"/>
          <w:szCs w:val="20"/>
          <w:rtl/>
        </w:rPr>
        <w:t xml:space="preserve"> הבין בטעות שהרמ"א התכוון אף לבדיקה האמורה לעיל, וליתא.</w:t>
      </w:r>
    </w:p>
    <w:p w:rsidR="00620060" w:rsidRDefault="00620060" w:rsidP="00620060">
      <w:pPr>
        <w:rPr>
          <w:sz w:val="20"/>
          <w:szCs w:val="20"/>
          <w:rtl/>
        </w:rPr>
      </w:pPr>
      <w:r>
        <w:rPr>
          <w:sz w:val="20"/>
          <w:szCs w:val="20"/>
          <w:rtl/>
        </w:rPr>
        <w:br/>
      </w:r>
      <w:r>
        <w:rPr>
          <w:rFonts w:hint="cs"/>
          <w:b/>
          <w:bCs/>
          <w:sz w:val="20"/>
          <w:szCs w:val="20"/>
          <w:rtl/>
        </w:rPr>
        <w:t>סעיף ו  - מפלת חתיכת דם קשה</w:t>
      </w:r>
      <w:r>
        <w:rPr>
          <w:b/>
          <w:bCs/>
          <w:sz w:val="20"/>
          <w:szCs w:val="20"/>
          <w:rtl/>
        </w:rPr>
        <w:br/>
      </w:r>
      <w:r w:rsidRPr="0004273F">
        <w:rPr>
          <w:rFonts w:hint="cs"/>
          <w:b/>
          <w:bCs/>
          <w:sz w:val="20"/>
          <w:szCs w:val="20"/>
          <w:rtl/>
        </w:rPr>
        <w:t>שיטות הראשונים</w:t>
      </w:r>
      <w:r>
        <w:rPr>
          <w:sz w:val="20"/>
          <w:szCs w:val="20"/>
          <w:u w:val="single"/>
          <w:rtl/>
        </w:rPr>
        <w:br/>
      </w:r>
      <w:r>
        <w:rPr>
          <w:rFonts w:hint="cs"/>
          <w:sz w:val="20"/>
          <w:szCs w:val="20"/>
          <w:rtl/>
        </w:rPr>
        <w:t xml:space="preserve">המקרה </w:t>
      </w:r>
      <w:r>
        <w:rPr>
          <w:sz w:val="20"/>
          <w:szCs w:val="20"/>
          <w:rtl/>
        </w:rPr>
        <w:t>–</w:t>
      </w:r>
      <w:r>
        <w:rPr>
          <w:rFonts w:hint="cs"/>
          <w:sz w:val="20"/>
          <w:szCs w:val="20"/>
          <w:rtl/>
        </w:rPr>
        <w:t xml:space="preserve"> אשה שמפילה חתיכת דם קשה כאבן שאינה נימוחה במים.</w:t>
      </w:r>
      <w:r>
        <w:rPr>
          <w:sz w:val="20"/>
          <w:szCs w:val="20"/>
          <w:rtl/>
        </w:rPr>
        <w:br/>
      </w:r>
      <w:r>
        <w:rPr>
          <w:rFonts w:hint="cs"/>
          <w:sz w:val="20"/>
          <w:szCs w:val="20"/>
          <w:rtl/>
        </w:rPr>
        <w:t xml:space="preserve">א. </w:t>
      </w:r>
      <w:r w:rsidRPr="0060794F">
        <w:rPr>
          <w:rFonts w:hint="cs"/>
          <w:b/>
          <w:bCs/>
          <w:sz w:val="20"/>
          <w:szCs w:val="20"/>
          <w:rtl/>
        </w:rPr>
        <w:t>ראב"ד</w:t>
      </w:r>
      <w:r>
        <w:rPr>
          <w:rFonts w:hint="cs"/>
          <w:sz w:val="20"/>
          <w:szCs w:val="20"/>
          <w:rtl/>
        </w:rPr>
        <w:t xml:space="preserve"> </w:t>
      </w:r>
      <w:r>
        <w:rPr>
          <w:sz w:val="20"/>
          <w:szCs w:val="20"/>
          <w:rtl/>
        </w:rPr>
        <w:t>–</w:t>
      </w:r>
      <w:r>
        <w:rPr>
          <w:rFonts w:hint="cs"/>
          <w:sz w:val="20"/>
          <w:szCs w:val="20"/>
          <w:rtl/>
        </w:rPr>
        <w:t xml:space="preserve"> טמאה, שרייה במים מועילה דווקא בחתיכה הנראית בצורה משונה, וכ"פ </w:t>
      </w:r>
      <w:r w:rsidRPr="00EE1D49">
        <w:rPr>
          <w:rFonts w:hint="cs"/>
          <w:b/>
          <w:bCs/>
          <w:sz w:val="20"/>
          <w:szCs w:val="20"/>
          <w:rtl/>
        </w:rPr>
        <w:t>המחבר והש"ך</w:t>
      </w:r>
      <w:r>
        <w:rPr>
          <w:rFonts w:hint="cs"/>
          <w:sz w:val="20"/>
          <w:szCs w:val="20"/>
          <w:rtl/>
        </w:rPr>
        <w:t>.</w:t>
      </w:r>
      <w:r>
        <w:rPr>
          <w:sz w:val="20"/>
          <w:szCs w:val="20"/>
          <w:rtl/>
        </w:rPr>
        <w:br/>
      </w:r>
      <w:r w:rsidRPr="0060794F">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אין דרך דם להתייבש בצורה משונה ולכן מהני בדיקה להחליט סופית שזה אינו דם, אלא שאם נימוח אמרינן שדרך מקרה התייבש הדם באופן זה. אך חתיכת דם קשה הרי היא דם, ולא מהני בה בדיקה הנ"ל.</w:t>
      </w:r>
      <w:r>
        <w:rPr>
          <w:sz w:val="20"/>
          <w:szCs w:val="20"/>
          <w:rtl/>
        </w:rPr>
        <w:br/>
      </w:r>
      <w:r>
        <w:rPr>
          <w:rFonts w:hint="cs"/>
          <w:sz w:val="20"/>
          <w:szCs w:val="20"/>
          <w:rtl/>
        </w:rPr>
        <w:t xml:space="preserve">ב. </w:t>
      </w:r>
      <w:r w:rsidRPr="00B9005D">
        <w:rPr>
          <w:rFonts w:hint="cs"/>
          <w:b/>
          <w:bCs/>
          <w:sz w:val="20"/>
          <w:szCs w:val="20"/>
          <w:rtl/>
        </w:rPr>
        <w:t>רז"ה</w:t>
      </w:r>
      <w:r>
        <w:rPr>
          <w:rFonts w:hint="cs"/>
          <w:sz w:val="20"/>
          <w:szCs w:val="20"/>
          <w:rtl/>
        </w:rPr>
        <w:t xml:space="preserve"> </w:t>
      </w:r>
      <w:r>
        <w:rPr>
          <w:sz w:val="20"/>
          <w:szCs w:val="20"/>
          <w:rtl/>
        </w:rPr>
        <w:t>–</w:t>
      </w:r>
      <w:r>
        <w:rPr>
          <w:rFonts w:hint="cs"/>
          <w:sz w:val="20"/>
          <w:szCs w:val="20"/>
          <w:rtl/>
        </w:rPr>
        <w:t xml:space="preserve"> טהורה.</w:t>
      </w:r>
      <w:r>
        <w:rPr>
          <w:sz w:val="20"/>
          <w:szCs w:val="20"/>
          <w:rtl/>
        </w:rPr>
        <w:br/>
      </w:r>
      <w:r w:rsidRPr="00B9005D">
        <w:rPr>
          <w:rFonts w:hint="cs"/>
          <w:b/>
          <w:bCs/>
          <w:sz w:val="20"/>
          <w:szCs w:val="20"/>
          <w:rtl/>
        </w:rPr>
        <w:t xml:space="preserve">טעם </w:t>
      </w:r>
      <w:r>
        <w:rPr>
          <w:sz w:val="20"/>
          <w:szCs w:val="20"/>
          <w:rtl/>
        </w:rPr>
        <w:t>–</w:t>
      </w:r>
      <w:r>
        <w:rPr>
          <w:rFonts w:hint="cs"/>
          <w:sz w:val="20"/>
          <w:szCs w:val="20"/>
          <w:rtl/>
        </w:rPr>
        <w:t xml:space="preserve"> כל דם יבש שאינו נימוח אינו דם אלא בריה וטהורה.</w:t>
      </w:r>
    </w:p>
    <w:p w:rsidR="00620060" w:rsidRPr="004B6520" w:rsidRDefault="00620060" w:rsidP="00620060">
      <w:pPr>
        <w:rPr>
          <w:sz w:val="20"/>
          <w:szCs w:val="20"/>
          <w:rtl/>
        </w:rPr>
      </w:pPr>
      <w:r w:rsidRPr="0004273F">
        <w:rPr>
          <w:rFonts w:hint="cs"/>
          <w:b/>
          <w:bCs/>
          <w:sz w:val="20"/>
          <w:szCs w:val="20"/>
          <w:rtl/>
        </w:rPr>
        <w:t xml:space="preserve">גודל החתיכה </w:t>
      </w:r>
      <w:r w:rsidRPr="0004273F">
        <w:rPr>
          <w:rFonts w:hint="cs"/>
          <w:sz w:val="18"/>
          <w:szCs w:val="18"/>
          <w:rtl/>
        </w:rPr>
        <w:t>(בית יוסף)</w:t>
      </w:r>
      <w:r>
        <w:rPr>
          <w:sz w:val="20"/>
          <w:szCs w:val="20"/>
          <w:u w:val="single"/>
          <w:rtl/>
        </w:rPr>
        <w:br/>
      </w:r>
      <w:r w:rsidRPr="00ED7802">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קשה, אע"פ שהחתיכה לא נימוחה מכל מקום תיפוק ליה משום פתיה"ק שא"א בלא דם!</w:t>
      </w:r>
      <w:r>
        <w:rPr>
          <w:rFonts w:hint="cs"/>
          <w:sz w:val="20"/>
          <w:szCs w:val="20"/>
          <w:rtl/>
        </w:rPr>
        <w:br/>
        <w:t xml:space="preserve">ויש ליישב </w:t>
      </w:r>
      <w:r>
        <w:rPr>
          <w:sz w:val="20"/>
          <w:szCs w:val="20"/>
          <w:rtl/>
        </w:rPr>
        <w:t>–</w:t>
      </w:r>
      <w:r>
        <w:rPr>
          <w:rFonts w:hint="cs"/>
          <w:sz w:val="20"/>
          <w:szCs w:val="20"/>
          <w:rtl/>
        </w:rPr>
        <w:t xml:space="preserve"> מדובר בחתיכה קטנה.</w:t>
      </w:r>
      <w:r>
        <w:rPr>
          <w:sz w:val="20"/>
          <w:szCs w:val="20"/>
          <w:rtl/>
        </w:rPr>
        <w:br/>
      </w:r>
      <w:r w:rsidRPr="00ED7802">
        <w:rPr>
          <w:rFonts w:hint="cs"/>
          <w:b/>
          <w:bCs/>
          <w:sz w:val="20"/>
          <w:szCs w:val="20"/>
          <w:rtl/>
        </w:rPr>
        <w:lastRenderedPageBreak/>
        <w:t>בית יוסף</w:t>
      </w:r>
      <w:r>
        <w:rPr>
          <w:rFonts w:hint="cs"/>
          <w:sz w:val="20"/>
          <w:szCs w:val="20"/>
          <w:rtl/>
        </w:rPr>
        <w:t xml:space="preserve"> </w:t>
      </w:r>
      <w:r>
        <w:rPr>
          <w:sz w:val="20"/>
          <w:szCs w:val="20"/>
          <w:rtl/>
        </w:rPr>
        <w:t>–</w:t>
      </w:r>
      <w:r>
        <w:rPr>
          <w:rFonts w:hint="cs"/>
          <w:sz w:val="20"/>
          <w:szCs w:val="20"/>
          <w:rtl/>
        </w:rPr>
        <w:t xml:space="preserve"> שיעור זה של גודל החתיכה לא התפרש בגמרא, ויש לומר שהוא כשיעור שפופרת. ומכיוון שגם שיעור שפופרת לא התפרש, יש לטהר רק בגודל שפופרת הדקה שבדקות. </w:t>
      </w:r>
    </w:p>
    <w:p w:rsidR="00620060" w:rsidRPr="00D07ACB"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A10C35">
        <w:rPr>
          <w:rFonts w:cs="Arial" w:hint="cs"/>
          <w:sz w:val="20"/>
          <w:szCs w:val="20"/>
          <w:rtl/>
        </w:rPr>
        <w:t>במה</w:t>
      </w:r>
      <w:r w:rsidRPr="00A10C35">
        <w:rPr>
          <w:rFonts w:cs="Arial"/>
          <w:sz w:val="20"/>
          <w:szCs w:val="20"/>
          <w:rtl/>
        </w:rPr>
        <w:t xml:space="preserve"> </w:t>
      </w:r>
      <w:r w:rsidRPr="00A10C35">
        <w:rPr>
          <w:rFonts w:cs="Arial" w:hint="cs"/>
          <w:sz w:val="20"/>
          <w:szCs w:val="20"/>
          <w:rtl/>
        </w:rPr>
        <w:t>דברים</w:t>
      </w:r>
      <w:r w:rsidRPr="00A10C35">
        <w:rPr>
          <w:rFonts w:cs="Arial"/>
          <w:sz w:val="20"/>
          <w:szCs w:val="20"/>
          <w:rtl/>
        </w:rPr>
        <w:t xml:space="preserve"> </w:t>
      </w:r>
      <w:r w:rsidRPr="00A10C35">
        <w:rPr>
          <w:rFonts w:cs="Arial" w:hint="cs"/>
          <w:sz w:val="20"/>
          <w:szCs w:val="20"/>
          <w:rtl/>
        </w:rPr>
        <w:t>אמורים</w:t>
      </w:r>
      <w:r w:rsidRPr="00A10C35">
        <w:rPr>
          <w:rFonts w:cs="Arial"/>
          <w:sz w:val="20"/>
          <w:szCs w:val="20"/>
          <w:rtl/>
        </w:rPr>
        <w:t xml:space="preserve"> </w:t>
      </w:r>
      <w:r w:rsidRPr="00A10C35">
        <w:rPr>
          <w:rFonts w:cs="Arial" w:hint="cs"/>
          <w:sz w:val="20"/>
          <w:szCs w:val="20"/>
          <w:rtl/>
        </w:rPr>
        <w:t>שצריך</w:t>
      </w:r>
      <w:r w:rsidRPr="00A10C35">
        <w:rPr>
          <w:rFonts w:cs="Arial"/>
          <w:sz w:val="20"/>
          <w:szCs w:val="20"/>
          <w:rtl/>
        </w:rPr>
        <w:t xml:space="preserve"> </w:t>
      </w:r>
      <w:r w:rsidRPr="00A10C35">
        <w:rPr>
          <w:rFonts w:cs="Arial" w:hint="cs"/>
          <w:sz w:val="20"/>
          <w:szCs w:val="20"/>
          <w:rtl/>
        </w:rPr>
        <w:t>בדיקה</w:t>
      </w:r>
      <w:r w:rsidRPr="00A10C35">
        <w:rPr>
          <w:rFonts w:cs="Arial"/>
          <w:sz w:val="20"/>
          <w:szCs w:val="20"/>
          <w:rtl/>
        </w:rPr>
        <w:t xml:space="preserve"> </w:t>
      </w:r>
      <w:r w:rsidRPr="00A10C35">
        <w:rPr>
          <w:rFonts w:cs="Arial" w:hint="cs"/>
          <w:sz w:val="20"/>
          <w:szCs w:val="20"/>
          <w:rtl/>
        </w:rPr>
        <w:t>בשרייה</w:t>
      </w:r>
      <w:r w:rsidRPr="00A10C35">
        <w:rPr>
          <w:rFonts w:cs="Arial"/>
          <w:sz w:val="20"/>
          <w:szCs w:val="20"/>
          <w:rtl/>
        </w:rPr>
        <w:t xml:space="preserve">, </w:t>
      </w:r>
      <w:r w:rsidRPr="00A10C35">
        <w:rPr>
          <w:rFonts w:cs="Arial" w:hint="cs"/>
          <w:sz w:val="20"/>
          <w:szCs w:val="20"/>
          <w:rtl/>
        </w:rPr>
        <w:t>במפלת</w:t>
      </w:r>
      <w:r w:rsidRPr="00A10C35">
        <w:rPr>
          <w:rFonts w:cs="Arial"/>
          <w:sz w:val="20"/>
          <w:szCs w:val="20"/>
          <w:rtl/>
        </w:rPr>
        <w:t xml:space="preserve"> </w:t>
      </w:r>
      <w:r w:rsidRPr="00A10C35">
        <w:rPr>
          <w:rFonts w:cs="Arial" w:hint="cs"/>
          <w:sz w:val="20"/>
          <w:szCs w:val="20"/>
          <w:rtl/>
        </w:rPr>
        <w:t>כמין</w:t>
      </w:r>
      <w:r w:rsidRPr="00A10C35">
        <w:rPr>
          <w:rFonts w:cs="Arial"/>
          <w:sz w:val="20"/>
          <w:szCs w:val="20"/>
          <w:rtl/>
        </w:rPr>
        <w:t xml:space="preserve"> </w:t>
      </w:r>
      <w:r w:rsidRPr="00A10C35">
        <w:rPr>
          <w:rFonts w:cs="Arial" w:hint="cs"/>
          <w:sz w:val="20"/>
          <w:szCs w:val="20"/>
          <w:rtl/>
        </w:rPr>
        <w:t>קליפות</w:t>
      </w:r>
      <w:r w:rsidRPr="00A10C35">
        <w:rPr>
          <w:rFonts w:cs="Arial"/>
          <w:sz w:val="20"/>
          <w:szCs w:val="20"/>
          <w:rtl/>
        </w:rPr>
        <w:t xml:space="preserve"> </w:t>
      </w:r>
      <w:r w:rsidRPr="00A10C35">
        <w:rPr>
          <w:rFonts w:cs="Arial" w:hint="cs"/>
          <w:sz w:val="20"/>
          <w:szCs w:val="20"/>
          <w:rtl/>
        </w:rPr>
        <w:t>ושערות</w:t>
      </w:r>
      <w:r w:rsidRPr="00A10C35">
        <w:rPr>
          <w:rFonts w:cs="Arial"/>
          <w:sz w:val="20"/>
          <w:szCs w:val="20"/>
          <w:rtl/>
        </w:rPr>
        <w:t xml:space="preserve">, </w:t>
      </w:r>
      <w:r w:rsidRPr="00A10C35">
        <w:rPr>
          <w:rFonts w:cs="Arial" w:hint="cs"/>
          <w:sz w:val="20"/>
          <w:szCs w:val="20"/>
          <w:rtl/>
        </w:rPr>
        <w:t>אבל</w:t>
      </w:r>
      <w:r w:rsidRPr="00A10C35">
        <w:rPr>
          <w:rFonts w:cs="Arial"/>
          <w:sz w:val="20"/>
          <w:szCs w:val="20"/>
          <w:rtl/>
        </w:rPr>
        <w:t xml:space="preserve"> </w:t>
      </w:r>
      <w:r w:rsidRPr="00A10C35">
        <w:rPr>
          <w:rFonts w:cs="Arial" w:hint="cs"/>
          <w:sz w:val="20"/>
          <w:szCs w:val="20"/>
          <w:rtl/>
        </w:rPr>
        <w:t>חתיכת</w:t>
      </w:r>
      <w:r w:rsidRPr="00A10C35">
        <w:rPr>
          <w:rFonts w:cs="Arial"/>
          <w:sz w:val="20"/>
          <w:szCs w:val="20"/>
          <w:rtl/>
        </w:rPr>
        <w:t xml:space="preserve"> </w:t>
      </w:r>
      <w:r w:rsidRPr="00A10C35">
        <w:rPr>
          <w:rFonts w:cs="Arial" w:hint="cs"/>
          <w:sz w:val="20"/>
          <w:szCs w:val="20"/>
          <w:rtl/>
        </w:rPr>
        <w:t>דם</w:t>
      </w:r>
      <w:r w:rsidRPr="00A10C35">
        <w:rPr>
          <w:rFonts w:cs="Arial"/>
          <w:sz w:val="20"/>
          <w:szCs w:val="20"/>
          <w:rtl/>
        </w:rPr>
        <w:t xml:space="preserve">, </w:t>
      </w:r>
      <w:r w:rsidRPr="00A10C35">
        <w:rPr>
          <w:rFonts w:cs="Arial" w:hint="cs"/>
          <w:sz w:val="20"/>
          <w:szCs w:val="20"/>
          <w:rtl/>
        </w:rPr>
        <w:t>אף</w:t>
      </w:r>
      <w:r w:rsidRPr="00A10C35">
        <w:rPr>
          <w:rFonts w:cs="Arial"/>
          <w:sz w:val="20"/>
          <w:szCs w:val="20"/>
          <w:rtl/>
        </w:rPr>
        <w:t xml:space="preserve"> </w:t>
      </w:r>
      <w:r w:rsidRPr="00A10C35">
        <w:rPr>
          <w:rFonts w:cs="Arial" w:hint="cs"/>
          <w:sz w:val="20"/>
          <w:szCs w:val="20"/>
          <w:rtl/>
        </w:rPr>
        <w:t>על</w:t>
      </w:r>
      <w:r w:rsidRPr="00A10C35">
        <w:rPr>
          <w:rFonts w:cs="Arial"/>
          <w:sz w:val="20"/>
          <w:szCs w:val="20"/>
          <w:rtl/>
        </w:rPr>
        <w:t xml:space="preserve"> </w:t>
      </w:r>
      <w:r w:rsidRPr="00A10C35">
        <w:rPr>
          <w:rFonts w:cs="Arial" w:hint="cs"/>
          <w:sz w:val="20"/>
          <w:szCs w:val="20"/>
          <w:rtl/>
        </w:rPr>
        <w:t>פי</w:t>
      </w:r>
      <w:r w:rsidRPr="00A10C35">
        <w:rPr>
          <w:rFonts w:cs="Arial"/>
          <w:sz w:val="20"/>
          <w:szCs w:val="20"/>
          <w:rtl/>
        </w:rPr>
        <w:t xml:space="preserve"> </w:t>
      </w:r>
      <w:r w:rsidRPr="00A10C35">
        <w:rPr>
          <w:rFonts w:cs="Arial" w:hint="cs"/>
          <w:sz w:val="20"/>
          <w:szCs w:val="20"/>
          <w:rtl/>
        </w:rPr>
        <w:t>שקשה</w:t>
      </w:r>
      <w:r w:rsidRPr="00A10C35">
        <w:rPr>
          <w:rFonts w:cs="Arial"/>
          <w:sz w:val="20"/>
          <w:szCs w:val="20"/>
          <w:rtl/>
        </w:rPr>
        <w:t xml:space="preserve"> </w:t>
      </w:r>
      <w:r w:rsidRPr="00A10C35">
        <w:rPr>
          <w:rFonts w:cs="Arial" w:hint="cs"/>
          <w:sz w:val="20"/>
          <w:szCs w:val="20"/>
          <w:rtl/>
        </w:rPr>
        <w:t>ואינו</w:t>
      </w:r>
      <w:r w:rsidRPr="00A10C35">
        <w:rPr>
          <w:rFonts w:cs="Arial"/>
          <w:sz w:val="20"/>
          <w:szCs w:val="20"/>
          <w:rtl/>
        </w:rPr>
        <w:t xml:space="preserve"> </w:t>
      </w:r>
      <w:r w:rsidRPr="00A10C35">
        <w:rPr>
          <w:rFonts w:cs="Arial" w:hint="cs"/>
          <w:sz w:val="20"/>
          <w:szCs w:val="20"/>
          <w:rtl/>
        </w:rPr>
        <w:t>נימוח</w:t>
      </w:r>
      <w:r w:rsidRPr="00A10C35">
        <w:rPr>
          <w:rFonts w:cs="Arial"/>
          <w:sz w:val="20"/>
          <w:szCs w:val="20"/>
          <w:rtl/>
        </w:rPr>
        <w:t xml:space="preserve">, </w:t>
      </w:r>
      <w:r w:rsidRPr="00A10C35">
        <w:rPr>
          <w:rFonts w:cs="Arial" w:hint="cs"/>
          <w:sz w:val="20"/>
          <w:szCs w:val="20"/>
          <w:rtl/>
        </w:rPr>
        <w:t>טמאה</w:t>
      </w:r>
      <w:r w:rsidRPr="00A10C35">
        <w:rPr>
          <w:rFonts w:cs="Arial"/>
          <w:sz w:val="20"/>
          <w:szCs w:val="20"/>
          <w:rtl/>
        </w:rPr>
        <w:t xml:space="preserve">. </w:t>
      </w:r>
      <w:r w:rsidRPr="00A10C35">
        <w:rPr>
          <w:rFonts w:cs="Arial" w:hint="cs"/>
          <w:sz w:val="20"/>
          <w:szCs w:val="20"/>
          <w:rtl/>
        </w:rPr>
        <w:t>וי</w:t>
      </w:r>
      <w:r>
        <w:rPr>
          <w:rFonts w:cs="Arial" w:hint="cs"/>
          <w:sz w:val="20"/>
          <w:szCs w:val="20"/>
          <w:rtl/>
        </w:rPr>
        <w:t>ש אומרים</w:t>
      </w:r>
      <w:r w:rsidRPr="00A10C35">
        <w:rPr>
          <w:rFonts w:cs="Arial"/>
          <w:sz w:val="20"/>
          <w:szCs w:val="20"/>
          <w:rtl/>
        </w:rPr>
        <w:t xml:space="preserve"> </w:t>
      </w:r>
      <w:r w:rsidRPr="00A10C35">
        <w:rPr>
          <w:rFonts w:cs="Arial" w:hint="cs"/>
          <w:sz w:val="20"/>
          <w:szCs w:val="20"/>
          <w:rtl/>
        </w:rPr>
        <w:t>שגם</w:t>
      </w:r>
      <w:r w:rsidRPr="00A10C35">
        <w:rPr>
          <w:rFonts w:cs="Arial"/>
          <w:sz w:val="20"/>
          <w:szCs w:val="20"/>
          <w:rtl/>
        </w:rPr>
        <w:t xml:space="preserve"> </w:t>
      </w:r>
      <w:r w:rsidRPr="00A10C35">
        <w:rPr>
          <w:rFonts w:cs="Arial" w:hint="cs"/>
          <w:sz w:val="20"/>
          <w:szCs w:val="20"/>
          <w:rtl/>
        </w:rPr>
        <w:t>לזה</w:t>
      </w:r>
      <w:r w:rsidRPr="00A10C35">
        <w:rPr>
          <w:rFonts w:cs="Arial"/>
          <w:sz w:val="20"/>
          <w:szCs w:val="20"/>
          <w:rtl/>
        </w:rPr>
        <w:t xml:space="preserve"> </w:t>
      </w:r>
      <w:r w:rsidRPr="00A10C35">
        <w:rPr>
          <w:rFonts w:cs="Arial" w:hint="cs"/>
          <w:sz w:val="20"/>
          <w:szCs w:val="20"/>
          <w:rtl/>
        </w:rPr>
        <w:t>צריך</w:t>
      </w:r>
      <w:r w:rsidRPr="00A10C35">
        <w:rPr>
          <w:rFonts w:cs="Arial"/>
          <w:sz w:val="20"/>
          <w:szCs w:val="20"/>
          <w:rtl/>
        </w:rPr>
        <w:t xml:space="preserve"> </w:t>
      </w:r>
      <w:r w:rsidRPr="00A10C35">
        <w:rPr>
          <w:rFonts w:cs="Arial" w:hint="cs"/>
          <w:sz w:val="20"/>
          <w:szCs w:val="20"/>
          <w:rtl/>
        </w:rPr>
        <w:t>בדיקה</w:t>
      </w:r>
      <w:r w:rsidRPr="00A10C35">
        <w:rPr>
          <w:rFonts w:cs="Arial"/>
          <w:sz w:val="20"/>
          <w:szCs w:val="20"/>
          <w:rtl/>
        </w:rPr>
        <w:t xml:space="preserve"> </w:t>
      </w:r>
      <w:r w:rsidRPr="00A10C35">
        <w:rPr>
          <w:rFonts w:cs="Arial" w:hint="cs"/>
          <w:sz w:val="20"/>
          <w:szCs w:val="20"/>
          <w:rtl/>
        </w:rPr>
        <w:t>בשרייה</w:t>
      </w:r>
      <w:r w:rsidRPr="00A10C35">
        <w:rPr>
          <w:rFonts w:cs="Arial"/>
          <w:sz w:val="20"/>
          <w:szCs w:val="20"/>
          <w:rtl/>
        </w:rPr>
        <w:t xml:space="preserve">, </w:t>
      </w:r>
      <w:r w:rsidRPr="00A10C35">
        <w:rPr>
          <w:rFonts w:cs="Arial" w:hint="cs"/>
          <w:sz w:val="20"/>
          <w:szCs w:val="20"/>
          <w:rtl/>
        </w:rPr>
        <w:t>אם</w:t>
      </w:r>
      <w:r w:rsidRPr="00A10C35">
        <w:rPr>
          <w:rFonts w:cs="Arial"/>
          <w:sz w:val="20"/>
          <w:szCs w:val="20"/>
          <w:rtl/>
        </w:rPr>
        <w:t xml:space="preserve"> </w:t>
      </w:r>
      <w:r w:rsidRPr="00A10C35">
        <w:rPr>
          <w:rFonts w:cs="Arial" w:hint="cs"/>
          <w:sz w:val="20"/>
          <w:szCs w:val="20"/>
          <w:rtl/>
        </w:rPr>
        <w:t>היא</w:t>
      </w:r>
      <w:r w:rsidRPr="00A10C35">
        <w:rPr>
          <w:rFonts w:cs="Arial"/>
          <w:sz w:val="20"/>
          <w:szCs w:val="20"/>
          <w:rtl/>
        </w:rPr>
        <w:t xml:space="preserve"> </w:t>
      </w:r>
      <w:r w:rsidRPr="00A10C35">
        <w:rPr>
          <w:rFonts w:cs="Arial" w:hint="cs"/>
          <w:sz w:val="20"/>
          <w:szCs w:val="20"/>
          <w:rtl/>
        </w:rPr>
        <w:t>חתיכה</w:t>
      </w:r>
      <w:r w:rsidRPr="00A10C35">
        <w:rPr>
          <w:rFonts w:cs="Arial"/>
          <w:sz w:val="20"/>
          <w:szCs w:val="20"/>
          <w:rtl/>
        </w:rPr>
        <w:t xml:space="preserve"> </w:t>
      </w:r>
      <w:r w:rsidRPr="00A10C35">
        <w:rPr>
          <w:rFonts w:cs="Arial" w:hint="cs"/>
          <w:sz w:val="20"/>
          <w:szCs w:val="20"/>
          <w:rtl/>
        </w:rPr>
        <w:t>קטנה</w:t>
      </w:r>
      <w:r w:rsidRPr="00A10C35">
        <w:rPr>
          <w:rFonts w:cs="Arial"/>
          <w:sz w:val="20"/>
          <w:szCs w:val="20"/>
          <w:rtl/>
        </w:rPr>
        <w:t xml:space="preserve"> </w:t>
      </w:r>
      <w:r w:rsidRPr="00A10C35">
        <w:rPr>
          <w:rFonts w:cs="Arial" w:hint="cs"/>
          <w:sz w:val="20"/>
          <w:szCs w:val="20"/>
          <w:rtl/>
        </w:rPr>
        <w:t>כשיעור</w:t>
      </w:r>
      <w:r w:rsidRPr="00A10C35">
        <w:rPr>
          <w:rFonts w:cs="Arial"/>
          <w:sz w:val="20"/>
          <w:szCs w:val="20"/>
          <w:rtl/>
        </w:rPr>
        <w:t xml:space="preserve"> </w:t>
      </w:r>
      <w:r w:rsidRPr="00A10C35">
        <w:rPr>
          <w:rFonts w:cs="Arial" w:hint="cs"/>
          <w:sz w:val="20"/>
          <w:szCs w:val="20"/>
          <w:rtl/>
        </w:rPr>
        <w:t>שפופרת</w:t>
      </w:r>
      <w:r w:rsidRPr="00A10C35">
        <w:rPr>
          <w:rFonts w:cs="Arial"/>
          <w:sz w:val="20"/>
          <w:szCs w:val="20"/>
          <w:rtl/>
        </w:rPr>
        <w:t xml:space="preserve"> </w:t>
      </w:r>
      <w:r w:rsidRPr="00A10C35">
        <w:rPr>
          <w:rFonts w:cs="Arial" w:hint="cs"/>
          <w:sz w:val="20"/>
          <w:szCs w:val="20"/>
          <w:rtl/>
        </w:rPr>
        <w:t>הקנה</w:t>
      </w:r>
      <w:r w:rsidRPr="00A10C35">
        <w:rPr>
          <w:rFonts w:cs="Arial"/>
          <w:sz w:val="20"/>
          <w:szCs w:val="20"/>
          <w:rtl/>
        </w:rPr>
        <w:t xml:space="preserve"> </w:t>
      </w:r>
      <w:r w:rsidRPr="00A10C35">
        <w:rPr>
          <w:rFonts w:cs="Arial" w:hint="cs"/>
          <w:sz w:val="20"/>
          <w:szCs w:val="20"/>
          <w:rtl/>
        </w:rPr>
        <w:t>דק</w:t>
      </w:r>
      <w:r w:rsidRPr="00A10C35">
        <w:rPr>
          <w:rFonts w:cs="Arial"/>
          <w:sz w:val="20"/>
          <w:szCs w:val="20"/>
          <w:rtl/>
        </w:rPr>
        <w:t xml:space="preserve"> </w:t>
      </w:r>
      <w:r w:rsidRPr="00A10C35">
        <w:rPr>
          <w:rFonts w:cs="Arial" w:hint="cs"/>
          <w:sz w:val="20"/>
          <w:szCs w:val="20"/>
          <w:rtl/>
        </w:rPr>
        <w:t>שבדקים</w:t>
      </w:r>
      <w:r>
        <w:rPr>
          <w:rFonts w:cs="Arial" w:hint="cs"/>
          <w:sz w:val="20"/>
          <w:szCs w:val="20"/>
          <w:rtl/>
        </w:rPr>
        <w:t>".</w:t>
      </w:r>
      <w:r>
        <w:rPr>
          <w:sz w:val="20"/>
          <w:szCs w:val="20"/>
          <w:rtl/>
        </w:rPr>
        <w:br/>
      </w:r>
      <w:r>
        <w:rPr>
          <w:rFonts w:hint="cs"/>
          <w:b/>
          <w:bCs/>
          <w:sz w:val="20"/>
          <w:szCs w:val="20"/>
          <w:rtl/>
        </w:rPr>
        <w:t xml:space="preserve">ש"ך </w:t>
      </w:r>
      <w:r>
        <w:rPr>
          <w:sz w:val="20"/>
          <w:szCs w:val="20"/>
          <w:rtl/>
        </w:rPr>
        <w:t>–</w:t>
      </w:r>
      <w:r>
        <w:rPr>
          <w:rFonts w:hint="cs"/>
          <w:sz w:val="20"/>
          <w:szCs w:val="20"/>
          <w:rtl/>
        </w:rPr>
        <w:t xml:space="preserve"> הלכה כראב"ד שחתיכה זו טמאה, וכן איתא להדיא בירושלמי.</w:t>
      </w:r>
    </w:p>
    <w:p w:rsidR="00620060" w:rsidRDefault="00620060" w:rsidP="00620060">
      <w:pPr>
        <w:rPr>
          <w:sz w:val="20"/>
          <w:szCs w:val="20"/>
          <w:rtl/>
        </w:rPr>
      </w:pPr>
      <w:r>
        <w:rPr>
          <w:rFonts w:hint="cs"/>
          <w:sz w:val="20"/>
          <w:szCs w:val="20"/>
          <w:u w:val="single"/>
          <w:rtl/>
        </w:rPr>
        <w:t>האם יש חילוק בין מעוברת לאינה מעוברת (בית יוסף)</w:t>
      </w:r>
      <w:r>
        <w:rPr>
          <w:rFonts w:hint="cs"/>
          <w:sz w:val="20"/>
          <w:szCs w:val="20"/>
          <w:u w:val="single"/>
          <w:rtl/>
        </w:rPr>
        <w:br/>
      </w:r>
      <w:r w:rsidRPr="005A13A8">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דיני בדיקה הנזכרים בסימן זה, נאמרו בין באשה מעוברת ובין באשה שאינה מעוברת.</w:t>
      </w:r>
    </w:p>
    <w:p w:rsidR="00620060" w:rsidRPr="00D07ACB"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הפילה חתיכה קשה כאבן שאינה נימוחה במים. </w:t>
      </w:r>
      <w:r w:rsidRPr="00D07ACB">
        <w:rPr>
          <w:rFonts w:hint="cs"/>
          <w:b/>
          <w:bCs/>
          <w:sz w:val="20"/>
          <w:szCs w:val="20"/>
          <w:rtl/>
        </w:rPr>
        <w:t>ראב"ד</w:t>
      </w:r>
      <w:r>
        <w:rPr>
          <w:rFonts w:hint="cs"/>
          <w:sz w:val="20"/>
          <w:szCs w:val="20"/>
          <w:rtl/>
        </w:rPr>
        <w:t xml:space="preserve">. טמאה, וכ"פ </w:t>
      </w:r>
      <w:r w:rsidRPr="00EE1D49">
        <w:rPr>
          <w:rFonts w:hint="cs"/>
          <w:b/>
          <w:bCs/>
          <w:sz w:val="20"/>
          <w:szCs w:val="20"/>
          <w:rtl/>
        </w:rPr>
        <w:t>המחבר והש"ך</w:t>
      </w:r>
      <w:r>
        <w:rPr>
          <w:rFonts w:hint="cs"/>
          <w:sz w:val="20"/>
          <w:szCs w:val="20"/>
          <w:rtl/>
        </w:rPr>
        <w:t xml:space="preserve">. </w:t>
      </w:r>
      <w:r w:rsidRPr="00D07ACB">
        <w:rPr>
          <w:rFonts w:hint="cs"/>
          <w:b/>
          <w:bCs/>
          <w:sz w:val="20"/>
          <w:szCs w:val="20"/>
          <w:rtl/>
        </w:rPr>
        <w:t>רז"ה</w:t>
      </w:r>
      <w:r>
        <w:rPr>
          <w:rFonts w:hint="cs"/>
          <w:sz w:val="20"/>
          <w:szCs w:val="20"/>
          <w:rtl/>
        </w:rPr>
        <w:t>. טהורה.</w:t>
      </w:r>
      <w:r>
        <w:rPr>
          <w:sz w:val="20"/>
          <w:szCs w:val="20"/>
          <w:rtl/>
        </w:rPr>
        <w:br/>
      </w:r>
      <w:r>
        <w:rPr>
          <w:rFonts w:hint="cs"/>
          <w:sz w:val="20"/>
          <w:szCs w:val="20"/>
          <w:rtl/>
        </w:rPr>
        <w:t xml:space="preserve">2. </w:t>
      </w:r>
      <w:r w:rsidRPr="00EE1D49">
        <w:rPr>
          <w:rFonts w:hint="cs"/>
          <w:sz w:val="20"/>
          <w:szCs w:val="20"/>
          <w:rtl/>
        </w:rPr>
        <w:t>גודל החתיכה</w:t>
      </w:r>
      <w:r>
        <w:rPr>
          <w:rFonts w:hint="cs"/>
          <w:sz w:val="20"/>
          <w:szCs w:val="20"/>
          <w:rtl/>
        </w:rPr>
        <w:t xml:space="preserve">. </w:t>
      </w:r>
      <w:r w:rsidRPr="00D07ACB">
        <w:rPr>
          <w:rFonts w:hint="cs"/>
          <w:b/>
          <w:bCs/>
          <w:sz w:val="20"/>
          <w:szCs w:val="20"/>
          <w:rtl/>
        </w:rPr>
        <w:t>רשב"א</w:t>
      </w:r>
      <w:r>
        <w:rPr>
          <w:rFonts w:hint="cs"/>
          <w:sz w:val="20"/>
          <w:szCs w:val="20"/>
          <w:rtl/>
        </w:rPr>
        <w:t xml:space="preserve">. בחתיכה קטנה אינה טמאה משום פתיה"ק. </w:t>
      </w:r>
      <w:r w:rsidRPr="00D07ACB">
        <w:rPr>
          <w:rFonts w:hint="cs"/>
          <w:b/>
          <w:bCs/>
          <w:sz w:val="20"/>
          <w:szCs w:val="20"/>
          <w:rtl/>
        </w:rPr>
        <w:t>ב"י</w:t>
      </w:r>
      <w:r>
        <w:rPr>
          <w:rFonts w:hint="cs"/>
          <w:sz w:val="20"/>
          <w:szCs w:val="20"/>
          <w:rtl/>
        </w:rPr>
        <w:t>. גודלה כשפופרת דקה שבדקות.</w:t>
      </w:r>
      <w:r>
        <w:rPr>
          <w:sz w:val="20"/>
          <w:szCs w:val="20"/>
          <w:rtl/>
        </w:rPr>
        <w:br/>
      </w:r>
      <w:r>
        <w:rPr>
          <w:rFonts w:hint="cs"/>
          <w:sz w:val="20"/>
          <w:szCs w:val="20"/>
          <w:rtl/>
        </w:rPr>
        <w:t xml:space="preserve">3. </w:t>
      </w:r>
      <w:r w:rsidRPr="00D07ACB">
        <w:rPr>
          <w:rFonts w:hint="cs"/>
          <w:b/>
          <w:bCs/>
          <w:sz w:val="20"/>
          <w:szCs w:val="20"/>
          <w:rtl/>
        </w:rPr>
        <w:t>מחבר</w:t>
      </w:r>
      <w:r>
        <w:rPr>
          <w:rFonts w:hint="cs"/>
          <w:sz w:val="20"/>
          <w:szCs w:val="20"/>
          <w:rtl/>
        </w:rPr>
        <w:t xml:space="preserve">. ב' דעות האם חתיכה קשה כאבן טמאה או טהורה. </w:t>
      </w:r>
      <w:r w:rsidRPr="00D07ACB">
        <w:rPr>
          <w:rFonts w:hint="cs"/>
          <w:b/>
          <w:bCs/>
          <w:sz w:val="20"/>
          <w:szCs w:val="20"/>
          <w:rtl/>
        </w:rPr>
        <w:t>ש"ך</w:t>
      </w:r>
      <w:r>
        <w:rPr>
          <w:rFonts w:hint="cs"/>
          <w:sz w:val="20"/>
          <w:szCs w:val="20"/>
          <w:rtl/>
        </w:rPr>
        <w:t>. טמאה.</w:t>
      </w:r>
      <w:r>
        <w:rPr>
          <w:sz w:val="20"/>
          <w:szCs w:val="20"/>
          <w:rtl/>
        </w:rPr>
        <w:br/>
      </w:r>
      <w:r>
        <w:rPr>
          <w:rFonts w:hint="cs"/>
          <w:sz w:val="20"/>
          <w:szCs w:val="20"/>
          <w:rtl/>
        </w:rPr>
        <w:t xml:space="preserve">4. </w:t>
      </w:r>
      <w:r w:rsidRPr="00D07ACB">
        <w:rPr>
          <w:rFonts w:hint="cs"/>
          <w:b/>
          <w:bCs/>
          <w:sz w:val="20"/>
          <w:szCs w:val="20"/>
          <w:rtl/>
        </w:rPr>
        <w:t>רשב"א</w:t>
      </w:r>
      <w:r>
        <w:rPr>
          <w:rFonts w:hint="cs"/>
          <w:sz w:val="20"/>
          <w:szCs w:val="20"/>
          <w:rtl/>
        </w:rPr>
        <w:t>. בדינים אלו אין חילוק בין מעוברת לאינה מעוברת.</w:t>
      </w: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Pr="00C126D0" w:rsidRDefault="00620060" w:rsidP="00620060">
      <w:pPr>
        <w:rPr>
          <w:b/>
          <w:bCs/>
          <w:sz w:val="20"/>
          <w:szCs w:val="20"/>
          <w:rtl/>
        </w:rPr>
      </w:pPr>
      <w:r w:rsidRPr="00C126D0">
        <w:rPr>
          <w:rFonts w:hint="cs"/>
          <w:b/>
          <w:bCs/>
          <w:sz w:val="20"/>
          <w:szCs w:val="20"/>
          <w:rtl/>
        </w:rPr>
        <w:lastRenderedPageBreak/>
        <w:t>בעזרת ה' יתברך</w:t>
      </w:r>
    </w:p>
    <w:p w:rsidR="00620060" w:rsidRPr="009D22B9" w:rsidRDefault="00620060" w:rsidP="00620060">
      <w:pPr>
        <w:rPr>
          <w:sz w:val="20"/>
          <w:szCs w:val="20"/>
          <w:rtl/>
        </w:rPr>
      </w:pPr>
      <w:r w:rsidRPr="00C126D0">
        <w:rPr>
          <w:rFonts w:hint="cs"/>
          <w:b/>
          <w:bCs/>
          <w:sz w:val="20"/>
          <w:szCs w:val="20"/>
          <w:rtl/>
        </w:rPr>
        <w:t xml:space="preserve">סימן קפט </w:t>
      </w:r>
      <w:r w:rsidRPr="00C126D0">
        <w:rPr>
          <w:b/>
          <w:bCs/>
          <w:sz w:val="20"/>
          <w:szCs w:val="20"/>
          <w:rtl/>
        </w:rPr>
        <w:t>–</w:t>
      </w:r>
      <w:r w:rsidRPr="00C126D0">
        <w:rPr>
          <w:rFonts w:hint="cs"/>
          <w:b/>
          <w:bCs/>
          <w:sz w:val="20"/>
          <w:szCs w:val="20"/>
          <w:rtl/>
        </w:rPr>
        <w:t xml:space="preserve"> דיני קביעת וסתות</w:t>
      </w:r>
      <w:r>
        <w:rPr>
          <w:b/>
          <w:bCs/>
          <w:sz w:val="20"/>
          <w:szCs w:val="20"/>
          <w:rtl/>
        </w:rPr>
        <w:br/>
      </w:r>
      <w:r>
        <w:rPr>
          <w:rFonts w:hint="cs"/>
          <w:sz w:val="20"/>
          <w:szCs w:val="20"/>
          <w:u w:val="single"/>
          <w:rtl/>
        </w:rPr>
        <w:t>סוגי הווסתות</w:t>
      </w:r>
      <w:r>
        <w:rPr>
          <w:sz w:val="20"/>
          <w:szCs w:val="20"/>
          <w:u w:val="single"/>
          <w:rtl/>
        </w:rPr>
        <w:br/>
      </w:r>
      <w:r>
        <w:rPr>
          <w:rFonts w:hint="cs"/>
          <w:sz w:val="20"/>
          <w:szCs w:val="20"/>
          <w:rtl/>
        </w:rPr>
        <w:t xml:space="preserve">א. ווסת ההפלגות </w:t>
      </w:r>
      <w:r>
        <w:rPr>
          <w:sz w:val="20"/>
          <w:szCs w:val="20"/>
          <w:rtl/>
        </w:rPr>
        <w:t>–</w:t>
      </w:r>
      <w:r>
        <w:rPr>
          <w:rFonts w:hint="cs"/>
          <w:sz w:val="20"/>
          <w:szCs w:val="20"/>
          <w:rtl/>
        </w:rPr>
        <w:t xml:space="preserve"> בין ראייה לראייה יש סך ימים קבוע, כגון מכ' לכ' יום.</w:t>
      </w:r>
      <w:r>
        <w:rPr>
          <w:sz w:val="20"/>
          <w:szCs w:val="20"/>
          <w:rtl/>
        </w:rPr>
        <w:br/>
      </w:r>
      <w:r>
        <w:rPr>
          <w:rFonts w:hint="cs"/>
          <w:sz w:val="20"/>
          <w:szCs w:val="20"/>
          <w:rtl/>
        </w:rPr>
        <w:t xml:space="preserve">ב. ווסת הימים </w:t>
      </w:r>
      <w:r>
        <w:rPr>
          <w:sz w:val="20"/>
          <w:szCs w:val="20"/>
          <w:rtl/>
        </w:rPr>
        <w:t>–</w:t>
      </w:r>
      <w:r>
        <w:rPr>
          <w:rFonts w:hint="cs"/>
          <w:sz w:val="20"/>
          <w:szCs w:val="20"/>
          <w:rtl/>
        </w:rPr>
        <w:t xml:space="preserve"> רגילה לראות ביום ידוע בשבוע או בחודש.</w:t>
      </w:r>
      <w:r>
        <w:rPr>
          <w:sz w:val="20"/>
          <w:szCs w:val="20"/>
          <w:rtl/>
        </w:rPr>
        <w:br/>
      </w:r>
      <w:r>
        <w:rPr>
          <w:rFonts w:hint="cs"/>
          <w:sz w:val="20"/>
          <w:szCs w:val="20"/>
          <w:rtl/>
        </w:rPr>
        <w:t xml:space="preserve">ג. ווסת הגוף </w:t>
      </w:r>
      <w:r>
        <w:rPr>
          <w:sz w:val="20"/>
          <w:szCs w:val="20"/>
          <w:rtl/>
        </w:rPr>
        <w:t>–</w:t>
      </w:r>
      <w:r>
        <w:rPr>
          <w:rFonts w:hint="cs"/>
          <w:sz w:val="20"/>
          <w:szCs w:val="20"/>
          <w:rtl/>
        </w:rPr>
        <w:t xml:space="preserve"> רגילה לראות ע"י מעשה, כגון פיהוק או עיטוש.</w:t>
      </w:r>
      <w:r>
        <w:rPr>
          <w:sz w:val="20"/>
          <w:szCs w:val="20"/>
          <w:rtl/>
        </w:rPr>
        <w:br/>
      </w:r>
      <w:r>
        <w:rPr>
          <w:rFonts w:hint="cs"/>
          <w:sz w:val="20"/>
          <w:szCs w:val="20"/>
          <w:rtl/>
        </w:rPr>
        <w:t xml:space="preserve">ד. ווסת מורכב </w:t>
      </w:r>
      <w:r>
        <w:rPr>
          <w:sz w:val="20"/>
          <w:szCs w:val="20"/>
          <w:rtl/>
        </w:rPr>
        <w:t>–</w:t>
      </w:r>
      <w:r>
        <w:rPr>
          <w:rFonts w:hint="cs"/>
          <w:sz w:val="20"/>
          <w:szCs w:val="20"/>
          <w:rtl/>
        </w:rPr>
        <w:t xml:space="preserve"> רגילה לראות ביום מסויים לאחר שעושה מעשה מסויים.</w:t>
      </w:r>
      <w:r>
        <w:rPr>
          <w:sz w:val="20"/>
          <w:szCs w:val="20"/>
          <w:rtl/>
        </w:rPr>
        <w:br/>
      </w:r>
      <w:r>
        <w:rPr>
          <w:rFonts w:hint="cs"/>
          <w:sz w:val="20"/>
          <w:szCs w:val="20"/>
          <w:rtl/>
        </w:rPr>
        <w:t xml:space="preserve">ה. ווסת הדילוג </w:t>
      </w:r>
      <w:r w:rsidRPr="00322762">
        <w:rPr>
          <w:rFonts w:hint="cs"/>
          <w:sz w:val="18"/>
          <w:szCs w:val="18"/>
          <w:rtl/>
        </w:rPr>
        <w:t>(/</w:t>
      </w:r>
      <w:r>
        <w:rPr>
          <w:rFonts w:hint="cs"/>
          <w:sz w:val="18"/>
          <w:szCs w:val="18"/>
          <w:rtl/>
        </w:rPr>
        <w:t xml:space="preserve"> </w:t>
      </w:r>
      <w:r w:rsidRPr="00322762">
        <w:rPr>
          <w:rFonts w:hint="cs"/>
          <w:sz w:val="18"/>
          <w:szCs w:val="18"/>
          <w:rtl/>
        </w:rPr>
        <w:t xml:space="preserve">סירוג) </w:t>
      </w:r>
      <w:r>
        <w:rPr>
          <w:sz w:val="20"/>
          <w:szCs w:val="20"/>
          <w:rtl/>
        </w:rPr>
        <w:t>–</w:t>
      </w:r>
      <w:r>
        <w:rPr>
          <w:rFonts w:hint="cs"/>
          <w:sz w:val="20"/>
          <w:szCs w:val="20"/>
          <w:rtl/>
        </w:rPr>
        <w:t xml:space="preserve"> ראתה היום ולאחר ל', ואחר כך ראתה לאחר לא' יום ואח"כ לאחר לב' יום וכו'.</w:t>
      </w:r>
    </w:p>
    <w:p w:rsidR="00620060" w:rsidRDefault="00620060" w:rsidP="00620060">
      <w:pPr>
        <w:rPr>
          <w:sz w:val="20"/>
          <w:szCs w:val="20"/>
          <w:rtl/>
        </w:rPr>
      </w:pPr>
      <w:r w:rsidRPr="00C126D0">
        <w:rPr>
          <w:rFonts w:hint="cs"/>
          <w:b/>
          <w:bCs/>
          <w:sz w:val="20"/>
          <w:szCs w:val="20"/>
          <w:rtl/>
        </w:rPr>
        <w:t>סעיף א</w:t>
      </w:r>
      <w:r>
        <w:rPr>
          <w:rFonts w:hint="cs"/>
          <w:b/>
          <w:bCs/>
          <w:sz w:val="20"/>
          <w:szCs w:val="20"/>
          <w:rtl/>
        </w:rPr>
        <w:t xml:space="preserve"> </w:t>
      </w:r>
      <w:r>
        <w:rPr>
          <w:b/>
          <w:bCs/>
          <w:sz w:val="20"/>
          <w:szCs w:val="20"/>
          <w:rtl/>
        </w:rPr>
        <w:t>–</w:t>
      </w:r>
      <w:r>
        <w:rPr>
          <w:rFonts w:hint="cs"/>
          <w:b/>
          <w:bCs/>
          <w:sz w:val="20"/>
          <w:szCs w:val="20"/>
          <w:rtl/>
        </w:rPr>
        <w:t xml:space="preserve"> דין חשש ליום הווסת ולעונה בינונית</w:t>
      </w:r>
      <w:r w:rsidRPr="00C126D0">
        <w:rPr>
          <w:b/>
          <w:bCs/>
          <w:sz w:val="20"/>
          <w:szCs w:val="20"/>
          <w:rtl/>
        </w:rPr>
        <w:br/>
      </w:r>
      <w:r w:rsidRPr="00246245">
        <w:rPr>
          <w:rFonts w:hint="cs"/>
          <w:b/>
          <w:bCs/>
          <w:sz w:val="20"/>
          <w:szCs w:val="20"/>
          <w:rtl/>
        </w:rPr>
        <w:t xml:space="preserve">דין אשה שאין לה ווסת </w:t>
      </w:r>
      <w:r w:rsidRPr="00246245">
        <w:rPr>
          <w:b/>
          <w:bCs/>
          <w:sz w:val="20"/>
          <w:szCs w:val="20"/>
          <w:rtl/>
        </w:rPr>
        <w:t>–</w:t>
      </w:r>
      <w:r w:rsidRPr="00246245">
        <w:rPr>
          <w:rFonts w:hint="cs"/>
          <w:b/>
          <w:bCs/>
          <w:sz w:val="20"/>
          <w:szCs w:val="20"/>
          <w:rtl/>
        </w:rPr>
        <w:t xml:space="preserve"> עונה בינונית</w:t>
      </w:r>
      <w:r>
        <w:rPr>
          <w:sz w:val="20"/>
          <w:szCs w:val="20"/>
          <w:u w:val="single"/>
          <w:rtl/>
        </w:rPr>
        <w:br/>
      </w:r>
      <w:r w:rsidRPr="003939EB">
        <w:rPr>
          <w:rFonts w:hint="cs"/>
          <w:b/>
          <w:bCs/>
          <w:sz w:val="20"/>
          <w:szCs w:val="20"/>
          <w:rtl/>
        </w:rPr>
        <w:t>משנה</w:t>
      </w:r>
      <w:r>
        <w:rPr>
          <w:rFonts w:hint="cs"/>
          <w:sz w:val="20"/>
          <w:szCs w:val="20"/>
          <w:rtl/>
        </w:rPr>
        <w:t xml:space="preserve"> נידה (טו.) "</w:t>
      </w:r>
      <w:r w:rsidRPr="003939EB">
        <w:rPr>
          <w:rFonts w:cs="Arial" w:hint="cs"/>
          <w:sz w:val="20"/>
          <w:szCs w:val="20"/>
          <w:rtl/>
        </w:rPr>
        <w:t>כל</w:t>
      </w:r>
      <w:r w:rsidRPr="003939EB">
        <w:rPr>
          <w:rFonts w:cs="Arial"/>
          <w:sz w:val="20"/>
          <w:szCs w:val="20"/>
          <w:rtl/>
        </w:rPr>
        <w:t xml:space="preserve"> </w:t>
      </w:r>
      <w:r w:rsidRPr="003939EB">
        <w:rPr>
          <w:rFonts w:cs="Arial" w:hint="cs"/>
          <w:sz w:val="20"/>
          <w:szCs w:val="20"/>
          <w:rtl/>
        </w:rPr>
        <w:t>הנשים</w:t>
      </w:r>
      <w:r w:rsidRPr="003939EB">
        <w:rPr>
          <w:rFonts w:cs="Arial"/>
          <w:sz w:val="20"/>
          <w:szCs w:val="20"/>
          <w:rtl/>
        </w:rPr>
        <w:t xml:space="preserve"> </w:t>
      </w:r>
      <w:r w:rsidRPr="003939EB">
        <w:rPr>
          <w:rFonts w:cs="Arial" w:hint="cs"/>
          <w:sz w:val="20"/>
          <w:szCs w:val="20"/>
          <w:rtl/>
        </w:rPr>
        <w:t>בחזקת</w:t>
      </w:r>
      <w:r w:rsidRPr="003939EB">
        <w:rPr>
          <w:rFonts w:cs="Arial"/>
          <w:sz w:val="20"/>
          <w:szCs w:val="20"/>
          <w:rtl/>
        </w:rPr>
        <w:t xml:space="preserve"> </w:t>
      </w:r>
      <w:r w:rsidRPr="003939EB">
        <w:rPr>
          <w:rFonts w:cs="Arial" w:hint="cs"/>
          <w:sz w:val="20"/>
          <w:szCs w:val="20"/>
          <w:rtl/>
        </w:rPr>
        <w:t>טהרה</w:t>
      </w:r>
      <w:r w:rsidRPr="003939EB">
        <w:rPr>
          <w:rFonts w:cs="Arial"/>
          <w:sz w:val="20"/>
          <w:szCs w:val="20"/>
          <w:rtl/>
        </w:rPr>
        <w:t xml:space="preserve"> </w:t>
      </w:r>
      <w:r w:rsidRPr="003939EB">
        <w:rPr>
          <w:rFonts w:cs="Arial" w:hint="cs"/>
          <w:sz w:val="20"/>
          <w:szCs w:val="20"/>
          <w:rtl/>
        </w:rPr>
        <w:t>לבעליהן</w:t>
      </w:r>
      <w:r>
        <w:rPr>
          <w:rFonts w:cs="Arial" w:hint="cs"/>
          <w:sz w:val="20"/>
          <w:szCs w:val="20"/>
          <w:rtl/>
        </w:rPr>
        <w:t>..."</w:t>
      </w:r>
      <w:r>
        <w:rPr>
          <w:rFonts w:cs="Arial"/>
          <w:sz w:val="20"/>
          <w:szCs w:val="20"/>
          <w:rtl/>
        </w:rPr>
        <w:br/>
      </w:r>
      <w:r>
        <w:rPr>
          <w:rFonts w:cs="Arial" w:hint="cs"/>
          <w:b/>
          <w:bCs/>
          <w:sz w:val="20"/>
          <w:szCs w:val="20"/>
          <w:rtl/>
        </w:rPr>
        <w:t xml:space="preserve">גמרא </w:t>
      </w:r>
      <w:r>
        <w:rPr>
          <w:rFonts w:cs="Arial" w:hint="cs"/>
          <w:sz w:val="20"/>
          <w:szCs w:val="20"/>
          <w:rtl/>
        </w:rPr>
        <w:t>"</w:t>
      </w:r>
      <w:r w:rsidRPr="003939EB">
        <w:rPr>
          <w:rFonts w:cs="Arial" w:hint="cs"/>
          <w:sz w:val="20"/>
          <w:szCs w:val="20"/>
          <w:rtl/>
        </w:rPr>
        <w:t>אמר</w:t>
      </w:r>
      <w:r w:rsidRPr="003939EB">
        <w:rPr>
          <w:rFonts w:cs="Arial"/>
          <w:sz w:val="20"/>
          <w:szCs w:val="20"/>
          <w:rtl/>
        </w:rPr>
        <w:t xml:space="preserve"> </w:t>
      </w:r>
      <w:r w:rsidRPr="003939EB">
        <w:rPr>
          <w:rFonts w:cs="Arial" w:hint="cs"/>
          <w:sz w:val="20"/>
          <w:szCs w:val="20"/>
          <w:rtl/>
        </w:rPr>
        <w:t>ריש</w:t>
      </w:r>
      <w:r w:rsidRPr="003939EB">
        <w:rPr>
          <w:rFonts w:cs="Arial"/>
          <w:sz w:val="20"/>
          <w:szCs w:val="20"/>
          <w:rtl/>
        </w:rPr>
        <w:t xml:space="preserve"> </w:t>
      </w:r>
      <w:r w:rsidRPr="003939EB">
        <w:rPr>
          <w:rFonts w:cs="Arial" w:hint="cs"/>
          <w:sz w:val="20"/>
          <w:szCs w:val="20"/>
          <w:rtl/>
        </w:rPr>
        <w:t>לקיש</w:t>
      </w:r>
      <w:r w:rsidRPr="003939EB">
        <w:rPr>
          <w:rFonts w:cs="Arial"/>
          <w:sz w:val="20"/>
          <w:szCs w:val="20"/>
          <w:rtl/>
        </w:rPr>
        <w:t xml:space="preserve"> </w:t>
      </w:r>
      <w:r w:rsidRPr="003939EB">
        <w:rPr>
          <w:rFonts w:cs="Arial" w:hint="cs"/>
          <w:sz w:val="20"/>
          <w:szCs w:val="20"/>
          <w:rtl/>
        </w:rPr>
        <w:t>משום</w:t>
      </w:r>
      <w:r w:rsidRPr="003939EB">
        <w:rPr>
          <w:rFonts w:cs="Arial"/>
          <w:sz w:val="20"/>
          <w:szCs w:val="20"/>
          <w:rtl/>
        </w:rPr>
        <w:t xml:space="preserve"> </w:t>
      </w:r>
      <w:r w:rsidRPr="003939EB">
        <w:rPr>
          <w:rFonts w:cs="Arial" w:hint="cs"/>
          <w:sz w:val="20"/>
          <w:szCs w:val="20"/>
          <w:rtl/>
        </w:rPr>
        <w:t>רבי</w:t>
      </w:r>
      <w:r w:rsidRPr="003939EB">
        <w:rPr>
          <w:rFonts w:cs="Arial"/>
          <w:sz w:val="20"/>
          <w:szCs w:val="20"/>
          <w:rtl/>
        </w:rPr>
        <w:t xml:space="preserve"> </w:t>
      </w:r>
      <w:r w:rsidRPr="003939EB">
        <w:rPr>
          <w:rFonts w:cs="Arial" w:hint="cs"/>
          <w:sz w:val="20"/>
          <w:szCs w:val="20"/>
          <w:rtl/>
        </w:rPr>
        <w:t>יהודה</w:t>
      </w:r>
      <w:r w:rsidRPr="003939EB">
        <w:rPr>
          <w:rFonts w:cs="Arial"/>
          <w:sz w:val="20"/>
          <w:szCs w:val="20"/>
          <w:rtl/>
        </w:rPr>
        <w:t xml:space="preserve"> </w:t>
      </w:r>
      <w:r w:rsidRPr="003939EB">
        <w:rPr>
          <w:rFonts w:cs="Arial" w:hint="cs"/>
          <w:sz w:val="20"/>
          <w:szCs w:val="20"/>
          <w:rtl/>
        </w:rPr>
        <w:t>נשיאה</w:t>
      </w:r>
      <w:r w:rsidRPr="003939EB">
        <w:rPr>
          <w:rFonts w:cs="Arial"/>
          <w:sz w:val="20"/>
          <w:szCs w:val="20"/>
          <w:rtl/>
        </w:rPr>
        <w:t xml:space="preserve">: </w:t>
      </w:r>
      <w:r w:rsidRPr="003939EB">
        <w:rPr>
          <w:rFonts w:cs="Arial" w:hint="cs"/>
          <w:sz w:val="20"/>
          <w:szCs w:val="20"/>
          <w:rtl/>
        </w:rPr>
        <w:t>והוא</w:t>
      </w:r>
      <w:r w:rsidRPr="003939EB">
        <w:rPr>
          <w:rFonts w:cs="Arial"/>
          <w:sz w:val="20"/>
          <w:szCs w:val="20"/>
          <w:rtl/>
        </w:rPr>
        <w:t xml:space="preserve"> </w:t>
      </w:r>
      <w:r w:rsidRPr="003939EB">
        <w:rPr>
          <w:rFonts w:cs="Arial" w:hint="cs"/>
          <w:sz w:val="20"/>
          <w:szCs w:val="20"/>
          <w:rtl/>
        </w:rPr>
        <w:t>שבא</w:t>
      </w:r>
      <w:r w:rsidRPr="003939EB">
        <w:rPr>
          <w:rFonts w:cs="Arial"/>
          <w:sz w:val="20"/>
          <w:szCs w:val="20"/>
          <w:rtl/>
        </w:rPr>
        <w:t xml:space="preserve"> </w:t>
      </w:r>
      <w:r w:rsidRPr="003939EB">
        <w:rPr>
          <w:rFonts w:cs="Arial" w:hint="cs"/>
          <w:sz w:val="20"/>
          <w:szCs w:val="20"/>
          <w:rtl/>
        </w:rPr>
        <w:t>ומצאה</w:t>
      </w:r>
      <w:r w:rsidRPr="003939EB">
        <w:rPr>
          <w:rFonts w:cs="Arial"/>
          <w:sz w:val="20"/>
          <w:szCs w:val="20"/>
          <w:rtl/>
        </w:rPr>
        <w:t xml:space="preserve"> </w:t>
      </w:r>
      <w:r w:rsidRPr="003939EB">
        <w:rPr>
          <w:rFonts w:cs="Arial" w:hint="cs"/>
          <w:sz w:val="20"/>
          <w:szCs w:val="20"/>
          <w:rtl/>
        </w:rPr>
        <w:t>בתוך</w:t>
      </w:r>
      <w:r w:rsidRPr="003939EB">
        <w:rPr>
          <w:rFonts w:cs="Arial"/>
          <w:sz w:val="20"/>
          <w:szCs w:val="20"/>
          <w:rtl/>
        </w:rPr>
        <w:t xml:space="preserve"> </w:t>
      </w:r>
      <w:r w:rsidRPr="003939EB">
        <w:rPr>
          <w:rFonts w:cs="Arial" w:hint="cs"/>
          <w:sz w:val="20"/>
          <w:szCs w:val="20"/>
          <w:rtl/>
        </w:rPr>
        <w:t>ימי</w:t>
      </w:r>
      <w:r w:rsidRPr="003939EB">
        <w:rPr>
          <w:rFonts w:cs="Arial"/>
          <w:sz w:val="20"/>
          <w:szCs w:val="20"/>
          <w:rtl/>
        </w:rPr>
        <w:t xml:space="preserve"> </w:t>
      </w:r>
      <w:r w:rsidRPr="003939EB">
        <w:rPr>
          <w:rFonts w:cs="Arial" w:hint="cs"/>
          <w:sz w:val="20"/>
          <w:szCs w:val="20"/>
          <w:rtl/>
        </w:rPr>
        <w:t>עונתה</w:t>
      </w:r>
      <w:r>
        <w:rPr>
          <w:rFonts w:cs="Arial" w:hint="cs"/>
          <w:sz w:val="20"/>
          <w:szCs w:val="20"/>
          <w:rtl/>
        </w:rPr>
        <w:t xml:space="preserve">... </w:t>
      </w:r>
      <w:r w:rsidRPr="007F13CC">
        <w:rPr>
          <w:rFonts w:cs="Arial" w:hint="cs"/>
          <w:sz w:val="20"/>
          <w:szCs w:val="20"/>
          <w:rtl/>
        </w:rPr>
        <w:t>אמר</w:t>
      </w:r>
      <w:r w:rsidRPr="007F13CC">
        <w:rPr>
          <w:rFonts w:cs="Arial"/>
          <w:sz w:val="20"/>
          <w:szCs w:val="20"/>
          <w:rtl/>
        </w:rPr>
        <w:t xml:space="preserve"> </w:t>
      </w:r>
      <w:r w:rsidRPr="007F13CC">
        <w:rPr>
          <w:rFonts w:cs="Arial" w:hint="cs"/>
          <w:sz w:val="20"/>
          <w:szCs w:val="20"/>
          <w:rtl/>
        </w:rPr>
        <w:t>רב</w:t>
      </w:r>
      <w:r w:rsidRPr="007F13CC">
        <w:rPr>
          <w:rFonts w:cs="Arial"/>
          <w:sz w:val="20"/>
          <w:szCs w:val="20"/>
          <w:rtl/>
        </w:rPr>
        <w:t xml:space="preserve"> </w:t>
      </w:r>
      <w:r w:rsidRPr="007F13CC">
        <w:rPr>
          <w:rFonts w:cs="Arial" w:hint="cs"/>
          <w:sz w:val="20"/>
          <w:szCs w:val="20"/>
          <w:rtl/>
        </w:rPr>
        <w:t>הונא</w:t>
      </w:r>
      <w:r w:rsidRPr="007F13CC">
        <w:rPr>
          <w:rFonts w:cs="Arial"/>
          <w:sz w:val="20"/>
          <w:szCs w:val="20"/>
          <w:rtl/>
        </w:rPr>
        <w:t xml:space="preserve">: </w:t>
      </w:r>
      <w:r w:rsidRPr="007F13CC">
        <w:rPr>
          <w:rFonts w:cs="Arial" w:hint="cs"/>
          <w:sz w:val="20"/>
          <w:szCs w:val="20"/>
          <w:rtl/>
        </w:rPr>
        <w:t>ל</w:t>
      </w:r>
      <w:r>
        <w:rPr>
          <w:rFonts w:cs="Arial" w:hint="cs"/>
          <w:sz w:val="20"/>
          <w:szCs w:val="20"/>
          <w:rtl/>
        </w:rPr>
        <w:t>א שנו</w:t>
      </w:r>
      <w:r w:rsidRPr="007F13CC">
        <w:rPr>
          <w:rFonts w:cs="Arial"/>
          <w:sz w:val="20"/>
          <w:szCs w:val="20"/>
          <w:rtl/>
        </w:rPr>
        <w:t xml:space="preserve"> </w:t>
      </w:r>
      <w:r w:rsidRPr="007F13CC">
        <w:rPr>
          <w:rFonts w:cs="Arial" w:hint="cs"/>
          <w:sz w:val="20"/>
          <w:szCs w:val="20"/>
          <w:rtl/>
        </w:rPr>
        <w:t>אלא</w:t>
      </w:r>
      <w:r w:rsidRPr="007F13CC">
        <w:rPr>
          <w:rFonts w:cs="Arial"/>
          <w:sz w:val="20"/>
          <w:szCs w:val="20"/>
          <w:rtl/>
        </w:rPr>
        <w:t xml:space="preserve"> </w:t>
      </w:r>
      <w:r w:rsidRPr="007F13CC">
        <w:rPr>
          <w:rFonts w:cs="Arial" w:hint="cs"/>
          <w:sz w:val="20"/>
          <w:szCs w:val="20"/>
          <w:rtl/>
        </w:rPr>
        <w:t>שלא</w:t>
      </w:r>
      <w:r w:rsidRPr="007F13CC">
        <w:rPr>
          <w:rFonts w:cs="Arial"/>
          <w:sz w:val="20"/>
          <w:szCs w:val="20"/>
          <w:rtl/>
        </w:rPr>
        <w:t xml:space="preserve"> </w:t>
      </w:r>
      <w:r w:rsidRPr="007F13CC">
        <w:rPr>
          <w:rFonts w:cs="Arial" w:hint="cs"/>
          <w:sz w:val="20"/>
          <w:szCs w:val="20"/>
          <w:rtl/>
        </w:rPr>
        <w:t>הגיע</w:t>
      </w:r>
      <w:r w:rsidRPr="007F13CC">
        <w:rPr>
          <w:rFonts w:cs="Arial"/>
          <w:sz w:val="20"/>
          <w:szCs w:val="20"/>
          <w:rtl/>
        </w:rPr>
        <w:t xml:space="preserve"> </w:t>
      </w:r>
      <w:r w:rsidRPr="007F13CC">
        <w:rPr>
          <w:rFonts w:cs="Arial" w:hint="cs"/>
          <w:sz w:val="20"/>
          <w:szCs w:val="20"/>
          <w:rtl/>
        </w:rPr>
        <w:t>שעת</w:t>
      </w:r>
      <w:r w:rsidRPr="007F13CC">
        <w:rPr>
          <w:rFonts w:cs="Arial"/>
          <w:sz w:val="20"/>
          <w:szCs w:val="20"/>
          <w:rtl/>
        </w:rPr>
        <w:t xml:space="preserve"> </w:t>
      </w:r>
      <w:r w:rsidRPr="007F13CC">
        <w:rPr>
          <w:rFonts w:cs="Arial" w:hint="cs"/>
          <w:sz w:val="20"/>
          <w:szCs w:val="20"/>
          <w:rtl/>
        </w:rPr>
        <w:t>וסתה</w:t>
      </w:r>
      <w:r w:rsidRPr="007F13CC">
        <w:rPr>
          <w:rFonts w:cs="Arial"/>
          <w:sz w:val="20"/>
          <w:szCs w:val="20"/>
          <w:rtl/>
        </w:rPr>
        <w:t xml:space="preserve">, </w:t>
      </w:r>
      <w:r w:rsidRPr="007F13CC">
        <w:rPr>
          <w:rFonts w:cs="Arial" w:hint="cs"/>
          <w:sz w:val="20"/>
          <w:szCs w:val="20"/>
          <w:rtl/>
        </w:rPr>
        <w:t>אבל</w:t>
      </w:r>
      <w:r w:rsidRPr="007F13CC">
        <w:rPr>
          <w:rFonts w:cs="Arial"/>
          <w:sz w:val="20"/>
          <w:szCs w:val="20"/>
          <w:rtl/>
        </w:rPr>
        <w:t xml:space="preserve"> </w:t>
      </w:r>
      <w:r w:rsidRPr="007F13CC">
        <w:rPr>
          <w:rFonts w:cs="Arial" w:hint="cs"/>
          <w:sz w:val="20"/>
          <w:szCs w:val="20"/>
          <w:rtl/>
        </w:rPr>
        <w:t>הגיע</w:t>
      </w:r>
      <w:r w:rsidRPr="007F13CC">
        <w:rPr>
          <w:rFonts w:cs="Arial"/>
          <w:sz w:val="20"/>
          <w:szCs w:val="20"/>
          <w:rtl/>
        </w:rPr>
        <w:t xml:space="preserve"> </w:t>
      </w:r>
      <w:r w:rsidRPr="007F13CC">
        <w:rPr>
          <w:rFonts w:cs="Arial" w:hint="cs"/>
          <w:sz w:val="20"/>
          <w:szCs w:val="20"/>
          <w:rtl/>
        </w:rPr>
        <w:t>שעת</w:t>
      </w:r>
      <w:r w:rsidRPr="007F13CC">
        <w:rPr>
          <w:rFonts w:cs="Arial"/>
          <w:sz w:val="20"/>
          <w:szCs w:val="20"/>
          <w:rtl/>
        </w:rPr>
        <w:t xml:space="preserve"> </w:t>
      </w:r>
      <w:r w:rsidRPr="007F13CC">
        <w:rPr>
          <w:rFonts w:cs="Arial" w:hint="cs"/>
          <w:sz w:val="20"/>
          <w:szCs w:val="20"/>
          <w:rtl/>
        </w:rPr>
        <w:t>וסתה</w:t>
      </w:r>
      <w:r w:rsidRPr="007F13CC">
        <w:rPr>
          <w:rFonts w:cs="Arial"/>
          <w:sz w:val="20"/>
          <w:szCs w:val="20"/>
          <w:rtl/>
        </w:rPr>
        <w:t xml:space="preserve"> - </w:t>
      </w:r>
      <w:r w:rsidRPr="007F13CC">
        <w:rPr>
          <w:rFonts w:cs="Arial" w:hint="cs"/>
          <w:sz w:val="20"/>
          <w:szCs w:val="20"/>
          <w:rtl/>
        </w:rPr>
        <w:t>אסורה</w:t>
      </w:r>
      <w:r>
        <w:rPr>
          <w:rFonts w:hint="cs"/>
          <w:sz w:val="20"/>
          <w:szCs w:val="20"/>
          <w:rtl/>
        </w:rPr>
        <w:t>".</w:t>
      </w:r>
    </w:p>
    <w:p w:rsidR="00620060" w:rsidRPr="008A5A04" w:rsidRDefault="00620060" w:rsidP="00620060">
      <w:pPr>
        <w:rPr>
          <w:sz w:val="20"/>
          <w:szCs w:val="20"/>
          <w:rtl/>
        </w:rPr>
      </w:pPr>
      <w:r w:rsidRPr="00246245">
        <w:rPr>
          <w:rFonts w:hint="cs"/>
          <w:b/>
          <w:bCs/>
          <w:sz w:val="20"/>
          <w:szCs w:val="20"/>
          <w:rtl/>
        </w:rPr>
        <w:t>כמה זמן היא עונה</w:t>
      </w:r>
      <w:r>
        <w:rPr>
          <w:sz w:val="20"/>
          <w:szCs w:val="20"/>
          <w:u w:val="single"/>
          <w:rtl/>
        </w:rPr>
        <w:br/>
      </w:r>
      <w:r w:rsidRPr="008A5A04">
        <w:rPr>
          <w:rFonts w:hint="cs"/>
          <w:b/>
          <w:bCs/>
          <w:sz w:val="20"/>
          <w:szCs w:val="20"/>
          <w:rtl/>
        </w:rPr>
        <w:t xml:space="preserve">גמרא </w:t>
      </w:r>
      <w:r>
        <w:rPr>
          <w:rFonts w:hint="cs"/>
          <w:sz w:val="20"/>
          <w:szCs w:val="20"/>
          <w:rtl/>
        </w:rPr>
        <w:t>שם (ט:) "</w:t>
      </w:r>
      <w:r w:rsidRPr="008A5A04">
        <w:rPr>
          <w:rFonts w:cs="Arial" w:hint="cs"/>
          <w:sz w:val="20"/>
          <w:szCs w:val="20"/>
          <w:rtl/>
        </w:rPr>
        <w:t>וכמה</w:t>
      </w:r>
      <w:r w:rsidRPr="008A5A04">
        <w:rPr>
          <w:rFonts w:cs="Arial"/>
          <w:sz w:val="20"/>
          <w:szCs w:val="20"/>
          <w:rtl/>
        </w:rPr>
        <w:t xml:space="preserve"> </w:t>
      </w:r>
      <w:r w:rsidRPr="008A5A04">
        <w:rPr>
          <w:rFonts w:cs="Arial" w:hint="cs"/>
          <w:sz w:val="20"/>
          <w:szCs w:val="20"/>
          <w:rtl/>
        </w:rPr>
        <w:t>עונה</w:t>
      </w:r>
      <w:r w:rsidRPr="008A5A04">
        <w:rPr>
          <w:rFonts w:cs="Arial"/>
          <w:sz w:val="20"/>
          <w:szCs w:val="20"/>
          <w:rtl/>
        </w:rPr>
        <w:t xml:space="preserve">? </w:t>
      </w:r>
      <w:r w:rsidRPr="008A5A04">
        <w:rPr>
          <w:rFonts w:cs="Arial" w:hint="cs"/>
          <w:sz w:val="20"/>
          <w:szCs w:val="20"/>
          <w:rtl/>
        </w:rPr>
        <w:t>אמר</w:t>
      </w:r>
      <w:r w:rsidRPr="008A5A04">
        <w:rPr>
          <w:rFonts w:cs="Arial"/>
          <w:sz w:val="20"/>
          <w:szCs w:val="20"/>
          <w:rtl/>
        </w:rPr>
        <w:t xml:space="preserve"> </w:t>
      </w:r>
      <w:r w:rsidRPr="008A5A04">
        <w:rPr>
          <w:rFonts w:cs="Arial" w:hint="cs"/>
          <w:sz w:val="20"/>
          <w:szCs w:val="20"/>
          <w:rtl/>
        </w:rPr>
        <w:t>ריש</w:t>
      </w:r>
      <w:r w:rsidRPr="008A5A04">
        <w:rPr>
          <w:rFonts w:cs="Arial"/>
          <w:sz w:val="20"/>
          <w:szCs w:val="20"/>
          <w:rtl/>
        </w:rPr>
        <w:t xml:space="preserve"> </w:t>
      </w:r>
      <w:r w:rsidRPr="008A5A04">
        <w:rPr>
          <w:rFonts w:cs="Arial" w:hint="cs"/>
          <w:sz w:val="20"/>
          <w:szCs w:val="20"/>
          <w:rtl/>
        </w:rPr>
        <w:t>לקיש</w:t>
      </w:r>
      <w:r w:rsidRPr="008A5A04">
        <w:rPr>
          <w:rFonts w:cs="Arial"/>
          <w:sz w:val="20"/>
          <w:szCs w:val="20"/>
          <w:rtl/>
        </w:rPr>
        <w:t xml:space="preserve"> </w:t>
      </w:r>
      <w:r w:rsidRPr="008A5A04">
        <w:rPr>
          <w:rFonts w:cs="Arial" w:hint="cs"/>
          <w:sz w:val="20"/>
          <w:szCs w:val="20"/>
          <w:rtl/>
        </w:rPr>
        <w:t>משום</w:t>
      </w:r>
      <w:r w:rsidRPr="008A5A04">
        <w:rPr>
          <w:rFonts w:cs="Arial"/>
          <w:sz w:val="20"/>
          <w:szCs w:val="20"/>
          <w:rtl/>
        </w:rPr>
        <w:t xml:space="preserve"> </w:t>
      </w:r>
      <w:r w:rsidRPr="008A5A04">
        <w:rPr>
          <w:rFonts w:cs="Arial" w:hint="cs"/>
          <w:sz w:val="20"/>
          <w:szCs w:val="20"/>
          <w:rtl/>
        </w:rPr>
        <w:t>רבי</w:t>
      </w:r>
      <w:r w:rsidRPr="008A5A04">
        <w:rPr>
          <w:rFonts w:cs="Arial"/>
          <w:sz w:val="20"/>
          <w:szCs w:val="20"/>
          <w:rtl/>
        </w:rPr>
        <w:t xml:space="preserve"> </w:t>
      </w:r>
      <w:r w:rsidRPr="008A5A04">
        <w:rPr>
          <w:rFonts w:cs="Arial" w:hint="cs"/>
          <w:sz w:val="20"/>
          <w:szCs w:val="20"/>
          <w:rtl/>
        </w:rPr>
        <w:t>יהודה</w:t>
      </w:r>
      <w:r w:rsidRPr="008A5A04">
        <w:rPr>
          <w:rFonts w:cs="Arial"/>
          <w:sz w:val="20"/>
          <w:szCs w:val="20"/>
          <w:rtl/>
        </w:rPr>
        <w:t xml:space="preserve"> </w:t>
      </w:r>
      <w:r w:rsidRPr="008A5A04">
        <w:rPr>
          <w:rFonts w:cs="Arial" w:hint="cs"/>
          <w:sz w:val="20"/>
          <w:szCs w:val="20"/>
          <w:rtl/>
        </w:rPr>
        <w:t>נשיאה</w:t>
      </w:r>
      <w:r w:rsidRPr="008A5A04">
        <w:rPr>
          <w:rFonts w:cs="Arial"/>
          <w:sz w:val="20"/>
          <w:szCs w:val="20"/>
          <w:rtl/>
        </w:rPr>
        <w:t xml:space="preserve">: </w:t>
      </w:r>
      <w:r w:rsidRPr="008A5A04">
        <w:rPr>
          <w:rFonts w:cs="Arial" w:hint="cs"/>
          <w:sz w:val="20"/>
          <w:szCs w:val="20"/>
          <w:rtl/>
        </w:rPr>
        <w:t>עונה</w:t>
      </w:r>
      <w:r w:rsidRPr="008A5A04">
        <w:rPr>
          <w:rFonts w:cs="Arial"/>
          <w:sz w:val="20"/>
          <w:szCs w:val="20"/>
          <w:rtl/>
        </w:rPr>
        <w:t xml:space="preserve"> </w:t>
      </w:r>
      <w:r w:rsidRPr="008A5A04">
        <w:rPr>
          <w:rFonts w:cs="Arial" w:hint="cs"/>
          <w:sz w:val="20"/>
          <w:szCs w:val="20"/>
          <w:rtl/>
        </w:rPr>
        <w:t>בינונית</w:t>
      </w:r>
      <w:r w:rsidRPr="008A5A04">
        <w:rPr>
          <w:rFonts w:cs="Arial"/>
          <w:sz w:val="20"/>
          <w:szCs w:val="20"/>
          <w:rtl/>
        </w:rPr>
        <w:t xml:space="preserve">, </w:t>
      </w:r>
      <w:r w:rsidRPr="008A5A04">
        <w:rPr>
          <w:rFonts w:cs="Arial" w:hint="cs"/>
          <w:sz w:val="20"/>
          <w:szCs w:val="20"/>
          <w:rtl/>
        </w:rPr>
        <w:t>שלשים</w:t>
      </w:r>
      <w:r w:rsidRPr="008A5A04">
        <w:rPr>
          <w:rFonts w:cs="Arial"/>
          <w:sz w:val="20"/>
          <w:szCs w:val="20"/>
          <w:rtl/>
        </w:rPr>
        <w:t xml:space="preserve"> </w:t>
      </w:r>
      <w:r w:rsidRPr="008A5A04">
        <w:rPr>
          <w:rFonts w:cs="Arial" w:hint="cs"/>
          <w:sz w:val="20"/>
          <w:szCs w:val="20"/>
          <w:rtl/>
        </w:rPr>
        <w:t>יום</w:t>
      </w:r>
      <w:r>
        <w:rPr>
          <w:rFonts w:cs="Arial" w:hint="cs"/>
          <w:sz w:val="20"/>
          <w:szCs w:val="20"/>
          <w:rtl/>
        </w:rPr>
        <w:t>".</w:t>
      </w:r>
    </w:p>
    <w:p w:rsidR="00620060" w:rsidRDefault="00620060" w:rsidP="00620060">
      <w:pPr>
        <w:rPr>
          <w:sz w:val="20"/>
          <w:szCs w:val="20"/>
          <w:rtl/>
        </w:rPr>
      </w:pPr>
      <w:r w:rsidRPr="00246245">
        <w:rPr>
          <w:rFonts w:hint="cs"/>
          <w:b/>
          <w:bCs/>
          <w:sz w:val="20"/>
          <w:szCs w:val="20"/>
          <w:rtl/>
        </w:rPr>
        <w:t>שיטות הראשונים</w:t>
      </w:r>
      <w:r>
        <w:rPr>
          <w:sz w:val="20"/>
          <w:szCs w:val="20"/>
          <w:u w:val="single"/>
          <w:rtl/>
        </w:rPr>
        <w:br/>
      </w:r>
      <w:r>
        <w:rPr>
          <w:rFonts w:hint="cs"/>
          <w:sz w:val="20"/>
          <w:szCs w:val="20"/>
          <w:rtl/>
        </w:rPr>
        <w:t xml:space="preserve">א. </w:t>
      </w:r>
      <w:r w:rsidRPr="008A5A04">
        <w:rPr>
          <w:rFonts w:hint="cs"/>
          <w:b/>
          <w:bCs/>
          <w:sz w:val="20"/>
          <w:szCs w:val="20"/>
          <w:rtl/>
        </w:rPr>
        <w:t>רש"י</w:t>
      </w:r>
      <w:r>
        <w:rPr>
          <w:rFonts w:hint="cs"/>
          <w:sz w:val="20"/>
          <w:szCs w:val="20"/>
          <w:rtl/>
        </w:rPr>
        <w:t xml:space="preserve"> </w:t>
      </w:r>
      <w:r>
        <w:rPr>
          <w:sz w:val="20"/>
          <w:szCs w:val="20"/>
          <w:rtl/>
        </w:rPr>
        <w:t>–</w:t>
      </w:r>
      <w:r>
        <w:rPr>
          <w:rFonts w:hint="cs"/>
          <w:sz w:val="20"/>
          <w:szCs w:val="20"/>
          <w:rtl/>
        </w:rPr>
        <w:t xml:space="preserve"> גם אשה שיש לה ווסת חוששת לעונה בינונית.</w:t>
      </w:r>
      <w:r>
        <w:rPr>
          <w:rStyle w:val="a5"/>
          <w:sz w:val="20"/>
          <w:szCs w:val="20"/>
          <w:rtl/>
        </w:rPr>
        <w:footnoteReference w:id="168"/>
      </w:r>
      <w:r>
        <w:rPr>
          <w:sz w:val="20"/>
          <w:szCs w:val="20"/>
          <w:rtl/>
        </w:rPr>
        <w:br/>
      </w:r>
      <w:r>
        <w:rPr>
          <w:rFonts w:hint="cs"/>
          <w:sz w:val="20"/>
          <w:szCs w:val="20"/>
          <w:rtl/>
        </w:rPr>
        <w:t xml:space="preserve">ב. </w:t>
      </w:r>
      <w:r w:rsidRPr="003F3AA2">
        <w:rPr>
          <w:rFonts w:hint="cs"/>
          <w:b/>
          <w:bCs/>
          <w:sz w:val="20"/>
          <w:szCs w:val="20"/>
          <w:rtl/>
        </w:rPr>
        <w:t>ר"ן</w:t>
      </w:r>
      <w:r>
        <w:rPr>
          <w:rFonts w:hint="cs"/>
          <w:sz w:val="20"/>
          <w:szCs w:val="20"/>
          <w:rtl/>
        </w:rPr>
        <w:t xml:space="preserve"> </w:t>
      </w:r>
      <w:r>
        <w:rPr>
          <w:sz w:val="20"/>
          <w:szCs w:val="20"/>
          <w:rtl/>
        </w:rPr>
        <w:t>–</w:t>
      </w:r>
      <w:r>
        <w:rPr>
          <w:rFonts w:hint="cs"/>
          <w:sz w:val="20"/>
          <w:szCs w:val="20"/>
          <w:rtl/>
        </w:rPr>
        <w:t xml:space="preserve"> רק אשה שאין לה ווסת חוששת לעונה בינונית, וכ"פ </w:t>
      </w:r>
      <w:r w:rsidRPr="003F3AA2">
        <w:rPr>
          <w:rFonts w:hint="cs"/>
          <w:b/>
          <w:bCs/>
          <w:sz w:val="20"/>
          <w:szCs w:val="20"/>
          <w:rtl/>
        </w:rPr>
        <w:t>המחבר</w:t>
      </w:r>
      <w:r>
        <w:rPr>
          <w:rFonts w:hint="cs"/>
          <w:sz w:val="20"/>
          <w:szCs w:val="20"/>
          <w:rtl/>
        </w:rPr>
        <w:t>.</w:t>
      </w:r>
      <w:r>
        <w:rPr>
          <w:rStyle w:val="a5"/>
          <w:sz w:val="20"/>
          <w:szCs w:val="20"/>
          <w:rtl/>
        </w:rPr>
        <w:footnoteReference w:id="169"/>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A36DF7">
        <w:rPr>
          <w:rFonts w:cs="Arial" w:hint="cs"/>
          <w:sz w:val="20"/>
          <w:szCs w:val="20"/>
          <w:rtl/>
        </w:rPr>
        <w:t>כל</w:t>
      </w:r>
      <w:r w:rsidRPr="00A36DF7">
        <w:rPr>
          <w:rFonts w:cs="Arial"/>
          <w:sz w:val="20"/>
          <w:szCs w:val="20"/>
          <w:rtl/>
        </w:rPr>
        <w:t xml:space="preserve"> </w:t>
      </w:r>
      <w:r w:rsidRPr="00A36DF7">
        <w:rPr>
          <w:rFonts w:cs="Arial" w:hint="cs"/>
          <w:sz w:val="20"/>
          <w:szCs w:val="20"/>
          <w:rtl/>
        </w:rPr>
        <w:t>אשה</w:t>
      </w:r>
      <w:r w:rsidRPr="00A36DF7">
        <w:rPr>
          <w:rFonts w:cs="Arial"/>
          <w:sz w:val="20"/>
          <w:szCs w:val="20"/>
          <w:rtl/>
        </w:rPr>
        <w:t xml:space="preserve"> </w:t>
      </w:r>
      <w:r w:rsidRPr="00A36DF7">
        <w:rPr>
          <w:rFonts w:cs="Arial" w:hint="cs"/>
          <w:sz w:val="20"/>
          <w:szCs w:val="20"/>
          <w:rtl/>
        </w:rPr>
        <w:t>שאין</w:t>
      </w:r>
      <w:r w:rsidRPr="00A36DF7">
        <w:rPr>
          <w:rFonts w:cs="Arial"/>
          <w:sz w:val="20"/>
          <w:szCs w:val="20"/>
          <w:rtl/>
        </w:rPr>
        <w:t xml:space="preserve"> </w:t>
      </w:r>
      <w:r w:rsidRPr="00A36DF7">
        <w:rPr>
          <w:rFonts w:cs="Arial" w:hint="cs"/>
          <w:sz w:val="20"/>
          <w:szCs w:val="20"/>
          <w:rtl/>
        </w:rPr>
        <w:t>לה</w:t>
      </w:r>
      <w:r w:rsidRPr="00A36DF7">
        <w:rPr>
          <w:rFonts w:cs="Arial"/>
          <w:sz w:val="20"/>
          <w:szCs w:val="20"/>
          <w:rtl/>
        </w:rPr>
        <w:t xml:space="preserve"> </w:t>
      </w:r>
      <w:r w:rsidRPr="00A36DF7">
        <w:rPr>
          <w:rFonts w:cs="Arial" w:hint="cs"/>
          <w:sz w:val="20"/>
          <w:szCs w:val="20"/>
          <w:rtl/>
        </w:rPr>
        <w:t>וסת</w:t>
      </w:r>
      <w:r w:rsidRPr="00A36DF7">
        <w:rPr>
          <w:rFonts w:cs="Arial"/>
          <w:sz w:val="20"/>
          <w:szCs w:val="20"/>
          <w:rtl/>
        </w:rPr>
        <w:t xml:space="preserve"> </w:t>
      </w:r>
      <w:r w:rsidRPr="00A36DF7">
        <w:rPr>
          <w:rFonts w:cs="Arial" w:hint="cs"/>
          <w:sz w:val="20"/>
          <w:szCs w:val="20"/>
          <w:rtl/>
        </w:rPr>
        <w:t>קבוע</w:t>
      </w:r>
      <w:r w:rsidRPr="00A36DF7">
        <w:rPr>
          <w:rFonts w:cs="Arial"/>
          <w:sz w:val="20"/>
          <w:szCs w:val="20"/>
          <w:rtl/>
        </w:rPr>
        <w:t xml:space="preserve">, </w:t>
      </w:r>
      <w:r w:rsidRPr="00A36DF7">
        <w:rPr>
          <w:rFonts w:cs="Arial" w:hint="cs"/>
          <w:sz w:val="20"/>
          <w:szCs w:val="20"/>
          <w:rtl/>
        </w:rPr>
        <w:t>חוששת</w:t>
      </w:r>
      <w:r w:rsidRPr="00A36DF7">
        <w:rPr>
          <w:rFonts w:cs="Arial"/>
          <w:sz w:val="20"/>
          <w:szCs w:val="20"/>
          <w:rtl/>
        </w:rPr>
        <w:t xml:space="preserve"> </w:t>
      </w:r>
      <w:r w:rsidRPr="00A36DF7">
        <w:rPr>
          <w:rFonts w:cs="Arial" w:hint="cs"/>
          <w:sz w:val="20"/>
          <w:szCs w:val="20"/>
          <w:rtl/>
        </w:rPr>
        <w:t>ליום</w:t>
      </w:r>
      <w:r w:rsidRPr="00A36DF7">
        <w:rPr>
          <w:rFonts w:cs="Arial"/>
          <w:sz w:val="20"/>
          <w:szCs w:val="20"/>
          <w:rtl/>
        </w:rPr>
        <w:t xml:space="preserve"> </w:t>
      </w:r>
      <w:r w:rsidRPr="00A36DF7">
        <w:rPr>
          <w:rFonts w:cs="Arial" w:hint="cs"/>
          <w:sz w:val="20"/>
          <w:szCs w:val="20"/>
          <w:rtl/>
        </w:rPr>
        <w:t>ל</w:t>
      </w:r>
      <w:r w:rsidRPr="00A36DF7">
        <w:rPr>
          <w:rFonts w:cs="Arial"/>
          <w:sz w:val="20"/>
          <w:szCs w:val="20"/>
          <w:rtl/>
        </w:rPr>
        <w:t xml:space="preserve">' </w:t>
      </w:r>
      <w:r w:rsidRPr="00A36DF7">
        <w:rPr>
          <w:rFonts w:cs="Arial" w:hint="cs"/>
          <w:sz w:val="20"/>
          <w:szCs w:val="20"/>
          <w:rtl/>
        </w:rPr>
        <w:t>לראייתה</w:t>
      </w:r>
      <w:r w:rsidRPr="00A36DF7">
        <w:rPr>
          <w:rFonts w:cs="Arial"/>
          <w:sz w:val="20"/>
          <w:szCs w:val="20"/>
          <w:rtl/>
        </w:rPr>
        <w:t xml:space="preserve">, </w:t>
      </w:r>
      <w:r w:rsidRPr="00A36DF7">
        <w:rPr>
          <w:rFonts w:cs="Arial" w:hint="cs"/>
          <w:sz w:val="20"/>
          <w:szCs w:val="20"/>
          <w:rtl/>
        </w:rPr>
        <w:t>שהוא</w:t>
      </w:r>
      <w:r w:rsidRPr="00A36DF7">
        <w:rPr>
          <w:rFonts w:cs="Arial"/>
          <w:sz w:val="20"/>
          <w:szCs w:val="20"/>
          <w:rtl/>
        </w:rPr>
        <w:t xml:space="preserve"> </w:t>
      </w:r>
      <w:r w:rsidRPr="00A36DF7">
        <w:rPr>
          <w:rFonts w:cs="Arial" w:hint="cs"/>
          <w:sz w:val="20"/>
          <w:szCs w:val="20"/>
          <w:rtl/>
        </w:rPr>
        <w:t>עונה</w:t>
      </w:r>
      <w:r w:rsidRPr="00A36DF7">
        <w:rPr>
          <w:rFonts w:cs="Arial"/>
          <w:sz w:val="20"/>
          <w:szCs w:val="20"/>
          <w:rtl/>
        </w:rPr>
        <w:t xml:space="preserve"> </w:t>
      </w:r>
      <w:r w:rsidRPr="00A36DF7">
        <w:rPr>
          <w:rFonts w:cs="Arial" w:hint="cs"/>
          <w:sz w:val="20"/>
          <w:szCs w:val="20"/>
          <w:rtl/>
        </w:rPr>
        <w:t>בינונית</w:t>
      </w:r>
      <w:r w:rsidRPr="00A36DF7">
        <w:rPr>
          <w:rFonts w:cs="Arial"/>
          <w:sz w:val="20"/>
          <w:szCs w:val="20"/>
          <w:rtl/>
        </w:rPr>
        <w:t xml:space="preserve"> </w:t>
      </w:r>
      <w:r w:rsidRPr="00A36DF7">
        <w:rPr>
          <w:rFonts w:cs="Arial" w:hint="cs"/>
          <w:sz w:val="20"/>
          <w:szCs w:val="20"/>
          <w:rtl/>
        </w:rPr>
        <w:t>לסתם</w:t>
      </w:r>
      <w:r w:rsidRPr="00A36DF7">
        <w:rPr>
          <w:rFonts w:cs="Arial"/>
          <w:sz w:val="20"/>
          <w:szCs w:val="20"/>
          <w:rtl/>
        </w:rPr>
        <w:t xml:space="preserve"> </w:t>
      </w:r>
      <w:r w:rsidRPr="00A36DF7">
        <w:rPr>
          <w:rFonts w:cs="Arial" w:hint="cs"/>
          <w:sz w:val="20"/>
          <w:szCs w:val="20"/>
          <w:rtl/>
        </w:rPr>
        <w:t>נשים</w:t>
      </w:r>
      <w:r w:rsidRPr="00A36DF7">
        <w:rPr>
          <w:rFonts w:cs="Arial"/>
          <w:sz w:val="20"/>
          <w:szCs w:val="20"/>
          <w:rtl/>
        </w:rPr>
        <w:t xml:space="preserve">, </w:t>
      </w:r>
      <w:r w:rsidRPr="00A36DF7">
        <w:rPr>
          <w:rFonts w:cs="Arial" w:hint="cs"/>
          <w:sz w:val="20"/>
          <w:szCs w:val="20"/>
          <w:rtl/>
        </w:rPr>
        <w:t>ואם</w:t>
      </w:r>
      <w:r w:rsidRPr="00A36DF7">
        <w:rPr>
          <w:rFonts w:cs="Arial"/>
          <w:sz w:val="20"/>
          <w:szCs w:val="20"/>
          <w:rtl/>
        </w:rPr>
        <w:t xml:space="preserve"> </w:t>
      </w:r>
      <w:r w:rsidRPr="00A36DF7">
        <w:rPr>
          <w:rFonts w:cs="Arial" w:hint="cs"/>
          <w:sz w:val="20"/>
          <w:szCs w:val="20"/>
          <w:rtl/>
        </w:rPr>
        <w:t>יש</w:t>
      </w:r>
      <w:r w:rsidRPr="00A36DF7">
        <w:rPr>
          <w:rFonts w:cs="Arial"/>
          <w:sz w:val="20"/>
          <w:szCs w:val="20"/>
          <w:rtl/>
        </w:rPr>
        <w:t xml:space="preserve"> </w:t>
      </w:r>
      <w:r w:rsidRPr="00A36DF7">
        <w:rPr>
          <w:rFonts w:cs="Arial" w:hint="cs"/>
          <w:sz w:val="20"/>
          <w:szCs w:val="20"/>
          <w:rtl/>
        </w:rPr>
        <w:t>לה</w:t>
      </w:r>
      <w:r w:rsidRPr="00A36DF7">
        <w:rPr>
          <w:rFonts w:cs="Arial"/>
          <w:sz w:val="20"/>
          <w:szCs w:val="20"/>
          <w:rtl/>
        </w:rPr>
        <w:t xml:space="preserve"> </w:t>
      </w:r>
      <w:r w:rsidRPr="00A36DF7">
        <w:rPr>
          <w:rFonts w:cs="Arial" w:hint="cs"/>
          <w:sz w:val="20"/>
          <w:szCs w:val="20"/>
          <w:rtl/>
        </w:rPr>
        <w:t>וסת</w:t>
      </w:r>
      <w:r w:rsidRPr="00A36DF7">
        <w:rPr>
          <w:rFonts w:cs="Arial"/>
          <w:sz w:val="20"/>
          <w:szCs w:val="20"/>
          <w:rtl/>
        </w:rPr>
        <w:t xml:space="preserve"> </w:t>
      </w:r>
      <w:r w:rsidRPr="00A36DF7">
        <w:rPr>
          <w:rFonts w:cs="Arial" w:hint="cs"/>
          <w:sz w:val="20"/>
          <w:szCs w:val="20"/>
          <w:rtl/>
        </w:rPr>
        <w:t>קבוע</w:t>
      </w:r>
      <w:r w:rsidRPr="00A36DF7">
        <w:rPr>
          <w:rFonts w:cs="Arial"/>
          <w:sz w:val="20"/>
          <w:szCs w:val="20"/>
          <w:rtl/>
        </w:rPr>
        <w:t xml:space="preserve"> </w:t>
      </w:r>
      <w:r w:rsidRPr="00A36DF7">
        <w:rPr>
          <w:rFonts w:cs="Arial" w:hint="cs"/>
          <w:sz w:val="20"/>
          <w:szCs w:val="20"/>
          <w:rtl/>
        </w:rPr>
        <w:t>לזמן</w:t>
      </w:r>
      <w:r w:rsidRPr="00A36DF7">
        <w:rPr>
          <w:rFonts w:cs="Arial"/>
          <w:sz w:val="20"/>
          <w:szCs w:val="20"/>
          <w:rtl/>
        </w:rPr>
        <w:t xml:space="preserve"> </w:t>
      </w:r>
      <w:r w:rsidRPr="00A36DF7">
        <w:rPr>
          <w:rFonts w:cs="Arial" w:hint="cs"/>
          <w:sz w:val="20"/>
          <w:szCs w:val="20"/>
          <w:rtl/>
        </w:rPr>
        <w:t>ידוע</w:t>
      </w:r>
      <w:r w:rsidRPr="00A36DF7">
        <w:rPr>
          <w:rFonts w:cs="Arial"/>
          <w:sz w:val="20"/>
          <w:szCs w:val="20"/>
          <w:rtl/>
        </w:rPr>
        <w:t xml:space="preserve"> </w:t>
      </w:r>
      <w:r w:rsidRPr="00A36DF7">
        <w:rPr>
          <w:rFonts w:cs="Arial" w:hint="cs"/>
          <w:sz w:val="20"/>
          <w:szCs w:val="20"/>
          <w:rtl/>
        </w:rPr>
        <w:t>מכ</w:t>
      </w:r>
      <w:r w:rsidRPr="00A36DF7">
        <w:rPr>
          <w:rFonts w:cs="Arial"/>
          <w:sz w:val="20"/>
          <w:szCs w:val="20"/>
          <w:rtl/>
        </w:rPr>
        <w:t xml:space="preserve">' </w:t>
      </w:r>
      <w:r w:rsidRPr="00A36DF7">
        <w:rPr>
          <w:rFonts w:cs="Arial" w:hint="cs"/>
          <w:sz w:val="20"/>
          <w:szCs w:val="20"/>
          <w:rtl/>
        </w:rPr>
        <w:t>לכ</w:t>
      </w:r>
      <w:r w:rsidRPr="00A36DF7">
        <w:rPr>
          <w:rFonts w:cs="Arial"/>
          <w:sz w:val="20"/>
          <w:szCs w:val="20"/>
          <w:rtl/>
        </w:rPr>
        <w:t xml:space="preserve">' </w:t>
      </w:r>
      <w:r w:rsidRPr="00A36DF7">
        <w:rPr>
          <w:rFonts w:cs="Arial" w:hint="cs"/>
          <w:sz w:val="20"/>
          <w:szCs w:val="20"/>
          <w:rtl/>
        </w:rPr>
        <w:t>או</w:t>
      </w:r>
      <w:r w:rsidRPr="00A36DF7">
        <w:rPr>
          <w:rFonts w:cs="Arial"/>
          <w:sz w:val="20"/>
          <w:szCs w:val="20"/>
          <w:rtl/>
        </w:rPr>
        <w:t xml:space="preserve"> </w:t>
      </w:r>
      <w:r w:rsidRPr="00A36DF7">
        <w:rPr>
          <w:rFonts w:cs="Arial" w:hint="cs"/>
          <w:sz w:val="20"/>
          <w:szCs w:val="20"/>
          <w:rtl/>
        </w:rPr>
        <w:t>מכ</w:t>
      </w:r>
      <w:r w:rsidRPr="00A36DF7">
        <w:rPr>
          <w:rFonts w:cs="Arial"/>
          <w:sz w:val="20"/>
          <w:szCs w:val="20"/>
          <w:rtl/>
        </w:rPr>
        <w:t>"</w:t>
      </w:r>
      <w:r w:rsidRPr="00A36DF7">
        <w:rPr>
          <w:rFonts w:cs="Arial" w:hint="cs"/>
          <w:sz w:val="20"/>
          <w:szCs w:val="20"/>
          <w:rtl/>
        </w:rPr>
        <w:t>ה</w:t>
      </w:r>
      <w:r w:rsidRPr="00A36DF7">
        <w:rPr>
          <w:rFonts w:cs="Arial"/>
          <w:sz w:val="20"/>
          <w:szCs w:val="20"/>
          <w:rtl/>
        </w:rPr>
        <w:t xml:space="preserve"> </w:t>
      </w:r>
      <w:r w:rsidRPr="00A36DF7">
        <w:rPr>
          <w:rFonts w:cs="Arial" w:hint="cs"/>
          <w:sz w:val="20"/>
          <w:szCs w:val="20"/>
          <w:rtl/>
        </w:rPr>
        <w:t>לכ</w:t>
      </w:r>
      <w:r w:rsidRPr="00A36DF7">
        <w:rPr>
          <w:rFonts w:cs="Arial"/>
          <w:sz w:val="20"/>
          <w:szCs w:val="20"/>
          <w:rtl/>
        </w:rPr>
        <w:t>"</w:t>
      </w:r>
      <w:r w:rsidRPr="00A36DF7">
        <w:rPr>
          <w:rFonts w:cs="Arial" w:hint="cs"/>
          <w:sz w:val="20"/>
          <w:szCs w:val="20"/>
          <w:rtl/>
        </w:rPr>
        <w:t>ה</w:t>
      </w:r>
      <w:r w:rsidRPr="00A36DF7">
        <w:rPr>
          <w:rFonts w:cs="Arial"/>
          <w:sz w:val="20"/>
          <w:szCs w:val="20"/>
          <w:rtl/>
        </w:rPr>
        <w:t xml:space="preserve">, </w:t>
      </w:r>
      <w:r w:rsidRPr="00A36DF7">
        <w:rPr>
          <w:rFonts w:cs="Arial" w:hint="cs"/>
          <w:sz w:val="20"/>
          <w:szCs w:val="20"/>
          <w:rtl/>
        </w:rPr>
        <w:t>חוששת</w:t>
      </w:r>
      <w:r w:rsidRPr="00A36DF7">
        <w:rPr>
          <w:rFonts w:cs="Arial"/>
          <w:sz w:val="20"/>
          <w:szCs w:val="20"/>
          <w:rtl/>
        </w:rPr>
        <w:t xml:space="preserve"> </w:t>
      </w:r>
      <w:r w:rsidRPr="00A36DF7">
        <w:rPr>
          <w:rFonts w:cs="Arial" w:hint="cs"/>
          <w:sz w:val="20"/>
          <w:szCs w:val="20"/>
          <w:rtl/>
        </w:rPr>
        <w:t>לזמן</w:t>
      </w:r>
      <w:r w:rsidRPr="00A36DF7">
        <w:rPr>
          <w:rFonts w:cs="Arial"/>
          <w:sz w:val="20"/>
          <w:szCs w:val="20"/>
          <w:rtl/>
        </w:rPr>
        <w:t xml:space="preserve"> </w:t>
      </w:r>
      <w:r w:rsidRPr="00A36DF7">
        <w:rPr>
          <w:rFonts w:cs="Arial" w:hint="cs"/>
          <w:sz w:val="20"/>
          <w:szCs w:val="20"/>
          <w:rtl/>
        </w:rPr>
        <w:t>הידוע</w:t>
      </w:r>
      <w:r>
        <w:rPr>
          <w:rFonts w:cs="Arial" w:hint="cs"/>
          <w:sz w:val="20"/>
          <w:szCs w:val="20"/>
          <w:rtl/>
        </w:rPr>
        <w:t>".</w:t>
      </w:r>
    </w:p>
    <w:p w:rsidR="00620060" w:rsidRDefault="00620060" w:rsidP="00620060">
      <w:pPr>
        <w:rPr>
          <w:sz w:val="20"/>
          <w:szCs w:val="20"/>
          <w:rtl/>
        </w:rPr>
      </w:pPr>
      <w:r w:rsidRPr="005445F3">
        <w:rPr>
          <w:rFonts w:hint="cs"/>
          <w:sz w:val="20"/>
          <w:szCs w:val="20"/>
          <w:u w:val="single"/>
          <w:rtl/>
        </w:rPr>
        <w:t>הסבר (ש"ך וט"ז)</w:t>
      </w:r>
      <w:r>
        <w:rPr>
          <w:sz w:val="20"/>
          <w:szCs w:val="20"/>
          <w:rtl/>
        </w:rPr>
        <w:br/>
      </w:r>
      <w:r>
        <w:rPr>
          <w:rFonts w:hint="cs"/>
          <w:sz w:val="20"/>
          <w:szCs w:val="20"/>
          <w:rtl/>
        </w:rPr>
        <w:t>א. בעלת ווסת קבוע אינה חוששת ליום ל' לראייתה, אלא רק לווסת עצמו.</w:t>
      </w:r>
      <w:r>
        <w:rPr>
          <w:sz w:val="20"/>
          <w:szCs w:val="20"/>
          <w:rtl/>
        </w:rPr>
        <w:br/>
      </w:r>
      <w:r>
        <w:rPr>
          <w:rFonts w:hint="cs"/>
          <w:sz w:val="20"/>
          <w:szCs w:val="20"/>
          <w:rtl/>
        </w:rPr>
        <w:t>ב. בעלת ווסת שאינו קבוע חוששת אף לווסת ההפלגה, יבואר בהמשך הסימן.</w:t>
      </w:r>
      <w:r>
        <w:rPr>
          <w:sz w:val="20"/>
          <w:szCs w:val="20"/>
          <w:rtl/>
        </w:rPr>
        <w:br/>
      </w:r>
      <w:r>
        <w:rPr>
          <w:rFonts w:hint="cs"/>
          <w:sz w:val="20"/>
          <w:szCs w:val="20"/>
          <w:rtl/>
        </w:rPr>
        <w:t>ג. חשש זה מתבטא בכך שאסורה לשמש עם בעלה, עיין לעיל בסימן קפד'.</w:t>
      </w:r>
    </w:p>
    <w:p w:rsidR="00620060" w:rsidRDefault="00620060" w:rsidP="00620060">
      <w:pPr>
        <w:rPr>
          <w:sz w:val="20"/>
          <w:szCs w:val="20"/>
          <w:rtl/>
        </w:rPr>
      </w:pPr>
      <w:r>
        <w:rPr>
          <w:rFonts w:hint="cs"/>
          <w:sz w:val="20"/>
          <w:szCs w:val="20"/>
          <w:u w:val="single"/>
          <w:rtl/>
        </w:rPr>
        <w:t>מתי חוששת?</w:t>
      </w:r>
      <w:r>
        <w:rPr>
          <w:rStyle w:val="a5"/>
          <w:sz w:val="20"/>
          <w:szCs w:val="20"/>
          <w:u w:val="single"/>
          <w:rtl/>
        </w:rPr>
        <w:footnoteReference w:id="170"/>
      </w:r>
      <w:r>
        <w:rPr>
          <w:rFonts w:hint="cs"/>
          <w:sz w:val="20"/>
          <w:szCs w:val="20"/>
          <w:u w:val="single"/>
          <w:rtl/>
        </w:rPr>
        <w:br/>
      </w:r>
      <w:r>
        <w:rPr>
          <w:rFonts w:hint="cs"/>
          <w:sz w:val="20"/>
          <w:szCs w:val="20"/>
          <w:rtl/>
        </w:rPr>
        <w:t xml:space="preserve">א. </w:t>
      </w:r>
      <w:r w:rsidRPr="00BA5662">
        <w:rPr>
          <w:rFonts w:hint="cs"/>
          <w:b/>
          <w:bCs/>
          <w:sz w:val="20"/>
          <w:szCs w:val="20"/>
          <w:rtl/>
        </w:rPr>
        <w:t>שו"ע הרב</w:t>
      </w:r>
      <w:r>
        <w:rPr>
          <w:rFonts w:hint="cs"/>
          <w:sz w:val="20"/>
          <w:szCs w:val="20"/>
          <w:rtl/>
        </w:rPr>
        <w:t xml:space="preserve"> </w:t>
      </w:r>
      <w:r>
        <w:rPr>
          <w:sz w:val="20"/>
          <w:szCs w:val="20"/>
          <w:rtl/>
        </w:rPr>
        <w:t>–</w:t>
      </w:r>
      <w:r>
        <w:rPr>
          <w:rFonts w:hint="cs"/>
          <w:sz w:val="20"/>
          <w:szCs w:val="20"/>
          <w:rtl/>
        </w:rPr>
        <w:t xml:space="preserve"> חוששת יום ולילה.</w:t>
      </w:r>
      <w:r>
        <w:rPr>
          <w:sz w:val="20"/>
          <w:szCs w:val="20"/>
          <w:rtl/>
        </w:rPr>
        <w:t xml:space="preserve"> </w:t>
      </w:r>
      <w:r>
        <w:rPr>
          <w:sz w:val="20"/>
          <w:szCs w:val="20"/>
          <w:rtl/>
        </w:rPr>
        <w:br/>
      </w:r>
      <w:r>
        <w:rPr>
          <w:rFonts w:hint="cs"/>
          <w:sz w:val="20"/>
          <w:szCs w:val="20"/>
          <w:rtl/>
        </w:rPr>
        <w:t xml:space="preserve">ב. </w:t>
      </w:r>
      <w:r w:rsidRPr="00BA5662">
        <w:rPr>
          <w:rFonts w:hint="cs"/>
          <w:b/>
          <w:bCs/>
          <w:sz w:val="20"/>
          <w:szCs w:val="20"/>
          <w:rtl/>
        </w:rPr>
        <w:t>סדרי טהרה</w:t>
      </w:r>
      <w:r>
        <w:rPr>
          <w:rFonts w:hint="cs"/>
          <w:sz w:val="20"/>
          <w:szCs w:val="20"/>
          <w:rtl/>
        </w:rPr>
        <w:t xml:space="preserve"> </w:t>
      </w:r>
      <w:r>
        <w:rPr>
          <w:sz w:val="20"/>
          <w:szCs w:val="20"/>
          <w:rtl/>
        </w:rPr>
        <w:t>–</w:t>
      </w:r>
      <w:r>
        <w:rPr>
          <w:rFonts w:hint="cs"/>
          <w:sz w:val="20"/>
          <w:szCs w:val="20"/>
          <w:rtl/>
        </w:rPr>
        <w:t xml:space="preserve"> חוששת לפי עונת ראייתה האחרונה, יום או לילה, וכ"פ </w:t>
      </w:r>
      <w:r w:rsidRPr="00E92200">
        <w:rPr>
          <w:rFonts w:hint="cs"/>
          <w:b/>
          <w:bCs/>
          <w:sz w:val="20"/>
          <w:szCs w:val="20"/>
          <w:rtl/>
        </w:rPr>
        <w:t>טהרת הבית</w:t>
      </w:r>
      <w:r w:rsidRPr="00246245">
        <w:rPr>
          <w:rFonts w:hint="cs"/>
          <w:sz w:val="20"/>
          <w:szCs w:val="20"/>
          <w:rtl/>
        </w:rPr>
        <w:t>.</w:t>
      </w:r>
      <w:r>
        <w:rPr>
          <w:sz w:val="20"/>
          <w:szCs w:val="20"/>
          <w:rtl/>
        </w:rPr>
        <w:br/>
      </w:r>
      <w:r>
        <w:rPr>
          <w:b/>
          <w:bCs/>
          <w:sz w:val="20"/>
          <w:szCs w:val="20"/>
          <w:rtl/>
        </w:rPr>
        <w:br/>
      </w:r>
      <w:r>
        <w:rPr>
          <w:rFonts w:hint="cs"/>
          <w:b/>
          <w:bCs/>
          <w:sz w:val="20"/>
          <w:szCs w:val="20"/>
          <w:rtl/>
        </w:rPr>
        <w:t>סיכום</w:t>
      </w:r>
      <w:r>
        <w:rPr>
          <w:b/>
          <w:bCs/>
          <w:sz w:val="20"/>
          <w:szCs w:val="20"/>
          <w:rtl/>
        </w:rPr>
        <w:br/>
      </w:r>
      <w:r>
        <w:rPr>
          <w:rFonts w:hint="cs"/>
          <w:sz w:val="20"/>
          <w:szCs w:val="20"/>
          <w:rtl/>
        </w:rPr>
        <w:t>1.</w:t>
      </w:r>
      <w:r w:rsidRPr="00246245">
        <w:rPr>
          <w:rFonts w:hint="cs"/>
          <w:b/>
          <w:bCs/>
          <w:sz w:val="20"/>
          <w:szCs w:val="20"/>
          <w:rtl/>
        </w:rPr>
        <w:t xml:space="preserve"> גמרא</w:t>
      </w:r>
      <w:r>
        <w:rPr>
          <w:rFonts w:hint="cs"/>
          <w:sz w:val="20"/>
          <w:szCs w:val="20"/>
          <w:rtl/>
        </w:rPr>
        <w:t>. כל הנשים בחזקת טהרה לבעליהן, ובלבד שמצאה בתוך ימי עונתה. עונה היא ל' יום לראייתה.</w:t>
      </w:r>
      <w:r>
        <w:rPr>
          <w:sz w:val="20"/>
          <w:szCs w:val="20"/>
          <w:rtl/>
        </w:rPr>
        <w:br/>
      </w:r>
      <w:r>
        <w:rPr>
          <w:rFonts w:hint="cs"/>
          <w:sz w:val="20"/>
          <w:szCs w:val="20"/>
          <w:rtl/>
        </w:rPr>
        <w:t xml:space="preserve">2. </w:t>
      </w:r>
      <w:r w:rsidRPr="00DD3D1C">
        <w:rPr>
          <w:rFonts w:hint="cs"/>
          <w:b/>
          <w:bCs/>
          <w:sz w:val="20"/>
          <w:szCs w:val="20"/>
          <w:rtl/>
        </w:rPr>
        <w:t>רש"י</w:t>
      </w:r>
      <w:r>
        <w:rPr>
          <w:rFonts w:hint="cs"/>
          <w:sz w:val="20"/>
          <w:szCs w:val="20"/>
          <w:rtl/>
        </w:rPr>
        <w:t xml:space="preserve">. גם בעלת ווסת קבוע חוששת לעונה בינונית. </w:t>
      </w:r>
      <w:r w:rsidRPr="00DD3D1C">
        <w:rPr>
          <w:rFonts w:hint="cs"/>
          <w:b/>
          <w:bCs/>
          <w:sz w:val="20"/>
          <w:szCs w:val="20"/>
          <w:rtl/>
        </w:rPr>
        <w:t>ר"ן</w:t>
      </w:r>
      <w:r>
        <w:rPr>
          <w:rFonts w:hint="cs"/>
          <w:sz w:val="20"/>
          <w:szCs w:val="20"/>
          <w:rtl/>
        </w:rPr>
        <w:t xml:space="preserve">. רק אשה שאין לה ווסת חוששת, וכ"פ </w:t>
      </w:r>
      <w:r w:rsidRPr="00DD3D1C">
        <w:rPr>
          <w:rFonts w:hint="cs"/>
          <w:b/>
          <w:bCs/>
          <w:sz w:val="20"/>
          <w:szCs w:val="20"/>
          <w:rtl/>
        </w:rPr>
        <w:t>המחבר</w:t>
      </w:r>
      <w:r>
        <w:rPr>
          <w:rFonts w:hint="cs"/>
          <w:sz w:val="20"/>
          <w:szCs w:val="20"/>
          <w:rtl/>
        </w:rPr>
        <w:t>.</w:t>
      </w:r>
      <w:r>
        <w:rPr>
          <w:sz w:val="20"/>
          <w:szCs w:val="20"/>
          <w:rtl/>
        </w:rPr>
        <w:br/>
      </w:r>
      <w:r>
        <w:rPr>
          <w:rFonts w:hint="cs"/>
          <w:sz w:val="20"/>
          <w:szCs w:val="20"/>
          <w:rtl/>
        </w:rPr>
        <w:t>3. יש לחוש גם לווסת ההפלגה. חשש זה הוא איסור לשמש עם בעלה.</w:t>
      </w:r>
      <w:r>
        <w:rPr>
          <w:sz w:val="20"/>
          <w:szCs w:val="20"/>
          <w:rtl/>
        </w:rPr>
        <w:br/>
      </w:r>
      <w:r>
        <w:rPr>
          <w:rFonts w:hint="cs"/>
          <w:sz w:val="20"/>
          <w:szCs w:val="20"/>
          <w:rtl/>
        </w:rPr>
        <w:t xml:space="preserve">4. פרישה בעונה בינונית. </w:t>
      </w:r>
      <w:r w:rsidRPr="002310C8">
        <w:rPr>
          <w:rFonts w:hint="cs"/>
          <w:b/>
          <w:bCs/>
          <w:sz w:val="20"/>
          <w:szCs w:val="20"/>
          <w:rtl/>
        </w:rPr>
        <w:t>שו"ע הרב</w:t>
      </w:r>
      <w:r>
        <w:rPr>
          <w:rFonts w:hint="cs"/>
          <w:sz w:val="20"/>
          <w:szCs w:val="20"/>
          <w:rtl/>
        </w:rPr>
        <w:t xml:space="preserve">. יום ולילה. </w:t>
      </w:r>
      <w:r w:rsidRPr="002310C8">
        <w:rPr>
          <w:rFonts w:hint="cs"/>
          <w:b/>
          <w:bCs/>
          <w:sz w:val="20"/>
          <w:szCs w:val="20"/>
          <w:rtl/>
        </w:rPr>
        <w:t>סד"ט</w:t>
      </w:r>
      <w:r>
        <w:rPr>
          <w:rFonts w:hint="cs"/>
          <w:sz w:val="20"/>
          <w:szCs w:val="20"/>
          <w:rtl/>
        </w:rPr>
        <w:t>. רק בעונה עצמה שבה ראתה.</w:t>
      </w:r>
    </w:p>
    <w:p w:rsidR="00620060" w:rsidRDefault="00620060" w:rsidP="00620060">
      <w:pPr>
        <w:rPr>
          <w:sz w:val="20"/>
          <w:szCs w:val="20"/>
          <w:rtl/>
        </w:rPr>
      </w:pPr>
      <w:r>
        <w:rPr>
          <w:b/>
          <w:bCs/>
          <w:sz w:val="20"/>
          <w:szCs w:val="20"/>
          <w:rtl/>
        </w:rPr>
        <w:br/>
      </w:r>
      <w:r>
        <w:rPr>
          <w:rFonts w:hint="cs"/>
          <w:b/>
          <w:bCs/>
          <w:sz w:val="20"/>
          <w:szCs w:val="20"/>
          <w:rtl/>
        </w:rPr>
        <w:t xml:space="preserve">סעיף ב </w:t>
      </w:r>
      <w:r>
        <w:rPr>
          <w:b/>
          <w:bCs/>
          <w:sz w:val="20"/>
          <w:szCs w:val="20"/>
          <w:rtl/>
        </w:rPr>
        <w:t>–</w:t>
      </w:r>
      <w:r>
        <w:rPr>
          <w:rFonts w:hint="cs"/>
          <w:b/>
          <w:bCs/>
          <w:sz w:val="20"/>
          <w:szCs w:val="20"/>
          <w:rtl/>
        </w:rPr>
        <w:t xml:space="preserve"> דינים כלליים בקביעת ווסת </w:t>
      </w:r>
      <w:r>
        <w:rPr>
          <w:rFonts w:hint="cs"/>
          <w:b/>
          <w:bCs/>
          <w:sz w:val="20"/>
          <w:szCs w:val="20"/>
          <w:rtl/>
        </w:rPr>
        <w:br/>
        <w:t>קביעת ווסת ההפלגה - מקור הדין</w:t>
      </w:r>
      <w:r>
        <w:rPr>
          <w:b/>
          <w:bCs/>
          <w:sz w:val="20"/>
          <w:szCs w:val="20"/>
          <w:rtl/>
        </w:rPr>
        <w:br/>
      </w:r>
      <w:r>
        <w:rPr>
          <w:rFonts w:hint="cs"/>
          <w:b/>
          <w:bCs/>
          <w:sz w:val="20"/>
          <w:szCs w:val="20"/>
          <w:rtl/>
        </w:rPr>
        <w:t xml:space="preserve">משנה </w:t>
      </w:r>
      <w:r>
        <w:rPr>
          <w:rFonts w:hint="cs"/>
          <w:sz w:val="20"/>
          <w:szCs w:val="20"/>
          <w:rtl/>
        </w:rPr>
        <w:t>נידה (סג:) "</w:t>
      </w:r>
      <w:r w:rsidRPr="00420AAE">
        <w:rPr>
          <w:rFonts w:cs="Arial" w:hint="cs"/>
          <w:sz w:val="20"/>
          <w:szCs w:val="20"/>
          <w:rtl/>
        </w:rPr>
        <w:t>אין</w:t>
      </w:r>
      <w:r w:rsidRPr="00420AAE">
        <w:rPr>
          <w:rFonts w:cs="Arial"/>
          <w:sz w:val="20"/>
          <w:szCs w:val="20"/>
          <w:rtl/>
        </w:rPr>
        <w:t xml:space="preserve"> </w:t>
      </w:r>
      <w:r w:rsidRPr="00420AAE">
        <w:rPr>
          <w:rFonts w:cs="Arial" w:hint="cs"/>
          <w:sz w:val="20"/>
          <w:szCs w:val="20"/>
          <w:rtl/>
        </w:rPr>
        <w:t>אשה</w:t>
      </w:r>
      <w:r w:rsidRPr="00420AAE">
        <w:rPr>
          <w:rFonts w:cs="Arial"/>
          <w:sz w:val="20"/>
          <w:szCs w:val="20"/>
          <w:rtl/>
        </w:rPr>
        <w:t xml:space="preserve"> </w:t>
      </w:r>
      <w:r w:rsidRPr="00420AAE">
        <w:rPr>
          <w:rFonts w:cs="Arial" w:hint="cs"/>
          <w:sz w:val="20"/>
          <w:szCs w:val="20"/>
          <w:rtl/>
        </w:rPr>
        <w:t>קובעת</w:t>
      </w:r>
      <w:r w:rsidRPr="00420AAE">
        <w:rPr>
          <w:rFonts w:cs="Arial"/>
          <w:sz w:val="20"/>
          <w:szCs w:val="20"/>
          <w:rtl/>
        </w:rPr>
        <w:t xml:space="preserve"> </w:t>
      </w:r>
      <w:r w:rsidRPr="00420AAE">
        <w:rPr>
          <w:rFonts w:cs="Arial" w:hint="cs"/>
          <w:sz w:val="20"/>
          <w:szCs w:val="20"/>
          <w:rtl/>
        </w:rPr>
        <w:t>לה</w:t>
      </w:r>
      <w:r w:rsidRPr="00420AAE">
        <w:rPr>
          <w:rFonts w:cs="Arial"/>
          <w:sz w:val="20"/>
          <w:szCs w:val="20"/>
          <w:rtl/>
        </w:rPr>
        <w:t xml:space="preserve"> </w:t>
      </w:r>
      <w:r w:rsidRPr="00420AAE">
        <w:rPr>
          <w:rFonts w:cs="Arial" w:hint="cs"/>
          <w:sz w:val="20"/>
          <w:szCs w:val="20"/>
          <w:rtl/>
        </w:rPr>
        <w:t>וסת</w:t>
      </w:r>
      <w:r w:rsidRPr="00420AAE">
        <w:rPr>
          <w:rFonts w:cs="Arial"/>
          <w:sz w:val="20"/>
          <w:szCs w:val="20"/>
          <w:rtl/>
        </w:rPr>
        <w:t xml:space="preserve"> - </w:t>
      </w:r>
      <w:r w:rsidRPr="00420AAE">
        <w:rPr>
          <w:rFonts w:cs="Arial" w:hint="cs"/>
          <w:sz w:val="20"/>
          <w:szCs w:val="20"/>
          <w:rtl/>
        </w:rPr>
        <w:t>עד</w:t>
      </w:r>
      <w:r w:rsidRPr="00420AAE">
        <w:rPr>
          <w:rFonts w:cs="Arial"/>
          <w:sz w:val="20"/>
          <w:szCs w:val="20"/>
          <w:rtl/>
        </w:rPr>
        <w:t xml:space="preserve"> </w:t>
      </w:r>
      <w:r w:rsidRPr="00420AAE">
        <w:rPr>
          <w:rFonts w:cs="Arial" w:hint="cs"/>
          <w:sz w:val="20"/>
          <w:szCs w:val="20"/>
          <w:rtl/>
        </w:rPr>
        <w:t>שתקבענה</w:t>
      </w:r>
      <w:r w:rsidRPr="00420AAE">
        <w:rPr>
          <w:rFonts w:cs="Arial"/>
          <w:sz w:val="20"/>
          <w:szCs w:val="20"/>
          <w:rtl/>
        </w:rPr>
        <w:t xml:space="preserve"> </w:t>
      </w:r>
      <w:r w:rsidRPr="00420AAE">
        <w:rPr>
          <w:rFonts w:cs="Arial" w:hint="cs"/>
          <w:sz w:val="20"/>
          <w:szCs w:val="20"/>
          <w:rtl/>
        </w:rPr>
        <w:t>ג</w:t>
      </w:r>
      <w:r w:rsidRPr="00420AAE">
        <w:rPr>
          <w:rFonts w:cs="Arial"/>
          <w:sz w:val="20"/>
          <w:szCs w:val="20"/>
          <w:rtl/>
        </w:rPr>
        <w:t xml:space="preserve">' </w:t>
      </w:r>
      <w:r w:rsidRPr="00420AAE">
        <w:rPr>
          <w:rFonts w:cs="Arial" w:hint="cs"/>
          <w:sz w:val="20"/>
          <w:szCs w:val="20"/>
          <w:rtl/>
        </w:rPr>
        <w:t>פעמים</w:t>
      </w:r>
      <w:r>
        <w:rPr>
          <w:rFonts w:cs="Arial" w:hint="cs"/>
          <w:sz w:val="20"/>
          <w:szCs w:val="20"/>
          <w:rtl/>
        </w:rPr>
        <w:t>".</w:t>
      </w:r>
      <w:r>
        <w:rPr>
          <w:rFonts w:cs="Arial"/>
          <w:sz w:val="20"/>
          <w:szCs w:val="20"/>
          <w:rtl/>
        </w:rPr>
        <w:br/>
      </w:r>
      <w:r w:rsidRPr="009A450F">
        <w:rPr>
          <w:rFonts w:hint="cs"/>
          <w:b/>
          <w:bCs/>
          <w:sz w:val="20"/>
          <w:szCs w:val="20"/>
          <w:rtl/>
        </w:rPr>
        <w:lastRenderedPageBreak/>
        <w:t>רשב"א</w:t>
      </w:r>
      <w:r>
        <w:rPr>
          <w:rFonts w:hint="cs"/>
          <w:sz w:val="20"/>
          <w:szCs w:val="20"/>
          <w:rtl/>
        </w:rPr>
        <w:t xml:space="preserve"> </w:t>
      </w:r>
      <w:r>
        <w:rPr>
          <w:sz w:val="20"/>
          <w:szCs w:val="20"/>
          <w:rtl/>
        </w:rPr>
        <w:t>–</w:t>
      </w:r>
      <w:r>
        <w:rPr>
          <w:rFonts w:hint="cs"/>
          <w:sz w:val="20"/>
          <w:szCs w:val="20"/>
          <w:rtl/>
        </w:rPr>
        <w:t xml:space="preserve"> בווסת הפלגה לא מהני שתראה ג' פעמים, כיוון שדרושות ג' הפלגות. לכן, רק לאחר ד' ראיות ניתן לקבוע ווסת הפלגה.</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420AAE">
        <w:rPr>
          <w:rFonts w:cs="Arial" w:hint="cs"/>
          <w:sz w:val="20"/>
          <w:szCs w:val="20"/>
          <w:rtl/>
        </w:rPr>
        <w:t>כיצד</w:t>
      </w:r>
      <w:r w:rsidRPr="00420AAE">
        <w:rPr>
          <w:rFonts w:cs="Arial"/>
          <w:sz w:val="20"/>
          <w:szCs w:val="20"/>
          <w:rtl/>
        </w:rPr>
        <w:t xml:space="preserve"> </w:t>
      </w:r>
      <w:r w:rsidRPr="00420AAE">
        <w:rPr>
          <w:rFonts w:cs="Arial" w:hint="cs"/>
          <w:sz w:val="20"/>
          <w:szCs w:val="20"/>
          <w:rtl/>
        </w:rPr>
        <w:t>קובעתו</w:t>
      </w:r>
      <w:r w:rsidRPr="00420AAE">
        <w:rPr>
          <w:rFonts w:cs="Arial"/>
          <w:sz w:val="20"/>
          <w:szCs w:val="20"/>
          <w:rtl/>
        </w:rPr>
        <w:t xml:space="preserve">, </w:t>
      </w:r>
      <w:r w:rsidRPr="00420AAE">
        <w:rPr>
          <w:rFonts w:cs="Arial" w:hint="cs"/>
          <w:sz w:val="20"/>
          <w:szCs w:val="20"/>
          <w:rtl/>
        </w:rPr>
        <w:t>כגון</w:t>
      </w:r>
      <w:r w:rsidRPr="00420AAE">
        <w:rPr>
          <w:rFonts w:cs="Arial"/>
          <w:sz w:val="20"/>
          <w:szCs w:val="20"/>
          <w:rtl/>
        </w:rPr>
        <w:t xml:space="preserve"> </w:t>
      </w:r>
      <w:r w:rsidRPr="00420AAE">
        <w:rPr>
          <w:rFonts w:cs="Arial" w:hint="cs"/>
          <w:sz w:val="20"/>
          <w:szCs w:val="20"/>
          <w:rtl/>
        </w:rPr>
        <w:t>שתראה</w:t>
      </w:r>
      <w:r w:rsidRPr="00420AAE">
        <w:rPr>
          <w:rFonts w:cs="Arial"/>
          <w:sz w:val="20"/>
          <w:szCs w:val="20"/>
          <w:rtl/>
        </w:rPr>
        <w:t xml:space="preserve"> </w:t>
      </w:r>
      <w:r w:rsidRPr="00420AAE">
        <w:rPr>
          <w:rFonts w:cs="Arial" w:hint="cs"/>
          <w:sz w:val="20"/>
          <w:szCs w:val="20"/>
          <w:rtl/>
        </w:rPr>
        <w:t>ד</w:t>
      </w:r>
      <w:r w:rsidRPr="00420AAE">
        <w:rPr>
          <w:rFonts w:cs="Arial"/>
          <w:sz w:val="20"/>
          <w:szCs w:val="20"/>
          <w:rtl/>
        </w:rPr>
        <w:t xml:space="preserve">' </w:t>
      </w:r>
      <w:r w:rsidRPr="00420AAE">
        <w:rPr>
          <w:rFonts w:cs="Arial" w:hint="cs"/>
          <w:sz w:val="20"/>
          <w:szCs w:val="20"/>
          <w:rtl/>
        </w:rPr>
        <w:t>פעמים</w:t>
      </w:r>
      <w:r w:rsidRPr="00420AAE">
        <w:rPr>
          <w:rFonts w:cs="Arial"/>
          <w:sz w:val="20"/>
          <w:szCs w:val="20"/>
          <w:rtl/>
        </w:rPr>
        <w:t xml:space="preserve">, </w:t>
      </w:r>
      <w:r w:rsidRPr="00420AAE">
        <w:rPr>
          <w:rFonts w:cs="Arial" w:hint="cs"/>
          <w:sz w:val="20"/>
          <w:szCs w:val="20"/>
          <w:rtl/>
        </w:rPr>
        <w:t>ו</w:t>
      </w:r>
      <w:r>
        <w:rPr>
          <w:rFonts w:cs="Arial" w:hint="cs"/>
          <w:sz w:val="20"/>
          <w:szCs w:val="20"/>
          <w:rtl/>
        </w:rPr>
        <w:t>ביניהם</w:t>
      </w:r>
      <w:r w:rsidRPr="00420AAE">
        <w:rPr>
          <w:rFonts w:cs="Arial"/>
          <w:sz w:val="20"/>
          <w:szCs w:val="20"/>
          <w:rtl/>
        </w:rPr>
        <w:t xml:space="preserve"> </w:t>
      </w:r>
      <w:r w:rsidRPr="00420AAE">
        <w:rPr>
          <w:rFonts w:cs="Arial" w:hint="cs"/>
          <w:sz w:val="20"/>
          <w:szCs w:val="20"/>
          <w:rtl/>
        </w:rPr>
        <w:t>ג</w:t>
      </w:r>
      <w:r w:rsidRPr="00420AAE">
        <w:rPr>
          <w:rFonts w:cs="Arial"/>
          <w:sz w:val="20"/>
          <w:szCs w:val="20"/>
          <w:rtl/>
        </w:rPr>
        <w:t xml:space="preserve">' </w:t>
      </w:r>
      <w:r w:rsidRPr="00420AAE">
        <w:rPr>
          <w:rFonts w:cs="Arial" w:hint="cs"/>
          <w:sz w:val="20"/>
          <w:szCs w:val="20"/>
          <w:rtl/>
        </w:rPr>
        <w:t>זמנים</w:t>
      </w:r>
      <w:r w:rsidRPr="00420AAE">
        <w:rPr>
          <w:rFonts w:cs="Arial"/>
          <w:sz w:val="20"/>
          <w:szCs w:val="20"/>
          <w:rtl/>
        </w:rPr>
        <w:t xml:space="preserve"> </w:t>
      </w:r>
      <w:r w:rsidRPr="00420AAE">
        <w:rPr>
          <w:rFonts w:cs="Arial" w:hint="cs"/>
          <w:sz w:val="20"/>
          <w:szCs w:val="20"/>
          <w:rtl/>
        </w:rPr>
        <w:t>שווין</w:t>
      </w:r>
      <w:r w:rsidRPr="00420AAE">
        <w:rPr>
          <w:rFonts w:cs="Arial"/>
          <w:sz w:val="20"/>
          <w:szCs w:val="20"/>
          <w:rtl/>
        </w:rPr>
        <w:t xml:space="preserve">, </w:t>
      </w:r>
      <w:r w:rsidRPr="00420AAE">
        <w:rPr>
          <w:rFonts w:cs="Arial" w:hint="cs"/>
          <w:sz w:val="20"/>
          <w:szCs w:val="20"/>
          <w:rtl/>
        </w:rPr>
        <w:t>כגון</w:t>
      </w:r>
      <w:r w:rsidRPr="00420AAE">
        <w:rPr>
          <w:rFonts w:cs="Arial"/>
          <w:sz w:val="20"/>
          <w:szCs w:val="20"/>
          <w:rtl/>
        </w:rPr>
        <w:t xml:space="preserve"> </w:t>
      </w:r>
      <w:r w:rsidRPr="00420AAE">
        <w:rPr>
          <w:rFonts w:cs="Arial" w:hint="cs"/>
          <w:sz w:val="20"/>
          <w:szCs w:val="20"/>
          <w:rtl/>
        </w:rPr>
        <w:t>שראתה</w:t>
      </w:r>
      <w:r w:rsidRPr="00420AAE">
        <w:rPr>
          <w:rFonts w:cs="Arial"/>
          <w:sz w:val="20"/>
          <w:szCs w:val="20"/>
          <w:rtl/>
        </w:rPr>
        <w:t xml:space="preserve"> </w:t>
      </w:r>
      <w:r w:rsidRPr="00420AAE">
        <w:rPr>
          <w:rFonts w:cs="Arial" w:hint="cs"/>
          <w:sz w:val="20"/>
          <w:szCs w:val="20"/>
          <w:rtl/>
        </w:rPr>
        <w:t>היום</w:t>
      </w:r>
      <w:r w:rsidRPr="00420AAE">
        <w:rPr>
          <w:rFonts w:cs="Arial"/>
          <w:sz w:val="20"/>
          <w:szCs w:val="20"/>
          <w:rtl/>
        </w:rPr>
        <w:t xml:space="preserve">, </w:t>
      </w:r>
      <w:r w:rsidRPr="00420AAE">
        <w:rPr>
          <w:rFonts w:cs="Arial" w:hint="cs"/>
          <w:sz w:val="20"/>
          <w:szCs w:val="20"/>
          <w:rtl/>
        </w:rPr>
        <w:t>ולסוף</w:t>
      </w:r>
      <w:r w:rsidRPr="00420AAE">
        <w:rPr>
          <w:rFonts w:cs="Arial"/>
          <w:sz w:val="20"/>
          <w:szCs w:val="20"/>
          <w:rtl/>
        </w:rPr>
        <w:t xml:space="preserve"> </w:t>
      </w:r>
      <w:r w:rsidRPr="00420AAE">
        <w:rPr>
          <w:rFonts w:cs="Arial" w:hint="cs"/>
          <w:sz w:val="20"/>
          <w:szCs w:val="20"/>
          <w:rtl/>
        </w:rPr>
        <w:t>כ</w:t>
      </w:r>
      <w:r w:rsidRPr="00420AAE">
        <w:rPr>
          <w:rFonts w:cs="Arial"/>
          <w:sz w:val="20"/>
          <w:szCs w:val="20"/>
          <w:rtl/>
        </w:rPr>
        <w:t xml:space="preserve">' </w:t>
      </w:r>
      <w:r w:rsidRPr="00420AAE">
        <w:rPr>
          <w:rFonts w:cs="Arial" w:hint="cs"/>
          <w:sz w:val="20"/>
          <w:szCs w:val="20"/>
          <w:rtl/>
        </w:rPr>
        <w:t>יום</w:t>
      </w:r>
      <w:r w:rsidRPr="00420AAE">
        <w:rPr>
          <w:rFonts w:cs="Arial"/>
          <w:sz w:val="20"/>
          <w:szCs w:val="20"/>
          <w:rtl/>
        </w:rPr>
        <w:t xml:space="preserve"> </w:t>
      </w:r>
      <w:r w:rsidRPr="00420AAE">
        <w:rPr>
          <w:rFonts w:cs="Arial" w:hint="cs"/>
          <w:sz w:val="20"/>
          <w:szCs w:val="20"/>
          <w:rtl/>
        </w:rPr>
        <w:t>פעם</w:t>
      </w:r>
      <w:r w:rsidRPr="00420AAE">
        <w:rPr>
          <w:rFonts w:cs="Arial"/>
          <w:sz w:val="20"/>
          <w:szCs w:val="20"/>
          <w:rtl/>
        </w:rPr>
        <w:t xml:space="preserve"> </w:t>
      </w:r>
      <w:r w:rsidRPr="00420AAE">
        <w:rPr>
          <w:rFonts w:cs="Arial" w:hint="cs"/>
          <w:sz w:val="20"/>
          <w:szCs w:val="20"/>
          <w:rtl/>
        </w:rPr>
        <w:t>אחרת</w:t>
      </w:r>
      <w:r w:rsidRPr="00420AAE">
        <w:rPr>
          <w:rFonts w:cs="Arial"/>
          <w:sz w:val="20"/>
          <w:szCs w:val="20"/>
          <w:rtl/>
        </w:rPr>
        <w:t xml:space="preserve">, </w:t>
      </w:r>
      <w:r w:rsidRPr="00420AAE">
        <w:rPr>
          <w:rFonts w:cs="Arial" w:hint="cs"/>
          <w:sz w:val="20"/>
          <w:szCs w:val="20"/>
          <w:rtl/>
        </w:rPr>
        <w:t>ועוד</w:t>
      </w:r>
      <w:r w:rsidRPr="00420AAE">
        <w:rPr>
          <w:rFonts w:cs="Arial"/>
          <w:sz w:val="20"/>
          <w:szCs w:val="20"/>
          <w:rtl/>
        </w:rPr>
        <w:t xml:space="preserve"> </w:t>
      </w:r>
      <w:r w:rsidRPr="00420AAE">
        <w:rPr>
          <w:rFonts w:cs="Arial" w:hint="cs"/>
          <w:sz w:val="20"/>
          <w:szCs w:val="20"/>
          <w:rtl/>
        </w:rPr>
        <w:t>לסוף</w:t>
      </w:r>
      <w:r w:rsidRPr="00420AAE">
        <w:rPr>
          <w:rFonts w:cs="Arial"/>
          <w:sz w:val="20"/>
          <w:szCs w:val="20"/>
          <w:rtl/>
        </w:rPr>
        <w:t xml:space="preserve"> </w:t>
      </w:r>
      <w:r w:rsidRPr="00420AAE">
        <w:rPr>
          <w:rFonts w:cs="Arial" w:hint="cs"/>
          <w:sz w:val="20"/>
          <w:szCs w:val="20"/>
          <w:rtl/>
        </w:rPr>
        <w:t>עשרים</w:t>
      </w:r>
      <w:r w:rsidRPr="00420AAE">
        <w:rPr>
          <w:rFonts w:cs="Arial"/>
          <w:sz w:val="20"/>
          <w:szCs w:val="20"/>
          <w:rtl/>
        </w:rPr>
        <w:t xml:space="preserve"> </w:t>
      </w:r>
      <w:r w:rsidRPr="00420AAE">
        <w:rPr>
          <w:rFonts w:cs="Arial" w:hint="cs"/>
          <w:sz w:val="20"/>
          <w:szCs w:val="20"/>
          <w:rtl/>
        </w:rPr>
        <w:t>יום</w:t>
      </w:r>
      <w:r w:rsidRPr="00420AAE">
        <w:rPr>
          <w:rFonts w:cs="Arial"/>
          <w:sz w:val="20"/>
          <w:szCs w:val="20"/>
          <w:rtl/>
        </w:rPr>
        <w:t xml:space="preserve">, </w:t>
      </w:r>
      <w:r w:rsidRPr="00420AAE">
        <w:rPr>
          <w:rFonts w:cs="Arial" w:hint="cs"/>
          <w:sz w:val="20"/>
          <w:szCs w:val="20"/>
          <w:rtl/>
        </w:rPr>
        <w:t>ועוד</w:t>
      </w:r>
      <w:r w:rsidRPr="00420AAE">
        <w:rPr>
          <w:rFonts w:cs="Arial"/>
          <w:sz w:val="20"/>
          <w:szCs w:val="20"/>
          <w:rtl/>
        </w:rPr>
        <w:t xml:space="preserve"> </w:t>
      </w:r>
      <w:r w:rsidRPr="00420AAE">
        <w:rPr>
          <w:rFonts w:cs="Arial" w:hint="cs"/>
          <w:sz w:val="20"/>
          <w:szCs w:val="20"/>
          <w:rtl/>
        </w:rPr>
        <w:t>לסוף</w:t>
      </w:r>
      <w:r w:rsidRPr="00420AAE">
        <w:rPr>
          <w:rFonts w:cs="Arial"/>
          <w:sz w:val="20"/>
          <w:szCs w:val="20"/>
          <w:rtl/>
        </w:rPr>
        <w:t xml:space="preserve"> </w:t>
      </w:r>
      <w:r w:rsidRPr="00420AAE">
        <w:rPr>
          <w:rFonts w:cs="Arial" w:hint="cs"/>
          <w:sz w:val="20"/>
          <w:szCs w:val="20"/>
          <w:rtl/>
        </w:rPr>
        <w:t>כ</w:t>
      </w:r>
      <w:r w:rsidRPr="00420AAE">
        <w:rPr>
          <w:rFonts w:cs="Arial"/>
          <w:sz w:val="20"/>
          <w:szCs w:val="20"/>
          <w:rtl/>
        </w:rPr>
        <w:t xml:space="preserve">' </w:t>
      </w:r>
      <w:r w:rsidRPr="00420AAE">
        <w:rPr>
          <w:rFonts w:cs="Arial" w:hint="cs"/>
          <w:sz w:val="20"/>
          <w:szCs w:val="20"/>
          <w:rtl/>
        </w:rPr>
        <w:t>יום</w:t>
      </w:r>
      <w:r w:rsidRPr="00420AAE">
        <w:rPr>
          <w:rFonts w:cs="Arial"/>
          <w:sz w:val="20"/>
          <w:szCs w:val="20"/>
          <w:rtl/>
        </w:rPr>
        <w:t xml:space="preserve">, </w:t>
      </w:r>
      <w:r w:rsidRPr="00420AAE">
        <w:rPr>
          <w:rFonts w:cs="Arial" w:hint="cs"/>
          <w:sz w:val="20"/>
          <w:szCs w:val="20"/>
          <w:rtl/>
        </w:rPr>
        <w:t>וזה</w:t>
      </w:r>
      <w:r w:rsidRPr="00420AAE">
        <w:rPr>
          <w:rFonts w:cs="Arial"/>
          <w:sz w:val="20"/>
          <w:szCs w:val="20"/>
          <w:rtl/>
        </w:rPr>
        <w:t xml:space="preserve"> </w:t>
      </w:r>
      <w:r w:rsidRPr="00420AAE">
        <w:rPr>
          <w:rFonts w:cs="Arial" w:hint="cs"/>
          <w:sz w:val="20"/>
          <w:szCs w:val="20"/>
          <w:rtl/>
        </w:rPr>
        <w:t>נקרא</w:t>
      </w:r>
      <w:r w:rsidRPr="00420AAE">
        <w:rPr>
          <w:rFonts w:cs="Arial"/>
          <w:sz w:val="20"/>
          <w:szCs w:val="20"/>
          <w:rtl/>
        </w:rPr>
        <w:t xml:space="preserve"> </w:t>
      </w:r>
      <w:r w:rsidRPr="00420AAE">
        <w:rPr>
          <w:rFonts w:cs="Arial" w:hint="cs"/>
          <w:sz w:val="20"/>
          <w:szCs w:val="20"/>
          <w:rtl/>
        </w:rPr>
        <w:t>וסת</w:t>
      </w:r>
      <w:r w:rsidRPr="00420AAE">
        <w:rPr>
          <w:rFonts w:cs="Arial"/>
          <w:sz w:val="20"/>
          <w:szCs w:val="20"/>
          <w:rtl/>
        </w:rPr>
        <w:t xml:space="preserve"> </w:t>
      </w:r>
      <w:r w:rsidRPr="00420AAE">
        <w:rPr>
          <w:rFonts w:cs="Arial" w:hint="cs"/>
          <w:sz w:val="20"/>
          <w:szCs w:val="20"/>
          <w:rtl/>
        </w:rPr>
        <w:t>ההפלגות</w:t>
      </w:r>
      <w:r w:rsidRPr="00420AAE">
        <w:rPr>
          <w:rFonts w:cs="Arial"/>
          <w:sz w:val="20"/>
          <w:szCs w:val="20"/>
          <w:rtl/>
        </w:rPr>
        <w:t xml:space="preserve">. </w:t>
      </w:r>
      <w:r w:rsidRPr="00420AAE">
        <w:rPr>
          <w:rFonts w:cs="Arial" w:hint="cs"/>
          <w:sz w:val="20"/>
          <w:szCs w:val="20"/>
          <w:rtl/>
        </w:rPr>
        <w:t>ולכך</w:t>
      </w:r>
      <w:r w:rsidRPr="00420AAE">
        <w:rPr>
          <w:rFonts w:cs="Arial"/>
          <w:sz w:val="20"/>
          <w:szCs w:val="20"/>
          <w:rtl/>
        </w:rPr>
        <w:t xml:space="preserve"> </w:t>
      </w:r>
      <w:r w:rsidRPr="00420AAE">
        <w:rPr>
          <w:rFonts w:cs="Arial" w:hint="cs"/>
          <w:sz w:val="20"/>
          <w:szCs w:val="20"/>
          <w:rtl/>
        </w:rPr>
        <w:t>צריכה</w:t>
      </w:r>
      <w:r w:rsidRPr="00420AAE">
        <w:rPr>
          <w:rFonts w:cs="Arial"/>
          <w:sz w:val="20"/>
          <w:szCs w:val="20"/>
          <w:rtl/>
        </w:rPr>
        <w:t xml:space="preserve"> </w:t>
      </w:r>
      <w:r w:rsidRPr="00420AAE">
        <w:rPr>
          <w:rFonts w:cs="Arial" w:hint="cs"/>
          <w:sz w:val="20"/>
          <w:szCs w:val="20"/>
          <w:rtl/>
        </w:rPr>
        <w:t>ד</w:t>
      </w:r>
      <w:r w:rsidRPr="00420AAE">
        <w:rPr>
          <w:rFonts w:cs="Arial"/>
          <w:sz w:val="20"/>
          <w:szCs w:val="20"/>
          <w:rtl/>
        </w:rPr>
        <w:t xml:space="preserve">' </w:t>
      </w:r>
      <w:r w:rsidRPr="00420AAE">
        <w:rPr>
          <w:rFonts w:cs="Arial" w:hint="cs"/>
          <w:sz w:val="20"/>
          <w:szCs w:val="20"/>
          <w:rtl/>
        </w:rPr>
        <w:t>ראיות</w:t>
      </w:r>
      <w:r w:rsidRPr="00420AAE">
        <w:rPr>
          <w:rFonts w:cs="Arial"/>
          <w:sz w:val="20"/>
          <w:szCs w:val="20"/>
          <w:rtl/>
        </w:rPr>
        <w:t xml:space="preserve">, </w:t>
      </w:r>
      <w:r w:rsidRPr="00420AAE">
        <w:rPr>
          <w:rFonts w:cs="Arial" w:hint="cs"/>
          <w:sz w:val="20"/>
          <w:szCs w:val="20"/>
          <w:rtl/>
        </w:rPr>
        <w:t>שראיה</w:t>
      </w:r>
      <w:r w:rsidRPr="00420AAE">
        <w:rPr>
          <w:rFonts w:cs="Arial"/>
          <w:sz w:val="20"/>
          <w:szCs w:val="20"/>
          <w:rtl/>
        </w:rPr>
        <w:t xml:space="preserve"> </w:t>
      </w:r>
      <w:r w:rsidRPr="00420AAE">
        <w:rPr>
          <w:rFonts w:cs="Arial" w:hint="cs"/>
          <w:sz w:val="20"/>
          <w:szCs w:val="20"/>
          <w:rtl/>
        </w:rPr>
        <w:t>ראשונה</w:t>
      </w:r>
      <w:r w:rsidRPr="00420AAE">
        <w:rPr>
          <w:rFonts w:cs="Arial"/>
          <w:sz w:val="20"/>
          <w:szCs w:val="20"/>
          <w:rtl/>
        </w:rPr>
        <w:t xml:space="preserve"> </w:t>
      </w:r>
      <w:r w:rsidRPr="00420AAE">
        <w:rPr>
          <w:rFonts w:cs="Arial" w:hint="cs"/>
          <w:sz w:val="20"/>
          <w:szCs w:val="20"/>
          <w:rtl/>
        </w:rPr>
        <w:t>אינה</w:t>
      </w:r>
      <w:r w:rsidRPr="00420AAE">
        <w:rPr>
          <w:rFonts w:cs="Arial"/>
          <w:sz w:val="20"/>
          <w:szCs w:val="20"/>
          <w:rtl/>
        </w:rPr>
        <w:t xml:space="preserve"> </w:t>
      </w:r>
      <w:r w:rsidRPr="00420AAE">
        <w:rPr>
          <w:rFonts w:cs="Arial" w:hint="cs"/>
          <w:sz w:val="20"/>
          <w:szCs w:val="20"/>
          <w:rtl/>
        </w:rPr>
        <w:t>מן</w:t>
      </w:r>
      <w:r w:rsidRPr="00420AAE">
        <w:rPr>
          <w:rFonts w:cs="Arial"/>
          <w:sz w:val="20"/>
          <w:szCs w:val="20"/>
          <w:rtl/>
        </w:rPr>
        <w:t xml:space="preserve"> </w:t>
      </w:r>
      <w:r w:rsidRPr="00420AAE">
        <w:rPr>
          <w:rFonts w:cs="Arial" w:hint="cs"/>
          <w:sz w:val="20"/>
          <w:szCs w:val="20"/>
          <w:rtl/>
        </w:rPr>
        <w:t>המנ</w:t>
      </w:r>
      <w:r>
        <w:rPr>
          <w:rFonts w:cs="Arial" w:hint="cs"/>
          <w:sz w:val="20"/>
          <w:szCs w:val="20"/>
          <w:rtl/>
        </w:rPr>
        <w:t>י</w:t>
      </w:r>
      <w:r w:rsidRPr="00420AAE">
        <w:rPr>
          <w:rFonts w:cs="Arial" w:hint="cs"/>
          <w:sz w:val="20"/>
          <w:szCs w:val="20"/>
          <w:rtl/>
        </w:rPr>
        <w:t>ין</w:t>
      </w:r>
      <w:r w:rsidRPr="00420AAE">
        <w:rPr>
          <w:rFonts w:cs="Arial"/>
          <w:sz w:val="20"/>
          <w:szCs w:val="20"/>
          <w:rtl/>
        </w:rPr>
        <w:t xml:space="preserve">, </w:t>
      </w:r>
      <w:r w:rsidRPr="00420AAE">
        <w:rPr>
          <w:rFonts w:cs="Arial" w:hint="cs"/>
          <w:sz w:val="20"/>
          <w:szCs w:val="20"/>
          <w:rtl/>
        </w:rPr>
        <w:t>לפי</w:t>
      </w:r>
      <w:r w:rsidRPr="00420AAE">
        <w:rPr>
          <w:rFonts w:cs="Arial"/>
          <w:sz w:val="20"/>
          <w:szCs w:val="20"/>
          <w:rtl/>
        </w:rPr>
        <w:t xml:space="preserve"> </w:t>
      </w:r>
      <w:r w:rsidRPr="00420AAE">
        <w:rPr>
          <w:rFonts w:cs="Arial" w:hint="cs"/>
          <w:sz w:val="20"/>
          <w:szCs w:val="20"/>
          <w:rtl/>
        </w:rPr>
        <w:t>שאינה</w:t>
      </w:r>
      <w:r w:rsidRPr="00420AAE">
        <w:rPr>
          <w:rFonts w:cs="Arial"/>
          <w:sz w:val="20"/>
          <w:szCs w:val="20"/>
          <w:rtl/>
        </w:rPr>
        <w:t xml:space="preserve"> </w:t>
      </w:r>
      <w:r w:rsidRPr="00420AAE">
        <w:rPr>
          <w:rFonts w:cs="Arial" w:hint="cs"/>
          <w:sz w:val="20"/>
          <w:szCs w:val="20"/>
          <w:rtl/>
        </w:rPr>
        <w:t>בהפלגה</w:t>
      </w:r>
      <w:r>
        <w:rPr>
          <w:rFonts w:cs="Arial" w:hint="cs"/>
          <w:sz w:val="20"/>
          <w:szCs w:val="20"/>
          <w:rtl/>
        </w:rPr>
        <w:t>".</w:t>
      </w:r>
    </w:p>
    <w:p w:rsidR="00620060" w:rsidRDefault="00620060" w:rsidP="00620060">
      <w:pPr>
        <w:rPr>
          <w:rFonts w:cs="Arial"/>
          <w:sz w:val="20"/>
          <w:szCs w:val="20"/>
          <w:rtl/>
        </w:rPr>
      </w:pPr>
      <w:r>
        <w:rPr>
          <w:rFonts w:hint="cs"/>
          <w:b/>
          <w:bCs/>
          <w:sz w:val="20"/>
          <w:szCs w:val="20"/>
          <w:rtl/>
        </w:rPr>
        <w:t>מה בין ווסת קבוע לאינו קבוע?</w:t>
      </w:r>
      <w:r>
        <w:rPr>
          <w:b/>
          <w:bCs/>
          <w:sz w:val="20"/>
          <w:szCs w:val="20"/>
          <w:rtl/>
        </w:rPr>
        <w:br/>
      </w:r>
      <w:r>
        <w:rPr>
          <w:rFonts w:hint="cs"/>
          <w:b/>
          <w:bCs/>
          <w:sz w:val="20"/>
          <w:szCs w:val="20"/>
          <w:rtl/>
        </w:rPr>
        <w:t xml:space="preserve">משנה </w:t>
      </w:r>
      <w:r>
        <w:rPr>
          <w:rFonts w:hint="cs"/>
          <w:sz w:val="20"/>
          <w:szCs w:val="20"/>
          <w:rtl/>
        </w:rPr>
        <w:t>(שם) "</w:t>
      </w:r>
      <w:r w:rsidRPr="002A7F63">
        <w:rPr>
          <w:rFonts w:cs="Arial" w:hint="cs"/>
          <w:sz w:val="20"/>
          <w:szCs w:val="20"/>
          <w:rtl/>
        </w:rPr>
        <w:t>היתה</w:t>
      </w:r>
      <w:r w:rsidRPr="002A7F63">
        <w:rPr>
          <w:rFonts w:cs="Arial"/>
          <w:sz w:val="20"/>
          <w:szCs w:val="20"/>
          <w:rtl/>
        </w:rPr>
        <w:t xml:space="preserve"> </w:t>
      </w:r>
      <w:r w:rsidRPr="002A7F63">
        <w:rPr>
          <w:rFonts w:cs="Arial" w:hint="cs"/>
          <w:sz w:val="20"/>
          <w:szCs w:val="20"/>
          <w:rtl/>
        </w:rPr>
        <w:t>למודה</w:t>
      </w:r>
      <w:r w:rsidRPr="002A7F63">
        <w:rPr>
          <w:rFonts w:cs="Arial"/>
          <w:sz w:val="20"/>
          <w:szCs w:val="20"/>
          <w:rtl/>
        </w:rPr>
        <w:t xml:space="preserve"> </w:t>
      </w:r>
      <w:r w:rsidRPr="002A7F63">
        <w:rPr>
          <w:rFonts w:cs="Arial" w:hint="cs"/>
          <w:sz w:val="20"/>
          <w:szCs w:val="20"/>
          <w:rtl/>
        </w:rPr>
        <w:t>להיות</w:t>
      </w:r>
      <w:r w:rsidRPr="002A7F63">
        <w:rPr>
          <w:rFonts w:cs="Arial"/>
          <w:sz w:val="20"/>
          <w:szCs w:val="20"/>
          <w:rtl/>
        </w:rPr>
        <w:t xml:space="preserve"> </w:t>
      </w:r>
      <w:r w:rsidRPr="002A7F63">
        <w:rPr>
          <w:rFonts w:cs="Arial" w:hint="cs"/>
          <w:sz w:val="20"/>
          <w:szCs w:val="20"/>
          <w:rtl/>
        </w:rPr>
        <w:t>רואה</w:t>
      </w:r>
      <w:r w:rsidRPr="002A7F63">
        <w:rPr>
          <w:rFonts w:cs="Arial"/>
          <w:sz w:val="20"/>
          <w:szCs w:val="20"/>
          <w:rtl/>
        </w:rPr>
        <w:t xml:space="preserve"> </w:t>
      </w:r>
      <w:r w:rsidRPr="002A7F63">
        <w:rPr>
          <w:rFonts w:cs="Arial" w:hint="cs"/>
          <w:sz w:val="20"/>
          <w:szCs w:val="20"/>
          <w:rtl/>
        </w:rPr>
        <w:t>יום</w:t>
      </w:r>
      <w:r w:rsidRPr="002A7F63">
        <w:rPr>
          <w:rFonts w:cs="Arial"/>
          <w:sz w:val="20"/>
          <w:szCs w:val="20"/>
          <w:rtl/>
        </w:rPr>
        <w:t xml:space="preserve"> </w:t>
      </w:r>
      <w:r w:rsidRPr="002A7F63">
        <w:rPr>
          <w:rFonts w:cs="Arial" w:hint="cs"/>
          <w:sz w:val="20"/>
          <w:szCs w:val="20"/>
          <w:rtl/>
        </w:rPr>
        <w:t>ט</w:t>
      </w:r>
      <w:r w:rsidRPr="002A7F63">
        <w:rPr>
          <w:rFonts w:cs="Arial"/>
          <w:sz w:val="20"/>
          <w:szCs w:val="20"/>
          <w:rtl/>
        </w:rPr>
        <w:t>"</w:t>
      </w:r>
      <w:r w:rsidRPr="002A7F63">
        <w:rPr>
          <w:rFonts w:cs="Arial" w:hint="cs"/>
          <w:sz w:val="20"/>
          <w:szCs w:val="20"/>
          <w:rtl/>
        </w:rPr>
        <w:t>ו</w:t>
      </w:r>
      <w:r w:rsidRPr="002A7F63">
        <w:rPr>
          <w:rFonts w:cs="Arial"/>
          <w:sz w:val="20"/>
          <w:szCs w:val="20"/>
          <w:rtl/>
        </w:rPr>
        <w:t xml:space="preserve"> </w:t>
      </w:r>
      <w:r w:rsidRPr="002A7F63">
        <w:rPr>
          <w:rFonts w:cs="Arial" w:hint="cs"/>
          <w:sz w:val="20"/>
          <w:szCs w:val="20"/>
          <w:rtl/>
        </w:rPr>
        <w:t>ושינתה</w:t>
      </w:r>
      <w:r w:rsidRPr="002A7F63">
        <w:rPr>
          <w:rFonts w:cs="Arial"/>
          <w:sz w:val="20"/>
          <w:szCs w:val="20"/>
          <w:rtl/>
        </w:rPr>
        <w:t xml:space="preserve"> </w:t>
      </w:r>
      <w:r w:rsidRPr="002A7F63">
        <w:rPr>
          <w:rFonts w:cs="Arial" w:hint="cs"/>
          <w:sz w:val="20"/>
          <w:szCs w:val="20"/>
          <w:rtl/>
        </w:rPr>
        <w:t>להיות</w:t>
      </w:r>
      <w:r w:rsidRPr="002A7F63">
        <w:rPr>
          <w:rFonts w:cs="Arial"/>
          <w:sz w:val="20"/>
          <w:szCs w:val="20"/>
          <w:rtl/>
        </w:rPr>
        <w:t xml:space="preserve"> </w:t>
      </w:r>
      <w:r w:rsidRPr="002A7F63">
        <w:rPr>
          <w:rFonts w:cs="Arial" w:hint="cs"/>
          <w:sz w:val="20"/>
          <w:szCs w:val="20"/>
          <w:rtl/>
        </w:rPr>
        <w:t>רואה</w:t>
      </w:r>
      <w:r w:rsidRPr="002A7F63">
        <w:rPr>
          <w:rFonts w:cs="Arial"/>
          <w:sz w:val="20"/>
          <w:szCs w:val="20"/>
          <w:rtl/>
        </w:rPr>
        <w:t xml:space="preserve"> </w:t>
      </w:r>
      <w:r w:rsidRPr="002A7F63">
        <w:rPr>
          <w:rFonts w:cs="Arial" w:hint="cs"/>
          <w:sz w:val="20"/>
          <w:szCs w:val="20"/>
          <w:rtl/>
        </w:rPr>
        <w:t>ליום</w:t>
      </w:r>
      <w:r w:rsidRPr="002A7F63">
        <w:rPr>
          <w:rFonts w:cs="Arial"/>
          <w:sz w:val="20"/>
          <w:szCs w:val="20"/>
          <w:rtl/>
        </w:rPr>
        <w:t xml:space="preserve"> </w:t>
      </w:r>
      <w:r w:rsidRPr="002A7F63">
        <w:rPr>
          <w:rFonts w:cs="Arial" w:hint="cs"/>
          <w:sz w:val="20"/>
          <w:szCs w:val="20"/>
          <w:rtl/>
        </w:rPr>
        <w:t>כ</w:t>
      </w:r>
      <w:r w:rsidRPr="002A7F63">
        <w:rPr>
          <w:rFonts w:cs="Arial"/>
          <w:sz w:val="20"/>
          <w:szCs w:val="20"/>
          <w:rtl/>
        </w:rPr>
        <w:t xml:space="preserve">' - </w:t>
      </w:r>
      <w:r w:rsidRPr="002A7F63">
        <w:rPr>
          <w:rFonts w:cs="Arial" w:hint="cs"/>
          <w:sz w:val="20"/>
          <w:szCs w:val="20"/>
          <w:rtl/>
        </w:rPr>
        <w:t>זה</w:t>
      </w:r>
      <w:r w:rsidRPr="002A7F63">
        <w:rPr>
          <w:rFonts w:cs="Arial"/>
          <w:sz w:val="20"/>
          <w:szCs w:val="20"/>
          <w:rtl/>
        </w:rPr>
        <w:t xml:space="preserve"> </w:t>
      </w:r>
      <w:r w:rsidRPr="002A7F63">
        <w:rPr>
          <w:rFonts w:cs="Arial" w:hint="cs"/>
          <w:sz w:val="20"/>
          <w:szCs w:val="20"/>
          <w:rtl/>
        </w:rPr>
        <w:t>וזה</w:t>
      </w:r>
      <w:r w:rsidRPr="002A7F63">
        <w:rPr>
          <w:rFonts w:cs="Arial"/>
          <w:sz w:val="20"/>
          <w:szCs w:val="20"/>
          <w:rtl/>
        </w:rPr>
        <w:t xml:space="preserve"> </w:t>
      </w:r>
      <w:r w:rsidRPr="002A7F63">
        <w:rPr>
          <w:rFonts w:cs="Arial" w:hint="cs"/>
          <w:sz w:val="20"/>
          <w:szCs w:val="20"/>
          <w:rtl/>
        </w:rPr>
        <w:t>אסורין</w:t>
      </w:r>
      <w:r w:rsidRPr="002A7F63">
        <w:rPr>
          <w:rFonts w:cs="Arial"/>
          <w:sz w:val="20"/>
          <w:szCs w:val="20"/>
          <w:rtl/>
        </w:rPr>
        <w:t xml:space="preserve">. </w:t>
      </w:r>
      <w:r w:rsidRPr="002A7F63">
        <w:rPr>
          <w:rFonts w:cs="Arial" w:hint="cs"/>
          <w:sz w:val="20"/>
          <w:szCs w:val="20"/>
          <w:rtl/>
        </w:rPr>
        <w:t>שינתה</w:t>
      </w:r>
      <w:r w:rsidRPr="002A7F63">
        <w:rPr>
          <w:rFonts w:cs="Arial"/>
          <w:sz w:val="20"/>
          <w:szCs w:val="20"/>
          <w:rtl/>
        </w:rPr>
        <w:t xml:space="preserve"> </w:t>
      </w:r>
      <w:r w:rsidRPr="002A7F63">
        <w:rPr>
          <w:rFonts w:cs="Arial" w:hint="cs"/>
          <w:sz w:val="20"/>
          <w:szCs w:val="20"/>
          <w:rtl/>
        </w:rPr>
        <w:t>פעמ</w:t>
      </w:r>
      <w:r>
        <w:rPr>
          <w:rFonts w:cs="Arial" w:hint="cs"/>
          <w:sz w:val="20"/>
          <w:szCs w:val="20"/>
          <w:rtl/>
        </w:rPr>
        <w:t>י</w:t>
      </w:r>
      <w:r w:rsidRPr="002A7F63">
        <w:rPr>
          <w:rFonts w:cs="Arial" w:hint="cs"/>
          <w:sz w:val="20"/>
          <w:szCs w:val="20"/>
          <w:rtl/>
        </w:rPr>
        <w:t>ים</w:t>
      </w:r>
      <w:r w:rsidRPr="002A7F63">
        <w:rPr>
          <w:rFonts w:cs="Arial"/>
          <w:sz w:val="20"/>
          <w:szCs w:val="20"/>
          <w:rtl/>
        </w:rPr>
        <w:t xml:space="preserve"> </w:t>
      </w:r>
      <w:r w:rsidRPr="002A7F63">
        <w:rPr>
          <w:rFonts w:cs="Arial" w:hint="cs"/>
          <w:sz w:val="20"/>
          <w:szCs w:val="20"/>
          <w:rtl/>
        </w:rPr>
        <w:t>ליום</w:t>
      </w:r>
      <w:r w:rsidRPr="002A7F63">
        <w:rPr>
          <w:rFonts w:cs="Arial"/>
          <w:sz w:val="20"/>
          <w:szCs w:val="20"/>
          <w:rtl/>
        </w:rPr>
        <w:t xml:space="preserve"> </w:t>
      </w:r>
      <w:r w:rsidRPr="002A7F63">
        <w:rPr>
          <w:rFonts w:cs="Arial" w:hint="cs"/>
          <w:sz w:val="20"/>
          <w:szCs w:val="20"/>
          <w:rtl/>
        </w:rPr>
        <w:t>כ</w:t>
      </w:r>
      <w:r w:rsidRPr="002A7F63">
        <w:rPr>
          <w:rFonts w:cs="Arial"/>
          <w:sz w:val="20"/>
          <w:szCs w:val="20"/>
          <w:rtl/>
        </w:rPr>
        <w:t xml:space="preserve">' - </w:t>
      </w:r>
      <w:r w:rsidRPr="002A7F63">
        <w:rPr>
          <w:rFonts w:cs="Arial" w:hint="cs"/>
          <w:sz w:val="20"/>
          <w:szCs w:val="20"/>
          <w:rtl/>
        </w:rPr>
        <w:t>זה</w:t>
      </w:r>
      <w:r w:rsidRPr="002A7F63">
        <w:rPr>
          <w:rFonts w:cs="Arial"/>
          <w:sz w:val="20"/>
          <w:szCs w:val="20"/>
          <w:rtl/>
        </w:rPr>
        <w:t xml:space="preserve"> </w:t>
      </w:r>
      <w:r w:rsidRPr="002A7F63">
        <w:rPr>
          <w:rFonts w:cs="Arial" w:hint="cs"/>
          <w:sz w:val="20"/>
          <w:szCs w:val="20"/>
          <w:rtl/>
        </w:rPr>
        <w:t>וזה</w:t>
      </w:r>
      <w:r w:rsidRPr="002A7F63">
        <w:rPr>
          <w:rFonts w:cs="Arial"/>
          <w:sz w:val="20"/>
          <w:szCs w:val="20"/>
          <w:rtl/>
        </w:rPr>
        <w:t xml:space="preserve"> </w:t>
      </w:r>
      <w:r w:rsidRPr="002A7F63">
        <w:rPr>
          <w:rFonts w:cs="Arial" w:hint="cs"/>
          <w:sz w:val="20"/>
          <w:szCs w:val="20"/>
          <w:rtl/>
        </w:rPr>
        <w:t>אסורין</w:t>
      </w:r>
      <w:r w:rsidRPr="002A7F63">
        <w:rPr>
          <w:rFonts w:cs="Arial"/>
          <w:sz w:val="20"/>
          <w:szCs w:val="20"/>
          <w:rtl/>
        </w:rPr>
        <w:t xml:space="preserve">. </w:t>
      </w:r>
      <w:r w:rsidRPr="002A7F63">
        <w:rPr>
          <w:rFonts w:cs="Arial" w:hint="cs"/>
          <w:sz w:val="20"/>
          <w:szCs w:val="20"/>
          <w:rtl/>
        </w:rPr>
        <w:t>שינתה</w:t>
      </w:r>
      <w:r w:rsidRPr="002A7F63">
        <w:rPr>
          <w:rFonts w:cs="Arial"/>
          <w:sz w:val="20"/>
          <w:szCs w:val="20"/>
          <w:rtl/>
        </w:rPr>
        <w:t xml:space="preserve"> </w:t>
      </w:r>
      <w:r w:rsidRPr="002A7F63">
        <w:rPr>
          <w:rFonts w:cs="Arial" w:hint="cs"/>
          <w:sz w:val="20"/>
          <w:szCs w:val="20"/>
          <w:rtl/>
        </w:rPr>
        <w:t>ג</w:t>
      </w:r>
      <w:r w:rsidRPr="002A7F63">
        <w:rPr>
          <w:rFonts w:cs="Arial"/>
          <w:sz w:val="20"/>
          <w:szCs w:val="20"/>
          <w:rtl/>
        </w:rPr>
        <w:t xml:space="preserve">' </w:t>
      </w:r>
      <w:r w:rsidRPr="002A7F63">
        <w:rPr>
          <w:rFonts w:cs="Arial" w:hint="cs"/>
          <w:sz w:val="20"/>
          <w:szCs w:val="20"/>
          <w:rtl/>
        </w:rPr>
        <w:t>פעמים</w:t>
      </w:r>
      <w:r w:rsidRPr="002A7F63">
        <w:rPr>
          <w:rFonts w:cs="Arial"/>
          <w:sz w:val="20"/>
          <w:szCs w:val="20"/>
          <w:rtl/>
        </w:rPr>
        <w:t xml:space="preserve"> </w:t>
      </w:r>
      <w:r w:rsidRPr="002A7F63">
        <w:rPr>
          <w:rFonts w:cs="Arial" w:hint="cs"/>
          <w:sz w:val="20"/>
          <w:szCs w:val="20"/>
          <w:rtl/>
        </w:rPr>
        <w:t>ליום</w:t>
      </w:r>
      <w:r w:rsidRPr="002A7F63">
        <w:rPr>
          <w:rFonts w:cs="Arial"/>
          <w:sz w:val="20"/>
          <w:szCs w:val="20"/>
          <w:rtl/>
        </w:rPr>
        <w:t xml:space="preserve"> </w:t>
      </w:r>
      <w:r w:rsidRPr="002A7F63">
        <w:rPr>
          <w:rFonts w:cs="Arial" w:hint="cs"/>
          <w:sz w:val="20"/>
          <w:szCs w:val="20"/>
          <w:rtl/>
        </w:rPr>
        <w:t>כ</w:t>
      </w:r>
      <w:r w:rsidRPr="002A7F63">
        <w:rPr>
          <w:rFonts w:cs="Arial"/>
          <w:sz w:val="20"/>
          <w:szCs w:val="20"/>
          <w:rtl/>
        </w:rPr>
        <w:t xml:space="preserve">' - </w:t>
      </w:r>
      <w:r w:rsidRPr="002A7F63">
        <w:rPr>
          <w:rFonts w:cs="Arial" w:hint="cs"/>
          <w:sz w:val="20"/>
          <w:szCs w:val="20"/>
          <w:rtl/>
        </w:rPr>
        <w:t>הותר</w:t>
      </w:r>
      <w:r w:rsidRPr="002A7F63">
        <w:rPr>
          <w:rFonts w:cs="Arial"/>
          <w:sz w:val="20"/>
          <w:szCs w:val="20"/>
          <w:rtl/>
        </w:rPr>
        <w:t xml:space="preserve"> </w:t>
      </w:r>
      <w:r w:rsidRPr="002A7F63">
        <w:rPr>
          <w:rFonts w:cs="Arial" w:hint="cs"/>
          <w:sz w:val="20"/>
          <w:szCs w:val="20"/>
          <w:rtl/>
        </w:rPr>
        <w:t>ט</w:t>
      </w:r>
      <w:r w:rsidRPr="002A7F63">
        <w:rPr>
          <w:rFonts w:cs="Arial"/>
          <w:sz w:val="20"/>
          <w:szCs w:val="20"/>
          <w:rtl/>
        </w:rPr>
        <w:t>"</w:t>
      </w:r>
      <w:r w:rsidRPr="002A7F63">
        <w:rPr>
          <w:rFonts w:cs="Arial" w:hint="cs"/>
          <w:sz w:val="20"/>
          <w:szCs w:val="20"/>
          <w:rtl/>
        </w:rPr>
        <w:t>ו</w:t>
      </w:r>
      <w:r w:rsidRPr="002A7F63">
        <w:rPr>
          <w:rFonts w:cs="Arial"/>
          <w:sz w:val="20"/>
          <w:szCs w:val="20"/>
          <w:rtl/>
        </w:rPr>
        <w:t xml:space="preserve">, </w:t>
      </w:r>
      <w:r w:rsidRPr="002A7F63">
        <w:rPr>
          <w:rFonts w:cs="Arial" w:hint="cs"/>
          <w:sz w:val="20"/>
          <w:szCs w:val="20"/>
          <w:rtl/>
        </w:rPr>
        <w:t>וקבעה</w:t>
      </w:r>
      <w:r w:rsidRPr="002A7F63">
        <w:rPr>
          <w:rFonts w:cs="Arial"/>
          <w:sz w:val="20"/>
          <w:szCs w:val="20"/>
          <w:rtl/>
        </w:rPr>
        <w:t xml:space="preserve"> </w:t>
      </w:r>
      <w:r w:rsidRPr="002A7F63">
        <w:rPr>
          <w:rFonts w:cs="Arial" w:hint="cs"/>
          <w:sz w:val="20"/>
          <w:szCs w:val="20"/>
          <w:rtl/>
        </w:rPr>
        <w:t>לה</w:t>
      </w:r>
      <w:r w:rsidRPr="002A7F63">
        <w:rPr>
          <w:rFonts w:cs="Arial"/>
          <w:sz w:val="20"/>
          <w:szCs w:val="20"/>
          <w:rtl/>
        </w:rPr>
        <w:t xml:space="preserve"> </w:t>
      </w:r>
      <w:r w:rsidRPr="002A7F63">
        <w:rPr>
          <w:rFonts w:cs="Arial" w:hint="cs"/>
          <w:sz w:val="20"/>
          <w:szCs w:val="20"/>
          <w:rtl/>
        </w:rPr>
        <w:t>יום</w:t>
      </w:r>
      <w:r w:rsidRPr="002A7F63">
        <w:rPr>
          <w:rFonts w:cs="Arial"/>
          <w:sz w:val="20"/>
          <w:szCs w:val="20"/>
          <w:rtl/>
        </w:rPr>
        <w:t xml:space="preserve"> </w:t>
      </w:r>
      <w:r w:rsidRPr="002A7F63">
        <w:rPr>
          <w:rFonts w:cs="Arial" w:hint="cs"/>
          <w:sz w:val="20"/>
          <w:szCs w:val="20"/>
          <w:rtl/>
        </w:rPr>
        <w:t>כ</w:t>
      </w:r>
      <w:r w:rsidRPr="002A7F63">
        <w:rPr>
          <w:rFonts w:cs="Arial"/>
          <w:sz w:val="20"/>
          <w:szCs w:val="20"/>
          <w:rtl/>
        </w:rPr>
        <w:t xml:space="preserve">', </w:t>
      </w:r>
      <w:r w:rsidRPr="002A7F63">
        <w:rPr>
          <w:rFonts w:cs="Arial" w:hint="cs"/>
          <w:sz w:val="20"/>
          <w:szCs w:val="20"/>
          <w:rtl/>
        </w:rPr>
        <w:t>שאין</w:t>
      </w:r>
      <w:r w:rsidRPr="002A7F63">
        <w:rPr>
          <w:rFonts w:cs="Arial"/>
          <w:sz w:val="20"/>
          <w:szCs w:val="20"/>
          <w:rtl/>
        </w:rPr>
        <w:t xml:space="preserve"> </w:t>
      </w:r>
      <w:r w:rsidRPr="002A7F63">
        <w:rPr>
          <w:rFonts w:cs="Arial" w:hint="cs"/>
          <w:sz w:val="20"/>
          <w:szCs w:val="20"/>
          <w:rtl/>
        </w:rPr>
        <w:t>אשה</w:t>
      </w:r>
      <w:r w:rsidRPr="002A7F63">
        <w:rPr>
          <w:rFonts w:cs="Arial"/>
          <w:sz w:val="20"/>
          <w:szCs w:val="20"/>
          <w:rtl/>
        </w:rPr>
        <w:t xml:space="preserve"> </w:t>
      </w:r>
      <w:r w:rsidRPr="002A7F63">
        <w:rPr>
          <w:rFonts w:cs="Arial" w:hint="cs"/>
          <w:sz w:val="20"/>
          <w:szCs w:val="20"/>
          <w:rtl/>
        </w:rPr>
        <w:t>קובעת</w:t>
      </w:r>
      <w:r w:rsidRPr="002A7F63">
        <w:rPr>
          <w:rFonts w:cs="Arial"/>
          <w:sz w:val="20"/>
          <w:szCs w:val="20"/>
          <w:rtl/>
        </w:rPr>
        <w:t xml:space="preserve"> </w:t>
      </w:r>
      <w:r w:rsidRPr="002A7F63">
        <w:rPr>
          <w:rFonts w:cs="Arial" w:hint="cs"/>
          <w:sz w:val="20"/>
          <w:szCs w:val="20"/>
          <w:rtl/>
        </w:rPr>
        <w:t>לה</w:t>
      </w:r>
      <w:r w:rsidRPr="002A7F63">
        <w:rPr>
          <w:rFonts w:cs="Arial"/>
          <w:sz w:val="20"/>
          <w:szCs w:val="20"/>
          <w:rtl/>
        </w:rPr>
        <w:t xml:space="preserve"> </w:t>
      </w:r>
      <w:r w:rsidRPr="002A7F63">
        <w:rPr>
          <w:rFonts w:cs="Arial" w:hint="cs"/>
          <w:sz w:val="20"/>
          <w:szCs w:val="20"/>
          <w:rtl/>
        </w:rPr>
        <w:t>וסת</w:t>
      </w:r>
      <w:r w:rsidRPr="002A7F63">
        <w:rPr>
          <w:rFonts w:cs="Arial"/>
          <w:sz w:val="20"/>
          <w:szCs w:val="20"/>
          <w:rtl/>
        </w:rPr>
        <w:t xml:space="preserve"> - </w:t>
      </w:r>
      <w:r w:rsidRPr="002A7F63">
        <w:rPr>
          <w:rFonts w:cs="Arial" w:hint="cs"/>
          <w:sz w:val="20"/>
          <w:szCs w:val="20"/>
          <w:rtl/>
        </w:rPr>
        <w:t>עד</w:t>
      </w:r>
      <w:r w:rsidRPr="002A7F63">
        <w:rPr>
          <w:rFonts w:cs="Arial"/>
          <w:sz w:val="20"/>
          <w:szCs w:val="20"/>
          <w:rtl/>
        </w:rPr>
        <w:t xml:space="preserve"> </w:t>
      </w:r>
      <w:r w:rsidRPr="002A7F63">
        <w:rPr>
          <w:rFonts w:cs="Arial" w:hint="cs"/>
          <w:sz w:val="20"/>
          <w:szCs w:val="20"/>
          <w:rtl/>
        </w:rPr>
        <w:t>שתקבענה</w:t>
      </w:r>
      <w:r w:rsidRPr="002A7F63">
        <w:rPr>
          <w:rFonts w:cs="Arial"/>
          <w:sz w:val="20"/>
          <w:szCs w:val="20"/>
          <w:rtl/>
        </w:rPr>
        <w:t xml:space="preserve"> </w:t>
      </w:r>
      <w:r w:rsidRPr="002A7F63">
        <w:rPr>
          <w:rFonts w:cs="Arial" w:hint="cs"/>
          <w:sz w:val="20"/>
          <w:szCs w:val="20"/>
          <w:rtl/>
        </w:rPr>
        <w:t>ג</w:t>
      </w:r>
      <w:r w:rsidRPr="002A7F63">
        <w:rPr>
          <w:rFonts w:cs="Arial"/>
          <w:sz w:val="20"/>
          <w:szCs w:val="20"/>
          <w:rtl/>
        </w:rPr>
        <w:t xml:space="preserve">' </w:t>
      </w:r>
      <w:r w:rsidRPr="002A7F63">
        <w:rPr>
          <w:rFonts w:cs="Arial" w:hint="cs"/>
          <w:sz w:val="20"/>
          <w:szCs w:val="20"/>
          <w:rtl/>
        </w:rPr>
        <w:t>פעמים</w:t>
      </w:r>
      <w:r w:rsidRPr="002A7F63">
        <w:rPr>
          <w:rFonts w:cs="Arial"/>
          <w:sz w:val="20"/>
          <w:szCs w:val="20"/>
          <w:rtl/>
        </w:rPr>
        <w:t xml:space="preserve">, </w:t>
      </w:r>
      <w:r w:rsidRPr="002A7F63">
        <w:rPr>
          <w:rFonts w:cs="Arial" w:hint="cs"/>
          <w:sz w:val="20"/>
          <w:szCs w:val="20"/>
          <w:rtl/>
        </w:rPr>
        <w:t>ואינה</w:t>
      </w:r>
      <w:r w:rsidRPr="002A7F63">
        <w:rPr>
          <w:rFonts w:cs="Arial"/>
          <w:sz w:val="20"/>
          <w:szCs w:val="20"/>
          <w:rtl/>
        </w:rPr>
        <w:t xml:space="preserve"> </w:t>
      </w:r>
      <w:r w:rsidRPr="002A7F63">
        <w:rPr>
          <w:rFonts w:cs="Arial" w:hint="cs"/>
          <w:sz w:val="20"/>
          <w:szCs w:val="20"/>
          <w:rtl/>
        </w:rPr>
        <w:t>מטהרת</w:t>
      </w:r>
      <w:r w:rsidRPr="002A7F63">
        <w:rPr>
          <w:rFonts w:cs="Arial"/>
          <w:sz w:val="20"/>
          <w:szCs w:val="20"/>
          <w:rtl/>
        </w:rPr>
        <w:t xml:space="preserve"> </w:t>
      </w:r>
      <w:r w:rsidRPr="002A7F63">
        <w:rPr>
          <w:rFonts w:cs="Arial" w:hint="cs"/>
          <w:sz w:val="20"/>
          <w:szCs w:val="20"/>
          <w:rtl/>
        </w:rPr>
        <w:t>מן</w:t>
      </w:r>
      <w:r w:rsidRPr="002A7F63">
        <w:rPr>
          <w:rFonts w:cs="Arial"/>
          <w:sz w:val="20"/>
          <w:szCs w:val="20"/>
          <w:rtl/>
        </w:rPr>
        <w:t xml:space="preserve"> </w:t>
      </w:r>
      <w:r w:rsidRPr="002A7F63">
        <w:rPr>
          <w:rFonts w:cs="Arial" w:hint="cs"/>
          <w:sz w:val="20"/>
          <w:szCs w:val="20"/>
          <w:rtl/>
        </w:rPr>
        <w:t>הוסת</w:t>
      </w:r>
      <w:r w:rsidRPr="002A7F63">
        <w:rPr>
          <w:rFonts w:cs="Arial"/>
          <w:sz w:val="20"/>
          <w:szCs w:val="20"/>
          <w:rtl/>
        </w:rPr>
        <w:t xml:space="preserve"> - </w:t>
      </w:r>
      <w:r w:rsidRPr="002A7F63">
        <w:rPr>
          <w:rFonts w:cs="Arial" w:hint="cs"/>
          <w:sz w:val="20"/>
          <w:szCs w:val="20"/>
          <w:rtl/>
        </w:rPr>
        <w:t>עד</w:t>
      </w:r>
      <w:r w:rsidRPr="002A7F63">
        <w:rPr>
          <w:rFonts w:cs="Arial"/>
          <w:sz w:val="20"/>
          <w:szCs w:val="20"/>
          <w:rtl/>
        </w:rPr>
        <w:t xml:space="preserve"> </w:t>
      </w:r>
      <w:r w:rsidRPr="002A7F63">
        <w:rPr>
          <w:rFonts w:cs="Arial" w:hint="cs"/>
          <w:sz w:val="20"/>
          <w:szCs w:val="20"/>
          <w:rtl/>
        </w:rPr>
        <w:t>שתעקר</w:t>
      </w:r>
      <w:r w:rsidRPr="002A7F63">
        <w:rPr>
          <w:rFonts w:cs="Arial"/>
          <w:sz w:val="20"/>
          <w:szCs w:val="20"/>
          <w:rtl/>
        </w:rPr>
        <w:t xml:space="preserve"> </w:t>
      </w:r>
      <w:r w:rsidRPr="002A7F63">
        <w:rPr>
          <w:rFonts w:cs="Arial" w:hint="cs"/>
          <w:sz w:val="20"/>
          <w:szCs w:val="20"/>
          <w:rtl/>
        </w:rPr>
        <w:t>ממנה</w:t>
      </w:r>
      <w:r w:rsidRPr="002A7F63">
        <w:rPr>
          <w:rFonts w:cs="Arial"/>
          <w:sz w:val="20"/>
          <w:szCs w:val="20"/>
          <w:rtl/>
        </w:rPr>
        <w:t xml:space="preserve"> </w:t>
      </w:r>
      <w:r w:rsidRPr="002A7F63">
        <w:rPr>
          <w:rFonts w:cs="Arial" w:hint="cs"/>
          <w:sz w:val="20"/>
          <w:szCs w:val="20"/>
          <w:rtl/>
        </w:rPr>
        <w:t>ג</w:t>
      </w:r>
      <w:r w:rsidRPr="002A7F63">
        <w:rPr>
          <w:rFonts w:cs="Arial"/>
          <w:sz w:val="20"/>
          <w:szCs w:val="20"/>
          <w:rtl/>
        </w:rPr>
        <w:t xml:space="preserve">' </w:t>
      </w:r>
      <w:r w:rsidRPr="002A7F63">
        <w:rPr>
          <w:rFonts w:cs="Arial" w:hint="cs"/>
          <w:sz w:val="20"/>
          <w:szCs w:val="20"/>
          <w:rtl/>
        </w:rPr>
        <w:t>פעמים</w:t>
      </w:r>
      <w:r>
        <w:rPr>
          <w:rFonts w:cs="Arial" w:hint="cs"/>
          <w:sz w:val="20"/>
          <w:szCs w:val="20"/>
          <w:rtl/>
        </w:rPr>
        <w:t>...</w:t>
      </w:r>
      <w:r>
        <w:rPr>
          <w:rFonts w:cs="Arial"/>
          <w:sz w:val="20"/>
          <w:szCs w:val="20"/>
          <w:rtl/>
        </w:rPr>
        <w:br/>
      </w:r>
      <w:r w:rsidRPr="00FD5A9A">
        <w:rPr>
          <w:rFonts w:cs="Arial" w:hint="cs"/>
          <w:b/>
          <w:bCs/>
          <w:sz w:val="20"/>
          <w:szCs w:val="20"/>
          <w:rtl/>
        </w:rPr>
        <w:t>גמרא</w:t>
      </w:r>
      <w:r>
        <w:rPr>
          <w:rFonts w:cs="Arial" w:hint="cs"/>
          <w:sz w:val="20"/>
          <w:szCs w:val="20"/>
          <w:rtl/>
        </w:rPr>
        <w:t xml:space="preserve"> (סד.) "</w:t>
      </w:r>
      <w:r w:rsidRPr="00A6703A">
        <w:rPr>
          <w:rFonts w:cs="Arial"/>
          <w:sz w:val="20"/>
          <w:szCs w:val="20"/>
          <w:rtl/>
        </w:rPr>
        <w:t>א</w:t>
      </w:r>
      <w:r>
        <w:rPr>
          <w:rFonts w:cs="Arial" w:hint="cs"/>
          <w:sz w:val="20"/>
          <w:szCs w:val="20"/>
          <w:rtl/>
        </w:rPr>
        <w:t xml:space="preserve">מר </w:t>
      </w:r>
      <w:r w:rsidRPr="00A6703A">
        <w:rPr>
          <w:rFonts w:cs="Arial"/>
          <w:sz w:val="20"/>
          <w:szCs w:val="20"/>
          <w:rtl/>
        </w:rPr>
        <w:t>ר</w:t>
      </w:r>
      <w:r>
        <w:rPr>
          <w:rFonts w:cs="Arial" w:hint="cs"/>
          <w:sz w:val="20"/>
          <w:szCs w:val="20"/>
          <w:rtl/>
        </w:rPr>
        <w:t>ב</w:t>
      </w:r>
      <w:r w:rsidRPr="00A6703A">
        <w:rPr>
          <w:rFonts w:cs="Arial"/>
          <w:sz w:val="20"/>
          <w:szCs w:val="20"/>
          <w:rtl/>
        </w:rPr>
        <w:t xml:space="preserve"> פפא: לא אמרן, אלא דקבעתיה תלתא זימני - דצריכי תלתא זימני למעקריה, אבל תרי זימני - בחדא זימנא מיעקר</w:t>
      </w:r>
      <w:r>
        <w:rPr>
          <w:rFonts w:cs="Arial" w:hint="cs"/>
          <w:sz w:val="20"/>
          <w:szCs w:val="20"/>
          <w:rtl/>
        </w:rPr>
        <w:t>".</w:t>
      </w:r>
      <w:r>
        <w:rPr>
          <w:rFonts w:cs="Arial" w:hint="cs"/>
          <w:sz w:val="20"/>
          <w:szCs w:val="20"/>
          <w:rtl/>
        </w:rPr>
        <w:br/>
      </w:r>
      <w:r>
        <w:rPr>
          <w:rFonts w:cs="Arial" w:hint="cs"/>
          <w:sz w:val="20"/>
          <w:szCs w:val="20"/>
          <w:rtl/>
        </w:rPr>
        <w:br/>
      </w:r>
      <w:r>
        <w:rPr>
          <w:rFonts w:cs="Arial" w:hint="cs"/>
          <w:b/>
          <w:bCs/>
          <w:sz w:val="20"/>
          <w:szCs w:val="20"/>
          <w:rtl/>
        </w:rPr>
        <w:t>דינים העולים מהמקורות הנ"ל</w:t>
      </w:r>
      <w:r>
        <w:rPr>
          <w:rFonts w:cs="Arial"/>
          <w:b/>
          <w:bCs/>
          <w:sz w:val="20"/>
          <w:szCs w:val="20"/>
          <w:rtl/>
        </w:rPr>
        <w:br/>
      </w:r>
      <w:r>
        <w:rPr>
          <w:rFonts w:cs="Arial" w:hint="cs"/>
          <w:sz w:val="20"/>
          <w:szCs w:val="20"/>
          <w:rtl/>
        </w:rPr>
        <w:t>א. בווסת שאינו קבוע יש לחוש לראייה האחרונה, כלומר להפלגה וליום החודש</w:t>
      </w:r>
      <w:r>
        <w:rPr>
          <w:rStyle w:val="a5"/>
          <w:rFonts w:cs="Arial"/>
          <w:sz w:val="20"/>
          <w:szCs w:val="20"/>
          <w:rtl/>
        </w:rPr>
        <w:footnoteReference w:id="171"/>
      </w:r>
      <w:r>
        <w:rPr>
          <w:rFonts w:cs="Arial" w:hint="cs"/>
          <w:sz w:val="20"/>
          <w:szCs w:val="20"/>
          <w:rtl/>
        </w:rPr>
        <w:t xml:space="preserve">. </w:t>
      </w:r>
      <w:r>
        <w:rPr>
          <w:rFonts w:cs="Arial"/>
          <w:sz w:val="20"/>
          <w:szCs w:val="20"/>
          <w:rtl/>
        </w:rPr>
        <w:br/>
      </w:r>
      <w:r>
        <w:rPr>
          <w:rFonts w:cs="Arial" w:hint="cs"/>
          <w:sz w:val="20"/>
          <w:szCs w:val="20"/>
          <w:rtl/>
        </w:rPr>
        <w:t>לעומת זאת בווסת קבוע חוששת רק לקביעותה, דהיינו להפלגה או ליום החודש אך לא לשניהם יחד.</w:t>
      </w:r>
      <w:r>
        <w:rPr>
          <w:rFonts w:cs="Arial"/>
          <w:sz w:val="20"/>
          <w:szCs w:val="20"/>
          <w:rtl/>
        </w:rPr>
        <w:br/>
      </w:r>
      <w:r>
        <w:rPr>
          <w:rFonts w:cs="Arial" w:hint="cs"/>
          <w:sz w:val="20"/>
          <w:szCs w:val="20"/>
          <w:rtl/>
        </w:rPr>
        <w:t>ב. ווסת קבוע נעקר רק בג' פעמים, ווסת שאינו קבוע נעקר בפעם אחת.</w:t>
      </w:r>
      <w:r>
        <w:rPr>
          <w:rFonts w:cs="Arial"/>
          <w:sz w:val="20"/>
          <w:szCs w:val="20"/>
          <w:rtl/>
        </w:rPr>
        <w:br/>
      </w:r>
      <w:r>
        <w:rPr>
          <w:rFonts w:cs="Arial"/>
          <w:b/>
          <w:bCs/>
          <w:sz w:val="20"/>
          <w:szCs w:val="20"/>
          <w:rtl/>
        </w:rPr>
        <w:br/>
      </w:r>
      <w:r>
        <w:rPr>
          <w:rFonts w:cs="Arial" w:hint="cs"/>
          <w:b/>
          <w:bCs/>
          <w:sz w:val="20"/>
          <w:szCs w:val="20"/>
          <w:rtl/>
        </w:rPr>
        <w:t>פסיקת הלכה</w:t>
      </w:r>
      <w:r>
        <w:rPr>
          <w:rFonts w:cs="Arial"/>
          <w:b/>
          <w:bCs/>
          <w:sz w:val="20"/>
          <w:szCs w:val="20"/>
          <w:rtl/>
        </w:rPr>
        <w:br/>
      </w:r>
      <w:r>
        <w:rPr>
          <w:rFonts w:cs="Arial" w:hint="cs"/>
          <w:b/>
          <w:bCs/>
          <w:sz w:val="20"/>
          <w:szCs w:val="20"/>
          <w:rtl/>
        </w:rPr>
        <w:t xml:space="preserve">שולחן ערוך </w:t>
      </w:r>
      <w:r>
        <w:rPr>
          <w:rFonts w:cs="Arial"/>
          <w:sz w:val="20"/>
          <w:szCs w:val="20"/>
          <w:rtl/>
        </w:rPr>
        <w:t>–</w:t>
      </w:r>
      <w:r>
        <w:rPr>
          <w:rFonts w:cs="Arial" w:hint="cs"/>
          <w:sz w:val="20"/>
          <w:szCs w:val="20"/>
          <w:rtl/>
        </w:rPr>
        <w:t xml:space="preserve"> "</w:t>
      </w:r>
      <w:r w:rsidRPr="002A7F63">
        <w:rPr>
          <w:rFonts w:cs="Arial" w:hint="cs"/>
          <w:sz w:val="20"/>
          <w:szCs w:val="20"/>
          <w:rtl/>
        </w:rPr>
        <w:t>ואפילו</w:t>
      </w:r>
      <w:r w:rsidRPr="002A7F63">
        <w:rPr>
          <w:rFonts w:cs="Arial"/>
          <w:sz w:val="20"/>
          <w:szCs w:val="20"/>
          <w:rtl/>
        </w:rPr>
        <w:t xml:space="preserve"> </w:t>
      </w:r>
      <w:r w:rsidRPr="002A7F63">
        <w:rPr>
          <w:rFonts w:cs="Arial" w:hint="cs"/>
          <w:sz w:val="20"/>
          <w:szCs w:val="20"/>
          <w:rtl/>
        </w:rPr>
        <w:t>קודם</w:t>
      </w:r>
      <w:r w:rsidRPr="002A7F63">
        <w:rPr>
          <w:rFonts w:cs="Arial"/>
          <w:sz w:val="20"/>
          <w:szCs w:val="20"/>
          <w:rtl/>
        </w:rPr>
        <w:t xml:space="preserve"> </w:t>
      </w:r>
      <w:r w:rsidRPr="002A7F63">
        <w:rPr>
          <w:rFonts w:cs="Arial" w:hint="cs"/>
          <w:sz w:val="20"/>
          <w:szCs w:val="20"/>
          <w:rtl/>
        </w:rPr>
        <w:t>שקבעתו</w:t>
      </w:r>
      <w:r w:rsidRPr="002A7F63">
        <w:rPr>
          <w:rFonts w:cs="Arial"/>
          <w:sz w:val="20"/>
          <w:szCs w:val="20"/>
          <w:rtl/>
        </w:rPr>
        <w:t xml:space="preserve"> </w:t>
      </w:r>
      <w:r w:rsidRPr="002A7F63">
        <w:rPr>
          <w:rFonts w:cs="Arial" w:hint="cs"/>
          <w:sz w:val="20"/>
          <w:szCs w:val="20"/>
          <w:rtl/>
        </w:rPr>
        <w:t>שלש</w:t>
      </w:r>
      <w:r w:rsidRPr="002A7F63">
        <w:rPr>
          <w:rFonts w:cs="Arial"/>
          <w:sz w:val="20"/>
          <w:szCs w:val="20"/>
          <w:rtl/>
        </w:rPr>
        <w:t xml:space="preserve"> </w:t>
      </w:r>
      <w:r w:rsidRPr="002A7F63">
        <w:rPr>
          <w:rFonts w:cs="Arial" w:hint="cs"/>
          <w:sz w:val="20"/>
          <w:szCs w:val="20"/>
          <w:rtl/>
        </w:rPr>
        <w:t>פעמים</w:t>
      </w:r>
      <w:r w:rsidRPr="002A7F63">
        <w:rPr>
          <w:rFonts w:cs="Arial"/>
          <w:sz w:val="20"/>
          <w:szCs w:val="20"/>
          <w:rtl/>
        </w:rPr>
        <w:t xml:space="preserve"> </w:t>
      </w:r>
      <w:r w:rsidRPr="002A7F63">
        <w:rPr>
          <w:rFonts w:cs="Arial" w:hint="cs"/>
          <w:sz w:val="20"/>
          <w:szCs w:val="20"/>
          <w:rtl/>
        </w:rPr>
        <w:t>חוששת</w:t>
      </w:r>
      <w:r w:rsidRPr="002A7F63">
        <w:rPr>
          <w:rFonts w:cs="Arial"/>
          <w:sz w:val="20"/>
          <w:szCs w:val="20"/>
          <w:rtl/>
        </w:rPr>
        <w:t xml:space="preserve">, </w:t>
      </w:r>
      <w:r w:rsidRPr="002A7F63">
        <w:rPr>
          <w:rFonts w:cs="Arial" w:hint="cs"/>
          <w:sz w:val="20"/>
          <w:szCs w:val="20"/>
          <w:rtl/>
        </w:rPr>
        <w:t>שמיד</w:t>
      </w:r>
      <w:r w:rsidRPr="002A7F63">
        <w:rPr>
          <w:rFonts w:cs="Arial"/>
          <w:sz w:val="20"/>
          <w:szCs w:val="20"/>
          <w:rtl/>
        </w:rPr>
        <w:t xml:space="preserve"> </w:t>
      </w:r>
      <w:r w:rsidRPr="002A7F63">
        <w:rPr>
          <w:rFonts w:cs="Arial" w:hint="cs"/>
          <w:sz w:val="20"/>
          <w:szCs w:val="20"/>
          <w:rtl/>
        </w:rPr>
        <w:t>אחר</w:t>
      </w:r>
      <w:r w:rsidRPr="002A7F63">
        <w:rPr>
          <w:rFonts w:cs="Arial"/>
          <w:sz w:val="20"/>
          <w:szCs w:val="20"/>
          <w:rtl/>
        </w:rPr>
        <w:t xml:space="preserve"> </w:t>
      </w:r>
      <w:r w:rsidRPr="002A7F63">
        <w:rPr>
          <w:rFonts w:cs="Arial" w:hint="cs"/>
          <w:sz w:val="20"/>
          <w:szCs w:val="20"/>
          <w:rtl/>
        </w:rPr>
        <w:t>שראתה</w:t>
      </w:r>
      <w:r w:rsidRPr="002A7F63">
        <w:rPr>
          <w:rFonts w:cs="Arial"/>
          <w:sz w:val="20"/>
          <w:szCs w:val="20"/>
          <w:rtl/>
        </w:rPr>
        <w:t xml:space="preserve"> </w:t>
      </w:r>
      <w:r w:rsidRPr="002A7F63">
        <w:rPr>
          <w:rFonts w:cs="Arial" w:hint="cs"/>
          <w:sz w:val="20"/>
          <w:szCs w:val="20"/>
          <w:rtl/>
        </w:rPr>
        <w:t>פעם</w:t>
      </w:r>
      <w:r w:rsidRPr="002A7F63">
        <w:rPr>
          <w:rFonts w:cs="Arial"/>
          <w:sz w:val="20"/>
          <w:szCs w:val="20"/>
          <w:rtl/>
        </w:rPr>
        <w:t xml:space="preserve"> </w:t>
      </w:r>
      <w:r w:rsidRPr="002A7F63">
        <w:rPr>
          <w:rFonts w:cs="Arial" w:hint="cs"/>
          <w:sz w:val="20"/>
          <w:szCs w:val="20"/>
          <w:rtl/>
        </w:rPr>
        <w:t>אחת</w:t>
      </w:r>
      <w:r w:rsidRPr="002A7F63">
        <w:rPr>
          <w:rFonts w:cs="Arial"/>
          <w:sz w:val="20"/>
          <w:szCs w:val="20"/>
          <w:rtl/>
        </w:rPr>
        <w:t xml:space="preserve"> </w:t>
      </w:r>
      <w:r w:rsidRPr="002A7F63">
        <w:rPr>
          <w:rFonts w:cs="Arial" w:hint="cs"/>
          <w:sz w:val="20"/>
          <w:szCs w:val="20"/>
          <w:rtl/>
        </w:rPr>
        <w:t>לסוף</w:t>
      </w:r>
      <w:r w:rsidRPr="002A7F63">
        <w:rPr>
          <w:rFonts w:cs="Arial"/>
          <w:sz w:val="20"/>
          <w:szCs w:val="20"/>
          <w:rtl/>
        </w:rPr>
        <w:t xml:space="preserve"> </w:t>
      </w:r>
      <w:r w:rsidRPr="002A7F63">
        <w:rPr>
          <w:rFonts w:cs="Arial" w:hint="cs"/>
          <w:sz w:val="20"/>
          <w:szCs w:val="20"/>
          <w:rtl/>
        </w:rPr>
        <w:t>כ</w:t>
      </w:r>
      <w:r w:rsidRPr="002A7F63">
        <w:rPr>
          <w:rFonts w:cs="Arial"/>
          <w:sz w:val="20"/>
          <w:szCs w:val="20"/>
          <w:rtl/>
        </w:rPr>
        <w:t xml:space="preserve">' </w:t>
      </w:r>
      <w:r w:rsidRPr="002A7F63">
        <w:rPr>
          <w:rFonts w:cs="Arial" w:hint="cs"/>
          <w:sz w:val="20"/>
          <w:szCs w:val="20"/>
          <w:rtl/>
        </w:rPr>
        <w:t>חוששת</w:t>
      </w:r>
      <w:r w:rsidRPr="002A7F63">
        <w:rPr>
          <w:rFonts w:cs="Arial"/>
          <w:sz w:val="20"/>
          <w:szCs w:val="20"/>
          <w:rtl/>
        </w:rPr>
        <w:t xml:space="preserve"> </w:t>
      </w:r>
      <w:r w:rsidRPr="002A7F63">
        <w:rPr>
          <w:rFonts w:cs="Arial" w:hint="cs"/>
          <w:sz w:val="20"/>
          <w:szCs w:val="20"/>
          <w:rtl/>
        </w:rPr>
        <w:t>מכאן</w:t>
      </w:r>
      <w:r w:rsidRPr="002A7F63">
        <w:rPr>
          <w:rFonts w:cs="Arial"/>
          <w:sz w:val="20"/>
          <w:szCs w:val="20"/>
          <w:rtl/>
        </w:rPr>
        <w:t xml:space="preserve"> </w:t>
      </w:r>
      <w:r w:rsidRPr="002A7F63">
        <w:rPr>
          <w:rFonts w:cs="Arial" w:hint="cs"/>
          <w:sz w:val="20"/>
          <w:szCs w:val="20"/>
          <w:rtl/>
        </w:rPr>
        <w:t>ואילך</w:t>
      </w:r>
      <w:r w:rsidRPr="002A7F63">
        <w:rPr>
          <w:rFonts w:cs="Arial"/>
          <w:sz w:val="20"/>
          <w:szCs w:val="20"/>
          <w:rtl/>
        </w:rPr>
        <w:t xml:space="preserve"> </w:t>
      </w:r>
      <w:r w:rsidRPr="002A7F63">
        <w:rPr>
          <w:rFonts w:cs="Arial" w:hint="cs"/>
          <w:sz w:val="20"/>
          <w:szCs w:val="20"/>
          <w:rtl/>
        </w:rPr>
        <w:t>כשיגיע</w:t>
      </w:r>
      <w:r w:rsidRPr="002A7F63">
        <w:rPr>
          <w:rFonts w:cs="Arial"/>
          <w:sz w:val="20"/>
          <w:szCs w:val="20"/>
          <w:rtl/>
        </w:rPr>
        <w:t xml:space="preserve"> </w:t>
      </w:r>
      <w:r w:rsidRPr="002A7F63">
        <w:rPr>
          <w:rFonts w:cs="Arial" w:hint="cs"/>
          <w:sz w:val="20"/>
          <w:szCs w:val="20"/>
          <w:rtl/>
        </w:rPr>
        <w:t>כ</w:t>
      </w:r>
      <w:r w:rsidRPr="002A7F63">
        <w:rPr>
          <w:rFonts w:cs="Arial"/>
          <w:sz w:val="20"/>
          <w:szCs w:val="20"/>
          <w:rtl/>
        </w:rPr>
        <w:t xml:space="preserve">', </w:t>
      </w:r>
      <w:r w:rsidRPr="002A7F63">
        <w:rPr>
          <w:rFonts w:cs="Arial" w:hint="cs"/>
          <w:sz w:val="20"/>
          <w:szCs w:val="20"/>
          <w:rtl/>
        </w:rPr>
        <w:t>וכן</w:t>
      </w:r>
      <w:r w:rsidRPr="002A7F63">
        <w:rPr>
          <w:rFonts w:cs="Arial"/>
          <w:sz w:val="20"/>
          <w:szCs w:val="20"/>
          <w:rtl/>
        </w:rPr>
        <w:t xml:space="preserve"> </w:t>
      </w:r>
      <w:r w:rsidRPr="002A7F63">
        <w:rPr>
          <w:rFonts w:cs="Arial" w:hint="cs"/>
          <w:sz w:val="20"/>
          <w:szCs w:val="20"/>
          <w:rtl/>
        </w:rPr>
        <w:t>בראיית</w:t>
      </w:r>
      <w:r w:rsidRPr="002A7F63">
        <w:rPr>
          <w:rFonts w:cs="Arial"/>
          <w:sz w:val="20"/>
          <w:szCs w:val="20"/>
          <w:rtl/>
        </w:rPr>
        <w:t xml:space="preserve"> </w:t>
      </w:r>
      <w:r w:rsidRPr="002A7F63">
        <w:rPr>
          <w:rFonts w:cs="Arial" w:hint="cs"/>
          <w:sz w:val="20"/>
          <w:szCs w:val="20"/>
          <w:rtl/>
        </w:rPr>
        <w:t>הימים</w:t>
      </w:r>
      <w:r w:rsidRPr="002A7F63">
        <w:rPr>
          <w:rFonts w:cs="Arial"/>
          <w:sz w:val="20"/>
          <w:szCs w:val="20"/>
          <w:rtl/>
        </w:rPr>
        <w:t xml:space="preserve"> </w:t>
      </w:r>
      <w:r w:rsidRPr="002A7F63">
        <w:rPr>
          <w:rFonts w:cs="Arial" w:hint="cs"/>
          <w:sz w:val="20"/>
          <w:szCs w:val="20"/>
          <w:rtl/>
        </w:rPr>
        <w:t>שהיא</w:t>
      </w:r>
      <w:r w:rsidRPr="002A7F63">
        <w:rPr>
          <w:rFonts w:cs="Arial"/>
          <w:sz w:val="20"/>
          <w:szCs w:val="20"/>
          <w:rtl/>
        </w:rPr>
        <w:t xml:space="preserve"> </w:t>
      </w:r>
      <w:r w:rsidRPr="002A7F63">
        <w:rPr>
          <w:rFonts w:cs="Arial" w:hint="cs"/>
          <w:sz w:val="20"/>
          <w:szCs w:val="20"/>
          <w:rtl/>
        </w:rPr>
        <w:t>לימים</w:t>
      </w:r>
      <w:r w:rsidRPr="002A7F63">
        <w:rPr>
          <w:rFonts w:cs="Arial"/>
          <w:sz w:val="20"/>
          <w:szCs w:val="20"/>
          <w:rtl/>
        </w:rPr>
        <w:t xml:space="preserve"> </w:t>
      </w:r>
      <w:r w:rsidRPr="002A7F63">
        <w:rPr>
          <w:rFonts w:cs="Arial" w:hint="cs"/>
          <w:sz w:val="20"/>
          <w:szCs w:val="20"/>
          <w:rtl/>
        </w:rPr>
        <w:t>ידועים</w:t>
      </w:r>
      <w:r w:rsidRPr="002A7F63">
        <w:rPr>
          <w:rFonts w:cs="Arial"/>
          <w:sz w:val="20"/>
          <w:szCs w:val="20"/>
          <w:rtl/>
        </w:rPr>
        <w:t xml:space="preserve"> </w:t>
      </w:r>
      <w:r w:rsidRPr="002A7F63">
        <w:rPr>
          <w:rFonts w:cs="Arial" w:hint="cs"/>
          <w:sz w:val="20"/>
          <w:szCs w:val="20"/>
          <w:rtl/>
        </w:rPr>
        <w:t>לח</w:t>
      </w:r>
      <w:r>
        <w:rPr>
          <w:rFonts w:cs="Arial" w:hint="cs"/>
          <w:sz w:val="20"/>
          <w:szCs w:val="20"/>
          <w:rtl/>
        </w:rPr>
        <w:t>ו</w:t>
      </w:r>
      <w:r w:rsidRPr="002A7F63">
        <w:rPr>
          <w:rFonts w:cs="Arial" w:hint="cs"/>
          <w:sz w:val="20"/>
          <w:szCs w:val="20"/>
          <w:rtl/>
        </w:rPr>
        <w:t>דש</w:t>
      </w:r>
      <w:r w:rsidRPr="002A7F63">
        <w:rPr>
          <w:rFonts w:cs="Arial"/>
          <w:sz w:val="20"/>
          <w:szCs w:val="20"/>
          <w:rtl/>
        </w:rPr>
        <w:t xml:space="preserve">, </w:t>
      </w:r>
      <w:r w:rsidRPr="002A7F63">
        <w:rPr>
          <w:rFonts w:cs="Arial" w:hint="cs"/>
          <w:sz w:val="20"/>
          <w:szCs w:val="20"/>
          <w:rtl/>
        </w:rPr>
        <w:t>מיד</w:t>
      </w:r>
      <w:r w:rsidRPr="002A7F63">
        <w:rPr>
          <w:rFonts w:cs="Arial"/>
          <w:sz w:val="20"/>
          <w:szCs w:val="20"/>
          <w:rtl/>
        </w:rPr>
        <w:t xml:space="preserve"> </w:t>
      </w:r>
      <w:r w:rsidRPr="002A7F63">
        <w:rPr>
          <w:rFonts w:cs="Arial" w:hint="cs"/>
          <w:sz w:val="20"/>
          <w:szCs w:val="20"/>
          <w:rtl/>
        </w:rPr>
        <w:t>אחר</w:t>
      </w:r>
      <w:r w:rsidRPr="002A7F63">
        <w:rPr>
          <w:rFonts w:cs="Arial"/>
          <w:sz w:val="20"/>
          <w:szCs w:val="20"/>
          <w:rtl/>
        </w:rPr>
        <w:t xml:space="preserve"> </w:t>
      </w:r>
      <w:r w:rsidRPr="002A7F63">
        <w:rPr>
          <w:rFonts w:cs="Arial" w:hint="cs"/>
          <w:sz w:val="20"/>
          <w:szCs w:val="20"/>
          <w:rtl/>
        </w:rPr>
        <w:t>שראתה</w:t>
      </w:r>
      <w:r w:rsidRPr="002A7F63">
        <w:rPr>
          <w:rFonts w:cs="Arial"/>
          <w:sz w:val="20"/>
          <w:szCs w:val="20"/>
          <w:rtl/>
        </w:rPr>
        <w:t xml:space="preserve"> </w:t>
      </w:r>
      <w:r w:rsidRPr="002A7F63">
        <w:rPr>
          <w:rFonts w:cs="Arial" w:hint="cs"/>
          <w:sz w:val="20"/>
          <w:szCs w:val="20"/>
          <w:rtl/>
        </w:rPr>
        <w:t>פעם</w:t>
      </w:r>
      <w:r w:rsidRPr="002A7F63">
        <w:rPr>
          <w:rFonts w:cs="Arial"/>
          <w:sz w:val="20"/>
          <w:szCs w:val="20"/>
          <w:rtl/>
        </w:rPr>
        <w:t xml:space="preserve"> </w:t>
      </w:r>
      <w:r w:rsidRPr="002A7F63">
        <w:rPr>
          <w:rFonts w:cs="Arial" w:hint="cs"/>
          <w:sz w:val="20"/>
          <w:szCs w:val="20"/>
          <w:rtl/>
        </w:rPr>
        <w:t>אחת</w:t>
      </w:r>
      <w:r w:rsidRPr="002A7F63">
        <w:rPr>
          <w:rFonts w:cs="Arial"/>
          <w:sz w:val="20"/>
          <w:szCs w:val="20"/>
          <w:rtl/>
        </w:rPr>
        <w:t xml:space="preserve"> </w:t>
      </w:r>
      <w:r w:rsidRPr="002A7F63">
        <w:rPr>
          <w:rFonts w:cs="Arial" w:hint="cs"/>
          <w:sz w:val="20"/>
          <w:szCs w:val="20"/>
          <w:rtl/>
        </w:rPr>
        <w:t>ליום</w:t>
      </w:r>
      <w:r w:rsidRPr="002A7F63">
        <w:rPr>
          <w:rFonts w:cs="Arial"/>
          <w:sz w:val="20"/>
          <w:szCs w:val="20"/>
          <w:rtl/>
        </w:rPr>
        <w:t xml:space="preserve"> </w:t>
      </w:r>
      <w:r w:rsidRPr="002A7F63">
        <w:rPr>
          <w:rFonts w:cs="Arial" w:hint="cs"/>
          <w:sz w:val="20"/>
          <w:szCs w:val="20"/>
          <w:rtl/>
        </w:rPr>
        <w:t>ידוע</w:t>
      </w:r>
      <w:r w:rsidRPr="002A7F63">
        <w:rPr>
          <w:rFonts w:cs="Arial"/>
          <w:sz w:val="20"/>
          <w:szCs w:val="20"/>
          <w:rtl/>
        </w:rPr>
        <w:t xml:space="preserve"> </w:t>
      </w:r>
      <w:r w:rsidRPr="002A7F63">
        <w:rPr>
          <w:rFonts w:cs="Arial" w:hint="cs"/>
          <w:sz w:val="20"/>
          <w:szCs w:val="20"/>
          <w:rtl/>
        </w:rPr>
        <w:t>לח</w:t>
      </w:r>
      <w:r>
        <w:rPr>
          <w:rFonts w:cs="Arial" w:hint="cs"/>
          <w:sz w:val="20"/>
          <w:szCs w:val="20"/>
          <w:rtl/>
        </w:rPr>
        <w:t>ו</w:t>
      </w:r>
      <w:r w:rsidRPr="002A7F63">
        <w:rPr>
          <w:rFonts w:cs="Arial" w:hint="cs"/>
          <w:sz w:val="20"/>
          <w:szCs w:val="20"/>
          <w:rtl/>
        </w:rPr>
        <w:t>דש</w:t>
      </w:r>
      <w:r w:rsidRPr="002A7F63">
        <w:rPr>
          <w:rFonts w:cs="Arial"/>
          <w:sz w:val="20"/>
          <w:szCs w:val="20"/>
          <w:rtl/>
        </w:rPr>
        <w:t xml:space="preserve">, </w:t>
      </w:r>
      <w:r w:rsidRPr="002A7F63">
        <w:rPr>
          <w:rFonts w:cs="Arial" w:hint="cs"/>
          <w:sz w:val="20"/>
          <w:szCs w:val="20"/>
          <w:rtl/>
        </w:rPr>
        <w:t>כגון</w:t>
      </w:r>
      <w:r w:rsidRPr="002A7F63">
        <w:rPr>
          <w:rFonts w:cs="Arial"/>
          <w:sz w:val="20"/>
          <w:szCs w:val="20"/>
          <w:rtl/>
        </w:rPr>
        <w:t xml:space="preserve"> </w:t>
      </w:r>
      <w:r w:rsidRPr="002A7F63">
        <w:rPr>
          <w:rFonts w:cs="Arial" w:hint="cs"/>
          <w:sz w:val="20"/>
          <w:szCs w:val="20"/>
          <w:rtl/>
        </w:rPr>
        <w:t>כ</w:t>
      </w:r>
      <w:r w:rsidRPr="002A7F63">
        <w:rPr>
          <w:rFonts w:cs="Arial"/>
          <w:sz w:val="20"/>
          <w:szCs w:val="20"/>
          <w:rtl/>
        </w:rPr>
        <w:t>"</w:t>
      </w:r>
      <w:r w:rsidRPr="002A7F63">
        <w:rPr>
          <w:rFonts w:cs="Arial" w:hint="cs"/>
          <w:sz w:val="20"/>
          <w:szCs w:val="20"/>
          <w:rtl/>
        </w:rPr>
        <w:t>א</w:t>
      </w:r>
      <w:r w:rsidRPr="002A7F63">
        <w:rPr>
          <w:rFonts w:cs="Arial"/>
          <w:sz w:val="20"/>
          <w:szCs w:val="20"/>
          <w:rtl/>
        </w:rPr>
        <w:t xml:space="preserve"> </w:t>
      </w:r>
      <w:r w:rsidRPr="002A7F63">
        <w:rPr>
          <w:rFonts w:cs="Arial" w:hint="cs"/>
          <w:sz w:val="20"/>
          <w:szCs w:val="20"/>
          <w:rtl/>
        </w:rPr>
        <w:t>או</w:t>
      </w:r>
      <w:r w:rsidRPr="002A7F63">
        <w:rPr>
          <w:rFonts w:cs="Arial"/>
          <w:sz w:val="20"/>
          <w:szCs w:val="20"/>
          <w:rtl/>
        </w:rPr>
        <w:t xml:space="preserve"> </w:t>
      </w:r>
      <w:r w:rsidRPr="002A7F63">
        <w:rPr>
          <w:rFonts w:cs="Arial" w:hint="cs"/>
          <w:sz w:val="20"/>
          <w:szCs w:val="20"/>
          <w:rtl/>
        </w:rPr>
        <w:t>כ</w:t>
      </w:r>
      <w:r w:rsidRPr="002A7F63">
        <w:rPr>
          <w:rFonts w:cs="Arial"/>
          <w:sz w:val="20"/>
          <w:szCs w:val="20"/>
          <w:rtl/>
        </w:rPr>
        <w:t>"</w:t>
      </w:r>
      <w:r w:rsidRPr="002A7F63">
        <w:rPr>
          <w:rFonts w:cs="Arial" w:hint="cs"/>
          <w:sz w:val="20"/>
          <w:szCs w:val="20"/>
          <w:rtl/>
        </w:rPr>
        <w:t>ה</w:t>
      </w:r>
      <w:r w:rsidRPr="002A7F63">
        <w:rPr>
          <w:rFonts w:cs="Arial"/>
          <w:sz w:val="20"/>
          <w:szCs w:val="20"/>
          <w:rtl/>
        </w:rPr>
        <w:t xml:space="preserve"> </w:t>
      </w:r>
      <w:r w:rsidRPr="002A7F63">
        <w:rPr>
          <w:rFonts w:cs="Arial" w:hint="cs"/>
          <w:sz w:val="20"/>
          <w:szCs w:val="20"/>
          <w:rtl/>
        </w:rPr>
        <w:t>בו</w:t>
      </w:r>
      <w:r w:rsidRPr="002A7F63">
        <w:rPr>
          <w:rFonts w:cs="Arial"/>
          <w:sz w:val="20"/>
          <w:szCs w:val="20"/>
          <w:rtl/>
        </w:rPr>
        <w:t xml:space="preserve">, </w:t>
      </w:r>
      <w:r w:rsidRPr="002A7F63">
        <w:rPr>
          <w:rFonts w:cs="Arial" w:hint="cs"/>
          <w:sz w:val="20"/>
          <w:szCs w:val="20"/>
          <w:rtl/>
        </w:rPr>
        <w:t>חוששת</w:t>
      </w:r>
      <w:r w:rsidRPr="002A7F63">
        <w:rPr>
          <w:rFonts w:cs="Arial"/>
          <w:sz w:val="20"/>
          <w:szCs w:val="20"/>
          <w:rtl/>
        </w:rPr>
        <w:t xml:space="preserve"> </w:t>
      </w:r>
      <w:r w:rsidRPr="002A7F63">
        <w:rPr>
          <w:rFonts w:cs="Arial" w:hint="cs"/>
          <w:sz w:val="20"/>
          <w:szCs w:val="20"/>
          <w:rtl/>
        </w:rPr>
        <w:t>לפעם</w:t>
      </w:r>
      <w:r w:rsidRPr="002A7F63">
        <w:rPr>
          <w:rFonts w:cs="Arial"/>
          <w:sz w:val="20"/>
          <w:szCs w:val="20"/>
          <w:rtl/>
        </w:rPr>
        <w:t xml:space="preserve"> </w:t>
      </w:r>
      <w:r w:rsidRPr="002A7F63">
        <w:rPr>
          <w:rFonts w:cs="Arial" w:hint="cs"/>
          <w:sz w:val="20"/>
          <w:szCs w:val="20"/>
          <w:rtl/>
        </w:rPr>
        <w:t>אחרת</w:t>
      </w:r>
      <w:r w:rsidRPr="002A7F63">
        <w:rPr>
          <w:rFonts w:cs="Arial"/>
          <w:sz w:val="20"/>
          <w:szCs w:val="20"/>
          <w:rtl/>
        </w:rPr>
        <w:t xml:space="preserve"> </w:t>
      </w:r>
      <w:r w:rsidRPr="002A7F63">
        <w:rPr>
          <w:rFonts w:cs="Arial" w:hint="cs"/>
          <w:sz w:val="20"/>
          <w:szCs w:val="20"/>
          <w:rtl/>
        </w:rPr>
        <w:t>לזה</w:t>
      </w:r>
      <w:r w:rsidRPr="002A7F63">
        <w:rPr>
          <w:rFonts w:cs="Arial"/>
          <w:sz w:val="20"/>
          <w:szCs w:val="20"/>
          <w:rtl/>
        </w:rPr>
        <w:t xml:space="preserve"> </w:t>
      </w:r>
      <w:r w:rsidRPr="002A7F63">
        <w:rPr>
          <w:rFonts w:cs="Arial" w:hint="cs"/>
          <w:sz w:val="20"/>
          <w:szCs w:val="20"/>
          <w:rtl/>
        </w:rPr>
        <w:t>היום</w:t>
      </w:r>
      <w:r w:rsidRPr="002A7F63">
        <w:rPr>
          <w:rFonts w:cs="Arial"/>
          <w:sz w:val="20"/>
          <w:szCs w:val="20"/>
          <w:rtl/>
        </w:rPr>
        <w:t xml:space="preserve">, </w:t>
      </w:r>
      <w:r w:rsidRPr="002A7F63">
        <w:rPr>
          <w:rFonts w:cs="Arial" w:hint="cs"/>
          <w:sz w:val="20"/>
          <w:szCs w:val="20"/>
          <w:rtl/>
        </w:rPr>
        <w:t>ואסורה</w:t>
      </w:r>
      <w:r w:rsidRPr="002A7F63">
        <w:rPr>
          <w:rFonts w:cs="Arial"/>
          <w:sz w:val="20"/>
          <w:szCs w:val="20"/>
          <w:rtl/>
        </w:rPr>
        <w:t xml:space="preserve"> </w:t>
      </w:r>
      <w:r w:rsidRPr="002A7F63">
        <w:rPr>
          <w:rFonts w:cs="Arial" w:hint="cs"/>
          <w:sz w:val="20"/>
          <w:szCs w:val="20"/>
          <w:rtl/>
        </w:rPr>
        <w:t>לשמש</w:t>
      </w:r>
      <w:r w:rsidRPr="002A7F63">
        <w:rPr>
          <w:rFonts w:cs="Arial"/>
          <w:sz w:val="20"/>
          <w:szCs w:val="20"/>
          <w:rtl/>
        </w:rPr>
        <w:t xml:space="preserve"> </w:t>
      </w:r>
      <w:r w:rsidRPr="002A7F63">
        <w:rPr>
          <w:rFonts w:cs="Arial" w:hint="cs"/>
          <w:sz w:val="20"/>
          <w:szCs w:val="20"/>
          <w:rtl/>
        </w:rPr>
        <w:t>כל</w:t>
      </w:r>
      <w:r w:rsidRPr="002A7F63">
        <w:rPr>
          <w:rFonts w:cs="Arial"/>
          <w:sz w:val="20"/>
          <w:szCs w:val="20"/>
          <w:rtl/>
        </w:rPr>
        <w:t xml:space="preserve"> </w:t>
      </w:r>
      <w:r w:rsidRPr="002A7F63">
        <w:rPr>
          <w:rFonts w:cs="Arial" w:hint="cs"/>
          <w:sz w:val="20"/>
          <w:szCs w:val="20"/>
          <w:rtl/>
        </w:rPr>
        <w:t>אותה</w:t>
      </w:r>
      <w:r w:rsidRPr="002A7F63">
        <w:rPr>
          <w:rFonts w:cs="Arial"/>
          <w:sz w:val="20"/>
          <w:szCs w:val="20"/>
          <w:rtl/>
        </w:rPr>
        <w:t xml:space="preserve"> </w:t>
      </w:r>
      <w:r w:rsidRPr="002A7F63">
        <w:rPr>
          <w:rFonts w:cs="Arial" w:hint="cs"/>
          <w:sz w:val="20"/>
          <w:szCs w:val="20"/>
          <w:rtl/>
        </w:rPr>
        <w:t>העונה</w:t>
      </w:r>
      <w:r w:rsidRPr="002A7F63">
        <w:rPr>
          <w:rFonts w:cs="Arial"/>
          <w:sz w:val="20"/>
          <w:szCs w:val="20"/>
          <w:rtl/>
        </w:rPr>
        <w:t xml:space="preserve">. </w:t>
      </w:r>
      <w:r w:rsidRPr="002A7F63">
        <w:rPr>
          <w:rFonts w:cs="Arial" w:hint="cs"/>
          <w:sz w:val="20"/>
          <w:szCs w:val="20"/>
          <w:rtl/>
        </w:rPr>
        <w:t>והוא</w:t>
      </w:r>
      <w:r w:rsidRPr="002A7F63">
        <w:rPr>
          <w:rFonts w:cs="Arial"/>
          <w:sz w:val="20"/>
          <w:szCs w:val="20"/>
          <w:rtl/>
        </w:rPr>
        <w:t xml:space="preserve"> </w:t>
      </w:r>
      <w:r w:rsidRPr="002A7F63">
        <w:rPr>
          <w:rFonts w:cs="Arial" w:hint="cs"/>
          <w:sz w:val="20"/>
          <w:szCs w:val="20"/>
          <w:rtl/>
        </w:rPr>
        <w:t>הדין</w:t>
      </w:r>
      <w:r w:rsidRPr="002A7F63">
        <w:rPr>
          <w:rFonts w:cs="Arial"/>
          <w:sz w:val="20"/>
          <w:szCs w:val="20"/>
          <w:rtl/>
        </w:rPr>
        <w:t xml:space="preserve"> </w:t>
      </w:r>
      <w:r w:rsidRPr="002A7F63">
        <w:rPr>
          <w:rFonts w:cs="Arial" w:hint="cs"/>
          <w:sz w:val="20"/>
          <w:szCs w:val="20"/>
          <w:rtl/>
        </w:rPr>
        <w:t>לשאר</w:t>
      </w:r>
      <w:r w:rsidRPr="002A7F63">
        <w:rPr>
          <w:rFonts w:cs="Arial"/>
          <w:sz w:val="20"/>
          <w:szCs w:val="20"/>
          <w:rtl/>
        </w:rPr>
        <w:t xml:space="preserve"> </w:t>
      </w:r>
      <w:r w:rsidRPr="002A7F63">
        <w:rPr>
          <w:rFonts w:cs="Arial" w:hint="cs"/>
          <w:sz w:val="20"/>
          <w:szCs w:val="20"/>
          <w:rtl/>
        </w:rPr>
        <w:t>מיני</w:t>
      </w:r>
      <w:r w:rsidRPr="002A7F63">
        <w:rPr>
          <w:rFonts w:cs="Arial"/>
          <w:sz w:val="20"/>
          <w:szCs w:val="20"/>
          <w:rtl/>
        </w:rPr>
        <w:t xml:space="preserve"> </w:t>
      </w:r>
      <w:r w:rsidRPr="002A7F63">
        <w:rPr>
          <w:rFonts w:cs="Arial" w:hint="cs"/>
          <w:sz w:val="20"/>
          <w:szCs w:val="20"/>
          <w:rtl/>
        </w:rPr>
        <w:t>וסת</w:t>
      </w:r>
      <w:r w:rsidRPr="002A7F63">
        <w:rPr>
          <w:rFonts w:cs="Arial"/>
          <w:sz w:val="20"/>
          <w:szCs w:val="20"/>
          <w:rtl/>
        </w:rPr>
        <w:t xml:space="preserve"> </w:t>
      </w:r>
      <w:r w:rsidRPr="002A7F63">
        <w:rPr>
          <w:rFonts w:cs="Arial" w:hint="cs"/>
          <w:sz w:val="20"/>
          <w:szCs w:val="20"/>
          <w:rtl/>
        </w:rPr>
        <w:t>שצריכה</w:t>
      </w:r>
      <w:r w:rsidRPr="002A7F63">
        <w:rPr>
          <w:rFonts w:cs="Arial"/>
          <w:sz w:val="20"/>
          <w:szCs w:val="20"/>
          <w:rtl/>
        </w:rPr>
        <w:t xml:space="preserve"> </w:t>
      </w:r>
      <w:r w:rsidRPr="002A7F63">
        <w:rPr>
          <w:rFonts w:cs="Arial" w:hint="cs"/>
          <w:sz w:val="20"/>
          <w:szCs w:val="20"/>
          <w:rtl/>
        </w:rPr>
        <w:t>לחוש</w:t>
      </w:r>
      <w:r w:rsidRPr="002A7F63">
        <w:rPr>
          <w:rFonts w:cs="Arial"/>
          <w:sz w:val="20"/>
          <w:szCs w:val="20"/>
          <w:rtl/>
        </w:rPr>
        <w:t xml:space="preserve"> </w:t>
      </w:r>
      <w:r w:rsidRPr="002A7F63">
        <w:rPr>
          <w:rFonts w:cs="Arial" w:hint="cs"/>
          <w:sz w:val="20"/>
          <w:szCs w:val="20"/>
          <w:rtl/>
        </w:rPr>
        <w:t>להם</w:t>
      </w:r>
      <w:r w:rsidRPr="002A7F63">
        <w:rPr>
          <w:rFonts w:cs="Arial"/>
          <w:sz w:val="20"/>
          <w:szCs w:val="20"/>
          <w:rtl/>
        </w:rPr>
        <w:t xml:space="preserve"> </w:t>
      </w:r>
      <w:r w:rsidRPr="002A7F63">
        <w:rPr>
          <w:rFonts w:cs="Arial" w:hint="cs"/>
          <w:sz w:val="20"/>
          <w:szCs w:val="20"/>
          <w:rtl/>
        </w:rPr>
        <w:t>כן</w:t>
      </w:r>
      <w:r w:rsidRPr="002A7F63">
        <w:rPr>
          <w:rFonts w:cs="Arial"/>
          <w:sz w:val="20"/>
          <w:szCs w:val="20"/>
          <w:rtl/>
        </w:rPr>
        <w:t xml:space="preserve">, </w:t>
      </w:r>
      <w:r w:rsidRPr="002A7F63">
        <w:rPr>
          <w:rFonts w:cs="Arial" w:hint="cs"/>
          <w:sz w:val="20"/>
          <w:szCs w:val="20"/>
          <w:rtl/>
        </w:rPr>
        <w:t>חוץ</w:t>
      </w:r>
      <w:r w:rsidRPr="002A7F63">
        <w:rPr>
          <w:rFonts w:cs="Arial"/>
          <w:sz w:val="20"/>
          <w:szCs w:val="20"/>
          <w:rtl/>
        </w:rPr>
        <w:t xml:space="preserve"> </w:t>
      </w:r>
      <w:r w:rsidRPr="002A7F63">
        <w:rPr>
          <w:rFonts w:cs="Arial" w:hint="cs"/>
          <w:sz w:val="20"/>
          <w:szCs w:val="20"/>
          <w:rtl/>
        </w:rPr>
        <w:t>מוסת</w:t>
      </w:r>
      <w:r w:rsidRPr="002A7F63">
        <w:rPr>
          <w:rFonts w:cs="Arial"/>
          <w:sz w:val="20"/>
          <w:szCs w:val="20"/>
          <w:rtl/>
        </w:rPr>
        <w:t xml:space="preserve"> </w:t>
      </w:r>
      <w:r w:rsidRPr="002A7F63">
        <w:rPr>
          <w:rFonts w:cs="Arial" w:hint="cs"/>
          <w:sz w:val="20"/>
          <w:szCs w:val="20"/>
          <w:rtl/>
        </w:rPr>
        <w:t>הדילוג</w:t>
      </w:r>
      <w:r w:rsidRPr="002A7F63">
        <w:rPr>
          <w:rFonts w:cs="Arial"/>
          <w:sz w:val="20"/>
          <w:szCs w:val="20"/>
          <w:rtl/>
        </w:rPr>
        <w:t xml:space="preserve">, </w:t>
      </w:r>
      <w:r w:rsidRPr="002A7F63">
        <w:rPr>
          <w:rFonts w:cs="Arial" w:hint="cs"/>
          <w:sz w:val="20"/>
          <w:szCs w:val="20"/>
          <w:rtl/>
        </w:rPr>
        <w:t>וכמו</w:t>
      </w:r>
      <w:r w:rsidRPr="002A7F63">
        <w:rPr>
          <w:rFonts w:cs="Arial"/>
          <w:sz w:val="20"/>
          <w:szCs w:val="20"/>
          <w:rtl/>
        </w:rPr>
        <w:t xml:space="preserve"> </w:t>
      </w:r>
      <w:r w:rsidRPr="002A7F63">
        <w:rPr>
          <w:rFonts w:cs="Arial" w:hint="cs"/>
          <w:sz w:val="20"/>
          <w:szCs w:val="20"/>
          <w:rtl/>
        </w:rPr>
        <w:t>שיתבאר</w:t>
      </w:r>
      <w:r w:rsidRPr="002A7F63">
        <w:rPr>
          <w:rFonts w:cs="Arial"/>
          <w:sz w:val="20"/>
          <w:szCs w:val="20"/>
          <w:rtl/>
        </w:rPr>
        <w:t xml:space="preserve"> </w:t>
      </w:r>
      <w:r w:rsidRPr="002A7F63">
        <w:rPr>
          <w:rFonts w:cs="Arial" w:hint="cs"/>
          <w:sz w:val="20"/>
          <w:szCs w:val="20"/>
          <w:rtl/>
        </w:rPr>
        <w:t>בסימן</w:t>
      </w:r>
      <w:r w:rsidRPr="002A7F63">
        <w:rPr>
          <w:rFonts w:cs="Arial"/>
          <w:sz w:val="20"/>
          <w:szCs w:val="20"/>
          <w:rtl/>
        </w:rPr>
        <w:t xml:space="preserve"> </w:t>
      </w:r>
      <w:r w:rsidRPr="002A7F63">
        <w:rPr>
          <w:rFonts w:cs="Arial" w:hint="cs"/>
          <w:sz w:val="20"/>
          <w:szCs w:val="20"/>
          <w:rtl/>
        </w:rPr>
        <w:t>זה</w:t>
      </w:r>
      <w:r w:rsidRPr="002A7F63">
        <w:rPr>
          <w:rFonts w:cs="Arial"/>
          <w:sz w:val="20"/>
          <w:szCs w:val="20"/>
          <w:rtl/>
        </w:rPr>
        <w:t xml:space="preserve">. </w:t>
      </w:r>
      <w:r>
        <w:rPr>
          <w:rFonts w:cs="Arial" w:hint="cs"/>
          <w:sz w:val="20"/>
          <w:szCs w:val="20"/>
          <w:rtl/>
        </w:rPr>
        <w:br/>
      </w:r>
      <w:r w:rsidRPr="002A7F63">
        <w:rPr>
          <w:rFonts w:cs="Arial" w:hint="cs"/>
          <w:sz w:val="20"/>
          <w:szCs w:val="20"/>
          <w:rtl/>
        </w:rPr>
        <w:t>ולא</w:t>
      </w:r>
      <w:r w:rsidRPr="002A7F63">
        <w:rPr>
          <w:rFonts w:cs="Arial"/>
          <w:sz w:val="20"/>
          <w:szCs w:val="20"/>
          <w:rtl/>
        </w:rPr>
        <w:t xml:space="preserve"> </w:t>
      </w:r>
      <w:r w:rsidRPr="002A7F63">
        <w:rPr>
          <w:rFonts w:cs="Arial" w:hint="cs"/>
          <w:sz w:val="20"/>
          <w:szCs w:val="20"/>
          <w:rtl/>
        </w:rPr>
        <w:t>אמרו</w:t>
      </w:r>
      <w:r w:rsidRPr="002A7F63">
        <w:rPr>
          <w:rFonts w:cs="Arial"/>
          <w:sz w:val="20"/>
          <w:szCs w:val="20"/>
          <w:rtl/>
        </w:rPr>
        <w:t xml:space="preserve"> </w:t>
      </w:r>
      <w:r w:rsidRPr="002A7F63">
        <w:rPr>
          <w:rFonts w:cs="Arial" w:hint="cs"/>
          <w:sz w:val="20"/>
          <w:szCs w:val="20"/>
          <w:rtl/>
        </w:rPr>
        <w:t>שצריך</w:t>
      </w:r>
      <w:r w:rsidRPr="002A7F63">
        <w:rPr>
          <w:rFonts w:cs="Arial"/>
          <w:sz w:val="20"/>
          <w:szCs w:val="20"/>
          <w:rtl/>
        </w:rPr>
        <w:t xml:space="preserve"> </w:t>
      </w:r>
      <w:r w:rsidRPr="002A7F63">
        <w:rPr>
          <w:rFonts w:cs="Arial" w:hint="cs"/>
          <w:sz w:val="20"/>
          <w:szCs w:val="20"/>
          <w:rtl/>
        </w:rPr>
        <w:t>לקובעם</w:t>
      </w:r>
      <w:r w:rsidRPr="002A7F63">
        <w:rPr>
          <w:rFonts w:cs="Arial"/>
          <w:sz w:val="20"/>
          <w:szCs w:val="20"/>
          <w:rtl/>
        </w:rPr>
        <w:t xml:space="preserve"> </w:t>
      </w:r>
      <w:r w:rsidRPr="002A7F63">
        <w:rPr>
          <w:rFonts w:cs="Arial" w:hint="cs"/>
          <w:sz w:val="20"/>
          <w:szCs w:val="20"/>
          <w:rtl/>
        </w:rPr>
        <w:t>ג</w:t>
      </w:r>
      <w:r>
        <w:rPr>
          <w:rFonts w:cs="Arial" w:hint="cs"/>
          <w:sz w:val="20"/>
          <w:szCs w:val="20"/>
          <w:rtl/>
        </w:rPr>
        <w:t xml:space="preserve">' </w:t>
      </w:r>
      <w:r w:rsidRPr="002A7F63">
        <w:rPr>
          <w:rFonts w:cs="Arial" w:hint="cs"/>
          <w:sz w:val="20"/>
          <w:szCs w:val="20"/>
          <w:rtl/>
        </w:rPr>
        <w:t>פ</w:t>
      </w:r>
      <w:r>
        <w:rPr>
          <w:rFonts w:cs="Arial" w:hint="cs"/>
          <w:sz w:val="20"/>
          <w:szCs w:val="20"/>
          <w:rtl/>
        </w:rPr>
        <w:t>עמים</w:t>
      </w:r>
      <w:r w:rsidRPr="002A7F63">
        <w:rPr>
          <w:rFonts w:cs="Arial"/>
          <w:sz w:val="20"/>
          <w:szCs w:val="20"/>
          <w:rtl/>
        </w:rPr>
        <w:t xml:space="preserve">, </w:t>
      </w:r>
      <w:r w:rsidRPr="002A7F63">
        <w:rPr>
          <w:rFonts w:cs="Arial" w:hint="cs"/>
          <w:sz w:val="20"/>
          <w:szCs w:val="20"/>
          <w:rtl/>
        </w:rPr>
        <w:t>אלא</w:t>
      </w:r>
      <w:r w:rsidRPr="002A7F63">
        <w:rPr>
          <w:rFonts w:cs="Arial"/>
          <w:sz w:val="20"/>
          <w:szCs w:val="20"/>
          <w:rtl/>
        </w:rPr>
        <w:t xml:space="preserve"> </w:t>
      </w:r>
      <w:r w:rsidRPr="002A7F63">
        <w:rPr>
          <w:rFonts w:cs="Arial" w:hint="cs"/>
          <w:sz w:val="20"/>
          <w:szCs w:val="20"/>
          <w:rtl/>
        </w:rPr>
        <w:t>לענין</w:t>
      </w:r>
      <w:r w:rsidRPr="002A7F63">
        <w:rPr>
          <w:rFonts w:cs="Arial"/>
          <w:sz w:val="20"/>
          <w:szCs w:val="20"/>
          <w:rtl/>
        </w:rPr>
        <w:t xml:space="preserve"> </w:t>
      </w:r>
      <w:r w:rsidRPr="002A7F63">
        <w:rPr>
          <w:rFonts w:cs="Arial" w:hint="cs"/>
          <w:sz w:val="20"/>
          <w:szCs w:val="20"/>
          <w:rtl/>
        </w:rPr>
        <w:t>עקירה</w:t>
      </w:r>
      <w:r w:rsidRPr="002A7F63">
        <w:rPr>
          <w:rFonts w:cs="Arial"/>
          <w:sz w:val="20"/>
          <w:szCs w:val="20"/>
          <w:rtl/>
        </w:rPr>
        <w:t xml:space="preserve">, </w:t>
      </w:r>
      <w:r w:rsidRPr="002A7F63">
        <w:rPr>
          <w:rFonts w:cs="Arial" w:hint="cs"/>
          <w:sz w:val="20"/>
          <w:szCs w:val="20"/>
          <w:rtl/>
        </w:rPr>
        <w:t>שכיון</w:t>
      </w:r>
      <w:r w:rsidRPr="002A7F63">
        <w:rPr>
          <w:rFonts w:cs="Arial"/>
          <w:sz w:val="20"/>
          <w:szCs w:val="20"/>
          <w:rtl/>
        </w:rPr>
        <w:t xml:space="preserve"> </w:t>
      </w:r>
      <w:r w:rsidRPr="002A7F63">
        <w:rPr>
          <w:rFonts w:cs="Arial" w:hint="cs"/>
          <w:sz w:val="20"/>
          <w:szCs w:val="20"/>
          <w:rtl/>
        </w:rPr>
        <w:t>שקובעתו</w:t>
      </w:r>
      <w:r w:rsidRPr="002A7F63">
        <w:rPr>
          <w:rFonts w:cs="Arial"/>
          <w:sz w:val="20"/>
          <w:szCs w:val="20"/>
          <w:rtl/>
        </w:rPr>
        <w:t xml:space="preserve"> </w:t>
      </w:r>
      <w:r w:rsidRPr="002A7F63">
        <w:rPr>
          <w:rFonts w:cs="Arial" w:hint="cs"/>
          <w:sz w:val="20"/>
          <w:szCs w:val="20"/>
          <w:rtl/>
        </w:rPr>
        <w:t>בשלושה</w:t>
      </w:r>
      <w:r w:rsidRPr="002A7F63">
        <w:rPr>
          <w:rFonts w:cs="Arial"/>
          <w:sz w:val="20"/>
          <w:szCs w:val="20"/>
          <w:rtl/>
        </w:rPr>
        <w:t xml:space="preserve"> </w:t>
      </w:r>
      <w:r w:rsidRPr="002A7F63">
        <w:rPr>
          <w:rFonts w:cs="Arial" w:hint="cs"/>
          <w:sz w:val="20"/>
          <w:szCs w:val="20"/>
          <w:rtl/>
        </w:rPr>
        <w:t>פעמים</w:t>
      </w:r>
      <w:r w:rsidRPr="002A7F63">
        <w:rPr>
          <w:rFonts w:cs="Arial"/>
          <w:sz w:val="20"/>
          <w:szCs w:val="20"/>
          <w:rtl/>
        </w:rPr>
        <w:t xml:space="preserve"> </w:t>
      </w:r>
      <w:r w:rsidRPr="002A7F63">
        <w:rPr>
          <w:rFonts w:cs="Arial" w:hint="cs"/>
          <w:sz w:val="20"/>
          <w:szCs w:val="20"/>
          <w:rtl/>
        </w:rPr>
        <w:t>אינו</w:t>
      </w:r>
      <w:r w:rsidRPr="002A7F63">
        <w:rPr>
          <w:rFonts w:cs="Arial"/>
          <w:sz w:val="20"/>
          <w:szCs w:val="20"/>
          <w:rtl/>
        </w:rPr>
        <w:t xml:space="preserve"> </w:t>
      </w:r>
      <w:r w:rsidRPr="002A7F63">
        <w:rPr>
          <w:rFonts w:cs="Arial" w:hint="cs"/>
          <w:sz w:val="20"/>
          <w:szCs w:val="20"/>
          <w:rtl/>
        </w:rPr>
        <w:t>נעקר</w:t>
      </w:r>
      <w:r w:rsidRPr="002A7F63">
        <w:rPr>
          <w:rFonts w:cs="Arial"/>
          <w:sz w:val="20"/>
          <w:szCs w:val="20"/>
          <w:rtl/>
        </w:rPr>
        <w:t xml:space="preserve"> </w:t>
      </w:r>
      <w:r w:rsidRPr="002A7F63">
        <w:rPr>
          <w:rFonts w:cs="Arial" w:hint="cs"/>
          <w:sz w:val="20"/>
          <w:szCs w:val="20"/>
          <w:rtl/>
        </w:rPr>
        <w:t>בפחות</w:t>
      </w:r>
      <w:r w:rsidRPr="002A7F63">
        <w:rPr>
          <w:rFonts w:cs="Arial"/>
          <w:sz w:val="20"/>
          <w:szCs w:val="20"/>
          <w:rtl/>
        </w:rPr>
        <w:t xml:space="preserve"> </w:t>
      </w:r>
      <w:r w:rsidRPr="002A7F63">
        <w:rPr>
          <w:rFonts w:cs="Arial" w:hint="cs"/>
          <w:sz w:val="20"/>
          <w:szCs w:val="20"/>
          <w:rtl/>
        </w:rPr>
        <w:t>מג</w:t>
      </w:r>
      <w:r w:rsidRPr="002A7F63">
        <w:rPr>
          <w:rFonts w:cs="Arial"/>
          <w:sz w:val="20"/>
          <w:szCs w:val="20"/>
          <w:rtl/>
        </w:rPr>
        <w:t xml:space="preserve">' </w:t>
      </w:r>
      <w:r w:rsidRPr="002A7F63">
        <w:rPr>
          <w:rFonts w:cs="Arial" w:hint="cs"/>
          <w:sz w:val="20"/>
          <w:szCs w:val="20"/>
          <w:rtl/>
        </w:rPr>
        <w:t>פעמים</w:t>
      </w:r>
      <w:r w:rsidRPr="002A7F63">
        <w:rPr>
          <w:rFonts w:cs="Arial"/>
          <w:sz w:val="20"/>
          <w:szCs w:val="20"/>
          <w:rtl/>
        </w:rPr>
        <w:t xml:space="preserve">, </w:t>
      </w:r>
      <w:r w:rsidRPr="002A7F63">
        <w:rPr>
          <w:rFonts w:cs="Arial" w:hint="cs"/>
          <w:sz w:val="20"/>
          <w:szCs w:val="20"/>
          <w:rtl/>
        </w:rPr>
        <w:t>שכל</w:t>
      </w:r>
      <w:r w:rsidRPr="002A7F63">
        <w:rPr>
          <w:rFonts w:cs="Arial"/>
          <w:sz w:val="20"/>
          <w:szCs w:val="20"/>
          <w:rtl/>
        </w:rPr>
        <w:t xml:space="preserve"> </w:t>
      </w:r>
      <w:r w:rsidRPr="002A7F63">
        <w:rPr>
          <w:rFonts w:cs="Arial" w:hint="cs"/>
          <w:sz w:val="20"/>
          <w:szCs w:val="20"/>
          <w:rtl/>
        </w:rPr>
        <w:t>זמן</w:t>
      </w:r>
      <w:r w:rsidRPr="002A7F63">
        <w:rPr>
          <w:rFonts w:cs="Arial"/>
          <w:sz w:val="20"/>
          <w:szCs w:val="20"/>
          <w:rtl/>
        </w:rPr>
        <w:t xml:space="preserve"> </w:t>
      </w:r>
      <w:r w:rsidRPr="002A7F63">
        <w:rPr>
          <w:rFonts w:cs="Arial" w:hint="cs"/>
          <w:sz w:val="20"/>
          <w:szCs w:val="20"/>
          <w:rtl/>
        </w:rPr>
        <w:t>שלא</w:t>
      </w:r>
      <w:r w:rsidRPr="002A7F63">
        <w:rPr>
          <w:rFonts w:cs="Arial"/>
          <w:sz w:val="20"/>
          <w:szCs w:val="20"/>
          <w:rtl/>
        </w:rPr>
        <w:t xml:space="preserve"> </w:t>
      </w:r>
      <w:r w:rsidRPr="002A7F63">
        <w:rPr>
          <w:rFonts w:cs="Arial" w:hint="cs"/>
          <w:sz w:val="20"/>
          <w:szCs w:val="20"/>
          <w:rtl/>
        </w:rPr>
        <w:t>עקרתו</w:t>
      </w:r>
      <w:r w:rsidRPr="002A7F63">
        <w:rPr>
          <w:rFonts w:cs="Arial"/>
          <w:sz w:val="20"/>
          <w:szCs w:val="20"/>
          <w:rtl/>
        </w:rPr>
        <w:t xml:space="preserve"> </w:t>
      </w:r>
      <w:r w:rsidRPr="002A7F63">
        <w:rPr>
          <w:rFonts w:cs="Arial" w:hint="cs"/>
          <w:sz w:val="20"/>
          <w:szCs w:val="20"/>
          <w:rtl/>
        </w:rPr>
        <w:t>ג</w:t>
      </w:r>
      <w:r>
        <w:rPr>
          <w:rFonts w:cs="Arial" w:hint="cs"/>
          <w:sz w:val="20"/>
          <w:szCs w:val="20"/>
          <w:rtl/>
        </w:rPr>
        <w:t xml:space="preserve">' פעמים </w:t>
      </w:r>
      <w:r w:rsidRPr="002A7F63">
        <w:rPr>
          <w:rFonts w:cs="Arial" w:hint="cs"/>
          <w:sz w:val="20"/>
          <w:szCs w:val="20"/>
          <w:rtl/>
        </w:rPr>
        <w:t>צריכה</w:t>
      </w:r>
      <w:r w:rsidRPr="002A7F63">
        <w:rPr>
          <w:rFonts w:cs="Arial"/>
          <w:sz w:val="20"/>
          <w:szCs w:val="20"/>
          <w:rtl/>
        </w:rPr>
        <w:t xml:space="preserve"> </w:t>
      </w:r>
      <w:r w:rsidRPr="002A7F63">
        <w:rPr>
          <w:rFonts w:cs="Arial" w:hint="cs"/>
          <w:sz w:val="20"/>
          <w:szCs w:val="20"/>
          <w:rtl/>
        </w:rPr>
        <w:t>לחוש</w:t>
      </w:r>
      <w:r w:rsidRPr="002A7F63">
        <w:rPr>
          <w:rFonts w:cs="Arial"/>
          <w:sz w:val="20"/>
          <w:szCs w:val="20"/>
          <w:rtl/>
        </w:rPr>
        <w:t xml:space="preserve"> </w:t>
      </w:r>
      <w:r w:rsidRPr="002A7F63">
        <w:rPr>
          <w:rFonts w:cs="Arial" w:hint="cs"/>
          <w:sz w:val="20"/>
          <w:szCs w:val="20"/>
          <w:rtl/>
        </w:rPr>
        <w:t>לו</w:t>
      </w:r>
      <w:r w:rsidRPr="002A7F63">
        <w:rPr>
          <w:rFonts w:cs="Arial"/>
          <w:sz w:val="20"/>
          <w:szCs w:val="20"/>
          <w:rtl/>
        </w:rPr>
        <w:t xml:space="preserve">. </w:t>
      </w:r>
      <w:r w:rsidRPr="002A7F63">
        <w:rPr>
          <w:rFonts w:cs="Arial" w:hint="cs"/>
          <w:sz w:val="20"/>
          <w:szCs w:val="20"/>
          <w:rtl/>
        </w:rPr>
        <w:t>אבל</w:t>
      </w:r>
      <w:r w:rsidRPr="002A7F63">
        <w:rPr>
          <w:rFonts w:cs="Arial"/>
          <w:sz w:val="20"/>
          <w:szCs w:val="20"/>
          <w:rtl/>
        </w:rPr>
        <w:t xml:space="preserve"> </w:t>
      </w:r>
      <w:r w:rsidRPr="002A7F63">
        <w:rPr>
          <w:rFonts w:cs="Arial" w:hint="cs"/>
          <w:sz w:val="20"/>
          <w:szCs w:val="20"/>
          <w:rtl/>
        </w:rPr>
        <w:t>ליאסר</w:t>
      </w:r>
      <w:r w:rsidRPr="002A7F63">
        <w:rPr>
          <w:rFonts w:cs="Arial"/>
          <w:sz w:val="20"/>
          <w:szCs w:val="20"/>
          <w:rtl/>
        </w:rPr>
        <w:t xml:space="preserve">, </w:t>
      </w:r>
      <w:r w:rsidRPr="002A7F63">
        <w:rPr>
          <w:rFonts w:cs="Arial" w:hint="cs"/>
          <w:sz w:val="20"/>
          <w:szCs w:val="20"/>
          <w:rtl/>
        </w:rPr>
        <w:t>אפילו</w:t>
      </w:r>
      <w:r w:rsidRPr="002A7F63">
        <w:rPr>
          <w:rFonts w:cs="Arial"/>
          <w:sz w:val="20"/>
          <w:szCs w:val="20"/>
          <w:rtl/>
        </w:rPr>
        <w:t xml:space="preserve"> </w:t>
      </w:r>
      <w:r w:rsidRPr="002A7F63">
        <w:rPr>
          <w:rFonts w:cs="Arial" w:hint="cs"/>
          <w:sz w:val="20"/>
          <w:szCs w:val="20"/>
          <w:rtl/>
        </w:rPr>
        <w:t>בפעם</w:t>
      </w:r>
      <w:r w:rsidRPr="002A7F63">
        <w:rPr>
          <w:rFonts w:cs="Arial"/>
          <w:sz w:val="20"/>
          <w:szCs w:val="20"/>
          <w:rtl/>
        </w:rPr>
        <w:t xml:space="preserve"> </w:t>
      </w:r>
      <w:r w:rsidRPr="002A7F63">
        <w:rPr>
          <w:rFonts w:cs="Arial" w:hint="cs"/>
          <w:sz w:val="20"/>
          <w:szCs w:val="20"/>
          <w:rtl/>
        </w:rPr>
        <w:t>אחת</w:t>
      </w:r>
      <w:r w:rsidRPr="002A7F63">
        <w:rPr>
          <w:rFonts w:cs="Arial"/>
          <w:sz w:val="20"/>
          <w:szCs w:val="20"/>
          <w:rtl/>
        </w:rPr>
        <w:t xml:space="preserve"> </w:t>
      </w:r>
      <w:r w:rsidRPr="002A7F63">
        <w:rPr>
          <w:rFonts w:cs="Arial" w:hint="cs"/>
          <w:sz w:val="20"/>
          <w:szCs w:val="20"/>
          <w:rtl/>
        </w:rPr>
        <w:t>חוששת</w:t>
      </w:r>
      <w:r w:rsidRPr="002A7F63">
        <w:rPr>
          <w:rFonts w:cs="Arial"/>
          <w:sz w:val="20"/>
          <w:szCs w:val="20"/>
          <w:rtl/>
        </w:rPr>
        <w:t xml:space="preserve"> </w:t>
      </w:r>
      <w:r w:rsidRPr="002A7F63">
        <w:rPr>
          <w:rFonts w:cs="Arial" w:hint="cs"/>
          <w:sz w:val="20"/>
          <w:szCs w:val="20"/>
          <w:rtl/>
        </w:rPr>
        <w:t>לו</w:t>
      </w:r>
      <w:r w:rsidRPr="002A7F63">
        <w:rPr>
          <w:rFonts w:cs="Arial"/>
          <w:sz w:val="20"/>
          <w:szCs w:val="20"/>
          <w:rtl/>
        </w:rPr>
        <w:t xml:space="preserve"> </w:t>
      </w:r>
      <w:r w:rsidRPr="002A7F63">
        <w:rPr>
          <w:rFonts w:cs="Arial" w:hint="cs"/>
          <w:sz w:val="20"/>
          <w:szCs w:val="20"/>
          <w:rtl/>
        </w:rPr>
        <w:t>פעם</w:t>
      </w:r>
      <w:r w:rsidRPr="002A7F63">
        <w:rPr>
          <w:rFonts w:cs="Arial"/>
          <w:sz w:val="20"/>
          <w:szCs w:val="20"/>
          <w:rtl/>
        </w:rPr>
        <w:t xml:space="preserve"> </w:t>
      </w:r>
      <w:r w:rsidRPr="002A7F63">
        <w:rPr>
          <w:rFonts w:cs="Arial" w:hint="cs"/>
          <w:sz w:val="20"/>
          <w:szCs w:val="20"/>
          <w:rtl/>
        </w:rPr>
        <w:t>שנייה</w:t>
      </w:r>
      <w:r w:rsidRPr="002A7F63">
        <w:rPr>
          <w:rFonts w:cs="Arial"/>
          <w:sz w:val="20"/>
          <w:szCs w:val="20"/>
          <w:rtl/>
        </w:rPr>
        <w:t xml:space="preserve">. </w:t>
      </w:r>
      <w:r w:rsidRPr="002A7F63">
        <w:rPr>
          <w:rFonts w:cs="Arial" w:hint="cs"/>
          <w:sz w:val="20"/>
          <w:szCs w:val="20"/>
          <w:rtl/>
        </w:rPr>
        <w:t>ומיהו</w:t>
      </w:r>
      <w:r w:rsidRPr="002A7F63">
        <w:rPr>
          <w:rFonts w:cs="Arial"/>
          <w:sz w:val="20"/>
          <w:szCs w:val="20"/>
          <w:rtl/>
        </w:rPr>
        <w:t xml:space="preserve"> </w:t>
      </w:r>
      <w:r w:rsidRPr="002A7F63">
        <w:rPr>
          <w:rFonts w:cs="Arial" w:hint="cs"/>
          <w:sz w:val="20"/>
          <w:szCs w:val="20"/>
          <w:rtl/>
        </w:rPr>
        <w:t>אף</w:t>
      </w:r>
      <w:r w:rsidRPr="002A7F63">
        <w:rPr>
          <w:rFonts w:cs="Arial"/>
          <w:sz w:val="20"/>
          <w:szCs w:val="20"/>
          <w:rtl/>
        </w:rPr>
        <w:t xml:space="preserve"> </w:t>
      </w:r>
      <w:r w:rsidRPr="002A7F63">
        <w:rPr>
          <w:rFonts w:cs="Arial" w:hint="cs"/>
          <w:sz w:val="20"/>
          <w:szCs w:val="20"/>
          <w:rtl/>
        </w:rPr>
        <w:t>על</w:t>
      </w:r>
      <w:r w:rsidRPr="002A7F63">
        <w:rPr>
          <w:rFonts w:cs="Arial"/>
          <w:sz w:val="20"/>
          <w:szCs w:val="20"/>
          <w:rtl/>
        </w:rPr>
        <w:t xml:space="preserve"> </w:t>
      </w:r>
      <w:r w:rsidRPr="002A7F63">
        <w:rPr>
          <w:rFonts w:cs="Arial" w:hint="cs"/>
          <w:sz w:val="20"/>
          <w:szCs w:val="20"/>
          <w:rtl/>
        </w:rPr>
        <w:t>פי</w:t>
      </w:r>
      <w:r w:rsidRPr="002A7F63">
        <w:rPr>
          <w:rFonts w:cs="Arial"/>
          <w:sz w:val="20"/>
          <w:szCs w:val="20"/>
          <w:rtl/>
        </w:rPr>
        <w:t xml:space="preserve"> </w:t>
      </w:r>
      <w:r w:rsidRPr="002A7F63">
        <w:rPr>
          <w:rFonts w:cs="Arial" w:hint="cs"/>
          <w:sz w:val="20"/>
          <w:szCs w:val="20"/>
          <w:rtl/>
        </w:rPr>
        <w:t>שחוששת</w:t>
      </w:r>
      <w:r w:rsidRPr="002A7F63">
        <w:rPr>
          <w:rFonts w:cs="Arial"/>
          <w:sz w:val="20"/>
          <w:szCs w:val="20"/>
          <w:rtl/>
        </w:rPr>
        <w:t xml:space="preserve"> </w:t>
      </w:r>
      <w:r w:rsidRPr="002A7F63">
        <w:rPr>
          <w:rFonts w:cs="Arial" w:hint="cs"/>
          <w:sz w:val="20"/>
          <w:szCs w:val="20"/>
          <w:rtl/>
        </w:rPr>
        <w:t>לו</w:t>
      </w:r>
      <w:r w:rsidRPr="002A7F63">
        <w:rPr>
          <w:rFonts w:cs="Arial"/>
          <w:sz w:val="20"/>
          <w:szCs w:val="20"/>
          <w:rtl/>
        </w:rPr>
        <w:t xml:space="preserve">, </w:t>
      </w:r>
      <w:r w:rsidRPr="002A7F63">
        <w:rPr>
          <w:rFonts w:cs="Arial" w:hint="cs"/>
          <w:sz w:val="20"/>
          <w:szCs w:val="20"/>
          <w:rtl/>
        </w:rPr>
        <w:t>נעקר</w:t>
      </w:r>
      <w:r w:rsidRPr="002A7F63">
        <w:rPr>
          <w:rFonts w:cs="Arial"/>
          <w:sz w:val="20"/>
          <w:szCs w:val="20"/>
          <w:rtl/>
        </w:rPr>
        <w:t xml:space="preserve"> </w:t>
      </w:r>
      <w:r w:rsidRPr="002A7F63">
        <w:rPr>
          <w:rFonts w:cs="Arial" w:hint="cs"/>
          <w:sz w:val="20"/>
          <w:szCs w:val="20"/>
          <w:rtl/>
        </w:rPr>
        <w:t>בפעם</w:t>
      </w:r>
      <w:r w:rsidRPr="002A7F63">
        <w:rPr>
          <w:rFonts w:cs="Arial"/>
          <w:sz w:val="20"/>
          <w:szCs w:val="20"/>
          <w:rtl/>
        </w:rPr>
        <w:t xml:space="preserve"> </w:t>
      </w:r>
      <w:r w:rsidRPr="002A7F63">
        <w:rPr>
          <w:rFonts w:cs="Arial" w:hint="cs"/>
          <w:sz w:val="20"/>
          <w:szCs w:val="20"/>
          <w:rtl/>
        </w:rPr>
        <w:t>אחת</w:t>
      </w:r>
      <w:r w:rsidRPr="002A7F63">
        <w:rPr>
          <w:rFonts w:cs="Arial"/>
          <w:sz w:val="20"/>
          <w:szCs w:val="20"/>
          <w:rtl/>
        </w:rPr>
        <w:t xml:space="preserve">, </w:t>
      </w:r>
      <w:r w:rsidRPr="002A7F63">
        <w:rPr>
          <w:rFonts w:cs="Arial" w:hint="cs"/>
          <w:sz w:val="20"/>
          <w:szCs w:val="20"/>
          <w:rtl/>
        </w:rPr>
        <w:t>אפילו</w:t>
      </w:r>
      <w:r w:rsidRPr="002A7F63">
        <w:rPr>
          <w:rFonts w:cs="Arial"/>
          <w:sz w:val="20"/>
          <w:szCs w:val="20"/>
          <w:rtl/>
        </w:rPr>
        <w:t xml:space="preserve"> </w:t>
      </w:r>
      <w:r w:rsidRPr="002A7F63">
        <w:rPr>
          <w:rFonts w:cs="Arial" w:hint="cs"/>
          <w:sz w:val="20"/>
          <w:szCs w:val="20"/>
          <w:rtl/>
        </w:rPr>
        <w:t>קבעתו</w:t>
      </w:r>
      <w:r w:rsidRPr="002A7F63">
        <w:rPr>
          <w:rFonts w:cs="Arial"/>
          <w:sz w:val="20"/>
          <w:szCs w:val="20"/>
          <w:rtl/>
        </w:rPr>
        <w:t xml:space="preserve"> </w:t>
      </w:r>
      <w:r w:rsidRPr="002A7F63">
        <w:rPr>
          <w:rFonts w:cs="Arial" w:hint="cs"/>
          <w:sz w:val="20"/>
          <w:szCs w:val="20"/>
          <w:rtl/>
        </w:rPr>
        <w:t>ב</w:t>
      </w:r>
      <w:r w:rsidRPr="002A7F63">
        <w:rPr>
          <w:rFonts w:cs="Arial"/>
          <w:sz w:val="20"/>
          <w:szCs w:val="20"/>
          <w:rtl/>
        </w:rPr>
        <w:t xml:space="preserve">' </w:t>
      </w:r>
      <w:r w:rsidRPr="002A7F63">
        <w:rPr>
          <w:rFonts w:cs="Arial" w:hint="cs"/>
          <w:sz w:val="20"/>
          <w:szCs w:val="20"/>
          <w:rtl/>
        </w:rPr>
        <w:t>פעמים</w:t>
      </w:r>
      <w:r w:rsidRPr="002A7F63">
        <w:rPr>
          <w:rFonts w:cs="Arial"/>
          <w:sz w:val="20"/>
          <w:szCs w:val="20"/>
          <w:rtl/>
        </w:rPr>
        <w:t xml:space="preserve">. </w:t>
      </w:r>
      <w:r w:rsidRPr="002A7F63">
        <w:rPr>
          <w:rFonts w:cs="Arial" w:hint="cs"/>
          <w:sz w:val="20"/>
          <w:szCs w:val="20"/>
          <w:rtl/>
        </w:rPr>
        <w:t>שאם</w:t>
      </w:r>
      <w:r w:rsidRPr="002A7F63">
        <w:rPr>
          <w:rFonts w:cs="Arial"/>
          <w:sz w:val="20"/>
          <w:szCs w:val="20"/>
          <w:rtl/>
        </w:rPr>
        <w:t xml:space="preserve"> </w:t>
      </w:r>
      <w:r w:rsidRPr="002A7F63">
        <w:rPr>
          <w:rFonts w:cs="Arial" w:hint="cs"/>
          <w:sz w:val="20"/>
          <w:szCs w:val="20"/>
          <w:rtl/>
        </w:rPr>
        <w:t>ראתה</w:t>
      </w:r>
      <w:r w:rsidRPr="002A7F63">
        <w:rPr>
          <w:rFonts w:cs="Arial"/>
          <w:sz w:val="20"/>
          <w:szCs w:val="20"/>
          <w:rtl/>
        </w:rPr>
        <w:t xml:space="preserve"> </w:t>
      </w:r>
      <w:r w:rsidRPr="002A7F63">
        <w:rPr>
          <w:rFonts w:cs="Arial" w:hint="cs"/>
          <w:sz w:val="20"/>
          <w:szCs w:val="20"/>
          <w:rtl/>
        </w:rPr>
        <w:t>ב</w:t>
      </w:r>
      <w:r w:rsidRPr="002A7F63">
        <w:rPr>
          <w:rFonts w:cs="Arial"/>
          <w:sz w:val="20"/>
          <w:szCs w:val="20"/>
          <w:rtl/>
        </w:rPr>
        <w:t xml:space="preserve">' </w:t>
      </w:r>
      <w:r>
        <w:rPr>
          <w:rFonts w:cs="Arial" w:hint="cs"/>
          <w:sz w:val="20"/>
          <w:szCs w:val="20"/>
          <w:rtl/>
        </w:rPr>
        <w:t>פע</w:t>
      </w:r>
      <w:r w:rsidRPr="002A7F63">
        <w:rPr>
          <w:rFonts w:cs="Arial" w:hint="cs"/>
          <w:sz w:val="20"/>
          <w:szCs w:val="20"/>
          <w:rtl/>
        </w:rPr>
        <w:t>מים</w:t>
      </w:r>
      <w:r w:rsidRPr="002A7F63">
        <w:rPr>
          <w:rFonts w:cs="Arial"/>
          <w:sz w:val="20"/>
          <w:szCs w:val="20"/>
          <w:rtl/>
        </w:rPr>
        <w:t xml:space="preserve"> </w:t>
      </w:r>
      <w:r w:rsidRPr="002A7F63">
        <w:rPr>
          <w:rFonts w:cs="Arial" w:hint="cs"/>
          <w:sz w:val="20"/>
          <w:szCs w:val="20"/>
          <w:rtl/>
        </w:rPr>
        <w:t>ליום</w:t>
      </w:r>
      <w:r w:rsidRPr="002A7F63">
        <w:rPr>
          <w:rFonts w:cs="Arial"/>
          <w:sz w:val="20"/>
          <w:szCs w:val="20"/>
          <w:rtl/>
        </w:rPr>
        <w:t xml:space="preserve"> </w:t>
      </w:r>
      <w:r w:rsidRPr="002A7F63">
        <w:rPr>
          <w:rFonts w:cs="Arial" w:hint="cs"/>
          <w:sz w:val="20"/>
          <w:szCs w:val="20"/>
          <w:rtl/>
        </w:rPr>
        <w:t>ידוע</w:t>
      </w:r>
      <w:r w:rsidRPr="002A7F63">
        <w:rPr>
          <w:rFonts w:cs="Arial"/>
          <w:sz w:val="20"/>
          <w:szCs w:val="20"/>
          <w:rtl/>
        </w:rPr>
        <w:t xml:space="preserve">, </w:t>
      </w:r>
      <w:r w:rsidRPr="002A7F63">
        <w:rPr>
          <w:rFonts w:cs="Arial" w:hint="cs"/>
          <w:sz w:val="20"/>
          <w:szCs w:val="20"/>
          <w:rtl/>
        </w:rPr>
        <w:t>ובשלישית</w:t>
      </w:r>
      <w:r w:rsidRPr="002A7F63">
        <w:rPr>
          <w:rFonts w:cs="Arial"/>
          <w:sz w:val="20"/>
          <w:szCs w:val="20"/>
          <w:rtl/>
        </w:rPr>
        <w:t xml:space="preserve"> </w:t>
      </w:r>
      <w:r w:rsidRPr="002A7F63">
        <w:rPr>
          <w:rFonts w:cs="Arial" w:hint="cs"/>
          <w:sz w:val="20"/>
          <w:szCs w:val="20"/>
          <w:rtl/>
        </w:rPr>
        <w:t>לא</w:t>
      </w:r>
      <w:r w:rsidRPr="002A7F63">
        <w:rPr>
          <w:rFonts w:cs="Arial"/>
          <w:sz w:val="20"/>
          <w:szCs w:val="20"/>
          <w:rtl/>
        </w:rPr>
        <w:t xml:space="preserve"> </w:t>
      </w:r>
      <w:r w:rsidRPr="002A7F63">
        <w:rPr>
          <w:rFonts w:cs="Arial" w:hint="cs"/>
          <w:sz w:val="20"/>
          <w:szCs w:val="20"/>
          <w:rtl/>
        </w:rPr>
        <w:t>ראתה</w:t>
      </w:r>
      <w:r w:rsidRPr="002A7F63">
        <w:rPr>
          <w:rFonts w:cs="Arial"/>
          <w:sz w:val="20"/>
          <w:szCs w:val="20"/>
          <w:rtl/>
        </w:rPr>
        <w:t xml:space="preserve">, </w:t>
      </w:r>
      <w:r w:rsidRPr="002A7F63">
        <w:rPr>
          <w:rFonts w:cs="Arial" w:hint="cs"/>
          <w:sz w:val="20"/>
          <w:szCs w:val="20"/>
          <w:rtl/>
        </w:rPr>
        <w:t>אינה</w:t>
      </w:r>
      <w:r w:rsidRPr="002A7F63">
        <w:rPr>
          <w:rFonts w:cs="Arial"/>
          <w:sz w:val="20"/>
          <w:szCs w:val="20"/>
          <w:rtl/>
        </w:rPr>
        <w:t xml:space="preserve"> </w:t>
      </w:r>
      <w:r w:rsidRPr="002A7F63">
        <w:rPr>
          <w:rFonts w:cs="Arial" w:hint="cs"/>
          <w:sz w:val="20"/>
          <w:szCs w:val="20"/>
          <w:rtl/>
        </w:rPr>
        <w:t>חוששת</w:t>
      </w:r>
      <w:r w:rsidRPr="002A7F63">
        <w:rPr>
          <w:rFonts w:cs="Arial"/>
          <w:sz w:val="20"/>
          <w:szCs w:val="20"/>
          <w:rtl/>
        </w:rPr>
        <w:t xml:space="preserve"> </w:t>
      </w:r>
      <w:r w:rsidRPr="002A7F63">
        <w:rPr>
          <w:rFonts w:cs="Arial" w:hint="cs"/>
          <w:sz w:val="20"/>
          <w:szCs w:val="20"/>
          <w:rtl/>
        </w:rPr>
        <w:t>לה</w:t>
      </w:r>
      <w:r w:rsidRPr="002A7F63">
        <w:rPr>
          <w:rFonts w:cs="Arial"/>
          <w:sz w:val="20"/>
          <w:szCs w:val="20"/>
          <w:rtl/>
        </w:rPr>
        <w:t xml:space="preserve"> </w:t>
      </w:r>
      <w:r w:rsidRPr="002A7F63">
        <w:rPr>
          <w:rFonts w:cs="Arial" w:hint="cs"/>
          <w:sz w:val="20"/>
          <w:szCs w:val="20"/>
          <w:rtl/>
        </w:rPr>
        <w:t>עוד</w:t>
      </w:r>
      <w:r>
        <w:rPr>
          <w:rFonts w:cs="Arial" w:hint="cs"/>
          <w:sz w:val="20"/>
          <w:szCs w:val="20"/>
          <w:rtl/>
        </w:rPr>
        <w:t>"</w:t>
      </w:r>
      <w:r w:rsidRPr="002A7F63">
        <w:rPr>
          <w:rFonts w:cs="Arial"/>
          <w:sz w:val="20"/>
          <w:szCs w:val="20"/>
          <w:rtl/>
        </w:rPr>
        <w:t xml:space="preserve">. </w:t>
      </w:r>
    </w:p>
    <w:p w:rsidR="00620060" w:rsidRDefault="00620060" w:rsidP="00620060">
      <w:pPr>
        <w:rPr>
          <w:rFonts w:cs="Arial"/>
          <w:sz w:val="20"/>
          <w:szCs w:val="20"/>
          <w:rtl/>
        </w:rPr>
      </w:pPr>
      <w:r>
        <w:rPr>
          <w:rFonts w:cs="Arial" w:hint="cs"/>
          <w:sz w:val="20"/>
          <w:szCs w:val="20"/>
          <w:u w:val="single"/>
          <w:rtl/>
        </w:rPr>
        <w:t>ווסת ההפלגה (ט"ז וש"ך)</w:t>
      </w:r>
      <w:r>
        <w:rPr>
          <w:rFonts w:cs="Arial" w:hint="cs"/>
          <w:sz w:val="20"/>
          <w:szCs w:val="20"/>
          <w:u w:val="single"/>
          <w:rtl/>
        </w:rPr>
        <w:br/>
      </w:r>
      <w:r>
        <w:rPr>
          <w:rFonts w:cs="Arial" w:hint="cs"/>
          <w:sz w:val="20"/>
          <w:szCs w:val="20"/>
          <w:rtl/>
        </w:rPr>
        <w:t>חשש לווסת ההפלגה שייך רק לאחר ב' ראיות, כיוון שעד אז אין ידוע מהי הפלגתה.</w:t>
      </w:r>
    </w:p>
    <w:p w:rsidR="00620060" w:rsidRDefault="00620060" w:rsidP="00620060">
      <w:pPr>
        <w:rPr>
          <w:rFonts w:cs="Arial"/>
          <w:sz w:val="20"/>
          <w:szCs w:val="20"/>
          <w:rtl/>
        </w:rPr>
      </w:pPr>
      <w:r>
        <w:rPr>
          <w:rFonts w:cs="Arial" w:hint="cs"/>
          <w:b/>
          <w:bCs/>
          <w:sz w:val="20"/>
          <w:szCs w:val="20"/>
          <w:rtl/>
        </w:rPr>
        <w:t>סיכום</w:t>
      </w:r>
      <w:r>
        <w:rPr>
          <w:rFonts w:cs="Arial"/>
          <w:b/>
          <w:bCs/>
          <w:sz w:val="20"/>
          <w:szCs w:val="20"/>
          <w:rtl/>
        </w:rPr>
        <w:br/>
      </w:r>
      <w:r>
        <w:rPr>
          <w:rFonts w:cs="Arial" w:hint="cs"/>
          <w:sz w:val="20"/>
          <w:szCs w:val="20"/>
          <w:rtl/>
        </w:rPr>
        <w:t xml:space="preserve">1. </w:t>
      </w:r>
      <w:r w:rsidRPr="009256BA">
        <w:rPr>
          <w:rFonts w:cs="Arial" w:hint="cs"/>
          <w:b/>
          <w:bCs/>
          <w:sz w:val="20"/>
          <w:szCs w:val="20"/>
          <w:rtl/>
        </w:rPr>
        <w:t>משנה</w:t>
      </w:r>
      <w:r>
        <w:rPr>
          <w:rFonts w:cs="Arial" w:hint="cs"/>
          <w:sz w:val="20"/>
          <w:szCs w:val="20"/>
          <w:rtl/>
        </w:rPr>
        <w:t xml:space="preserve">. קביעת ווסת בג' פעמים. </w:t>
      </w:r>
      <w:r w:rsidRPr="00322762">
        <w:rPr>
          <w:rFonts w:cs="Arial" w:hint="cs"/>
          <w:b/>
          <w:bCs/>
          <w:sz w:val="20"/>
          <w:szCs w:val="20"/>
          <w:rtl/>
        </w:rPr>
        <w:t>רשב"א</w:t>
      </w:r>
      <w:r>
        <w:rPr>
          <w:rFonts w:cs="Arial" w:hint="cs"/>
          <w:sz w:val="20"/>
          <w:szCs w:val="20"/>
          <w:rtl/>
        </w:rPr>
        <w:t xml:space="preserve">. ווסת הפלגה נקבע ע"י ד' ראיות, וכ"פ </w:t>
      </w:r>
      <w:r w:rsidRPr="009256BA">
        <w:rPr>
          <w:rFonts w:cs="Arial" w:hint="cs"/>
          <w:b/>
          <w:bCs/>
          <w:sz w:val="20"/>
          <w:szCs w:val="20"/>
          <w:rtl/>
        </w:rPr>
        <w:t>המחבר</w:t>
      </w:r>
      <w:r>
        <w:rPr>
          <w:rFonts w:cs="Arial" w:hint="cs"/>
          <w:sz w:val="20"/>
          <w:szCs w:val="20"/>
          <w:rtl/>
        </w:rPr>
        <w:t>.</w:t>
      </w:r>
      <w:r>
        <w:rPr>
          <w:rFonts w:cs="Arial"/>
          <w:sz w:val="20"/>
          <w:szCs w:val="20"/>
          <w:rtl/>
        </w:rPr>
        <w:br/>
      </w:r>
      <w:r>
        <w:rPr>
          <w:rFonts w:cs="Arial" w:hint="cs"/>
          <w:sz w:val="20"/>
          <w:szCs w:val="20"/>
          <w:rtl/>
        </w:rPr>
        <w:t>2. בווסת שאינו קבוע חוששת להפלגה וליום החודש. ווסת קבוע נעקר בג"פ, אינו קבוע נעקר בפעם אחת.</w:t>
      </w:r>
      <w:r>
        <w:rPr>
          <w:rFonts w:cs="Arial"/>
          <w:sz w:val="20"/>
          <w:szCs w:val="20"/>
          <w:rtl/>
        </w:rPr>
        <w:br/>
      </w:r>
      <w:r>
        <w:rPr>
          <w:rFonts w:cs="Arial" w:hint="cs"/>
          <w:sz w:val="20"/>
          <w:szCs w:val="20"/>
          <w:rtl/>
        </w:rPr>
        <w:t xml:space="preserve">3. </w:t>
      </w:r>
      <w:r w:rsidRPr="009256BA">
        <w:rPr>
          <w:rFonts w:cs="Arial" w:hint="cs"/>
          <w:b/>
          <w:bCs/>
          <w:sz w:val="20"/>
          <w:szCs w:val="20"/>
          <w:rtl/>
        </w:rPr>
        <w:t>ט"ז וש"ך</w:t>
      </w:r>
      <w:r>
        <w:rPr>
          <w:rFonts w:cs="Arial" w:hint="cs"/>
          <w:sz w:val="20"/>
          <w:szCs w:val="20"/>
          <w:rtl/>
        </w:rPr>
        <w:t>. לווסת ההפלגה שייך לחוש רק לאחר ב' ראיות.</w:t>
      </w:r>
    </w:p>
    <w:p w:rsidR="00620060" w:rsidRDefault="00620060" w:rsidP="00620060">
      <w:pPr>
        <w:rPr>
          <w:rFonts w:cs="Arial"/>
          <w:sz w:val="20"/>
          <w:szCs w:val="20"/>
          <w:rtl/>
        </w:rPr>
      </w:pPr>
      <w:r>
        <w:rPr>
          <w:rFonts w:cs="Arial"/>
          <w:sz w:val="20"/>
          <w:szCs w:val="20"/>
          <w:rtl/>
        </w:rPr>
        <w:br/>
      </w:r>
      <w:r>
        <w:rPr>
          <w:rFonts w:cs="Arial" w:hint="cs"/>
          <w:b/>
          <w:bCs/>
          <w:sz w:val="20"/>
          <w:szCs w:val="20"/>
          <w:rtl/>
        </w:rPr>
        <w:t xml:space="preserve">סעיף ג </w:t>
      </w:r>
      <w:r>
        <w:rPr>
          <w:rFonts w:cs="Arial"/>
          <w:b/>
          <w:bCs/>
          <w:sz w:val="20"/>
          <w:szCs w:val="20"/>
          <w:rtl/>
        </w:rPr>
        <w:t>–</w:t>
      </w:r>
      <w:r>
        <w:rPr>
          <w:rFonts w:cs="Arial" w:hint="cs"/>
          <w:b/>
          <w:bCs/>
          <w:sz w:val="20"/>
          <w:szCs w:val="20"/>
          <w:rtl/>
        </w:rPr>
        <w:t xml:space="preserve"> ווסת לשעות</w:t>
      </w:r>
      <w:r>
        <w:rPr>
          <w:rFonts w:cs="Arial"/>
          <w:b/>
          <w:bCs/>
          <w:sz w:val="20"/>
          <w:szCs w:val="20"/>
          <w:rtl/>
        </w:rPr>
        <w:br/>
      </w:r>
      <w:r>
        <w:rPr>
          <w:rFonts w:cs="Arial" w:hint="cs"/>
          <w:b/>
          <w:bCs/>
          <w:sz w:val="20"/>
          <w:szCs w:val="20"/>
          <w:rtl/>
        </w:rPr>
        <w:t xml:space="preserve">ראב"ד </w:t>
      </w:r>
      <w:r>
        <w:rPr>
          <w:rFonts w:cs="Arial"/>
          <w:sz w:val="20"/>
          <w:szCs w:val="20"/>
          <w:rtl/>
        </w:rPr>
        <w:t>–</w:t>
      </w:r>
      <w:r>
        <w:rPr>
          <w:rFonts w:cs="Arial" w:hint="cs"/>
          <w:sz w:val="20"/>
          <w:szCs w:val="20"/>
          <w:rtl/>
        </w:rPr>
        <w:t xml:space="preserve"> "אם קבעה וסתה לשעות ולא לימים, אינה חוששת אלא שעתה בלבד".</w:t>
      </w:r>
      <w:r>
        <w:rPr>
          <w:rFonts w:cs="Arial" w:hint="cs"/>
          <w:sz w:val="20"/>
          <w:szCs w:val="20"/>
          <w:rtl/>
        </w:rPr>
        <w:br/>
        <w:t>אמנם, מודה הראב"ד לעניין עקירת הווסת שנעקר בפעם אחת כדין ווסת שאינו קבוע.</w:t>
      </w:r>
      <w:r>
        <w:rPr>
          <w:rFonts w:cs="Arial"/>
          <w:sz w:val="20"/>
          <w:szCs w:val="20"/>
          <w:rtl/>
        </w:rPr>
        <w:br/>
      </w:r>
      <w:r>
        <w:rPr>
          <w:rFonts w:cs="Arial" w:hint="cs"/>
          <w:sz w:val="20"/>
          <w:szCs w:val="20"/>
          <w:rtl/>
        </w:rPr>
        <w:br/>
      </w:r>
      <w:r w:rsidRPr="001F5798">
        <w:rPr>
          <w:rFonts w:cs="Arial" w:hint="cs"/>
          <w:b/>
          <w:bCs/>
          <w:sz w:val="20"/>
          <w:szCs w:val="20"/>
          <w:rtl/>
        </w:rPr>
        <w:t>ראיות הראב"ד</w:t>
      </w:r>
      <w:r>
        <w:rPr>
          <w:rFonts w:cs="Arial"/>
          <w:sz w:val="20"/>
          <w:szCs w:val="20"/>
          <w:u w:val="single"/>
          <w:rtl/>
        </w:rPr>
        <w:br/>
      </w:r>
      <w:r>
        <w:rPr>
          <w:rFonts w:cs="Arial" w:hint="cs"/>
          <w:sz w:val="20"/>
          <w:szCs w:val="20"/>
          <w:rtl/>
        </w:rPr>
        <w:t xml:space="preserve">א. </w:t>
      </w:r>
      <w:r w:rsidRPr="001D7ABE">
        <w:rPr>
          <w:rFonts w:cs="Arial" w:hint="cs"/>
          <w:b/>
          <w:bCs/>
          <w:sz w:val="20"/>
          <w:szCs w:val="20"/>
          <w:rtl/>
        </w:rPr>
        <w:t>משנה</w:t>
      </w:r>
      <w:r>
        <w:rPr>
          <w:rFonts w:cs="Arial" w:hint="cs"/>
          <w:sz w:val="20"/>
          <w:szCs w:val="20"/>
          <w:rtl/>
        </w:rPr>
        <w:t xml:space="preserve"> נידה (סג:) "</w:t>
      </w:r>
      <w:r w:rsidRPr="001D7ABE">
        <w:rPr>
          <w:rFonts w:cs="Arial" w:hint="cs"/>
          <w:sz w:val="20"/>
          <w:szCs w:val="20"/>
          <w:rtl/>
        </w:rPr>
        <w:t>היתה</w:t>
      </w:r>
      <w:r w:rsidRPr="001D7ABE">
        <w:rPr>
          <w:rFonts w:cs="Arial"/>
          <w:sz w:val="20"/>
          <w:szCs w:val="20"/>
          <w:rtl/>
        </w:rPr>
        <w:t xml:space="preserve"> </w:t>
      </w:r>
      <w:r w:rsidRPr="001D7ABE">
        <w:rPr>
          <w:rFonts w:cs="Arial" w:hint="cs"/>
          <w:sz w:val="20"/>
          <w:szCs w:val="20"/>
          <w:rtl/>
        </w:rPr>
        <w:t>למודה</w:t>
      </w:r>
      <w:r w:rsidRPr="001D7ABE">
        <w:rPr>
          <w:rFonts w:cs="Arial"/>
          <w:sz w:val="20"/>
          <w:szCs w:val="20"/>
          <w:rtl/>
        </w:rPr>
        <w:t xml:space="preserve"> </w:t>
      </w:r>
      <w:r w:rsidRPr="001D7ABE">
        <w:rPr>
          <w:rFonts w:cs="Arial" w:hint="cs"/>
          <w:sz w:val="20"/>
          <w:szCs w:val="20"/>
          <w:rtl/>
        </w:rPr>
        <w:t>להיות</w:t>
      </w:r>
      <w:r w:rsidRPr="001D7ABE">
        <w:rPr>
          <w:rFonts w:cs="Arial"/>
          <w:sz w:val="20"/>
          <w:szCs w:val="20"/>
          <w:rtl/>
        </w:rPr>
        <w:t xml:space="preserve"> </w:t>
      </w:r>
      <w:r w:rsidRPr="001D7ABE">
        <w:rPr>
          <w:rFonts w:cs="Arial" w:hint="cs"/>
          <w:sz w:val="20"/>
          <w:szCs w:val="20"/>
          <w:rtl/>
        </w:rPr>
        <w:t>רואה</w:t>
      </w:r>
      <w:r w:rsidRPr="001D7ABE">
        <w:rPr>
          <w:rFonts w:cs="Arial"/>
          <w:sz w:val="20"/>
          <w:szCs w:val="20"/>
          <w:rtl/>
        </w:rPr>
        <w:t xml:space="preserve"> </w:t>
      </w:r>
      <w:r w:rsidRPr="001D7ABE">
        <w:rPr>
          <w:rFonts w:cs="Arial" w:hint="cs"/>
          <w:sz w:val="20"/>
          <w:szCs w:val="20"/>
          <w:rtl/>
        </w:rPr>
        <w:t>מיום</w:t>
      </w:r>
      <w:r w:rsidRPr="001D7ABE">
        <w:rPr>
          <w:rFonts w:cs="Arial"/>
          <w:sz w:val="20"/>
          <w:szCs w:val="20"/>
          <w:rtl/>
        </w:rPr>
        <w:t xml:space="preserve"> </w:t>
      </w:r>
      <w:r w:rsidRPr="001D7ABE">
        <w:rPr>
          <w:rFonts w:cs="Arial" w:hint="cs"/>
          <w:sz w:val="20"/>
          <w:szCs w:val="20"/>
          <w:rtl/>
        </w:rPr>
        <w:t>עשרים</w:t>
      </w:r>
      <w:r w:rsidRPr="001D7ABE">
        <w:rPr>
          <w:rFonts w:cs="Arial"/>
          <w:sz w:val="20"/>
          <w:szCs w:val="20"/>
          <w:rtl/>
        </w:rPr>
        <w:t xml:space="preserve"> </w:t>
      </w:r>
      <w:r w:rsidRPr="001D7ABE">
        <w:rPr>
          <w:rFonts w:cs="Arial" w:hint="cs"/>
          <w:sz w:val="20"/>
          <w:szCs w:val="20"/>
          <w:rtl/>
        </w:rPr>
        <w:t>ליום</w:t>
      </w:r>
      <w:r w:rsidRPr="001D7ABE">
        <w:rPr>
          <w:rFonts w:cs="Arial"/>
          <w:sz w:val="20"/>
          <w:szCs w:val="20"/>
          <w:rtl/>
        </w:rPr>
        <w:t xml:space="preserve"> </w:t>
      </w:r>
      <w:r w:rsidRPr="001D7ABE">
        <w:rPr>
          <w:rFonts w:cs="Arial" w:hint="cs"/>
          <w:sz w:val="20"/>
          <w:szCs w:val="20"/>
          <w:rtl/>
        </w:rPr>
        <w:t>עשרים</w:t>
      </w:r>
      <w:r w:rsidRPr="001D7ABE">
        <w:rPr>
          <w:rFonts w:cs="Arial"/>
          <w:sz w:val="20"/>
          <w:szCs w:val="20"/>
          <w:rtl/>
        </w:rPr>
        <w:t xml:space="preserve">, </w:t>
      </w:r>
      <w:r w:rsidRPr="001D7ABE">
        <w:rPr>
          <w:rFonts w:cs="Arial" w:hint="cs"/>
          <w:sz w:val="20"/>
          <w:szCs w:val="20"/>
          <w:rtl/>
        </w:rPr>
        <w:t>ומשש</w:t>
      </w:r>
      <w:r w:rsidRPr="001D7ABE">
        <w:rPr>
          <w:rFonts w:cs="Arial"/>
          <w:sz w:val="20"/>
          <w:szCs w:val="20"/>
          <w:rtl/>
        </w:rPr>
        <w:t xml:space="preserve"> </w:t>
      </w:r>
      <w:r w:rsidRPr="001D7ABE">
        <w:rPr>
          <w:rFonts w:cs="Arial" w:hint="cs"/>
          <w:sz w:val="20"/>
          <w:szCs w:val="20"/>
          <w:rtl/>
        </w:rPr>
        <w:t>שעות</w:t>
      </w:r>
      <w:r w:rsidRPr="001D7ABE">
        <w:rPr>
          <w:rFonts w:cs="Arial"/>
          <w:sz w:val="20"/>
          <w:szCs w:val="20"/>
          <w:rtl/>
        </w:rPr>
        <w:t xml:space="preserve"> </w:t>
      </w:r>
      <w:r w:rsidRPr="001D7ABE">
        <w:rPr>
          <w:rFonts w:cs="Arial" w:hint="cs"/>
          <w:sz w:val="20"/>
          <w:szCs w:val="20"/>
          <w:rtl/>
        </w:rPr>
        <w:t>לשש</w:t>
      </w:r>
      <w:r w:rsidRPr="001D7ABE">
        <w:rPr>
          <w:rFonts w:cs="Arial"/>
          <w:sz w:val="20"/>
          <w:szCs w:val="20"/>
          <w:rtl/>
        </w:rPr>
        <w:t xml:space="preserve"> </w:t>
      </w:r>
      <w:r w:rsidRPr="001D7ABE">
        <w:rPr>
          <w:rFonts w:cs="Arial" w:hint="cs"/>
          <w:sz w:val="20"/>
          <w:szCs w:val="20"/>
          <w:rtl/>
        </w:rPr>
        <w:t>שעות</w:t>
      </w:r>
      <w:r w:rsidRPr="001D7ABE">
        <w:rPr>
          <w:rFonts w:cs="Arial"/>
          <w:sz w:val="20"/>
          <w:szCs w:val="20"/>
          <w:rtl/>
        </w:rPr>
        <w:t xml:space="preserve">, </w:t>
      </w:r>
      <w:r w:rsidRPr="001D7ABE">
        <w:rPr>
          <w:rFonts w:cs="Arial" w:hint="cs"/>
          <w:sz w:val="20"/>
          <w:szCs w:val="20"/>
          <w:rtl/>
        </w:rPr>
        <w:t>הגיע</w:t>
      </w:r>
      <w:r w:rsidRPr="001D7ABE">
        <w:rPr>
          <w:rFonts w:cs="Arial"/>
          <w:sz w:val="20"/>
          <w:szCs w:val="20"/>
          <w:rtl/>
        </w:rPr>
        <w:t xml:space="preserve"> </w:t>
      </w:r>
      <w:r w:rsidRPr="001D7ABE">
        <w:rPr>
          <w:rFonts w:cs="Arial" w:hint="cs"/>
          <w:sz w:val="20"/>
          <w:szCs w:val="20"/>
          <w:rtl/>
        </w:rPr>
        <w:t>יום</w:t>
      </w:r>
      <w:r w:rsidRPr="001D7ABE">
        <w:rPr>
          <w:rFonts w:cs="Arial"/>
          <w:sz w:val="20"/>
          <w:szCs w:val="20"/>
          <w:rtl/>
        </w:rPr>
        <w:t xml:space="preserve"> </w:t>
      </w:r>
      <w:r w:rsidRPr="001D7ABE">
        <w:rPr>
          <w:rFonts w:cs="Arial" w:hint="cs"/>
          <w:sz w:val="20"/>
          <w:szCs w:val="20"/>
          <w:rtl/>
        </w:rPr>
        <w:t>עשרים</w:t>
      </w:r>
      <w:r w:rsidRPr="001D7ABE">
        <w:rPr>
          <w:rFonts w:cs="Arial"/>
          <w:sz w:val="20"/>
          <w:szCs w:val="20"/>
          <w:rtl/>
        </w:rPr>
        <w:t xml:space="preserve"> </w:t>
      </w:r>
      <w:r w:rsidRPr="001D7ABE">
        <w:rPr>
          <w:rFonts w:cs="Arial" w:hint="cs"/>
          <w:sz w:val="20"/>
          <w:szCs w:val="20"/>
          <w:rtl/>
        </w:rPr>
        <w:t>ולא</w:t>
      </w:r>
      <w:r w:rsidRPr="001D7ABE">
        <w:rPr>
          <w:rFonts w:cs="Arial"/>
          <w:sz w:val="20"/>
          <w:szCs w:val="20"/>
          <w:rtl/>
        </w:rPr>
        <w:t xml:space="preserve"> </w:t>
      </w:r>
      <w:r w:rsidRPr="001D7ABE">
        <w:rPr>
          <w:rFonts w:cs="Arial" w:hint="cs"/>
          <w:sz w:val="20"/>
          <w:szCs w:val="20"/>
          <w:rtl/>
        </w:rPr>
        <w:t>ראתה</w:t>
      </w:r>
      <w:r w:rsidRPr="001D7ABE">
        <w:rPr>
          <w:rFonts w:cs="Arial"/>
          <w:sz w:val="20"/>
          <w:szCs w:val="20"/>
          <w:rtl/>
        </w:rPr>
        <w:t xml:space="preserve"> - </w:t>
      </w:r>
      <w:r w:rsidRPr="001D7ABE">
        <w:rPr>
          <w:rFonts w:cs="Arial" w:hint="cs"/>
          <w:sz w:val="20"/>
          <w:szCs w:val="20"/>
          <w:rtl/>
        </w:rPr>
        <w:t>אסורה</w:t>
      </w:r>
      <w:r w:rsidRPr="001D7ABE">
        <w:rPr>
          <w:rFonts w:cs="Arial"/>
          <w:sz w:val="20"/>
          <w:szCs w:val="20"/>
          <w:rtl/>
        </w:rPr>
        <w:t xml:space="preserve"> </w:t>
      </w:r>
      <w:r w:rsidRPr="001D7ABE">
        <w:rPr>
          <w:rFonts w:cs="Arial" w:hint="cs"/>
          <w:sz w:val="20"/>
          <w:szCs w:val="20"/>
          <w:rtl/>
        </w:rPr>
        <w:t>לשמש</w:t>
      </w:r>
      <w:r w:rsidRPr="001D7ABE">
        <w:rPr>
          <w:rFonts w:cs="Arial"/>
          <w:sz w:val="20"/>
          <w:szCs w:val="20"/>
          <w:rtl/>
        </w:rPr>
        <w:t xml:space="preserve"> </w:t>
      </w:r>
      <w:r w:rsidRPr="001D7ABE">
        <w:rPr>
          <w:rFonts w:cs="Arial" w:hint="cs"/>
          <w:sz w:val="20"/>
          <w:szCs w:val="20"/>
          <w:rtl/>
        </w:rPr>
        <w:t>כל</w:t>
      </w:r>
      <w:r w:rsidRPr="001D7ABE">
        <w:rPr>
          <w:rFonts w:cs="Arial"/>
          <w:sz w:val="20"/>
          <w:szCs w:val="20"/>
          <w:rtl/>
        </w:rPr>
        <w:t xml:space="preserve"> </w:t>
      </w:r>
      <w:r w:rsidRPr="001D7ABE">
        <w:rPr>
          <w:rFonts w:cs="Arial" w:hint="cs"/>
          <w:sz w:val="20"/>
          <w:szCs w:val="20"/>
          <w:rtl/>
        </w:rPr>
        <w:t>שש</w:t>
      </w:r>
      <w:r w:rsidRPr="001D7ABE">
        <w:rPr>
          <w:rFonts w:cs="Arial"/>
          <w:sz w:val="20"/>
          <w:szCs w:val="20"/>
          <w:rtl/>
        </w:rPr>
        <w:t xml:space="preserve"> </w:t>
      </w:r>
      <w:r w:rsidRPr="001D7ABE">
        <w:rPr>
          <w:rFonts w:cs="Arial" w:hint="cs"/>
          <w:sz w:val="20"/>
          <w:szCs w:val="20"/>
          <w:rtl/>
        </w:rPr>
        <w:t>שעות</w:t>
      </w:r>
      <w:r w:rsidRPr="001D7ABE">
        <w:rPr>
          <w:rFonts w:cs="Arial"/>
          <w:sz w:val="20"/>
          <w:szCs w:val="20"/>
          <w:rtl/>
        </w:rPr>
        <w:t xml:space="preserve"> </w:t>
      </w:r>
      <w:r w:rsidRPr="001D7ABE">
        <w:rPr>
          <w:rFonts w:cs="Arial" w:hint="cs"/>
          <w:sz w:val="20"/>
          <w:szCs w:val="20"/>
          <w:rtl/>
        </w:rPr>
        <w:t>ראשונות</w:t>
      </w:r>
      <w:r w:rsidRPr="001D7ABE">
        <w:rPr>
          <w:rFonts w:cs="Arial"/>
          <w:sz w:val="20"/>
          <w:szCs w:val="20"/>
          <w:rtl/>
        </w:rPr>
        <w:t xml:space="preserve"> - </w:t>
      </w:r>
      <w:r w:rsidRPr="001D7ABE">
        <w:rPr>
          <w:rFonts w:cs="Arial" w:hint="cs"/>
          <w:sz w:val="20"/>
          <w:szCs w:val="20"/>
          <w:rtl/>
        </w:rPr>
        <w:t>דברי</w:t>
      </w:r>
      <w:r w:rsidRPr="001D7ABE">
        <w:rPr>
          <w:rFonts w:cs="Arial"/>
          <w:sz w:val="20"/>
          <w:szCs w:val="20"/>
          <w:rtl/>
        </w:rPr>
        <w:t xml:space="preserve"> </w:t>
      </w:r>
      <w:r w:rsidRPr="001D7ABE">
        <w:rPr>
          <w:rFonts w:cs="Arial" w:hint="cs"/>
          <w:sz w:val="20"/>
          <w:szCs w:val="20"/>
          <w:rtl/>
        </w:rPr>
        <w:t>רבי</w:t>
      </w:r>
      <w:r w:rsidRPr="001D7ABE">
        <w:rPr>
          <w:rFonts w:cs="Arial"/>
          <w:sz w:val="20"/>
          <w:szCs w:val="20"/>
          <w:rtl/>
        </w:rPr>
        <w:t xml:space="preserve"> </w:t>
      </w:r>
      <w:r w:rsidRPr="001D7ABE">
        <w:rPr>
          <w:rFonts w:cs="Arial" w:hint="cs"/>
          <w:sz w:val="20"/>
          <w:szCs w:val="20"/>
          <w:rtl/>
        </w:rPr>
        <w:t>יהודה</w:t>
      </w:r>
      <w:r w:rsidRPr="001D7ABE">
        <w:rPr>
          <w:rFonts w:cs="Arial"/>
          <w:sz w:val="20"/>
          <w:szCs w:val="20"/>
          <w:rtl/>
        </w:rPr>
        <w:t xml:space="preserve">, </w:t>
      </w:r>
      <w:r w:rsidRPr="001D7ABE">
        <w:rPr>
          <w:rFonts w:cs="Arial" w:hint="cs"/>
          <w:sz w:val="20"/>
          <w:szCs w:val="20"/>
          <w:rtl/>
        </w:rPr>
        <w:t>ורבי</w:t>
      </w:r>
      <w:r w:rsidRPr="001D7ABE">
        <w:rPr>
          <w:rFonts w:cs="Arial"/>
          <w:sz w:val="20"/>
          <w:szCs w:val="20"/>
          <w:rtl/>
        </w:rPr>
        <w:t xml:space="preserve"> </w:t>
      </w:r>
      <w:r w:rsidRPr="001D7ABE">
        <w:rPr>
          <w:rFonts w:cs="Arial" w:hint="cs"/>
          <w:sz w:val="20"/>
          <w:szCs w:val="20"/>
          <w:rtl/>
        </w:rPr>
        <w:t>יוסי</w:t>
      </w:r>
      <w:r w:rsidRPr="001D7ABE">
        <w:rPr>
          <w:rFonts w:cs="Arial"/>
          <w:sz w:val="20"/>
          <w:szCs w:val="20"/>
          <w:rtl/>
        </w:rPr>
        <w:t xml:space="preserve"> </w:t>
      </w:r>
      <w:r w:rsidRPr="001D7ABE">
        <w:rPr>
          <w:rFonts w:cs="Arial" w:hint="cs"/>
          <w:sz w:val="20"/>
          <w:szCs w:val="20"/>
          <w:rtl/>
        </w:rPr>
        <w:t>מתיר</w:t>
      </w:r>
      <w:r w:rsidRPr="001D7ABE">
        <w:rPr>
          <w:rFonts w:cs="Arial"/>
          <w:sz w:val="20"/>
          <w:szCs w:val="20"/>
          <w:rtl/>
        </w:rPr>
        <w:t xml:space="preserve"> </w:t>
      </w:r>
      <w:r w:rsidRPr="001D7ABE">
        <w:rPr>
          <w:rFonts w:cs="Arial" w:hint="cs"/>
          <w:sz w:val="20"/>
          <w:szCs w:val="20"/>
          <w:rtl/>
        </w:rPr>
        <w:t>עד</w:t>
      </w:r>
      <w:r w:rsidRPr="001D7ABE">
        <w:rPr>
          <w:rFonts w:cs="Arial"/>
          <w:sz w:val="20"/>
          <w:szCs w:val="20"/>
          <w:rtl/>
        </w:rPr>
        <w:t xml:space="preserve"> </w:t>
      </w:r>
      <w:r w:rsidRPr="001D7ABE">
        <w:rPr>
          <w:rFonts w:cs="Arial" w:hint="cs"/>
          <w:sz w:val="20"/>
          <w:szCs w:val="20"/>
          <w:rtl/>
        </w:rPr>
        <w:t>שש</w:t>
      </w:r>
      <w:r w:rsidRPr="001D7ABE">
        <w:rPr>
          <w:rFonts w:cs="Arial"/>
          <w:sz w:val="20"/>
          <w:szCs w:val="20"/>
          <w:rtl/>
        </w:rPr>
        <w:t xml:space="preserve"> </w:t>
      </w:r>
      <w:r w:rsidRPr="001D7ABE">
        <w:rPr>
          <w:rFonts w:cs="Arial" w:hint="cs"/>
          <w:sz w:val="20"/>
          <w:szCs w:val="20"/>
          <w:rtl/>
        </w:rPr>
        <w:t>שעות</w:t>
      </w:r>
      <w:r w:rsidRPr="001D7ABE">
        <w:rPr>
          <w:rFonts w:cs="Arial"/>
          <w:sz w:val="20"/>
          <w:szCs w:val="20"/>
          <w:rtl/>
        </w:rPr>
        <w:t xml:space="preserve">, </w:t>
      </w:r>
      <w:r w:rsidRPr="001D7ABE">
        <w:rPr>
          <w:rFonts w:cs="Arial" w:hint="cs"/>
          <w:sz w:val="20"/>
          <w:szCs w:val="20"/>
          <w:rtl/>
        </w:rPr>
        <w:t>וחוששת</w:t>
      </w:r>
      <w:r w:rsidRPr="001D7ABE">
        <w:rPr>
          <w:rFonts w:cs="Arial"/>
          <w:sz w:val="20"/>
          <w:szCs w:val="20"/>
          <w:rtl/>
        </w:rPr>
        <w:t xml:space="preserve"> </w:t>
      </w:r>
      <w:r w:rsidRPr="001D7ABE">
        <w:rPr>
          <w:rFonts w:cs="Arial" w:hint="cs"/>
          <w:sz w:val="20"/>
          <w:szCs w:val="20"/>
          <w:rtl/>
        </w:rPr>
        <w:t>בשש</w:t>
      </w:r>
      <w:r w:rsidRPr="001D7ABE">
        <w:rPr>
          <w:rFonts w:cs="Arial"/>
          <w:sz w:val="20"/>
          <w:szCs w:val="20"/>
          <w:rtl/>
        </w:rPr>
        <w:t xml:space="preserve"> </w:t>
      </w:r>
      <w:r w:rsidRPr="001D7ABE">
        <w:rPr>
          <w:rFonts w:cs="Arial" w:hint="cs"/>
          <w:sz w:val="20"/>
          <w:szCs w:val="20"/>
          <w:rtl/>
        </w:rPr>
        <w:t>שעות</w:t>
      </w:r>
      <w:r>
        <w:rPr>
          <w:rFonts w:cs="Arial" w:hint="cs"/>
          <w:sz w:val="20"/>
          <w:szCs w:val="20"/>
          <w:rtl/>
        </w:rPr>
        <w:t>".</w:t>
      </w:r>
      <w:r>
        <w:rPr>
          <w:rFonts w:cs="Arial" w:hint="cs"/>
          <w:sz w:val="20"/>
          <w:szCs w:val="20"/>
          <w:rtl/>
        </w:rPr>
        <w:br/>
      </w:r>
      <w:r w:rsidRPr="001F5798">
        <w:rPr>
          <w:rFonts w:cs="Arial" w:hint="cs"/>
          <w:sz w:val="20"/>
          <w:szCs w:val="20"/>
          <w:rtl/>
        </w:rPr>
        <w:t xml:space="preserve">הסבר </w:t>
      </w:r>
      <w:r>
        <w:rPr>
          <w:rFonts w:cs="Arial"/>
          <w:sz w:val="20"/>
          <w:szCs w:val="20"/>
          <w:rtl/>
        </w:rPr>
        <w:t>–</w:t>
      </w:r>
      <w:r>
        <w:rPr>
          <w:rFonts w:cs="Arial" w:hint="cs"/>
          <w:sz w:val="20"/>
          <w:szCs w:val="20"/>
          <w:rtl/>
        </w:rPr>
        <w:t xml:space="preserve"> מחלוקת התנאים נאמרה דווקא בכה"ג, דהיינו שיש לה יום קבוע ושעה קבועה לראייתה. אולם, אשה שיש לה שעה קבועה לראייתה אך אין לה יום קבוע לכך, מודה רבי יהודה שחוששת לשעתה בלבד.</w:t>
      </w:r>
      <w:r>
        <w:rPr>
          <w:rFonts w:cs="Arial"/>
          <w:sz w:val="20"/>
          <w:szCs w:val="20"/>
          <w:rtl/>
        </w:rPr>
        <w:br/>
      </w:r>
      <w:r w:rsidRPr="001F5798">
        <w:rPr>
          <w:rFonts w:cs="Arial" w:hint="cs"/>
          <w:b/>
          <w:bCs/>
          <w:sz w:val="20"/>
          <w:szCs w:val="20"/>
          <w:rtl/>
        </w:rPr>
        <w:t>טעם</w:t>
      </w:r>
      <w:r>
        <w:rPr>
          <w:rFonts w:cs="Arial" w:hint="cs"/>
          <w:sz w:val="20"/>
          <w:szCs w:val="20"/>
          <w:rtl/>
        </w:rPr>
        <w:t xml:space="preserve"> </w:t>
      </w:r>
      <w:r>
        <w:rPr>
          <w:rFonts w:cs="Arial"/>
          <w:sz w:val="20"/>
          <w:szCs w:val="20"/>
          <w:rtl/>
        </w:rPr>
        <w:t>–</w:t>
      </w:r>
      <w:r>
        <w:rPr>
          <w:rFonts w:cs="Arial" w:hint="cs"/>
          <w:sz w:val="20"/>
          <w:szCs w:val="20"/>
          <w:rtl/>
        </w:rPr>
        <w:t xml:space="preserve"> לא אתי ווסת היום שאינו קבוע ועוקר לווסת השעות הקבוע.</w:t>
      </w:r>
    </w:p>
    <w:p w:rsidR="00620060" w:rsidRDefault="00620060" w:rsidP="00620060">
      <w:pPr>
        <w:rPr>
          <w:rFonts w:cs="Arial"/>
          <w:sz w:val="20"/>
          <w:szCs w:val="20"/>
          <w:rtl/>
        </w:rPr>
      </w:pPr>
      <w:r>
        <w:rPr>
          <w:rFonts w:cs="Arial" w:hint="cs"/>
          <w:sz w:val="20"/>
          <w:szCs w:val="20"/>
          <w:rtl/>
        </w:rPr>
        <w:lastRenderedPageBreak/>
        <w:t xml:space="preserve">ב. </w:t>
      </w:r>
      <w:r w:rsidRPr="001D43AA">
        <w:rPr>
          <w:rFonts w:cs="Arial" w:hint="cs"/>
          <w:b/>
          <w:bCs/>
          <w:sz w:val="20"/>
          <w:szCs w:val="20"/>
          <w:rtl/>
        </w:rPr>
        <w:t xml:space="preserve">גמרא </w:t>
      </w:r>
      <w:r>
        <w:rPr>
          <w:rFonts w:cs="Arial" w:hint="cs"/>
          <w:sz w:val="20"/>
          <w:szCs w:val="20"/>
          <w:rtl/>
        </w:rPr>
        <w:t>נידה (סו.) "</w:t>
      </w:r>
      <w:r w:rsidRPr="001D43AA">
        <w:rPr>
          <w:rFonts w:cs="Arial" w:hint="cs"/>
          <w:sz w:val="20"/>
          <w:szCs w:val="20"/>
          <w:rtl/>
        </w:rPr>
        <w:t>ההיא</w:t>
      </w:r>
      <w:r w:rsidRPr="001D43AA">
        <w:rPr>
          <w:rFonts w:cs="Arial"/>
          <w:sz w:val="20"/>
          <w:szCs w:val="20"/>
          <w:rtl/>
        </w:rPr>
        <w:t xml:space="preserve"> </w:t>
      </w:r>
      <w:r w:rsidRPr="001D43AA">
        <w:rPr>
          <w:rFonts w:cs="Arial" w:hint="cs"/>
          <w:sz w:val="20"/>
          <w:szCs w:val="20"/>
          <w:rtl/>
        </w:rPr>
        <w:t>דאתאי</w:t>
      </w:r>
      <w:r w:rsidRPr="001D43AA">
        <w:rPr>
          <w:rFonts w:cs="Arial"/>
          <w:sz w:val="20"/>
          <w:szCs w:val="20"/>
          <w:rtl/>
        </w:rPr>
        <w:t xml:space="preserve"> </w:t>
      </w:r>
      <w:r w:rsidRPr="001D43AA">
        <w:rPr>
          <w:rFonts w:cs="Arial" w:hint="cs"/>
          <w:sz w:val="20"/>
          <w:szCs w:val="20"/>
          <w:rtl/>
        </w:rPr>
        <w:t>לקמיה</w:t>
      </w:r>
      <w:r w:rsidRPr="001D43AA">
        <w:rPr>
          <w:rFonts w:cs="Arial"/>
          <w:sz w:val="20"/>
          <w:szCs w:val="20"/>
          <w:rtl/>
        </w:rPr>
        <w:t xml:space="preserve"> </w:t>
      </w:r>
      <w:r w:rsidRPr="001D43AA">
        <w:rPr>
          <w:rFonts w:cs="Arial" w:hint="cs"/>
          <w:sz w:val="20"/>
          <w:szCs w:val="20"/>
          <w:rtl/>
        </w:rPr>
        <w:t>דרבי</w:t>
      </w:r>
      <w:r w:rsidRPr="001D43AA">
        <w:rPr>
          <w:rFonts w:cs="Arial"/>
          <w:sz w:val="20"/>
          <w:szCs w:val="20"/>
          <w:rtl/>
        </w:rPr>
        <w:t xml:space="preserve"> </w:t>
      </w:r>
      <w:r w:rsidRPr="001D43AA">
        <w:rPr>
          <w:rFonts w:cs="Arial" w:hint="cs"/>
          <w:sz w:val="20"/>
          <w:szCs w:val="20"/>
          <w:rtl/>
        </w:rPr>
        <w:t>יוחנן</w:t>
      </w:r>
      <w:r w:rsidRPr="001D43AA">
        <w:rPr>
          <w:rFonts w:cs="Arial"/>
          <w:sz w:val="20"/>
          <w:szCs w:val="20"/>
          <w:rtl/>
        </w:rPr>
        <w:t xml:space="preserve">, </w:t>
      </w:r>
      <w:r w:rsidRPr="001D43AA">
        <w:rPr>
          <w:rFonts w:cs="Arial" w:hint="cs"/>
          <w:sz w:val="20"/>
          <w:szCs w:val="20"/>
          <w:rtl/>
        </w:rPr>
        <w:t>דכל</w:t>
      </w:r>
      <w:r w:rsidRPr="001D43AA">
        <w:rPr>
          <w:rFonts w:cs="Arial"/>
          <w:sz w:val="20"/>
          <w:szCs w:val="20"/>
          <w:rtl/>
        </w:rPr>
        <w:t xml:space="preserve"> </w:t>
      </w:r>
      <w:r w:rsidRPr="001D43AA">
        <w:rPr>
          <w:rFonts w:cs="Arial" w:hint="cs"/>
          <w:sz w:val="20"/>
          <w:szCs w:val="20"/>
          <w:rtl/>
        </w:rPr>
        <w:t>אימת</w:t>
      </w:r>
      <w:r w:rsidRPr="001D43AA">
        <w:rPr>
          <w:rFonts w:cs="Arial"/>
          <w:sz w:val="20"/>
          <w:szCs w:val="20"/>
          <w:rtl/>
        </w:rPr>
        <w:t xml:space="preserve"> </w:t>
      </w:r>
      <w:r w:rsidRPr="001D43AA">
        <w:rPr>
          <w:rFonts w:cs="Arial" w:hint="cs"/>
          <w:sz w:val="20"/>
          <w:szCs w:val="20"/>
          <w:rtl/>
        </w:rPr>
        <w:t>דהות</w:t>
      </w:r>
      <w:r w:rsidRPr="001D43AA">
        <w:rPr>
          <w:rFonts w:cs="Arial"/>
          <w:sz w:val="20"/>
          <w:szCs w:val="20"/>
          <w:rtl/>
        </w:rPr>
        <w:t xml:space="preserve"> </w:t>
      </w:r>
      <w:r w:rsidRPr="001D43AA">
        <w:rPr>
          <w:rFonts w:cs="Arial" w:hint="cs"/>
          <w:sz w:val="20"/>
          <w:szCs w:val="20"/>
          <w:rtl/>
        </w:rPr>
        <w:t>סלקא</w:t>
      </w:r>
      <w:r w:rsidRPr="001D43AA">
        <w:rPr>
          <w:rFonts w:cs="Arial"/>
          <w:sz w:val="20"/>
          <w:szCs w:val="20"/>
          <w:rtl/>
        </w:rPr>
        <w:t xml:space="preserve"> </w:t>
      </w:r>
      <w:r w:rsidRPr="001D43AA">
        <w:rPr>
          <w:rFonts w:cs="Arial" w:hint="cs"/>
          <w:sz w:val="20"/>
          <w:szCs w:val="20"/>
          <w:rtl/>
        </w:rPr>
        <w:t>מטבילת</w:t>
      </w:r>
      <w:r w:rsidRPr="001D43AA">
        <w:rPr>
          <w:rFonts w:cs="Arial"/>
          <w:sz w:val="20"/>
          <w:szCs w:val="20"/>
          <w:rtl/>
        </w:rPr>
        <w:t xml:space="preserve"> </w:t>
      </w:r>
      <w:r w:rsidRPr="001D43AA">
        <w:rPr>
          <w:rFonts w:cs="Arial" w:hint="cs"/>
          <w:sz w:val="20"/>
          <w:szCs w:val="20"/>
          <w:rtl/>
        </w:rPr>
        <w:t>מצוה</w:t>
      </w:r>
      <w:r w:rsidRPr="001D43AA">
        <w:rPr>
          <w:rFonts w:cs="Arial"/>
          <w:sz w:val="20"/>
          <w:szCs w:val="20"/>
          <w:rtl/>
        </w:rPr>
        <w:t xml:space="preserve"> </w:t>
      </w:r>
      <w:r w:rsidRPr="001D43AA">
        <w:rPr>
          <w:rFonts w:cs="Arial" w:hint="cs"/>
          <w:sz w:val="20"/>
          <w:szCs w:val="20"/>
          <w:rtl/>
        </w:rPr>
        <w:t>הות</w:t>
      </w:r>
      <w:r w:rsidRPr="001D43AA">
        <w:rPr>
          <w:rFonts w:cs="Arial"/>
          <w:sz w:val="20"/>
          <w:szCs w:val="20"/>
          <w:rtl/>
        </w:rPr>
        <w:t xml:space="preserve"> </w:t>
      </w:r>
      <w:r w:rsidRPr="001D43AA">
        <w:rPr>
          <w:rFonts w:cs="Arial" w:hint="cs"/>
          <w:sz w:val="20"/>
          <w:szCs w:val="20"/>
          <w:rtl/>
        </w:rPr>
        <w:t>קחזיא</w:t>
      </w:r>
      <w:r w:rsidRPr="001D43AA">
        <w:rPr>
          <w:rFonts w:cs="Arial"/>
          <w:sz w:val="20"/>
          <w:szCs w:val="20"/>
          <w:rtl/>
        </w:rPr>
        <w:t xml:space="preserve"> </w:t>
      </w:r>
      <w:r w:rsidRPr="001D43AA">
        <w:rPr>
          <w:rFonts w:cs="Arial" w:hint="cs"/>
          <w:sz w:val="20"/>
          <w:szCs w:val="20"/>
          <w:rtl/>
        </w:rPr>
        <w:t>דמא</w:t>
      </w:r>
      <w:r w:rsidRPr="001D43AA">
        <w:rPr>
          <w:rFonts w:cs="Arial"/>
          <w:sz w:val="20"/>
          <w:szCs w:val="20"/>
          <w:rtl/>
        </w:rPr>
        <w:t xml:space="preserve">. </w:t>
      </w:r>
      <w:r w:rsidRPr="001D43AA">
        <w:rPr>
          <w:rFonts w:cs="Arial" w:hint="cs"/>
          <w:sz w:val="20"/>
          <w:szCs w:val="20"/>
          <w:rtl/>
        </w:rPr>
        <w:t>א</w:t>
      </w:r>
      <w:r>
        <w:rPr>
          <w:rFonts w:cs="Arial" w:hint="cs"/>
          <w:sz w:val="20"/>
          <w:szCs w:val="20"/>
          <w:rtl/>
        </w:rPr>
        <w:t xml:space="preserve">מר </w:t>
      </w:r>
      <w:r w:rsidRPr="001D43AA">
        <w:rPr>
          <w:rFonts w:cs="Arial" w:hint="cs"/>
          <w:sz w:val="20"/>
          <w:szCs w:val="20"/>
          <w:rtl/>
        </w:rPr>
        <w:t>ל</w:t>
      </w:r>
      <w:r>
        <w:rPr>
          <w:rFonts w:cs="Arial" w:hint="cs"/>
          <w:sz w:val="20"/>
          <w:szCs w:val="20"/>
          <w:rtl/>
        </w:rPr>
        <w:t>ה</w:t>
      </w:r>
      <w:r w:rsidRPr="001D43AA">
        <w:rPr>
          <w:rFonts w:cs="Arial"/>
          <w:sz w:val="20"/>
          <w:szCs w:val="20"/>
          <w:rtl/>
        </w:rPr>
        <w:t xml:space="preserve">: </w:t>
      </w:r>
      <w:r w:rsidRPr="001D43AA">
        <w:rPr>
          <w:rFonts w:cs="Arial" w:hint="cs"/>
          <w:sz w:val="20"/>
          <w:szCs w:val="20"/>
          <w:rtl/>
        </w:rPr>
        <w:t>שמא</w:t>
      </w:r>
      <w:r w:rsidRPr="001D43AA">
        <w:rPr>
          <w:rFonts w:cs="Arial"/>
          <w:sz w:val="20"/>
          <w:szCs w:val="20"/>
          <w:rtl/>
        </w:rPr>
        <w:t xml:space="preserve"> </w:t>
      </w:r>
      <w:r w:rsidRPr="001D43AA">
        <w:rPr>
          <w:rFonts w:cs="Arial" w:hint="cs"/>
          <w:sz w:val="20"/>
          <w:szCs w:val="20"/>
          <w:rtl/>
        </w:rPr>
        <w:t>דימת</w:t>
      </w:r>
      <w:r w:rsidRPr="001D43AA">
        <w:rPr>
          <w:rFonts w:cs="Arial"/>
          <w:sz w:val="20"/>
          <w:szCs w:val="20"/>
          <w:rtl/>
        </w:rPr>
        <w:t xml:space="preserve"> </w:t>
      </w:r>
      <w:r w:rsidRPr="001D43AA">
        <w:rPr>
          <w:rFonts w:cs="Arial" w:hint="cs"/>
          <w:sz w:val="20"/>
          <w:szCs w:val="20"/>
          <w:rtl/>
        </w:rPr>
        <w:t>עיריך</w:t>
      </w:r>
      <w:r w:rsidRPr="001D43AA">
        <w:rPr>
          <w:rFonts w:cs="Arial"/>
          <w:sz w:val="20"/>
          <w:szCs w:val="20"/>
          <w:rtl/>
        </w:rPr>
        <w:t xml:space="preserve"> </w:t>
      </w:r>
      <w:r w:rsidRPr="001D43AA">
        <w:rPr>
          <w:rFonts w:cs="Arial" w:hint="cs"/>
          <w:sz w:val="20"/>
          <w:szCs w:val="20"/>
          <w:rtl/>
        </w:rPr>
        <w:t>עלתה</w:t>
      </w:r>
      <w:r w:rsidRPr="001D43AA">
        <w:rPr>
          <w:rFonts w:cs="Arial"/>
          <w:sz w:val="20"/>
          <w:szCs w:val="20"/>
          <w:rtl/>
        </w:rPr>
        <w:t xml:space="preserve"> </w:t>
      </w:r>
      <w:r w:rsidRPr="001D43AA">
        <w:rPr>
          <w:rFonts w:cs="Arial" w:hint="cs"/>
          <w:sz w:val="20"/>
          <w:szCs w:val="20"/>
          <w:rtl/>
        </w:rPr>
        <w:t>ביך</w:t>
      </w:r>
      <w:r w:rsidRPr="001D43AA">
        <w:rPr>
          <w:rFonts w:cs="Arial"/>
          <w:sz w:val="20"/>
          <w:szCs w:val="20"/>
          <w:rtl/>
        </w:rPr>
        <w:t xml:space="preserve">, </w:t>
      </w:r>
      <w:r w:rsidRPr="001D43AA">
        <w:rPr>
          <w:rFonts w:cs="Arial" w:hint="cs"/>
          <w:sz w:val="20"/>
          <w:szCs w:val="20"/>
          <w:rtl/>
        </w:rPr>
        <w:t>לכי</w:t>
      </w:r>
      <w:r w:rsidRPr="001D43AA">
        <w:rPr>
          <w:rFonts w:cs="Arial"/>
          <w:sz w:val="20"/>
          <w:szCs w:val="20"/>
          <w:rtl/>
        </w:rPr>
        <w:t xml:space="preserve"> </w:t>
      </w:r>
      <w:r w:rsidRPr="001D43AA">
        <w:rPr>
          <w:rFonts w:cs="Arial" w:hint="cs"/>
          <w:sz w:val="20"/>
          <w:szCs w:val="20"/>
          <w:rtl/>
        </w:rPr>
        <w:t>והבעלי</w:t>
      </w:r>
      <w:r w:rsidRPr="001D43AA">
        <w:rPr>
          <w:rFonts w:cs="Arial"/>
          <w:sz w:val="20"/>
          <w:szCs w:val="20"/>
          <w:rtl/>
        </w:rPr>
        <w:t xml:space="preserve"> </w:t>
      </w:r>
      <w:r w:rsidRPr="001D43AA">
        <w:rPr>
          <w:rFonts w:cs="Arial" w:hint="cs"/>
          <w:sz w:val="20"/>
          <w:szCs w:val="20"/>
          <w:rtl/>
        </w:rPr>
        <w:t>לו</w:t>
      </w:r>
      <w:r w:rsidRPr="001D43AA">
        <w:rPr>
          <w:rFonts w:cs="Arial"/>
          <w:sz w:val="20"/>
          <w:szCs w:val="20"/>
          <w:rtl/>
        </w:rPr>
        <w:t xml:space="preserve"> </w:t>
      </w:r>
      <w:r w:rsidRPr="001D43AA">
        <w:rPr>
          <w:rFonts w:cs="Arial" w:hint="cs"/>
          <w:sz w:val="20"/>
          <w:szCs w:val="20"/>
          <w:rtl/>
        </w:rPr>
        <w:t>ע</w:t>
      </w:r>
      <w:r>
        <w:rPr>
          <w:rFonts w:cs="Arial" w:hint="cs"/>
          <w:sz w:val="20"/>
          <w:szCs w:val="20"/>
          <w:rtl/>
        </w:rPr>
        <w:t xml:space="preserve">ל </w:t>
      </w:r>
      <w:r w:rsidRPr="001D43AA">
        <w:rPr>
          <w:rFonts w:cs="Arial" w:hint="cs"/>
          <w:sz w:val="20"/>
          <w:szCs w:val="20"/>
          <w:rtl/>
        </w:rPr>
        <w:t>ג</w:t>
      </w:r>
      <w:r>
        <w:rPr>
          <w:rFonts w:cs="Arial" w:hint="cs"/>
          <w:sz w:val="20"/>
          <w:szCs w:val="20"/>
          <w:rtl/>
        </w:rPr>
        <w:t>בי</w:t>
      </w:r>
      <w:r w:rsidRPr="001D43AA">
        <w:rPr>
          <w:rFonts w:cs="Arial"/>
          <w:sz w:val="20"/>
          <w:szCs w:val="20"/>
          <w:rtl/>
        </w:rPr>
        <w:t xml:space="preserve"> </w:t>
      </w:r>
      <w:r w:rsidRPr="001D43AA">
        <w:rPr>
          <w:rFonts w:cs="Arial" w:hint="cs"/>
          <w:sz w:val="20"/>
          <w:szCs w:val="20"/>
          <w:rtl/>
        </w:rPr>
        <w:t>הנהר</w:t>
      </w:r>
      <w:r>
        <w:rPr>
          <w:rFonts w:cs="Arial" w:hint="cs"/>
          <w:sz w:val="20"/>
          <w:szCs w:val="20"/>
          <w:rtl/>
        </w:rPr>
        <w:t>".</w:t>
      </w:r>
      <w:r>
        <w:rPr>
          <w:rFonts w:cs="Arial" w:hint="cs"/>
          <w:sz w:val="20"/>
          <w:szCs w:val="20"/>
          <w:rtl/>
        </w:rPr>
        <w:br/>
      </w:r>
      <w:r w:rsidRPr="001F5798">
        <w:rPr>
          <w:rFonts w:cs="Arial" w:hint="cs"/>
          <w:sz w:val="20"/>
          <w:szCs w:val="20"/>
          <w:rtl/>
        </w:rPr>
        <w:t>הסבר</w:t>
      </w:r>
      <w:r>
        <w:rPr>
          <w:rFonts w:cs="Arial" w:hint="cs"/>
          <w:sz w:val="20"/>
          <w:szCs w:val="20"/>
          <w:rtl/>
        </w:rPr>
        <w:t xml:space="preserve"> </w:t>
      </w:r>
      <w:r>
        <w:rPr>
          <w:rFonts w:cs="Arial"/>
          <w:sz w:val="20"/>
          <w:szCs w:val="20"/>
          <w:rtl/>
        </w:rPr>
        <w:t>–</w:t>
      </w:r>
      <w:r>
        <w:rPr>
          <w:rFonts w:cs="Arial" w:hint="cs"/>
          <w:sz w:val="20"/>
          <w:szCs w:val="20"/>
          <w:rtl/>
        </w:rPr>
        <w:t xml:space="preserve"> במקרה זה לא היה יום קבוע לראייתה אלא שעה קבועה, דהיינו לאחר שטבלה ונכנסה לעיר. אעפ"כ רבי יוחנן לא אסר אותה לשמש בכל יום טבילתה, אלא רק בשעה שרגילה לראות, כלומר בכניסתה לעיר.</w:t>
      </w:r>
    </w:p>
    <w:p w:rsidR="00620060" w:rsidRDefault="00620060" w:rsidP="00620060">
      <w:pPr>
        <w:rPr>
          <w:rFonts w:cs="Arial"/>
          <w:sz w:val="20"/>
          <w:szCs w:val="20"/>
          <w:rtl/>
        </w:rPr>
      </w:pPr>
      <w:r>
        <w:rPr>
          <w:rFonts w:cs="Arial" w:hint="cs"/>
          <w:b/>
          <w:bCs/>
          <w:sz w:val="20"/>
          <w:szCs w:val="20"/>
          <w:rtl/>
        </w:rPr>
        <w:t>פסיקת הלכה</w:t>
      </w:r>
      <w:r>
        <w:rPr>
          <w:rFonts w:cs="Arial"/>
          <w:b/>
          <w:bCs/>
          <w:sz w:val="20"/>
          <w:szCs w:val="20"/>
          <w:rtl/>
        </w:rPr>
        <w:br/>
      </w:r>
      <w:r>
        <w:rPr>
          <w:rFonts w:cs="Arial" w:hint="cs"/>
          <w:b/>
          <w:bCs/>
          <w:sz w:val="20"/>
          <w:szCs w:val="20"/>
          <w:rtl/>
        </w:rPr>
        <w:t xml:space="preserve">שולחן ערוך </w:t>
      </w:r>
      <w:r>
        <w:rPr>
          <w:rFonts w:cs="Arial"/>
          <w:sz w:val="20"/>
          <w:szCs w:val="20"/>
          <w:rtl/>
        </w:rPr>
        <w:t>–</w:t>
      </w:r>
      <w:r>
        <w:rPr>
          <w:rFonts w:cs="Arial" w:hint="cs"/>
          <w:sz w:val="20"/>
          <w:szCs w:val="20"/>
          <w:rtl/>
        </w:rPr>
        <w:t xml:space="preserve"> "</w:t>
      </w:r>
      <w:r w:rsidRPr="00705D9B">
        <w:rPr>
          <w:rFonts w:cs="Arial" w:hint="cs"/>
          <w:sz w:val="20"/>
          <w:szCs w:val="20"/>
          <w:rtl/>
        </w:rPr>
        <w:t>אם</w:t>
      </w:r>
      <w:r w:rsidRPr="00705D9B">
        <w:rPr>
          <w:rFonts w:cs="Arial"/>
          <w:sz w:val="20"/>
          <w:szCs w:val="20"/>
          <w:rtl/>
        </w:rPr>
        <w:t xml:space="preserve"> </w:t>
      </w:r>
      <w:r w:rsidRPr="00705D9B">
        <w:rPr>
          <w:rFonts w:cs="Arial" w:hint="cs"/>
          <w:sz w:val="20"/>
          <w:szCs w:val="20"/>
          <w:rtl/>
        </w:rPr>
        <w:t>קבעה</w:t>
      </w:r>
      <w:r w:rsidRPr="00705D9B">
        <w:rPr>
          <w:rFonts w:cs="Arial"/>
          <w:sz w:val="20"/>
          <w:szCs w:val="20"/>
          <w:rtl/>
        </w:rPr>
        <w:t xml:space="preserve"> </w:t>
      </w:r>
      <w:r w:rsidRPr="00705D9B">
        <w:rPr>
          <w:rFonts w:cs="Arial" w:hint="cs"/>
          <w:sz w:val="20"/>
          <w:szCs w:val="20"/>
          <w:rtl/>
        </w:rPr>
        <w:t>וסת</w:t>
      </w:r>
      <w:r w:rsidRPr="00705D9B">
        <w:rPr>
          <w:rFonts w:cs="Arial"/>
          <w:sz w:val="20"/>
          <w:szCs w:val="20"/>
          <w:rtl/>
        </w:rPr>
        <w:t xml:space="preserve"> </w:t>
      </w:r>
      <w:r w:rsidRPr="00705D9B">
        <w:rPr>
          <w:rFonts w:cs="Arial" w:hint="cs"/>
          <w:sz w:val="20"/>
          <w:szCs w:val="20"/>
          <w:rtl/>
        </w:rPr>
        <w:t>לשעות</w:t>
      </w:r>
      <w:r w:rsidRPr="00705D9B">
        <w:rPr>
          <w:rFonts w:cs="Arial"/>
          <w:sz w:val="20"/>
          <w:szCs w:val="20"/>
          <w:rtl/>
        </w:rPr>
        <w:t xml:space="preserve"> </w:t>
      </w:r>
      <w:r w:rsidRPr="00705D9B">
        <w:rPr>
          <w:rFonts w:cs="Arial" w:hint="cs"/>
          <w:sz w:val="20"/>
          <w:szCs w:val="20"/>
          <w:rtl/>
        </w:rPr>
        <w:t>ולא</w:t>
      </w:r>
      <w:r w:rsidRPr="00705D9B">
        <w:rPr>
          <w:rFonts w:cs="Arial"/>
          <w:sz w:val="20"/>
          <w:szCs w:val="20"/>
          <w:rtl/>
        </w:rPr>
        <w:t xml:space="preserve"> </w:t>
      </w:r>
      <w:r w:rsidRPr="00705D9B">
        <w:rPr>
          <w:rFonts w:cs="Arial" w:hint="cs"/>
          <w:sz w:val="20"/>
          <w:szCs w:val="20"/>
          <w:rtl/>
        </w:rPr>
        <w:t>לימים</w:t>
      </w:r>
      <w:r w:rsidRPr="00705D9B">
        <w:rPr>
          <w:rFonts w:cs="Arial"/>
          <w:sz w:val="20"/>
          <w:szCs w:val="20"/>
          <w:rtl/>
        </w:rPr>
        <w:t xml:space="preserve">, </w:t>
      </w:r>
      <w:r w:rsidRPr="00705D9B">
        <w:rPr>
          <w:rFonts w:cs="Arial" w:hint="cs"/>
          <w:sz w:val="20"/>
          <w:szCs w:val="20"/>
          <w:rtl/>
        </w:rPr>
        <w:t>אינה</w:t>
      </w:r>
      <w:r w:rsidRPr="00705D9B">
        <w:rPr>
          <w:rFonts w:cs="Arial"/>
          <w:sz w:val="20"/>
          <w:szCs w:val="20"/>
          <w:rtl/>
        </w:rPr>
        <w:t xml:space="preserve"> </w:t>
      </w:r>
      <w:r w:rsidRPr="00705D9B">
        <w:rPr>
          <w:rFonts w:cs="Arial" w:hint="cs"/>
          <w:sz w:val="20"/>
          <w:szCs w:val="20"/>
          <w:rtl/>
        </w:rPr>
        <w:t>חוששת</w:t>
      </w:r>
      <w:r w:rsidRPr="00705D9B">
        <w:rPr>
          <w:rFonts w:cs="Arial"/>
          <w:sz w:val="20"/>
          <w:szCs w:val="20"/>
          <w:rtl/>
        </w:rPr>
        <w:t xml:space="preserve"> </w:t>
      </w:r>
      <w:r w:rsidRPr="00705D9B">
        <w:rPr>
          <w:rFonts w:cs="Arial" w:hint="cs"/>
          <w:sz w:val="20"/>
          <w:szCs w:val="20"/>
          <w:rtl/>
        </w:rPr>
        <w:t>אלא</w:t>
      </w:r>
      <w:r w:rsidRPr="00705D9B">
        <w:rPr>
          <w:rFonts w:cs="Arial"/>
          <w:sz w:val="20"/>
          <w:szCs w:val="20"/>
          <w:rtl/>
        </w:rPr>
        <w:t xml:space="preserve"> </w:t>
      </w:r>
      <w:r w:rsidRPr="00705D9B">
        <w:rPr>
          <w:rFonts w:cs="Arial" w:hint="cs"/>
          <w:sz w:val="20"/>
          <w:szCs w:val="20"/>
          <w:rtl/>
        </w:rPr>
        <w:t>שעתה</w:t>
      </w:r>
      <w:r w:rsidRPr="00705D9B">
        <w:rPr>
          <w:rFonts w:cs="Arial"/>
          <w:sz w:val="20"/>
          <w:szCs w:val="20"/>
          <w:rtl/>
        </w:rPr>
        <w:t xml:space="preserve"> </w:t>
      </w:r>
      <w:r w:rsidRPr="00705D9B">
        <w:rPr>
          <w:rFonts w:cs="Arial" w:hint="cs"/>
          <w:sz w:val="20"/>
          <w:szCs w:val="20"/>
          <w:rtl/>
        </w:rPr>
        <w:t>בלבד</w:t>
      </w:r>
      <w:r w:rsidRPr="00705D9B">
        <w:rPr>
          <w:rFonts w:cs="Arial"/>
          <w:sz w:val="20"/>
          <w:szCs w:val="20"/>
          <w:rtl/>
        </w:rPr>
        <w:t xml:space="preserve">, </w:t>
      </w:r>
      <w:r w:rsidRPr="00705D9B">
        <w:rPr>
          <w:rFonts w:cs="Arial" w:hint="cs"/>
          <w:sz w:val="20"/>
          <w:szCs w:val="20"/>
          <w:rtl/>
        </w:rPr>
        <w:t>והוסת</w:t>
      </w:r>
      <w:r w:rsidRPr="00705D9B">
        <w:rPr>
          <w:rFonts w:cs="Arial"/>
          <w:sz w:val="20"/>
          <w:szCs w:val="20"/>
          <w:rtl/>
        </w:rPr>
        <w:t xml:space="preserve"> </w:t>
      </w:r>
      <w:r w:rsidRPr="00705D9B">
        <w:rPr>
          <w:rFonts w:cs="Arial" w:hint="cs"/>
          <w:sz w:val="20"/>
          <w:szCs w:val="20"/>
          <w:rtl/>
        </w:rPr>
        <w:t>הזה</w:t>
      </w:r>
      <w:r w:rsidRPr="00705D9B">
        <w:rPr>
          <w:rFonts w:cs="Arial"/>
          <w:sz w:val="20"/>
          <w:szCs w:val="20"/>
          <w:rtl/>
        </w:rPr>
        <w:t xml:space="preserve"> </w:t>
      </w:r>
      <w:r w:rsidRPr="00705D9B">
        <w:rPr>
          <w:rFonts w:cs="Arial" w:hint="cs"/>
          <w:sz w:val="20"/>
          <w:szCs w:val="20"/>
          <w:rtl/>
        </w:rPr>
        <w:t>הוא</w:t>
      </w:r>
      <w:r w:rsidRPr="00705D9B">
        <w:rPr>
          <w:rFonts w:cs="Arial"/>
          <w:sz w:val="20"/>
          <w:szCs w:val="20"/>
          <w:rtl/>
        </w:rPr>
        <w:t xml:space="preserve"> </w:t>
      </w:r>
      <w:r w:rsidRPr="00705D9B">
        <w:rPr>
          <w:rFonts w:cs="Arial" w:hint="cs"/>
          <w:sz w:val="20"/>
          <w:szCs w:val="20"/>
          <w:rtl/>
        </w:rPr>
        <w:t>נעקר</w:t>
      </w:r>
      <w:r w:rsidRPr="00705D9B">
        <w:rPr>
          <w:rFonts w:cs="Arial"/>
          <w:sz w:val="20"/>
          <w:szCs w:val="20"/>
          <w:rtl/>
        </w:rPr>
        <w:t xml:space="preserve"> </w:t>
      </w:r>
      <w:r w:rsidRPr="00705D9B">
        <w:rPr>
          <w:rFonts w:cs="Arial" w:hint="cs"/>
          <w:sz w:val="20"/>
          <w:szCs w:val="20"/>
          <w:rtl/>
        </w:rPr>
        <w:t>בשעה</w:t>
      </w:r>
      <w:r w:rsidRPr="00705D9B">
        <w:rPr>
          <w:rFonts w:cs="Arial"/>
          <w:sz w:val="20"/>
          <w:szCs w:val="20"/>
          <w:rtl/>
        </w:rPr>
        <w:t xml:space="preserve"> </w:t>
      </w:r>
      <w:r w:rsidRPr="00705D9B">
        <w:rPr>
          <w:rFonts w:cs="Arial" w:hint="cs"/>
          <w:sz w:val="20"/>
          <w:szCs w:val="20"/>
          <w:rtl/>
        </w:rPr>
        <w:t>אחת</w:t>
      </w:r>
      <w:r w:rsidRPr="00705D9B">
        <w:rPr>
          <w:rFonts w:cs="Arial"/>
          <w:sz w:val="20"/>
          <w:szCs w:val="20"/>
          <w:rtl/>
        </w:rPr>
        <w:t xml:space="preserve">, </w:t>
      </w:r>
      <w:r w:rsidRPr="00705D9B">
        <w:rPr>
          <w:rFonts w:cs="Arial" w:hint="cs"/>
          <w:sz w:val="20"/>
          <w:szCs w:val="20"/>
          <w:rtl/>
        </w:rPr>
        <w:t>ואפילו</w:t>
      </w:r>
      <w:r w:rsidRPr="00705D9B">
        <w:rPr>
          <w:rFonts w:cs="Arial"/>
          <w:sz w:val="20"/>
          <w:szCs w:val="20"/>
          <w:rtl/>
        </w:rPr>
        <w:t xml:space="preserve"> </w:t>
      </w:r>
      <w:r w:rsidRPr="00705D9B">
        <w:rPr>
          <w:rFonts w:cs="Arial" w:hint="cs"/>
          <w:sz w:val="20"/>
          <w:szCs w:val="20"/>
          <w:rtl/>
        </w:rPr>
        <w:t>בלא</w:t>
      </w:r>
      <w:r w:rsidRPr="00705D9B">
        <w:rPr>
          <w:rFonts w:cs="Arial"/>
          <w:sz w:val="20"/>
          <w:szCs w:val="20"/>
          <w:rtl/>
        </w:rPr>
        <w:t xml:space="preserve"> </w:t>
      </w:r>
      <w:r w:rsidRPr="00705D9B">
        <w:rPr>
          <w:rFonts w:cs="Arial" w:hint="cs"/>
          <w:sz w:val="20"/>
          <w:szCs w:val="20"/>
          <w:rtl/>
        </w:rPr>
        <w:t>בדיקה</w:t>
      </w:r>
      <w:r>
        <w:rPr>
          <w:rFonts w:cs="Arial" w:hint="cs"/>
          <w:sz w:val="20"/>
          <w:szCs w:val="20"/>
          <w:rtl/>
        </w:rPr>
        <w:t>".</w:t>
      </w:r>
      <w:r>
        <w:rPr>
          <w:rFonts w:cs="Arial"/>
          <w:sz w:val="20"/>
          <w:szCs w:val="20"/>
          <w:rtl/>
        </w:rPr>
        <w:br/>
      </w:r>
      <w:r w:rsidRPr="006A35F2">
        <w:rPr>
          <w:rFonts w:cs="Arial" w:hint="cs"/>
          <w:b/>
          <w:bCs/>
          <w:sz w:val="20"/>
          <w:szCs w:val="20"/>
          <w:rtl/>
        </w:rPr>
        <w:t>פת"ש</w:t>
      </w:r>
      <w:r>
        <w:rPr>
          <w:rFonts w:cs="Arial" w:hint="cs"/>
          <w:sz w:val="20"/>
          <w:szCs w:val="20"/>
          <w:rtl/>
        </w:rPr>
        <w:t xml:space="preserve"> </w:t>
      </w:r>
      <w:r>
        <w:rPr>
          <w:rFonts w:cs="Arial"/>
          <w:sz w:val="20"/>
          <w:szCs w:val="20"/>
          <w:rtl/>
        </w:rPr>
        <w:t>–</w:t>
      </w:r>
      <w:r>
        <w:rPr>
          <w:rFonts w:cs="Arial" w:hint="cs"/>
          <w:sz w:val="20"/>
          <w:szCs w:val="20"/>
          <w:rtl/>
        </w:rPr>
        <w:t xml:space="preserve"> המשמעות של דין זה היא, שאסורה לשמש עד שתבדוק כדין ווסת קבוע, אך נעקר בפעם אחת כדין ווסת שאינו קבוע.</w:t>
      </w:r>
    </w:p>
    <w:p w:rsidR="00620060" w:rsidRDefault="00620060" w:rsidP="00620060">
      <w:pPr>
        <w:rPr>
          <w:rFonts w:cs="Arial"/>
          <w:sz w:val="20"/>
          <w:szCs w:val="20"/>
          <w:rtl/>
        </w:rPr>
      </w:pPr>
      <w:r>
        <w:rPr>
          <w:rFonts w:cs="Arial" w:hint="cs"/>
          <w:sz w:val="20"/>
          <w:szCs w:val="20"/>
          <w:u w:val="single"/>
          <w:rtl/>
        </w:rPr>
        <w:t xml:space="preserve">מהי ווסת שעות? </w:t>
      </w:r>
      <w:r>
        <w:rPr>
          <w:rFonts w:cs="Arial" w:hint="cs"/>
          <w:sz w:val="20"/>
          <w:szCs w:val="20"/>
          <w:u w:val="single"/>
          <w:rtl/>
        </w:rPr>
        <w:br/>
      </w:r>
      <w:r>
        <w:rPr>
          <w:rFonts w:cs="Arial" w:hint="cs"/>
          <w:sz w:val="20"/>
          <w:szCs w:val="20"/>
          <w:rtl/>
        </w:rPr>
        <w:t>נחלקו האחרונים מהי הגדרת ווסת שעות:</w:t>
      </w:r>
      <w:r>
        <w:rPr>
          <w:rFonts w:cs="Arial"/>
          <w:sz w:val="20"/>
          <w:szCs w:val="20"/>
          <w:u w:val="single"/>
          <w:rtl/>
        </w:rPr>
        <w:br/>
      </w:r>
      <w:r>
        <w:rPr>
          <w:rFonts w:cs="Arial" w:hint="cs"/>
          <w:sz w:val="20"/>
          <w:szCs w:val="20"/>
          <w:rtl/>
        </w:rPr>
        <w:t xml:space="preserve">א. </w:t>
      </w:r>
      <w:r w:rsidRPr="00E605E0">
        <w:rPr>
          <w:rFonts w:cs="Arial" w:hint="cs"/>
          <w:b/>
          <w:bCs/>
          <w:sz w:val="20"/>
          <w:szCs w:val="20"/>
          <w:rtl/>
        </w:rPr>
        <w:t>ט"ז</w:t>
      </w:r>
      <w:r>
        <w:rPr>
          <w:rFonts w:cs="Arial" w:hint="cs"/>
          <w:sz w:val="20"/>
          <w:szCs w:val="20"/>
          <w:rtl/>
        </w:rPr>
        <w:t xml:space="preserve"> </w:t>
      </w:r>
      <w:r>
        <w:rPr>
          <w:rFonts w:cs="Arial"/>
          <w:sz w:val="20"/>
          <w:szCs w:val="20"/>
          <w:rtl/>
        </w:rPr>
        <w:t>–</w:t>
      </w:r>
      <w:r>
        <w:rPr>
          <w:rFonts w:cs="Arial" w:hint="cs"/>
          <w:sz w:val="20"/>
          <w:szCs w:val="20"/>
          <w:rtl/>
        </w:rPr>
        <w:t xml:space="preserve"> לאחר מעשה מסויים שהאשה עושה רגילה לראות, כגון לאחר טבילה.</w:t>
      </w:r>
      <w:r>
        <w:rPr>
          <w:rFonts w:cs="Arial"/>
          <w:sz w:val="20"/>
          <w:szCs w:val="20"/>
          <w:rtl/>
        </w:rPr>
        <w:br/>
      </w:r>
      <w:r>
        <w:rPr>
          <w:rFonts w:cs="Arial" w:hint="cs"/>
          <w:sz w:val="20"/>
          <w:szCs w:val="20"/>
          <w:rtl/>
        </w:rPr>
        <w:t xml:space="preserve">ב. </w:t>
      </w:r>
      <w:r w:rsidRPr="00E605E0">
        <w:rPr>
          <w:rFonts w:cs="Arial" w:hint="cs"/>
          <w:b/>
          <w:bCs/>
          <w:sz w:val="20"/>
          <w:szCs w:val="20"/>
          <w:rtl/>
        </w:rPr>
        <w:t xml:space="preserve">חוו"ד </w:t>
      </w:r>
      <w:r>
        <w:rPr>
          <w:rFonts w:cs="Arial"/>
          <w:sz w:val="20"/>
          <w:szCs w:val="20"/>
          <w:rtl/>
        </w:rPr>
        <w:t>–</w:t>
      </w:r>
      <w:r>
        <w:rPr>
          <w:rFonts w:cs="Arial" w:hint="cs"/>
          <w:sz w:val="20"/>
          <w:szCs w:val="20"/>
          <w:rtl/>
        </w:rPr>
        <w:t xml:space="preserve"> מדובר באשה שאין סדר לראיותיה, כגון שראתה א' בניסן, ד' אייר וח' סיון, אולם רואה כל ראיותיה בשעה קבועה. בכה"ג הדין הוא לחוש לראייה האחרונה, וקמ"ל הראב"ד לחוש רק לאותה שעה.</w:t>
      </w:r>
      <w:r>
        <w:rPr>
          <w:rFonts w:cs="Arial"/>
          <w:sz w:val="20"/>
          <w:szCs w:val="20"/>
          <w:rtl/>
        </w:rPr>
        <w:br/>
      </w:r>
      <w:r>
        <w:rPr>
          <w:rFonts w:cs="Arial" w:hint="cs"/>
          <w:sz w:val="20"/>
          <w:szCs w:val="20"/>
          <w:rtl/>
        </w:rPr>
        <w:t xml:space="preserve">ג. </w:t>
      </w:r>
      <w:r w:rsidRPr="00E605E0">
        <w:rPr>
          <w:rFonts w:cs="Arial" w:hint="cs"/>
          <w:b/>
          <w:bCs/>
          <w:sz w:val="20"/>
          <w:szCs w:val="20"/>
          <w:rtl/>
        </w:rPr>
        <w:t>הפלאה</w:t>
      </w:r>
      <w:r>
        <w:rPr>
          <w:rFonts w:cs="Arial" w:hint="cs"/>
          <w:sz w:val="20"/>
          <w:szCs w:val="20"/>
          <w:rtl/>
        </w:rPr>
        <w:t xml:space="preserve"> </w:t>
      </w:r>
      <w:r>
        <w:rPr>
          <w:rFonts w:cs="Arial"/>
          <w:sz w:val="20"/>
          <w:szCs w:val="20"/>
          <w:rtl/>
        </w:rPr>
        <w:t>–</w:t>
      </w:r>
      <w:r>
        <w:rPr>
          <w:rFonts w:cs="Arial" w:hint="cs"/>
          <w:sz w:val="20"/>
          <w:szCs w:val="20"/>
          <w:rtl/>
        </w:rPr>
        <w:t xml:space="preserve"> מדובר באשה שיש לה הפלגת שעות קבועה בין ווסת לווסת. קמ"ל הראב"ד שאע"פ שאין יוצא בעונות קבועות, אעפ"כ מקרי ווסת קבוע.</w:t>
      </w:r>
    </w:p>
    <w:p w:rsidR="00620060" w:rsidRDefault="00620060" w:rsidP="00620060">
      <w:pPr>
        <w:rPr>
          <w:rFonts w:cs="Arial"/>
          <w:sz w:val="20"/>
          <w:szCs w:val="20"/>
          <w:rtl/>
        </w:rPr>
      </w:pPr>
      <w:r>
        <w:rPr>
          <w:rFonts w:cs="Arial" w:hint="cs"/>
          <w:b/>
          <w:bCs/>
          <w:sz w:val="20"/>
          <w:szCs w:val="20"/>
          <w:rtl/>
        </w:rPr>
        <w:t>סיכום</w:t>
      </w:r>
      <w:r>
        <w:rPr>
          <w:rFonts w:cs="Arial"/>
          <w:b/>
          <w:bCs/>
          <w:sz w:val="20"/>
          <w:szCs w:val="20"/>
          <w:rtl/>
        </w:rPr>
        <w:br/>
      </w:r>
      <w:r>
        <w:rPr>
          <w:rFonts w:cs="Arial" w:hint="cs"/>
          <w:sz w:val="20"/>
          <w:szCs w:val="20"/>
          <w:rtl/>
        </w:rPr>
        <w:t xml:space="preserve">1. </w:t>
      </w:r>
      <w:r w:rsidRPr="00100F24">
        <w:rPr>
          <w:rFonts w:cs="Arial" w:hint="cs"/>
          <w:b/>
          <w:bCs/>
          <w:sz w:val="20"/>
          <w:szCs w:val="20"/>
          <w:rtl/>
        </w:rPr>
        <w:t>ראב"ד</w:t>
      </w:r>
      <w:r>
        <w:rPr>
          <w:rFonts w:cs="Arial" w:hint="cs"/>
          <w:sz w:val="20"/>
          <w:szCs w:val="20"/>
          <w:rtl/>
        </w:rPr>
        <w:t xml:space="preserve">. אם קבעה ווסת לשעות חוששת לשעתה בלבד ונעקר בפעם אחת, וכ"פ </w:t>
      </w:r>
      <w:r w:rsidRPr="00100F24">
        <w:rPr>
          <w:rFonts w:cs="Arial" w:hint="cs"/>
          <w:b/>
          <w:bCs/>
          <w:sz w:val="20"/>
          <w:szCs w:val="20"/>
          <w:rtl/>
        </w:rPr>
        <w:t>המחבר</w:t>
      </w:r>
      <w:r>
        <w:rPr>
          <w:rFonts w:cs="Arial" w:hint="cs"/>
          <w:sz w:val="20"/>
          <w:szCs w:val="20"/>
          <w:rtl/>
        </w:rPr>
        <w:t>.</w:t>
      </w:r>
      <w:r>
        <w:rPr>
          <w:rFonts w:cs="Arial"/>
          <w:sz w:val="20"/>
          <w:szCs w:val="20"/>
          <w:rtl/>
        </w:rPr>
        <w:br/>
      </w:r>
      <w:r>
        <w:rPr>
          <w:rFonts w:cs="Arial" w:hint="cs"/>
          <w:sz w:val="20"/>
          <w:szCs w:val="20"/>
          <w:rtl/>
        </w:rPr>
        <w:t>2</w:t>
      </w:r>
      <w:r w:rsidRPr="009F2C49">
        <w:rPr>
          <w:rFonts w:cs="Arial" w:hint="cs"/>
          <w:sz w:val="20"/>
          <w:szCs w:val="20"/>
          <w:rtl/>
        </w:rPr>
        <w:t xml:space="preserve">. ראיות. </w:t>
      </w:r>
      <w:r>
        <w:rPr>
          <w:rFonts w:cs="Arial" w:hint="cs"/>
          <w:sz w:val="20"/>
          <w:szCs w:val="20"/>
          <w:rtl/>
        </w:rPr>
        <w:t xml:space="preserve">א. </w:t>
      </w:r>
      <w:r w:rsidRPr="009F2C49">
        <w:rPr>
          <w:rFonts w:cs="Arial" w:hint="cs"/>
          <w:sz w:val="20"/>
          <w:szCs w:val="20"/>
          <w:rtl/>
        </w:rPr>
        <w:t xml:space="preserve">ר"י נחלק רק כשיש לה קביעות יום ושעה, בקביעות שעה לחוד מודה. </w:t>
      </w:r>
      <w:r>
        <w:rPr>
          <w:rFonts w:cs="Arial"/>
          <w:sz w:val="20"/>
          <w:szCs w:val="20"/>
          <w:rtl/>
        </w:rPr>
        <w:br/>
      </w:r>
      <w:r>
        <w:rPr>
          <w:rFonts w:cs="Arial" w:hint="cs"/>
          <w:sz w:val="20"/>
          <w:szCs w:val="20"/>
          <w:rtl/>
        </w:rPr>
        <w:t xml:space="preserve">ב. </w:t>
      </w:r>
      <w:r w:rsidRPr="009F2C49">
        <w:rPr>
          <w:rFonts w:cs="Arial" w:hint="cs"/>
          <w:sz w:val="20"/>
          <w:szCs w:val="20"/>
          <w:rtl/>
        </w:rPr>
        <w:t>מעשה בגמרא שרבי יוחנן התיר לאשה להיבעל לבעלה בעונת ווסתה לפני שעת הווסת.</w:t>
      </w:r>
      <w:r w:rsidRPr="009F2C49">
        <w:rPr>
          <w:rFonts w:cs="Arial"/>
          <w:sz w:val="20"/>
          <w:szCs w:val="20"/>
          <w:rtl/>
        </w:rPr>
        <w:br/>
      </w:r>
      <w:r w:rsidRPr="009F2C49">
        <w:rPr>
          <w:rFonts w:cs="Arial" w:hint="cs"/>
          <w:sz w:val="20"/>
          <w:szCs w:val="20"/>
          <w:rtl/>
        </w:rPr>
        <w:t>3. מהי ווסת שעות? א.</w:t>
      </w:r>
      <w:r>
        <w:rPr>
          <w:rFonts w:cs="Arial" w:hint="cs"/>
          <w:sz w:val="20"/>
          <w:szCs w:val="20"/>
          <w:rtl/>
        </w:rPr>
        <w:t xml:space="preserve"> </w:t>
      </w:r>
      <w:r w:rsidRPr="00CE3EFC">
        <w:rPr>
          <w:rFonts w:cs="Arial" w:hint="cs"/>
          <w:b/>
          <w:bCs/>
          <w:sz w:val="20"/>
          <w:szCs w:val="20"/>
          <w:rtl/>
        </w:rPr>
        <w:t>ט"ז</w:t>
      </w:r>
      <w:r>
        <w:rPr>
          <w:rFonts w:cs="Arial" w:hint="cs"/>
          <w:sz w:val="20"/>
          <w:szCs w:val="20"/>
          <w:rtl/>
        </w:rPr>
        <w:t xml:space="preserve">. ווסת הבאה לאחר מעשה. ב. </w:t>
      </w:r>
      <w:r w:rsidRPr="00CE3EFC">
        <w:rPr>
          <w:rFonts w:cs="Arial" w:hint="cs"/>
          <w:b/>
          <w:bCs/>
          <w:sz w:val="20"/>
          <w:szCs w:val="20"/>
          <w:rtl/>
        </w:rPr>
        <w:t>חוו"ד</w:t>
      </w:r>
      <w:r>
        <w:rPr>
          <w:rFonts w:cs="Arial" w:hint="cs"/>
          <w:sz w:val="20"/>
          <w:szCs w:val="20"/>
          <w:rtl/>
        </w:rPr>
        <w:t xml:space="preserve">. אין סדר בימים אך יש קביעות לשעה. </w:t>
      </w:r>
      <w:r>
        <w:rPr>
          <w:rFonts w:cs="Arial"/>
          <w:sz w:val="20"/>
          <w:szCs w:val="20"/>
          <w:rtl/>
        </w:rPr>
        <w:br/>
      </w:r>
      <w:r>
        <w:rPr>
          <w:rFonts w:cs="Arial" w:hint="cs"/>
          <w:sz w:val="20"/>
          <w:szCs w:val="20"/>
          <w:rtl/>
        </w:rPr>
        <w:t xml:space="preserve">ג. </w:t>
      </w:r>
      <w:r w:rsidRPr="00CE3EFC">
        <w:rPr>
          <w:rFonts w:cs="Arial" w:hint="cs"/>
          <w:b/>
          <w:bCs/>
          <w:sz w:val="20"/>
          <w:szCs w:val="20"/>
          <w:rtl/>
        </w:rPr>
        <w:t>הפלאה</w:t>
      </w:r>
      <w:r>
        <w:rPr>
          <w:rFonts w:cs="Arial" w:hint="cs"/>
          <w:sz w:val="20"/>
          <w:szCs w:val="20"/>
          <w:rtl/>
        </w:rPr>
        <w:t>. יש הפלגת שעות קבועה בין ווסת לווסת.</w:t>
      </w:r>
    </w:p>
    <w:p w:rsidR="00620060" w:rsidRDefault="00620060" w:rsidP="00620060">
      <w:pPr>
        <w:rPr>
          <w:sz w:val="20"/>
          <w:szCs w:val="20"/>
          <w:rtl/>
        </w:rPr>
      </w:pPr>
      <w:r>
        <w:rPr>
          <w:rFonts w:cs="Arial"/>
          <w:sz w:val="20"/>
          <w:szCs w:val="20"/>
          <w:rtl/>
        </w:rPr>
        <w:br/>
      </w:r>
      <w:r>
        <w:rPr>
          <w:rFonts w:cs="Arial" w:hint="cs"/>
          <w:b/>
          <w:bCs/>
          <w:sz w:val="20"/>
          <w:szCs w:val="20"/>
          <w:rtl/>
        </w:rPr>
        <w:t xml:space="preserve">סעיף ד </w:t>
      </w:r>
      <w:r>
        <w:rPr>
          <w:rFonts w:cs="Arial"/>
          <w:b/>
          <w:bCs/>
          <w:sz w:val="20"/>
          <w:szCs w:val="20"/>
          <w:rtl/>
        </w:rPr>
        <w:t>–</w:t>
      </w:r>
      <w:r>
        <w:rPr>
          <w:rFonts w:cs="Arial" w:hint="cs"/>
          <w:b/>
          <w:bCs/>
          <w:sz w:val="20"/>
          <w:szCs w:val="20"/>
          <w:rtl/>
        </w:rPr>
        <w:t xml:space="preserve"> חילוק נוסף בין ווסת קבוע לווסת שאינו קבוע</w:t>
      </w:r>
      <w:r w:rsidRPr="0063106B">
        <w:rPr>
          <w:rStyle w:val="a5"/>
          <w:rFonts w:cs="Arial"/>
          <w:sz w:val="20"/>
          <w:szCs w:val="20"/>
          <w:rtl/>
        </w:rPr>
        <w:footnoteReference w:id="172"/>
      </w:r>
      <w:r>
        <w:rPr>
          <w:rFonts w:cs="Arial" w:hint="cs"/>
          <w:b/>
          <w:bCs/>
          <w:sz w:val="20"/>
          <w:szCs w:val="20"/>
          <w:rtl/>
        </w:rPr>
        <w:br/>
      </w:r>
      <w:r w:rsidRPr="00F54D7A">
        <w:rPr>
          <w:rFonts w:cs="Arial" w:hint="cs"/>
          <w:sz w:val="20"/>
          <w:szCs w:val="20"/>
          <w:u w:val="single"/>
          <w:rtl/>
        </w:rPr>
        <w:t>דין ווסת קבוע</w:t>
      </w:r>
      <w:r>
        <w:rPr>
          <w:rFonts w:cs="Arial"/>
          <w:b/>
          <w:bCs/>
          <w:sz w:val="20"/>
          <w:szCs w:val="20"/>
          <w:rtl/>
        </w:rPr>
        <w:br/>
      </w:r>
      <w:r>
        <w:rPr>
          <w:rFonts w:hint="cs"/>
          <w:sz w:val="20"/>
          <w:szCs w:val="20"/>
          <w:rtl/>
        </w:rPr>
        <w:t>כל אשה צריכה בדיקה בשעת הווסת, ונחלקו הראשונים באשה בעלת ווסת קבוע שלא בדקה:</w:t>
      </w:r>
    </w:p>
    <w:p w:rsidR="00620060" w:rsidRDefault="00620060" w:rsidP="00620060">
      <w:pPr>
        <w:rPr>
          <w:sz w:val="20"/>
          <w:szCs w:val="20"/>
          <w:rtl/>
        </w:rPr>
      </w:pPr>
      <w:r w:rsidRPr="0093580C">
        <w:rPr>
          <w:rFonts w:hint="cs"/>
          <w:b/>
          <w:bCs/>
          <w:sz w:val="20"/>
          <w:szCs w:val="20"/>
          <w:rtl/>
        </w:rPr>
        <w:t>שיטות הראשונים</w:t>
      </w:r>
      <w:r>
        <w:rPr>
          <w:sz w:val="20"/>
          <w:szCs w:val="20"/>
          <w:u w:val="single"/>
          <w:rtl/>
        </w:rPr>
        <w:br/>
      </w:r>
      <w:r>
        <w:rPr>
          <w:rFonts w:hint="cs"/>
          <w:sz w:val="20"/>
          <w:szCs w:val="20"/>
          <w:rtl/>
        </w:rPr>
        <w:t xml:space="preserve">א. </w:t>
      </w:r>
      <w:r w:rsidRPr="00E40798">
        <w:rPr>
          <w:rFonts w:hint="cs"/>
          <w:b/>
          <w:bCs/>
          <w:sz w:val="20"/>
          <w:szCs w:val="20"/>
          <w:rtl/>
        </w:rPr>
        <w:t>רשב"א</w:t>
      </w:r>
      <w:r>
        <w:rPr>
          <w:rFonts w:hint="cs"/>
          <w:sz w:val="20"/>
          <w:szCs w:val="20"/>
          <w:rtl/>
        </w:rPr>
        <w:t xml:space="preserve"> </w:t>
      </w:r>
      <w:r w:rsidRPr="000B4992">
        <w:rPr>
          <w:rFonts w:hint="cs"/>
          <w:b/>
          <w:bCs/>
          <w:sz w:val="20"/>
          <w:szCs w:val="20"/>
          <w:rtl/>
        </w:rPr>
        <w:t>ותוספות</w:t>
      </w:r>
      <w:r>
        <w:rPr>
          <w:rFonts w:hint="cs"/>
          <w:sz w:val="20"/>
          <w:szCs w:val="20"/>
          <w:rtl/>
        </w:rPr>
        <w:t xml:space="preserve"> </w:t>
      </w:r>
      <w:r>
        <w:rPr>
          <w:sz w:val="20"/>
          <w:szCs w:val="20"/>
          <w:rtl/>
        </w:rPr>
        <w:t>–</w:t>
      </w:r>
      <w:r>
        <w:rPr>
          <w:rFonts w:hint="cs"/>
          <w:sz w:val="20"/>
          <w:szCs w:val="20"/>
          <w:rtl/>
        </w:rPr>
        <w:t xml:space="preserve"> אסורה לבעלה עד שתבדוק שהיא טהורה, וכ"פ </w:t>
      </w:r>
      <w:r w:rsidRPr="000B4992">
        <w:rPr>
          <w:rFonts w:hint="cs"/>
          <w:b/>
          <w:bCs/>
          <w:sz w:val="20"/>
          <w:szCs w:val="20"/>
          <w:rtl/>
        </w:rPr>
        <w:t>המחבר</w:t>
      </w:r>
      <w:r>
        <w:rPr>
          <w:rFonts w:hint="cs"/>
          <w:sz w:val="20"/>
          <w:szCs w:val="20"/>
          <w:rtl/>
        </w:rPr>
        <w:t>.</w:t>
      </w:r>
      <w:r>
        <w:rPr>
          <w:sz w:val="20"/>
          <w:szCs w:val="20"/>
          <w:rtl/>
        </w:rPr>
        <w:br/>
      </w:r>
      <w:r>
        <w:rPr>
          <w:rFonts w:hint="cs"/>
          <w:sz w:val="20"/>
          <w:szCs w:val="20"/>
          <w:rtl/>
        </w:rPr>
        <w:t xml:space="preserve">ב. </w:t>
      </w:r>
      <w:r w:rsidRPr="00E40798">
        <w:rPr>
          <w:rFonts w:hint="cs"/>
          <w:b/>
          <w:bCs/>
          <w:sz w:val="20"/>
          <w:szCs w:val="20"/>
          <w:rtl/>
        </w:rPr>
        <w:t>רמב"ם ורי"ף</w:t>
      </w:r>
      <w:r>
        <w:rPr>
          <w:rFonts w:hint="cs"/>
          <w:sz w:val="20"/>
          <w:szCs w:val="20"/>
          <w:rtl/>
        </w:rPr>
        <w:t xml:space="preserve"> </w:t>
      </w:r>
      <w:r>
        <w:rPr>
          <w:sz w:val="20"/>
          <w:szCs w:val="20"/>
          <w:rtl/>
        </w:rPr>
        <w:t>–</w:t>
      </w:r>
      <w:r>
        <w:rPr>
          <w:rFonts w:hint="cs"/>
          <w:sz w:val="20"/>
          <w:szCs w:val="20"/>
          <w:rtl/>
        </w:rPr>
        <w:t xml:space="preserve"> מותרת לבעלה אף ללא בדיקה.</w:t>
      </w:r>
      <w:r>
        <w:rPr>
          <w:sz w:val="20"/>
          <w:szCs w:val="20"/>
          <w:rtl/>
        </w:rPr>
        <w:br/>
      </w:r>
      <w:r>
        <w:rPr>
          <w:rFonts w:hint="cs"/>
          <w:sz w:val="20"/>
          <w:szCs w:val="20"/>
          <w:rtl/>
        </w:rPr>
        <w:br/>
      </w:r>
      <w:r>
        <w:rPr>
          <w:rFonts w:hint="cs"/>
          <w:sz w:val="20"/>
          <w:szCs w:val="20"/>
          <w:u w:val="single"/>
          <w:rtl/>
        </w:rPr>
        <w:t>דין ווסת שאינו קבוע</w:t>
      </w:r>
      <w:r>
        <w:rPr>
          <w:sz w:val="20"/>
          <w:szCs w:val="20"/>
          <w:rtl/>
        </w:rPr>
        <w:br/>
      </w:r>
      <w:r>
        <w:rPr>
          <w:rFonts w:hint="cs"/>
          <w:sz w:val="20"/>
          <w:szCs w:val="20"/>
          <w:rtl/>
        </w:rPr>
        <w:t>לעומת זאת, אשה שאינה בעלת ווסת קבוע שלא בדקה עצמה בשעת הווסת, לכו"ע מותרת.</w:t>
      </w:r>
      <w:r>
        <w:rPr>
          <w:sz w:val="20"/>
          <w:szCs w:val="20"/>
          <w:rtl/>
        </w:rPr>
        <w:br/>
      </w:r>
      <w:r>
        <w:rPr>
          <w:rFonts w:hint="cs"/>
          <w:sz w:val="20"/>
          <w:szCs w:val="20"/>
          <w:rtl/>
        </w:rPr>
        <w:t xml:space="preserve">ברם, יום ל' לראייתה נחשב כווסת קבוע, ומל' והלאה אסורה ללא בדיקה. </w:t>
      </w:r>
    </w:p>
    <w:p w:rsidR="00620060" w:rsidRDefault="00620060" w:rsidP="00620060">
      <w:pPr>
        <w:rPr>
          <w:rFonts w:cs="Arial"/>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4703D3">
        <w:rPr>
          <w:rFonts w:cs="Arial" w:hint="cs"/>
          <w:sz w:val="20"/>
          <w:szCs w:val="20"/>
          <w:rtl/>
        </w:rPr>
        <w:t>עוד</w:t>
      </w:r>
      <w:r w:rsidRPr="004703D3">
        <w:rPr>
          <w:rFonts w:cs="Arial"/>
          <w:sz w:val="20"/>
          <w:szCs w:val="20"/>
          <w:rtl/>
        </w:rPr>
        <w:t xml:space="preserve"> </w:t>
      </w:r>
      <w:r w:rsidRPr="004703D3">
        <w:rPr>
          <w:rFonts w:cs="Arial" w:hint="cs"/>
          <w:sz w:val="20"/>
          <w:szCs w:val="20"/>
          <w:rtl/>
        </w:rPr>
        <w:t>יש</w:t>
      </w:r>
      <w:r w:rsidRPr="004703D3">
        <w:rPr>
          <w:rFonts w:cs="Arial"/>
          <w:sz w:val="20"/>
          <w:szCs w:val="20"/>
          <w:rtl/>
        </w:rPr>
        <w:t xml:space="preserve"> </w:t>
      </w:r>
      <w:r w:rsidRPr="004703D3">
        <w:rPr>
          <w:rFonts w:cs="Arial" w:hint="cs"/>
          <w:sz w:val="20"/>
          <w:szCs w:val="20"/>
          <w:rtl/>
        </w:rPr>
        <w:t>חילוק</w:t>
      </w:r>
      <w:r w:rsidRPr="004703D3">
        <w:rPr>
          <w:rFonts w:cs="Arial"/>
          <w:sz w:val="20"/>
          <w:szCs w:val="20"/>
          <w:rtl/>
        </w:rPr>
        <w:t xml:space="preserve"> </w:t>
      </w:r>
      <w:r w:rsidRPr="004703D3">
        <w:rPr>
          <w:rFonts w:cs="Arial" w:hint="cs"/>
          <w:sz w:val="20"/>
          <w:szCs w:val="20"/>
          <w:rtl/>
        </w:rPr>
        <w:t>בין</w:t>
      </w:r>
      <w:r w:rsidRPr="004703D3">
        <w:rPr>
          <w:rFonts w:cs="Arial"/>
          <w:sz w:val="20"/>
          <w:szCs w:val="20"/>
          <w:rtl/>
        </w:rPr>
        <w:t xml:space="preserve"> </w:t>
      </w:r>
      <w:r w:rsidRPr="004703D3">
        <w:rPr>
          <w:rFonts w:cs="Arial" w:hint="cs"/>
          <w:sz w:val="20"/>
          <w:szCs w:val="20"/>
          <w:rtl/>
        </w:rPr>
        <w:t>קבעתו</w:t>
      </w:r>
      <w:r w:rsidRPr="004703D3">
        <w:rPr>
          <w:rFonts w:cs="Arial"/>
          <w:sz w:val="20"/>
          <w:szCs w:val="20"/>
          <w:rtl/>
        </w:rPr>
        <w:t xml:space="preserve"> </w:t>
      </w:r>
      <w:r w:rsidRPr="004703D3">
        <w:rPr>
          <w:rFonts w:cs="Arial" w:hint="cs"/>
          <w:sz w:val="20"/>
          <w:szCs w:val="20"/>
          <w:rtl/>
        </w:rPr>
        <w:t>ג</w:t>
      </w:r>
      <w:r w:rsidRPr="004703D3">
        <w:rPr>
          <w:rFonts w:cs="Arial"/>
          <w:sz w:val="20"/>
          <w:szCs w:val="20"/>
          <w:rtl/>
        </w:rPr>
        <w:t xml:space="preserve">' </w:t>
      </w:r>
      <w:r w:rsidRPr="004703D3">
        <w:rPr>
          <w:rFonts w:cs="Arial" w:hint="cs"/>
          <w:sz w:val="20"/>
          <w:szCs w:val="20"/>
          <w:rtl/>
        </w:rPr>
        <w:t>פעמים</w:t>
      </w:r>
      <w:r w:rsidRPr="004703D3">
        <w:rPr>
          <w:rFonts w:cs="Arial"/>
          <w:sz w:val="20"/>
          <w:szCs w:val="20"/>
          <w:rtl/>
        </w:rPr>
        <w:t xml:space="preserve"> </w:t>
      </w:r>
      <w:r w:rsidRPr="004703D3">
        <w:rPr>
          <w:rFonts w:cs="Arial" w:hint="cs"/>
          <w:sz w:val="20"/>
          <w:szCs w:val="20"/>
          <w:rtl/>
        </w:rPr>
        <w:t>ללא</w:t>
      </w:r>
      <w:r w:rsidRPr="004703D3">
        <w:rPr>
          <w:rFonts w:cs="Arial"/>
          <w:sz w:val="20"/>
          <w:szCs w:val="20"/>
          <w:rtl/>
        </w:rPr>
        <w:t xml:space="preserve"> </w:t>
      </w:r>
      <w:r w:rsidRPr="004703D3">
        <w:rPr>
          <w:rFonts w:cs="Arial" w:hint="cs"/>
          <w:sz w:val="20"/>
          <w:szCs w:val="20"/>
          <w:rtl/>
        </w:rPr>
        <w:t>קבעתו</w:t>
      </w:r>
      <w:r w:rsidRPr="004703D3">
        <w:rPr>
          <w:rFonts w:cs="Arial"/>
          <w:sz w:val="20"/>
          <w:szCs w:val="20"/>
          <w:rtl/>
        </w:rPr>
        <w:t xml:space="preserve"> </w:t>
      </w:r>
      <w:r w:rsidRPr="004703D3">
        <w:rPr>
          <w:rFonts w:cs="Arial" w:hint="cs"/>
          <w:sz w:val="20"/>
          <w:szCs w:val="20"/>
          <w:rtl/>
        </w:rPr>
        <w:t>ג</w:t>
      </w:r>
      <w:r w:rsidRPr="004703D3">
        <w:rPr>
          <w:rFonts w:cs="Arial"/>
          <w:sz w:val="20"/>
          <w:szCs w:val="20"/>
          <w:rtl/>
        </w:rPr>
        <w:t xml:space="preserve">' </w:t>
      </w:r>
      <w:r w:rsidRPr="004703D3">
        <w:rPr>
          <w:rFonts w:cs="Arial" w:hint="cs"/>
          <w:sz w:val="20"/>
          <w:szCs w:val="20"/>
          <w:rtl/>
        </w:rPr>
        <w:t>פעמים</w:t>
      </w:r>
      <w:r w:rsidRPr="004703D3">
        <w:rPr>
          <w:rFonts w:cs="Arial"/>
          <w:sz w:val="20"/>
          <w:szCs w:val="20"/>
          <w:rtl/>
        </w:rPr>
        <w:t xml:space="preserve">, </w:t>
      </w:r>
      <w:r w:rsidRPr="004703D3">
        <w:rPr>
          <w:rFonts w:cs="Arial" w:hint="cs"/>
          <w:sz w:val="20"/>
          <w:szCs w:val="20"/>
          <w:rtl/>
        </w:rPr>
        <w:t>שהקבוע</w:t>
      </w:r>
      <w:r w:rsidRPr="004703D3">
        <w:rPr>
          <w:rFonts w:cs="Arial"/>
          <w:sz w:val="20"/>
          <w:szCs w:val="20"/>
          <w:rtl/>
        </w:rPr>
        <w:t xml:space="preserve"> </w:t>
      </w:r>
      <w:r w:rsidRPr="004703D3">
        <w:rPr>
          <w:rFonts w:cs="Arial" w:hint="cs"/>
          <w:sz w:val="20"/>
          <w:szCs w:val="20"/>
          <w:rtl/>
        </w:rPr>
        <w:t>אף</w:t>
      </w:r>
      <w:r w:rsidRPr="004703D3">
        <w:rPr>
          <w:rFonts w:cs="Arial"/>
          <w:sz w:val="20"/>
          <w:szCs w:val="20"/>
          <w:rtl/>
        </w:rPr>
        <w:t xml:space="preserve"> </w:t>
      </w:r>
      <w:r w:rsidRPr="004703D3">
        <w:rPr>
          <w:rFonts w:cs="Arial" w:hint="cs"/>
          <w:sz w:val="20"/>
          <w:szCs w:val="20"/>
          <w:rtl/>
        </w:rPr>
        <w:t>על</w:t>
      </w:r>
      <w:r w:rsidRPr="004703D3">
        <w:rPr>
          <w:rFonts w:cs="Arial"/>
          <w:sz w:val="20"/>
          <w:szCs w:val="20"/>
          <w:rtl/>
        </w:rPr>
        <w:t xml:space="preserve"> </w:t>
      </w:r>
      <w:r w:rsidRPr="004703D3">
        <w:rPr>
          <w:rFonts w:cs="Arial" w:hint="cs"/>
          <w:sz w:val="20"/>
          <w:szCs w:val="20"/>
          <w:rtl/>
        </w:rPr>
        <w:t>פי</w:t>
      </w:r>
      <w:r w:rsidRPr="004703D3">
        <w:rPr>
          <w:rFonts w:cs="Arial"/>
          <w:sz w:val="20"/>
          <w:szCs w:val="20"/>
          <w:rtl/>
        </w:rPr>
        <w:t xml:space="preserve"> </w:t>
      </w:r>
      <w:r w:rsidRPr="004703D3">
        <w:rPr>
          <w:rFonts w:cs="Arial" w:hint="cs"/>
          <w:sz w:val="20"/>
          <w:szCs w:val="20"/>
          <w:rtl/>
        </w:rPr>
        <w:t>שעברה</w:t>
      </w:r>
      <w:r w:rsidRPr="004703D3">
        <w:rPr>
          <w:rFonts w:cs="Arial"/>
          <w:sz w:val="20"/>
          <w:szCs w:val="20"/>
          <w:rtl/>
        </w:rPr>
        <w:t xml:space="preserve"> </w:t>
      </w:r>
      <w:r w:rsidRPr="004703D3">
        <w:rPr>
          <w:rFonts w:cs="Arial" w:hint="cs"/>
          <w:sz w:val="20"/>
          <w:szCs w:val="20"/>
          <w:rtl/>
        </w:rPr>
        <w:t>עונתה</w:t>
      </w:r>
      <w:r w:rsidRPr="004703D3">
        <w:rPr>
          <w:rFonts w:cs="Arial"/>
          <w:sz w:val="20"/>
          <w:szCs w:val="20"/>
          <w:rtl/>
        </w:rPr>
        <w:t xml:space="preserve"> </w:t>
      </w:r>
      <w:r w:rsidRPr="004703D3">
        <w:rPr>
          <w:rFonts w:cs="Arial" w:hint="cs"/>
          <w:sz w:val="20"/>
          <w:szCs w:val="20"/>
          <w:rtl/>
        </w:rPr>
        <w:t>ולא</w:t>
      </w:r>
      <w:r w:rsidRPr="004703D3">
        <w:rPr>
          <w:rFonts w:cs="Arial"/>
          <w:sz w:val="20"/>
          <w:szCs w:val="20"/>
          <w:rtl/>
        </w:rPr>
        <w:t xml:space="preserve"> </w:t>
      </w:r>
      <w:r w:rsidRPr="004703D3">
        <w:rPr>
          <w:rFonts w:cs="Arial" w:hint="cs"/>
          <w:sz w:val="20"/>
          <w:szCs w:val="20"/>
          <w:rtl/>
        </w:rPr>
        <w:t>הרגישה</w:t>
      </w:r>
      <w:r w:rsidRPr="004703D3">
        <w:rPr>
          <w:rFonts w:cs="Arial"/>
          <w:sz w:val="20"/>
          <w:szCs w:val="20"/>
          <w:rtl/>
        </w:rPr>
        <w:t xml:space="preserve">, </w:t>
      </w:r>
      <w:r w:rsidRPr="004703D3">
        <w:rPr>
          <w:rFonts w:cs="Arial" w:hint="cs"/>
          <w:sz w:val="20"/>
          <w:szCs w:val="20"/>
          <w:rtl/>
        </w:rPr>
        <w:t>אסורה</w:t>
      </w:r>
      <w:r w:rsidRPr="004703D3">
        <w:rPr>
          <w:rFonts w:cs="Arial"/>
          <w:sz w:val="20"/>
          <w:szCs w:val="20"/>
          <w:rtl/>
        </w:rPr>
        <w:t xml:space="preserve"> </w:t>
      </w:r>
      <w:r w:rsidRPr="004703D3">
        <w:rPr>
          <w:rFonts w:cs="Arial" w:hint="cs"/>
          <w:sz w:val="20"/>
          <w:szCs w:val="20"/>
          <w:rtl/>
        </w:rPr>
        <w:t>לשמש</w:t>
      </w:r>
      <w:r w:rsidRPr="004703D3">
        <w:rPr>
          <w:rFonts w:cs="Arial"/>
          <w:sz w:val="20"/>
          <w:szCs w:val="20"/>
          <w:rtl/>
        </w:rPr>
        <w:t xml:space="preserve"> </w:t>
      </w:r>
      <w:r w:rsidRPr="004703D3">
        <w:rPr>
          <w:rFonts w:cs="Arial" w:hint="cs"/>
          <w:sz w:val="20"/>
          <w:szCs w:val="20"/>
          <w:rtl/>
        </w:rPr>
        <w:t>עד</w:t>
      </w:r>
      <w:r w:rsidRPr="004703D3">
        <w:rPr>
          <w:rFonts w:cs="Arial"/>
          <w:sz w:val="20"/>
          <w:szCs w:val="20"/>
          <w:rtl/>
        </w:rPr>
        <w:t xml:space="preserve"> </w:t>
      </w:r>
      <w:r w:rsidRPr="004703D3">
        <w:rPr>
          <w:rFonts w:cs="Arial" w:hint="cs"/>
          <w:sz w:val="20"/>
          <w:szCs w:val="20"/>
          <w:rtl/>
        </w:rPr>
        <w:t>שתבדוק</w:t>
      </w:r>
      <w:r w:rsidRPr="004703D3">
        <w:rPr>
          <w:rFonts w:cs="Arial"/>
          <w:sz w:val="20"/>
          <w:szCs w:val="20"/>
          <w:rtl/>
        </w:rPr>
        <w:t xml:space="preserve"> </w:t>
      </w:r>
      <w:r w:rsidRPr="004703D3">
        <w:rPr>
          <w:rFonts w:cs="Arial" w:hint="cs"/>
          <w:sz w:val="20"/>
          <w:szCs w:val="20"/>
          <w:rtl/>
        </w:rPr>
        <w:t>ותמצא</w:t>
      </w:r>
      <w:r w:rsidRPr="004703D3">
        <w:rPr>
          <w:rFonts w:cs="Arial"/>
          <w:sz w:val="20"/>
          <w:szCs w:val="20"/>
          <w:rtl/>
        </w:rPr>
        <w:t xml:space="preserve"> </w:t>
      </w:r>
      <w:r w:rsidRPr="004703D3">
        <w:rPr>
          <w:rFonts w:cs="Arial" w:hint="cs"/>
          <w:sz w:val="20"/>
          <w:szCs w:val="20"/>
          <w:rtl/>
        </w:rPr>
        <w:t>טהורה</w:t>
      </w:r>
      <w:r>
        <w:rPr>
          <w:rStyle w:val="a5"/>
          <w:rFonts w:cs="Arial"/>
          <w:sz w:val="20"/>
          <w:szCs w:val="20"/>
          <w:rtl/>
        </w:rPr>
        <w:footnoteReference w:id="173"/>
      </w:r>
      <w:r w:rsidRPr="004703D3">
        <w:rPr>
          <w:rFonts w:cs="Arial"/>
          <w:sz w:val="20"/>
          <w:szCs w:val="20"/>
          <w:rtl/>
        </w:rPr>
        <w:t xml:space="preserve">. </w:t>
      </w:r>
      <w:r w:rsidRPr="004703D3">
        <w:rPr>
          <w:rFonts w:cs="Arial" w:hint="cs"/>
          <w:sz w:val="20"/>
          <w:szCs w:val="20"/>
          <w:rtl/>
        </w:rPr>
        <w:t>ושלא</w:t>
      </w:r>
      <w:r w:rsidRPr="004703D3">
        <w:rPr>
          <w:rFonts w:cs="Arial"/>
          <w:sz w:val="20"/>
          <w:szCs w:val="20"/>
          <w:rtl/>
        </w:rPr>
        <w:t xml:space="preserve"> </w:t>
      </w:r>
      <w:r w:rsidRPr="004703D3">
        <w:rPr>
          <w:rFonts w:cs="Arial" w:hint="cs"/>
          <w:sz w:val="20"/>
          <w:szCs w:val="20"/>
          <w:rtl/>
        </w:rPr>
        <w:t>קבעתו</w:t>
      </w:r>
      <w:r w:rsidRPr="004703D3">
        <w:rPr>
          <w:rFonts w:cs="Arial"/>
          <w:sz w:val="20"/>
          <w:szCs w:val="20"/>
          <w:rtl/>
        </w:rPr>
        <w:t xml:space="preserve"> </w:t>
      </w:r>
      <w:r w:rsidRPr="004703D3">
        <w:rPr>
          <w:rFonts w:cs="Arial" w:hint="cs"/>
          <w:sz w:val="20"/>
          <w:szCs w:val="20"/>
          <w:rtl/>
        </w:rPr>
        <w:t>ג</w:t>
      </w:r>
      <w:r>
        <w:rPr>
          <w:rFonts w:cs="Arial" w:hint="cs"/>
          <w:sz w:val="20"/>
          <w:szCs w:val="20"/>
          <w:rtl/>
        </w:rPr>
        <w:t xml:space="preserve">' </w:t>
      </w:r>
      <w:r w:rsidRPr="004703D3">
        <w:rPr>
          <w:rFonts w:cs="Arial" w:hint="cs"/>
          <w:sz w:val="20"/>
          <w:szCs w:val="20"/>
          <w:rtl/>
        </w:rPr>
        <w:t>פ</w:t>
      </w:r>
      <w:r>
        <w:rPr>
          <w:rFonts w:cs="Arial" w:hint="cs"/>
          <w:sz w:val="20"/>
          <w:szCs w:val="20"/>
          <w:rtl/>
        </w:rPr>
        <w:t>עמים</w:t>
      </w:r>
      <w:r w:rsidRPr="004703D3">
        <w:rPr>
          <w:rFonts w:cs="Arial"/>
          <w:sz w:val="20"/>
          <w:szCs w:val="20"/>
          <w:rtl/>
        </w:rPr>
        <w:t xml:space="preserve">, </w:t>
      </w:r>
      <w:r w:rsidRPr="004703D3">
        <w:rPr>
          <w:rFonts w:cs="Arial" w:hint="cs"/>
          <w:sz w:val="20"/>
          <w:szCs w:val="20"/>
          <w:rtl/>
        </w:rPr>
        <w:t>אם</w:t>
      </w:r>
      <w:r w:rsidRPr="004703D3">
        <w:rPr>
          <w:rFonts w:cs="Arial"/>
          <w:sz w:val="20"/>
          <w:szCs w:val="20"/>
          <w:rtl/>
        </w:rPr>
        <w:t xml:space="preserve"> </w:t>
      </w:r>
      <w:r w:rsidRPr="004703D3">
        <w:rPr>
          <w:rFonts w:cs="Arial" w:hint="cs"/>
          <w:sz w:val="20"/>
          <w:szCs w:val="20"/>
          <w:rtl/>
        </w:rPr>
        <w:t>הגיע</w:t>
      </w:r>
      <w:r w:rsidRPr="004703D3">
        <w:rPr>
          <w:rFonts w:cs="Arial"/>
          <w:sz w:val="20"/>
          <w:szCs w:val="20"/>
          <w:rtl/>
        </w:rPr>
        <w:t xml:space="preserve"> </w:t>
      </w:r>
      <w:r w:rsidRPr="004703D3">
        <w:rPr>
          <w:rFonts w:cs="Arial" w:hint="cs"/>
          <w:sz w:val="20"/>
          <w:szCs w:val="20"/>
          <w:rtl/>
        </w:rPr>
        <w:t>זמן</w:t>
      </w:r>
      <w:r w:rsidRPr="004703D3">
        <w:rPr>
          <w:rFonts w:cs="Arial"/>
          <w:sz w:val="20"/>
          <w:szCs w:val="20"/>
          <w:rtl/>
        </w:rPr>
        <w:t xml:space="preserve"> </w:t>
      </w:r>
      <w:r w:rsidRPr="004703D3">
        <w:rPr>
          <w:rFonts w:cs="Arial" w:hint="cs"/>
          <w:sz w:val="20"/>
          <w:szCs w:val="20"/>
          <w:rtl/>
        </w:rPr>
        <w:t>הוסת</w:t>
      </w:r>
      <w:r w:rsidRPr="004703D3">
        <w:rPr>
          <w:rFonts w:cs="Arial"/>
          <w:sz w:val="20"/>
          <w:szCs w:val="20"/>
          <w:rtl/>
        </w:rPr>
        <w:t xml:space="preserve"> </w:t>
      </w:r>
      <w:r w:rsidRPr="004703D3">
        <w:rPr>
          <w:rFonts w:cs="Arial" w:hint="cs"/>
          <w:sz w:val="20"/>
          <w:szCs w:val="20"/>
          <w:rtl/>
        </w:rPr>
        <w:t>ולא</w:t>
      </w:r>
      <w:r w:rsidRPr="004703D3">
        <w:rPr>
          <w:rFonts w:cs="Arial"/>
          <w:sz w:val="20"/>
          <w:szCs w:val="20"/>
          <w:rtl/>
        </w:rPr>
        <w:t xml:space="preserve"> </w:t>
      </w:r>
      <w:r w:rsidRPr="004703D3">
        <w:rPr>
          <w:rFonts w:cs="Arial" w:hint="cs"/>
          <w:sz w:val="20"/>
          <w:szCs w:val="20"/>
          <w:rtl/>
        </w:rPr>
        <w:t>בדקה</w:t>
      </w:r>
      <w:r w:rsidRPr="004703D3">
        <w:rPr>
          <w:rFonts w:cs="Arial"/>
          <w:sz w:val="20"/>
          <w:szCs w:val="20"/>
          <w:rtl/>
        </w:rPr>
        <w:t xml:space="preserve"> </w:t>
      </w:r>
      <w:r w:rsidRPr="004703D3">
        <w:rPr>
          <w:rFonts w:cs="Arial" w:hint="cs"/>
          <w:sz w:val="20"/>
          <w:szCs w:val="20"/>
          <w:rtl/>
        </w:rPr>
        <w:t>ולא</w:t>
      </w:r>
      <w:r w:rsidRPr="004703D3">
        <w:rPr>
          <w:rFonts w:cs="Arial"/>
          <w:sz w:val="20"/>
          <w:szCs w:val="20"/>
          <w:rtl/>
        </w:rPr>
        <w:t xml:space="preserve"> </w:t>
      </w:r>
      <w:r w:rsidRPr="004703D3">
        <w:rPr>
          <w:rFonts w:cs="Arial" w:hint="cs"/>
          <w:sz w:val="20"/>
          <w:szCs w:val="20"/>
          <w:rtl/>
        </w:rPr>
        <w:t>ראתה</w:t>
      </w:r>
      <w:r w:rsidRPr="004703D3">
        <w:rPr>
          <w:rFonts w:cs="Arial"/>
          <w:sz w:val="20"/>
          <w:szCs w:val="20"/>
          <w:rtl/>
        </w:rPr>
        <w:t xml:space="preserve">, </w:t>
      </w:r>
      <w:r w:rsidRPr="004703D3">
        <w:rPr>
          <w:rFonts w:cs="Arial" w:hint="cs"/>
          <w:sz w:val="20"/>
          <w:szCs w:val="20"/>
          <w:rtl/>
        </w:rPr>
        <w:t>כיון</w:t>
      </w:r>
      <w:r w:rsidRPr="004703D3">
        <w:rPr>
          <w:rFonts w:cs="Arial"/>
          <w:sz w:val="20"/>
          <w:szCs w:val="20"/>
          <w:rtl/>
        </w:rPr>
        <w:t xml:space="preserve"> </w:t>
      </w:r>
      <w:r w:rsidRPr="004703D3">
        <w:rPr>
          <w:rFonts w:cs="Arial" w:hint="cs"/>
          <w:sz w:val="20"/>
          <w:szCs w:val="20"/>
          <w:rtl/>
        </w:rPr>
        <w:t>שעברה</w:t>
      </w:r>
      <w:r w:rsidRPr="004703D3">
        <w:rPr>
          <w:rFonts w:cs="Arial"/>
          <w:sz w:val="20"/>
          <w:szCs w:val="20"/>
          <w:rtl/>
        </w:rPr>
        <w:t xml:space="preserve"> </w:t>
      </w:r>
      <w:r w:rsidRPr="004703D3">
        <w:rPr>
          <w:rFonts w:cs="Arial" w:hint="cs"/>
          <w:sz w:val="20"/>
          <w:szCs w:val="20"/>
          <w:rtl/>
        </w:rPr>
        <w:t>עונתה</w:t>
      </w:r>
      <w:r w:rsidRPr="004703D3">
        <w:rPr>
          <w:rFonts w:cs="Arial"/>
          <w:sz w:val="20"/>
          <w:szCs w:val="20"/>
          <w:rtl/>
        </w:rPr>
        <w:t xml:space="preserve">, </w:t>
      </w:r>
      <w:r w:rsidRPr="004703D3">
        <w:rPr>
          <w:rFonts w:cs="Arial" w:hint="cs"/>
          <w:sz w:val="20"/>
          <w:szCs w:val="20"/>
          <w:rtl/>
        </w:rPr>
        <w:t>מותרת</w:t>
      </w:r>
      <w:r w:rsidRPr="004703D3">
        <w:rPr>
          <w:rFonts w:cs="Arial"/>
          <w:sz w:val="20"/>
          <w:szCs w:val="20"/>
          <w:rtl/>
        </w:rPr>
        <w:t xml:space="preserve">. </w:t>
      </w:r>
      <w:r w:rsidRPr="004703D3">
        <w:rPr>
          <w:rFonts w:cs="Arial" w:hint="cs"/>
          <w:sz w:val="20"/>
          <w:szCs w:val="20"/>
          <w:rtl/>
        </w:rPr>
        <w:t>ועונה</w:t>
      </w:r>
      <w:r w:rsidRPr="004703D3">
        <w:rPr>
          <w:rFonts w:cs="Arial"/>
          <w:sz w:val="20"/>
          <w:szCs w:val="20"/>
          <w:rtl/>
        </w:rPr>
        <w:t xml:space="preserve"> </w:t>
      </w:r>
      <w:r w:rsidRPr="004703D3">
        <w:rPr>
          <w:rFonts w:cs="Arial" w:hint="cs"/>
          <w:sz w:val="20"/>
          <w:szCs w:val="20"/>
          <w:rtl/>
        </w:rPr>
        <w:t>בינונית</w:t>
      </w:r>
      <w:r w:rsidRPr="004703D3">
        <w:rPr>
          <w:rFonts w:cs="Arial"/>
          <w:sz w:val="20"/>
          <w:szCs w:val="20"/>
          <w:rtl/>
        </w:rPr>
        <w:t xml:space="preserve">, </w:t>
      </w:r>
      <w:r w:rsidRPr="004703D3">
        <w:rPr>
          <w:rFonts w:cs="Arial" w:hint="cs"/>
          <w:sz w:val="20"/>
          <w:szCs w:val="20"/>
          <w:rtl/>
        </w:rPr>
        <w:t>שהיא</w:t>
      </w:r>
      <w:r w:rsidRPr="004703D3">
        <w:rPr>
          <w:rFonts w:cs="Arial"/>
          <w:sz w:val="20"/>
          <w:szCs w:val="20"/>
          <w:rtl/>
        </w:rPr>
        <w:t xml:space="preserve"> </w:t>
      </w:r>
      <w:r w:rsidRPr="004703D3">
        <w:rPr>
          <w:rFonts w:cs="Arial" w:hint="cs"/>
          <w:sz w:val="20"/>
          <w:szCs w:val="20"/>
          <w:rtl/>
        </w:rPr>
        <w:t>לל</w:t>
      </w:r>
      <w:r w:rsidRPr="004703D3">
        <w:rPr>
          <w:rFonts w:cs="Arial"/>
          <w:sz w:val="20"/>
          <w:szCs w:val="20"/>
          <w:rtl/>
        </w:rPr>
        <w:t xml:space="preserve">' </w:t>
      </w:r>
      <w:r w:rsidRPr="004703D3">
        <w:rPr>
          <w:rFonts w:cs="Arial" w:hint="cs"/>
          <w:sz w:val="20"/>
          <w:szCs w:val="20"/>
          <w:rtl/>
        </w:rPr>
        <w:t>יום</w:t>
      </w:r>
      <w:r w:rsidRPr="004703D3">
        <w:rPr>
          <w:rFonts w:cs="Arial"/>
          <w:sz w:val="20"/>
          <w:szCs w:val="20"/>
          <w:rtl/>
        </w:rPr>
        <w:t xml:space="preserve">, </w:t>
      </w:r>
      <w:r w:rsidRPr="004703D3">
        <w:rPr>
          <w:rFonts w:cs="Arial" w:hint="cs"/>
          <w:sz w:val="20"/>
          <w:szCs w:val="20"/>
          <w:rtl/>
        </w:rPr>
        <w:t>דינה</w:t>
      </w:r>
      <w:r w:rsidRPr="004703D3">
        <w:rPr>
          <w:rFonts w:cs="Arial"/>
          <w:sz w:val="20"/>
          <w:szCs w:val="20"/>
          <w:rtl/>
        </w:rPr>
        <w:t xml:space="preserve"> </w:t>
      </w:r>
      <w:r w:rsidRPr="004703D3">
        <w:rPr>
          <w:rFonts w:cs="Arial" w:hint="cs"/>
          <w:sz w:val="20"/>
          <w:szCs w:val="20"/>
          <w:rtl/>
        </w:rPr>
        <w:t>כ</w:t>
      </w:r>
      <w:r>
        <w:rPr>
          <w:rFonts w:cs="Arial" w:hint="cs"/>
          <w:sz w:val="20"/>
          <w:szCs w:val="20"/>
          <w:rtl/>
        </w:rPr>
        <w:t>ו</w:t>
      </w:r>
      <w:r w:rsidRPr="004703D3">
        <w:rPr>
          <w:rFonts w:cs="Arial" w:hint="cs"/>
          <w:sz w:val="20"/>
          <w:szCs w:val="20"/>
          <w:rtl/>
        </w:rPr>
        <w:t>וסת</w:t>
      </w:r>
      <w:r w:rsidRPr="004703D3">
        <w:rPr>
          <w:rFonts w:cs="Arial"/>
          <w:sz w:val="20"/>
          <w:szCs w:val="20"/>
          <w:rtl/>
        </w:rPr>
        <w:t xml:space="preserve"> </w:t>
      </w:r>
      <w:r w:rsidRPr="004703D3">
        <w:rPr>
          <w:rFonts w:cs="Arial" w:hint="cs"/>
          <w:sz w:val="20"/>
          <w:szCs w:val="20"/>
          <w:rtl/>
        </w:rPr>
        <w:t>קבוע</w:t>
      </w:r>
      <w:r>
        <w:rPr>
          <w:rStyle w:val="a5"/>
          <w:rFonts w:cs="Arial"/>
          <w:sz w:val="20"/>
          <w:szCs w:val="20"/>
          <w:rtl/>
        </w:rPr>
        <w:footnoteReference w:id="174"/>
      </w:r>
      <w:r>
        <w:rPr>
          <w:rFonts w:cs="Arial" w:hint="cs"/>
          <w:sz w:val="20"/>
          <w:szCs w:val="20"/>
          <w:rtl/>
        </w:rPr>
        <w:t>".</w:t>
      </w:r>
      <w:r>
        <w:rPr>
          <w:rFonts w:hint="cs"/>
          <w:sz w:val="20"/>
          <w:szCs w:val="20"/>
          <w:rtl/>
        </w:rPr>
        <w:br/>
      </w:r>
      <w:r w:rsidRPr="0063106B">
        <w:rPr>
          <w:rFonts w:cs="Arial" w:hint="cs"/>
          <w:b/>
          <w:bCs/>
          <w:sz w:val="20"/>
          <w:szCs w:val="20"/>
          <w:rtl/>
        </w:rPr>
        <w:t>בדה"ש</w:t>
      </w:r>
      <w:r>
        <w:rPr>
          <w:rFonts w:cs="Arial" w:hint="cs"/>
          <w:sz w:val="20"/>
          <w:szCs w:val="20"/>
          <w:rtl/>
        </w:rPr>
        <w:t xml:space="preserve"> </w:t>
      </w:r>
      <w:r>
        <w:rPr>
          <w:rFonts w:cs="Arial"/>
          <w:sz w:val="20"/>
          <w:szCs w:val="20"/>
          <w:rtl/>
        </w:rPr>
        <w:t>–</w:t>
      </w:r>
      <w:r>
        <w:rPr>
          <w:rFonts w:cs="Arial" w:hint="cs"/>
          <w:sz w:val="20"/>
          <w:szCs w:val="20"/>
          <w:rtl/>
        </w:rPr>
        <w:t xml:space="preserve"> אשה שיש לה ווסת קבוע, אינה חוששת ליום ל' לראייתה.</w:t>
      </w:r>
    </w:p>
    <w:p w:rsidR="00620060" w:rsidRPr="00433FF8" w:rsidRDefault="00620060" w:rsidP="00620060">
      <w:pPr>
        <w:rPr>
          <w:rFonts w:cs="Arial"/>
          <w:sz w:val="20"/>
          <w:szCs w:val="20"/>
          <w:rtl/>
        </w:rPr>
      </w:pPr>
      <w:r>
        <w:rPr>
          <w:rFonts w:cs="Arial" w:hint="cs"/>
          <w:sz w:val="20"/>
          <w:szCs w:val="20"/>
          <w:u w:val="single"/>
          <w:rtl/>
        </w:rPr>
        <w:t>קושיית האחרונים</w:t>
      </w:r>
      <w:r>
        <w:rPr>
          <w:rFonts w:cs="Arial"/>
          <w:sz w:val="20"/>
          <w:szCs w:val="20"/>
          <w:u w:val="single"/>
          <w:rtl/>
        </w:rPr>
        <w:br/>
      </w:r>
      <w:r w:rsidRPr="003236C5">
        <w:rPr>
          <w:rFonts w:cs="Arial" w:hint="cs"/>
          <w:b/>
          <w:bCs/>
          <w:sz w:val="20"/>
          <w:szCs w:val="20"/>
          <w:rtl/>
        </w:rPr>
        <w:t>ט"ז</w:t>
      </w:r>
      <w:r>
        <w:rPr>
          <w:rFonts w:cs="Arial" w:hint="cs"/>
          <w:sz w:val="20"/>
          <w:szCs w:val="20"/>
          <w:rtl/>
        </w:rPr>
        <w:t xml:space="preserve"> </w:t>
      </w:r>
      <w:r>
        <w:rPr>
          <w:rFonts w:cs="Arial"/>
          <w:sz w:val="20"/>
          <w:szCs w:val="20"/>
          <w:rtl/>
        </w:rPr>
        <w:t>–</w:t>
      </w:r>
      <w:r>
        <w:rPr>
          <w:rFonts w:cs="Arial" w:hint="cs"/>
          <w:sz w:val="20"/>
          <w:szCs w:val="20"/>
          <w:rtl/>
        </w:rPr>
        <w:t xml:space="preserve"> קשה, כיצד המחבר פוסק שבעלת ווסת שאינו קבוע אינה צריכה בדיקה, הרי לעיל </w:t>
      </w:r>
      <w:r w:rsidRPr="00E16DB4">
        <w:rPr>
          <w:rFonts w:cs="Arial" w:hint="cs"/>
          <w:sz w:val="18"/>
          <w:szCs w:val="18"/>
          <w:rtl/>
        </w:rPr>
        <w:t xml:space="preserve">(קפו, ב) </w:t>
      </w:r>
      <w:r>
        <w:rPr>
          <w:rFonts w:cs="Arial" w:hint="cs"/>
          <w:sz w:val="20"/>
          <w:szCs w:val="20"/>
          <w:rtl/>
        </w:rPr>
        <w:t xml:space="preserve">פסק שלעולם </w:t>
      </w:r>
      <w:r>
        <w:rPr>
          <w:rFonts w:cs="Arial" w:hint="cs"/>
          <w:sz w:val="20"/>
          <w:szCs w:val="20"/>
          <w:rtl/>
        </w:rPr>
        <w:lastRenderedPageBreak/>
        <w:t>צריכה לבדוק עצמה לפני תשמיש!</w:t>
      </w:r>
      <w:r>
        <w:rPr>
          <w:rStyle w:val="a5"/>
          <w:rFonts w:cs="Arial"/>
          <w:sz w:val="20"/>
          <w:szCs w:val="20"/>
          <w:rtl/>
        </w:rPr>
        <w:footnoteReference w:id="175"/>
      </w:r>
      <w:r>
        <w:rPr>
          <w:rFonts w:cs="Arial" w:hint="cs"/>
          <w:sz w:val="20"/>
          <w:szCs w:val="20"/>
          <w:rtl/>
        </w:rPr>
        <w:br/>
        <w:t xml:space="preserve">א. </w:t>
      </w:r>
      <w:r w:rsidRPr="00E16DB4">
        <w:rPr>
          <w:rFonts w:cs="Arial" w:hint="cs"/>
          <w:b/>
          <w:bCs/>
          <w:sz w:val="20"/>
          <w:szCs w:val="20"/>
          <w:rtl/>
        </w:rPr>
        <w:t>ט"ז</w:t>
      </w:r>
      <w:r>
        <w:rPr>
          <w:rFonts w:cs="Arial" w:hint="cs"/>
          <w:sz w:val="20"/>
          <w:szCs w:val="20"/>
          <w:rtl/>
        </w:rPr>
        <w:t xml:space="preserve"> </w:t>
      </w:r>
      <w:r>
        <w:rPr>
          <w:rFonts w:cs="Arial"/>
          <w:sz w:val="20"/>
          <w:szCs w:val="20"/>
          <w:rtl/>
        </w:rPr>
        <w:t>–</w:t>
      </w:r>
      <w:r>
        <w:rPr>
          <w:rFonts w:cs="Arial" w:hint="cs"/>
          <w:sz w:val="20"/>
          <w:szCs w:val="20"/>
          <w:rtl/>
        </w:rPr>
        <w:t xml:space="preserve"> כאן מדובר שיש לה ווסת קבוע, אלא ששינתה פעם אחת בווסת חדש ולא קבעה עדיין בג"פ.</w:t>
      </w:r>
      <w:r>
        <w:rPr>
          <w:rFonts w:cs="Arial"/>
          <w:sz w:val="20"/>
          <w:szCs w:val="20"/>
          <w:rtl/>
        </w:rPr>
        <w:br/>
      </w:r>
      <w:r>
        <w:rPr>
          <w:rFonts w:cs="Arial" w:hint="cs"/>
          <w:sz w:val="20"/>
          <w:szCs w:val="20"/>
          <w:rtl/>
        </w:rPr>
        <w:t xml:space="preserve">ב. </w:t>
      </w:r>
      <w:r w:rsidRPr="00E16DB4">
        <w:rPr>
          <w:rFonts w:cs="Arial" w:hint="cs"/>
          <w:b/>
          <w:bCs/>
          <w:sz w:val="20"/>
          <w:szCs w:val="20"/>
          <w:rtl/>
        </w:rPr>
        <w:t>נקה"כ</w:t>
      </w:r>
      <w:r>
        <w:rPr>
          <w:rFonts w:cs="Arial" w:hint="cs"/>
          <w:sz w:val="20"/>
          <w:szCs w:val="20"/>
          <w:rtl/>
        </w:rPr>
        <w:t xml:space="preserve"> </w:t>
      </w:r>
      <w:r>
        <w:rPr>
          <w:rFonts w:cs="Arial"/>
          <w:sz w:val="20"/>
          <w:szCs w:val="20"/>
          <w:rtl/>
        </w:rPr>
        <w:t>–</w:t>
      </w:r>
      <w:r>
        <w:rPr>
          <w:rFonts w:cs="Arial" w:hint="cs"/>
          <w:sz w:val="20"/>
          <w:szCs w:val="20"/>
          <w:rtl/>
        </w:rPr>
        <w:t xml:space="preserve"> לעיל מדובר שאין לה כלל ווסת ורואה תדיר, כאן מדובר שיש לה ווסת אלא שאינו קבוע.</w:t>
      </w:r>
    </w:p>
    <w:p w:rsidR="00620060" w:rsidRDefault="00620060" w:rsidP="00620060">
      <w:pPr>
        <w:rPr>
          <w:rFonts w:cs="Arial"/>
          <w:sz w:val="20"/>
          <w:szCs w:val="20"/>
          <w:rtl/>
        </w:rPr>
      </w:pPr>
      <w:r>
        <w:rPr>
          <w:rFonts w:cs="Arial" w:hint="cs"/>
          <w:b/>
          <w:bCs/>
          <w:sz w:val="20"/>
          <w:szCs w:val="20"/>
          <w:rtl/>
        </w:rPr>
        <w:t>סיכום</w:t>
      </w:r>
      <w:r>
        <w:rPr>
          <w:rFonts w:cs="Arial"/>
          <w:b/>
          <w:bCs/>
          <w:sz w:val="20"/>
          <w:szCs w:val="20"/>
          <w:rtl/>
        </w:rPr>
        <w:br/>
      </w:r>
      <w:r>
        <w:rPr>
          <w:rFonts w:cs="Arial" w:hint="cs"/>
          <w:sz w:val="20"/>
          <w:szCs w:val="20"/>
          <w:rtl/>
        </w:rPr>
        <w:t>1. כל אשה חוששת לווסתה ובעיא בדיקה.</w:t>
      </w:r>
      <w:r>
        <w:rPr>
          <w:rFonts w:cs="Arial"/>
          <w:sz w:val="20"/>
          <w:szCs w:val="20"/>
          <w:rtl/>
        </w:rPr>
        <w:br/>
      </w:r>
      <w:r>
        <w:rPr>
          <w:rFonts w:cs="Arial" w:hint="cs"/>
          <w:sz w:val="20"/>
          <w:szCs w:val="20"/>
          <w:rtl/>
        </w:rPr>
        <w:t>2.</w:t>
      </w:r>
      <w:r w:rsidRPr="00A34CF7">
        <w:rPr>
          <w:rFonts w:cs="Arial" w:hint="cs"/>
          <w:sz w:val="20"/>
          <w:szCs w:val="20"/>
          <w:rtl/>
        </w:rPr>
        <w:t xml:space="preserve"> לא בדקה. ווסת קבוע </w:t>
      </w:r>
      <w:r w:rsidRPr="00A34CF7">
        <w:rPr>
          <w:rFonts w:cs="Arial"/>
          <w:sz w:val="20"/>
          <w:szCs w:val="20"/>
          <w:rtl/>
        </w:rPr>
        <w:t>–</w:t>
      </w:r>
      <w:r w:rsidRPr="00A34CF7">
        <w:rPr>
          <w:rFonts w:cs="Arial" w:hint="cs"/>
          <w:sz w:val="20"/>
          <w:szCs w:val="20"/>
          <w:rtl/>
        </w:rPr>
        <w:t xml:space="preserve"> </w:t>
      </w:r>
      <w:r w:rsidRPr="00A34CF7">
        <w:rPr>
          <w:rFonts w:cs="Arial" w:hint="cs"/>
          <w:b/>
          <w:bCs/>
          <w:sz w:val="20"/>
          <w:szCs w:val="20"/>
          <w:rtl/>
        </w:rPr>
        <w:t>רשב"א</w:t>
      </w:r>
      <w:r w:rsidRPr="00A34CF7">
        <w:rPr>
          <w:rFonts w:cs="Arial" w:hint="cs"/>
          <w:sz w:val="20"/>
          <w:szCs w:val="20"/>
          <w:rtl/>
        </w:rPr>
        <w:t xml:space="preserve">. אסורה עד שתבדוק, וכ"פ </w:t>
      </w:r>
      <w:r w:rsidRPr="00A34CF7">
        <w:rPr>
          <w:rFonts w:cs="Arial" w:hint="cs"/>
          <w:b/>
          <w:bCs/>
          <w:sz w:val="20"/>
          <w:szCs w:val="20"/>
          <w:rtl/>
        </w:rPr>
        <w:t>המחבר</w:t>
      </w:r>
      <w:r w:rsidRPr="00A34CF7">
        <w:rPr>
          <w:rFonts w:cs="Arial" w:hint="cs"/>
          <w:sz w:val="20"/>
          <w:szCs w:val="20"/>
          <w:rtl/>
        </w:rPr>
        <w:t xml:space="preserve">. </w:t>
      </w:r>
      <w:r w:rsidRPr="00A34CF7">
        <w:rPr>
          <w:rFonts w:cs="Arial" w:hint="cs"/>
          <w:b/>
          <w:bCs/>
          <w:sz w:val="20"/>
          <w:szCs w:val="20"/>
          <w:rtl/>
        </w:rPr>
        <w:t>רמב"ם</w:t>
      </w:r>
      <w:r w:rsidRPr="00A34CF7">
        <w:rPr>
          <w:rFonts w:cs="Arial" w:hint="cs"/>
          <w:sz w:val="20"/>
          <w:szCs w:val="20"/>
          <w:rtl/>
        </w:rPr>
        <w:t>. מותרת ללא בדיקה.</w:t>
      </w:r>
      <w:r w:rsidRPr="00A34CF7">
        <w:rPr>
          <w:rFonts w:cs="Arial"/>
          <w:sz w:val="20"/>
          <w:szCs w:val="20"/>
          <w:rtl/>
        </w:rPr>
        <w:br/>
      </w:r>
      <w:r w:rsidRPr="00A34CF7">
        <w:rPr>
          <w:rFonts w:cs="Arial" w:hint="cs"/>
          <w:sz w:val="20"/>
          <w:szCs w:val="20"/>
          <w:rtl/>
        </w:rPr>
        <w:t xml:space="preserve">3. ווסת שאינו קבוע </w:t>
      </w:r>
      <w:r w:rsidRPr="00A34CF7">
        <w:rPr>
          <w:rFonts w:cs="Arial"/>
          <w:sz w:val="20"/>
          <w:szCs w:val="20"/>
          <w:rtl/>
        </w:rPr>
        <w:t>–</w:t>
      </w:r>
      <w:r w:rsidRPr="00A34CF7">
        <w:rPr>
          <w:rFonts w:cs="Arial" w:hint="cs"/>
          <w:sz w:val="20"/>
          <w:szCs w:val="20"/>
          <w:rtl/>
        </w:rPr>
        <w:t xml:space="preserve"> </w:t>
      </w:r>
      <w:r>
        <w:rPr>
          <w:rFonts w:cs="Arial" w:hint="cs"/>
          <w:sz w:val="20"/>
          <w:szCs w:val="20"/>
          <w:rtl/>
        </w:rPr>
        <w:t>מותרת בדיעבד ללא בדיקה, אך יום ל' עבורה דינו כווסת קבוע.</w:t>
      </w:r>
      <w:r>
        <w:rPr>
          <w:rFonts w:cs="Arial" w:hint="cs"/>
          <w:sz w:val="20"/>
          <w:szCs w:val="20"/>
          <w:rtl/>
        </w:rPr>
        <w:br/>
        <w:t>4. ואמנם, גם בווסת שאינו קבוע אינו בא עליה עד שתבדוק עצמה לפני תשמיש, ואת דברי המחבר יש ליישב.</w:t>
      </w:r>
    </w:p>
    <w:p w:rsidR="00620060" w:rsidRDefault="00620060" w:rsidP="00620060">
      <w:pPr>
        <w:rPr>
          <w:rFonts w:cs="Arial"/>
          <w:sz w:val="20"/>
          <w:szCs w:val="20"/>
          <w:rtl/>
        </w:rPr>
      </w:pPr>
      <w:r>
        <w:rPr>
          <w:rFonts w:cs="Arial"/>
          <w:sz w:val="20"/>
          <w:szCs w:val="20"/>
          <w:rtl/>
        </w:rPr>
        <w:br/>
      </w:r>
      <w:r>
        <w:rPr>
          <w:rFonts w:cs="Arial" w:hint="cs"/>
          <w:b/>
          <w:bCs/>
          <w:sz w:val="20"/>
          <w:szCs w:val="20"/>
          <w:rtl/>
        </w:rPr>
        <w:t xml:space="preserve">סעיף ה </w:t>
      </w:r>
      <w:r>
        <w:rPr>
          <w:rFonts w:cs="Arial"/>
          <w:b/>
          <w:bCs/>
          <w:sz w:val="20"/>
          <w:szCs w:val="20"/>
          <w:rtl/>
        </w:rPr>
        <w:t>–</w:t>
      </w:r>
      <w:r>
        <w:rPr>
          <w:rFonts w:cs="Arial" w:hint="cs"/>
          <w:b/>
          <w:bCs/>
          <w:sz w:val="20"/>
          <w:szCs w:val="20"/>
          <w:rtl/>
        </w:rPr>
        <w:t xml:space="preserve"> ווסת ההפלגה בדילוג</w:t>
      </w:r>
      <w:r>
        <w:rPr>
          <w:rFonts w:cs="Arial"/>
          <w:b/>
          <w:bCs/>
          <w:sz w:val="20"/>
          <w:szCs w:val="20"/>
          <w:rtl/>
        </w:rPr>
        <w:br/>
      </w:r>
      <w:r>
        <w:rPr>
          <w:rFonts w:cs="Arial" w:hint="cs"/>
          <w:b/>
          <w:bCs/>
          <w:sz w:val="20"/>
          <w:szCs w:val="20"/>
          <w:rtl/>
        </w:rPr>
        <w:t>מקור הדין</w:t>
      </w:r>
      <w:r>
        <w:rPr>
          <w:rFonts w:cs="Arial"/>
          <w:b/>
          <w:bCs/>
          <w:sz w:val="20"/>
          <w:szCs w:val="20"/>
          <w:rtl/>
        </w:rPr>
        <w:br/>
      </w:r>
      <w:r>
        <w:rPr>
          <w:rFonts w:cs="Arial" w:hint="cs"/>
          <w:b/>
          <w:bCs/>
          <w:sz w:val="20"/>
          <w:szCs w:val="20"/>
          <w:rtl/>
        </w:rPr>
        <w:t xml:space="preserve">גמרא </w:t>
      </w:r>
      <w:r>
        <w:rPr>
          <w:rFonts w:cs="Arial" w:hint="cs"/>
          <w:sz w:val="20"/>
          <w:szCs w:val="20"/>
          <w:rtl/>
        </w:rPr>
        <w:t>נידה (סד.) "</w:t>
      </w:r>
      <w:r w:rsidRPr="009E430F">
        <w:rPr>
          <w:rFonts w:cs="Arial" w:hint="cs"/>
          <w:sz w:val="20"/>
          <w:szCs w:val="20"/>
          <w:rtl/>
        </w:rPr>
        <w:t>איתמר</w:t>
      </w:r>
      <w:r w:rsidRPr="009E430F">
        <w:rPr>
          <w:rFonts w:cs="Arial"/>
          <w:sz w:val="20"/>
          <w:szCs w:val="20"/>
          <w:rtl/>
        </w:rPr>
        <w:t xml:space="preserve">, </w:t>
      </w:r>
      <w:r w:rsidRPr="009E430F">
        <w:rPr>
          <w:rFonts w:cs="Arial" w:hint="cs"/>
          <w:sz w:val="20"/>
          <w:szCs w:val="20"/>
          <w:rtl/>
        </w:rPr>
        <w:t>ראתה</w:t>
      </w:r>
      <w:r w:rsidRPr="009E430F">
        <w:rPr>
          <w:rFonts w:cs="Arial"/>
          <w:sz w:val="20"/>
          <w:szCs w:val="20"/>
          <w:rtl/>
        </w:rPr>
        <w:t xml:space="preserve"> </w:t>
      </w:r>
      <w:r w:rsidRPr="009E430F">
        <w:rPr>
          <w:rFonts w:cs="Arial" w:hint="cs"/>
          <w:sz w:val="20"/>
          <w:szCs w:val="20"/>
          <w:rtl/>
        </w:rPr>
        <w:t>יום</w:t>
      </w:r>
      <w:r w:rsidRPr="009E430F">
        <w:rPr>
          <w:rFonts w:cs="Arial"/>
          <w:sz w:val="20"/>
          <w:szCs w:val="20"/>
          <w:rtl/>
        </w:rPr>
        <w:t xml:space="preserve"> </w:t>
      </w:r>
      <w:r w:rsidRPr="009E430F">
        <w:rPr>
          <w:rFonts w:cs="Arial" w:hint="cs"/>
          <w:sz w:val="20"/>
          <w:szCs w:val="20"/>
          <w:rtl/>
        </w:rPr>
        <w:t>חמשה</w:t>
      </w:r>
      <w:r w:rsidRPr="009E430F">
        <w:rPr>
          <w:rFonts w:cs="Arial"/>
          <w:sz w:val="20"/>
          <w:szCs w:val="20"/>
          <w:rtl/>
        </w:rPr>
        <w:t xml:space="preserve"> </w:t>
      </w:r>
      <w:r w:rsidRPr="009E430F">
        <w:rPr>
          <w:rFonts w:cs="Arial" w:hint="cs"/>
          <w:sz w:val="20"/>
          <w:szCs w:val="20"/>
          <w:rtl/>
        </w:rPr>
        <w:t>עשר</w:t>
      </w:r>
      <w:r w:rsidRPr="009E430F">
        <w:rPr>
          <w:rFonts w:cs="Arial"/>
          <w:sz w:val="20"/>
          <w:szCs w:val="20"/>
          <w:rtl/>
        </w:rPr>
        <w:t xml:space="preserve"> </w:t>
      </w:r>
      <w:r w:rsidRPr="009E430F">
        <w:rPr>
          <w:rFonts w:cs="Arial" w:hint="cs"/>
          <w:sz w:val="20"/>
          <w:szCs w:val="20"/>
          <w:rtl/>
        </w:rPr>
        <w:t>לחדש</w:t>
      </w:r>
      <w:r w:rsidRPr="009E430F">
        <w:rPr>
          <w:rFonts w:cs="Arial"/>
          <w:sz w:val="20"/>
          <w:szCs w:val="20"/>
          <w:rtl/>
        </w:rPr>
        <w:t xml:space="preserve"> </w:t>
      </w:r>
      <w:r w:rsidRPr="009E430F">
        <w:rPr>
          <w:rFonts w:cs="Arial" w:hint="cs"/>
          <w:sz w:val="20"/>
          <w:szCs w:val="20"/>
          <w:rtl/>
        </w:rPr>
        <w:t>זה</w:t>
      </w:r>
      <w:r w:rsidRPr="009E430F">
        <w:rPr>
          <w:rFonts w:cs="Arial"/>
          <w:sz w:val="20"/>
          <w:szCs w:val="20"/>
          <w:rtl/>
        </w:rPr>
        <w:t xml:space="preserve">, </w:t>
      </w:r>
      <w:r w:rsidRPr="009E430F">
        <w:rPr>
          <w:rFonts w:cs="Arial" w:hint="cs"/>
          <w:sz w:val="20"/>
          <w:szCs w:val="20"/>
          <w:rtl/>
        </w:rPr>
        <w:t>ויום</w:t>
      </w:r>
      <w:r w:rsidRPr="009E430F">
        <w:rPr>
          <w:rFonts w:cs="Arial"/>
          <w:sz w:val="20"/>
          <w:szCs w:val="20"/>
          <w:rtl/>
        </w:rPr>
        <w:t xml:space="preserve"> </w:t>
      </w:r>
      <w:r w:rsidRPr="009E430F">
        <w:rPr>
          <w:rFonts w:cs="Arial" w:hint="cs"/>
          <w:sz w:val="20"/>
          <w:szCs w:val="20"/>
          <w:rtl/>
        </w:rPr>
        <w:t>ט</w:t>
      </w:r>
      <w:r w:rsidRPr="009E430F">
        <w:rPr>
          <w:rFonts w:cs="Arial"/>
          <w:sz w:val="20"/>
          <w:szCs w:val="20"/>
          <w:rtl/>
        </w:rPr>
        <w:t>"</w:t>
      </w:r>
      <w:r w:rsidRPr="009E430F">
        <w:rPr>
          <w:rFonts w:cs="Arial" w:hint="cs"/>
          <w:sz w:val="20"/>
          <w:szCs w:val="20"/>
          <w:rtl/>
        </w:rPr>
        <w:t>ז</w:t>
      </w:r>
      <w:r w:rsidRPr="009E430F">
        <w:rPr>
          <w:rFonts w:cs="Arial"/>
          <w:sz w:val="20"/>
          <w:szCs w:val="20"/>
          <w:rtl/>
        </w:rPr>
        <w:t xml:space="preserve"> </w:t>
      </w:r>
      <w:r w:rsidRPr="009E430F">
        <w:rPr>
          <w:rFonts w:cs="Arial" w:hint="cs"/>
          <w:sz w:val="20"/>
          <w:szCs w:val="20"/>
          <w:rtl/>
        </w:rPr>
        <w:t>לחדש</w:t>
      </w:r>
      <w:r w:rsidRPr="009E430F">
        <w:rPr>
          <w:rFonts w:cs="Arial"/>
          <w:sz w:val="20"/>
          <w:szCs w:val="20"/>
          <w:rtl/>
        </w:rPr>
        <w:t xml:space="preserve"> </w:t>
      </w:r>
      <w:r w:rsidRPr="009E430F">
        <w:rPr>
          <w:rFonts w:cs="Arial" w:hint="cs"/>
          <w:sz w:val="20"/>
          <w:szCs w:val="20"/>
          <w:rtl/>
        </w:rPr>
        <w:t>זה</w:t>
      </w:r>
      <w:r w:rsidRPr="009E430F">
        <w:rPr>
          <w:rFonts w:cs="Arial"/>
          <w:sz w:val="20"/>
          <w:szCs w:val="20"/>
          <w:rtl/>
        </w:rPr>
        <w:t xml:space="preserve">, </w:t>
      </w:r>
      <w:r w:rsidRPr="009E430F">
        <w:rPr>
          <w:rFonts w:cs="Arial" w:hint="cs"/>
          <w:sz w:val="20"/>
          <w:szCs w:val="20"/>
          <w:rtl/>
        </w:rPr>
        <w:t>ויום</w:t>
      </w:r>
      <w:r w:rsidRPr="009E430F">
        <w:rPr>
          <w:rFonts w:cs="Arial"/>
          <w:sz w:val="20"/>
          <w:szCs w:val="20"/>
          <w:rtl/>
        </w:rPr>
        <w:t xml:space="preserve"> </w:t>
      </w:r>
      <w:r w:rsidRPr="009E430F">
        <w:rPr>
          <w:rFonts w:cs="Arial" w:hint="cs"/>
          <w:sz w:val="20"/>
          <w:szCs w:val="20"/>
          <w:rtl/>
        </w:rPr>
        <w:t>שבעה</w:t>
      </w:r>
      <w:r w:rsidRPr="009E430F">
        <w:rPr>
          <w:rFonts w:cs="Arial"/>
          <w:sz w:val="20"/>
          <w:szCs w:val="20"/>
          <w:rtl/>
        </w:rPr>
        <w:t xml:space="preserve"> </w:t>
      </w:r>
      <w:r w:rsidRPr="009E430F">
        <w:rPr>
          <w:rFonts w:cs="Arial" w:hint="cs"/>
          <w:sz w:val="20"/>
          <w:szCs w:val="20"/>
          <w:rtl/>
        </w:rPr>
        <w:t>עשר</w:t>
      </w:r>
      <w:r w:rsidRPr="009E430F">
        <w:rPr>
          <w:rFonts w:cs="Arial"/>
          <w:sz w:val="20"/>
          <w:szCs w:val="20"/>
          <w:rtl/>
        </w:rPr>
        <w:t xml:space="preserve"> </w:t>
      </w:r>
      <w:r w:rsidRPr="009E430F">
        <w:rPr>
          <w:rFonts w:cs="Arial" w:hint="cs"/>
          <w:sz w:val="20"/>
          <w:szCs w:val="20"/>
          <w:rtl/>
        </w:rPr>
        <w:t>לחדש</w:t>
      </w:r>
      <w:r w:rsidRPr="009E430F">
        <w:rPr>
          <w:rFonts w:cs="Arial"/>
          <w:sz w:val="20"/>
          <w:szCs w:val="20"/>
          <w:rtl/>
        </w:rPr>
        <w:t xml:space="preserve"> </w:t>
      </w:r>
      <w:r w:rsidRPr="009E430F">
        <w:rPr>
          <w:rFonts w:cs="Arial" w:hint="cs"/>
          <w:sz w:val="20"/>
          <w:szCs w:val="20"/>
          <w:rtl/>
        </w:rPr>
        <w:t>זה</w:t>
      </w:r>
      <w:r w:rsidRPr="009E430F">
        <w:rPr>
          <w:rFonts w:cs="Arial"/>
          <w:sz w:val="20"/>
          <w:szCs w:val="20"/>
          <w:rtl/>
        </w:rPr>
        <w:t xml:space="preserve">. </w:t>
      </w:r>
      <w:r w:rsidRPr="009E430F">
        <w:rPr>
          <w:rFonts w:cs="Arial" w:hint="cs"/>
          <w:sz w:val="20"/>
          <w:szCs w:val="20"/>
          <w:rtl/>
        </w:rPr>
        <w:t>רב</w:t>
      </w:r>
      <w:r w:rsidRPr="009E430F">
        <w:rPr>
          <w:rFonts w:cs="Arial"/>
          <w:sz w:val="20"/>
          <w:szCs w:val="20"/>
          <w:rtl/>
        </w:rPr>
        <w:t xml:space="preserve"> </w:t>
      </w:r>
      <w:r w:rsidRPr="009E430F">
        <w:rPr>
          <w:rFonts w:cs="Arial" w:hint="cs"/>
          <w:sz w:val="20"/>
          <w:szCs w:val="20"/>
          <w:rtl/>
        </w:rPr>
        <w:t>אמר</w:t>
      </w:r>
      <w:r w:rsidRPr="009E430F">
        <w:rPr>
          <w:rFonts w:cs="Arial"/>
          <w:sz w:val="20"/>
          <w:szCs w:val="20"/>
          <w:rtl/>
        </w:rPr>
        <w:t xml:space="preserve">: </w:t>
      </w:r>
      <w:r w:rsidRPr="009E430F">
        <w:rPr>
          <w:rFonts w:cs="Arial" w:hint="cs"/>
          <w:sz w:val="20"/>
          <w:szCs w:val="20"/>
          <w:rtl/>
        </w:rPr>
        <w:t>קבעה</w:t>
      </w:r>
      <w:r w:rsidRPr="009E430F">
        <w:rPr>
          <w:rFonts w:cs="Arial"/>
          <w:sz w:val="20"/>
          <w:szCs w:val="20"/>
          <w:rtl/>
        </w:rPr>
        <w:t xml:space="preserve"> </w:t>
      </w:r>
      <w:r w:rsidRPr="009E430F">
        <w:rPr>
          <w:rFonts w:cs="Arial" w:hint="cs"/>
          <w:sz w:val="20"/>
          <w:szCs w:val="20"/>
          <w:rtl/>
        </w:rPr>
        <w:t>לה</w:t>
      </w:r>
      <w:r w:rsidRPr="009E430F">
        <w:rPr>
          <w:rFonts w:cs="Arial"/>
          <w:sz w:val="20"/>
          <w:szCs w:val="20"/>
          <w:rtl/>
        </w:rPr>
        <w:t xml:space="preserve"> </w:t>
      </w:r>
      <w:r w:rsidRPr="009E430F">
        <w:rPr>
          <w:rFonts w:cs="Arial" w:hint="cs"/>
          <w:sz w:val="20"/>
          <w:szCs w:val="20"/>
          <w:rtl/>
        </w:rPr>
        <w:t>וסת</w:t>
      </w:r>
      <w:r w:rsidRPr="009E430F">
        <w:rPr>
          <w:rFonts w:cs="Arial"/>
          <w:sz w:val="20"/>
          <w:szCs w:val="20"/>
          <w:rtl/>
        </w:rPr>
        <w:t xml:space="preserve"> </w:t>
      </w:r>
      <w:r w:rsidRPr="009E430F">
        <w:rPr>
          <w:rFonts w:cs="Arial" w:hint="cs"/>
          <w:sz w:val="20"/>
          <w:szCs w:val="20"/>
          <w:rtl/>
        </w:rPr>
        <w:t>לדילוג</w:t>
      </w:r>
      <w:r w:rsidRPr="009E430F">
        <w:rPr>
          <w:rFonts w:cs="Arial"/>
          <w:sz w:val="20"/>
          <w:szCs w:val="20"/>
          <w:rtl/>
        </w:rPr>
        <w:t xml:space="preserve">. </w:t>
      </w:r>
      <w:r w:rsidRPr="009E430F">
        <w:rPr>
          <w:rFonts w:cs="Arial" w:hint="cs"/>
          <w:sz w:val="20"/>
          <w:szCs w:val="20"/>
          <w:rtl/>
        </w:rPr>
        <w:t>ושמואל</w:t>
      </w:r>
      <w:r w:rsidRPr="009E430F">
        <w:rPr>
          <w:rFonts w:cs="Arial"/>
          <w:sz w:val="20"/>
          <w:szCs w:val="20"/>
          <w:rtl/>
        </w:rPr>
        <w:t xml:space="preserve"> </w:t>
      </w:r>
      <w:r w:rsidRPr="009E430F">
        <w:rPr>
          <w:rFonts w:cs="Arial" w:hint="cs"/>
          <w:sz w:val="20"/>
          <w:szCs w:val="20"/>
          <w:rtl/>
        </w:rPr>
        <w:t>אמר</w:t>
      </w:r>
      <w:r w:rsidRPr="009E430F">
        <w:rPr>
          <w:rFonts w:cs="Arial"/>
          <w:sz w:val="20"/>
          <w:szCs w:val="20"/>
          <w:rtl/>
        </w:rPr>
        <w:t xml:space="preserve">: </w:t>
      </w:r>
      <w:r w:rsidRPr="009E430F">
        <w:rPr>
          <w:rFonts w:cs="Arial" w:hint="cs"/>
          <w:sz w:val="20"/>
          <w:szCs w:val="20"/>
          <w:rtl/>
        </w:rPr>
        <w:t>עד</w:t>
      </w:r>
      <w:r w:rsidRPr="009E430F">
        <w:rPr>
          <w:rFonts w:cs="Arial"/>
          <w:sz w:val="20"/>
          <w:szCs w:val="20"/>
          <w:rtl/>
        </w:rPr>
        <w:t xml:space="preserve"> </w:t>
      </w:r>
      <w:r w:rsidRPr="009E430F">
        <w:rPr>
          <w:rFonts w:cs="Arial" w:hint="cs"/>
          <w:sz w:val="20"/>
          <w:szCs w:val="20"/>
          <w:rtl/>
        </w:rPr>
        <w:t>שתשלש</w:t>
      </w:r>
      <w:r w:rsidRPr="009E430F">
        <w:rPr>
          <w:rFonts w:cs="Arial"/>
          <w:sz w:val="20"/>
          <w:szCs w:val="20"/>
          <w:rtl/>
        </w:rPr>
        <w:t xml:space="preserve"> </w:t>
      </w:r>
      <w:r w:rsidRPr="009E430F">
        <w:rPr>
          <w:rFonts w:cs="Arial" w:hint="cs"/>
          <w:sz w:val="20"/>
          <w:szCs w:val="20"/>
          <w:rtl/>
        </w:rPr>
        <w:t>בדילוג</w:t>
      </w:r>
      <w:r>
        <w:rPr>
          <w:rFonts w:cs="Arial" w:hint="cs"/>
          <w:sz w:val="20"/>
          <w:szCs w:val="20"/>
          <w:rtl/>
        </w:rPr>
        <w:t>".</w:t>
      </w:r>
      <w:r>
        <w:rPr>
          <w:rFonts w:cs="Arial"/>
          <w:sz w:val="20"/>
          <w:szCs w:val="20"/>
          <w:rtl/>
        </w:rPr>
        <w:br/>
      </w:r>
      <w:r w:rsidRPr="009E430F">
        <w:rPr>
          <w:rFonts w:cs="Arial" w:hint="cs"/>
          <w:b/>
          <w:bCs/>
          <w:sz w:val="20"/>
          <w:szCs w:val="20"/>
          <w:rtl/>
        </w:rPr>
        <w:t>תוספות</w:t>
      </w:r>
      <w:r>
        <w:rPr>
          <w:rFonts w:cs="Arial" w:hint="cs"/>
          <w:sz w:val="20"/>
          <w:szCs w:val="20"/>
          <w:rtl/>
        </w:rPr>
        <w:t xml:space="preserve"> </w:t>
      </w:r>
      <w:r>
        <w:rPr>
          <w:rFonts w:cs="Arial"/>
          <w:sz w:val="20"/>
          <w:szCs w:val="20"/>
          <w:rtl/>
        </w:rPr>
        <w:t>–</w:t>
      </w:r>
      <w:r>
        <w:rPr>
          <w:rFonts w:cs="Arial" w:hint="cs"/>
          <w:sz w:val="20"/>
          <w:szCs w:val="20"/>
          <w:rtl/>
        </w:rPr>
        <w:t xml:space="preserve"> דווקא בווסת החודש בדילוג נחלקו רב ושמאול האם נקבע בשלוש ראיות או בארבע, אך ווסת דילוג שאינו תלוי בימי החודש </w:t>
      </w:r>
      <w:r w:rsidRPr="00430896">
        <w:rPr>
          <w:rFonts w:cs="Arial" w:hint="cs"/>
          <w:sz w:val="18"/>
          <w:szCs w:val="18"/>
          <w:rtl/>
        </w:rPr>
        <w:t xml:space="preserve">(קרי </w:t>
      </w:r>
      <w:r w:rsidRPr="00430896">
        <w:rPr>
          <w:rFonts w:cs="Arial"/>
          <w:sz w:val="18"/>
          <w:szCs w:val="18"/>
          <w:rtl/>
        </w:rPr>
        <w:t>–</w:t>
      </w:r>
      <w:r w:rsidRPr="00430896">
        <w:rPr>
          <w:rFonts w:cs="Arial" w:hint="cs"/>
          <w:sz w:val="18"/>
          <w:szCs w:val="18"/>
          <w:rtl/>
        </w:rPr>
        <w:t xml:space="preserve"> ווסת ההפלגה)</w:t>
      </w:r>
      <w:r>
        <w:rPr>
          <w:rFonts w:cs="Arial" w:hint="cs"/>
          <w:sz w:val="20"/>
          <w:szCs w:val="20"/>
          <w:rtl/>
        </w:rPr>
        <w:t>, כגון ראתה היום ושנייה בכ' לה ושלישית בכא' וכו', לכו"ע אין הראייה הראשונה מהמניין ובעינן ג' דילוגים.</w:t>
      </w:r>
    </w:p>
    <w:p w:rsidR="00620060" w:rsidRDefault="00620060" w:rsidP="00620060">
      <w:pPr>
        <w:rPr>
          <w:rFonts w:cs="Arial"/>
          <w:sz w:val="20"/>
          <w:szCs w:val="20"/>
          <w:rtl/>
        </w:rPr>
      </w:pPr>
      <w:r>
        <w:rPr>
          <w:rFonts w:cs="Arial" w:hint="cs"/>
          <w:b/>
          <w:bCs/>
          <w:sz w:val="20"/>
          <w:szCs w:val="20"/>
          <w:rtl/>
        </w:rPr>
        <w:t>פסיקת הלכה</w:t>
      </w:r>
      <w:r>
        <w:rPr>
          <w:rFonts w:cs="Arial"/>
          <w:b/>
          <w:bCs/>
          <w:sz w:val="20"/>
          <w:szCs w:val="20"/>
          <w:rtl/>
        </w:rPr>
        <w:br/>
      </w:r>
      <w:r>
        <w:rPr>
          <w:rFonts w:cs="Arial" w:hint="cs"/>
          <w:b/>
          <w:bCs/>
          <w:sz w:val="20"/>
          <w:szCs w:val="20"/>
          <w:rtl/>
        </w:rPr>
        <w:t>שולחן ערוך</w:t>
      </w:r>
      <w:r w:rsidRPr="00EA757E">
        <w:rPr>
          <w:rFonts w:cs="Arial" w:hint="cs"/>
          <w:b/>
          <w:bCs/>
          <w:sz w:val="18"/>
          <w:szCs w:val="18"/>
          <w:rtl/>
        </w:rPr>
        <w:t xml:space="preserve"> </w:t>
      </w:r>
      <w:r w:rsidRPr="00EA757E">
        <w:rPr>
          <w:rFonts w:cs="Arial" w:hint="cs"/>
          <w:sz w:val="18"/>
          <w:szCs w:val="18"/>
          <w:rtl/>
        </w:rPr>
        <w:t xml:space="preserve">(ע"פ </w:t>
      </w:r>
      <w:r w:rsidRPr="000660EC">
        <w:rPr>
          <w:rFonts w:cs="Arial" w:hint="cs"/>
          <w:b/>
          <w:bCs/>
          <w:sz w:val="18"/>
          <w:szCs w:val="18"/>
          <w:rtl/>
        </w:rPr>
        <w:t>הרשב"א והמגיד משנה</w:t>
      </w:r>
      <w:r w:rsidRPr="00EA757E">
        <w:rPr>
          <w:rFonts w:cs="Arial" w:hint="cs"/>
          <w:sz w:val="18"/>
          <w:szCs w:val="18"/>
          <w:rtl/>
        </w:rPr>
        <w:t xml:space="preserve">) </w:t>
      </w:r>
      <w:r>
        <w:rPr>
          <w:rFonts w:cs="Arial"/>
          <w:sz w:val="20"/>
          <w:szCs w:val="20"/>
          <w:rtl/>
        </w:rPr>
        <w:t>–</w:t>
      </w:r>
      <w:r>
        <w:rPr>
          <w:rFonts w:cs="Arial" w:hint="cs"/>
          <w:sz w:val="20"/>
          <w:szCs w:val="20"/>
          <w:rtl/>
        </w:rPr>
        <w:t xml:space="preserve"> "</w:t>
      </w:r>
      <w:r w:rsidRPr="00EA757E">
        <w:rPr>
          <w:rFonts w:cs="Arial" w:hint="cs"/>
          <w:sz w:val="20"/>
          <w:szCs w:val="20"/>
          <w:rtl/>
        </w:rPr>
        <w:t>פעמים</w:t>
      </w:r>
      <w:r w:rsidRPr="00EA757E">
        <w:rPr>
          <w:rFonts w:cs="Arial"/>
          <w:sz w:val="20"/>
          <w:szCs w:val="20"/>
          <w:rtl/>
        </w:rPr>
        <w:t xml:space="preserve"> </w:t>
      </w:r>
      <w:r w:rsidRPr="00EA757E">
        <w:rPr>
          <w:rFonts w:cs="Arial" w:hint="cs"/>
          <w:sz w:val="20"/>
          <w:szCs w:val="20"/>
          <w:rtl/>
        </w:rPr>
        <w:t>שתהיה</w:t>
      </w:r>
      <w:r w:rsidRPr="00EA757E">
        <w:rPr>
          <w:rFonts w:cs="Arial"/>
          <w:sz w:val="20"/>
          <w:szCs w:val="20"/>
          <w:rtl/>
        </w:rPr>
        <w:t xml:space="preserve"> </w:t>
      </w:r>
      <w:r w:rsidRPr="00EA757E">
        <w:rPr>
          <w:rFonts w:cs="Arial" w:hint="cs"/>
          <w:sz w:val="20"/>
          <w:szCs w:val="20"/>
          <w:rtl/>
        </w:rPr>
        <w:t>ההפלגה</w:t>
      </w:r>
      <w:r w:rsidRPr="00EA757E">
        <w:rPr>
          <w:rFonts w:cs="Arial"/>
          <w:sz w:val="20"/>
          <w:szCs w:val="20"/>
          <w:rtl/>
        </w:rPr>
        <w:t xml:space="preserve"> </w:t>
      </w:r>
      <w:r w:rsidRPr="00EA757E">
        <w:rPr>
          <w:rFonts w:cs="Arial" w:hint="cs"/>
          <w:sz w:val="20"/>
          <w:szCs w:val="20"/>
          <w:rtl/>
        </w:rPr>
        <w:t>שקובעת</w:t>
      </w:r>
      <w:r w:rsidRPr="00EA757E">
        <w:rPr>
          <w:rFonts w:cs="Arial"/>
          <w:sz w:val="20"/>
          <w:szCs w:val="20"/>
          <w:rtl/>
        </w:rPr>
        <w:t xml:space="preserve"> </w:t>
      </w:r>
      <w:r w:rsidRPr="00EA757E">
        <w:rPr>
          <w:rFonts w:cs="Arial" w:hint="cs"/>
          <w:sz w:val="20"/>
          <w:szCs w:val="20"/>
          <w:rtl/>
        </w:rPr>
        <w:t>בהם</w:t>
      </w:r>
      <w:r w:rsidRPr="00EA757E">
        <w:rPr>
          <w:rFonts w:cs="Arial"/>
          <w:sz w:val="20"/>
          <w:szCs w:val="20"/>
          <w:rtl/>
        </w:rPr>
        <w:t xml:space="preserve"> </w:t>
      </w:r>
      <w:r w:rsidRPr="00EA757E">
        <w:rPr>
          <w:rFonts w:cs="Arial" w:hint="cs"/>
          <w:sz w:val="20"/>
          <w:szCs w:val="20"/>
          <w:rtl/>
        </w:rPr>
        <w:t>הוסת</w:t>
      </w:r>
      <w:r w:rsidRPr="00EA757E">
        <w:rPr>
          <w:rFonts w:cs="Arial"/>
          <w:sz w:val="20"/>
          <w:szCs w:val="20"/>
          <w:rtl/>
        </w:rPr>
        <w:t xml:space="preserve">, </w:t>
      </w:r>
      <w:r w:rsidRPr="00EA757E">
        <w:rPr>
          <w:rFonts w:cs="Arial" w:hint="cs"/>
          <w:sz w:val="20"/>
          <w:szCs w:val="20"/>
          <w:rtl/>
        </w:rPr>
        <w:t>בדילוג</w:t>
      </w:r>
      <w:r w:rsidRPr="00EA757E">
        <w:rPr>
          <w:rFonts w:cs="Arial"/>
          <w:sz w:val="20"/>
          <w:szCs w:val="20"/>
          <w:rtl/>
        </w:rPr>
        <w:t xml:space="preserve">. </w:t>
      </w:r>
      <w:r>
        <w:rPr>
          <w:rFonts w:cs="Arial" w:hint="cs"/>
          <w:sz w:val="20"/>
          <w:szCs w:val="20"/>
          <w:rtl/>
        </w:rPr>
        <w:br/>
      </w:r>
      <w:r w:rsidRPr="00EA757E">
        <w:rPr>
          <w:rFonts w:cs="Arial" w:hint="cs"/>
          <w:sz w:val="20"/>
          <w:szCs w:val="20"/>
          <w:rtl/>
        </w:rPr>
        <w:t>כגון</w:t>
      </w:r>
      <w:r w:rsidRPr="00EA757E">
        <w:rPr>
          <w:rFonts w:cs="Arial"/>
          <w:sz w:val="20"/>
          <w:szCs w:val="20"/>
          <w:rtl/>
        </w:rPr>
        <w:t xml:space="preserve"> </w:t>
      </w:r>
      <w:r w:rsidRPr="00EA757E">
        <w:rPr>
          <w:rFonts w:cs="Arial" w:hint="cs"/>
          <w:sz w:val="20"/>
          <w:szCs w:val="20"/>
          <w:rtl/>
        </w:rPr>
        <w:t>שראתה</w:t>
      </w:r>
      <w:r w:rsidRPr="00EA757E">
        <w:rPr>
          <w:rFonts w:cs="Arial"/>
          <w:sz w:val="20"/>
          <w:szCs w:val="20"/>
          <w:rtl/>
        </w:rPr>
        <w:t xml:space="preserve"> </w:t>
      </w:r>
      <w:r w:rsidRPr="00EA757E">
        <w:rPr>
          <w:rFonts w:cs="Arial" w:hint="cs"/>
          <w:sz w:val="20"/>
          <w:szCs w:val="20"/>
          <w:rtl/>
        </w:rPr>
        <w:t>היום</w:t>
      </w:r>
      <w:r w:rsidRPr="00EA757E">
        <w:rPr>
          <w:rFonts w:cs="Arial"/>
          <w:sz w:val="20"/>
          <w:szCs w:val="20"/>
          <w:rtl/>
        </w:rPr>
        <w:t xml:space="preserve">, </w:t>
      </w:r>
      <w:r w:rsidRPr="00EA757E">
        <w:rPr>
          <w:rFonts w:cs="Arial" w:hint="cs"/>
          <w:sz w:val="20"/>
          <w:szCs w:val="20"/>
          <w:rtl/>
        </w:rPr>
        <w:t>וראתה</w:t>
      </w:r>
      <w:r w:rsidRPr="00EA757E">
        <w:rPr>
          <w:rFonts w:cs="Arial"/>
          <w:sz w:val="20"/>
          <w:szCs w:val="20"/>
          <w:rtl/>
        </w:rPr>
        <w:t xml:space="preserve"> </w:t>
      </w:r>
      <w:r w:rsidRPr="00EA757E">
        <w:rPr>
          <w:rFonts w:cs="Arial" w:hint="cs"/>
          <w:sz w:val="20"/>
          <w:szCs w:val="20"/>
          <w:rtl/>
        </w:rPr>
        <w:t>שנית</w:t>
      </w:r>
      <w:r w:rsidRPr="00EA757E">
        <w:rPr>
          <w:rFonts w:cs="Arial"/>
          <w:sz w:val="20"/>
          <w:szCs w:val="20"/>
          <w:rtl/>
        </w:rPr>
        <w:t xml:space="preserve"> </w:t>
      </w:r>
      <w:r w:rsidRPr="00EA757E">
        <w:rPr>
          <w:rFonts w:cs="Arial" w:hint="cs"/>
          <w:sz w:val="20"/>
          <w:szCs w:val="20"/>
          <w:rtl/>
        </w:rPr>
        <w:t>לסוף</w:t>
      </w:r>
      <w:r w:rsidRPr="00EA757E">
        <w:rPr>
          <w:rFonts w:cs="Arial"/>
          <w:sz w:val="20"/>
          <w:szCs w:val="20"/>
          <w:rtl/>
        </w:rPr>
        <w:t xml:space="preserve"> </w:t>
      </w:r>
      <w:r w:rsidRPr="00EA757E">
        <w:rPr>
          <w:rFonts w:cs="Arial" w:hint="cs"/>
          <w:sz w:val="20"/>
          <w:szCs w:val="20"/>
          <w:rtl/>
        </w:rPr>
        <w:t>ל</w:t>
      </w:r>
      <w:r w:rsidRPr="00EA757E">
        <w:rPr>
          <w:rFonts w:cs="Arial"/>
          <w:sz w:val="20"/>
          <w:szCs w:val="20"/>
          <w:rtl/>
        </w:rPr>
        <w:t xml:space="preserve">', </w:t>
      </w:r>
      <w:r w:rsidRPr="00EA757E">
        <w:rPr>
          <w:rFonts w:cs="Arial" w:hint="cs"/>
          <w:sz w:val="20"/>
          <w:szCs w:val="20"/>
          <w:rtl/>
        </w:rPr>
        <w:t>ושלישית</w:t>
      </w:r>
      <w:r w:rsidRPr="00EA757E">
        <w:rPr>
          <w:rFonts w:cs="Arial"/>
          <w:sz w:val="20"/>
          <w:szCs w:val="20"/>
          <w:rtl/>
        </w:rPr>
        <w:t xml:space="preserve"> </w:t>
      </w:r>
      <w:r w:rsidRPr="00EA757E">
        <w:rPr>
          <w:rFonts w:cs="Arial" w:hint="cs"/>
          <w:sz w:val="20"/>
          <w:szCs w:val="20"/>
          <w:rtl/>
        </w:rPr>
        <w:t>לל</w:t>
      </w:r>
      <w:r w:rsidRPr="00EA757E">
        <w:rPr>
          <w:rFonts w:cs="Arial"/>
          <w:sz w:val="20"/>
          <w:szCs w:val="20"/>
          <w:rtl/>
        </w:rPr>
        <w:t>"</w:t>
      </w:r>
      <w:r w:rsidRPr="00EA757E">
        <w:rPr>
          <w:rFonts w:cs="Arial" w:hint="cs"/>
          <w:sz w:val="20"/>
          <w:szCs w:val="20"/>
          <w:rtl/>
        </w:rPr>
        <w:t>א</w:t>
      </w:r>
      <w:r w:rsidRPr="00EA757E">
        <w:rPr>
          <w:rFonts w:cs="Arial"/>
          <w:sz w:val="20"/>
          <w:szCs w:val="20"/>
          <w:rtl/>
        </w:rPr>
        <w:t xml:space="preserve">, </w:t>
      </w:r>
      <w:r w:rsidRPr="00EA757E">
        <w:rPr>
          <w:rFonts w:cs="Arial" w:hint="cs"/>
          <w:sz w:val="20"/>
          <w:szCs w:val="20"/>
          <w:rtl/>
        </w:rPr>
        <w:t>ורביעית</w:t>
      </w:r>
      <w:r w:rsidRPr="00EA757E">
        <w:rPr>
          <w:rFonts w:cs="Arial"/>
          <w:sz w:val="20"/>
          <w:szCs w:val="20"/>
          <w:rtl/>
        </w:rPr>
        <w:t xml:space="preserve"> </w:t>
      </w:r>
      <w:r w:rsidRPr="00EA757E">
        <w:rPr>
          <w:rFonts w:cs="Arial" w:hint="cs"/>
          <w:sz w:val="20"/>
          <w:szCs w:val="20"/>
          <w:rtl/>
        </w:rPr>
        <w:t>לל</w:t>
      </w:r>
      <w:r w:rsidRPr="00EA757E">
        <w:rPr>
          <w:rFonts w:cs="Arial"/>
          <w:sz w:val="20"/>
          <w:szCs w:val="20"/>
          <w:rtl/>
        </w:rPr>
        <w:t>"</w:t>
      </w:r>
      <w:r w:rsidRPr="00EA757E">
        <w:rPr>
          <w:rFonts w:cs="Arial" w:hint="cs"/>
          <w:sz w:val="20"/>
          <w:szCs w:val="20"/>
          <w:rtl/>
        </w:rPr>
        <w:t>ב</w:t>
      </w:r>
      <w:r w:rsidRPr="00EA757E">
        <w:rPr>
          <w:rFonts w:cs="Arial"/>
          <w:sz w:val="20"/>
          <w:szCs w:val="20"/>
          <w:rtl/>
        </w:rPr>
        <w:t xml:space="preserve">, </w:t>
      </w:r>
      <w:r w:rsidRPr="00EA757E">
        <w:rPr>
          <w:rFonts w:cs="Arial" w:hint="cs"/>
          <w:sz w:val="20"/>
          <w:szCs w:val="20"/>
          <w:rtl/>
        </w:rPr>
        <w:t>קבעה</w:t>
      </w:r>
      <w:r w:rsidRPr="00EA757E">
        <w:rPr>
          <w:rFonts w:cs="Arial"/>
          <w:sz w:val="20"/>
          <w:szCs w:val="20"/>
          <w:rtl/>
        </w:rPr>
        <w:t xml:space="preserve"> </w:t>
      </w:r>
      <w:r w:rsidRPr="00EA757E">
        <w:rPr>
          <w:rFonts w:cs="Arial" w:hint="cs"/>
          <w:sz w:val="20"/>
          <w:szCs w:val="20"/>
          <w:rtl/>
        </w:rPr>
        <w:t>וסת</w:t>
      </w:r>
      <w:r w:rsidRPr="00EA757E">
        <w:rPr>
          <w:rFonts w:cs="Arial"/>
          <w:sz w:val="20"/>
          <w:szCs w:val="20"/>
          <w:rtl/>
        </w:rPr>
        <w:t xml:space="preserve"> </w:t>
      </w:r>
      <w:r w:rsidRPr="00EA757E">
        <w:rPr>
          <w:rFonts w:cs="Arial" w:hint="cs"/>
          <w:sz w:val="20"/>
          <w:szCs w:val="20"/>
          <w:rtl/>
        </w:rPr>
        <w:t>לדילוג</w:t>
      </w:r>
      <w:r w:rsidRPr="00EA757E">
        <w:rPr>
          <w:rFonts w:cs="Arial"/>
          <w:sz w:val="20"/>
          <w:szCs w:val="20"/>
          <w:rtl/>
        </w:rPr>
        <w:t xml:space="preserve"> </w:t>
      </w:r>
      <w:r w:rsidRPr="00EA757E">
        <w:rPr>
          <w:rFonts w:cs="Arial" w:hint="cs"/>
          <w:sz w:val="20"/>
          <w:szCs w:val="20"/>
          <w:rtl/>
        </w:rPr>
        <w:t>של</w:t>
      </w:r>
      <w:r w:rsidRPr="00EA757E">
        <w:rPr>
          <w:rFonts w:cs="Arial"/>
          <w:sz w:val="20"/>
          <w:szCs w:val="20"/>
          <w:rtl/>
        </w:rPr>
        <w:t xml:space="preserve"> </w:t>
      </w:r>
      <w:r w:rsidRPr="00EA757E">
        <w:rPr>
          <w:rFonts w:cs="Arial" w:hint="cs"/>
          <w:sz w:val="20"/>
          <w:szCs w:val="20"/>
          <w:rtl/>
        </w:rPr>
        <w:t>הפלגות</w:t>
      </w:r>
      <w:r w:rsidRPr="00EA757E">
        <w:rPr>
          <w:rFonts w:cs="Arial"/>
          <w:sz w:val="20"/>
          <w:szCs w:val="20"/>
          <w:rtl/>
        </w:rPr>
        <w:t xml:space="preserve">. </w:t>
      </w:r>
      <w:r>
        <w:rPr>
          <w:rFonts w:cs="Arial"/>
          <w:sz w:val="20"/>
          <w:szCs w:val="20"/>
          <w:rtl/>
        </w:rPr>
        <w:br/>
      </w:r>
      <w:r w:rsidRPr="00EA757E">
        <w:rPr>
          <w:rFonts w:cs="Arial" w:hint="cs"/>
          <w:sz w:val="20"/>
          <w:szCs w:val="20"/>
          <w:rtl/>
        </w:rPr>
        <w:t>בין</w:t>
      </w:r>
      <w:r w:rsidRPr="00EA757E">
        <w:rPr>
          <w:rFonts w:cs="Arial"/>
          <w:sz w:val="20"/>
          <w:szCs w:val="20"/>
          <w:rtl/>
        </w:rPr>
        <w:t xml:space="preserve"> </w:t>
      </w:r>
      <w:r w:rsidRPr="00EA757E">
        <w:rPr>
          <w:rFonts w:cs="Arial" w:hint="cs"/>
          <w:sz w:val="20"/>
          <w:szCs w:val="20"/>
          <w:rtl/>
        </w:rPr>
        <w:t>שהרחיקה</w:t>
      </w:r>
      <w:r w:rsidRPr="00EA757E">
        <w:rPr>
          <w:rFonts w:cs="Arial"/>
          <w:sz w:val="20"/>
          <w:szCs w:val="20"/>
          <w:rtl/>
        </w:rPr>
        <w:t xml:space="preserve"> </w:t>
      </w:r>
      <w:r w:rsidRPr="00EA757E">
        <w:rPr>
          <w:rFonts w:cs="Arial" w:hint="cs"/>
          <w:sz w:val="20"/>
          <w:szCs w:val="20"/>
          <w:rtl/>
        </w:rPr>
        <w:t>דילוגה</w:t>
      </w:r>
      <w:r w:rsidRPr="00EA757E">
        <w:rPr>
          <w:rFonts w:cs="Arial"/>
          <w:sz w:val="20"/>
          <w:szCs w:val="20"/>
          <w:rtl/>
        </w:rPr>
        <w:t xml:space="preserve"> </w:t>
      </w:r>
      <w:r w:rsidRPr="00EA757E">
        <w:rPr>
          <w:rFonts w:cs="Arial" w:hint="cs"/>
          <w:sz w:val="20"/>
          <w:szCs w:val="20"/>
          <w:rtl/>
        </w:rPr>
        <w:t>הרבה</w:t>
      </w:r>
      <w:r w:rsidRPr="00EA757E">
        <w:rPr>
          <w:rFonts w:cs="Arial"/>
          <w:sz w:val="20"/>
          <w:szCs w:val="20"/>
          <w:rtl/>
        </w:rPr>
        <w:t xml:space="preserve">, </w:t>
      </w:r>
      <w:r w:rsidRPr="00EA757E">
        <w:rPr>
          <w:rFonts w:cs="Arial" w:hint="cs"/>
          <w:sz w:val="20"/>
          <w:szCs w:val="20"/>
          <w:rtl/>
        </w:rPr>
        <w:t>בין</w:t>
      </w:r>
      <w:r w:rsidRPr="00EA757E">
        <w:rPr>
          <w:rFonts w:cs="Arial"/>
          <w:sz w:val="20"/>
          <w:szCs w:val="20"/>
          <w:rtl/>
        </w:rPr>
        <w:t xml:space="preserve"> </w:t>
      </w:r>
      <w:r w:rsidRPr="00EA757E">
        <w:rPr>
          <w:rFonts w:cs="Arial" w:hint="cs"/>
          <w:sz w:val="20"/>
          <w:szCs w:val="20"/>
          <w:rtl/>
        </w:rPr>
        <w:t>שלא</w:t>
      </w:r>
      <w:r w:rsidRPr="00EA757E">
        <w:rPr>
          <w:rFonts w:cs="Arial"/>
          <w:sz w:val="20"/>
          <w:szCs w:val="20"/>
          <w:rtl/>
        </w:rPr>
        <w:t xml:space="preserve"> </w:t>
      </w:r>
      <w:r w:rsidRPr="00EA757E">
        <w:rPr>
          <w:rFonts w:cs="Arial" w:hint="cs"/>
          <w:sz w:val="20"/>
          <w:szCs w:val="20"/>
          <w:rtl/>
        </w:rPr>
        <w:t>הרחיקה</w:t>
      </w:r>
      <w:r w:rsidRPr="00EA757E">
        <w:rPr>
          <w:rFonts w:cs="Arial"/>
          <w:sz w:val="20"/>
          <w:szCs w:val="20"/>
          <w:rtl/>
        </w:rPr>
        <w:t xml:space="preserve"> </w:t>
      </w:r>
      <w:r w:rsidRPr="00EA757E">
        <w:rPr>
          <w:rFonts w:cs="Arial" w:hint="cs"/>
          <w:sz w:val="20"/>
          <w:szCs w:val="20"/>
          <w:rtl/>
        </w:rPr>
        <w:t>אלא</w:t>
      </w:r>
      <w:r w:rsidRPr="00EA757E">
        <w:rPr>
          <w:rFonts w:cs="Arial"/>
          <w:sz w:val="20"/>
          <w:szCs w:val="20"/>
          <w:rtl/>
        </w:rPr>
        <w:t xml:space="preserve"> </w:t>
      </w:r>
      <w:r w:rsidRPr="00EA757E">
        <w:rPr>
          <w:rFonts w:cs="Arial" w:hint="cs"/>
          <w:sz w:val="20"/>
          <w:szCs w:val="20"/>
          <w:rtl/>
        </w:rPr>
        <w:t>יום</w:t>
      </w:r>
      <w:r w:rsidRPr="00EA757E">
        <w:rPr>
          <w:rFonts w:cs="Arial"/>
          <w:sz w:val="20"/>
          <w:szCs w:val="20"/>
          <w:rtl/>
        </w:rPr>
        <w:t xml:space="preserve"> </w:t>
      </w:r>
      <w:r w:rsidRPr="00EA757E">
        <w:rPr>
          <w:rFonts w:cs="Arial" w:hint="cs"/>
          <w:sz w:val="20"/>
          <w:szCs w:val="20"/>
          <w:rtl/>
        </w:rPr>
        <w:t>אחד</w:t>
      </w:r>
      <w:r w:rsidRPr="00EA757E">
        <w:rPr>
          <w:rFonts w:cs="Arial"/>
          <w:sz w:val="20"/>
          <w:szCs w:val="20"/>
          <w:rtl/>
        </w:rPr>
        <w:t xml:space="preserve">, </w:t>
      </w:r>
      <w:r w:rsidRPr="00EA757E">
        <w:rPr>
          <w:rFonts w:cs="Arial" w:hint="cs"/>
          <w:sz w:val="20"/>
          <w:szCs w:val="20"/>
          <w:rtl/>
        </w:rPr>
        <w:t>קבעה</w:t>
      </w:r>
      <w:r w:rsidRPr="00EA757E">
        <w:rPr>
          <w:rFonts w:cs="Arial"/>
          <w:sz w:val="20"/>
          <w:szCs w:val="20"/>
          <w:rtl/>
        </w:rPr>
        <w:t xml:space="preserve"> </w:t>
      </w:r>
      <w:r w:rsidRPr="00EA757E">
        <w:rPr>
          <w:rFonts w:cs="Arial" w:hint="cs"/>
          <w:sz w:val="20"/>
          <w:szCs w:val="20"/>
          <w:rtl/>
        </w:rPr>
        <w:t>וסת</w:t>
      </w:r>
      <w:r w:rsidRPr="00EA757E">
        <w:rPr>
          <w:rFonts w:cs="Arial"/>
          <w:sz w:val="20"/>
          <w:szCs w:val="20"/>
          <w:rtl/>
        </w:rPr>
        <w:t xml:space="preserve"> </w:t>
      </w:r>
      <w:r w:rsidRPr="00EA757E">
        <w:rPr>
          <w:rFonts w:cs="Arial" w:hint="cs"/>
          <w:sz w:val="20"/>
          <w:szCs w:val="20"/>
          <w:rtl/>
        </w:rPr>
        <w:t>לדילוג</w:t>
      </w:r>
      <w:r w:rsidRPr="00EA757E">
        <w:rPr>
          <w:rFonts w:cs="Arial"/>
          <w:sz w:val="20"/>
          <w:szCs w:val="20"/>
          <w:rtl/>
        </w:rPr>
        <w:t xml:space="preserve"> </w:t>
      </w:r>
      <w:r w:rsidRPr="00EA757E">
        <w:rPr>
          <w:rFonts w:cs="Arial" w:hint="cs"/>
          <w:sz w:val="20"/>
          <w:szCs w:val="20"/>
          <w:rtl/>
        </w:rPr>
        <w:t>השו</w:t>
      </w:r>
      <w:r>
        <w:rPr>
          <w:rFonts w:cs="Arial" w:hint="cs"/>
          <w:sz w:val="20"/>
          <w:szCs w:val="20"/>
          <w:rtl/>
        </w:rPr>
        <w:t>ו</w:t>
      </w:r>
      <w:r w:rsidRPr="00EA757E">
        <w:rPr>
          <w:rFonts w:cs="Arial" w:hint="cs"/>
          <w:sz w:val="20"/>
          <w:szCs w:val="20"/>
          <w:rtl/>
        </w:rPr>
        <w:t>ה</w:t>
      </w:r>
      <w:r w:rsidRPr="00EA757E">
        <w:rPr>
          <w:rFonts w:cs="Arial"/>
          <w:sz w:val="20"/>
          <w:szCs w:val="20"/>
          <w:rtl/>
        </w:rPr>
        <w:t xml:space="preserve">. </w:t>
      </w:r>
      <w:r>
        <w:rPr>
          <w:rFonts w:cs="Arial"/>
          <w:sz w:val="20"/>
          <w:szCs w:val="20"/>
          <w:rtl/>
        </w:rPr>
        <w:br/>
      </w:r>
      <w:r w:rsidRPr="00EA757E">
        <w:rPr>
          <w:rFonts w:cs="Arial" w:hint="cs"/>
          <w:sz w:val="20"/>
          <w:szCs w:val="20"/>
          <w:rtl/>
        </w:rPr>
        <w:t>שבכל</w:t>
      </w:r>
      <w:r w:rsidRPr="00EA757E">
        <w:rPr>
          <w:rFonts w:cs="Arial"/>
          <w:sz w:val="20"/>
          <w:szCs w:val="20"/>
          <w:rtl/>
        </w:rPr>
        <w:t xml:space="preserve"> </w:t>
      </w:r>
      <w:r w:rsidRPr="00EA757E">
        <w:rPr>
          <w:rFonts w:cs="Arial" w:hint="cs"/>
          <w:sz w:val="20"/>
          <w:szCs w:val="20"/>
          <w:rtl/>
        </w:rPr>
        <w:t>ענין</w:t>
      </w:r>
      <w:r w:rsidRPr="00EA757E">
        <w:rPr>
          <w:rFonts w:cs="Arial"/>
          <w:sz w:val="20"/>
          <w:szCs w:val="20"/>
          <w:rtl/>
        </w:rPr>
        <w:t xml:space="preserve"> </w:t>
      </w:r>
      <w:r w:rsidRPr="00EA757E">
        <w:rPr>
          <w:rFonts w:cs="Arial" w:hint="cs"/>
          <w:sz w:val="20"/>
          <w:szCs w:val="20"/>
          <w:rtl/>
        </w:rPr>
        <w:t>שתהא</w:t>
      </w:r>
      <w:r w:rsidRPr="00EA757E">
        <w:rPr>
          <w:rFonts w:cs="Arial"/>
          <w:sz w:val="20"/>
          <w:szCs w:val="20"/>
          <w:rtl/>
        </w:rPr>
        <w:t xml:space="preserve"> </w:t>
      </w:r>
      <w:r w:rsidRPr="00EA757E">
        <w:rPr>
          <w:rFonts w:cs="Arial" w:hint="cs"/>
          <w:sz w:val="20"/>
          <w:szCs w:val="20"/>
          <w:rtl/>
        </w:rPr>
        <w:t>משוה</w:t>
      </w:r>
      <w:r w:rsidRPr="00EA757E">
        <w:rPr>
          <w:rFonts w:cs="Arial"/>
          <w:sz w:val="20"/>
          <w:szCs w:val="20"/>
          <w:rtl/>
        </w:rPr>
        <w:t xml:space="preserve"> </w:t>
      </w:r>
      <w:r w:rsidRPr="00EA757E">
        <w:rPr>
          <w:rFonts w:cs="Arial" w:hint="cs"/>
          <w:sz w:val="20"/>
          <w:szCs w:val="20"/>
          <w:rtl/>
        </w:rPr>
        <w:t>ראייתה</w:t>
      </w:r>
      <w:r w:rsidRPr="00EA757E">
        <w:rPr>
          <w:rFonts w:cs="Arial"/>
          <w:sz w:val="20"/>
          <w:szCs w:val="20"/>
          <w:rtl/>
        </w:rPr>
        <w:t xml:space="preserve">, </w:t>
      </w:r>
      <w:r w:rsidRPr="00EA757E">
        <w:rPr>
          <w:rFonts w:cs="Arial" w:hint="cs"/>
          <w:sz w:val="20"/>
          <w:szCs w:val="20"/>
          <w:rtl/>
        </w:rPr>
        <w:t>קבעה</w:t>
      </w:r>
      <w:r w:rsidRPr="00EA757E">
        <w:rPr>
          <w:rFonts w:cs="Arial"/>
          <w:sz w:val="20"/>
          <w:szCs w:val="20"/>
          <w:rtl/>
        </w:rPr>
        <w:t xml:space="preserve"> </w:t>
      </w:r>
      <w:r w:rsidRPr="00EA757E">
        <w:rPr>
          <w:rFonts w:cs="Arial" w:hint="cs"/>
          <w:sz w:val="20"/>
          <w:szCs w:val="20"/>
          <w:rtl/>
        </w:rPr>
        <w:t>לה</w:t>
      </w:r>
      <w:r w:rsidRPr="00EA757E">
        <w:rPr>
          <w:rFonts w:cs="Arial"/>
          <w:sz w:val="20"/>
          <w:szCs w:val="20"/>
          <w:rtl/>
        </w:rPr>
        <w:t xml:space="preserve"> </w:t>
      </w:r>
      <w:r w:rsidRPr="00EA757E">
        <w:rPr>
          <w:rFonts w:cs="Arial" w:hint="cs"/>
          <w:sz w:val="20"/>
          <w:szCs w:val="20"/>
          <w:rtl/>
        </w:rPr>
        <w:t>וסת</w:t>
      </w:r>
      <w:r>
        <w:rPr>
          <w:rFonts w:cs="Arial" w:hint="cs"/>
          <w:sz w:val="20"/>
          <w:szCs w:val="20"/>
          <w:rtl/>
        </w:rPr>
        <w:t>".</w:t>
      </w:r>
    </w:p>
    <w:p w:rsidR="00620060" w:rsidRDefault="00620060" w:rsidP="00620060">
      <w:pPr>
        <w:rPr>
          <w:rFonts w:cs="Arial"/>
          <w:sz w:val="20"/>
          <w:szCs w:val="20"/>
          <w:rtl/>
        </w:rPr>
      </w:pPr>
      <w:r>
        <w:rPr>
          <w:rFonts w:cs="Arial" w:hint="cs"/>
          <w:sz w:val="20"/>
          <w:szCs w:val="20"/>
          <w:u w:val="single"/>
          <w:rtl/>
        </w:rPr>
        <w:t>פרטים נוספים בדין זה (ש"ך)</w:t>
      </w:r>
      <w:r>
        <w:rPr>
          <w:rFonts w:cs="Arial"/>
          <w:sz w:val="20"/>
          <w:szCs w:val="20"/>
          <w:u w:val="single"/>
          <w:rtl/>
        </w:rPr>
        <w:br/>
      </w:r>
      <w:r>
        <w:rPr>
          <w:rFonts w:cs="Arial" w:hint="cs"/>
          <w:sz w:val="20"/>
          <w:szCs w:val="20"/>
          <w:rtl/>
        </w:rPr>
        <w:t>א. הוא הדין אם דילגה למפרע, כגון שראתה לכט' וראייה שנייה לכח' וכו'.</w:t>
      </w:r>
      <w:r>
        <w:rPr>
          <w:rFonts w:cs="Arial"/>
          <w:sz w:val="20"/>
          <w:szCs w:val="20"/>
          <w:rtl/>
        </w:rPr>
        <w:br/>
      </w:r>
      <w:r>
        <w:rPr>
          <w:rFonts w:cs="Arial" w:hint="cs"/>
          <w:sz w:val="20"/>
          <w:szCs w:val="20"/>
          <w:rtl/>
        </w:rPr>
        <w:t>ב. '</w:t>
      </w:r>
      <w:r w:rsidRPr="00EA757E">
        <w:rPr>
          <w:rFonts w:cs="Arial" w:hint="cs"/>
          <w:sz w:val="20"/>
          <w:szCs w:val="20"/>
          <w:rtl/>
        </w:rPr>
        <w:t>בין</w:t>
      </w:r>
      <w:r w:rsidRPr="00EA757E">
        <w:rPr>
          <w:rFonts w:cs="Arial"/>
          <w:sz w:val="20"/>
          <w:szCs w:val="20"/>
          <w:rtl/>
        </w:rPr>
        <w:t xml:space="preserve"> </w:t>
      </w:r>
      <w:r w:rsidRPr="00EA757E">
        <w:rPr>
          <w:rFonts w:cs="Arial" w:hint="cs"/>
          <w:sz w:val="20"/>
          <w:szCs w:val="20"/>
          <w:rtl/>
        </w:rPr>
        <w:t>שהרחיקה</w:t>
      </w:r>
      <w:r w:rsidRPr="00EA757E">
        <w:rPr>
          <w:rFonts w:cs="Arial"/>
          <w:sz w:val="20"/>
          <w:szCs w:val="20"/>
          <w:rtl/>
        </w:rPr>
        <w:t xml:space="preserve"> </w:t>
      </w:r>
      <w:r w:rsidRPr="00EA757E">
        <w:rPr>
          <w:rFonts w:cs="Arial" w:hint="cs"/>
          <w:sz w:val="20"/>
          <w:szCs w:val="20"/>
          <w:rtl/>
        </w:rPr>
        <w:t>דילוגה</w:t>
      </w:r>
      <w:r w:rsidRPr="00EA757E">
        <w:rPr>
          <w:rFonts w:cs="Arial"/>
          <w:sz w:val="20"/>
          <w:szCs w:val="20"/>
          <w:rtl/>
        </w:rPr>
        <w:t xml:space="preserve"> </w:t>
      </w:r>
      <w:r w:rsidRPr="00EA757E">
        <w:rPr>
          <w:rFonts w:cs="Arial" w:hint="cs"/>
          <w:sz w:val="20"/>
          <w:szCs w:val="20"/>
          <w:rtl/>
        </w:rPr>
        <w:t>הרבה</w:t>
      </w:r>
      <w:r>
        <w:rPr>
          <w:rFonts w:cs="Arial" w:hint="cs"/>
          <w:sz w:val="20"/>
          <w:szCs w:val="20"/>
          <w:rtl/>
        </w:rPr>
        <w:t xml:space="preserve">' </w:t>
      </w:r>
      <w:r>
        <w:rPr>
          <w:rFonts w:cs="Arial"/>
          <w:sz w:val="20"/>
          <w:szCs w:val="20"/>
          <w:rtl/>
        </w:rPr>
        <w:t>–</w:t>
      </w:r>
      <w:r>
        <w:rPr>
          <w:rFonts w:cs="Arial" w:hint="cs"/>
          <w:sz w:val="20"/>
          <w:szCs w:val="20"/>
          <w:rtl/>
        </w:rPr>
        <w:t xml:space="preserve"> כגון שראתה ללב' וראייה שנייה ללד' וכו'.</w:t>
      </w:r>
      <w:r>
        <w:rPr>
          <w:rStyle w:val="a5"/>
          <w:rFonts w:cs="Arial"/>
          <w:sz w:val="20"/>
          <w:szCs w:val="20"/>
          <w:rtl/>
        </w:rPr>
        <w:footnoteReference w:id="176"/>
      </w:r>
      <w:r>
        <w:rPr>
          <w:rFonts w:cs="Arial"/>
          <w:sz w:val="20"/>
          <w:szCs w:val="20"/>
          <w:rtl/>
        </w:rPr>
        <w:br/>
      </w:r>
      <w:r>
        <w:rPr>
          <w:rFonts w:cs="Arial" w:hint="cs"/>
          <w:sz w:val="20"/>
          <w:szCs w:val="20"/>
          <w:rtl/>
        </w:rPr>
        <w:t>ג. '</w:t>
      </w:r>
      <w:r w:rsidRPr="00EA757E">
        <w:rPr>
          <w:rFonts w:cs="Arial" w:hint="cs"/>
          <w:sz w:val="20"/>
          <w:szCs w:val="20"/>
          <w:rtl/>
        </w:rPr>
        <w:t>שבכל</w:t>
      </w:r>
      <w:r w:rsidRPr="00EA757E">
        <w:rPr>
          <w:rFonts w:cs="Arial"/>
          <w:sz w:val="20"/>
          <w:szCs w:val="20"/>
          <w:rtl/>
        </w:rPr>
        <w:t xml:space="preserve"> </w:t>
      </w:r>
      <w:r w:rsidRPr="00EA757E">
        <w:rPr>
          <w:rFonts w:cs="Arial" w:hint="cs"/>
          <w:sz w:val="20"/>
          <w:szCs w:val="20"/>
          <w:rtl/>
        </w:rPr>
        <w:t>ענין</w:t>
      </w:r>
      <w:r w:rsidRPr="00EA757E">
        <w:rPr>
          <w:rFonts w:cs="Arial"/>
          <w:sz w:val="20"/>
          <w:szCs w:val="20"/>
          <w:rtl/>
        </w:rPr>
        <w:t xml:space="preserve"> </w:t>
      </w:r>
      <w:r w:rsidRPr="00EA757E">
        <w:rPr>
          <w:rFonts w:cs="Arial" w:hint="cs"/>
          <w:sz w:val="20"/>
          <w:szCs w:val="20"/>
          <w:rtl/>
        </w:rPr>
        <w:t>שתהא</w:t>
      </w:r>
      <w:r w:rsidRPr="00EA757E">
        <w:rPr>
          <w:rFonts w:cs="Arial"/>
          <w:sz w:val="20"/>
          <w:szCs w:val="20"/>
          <w:rtl/>
        </w:rPr>
        <w:t xml:space="preserve"> </w:t>
      </w:r>
      <w:r w:rsidRPr="00EA757E">
        <w:rPr>
          <w:rFonts w:cs="Arial" w:hint="cs"/>
          <w:sz w:val="20"/>
          <w:szCs w:val="20"/>
          <w:rtl/>
        </w:rPr>
        <w:t>משוה</w:t>
      </w:r>
      <w:r w:rsidRPr="00EA757E">
        <w:rPr>
          <w:rFonts w:cs="Arial"/>
          <w:sz w:val="20"/>
          <w:szCs w:val="20"/>
          <w:rtl/>
        </w:rPr>
        <w:t xml:space="preserve"> </w:t>
      </w:r>
      <w:r w:rsidRPr="00EA757E">
        <w:rPr>
          <w:rFonts w:cs="Arial" w:hint="cs"/>
          <w:sz w:val="20"/>
          <w:szCs w:val="20"/>
          <w:rtl/>
        </w:rPr>
        <w:t>ראייתה</w:t>
      </w:r>
      <w:r w:rsidRPr="00EA757E">
        <w:rPr>
          <w:rFonts w:cs="Arial"/>
          <w:sz w:val="20"/>
          <w:szCs w:val="20"/>
          <w:rtl/>
        </w:rPr>
        <w:t xml:space="preserve">, </w:t>
      </w:r>
      <w:r w:rsidRPr="00EA757E">
        <w:rPr>
          <w:rFonts w:cs="Arial" w:hint="cs"/>
          <w:sz w:val="20"/>
          <w:szCs w:val="20"/>
          <w:rtl/>
        </w:rPr>
        <w:t>קבעה</w:t>
      </w:r>
      <w:r w:rsidRPr="00EA757E">
        <w:rPr>
          <w:rFonts w:cs="Arial"/>
          <w:sz w:val="20"/>
          <w:szCs w:val="20"/>
          <w:rtl/>
        </w:rPr>
        <w:t xml:space="preserve"> </w:t>
      </w:r>
      <w:r w:rsidRPr="00EA757E">
        <w:rPr>
          <w:rFonts w:cs="Arial" w:hint="cs"/>
          <w:sz w:val="20"/>
          <w:szCs w:val="20"/>
          <w:rtl/>
        </w:rPr>
        <w:t>לה</w:t>
      </w:r>
      <w:r w:rsidRPr="00EA757E">
        <w:rPr>
          <w:rFonts w:cs="Arial"/>
          <w:sz w:val="20"/>
          <w:szCs w:val="20"/>
          <w:rtl/>
        </w:rPr>
        <w:t xml:space="preserve"> </w:t>
      </w:r>
      <w:r w:rsidRPr="00EA757E">
        <w:rPr>
          <w:rFonts w:cs="Arial" w:hint="cs"/>
          <w:sz w:val="20"/>
          <w:szCs w:val="20"/>
          <w:rtl/>
        </w:rPr>
        <w:t>וסת</w:t>
      </w:r>
      <w:r>
        <w:rPr>
          <w:rFonts w:cs="Arial" w:hint="cs"/>
          <w:sz w:val="20"/>
          <w:szCs w:val="20"/>
          <w:rtl/>
        </w:rPr>
        <w:t xml:space="preserve">' </w:t>
      </w:r>
      <w:r>
        <w:rPr>
          <w:rFonts w:cs="Arial"/>
          <w:sz w:val="20"/>
          <w:szCs w:val="20"/>
          <w:rtl/>
        </w:rPr>
        <w:t>–</w:t>
      </w:r>
      <w:r>
        <w:rPr>
          <w:rFonts w:cs="Arial" w:hint="cs"/>
          <w:sz w:val="20"/>
          <w:szCs w:val="20"/>
          <w:rtl/>
        </w:rPr>
        <w:t xml:space="preserve"> לאפוקי דילגה פעם אחת יום אחד ואח"כ ב' ימים.</w:t>
      </w:r>
    </w:p>
    <w:p w:rsidR="00620060" w:rsidRDefault="00620060" w:rsidP="00620060">
      <w:pPr>
        <w:rPr>
          <w:rFonts w:cs="Arial"/>
          <w:sz w:val="20"/>
          <w:szCs w:val="20"/>
          <w:rtl/>
        </w:rPr>
      </w:pPr>
      <w:r>
        <w:rPr>
          <w:rFonts w:cs="Arial" w:hint="cs"/>
          <w:sz w:val="20"/>
          <w:szCs w:val="20"/>
          <w:u w:val="single"/>
          <w:rtl/>
        </w:rPr>
        <w:t>האם פסק המחבר כאן אליבא דכולי עלמא?</w:t>
      </w:r>
      <w:r>
        <w:rPr>
          <w:rFonts w:cs="Arial" w:hint="cs"/>
          <w:sz w:val="20"/>
          <w:szCs w:val="20"/>
          <w:u w:val="single"/>
          <w:rtl/>
        </w:rPr>
        <w:br/>
      </w:r>
      <w:r w:rsidRPr="005D0061">
        <w:rPr>
          <w:rFonts w:cs="Arial" w:hint="cs"/>
          <w:b/>
          <w:bCs/>
          <w:sz w:val="20"/>
          <w:szCs w:val="20"/>
          <w:rtl/>
        </w:rPr>
        <w:t>ט"ז וש"ך</w:t>
      </w:r>
      <w:r>
        <w:rPr>
          <w:rFonts w:cs="Arial" w:hint="cs"/>
          <w:sz w:val="20"/>
          <w:szCs w:val="20"/>
          <w:rtl/>
        </w:rPr>
        <w:t xml:space="preserve"> </w:t>
      </w:r>
      <w:r>
        <w:rPr>
          <w:rFonts w:cs="Arial"/>
          <w:sz w:val="20"/>
          <w:szCs w:val="20"/>
          <w:rtl/>
        </w:rPr>
        <w:t>–</w:t>
      </w:r>
      <w:r>
        <w:rPr>
          <w:rFonts w:cs="Arial" w:hint="cs"/>
          <w:sz w:val="20"/>
          <w:szCs w:val="20"/>
          <w:rtl/>
        </w:rPr>
        <w:t xml:space="preserve"> דברי המחבר כאן שסגי בד' ראיות לקביעת ווסת הדילוג, אינם אליבא דכו"ע.</w:t>
      </w:r>
      <w:r>
        <w:rPr>
          <w:rFonts w:cs="Arial"/>
          <w:sz w:val="20"/>
          <w:szCs w:val="20"/>
          <w:rtl/>
        </w:rPr>
        <w:br/>
      </w:r>
      <w:r>
        <w:rPr>
          <w:rFonts w:cs="Arial" w:hint="cs"/>
          <w:sz w:val="20"/>
          <w:szCs w:val="20"/>
          <w:rtl/>
        </w:rPr>
        <w:t xml:space="preserve">כלומר </w:t>
      </w:r>
      <w:r>
        <w:rPr>
          <w:rFonts w:cs="Arial"/>
          <w:sz w:val="20"/>
          <w:szCs w:val="20"/>
          <w:rtl/>
        </w:rPr>
        <w:t>–</w:t>
      </w:r>
      <w:r>
        <w:rPr>
          <w:rFonts w:cs="Arial" w:hint="cs"/>
          <w:sz w:val="20"/>
          <w:szCs w:val="20"/>
          <w:rtl/>
        </w:rPr>
        <w:t xml:space="preserve"> שמואל חולק על האמור כאן, ודעתו שלקביעת ווסת הדילוג בעיא ה' ראיות, מפני שדילוג הראשון אינו מן המניין.</w:t>
      </w:r>
      <w:r>
        <w:rPr>
          <w:rFonts w:cs="Arial" w:hint="cs"/>
          <w:sz w:val="20"/>
          <w:szCs w:val="20"/>
          <w:rtl/>
        </w:rPr>
        <w:br/>
      </w:r>
      <w:r>
        <w:rPr>
          <w:rFonts w:cs="Arial" w:hint="cs"/>
          <w:sz w:val="20"/>
          <w:szCs w:val="20"/>
          <w:rtl/>
        </w:rPr>
        <w:br/>
      </w:r>
      <w:r>
        <w:rPr>
          <w:rFonts w:cs="Arial" w:hint="cs"/>
          <w:b/>
          <w:bCs/>
          <w:sz w:val="20"/>
          <w:szCs w:val="20"/>
          <w:rtl/>
        </w:rPr>
        <w:t>סיכום</w:t>
      </w:r>
      <w:r>
        <w:rPr>
          <w:rFonts w:cs="Arial"/>
          <w:b/>
          <w:bCs/>
          <w:sz w:val="20"/>
          <w:szCs w:val="20"/>
          <w:rtl/>
        </w:rPr>
        <w:br/>
      </w:r>
      <w:r>
        <w:rPr>
          <w:rFonts w:cs="Arial" w:hint="cs"/>
          <w:sz w:val="20"/>
          <w:szCs w:val="20"/>
          <w:rtl/>
        </w:rPr>
        <w:t xml:space="preserve">1. </w:t>
      </w:r>
      <w:r w:rsidRPr="00C5311A">
        <w:rPr>
          <w:rFonts w:cs="Arial" w:hint="cs"/>
          <w:b/>
          <w:bCs/>
          <w:sz w:val="20"/>
          <w:szCs w:val="20"/>
          <w:rtl/>
        </w:rPr>
        <w:t>גמרא</w:t>
      </w:r>
      <w:r>
        <w:rPr>
          <w:rFonts w:cs="Arial" w:hint="cs"/>
          <w:sz w:val="20"/>
          <w:szCs w:val="20"/>
          <w:rtl/>
        </w:rPr>
        <w:t xml:space="preserve">. ווסת דילוג בימי החודש. </w:t>
      </w:r>
      <w:r w:rsidRPr="00C5311A">
        <w:rPr>
          <w:rFonts w:cs="Arial" w:hint="cs"/>
          <w:sz w:val="20"/>
          <w:szCs w:val="20"/>
          <w:u w:val="single"/>
          <w:rtl/>
        </w:rPr>
        <w:t>רב</w:t>
      </w:r>
      <w:r>
        <w:rPr>
          <w:rFonts w:cs="Arial" w:hint="cs"/>
          <w:sz w:val="20"/>
          <w:szCs w:val="20"/>
          <w:rtl/>
        </w:rPr>
        <w:t xml:space="preserve">. נקבע בג' ראיות. </w:t>
      </w:r>
      <w:r w:rsidRPr="00C5311A">
        <w:rPr>
          <w:rFonts w:cs="Arial" w:hint="cs"/>
          <w:sz w:val="20"/>
          <w:szCs w:val="20"/>
          <w:u w:val="single"/>
          <w:rtl/>
        </w:rPr>
        <w:t>שמואל</w:t>
      </w:r>
      <w:r>
        <w:rPr>
          <w:rFonts w:cs="Arial" w:hint="cs"/>
          <w:sz w:val="20"/>
          <w:szCs w:val="20"/>
          <w:rtl/>
        </w:rPr>
        <w:t>. נקבע בד' ראיות.</w:t>
      </w:r>
      <w:r>
        <w:rPr>
          <w:rFonts w:cs="Arial"/>
          <w:sz w:val="20"/>
          <w:szCs w:val="20"/>
          <w:rtl/>
        </w:rPr>
        <w:br/>
      </w:r>
      <w:r>
        <w:rPr>
          <w:rFonts w:cs="Arial" w:hint="cs"/>
          <w:sz w:val="20"/>
          <w:szCs w:val="20"/>
          <w:rtl/>
        </w:rPr>
        <w:t xml:space="preserve">2. </w:t>
      </w:r>
      <w:r w:rsidRPr="00C5311A">
        <w:rPr>
          <w:rFonts w:cs="Arial" w:hint="cs"/>
          <w:b/>
          <w:bCs/>
          <w:sz w:val="20"/>
          <w:szCs w:val="20"/>
          <w:rtl/>
        </w:rPr>
        <w:t>תוספות</w:t>
      </w:r>
      <w:r>
        <w:rPr>
          <w:rFonts w:cs="Arial" w:hint="cs"/>
          <w:sz w:val="20"/>
          <w:szCs w:val="20"/>
          <w:rtl/>
        </w:rPr>
        <w:t>. בווסת ההפלגה לכו"ע אין ראייה הראשונה מהמניין, ובעיא ג' דילוגים.</w:t>
      </w:r>
      <w:r>
        <w:rPr>
          <w:rFonts w:cs="Arial"/>
          <w:sz w:val="20"/>
          <w:szCs w:val="20"/>
          <w:rtl/>
        </w:rPr>
        <w:br/>
      </w:r>
      <w:r>
        <w:rPr>
          <w:rFonts w:cs="Arial" w:hint="cs"/>
          <w:sz w:val="20"/>
          <w:szCs w:val="20"/>
          <w:rtl/>
        </w:rPr>
        <w:t xml:space="preserve">3. </w:t>
      </w:r>
      <w:r w:rsidRPr="00C5311A">
        <w:rPr>
          <w:rFonts w:cs="Arial" w:hint="cs"/>
          <w:b/>
          <w:bCs/>
          <w:sz w:val="20"/>
          <w:szCs w:val="20"/>
          <w:rtl/>
        </w:rPr>
        <w:t>מחבר</w:t>
      </w:r>
      <w:r>
        <w:rPr>
          <w:rFonts w:cs="Arial" w:hint="cs"/>
          <w:sz w:val="20"/>
          <w:szCs w:val="20"/>
          <w:rtl/>
        </w:rPr>
        <w:t xml:space="preserve">. ראתה היום, שניה לסוף ל', שלישית לסוף לא', רביעית ללב' </w:t>
      </w:r>
      <w:r>
        <w:rPr>
          <w:rFonts w:cs="Arial"/>
          <w:sz w:val="20"/>
          <w:szCs w:val="20"/>
          <w:rtl/>
        </w:rPr>
        <w:t>–</w:t>
      </w:r>
      <w:r>
        <w:rPr>
          <w:rFonts w:cs="Arial" w:hint="cs"/>
          <w:sz w:val="20"/>
          <w:szCs w:val="20"/>
          <w:rtl/>
        </w:rPr>
        <w:t xml:space="preserve"> קבעה ווסת לדילוג.</w:t>
      </w:r>
      <w:r>
        <w:rPr>
          <w:rFonts w:cs="Arial"/>
          <w:sz w:val="20"/>
          <w:szCs w:val="20"/>
          <w:rtl/>
        </w:rPr>
        <w:br/>
      </w:r>
      <w:r>
        <w:rPr>
          <w:rFonts w:cs="Arial" w:hint="cs"/>
          <w:sz w:val="20"/>
          <w:szCs w:val="20"/>
          <w:rtl/>
        </w:rPr>
        <w:t xml:space="preserve">4. </w:t>
      </w:r>
      <w:r w:rsidRPr="00C5311A">
        <w:rPr>
          <w:rFonts w:cs="Arial" w:hint="cs"/>
          <w:b/>
          <w:bCs/>
          <w:sz w:val="20"/>
          <w:szCs w:val="20"/>
          <w:rtl/>
        </w:rPr>
        <w:t>ש"ך</w:t>
      </w:r>
      <w:r>
        <w:rPr>
          <w:rFonts w:cs="Arial" w:hint="cs"/>
          <w:sz w:val="20"/>
          <w:szCs w:val="20"/>
          <w:rtl/>
        </w:rPr>
        <w:t>. ה"ה בדילוג למפרע. ה"ה בדילוג של יומיים וכו'. לאפוקי דילוג אחד של א' ודילוג אחד של ב'.</w:t>
      </w:r>
      <w:r>
        <w:rPr>
          <w:rFonts w:cs="Arial" w:hint="cs"/>
          <w:sz w:val="20"/>
          <w:szCs w:val="20"/>
          <w:rtl/>
        </w:rPr>
        <w:br/>
        <w:t xml:space="preserve">5. </w:t>
      </w:r>
      <w:r w:rsidRPr="00C5311A">
        <w:rPr>
          <w:rFonts w:cs="Arial" w:hint="cs"/>
          <w:b/>
          <w:bCs/>
          <w:sz w:val="20"/>
          <w:szCs w:val="20"/>
          <w:rtl/>
        </w:rPr>
        <w:t>ט"ז וש"ך</w:t>
      </w:r>
      <w:r>
        <w:rPr>
          <w:rFonts w:cs="Arial" w:hint="cs"/>
          <w:sz w:val="20"/>
          <w:szCs w:val="20"/>
          <w:rtl/>
        </w:rPr>
        <w:t>. פסק המחבר א"ש לרב, אך לשמואל בעיא ה' ראיות משום שהדילוג הראשון אינו נמנה.</w:t>
      </w:r>
    </w:p>
    <w:p w:rsidR="00620060" w:rsidRDefault="00620060" w:rsidP="00620060">
      <w:pPr>
        <w:rPr>
          <w:rFonts w:cs="Arial"/>
          <w:sz w:val="20"/>
          <w:szCs w:val="20"/>
          <w:rtl/>
        </w:rPr>
      </w:pPr>
      <w:r>
        <w:rPr>
          <w:rFonts w:cs="Arial"/>
          <w:sz w:val="20"/>
          <w:szCs w:val="20"/>
          <w:rtl/>
        </w:rPr>
        <w:br/>
      </w:r>
      <w:r>
        <w:rPr>
          <w:rFonts w:cs="Arial" w:hint="cs"/>
          <w:b/>
          <w:bCs/>
          <w:sz w:val="20"/>
          <w:szCs w:val="20"/>
          <w:rtl/>
        </w:rPr>
        <w:t xml:space="preserve">סעיף ו </w:t>
      </w:r>
      <w:r>
        <w:rPr>
          <w:rFonts w:cs="Arial"/>
          <w:b/>
          <w:bCs/>
          <w:sz w:val="20"/>
          <w:szCs w:val="20"/>
          <w:rtl/>
        </w:rPr>
        <w:t>–</w:t>
      </w:r>
      <w:r>
        <w:rPr>
          <w:rFonts w:cs="Arial" w:hint="cs"/>
          <w:b/>
          <w:bCs/>
          <w:sz w:val="20"/>
          <w:szCs w:val="20"/>
          <w:rtl/>
        </w:rPr>
        <w:t xml:space="preserve"> ווסת השבוע וווסת החודש</w:t>
      </w:r>
      <w:r>
        <w:rPr>
          <w:rFonts w:cs="Arial"/>
          <w:b/>
          <w:bCs/>
          <w:sz w:val="20"/>
          <w:szCs w:val="20"/>
          <w:rtl/>
        </w:rPr>
        <w:br/>
      </w:r>
      <w:r>
        <w:rPr>
          <w:rFonts w:cs="Arial" w:hint="cs"/>
          <w:b/>
          <w:bCs/>
          <w:sz w:val="20"/>
          <w:szCs w:val="20"/>
          <w:rtl/>
        </w:rPr>
        <w:t xml:space="preserve">ווסת החודש </w:t>
      </w:r>
      <w:r>
        <w:rPr>
          <w:rFonts w:cs="Arial"/>
          <w:b/>
          <w:bCs/>
          <w:sz w:val="20"/>
          <w:szCs w:val="20"/>
          <w:rtl/>
        </w:rPr>
        <w:t>–</w:t>
      </w:r>
      <w:r>
        <w:rPr>
          <w:rFonts w:cs="Arial" w:hint="cs"/>
          <w:b/>
          <w:bCs/>
          <w:sz w:val="20"/>
          <w:szCs w:val="20"/>
          <w:rtl/>
        </w:rPr>
        <w:t xml:space="preserve"> מקור הדין</w:t>
      </w:r>
      <w:r>
        <w:rPr>
          <w:rFonts w:cs="Arial"/>
          <w:b/>
          <w:bCs/>
          <w:sz w:val="20"/>
          <w:szCs w:val="20"/>
          <w:rtl/>
        </w:rPr>
        <w:br/>
      </w:r>
      <w:r>
        <w:rPr>
          <w:rFonts w:cs="Arial" w:hint="cs"/>
          <w:b/>
          <w:bCs/>
          <w:sz w:val="20"/>
          <w:szCs w:val="20"/>
          <w:rtl/>
        </w:rPr>
        <w:t xml:space="preserve">גמרא </w:t>
      </w:r>
      <w:r>
        <w:rPr>
          <w:rFonts w:cs="Arial" w:hint="cs"/>
          <w:sz w:val="20"/>
          <w:szCs w:val="20"/>
          <w:rtl/>
        </w:rPr>
        <w:t>נידה (לט:) "</w:t>
      </w:r>
      <w:r w:rsidRPr="009765C5">
        <w:rPr>
          <w:rFonts w:cs="Arial" w:hint="cs"/>
          <w:sz w:val="20"/>
          <w:szCs w:val="20"/>
          <w:rtl/>
        </w:rPr>
        <w:t>א</w:t>
      </w:r>
      <w:r>
        <w:rPr>
          <w:rFonts w:cs="Arial" w:hint="cs"/>
          <w:sz w:val="20"/>
          <w:szCs w:val="20"/>
          <w:rtl/>
        </w:rPr>
        <w:t xml:space="preserve">מר </w:t>
      </w:r>
      <w:r w:rsidRPr="009765C5">
        <w:rPr>
          <w:rFonts w:cs="Arial" w:hint="cs"/>
          <w:sz w:val="20"/>
          <w:szCs w:val="20"/>
          <w:rtl/>
        </w:rPr>
        <w:t>ר</w:t>
      </w:r>
      <w:r>
        <w:rPr>
          <w:rFonts w:cs="Arial" w:hint="cs"/>
          <w:sz w:val="20"/>
          <w:szCs w:val="20"/>
          <w:rtl/>
        </w:rPr>
        <w:t>בי</w:t>
      </w:r>
      <w:r w:rsidRPr="009765C5">
        <w:rPr>
          <w:rFonts w:cs="Arial"/>
          <w:sz w:val="20"/>
          <w:szCs w:val="20"/>
          <w:rtl/>
        </w:rPr>
        <w:t xml:space="preserve"> </w:t>
      </w:r>
      <w:r w:rsidRPr="009765C5">
        <w:rPr>
          <w:rFonts w:cs="Arial" w:hint="cs"/>
          <w:sz w:val="20"/>
          <w:szCs w:val="20"/>
          <w:rtl/>
        </w:rPr>
        <w:t>יוחנן</w:t>
      </w:r>
      <w:r w:rsidRPr="009765C5">
        <w:rPr>
          <w:rFonts w:cs="Arial"/>
          <w:sz w:val="20"/>
          <w:szCs w:val="20"/>
          <w:rtl/>
        </w:rPr>
        <w:t xml:space="preserve">, </w:t>
      </w:r>
      <w:r w:rsidRPr="009765C5">
        <w:rPr>
          <w:rFonts w:cs="Arial" w:hint="cs"/>
          <w:sz w:val="20"/>
          <w:szCs w:val="20"/>
          <w:rtl/>
        </w:rPr>
        <w:t>כגון</w:t>
      </w:r>
      <w:r w:rsidRPr="009765C5">
        <w:rPr>
          <w:rFonts w:cs="Arial"/>
          <w:sz w:val="20"/>
          <w:szCs w:val="20"/>
          <w:rtl/>
        </w:rPr>
        <w:t xml:space="preserve"> </w:t>
      </w:r>
      <w:r w:rsidRPr="009765C5">
        <w:rPr>
          <w:rFonts w:cs="Arial" w:hint="cs"/>
          <w:sz w:val="20"/>
          <w:szCs w:val="20"/>
          <w:rtl/>
        </w:rPr>
        <w:t>דחזאי</w:t>
      </w:r>
      <w:r w:rsidRPr="009765C5">
        <w:rPr>
          <w:rFonts w:cs="Arial"/>
          <w:sz w:val="20"/>
          <w:szCs w:val="20"/>
          <w:rtl/>
        </w:rPr>
        <w:t xml:space="preserve"> </w:t>
      </w:r>
      <w:r w:rsidRPr="009765C5">
        <w:rPr>
          <w:rFonts w:cs="Arial" w:hint="cs"/>
          <w:sz w:val="20"/>
          <w:szCs w:val="20"/>
          <w:rtl/>
        </w:rPr>
        <w:t>ריש</w:t>
      </w:r>
      <w:r w:rsidRPr="009765C5">
        <w:rPr>
          <w:rFonts w:cs="Arial"/>
          <w:sz w:val="20"/>
          <w:szCs w:val="20"/>
          <w:rtl/>
        </w:rPr>
        <w:t xml:space="preserve"> </w:t>
      </w:r>
      <w:r w:rsidRPr="009765C5">
        <w:rPr>
          <w:rFonts w:cs="Arial" w:hint="cs"/>
          <w:sz w:val="20"/>
          <w:szCs w:val="20"/>
          <w:rtl/>
        </w:rPr>
        <w:t>ירחא</w:t>
      </w:r>
      <w:r w:rsidRPr="009765C5">
        <w:rPr>
          <w:rFonts w:cs="Arial"/>
          <w:sz w:val="20"/>
          <w:szCs w:val="20"/>
          <w:rtl/>
        </w:rPr>
        <w:t xml:space="preserve">, </w:t>
      </w:r>
      <w:r w:rsidRPr="009765C5">
        <w:rPr>
          <w:rFonts w:cs="Arial" w:hint="cs"/>
          <w:sz w:val="20"/>
          <w:szCs w:val="20"/>
          <w:rtl/>
        </w:rPr>
        <w:t>וריש</w:t>
      </w:r>
      <w:r w:rsidRPr="009765C5">
        <w:rPr>
          <w:rFonts w:cs="Arial"/>
          <w:sz w:val="20"/>
          <w:szCs w:val="20"/>
          <w:rtl/>
        </w:rPr>
        <w:t xml:space="preserve"> </w:t>
      </w:r>
      <w:r w:rsidRPr="009765C5">
        <w:rPr>
          <w:rFonts w:cs="Arial" w:hint="cs"/>
          <w:sz w:val="20"/>
          <w:szCs w:val="20"/>
          <w:rtl/>
        </w:rPr>
        <w:t>ירחא</w:t>
      </w:r>
      <w:r w:rsidRPr="009765C5">
        <w:rPr>
          <w:rFonts w:cs="Arial"/>
          <w:sz w:val="20"/>
          <w:szCs w:val="20"/>
          <w:rtl/>
        </w:rPr>
        <w:t xml:space="preserve">, </w:t>
      </w:r>
      <w:r w:rsidRPr="009765C5">
        <w:rPr>
          <w:rFonts w:cs="Arial" w:hint="cs"/>
          <w:sz w:val="20"/>
          <w:szCs w:val="20"/>
          <w:rtl/>
        </w:rPr>
        <w:t>ועשרין</w:t>
      </w:r>
      <w:r w:rsidRPr="009765C5">
        <w:rPr>
          <w:rFonts w:cs="Arial"/>
          <w:sz w:val="20"/>
          <w:szCs w:val="20"/>
          <w:rtl/>
        </w:rPr>
        <w:t xml:space="preserve"> </w:t>
      </w:r>
      <w:r w:rsidRPr="009765C5">
        <w:rPr>
          <w:rFonts w:cs="Arial" w:hint="cs"/>
          <w:sz w:val="20"/>
          <w:szCs w:val="20"/>
          <w:rtl/>
        </w:rPr>
        <w:t>וחמשה</w:t>
      </w:r>
      <w:r w:rsidRPr="009765C5">
        <w:rPr>
          <w:rFonts w:cs="Arial"/>
          <w:sz w:val="20"/>
          <w:szCs w:val="20"/>
          <w:rtl/>
        </w:rPr>
        <w:t xml:space="preserve"> </w:t>
      </w:r>
      <w:r w:rsidRPr="009765C5">
        <w:rPr>
          <w:rFonts w:cs="Arial" w:hint="cs"/>
          <w:sz w:val="20"/>
          <w:szCs w:val="20"/>
          <w:rtl/>
        </w:rPr>
        <w:t>בירחא</w:t>
      </w:r>
      <w:r w:rsidRPr="009765C5">
        <w:rPr>
          <w:rFonts w:cs="Arial"/>
          <w:sz w:val="20"/>
          <w:szCs w:val="20"/>
          <w:rtl/>
        </w:rPr>
        <w:t xml:space="preserve">, </w:t>
      </w:r>
      <w:r w:rsidRPr="009765C5">
        <w:rPr>
          <w:rFonts w:cs="Arial" w:hint="cs"/>
          <w:sz w:val="20"/>
          <w:szCs w:val="20"/>
          <w:rtl/>
        </w:rPr>
        <w:t>וריש</w:t>
      </w:r>
      <w:r w:rsidRPr="009765C5">
        <w:rPr>
          <w:rFonts w:cs="Arial"/>
          <w:sz w:val="20"/>
          <w:szCs w:val="20"/>
          <w:rtl/>
        </w:rPr>
        <w:t xml:space="preserve"> </w:t>
      </w:r>
      <w:r w:rsidRPr="009765C5">
        <w:rPr>
          <w:rFonts w:cs="Arial" w:hint="cs"/>
          <w:sz w:val="20"/>
          <w:szCs w:val="20"/>
          <w:rtl/>
        </w:rPr>
        <w:t>ירחא</w:t>
      </w:r>
      <w:r w:rsidRPr="009765C5">
        <w:rPr>
          <w:rFonts w:cs="Arial"/>
          <w:sz w:val="20"/>
          <w:szCs w:val="20"/>
          <w:rtl/>
        </w:rPr>
        <w:t xml:space="preserve">, </w:t>
      </w:r>
      <w:r w:rsidRPr="009765C5">
        <w:rPr>
          <w:rFonts w:cs="Arial" w:hint="cs"/>
          <w:sz w:val="20"/>
          <w:szCs w:val="20"/>
          <w:rtl/>
        </w:rPr>
        <w:t>דאמרינן</w:t>
      </w:r>
      <w:r w:rsidRPr="009765C5">
        <w:rPr>
          <w:rFonts w:cs="Arial"/>
          <w:sz w:val="20"/>
          <w:szCs w:val="20"/>
          <w:rtl/>
        </w:rPr>
        <w:t xml:space="preserve"> </w:t>
      </w:r>
      <w:r w:rsidRPr="009765C5">
        <w:rPr>
          <w:rFonts w:cs="Arial" w:hint="cs"/>
          <w:sz w:val="20"/>
          <w:szCs w:val="20"/>
          <w:rtl/>
        </w:rPr>
        <w:t>דמי</w:t>
      </w:r>
      <w:r w:rsidRPr="009765C5">
        <w:rPr>
          <w:rFonts w:cs="Arial"/>
          <w:sz w:val="20"/>
          <w:szCs w:val="20"/>
          <w:rtl/>
        </w:rPr>
        <w:t xml:space="preserve"> </w:t>
      </w:r>
      <w:r w:rsidRPr="009765C5">
        <w:rPr>
          <w:rFonts w:cs="Arial" w:hint="cs"/>
          <w:sz w:val="20"/>
          <w:szCs w:val="20"/>
          <w:rtl/>
        </w:rPr>
        <w:t>יתירי</w:t>
      </w:r>
      <w:r w:rsidRPr="009765C5">
        <w:rPr>
          <w:rFonts w:cs="Arial"/>
          <w:sz w:val="20"/>
          <w:szCs w:val="20"/>
          <w:rtl/>
        </w:rPr>
        <w:t xml:space="preserve"> </w:t>
      </w:r>
      <w:r w:rsidRPr="009765C5">
        <w:rPr>
          <w:rFonts w:cs="Arial" w:hint="cs"/>
          <w:sz w:val="20"/>
          <w:szCs w:val="20"/>
          <w:rtl/>
        </w:rPr>
        <w:t>הוא</w:t>
      </w:r>
      <w:r w:rsidRPr="009765C5">
        <w:rPr>
          <w:rFonts w:cs="Arial"/>
          <w:sz w:val="20"/>
          <w:szCs w:val="20"/>
          <w:rtl/>
        </w:rPr>
        <w:t xml:space="preserve"> </w:t>
      </w:r>
      <w:r w:rsidRPr="009765C5">
        <w:rPr>
          <w:rFonts w:cs="Arial" w:hint="cs"/>
          <w:sz w:val="20"/>
          <w:szCs w:val="20"/>
          <w:rtl/>
        </w:rPr>
        <w:t>דאתוספו</w:t>
      </w:r>
      <w:r w:rsidRPr="009765C5">
        <w:rPr>
          <w:rFonts w:cs="Arial"/>
          <w:sz w:val="20"/>
          <w:szCs w:val="20"/>
          <w:rtl/>
        </w:rPr>
        <w:t xml:space="preserve"> </w:t>
      </w:r>
      <w:r w:rsidRPr="009765C5">
        <w:rPr>
          <w:rFonts w:cs="Arial" w:hint="cs"/>
          <w:sz w:val="20"/>
          <w:szCs w:val="20"/>
          <w:rtl/>
        </w:rPr>
        <w:t>בה</w:t>
      </w:r>
      <w:r>
        <w:rPr>
          <w:rFonts w:cs="Arial" w:hint="cs"/>
          <w:sz w:val="20"/>
          <w:szCs w:val="20"/>
          <w:rtl/>
        </w:rPr>
        <w:t>".</w:t>
      </w:r>
      <w:r>
        <w:rPr>
          <w:rFonts w:cs="Arial" w:hint="cs"/>
          <w:sz w:val="20"/>
          <w:szCs w:val="20"/>
          <w:rtl/>
        </w:rPr>
        <w:br/>
      </w:r>
      <w:r w:rsidRPr="00442A4C">
        <w:rPr>
          <w:rFonts w:cs="Arial" w:hint="cs"/>
          <w:b/>
          <w:bCs/>
          <w:sz w:val="20"/>
          <w:szCs w:val="20"/>
          <w:rtl/>
        </w:rPr>
        <w:t>תוספות</w:t>
      </w:r>
      <w:r>
        <w:rPr>
          <w:rFonts w:cs="Arial" w:hint="cs"/>
          <w:sz w:val="20"/>
          <w:szCs w:val="20"/>
          <w:rtl/>
        </w:rPr>
        <w:t xml:space="preserve"> </w:t>
      </w:r>
      <w:r>
        <w:rPr>
          <w:rFonts w:cs="Arial"/>
          <w:sz w:val="20"/>
          <w:szCs w:val="20"/>
          <w:rtl/>
        </w:rPr>
        <w:t>–</w:t>
      </w:r>
      <w:r>
        <w:rPr>
          <w:rFonts w:cs="Arial" w:hint="cs"/>
          <w:sz w:val="20"/>
          <w:szCs w:val="20"/>
          <w:rtl/>
        </w:rPr>
        <w:t xml:space="preserve"> קביעת ווסת לימי החודש נאמרה אפילו כשחודש אחד מלא ואחד חסר. </w:t>
      </w:r>
      <w:r>
        <w:rPr>
          <w:rFonts w:cs="Arial"/>
          <w:sz w:val="20"/>
          <w:szCs w:val="20"/>
          <w:rtl/>
        </w:rPr>
        <w:br/>
      </w:r>
      <w:r>
        <w:rPr>
          <w:rFonts w:cs="Arial" w:hint="cs"/>
          <w:sz w:val="20"/>
          <w:szCs w:val="20"/>
          <w:rtl/>
        </w:rPr>
        <w:lastRenderedPageBreak/>
        <w:t>כלומר, אע"פ שההפלגות אינן שוות, מכל מקום קבעה לה ווסת.</w:t>
      </w:r>
      <w:r>
        <w:rPr>
          <w:rStyle w:val="a5"/>
          <w:rFonts w:cs="Arial"/>
          <w:sz w:val="20"/>
          <w:szCs w:val="20"/>
          <w:rtl/>
        </w:rPr>
        <w:footnoteReference w:id="177"/>
      </w:r>
      <w:r>
        <w:rPr>
          <w:rFonts w:cs="Arial" w:hint="cs"/>
          <w:sz w:val="20"/>
          <w:szCs w:val="20"/>
          <w:rtl/>
        </w:rPr>
        <w:t xml:space="preserve"> </w:t>
      </w:r>
      <w:r>
        <w:rPr>
          <w:rFonts w:cs="Arial" w:hint="cs"/>
          <w:sz w:val="20"/>
          <w:szCs w:val="20"/>
          <w:rtl/>
        </w:rPr>
        <w:br/>
      </w:r>
      <w:r w:rsidRPr="005A2468">
        <w:rPr>
          <w:rFonts w:cs="Arial" w:hint="cs"/>
          <w:b/>
          <w:bCs/>
          <w:sz w:val="20"/>
          <w:szCs w:val="20"/>
          <w:rtl/>
        </w:rPr>
        <w:t>מדוע אין צריך ד' ראיות?</w:t>
      </w:r>
      <w:r>
        <w:rPr>
          <w:rFonts w:cs="Arial" w:hint="cs"/>
          <w:sz w:val="20"/>
          <w:szCs w:val="20"/>
          <w:u w:val="single"/>
          <w:rtl/>
        </w:rPr>
        <w:br/>
      </w:r>
      <w:r w:rsidRPr="00143AFC">
        <w:rPr>
          <w:rFonts w:cs="Arial" w:hint="cs"/>
          <w:b/>
          <w:bCs/>
          <w:sz w:val="20"/>
          <w:szCs w:val="20"/>
          <w:rtl/>
        </w:rPr>
        <w:t>בית יוסף</w:t>
      </w:r>
      <w:r>
        <w:rPr>
          <w:rFonts w:cs="Arial" w:hint="cs"/>
          <w:sz w:val="20"/>
          <w:szCs w:val="20"/>
          <w:rtl/>
        </w:rPr>
        <w:t xml:space="preserve"> - לעיל מובאת מחלוקת רב ושמואל בווסת הדילוג, ולשמואל אין מונים את הראייה הראשונה. </w:t>
      </w:r>
      <w:r>
        <w:rPr>
          <w:rFonts w:cs="Arial"/>
          <w:sz w:val="20"/>
          <w:szCs w:val="20"/>
          <w:rtl/>
        </w:rPr>
        <w:br/>
      </w:r>
      <w:r>
        <w:rPr>
          <w:rFonts w:cs="Arial" w:hint="cs"/>
          <w:sz w:val="20"/>
          <w:szCs w:val="20"/>
          <w:rtl/>
        </w:rPr>
        <w:t>ברם, כאן מודה שמואל שראייה הראשונה נמנית לקביעת הווסת.</w:t>
      </w:r>
      <w:r>
        <w:rPr>
          <w:rFonts w:cs="Arial"/>
          <w:sz w:val="20"/>
          <w:szCs w:val="20"/>
          <w:rtl/>
        </w:rPr>
        <w:br/>
      </w:r>
      <w:r w:rsidRPr="003A15C7">
        <w:rPr>
          <w:rFonts w:cs="Arial" w:hint="cs"/>
          <w:b/>
          <w:bCs/>
          <w:sz w:val="20"/>
          <w:szCs w:val="20"/>
          <w:rtl/>
        </w:rPr>
        <w:t xml:space="preserve">טעם </w:t>
      </w:r>
      <w:r>
        <w:rPr>
          <w:rFonts w:cs="Arial"/>
          <w:sz w:val="20"/>
          <w:szCs w:val="20"/>
          <w:rtl/>
        </w:rPr>
        <w:t>–</w:t>
      </w:r>
      <w:r>
        <w:rPr>
          <w:rFonts w:cs="Arial" w:hint="cs"/>
          <w:sz w:val="20"/>
          <w:szCs w:val="20"/>
          <w:rtl/>
        </w:rPr>
        <w:t xml:space="preserve"> בווסת הדילוג וכן בווסת ההפלגה דרושה ראייה נוספת בכדי לראות כך שיש דילוג או הפלגה, אך בווסת החודש ניתן לראות מייד את קביעות הווסת ע"פ ימות החודש.</w:t>
      </w:r>
    </w:p>
    <w:p w:rsidR="00620060" w:rsidRDefault="00620060" w:rsidP="00620060">
      <w:pPr>
        <w:rPr>
          <w:rFonts w:cs="Arial"/>
          <w:sz w:val="20"/>
          <w:szCs w:val="20"/>
          <w:rtl/>
        </w:rPr>
      </w:pPr>
      <w:r>
        <w:rPr>
          <w:rFonts w:cs="Arial" w:hint="cs"/>
          <w:b/>
          <w:bCs/>
          <w:sz w:val="20"/>
          <w:szCs w:val="20"/>
          <w:rtl/>
        </w:rPr>
        <w:t xml:space="preserve">ווסת השבוע </w:t>
      </w:r>
      <w:r>
        <w:rPr>
          <w:rFonts w:cs="Arial"/>
          <w:b/>
          <w:bCs/>
          <w:sz w:val="20"/>
          <w:szCs w:val="20"/>
          <w:rtl/>
        </w:rPr>
        <w:t>–</w:t>
      </w:r>
      <w:r>
        <w:rPr>
          <w:rFonts w:cs="Arial" w:hint="cs"/>
          <w:b/>
          <w:bCs/>
          <w:sz w:val="20"/>
          <w:szCs w:val="20"/>
          <w:rtl/>
        </w:rPr>
        <w:t xml:space="preserve"> מקור הדין</w:t>
      </w:r>
      <w:r>
        <w:rPr>
          <w:rFonts w:cs="Arial"/>
          <w:b/>
          <w:bCs/>
          <w:sz w:val="20"/>
          <w:szCs w:val="20"/>
          <w:rtl/>
        </w:rPr>
        <w:br/>
      </w:r>
      <w:r>
        <w:rPr>
          <w:rFonts w:cs="Arial" w:hint="cs"/>
          <w:b/>
          <w:bCs/>
          <w:sz w:val="20"/>
          <w:szCs w:val="20"/>
          <w:rtl/>
        </w:rPr>
        <w:t xml:space="preserve">גמרא </w:t>
      </w:r>
      <w:r>
        <w:rPr>
          <w:rFonts w:cs="Arial" w:hint="cs"/>
          <w:sz w:val="20"/>
          <w:szCs w:val="20"/>
          <w:rtl/>
        </w:rPr>
        <w:t>נידה (יא.) "אמ</w:t>
      </w:r>
      <w:r w:rsidRPr="00F21971">
        <w:rPr>
          <w:rFonts w:cs="Arial" w:hint="cs"/>
          <w:sz w:val="20"/>
          <w:szCs w:val="20"/>
          <w:rtl/>
        </w:rPr>
        <w:t>ר</w:t>
      </w:r>
      <w:r>
        <w:rPr>
          <w:rFonts w:cs="Arial" w:hint="cs"/>
          <w:sz w:val="20"/>
          <w:szCs w:val="20"/>
          <w:rtl/>
        </w:rPr>
        <w:t xml:space="preserve"> רב</w:t>
      </w:r>
      <w:r w:rsidRPr="00F21971">
        <w:rPr>
          <w:rFonts w:cs="Arial"/>
          <w:sz w:val="20"/>
          <w:szCs w:val="20"/>
          <w:rtl/>
        </w:rPr>
        <w:t xml:space="preserve"> </w:t>
      </w:r>
      <w:r w:rsidRPr="00F21971">
        <w:rPr>
          <w:rFonts w:cs="Arial" w:hint="cs"/>
          <w:sz w:val="20"/>
          <w:szCs w:val="20"/>
          <w:rtl/>
        </w:rPr>
        <w:t>הונא</w:t>
      </w:r>
      <w:r w:rsidRPr="00F21971">
        <w:rPr>
          <w:rFonts w:cs="Arial"/>
          <w:sz w:val="20"/>
          <w:szCs w:val="20"/>
          <w:rtl/>
        </w:rPr>
        <w:t xml:space="preserve">: </w:t>
      </w:r>
      <w:r w:rsidRPr="00F21971">
        <w:rPr>
          <w:rFonts w:cs="Arial" w:hint="cs"/>
          <w:sz w:val="20"/>
          <w:szCs w:val="20"/>
          <w:rtl/>
        </w:rPr>
        <w:t>קפצה</w:t>
      </w:r>
      <w:r w:rsidRPr="00F21971">
        <w:rPr>
          <w:rFonts w:cs="Arial"/>
          <w:sz w:val="20"/>
          <w:szCs w:val="20"/>
          <w:rtl/>
        </w:rPr>
        <w:t xml:space="preserve"> </w:t>
      </w:r>
      <w:r w:rsidRPr="00F21971">
        <w:rPr>
          <w:rFonts w:cs="Arial" w:hint="cs"/>
          <w:sz w:val="20"/>
          <w:szCs w:val="20"/>
          <w:rtl/>
        </w:rPr>
        <w:t>וראתה</w:t>
      </w:r>
      <w:r w:rsidRPr="00F21971">
        <w:rPr>
          <w:rFonts w:cs="Arial"/>
          <w:sz w:val="20"/>
          <w:szCs w:val="20"/>
          <w:rtl/>
        </w:rPr>
        <w:t xml:space="preserve">, </w:t>
      </w:r>
      <w:r w:rsidRPr="00F21971">
        <w:rPr>
          <w:rFonts w:cs="Arial" w:hint="cs"/>
          <w:sz w:val="20"/>
          <w:szCs w:val="20"/>
          <w:rtl/>
        </w:rPr>
        <w:t>קפצה</w:t>
      </w:r>
      <w:r w:rsidRPr="00F21971">
        <w:rPr>
          <w:rFonts w:cs="Arial"/>
          <w:sz w:val="20"/>
          <w:szCs w:val="20"/>
          <w:rtl/>
        </w:rPr>
        <w:t xml:space="preserve"> </w:t>
      </w:r>
      <w:r w:rsidRPr="00F21971">
        <w:rPr>
          <w:rFonts w:cs="Arial" w:hint="cs"/>
          <w:sz w:val="20"/>
          <w:szCs w:val="20"/>
          <w:rtl/>
        </w:rPr>
        <w:t>וראתה</w:t>
      </w:r>
      <w:r w:rsidRPr="00F21971">
        <w:rPr>
          <w:rFonts w:cs="Arial"/>
          <w:sz w:val="20"/>
          <w:szCs w:val="20"/>
          <w:rtl/>
        </w:rPr>
        <w:t xml:space="preserve">, </w:t>
      </w:r>
      <w:r w:rsidRPr="00F21971">
        <w:rPr>
          <w:rFonts w:cs="Arial" w:hint="cs"/>
          <w:sz w:val="20"/>
          <w:szCs w:val="20"/>
          <w:rtl/>
        </w:rPr>
        <w:t>קפצה</w:t>
      </w:r>
      <w:r w:rsidRPr="00F21971">
        <w:rPr>
          <w:rFonts w:cs="Arial"/>
          <w:sz w:val="20"/>
          <w:szCs w:val="20"/>
          <w:rtl/>
        </w:rPr>
        <w:t xml:space="preserve"> </w:t>
      </w:r>
      <w:r w:rsidRPr="00F21971">
        <w:rPr>
          <w:rFonts w:cs="Arial" w:hint="cs"/>
          <w:sz w:val="20"/>
          <w:szCs w:val="20"/>
          <w:rtl/>
        </w:rPr>
        <w:t>וראתה</w:t>
      </w:r>
      <w:r w:rsidRPr="00F21971">
        <w:rPr>
          <w:rFonts w:cs="Arial"/>
          <w:sz w:val="20"/>
          <w:szCs w:val="20"/>
          <w:rtl/>
        </w:rPr>
        <w:t xml:space="preserve"> - </w:t>
      </w:r>
      <w:r w:rsidRPr="00F21971">
        <w:rPr>
          <w:rFonts w:cs="Arial" w:hint="cs"/>
          <w:sz w:val="20"/>
          <w:szCs w:val="20"/>
          <w:rtl/>
        </w:rPr>
        <w:t>קבעה</w:t>
      </w:r>
      <w:r w:rsidRPr="00F21971">
        <w:rPr>
          <w:rFonts w:cs="Arial"/>
          <w:sz w:val="20"/>
          <w:szCs w:val="20"/>
          <w:rtl/>
        </w:rPr>
        <w:t xml:space="preserve"> </w:t>
      </w:r>
      <w:r w:rsidRPr="00F21971">
        <w:rPr>
          <w:rFonts w:cs="Arial" w:hint="cs"/>
          <w:sz w:val="20"/>
          <w:szCs w:val="20"/>
          <w:rtl/>
        </w:rPr>
        <w:t>לה</w:t>
      </w:r>
      <w:r w:rsidRPr="00F21971">
        <w:rPr>
          <w:rFonts w:cs="Arial"/>
          <w:sz w:val="20"/>
          <w:szCs w:val="20"/>
          <w:rtl/>
        </w:rPr>
        <w:t xml:space="preserve"> </w:t>
      </w:r>
      <w:r w:rsidRPr="00F21971">
        <w:rPr>
          <w:rFonts w:cs="Arial" w:hint="cs"/>
          <w:sz w:val="20"/>
          <w:szCs w:val="20"/>
          <w:rtl/>
        </w:rPr>
        <w:t>וסת</w:t>
      </w:r>
      <w:r w:rsidRPr="00F21971">
        <w:rPr>
          <w:rFonts w:cs="Arial"/>
          <w:sz w:val="20"/>
          <w:szCs w:val="20"/>
          <w:rtl/>
        </w:rPr>
        <w:t xml:space="preserve"> </w:t>
      </w:r>
      <w:r w:rsidRPr="00F21971">
        <w:rPr>
          <w:rFonts w:cs="Arial" w:hint="cs"/>
          <w:sz w:val="20"/>
          <w:szCs w:val="20"/>
          <w:rtl/>
        </w:rPr>
        <w:t>לימים</w:t>
      </w:r>
      <w:r w:rsidRPr="00F21971">
        <w:rPr>
          <w:rFonts w:cs="Arial"/>
          <w:sz w:val="20"/>
          <w:szCs w:val="20"/>
          <w:rtl/>
        </w:rPr>
        <w:t xml:space="preserve"> </w:t>
      </w:r>
      <w:r w:rsidRPr="00F21971">
        <w:rPr>
          <w:rFonts w:cs="Arial" w:hint="cs"/>
          <w:sz w:val="20"/>
          <w:szCs w:val="20"/>
          <w:rtl/>
        </w:rPr>
        <w:t>ולא</w:t>
      </w:r>
      <w:r w:rsidRPr="00F21971">
        <w:rPr>
          <w:rFonts w:cs="Arial"/>
          <w:sz w:val="20"/>
          <w:szCs w:val="20"/>
          <w:rtl/>
        </w:rPr>
        <w:t xml:space="preserve"> </w:t>
      </w:r>
      <w:r w:rsidRPr="00F21971">
        <w:rPr>
          <w:rFonts w:cs="Arial" w:hint="cs"/>
          <w:sz w:val="20"/>
          <w:szCs w:val="20"/>
          <w:rtl/>
        </w:rPr>
        <w:t>לקפיצות</w:t>
      </w:r>
      <w:r w:rsidRPr="00F21971">
        <w:rPr>
          <w:rFonts w:cs="Arial"/>
          <w:sz w:val="20"/>
          <w:szCs w:val="20"/>
          <w:rtl/>
        </w:rPr>
        <w:t xml:space="preserve">. </w:t>
      </w:r>
      <w:r w:rsidRPr="00F21971">
        <w:rPr>
          <w:rFonts w:cs="Arial" w:hint="cs"/>
          <w:sz w:val="20"/>
          <w:szCs w:val="20"/>
          <w:rtl/>
        </w:rPr>
        <w:t>היכי</w:t>
      </w:r>
      <w:r w:rsidRPr="00F21971">
        <w:rPr>
          <w:rFonts w:cs="Arial"/>
          <w:sz w:val="20"/>
          <w:szCs w:val="20"/>
          <w:rtl/>
        </w:rPr>
        <w:t xml:space="preserve"> </w:t>
      </w:r>
      <w:r w:rsidRPr="00F21971">
        <w:rPr>
          <w:rFonts w:cs="Arial" w:hint="cs"/>
          <w:sz w:val="20"/>
          <w:szCs w:val="20"/>
          <w:rtl/>
        </w:rPr>
        <w:t>דמי</w:t>
      </w:r>
      <w:r w:rsidRPr="00F21971">
        <w:rPr>
          <w:rFonts w:cs="Arial"/>
          <w:sz w:val="20"/>
          <w:szCs w:val="20"/>
          <w:rtl/>
        </w:rPr>
        <w:t xml:space="preserve">? </w:t>
      </w:r>
      <w:r w:rsidRPr="00F21971">
        <w:rPr>
          <w:rFonts w:cs="Arial" w:hint="cs"/>
          <w:sz w:val="20"/>
          <w:szCs w:val="20"/>
          <w:rtl/>
        </w:rPr>
        <w:t>א</w:t>
      </w:r>
      <w:r>
        <w:rPr>
          <w:rFonts w:cs="Arial" w:hint="cs"/>
          <w:sz w:val="20"/>
          <w:szCs w:val="20"/>
          <w:rtl/>
        </w:rPr>
        <w:t xml:space="preserve">מר </w:t>
      </w:r>
      <w:r w:rsidRPr="00F21971">
        <w:rPr>
          <w:rFonts w:cs="Arial" w:hint="cs"/>
          <w:sz w:val="20"/>
          <w:szCs w:val="20"/>
          <w:rtl/>
        </w:rPr>
        <w:t>ר</w:t>
      </w:r>
      <w:r>
        <w:rPr>
          <w:rFonts w:cs="Arial" w:hint="cs"/>
          <w:sz w:val="20"/>
          <w:szCs w:val="20"/>
          <w:rtl/>
        </w:rPr>
        <w:t>ב</w:t>
      </w:r>
      <w:r w:rsidRPr="00F21971">
        <w:rPr>
          <w:rFonts w:cs="Arial"/>
          <w:sz w:val="20"/>
          <w:szCs w:val="20"/>
          <w:rtl/>
        </w:rPr>
        <w:t xml:space="preserve"> </w:t>
      </w:r>
      <w:r w:rsidRPr="00F21971">
        <w:rPr>
          <w:rFonts w:cs="Arial" w:hint="cs"/>
          <w:sz w:val="20"/>
          <w:szCs w:val="20"/>
          <w:rtl/>
        </w:rPr>
        <w:t>אשי</w:t>
      </w:r>
      <w:r w:rsidRPr="00F21971">
        <w:rPr>
          <w:rFonts w:cs="Arial"/>
          <w:sz w:val="20"/>
          <w:szCs w:val="20"/>
          <w:rtl/>
        </w:rPr>
        <w:t xml:space="preserve">: </w:t>
      </w:r>
      <w:r w:rsidRPr="00F21971">
        <w:rPr>
          <w:rFonts w:cs="Arial" w:hint="cs"/>
          <w:sz w:val="20"/>
          <w:szCs w:val="20"/>
          <w:rtl/>
        </w:rPr>
        <w:t>דקפיץ</w:t>
      </w:r>
      <w:r w:rsidRPr="00F21971">
        <w:rPr>
          <w:rFonts w:cs="Arial"/>
          <w:sz w:val="20"/>
          <w:szCs w:val="20"/>
          <w:rtl/>
        </w:rPr>
        <w:t xml:space="preserve"> </w:t>
      </w:r>
      <w:r w:rsidRPr="00F21971">
        <w:rPr>
          <w:rFonts w:cs="Arial" w:hint="cs"/>
          <w:sz w:val="20"/>
          <w:szCs w:val="20"/>
          <w:rtl/>
        </w:rPr>
        <w:t>בחד</w:t>
      </w:r>
      <w:r w:rsidRPr="00F21971">
        <w:rPr>
          <w:rFonts w:cs="Arial"/>
          <w:sz w:val="20"/>
          <w:szCs w:val="20"/>
          <w:rtl/>
        </w:rPr>
        <w:t xml:space="preserve"> </w:t>
      </w:r>
      <w:r w:rsidRPr="00F21971">
        <w:rPr>
          <w:rFonts w:cs="Arial" w:hint="cs"/>
          <w:sz w:val="20"/>
          <w:szCs w:val="20"/>
          <w:rtl/>
        </w:rPr>
        <w:t>בשבת</w:t>
      </w:r>
      <w:r w:rsidRPr="00F21971">
        <w:rPr>
          <w:rFonts w:cs="Arial"/>
          <w:sz w:val="20"/>
          <w:szCs w:val="20"/>
          <w:rtl/>
        </w:rPr>
        <w:t xml:space="preserve"> </w:t>
      </w:r>
      <w:r w:rsidRPr="00F21971">
        <w:rPr>
          <w:rFonts w:cs="Arial" w:hint="cs"/>
          <w:sz w:val="20"/>
          <w:szCs w:val="20"/>
          <w:rtl/>
        </w:rPr>
        <w:t>וחזאי</w:t>
      </w:r>
      <w:r w:rsidRPr="00F21971">
        <w:rPr>
          <w:rFonts w:cs="Arial"/>
          <w:sz w:val="20"/>
          <w:szCs w:val="20"/>
          <w:rtl/>
        </w:rPr>
        <w:t xml:space="preserve">, </w:t>
      </w:r>
      <w:r w:rsidRPr="00F21971">
        <w:rPr>
          <w:rFonts w:cs="Arial" w:hint="cs"/>
          <w:sz w:val="20"/>
          <w:szCs w:val="20"/>
          <w:rtl/>
        </w:rPr>
        <w:t>וקפיץ</w:t>
      </w:r>
      <w:r w:rsidRPr="00F21971">
        <w:rPr>
          <w:rFonts w:cs="Arial"/>
          <w:sz w:val="20"/>
          <w:szCs w:val="20"/>
          <w:rtl/>
        </w:rPr>
        <w:t xml:space="preserve"> </w:t>
      </w:r>
      <w:r w:rsidRPr="00F21971">
        <w:rPr>
          <w:rFonts w:cs="Arial" w:hint="cs"/>
          <w:sz w:val="20"/>
          <w:szCs w:val="20"/>
          <w:rtl/>
        </w:rPr>
        <w:t>בחד</w:t>
      </w:r>
      <w:r w:rsidRPr="00F21971">
        <w:rPr>
          <w:rFonts w:cs="Arial"/>
          <w:sz w:val="20"/>
          <w:szCs w:val="20"/>
          <w:rtl/>
        </w:rPr>
        <w:t xml:space="preserve"> </w:t>
      </w:r>
      <w:r w:rsidRPr="00F21971">
        <w:rPr>
          <w:rFonts w:cs="Arial" w:hint="cs"/>
          <w:sz w:val="20"/>
          <w:szCs w:val="20"/>
          <w:rtl/>
        </w:rPr>
        <w:t>בשבת</w:t>
      </w:r>
      <w:r w:rsidRPr="00F21971">
        <w:rPr>
          <w:rFonts w:cs="Arial"/>
          <w:sz w:val="20"/>
          <w:szCs w:val="20"/>
          <w:rtl/>
        </w:rPr>
        <w:t xml:space="preserve"> </w:t>
      </w:r>
      <w:r w:rsidRPr="00F21971">
        <w:rPr>
          <w:rFonts w:cs="Arial" w:hint="cs"/>
          <w:sz w:val="20"/>
          <w:szCs w:val="20"/>
          <w:rtl/>
        </w:rPr>
        <w:t>וחזאי</w:t>
      </w:r>
      <w:r w:rsidRPr="00F21971">
        <w:rPr>
          <w:rFonts w:cs="Arial"/>
          <w:sz w:val="20"/>
          <w:szCs w:val="20"/>
          <w:rtl/>
        </w:rPr>
        <w:t xml:space="preserve">, </w:t>
      </w:r>
      <w:r w:rsidRPr="00F21971">
        <w:rPr>
          <w:rFonts w:cs="Arial" w:hint="cs"/>
          <w:sz w:val="20"/>
          <w:szCs w:val="20"/>
          <w:rtl/>
        </w:rPr>
        <w:t>ולחד</w:t>
      </w:r>
      <w:r w:rsidRPr="00F21971">
        <w:rPr>
          <w:rFonts w:cs="Arial"/>
          <w:sz w:val="20"/>
          <w:szCs w:val="20"/>
          <w:rtl/>
        </w:rPr>
        <w:t xml:space="preserve"> </w:t>
      </w:r>
      <w:r w:rsidRPr="00F21971">
        <w:rPr>
          <w:rFonts w:cs="Arial" w:hint="cs"/>
          <w:sz w:val="20"/>
          <w:szCs w:val="20"/>
          <w:rtl/>
        </w:rPr>
        <w:t>בשבת</w:t>
      </w:r>
      <w:r w:rsidRPr="00F21971">
        <w:rPr>
          <w:rFonts w:cs="Arial"/>
          <w:sz w:val="20"/>
          <w:szCs w:val="20"/>
          <w:rtl/>
        </w:rPr>
        <w:t xml:space="preserve"> (</w:t>
      </w:r>
      <w:r w:rsidRPr="00F21971">
        <w:rPr>
          <w:rFonts w:cs="Arial" w:hint="cs"/>
          <w:sz w:val="20"/>
          <w:szCs w:val="20"/>
          <w:rtl/>
        </w:rPr>
        <w:t>אחרינא</w:t>
      </w:r>
      <w:r w:rsidRPr="00F21971">
        <w:rPr>
          <w:rFonts w:cs="Arial"/>
          <w:sz w:val="20"/>
          <w:szCs w:val="20"/>
          <w:rtl/>
        </w:rPr>
        <w:t xml:space="preserve">) </w:t>
      </w:r>
      <w:r w:rsidRPr="00F21971">
        <w:rPr>
          <w:rFonts w:cs="Arial" w:hint="cs"/>
          <w:sz w:val="20"/>
          <w:szCs w:val="20"/>
          <w:rtl/>
        </w:rPr>
        <w:t>חזאי</w:t>
      </w:r>
      <w:r w:rsidRPr="00F21971">
        <w:rPr>
          <w:rFonts w:cs="Arial"/>
          <w:sz w:val="20"/>
          <w:szCs w:val="20"/>
          <w:rtl/>
        </w:rPr>
        <w:t xml:space="preserve"> </w:t>
      </w:r>
      <w:r w:rsidRPr="00F21971">
        <w:rPr>
          <w:rFonts w:cs="Arial" w:hint="cs"/>
          <w:sz w:val="20"/>
          <w:szCs w:val="20"/>
          <w:rtl/>
        </w:rPr>
        <w:t>בלא</w:t>
      </w:r>
      <w:r w:rsidRPr="00F21971">
        <w:rPr>
          <w:rFonts w:cs="Arial"/>
          <w:sz w:val="20"/>
          <w:szCs w:val="20"/>
          <w:rtl/>
        </w:rPr>
        <w:t xml:space="preserve"> </w:t>
      </w:r>
      <w:r w:rsidRPr="00F21971">
        <w:rPr>
          <w:rFonts w:cs="Arial" w:hint="cs"/>
          <w:sz w:val="20"/>
          <w:szCs w:val="20"/>
          <w:rtl/>
        </w:rPr>
        <w:t>קפיצה</w:t>
      </w:r>
      <w:r w:rsidRPr="00F21971">
        <w:rPr>
          <w:rFonts w:cs="Arial"/>
          <w:sz w:val="20"/>
          <w:szCs w:val="20"/>
          <w:rtl/>
        </w:rPr>
        <w:t xml:space="preserve"> - </w:t>
      </w:r>
      <w:r w:rsidRPr="00F21971">
        <w:rPr>
          <w:rFonts w:cs="Arial" w:hint="cs"/>
          <w:sz w:val="20"/>
          <w:szCs w:val="20"/>
          <w:rtl/>
        </w:rPr>
        <w:t>דהתם</w:t>
      </w:r>
      <w:r w:rsidRPr="00F21971">
        <w:rPr>
          <w:rFonts w:cs="Arial"/>
          <w:sz w:val="20"/>
          <w:szCs w:val="20"/>
          <w:rtl/>
        </w:rPr>
        <w:t xml:space="preserve"> </w:t>
      </w:r>
      <w:r w:rsidRPr="00F21971">
        <w:rPr>
          <w:rFonts w:cs="Arial" w:hint="cs"/>
          <w:sz w:val="20"/>
          <w:szCs w:val="20"/>
          <w:rtl/>
        </w:rPr>
        <w:t>איגלאי</w:t>
      </w:r>
      <w:r w:rsidRPr="00F21971">
        <w:rPr>
          <w:rFonts w:cs="Arial"/>
          <w:sz w:val="20"/>
          <w:szCs w:val="20"/>
          <w:rtl/>
        </w:rPr>
        <w:t xml:space="preserve"> </w:t>
      </w:r>
      <w:r w:rsidRPr="00F21971">
        <w:rPr>
          <w:rFonts w:cs="Arial" w:hint="cs"/>
          <w:sz w:val="20"/>
          <w:szCs w:val="20"/>
          <w:rtl/>
        </w:rPr>
        <w:t>מילתא</w:t>
      </w:r>
      <w:r w:rsidRPr="00F21971">
        <w:rPr>
          <w:rFonts w:cs="Arial"/>
          <w:sz w:val="20"/>
          <w:szCs w:val="20"/>
          <w:rtl/>
        </w:rPr>
        <w:t xml:space="preserve"> </w:t>
      </w:r>
      <w:r w:rsidRPr="00F21971">
        <w:rPr>
          <w:rFonts w:cs="Arial" w:hint="cs"/>
          <w:sz w:val="20"/>
          <w:szCs w:val="20"/>
          <w:rtl/>
        </w:rPr>
        <w:t>דיומא</w:t>
      </w:r>
      <w:r w:rsidRPr="00F21971">
        <w:rPr>
          <w:rFonts w:cs="Arial"/>
          <w:sz w:val="20"/>
          <w:szCs w:val="20"/>
          <w:rtl/>
        </w:rPr>
        <w:t xml:space="preserve"> </w:t>
      </w:r>
      <w:r w:rsidRPr="00F21971">
        <w:rPr>
          <w:rFonts w:cs="Arial" w:hint="cs"/>
          <w:sz w:val="20"/>
          <w:szCs w:val="20"/>
          <w:rtl/>
        </w:rPr>
        <w:t>הוא</w:t>
      </w:r>
      <w:r w:rsidRPr="00F21971">
        <w:rPr>
          <w:rFonts w:cs="Arial"/>
          <w:sz w:val="20"/>
          <w:szCs w:val="20"/>
          <w:rtl/>
        </w:rPr>
        <w:t xml:space="preserve"> </w:t>
      </w:r>
      <w:r w:rsidRPr="00F21971">
        <w:rPr>
          <w:rFonts w:cs="Arial" w:hint="cs"/>
          <w:sz w:val="20"/>
          <w:szCs w:val="20"/>
          <w:rtl/>
        </w:rPr>
        <w:t>דקא</w:t>
      </w:r>
      <w:r w:rsidRPr="00F21971">
        <w:rPr>
          <w:rFonts w:cs="Arial"/>
          <w:sz w:val="20"/>
          <w:szCs w:val="20"/>
          <w:rtl/>
        </w:rPr>
        <w:t xml:space="preserve"> </w:t>
      </w:r>
      <w:r w:rsidRPr="00F21971">
        <w:rPr>
          <w:rFonts w:cs="Arial" w:hint="cs"/>
          <w:sz w:val="20"/>
          <w:szCs w:val="20"/>
          <w:rtl/>
        </w:rPr>
        <w:t>גרים</w:t>
      </w:r>
      <w:r>
        <w:rPr>
          <w:rFonts w:cs="Arial" w:hint="cs"/>
          <w:sz w:val="20"/>
          <w:szCs w:val="20"/>
          <w:rtl/>
        </w:rPr>
        <w:t>"</w:t>
      </w:r>
      <w:r w:rsidRPr="00F21971">
        <w:rPr>
          <w:rFonts w:cs="Arial"/>
          <w:sz w:val="20"/>
          <w:szCs w:val="20"/>
          <w:rtl/>
        </w:rPr>
        <w:t>.</w:t>
      </w:r>
    </w:p>
    <w:p w:rsidR="00620060" w:rsidRDefault="00620060" w:rsidP="00620060">
      <w:pPr>
        <w:rPr>
          <w:rFonts w:cs="Arial"/>
          <w:sz w:val="20"/>
          <w:szCs w:val="20"/>
          <w:rtl/>
        </w:rPr>
      </w:pPr>
      <w:r>
        <w:rPr>
          <w:rFonts w:cs="Arial" w:hint="cs"/>
          <w:b/>
          <w:bCs/>
          <w:sz w:val="20"/>
          <w:szCs w:val="20"/>
          <w:rtl/>
        </w:rPr>
        <w:t>פסיקת הלכה</w:t>
      </w:r>
      <w:r>
        <w:rPr>
          <w:rFonts w:cs="Arial"/>
          <w:b/>
          <w:bCs/>
          <w:sz w:val="20"/>
          <w:szCs w:val="20"/>
          <w:rtl/>
        </w:rPr>
        <w:br/>
      </w:r>
      <w:r>
        <w:rPr>
          <w:rFonts w:cs="Arial" w:hint="cs"/>
          <w:b/>
          <w:bCs/>
          <w:sz w:val="20"/>
          <w:szCs w:val="20"/>
          <w:rtl/>
        </w:rPr>
        <w:t xml:space="preserve">שולחן ערוך </w:t>
      </w:r>
      <w:r>
        <w:rPr>
          <w:rFonts w:cs="Arial"/>
          <w:sz w:val="20"/>
          <w:szCs w:val="20"/>
          <w:rtl/>
        </w:rPr>
        <w:t>–</w:t>
      </w:r>
      <w:r>
        <w:rPr>
          <w:rFonts w:cs="Arial" w:hint="cs"/>
          <w:sz w:val="20"/>
          <w:szCs w:val="20"/>
          <w:rtl/>
        </w:rPr>
        <w:t xml:space="preserve"> "</w:t>
      </w:r>
      <w:r w:rsidRPr="004E018A">
        <w:rPr>
          <w:rFonts w:cs="Arial" w:hint="cs"/>
          <w:sz w:val="20"/>
          <w:szCs w:val="20"/>
          <w:rtl/>
        </w:rPr>
        <w:t>כשם</w:t>
      </w:r>
      <w:r w:rsidRPr="004E018A">
        <w:rPr>
          <w:rFonts w:cs="Arial"/>
          <w:sz w:val="20"/>
          <w:szCs w:val="20"/>
          <w:rtl/>
        </w:rPr>
        <w:t xml:space="preserve"> </w:t>
      </w:r>
      <w:r w:rsidRPr="004E018A">
        <w:rPr>
          <w:rFonts w:cs="Arial" w:hint="cs"/>
          <w:sz w:val="20"/>
          <w:szCs w:val="20"/>
          <w:rtl/>
        </w:rPr>
        <w:t>שקובעת</w:t>
      </w:r>
      <w:r w:rsidRPr="004E018A">
        <w:rPr>
          <w:rFonts w:cs="Arial"/>
          <w:sz w:val="20"/>
          <w:szCs w:val="20"/>
          <w:rtl/>
        </w:rPr>
        <w:t xml:space="preserve"> </w:t>
      </w:r>
      <w:r w:rsidRPr="004E018A">
        <w:rPr>
          <w:rFonts w:cs="Arial" w:hint="cs"/>
          <w:sz w:val="20"/>
          <w:szCs w:val="20"/>
          <w:rtl/>
        </w:rPr>
        <w:t>וסת</w:t>
      </w:r>
      <w:r w:rsidRPr="004E018A">
        <w:rPr>
          <w:rFonts w:cs="Arial"/>
          <w:sz w:val="20"/>
          <w:szCs w:val="20"/>
          <w:rtl/>
        </w:rPr>
        <w:t xml:space="preserve"> </w:t>
      </w:r>
      <w:r w:rsidRPr="004E018A">
        <w:rPr>
          <w:rFonts w:cs="Arial" w:hint="cs"/>
          <w:sz w:val="20"/>
          <w:szCs w:val="20"/>
          <w:rtl/>
        </w:rPr>
        <w:t>בהפלגה</w:t>
      </w:r>
      <w:r w:rsidRPr="004E018A">
        <w:rPr>
          <w:rFonts w:cs="Arial"/>
          <w:sz w:val="20"/>
          <w:szCs w:val="20"/>
          <w:rtl/>
        </w:rPr>
        <w:t xml:space="preserve"> </w:t>
      </w:r>
      <w:r w:rsidRPr="004E018A">
        <w:rPr>
          <w:rFonts w:cs="Arial" w:hint="cs"/>
          <w:sz w:val="20"/>
          <w:szCs w:val="20"/>
          <w:rtl/>
        </w:rPr>
        <w:t>מימים</w:t>
      </w:r>
      <w:r w:rsidRPr="004E018A">
        <w:rPr>
          <w:rFonts w:cs="Arial"/>
          <w:sz w:val="20"/>
          <w:szCs w:val="20"/>
          <w:rtl/>
        </w:rPr>
        <w:t xml:space="preserve"> </w:t>
      </w:r>
      <w:r w:rsidRPr="004E018A">
        <w:rPr>
          <w:rFonts w:cs="Arial" w:hint="cs"/>
          <w:sz w:val="20"/>
          <w:szCs w:val="20"/>
          <w:rtl/>
        </w:rPr>
        <w:t>שוים</w:t>
      </w:r>
      <w:r w:rsidRPr="004E018A">
        <w:rPr>
          <w:rFonts w:cs="Arial"/>
          <w:sz w:val="20"/>
          <w:szCs w:val="20"/>
          <w:rtl/>
        </w:rPr>
        <w:t xml:space="preserve"> </w:t>
      </w:r>
      <w:r w:rsidRPr="004E018A">
        <w:rPr>
          <w:rFonts w:cs="Arial" w:hint="cs"/>
          <w:sz w:val="20"/>
          <w:szCs w:val="20"/>
          <w:rtl/>
        </w:rPr>
        <w:t>ושאינם</w:t>
      </w:r>
      <w:r w:rsidRPr="004E018A">
        <w:rPr>
          <w:rFonts w:cs="Arial"/>
          <w:sz w:val="20"/>
          <w:szCs w:val="20"/>
          <w:rtl/>
        </w:rPr>
        <w:t xml:space="preserve"> </w:t>
      </w:r>
      <w:r w:rsidRPr="004E018A">
        <w:rPr>
          <w:rFonts w:cs="Arial" w:hint="cs"/>
          <w:sz w:val="20"/>
          <w:szCs w:val="20"/>
          <w:rtl/>
        </w:rPr>
        <w:t>שוים</w:t>
      </w:r>
      <w:r w:rsidRPr="004E018A">
        <w:rPr>
          <w:rFonts w:cs="Arial"/>
          <w:sz w:val="20"/>
          <w:szCs w:val="20"/>
          <w:rtl/>
        </w:rPr>
        <w:t xml:space="preserve">, </w:t>
      </w:r>
      <w:r w:rsidRPr="004E018A">
        <w:rPr>
          <w:rFonts w:cs="Arial" w:hint="cs"/>
          <w:sz w:val="20"/>
          <w:szCs w:val="20"/>
          <w:rtl/>
        </w:rPr>
        <w:t>כך</w:t>
      </w:r>
      <w:r w:rsidRPr="004E018A">
        <w:rPr>
          <w:rFonts w:cs="Arial"/>
          <w:sz w:val="20"/>
          <w:szCs w:val="20"/>
          <w:rtl/>
        </w:rPr>
        <w:t xml:space="preserve"> </w:t>
      </w:r>
      <w:r w:rsidRPr="004E018A">
        <w:rPr>
          <w:rFonts w:cs="Arial" w:hint="cs"/>
          <w:sz w:val="20"/>
          <w:szCs w:val="20"/>
          <w:rtl/>
        </w:rPr>
        <w:t>קובעת</w:t>
      </w:r>
      <w:r w:rsidRPr="004E018A">
        <w:rPr>
          <w:rFonts w:cs="Arial"/>
          <w:sz w:val="20"/>
          <w:szCs w:val="20"/>
          <w:rtl/>
        </w:rPr>
        <w:t xml:space="preserve"> </w:t>
      </w:r>
      <w:r w:rsidRPr="004E018A">
        <w:rPr>
          <w:rFonts w:cs="Arial" w:hint="cs"/>
          <w:sz w:val="20"/>
          <w:szCs w:val="20"/>
          <w:rtl/>
        </w:rPr>
        <w:t>בימי</w:t>
      </w:r>
      <w:r w:rsidRPr="004E018A">
        <w:rPr>
          <w:rFonts w:cs="Arial"/>
          <w:sz w:val="20"/>
          <w:szCs w:val="20"/>
          <w:rtl/>
        </w:rPr>
        <w:t xml:space="preserve"> </w:t>
      </w:r>
      <w:r w:rsidRPr="004E018A">
        <w:rPr>
          <w:rFonts w:cs="Arial" w:hint="cs"/>
          <w:sz w:val="20"/>
          <w:szCs w:val="20"/>
          <w:rtl/>
        </w:rPr>
        <w:t>החדש</w:t>
      </w:r>
      <w:r w:rsidRPr="004E018A">
        <w:rPr>
          <w:rFonts w:cs="Arial"/>
          <w:sz w:val="20"/>
          <w:szCs w:val="20"/>
          <w:rtl/>
        </w:rPr>
        <w:t xml:space="preserve"> </w:t>
      </w:r>
      <w:r w:rsidRPr="004E018A">
        <w:rPr>
          <w:rFonts w:cs="Arial" w:hint="cs"/>
          <w:sz w:val="20"/>
          <w:szCs w:val="20"/>
          <w:rtl/>
        </w:rPr>
        <w:t>ובימי</w:t>
      </w:r>
      <w:r w:rsidRPr="004E018A">
        <w:rPr>
          <w:rFonts w:cs="Arial"/>
          <w:sz w:val="20"/>
          <w:szCs w:val="20"/>
          <w:rtl/>
        </w:rPr>
        <w:t xml:space="preserve"> </w:t>
      </w:r>
      <w:r w:rsidRPr="004E018A">
        <w:rPr>
          <w:rFonts w:cs="Arial" w:hint="cs"/>
          <w:sz w:val="20"/>
          <w:szCs w:val="20"/>
          <w:rtl/>
        </w:rPr>
        <w:t>השבוע</w:t>
      </w:r>
      <w:r w:rsidRPr="004E018A">
        <w:rPr>
          <w:rFonts w:cs="Arial"/>
          <w:sz w:val="20"/>
          <w:szCs w:val="20"/>
          <w:rtl/>
        </w:rPr>
        <w:t xml:space="preserve"> </w:t>
      </w:r>
      <w:r w:rsidRPr="004E018A">
        <w:rPr>
          <w:rFonts w:cs="Arial" w:hint="cs"/>
          <w:sz w:val="20"/>
          <w:szCs w:val="20"/>
          <w:rtl/>
        </w:rPr>
        <w:t>שוים</w:t>
      </w:r>
      <w:r w:rsidRPr="004E018A">
        <w:rPr>
          <w:rFonts w:cs="Arial"/>
          <w:sz w:val="20"/>
          <w:szCs w:val="20"/>
          <w:rtl/>
        </w:rPr>
        <w:t xml:space="preserve"> </w:t>
      </w:r>
      <w:r w:rsidRPr="004E018A">
        <w:rPr>
          <w:rFonts w:cs="Arial" w:hint="cs"/>
          <w:sz w:val="20"/>
          <w:szCs w:val="20"/>
          <w:rtl/>
        </w:rPr>
        <w:t>ושאינם</w:t>
      </w:r>
      <w:r w:rsidRPr="004E018A">
        <w:rPr>
          <w:rFonts w:cs="Arial"/>
          <w:sz w:val="20"/>
          <w:szCs w:val="20"/>
          <w:rtl/>
        </w:rPr>
        <w:t xml:space="preserve"> </w:t>
      </w:r>
      <w:r w:rsidRPr="004E018A">
        <w:rPr>
          <w:rFonts w:cs="Arial" w:hint="cs"/>
          <w:sz w:val="20"/>
          <w:szCs w:val="20"/>
          <w:rtl/>
        </w:rPr>
        <w:t>שוים</w:t>
      </w:r>
      <w:r>
        <w:rPr>
          <w:rStyle w:val="a5"/>
          <w:rFonts w:cs="Arial"/>
          <w:sz w:val="20"/>
          <w:szCs w:val="20"/>
          <w:rtl/>
        </w:rPr>
        <w:footnoteReference w:id="178"/>
      </w:r>
      <w:r w:rsidRPr="004E018A">
        <w:rPr>
          <w:rFonts w:cs="Arial"/>
          <w:sz w:val="20"/>
          <w:szCs w:val="20"/>
          <w:rtl/>
        </w:rPr>
        <w:t xml:space="preserve">. </w:t>
      </w:r>
      <w:r w:rsidRPr="004E018A">
        <w:rPr>
          <w:rFonts w:cs="Arial" w:hint="cs"/>
          <w:sz w:val="20"/>
          <w:szCs w:val="20"/>
          <w:rtl/>
        </w:rPr>
        <w:t>כיצד</w:t>
      </w:r>
      <w:r w:rsidRPr="004E018A">
        <w:rPr>
          <w:rFonts w:cs="Arial"/>
          <w:sz w:val="20"/>
          <w:szCs w:val="20"/>
          <w:rtl/>
        </w:rPr>
        <w:t xml:space="preserve">, </w:t>
      </w:r>
      <w:r w:rsidRPr="004E018A">
        <w:rPr>
          <w:rFonts w:cs="Arial" w:hint="cs"/>
          <w:sz w:val="20"/>
          <w:szCs w:val="20"/>
          <w:rtl/>
        </w:rPr>
        <w:t>ראתה</w:t>
      </w:r>
      <w:r w:rsidRPr="004E018A">
        <w:rPr>
          <w:rFonts w:cs="Arial"/>
          <w:sz w:val="20"/>
          <w:szCs w:val="20"/>
          <w:rtl/>
        </w:rPr>
        <w:t xml:space="preserve"> </w:t>
      </w:r>
      <w:r w:rsidRPr="004E018A">
        <w:rPr>
          <w:rFonts w:cs="Arial" w:hint="cs"/>
          <w:sz w:val="20"/>
          <w:szCs w:val="20"/>
          <w:rtl/>
        </w:rPr>
        <w:t>ג</w:t>
      </w:r>
      <w:r>
        <w:rPr>
          <w:rFonts w:cs="Arial" w:hint="cs"/>
          <w:sz w:val="20"/>
          <w:szCs w:val="20"/>
          <w:rtl/>
        </w:rPr>
        <w:t xml:space="preserve">' </w:t>
      </w:r>
      <w:r w:rsidRPr="004E018A">
        <w:rPr>
          <w:rFonts w:cs="Arial" w:hint="cs"/>
          <w:sz w:val="20"/>
          <w:szCs w:val="20"/>
          <w:rtl/>
        </w:rPr>
        <w:t>פ</w:t>
      </w:r>
      <w:r>
        <w:rPr>
          <w:rFonts w:cs="Arial" w:hint="cs"/>
          <w:sz w:val="20"/>
          <w:szCs w:val="20"/>
          <w:rtl/>
        </w:rPr>
        <w:t>עמים</w:t>
      </w:r>
      <w:r w:rsidRPr="004E018A">
        <w:rPr>
          <w:rFonts w:cs="Arial"/>
          <w:sz w:val="20"/>
          <w:szCs w:val="20"/>
          <w:rtl/>
        </w:rPr>
        <w:t xml:space="preserve"> </w:t>
      </w:r>
      <w:r w:rsidRPr="004E018A">
        <w:rPr>
          <w:rFonts w:cs="Arial" w:hint="cs"/>
          <w:sz w:val="20"/>
          <w:szCs w:val="20"/>
          <w:rtl/>
        </w:rPr>
        <w:t>באחד</w:t>
      </w:r>
      <w:r w:rsidRPr="004E018A">
        <w:rPr>
          <w:rFonts w:cs="Arial"/>
          <w:sz w:val="20"/>
          <w:szCs w:val="20"/>
          <w:rtl/>
        </w:rPr>
        <w:t xml:space="preserve"> </w:t>
      </w:r>
      <w:r w:rsidRPr="004E018A">
        <w:rPr>
          <w:rFonts w:cs="Arial" w:hint="cs"/>
          <w:sz w:val="20"/>
          <w:szCs w:val="20"/>
          <w:rtl/>
        </w:rPr>
        <w:t>בשבת</w:t>
      </w:r>
      <w:r w:rsidRPr="004E018A">
        <w:rPr>
          <w:rFonts w:cs="Arial"/>
          <w:sz w:val="20"/>
          <w:szCs w:val="20"/>
          <w:rtl/>
        </w:rPr>
        <w:t xml:space="preserve"> </w:t>
      </w:r>
      <w:r w:rsidRPr="004E018A">
        <w:rPr>
          <w:rFonts w:cs="Arial" w:hint="cs"/>
          <w:sz w:val="20"/>
          <w:szCs w:val="20"/>
          <w:rtl/>
        </w:rPr>
        <w:t>או</w:t>
      </w:r>
      <w:r w:rsidRPr="004E018A">
        <w:rPr>
          <w:rFonts w:cs="Arial"/>
          <w:sz w:val="20"/>
          <w:szCs w:val="20"/>
          <w:rtl/>
        </w:rPr>
        <w:t xml:space="preserve"> </w:t>
      </w:r>
      <w:r w:rsidRPr="004E018A">
        <w:rPr>
          <w:rFonts w:cs="Arial" w:hint="cs"/>
          <w:sz w:val="20"/>
          <w:szCs w:val="20"/>
          <w:rtl/>
        </w:rPr>
        <w:t>בה</w:t>
      </w:r>
      <w:r w:rsidRPr="004E018A">
        <w:rPr>
          <w:rFonts w:cs="Arial"/>
          <w:sz w:val="20"/>
          <w:szCs w:val="20"/>
          <w:rtl/>
        </w:rPr>
        <w:t xml:space="preserve">' </w:t>
      </w:r>
      <w:r w:rsidRPr="004E018A">
        <w:rPr>
          <w:rFonts w:cs="Arial" w:hint="cs"/>
          <w:sz w:val="20"/>
          <w:szCs w:val="20"/>
          <w:rtl/>
        </w:rPr>
        <w:t>בשבת</w:t>
      </w:r>
      <w:r w:rsidRPr="004E018A">
        <w:rPr>
          <w:rFonts w:cs="Arial"/>
          <w:sz w:val="20"/>
          <w:szCs w:val="20"/>
          <w:rtl/>
        </w:rPr>
        <w:t xml:space="preserve">, </w:t>
      </w:r>
      <w:r w:rsidRPr="004E018A">
        <w:rPr>
          <w:rFonts w:cs="Arial" w:hint="cs"/>
          <w:sz w:val="20"/>
          <w:szCs w:val="20"/>
          <w:rtl/>
        </w:rPr>
        <w:t>או</w:t>
      </w:r>
      <w:r w:rsidRPr="004E018A">
        <w:rPr>
          <w:rFonts w:cs="Arial"/>
          <w:sz w:val="20"/>
          <w:szCs w:val="20"/>
          <w:rtl/>
        </w:rPr>
        <w:t xml:space="preserve"> </w:t>
      </w:r>
      <w:r w:rsidRPr="004E018A">
        <w:rPr>
          <w:rFonts w:cs="Arial" w:hint="cs"/>
          <w:sz w:val="20"/>
          <w:szCs w:val="20"/>
          <w:rtl/>
        </w:rPr>
        <w:t>באחד</w:t>
      </w:r>
      <w:r w:rsidRPr="004E018A">
        <w:rPr>
          <w:rFonts w:cs="Arial"/>
          <w:sz w:val="20"/>
          <w:szCs w:val="20"/>
          <w:rtl/>
        </w:rPr>
        <w:t xml:space="preserve"> </w:t>
      </w:r>
      <w:r w:rsidRPr="004E018A">
        <w:rPr>
          <w:rFonts w:cs="Arial" w:hint="cs"/>
          <w:sz w:val="20"/>
          <w:szCs w:val="20"/>
          <w:rtl/>
        </w:rPr>
        <w:t>בניסן</w:t>
      </w:r>
      <w:r w:rsidRPr="004E018A">
        <w:rPr>
          <w:rFonts w:cs="Arial"/>
          <w:sz w:val="20"/>
          <w:szCs w:val="20"/>
          <w:rtl/>
        </w:rPr>
        <w:t xml:space="preserve"> </w:t>
      </w:r>
      <w:r w:rsidRPr="004E018A">
        <w:rPr>
          <w:rFonts w:cs="Arial" w:hint="cs"/>
          <w:sz w:val="20"/>
          <w:szCs w:val="20"/>
          <w:rtl/>
        </w:rPr>
        <w:t>ובאחד</w:t>
      </w:r>
      <w:r w:rsidRPr="004E018A">
        <w:rPr>
          <w:rFonts w:cs="Arial"/>
          <w:sz w:val="20"/>
          <w:szCs w:val="20"/>
          <w:rtl/>
        </w:rPr>
        <w:t xml:space="preserve"> </w:t>
      </w:r>
      <w:r w:rsidRPr="004E018A">
        <w:rPr>
          <w:rFonts w:cs="Arial" w:hint="cs"/>
          <w:sz w:val="20"/>
          <w:szCs w:val="20"/>
          <w:rtl/>
        </w:rPr>
        <w:t>באייר</w:t>
      </w:r>
      <w:r w:rsidRPr="004E018A">
        <w:rPr>
          <w:rFonts w:cs="Arial"/>
          <w:sz w:val="20"/>
          <w:szCs w:val="20"/>
          <w:rtl/>
        </w:rPr>
        <w:t xml:space="preserve"> </w:t>
      </w:r>
      <w:r w:rsidRPr="004E018A">
        <w:rPr>
          <w:rFonts w:cs="Arial" w:hint="cs"/>
          <w:sz w:val="20"/>
          <w:szCs w:val="20"/>
          <w:rtl/>
        </w:rPr>
        <w:t>ובאחד</w:t>
      </w:r>
      <w:r w:rsidRPr="004E018A">
        <w:rPr>
          <w:rFonts w:cs="Arial"/>
          <w:sz w:val="20"/>
          <w:szCs w:val="20"/>
          <w:rtl/>
        </w:rPr>
        <w:t xml:space="preserve"> </w:t>
      </w:r>
      <w:r w:rsidRPr="004E018A">
        <w:rPr>
          <w:rFonts w:cs="Arial" w:hint="cs"/>
          <w:sz w:val="20"/>
          <w:szCs w:val="20"/>
          <w:rtl/>
        </w:rPr>
        <w:t>בסיון</w:t>
      </w:r>
      <w:r w:rsidRPr="004E018A">
        <w:rPr>
          <w:rFonts w:cs="Arial"/>
          <w:sz w:val="20"/>
          <w:szCs w:val="20"/>
          <w:rtl/>
        </w:rPr>
        <w:t xml:space="preserve">, </w:t>
      </w:r>
      <w:r w:rsidRPr="004E018A">
        <w:rPr>
          <w:rFonts w:cs="Arial" w:hint="cs"/>
          <w:sz w:val="20"/>
          <w:szCs w:val="20"/>
          <w:rtl/>
        </w:rPr>
        <w:t>או</w:t>
      </w:r>
      <w:r w:rsidRPr="004E018A">
        <w:rPr>
          <w:rFonts w:cs="Arial"/>
          <w:sz w:val="20"/>
          <w:szCs w:val="20"/>
          <w:rtl/>
        </w:rPr>
        <w:t xml:space="preserve"> </w:t>
      </w:r>
      <w:r w:rsidRPr="004E018A">
        <w:rPr>
          <w:rFonts w:cs="Arial" w:hint="cs"/>
          <w:sz w:val="20"/>
          <w:szCs w:val="20"/>
          <w:rtl/>
        </w:rPr>
        <w:t>בה</w:t>
      </w:r>
      <w:r w:rsidRPr="004E018A">
        <w:rPr>
          <w:rFonts w:cs="Arial"/>
          <w:sz w:val="20"/>
          <w:szCs w:val="20"/>
          <w:rtl/>
        </w:rPr>
        <w:t xml:space="preserve">' </w:t>
      </w:r>
      <w:r w:rsidRPr="004E018A">
        <w:rPr>
          <w:rFonts w:cs="Arial" w:hint="cs"/>
          <w:sz w:val="20"/>
          <w:szCs w:val="20"/>
          <w:rtl/>
        </w:rPr>
        <w:t>בניסן</w:t>
      </w:r>
      <w:r w:rsidRPr="004E018A">
        <w:rPr>
          <w:rFonts w:cs="Arial"/>
          <w:sz w:val="20"/>
          <w:szCs w:val="20"/>
          <w:rtl/>
        </w:rPr>
        <w:t xml:space="preserve"> </w:t>
      </w:r>
      <w:r w:rsidRPr="004E018A">
        <w:rPr>
          <w:rFonts w:cs="Arial" w:hint="cs"/>
          <w:sz w:val="20"/>
          <w:szCs w:val="20"/>
          <w:rtl/>
        </w:rPr>
        <w:t>ובה</w:t>
      </w:r>
      <w:r w:rsidRPr="004E018A">
        <w:rPr>
          <w:rFonts w:cs="Arial"/>
          <w:sz w:val="20"/>
          <w:szCs w:val="20"/>
          <w:rtl/>
        </w:rPr>
        <w:t xml:space="preserve">' </w:t>
      </w:r>
      <w:r w:rsidRPr="004E018A">
        <w:rPr>
          <w:rFonts w:cs="Arial" w:hint="cs"/>
          <w:sz w:val="20"/>
          <w:szCs w:val="20"/>
          <w:rtl/>
        </w:rPr>
        <w:t>באייר</w:t>
      </w:r>
      <w:r w:rsidRPr="004E018A">
        <w:rPr>
          <w:rFonts w:cs="Arial"/>
          <w:sz w:val="20"/>
          <w:szCs w:val="20"/>
          <w:rtl/>
        </w:rPr>
        <w:t xml:space="preserve"> </w:t>
      </w:r>
      <w:r w:rsidRPr="004E018A">
        <w:rPr>
          <w:rFonts w:cs="Arial" w:hint="cs"/>
          <w:sz w:val="20"/>
          <w:szCs w:val="20"/>
          <w:rtl/>
        </w:rPr>
        <w:t>ובה</w:t>
      </w:r>
      <w:r w:rsidRPr="004E018A">
        <w:rPr>
          <w:rFonts w:cs="Arial"/>
          <w:sz w:val="20"/>
          <w:szCs w:val="20"/>
          <w:rtl/>
        </w:rPr>
        <w:t xml:space="preserve">' </w:t>
      </w:r>
      <w:r w:rsidRPr="004E018A">
        <w:rPr>
          <w:rFonts w:cs="Arial" w:hint="cs"/>
          <w:sz w:val="20"/>
          <w:szCs w:val="20"/>
          <w:rtl/>
        </w:rPr>
        <w:t>בסיון</w:t>
      </w:r>
      <w:r w:rsidRPr="004E018A">
        <w:rPr>
          <w:rFonts w:cs="Arial"/>
          <w:sz w:val="20"/>
          <w:szCs w:val="20"/>
          <w:rtl/>
        </w:rPr>
        <w:t xml:space="preserve">, </w:t>
      </w:r>
      <w:r w:rsidRPr="004E018A">
        <w:rPr>
          <w:rFonts w:cs="Arial" w:hint="cs"/>
          <w:sz w:val="20"/>
          <w:szCs w:val="20"/>
          <w:rtl/>
        </w:rPr>
        <w:t>קבעה</w:t>
      </w:r>
      <w:r w:rsidRPr="004E018A">
        <w:rPr>
          <w:rFonts w:cs="Arial"/>
          <w:sz w:val="20"/>
          <w:szCs w:val="20"/>
          <w:rtl/>
        </w:rPr>
        <w:t xml:space="preserve"> </w:t>
      </w:r>
      <w:r w:rsidRPr="004E018A">
        <w:rPr>
          <w:rFonts w:cs="Arial" w:hint="cs"/>
          <w:sz w:val="20"/>
          <w:szCs w:val="20"/>
          <w:rtl/>
        </w:rPr>
        <w:t>לה</w:t>
      </w:r>
      <w:r w:rsidRPr="004E018A">
        <w:rPr>
          <w:rFonts w:cs="Arial"/>
          <w:sz w:val="20"/>
          <w:szCs w:val="20"/>
          <w:rtl/>
        </w:rPr>
        <w:t xml:space="preserve"> </w:t>
      </w:r>
      <w:r w:rsidRPr="004E018A">
        <w:rPr>
          <w:rFonts w:cs="Arial" w:hint="cs"/>
          <w:sz w:val="20"/>
          <w:szCs w:val="20"/>
          <w:rtl/>
        </w:rPr>
        <w:t>וסת</w:t>
      </w:r>
      <w:r w:rsidRPr="004E018A">
        <w:rPr>
          <w:rFonts w:cs="Arial"/>
          <w:sz w:val="20"/>
          <w:szCs w:val="20"/>
          <w:rtl/>
        </w:rPr>
        <w:t xml:space="preserve"> </w:t>
      </w:r>
      <w:r w:rsidRPr="004E018A">
        <w:rPr>
          <w:rFonts w:cs="Arial" w:hint="cs"/>
          <w:sz w:val="20"/>
          <w:szCs w:val="20"/>
          <w:rtl/>
        </w:rPr>
        <w:t>באחד</w:t>
      </w:r>
      <w:r w:rsidRPr="004E018A">
        <w:rPr>
          <w:rFonts w:cs="Arial"/>
          <w:sz w:val="20"/>
          <w:szCs w:val="20"/>
          <w:rtl/>
        </w:rPr>
        <w:t xml:space="preserve"> </w:t>
      </w:r>
      <w:r w:rsidRPr="004E018A">
        <w:rPr>
          <w:rFonts w:cs="Arial" w:hint="cs"/>
          <w:sz w:val="20"/>
          <w:szCs w:val="20"/>
          <w:rtl/>
        </w:rPr>
        <w:t>בשבת</w:t>
      </w:r>
      <w:r w:rsidRPr="004E018A">
        <w:rPr>
          <w:rFonts w:cs="Arial"/>
          <w:sz w:val="20"/>
          <w:szCs w:val="20"/>
          <w:rtl/>
        </w:rPr>
        <w:t xml:space="preserve"> </w:t>
      </w:r>
      <w:r w:rsidRPr="004E018A">
        <w:rPr>
          <w:rFonts w:cs="Arial" w:hint="cs"/>
          <w:sz w:val="20"/>
          <w:szCs w:val="20"/>
          <w:rtl/>
        </w:rPr>
        <w:t>או</w:t>
      </w:r>
      <w:r w:rsidRPr="004E018A">
        <w:rPr>
          <w:rFonts w:cs="Arial"/>
          <w:sz w:val="20"/>
          <w:szCs w:val="20"/>
          <w:rtl/>
        </w:rPr>
        <w:t xml:space="preserve"> </w:t>
      </w:r>
      <w:r w:rsidRPr="004E018A">
        <w:rPr>
          <w:rFonts w:cs="Arial" w:hint="cs"/>
          <w:sz w:val="20"/>
          <w:szCs w:val="20"/>
          <w:rtl/>
        </w:rPr>
        <w:t>בה</w:t>
      </w:r>
      <w:r w:rsidRPr="004E018A">
        <w:rPr>
          <w:rFonts w:cs="Arial"/>
          <w:sz w:val="20"/>
          <w:szCs w:val="20"/>
          <w:rtl/>
        </w:rPr>
        <w:t xml:space="preserve">' </w:t>
      </w:r>
      <w:r w:rsidRPr="004E018A">
        <w:rPr>
          <w:rFonts w:cs="Arial" w:hint="cs"/>
          <w:sz w:val="20"/>
          <w:szCs w:val="20"/>
          <w:rtl/>
        </w:rPr>
        <w:t>בו</w:t>
      </w:r>
      <w:r w:rsidRPr="004E018A">
        <w:rPr>
          <w:rFonts w:cs="Arial"/>
          <w:sz w:val="20"/>
          <w:szCs w:val="20"/>
          <w:rtl/>
        </w:rPr>
        <w:t xml:space="preserve">, </w:t>
      </w:r>
      <w:r w:rsidRPr="004E018A">
        <w:rPr>
          <w:rFonts w:cs="Arial" w:hint="cs"/>
          <w:sz w:val="20"/>
          <w:szCs w:val="20"/>
          <w:rtl/>
        </w:rPr>
        <w:t>ובאחד</w:t>
      </w:r>
      <w:r w:rsidRPr="004E018A">
        <w:rPr>
          <w:rFonts w:cs="Arial"/>
          <w:sz w:val="20"/>
          <w:szCs w:val="20"/>
          <w:rtl/>
        </w:rPr>
        <w:t xml:space="preserve"> </w:t>
      </w:r>
      <w:r w:rsidRPr="004E018A">
        <w:rPr>
          <w:rFonts w:cs="Arial" w:hint="cs"/>
          <w:sz w:val="20"/>
          <w:szCs w:val="20"/>
          <w:rtl/>
        </w:rPr>
        <w:t>בחודש</w:t>
      </w:r>
      <w:r w:rsidRPr="004E018A">
        <w:rPr>
          <w:rFonts w:cs="Arial"/>
          <w:sz w:val="20"/>
          <w:szCs w:val="20"/>
          <w:rtl/>
        </w:rPr>
        <w:t xml:space="preserve"> </w:t>
      </w:r>
      <w:r w:rsidRPr="004E018A">
        <w:rPr>
          <w:rFonts w:cs="Arial" w:hint="cs"/>
          <w:sz w:val="20"/>
          <w:szCs w:val="20"/>
          <w:rtl/>
        </w:rPr>
        <w:t>או</w:t>
      </w:r>
      <w:r w:rsidRPr="004E018A">
        <w:rPr>
          <w:rFonts w:cs="Arial"/>
          <w:sz w:val="20"/>
          <w:szCs w:val="20"/>
          <w:rtl/>
        </w:rPr>
        <w:t xml:space="preserve"> </w:t>
      </w:r>
      <w:r w:rsidRPr="004E018A">
        <w:rPr>
          <w:rFonts w:cs="Arial" w:hint="cs"/>
          <w:sz w:val="20"/>
          <w:szCs w:val="20"/>
          <w:rtl/>
        </w:rPr>
        <w:t>בה</w:t>
      </w:r>
      <w:r w:rsidRPr="004E018A">
        <w:rPr>
          <w:rFonts w:cs="Arial"/>
          <w:sz w:val="20"/>
          <w:szCs w:val="20"/>
          <w:rtl/>
        </w:rPr>
        <w:t xml:space="preserve">' </w:t>
      </w:r>
      <w:r w:rsidRPr="004E018A">
        <w:rPr>
          <w:rFonts w:cs="Arial" w:hint="cs"/>
          <w:sz w:val="20"/>
          <w:szCs w:val="20"/>
          <w:rtl/>
        </w:rPr>
        <w:t>בו</w:t>
      </w:r>
      <w:r w:rsidRPr="004E018A">
        <w:rPr>
          <w:rFonts w:cs="Arial"/>
          <w:sz w:val="20"/>
          <w:szCs w:val="20"/>
          <w:rtl/>
        </w:rPr>
        <w:t xml:space="preserve">, </w:t>
      </w:r>
      <w:r w:rsidRPr="004E018A">
        <w:rPr>
          <w:rFonts w:cs="Arial" w:hint="cs"/>
          <w:sz w:val="20"/>
          <w:szCs w:val="20"/>
          <w:rtl/>
        </w:rPr>
        <w:t>אף</w:t>
      </w:r>
      <w:r w:rsidRPr="004E018A">
        <w:rPr>
          <w:rFonts w:cs="Arial"/>
          <w:sz w:val="20"/>
          <w:szCs w:val="20"/>
          <w:rtl/>
        </w:rPr>
        <w:t xml:space="preserve"> </w:t>
      </w:r>
      <w:r w:rsidRPr="004E018A">
        <w:rPr>
          <w:rFonts w:cs="Arial" w:hint="cs"/>
          <w:sz w:val="20"/>
          <w:szCs w:val="20"/>
          <w:rtl/>
        </w:rPr>
        <w:t>על</w:t>
      </w:r>
      <w:r w:rsidRPr="004E018A">
        <w:rPr>
          <w:rFonts w:cs="Arial"/>
          <w:sz w:val="20"/>
          <w:szCs w:val="20"/>
          <w:rtl/>
        </w:rPr>
        <w:t xml:space="preserve"> </w:t>
      </w:r>
      <w:r w:rsidRPr="004E018A">
        <w:rPr>
          <w:rFonts w:cs="Arial" w:hint="cs"/>
          <w:sz w:val="20"/>
          <w:szCs w:val="20"/>
          <w:rtl/>
        </w:rPr>
        <w:t>פי</w:t>
      </w:r>
      <w:r w:rsidRPr="004E018A">
        <w:rPr>
          <w:rFonts w:cs="Arial"/>
          <w:sz w:val="20"/>
          <w:szCs w:val="20"/>
          <w:rtl/>
        </w:rPr>
        <w:t xml:space="preserve"> </w:t>
      </w:r>
      <w:r w:rsidRPr="004E018A">
        <w:rPr>
          <w:rFonts w:cs="Arial" w:hint="cs"/>
          <w:sz w:val="20"/>
          <w:szCs w:val="20"/>
          <w:rtl/>
        </w:rPr>
        <w:t>שאחד</w:t>
      </w:r>
      <w:r w:rsidRPr="004E018A">
        <w:rPr>
          <w:rFonts w:cs="Arial"/>
          <w:sz w:val="20"/>
          <w:szCs w:val="20"/>
          <w:rtl/>
        </w:rPr>
        <w:t xml:space="preserve"> </w:t>
      </w:r>
      <w:r w:rsidRPr="004E018A">
        <w:rPr>
          <w:rFonts w:cs="Arial" w:hint="cs"/>
          <w:sz w:val="20"/>
          <w:szCs w:val="20"/>
          <w:rtl/>
        </w:rPr>
        <w:t>מלא</w:t>
      </w:r>
      <w:r w:rsidRPr="004E018A">
        <w:rPr>
          <w:rFonts w:cs="Arial"/>
          <w:sz w:val="20"/>
          <w:szCs w:val="20"/>
          <w:rtl/>
        </w:rPr>
        <w:t xml:space="preserve"> </w:t>
      </w:r>
      <w:r w:rsidRPr="004E018A">
        <w:rPr>
          <w:rFonts w:cs="Arial" w:hint="cs"/>
          <w:sz w:val="20"/>
          <w:szCs w:val="20"/>
          <w:rtl/>
        </w:rPr>
        <w:t>ואחד</w:t>
      </w:r>
      <w:r w:rsidRPr="004E018A">
        <w:rPr>
          <w:rFonts w:cs="Arial"/>
          <w:sz w:val="20"/>
          <w:szCs w:val="20"/>
          <w:rtl/>
        </w:rPr>
        <w:t xml:space="preserve"> </w:t>
      </w:r>
      <w:r w:rsidRPr="004E018A">
        <w:rPr>
          <w:rFonts w:cs="Arial" w:hint="cs"/>
          <w:sz w:val="20"/>
          <w:szCs w:val="20"/>
          <w:rtl/>
        </w:rPr>
        <w:t>חסר</w:t>
      </w:r>
      <w:r w:rsidRPr="004E018A">
        <w:rPr>
          <w:rFonts w:cs="Arial"/>
          <w:sz w:val="20"/>
          <w:szCs w:val="20"/>
          <w:rtl/>
        </w:rPr>
        <w:t xml:space="preserve">, </w:t>
      </w:r>
      <w:r w:rsidRPr="004E018A">
        <w:rPr>
          <w:rFonts w:cs="Arial" w:hint="cs"/>
          <w:sz w:val="20"/>
          <w:szCs w:val="20"/>
          <w:rtl/>
        </w:rPr>
        <w:t>אין</w:t>
      </w:r>
      <w:r w:rsidRPr="004E018A">
        <w:rPr>
          <w:rFonts w:cs="Arial"/>
          <w:sz w:val="20"/>
          <w:szCs w:val="20"/>
          <w:rtl/>
        </w:rPr>
        <w:t xml:space="preserve"> </w:t>
      </w:r>
      <w:r w:rsidRPr="004E018A">
        <w:rPr>
          <w:rFonts w:cs="Arial" w:hint="cs"/>
          <w:sz w:val="20"/>
          <w:szCs w:val="20"/>
          <w:rtl/>
        </w:rPr>
        <w:t>מדקדקין</w:t>
      </w:r>
      <w:r w:rsidRPr="004E018A">
        <w:rPr>
          <w:rFonts w:cs="Arial"/>
          <w:sz w:val="20"/>
          <w:szCs w:val="20"/>
          <w:rtl/>
        </w:rPr>
        <w:t xml:space="preserve"> </w:t>
      </w:r>
      <w:r w:rsidRPr="004E018A">
        <w:rPr>
          <w:rFonts w:cs="Arial" w:hint="cs"/>
          <w:sz w:val="20"/>
          <w:szCs w:val="20"/>
          <w:rtl/>
        </w:rPr>
        <w:t>בכך</w:t>
      </w:r>
      <w:r>
        <w:rPr>
          <w:rFonts w:cs="Arial" w:hint="cs"/>
          <w:sz w:val="20"/>
          <w:szCs w:val="20"/>
          <w:rtl/>
        </w:rPr>
        <w:t>".</w:t>
      </w:r>
    </w:p>
    <w:p w:rsidR="00620060" w:rsidRDefault="00620060" w:rsidP="00620060">
      <w:pPr>
        <w:rPr>
          <w:rFonts w:cs="Arial"/>
          <w:sz w:val="20"/>
          <w:szCs w:val="20"/>
          <w:rtl/>
        </w:rPr>
      </w:pPr>
      <w:r>
        <w:rPr>
          <w:rFonts w:cs="Arial" w:hint="cs"/>
          <w:sz w:val="20"/>
          <w:szCs w:val="20"/>
          <w:u w:val="single"/>
          <w:rtl/>
        </w:rPr>
        <w:t>ווסת החודש ע"פ מולד או ע"פ התאריך? (ש"ך)</w:t>
      </w:r>
      <w:r>
        <w:rPr>
          <w:rFonts w:cs="Arial" w:hint="cs"/>
          <w:sz w:val="20"/>
          <w:szCs w:val="20"/>
          <w:u w:val="single"/>
          <w:rtl/>
        </w:rPr>
        <w:br/>
      </w:r>
      <w:r>
        <w:rPr>
          <w:rFonts w:cs="Arial" w:hint="cs"/>
          <w:sz w:val="20"/>
          <w:szCs w:val="20"/>
          <w:rtl/>
        </w:rPr>
        <w:t xml:space="preserve">א. </w:t>
      </w:r>
      <w:r w:rsidRPr="00A42343">
        <w:rPr>
          <w:rFonts w:cs="Arial" w:hint="cs"/>
          <w:b/>
          <w:bCs/>
          <w:sz w:val="20"/>
          <w:szCs w:val="20"/>
          <w:rtl/>
        </w:rPr>
        <w:t>רא"ה</w:t>
      </w:r>
      <w:r>
        <w:rPr>
          <w:rFonts w:cs="Arial" w:hint="cs"/>
          <w:sz w:val="20"/>
          <w:szCs w:val="20"/>
          <w:rtl/>
        </w:rPr>
        <w:t xml:space="preserve"> </w:t>
      </w:r>
      <w:r>
        <w:rPr>
          <w:rFonts w:cs="Arial"/>
          <w:sz w:val="20"/>
          <w:szCs w:val="20"/>
          <w:rtl/>
        </w:rPr>
        <w:t>–</w:t>
      </w:r>
      <w:r>
        <w:rPr>
          <w:rFonts w:cs="Arial" w:hint="cs"/>
          <w:sz w:val="20"/>
          <w:szCs w:val="20"/>
          <w:rtl/>
        </w:rPr>
        <w:t xml:space="preserve"> ווסת החודש נקבע ע"פ מולד הלבנה ולא ע"פ התאריך בחודש.</w:t>
      </w:r>
      <w:r>
        <w:rPr>
          <w:rFonts w:cs="Arial"/>
          <w:sz w:val="20"/>
          <w:szCs w:val="20"/>
          <w:rtl/>
        </w:rPr>
        <w:br/>
      </w:r>
      <w:r w:rsidRPr="00A42343">
        <w:rPr>
          <w:rFonts w:cs="Arial" w:hint="cs"/>
          <w:b/>
          <w:bCs/>
          <w:sz w:val="20"/>
          <w:szCs w:val="20"/>
          <w:rtl/>
        </w:rPr>
        <w:t>טעם</w:t>
      </w:r>
      <w:r>
        <w:rPr>
          <w:rFonts w:cs="Arial" w:hint="cs"/>
          <w:sz w:val="20"/>
          <w:szCs w:val="20"/>
          <w:rtl/>
        </w:rPr>
        <w:t xml:space="preserve"> </w:t>
      </w:r>
      <w:r>
        <w:rPr>
          <w:rFonts w:cs="Arial"/>
          <w:sz w:val="20"/>
          <w:szCs w:val="20"/>
          <w:rtl/>
        </w:rPr>
        <w:t>–</w:t>
      </w:r>
      <w:r>
        <w:rPr>
          <w:rFonts w:cs="Arial" w:hint="cs"/>
          <w:sz w:val="20"/>
          <w:szCs w:val="20"/>
          <w:rtl/>
        </w:rPr>
        <w:t xml:space="preserve"> מולד הלבנה משפיע באופן רוחני על ראיותיה, אך קידוש החודש אינו משפיע כלל.</w:t>
      </w:r>
      <w:r>
        <w:rPr>
          <w:rFonts w:cs="Arial"/>
          <w:sz w:val="20"/>
          <w:szCs w:val="20"/>
          <w:rtl/>
        </w:rPr>
        <w:br/>
      </w:r>
      <w:r>
        <w:rPr>
          <w:rFonts w:cs="Arial" w:hint="cs"/>
          <w:sz w:val="20"/>
          <w:szCs w:val="20"/>
          <w:rtl/>
        </w:rPr>
        <w:t xml:space="preserve">ב. </w:t>
      </w:r>
      <w:r w:rsidRPr="00A42343">
        <w:rPr>
          <w:rFonts w:cs="Arial" w:hint="cs"/>
          <w:b/>
          <w:bCs/>
          <w:sz w:val="20"/>
          <w:szCs w:val="20"/>
          <w:rtl/>
        </w:rPr>
        <w:t>רשב"א</w:t>
      </w:r>
      <w:r>
        <w:rPr>
          <w:rFonts w:cs="Arial" w:hint="cs"/>
          <w:sz w:val="20"/>
          <w:szCs w:val="20"/>
          <w:rtl/>
        </w:rPr>
        <w:t xml:space="preserve"> </w:t>
      </w:r>
      <w:r>
        <w:rPr>
          <w:rFonts w:cs="Arial"/>
          <w:sz w:val="20"/>
          <w:szCs w:val="20"/>
          <w:rtl/>
        </w:rPr>
        <w:t>–</w:t>
      </w:r>
      <w:r>
        <w:rPr>
          <w:rFonts w:cs="Arial" w:hint="cs"/>
          <w:sz w:val="20"/>
          <w:szCs w:val="20"/>
          <w:rtl/>
        </w:rPr>
        <w:t xml:space="preserve"> ווסת החודש נקבע ע"פ קידוש בי"ד את החודש, וכ"פ </w:t>
      </w:r>
      <w:r w:rsidRPr="00A42343">
        <w:rPr>
          <w:rFonts w:cs="Arial" w:hint="cs"/>
          <w:b/>
          <w:bCs/>
          <w:sz w:val="20"/>
          <w:szCs w:val="20"/>
          <w:rtl/>
        </w:rPr>
        <w:t>ה</w:t>
      </w:r>
      <w:r>
        <w:rPr>
          <w:rFonts w:cs="Arial" w:hint="cs"/>
          <w:b/>
          <w:bCs/>
          <w:sz w:val="20"/>
          <w:szCs w:val="20"/>
          <w:rtl/>
        </w:rPr>
        <w:t>ש"ך</w:t>
      </w:r>
      <w:r>
        <w:rPr>
          <w:rFonts w:cs="Arial" w:hint="cs"/>
          <w:sz w:val="20"/>
          <w:szCs w:val="20"/>
          <w:rtl/>
        </w:rPr>
        <w:t>.</w:t>
      </w:r>
      <w:r>
        <w:rPr>
          <w:rFonts w:cs="Arial"/>
          <w:sz w:val="20"/>
          <w:szCs w:val="20"/>
          <w:rtl/>
        </w:rPr>
        <w:br/>
      </w:r>
      <w:r w:rsidRPr="00A42343">
        <w:rPr>
          <w:rFonts w:cs="Arial" w:hint="cs"/>
          <w:b/>
          <w:bCs/>
          <w:sz w:val="20"/>
          <w:szCs w:val="20"/>
          <w:rtl/>
        </w:rPr>
        <w:t>טעם</w:t>
      </w:r>
      <w:r>
        <w:rPr>
          <w:rFonts w:cs="Arial" w:hint="cs"/>
          <w:sz w:val="20"/>
          <w:szCs w:val="20"/>
          <w:rtl/>
        </w:rPr>
        <w:t xml:space="preserve"> </w:t>
      </w:r>
      <w:r>
        <w:rPr>
          <w:rFonts w:cs="Arial"/>
          <w:sz w:val="20"/>
          <w:szCs w:val="20"/>
          <w:rtl/>
        </w:rPr>
        <w:t>–</w:t>
      </w:r>
      <w:r>
        <w:rPr>
          <w:rFonts w:cs="Arial" w:hint="cs"/>
          <w:sz w:val="20"/>
          <w:szCs w:val="20"/>
          <w:rtl/>
        </w:rPr>
        <w:t xml:space="preserve"> מוכח בש"ס שקביעת בי"ד משפיעה על פסיקות הלכתיות שונות, עיין הערה.</w:t>
      </w:r>
      <w:r>
        <w:rPr>
          <w:rStyle w:val="a5"/>
          <w:rFonts w:cs="Arial"/>
          <w:sz w:val="20"/>
          <w:szCs w:val="20"/>
          <w:rtl/>
        </w:rPr>
        <w:footnoteReference w:id="179"/>
      </w:r>
    </w:p>
    <w:p w:rsidR="00620060" w:rsidRDefault="00620060" w:rsidP="00620060">
      <w:pPr>
        <w:rPr>
          <w:rFonts w:cs="Arial"/>
          <w:sz w:val="20"/>
          <w:szCs w:val="20"/>
          <w:rtl/>
        </w:rPr>
      </w:pPr>
      <w:r>
        <w:rPr>
          <w:rFonts w:cs="Arial" w:hint="cs"/>
          <w:sz w:val="20"/>
          <w:szCs w:val="20"/>
          <w:u w:val="single"/>
          <w:rtl/>
        </w:rPr>
        <w:t xml:space="preserve">ווסת השבוע </w:t>
      </w:r>
      <w:r>
        <w:rPr>
          <w:rFonts w:cs="Arial"/>
          <w:sz w:val="20"/>
          <w:szCs w:val="20"/>
          <w:u w:val="single"/>
          <w:rtl/>
        </w:rPr>
        <w:t>–</w:t>
      </w:r>
      <w:r>
        <w:rPr>
          <w:rFonts w:cs="Arial" w:hint="cs"/>
          <w:sz w:val="20"/>
          <w:szCs w:val="20"/>
          <w:u w:val="single"/>
          <w:rtl/>
        </w:rPr>
        <w:t xml:space="preserve"> הסבר</w:t>
      </w:r>
      <w:r>
        <w:rPr>
          <w:rFonts w:cs="Arial"/>
          <w:sz w:val="20"/>
          <w:szCs w:val="20"/>
          <w:u w:val="single"/>
          <w:rtl/>
        </w:rPr>
        <w:br/>
      </w:r>
      <w:r w:rsidRPr="00B71BA1">
        <w:rPr>
          <w:rFonts w:cs="Arial" w:hint="cs"/>
          <w:b/>
          <w:bCs/>
          <w:sz w:val="20"/>
          <w:szCs w:val="20"/>
          <w:rtl/>
        </w:rPr>
        <w:t>ש"ך</w:t>
      </w:r>
      <w:r>
        <w:rPr>
          <w:rFonts w:cs="Arial" w:hint="cs"/>
          <w:sz w:val="20"/>
          <w:szCs w:val="20"/>
          <w:rtl/>
        </w:rPr>
        <w:t xml:space="preserve"> </w:t>
      </w:r>
      <w:r>
        <w:rPr>
          <w:rFonts w:cs="Arial"/>
          <w:sz w:val="20"/>
          <w:szCs w:val="20"/>
          <w:rtl/>
        </w:rPr>
        <w:t>–</w:t>
      </w:r>
      <w:r>
        <w:rPr>
          <w:rFonts w:cs="Arial" w:hint="cs"/>
          <w:sz w:val="20"/>
          <w:szCs w:val="20"/>
          <w:rtl/>
        </w:rPr>
        <w:t xml:space="preserve"> ווסת השבוע הוא ווסת שבו האשה רגילה לראות ביום מסויים בהפרשי שבועות שווים, כגון אחת לשלושה שבועות ביום שלישי.</w:t>
      </w:r>
      <w:r>
        <w:rPr>
          <w:rFonts w:cs="Arial"/>
          <w:sz w:val="20"/>
          <w:szCs w:val="20"/>
          <w:rtl/>
        </w:rPr>
        <w:br/>
      </w:r>
      <w:r>
        <w:rPr>
          <w:rFonts w:cs="Arial" w:hint="cs"/>
          <w:sz w:val="20"/>
          <w:szCs w:val="20"/>
          <w:rtl/>
        </w:rPr>
        <w:t xml:space="preserve">וקשה </w:t>
      </w:r>
      <w:r>
        <w:rPr>
          <w:rFonts w:cs="Arial"/>
          <w:sz w:val="20"/>
          <w:szCs w:val="20"/>
          <w:rtl/>
        </w:rPr>
        <w:t>–</w:t>
      </w:r>
      <w:r>
        <w:rPr>
          <w:rFonts w:cs="Arial" w:hint="cs"/>
          <w:sz w:val="20"/>
          <w:szCs w:val="20"/>
          <w:rtl/>
        </w:rPr>
        <w:t xml:space="preserve"> מאי שנא מווסת ההפלגה? </w:t>
      </w:r>
      <w:r>
        <w:rPr>
          <w:rFonts w:cs="Arial"/>
          <w:sz w:val="20"/>
          <w:szCs w:val="20"/>
          <w:rtl/>
        </w:rPr>
        <w:br/>
      </w:r>
      <w:r>
        <w:rPr>
          <w:rFonts w:cs="Arial" w:hint="cs"/>
          <w:sz w:val="20"/>
          <w:szCs w:val="20"/>
          <w:rtl/>
        </w:rPr>
        <w:t xml:space="preserve">תשובה </w:t>
      </w:r>
      <w:r>
        <w:rPr>
          <w:rFonts w:cs="Arial"/>
          <w:sz w:val="20"/>
          <w:szCs w:val="20"/>
          <w:rtl/>
        </w:rPr>
        <w:t>–</w:t>
      </w:r>
      <w:r>
        <w:rPr>
          <w:rFonts w:cs="Arial" w:hint="cs"/>
          <w:sz w:val="20"/>
          <w:szCs w:val="20"/>
          <w:rtl/>
        </w:rPr>
        <w:t xml:space="preserve"> ווסת ההפלגה נקבע בד' ראיות, ואילו ווסת השבוע נקבע בג' ראיות. </w:t>
      </w:r>
      <w:r w:rsidRPr="00747B85">
        <w:rPr>
          <w:rFonts w:cs="Arial" w:hint="cs"/>
          <w:sz w:val="18"/>
          <w:szCs w:val="18"/>
          <w:rtl/>
        </w:rPr>
        <w:t>[כיוון שלקביעת ווסת ההפלגה בעיא ד' ראיות בכדי ל</w:t>
      </w:r>
      <w:r>
        <w:rPr>
          <w:rFonts w:cs="Arial" w:hint="cs"/>
          <w:sz w:val="18"/>
          <w:szCs w:val="18"/>
          <w:rtl/>
        </w:rPr>
        <w:t>הכיר</w:t>
      </w:r>
      <w:r w:rsidRPr="00747B85">
        <w:rPr>
          <w:rFonts w:cs="Arial" w:hint="cs"/>
          <w:sz w:val="18"/>
          <w:szCs w:val="18"/>
          <w:rtl/>
        </w:rPr>
        <w:t xml:space="preserve"> באמצעותן שיש ג' דילוגים, אך כאן תלוי ב</w:t>
      </w:r>
      <w:r>
        <w:rPr>
          <w:rFonts w:cs="Arial" w:hint="cs"/>
          <w:sz w:val="18"/>
          <w:szCs w:val="18"/>
          <w:rtl/>
        </w:rPr>
        <w:t>ימות ה</w:t>
      </w:r>
      <w:r w:rsidRPr="00747B85">
        <w:rPr>
          <w:rFonts w:cs="Arial" w:hint="cs"/>
          <w:sz w:val="18"/>
          <w:szCs w:val="18"/>
          <w:rtl/>
        </w:rPr>
        <w:t>שבוע ו</w:t>
      </w:r>
      <w:r>
        <w:rPr>
          <w:rFonts w:cs="Arial" w:hint="cs"/>
          <w:sz w:val="18"/>
          <w:szCs w:val="18"/>
          <w:rtl/>
        </w:rPr>
        <w:t xml:space="preserve">לכן </w:t>
      </w:r>
      <w:r w:rsidRPr="00747B85">
        <w:rPr>
          <w:rFonts w:cs="Arial" w:hint="cs"/>
          <w:sz w:val="18"/>
          <w:szCs w:val="18"/>
          <w:rtl/>
        </w:rPr>
        <w:t>גם בראייה הראשונה יש קביעות זמן].</w:t>
      </w:r>
      <w:r>
        <w:rPr>
          <w:rFonts w:cs="Arial"/>
          <w:sz w:val="20"/>
          <w:szCs w:val="20"/>
          <w:rtl/>
        </w:rPr>
        <w:br/>
      </w:r>
      <w:r>
        <w:rPr>
          <w:rFonts w:cs="Arial"/>
          <w:b/>
          <w:bCs/>
          <w:sz w:val="20"/>
          <w:szCs w:val="20"/>
          <w:rtl/>
        </w:rPr>
        <w:br/>
      </w:r>
      <w:r>
        <w:rPr>
          <w:rFonts w:cs="Arial" w:hint="cs"/>
          <w:sz w:val="20"/>
          <w:szCs w:val="20"/>
          <w:u w:val="single"/>
          <w:rtl/>
        </w:rPr>
        <w:t>ווסת השבוע שהופכת לווסת ההפלגה (פת"ש)</w:t>
      </w:r>
      <w:r>
        <w:rPr>
          <w:rFonts w:cs="Arial" w:hint="cs"/>
          <w:sz w:val="20"/>
          <w:szCs w:val="20"/>
          <w:u w:val="single"/>
          <w:rtl/>
        </w:rPr>
        <w:br/>
      </w:r>
      <w:r w:rsidRPr="001117A8">
        <w:rPr>
          <w:rFonts w:cs="Arial" w:hint="cs"/>
          <w:b/>
          <w:bCs/>
          <w:sz w:val="20"/>
          <w:szCs w:val="20"/>
          <w:rtl/>
        </w:rPr>
        <w:t>חוו"ד</w:t>
      </w:r>
      <w:r>
        <w:rPr>
          <w:rFonts w:cs="Arial" w:hint="cs"/>
          <w:sz w:val="20"/>
          <w:szCs w:val="20"/>
          <w:rtl/>
        </w:rPr>
        <w:t xml:space="preserve"> </w:t>
      </w:r>
      <w:r>
        <w:rPr>
          <w:rFonts w:cs="Arial"/>
          <w:sz w:val="20"/>
          <w:szCs w:val="20"/>
          <w:rtl/>
        </w:rPr>
        <w:t>–</w:t>
      </w:r>
      <w:r>
        <w:rPr>
          <w:rFonts w:cs="Arial" w:hint="cs"/>
          <w:sz w:val="20"/>
          <w:szCs w:val="20"/>
          <w:rtl/>
        </w:rPr>
        <w:t xml:space="preserve"> בעלת ווסת שבוע שראתה פעם רביעית, קבעה ווסת להפלגה ואינה חוששת לווסת השבוע.</w:t>
      </w:r>
      <w:r>
        <w:rPr>
          <w:rFonts w:cs="Arial" w:hint="cs"/>
          <w:sz w:val="20"/>
          <w:szCs w:val="20"/>
          <w:rtl/>
        </w:rPr>
        <w:br/>
        <w:t>ומה הנפק"מ בין ווסת השבוע לווסת ההפלגה?</w:t>
      </w:r>
      <w:r>
        <w:rPr>
          <w:rFonts w:cs="Arial" w:hint="cs"/>
          <w:sz w:val="20"/>
          <w:szCs w:val="20"/>
          <w:rtl/>
        </w:rPr>
        <w:br/>
        <w:t xml:space="preserve">א. </w:t>
      </w:r>
      <w:r w:rsidRPr="003A15C7">
        <w:rPr>
          <w:rFonts w:cs="Arial" w:hint="cs"/>
          <w:b/>
          <w:bCs/>
          <w:sz w:val="20"/>
          <w:szCs w:val="20"/>
          <w:rtl/>
        </w:rPr>
        <w:t>סד"ט</w:t>
      </w:r>
      <w:r>
        <w:rPr>
          <w:rFonts w:cs="Arial" w:hint="cs"/>
          <w:sz w:val="20"/>
          <w:szCs w:val="20"/>
          <w:rtl/>
        </w:rPr>
        <w:t xml:space="preserve"> </w:t>
      </w:r>
      <w:r>
        <w:rPr>
          <w:rFonts w:cs="Arial"/>
          <w:sz w:val="20"/>
          <w:szCs w:val="20"/>
          <w:rtl/>
        </w:rPr>
        <w:t>–</w:t>
      </w:r>
      <w:r>
        <w:rPr>
          <w:rFonts w:cs="Arial" w:hint="cs"/>
          <w:sz w:val="20"/>
          <w:szCs w:val="20"/>
          <w:rtl/>
        </w:rPr>
        <w:t xml:space="preserve"> אם עבר ווסתה ולא ראתה, בווסת ההפלגה אינה חוששת מעתה לווסת עד שתחזור ותראה, דבלא זה ליכא הפלגה, אך בווסת השבוע חוששת ליום הראוי לווסתה אע"פ שעברו פעם או פעמיים שלא ראתה. </w:t>
      </w:r>
      <w:r>
        <w:rPr>
          <w:rFonts w:cs="Arial" w:hint="cs"/>
          <w:sz w:val="20"/>
          <w:szCs w:val="20"/>
          <w:rtl/>
        </w:rPr>
        <w:br/>
        <w:t xml:space="preserve">ב. </w:t>
      </w:r>
      <w:r w:rsidRPr="003A15C7">
        <w:rPr>
          <w:rFonts w:cs="Arial" w:hint="cs"/>
          <w:b/>
          <w:bCs/>
          <w:sz w:val="20"/>
          <w:szCs w:val="20"/>
          <w:rtl/>
        </w:rPr>
        <w:t>חוו"ד</w:t>
      </w:r>
      <w:r>
        <w:rPr>
          <w:rFonts w:cs="Arial" w:hint="cs"/>
          <w:sz w:val="20"/>
          <w:szCs w:val="20"/>
          <w:rtl/>
        </w:rPr>
        <w:t xml:space="preserve"> </w:t>
      </w:r>
      <w:r>
        <w:rPr>
          <w:rFonts w:cs="Arial"/>
          <w:sz w:val="20"/>
          <w:szCs w:val="20"/>
          <w:rtl/>
        </w:rPr>
        <w:t>–</w:t>
      </w:r>
      <w:r>
        <w:rPr>
          <w:rFonts w:cs="Arial" w:hint="cs"/>
          <w:sz w:val="20"/>
          <w:szCs w:val="20"/>
          <w:rtl/>
        </w:rPr>
        <w:t xml:space="preserve"> אם ראתה ביום אחר, כגון שרגילה לראות ביום א' וראתה בב', בווסת ההפלגה מונה מראייתה האחרונה, אך בווסת השבוע ממשיכה לחוש כרגיל לימות השבוע.</w:t>
      </w:r>
    </w:p>
    <w:p w:rsidR="00620060" w:rsidRDefault="00620060" w:rsidP="00620060">
      <w:pPr>
        <w:rPr>
          <w:sz w:val="20"/>
          <w:szCs w:val="20"/>
          <w:rtl/>
        </w:rPr>
      </w:pPr>
      <w:r w:rsidRPr="00EA49B7">
        <w:rPr>
          <w:rFonts w:hint="cs"/>
          <w:b/>
          <w:bCs/>
          <w:sz w:val="20"/>
          <w:szCs w:val="20"/>
          <w:rtl/>
        </w:rPr>
        <w:t>סיכום</w:t>
      </w:r>
      <w:r>
        <w:rPr>
          <w:sz w:val="20"/>
          <w:szCs w:val="20"/>
          <w:rtl/>
        </w:rPr>
        <w:br/>
      </w:r>
      <w:r>
        <w:rPr>
          <w:rFonts w:hint="cs"/>
          <w:sz w:val="20"/>
          <w:szCs w:val="20"/>
          <w:rtl/>
        </w:rPr>
        <w:t xml:space="preserve">1. </w:t>
      </w:r>
      <w:r w:rsidRPr="00EA49B7">
        <w:rPr>
          <w:rFonts w:hint="cs"/>
          <w:b/>
          <w:bCs/>
          <w:sz w:val="20"/>
          <w:szCs w:val="20"/>
          <w:rtl/>
        </w:rPr>
        <w:t>גמרא</w:t>
      </w:r>
      <w:r>
        <w:rPr>
          <w:rFonts w:hint="cs"/>
          <w:sz w:val="20"/>
          <w:szCs w:val="20"/>
          <w:rtl/>
        </w:rPr>
        <w:t xml:space="preserve">. ווסת נקבע גם ע"פ ימות החודש. </w:t>
      </w:r>
      <w:r w:rsidRPr="003862E2">
        <w:rPr>
          <w:rFonts w:hint="cs"/>
          <w:b/>
          <w:bCs/>
          <w:sz w:val="20"/>
          <w:szCs w:val="20"/>
          <w:rtl/>
        </w:rPr>
        <w:t>תוספות</w:t>
      </w:r>
      <w:r>
        <w:rPr>
          <w:rFonts w:hint="cs"/>
          <w:sz w:val="20"/>
          <w:szCs w:val="20"/>
          <w:rtl/>
        </w:rPr>
        <w:t>. דין זה נאמר למרות שאין ההפלגות שוות.</w:t>
      </w:r>
      <w:r>
        <w:rPr>
          <w:sz w:val="20"/>
          <w:szCs w:val="20"/>
          <w:rtl/>
        </w:rPr>
        <w:br/>
      </w:r>
      <w:r>
        <w:rPr>
          <w:rFonts w:hint="cs"/>
          <w:sz w:val="20"/>
          <w:szCs w:val="20"/>
          <w:rtl/>
        </w:rPr>
        <w:lastRenderedPageBreak/>
        <w:t xml:space="preserve">2. </w:t>
      </w:r>
      <w:r w:rsidRPr="00EA49B7">
        <w:rPr>
          <w:rFonts w:hint="cs"/>
          <w:b/>
          <w:bCs/>
          <w:sz w:val="20"/>
          <w:szCs w:val="20"/>
          <w:rtl/>
        </w:rPr>
        <w:t>ב"י</w:t>
      </w:r>
      <w:r>
        <w:rPr>
          <w:rFonts w:hint="cs"/>
          <w:sz w:val="20"/>
          <w:szCs w:val="20"/>
          <w:rtl/>
        </w:rPr>
        <w:t>. בווסת החודש שמואל מודה שאין צריך ד' ראיות.</w:t>
      </w:r>
      <w:r>
        <w:rPr>
          <w:sz w:val="20"/>
          <w:szCs w:val="20"/>
          <w:rtl/>
        </w:rPr>
        <w:br/>
      </w:r>
      <w:r>
        <w:rPr>
          <w:rFonts w:hint="cs"/>
          <w:sz w:val="20"/>
          <w:szCs w:val="20"/>
          <w:rtl/>
        </w:rPr>
        <w:t xml:space="preserve">3. </w:t>
      </w:r>
      <w:r w:rsidRPr="004F7832">
        <w:rPr>
          <w:rFonts w:hint="cs"/>
          <w:sz w:val="20"/>
          <w:szCs w:val="20"/>
          <w:rtl/>
        </w:rPr>
        <w:t xml:space="preserve">כיצד נקבע ווסת החודש? </w:t>
      </w:r>
      <w:r w:rsidRPr="004F7832">
        <w:rPr>
          <w:rFonts w:hint="cs"/>
          <w:b/>
          <w:bCs/>
          <w:sz w:val="20"/>
          <w:szCs w:val="20"/>
          <w:rtl/>
        </w:rPr>
        <w:t>רא</w:t>
      </w:r>
      <w:r w:rsidRPr="00EA49B7">
        <w:rPr>
          <w:rFonts w:hint="cs"/>
          <w:b/>
          <w:bCs/>
          <w:sz w:val="20"/>
          <w:szCs w:val="20"/>
          <w:rtl/>
        </w:rPr>
        <w:t>"ה</w:t>
      </w:r>
      <w:r>
        <w:rPr>
          <w:rFonts w:hint="cs"/>
          <w:sz w:val="20"/>
          <w:szCs w:val="20"/>
          <w:rtl/>
        </w:rPr>
        <w:t xml:space="preserve">. ע"פ המולד. </w:t>
      </w:r>
      <w:r w:rsidRPr="00EA49B7">
        <w:rPr>
          <w:rFonts w:hint="cs"/>
          <w:b/>
          <w:bCs/>
          <w:sz w:val="20"/>
          <w:szCs w:val="20"/>
          <w:rtl/>
        </w:rPr>
        <w:t>רשב"א</w:t>
      </w:r>
      <w:r>
        <w:rPr>
          <w:rFonts w:hint="cs"/>
          <w:sz w:val="20"/>
          <w:szCs w:val="20"/>
          <w:rtl/>
        </w:rPr>
        <w:t>. ע"פ קידוש החודש.</w:t>
      </w:r>
      <w:r>
        <w:rPr>
          <w:rFonts w:hint="cs"/>
          <w:sz w:val="20"/>
          <w:szCs w:val="20"/>
          <w:rtl/>
        </w:rPr>
        <w:br/>
        <w:t xml:space="preserve">4. </w:t>
      </w:r>
      <w:r w:rsidRPr="00EA49B7">
        <w:rPr>
          <w:rFonts w:hint="cs"/>
          <w:b/>
          <w:bCs/>
          <w:sz w:val="20"/>
          <w:szCs w:val="20"/>
          <w:rtl/>
        </w:rPr>
        <w:t>גמרא</w:t>
      </w:r>
      <w:r>
        <w:rPr>
          <w:rFonts w:hint="cs"/>
          <w:sz w:val="20"/>
          <w:szCs w:val="20"/>
          <w:rtl/>
        </w:rPr>
        <w:t>. אשה קובעת ווסת גם ע"פ ימות השבוע.</w:t>
      </w:r>
      <w:r>
        <w:rPr>
          <w:rFonts w:hint="cs"/>
          <w:sz w:val="20"/>
          <w:szCs w:val="20"/>
          <w:rtl/>
        </w:rPr>
        <w:br/>
        <w:t xml:space="preserve">5. </w:t>
      </w:r>
      <w:r w:rsidRPr="00EA49B7">
        <w:rPr>
          <w:rFonts w:hint="cs"/>
          <w:b/>
          <w:bCs/>
          <w:sz w:val="20"/>
          <w:szCs w:val="20"/>
          <w:rtl/>
        </w:rPr>
        <w:t>ש"ך</w:t>
      </w:r>
      <w:r>
        <w:rPr>
          <w:rFonts w:hint="cs"/>
          <w:sz w:val="20"/>
          <w:szCs w:val="20"/>
          <w:rtl/>
        </w:rPr>
        <w:t>. ווסת זה היא רגילות של האשה לראות ביום מסויים במרווחי שבועות קבועים.</w:t>
      </w:r>
      <w:r>
        <w:rPr>
          <w:sz w:val="20"/>
          <w:szCs w:val="20"/>
          <w:rtl/>
        </w:rPr>
        <w:br/>
      </w:r>
      <w:r>
        <w:rPr>
          <w:rFonts w:hint="cs"/>
          <w:sz w:val="20"/>
          <w:szCs w:val="20"/>
          <w:rtl/>
        </w:rPr>
        <w:t xml:space="preserve">6. </w:t>
      </w:r>
      <w:r w:rsidRPr="004F7832">
        <w:rPr>
          <w:rFonts w:hint="cs"/>
          <w:sz w:val="20"/>
          <w:szCs w:val="20"/>
          <w:rtl/>
        </w:rPr>
        <w:t>מאי שנא ווסת שבוע מווסת הפלגה?</w:t>
      </w:r>
      <w:r>
        <w:rPr>
          <w:rFonts w:hint="cs"/>
          <w:sz w:val="20"/>
          <w:szCs w:val="20"/>
          <w:rtl/>
        </w:rPr>
        <w:t xml:space="preserve"> ווסת שבוע נקבע בג' ראיות, הפלגה בד'</w:t>
      </w:r>
      <w:r w:rsidRPr="008E0791">
        <w:rPr>
          <w:rFonts w:hint="cs"/>
          <w:sz w:val="20"/>
          <w:szCs w:val="20"/>
          <w:rtl/>
        </w:rPr>
        <w:t xml:space="preserve"> </w:t>
      </w:r>
      <w:r>
        <w:rPr>
          <w:rFonts w:hint="cs"/>
          <w:sz w:val="20"/>
          <w:szCs w:val="20"/>
          <w:rtl/>
        </w:rPr>
        <w:t>ראיות.</w:t>
      </w:r>
      <w:r>
        <w:rPr>
          <w:rFonts w:hint="cs"/>
          <w:sz w:val="20"/>
          <w:szCs w:val="20"/>
          <w:rtl/>
        </w:rPr>
        <w:br/>
        <w:t xml:space="preserve">7. </w:t>
      </w:r>
      <w:r w:rsidRPr="00EA49B7">
        <w:rPr>
          <w:rFonts w:hint="cs"/>
          <w:b/>
          <w:bCs/>
          <w:sz w:val="20"/>
          <w:szCs w:val="20"/>
          <w:rtl/>
        </w:rPr>
        <w:t>חוו"ד</w:t>
      </w:r>
      <w:r>
        <w:rPr>
          <w:rFonts w:hint="cs"/>
          <w:sz w:val="20"/>
          <w:szCs w:val="20"/>
          <w:rtl/>
        </w:rPr>
        <w:t>. אשה בעלת ווסת השבוע שראתה פעם נוספת, קבעה לה ווסת הפלגה.</w:t>
      </w:r>
    </w:p>
    <w:p w:rsidR="00620060" w:rsidRPr="00AC4FFD" w:rsidRDefault="00620060" w:rsidP="00620060">
      <w:pPr>
        <w:rPr>
          <w:sz w:val="18"/>
          <w:szCs w:val="18"/>
          <w:rtl/>
        </w:rPr>
      </w:pPr>
      <w:r>
        <w:rPr>
          <w:sz w:val="20"/>
          <w:szCs w:val="20"/>
          <w:rtl/>
        </w:rPr>
        <w:br/>
      </w:r>
      <w:r>
        <w:rPr>
          <w:rFonts w:hint="cs"/>
          <w:b/>
          <w:bCs/>
          <w:sz w:val="20"/>
          <w:szCs w:val="20"/>
          <w:rtl/>
        </w:rPr>
        <w:t xml:space="preserve">סעיף ז </w:t>
      </w:r>
      <w:r>
        <w:rPr>
          <w:b/>
          <w:bCs/>
          <w:sz w:val="20"/>
          <w:szCs w:val="20"/>
          <w:rtl/>
        </w:rPr>
        <w:t>–</w:t>
      </w:r>
      <w:r>
        <w:rPr>
          <w:rFonts w:hint="cs"/>
          <w:b/>
          <w:bCs/>
          <w:sz w:val="20"/>
          <w:szCs w:val="20"/>
          <w:rtl/>
        </w:rPr>
        <w:t xml:space="preserve"> ווסת החודש בדילוג</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גמרא </w:t>
      </w:r>
      <w:r>
        <w:rPr>
          <w:rFonts w:hint="cs"/>
          <w:sz w:val="20"/>
          <w:szCs w:val="20"/>
          <w:rtl/>
        </w:rPr>
        <w:t>נידה (סד.) "</w:t>
      </w:r>
      <w:r w:rsidRPr="00AF4173">
        <w:rPr>
          <w:rFonts w:cs="Arial" w:hint="cs"/>
          <w:sz w:val="20"/>
          <w:szCs w:val="20"/>
          <w:rtl/>
        </w:rPr>
        <w:t>איתמר</w:t>
      </w:r>
      <w:r w:rsidRPr="00AF4173">
        <w:rPr>
          <w:rFonts w:cs="Arial"/>
          <w:sz w:val="20"/>
          <w:szCs w:val="20"/>
          <w:rtl/>
        </w:rPr>
        <w:t xml:space="preserve">, </w:t>
      </w:r>
      <w:r w:rsidRPr="00AF4173">
        <w:rPr>
          <w:rFonts w:cs="Arial" w:hint="cs"/>
          <w:sz w:val="20"/>
          <w:szCs w:val="20"/>
          <w:rtl/>
        </w:rPr>
        <w:t>ראתה</w:t>
      </w:r>
      <w:r w:rsidRPr="00AF4173">
        <w:rPr>
          <w:rFonts w:cs="Arial"/>
          <w:sz w:val="20"/>
          <w:szCs w:val="20"/>
          <w:rtl/>
        </w:rPr>
        <w:t xml:space="preserve"> </w:t>
      </w:r>
      <w:r w:rsidRPr="00AF4173">
        <w:rPr>
          <w:rFonts w:cs="Arial" w:hint="cs"/>
          <w:sz w:val="20"/>
          <w:szCs w:val="20"/>
          <w:rtl/>
        </w:rPr>
        <w:t>יום</w:t>
      </w:r>
      <w:r w:rsidRPr="00AF4173">
        <w:rPr>
          <w:rFonts w:cs="Arial"/>
          <w:sz w:val="20"/>
          <w:szCs w:val="20"/>
          <w:rtl/>
        </w:rPr>
        <w:t xml:space="preserve"> </w:t>
      </w:r>
      <w:r w:rsidRPr="00AF4173">
        <w:rPr>
          <w:rFonts w:cs="Arial" w:hint="cs"/>
          <w:sz w:val="20"/>
          <w:szCs w:val="20"/>
          <w:rtl/>
        </w:rPr>
        <w:t>חמשה</w:t>
      </w:r>
      <w:r w:rsidRPr="00AF4173">
        <w:rPr>
          <w:rFonts w:cs="Arial"/>
          <w:sz w:val="20"/>
          <w:szCs w:val="20"/>
          <w:rtl/>
        </w:rPr>
        <w:t xml:space="preserve"> </w:t>
      </w:r>
      <w:r w:rsidRPr="00AF4173">
        <w:rPr>
          <w:rFonts w:cs="Arial" w:hint="cs"/>
          <w:sz w:val="20"/>
          <w:szCs w:val="20"/>
          <w:rtl/>
        </w:rPr>
        <w:t>עשר</w:t>
      </w:r>
      <w:r w:rsidRPr="00AF4173">
        <w:rPr>
          <w:rFonts w:cs="Arial"/>
          <w:sz w:val="20"/>
          <w:szCs w:val="20"/>
          <w:rtl/>
        </w:rPr>
        <w:t xml:space="preserve"> </w:t>
      </w:r>
      <w:r w:rsidRPr="00AF4173">
        <w:rPr>
          <w:rFonts w:cs="Arial" w:hint="cs"/>
          <w:sz w:val="20"/>
          <w:szCs w:val="20"/>
          <w:rtl/>
        </w:rPr>
        <w:t>לחדש</w:t>
      </w:r>
      <w:r w:rsidRPr="00AF4173">
        <w:rPr>
          <w:rFonts w:cs="Arial"/>
          <w:sz w:val="20"/>
          <w:szCs w:val="20"/>
          <w:rtl/>
        </w:rPr>
        <w:t xml:space="preserve"> </w:t>
      </w:r>
      <w:r w:rsidRPr="00AF4173">
        <w:rPr>
          <w:rFonts w:cs="Arial" w:hint="cs"/>
          <w:sz w:val="20"/>
          <w:szCs w:val="20"/>
          <w:rtl/>
        </w:rPr>
        <w:t>זה</w:t>
      </w:r>
      <w:r w:rsidRPr="00AF4173">
        <w:rPr>
          <w:rFonts w:cs="Arial"/>
          <w:sz w:val="20"/>
          <w:szCs w:val="20"/>
          <w:rtl/>
        </w:rPr>
        <w:t xml:space="preserve">, </w:t>
      </w:r>
      <w:r w:rsidRPr="00AF4173">
        <w:rPr>
          <w:rFonts w:cs="Arial" w:hint="cs"/>
          <w:sz w:val="20"/>
          <w:szCs w:val="20"/>
          <w:rtl/>
        </w:rPr>
        <w:t>ויום</w:t>
      </w:r>
      <w:r w:rsidRPr="00AF4173">
        <w:rPr>
          <w:rFonts w:cs="Arial"/>
          <w:sz w:val="20"/>
          <w:szCs w:val="20"/>
          <w:rtl/>
        </w:rPr>
        <w:t xml:space="preserve"> </w:t>
      </w:r>
      <w:r w:rsidRPr="00AF4173">
        <w:rPr>
          <w:rFonts w:cs="Arial" w:hint="cs"/>
          <w:sz w:val="20"/>
          <w:szCs w:val="20"/>
          <w:rtl/>
        </w:rPr>
        <w:t>ט</w:t>
      </w:r>
      <w:r w:rsidRPr="00AF4173">
        <w:rPr>
          <w:rFonts w:cs="Arial"/>
          <w:sz w:val="20"/>
          <w:szCs w:val="20"/>
          <w:rtl/>
        </w:rPr>
        <w:t>"</w:t>
      </w:r>
      <w:r w:rsidRPr="00AF4173">
        <w:rPr>
          <w:rFonts w:cs="Arial" w:hint="cs"/>
          <w:sz w:val="20"/>
          <w:szCs w:val="20"/>
          <w:rtl/>
        </w:rPr>
        <w:t>ז</w:t>
      </w:r>
      <w:r w:rsidRPr="00AF4173">
        <w:rPr>
          <w:rFonts w:cs="Arial"/>
          <w:sz w:val="20"/>
          <w:szCs w:val="20"/>
          <w:rtl/>
        </w:rPr>
        <w:t xml:space="preserve"> </w:t>
      </w:r>
      <w:r w:rsidRPr="00AF4173">
        <w:rPr>
          <w:rFonts w:cs="Arial" w:hint="cs"/>
          <w:sz w:val="20"/>
          <w:szCs w:val="20"/>
          <w:rtl/>
        </w:rPr>
        <w:t>לחדש</w:t>
      </w:r>
      <w:r w:rsidRPr="00AF4173">
        <w:rPr>
          <w:rFonts w:cs="Arial"/>
          <w:sz w:val="20"/>
          <w:szCs w:val="20"/>
          <w:rtl/>
        </w:rPr>
        <w:t xml:space="preserve"> </w:t>
      </w:r>
      <w:r w:rsidRPr="00AF4173">
        <w:rPr>
          <w:rFonts w:cs="Arial" w:hint="cs"/>
          <w:sz w:val="20"/>
          <w:szCs w:val="20"/>
          <w:rtl/>
        </w:rPr>
        <w:t>זה</w:t>
      </w:r>
      <w:r w:rsidRPr="00AF4173">
        <w:rPr>
          <w:rFonts w:cs="Arial"/>
          <w:sz w:val="20"/>
          <w:szCs w:val="20"/>
          <w:rtl/>
        </w:rPr>
        <w:t xml:space="preserve">, </w:t>
      </w:r>
      <w:r w:rsidRPr="00AF4173">
        <w:rPr>
          <w:rFonts w:cs="Arial" w:hint="cs"/>
          <w:sz w:val="20"/>
          <w:szCs w:val="20"/>
          <w:rtl/>
        </w:rPr>
        <w:t>ויום</w:t>
      </w:r>
      <w:r w:rsidRPr="00AF4173">
        <w:rPr>
          <w:rFonts w:cs="Arial"/>
          <w:sz w:val="20"/>
          <w:szCs w:val="20"/>
          <w:rtl/>
        </w:rPr>
        <w:t xml:space="preserve"> </w:t>
      </w:r>
      <w:r w:rsidRPr="00AF4173">
        <w:rPr>
          <w:rFonts w:cs="Arial" w:hint="cs"/>
          <w:sz w:val="20"/>
          <w:szCs w:val="20"/>
          <w:rtl/>
        </w:rPr>
        <w:t>שבעה</w:t>
      </w:r>
      <w:r w:rsidRPr="00AF4173">
        <w:rPr>
          <w:rFonts w:cs="Arial"/>
          <w:sz w:val="20"/>
          <w:szCs w:val="20"/>
          <w:rtl/>
        </w:rPr>
        <w:t xml:space="preserve"> </w:t>
      </w:r>
      <w:r w:rsidRPr="00AF4173">
        <w:rPr>
          <w:rFonts w:cs="Arial" w:hint="cs"/>
          <w:sz w:val="20"/>
          <w:szCs w:val="20"/>
          <w:rtl/>
        </w:rPr>
        <w:t>עשר</w:t>
      </w:r>
      <w:r w:rsidRPr="00AF4173">
        <w:rPr>
          <w:rFonts w:cs="Arial"/>
          <w:sz w:val="20"/>
          <w:szCs w:val="20"/>
          <w:rtl/>
        </w:rPr>
        <w:t xml:space="preserve"> </w:t>
      </w:r>
      <w:r w:rsidRPr="00AF4173">
        <w:rPr>
          <w:rFonts w:cs="Arial" w:hint="cs"/>
          <w:sz w:val="20"/>
          <w:szCs w:val="20"/>
          <w:rtl/>
        </w:rPr>
        <w:t>לחדש</w:t>
      </w:r>
      <w:r w:rsidRPr="00AF4173">
        <w:rPr>
          <w:rFonts w:cs="Arial"/>
          <w:sz w:val="20"/>
          <w:szCs w:val="20"/>
          <w:rtl/>
        </w:rPr>
        <w:t xml:space="preserve"> </w:t>
      </w:r>
      <w:r w:rsidRPr="00AF4173">
        <w:rPr>
          <w:rFonts w:cs="Arial" w:hint="cs"/>
          <w:sz w:val="20"/>
          <w:szCs w:val="20"/>
          <w:rtl/>
        </w:rPr>
        <w:t>זה</w:t>
      </w:r>
      <w:r w:rsidRPr="00AF4173">
        <w:rPr>
          <w:rFonts w:cs="Arial"/>
          <w:sz w:val="20"/>
          <w:szCs w:val="20"/>
          <w:rtl/>
        </w:rPr>
        <w:t xml:space="preserve">. </w:t>
      </w:r>
      <w:r w:rsidRPr="00AF4173">
        <w:rPr>
          <w:rFonts w:cs="Arial" w:hint="cs"/>
          <w:sz w:val="20"/>
          <w:szCs w:val="20"/>
          <w:rtl/>
        </w:rPr>
        <w:t>רב</w:t>
      </w:r>
      <w:r w:rsidRPr="00AF4173">
        <w:rPr>
          <w:rFonts w:cs="Arial"/>
          <w:sz w:val="20"/>
          <w:szCs w:val="20"/>
          <w:rtl/>
        </w:rPr>
        <w:t xml:space="preserve"> </w:t>
      </w:r>
      <w:r w:rsidRPr="00AF4173">
        <w:rPr>
          <w:rFonts w:cs="Arial" w:hint="cs"/>
          <w:sz w:val="20"/>
          <w:szCs w:val="20"/>
          <w:rtl/>
        </w:rPr>
        <w:t>אמר</w:t>
      </w:r>
      <w:r w:rsidRPr="00AF4173">
        <w:rPr>
          <w:rFonts w:cs="Arial"/>
          <w:sz w:val="20"/>
          <w:szCs w:val="20"/>
          <w:rtl/>
        </w:rPr>
        <w:t xml:space="preserve">: </w:t>
      </w:r>
      <w:r w:rsidRPr="00AF4173">
        <w:rPr>
          <w:rFonts w:cs="Arial" w:hint="cs"/>
          <w:sz w:val="20"/>
          <w:szCs w:val="20"/>
          <w:rtl/>
        </w:rPr>
        <w:t>קבעה</w:t>
      </w:r>
      <w:r w:rsidRPr="00AF4173">
        <w:rPr>
          <w:rFonts w:cs="Arial"/>
          <w:sz w:val="20"/>
          <w:szCs w:val="20"/>
          <w:rtl/>
        </w:rPr>
        <w:t xml:space="preserve"> </w:t>
      </w:r>
      <w:r w:rsidRPr="00AF4173">
        <w:rPr>
          <w:rFonts w:cs="Arial" w:hint="cs"/>
          <w:sz w:val="20"/>
          <w:szCs w:val="20"/>
          <w:rtl/>
        </w:rPr>
        <w:t>לה</w:t>
      </w:r>
      <w:r w:rsidRPr="00AF4173">
        <w:rPr>
          <w:rFonts w:cs="Arial"/>
          <w:sz w:val="20"/>
          <w:szCs w:val="20"/>
          <w:rtl/>
        </w:rPr>
        <w:t xml:space="preserve"> </w:t>
      </w:r>
      <w:r w:rsidRPr="00AF4173">
        <w:rPr>
          <w:rFonts w:cs="Arial" w:hint="cs"/>
          <w:sz w:val="20"/>
          <w:szCs w:val="20"/>
          <w:rtl/>
        </w:rPr>
        <w:t>וסת</w:t>
      </w:r>
      <w:r w:rsidRPr="00AF4173">
        <w:rPr>
          <w:rFonts w:cs="Arial"/>
          <w:sz w:val="20"/>
          <w:szCs w:val="20"/>
          <w:rtl/>
        </w:rPr>
        <w:t xml:space="preserve"> </w:t>
      </w:r>
      <w:r w:rsidRPr="00AF4173">
        <w:rPr>
          <w:rFonts w:cs="Arial" w:hint="cs"/>
          <w:sz w:val="20"/>
          <w:szCs w:val="20"/>
          <w:rtl/>
        </w:rPr>
        <w:t>לדילוג</w:t>
      </w:r>
      <w:r>
        <w:rPr>
          <w:rFonts w:cs="Arial" w:hint="cs"/>
          <w:sz w:val="20"/>
          <w:szCs w:val="20"/>
          <w:rtl/>
        </w:rPr>
        <w:t xml:space="preserve"> </w:t>
      </w:r>
      <w:r w:rsidRPr="00AC4FFD">
        <w:rPr>
          <w:rFonts w:cs="Arial" w:hint="cs"/>
          <w:sz w:val="18"/>
          <w:szCs w:val="18"/>
          <w:rtl/>
        </w:rPr>
        <w:t>(רש"י - ואסורה</w:t>
      </w:r>
      <w:r w:rsidRPr="00AC4FFD">
        <w:rPr>
          <w:rFonts w:cs="Arial"/>
          <w:sz w:val="18"/>
          <w:szCs w:val="18"/>
          <w:rtl/>
        </w:rPr>
        <w:t xml:space="preserve"> </w:t>
      </w:r>
      <w:r w:rsidRPr="00AC4FFD">
        <w:rPr>
          <w:rFonts w:cs="Arial" w:hint="cs"/>
          <w:sz w:val="18"/>
          <w:szCs w:val="18"/>
          <w:rtl/>
        </w:rPr>
        <w:t>ליום</w:t>
      </w:r>
      <w:r w:rsidRPr="00AC4FFD">
        <w:rPr>
          <w:rFonts w:cs="Arial"/>
          <w:sz w:val="18"/>
          <w:szCs w:val="18"/>
          <w:rtl/>
        </w:rPr>
        <w:t xml:space="preserve"> </w:t>
      </w:r>
      <w:r w:rsidRPr="00AC4FFD">
        <w:rPr>
          <w:rFonts w:cs="Arial" w:hint="cs"/>
          <w:sz w:val="18"/>
          <w:szCs w:val="18"/>
          <w:rtl/>
        </w:rPr>
        <w:t>י</w:t>
      </w:r>
      <w:r w:rsidRPr="00AC4FFD">
        <w:rPr>
          <w:rFonts w:cs="Arial"/>
          <w:sz w:val="18"/>
          <w:szCs w:val="18"/>
          <w:rtl/>
        </w:rPr>
        <w:t>"</w:t>
      </w:r>
      <w:r w:rsidRPr="00AC4FFD">
        <w:rPr>
          <w:rFonts w:cs="Arial" w:hint="cs"/>
          <w:sz w:val="18"/>
          <w:szCs w:val="18"/>
          <w:rtl/>
        </w:rPr>
        <w:t>ח</w:t>
      </w:r>
      <w:r w:rsidRPr="00AC4FFD">
        <w:rPr>
          <w:rFonts w:cs="Arial"/>
          <w:sz w:val="18"/>
          <w:szCs w:val="18"/>
          <w:rtl/>
        </w:rPr>
        <w:t xml:space="preserve"> </w:t>
      </w:r>
      <w:r w:rsidRPr="00AC4FFD">
        <w:rPr>
          <w:rFonts w:cs="Arial" w:hint="cs"/>
          <w:sz w:val="18"/>
          <w:szCs w:val="18"/>
          <w:rtl/>
        </w:rPr>
        <w:t>לח</w:t>
      </w:r>
      <w:r>
        <w:rPr>
          <w:rFonts w:cs="Arial" w:hint="cs"/>
          <w:sz w:val="18"/>
          <w:szCs w:val="18"/>
          <w:rtl/>
        </w:rPr>
        <w:t>ו</w:t>
      </w:r>
      <w:r w:rsidRPr="00AC4FFD">
        <w:rPr>
          <w:rFonts w:cs="Arial" w:hint="cs"/>
          <w:sz w:val="18"/>
          <w:szCs w:val="18"/>
          <w:rtl/>
        </w:rPr>
        <w:t>דש</w:t>
      </w:r>
      <w:r w:rsidRPr="00AC4FFD">
        <w:rPr>
          <w:rFonts w:cs="Arial"/>
          <w:sz w:val="18"/>
          <w:szCs w:val="18"/>
          <w:rtl/>
        </w:rPr>
        <w:t xml:space="preserve"> </w:t>
      </w:r>
      <w:r w:rsidRPr="00AC4FFD">
        <w:rPr>
          <w:rFonts w:cs="Arial" w:hint="cs"/>
          <w:sz w:val="18"/>
          <w:szCs w:val="18"/>
          <w:rtl/>
        </w:rPr>
        <w:t>רביעי</w:t>
      </w:r>
      <w:r>
        <w:rPr>
          <w:rFonts w:cs="Arial" w:hint="cs"/>
          <w:sz w:val="18"/>
          <w:szCs w:val="18"/>
          <w:rtl/>
        </w:rPr>
        <w:t>,</w:t>
      </w:r>
      <w:r w:rsidRPr="00AC4FFD">
        <w:rPr>
          <w:rFonts w:cs="Arial"/>
          <w:sz w:val="18"/>
          <w:szCs w:val="18"/>
          <w:rtl/>
        </w:rPr>
        <w:t xml:space="preserve"> </w:t>
      </w:r>
      <w:r w:rsidRPr="00AC4FFD">
        <w:rPr>
          <w:rFonts w:cs="Arial" w:hint="cs"/>
          <w:sz w:val="18"/>
          <w:szCs w:val="18"/>
          <w:rtl/>
        </w:rPr>
        <w:t>וליום</w:t>
      </w:r>
      <w:r w:rsidRPr="00AC4FFD">
        <w:rPr>
          <w:rFonts w:cs="Arial"/>
          <w:sz w:val="18"/>
          <w:szCs w:val="18"/>
          <w:rtl/>
        </w:rPr>
        <w:t xml:space="preserve"> </w:t>
      </w:r>
      <w:r w:rsidRPr="00AC4FFD">
        <w:rPr>
          <w:rFonts w:cs="Arial" w:hint="cs"/>
          <w:sz w:val="18"/>
          <w:szCs w:val="18"/>
          <w:rtl/>
        </w:rPr>
        <w:t>י</w:t>
      </w:r>
      <w:r w:rsidRPr="00AC4FFD">
        <w:rPr>
          <w:rFonts w:cs="Arial"/>
          <w:sz w:val="18"/>
          <w:szCs w:val="18"/>
          <w:rtl/>
        </w:rPr>
        <w:t>"</w:t>
      </w:r>
      <w:r w:rsidRPr="00AC4FFD">
        <w:rPr>
          <w:rFonts w:cs="Arial" w:hint="cs"/>
          <w:sz w:val="18"/>
          <w:szCs w:val="18"/>
          <w:rtl/>
        </w:rPr>
        <w:t>ט</w:t>
      </w:r>
      <w:r w:rsidRPr="00AC4FFD">
        <w:rPr>
          <w:rFonts w:cs="Arial"/>
          <w:sz w:val="18"/>
          <w:szCs w:val="18"/>
          <w:rtl/>
        </w:rPr>
        <w:t xml:space="preserve"> </w:t>
      </w:r>
      <w:r w:rsidRPr="00AC4FFD">
        <w:rPr>
          <w:rFonts w:cs="Arial" w:hint="cs"/>
          <w:sz w:val="18"/>
          <w:szCs w:val="18"/>
          <w:rtl/>
        </w:rPr>
        <w:t>בח</w:t>
      </w:r>
      <w:r>
        <w:rPr>
          <w:rFonts w:cs="Arial" w:hint="cs"/>
          <w:sz w:val="18"/>
          <w:szCs w:val="18"/>
          <w:rtl/>
        </w:rPr>
        <w:t>ו</w:t>
      </w:r>
      <w:r w:rsidRPr="00AC4FFD">
        <w:rPr>
          <w:rFonts w:cs="Arial" w:hint="cs"/>
          <w:sz w:val="18"/>
          <w:szCs w:val="18"/>
          <w:rtl/>
        </w:rPr>
        <w:t>דש</w:t>
      </w:r>
      <w:r w:rsidRPr="00AC4FFD">
        <w:rPr>
          <w:rFonts w:cs="Arial"/>
          <w:sz w:val="18"/>
          <w:szCs w:val="18"/>
          <w:rtl/>
        </w:rPr>
        <w:t xml:space="preserve"> </w:t>
      </w:r>
      <w:r w:rsidRPr="00AC4FFD">
        <w:rPr>
          <w:rFonts w:cs="Arial" w:hint="cs"/>
          <w:sz w:val="18"/>
          <w:szCs w:val="18"/>
          <w:rtl/>
        </w:rPr>
        <w:t>חמישי</w:t>
      </w:r>
      <w:r w:rsidRPr="00AC4FFD">
        <w:rPr>
          <w:rFonts w:cs="Arial"/>
          <w:sz w:val="18"/>
          <w:szCs w:val="18"/>
          <w:rtl/>
        </w:rPr>
        <w:t xml:space="preserve"> </w:t>
      </w:r>
      <w:r w:rsidRPr="00AC4FFD">
        <w:rPr>
          <w:rFonts w:cs="Arial" w:hint="cs"/>
          <w:sz w:val="18"/>
          <w:szCs w:val="18"/>
          <w:rtl/>
        </w:rPr>
        <w:t>וכן</w:t>
      </w:r>
      <w:r w:rsidRPr="00AC4FFD">
        <w:rPr>
          <w:rFonts w:cs="Arial"/>
          <w:sz w:val="18"/>
          <w:szCs w:val="18"/>
          <w:rtl/>
        </w:rPr>
        <w:t xml:space="preserve"> </w:t>
      </w:r>
      <w:r w:rsidRPr="00AC4FFD">
        <w:rPr>
          <w:rFonts w:cs="Arial" w:hint="cs"/>
          <w:sz w:val="18"/>
          <w:szCs w:val="18"/>
          <w:rtl/>
        </w:rPr>
        <w:t>לעולם</w:t>
      </w:r>
      <w:r>
        <w:rPr>
          <w:rFonts w:cs="Arial" w:hint="cs"/>
          <w:sz w:val="18"/>
          <w:szCs w:val="18"/>
          <w:rtl/>
        </w:rPr>
        <w:t>)</w:t>
      </w:r>
      <w:r w:rsidRPr="00AF4173">
        <w:rPr>
          <w:rFonts w:cs="Arial"/>
          <w:sz w:val="20"/>
          <w:szCs w:val="20"/>
          <w:rtl/>
        </w:rPr>
        <w:t xml:space="preserve">. </w:t>
      </w:r>
      <w:r w:rsidRPr="00AF4173">
        <w:rPr>
          <w:rFonts w:cs="Arial" w:hint="cs"/>
          <w:sz w:val="20"/>
          <w:szCs w:val="20"/>
          <w:rtl/>
        </w:rPr>
        <w:t>ושמואל</w:t>
      </w:r>
      <w:r w:rsidRPr="00AF4173">
        <w:rPr>
          <w:rFonts w:cs="Arial"/>
          <w:sz w:val="20"/>
          <w:szCs w:val="20"/>
          <w:rtl/>
        </w:rPr>
        <w:t xml:space="preserve"> </w:t>
      </w:r>
      <w:r w:rsidRPr="00AF4173">
        <w:rPr>
          <w:rFonts w:cs="Arial" w:hint="cs"/>
          <w:sz w:val="20"/>
          <w:szCs w:val="20"/>
          <w:rtl/>
        </w:rPr>
        <w:t>אמר</w:t>
      </w:r>
      <w:r w:rsidRPr="00AF4173">
        <w:rPr>
          <w:rFonts w:cs="Arial"/>
          <w:sz w:val="20"/>
          <w:szCs w:val="20"/>
          <w:rtl/>
        </w:rPr>
        <w:t xml:space="preserve">: </w:t>
      </w:r>
      <w:r w:rsidRPr="00AF4173">
        <w:rPr>
          <w:rFonts w:cs="Arial" w:hint="cs"/>
          <w:sz w:val="20"/>
          <w:szCs w:val="20"/>
          <w:rtl/>
        </w:rPr>
        <w:t>עד</w:t>
      </w:r>
      <w:r w:rsidRPr="00AF4173">
        <w:rPr>
          <w:rFonts w:cs="Arial"/>
          <w:sz w:val="20"/>
          <w:szCs w:val="20"/>
          <w:rtl/>
        </w:rPr>
        <w:t xml:space="preserve"> </w:t>
      </w:r>
      <w:r w:rsidRPr="00AF4173">
        <w:rPr>
          <w:rFonts w:cs="Arial" w:hint="cs"/>
          <w:sz w:val="20"/>
          <w:szCs w:val="20"/>
          <w:rtl/>
        </w:rPr>
        <w:t>שתשלש</w:t>
      </w:r>
      <w:r w:rsidRPr="00AF4173">
        <w:rPr>
          <w:rFonts w:cs="Arial"/>
          <w:sz w:val="20"/>
          <w:szCs w:val="20"/>
          <w:rtl/>
        </w:rPr>
        <w:t xml:space="preserve"> </w:t>
      </w:r>
      <w:r w:rsidRPr="00AF4173">
        <w:rPr>
          <w:rFonts w:cs="Arial" w:hint="cs"/>
          <w:sz w:val="20"/>
          <w:szCs w:val="20"/>
          <w:rtl/>
        </w:rPr>
        <w:t>בדילוג</w:t>
      </w:r>
      <w:r>
        <w:rPr>
          <w:rFonts w:cs="Arial" w:hint="cs"/>
          <w:sz w:val="20"/>
          <w:szCs w:val="20"/>
          <w:rtl/>
        </w:rPr>
        <w:t xml:space="preserve"> </w:t>
      </w:r>
      <w:r>
        <w:rPr>
          <w:rFonts w:cs="Arial" w:hint="cs"/>
          <w:sz w:val="18"/>
          <w:szCs w:val="18"/>
          <w:rtl/>
        </w:rPr>
        <w:t xml:space="preserve">(רש"י - </w:t>
      </w:r>
      <w:r w:rsidRPr="00AC4FFD">
        <w:rPr>
          <w:rFonts w:cs="Arial" w:hint="cs"/>
          <w:sz w:val="18"/>
          <w:szCs w:val="18"/>
          <w:rtl/>
        </w:rPr>
        <w:t>ויום</w:t>
      </w:r>
      <w:r w:rsidRPr="00AC4FFD">
        <w:rPr>
          <w:rFonts w:cs="Arial"/>
          <w:sz w:val="18"/>
          <w:szCs w:val="18"/>
          <w:rtl/>
        </w:rPr>
        <w:t xml:space="preserve"> </w:t>
      </w:r>
      <w:r w:rsidRPr="00AC4FFD">
        <w:rPr>
          <w:rFonts w:cs="Arial" w:hint="cs"/>
          <w:sz w:val="18"/>
          <w:szCs w:val="18"/>
          <w:rtl/>
        </w:rPr>
        <w:t>ט</w:t>
      </w:r>
      <w:r w:rsidRPr="00AC4FFD">
        <w:rPr>
          <w:rFonts w:cs="Arial"/>
          <w:sz w:val="18"/>
          <w:szCs w:val="18"/>
          <w:rtl/>
        </w:rPr>
        <w:t>"</w:t>
      </w:r>
      <w:r w:rsidRPr="00AC4FFD">
        <w:rPr>
          <w:rFonts w:cs="Arial" w:hint="cs"/>
          <w:sz w:val="18"/>
          <w:szCs w:val="18"/>
          <w:rtl/>
        </w:rPr>
        <w:t>ו</w:t>
      </w:r>
      <w:r w:rsidRPr="00AC4FFD">
        <w:rPr>
          <w:rFonts w:cs="Arial"/>
          <w:sz w:val="18"/>
          <w:szCs w:val="18"/>
          <w:rtl/>
        </w:rPr>
        <w:t xml:space="preserve"> </w:t>
      </w:r>
      <w:r w:rsidRPr="00AC4FFD">
        <w:rPr>
          <w:rFonts w:cs="Arial" w:hint="cs"/>
          <w:sz w:val="18"/>
          <w:szCs w:val="18"/>
          <w:rtl/>
        </w:rPr>
        <w:t>אינו</w:t>
      </w:r>
      <w:r w:rsidRPr="00AC4FFD">
        <w:rPr>
          <w:rFonts w:cs="Arial"/>
          <w:sz w:val="18"/>
          <w:szCs w:val="18"/>
          <w:rtl/>
        </w:rPr>
        <w:t xml:space="preserve"> </w:t>
      </w:r>
      <w:r w:rsidRPr="00AC4FFD">
        <w:rPr>
          <w:rFonts w:cs="Arial" w:hint="cs"/>
          <w:sz w:val="18"/>
          <w:szCs w:val="18"/>
          <w:rtl/>
        </w:rPr>
        <w:t>מן</w:t>
      </w:r>
      <w:r w:rsidRPr="00AC4FFD">
        <w:rPr>
          <w:rFonts w:cs="Arial"/>
          <w:sz w:val="18"/>
          <w:szCs w:val="18"/>
          <w:rtl/>
        </w:rPr>
        <w:t xml:space="preserve"> </w:t>
      </w:r>
      <w:r w:rsidRPr="00AC4FFD">
        <w:rPr>
          <w:rFonts w:cs="Arial" w:hint="cs"/>
          <w:sz w:val="18"/>
          <w:szCs w:val="18"/>
          <w:rtl/>
        </w:rPr>
        <w:t>המנ</w:t>
      </w:r>
      <w:r>
        <w:rPr>
          <w:rFonts w:cs="Arial" w:hint="cs"/>
          <w:sz w:val="18"/>
          <w:szCs w:val="18"/>
          <w:rtl/>
        </w:rPr>
        <w:t>י</w:t>
      </w:r>
      <w:r w:rsidRPr="00AC4FFD">
        <w:rPr>
          <w:rFonts w:cs="Arial" w:hint="cs"/>
          <w:sz w:val="18"/>
          <w:szCs w:val="18"/>
          <w:rtl/>
        </w:rPr>
        <w:t>ין</w:t>
      </w:r>
      <w:r w:rsidRPr="00AC4FFD">
        <w:rPr>
          <w:rFonts w:cs="Arial"/>
          <w:sz w:val="18"/>
          <w:szCs w:val="18"/>
          <w:rtl/>
        </w:rPr>
        <w:t xml:space="preserve"> </w:t>
      </w:r>
      <w:r w:rsidRPr="00AC4FFD">
        <w:rPr>
          <w:rFonts w:cs="Arial" w:hint="cs"/>
          <w:sz w:val="18"/>
          <w:szCs w:val="18"/>
          <w:rtl/>
        </w:rPr>
        <w:t>שהוא</w:t>
      </w:r>
      <w:r w:rsidRPr="00AC4FFD">
        <w:rPr>
          <w:rFonts w:cs="Arial"/>
          <w:sz w:val="18"/>
          <w:szCs w:val="18"/>
          <w:rtl/>
        </w:rPr>
        <w:t xml:space="preserve"> </w:t>
      </w:r>
      <w:r w:rsidRPr="00AC4FFD">
        <w:rPr>
          <w:rFonts w:cs="Arial" w:hint="cs"/>
          <w:sz w:val="18"/>
          <w:szCs w:val="18"/>
          <w:rtl/>
        </w:rPr>
        <w:t>תח</w:t>
      </w:r>
      <w:r>
        <w:rPr>
          <w:rFonts w:cs="Arial" w:hint="cs"/>
          <w:sz w:val="18"/>
          <w:szCs w:val="18"/>
          <w:rtl/>
        </w:rPr>
        <w:t>י</w:t>
      </w:r>
      <w:r w:rsidRPr="00AC4FFD">
        <w:rPr>
          <w:rFonts w:cs="Arial" w:hint="cs"/>
          <w:sz w:val="18"/>
          <w:szCs w:val="18"/>
          <w:rtl/>
        </w:rPr>
        <w:t>לת</w:t>
      </w:r>
      <w:r w:rsidRPr="00AC4FFD">
        <w:rPr>
          <w:rFonts w:cs="Arial"/>
          <w:sz w:val="18"/>
          <w:szCs w:val="18"/>
          <w:rtl/>
        </w:rPr>
        <w:t xml:space="preserve"> </w:t>
      </w:r>
      <w:r w:rsidRPr="00AC4FFD">
        <w:rPr>
          <w:rFonts w:cs="Arial" w:hint="cs"/>
          <w:sz w:val="18"/>
          <w:szCs w:val="18"/>
          <w:rtl/>
        </w:rPr>
        <w:t>ראייתה</w:t>
      </w:r>
      <w:r w:rsidRPr="00AC4FFD">
        <w:rPr>
          <w:rFonts w:cs="Arial"/>
          <w:sz w:val="18"/>
          <w:szCs w:val="18"/>
          <w:rtl/>
        </w:rPr>
        <w:t xml:space="preserve"> </w:t>
      </w:r>
      <w:r w:rsidRPr="00AC4FFD">
        <w:rPr>
          <w:rFonts w:cs="Arial" w:hint="cs"/>
          <w:sz w:val="18"/>
          <w:szCs w:val="18"/>
          <w:rtl/>
        </w:rPr>
        <w:t>ואין</w:t>
      </w:r>
      <w:r w:rsidRPr="00AC4FFD">
        <w:rPr>
          <w:rFonts w:cs="Arial"/>
          <w:sz w:val="18"/>
          <w:szCs w:val="18"/>
          <w:rtl/>
        </w:rPr>
        <w:t xml:space="preserve"> </w:t>
      </w:r>
      <w:r w:rsidRPr="00AC4FFD">
        <w:rPr>
          <w:rFonts w:cs="Arial" w:hint="cs"/>
          <w:sz w:val="18"/>
          <w:szCs w:val="18"/>
          <w:rtl/>
        </w:rPr>
        <w:t>שם</w:t>
      </w:r>
      <w:r w:rsidRPr="00AC4FFD">
        <w:rPr>
          <w:rFonts w:cs="Arial"/>
          <w:sz w:val="18"/>
          <w:szCs w:val="18"/>
          <w:rtl/>
        </w:rPr>
        <w:t xml:space="preserve"> </w:t>
      </w:r>
      <w:r w:rsidRPr="00AC4FFD">
        <w:rPr>
          <w:rFonts w:cs="Arial" w:hint="cs"/>
          <w:sz w:val="18"/>
          <w:szCs w:val="18"/>
          <w:rtl/>
        </w:rPr>
        <w:t>דילוג</w:t>
      </w:r>
      <w:r>
        <w:rPr>
          <w:rFonts w:hint="cs"/>
          <w:sz w:val="18"/>
          <w:szCs w:val="18"/>
          <w:rtl/>
        </w:rPr>
        <w:t>)</w:t>
      </w:r>
      <w:r w:rsidRPr="00AF4173">
        <w:rPr>
          <w:rFonts w:cs="Arial"/>
          <w:sz w:val="20"/>
          <w:szCs w:val="20"/>
          <w:rtl/>
        </w:rPr>
        <w:t>.</w:t>
      </w:r>
      <w:r>
        <w:rPr>
          <w:rFonts w:cs="Arial" w:hint="cs"/>
          <w:sz w:val="20"/>
          <w:szCs w:val="20"/>
          <w:rtl/>
        </w:rPr>
        <w:t>..</w:t>
      </w:r>
      <w:r w:rsidRPr="00AF4173">
        <w:rPr>
          <w:rFonts w:cs="Arial"/>
          <w:sz w:val="20"/>
          <w:szCs w:val="20"/>
          <w:rtl/>
        </w:rPr>
        <w:t xml:space="preserve"> </w:t>
      </w:r>
      <w:r>
        <w:rPr>
          <w:rFonts w:cs="Arial"/>
          <w:sz w:val="20"/>
          <w:szCs w:val="20"/>
          <w:rtl/>
        </w:rPr>
        <w:br/>
      </w:r>
      <w:r w:rsidRPr="00AF4173">
        <w:rPr>
          <w:rFonts w:cs="Arial" w:hint="cs"/>
          <w:sz w:val="20"/>
          <w:szCs w:val="20"/>
          <w:rtl/>
        </w:rPr>
        <w:t>בהא</w:t>
      </w:r>
      <w:r w:rsidRPr="00AF4173">
        <w:rPr>
          <w:rFonts w:cs="Arial"/>
          <w:sz w:val="20"/>
          <w:szCs w:val="20"/>
          <w:rtl/>
        </w:rPr>
        <w:t xml:space="preserve"> </w:t>
      </w:r>
      <w:r w:rsidRPr="00AF4173">
        <w:rPr>
          <w:rFonts w:cs="Arial" w:hint="cs"/>
          <w:sz w:val="20"/>
          <w:szCs w:val="20"/>
          <w:rtl/>
        </w:rPr>
        <w:t>קמיפלגי</w:t>
      </w:r>
      <w:r w:rsidRPr="00AF4173">
        <w:rPr>
          <w:rFonts w:cs="Arial"/>
          <w:sz w:val="20"/>
          <w:szCs w:val="20"/>
          <w:rtl/>
        </w:rPr>
        <w:t xml:space="preserve">; </w:t>
      </w:r>
      <w:r w:rsidRPr="00AF4173">
        <w:rPr>
          <w:rFonts w:cs="Arial" w:hint="cs"/>
          <w:sz w:val="20"/>
          <w:szCs w:val="20"/>
          <w:rtl/>
        </w:rPr>
        <w:t>רב</w:t>
      </w:r>
      <w:r w:rsidRPr="00AF4173">
        <w:rPr>
          <w:rFonts w:cs="Arial"/>
          <w:sz w:val="20"/>
          <w:szCs w:val="20"/>
          <w:rtl/>
        </w:rPr>
        <w:t xml:space="preserve"> </w:t>
      </w:r>
      <w:r w:rsidRPr="00AF4173">
        <w:rPr>
          <w:rFonts w:cs="Arial" w:hint="cs"/>
          <w:sz w:val="20"/>
          <w:szCs w:val="20"/>
          <w:rtl/>
        </w:rPr>
        <w:t>סבר</w:t>
      </w:r>
      <w:r w:rsidRPr="00AF4173">
        <w:rPr>
          <w:rFonts w:cs="Arial"/>
          <w:sz w:val="20"/>
          <w:szCs w:val="20"/>
          <w:rtl/>
        </w:rPr>
        <w:t xml:space="preserve"> - </w:t>
      </w:r>
      <w:r w:rsidRPr="00AF4173">
        <w:rPr>
          <w:rFonts w:cs="Arial" w:hint="cs"/>
          <w:sz w:val="20"/>
          <w:szCs w:val="20"/>
          <w:rtl/>
        </w:rPr>
        <w:t>חמשה</w:t>
      </w:r>
      <w:r w:rsidRPr="00AF4173">
        <w:rPr>
          <w:rFonts w:cs="Arial"/>
          <w:sz w:val="20"/>
          <w:szCs w:val="20"/>
          <w:rtl/>
        </w:rPr>
        <w:t xml:space="preserve"> </w:t>
      </w:r>
      <w:r w:rsidRPr="00AF4173">
        <w:rPr>
          <w:rFonts w:cs="Arial" w:hint="cs"/>
          <w:sz w:val="20"/>
          <w:szCs w:val="20"/>
          <w:rtl/>
        </w:rPr>
        <w:t>עשר</w:t>
      </w:r>
      <w:r w:rsidRPr="00AF4173">
        <w:rPr>
          <w:rFonts w:cs="Arial"/>
          <w:sz w:val="20"/>
          <w:szCs w:val="20"/>
          <w:rtl/>
        </w:rPr>
        <w:t xml:space="preserve"> </w:t>
      </w:r>
      <w:r w:rsidRPr="00AF4173">
        <w:rPr>
          <w:rFonts w:cs="Arial" w:hint="cs"/>
          <w:sz w:val="20"/>
          <w:szCs w:val="20"/>
          <w:rtl/>
        </w:rPr>
        <w:t>ממנינא</w:t>
      </w:r>
      <w:r w:rsidRPr="00AF4173">
        <w:rPr>
          <w:rFonts w:cs="Arial"/>
          <w:sz w:val="20"/>
          <w:szCs w:val="20"/>
          <w:rtl/>
        </w:rPr>
        <w:t xml:space="preserve">, </w:t>
      </w:r>
      <w:r w:rsidRPr="00AF4173">
        <w:rPr>
          <w:rFonts w:cs="Arial" w:hint="cs"/>
          <w:sz w:val="20"/>
          <w:szCs w:val="20"/>
          <w:rtl/>
        </w:rPr>
        <w:t>ושמואל</w:t>
      </w:r>
      <w:r w:rsidRPr="00AF4173">
        <w:rPr>
          <w:rFonts w:cs="Arial"/>
          <w:sz w:val="20"/>
          <w:szCs w:val="20"/>
          <w:rtl/>
        </w:rPr>
        <w:t xml:space="preserve"> </w:t>
      </w:r>
      <w:r w:rsidRPr="00AF4173">
        <w:rPr>
          <w:rFonts w:cs="Arial" w:hint="cs"/>
          <w:sz w:val="20"/>
          <w:szCs w:val="20"/>
          <w:rtl/>
        </w:rPr>
        <w:t>סבר</w:t>
      </w:r>
      <w:r w:rsidRPr="00AF4173">
        <w:rPr>
          <w:rFonts w:cs="Arial"/>
          <w:sz w:val="20"/>
          <w:szCs w:val="20"/>
          <w:rtl/>
        </w:rPr>
        <w:t xml:space="preserve"> - </w:t>
      </w:r>
      <w:r w:rsidRPr="00AF4173">
        <w:rPr>
          <w:rFonts w:cs="Arial" w:hint="cs"/>
          <w:sz w:val="20"/>
          <w:szCs w:val="20"/>
          <w:rtl/>
        </w:rPr>
        <w:t>כיון</w:t>
      </w:r>
      <w:r w:rsidRPr="00AF4173">
        <w:rPr>
          <w:rFonts w:cs="Arial"/>
          <w:sz w:val="20"/>
          <w:szCs w:val="20"/>
          <w:rtl/>
        </w:rPr>
        <w:t xml:space="preserve"> </w:t>
      </w:r>
      <w:r w:rsidRPr="00AF4173">
        <w:rPr>
          <w:rFonts w:cs="Arial" w:hint="cs"/>
          <w:sz w:val="20"/>
          <w:szCs w:val="20"/>
          <w:rtl/>
        </w:rPr>
        <w:t>דלאו</w:t>
      </w:r>
      <w:r w:rsidRPr="00AF4173">
        <w:rPr>
          <w:rFonts w:cs="Arial"/>
          <w:sz w:val="20"/>
          <w:szCs w:val="20"/>
          <w:rtl/>
        </w:rPr>
        <w:t xml:space="preserve"> </w:t>
      </w:r>
      <w:r w:rsidRPr="00AF4173">
        <w:rPr>
          <w:rFonts w:cs="Arial" w:hint="cs"/>
          <w:sz w:val="20"/>
          <w:szCs w:val="20"/>
          <w:rtl/>
        </w:rPr>
        <w:t>בדילוג</w:t>
      </w:r>
      <w:r w:rsidRPr="00AF4173">
        <w:rPr>
          <w:rFonts w:cs="Arial"/>
          <w:sz w:val="20"/>
          <w:szCs w:val="20"/>
          <w:rtl/>
        </w:rPr>
        <w:t xml:space="preserve"> </w:t>
      </w:r>
      <w:r w:rsidRPr="00AF4173">
        <w:rPr>
          <w:rFonts w:cs="Arial" w:hint="cs"/>
          <w:sz w:val="20"/>
          <w:szCs w:val="20"/>
          <w:rtl/>
        </w:rPr>
        <w:t>חזיתיה</w:t>
      </w:r>
      <w:r w:rsidRPr="00AF4173">
        <w:rPr>
          <w:rFonts w:cs="Arial"/>
          <w:sz w:val="20"/>
          <w:szCs w:val="20"/>
          <w:rtl/>
        </w:rPr>
        <w:t xml:space="preserve"> </w:t>
      </w:r>
      <w:r w:rsidRPr="00AF4173">
        <w:rPr>
          <w:rFonts w:cs="Arial" w:hint="cs"/>
          <w:sz w:val="20"/>
          <w:szCs w:val="20"/>
          <w:rtl/>
        </w:rPr>
        <w:t>לאו</w:t>
      </w:r>
      <w:r w:rsidRPr="00AF4173">
        <w:rPr>
          <w:rFonts w:cs="Arial"/>
          <w:sz w:val="20"/>
          <w:szCs w:val="20"/>
          <w:rtl/>
        </w:rPr>
        <w:t xml:space="preserve"> </w:t>
      </w:r>
      <w:r w:rsidRPr="00AF4173">
        <w:rPr>
          <w:rFonts w:cs="Arial" w:hint="cs"/>
          <w:sz w:val="20"/>
          <w:szCs w:val="20"/>
          <w:rtl/>
        </w:rPr>
        <w:t>ממנינא</w:t>
      </w:r>
      <w:r w:rsidRPr="00AF4173">
        <w:rPr>
          <w:rFonts w:cs="Arial"/>
          <w:sz w:val="20"/>
          <w:szCs w:val="20"/>
          <w:rtl/>
        </w:rPr>
        <w:t xml:space="preserve"> </w:t>
      </w:r>
      <w:r w:rsidRPr="00AF4173">
        <w:rPr>
          <w:rFonts w:cs="Arial" w:hint="cs"/>
          <w:sz w:val="20"/>
          <w:szCs w:val="20"/>
          <w:rtl/>
        </w:rPr>
        <w:t>הוא</w:t>
      </w:r>
      <w:r w:rsidRPr="00AF4173">
        <w:rPr>
          <w:rFonts w:cs="Arial"/>
          <w:sz w:val="20"/>
          <w:szCs w:val="20"/>
          <w:rtl/>
        </w:rPr>
        <w:t xml:space="preserve">. </w:t>
      </w:r>
      <w:r w:rsidRPr="00AF4173">
        <w:rPr>
          <w:rFonts w:cs="Arial" w:hint="cs"/>
          <w:sz w:val="20"/>
          <w:szCs w:val="20"/>
          <w:rtl/>
        </w:rPr>
        <w:t>איתיביה</w:t>
      </w:r>
      <w:r>
        <w:rPr>
          <w:rFonts w:cs="Arial"/>
          <w:sz w:val="20"/>
          <w:szCs w:val="20"/>
          <w:rtl/>
        </w:rPr>
        <w:t>:</w:t>
      </w:r>
      <w:r>
        <w:rPr>
          <w:rFonts w:cs="Arial" w:hint="cs"/>
          <w:sz w:val="20"/>
          <w:szCs w:val="20"/>
          <w:rtl/>
        </w:rPr>
        <w:t xml:space="preserve"> </w:t>
      </w:r>
      <w:r w:rsidRPr="00AF4173">
        <w:rPr>
          <w:rFonts w:cs="Arial" w:hint="cs"/>
          <w:sz w:val="20"/>
          <w:szCs w:val="20"/>
          <w:rtl/>
        </w:rPr>
        <w:t>היתה</w:t>
      </w:r>
      <w:r w:rsidRPr="00AF4173">
        <w:rPr>
          <w:rFonts w:cs="Arial"/>
          <w:sz w:val="20"/>
          <w:szCs w:val="20"/>
          <w:rtl/>
        </w:rPr>
        <w:t xml:space="preserve"> </w:t>
      </w:r>
      <w:r w:rsidRPr="00AF4173">
        <w:rPr>
          <w:rFonts w:cs="Arial" w:hint="cs"/>
          <w:sz w:val="20"/>
          <w:szCs w:val="20"/>
          <w:rtl/>
        </w:rPr>
        <w:t>למודה</w:t>
      </w:r>
      <w:r w:rsidRPr="00AF4173">
        <w:rPr>
          <w:rFonts w:cs="Arial"/>
          <w:sz w:val="20"/>
          <w:szCs w:val="20"/>
          <w:rtl/>
        </w:rPr>
        <w:t xml:space="preserve"> </w:t>
      </w:r>
      <w:r w:rsidRPr="00AF4173">
        <w:rPr>
          <w:rFonts w:cs="Arial" w:hint="cs"/>
          <w:sz w:val="20"/>
          <w:szCs w:val="20"/>
          <w:rtl/>
        </w:rPr>
        <w:t>להיות</w:t>
      </w:r>
      <w:r w:rsidRPr="00AF4173">
        <w:rPr>
          <w:rFonts w:cs="Arial"/>
          <w:sz w:val="20"/>
          <w:szCs w:val="20"/>
          <w:rtl/>
        </w:rPr>
        <w:t xml:space="preserve"> </w:t>
      </w:r>
      <w:r w:rsidRPr="00AF4173">
        <w:rPr>
          <w:rFonts w:cs="Arial" w:hint="cs"/>
          <w:sz w:val="20"/>
          <w:szCs w:val="20"/>
          <w:rtl/>
        </w:rPr>
        <w:t>רואה</w:t>
      </w:r>
      <w:r w:rsidRPr="00AF4173">
        <w:rPr>
          <w:rFonts w:cs="Arial"/>
          <w:sz w:val="20"/>
          <w:szCs w:val="20"/>
          <w:rtl/>
        </w:rPr>
        <w:t xml:space="preserve"> </w:t>
      </w:r>
      <w:r w:rsidRPr="00AF4173">
        <w:rPr>
          <w:rFonts w:cs="Arial" w:hint="cs"/>
          <w:sz w:val="20"/>
          <w:szCs w:val="20"/>
          <w:rtl/>
        </w:rPr>
        <w:t>יום</w:t>
      </w:r>
      <w:r w:rsidRPr="00AF4173">
        <w:rPr>
          <w:rFonts w:cs="Arial"/>
          <w:sz w:val="20"/>
          <w:szCs w:val="20"/>
          <w:rtl/>
        </w:rPr>
        <w:t xml:space="preserve"> </w:t>
      </w:r>
      <w:r w:rsidRPr="00AF4173">
        <w:rPr>
          <w:rFonts w:cs="Arial" w:hint="cs"/>
          <w:sz w:val="20"/>
          <w:szCs w:val="20"/>
          <w:rtl/>
        </w:rPr>
        <w:t>ט</w:t>
      </w:r>
      <w:r w:rsidRPr="00AF4173">
        <w:rPr>
          <w:rFonts w:cs="Arial"/>
          <w:sz w:val="20"/>
          <w:szCs w:val="20"/>
          <w:rtl/>
        </w:rPr>
        <w:t>"</w:t>
      </w:r>
      <w:r w:rsidRPr="00AF4173">
        <w:rPr>
          <w:rFonts w:cs="Arial" w:hint="cs"/>
          <w:sz w:val="20"/>
          <w:szCs w:val="20"/>
          <w:rtl/>
        </w:rPr>
        <w:t>ו</w:t>
      </w:r>
      <w:r w:rsidRPr="00AF4173">
        <w:rPr>
          <w:rFonts w:cs="Arial"/>
          <w:sz w:val="20"/>
          <w:szCs w:val="20"/>
          <w:rtl/>
        </w:rPr>
        <w:t xml:space="preserve"> </w:t>
      </w:r>
      <w:r w:rsidRPr="00AF4173">
        <w:rPr>
          <w:rFonts w:cs="Arial" w:hint="cs"/>
          <w:sz w:val="20"/>
          <w:szCs w:val="20"/>
          <w:rtl/>
        </w:rPr>
        <w:t>ושינתה</w:t>
      </w:r>
      <w:r w:rsidRPr="00AF4173">
        <w:rPr>
          <w:rFonts w:cs="Arial"/>
          <w:sz w:val="20"/>
          <w:szCs w:val="20"/>
          <w:rtl/>
        </w:rPr>
        <w:t xml:space="preserve"> </w:t>
      </w:r>
      <w:r w:rsidRPr="00AF4173">
        <w:rPr>
          <w:rFonts w:cs="Arial" w:hint="cs"/>
          <w:sz w:val="20"/>
          <w:szCs w:val="20"/>
          <w:rtl/>
        </w:rPr>
        <w:t>ליום</w:t>
      </w:r>
      <w:r w:rsidRPr="00AF4173">
        <w:rPr>
          <w:rFonts w:cs="Arial"/>
          <w:sz w:val="20"/>
          <w:szCs w:val="20"/>
          <w:rtl/>
        </w:rPr>
        <w:t xml:space="preserve"> </w:t>
      </w:r>
      <w:r w:rsidRPr="00AF4173">
        <w:rPr>
          <w:rFonts w:cs="Arial" w:hint="cs"/>
          <w:sz w:val="20"/>
          <w:szCs w:val="20"/>
          <w:rtl/>
        </w:rPr>
        <w:t>ששה</w:t>
      </w:r>
      <w:r w:rsidRPr="00AF4173">
        <w:rPr>
          <w:rFonts w:cs="Arial"/>
          <w:sz w:val="20"/>
          <w:szCs w:val="20"/>
          <w:rtl/>
        </w:rPr>
        <w:t xml:space="preserve"> </w:t>
      </w:r>
      <w:r w:rsidRPr="00AF4173">
        <w:rPr>
          <w:rFonts w:cs="Arial" w:hint="cs"/>
          <w:sz w:val="20"/>
          <w:szCs w:val="20"/>
          <w:rtl/>
        </w:rPr>
        <w:t>עשר</w:t>
      </w:r>
      <w:r w:rsidRPr="00AF4173">
        <w:rPr>
          <w:rFonts w:cs="Arial"/>
          <w:sz w:val="20"/>
          <w:szCs w:val="20"/>
          <w:rtl/>
        </w:rPr>
        <w:t xml:space="preserve"> - </w:t>
      </w:r>
      <w:r w:rsidRPr="00AF4173">
        <w:rPr>
          <w:rFonts w:cs="Arial" w:hint="cs"/>
          <w:sz w:val="20"/>
          <w:szCs w:val="20"/>
          <w:rtl/>
        </w:rPr>
        <w:t>זה</w:t>
      </w:r>
      <w:r w:rsidRPr="00AF4173">
        <w:rPr>
          <w:rFonts w:cs="Arial"/>
          <w:sz w:val="20"/>
          <w:szCs w:val="20"/>
          <w:rtl/>
        </w:rPr>
        <w:t xml:space="preserve"> </w:t>
      </w:r>
      <w:r w:rsidRPr="00AF4173">
        <w:rPr>
          <w:rFonts w:cs="Arial" w:hint="cs"/>
          <w:sz w:val="20"/>
          <w:szCs w:val="20"/>
          <w:rtl/>
        </w:rPr>
        <w:t>וזה</w:t>
      </w:r>
      <w:r w:rsidRPr="00AF4173">
        <w:rPr>
          <w:rFonts w:cs="Arial"/>
          <w:sz w:val="20"/>
          <w:szCs w:val="20"/>
          <w:rtl/>
        </w:rPr>
        <w:t xml:space="preserve"> </w:t>
      </w:r>
      <w:r w:rsidRPr="00AF4173">
        <w:rPr>
          <w:rFonts w:cs="Arial" w:hint="cs"/>
          <w:sz w:val="20"/>
          <w:szCs w:val="20"/>
          <w:rtl/>
        </w:rPr>
        <w:t>אסורין</w:t>
      </w:r>
      <w:r w:rsidRPr="00AF4173">
        <w:rPr>
          <w:rFonts w:cs="Arial"/>
          <w:sz w:val="20"/>
          <w:szCs w:val="20"/>
          <w:rtl/>
        </w:rPr>
        <w:t xml:space="preserve">, </w:t>
      </w:r>
      <w:r w:rsidRPr="00AF4173">
        <w:rPr>
          <w:rFonts w:cs="Arial" w:hint="cs"/>
          <w:sz w:val="20"/>
          <w:szCs w:val="20"/>
          <w:rtl/>
        </w:rPr>
        <w:t>שינתה</w:t>
      </w:r>
      <w:r w:rsidRPr="00AF4173">
        <w:rPr>
          <w:rFonts w:cs="Arial"/>
          <w:sz w:val="20"/>
          <w:szCs w:val="20"/>
          <w:rtl/>
        </w:rPr>
        <w:t xml:space="preserve"> </w:t>
      </w:r>
      <w:r w:rsidRPr="00AF4173">
        <w:rPr>
          <w:rFonts w:cs="Arial" w:hint="cs"/>
          <w:sz w:val="20"/>
          <w:szCs w:val="20"/>
          <w:rtl/>
        </w:rPr>
        <w:t>ליום</w:t>
      </w:r>
      <w:r w:rsidRPr="00AF4173">
        <w:rPr>
          <w:rFonts w:cs="Arial"/>
          <w:sz w:val="20"/>
          <w:szCs w:val="20"/>
          <w:rtl/>
        </w:rPr>
        <w:t xml:space="preserve"> </w:t>
      </w:r>
      <w:r w:rsidRPr="00AF4173">
        <w:rPr>
          <w:rFonts w:cs="Arial" w:hint="cs"/>
          <w:sz w:val="20"/>
          <w:szCs w:val="20"/>
          <w:rtl/>
        </w:rPr>
        <w:t>שבעה</w:t>
      </w:r>
      <w:r w:rsidRPr="00AF4173">
        <w:rPr>
          <w:rFonts w:cs="Arial"/>
          <w:sz w:val="20"/>
          <w:szCs w:val="20"/>
          <w:rtl/>
        </w:rPr>
        <w:t xml:space="preserve"> </w:t>
      </w:r>
      <w:r w:rsidRPr="00AF4173">
        <w:rPr>
          <w:rFonts w:cs="Arial" w:hint="cs"/>
          <w:sz w:val="20"/>
          <w:szCs w:val="20"/>
          <w:rtl/>
        </w:rPr>
        <w:t>עשר</w:t>
      </w:r>
      <w:r w:rsidRPr="00AF4173">
        <w:rPr>
          <w:rFonts w:cs="Arial"/>
          <w:sz w:val="20"/>
          <w:szCs w:val="20"/>
          <w:rtl/>
        </w:rPr>
        <w:t xml:space="preserve"> - </w:t>
      </w:r>
      <w:r w:rsidRPr="00AF4173">
        <w:rPr>
          <w:rFonts w:cs="Arial" w:hint="cs"/>
          <w:sz w:val="20"/>
          <w:szCs w:val="20"/>
          <w:rtl/>
        </w:rPr>
        <w:t>הותר</w:t>
      </w:r>
      <w:r w:rsidRPr="00AF4173">
        <w:rPr>
          <w:rFonts w:cs="Arial"/>
          <w:sz w:val="20"/>
          <w:szCs w:val="20"/>
          <w:rtl/>
        </w:rPr>
        <w:t xml:space="preserve"> </w:t>
      </w:r>
      <w:r w:rsidRPr="00AF4173">
        <w:rPr>
          <w:rFonts w:cs="Arial" w:hint="cs"/>
          <w:sz w:val="20"/>
          <w:szCs w:val="20"/>
          <w:rtl/>
        </w:rPr>
        <w:t>ששה</w:t>
      </w:r>
      <w:r w:rsidRPr="00AF4173">
        <w:rPr>
          <w:rFonts w:cs="Arial"/>
          <w:sz w:val="20"/>
          <w:szCs w:val="20"/>
          <w:rtl/>
        </w:rPr>
        <w:t xml:space="preserve"> </w:t>
      </w:r>
      <w:r w:rsidRPr="00AF4173">
        <w:rPr>
          <w:rFonts w:cs="Arial" w:hint="cs"/>
          <w:sz w:val="20"/>
          <w:szCs w:val="20"/>
          <w:rtl/>
        </w:rPr>
        <w:t>עשר</w:t>
      </w:r>
      <w:r w:rsidRPr="00AF4173">
        <w:rPr>
          <w:rFonts w:cs="Arial"/>
          <w:sz w:val="20"/>
          <w:szCs w:val="20"/>
          <w:rtl/>
        </w:rPr>
        <w:t xml:space="preserve"> </w:t>
      </w:r>
      <w:r w:rsidRPr="00AF4173">
        <w:rPr>
          <w:rFonts w:cs="Arial" w:hint="cs"/>
          <w:sz w:val="20"/>
          <w:szCs w:val="20"/>
          <w:rtl/>
        </w:rPr>
        <w:t>ונאסר</w:t>
      </w:r>
      <w:r w:rsidRPr="00AF4173">
        <w:rPr>
          <w:rFonts w:cs="Arial"/>
          <w:sz w:val="20"/>
          <w:szCs w:val="20"/>
          <w:rtl/>
        </w:rPr>
        <w:t xml:space="preserve"> </w:t>
      </w:r>
      <w:r w:rsidRPr="00AF4173">
        <w:rPr>
          <w:rFonts w:cs="Arial" w:hint="cs"/>
          <w:sz w:val="20"/>
          <w:szCs w:val="20"/>
          <w:rtl/>
        </w:rPr>
        <w:t>חמשה</w:t>
      </w:r>
      <w:r w:rsidRPr="00AF4173">
        <w:rPr>
          <w:rFonts w:cs="Arial"/>
          <w:sz w:val="20"/>
          <w:szCs w:val="20"/>
          <w:rtl/>
        </w:rPr>
        <w:t xml:space="preserve"> </w:t>
      </w:r>
      <w:r w:rsidRPr="00AF4173">
        <w:rPr>
          <w:rFonts w:cs="Arial" w:hint="cs"/>
          <w:sz w:val="20"/>
          <w:szCs w:val="20"/>
          <w:rtl/>
        </w:rPr>
        <w:t>עשר</w:t>
      </w:r>
      <w:r w:rsidRPr="00AF4173">
        <w:rPr>
          <w:rFonts w:cs="Arial"/>
          <w:sz w:val="20"/>
          <w:szCs w:val="20"/>
          <w:rtl/>
        </w:rPr>
        <w:t xml:space="preserve"> </w:t>
      </w:r>
      <w:r w:rsidRPr="00AF4173">
        <w:rPr>
          <w:rFonts w:cs="Arial" w:hint="cs"/>
          <w:sz w:val="20"/>
          <w:szCs w:val="20"/>
          <w:rtl/>
        </w:rPr>
        <w:t>ושבעה</w:t>
      </w:r>
      <w:r w:rsidRPr="00AF4173">
        <w:rPr>
          <w:rFonts w:cs="Arial"/>
          <w:sz w:val="20"/>
          <w:szCs w:val="20"/>
          <w:rtl/>
        </w:rPr>
        <w:t xml:space="preserve"> </w:t>
      </w:r>
      <w:r w:rsidRPr="00AF4173">
        <w:rPr>
          <w:rFonts w:cs="Arial" w:hint="cs"/>
          <w:sz w:val="20"/>
          <w:szCs w:val="20"/>
          <w:rtl/>
        </w:rPr>
        <w:t>עשר</w:t>
      </w:r>
      <w:r w:rsidRPr="00AF4173">
        <w:rPr>
          <w:rFonts w:cs="Arial"/>
          <w:sz w:val="20"/>
          <w:szCs w:val="20"/>
          <w:rtl/>
        </w:rPr>
        <w:t xml:space="preserve">, </w:t>
      </w:r>
      <w:r w:rsidRPr="00AF4173">
        <w:rPr>
          <w:rFonts w:cs="Arial" w:hint="cs"/>
          <w:sz w:val="20"/>
          <w:szCs w:val="20"/>
          <w:rtl/>
        </w:rPr>
        <w:t>שינתה</w:t>
      </w:r>
      <w:r w:rsidRPr="00AF4173">
        <w:rPr>
          <w:rFonts w:cs="Arial"/>
          <w:sz w:val="20"/>
          <w:szCs w:val="20"/>
          <w:rtl/>
        </w:rPr>
        <w:t xml:space="preserve"> </w:t>
      </w:r>
      <w:r w:rsidRPr="00AF4173">
        <w:rPr>
          <w:rFonts w:cs="Arial" w:hint="cs"/>
          <w:sz w:val="20"/>
          <w:szCs w:val="20"/>
          <w:rtl/>
        </w:rPr>
        <w:t>ליום</w:t>
      </w:r>
      <w:r w:rsidRPr="00AF4173">
        <w:rPr>
          <w:rFonts w:cs="Arial"/>
          <w:sz w:val="20"/>
          <w:szCs w:val="20"/>
          <w:rtl/>
        </w:rPr>
        <w:t xml:space="preserve"> </w:t>
      </w:r>
      <w:r w:rsidRPr="00AF4173">
        <w:rPr>
          <w:rFonts w:cs="Arial" w:hint="cs"/>
          <w:sz w:val="20"/>
          <w:szCs w:val="20"/>
          <w:rtl/>
        </w:rPr>
        <w:t>שמונה</w:t>
      </w:r>
      <w:r w:rsidRPr="00AF4173">
        <w:rPr>
          <w:rFonts w:cs="Arial"/>
          <w:sz w:val="20"/>
          <w:szCs w:val="20"/>
          <w:rtl/>
        </w:rPr>
        <w:t xml:space="preserve"> </w:t>
      </w:r>
      <w:r w:rsidRPr="00AF4173">
        <w:rPr>
          <w:rFonts w:cs="Arial" w:hint="cs"/>
          <w:sz w:val="20"/>
          <w:szCs w:val="20"/>
          <w:rtl/>
        </w:rPr>
        <w:t>עשר</w:t>
      </w:r>
      <w:r w:rsidRPr="00AF4173">
        <w:rPr>
          <w:rFonts w:cs="Arial"/>
          <w:sz w:val="20"/>
          <w:szCs w:val="20"/>
          <w:rtl/>
        </w:rPr>
        <w:t xml:space="preserve"> - </w:t>
      </w:r>
      <w:r w:rsidRPr="00AF4173">
        <w:rPr>
          <w:rFonts w:cs="Arial" w:hint="cs"/>
          <w:sz w:val="20"/>
          <w:szCs w:val="20"/>
          <w:rtl/>
        </w:rPr>
        <w:t>הותרו</w:t>
      </w:r>
      <w:r w:rsidRPr="00AF4173">
        <w:rPr>
          <w:rFonts w:cs="Arial"/>
          <w:sz w:val="20"/>
          <w:szCs w:val="20"/>
          <w:rtl/>
        </w:rPr>
        <w:t xml:space="preserve"> </w:t>
      </w:r>
      <w:r w:rsidRPr="00AF4173">
        <w:rPr>
          <w:rFonts w:cs="Arial" w:hint="cs"/>
          <w:sz w:val="20"/>
          <w:szCs w:val="20"/>
          <w:rtl/>
        </w:rPr>
        <w:t>כולן</w:t>
      </w:r>
      <w:r w:rsidRPr="00AF4173">
        <w:rPr>
          <w:rFonts w:cs="Arial"/>
          <w:sz w:val="20"/>
          <w:szCs w:val="20"/>
          <w:rtl/>
        </w:rPr>
        <w:t xml:space="preserve">, </w:t>
      </w:r>
      <w:r w:rsidRPr="00AF4173">
        <w:rPr>
          <w:rFonts w:cs="Arial" w:hint="cs"/>
          <w:sz w:val="20"/>
          <w:szCs w:val="20"/>
          <w:rtl/>
        </w:rPr>
        <w:t>ואין</w:t>
      </w:r>
      <w:r w:rsidRPr="00AF4173">
        <w:rPr>
          <w:rFonts w:cs="Arial"/>
          <w:sz w:val="20"/>
          <w:szCs w:val="20"/>
          <w:rtl/>
        </w:rPr>
        <w:t xml:space="preserve"> </w:t>
      </w:r>
      <w:r w:rsidRPr="00AF4173">
        <w:rPr>
          <w:rFonts w:cs="Arial" w:hint="cs"/>
          <w:sz w:val="20"/>
          <w:szCs w:val="20"/>
          <w:rtl/>
        </w:rPr>
        <w:t>אסור</w:t>
      </w:r>
      <w:r w:rsidRPr="00AF4173">
        <w:rPr>
          <w:rFonts w:cs="Arial"/>
          <w:sz w:val="20"/>
          <w:szCs w:val="20"/>
          <w:rtl/>
        </w:rPr>
        <w:t xml:space="preserve"> </w:t>
      </w:r>
      <w:r w:rsidRPr="00AF4173">
        <w:rPr>
          <w:rFonts w:cs="Arial" w:hint="cs"/>
          <w:sz w:val="20"/>
          <w:szCs w:val="20"/>
          <w:rtl/>
        </w:rPr>
        <w:t>אלא</w:t>
      </w:r>
      <w:r w:rsidRPr="00AF4173">
        <w:rPr>
          <w:rFonts w:cs="Arial"/>
          <w:sz w:val="20"/>
          <w:szCs w:val="20"/>
          <w:rtl/>
        </w:rPr>
        <w:t xml:space="preserve"> </w:t>
      </w:r>
      <w:r w:rsidRPr="00AF4173">
        <w:rPr>
          <w:rFonts w:cs="Arial" w:hint="cs"/>
          <w:sz w:val="20"/>
          <w:szCs w:val="20"/>
          <w:rtl/>
        </w:rPr>
        <w:t>משמונה</w:t>
      </w:r>
      <w:r w:rsidRPr="00AF4173">
        <w:rPr>
          <w:rFonts w:cs="Arial"/>
          <w:sz w:val="20"/>
          <w:szCs w:val="20"/>
          <w:rtl/>
        </w:rPr>
        <w:t xml:space="preserve"> </w:t>
      </w:r>
      <w:r w:rsidRPr="00AF4173">
        <w:rPr>
          <w:rFonts w:cs="Arial" w:hint="cs"/>
          <w:sz w:val="20"/>
          <w:szCs w:val="20"/>
          <w:rtl/>
        </w:rPr>
        <w:t>עשר</w:t>
      </w:r>
      <w:r w:rsidRPr="00AF4173">
        <w:rPr>
          <w:rFonts w:cs="Arial"/>
          <w:sz w:val="20"/>
          <w:szCs w:val="20"/>
          <w:rtl/>
        </w:rPr>
        <w:t xml:space="preserve"> </w:t>
      </w:r>
      <w:r w:rsidRPr="00AF4173">
        <w:rPr>
          <w:rFonts w:cs="Arial" w:hint="cs"/>
          <w:sz w:val="20"/>
          <w:szCs w:val="20"/>
          <w:rtl/>
        </w:rPr>
        <w:t>ואילך</w:t>
      </w:r>
      <w:r w:rsidRPr="00AF4173">
        <w:rPr>
          <w:rFonts w:cs="Arial"/>
          <w:sz w:val="20"/>
          <w:szCs w:val="20"/>
          <w:rtl/>
        </w:rPr>
        <w:t xml:space="preserve">. </w:t>
      </w:r>
      <w:r w:rsidRPr="00AF4173">
        <w:rPr>
          <w:rFonts w:cs="Arial" w:hint="cs"/>
          <w:sz w:val="20"/>
          <w:szCs w:val="20"/>
          <w:rtl/>
        </w:rPr>
        <w:t>קשיא</w:t>
      </w:r>
      <w:r w:rsidRPr="00AF4173">
        <w:rPr>
          <w:rFonts w:cs="Arial"/>
          <w:sz w:val="20"/>
          <w:szCs w:val="20"/>
          <w:rtl/>
        </w:rPr>
        <w:t xml:space="preserve"> </w:t>
      </w:r>
      <w:r w:rsidRPr="00AF4173">
        <w:rPr>
          <w:rFonts w:cs="Arial" w:hint="cs"/>
          <w:sz w:val="20"/>
          <w:szCs w:val="20"/>
          <w:rtl/>
        </w:rPr>
        <w:t>לרב</w:t>
      </w:r>
      <w:r w:rsidRPr="00AF4173">
        <w:rPr>
          <w:rFonts w:cs="Arial"/>
          <w:sz w:val="20"/>
          <w:szCs w:val="20"/>
          <w:rtl/>
        </w:rPr>
        <w:t xml:space="preserve">! </w:t>
      </w:r>
      <w:r w:rsidRPr="009E0A5E">
        <w:rPr>
          <w:rFonts w:cs="Arial" w:hint="cs"/>
          <w:sz w:val="18"/>
          <w:szCs w:val="18"/>
          <w:rtl/>
        </w:rPr>
        <w:t>(שהרי כששינתה ליז' לא קבעה ווסת לדילוג אע"פ שראתה ג</w:t>
      </w:r>
      <w:r>
        <w:rPr>
          <w:rFonts w:cs="Arial" w:hint="cs"/>
          <w:sz w:val="18"/>
          <w:szCs w:val="18"/>
          <w:rtl/>
        </w:rPr>
        <w:t>' פעמים</w:t>
      </w:r>
      <w:r w:rsidRPr="009E0A5E">
        <w:rPr>
          <w:rFonts w:cs="Arial" w:hint="cs"/>
          <w:sz w:val="18"/>
          <w:szCs w:val="18"/>
          <w:rtl/>
        </w:rPr>
        <w:t xml:space="preserve">) </w:t>
      </w:r>
      <w:r w:rsidRPr="00AF4173">
        <w:rPr>
          <w:rFonts w:cs="Arial" w:hint="cs"/>
          <w:sz w:val="20"/>
          <w:szCs w:val="20"/>
          <w:rtl/>
        </w:rPr>
        <w:t>אמר</w:t>
      </w:r>
      <w:r w:rsidRPr="00AF4173">
        <w:rPr>
          <w:rFonts w:cs="Arial"/>
          <w:sz w:val="20"/>
          <w:szCs w:val="20"/>
          <w:rtl/>
        </w:rPr>
        <w:t xml:space="preserve"> </w:t>
      </w:r>
      <w:r w:rsidRPr="00AF4173">
        <w:rPr>
          <w:rFonts w:cs="Arial" w:hint="cs"/>
          <w:sz w:val="20"/>
          <w:szCs w:val="20"/>
          <w:rtl/>
        </w:rPr>
        <w:t>לך</w:t>
      </w:r>
      <w:r w:rsidRPr="00AF4173">
        <w:rPr>
          <w:rFonts w:cs="Arial"/>
          <w:sz w:val="20"/>
          <w:szCs w:val="20"/>
          <w:rtl/>
        </w:rPr>
        <w:t xml:space="preserve"> </w:t>
      </w:r>
      <w:r w:rsidRPr="00AF4173">
        <w:rPr>
          <w:rFonts w:cs="Arial" w:hint="cs"/>
          <w:sz w:val="20"/>
          <w:szCs w:val="20"/>
          <w:rtl/>
        </w:rPr>
        <w:t>רב</w:t>
      </w:r>
      <w:r w:rsidRPr="00AF4173">
        <w:rPr>
          <w:rFonts w:cs="Arial"/>
          <w:sz w:val="20"/>
          <w:szCs w:val="20"/>
          <w:rtl/>
        </w:rPr>
        <w:t xml:space="preserve">: </w:t>
      </w:r>
      <w:r w:rsidRPr="00AF4173">
        <w:rPr>
          <w:rFonts w:cs="Arial" w:hint="cs"/>
          <w:sz w:val="20"/>
          <w:szCs w:val="20"/>
          <w:rtl/>
        </w:rPr>
        <w:t>למודה</w:t>
      </w:r>
      <w:r w:rsidRPr="00AF4173">
        <w:rPr>
          <w:rFonts w:cs="Arial"/>
          <w:sz w:val="20"/>
          <w:szCs w:val="20"/>
          <w:rtl/>
        </w:rPr>
        <w:t xml:space="preserve"> </w:t>
      </w:r>
      <w:r w:rsidRPr="00AF4173">
        <w:rPr>
          <w:rFonts w:cs="Arial" w:hint="cs"/>
          <w:sz w:val="20"/>
          <w:szCs w:val="20"/>
          <w:rtl/>
        </w:rPr>
        <w:t>שאני</w:t>
      </w:r>
      <w:r>
        <w:rPr>
          <w:rFonts w:cs="Arial" w:hint="cs"/>
          <w:sz w:val="20"/>
          <w:szCs w:val="20"/>
          <w:rtl/>
        </w:rPr>
        <w:t xml:space="preserve"> </w:t>
      </w:r>
      <w:r w:rsidRPr="009E0A5E">
        <w:rPr>
          <w:rFonts w:cs="Arial" w:hint="cs"/>
          <w:sz w:val="18"/>
          <w:szCs w:val="18"/>
          <w:rtl/>
        </w:rPr>
        <w:t>(</w:t>
      </w:r>
      <w:r>
        <w:rPr>
          <w:rFonts w:cs="Arial" w:hint="cs"/>
          <w:sz w:val="18"/>
          <w:szCs w:val="18"/>
          <w:rtl/>
        </w:rPr>
        <w:t>כיוון שווסתה קבוע לטו' הרי בזמנה ראתה, ואין למנות ראייה זו עם ראיות הדילוג).</w:t>
      </w:r>
      <w:r>
        <w:rPr>
          <w:rFonts w:cs="Arial"/>
          <w:sz w:val="18"/>
          <w:szCs w:val="18"/>
          <w:rtl/>
        </w:rPr>
        <w:br/>
      </w:r>
      <w:r w:rsidRPr="00AF4173">
        <w:rPr>
          <w:rFonts w:cs="Arial" w:hint="cs"/>
          <w:sz w:val="20"/>
          <w:szCs w:val="20"/>
          <w:rtl/>
        </w:rPr>
        <w:t>מיתיבי</w:t>
      </w:r>
      <w:r w:rsidRPr="00AF4173">
        <w:rPr>
          <w:rFonts w:cs="Arial"/>
          <w:sz w:val="20"/>
          <w:szCs w:val="20"/>
          <w:rtl/>
        </w:rPr>
        <w:t xml:space="preserve">: </w:t>
      </w:r>
      <w:r w:rsidRPr="00AF4173">
        <w:rPr>
          <w:rFonts w:cs="Arial" w:hint="cs"/>
          <w:sz w:val="20"/>
          <w:szCs w:val="20"/>
          <w:rtl/>
        </w:rPr>
        <w:t>ראתה</w:t>
      </w:r>
      <w:r w:rsidRPr="00AF4173">
        <w:rPr>
          <w:rFonts w:cs="Arial"/>
          <w:sz w:val="20"/>
          <w:szCs w:val="20"/>
          <w:rtl/>
        </w:rPr>
        <w:t xml:space="preserve"> </w:t>
      </w:r>
      <w:r w:rsidRPr="00AF4173">
        <w:rPr>
          <w:rFonts w:cs="Arial" w:hint="cs"/>
          <w:sz w:val="20"/>
          <w:szCs w:val="20"/>
          <w:rtl/>
        </w:rPr>
        <w:t>יום</w:t>
      </w:r>
      <w:r w:rsidRPr="00AF4173">
        <w:rPr>
          <w:rFonts w:cs="Arial"/>
          <w:sz w:val="20"/>
          <w:szCs w:val="20"/>
          <w:rtl/>
        </w:rPr>
        <w:t xml:space="preserve"> </w:t>
      </w:r>
      <w:r w:rsidRPr="00AF4173">
        <w:rPr>
          <w:rFonts w:cs="Arial" w:hint="cs"/>
          <w:sz w:val="20"/>
          <w:szCs w:val="20"/>
          <w:rtl/>
        </w:rPr>
        <w:t>עשרים</w:t>
      </w:r>
      <w:r w:rsidRPr="00AF4173">
        <w:rPr>
          <w:rFonts w:cs="Arial"/>
          <w:sz w:val="20"/>
          <w:szCs w:val="20"/>
          <w:rtl/>
        </w:rPr>
        <w:t xml:space="preserve"> </w:t>
      </w:r>
      <w:r w:rsidRPr="00AF4173">
        <w:rPr>
          <w:rFonts w:cs="Arial" w:hint="cs"/>
          <w:sz w:val="20"/>
          <w:szCs w:val="20"/>
          <w:rtl/>
        </w:rPr>
        <w:t>ואחד</w:t>
      </w:r>
      <w:r w:rsidRPr="00AF4173">
        <w:rPr>
          <w:rFonts w:cs="Arial"/>
          <w:sz w:val="20"/>
          <w:szCs w:val="20"/>
          <w:rtl/>
        </w:rPr>
        <w:t xml:space="preserve"> </w:t>
      </w:r>
      <w:r w:rsidRPr="00AF4173">
        <w:rPr>
          <w:rFonts w:cs="Arial" w:hint="cs"/>
          <w:sz w:val="20"/>
          <w:szCs w:val="20"/>
          <w:rtl/>
        </w:rPr>
        <w:t>בחדש</w:t>
      </w:r>
      <w:r w:rsidRPr="00AF4173">
        <w:rPr>
          <w:rFonts w:cs="Arial"/>
          <w:sz w:val="20"/>
          <w:szCs w:val="20"/>
          <w:rtl/>
        </w:rPr>
        <w:t xml:space="preserve"> </w:t>
      </w:r>
      <w:r w:rsidRPr="00AF4173">
        <w:rPr>
          <w:rFonts w:cs="Arial" w:hint="cs"/>
          <w:sz w:val="20"/>
          <w:szCs w:val="20"/>
          <w:rtl/>
        </w:rPr>
        <w:t>זה</w:t>
      </w:r>
      <w:r w:rsidRPr="00AF4173">
        <w:rPr>
          <w:rFonts w:cs="Arial"/>
          <w:sz w:val="20"/>
          <w:szCs w:val="20"/>
          <w:rtl/>
        </w:rPr>
        <w:t xml:space="preserve">, </w:t>
      </w:r>
      <w:r w:rsidRPr="00AF4173">
        <w:rPr>
          <w:rFonts w:cs="Arial" w:hint="cs"/>
          <w:sz w:val="20"/>
          <w:szCs w:val="20"/>
          <w:rtl/>
        </w:rPr>
        <w:t>יום</w:t>
      </w:r>
      <w:r w:rsidRPr="00AF4173">
        <w:rPr>
          <w:rFonts w:cs="Arial"/>
          <w:sz w:val="20"/>
          <w:szCs w:val="20"/>
          <w:rtl/>
        </w:rPr>
        <w:t xml:space="preserve"> </w:t>
      </w:r>
      <w:r w:rsidRPr="00AF4173">
        <w:rPr>
          <w:rFonts w:cs="Arial" w:hint="cs"/>
          <w:sz w:val="20"/>
          <w:szCs w:val="20"/>
          <w:rtl/>
        </w:rPr>
        <w:t>עשרים</w:t>
      </w:r>
      <w:r w:rsidRPr="00AF4173">
        <w:rPr>
          <w:rFonts w:cs="Arial"/>
          <w:sz w:val="20"/>
          <w:szCs w:val="20"/>
          <w:rtl/>
        </w:rPr>
        <w:t xml:space="preserve"> </w:t>
      </w:r>
      <w:r w:rsidRPr="00AF4173">
        <w:rPr>
          <w:rFonts w:cs="Arial" w:hint="cs"/>
          <w:sz w:val="20"/>
          <w:szCs w:val="20"/>
          <w:rtl/>
        </w:rPr>
        <w:t>ושנ</w:t>
      </w:r>
      <w:r>
        <w:rPr>
          <w:rFonts w:cs="Arial" w:hint="cs"/>
          <w:sz w:val="20"/>
          <w:szCs w:val="20"/>
          <w:rtl/>
        </w:rPr>
        <w:t>י</w:t>
      </w:r>
      <w:r w:rsidRPr="00AF4173">
        <w:rPr>
          <w:rFonts w:cs="Arial" w:hint="cs"/>
          <w:sz w:val="20"/>
          <w:szCs w:val="20"/>
          <w:rtl/>
        </w:rPr>
        <w:t>ים</w:t>
      </w:r>
      <w:r w:rsidRPr="00AF4173">
        <w:rPr>
          <w:rFonts w:cs="Arial"/>
          <w:sz w:val="20"/>
          <w:szCs w:val="20"/>
          <w:rtl/>
        </w:rPr>
        <w:t xml:space="preserve"> </w:t>
      </w:r>
      <w:r w:rsidRPr="00AF4173">
        <w:rPr>
          <w:rFonts w:cs="Arial" w:hint="cs"/>
          <w:sz w:val="20"/>
          <w:szCs w:val="20"/>
          <w:rtl/>
        </w:rPr>
        <w:t>בחדש</w:t>
      </w:r>
      <w:r w:rsidRPr="00AF4173">
        <w:rPr>
          <w:rFonts w:cs="Arial"/>
          <w:sz w:val="20"/>
          <w:szCs w:val="20"/>
          <w:rtl/>
        </w:rPr>
        <w:t xml:space="preserve"> </w:t>
      </w:r>
      <w:r w:rsidRPr="00AF4173">
        <w:rPr>
          <w:rFonts w:cs="Arial" w:hint="cs"/>
          <w:sz w:val="20"/>
          <w:szCs w:val="20"/>
          <w:rtl/>
        </w:rPr>
        <w:t>זה</w:t>
      </w:r>
      <w:r w:rsidRPr="00AF4173">
        <w:rPr>
          <w:rFonts w:cs="Arial"/>
          <w:sz w:val="20"/>
          <w:szCs w:val="20"/>
          <w:rtl/>
        </w:rPr>
        <w:t xml:space="preserve">, </w:t>
      </w:r>
      <w:r w:rsidRPr="00AF4173">
        <w:rPr>
          <w:rFonts w:cs="Arial" w:hint="cs"/>
          <w:sz w:val="20"/>
          <w:szCs w:val="20"/>
          <w:rtl/>
        </w:rPr>
        <w:t>יום</w:t>
      </w:r>
      <w:r w:rsidRPr="00AF4173">
        <w:rPr>
          <w:rFonts w:cs="Arial"/>
          <w:sz w:val="20"/>
          <w:szCs w:val="20"/>
          <w:rtl/>
        </w:rPr>
        <w:t xml:space="preserve"> </w:t>
      </w:r>
      <w:r w:rsidRPr="00AF4173">
        <w:rPr>
          <w:rFonts w:cs="Arial" w:hint="cs"/>
          <w:sz w:val="20"/>
          <w:szCs w:val="20"/>
          <w:rtl/>
        </w:rPr>
        <w:t>עשרים</w:t>
      </w:r>
      <w:r w:rsidRPr="00AF4173">
        <w:rPr>
          <w:rFonts w:cs="Arial"/>
          <w:sz w:val="20"/>
          <w:szCs w:val="20"/>
          <w:rtl/>
        </w:rPr>
        <w:t xml:space="preserve"> </w:t>
      </w:r>
      <w:r w:rsidRPr="00AF4173">
        <w:rPr>
          <w:rFonts w:cs="Arial" w:hint="cs"/>
          <w:sz w:val="20"/>
          <w:szCs w:val="20"/>
          <w:rtl/>
        </w:rPr>
        <w:t>ושל</w:t>
      </w:r>
      <w:r>
        <w:rPr>
          <w:rFonts w:cs="Arial" w:hint="cs"/>
          <w:sz w:val="20"/>
          <w:szCs w:val="20"/>
          <w:rtl/>
        </w:rPr>
        <w:t>ו</w:t>
      </w:r>
      <w:r w:rsidRPr="00AF4173">
        <w:rPr>
          <w:rFonts w:cs="Arial" w:hint="cs"/>
          <w:sz w:val="20"/>
          <w:szCs w:val="20"/>
          <w:rtl/>
        </w:rPr>
        <w:t>שה</w:t>
      </w:r>
      <w:r w:rsidRPr="00AF4173">
        <w:rPr>
          <w:rFonts w:cs="Arial"/>
          <w:sz w:val="20"/>
          <w:szCs w:val="20"/>
          <w:rtl/>
        </w:rPr>
        <w:t xml:space="preserve"> </w:t>
      </w:r>
      <w:r w:rsidRPr="00AF4173">
        <w:rPr>
          <w:rFonts w:cs="Arial" w:hint="cs"/>
          <w:sz w:val="20"/>
          <w:szCs w:val="20"/>
          <w:rtl/>
        </w:rPr>
        <w:t>בח</w:t>
      </w:r>
      <w:r>
        <w:rPr>
          <w:rFonts w:cs="Arial" w:hint="cs"/>
          <w:sz w:val="20"/>
          <w:szCs w:val="20"/>
          <w:rtl/>
        </w:rPr>
        <w:t>ו</w:t>
      </w:r>
      <w:r w:rsidRPr="00AF4173">
        <w:rPr>
          <w:rFonts w:cs="Arial" w:hint="cs"/>
          <w:sz w:val="20"/>
          <w:szCs w:val="20"/>
          <w:rtl/>
        </w:rPr>
        <w:t>דש</w:t>
      </w:r>
      <w:r w:rsidRPr="00AF4173">
        <w:rPr>
          <w:rFonts w:cs="Arial"/>
          <w:sz w:val="20"/>
          <w:szCs w:val="20"/>
          <w:rtl/>
        </w:rPr>
        <w:t xml:space="preserve"> </w:t>
      </w:r>
      <w:r w:rsidRPr="00AF4173">
        <w:rPr>
          <w:rFonts w:cs="Arial" w:hint="cs"/>
          <w:sz w:val="20"/>
          <w:szCs w:val="20"/>
          <w:rtl/>
        </w:rPr>
        <w:t>זה</w:t>
      </w:r>
      <w:r w:rsidRPr="00AF4173">
        <w:rPr>
          <w:rFonts w:cs="Arial"/>
          <w:sz w:val="20"/>
          <w:szCs w:val="20"/>
          <w:rtl/>
        </w:rPr>
        <w:t xml:space="preserve"> - </w:t>
      </w:r>
      <w:r w:rsidRPr="00AF4173">
        <w:rPr>
          <w:rFonts w:cs="Arial" w:hint="cs"/>
          <w:sz w:val="20"/>
          <w:szCs w:val="20"/>
          <w:rtl/>
        </w:rPr>
        <w:t>קבעה</w:t>
      </w:r>
      <w:r w:rsidRPr="00AF4173">
        <w:rPr>
          <w:rFonts w:cs="Arial"/>
          <w:sz w:val="20"/>
          <w:szCs w:val="20"/>
          <w:rtl/>
        </w:rPr>
        <w:t xml:space="preserve"> </w:t>
      </w:r>
      <w:r w:rsidRPr="00AF4173">
        <w:rPr>
          <w:rFonts w:cs="Arial" w:hint="cs"/>
          <w:sz w:val="20"/>
          <w:szCs w:val="20"/>
          <w:rtl/>
        </w:rPr>
        <w:t>לה</w:t>
      </w:r>
      <w:r w:rsidRPr="00AF4173">
        <w:rPr>
          <w:rFonts w:cs="Arial"/>
          <w:sz w:val="20"/>
          <w:szCs w:val="20"/>
          <w:rtl/>
        </w:rPr>
        <w:t xml:space="preserve"> </w:t>
      </w:r>
      <w:r w:rsidRPr="00AF4173">
        <w:rPr>
          <w:rFonts w:cs="Arial" w:hint="cs"/>
          <w:sz w:val="20"/>
          <w:szCs w:val="20"/>
          <w:rtl/>
        </w:rPr>
        <w:t>וסת</w:t>
      </w:r>
      <w:r w:rsidRPr="00AF4173">
        <w:rPr>
          <w:rFonts w:cs="Arial"/>
          <w:sz w:val="20"/>
          <w:szCs w:val="20"/>
          <w:rtl/>
        </w:rPr>
        <w:t xml:space="preserve">. </w:t>
      </w:r>
      <w:r w:rsidRPr="00AF4173">
        <w:rPr>
          <w:rFonts w:cs="Arial" w:hint="cs"/>
          <w:sz w:val="20"/>
          <w:szCs w:val="20"/>
          <w:rtl/>
        </w:rPr>
        <w:t>תיובתא</w:t>
      </w:r>
      <w:r w:rsidRPr="00AF4173">
        <w:rPr>
          <w:rFonts w:cs="Arial"/>
          <w:sz w:val="20"/>
          <w:szCs w:val="20"/>
          <w:rtl/>
        </w:rPr>
        <w:t xml:space="preserve"> </w:t>
      </w:r>
      <w:r w:rsidRPr="00AF4173">
        <w:rPr>
          <w:rFonts w:cs="Arial" w:hint="cs"/>
          <w:sz w:val="20"/>
          <w:szCs w:val="20"/>
          <w:rtl/>
        </w:rPr>
        <w:t>דשמואל</w:t>
      </w:r>
      <w:r w:rsidRPr="00AF4173">
        <w:rPr>
          <w:rFonts w:cs="Arial"/>
          <w:sz w:val="20"/>
          <w:szCs w:val="20"/>
          <w:rtl/>
        </w:rPr>
        <w:t xml:space="preserve">! </w:t>
      </w:r>
      <w:r w:rsidRPr="00AF4173">
        <w:rPr>
          <w:rFonts w:cs="Arial" w:hint="cs"/>
          <w:sz w:val="20"/>
          <w:szCs w:val="20"/>
          <w:rtl/>
        </w:rPr>
        <w:t>אמר</w:t>
      </w:r>
      <w:r w:rsidRPr="00AF4173">
        <w:rPr>
          <w:rFonts w:cs="Arial"/>
          <w:sz w:val="20"/>
          <w:szCs w:val="20"/>
          <w:rtl/>
        </w:rPr>
        <w:t xml:space="preserve"> </w:t>
      </w:r>
      <w:r w:rsidRPr="00AF4173">
        <w:rPr>
          <w:rFonts w:cs="Arial" w:hint="cs"/>
          <w:sz w:val="20"/>
          <w:szCs w:val="20"/>
          <w:rtl/>
        </w:rPr>
        <w:t>לך</w:t>
      </w:r>
      <w:r w:rsidRPr="00AF4173">
        <w:rPr>
          <w:rFonts w:cs="Arial"/>
          <w:sz w:val="20"/>
          <w:szCs w:val="20"/>
          <w:rtl/>
        </w:rPr>
        <w:t xml:space="preserve"> </w:t>
      </w:r>
      <w:r w:rsidRPr="00AF4173">
        <w:rPr>
          <w:rFonts w:cs="Arial" w:hint="cs"/>
          <w:sz w:val="20"/>
          <w:szCs w:val="20"/>
          <w:rtl/>
        </w:rPr>
        <w:t>שמואל</w:t>
      </w:r>
      <w:r w:rsidRPr="00AF4173">
        <w:rPr>
          <w:rFonts w:cs="Arial"/>
          <w:sz w:val="20"/>
          <w:szCs w:val="20"/>
          <w:rtl/>
        </w:rPr>
        <w:t xml:space="preserve">: </w:t>
      </w:r>
      <w:r w:rsidRPr="00AF4173">
        <w:rPr>
          <w:rFonts w:cs="Arial" w:hint="cs"/>
          <w:sz w:val="20"/>
          <w:szCs w:val="20"/>
          <w:rtl/>
        </w:rPr>
        <w:t>הכא</w:t>
      </w:r>
      <w:r w:rsidRPr="00AF4173">
        <w:rPr>
          <w:rFonts w:cs="Arial"/>
          <w:sz w:val="20"/>
          <w:szCs w:val="20"/>
          <w:rtl/>
        </w:rPr>
        <w:t xml:space="preserve"> </w:t>
      </w:r>
      <w:r w:rsidRPr="00AF4173">
        <w:rPr>
          <w:rFonts w:cs="Arial" w:hint="cs"/>
          <w:sz w:val="20"/>
          <w:szCs w:val="20"/>
          <w:rtl/>
        </w:rPr>
        <w:t>במאי</w:t>
      </w:r>
      <w:r w:rsidRPr="00AF4173">
        <w:rPr>
          <w:rFonts w:cs="Arial"/>
          <w:sz w:val="20"/>
          <w:szCs w:val="20"/>
          <w:rtl/>
        </w:rPr>
        <w:t xml:space="preserve"> </w:t>
      </w:r>
      <w:r w:rsidRPr="00AF4173">
        <w:rPr>
          <w:rFonts w:cs="Arial" w:hint="cs"/>
          <w:sz w:val="20"/>
          <w:szCs w:val="20"/>
          <w:rtl/>
        </w:rPr>
        <w:t>עסקינן</w:t>
      </w:r>
      <w:r w:rsidRPr="00AF4173">
        <w:rPr>
          <w:rFonts w:cs="Arial"/>
          <w:sz w:val="20"/>
          <w:szCs w:val="20"/>
          <w:rtl/>
        </w:rPr>
        <w:t xml:space="preserve"> - </w:t>
      </w:r>
      <w:r w:rsidRPr="00AF4173">
        <w:rPr>
          <w:rFonts w:cs="Arial" w:hint="cs"/>
          <w:sz w:val="20"/>
          <w:szCs w:val="20"/>
          <w:rtl/>
        </w:rPr>
        <w:t>כגון</w:t>
      </w:r>
      <w:r w:rsidRPr="00AF4173">
        <w:rPr>
          <w:rFonts w:cs="Arial"/>
          <w:sz w:val="20"/>
          <w:szCs w:val="20"/>
          <w:rtl/>
        </w:rPr>
        <w:t xml:space="preserve"> </w:t>
      </w:r>
      <w:r w:rsidRPr="00AF4173">
        <w:rPr>
          <w:rFonts w:cs="Arial" w:hint="cs"/>
          <w:sz w:val="20"/>
          <w:szCs w:val="20"/>
          <w:rtl/>
        </w:rPr>
        <w:t>דרגילה</w:t>
      </w:r>
      <w:r w:rsidRPr="00AF4173">
        <w:rPr>
          <w:rFonts w:cs="Arial"/>
          <w:sz w:val="20"/>
          <w:szCs w:val="20"/>
          <w:rtl/>
        </w:rPr>
        <w:t xml:space="preserve"> </w:t>
      </w:r>
      <w:r w:rsidRPr="00AF4173">
        <w:rPr>
          <w:rFonts w:cs="Arial" w:hint="cs"/>
          <w:sz w:val="20"/>
          <w:szCs w:val="20"/>
          <w:rtl/>
        </w:rPr>
        <w:t>למחזי</w:t>
      </w:r>
      <w:r w:rsidRPr="00AF4173">
        <w:rPr>
          <w:rFonts w:cs="Arial"/>
          <w:sz w:val="20"/>
          <w:szCs w:val="20"/>
          <w:rtl/>
        </w:rPr>
        <w:t xml:space="preserve"> </w:t>
      </w:r>
      <w:r w:rsidRPr="00AF4173">
        <w:rPr>
          <w:rFonts w:cs="Arial" w:hint="cs"/>
          <w:sz w:val="20"/>
          <w:szCs w:val="20"/>
          <w:rtl/>
        </w:rPr>
        <w:t>ביום</w:t>
      </w:r>
      <w:r w:rsidRPr="00AF4173">
        <w:rPr>
          <w:rFonts w:cs="Arial"/>
          <w:sz w:val="20"/>
          <w:szCs w:val="20"/>
          <w:rtl/>
        </w:rPr>
        <w:t xml:space="preserve"> </w:t>
      </w:r>
      <w:r w:rsidRPr="00AF4173">
        <w:rPr>
          <w:rFonts w:cs="Arial" w:hint="cs"/>
          <w:sz w:val="20"/>
          <w:szCs w:val="20"/>
          <w:rtl/>
        </w:rPr>
        <w:t>עשרים</w:t>
      </w:r>
      <w:r w:rsidRPr="00AF4173">
        <w:rPr>
          <w:rFonts w:cs="Arial"/>
          <w:sz w:val="20"/>
          <w:szCs w:val="20"/>
          <w:rtl/>
        </w:rPr>
        <w:t xml:space="preserve">, </w:t>
      </w:r>
      <w:r w:rsidRPr="00AF4173">
        <w:rPr>
          <w:rFonts w:cs="Arial" w:hint="cs"/>
          <w:sz w:val="20"/>
          <w:szCs w:val="20"/>
          <w:rtl/>
        </w:rPr>
        <w:t>ושינתה</w:t>
      </w:r>
      <w:r w:rsidRPr="00AF4173">
        <w:rPr>
          <w:rFonts w:cs="Arial"/>
          <w:sz w:val="20"/>
          <w:szCs w:val="20"/>
          <w:rtl/>
        </w:rPr>
        <w:t xml:space="preserve"> </w:t>
      </w:r>
      <w:r w:rsidRPr="00AF4173">
        <w:rPr>
          <w:rFonts w:cs="Arial" w:hint="cs"/>
          <w:sz w:val="20"/>
          <w:szCs w:val="20"/>
          <w:rtl/>
        </w:rPr>
        <w:t>ליום</w:t>
      </w:r>
      <w:r w:rsidRPr="00AF4173">
        <w:rPr>
          <w:rFonts w:cs="Arial"/>
          <w:sz w:val="20"/>
          <w:szCs w:val="20"/>
          <w:rtl/>
        </w:rPr>
        <w:t xml:space="preserve"> </w:t>
      </w:r>
      <w:r w:rsidRPr="00AF4173">
        <w:rPr>
          <w:rFonts w:cs="Arial" w:hint="cs"/>
          <w:sz w:val="20"/>
          <w:szCs w:val="20"/>
          <w:rtl/>
        </w:rPr>
        <w:t>עשרים</w:t>
      </w:r>
      <w:r w:rsidRPr="00AF4173">
        <w:rPr>
          <w:rFonts w:cs="Arial"/>
          <w:sz w:val="20"/>
          <w:szCs w:val="20"/>
          <w:rtl/>
        </w:rPr>
        <w:t xml:space="preserve"> </w:t>
      </w:r>
      <w:r w:rsidRPr="00AF4173">
        <w:rPr>
          <w:rFonts w:cs="Arial" w:hint="cs"/>
          <w:sz w:val="20"/>
          <w:szCs w:val="20"/>
          <w:rtl/>
        </w:rPr>
        <w:t>ואחד</w:t>
      </w:r>
      <w:r w:rsidRPr="00AF4173">
        <w:rPr>
          <w:rFonts w:cs="Arial"/>
          <w:sz w:val="20"/>
          <w:szCs w:val="20"/>
          <w:rtl/>
        </w:rPr>
        <w:t xml:space="preserve">. </w:t>
      </w:r>
      <w:r w:rsidRPr="00AF4173">
        <w:rPr>
          <w:rFonts w:cs="Arial" w:hint="cs"/>
          <w:sz w:val="20"/>
          <w:szCs w:val="20"/>
          <w:rtl/>
        </w:rPr>
        <w:t>דיקא</w:t>
      </w:r>
      <w:r w:rsidRPr="00AF4173">
        <w:rPr>
          <w:rFonts w:cs="Arial"/>
          <w:sz w:val="20"/>
          <w:szCs w:val="20"/>
          <w:rtl/>
        </w:rPr>
        <w:t xml:space="preserve"> </w:t>
      </w:r>
      <w:r w:rsidRPr="00AF4173">
        <w:rPr>
          <w:rFonts w:cs="Arial" w:hint="cs"/>
          <w:sz w:val="20"/>
          <w:szCs w:val="20"/>
          <w:rtl/>
        </w:rPr>
        <w:t>נמי</w:t>
      </w:r>
      <w:r w:rsidRPr="00AF4173">
        <w:rPr>
          <w:rFonts w:cs="Arial"/>
          <w:sz w:val="20"/>
          <w:szCs w:val="20"/>
          <w:rtl/>
        </w:rPr>
        <w:t xml:space="preserve">, </w:t>
      </w:r>
      <w:r w:rsidRPr="00AF4173">
        <w:rPr>
          <w:rFonts w:cs="Arial" w:hint="cs"/>
          <w:sz w:val="20"/>
          <w:szCs w:val="20"/>
          <w:rtl/>
        </w:rPr>
        <w:t>דשבקינן</w:t>
      </w:r>
      <w:r w:rsidRPr="00AF4173">
        <w:rPr>
          <w:rFonts w:cs="Arial"/>
          <w:sz w:val="20"/>
          <w:szCs w:val="20"/>
          <w:rtl/>
        </w:rPr>
        <w:t xml:space="preserve"> </w:t>
      </w:r>
      <w:r w:rsidRPr="00AF4173">
        <w:rPr>
          <w:rFonts w:cs="Arial" w:hint="cs"/>
          <w:sz w:val="20"/>
          <w:szCs w:val="20"/>
          <w:rtl/>
        </w:rPr>
        <w:t>ליום</w:t>
      </w:r>
      <w:r w:rsidRPr="00AF4173">
        <w:rPr>
          <w:rFonts w:cs="Arial"/>
          <w:sz w:val="20"/>
          <w:szCs w:val="20"/>
          <w:rtl/>
        </w:rPr>
        <w:t xml:space="preserve"> </w:t>
      </w:r>
      <w:r w:rsidRPr="00AF4173">
        <w:rPr>
          <w:rFonts w:cs="Arial" w:hint="cs"/>
          <w:sz w:val="20"/>
          <w:szCs w:val="20"/>
          <w:rtl/>
        </w:rPr>
        <w:t>עשרים</w:t>
      </w:r>
      <w:r w:rsidRPr="00AF4173">
        <w:rPr>
          <w:rFonts w:cs="Arial"/>
          <w:sz w:val="20"/>
          <w:szCs w:val="20"/>
          <w:rtl/>
        </w:rPr>
        <w:t xml:space="preserve">, </w:t>
      </w:r>
      <w:r w:rsidRPr="00AF4173">
        <w:rPr>
          <w:rFonts w:cs="Arial" w:hint="cs"/>
          <w:sz w:val="20"/>
          <w:szCs w:val="20"/>
          <w:rtl/>
        </w:rPr>
        <w:t>ונקט</w:t>
      </w:r>
      <w:r w:rsidRPr="00AF4173">
        <w:rPr>
          <w:rFonts w:cs="Arial"/>
          <w:sz w:val="20"/>
          <w:szCs w:val="20"/>
          <w:rtl/>
        </w:rPr>
        <w:t xml:space="preserve"> </w:t>
      </w:r>
      <w:r w:rsidRPr="00AF4173">
        <w:rPr>
          <w:rFonts w:cs="Arial" w:hint="cs"/>
          <w:sz w:val="20"/>
          <w:szCs w:val="20"/>
          <w:rtl/>
        </w:rPr>
        <w:t>ליום</w:t>
      </w:r>
      <w:r w:rsidRPr="00AF4173">
        <w:rPr>
          <w:rFonts w:cs="Arial"/>
          <w:sz w:val="20"/>
          <w:szCs w:val="20"/>
          <w:rtl/>
        </w:rPr>
        <w:t xml:space="preserve"> </w:t>
      </w:r>
      <w:r w:rsidRPr="00AF4173">
        <w:rPr>
          <w:rFonts w:cs="Arial" w:hint="cs"/>
          <w:sz w:val="20"/>
          <w:szCs w:val="20"/>
          <w:rtl/>
        </w:rPr>
        <w:t>עשרים</w:t>
      </w:r>
      <w:r w:rsidRPr="00AF4173">
        <w:rPr>
          <w:rFonts w:cs="Arial"/>
          <w:sz w:val="20"/>
          <w:szCs w:val="20"/>
          <w:rtl/>
        </w:rPr>
        <w:t xml:space="preserve"> </w:t>
      </w:r>
      <w:r w:rsidRPr="00AF4173">
        <w:rPr>
          <w:rFonts w:cs="Arial" w:hint="cs"/>
          <w:sz w:val="20"/>
          <w:szCs w:val="20"/>
          <w:rtl/>
        </w:rPr>
        <w:t>ואחד</w:t>
      </w:r>
      <w:r w:rsidRPr="00AF4173">
        <w:rPr>
          <w:rFonts w:cs="Arial"/>
          <w:sz w:val="20"/>
          <w:szCs w:val="20"/>
          <w:rtl/>
        </w:rPr>
        <w:t xml:space="preserve"> </w:t>
      </w:r>
      <w:r>
        <w:rPr>
          <w:rFonts w:cs="Arial"/>
          <w:sz w:val="20"/>
          <w:szCs w:val="20"/>
          <w:rtl/>
        </w:rPr>
        <w:t>–</w:t>
      </w:r>
      <w:r w:rsidRPr="00AF4173">
        <w:rPr>
          <w:rFonts w:cs="Arial"/>
          <w:sz w:val="20"/>
          <w:szCs w:val="20"/>
          <w:rtl/>
        </w:rPr>
        <w:t xml:space="preserve"> </w:t>
      </w:r>
      <w:r w:rsidRPr="00AF4173">
        <w:rPr>
          <w:rFonts w:cs="Arial" w:hint="cs"/>
          <w:sz w:val="20"/>
          <w:szCs w:val="20"/>
          <w:rtl/>
        </w:rPr>
        <w:t>ש</w:t>
      </w:r>
      <w:r>
        <w:rPr>
          <w:rFonts w:cs="Arial" w:hint="cs"/>
          <w:sz w:val="20"/>
          <w:szCs w:val="20"/>
          <w:rtl/>
        </w:rPr>
        <w:t>מע מינה"</w:t>
      </w:r>
      <w:r w:rsidRPr="00AF4173">
        <w:rPr>
          <w:rFonts w:cs="Arial"/>
          <w:sz w:val="20"/>
          <w:szCs w:val="20"/>
          <w:rtl/>
        </w:rPr>
        <w:t>.</w:t>
      </w:r>
    </w:p>
    <w:p w:rsidR="00620060" w:rsidRDefault="00620060" w:rsidP="00620060">
      <w:pPr>
        <w:rPr>
          <w:sz w:val="20"/>
          <w:szCs w:val="20"/>
          <w:rtl/>
        </w:rPr>
      </w:pPr>
      <w:r w:rsidRPr="0093580C">
        <w:rPr>
          <w:rFonts w:cs="Arial" w:hint="cs"/>
          <w:b/>
          <w:bCs/>
          <w:sz w:val="20"/>
          <w:szCs w:val="20"/>
          <w:rtl/>
        </w:rPr>
        <w:t>שיטות הראשונים</w:t>
      </w:r>
      <w:r>
        <w:rPr>
          <w:rFonts w:hint="cs"/>
          <w:sz w:val="20"/>
          <w:szCs w:val="20"/>
          <w:u w:val="single"/>
          <w:rtl/>
        </w:rPr>
        <w:br/>
      </w:r>
      <w:r>
        <w:rPr>
          <w:rFonts w:hint="cs"/>
          <w:sz w:val="20"/>
          <w:szCs w:val="20"/>
          <w:rtl/>
        </w:rPr>
        <w:t xml:space="preserve">א. </w:t>
      </w:r>
      <w:r w:rsidRPr="00DA342F">
        <w:rPr>
          <w:rFonts w:hint="cs"/>
          <w:b/>
          <w:bCs/>
          <w:sz w:val="20"/>
          <w:szCs w:val="20"/>
          <w:rtl/>
        </w:rPr>
        <w:t>ר"ח וראב"ד</w:t>
      </w:r>
      <w:r>
        <w:rPr>
          <w:rFonts w:hint="cs"/>
          <w:sz w:val="20"/>
          <w:szCs w:val="20"/>
          <w:rtl/>
        </w:rPr>
        <w:t xml:space="preserve"> </w:t>
      </w:r>
      <w:r>
        <w:rPr>
          <w:sz w:val="20"/>
          <w:szCs w:val="20"/>
          <w:rtl/>
        </w:rPr>
        <w:t>–</w:t>
      </w:r>
      <w:r>
        <w:rPr>
          <w:rFonts w:hint="cs"/>
          <w:sz w:val="20"/>
          <w:szCs w:val="20"/>
          <w:rtl/>
        </w:rPr>
        <w:t xml:space="preserve"> הלכה כרב.</w:t>
      </w:r>
      <w:r>
        <w:rPr>
          <w:sz w:val="20"/>
          <w:szCs w:val="20"/>
          <w:rtl/>
        </w:rPr>
        <w:br/>
      </w:r>
      <w:r w:rsidRPr="00DA342F">
        <w:rPr>
          <w:rFonts w:hint="cs"/>
          <w:b/>
          <w:bCs/>
          <w:sz w:val="20"/>
          <w:szCs w:val="20"/>
          <w:rtl/>
        </w:rPr>
        <w:t xml:space="preserve">טעם </w:t>
      </w:r>
      <w:r>
        <w:rPr>
          <w:sz w:val="20"/>
          <w:szCs w:val="20"/>
          <w:rtl/>
        </w:rPr>
        <w:t>–</w:t>
      </w:r>
      <w:r>
        <w:rPr>
          <w:rFonts w:hint="cs"/>
          <w:sz w:val="20"/>
          <w:szCs w:val="20"/>
          <w:rtl/>
        </w:rPr>
        <w:t xml:space="preserve"> קיי"ל שהלכה כרב באיסורי.</w:t>
      </w:r>
      <w:r>
        <w:rPr>
          <w:sz w:val="20"/>
          <w:szCs w:val="20"/>
          <w:rtl/>
        </w:rPr>
        <w:br/>
      </w:r>
      <w:r>
        <w:rPr>
          <w:rFonts w:hint="cs"/>
          <w:sz w:val="20"/>
          <w:szCs w:val="20"/>
          <w:rtl/>
        </w:rPr>
        <w:t xml:space="preserve">ב. </w:t>
      </w:r>
      <w:r w:rsidRPr="00DA342F">
        <w:rPr>
          <w:rFonts w:hint="cs"/>
          <w:b/>
          <w:bCs/>
          <w:sz w:val="20"/>
          <w:szCs w:val="20"/>
          <w:rtl/>
        </w:rPr>
        <w:t>רמב"ם ורמב"ן</w:t>
      </w:r>
      <w:r>
        <w:rPr>
          <w:rFonts w:hint="cs"/>
          <w:sz w:val="20"/>
          <w:szCs w:val="20"/>
          <w:rtl/>
        </w:rPr>
        <w:t xml:space="preserve"> </w:t>
      </w:r>
      <w:r>
        <w:rPr>
          <w:sz w:val="20"/>
          <w:szCs w:val="20"/>
          <w:rtl/>
        </w:rPr>
        <w:t>–</w:t>
      </w:r>
      <w:r>
        <w:rPr>
          <w:rFonts w:hint="cs"/>
          <w:sz w:val="20"/>
          <w:szCs w:val="20"/>
          <w:rtl/>
        </w:rPr>
        <w:t xml:space="preserve"> הלכה כשמואל.</w:t>
      </w:r>
      <w:r>
        <w:rPr>
          <w:rFonts w:hint="cs"/>
          <w:sz w:val="20"/>
          <w:szCs w:val="20"/>
          <w:rtl/>
        </w:rPr>
        <w:br/>
      </w:r>
      <w:r w:rsidRPr="00DA342F">
        <w:rPr>
          <w:rFonts w:hint="cs"/>
          <w:b/>
          <w:bCs/>
          <w:sz w:val="20"/>
          <w:szCs w:val="20"/>
          <w:rtl/>
        </w:rPr>
        <w:t xml:space="preserve">טעם </w:t>
      </w:r>
      <w:r>
        <w:rPr>
          <w:sz w:val="20"/>
          <w:szCs w:val="20"/>
          <w:rtl/>
        </w:rPr>
        <w:t>–</w:t>
      </w:r>
      <w:r>
        <w:rPr>
          <w:rFonts w:hint="cs"/>
          <w:sz w:val="20"/>
          <w:szCs w:val="20"/>
          <w:rtl/>
        </w:rPr>
        <w:t xml:space="preserve"> הברייתא שמקשים ממנה לשמואל דייקא כוותיה למסקנה.</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1976AA">
        <w:rPr>
          <w:rFonts w:cs="Arial" w:hint="cs"/>
          <w:sz w:val="20"/>
          <w:szCs w:val="20"/>
          <w:rtl/>
        </w:rPr>
        <w:t>כיצד</w:t>
      </w:r>
      <w:r w:rsidRPr="001976AA">
        <w:rPr>
          <w:rFonts w:cs="Arial"/>
          <w:sz w:val="20"/>
          <w:szCs w:val="20"/>
          <w:rtl/>
        </w:rPr>
        <w:t xml:space="preserve"> </w:t>
      </w:r>
      <w:r w:rsidRPr="001976AA">
        <w:rPr>
          <w:rFonts w:cs="Arial" w:hint="cs"/>
          <w:sz w:val="20"/>
          <w:szCs w:val="20"/>
          <w:rtl/>
        </w:rPr>
        <w:t>קובעת</w:t>
      </w:r>
      <w:r w:rsidRPr="001976AA">
        <w:rPr>
          <w:rFonts w:cs="Arial"/>
          <w:sz w:val="20"/>
          <w:szCs w:val="20"/>
          <w:rtl/>
        </w:rPr>
        <w:t xml:space="preserve"> </w:t>
      </w:r>
      <w:r w:rsidRPr="001976AA">
        <w:rPr>
          <w:rFonts w:cs="Arial" w:hint="cs"/>
          <w:sz w:val="20"/>
          <w:szCs w:val="20"/>
          <w:rtl/>
        </w:rPr>
        <w:t>בימי</w:t>
      </w:r>
      <w:r w:rsidRPr="001976AA">
        <w:rPr>
          <w:rFonts w:cs="Arial"/>
          <w:sz w:val="20"/>
          <w:szCs w:val="20"/>
          <w:rtl/>
        </w:rPr>
        <w:t xml:space="preserve"> </w:t>
      </w:r>
      <w:r w:rsidRPr="001976AA">
        <w:rPr>
          <w:rFonts w:cs="Arial" w:hint="cs"/>
          <w:sz w:val="20"/>
          <w:szCs w:val="20"/>
          <w:rtl/>
        </w:rPr>
        <w:t>הח</w:t>
      </w:r>
      <w:r>
        <w:rPr>
          <w:rFonts w:cs="Arial" w:hint="cs"/>
          <w:sz w:val="20"/>
          <w:szCs w:val="20"/>
          <w:rtl/>
        </w:rPr>
        <w:t>ו</w:t>
      </w:r>
      <w:r w:rsidRPr="001976AA">
        <w:rPr>
          <w:rFonts w:cs="Arial" w:hint="cs"/>
          <w:sz w:val="20"/>
          <w:szCs w:val="20"/>
          <w:rtl/>
        </w:rPr>
        <w:t>דש</w:t>
      </w:r>
      <w:r w:rsidRPr="001976AA">
        <w:rPr>
          <w:rFonts w:cs="Arial"/>
          <w:sz w:val="20"/>
          <w:szCs w:val="20"/>
          <w:rtl/>
        </w:rPr>
        <w:t xml:space="preserve"> </w:t>
      </w:r>
      <w:r w:rsidRPr="001976AA">
        <w:rPr>
          <w:rFonts w:cs="Arial" w:hint="cs"/>
          <w:sz w:val="20"/>
          <w:szCs w:val="20"/>
          <w:rtl/>
        </w:rPr>
        <w:t>בדילוג</w:t>
      </w:r>
      <w:r w:rsidRPr="001976AA">
        <w:rPr>
          <w:rFonts w:cs="Arial"/>
          <w:sz w:val="20"/>
          <w:szCs w:val="20"/>
          <w:rtl/>
        </w:rPr>
        <w:t xml:space="preserve">, </w:t>
      </w:r>
      <w:r w:rsidRPr="001976AA">
        <w:rPr>
          <w:rFonts w:cs="Arial" w:hint="cs"/>
          <w:sz w:val="20"/>
          <w:szCs w:val="20"/>
          <w:rtl/>
        </w:rPr>
        <w:t>כגון</w:t>
      </w:r>
      <w:r w:rsidRPr="001976AA">
        <w:rPr>
          <w:rFonts w:cs="Arial"/>
          <w:sz w:val="20"/>
          <w:szCs w:val="20"/>
          <w:rtl/>
        </w:rPr>
        <w:t xml:space="preserve"> </w:t>
      </w:r>
      <w:r w:rsidRPr="001976AA">
        <w:rPr>
          <w:rFonts w:cs="Arial" w:hint="cs"/>
          <w:sz w:val="20"/>
          <w:szCs w:val="20"/>
          <w:rtl/>
        </w:rPr>
        <w:t>שראתה</w:t>
      </w:r>
      <w:r w:rsidRPr="001976AA">
        <w:rPr>
          <w:rFonts w:cs="Arial"/>
          <w:sz w:val="20"/>
          <w:szCs w:val="20"/>
          <w:rtl/>
        </w:rPr>
        <w:t xml:space="preserve"> </w:t>
      </w:r>
      <w:r w:rsidRPr="001976AA">
        <w:rPr>
          <w:rFonts w:cs="Arial" w:hint="cs"/>
          <w:sz w:val="20"/>
          <w:szCs w:val="20"/>
          <w:rtl/>
        </w:rPr>
        <w:t>בט</w:t>
      </w:r>
      <w:r w:rsidRPr="001976AA">
        <w:rPr>
          <w:rFonts w:cs="Arial"/>
          <w:sz w:val="20"/>
          <w:szCs w:val="20"/>
          <w:rtl/>
        </w:rPr>
        <w:t>"</w:t>
      </w:r>
      <w:r w:rsidRPr="001976AA">
        <w:rPr>
          <w:rFonts w:cs="Arial" w:hint="cs"/>
          <w:sz w:val="20"/>
          <w:szCs w:val="20"/>
          <w:rtl/>
        </w:rPr>
        <w:t>ו</w:t>
      </w:r>
      <w:r w:rsidRPr="001976AA">
        <w:rPr>
          <w:rFonts w:cs="Arial"/>
          <w:sz w:val="20"/>
          <w:szCs w:val="20"/>
          <w:rtl/>
        </w:rPr>
        <w:t xml:space="preserve"> </w:t>
      </w:r>
      <w:r w:rsidRPr="001976AA">
        <w:rPr>
          <w:rFonts w:cs="Arial" w:hint="cs"/>
          <w:sz w:val="20"/>
          <w:szCs w:val="20"/>
          <w:rtl/>
        </w:rPr>
        <w:t>בניסן</w:t>
      </w:r>
      <w:r w:rsidRPr="001976AA">
        <w:rPr>
          <w:rFonts w:cs="Arial"/>
          <w:sz w:val="20"/>
          <w:szCs w:val="20"/>
          <w:rtl/>
        </w:rPr>
        <w:t xml:space="preserve"> </w:t>
      </w:r>
      <w:r w:rsidRPr="001976AA">
        <w:rPr>
          <w:rFonts w:cs="Arial" w:hint="cs"/>
          <w:sz w:val="20"/>
          <w:szCs w:val="20"/>
          <w:rtl/>
        </w:rPr>
        <w:t>וט</w:t>
      </w:r>
      <w:r w:rsidRPr="001976AA">
        <w:rPr>
          <w:rFonts w:cs="Arial"/>
          <w:sz w:val="20"/>
          <w:szCs w:val="20"/>
          <w:rtl/>
        </w:rPr>
        <w:t>"</w:t>
      </w:r>
      <w:r w:rsidRPr="001976AA">
        <w:rPr>
          <w:rFonts w:cs="Arial" w:hint="cs"/>
          <w:sz w:val="20"/>
          <w:szCs w:val="20"/>
          <w:rtl/>
        </w:rPr>
        <w:t>ז</w:t>
      </w:r>
      <w:r w:rsidRPr="001976AA">
        <w:rPr>
          <w:rFonts w:cs="Arial"/>
          <w:sz w:val="20"/>
          <w:szCs w:val="20"/>
          <w:rtl/>
        </w:rPr>
        <w:t xml:space="preserve"> </w:t>
      </w:r>
      <w:r w:rsidRPr="001976AA">
        <w:rPr>
          <w:rFonts w:cs="Arial" w:hint="cs"/>
          <w:sz w:val="20"/>
          <w:szCs w:val="20"/>
          <w:rtl/>
        </w:rPr>
        <w:t>באייר</w:t>
      </w:r>
      <w:r w:rsidRPr="001976AA">
        <w:rPr>
          <w:rFonts w:cs="Arial"/>
          <w:sz w:val="20"/>
          <w:szCs w:val="20"/>
          <w:rtl/>
        </w:rPr>
        <w:t xml:space="preserve"> </w:t>
      </w:r>
      <w:r w:rsidRPr="001976AA">
        <w:rPr>
          <w:rFonts w:cs="Arial" w:hint="cs"/>
          <w:sz w:val="20"/>
          <w:szCs w:val="20"/>
          <w:rtl/>
        </w:rPr>
        <w:t>וי</w:t>
      </w:r>
      <w:r w:rsidRPr="001976AA">
        <w:rPr>
          <w:rFonts w:cs="Arial"/>
          <w:sz w:val="20"/>
          <w:szCs w:val="20"/>
          <w:rtl/>
        </w:rPr>
        <w:t>"</w:t>
      </w:r>
      <w:r w:rsidRPr="001976AA">
        <w:rPr>
          <w:rFonts w:cs="Arial" w:hint="cs"/>
          <w:sz w:val="20"/>
          <w:szCs w:val="20"/>
          <w:rtl/>
        </w:rPr>
        <w:t>ז</w:t>
      </w:r>
      <w:r w:rsidRPr="001976AA">
        <w:rPr>
          <w:rFonts w:cs="Arial"/>
          <w:sz w:val="20"/>
          <w:szCs w:val="20"/>
          <w:rtl/>
        </w:rPr>
        <w:t xml:space="preserve"> </w:t>
      </w:r>
      <w:r w:rsidRPr="001976AA">
        <w:rPr>
          <w:rFonts w:cs="Arial" w:hint="cs"/>
          <w:sz w:val="20"/>
          <w:szCs w:val="20"/>
          <w:rtl/>
        </w:rPr>
        <w:t>בסיון</w:t>
      </w:r>
      <w:r w:rsidRPr="001976AA">
        <w:rPr>
          <w:rFonts w:cs="Arial"/>
          <w:sz w:val="20"/>
          <w:szCs w:val="20"/>
          <w:rtl/>
        </w:rPr>
        <w:t xml:space="preserve">, </w:t>
      </w:r>
      <w:r w:rsidRPr="001976AA">
        <w:rPr>
          <w:rFonts w:cs="Arial" w:hint="cs"/>
          <w:sz w:val="20"/>
          <w:szCs w:val="20"/>
          <w:rtl/>
        </w:rPr>
        <w:t>לא</w:t>
      </w:r>
      <w:r w:rsidRPr="001976AA">
        <w:rPr>
          <w:rFonts w:cs="Arial"/>
          <w:sz w:val="20"/>
          <w:szCs w:val="20"/>
          <w:rtl/>
        </w:rPr>
        <w:t xml:space="preserve"> </w:t>
      </w:r>
      <w:r w:rsidRPr="001976AA">
        <w:rPr>
          <w:rFonts w:cs="Arial" w:hint="cs"/>
          <w:sz w:val="20"/>
          <w:szCs w:val="20"/>
          <w:rtl/>
        </w:rPr>
        <w:t>קבעה</w:t>
      </w:r>
      <w:r w:rsidRPr="001976AA">
        <w:rPr>
          <w:rFonts w:cs="Arial"/>
          <w:sz w:val="20"/>
          <w:szCs w:val="20"/>
          <w:rtl/>
        </w:rPr>
        <w:t xml:space="preserve"> </w:t>
      </w:r>
      <w:r w:rsidRPr="001976AA">
        <w:rPr>
          <w:rFonts w:cs="Arial" w:hint="cs"/>
          <w:sz w:val="20"/>
          <w:szCs w:val="20"/>
          <w:rtl/>
        </w:rPr>
        <w:t>וסת</w:t>
      </w:r>
      <w:r w:rsidRPr="001976AA">
        <w:rPr>
          <w:rFonts w:cs="Arial"/>
          <w:sz w:val="20"/>
          <w:szCs w:val="20"/>
          <w:rtl/>
        </w:rPr>
        <w:t xml:space="preserve"> </w:t>
      </w:r>
      <w:r w:rsidRPr="001976AA">
        <w:rPr>
          <w:rFonts w:cs="Arial" w:hint="cs"/>
          <w:sz w:val="20"/>
          <w:szCs w:val="20"/>
          <w:rtl/>
        </w:rPr>
        <w:t>עד</w:t>
      </w:r>
      <w:r w:rsidRPr="001976AA">
        <w:rPr>
          <w:rFonts w:cs="Arial"/>
          <w:sz w:val="20"/>
          <w:szCs w:val="20"/>
          <w:rtl/>
        </w:rPr>
        <w:t xml:space="preserve"> </w:t>
      </w:r>
      <w:r w:rsidRPr="001976AA">
        <w:rPr>
          <w:rFonts w:cs="Arial" w:hint="cs"/>
          <w:sz w:val="20"/>
          <w:szCs w:val="20"/>
          <w:rtl/>
        </w:rPr>
        <w:t>שתראה</w:t>
      </w:r>
      <w:r w:rsidRPr="001976AA">
        <w:rPr>
          <w:rFonts w:cs="Arial"/>
          <w:sz w:val="20"/>
          <w:szCs w:val="20"/>
          <w:rtl/>
        </w:rPr>
        <w:t xml:space="preserve"> </w:t>
      </w:r>
      <w:r w:rsidRPr="001976AA">
        <w:rPr>
          <w:rFonts w:cs="Arial" w:hint="cs"/>
          <w:sz w:val="20"/>
          <w:szCs w:val="20"/>
          <w:rtl/>
        </w:rPr>
        <w:t>בי</w:t>
      </w:r>
      <w:r w:rsidRPr="001976AA">
        <w:rPr>
          <w:rFonts w:cs="Arial"/>
          <w:sz w:val="20"/>
          <w:szCs w:val="20"/>
          <w:rtl/>
        </w:rPr>
        <w:t>"</w:t>
      </w:r>
      <w:r w:rsidRPr="001976AA">
        <w:rPr>
          <w:rFonts w:cs="Arial" w:hint="cs"/>
          <w:sz w:val="20"/>
          <w:szCs w:val="20"/>
          <w:rtl/>
        </w:rPr>
        <w:t>ח</w:t>
      </w:r>
      <w:r w:rsidRPr="001976AA">
        <w:rPr>
          <w:rFonts w:cs="Arial"/>
          <w:sz w:val="20"/>
          <w:szCs w:val="20"/>
          <w:rtl/>
        </w:rPr>
        <w:t xml:space="preserve"> </w:t>
      </w:r>
      <w:r w:rsidRPr="001976AA">
        <w:rPr>
          <w:rFonts w:cs="Arial" w:hint="cs"/>
          <w:sz w:val="20"/>
          <w:szCs w:val="20"/>
          <w:rtl/>
        </w:rPr>
        <w:t>בתמוז</w:t>
      </w:r>
      <w:r w:rsidRPr="001976AA">
        <w:rPr>
          <w:rFonts w:cs="Arial"/>
          <w:sz w:val="20"/>
          <w:szCs w:val="20"/>
          <w:rtl/>
        </w:rPr>
        <w:t xml:space="preserve">, </w:t>
      </w:r>
      <w:r w:rsidRPr="001976AA">
        <w:rPr>
          <w:rFonts w:cs="Arial" w:hint="cs"/>
          <w:sz w:val="20"/>
          <w:szCs w:val="20"/>
          <w:rtl/>
        </w:rPr>
        <w:t>שאין</w:t>
      </w:r>
      <w:r w:rsidRPr="001976AA">
        <w:rPr>
          <w:rFonts w:cs="Arial"/>
          <w:sz w:val="20"/>
          <w:szCs w:val="20"/>
          <w:rtl/>
        </w:rPr>
        <w:t xml:space="preserve"> </w:t>
      </w:r>
      <w:r w:rsidRPr="001976AA">
        <w:rPr>
          <w:rFonts w:cs="Arial" w:hint="cs"/>
          <w:sz w:val="20"/>
          <w:szCs w:val="20"/>
          <w:rtl/>
        </w:rPr>
        <w:t>ראיה</w:t>
      </w:r>
      <w:r w:rsidRPr="001976AA">
        <w:rPr>
          <w:rFonts w:cs="Arial"/>
          <w:sz w:val="20"/>
          <w:szCs w:val="20"/>
          <w:rtl/>
        </w:rPr>
        <w:t xml:space="preserve"> </w:t>
      </w:r>
      <w:r w:rsidRPr="001976AA">
        <w:rPr>
          <w:rFonts w:cs="Arial" w:hint="cs"/>
          <w:sz w:val="20"/>
          <w:szCs w:val="20"/>
          <w:rtl/>
        </w:rPr>
        <w:t>ראשונה</w:t>
      </w:r>
      <w:r w:rsidRPr="001976AA">
        <w:rPr>
          <w:rFonts w:cs="Arial"/>
          <w:sz w:val="20"/>
          <w:szCs w:val="20"/>
          <w:rtl/>
        </w:rPr>
        <w:t xml:space="preserve"> </w:t>
      </w:r>
      <w:r w:rsidRPr="001976AA">
        <w:rPr>
          <w:rFonts w:cs="Arial" w:hint="cs"/>
          <w:sz w:val="20"/>
          <w:szCs w:val="20"/>
          <w:rtl/>
        </w:rPr>
        <w:t>מצטרפת</w:t>
      </w:r>
      <w:r w:rsidRPr="001976AA">
        <w:rPr>
          <w:rFonts w:cs="Arial"/>
          <w:sz w:val="20"/>
          <w:szCs w:val="20"/>
          <w:rtl/>
        </w:rPr>
        <w:t xml:space="preserve">, </w:t>
      </w:r>
      <w:r w:rsidRPr="001976AA">
        <w:rPr>
          <w:rFonts w:cs="Arial" w:hint="cs"/>
          <w:sz w:val="20"/>
          <w:szCs w:val="20"/>
          <w:rtl/>
        </w:rPr>
        <w:t>כיון</w:t>
      </w:r>
      <w:r w:rsidRPr="001976AA">
        <w:rPr>
          <w:rFonts w:cs="Arial"/>
          <w:sz w:val="20"/>
          <w:szCs w:val="20"/>
          <w:rtl/>
        </w:rPr>
        <w:t xml:space="preserve"> </w:t>
      </w:r>
      <w:r w:rsidRPr="001976AA">
        <w:rPr>
          <w:rFonts w:cs="Arial" w:hint="cs"/>
          <w:sz w:val="20"/>
          <w:szCs w:val="20"/>
          <w:rtl/>
        </w:rPr>
        <w:t>שאין</w:t>
      </w:r>
      <w:r w:rsidRPr="001976AA">
        <w:rPr>
          <w:rFonts w:cs="Arial"/>
          <w:sz w:val="20"/>
          <w:szCs w:val="20"/>
          <w:rtl/>
        </w:rPr>
        <w:t xml:space="preserve"> </w:t>
      </w:r>
      <w:r w:rsidRPr="001976AA">
        <w:rPr>
          <w:rFonts w:cs="Arial" w:hint="cs"/>
          <w:sz w:val="20"/>
          <w:szCs w:val="20"/>
          <w:rtl/>
        </w:rPr>
        <w:t>ההפלגות</w:t>
      </w:r>
      <w:r w:rsidRPr="001976AA">
        <w:rPr>
          <w:rFonts w:cs="Arial"/>
          <w:sz w:val="20"/>
          <w:szCs w:val="20"/>
          <w:rtl/>
        </w:rPr>
        <w:t xml:space="preserve"> </w:t>
      </w:r>
      <w:r w:rsidRPr="001976AA">
        <w:rPr>
          <w:rFonts w:cs="Arial" w:hint="cs"/>
          <w:sz w:val="20"/>
          <w:szCs w:val="20"/>
          <w:rtl/>
        </w:rPr>
        <w:t>שוות</w:t>
      </w:r>
      <w:r>
        <w:rPr>
          <w:rStyle w:val="a5"/>
          <w:rFonts w:cs="Arial"/>
          <w:sz w:val="20"/>
          <w:szCs w:val="20"/>
          <w:rtl/>
        </w:rPr>
        <w:footnoteReference w:id="180"/>
      </w:r>
      <w:r w:rsidRPr="001976AA">
        <w:rPr>
          <w:rFonts w:cs="Arial"/>
          <w:sz w:val="20"/>
          <w:szCs w:val="20"/>
          <w:rtl/>
        </w:rPr>
        <w:t xml:space="preserve">. </w:t>
      </w:r>
      <w:r w:rsidRPr="001976AA">
        <w:rPr>
          <w:rFonts w:cs="Arial" w:hint="cs"/>
          <w:sz w:val="20"/>
          <w:szCs w:val="20"/>
          <w:rtl/>
        </w:rPr>
        <w:t>ומיהו</w:t>
      </w:r>
      <w:r w:rsidRPr="001976AA">
        <w:rPr>
          <w:rFonts w:cs="Arial"/>
          <w:sz w:val="20"/>
          <w:szCs w:val="20"/>
          <w:rtl/>
        </w:rPr>
        <w:t xml:space="preserve"> </w:t>
      </w:r>
      <w:r w:rsidRPr="001976AA">
        <w:rPr>
          <w:rFonts w:cs="Arial" w:hint="cs"/>
          <w:sz w:val="20"/>
          <w:szCs w:val="20"/>
          <w:rtl/>
        </w:rPr>
        <w:t>אם</w:t>
      </w:r>
      <w:r w:rsidRPr="001976AA">
        <w:rPr>
          <w:rFonts w:cs="Arial"/>
          <w:sz w:val="20"/>
          <w:szCs w:val="20"/>
          <w:rtl/>
        </w:rPr>
        <w:t xml:space="preserve"> </w:t>
      </w:r>
      <w:r w:rsidRPr="001976AA">
        <w:rPr>
          <w:rFonts w:cs="Arial" w:hint="cs"/>
          <w:sz w:val="20"/>
          <w:szCs w:val="20"/>
          <w:rtl/>
        </w:rPr>
        <w:t>היה</w:t>
      </w:r>
      <w:r w:rsidRPr="001976AA">
        <w:rPr>
          <w:rFonts w:cs="Arial"/>
          <w:sz w:val="20"/>
          <w:szCs w:val="20"/>
          <w:rtl/>
        </w:rPr>
        <w:t xml:space="preserve"> </w:t>
      </w:r>
      <w:r w:rsidRPr="001976AA">
        <w:rPr>
          <w:rFonts w:cs="Arial" w:hint="cs"/>
          <w:sz w:val="20"/>
          <w:szCs w:val="20"/>
          <w:rtl/>
        </w:rPr>
        <w:t>לה</w:t>
      </w:r>
      <w:r w:rsidRPr="001976AA">
        <w:rPr>
          <w:rFonts w:cs="Arial"/>
          <w:sz w:val="20"/>
          <w:szCs w:val="20"/>
          <w:rtl/>
        </w:rPr>
        <w:t xml:space="preserve"> </w:t>
      </w:r>
      <w:r w:rsidRPr="001976AA">
        <w:rPr>
          <w:rFonts w:cs="Arial" w:hint="cs"/>
          <w:sz w:val="20"/>
          <w:szCs w:val="20"/>
          <w:rtl/>
        </w:rPr>
        <w:t>וסת</w:t>
      </w:r>
      <w:r w:rsidRPr="001976AA">
        <w:rPr>
          <w:rFonts w:cs="Arial"/>
          <w:sz w:val="20"/>
          <w:szCs w:val="20"/>
          <w:rtl/>
        </w:rPr>
        <w:t xml:space="preserve"> </w:t>
      </w:r>
      <w:r w:rsidRPr="001976AA">
        <w:rPr>
          <w:rFonts w:cs="Arial" w:hint="cs"/>
          <w:sz w:val="20"/>
          <w:szCs w:val="20"/>
          <w:rtl/>
        </w:rPr>
        <w:t>קודם</w:t>
      </w:r>
      <w:r w:rsidRPr="001976AA">
        <w:rPr>
          <w:rFonts w:cs="Arial"/>
          <w:sz w:val="20"/>
          <w:szCs w:val="20"/>
          <w:rtl/>
        </w:rPr>
        <w:t xml:space="preserve"> </w:t>
      </w:r>
      <w:r w:rsidRPr="001976AA">
        <w:rPr>
          <w:rFonts w:cs="Arial" w:hint="cs"/>
          <w:sz w:val="20"/>
          <w:szCs w:val="20"/>
          <w:rtl/>
        </w:rPr>
        <w:t>שהתחילה</w:t>
      </w:r>
      <w:r w:rsidRPr="001976AA">
        <w:rPr>
          <w:rFonts w:cs="Arial"/>
          <w:sz w:val="20"/>
          <w:szCs w:val="20"/>
          <w:rtl/>
        </w:rPr>
        <w:t xml:space="preserve">, </w:t>
      </w:r>
      <w:r w:rsidRPr="001976AA">
        <w:rPr>
          <w:rFonts w:cs="Arial" w:hint="cs"/>
          <w:sz w:val="20"/>
          <w:szCs w:val="20"/>
          <w:rtl/>
        </w:rPr>
        <w:t>ואח</w:t>
      </w:r>
      <w:r>
        <w:rPr>
          <w:rFonts w:cs="Arial" w:hint="cs"/>
          <w:sz w:val="20"/>
          <w:szCs w:val="20"/>
          <w:rtl/>
        </w:rPr>
        <w:t>ר כך</w:t>
      </w:r>
      <w:r w:rsidRPr="001976AA">
        <w:rPr>
          <w:rFonts w:cs="Arial"/>
          <w:sz w:val="20"/>
          <w:szCs w:val="20"/>
          <w:rtl/>
        </w:rPr>
        <w:t xml:space="preserve"> </w:t>
      </w:r>
      <w:r w:rsidRPr="001976AA">
        <w:rPr>
          <w:rFonts w:cs="Arial" w:hint="cs"/>
          <w:sz w:val="20"/>
          <w:szCs w:val="20"/>
          <w:rtl/>
        </w:rPr>
        <w:t>שינתה</w:t>
      </w:r>
      <w:r w:rsidRPr="001976AA">
        <w:rPr>
          <w:rFonts w:cs="Arial"/>
          <w:sz w:val="20"/>
          <w:szCs w:val="20"/>
          <w:rtl/>
        </w:rPr>
        <w:t xml:space="preserve"> </w:t>
      </w:r>
      <w:r w:rsidRPr="001976AA">
        <w:rPr>
          <w:rFonts w:cs="Arial" w:hint="cs"/>
          <w:sz w:val="20"/>
          <w:szCs w:val="20"/>
          <w:rtl/>
        </w:rPr>
        <w:t>וראתה</w:t>
      </w:r>
      <w:r w:rsidRPr="001976AA">
        <w:rPr>
          <w:rFonts w:cs="Arial"/>
          <w:sz w:val="20"/>
          <w:szCs w:val="20"/>
          <w:rtl/>
        </w:rPr>
        <w:t xml:space="preserve"> </w:t>
      </w:r>
      <w:r w:rsidRPr="001976AA">
        <w:rPr>
          <w:rFonts w:cs="Arial" w:hint="cs"/>
          <w:sz w:val="20"/>
          <w:szCs w:val="20"/>
          <w:rtl/>
        </w:rPr>
        <w:t>בדילוג</w:t>
      </w:r>
      <w:r w:rsidRPr="001976AA">
        <w:rPr>
          <w:rFonts w:cs="Arial"/>
          <w:sz w:val="20"/>
          <w:szCs w:val="20"/>
          <w:rtl/>
        </w:rPr>
        <w:t xml:space="preserve"> </w:t>
      </w:r>
      <w:r w:rsidRPr="001976AA">
        <w:rPr>
          <w:rFonts w:cs="Arial" w:hint="cs"/>
          <w:sz w:val="20"/>
          <w:szCs w:val="20"/>
          <w:rtl/>
        </w:rPr>
        <w:t>ג</w:t>
      </w:r>
      <w:r w:rsidRPr="001976AA">
        <w:rPr>
          <w:rFonts w:cs="Arial"/>
          <w:sz w:val="20"/>
          <w:szCs w:val="20"/>
          <w:rtl/>
        </w:rPr>
        <w:t xml:space="preserve">' </w:t>
      </w:r>
      <w:r w:rsidRPr="001976AA">
        <w:rPr>
          <w:rFonts w:cs="Arial" w:hint="cs"/>
          <w:sz w:val="20"/>
          <w:szCs w:val="20"/>
          <w:rtl/>
        </w:rPr>
        <w:t>פעמים</w:t>
      </w:r>
      <w:r w:rsidRPr="001976AA">
        <w:rPr>
          <w:rFonts w:cs="Arial"/>
          <w:sz w:val="20"/>
          <w:szCs w:val="20"/>
          <w:rtl/>
        </w:rPr>
        <w:t xml:space="preserve">, </w:t>
      </w:r>
      <w:r w:rsidRPr="001976AA">
        <w:rPr>
          <w:rFonts w:cs="Arial" w:hint="cs"/>
          <w:sz w:val="20"/>
          <w:szCs w:val="20"/>
          <w:rtl/>
        </w:rPr>
        <w:t>קבעה</w:t>
      </w:r>
      <w:r w:rsidRPr="001976AA">
        <w:rPr>
          <w:rFonts w:cs="Arial"/>
          <w:sz w:val="20"/>
          <w:szCs w:val="20"/>
          <w:rtl/>
        </w:rPr>
        <w:t xml:space="preserve"> </w:t>
      </w:r>
      <w:r w:rsidRPr="001976AA">
        <w:rPr>
          <w:rFonts w:cs="Arial" w:hint="cs"/>
          <w:sz w:val="20"/>
          <w:szCs w:val="20"/>
          <w:rtl/>
        </w:rPr>
        <w:t>וסת</w:t>
      </w:r>
      <w:r w:rsidRPr="001976AA">
        <w:rPr>
          <w:rFonts w:cs="Arial"/>
          <w:sz w:val="20"/>
          <w:szCs w:val="20"/>
          <w:rtl/>
        </w:rPr>
        <w:t xml:space="preserve"> </w:t>
      </w:r>
      <w:r w:rsidRPr="001976AA">
        <w:rPr>
          <w:rFonts w:cs="Arial" w:hint="cs"/>
          <w:sz w:val="20"/>
          <w:szCs w:val="20"/>
          <w:rtl/>
        </w:rPr>
        <w:t>בדילוג</w:t>
      </w:r>
      <w:r w:rsidRPr="001976AA">
        <w:rPr>
          <w:rFonts w:cs="Arial"/>
          <w:sz w:val="20"/>
          <w:szCs w:val="20"/>
          <w:rtl/>
        </w:rPr>
        <w:t xml:space="preserve">. </w:t>
      </w:r>
      <w:r w:rsidRPr="001976AA">
        <w:rPr>
          <w:rFonts w:cs="Arial" w:hint="cs"/>
          <w:sz w:val="20"/>
          <w:szCs w:val="20"/>
          <w:rtl/>
        </w:rPr>
        <w:t>לפי</w:t>
      </w:r>
      <w:r w:rsidRPr="001976AA">
        <w:rPr>
          <w:rFonts w:cs="Arial"/>
          <w:sz w:val="20"/>
          <w:szCs w:val="20"/>
          <w:rtl/>
        </w:rPr>
        <w:t xml:space="preserve"> </w:t>
      </w:r>
      <w:r w:rsidRPr="001976AA">
        <w:rPr>
          <w:rFonts w:cs="Arial" w:hint="cs"/>
          <w:sz w:val="20"/>
          <w:szCs w:val="20"/>
          <w:rtl/>
        </w:rPr>
        <w:t>שאף</w:t>
      </w:r>
      <w:r w:rsidRPr="001976AA">
        <w:rPr>
          <w:rFonts w:cs="Arial"/>
          <w:sz w:val="20"/>
          <w:szCs w:val="20"/>
          <w:rtl/>
        </w:rPr>
        <w:t xml:space="preserve"> </w:t>
      </w:r>
      <w:r w:rsidRPr="001976AA">
        <w:rPr>
          <w:rFonts w:cs="Arial" w:hint="cs"/>
          <w:sz w:val="20"/>
          <w:szCs w:val="20"/>
          <w:rtl/>
        </w:rPr>
        <w:t>הראשונה</w:t>
      </w:r>
      <w:r w:rsidRPr="001976AA">
        <w:rPr>
          <w:rFonts w:cs="Arial"/>
          <w:sz w:val="20"/>
          <w:szCs w:val="20"/>
          <w:rtl/>
        </w:rPr>
        <w:t xml:space="preserve"> </w:t>
      </w:r>
      <w:r w:rsidRPr="001976AA">
        <w:rPr>
          <w:rFonts w:cs="Arial" w:hint="cs"/>
          <w:sz w:val="20"/>
          <w:szCs w:val="20"/>
          <w:rtl/>
        </w:rPr>
        <w:t>בדילוג</w:t>
      </w:r>
      <w:r w:rsidRPr="001976AA">
        <w:rPr>
          <w:rFonts w:cs="Arial"/>
          <w:sz w:val="20"/>
          <w:szCs w:val="20"/>
          <w:rtl/>
        </w:rPr>
        <w:t xml:space="preserve"> </w:t>
      </w:r>
      <w:r w:rsidRPr="001976AA">
        <w:rPr>
          <w:rFonts w:cs="Arial" w:hint="cs"/>
          <w:sz w:val="20"/>
          <w:szCs w:val="20"/>
          <w:rtl/>
        </w:rPr>
        <w:t>ראתה</w:t>
      </w:r>
      <w:r w:rsidRPr="001976AA">
        <w:rPr>
          <w:rFonts w:cs="Arial"/>
          <w:sz w:val="20"/>
          <w:szCs w:val="20"/>
          <w:rtl/>
        </w:rPr>
        <w:t xml:space="preserve"> </w:t>
      </w:r>
      <w:r w:rsidRPr="001976AA">
        <w:rPr>
          <w:rFonts w:cs="Arial" w:hint="cs"/>
          <w:sz w:val="20"/>
          <w:szCs w:val="20"/>
          <w:rtl/>
        </w:rPr>
        <w:t>אותה</w:t>
      </w:r>
      <w:r w:rsidRPr="001976AA">
        <w:rPr>
          <w:rFonts w:cs="Arial"/>
          <w:sz w:val="20"/>
          <w:szCs w:val="20"/>
          <w:rtl/>
        </w:rPr>
        <w:t xml:space="preserve">, </w:t>
      </w:r>
      <w:r w:rsidRPr="001976AA">
        <w:rPr>
          <w:rFonts w:cs="Arial" w:hint="cs"/>
          <w:sz w:val="20"/>
          <w:szCs w:val="20"/>
          <w:rtl/>
        </w:rPr>
        <w:t>שדילגה</w:t>
      </w:r>
      <w:r w:rsidRPr="001976AA">
        <w:rPr>
          <w:rFonts w:cs="Arial"/>
          <w:sz w:val="20"/>
          <w:szCs w:val="20"/>
          <w:rtl/>
        </w:rPr>
        <w:t xml:space="preserve"> </w:t>
      </w:r>
      <w:r w:rsidRPr="001976AA">
        <w:rPr>
          <w:rFonts w:cs="Arial" w:hint="cs"/>
          <w:sz w:val="20"/>
          <w:szCs w:val="20"/>
          <w:rtl/>
        </w:rPr>
        <w:t>מוסת</w:t>
      </w:r>
      <w:r w:rsidRPr="001976AA">
        <w:rPr>
          <w:rFonts w:cs="Arial"/>
          <w:sz w:val="20"/>
          <w:szCs w:val="20"/>
          <w:rtl/>
        </w:rPr>
        <w:t xml:space="preserve"> </w:t>
      </w:r>
      <w:r w:rsidRPr="001976AA">
        <w:rPr>
          <w:rFonts w:cs="Arial" w:hint="cs"/>
          <w:sz w:val="20"/>
          <w:szCs w:val="20"/>
          <w:rtl/>
        </w:rPr>
        <w:t>הקבוע</w:t>
      </w:r>
      <w:r w:rsidRPr="001976AA">
        <w:rPr>
          <w:rFonts w:cs="Arial"/>
          <w:sz w:val="20"/>
          <w:szCs w:val="20"/>
          <w:rtl/>
        </w:rPr>
        <w:t xml:space="preserve"> </w:t>
      </w:r>
      <w:r w:rsidRPr="001976AA">
        <w:rPr>
          <w:rFonts w:cs="Arial" w:hint="cs"/>
          <w:sz w:val="20"/>
          <w:szCs w:val="20"/>
          <w:rtl/>
        </w:rPr>
        <w:t>לה</w:t>
      </w:r>
      <w:r w:rsidRPr="001976AA">
        <w:rPr>
          <w:rFonts w:cs="Arial"/>
          <w:sz w:val="20"/>
          <w:szCs w:val="20"/>
          <w:rtl/>
        </w:rPr>
        <w:t xml:space="preserve"> </w:t>
      </w:r>
      <w:r w:rsidRPr="001976AA">
        <w:rPr>
          <w:rFonts w:cs="Arial"/>
          <w:sz w:val="18"/>
          <w:szCs w:val="18"/>
          <w:rtl/>
        </w:rPr>
        <w:t>(</w:t>
      </w:r>
      <w:r w:rsidRPr="001976AA">
        <w:rPr>
          <w:rFonts w:cs="Arial" w:hint="cs"/>
          <w:sz w:val="18"/>
          <w:szCs w:val="18"/>
          <w:rtl/>
        </w:rPr>
        <w:t>רמב</w:t>
      </w:r>
      <w:r w:rsidRPr="001976AA">
        <w:rPr>
          <w:rFonts w:cs="Arial"/>
          <w:sz w:val="18"/>
          <w:szCs w:val="18"/>
          <w:rtl/>
        </w:rPr>
        <w:t>"</w:t>
      </w:r>
      <w:r w:rsidRPr="001976AA">
        <w:rPr>
          <w:rFonts w:cs="Arial" w:hint="cs"/>
          <w:sz w:val="18"/>
          <w:szCs w:val="18"/>
          <w:rtl/>
        </w:rPr>
        <w:t>ם</w:t>
      </w:r>
      <w:r w:rsidRPr="001976AA">
        <w:rPr>
          <w:rFonts w:cs="Arial"/>
          <w:sz w:val="18"/>
          <w:szCs w:val="18"/>
          <w:rtl/>
        </w:rPr>
        <w:t xml:space="preserve"> </w:t>
      </w:r>
      <w:r w:rsidRPr="001976AA">
        <w:rPr>
          <w:rFonts w:cs="Arial" w:hint="cs"/>
          <w:sz w:val="18"/>
          <w:szCs w:val="18"/>
          <w:rtl/>
        </w:rPr>
        <w:t>ורמב</w:t>
      </w:r>
      <w:r w:rsidRPr="001976AA">
        <w:rPr>
          <w:rFonts w:cs="Arial"/>
          <w:sz w:val="18"/>
          <w:szCs w:val="18"/>
          <w:rtl/>
        </w:rPr>
        <w:t>"</w:t>
      </w:r>
      <w:r w:rsidRPr="001976AA">
        <w:rPr>
          <w:rFonts w:cs="Arial" w:hint="cs"/>
          <w:sz w:val="18"/>
          <w:szCs w:val="18"/>
          <w:rtl/>
        </w:rPr>
        <w:t>ן</w:t>
      </w:r>
      <w:r>
        <w:rPr>
          <w:rFonts w:cs="Arial" w:hint="cs"/>
          <w:sz w:val="18"/>
          <w:szCs w:val="18"/>
          <w:rtl/>
        </w:rPr>
        <w:t>)</w:t>
      </w:r>
      <w:r>
        <w:rPr>
          <w:rFonts w:cs="Arial" w:hint="cs"/>
          <w:sz w:val="20"/>
          <w:szCs w:val="20"/>
          <w:rtl/>
        </w:rPr>
        <w:t>.</w:t>
      </w:r>
      <w:r w:rsidRPr="001976AA">
        <w:rPr>
          <w:rFonts w:cs="Arial"/>
          <w:sz w:val="18"/>
          <w:szCs w:val="18"/>
          <w:rtl/>
        </w:rPr>
        <w:t xml:space="preserve"> </w:t>
      </w:r>
      <w:r w:rsidRPr="001976AA">
        <w:rPr>
          <w:rFonts w:cs="Arial" w:hint="cs"/>
          <w:sz w:val="20"/>
          <w:szCs w:val="20"/>
          <w:rtl/>
        </w:rPr>
        <w:t>וי</w:t>
      </w:r>
      <w:r>
        <w:rPr>
          <w:rFonts w:cs="Arial" w:hint="cs"/>
          <w:sz w:val="20"/>
          <w:szCs w:val="20"/>
          <w:rtl/>
        </w:rPr>
        <w:t xml:space="preserve">ש </w:t>
      </w:r>
      <w:r w:rsidRPr="001976AA">
        <w:rPr>
          <w:rFonts w:cs="Arial" w:hint="cs"/>
          <w:sz w:val="20"/>
          <w:szCs w:val="20"/>
          <w:rtl/>
        </w:rPr>
        <w:t>א</w:t>
      </w:r>
      <w:r>
        <w:rPr>
          <w:rFonts w:cs="Arial" w:hint="cs"/>
          <w:sz w:val="20"/>
          <w:szCs w:val="20"/>
          <w:rtl/>
        </w:rPr>
        <w:t>ומרים</w:t>
      </w:r>
      <w:r w:rsidRPr="001976AA">
        <w:rPr>
          <w:rFonts w:cs="Arial"/>
          <w:sz w:val="20"/>
          <w:szCs w:val="20"/>
          <w:rtl/>
        </w:rPr>
        <w:t xml:space="preserve"> </w:t>
      </w:r>
      <w:r>
        <w:rPr>
          <w:rFonts w:cs="Arial" w:hint="cs"/>
          <w:sz w:val="20"/>
          <w:szCs w:val="20"/>
          <w:rtl/>
        </w:rPr>
        <w:t>שאף על פי</w:t>
      </w:r>
      <w:r w:rsidRPr="001976AA">
        <w:rPr>
          <w:rFonts w:cs="Arial"/>
          <w:sz w:val="20"/>
          <w:szCs w:val="20"/>
          <w:rtl/>
        </w:rPr>
        <w:t xml:space="preserve"> </w:t>
      </w:r>
      <w:r w:rsidRPr="001976AA">
        <w:rPr>
          <w:rFonts w:cs="Arial" w:hint="cs"/>
          <w:sz w:val="20"/>
          <w:szCs w:val="20"/>
          <w:rtl/>
        </w:rPr>
        <w:t>שלא</w:t>
      </w:r>
      <w:r w:rsidRPr="001976AA">
        <w:rPr>
          <w:rFonts w:cs="Arial"/>
          <w:sz w:val="20"/>
          <w:szCs w:val="20"/>
          <w:rtl/>
        </w:rPr>
        <w:t xml:space="preserve"> </w:t>
      </w:r>
      <w:r w:rsidRPr="001976AA">
        <w:rPr>
          <w:rFonts w:cs="Arial" w:hint="cs"/>
          <w:sz w:val="20"/>
          <w:szCs w:val="20"/>
          <w:rtl/>
        </w:rPr>
        <w:t>ראתה</w:t>
      </w:r>
      <w:r w:rsidRPr="001976AA">
        <w:rPr>
          <w:rFonts w:cs="Arial"/>
          <w:sz w:val="20"/>
          <w:szCs w:val="20"/>
          <w:rtl/>
        </w:rPr>
        <w:t xml:space="preserve"> </w:t>
      </w:r>
      <w:r w:rsidRPr="001976AA">
        <w:rPr>
          <w:rFonts w:cs="Arial" w:hint="cs"/>
          <w:sz w:val="20"/>
          <w:szCs w:val="20"/>
          <w:rtl/>
        </w:rPr>
        <w:t>אלא</w:t>
      </w:r>
      <w:r w:rsidRPr="001976AA">
        <w:rPr>
          <w:rFonts w:cs="Arial"/>
          <w:sz w:val="20"/>
          <w:szCs w:val="20"/>
          <w:rtl/>
        </w:rPr>
        <w:t xml:space="preserve"> </w:t>
      </w:r>
      <w:r w:rsidRPr="001976AA">
        <w:rPr>
          <w:rFonts w:cs="Arial" w:hint="cs"/>
          <w:sz w:val="20"/>
          <w:szCs w:val="20"/>
          <w:rtl/>
        </w:rPr>
        <w:t>בט</w:t>
      </w:r>
      <w:r w:rsidRPr="001976AA">
        <w:rPr>
          <w:rFonts w:cs="Arial"/>
          <w:sz w:val="20"/>
          <w:szCs w:val="20"/>
          <w:rtl/>
        </w:rPr>
        <w:t>"</w:t>
      </w:r>
      <w:r w:rsidRPr="001976AA">
        <w:rPr>
          <w:rFonts w:cs="Arial" w:hint="cs"/>
          <w:sz w:val="20"/>
          <w:szCs w:val="20"/>
          <w:rtl/>
        </w:rPr>
        <w:t>ו</w:t>
      </w:r>
      <w:r w:rsidRPr="001976AA">
        <w:rPr>
          <w:rFonts w:cs="Arial"/>
          <w:sz w:val="20"/>
          <w:szCs w:val="20"/>
          <w:rtl/>
        </w:rPr>
        <w:t xml:space="preserve"> </w:t>
      </w:r>
      <w:r w:rsidRPr="001976AA">
        <w:rPr>
          <w:rFonts w:cs="Arial" w:hint="cs"/>
          <w:sz w:val="20"/>
          <w:szCs w:val="20"/>
          <w:rtl/>
        </w:rPr>
        <w:t>בניסן</w:t>
      </w:r>
      <w:r w:rsidRPr="001976AA">
        <w:rPr>
          <w:rFonts w:cs="Arial"/>
          <w:sz w:val="20"/>
          <w:szCs w:val="20"/>
          <w:rtl/>
        </w:rPr>
        <w:t xml:space="preserve"> </w:t>
      </w:r>
      <w:r w:rsidRPr="001976AA">
        <w:rPr>
          <w:rFonts w:cs="Arial" w:hint="cs"/>
          <w:sz w:val="20"/>
          <w:szCs w:val="20"/>
          <w:rtl/>
        </w:rPr>
        <w:t>וט</w:t>
      </w:r>
      <w:r w:rsidRPr="001976AA">
        <w:rPr>
          <w:rFonts w:cs="Arial"/>
          <w:sz w:val="20"/>
          <w:szCs w:val="20"/>
          <w:rtl/>
        </w:rPr>
        <w:t>"</w:t>
      </w:r>
      <w:r w:rsidRPr="001976AA">
        <w:rPr>
          <w:rFonts w:cs="Arial" w:hint="cs"/>
          <w:sz w:val="20"/>
          <w:szCs w:val="20"/>
          <w:rtl/>
        </w:rPr>
        <w:t>ז</w:t>
      </w:r>
      <w:r w:rsidRPr="001976AA">
        <w:rPr>
          <w:rFonts w:cs="Arial"/>
          <w:sz w:val="20"/>
          <w:szCs w:val="20"/>
          <w:rtl/>
        </w:rPr>
        <w:t xml:space="preserve"> </w:t>
      </w:r>
      <w:r w:rsidRPr="001976AA">
        <w:rPr>
          <w:rFonts w:cs="Arial" w:hint="cs"/>
          <w:sz w:val="20"/>
          <w:szCs w:val="20"/>
          <w:rtl/>
        </w:rPr>
        <w:t>באייר</w:t>
      </w:r>
      <w:r w:rsidRPr="001976AA">
        <w:rPr>
          <w:rFonts w:cs="Arial"/>
          <w:sz w:val="20"/>
          <w:szCs w:val="20"/>
          <w:rtl/>
        </w:rPr>
        <w:t xml:space="preserve"> </w:t>
      </w:r>
      <w:r w:rsidRPr="001976AA">
        <w:rPr>
          <w:rFonts w:cs="Arial" w:hint="cs"/>
          <w:sz w:val="20"/>
          <w:szCs w:val="20"/>
          <w:rtl/>
        </w:rPr>
        <w:t>וי</w:t>
      </w:r>
      <w:r w:rsidRPr="001976AA">
        <w:rPr>
          <w:rFonts w:cs="Arial"/>
          <w:sz w:val="20"/>
          <w:szCs w:val="20"/>
          <w:rtl/>
        </w:rPr>
        <w:t>"</w:t>
      </w:r>
      <w:r w:rsidRPr="001976AA">
        <w:rPr>
          <w:rFonts w:cs="Arial" w:hint="cs"/>
          <w:sz w:val="20"/>
          <w:szCs w:val="20"/>
          <w:rtl/>
        </w:rPr>
        <w:t>ז</w:t>
      </w:r>
      <w:r w:rsidRPr="001976AA">
        <w:rPr>
          <w:rFonts w:cs="Arial"/>
          <w:sz w:val="20"/>
          <w:szCs w:val="20"/>
          <w:rtl/>
        </w:rPr>
        <w:t xml:space="preserve"> </w:t>
      </w:r>
      <w:r w:rsidRPr="001976AA">
        <w:rPr>
          <w:rFonts w:cs="Arial" w:hint="cs"/>
          <w:sz w:val="20"/>
          <w:szCs w:val="20"/>
          <w:rtl/>
        </w:rPr>
        <w:t>בסיון</w:t>
      </w:r>
      <w:r w:rsidRPr="001976AA">
        <w:rPr>
          <w:rFonts w:cs="Arial"/>
          <w:sz w:val="20"/>
          <w:szCs w:val="20"/>
          <w:rtl/>
        </w:rPr>
        <w:t xml:space="preserve">, </w:t>
      </w:r>
      <w:r w:rsidRPr="001976AA">
        <w:rPr>
          <w:rFonts w:cs="Arial" w:hint="cs"/>
          <w:sz w:val="20"/>
          <w:szCs w:val="20"/>
          <w:rtl/>
        </w:rPr>
        <w:t>קבעה</w:t>
      </w:r>
      <w:r w:rsidRPr="001976AA">
        <w:rPr>
          <w:rFonts w:cs="Arial"/>
          <w:sz w:val="20"/>
          <w:szCs w:val="20"/>
          <w:rtl/>
        </w:rPr>
        <w:t xml:space="preserve"> </w:t>
      </w:r>
      <w:r w:rsidRPr="001976AA">
        <w:rPr>
          <w:rFonts w:cs="Arial" w:hint="cs"/>
          <w:sz w:val="20"/>
          <w:szCs w:val="20"/>
          <w:rtl/>
        </w:rPr>
        <w:t>וסת</w:t>
      </w:r>
      <w:r w:rsidRPr="001976AA">
        <w:rPr>
          <w:rFonts w:cs="Arial"/>
          <w:sz w:val="20"/>
          <w:szCs w:val="20"/>
          <w:rtl/>
        </w:rPr>
        <w:t xml:space="preserve"> </w:t>
      </w:r>
      <w:r w:rsidRPr="001976AA">
        <w:rPr>
          <w:rFonts w:cs="Arial" w:hint="cs"/>
          <w:sz w:val="20"/>
          <w:szCs w:val="20"/>
          <w:rtl/>
        </w:rPr>
        <w:t>וחוששת</w:t>
      </w:r>
      <w:r w:rsidRPr="001976AA">
        <w:rPr>
          <w:rFonts w:cs="Arial"/>
          <w:sz w:val="20"/>
          <w:szCs w:val="20"/>
          <w:rtl/>
        </w:rPr>
        <w:t xml:space="preserve"> </w:t>
      </w:r>
      <w:r w:rsidRPr="001976AA">
        <w:rPr>
          <w:rFonts w:cs="Arial" w:hint="cs"/>
          <w:sz w:val="20"/>
          <w:szCs w:val="20"/>
          <w:rtl/>
        </w:rPr>
        <w:t>לי</w:t>
      </w:r>
      <w:r w:rsidRPr="001976AA">
        <w:rPr>
          <w:rFonts w:cs="Arial"/>
          <w:sz w:val="20"/>
          <w:szCs w:val="20"/>
          <w:rtl/>
        </w:rPr>
        <w:t>"</w:t>
      </w:r>
      <w:r w:rsidRPr="001976AA">
        <w:rPr>
          <w:rFonts w:cs="Arial" w:hint="cs"/>
          <w:sz w:val="20"/>
          <w:szCs w:val="20"/>
          <w:rtl/>
        </w:rPr>
        <w:t>ח</w:t>
      </w:r>
      <w:r w:rsidRPr="001976AA">
        <w:rPr>
          <w:rFonts w:cs="Arial"/>
          <w:sz w:val="20"/>
          <w:szCs w:val="20"/>
          <w:rtl/>
        </w:rPr>
        <w:t xml:space="preserve"> </w:t>
      </w:r>
      <w:r w:rsidRPr="001976AA">
        <w:rPr>
          <w:rFonts w:cs="Arial" w:hint="cs"/>
          <w:sz w:val="20"/>
          <w:szCs w:val="20"/>
          <w:rtl/>
        </w:rPr>
        <w:t>בתמוז</w:t>
      </w:r>
      <w:r w:rsidRPr="001976AA">
        <w:rPr>
          <w:rFonts w:cs="Arial"/>
          <w:sz w:val="20"/>
          <w:szCs w:val="20"/>
          <w:rtl/>
        </w:rPr>
        <w:t xml:space="preserve"> </w:t>
      </w:r>
      <w:r w:rsidRPr="001976AA">
        <w:rPr>
          <w:rFonts w:cs="Arial" w:hint="cs"/>
          <w:sz w:val="20"/>
          <w:szCs w:val="20"/>
          <w:rtl/>
        </w:rPr>
        <w:t>וי</w:t>
      </w:r>
      <w:r w:rsidRPr="001976AA">
        <w:rPr>
          <w:rFonts w:cs="Arial"/>
          <w:sz w:val="20"/>
          <w:szCs w:val="20"/>
          <w:rtl/>
        </w:rPr>
        <w:t>"</w:t>
      </w:r>
      <w:r w:rsidRPr="001976AA">
        <w:rPr>
          <w:rFonts w:cs="Arial" w:hint="cs"/>
          <w:sz w:val="20"/>
          <w:szCs w:val="20"/>
          <w:rtl/>
        </w:rPr>
        <w:t>ט</w:t>
      </w:r>
      <w:r w:rsidRPr="001976AA">
        <w:rPr>
          <w:rFonts w:cs="Arial"/>
          <w:sz w:val="20"/>
          <w:szCs w:val="20"/>
          <w:rtl/>
        </w:rPr>
        <w:t xml:space="preserve"> </w:t>
      </w:r>
      <w:r w:rsidRPr="001976AA">
        <w:rPr>
          <w:rFonts w:cs="Arial" w:hint="cs"/>
          <w:sz w:val="20"/>
          <w:szCs w:val="20"/>
          <w:rtl/>
        </w:rPr>
        <w:t>באב</w:t>
      </w:r>
      <w:r w:rsidRPr="001976AA">
        <w:rPr>
          <w:rFonts w:cs="Arial"/>
          <w:sz w:val="20"/>
          <w:szCs w:val="20"/>
          <w:rtl/>
        </w:rPr>
        <w:t xml:space="preserve">, </w:t>
      </w:r>
      <w:r w:rsidRPr="001976AA">
        <w:rPr>
          <w:rFonts w:cs="Arial" w:hint="cs"/>
          <w:sz w:val="20"/>
          <w:szCs w:val="20"/>
          <w:rtl/>
        </w:rPr>
        <w:t>וכן</w:t>
      </w:r>
      <w:r w:rsidRPr="001976AA">
        <w:rPr>
          <w:rFonts w:cs="Arial"/>
          <w:sz w:val="20"/>
          <w:szCs w:val="20"/>
          <w:rtl/>
        </w:rPr>
        <w:t xml:space="preserve"> </w:t>
      </w:r>
      <w:r w:rsidRPr="001976AA">
        <w:rPr>
          <w:rFonts w:cs="Arial" w:hint="cs"/>
          <w:sz w:val="20"/>
          <w:szCs w:val="20"/>
          <w:rtl/>
        </w:rPr>
        <w:t>לעולם</w:t>
      </w:r>
      <w:r w:rsidRPr="001976AA">
        <w:rPr>
          <w:rFonts w:cs="Arial"/>
          <w:sz w:val="20"/>
          <w:szCs w:val="20"/>
          <w:rtl/>
        </w:rPr>
        <w:t xml:space="preserve">. </w:t>
      </w:r>
      <w:r w:rsidRPr="001976AA">
        <w:rPr>
          <w:rFonts w:cs="Arial" w:hint="cs"/>
          <w:sz w:val="20"/>
          <w:szCs w:val="20"/>
          <w:rtl/>
        </w:rPr>
        <w:t>ויש</w:t>
      </w:r>
      <w:r w:rsidRPr="001976AA">
        <w:rPr>
          <w:rFonts w:cs="Arial"/>
          <w:sz w:val="20"/>
          <w:szCs w:val="20"/>
          <w:rtl/>
        </w:rPr>
        <w:t xml:space="preserve"> </w:t>
      </w:r>
      <w:r w:rsidRPr="001976AA">
        <w:rPr>
          <w:rFonts w:cs="Arial" w:hint="cs"/>
          <w:sz w:val="20"/>
          <w:szCs w:val="20"/>
          <w:rtl/>
        </w:rPr>
        <w:t>לחוש</w:t>
      </w:r>
      <w:r w:rsidRPr="001976AA">
        <w:rPr>
          <w:rFonts w:cs="Arial"/>
          <w:sz w:val="20"/>
          <w:szCs w:val="20"/>
          <w:rtl/>
        </w:rPr>
        <w:t xml:space="preserve"> </w:t>
      </w:r>
      <w:r w:rsidRPr="001976AA">
        <w:rPr>
          <w:rFonts w:cs="Arial" w:hint="cs"/>
          <w:sz w:val="20"/>
          <w:szCs w:val="20"/>
          <w:rtl/>
        </w:rPr>
        <w:t>לדבריהם</w:t>
      </w:r>
      <w:r w:rsidRPr="001976AA">
        <w:rPr>
          <w:rFonts w:cs="Arial"/>
          <w:sz w:val="20"/>
          <w:szCs w:val="20"/>
          <w:rtl/>
        </w:rPr>
        <w:t xml:space="preserve"> </w:t>
      </w:r>
      <w:r w:rsidRPr="001976AA">
        <w:rPr>
          <w:rFonts w:cs="Arial" w:hint="cs"/>
          <w:sz w:val="20"/>
          <w:szCs w:val="20"/>
          <w:rtl/>
        </w:rPr>
        <w:t>ולהחמיר</w:t>
      </w:r>
      <w:r>
        <w:rPr>
          <w:rFonts w:cs="Arial" w:hint="cs"/>
          <w:sz w:val="20"/>
          <w:szCs w:val="20"/>
          <w:rtl/>
        </w:rPr>
        <w:t>".</w:t>
      </w:r>
    </w:p>
    <w:p w:rsidR="00620060" w:rsidRDefault="00620060" w:rsidP="00620060">
      <w:pPr>
        <w:rPr>
          <w:sz w:val="20"/>
          <w:szCs w:val="20"/>
          <w:rtl/>
        </w:rPr>
      </w:pPr>
      <w:r w:rsidRPr="00DA0DB4">
        <w:rPr>
          <w:rFonts w:hint="cs"/>
          <w:sz w:val="20"/>
          <w:szCs w:val="20"/>
          <w:rtl/>
        </w:rPr>
        <w:t>כ</w:t>
      </w:r>
      <w:r>
        <w:rPr>
          <w:rFonts w:hint="cs"/>
          <w:sz w:val="20"/>
          <w:szCs w:val="20"/>
          <w:u w:val="single"/>
          <w:rtl/>
        </w:rPr>
        <w:t>יצד יש לנהוג למעשה?</w:t>
      </w:r>
      <w:r>
        <w:rPr>
          <w:rFonts w:hint="cs"/>
          <w:sz w:val="20"/>
          <w:szCs w:val="20"/>
          <w:u w:val="single"/>
          <w:rtl/>
        </w:rPr>
        <w:br/>
      </w:r>
      <w:r w:rsidRPr="003862E2">
        <w:rPr>
          <w:rFonts w:hint="cs"/>
          <w:b/>
          <w:bCs/>
          <w:sz w:val="20"/>
          <w:szCs w:val="20"/>
          <w:rtl/>
        </w:rPr>
        <w:t>המחבר</w:t>
      </w:r>
      <w:r>
        <w:rPr>
          <w:rFonts w:hint="cs"/>
          <w:sz w:val="20"/>
          <w:szCs w:val="20"/>
          <w:rtl/>
        </w:rPr>
        <w:t xml:space="preserve"> סיים את דבריו שיש להחמיר כשיטה האחרונה, מבאר </w:t>
      </w:r>
      <w:r w:rsidRPr="00826EE5">
        <w:rPr>
          <w:rFonts w:hint="cs"/>
          <w:b/>
          <w:bCs/>
          <w:sz w:val="20"/>
          <w:szCs w:val="20"/>
          <w:rtl/>
        </w:rPr>
        <w:t>הב"ח</w:t>
      </w:r>
      <w:r>
        <w:rPr>
          <w:rFonts w:hint="cs"/>
          <w:sz w:val="20"/>
          <w:szCs w:val="20"/>
          <w:rtl/>
        </w:rPr>
        <w:t xml:space="preserve"> שיש להחמיר כשתי השיטות, כדלהלן:</w:t>
      </w:r>
      <w:r>
        <w:rPr>
          <w:rStyle w:val="a5"/>
          <w:sz w:val="20"/>
          <w:szCs w:val="20"/>
          <w:rtl/>
        </w:rPr>
        <w:footnoteReference w:id="181"/>
      </w:r>
      <w:r>
        <w:rPr>
          <w:rFonts w:hint="cs"/>
          <w:sz w:val="20"/>
          <w:szCs w:val="20"/>
          <w:rtl/>
        </w:rPr>
        <w:t xml:space="preserve"> </w:t>
      </w:r>
      <w:r>
        <w:rPr>
          <w:rFonts w:hint="cs"/>
          <w:sz w:val="20"/>
          <w:szCs w:val="20"/>
          <w:rtl/>
        </w:rPr>
        <w:br/>
        <w:t xml:space="preserve">א. יש לחוש לווסת הדילוג </w:t>
      </w:r>
      <w:r w:rsidRPr="002D393B">
        <w:rPr>
          <w:rFonts w:hint="cs"/>
          <w:sz w:val="18"/>
          <w:szCs w:val="18"/>
          <w:rtl/>
        </w:rPr>
        <w:t>(כשיטה ב)</w:t>
      </w:r>
      <w:r>
        <w:rPr>
          <w:rFonts w:hint="cs"/>
          <w:sz w:val="20"/>
          <w:szCs w:val="20"/>
          <w:rtl/>
        </w:rPr>
        <w:t>, כלומר יח' תמוז.</w:t>
      </w:r>
      <w:r>
        <w:rPr>
          <w:sz w:val="20"/>
          <w:szCs w:val="20"/>
          <w:rtl/>
        </w:rPr>
        <w:br/>
      </w:r>
      <w:r>
        <w:rPr>
          <w:rFonts w:hint="cs"/>
          <w:sz w:val="20"/>
          <w:szCs w:val="20"/>
          <w:rtl/>
        </w:rPr>
        <w:t>ב. יש לחוש ליום החודש, דהיינו יז' תמוז.</w:t>
      </w:r>
      <w:r>
        <w:rPr>
          <w:rFonts w:hint="cs"/>
          <w:sz w:val="20"/>
          <w:szCs w:val="20"/>
          <w:rtl/>
        </w:rPr>
        <w:br/>
        <w:t>ג. יש לחוש גם לעונה בינונית, דהיינו טז' תמוז.</w:t>
      </w:r>
      <w:r>
        <w:rPr>
          <w:rStyle w:val="a5"/>
          <w:sz w:val="18"/>
          <w:szCs w:val="18"/>
          <w:rtl/>
        </w:rPr>
        <w:footnoteReference w:id="182"/>
      </w:r>
    </w:p>
    <w:p w:rsidR="00620060" w:rsidRDefault="00620060" w:rsidP="00620060">
      <w:pPr>
        <w:rPr>
          <w:sz w:val="20"/>
          <w:szCs w:val="20"/>
          <w:rtl/>
        </w:rPr>
      </w:pPr>
      <w:r w:rsidRPr="008848AA">
        <w:rPr>
          <w:rFonts w:hint="cs"/>
          <w:b/>
          <w:bCs/>
          <w:noProof/>
          <w:sz w:val="20"/>
          <w:szCs w:val="20"/>
          <w:rtl/>
        </w:rPr>
        <mc:AlternateContent>
          <mc:Choice Requires="wps">
            <w:drawing>
              <wp:anchor distT="0" distB="0" distL="114300" distR="114300" simplePos="0" relativeHeight="251659264" behindDoc="0" locked="0" layoutInCell="1" allowOverlap="1" wp14:anchorId="6EA64743" wp14:editId="7C08D5FD">
                <wp:simplePos x="0" y="0"/>
                <wp:positionH relativeFrom="column">
                  <wp:posOffset>3752850</wp:posOffset>
                </wp:positionH>
                <wp:positionV relativeFrom="paragraph">
                  <wp:posOffset>534035</wp:posOffset>
                </wp:positionV>
                <wp:extent cx="0" cy="238125"/>
                <wp:effectExtent l="95250" t="0" r="57150" b="66675"/>
                <wp:wrapNone/>
                <wp:docPr id="1" name="מחבר חץ ישר 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מחבר חץ ישר 1" o:spid="_x0000_s1026" type="#_x0000_t32" style="position:absolute;left:0;text-align:left;margin-left:295.5pt;margin-top:42.05pt;width:0;height:18.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" strokecolor="#4579b8 [3044]">
                <v:stroke endarrow="open"/>
              </v:shape>
            </w:pict>
          </mc:Fallback>
        </mc:AlternateContent>
      </w:r>
      <w:r w:rsidRPr="008848AA">
        <w:rPr>
          <w:rFonts w:hint="cs"/>
          <w:b/>
          <w:bCs/>
          <w:sz w:val="20"/>
          <w:szCs w:val="20"/>
          <w:rtl/>
        </w:rPr>
        <w:t xml:space="preserve">בירור שיטת שמואל </w:t>
      </w:r>
      <w:r w:rsidRPr="008848AA">
        <w:rPr>
          <w:b/>
          <w:bCs/>
          <w:sz w:val="20"/>
          <w:szCs w:val="20"/>
          <w:rtl/>
        </w:rPr>
        <w:t>–</w:t>
      </w:r>
      <w:r w:rsidRPr="008848AA">
        <w:rPr>
          <w:rFonts w:hint="cs"/>
          <w:b/>
          <w:bCs/>
          <w:sz w:val="20"/>
          <w:szCs w:val="20"/>
          <w:rtl/>
        </w:rPr>
        <w:t xml:space="preserve"> הסבר דברי המחבר</w:t>
      </w:r>
      <w:r>
        <w:rPr>
          <w:rFonts w:hint="cs"/>
          <w:sz w:val="20"/>
          <w:szCs w:val="20"/>
          <w:u w:val="single"/>
          <w:rtl/>
        </w:rPr>
        <w:br/>
      </w:r>
      <w:r>
        <w:rPr>
          <w:rFonts w:cs="Arial" w:hint="cs"/>
          <w:sz w:val="20"/>
          <w:szCs w:val="20"/>
          <w:rtl/>
        </w:rPr>
        <w:t>"</w:t>
      </w:r>
      <w:r w:rsidRPr="001976AA">
        <w:rPr>
          <w:rFonts w:cs="Arial" w:hint="cs"/>
          <w:sz w:val="20"/>
          <w:szCs w:val="20"/>
          <w:rtl/>
        </w:rPr>
        <w:t>ומיהו</w:t>
      </w:r>
      <w:r w:rsidRPr="001976AA">
        <w:rPr>
          <w:rFonts w:cs="Arial"/>
          <w:sz w:val="20"/>
          <w:szCs w:val="20"/>
          <w:rtl/>
        </w:rPr>
        <w:t xml:space="preserve"> </w:t>
      </w:r>
      <w:r w:rsidRPr="001976AA">
        <w:rPr>
          <w:rFonts w:cs="Arial" w:hint="cs"/>
          <w:sz w:val="20"/>
          <w:szCs w:val="20"/>
          <w:rtl/>
        </w:rPr>
        <w:t>אם</w:t>
      </w:r>
      <w:r w:rsidRPr="001976AA">
        <w:rPr>
          <w:rFonts w:cs="Arial"/>
          <w:sz w:val="20"/>
          <w:szCs w:val="20"/>
          <w:rtl/>
        </w:rPr>
        <w:t xml:space="preserve"> </w:t>
      </w:r>
      <w:r w:rsidRPr="001976AA">
        <w:rPr>
          <w:rFonts w:cs="Arial" w:hint="cs"/>
          <w:sz w:val="20"/>
          <w:szCs w:val="20"/>
          <w:rtl/>
        </w:rPr>
        <w:t>היה</w:t>
      </w:r>
      <w:r w:rsidRPr="001976AA">
        <w:rPr>
          <w:rFonts w:cs="Arial"/>
          <w:sz w:val="20"/>
          <w:szCs w:val="20"/>
          <w:rtl/>
        </w:rPr>
        <w:t xml:space="preserve"> </w:t>
      </w:r>
      <w:r w:rsidRPr="001976AA">
        <w:rPr>
          <w:rFonts w:cs="Arial" w:hint="cs"/>
          <w:sz w:val="20"/>
          <w:szCs w:val="20"/>
          <w:rtl/>
        </w:rPr>
        <w:t>לה</w:t>
      </w:r>
      <w:r w:rsidRPr="001976AA">
        <w:rPr>
          <w:rFonts w:cs="Arial"/>
          <w:sz w:val="20"/>
          <w:szCs w:val="20"/>
          <w:rtl/>
        </w:rPr>
        <w:t xml:space="preserve"> </w:t>
      </w:r>
      <w:r w:rsidRPr="001976AA">
        <w:rPr>
          <w:rFonts w:cs="Arial" w:hint="cs"/>
          <w:sz w:val="20"/>
          <w:szCs w:val="20"/>
          <w:rtl/>
        </w:rPr>
        <w:t>וסת</w:t>
      </w:r>
      <w:r w:rsidRPr="001976AA">
        <w:rPr>
          <w:rFonts w:cs="Arial"/>
          <w:sz w:val="20"/>
          <w:szCs w:val="20"/>
          <w:rtl/>
        </w:rPr>
        <w:t xml:space="preserve"> </w:t>
      </w:r>
      <w:r w:rsidRPr="001976AA">
        <w:rPr>
          <w:rFonts w:cs="Arial" w:hint="cs"/>
          <w:sz w:val="20"/>
          <w:szCs w:val="20"/>
          <w:rtl/>
        </w:rPr>
        <w:t>קודם</w:t>
      </w:r>
      <w:r w:rsidRPr="001976AA">
        <w:rPr>
          <w:rFonts w:cs="Arial"/>
          <w:sz w:val="20"/>
          <w:szCs w:val="20"/>
          <w:rtl/>
        </w:rPr>
        <w:t xml:space="preserve"> </w:t>
      </w:r>
      <w:r w:rsidRPr="001976AA">
        <w:rPr>
          <w:rFonts w:cs="Arial" w:hint="cs"/>
          <w:sz w:val="20"/>
          <w:szCs w:val="20"/>
          <w:rtl/>
        </w:rPr>
        <w:t>שהתחילה</w:t>
      </w:r>
      <w:r w:rsidRPr="001976AA">
        <w:rPr>
          <w:rFonts w:cs="Arial"/>
          <w:sz w:val="20"/>
          <w:szCs w:val="20"/>
          <w:rtl/>
        </w:rPr>
        <w:t xml:space="preserve">, </w:t>
      </w:r>
      <w:r w:rsidRPr="001976AA">
        <w:rPr>
          <w:rFonts w:cs="Arial" w:hint="cs"/>
          <w:sz w:val="20"/>
          <w:szCs w:val="20"/>
          <w:rtl/>
        </w:rPr>
        <w:t>ואח</w:t>
      </w:r>
      <w:r>
        <w:rPr>
          <w:rFonts w:cs="Arial" w:hint="cs"/>
          <w:sz w:val="20"/>
          <w:szCs w:val="20"/>
          <w:rtl/>
        </w:rPr>
        <w:t>ר כך</w:t>
      </w:r>
      <w:r w:rsidRPr="001976AA">
        <w:rPr>
          <w:rFonts w:cs="Arial"/>
          <w:sz w:val="20"/>
          <w:szCs w:val="20"/>
          <w:rtl/>
        </w:rPr>
        <w:t xml:space="preserve"> </w:t>
      </w:r>
      <w:r w:rsidRPr="001976AA">
        <w:rPr>
          <w:rFonts w:cs="Arial" w:hint="cs"/>
          <w:sz w:val="20"/>
          <w:szCs w:val="20"/>
          <w:rtl/>
        </w:rPr>
        <w:t>שינתה</w:t>
      </w:r>
      <w:r w:rsidRPr="001976AA">
        <w:rPr>
          <w:rFonts w:cs="Arial"/>
          <w:sz w:val="20"/>
          <w:szCs w:val="20"/>
          <w:rtl/>
        </w:rPr>
        <w:t xml:space="preserve"> </w:t>
      </w:r>
      <w:r w:rsidRPr="001976AA">
        <w:rPr>
          <w:rFonts w:cs="Arial" w:hint="cs"/>
          <w:sz w:val="20"/>
          <w:szCs w:val="20"/>
          <w:rtl/>
        </w:rPr>
        <w:t>וראתה</w:t>
      </w:r>
      <w:r w:rsidRPr="001976AA">
        <w:rPr>
          <w:rFonts w:cs="Arial"/>
          <w:sz w:val="20"/>
          <w:szCs w:val="20"/>
          <w:rtl/>
        </w:rPr>
        <w:t xml:space="preserve"> </w:t>
      </w:r>
      <w:r w:rsidRPr="001976AA">
        <w:rPr>
          <w:rFonts w:cs="Arial" w:hint="cs"/>
          <w:sz w:val="20"/>
          <w:szCs w:val="20"/>
          <w:rtl/>
        </w:rPr>
        <w:t>בדילוג</w:t>
      </w:r>
      <w:r w:rsidRPr="001976AA">
        <w:rPr>
          <w:rFonts w:cs="Arial"/>
          <w:sz w:val="20"/>
          <w:szCs w:val="20"/>
          <w:rtl/>
        </w:rPr>
        <w:t xml:space="preserve"> </w:t>
      </w:r>
      <w:r w:rsidRPr="001976AA">
        <w:rPr>
          <w:rFonts w:cs="Arial" w:hint="cs"/>
          <w:sz w:val="20"/>
          <w:szCs w:val="20"/>
          <w:rtl/>
        </w:rPr>
        <w:t>ג</w:t>
      </w:r>
      <w:r w:rsidRPr="001976AA">
        <w:rPr>
          <w:rFonts w:cs="Arial"/>
          <w:sz w:val="20"/>
          <w:szCs w:val="20"/>
          <w:rtl/>
        </w:rPr>
        <w:t xml:space="preserve">' </w:t>
      </w:r>
      <w:r w:rsidRPr="001976AA">
        <w:rPr>
          <w:rFonts w:cs="Arial" w:hint="cs"/>
          <w:sz w:val="20"/>
          <w:szCs w:val="20"/>
          <w:rtl/>
        </w:rPr>
        <w:t>פעמים</w:t>
      </w:r>
      <w:r w:rsidRPr="001976AA">
        <w:rPr>
          <w:rFonts w:cs="Arial"/>
          <w:sz w:val="20"/>
          <w:szCs w:val="20"/>
          <w:rtl/>
        </w:rPr>
        <w:t xml:space="preserve">, </w:t>
      </w:r>
      <w:r w:rsidRPr="001976AA">
        <w:rPr>
          <w:rFonts w:cs="Arial" w:hint="cs"/>
          <w:sz w:val="20"/>
          <w:szCs w:val="20"/>
          <w:rtl/>
        </w:rPr>
        <w:t>קבעה</w:t>
      </w:r>
      <w:r w:rsidRPr="001976AA">
        <w:rPr>
          <w:rFonts w:cs="Arial"/>
          <w:sz w:val="20"/>
          <w:szCs w:val="20"/>
          <w:rtl/>
        </w:rPr>
        <w:t xml:space="preserve"> </w:t>
      </w:r>
      <w:r w:rsidRPr="001976AA">
        <w:rPr>
          <w:rFonts w:cs="Arial" w:hint="cs"/>
          <w:sz w:val="20"/>
          <w:szCs w:val="20"/>
          <w:rtl/>
        </w:rPr>
        <w:t>וסת</w:t>
      </w:r>
      <w:r w:rsidRPr="001976AA">
        <w:rPr>
          <w:rFonts w:cs="Arial"/>
          <w:sz w:val="20"/>
          <w:szCs w:val="20"/>
          <w:rtl/>
        </w:rPr>
        <w:t xml:space="preserve"> </w:t>
      </w:r>
      <w:r w:rsidRPr="001976AA">
        <w:rPr>
          <w:rFonts w:cs="Arial" w:hint="cs"/>
          <w:sz w:val="20"/>
          <w:szCs w:val="20"/>
          <w:rtl/>
        </w:rPr>
        <w:t>בדילוג</w:t>
      </w:r>
      <w:r w:rsidRPr="001976AA">
        <w:rPr>
          <w:rFonts w:cs="Arial"/>
          <w:sz w:val="20"/>
          <w:szCs w:val="20"/>
          <w:rtl/>
        </w:rPr>
        <w:t xml:space="preserve">. </w:t>
      </w:r>
      <w:r w:rsidRPr="001976AA">
        <w:rPr>
          <w:rFonts w:cs="Arial" w:hint="cs"/>
          <w:sz w:val="20"/>
          <w:szCs w:val="20"/>
          <w:rtl/>
        </w:rPr>
        <w:t>לפי</w:t>
      </w:r>
      <w:r w:rsidRPr="001976AA">
        <w:rPr>
          <w:rFonts w:cs="Arial"/>
          <w:sz w:val="20"/>
          <w:szCs w:val="20"/>
          <w:rtl/>
        </w:rPr>
        <w:t xml:space="preserve"> </w:t>
      </w:r>
      <w:r w:rsidRPr="001976AA">
        <w:rPr>
          <w:rFonts w:cs="Arial" w:hint="cs"/>
          <w:sz w:val="20"/>
          <w:szCs w:val="20"/>
          <w:rtl/>
        </w:rPr>
        <w:t>שאף</w:t>
      </w:r>
      <w:r w:rsidRPr="001976AA">
        <w:rPr>
          <w:rFonts w:cs="Arial"/>
          <w:sz w:val="20"/>
          <w:szCs w:val="20"/>
          <w:rtl/>
        </w:rPr>
        <w:t xml:space="preserve"> </w:t>
      </w:r>
      <w:r w:rsidRPr="001976AA">
        <w:rPr>
          <w:rFonts w:cs="Arial" w:hint="cs"/>
          <w:sz w:val="20"/>
          <w:szCs w:val="20"/>
          <w:rtl/>
        </w:rPr>
        <w:t>הראשונה</w:t>
      </w:r>
      <w:r w:rsidRPr="001976AA">
        <w:rPr>
          <w:rFonts w:cs="Arial"/>
          <w:sz w:val="20"/>
          <w:szCs w:val="20"/>
          <w:rtl/>
        </w:rPr>
        <w:t xml:space="preserve"> </w:t>
      </w:r>
      <w:r w:rsidRPr="001976AA">
        <w:rPr>
          <w:rFonts w:cs="Arial" w:hint="cs"/>
          <w:sz w:val="20"/>
          <w:szCs w:val="20"/>
          <w:rtl/>
        </w:rPr>
        <w:t>בדילוג</w:t>
      </w:r>
      <w:r w:rsidRPr="001976AA">
        <w:rPr>
          <w:rFonts w:cs="Arial"/>
          <w:sz w:val="20"/>
          <w:szCs w:val="20"/>
          <w:rtl/>
        </w:rPr>
        <w:t xml:space="preserve"> </w:t>
      </w:r>
      <w:r w:rsidRPr="001976AA">
        <w:rPr>
          <w:rFonts w:cs="Arial" w:hint="cs"/>
          <w:sz w:val="20"/>
          <w:szCs w:val="20"/>
          <w:rtl/>
        </w:rPr>
        <w:t>ראתה</w:t>
      </w:r>
      <w:r w:rsidRPr="001976AA">
        <w:rPr>
          <w:rFonts w:cs="Arial"/>
          <w:sz w:val="20"/>
          <w:szCs w:val="20"/>
          <w:rtl/>
        </w:rPr>
        <w:t xml:space="preserve"> </w:t>
      </w:r>
      <w:r w:rsidRPr="001976AA">
        <w:rPr>
          <w:rFonts w:cs="Arial" w:hint="cs"/>
          <w:sz w:val="20"/>
          <w:szCs w:val="20"/>
          <w:rtl/>
        </w:rPr>
        <w:t>אותה</w:t>
      </w:r>
      <w:r w:rsidRPr="001976AA">
        <w:rPr>
          <w:rFonts w:cs="Arial"/>
          <w:sz w:val="20"/>
          <w:szCs w:val="20"/>
          <w:rtl/>
        </w:rPr>
        <w:t xml:space="preserve">, </w:t>
      </w:r>
      <w:r w:rsidRPr="001976AA">
        <w:rPr>
          <w:rFonts w:cs="Arial" w:hint="cs"/>
          <w:sz w:val="20"/>
          <w:szCs w:val="20"/>
          <w:rtl/>
        </w:rPr>
        <w:t>שדילגה</w:t>
      </w:r>
      <w:r w:rsidRPr="001976AA">
        <w:rPr>
          <w:rFonts w:cs="Arial"/>
          <w:sz w:val="20"/>
          <w:szCs w:val="20"/>
          <w:rtl/>
        </w:rPr>
        <w:t xml:space="preserve"> </w:t>
      </w:r>
      <w:r w:rsidRPr="001976AA">
        <w:rPr>
          <w:rFonts w:cs="Arial" w:hint="cs"/>
          <w:sz w:val="20"/>
          <w:szCs w:val="20"/>
          <w:rtl/>
        </w:rPr>
        <w:t>מוסת</w:t>
      </w:r>
      <w:r w:rsidRPr="001976AA">
        <w:rPr>
          <w:rFonts w:cs="Arial"/>
          <w:sz w:val="20"/>
          <w:szCs w:val="20"/>
          <w:rtl/>
        </w:rPr>
        <w:t xml:space="preserve"> </w:t>
      </w:r>
      <w:r w:rsidRPr="001976AA">
        <w:rPr>
          <w:rFonts w:cs="Arial" w:hint="cs"/>
          <w:sz w:val="20"/>
          <w:szCs w:val="20"/>
          <w:rtl/>
        </w:rPr>
        <w:t>הקבוע</w:t>
      </w:r>
      <w:r w:rsidRPr="001976AA">
        <w:rPr>
          <w:rFonts w:cs="Arial"/>
          <w:sz w:val="20"/>
          <w:szCs w:val="20"/>
          <w:rtl/>
        </w:rPr>
        <w:t xml:space="preserve"> </w:t>
      </w:r>
      <w:r w:rsidRPr="001976AA">
        <w:rPr>
          <w:rFonts w:cs="Arial" w:hint="cs"/>
          <w:sz w:val="20"/>
          <w:szCs w:val="20"/>
          <w:rtl/>
        </w:rPr>
        <w:t>לה</w:t>
      </w:r>
      <w:r>
        <w:rPr>
          <w:rFonts w:cs="Arial" w:hint="cs"/>
          <w:sz w:val="20"/>
          <w:szCs w:val="20"/>
          <w:rtl/>
        </w:rPr>
        <w:t>".</w:t>
      </w:r>
      <w:r>
        <w:rPr>
          <w:rFonts w:hint="cs"/>
          <w:sz w:val="20"/>
          <w:szCs w:val="20"/>
          <w:u w:val="single"/>
          <w:rtl/>
        </w:rPr>
        <w:br/>
      </w:r>
      <w:r>
        <w:rPr>
          <w:rFonts w:hint="cs"/>
          <w:sz w:val="20"/>
          <w:szCs w:val="20"/>
          <w:u w:val="single"/>
          <w:rtl/>
        </w:rPr>
        <w:br/>
      </w:r>
      <w:r>
        <w:rPr>
          <w:sz w:val="20"/>
          <w:szCs w:val="20"/>
          <w:u w:val="single"/>
          <w:rtl/>
        </w:rPr>
        <w:br/>
      </w:r>
      <w:r>
        <w:rPr>
          <w:rFonts w:hint="cs"/>
          <w:sz w:val="20"/>
          <w:szCs w:val="20"/>
          <w:u w:val="single"/>
          <w:rtl/>
        </w:rPr>
        <w:lastRenderedPageBreak/>
        <w:br/>
        <w:t>א. הסבר הט"ז</w:t>
      </w:r>
      <w:r>
        <w:rPr>
          <w:sz w:val="20"/>
          <w:szCs w:val="20"/>
          <w:u w:val="single"/>
          <w:rtl/>
        </w:rPr>
        <w:br/>
      </w:r>
      <w:r w:rsidRPr="00AD3E47">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כוונת המחבר היא כגון שהיה לה ווסת קבוע לראות לכ', ודילגה לראות לכא' וראייה הבאה ראתה לכב' ואחריה ראתה לכג', בכה"ג קבעה ווסת בשלוש ראיות אף לדעת שמואל.</w:t>
      </w:r>
      <w:r>
        <w:rPr>
          <w:sz w:val="20"/>
          <w:szCs w:val="20"/>
          <w:rtl/>
        </w:rPr>
        <w:br/>
      </w:r>
      <w:r w:rsidRPr="00AD3E47">
        <w:rPr>
          <w:rFonts w:hint="cs"/>
          <w:b/>
          <w:bCs/>
          <w:sz w:val="20"/>
          <w:szCs w:val="20"/>
          <w:rtl/>
        </w:rPr>
        <w:t xml:space="preserve">טעם </w:t>
      </w:r>
      <w:r>
        <w:rPr>
          <w:sz w:val="20"/>
          <w:szCs w:val="20"/>
          <w:rtl/>
        </w:rPr>
        <w:t>–</w:t>
      </w:r>
      <w:r>
        <w:rPr>
          <w:rFonts w:hint="cs"/>
          <w:sz w:val="20"/>
          <w:szCs w:val="20"/>
          <w:rtl/>
        </w:rPr>
        <w:t xml:space="preserve"> גם הראייה של כא' נחשבת לה כחלק מהדילוג, שאף אותה ראתה בדילוג מהווסת הקבוע של כ'.  </w:t>
      </w:r>
      <w:r>
        <w:rPr>
          <w:sz w:val="20"/>
          <w:szCs w:val="20"/>
          <w:rtl/>
        </w:rPr>
        <w:br/>
      </w:r>
      <w:r>
        <w:rPr>
          <w:rFonts w:hint="cs"/>
          <w:sz w:val="20"/>
          <w:szCs w:val="20"/>
          <w:rtl/>
        </w:rPr>
        <w:t xml:space="preserve">ואע"פ שזהו דין פשוט הוצרך המחבר לכתבו, שלא תאמר שרק כשהראייה הראשונה היא חדשה לגמרי נמנית עם קביעות ווסתה, קמ"ל. </w:t>
      </w:r>
    </w:p>
    <w:p w:rsidR="00620060" w:rsidRDefault="00620060" w:rsidP="00620060">
      <w:pPr>
        <w:rPr>
          <w:sz w:val="20"/>
          <w:szCs w:val="20"/>
          <w:rtl/>
        </w:rPr>
      </w:pPr>
      <w:r>
        <w:rPr>
          <w:rFonts w:hint="cs"/>
          <w:sz w:val="20"/>
          <w:szCs w:val="20"/>
          <w:u w:val="single"/>
          <w:rtl/>
        </w:rPr>
        <w:t>ב. הסבר הדרישה</w:t>
      </w:r>
      <w:r>
        <w:rPr>
          <w:sz w:val="20"/>
          <w:szCs w:val="20"/>
          <w:rtl/>
        </w:rPr>
        <w:br/>
      </w:r>
      <w:r w:rsidRPr="00A836DF">
        <w:rPr>
          <w:rFonts w:hint="cs"/>
          <w:b/>
          <w:bCs/>
          <w:sz w:val="20"/>
          <w:szCs w:val="20"/>
          <w:rtl/>
        </w:rPr>
        <w:t>דרישה</w:t>
      </w:r>
      <w:r>
        <w:rPr>
          <w:rFonts w:hint="cs"/>
          <w:sz w:val="20"/>
          <w:szCs w:val="20"/>
          <w:rtl/>
        </w:rPr>
        <w:t xml:space="preserve"> </w:t>
      </w:r>
      <w:r>
        <w:rPr>
          <w:sz w:val="20"/>
          <w:szCs w:val="20"/>
          <w:rtl/>
        </w:rPr>
        <w:t>–</w:t>
      </w:r>
      <w:r>
        <w:rPr>
          <w:rFonts w:hint="cs"/>
          <w:sz w:val="20"/>
          <w:szCs w:val="20"/>
          <w:rtl/>
        </w:rPr>
        <w:t xml:space="preserve"> כוונת המחבר לומר שבכל עניין שהיה לה ווסת קבוע, די בג' ראיות אף לשמואל.</w:t>
      </w:r>
      <w:r>
        <w:rPr>
          <w:sz w:val="20"/>
          <w:szCs w:val="20"/>
          <w:rtl/>
        </w:rPr>
        <w:br/>
      </w:r>
      <w:r w:rsidRPr="00DA0DB4">
        <w:rPr>
          <w:rFonts w:hint="cs"/>
          <w:sz w:val="20"/>
          <w:szCs w:val="20"/>
          <w:rtl/>
        </w:rPr>
        <w:t xml:space="preserve">כגון </w:t>
      </w:r>
      <w:r w:rsidRPr="00DA0DB4">
        <w:rPr>
          <w:sz w:val="20"/>
          <w:szCs w:val="20"/>
          <w:rtl/>
        </w:rPr>
        <w:t>–</w:t>
      </w:r>
      <w:r w:rsidRPr="00DA0DB4">
        <w:rPr>
          <w:rFonts w:hint="cs"/>
          <w:sz w:val="20"/>
          <w:szCs w:val="20"/>
          <w:rtl/>
        </w:rPr>
        <w:t xml:space="preserve"> היה לה ווסת קבוע ליג', ולאחר מכן ראתה לכ', לכא' ולכב', קבעה לה ווסת.</w:t>
      </w:r>
      <w:r w:rsidRPr="00DA0DB4">
        <w:rPr>
          <w:rFonts w:hint="cs"/>
          <w:sz w:val="20"/>
          <w:szCs w:val="20"/>
          <w:rtl/>
        </w:rPr>
        <w:br/>
        <w:t xml:space="preserve">מבאר </w:t>
      </w:r>
      <w:r w:rsidRPr="00DA0DB4">
        <w:rPr>
          <w:rFonts w:hint="cs"/>
          <w:b/>
          <w:bCs/>
          <w:sz w:val="20"/>
          <w:szCs w:val="20"/>
          <w:rtl/>
        </w:rPr>
        <w:t>הש"ך</w:t>
      </w:r>
      <w:r>
        <w:rPr>
          <w:rFonts w:hint="cs"/>
          <w:sz w:val="20"/>
          <w:szCs w:val="20"/>
          <w:rtl/>
        </w:rPr>
        <w:t xml:space="preserve"> </w:t>
      </w:r>
      <w:r>
        <w:rPr>
          <w:sz w:val="20"/>
          <w:szCs w:val="20"/>
          <w:rtl/>
        </w:rPr>
        <w:t>–</w:t>
      </w:r>
      <w:r>
        <w:rPr>
          <w:rFonts w:hint="cs"/>
          <w:sz w:val="20"/>
          <w:szCs w:val="20"/>
          <w:rtl/>
        </w:rPr>
        <w:t xml:space="preserve"> מוכרחים לפרש כך את דברי המחבר, דאלת"ה מה החידוש בדבריו? פשוט שאם ראתה ד' ראיות בדילוגים שווים</w:t>
      </w:r>
      <w:r w:rsidRPr="00DD776B">
        <w:rPr>
          <w:rFonts w:hint="cs"/>
          <w:sz w:val="18"/>
          <w:szCs w:val="18"/>
          <w:rtl/>
        </w:rPr>
        <w:t xml:space="preserve"> (כהסבר הט"ז) </w:t>
      </w:r>
      <w:r>
        <w:rPr>
          <w:rFonts w:hint="cs"/>
          <w:sz w:val="20"/>
          <w:szCs w:val="20"/>
          <w:rtl/>
        </w:rPr>
        <w:t>שקבעה לה ווסת!</w:t>
      </w:r>
      <w:r>
        <w:rPr>
          <w:rFonts w:hint="cs"/>
          <w:sz w:val="20"/>
          <w:szCs w:val="20"/>
          <w:rtl/>
        </w:rPr>
        <w:br/>
      </w:r>
      <w:r>
        <w:rPr>
          <w:rFonts w:hint="cs"/>
          <w:sz w:val="20"/>
          <w:szCs w:val="20"/>
          <w:rtl/>
        </w:rPr>
        <w:br/>
      </w:r>
      <w:r>
        <w:rPr>
          <w:rFonts w:hint="cs"/>
          <w:sz w:val="20"/>
          <w:szCs w:val="20"/>
          <w:u w:val="single"/>
          <w:rtl/>
        </w:rPr>
        <w:t>קושייה על הסבר הדרישה</w:t>
      </w:r>
      <w:r>
        <w:rPr>
          <w:sz w:val="20"/>
          <w:szCs w:val="20"/>
          <w:rtl/>
        </w:rPr>
        <w:br/>
      </w:r>
      <w:r>
        <w:rPr>
          <w:rFonts w:hint="cs"/>
          <w:sz w:val="20"/>
          <w:szCs w:val="20"/>
          <w:rtl/>
        </w:rPr>
        <w:t xml:space="preserve">אלא שקשה על הסבר זה </w:t>
      </w:r>
      <w:r>
        <w:rPr>
          <w:sz w:val="20"/>
          <w:szCs w:val="20"/>
          <w:rtl/>
        </w:rPr>
        <w:t>–</w:t>
      </w:r>
      <w:r>
        <w:rPr>
          <w:rFonts w:hint="cs"/>
          <w:sz w:val="20"/>
          <w:szCs w:val="20"/>
          <w:rtl/>
        </w:rPr>
        <w:t xml:space="preserve"> בגמרא איתא להדיא בדעת שמואל שרק אם היה לה ווסת קבוע לכ' ניתן למנות את שלוש דילוגיה כווסת, ומנא ליה </w:t>
      </w:r>
      <w:r w:rsidRPr="009E0A5E">
        <w:rPr>
          <w:rFonts w:hint="cs"/>
          <w:b/>
          <w:bCs/>
          <w:sz w:val="20"/>
          <w:szCs w:val="20"/>
          <w:rtl/>
        </w:rPr>
        <w:t>לפרישה</w:t>
      </w:r>
      <w:r>
        <w:rPr>
          <w:rFonts w:hint="cs"/>
          <w:sz w:val="20"/>
          <w:szCs w:val="20"/>
          <w:rtl/>
        </w:rPr>
        <w:t xml:space="preserve"> לחדש שאפילו בשאר ווסת קבוע הדין כך?</w:t>
      </w:r>
    </w:p>
    <w:p w:rsidR="00620060" w:rsidRDefault="00620060" w:rsidP="00620060">
      <w:pPr>
        <w:rPr>
          <w:sz w:val="20"/>
          <w:szCs w:val="20"/>
          <w:rtl/>
        </w:rPr>
      </w:pPr>
      <w:r>
        <w:rPr>
          <w:rFonts w:hint="cs"/>
          <w:sz w:val="20"/>
          <w:szCs w:val="20"/>
          <w:u w:val="single"/>
          <w:rtl/>
        </w:rPr>
        <w:t>ג. חזרה להסבר הט"ז באופן מבורר</w:t>
      </w:r>
      <w:r>
        <w:rPr>
          <w:sz w:val="20"/>
          <w:szCs w:val="20"/>
          <w:rtl/>
        </w:rPr>
        <w:br/>
      </w:r>
      <w:r w:rsidRPr="009E0A5E">
        <w:rPr>
          <w:rFonts w:hint="cs"/>
          <w:b/>
          <w:bCs/>
          <w:sz w:val="20"/>
          <w:szCs w:val="20"/>
          <w:rtl/>
        </w:rPr>
        <w:t>ש"ך</w:t>
      </w:r>
      <w:r>
        <w:rPr>
          <w:rFonts w:hint="cs"/>
          <w:sz w:val="20"/>
          <w:szCs w:val="20"/>
          <w:rtl/>
        </w:rPr>
        <w:t xml:space="preserve"> - ולכן יש לומר שכוונת המחבר כט"ז, ואעפ"כ יש בכך חידוש, כדלהלן:</w:t>
      </w:r>
      <w:r>
        <w:rPr>
          <w:rFonts w:hint="cs"/>
          <w:sz w:val="20"/>
          <w:szCs w:val="20"/>
          <w:rtl/>
        </w:rPr>
        <w:br/>
        <w:t>רב אית ליה סברת 'למודה שאני', ולכן ראיית כ' הקבועה אינה נמנית לווסת הדילוגים. לעומת זאת, שמואל לית ליה סברת 'למודה שאני' ולכן אם יש לה ווסת קבוע שפיר מצטרפת ראיית הווסת הקבוע לשלוש הראיות הנוספות שלה וקבעה לה ווסת.</w:t>
      </w:r>
      <w:r>
        <w:rPr>
          <w:rStyle w:val="a5"/>
          <w:sz w:val="20"/>
          <w:szCs w:val="20"/>
        </w:rPr>
        <w:footnoteReference w:id="183"/>
      </w:r>
    </w:p>
    <w:p w:rsidR="00620060" w:rsidRDefault="00620060" w:rsidP="00620060">
      <w:pPr>
        <w:rPr>
          <w:sz w:val="20"/>
          <w:szCs w:val="20"/>
          <w:rtl/>
        </w:rPr>
      </w:pPr>
      <w:r w:rsidRPr="003862E2">
        <w:rPr>
          <w:rFonts w:hint="cs"/>
          <w:b/>
          <w:bCs/>
          <w:sz w:val="20"/>
          <w:szCs w:val="20"/>
          <w:rtl/>
        </w:rPr>
        <w:t>סיכום</w:t>
      </w:r>
      <w:r>
        <w:rPr>
          <w:sz w:val="20"/>
          <w:szCs w:val="20"/>
          <w:rtl/>
        </w:rPr>
        <w:br/>
      </w:r>
      <w:r>
        <w:rPr>
          <w:rFonts w:hint="cs"/>
          <w:sz w:val="20"/>
          <w:szCs w:val="20"/>
          <w:rtl/>
        </w:rPr>
        <w:t xml:space="preserve">1. </w:t>
      </w:r>
      <w:r w:rsidRPr="003862E2">
        <w:rPr>
          <w:rFonts w:hint="cs"/>
          <w:b/>
          <w:bCs/>
          <w:sz w:val="20"/>
          <w:szCs w:val="20"/>
          <w:rtl/>
        </w:rPr>
        <w:t>גמרא</w:t>
      </w:r>
      <w:r>
        <w:rPr>
          <w:rFonts w:hint="cs"/>
          <w:sz w:val="20"/>
          <w:szCs w:val="20"/>
          <w:rtl/>
        </w:rPr>
        <w:t xml:space="preserve">. ראתה טו', טז', יז'. </w:t>
      </w:r>
      <w:r w:rsidRPr="003862E2">
        <w:rPr>
          <w:rFonts w:hint="cs"/>
          <w:sz w:val="20"/>
          <w:szCs w:val="20"/>
          <w:u w:val="single"/>
          <w:rtl/>
        </w:rPr>
        <w:t>רב</w:t>
      </w:r>
      <w:r>
        <w:rPr>
          <w:rFonts w:hint="cs"/>
          <w:sz w:val="20"/>
          <w:szCs w:val="20"/>
          <w:rtl/>
        </w:rPr>
        <w:t xml:space="preserve">. קבעה ווסת לדילוג. </w:t>
      </w:r>
      <w:r w:rsidRPr="003862E2">
        <w:rPr>
          <w:rFonts w:hint="cs"/>
          <w:sz w:val="20"/>
          <w:szCs w:val="20"/>
          <w:u w:val="single"/>
          <w:rtl/>
        </w:rPr>
        <w:t>שמואל</w:t>
      </w:r>
      <w:r>
        <w:rPr>
          <w:rFonts w:hint="cs"/>
          <w:sz w:val="20"/>
          <w:szCs w:val="20"/>
          <w:rtl/>
        </w:rPr>
        <w:t>. רק אם תראה גם ביח' קבעה ווסת לדילוג.</w:t>
      </w:r>
      <w:r>
        <w:rPr>
          <w:sz w:val="20"/>
          <w:szCs w:val="20"/>
          <w:rtl/>
        </w:rPr>
        <w:br/>
      </w:r>
      <w:r>
        <w:rPr>
          <w:rFonts w:hint="cs"/>
          <w:sz w:val="20"/>
          <w:szCs w:val="20"/>
          <w:rtl/>
        </w:rPr>
        <w:t xml:space="preserve">2. </w:t>
      </w:r>
      <w:r w:rsidRPr="003862E2">
        <w:rPr>
          <w:rFonts w:hint="cs"/>
          <w:b/>
          <w:bCs/>
          <w:sz w:val="20"/>
          <w:szCs w:val="20"/>
          <w:rtl/>
        </w:rPr>
        <w:t>ר"ח וראב"ד</w:t>
      </w:r>
      <w:r>
        <w:rPr>
          <w:rFonts w:hint="cs"/>
          <w:sz w:val="20"/>
          <w:szCs w:val="20"/>
          <w:rtl/>
        </w:rPr>
        <w:t xml:space="preserve">. הלכה כרב. </w:t>
      </w:r>
      <w:r w:rsidRPr="003862E2">
        <w:rPr>
          <w:rFonts w:hint="cs"/>
          <w:b/>
          <w:bCs/>
          <w:sz w:val="20"/>
          <w:szCs w:val="20"/>
          <w:rtl/>
        </w:rPr>
        <w:t>רמב"ם ורמב"ן</w:t>
      </w:r>
      <w:r>
        <w:rPr>
          <w:rFonts w:hint="cs"/>
          <w:sz w:val="20"/>
          <w:szCs w:val="20"/>
          <w:rtl/>
        </w:rPr>
        <w:t>. הלכה כשמואל.</w:t>
      </w:r>
      <w:r>
        <w:rPr>
          <w:sz w:val="20"/>
          <w:szCs w:val="20"/>
          <w:rtl/>
        </w:rPr>
        <w:br/>
      </w:r>
      <w:r>
        <w:rPr>
          <w:rFonts w:hint="cs"/>
          <w:sz w:val="20"/>
          <w:szCs w:val="20"/>
          <w:rtl/>
        </w:rPr>
        <w:t xml:space="preserve">3. </w:t>
      </w:r>
      <w:r w:rsidRPr="003862E2">
        <w:rPr>
          <w:rFonts w:hint="cs"/>
          <w:b/>
          <w:bCs/>
          <w:sz w:val="20"/>
          <w:szCs w:val="20"/>
          <w:rtl/>
        </w:rPr>
        <w:t>מחבר</w:t>
      </w:r>
      <w:r>
        <w:rPr>
          <w:rFonts w:hint="cs"/>
          <w:sz w:val="20"/>
          <w:szCs w:val="20"/>
          <w:rtl/>
        </w:rPr>
        <w:t>. לא הכריע בין הדעות, אלא יש להחמיר.</w:t>
      </w:r>
      <w:r>
        <w:rPr>
          <w:rFonts w:hint="cs"/>
          <w:sz w:val="20"/>
          <w:szCs w:val="20"/>
          <w:rtl/>
        </w:rPr>
        <w:br/>
        <w:t xml:space="preserve">4. </w:t>
      </w:r>
      <w:r w:rsidRPr="003862E2">
        <w:rPr>
          <w:rFonts w:hint="cs"/>
          <w:b/>
          <w:bCs/>
          <w:sz w:val="20"/>
          <w:szCs w:val="20"/>
          <w:rtl/>
        </w:rPr>
        <w:t>ב"ח</w:t>
      </w:r>
      <w:r>
        <w:rPr>
          <w:rFonts w:hint="cs"/>
          <w:sz w:val="20"/>
          <w:szCs w:val="20"/>
          <w:rtl/>
        </w:rPr>
        <w:t xml:space="preserve">. יש לחוש ליח' </w:t>
      </w:r>
      <w:r>
        <w:rPr>
          <w:sz w:val="20"/>
          <w:szCs w:val="20"/>
          <w:rtl/>
        </w:rPr>
        <w:t>–</w:t>
      </w:r>
      <w:r>
        <w:rPr>
          <w:rFonts w:hint="cs"/>
          <w:sz w:val="20"/>
          <w:szCs w:val="20"/>
          <w:rtl/>
        </w:rPr>
        <w:t xml:space="preserve"> דילוג; יז' </w:t>
      </w:r>
      <w:r>
        <w:rPr>
          <w:sz w:val="20"/>
          <w:szCs w:val="20"/>
          <w:rtl/>
        </w:rPr>
        <w:t>–</w:t>
      </w:r>
      <w:r>
        <w:rPr>
          <w:rFonts w:hint="cs"/>
          <w:sz w:val="20"/>
          <w:szCs w:val="20"/>
          <w:rtl/>
        </w:rPr>
        <w:t xml:space="preserve"> יום החודש; טז' </w:t>
      </w:r>
      <w:r>
        <w:rPr>
          <w:sz w:val="20"/>
          <w:szCs w:val="20"/>
          <w:rtl/>
        </w:rPr>
        <w:t>–</w:t>
      </w:r>
      <w:r>
        <w:rPr>
          <w:rFonts w:hint="cs"/>
          <w:sz w:val="20"/>
          <w:szCs w:val="20"/>
          <w:rtl/>
        </w:rPr>
        <w:t xml:space="preserve"> עונה בינונית </w:t>
      </w:r>
      <w:r w:rsidRPr="008848AA">
        <w:rPr>
          <w:rFonts w:hint="cs"/>
          <w:sz w:val="18"/>
          <w:szCs w:val="18"/>
          <w:rtl/>
        </w:rPr>
        <w:t>(</w:t>
      </w:r>
      <w:r w:rsidRPr="0093580C">
        <w:rPr>
          <w:rFonts w:hint="cs"/>
          <w:b/>
          <w:bCs/>
          <w:sz w:val="18"/>
          <w:szCs w:val="18"/>
          <w:rtl/>
        </w:rPr>
        <w:t>לש"ך</w:t>
      </w:r>
      <w:r w:rsidRPr="008848AA">
        <w:rPr>
          <w:rFonts w:hint="cs"/>
          <w:sz w:val="18"/>
          <w:szCs w:val="18"/>
          <w:rtl/>
        </w:rPr>
        <w:t xml:space="preserve"> עונה בינונית היא יום החודש)</w:t>
      </w:r>
      <w:r>
        <w:rPr>
          <w:rFonts w:hint="cs"/>
          <w:sz w:val="20"/>
          <w:szCs w:val="20"/>
          <w:rtl/>
        </w:rPr>
        <w:t>.</w:t>
      </w:r>
      <w:r>
        <w:rPr>
          <w:rFonts w:hint="cs"/>
          <w:sz w:val="20"/>
          <w:szCs w:val="20"/>
          <w:rtl/>
        </w:rPr>
        <w:br/>
        <w:t xml:space="preserve">5. שמואל מודה שאם היה לה ווסת קבוע לפני כן, שסגי בג' ראיות לקביעת ווסת, וכ"פ </w:t>
      </w:r>
      <w:r w:rsidRPr="005943B8">
        <w:rPr>
          <w:rFonts w:hint="cs"/>
          <w:b/>
          <w:bCs/>
          <w:sz w:val="20"/>
          <w:szCs w:val="20"/>
          <w:rtl/>
        </w:rPr>
        <w:t>המחבר</w:t>
      </w:r>
      <w:r>
        <w:rPr>
          <w:rFonts w:hint="cs"/>
          <w:sz w:val="20"/>
          <w:szCs w:val="20"/>
          <w:rtl/>
        </w:rPr>
        <w:t>.</w:t>
      </w:r>
      <w:r>
        <w:rPr>
          <w:sz w:val="20"/>
          <w:szCs w:val="20"/>
          <w:rtl/>
        </w:rPr>
        <w:br/>
      </w:r>
      <w:r>
        <w:rPr>
          <w:rFonts w:hint="cs"/>
          <w:sz w:val="20"/>
          <w:szCs w:val="20"/>
          <w:rtl/>
        </w:rPr>
        <w:t xml:space="preserve">6. </w:t>
      </w:r>
      <w:r w:rsidRPr="005943B8">
        <w:rPr>
          <w:rFonts w:hint="cs"/>
          <w:b/>
          <w:bCs/>
          <w:sz w:val="20"/>
          <w:szCs w:val="20"/>
          <w:rtl/>
        </w:rPr>
        <w:t>ט"ז</w:t>
      </w:r>
      <w:r>
        <w:rPr>
          <w:rFonts w:hint="cs"/>
          <w:sz w:val="20"/>
          <w:szCs w:val="20"/>
          <w:rtl/>
        </w:rPr>
        <w:t xml:space="preserve">. כוונת המחבר </w:t>
      </w:r>
      <w:r>
        <w:rPr>
          <w:sz w:val="20"/>
          <w:szCs w:val="20"/>
          <w:rtl/>
        </w:rPr>
        <w:t>–</w:t>
      </w:r>
      <w:r>
        <w:rPr>
          <w:rFonts w:hint="cs"/>
          <w:sz w:val="20"/>
          <w:szCs w:val="20"/>
          <w:rtl/>
        </w:rPr>
        <w:t xml:space="preserve"> היה לה ווסת קבוע בכ' ודילגה ממנו לכא' וכו', בכה"ג קבעה ווסת.</w:t>
      </w:r>
      <w:r>
        <w:rPr>
          <w:rFonts w:hint="cs"/>
          <w:sz w:val="20"/>
          <w:szCs w:val="20"/>
          <w:rtl/>
        </w:rPr>
        <w:br/>
        <w:t xml:space="preserve">7. </w:t>
      </w:r>
      <w:r w:rsidRPr="005943B8">
        <w:rPr>
          <w:rFonts w:hint="cs"/>
          <w:b/>
          <w:bCs/>
          <w:sz w:val="20"/>
          <w:szCs w:val="20"/>
          <w:rtl/>
        </w:rPr>
        <w:t>דרישה</w:t>
      </w:r>
      <w:r>
        <w:rPr>
          <w:rFonts w:hint="cs"/>
          <w:sz w:val="20"/>
          <w:szCs w:val="20"/>
          <w:rtl/>
        </w:rPr>
        <w:t xml:space="preserve">. כוונת המחבר </w:t>
      </w:r>
      <w:r>
        <w:rPr>
          <w:sz w:val="20"/>
          <w:szCs w:val="20"/>
          <w:rtl/>
        </w:rPr>
        <w:t>–</w:t>
      </w:r>
      <w:r>
        <w:rPr>
          <w:rFonts w:hint="cs"/>
          <w:sz w:val="20"/>
          <w:szCs w:val="20"/>
          <w:rtl/>
        </w:rPr>
        <w:t xml:space="preserve"> בכל עניין שהיה לה ווסת קבוע, אפילו ביג' ודילגה לכ' וממנו והלאה </w:t>
      </w:r>
      <w:r>
        <w:rPr>
          <w:sz w:val="20"/>
          <w:szCs w:val="20"/>
          <w:rtl/>
        </w:rPr>
        <w:t>–</w:t>
      </w:r>
      <w:r>
        <w:rPr>
          <w:rFonts w:hint="cs"/>
          <w:sz w:val="20"/>
          <w:szCs w:val="20"/>
          <w:rtl/>
        </w:rPr>
        <w:t xml:space="preserve"> קבעה וסת.</w:t>
      </w:r>
      <w:r>
        <w:rPr>
          <w:sz w:val="20"/>
          <w:szCs w:val="20"/>
          <w:rtl/>
        </w:rPr>
        <w:br/>
      </w:r>
      <w:r>
        <w:rPr>
          <w:rFonts w:hint="cs"/>
          <w:sz w:val="20"/>
          <w:szCs w:val="20"/>
          <w:rtl/>
        </w:rPr>
        <w:t xml:space="preserve">8. </w:t>
      </w:r>
      <w:r w:rsidRPr="005943B8">
        <w:rPr>
          <w:rFonts w:hint="cs"/>
          <w:b/>
          <w:bCs/>
          <w:sz w:val="20"/>
          <w:szCs w:val="20"/>
          <w:rtl/>
        </w:rPr>
        <w:t>ש"ך</w:t>
      </w:r>
      <w:r>
        <w:rPr>
          <w:rFonts w:hint="cs"/>
          <w:sz w:val="20"/>
          <w:szCs w:val="20"/>
          <w:rtl/>
        </w:rPr>
        <w:t>. קשה על הסבר הדרישה, מנ"ל זאת? בגמרא משמע שרק אם ווסתה הקבוע סמוך לווסת הדילוג קבעה ווסת לשמואל בג' ראיות!</w:t>
      </w:r>
      <w:r>
        <w:rPr>
          <w:sz w:val="20"/>
          <w:szCs w:val="20"/>
          <w:rtl/>
        </w:rPr>
        <w:br/>
      </w:r>
      <w:r>
        <w:rPr>
          <w:rFonts w:hint="cs"/>
          <w:sz w:val="20"/>
          <w:szCs w:val="20"/>
          <w:rtl/>
        </w:rPr>
        <w:t xml:space="preserve">9. ברם, הסבר זה קשה, דמה החידוש בכך? אלא י"ל </w:t>
      </w:r>
      <w:r>
        <w:rPr>
          <w:sz w:val="20"/>
          <w:szCs w:val="20"/>
          <w:rtl/>
        </w:rPr>
        <w:t>–</w:t>
      </w:r>
      <w:r>
        <w:rPr>
          <w:rFonts w:hint="cs"/>
          <w:sz w:val="20"/>
          <w:szCs w:val="20"/>
          <w:rtl/>
        </w:rPr>
        <w:t xml:space="preserve"> קמ"ל ששמואל אינו סובר את סברת 'למודה שאני', ואע"פ שלמודה לראות בכ' שפיר מצטרף לה לווסת הדילוג.</w:t>
      </w:r>
    </w:p>
    <w:p w:rsidR="00620060" w:rsidRDefault="00620060" w:rsidP="00620060">
      <w:pPr>
        <w:rPr>
          <w:rFonts w:cs="Arial"/>
          <w:sz w:val="20"/>
          <w:szCs w:val="20"/>
          <w:rtl/>
        </w:rPr>
      </w:pPr>
      <w:r>
        <w:rPr>
          <w:sz w:val="20"/>
          <w:szCs w:val="20"/>
          <w:rtl/>
        </w:rPr>
        <w:br/>
      </w:r>
      <w:r>
        <w:rPr>
          <w:rFonts w:hint="cs"/>
          <w:b/>
          <w:bCs/>
          <w:sz w:val="20"/>
          <w:szCs w:val="20"/>
          <w:rtl/>
        </w:rPr>
        <w:t xml:space="preserve">סעיף ח </w:t>
      </w:r>
      <w:r>
        <w:rPr>
          <w:b/>
          <w:bCs/>
          <w:sz w:val="20"/>
          <w:szCs w:val="20"/>
          <w:rtl/>
        </w:rPr>
        <w:t>–</w:t>
      </w:r>
      <w:r>
        <w:rPr>
          <w:rFonts w:hint="cs"/>
          <w:b/>
          <w:bCs/>
          <w:sz w:val="20"/>
          <w:szCs w:val="20"/>
          <w:rtl/>
        </w:rPr>
        <w:t xml:space="preserve"> ווסת לדילוג ברצף של שלושה חודשים</w:t>
      </w:r>
      <w:r>
        <w:rPr>
          <w:b/>
          <w:bCs/>
          <w:sz w:val="20"/>
          <w:szCs w:val="20"/>
          <w:rtl/>
        </w:rPr>
        <w:br/>
      </w:r>
      <w:r>
        <w:rPr>
          <w:rFonts w:hint="cs"/>
          <w:b/>
          <w:bCs/>
          <w:sz w:val="20"/>
          <w:szCs w:val="20"/>
          <w:rtl/>
        </w:rPr>
        <w:t>מקור הדין</w:t>
      </w:r>
      <w:r>
        <w:rPr>
          <w:rFonts w:hint="cs"/>
          <w:b/>
          <w:bCs/>
          <w:sz w:val="20"/>
          <w:szCs w:val="20"/>
          <w:rtl/>
        </w:rPr>
        <w:br/>
        <w:t xml:space="preserve">גמרא </w:t>
      </w:r>
      <w:r>
        <w:rPr>
          <w:rFonts w:hint="cs"/>
          <w:sz w:val="20"/>
          <w:szCs w:val="20"/>
          <w:rtl/>
        </w:rPr>
        <w:t>נידה (סד.) "</w:t>
      </w:r>
      <w:r w:rsidRPr="00AF4173">
        <w:rPr>
          <w:rFonts w:cs="Arial" w:hint="cs"/>
          <w:sz w:val="20"/>
          <w:szCs w:val="20"/>
          <w:rtl/>
        </w:rPr>
        <w:t>איתמר</w:t>
      </w:r>
      <w:r w:rsidRPr="00AF4173">
        <w:rPr>
          <w:rFonts w:cs="Arial"/>
          <w:sz w:val="20"/>
          <w:szCs w:val="20"/>
          <w:rtl/>
        </w:rPr>
        <w:t xml:space="preserve">, </w:t>
      </w:r>
      <w:r w:rsidRPr="00AF4173">
        <w:rPr>
          <w:rFonts w:cs="Arial" w:hint="cs"/>
          <w:sz w:val="20"/>
          <w:szCs w:val="20"/>
          <w:rtl/>
        </w:rPr>
        <w:t>ראתה</w:t>
      </w:r>
      <w:r w:rsidRPr="00AF4173">
        <w:rPr>
          <w:rFonts w:cs="Arial"/>
          <w:sz w:val="20"/>
          <w:szCs w:val="20"/>
          <w:rtl/>
        </w:rPr>
        <w:t xml:space="preserve"> </w:t>
      </w:r>
      <w:r w:rsidRPr="00AF4173">
        <w:rPr>
          <w:rFonts w:cs="Arial" w:hint="cs"/>
          <w:sz w:val="20"/>
          <w:szCs w:val="20"/>
          <w:rtl/>
        </w:rPr>
        <w:t>יום</w:t>
      </w:r>
      <w:r w:rsidRPr="00AF4173">
        <w:rPr>
          <w:rFonts w:cs="Arial"/>
          <w:sz w:val="20"/>
          <w:szCs w:val="20"/>
          <w:rtl/>
        </w:rPr>
        <w:t xml:space="preserve"> </w:t>
      </w:r>
      <w:r w:rsidRPr="00AF4173">
        <w:rPr>
          <w:rFonts w:cs="Arial" w:hint="cs"/>
          <w:sz w:val="20"/>
          <w:szCs w:val="20"/>
          <w:rtl/>
        </w:rPr>
        <w:t>חמשה</w:t>
      </w:r>
      <w:r w:rsidRPr="00AF4173">
        <w:rPr>
          <w:rFonts w:cs="Arial"/>
          <w:sz w:val="20"/>
          <w:szCs w:val="20"/>
          <w:rtl/>
        </w:rPr>
        <w:t xml:space="preserve"> </w:t>
      </w:r>
      <w:r w:rsidRPr="00AF4173">
        <w:rPr>
          <w:rFonts w:cs="Arial" w:hint="cs"/>
          <w:sz w:val="20"/>
          <w:szCs w:val="20"/>
          <w:rtl/>
        </w:rPr>
        <w:t>עשר</w:t>
      </w:r>
      <w:r w:rsidRPr="00AF4173">
        <w:rPr>
          <w:rFonts w:cs="Arial"/>
          <w:sz w:val="20"/>
          <w:szCs w:val="20"/>
          <w:rtl/>
        </w:rPr>
        <w:t xml:space="preserve"> </w:t>
      </w:r>
      <w:r w:rsidRPr="00AF4173">
        <w:rPr>
          <w:rFonts w:cs="Arial" w:hint="cs"/>
          <w:sz w:val="20"/>
          <w:szCs w:val="20"/>
          <w:rtl/>
        </w:rPr>
        <w:t>לחדש</w:t>
      </w:r>
      <w:r w:rsidRPr="00AF4173">
        <w:rPr>
          <w:rFonts w:cs="Arial"/>
          <w:sz w:val="20"/>
          <w:szCs w:val="20"/>
          <w:rtl/>
        </w:rPr>
        <w:t xml:space="preserve"> </w:t>
      </w:r>
      <w:r w:rsidRPr="00AF4173">
        <w:rPr>
          <w:rFonts w:cs="Arial" w:hint="cs"/>
          <w:sz w:val="20"/>
          <w:szCs w:val="20"/>
          <w:rtl/>
        </w:rPr>
        <w:t>זה</w:t>
      </w:r>
      <w:r w:rsidRPr="00AF4173">
        <w:rPr>
          <w:rFonts w:cs="Arial"/>
          <w:sz w:val="20"/>
          <w:szCs w:val="20"/>
          <w:rtl/>
        </w:rPr>
        <w:t xml:space="preserve">, </w:t>
      </w:r>
      <w:r w:rsidRPr="00AF4173">
        <w:rPr>
          <w:rFonts w:cs="Arial" w:hint="cs"/>
          <w:sz w:val="20"/>
          <w:szCs w:val="20"/>
          <w:rtl/>
        </w:rPr>
        <w:t>ויום</w:t>
      </w:r>
      <w:r w:rsidRPr="00AF4173">
        <w:rPr>
          <w:rFonts w:cs="Arial"/>
          <w:sz w:val="20"/>
          <w:szCs w:val="20"/>
          <w:rtl/>
        </w:rPr>
        <w:t xml:space="preserve"> </w:t>
      </w:r>
      <w:r w:rsidRPr="00AF4173">
        <w:rPr>
          <w:rFonts w:cs="Arial" w:hint="cs"/>
          <w:sz w:val="20"/>
          <w:szCs w:val="20"/>
          <w:rtl/>
        </w:rPr>
        <w:t>ט</w:t>
      </w:r>
      <w:r w:rsidRPr="00AF4173">
        <w:rPr>
          <w:rFonts w:cs="Arial"/>
          <w:sz w:val="20"/>
          <w:szCs w:val="20"/>
          <w:rtl/>
        </w:rPr>
        <w:t>"</w:t>
      </w:r>
      <w:r w:rsidRPr="00AF4173">
        <w:rPr>
          <w:rFonts w:cs="Arial" w:hint="cs"/>
          <w:sz w:val="20"/>
          <w:szCs w:val="20"/>
          <w:rtl/>
        </w:rPr>
        <w:t>ז</w:t>
      </w:r>
      <w:r w:rsidRPr="00AF4173">
        <w:rPr>
          <w:rFonts w:cs="Arial"/>
          <w:sz w:val="20"/>
          <w:szCs w:val="20"/>
          <w:rtl/>
        </w:rPr>
        <w:t xml:space="preserve"> </w:t>
      </w:r>
      <w:r w:rsidRPr="00AF4173">
        <w:rPr>
          <w:rFonts w:cs="Arial" w:hint="cs"/>
          <w:sz w:val="20"/>
          <w:szCs w:val="20"/>
          <w:rtl/>
        </w:rPr>
        <w:t>לחדש</w:t>
      </w:r>
      <w:r w:rsidRPr="00AF4173">
        <w:rPr>
          <w:rFonts w:cs="Arial"/>
          <w:sz w:val="20"/>
          <w:szCs w:val="20"/>
          <w:rtl/>
        </w:rPr>
        <w:t xml:space="preserve"> </w:t>
      </w:r>
      <w:r w:rsidRPr="00AF4173">
        <w:rPr>
          <w:rFonts w:cs="Arial" w:hint="cs"/>
          <w:sz w:val="20"/>
          <w:szCs w:val="20"/>
          <w:rtl/>
        </w:rPr>
        <w:t>זה</w:t>
      </w:r>
      <w:r w:rsidRPr="00AF4173">
        <w:rPr>
          <w:rFonts w:cs="Arial"/>
          <w:sz w:val="20"/>
          <w:szCs w:val="20"/>
          <w:rtl/>
        </w:rPr>
        <w:t xml:space="preserve">, </w:t>
      </w:r>
      <w:r w:rsidRPr="00AF4173">
        <w:rPr>
          <w:rFonts w:cs="Arial" w:hint="cs"/>
          <w:sz w:val="20"/>
          <w:szCs w:val="20"/>
          <w:rtl/>
        </w:rPr>
        <w:t>ויום</w:t>
      </w:r>
      <w:r w:rsidRPr="00AF4173">
        <w:rPr>
          <w:rFonts w:cs="Arial"/>
          <w:sz w:val="20"/>
          <w:szCs w:val="20"/>
          <w:rtl/>
        </w:rPr>
        <w:t xml:space="preserve"> </w:t>
      </w:r>
      <w:r w:rsidRPr="00AF4173">
        <w:rPr>
          <w:rFonts w:cs="Arial" w:hint="cs"/>
          <w:sz w:val="20"/>
          <w:szCs w:val="20"/>
          <w:rtl/>
        </w:rPr>
        <w:t>שבעה</w:t>
      </w:r>
      <w:r w:rsidRPr="00AF4173">
        <w:rPr>
          <w:rFonts w:cs="Arial"/>
          <w:sz w:val="20"/>
          <w:szCs w:val="20"/>
          <w:rtl/>
        </w:rPr>
        <w:t xml:space="preserve"> </w:t>
      </w:r>
      <w:r w:rsidRPr="00AF4173">
        <w:rPr>
          <w:rFonts w:cs="Arial" w:hint="cs"/>
          <w:sz w:val="20"/>
          <w:szCs w:val="20"/>
          <w:rtl/>
        </w:rPr>
        <w:t>עשר</w:t>
      </w:r>
      <w:r w:rsidRPr="00AF4173">
        <w:rPr>
          <w:rFonts w:cs="Arial"/>
          <w:sz w:val="20"/>
          <w:szCs w:val="20"/>
          <w:rtl/>
        </w:rPr>
        <w:t xml:space="preserve"> </w:t>
      </w:r>
      <w:r w:rsidRPr="00AF4173">
        <w:rPr>
          <w:rFonts w:cs="Arial" w:hint="cs"/>
          <w:sz w:val="20"/>
          <w:szCs w:val="20"/>
          <w:rtl/>
        </w:rPr>
        <w:t>לחדש</w:t>
      </w:r>
      <w:r w:rsidRPr="00AF4173">
        <w:rPr>
          <w:rFonts w:cs="Arial"/>
          <w:sz w:val="20"/>
          <w:szCs w:val="20"/>
          <w:rtl/>
        </w:rPr>
        <w:t xml:space="preserve"> </w:t>
      </w:r>
      <w:r w:rsidRPr="00AF4173">
        <w:rPr>
          <w:rFonts w:cs="Arial" w:hint="cs"/>
          <w:sz w:val="20"/>
          <w:szCs w:val="20"/>
          <w:rtl/>
        </w:rPr>
        <w:t>זה</w:t>
      </w:r>
      <w:r w:rsidRPr="00AF4173">
        <w:rPr>
          <w:rFonts w:cs="Arial"/>
          <w:sz w:val="20"/>
          <w:szCs w:val="20"/>
          <w:rtl/>
        </w:rPr>
        <w:t xml:space="preserve">. </w:t>
      </w:r>
      <w:r w:rsidRPr="00AF4173">
        <w:rPr>
          <w:rFonts w:cs="Arial" w:hint="cs"/>
          <w:sz w:val="20"/>
          <w:szCs w:val="20"/>
          <w:rtl/>
        </w:rPr>
        <w:t>רב</w:t>
      </w:r>
      <w:r w:rsidRPr="00AF4173">
        <w:rPr>
          <w:rFonts w:cs="Arial"/>
          <w:sz w:val="20"/>
          <w:szCs w:val="20"/>
          <w:rtl/>
        </w:rPr>
        <w:t xml:space="preserve"> </w:t>
      </w:r>
      <w:r w:rsidRPr="00AF4173">
        <w:rPr>
          <w:rFonts w:cs="Arial" w:hint="cs"/>
          <w:sz w:val="20"/>
          <w:szCs w:val="20"/>
          <w:rtl/>
        </w:rPr>
        <w:t>אמר</w:t>
      </w:r>
      <w:r w:rsidRPr="00AF4173">
        <w:rPr>
          <w:rFonts w:cs="Arial"/>
          <w:sz w:val="20"/>
          <w:szCs w:val="20"/>
          <w:rtl/>
        </w:rPr>
        <w:t xml:space="preserve">: </w:t>
      </w:r>
      <w:r w:rsidRPr="00AF4173">
        <w:rPr>
          <w:rFonts w:cs="Arial" w:hint="cs"/>
          <w:sz w:val="20"/>
          <w:szCs w:val="20"/>
          <w:rtl/>
        </w:rPr>
        <w:t>קבעה</w:t>
      </w:r>
      <w:r w:rsidRPr="00AF4173">
        <w:rPr>
          <w:rFonts w:cs="Arial"/>
          <w:sz w:val="20"/>
          <w:szCs w:val="20"/>
          <w:rtl/>
        </w:rPr>
        <w:t xml:space="preserve"> </w:t>
      </w:r>
      <w:r w:rsidRPr="00AF4173">
        <w:rPr>
          <w:rFonts w:cs="Arial" w:hint="cs"/>
          <w:sz w:val="20"/>
          <w:szCs w:val="20"/>
          <w:rtl/>
        </w:rPr>
        <w:t>לה</w:t>
      </w:r>
      <w:r w:rsidRPr="00AF4173">
        <w:rPr>
          <w:rFonts w:cs="Arial"/>
          <w:sz w:val="20"/>
          <w:szCs w:val="20"/>
          <w:rtl/>
        </w:rPr>
        <w:t xml:space="preserve"> </w:t>
      </w:r>
      <w:r w:rsidRPr="00AF4173">
        <w:rPr>
          <w:rFonts w:cs="Arial" w:hint="cs"/>
          <w:sz w:val="20"/>
          <w:szCs w:val="20"/>
          <w:rtl/>
        </w:rPr>
        <w:t>וסת</w:t>
      </w:r>
      <w:r w:rsidRPr="00AF4173">
        <w:rPr>
          <w:rFonts w:cs="Arial"/>
          <w:sz w:val="20"/>
          <w:szCs w:val="20"/>
          <w:rtl/>
        </w:rPr>
        <w:t xml:space="preserve"> </w:t>
      </w:r>
      <w:r w:rsidRPr="00AF4173">
        <w:rPr>
          <w:rFonts w:cs="Arial" w:hint="cs"/>
          <w:sz w:val="20"/>
          <w:szCs w:val="20"/>
          <w:rtl/>
        </w:rPr>
        <w:t>לדילוג</w:t>
      </w:r>
      <w:r w:rsidRPr="00AF4173">
        <w:rPr>
          <w:rFonts w:cs="Arial"/>
          <w:sz w:val="20"/>
          <w:szCs w:val="20"/>
          <w:rtl/>
        </w:rPr>
        <w:t xml:space="preserve">. </w:t>
      </w:r>
      <w:r w:rsidRPr="00AF4173">
        <w:rPr>
          <w:rFonts w:cs="Arial" w:hint="cs"/>
          <w:sz w:val="20"/>
          <w:szCs w:val="20"/>
          <w:rtl/>
        </w:rPr>
        <w:t>ושמואל</w:t>
      </w:r>
      <w:r w:rsidRPr="00AF4173">
        <w:rPr>
          <w:rFonts w:cs="Arial"/>
          <w:sz w:val="20"/>
          <w:szCs w:val="20"/>
          <w:rtl/>
        </w:rPr>
        <w:t xml:space="preserve"> </w:t>
      </w:r>
      <w:r w:rsidRPr="00AF4173">
        <w:rPr>
          <w:rFonts w:cs="Arial" w:hint="cs"/>
          <w:sz w:val="20"/>
          <w:szCs w:val="20"/>
          <w:rtl/>
        </w:rPr>
        <w:t>אמר</w:t>
      </w:r>
      <w:r w:rsidRPr="00AF4173">
        <w:rPr>
          <w:rFonts w:cs="Arial"/>
          <w:sz w:val="20"/>
          <w:szCs w:val="20"/>
          <w:rtl/>
        </w:rPr>
        <w:t xml:space="preserve">: </w:t>
      </w:r>
      <w:r w:rsidRPr="00AF4173">
        <w:rPr>
          <w:rFonts w:cs="Arial" w:hint="cs"/>
          <w:sz w:val="20"/>
          <w:szCs w:val="20"/>
          <w:rtl/>
        </w:rPr>
        <w:t>עד</w:t>
      </w:r>
      <w:r w:rsidRPr="00AF4173">
        <w:rPr>
          <w:rFonts w:cs="Arial"/>
          <w:sz w:val="20"/>
          <w:szCs w:val="20"/>
          <w:rtl/>
        </w:rPr>
        <w:t xml:space="preserve"> </w:t>
      </w:r>
      <w:r w:rsidRPr="00AF4173">
        <w:rPr>
          <w:rFonts w:cs="Arial" w:hint="cs"/>
          <w:sz w:val="20"/>
          <w:szCs w:val="20"/>
          <w:rtl/>
        </w:rPr>
        <w:t>שתשלש</w:t>
      </w:r>
      <w:r w:rsidRPr="00AF4173">
        <w:rPr>
          <w:rFonts w:cs="Arial"/>
          <w:sz w:val="20"/>
          <w:szCs w:val="20"/>
          <w:rtl/>
        </w:rPr>
        <w:t xml:space="preserve"> </w:t>
      </w:r>
      <w:r w:rsidRPr="00AF4173">
        <w:rPr>
          <w:rFonts w:cs="Arial" w:hint="cs"/>
          <w:sz w:val="20"/>
          <w:szCs w:val="20"/>
          <w:rtl/>
        </w:rPr>
        <w:t>בדילוג</w:t>
      </w:r>
      <w:r>
        <w:rPr>
          <w:rFonts w:cs="Arial" w:hint="cs"/>
          <w:sz w:val="20"/>
          <w:szCs w:val="20"/>
          <w:rtl/>
        </w:rPr>
        <w:t>"</w:t>
      </w:r>
      <w:r w:rsidRPr="00AF4173">
        <w:rPr>
          <w:rFonts w:cs="Arial"/>
          <w:sz w:val="20"/>
          <w:szCs w:val="20"/>
          <w:rtl/>
        </w:rPr>
        <w:t xml:space="preserve">. </w:t>
      </w:r>
    </w:p>
    <w:p w:rsidR="00620060" w:rsidRDefault="00620060" w:rsidP="00620060">
      <w:pPr>
        <w:rPr>
          <w:rFonts w:cs="Arial"/>
          <w:sz w:val="20"/>
          <w:szCs w:val="20"/>
          <w:rtl/>
        </w:rPr>
      </w:pPr>
      <w:r w:rsidRPr="0093580C">
        <w:rPr>
          <w:rFonts w:cs="Arial" w:hint="cs"/>
          <w:b/>
          <w:bCs/>
          <w:sz w:val="20"/>
          <w:szCs w:val="20"/>
          <w:rtl/>
        </w:rPr>
        <w:t>שיטות הראשונים</w:t>
      </w:r>
      <w:r>
        <w:rPr>
          <w:rFonts w:cs="Arial"/>
          <w:sz w:val="20"/>
          <w:szCs w:val="20"/>
          <w:u w:val="single"/>
          <w:rtl/>
        </w:rPr>
        <w:br/>
      </w:r>
      <w:r>
        <w:rPr>
          <w:rFonts w:cs="Arial" w:hint="cs"/>
          <w:sz w:val="20"/>
          <w:szCs w:val="20"/>
          <w:rtl/>
        </w:rPr>
        <w:t xml:space="preserve">א. </w:t>
      </w:r>
      <w:r w:rsidRPr="003477DC">
        <w:rPr>
          <w:rFonts w:cs="Arial" w:hint="cs"/>
          <w:b/>
          <w:bCs/>
          <w:sz w:val="20"/>
          <w:szCs w:val="20"/>
          <w:rtl/>
        </w:rPr>
        <w:t>תוספות</w:t>
      </w:r>
      <w:r>
        <w:rPr>
          <w:rFonts w:cs="Arial" w:hint="cs"/>
          <w:sz w:val="20"/>
          <w:szCs w:val="20"/>
          <w:rtl/>
        </w:rPr>
        <w:t xml:space="preserve"> </w:t>
      </w:r>
      <w:r>
        <w:rPr>
          <w:rFonts w:cs="Arial"/>
          <w:sz w:val="20"/>
          <w:szCs w:val="20"/>
          <w:rtl/>
        </w:rPr>
        <w:t>–</w:t>
      </w:r>
      <w:r>
        <w:rPr>
          <w:rFonts w:cs="Arial" w:hint="cs"/>
          <w:sz w:val="20"/>
          <w:szCs w:val="20"/>
          <w:rtl/>
        </w:rPr>
        <w:t xml:space="preserve"> מדובר שראתה במשך ג' חודשים, ובכל חודש איחרה ביום אחד, כפשט הגמרא.</w:t>
      </w:r>
      <w:r>
        <w:rPr>
          <w:rFonts w:cs="Arial"/>
          <w:sz w:val="20"/>
          <w:szCs w:val="20"/>
          <w:rtl/>
        </w:rPr>
        <w:br/>
      </w:r>
      <w:r>
        <w:rPr>
          <w:rFonts w:cs="Arial" w:hint="cs"/>
          <w:sz w:val="20"/>
          <w:szCs w:val="20"/>
          <w:rtl/>
        </w:rPr>
        <w:t xml:space="preserve">ב. </w:t>
      </w:r>
      <w:r w:rsidRPr="003477DC">
        <w:rPr>
          <w:rFonts w:cs="Arial" w:hint="cs"/>
          <w:b/>
          <w:bCs/>
          <w:sz w:val="20"/>
          <w:szCs w:val="20"/>
          <w:rtl/>
        </w:rPr>
        <w:t>רבינו חננאל</w:t>
      </w:r>
      <w:r>
        <w:rPr>
          <w:rFonts w:cs="Arial" w:hint="cs"/>
          <w:sz w:val="20"/>
          <w:szCs w:val="20"/>
          <w:rtl/>
        </w:rPr>
        <w:t xml:space="preserve"> </w:t>
      </w:r>
      <w:r>
        <w:rPr>
          <w:rFonts w:cs="Arial"/>
          <w:sz w:val="20"/>
          <w:szCs w:val="20"/>
          <w:rtl/>
        </w:rPr>
        <w:t>–</w:t>
      </w:r>
      <w:r>
        <w:rPr>
          <w:rFonts w:cs="Arial" w:hint="cs"/>
          <w:sz w:val="20"/>
          <w:szCs w:val="20"/>
          <w:rtl/>
        </w:rPr>
        <w:t xml:space="preserve"> מדובר על רצף של תשעה חודשים המורכב מרצף של שלושה חודשים כפול שלוש.</w:t>
      </w:r>
      <w:r>
        <w:rPr>
          <w:rFonts w:cs="Arial"/>
          <w:sz w:val="20"/>
          <w:szCs w:val="20"/>
          <w:rtl/>
        </w:rPr>
        <w:br/>
      </w:r>
      <w:r>
        <w:rPr>
          <w:rFonts w:cs="Arial" w:hint="cs"/>
          <w:sz w:val="20"/>
          <w:szCs w:val="20"/>
          <w:rtl/>
        </w:rPr>
        <w:t xml:space="preserve">כלומר </w:t>
      </w:r>
      <w:r>
        <w:rPr>
          <w:rFonts w:cs="Arial"/>
          <w:sz w:val="20"/>
          <w:szCs w:val="20"/>
          <w:rtl/>
        </w:rPr>
        <w:t>–</w:t>
      </w:r>
      <w:r>
        <w:rPr>
          <w:rFonts w:cs="Arial" w:hint="cs"/>
          <w:sz w:val="20"/>
          <w:szCs w:val="20"/>
          <w:rtl/>
        </w:rPr>
        <w:t xml:space="preserve"> ראתה בטו' ניסן, טז' אייר ויז' סיון. לאחר מכן ראתה בטו' תמוז, טז' אב ויז' אלול. לאחר מכן ראתה בטו' תשרי, טז' חשוון ויז' כסלו. בכה"ג קבעה לה ווסת שדרכה לראות באופן זה.</w:t>
      </w:r>
      <w:r>
        <w:rPr>
          <w:rFonts w:cs="Arial"/>
          <w:sz w:val="20"/>
          <w:szCs w:val="20"/>
          <w:rtl/>
        </w:rPr>
        <w:br/>
      </w:r>
      <w:r>
        <w:rPr>
          <w:rFonts w:cs="Arial" w:hint="cs"/>
          <w:sz w:val="20"/>
          <w:szCs w:val="20"/>
          <w:rtl/>
        </w:rPr>
        <w:lastRenderedPageBreak/>
        <w:br/>
        <w:t xml:space="preserve">ואע"פ שהראשונים דחו את פירוש ר"ח בסוגייה, מכל מקום כתבו שאף זה ווסת קבוע לדילוג, וכ"פ </w:t>
      </w:r>
      <w:r w:rsidRPr="008777DD">
        <w:rPr>
          <w:rFonts w:cs="Arial" w:hint="cs"/>
          <w:b/>
          <w:bCs/>
          <w:sz w:val="20"/>
          <w:szCs w:val="20"/>
          <w:rtl/>
        </w:rPr>
        <w:t>המחבר</w:t>
      </w:r>
      <w:r>
        <w:rPr>
          <w:rFonts w:cs="Arial" w:hint="cs"/>
          <w:sz w:val="20"/>
          <w:szCs w:val="20"/>
          <w:rtl/>
        </w:rPr>
        <w:t>.</w:t>
      </w:r>
    </w:p>
    <w:p w:rsidR="00620060" w:rsidRDefault="00620060" w:rsidP="00620060">
      <w:pPr>
        <w:rPr>
          <w:b/>
          <w:bCs/>
          <w:sz w:val="20"/>
          <w:szCs w:val="20"/>
          <w:rtl/>
        </w:rPr>
      </w:pPr>
      <w:r>
        <w:rPr>
          <w:rFonts w:cs="Arial" w:hint="cs"/>
          <w:b/>
          <w:bCs/>
          <w:sz w:val="20"/>
          <w:szCs w:val="20"/>
          <w:rtl/>
        </w:rPr>
        <w:t>פסיקת הלכה</w:t>
      </w:r>
      <w:r>
        <w:rPr>
          <w:rFonts w:cs="Arial"/>
          <w:b/>
          <w:bCs/>
          <w:sz w:val="20"/>
          <w:szCs w:val="20"/>
          <w:rtl/>
        </w:rPr>
        <w:br/>
      </w:r>
      <w:r>
        <w:rPr>
          <w:rFonts w:cs="Arial" w:hint="cs"/>
          <w:b/>
          <w:bCs/>
          <w:sz w:val="20"/>
          <w:szCs w:val="20"/>
          <w:rtl/>
        </w:rPr>
        <w:t xml:space="preserve">שולחן ערוך </w:t>
      </w:r>
      <w:r>
        <w:rPr>
          <w:rFonts w:cs="Arial"/>
          <w:sz w:val="20"/>
          <w:szCs w:val="20"/>
          <w:rtl/>
        </w:rPr>
        <w:t>–</w:t>
      </w:r>
      <w:r>
        <w:rPr>
          <w:rFonts w:cs="Arial" w:hint="cs"/>
          <w:sz w:val="20"/>
          <w:szCs w:val="20"/>
          <w:rtl/>
        </w:rPr>
        <w:t xml:space="preserve"> "</w:t>
      </w:r>
      <w:r w:rsidRPr="009F2CB0">
        <w:rPr>
          <w:rFonts w:cs="Arial" w:hint="cs"/>
          <w:sz w:val="20"/>
          <w:szCs w:val="20"/>
          <w:rtl/>
        </w:rPr>
        <w:t>ראתה</w:t>
      </w:r>
      <w:r w:rsidRPr="009F2CB0">
        <w:rPr>
          <w:rFonts w:cs="Arial"/>
          <w:sz w:val="20"/>
          <w:szCs w:val="20"/>
          <w:rtl/>
        </w:rPr>
        <w:t xml:space="preserve"> </w:t>
      </w:r>
      <w:r w:rsidRPr="009F2CB0">
        <w:rPr>
          <w:rFonts w:cs="Arial" w:hint="cs"/>
          <w:sz w:val="20"/>
          <w:szCs w:val="20"/>
          <w:rtl/>
        </w:rPr>
        <w:t>ג</w:t>
      </w:r>
      <w:r>
        <w:rPr>
          <w:rFonts w:cs="Arial" w:hint="cs"/>
          <w:sz w:val="20"/>
          <w:szCs w:val="20"/>
          <w:rtl/>
        </w:rPr>
        <w:t xml:space="preserve">' </w:t>
      </w:r>
      <w:r w:rsidRPr="009F2CB0">
        <w:rPr>
          <w:rFonts w:cs="Arial" w:hint="cs"/>
          <w:sz w:val="20"/>
          <w:szCs w:val="20"/>
          <w:rtl/>
        </w:rPr>
        <w:t>פ</w:t>
      </w:r>
      <w:r>
        <w:rPr>
          <w:rFonts w:cs="Arial" w:hint="cs"/>
          <w:sz w:val="20"/>
          <w:szCs w:val="20"/>
          <w:rtl/>
        </w:rPr>
        <w:t>עמים</w:t>
      </w:r>
      <w:r w:rsidRPr="009F2CB0">
        <w:rPr>
          <w:rFonts w:cs="Arial"/>
          <w:sz w:val="20"/>
          <w:szCs w:val="20"/>
          <w:rtl/>
        </w:rPr>
        <w:t xml:space="preserve"> </w:t>
      </w:r>
      <w:r w:rsidRPr="009F2CB0">
        <w:rPr>
          <w:rFonts w:cs="Arial" w:hint="cs"/>
          <w:sz w:val="20"/>
          <w:szCs w:val="20"/>
          <w:rtl/>
        </w:rPr>
        <w:t>בג</w:t>
      </w:r>
      <w:r w:rsidRPr="009F2CB0">
        <w:rPr>
          <w:rFonts w:cs="Arial"/>
          <w:sz w:val="20"/>
          <w:szCs w:val="20"/>
          <w:rtl/>
        </w:rPr>
        <w:t xml:space="preserve">' </w:t>
      </w:r>
      <w:r w:rsidRPr="009F2CB0">
        <w:rPr>
          <w:rFonts w:cs="Arial" w:hint="cs"/>
          <w:sz w:val="20"/>
          <w:szCs w:val="20"/>
          <w:rtl/>
        </w:rPr>
        <w:t>חדשים</w:t>
      </w:r>
      <w:r w:rsidRPr="009F2CB0">
        <w:rPr>
          <w:rFonts w:cs="Arial"/>
          <w:sz w:val="20"/>
          <w:szCs w:val="20"/>
          <w:rtl/>
        </w:rPr>
        <w:t xml:space="preserve">, </w:t>
      </w:r>
      <w:r w:rsidRPr="009F2CB0">
        <w:rPr>
          <w:rFonts w:cs="Arial" w:hint="cs"/>
          <w:sz w:val="20"/>
          <w:szCs w:val="20"/>
          <w:rtl/>
        </w:rPr>
        <w:t>בדילוג</w:t>
      </w:r>
      <w:r w:rsidRPr="009F2CB0">
        <w:rPr>
          <w:rFonts w:cs="Arial"/>
          <w:sz w:val="20"/>
          <w:szCs w:val="20"/>
          <w:rtl/>
        </w:rPr>
        <w:t xml:space="preserve">, </w:t>
      </w:r>
      <w:r w:rsidRPr="009F2CB0">
        <w:rPr>
          <w:rFonts w:cs="Arial" w:hint="cs"/>
          <w:sz w:val="20"/>
          <w:szCs w:val="20"/>
          <w:rtl/>
        </w:rPr>
        <w:t>וחזרה</w:t>
      </w:r>
      <w:r w:rsidRPr="009F2CB0">
        <w:rPr>
          <w:rFonts w:cs="Arial"/>
          <w:sz w:val="20"/>
          <w:szCs w:val="20"/>
          <w:rtl/>
        </w:rPr>
        <w:t xml:space="preserve"> </w:t>
      </w:r>
      <w:r w:rsidRPr="009F2CB0">
        <w:rPr>
          <w:rFonts w:cs="Arial" w:hint="cs"/>
          <w:sz w:val="20"/>
          <w:szCs w:val="20"/>
          <w:rtl/>
        </w:rPr>
        <w:t>וראתה</w:t>
      </w:r>
      <w:r w:rsidRPr="009F2CB0">
        <w:rPr>
          <w:rFonts w:cs="Arial"/>
          <w:sz w:val="20"/>
          <w:szCs w:val="20"/>
          <w:rtl/>
        </w:rPr>
        <w:t xml:space="preserve"> </w:t>
      </w:r>
      <w:r w:rsidRPr="009F2CB0">
        <w:rPr>
          <w:rFonts w:cs="Arial" w:hint="cs"/>
          <w:sz w:val="20"/>
          <w:szCs w:val="20"/>
          <w:rtl/>
        </w:rPr>
        <w:t>באותם</w:t>
      </w:r>
      <w:r w:rsidRPr="009F2CB0">
        <w:rPr>
          <w:rFonts w:cs="Arial"/>
          <w:sz w:val="20"/>
          <w:szCs w:val="20"/>
          <w:rtl/>
        </w:rPr>
        <w:t xml:space="preserve"> </w:t>
      </w:r>
      <w:r w:rsidRPr="009F2CB0">
        <w:rPr>
          <w:rFonts w:cs="Arial" w:hint="cs"/>
          <w:sz w:val="20"/>
          <w:szCs w:val="20"/>
          <w:rtl/>
        </w:rPr>
        <w:t>דילוגים</w:t>
      </w:r>
      <w:r w:rsidRPr="009F2CB0">
        <w:rPr>
          <w:rFonts w:cs="Arial"/>
          <w:sz w:val="20"/>
          <w:szCs w:val="20"/>
          <w:rtl/>
        </w:rPr>
        <w:t xml:space="preserve"> </w:t>
      </w:r>
      <w:r w:rsidRPr="009F2CB0">
        <w:rPr>
          <w:rFonts w:cs="Arial" w:hint="cs"/>
          <w:sz w:val="20"/>
          <w:szCs w:val="20"/>
          <w:rtl/>
        </w:rPr>
        <w:t>עצמן</w:t>
      </w:r>
      <w:r w:rsidRPr="009F2CB0">
        <w:rPr>
          <w:rFonts w:cs="Arial"/>
          <w:sz w:val="20"/>
          <w:szCs w:val="20"/>
          <w:rtl/>
        </w:rPr>
        <w:t xml:space="preserve">, </w:t>
      </w:r>
      <w:r w:rsidRPr="009F2CB0">
        <w:rPr>
          <w:rFonts w:cs="Arial" w:hint="cs"/>
          <w:sz w:val="20"/>
          <w:szCs w:val="20"/>
          <w:rtl/>
        </w:rPr>
        <w:t>אם</w:t>
      </w:r>
      <w:r w:rsidRPr="009F2CB0">
        <w:rPr>
          <w:rFonts w:cs="Arial"/>
          <w:sz w:val="20"/>
          <w:szCs w:val="20"/>
          <w:rtl/>
        </w:rPr>
        <w:t xml:space="preserve"> </w:t>
      </w:r>
      <w:r w:rsidRPr="009F2CB0">
        <w:rPr>
          <w:rFonts w:cs="Arial" w:hint="cs"/>
          <w:sz w:val="20"/>
          <w:szCs w:val="20"/>
          <w:rtl/>
        </w:rPr>
        <w:t>נהגה</w:t>
      </w:r>
      <w:r w:rsidRPr="009F2CB0">
        <w:rPr>
          <w:rFonts w:cs="Arial"/>
          <w:sz w:val="20"/>
          <w:szCs w:val="20"/>
          <w:rtl/>
        </w:rPr>
        <w:t xml:space="preserve"> </w:t>
      </w:r>
      <w:r w:rsidRPr="009F2CB0">
        <w:rPr>
          <w:rFonts w:cs="Arial" w:hint="cs"/>
          <w:sz w:val="20"/>
          <w:szCs w:val="20"/>
          <w:rtl/>
        </w:rPr>
        <w:t>כן</w:t>
      </w:r>
      <w:r w:rsidRPr="009F2CB0">
        <w:rPr>
          <w:rFonts w:cs="Arial"/>
          <w:sz w:val="20"/>
          <w:szCs w:val="20"/>
          <w:rtl/>
        </w:rPr>
        <w:t xml:space="preserve"> </w:t>
      </w:r>
      <w:r w:rsidRPr="009F2CB0">
        <w:rPr>
          <w:rFonts w:cs="Arial" w:hint="cs"/>
          <w:sz w:val="20"/>
          <w:szCs w:val="20"/>
          <w:rtl/>
        </w:rPr>
        <w:t>ג</w:t>
      </w:r>
      <w:r>
        <w:rPr>
          <w:rFonts w:cs="Arial" w:hint="cs"/>
          <w:sz w:val="20"/>
          <w:szCs w:val="20"/>
          <w:rtl/>
        </w:rPr>
        <w:t xml:space="preserve">' </w:t>
      </w:r>
      <w:r w:rsidRPr="009F2CB0">
        <w:rPr>
          <w:rFonts w:cs="Arial" w:hint="cs"/>
          <w:sz w:val="20"/>
          <w:szCs w:val="20"/>
          <w:rtl/>
        </w:rPr>
        <w:t>פ</w:t>
      </w:r>
      <w:r>
        <w:rPr>
          <w:rFonts w:cs="Arial" w:hint="cs"/>
          <w:sz w:val="20"/>
          <w:szCs w:val="20"/>
          <w:rtl/>
        </w:rPr>
        <w:t>עמים</w:t>
      </w:r>
      <w:r w:rsidRPr="009F2CB0">
        <w:rPr>
          <w:rFonts w:cs="Arial"/>
          <w:sz w:val="20"/>
          <w:szCs w:val="20"/>
          <w:rtl/>
        </w:rPr>
        <w:t xml:space="preserve">, </w:t>
      </w:r>
      <w:r w:rsidRPr="009F2CB0">
        <w:rPr>
          <w:rFonts w:cs="Arial" w:hint="cs"/>
          <w:sz w:val="20"/>
          <w:szCs w:val="20"/>
          <w:rtl/>
        </w:rPr>
        <w:t>הרי</w:t>
      </w:r>
      <w:r w:rsidRPr="009F2CB0">
        <w:rPr>
          <w:rFonts w:cs="Arial"/>
          <w:sz w:val="20"/>
          <w:szCs w:val="20"/>
          <w:rtl/>
        </w:rPr>
        <w:t xml:space="preserve"> </w:t>
      </w:r>
      <w:r w:rsidRPr="009F2CB0">
        <w:rPr>
          <w:rFonts w:cs="Arial" w:hint="cs"/>
          <w:sz w:val="20"/>
          <w:szCs w:val="20"/>
          <w:rtl/>
        </w:rPr>
        <w:t>זה</w:t>
      </w:r>
      <w:r w:rsidRPr="009F2CB0">
        <w:rPr>
          <w:rFonts w:cs="Arial"/>
          <w:sz w:val="20"/>
          <w:szCs w:val="20"/>
          <w:rtl/>
        </w:rPr>
        <w:t xml:space="preserve"> </w:t>
      </w:r>
      <w:r w:rsidRPr="009F2CB0">
        <w:rPr>
          <w:rFonts w:cs="Arial" w:hint="cs"/>
          <w:sz w:val="20"/>
          <w:szCs w:val="20"/>
          <w:rtl/>
        </w:rPr>
        <w:t>וסת</w:t>
      </w:r>
      <w:r w:rsidRPr="009F2CB0">
        <w:rPr>
          <w:rFonts w:cs="Arial"/>
          <w:sz w:val="20"/>
          <w:szCs w:val="20"/>
          <w:rtl/>
        </w:rPr>
        <w:t xml:space="preserve"> </w:t>
      </w:r>
      <w:r w:rsidRPr="009F2CB0">
        <w:rPr>
          <w:rFonts w:cs="Arial" w:hint="cs"/>
          <w:sz w:val="20"/>
          <w:szCs w:val="20"/>
          <w:rtl/>
        </w:rPr>
        <w:t>קבוע</w:t>
      </w:r>
      <w:r w:rsidRPr="009F2CB0">
        <w:rPr>
          <w:rFonts w:cs="Arial"/>
          <w:sz w:val="20"/>
          <w:szCs w:val="20"/>
          <w:rtl/>
        </w:rPr>
        <w:t xml:space="preserve"> </w:t>
      </w:r>
      <w:r w:rsidRPr="009F2CB0">
        <w:rPr>
          <w:rFonts w:cs="Arial" w:hint="cs"/>
          <w:sz w:val="20"/>
          <w:szCs w:val="20"/>
          <w:rtl/>
        </w:rPr>
        <w:t>לדילוג</w:t>
      </w:r>
      <w:r w:rsidRPr="009F2CB0">
        <w:rPr>
          <w:rFonts w:cs="Arial"/>
          <w:sz w:val="20"/>
          <w:szCs w:val="20"/>
          <w:rtl/>
        </w:rPr>
        <w:t xml:space="preserve"> </w:t>
      </w:r>
      <w:r w:rsidRPr="009F2CB0">
        <w:rPr>
          <w:rFonts w:cs="Arial" w:hint="cs"/>
          <w:sz w:val="20"/>
          <w:szCs w:val="20"/>
          <w:rtl/>
        </w:rPr>
        <w:t>חלילה</w:t>
      </w:r>
      <w:r w:rsidRPr="009F2CB0">
        <w:rPr>
          <w:rFonts w:cs="Arial"/>
          <w:sz w:val="20"/>
          <w:szCs w:val="20"/>
          <w:rtl/>
        </w:rPr>
        <w:t xml:space="preserve">. </w:t>
      </w:r>
      <w:r w:rsidRPr="009F2CB0">
        <w:rPr>
          <w:rFonts w:cs="Arial" w:hint="cs"/>
          <w:sz w:val="20"/>
          <w:szCs w:val="20"/>
          <w:rtl/>
        </w:rPr>
        <w:t>כיצד</w:t>
      </w:r>
      <w:r w:rsidRPr="009F2CB0">
        <w:rPr>
          <w:rFonts w:cs="Arial"/>
          <w:sz w:val="20"/>
          <w:szCs w:val="20"/>
          <w:rtl/>
        </w:rPr>
        <w:t xml:space="preserve">, </w:t>
      </w:r>
      <w:r w:rsidRPr="009F2CB0">
        <w:rPr>
          <w:rFonts w:cs="Arial" w:hint="cs"/>
          <w:sz w:val="20"/>
          <w:szCs w:val="20"/>
          <w:rtl/>
        </w:rPr>
        <w:t>ראתה</w:t>
      </w:r>
      <w:r w:rsidRPr="009F2CB0">
        <w:rPr>
          <w:rFonts w:cs="Arial"/>
          <w:sz w:val="20"/>
          <w:szCs w:val="20"/>
          <w:rtl/>
        </w:rPr>
        <w:t xml:space="preserve"> </w:t>
      </w:r>
      <w:r w:rsidRPr="009F2CB0">
        <w:rPr>
          <w:rFonts w:cs="Arial" w:hint="cs"/>
          <w:sz w:val="20"/>
          <w:szCs w:val="20"/>
          <w:rtl/>
        </w:rPr>
        <w:t>ט</w:t>
      </w:r>
      <w:r w:rsidRPr="009F2CB0">
        <w:rPr>
          <w:rFonts w:cs="Arial"/>
          <w:sz w:val="20"/>
          <w:szCs w:val="20"/>
          <w:rtl/>
        </w:rPr>
        <w:t>"</w:t>
      </w:r>
      <w:r w:rsidRPr="009F2CB0">
        <w:rPr>
          <w:rFonts w:cs="Arial" w:hint="cs"/>
          <w:sz w:val="20"/>
          <w:szCs w:val="20"/>
          <w:rtl/>
        </w:rPr>
        <w:t>ו</w:t>
      </w:r>
      <w:r w:rsidRPr="009F2CB0">
        <w:rPr>
          <w:rFonts w:cs="Arial"/>
          <w:sz w:val="20"/>
          <w:szCs w:val="20"/>
          <w:rtl/>
        </w:rPr>
        <w:t xml:space="preserve"> </w:t>
      </w:r>
      <w:r w:rsidRPr="009F2CB0">
        <w:rPr>
          <w:rFonts w:cs="Arial" w:hint="cs"/>
          <w:sz w:val="20"/>
          <w:szCs w:val="20"/>
          <w:rtl/>
        </w:rPr>
        <w:t>בניסן</w:t>
      </w:r>
      <w:r w:rsidRPr="009F2CB0">
        <w:rPr>
          <w:rFonts w:cs="Arial"/>
          <w:sz w:val="20"/>
          <w:szCs w:val="20"/>
          <w:rtl/>
        </w:rPr>
        <w:t xml:space="preserve"> </w:t>
      </w:r>
      <w:r w:rsidRPr="009F2CB0">
        <w:rPr>
          <w:rFonts w:cs="Arial" w:hint="cs"/>
          <w:sz w:val="20"/>
          <w:szCs w:val="20"/>
          <w:rtl/>
        </w:rPr>
        <w:t>וט</w:t>
      </w:r>
      <w:r w:rsidRPr="009F2CB0">
        <w:rPr>
          <w:rFonts w:cs="Arial"/>
          <w:sz w:val="20"/>
          <w:szCs w:val="20"/>
          <w:rtl/>
        </w:rPr>
        <w:t>"</w:t>
      </w:r>
      <w:r w:rsidRPr="009F2CB0">
        <w:rPr>
          <w:rFonts w:cs="Arial" w:hint="cs"/>
          <w:sz w:val="20"/>
          <w:szCs w:val="20"/>
          <w:rtl/>
        </w:rPr>
        <w:t>ז</w:t>
      </w:r>
      <w:r w:rsidRPr="009F2CB0">
        <w:rPr>
          <w:rFonts w:cs="Arial"/>
          <w:sz w:val="20"/>
          <w:szCs w:val="20"/>
          <w:rtl/>
        </w:rPr>
        <w:t xml:space="preserve"> </w:t>
      </w:r>
      <w:r w:rsidRPr="009F2CB0">
        <w:rPr>
          <w:rFonts w:cs="Arial" w:hint="cs"/>
          <w:sz w:val="20"/>
          <w:szCs w:val="20"/>
          <w:rtl/>
        </w:rPr>
        <w:t>באייר</w:t>
      </w:r>
      <w:r w:rsidRPr="009F2CB0">
        <w:rPr>
          <w:rFonts w:cs="Arial"/>
          <w:sz w:val="20"/>
          <w:szCs w:val="20"/>
          <w:rtl/>
        </w:rPr>
        <w:t xml:space="preserve"> </w:t>
      </w:r>
      <w:r w:rsidRPr="009F2CB0">
        <w:rPr>
          <w:rFonts w:cs="Arial" w:hint="cs"/>
          <w:sz w:val="20"/>
          <w:szCs w:val="20"/>
          <w:rtl/>
        </w:rPr>
        <w:t>וי</w:t>
      </w:r>
      <w:r w:rsidRPr="009F2CB0">
        <w:rPr>
          <w:rFonts w:cs="Arial"/>
          <w:sz w:val="20"/>
          <w:szCs w:val="20"/>
          <w:rtl/>
        </w:rPr>
        <w:t>"</w:t>
      </w:r>
      <w:r w:rsidRPr="009F2CB0">
        <w:rPr>
          <w:rFonts w:cs="Arial" w:hint="cs"/>
          <w:sz w:val="20"/>
          <w:szCs w:val="20"/>
          <w:rtl/>
        </w:rPr>
        <w:t>ז</w:t>
      </w:r>
      <w:r w:rsidRPr="009F2CB0">
        <w:rPr>
          <w:rFonts w:cs="Arial"/>
          <w:sz w:val="20"/>
          <w:szCs w:val="20"/>
          <w:rtl/>
        </w:rPr>
        <w:t xml:space="preserve"> </w:t>
      </w:r>
      <w:r w:rsidRPr="009F2CB0">
        <w:rPr>
          <w:rFonts w:cs="Arial" w:hint="cs"/>
          <w:sz w:val="20"/>
          <w:szCs w:val="20"/>
          <w:rtl/>
        </w:rPr>
        <w:t>בסיון</w:t>
      </w:r>
      <w:r w:rsidRPr="009F2CB0">
        <w:rPr>
          <w:rFonts w:cs="Arial"/>
          <w:sz w:val="20"/>
          <w:szCs w:val="20"/>
          <w:rtl/>
        </w:rPr>
        <w:t xml:space="preserve">, </w:t>
      </w:r>
      <w:r w:rsidRPr="009F2CB0">
        <w:rPr>
          <w:rFonts w:cs="Arial" w:hint="cs"/>
          <w:sz w:val="20"/>
          <w:szCs w:val="20"/>
          <w:rtl/>
        </w:rPr>
        <w:t>וחזרה</w:t>
      </w:r>
      <w:r w:rsidRPr="009F2CB0">
        <w:rPr>
          <w:rFonts w:cs="Arial"/>
          <w:sz w:val="20"/>
          <w:szCs w:val="20"/>
          <w:rtl/>
        </w:rPr>
        <w:t xml:space="preserve"> </w:t>
      </w:r>
      <w:r w:rsidRPr="009F2CB0">
        <w:rPr>
          <w:rFonts w:cs="Arial" w:hint="cs"/>
          <w:sz w:val="20"/>
          <w:szCs w:val="20"/>
          <w:rtl/>
        </w:rPr>
        <w:t>חלילה</w:t>
      </w:r>
      <w:r w:rsidRPr="009F2CB0">
        <w:rPr>
          <w:rFonts w:cs="Arial"/>
          <w:sz w:val="20"/>
          <w:szCs w:val="20"/>
          <w:rtl/>
        </w:rPr>
        <w:t xml:space="preserve"> </w:t>
      </w:r>
      <w:r w:rsidRPr="009F2CB0">
        <w:rPr>
          <w:rFonts w:cs="Arial" w:hint="cs"/>
          <w:sz w:val="20"/>
          <w:szCs w:val="20"/>
          <w:rtl/>
        </w:rPr>
        <w:t>וראתה</w:t>
      </w:r>
      <w:r w:rsidRPr="009F2CB0">
        <w:rPr>
          <w:rFonts w:cs="Arial"/>
          <w:sz w:val="20"/>
          <w:szCs w:val="20"/>
          <w:rtl/>
        </w:rPr>
        <w:t xml:space="preserve"> </w:t>
      </w:r>
      <w:r w:rsidRPr="009F2CB0">
        <w:rPr>
          <w:rFonts w:cs="Arial" w:hint="cs"/>
          <w:sz w:val="20"/>
          <w:szCs w:val="20"/>
          <w:rtl/>
        </w:rPr>
        <w:t>ט</w:t>
      </w:r>
      <w:r w:rsidRPr="009F2CB0">
        <w:rPr>
          <w:rFonts w:cs="Arial"/>
          <w:sz w:val="20"/>
          <w:szCs w:val="20"/>
          <w:rtl/>
        </w:rPr>
        <w:t>"</w:t>
      </w:r>
      <w:r w:rsidRPr="009F2CB0">
        <w:rPr>
          <w:rFonts w:cs="Arial" w:hint="cs"/>
          <w:sz w:val="20"/>
          <w:szCs w:val="20"/>
          <w:rtl/>
        </w:rPr>
        <w:t>ו</w:t>
      </w:r>
      <w:r w:rsidRPr="009F2CB0">
        <w:rPr>
          <w:rFonts w:cs="Arial"/>
          <w:sz w:val="20"/>
          <w:szCs w:val="20"/>
          <w:rtl/>
        </w:rPr>
        <w:t xml:space="preserve"> </w:t>
      </w:r>
      <w:r w:rsidRPr="009F2CB0">
        <w:rPr>
          <w:rFonts w:cs="Arial" w:hint="cs"/>
          <w:sz w:val="20"/>
          <w:szCs w:val="20"/>
          <w:rtl/>
        </w:rPr>
        <w:t>בתמוז</w:t>
      </w:r>
      <w:r w:rsidRPr="009F2CB0">
        <w:rPr>
          <w:rFonts w:cs="Arial"/>
          <w:sz w:val="20"/>
          <w:szCs w:val="20"/>
          <w:rtl/>
        </w:rPr>
        <w:t xml:space="preserve"> </w:t>
      </w:r>
      <w:r w:rsidRPr="009F2CB0">
        <w:rPr>
          <w:rFonts w:cs="Arial" w:hint="cs"/>
          <w:sz w:val="20"/>
          <w:szCs w:val="20"/>
          <w:rtl/>
        </w:rPr>
        <w:t>וט</w:t>
      </w:r>
      <w:r w:rsidRPr="009F2CB0">
        <w:rPr>
          <w:rFonts w:cs="Arial"/>
          <w:sz w:val="20"/>
          <w:szCs w:val="20"/>
          <w:rtl/>
        </w:rPr>
        <w:t>"</w:t>
      </w:r>
      <w:r w:rsidRPr="009F2CB0">
        <w:rPr>
          <w:rFonts w:cs="Arial" w:hint="cs"/>
          <w:sz w:val="20"/>
          <w:szCs w:val="20"/>
          <w:rtl/>
        </w:rPr>
        <w:t>ז</w:t>
      </w:r>
      <w:r w:rsidRPr="009F2CB0">
        <w:rPr>
          <w:rFonts w:cs="Arial"/>
          <w:sz w:val="20"/>
          <w:szCs w:val="20"/>
          <w:rtl/>
        </w:rPr>
        <w:t xml:space="preserve"> </w:t>
      </w:r>
      <w:r w:rsidRPr="009F2CB0">
        <w:rPr>
          <w:rFonts w:cs="Arial" w:hint="cs"/>
          <w:sz w:val="20"/>
          <w:szCs w:val="20"/>
          <w:rtl/>
        </w:rPr>
        <w:t>באב</w:t>
      </w:r>
      <w:r w:rsidRPr="009F2CB0">
        <w:rPr>
          <w:rFonts w:cs="Arial"/>
          <w:sz w:val="20"/>
          <w:szCs w:val="20"/>
          <w:rtl/>
        </w:rPr>
        <w:t xml:space="preserve"> </w:t>
      </w:r>
      <w:r w:rsidRPr="009F2CB0">
        <w:rPr>
          <w:rFonts w:cs="Arial" w:hint="cs"/>
          <w:sz w:val="20"/>
          <w:szCs w:val="20"/>
          <w:rtl/>
        </w:rPr>
        <w:t>וי</w:t>
      </w:r>
      <w:r w:rsidRPr="009F2CB0">
        <w:rPr>
          <w:rFonts w:cs="Arial"/>
          <w:sz w:val="20"/>
          <w:szCs w:val="20"/>
          <w:rtl/>
        </w:rPr>
        <w:t>"</w:t>
      </w:r>
      <w:r w:rsidRPr="009F2CB0">
        <w:rPr>
          <w:rFonts w:cs="Arial" w:hint="cs"/>
          <w:sz w:val="20"/>
          <w:szCs w:val="20"/>
          <w:rtl/>
        </w:rPr>
        <w:t>ז</w:t>
      </w:r>
      <w:r w:rsidRPr="009F2CB0">
        <w:rPr>
          <w:rFonts w:cs="Arial"/>
          <w:sz w:val="20"/>
          <w:szCs w:val="20"/>
          <w:rtl/>
        </w:rPr>
        <w:t xml:space="preserve"> </w:t>
      </w:r>
      <w:r w:rsidRPr="009F2CB0">
        <w:rPr>
          <w:rFonts w:cs="Arial" w:hint="cs"/>
          <w:sz w:val="20"/>
          <w:szCs w:val="20"/>
          <w:rtl/>
        </w:rPr>
        <w:t>באלול</w:t>
      </w:r>
      <w:r w:rsidRPr="009F2CB0">
        <w:rPr>
          <w:rFonts w:cs="Arial"/>
          <w:sz w:val="20"/>
          <w:szCs w:val="20"/>
          <w:rtl/>
        </w:rPr>
        <w:t xml:space="preserve">, </w:t>
      </w:r>
      <w:r w:rsidRPr="009F2CB0">
        <w:rPr>
          <w:rFonts w:cs="Arial" w:hint="cs"/>
          <w:sz w:val="20"/>
          <w:szCs w:val="20"/>
          <w:rtl/>
        </w:rPr>
        <w:t>ועוד</w:t>
      </w:r>
      <w:r w:rsidRPr="009F2CB0">
        <w:rPr>
          <w:rFonts w:cs="Arial"/>
          <w:sz w:val="20"/>
          <w:szCs w:val="20"/>
          <w:rtl/>
        </w:rPr>
        <w:t xml:space="preserve"> </w:t>
      </w:r>
      <w:r w:rsidRPr="009F2CB0">
        <w:rPr>
          <w:rFonts w:cs="Arial" w:hint="cs"/>
          <w:sz w:val="20"/>
          <w:szCs w:val="20"/>
          <w:rtl/>
        </w:rPr>
        <w:t>חזרה</w:t>
      </w:r>
      <w:r w:rsidRPr="009F2CB0">
        <w:rPr>
          <w:rFonts w:cs="Arial"/>
          <w:sz w:val="20"/>
          <w:szCs w:val="20"/>
          <w:rtl/>
        </w:rPr>
        <w:t xml:space="preserve"> </w:t>
      </w:r>
      <w:r w:rsidRPr="009F2CB0">
        <w:rPr>
          <w:rFonts w:cs="Arial" w:hint="cs"/>
          <w:sz w:val="20"/>
          <w:szCs w:val="20"/>
          <w:rtl/>
        </w:rPr>
        <w:t>וראתה</w:t>
      </w:r>
      <w:r w:rsidRPr="009F2CB0">
        <w:rPr>
          <w:rFonts w:cs="Arial"/>
          <w:sz w:val="20"/>
          <w:szCs w:val="20"/>
          <w:rtl/>
        </w:rPr>
        <w:t xml:space="preserve"> </w:t>
      </w:r>
      <w:r w:rsidRPr="009F2CB0">
        <w:rPr>
          <w:rFonts w:cs="Arial" w:hint="cs"/>
          <w:sz w:val="20"/>
          <w:szCs w:val="20"/>
          <w:rtl/>
        </w:rPr>
        <w:t>ט</w:t>
      </w:r>
      <w:r w:rsidRPr="009F2CB0">
        <w:rPr>
          <w:rFonts w:cs="Arial"/>
          <w:sz w:val="20"/>
          <w:szCs w:val="20"/>
          <w:rtl/>
        </w:rPr>
        <w:t>"</w:t>
      </w:r>
      <w:r w:rsidRPr="009F2CB0">
        <w:rPr>
          <w:rFonts w:cs="Arial" w:hint="cs"/>
          <w:sz w:val="20"/>
          <w:szCs w:val="20"/>
          <w:rtl/>
        </w:rPr>
        <w:t>ו</w:t>
      </w:r>
      <w:r w:rsidRPr="009F2CB0">
        <w:rPr>
          <w:rFonts w:cs="Arial"/>
          <w:sz w:val="20"/>
          <w:szCs w:val="20"/>
          <w:rtl/>
        </w:rPr>
        <w:t xml:space="preserve"> </w:t>
      </w:r>
      <w:r w:rsidRPr="009F2CB0">
        <w:rPr>
          <w:rFonts w:cs="Arial" w:hint="cs"/>
          <w:sz w:val="20"/>
          <w:szCs w:val="20"/>
          <w:rtl/>
        </w:rPr>
        <w:t>בתשרי</w:t>
      </w:r>
      <w:r w:rsidRPr="009F2CB0">
        <w:rPr>
          <w:rFonts w:cs="Arial"/>
          <w:sz w:val="20"/>
          <w:szCs w:val="20"/>
          <w:rtl/>
        </w:rPr>
        <w:t xml:space="preserve"> </w:t>
      </w:r>
      <w:r w:rsidRPr="009F2CB0">
        <w:rPr>
          <w:rFonts w:cs="Arial" w:hint="cs"/>
          <w:sz w:val="20"/>
          <w:szCs w:val="20"/>
          <w:rtl/>
        </w:rPr>
        <w:t>וט</w:t>
      </w:r>
      <w:r w:rsidRPr="009F2CB0">
        <w:rPr>
          <w:rFonts w:cs="Arial"/>
          <w:sz w:val="20"/>
          <w:szCs w:val="20"/>
          <w:rtl/>
        </w:rPr>
        <w:t>"</w:t>
      </w:r>
      <w:r w:rsidRPr="009F2CB0">
        <w:rPr>
          <w:rFonts w:cs="Arial" w:hint="cs"/>
          <w:sz w:val="20"/>
          <w:szCs w:val="20"/>
          <w:rtl/>
        </w:rPr>
        <w:t>ז</w:t>
      </w:r>
      <w:r w:rsidRPr="009F2CB0">
        <w:rPr>
          <w:rFonts w:cs="Arial"/>
          <w:sz w:val="20"/>
          <w:szCs w:val="20"/>
          <w:rtl/>
        </w:rPr>
        <w:t xml:space="preserve"> </w:t>
      </w:r>
      <w:r w:rsidRPr="009F2CB0">
        <w:rPr>
          <w:rFonts w:cs="Arial" w:hint="cs"/>
          <w:sz w:val="20"/>
          <w:szCs w:val="20"/>
          <w:rtl/>
        </w:rPr>
        <w:t>בחשוון</w:t>
      </w:r>
      <w:r w:rsidRPr="009F2CB0">
        <w:rPr>
          <w:rFonts w:cs="Arial"/>
          <w:sz w:val="20"/>
          <w:szCs w:val="20"/>
          <w:rtl/>
        </w:rPr>
        <w:t xml:space="preserve"> </w:t>
      </w:r>
      <w:r w:rsidRPr="009F2CB0">
        <w:rPr>
          <w:rFonts w:cs="Arial" w:hint="cs"/>
          <w:sz w:val="20"/>
          <w:szCs w:val="20"/>
          <w:rtl/>
        </w:rPr>
        <w:t>וי</w:t>
      </w:r>
      <w:r w:rsidRPr="009F2CB0">
        <w:rPr>
          <w:rFonts w:cs="Arial"/>
          <w:sz w:val="20"/>
          <w:szCs w:val="20"/>
          <w:rtl/>
        </w:rPr>
        <w:t>"</w:t>
      </w:r>
      <w:r w:rsidRPr="009F2CB0">
        <w:rPr>
          <w:rFonts w:cs="Arial" w:hint="cs"/>
          <w:sz w:val="20"/>
          <w:szCs w:val="20"/>
          <w:rtl/>
        </w:rPr>
        <w:t>ז</w:t>
      </w:r>
      <w:r w:rsidRPr="009F2CB0">
        <w:rPr>
          <w:rFonts w:cs="Arial"/>
          <w:sz w:val="20"/>
          <w:szCs w:val="20"/>
          <w:rtl/>
        </w:rPr>
        <w:t xml:space="preserve"> </w:t>
      </w:r>
      <w:r w:rsidRPr="009F2CB0">
        <w:rPr>
          <w:rFonts w:cs="Arial" w:hint="cs"/>
          <w:sz w:val="20"/>
          <w:szCs w:val="20"/>
          <w:rtl/>
        </w:rPr>
        <w:t>בכסליו</w:t>
      </w:r>
      <w:r w:rsidRPr="009F2CB0">
        <w:rPr>
          <w:rFonts w:cs="Arial"/>
          <w:sz w:val="20"/>
          <w:szCs w:val="20"/>
          <w:rtl/>
        </w:rPr>
        <w:t xml:space="preserve">, </w:t>
      </w:r>
      <w:r w:rsidRPr="009F2CB0">
        <w:rPr>
          <w:rFonts w:cs="Arial" w:hint="cs"/>
          <w:sz w:val="20"/>
          <w:szCs w:val="20"/>
          <w:rtl/>
        </w:rPr>
        <w:t>קבעה</w:t>
      </w:r>
      <w:r w:rsidRPr="009F2CB0">
        <w:rPr>
          <w:rFonts w:cs="Arial"/>
          <w:sz w:val="20"/>
          <w:szCs w:val="20"/>
          <w:rtl/>
        </w:rPr>
        <w:t xml:space="preserve"> </w:t>
      </w:r>
      <w:r w:rsidRPr="009F2CB0">
        <w:rPr>
          <w:rFonts w:cs="Arial" w:hint="cs"/>
          <w:sz w:val="20"/>
          <w:szCs w:val="20"/>
          <w:rtl/>
        </w:rPr>
        <w:t>לה</w:t>
      </w:r>
      <w:r w:rsidRPr="009F2CB0">
        <w:rPr>
          <w:rFonts w:cs="Arial"/>
          <w:sz w:val="20"/>
          <w:szCs w:val="20"/>
          <w:rtl/>
        </w:rPr>
        <w:t xml:space="preserve"> </w:t>
      </w:r>
      <w:r w:rsidRPr="009F2CB0">
        <w:rPr>
          <w:rFonts w:cs="Arial" w:hint="cs"/>
          <w:sz w:val="20"/>
          <w:szCs w:val="20"/>
          <w:rtl/>
        </w:rPr>
        <w:t>וסת</w:t>
      </w:r>
      <w:r w:rsidRPr="009F2CB0">
        <w:rPr>
          <w:rFonts w:cs="Arial"/>
          <w:sz w:val="20"/>
          <w:szCs w:val="20"/>
          <w:rtl/>
        </w:rPr>
        <w:t xml:space="preserve"> </w:t>
      </w:r>
      <w:r w:rsidRPr="009F2CB0">
        <w:rPr>
          <w:rFonts w:cs="Arial" w:hint="cs"/>
          <w:sz w:val="20"/>
          <w:szCs w:val="20"/>
          <w:rtl/>
        </w:rPr>
        <w:t>לדילוג</w:t>
      </w:r>
      <w:r w:rsidRPr="009F2CB0">
        <w:rPr>
          <w:rFonts w:cs="Arial"/>
          <w:sz w:val="20"/>
          <w:szCs w:val="20"/>
          <w:rtl/>
        </w:rPr>
        <w:t xml:space="preserve"> </w:t>
      </w:r>
      <w:r w:rsidRPr="009F2CB0">
        <w:rPr>
          <w:rFonts w:cs="Arial" w:hint="cs"/>
          <w:sz w:val="20"/>
          <w:szCs w:val="20"/>
          <w:rtl/>
        </w:rPr>
        <w:t>חלילה</w:t>
      </w:r>
      <w:r w:rsidRPr="009F2CB0">
        <w:rPr>
          <w:rFonts w:cs="Arial"/>
          <w:sz w:val="20"/>
          <w:szCs w:val="20"/>
          <w:rtl/>
        </w:rPr>
        <w:t xml:space="preserve">, </w:t>
      </w:r>
      <w:r w:rsidRPr="009F2CB0">
        <w:rPr>
          <w:rFonts w:cs="Arial" w:hint="cs"/>
          <w:sz w:val="20"/>
          <w:szCs w:val="20"/>
          <w:rtl/>
        </w:rPr>
        <w:t>וחוששת</w:t>
      </w:r>
      <w:r w:rsidRPr="009F2CB0">
        <w:rPr>
          <w:rFonts w:cs="Arial"/>
          <w:sz w:val="20"/>
          <w:szCs w:val="20"/>
          <w:rtl/>
        </w:rPr>
        <w:t xml:space="preserve"> </w:t>
      </w:r>
      <w:r w:rsidRPr="009F2CB0">
        <w:rPr>
          <w:rFonts w:cs="Arial" w:hint="cs"/>
          <w:sz w:val="20"/>
          <w:szCs w:val="20"/>
          <w:rtl/>
        </w:rPr>
        <w:t>לעולם</w:t>
      </w:r>
      <w:r w:rsidRPr="009F2CB0">
        <w:rPr>
          <w:rFonts w:cs="Arial"/>
          <w:sz w:val="20"/>
          <w:szCs w:val="20"/>
          <w:rtl/>
        </w:rPr>
        <w:t xml:space="preserve"> </w:t>
      </w:r>
      <w:r w:rsidRPr="009F2CB0">
        <w:rPr>
          <w:rFonts w:cs="Arial" w:hint="cs"/>
          <w:sz w:val="20"/>
          <w:szCs w:val="20"/>
          <w:rtl/>
        </w:rPr>
        <w:t>ט</w:t>
      </w:r>
      <w:r w:rsidRPr="009F2CB0">
        <w:rPr>
          <w:rFonts w:cs="Arial"/>
          <w:sz w:val="20"/>
          <w:szCs w:val="20"/>
          <w:rtl/>
        </w:rPr>
        <w:t>"</w:t>
      </w:r>
      <w:r w:rsidRPr="009F2CB0">
        <w:rPr>
          <w:rFonts w:cs="Arial" w:hint="cs"/>
          <w:sz w:val="20"/>
          <w:szCs w:val="20"/>
          <w:rtl/>
        </w:rPr>
        <w:t>ו</w:t>
      </w:r>
      <w:r w:rsidRPr="009F2CB0">
        <w:rPr>
          <w:rFonts w:cs="Arial"/>
          <w:sz w:val="20"/>
          <w:szCs w:val="20"/>
          <w:rtl/>
        </w:rPr>
        <w:t xml:space="preserve"> </w:t>
      </w:r>
      <w:r w:rsidRPr="009F2CB0">
        <w:rPr>
          <w:rFonts w:cs="Arial" w:hint="cs"/>
          <w:sz w:val="20"/>
          <w:szCs w:val="20"/>
          <w:rtl/>
        </w:rPr>
        <w:t>לחודש</w:t>
      </w:r>
      <w:r w:rsidRPr="009F2CB0">
        <w:rPr>
          <w:rFonts w:cs="Arial"/>
          <w:sz w:val="20"/>
          <w:szCs w:val="20"/>
          <w:rtl/>
        </w:rPr>
        <w:t xml:space="preserve"> </w:t>
      </w:r>
      <w:r w:rsidRPr="009F2CB0">
        <w:rPr>
          <w:rFonts w:cs="Arial" w:hint="cs"/>
          <w:sz w:val="20"/>
          <w:szCs w:val="20"/>
          <w:rtl/>
        </w:rPr>
        <w:t>זה</w:t>
      </w:r>
      <w:r w:rsidRPr="009F2CB0">
        <w:rPr>
          <w:rFonts w:cs="Arial"/>
          <w:sz w:val="20"/>
          <w:szCs w:val="20"/>
          <w:rtl/>
        </w:rPr>
        <w:t xml:space="preserve"> </w:t>
      </w:r>
      <w:r w:rsidRPr="009F2CB0">
        <w:rPr>
          <w:rFonts w:cs="Arial" w:hint="cs"/>
          <w:sz w:val="20"/>
          <w:szCs w:val="20"/>
          <w:rtl/>
        </w:rPr>
        <w:t>וט</w:t>
      </w:r>
      <w:r w:rsidRPr="009F2CB0">
        <w:rPr>
          <w:rFonts w:cs="Arial"/>
          <w:sz w:val="20"/>
          <w:szCs w:val="20"/>
          <w:rtl/>
        </w:rPr>
        <w:t>"</w:t>
      </w:r>
      <w:r w:rsidRPr="009F2CB0">
        <w:rPr>
          <w:rFonts w:cs="Arial" w:hint="cs"/>
          <w:sz w:val="20"/>
          <w:szCs w:val="20"/>
          <w:rtl/>
        </w:rPr>
        <w:t>ז</w:t>
      </w:r>
      <w:r w:rsidRPr="009F2CB0">
        <w:rPr>
          <w:rFonts w:cs="Arial"/>
          <w:sz w:val="20"/>
          <w:szCs w:val="20"/>
          <w:rtl/>
        </w:rPr>
        <w:t xml:space="preserve"> </w:t>
      </w:r>
      <w:r w:rsidRPr="009F2CB0">
        <w:rPr>
          <w:rFonts w:cs="Arial" w:hint="cs"/>
          <w:sz w:val="20"/>
          <w:szCs w:val="20"/>
          <w:rtl/>
        </w:rPr>
        <w:t>לחודש</w:t>
      </w:r>
      <w:r w:rsidRPr="009F2CB0">
        <w:rPr>
          <w:rFonts w:cs="Arial"/>
          <w:sz w:val="20"/>
          <w:szCs w:val="20"/>
          <w:rtl/>
        </w:rPr>
        <w:t xml:space="preserve"> </w:t>
      </w:r>
      <w:r w:rsidRPr="009F2CB0">
        <w:rPr>
          <w:rFonts w:cs="Arial" w:hint="cs"/>
          <w:sz w:val="20"/>
          <w:szCs w:val="20"/>
          <w:rtl/>
        </w:rPr>
        <w:t>זה</w:t>
      </w:r>
      <w:r w:rsidRPr="009F2CB0">
        <w:rPr>
          <w:rFonts w:cs="Arial"/>
          <w:sz w:val="20"/>
          <w:szCs w:val="20"/>
          <w:rtl/>
        </w:rPr>
        <w:t xml:space="preserve"> </w:t>
      </w:r>
      <w:r w:rsidRPr="009F2CB0">
        <w:rPr>
          <w:rFonts w:cs="Arial" w:hint="cs"/>
          <w:sz w:val="20"/>
          <w:szCs w:val="20"/>
          <w:rtl/>
        </w:rPr>
        <w:t>וי</w:t>
      </w:r>
      <w:r w:rsidRPr="009F2CB0">
        <w:rPr>
          <w:rFonts w:cs="Arial"/>
          <w:sz w:val="20"/>
          <w:szCs w:val="20"/>
          <w:rtl/>
        </w:rPr>
        <w:t>"</w:t>
      </w:r>
      <w:r w:rsidRPr="009F2CB0">
        <w:rPr>
          <w:rFonts w:cs="Arial" w:hint="cs"/>
          <w:sz w:val="20"/>
          <w:szCs w:val="20"/>
          <w:rtl/>
        </w:rPr>
        <w:t>ז</w:t>
      </w:r>
      <w:r w:rsidRPr="009F2CB0">
        <w:rPr>
          <w:rFonts w:cs="Arial"/>
          <w:sz w:val="20"/>
          <w:szCs w:val="20"/>
          <w:rtl/>
        </w:rPr>
        <w:t xml:space="preserve"> </w:t>
      </w:r>
      <w:r w:rsidRPr="009F2CB0">
        <w:rPr>
          <w:rFonts w:cs="Arial" w:hint="cs"/>
          <w:sz w:val="20"/>
          <w:szCs w:val="20"/>
          <w:rtl/>
        </w:rPr>
        <w:t>לחודש</w:t>
      </w:r>
      <w:r w:rsidRPr="009F2CB0">
        <w:rPr>
          <w:rFonts w:cs="Arial"/>
          <w:sz w:val="20"/>
          <w:szCs w:val="20"/>
          <w:rtl/>
        </w:rPr>
        <w:t xml:space="preserve"> </w:t>
      </w:r>
      <w:r w:rsidRPr="009F2CB0">
        <w:rPr>
          <w:rFonts w:cs="Arial" w:hint="cs"/>
          <w:sz w:val="20"/>
          <w:szCs w:val="20"/>
          <w:rtl/>
        </w:rPr>
        <w:t>זה</w:t>
      </w:r>
      <w:r>
        <w:rPr>
          <w:rFonts w:cs="Arial" w:hint="cs"/>
          <w:sz w:val="20"/>
          <w:szCs w:val="20"/>
          <w:rtl/>
        </w:rPr>
        <w:t>"</w:t>
      </w:r>
      <w:r w:rsidRPr="009F2CB0">
        <w:rPr>
          <w:rFonts w:cs="Arial"/>
          <w:sz w:val="20"/>
          <w:szCs w:val="20"/>
          <w:rtl/>
        </w:rPr>
        <w:t>.</w:t>
      </w:r>
      <w:r>
        <w:rPr>
          <w:rFonts w:cs="Arial"/>
          <w:sz w:val="20"/>
          <w:szCs w:val="20"/>
          <w:rtl/>
        </w:rPr>
        <w:br/>
      </w:r>
      <w:r>
        <w:rPr>
          <w:rFonts w:hint="cs"/>
          <w:b/>
          <w:bCs/>
          <w:sz w:val="20"/>
          <w:szCs w:val="20"/>
          <w:rtl/>
        </w:rPr>
        <w:br/>
      </w:r>
      <w:r w:rsidRPr="00817E3E">
        <w:rPr>
          <w:rFonts w:hint="cs"/>
          <w:sz w:val="20"/>
          <w:szCs w:val="20"/>
          <w:u w:val="single"/>
          <w:rtl/>
        </w:rPr>
        <w:t>דילוג של ארבעה ימים</w:t>
      </w:r>
      <w:r>
        <w:rPr>
          <w:rFonts w:hint="cs"/>
          <w:b/>
          <w:bCs/>
          <w:sz w:val="20"/>
          <w:szCs w:val="20"/>
          <w:rtl/>
        </w:rPr>
        <w:br/>
      </w:r>
      <w:r w:rsidRPr="00817E3E">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המחבר יכול היה להשמיע דין זה גם בדילוג של יום אחד, ובמקרה קצר יותר. כגון </w:t>
      </w:r>
      <w:r>
        <w:rPr>
          <w:sz w:val="20"/>
          <w:szCs w:val="20"/>
          <w:rtl/>
        </w:rPr>
        <w:t>–</w:t>
      </w:r>
      <w:r>
        <w:rPr>
          <w:rFonts w:hint="cs"/>
          <w:sz w:val="20"/>
          <w:szCs w:val="20"/>
          <w:rtl/>
        </w:rPr>
        <w:t xml:space="preserve"> ראתה חודש ראשון בא' ובחודש השני בב', וחזרה על כך שלוש פעמים </w:t>
      </w:r>
      <w:r>
        <w:rPr>
          <w:sz w:val="20"/>
          <w:szCs w:val="20"/>
          <w:rtl/>
        </w:rPr>
        <w:t>–</w:t>
      </w:r>
      <w:r>
        <w:rPr>
          <w:rFonts w:hint="cs"/>
          <w:sz w:val="20"/>
          <w:szCs w:val="20"/>
          <w:rtl/>
        </w:rPr>
        <w:t xml:space="preserve"> קבעה לה ווסת. אלא שרצה להשמיע רבותא שאפילו כשהדילוג בין החודשים הוא שלושה ימים, קבעה ווסת. ולפי"ז, הוא הדין אם היה הדילוג של ארבעה ימים שונים וחזרה על דילוג זה שלוש פעמים, קבעה ווסת.</w:t>
      </w:r>
    </w:p>
    <w:p w:rsidR="00620060" w:rsidRDefault="00620060" w:rsidP="00620060">
      <w:pPr>
        <w:rPr>
          <w:b/>
          <w:bCs/>
          <w:sz w:val="20"/>
          <w:szCs w:val="20"/>
          <w:rtl/>
        </w:rPr>
      </w:pPr>
      <w:r>
        <w:rPr>
          <w:rFonts w:hint="cs"/>
          <w:sz w:val="20"/>
          <w:szCs w:val="20"/>
          <w:u w:val="single"/>
          <w:rtl/>
        </w:rPr>
        <w:t>כיצד קובעת ווסת לשמואל?</w:t>
      </w:r>
      <w:r>
        <w:rPr>
          <w:rFonts w:hint="cs"/>
          <w:sz w:val="20"/>
          <w:szCs w:val="20"/>
          <w:u w:val="single"/>
          <w:rtl/>
        </w:rPr>
        <w:br/>
      </w:r>
      <w:r>
        <w:rPr>
          <w:rFonts w:hint="cs"/>
          <w:sz w:val="20"/>
          <w:szCs w:val="20"/>
          <w:rtl/>
        </w:rPr>
        <w:t xml:space="preserve">א. </w:t>
      </w:r>
      <w:r w:rsidRPr="00D8049B">
        <w:rPr>
          <w:rFonts w:hint="cs"/>
          <w:b/>
          <w:bCs/>
          <w:sz w:val="20"/>
          <w:szCs w:val="20"/>
          <w:rtl/>
        </w:rPr>
        <w:t xml:space="preserve">פרישה </w:t>
      </w:r>
      <w:r>
        <w:rPr>
          <w:sz w:val="20"/>
          <w:szCs w:val="20"/>
          <w:rtl/>
        </w:rPr>
        <w:t>–</w:t>
      </w:r>
      <w:r>
        <w:rPr>
          <w:rFonts w:hint="cs"/>
          <w:sz w:val="20"/>
          <w:szCs w:val="20"/>
          <w:rtl/>
        </w:rPr>
        <w:t xml:space="preserve"> שמואל סובר שצריכה לראות פעם נוספת בתחילת ראייתה כיוון שראייה הראשונה אינה מן המניין.</w:t>
      </w:r>
      <w:r>
        <w:rPr>
          <w:sz w:val="20"/>
          <w:szCs w:val="20"/>
          <w:rtl/>
        </w:rPr>
        <w:br/>
      </w:r>
      <w:r>
        <w:rPr>
          <w:rFonts w:hint="cs"/>
          <w:sz w:val="20"/>
          <w:szCs w:val="20"/>
          <w:rtl/>
        </w:rPr>
        <w:t>כלומר, במקרה הנ"ל שפוסק המחבר, מדובר שראתה גם ביח' תמוז, ורק אחר כך ניתן למנות שני רצפים נוספים של שלושה חודשים לקביעת ווסת.</w:t>
      </w:r>
      <w:r>
        <w:rPr>
          <w:sz w:val="20"/>
          <w:szCs w:val="20"/>
          <w:rtl/>
        </w:rPr>
        <w:br/>
      </w:r>
      <w:r>
        <w:rPr>
          <w:rFonts w:hint="cs"/>
          <w:sz w:val="20"/>
          <w:szCs w:val="20"/>
          <w:rtl/>
        </w:rPr>
        <w:t xml:space="preserve">ב. </w:t>
      </w:r>
      <w:r w:rsidRPr="00D8049B">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דברי הפרישה אינם נכונים, אלא גם שמואל מודה שסגי ברצף הראשון בשלוש ראיות בלבד.</w:t>
      </w:r>
      <w:r>
        <w:rPr>
          <w:rFonts w:hint="cs"/>
          <w:b/>
          <w:bCs/>
          <w:sz w:val="20"/>
          <w:szCs w:val="20"/>
          <w:rtl/>
        </w:rPr>
        <w:br/>
        <w:t xml:space="preserve">טעם </w:t>
      </w:r>
      <w:r w:rsidRPr="00A73A3C">
        <w:rPr>
          <w:sz w:val="20"/>
          <w:szCs w:val="20"/>
          <w:rtl/>
        </w:rPr>
        <w:t>–</w:t>
      </w:r>
      <w:r w:rsidRPr="00A73A3C">
        <w:rPr>
          <w:rFonts w:hint="cs"/>
          <w:sz w:val="20"/>
          <w:szCs w:val="20"/>
          <w:rtl/>
        </w:rPr>
        <w:t xml:space="preserve"> הראשונים דחו את פירוש ר"ח לסוגייה, ואם כן משמע להו שליכא פלוגת</w:t>
      </w:r>
      <w:r>
        <w:rPr>
          <w:rFonts w:hint="cs"/>
          <w:sz w:val="20"/>
          <w:szCs w:val="20"/>
          <w:rtl/>
        </w:rPr>
        <w:t>ת אמוראים בדבריו</w:t>
      </w:r>
      <w:r w:rsidRPr="00A73A3C">
        <w:rPr>
          <w:rFonts w:hint="cs"/>
          <w:sz w:val="20"/>
          <w:szCs w:val="20"/>
          <w:rtl/>
        </w:rPr>
        <w:t>.</w:t>
      </w:r>
      <w:r>
        <w:rPr>
          <w:rFonts w:hint="cs"/>
          <w:b/>
          <w:bCs/>
          <w:sz w:val="20"/>
          <w:szCs w:val="20"/>
          <w:rtl/>
        </w:rPr>
        <w:br/>
      </w:r>
      <w:r w:rsidRPr="00B41A71">
        <w:rPr>
          <w:rFonts w:hint="cs"/>
          <w:sz w:val="20"/>
          <w:szCs w:val="20"/>
          <w:rtl/>
        </w:rPr>
        <w:t xml:space="preserve">הכרעת </w:t>
      </w:r>
      <w:r w:rsidRPr="00B41A71">
        <w:rPr>
          <w:rFonts w:hint="cs"/>
          <w:b/>
          <w:bCs/>
          <w:sz w:val="20"/>
          <w:szCs w:val="20"/>
          <w:rtl/>
        </w:rPr>
        <w:t>תורת השלמים</w:t>
      </w:r>
      <w:r w:rsidRPr="00B41A71">
        <w:rPr>
          <w:rFonts w:hint="cs"/>
          <w:sz w:val="20"/>
          <w:szCs w:val="20"/>
          <w:rtl/>
        </w:rPr>
        <w:t xml:space="preserve"> </w:t>
      </w:r>
      <w:r w:rsidRPr="00B41A71">
        <w:rPr>
          <w:sz w:val="20"/>
          <w:szCs w:val="20"/>
          <w:rtl/>
        </w:rPr>
        <w:t>–</w:t>
      </w:r>
      <w:r w:rsidRPr="00B41A71">
        <w:rPr>
          <w:rFonts w:hint="cs"/>
          <w:sz w:val="20"/>
          <w:szCs w:val="20"/>
          <w:rtl/>
        </w:rPr>
        <w:t xml:space="preserve"> יש להחמיר כפרישה, ולכן גם בכה"ג יש לחוש לב' הדעות, כלומר לרב ולשמואל.</w:t>
      </w:r>
    </w:p>
    <w:p w:rsidR="00620060" w:rsidRDefault="00620060" w:rsidP="00620060">
      <w:pPr>
        <w:rPr>
          <w:b/>
          <w:bCs/>
          <w:sz w:val="20"/>
          <w:szCs w:val="20"/>
          <w:rtl/>
        </w:rPr>
      </w:pPr>
      <w:r w:rsidRPr="00B41A71">
        <w:rPr>
          <w:rFonts w:hint="cs"/>
          <w:b/>
          <w:bCs/>
          <w:sz w:val="20"/>
          <w:szCs w:val="20"/>
          <w:rtl/>
        </w:rPr>
        <w:t>סיכום</w:t>
      </w:r>
      <w:r>
        <w:rPr>
          <w:sz w:val="20"/>
          <w:szCs w:val="20"/>
          <w:rtl/>
        </w:rPr>
        <w:br/>
      </w:r>
      <w:r>
        <w:rPr>
          <w:rFonts w:hint="cs"/>
          <w:sz w:val="20"/>
          <w:szCs w:val="20"/>
          <w:rtl/>
        </w:rPr>
        <w:t xml:space="preserve">1. </w:t>
      </w:r>
      <w:r w:rsidRPr="00B41A71">
        <w:rPr>
          <w:rFonts w:hint="cs"/>
          <w:b/>
          <w:bCs/>
          <w:sz w:val="20"/>
          <w:szCs w:val="20"/>
          <w:rtl/>
        </w:rPr>
        <w:t>גמרא</w:t>
      </w:r>
      <w:r>
        <w:rPr>
          <w:rFonts w:hint="cs"/>
          <w:sz w:val="20"/>
          <w:szCs w:val="20"/>
          <w:rtl/>
        </w:rPr>
        <w:t xml:space="preserve">. מחלוקת רב ושמואל בווסת הדילוג לחודשים. </w:t>
      </w:r>
      <w:r w:rsidRPr="00BE630B">
        <w:rPr>
          <w:rFonts w:hint="cs"/>
          <w:b/>
          <w:bCs/>
          <w:sz w:val="20"/>
          <w:szCs w:val="20"/>
          <w:rtl/>
        </w:rPr>
        <w:t>תוספות</w:t>
      </w:r>
      <w:r>
        <w:rPr>
          <w:rFonts w:hint="cs"/>
          <w:sz w:val="20"/>
          <w:szCs w:val="20"/>
          <w:rtl/>
        </w:rPr>
        <w:t xml:space="preserve"> </w:t>
      </w:r>
      <w:r>
        <w:rPr>
          <w:sz w:val="20"/>
          <w:szCs w:val="20"/>
          <w:rtl/>
        </w:rPr>
        <w:t>–</w:t>
      </w:r>
      <w:r>
        <w:rPr>
          <w:rFonts w:hint="cs"/>
          <w:sz w:val="20"/>
          <w:szCs w:val="20"/>
          <w:rtl/>
        </w:rPr>
        <w:t xml:space="preserve"> טו', טז', יז'. </w:t>
      </w:r>
      <w:r w:rsidRPr="00B41A71">
        <w:rPr>
          <w:rFonts w:hint="cs"/>
          <w:b/>
          <w:bCs/>
          <w:sz w:val="20"/>
          <w:szCs w:val="20"/>
          <w:rtl/>
        </w:rPr>
        <w:t>ר"ח</w:t>
      </w:r>
      <w:r>
        <w:rPr>
          <w:rFonts w:hint="cs"/>
          <w:sz w:val="20"/>
          <w:szCs w:val="20"/>
          <w:rtl/>
        </w:rPr>
        <w:t>. כנ"ל, כפול שלוש.</w:t>
      </w:r>
      <w:r>
        <w:rPr>
          <w:sz w:val="20"/>
          <w:szCs w:val="20"/>
          <w:rtl/>
        </w:rPr>
        <w:br/>
      </w:r>
      <w:r>
        <w:rPr>
          <w:rFonts w:hint="cs"/>
          <w:sz w:val="20"/>
          <w:szCs w:val="20"/>
          <w:rtl/>
        </w:rPr>
        <w:t>2. הראשונים דחו את פירוש ר"ח, ומכל מקום פסק המחבר שגם באופן זה קבעה לה ווסת.</w:t>
      </w:r>
      <w:r>
        <w:rPr>
          <w:rFonts w:hint="cs"/>
          <w:b/>
          <w:bCs/>
          <w:sz w:val="20"/>
          <w:szCs w:val="20"/>
          <w:rtl/>
        </w:rPr>
        <w:br/>
      </w:r>
      <w:r w:rsidRPr="00B41A71">
        <w:rPr>
          <w:rFonts w:hint="cs"/>
          <w:sz w:val="20"/>
          <w:szCs w:val="20"/>
          <w:rtl/>
        </w:rPr>
        <w:t xml:space="preserve">3. </w:t>
      </w:r>
      <w:r w:rsidRPr="00B41A71">
        <w:rPr>
          <w:rFonts w:hint="cs"/>
          <w:b/>
          <w:bCs/>
          <w:sz w:val="20"/>
          <w:szCs w:val="20"/>
          <w:rtl/>
        </w:rPr>
        <w:t>ט"ז</w:t>
      </w:r>
      <w:r w:rsidRPr="00B41A71">
        <w:rPr>
          <w:rFonts w:hint="cs"/>
          <w:sz w:val="20"/>
          <w:szCs w:val="20"/>
          <w:rtl/>
        </w:rPr>
        <w:t>.</w:t>
      </w:r>
      <w:r>
        <w:rPr>
          <w:rFonts w:hint="cs"/>
          <w:b/>
          <w:bCs/>
          <w:sz w:val="20"/>
          <w:szCs w:val="20"/>
          <w:rtl/>
        </w:rPr>
        <w:t xml:space="preserve"> </w:t>
      </w:r>
      <w:r>
        <w:rPr>
          <w:rFonts w:hint="cs"/>
          <w:sz w:val="20"/>
          <w:szCs w:val="20"/>
          <w:rtl/>
        </w:rPr>
        <w:t>הוא הדין לרצף של חודשיים כפול שלוש, וכן לרצף של ארבעה חודשים כפול שלוש.</w:t>
      </w:r>
      <w:r>
        <w:rPr>
          <w:sz w:val="20"/>
          <w:szCs w:val="20"/>
          <w:rtl/>
        </w:rPr>
        <w:br/>
      </w:r>
      <w:r>
        <w:rPr>
          <w:rFonts w:hint="cs"/>
          <w:sz w:val="20"/>
          <w:szCs w:val="20"/>
          <w:rtl/>
        </w:rPr>
        <w:t xml:space="preserve">4. </w:t>
      </w:r>
      <w:r w:rsidRPr="00B41A71">
        <w:rPr>
          <w:rFonts w:hint="cs"/>
          <w:b/>
          <w:bCs/>
          <w:sz w:val="20"/>
          <w:szCs w:val="20"/>
          <w:rtl/>
        </w:rPr>
        <w:t>פרישה</w:t>
      </w:r>
      <w:r>
        <w:rPr>
          <w:rFonts w:hint="cs"/>
          <w:sz w:val="20"/>
          <w:szCs w:val="20"/>
          <w:rtl/>
        </w:rPr>
        <w:t xml:space="preserve">. לדעת שמואל, צריכה לראות פעם נוספת, דהיינו ברצף הראשון גם ביח'. </w:t>
      </w:r>
      <w:r w:rsidRPr="00874624">
        <w:rPr>
          <w:rFonts w:hint="cs"/>
          <w:b/>
          <w:bCs/>
          <w:sz w:val="20"/>
          <w:szCs w:val="20"/>
          <w:rtl/>
        </w:rPr>
        <w:t>ש"ך</w:t>
      </w:r>
      <w:r>
        <w:rPr>
          <w:rFonts w:hint="cs"/>
          <w:sz w:val="20"/>
          <w:szCs w:val="20"/>
          <w:rtl/>
        </w:rPr>
        <w:t>. ליכא פלוגתא, גם לשמואל סגי ברצף של שלוש שלושה חודשים בלבד.</w:t>
      </w:r>
      <w:r w:rsidRPr="00B41A71">
        <w:rPr>
          <w:rFonts w:hint="cs"/>
          <w:b/>
          <w:bCs/>
          <w:sz w:val="20"/>
          <w:szCs w:val="20"/>
          <w:rtl/>
        </w:rPr>
        <w:t xml:space="preserve"> תוה"ש</w:t>
      </w:r>
      <w:r>
        <w:rPr>
          <w:rFonts w:hint="cs"/>
          <w:sz w:val="20"/>
          <w:szCs w:val="20"/>
          <w:rtl/>
        </w:rPr>
        <w:t>. יש להחמיר כפרישה, כלומר כרב וכשמואל.</w:t>
      </w:r>
    </w:p>
    <w:p w:rsidR="00620060" w:rsidRDefault="00620060" w:rsidP="00620060">
      <w:pPr>
        <w:rPr>
          <w:sz w:val="20"/>
          <w:szCs w:val="20"/>
          <w:rtl/>
        </w:rPr>
      </w:pPr>
      <w:r>
        <w:rPr>
          <w:b/>
          <w:bCs/>
          <w:sz w:val="20"/>
          <w:szCs w:val="20"/>
          <w:rtl/>
        </w:rPr>
        <w:br/>
      </w:r>
      <w:r w:rsidRPr="00227CA0">
        <w:rPr>
          <w:rFonts w:hint="cs"/>
          <w:b/>
          <w:bCs/>
          <w:sz w:val="20"/>
          <w:szCs w:val="20"/>
          <w:rtl/>
        </w:rPr>
        <w:t xml:space="preserve">סעיף ט </w:t>
      </w:r>
      <w:r w:rsidRPr="00227CA0">
        <w:rPr>
          <w:b/>
          <w:bCs/>
          <w:sz w:val="20"/>
          <w:szCs w:val="20"/>
          <w:rtl/>
        </w:rPr>
        <w:t>–</w:t>
      </w:r>
      <w:r w:rsidRPr="00227CA0">
        <w:rPr>
          <w:rFonts w:hint="cs"/>
          <w:b/>
          <w:bCs/>
          <w:sz w:val="20"/>
          <w:szCs w:val="20"/>
          <w:rtl/>
        </w:rPr>
        <w:t xml:space="preserve"> ווסת </w:t>
      </w:r>
      <w:r>
        <w:rPr>
          <w:rFonts w:hint="cs"/>
          <w:b/>
          <w:bCs/>
          <w:sz w:val="20"/>
          <w:szCs w:val="20"/>
          <w:rtl/>
        </w:rPr>
        <w:t>הסירוג</w:t>
      </w:r>
      <w:r>
        <w:rPr>
          <w:rFonts w:hint="cs"/>
          <w:b/>
          <w:bCs/>
          <w:sz w:val="20"/>
          <w:szCs w:val="20"/>
          <w:rtl/>
        </w:rPr>
        <w:br/>
        <w:t>מקור הדין</w:t>
      </w:r>
      <w:r w:rsidRPr="00EC046B">
        <w:rPr>
          <w:rStyle w:val="a5"/>
          <w:sz w:val="20"/>
          <w:szCs w:val="20"/>
          <w:rtl/>
        </w:rPr>
        <w:footnoteReference w:id="184"/>
      </w:r>
      <w:r>
        <w:rPr>
          <w:b/>
          <w:bCs/>
          <w:sz w:val="20"/>
          <w:szCs w:val="20"/>
          <w:rtl/>
        </w:rPr>
        <w:br/>
      </w:r>
      <w:r>
        <w:rPr>
          <w:rFonts w:hint="cs"/>
          <w:b/>
          <w:bCs/>
          <w:sz w:val="20"/>
          <w:szCs w:val="20"/>
          <w:rtl/>
        </w:rPr>
        <w:t xml:space="preserve">גמרא </w:t>
      </w:r>
      <w:r w:rsidRPr="00EC046B">
        <w:rPr>
          <w:rFonts w:hint="cs"/>
          <w:sz w:val="20"/>
          <w:szCs w:val="20"/>
          <w:rtl/>
        </w:rPr>
        <w:t>בבא קמא (לז.) "</w:t>
      </w:r>
      <w:r w:rsidRPr="00EC046B">
        <w:rPr>
          <w:rFonts w:cs="Arial"/>
          <w:sz w:val="20"/>
          <w:szCs w:val="20"/>
          <w:rtl/>
        </w:rPr>
        <w:t>ת</w:t>
      </w:r>
      <w:r>
        <w:rPr>
          <w:rFonts w:cs="Arial" w:hint="cs"/>
          <w:sz w:val="20"/>
          <w:szCs w:val="20"/>
          <w:rtl/>
        </w:rPr>
        <w:t xml:space="preserve">נו </w:t>
      </w:r>
      <w:r w:rsidRPr="00EC046B">
        <w:rPr>
          <w:rFonts w:cs="Arial"/>
          <w:sz w:val="20"/>
          <w:szCs w:val="20"/>
          <w:rtl/>
        </w:rPr>
        <w:t>ר</w:t>
      </w:r>
      <w:r>
        <w:rPr>
          <w:rFonts w:cs="Arial" w:hint="cs"/>
          <w:sz w:val="20"/>
          <w:szCs w:val="20"/>
          <w:rtl/>
        </w:rPr>
        <w:t>בנן</w:t>
      </w:r>
      <w:r w:rsidRPr="00EC046B">
        <w:rPr>
          <w:rFonts w:cs="Arial"/>
          <w:sz w:val="20"/>
          <w:szCs w:val="20"/>
          <w:rtl/>
        </w:rPr>
        <w:t>: ראה שור - נגח, שור - לא נגח, שור - נגח, שור - לא נגח, שור - נגח, שור - לא נגח, נעשה מועד לסירוגין לשוורים</w:t>
      </w:r>
      <w:r w:rsidRPr="00EC046B">
        <w:rPr>
          <w:rFonts w:cs="Arial" w:hint="cs"/>
          <w:sz w:val="20"/>
          <w:szCs w:val="20"/>
          <w:rtl/>
        </w:rPr>
        <w:t>".</w:t>
      </w:r>
      <w:r>
        <w:rPr>
          <w:rFonts w:cs="Arial"/>
          <w:b/>
          <w:bCs/>
          <w:sz w:val="20"/>
          <w:szCs w:val="20"/>
          <w:rtl/>
        </w:rPr>
        <w:br/>
      </w:r>
      <w:r w:rsidRPr="00227CA0">
        <w:rPr>
          <w:b/>
          <w:bCs/>
          <w:sz w:val="20"/>
          <w:szCs w:val="20"/>
          <w:rtl/>
        </w:rPr>
        <w:br/>
      </w:r>
      <w:r w:rsidRPr="00227CA0">
        <w:rPr>
          <w:rFonts w:hint="cs"/>
          <w:b/>
          <w:bCs/>
          <w:sz w:val="20"/>
          <w:szCs w:val="20"/>
          <w:rtl/>
        </w:rPr>
        <w:t>פסיקת הלכה</w:t>
      </w:r>
      <w:r w:rsidRPr="00227CA0">
        <w:rPr>
          <w:b/>
          <w:bCs/>
          <w:sz w:val="20"/>
          <w:szCs w:val="20"/>
          <w:rtl/>
        </w:rPr>
        <w:br/>
      </w:r>
      <w:r w:rsidRPr="00227CA0">
        <w:rPr>
          <w:rFonts w:hint="cs"/>
          <w:b/>
          <w:bCs/>
          <w:sz w:val="20"/>
          <w:szCs w:val="20"/>
          <w:rtl/>
        </w:rPr>
        <w:t>שולחן ערוך</w:t>
      </w:r>
      <w:r>
        <w:rPr>
          <w:rFonts w:hint="cs"/>
          <w:sz w:val="20"/>
          <w:szCs w:val="20"/>
          <w:rtl/>
        </w:rPr>
        <w:t xml:space="preserve"> </w:t>
      </w:r>
      <w:r w:rsidRPr="00227CA0">
        <w:rPr>
          <w:rFonts w:hint="cs"/>
          <w:sz w:val="18"/>
          <w:szCs w:val="18"/>
          <w:rtl/>
        </w:rPr>
        <w:t>(ע"פ</w:t>
      </w:r>
      <w:r w:rsidRPr="00EC046B">
        <w:rPr>
          <w:rFonts w:hint="cs"/>
          <w:b/>
          <w:bCs/>
          <w:sz w:val="18"/>
          <w:szCs w:val="18"/>
          <w:rtl/>
        </w:rPr>
        <w:t xml:space="preserve"> הטור</w:t>
      </w:r>
      <w:r w:rsidRPr="00227CA0">
        <w:rPr>
          <w:rFonts w:hint="cs"/>
          <w:sz w:val="18"/>
          <w:szCs w:val="18"/>
          <w:rtl/>
        </w:rPr>
        <w:t xml:space="preserve">) </w:t>
      </w:r>
      <w:r>
        <w:rPr>
          <w:sz w:val="20"/>
          <w:szCs w:val="20"/>
          <w:rtl/>
        </w:rPr>
        <w:t>–</w:t>
      </w:r>
      <w:r>
        <w:rPr>
          <w:rFonts w:hint="cs"/>
          <w:sz w:val="20"/>
          <w:szCs w:val="20"/>
          <w:rtl/>
        </w:rPr>
        <w:t xml:space="preserve"> </w:t>
      </w:r>
      <w:r w:rsidRPr="00227CA0">
        <w:rPr>
          <w:rFonts w:hint="cs"/>
          <w:sz w:val="20"/>
          <w:szCs w:val="20"/>
          <w:rtl/>
        </w:rPr>
        <w:t>"</w:t>
      </w:r>
      <w:r w:rsidRPr="00227CA0">
        <w:rPr>
          <w:rFonts w:cs="Arial" w:hint="cs"/>
          <w:sz w:val="20"/>
          <w:szCs w:val="20"/>
          <w:rtl/>
        </w:rPr>
        <w:t>ראתה</w:t>
      </w:r>
      <w:r w:rsidRPr="00227CA0">
        <w:rPr>
          <w:rFonts w:cs="Arial"/>
          <w:sz w:val="20"/>
          <w:szCs w:val="20"/>
          <w:rtl/>
        </w:rPr>
        <w:t xml:space="preserve"> </w:t>
      </w:r>
      <w:r w:rsidRPr="00227CA0">
        <w:rPr>
          <w:rFonts w:cs="Arial" w:hint="cs"/>
          <w:sz w:val="20"/>
          <w:szCs w:val="20"/>
          <w:rtl/>
        </w:rPr>
        <w:t>באחד</w:t>
      </w:r>
      <w:r w:rsidRPr="00227CA0">
        <w:rPr>
          <w:rFonts w:cs="Arial"/>
          <w:sz w:val="20"/>
          <w:szCs w:val="20"/>
          <w:rtl/>
        </w:rPr>
        <w:t xml:space="preserve"> </w:t>
      </w:r>
      <w:r w:rsidRPr="00227CA0">
        <w:rPr>
          <w:rFonts w:cs="Arial" w:hint="cs"/>
          <w:sz w:val="20"/>
          <w:szCs w:val="20"/>
          <w:rtl/>
        </w:rPr>
        <w:t>בניסן</w:t>
      </w:r>
      <w:r w:rsidRPr="00227CA0">
        <w:rPr>
          <w:rFonts w:cs="Arial"/>
          <w:sz w:val="20"/>
          <w:szCs w:val="20"/>
          <w:rtl/>
        </w:rPr>
        <w:t xml:space="preserve"> </w:t>
      </w:r>
      <w:r w:rsidRPr="00227CA0">
        <w:rPr>
          <w:rFonts w:cs="Arial" w:hint="cs"/>
          <w:sz w:val="20"/>
          <w:szCs w:val="20"/>
          <w:rtl/>
        </w:rPr>
        <w:t>ובאחד</w:t>
      </w:r>
      <w:r w:rsidRPr="00227CA0">
        <w:rPr>
          <w:rFonts w:cs="Arial"/>
          <w:sz w:val="20"/>
          <w:szCs w:val="20"/>
          <w:rtl/>
        </w:rPr>
        <w:t xml:space="preserve"> </w:t>
      </w:r>
      <w:r w:rsidRPr="00227CA0">
        <w:rPr>
          <w:rFonts w:cs="Arial" w:hint="cs"/>
          <w:sz w:val="20"/>
          <w:szCs w:val="20"/>
          <w:rtl/>
        </w:rPr>
        <w:t>בסיון</w:t>
      </w:r>
      <w:r w:rsidRPr="00227CA0">
        <w:rPr>
          <w:rFonts w:cs="Arial"/>
          <w:sz w:val="20"/>
          <w:szCs w:val="20"/>
          <w:rtl/>
        </w:rPr>
        <w:t xml:space="preserve"> </w:t>
      </w:r>
      <w:r w:rsidRPr="00227CA0">
        <w:rPr>
          <w:rFonts w:cs="Arial" w:hint="cs"/>
          <w:sz w:val="20"/>
          <w:szCs w:val="20"/>
          <w:rtl/>
        </w:rPr>
        <w:t>ובא</w:t>
      </w:r>
      <w:r w:rsidRPr="00227CA0">
        <w:rPr>
          <w:rFonts w:cs="Arial"/>
          <w:sz w:val="20"/>
          <w:szCs w:val="20"/>
          <w:rtl/>
        </w:rPr>
        <w:t xml:space="preserve">' </w:t>
      </w:r>
      <w:r w:rsidRPr="00227CA0">
        <w:rPr>
          <w:rFonts w:cs="Arial" w:hint="cs"/>
          <w:sz w:val="20"/>
          <w:szCs w:val="20"/>
          <w:rtl/>
        </w:rPr>
        <w:t>באב</w:t>
      </w:r>
      <w:r w:rsidRPr="00227CA0">
        <w:rPr>
          <w:rFonts w:cs="Arial"/>
          <w:sz w:val="20"/>
          <w:szCs w:val="20"/>
          <w:rtl/>
        </w:rPr>
        <w:t xml:space="preserve">, </w:t>
      </w:r>
      <w:r w:rsidRPr="00227CA0">
        <w:rPr>
          <w:rFonts w:cs="Arial" w:hint="cs"/>
          <w:sz w:val="20"/>
          <w:szCs w:val="20"/>
          <w:rtl/>
        </w:rPr>
        <w:t>קבעה</w:t>
      </w:r>
      <w:r w:rsidRPr="00227CA0">
        <w:rPr>
          <w:rFonts w:cs="Arial"/>
          <w:sz w:val="20"/>
          <w:szCs w:val="20"/>
          <w:rtl/>
        </w:rPr>
        <w:t xml:space="preserve"> </w:t>
      </w:r>
      <w:r w:rsidRPr="00227CA0">
        <w:rPr>
          <w:rFonts w:cs="Arial" w:hint="cs"/>
          <w:sz w:val="20"/>
          <w:szCs w:val="20"/>
          <w:rtl/>
        </w:rPr>
        <w:t>לה</w:t>
      </w:r>
      <w:r w:rsidRPr="00227CA0">
        <w:rPr>
          <w:rFonts w:cs="Arial"/>
          <w:sz w:val="20"/>
          <w:szCs w:val="20"/>
          <w:rtl/>
        </w:rPr>
        <w:t xml:space="preserve"> </w:t>
      </w:r>
      <w:r w:rsidRPr="00227CA0">
        <w:rPr>
          <w:rFonts w:cs="Arial" w:hint="cs"/>
          <w:sz w:val="20"/>
          <w:szCs w:val="20"/>
          <w:rtl/>
        </w:rPr>
        <w:t>וסת</w:t>
      </w:r>
      <w:r w:rsidRPr="00227CA0">
        <w:rPr>
          <w:rFonts w:cs="Arial"/>
          <w:sz w:val="20"/>
          <w:szCs w:val="20"/>
          <w:rtl/>
        </w:rPr>
        <w:t xml:space="preserve"> </w:t>
      </w:r>
      <w:r w:rsidRPr="00227CA0">
        <w:rPr>
          <w:rFonts w:cs="Arial" w:hint="cs"/>
          <w:sz w:val="20"/>
          <w:szCs w:val="20"/>
          <w:rtl/>
        </w:rPr>
        <w:t>לר</w:t>
      </w:r>
      <w:r w:rsidRPr="00227CA0">
        <w:rPr>
          <w:rFonts w:cs="Arial"/>
          <w:sz w:val="20"/>
          <w:szCs w:val="20"/>
          <w:rtl/>
        </w:rPr>
        <w:t>"</w:t>
      </w:r>
      <w:r w:rsidRPr="00227CA0">
        <w:rPr>
          <w:rFonts w:cs="Arial" w:hint="cs"/>
          <w:sz w:val="20"/>
          <w:szCs w:val="20"/>
          <w:rtl/>
        </w:rPr>
        <w:t>ח</w:t>
      </w:r>
      <w:r w:rsidRPr="00227CA0">
        <w:rPr>
          <w:rFonts w:cs="Arial"/>
          <w:sz w:val="20"/>
          <w:szCs w:val="20"/>
          <w:rtl/>
        </w:rPr>
        <w:t xml:space="preserve"> </w:t>
      </w:r>
      <w:r w:rsidRPr="00227CA0">
        <w:rPr>
          <w:rFonts w:cs="Arial" w:hint="cs"/>
          <w:sz w:val="20"/>
          <w:szCs w:val="20"/>
          <w:rtl/>
        </w:rPr>
        <w:t>לדילוגים</w:t>
      </w:r>
      <w:r w:rsidRPr="00227CA0">
        <w:rPr>
          <w:rFonts w:cs="Arial"/>
          <w:sz w:val="20"/>
          <w:szCs w:val="20"/>
          <w:rtl/>
        </w:rPr>
        <w:t xml:space="preserve">, </w:t>
      </w:r>
      <w:r w:rsidRPr="00227CA0">
        <w:rPr>
          <w:rFonts w:cs="Arial" w:hint="cs"/>
          <w:sz w:val="20"/>
          <w:szCs w:val="20"/>
          <w:rtl/>
        </w:rPr>
        <w:t>אבל</w:t>
      </w:r>
      <w:r w:rsidRPr="00227CA0">
        <w:rPr>
          <w:rFonts w:cs="Arial"/>
          <w:sz w:val="20"/>
          <w:szCs w:val="20"/>
          <w:rtl/>
        </w:rPr>
        <w:t xml:space="preserve"> </w:t>
      </w:r>
      <w:r w:rsidRPr="00227CA0">
        <w:rPr>
          <w:rFonts w:cs="Arial" w:hint="cs"/>
          <w:sz w:val="20"/>
          <w:szCs w:val="20"/>
          <w:rtl/>
        </w:rPr>
        <w:t>ראתה</w:t>
      </w:r>
      <w:r w:rsidRPr="00227CA0">
        <w:rPr>
          <w:rFonts w:cs="Arial"/>
          <w:sz w:val="20"/>
          <w:szCs w:val="20"/>
          <w:rtl/>
        </w:rPr>
        <w:t xml:space="preserve"> </w:t>
      </w:r>
      <w:r w:rsidRPr="00227CA0">
        <w:rPr>
          <w:rFonts w:cs="Arial" w:hint="cs"/>
          <w:sz w:val="20"/>
          <w:szCs w:val="20"/>
          <w:rtl/>
        </w:rPr>
        <w:t>באחד</w:t>
      </w:r>
      <w:r w:rsidRPr="00227CA0">
        <w:rPr>
          <w:rFonts w:cs="Arial"/>
          <w:sz w:val="20"/>
          <w:szCs w:val="20"/>
          <w:rtl/>
        </w:rPr>
        <w:t xml:space="preserve"> </w:t>
      </w:r>
      <w:r w:rsidRPr="00227CA0">
        <w:rPr>
          <w:rFonts w:cs="Arial" w:hint="cs"/>
          <w:sz w:val="20"/>
          <w:szCs w:val="20"/>
          <w:rtl/>
        </w:rPr>
        <w:t>בניסן</w:t>
      </w:r>
      <w:r w:rsidRPr="00227CA0">
        <w:rPr>
          <w:rFonts w:cs="Arial"/>
          <w:sz w:val="20"/>
          <w:szCs w:val="20"/>
          <w:rtl/>
        </w:rPr>
        <w:t xml:space="preserve"> </w:t>
      </w:r>
      <w:r w:rsidRPr="00227CA0">
        <w:rPr>
          <w:rFonts w:cs="Arial" w:hint="cs"/>
          <w:sz w:val="20"/>
          <w:szCs w:val="20"/>
          <w:rtl/>
        </w:rPr>
        <w:t>ובאחד</w:t>
      </w:r>
      <w:r w:rsidRPr="00227CA0">
        <w:rPr>
          <w:rFonts w:cs="Arial"/>
          <w:sz w:val="20"/>
          <w:szCs w:val="20"/>
          <w:rtl/>
        </w:rPr>
        <w:t xml:space="preserve"> </w:t>
      </w:r>
      <w:r w:rsidRPr="00227CA0">
        <w:rPr>
          <w:rFonts w:cs="Arial" w:hint="cs"/>
          <w:sz w:val="20"/>
          <w:szCs w:val="20"/>
          <w:rtl/>
        </w:rPr>
        <w:t>באייר</w:t>
      </w:r>
      <w:r w:rsidRPr="00227CA0">
        <w:rPr>
          <w:rFonts w:cs="Arial"/>
          <w:sz w:val="20"/>
          <w:szCs w:val="20"/>
          <w:rtl/>
        </w:rPr>
        <w:t xml:space="preserve"> </w:t>
      </w:r>
      <w:r w:rsidRPr="00227CA0">
        <w:rPr>
          <w:rFonts w:cs="Arial" w:hint="cs"/>
          <w:sz w:val="20"/>
          <w:szCs w:val="20"/>
          <w:rtl/>
        </w:rPr>
        <w:t>ובאחד</w:t>
      </w:r>
      <w:r w:rsidRPr="00227CA0">
        <w:rPr>
          <w:rFonts w:cs="Arial"/>
          <w:sz w:val="20"/>
          <w:szCs w:val="20"/>
          <w:rtl/>
        </w:rPr>
        <w:t xml:space="preserve"> </w:t>
      </w:r>
      <w:r w:rsidRPr="00227CA0">
        <w:rPr>
          <w:rFonts w:cs="Arial" w:hint="cs"/>
          <w:sz w:val="20"/>
          <w:szCs w:val="20"/>
          <w:rtl/>
        </w:rPr>
        <w:t>בתמוז</w:t>
      </w:r>
      <w:r w:rsidRPr="00227CA0">
        <w:rPr>
          <w:rFonts w:cs="Arial"/>
          <w:sz w:val="20"/>
          <w:szCs w:val="20"/>
          <w:rtl/>
        </w:rPr>
        <w:t xml:space="preserve">, </w:t>
      </w:r>
      <w:r w:rsidRPr="00227CA0">
        <w:rPr>
          <w:rFonts w:cs="Arial" w:hint="cs"/>
          <w:sz w:val="20"/>
          <w:szCs w:val="20"/>
          <w:rtl/>
        </w:rPr>
        <w:t>ובאחד</w:t>
      </w:r>
      <w:r w:rsidRPr="00227CA0">
        <w:rPr>
          <w:rFonts w:cs="Arial"/>
          <w:sz w:val="20"/>
          <w:szCs w:val="20"/>
          <w:rtl/>
        </w:rPr>
        <w:t xml:space="preserve"> </w:t>
      </w:r>
      <w:r w:rsidRPr="00227CA0">
        <w:rPr>
          <w:rFonts w:cs="Arial" w:hint="cs"/>
          <w:sz w:val="20"/>
          <w:szCs w:val="20"/>
          <w:rtl/>
        </w:rPr>
        <w:t>בסיון</w:t>
      </w:r>
      <w:r w:rsidRPr="00227CA0">
        <w:rPr>
          <w:rFonts w:cs="Arial"/>
          <w:sz w:val="20"/>
          <w:szCs w:val="20"/>
          <w:rtl/>
        </w:rPr>
        <w:t xml:space="preserve"> </w:t>
      </w:r>
      <w:r w:rsidRPr="00227CA0">
        <w:rPr>
          <w:rFonts w:cs="Arial" w:hint="cs"/>
          <w:sz w:val="20"/>
          <w:szCs w:val="20"/>
          <w:rtl/>
        </w:rPr>
        <w:t>לא</w:t>
      </w:r>
      <w:r w:rsidRPr="00227CA0">
        <w:rPr>
          <w:rFonts w:cs="Arial"/>
          <w:sz w:val="20"/>
          <w:szCs w:val="20"/>
          <w:rtl/>
        </w:rPr>
        <w:t xml:space="preserve"> </w:t>
      </w:r>
      <w:r w:rsidRPr="00227CA0">
        <w:rPr>
          <w:rFonts w:cs="Arial" w:hint="cs"/>
          <w:sz w:val="20"/>
          <w:szCs w:val="20"/>
          <w:rtl/>
        </w:rPr>
        <w:t>ראתה</w:t>
      </w:r>
      <w:r w:rsidRPr="00227CA0">
        <w:rPr>
          <w:rFonts w:cs="Arial"/>
          <w:sz w:val="20"/>
          <w:szCs w:val="20"/>
          <w:rtl/>
        </w:rPr>
        <w:t xml:space="preserve">, </w:t>
      </w:r>
      <w:r w:rsidRPr="00227CA0">
        <w:rPr>
          <w:rFonts w:cs="Arial" w:hint="cs"/>
          <w:sz w:val="20"/>
          <w:szCs w:val="20"/>
          <w:rtl/>
        </w:rPr>
        <w:t>לא</w:t>
      </w:r>
      <w:r w:rsidRPr="00227CA0">
        <w:rPr>
          <w:rFonts w:cs="Arial"/>
          <w:sz w:val="20"/>
          <w:szCs w:val="20"/>
          <w:rtl/>
        </w:rPr>
        <w:t xml:space="preserve"> </w:t>
      </w:r>
      <w:r w:rsidRPr="00227CA0">
        <w:rPr>
          <w:rFonts w:cs="Arial" w:hint="cs"/>
          <w:sz w:val="20"/>
          <w:szCs w:val="20"/>
          <w:rtl/>
        </w:rPr>
        <w:t>קבעה</w:t>
      </w:r>
      <w:r w:rsidRPr="00227CA0">
        <w:rPr>
          <w:rFonts w:cs="Arial"/>
          <w:sz w:val="20"/>
          <w:szCs w:val="20"/>
          <w:rtl/>
        </w:rPr>
        <w:t xml:space="preserve"> </w:t>
      </w:r>
      <w:r w:rsidRPr="00227CA0">
        <w:rPr>
          <w:rFonts w:cs="Arial" w:hint="cs"/>
          <w:sz w:val="20"/>
          <w:szCs w:val="20"/>
          <w:rtl/>
        </w:rPr>
        <w:t>לה</w:t>
      </w:r>
      <w:r w:rsidRPr="00227CA0">
        <w:rPr>
          <w:rFonts w:cs="Arial"/>
          <w:sz w:val="20"/>
          <w:szCs w:val="20"/>
          <w:rtl/>
        </w:rPr>
        <w:t xml:space="preserve"> </w:t>
      </w:r>
      <w:r w:rsidRPr="00227CA0">
        <w:rPr>
          <w:rFonts w:cs="Arial" w:hint="cs"/>
          <w:sz w:val="20"/>
          <w:szCs w:val="20"/>
          <w:rtl/>
        </w:rPr>
        <w:t>וסת".</w:t>
      </w:r>
      <w:r>
        <w:rPr>
          <w:b/>
          <w:bCs/>
          <w:sz w:val="20"/>
          <w:szCs w:val="20"/>
          <w:rtl/>
        </w:rPr>
        <w:br/>
      </w:r>
      <w:r>
        <w:rPr>
          <w:rFonts w:hint="cs"/>
          <w:b/>
          <w:bCs/>
          <w:sz w:val="20"/>
          <w:szCs w:val="20"/>
          <w:rtl/>
        </w:rPr>
        <w:br/>
      </w:r>
      <w:r w:rsidRPr="00227CA0">
        <w:rPr>
          <w:rFonts w:hint="cs"/>
          <w:sz w:val="20"/>
          <w:szCs w:val="20"/>
          <w:u w:val="single"/>
          <w:rtl/>
        </w:rPr>
        <w:t>ה</w:t>
      </w:r>
      <w:r>
        <w:rPr>
          <w:rFonts w:hint="cs"/>
          <w:sz w:val="20"/>
          <w:szCs w:val="20"/>
          <w:u w:val="single"/>
          <w:rtl/>
        </w:rPr>
        <w:t>אם דין</w:t>
      </w:r>
      <w:r w:rsidRPr="00227CA0">
        <w:rPr>
          <w:rFonts w:hint="cs"/>
          <w:sz w:val="20"/>
          <w:szCs w:val="20"/>
          <w:u w:val="single"/>
          <w:rtl/>
        </w:rPr>
        <w:t xml:space="preserve"> זה נכון גם לשמואל?</w:t>
      </w:r>
      <w:r>
        <w:rPr>
          <w:rFonts w:hint="cs"/>
          <w:sz w:val="20"/>
          <w:szCs w:val="20"/>
          <w:rtl/>
        </w:rPr>
        <w:t xml:space="preserve"> </w:t>
      </w:r>
      <w:r>
        <w:rPr>
          <w:sz w:val="20"/>
          <w:szCs w:val="20"/>
          <w:rtl/>
        </w:rPr>
        <w:br/>
      </w:r>
      <w:r>
        <w:rPr>
          <w:rFonts w:hint="cs"/>
          <w:sz w:val="20"/>
          <w:szCs w:val="20"/>
          <w:rtl/>
        </w:rPr>
        <w:t xml:space="preserve">א. </w:t>
      </w:r>
      <w:r w:rsidRPr="00A16A22">
        <w:rPr>
          <w:rFonts w:hint="cs"/>
          <w:b/>
          <w:bCs/>
          <w:sz w:val="20"/>
          <w:szCs w:val="20"/>
          <w:rtl/>
        </w:rPr>
        <w:t>דרישה</w:t>
      </w:r>
      <w:r>
        <w:rPr>
          <w:rFonts w:hint="cs"/>
          <w:sz w:val="20"/>
          <w:szCs w:val="20"/>
          <w:rtl/>
        </w:rPr>
        <w:t xml:space="preserve"> </w:t>
      </w:r>
      <w:r>
        <w:rPr>
          <w:sz w:val="20"/>
          <w:szCs w:val="20"/>
          <w:rtl/>
        </w:rPr>
        <w:t>–</w:t>
      </w:r>
      <w:r>
        <w:rPr>
          <w:rFonts w:hint="cs"/>
          <w:sz w:val="20"/>
          <w:szCs w:val="20"/>
          <w:rtl/>
        </w:rPr>
        <w:t xml:space="preserve"> דברי המחבר ברישא הם אליבא דרב הסובר שווסת הדילוג נקבע בשלוש ראיות, אי נמי אליבא דשמואל וכגון שהיה לה ווסת קבוע קודם לכן.</w:t>
      </w:r>
      <w:r>
        <w:rPr>
          <w:sz w:val="20"/>
          <w:szCs w:val="20"/>
          <w:rtl/>
        </w:rPr>
        <w:br/>
      </w:r>
      <w:r>
        <w:rPr>
          <w:rFonts w:hint="cs"/>
          <w:sz w:val="20"/>
          <w:szCs w:val="20"/>
          <w:rtl/>
        </w:rPr>
        <w:t xml:space="preserve">ב. </w:t>
      </w:r>
      <w:r w:rsidRPr="00A16A22">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דברי הדרישה אינם נכונים, אלא דברי המחבר כאן אליבא דכו"ע.</w:t>
      </w:r>
      <w:r>
        <w:rPr>
          <w:sz w:val="20"/>
          <w:szCs w:val="20"/>
          <w:rtl/>
        </w:rPr>
        <w:br/>
      </w:r>
      <w:r w:rsidRPr="00A16A22">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ראיותיה של אשה זו הן רק בר"ח, וכפי שאין מחלוקת כשראתה ג' ראשי חודשים רצופים, כך הדין כאן.</w:t>
      </w:r>
    </w:p>
    <w:p w:rsidR="00620060"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7E1D95">
        <w:rPr>
          <w:rFonts w:hint="cs"/>
          <w:b/>
          <w:bCs/>
          <w:sz w:val="20"/>
          <w:szCs w:val="20"/>
          <w:rtl/>
        </w:rPr>
        <w:t>שו"ע</w:t>
      </w:r>
      <w:r>
        <w:rPr>
          <w:rFonts w:hint="cs"/>
          <w:sz w:val="20"/>
          <w:szCs w:val="20"/>
          <w:rtl/>
        </w:rPr>
        <w:t xml:space="preserve">. ראתה א' ניסן, א' סיון וא' אב </w:t>
      </w:r>
      <w:r>
        <w:rPr>
          <w:sz w:val="20"/>
          <w:szCs w:val="20"/>
          <w:rtl/>
        </w:rPr>
        <w:t>–</w:t>
      </w:r>
      <w:r>
        <w:rPr>
          <w:rFonts w:hint="cs"/>
          <w:sz w:val="20"/>
          <w:szCs w:val="20"/>
          <w:rtl/>
        </w:rPr>
        <w:t xml:space="preserve"> קבעה ווסת לדילוגי ר"ח. ראתה א' ניסן, א' אייר וא' תמוז </w:t>
      </w:r>
      <w:r>
        <w:rPr>
          <w:sz w:val="20"/>
          <w:szCs w:val="20"/>
          <w:rtl/>
        </w:rPr>
        <w:t>–</w:t>
      </w:r>
      <w:r>
        <w:rPr>
          <w:rFonts w:hint="cs"/>
          <w:sz w:val="20"/>
          <w:szCs w:val="20"/>
          <w:rtl/>
        </w:rPr>
        <w:t xml:space="preserve"> לא קבעה.</w:t>
      </w:r>
      <w:r>
        <w:rPr>
          <w:sz w:val="20"/>
          <w:szCs w:val="20"/>
          <w:rtl/>
        </w:rPr>
        <w:br/>
      </w:r>
      <w:r>
        <w:rPr>
          <w:rFonts w:hint="cs"/>
          <w:sz w:val="20"/>
          <w:szCs w:val="20"/>
          <w:rtl/>
        </w:rPr>
        <w:t xml:space="preserve">2. </w:t>
      </w:r>
      <w:r w:rsidRPr="007E1D95">
        <w:rPr>
          <w:rFonts w:hint="cs"/>
          <w:b/>
          <w:bCs/>
          <w:sz w:val="20"/>
          <w:szCs w:val="20"/>
          <w:rtl/>
        </w:rPr>
        <w:t>דרישה</w:t>
      </w:r>
      <w:r>
        <w:rPr>
          <w:rFonts w:hint="cs"/>
          <w:sz w:val="20"/>
          <w:szCs w:val="20"/>
          <w:rtl/>
        </w:rPr>
        <w:t>. דברי המחבר ברישא שקבעה ווסת הם לשיטת רב, א"נ לשמואל וכגון שהיה לה ווסת קבוע לפני כן.</w:t>
      </w:r>
      <w:r>
        <w:rPr>
          <w:sz w:val="20"/>
          <w:szCs w:val="20"/>
          <w:rtl/>
        </w:rPr>
        <w:br/>
      </w:r>
      <w:r>
        <w:rPr>
          <w:rFonts w:hint="cs"/>
          <w:sz w:val="20"/>
          <w:szCs w:val="20"/>
          <w:rtl/>
        </w:rPr>
        <w:t xml:space="preserve">3. </w:t>
      </w:r>
      <w:r w:rsidRPr="007E1D95">
        <w:rPr>
          <w:rFonts w:hint="cs"/>
          <w:b/>
          <w:bCs/>
          <w:sz w:val="20"/>
          <w:szCs w:val="20"/>
          <w:rtl/>
        </w:rPr>
        <w:t>ש"ך</w:t>
      </w:r>
      <w:r>
        <w:rPr>
          <w:rFonts w:hint="cs"/>
          <w:sz w:val="20"/>
          <w:szCs w:val="20"/>
          <w:rtl/>
        </w:rPr>
        <w:t xml:space="preserve">. דברי המחבר אליבא דכו"ע. </w:t>
      </w:r>
      <w:r w:rsidRPr="007E1D95">
        <w:rPr>
          <w:rFonts w:hint="cs"/>
          <w:b/>
          <w:bCs/>
          <w:sz w:val="20"/>
          <w:szCs w:val="20"/>
          <w:rtl/>
        </w:rPr>
        <w:t>טעם</w:t>
      </w:r>
      <w:r>
        <w:rPr>
          <w:rFonts w:hint="cs"/>
          <w:sz w:val="20"/>
          <w:szCs w:val="20"/>
          <w:rtl/>
        </w:rPr>
        <w:t>. ראיותיה רק לר"ח וליכא פלוגתא בהכי.</w:t>
      </w:r>
    </w:p>
    <w:p w:rsidR="00620060" w:rsidRDefault="00620060" w:rsidP="00620060">
      <w:pPr>
        <w:rPr>
          <w:sz w:val="20"/>
          <w:szCs w:val="20"/>
          <w:rtl/>
        </w:rPr>
      </w:pPr>
      <w:r>
        <w:rPr>
          <w:sz w:val="20"/>
          <w:szCs w:val="20"/>
          <w:rtl/>
        </w:rPr>
        <w:lastRenderedPageBreak/>
        <w:br/>
      </w:r>
      <w:r>
        <w:rPr>
          <w:rFonts w:hint="cs"/>
          <w:b/>
          <w:bCs/>
          <w:sz w:val="20"/>
          <w:szCs w:val="20"/>
          <w:rtl/>
        </w:rPr>
        <w:t xml:space="preserve">סעיף י </w:t>
      </w:r>
      <w:r>
        <w:rPr>
          <w:b/>
          <w:bCs/>
          <w:sz w:val="20"/>
          <w:szCs w:val="20"/>
          <w:rtl/>
        </w:rPr>
        <w:t>–</w:t>
      </w:r>
      <w:r>
        <w:rPr>
          <w:rFonts w:hint="cs"/>
          <w:b/>
          <w:bCs/>
          <w:sz w:val="20"/>
          <w:szCs w:val="20"/>
          <w:rtl/>
        </w:rPr>
        <w:t xml:space="preserve"> אופן בו לא נקבע ווסת הדילוג</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גמרא </w:t>
      </w:r>
      <w:r>
        <w:rPr>
          <w:rFonts w:hint="cs"/>
          <w:sz w:val="20"/>
          <w:szCs w:val="20"/>
          <w:rtl/>
        </w:rPr>
        <w:t>נידה (סד.) "</w:t>
      </w:r>
      <w:r w:rsidRPr="00CD6D77">
        <w:rPr>
          <w:rFonts w:cs="Arial" w:hint="cs"/>
          <w:sz w:val="20"/>
          <w:szCs w:val="20"/>
          <w:rtl/>
        </w:rPr>
        <w:t>ראתה</w:t>
      </w:r>
      <w:r w:rsidRPr="00CD6D77">
        <w:rPr>
          <w:rFonts w:cs="Arial"/>
          <w:sz w:val="20"/>
          <w:szCs w:val="20"/>
          <w:rtl/>
        </w:rPr>
        <w:t xml:space="preserve"> </w:t>
      </w:r>
      <w:r w:rsidRPr="00CD6D77">
        <w:rPr>
          <w:rFonts w:cs="Arial" w:hint="cs"/>
          <w:sz w:val="20"/>
          <w:szCs w:val="20"/>
          <w:rtl/>
        </w:rPr>
        <w:t>יום</w:t>
      </w:r>
      <w:r w:rsidRPr="00CD6D77">
        <w:rPr>
          <w:rFonts w:cs="Arial"/>
          <w:sz w:val="20"/>
          <w:szCs w:val="20"/>
          <w:rtl/>
        </w:rPr>
        <w:t xml:space="preserve"> </w:t>
      </w:r>
      <w:r w:rsidRPr="00CD6D77">
        <w:rPr>
          <w:rFonts w:cs="Arial" w:hint="cs"/>
          <w:sz w:val="20"/>
          <w:szCs w:val="20"/>
          <w:rtl/>
        </w:rPr>
        <w:t>עשרים</w:t>
      </w:r>
      <w:r w:rsidRPr="00CD6D77">
        <w:rPr>
          <w:rFonts w:cs="Arial"/>
          <w:sz w:val="20"/>
          <w:szCs w:val="20"/>
          <w:rtl/>
        </w:rPr>
        <w:t xml:space="preserve"> </w:t>
      </w:r>
      <w:r w:rsidRPr="00CD6D77">
        <w:rPr>
          <w:rFonts w:cs="Arial" w:hint="cs"/>
          <w:sz w:val="20"/>
          <w:szCs w:val="20"/>
          <w:rtl/>
        </w:rPr>
        <w:t>ואחד</w:t>
      </w:r>
      <w:r w:rsidRPr="00CD6D77">
        <w:rPr>
          <w:rFonts w:cs="Arial"/>
          <w:sz w:val="20"/>
          <w:szCs w:val="20"/>
          <w:rtl/>
        </w:rPr>
        <w:t xml:space="preserve"> </w:t>
      </w:r>
      <w:r w:rsidRPr="00CD6D77">
        <w:rPr>
          <w:rFonts w:cs="Arial" w:hint="cs"/>
          <w:sz w:val="20"/>
          <w:szCs w:val="20"/>
          <w:rtl/>
        </w:rPr>
        <w:t>בחדש</w:t>
      </w:r>
      <w:r w:rsidRPr="00CD6D77">
        <w:rPr>
          <w:rFonts w:cs="Arial"/>
          <w:sz w:val="20"/>
          <w:szCs w:val="20"/>
          <w:rtl/>
        </w:rPr>
        <w:t xml:space="preserve"> </w:t>
      </w:r>
      <w:r w:rsidRPr="00CD6D77">
        <w:rPr>
          <w:rFonts w:cs="Arial" w:hint="cs"/>
          <w:sz w:val="20"/>
          <w:szCs w:val="20"/>
          <w:rtl/>
        </w:rPr>
        <w:t>זה</w:t>
      </w:r>
      <w:r w:rsidRPr="00CD6D77">
        <w:rPr>
          <w:rFonts w:cs="Arial"/>
          <w:sz w:val="20"/>
          <w:szCs w:val="20"/>
          <w:rtl/>
        </w:rPr>
        <w:t xml:space="preserve">, </w:t>
      </w:r>
      <w:r w:rsidRPr="00CD6D77">
        <w:rPr>
          <w:rFonts w:cs="Arial" w:hint="cs"/>
          <w:sz w:val="20"/>
          <w:szCs w:val="20"/>
          <w:rtl/>
        </w:rPr>
        <w:t>יום</w:t>
      </w:r>
      <w:r w:rsidRPr="00CD6D77">
        <w:rPr>
          <w:rFonts w:cs="Arial"/>
          <w:sz w:val="20"/>
          <w:szCs w:val="20"/>
          <w:rtl/>
        </w:rPr>
        <w:t xml:space="preserve"> </w:t>
      </w:r>
      <w:r w:rsidRPr="00CD6D77">
        <w:rPr>
          <w:rFonts w:cs="Arial" w:hint="cs"/>
          <w:sz w:val="20"/>
          <w:szCs w:val="20"/>
          <w:rtl/>
        </w:rPr>
        <w:t>עשרים</w:t>
      </w:r>
      <w:r w:rsidRPr="00CD6D77">
        <w:rPr>
          <w:rFonts w:cs="Arial"/>
          <w:sz w:val="20"/>
          <w:szCs w:val="20"/>
          <w:rtl/>
        </w:rPr>
        <w:t xml:space="preserve"> </w:t>
      </w:r>
      <w:r w:rsidRPr="00CD6D77">
        <w:rPr>
          <w:rFonts w:cs="Arial" w:hint="cs"/>
          <w:sz w:val="20"/>
          <w:szCs w:val="20"/>
          <w:rtl/>
        </w:rPr>
        <w:t>ושנ</w:t>
      </w:r>
      <w:r>
        <w:rPr>
          <w:rFonts w:cs="Arial" w:hint="cs"/>
          <w:sz w:val="20"/>
          <w:szCs w:val="20"/>
          <w:rtl/>
        </w:rPr>
        <w:t>י</w:t>
      </w:r>
      <w:r w:rsidRPr="00CD6D77">
        <w:rPr>
          <w:rFonts w:cs="Arial" w:hint="cs"/>
          <w:sz w:val="20"/>
          <w:szCs w:val="20"/>
          <w:rtl/>
        </w:rPr>
        <w:t>ים</w:t>
      </w:r>
      <w:r w:rsidRPr="00CD6D77">
        <w:rPr>
          <w:rFonts w:cs="Arial"/>
          <w:sz w:val="20"/>
          <w:szCs w:val="20"/>
          <w:rtl/>
        </w:rPr>
        <w:t xml:space="preserve"> </w:t>
      </w:r>
      <w:r w:rsidRPr="00CD6D77">
        <w:rPr>
          <w:rFonts w:cs="Arial" w:hint="cs"/>
          <w:sz w:val="20"/>
          <w:szCs w:val="20"/>
          <w:rtl/>
        </w:rPr>
        <w:t>בחדש</w:t>
      </w:r>
      <w:r w:rsidRPr="00CD6D77">
        <w:rPr>
          <w:rFonts w:cs="Arial"/>
          <w:sz w:val="20"/>
          <w:szCs w:val="20"/>
          <w:rtl/>
        </w:rPr>
        <w:t xml:space="preserve"> </w:t>
      </w:r>
      <w:r w:rsidRPr="00CD6D77">
        <w:rPr>
          <w:rFonts w:cs="Arial" w:hint="cs"/>
          <w:sz w:val="20"/>
          <w:szCs w:val="20"/>
          <w:rtl/>
        </w:rPr>
        <w:t>זה</w:t>
      </w:r>
      <w:r w:rsidRPr="00CD6D77">
        <w:rPr>
          <w:rFonts w:cs="Arial"/>
          <w:sz w:val="20"/>
          <w:szCs w:val="20"/>
          <w:rtl/>
        </w:rPr>
        <w:t xml:space="preserve">, </w:t>
      </w:r>
      <w:r w:rsidRPr="00CD6D77">
        <w:rPr>
          <w:rFonts w:cs="Arial" w:hint="cs"/>
          <w:sz w:val="20"/>
          <w:szCs w:val="20"/>
          <w:rtl/>
        </w:rPr>
        <w:t>יום</w:t>
      </w:r>
      <w:r w:rsidRPr="00CD6D77">
        <w:rPr>
          <w:rFonts w:cs="Arial"/>
          <w:sz w:val="20"/>
          <w:szCs w:val="20"/>
          <w:rtl/>
        </w:rPr>
        <w:t xml:space="preserve"> </w:t>
      </w:r>
      <w:r w:rsidRPr="00CD6D77">
        <w:rPr>
          <w:rFonts w:cs="Arial" w:hint="cs"/>
          <w:sz w:val="20"/>
          <w:szCs w:val="20"/>
          <w:rtl/>
        </w:rPr>
        <w:t>עשרים</w:t>
      </w:r>
      <w:r w:rsidRPr="00CD6D77">
        <w:rPr>
          <w:rFonts w:cs="Arial"/>
          <w:sz w:val="20"/>
          <w:szCs w:val="20"/>
          <w:rtl/>
        </w:rPr>
        <w:t xml:space="preserve"> </w:t>
      </w:r>
      <w:r w:rsidRPr="00CD6D77">
        <w:rPr>
          <w:rFonts w:cs="Arial" w:hint="cs"/>
          <w:sz w:val="20"/>
          <w:szCs w:val="20"/>
          <w:rtl/>
        </w:rPr>
        <w:t>ושל</w:t>
      </w:r>
      <w:r>
        <w:rPr>
          <w:rFonts w:cs="Arial" w:hint="cs"/>
          <w:sz w:val="20"/>
          <w:szCs w:val="20"/>
          <w:rtl/>
        </w:rPr>
        <w:t>ו</w:t>
      </w:r>
      <w:r w:rsidRPr="00CD6D77">
        <w:rPr>
          <w:rFonts w:cs="Arial" w:hint="cs"/>
          <w:sz w:val="20"/>
          <w:szCs w:val="20"/>
          <w:rtl/>
        </w:rPr>
        <w:t>שה</w:t>
      </w:r>
      <w:r w:rsidRPr="00CD6D77">
        <w:rPr>
          <w:rFonts w:cs="Arial"/>
          <w:sz w:val="20"/>
          <w:szCs w:val="20"/>
          <w:rtl/>
        </w:rPr>
        <w:t xml:space="preserve"> </w:t>
      </w:r>
      <w:r w:rsidRPr="00CD6D77">
        <w:rPr>
          <w:rFonts w:cs="Arial" w:hint="cs"/>
          <w:sz w:val="20"/>
          <w:szCs w:val="20"/>
          <w:rtl/>
        </w:rPr>
        <w:t>בח</w:t>
      </w:r>
      <w:r>
        <w:rPr>
          <w:rFonts w:cs="Arial" w:hint="cs"/>
          <w:sz w:val="20"/>
          <w:szCs w:val="20"/>
          <w:rtl/>
        </w:rPr>
        <w:t>ו</w:t>
      </w:r>
      <w:r w:rsidRPr="00CD6D77">
        <w:rPr>
          <w:rFonts w:cs="Arial" w:hint="cs"/>
          <w:sz w:val="20"/>
          <w:szCs w:val="20"/>
          <w:rtl/>
        </w:rPr>
        <w:t>דש</w:t>
      </w:r>
      <w:r w:rsidRPr="00CD6D77">
        <w:rPr>
          <w:rFonts w:cs="Arial"/>
          <w:sz w:val="20"/>
          <w:szCs w:val="20"/>
          <w:rtl/>
        </w:rPr>
        <w:t xml:space="preserve"> </w:t>
      </w:r>
      <w:r w:rsidRPr="00CD6D77">
        <w:rPr>
          <w:rFonts w:cs="Arial" w:hint="cs"/>
          <w:sz w:val="20"/>
          <w:szCs w:val="20"/>
          <w:rtl/>
        </w:rPr>
        <w:t>זה</w:t>
      </w:r>
      <w:r w:rsidRPr="00CD6D77">
        <w:rPr>
          <w:rFonts w:cs="Arial"/>
          <w:sz w:val="20"/>
          <w:szCs w:val="20"/>
          <w:rtl/>
        </w:rPr>
        <w:t xml:space="preserve"> - </w:t>
      </w:r>
      <w:r w:rsidRPr="00CD6D77">
        <w:rPr>
          <w:rFonts w:cs="Arial" w:hint="cs"/>
          <w:sz w:val="20"/>
          <w:szCs w:val="20"/>
          <w:rtl/>
        </w:rPr>
        <w:t>קבעה</w:t>
      </w:r>
      <w:r w:rsidRPr="00CD6D77">
        <w:rPr>
          <w:rFonts w:cs="Arial"/>
          <w:sz w:val="20"/>
          <w:szCs w:val="20"/>
          <w:rtl/>
        </w:rPr>
        <w:t xml:space="preserve"> </w:t>
      </w:r>
      <w:r w:rsidRPr="00CD6D77">
        <w:rPr>
          <w:rFonts w:cs="Arial" w:hint="cs"/>
          <w:sz w:val="20"/>
          <w:szCs w:val="20"/>
          <w:rtl/>
        </w:rPr>
        <w:t>לה</w:t>
      </w:r>
      <w:r w:rsidRPr="00CD6D77">
        <w:rPr>
          <w:rFonts w:cs="Arial"/>
          <w:sz w:val="20"/>
          <w:szCs w:val="20"/>
          <w:rtl/>
        </w:rPr>
        <w:t xml:space="preserve"> </w:t>
      </w:r>
      <w:r w:rsidRPr="00CD6D77">
        <w:rPr>
          <w:rFonts w:cs="Arial" w:hint="cs"/>
          <w:sz w:val="20"/>
          <w:szCs w:val="20"/>
          <w:rtl/>
        </w:rPr>
        <w:t>וסת</w:t>
      </w:r>
      <w:r w:rsidRPr="00CD6D77">
        <w:rPr>
          <w:rFonts w:cs="Arial"/>
          <w:sz w:val="20"/>
          <w:szCs w:val="20"/>
          <w:rtl/>
        </w:rPr>
        <w:t xml:space="preserve">. </w:t>
      </w:r>
      <w:r w:rsidRPr="00CD6D77">
        <w:rPr>
          <w:rFonts w:cs="Arial" w:hint="cs"/>
          <w:sz w:val="20"/>
          <w:szCs w:val="20"/>
          <w:rtl/>
        </w:rPr>
        <w:t>סירגה</w:t>
      </w:r>
      <w:r>
        <w:rPr>
          <w:rFonts w:cs="Arial" w:hint="cs"/>
          <w:sz w:val="20"/>
          <w:szCs w:val="20"/>
          <w:rtl/>
        </w:rPr>
        <w:t xml:space="preserve"> </w:t>
      </w:r>
      <w:r w:rsidRPr="00CD6D77">
        <w:rPr>
          <w:rFonts w:cs="Arial" w:hint="cs"/>
          <w:sz w:val="18"/>
          <w:szCs w:val="18"/>
          <w:rtl/>
        </w:rPr>
        <w:t>(מיום כב')</w:t>
      </w:r>
      <w:r w:rsidRPr="00CD6D77">
        <w:rPr>
          <w:rFonts w:cs="Arial"/>
          <w:sz w:val="18"/>
          <w:szCs w:val="18"/>
          <w:rtl/>
        </w:rPr>
        <w:t xml:space="preserve"> </w:t>
      </w:r>
      <w:r w:rsidRPr="00CD6D77">
        <w:rPr>
          <w:rFonts w:cs="Arial" w:hint="cs"/>
          <w:sz w:val="20"/>
          <w:szCs w:val="20"/>
          <w:rtl/>
        </w:rPr>
        <w:t>ליום</w:t>
      </w:r>
      <w:r w:rsidRPr="00CD6D77">
        <w:rPr>
          <w:rFonts w:cs="Arial"/>
          <w:sz w:val="20"/>
          <w:szCs w:val="20"/>
          <w:rtl/>
        </w:rPr>
        <w:t xml:space="preserve"> </w:t>
      </w:r>
      <w:r w:rsidRPr="00CD6D77">
        <w:rPr>
          <w:rFonts w:cs="Arial" w:hint="cs"/>
          <w:sz w:val="20"/>
          <w:szCs w:val="20"/>
          <w:rtl/>
        </w:rPr>
        <w:t>עשרים</w:t>
      </w:r>
      <w:r w:rsidRPr="00CD6D77">
        <w:rPr>
          <w:rFonts w:cs="Arial"/>
          <w:sz w:val="20"/>
          <w:szCs w:val="20"/>
          <w:rtl/>
        </w:rPr>
        <w:t xml:space="preserve"> </w:t>
      </w:r>
      <w:r w:rsidRPr="00CD6D77">
        <w:rPr>
          <w:rFonts w:cs="Arial" w:hint="cs"/>
          <w:sz w:val="20"/>
          <w:szCs w:val="20"/>
          <w:rtl/>
        </w:rPr>
        <w:t>וארבעה</w:t>
      </w:r>
      <w:r w:rsidRPr="00CD6D77">
        <w:rPr>
          <w:rFonts w:cs="Arial"/>
          <w:sz w:val="20"/>
          <w:szCs w:val="20"/>
          <w:rtl/>
        </w:rPr>
        <w:t xml:space="preserve"> - </w:t>
      </w:r>
      <w:r w:rsidRPr="00CD6D77">
        <w:rPr>
          <w:rFonts w:cs="Arial" w:hint="cs"/>
          <w:sz w:val="20"/>
          <w:szCs w:val="20"/>
          <w:rtl/>
        </w:rPr>
        <w:t>לא</w:t>
      </w:r>
      <w:r w:rsidRPr="00CD6D77">
        <w:rPr>
          <w:rFonts w:cs="Arial"/>
          <w:sz w:val="20"/>
          <w:szCs w:val="20"/>
          <w:rtl/>
        </w:rPr>
        <w:t xml:space="preserve"> </w:t>
      </w:r>
      <w:r w:rsidRPr="00CD6D77">
        <w:rPr>
          <w:rFonts w:cs="Arial" w:hint="cs"/>
          <w:sz w:val="20"/>
          <w:szCs w:val="20"/>
          <w:rtl/>
        </w:rPr>
        <w:t>קבעה</w:t>
      </w:r>
      <w:r w:rsidRPr="00CD6D77">
        <w:rPr>
          <w:rFonts w:cs="Arial"/>
          <w:sz w:val="20"/>
          <w:szCs w:val="20"/>
          <w:rtl/>
        </w:rPr>
        <w:t xml:space="preserve"> </w:t>
      </w:r>
      <w:r w:rsidRPr="00CD6D77">
        <w:rPr>
          <w:rFonts w:cs="Arial" w:hint="cs"/>
          <w:sz w:val="20"/>
          <w:szCs w:val="20"/>
          <w:rtl/>
        </w:rPr>
        <w:t>לה</w:t>
      </w:r>
      <w:r w:rsidRPr="00CD6D77">
        <w:rPr>
          <w:rFonts w:cs="Arial"/>
          <w:sz w:val="20"/>
          <w:szCs w:val="20"/>
          <w:rtl/>
        </w:rPr>
        <w:t xml:space="preserve"> </w:t>
      </w:r>
      <w:r w:rsidRPr="00CD6D77">
        <w:rPr>
          <w:rFonts w:cs="Arial" w:hint="cs"/>
          <w:sz w:val="20"/>
          <w:szCs w:val="20"/>
          <w:rtl/>
        </w:rPr>
        <w:t>וסת</w:t>
      </w:r>
      <w:r>
        <w:rPr>
          <w:rFonts w:cs="Arial" w:hint="cs"/>
          <w:sz w:val="20"/>
          <w:szCs w:val="20"/>
          <w:rtl/>
        </w:rPr>
        <w:t xml:space="preserve"> </w:t>
      </w:r>
      <w:r w:rsidRPr="00CD6D77">
        <w:rPr>
          <w:rFonts w:cs="Arial" w:hint="cs"/>
          <w:sz w:val="18"/>
          <w:szCs w:val="18"/>
          <w:rtl/>
        </w:rPr>
        <w:t>(משום שדילגה יומיים, ואינו דומה לשאר הדילוגים)</w:t>
      </w:r>
      <w:r>
        <w:rPr>
          <w:rFonts w:cs="Arial" w:hint="cs"/>
          <w:sz w:val="20"/>
          <w:szCs w:val="20"/>
          <w:rtl/>
        </w:rPr>
        <w:t>".</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CD6D77">
        <w:rPr>
          <w:rFonts w:cs="Arial" w:hint="cs"/>
          <w:sz w:val="20"/>
          <w:szCs w:val="20"/>
          <w:rtl/>
        </w:rPr>
        <w:t>ראתה</w:t>
      </w:r>
      <w:r w:rsidRPr="00CD6D77">
        <w:rPr>
          <w:rFonts w:cs="Arial"/>
          <w:sz w:val="20"/>
          <w:szCs w:val="20"/>
          <w:rtl/>
        </w:rPr>
        <w:t xml:space="preserve"> </w:t>
      </w:r>
      <w:r w:rsidRPr="00CD6D77">
        <w:rPr>
          <w:rFonts w:cs="Arial" w:hint="cs"/>
          <w:sz w:val="20"/>
          <w:szCs w:val="20"/>
          <w:rtl/>
        </w:rPr>
        <w:t>ט</w:t>
      </w:r>
      <w:r w:rsidRPr="00CD6D77">
        <w:rPr>
          <w:rFonts w:cs="Arial"/>
          <w:sz w:val="20"/>
          <w:szCs w:val="20"/>
          <w:rtl/>
        </w:rPr>
        <w:t>"</w:t>
      </w:r>
      <w:r w:rsidRPr="00CD6D77">
        <w:rPr>
          <w:rFonts w:cs="Arial" w:hint="cs"/>
          <w:sz w:val="20"/>
          <w:szCs w:val="20"/>
          <w:rtl/>
        </w:rPr>
        <w:t>ו</w:t>
      </w:r>
      <w:r w:rsidRPr="00CD6D77">
        <w:rPr>
          <w:rFonts w:cs="Arial"/>
          <w:sz w:val="20"/>
          <w:szCs w:val="20"/>
          <w:rtl/>
        </w:rPr>
        <w:t xml:space="preserve"> </w:t>
      </w:r>
      <w:r w:rsidRPr="00CD6D77">
        <w:rPr>
          <w:rFonts w:cs="Arial" w:hint="cs"/>
          <w:sz w:val="20"/>
          <w:szCs w:val="20"/>
          <w:rtl/>
        </w:rPr>
        <w:t>בניסן</w:t>
      </w:r>
      <w:r w:rsidRPr="00CD6D77">
        <w:rPr>
          <w:rFonts w:cs="Arial"/>
          <w:sz w:val="20"/>
          <w:szCs w:val="20"/>
          <w:rtl/>
        </w:rPr>
        <w:t xml:space="preserve"> </w:t>
      </w:r>
      <w:r w:rsidRPr="00CD6D77">
        <w:rPr>
          <w:rFonts w:cs="Arial" w:hint="cs"/>
          <w:sz w:val="20"/>
          <w:szCs w:val="20"/>
          <w:rtl/>
        </w:rPr>
        <w:t>וט</w:t>
      </w:r>
      <w:r w:rsidRPr="00CD6D77">
        <w:rPr>
          <w:rFonts w:cs="Arial"/>
          <w:sz w:val="20"/>
          <w:szCs w:val="20"/>
          <w:rtl/>
        </w:rPr>
        <w:t>"</w:t>
      </w:r>
      <w:r w:rsidRPr="00CD6D77">
        <w:rPr>
          <w:rFonts w:cs="Arial" w:hint="cs"/>
          <w:sz w:val="20"/>
          <w:szCs w:val="20"/>
          <w:rtl/>
        </w:rPr>
        <w:t>ז</w:t>
      </w:r>
      <w:r w:rsidRPr="00CD6D77">
        <w:rPr>
          <w:rFonts w:cs="Arial"/>
          <w:sz w:val="20"/>
          <w:szCs w:val="20"/>
          <w:rtl/>
        </w:rPr>
        <w:t xml:space="preserve"> </w:t>
      </w:r>
      <w:r w:rsidRPr="00CD6D77">
        <w:rPr>
          <w:rFonts w:cs="Arial" w:hint="cs"/>
          <w:sz w:val="20"/>
          <w:szCs w:val="20"/>
          <w:rtl/>
        </w:rPr>
        <w:t>באייר</w:t>
      </w:r>
      <w:r w:rsidRPr="00CD6D77">
        <w:rPr>
          <w:rFonts w:cs="Arial"/>
          <w:sz w:val="20"/>
          <w:szCs w:val="20"/>
          <w:rtl/>
        </w:rPr>
        <w:t xml:space="preserve"> </w:t>
      </w:r>
      <w:r w:rsidRPr="00CD6D77">
        <w:rPr>
          <w:rFonts w:cs="Arial" w:hint="cs"/>
          <w:sz w:val="20"/>
          <w:szCs w:val="20"/>
          <w:rtl/>
        </w:rPr>
        <w:t>וי</w:t>
      </w:r>
      <w:r w:rsidRPr="00CD6D77">
        <w:rPr>
          <w:rFonts w:cs="Arial"/>
          <w:sz w:val="20"/>
          <w:szCs w:val="20"/>
          <w:rtl/>
        </w:rPr>
        <w:t>"</w:t>
      </w:r>
      <w:r w:rsidRPr="00CD6D77">
        <w:rPr>
          <w:rFonts w:cs="Arial" w:hint="cs"/>
          <w:sz w:val="20"/>
          <w:szCs w:val="20"/>
          <w:rtl/>
        </w:rPr>
        <w:t>ח</w:t>
      </w:r>
      <w:r w:rsidRPr="00CD6D77">
        <w:rPr>
          <w:rFonts w:cs="Arial"/>
          <w:sz w:val="20"/>
          <w:szCs w:val="20"/>
          <w:rtl/>
        </w:rPr>
        <w:t xml:space="preserve"> </w:t>
      </w:r>
      <w:r w:rsidRPr="00CD6D77">
        <w:rPr>
          <w:rFonts w:cs="Arial" w:hint="cs"/>
          <w:sz w:val="20"/>
          <w:szCs w:val="20"/>
          <w:rtl/>
        </w:rPr>
        <w:t>בסיון</w:t>
      </w:r>
      <w:r w:rsidRPr="00CD6D77">
        <w:rPr>
          <w:rFonts w:cs="Arial"/>
          <w:sz w:val="20"/>
          <w:szCs w:val="20"/>
          <w:rtl/>
        </w:rPr>
        <w:t xml:space="preserve">, </w:t>
      </w:r>
      <w:r w:rsidRPr="00CD6D77">
        <w:rPr>
          <w:rFonts w:cs="Arial" w:hint="cs"/>
          <w:sz w:val="20"/>
          <w:szCs w:val="20"/>
          <w:rtl/>
        </w:rPr>
        <w:t>לא</w:t>
      </w:r>
      <w:r w:rsidRPr="00CD6D77">
        <w:rPr>
          <w:rFonts w:cs="Arial"/>
          <w:sz w:val="20"/>
          <w:szCs w:val="20"/>
          <w:rtl/>
        </w:rPr>
        <w:t xml:space="preserve"> </w:t>
      </w:r>
      <w:r w:rsidRPr="00CD6D77">
        <w:rPr>
          <w:rFonts w:cs="Arial" w:hint="cs"/>
          <w:sz w:val="20"/>
          <w:szCs w:val="20"/>
          <w:rtl/>
        </w:rPr>
        <w:t>קבעה</w:t>
      </w:r>
      <w:r w:rsidRPr="00CD6D77">
        <w:rPr>
          <w:rFonts w:cs="Arial"/>
          <w:sz w:val="20"/>
          <w:szCs w:val="20"/>
          <w:rtl/>
        </w:rPr>
        <w:t xml:space="preserve"> </w:t>
      </w:r>
      <w:r w:rsidRPr="00CD6D77">
        <w:rPr>
          <w:rFonts w:cs="Arial" w:hint="cs"/>
          <w:sz w:val="20"/>
          <w:szCs w:val="20"/>
          <w:rtl/>
        </w:rPr>
        <w:t>לה</w:t>
      </w:r>
      <w:r w:rsidRPr="00CD6D77">
        <w:rPr>
          <w:rFonts w:cs="Arial"/>
          <w:sz w:val="20"/>
          <w:szCs w:val="20"/>
          <w:rtl/>
        </w:rPr>
        <w:t xml:space="preserve"> </w:t>
      </w:r>
      <w:r w:rsidRPr="00CD6D77">
        <w:rPr>
          <w:rFonts w:cs="Arial" w:hint="cs"/>
          <w:sz w:val="20"/>
          <w:szCs w:val="20"/>
          <w:rtl/>
        </w:rPr>
        <w:t>וסת</w:t>
      </w:r>
      <w:r w:rsidRPr="00CD6D77">
        <w:rPr>
          <w:rFonts w:cs="Arial"/>
          <w:sz w:val="20"/>
          <w:szCs w:val="20"/>
          <w:rtl/>
        </w:rPr>
        <w:t xml:space="preserve">, </w:t>
      </w:r>
      <w:r w:rsidRPr="00CD6D77">
        <w:rPr>
          <w:rFonts w:cs="Arial" w:hint="cs"/>
          <w:sz w:val="20"/>
          <w:szCs w:val="20"/>
          <w:rtl/>
        </w:rPr>
        <w:t>כיון</w:t>
      </w:r>
      <w:r w:rsidRPr="00CD6D77">
        <w:rPr>
          <w:rFonts w:cs="Arial"/>
          <w:sz w:val="20"/>
          <w:szCs w:val="20"/>
          <w:rtl/>
        </w:rPr>
        <w:t xml:space="preserve"> </w:t>
      </w:r>
      <w:r w:rsidRPr="00CD6D77">
        <w:rPr>
          <w:rFonts w:cs="Arial" w:hint="cs"/>
          <w:sz w:val="20"/>
          <w:szCs w:val="20"/>
          <w:rtl/>
        </w:rPr>
        <w:t>שסירגה</w:t>
      </w:r>
      <w:r w:rsidRPr="00CD6D77">
        <w:rPr>
          <w:rFonts w:cs="Arial"/>
          <w:sz w:val="20"/>
          <w:szCs w:val="20"/>
          <w:rtl/>
        </w:rPr>
        <w:t xml:space="preserve"> </w:t>
      </w:r>
      <w:r w:rsidRPr="00CD6D77">
        <w:rPr>
          <w:rFonts w:cs="Arial" w:hint="cs"/>
          <w:sz w:val="20"/>
          <w:szCs w:val="20"/>
          <w:rtl/>
        </w:rPr>
        <w:t>בחודש</w:t>
      </w:r>
      <w:r w:rsidRPr="00CD6D77">
        <w:rPr>
          <w:rFonts w:cs="Arial"/>
          <w:sz w:val="20"/>
          <w:szCs w:val="20"/>
          <w:rtl/>
        </w:rPr>
        <w:t xml:space="preserve"> </w:t>
      </w:r>
      <w:r w:rsidRPr="00CD6D77">
        <w:rPr>
          <w:rFonts w:cs="Arial" w:hint="cs"/>
          <w:sz w:val="20"/>
          <w:szCs w:val="20"/>
          <w:rtl/>
        </w:rPr>
        <w:t>השלישי</w:t>
      </w:r>
      <w:r w:rsidRPr="00CD6D77">
        <w:rPr>
          <w:rFonts w:cs="Arial"/>
          <w:sz w:val="20"/>
          <w:szCs w:val="20"/>
          <w:rtl/>
        </w:rPr>
        <w:t xml:space="preserve"> </w:t>
      </w:r>
      <w:r w:rsidRPr="00CD6D77">
        <w:rPr>
          <w:rFonts w:cs="Arial" w:hint="cs"/>
          <w:sz w:val="20"/>
          <w:szCs w:val="20"/>
          <w:rtl/>
        </w:rPr>
        <w:t>ולא</w:t>
      </w:r>
      <w:r w:rsidRPr="00CD6D77">
        <w:rPr>
          <w:rFonts w:cs="Arial"/>
          <w:sz w:val="20"/>
          <w:szCs w:val="20"/>
          <w:rtl/>
        </w:rPr>
        <w:t xml:space="preserve"> </w:t>
      </w:r>
      <w:r w:rsidRPr="00CD6D77">
        <w:rPr>
          <w:rFonts w:cs="Arial" w:hint="cs"/>
          <w:sz w:val="20"/>
          <w:szCs w:val="20"/>
          <w:rtl/>
        </w:rPr>
        <w:t>ראתה</w:t>
      </w:r>
      <w:r w:rsidRPr="00CD6D77">
        <w:rPr>
          <w:rFonts w:cs="Arial"/>
          <w:sz w:val="20"/>
          <w:szCs w:val="20"/>
          <w:rtl/>
        </w:rPr>
        <w:t xml:space="preserve"> </w:t>
      </w:r>
      <w:r w:rsidRPr="00CD6D77">
        <w:rPr>
          <w:rFonts w:cs="Arial" w:hint="cs"/>
          <w:sz w:val="20"/>
          <w:szCs w:val="20"/>
          <w:rtl/>
        </w:rPr>
        <w:t>עד</w:t>
      </w:r>
      <w:r w:rsidRPr="00CD6D77">
        <w:rPr>
          <w:rFonts w:cs="Arial"/>
          <w:sz w:val="20"/>
          <w:szCs w:val="20"/>
          <w:rtl/>
        </w:rPr>
        <w:t xml:space="preserve"> </w:t>
      </w:r>
      <w:r w:rsidRPr="00CD6D77">
        <w:rPr>
          <w:rFonts w:cs="Arial" w:hint="cs"/>
          <w:sz w:val="20"/>
          <w:szCs w:val="20"/>
          <w:rtl/>
        </w:rPr>
        <w:t>י</w:t>
      </w:r>
      <w:r w:rsidRPr="00CD6D77">
        <w:rPr>
          <w:rFonts w:cs="Arial"/>
          <w:sz w:val="20"/>
          <w:szCs w:val="20"/>
          <w:rtl/>
        </w:rPr>
        <w:t>"</w:t>
      </w:r>
      <w:r w:rsidRPr="00CD6D77">
        <w:rPr>
          <w:rFonts w:cs="Arial" w:hint="cs"/>
          <w:sz w:val="20"/>
          <w:szCs w:val="20"/>
          <w:rtl/>
        </w:rPr>
        <w:t>ח</w:t>
      </w:r>
      <w:r w:rsidRPr="00CD6D77">
        <w:rPr>
          <w:rFonts w:cs="Arial"/>
          <w:sz w:val="20"/>
          <w:szCs w:val="20"/>
          <w:rtl/>
        </w:rPr>
        <w:t xml:space="preserve"> </w:t>
      </w:r>
      <w:r w:rsidRPr="00CD6D77">
        <w:rPr>
          <w:rFonts w:cs="Arial" w:hint="cs"/>
          <w:sz w:val="20"/>
          <w:szCs w:val="20"/>
          <w:rtl/>
        </w:rPr>
        <w:t>בו</w:t>
      </w:r>
      <w:r>
        <w:rPr>
          <w:rFonts w:cs="Arial" w:hint="cs"/>
          <w:sz w:val="20"/>
          <w:szCs w:val="20"/>
          <w:rtl/>
        </w:rPr>
        <w:t>".</w:t>
      </w:r>
      <w:r>
        <w:rPr>
          <w:sz w:val="18"/>
          <w:szCs w:val="18"/>
          <w:rtl/>
        </w:rPr>
        <w:br/>
      </w:r>
      <w:r>
        <w:rPr>
          <w:rFonts w:hint="cs"/>
          <w:sz w:val="18"/>
          <w:szCs w:val="18"/>
          <w:rtl/>
        </w:rPr>
        <w:br/>
      </w:r>
      <w:r w:rsidRPr="005E7F19">
        <w:rPr>
          <w:rFonts w:hint="cs"/>
          <w:sz w:val="20"/>
          <w:szCs w:val="20"/>
          <w:u w:val="single"/>
          <w:rtl/>
        </w:rPr>
        <w:t>פרטים בדין זה</w:t>
      </w:r>
      <w:r>
        <w:rPr>
          <w:sz w:val="20"/>
          <w:szCs w:val="20"/>
          <w:rtl/>
        </w:rPr>
        <w:br/>
      </w:r>
      <w:r>
        <w:rPr>
          <w:rFonts w:hint="cs"/>
          <w:sz w:val="20"/>
          <w:szCs w:val="20"/>
          <w:rtl/>
        </w:rPr>
        <w:t xml:space="preserve">א. </w:t>
      </w:r>
      <w:r w:rsidRPr="001823E7">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אפילו לדעת רב </w:t>
      </w:r>
      <w:r w:rsidRPr="005F75FF">
        <w:rPr>
          <w:rFonts w:hint="cs"/>
          <w:sz w:val="18"/>
          <w:szCs w:val="18"/>
          <w:rtl/>
        </w:rPr>
        <w:t xml:space="preserve">(לעיל בסעיף ז) </w:t>
      </w:r>
      <w:r>
        <w:rPr>
          <w:rFonts w:hint="cs"/>
          <w:sz w:val="20"/>
          <w:szCs w:val="20"/>
          <w:rtl/>
        </w:rPr>
        <w:t>המחמיר בקביעת ווסת, מודה שכאן לא קבעה.</w:t>
      </w:r>
      <w:r>
        <w:rPr>
          <w:rFonts w:hint="cs"/>
          <w:sz w:val="20"/>
          <w:szCs w:val="20"/>
          <w:rtl/>
        </w:rPr>
        <w:br/>
        <w:t xml:space="preserve">ב. </w:t>
      </w:r>
      <w:r w:rsidRPr="005F75FF">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אפילו אם היה לה ווסת קבוע ביד', מכל מקום לא קבעה לה ווסת, ועיין בהערה.</w:t>
      </w:r>
      <w:r>
        <w:rPr>
          <w:rStyle w:val="a5"/>
          <w:sz w:val="20"/>
          <w:szCs w:val="20"/>
          <w:rtl/>
        </w:rPr>
        <w:footnoteReference w:id="185"/>
      </w:r>
      <w:r>
        <w:rPr>
          <w:sz w:val="20"/>
          <w:szCs w:val="20"/>
          <w:rtl/>
        </w:rPr>
        <w:br/>
      </w:r>
      <w:r>
        <w:rPr>
          <w:rFonts w:hint="cs"/>
          <w:sz w:val="20"/>
          <w:szCs w:val="20"/>
          <w:rtl/>
        </w:rPr>
        <w:t xml:space="preserve">ג. </w:t>
      </w:r>
      <w:r w:rsidRPr="001823E7">
        <w:rPr>
          <w:rFonts w:hint="cs"/>
          <w:b/>
          <w:bCs/>
          <w:sz w:val="20"/>
          <w:szCs w:val="20"/>
          <w:rtl/>
        </w:rPr>
        <w:t>ב"ח</w:t>
      </w:r>
      <w:r>
        <w:rPr>
          <w:rFonts w:hint="cs"/>
          <w:sz w:val="20"/>
          <w:szCs w:val="20"/>
          <w:rtl/>
        </w:rPr>
        <w:t xml:space="preserve"> </w:t>
      </w:r>
      <w:r>
        <w:rPr>
          <w:sz w:val="20"/>
          <w:szCs w:val="20"/>
          <w:rtl/>
        </w:rPr>
        <w:t>–</w:t>
      </w:r>
      <w:r>
        <w:rPr>
          <w:rFonts w:hint="cs"/>
          <w:sz w:val="20"/>
          <w:szCs w:val="20"/>
          <w:rtl/>
        </w:rPr>
        <w:t xml:space="preserve"> אפילו ראתה יט' תמוז, לא קבעה ווסת לדילוג.</w:t>
      </w:r>
      <w:r>
        <w:rPr>
          <w:sz w:val="20"/>
          <w:szCs w:val="20"/>
          <w:rtl/>
        </w:rPr>
        <w:br/>
      </w:r>
      <w:r w:rsidRPr="001823E7">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אין הדילוגים שווים.</w:t>
      </w:r>
      <w:r>
        <w:rPr>
          <w:rFonts w:hint="cs"/>
          <w:sz w:val="20"/>
          <w:szCs w:val="20"/>
          <w:rtl/>
        </w:rPr>
        <w:br/>
      </w:r>
      <w:r>
        <w:rPr>
          <w:sz w:val="20"/>
          <w:szCs w:val="20"/>
          <w:rtl/>
        </w:rPr>
        <w:br/>
      </w:r>
      <w:r>
        <w:rPr>
          <w:rFonts w:hint="cs"/>
          <w:sz w:val="20"/>
          <w:szCs w:val="20"/>
          <w:u w:val="single"/>
          <w:rtl/>
        </w:rPr>
        <w:t>קביעת ווסת הפלגה במקרה זה</w:t>
      </w:r>
      <w:r>
        <w:rPr>
          <w:sz w:val="20"/>
          <w:szCs w:val="20"/>
          <w:u w:val="single"/>
          <w:rtl/>
        </w:rPr>
        <w:br/>
      </w:r>
      <w:r w:rsidRPr="001823E7">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מטו' ניסן לטז' אייר הם לב' יום </w:t>
      </w:r>
      <w:r w:rsidRPr="001823E7">
        <w:rPr>
          <w:rFonts w:hint="cs"/>
          <w:sz w:val="18"/>
          <w:szCs w:val="18"/>
          <w:rtl/>
        </w:rPr>
        <w:t>(ניסן תמיד מלא)</w:t>
      </w:r>
      <w:r>
        <w:rPr>
          <w:rFonts w:hint="cs"/>
          <w:sz w:val="20"/>
          <w:szCs w:val="20"/>
          <w:rtl/>
        </w:rPr>
        <w:t>. מטז' אייר ליח' תמוז הם גם לב' יום, ולכן צריכה לחוש לווסת הפלגה של לב' יום. ואם ראתה ביט' תמוז, קבעה לה ווסת להפלגת לב' יום.</w:t>
      </w:r>
      <w:r>
        <w:rPr>
          <w:sz w:val="20"/>
          <w:szCs w:val="20"/>
          <w:rtl/>
        </w:rPr>
        <w:br/>
      </w:r>
      <w:r>
        <w:rPr>
          <w:sz w:val="20"/>
          <w:szCs w:val="20"/>
          <w:rtl/>
        </w:rPr>
        <w:br/>
      </w:r>
      <w:r>
        <w:rPr>
          <w:rFonts w:hint="cs"/>
          <w:b/>
          <w:bCs/>
          <w:sz w:val="20"/>
          <w:szCs w:val="20"/>
          <w:rtl/>
        </w:rPr>
        <w:t>סיכום</w:t>
      </w:r>
      <w:r>
        <w:rPr>
          <w:rFonts w:hint="cs"/>
          <w:sz w:val="20"/>
          <w:szCs w:val="20"/>
          <w:rtl/>
        </w:rPr>
        <w:br/>
        <w:t xml:space="preserve">1. </w:t>
      </w:r>
      <w:r w:rsidRPr="007E1D95">
        <w:rPr>
          <w:rFonts w:hint="cs"/>
          <w:b/>
          <w:bCs/>
          <w:sz w:val="20"/>
          <w:szCs w:val="20"/>
          <w:rtl/>
        </w:rPr>
        <w:t>שו"ע</w:t>
      </w:r>
      <w:r>
        <w:rPr>
          <w:rFonts w:hint="cs"/>
          <w:sz w:val="20"/>
          <w:szCs w:val="20"/>
          <w:rtl/>
        </w:rPr>
        <w:t xml:space="preserve">. ראתה טו', טז' ויח' </w:t>
      </w:r>
      <w:r>
        <w:rPr>
          <w:sz w:val="20"/>
          <w:szCs w:val="20"/>
          <w:rtl/>
        </w:rPr>
        <w:t>–</w:t>
      </w:r>
      <w:r>
        <w:rPr>
          <w:rFonts w:hint="cs"/>
          <w:sz w:val="20"/>
          <w:szCs w:val="20"/>
          <w:rtl/>
        </w:rPr>
        <w:t xml:space="preserve"> סירוג, ואינו ווסת קבוע.</w:t>
      </w:r>
      <w:r>
        <w:rPr>
          <w:sz w:val="20"/>
          <w:szCs w:val="20"/>
          <w:rtl/>
        </w:rPr>
        <w:br/>
      </w:r>
      <w:r>
        <w:rPr>
          <w:rFonts w:hint="cs"/>
          <w:sz w:val="20"/>
          <w:szCs w:val="20"/>
          <w:rtl/>
        </w:rPr>
        <w:t xml:space="preserve">2. </w:t>
      </w:r>
      <w:r w:rsidRPr="007E1D95">
        <w:rPr>
          <w:rFonts w:hint="cs"/>
          <w:b/>
          <w:bCs/>
          <w:sz w:val="20"/>
          <w:szCs w:val="20"/>
          <w:rtl/>
        </w:rPr>
        <w:t>ש"ך</w:t>
      </w:r>
      <w:r>
        <w:rPr>
          <w:rFonts w:hint="cs"/>
          <w:sz w:val="20"/>
          <w:szCs w:val="20"/>
          <w:rtl/>
        </w:rPr>
        <w:t xml:space="preserve">. אפילו רב מודה בהכי. אפילו אם היה לה ווסת קבוע ביד' לא קבעה ווסת לכו"ע. </w:t>
      </w:r>
      <w:r w:rsidRPr="008D14F1">
        <w:rPr>
          <w:rFonts w:hint="cs"/>
          <w:b/>
          <w:bCs/>
          <w:sz w:val="20"/>
          <w:szCs w:val="20"/>
          <w:rtl/>
        </w:rPr>
        <w:t>ב"ח</w:t>
      </w:r>
      <w:r>
        <w:rPr>
          <w:rFonts w:hint="cs"/>
          <w:sz w:val="20"/>
          <w:szCs w:val="20"/>
          <w:rtl/>
        </w:rPr>
        <w:t xml:space="preserve">. אפילו אם ראתה יט' תמוז </w:t>
      </w:r>
      <w:r>
        <w:rPr>
          <w:sz w:val="20"/>
          <w:szCs w:val="20"/>
          <w:rtl/>
        </w:rPr>
        <w:t>–</w:t>
      </w:r>
      <w:r>
        <w:rPr>
          <w:rFonts w:hint="cs"/>
          <w:sz w:val="20"/>
          <w:szCs w:val="20"/>
          <w:rtl/>
        </w:rPr>
        <w:t xml:space="preserve"> לא קבעה ווסת לדילוג.</w:t>
      </w:r>
      <w:r>
        <w:rPr>
          <w:sz w:val="20"/>
          <w:szCs w:val="20"/>
          <w:rtl/>
        </w:rPr>
        <w:br/>
      </w:r>
      <w:r>
        <w:rPr>
          <w:rFonts w:hint="cs"/>
          <w:sz w:val="20"/>
          <w:szCs w:val="20"/>
          <w:rtl/>
        </w:rPr>
        <w:t xml:space="preserve">3. </w:t>
      </w:r>
      <w:r w:rsidRPr="007E1D95">
        <w:rPr>
          <w:rFonts w:hint="cs"/>
          <w:b/>
          <w:bCs/>
          <w:sz w:val="20"/>
          <w:szCs w:val="20"/>
          <w:rtl/>
        </w:rPr>
        <w:t>ש"ך</w:t>
      </w:r>
      <w:r>
        <w:rPr>
          <w:rFonts w:hint="cs"/>
          <w:sz w:val="20"/>
          <w:szCs w:val="20"/>
          <w:rtl/>
        </w:rPr>
        <w:t>. אם ראתה ביט' תמוז קבעה ווסת להפלגת לב' יום.</w:t>
      </w:r>
    </w:p>
    <w:p w:rsidR="00620060" w:rsidRDefault="00620060" w:rsidP="00620060">
      <w:pPr>
        <w:rPr>
          <w:sz w:val="20"/>
          <w:szCs w:val="20"/>
          <w:rtl/>
        </w:rPr>
      </w:pPr>
      <w:r>
        <w:rPr>
          <w:sz w:val="20"/>
          <w:szCs w:val="20"/>
          <w:rtl/>
        </w:rPr>
        <w:br/>
      </w:r>
      <w:r>
        <w:rPr>
          <w:rFonts w:hint="cs"/>
          <w:b/>
          <w:bCs/>
          <w:sz w:val="20"/>
          <w:szCs w:val="20"/>
          <w:rtl/>
        </w:rPr>
        <w:t xml:space="preserve">סעיף יא </w:t>
      </w:r>
      <w:r>
        <w:rPr>
          <w:b/>
          <w:bCs/>
          <w:sz w:val="20"/>
          <w:szCs w:val="20"/>
          <w:rtl/>
        </w:rPr>
        <w:t>–</w:t>
      </w:r>
      <w:r>
        <w:rPr>
          <w:rFonts w:hint="cs"/>
          <w:b/>
          <w:bCs/>
          <w:sz w:val="20"/>
          <w:szCs w:val="20"/>
          <w:rtl/>
        </w:rPr>
        <w:t xml:space="preserve"> מאימתי חוששת לווסת הדילוג</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גמרא </w:t>
      </w:r>
      <w:r>
        <w:rPr>
          <w:rFonts w:hint="cs"/>
          <w:sz w:val="20"/>
          <w:szCs w:val="20"/>
          <w:rtl/>
        </w:rPr>
        <w:t>נידה (שם) "</w:t>
      </w:r>
      <w:r w:rsidRPr="00F2773C">
        <w:rPr>
          <w:rFonts w:cs="Arial" w:hint="cs"/>
          <w:sz w:val="20"/>
          <w:szCs w:val="20"/>
          <w:rtl/>
        </w:rPr>
        <w:t>היתה</w:t>
      </w:r>
      <w:r w:rsidRPr="00F2773C">
        <w:rPr>
          <w:rFonts w:cs="Arial"/>
          <w:sz w:val="20"/>
          <w:szCs w:val="20"/>
          <w:rtl/>
        </w:rPr>
        <w:t xml:space="preserve"> </w:t>
      </w:r>
      <w:r w:rsidRPr="00F2773C">
        <w:rPr>
          <w:rFonts w:cs="Arial" w:hint="cs"/>
          <w:sz w:val="20"/>
          <w:szCs w:val="20"/>
          <w:rtl/>
        </w:rPr>
        <w:t>למודה</w:t>
      </w:r>
      <w:r w:rsidRPr="00F2773C">
        <w:rPr>
          <w:rFonts w:cs="Arial"/>
          <w:sz w:val="20"/>
          <w:szCs w:val="20"/>
          <w:rtl/>
        </w:rPr>
        <w:t xml:space="preserve"> </w:t>
      </w:r>
      <w:r w:rsidRPr="00F2773C">
        <w:rPr>
          <w:rFonts w:cs="Arial" w:hint="cs"/>
          <w:sz w:val="20"/>
          <w:szCs w:val="20"/>
          <w:rtl/>
        </w:rPr>
        <w:t>להיות</w:t>
      </w:r>
      <w:r w:rsidRPr="00F2773C">
        <w:rPr>
          <w:rFonts w:cs="Arial"/>
          <w:sz w:val="20"/>
          <w:szCs w:val="20"/>
          <w:rtl/>
        </w:rPr>
        <w:t xml:space="preserve"> </w:t>
      </w:r>
      <w:r w:rsidRPr="00F2773C">
        <w:rPr>
          <w:rFonts w:cs="Arial" w:hint="cs"/>
          <w:sz w:val="20"/>
          <w:szCs w:val="20"/>
          <w:rtl/>
        </w:rPr>
        <w:t>רואה</w:t>
      </w:r>
      <w:r w:rsidRPr="00F2773C">
        <w:rPr>
          <w:rFonts w:cs="Arial"/>
          <w:sz w:val="20"/>
          <w:szCs w:val="20"/>
          <w:rtl/>
        </w:rPr>
        <w:t xml:space="preserve"> </w:t>
      </w:r>
      <w:r w:rsidRPr="00F2773C">
        <w:rPr>
          <w:rFonts w:cs="Arial" w:hint="cs"/>
          <w:sz w:val="20"/>
          <w:szCs w:val="20"/>
          <w:rtl/>
        </w:rPr>
        <w:t>יום</w:t>
      </w:r>
      <w:r w:rsidRPr="00F2773C">
        <w:rPr>
          <w:rFonts w:cs="Arial"/>
          <w:sz w:val="20"/>
          <w:szCs w:val="20"/>
          <w:rtl/>
        </w:rPr>
        <w:t xml:space="preserve"> </w:t>
      </w:r>
      <w:r w:rsidRPr="00F2773C">
        <w:rPr>
          <w:rFonts w:cs="Arial" w:hint="cs"/>
          <w:sz w:val="20"/>
          <w:szCs w:val="20"/>
          <w:rtl/>
        </w:rPr>
        <w:t>ט</w:t>
      </w:r>
      <w:r w:rsidRPr="00F2773C">
        <w:rPr>
          <w:rFonts w:cs="Arial"/>
          <w:sz w:val="20"/>
          <w:szCs w:val="20"/>
          <w:rtl/>
        </w:rPr>
        <w:t>"</w:t>
      </w:r>
      <w:r w:rsidRPr="00F2773C">
        <w:rPr>
          <w:rFonts w:cs="Arial" w:hint="cs"/>
          <w:sz w:val="20"/>
          <w:szCs w:val="20"/>
          <w:rtl/>
        </w:rPr>
        <w:t>ו</w:t>
      </w:r>
      <w:r w:rsidRPr="00F2773C">
        <w:rPr>
          <w:rFonts w:cs="Arial"/>
          <w:sz w:val="20"/>
          <w:szCs w:val="20"/>
          <w:rtl/>
        </w:rPr>
        <w:t xml:space="preserve"> </w:t>
      </w:r>
      <w:r w:rsidRPr="00F2773C">
        <w:rPr>
          <w:rFonts w:cs="Arial" w:hint="cs"/>
          <w:sz w:val="20"/>
          <w:szCs w:val="20"/>
          <w:rtl/>
        </w:rPr>
        <w:t>ושינתה</w:t>
      </w:r>
      <w:r w:rsidRPr="00F2773C">
        <w:rPr>
          <w:rFonts w:cs="Arial"/>
          <w:sz w:val="20"/>
          <w:szCs w:val="20"/>
          <w:rtl/>
        </w:rPr>
        <w:t xml:space="preserve"> </w:t>
      </w:r>
      <w:r w:rsidRPr="00F2773C">
        <w:rPr>
          <w:rFonts w:cs="Arial" w:hint="cs"/>
          <w:sz w:val="20"/>
          <w:szCs w:val="20"/>
          <w:rtl/>
        </w:rPr>
        <w:t>ליום</w:t>
      </w:r>
      <w:r w:rsidRPr="00F2773C">
        <w:rPr>
          <w:rFonts w:cs="Arial"/>
          <w:sz w:val="20"/>
          <w:szCs w:val="20"/>
          <w:rtl/>
        </w:rPr>
        <w:t xml:space="preserve"> </w:t>
      </w:r>
      <w:r w:rsidRPr="00F2773C">
        <w:rPr>
          <w:rFonts w:cs="Arial" w:hint="cs"/>
          <w:sz w:val="20"/>
          <w:szCs w:val="20"/>
          <w:rtl/>
        </w:rPr>
        <w:t>ששה</w:t>
      </w:r>
      <w:r w:rsidRPr="00F2773C">
        <w:rPr>
          <w:rFonts w:cs="Arial"/>
          <w:sz w:val="20"/>
          <w:szCs w:val="20"/>
          <w:rtl/>
        </w:rPr>
        <w:t xml:space="preserve"> </w:t>
      </w:r>
      <w:r w:rsidRPr="00F2773C">
        <w:rPr>
          <w:rFonts w:cs="Arial" w:hint="cs"/>
          <w:sz w:val="20"/>
          <w:szCs w:val="20"/>
          <w:rtl/>
        </w:rPr>
        <w:t>עשר</w:t>
      </w:r>
      <w:r w:rsidRPr="00F2773C">
        <w:rPr>
          <w:rFonts w:cs="Arial"/>
          <w:sz w:val="20"/>
          <w:szCs w:val="20"/>
          <w:rtl/>
        </w:rPr>
        <w:t xml:space="preserve"> - </w:t>
      </w:r>
      <w:r w:rsidRPr="00F2773C">
        <w:rPr>
          <w:rFonts w:cs="Arial" w:hint="cs"/>
          <w:sz w:val="20"/>
          <w:szCs w:val="20"/>
          <w:rtl/>
        </w:rPr>
        <w:t>זה</w:t>
      </w:r>
      <w:r w:rsidRPr="00F2773C">
        <w:rPr>
          <w:rFonts w:cs="Arial"/>
          <w:sz w:val="20"/>
          <w:szCs w:val="20"/>
          <w:rtl/>
        </w:rPr>
        <w:t xml:space="preserve"> </w:t>
      </w:r>
      <w:r w:rsidRPr="00F2773C">
        <w:rPr>
          <w:rFonts w:cs="Arial" w:hint="cs"/>
          <w:sz w:val="20"/>
          <w:szCs w:val="20"/>
          <w:rtl/>
        </w:rPr>
        <w:t>וזה</w:t>
      </w:r>
      <w:r w:rsidRPr="00F2773C">
        <w:rPr>
          <w:rFonts w:cs="Arial"/>
          <w:sz w:val="20"/>
          <w:szCs w:val="20"/>
          <w:rtl/>
        </w:rPr>
        <w:t xml:space="preserve"> </w:t>
      </w:r>
      <w:r w:rsidRPr="00F2773C">
        <w:rPr>
          <w:rFonts w:cs="Arial" w:hint="cs"/>
          <w:sz w:val="20"/>
          <w:szCs w:val="20"/>
          <w:rtl/>
        </w:rPr>
        <w:t>אסורין</w:t>
      </w:r>
      <w:r w:rsidRPr="00F2773C">
        <w:rPr>
          <w:rFonts w:cs="Arial"/>
          <w:sz w:val="20"/>
          <w:szCs w:val="20"/>
          <w:rtl/>
        </w:rPr>
        <w:t xml:space="preserve">, </w:t>
      </w:r>
      <w:r w:rsidRPr="00F2773C">
        <w:rPr>
          <w:rFonts w:cs="Arial" w:hint="cs"/>
          <w:sz w:val="20"/>
          <w:szCs w:val="20"/>
          <w:rtl/>
        </w:rPr>
        <w:t>שינתה</w:t>
      </w:r>
      <w:r w:rsidRPr="00F2773C">
        <w:rPr>
          <w:rFonts w:cs="Arial"/>
          <w:sz w:val="20"/>
          <w:szCs w:val="20"/>
          <w:rtl/>
        </w:rPr>
        <w:t xml:space="preserve"> </w:t>
      </w:r>
      <w:r w:rsidRPr="00F2773C">
        <w:rPr>
          <w:rFonts w:cs="Arial" w:hint="cs"/>
          <w:sz w:val="20"/>
          <w:szCs w:val="20"/>
          <w:rtl/>
        </w:rPr>
        <w:t>ליום</w:t>
      </w:r>
      <w:r w:rsidRPr="00F2773C">
        <w:rPr>
          <w:rFonts w:cs="Arial"/>
          <w:sz w:val="20"/>
          <w:szCs w:val="20"/>
          <w:rtl/>
        </w:rPr>
        <w:t xml:space="preserve"> </w:t>
      </w:r>
      <w:r w:rsidRPr="00F2773C">
        <w:rPr>
          <w:rFonts w:cs="Arial" w:hint="cs"/>
          <w:sz w:val="20"/>
          <w:szCs w:val="20"/>
          <w:rtl/>
        </w:rPr>
        <w:t>שבעה</w:t>
      </w:r>
      <w:r w:rsidRPr="00F2773C">
        <w:rPr>
          <w:rFonts w:cs="Arial"/>
          <w:sz w:val="20"/>
          <w:szCs w:val="20"/>
          <w:rtl/>
        </w:rPr>
        <w:t xml:space="preserve"> </w:t>
      </w:r>
      <w:r w:rsidRPr="00F2773C">
        <w:rPr>
          <w:rFonts w:cs="Arial" w:hint="cs"/>
          <w:sz w:val="20"/>
          <w:szCs w:val="20"/>
          <w:rtl/>
        </w:rPr>
        <w:t>עשר</w:t>
      </w:r>
      <w:r w:rsidRPr="00F2773C">
        <w:rPr>
          <w:rFonts w:cs="Arial"/>
          <w:sz w:val="20"/>
          <w:szCs w:val="20"/>
          <w:rtl/>
        </w:rPr>
        <w:t xml:space="preserve"> - </w:t>
      </w:r>
      <w:r w:rsidRPr="00F2773C">
        <w:rPr>
          <w:rFonts w:cs="Arial" w:hint="cs"/>
          <w:sz w:val="20"/>
          <w:szCs w:val="20"/>
          <w:rtl/>
        </w:rPr>
        <w:t>הותר</w:t>
      </w:r>
      <w:r w:rsidRPr="00F2773C">
        <w:rPr>
          <w:rFonts w:cs="Arial"/>
          <w:sz w:val="20"/>
          <w:szCs w:val="20"/>
          <w:rtl/>
        </w:rPr>
        <w:t xml:space="preserve"> </w:t>
      </w:r>
      <w:r w:rsidRPr="00F2773C">
        <w:rPr>
          <w:rFonts w:cs="Arial" w:hint="cs"/>
          <w:sz w:val="20"/>
          <w:szCs w:val="20"/>
          <w:rtl/>
        </w:rPr>
        <w:t>ששה</w:t>
      </w:r>
      <w:r w:rsidRPr="00F2773C">
        <w:rPr>
          <w:rFonts w:cs="Arial"/>
          <w:sz w:val="20"/>
          <w:szCs w:val="20"/>
          <w:rtl/>
        </w:rPr>
        <w:t xml:space="preserve"> </w:t>
      </w:r>
      <w:r w:rsidRPr="00F2773C">
        <w:rPr>
          <w:rFonts w:cs="Arial" w:hint="cs"/>
          <w:sz w:val="20"/>
          <w:szCs w:val="20"/>
          <w:rtl/>
        </w:rPr>
        <w:t>עשר</w:t>
      </w:r>
      <w:r w:rsidRPr="00F2773C">
        <w:rPr>
          <w:rFonts w:cs="Arial"/>
          <w:sz w:val="20"/>
          <w:szCs w:val="20"/>
          <w:rtl/>
        </w:rPr>
        <w:t xml:space="preserve"> </w:t>
      </w:r>
      <w:r w:rsidRPr="00F2773C">
        <w:rPr>
          <w:rFonts w:cs="Arial" w:hint="cs"/>
          <w:sz w:val="20"/>
          <w:szCs w:val="20"/>
          <w:rtl/>
        </w:rPr>
        <w:t>ונאסר</w:t>
      </w:r>
      <w:r w:rsidRPr="00F2773C">
        <w:rPr>
          <w:rFonts w:cs="Arial"/>
          <w:sz w:val="20"/>
          <w:szCs w:val="20"/>
          <w:rtl/>
        </w:rPr>
        <w:t xml:space="preserve"> </w:t>
      </w:r>
      <w:r w:rsidRPr="00F2773C">
        <w:rPr>
          <w:rFonts w:cs="Arial" w:hint="cs"/>
          <w:sz w:val="20"/>
          <w:szCs w:val="20"/>
          <w:rtl/>
        </w:rPr>
        <w:t>חמשה</w:t>
      </w:r>
      <w:r w:rsidRPr="00F2773C">
        <w:rPr>
          <w:rFonts w:cs="Arial"/>
          <w:sz w:val="20"/>
          <w:szCs w:val="20"/>
          <w:rtl/>
        </w:rPr>
        <w:t xml:space="preserve"> </w:t>
      </w:r>
      <w:r w:rsidRPr="00F2773C">
        <w:rPr>
          <w:rFonts w:cs="Arial" w:hint="cs"/>
          <w:sz w:val="20"/>
          <w:szCs w:val="20"/>
          <w:rtl/>
        </w:rPr>
        <w:t>עשר</w:t>
      </w:r>
      <w:r w:rsidRPr="00F2773C">
        <w:rPr>
          <w:rFonts w:cs="Arial"/>
          <w:sz w:val="20"/>
          <w:szCs w:val="20"/>
          <w:rtl/>
        </w:rPr>
        <w:t xml:space="preserve"> </w:t>
      </w:r>
      <w:r w:rsidRPr="00F2773C">
        <w:rPr>
          <w:rFonts w:cs="Arial" w:hint="cs"/>
          <w:sz w:val="20"/>
          <w:szCs w:val="20"/>
          <w:rtl/>
        </w:rPr>
        <w:t>ושבעה</w:t>
      </w:r>
      <w:r w:rsidRPr="00F2773C">
        <w:rPr>
          <w:rFonts w:cs="Arial"/>
          <w:sz w:val="20"/>
          <w:szCs w:val="20"/>
          <w:rtl/>
        </w:rPr>
        <w:t xml:space="preserve"> </w:t>
      </w:r>
      <w:r w:rsidRPr="00F2773C">
        <w:rPr>
          <w:rFonts w:cs="Arial" w:hint="cs"/>
          <w:sz w:val="20"/>
          <w:szCs w:val="20"/>
          <w:rtl/>
        </w:rPr>
        <w:t>עשר</w:t>
      </w:r>
      <w:r>
        <w:rPr>
          <w:rFonts w:cs="Arial" w:hint="cs"/>
          <w:sz w:val="20"/>
          <w:szCs w:val="20"/>
          <w:rtl/>
        </w:rPr>
        <w:t>".</w:t>
      </w:r>
      <w:r>
        <w:rPr>
          <w:rFonts w:cs="Arial"/>
          <w:sz w:val="20"/>
          <w:szCs w:val="20"/>
          <w:rtl/>
        </w:rPr>
        <w:br/>
      </w:r>
      <w:r w:rsidRPr="00F2773C">
        <w:rPr>
          <w:rFonts w:cs="Arial" w:hint="cs"/>
          <w:b/>
          <w:bCs/>
          <w:sz w:val="20"/>
          <w:szCs w:val="20"/>
          <w:rtl/>
        </w:rPr>
        <w:t>רשב"א</w:t>
      </w:r>
      <w:r>
        <w:rPr>
          <w:rFonts w:cs="Arial" w:hint="cs"/>
          <w:sz w:val="20"/>
          <w:szCs w:val="20"/>
          <w:rtl/>
        </w:rPr>
        <w:t xml:space="preserve"> </w:t>
      </w:r>
      <w:r>
        <w:rPr>
          <w:rFonts w:cs="Arial"/>
          <w:sz w:val="20"/>
          <w:szCs w:val="20"/>
          <w:rtl/>
        </w:rPr>
        <w:t>–</w:t>
      </w:r>
      <w:r>
        <w:rPr>
          <w:rFonts w:cs="Arial" w:hint="cs"/>
          <w:sz w:val="20"/>
          <w:szCs w:val="20"/>
          <w:rtl/>
        </w:rPr>
        <w:t xml:space="preserve"> מוכח בברייתא שאין חוששים לווסת הדילוג עד שתקבענו.</w:t>
      </w:r>
      <w:r>
        <w:rPr>
          <w:rFonts w:cs="Arial"/>
          <w:sz w:val="20"/>
          <w:szCs w:val="20"/>
          <w:rtl/>
        </w:rPr>
        <w:br/>
      </w:r>
      <w:r>
        <w:rPr>
          <w:rFonts w:cs="Arial" w:hint="cs"/>
          <w:sz w:val="20"/>
          <w:szCs w:val="20"/>
          <w:rtl/>
        </w:rPr>
        <w:t xml:space="preserve">כלומר </w:t>
      </w:r>
      <w:r>
        <w:rPr>
          <w:rFonts w:cs="Arial"/>
          <w:sz w:val="20"/>
          <w:szCs w:val="20"/>
          <w:rtl/>
        </w:rPr>
        <w:t>–</w:t>
      </w:r>
      <w:r>
        <w:rPr>
          <w:rFonts w:cs="Arial" w:hint="cs"/>
          <w:sz w:val="20"/>
          <w:szCs w:val="20"/>
          <w:rtl/>
        </w:rPr>
        <w:t xml:space="preserve"> לפני שדילגה ג' פעמים אינה חוששת לווסת זה.</w:t>
      </w:r>
      <w:r>
        <w:rPr>
          <w:rFonts w:cs="Arial"/>
          <w:sz w:val="20"/>
          <w:szCs w:val="20"/>
          <w:rtl/>
        </w:rPr>
        <w:br/>
      </w:r>
      <w:r w:rsidRPr="00F2773C">
        <w:rPr>
          <w:rFonts w:cs="Arial" w:hint="cs"/>
          <w:b/>
          <w:bCs/>
          <w:sz w:val="20"/>
          <w:szCs w:val="20"/>
          <w:rtl/>
        </w:rPr>
        <w:t>ראיה</w:t>
      </w:r>
      <w:r>
        <w:rPr>
          <w:rFonts w:cs="Arial" w:hint="cs"/>
          <w:sz w:val="20"/>
          <w:szCs w:val="20"/>
          <w:rtl/>
        </w:rPr>
        <w:t xml:space="preserve"> </w:t>
      </w:r>
      <w:r>
        <w:rPr>
          <w:rFonts w:cs="Arial"/>
          <w:sz w:val="20"/>
          <w:szCs w:val="20"/>
          <w:rtl/>
        </w:rPr>
        <w:t>–</w:t>
      </w:r>
      <w:r>
        <w:rPr>
          <w:rFonts w:cs="Arial" w:hint="cs"/>
          <w:sz w:val="20"/>
          <w:szCs w:val="20"/>
          <w:rtl/>
        </w:rPr>
        <w:t xml:space="preserve"> </w:t>
      </w:r>
      <w:r>
        <w:rPr>
          <w:rFonts w:hint="cs"/>
          <w:sz w:val="20"/>
          <w:szCs w:val="20"/>
          <w:rtl/>
        </w:rPr>
        <w:t>גם לאחר שדילגה מטז' ליז' לא נאמר בברייתא שצריכה לחשוש ליח' אלא רק ליז'.</w:t>
      </w:r>
      <w:r>
        <w:rPr>
          <w:rStyle w:val="a5"/>
          <w:sz w:val="20"/>
          <w:szCs w:val="20"/>
          <w:rtl/>
        </w:rPr>
        <w:footnoteReference w:id="186"/>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F2773C">
        <w:rPr>
          <w:rFonts w:cs="Arial" w:hint="cs"/>
          <w:sz w:val="20"/>
          <w:szCs w:val="20"/>
          <w:rtl/>
        </w:rPr>
        <w:t>דילגה</w:t>
      </w:r>
      <w:r w:rsidRPr="00F2773C">
        <w:rPr>
          <w:rFonts w:cs="Arial"/>
          <w:sz w:val="20"/>
          <w:szCs w:val="20"/>
          <w:rtl/>
        </w:rPr>
        <w:t xml:space="preserve"> </w:t>
      </w:r>
      <w:r w:rsidRPr="00F2773C">
        <w:rPr>
          <w:rFonts w:cs="Arial" w:hint="cs"/>
          <w:sz w:val="20"/>
          <w:szCs w:val="20"/>
          <w:rtl/>
        </w:rPr>
        <w:t>פעם</w:t>
      </w:r>
      <w:r w:rsidRPr="00F2773C">
        <w:rPr>
          <w:rFonts w:cs="Arial"/>
          <w:sz w:val="20"/>
          <w:szCs w:val="20"/>
          <w:rtl/>
        </w:rPr>
        <w:t xml:space="preserve"> </w:t>
      </w:r>
      <w:r w:rsidRPr="00F2773C">
        <w:rPr>
          <w:rFonts w:cs="Arial" w:hint="cs"/>
          <w:sz w:val="20"/>
          <w:szCs w:val="20"/>
          <w:rtl/>
        </w:rPr>
        <w:t>אחת</w:t>
      </w:r>
      <w:r w:rsidRPr="00F2773C">
        <w:rPr>
          <w:rFonts w:cs="Arial"/>
          <w:sz w:val="20"/>
          <w:szCs w:val="20"/>
          <w:rtl/>
        </w:rPr>
        <w:t xml:space="preserve"> </w:t>
      </w:r>
      <w:r w:rsidRPr="00F2773C">
        <w:rPr>
          <w:rFonts w:cs="Arial" w:hint="cs"/>
          <w:sz w:val="20"/>
          <w:szCs w:val="20"/>
          <w:rtl/>
        </w:rPr>
        <w:t>או</w:t>
      </w:r>
      <w:r w:rsidRPr="00F2773C">
        <w:rPr>
          <w:rFonts w:cs="Arial"/>
          <w:sz w:val="20"/>
          <w:szCs w:val="20"/>
          <w:rtl/>
        </w:rPr>
        <w:t xml:space="preserve"> </w:t>
      </w:r>
      <w:r w:rsidRPr="00F2773C">
        <w:rPr>
          <w:rFonts w:cs="Arial" w:hint="cs"/>
          <w:sz w:val="20"/>
          <w:szCs w:val="20"/>
          <w:rtl/>
        </w:rPr>
        <w:t>שתי</w:t>
      </w:r>
      <w:r>
        <w:rPr>
          <w:rFonts w:cs="Arial" w:hint="cs"/>
          <w:sz w:val="20"/>
          <w:szCs w:val="20"/>
          <w:rtl/>
        </w:rPr>
        <w:t>י</w:t>
      </w:r>
      <w:r w:rsidRPr="00F2773C">
        <w:rPr>
          <w:rFonts w:cs="Arial" w:hint="cs"/>
          <w:sz w:val="20"/>
          <w:szCs w:val="20"/>
          <w:rtl/>
        </w:rPr>
        <w:t>ם</w:t>
      </w:r>
      <w:r w:rsidRPr="00F2773C">
        <w:rPr>
          <w:rFonts w:cs="Arial"/>
          <w:sz w:val="20"/>
          <w:szCs w:val="20"/>
          <w:rtl/>
        </w:rPr>
        <w:t xml:space="preserve">, </w:t>
      </w:r>
      <w:r w:rsidRPr="00F2773C">
        <w:rPr>
          <w:rFonts w:cs="Arial" w:hint="cs"/>
          <w:sz w:val="20"/>
          <w:szCs w:val="20"/>
          <w:rtl/>
        </w:rPr>
        <w:t>אינה</w:t>
      </w:r>
      <w:r w:rsidRPr="00F2773C">
        <w:rPr>
          <w:rFonts w:cs="Arial"/>
          <w:sz w:val="20"/>
          <w:szCs w:val="20"/>
          <w:rtl/>
        </w:rPr>
        <w:t xml:space="preserve"> </w:t>
      </w:r>
      <w:r w:rsidRPr="00F2773C">
        <w:rPr>
          <w:rFonts w:cs="Arial" w:hint="cs"/>
          <w:sz w:val="20"/>
          <w:szCs w:val="20"/>
          <w:rtl/>
        </w:rPr>
        <w:t>חוששת</w:t>
      </w:r>
      <w:r w:rsidRPr="00F2773C">
        <w:rPr>
          <w:rFonts w:cs="Arial"/>
          <w:sz w:val="20"/>
          <w:szCs w:val="20"/>
          <w:rtl/>
        </w:rPr>
        <w:t xml:space="preserve"> </w:t>
      </w:r>
      <w:r w:rsidRPr="00F2773C">
        <w:rPr>
          <w:rFonts w:cs="Arial" w:hint="cs"/>
          <w:sz w:val="20"/>
          <w:szCs w:val="20"/>
          <w:rtl/>
        </w:rPr>
        <w:t>לדילוג</w:t>
      </w:r>
      <w:r w:rsidRPr="00F2773C">
        <w:rPr>
          <w:rFonts w:cs="Arial"/>
          <w:sz w:val="20"/>
          <w:szCs w:val="20"/>
          <w:rtl/>
        </w:rPr>
        <w:t xml:space="preserve">, </w:t>
      </w:r>
      <w:r w:rsidRPr="00F2773C">
        <w:rPr>
          <w:rFonts w:cs="Arial" w:hint="cs"/>
          <w:sz w:val="20"/>
          <w:szCs w:val="20"/>
          <w:rtl/>
        </w:rPr>
        <w:t>אף</w:t>
      </w:r>
      <w:r w:rsidRPr="00F2773C">
        <w:rPr>
          <w:rFonts w:cs="Arial"/>
          <w:sz w:val="20"/>
          <w:szCs w:val="20"/>
          <w:rtl/>
        </w:rPr>
        <w:t xml:space="preserve"> </w:t>
      </w:r>
      <w:r w:rsidRPr="00F2773C">
        <w:rPr>
          <w:rFonts w:cs="Arial" w:hint="cs"/>
          <w:sz w:val="20"/>
          <w:szCs w:val="20"/>
          <w:rtl/>
        </w:rPr>
        <w:t>על</w:t>
      </w:r>
      <w:r w:rsidRPr="00F2773C">
        <w:rPr>
          <w:rFonts w:cs="Arial"/>
          <w:sz w:val="20"/>
          <w:szCs w:val="20"/>
          <w:rtl/>
        </w:rPr>
        <w:t xml:space="preserve"> </w:t>
      </w:r>
      <w:r w:rsidRPr="00F2773C">
        <w:rPr>
          <w:rFonts w:cs="Arial" w:hint="cs"/>
          <w:sz w:val="20"/>
          <w:szCs w:val="20"/>
          <w:rtl/>
        </w:rPr>
        <w:t>פי</w:t>
      </w:r>
      <w:r w:rsidRPr="00F2773C">
        <w:rPr>
          <w:rFonts w:cs="Arial"/>
          <w:sz w:val="20"/>
          <w:szCs w:val="20"/>
          <w:rtl/>
        </w:rPr>
        <w:t xml:space="preserve"> </w:t>
      </w:r>
      <w:r w:rsidRPr="00F2773C">
        <w:rPr>
          <w:rFonts w:cs="Arial" w:hint="cs"/>
          <w:sz w:val="20"/>
          <w:szCs w:val="20"/>
          <w:rtl/>
        </w:rPr>
        <w:t>שחוששת</w:t>
      </w:r>
      <w:r w:rsidRPr="00F2773C">
        <w:rPr>
          <w:rFonts w:cs="Arial"/>
          <w:sz w:val="20"/>
          <w:szCs w:val="20"/>
          <w:rtl/>
        </w:rPr>
        <w:t xml:space="preserve"> </w:t>
      </w:r>
      <w:r w:rsidRPr="00F2773C">
        <w:rPr>
          <w:rFonts w:cs="Arial" w:hint="cs"/>
          <w:sz w:val="20"/>
          <w:szCs w:val="20"/>
          <w:rtl/>
        </w:rPr>
        <w:t>לשאר</w:t>
      </w:r>
      <w:r w:rsidRPr="00F2773C">
        <w:rPr>
          <w:rFonts w:cs="Arial"/>
          <w:sz w:val="20"/>
          <w:szCs w:val="20"/>
          <w:rtl/>
        </w:rPr>
        <w:t xml:space="preserve"> </w:t>
      </w:r>
      <w:r w:rsidRPr="00F2773C">
        <w:rPr>
          <w:rFonts w:cs="Arial" w:hint="cs"/>
          <w:sz w:val="20"/>
          <w:szCs w:val="20"/>
          <w:rtl/>
        </w:rPr>
        <w:t>וסתות</w:t>
      </w:r>
      <w:r w:rsidRPr="00F2773C">
        <w:rPr>
          <w:rFonts w:cs="Arial"/>
          <w:sz w:val="20"/>
          <w:szCs w:val="20"/>
          <w:rtl/>
        </w:rPr>
        <w:t xml:space="preserve"> </w:t>
      </w:r>
      <w:r w:rsidRPr="00F2773C">
        <w:rPr>
          <w:rFonts w:cs="Arial" w:hint="cs"/>
          <w:sz w:val="20"/>
          <w:szCs w:val="20"/>
          <w:rtl/>
        </w:rPr>
        <w:t>בפעם</w:t>
      </w:r>
      <w:r w:rsidRPr="00F2773C">
        <w:rPr>
          <w:rFonts w:cs="Arial"/>
          <w:sz w:val="20"/>
          <w:szCs w:val="20"/>
          <w:rtl/>
        </w:rPr>
        <w:t xml:space="preserve"> </w:t>
      </w:r>
      <w:r w:rsidRPr="00F2773C">
        <w:rPr>
          <w:rFonts w:cs="Arial" w:hint="cs"/>
          <w:sz w:val="20"/>
          <w:szCs w:val="20"/>
          <w:rtl/>
        </w:rPr>
        <w:t>אחת</w:t>
      </w:r>
      <w:r w:rsidRPr="00F2773C">
        <w:rPr>
          <w:rFonts w:cs="Arial"/>
          <w:sz w:val="20"/>
          <w:szCs w:val="20"/>
          <w:rtl/>
        </w:rPr>
        <w:t xml:space="preserve">, </w:t>
      </w:r>
      <w:r w:rsidRPr="00F2773C">
        <w:rPr>
          <w:rFonts w:cs="Arial" w:hint="cs"/>
          <w:sz w:val="20"/>
          <w:szCs w:val="20"/>
          <w:rtl/>
        </w:rPr>
        <w:t>אינה</w:t>
      </w:r>
      <w:r w:rsidRPr="00F2773C">
        <w:rPr>
          <w:rFonts w:cs="Arial"/>
          <w:sz w:val="20"/>
          <w:szCs w:val="20"/>
          <w:rtl/>
        </w:rPr>
        <w:t xml:space="preserve"> </w:t>
      </w:r>
      <w:r w:rsidRPr="00F2773C">
        <w:rPr>
          <w:rFonts w:cs="Arial" w:hint="cs"/>
          <w:sz w:val="20"/>
          <w:szCs w:val="20"/>
          <w:rtl/>
        </w:rPr>
        <w:t>חוששת</w:t>
      </w:r>
      <w:r w:rsidRPr="00F2773C">
        <w:rPr>
          <w:rFonts w:cs="Arial"/>
          <w:sz w:val="20"/>
          <w:szCs w:val="20"/>
          <w:rtl/>
        </w:rPr>
        <w:t xml:space="preserve"> </w:t>
      </w:r>
      <w:r w:rsidRPr="00F2773C">
        <w:rPr>
          <w:rFonts w:cs="Arial" w:hint="cs"/>
          <w:sz w:val="20"/>
          <w:szCs w:val="20"/>
          <w:rtl/>
        </w:rPr>
        <w:t>לוסת</w:t>
      </w:r>
      <w:r w:rsidRPr="00F2773C">
        <w:rPr>
          <w:rFonts w:cs="Arial"/>
          <w:sz w:val="20"/>
          <w:szCs w:val="20"/>
          <w:rtl/>
        </w:rPr>
        <w:t xml:space="preserve"> </w:t>
      </w:r>
      <w:r w:rsidRPr="00F2773C">
        <w:rPr>
          <w:rFonts w:cs="Arial" w:hint="cs"/>
          <w:sz w:val="20"/>
          <w:szCs w:val="20"/>
          <w:rtl/>
        </w:rPr>
        <w:t>הדילוג</w:t>
      </w:r>
      <w:r w:rsidRPr="00F2773C">
        <w:rPr>
          <w:rFonts w:cs="Arial"/>
          <w:sz w:val="20"/>
          <w:szCs w:val="20"/>
          <w:rtl/>
        </w:rPr>
        <w:t xml:space="preserve">, </w:t>
      </w:r>
      <w:r w:rsidRPr="00F2773C">
        <w:rPr>
          <w:rFonts w:cs="Arial" w:hint="cs"/>
          <w:sz w:val="20"/>
          <w:szCs w:val="20"/>
          <w:rtl/>
        </w:rPr>
        <w:t>עד</w:t>
      </w:r>
      <w:r w:rsidRPr="00F2773C">
        <w:rPr>
          <w:rFonts w:cs="Arial"/>
          <w:sz w:val="20"/>
          <w:szCs w:val="20"/>
          <w:rtl/>
        </w:rPr>
        <w:t xml:space="preserve"> </w:t>
      </w:r>
      <w:r w:rsidRPr="00F2773C">
        <w:rPr>
          <w:rFonts w:cs="Arial" w:hint="cs"/>
          <w:sz w:val="20"/>
          <w:szCs w:val="20"/>
          <w:rtl/>
        </w:rPr>
        <w:t>שתקבענו</w:t>
      </w:r>
      <w:r>
        <w:rPr>
          <w:rFonts w:cs="Arial" w:hint="cs"/>
          <w:sz w:val="20"/>
          <w:szCs w:val="20"/>
          <w:rtl/>
        </w:rPr>
        <w:t>".</w:t>
      </w:r>
    </w:p>
    <w:p w:rsidR="00620060" w:rsidRDefault="00620060" w:rsidP="00620060">
      <w:pPr>
        <w:rPr>
          <w:sz w:val="20"/>
          <w:szCs w:val="20"/>
          <w:rtl/>
        </w:rPr>
      </w:pPr>
      <w:r w:rsidRPr="00AD09E5">
        <w:rPr>
          <w:rFonts w:hint="cs"/>
          <w:sz w:val="20"/>
          <w:szCs w:val="20"/>
          <w:u w:val="single"/>
          <w:rtl/>
        </w:rPr>
        <w:t xml:space="preserve">דעת רב בקביעת </w:t>
      </w:r>
      <w:r>
        <w:rPr>
          <w:rFonts w:hint="cs"/>
          <w:sz w:val="20"/>
          <w:szCs w:val="20"/>
          <w:u w:val="single"/>
          <w:rtl/>
        </w:rPr>
        <w:t>ווסת זה</w:t>
      </w:r>
      <w:r>
        <w:rPr>
          <w:sz w:val="20"/>
          <w:szCs w:val="20"/>
          <w:u w:val="single"/>
          <w:rtl/>
        </w:rPr>
        <w:br/>
      </w:r>
      <w:r>
        <w:rPr>
          <w:rFonts w:hint="cs"/>
          <w:sz w:val="20"/>
          <w:szCs w:val="20"/>
          <w:rtl/>
        </w:rPr>
        <w:t>למודה לראות בטו' לחודש, וראתה לאחר מכן בטז' לחודש ויז' לחודש, האם קבעה ווסת לרב?</w:t>
      </w:r>
      <w:r>
        <w:rPr>
          <w:rFonts w:hint="cs"/>
          <w:sz w:val="20"/>
          <w:szCs w:val="20"/>
          <w:u w:val="single"/>
          <w:rtl/>
        </w:rPr>
        <w:br/>
      </w:r>
      <w:r>
        <w:rPr>
          <w:rFonts w:hint="cs"/>
          <w:sz w:val="20"/>
          <w:szCs w:val="20"/>
          <w:rtl/>
        </w:rPr>
        <w:t xml:space="preserve">א. </w:t>
      </w:r>
      <w:r w:rsidRPr="005B3AFE">
        <w:rPr>
          <w:rFonts w:hint="cs"/>
          <w:b/>
          <w:bCs/>
          <w:sz w:val="20"/>
          <w:szCs w:val="20"/>
          <w:rtl/>
        </w:rPr>
        <w:t>פרישה</w:t>
      </w:r>
      <w:r>
        <w:rPr>
          <w:rFonts w:hint="cs"/>
          <w:sz w:val="20"/>
          <w:szCs w:val="20"/>
          <w:rtl/>
        </w:rPr>
        <w:t xml:space="preserve"> </w:t>
      </w:r>
      <w:r w:rsidRPr="00AD09E5">
        <w:rPr>
          <w:rFonts w:hint="cs"/>
          <w:sz w:val="18"/>
          <w:szCs w:val="18"/>
          <w:rtl/>
        </w:rPr>
        <w:t xml:space="preserve">(ע"פ הבנת </w:t>
      </w:r>
      <w:r w:rsidRPr="001B3342">
        <w:rPr>
          <w:rFonts w:hint="cs"/>
          <w:b/>
          <w:bCs/>
          <w:sz w:val="18"/>
          <w:szCs w:val="18"/>
          <w:rtl/>
        </w:rPr>
        <w:t>הש"ך</w:t>
      </w:r>
      <w:r w:rsidRPr="00AD09E5">
        <w:rPr>
          <w:rFonts w:hint="cs"/>
          <w:sz w:val="18"/>
          <w:szCs w:val="18"/>
          <w:rtl/>
        </w:rPr>
        <w:t xml:space="preserve">) </w:t>
      </w:r>
      <w:r>
        <w:rPr>
          <w:sz w:val="20"/>
          <w:szCs w:val="20"/>
          <w:rtl/>
        </w:rPr>
        <w:t>–</w:t>
      </w:r>
      <w:r>
        <w:rPr>
          <w:rFonts w:hint="cs"/>
          <w:sz w:val="20"/>
          <w:szCs w:val="20"/>
          <w:rtl/>
        </w:rPr>
        <w:t xml:space="preserve"> כן.</w:t>
      </w:r>
      <w:r>
        <w:rPr>
          <w:rFonts w:hint="cs"/>
          <w:sz w:val="20"/>
          <w:szCs w:val="20"/>
          <w:rtl/>
        </w:rPr>
        <w:br/>
      </w:r>
      <w:r w:rsidRPr="005B3AFE">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ימי החודש ניכרים ולכן ראיית טו' מצטרפת לשאר הראיות, רק בראיית הפלגות ס"ל לרב שראיית הווסת הקבוע אינה מצטרפת לקביעת ווסתה.</w:t>
      </w:r>
      <w:r>
        <w:rPr>
          <w:sz w:val="20"/>
          <w:szCs w:val="20"/>
          <w:rtl/>
        </w:rPr>
        <w:br/>
      </w:r>
      <w:r>
        <w:rPr>
          <w:rFonts w:hint="cs"/>
          <w:sz w:val="20"/>
          <w:szCs w:val="20"/>
          <w:rtl/>
        </w:rPr>
        <w:lastRenderedPageBreak/>
        <w:t xml:space="preserve">ב. </w:t>
      </w:r>
      <w:r w:rsidRPr="005B3AFE">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לא.</w:t>
      </w:r>
      <w:r>
        <w:rPr>
          <w:rFonts w:hint="cs"/>
          <w:sz w:val="20"/>
          <w:szCs w:val="20"/>
          <w:rtl/>
        </w:rPr>
        <w:br/>
      </w:r>
      <w:r w:rsidRPr="005B3AFE">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משמע בש"ס דרב סובר שאף בכה"ג לא קבעה ווסת, לפי שטו' נחשב מהווסת הקודם.</w:t>
      </w:r>
    </w:p>
    <w:p w:rsidR="00620060"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AE5688">
        <w:rPr>
          <w:rFonts w:hint="cs"/>
          <w:b/>
          <w:bCs/>
          <w:sz w:val="20"/>
          <w:szCs w:val="20"/>
          <w:rtl/>
        </w:rPr>
        <w:t>רשב"א</w:t>
      </w:r>
      <w:r>
        <w:rPr>
          <w:rFonts w:hint="cs"/>
          <w:sz w:val="20"/>
          <w:szCs w:val="20"/>
          <w:rtl/>
        </w:rPr>
        <w:t xml:space="preserve">. מוכח בגמרא שאינה חוששת לווסת הסירוג עד שתקבענו, וכ"פ </w:t>
      </w:r>
      <w:r w:rsidRPr="00AE5688">
        <w:rPr>
          <w:rFonts w:hint="cs"/>
          <w:b/>
          <w:bCs/>
          <w:sz w:val="20"/>
          <w:szCs w:val="20"/>
          <w:rtl/>
        </w:rPr>
        <w:t>המחבר</w:t>
      </w:r>
      <w:r>
        <w:rPr>
          <w:rFonts w:hint="cs"/>
          <w:sz w:val="20"/>
          <w:szCs w:val="20"/>
          <w:rtl/>
        </w:rPr>
        <w:t>.</w:t>
      </w:r>
      <w:r>
        <w:rPr>
          <w:rFonts w:hint="cs"/>
          <w:sz w:val="20"/>
          <w:szCs w:val="20"/>
          <w:rtl/>
        </w:rPr>
        <w:br/>
        <w:t xml:space="preserve">2. וסת קבוע בטו' וראתה אח"כ בטז' ואח"כ ביז', האם קבעה ווסת לרב? </w:t>
      </w:r>
      <w:r w:rsidRPr="00AE5688">
        <w:rPr>
          <w:rFonts w:hint="cs"/>
          <w:b/>
          <w:bCs/>
          <w:sz w:val="20"/>
          <w:szCs w:val="20"/>
          <w:rtl/>
        </w:rPr>
        <w:t>פרישה</w:t>
      </w:r>
      <w:r>
        <w:rPr>
          <w:rFonts w:hint="cs"/>
          <w:sz w:val="20"/>
          <w:szCs w:val="20"/>
          <w:rtl/>
        </w:rPr>
        <w:t xml:space="preserve">. כן. </w:t>
      </w:r>
      <w:r w:rsidRPr="00AE5688">
        <w:rPr>
          <w:rFonts w:hint="cs"/>
          <w:b/>
          <w:bCs/>
          <w:sz w:val="20"/>
          <w:szCs w:val="20"/>
          <w:rtl/>
        </w:rPr>
        <w:t>ש"ך</w:t>
      </w:r>
      <w:r>
        <w:rPr>
          <w:rFonts w:hint="cs"/>
          <w:sz w:val="20"/>
          <w:szCs w:val="20"/>
          <w:rtl/>
        </w:rPr>
        <w:t>. לא.</w:t>
      </w:r>
    </w:p>
    <w:p w:rsidR="00620060" w:rsidRDefault="00620060" w:rsidP="00620060">
      <w:pPr>
        <w:rPr>
          <w:sz w:val="20"/>
          <w:szCs w:val="20"/>
          <w:rtl/>
        </w:rPr>
      </w:pPr>
      <w:r>
        <w:rPr>
          <w:sz w:val="20"/>
          <w:szCs w:val="20"/>
          <w:rtl/>
        </w:rPr>
        <w:br/>
      </w:r>
      <w:r>
        <w:rPr>
          <w:rFonts w:hint="cs"/>
          <w:b/>
          <w:bCs/>
          <w:sz w:val="20"/>
          <w:szCs w:val="20"/>
          <w:rtl/>
        </w:rPr>
        <w:t xml:space="preserve">סעיף יב </w:t>
      </w:r>
      <w:r>
        <w:rPr>
          <w:b/>
          <w:bCs/>
          <w:sz w:val="20"/>
          <w:szCs w:val="20"/>
          <w:rtl/>
        </w:rPr>
        <w:t>–</w:t>
      </w:r>
      <w:r>
        <w:rPr>
          <w:rFonts w:hint="cs"/>
          <w:b/>
          <w:bCs/>
          <w:sz w:val="20"/>
          <w:szCs w:val="20"/>
          <w:rtl/>
        </w:rPr>
        <w:t xml:space="preserve"> מתי נקבע ווסת הסירוג</w:t>
      </w:r>
      <w:r>
        <w:rPr>
          <w:b/>
          <w:bCs/>
          <w:sz w:val="20"/>
          <w:szCs w:val="20"/>
          <w:rtl/>
        </w:rPr>
        <w:t xml:space="preserve"> </w:t>
      </w:r>
      <w:r>
        <w:rPr>
          <w:b/>
          <w:b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שולחן ערוך </w:t>
      </w:r>
      <w:r w:rsidRPr="00385A2C">
        <w:rPr>
          <w:rFonts w:hint="cs"/>
          <w:sz w:val="18"/>
          <w:szCs w:val="18"/>
          <w:rtl/>
        </w:rPr>
        <w:t xml:space="preserve">(ע"פ הטור) </w:t>
      </w:r>
      <w:r>
        <w:rPr>
          <w:sz w:val="20"/>
          <w:szCs w:val="20"/>
          <w:rtl/>
        </w:rPr>
        <w:t>–</w:t>
      </w:r>
      <w:r>
        <w:rPr>
          <w:rFonts w:hint="cs"/>
          <w:sz w:val="20"/>
          <w:szCs w:val="20"/>
          <w:rtl/>
        </w:rPr>
        <w:t xml:space="preserve"> "</w:t>
      </w:r>
      <w:r w:rsidRPr="00385A2C">
        <w:rPr>
          <w:rFonts w:cs="Arial" w:hint="cs"/>
          <w:sz w:val="20"/>
          <w:szCs w:val="20"/>
          <w:rtl/>
        </w:rPr>
        <w:t>וסת</w:t>
      </w:r>
      <w:r w:rsidRPr="00385A2C">
        <w:rPr>
          <w:rFonts w:cs="Arial"/>
          <w:sz w:val="20"/>
          <w:szCs w:val="20"/>
          <w:rtl/>
        </w:rPr>
        <w:t xml:space="preserve"> </w:t>
      </w:r>
      <w:r w:rsidRPr="00385A2C">
        <w:rPr>
          <w:rFonts w:cs="Arial" w:hint="cs"/>
          <w:sz w:val="20"/>
          <w:szCs w:val="20"/>
          <w:rtl/>
        </w:rPr>
        <w:t>הסירוג</w:t>
      </w:r>
      <w:r w:rsidRPr="00385A2C">
        <w:rPr>
          <w:rFonts w:cs="Arial"/>
          <w:sz w:val="20"/>
          <w:szCs w:val="20"/>
          <w:rtl/>
        </w:rPr>
        <w:t xml:space="preserve">, </w:t>
      </w:r>
      <w:r w:rsidRPr="00385A2C">
        <w:rPr>
          <w:rFonts w:cs="Arial" w:hint="cs"/>
          <w:sz w:val="20"/>
          <w:szCs w:val="20"/>
          <w:rtl/>
        </w:rPr>
        <w:t>ראיה</w:t>
      </w:r>
      <w:r w:rsidRPr="00385A2C">
        <w:rPr>
          <w:rFonts w:cs="Arial"/>
          <w:sz w:val="20"/>
          <w:szCs w:val="20"/>
          <w:rtl/>
        </w:rPr>
        <w:t xml:space="preserve"> </w:t>
      </w:r>
      <w:r w:rsidRPr="00385A2C">
        <w:rPr>
          <w:rFonts w:cs="Arial" w:hint="cs"/>
          <w:sz w:val="20"/>
          <w:szCs w:val="20"/>
          <w:rtl/>
        </w:rPr>
        <w:t>ראשונה</w:t>
      </w:r>
      <w:r w:rsidRPr="00385A2C">
        <w:rPr>
          <w:rFonts w:cs="Arial"/>
          <w:sz w:val="20"/>
          <w:szCs w:val="20"/>
          <w:rtl/>
        </w:rPr>
        <w:t xml:space="preserve"> </w:t>
      </w:r>
      <w:r w:rsidRPr="00385A2C">
        <w:rPr>
          <w:rFonts w:cs="Arial" w:hint="cs"/>
          <w:sz w:val="20"/>
          <w:szCs w:val="20"/>
          <w:rtl/>
        </w:rPr>
        <w:t>מן</w:t>
      </w:r>
      <w:r w:rsidRPr="00385A2C">
        <w:rPr>
          <w:rFonts w:cs="Arial"/>
          <w:sz w:val="20"/>
          <w:szCs w:val="20"/>
          <w:rtl/>
        </w:rPr>
        <w:t xml:space="preserve"> </w:t>
      </w:r>
      <w:r w:rsidRPr="00385A2C">
        <w:rPr>
          <w:rFonts w:cs="Arial" w:hint="cs"/>
          <w:sz w:val="20"/>
          <w:szCs w:val="20"/>
          <w:rtl/>
        </w:rPr>
        <w:t>המנין</w:t>
      </w:r>
      <w:r w:rsidRPr="00385A2C">
        <w:rPr>
          <w:rFonts w:cs="Arial"/>
          <w:sz w:val="20"/>
          <w:szCs w:val="20"/>
          <w:rtl/>
        </w:rPr>
        <w:t xml:space="preserve">, </w:t>
      </w:r>
      <w:r w:rsidRPr="00385A2C">
        <w:rPr>
          <w:rFonts w:cs="Arial" w:hint="cs"/>
          <w:sz w:val="20"/>
          <w:szCs w:val="20"/>
          <w:rtl/>
        </w:rPr>
        <w:t>לדברי</w:t>
      </w:r>
      <w:r w:rsidRPr="00385A2C">
        <w:rPr>
          <w:rFonts w:cs="Arial"/>
          <w:sz w:val="20"/>
          <w:szCs w:val="20"/>
          <w:rtl/>
        </w:rPr>
        <w:t xml:space="preserve"> </w:t>
      </w:r>
      <w:r w:rsidRPr="00385A2C">
        <w:rPr>
          <w:rFonts w:cs="Arial" w:hint="cs"/>
          <w:sz w:val="20"/>
          <w:szCs w:val="20"/>
          <w:rtl/>
        </w:rPr>
        <w:t>הכל</w:t>
      </w:r>
      <w:r w:rsidRPr="00385A2C">
        <w:rPr>
          <w:rFonts w:cs="Arial"/>
          <w:sz w:val="20"/>
          <w:szCs w:val="20"/>
          <w:rtl/>
        </w:rPr>
        <w:t xml:space="preserve">, </w:t>
      </w:r>
      <w:r w:rsidRPr="00385A2C">
        <w:rPr>
          <w:rFonts w:cs="Arial" w:hint="cs"/>
          <w:sz w:val="20"/>
          <w:szCs w:val="20"/>
          <w:rtl/>
        </w:rPr>
        <w:t>ואף</w:t>
      </w:r>
      <w:r w:rsidRPr="00385A2C">
        <w:rPr>
          <w:rFonts w:cs="Arial"/>
          <w:sz w:val="20"/>
          <w:szCs w:val="20"/>
          <w:rtl/>
        </w:rPr>
        <w:t xml:space="preserve"> </w:t>
      </w:r>
      <w:r w:rsidRPr="00385A2C">
        <w:rPr>
          <w:rFonts w:cs="Arial" w:hint="cs"/>
          <w:sz w:val="20"/>
          <w:szCs w:val="20"/>
          <w:rtl/>
        </w:rPr>
        <w:t>על</w:t>
      </w:r>
      <w:r w:rsidRPr="00385A2C">
        <w:rPr>
          <w:rFonts w:cs="Arial"/>
          <w:sz w:val="20"/>
          <w:szCs w:val="20"/>
          <w:rtl/>
        </w:rPr>
        <w:t xml:space="preserve"> </w:t>
      </w:r>
      <w:r w:rsidRPr="00385A2C">
        <w:rPr>
          <w:rFonts w:cs="Arial" w:hint="cs"/>
          <w:sz w:val="20"/>
          <w:szCs w:val="20"/>
          <w:rtl/>
        </w:rPr>
        <w:t>פי</w:t>
      </w:r>
      <w:r w:rsidRPr="00385A2C">
        <w:rPr>
          <w:rFonts w:cs="Arial"/>
          <w:sz w:val="20"/>
          <w:szCs w:val="20"/>
          <w:rtl/>
        </w:rPr>
        <w:t xml:space="preserve"> </w:t>
      </w:r>
      <w:r w:rsidRPr="00385A2C">
        <w:rPr>
          <w:rFonts w:cs="Arial" w:hint="cs"/>
          <w:sz w:val="20"/>
          <w:szCs w:val="20"/>
          <w:rtl/>
        </w:rPr>
        <w:t>שהרחיקה</w:t>
      </w:r>
      <w:r w:rsidRPr="00385A2C">
        <w:rPr>
          <w:rFonts w:cs="Arial"/>
          <w:sz w:val="20"/>
          <w:szCs w:val="20"/>
          <w:rtl/>
        </w:rPr>
        <w:t xml:space="preserve"> </w:t>
      </w:r>
      <w:r w:rsidRPr="00385A2C">
        <w:rPr>
          <w:rFonts w:cs="Arial" w:hint="cs"/>
          <w:sz w:val="20"/>
          <w:szCs w:val="20"/>
          <w:rtl/>
        </w:rPr>
        <w:t>ראיותיה</w:t>
      </w:r>
      <w:r w:rsidRPr="00385A2C">
        <w:rPr>
          <w:rFonts w:cs="Arial"/>
          <w:sz w:val="20"/>
          <w:szCs w:val="20"/>
          <w:rtl/>
        </w:rPr>
        <w:t xml:space="preserve">. </w:t>
      </w:r>
      <w:r w:rsidRPr="00385A2C">
        <w:rPr>
          <w:rFonts w:cs="Arial" w:hint="cs"/>
          <w:sz w:val="20"/>
          <w:szCs w:val="20"/>
          <w:rtl/>
        </w:rPr>
        <w:t>אלא</w:t>
      </w:r>
      <w:r w:rsidRPr="00385A2C">
        <w:rPr>
          <w:rFonts w:cs="Arial"/>
          <w:sz w:val="20"/>
          <w:szCs w:val="20"/>
          <w:rtl/>
        </w:rPr>
        <w:t xml:space="preserve"> </w:t>
      </w:r>
      <w:r w:rsidRPr="00385A2C">
        <w:rPr>
          <w:rFonts w:cs="Arial" w:hint="cs"/>
          <w:sz w:val="20"/>
          <w:szCs w:val="20"/>
          <w:rtl/>
        </w:rPr>
        <w:t>שלענין</w:t>
      </w:r>
      <w:r w:rsidRPr="00385A2C">
        <w:rPr>
          <w:rFonts w:cs="Arial"/>
          <w:sz w:val="20"/>
          <w:szCs w:val="20"/>
          <w:rtl/>
        </w:rPr>
        <w:t xml:space="preserve"> </w:t>
      </w:r>
      <w:r w:rsidRPr="00385A2C">
        <w:rPr>
          <w:rFonts w:cs="Arial" w:hint="cs"/>
          <w:sz w:val="20"/>
          <w:szCs w:val="20"/>
          <w:rtl/>
        </w:rPr>
        <w:t>חשש</w:t>
      </w:r>
      <w:r w:rsidRPr="00385A2C">
        <w:rPr>
          <w:rFonts w:cs="Arial"/>
          <w:sz w:val="20"/>
          <w:szCs w:val="20"/>
          <w:rtl/>
        </w:rPr>
        <w:t xml:space="preserve"> </w:t>
      </w:r>
      <w:r w:rsidRPr="00385A2C">
        <w:rPr>
          <w:rFonts w:cs="Arial" w:hint="cs"/>
          <w:sz w:val="20"/>
          <w:szCs w:val="20"/>
          <w:rtl/>
        </w:rPr>
        <w:t>וסתה</w:t>
      </w:r>
      <w:r w:rsidRPr="00385A2C">
        <w:rPr>
          <w:rFonts w:cs="Arial"/>
          <w:sz w:val="20"/>
          <w:szCs w:val="20"/>
          <w:rtl/>
        </w:rPr>
        <w:t xml:space="preserve"> </w:t>
      </w:r>
      <w:r w:rsidRPr="00385A2C">
        <w:rPr>
          <w:rFonts w:cs="Arial" w:hint="cs"/>
          <w:sz w:val="20"/>
          <w:szCs w:val="20"/>
          <w:rtl/>
        </w:rPr>
        <w:t>בתחלה</w:t>
      </w:r>
      <w:r w:rsidRPr="00385A2C">
        <w:rPr>
          <w:rFonts w:cs="Arial"/>
          <w:sz w:val="20"/>
          <w:szCs w:val="20"/>
          <w:rtl/>
        </w:rPr>
        <w:t xml:space="preserve"> </w:t>
      </w:r>
      <w:r w:rsidRPr="00385A2C">
        <w:rPr>
          <w:rFonts w:cs="Arial" w:hint="cs"/>
          <w:sz w:val="20"/>
          <w:szCs w:val="20"/>
          <w:rtl/>
        </w:rPr>
        <w:t>הוא</w:t>
      </w:r>
      <w:r w:rsidRPr="00385A2C">
        <w:rPr>
          <w:rFonts w:cs="Arial"/>
          <w:sz w:val="20"/>
          <w:szCs w:val="20"/>
          <w:rtl/>
        </w:rPr>
        <w:t xml:space="preserve"> </w:t>
      </w:r>
      <w:r w:rsidRPr="00385A2C">
        <w:rPr>
          <w:rFonts w:cs="Arial" w:hint="cs"/>
          <w:sz w:val="20"/>
          <w:szCs w:val="20"/>
          <w:rtl/>
        </w:rPr>
        <w:t>שוה</w:t>
      </w:r>
      <w:r w:rsidRPr="00385A2C">
        <w:rPr>
          <w:rFonts w:cs="Arial"/>
          <w:sz w:val="20"/>
          <w:szCs w:val="20"/>
          <w:rtl/>
        </w:rPr>
        <w:t xml:space="preserve"> </w:t>
      </w:r>
      <w:r w:rsidRPr="00385A2C">
        <w:rPr>
          <w:rFonts w:cs="Arial" w:hint="cs"/>
          <w:sz w:val="20"/>
          <w:szCs w:val="20"/>
          <w:rtl/>
        </w:rPr>
        <w:t>לדילוג</w:t>
      </w:r>
      <w:r w:rsidRPr="00385A2C">
        <w:rPr>
          <w:rFonts w:cs="Arial"/>
          <w:sz w:val="20"/>
          <w:szCs w:val="20"/>
          <w:rtl/>
        </w:rPr>
        <w:t xml:space="preserve">, </w:t>
      </w:r>
      <w:r w:rsidRPr="00385A2C">
        <w:rPr>
          <w:rFonts w:cs="Arial" w:hint="cs"/>
          <w:sz w:val="20"/>
          <w:szCs w:val="20"/>
          <w:rtl/>
        </w:rPr>
        <w:t>שאינה</w:t>
      </w:r>
      <w:r w:rsidRPr="00385A2C">
        <w:rPr>
          <w:rFonts w:cs="Arial"/>
          <w:sz w:val="20"/>
          <w:szCs w:val="20"/>
          <w:rtl/>
        </w:rPr>
        <w:t xml:space="preserve"> </w:t>
      </w:r>
      <w:r w:rsidRPr="00385A2C">
        <w:rPr>
          <w:rFonts w:cs="Arial" w:hint="cs"/>
          <w:sz w:val="20"/>
          <w:szCs w:val="20"/>
          <w:rtl/>
        </w:rPr>
        <w:t>חוששת</w:t>
      </w:r>
      <w:r w:rsidRPr="00385A2C">
        <w:rPr>
          <w:rFonts w:cs="Arial"/>
          <w:sz w:val="20"/>
          <w:szCs w:val="20"/>
          <w:rtl/>
        </w:rPr>
        <w:t xml:space="preserve"> </w:t>
      </w:r>
      <w:r w:rsidRPr="00385A2C">
        <w:rPr>
          <w:rFonts w:cs="Arial" w:hint="cs"/>
          <w:sz w:val="20"/>
          <w:szCs w:val="20"/>
          <w:rtl/>
        </w:rPr>
        <w:t>אלא</w:t>
      </w:r>
      <w:r w:rsidRPr="00385A2C">
        <w:rPr>
          <w:rFonts w:cs="Arial"/>
          <w:sz w:val="20"/>
          <w:szCs w:val="20"/>
          <w:rtl/>
        </w:rPr>
        <w:t xml:space="preserve"> </w:t>
      </w:r>
      <w:r w:rsidRPr="00385A2C">
        <w:rPr>
          <w:rFonts w:cs="Arial" w:hint="cs"/>
          <w:sz w:val="20"/>
          <w:szCs w:val="20"/>
          <w:rtl/>
        </w:rPr>
        <w:t>מר</w:t>
      </w:r>
      <w:r w:rsidRPr="00385A2C">
        <w:rPr>
          <w:rFonts w:cs="Arial"/>
          <w:sz w:val="20"/>
          <w:szCs w:val="20"/>
          <w:rtl/>
        </w:rPr>
        <w:t>"</w:t>
      </w:r>
      <w:r w:rsidRPr="00385A2C">
        <w:rPr>
          <w:rFonts w:cs="Arial" w:hint="cs"/>
          <w:sz w:val="20"/>
          <w:szCs w:val="20"/>
          <w:rtl/>
        </w:rPr>
        <w:t>ח</w:t>
      </w:r>
      <w:r w:rsidRPr="00385A2C">
        <w:rPr>
          <w:rFonts w:cs="Arial"/>
          <w:sz w:val="20"/>
          <w:szCs w:val="20"/>
          <w:rtl/>
        </w:rPr>
        <w:t xml:space="preserve"> </w:t>
      </w:r>
      <w:r w:rsidRPr="00385A2C">
        <w:rPr>
          <w:rFonts w:cs="Arial" w:hint="cs"/>
          <w:sz w:val="20"/>
          <w:szCs w:val="20"/>
          <w:rtl/>
        </w:rPr>
        <w:t>לר</w:t>
      </w:r>
      <w:r w:rsidRPr="00385A2C">
        <w:rPr>
          <w:rFonts w:cs="Arial"/>
          <w:sz w:val="20"/>
          <w:szCs w:val="20"/>
          <w:rtl/>
        </w:rPr>
        <w:t>"</w:t>
      </w:r>
      <w:r w:rsidRPr="00385A2C">
        <w:rPr>
          <w:rFonts w:cs="Arial" w:hint="cs"/>
          <w:sz w:val="20"/>
          <w:szCs w:val="20"/>
          <w:rtl/>
        </w:rPr>
        <w:t>ח</w:t>
      </w:r>
      <w:r w:rsidRPr="00385A2C">
        <w:rPr>
          <w:rFonts w:cs="Arial"/>
          <w:sz w:val="20"/>
          <w:szCs w:val="20"/>
          <w:rtl/>
        </w:rPr>
        <w:t xml:space="preserve"> </w:t>
      </w:r>
      <w:r w:rsidRPr="00385A2C">
        <w:rPr>
          <w:rFonts w:cs="Arial" w:hint="cs"/>
          <w:sz w:val="20"/>
          <w:szCs w:val="20"/>
          <w:rtl/>
        </w:rPr>
        <w:t>הסמוך</w:t>
      </w:r>
      <w:r w:rsidRPr="00385A2C">
        <w:rPr>
          <w:rFonts w:cs="Arial"/>
          <w:sz w:val="20"/>
          <w:szCs w:val="20"/>
          <w:rtl/>
        </w:rPr>
        <w:t xml:space="preserve"> </w:t>
      </w:r>
      <w:r w:rsidRPr="00385A2C">
        <w:rPr>
          <w:rFonts w:cs="Arial" w:hint="cs"/>
          <w:sz w:val="20"/>
          <w:szCs w:val="20"/>
          <w:rtl/>
        </w:rPr>
        <w:t>לו</w:t>
      </w:r>
      <w:r w:rsidRPr="00385A2C">
        <w:rPr>
          <w:rFonts w:cs="Arial"/>
          <w:sz w:val="20"/>
          <w:szCs w:val="20"/>
          <w:rtl/>
        </w:rPr>
        <w:t xml:space="preserve">. </w:t>
      </w:r>
      <w:r w:rsidRPr="00385A2C">
        <w:rPr>
          <w:rFonts w:cs="Arial" w:hint="cs"/>
          <w:sz w:val="20"/>
          <w:szCs w:val="20"/>
          <w:rtl/>
        </w:rPr>
        <w:t>כגון</w:t>
      </w:r>
      <w:r w:rsidRPr="00385A2C">
        <w:rPr>
          <w:rFonts w:cs="Arial"/>
          <w:sz w:val="20"/>
          <w:szCs w:val="20"/>
          <w:rtl/>
        </w:rPr>
        <w:t xml:space="preserve"> </w:t>
      </w:r>
      <w:r w:rsidRPr="00385A2C">
        <w:rPr>
          <w:rFonts w:cs="Arial" w:hint="cs"/>
          <w:sz w:val="20"/>
          <w:szCs w:val="20"/>
          <w:rtl/>
        </w:rPr>
        <w:t>שראתה</w:t>
      </w:r>
      <w:r w:rsidRPr="00385A2C">
        <w:rPr>
          <w:rFonts w:cs="Arial"/>
          <w:sz w:val="20"/>
          <w:szCs w:val="20"/>
          <w:rtl/>
        </w:rPr>
        <w:t xml:space="preserve"> </w:t>
      </w:r>
      <w:r w:rsidRPr="00385A2C">
        <w:rPr>
          <w:rFonts w:cs="Arial" w:hint="cs"/>
          <w:sz w:val="20"/>
          <w:szCs w:val="20"/>
          <w:rtl/>
        </w:rPr>
        <w:t>בר</w:t>
      </w:r>
      <w:r w:rsidRPr="00385A2C">
        <w:rPr>
          <w:rFonts w:cs="Arial"/>
          <w:sz w:val="20"/>
          <w:szCs w:val="20"/>
          <w:rtl/>
        </w:rPr>
        <w:t>"</w:t>
      </w:r>
      <w:r w:rsidRPr="00385A2C">
        <w:rPr>
          <w:rFonts w:cs="Arial" w:hint="cs"/>
          <w:sz w:val="20"/>
          <w:szCs w:val="20"/>
          <w:rtl/>
        </w:rPr>
        <w:t>ח</w:t>
      </w:r>
      <w:r w:rsidRPr="00385A2C">
        <w:rPr>
          <w:rFonts w:cs="Arial"/>
          <w:sz w:val="20"/>
          <w:szCs w:val="20"/>
          <w:rtl/>
        </w:rPr>
        <w:t xml:space="preserve"> </w:t>
      </w:r>
      <w:r w:rsidRPr="00385A2C">
        <w:rPr>
          <w:rFonts w:cs="Arial" w:hint="cs"/>
          <w:sz w:val="20"/>
          <w:szCs w:val="20"/>
          <w:rtl/>
        </w:rPr>
        <w:t>ניסן</w:t>
      </w:r>
      <w:r w:rsidRPr="00385A2C">
        <w:rPr>
          <w:rFonts w:cs="Arial"/>
          <w:sz w:val="20"/>
          <w:szCs w:val="20"/>
          <w:rtl/>
        </w:rPr>
        <w:t xml:space="preserve">, </w:t>
      </w:r>
      <w:r w:rsidRPr="00385A2C">
        <w:rPr>
          <w:rFonts w:cs="Arial" w:hint="cs"/>
          <w:sz w:val="20"/>
          <w:szCs w:val="20"/>
          <w:rtl/>
        </w:rPr>
        <w:t>חוששת</w:t>
      </w:r>
      <w:r w:rsidRPr="00385A2C">
        <w:rPr>
          <w:rFonts w:cs="Arial"/>
          <w:sz w:val="20"/>
          <w:szCs w:val="20"/>
          <w:rtl/>
        </w:rPr>
        <w:t xml:space="preserve"> </w:t>
      </w:r>
      <w:r w:rsidRPr="00385A2C">
        <w:rPr>
          <w:rFonts w:cs="Arial" w:hint="cs"/>
          <w:sz w:val="20"/>
          <w:szCs w:val="20"/>
          <w:rtl/>
        </w:rPr>
        <w:t>לר</w:t>
      </w:r>
      <w:r w:rsidRPr="00385A2C">
        <w:rPr>
          <w:rFonts w:cs="Arial"/>
          <w:sz w:val="20"/>
          <w:szCs w:val="20"/>
          <w:rtl/>
        </w:rPr>
        <w:t>"</w:t>
      </w:r>
      <w:r w:rsidRPr="00385A2C">
        <w:rPr>
          <w:rFonts w:cs="Arial" w:hint="cs"/>
          <w:sz w:val="20"/>
          <w:szCs w:val="20"/>
          <w:rtl/>
        </w:rPr>
        <w:t>ח</w:t>
      </w:r>
      <w:r w:rsidRPr="00385A2C">
        <w:rPr>
          <w:rFonts w:cs="Arial"/>
          <w:sz w:val="20"/>
          <w:szCs w:val="20"/>
          <w:rtl/>
        </w:rPr>
        <w:t xml:space="preserve"> </w:t>
      </w:r>
      <w:r w:rsidRPr="00385A2C">
        <w:rPr>
          <w:rFonts w:cs="Arial" w:hint="cs"/>
          <w:sz w:val="20"/>
          <w:szCs w:val="20"/>
          <w:rtl/>
        </w:rPr>
        <w:t>אייר</w:t>
      </w:r>
      <w:r>
        <w:rPr>
          <w:rStyle w:val="a5"/>
          <w:rFonts w:cs="Arial"/>
          <w:sz w:val="20"/>
          <w:szCs w:val="20"/>
          <w:rtl/>
        </w:rPr>
        <w:footnoteReference w:id="187"/>
      </w:r>
      <w:r w:rsidRPr="00385A2C">
        <w:rPr>
          <w:rFonts w:cs="Arial"/>
          <w:sz w:val="20"/>
          <w:szCs w:val="20"/>
          <w:rtl/>
        </w:rPr>
        <w:t xml:space="preserve">, </w:t>
      </w:r>
      <w:r w:rsidRPr="00385A2C">
        <w:rPr>
          <w:rFonts w:cs="Arial" w:hint="cs"/>
          <w:sz w:val="20"/>
          <w:szCs w:val="20"/>
          <w:rtl/>
        </w:rPr>
        <w:t>ואם</w:t>
      </w:r>
      <w:r w:rsidRPr="00385A2C">
        <w:rPr>
          <w:rFonts w:cs="Arial"/>
          <w:sz w:val="20"/>
          <w:szCs w:val="20"/>
          <w:rtl/>
        </w:rPr>
        <w:t xml:space="preserve"> </w:t>
      </w:r>
      <w:r w:rsidRPr="00385A2C">
        <w:rPr>
          <w:rFonts w:cs="Arial" w:hint="cs"/>
          <w:sz w:val="20"/>
          <w:szCs w:val="20"/>
          <w:rtl/>
        </w:rPr>
        <w:t>לא</w:t>
      </w:r>
      <w:r w:rsidRPr="00385A2C">
        <w:rPr>
          <w:rFonts w:cs="Arial"/>
          <w:sz w:val="20"/>
          <w:szCs w:val="20"/>
          <w:rtl/>
        </w:rPr>
        <w:t xml:space="preserve"> </w:t>
      </w:r>
      <w:r w:rsidRPr="00385A2C">
        <w:rPr>
          <w:rFonts w:cs="Arial" w:hint="cs"/>
          <w:sz w:val="20"/>
          <w:szCs w:val="20"/>
          <w:rtl/>
        </w:rPr>
        <w:t>ראתה</w:t>
      </w:r>
      <w:r w:rsidRPr="00385A2C">
        <w:rPr>
          <w:rFonts w:cs="Arial"/>
          <w:sz w:val="20"/>
          <w:szCs w:val="20"/>
          <w:rtl/>
        </w:rPr>
        <w:t xml:space="preserve"> </w:t>
      </w:r>
      <w:r w:rsidRPr="00385A2C">
        <w:rPr>
          <w:rFonts w:cs="Arial" w:hint="cs"/>
          <w:sz w:val="20"/>
          <w:szCs w:val="20"/>
          <w:rtl/>
        </w:rPr>
        <w:t>עד</w:t>
      </w:r>
      <w:r w:rsidRPr="00385A2C">
        <w:rPr>
          <w:rFonts w:cs="Arial"/>
          <w:sz w:val="20"/>
          <w:szCs w:val="20"/>
          <w:rtl/>
        </w:rPr>
        <w:t xml:space="preserve"> </w:t>
      </w:r>
      <w:r w:rsidRPr="00385A2C">
        <w:rPr>
          <w:rFonts w:cs="Arial" w:hint="cs"/>
          <w:sz w:val="20"/>
          <w:szCs w:val="20"/>
          <w:rtl/>
        </w:rPr>
        <w:t>ר</w:t>
      </w:r>
      <w:r w:rsidRPr="00385A2C">
        <w:rPr>
          <w:rFonts w:cs="Arial"/>
          <w:sz w:val="20"/>
          <w:szCs w:val="20"/>
          <w:rtl/>
        </w:rPr>
        <w:t>"</w:t>
      </w:r>
      <w:r w:rsidRPr="00385A2C">
        <w:rPr>
          <w:rFonts w:cs="Arial" w:hint="cs"/>
          <w:sz w:val="20"/>
          <w:szCs w:val="20"/>
          <w:rtl/>
        </w:rPr>
        <w:t>ח</w:t>
      </w:r>
      <w:r w:rsidRPr="00385A2C">
        <w:rPr>
          <w:rFonts w:cs="Arial"/>
          <w:sz w:val="20"/>
          <w:szCs w:val="20"/>
          <w:rtl/>
        </w:rPr>
        <w:t xml:space="preserve"> </w:t>
      </w:r>
      <w:r w:rsidRPr="00385A2C">
        <w:rPr>
          <w:rFonts w:cs="Arial" w:hint="cs"/>
          <w:sz w:val="20"/>
          <w:szCs w:val="20"/>
          <w:rtl/>
        </w:rPr>
        <w:t>סיון</w:t>
      </w:r>
      <w:r w:rsidRPr="00385A2C">
        <w:rPr>
          <w:rFonts w:cs="Arial"/>
          <w:sz w:val="20"/>
          <w:szCs w:val="20"/>
          <w:rtl/>
        </w:rPr>
        <w:t xml:space="preserve">, </w:t>
      </w:r>
      <w:r w:rsidRPr="00385A2C">
        <w:rPr>
          <w:rFonts w:cs="Arial" w:hint="cs"/>
          <w:sz w:val="20"/>
          <w:szCs w:val="20"/>
          <w:rtl/>
        </w:rPr>
        <w:t>חוששת</w:t>
      </w:r>
      <w:r w:rsidRPr="00385A2C">
        <w:rPr>
          <w:rFonts w:cs="Arial"/>
          <w:sz w:val="20"/>
          <w:szCs w:val="20"/>
          <w:rtl/>
        </w:rPr>
        <w:t xml:space="preserve"> </w:t>
      </w:r>
      <w:r w:rsidRPr="00385A2C">
        <w:rPr>
          <w:rFonts w:cs="Arial" w:hint="cs"/>
          <w:sz w:val="20"/>
          <w:szCs w:val="20"/>
          <w:rtl/>
        </w:rPr>
        <w:t>לר</w:t>
      </w:r>
      <w:r w:rsidRPr="00385A2C">
        <w:rPr>
          <w:rFonts w:cs="Arial"/>
          <w:sz w:val="20"/>
          <w:szCs w:val="20"/>
          <w:rtl/>
        </w:rPr>
        <w:t>"</w:t>
      </w:r>
      <w:r w:rsidRPr="00385A2C">
        <w:rPr>
          <w:rFonts w:cs="Arial" w:hint="cs"/>
          <w:sz w:val="20"/>
          <w:szCs w:val="20"/>
          <w:rtl/>
        </w:rPr>
        <w:t>ח</w:t>
      </w:r>
      <w:r w:rsidRPr="00385A2C">
        <w:rPr>
          <w:rFonts w:cs="Arial"/>
          <w:sz w:val="20"/>
          <w:szCs w:val="20"/>
          <w:rtl/>
        </w:rPr>
        <w:t xml:space="preserve"> </w:t>
      </w:r>
      <w:r w:rsidRPr="00385A2C">
        <w:rPr>
          <w:rFonts w:cs="Arial" w:hint="cs"/>
          <w:sz w:val="20"/>
          <w:szCs w:val="20"/>
          <w:rtl/>
        </w:rPr>
        <w:t>תמוז</w:t>
      </w:r>
      <w:r w:rsidRPr="00385A2C">
        <w:rPr>
          <w:rFonts w:cs="Arial"/>
          <w:sz w:val="20"/>
          <w:szCs w:val="20"/>
          <w:rtl/>
        </w:rPr>
        <w:t xml:space="preserve">, </w:t>
      </w:r>
      <w:r w:rsidRPr="00385A2C">
        <w:rPr>
          <w:rFonts w:cs="Arial" w:hint="cs"/>
          <w:sz w:val="20"/>
          <w:szCs w:val="20"/>
          <w:rtl/>
        </w:rPr>
        <w:t>הסמוך</w:t>
      </w:r>
      <w:r w:rsidRPr="00385A2C">
        <w:rPr>
          <w:rFonts w:cs="Arial"/>
          <w:sz w:val="20"/>
          <w:szCs w:val="20"/>
          <w:rtl/>
        </w:rPr>
        <w:t xml:space="preserve"> </w:t>
      </w:r>
      <w:r w:rsidRPr="00385A2C">
        <w:rPr>
          <w:rFonts w:cs="Arial" w:hint="cs"/>
          <w:sz w:val="20"/>
          <w:szCs w:val="20"/>
          <w:rtl/>
        </w:rPr>
        <w:t>לו</w:t>
      </w:r>
      <w:r w:rsidRPr="00385A2C">
        <w:rPr>
          <w:rFonts w:cs="Arial"/>
          <w:sz w:val="20"/>
          <w:szCs w:val="20"/>
          <w:rtl/>
        </w:rPr>
        <w:t xml:space="preserve">, </w:t>
      </w:r>
      <w:r w:rsidRPr="00385A2C">
        <w:rPr>
          <w:rFonts w:cs="Arial" w:hint="cs"/>
          <w:sz w:val="20"/>
          <w:szCs w:val="20"/>
          <w:rtl/>
        </w:rPr>
        <w:t>ואם</w:t>
      </w:r>
      <w:r w:rsidRPr="00385A2C">
        <w:rPr>
          <w:rFonts w:cs="Arial"/>
          <w:sz w:val="20"/>
          <w:szCs w:val="20"/>
          <w:rtl/>
        </w:rPr>
        <w:t xml:space="preserve"> </w:t>
      </w:r>
      <w:r w:rsidRPr="00385A2C">
        <w:rPr>
          <w:rFonts w:cs="Arial" w:hint="cs"/>
          <w:sz w:val="20"/>
          <w:szCs w:val="20"/>
          <w:rtl/>
        </w:rPr>
        <w:t>לא</w:t>
      </w:r>
      <w:r w:rsidRPr="00385A2C">
        <w:rPr>
          <w:rFonts w:cs="Arial"/>
          <w:sz w:val="20"/>
          <w:szCs w:val="20"/>
          <w:rtl/>
        </w:rPr>
        <w:t xml:space="preserve"> </w:t>
      </w:r>
      <w:r w:rsidRPr="00385A2C">
        <w:rPr>
          <w:rFonts w:cs="Arial" w:hint="cs"/>
          <w:sz w:val="20"/>
          <w:szCs w:val="20"/>
          <w:rtl/>
        </w:rPr>
        <w:t>ראתה</w:t>
      </w:r>
      <w:r w:rsidRPr="00385A2C">
        <w:rPr>
          <w:rFonts w:cs="Arial"/>
          <w:sz w:val="20"/>
          <w:szCs w:val="20"/>
          <w:rtl/>
        </w:rPr>
        <w:t xml:space="preserve"> </w:t>
      </w:r>
      <w:r w:rsidRPr="00385A2C">
        <w:rPr>
          <w:rFonts w:cs="Arial" w:hint="cs"/>
          <w:sz w:val="20"/>
          <w:szCs w:val="20"/>
          <w:rtl/>
        </w:rPr>
        <w:t>בר</w:t>
      </w:r>
      <w:r w:rsidRPr="00385A2C">
        <w:rPr>
          <w:rFonts w:cs="Arial"/>
          <w:sz w:val="20"/>
          <w:szCs w:val="20"/>
          <w:rtl/>
        </w:rPr>
        <w:t>"</w:t>
      </w:r>
      <w:r w:rsidRPr="00385A2C">
        <w:rPr>
          <w:rFonts w:cs="Arial" w:hint="cs"/>
          <w:sz w:val="20"/>
          <w:szCs w:val="20"/>
          <w:rtl/>
        </w:rPr>
        <w:t>ח</w:t>
      </w:r>
      <w:r w:rsidRPr="00385A2C">
        <w:rPr>
          <w:rFonts w:cs="Arial"/>
          <w:sz w:val="20"/>
          <w:szCs w:val="20"/>
          <w:rtl/>
        </w:rPr>
        <w:t xml:space="preserve"> </w:t>
      </w:r>
      <w:r w:rsidRPr="00385A2C">
        <w:rPr>
          <w:rFonts w:cs="Arial" w:hint="cs"/>
          <w:sz w:val="20"/>
          <w:szCs w:val="20"/>
          <w:rtl/>
        </w:rPr>
        <w:t>תמוז</w:t>
      </w:r>
      <w:r w:rsidRPr="00385A2C">
        <w:rPr>
          <w:rFonts w:cs="Arial"/>
          <w:sz w:val="20"/>
          <w:szCs w:val="20"/>
          <w:rtl/>
        </w:rPr>
        <w:t xml:space="preserve">, </w:t>
      </w:r>
      <w:r w:rsidRPr="00385A2C">
        <w:rPr>
          <w:rFonts w:cs="Arial" w:hint="cs"/>
          <w:sz w:val="20"/>
          <w:szCs w:val="20"/>
          <w:rtl/>
        </w:rPr>
        <w:t>אינה</w:t>
      </w:r>
      <w:r w:rsidRPr="00385A2C">
        <w:rPr>
          <w:rFonts w:cs="Arial"/>
          <w:sz w:val="20"/>
          <w:szCs w:val="20"/>
          <w:rtl/>
        </w:rPr>
        <w:t xml:space="preserve"> </w:t>
      </w:r>
      <w:r w:rsidRPr="00385A2C">
        <w:rPr>
          <w:rFonts w:cs="Arial" w:hint="cs"/>
          <w:sz w:val="20"/>
          <w:szCs w:val="20"/>
          <w:rtl/>
        </w:rPr>
        <w:t>חוששת</w:t>
      </w:r>
      <w:r w:rsidRPr="00385A2C">
        <w:rPr>
          <w:rFonts w:cs="Arial"/>
          <w:sz w:val="20"/>
          <w:szCs w:val="20"/>
          <w:rtl/>
        </w:rPr>
        <w:t xml:space="preserve"> </w:t>
      </w:r>
      <w:r w:rsidRPr="00385A2C">
        <w:rPr>
          <w:rFonts w:cs="Arial" w:hint="cs"/>
          <w:sz w:val="20"/>
          <w:szCs w:val="20"/>
          <w:rtl/>
        </w:rPr>
        <w:t>לר</w:t>
      </w:r>
      <w:r w:rsidRPr="00385A2C">
        <w:rPr>
          <w:rFonts w:cs="Arial"/>
          <w:sz w:val="20"/>
          <w:szCs w:val="20"/>
          <w:rtl/>
        </w:rPr>
        <w:t>"</w:t>
      </w:r>
      <w:r w:rsidRPr="00385A2C">
        <w:rPr>
          <w:rFonts w:cs="Arial" w:hint="cs"/>
          <w:sz w:val="20"/>
          <w:szCs w:val="20"/>
          <w:rtl/>
        </w:rPr>
        <w:t>ח</w:t>
      </w:r>
      <w:r w:rsidRPr="00385A2C">
        <w:rPr>
          <w:rFonts w:cs="Arial"/>
          <w:sz w:val="20"/>
          <w:szCs w:val="20"/>
          <w:rtl/>
        </w:rPr>
        <w:t xml:space="preserve"> </w:t>
      </w:r>
      <w:r w:rsidRPr="00385A2C">
        <w:rPr>
          <w:rFonts w:cs="Arial" w:hint="cs"/>
          <w:sz w:val="20"/>
          <w:szCs w:val="20"/>
          <w:rtl/>
        </w:rPr>
        <w:t>אב</w:t>
      </w:r>
      <w:r w:rsidRPr="00385A2C">
        <w:rPr>
          <w:rFonts w:cs="Arial"/>
          <w:sz w:val="20"/>
          <w:szCs w:val="20"/>
          <w:rtl/>
        </w:rPr>
        <w:t xml:space="preserve">, </w:t>
      </w:r>
      <w:r w:rsidRPr="00385A2C">
        <w:rPr>
          <w:rFonts w:cs="Arial" w:hint="cs"/>
          <w:sz w:val="20"/>
          <w:szCs w:val="20"/>
          <w:rtl/>
        </w:rPr>
        <w:t>אף</w:t>
      </w:r>
      <w:r w:rsidRPr="00385A2C">
        <w:rPr>
          <w:rFonts w:cs="Arial"/>
          <w:sz w:val="20"/>
          <w:szCs w:val="20"/>
          <w:rtl/>
        </w:rPr>
        <w:t xml:space="preserve"> </w:t>
      </w:r>
      <w:r w:rsidRPr="00385A2C">
        <w:rPr>
          <w:rFonts w:cs="Arial" w:hint="cs"/>
          <w:sz w:val="20"/>
          <w:szCs w:val="20"/>
          <w:rtl/>
        </w:rPr>
        <w:t>על</w:t>
      </w:r>
      <w:r w:rsidRPr="00385A2C">
        <w:rPr>
          <w:rFonts w:cs="Arial"/>
          <w:sz w:val="20"/>
          <w:szCs w:val="20"/>
          <w:rtl/>
        </w:rPr>
        <w:t xml:space="preserve"> </w:t>
      </w:r>
      <w:r w:rsidRPr="00385A2C">
        <w:rPr>
          <w:rFonts w:cs="Arial" w:hint="cs"/>
          <w:sz w:val="20"/>
          <w:szCs w:val="20"/>
          <w:rtl/>
        </w:rPr>
        <w:t>פי</w:t>
      </w:r>
      <w:r w:rsidRPr="00385A2C">
        <w:rPr>
          <w:rFonts w:cs="Arial"/>
          <w:sz w:val="20"/>
          <w:szCs w:val="20"/>
          <w:rtl/>
        </w:rPr>
        <w:t xml:space="preserve"> </w:t>
      </w:r>
      <w:r w:rsidRPr="00385A2C">
        <w:rPr>
          <w:rFonts w:cs="Arial" w:hint="cs"/>
          <w:sz w:val="20"/>
          <w:szCs w:val="20"/>
          <w:rtl/>
        </w:rPr>
        <w:t>שהם</w:t>
      </w:r>
      <w:r w:rsidRPr="00385A2C">
        <w:rPr>
          <w:rFonts w:cs="Arial"/>
          <w:sz w:val="20"/>
          <w:szCs w:val="20"/>
          <w:rtl/>
        </w:rPr>
        <w:t xml:space="preserve"> </w:t>
      </w:r>
      <w:r w:rsidRPr="00385A2C">
        <w:rPr>
          <w:rFonts w:cs="Arial" w:hint="cs"/>
          <w:sz w:val="20"/>
          <w:szCs w:val="20"/>
          <w:rtl/>
        </w:rPr>
        <w:t>הפלגת</w:t>
      </w:r>
      <w:r w:rsidRPr="00385A2C">
        <w:rPr>
          <w:rFonts w:cs="Arial"/>
          <w:sz w:val="20"/>
          <w:szCs w:val="20"/>
          <w:rtl/>
        </w:rPr>
        <w:t xml:space="preserve"> </w:t>
      </w:r>
      <w:r w:rsidRPr="00385A2C">
        <w:rPr>
          <w:rFonts w:cs="Arial" w:hint="cs"/>
          <w:sz w:val="20"/>
          <w:szCs w:val="20"/>
          <w:rtl/>
        </w:rPr>
        <w:t>ב</w:t>
      </w:r>
      <w:r w:rsidRPr="00385A2C">
        <w:rPr>
          <w:rFonts w:cs="Arial"/>
          <w:sz w:val="20"/>
          <w:szCs w:val="20"/>
          <w:rtl/>
        </w:rPr>
        <w:t xml:space="preserve">' </w:t>
      </w:r>
      <w:r w:rsidRPr="00385A2C">
        <w:rPr>
          <w:rFonts w:cs="Arial" w:hint="cs"/>
          <w:sz w:val="20"/>
          <w:szCs w:val="20"/>
          <w:rtl/>
        </w:rPr>
        <w:t>חדשים</w:t>
      </w:r>
      <w:r w:rsidRPr="00385A2C">
        <w:rPr>
          <w:rFonts w:cs="Arial"/>
          <w:sz w:val="20"/>
          <w:szCs w:val="20"/>
          <w:rtl/>
        </w:rPr>
        <w:t xml:space="preserve"> </w:t>
      </w:r>
      <w:r w:rsidRPr="00385A2C">
        <w:rPr>
          <w:rFonts w:cs="Arial" w:hint="cs"/>
          <w:sz w:val="20"/>
          <w:szCs w:val="20"/>
          <w:rtl/>
        </w:rPr>
        <w:t>כעין</w:t>
      </w:r>
      <w:r w:rsidRPr="00385A2C">
        <w:rPr>
          <w:rFonts w:cs="Arial"/>
          <w:sz w:val="20"/>
          <w:szCs w:val="20"/>
          <w:rtl/>
        </w:rPr>
        <w:t xml:space="preserve"> </w:t>
      </w:r>
      <w:r w:rsidRPr="00385A2C">
        <w:rPr>
          <w:rFonts w:cs="Arial" w:hint="cs"/>
          <w:sz w:val="20"/>
          <w:szCs w:val="20"/>
          <w:rtl/>
        </w:rPr>
        <w:t>ההפלגה</w:t>
      </w:r>
      <w:r w:rsidRPr="00385A2C">
        <w:rPr>
          <w:rFonts w:cs="Arial"/>
          <w:sz w:val="20"/>
          <w:szCs w:val="20"/>
          <w:rtl/>
        </w:rPr>
        <w:t xml:space="preserve"> </w:t>
      </w:r>
      <w:r w:rsidRPr="00385A2C">
        <w:rPr>
          <w:rFonts w:cs="Arial" w:hint="cs"/>
          <w:sz w:val="20"/>
          <w:szCs w:val="20"/>
          <w:rtl/>
        </w:rPr>
        <w:t>הראשונה</w:t>
      </w:r>
      <w:r w:rsidRPr="00385A2C">
        <w:rPr>
          <w:rFonts w:cs="Arial"/>
          <w:sz w:val="20"/>
          <w:szCs w:val="20"/>
          <w:rtl/>
        </w:rPr>
        <w:t xml:space="preserve">, </w:t>
      </w:r>
      <w:r w:rsidRPr="00385A2C">
        <w:rPr>
          <w:rFonts w:cs="Arial" w:hint="cs"/>
          <w:sz w:val="20"/>
          <w:szCs w:val="20"/>
          <w:rtl/>
        </w:rPr>
        <w:t>מפני</w:t>
      </w:r>
      <w:r w:rsidRPr="00385A2C">
        <w:rPr>
          <w:rFonts w:cs="Arial"/>
          <w:sz w:val="20"/>
          <w:szCs w:val="20"/>
          <w:rtl/>
        </w:rPr>
        <w:t xml:space="preserve"> </w:t>
      </w:r>
      <w:r w:rsidRPr="00385A2C">
        <w:rPr>
          <w:rFonts w:cs="Arial" w:hint="cs"/>
          <w:sz w:val="20"/>
          <w:szCs w:val="20"/>
          <w:rtl/>
        </w:rPr>
        <w:t>שהפסקת</w:t>
      </w:r>
      <w:r w:rsidRPr="00385A2C">
        <w:rPr>
          <w:rFonts w:cs="Arial"/>
          <w:sz w:val="20"/>
          <w:szCs w:val="20"/>
          <w:rtl/>
        </w:rPr>
        <w:t xml:space="preserve"> </w:t>
      </w:r>
      <w:r w:rsidRPr="00385A2C">
        <w:rPr>
          <w:rFonts w:cs="Arial" w:hint="cs"/>
          <w:sz w:val="20"/>
          <w:szCs w:val="20"/>
          <w:rtl/>
        </w:rPr>
        <w:t>החדש</w:t>
      </w:r>
      <w:r w:rsidRPr="00385A2C">
        <w:rPr>
          <w:rFonts w:cs="Arial"/>
          <w:sz w:val="20"/>
          <w:szCs w:val="20"/>
          <w:rtl/>
        </w:rPr>
        <w:t xml:space="preserve"> </w:t>
      </w:r>
      <w:r w:rsidRPr="00385A2C">
        <w:rPr>
          <w:rFonts w:cs="Arial" w:hint="cs"/>
          <w:sz w:val="20"/>
          <w:szCs w:val="20"/>
          <w:rtl/>
        </w:rPr>
        <w:t>השני</w:t>
      </w:r>
      <w:r w:rsidRPr="00385A2C">
        <w:rPr>
          <w:rFonts w:cs="Arial"/>
          <w:sz w:val="20"/>
          <w:szCs w:val="20"/>
          <w:rtl/>
        </w:rPr>
        <w:t xml:space="preserve"> </w:t>
      </w:r>
      <w:r w:rsidRPr="00385A2C">
        <w:rPr>
          <w:rFonts w:cs="Arial" w:hint="cs"/>
          <w:sz w:val="20"/>
          <w:szCs w:val="20"/>
          <w:rtl/>
        </w:rPr>
        <w:t>ביטלה</w:t>
      </w:r>
      <w:r w:rsidRPr="00385A2C">
        <w:rPr>
          <w:rFonts w:cs="Arial"/>
          <w:sz w:val="20"/>
          <w:szCs w:val="20"/>
          <w:rtl/>
        </w:rPr>
        <w:t xml:space="preserve"> </w:t>
      </w:r>
      <w:r w:rsidRPr="00385A2C">
        <w:rPr>
          <w:rFonts w:cs="Arial" w:hint="cs"/>
          <w:sz w:val="20"/>
          <w:szCs w:val="20"/>
          <w:rtl/>
        </w:rPr>
        <w:t>ראיית</w:t>
      </w:r>
      <w:r w:rsidRPr="00385A2C">
        <w:rPr>
          <w:rFonts w:cs="Arial"/>
          <w:sz w:val="20"/>
          <w:szCs w:val="20"/>
          <w:rtl/>
        </w:rPr>
        <w:t xml:space="preserve"> </w:t>
      </w:r>
      <w:r w:rsidRPr="00385A2C">
        <w:rPr>
          <w:rFonts w:cs="Arial" w:hint="cs"/>
          <w:sz w:val="20"/>
          <w:szCs w:val="20"/>
          <w:rtl/>
        </w:rPr>
        <w:t>הראשון</w:t>
      </w:r>
      <w:r w:rsidRPr="00385A2C">
        <w:rPr>
          <w:rFonts w:cs="Arial"/>
          <w:sz w:val="20"/>
          <w:szCs w:val="20"/>
          <w:rtl/>
        </w:rPr>
        <w:t xml:space="preserve">, </w:t>
      </w:r>
      <w:r w:rsidRPr="00385A2C">
        <w:rPr>
          <w:rFonts w:cs="Arial" w:hint="cs"/>
          <w:sz w:val="20"/>
          <w:szCs w:val="20"/>
          <w:rtl/>
        </w:rPr>
        <w:t>וראיית</w:t>
      </w:r>
      <w:r w:rsidRPr="00385A2C">
        <w:rPr>
          <w:rFonts w:cs="Arial"/>
          <w:sz w:val="20"/>
          <w:szCs w:val="20"/>
          <w:rtl/>
        </w:rPr>
        <w:t xml:space="preserve"> </w:t>
      </w:r>
      <w:r w:rsidRPr="00385A2C">
        <w:rPr>
          <w:rFonts w:cs="Arial" w:hint="cs"/>
          <w:sz w:val="20"/>
          <w:szCs w:val="20"/>
          <w:rtl/>
        </w:rPr>
        <w:t>החודש</w:t>
      </w:r>
      <w:r w:rsidRPr="00385A2C">
        <w:rPr>
          <w:rFonts w:cs="Arial"/>
          <w:sz w:val="20"/>
          <w:szCs w:val="20"/>
          <w:rtl/>
        </w:rPr>
        <w:t xml:space="preserve"> </w:t>
      </w:r>
      <w:r w:rsidRPr="00385A2C">
        <w:rPr>
          <w:rFonts w:cs="Arial" w:hint="cs"/>
          <w:sz w:val="20"/>
          <w:szCs w:val="20"/>
          <w:rtl/>
        </w:rPr>
        <w:t>השלישי</w:t>
      </w:r>
      <w:r w:rsidRPr="00385A2C">
        <w:rPr>
          <w:rFonts w:cs="Arial"/>
          <w:sz w:val="20"/>
          <w:szCs w:val="20"/>
          <w:rtl/>
        </w:rPr>
        <w:t xml:space="preserve"> </w:t>
      </w:r>
      <w:r w:rsidRPr="00385A2C">
        <w:rPr>
          <w:rFonts w:cs="Arial" w:hint="cs"/>
          <w:sz w:val="20"/>
          <w:szCs w:val="20"/>
          <w:rtl/>
        </w:rPr>
        <w:t>היא</w:t>
      </w:r>
      <w:r w:rsidRPr="00385A2C">
        <w:rPr>
          <w:rFonts w:cs="Arial"/>
          <w:sz w:val="20"/>
          <w:szCs w:val="20"/>
          <w:rtl/>
        </w:rPr>
        <w:t xml:space="preserve"> </w:t>
      </w:r>
      <w:r w:rsidRPr="00385A2C">
        <w:rPr>
          <w:rFonts w:cs="Arial" w:hint="cs"/>
          <w:sz w:val="20"/>
          <w:szCs w:val="20"/>
          <w:rtl/>
        </w:rPr>
        <w:t>התחלת</w:t>
      </w:r>
      <w:r w:rsidRPr="00385A2C">
        <w:rPr>
          <w:rFonts w:cs="Arial"/>
          <w:sz w:val="20"/>
          <w:szCs w:val="20"/>
          <w:rtl/>
        </w:rPr>
        <w:t xml:space="preserve"> </w:t>
      </w:r>
      <w:r w:rsidRPr="00385A2C">
        <w:rPr>
          <w:rFonts w:cs="Arial" w:hint="cs"/>
          <w:sz w:val="20"/>
          <w:szCs w:val="20"/>
          <w:rtl/>
        </w:rPr>
        <w:t>וסת</w:t>
      </w:r>
      <w:r w:rsidRPr="00385A2C">
        <w:rPr>
          <w:rFonts w:cs="Arial"/>
          <w:sz w:val="20"/>
          <w:szCs w:val="20"/>
          <w:rtl/>
        </w:rPr>
        <w:t xml:space="preserve">, </w:t>
      </w:r>
      <w:r w:rsidRPr="00385A2C">
        <w:rPr>
          <w:rFonts w:cs="Arial" w:hint="cs"/>
          <w:sz w:val="20"/>
          <w:szCs w:val="20"/>
          <w:rtl/>
        </w:rPr>
        <w:t>וחוששת</w:t>
      </w:r>
      <w:r w:rsidRPr="00385A2C">
        <w:rPr>
          <w:rFonts w:cs="Arial"/>
          <w:sz w:val="20"/>
          <w:szCs w:val="20"/>
          <w:rtl/>
        </w:rPr>
        <w:t xml:space="preserve"> </w:t>
      </w:r>
      <w:r w:rsidRPr="00385A2C">
        <w:rPr>
          <w:rFonts w:cs="Arial" w:hint="cs"/>
          <w:sz w:val="20"/>
          <w:szCs w:val="20"/>
          <w:rtl/>
        </w:rPr>
        <w:t>לר</w:t>
      </w:r>
      <w:r w:rsidRPr="00385A2C">
        <w:rPr>
          <w:rFonts w:cs="Arial"/>
          <w:sz w:val="20"/>
          <w:szCs w:val="20"/>
          <w:rtl/>
        </w:rPr>
        <w:t>"</w:t>
      </w:r>
      <w:r w:rsidRPr="00385A2C">
        <w:rPr>
          <w:rFonts w:cs="Arial" w:hint="cs"/>
          <w:sz w:val="20"/>
          <w:szCs w:val="20"/>
          <w:rtl/>
        </w:rPr>
        <w:t>ח</w:t>
      </w:r>
      <w:r w:rsidRPr="00385A2C">
        <w:rPr>
          <w:rFonts w:cs="Arial"/>
          <w:sz w:val="20"/>
          <w:szCs w:val="20"/>
          <w:rtl/>
        </w:rPr>
        <w:t xml:space="preserve"> </w:t>
      </w:r>
      <w:r w:rsidRPr="00385A2C">
        <w:rPr>
          <w:rFonts w:cs="Arial" w:hint="cs"/>
          <w:sz w:val="20"/>
          <w:szCs w:val="20"/>
          <w:rtl/>
        </w:rPr>
        <w:t>הסמוך</w:t>
      </w:r>
      <w:r w:rsidRPr="00385A2C">
        <w:rPr>
          <w:rFonts w:cs="Arial"/>
          <w:sz w:val="20"/>
          <w:szCs w:val="20"/>
          <w:rtl/>
        </w:rPr>
        <w:t xml:space="preserve">, </w:t>
      </w:r>
      <w:r w:rsidRPr="00385A2C">
        <w:rPr>
          <w:rFonts w:cs="Arial" w:hint="cs"/>
          <w:sz w:val="20"/>
          <w:szCs w:val="20"/>
          <w:rtl/>
        </w:rPr>
        <w:t>ולא</w:t>
      </w:r>
      <w:r w:rsidRPr="00385A2C">
        <w:rPr>
          <w:rFonts w:cs="Arial"/>
          <w:sz w:val="20"/>
          <w:szCs w:val="20"/>
          <w:rtl/>
        </w:rPr>
        <w:t xml:space="preserve"> </w:t>
      </w:r>
      <w:r w:rsidRPr="00385A2C">
        <w:rPr>
          <w:rFonts w:cs="Arial" w:hint="cs"/>
          <w:sz w:val="20"/>
          <w:szCs w:val="20"/>
          <w:rtl/>
        </w:rPr>
        <w:t>יותר</w:t>
      </w:r>
      <w:r>
        <w:rPr>
          <w:rFonts w:cs="Arial" w:hint="cs"/>
          <w:sz w:val="20"/>
          <w:szCs w:val="20"/>
          <w:rtl/>
        </w:rPr>
        <w:t>".</w:t>
      </w:r>
    </w:p>
    <w:p w:rsidR="00620060" w:rsidRDefault="00620060" w:rsidP="00620060">
      <w:pPr>
        <w:rPr>
          <w:sz w:val="20"/>
          <w:szCs w:val="20"/>
          <w:rtl/>
        </w:rPr>
      </w:pPr>
      <w:r>
        <w:rPr>
          <w:rFonts w:hint="cs"/>
          <w:sz w:val="20"/>
          <w:szCs w:val="20"/>
          <w:u w:val="single"/>
          <w:rtl/>
        </w:rPr>
        <w:t>הסבר 'לדברי הכל'</w:t>
      </w:r>
      <w:r>
        <w:rPr>
          <w:sz w:val="20"/>
          <w:szCs w:val="20"/>
          <w:u w:val="single"/>
          <w:rtl/>
        </w:rPr>
        <w:br/>
      </w:r>
      <w:r>
        <w:rPr>
          <w:rFonts w:hint="cs"/>
          <w:sz w:val="20"/>
          <w:szCs w:val="20"/>
          <w:rtl/>
        </w:rPr>
        <w:t xml:space="preserve">א. </w:t>
      </w:r>
      <w:r>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אע"פ שדעת שמואל </w:t>
      </w:r>
      <w:r w:rsidRPr="00E5490B">
        <w:rPr>
          <w:rFonts w:hint="cs"/>
          <w:sz w:val="18"/>
          <w:szCs w:val="18"/>
          <w:rtl/>
        </w:rPr>
        <w:t xml:space="preserve">(לעיל בסעיף ז) </w:t>
      </w:r>
      <w:r>
        <w:rPr>
          <w:rFonts w:hint="cs"/>
          <w:sz w:val="20"/>
          <w:szCs w:val="20"/>
          <w:rtl/>
        </w:rPr>
        <w:t>שווסת הדילוג בחודש נקבע בד' ראיות בלבד וראייה הראשונה אינה מן המניין, מודה כאן שראייה הראשונה מן המניין.</w:t>
      </w:r>
      <w:r>
        <w:rPr>
          <w:sz w:val="20"/>
          <w:szCs w:val="20"/>
          <w:rtl/>
        </w:rPr>
        <w:br/>
      </w:r>
      <w:r w:rsidRPr="002F767A">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התם יש לחשב ווסת דילוג, ורק לאחר ב' ראיות שיש ביניהן דילוג אחד ניתן להתחיל למנות את הדילוגים ע"י שתי ראיות נוספות, אך כאן מדובר בווסת לר"ח ולכן גם הראייה הראשונה מן המניין.</w:t>
      </w:r>
      <w:r w:rsidRPr="00110A04">
        <w:rPr>
          <w:rStyle w:val="a5"/>
          <w:sz w:val="20"/>
          <w:szCs w:val="20"/>
          <w:u w:val="single"/>
          <w:rtl/>
        </w:rPr>
        <w:footnoteReference w:id="188"/>
      </w:r>
      <w:r>
        <w:rPr>
          <w:rFonts w:hint="cs"/>
          <w:sz w:val="20"/>
          <w:szCs w:val="20"/>
          <w:rtl/>
        </w:rPr>
        <w:t xml:space="preserve">  </w:t>
      </w:r>
      <w:r>
        <w:rPr>
          <w:rFonts w:hint="cs"/>
          <w:sz w:val="20"/>
          <w:szCs w:val="20"/>
          <w:rtl/>
        </w:rPr>
        <w:br/>
      </w:r>
      <w:r w:rsidRPr="00861C54">
        <w:rPr>
          <w:rFonts w:hint="cs"/>
          <w:sz w:val="18"/>
          <w:szCs w:val="18"/>
          <w:rtl/>
        </w:rPr>
        <w:t xml:space="preserve">[ב. </w:t>
      </w:r>
      <w:r w:rsidRPr="00861C54">
        <w:rPr>
          <w:rFonts w:hint="cs"/>
          <w:b/>
          <w:bCs/>
          <w:sz w:val="18"/>
          <w:szCs w:val="18"/>
          <w:rtl/>
        </w:rPr>
        <w:t>ט"ז</w:t>
      </w:r>
      <w:r w:rsidRPr="00861C54">
        <w:rPr>
          <w:rFonts w:hint="cs"/>
          <w:sz w:val="18"/>
          <w:szCs w:val="18"/>
          <w:rtl/>
        </w:rPr>
        <w:t xml:space="preserve"> </w:t>
      </w:r>
      <w:r w:rsidRPr="00861C54">
        <w:rPr>
          <w:rFonts w:hint="cs"/>
          <w:sz w:val="16"/>
          <w:szCs w:val="16"/>
          <w:rtl/>
        </w:rPr>
        <w:t xml:space="preserve">(ע"פ הסבר </w:t>
      </w:r>
      <w:r w:rsidRPr="00861C54">
        <w:rPr>
          <w:rFonts w:hint="cs"/>
          <w:b/>
          <w:bCs/>
          <w:sz w:val="16"/>
          <w:szCs w:val="16"/>
          <w:rtl/>
        </w:rPr>
        <w:t>החוו"ד</w:t>
      </w:r>
      <w:r w:rsidRPr="00861C54">
        <w:rPr>
          <w:rFonts w:hint="cs"/>
          <w:sz w:val="16"/>
          <w:szCs w:val="16"/>
          <w:rtl/>
        </w:rPr>
        <w:t>,</w:t>
      </w:r>
      <w:r>
        <w:rPr>
          <w:rFonts w:hint="cs"/>
          <w:b/>
          <w:bCs/>
          <w:sz w:val="16"/>
          <w:szCs w:val="16"/>
          <w:rtl/>
        </w:rPr>
        <w:t xml:space="preserve"> </w:t>
      </w:r>
      <w:r w:rsidRPr="00861C54">
        <w:rPr>
          <w:rFonts w:hint="cs"/>
          <w:sz w:val="16"/>
          <w:szCs w:val="16"/>
          <w:rtl/>
        </w:rPr>
        <w:t xml:space="preserve">ועיין </w:t>
      </w:r>
      <w:r>
        <w:rPr>
          <w:rFonts w:hint="cs"/>
          <w:b/>
          <w:bCs/>
          <w:sz w:val="16"/>
          <w:szCs w:val="16"/>
          <w:rtl/>
        </w:rPr>
        <w:t>ששבה"ל</w:t>
      </w:r>
      <w:r w:rsidRPr="00861C54">
        <w:rPr>
          <w:rFonts w:hint="cs"/>
          <w:sz w:val="16"/>
          <w:szCs w:val="16"/>
          <w:rtl/>
        </w:rPr>
        <w:t xml:space="preserve">) </w:t>
      </w:r>
      <w:r w:rsidRPr="00861C54">
        <w:rPr>
          <w:sz w:val="18"/>
          <w:szCs w:val="18"/>
          <w:rtl/>
        </w:rPr>
        <w:t>–</w:t>
      </w:r>
      <w:r w:rsidRPr="00861C54">
        <w:rPr>
          <w:rFonts w:hint="cs"/>
          <w:sz w:val="18"/>
          <w:szCs w:val="18"/>
          <w:rtl/>
        </w:rPr>
        <w:t xml:space="preserve"> אע"פ שבווסת הפלגה רגיל יש מחלוקת האם צריך ד' ראיות או ג'</w:t>
      </w:r>
      <w:r w:rsidRPr="00861C54">
        <w:rPr>
          <w:rStyle w:val="a5"/>
          <w:sz w:val="18"/>
          <w:szCs w:val="18"/>
          <w:rtl/>
        </w:rPr>
        <w:footnoteReference w:id="189"/>
      </w:r>
      <w:r w:rsidRPr="00861C54">
        <w:rPr>
          <w:rFonts w:hint="cs"/>
          <w:sz w:val="18"/>
          <w:szCs w:val="18"/>
          <w:rtl/>
        </w:rPr>
        <w:t xml:space="preserve"> והמחבר פסק </w:t>
      </w:r>
      <w:r w:rsidRPr="00861C54">
        <w:rPr>
          <w:rFonts w:hint="cs"/>
          <w:sz w:val="16"/>
          <w:szCs w:val="16"/>
          <w:rtl/>
        </w:rPr>
        <w:t xml:space="preserve">(סעיף ב) </w:t>
      </w:r>
      <w:r w:rsidRPr="00861C54">
        <w:rPr>
          <w:rFonts w:hint="cs"/>
          <w:sz w:val="18"/>
          <w:szCs w:val="18"/>
          <w:rtl/>
        </w:rPr>
        <w:t xml:space="preserve">שצריך ד', כאן לכו"ע סגי בג' ראיות. </w:t>
      </w:r>
      <w:r w:rsidRPr="00861C54">
        <w:rPr>
          <w:rFonts w:hint="cs"/>
          <w:sz w:val="16"/>
          <w:szCs w:val="16"/>
          <w:rtl/>
        </w:rPr>
        <w:t xml:space="preserve">[אך לדעה קמייתא בסעיף ז' </w:t>
      </w:r>
      <w:r w:rsidRPr="00861C54">
        <w:rPr>
          <w:rFonts w:hint="cs"/>
          <w:sz w:val="14"/>
          <w:szCs w:val="14"/>
          <w:rtl/>
        </w:rPr>
        <w:t xml:space="preserve">(שמואל) </w:t>
      </w:r>
      <w:r w:rsidRPr="00861C54">
        <w:rPr>
          <w:rFonts w:hint="cs"/>
          <w:sz w:val="16"/>
          <w:szCs w:val="16"/>
          <w:rtl/>
        </w:rPr>
        <w:t>הוא הדין כאן שצריך ד' ראיות]].</w:t>
      </w:r>
      <w:r>
        <w:rPr>
          <w:sz w:val="20"/>
          <w:szCs w:val="20"/>
          <w:rtl/>
        </w:rPr>
        <w:br/>
      </w:r>
      <w:r>
        <w:rPr>
          <w:rFonts w:hint="cs"/>
          <w:sz w:val="20"/>
          <w:szCs w:val="20"/>
          <w:rtl/>
        </w:rPr>
        <w:br/>
      </w:r>
      <w:r>
        <w:rPr>
          <w:rFonts w:hint="cs"/>
          <w:sz w:val="20"/>
          <w:szCs w:val="20"/>
          <w:u w:val="single"/>
          <w:rtl/>
        </w:rPr>
        <w:t>אופן הסירוג</w:t>
      </w:r>
      <w:r>
        <w:rPr>
          <w:sz w:val="20"/>
          <w:szCs w:val="20"/>
          <w:u w:val="single"/>
          <w:rtl/>
        </w:rPr>
        <w:br/>
      </w:r>
      <w:r w:rsidRPr="005C346B">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אין כוונת המחבר שראתה בא' ניסן, א' סיוון וא' אב, דאם כן מדוע קורא לו 'סירוג' דלמא זהו ווסתה!</w:t>
      </w:r>
      <w:r>
        <w:rPr>
          <w:rStyle w:val="a5"/>
          <w:sz w:val="20"/>
          <w:szCs w:val="20"/>
          <w:rtl/>
        </w:rPr>
        <w:footnoteReference w:id="190"/>
      </w:r>
      <w:r>
        <w:rPr>
          <w:rFonts w:hint="cs"/>
          <w:sz w:val="20"/>
          <w:szCs w:val="20"/>
          <w:rtl/>
        </w:rPr>
        <w:t xml:space="preserve"> </w:t>
      </w:r>
      <w:r>
        <w:rPr>
          <w:sz w:val="20"/>
          <w:szCs w:val="20"/>
          <w:rtl/>
        </w:rPr>
        <w:br/>
      </w:r>
      <w:r>
        <w:rPr>
          <w:rFonts w:hint="cs"/>
          <w:sz w:val="20"/>
          <w:szCs w:val="20"/>
          <w:rtl/>
        </w:rPr>
        <w:t>אלא, מסתבר שכוונת המחבר שראתה בא' אדר וא' ניסן ומעתה סירגה כנ"ל.</w:t>
      </w:r>
      <w:r>
        <w:rPr>
          <w:rFonts w:hint="cs"/>
          <w:sz w:val="20"/>
          <w:szCs w:val="20"/>
          <w:rtl/>
        </w:rPr>
        <w:br/>
        <w:t xml:space="preserve">ואמנם, אם ראתה בא' שבט, א' אדר וא' ניסן ומעתה סירגה </w:t>
      </w:r>
      <w:r>
        <w:rPr>
          <w:sz w:val="20"/>
          <w:szCs w:val="20"/>
          <w:rtl/>
        </w:rPr>
        <w:t>–</w:t>
      </w:r>
      <w:r>
        <w:rPr>
          <w:rFonts w:hint="cs"/>
          <w:sz w:val="20"/>
          <w:szCs w:val="20"/>
          <w:rtl/>
        </w:rPr>
        <w:t xml:space="preserve"> אין זה סירוג.</w:t>
      </w:r>
      <w:r>
        <w:rPr>
          <w:sz w:val="20"/>
          <w:szCs w:val="20"/>
          <w:rtl/>
        </w:rPr>
        <w:br/>
      </w:r>
      <w:r w:rsidRPr="00BC71EB">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 ניסן מצטרף לראיות ר"ח ואינו חלק מווסת הסירוג.</w:t>
      </w:r>
      <w:r>
        <w:rPr>
          <w:rStyle w:val="a5"/>
          <w:sz w:val="20"/>
          <w:szCs w:val="20"/>
          <w:rtl/>
        </w:rPr>
        <w:footnoteReference w:id="191"/>
      </w:r>
    </w:p>
    <w:p w:rsidR="00620060" w:rsidRPr="00313E1C" w:rsidRDefault="00620060" w:rsidP="00620060">
      <w:pPr>
        <w:rPr>
          <w:sz w:val="20"/>
          <w:szCs w:val="20"/>
          <w:rtl/>
        </w:rPr>
      </w:pPr>
      <w:r>
        <w:rPr>
          <w:rFonts w:hint="cs"/>
          <w:sz w:val="20"/>
          <w:szCs w:val="20"/>
          <w:u w:val="single"/>
          <w:rtl/>
        </w:rPr>
        <w:t>עקירת ווסת הסירוג (פת"ש)</w:t>
      </w:r>
      <w:r>
        <w:rPr>
          <w:rFonts w:hint="cs"/>
          <w:sz w:val="20"/>
          <w:szCs w:val="20"/>
          <w:u w:val="single"/>
          <w:rtl/>
        </w:rPr>
        <w:br/>
      </w:r>
      <w:r>
        <w:rPr>
          <w:rFonts w:hint="cs"/>
          <w:sz w:val="20"/>
          <w:szCs w:val="20"/>
          <w:rtl/>
        </w:rPr>
        <w:t xml:space="preserve">א. </w:t>
      </w:r>
      <w:r w:rsidRPr="00E00038">
        <w:rPr>
          <w:rFonts w:hint="cs"/>
          <w:b/>
          <w:bCs/>
          <w:sz w:val="20"/>
          <w:szCs w:val="20"/>
          <w:rtl/>
        </w:rPr>
        <w:t>חוות דעת</w:t>
      </w:r>
      <w:r>
        <w:rPr>
          <w:rFonts w:hint="cs"/>
          <w:sz w:val="20"/>
          <w:szCs w:val="20"/>
          <w:rtl/>
        </w:rPr>
        <w:t xml:space="preserve"> </w:t>
      </w:r>
      <w:r>
        <w:rPr>
          <w:sz w:val="20"/>
          <w:szCs w:val="20"/>
          <w:rtl/>
        </w:rPr>
        <w:t>–</w:t>
      </w:r>
      <w:r>
        <w:rPr>
          <w:rFonts w:hint="cs"/>
          <w:sz w:val="20"/>
          <w:szCs w:val="20"/>
          <w:rtl/>
        </w:rPr>
        <w:t xml:space="preserve"> ראייה האחרונה של ווסת הסירוג מצטרפת לב' ראיות נוספות לעקור את ווסת הסירוג.</w:t>
      </w:r>
      <w:r>
        <w:rPr>
          <w:sz w:val="20"/>
          <w:szCs w:val="20"/>
          <w:rtl/>
        </w:rPr>
        <w:br/>
      </w:r>
      <w:r>
        <w:rPr>
          <w:rFonts w:hint="cs"/>
          <w:sz w:val="20"/>
          <w:szCs w:val="20"/>
          <w:rtl/>
        </w:rPr>
        <w:t xml:space="preserve">כגון </w:t>
      </w:r>
      <w:r>
        <w:rPr>
          <w:sz w:val="20"/>
          <w:szCs w:val="20"/>
          <w:rtl/>
        </w:rPr>
        <w:t>–</w:t>
      </w:r>
      <w:r>
        <w:rPr>
          <w:rFonts w:hint="cs"/>
          <w:sz w:val="20"/>
          <w:szCs w:val="20"/>
          <w:rtl/>
        </w:rPr>
        <w:t xml:space="preserve"> ראתה בר"ח ניסן, סיון ואב וקבעה ווסת הסירוג, ולאחר מכן ראתה בר"ח אלול ותשרי, נעקר ווסת הסירוג וקבעה ווסת לר"ח.</w:t>
      </w:r>
      <w:r>
        <w:rPr>
          <w:sz w:val="20"/>
          <w:szCs w:val="20"/>
          <w:rtl/>
        </w:rPr>
        <w:br/>
      </w:r>
      <w:r>
        <w:rPr>
          <w:rFonts w:hint="cs"/>
          <w:sz w:val="20"/>
          <w:szCs w:val="20"/>
          <w:rtl/>
        </w:rPr>
        <w:t xml:space="preserve">ב. </w:t>
      </w:r>
      <w:r w:rsidRPr="00E00038">
        <w:rPr>
          <w:rFonts w:hint="cs"/>
          <w:b/>
          <w:bCs/>
          <w:sz w:val="20"/>
          <w:szCs w:val="20"/>
          <w:rtl/>
        </w:rPr>
        <w:t>חוות דעת</w:t>
      </w:r>
      <w:r>
        <w:rPr>
          <w:rFonts w:hint="cs"/>
          <w:sz w:val="20"/>
          <w:szCs w:val="20"/>
          <w:rtl/>
        </w:rPr>
        <w:t xml:space="preserve"> </w:t>
      </w:r>
      <w:r>
        <w:rPr>
          <w:sz w:val="20"/>
          <w:szCs w:val="20"/>
          <w:rtl/>
        </w:rPr>
        <w:t>–</w:t>
      </w:r>
      <w:r>
        <w:rPr>
          <w:rFonts w:hint="cs"/>
          <w:sz w:val="20"/>
          <w:szCs w:val="20"/>
          <w:rtl/>
        </w:rPr>
        <w:t xml:space="preserve"> אם לאחר קביעת ווסת הסירוג לא קבעה ווסת חדש, לא נעקר הווסת וחוששת לו, ועקירתו תהיה ע"י שישה חודשים שבהם לא ראתה.</w:t>
      </w:r>
    </w:p>
    <w:p w:rsidR="00620060"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3606BC">
        <w:rPr>
          <w:rFonts w:hint="cs"/>
          <w:b/>
          <w:bCs/>
          <w:sz w:val="20"/>
          <w:szCs w:val="20"/>
          <w:rtl/>
        </w:rPr>
        <w:t>מחבר</w:t>
      </w:r>
      <w:r>
        <w:rPr>
          <w:rFonts w:hint="cs"/>
          <w:sz w:val="20"/>
          <w:szCs w:val="20"/>
          <w:rtl/>
        </w:rPr>
        <w:t>. ווסת הסירוג לדברי הכל נקבע בג' פעמים ואין צריך ד'.</w:t>
      </w:r>
      <w:r>
        <w:rPr>
          <w:sz w:val="20"/>
          <w:szCs w:val="20"/>
          <w:rtl/>
        </w:rPr>
        <w:br/>
      </w:r>
      <w:r>
        <w:rPr>
          <w:rFonts w:hint="cs"/>
          <w:sz w:val="20"/>
          <w:szCs w:val="20"/>
          <w:rtl/>
        </w:rPr>
        <w:t xml:space="preserve">2. מהו 'לדברי הכל'? </w:t>
      </w:r>
      <w:r w:rsidRPr="003606BC">
        <w:rPr>
          <w:rFonts w:hint="cs"/>
          <w:b/>
          <w:bCs/>
          <w:sz w:val="20"/>
          <w:szCs w:val="20"/>
          <w:rtl/>
        </w:rPr>
        <w:t>ש"ך</w:t>
      </w:r>
      <w:r>
        <w:rPr>
          <w:rFonts w:hint="cs"/>
          <w:sz w:val="20"/>
          <w:szCs w:val="20"/>
          <w:rtl/>
        </w:rPr>
        <w:t xml:space="preserve">. אפילו לשמואל שבדילוג בעי ד' ראיות. </w:t>
      </w:r>
      <w:r w:rsidRPr="003606BC">
        <w:rPr>
          <w:rFonts w:hint="cs"/>
          <w:b/>
          <w:bCs/>
          <w:sz w:val="20"/>
          <w:szCs w:val="20"/>
          <w:rtl/>
        </w:rPr>
        <w:t>ט"ז</w:t>
      </w:r>
      <w:r>
        <w:rPr>
          <w:rFonts w:hint="cs"/>
          <w:sz w:val="20"/>
          <w:szCs w:val="20"/>
          <w:rtl/>
        </w:rPr>
        <w:t>. אפילו לסוברים שהפלגה נקבעת בד'.</w:t>
      </w:r>
      <w:r>
        <w:rPr>
          <w:sz w:val="20"/>
          <w:szCs w:val="20"/>
          <w:rtl/>
        </w:rPr>
        <w:br/>
      </w:r>
      <w:r>
        <w:rPr>
          <w:rFonts w:hint="cs"/>
          <w:sz w:val="20"/>
          <w:szCs w:val="20"/>
          <w:rtl/>
        </w:rPr>
        <w:t xml:space="preserve">3. </w:t>
      </w:r>
      <w:r w:rsidRPr="001B509E">
        <w:rPr>
          <w:rFonts w:hint="cs"/>
          <w:sz w:val="20"/>
          <w:szCs w:val="20"/>
          <w:rtl/>
        </w:rPr>
        <w:t>אופן הסירוג.</w:t>
      </w:r>
      <w:r>
        <w:rPr>
          <w:rFonts w:hint="cs"/>
          <w:sz w:val="20"/>
          <w:szCs w:val="20"/>
          <w:rtl/>
        </w:rPr>
        <w:t xml:space="preserve"> </w:t>
      </w:r>
      <w:r w:rsidRPr="003606BC">
        <w:rPr>
          <w:rFonts w:hint="cs"/>
          <w:b/>
          <w:bCs/>
          <w:sz w:val="20"/>
          <w:szCs w:val="20"/>
          <w:rtl/>
        </w:rPr>
        <w:t>ש"ך</w:t>
      </w:r>
      <w:r>
        <w:rPr>
          <w:rFonts w:hint="cs"/>
          <w:sz w:val="20"/>
          <w:szCs w:val="20"/>
          <w:rtl/>
        </w:rPr>
        <w:t xml:space="preserve">. א' אדר, א' ניסן, א' סיון, א' אב. אך אם ראתה גם בא' שבט, נקבע ווסת הסירוג רק לאחר </w:t>
      </w:r>
      <w:r>
        <w:rPr>
          <w:rFonts w:hint="cs"/>
          <w:sz w:val="20"/>
          <w:szCs w:val="20"/>
          <w:rtl/>
        </w:rPr>
        <w:lastRenderedPageBreak/>
        <w:t xml:space="preserve">שתראה בא' תשרי. </w:t>
      </w:r>
      <w:r w:rsidRPr="00861C54">
        <w:rPr>
          <w:rFonts w:hint="cs"/>
          <w:b/>
          <w:bCs/>
          <w:sz w:val="20"/>
          <w:szCs w:val="20"/>
          <w:rtl/>
        </w:rPr>
        <w:t>טעם</w:t>
      </w:r>
      <w:r>
        <w:rPr>
          <w:rFonts w:hint="cs"/>
          <w:sz w:val="20"/>
          <w:szCs w:val="20"/>
          <w:rtl/>
        </w:rPr>
        <w:t>. בכה"ג א' ניסן מתייחס לווסת הקודם.</w:t>
      </w:r>
      <w:r>
        <w:rPr>
          <w:sz w:val="20"/>
          <w:szCs w:val="20"/>
          <w:rtl/>
        </w:rPr>
        <w:br/>
      </w:r>
      <w:r>
        <w:rPr>
          <w:rFonts w:hint="cs"/>
          <w:sz w:val="20"/>
          <w:szCs w:val="20"/>
          <w:rtl/>
        </w:rPr>
        <w:t xml:space="preserve">4. </w:t>
      </w:r>
      <w:r w:rsidRPr="00E00038">
        <w:rPr>
          <w:rFonts w:hint="cs"/>
          <w:b/>
          <w:bCs/>
          <w:sz w:val="20"/>
          <w:szCs w:val="20"/>
          <w:rtl/>
        </w:rPr>
        <w:t>חוו"ד</w:t>
      </w:r>
      <w:r>
        <w:rPr>
          <w:rFonts w:hint="cs"/>
          <w:sz w:val="20"/>
          <w:szCs w:val="20"/>
          <w:rtl/>
        </w:rPr>
        <w:t>. ראתה ג' ר"ח רצופים, נעקר הווסת. לא ראתה ג' חודשים רצופים, לא נעקר עד שיעברו ו' חודשים.</w:t>
      </w:r>
    </w:p>
    <w:p w:rsidR="00620060" w:rsidRDefault="00620060" w:rsidP="00620060">
      <w:pPr>
        <w:rPr>
          <w:sz w:val="20"/>
          <w:szCs w:val="20"/>
          <w:rtl/>
        </w:rPr>
      </w:pPr>
      <w:r>
        <w:rPr>
          <w:sz w:val="20"/>
          <w:szCs w:val="20"/>
          <w:rtl/>
        </w:rPr>
        <w:br/>
      </w:r>
      <w:r>
        <w:rPr>
          <w:rFonts w:hint="cs"/>
          <w:b/>
          <w:bCs/>
          <w:sz w:val="20"/>
          <w:szCs w:val="20"/>
          <w:rtl/>
        </w:rPr>
        <w:t>סעיף יג</w:t>
      </w:r>
      <w:r>
        <w:rPr>
          <w:b/>
          <w:bCs/>
          <w:sz w:val="20"/>
          <w:szCs w:val="20"/>
          <w:rtl/>
        </w:rPr>
        <w:br/>
      </w:r>
      <w:r>
        <w:rPr>
          <w:rStyle w:val="10"/>
          <w:rFonts w:hint="cs"/>
          <w:sz w:val="24"/>
          <w:szCs w:val="24"/>
          <w:rtl/>
        </w:rPr>
        <w:t>א. קביעת ווסת ע"פ העונה</w:t>
      </w:r>
      <w:r>
        <w:rPr>
          <w:rStyle w:val="10"/>
          <w:sz w:val="24"/>
          <w:szCs w:val="24"/>
          <w:rtl/>
        </w:rPr>
        <w:br/>
      </w:r>
      <w:r>
        <w:rPr>
          <w:rFonts w:hint="cs"/>
          <w:b/>
          <w:bCs/>
          <w:sz w:val="20"/>
          <w:szCs w:val="20"/>
          <w:rtl/>
        </w:rPr>
        <w:t>פסיקת הלכה</w:t>
      </w:r>
      <w:r>
        <w:rPr>
          <w:b/>
          <w:bCs/>
          <w:sz w:val="20"/>
          <w:szCs w:val="20"/>
          <w:rtl/>
        </w:rPr>
        <w:br/>
      </w:r>
      <w:r>
        <w:rPr>
          <w:rFonts w:hint="cs"/>
          <w:b/>
          <w:bCs/>
          <w:sz w:val="20"/>
          <w:szCs w:val="20"/>
          <w:rtl/>
        </w:rPr>
        <w:t xml:space="preserve">שולחן ערוך </w:t>
      </w:r>
      <w:r w:rsidRPr="00F40A4A">
        <w:rPr>
          <w:rFonts w:hint="cs"/>
          <w:sz w:val="18"/>
          <w:szCs w:val="18"/>
          <w:rtl/>
        </w:rPr>
        <w:t xml:space="preserve">(ע"פ </w:t>
      </w:r>
      <w:r w:rsidRPr="00C22D60">
        <w:rPr>
          <w:rFonts w:hint="cs"/>
          <w:b/>
          <w:bCs/>
          <w:sz w:val="18"/>
          <w:szCs w:val="18"/>
          <w:rtl/>
        </w:rPr>
        <w:t>הראב"ד</w:t>
      </w:r>
      <w:r w:rsidRPr="00F40A4A">
        <w:rPr>
          <w:rFonts w:hint="cs"/>
          <w:sz w:val="18"/>
          <w:szCs w:val="18"/>
          <w:rtl/>
        </w:rPr>
        <w:t xml:space="preserve">) </w:t>
      </w:r>
      <w:r>
        <w:rPr>
          <w:sz w:val="20"/>
          <w:szCs w:val="20"/>
          <w:rtl/>
        </w:rPr>
        <w:t>–</w:t>
      </w:r>
      <w:r>
        <w:rPr>
          <w:rFonts w:hint="cs"/>
          <w:sz w:val="20"/>
          <w:szCs w:val="20"/>
          <w:rtl/>
        </w:rPr>
        <w:t xml:space="preserve"> "</w:t>
      </w:r>
      <w:r w:rsidRPr="003E6696">
        <w:rPr>
          <w:rFonts w:cs="Arial" w:hint="cs"/>
          <w:sz w:val="20"/>
          <w:szCs w:val="20"/>
          <w:rtl/>
        </w:rPr>
        <w:t>אין</w:t>
      </w:r>
      <w:r w:rsidRPr="003E6696">
        <w:rPr>
          <w:rFonts w:cs="Arial"/>
          <w:sz w:val="20"/>
          <w:szCs w:val="20"/>
          <w:rtl/>
        </w:rPr>
        <w:t xml:space="preserve"> </w:t>
      </w:r>
      <w:r w:rsidRPr="003E6696">
        <w:rPr>
          <w:rFonts w:cs="Arial" w:hint="cs"/>
          <w:sz w:val="20"/>
          <w:szCs w:val="20"/>
          <w:rtl/>
        </w:rPr>
        <w:t>האשה</w:t>
      </w:r>
      <w:r w:rsidRPr="003E6696">
        <w:rPr>
          <w:rFonts w:cs="Arial"/>
          <w:sz w:val="20"/>
          <w:szCs w:val="20"/>
          <w:rtl/>
        </w:rPr>
        <w:t xml:space="preserve"> </w:t>
      </w:r>
      <w:r w:rsidRPr="003E6696">
        <w:rPr>
          <w:rFonts w:cs="Arial" w:hint="cs"/>
          <w:sz w:val="20"/>
          <w:szCs w:val="20"/>
          <w:rtl/>
        </w:rPr>
        <w:t>קובעת</w:t>
      </w:r>
      <w:r w:rsidRPr="003E6696">
        <w:rPr>
          <w:rFonts w:cs="Arial"/>
          <w:sz w:val="20"/>
          <w:szCs w:val="20"/>
          <w:rtl/>
        </w:rPr>
        <w:t xml:space="preserve"> </w:t>
      </w:r>
      <w:r w:rsidRPr="003E6696">
        <w:rPr>
          <w:rFonts w:cs="Arial" w:hint="cs"/>
          <w:sz w:val="20"/>
          <w:szCs w:val="20"/>
          <w:rtl/>
        </w:rPr>
        <w:t>לה</w:t>
      </w:r>
      <w:r w:rsidRPr="003E6696">
        <w:rPr>
          <w:rFonts w:cs="Arial"/>
          <w:sz w:val="20"/>
          <w:szCs w:val="20"/>
          <w:rtl/>
        </w:rPr>
        <w:t xml:space="preserve"> </w:t>
      </w:r>
      <w:r w:rsidRPr="003E6696">
        <w:rPr>
          <w:rFonts w:cs="Arial" w:hint="cs"/>
          <w:sz w:val="20"/>
          <w:szCs w:val="20"/>
          <w:rtl/>
        </w:rPr>
        <w:t>וסת</w:t>
      </w:r>
      <w:r w:rsidRPr="003E6696">
        <w:rPr>
          <w:rFonts w:cs="Arial"/>
          <w:sz w:val="20"/>
          <w:szCs w:val="20"/>
          <w:rtl/>
        </w:rPr>
        <w:t xml:space="preserve">, </w:t>
      </w:r>
      <w:r w:rsidRPr="003E6696">
        <w:rPr>
          <w:rFonts w:cs="Arial" w:hint="cs"/>
          <w:sz w:val="20"/>
          <w:szCs w:val="20"/>
          <w:rtl/>
        </w:rPr>
        <w:t>אפילו</w:t>
      </w:r>
      <w:r w:rsidRPr="003E6696">
        <w:rPr>
          <w:rFonts w:cs="Arial"/>
          <w:sz w:val="20"/>
          <w:szCs w:val="20"/>
          <w:rtl/>
        </w:rPr>
        <w:t xml:space="preserve"> </w:t>
      </w:r>
      <w:r w:rsidRPr="003E6696">
        <w:rPr>
          <w:rFonts w:cs="Arial" w:hint="cs"/>
          <w:sz w:val="20"/>
          <w:szCs w:val="20"/>
          <w:rtl/>
        </w:rPr>
        <w:t>ראתה</w:t>
      </w:r>
      <w:r w:rsidRPr="003E6696">
        <w:rPr>
          <w:rFonts w:cs="Arial"/>
          <w:sz w:val="20"/>
          <w:szCs w:val="20"/>
          <w:rtl/>
        </w:rPr>
        <w:t xml:space="preserve"> </w:t>
      </w:r>
      <w:r w:rsidRPr="003E6696">
        <w:rPr>
          <w:rFonts w:cs="Arial" w:hint="cs"/>
          <w:sz w:val="20"/>
          <w:szCs w:val="20"/>
          <w:rtl/>
        </w:rPr>
        <w:t>של</w:t>
      </w:r>
      <w:r>
        <w:rPr>
          <w:rFonts w:cs="Arial" w:hint="cs"/>
          <w:sz w:val="20"/>
          <w:szCs w:val="20"/>
          <w:rtl/>
        </w:rPr>
        <w:t>ו</w:t>
      </w:r>
      <w:r w:rsidRPr="003E6696">
        <w:rPr>
          <w:rFonts w:cs="Arial" w:hint="cs"/>
          <w:sz w:val="20"/>
          <w:szCs w:val="20"/>
          <w:rtl/>
        </w:rPr>
        <w:t>שה</w:t>
      </w:r>
      <w:r w:rsidRPr="003E6696">
        <w:rPr>
          <w:rFonts w:cs="Arial"/>
          <w:sz w:val="20"/>
          <w:szCs w:val="20"/>
          <w:rtl/>
        </w:rPr>
        <w:t xml:space="preserve"> </w:t>
      </w:r>
      <w:r w:rsidRPr="003E6696">
        <w:rPr>
          <w:rFonts w:cs="Arial" w:hint="cs"/>
          <w:sz w:val="20"/>
          <w:szCs w:val="20"/>
          <w:rtl/>
        </w:rPr>
        <w:t>ר</w:t>
      </w:r>
      <w:r w:rsidRPr="003E6696">
        <w:rPr>
          <w:rFonts w:cs="Arial"/>
          <w:sz w:val="20"/>
          <w:szCs w:val="20"/>
          <w:rtl/>
        </w:rPr>
        <w:t>"</w:t>
      </w:r>
      <w:r w:rsidRPr="003E6696">
        <w:rPr>
          <w:rFonts w:cs="Arial" w:hint="cs"/>
          <w:sz w:val="20"/>
          <w:szCs w:val="20"/>
          <w:rtl/>
        </w:rPr>
        <w:t>ח</w:t>
      </w:r>
      <w:r w:rsidRPr="003E6696">
        <w:rPr>
          <w:rFonts w:cs="Arial"/>
          <w:sz w:val="20"/>
          <w:szCs w:val="20"/>
          <w:rtl/>
        </w:rPr>
        <w:t xml:space="preserve"> </w:t>
      </w:r>
      <w:r w:rsidRPr="003E6696">
        <w:rPr>
          <w:rFonts w:cs="Arial" w:hint="cs"/>
          <w:sz w:val="20"/>
          <w:szCs w:val="20"/>
          <w:rtl/>
        </w:rPr>
        <w:t>זה</w:t>
      </w:r>
      <w:r w:rsidRPr="003E6696">
        <w:rPr>
          <w:rFonts w:cs="Arial"/>
          <w:sz w:val="20"/>
          <w:szCs w:val="20"/>
          <w:rtl/>
        </w:rPr>
        <w:t xml:space="preserve"> </w:t>
      </w:r>
      <w:r w:rsidRPr="003E6696">
        <w:rPr>
          <w:rFonts w:cs="Arial" w:hint="cs"/>
          <w:sz w:val="20"/>
          <w:szCs w:val="20"/>
          <w:rtl/>
        </w:rPr>
        <w:t>אחר</w:t>
      </w:r>
      <w:r w:rsidRPr="003E6696">
        <w:rPr>
          <w:rFonts w:cs="Arial"/>
          <w:sz w:val="20"/>
          <w:szCs w:val="20"/>
          <w:rtl/>
        </w:rPr>
        <w:t xml:space="preserve"> </w:t>
      </w:r>
      <w:r w:rsidRPr="003E6696">
        <w:rPr>
          <w:rFonts w:cs="Arial" w:hint="cs"/>
          <w:sz w:val="20"/>
          <w:szCs w:val="20"/>
          <w:rtl/>
        </w:rPr>
        <w:t>זה</w:t>
      </w:r>
      <w:r w:rsidRPr="003E6696">
        <w:rPr>
          <w:rFonts w:cs="Arial"/>
          <w:sz w:val="20"/>
          <w:szCs w:val="20"/>
          <w:rtl/>
        </w:rPr>
        <w:t xml:space="preserve">, </w:t>
      </w:r>
      <w:r w:rsidRPr="003E6696">
        <w:rPr>
          <w:rFonts w:cs="Arial" w:hint="cs"/>
          <w:sz w:val="20"/>
          <w:szCs w:val="20"/>
          <w:rtl/>
        </w:rPr>
        <w:t>אלא</w:t>
      </w:r>
      <w:r w:rsidRPr="003E6696">
        <w:rPr>
          <w:rFonts w:cs="Arial"/>
          <w:sz w:val="20"/>
          <w:szCs w:val="20"/>
          <w:rtl/>
        </w:rPr>
        <w:t xml:space="preserve"> </w:t>
      </w:r>
      <w:r w:rsidRPr="003E6696">
        <w:rPr>
          <w:rFonts w:cs="Arial" w:hint="cs"/>
          <w:sz w:val="20"/>
          <w:szCs w:val="20"/>
          <w:rtl/>
        </w:rPr>
        <w:t>אם</w:t>
      </w:r>
      <w:r w:rsidRPr="003E6696">
        <w:rPr>
          <w:rFonts w:cs="Arial"/>
          <w:sz w:val="20"/>
          <w:szCs w:val="20"/>
          <w:rtl/>
        </w:rPr>
        <w:t xml:space="preserve"> </w:t>
      </w:r>
      <w:r w:rsidRPr="003E6696">
        <w:rPr>
          <w:rFonts w:cs="Arial" w:hint="cs"/>
          <w:sz w:val="20"/>
          <w:szCs w:val="20"/>
          <w:rtl/>
        </w:rPr>
        <w:t>כן</w:t>
      </w:r>
      <w:r w:rsidRPr="003E6696">
        <w:rPr>
          <w:rFonts w:cs="Arial"/>
          <w:sz w:val="20"/>
          <w:szCs w:val="20"/>
          <w:rtl/>
        </w:rPr>
        <w:t xml:space="preserve"> </w:t>
      </w:r>
      <w:r w:rsidRPr="003E6696">
        <w:rPr>
          <w:rFonts w:cs="Arial" w:hint="cs"/>
          <w:sz w:val="20"/>
          <w:szCs w:val="20"/>
          <w:rtl/>
        </w:rPr>
        <w:t>יהיו</w:t>
      </w:r>
      <w:r w:rsidRPr="003E6696">
        <w:rPr>
          <w:rFonts w:cs="Arial"/>
          <w:sz w:val="20"/>
          <w:szCs w:val="20"/>
          <w:rtl/>
        </w:rPr>
        <w:t xml:space="preserve"> </w:t>
      </w:r>
      <w:r w:rsidRPr="003E6696">
        <w:rPr>
          <w:rFonts w:cs="Arial" w:hint="cs"/>
          <w:sz w:val="20"/>
          <w:szCs w:val="20"/>
          <w:rtl/>
        </w:rPr>
        <w:t>כולם</w:t>
      </w:r>
      <w:r w:rsidRPr="003E6696">
        <w:rPr>
          <w:rFonts w:cs="Arial"/>
          <w:sz w:val="20"/>
          <w:szCs w:val="20"/>
          <w:rtl/>
        </w:rPr>
        <w:t xml:space="preserve"> </w:t>
      </w:r>
      <w:r w:rsidRPr="003E6696">
        <w:rPr>
          <w:rFonts w:cs="Arial" w:hint="cs"/>
          <w:sz w:val="20"/>
          <w:szCs w:val="20"/>
          <w:rtl/>
        </w:rPr>
        <w:t>בעונה</w:t>
      </w:r>
      <w:r w:rsidRPr="003E6696">
        <w:rPr>
          <w:rFonts w:cs="Arial"/>
          <w:sz w:val="20"/>
          <w:szCs w:val="20"/>
          <w:rtl/>
        </w:rPr>
        <w:t xml:space="preserve"> </w:t>
      </w:r>
      <w:r w:rsidRPr="003E6696">
        <w:rPr>
          <w:rFonts w:cs="Arial" w:hint="cs"/>
          <w:sz w:val="20"/>
          <w:szCs w:val="20"/>
          <w:rtl/>
        </w:rPr>
        <w:t>אחת</w:t>
      </w:r>
      <w:r w:rsidRPr="003E6696">
        <w:rPr>
          <w:rFonts w:cs="Arial"/>
          <w:sz w:val="20"/>
          <w:szCs w:val="20"/>
          <w:rtl/>
        </w:rPr>
        <w:t xml:space="preserve">, </w:t>
      </w:r>
      <w:r w:rsidRPr="003E6696">
        <w:rPr>
          <w:rFonts w:cs="Arial" w:hint="cs"/>
          <w:sz w:val="20"/>
          <w:szCs w:val="20"/>
          <w:rtl/>
        </w:rPr>
        <w:t>ביום</w:t>
      </w:r>
      <w:r w:rsidRPr="003E6696">
        <w:rPr>
          <w:rFonts w:cs="Arial"/>
          <w:sz w:val="20"/>
          <w:szCs w:val="20"/>
          <w:rtl/>
        </w:rPr>
        <w:t xml:space="preserve"> </w:t>
      </w:r>
      <w:r w:rsidRPr="003E6696">
        <w:rPr>
          <w:rFonts w:cs="Arial" w:hint="cs"/>
          <w:sz w:val="20"/>
          <w:szCs w:val="20"/>
          <w:rtl/>
        </w:rPr>
        <w:t>או</w:t>
      </w:r>
      <w:r w:rsidRPr="003E6696">
        <w:rPr>
          <w:rFonts w:cs="Arial"/>
          <w:sz w:val="20"/>
          <w:szCs w:val="20"/>
          <w:rtl/>
        </w:rPr>
        <w:t xml:space="preserve"> </w:t>
      </w:r>
      <w:r w:rsidRPr="003E6696">
        <w:rPr>
          <w:rFonts w:cs="Arial" w:hint="cs"/>
          <w:sz w:val="20"/>
          <w:szCs w:val="20"/>
          <w:rtl/>
        </w:rPr>
        <w:t>בלילה</w:t>
      </w:r>
      <w:r w:rsidRPr="003E6696">
        <w:rPr>
          <w:rFonts w:cs="Arial"/>
          <w:sz w:val="20"/>
          <w:szCs w:val="20"/>
          <w:rtl/>
        </w:rPr>
        <w:t xml:space="preserve">. </w:t>
      </w:r>
      <w:r w:rsidRPr="003E6696">
        <w:rPr>
          <w:rFonts w:cs="Arial" w:hint="cs"/>
          <w:sz w:val="20"/>
          <w:szCs w:val="20"/>
          <w:rtl/>
        </w:rPr>
        <w:t>ואם</w:t>
      </w:r>
      <w:r w:rsidRPr="003E6696">
        <w:rPr>
          <w:rFonts w:cs="Arial"/>
          <w:sz w:val="20"/>
          <w:szCs w:val="20"/>
          <w:rtl/>
        </w:rPr>
        <w:t xml:space="preserve"> </w:t>
      </w:r>
      <w:r w:rsidRPr="003E6696">
        <w:rPr>
          <w:rFonts w:cs="Arial" w:hint="cs"/>
          <w:sz w:val="20"/>
          <w:szCs w:val="20"/>
          <w:rtl/>
        </w:rPr>
        <w:t>ראתה</w:t>
      </w:r>
      <w:r w:rsidRPr="003E6696">
        <w:rPr>
          <w:rFonts w:cs="Arial"/>
          <w:sz w:val="20"/>
          <w:szCs w:val="20"/>
          <w:rtl/>
        </w:rPr>
        <w:t xml:space="preserve"> </w:t>
      </w:r>
      <w:r w:rsidRPr="003E6696">
        <w:rPr>
          <w:rFonts w:cs="Arial" w:hint="cs"/>
          <w:sz w:val="20"/>
          <w:szCs w:val="20"/>
          <w:rtl/>
        </w:rPr>
        <w:t>של</w:t>
      </w:r>
      <w:r>
        <w:rPr>
          <w:rFonts w:cs="Arial" w:hint="cs"/>
          <w:sz w:val="20"/>
          <w:szCs w:val="20"/>
          <w:rtl/>
        </w:rPr>
        <w:t>ו</w:t>
      </w:r>
      <w:r w:rsidRPr="003E6696">
        <w:rPr>
          <w:rFonts w:cs="Arial" w:hint="cs"/>
          <w:sz w:val="20"/>
          <w:szCs w:val="20"/>
          <w:rtl/>
        </w:rPr>
        <w:t>ש</w:t>
      </w:r>
      <w:r w:rsidRPr="003E6696">
        <w:rPr>
          <w:rFonts w:cs="Arial"/>
          <w:sz w:val="20"/>
          <w:szCs w:val="20"/>
          <w:rtl/>
        </w:rPr>
        <w:t xml:space="preserve"> </w:t>
      </w:r>
      <w:r w:rsidRPr="003E6696">
        <w:rPr>
          <w:rFonts w:cs="Arial" w:hint="cs"/>
          <w:sz w:val="20"/>
          <w:szCs w:val="20"/>
          <w:rtl/>
        </w:rPr>
        <w:t>פעמים</w:t>
      </w:r>
      <w:r w:rsidRPr="003E6696">
        <w:rPr>
          <w:rFonts w:cs="Arial"/>
          <w:sz w:val="20"/>
          <w:szCs w:val="20"/>
          <w:rtl/>
        </w:rPr>
        <w:t xml:space="preserve"> </w:t>
      </w:r>
      <w:r w:rsidRPr="003E6696">
        <w:rPr>
          <w:rFonts w:cs="Arial" w:hint="cs"/>
          <w:sz w:val="20"/>
          <w:szCs w:val="20"/>
          <w:rtl/>
        </w:rPr>
        <w:t>ביום</w:t>
      </w:r>
      <w:r w:rsidRPr="003E6696">
        <w:rPr>
          <w:rFonts w:cs="Arial"/>
          <w:sz w:val="20"/>
          <w:szCs w:val="20"/>
          <w:rtl/>
        </w:rPr>
        <w:t xml:space="preserve">, </w:t>
      </w:r>
      <w:r w:rsidRPr="003E6696">
        <w:rPr>
          <w:rFonts w:cs="Arial" w:hint="cs"/>
          <w:sz w:val="20"/>
          <w:szCs w:val="20"/>
          <w:rtl/>
        </w:rPr>
        <w:t>והרביעית</w:t>
      </w:r>
      <w:r w:rsidRPr="003E6696">
        <w:rPr>
          <w:rFonts w:cs="Arial"/>
          <w:sz w:val="20"/>
          <w:szCs w:val="20"/>
          <w:rtl/>
        </w:rPr>
        <w:t xml:space="preserve"> </w:t>
      </w:r>
      <w:r w:rsidRPr="003E6696">
        <w:rPr>
          <w:rFonts w:cs="Arial" w:hint="cs"/>
          <w:sz w:val="20"/>
          <w:szCs w:val="20"/>
          <w:rtl/>
        </w:rPr>
        <w:t>בלילה</w:t>
      </w:r>
      <w:r w:rsidRPr="003E6696">
        <w:rPr>
          <w:rFonts w:cs="Arial"/>
          <w:sz w:val="20"/>
          <w:szCs w:val="20"/>
          <w:rtl/>
        </w:rPr>
        <w:t xml:space="preserve">, </w:t>
      </w:r>
      <w:r w:rsidRPr="003E6696">
        <w:rPr>
          <w:rFonts w:cs="Arial" w:hint="cs"/>
          <w:sz w:val="20"/>
          <w:szCs w:val="20"/>
          <w:rtl/>
        </w:rPr>
        <w:t>או</w:t>
      </w:r>
      <w:r w:rsidRPr="003E6696">
        <w:rPr>
          <w:rFonts w:cs="Arial"/>
          <w:sz w:val="20"/>
          <w:szCs w:val="20"/>
          <w:rtl/>
        </w:rPr>
        <w:t xml:space="preserve"> </w:t>
      </w:r>
      <w:r w:rsidRPr="003E6696">
        <w:rPr>
          <w:rFonts w:cs="Arial" w:hint="cs"/>
          <w:sz w:val="20"/>
          <w:szCs w:val="20"/>
          <w:rtl/>
        </w:rPr>
        <w:t>של</w:t>
      </w:r>
      <w:r>
        <w:rPr>
          <w:rFonts w:cs="Arial" w:hint="cs"/>
          <w:sz w:val="20"/>
          <w:szCs w:val="20"/>
          <w:rtl/>
        </w:rPr>
        <w:t>ו</w:t>
      </w:r>
      <w:r w:rsidRPr="003E6696">
        <w:rPr>
          <w:rFonts w:cs="Arial" w:hint="cs"/>
          <w:sz w:val="20"/>
          <w:szCs w:val="20"/>
          <w:rtl/>
        </w:rPr>
        <w:t>ש</w:t>
      </w:r>
      <w:r w:rsidRPr="003E6696">
        <w:rPr>
          <w:rFonts w:cs="Arial"/>
          <w:sz w:val="20"/>
          <w:szCs w:val="20"/>
          <w:rtl/>
        </w:rPr>
        <w:t xml:space="preserve"> </w:t>
      </w:r>
      <w:r w:rsidRPr="003E6696">
        <w:rPr>
          <w:rFonts w:cs="Arial" w:hint="cs"/>
          <w:sz w:val="20"/>
          <w:szCs w:val="20"/>
          <w:rtl/>
        </w:rPr>
        <w:t>פעמים</w:t>
      </w:r>
      <w:r w:rsidRPr="003E6696">
        <w:rPr>
          <w:rFonts w:cs="Arial"/>
          <w:sz w:val="20"/>
          <w:szCs w:val="20"/>
          <w:rtl/>
        </w:rPr>
        <w:t xml:space="preserve"> </w:t>
      </w:r>
      <w:r w:rsidRPr="003E6696">
        <w:rPr>
          <w:rFonts w:cs="Arial" w:hint="cs"/>
          <w:sz w:val="20"/>
          <w:szCs w:val="20"/>
          <w:rtl/>
        </w:rPr>
        <w:t>בלילה</w:t>
      </w:r>
      <w:r w:rsidRPr="003E6696">
        <w:rPr>
          <w:rFonts w:cs="Arial"/>
          <w:sz w:val="20"/>
          <w:szCs w:val="20"/>
          <w:rtl/>
        </w:rPr>
        <w:t xml:space="preserve"> </w:t>
      </w:r>
      <w:r w:rsidRPr="003E6696">
        <w:rPr>
          <w:rFonts w:cs="Arial" w:hint="cs"/>
          <w:sz w:val="20"/>
          <w:szCs w:val="20"/>
          <w:rtl/>
        </w:rPr>
        <w:t>והרביעית</w:t>
      </w:r>
      <w:r w:rsidRPr="003E6696">
        <w:rPr>
          <w:rFonts w:cs="Arial"/>
          <w:sz w:val="20"/>
          <w:szCs w:val="20"/>
          <w:rtl/>
        </w:rPr>
        <w:t xml:space="preserve"> </w:t>
      </w:r>
      <w:r w:rsidRPr="003E6696">
        <w:rPr>
          <w:rFonts w:cs="Arial" w:hint="cs"/>
          <w:sz w:val="20"/>
          <w:szCs w:val="20"/>
          <w:rtl/>
        </w:rPr>
        <w:t>ביום</w:t>
      </w:r>
      <w:r w:rsidRPr="003E6696">
        <w:rPr>
          <w:rFonts w:cs="Arial"/>
          <w:sz w:val="20"/>
          <w:szCs w:val="20"/>
          <w:rtl/>
        </w:rPr>
        <w:t xml:space="preserve">, </w:t>
      </w:r>
      <w:r w:rsidRPr="003E6696">
        <w:rPr>
          <w:rFonts w:cs="Arial" w:hint="cs"/>
          <w:sz w:val="20"/>
          <w:szCs w:val="20"/>
          <w:rtl/>
        </w:rPr>
        <w:t>חוששת</w:t>
      </w:r>
      <w:r w:rsidRPr="003E6696">
        <w:rPr>
          <w:rFonts w:cs="Arial"/>
          <w:sz w:val="20"/>
          <w:szCs w:val="20"/>
          <w:rtl/>
        </w:rPr>
        <w:t xml:space="preserve"> </w:t>
      </w:r>
      <w:r w:rsidRPr="003E6696">
        <w:rPr>
          <w:rFonts w:cs="Arial" w:hint="cs"/>
          <w:sz w:val="20"/>
          <w:szCs w:val="20"/>
          <w:rtl/>
        </w:rPr>
        <w:t>ביום</w:t>
      </w:r>
      <w:r w:rsidRPr="003E6696">
        <w:rPr>
          <w:rFonts w:cs="Arial"/>
          <w:sz w:val="20"/>
          <w:szCs w:val="20"/>
          <w:rtl/>
        </w:rPr>
        <w:t xml:space="preserve"> </w:t>
      </w:r>
      <w:r w:rsidRPr="003E6696">
        <w:rPr>
          <w:rFonts w:cs="Arial" w:hint="cs"/>
          <w:sz w:val="20"/>
          <w:szCs w:val="20"/>
          <w:rtl/>
        </w:rPr>
        <w:t>ובלילה</w:t>
      </w:r>
      <w:r w:rsidRPr="003E6696">
        <w:rPr>
          <w:rFonts w:cs="Arial"/>
          <w:sz w:val="20"/>
          <w:szCs w:val="20"/>
          <w:rtl/>
        </w:rPr>
        <w:t xml:space="preserve"> </w:t>
      </w:r>
      <w:r w:rsidRPr="003E6696">
        <w:rPr>
          <w:rFonts w:cs="Arial" w:hint="cs"/>
          <w:sz w:val="20"/>
          <w:szCs w:val="20"/>
          <w:rtl/>
        </w:rPr>
        <w:t>מפני</w:t>
      </w:r>
      <w:r w:rsidRPr="003E6696">
        <w:rPr>
          <w:rFonts w:cs="Arial"/>
          <w:sz w:val="20"/>
          <w:szCs w:val="20"/>
          <w:rtl/>
        </w:rPr>
        <w:t xml:space="preserve"> </w:t>
      </w:r>
      <w:r w:rsidRPr="003E6696">
        <w:rPr>
          <w:rFonts w:cs="Arial" w:hint="cs"/>
          <w:sz w:val="20"/>
          <w:szCs w:val="20"/>
          <w:rtl/>
        </w:rPr>
        <w:t>חשש</w:t>
      </w:r>
      <w:r w:rsidRPr="003E6696">
        <w:rPr>
          <w:rFonts w:cs="Arial"/>
          <w:sz w:val="20"/>
          <w:szCs w:val="20"/>
          <w:rtl/>
        </w:rPr>
        <w:t xml:space="preserve"> </w:t>
      </w:r>
      <w:r w:rsidRPr="003E6696">
        <w:rPr>
          <w:rFonts w:cs="Arial" w:hint="cs"/>
          <w:sz w:val="20"/>
          <w:szCs w:val="20"/>
          <w:rtl/>
        </w:rPr>
        <w:t>הוסת</w:t>
      </w:r>
      <w:r w:rsidRPr="003E6696">
        <w:rPr>
          <w:rFonts w:cs="Arial"/>
          <w:sz w:val="20"/>
          <w:szCs w:val="20"/>
          <w:rtl/>
        </w:rPr>
        <w:t xml:space="preserve"> </w:t>
      </w:r>
      <w:r w:rsidRPr="003E6696">
        <w:rPr>
          <w:rFonts w:cs="Arial" w:hint="cs"/>
          <w:sz w:val="20"/>
          <w:szCs w:val="20"/>
          <w:rtl/>
        </w:rPr>
        <w:t>הראשון</w:t>
      </w:r>
      <w:r w:rsidRPr="003E6696">
        <w:rPr>
          <w:rFonts w:cs="Arial"/>
          <w:sz w:val="20"/>
          <w:szCs w:val="20"/>
          <w:rtl/>
        </w:rPr>
        <w:t xml:space="preserve"> </w:t>
      </w:r>
      <w:r w:rsidRPr="003E6696">
        <w:rPr>
          <w:rFonts w:cs="Arial" w:hint="cs"/>
          <w:sz w:val="20"/>
          <w:szCs w:val="20"/>
          <w:rtl/>
        </w:rPr>
        <w:t>ומפני</w:t>
      </w:r>
      <w:r w:rsidRPr="003E6696">
        <w:rPr>
          <w:rFonts w:cs="Arial"/>
          <w:sz w:val="20"/>
          <w:szCs w:val="20"/>
          <w:rtl/>
        </w:rPr>
        <w:t xml:space="preserve"> </w:t>
      </w:r>
      <w:r w:rsidRPr="003E6696">
        <w:rPr>
          <w:rFonts w:cs="Arial" w:hint="cs"/>
          <w:sz w:val="20"/>
          <w:szCs w:val="20"/>
          <w:rtl/>
        </w:rPr>
        <w:t>חשש</w:t>
      </w:r>
      <w:r w:rsidRPr="003E6696">
        <w:rPr>
          <w:rFonts w:cs="Arial"/>
          <w:sz w:val="20"/>
          <w:szCs w:val="20"/>
          <w:rtl/>
        </w:rPr>
        <w:t xml:space="preserve"> </w:t>
      </w:r>
      <w:r w:rsidRPr="003E6696">
        <w:rPr>
          <w:rFonts w:cs="Arial" w:hint="cs"/>
          <w:sz w:val="20"/>
          <w:szCs w:val="20"/>
          <w:rtl/>
        </w:rPr>
        <w:t>השני</w:t>
      </w:r>
      <w:r w:rsidRPr="003E6696">
        <w:rPr>
          <w:rFonts w:cs="Arial"/>
          <w:sz w:val="20"/>
          <w:szCs w:val="20"/>
          <w:rtl/>
        </w:rPr>
        <w:t xml:space="preserve">, </w:t>
      </w:r>
      <w:r w:rsidRPr="003E6696">
        <w:rPr>
          <w:rFonts w:cs="Arial" w:hint="cs"/>
          <w:sz w:val="20"/>
          <w:szCs w:val="20"/>
          <w:rtl/>
        </w:rPr>
        <w:t>שהוא</w:t>
      </w:r>
      <w:r w:rsidRPr="003E6696">
        <w:rPr>
          <w:rFonts w:cs="Arial"/>
          <w:sz w:val="20"/>
          <w:szCs w:val="20"/>
          <w:rtl/>
        </w:rPr>
        <w:t xml:space="preserve"> </w:t>
      </w:r>
      <w:r w:rsidRPr="003E6696">
        <w:rPr>
          <w:rFonts w:cs="Arial" w:hint="cs"/>
          <w:sz w:val="20"/>
          <w:szCs w:val="20"/>
          <w:rtl/>
        </w:rPr>
        <w:t>האחרון</w:t>
      </w:r>
      <w:r w:rsidRPr="003E6696">
        <w:rPr>
          <w:rFonts w:cs="Arial"/>
          <w:sz w:val="20"/>
          <w:szCs w:val="20"/>
          <w:rtl/>
        </w:rPr>
        <w:t xml:space="preserve">, </w:t>
      </w:r>
      <w:r w:rsidRPr="003E6696">
        <w:rPr>
          <w:rFonts w:cs="Arial" w:hint="cs"/>
          <w:sz w:val="20"/>
          <w:szCs w:val="20"/>
          <w:rtl/>
        </w:rPr>
        <w:t>ואם</w:t>
      </w:r>
      <w:r w:rsidRPr="003E6696">
        <w:rPr>
          <w:rFonts w:cs="Arial"/>
          <w:sz w:val="20"/>
          <w:szCs w:val="20"/>
          <w:rtl/>
        </w:rPr>
        <w:t xml:space="preserve"> </w:t>
      </w:r>
      <w:r w:rsidRPr="003E6696">
        <w:rPr>
          <w:rFonts w:cs="Arial" w:hint="cs"/>
          <w:sz w:val="20"/>
          <w:szCs w:val="20"/>
          <w:rtl/>
        </w:rPr>
        <w:t>ראתה</w:t>
      </w:r>
      <w:r w:rsidRPr="003E6696">
        <w:rPr>
          <w:rFonts w:cs="Arial"/>
          <w:sz w:val="20"/>
          <w:szCs w:val="20"/>
          <w:rtl/>
        </w:rPr>
        <w:t xml:space="preserve"> </w:t>
      </w:r>
      <w:r w:rsidRPr="003E6696">
        <w:rPr>
          <w:rFonts w:cs="Arial" w:hint="cs"/>
          <w:sz w:val="20"/>
          <w:szCs w:val="20"/>
          <w:rtl/>
        </w:rPr>
        <w:t>פעמים</w:t>
      </w:r>
      <w:r w:rsidRPr="003E6696">
        <w:rPr>
          <w:rFonts w:cs="Arial"/>
          <w:sz w:val="20"/>
          <w:szCs w:val="20"/>
          <w:rtl/>
        </w:rPr>
        <w:t xml:space="preserve"> </w:t>
      </w:r>
      <w:r w:rsidRPr="003E6696">
        <w:rPr>
          <w:rFonts w:cs="Arial" w:hint="cs"/>
          <w:sz w:val="20"/>
          <w:szCs w:val="20"/>
          <w:rtl/>
        </w:rPr>
        <w:t>ביום</w:t>
      </w:r>
      <w:r w:rsidRPr="003E6696">
        <w:rPr>
          <w:rFonts w:cs="Arial"/>
          <w:sz w:val="20"/>
          <w:szCs w:val="20"/>
          <w:rtl/>
        </w:rPr>
        <w:t xml:space="preserve"> </w:t>
      </w:r>
      <w:r w:rsidRPr="003E6696">
        <w:rPr>
          <w:rFonts w:cs="Arial" w:hint="cs"/>
          <w:sz w:val="20"/>
          <w:szCs w:val="20"/>
          <w:rtl/>
        </w:rPr>
        <w:t>ופעמים</w:t>
      </w:r>
      <w:r w:rsidRPr="003E6696">
        <w:rPr>
          <w:rFonts w:cs="Arial"/>
          <w:sz w:val="20"/>
          <w:szCs w:val="20"/>
          <w:rtl/>
        </w:rPr>
        <w:t xml:space="preserve"> </w:t>
      </w:r>
      <w:r w:rsidRPr="003E6696">
        <w:rPr>
          <w:rFonts w:cs="Arial" w:hint="cs"/>
          <w:sz w:val="20"/>
          <w:szCs w:val="20"/>
          <w:rtl/>
        </w:rPr>
        <w:t>בלילה</w:t>
      </w:r>
      <w:r w:rsidRPr="003E6696">
        <w:rPr>
          <w:rFonts w:cs="Arial"/>
          <w:sz w:val="20"/>
          <w:szCs w:val="20"/>
          <w:rtl/>
        </w:rPr>
        <w:t xml:space="preserve">, </w:t>
      </w:r>
      <w:r w:rsidRPr="003E6696">
        <w:rPr>
          <w:rFonts w:cs="Arial" w:hint="cs"/>
          <w:sz w:val="20"/>
          <w:szCs w:val="20"/>
          <w:rtl/>
        </w:rPr>
        <w:t>שלא</w:t>
      </w:r>
      <w:r w:rsidRPr="003E6696">
        <w:rPr>
          <w:rFonts w:cs="Arial"/>
          <w:sz w:val="20"/>
          <w:szCs w:val="20"/>
          <w:rtl/>
        </w:rPr>
        <w:t xml:space="preserve"> </w:t>
      </w:r>
      <w:r w:rsidRPr="003E6696">
        <w:rPr>
          <w:rFonts w:cs="Arial" w:hint="cs"/>
          <w:sz w:val="20"/>
          <w:szCs w:val="20"/>
          <w:rtl/>
        </w:rPr>
        <w:t>על</w:t>
      </w:r>
      <w:r w:rsidRPr="003E6696">
        <w:rPr>
          <w:rFonts w:cs="Arial"/>
          <w:sz w:val="20"/>
          <w:szCs w:val="20"/>
          <w:rtl/>
        </w:rPr>
        <w:t xml:space="preserve"> </w:t>
      </w:r>
      <w:r w:rsidRPr="003E6696">
        <w:rPr>
          <w:rFonts w:cs="Arial" w:hint="cs"/>
          <w:sz w:val="20"/>
          <w:szCs w:val="20"/>
          <w:rtl/>
        </w:rPr>
        <w:t>הסדר</w:t>
      </w:r>
      <w:r w:rsidRPr="003E6696">
        <w:rPr>
          <w:rFonts w:cs="Arial"/>
          <w:sz w:val="20"/>
          <w:szCs w:val="20"/>
          <w:rtl/>
        </w:rPr>
        <w:t xml:space="preserve">, </w:t>
      </w:r>
      <w:r w:rsidRPr="003E6696">
        <w:rPr>
          <w:rFonts w:cs="Arial"/>
          <w:sz w:val="18"/>
          <w:szCs w:val="18"/>
          <w:rtl/>
        </w:rPr>
        <w:t>(</w:t>
      </w:r>
      <w:r w:rsidRPr="003E6696">
        <w:rPr>
          <w:rFonts w:cs="Arial" w:hint="cs"/>
          <w:sz w:val="18"/>
          <w:szCs w:val="18"/>
          <w:rtl/>
        </w:rPr>
        <w:t>ולא</w:t>
      </w:r>
      <w:r w:rsidRPr="003E6696">
        <w:rPr>
          <w:rFonts w:cs="Arial"/>
          <w:sz w:val="18"/>
          <w:szCs w:val="18"/>
          <w:rtl/>
        </w:rPr>
        <w:t xml:space="preserve"> </w:t>
      </w:r>
      <w:r w:rsidRPr="003E6696">
        <w:rPr>
          <w:rFonts w:cs="Arial" w:hint="cs"/>
          <w:sz w:val="18"/>
          <w:szCs w:val="18"/>
          <w:rtl/>
        </w:rPr>
        <w:t>קבעה</w:t>
      </w:r>
      <w:r w:rsidRPr="003E6696">
        <w:rPr>
          <w:rFonts w:cs="Arial"/>
          <w:sz w:val="18"/>
          <w:szCs w:val="18"/>
          <w:rtl/>
        </w:rPr>
        <w:t xml:space="preserve"> </w:t>
      </w:r>
      <w:r w:rsidRPr="003E6696">
        <w:rPr>
          <w:rFonts w:cs="Arial" w:hint="cs"/>
          <w:sz w:val="18"/>
          <w:szCs w:val="18"/>
          <w:rtl/>
        </w:rPr>
        <w:t>אחד</w:t>
      </w:r>
      <w:r w:rsidRPr="003E6696">
        <w:rPr>
          <w:rFonts w:cs="Arial"/>
          <w:sz w:val="18"/>
          <w:szCs w:val="18"/>
          <w:rtl/>
        </w:rPr>
        <w:t xml:space="preserve"> </w:t>
      </w:r>
      <w:r w:rsidRPr="003E6696">
        <w:rPr>
          <w:rFonts w:cs="Arial" w:hint="cs"/>
          <w:sz w:val="18"/>
          <w:szCs w:val="18"/>
          <w:rtl/>
        </w:rPr>
        <w:t>מהן</w:t>
      </w:r>
      <w:r w:rsidRPr="003E6696">
        <w:rPr>
          <w:rFonts w:cs="Arial"/>
          <w:sz w:val="18"/>
          <w:szCs w:val="18"/>
          <w:rtl/>
        </w:rPr>
        <w:t xml:space="preserve"> </w:t>
      </w:r>
      <w:r>
        <w:rPr>
          <w:rFonts w:cs="Arial" w:hint="cs"/>
          <w:sz w:val="18"/>
          <w:szCs w:val="18"/>
          <w:rtl/>
        </w:rPr>
        <w:t xml:space="preserve">ג' </w:t>
      </w:r>
      <w:r w:rsidRPr="003E6696">
        <w:rPr>
          <w:rFonts w:cs="Arial" w:hint="cs"/>
          <w:sz w:val="18"/>
          <w:szCs w:val="18"/>
          <w:rtl/>
        </w:rPr>
        <w:t>פ</w:t>
      </w:r>
      <w:r>
        <w:rPr>
          <w:rFonts w:cs="Arial" w:hint="cs"/>
          <w:sz w:val="18"/>
          <w:szCs w:val="18"/>
          <w:rtl/>
        </w:rPr>
        <w:t>עמים</w:t>
      </w:r>
      <w:r w:rsidRPr="003E6696">
        <w:rPr>
          <w:rFonts w:cs="Arial"/>
          <w:sz w:val="18"/>
          <w:szCs w:val="18"/>
          <w:rtl/>
        </w:rPr>
        <w:t>)</w:t>
      </w:r>
      <w:r w:rsidRPr="003E6696">
        <w:rPr>
          <w:rFonts w:cs="Arial"/>
          <w:sz w:val="20"/>
          <w:szCs w:val="20"/>
          <w:rtl/>
        </w:rPr>
        <w:t xml:space="preserve">, </w:t>
      </w:r>
      <w:r w:rsidRPr="003E6696">
        <w:rPr>
          <w:rFonts w:cs="Arial" w:hint="cs"/>
          <w:sz w:val="20"/>
          <w:szCs w:val="20"/>
          <w:rtl/>
        </w:rPr>
        <w:t>או</w:t>
      </w:r>
      <w:r w:rsidRPr="003E6696">
        <w:rPr>
          <w:rFonts w:cs="Arial"/>
          <w:sz w:val="20"/>
          <w:szCs w:val="20"/>
          <w:rtl/>
        </w:rPr>
        <w:t xml:space="preserve"> </w:t>
      </w:r>
      <w:r w:rsidRPr="003E6696">
        <w:rPr>
          <w:rFonts w:cs="Arial" w:hint="cs"/>
          <w:sz w:val="20"/>
          <w:szCs w:val="20"/>
          <w:rtl/>
        </w:rPr>
        <w:t>שתראה</w:t>
      </w:r>
      <w:r w:rsidRPr="003E6696">
        <w:rPr>
          <w:rFonts w:cs="Arial"/>
          <w:sz w:val="20"/>
          <w:szCs w:val="20"/>
          <w:rtl/>
        </w:rPr>
        <w:t xml:space="preserve"> </w:t>
      </w:r>
      <w:r w:rsidRPr="003E6696">
        <w:rPr>
          <w:rFonts w:cs="Arial" w:hint="cs"/>
          <w:sz w:val="20"/>
          <w:szCs w:val="20"/>
          <w:rtl/>
        </w:rPr>
        <w:t>הראשונה</w:t>
      </w:r>
      <w:r w:rsidRPr="003E6696">
        <w:rPr>
          <w:rFonts w:cs="Arial"/>
          <w:sz w:val="20"/>
          <w:szCs w:val="20"/>
          <w:rtl/>
        </w:rPr>
        <w:t xml:space="preserve"> </w:t>
      </w:r>
      <w:r w:rsidRPr="003E6696">
        <w:rPr>
          <w:rFonts w:cs="Arial" w:hint="cs"/>
          <w:sz w:val="20"/>
          <w:szCs w:val="20"/>
          <w:rtl/>
        </w:rPr>
        <w:t>ביום</w:t>
      </w:r>
      <w:r w:rsidRPr="003E6696">
        <w:rPr>
          <w:rFonts w:cs="Arial"/>
          <w:sz w:val="20"/>
          <w:szCs w:val="20"/>
          <w:rtl/>
        </w:rPr>
        <w:t xml:space="preserve">, </w:t>
      </w:r>
      <w:r w:rsidRPr="003E6696">
        <w:rPr>
          <w:rFonts w:cs="Arial" w:hint="cs"/>
          <w:sz w:val="20"/>
          <w:szCs w:val="20"/>
          <w:rtl/>
        </w:rPr>
        <w:t>וג</w:t>
      </w:r>
      <w:r w:rsidRPr="003E6696">
        <w:rPr>
          <w:rFonts w:cs="Arial"/>
          <w:sz w:val="20"/>
          <w:szCs w:val="20"/>
          <w:rtl/>
        </w:rPr>
        <w:t xml:space="preserve">' </w:t>
      </w:r>
      <w:r w:rsidRPr="003E6696">
        <w:rPr>
          <w:rFonts w:cs="Arial" w:hint="cs"/>
          <w:sz w:val="20"/>
          <w:szCs w:val="20"/>
          <w:rtl/>
        </w:rPr>
        <w:t>האחרונות</w:t>
      </w:r>
      <w:r w:rsidRPr="003E6696">
        <w:rPr>
          <w:rFonts w:cs="Arial"/>
          <w:sz w:val="20"/>
          <w:szCs w:val="20"/>
          <w:rtl/>
        </w:rPr>
        <w:t xml:space="preserve"> </w:t>
      </w:r>
      <w:r w:rsidRPr="003E6696">
        <w:rPr>
          <w:rFonts w:cs="Arial" w:hint="cs"/>
          <w:sz w:val="20"/>
          <w:szCs w:val="20"/>
          <w:rtl/>
        </w:rPr>
        <w:t>בלילה</w:t>
      </w:r>
      <w:r w:rsidRPr="003E6696">
        <w:rPr>
          <w:rFonts w:cs="Arial"/>
          <w:sz w:val="20"/>
          <w:szCs w:val="20"/>
          <w:rtl/>
        </w:rPr>
        <w:t xml:space="preserve">, </w:t>
      </w:r>
      <w:r w:rsidRPr="003E6696">
        <w:rPr>
          <w:rFonts w:cs="Arial" w:hint="cs"/>
          <w:sz w:val="20"/>
          <w:szCs w:val="20"/>
          <w:rtl/>
        </w:rPr>
        <w:t>או</w:t>
      </w:r>
      <w:r w:rsidRPr="003E6696">
        <w:rPr>
          <w:rFonts w:cs="Arial"/>
          <w:sz w:val="20"/>
          <w:szCs w:val="20"/>
          <w:rtl/>
        </w:rPr>
        <w:t xml:space="preserve"> </w:t>
      </w:r>
      <w:r w:rsidRPr="003E6696">
        <w:rPr>
          <w:rFonts w:cs="Arial" w:hint="cs"/>
          <w:sz w:val="20"/>
          <w:szCs w:val="20"/>
          <w:rtl/>
        </w:rPr>
        <w:t>הראשונה</w:t>
      </w:r>
      <w:r w:rsidRPr="003E6696">
        <w:rPr>
          <w:rFonts w:cs="Arial"/>
          <w:sz w:val="20"/>
          <w:szCs w:val="20"/>
          <w:rtl/>
        </w:rPr>
        <w:t xml:space="preserve"> </w:t>
      </w:r>
      <w:r w:rsidRPr="003E6696">
        <w:rPr>
          <w:rFonts w:cs="Arial" w:hint="cs"/>
          <w:sz w:val="20"/>
          <w:szCs w:val="20"/>
          <w:rtl/>
        </w:rPr>
        <w:t>בלילה</w:t>
      </w:r>
      <w:r w:rsidRPr="003E6696">
        <w:rPr>
          <w:rFonts w:cs="Arial"/>
          <w:sz w:val="20"/>
          <w:szCs w:val="20"/>
          <w:rtl/>
        </w:rPr>
        <w:t xml:space="preserve"> </w:t>
      </w:r>
      <w:r w:rsidRPr="003E6696">
        <w:rPr>
          <w:rFonts w:cs="Arial" w:hint="cs"/>
          <w:sz w:val="20"/>
          <w:szCs w:val="20"/>
          <w:rtl/>
        </w:rPr>
        <w:t>והג</w:t>
      </w:r>
      <w:r w:rsidRPr="003E6696">
        <w:rPr>
          <w:rFonts w:cs="Arial"/>
          <w:sz w:val="20"/>
          <w:szCs w:val="20"/>
          <w:rtl/>
        </w:rPr>
        <w:t xml:space="preserve">' </w:t>
      </w:r>
      <w:r w:rsidRPr="003E6696">
        <w:rPr>
          <w:rFonts w:cs="Arial" w:hint="cs"/>
          <w:sz w:val="20"/>
          <w:szCs w:val="20"/>
          <w:rtl/>
        </w:rPr>
        <w:t>אחרונות</w:t>
      </w:r>
      <w:r w:rsidRPr="003E6696">
        <w:rPr>
          <w:rFonts w:cs="Arial"/>
          <w:sz w:val="20"/>
          <w:szCs w:val="20"/>
          <w:rtl/>
        </w:rPr>
        <w:t xml:space="preserve"> </w:t>
      </w:r>
      <w:r w:rsidRPr="003E6696">
        <w:rPr>
          <w:rFonts w:cs="Arial" w:hint="cs"/>
          <w:sz w:val="20"/>
          <w:szCs w:val="20"/>
          <w:rtl/>
        </w:rPr>
        <w:t>ביום</w:t>
      </w:r>
      <w:r w:rsidRPr="003E6696">
        <w:rPr>
          <w:rFonts w:cs="Arial"/>
          <w:sz w:val="20"/>
          <w:szCs w:val="20"/>
          <w:rtl/>
        </w:rPr>
        <w:t xml:space="preserve">, </w:t>
      </w:r>
      <w:r w:rsidRPr="003E6696">
        <w:rPr>
          <w:rFonts w:cs="Arial" w:hint="cs"/>
          <w:sz w:val="20"/>
          <w:szCs w:val="20"/>
          <w:rtl/>
        </w:rPr>
        <w:t>או</w:t>
      </w:r>
      <w:r w:rsidRPr="003E6696">
        <w:rPr>
          <w:rFonts w:cs="Arial"/>
          <w:sz w:val="20"/>
          <w:szCs w:val="20"/>
          <w:rtl/>
        </w:rPr>
        <w:t xml:space="preserve"> </w:t>
      </w:r>
      <w:r w:rsidRPr="003E6696">
        <w:rPr>
          <w:rFonts w:cs="Arial" w:hint="cs"/>
          <w:sz w:val="20"/>
          <w:szCs w:val="20"/>
          <w:rtl/>
        </w:rPr>
        <w:t>של</w:t>
      </w:r>
      <w:r>
        <w:rPr>
          <w:rFonts w:cs="Arial" w:hint="cs"/>
          <w:sz w:val="20"/>
          <w:szCs w:val="20"/>
          <w:rtl/>
        </w:rPr>
        <w:t>ו</w:t>
      </w:r>
      <w:r w:rsidRPr="003E6696">
        <w:rPr>
          <w:rFonts w:cs="Arial" w:hint="cs"/>
          <w:sz w:val="20"/>
          <w:szCs w:val="20"/>
          <w:rtl/>
        </w:rPr>
        <w:t>ש</w:t>
      </w:r>
      <w:r w:rsidRPr="003E6696">
        <w:rPr>
          <w:rFonts w:cs="Arial"/>
          <w:sz w:val="20"/>
          <w:szCs w:val="20"/>
          <w:rtl/>
        </w:rPr>
        <w:t xml:space="preserve"> </w:t>
      </w:r>
      <w:r w:rsidRPr="003E6696">
        <w:rPr>
          <w:rFonts w:cs="Arial" w:hint="cs"/>
          <w:sz w:val="20"/>
          <w:szCs w:val="20"/>
          <w:rtl/>
        </w:rPr>
        <w:t>בזה</w:t>
      </w:r>
      <w:r w:rsidRPr="003E6696">
        <w:rPr>
          <w:rFonts w:cs="Arial"/>
          <w:sz w:val="20"/>
          <w:szCs w:val="20"/>
          <w:rtl/>
        </w:rPr>
        <w:t xml:space="preserve"> </w:t>
      </w:r>
      <w:r w:rsidRPr="003E6696">
        <w:rPr>
          <w:rFonts w:cs="Arial" w:hint="cs"/>
          <w:sz w:val="20"/>
          <w:szCs w:val="20"/>
          <w:rtl/>
        </w:rPr>
        <w:t>ושל</w:t>
      </w:r>
      <w:r>
        <w:rPr>
          <w:rFonts w:cs="Arial" w:hint="cs"/>
          <w:sz w:val="20"/>
          <w:szCs w:val="20"/>
          <w:rtl/>
        </w:rPr>
        <w:t>ו</w:t>
      </w:r>
      <w:r w:rsidRPr="003E6696">
        <w:rPr>
          <w:rFonts w:cs="Arial" w:hint="cs"/>
          <w:sz w:val="20"/>
          <w:szCs w:val="20"/>
          <w:rtl/>
        </w:rPr>
        <w:t>ש</w:t>
      </w:r>
      <w:r w:rsidRPr="003E6696">
        <w:rPr>
          <w:rFonts w:cs="Arial"/>
          <w:sz w:val="20"/>
          <w:szCs w:val="20"/>
          <w:rtl/>
        </w:rPr>
        <w:t xml:space="preserve"> </w:t>
      </w:r>
      <w:r w:rsidRPr="003E6696">
        <w:rPr>
          <w:rFonts w:cs="Arial" w:hint="cs"/>
          <w:sz w:val="20"/>
          <w:szCs w:val="20"/>
          <w:rtl/>
        </w:rPr>
        <w:t>בזה</w:t>
      </w:r>
      <w:r w:rsidRPr="003E6696">
        <w:rPr>
          <w:rFonts w:cs="Arial"/>
          <w:sz w:val="20"/>
          <w:szCs w:val="20"/>
          <w:rtl/>
        </w:rPr>
        <w:t xml:space="preserve">, </w:t>
      </w:r>
      <w:r w:rsidRPr="003E6696">
        <w:rPr>
          <w:rFonts w:cs="Arial" w:hint="cs"/>
          <w:sz w:val="20"/>
          <w:szCs w:val="20"/>
          <w:rtl/>
        </w:rPr>
        <w:t>חוששת</w:t>
      </w:r>
      <w:r w:rsidRPr="003E6696">
        <w:rPr>
          <w:rFonts w:cs="Arial"/>
          <w:sz w:val="20"/>
          <w:szCs w:val="20"/>
          <w:rtl/>
        </w:rPr>
        <w:t xml:space="preserve"> </w:t>
      </w:r>
      <w:r w:rsidRPr="003E6696">
        <w:rPr>
          <w:rFonts w:cs="Arial" w:hint="cs"/>
          <w:sz w:val="20"/>
          <w:szCs w:val="20"/>
          <w:rtl/>
        </w:rPr>
        <w:t>לאחרונה</w:t>
      </w:r>
      <w:r w:rsidRPr="003E6696">
        <w:rPr>
          <w:rFonts w:cs="Arial"/>
          <w:sz w:val="20"/>
          <w:szCs w:val="20"/>
          <w:rtl/>
        </w:rPr>
        <w:t xml:space="preserve"> </w:t>
      </w:r>
      <w:r w:rsidRPr="003E6696">
        <w:rPr>
          <w:rFonts w:cs="Arial" w:hint="cs"/>
          <w:sz w:val="20"/>
          <w:szCs w:val="20"/>
          <w:rtl/>
        </w:rPr>
        <w:t>בלבד</w:t>
      </w:r>
      <w:r>
        <w:rPr>
          <w:rFonts w:cs="Arial" w:hint="cs"/>
          <w:sz w:val="20"/>
          <w:szCs w:val="20"/>
          <w:rtl/>
        </w:rPr>
        <w:t>".</w:t>
      </w:r>
      <w:r>
        <w:rPr>
          <w:rFonts w:hint="cs"/>
          <w:sz w:val="20"/>
          <w:szCs w:val="20"/>
          <w:rtl/>
        </w:rPr>
        <w:br/>
      </w:r>
      <w:r>
        <w:rPr>
          <w:sz w:val="20"/>
          <w:szCs w:val="20"/>
          <w:rtl/>
        </w:rPr>
        <w:br/>
      </w:r>
      <w:r w:rsidRPr="000C7BF2">
        <w:rPr>
          <w:rFonts w:hint="cs"/>
          <w:sz w:val="20"/>
          <w:szCs w:val="20"/>
          <w:rtl/>
        </w:rPr>
        <w:t>הסבר</w:t>
      </w:r>
      <w:r>
        <w:rPr>
          <w:rFonts w:hint="cs"/>
          <w:sz w:val="20"/>
          <w:szCs w:val="20"/>
          <w:rtl/>
        </w:rPr>
        <w:t xml:space="preserve"> </w:t>
      </w:r>
      <w:r>
        <w:rPr>
          <w:sz w:val="20"/>
          <w:szCs w:val="20"/>
          <w:rtl/>
        </w:rPr>
        <w:t>–</w:t>
      </w:r>
      <w:r>
        <w:rPr>
          <w:rFonts w:hint="cs"/>
          <w:sz w:val="20"/>
          <w:szCs w:val="20"/>
          <w:rtl/>
        </w:rPr>
        <w:t xml:space="preserve"> רק אם ראתה ג' פעמים בעונה אחת וראייה אחרונה בעונה אחרת חוששת לשתי העונות, בכל שאר האופנים חוששת רק לעונת הווסת האחרון.</w:t>
      </w:r>
    </w:p>
    <w:p w:rsidR="00620060" w:rsidRDefault="00620060" w:rsidP="00620060">
      <w:pPr>
        <w:rPr>
          <w:sz w:val="20"/>
          <w:szCs w:val="20"/>
          <w:rtl/>
        </w:rPr>
      </w:pPr>
      <w:r w:rsidRPr="000278C7">
        <w:rPr>
          <w:rFonts w:hint="cs"/>
          <w:sz w:val="20"/>
          <w:szCs w:val="20"/>
          <w:u w:val="single"/>
          <w:rtl/>
        </w:rPr>
        <w:t>דין זה בווסת ההפלגה</w:t>
      </w:r>
      <w:r>
        <w:rPr>
          <w:rFonts w:hint="cs"/>
          <w:sz w:val="20"/>
          <w:szCs w:val="20"/>
          <w:u w:val="single"/>
          <w:rtl/>
        </w:rPr>
        <w:t xml:space="preserve"> (פת"ש)</w:t>
      </w:r>
      <w:r w:rsidRPr="000C7BF2">
        <w:rPr>
          <w:sz w:val="20"/>
          <w:szCs w:val="20"/>
          <w:rtl/>
        </w:rPr>
        <w:br/>
      </w:r>
      <w:r w:rsidRPr="000C7BF2">
        <w:rPr>
          <w:rFonts w:hint="cs"/>
          <w:sz w:val="20"/>
          <w:szCs w:val="20"/>
          <w:rtl/>
        </w:rPr>
        <w:t xml:space="preserve">א. </w:t>
      </w:r>
      <w:r w:rsidRPr="000C7BF2">
        <w:rPr>
          <w:rFonts w:hint="cs"/>
          <w:b/>
          <w:bCs/>
          <w:sz w:val="20"/>
          <w:szCs w:val="20"/>
          <w:rtl/>
        </w:rPr>
        <w:t>גדול אחד</w:t>
      </w:r>
      <w:r w:rsidRPr="000C7BF2">
        <w:rPr>
          <w:rFonts w:hint="cs"/>
          <w:sz w:val="20"/>
          <w:szCs w:val="20"/>
          <w:rtl/>
        </w:rPr>
        <w:t xml:space="preserve"> </w:t>
      </w:r>
      <w:r w:rsidRPr="000C7BF2">
        <w:rPr>
          <w:rFonts w:hint="cs"/>
          <w:sz w:val="18"/>
          <w:szCs w:val="18"/>
          <w:rtl/>
        </w:rPr>
        <w:t xml:space="preserve">(הו"ד </w:t>
      </w:r>
      <w:r w:rsidRPr="000C7BF2">
        <w:rPr>
          <w:rFonts w:hint="cs"/>
          <w:b/>
          <w:bCs/>
          <w:sz w:val="18"/>
          <w:szCs w:val="18"/>
          <w:rtl/>
        </w:rPr>
        <w:t>בנודע ביהודה</w:t>
      </w:r>
      <w:r w:rsidRPr="000C7BF2">
        <w:rPr>
          <w:rFonts w:hint="cs"/>
          <w:sz w:val="18"/>
          <w:szCs w:val="18"/>
          <w:rtl/>
        </w:rPr>
        <w:t xml:space="preserve">) </w:t>
      </w:r>
      <w:r w:rsidRPr="000C7BF2">
        <w:rPr>
          <w:rFonts w:hint="cs"/>
          <w:sz w:val="20"/>
          <w:szCs w:val="20"/>
          <w:rtl/>
        </w:rPr>
        <w:t>- ווסת ההפלגה נקבע רק אם היו סך הפלגות עונות שוות בין</w:t>
      </w:r>
      <w:r w:rsidRPr="00F95E2B">
        <w:rPr>
          <w:rFonts w:hint="cs"/>
          <w:sz w:val="20"/>
          <w:szCs w:val="20"/>
          <w:rtl/>
        </w:rPr>
        <w:t xml:space="preserve"> כל ראיותיה. </w:t>
      </w:r>
      <w:r w:rsidRPr="00F95E2B">
        <w:rPr>
          <w:sz w:val="20"/>
          <w:szCs w:val="20"/>
          <w:rtl/>
        </w:rPr>
        <w:br/>
      </w:r>
      <w:r w:rsidRPr="00F95E2B">
        <w:rPr>
          <w:rFonts w:hint="cs"/>
          <w:sz w:val="20"/>
          <w:szCs w:val="20"/>
          <w:rtl/>
        </w:rPr>
        <w:t xml:space="preserve">כגון </w:t>
      </w:r>
      <w:r w:rsidRPr="00F95E2B">
        <w:rPr>
          <w:sz w:val="20"/>
          <w:szCs w:val="20"/>
          <w:rtl/>
        </w:rPr>
        <w:t>–</w:t>
      </w:r>
      <w:r w:rsidRPr="00F95E2B">
        <w:rPr>
          <w:rFonts w:hint="cs"/>
          <w:sz w:val="20"/>
          <w:szCs w:val="20"/>
          <w:rtl/>
        </w:rPr>
        <w:t xml:space="preserve"> ראתה הלילה ולאחר כ' ביום, הרי מ' עונות. לאחר מכן ראתה ליל כא', הרי שוב מ' עונות. לאחר מכן ראתה ביום כ', הרי מ' עונות </w:t>
      </w:r>
      <w:r w:rsidRPr="00F95E2B">
        <w:rPr>
          <w:sz w:val="20"/>
          <w:szCs w:val="20"/>
          <w:rtl/>
        </w:rPr>
        <w:t>–</w:t>
      </w:r>
      <w:r w:rsidRPr="00F95E2B">
        <w:rPr>
          <w:rFonts w:hint="cs"/>
          <w:sz w:val="20"/>
          <w:szCs w:val="20"/>
          <w:rtl/>
        </w:rPr>
        <w:t xml:space="preserve"> קבעה לה ווסת למ' עונות.</w:t>
      </w:r>
      <w:r>
        <w:rPr>
          <w:sz w:val="20"/>
          <w:szCs w:val="20"/>
          <w:rtl/>
        </w:rPr>
        <w:t xml:space="preserve"> </w:t>
      </w:r>
      <w:r>
        <w:rPr>
          <w:sz w:val="20"/>
          <w:szCs w:val="20"/>
          <w:rtl/>
        </w:rPr>
        <w:br/>
      </w:r>
      <w:r>
        <w:rPr>
          <w:rFonts w:hint="cs"/>
          <w:sz w:val="20"/>
          <w:szCs w:val="20"/>
          <w:rtl/>
        </w:rPr>
        <w:t>לפי"ז, נראה לו לומר שאם לא קבעה לה ווסת וראתה,</w:t>
      </w:r>
      <w:r w:rsidRPr="000C7BF2">
        <w:rPr>
          <w:rFonts w:hint="cs"/>
          <w:sz w:val="20"/>
          <w:szCs w:val="20"/>
          <w:rtl/>
        </w:rPr>
        <w:t xml:space="preserve"> למשל, ביום א', ולאחר ד' שבועות ראתה ליל א' </w:t>
      </w:r>
      <w:r w:rsidRPr="000C7BF2">
        <w:rPr>
          <w:rFonts w:hint="cs"/>
          <w:sz w:val="18"/>
          <w:szCs w:val="18"/>
          <w:rtl/>
        </w:rPr>
        <w:t>(הקדימה ראייתה עונה אחת)</w:t>
      </w:r>
      <w:r w:rsidRPr="000C7BF2">
        <w:rPr>
          <w:rFonts w:hint="cs"/>
          <w:sz w:val="20"/>
          <w:szCs w:val="20"/>
          <w:rtl/>
        </w:rPr>
        <w:t>, חוששת ביום</w:t>
      </w:r>
      <w:r>
        <w:rPr>
          <w:rFonts w:hint="cs"/>
          <w:sz w:val="20"/>
          <w:szCs w:val="20"/>
          <w:rtl/>
        </w:rPr>
        <w:t xml:space="preserve"> השבת לאחר ד' שבועות.</w:t>
      </w:r>
      <w:r>
        <w:rPr>
          <w:sz w:val="20"/>
          <w:szCs w:val="20"/>
          <w:rtl/>
        </w:rPr>
        <w:br/>
      </w:r>
      <w:r w:rsidRPr="00865626">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כפי שבווסת החודש שאינו קבוע חוששת רק לעונת הווסת האחרון, כך הדין בווסת ההפלגות שחוששת לעונת ההפלגה האחרונה, והפלגתה האחרונה היתה ד' שבועות פחות עונה אחת.</w:t>
      </w:r>
      <w:r>
        <w:rPr>
          <w:sz w:val="20"/>
          <w:szCs w:val="20"/>
          <w:rtl/>
        </w:rPr>
        <w:br/>
      </w:r>
      <w:r>
        <w:rPr>
          <w:rFonts w:hint="cs"/>
          <w:sz w:val="20"/>
          <w:szCs w:val="20"/>
          <w:rtl/>
        </w:rPr>
        <w:t xml:space="preserve">ב. </w:t>
      </w:r>
      <w:r w:rsidRPr="00C1239E">
        <w:rPr>
          <w:rFonts w:hint="cs"/>
          <w:b/>
          <w:bCs/>
          <w:sz w:val="20"/>
          <w:szCs w:val="20"/>
          <w:rtl/>
        </w:rPr>
        <w:t>נודע ביהודה</w:t>
      </w:r>
      <w:r>
        <w:rPr>
          <w:rFonts w:hint="cs"/>
          <w:sz w:val="20"/>
          <w:szCs w:val="20"/>
          <w:rtl/>
        </w:rPr>
        <w:t xml:space="preserve"> </w:t>
      </w:r>
      <w:r>
        <w:rPr>
          <w:sz w:val="20"/>
          <w:szCs w:val="20"/>
          <w:rtl/>
        </w:rPr>
        <w:t>–</w:t>
      </w:r>
      <w:r>
        <w:rPr>
          <w:rFonts w:hint="cs"/>
          <w:sz w:val="20"/>
          <w:szCs w:val="20"/>
          <w:rtl/>
        </w:rPr>
        <w:t xml:space="preserve"> ווסת ההפלגה נקבע רק ע"פ מספר ימי ההפלגה, ואין להתחשב בעונות. ויש לה לחוש לעונה לפי הווסת האחרון.</w:t>
      </w:r>
      <w:r w:rsidRPr="00F95E2B">
        <w:rPr>
          <w:rStyle w:val="a5"/>
          <w:sz w:val="20"/>
          <w:szCs w:val="20"/>
          <w:rtl/>
        </w:rPr>
        <w:t xml:space="preserve"> </w:t>
      </w:r>
      <w:r>
        <w:rPr>
          <w:rStyle w:val="a5"/>
          <w:sz w:val="20"/>
          <w:szCs w:val="20"/>
          <w:rtl/>
        </w:rPr>
        <w:footnoteReference w:id="192"/>
      </w:r>
      <w:r>
        <w:rPr>
          <w:sz w:val="20"/>
          <w:szCs w:val="20"/>
          <w:rtl/>
        </w:rPr>
        <w:br/>
      </w:r>
      <w:r w:rsidRPr="00C1239E">
        <w:rPr>
          <w:rFonts w:hint="cs"/>
          <w:b/>
          <w:bCs/>
          <w:sz w:val="20"/>
          <w:szCs w:val="20"/>
          <w:rtl/>
        </w:rPr>
        <w:t>טעם</w:t>
      </w:r>
      <w:r>
        <w:rPr>
          <w:rFonts w:hint="cs"/>
          <w:sz w:val="20"/>
          <w:szCs w:val="20"/>
          <w:rtl/>
        </w:rPr>
        <w:t xml:space="preserve"> </w:t>
      </w:r>
      <w:r w:rsidRPr="00C1239E">
        <w:rPr>
          <w:rFonts w:hint="cs"/>
          <w:sz w:val="18"/>
          <w:szCs w:val="18"/>
          <w:rtl/>
        </w:rPr>
        <w:t xml:space="preserve">(ע"פ הסבר </w:t>
      </w:r>
      <w:r w:rsidRPr="007677DA">
        <w:rPr>
          <w:rFonts w:hint="cs"/>
          <w:b/>
          <w:bCs/>
          <w:sz w:val="18"/>
          <w:szCs w:val="18"/>
          <w:rtl/>
        </w:rPr>
        <w:t>הפת"ש</w:t>
      </w:r>
      <w:r w:rsidRPr="00C1239E">
        <w:rPr>
          <w:rFonts w:hint="cs"/>
          <w:sz w:val="18"/>
          <w:szCs w:val="18"/>
          <w:rtl/>
        </w:rPr>
        <w:t xml:space="preserve">) </w:t>
      </w:r>
      <w:r>
        <w:rPr>
          <w:sz w:val="20"/>
          <w:szCs w:val="20"/>
          <w:rtl/>
        </w:rPr>
        <w:t>–</w:t>
      </w:r>
      <w:r>
        <w:rPr>
          <w:rFonts w:hint="cs"/>
          <w:sz w:val="20"/>
          <w:szCs w:val="20"/>
          <w:rtl/>
        </w:rPr>
        <w:t xml:space="preserve"> בווסת החודש היום הוא הגורם, וכיוון שרואה פעם ביום ופעם בלילה אין זו קביעות. אך בווסת ההפלגה מרחק הימים הוא הגורם, ולכן אין חילוק בין לילה ליום </w:t>
      </w:r>
      <w:r w:rsidRPr="00C1239E">
        <w:rPr>
          <w:rFonts w:hint="cs"/>
          <w:sz w:val="18"/>
          <w:szCs w:val="18"/>
          <w:rtl/>
        </w:rPr>
        <w:t>(</w:t>
      </w:r>
      <w:r>
        <w:rPr>
          <w:rFonts w:hint="cs"/>
          <w:sz w:val="18"/>
          <w:szCs w:val="18"/>
          <w:rtl/>
        </w:rPr>
        <w:t>ואכתי טעמו של הנוב"י צריך ביאור</w:t>
      </w:r>
      <w:r w:rsidRPr="00C1239E">
        <w:rPr>
          <w:rFonts w:hint="cs"/>
          <w:sz w:val="18"/>
          <w:szCs w:val="18"/>
          <w:rtl/>
        </w:rPr>
        <w:t xml:space="preserve">). </w:t>
      </w:r>
      <w:r>
        <w:rPr>
          <w:sz w:val="20"/>
          <w:szCs w:val="20"/>
          <w:rtl/>
        </w:rPr>
        <w:br/>
      </w:r>
      <w:r>
        <w:rPr>
          <w:rFonts w:hint="cs"/>
          <w:sz w:val="20"/>
          <w:szCs w:val="20"/>
          <w:rtl/>
        </w:rPr>
        <w:t xml:space="preserve">הכרעת </w:t>
      </w:r>
      <w:r>
        <w:rPr>
          <w:rFonts w:hint="cs"/>
          <w:b/>
          <w:bCs/>
          <w:sz w:val="20"/>
          <w:szCs w:val="20"/>
          <w:rtl/>
        </w:rPr>
        <w:t>ה</w:t>
      </w:r>
      <w:r w:rsidRPr="00223E08">
        <w:rPr>
          <w:rFonts w:hint="cs"/>
          <w:b/>
          <w:bCs/>
          <w:sz w:val="20"/>
          <w:szCs w:val="20"/>
          <w:rtl/>
        </w:rPr>
        <w:t>חזו"א ובדה"ש</w:t>
      </w:r>
      <w:r>
        <w:rPr>
          <w:rFonts w:hint="cs"/>
          <w:sz w:val="20"/>
          <w:szCs w:val="20"/>
          <w:rtl/>
        </w:rPr>
        <w:t xml:space="preserve"> </w:t>
      </w:r>
      <w:r>
        <w:rPr>
          <w:sz w:val="20"/>
          <w:szCs w:val="20"/>
          <w:rtl/>
        </w:rPr>
        <w:t>–</w:t>
      </w:r>
      <w:r>
        <w:rPr>
          <w:rFonts w:hint="cs"/>
          <w:sz w:val="20"/>
          <w:szCs w:val="20"/>
          <w:rtl/>
        </w:rPr>
        <w:t xml:space="preserve"> הלכה כנוב"י, אין מחשבים עונות להפלגה אלא ימים בלבד, אך עיין הערה.</w:t>
      </w:r>
      <w:r>
        <w:rPr>
          <w:rStyle w:val="a5"/>
          <w:sz w:val="20"/>
          <w:szCs w:val="20"/>
          <w:rtl/>
        </w:rPr>
        <w:footnoteReference w:id="193"/>
      </w:r>
    </w:p>
    <w:p w:rsidR="00620060" w:rsidRDefault="00620060" w:rsidP="00620060">
      <w:pPr>
        <w:rPr>
          <w:sz w:val="20"/>
          <w:szCs w:val="20"/>
          <w:rtl/>
        </w:rPr>
      </w:pPr>
      <w:r w:rsidRPr="00282196">
        <w:rPr>
          <w:rStyle w:val="10"/>
          <w:rFonts w:hint="cs"/>
          <w:sz w:val="24"/>
          <w:szCs w:val="24"/>
          <w:rtl/>
        </w:rPr>
        <w:t xml:space="preserve">ב. </w:t>
      </w:r>
      <w:r>
        <w:rPr>
          <w:rStyle w:val="10"/>
          <w:rFonts w:hint="cs"/>
          <w:sz w:val="24"/>
          <w:szCs w:val="24"/>
          <w:rtl/>
        </w:rPr>
        <w:t>ווסת החודש מבטל ווסת הפלגה ולהיפך</w:t>
      </w:r>
      <w:r>
        <w:rPr>
          <w:b/>
          <w:bCs/>
          <w:sz w:val="20"/>
          <w:szCs w:val="20"/>
          <w:rtl/>
        </w:rPr>
        <w:br/>
      </w:r>
      <w:r>
        <w:rPr>
          <w:rFonts w:hint="cs"/>
          <w:b/>
          <w:bCs/>
          <w:sz w:val="20"/>
          <w:szCs w:val="20"/>
          <w:rtl/>
        </w:rPr>
        <w:t>פסיקת הלכה</w:t>
      </w:r>
      <w:r w:rsidRPr="006D7369">
        <w:rPr>
          <w:rStyle w:val="a5"/>
          <w:sz w:val="20"/>
          <w:szCs w:val="20"/>
          <w:rtl/>
        </w:rPr>
        <w:footnoteReference w:id="194"/>
      </w:r>
      <w:r w:rsidRPr="006D7369">
        <w:rPr>
          <w:sz w:val="20"/>
          <w:szCs w:val="20"/>
          <w:rtl/>
        </w:rPr>
        <w:br/>
      </w:r>
      <w:r>
        <w:rPr>
          <w:rFonts w:hint="cs"/>
          <w:b/>
          <w:bCs/>
          <w:sz w:val="20"/>
          <w:szCs w:val="20"/>
          <w:rtl/>
        </w:rPr>
        <w:lastRenderedPageBreak/>
        <w:t xml:space="preserve">רמ"א </w:t>
      </w:r>
      <w:r w:rsidRPr="006D7369">
        <w:rPr>
          <w:rFonts w:hint="cs"/>
          <w:sz w:val="18"/>
          <w:szCs w:val="18"/>
          <w:rtl/>
        </w:rPr>
        <w:t xml:space="preserve">(ע"פ </w:t>
      </w:r>
      <w:r w:rsidRPr="006D7369">
        <w:rPr>
          <w:rFonts w:hint="cs"/>
          <w:b/>
          <w:bCs/>
          <w:sz w:val="18"/>
          <w:szCs w:val="18"/>
          <w:rtl/>
        </w:rPr>
        <w:t>הרמב"ן</w:t>
      </w:r>
      <w:r w:rsidRPr="006D7369">
        <w:rPr>
          <w:rFonts w:hint="cs"/>
          <w:sz w:val="18"/>
          <w:szCs w:val="18"/>
          <w:rtl/>
        </w:rPr>
        <w:t>)</w:t>
      </w:r>
      <w:r>
        <w:rPr>
          <w:rFonts w:hint="cs"/>
          <w:sz w:val="20"/>
          <w:szCs w:val="20"/>
          <w:rtl/>
        </w:rPr>
        <w:t xml:space="preserve"> </w:t>
      </w:r>
      <w:r w:rsidRPr="00D14302">
        <w:rPr>
          <w:sz w:val="18"/>
          <w:szCs w:val="18"/>
          <w:rtl/>
        </w:rPr>
        <w:t>–</w:t>
      </w:r>
      <w:r w:rsidRPr="00D14302">
        <w:rPr>
          <w:rFonts w:hint="cs"/>
          <w:sz w:val="18"/>
          <w:szCs w:val="18"/>
          <w:rtl/>
        </w:rPr>
        <w:t xml:space="preserve"> "</w:t>
      </w:r>
      <w:r w:rsidRPr="00D14302">
        <w:rPr>
          <w:rFonts w:cs="Arial" w:hint="cs"/>
          <w:sz w:val="18"/>
          <w:szCs w:val="18"/>
          <w:rtl/>
        </w:rPr>
        <w:t>האשה</w:t>
      </w:r>
      <w:r w:rsidRPr="00D14302">
        <w:rPr>
          <w:rFonts w:cs="Arial"/>
          <w:sz w:val="18"/>
          <w:szCs w:val="18"/>
          <w:rtl/>
        </w:rPr>
        <w:t xml:space="preserve"> </w:t>
      </w:r>
      <w:r w:rsidRPr="00D14302">
        <w:rPr>
          <w:rFonts w:cs="Arial" w:hint="cs"/>
          <w:sz w:val="18"/>
          <w:szCs w:val="18"/>
          <w:rtl/>
        </w:rPr>
        <w:t>שראתה</w:t>
      </w:r>
      <w:r w:rsidRPr="00D14302">
        <w:rPr>
          <w:rFonts w:cs="Arial"/>
          <w:sz w:val="18"/>
          <w:szCs w:val="18"/>
          <w:rtl/>
        </w:rPr>
        <w:t xml:space="preserve">, </w:t>
      </w:r>
      <w:r w:rsidRPr="00D14302">
        <w:rPr>
          <w:rFonts w:cs="Arial" w:hint="cs"/>
          <w:sz w:val="18"/>
          <w:szCs w:val="18"/>
          <w:rtl/>
        </w:rPr>
        <w:t>חוששת</w:t>
      </w:r>
      <w:r w:rsidRPr="00D14302">
        <w:rPr>
          <w:rFonts w:cs="Arial"/>
          <w:sz w:val="18"/>
          <w:szCs w:val="18"/>
          <w:rtl/>
        </w:rPr>
        <w:t xml:space="preserve"> </w:t>
      </w:r>
      <w:r w:rsidRPr="00D14302">
        <w:rPr>
          <w:rFonts w:cs="Arial" w:hint="cs"/>
          <w:sz w:val="18"/>
          <w:szCs w:val="18"/>
          <w:rtl/>
        </w:rPr>
        <w:t>ל</w:t>
      </w:r>
      <w:r>
        <w:rPr>
          <w:rFonts w:cs="Arial" w:hint="cs"/>
          <w:sz w:val="18"/>
          <w:szCs w:val="18"/>
          <w:rtl/>
        </w:rPr>
        <w:t>ו</w:t>
      </w:r>
      <w:r w:rsidRPr="00D14302">
        <w:rPr>
          <w:rFonts w:cs="Arial" w:hint="cs"/>
          <w:sz w:val="18"/>
          <w:szCs w:val="18"/>
          <w:rtl/>
        </w:rPr>
        <w:t>וסת</w:t>
      </w:r>
      <w:r w:rsidRPr="00D14302">
        <w:rPr>
          <w:rFonts w:cs="Arial"/>
          <w:sz w:val="18"/>
          <w:szCs w:val="18"/>
          <w:rtl/>
        </w:rPr>
        <w:t xml:space="preserve"> </w:t>
      </w:r>
      <w:r w:rsidRPr="00D14302">
        <w:rPr>
          <w:rFonts w:cs="Arial" w:hint="cs"/>
          <w:sz w:val="18"/>
          <w:szCs w:val="18"/>
          <w:rtl/>
        </w:rPr>
        <w:t>הח</w:t>
      </w:r>
      <w:r>
        <w:rPr>
          <w:rFonts w:cs="Arial" w:hint="cs"/>
          <w:sz w:val="18"/>
          <w:szCs w:val="18"/>
          <w:rtl/>
        </w:rPr>
        <w:t>ו</w:t>
      </w:r>
      <w:r w:rsidRPr="00D14302">
        <w:rPr>
          <w:rFonts w:cs="Arial" w:hint="cs"/>
          <w:sz w:val="18"/>
          <w:szCs w:val="18"/>
          <w:rtl/>
        </w:rPr>
        <w:t>דש</w:t>
      </w:r>
      <w:r w:rsidRPr="00D14302">
        <w:rPr>
          <w:rFonts w:cs="Arial"/>
          <w:sz w:val="18"/>
          <w:szCs w:val="18"/>
          <w:rtl/>
        </w:rPr>
        <w:t xml:space="preserve"> </w:t>
      </w:r>
      <w:r w:rsidRPr="00D14302">
        <w:rPr>
          <w:rFonts w:cs="Arial" w:hint="cs"/>
          <w:sz w:val="18"/>
          <w:szCs w:val="18"/>
          <w:rtl/>
        </w:rPr>
        <w:t>ולהפלגה</w:t>
      </w:r>
      <w:r w:rsidRPr="00D14302">
        <w:rPr>
          <w:rFonts w:cs="Arial"/>
          <w:sz w:val="18"/>
          <w:szCs w:val="18"/>
          <w:rtl/>
        </w:rPr>
        <w:t xml:space="preserve">, </w:t>
      </w:r>
      <w:r w:rsidRPr="00D14302">
        <w:rPr>
          <w:rFonts w:cs="Arial" w:hint="cs"/>
          <w:sz w:val="18"/>
          <w:szCs w:val="18"/>
          <w:rtl/>
        </w:rPr>
        <w:t>עד</w:t>
      </w:r>
      <w:r w:rsidRPr="00D14302">
        <w:rPr>
          <w:rFonts w:cs="Arial"/>
          <w:sz w:val="18"/>
          <w:szCs w:val="18"/>
          <w:rtl/>
        </w:rPr>
        <w:t xml:space="preserve"> </w:t>
      </w:r>
      <w:r w:rsidRPr="00D14302">
        <w:rPr>
          <w:rFonts w:cs="Arial" w:hint="cs"/>
          <w:sz w:val="18"/>
          <w:szCs w:val="18"/>
          <w:rtl/>
        </w:rPr>
        <w:t>שתקבע</w:t>
      </w:r>
      <w:r w:rsidRPr="00D14302">
        <w:rPr>
          <w:rFonts w:cs="Arial"/>
          <w:sz w:val="18"/>
          <w:szCs w:val="18"/>
          <w:rtl/>
        </w:rPr>
        <w:t xml:space="preserve"> </w:t>
      </w:r>
      <w:r w:rsidRPr="00D14302">
        <w:rPr>
          <w:rFonts w:cs="Arial" w:hint="cs"/>
          <w:sz w:val="18"/>
          <w:szCs w:val="18"/>
          <w:rtl/>
        </w:rPr>
        <w:t>ו</w:t>
      </w:r>
      <w:r>
        <w:rPr>
          <w:rFonts w:cs="Arial" w:hint="cs"/>
          <w:sz w:val="18"/>
          <w:szCs w:val="18"/>
          <w:rtl/>
        </w:rPr>
        <w:t>ו</w:t>
      </w:r>
      <w:r w:rsidRPr="00D14302">
        <w:rPr>
          <w:rFonts w:cs="Arial" w:hint="cs"/>
          <w:sz w:val="18"/>
          <w:szCs w:val="18"/>
          <w:rtl/>
        </w:rPr>
        <w:t>סת</w:t>
      </w:r>
      <w:r w:rsidRPr="00D14302">
        <w:rPr>
          <w:rFonts w:cs="Arial"/>
          <w:sz w:val="18"/>
          <w:szCs w:val="18"/>
          <w:rtl/>
        </w:rPr>
        <w:t xml:space="preserve"> </w:t>
      </w:r>
      <w:r w:rsidRPr="00D14302">
        <w:rPr>
          <w:rFonts w:cs="Arial" w:hint="cs"/>
          <w:sz w:val="18"/>
          <w:szCs w:val="18"/>
          <w:rtl/>
        </w:rPr>
        <w:t>החדש</w:t>
      </w:r>
      <w:r w:rsidRPr="00D14302">
        <w:rPr>
          <w:rFonts w:cs="Arial"/>
          <w:sz w:val="18"/>
          <w:szCs w:val="18"/>
          <w:rtl/>
        </w:rPr>
        <w:t xml:space="preserve"> </w:t>
      </w:r>
      <w:r w:rsidRPr="00D14302">
        <w:rPr>
          <w:rFonts w:cs="Arial" w:hint="cs"/>
          <w:sz w:val="18"/>
          <w:szCs w:val="18"/>
          <w:rtl/>
        </w:rPr>
        <w:t>בג</w:t>
      </w:r>
      <w:r>
        <w:rPr>
          <w:rFonts w:cs="Arial" w:hint="cs"/>
          <w:sz w:val="18"/>
          <w:szCs w:val="18"/>
          <w:rtl/>
        </w:rPr>
        <w:t xml:space="preserve">' </w:t>
      </w:r>
      <w:r w:rsidRPr="00D14302">
        <w:rPr>
          <w:rFonts w:cs="Arial" w:hint="cs"/>
          <w:sz w:val="18"/>
          <w:szCs w:val="18"/>
          <w:rtl/>
        </w:rPr>
        <w:t>פ</w:t>
      </w:r>
      <w:r>
        <w:rPr>
          <w:rFonts w:cs="Arial" w:hint="cs"/>
          <w:sz w:val="18"/>
          <w:szCs w:val="18"/>
          <w:rtl/>
        </w:rPr>
        <w:t>עמים</w:t>
      </w:r>
      <w:r w:rsidRPr="00D14302">
        <w:rPr>
          <w:rFonts w:cs="Arial"/>
          <w:sz w:val="18"/>
          <w:szCs w:val="18"/>
          <w:rtl/>
        </w:rPr>
        <w:t xml:space="preserve">, </w:t>
      </w:r>
      <w:r w:rsidRPr="00D14302">
        <w:rPr>
          <w:rFonts w:cs="Arial" w:hint="cs"/>
          <w:sz w:val="18"/>
          <w:szCs w:val="18"/>
          <w:rtl/>
        </w:rPr>
        <w:t>או</w:t>
      </w:r>
      <w:r w:rsidRPr="00D14302">
        <w:rPr>
          <w:rFonts w:cs="Arial"/>
          <w:sz w:val="18"/>
          <w:szCs w:val="18"/>
          <w:rtl/>
        </w:rPr>
        <w:t xml:space="preserve"> </w:t>
      </w:r>
      <w:r w:rsidRPr="00D14302">
        <w:rPr>
          <w:rFonts w:cs="Arial" w:hint="cs"/>
          <w:sz w:val="18"/>
          <w:szCs w:val="18"/>
          <w:rtl/>
        </w:rPr>
        <w:t>ו</w:t>
      </w:r>
      <w:r>
        <w:rPr>
          <w:rFonts w:cs="Arial" w:hint="cs"/>
          <w:sz w:val="18"/>
          <w:szCs w:val="18"/>
          <w:rtl/>
        </w:rPr>
        <w:t>ו</w:t>
      </w:r>
      <w:r w:rsidRPr="00D14302">
        <w:rPr>
          <w:rFonts w:cs="Arial" w:hint="cs"/>
          <w:sz w:val="18"/>
          <w:szCs w:val="18"/>
          <w:rtl/>
        </w:rPr>
        <w:t>סת</w:t>
      </w:r>
      <w:r w:rsidRPr="00D14302">
        <w:rPr>
          <w:rFonts w:cs="Arial"/>
          <w:sz w:val="18"/>
          <w:szCs w:val="18"/>
          <w:rtl/>
        </w:rPr>
        <w:t xml:space="preserve"> </w:t>
      </w:r>
      <w:r w:rsidRPr="00D14302">
        <w:rPr>
          <w:rFonts w:cs="Arial" w:hint="cs"/>
          <w:sz w:val="18"/>
          <w:szCs w:val="18"/>
          <w:rtl/>
        </w:rPr>
        <w:t>הפלגה</w:t>
      </w:r>
      <w:r w:rsidRPr="00D14302">
        <w:rPr>
          <w:rFonts w:cs="Arial"/>
          <w:sz w:val="18"/>
          <w:szCs w:val="18"/>
          <w:rtl/>
        </w:rPr>
        <w:t xml:space="preserve"> </w:t>
      </w:r>
      <w:r w:rsidRPr="00D14302">
        <w:rPr>
          <w:rFonts w:cs="Arial" w:hint="cs"/>
          <w:sz w:val="18"/>
          <w:szCs w:val="18"/>
          <w:rtl/>
        </w:rPr>
        <w:t>בד</w:t>
      </w:r>
      <w:r>
        <w:rPr>
          <w:rFonts w:cs="Arial" w:hint="cs"/>
          <w:sz w:val="18"/>
          <w:szCs w:val="18"/>
          <w:rtl/>
        </w:rPr>
        <w:t xml:space="preserve">' </w:t>
      </w:r>
      <w:r w:rsidRPr="00D14302">
        <w:rPr>
          <w:rFonts w:cs="Arial" w:hint="cs"/>
          <w:sz w:val="18"/>
          <w:szCs w:val="18"/>
          <w:rtl/>
        </w:rPr>
        <w:t>פ</w:t>
      </w:r>
      <w:r>
        <w:rPr>
          <w:rFonts w:cs="Arial" w:hint="cs"/>
          <w:sz w:val="18"/>
          <w:szCs w:val="18"/>
          <w:rtl/>
        </w:rPr>
        <w:t>עמים</w:t>
      </w:r>
      <w:r w:rsidRPr="00D14302">
        <w:rPr>
          <w:rFonts w:cs="Arial"/>
          <w:sz w:val="18"/>
          <w:szCs w:val="18"/>
          <w:rtl/>
        </w:rPr>
        <w:t xml:space="preserve">, </w:t>
      </w:r>
      <w:r w:rsidRPr="00D14302">
        <w:rPr>
          <w:rFonts w:cs="Arial" w:hint="cs"/>
          <w:sz w:val="18"/>
          <w:szCs w:val="18"/>
          <w:rtl/>
        </w:rPr>
        <w:t>או</w:t>
      </w:r>
      <w:r w:rsidRPr="00D14302">
        <w:rPr>
          <w:rFonts w:cs="Arial"/>
          <w:sz w:val="18"/>
          <w:szCs w:val="18"/>
          <w:rtl/>
        </w:rPr>
        <w:t xml:space="preserve"> </w:t>
      </w:r>
      <w:r w:rsidRPr="00D14302">
        <w:rPr>
          <w:rFonts w:cs="Arial" w:hint="cs"/>
          <w:sz w:val="18"/>
          <w:szCs w:val="18"/>
          <w:rtl/>
        </w:rPr>
        <w:t>שתעקר</w:t>
      </w:r>
      <w:r w:rsidRPr="00D14302">
        <w:rPr>
          <w:rFonts w:cs="Arial"/>
          <w:sz w:val="18"/>
          <w:szCs w:val="18"/>
          <w:rtl/>
        </w:rPr>
        <w:t xml:space="preserve"> </w:t>
      </w:r>
      <w:r w:rsidRPr="00D14302">
        <w:rPr>
          <w:rFonts w:cs="Arial" w:hint="cs"/>
          <w:sz w:val="18"/>
          <w:szCs w:val="18"/>
          <w:rtl/>
        </w:rPr>
        <w:t>א</w:t>
      </w:r>
      <w:r w:rsidRPr="00D14302">
        <w:rPr>
          <w:rFonts w:cs="Arial"/>
          <w:sz w:val="18"/>
          <w:szCs w:val="18"/>
          <w:rtl/>
        </w:rPr>
        <w:t xml:space="preserve">' </w:t>
      </w:r>
      <w:r w:rsidRPr="00D14302">
        <w:rPr>
          <w:rFonts w:cs="Arial" w:hint="cs"/>
          <w:sz w:val="18"/>
          <w:szCs w:val="18"/>
          <w:rtl/>
        </w:rPr>
        <w:t>מהן</w:t>
      </w:r>
      <w:r w:rsidRPr="00D14302">
        <w:rPr>
          <w:rFonts w:cs="Arial"/>
          <w:sz w:val="18"/>
          <w:szCs w:val="18"/>
          <w:rtl/>
        </w:rPr>
        <w:t xml:space="preserve">. </w:t>
      </w:r>
      <w:r w:rsidRPr="00D14302">
        <w:rPr>
          <w:rFonts w:cs="Arial" w:hint="cs"/>
          <w:sz w:val="18"/>
          <w:szCs w:val="18"/>
          <w:rtl/>
        </w:rPr>
        <w:t>כיצד</w:t>
      </w:r>
      <w:r w:rsidRPr="00D14302">
        <w:rPr>
          <w:rFonts w:cs="Arial"/>
          <w:sz w:val="18"/>
          <w:szCs w:val="18"/>
          <w:rtl/>
        </w:rPr>
        <w:t xml:space="preserve">, </w:t>
      </w:r>
      <w:r w:rsidRPr="00D14302">
        <w:rPr>
          <w:rFonts w:cs="Arial" w:hint="cs"/>
          <w:sz w:val="18"/>
          <w:szCs w:val="18"/>
          <w:rtl/>
        </w:rPr>
        <w:t>ראתה</w:t>
      </w:r>
      <w:r w:rsidRPr="00D14302">
        <w:rPr>
          <w:rFonts w:cs="Arial"/>
          <w:sz w:val="18"/>
          <w:szCs w:val="18"/>
          <w:rtl/>
        </w:rPr>
        <w:t xml:space="preserve"> </w:t>
      </w:r>
      <w:r w:rsidRPr="00D14302">
        <w:rPr>
          <w:rFonts w:cs="Arial" w:hint="cs"/>
          <w:sz w:val="18"/>
          <w:szCs w:val="18"/>
          <w:rtl/>
        </w:rPr>
        <w:t>בא</w:t>
      </w:r>
      <w:r w:rsidRPr="00D14302">
        <w:rPr>
          <w:rFonts w:cs="Arial"/>
          <w:sz w:val="18"/>
          <w:szCs w:val="18"/>
          <w:rtl/>
        </w:rPr>
        <w:t xml:space="preserve">' </w:t>
      </w:r>
      <w:r w:rsidRPr="00D14302">
        <w:rPr>
          <w:rFonts w:cs="Arial" w:hint="cs"/>
          <w:sz w:val="18"/>
          <w:szCs w:val="18"/>
          <w:rtl/>
        </w:rPr>
        <w:t>בניסן</w:t>
      </w:r>
      <w:r w:rsidRPr="00D14302">
        <w:rPr>
          <w:rFonts w:cs="Arial"/>
          <w:sz w:val="18"/>
          <w:szCs w:val="18"/>
          <w:rtl/>
        </w:rPr>
        <w:t xml:space="preserve"> </w:t>
      </w:r>
      <w:r w:rsidRPr="00D14302">
        <w:rPr>
          <w:rFonts w:cs="Arial" w:hint="cs"/>
          <w:sz w:val="18"/>
          <w:szCs w:val="18"/>
          <w:rtl/>
        </w:rPr>
        <w:t>וכ</w:t>
      </w:r>
      <w:r w:rsidRPr="00D14302">
        <w:rPr>
          <w:rFonts w:cs="Arial"/>
          <w:sz w:val="18"/>
          <w:szCs w:val="18"/>
          <w:rtl/>
        </w:rPr>
        <w:t xml:space="preserve">' </w:t>
      </w:r>
      <w:r w:rsidRPr="00D14302">
        <w:rPr>
          <w:rFonts w:cs="Arial" w:hint="cs"/>
          <w:sz w:val="18"/>
          <w:szCs w:val="18"/>
          <w:rtl/>
        </w:rPr>
        <w:t>בו</w:t>
      </w:r>
      <w:r w:rsidRPr="00D14302">
        <w:rPr>
          <w:rFonts w:cs="Arial"/>
          <w:sz w:val="18"/>
          <w:szCs w:val="18"/>
          <w:rtl/>
        </w:rPr>
        <w:t xml:space="preserve">, </w:t>
      </w:r>
      <w:r w:rsidRPr="00D14302">
        <w:rPr>
          <w:rFonts w:cs="Arial" w:hint="cs"/>
          <w:sz w:val="18"/>
          <w:szCs w:val="18"/>
          <w:rtl/>
        </w:rPr>
        <w:t>חוששת</w:t>
      </w:r>
      <w:r w:rsidRPr="00D14302">
        <w:rPr>
          <w:rFonts w:cs="Arial"/>
          <w:sz w:val="18"/>
          <w:szCs w:val="18"/>
          <w:rtl/>
        </w:rPr>
        <w:t xml:space="preserve"> </w:t>
      </w:r>
      <w:r w:rsidRPr="00D14302">
        <w:rPr>
          <w:rFonts w:cs="Arial" w:hint="cs"/>
          <w:sz w:val="18"/>
          <w:szCs w:val="18"/>
          <w:rtl/>
        </w:rPr>
        <w:t>לאחד</w:t>
      </w:r>
      <w:r w:rsidRPr="00D14302">
        <w:rPr>
          <w:rFonts w:cs="Arial"/>
          <w:sz w:val="18"/>
          <w:szCs w:val="18"/>
          <w:rtl/>
        </w:rPr>
        <w:t xml:space="preserve"> </w:t>
      </w:r>
      <w:r w:rsidRPr="00D14302">
        <w:rPr>
          <w:rFonts w:cs="Arial" w:hint="cs"/>
          <w:sz w:val="18"/>
          <w:szCs w:val="18"/>
          <w:rtl/>
        </w:rPr>
        <w:t>באייר</w:t>
      </w:r>
      <w:r w:rsidRPr="00D14302">
        <w:rPr>
          <w:rFonts w:cs="Arial"/>
          <w:sz w:val="18"/>
          <w:szCs w:val="18"/>
          <w:rtl/>
        </w:rPr>
        <w:t xml:space="preserve">, </w:t>
      </w:r>
      <w:r w:rsidRPr="00D14302">
        <w:rPr>
          <w:rFonts w:cs="Arial" w:hint="cs"/>
          <w:sz w:val="18"/>
          <w:szCs w:val="18"/>
          <w:rtl/>
        </w:rPr>
        <w:t>מפני</w:t>
      </w:r>
      <w:r w:rsidRPr="00D14302">
        <w:rPr>
          <w:rFonts w:cs="Arial"/>
          <w:sz w:val="18"/>
          <w:szCs w:val="18"/>
          <w:rtl/>
        </w:rPr>
        <w:t xml:space="preserve"> </w:t>
      </w:r>
      <w:r w:rsidRPr="00D14302">
        <w:rPr>
          <w:rFonts w:cs="Arial" w:hint="cs"/>
          <w:sz w:val="18"/>
          <w:szCs w:val="18"/>
          <w:rtl/>
        </w:rPr>
        <w:t>ר</w:t>
      </w:r>
      <w:r w:rsidRPr="00D14302">
        <w:rPr>
          <w:rFonts w:cs="Arial"/>
          <w:sz w:val="18"/>
          <w:szCs w:val="18"/>
          <w:rtl/>
        </w:rPr>
        <w:t>"</w:t>
      </w:r>
      <w:r w:rsidRPr="00D14302">
        <w:rPr>
          <w:rFonts w:cs="Arial" w:hint="cs"/>
          <w:sz w:val="18"/>
          <w:szCs w:val="18"/>
          <w:rtl/>
        </w:rPr>
        <w:t>ח</w:t>
      </w:r>
      <w:r w:rsidRPr="00D14302">
        <w:rPr>
          <w:rFonts w:cs="Arial"/>
          <w:sz w:val="18"/>
          <w:szCs w:val="18"/>
          <w:rtl/>
        </w:rPr>
        <w:t xml:space="preserve"> </w:t>
      </w:r>
      <w:r w:rsidRPr="00D14302">
        <w:rPr>
          <w:rFonts w:cs="Arial" w:hint="cs"/>
          <w:sz w:val="18"/>
          <w:szCs w:val="18"/>
          <w:rtl/>
        </w:rPr>
        <w:t>ניסן</w:t>
      </w:r>
      <w:r w:rsidRPr="00D14302">
        <w:rPr>
          <w:rFonts w:cs="Arial"/>
          <w:sz w:val="18"/>
          <w:szCs w:val="18"/>
          <w:rtl/>
        </w:rPr>
        <w:t xml:space="preserve">. </w:t>
      </w:r>
      <w:r w:rsidRPr="00D14302">
        <w:rPr>
          <w:rFonts w:cs="Arial" w:hint="cs"/>
          <w:sz w:val="18"/>
          <w:szCs w:val="18"/>
          <w:rtl/>
        </w:rPr>
        <w:t>ראתה</w:t>
      </w:r>
      <w:r w:rsidRPr="00D14302">
        <w:rPr>
          <w:rFonts w:cs="Arial"/>
          <w:sz w:val="18"/>
          <w:szCs w:val="18"/>
          <w:rtl/>
        </w:rPr>
        <w:t xml:space="preserve"> </w:t>
      </w:r>
      <w:r w:rsidRPr="00D14302">
        <w:rPr>
          <w:rFonts w:cs="Arial" w:hint="cs"/>
          <w:sz w:val="18"/>
          <w:szCs w:val="18"/>
          <w:rtl/>
        </w:rPr>
        <w:t>באחד</w:t>
      </w:r>
      <w:r w:rsidRPr="00D14302">
        <w:rPr>
          <w:rFonts w:cs="Arial"/>
          <w:sz w:val="18"/>
          <w:szCs w:val="18"/>
          <w:rtl/>
        </w:rPr>
        <w:t xml:space="preserve"> </w:t>
      </w:r>
      <w:r w:rsidRPr="00D14302">
        <w:rPr>
          <w:rFonts w:cs="Arial" w:hint="cs"/>
          <w:sz w:val="18"/>
          <w:szCs w:val="18"/>
          <w:rtl/>
        </w:rPr>
        <w:t>באייר</w:t>
      </w:r>
      <w:r w:rsidRPr="00D14302">
        <w:rPr>
          <w:rFonts w:cs="Arial"/>
          <w:sz w:val="18"/>
          <w:szCs w:val="18"/>
          <w:rtl/>
        </w:rPr>
        <w:t xml:space="preserve"> </w:t>
      </w:r>
      <w:r w:rsidRPr="00D14302">
        <w:rPr>
          <w:rFonts w:cs="Arial" w:hint="cs"/>
          <w:sz w:val="18"/>
          <w:szCs w:val="18"/>
          <w:rtl/>
        </w:rPr>
        <w:t>או</w:t>
      </w:r>
      <w:r w:rsidRPr="00D14302">
        <w:rPr>
          <w:rFonts w:cs="Arial"/>
          <w:sz w:val="18"/>
          <w:szCs w:val="18"/>
          <w:rtl/>
        </w:rPr>
        <w:t xml:space="preserve"> </w:t>
      </w:r>
      <w:r w:rsidRPr="00D14302">
        <w:rPr>
          <w:rFonts w:cs="Arial" w:hint="cs"/>
          <w:sz w:val="18"/>
          <w:szCs w:val="18"/>
          <w:rtl/>
        </w:rPr>
        <w:t>לא</w:t>
      </w:r>
      <w:r w:rsidRPr="00D14302">
        <w:rPr>
          <w:rFonts w:cs="Arial"/>
          <w:sz w:val="18"/>
          <w:szCs w:val="18"/>
          <w:rtl/>
        </w:rPr>
        <w:t xml:space="preserve"> </w:t>
      </w:r>
      <w:r w:rsidRPr="00D14302">
        <w:rPr>
          <w:rFonts w:cs="Arial" w:hint="cs"/>
          <w:sz w:val="18"/>
          <w:szCs w:val="18"/>
          <w:rtl/>
        </w:rPr>
        <w:t>ראתה</w:t>
      </w:r>
      <w:r w:rsidRPr="00D14302">
        <w:rPr>
          <w:rFonts w:cs="Arial"/>
          <w:sz w:val="18"/>
          <w:szCs w:val="18"/>
          <w:rtl/>
        </w:rPr>
        <w:t xml:space="preserve"> </w:t>
      </w:r>
      <w:r w:rsidRPr="00D14302">
        <w:rPr>
          <w:rFonts w:cs="Arial" w:hint="cs"/>
          <w:sz w:val="18"/>
          <w:szCs w:val="18"/>
          <w:rtl/>
        </w:rPr>
        <w:t>בו</w:t>
      </w:r>
      <w:r w:rsidRPr="00D14302">
        <w:rPr>
          <w:rFonts w:cs="Arial"/>
          <w:sz w:val="18"/>
          <w:szCs w:val="18"/>
          <w:rtl/>
        </w:rPr>
        <w:t xml:space="preserve">, </w:t>
      </w:r>
      <w:r w:rsidRPr="00D14302">
        <w:rPr>
          <w:rFonts w:cs="Arial" w:hint="cs"/>
          <w:sz w:val="18"/>
          <w:szCs w:val="18"/>
          <w:rtl/>
        </w:rPr>
        <w:t>חוששת</w:t>
      </w:r>
      <w:r w:rsidRPr="00D14302">
        <w:rPr>
          <w:rFonts w:cs="Arial"/>
          <w:sz w:val="18"/>
          <w:szCs w:val="18"/>
          <w:rtl/>
        </w:rPr>
        <w:t xml:space="preserve"> </w:t>
      </w:r>
      <w:r w:rsidRPr="00D14302">
        <w:rPr>
          <w:rFonts w:cs="Arial" w:hint="cs"/>
          <w:sz w:val="18"/>
          <w:szCs w:val="18"/>
          <w:rtl/>
        </w:rPr>
        <w:t>לט</w:t>
      </w:r>
      <w:r w:rsidRPr="00D14302">
        <w:rPr>
          <w:rFonts w:cs="Arial"/>
          <w:sz w:val="18"/>
          <w:szCs w:val="18"/>
          <w:rtl/>
        </w:rPr>
        <w:t xml:space="preserve">' </w:t>
      </w:r>
      <w:r w:rsidRPr="00D14302">
        <w:rPr>
          <w:rFonts w:cs="Arial" w:hint="cs"/>
          <w:sz w:val="18"/>
          <w:szCs w:val="18"/>
          <w:rtl/>
        </w:rPr>
        <w:t>באייר</w:t>
      </w:r>
      <w:r w:rsidRPr="00D14302">
        <w:rPr>
          <w:rFonts w:cs="Arial"/>
          <w:sz w:val="18"/>
          <w:szCs w:val="18"/>
          <w:rtl/>
        </w:rPr>
        <w:t xml:space="preserve">, </w:t>
      </w:r>
      <w:r w:rsidRPr="00D14302">
        <w:rPr>
          <w:rFonts w:cs="Arial" w:hint="cs"/>
          <w:sz w:val="18"/>
          <w:szCs w:val="18"/>
          <w:rtl/>
        </w:rPr>
        <w:t>שהוא</w:t>
      </w:r>
      <w:r w:rsidRPr="00D14302">
        <w:rPr>
          <w:rFonts w:cs="Arial"/>
          <w:sz w:val="18"/>
          <w:szCs w:val="18"/>
          <w:rtl/>
        </w:rPr>
        <w:t xml:space="preserve"> </w:t>
      </w:r>
      <w:r w:rsidRPr="00D14302">
        <w:rPr>
          <w:rFonts w:cs="Arial" w:hint="cs"/>
          <w:sz w:val="18"/>
          <w:szCs w:val="18"/>
          <w:rtl/>
        </w:rPr>
        <w:t>יום</w:t>
      </w:r>
      <w:r w:rsidRPr="00D14302">
        <w:rPr>
          <w:rFonts w:cs="Arial"/>
          <w:sz w:val="18"/>
          <w:szCs w:val="18"/>
          <w:rtl/>
        </w:rPr>
        <w:t xml:space="preserve"> </w:t>
      </w:r>
      <w:r w:rsidRPr="00D14302">
        <w:rPr>
          <w:rFonts w:cs="Arial" w:hint="cs"/>
          <w:sz w:val="18"/>
          <w:szCs w:val="18"/>
          <w:rtl/>
        </w:rPr>
        <w:t>כ</w:t>
      </w:r>
      <w:r w:rsidRPr="00D14302">
        <w:rPr>
          <w:rFonts w:cs="Arial"/>
          <w:sz w:val="18"/>
          <w:szCs w:val="18"/>
          <w:rtl/>
        </w:rPr>
        <w:t xml:space="preserve">' </w:t>
      </w:r>
      <w:r w:rsidRPr="00D14302">
        <w:rPr>
          <w:rFonts w:cs="Arial" w:hint="cs"/>
          <w:sz w:val="18"/>
          <w:szCs w:val="18"/>
          <w:rtl/>
        </w:rPr>
        <w:t>מראיית</w:t>
      </w:r>
      <w:r w:rsidRPr="00D14302">
        <w:rPr>
          <w:rFonts w:cs="Arial"/>
          <w:sz w:val="18"/>
          <w:szCs w:val="18"/>
          <w:rtl/>
        </w:rPr>
        <w:t xml:space="preserve"> </w:t>
      </w:r>
      <w:r w:rsidRPr="00D14302">
        <w:rPr>
          <w:rFonts w:cs="Arial" w:hint="cs"/>
          <w:sz w:val="18"/>
          <w:szCs w:val="18"/>
          <w:rtl/>
        </w:rPr>
        <w:t>יום</w:t>
      </w:r>
      <w:r w:rsidRPr="00D14302">
        <w:rPr>
          <w:rFonts w:cs="Arial"/>
          <w:sz w:val="18"/>
          <w:szCs w:val="18"/>
          <w:rtl/>
        </w:rPr>
        <w:t xml:space="preserve"> </w:t>
      </w:r>
      <w:r w:rsidRPr="00D14302">
        <w:rPr>
          <w:rFonts w:cs="Arial" w:hint="cs"/>
          <w:sz w:val="18"/>
          <w:szCs w:val="18"/>
          <w:rtl/>
        </w:rPr>
        <w:t>כ</w:t>
      </w:r>
      <w:r w:rsidRPr="00D14302">
        <w:rPr>
          <w:rFonts w:cs="Arial"/>
          <w:sz w:val="18"/>
          <w:szCs w:val="18"/>
          <w:rtl/>
        </w:rPr>
        <w:t xml:space="preserve">' </w:t>
      </w:r>
      <w:r w:rsidRPr="00D14302">
        <w:rPr>
          <w:rFonts w:cs="Arial" w:hint="cs"/>
          <w:sz w:val="18"/>
          <w:szCs w:val="18"/>
          <w:rtl/>
        </w:rPr>
        <w:t>שראתה</w:t>
      </w:r>
      <w:r w:rsidRPr="00D14302">
        <w:rPr>
          <w:rFonts w:cs="Arial"/>
          <w:sz w:val="18"/>
          <w:szCs w:val="18"/>
          <w:rtl/>
        </w:rPr>
        <w:t xml:space="preserve">. </w:t>
      </w:r>
      <w:r w:rsidRPr="00D14302">
        <w:rPr>
          <w:rFonts w:cs="Arial" w:hint="cs"/>
          <w:sz w:val="18"/>
          <w:szCs w:val="18"/>
          <w:rtl/>
        </w:rPr>
        <w:t>ראתה</w:t>
      </w:r>
      <w:r w:rsidRPr="00D14302">
        <w:rPr>
          <w:rFonts w:cs="Arial"/>
          <w:sz w:val="18"/>
          <w:szCs w:val="18"/>
          <w:rtl/>
        </w:rPr>
        <w:t xml:space="preserve"> </w:t>
      </w:r>
      <w:r w:rsidRPr="00D14302">
        <w:rPr>
          <w:rFonts w:cs="Arial" w:hint="cs"/>
          <w:sz w:val="18"/>
          <w:szCs w:val="18"/>
          <w:rtl/>
        </w:rPr>
        <w:t>בט</w:t>
      </w:r>
      <w:r w:rsidRPr="00D14302">
        <w:rPr>
          <w:rFonts w:cs="Arial"/>
          <w:sz w:val="18"/>
          <w:szCs w:val="18"/>
          <w:rtl/>
        </w:rPr>
        <w:t xml:space="preserve">' </w:t>
      </w:r>
      <w:r w:rsidRPr="00D14302">
        <w:rPr>
          <w:rFonts w:cs="Arial" w:hint="cs"/>
          <w:sz w:val="18"/>
          <w:szCs w:val="18"/>
          <w:rtl/>
        </w:rPr>
        <w:t>באייר</w:t>
      </w:r>
      <w:r w:rsidRPr="00D14302">
        <w:rPr>
          <w:rFonts w:cs="Arial"/>
          <w:sz w:val="18"/>
          <w:szCs w:val="18"/>
          <w:rtl/>
        </w:rPr>
        <w:t xml:space="preserve"> </w:t>
      </w:r>
      <w:r w:rsidRPr="00D14302">
        <w:rPr>
          <w:rFonts w:cs="Arial" w:hint="cs"/>
          <w:sz w:val="18"/>
          <w:szCs w:val="18"/>
          <w:rtl/>
        </w:rPr>
        <w:t>או</w:t>
      </w:r>
      <w:r w:rsidRPr="00D14302">
        <w:rPr>
          <w:rFonts w:cs="Arial"/>
          <w:sz w:val="18"/>
          <w:szCs w:val="18"/>
          <w:rtl/>
        </w:rPr>
        <w:t xml:space="preserve"> </w:t>
      </w:r>
      <w:r w:rsidRPr="00D14302">
        <w:rPr>
          <w:rFonts w:cs="Arial" w:hint="cs"/>
          <w:sz w:val="18"/>
          <w:szCs w:val="18"/>
          <w:rtl/>
        </w:rPr>
        <w:t>לא</w:t>
      </w:r>
      <w:r w:rsidRPr="00D14302">
        <w:rPr>
          <w:rFonts w:cs="Arial"/>
          <w:sz w:val="18"/>
          <w:szCs w:val="18"/>
          <w:rtl/>
        </w:rPr>
        <w:t xml:space="preserve"> </w:t>
      </w:r>
      <w:r w:rsidRPr="00D14302">
        <w:rPr>
          <w:rFonts w:cs="Arial" w:hint="cs"/>
          <w:sz w:val="18"/>
          <w:szCs w:val="18"/>
          <w:rtl/>
        </w:rPr>
        <w:t>ראתה</w:t>
      </w:r>
      <w:r w:rsidRPr="00D14302">
        <w:rPr>
          <w:rFonts w:cs="Arial"/>
          <w:sz w:val="18"/>
          <w:szCs w:val="18"/>
          <w:rtl/>
        </w:rPr>
        <w:t xml:space="preserve">, </w:t>
      </w:r>
      <w:r w:rsidRPr="00D14302">
        <w:rPr>
          <w:rFonts w:cs="Arial" w:hint="cs"/>
          <w:sz w:val="18"/>
          <w:szCs w:val="18"/>
          <w:rtl/>
        </w:rPr>
        <w:t>חוששת</w:t>
      </w:r>
      <w:r w:rsidRPr="00D14302">
        <w:rPr>
          <w:rFonts w:cs="Arial"/>
          <w:sz w:val="18"/>
          <w:szCs w:val="18"/>
          <w:rtl/>
        </w:rPr>
        <w:t xml:space="preserve"> </w:t>
      </w:r>
      <w:r w:rsidRPr="00D14302">
        <w:rPr>
          <w:rFonts w:cs="Arial" w:hint="cs"/>
          <w:sz w:val="18"/>
          <w:szCs w:val="18"/>
          <w:rtl/>
        </w:rPr>
        <w:t>לעשרים</w:t>
      </w:r>
      <w:r w:rsidRPr="00D14302">
        <w:rPr>
          <w:rFonts w:cs="Arial"/>
          <w:sz w:val="18"/>
          <w:szCs w:val="18"/>
          <w:rtl/>
        </w:rPr>
        <w:t xml:space="preserve"> </w:t>
      </w:r>
      <w:r w:rsidRPr="00D14302">
        <w:rPr>
          <w:rFonts w:cs="Arial" w:hint="cs"/>
          <w:sz w:val="18"/>
          <w:szCs w:val="18"/>
          <w:rtl/>
        </w:rPr>
        <w:t>באייר</w:t>
      </w:r>
      <w:r w:rsidRPr="00D14302">
        <w:rPr>
          <w:rFonts w:cs="Arial"/>
          <w:sz w:val="18"/>
          <w:szCs w:val="18"/>
          <w:rtl/>
        </w:rPr>
        <w:t xml:space="preserve">, </w:t>
      </w:r>
      <w:r w:rsidRPr="00D14302">
        <w:rPr>
          <w:rFonts w:cs="Arial" w:hint="cs"/>
          <w:sz w:val="18"/>
          <w:szCs w:val="18"/>
          <w:rtl/>
        </w:rPr>
        <w:t>שמא</w:t>
      </w:r>
      <w:r w:rsidRPr="00D14302">
        <w:rPr>
          <w:rFonts w:cs="Arial"/>
          <w:sz w:val="18"/>
          <w:szCs w:val="18"/>
          <w:rtl/>
        </w:rPr>
        <w:t xml:space="preserve"> </w:t>
      </w:r>
      <w:r w:rsidRPr="00D14302">
        <w:rPr>
          <w:rFonts w:cs="Arial" w:hint="cs"/>
          <w:sz w:val="18"/>
          <w:szCs w:val="18"/>
          <w:rtl/>
        </w:rPr>
        <w:t>קבעה</w:t>
      </w:r>
      <w:r w:rsidRPr="00D14302">
        <w:rPr>
          <w:rFonts w:cs="Arial"/>
          <w:sz w:val="18"/>
          <w:szCs w:val="18"/>
          <w:rtl/>
        </w:rPr>
        <w:t xml:space="preserve"> </w:t>
      </w:r>
      <w:r w:rsidRPr="00D14302">
        <w:rPr>
          <w:rFonts w:cs="Arial" w:hint="cs"/>
          <w:sz w:val="18"/>
          <w:szCs w:val="18"/>
          <w:rtl/>
        </w:rPr>
        <w:t>לה</w:t>
      </w:r>
      <w:r w:rsidRPr="00D14302">
        <w:rPr>
          <w:rFonts w:cs="Arial"/>
          <w:sz w:val="18"/>
          <w:szCs w:val="18"/>
          <w:rtl/>
        </w:rPr>
        <w:t xml:space="preserve"> </w:t>
      </w:r>
      <w:r w:rsidRPr="00D14302">
        <w:rPr>
          <w:rFonts w:cs="Arial" w:hint="cs"/>
          <w:sz w:val="18"/>
          <w:szCs w:val="18"/>
          <w:rtl/>
        </w:rPr>
        <w:t>וסת</w:t>
      </w:r>
      <w:r w:rsidRPr="00D14302">
        <w:rPr>
          <w:rFonts w:cs="Arial"/>
          <w:sz w:val="18"/>
          <w:szCs w:val="18"/>
          <w:rtl/>
        </w:rPr>
        <w:t xml:space="preserve"> </w:t>
      </w:r>
      <w:r w:rsidRPr="00D14302">
        <w:rPr>
          <w:rFonts w:cs="Arial" w:hint="cs"/>
          <w:sz w:val="18"/>
          <w:szCs w:val="18"/>
          <w:rtl/>
        </w:rPr>
        <w:t>כ</w:t>
      </w:r>
      <w:r w:rsidRPr="00D14302">
        <w:rPr>
          <w:rFonts w:cs="Arial"/>
          <w:sz w:val="18"/>
          <w:szCs w:val="18"/>
          <w:rtl/>
        </w:rPr>
        <w:t xml:space="preserve">' </w:t>
      </w:r>
      <w:r w:rsidRPr="00D14302">
        <w:rPr>
          <w:rFonts w:cs="Arial" w:hint="cs"/>
          <w:sz w:val="18"/>
          <w:szCs w:val="18"/>
          <w:rtl/>
        </w:rPr>
        <w:t>לחדש</w:t>
      </w:r>
      <w:r w:rsidRPr="00D14302">
        <w:rPr>
          <w:rFonts w:cs="Arial"/>
          <w:sz w:val="18"/>
          <w:szCs w:val="18"/>
          <w:rtl/>
        </w:rPr>
        <w:t xml:space="preserve">, </w:t>
      </w:r>
      <w:r w:rsidRPr="00D14302">
        <w:rPr>
          <w:rFonts w:cs="Arial" w:hint="cs"/>
          <w:sz w:val="18"/>
          <w:szCs w:val="18"/>
          <w:rtl/>
        </w:rPr>
        <w:t>שהרי</w:t>
      </w:r>
      <w:r w:rsidRPr="00D14302">
        <w:rPr>
          <w:rFonts w:cs="Arial"/>
          <w:sz w:val="18"/>
          <w:szCs w:val="18"/>
          <w:rtl/>
        </w:rPr>
        <w:t xml:space="preserve"> </w:t>
      </w:r>
      <w:r w:rsidRPr="00D14302">
        <w:rPr>
          <w:rFonts w:cs="Arial" w:hint="cs"/>
          <w:sz w:val="18"/>
          <w:szCs w:val="18"/>
          <w:rtl/>
        </w:rPr>
        <w:t>ראתה</w:t>
      </w:r>
      <w:r w:rsidRPr="00D14302">
        <w:rPr>
          <w:rFonts w:cs="Arial"/>
          <w:sz w:val="18"/>
          <w:szCs w:val="18"/>
          <w:rtl/>
        </w:rPr>
        <w:t xml:space="preserve"> </w:t>
      </w:r>
      <w:r w:rsidRPr="00D14302">
        <w:rPr>
          <w:rFonts w:cs="Arial" w:hint="cs"/>
          <w:sz w:val="18"/>
          <w:szCs w:val="18"/>
          <w:rtl/>
        </w:rPr>
        <w:t>עשרים</w:t>
      </w:r>
      <w:r w:rsidRPr="00D14302">
        <w:rPr>
          <w:rFonts w:cs="Arial"/>
          <w:sz w:val="18"/>
          <w:szCs w:val="18"/>
          <w:rtl/>
        </w:rPr>
        <w:t xml:space="preserve"> </w:t>
      </w:r>
      <w:r w:rsidRPr="00D14302">
        <w:rPr>
          <w:rFonts w:cs="Arial" w:hint="cs"/>
          <w:sz w:val="18"/>
          <w:szCs w:val="18"/>
          <w:rtl/>
        </w:rPr>
        <w:t>לחדש</w:t>
      </w:r>
      <w:r w:rsidRPr="00D14302">
        <w:rPr>
          <w:rFonts w:cs="Arial"/>
          <w:sz w:val="18"/>
          <w:szCs w:val="18"/>
          <w:rtl/>
        </w:rPr>
        <w:t xml:space="preserve"> </w:t>
      </w:r>
      <w:r w:rsidRPr="00D14302">
        <w:rPr>
          <w:rFonts w:cs="Arial" w:hint="cs"/>
          <w:sz w:val="18"/>
          <w:szCs w:val="18"/>
          <w:rtl/>
        </w:rPr>
        <w:t>ניסן</w:t>
      </w:r>
      <w:r w:rsidRPr="00D14302">
        <w:rPr>
          <w:rFonts w:cs="Arial"/>
          <w:sz w:val="18"/>
          <w:szCs w:val="18"/>
          <w:rtl/>
        </w:rPr>
        <w:t xml:space="preserve">. </w:t>
      </w:r>
      <w:r w:rsidRPr="00D14302">
        <w:rPr>
          <w:rFonts w:cs="Arial" w:hint="cs"/>
          <w:sz w:val="18"/>
          <w:szCs w:val="18"/>
          <w:rtl/>
        </w:rPr>
        <w:t>וכן</w:t>
      </w:r>
      <w:r w:rsidRPr="00D14302">
        <w:rPr>
          <w:rFonts w:cs="Arial"/>
          <w:sz w:val="18"/>
          <w:szCs w:val="18"/>
          <w:rtl/>
        </w:rPr>
        <w:t xml:space="preserve"> </w:t>
      </w:r>
      <w:r w:rsidRPr="00D14302">
        <w:rPr>
          <w:rFonts w:cs="Arial" w:hint="cs"/>
          <w:sz w:val="18"/>
          <w:szCs w:val="18"/>
          <w:rtl/>
        </w:rPr>
        <w:t>היא</w:t>
      </w:r>
      <w:r w:rsidRPr="00D14302">
        <w:rPr>
          <w:rFonts w:cs="Arial"/>
          <w:sz w:val="18"/>
          <w:szCs w:val="18"/>
          <w:rtl/>
        </w:rPr>
        <w:t xml:space="preserve"> </w:t>
      </w:r>
      <w:r w:rsidRPr="00D14302">
        <w:rPr>
          <w:rFonts w:cs="Arial" w:hint="cs"/>
          <w:sz w:val="18"/>
          <w:szCs w:val="18"/>
          <w:rtl/>
        </w:rPr>
        <w:t>חוששת</w:t>
      </w:r>
      <w:r w:rsidRPr="00D14302">
        <w:rPr>
          <w:rFonts w:cs="Arial"/>
          <w:sz w:val="18"/>
          <w:szCs w:val="18"/>
          <w:rtl/>
        </w:rPr>
        <w:t xml:space="preserve"> </w:t>
      </w:r>
      <w:r w:rsidRPr="00D14302">
        <w:rPr>
          <w:rFonts w:cs="Arial" w:hint="cs"/>
          <w:sz w:val="18"/>
          <w:szCs w:val="18"/>
          <w:rtl/>
        </w:rPr>
        <w:t>לעולם</w:t>
      </w:r>
      <w:r w:rsidRPr="00D14302">
        <w:rPr>
          <w:rFonts w:cs="Arial"/>
          <w:sz w:val="18"/>
          <w:szCs w:val="18"/>
          <w:rtl/>
        </w:rPr>
        <w:t xml:space="preserve"> </w:t>
      </w:r>
      <w:r w:rsidRPr="00D14302">
        <w:rPr>
          <w:rFonts w:cs="Arial" w:hint="cs"/>
          <w:sz w:val="18"/>
          <w:szCs w:val="18"/>
          <w:rtl/>
        </w:rPr>
        <w:t>עד</w:t>
      </w:r>
      <w:r w:rsidRPr="00D14302">
        <w:rPr>
          <w:rFonts w:cs="Arial"/>
          <w:sz w:val="18"/>
          <w:szCs w:val="18"/>
          <w:rtl/>
        </w:rPr>
        <w:t xml:space="preserve"> </w:t>
      </w:r>
      <w:r w:rsidRPr="00D14302">
        <w:rPr>
          <w:rFonts w:cs="Arial" w:hint="cs"/>
          <w:sz w:val="18"/>
          <w:szCs w:val="18"/>
          <w:rtl/>
        </w:rPr>
        <w:t>שתקבע</w:t>
      </w:r>
      <w:r w:rsidRPr="00D14302">
        <w:rPr>
          <w:rFonts w:cs="Arial"/>
          <w:sz w:val="18"/>
          <w:szCs w:val="18"/>
          <w:rtl/>
        </w:rPr>
        <w:t xml:space="preserve"> </w:t>
      </w:r>
      <w:r w:rsidRPr="00D14302">
        <w:rPr>
          <w:rFonts w:cs="Arial" w:hint="cs"/>
          <w:sz w:val="18"/>
          <w:szCs w:val="18"/>
          <w:rtl/>
        </w:rPr>
        <w:t>ו</w:t>
      </w:r>
      <w:r>
        <w:rPr>
          <w:rFonts w:cs="Arial" w:hint="cs"/>
          <w:sz w:val="18"/>
          <w:szCs w:val="18"/>
          <w:rtl/>
        </w:rPr>
        <w:t>ו</w:t>
      </w:r>
      <w:r w:rsidRPr="00D14302">
        <w:rPr>
          <w:rFonts w:cs="Arial" w:hint="cs"/>
          <w:sz w:val="18"/>
          <w:szCs w:val="18"/>
          <w:rtl/>
        </w:rPr>
        <w:t>סת</w:t>
      </w:r>
      <w:r w:rsidRPr="00D14302">
        <w:rPr>
          <w:rFonts w:cs="Arial"/>
          <w:sz w:val="18"/>
          <w:szCs w:val="18"/>
          <w:rtl/>
        </w:rPr>
        <w:t xml:space="preserve"> </w:t>
      </w:r>
      <w:r w:rsidRPr="00D14302">
        <w:rPr>
          <w:rFonts w:cs="Arial" w:hint="cs"/>
          <w:sz w:val="18"/>
          <w:szCs w:val="18"/>
          <w:rtl/>
        </w:rPr>
        <w:t>א</w:t>
      </w:r>
      <w:r>
        <w:rPr>
          <w:rFonts w:cs="Arial" w:hint="cs"/>
          <w:sz w:val="18"/>
          <w:szCs w:val="18"/>
          <w:rtl/>
        </w:rPr>
        <w:t>חד</w:t>
      </w:r>
      <w:r w:rsidRPr="00D14302">
        <w:rPr>
          <w:rFonts w:cs="Arial"/>
          <w:sz w:val="18"/>
          <w:szCs w:val="18"/>
          <w:rtl/>
        </w:rPr>
        <w:t xml:space="preserve"> </w:t>
      </w:r>
      <w:r w:rsidRPr="00D14302">
        <w:rPr>
          <w:rFonts w:cs="Arial" w:hint="cs"/>
          <w:sz w:val="18"/>
          <w:szCs w:val="18"/>
          <w:rtl/>
        </w:rPr>
        <w:t>כדינו</w:t>
      </w:r>
      <w:r w:rsidRPr="00D14302">
        <w:rPr>
          <w:rFonts w:cs="Arial"/>
          <w:sz w:val="18"/>
          <w:szCs w:val="18"/>
          <w:rtl/>
        </w:rPr>
        <w:t xml:space="preserve">, </w:t>
      </w:r>
      <w:r w:rsidRPr="00D14302">
        <w:rPr>
          <w:rFonts w:cs="Arial" w:hint="cs"/>
          <w:sz w:val="18"/>
          <w:szCs w:val="18"/>
          <w:rtl/>
        </w:rPr>
        <w:t>דאז</w:t>
      </w:r>
      <w:r w:rsidRPr="00D14302">
        <w:rPr>
          <w:rFonts w:cs="Arial"/>
          <w:sz w:val="18"/>
          <w:szCs w:val="18"/>
          <w:rtl/>
        </w:rPr>
        <w:t xml:space="preserve"> </w:t>
      </w:r>
      <w:r w:rsidRPr="00D14302">
        <w:rPr>
          <w:rFonts w:cs="Arial" w:hint="cs"/>
          <w:sz w:val="18"/>
          <w:szCs w:val="18"/>
          <w:rtl/>
        </w:rPr>
        <w:t>אינה</w:t>
      </w:r>
      <w:r w:rsidRPr="00D14302">
        <w:rPr>
          <w:rFonts w:cs="Arial"/>
          <w:sz w:val="18"/>
          <w:szCs w:val="18"/>
          <w:rtl/>
        </w:rPr>
        <w:t xml:space="preserve"> </w:t>
      </w:r>
      <w:r w:rsidRPr="00D14302">
        <w:rPr>
          <w:rFonts w:cs="Arial" w:hint="cs"/>
          <w:sz w:val="18"/>
          <w:szCs w:val="18"/>
          <w:rtl/>
        </w:rPr>
        <w:t>חוששת</w:t>
      </w:r>
      <w:r w:rsidRPr="00D14302">
        <w:rPr>
          <w:rFonts w:cs="Arial"/>
          <w:sz w:val="18"/>
          <w:szCs w:val="18"/>
          <w:rtl/>
        </w:rPr>
        <w:t xml:space="preserve"> </w:t>
      </w:r>
      <w:r w:rsidRPr="00D14302">
        <w:rPr>
          <w:rFonts w:cs="Arial" w:hint="cs"/>
          <w:sz w:val="18"/>
          <w:szCs w:val="18"/>
          <w:rtl/>
        </w:rPr>
        <w:t>לשני</w:t>
      </w:r>
      <w:r w:rsidRPr="00D14302">
        <w:rPr>
          <w:rFonts w:cs="Arial"/>
          <w:sz w:val="18"/>
          <w:szCs w:val="18"/>
          <w:rtl/>
        </w:rPr>
        <w:t xml:space="preserve"> </w:t>
      </w:r>
      <w:r w:rsidRPr="00D14302">
        <w:rPr>
          <w:rFonts w:cs="Arial" w:hint="cs"/>
          <w:sz w:val="18"/>
          <w:szCs w:val="18"/>
          <w:rtl/>
        </w:rPr>
        <w:t>שלא</w:t>
      </w:r>
      <w:r w:rsidRPr="00D14302">
        <w:rPr>
          <w:rFonts w:cs="Arial"/>
          <w:sz w:val="18"/>
          <w:szCs w:val="18"/>
          <w:rtl/>
        </w:rPr>
        <w:t xml:space="preserve"> </w:t>
      </w:r>
      <w:r w:rsidRPr="00D14302">
        <w:rPr>
          <w:rFonts w:cs="Arial" w:hint="cs"/>
          <w:sz w:val="18"/>
          <w:szCs w:val="18"/>
          <w:rtl/>
        </w:rPr>
        <w:t>נקבע</w:t>
      </w:r>
      <w:r>
        <w:rPr>
          <w:rStyle w:val="a5"/>
          <w:rFonts w:cs="Arial"/>
          <w:sz w:val="18"/>
          <w:szCs w:val="18"/>
          <w:rtl/>
        </w:rPr>
        <w:footnoteReference w:id="195"/>
      </w:r>
      <w:r w:rsidRPr="00D14302">
        <w:rPr>
          <w:rFonts w:cs="Arial"/>
          <w:sz w:val="18"/>
          <w:szCs w:val="18"/>
          <w:rtl/>
        </w:rPr>
        <w:t xml:space="preserve">, </w:t>
      </w:r>
      <w:r w:rsidRPr="00D14302">
        <w:rPr>
          <w:rFonts w:cs="Arial" w:hint="cs"/>
          <w:sz w:val="18"/>
          <w:szCs w:val="18"/>
          <w:rtl/>
        </w:rPr>
        <w:t>או</w:t>
      </w:r>
      <w:r w:rsidRPr="00D14302">
        <w:rPr>
          <w:rFonts w:cs="Arial"/>
          <w:sz w:val="18"/>
          <w:szCs w:val="18"/>
          <w:rtl/>
        </w:rPr>
        <w:t xml:space="preserve"> </w:t>
      </w:r>
      <w:r w:rsidRPr="00D14302">
        <w:rPr>
          <w:rFonts w:cs="Arial" w:hint="cs"/>
          <w:sz w:val="18"/>
          <w:szCs w:val="18"/>
          <w:rtl/>
        </w:rPr>
        <w:t>עד</w:t>
      </w:r>
      <w:r w:rsidRPr="00D14302">
        <w:rPr>
          <w:rFonts w:cs="Arial"/>
          <w:sz w:val="18"/>
          <w:szCs w:val="18"/>
          <w:rtl/>
        </w:rPr>
        <w:t xml:space="preserve"> </w:t>
      </w:r>
      <w:r w:rsidRPr="00D14302">
        <w:rPr>
          <w:rFonts w:cs="Arial" w:hint="cs"/>
          <w:sz w:val="18"/>
          <w:szCs w:val="18"/>
          <w:rtl/>
        </w:rPr>
        <w:t>שאחד</w:t>
      </w:r>
      <w:r w:rsidRPr="00D14302">
        <w:rPr>
          <w:rFonts w:cs="Arial"/>
          <w:sz w:val="18"/>
          <w:szCs w:val="18"/>
          <w:rtl/>
        </w:rPr>
        <w:t xml:space="preserve"> </w:t>
      </w:r>
      <w:r w:rsidRPr="00D14302">
        <w:rPr>
          <w:rFonts w:cs="Arial" w:hint="cs"/>
          <w:sz w:val="18"/>
          <w:szCs w:val="18"/>
          <w:rtl/>
        </w:rPr>
        <w:t>מהן</w:t>
      </w:r>
      <w:r w:rsidRPr="00D14302">
        <w:rPr>
          <w:rFonts w:cs="Arial"/>
          <w:sz w:val="18"/>
          <w:szCs w:val="18"/>
          <w:rtl/>
        </w:rPr>
        <w:t xml:space="preserve"> </w:t>
      </w:r>
      <w:r w:rsidRPr="00D14302">
        <w:rPr>
          <w:rFonts w:cs="Arial" w:hint="cs"/>
          <w:sz w:val="18"/>
          <w:szCs w:val="18"/>
          <w:rtl/>
        </w:rPr>
        <w:t>נעקר</w:t>
      </w:r>
      <w:r w:rsidRPr="00D14302">
        <w:rPr>
          <w:rFonts w:cs="Arial"/>
          <w:sz w:val="18"/>
          <w:szCs w:val="18"/>
          <w:rtl/>
        </w:rPr>
        <w:t xml:space="preserve">, </w:t>
      </w:r>
      <w:r w:rsidRPr="00D14302">
        <w:rPr>
          <w:rFonts w:cs="Arial" w:hint="cs"/>
          <w:sz w:val="18"/>
          <w:szCs w:val="18"/>
          <w:rtl/>
        </w:rPr>
        <w:t>אז</w:t>
      </w:r>
      <w:r w:rsidRPr="00D14302">
        <w:rPr>
          <w:rFonts w:cs="Arial"/>
          <w:sz w:val="18"/>
          <w:szCs w:val="18"/>
          <w:rtl/>
        </w:rPr>
        <w:t xml:space="preserve"> </w:t>
      </w:r>
      <w:r w:rsidRPr="00D14302">
        <w:rPr>
          <w:rFonts w:cs="Arial" w:hint="cs"/>
          <w:sz w:val="18"/>
          <w:szCs w:val="18"/>
          <w:rtl/>
        </w:rPr>
        <w:t>אינה</w:t>
      </w:r>
      <w:r w:rsidRPr="00D14302">
        <w:rPr>
          <w:rFonts w:cs="Arial"/>
          <w:sz w:val="18"/>
          <w:szCs w:val="18"/>
          <w:rtl/>
        </w:rPr>
        <w:t xml:space="preserve"> </w:t>
      </w:r>
      <w:r w:rsidRPr="00D14302">
        <w:rPr>
          <w:rFonts w:cs="Arial" w:hint="cs"/>
          <w:sz w:val="18"/>
          <w:szCs w:val="18"/>
          <w:rtl/>
        </w:rPr>
        <w:t>חוששת</w:t>
      </w:r>
      <w:r w:rsidRPr="00D14302">
        <w:rPr>
          <w:rFonts w:cs="Arial"/>
          <w:sz w:val="18"/>
          <w:szCs w:val="18"/>
          <w:rtl/>
        </w:rPr>
        <w:t xml:space="preserve"> </w:t>
      </w:r>
      <w:r w:rsidRPr="00D14302">
        <w:rPr>
          <w:rFonts w:cs="Arial" w:hint="cs"/>
          <w:sz w:val="18"/>
          <w:szCs w:val="18"/>
          <w:rtl/>
        </w:rPr>
        <w:t>לו</w:t>
      </w:r>
      <w:r w:rsidRPr="00D14302">
        <w:rPr>
          <w:rFonts w:cs="Arial"/>
          <w:sz w:val="18"/>
          <w:szCs w:val="18"/>
          <w:rtl/>
        </w:rPr>
        <w:t xml:space="preserve">, </w:t>
      </w:r>
      <w:r>
        <w:rPr>
          <w:rFonts w:cs="Arial" w:hint="cs"/>
          <w:sz w:val="18"/>
          <w:szCs w:val="18"/>
          <w:rtl/>
        </w:rPr>
        <w:t>אף על פי</w:t>
      </w:r>
      <w:r w:rsidRPr="00D14302">
        <w:rPr>
          <w:rFonts w:cs="Arial"/>
          <w:sz w:val="18"/>
          <w:szCs w:val="18"/>
          <w:rtl/>
        </w:rPr>
        <w:t xml:space="preserve"> </w:t>
      </w:r>
      <w:r w:rsidRPr="00D14302">
        <w:rPr>
          <w:rFonts w:cs="Arial" w:hint="cs"/>
          <w:sz w:val="18"/>
          <w:szCs w:val="18"/>
          <w:rtl/>
        </w:rPr>
        <w:t>שלא</w:t>
      </w:r>
      <w:r w:rsidRPr="00D14302">
        <w:rPr>
          <w:rFonts w:cs="Arial"/>
          <w:sz w:val="18"/>
          <w:szCs w:val="18"/>
          <w:rtl/>
        </w:rPr>
        <w:t xml:space="preserve"> </w:t>
      </w:r>
      <w:r w:rsidRPr="00D14302">
        <w:rPr>
          <w:rFonts w:cs="Arial" w:hint="cs"/>
          <w:sz w:val="18"/>
          <w:szCs w:val="18"/>
          <w:rtl/>
        </w:rPr>
        <w:t>נקבע</w:t>
      </w:r>
      <w:r w:rsidRPr="00D14302">
        <w:rPr>
          <w:rFonts w:cs="Arial"/>
          <w:sz w:val="18"/>
          <w:szCs w:val="18"/>
          <w:rtl/>
        </w:rPr>
        <w:t xml:space="preserve"> </w:t>
      </w:r>
      <w:r w:rsidRPr="00D14302">
        <w:rPr>
          <w:rFonts w:cs="Arial" w:hint="cs"/>
          <w:sz w:val="18"/>
          <w:szCs w:val="18"/>
          <w:rtl/>
        </w:rPr>
        <w:t>השני</w:t>
      </w:r>
      <w:r>
        <w:rPr>
          <w:rFonts w:hint="cs"/>
          <w:sz w:val="20"/>
          <w:szCs w:val="20"/>
          <w:rtl/>
        </w:rPr>
        <w:t>".</w:t>
      </w:r>
    </w:p>
    <w:p w:rsidR="00620060" w:rsidRPr="007E615F" w:rsidRDefault="00620060" w:rsidP="00620060">
      <w:pPr>
        <w:pStyle w:val="a3"/>
        <w:rPr>
          <w:rtl/>
        </w:rPr>
      </w:pPr>
      <w:r>
        <w:rPr>
          <w:rFonts w:hint="cs"/>
          <w:u w:val="single"/>
          <w:rtl/>
        </w:rPr>
        <w:t xml:space="preserve">דוגמאות לדברי הרמ"א </w:t>
      </w:r>
      <w:r>
        <w:rPr>
          <w:u w:val="single"/>
          <w:rtl/>
        </w:rPr>
        <w:br/>
      </w:r>
      <w:r w:rsidRPr="0041452E">
        <w:rPr>
          <w:rFonts w:hint="cs"/>
          <w:b/>
          <w:bCs/>
          <w:rtl/>
        </w:rPr>
        <w:t>ט"ז</w:t>
      </w:r>
      <w:r>
        <w:rPr>
          <w:rFonts w:hint="cs"/>
          <w:rtl/>
        </w:rPr>
        <w:t xml:space="preserve"> </w:t>
      </w:r>
      <w:r>
        <w:rPr>
          <w:rtl/>
        </w:rPr>
        <w:t>–</w:t>
      </w:r>
      <w:r>
        <w:rPr>
          <w:rFonts w:hint="cs"/>
          <w:rtl/>
        </w:rPr>
        <w:t xml:space="preserve"> דוגמה לווסת ר"ח שנקבע לפני ווסת ההפלגה:</w:t>
      </w:r>
      <w:r>
        <w:rPr>
          <w:rFonts w:hint="cs"/>
          <w:rtl/>
        </w:rPr>
        <w:br/>
        <w:t>ראתה בא' ניסן, א' אייר וא' סיון, וכן ראתה גם ביד' אייר וכח' אייר, קבעה לר"ח ואינה חוששת להפלגה.</w:t>
      </w:r>
      <w:r>
        <w:rPr>
          <w:rFonts w:hint="cs"/>
          <w:u w:val="single"/>
          <w:rtl/>
        </w:rPr>
        <w:br/>
      </w:r>
      <w:r>
        <w:rPr>
          <w:rFonts w:hint="cs"/>
          <w:rtl/>
        </w:rPr>
        <w:t>דוגמה לווסת הפלגה שנקבע לפני ווסת ר"ח:</w:t>
      </w:r>
      <w:r>
        <w:rPr>
          <w:rFonts w:hint="cs"/>
          <w:rtl/>
        </w:rPr>
        <w:br/>
        <w:t>ראתה בא' ניסן וא' אייר, וכן ראתה ביד' וכח' ניסן וכן ביב' אייר, קבעה להפלגה ואינה חוששת לר"ח.</w:t>
      </w:r>
      <w:r>
        <w:rPr>
          <w:rFonts w:hint="cs"/>
          <w:u w:val="single"/>
          <w:rtl/>
        </w:rPr>
        <w:br/>
      </w:r>
      <w:r>
        <w:rPr>
          <w:u w:val="single"/>
          <w:rtl/>
        </w:rPr>
        <w:br/>
      </w:r>
      <w:r>
        <w:rPr>
          <w:rFonts w:hint="cs"/>
          <w:rtl/>
        </w:rPr>
        <w:t xml:space="preserve">והוא הדין אם עקרה ווסת פעם אחת, דהיינו שלא ראתה ביום הווסת פעם אחת </w:t>
      </w:r>
      <w:r>
        <w:rPr>
          <w:rtl/>
        </w:rPr>
        <w:t>–</w:t>
      </w:r>
      <w:r>
        <w:rPr>
          <w:rFonts w:hint="cs"/>
          <w:rtl/>
        </w:rPr>
        <w:t xml:space="preserve"> עקרתו ואינה חוששת לו.</w:t>
      </w:r>
      <w:r>
        <w:rPr>
          <w:rStyle w:val="a5"/>
          <w:rtl/>
        </w:rPr>
        <w:footnoteReference w:id="196"/>
      </w:r>
    </w:p>
    <w:p w:rsidR="00620060" w:rsidRDefault="00620060" w:rsidP="00620060">
      <w:pPr>
        <w:pStyle w:val="a3"/>
        <w:rPr>
          <w:rtl/>
        </w:rPr>
      </w:pPr>
      <w:r>
        <w:rPr>
          <w:u w:val="single"/>
          <w:rtl/>
        </w:rPr>
        <w:br/>
      </w:r>
      <w:r w:rsidRPr="00B84E04">
        <w:rPr>
          <w:rFonts w:hint="cs"/>
          <w:b/>
          <w:bCs/>
          <w:rtl/>
        </w:rPr>
        <w:t xml:space="preserve">מתי ווסת החודש מבטל את ווסת ההפלגה? </w:t>
      </w:r>
      <w:r w:rsidRPr="007E615F">
        <w:rPr>
          <w:rFonts w:hint="cs"/>
          <w:sz w:val="18"/>
          <w:szCs w:val="18"/>
          <w:rtl/>
        </w:rPr>
        <w:t>(ט"ז)</w:t>
      </w:r>
      <w:r>
        <w:rPr>
          <w:rFonts w:hint="cs"/>
          <w:u w:val="single"/>
          <w:rtl/>
        </w:rPr>
        <w:br/>
      </w:r>
      <w:r>
        <w:rPr>
          <w:rFonts w:hint="cs"/>
          <w:rtl/>
        </w:rPr>
        <w:t xml:space="preserve">המקרה </w:t>
      </w:r>
      <w:r>
        <w:rPr>
          <w:rtl/>
        </w:rPr>
        <w:t>–</w:t>
      </w:r>
      <w:r>
        <w:rPr>
          <w:rFonts w:hint="cs"/>
          <w:rtl/>
        </w:rPr>
        <w:t xml:space="preserve"> ראתה א' ניסן, כ' ניסן וא' אייר, האם חוששת לט' אייר מחמת ווסת ההפלגה של כ'?</w:t>
      </w:r>
      <w:r>
        <w:rPr>
          <w:rtl/>
        </w:rPr>
        <w:br/>
      </w:r>
      <w:r>
        <w:rPr>
          <w:rFonts w:hint="cs"/>
          <w:rtl/>
        </w:rPr>
        <w:t>כפי שהוזכר בהערה לעיל, נחלקו הב"י והדרכ"מ בביאור דברי הרמב"ן בדין זה:</w:t>
      </w:r>
      <w:r>
        <w:rPr>
          <w:rtl/>
        </w:rPr>
        <w:br/>
      </w:r>
      <w:r>
        <w:rPr>
          <w:rFonts w:hint="cs"/>
          <w:rtl/>
        </w:rPr>
        <w:t xml:space="preserve">א. </w:t>
      </w:r>
      <w:r w:rsidRPr="00D92EEC">
        <w:rPr>
          <w:rFonts w:hint="cs"/>
          <w:b/>
          <w:bCs/>
          <w:rtl/>
        </w:rPr>
        <w:t>ב"י</w:t>
      </w:r>
      <w:r>
        <w:rPr>
          <w:rFonts w:hint="cs"/>
          <w:rtl/>
        </w:rPr>
        <w:t xml:space="preserve"> </w:t>
      </w:r>
      <w:r>
        <w:rPr>
          <w:rtl/>
        </w:rPr>
        <w:t>–</w:t>
      </w:r>
      <w:r>
        <w:rPr>
          <w:rFonts w:hint="cs"/>
          <w:rtl/>
        </w:rPr>
        <w:t xml:space="preserve"> אינה חוששת לט' אייר.</w:t>
      </w:r>
      <w:r>
        <w:rPr>
          <w:rtl/>
        </w:rPr>
        <w:br/>
      </w:r>
      <w:r w:rsidRPr="00D92EEC">
        <w:rPr>
          <w:rFonts w:hint="cs"/>
          <w:b/>
          <w:bCs/>
          <w:rtl/>
        </w:rPr>
        <w:t>טעם</w:t>
      </w:r>
      <w:r>
        <w:rPr>
          <w:rFonts w:hint="cs"/>
          <w:rtl/>
        </w:rPr>
        <w:t xml:space="preserve"> </w:t>
      </w:r>
      <w:r>
        <w:rPr>
          <w:rtl/>
        </w:rPr>
        <w:t>–</w:t>
      </w:r>
      <w:r>
        <w:rPr>
          <w:rFonts w:hint="cs"/>
          <w:rtl/>
        </w:rPr>
        <w:t xml:space="preserve"> ווסת החודש עומד להיקבע והוא העיקר, ראיית כ' היא דמים יתרים שהיו בה.</w:t>
      </w:r>
      <w:r>
        <w:rPr>
          <w:rtl/>
        </w:rPr>
        <w:br/>
      </w:r>
      <w:r>
        <w:rPr>
          <w:rFonts w:hint="cs"/>
          <w:rtl/>
        </w:rPr>
        <w:t xml:space="preserve">ב. </w:t>
      </w:r>
      <w:r w:rsidRPr="00D92EEC">
        <w:rPr>
          <w:rFonts w:hint="cs"/>
          <w:b/>
          <w:bCs/>
          <w:rtl/>
        </w:rPr>
        <w:t>דרכ"מ</w:t>
      </w:r>
      <w:r>
        <w:rPr>
          <w:rFonts w:hint="cs"/>
          <w:rtl/>
        </w:rPr>
        <w:t xml:space="preserve"> </w:t>
      </w:r>
      <w:r>
        <w:rPr>
          <w:rtl/>
        </w:rPr>
        <w:t>–</w:t>
      </w:r>
      <w:r>
        <w:rPr>
          <w:rFonts w:hint="cs"/>
          <w:rtl/>
        </w:rPr>
        <w:t xml:space="preserve"> חוששת לט' אייר.</w:t>
      </w:r>
      <w:r>
        <w:rPr>
          <w:rtl/>
        </w:rPr>
        <w:br/>
      </w:r>
      <w:r w:rsidRPr="00D92EEC">
        <w:rPr>
          <w:rFonts w:hint="cs"/>
          <w:b/>
          <w:bCs/>
          <w:rtl/>
        </w:rPr>
        <w:t>טעם</w:t>
      </w:r>
      <w:r>
        <w:rPr>
          <w:rFonts w:hint="cs"/>
          <w:rtl/>
        </w:rPr>
        <w:t xml:space="preserve"> </w:t>
      </w:r>
      <w:r>
        <w:rPr>
          <w:rtl/>
        </w:rPr>
        <w:t>–</w:t>
      </w:r>
      <w:r>
        <w:rPr>
          <w:rFonts w:hint="cs"/>
          <w:rtl/>
        </w:rPr>
        <w:t xml:space="preserve"> ווסת החודש טרם נקבע, ולכן חוששת בינתיים גם להפלגת כ'.</w:t>
      </w:r>
      <w:r>
        <w:rPr>
          <w:rtl/>
        </w:rPr>
        <w:br/>
      </w:r>
      <w:r>
        <w:rPr>
          <w:rFonts w:hint="cs"/>
          <w:rtl/>
        </w:rPr>
        <w:t xml:space="preserve">לפי"ז, כתב </w:t>
      </w:r>
      <w:r w:rsidRPr="003064FC">
        <w:rPr>
          <w:rFonts w:hint="cs"/>
          <w:b/>
          <w:bCs/>
          <w:rtl/>
        </w:rPr>
        <w:t>הרמ"א</w:t>
      </w:r>
      <w:r>
        <w:rPr>
          <w:rFonts w:hint="cs"/>
          <w:rtl/>
        </w:rPr>
        <w:t>: "</w:t>
      </w:r>
      <w:r w:rsidRPr="003064FC">
        <w:rPr>
          <w:rFonts w:cs="Arial" w:hint="cs"/>
          <w:sz w:val="18"/>
          <w:szCs w:val="18"/>
          <w:u w:val="single"/>
          <w:rtl/>
        </w:rPr>
        <w:t>ראתה</w:t>
      </w:r>
      <w:r w:rsidRPr="003064FC">
        <w:rPr>
          <w:rFonts w:cs="Arial"/>
          <w:sz w:val="18"/>
          <w:szCs w:val="18"/>
          <w:u w:val="single"/>
          <w:rtl/>
        </w:rPr>
        <w:t xml:space="preserve"> </w:t>
      </w:r>
      <w:r w:rsidRPr="003064FC">
        <w:rPr>
          <w:rFonts w:cs="Arial" w:hint="cs"/>
          <w:sz w:val="18"/>
          <w:szCs w:val="18"/>
          <w:u w:val="single"/>
          <w:rtl/>
        </w:rPr>
        <w:t>באחד</w:t>
      </w:r>
      <w:r w:rsidRPr="003064FC">
        <w:rPr>
          <w:rFonts w:cs="Arial"/>
          <w:sz w:val="18"/>
          <w:szCs w:val="18"/>
          <w:u w:val="single"/>
          <w:rtl/>
        </w:rPr>
        <w:t xml:space="preserve"> </w:t>
      </w:r>
      <w:r w:rsidRPr="003064FC">
        <w:rPr>
          <w:rFonts w:cs="Arial" w:hint="cs"/>
          <w:sz w:val="18"/>
          <w:szCs w:val="18"/>
          <w:u w:val="single"/>
          <w:rtl/>
        </w:rPr>
        <w:t>באייר</w:t>
      </w:r>
      <w:r w:rsidRPr="00D14302">
        <w:rPr>
          <w:rFonts w:cs="Arial"/>
          <w:sz w:val="18"/>
          <w:szCs w:val="18"/>
          <w:rtl/>
        </w:rPr>
        <w:t xml:space="preserve"> </w:t>
      </w:r>
      <w:r w:rsidRPr="00D14302">
        <w:rPr>
          <w:rFonts w:cs="Arial" w:hint="cs"/>
          <w:sz w:val="18"/>
          <w:szCs w:val="18"/>
          <w:rtl/>
        </w:rPr>
        <w:t>או</w:t>
      </w:r>
      <w:r w:rsidRPr="00D14302">
        <w:rPr>
          <w:rFonts w:cs="Arial"/>
          <w:sz w:val="18"/>
          <w:szCs w:val="18"/>
          <w:rtl/>
        </w:rPr>
        <w:t xml:space="preserve"> </w:t>
      </w:r>
      <w:r w:rsidRPr="00D14302">
        <w:rPr>
          <w:rFonts w:cs="Arial" w:hint="cs"/>
          <w:sz w:val="18"/>
          <w:szCs w:val="18"/>
          <w:rtl/>
        </w:rPr>
        <w:t>לא</w:t>
      </w:r>
      <w:r w:rsidRPr="00D14302">
        <w:rPr>
          <w:rFonts w:cs="Arial"/>
          <w:sz w:val="18"/>
          <w:szCs w:val="18"/>
          <w:rtl/>
        </w:rPr>
        <w:t xml:space="preserve"> </w:t>
      </w:r>
      <w:r w:rsidRPr="00D14302">
        <w:rPr>
          <w:rFonts w:cs="Arial" w:hint="cs"/>
          <w:sz w:val="18"/>
          <w:szCs w:val="18"/>
          <w:rtl/>
        </w:rPr>
        <w:t>ראתה</w:t>
      </w:r>
      <w:r w:rsidRPr="00D14302">
        <w:rPr>
          <w:rFonts w:cs="Arial"/>
          <w:sz w:val="18"/>
          <w:szCs w:val="18"/>
          <w:rtl/>
        </w:rPr>
        <w:t xml:space="preserve"> </w:t>
      </w:r>
      <w:r w:rsidRPr="00D14302">
        <w:rPr>
          <w:rFonts w:cs="Arial" w:hint="cs"/>
          <w:sz w:val="18"/>
          <w:szCs w:val="18"/>
          <w:rtl/>
        </w:rPr>
        <w:t>בו</w:t>
      </w:r>
      <w:r w:rsidRPr="00D14302">
        <w:rPr>
          <w:rFonts w:cs="Arial"/>
          <w:sz w:val="18"/>
          <w:szCs w:val="18"/>
          <w:rtl/>
        </w:rPr>
        <w:t xml:space="preserve">, </w:t>
      </w:r>
      <w:r w:rsidRPr="003064FC">
        <w:rPr>
          <w:rFonts w:cs="Arial" w:hint="cs"/>
          <w:sz w:val="18"/>
          <w:szCs w:val="18"/>
          <w:u w:val="single"/>
          <w:rtl/>
        </w:rPr>
        <w:t>חוששת</w:t>
      </w:r>
      <w:r w:rsidRPr="003064FC">
        <w:rPr>
          <w:rFonts w:cs="Arial"/>
          <w:sz w:val="18"/>
          <w:szCs w:val="18"/>
          <w:u w:val="single"/>
          <w:rtl/>
        </w:rPr>
        <w:t xml:space="preserve"> </w:t>
      </w:r>
      <w:r w:rsidRPr="003064FC">
        <w:rPr>
          <w:rFonts w:cs="Arial" w:hint="cs"/>
          <w:sz w:val="18"/>
          <w:szCs w:val="18"/>
          <w:u w:val="single"/>
          <w:rtl/>
        </w:rPr>
        <w:t>לט</w:t>
      </w:r>
      <w:r w:rsidRPr="003064FC">
        <w:rPr>
          <w:rFonts w:cs="Arial"/>
          <w:sz w:val="18"/>
          <w:szCs w:val="18"/>
          <w:u w:val="single"/>
          <w:rtl/>
        </w:rPr>
        <w:t xml:space="preserve">' </w:t>
      </w:r>
      <w:r w:rsidRPr="003064FC">
        <w:rPr>
          <w:rFonts w:cs="Arial" w:hint="cs"/>
          <w:sz w:val="18"/>
          <w:szCs w:val="18"/>
          <w:u w:val="single"/>
          <w:rtl/>
        </w:rPr>
        <w:t>באייר</w:t>
      </w:r>
      <w:r w:rsidRPr="00D14302">
        <w:rPr>
          <w:rFonts w:cs="Arial"/>
          <w:sz w:val="18"/>
          <w:szCs w:val="18"/>
          <w:rtl/>
        </w:rPr>
        <w:t xml:space="preserve">, </w:t>
      </w:r>
      <w:r w:rsidRPr="00D14302">
        <w:rPr>
          <w:rFonts w:cs="Arial" w:hint="cs"/>
          <w:sz w:val="18"/>
          <w:szCs w:val="18"/>
          <w:rtl/>
        </w:rPr>
        <w:t>שהוא</w:t>
      </w:r>
      <w:r w:rsidRPr="00D14302">
        <w:rPr>
          <w:rFonts w:cs="Arial"/>
          <w:sz w:val="18"/>
          <w:szCs w:val="18"/>
          <w:rtl/>
        </w:rPr>
        <w:t xml:space="preserve"> </w:t>
      </w:r>
      <w:r w:rsidRPr="00D14302">
        <w:rPr>
          <w:rFonts w:cs="Arial" w:hint="cs"/>
          <w:sz w:val="18"/>
          <w:szCs w:val="18"/>
          <w:rtl/>
        </w:rPr>
        <w:t>יום</w:t>
      </w:r>
      <w:r w:rsidRPr="00D14302">
        <w:rPr>
          <w:rFonts w:cs="Arial"/>
          <w:sz w:val="18"/>
          <w:szCs w:val="18"/>
          <w:rtl/>
        </w:rPr>
        <w:t xml:space="preserve"> </w:t>
      </w:r>
      <w:r w:rsidRPr="00D14302">
        <w:rPr>
          <w:rFonts w:cs="Arial" w:hint="cs"/>
          <w:sz w:val="18"/>
          <w:szCs w:val="18"/>
          <w:rtl/>
        </w:rPr>
        <w:t>כ</w:t>
      </w:r>
      <w:r w:rsidRPr="00D14302">
        <w:rPr>
          <w:rFonts w:cs="Arial"/>
          <w:sz w:val="18"/>
          <w:szCs w:val="18"/>
          <w:rtl/>
        </w:rPr>
        <w:t xml:space="preserve">' </w:t>
      </w:r>
      <w:r w:rsidRPr="00D14302">
        <w:rPr>
          <w:rFonts w:cs="Arial" w:hint="cs"/>
          <w:sz w:val="18"/>
          <w:szCs w:val="18"/>
          <w:rtl/>
        </w:rPr>
        <w:t>מראיית</w:t>
      </w:r>
      <w:r w:rsidRPr="00D14302">
        <w:rPr>
          <w:rFonts w:cs="Arial"/>
          <w:sz w:val="18"/>
          <w:szCs w:val="18"/>
          <w:rtl/>
        </w:rPr>
        <w:t xml:space="preserve"> </w:t>
      </w:r>
      <w:r w:rsidRPr="00D14302">
        <w:rPr>
          <w:rFonts w:cs="Arial" w:hint="cs"/>
          <w:sz w:val="18"/>
          <w:szCs w:val="18"/>
          <w:rtl/>
        </w:rPr>
        <w:t>יום</w:t>
      </w:r>
      <w:r w:rsidRPr="00D14302">
        <w:rPr>
          <w:rFonts w:cs="Arial"/>
          <w:sz w:val="18"/>
          <w:szCs w:val="18"/>
          <w:rtl/>
        </w:rPr>
        <w:t xml:space="preserve"> </w:t>
      </w:r>
      <w:r w:rsidRPr="00D14302">
        <w:rPr>
          <w:rFonts w:cs="Arial" w:hint="cs"/>
          <w:sz w:val="18"/>
          <w:szCs w:val="18"/>
          <w:rtl/>
        </w:rPr>
        <w:t>כ</w:t>
      </w:r>
      <w:r w:rsidRPr="00D14302">
        <w:rPr>
          <w:rFonts w:cs="Arial"/>
          <w:sz w:val="18"/>
          <w:szCs w:val="18"/>
          <w:rtl/>
        </w:rPr>
        <w:t xml:space="preserve">' </w:t>
      </w:r>
      <w:r w:rsidRPr="00D14302">
        <w:rPr>
          <w:rFonts w:cs="Arial" w:hint="cs"/>
          <w:sz w:val="18"/>
          <w:szCs w:val="18"/>
          <w:rtl/>
        </w:rPr>
        <w:t>שראתה</w:t>
      </w:r>
      <w:r>
        <w:rPr>
          <w:rFonts w:cs="Arial" w:hint="cs"/>
          <w:sz w:val="18"/>
          <w:szCs w:val="18"/>
          <w:rtl/>
        </w:rPr>
        <w:t>".</w:t>
      </w:r>
    </w:p>
    <w:p w:rsidR="00620060" w:rsidRDefault="00620060" w:rsidP="00620060">
      <w:pPr>
        <w:pStyle w:val="a3"/>
        <w:rPr>
          <w:rtl/>
        </w:rPr>
      </w:pPr>
    </w:p>
    <w:p w:rsidR="00620060" w:rsidRDefault="00620060" w:rsidP="00620060">
      <w:pPr>
        <w:pStyle w:val="a3"/>
        <w:rPr>
          <w:sz w:val="18"/>
          <w:szCs w:val="18"/>
          <w:rtl/>
        </w:rPr>
      </w:pPr>
      <w:r>
        <w:rPr>
          <w:rFonts w:hint="cs"/>
          <w:u w:val="single"/>
          <w:rtl/>
        </w:rPr>
        <w:t>שיטות האחרונים</w:t>
      </w:r>
      <w:r>
        <w:rPr>
          <w:u w:val="single"/>
          <w:rtl/>
        </w:rPr>
        <w:br/>
      </w:r>
      <w:r>
        <w:rPr>
          <w:rFonts w:hint="cs"/>
          <w:rtl/>
        </w:rPr>
        <w:t xml:space="preserve">א. </w:t>
      </w:r>
      <w:r w:rsidRPr="006C6CAF">
        <w:rPr>
          <w:rFonts w:hint="cs"/>
          <w:b/>
          <w:bCs/>
          <w:rtl/>
        </w:rPr>
        <w:t>ט"ז</w:t>
      </w:r>
      <w:r>
        <w:rPr>
          <w:rFonts w:hint="cs"/>
          <w:rtl/>
        </w:rPr>
        <w:t xml:space="preserve"> </w:t>
      </w:r>
      <w:r>
        <w:rPr>
          <w:rtl/>
        </w:rPr>
        <w:t>–</w:t>
      </w:r>
      <w:r>
        <w:rPr>
          <w:rFonts w:hint="cs"/>
          <w:rtl/>
        </w:rPr>
        <w:t xml:space="preserve"> דברי הרמ"א נכונים, ועיין ראיותיו בהערה</w:t>
      </w:r>
      <w:r>
        <w:rPr>
          <w:rStyle w:val="a5"/>
          <w:rtl/>
        </w:rPr>
        <w:footnoteReference w:id="197"/>
      </w:r>
      <w:r>
        <w:rPr>
          <w:rFonts w:hint="cs"/>
          <w:rtl/>
        </w:rPr>
        <w:t>.</w:t>
      </w:r>
      <w:r>
        <w:rPr>
          <w:rtl/>
        </w:rPr>
        <w:br/>
      </w:r>
      <w:r>
        <w:rPr>
          <w:rFonts w:hint="cs"/>
          <w:rtl/>
        </w:rPr>
        <w:lastRenderedPageBreak/>
        <w:t xml:space="preserve">ב. </w:t>
      </w:r>
      <w:r w:rsidRPr="00042DF9">
        <w:rPr>
          <w:rFonts w:hint="cs"/>
          <w:b/>
          <w:bCs/>
          <w:rtl/>
        </w:rPr>
        <w:t xml:space="preserve">ב"ח </w:t>
      </w:r>
      <w:r>
        <w:rPr>
          <w:rFonts w:hint="cs"/>
          <w:b/>
          <w:bCs/>
          <w:rtl/>
        </w:rPr>
        <w:t>וש"ך</w:t>
      </w:r>
      <w:r>
        <w:rPr>
          <w:rtl/>
        </w:rPr>
        <w:t>–</w:t>
      </w:r>
      <w:r>
        <w:rPr>
          <w:rFonts w:hint="cs"/>
          <w:rtl/>
        </w:rPr>
        <w:t xml:space="preserve"> אין הלכה כב"י ואף לא כרמ"א, אלא יש לה לחוש להפלגה האחרונה, כלומר להפלגת יב' מא' אייר, שהרי ראייתה האחרונה היתה בהפלגת יב' יום </w:t>
      </w:r>
      <w:r w:rsidRPr="00E65BFD">
        <w:rPr>
          <w:rFonts w:hint="cs"/>
          <w:sz w:val="18"/>
          <w:szCs w:val="18"/>
          <w:rtl/>
        </w:rPr>
        <w:t xml:space="preserve">(כ' ניסן </w:t>
      </w:r>
      <w:r w:rsidRPr="00E65BFD">
        <w:rPr>
          <w:sz w:val="18"/>
          <w:szCs w:val="18"/>
          <w:rtl/>
        </w:rPr>
        <w:t>–</w:t>
      </w:r>
      <w:r w:rsidRPr="00E65BFD">
        <w:rPr>
          <w:rFonts w:hint="cs"/>
          <w:sz w:val="18"/>
          <w:szCs w:val="18"/>
          <w:rtl/>
        </w:rPr>
        <w:t xml:space="preserve"> א' אייר)</w:t>
      </w:r>
      <w:r>
        <w:rPr>
          <w:rFonts w:hint="cs"/>
          <w:rtl/>
        </w:rPr>
        <w:t>.</w:t>
      </w:r>
      <w:r>
        <w:rPr>
          <w:rStyle w:val="a5"/>
          <w:rtl/>
        </w:rPr>
        <w:footnoteReference w:id="198"/>
      </w:r>
      <w:r>
        <w:rPr>
          <w:rtl/>
        </w:rPr>
        <w:br/>
      </w:r>
      <w:r>
        <w:rPr>
          <w:rFonts w:hint="cs"/>
          <w:rtl/>
        </w:rPr>
        <w:t>ואמנם, חוששת גם לכ' אייר משום ווסת החודש.</w:t>
      </w:r>
      <w:r>
        <w:rPr>
          <w:rtl/>
        </w:rPr>
        <w:br/>
      </w:r>
      <w:r>
        <w:rPr>
          <w:u w:val="single"/>
          <w:rtl/>
        </w:rPr>
        <w:br/>
      </w:r>
      <w:r w:rsidRPr="00417789">
        <w:rPr>
          <w:rFonts w:hint="cs"/>
          <w:b/>
          <w:bCs/>
          <w:rtl/>
        </w:rPr>
        <w:t>חשש לעונה בינונית</w:t>
      </w:r>
      <w:r w:rsidRPr="00136C91">
        <w:rPr>
          <w:u w:val="single"/>
          <w:rtl/>
        </w:rPr>
        <w:br/>
      </w:r>
      <w:r w:rsidRPr="00136C91">
        <w:rPr>
          <w:rFonts w:hint="cs"/>
          <w:rtl/>
        </w:rPr>
        <w:t>האם לפני שנקבע ווסת אחד, וחוששת לווסת ההפלגות וווסת החודש, צריכה לחוש גם לעונה בינונית?</w:t>
      </w:r>
      <w:r w:rsidRPr="00136C91">
        <w:rPr>
          <w:rFonts w:hint="cs"/>
          <w:u w:val="single"/>
          <w:rtl/>
        </w:rPr>
        <w:br/>
      </w:r>
      <w:r w:rsidRPr="00136C91">
        <w:rPr>
          <w:rFonts w:hint="cs"/>
          <w:rtl/>
        </w:rPr>
        <w:t xml:space="preserve">א. </w:t>
      </w:r>
      <w:r w:rsidRPr="00136C91">
        <w:rPr>
          <w:rFonts w:hint="cs"/>
          <w:b/>
          <w:bCs/>
          <w:rtl/>
        </w:rPr>
        <w:t>ב"ח</w:t>
      </w:r>
      <w:r w:rsidRPr="00136C91">
        <w:rPr>
          <w:rFonts w:hint="cs"/>
          <w:rtl/>
        </w:rPr>
        <w:t xml:space="preserve"> </w:t>
      </w:r>
      <w:r w:rsidRPr="00136C91">
        <w:rPr>
          <w:rtl/>
        </w:rPr>
        <w:t>–</w:t>
      </w:r>
      <w:r w:rsidRPr="00136C91">
        <w:rPr>
          <w:rFonts w:hint="cs"/>
          <w:rtl/>
        </w:rPr>
        <w:t xml:space="preserve"> לא.</w:t>
      </w:r>
      <w:r w:rsidRPr="00136C91">
        <w:rPr>
          <w:rtl/>
        </w:rPr>
        <w:br/>
      </w:r>
      <w:r w:rsidRPr="00136C91">
        <w:rPr>
          <w:rFonts w:hint="cs"/>
          <w:rtl/>
        </w:rPr>
        <w:t xml:space="preserve">ב. </w:t>
      </w:r>
      <w:r w:rsidRPr="00136C91">
        <w:rPr>
          <w:rFonts w:hint="cs"/>
          <w:b/>
          <w:bCs/>
          <w:rtl/>
        </w:rPr>
        <w:t>ט"ז</w:t>
      </w:r>
      <w:r w:rsidRPr="00136C91">
        <w:rPr>
          <w:rFonts w:hint="cs"/>
          <w:rtl/>
        </w:rPr>
        <w:t xml:space="preserve"> </w:t>
      </w:r>
      <w:r w:rsidRPr="00136C91">
        <w:rPr>
          <w:rtl/>
        </w:rPr>
        <w:t>–</w:t>
      </w:r>
      <w:r w:rsidRPr="00136C91">
        <w:rPr>
          <w:rFonts w:hint="cs"/>
          <w:rtl/>
        </w:rPr>
        <w:t xml:space="preserve"> כן, ומפני שזה דין פשוט לא הוצרך המחבר לכתבו, ודברי הב"ח תמוהים.</w:t>
      </w:r>
      <w:r w:rsidRPr="00136C91">
        <w:rPr>
          <w:rtl/>
        </w:rPr>
        <w:br/>
      </w:r>
      <w:r w:rsidRPr="00136C91">
        <w:rPr>
          <w:rFonts w:hint="cs"/>
          <w:rtl/>
        </w:rPr>
        <w:t xml:space="preserve">מיישב </w:t>
      </w:r>
      <w:r w:rsidRPr="00136C91">
        <w:rPr>
          <w:rFonts w:hint="cs"/>
          <w:b/>
          <w:bCs/>
          <w:rtl/>
        </w:rPr>
        <w:t>החוו"ד</w:t>
      </w:r>
      <w:r w:rsidRPr="00136C91">
        <w:rPr>
          <w:rFonts w:hint="cs"/>
          <w:rtl/>
        </w:rPr>
        <w:t xml:space="preserve"> </w:t>
      </w:r>
      <w:r>
        <w:rPr>
          <w:rFonts w:hint="cs"/>
          <w:rtl/>
        </w:rPr>
        <w:t xml:space="preserve">את </w:t>
      </w:r>
      <w:r w:rsidRPr="00136C91">
        <w:rPr>
          <w:rFonts w:hint="cs"/>
          <w:b/>
          <w:bCs/>
          <w:rtl/>
        </w:rPr>
        <w:t>הב"ח</w:t>
      </w:r>
      <w:r>
        <w:rPr>
          <w:rFonts w:hint="cs"/>
          <w:rtl/>
        </w:rPr>
        <w:t xml:space="preserve"> </w:t>
      </w:r>
      <w:r w:rsidRPr="00136C91">
        <w:rPr>
          <w:rtl/>
        </w:rPr>
        <w:t>–</w:t>
      </w:r>
      <w:r w:rsidRPr="00136C91">
        <w:rPr>
          <w:rFonts w:hint="cs"/>
          <w:rtl/>
        </w:rPr>
        <w:t xml:space="preserve"> טעם החשש בעו"ב הוא ע"פ דברי </w:t>
      </w:r>
      <w:r w:rsidRPr="00136C91">
        <w:rPr>
          <w:rFonts w:hint="cs"/>
          <w:b/>
          <w:bCs/>
          <w:rtl/>
        </w:rPr>
        <w:t>הר"ן</w:t>
      </w:r>
      <w:r w:rsidRPr="00136C91">
        <w:rPr>
          <w:rFonts w:hint="cs"/>
          <w:rtl/>
        </w:rPr>
        <w:t xml:space="preserve"> שכל אשה רואה דם בשלב מסויים ולכן מחשבים ל' יום מראייתה האחרונה</w:t>
      </w:r>
      <w:r>
        <w:rPr>
          <w:rFonts w:hint="cs"/>
          <w:rtl/>
        </w:rPr>
        <w:t>.</w:t>
      </w:r>
      <w:r w:rsidRPr="00136C91">
        <w:rPr>
          <w:rFonts w:hint="cs"/>
          <w:rtl/>
        </w:rPr>
        <w:t xml:space="preserve"> </w:t>
      </w:r>
      <w:r>
        <w:rPr>
          <w:rFonts w:hint="cs"/>
          <w:rtl/>
        </w:rPr>
        <w:t xml:space="preserve">וכאן, מכיוון שראתה גם בכ' ניסן </w:t>
      </w:r>
      <w:r w:rsidRPr="00136C91">
        <w:rPr>
          <w:rFonts w:hint="cs"/>
          <w:rtl/>
        </w:rPr>
        <w:t>אין לומר שתראה גם בל'.</w:t>
      </w:r>
      <w:r>
        <w:rPr>
          <w:rFonts w:hint="cs"/>
          <w:u w:val="single"/>
          <w:rtl/>
        </w:rPr>
        <w:br/>
      </w:r>
      <w:r>
        <w:rPr>
          <w:u w:val="single"/>
          <w:rtl/>
        </w:rPr>
        <w:br/>
      </w:r>
      <w:r w:rsidRPr="00417789">
        <w:rPr>
          <w:rFonts w:hint="cs"/>
          <w:b/>
          <w:bCs/>
          <w:rtl/>
        </w:rPr>
        <w:t>מתי היא עונה בינונית?</w:t>
      </w:r>
      <w:r w:rsidRPr="00417789">
        <w:rPr>
          <w:rStyle w:val="a5"/>
          <w:rtl/>
        </w:rPr>
        <w:footnoteReference w:id="199"/>
      </w:r>
      <w:r>
        <w:rPr>
          <w:rFonts w:hint="cs"/>
          <w:rtl/>
        </w:rPr>
        <w:br/>
        <w:t xml:space="preserve">א. </w:t>
      </w:r>
      <w:r w:rsidRPr="00255A3E">
        <w:rPr>
          <w:rFonts w:hint="cs"/>
          <w:b/>
          <w:bCs/>
          <w:rtl/>
        </w:rPr>
        <w:t xml:space="preserve">ש"ך </w:t>
      </w:r>
      <w:r>
        <w:rPr>
          <w:rtl/>
        </w:rPr>
        <w:t>–</w:t>
      </w:r>
      <w:r>
        <w:rPr>
          <w:rFonts w:hint="cs"/>
          <w:rtl/>
        </w:rPr>
        <w:t xml:space="preserve"> עונה בינונית היא יום החודש. </w:t>
      </w:r>
      <w:r w:rsidRPr="004963B4">
        <w:rPr>
          <w:rFonts w:hint="cs"/>
          <w:sz w:val="18"/>
          <w:szCs w:val="18"/>
          <w:rtl/>
        </w:rPr>
        <w:t xml:space="preserve">[כגון </w:t>
      </w:r>
      <w:r w:rsidRPr="004963B4">
        <w:rPr>
          <w:sz w:val="18"/>
          <w:szCs w:val="18"/>
          <w:rtl/>
        </w:rPr>
        <w:t>–</w:t>
      </w:r>
      <w:r w:rsidRPr="004963B4">
        <w:rPr>
          <w:rFonts w:hint="cs"/>
          <w:sz w:val="18"/>
          <w:szCs w:val="18"/>
          <w:rtl/>
        </w:rPr>
        <w:t xml:space="preserve"> ראתה בא' בחודש, </w:t>
      </w:r>
      <w:r>
        <w:rPr>
          <w:rFonts w:hint="cs"/>
          <w:sz w:val="18"/>
          <w:szCs w:val="18"/>
          <w:rtl/>
        </w:rPr>
        <w:t>חוששת</w:t>
      </w:r>
      <w:r w:rsidRPr="004963B4">
        <w:rPr>
          <w:rFonts w:hint="cs"/>
          <w:sz w:val="18"/>
          <w:szCs w:val="18"/>
          <w:rtl/>
        </w:rPr>
        <w:t xml:space="preserve"> בא' לחודש הבא</w:t>
      </w:r>
      <w:r>
        <w:rPr>
          <w:rFonts w:hint="cs"/>
          <w:sz w:val="18"/>
          <w:szCs w:val="18"/>
          <w:rtl/>
        </w:rPr>
        <w:t>, בין חודש מלא ובין חסר</w:t>
      </w:r>
      <w:r w:rsidRPr="004963B4">
        <w:rPr>
          <w:rFonts w:hint="cs"/>
          <w:sz w:val="18"/>
          <w:szCs w:val="18"/>
          <w:rtl/>
        </w:rPr>
        <w:t>].</w:t>
      </w:r>
      <w:r>
        <w:rPr>
          <w:rtl/>
        </w:rPr>
        <w:br/>
      </w:r>
      <w:r>
        <w:rPr>
          <w:rFonts w:hint="cs"/>
          <w:rtl/>
        </w:rPr>
        <w:t xml:space="preserve">ב. </w:t>
      </w:r>
      <w:r>
        <w:rPr>
          <w:rFonts w:hint="cs"/>
          <w:b/>
          <w:bCs/>
          <w:rtl/>
        </w:rPr>
        <w:t>ב"י</w:t>
      </w:r>
      <w:r>
        <w:rPr>
          <w:rFonts w:hint="cs"/>
          <w:rtl/>
        </w:rPr>
        <w:t xml:space="preserve">, </w:t>
      </w:r>
      <w:r w:rsidRPr="005D4DAB">
        <w:rPr>
          <w:rFonts w:hint="cs"/>
          <w:b/>
          <w:bCs/>
          <w:rtl/>
        </w:rPr>
        <w:t>ב"ח ופרישה</w:t>
      </w:r>
      <w:r>
        <w:rPr>
          <w:rFonts w:hint="cs"/>
          <w:rtl/>
        </w:rPr>
        <w:t xml:space="preserve"> </w:t>
      </w:r>
      <w:r>
        <w:rPr>
          <w:rtl/>
        </w:rPr>
        <w:t>–</w:t>
      </w:r>
      <w:r>
        <w:rPr>
          <w:rFonts w:hint="cs"/>
          <w:rtl/>
        </w:rPr>
        <w:t xml:space="preserve"> יום ל' נמנה עם יום הראייה ויום ל' עצמו. </w:t>
      </w:r>
      <w:r w:rsidRPr="004963B4">
        <w:rPr>
          <w:rFonts w:hint="cs"/>
          <w:sz w:val="18"/>
          <w:szCs w:val="18"/>
          <w:rtl/>
        </w:rPr>
        <w:t xml:space="preserve">[כגון </w:t>
      </w:r>
      <w:r w:rsidRPr="004963B4">
        <w:rPr>
          <w:sz w:val="18"/>
          <w:szCs w:val="18"/>
          <w:rtl/>
        </w:rPr>
        <w:t>–</w:t>
      </w:r>
      <w:r w:rsidRPr="004963B4">
        <w:rPr>
          <w:rFonts w:hint="cs"/>
          <w:sz w:val="18"/>
          <w:szCs w:val="18"/>
          <w:rtl/>
        </w:rPr>
        <w:t xml:space="preserve"> ראתה בא' חוששת ביום ל' לחודש אם הוא מלא</w:t>
      </w:r>
      <w:r>
        <w:rPr>
          <w:rFonts w:hint="cs"/>
          <w:sz w:val="18"/>
          <w:szCs w:val="18"/>
          <w:rtl/>
        </w:rPr>
        <w:t xml:space="preserve"> מחמת עונה בינונית</w:t>
      </w:r>
      <w:r w:rsidRPr="004963B4">
        <w:rPr>
          <w:rFonts w:hint="cs"/>
          <w:sz w:val="18"/>
          <w:szCs w:val="18"/>
          <w:rtl/>
        </w:rPr>
        <w:t xml:space="preserve">, ובנוסף חוששת גם ליום א' לחודש </w:t>
      </w:r>
      <w:r>
        <w:rPr>
          <w:rFonts w:hint="cs"/>
          <w:sz w:val="18"/>
          <w:szCs w:val="18"/>
          <w:rtl/>
        </w:rPr>
        <w:t>מחמת</w:t>
      </w:r>
      <w:r w:rsidRPr="004963B4">
        <w:rPr>
          <w:rFonts w:hint="cs"/>
          <w:sz w:val="18"/>
          <w:szCs w:val="18"/>
          <w:rtl/>
        </w:rPr>
        <w:t xml:space="preserve"> יום החודש].</w:t>
      </w:r>
      <w:r>
        <w:rPr>
          <w:rStyle w:val="a5"/>
          <w:rtl/>
        </w:rPr>
        <w:footnoteReference w:id="200"/>
      </w:r>
      <w:r>
        <w:rPr>
          <w:rtl/>
        </w:rPr>
        <w:br/>
      </w:r>
      <w:r>
        <w:rPr>
          <w:rFonts w:hint="cs"/>
          <w:rtl/>
        </w:rPr>
        <w:t xml:space="preserve">ג. </w:t>
      </w:r>
      <w:r w:rsidRPr="00255A3E">
        <w:rPr>
          <w:rFonts w:hint="cs"/>
          <w:b/>
          <w:bCs/>
          <w:rtl/>
        </w:rPr>
        <w:t>חוות דעת</w:t>
      </w:r>
      <w:r>
        <w:rPr>
          <w:rFonts w:hint="cs"/>
          <w:rtl/>
        </w:rPr>
        <w:t xml:space="preserve"> </w:t>
      </w:r>
      <w:r>
        <w:rPr>
          <w:rtl/>
        </w:rPr>
        <w:t>–</w:t>
      </w:r>
      <w:r>
        <w:rPr>
          <w:rFonts w:hint="cs"/>
          <w:rtl/>
        </w:rPr>
        <w:t xml:space="preserve"> יום ל' הוא יום לא' לראייתה. </w:t>
      </w:r>
      <w:r w:rsidRPr="006F3381">
        <w:rPr>
          <w:rFonts w:hint="cs"/>
          <w:sz w:val="18"/>
          <w:szCs w:val="18"/>
          <w:rtl/>
        </w:rPr>
        <w:t xml:space="preserve">[כגון </w:t>
      </w:r>
      <w:r w:rsidRPr="006F3381">
        <w:rPr>
          <w:sz w:val="18"/>
          <w:szCs w:val="18"/>
          <w:rtl/>
        </w:rPr>
        <w:t>–</w:t>
      </w:r>
      <w:r w:rsidRPr="006F3381">
        <w:rPr>
          <w:rFonts w:hint="cs"/>
          <w:sz w:val="18"/>
          <w:szCs w:val="18"/>
          <w:rtl/>
        </w:rPr>
        <w:t xml:space="preserve"> ראתה בא' והחודש הבא חסר, חוששת לב'].</w:t>
      </w:r>
      <w:r>
        <w:rPr>
          <w:rFonts w:hint="cs"/>
          <w:rtl/>
        </w:rPr>
        <w:br/>
        <w:t xml:space="preserve">הכרעת </w:t>
      </w:r>
      <w:r w:rsidRPr="0008426A">
        <w:rPr>
          <w:rFonts w:hint="cs"/>
          <w:b/>
          <w:bCs/>
          <w:rtl/>
        </w:rPr>
        <w:t>טהרת הבית</w:t>
      </w:r>
      <w:r>
        <w:rPr>
          <w:rFonts w:hint="cs"/>
          <w:rtl/>
        </w:rPr>
        <w:t xml:space="preserve"> </w:t>
      </w:r>
      <w:r>
        <w:rPr>
          <w:rtl/>
        </w:rPr>
        <w:t>–</w:t>
      </w:r>
      <w:r>
        <w:rPr>
          <w:rFonts w:hint="cs"/>
          <w:rtl/>
        </w:rPr>
        <w:t xml:space="preserve"> יש לפרוש ביום ל' לראייתה, כדברי </w:t>
      </w:r>
      <w:r w:rsidRPr="0008426A">
        <w:rPr>
          <w:rFonts w:hint="cs"/>
          <w:b/>
          <w:bCs/>
          <w:rtl/>
        </w:rPr>
        <w:t>הב"י</w:t>
      </w:r>
      <w:r>
        <w:rPr>
          <w:rFonts w:hint="cs"/>
          <w:rtl/>
        </w:rPr>
        <w:t xml:space="preserve">. </w:t>
      </w:r>
      <w:r>
        <w:rPr>
          <w:sz w:val="18"/>
          <w:szCs w:val="18"/>
          <w:rtl/>
        </w:rPr>
        <w:br/>
      </w:r>
      <w:r w:rsidRPr="00F2270C">
        <w:rPr>
          <w:rFonts w:hint="cs"/>
          <w:rtl/>
        </w:rPr>
        <w:t xml:space="preserve">הכרעת </w:t>
      </w:r>
      <w:r w:rsidRPr="00F2270C">
        <w:rPr>
          <w:rFonts w:hint="cs"/>
          <w:b/>
          <w:bCs/>
          <w:rtl/>
        </w:rPr>
        <w:t>שבט הלוי</w:t>
      </w:r>
      <w:r w:rsidRPr="00F2270C">
        <w:rPr>
          <w:rFonts w:hint="cs"/>
          <w:rtl/>
        </w:rPr>
        <w:t xml:space="preserve"> - יש לחשוש גם ללא'.</w:t>
      </w:r>
    </w:p>
    <w:p w:rsidR="00620060" w:rsidRDefault="00620060" w:rsidP="00620060">
      <w:pPr>
        <w:pStyle w:val="1"/>
        <w:rPr>
          <w:sz w:val="24"/>
          <w:szCs w:val="24"/>
          <w:rtl/>
        </w:rPr>
      </w:pPr>
      <w:r w:rsidRPr="00CD16BE">
        <w:rPr>
          <w:rFonts w:hint="cs"/>
          <w:sz w:val="24"/>
          <w:szCs w:val="24"/>
          <w:rtl/>
        </w:rPr>
        <w:t>ג. קביעת ווסת הדילוג</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רמ"א </w:t>
      </w:r>
      <w:r w:rsidRPr="00CD16BE">
        <w:rPr>
          <w:rFonts w:hint="cs"/>
          <w:sz w:val="18"/>
          <w:szCs w:val="18"/>
          <w:rtl/>
        </w:rPr>
        <w:t xml:space="preserve">(ע"פ הטור) </w:t>
      </w:r>
      <w:r w:rsidRPr="00CD16BE">
        <w:rPr>
          <w:sz w:val="18"/>
          <w:szCs w:val="18"/>
          <w:rtl/>
        </w:rPr>
        <w:t>–</w:t>
      </w:r>
      <w:r w:rsidRPr="00CD16BE">
        <w:rPr>
          <w:rFonts w:hint="cs"/>
          <w:sz w:val="18"/>
          <w:szCs w:val="18"/>
          <w:rtl/>
        </w:rPr>
        <w:t xml:space="preserve"> "</w:t>
      </w:r>
      <w:r w:rsidRPr="00CD16BE">
        <w:rPr>
          <w:rFonts w:cs="Arial" w:hint="cs"/>
          <w:sz w:val="18"/>
          <w:szCs w:val="18"/>
          <w:rtl/>
        </w:rPr>
        <w:t>ואינה</w:t>
      </w:r>
      <w:r w:rsidRPr="00CD16BE">
        <w:rPr>
          <w:rFonts w:cs="Arial"/>
          <w:sz w:val="18"/>
          <w:szCs w:val="18"/>
          <w:rtl/>
        </w:rPr>
        <w:t xml:space="preserve"> </w:t>
      </w:r>
      <w:r w:rsidRPr="00CD16BE">
        <w:rPr>
          <w:rFonts w:cs="Arial" w:hint="cs"/>
          <w:sz w:val="18"/>
          <w:szCs w:val="18"/>
          <w:rtl/>
        </w:rPr>
        <w:t>חוששת</w:t>
      </w:r>
      <w:r w:rsidRPr="00CD16BE">
        <w:rPr>
          <w:rFonts w:cs="Arial"/>
          <w:sz w:val="18"/>
          <w:szCs w:val="18"/>
          <w:rtl/>
        </w:rPr>
        <w:t xml:space="preserve"> </w:t>
      </w:r>
      <w:r w:rsidRPr="00CD16BE">
        <w:rPr>
          <w:rFonts w:cs="Arial" w:hint="cs"/>
          <w:sz w:val="18"/>
          <w:szCs w:val="18"/>
          <w:rtl/>
        </w:rPr>
        <w:t>לו</w:t>
      </w:r>
      <w:r>
        <w:rPr>
          <w:rFonts w:cs="Arial" w:hint="cs"/>
          <w:sz w:val="18"/>
          <w:szCs w:val="18"/>
          <w:rtl/>
        </w:rPr>
        <w:t>ו</w:t>
      </w:r>
      <w:r w:rsidRPr="00CD16BE">
        <w:rPr>
          <w:rFonts w:cs="Arial" w:hint="cs"/>
          <w:sz w:val="18"/>
          <w:szCs w:val="18"/>
          <w:rtl/>
        </w:rPr>
        <w:t>סת</w:t>
      </w:r>
      <w:r w:rsidRPr="00CD16BE">
        <w:rPr>
          <w:rFonts w:cs="Arial"/>
          <w:sz w:val="18"/>
          <w:szCs w:val="18"/>
          <w:rtl/>
        </w:rPr>
        <w:t xml:space="preserve"> </w:t>
      </w:r>
      <w:r w:rsidRPr="00CD16BE">
        <w:rPr>
          <w:rFonts w:cs="Arial" w:hint="cs"/>
          <w:sz w:val="18"/>
          <w:szCs w:val="18"/>
          <w:rtl/>
        </w:rPr>
        <w:t>הדילוגין</w:t>
      </w:r>
      <w:r w:rsidRPr="00CD16BE">
        <w:rPr>
          <w:rFonts w:cs="Arial"/>
          <w:sz w:val="18"/>
          <w:szCs w:val="18"/>
          <w:rtl/>
        </w:rPr>
        <w:t xml:space="preserve">, </w:t>
      </w:r>
      <w:r w:rsidRPr="00CD16BE">
        <w:rPr>
          <w:rFonts w:cs="Arial" w:hint="cs"/>
          <w:sz w:val="18"/>
          <w:szCs w:val="18"/>
          <w:rtl/>
        </w:rPr>
        <w:t>עד</w:t>
      </w:r>
      <w:r w:rsidRPr="00CD16BE">
        <w:rPr>
          <w:rFonts w:cs="Arial"/>
          <w:sz w:val="18"/>
          <w:szCs w:val="18"/>
          <w:rtl/>
        </w:rPr>
        <w:t xml:space="preserve"> </w:t>
      </w:r>
      <w:r w:rsidRPr="00CD16BE">
        <w:rPr>
          <w:rFonts w:cs="Arial" w:hint="cs"/>
          <w:sz w:val="18"/>
          <w:szCs w:val="18"/>
          <w:rtl/>
        </w:rPr>
        <w:t>שתקבענו</w:t>
      </w:r>
      <w:r w:rsidRPr="00CD16BE">
        <w:rPr>
          <w:rFonts w:cs="Arial"/>
          <w:sz w:val="18"/>
          <w:szCs w:val="18"/>
          <w:rtl/>
        </w:rPr>
        <w:t xml:space="preserve">. </w:t>
      </w:r>
      <w:r w:rsidRPr="00CD16BE">
        <w:rPr>
          <w:rFonts w:cs="Arial" w:hint="cs"/>
          <w:sz w:val="18"/>
          <w:szCs w:val="18"/>
          <w:rtl/>
        </w:rPr>
        <w:t>כיצד</w:t>
      </w:r>
      <w:r w:rsidRPr="00CD16BE">
        <w:rPr>
          <w:rFonts w:cs="Arial"/>
          <w:sz w:val="18"/>
          <w:szCs w:val="18"/>
          <w:rtl/>
        </w:rPr>
        <w:t xml:space="preserve">, </w:t>
      </w:r>
      <w:r w:rsidRPr="00CD16BE">
        <w:rPr>
          <w:rFonts w:cs="Arial" w:hint="cs"/>
          <w:sz w:val="18"/>
          <w:szCs w:val="18"/>
          <w:rtl/>
        </w:rPr>
        <w:t>ראתה</w:t>
      </w:r>
      <w:r w:rsidRPr="00CD16BE">
        <w:rPr>
          <w:rFonts w:cs="Arial"/>
          <w:sz w:val="18"/>
          <w:szCs w:val="18"/>
          <w:rtl/>
        </w:rPr>
        <w:t xml:space="preserve"> </w:t>
      </w:r>
      <w:r w:rsidRPr="00CD16BE">
        <w:rPr>
          <w:rFonts w:cs="Arial" w:hint="cs"/>
          <w:sz w:val="18"/>
          <w:szCs w:val="18"/>
          <w:rtl/>
        </w:rPr>
        <w:t>ט</w:t>
      </w:r>
      <w:r w:rsidRPr="00CD16BE">
        <w:rPr>
          <w:rFonts w:cs="Arial"/>
          <w:sz w:val="18"/>
          <w:szCs w:val="18"/>
          <w:rtl/>
        </w:rPr>
        <w:t>"</w:t>
      </w:r>
      <w:r w:rsidRPr="00CD16BE">
        <w:rPr>
          <w:rFonts w:cs="Arial" w:hint="cs"/>
          <w:sz w:val="18"/>
          <w:szCs w:val="18"/>
          <w:rtl/>
        </w:rPr>
        <w:t>ו</w:t>
      </w:r>
      <w:r w:rsidRPr="00CD16BE">
        <w:rPr>
          <w:rFonts w:cs="Arial"/>
          <w:sz w:val="18"/>
          <w:szCs w:val="18"/>
          <w:rtl/>
        </w:rPr>
        <w:t xml:space="preserve"> </w:t>
      </w:r>
      <w:r w:rsidRPr="00CD16BE">
        <w:rPr>
          <w:rFonts w:cs="Arial" w:hint="cs"/>
          <w:sz w:val="18"/>
          <w:szCs w:val="18"/>
          <w:rtl/>
        </w:rPr>
        <w:t>בניסן</w:t>
      </w:r>
      <w:r w:rsidRPr="00CD16BE">
        <w:rPr>
          <w:rFonts w:cs="Arial"/>
          <w:sz w:val="18"/>
          <w:szCs w:val="18"/>
          <w:rtl/>
        </w:rPr>
        <w:t xml:space="preserve">, </w:t>
      </w:r>
      <w:r w:rsidRPr="00CD16BE">
        <w:rPr>
          <w:rFonts w:cs="Arial" w:hint="cs"/>
          <w:sz w:val="18"/>
          <w:szCs w:val="18"/>
          <w:rtl/>
        </w:rPr>
        <w:t>חוששת</w:t>
      </w:r>
      <w:r w:rsidRPr="00CD16BE">
        <w:rPr>
          <w:rFonts w:cs="Arial"/>
          <w:sz w:val="18"/>
          <w:szCs w:val="18"/>
          <w:rtl/>
        </w:rPr>
        <w:t xml:space="preserve"> </w:t>
      </w:r>
      <w:r w:rsidRPr="00CD16BE">
        <w:rPr>
          <w:rFonts w:cs="Arial" w:hint="cs"/>
          <w:sz w:val="18"/>
          <w:szCs w:val="18"/>
          <w:rtl/>
        </w:rPr>
        <w:t>לט</w:t>
      </w:r>
      <w:r w:rsidRPr="00CD16BE">
        <w:rPr>
          <w:rFonts w:cs="Arial"/>
          <w:sz w:val="18"/>
          <w:szCs w:val="18"/>
          <w:rtl/>
        </w:rPr>
        <w:t>"</w:t>
      </w:r>
      <w:r w:rsidRPr="00CD16BE">
        <w:rPr>
          <w:rFonts w:cs="Arial" w:hint="cs"/>
          <w:sz w:val="18"/>
          <w:szCs w:val="18"/>
          <w:rtl/>
        </w:rPr>
        <w:t>ו</w:t>
      </w:r>
      <w:r w:rsidRPr="00CD16BE">
        <w:rPr>
          <w:rFonts w:cs="Arial"/>
          <w:sz w:val="18"/>
          <w:szCs w:val="18"/>
          <w:rtl/>
        </w:rPr>
        <w:t xml:space="preserve"> </w:t>
      </w:r>
      <w:r w:rsidRPr="00CD16BE">
        <w:rPr>
          <w:rFonts w:cs="Arial" w:hint="cs"/>
          <w:sz w:val="18"/>
          <w:szCs w:val="18"/>
          <w:rtl/>
        </w:rPr>
        <w:t>באייר</w:t>
      </w:r>
      <w:r>
        <w:rPr>
          <w:rStyle w:val="a5"/>
          <w:rFonts w:cs="Arial"/>
          <w:sz w:val="18"/>
          <w:szCs w:val="18"/>
          <w:rtl/>
        </w:rPr>
        <w:footnoteReference w:id="201"/>
      </w:r>
      <w:r w:rsidRPr="00CD16BE">
        <w:rPr>
          <w:rFonts w:cs="Arial"/>
          <w:sz w:val="18"/>
          <w:szCs w:val="18"/>
          <w:rtl/>
        </w:rPr>
        <w:t xml:space="preserve">. </w:t>
      </w:r>
      <w:r w:rsidRPr="00CD16BE">
        <w:rPr>
          <w:rFonts w:cs="Arial" w:hint="cs"/>
          <w:sz w:val="18"/>
          <w:szCs w:val="18"/>
          <w:rtl/>
        </w:rPr>
        <w:t>לא</w:t>
      </w:r>
      <w:r w:rsidRPr="00CD16BE">
        <w:rPr>
          <w:rFonts w:cs="Arial"/>
          <w:sz w:val="18"/>
          <w:szCs w:val="18"/>
          <w:rtl/>
        </w:rPr>
        <w:t xml:space="preserve"> </w:t>
      </w:r>
      <w:r w:rsidRPr="00CD16BE">
        <w:rPr>
          <w:rFonts w:cs="Arial" w:hint="cs"/>
          <w:sz w:val="18"/>
          <w:szCs w:val="18"/>
          <w:rtl/>
        </w:rPr>
        <w:t>ראתה</w:t>
      </w:r>
      <w:r w:rsidRPr="00CD16BE">
        <w:rPr>
          <w:rFonts w:cs="Arial"/>
          <w:sz w:val="18"/>
          <w:szCs w:val="18"/>
          <w:rtl/>
        </w:rPr>
        <w:t xml:space="preserve"> </w:t>
      </w:r>
      <w:r w:rsidRPr="00CD16BE">
        <w:rPr>
          <w:rFonts w:cs="Arial" w:hint="cs"/>
          <w:sz w:val="18"/>
          <w:szCs w:val="18"/>
          <w:rtl/>
        </w:rPr>
        <w:t>בט</w:t>
      </w:r>
      <w:r w:rsidRPr="00CD16BE">
        <w:rPr>
          <w:rFonts w:cs="Arial"/>
          <w:sz w:val="18"/>
          <w:szCs w:val="18"/>
          <w:rtl/>
        </w:rPr>
        <w:t>"</w:t>
      </w:r>
      <w:r w:rsidRPr="00CD16BE">
        <w:rPr>
          <w:rFonts w:cs="Arial" w:hint="cs"/>
          <w:sz w:val="18"/>
          <w:szCs w:val="18"/>
          <w:rtl/>
        </w:rPr>
        <w:t>ו</w:t>
      </w:r>
      <w:r w:rsidRPr="00CD16BE">
        <w:rPr>
          <w:rFonts w:cs="Arial"/>
          <w:sz w:val="18"/>
          <w:szCs w:val="18"/>
          <w:rtl/>
        </w:rPr>
        <w:t xml:space="preserve"> </w:t>
      </w:r>
      <w:r w:rsidRPr="00CD16BE">
        <w:rPr>
          <w:rFonts w:cs="Arial" w:hint="cs"/>
          <w:sz w:val="18"/>
          <w:szCs w:val="18"/>
          <w:rtl/>
        </w:rPr>
        <w:t>באייר</w:t>
      </w:r>
      <w:r w:rsidRPr="00CD16BE">
        <w:rPr>
          <w:rFonts w:cs="Arial"/>
          <w:sz w:val="18"/>
          <w:szCs w:val="18"/>
          <w:rtl/>
        </w:rPr>
        <w:t xml:space="preserve">, </w:t>
      </w:r>
      <w:r w:rsidRPr="00CD16BE">
        <w:rPr>
          <w:rFonts w:cs="Arial" w:hint="cs"/>
          <w:sz w:val="18"/>
          <w:szCs w:val="18"/>
          <w:rtl/>
        </w:rPr>
        <w:t>אינה</w:t>
      </w:r>
      <w:r w:rsidRPr="00CD16BE">
        <w:rPr>
          <w:rFonts w:cs="Arial"/>
          <w:sz w:val="18"/>
          <w:szCs w:val="18"/>
          <w:rtl/>
        </w:rPr>
        <w:t xml:space="preserve"> </w:t>
      </w:r>
      <w:r w:rsidRPr="00CD16BE">
        <w:rPr>
          <w:rFonts w:cs="Arial" w:hint="cs"/>
          <w:sz w:val="18"/>
          <w:szCs w:val="18"/>
          <w:rtl/>
        </w:rPr>
        <w:t>חוששת</w:t>
      </w:r>
      <w:r w:rsidRPr="00CD16BE">
        <w:rPr>
          <w:rFonts w:cs="Arial"/>
          <w:sz w:val="18"/>
          <w:szCs w:val="18"/>
          <w:rtl/>
        </w:rPr>
        <w:t xml:space="preserve"> </w:t>
      </w:r>
      <w:r w:rsidRPr="00CD16BE">
        <w:rPr>
          <w:rFonts w:cs="Arial" w:hint="cs"/>
          <w:sz w:val="18"/>
          <w:szCs w:val="18"/>
          <w:rtl/>
        </w:rPr>
        <w:t>לט</w:t>
      </w:r>
      <w:r w:rsidRPr="00CD16BE">
        <w:rPr>
          <w:rFonts w:cs="Arial"/>
          <w:sz w:val="18"/>
          <w:szCs w:val="18"/>
          <w:rtl/>
        </w:rPr>
        <w:t>"</w:t>
      </w:r>
      <w:r w:rsidRPr="00CD16BE">
        <w:rPr>
          <w:rFonts w:cs="Arial" w:hint="cs"/>
          <w:sz w:val="18"/>
          <w:szCs w:val="18"/>
          <w:rtl/>
        </w:rPr>
        <w:t>ז</w:t>
      </w:r>
      <w:r w:rsidRPr="00CD16BE">
        <w:rPr>
          <w:rFonts w:cs="Arial"/>
          <w:sz w:val="18"/>
          <w:szCs w:val="18"/>
          <w:rtl/>
        </w:rPr>
        <w:t xml:space="preserve"> </w:t>
      </w:r>
      <w:r w:rsidRPr="00CD16BE">
        <w:rPr>
          <w:rFonts w:cs="Arial" w:hint="cs"/>
          <w:sz w:val="18"/>
          <w:szCs w:val="18"/>
          <w:rtl/>
        </w:rPr>
        <w:t>בו</w:t>
      </w:r>
      <w:r w:rsidRPr="00CD16BE">
        <w:rPr>
          <w:rFonts w:cs="Arial"/>
          <w:sz w:val="18"/>
          <w:szCs w:val="18"/>
          <w:rtl/>
        </w:rPr>
        <w:t xml:space="preserve">. </w:t>
      </w:r>
      <w:r w:rsidRPr="00CD16BE">
        <w:rPr>
          <w:rFonts w:cs="Arial" w:hint="cs"/>
          <w:sz w:val="18"/>
          <w:szCs w:val="18"/>
          <w:rtl/>
        </w:rPr>
        <w:t>ראתה</w:t>
      </w:r>
      <w:r w:rsidRPr="00CD16BE">
        <w:rPr>
          <w:rFonts w:cs="Arial"/>
          <w:sz w:val="18"/>
          <w:szCs w:val="18"/>
          <w:rtl/>
        </w:rPr>
        <w:t xml:space="preserve"> </w:t>
      </w:r>
      <w:r w:rsidRPr="00CD16BE">
        <w:rPr>
          <w:rFonts w:cs="Arial" w:hint="cs"/>
          <w:sz w:val="18"/>
          <w:szCs w:val="18"/>
          <w:rtl/>
        </w:rPr>
        <w:t>ט</w:t>
      </w:r>
      <w:r w:rsidRPr="00CD16BE">
        <w:rPr>
          <w:rFonts w:cs="Arial"/>
          <w:sz w:val="18"/>
          <w:szCs w:val="18"/>
          <w:rtl/>
        </w:rPr>
        <w:t>"</w:t>
      </w:r>
      <w:r w:rsidRPr="00CD16BE">
        <w:rPr>
          <w:rFonts w:cs="Arial" w:hint="cs"/>
          <w:sz w:val="18"/>
          <w:szCs w:val="18"/>
          <w:rtl/>
        </w:rPr>
        <w:t>ז</w:t>
      </w:r>
      <w:r w:rsidRPr="00CD16BE">
        <w:rPr>
          <w:rFonts w:cs="Arial"/>
          <w:sz w:val="18"/>
          <w:szCs w:val="18"/>
          <w:rtl/>
        </w:rPr>
        <w:t xml:space="preserve"> </w:t>
      </w:r>
      <w:r w:rsidRPr="00CD16BE">
        <w:rPr>
          <w:rFonts w:cs="Arial" w:hint="cs"/>
          <w:sz w:val="18"/>
          <w:szCs w:val="18"/>
          <w:rtl/>
        </w:rPr>
        <w:t>בו</w:t>
      </w:r>
      <w:r w:rsidRPr="00CD16BE">
        <w:rPr>
          <w:rFonts w:cs="Arial"/>
          <w:sz w:val="18"/>
          <w:szCs w:val="18"/>
          <w:rtl/>
        </w:rPr>
        <w:t xml:space="preserve">, </w:t>
      </w:r>
      <w:r w:rsidRPr="00CD16BE">
        <w:rPr>
          <w:rFonts w:cs="Arial" w:hint="cs"/>
          <w:sz w:val="18"/>
          <w:szCs w:val="18"/>
          <w:rtl/>
        </w:rPr>
        <w:t>חוששת</w:t>
      </w:r>
      <w:r w:rsidRPr="00CD16BE">
        <w:rPr>
          <w:rFonts w:cs="Arial"/>
          <w:sz w:val="18"/>
          <w:szCs w:val="18"/>
          <w:rtl/>
        </w:rPr>
        <w:t xml:space="preserve"> </w:t>
      </w:r>
      <w:r w:rsidRPr="00CD16BE">
        <w:rPr>
          <w:rFonts w:cs="Arial" w:hint="cs"/>
          <w:sz w:val="18"/>
          <w:szCs w:val="18"/>
          <w:rtl/>
        </w:rPr>
        <w:t>לט</w:t>
      </w:r>
      <w:r w:rsidRPr="00CD16BE">
        <w:rPr>
          <w:rFonts w:cs="Arial"/>
          <w:sz w:val="18"/>
          <w:szCs w:val="18"/>
          <w:rtl/>
        </w:rPr>
        <w:t>"</w:t>
      </w:r>
      <w:r w:rsidRPr="00CD16BE">
        <w:rPr>
          <w:rFonts w:cs="Arial" w:hint="cs"/>
          <w:sz w:val="18"/>
          <w:szCs w:val="18"/>
          <w:rtl/>
        </w:rPr>
        <w:t>ז</w:t>
      </w:r>
      <w:r w:rsidRPr="00CD16BE">
        <w:rPr>
          <w:rFonts w:cs="Arial"/>
          <w:sz w:val="18"/>
          <w:szCs w:val="18"/>
          <w:rtl/>
        </w:rPr>
        <w:t xml:space="preserve"> </w:t>
      </w:r>
      <w:r w:rsidRPr="00CD16BE">
        <w:rPr>
          <w:rFonts w:cs="Arial" w:hint="cs"/>
          <w:sz w:val="18"/>
          <w:szCs w:val="18"/>
          <w:rtl/>
        </w:rPr>
        <w:t>בסיון</w:t>
      </w:r>
      <w:r w:rsidRPr="00CD16BE">
        <w:rPr>
          <w:rFonts w:cs="Arial"/>
          <w:sz w:val="18"/>
          <w:szCs w:val="18"/>
          <w:rtl/>
        </w:rPr>
        <w:t xml:space="preserve"> </w:t>
      </w:r>
      <w:r w:rsidRPr="00CD16BE">
        <w:rPr>
          <w:rFonts w:cs="Arial" w:hint="cs"/>
          <w:sz w:val="18"/>
          <w:szCs w:val="18"/>
          <w:rtl/>
        </w:rPr>
        <w:t>ואינה</w:t>
      </w:r>
      <w:r w:rsidRPr="00CD16BE">
        <w:rPr>
          <w:rFonts w:cs="Arial"/>
          <w:sz w:val="18"/>
          <w:szCs w:val="18"/>
          <w:rtl/>
        </w:rPr>
        <w:t xml:space="preserve"> </w:t>
      </w:r>
      <w:r w:rsidRPr="00CD16BE">
        <w:rPr>
          <w:rFonts w:cs="Arial" w:hint="cs"/>
          <w:sz w:val="18"/>
          <w:szCs w:val="18"/>
          <w:rtl/>
        </w:rPr>
        <w:t>חוששת</w:t>
      </w:r>
      <w:r w:rsidRPr="00CD16BE">
        <w:rPr>
          <w:rFonts w:cs="Arial"/>
          <w:sz w:val="18"/>
          <w:szCs w:val="18"/>
          <w:rtl/>
        </w:rPr>
        <w:t xml:space="preserve"> </w:t>
      </w:r>
      <w:r w:rsidRPr="00CD16BE">
        <w:rPr>
          <w:rFonts w:cs="Arial" w:hint="cs"/>
          <w:sz w:val="18"/>
          <w:szCs w:val="18"/>
          <w:rtl/>
        </w:rPr>
        <w:t>לשבעה</w:t>
      </w:r>
      <w:r w:rsidRPr="00CD16BE">
        <w:rPr>
          <w:rFonts w:cs="Arial"/>
          <w:sz w:val="18"/>
          <w:szCs w:val="18"/>
          <w:rtl/>
        </w:rPr>
        <w:t xml:space="preserve"> </w:t>
      </w:r>
      <w:r w:rsidRPr="00CD16BE">
        <w:rPr>
          <w:rFonts w:cs="Arial" w:hint="cs"/>
          <w:sz w:val="18"/>
          <w:szCs w:val="18"/>
          <w:rtl/>
        </w:rPr>
        <w:t>עשר</w:t>
      </w:r>
      <w:r w:rsidRPr="00CD16BE">
        <w:rPr>
          <w:rFonts w:cs="Arial"/>
          <w:sz w:val="18"/>
          <w:szCs w:val="18"/>
          <w:rtl/>
        </w:rPr>
        <w:t xml:space="preserve"> </w:t>
      </w:r>
      <w:r w:rsidRPr="00CD16BE">
        <w:rPr>
          <w:rFonts w:cs="Arial" w:hint="cs"/>
          <w:sz w:val="18"/>
          <w:szCs w:val="18"/>
          <w:rtl/>
        </w:rPr>
        <w:t>בו</w:t>
      </w:r>
      <w:r>
        <w:rPr>
          <w:rStyle w:val="a5"/>
          <w:rFonts w:cs="Arial"/>
          <w:sz w:val="18"/>
          <w:szCs w:val="18"/>
          <w:rtl/>
        </w:rPr>
        <w:footnoteReference w:id="202"/>
      </w:r>
      <w:r w:rsidRPr="00CD16BE">
        <w:rPr>
          <w:rFonts w:cs="Arial"/>
          <w:sz w:val="18"/>
          <w:szCs w:val="18"/>
          <w:rtl/>
        </w:rPr>
        <w:t xml:space="preserve">. </w:t>
      </w:r>
      <w:r w:rsidRPr="00CD16BE">
        <w:rPr>
          <w:rFonts w:cs="Arial" w:hint="cs"/>
          <w:sz w:val="18"/>
          <w:szCs w:val="18"/>
          <w:rtl/>
        </w:rPr>
        <w:t>ראתה</w:t>
      </w:r>
      <w:r w:rsidRPr="00CD16BE">
        <w:rPr>
          <w:rFonts w:cs="Arial"/>
          <w:sz w:val="18"/>
          <w:szCs w:val="18"/>
          <w:rtl/>
        </w:rPr>
        <w:t xml:space="preserve"> </w:t>
      </w:r>
      <w:r w:rsidRPr="00CD16BE">
        <w:rPr>
          <w:rFonts w:cs="Arial" w:hint="cs"/>
          <w:sz w:val="18"/>
          <w:szCs w:val="18"/>
          <w:rtl/>
        </w:rPr>
        <w:t>י</w:t>
      </w:r>
      <w:r w:rsidRPr="00CD16BE">
        <w:rPr>
          <w:rFonts w:cs="Arial"/>
          <w:sz w:val="18"/>
          <w:szCs w:val="18"/>
          <w:rtl/>
        </w:rPr>
        <w:t>"</w:t>
      </w:r>
      <w:r w:rsidRPr="00CD16BE">
        <w:rPr>
          <w:rFonts w:cs="Arial" w:hint="cs"/>
          <w:sz w:val="18"/>
          <w:szCs w:val="18"/>
          <w:rtl/>
        </w:rPr>
        <w:t>ז</w:t>
      </w:r>
      <w:r w:rsidRPr="00CD16BE">
        <w:rPr>
          <w:rFonts w:cs="Arial"/>
          <w:sz w:val="18"/>
          <w:szCs w:val="18"/>
          <w:rtl/>
        </w:rPr>
        <w:t xml:space="preserve"> </w:t>
      </w:r>
      <w:r w:rsidRPr="00CD16BE">
        <w:rPr>
          <w:rFonts w:cs="Arial" w:hint="cs"/>
          <w:sz w:val="18"/>
          <w:szCs w:val="18"/>
          <w:rtl/>
        </w:rPr>
        <w:t>בו</w:t>
      </w:r>
      <w:r w:rsidRPr="00CD16BE">
        <w:rPr>
          <w:rFonts w:cs="Arial"/>
          <w:sz w:val="18"/>
          <w:szCs w:val="18"/>
          <w:rtl/>
        </w:rPr>
        <w:t xml:space="preserve">, </w:t>
      </w:r>
      <w:r w:rsidRPr="00CD16BE">
        <w:rPr>
          <w:rFonts w:cs="Arial" w:hint="cs"/>
          <w:sz w:val="18"/>
          <w:szCs w:val="18"/>
          <w:rtl/>
        </w:rPr>
        <w:t>חוששת</w:t>
      </w:r>
      <w:r w:rsidRPr="00CD16BE">
        <w:rPr>
          <w:rFonts w:cs="Arial"/>
          <w:sz w:val="18"/>
          <w:szCs w:val="18"/>
          <w:rtl/>
        </w:rPr>
        <w:t xml:space="preserve"> </w:t>
      </w:r>
      <w:r w:rsidRPr="00CD16BE">
        <w:rPr>
          <w:rFonts w:cs="Arial" w:hint="cs"/>
          <w:sz w:val="18"/>
          <w:szCs w:val="18"/>
          <w:rtl/>
        </w:rPr>
        <w:t>לי</w:t>
      </w:r>
      <w:r w:rsidRPr="00CD16BE">
        <w:rPr>
          <w:rFonts w:cs="Arial"/>
          <w:sz w:val="18"/>
          <w:szCs w:val="18"/>
          <w:rtl/>
        </w:rPr>
        <w:t>"</w:t>
      </w:r>
      <w:r w:rsidRPr="00CD16BE">
        <w:rPr>
          <w:rFonts w:cs="Arial" w:hint="cs"/>
          <w:sz w:val="18"/>
          <w:szCs w:val="18"/>
          <w:rtl/>
        </w:rPr>
        <w:t>ז</w:t>
      </w:r>
      <w:r w:rsidRPr="00CD16BE">
        <w:rPr>
          <w:rFonts w:cs="Arial"/>
          <w:sz w:val="18"/>
          <w:szCs w:val="18"/>
          <w:rtl/>
        </w:rPr>
        <w:t xml:space="preserve"> </w:t>
      </w:r>
      <w:r w:rsidRPr="00CD16BE">
        <w:rPr>
          <w:rFonts w:cs="Arial" w:hint="cs"/>
          <w:sz w:val="18"/>
          <w:szCs w:val="18"/>
          <w:rtl/>
        </w:rPr>
        <w:t>בתמוז</w:t>
      </w:r>
      <w:r w:rsidRPr="00CD16BE">
        <w:rPr>
          <w:rFonts w:cs="Arial"/>
          <w:sz w:val="18"/>
          <w:szCs w:val="18"/>
          <w:rtl/>
        </w:rPr>
        <w:t xml:space="preserve"> </w:t>
      </w:r>
      <w:r w:rsidRPr="00CD16BE">
        <w:rPr>
          <w:rFonts w:cs="Arial" w:hint="cs"/>
          <w:sz w:val="18"/>
          <w:szCs w:val="18"/>
          <w:rtl/>
        </w:rPr>
        <w:t>ואינה</w:t>
      </w:r>
      <w:r w:rsidRPr="00CD16BE">
        <w:rPr>
          <w:rFonts w:cs="Arial"/>
          <w:sz w:val="18"/>
          <w:szCs w:val="18"/>
          <w:rtl/>
        </w:rPr>
        <w:t xml:space="preserve"> </w:t>
      </w:r>
      <w:r w:rsidRPr="00CD16BE">
        <w:rPr>
          <w:rFonts w:cs="Arial" w:hint="cs"/>
          <w:sz w:val="18"/>
          <w:szCs w:val="18"/>
          <w:rtl/>
        </w:rPr>
        <w:t>חוששת</w:t>
      </w:r>
      <w:r w:rsidRPr="00CD16BE">
        <w:rPr>
          <w:rFonts w:cs="Arial"/>
          <w:sz w:val="18"/>
          <w:szCs w:val="18"/>
          <w:rtl/>
        </w:rPr>
        <w:t xml:space="preserve"> </w:t>
      </w:r>
      <w:r w:rsidRPr="00CD16BE">
        <w:rPr>
          <w:rFonts w:cs="Arial" w:hint="cs"/>
          <w:sz w:val="18"/>
          <w:szCs w:val="18"/>
          <w:rtl/>
        </w:rPr>
        <w:t>לי</w:t>
      </w:r>
      <w:r w:rsidRPr="00CD16BE">
        <w:rPr>
          <w:rFonts w:cs="Arial"/>
          <w:sz w:val="18"/>
          <w:szCs w:val="18"/>
          <w:rtl/>
        </w:rPr>
        <w:t>"</w:t>
      </w:r>
      <w:r w:rsidRPr="00CD16BE">
        <w:rPr>
          <w:rFonts w:cs="Arial" w:hint="cs"/>
          <w:sz w:val="18"/>
          <w:szCs w:val="18"/>
          <w:rtl/>
        </w:rPr>
        <w:t>ח</w:t>
      </w:r>
      <w:r w:rsidRPr="00CD16BE">
        <w:rPr>
          <w:rFonts w:cs="Arial"/>
          <w:sz w:val="18"/>
          <w:szCs w:val="18"/>
          <w:rtl/>
        </w:rPr>
        <w:t xml:space="preserve"> </w:t>
      </w:r>
      <w:r w:rsidRPr="00CD16BE">
        <w:rPr>
          <w:rFonts w:cs="Arial" w:hint="cs"/>
          <w:sz w:val="18"/>
          <w:szCs w:val="18"/>
          <w:rtl/>
        </w:rPr>
        <w:t>בו</w:t>
      </w:r>
      <w:r w:rsidRPr="00CD16BE">
        <w:rPr>
          <w:rFonts w:cs="Arial"/>
          <w:sz w:val="18"/>
          <w:szCs w:val="18"/>
          <w:rtl/>
        </w:rPr>
        <w:t xml:space="preserve">. </w:t>
      </w:r>
      <w:r w:rsidRPr="00CD16BE">
        <w:rPr>
          <w:rFonts w:cs="Arial" w:hint="cs"/>
          <w:sz w:val="18"/>
          <w:szCs w:val="18"/>
          <w:rtl/>
        </w:rPr>
        <w:t>ראתה</w:t>
      </w:r>
      <w:r w:rsidRPr="00CD16BE">
        <w:rPr>
          <w:rFonts w:cs="Arial"/>
          <w:sz w:val="18"/>
          <w:szCs w:val="18"/>
          <w:rtl/>
        </w:rPr>
        <w:t xml:space="preserve"> </w:t>
      </w:r>
      <w:r w:rsidRPr="00CD16BE">
        <w:rPr>
          <w:rFonts w:cs="Arial" w:hint="cs"/>
          <w:sz w:val="18"/>
          <w:szCs w:val="18"/>
          <w:rtl/>
        </w:rPr>
        <w:t>י</w:t>
      </w:r>
      <w:r w:rsidRPr="00CD16BE">
        <w:rPr>
          <w:rFonts w:cs="Arial"/>
          <w:sz w:val="18"/>
          <w:szCs w:val="18"/>
          <w:rtl/>
        </w:rPr>
        <w:t>"</w:t>
      </w:r>
      <w:r w:rsidRPr="00CD16BE">
        <w:rPr>
          <w:rFonts w:cs="Arial" w:hint="cs"/>
          <w:sz w:val="18"/>
          <w:szCs w:val="18"/>
          <w:rtl/>
        </w:rPr>
        <w:t>ח</w:t>
      </w:r>
      <w:r w:rsidRPr="00CD16BE">
        <w:rPr>
          <w:rFonts w:cs="Arial"/>
          <w:sz w:val="18"/>
          <w:szCs w:val="18"/>
          <w:rtl/>
        </w:rPr>
        <w:t xml:space="preserve"> </w:t>
      </w:r>
      <w:r w:rsidRPr="00CD16BE">
        <w:rPr>
          <w:rFonts w:cs="Arial" w:hint="cs"/>
          <w:sz w:val="18"/>
          <w:szCs w:val="18"/>
          <w:rtl/>
        </w:rPr>
        <w:t>בתמוז</w:t>
      </w:r>
      <w:r w:rsidRPr="00CD16BE">
        <w:rPr>
          <w:rFonts w:cs="Arial"/>
          <w:sz w:val="18"/>
          <w:szCs w:val="18"/>
          <w:rtl/>
        </w:rPr>
        <w:t xml:space="preserve">, </w:t>
      </w:r>
      <w:r w:rsidRPr="00CD16BE">
        <w:rPr>
          <w:rFonts w:cs="Arial" w:hint="cs"/>
          <w:sz w:val="18"/>
          <w:szCs w:val="18"/>
          <w:rtl/>
        </w:rPr>
        <w:t>קבעה</w:t>
      </w:r>
      <w:r w:rsidRPr="00CD16BE">
        <w:rPr>
          <w:rFonts w:cs="Arial"/>
          <w:sz w:val="18"/>
          <w:szCs w:val="18"/>
          <w:rtl/>
        </w:rPr>
        <w:t xml:space="preserve"> </w:t>
      </w:r>
      <w:r w:rsidRPr="00CD16BE">
        <w:rPr>
          <w:rFonts w:cs="Arial" w:hint="cs"/>
          <w:sz w:val="18"/>
          <w:szCs w:val="18"/>
          <w:rtl/>
        </w:rPr>
        <w:t>לה</w:t>
      </w:r>
      <w:r w:rsidRPr="00CD16BE">
        <w:rPr>
          <w:rFonts w:cs="Arial"/>
          <w:sz w:val="18"/>
          <w:szCs w:val="18"/>
          <w:rtl/>
        </w:rPr>
        <w:t xml:space="preserve"> </w:t>
      </w:r>
      <w:r w:rsidRPr="00CD16BE">
        <w:rPr>
          <w:rFonts w:cs="Arial" w:hint="cs"/>
          <w:sz w:val="18"/>
          <w:szCs w:val="18"/>
          <w:rtl/>
        </w:rPr>
        <w:t>וסת</w:t>
      </w:r>
      <w:r w:rsidRPr="00CD16BE">
        <w:rPr>
          <w:rFonts w:cs="Arial"/>
          <w:sz w:val="18"/>
          <w:szCs w:val="18"/>
          <w:rtl/>
        </w:rPr>
        <w:t xml:space="preserve"> </w:t>
      </w:r>
      <w:r w:rsidRPr="00CD16BE">
        <w:rPr>
          <w:rFonts w:cs="Arial" w:hint="cs"/>
          <w:sz w:val="18"/>
          <w:szCs w:val="18"/>
          <w:rtl/>
        </w:rPr>
        <w:t>דילוגין</w:t>
      </w:r>
      <w:r w:rsidRPr="00CD16BE">
        <w:rPr>
          <w:rFonts w:cs="Arial"/>
          <w:sz w:val="18"/>
          <w:szCs w:val="18"/>
          <w:rtl/>
        </w:rPr>
        <w:t xml:space="preserve"> </w:t>
      </w:r>
      <w:r w:rsidRPr="00CD16BE">
        <w:rPr>
          <w:rFonts w:cs="Arial" w:hint="cs"/>
          <w:sz w:val="18"/>
          <w:szCs w:val="18"/>
          <w:rtl/>
        </w:rPr>
        <w:t>לימי</w:t>
      </w:r>
      <w:r w:rsidRPr="00CD16BE">
        <w:rPr>
          <w:rFonts w:cs="Arial"/>
          <w:sz w:val="18"/>
          <w:szCs w:val="18"/>
          <w:rtl/>
        </w:rPr>
        <w:t xml:space="preserve"> </w:t>
      </w:r>
      <w:r w:rsidRPr="00CD16BE">
        <w:rPr>
          <w:rFonts w:cs="Arial" w:hint="cs"/>
          <w:sz w:val="18"/>
          <w:szCs w:val="18"/>
          <w:rtl/>
        </w:rPr>
        <w:t>החודש</w:t>
      </w:r>
      <w:r w:rsidRPr="00CD16BE">
        <w:rPr>
          <w:rFonts w:cs="Arial"/>
          <w:sz w:val="18"/>
          <w:szCs w:val="18"/>
          <w:rtl/>
        </w:rPr>
        <w:t xml:space="preserve"> </w:t>
      </w:r>
      <w:r w:rsidRPr="00CD16BE">
        <w:rPr>
          <w:rFonts w:cs="Arial" w:hint="cs"/>
          <w:sz w:val="18"/>
          <w:szCs w:val="18"/>
          <w:rtl/>
        </w:rPr>
        <w:t>וחוששת</w:t>
      </w:r>
      <w:r w:rsidRPr="00CD16BE">
        <w:rPr>
          <w:rFonts w:cs="Arial"/>
          <w:sz w:val="18"/>
          <w:szCs w:val="18"/>
          <w:rtl/>
        </w:rPr>
        <w:t xml:space="preserve"> </w:t>
      </w:r>
      <w:r w:rsidRPr="00CD16BE">
        <w:rPr>
          <w:rFonts w:cs="Arial" w:hint="cs"/>
          <w:sz w:val="18"/>
          <w:szCs w:val="18"/>
          <w:rtl/>
        </w:rPr>
        <w:t>לי</w:t>
      </w:r>
      <w:r w:rsidRPr="00CD16BE">
        <w:rPr>
          <w:rFonts w:cs="Arial"/>
          <w:sz w:val="18"/>
          <w:szCs w:val="18"/>
          <w:rtl/>
        </w:rPr>
        <w:t>"</w:t>
      </w:r>
      <w:r w:rsidRPr="00CD16BE">
        <w:rPr>
          <w:rFonts w:cs="Arial" w:hint="cs"/>
          <w:sz w:val="18"/>
          <w:szCs w:val="18"/>
          <w:rtl/>
        </w:rPr>
        <w:t>ט</w:t>
      </w:r>
      <w:r w:rsidRPr="00CD16BE">
        <w:rPr>
          <w:rFonts w:cs="Arial"/>
          <w:sz w:val="18"/>
          <w:szCs w:val="18"/>
          <w:rtl/>
        </w:rPr>
        <w:t xml:space="preserve"> </w:t>
      </w:r>
      <w:r w:rsidRPr="00CD16BE">
        <w:rPr>
          <w:rFonts w:cs="Arial" w:hint="cs"/>
          <w:sz w:val="18"/>
          <w:szCs w:val="18"/>
          <w:rtl/>
        </w:rPr>
        <w:t>באב</w:t>
      </w:r>
      <w:r w:rsidRPr="00CD16BE">
        <w:rPr>
          <w:rFonts w:cs="Arial"/>
          <w:sz w:val="18"/>
          <w:szCs w:val="18"/>
          <w:rtl/>
        </w:rPr>
        <w:t xml:space="preserve">. </w:t>
      </w:r>
      <w:r w:rsidRPr="00CD16BE">
        <w:rPr>
          <w:rFonts w:cs="Arial" w:hint="cs"/>
          <w:sz w:val="18"/>
          <w:szCs w:val="18"/>
          <w:rtl/>
        </w:rPr>
        <w:lastRenderedPageBreak/>
        <w:t>וכן</w:t>
      </w:r>
      <w:r w:rsidRPr="00CD16BE">
        <w:rPr>
          <w:rFonts w:cs="Arial"/>
          <w:sz w:val="18"/>
          <w:szCs w:val="18"/>
          <w:rtl/>
        </w:rPr>
        <w:t xml:space="preserve"> </w:t>
      </w:r>
      <w:r w:rsidRPr="00CD16BE">
        <w:rPr>
          <w:rFonts w:cs="Arial" w:hint="cs"/>
          <w:sz w:val="18"/>
          <w:szCs w:val="18"/>
          <w:rtl/>
        </w:rPr>
        <w:t>בדרך</w:t>
      </w:r>
      <w:r w:rsidRPr="00CD16BE">
        <w:rPr>
          <w:rFonts w:cs="Arial"/>
          <w:sz w:val="18"/>
          <w:szCs w:val="18"/>
          <w:rtl/>
        </w:rPr>
        <w:t xml:space="preserve"> </w:t>
      </w:r>
      <w:r w:rsidRPr="00CD16BE">
        <w:rPr>
          <w:rFonts w:cs="Arial" w:hint="cs"/>
          <w:sz w:val="18"/>
          <w:szCs w:val="18"/>
          <w:rtl/>
        </w:rPr>
        <w:t>זה</w:t>
      </w:r>
      <w:r w:rsidRPr="00CD16BE">
        <w:rPr>
          <w:rFonts w:cs="Arial"/>
          <w:sz w:val="18"/>
          <w:szCs w:val="18"/>
          <w:rtl/>
        </w:rPr>
        <w:t xml:space="preserve"> </w:t>
      </w:r>
      <w:r w:rsidRPr="00CD16BE">
        <w:rPr>
          <w:rFonts w:cs="Arial" w:hint="cs"/>
          <w:sz w:val="18"/>
          <w:szCs w:val="18"/>
          <w:rtl/>
        </w:rPr>
        <w:t>בהפלגה</w:t>
      </w:r>
      <w:r w:rsidRPr="00CD16BE">
        <w:rPr>
          <w:rFonts w:cs="Arial"/>
          <w:sz w:val="18"/>
          <w:szCs w:val="18"/>
          <w:rtl/>
        </w:rPr>
        <w:t xml:space="preserve"> </w:t>
      </w:r>
      <w:r w:rsidRPr="00CD16BE">
        <w:rPr>
          <w:rFonts w:cs="Arial" w:hint="cs"/>
          <w:sz w:val="18"/>
          <w:szCs w:val="18"/>
          <w:rtl/>
        </w:rPr>
        <w:t>ודילוגין</w:t>
      </w:r>
      <w:r w:rsidRPr="00CD16BE">
        <w:rPr>
          <w:rFonts w:cs="Arial"/>
          <w:sz w:val="18"/>
          <w:szCs w:val="18"/>
          <w:rtl/>
        </w:rPr>
        <w:t xml:space="preserve">, </w:t>
      </w:r>
      <w:r w:rsidRPr="00CD16BE">
        <w:rPr>
          <w:rFonts w:cs="Arial" w:hint="cs"/>
          <w:sz w:val="18"/>
          <w:szCs w:val="18"/>
          <w:rtl/>
        </w:rPr>
        <w:t>כי</w:t>
      </w:r>
      <w:r w:rsidRPr="00CD16BE">
        <w:rPr>
          <w:rFonts w:cs="Arial"/>
          <w:sz w:val="18"/>
          <w:szCs w:val="18"/>
          <w:rtl/>
        </w:rPr>
        <w:t xml:space="preserve"> </w:t>
      </w:r>
      <w:r w:rsidRPr="00CD16BE">
        <w:rPr>
          <w:rFonts w:cs="Arial" w:hint="cs"/>
          <w:sz w:val="18"/>
          <w:szCs w:val="18"/>
          <w:rtl/>
        </w:rPr>
        <w:t>אין</w:t>
      </w:r>
      <w:r w:rsidRPr="00CD16BE">
        <w:rPr>
          <w:rFonts w:cs="Arial"/>
          <w:sz w:val="18"/>
          <w:szCs w:val="18"/>
          <w:rtl/>
        </w:rPr>
        <w:t xml:space="preserve"> </w:t>
      </w:r>
      <w:r w:rsidRPr="00CD16BE">
        <w:rPr>
          <w:rFonts w:cs="Arial" w:hint="cs"/>
          <w:sz w:val="18"/>
          <w:szCs w:val="18"/>
          <w:rtl/>
        </w:rPr>
        <w:t>חלוק</w:t>
      </w:r>
      <w:r w:rsidRPr="00CD16BE">
        <w:rPr>
          <w:rFonts w:cs="Arial"/>
          <w:sz w:val="18"/>
          <w:szCs w:val="18"/>
          <w:rtl/>
        </w:rPr>
        <w:t xml:space="preserve"> </w:t>
      </w:r>
      <w:r w:rsidRPr="00CD16BE">
        <w:rPr>
          <w:rFonts w:cs="Arial" w:hint="cs"/>
          <w:sz w:val="18"/>
          <w:szCs w:val="18"/>
          <w:rtl/>
        </w:rPr>
        <w:t>ביניה</w:t>
      </w:r>
      <w:r>
        <w:rPr>
          <w:rFonts w:cs="Arial" w:hint="cs"/>
          <w:sz w:val="18"/>
          <w:szCs w:val="18"/>
          <w:rtl/>
        </w:rPr>
        <w:t>ם</w:t>
      </w:r>
      <w:r w:rsidRPr="00CD16BE">
        <w:rPr>
          <w:rFonts w:cs="Arial"/>
          <w:sz w:val="18"/>
          <w:szCs w:val="18"/>
          <w:rtl/>
        </w:rPr>
        <w:t xml:space="preserve">. </w:t>
      </w:r>
      <w:r w:rsidRPr="00CD16BE">
        <w:rPr>
          <w:rFonts w:cs="Arial" w:hint="cs"/>
          <w:sz w:val="18"/>
          <w:szCs w:val="18"/>
          <w:rtl/>
        </w:rPr>
        <w:t>רק</w:t>
      </w:r>
      <w:r w:rsidRPr="00CD16BE">
        <w:rPr>
          <w:rFonts w:cs="Arial"/>
          <w:sz w:val="18"/>
          <w:szCs w:val="18"/>
          <w:rtl/>
        </w:rPr>
        <w:t xml:space="preserve"> </w:t>
      </w:r>
      <w:r w:rsidRPr="00CD16BE">
        <w:rPr>
          <w:rFonts w:cs="Arial" w:hint="cs"/>
          <w:sz w:val="18"/>
          <w:szCs w:val="18"/>
          <w:rtl/>
        </w:rPr>
        <w:t>י</w:t>
      </w:r>
      <w:r>
        <w:rPr>
          <w:rFonts w:cs="Arial" w:hint="cs"/>
          <w:sz w:val="18"/>
          <w:szCs w:val="18"/>
          <w:rtl/>
        </w:rPr>
        <w:t>ש אומרים</w:t>
      </w:r>
      <w:r w:rsidRPr="00CD16BE">
        <w:rPr>
          <w:rFonts w:cs="Arial"/>
          <w:sz w:val="18"/>
          <w:szCs w:val="18"/>
          <w:rtl/>
        </w:rPr>
        <w:t xml:space="preserve"> </w:t>
      </w:r>
      <w:r w:rsidRPr="00CD16BE">
        <w:rPr>
          <w:rFonts w:cs="Arial" w:hint="cs"/>
          <w:sz w:val="18"/>
          <w:szCs w:val="18"/>
          <w:rtl/>
        </w:rPr>
        <w:t>כי</w:t>
      </w:r>
      <w:r w:rsidRPr="00CD16BE">
        <w:rPr>
          <w:rFonts w:cs="Arial"/>
          <w:sz w:val="18"/>
          <w:szCs w:val="18"/>
          <w:rtl/>
        </w:rPr>
        <w:t xml:space="preserve"> </w:t>
      </w:r>
      <w:r w:rsidRPr="00CD16BE">
        <w:rPr>
          <w:rFonts w:cs="Arial" w:hint="cs"/>
          <w:sz w:val="18"/>
          <w:szCs w:val="18"/>
          <w:rtl/>
        </w:rPr>
        <w:t>בדילוג</w:t>
      </w:r>
      <w:r w:rsidRPr="00CD16BE">
        <w:rPr>
          <w:rFonts w:cs="Arial"/>
          <w:sz w:val="18"/>
          <w:szCs w:val="18"/>
          <w:rtl/>
        </w:rPr>
        <w:t xml:space="preserve"> </w:t>
      </w:r>
      <w:r w:rsidRPr="00CD16BE">
        <w:rPr>
          <w:rFonts w:cs="Arial" w:hint="cs"/>
          <w:sz w:val="18"/>
          <w:szCs w:val="18"/>
          <w:rtl/>
        </w:rPr>
        <w:t>ח</w:t>
      </w:r>
      <w:r>
        <w:rPr>
          <w:rFonts w:cs="Arial" w:hint="cs"/>
          <w:sz w:val="18"/>
          <w:szCs w:val="18"/>
          <w:rtl/>
        </w:rPr>
        <w:t>ו</w:t>
      </w:r>
      <w:r w:rsidRPr="00CD16BE">
        <w:rPr>
          <w:rFonts w:cs="Arial" w:hint="cs"/>
          <w:sz w:val="18"/>
          <w:szCs w:val="18"/>
          <w:rtl/>
        </w:rPr>
        <w:t>דש</w:t>
      </w:r>
      <w:r w:rsidRPr="00CD16BE">
        <w:rPr>
          <w:rFonts w:cs="Arial"/>
          <w:sz w:val="18"/>
          <w:szCs w:val="18"/>
          <w:rtl/>
        </w:rPr>
        <w:t xml:space="preserve">, </w:t>
      </w:r>
      <w:r w:rsidRPr="00CD16BE">
        <w:rPr>
          <w:rFonts w:cs="Arial" w:hint="cs"/>
          <w:sz w:val="18"/>
          <w:szCs w:val="18"/>
          <w:rtl/>
        </w:rPr>
        <w:t>הראייה</w:t>
      </w:r>
      <w:r w:rsidRPr="00CD16BE">
        <w:rPr>
          <w:rFonts w:cs="Arial"/>
          <w:sz w:val="18"/>
          <w:szCs w:val="18"/>
          <w:rtl/>
        </w:rPr>
        <w:t xml:space="preserve"> </w:t>
      </w:r>
      <w:r w:rsidRPr="00CD16BE">
        <w:rPr>
          <w:rFonts w:cs="Arial" w:hint="cs"/>
          <w:sz w:val="18"/>
          <w:szCs w:val="18"/>
          <w:rtl/>
        </w:rPr>
        <w:t>הראשונה</w:t>
      </w:r>
      <w:r w:rsidRPr="00CD16BE">
        <w:rPr>
          <w:rFonts w:cs="Arial"/>
          <w:sz w:val="18"/>
          <w:szCs w:val="18"/>
          <w:rtl/>
        </w:rPr>
        <w:t xml:space="preserve"> </w:t>
      </w:r>
      <w:r w:rsidRPr="00CD16BE">
        <w:rPr>
          <w:rFonts w:cs="Arial" w:hint="cs"/>
          <w:sz w:val="18"/>
          <w:szCs w:val="18"/>
          <w:rtl/>
        </w:rPr>
        <w:t>מן</w:t>
      </w:r>
      <w:r w:rsidRPr="00CD16BE">
        <w:rPr>
          <w:rFonts w:cs="Arial"/>
          <w:sz w:val="18"/>
          <w:szCs w:val="18"/>
          <w:rtl/>
        </w:rPr>
        <w:t xml:space="preserve"> </w:t>
      </w:r>
      <w:r w:rsidRPr="00CD16BE">
        <w:rPr>
          <w:rFonts w:cs="Arial" w:hint="cs"/>
          <w:sz w:val="18"/>
          <w:szCs w:val="18"/>
          <w:rtl/>
        </w:rPr>
        <w:t>המנ</w:t>
      </w:r>
      <w:r>
        <w:rPr>
          <w:rFonts w:cs="Arial" w:hint="cs"/>
          <w:sz w:val="18"/>
          <w:szCs w:val="18"/>
          <w:rtl/>
        </w:rPr>
        <w:t>י</w:t>
      </w:r>
      <w:r w:rsidRPr="00CD16BE">
        <w:rPr>
          <w:rFonts w:cs="Arial" w:hint="cs"/>
          <w:sz w:val="18"/>
          <w:szCs w:val="18"/>
          <w:rtl/>
        </w:rPr>
        <w:t>ין</w:t>
      </w:r>
      <w:r>
        <w:rPr>
          <w:rFonts w:cs="Arial"/>
          <w:sz w:val="18"/>
          <w:szCs w:val="18"/>
          <w:rtl/>
        </w:rPr>
        <w:t>,</w:t>
      </w:r>
      <w:r>
        <w:rPr>
          <w:rFonts w:cs="Arial" w:hint="cs"/>
          <w:sz w:val="18"/>
          <w:szCs w:val="18"/>
          <w:rtl/>
        </w:rPr>
        <w:t xml:space="preserve"> </w:t>
      </w:r>
      <w:r w:rsidRPr="00CD16BE">
        <w:rPr>
          <w:rFonts w:cs="Arial" w:hint="cs"/>
          <w:sz w:val="18"/>
          <w:szCs w:val="18"/>
          <w:rtl/>
        </w:rPr>
        <w:t>כמו</w:t>
      </w:r>
      <w:r w:rsidRPr="00CD16BE">
        <w:rPr>
          <w:rFonts w:cs="Arial"/>
          <w:sz w:val="18"/>
          <w:szCs w:val="18"/>
          <w:rtl/>
        </w:rPr>
        <w:t xml:space="preserve"> </w:t>
      </w:r>
      <w:r w:rsidRPr="00CD16BE">
        <w:rPr>
          <w:rFonts w:cs="Arial" w:hint="cs"/>
          <w:sz w:val="18"/>
          <w:szCs w:val="18"/>
          <w:rtl/>
        </w:rPr>
        <w:t>שנתבאר".</w:t>
      </w:r>
    </w:p>
    <w:p w:rsidR="00620060" w:rsidRDefault="00620060" w:rsidP="00620060">
      <w:pPr>
        <w:rPr>
          <w:sz w:val="20"/>
          <w:szCs w:val="20"/>
          <w:rtl/>
        </w:rPr>
      </w:pPr>
      <w:r>
        <w:rPr>
          <w:rFonts w:hint="cs"/>
          <w:sz w:val="20"/>
          <w:szCs w:val="20"/>
          <w:u w:val="single"/>
          <w:rtl/>
        </w:rPr>
        <w:t>ביאור דבריו</w:t>
      </w:r>
      <w:r>
        <w:rPr>
          <w:sz w:val="20"/>
          <w:szCs w:val="20"/>
          <w:u w:val="single"/>
          <w:rtl/>
        </w:rPr>
        <w:br/>
      </w:r>
      <w:r>
        <w:rPr>
          <w:rFonts w:hint="cs"/>
          <w:sz w:val="20"/>
          <w:szCs w:val="20"/>
          <w:rtl/>
        </w:rPr>
        <w:t>קמ"ל שווסת הדילוג שונה לקולא משאר הווסתות, בכך שאין חוששים לו עד שייקבע.</w:t>
      </w:r>
      <w:r>
        <w:rPr>
          <w:sz w:val="20"/>
          <w:szCs w:val="20"/>
          <w:rtl/>
        </w:rPr>
        <w:br/>
      </w:r>
      <w:r>
        <w:rPr>
          <w:rFonts w:hint="cs"/>
          <w:sz w:val="20"/>
          <w:szCs w:val="20"/>
          <w:rtl/>
        </w:rPr>
        <w:t>ואמנם, אע"פ שאין חשש לדילוג, מכל מקום חוששת ליום החודש ולהפלגה האחרונה.</w:t>
      </w:r>
    </w:p>
    <w:p w:rsidR="00620060" w:rsidRDefault="00620060" w:rsidP="00620060">
      <w:pPr>
        <w:rPr>
          <w:sz w:val="20"/>
          <w:szCs w:val="20"/>
          <w:rtl/>
        </w:rPr>
      </w:pPr>
      <w:r w:rsidRPr="00702A44">
        <w:rPr>
          <w:rFonts w:hint="cs"/>
          <w:b/>
          <w:bCs/>
          <w:sz w:val="20"/>
          <w:szCs w:val="20"/>
          <w:rtl/>
        </w:rPr>
        <w:t xml:space="preserve">בכמה ראיות נקבע ווסת הדילוג? </w:t>
      </w:r>
      <w:r w:rsidRPr="00EA6EEF">
        <w:rPr>
          <w:rFonts w:hint="cs"/>
          <w:sz w:val="18"/>
          <w:szCs w:val="18"/>
          <w:rtl/>
        </w:rPr>
        <w:t>(ש"ך וט"ז)</w:t>
      </w:r>
      <w:r>
        <w:rPr>
          <w:sz w:val="20"/>
          <w:szCs w:val="20"/>
          <w:u w:val="single"/>
          <w:rtl/>
        </w:rPr>
        <w:br/>
      </w:r>
      <w:r>
        <w:rPr>
          <w:rFonts w:hint="cs"/>
          <w:sz w:val="20"/>
          <w:szCs w:val="20"/>
          <w:rtl/>
        </w:rPr>
        <w:t xml:space="preserve">א. </w:t>
      </w:r>
      <w:r w:rsidRPr="00B35AA2">
        <w:rPr>
          <w:rFonts w:hint="cs"/>
          <w:sz w:val="20"/>
          <w:szCs w:val="20"/>
          <w:u w:val="single"/>
          <w:rtl/>
        </w:rPr>
        <w:t>ווסת החודש בדילוג</w:t>
      </w:r>
      <w:r>
        <w:rPr>
          <w:rFonts w:hint="cs"/>
          <w:sz w:val="20"/>
          <w:szCs w:val="20"/>
          <w:rtl/>
        </w:rPr>
        <w:t xml:space="preserve"> </w:t>
      </w:r>
      <w:r>
        <w:rPr>
          <w:sz w:val="20"/>
          <w:szCs w:val="20"/>
          <w:rtl/>
        </w:rPr>
        <w:t>–</w:t>
      </w:r>
      <w:r>
        <w:rPr>
          <w:rFonts w:hint="cs"/>
          <w:sz w:val="20"/>
          <w:szCs w:val="20"/>
          <w:rtl/>
        </w:rPr>
        <w:t xml:space="preserve"> לרב נקבע בג' ראיות, לשמואל נקבע בד' ראיות, כאמור לעיל בסעיף ז'.</w:t>
      </w:r>
      <w:r>
        <w:rPr>
          <w:sz w:val="20"/>
          <w:szCs w:val="20"/>
          <w:rtl/>
        </w:rPr>
        <w:br/>
      </w:r>
      <w:r>
        <w:rPr>
          <w:rFonts w:hint="cs"/>
          <w:sz w:val="20"/>
          <w:szCs w:val="20"/>
          <w:rtl/>
        </w:rPr>
        <w:t>לפי"ז, הרמ"א כאן מיירי אליבא דשמואל, אך לרב קבעה ווסת בסיון וחוששת ליח' תמוז.</w:t>
      </w:r>
      <w:r>
        <w:rPr>
          <w:sz w:val="20"/>
          <w:szCs w:val="20"/>
          <w:rtl/>
        </w:rPr>
        <w:br/>
      </w:r>
      <w:r>
        <w:rPr>
          <w:rFonts w:hint="cs"/>
          <w:sz w:val="20"/>
          <w:szCs w:val="20"/>
          <w:rtl/>
        </w:rPr>
        <w:t xml:space="preserve">ב. </w:t>
      </w:r>
      <w:r w:rsidRPr="00B35AA2">
        <w:rPr>
          <w:rFonts w:hint="cs"/>
          <w:sz w:val="20"/>
          <w:szCs w:val="20"/>
          <w:u w:val="single"/>
          <w:rtl/>
        </w:rPr>
        <w:t>ווסת ההפלגה בדילוג</w:t>
      </w:r>
      <w:r>
        <w:rPr>
          <w:rFonts w:hint="cs"/>
          <w:sz w:val="20"/>
          <w:szCs w:val="20"/>
          <w:rtl/>
        </w:rPr>
        <w:t xml:space="preserve"> </w:t>
      </w:r>
      <w:r>
        <w:rPr>
          <w:sz w:val="20"/>
          <w:szCs w:val="20"/>
          <w:rtl/>
        </w:rPr>
        <w:t>–</w:t>
      </w:r>
      <w:r>
        <w:rPr>
          <w:rFonts w:hint="cs"/>
          <w:sz w:val="20"/>
          <w:szCs w:val="20"/>
          <w:rtl/>
        </w:rPr>
        <w:t xml:space="preserve"> לרב נקבע בד' ראיות, לשמואל נקבע בה' ראיות.</w:t>
      </w:r>
      <w:r>
        <w:rPr>
          <w:rFonts w:hint="cs"/>
          <w:sz w:val="20"/>
          <w:szCs w:val="20"/>
          <w:rtl/>
        </w:rPr>
        <w:br/>
        <w:t xml:space="preserve">והסבר הדברים כך </w:t>
      </w:r>
      <w:r>
        <w:rPr>
          <w:sz w:val="20"/>
          <w:szCs w:val="20"/>
          <w:rtl/>
        </w:rPr>
        <w:t>–</w:t>
      </w:r>
      <w:r>
        <w:rPr>
          <w:rFonts w:hint="cs"/>
          <w:sz w:val="20"/>
          <w:szCs w:val="20"/>
          <w:rtl/>
        </w:rPr>
        <w:t xml:space="preserve"> בווסת החודש הדילוג ניכר כבר מהראייה השנייה. </w:t>
      </w:r>
      <w:r>
        <w:rPr>
          <w:sz w:val="20"/>
          <w:szCs w:val="20"/>
          <w:rtl/>
        </w:rPr>
        <w:br/>
      </w:r>
      <w:r>
        <w:rPr>
          <w:rFonts w:hint="cs"/>
          <w:sz w:val="20"/>
          <w:szCs w:val="20"/>
          <w:rtl/>
        </w:rPr>
        <w:t xml:space="preserve">כגון </w:t>
      </w:r>
      <w:r>
        <w:rPr>
          <w:sz w:val="20"/>
          <w:szCs w:val="20"/>
          <w:rtl/>
        </w:rPr>
        <w:t>–</w:t>
      </w:r>
      <w:r>
        <w:rPr>
          <w:rFonts w:hint="cs"/>
          <w:sz w:val="20"/>
          <w:szCs w:val="20"/>
          <w:rtl/>
        </w:rPr>
        <w:t xml:space="preserve"> ראתה תחילה בטו' ניסן ואחר כך בטז' אייר, ניכר שדילגה פעם אחת. לעומת זאת, בווסת ההפלגה רק בראייה השלישית ניכר הפלגה, משום שב' ראיותיה הראשונות מגלות על הפלגה אחת בלבד.</w:t>
      </w:r>
      <w:r>
        <w:rPr>
          <w:rFonts w:hint="cs"/>
          <w:sz w:val="20"/>
          <w:szCs w:val="20"/>
          <w:rtl/>
        </w:rPr>
        <w:br/>
        <w:t>וזו כוונת הרמ"א בסו"ד שיש מצרפים ראייה א' לקביעת הווסת בווסת החודש, ולשיטתם סגי כאן בד' ראיות.</w:t>
      </w:r>
    </w:p>
    <w:p w:rsidR="00620060" w:rsidRDefault="00620060" w:rsidP="00620060">
      <w:pPr>
        <w:pStyle w:val="1"/>
        <w:rPr>
          <w:sz w:val="24"/>
          <w:szCs w:val="24"/>
          <w:rtl/>
        </w:rPr>
      </w:pPr>
      <w:r w:rsidRPr="00E72D32">
        <w:rPr>
          <w:rFonts w:hint="cs"/>
          <w:sz w:val="24"/>
          <w:szCs w:val="24"/>
          <w:rtl/>
        </w:rPr>
        <w:t xml:space="preserve">ד. ראתה כמה ימים רצופים </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רמ"א</w:t>
      </w:r>
      <w:r>
        <w:rPr>
          <w:rFonts w:hint="cs"/>
          <w:sz w:val="18"/>
          <w:szCs w:val="18"/>
          <w:rtl/>
        </w:rPr>
        <w:t xml:space="preserve"> </w:t>
      </w:r>
      <w:r w:rsidRPr="00E72D32">
        <w:rPr>
          <w:sz w:val="18"/>
          <w:szCs w:val="18"/>
          <w:rtl/>
        </w:rPr>
        <w:t>–</w:t>
      </w:r>
      <w:r w:rsidRPr="00E72D32">
        <w:rPr>
          <w:rFonts w:hint="cs"/>
          <w:sz w:val="18"/>
          <w:szCs w:val="18"/>
          <w:rtl/>
        </w:rPr>
        <w:t xml:space="preserve"> </w:t>
      </w:r>
      <w:r w:rsidRPr="005A2AED">
        <w:rPr>
          <w:rFonts w:hint="cs"/>
          <w:sz w:val="18"/>
          <w:szCs w:val="18"/>
          <w:rtl/>
        </w:rPr>
        <w:t>"</w:t>
      </w:r>
      <w:r w:rsidRPr="005A2AED">
        <w:rPr>
          <w:rFonts w:cs="Arial" w:hint="cs"/>
          <w:sz w:val="18"/>
          <w:szCs w:val="18"/>
          <w:rtl/>
        </w:rPr>
        <w:t>ראתה</w:t>
      </w:r>
      <w:r w:rsidRPr="005A2AED">
        <w:rPr>
          <w:rFonts w:cs="Arial"/>
          <w:sz w:val="18"/>
          <w:szCs w:val="18"/>
          <w:rtl/>
        </w:rPr>
        <w:t xml:space="preserve"> </w:t>
      </w:r>
      <w:r w:rsidRPr="005A2AED">
        <w:rPr>
          <w:rFonts w:cs="Arial" w:hint="cs"/>
          <w:sz w:val="18"/>
          <w:szCs w:val="18"/>
          <w:rtl/>
        </w:rPr>
        <w:t>ט</w:t>
      </w:r>
      <w:r w:rsidRPr="005A2AED">
        <w:rPr>
          <w:rFonts w:cs="Arial"/>
          <w:sz w:val="18"/>
          <w:szCs w:val="18"/>
          <w:rtl/>
        </w:rPr>
        <w:t>"</w:t>
      </w:r>
      <w:r w:rsidRPr="005A2AED">
        <w:rPr>
          <w:rFonts w:cs="Arial" w:hint="cs"/>
          <w:sz w:val="18"/>
          <w:szCs w:val="18"/>
          <w:rtl/>
        </w:rPr>
        <w:t>ו</w:t>
      </w:r>
      <w:r w:rsidRPr="005A2AED">
        <w:rPr>
          <w:rFonts w:cs="Arial"/>
          <w:sz w:val="18"/>
          <w:szCs w:val="18"/>
          <w:rtl/>
        </w:rPr>
        <w:t xml:space="preserve"> </w:t>
      </w:r>
      <w:r w:rsidRPr="005A2AED">
        <w:rPr>
          <w:rFonts w:cs="Arial" w:hint="cs"/>
          <w:sz w:val="18"/>
          <w:szCs w:val="18"/>
          <w:rtl/>
        </w:rPr>
        <w:t>בניסן</w:t>
      </w:r>
      <w:r w:rsidRPr="005A2AED">
        <w:rPr>
          <w:rFonts w:cs="Arial"/>
          <w:sz w:val="18"/>
          <w:szCs w:val="18"/>
          <w:rtl/>
        </w:rPr>
        <w:t xml:space="preserve"> </w:t>
      </w:r>
      <w:r w:rsidRPr="005A2AED">
        <w:rPr>
          <w:rFonts w:cs="Arial" w:hint="cs"/>
          <w:sz w:val="18"/>
          <w:szCs w:val="18"/>
          <w:rtl/>
        </w:rPr>
        <w:t>והמשיכה</w:t>
      </w:r>
      <w:r w:rsidRPr="005A2AED">
        <w:rPr>
          <w:rFonts w:cs="Arial"/>
          <w:sz w:val="18"/>
          <w:szCs w:val="18"/>
          <w:rtl/>
        </w:rPr>
        <w:t xml:space="preserve"> </w:t>
      </w:r>
      <w:r w:rsidRPr="005A2AED">
        <w:rPr>
          <w:rFonts w:cs="Arial" w:hint="cs"/>
          <w:sz w:val="18"/>
          <w:szCs w:val="18"/>
          <w:rtl/>
        </w:rPr>
        <w:t>ראייתה</w:t>
      </w:r>
      <w:r w:rsidRPr="005A2AED">
        <w:rPr>
          <w:rFonts w:cs="Arial"/>
          <w:sz w:val="18"/>
          <w:szCs w:val="18"/>
          <w:rtl/>
        </w:rPr>
        <w:t xml:space="preserve"> </w:t>
      </w:r>
      <w:r w:rsidRPr="005A2AED">
        <w:rPr>
          <w:rFonts w:cs="Arial" w:hint="cs"/>
          <w:sz w:val="18"/>
          <w:szCs w:val="18"/>
          <w:rtl/>
        </w:rPr>
        <w:t>ד</w:t>
      </w:r>
      <w:r w:rsidRPr="005A2AED">
        <w:rPr>
          <w:rFonts w:cs="Arial"/>
          <w:sz w:val="18"/>
          <w:szCs w:val="18"/>
          <w:rtl/>
        </w:rPr>
        <w:t xml:space="preserve">' </w:t>
      </w:r>
      <w:r w:rsidRPr="005A2AED">
        <w:rPr>
          <w:rFonts w:cs="Arial" w:hint="cs"/>
          <w:sz w:val="18"/>
          <w:szCs w:val="18"/>
          <w:rtl/>
        </w:rPr>
        <w:t>ימים</w:t>
      </w:r>
      <w:r w:rsidRPr="005A2AED">
        <w:rPr>
          <w:rFonts w:cs="Arial"/>
          <w:sz w:val="18"/>
          <w:szCs w:val="18"/>
          <w:rtl/>
        </w:rPr>
        <w:t xml:space="preserve">, </w:t>
      </w:r>
      <w:r w:rsidRPr="005A2AED">
        <w:rPr>
          <w:rFonts w:cs="Arial" w:hint="cs"/>
          <w:sz w:val="18"/>
          <w:szCs w:val="18"/>
          <w:rtl/>
        </w:rPr>
        <w:t>וביום</w:t>
      </w:r>
      <w:r w:rsidRPr="005A2AED">
        <w:rPr>
          <w:rFonts w:cs="Arial"/>
          <w:sz w:val="18"/>
          <w:szCs w:val="18"/>
          <w:rtl/>
        </w:rPr>
        <w:t xml:space="preserve"> </w:t>
      </w:r>
      <w:r w:rsidRPr="005A2AED">
        <w:rPr>
          <w:rFonts w:cs="Arial" w:hint="cs"/>
          <w:sz w:val="18"/>
          <w:szCs w:val="18"/>
          <w:rtl/>
        </w:rPr>
        <w:t>ט</w:t>
      </w:r>
      <w:r w:rsidRPr="005A2AED">
        <w:rPr>
          <w:rFonts w:cs="Arial"/>
          <w:sz w:val="18"/>
          <w:szCs w:val="18"/>
          <w:rtl/>
        </w:rPr>
        <w:t>"</w:t>
      </w:r>
      <w:r w:rsidRPr="005A2AED">
        <w:rPr>
          <w:rFonts w:cs="Arial" w:hint="cs"/>
          <w:sz w:val="18"/>
          <w:szCs w:val="18"/>
          <w:rtl/>
        </w:rPr>
        <w:t>ז</w:t>
      </w:r>
      <w:r w:rsidRPr="005A2AED">
        <w:rPr>
          <w:rFonts w:cs="Arial"/>
          <w:sz w:val="18"/>
          <w:szCs w:val="18"/>
          <w:rtl/>
        </w:rPr>
        <w:t xml:space="preserve"> </w:t>
      </w:r>
      <w:r w:rsidRPr="005A2AED">
        <w:rPr>
          <w:rFonts w:cs="Arial" w:hint="cs"/>
          <w:sz w:val="18"/>
          <w:szCs w:val="18"/>
          <w:rtl/>
        </w:rPr>
        <w:t>באייר</w:t>
      </w:r>
      <w:r w:rsidRPr="005A2AED">
        <w:rPr>
          <w:rFonts w:cs="Arial"/>
          <w:sz w:val="18"/>
          <w:szCs w:val="18"/>
          <w:rtl/>
        </w:rPr>
        <w:t xml:space="preserve"> </w:t>
      </w:r>
      <w:r w:rsidRPr="005A2AED">
        <w:rPr>
          <w:rFonts w:cs="Arial" w:hint="cs"/>
          <w:sz w:val="18"/>
          <w:szCs w:val="18"/>
          <w:rtl/>
        </w:rPr>
        <w:t>ראתה</w:t>
      </w:r>
      <w:r w:rsidRPr="005A2AED">
        <w:rPr>
          <w:rFonts w:cs="Arial"/>
          <w:sz w:val="18"/>
          <w:szCs w:val="18"/>
          <w:rtl/>
        </w:rPr>
        <w:t xml:space="preserve"> </w:t>
      </w:r>
      <w:r w:rsidRPr="005A2AED">
        <w:rPr>
          <w:rFonts w:cs="Arial" w:hint="cs"/>
          <w:sz w:val="18"/>
          <w:szCs w:val="18"/>
          <w:rtl/>
        </w:rPr>
        <w:t>והמשיכה</w:t>
      </w:r>
      <w:r w:rsidRPr="005A2AED">
        <w:rPr>
          <w:rFonts w:cs="Arial"/>
          <w:sz w:val="18"/>
          <w:szCs w:val="18"/>
          <w:rtl/>
        </w:rPr>
        <w:t xml:space="preserve"> </w:t>
      </w:r>
      <w:r w:rsidRPr="005A2AED">
        <w:rPr>
          <w:rFonts w:cs="Arial" w:hint="cs"/>
          <w:sz w:val="18"/>
          <w:szCs w:val="18"/>
          <w:rtl/>
        </w:rPr>
        <w:t>ראייתה</w:t>
      </w:r>
      <w:r w:rsidRPr="005A2AED">
        <w:rPr>
          <w:rFonts w:cs="Arial"/>
          <w:sz w:val="18"/>
          <w:szCs w:val="18"/>
          <w:rtl/>
        </w:rPr>
        <w:t xml:space="preserve"> </w:t>
      </w:r>
      <w:r w:rsidRPr="005A2AED">
        <w:rPr>
          <w:rFonts w:cs="Arial" w:hint="cs"/>
          <w:sz w:val="18"/>
          <w:szCs w:val="18"/>
          <w:rtl/>
        </w:rPr>
        <w:t>ג</w:t>
      </w:r>
      <w:r w:rsidRPr="005A2AED">
        <w:rPr>
          <w:rFonts w:cs="Arial"/>
          <w:sz w:val="18"/>
          <w:szCs w:val="18"/>
          <w:rtl/>
        </w:rPr>
        <w:t xml:space="preserve">' </w:t>
      </w:r>
      <w:r w:rsidRPr="005A2AED">
        <w:rPr>
          <w:rFonts w:cs="Arial" w:hint="cs"/>
          <w:sz w:val="18"/>
          <w:szCs w:val="18"/>
          <w:rtl/>
        </w:rPr>
        <w:t>ימים</w:t>
      </w:r>
      <w:r w:rsidRPr="005A2AED">
        <w:rPr>
          <w:rFonts w:cs="Arial"/>
          <w:sz w:val="18"/>
          <w:szCs w:val="18"/>
          <w:rtl/>
        </w:rPr>
        <w:t xml:space="preserve">, </w:t>
      </w:r>
      <w:r w:rsidRPr="005A2AED">
        <w:rPr>
          <w:rFonts w:cs="Arial" w:hint="cs"/>
          <w:sz w:val="18"/>
          <w:szCs w:val="18"/>
          <w:rtl/>
        </w:rPr>
        <w:t>ובסיון</w:t>
      </w:r>
      <w:r w:rsidRPr="005A2AED">
        <w:rPr>
          <w:rFonts w:cs="Arial"/>
          <w:sz w:val="18"/>
          <w:szCs w:val="18"/>
          <w:rtl/>
        </w:rPr>
        <w:t xml:space="preserve"> </w:t>
      </w:r>
      <w:r w:rsidRPr="005A2AED">
        <w:rPr>
          <w:rFonts w:cs="Arial" w:hint="cs"/>
          <w:sz w:val="18"/>
          <w:szCs w:val="18"/>
          <w:rtl/>
        </w:rPr>
        <w:t>התחילה</w:t>
      </w:r>
      <w:r w:rsidRPr="005A2AED">
        <w:rPr>
          <w:rFonts w:cs="Arial"/>
          <w:sz w:val="18"/>
          <w:szCs w:val="18"/>
          <w:rtl/>
        </w:rPr>
        <w:t xml:space="preserve"> </w:t>
      </w:r>
      <w:r w:rsidRPr="005A2AED">
        <w:rPr>
          <w:rFonts w:cs="Arial" w:hint="cs"/>
          <w:sz w:val="18"/>
          <w:szCs w:val="18"/>
          <w:rtl/>
        </w:rPr>
        <w:t>לראות</w:t>
      </w:r>
      <w:r w:rsidRPr="005A2AED">
        <w:rPr>
          <w:rFonts w:cs="Arial"/>
          <w:sz w:val="18"/>
          <w:szCs w:val="18"/>
          <w:rtl/>
        </w:rPr>
        <w:t xml:space="preserve"> </w:t>
      </w:r>
      <w:r w:rsidRPr="005A2AED">
        <w:rPr>
          <w:rFonts w:cs="Arial" w:hint="cs"/>
          <w:sz w:val="18"/>
          <w:szCs w:val="18"/>
          <w:rtl/>
        </w:rPr>
        <w:t>בי</w:t>
      </w:r>
      <w:r w:rsidRPr="005A2AED">
        <w:rPr>
          <w:rFonts w:cs="Arial"/>
          <w:sz w:val="18"/>
          <w:szCs w:val="18"/>
          <w:rtl/>
        </w:rPr>
        <w:t>"</w:t>
      </w:r>
      <w:r w:rsidRPr="005A2AED">
        <w:rPr>
          <w:rFonts w:cs="Arial" w:hint="cs"/>
          <w:sz w:val="18"/>
          <w:szCs w:val="18"/>
          <w:rtl/>
        </w:rPr>
        <w:t>ז</w:t>
      </w:r>
      <w:r w:rsidRPr="005A2AED">
        <w:rPr>
          <w:rFonts w:cs="Arial"/>
          <w:sz w:val="18"/>
          <w:szCs w:val="18"/>
          <w:rtl/>
        </w:rPr>
        <w:t xml:space="preserve"> </w:t>
      </w:r>
      <w:r w:rsidRPr="005A2AED">
        <w:rPr>
          <w:rFonts w:cs="Arial" w:hint="cs"/>
          <w:sz w:val="18"/>
          <w:szCs w:val="18"/>
          <w:rtl/>
        </w:rPr>
        <w:t>בו</w:t>
      </w:r>
      <w:r w:rsidRPr="005A2AED">
        <w:rPr>
          <w:rFonts w:cs="Arial"/>
          <w:sz w:val="18"/>
          <w:szCs w:val="18"/>
          <w:rtl/>
        </w:rPr>
        <w:t xml:space="preserve">, </w:t>
      </w:r>
      <w:r w:rsidRPr="005A2AED">
        <w:rPr>
          <w:rFonts w:cs="Arial" w:hint="cs"/>
          <w:sz w:val="18"/>
          <w:szCs w:val="18"/>
          <w:rtl/>
        </w:rPr>
        <w:t>יש אומרים</w:t>
      </w:r>
      <w:r w:rsidRPr="005A2AED">
        <w:rPr>
          <w:rFonts w:cs="Arial"/>
          <w:sz w:val="18"/>
          <w:szCs w:val="18"/>
          <w:rtl/>
        </w:rPr>
        <w:t xml:space="preserve"> </w:t>
      </w:r>
      <w:r w:rsidRPr="005A2AED">
        <w:rPr>
          <w:rFonts w:cs="Arial" w:hint="cs"/>
          <w:sz w:val="18"/>
          <w:szCs w:val="18"/>
          <w:rtl/>
        </w:rPr>
        <w:t>שחוששת</w:t>
      </w:r>
      <w:r w:rsidRPr="005A2AED">
        <w:rPr>
          <w:rFonts w:cs="Arial"/>
          <w:sz w:val="18"/>
          <w:szCs w:val="18"/>
          <w:rtl/>
        </w:rPr>
        <w:t xml:space="preserve"> </w:t>
      </w:r>
      <w:r w:rsidRPr="005A2AED">
        <w:rPr>
          <w:rFonts w:cs="Arial" w:hint="cs"/>
          <w:sz w:val="18"/>
          <w:szCs w:val="18"/>
          <w:rtl/>
        </w:rPr>
        <w:t>לדילוג</w:t>
      </w:r>
      <w:r w:rsidRPr="005A2AED">
        <w:rPr>
          <w:rFonts w:cs="Arial"/>
          <w:sz w:val="18"/>
          <w:szCs w:val="18"/>
          <w:rtl/>
        </w:rPr>
        <w:t xml:space="preserve"> </w:t>
      </w:r>
      <w:r w:rsidRPr="005A2AED">
        <w:rPr>
          <w:rFonts w:cs="Arial" w:hint="cs"/>
          <w:sz w:val="18"/>
          <w:szCs w:val="18"/>
          <w:rtl/>
        </w:rPr>
        <w:t>ולווסת</w:t>
      </w:r>
      <w:r w:rsidRPr="005A2AED">
        <w:rPr>
          <w:rFonts w:cs="Arial"/>
          <w:sz w:val="18"/>
          <w:szCs w:val="18"/>
          <w:rtl/>
        </w:rPr>
        <w:t xml:space="preserve"> </w:t>
      </w:r>
      <w:r w:rsidRPr="005A2AED">
        <w:rPr>
          <w:rFonts w:cs="Arial" w:hint="cs"/>
          <w:sz w:val="18"/>
          <w:szCs w:val="18"/>
          <w:rtl/>
        </w:rPr>
        <w:t>שוה</w:t>
      </w:r>
      <w:r w:rsidRPr="005A2AED">
        <w:rPr>
          <w:rFonts w:cs="Arial"/>
          <w:sz w:val="18"/>
          <w:szCs w:val="18"/>
          <w:rtl/>
        </w:rPr>
        <w:t xml:space="preserve">, </w:t>
      </w:r>
      <w:r w:rsidRPr="005A2AED">
        <w:rPr>
          <w:rFonts w:cs="Arial" w:hint="cs"/>
          <w:sz w:val="18"/>
          <w:szCs w:val="18"/>
          <w:rtl/>
        </w:rPr>
        <w:t>שהרי</w:t>
      </w:r>
      <w:r w:rsidRPr="005A2AED">
        <w:rPr>
          <w:rFonts w:cs="Arial"/>
          <w:sz w:val="18"/>
          <w:szCs w:val="18"/>
          <w:rtl/>
        </w:rPr>
        <w:t xml:space="preserve"> </w:t>
      </w:r>
      <w:r w:rsidRPr="005A2AED">
        <w:rPr>
          <w:rFonts w:cs="Arial" w:hint="cs"/>
          <w:sz w:val="18"/>
          <w:szCs w:val="18"/>
          <w:rtl/>
        </w:rPr>
        <w:t>שילשה</w:t>
      </w:r>
      <w:r w:rsidRPr="005A2AED">
        <w:rPr>
          <w:rFonts w:cs="Arial"/>
          <w:sz w:val="18"/>
          <w:szCs w:val="18"/>
          <w:rtl/>
        </w:rPr>
        <w:t xml:space="preserve"> </w:t>
      </w:r>
      <w:r w:rsidRPr="005A2AED">
        <w:rPr>
          <w:rFonts w:cs="Arial" w:hint="cs"/>
          <w:sz w:val="18"/>
          <w:szCs w:val="18"/>
          <w:rtl/>
        </w:rPr>
        <w:t>לראות</w:t>
      </w:r>
      <w:r w:rsidRPr="005A2AED">
        <w:rPr>
          <w:rFonts w:cs="Arial"/>
          <w:sz w:val="18"/>
          <w:szCs w:val="18"/>
          <w:rtl/>
        </w:rPr>
        <w:t xml:space="preserve"> </w:t>
      </w:r>
      <w:r w:rsidRPr="005A2AED">
        <w:rPr>
          <w:rFonts w:cs="Arial" w:hint="cs"/>
          <w:sz w:val="18"/>
          <w:szCs w:val="18"/>
          <w:rtl/>
        </w:rPr>
        <w:t>ג' פעמים</w:t>
      </w:r>
      <w:r w:rsidRPr="005A2AED">
        <w:rPr>
          <w:rFonts w:cs="Arial"/>
          <w:sz w:val="18"/>
          <w:szCs w:val="18"/>
          <w:rtl/>
        </w:rPr>
        <w:t xml:space="preserve"> </w:t>
      </w:r>
      <w:r w:rsidRPr="005A2AED">
        <w:rPr>
          <w:rFonts w:cs="Arial" w:hint="cs"/>
          <w:sz w:val="18"/>
          <w:szCs w:val="18"/>
          <w:rtl/>
        </w:rPr>
        <w:t>בי</w:t>
      </w:r>
      <w:r w:rsidRPr="005A2AED">
        <w:rPr>
          <w:rFonts w:cs="Arial"/>
          <w:sz w:val="18"/>
          <w:szCs w:val="18"/>
          <w:rtl/>
        </w:rPr>
        <w:t>"</w:t>
      </w:r>
      <w:r w:rsidRPr="005A2AED">
        <w:rPr>
          <w:rFonts w:cs="Arial" w:hint="cs"/>
          <w:sz w:val="18"/>
          <w:szCs w:val="18"/>
          <w:rtl/>
        </w:rPr>
        <w:t>ז</w:t>
      </w:r>
      <w:r w:rsidRPr="005A2AED">
        <w:rPr>
          <w:rFonts w:cs="Arial"/>
          <w:sz w:val="18"/>
          <w:szCs w:val="18"/>
          <w:rtl/>
        </w:rPr>
        <w:t xml:space="preserve"> </w:t>
      </w:r>
      <w:r w:rsidRPr="005A2AED">
        <w:rPr>
          <w:rFonts w:cs="Arial" w:hint="cs"/>
          <w:sz w:val="18"/>
          <w:szCs w:val="18"/>
          <w:rtl/>
        </w:rPr>
        <w:t>לחדש</w:t>
      </w:r>
      <w:r w:rsidRPr="005A2AED">
        <w:rPr>
          <w:rStyle w:val="a5"/>
          <w:sz w:val="18"/>
          <w:szCs w:val="18"/>
          <w:rtl/>
        </w:rPr>
        <w:footnoteReference w:id="203"/>
      </w:r>
      <w:r w:rsidRPr="005A2AED">
        <w:rPr>
          <w:rFonts w:cs="Arial"/>
          <w:sz w:val="18"/>
          <w:szCs w:val="18"/>
          <w:rtl/>
        </w:rPr>
        <w:t xml:space="preserve">, </w:t>
      </w:r>
      <w:r w:rsidRPr="005A2AED">
        <w:rPr>
          <w:rFonts w:cs="Arial"/>
          <w:sz w:val="18"/>
          <w:szCs w:val="18"/>
          <w:rtl/>
        </w:rPr>
        <w:br/>
      </w:r>
      <w:r w:rsidRPr="005A2AED">
        <w:rPr>
          <w:rFonts w:cs="Arial" w:hint="cs"/>
          <w:sz w:val="18"/>
          <w:szCs w:val="18"/>
          <w:rtl/>
        </w:rPr>
        <w:t>ויש אומרים</w:t>
      </w:r>
      <w:r w:rsidRPr="005A2AED">
        <w:rPr>
          <w:rFonts w:cs="Arial"/>
          <w:sz w:val="18"/>
          <w:szCs w:val="18"/>
          <w:rtl/>
        </w:rPr>
        <w:t xml:space="preserve"> </w:t>
      </w:r>
      <w:r w:rsidRPr="005A2AED">
        <w:rPr>
          <w:rFonts w:cs="Arial" w:hint="cs"/>
          <w:sz w:val="18"/>
          <w:szCs w:val="18"/>
          <w:rtl/>
        </w:rPr>
        <w:t>שאין</w:t>
      </w:r>
      <w:r w:rsidRPr="005A2AED">
        <w:rPr>
          <w:rFonts w:cs="Arial"/>
          <w:sz w:val="18"/>
          <w:szCs w:val="18"/>
          <w:rtl/>
        </w:rPr>
        <w:t xml:space="preserve"> </w:t>
      </w:r>
      <w:r w:rsidRPr="005A2AED">
        <w:rPr>
          <w:rFonts w:cs="Arial" w:hint="cs"/>
          <w:sz w:val="18"/>
          <w:szCs w:val="18"/>
          <w:rtl/>
        </w:rPr>
        <w:t>כאן</w:t>
      </w:r>
      <w:r w:rsidRPr="005A2AED">
        <w:rPr>
          <w:rFonts w:cs="Arial"/>
          <w:sz w:val="18"/>
          <w:szCs w:val="18"/>
          <w:rtl/>
        </w:rPr>
        <w:t xml:space="preserve"> </w:t>
      </w:r>
      <w:r w:rsidRPr="005A2AED">
        <w:rPr>
          <w:rFonts w:cs="Arial" w:hint="cs"/>
          <w:sz w:val="18"/>
          <w:szCs w:val="18"/>
          <w:rtl/>
        </w:rPr>
        <w:t>וסת</w:t>
      </w:r>
      <w:r w:rsidRPr="005A2AED">
        <w:rPr>
          <w:rFonts w:cs="Arial"/>
          <w:sz w:val="18"/>
          <w:szCs w:val="18"/>
          <w:rtl/>
        </w:rPr>
        <w:t xml:space="preserve"> </w:t>
      </w:r>
      <w:r w:rsidRPr="005A2AED">
        <w:rPr>
          <w:rFonts w:cs="Arial" w:hint="cs"/>
          <w:sz w:val="18"/>
          <w:szCs w:val="18"/>
          <w:rtl/>
        </w:rPr>
        <w:t>שוה</w:t>
      </w:r>
      <w:r w:rsidRPr="005A2AED">
        <w:rPr>
          <w:rFonts w:cs="Arial"/>
          <w:sz w:val="18"/>
          <w:szCs w:val="18"/>
          <w:rtl/>
        </w:rPr>
        <w:t xml:space="preserve"> </w:t>
      </w:r>
      <w:r w:rsidRPr="005A2AED">
        <w:rPr>
          <w:rFonts w:cs="Arial" w:hint="cs"/>
          <w:sz w:val="18"/>
          <w:szCs w:val="18"/>
          <w:rtl/>
        </w:rPr>
        <w:t>כלל</w:t>
      </w:r>
      <w:r w:rsidRPr="005A2AED">
        <w:rPr>
          <w:rFonts w:cs="Arial"/>
          <w:sz w:val="18"/>
          <w:szCs w:val="18"/>
          <w:rtl/>
        </w:rPr>
        <w:t xml:space="preserve">, </w:t>
      </w:r>
      <w:r w:rsidRPr="005A2AED">
        <w:rPr>
          <w:rFonts w:cs="Arial" w:hint="cs"/>
          <w:sz w:val="18"/>
          <w:szCs w:val="18"/>
          <w:rtl/>
        </w:rPr>
        <w:t>דהולכין</w:t>
      </w:r>
      <w:r w:rsidRPr="005A2AED">
        <w:rPr>
          <w:rFonts w:cs="Arial"/>
          <w:sz w:val="18"/>
          <w:szCs w:val="18"/>
          <w:rtl/>
        </w:rPr>
        <w:t xml:space="preserve"> </w:t>
      </w:r>
      <w:r w:rsidRPr="005A2AED">
        <w:rPr>
          <w:rFonts w:cs="Arial" w:hint="cs"/>
          <w:sz w:val="18"/>
          <w:szCs w:val="18"/>
          <w:rtl/>
        </w:rPr>
        <w:t>תמיד</w:t>
      </w:r>
      <w:r w:rsidRPr="005A2AED">
        <w:rPr>
          <w:rFonts w:cs="Arial"/>
          <w:sz w:val="18"/>
          <w:szCs w:val="18"/>
          <w:rtl/>
        </w:rPr>
        <w:t xml:space="preserve"> </w:t>
      </w:r>
      <w:r w:rsidRPr="005A2AED">
        <w:rPr>
          <w:rFonts w:cs="Arial" w:hint="cs"/>
          <w:sz w:val="18"/>
          <w:szCs w:val="18"/>
          <w:rtl/>
        </w:rPr>
        <w:t>אחר</w:t>
      </w:r>
      <w:r w:rsidRPr="005A2AED">
        <w:rPr>
          <w:rFonts w:cs="Arial"/>
          <w:sz w:val="18"/>
          <w:szCs w:val="18"/>
          <w:rtl/>
        </w:rPr>
        <w:t xml:space="preserve"> </w:t>
      </w:r>
      <w:r w:rsidRPr="005A2AED">
        <w:rPr>
          <w:rFonts w:cs="Arial" w:hint="cs"/>
          <w:sz w:val="18"/>
          <w:szCs w:val="18"/>
          <w:rtl/>
        </w:rPr>
        <w:t>תחילת</w:t>
      </w:r>
      <w:r w:rsidRPr="005A2AED">
        <w:rPr>
          <w:rFonts w:cs="Arial"/>
          <w:sz w:val="18"/>
          <w:szCs w:val="18"/>
          <w:rtl/>
        </w:rPr>
        <w:t xml:space="preserve"> </w:t>
      </w:r>
      <w:r w:rsidRPr="005A2AED">
        <w:rPr>
          <w:rFonts w:cs="Arial" w:hint="cs"/>
          <w:sz w:val="18"/>
          <w:szCs w:val="18"/>
          <w:rtl/>
        </w:rPr>
        <w:t>הראייה</w:t>
      </w:r>
      <w:r w:rsidRPr="005A2AED">
        <w:rPr>
          <w:rFonts w:cs="Arial"/>
          <w:sz w:val="18"/>
          <w:szCs w:val="18"/>
          <w:rtl/>
        </w:rPr>
        <w:t xml:space="preserve">, </w:t>
      </w:r>
      <w:r w:rsidRPr="005A2AED">
        <w:rPr>
          <w:rFonts w:cs="Arial" w:hint="cs"/>
          <w:sz w:val="18"/>
          <w:szCs w:val="18"/>
          <w:rtl/>
        </w:rPr>
        <w:t>וכן</w:t>
      </w:r>
      <w:r w:rsidRPr="005A2AED">
        <w:rPr>
          <w:rFonts w:cs="Arial"/>
          <w:sz w:val="18"/>
          <w:szCs w:val="18"/>
          <w:rtl/>
        </w:rPr>
        <w:t xml:space="preserve"> </w:t>
      </w:r>
      <w:r w:rsidRPr="005A2AED">
        <w:rPr>
          <w:rFonts w:cs="Arial" w:hint="cs"/>
          <w:sz w:val="18"/>
          <w:szCs w:val="18"/>
          <w:rtl/>
        </w:rPr>
        <w:t>עיקר".</w:t>
      </w:r>
    </w:p>
    <w:p w:rsidR="00620060" w:rsidRDefault="00620060" w:rsidP="00620060">
      <w:pPr>
        <w:rPr>
          <w:sz w:val="20"/>
          <w:szCs w:val="20"/>
          <w:rtl/>
        </w:rPr>
      </w:pPr>
      <w:r w:rsidRPr="005A2AED">
        <w:rPr>
          <w:rFonts w:hint="cs"/>
          <w:b/>
          <w:bCs/>
          <w:sz w:val="20"/>
          <w:szCs w:val="20"/>
          <w:rtl/>
        </w:rPr>
        <w:t>הסבר</w:t>
      </w:r>
      <w:r>
        <w:rPr>
          <w:sz w:val="20"/>
          <w:szCs w:val="20"/>
          <w:u w:val="single"/>
          <w:rtl/>
        </w:rPr>
        <w:br/>
      </w:r>
      <w:r>
        <w:rPr>
          <w:rFonts w:hint="cs"/>
          <w:sz w:val="20"/>
          <w:szCs w:val="20"/>
          <w:rtl/>
        </w:rPr>
        <w:t xml:space="preserve">א. </w:t>
      </w:r>
      <w:r w:rsidRPr="00B96D5A">
        <w:rPr>
          <w:rFonts w:hint="cs"/>
          <w:b/>
          <w:bCs/>
          <w:sz w:val="20"/>
          <w:szCs w:val="20"/>
          <w:rtl/>
        </w:rPr>
        <w:t>רמב"ן</w:t>
      </w:r>
      <w:r>
        <w:rPr>
          <w:rFonts w:hint="cs"/>
          <w:sz w:val="20"/>
          <w:szCs w:val="20"/>
          <w:rtl/>
        </w:rPr>
        <w:t xml:space="preserve"> </w:t>
      </w:r>
      <w:r>
        <w:rPr>
          <w:sz w:val="20"/>
          <w:szCs w:val="20"/>
          <w:rtl/>
        </w:rPr>
        <w:t>–</w:t>
      </w:r>
      <w:r>
        <w:rPr>
          <w:rFonts w:hint="cs"/>
          <w:sz w:val="20"/>
          <w:szCs w:val="20"/>
          <w:rtl/>
        </w:rPr>
        <w:t xml:space="preserve"> בראייה של כמה ימים, כל יום נידון כווסת בפני עצמו.</w:t>
      </w:r>
      <w:r>
        <w:rPr>
          <w:sz w:val="20"/>
          <w:szCs w:val="20"/>
          <w:rtl/>
        </w:rPr>
        <w:br/>
      </w:r>
      <w:r>
        <w:rPr>
          <w:rFonts w:hint="cs"/>
          <w:sz w:val="20"/>
          <w:szCs w:val="20"/>
          <w:rtl/>
        </w:rPr>
        <w:t>לכן, במקרה הנ"ל, מלבד ווסת הדילוג קבעה גם ווסת ליז' משום שראתה בו ג' פעמים, והיא דעה ראשונה כאן.</w:t>
      </w:r>
      <w:r>
        <w:rPr>
          <w:sz w:val="20"/>
          <w:szCs w:val="20"/>
          <w:rtl/>
        </w:rPr>
        <w:br/>
      </w:r>
      <w:r>
        <w:rPr>
          <w:rFonts w:hint="cs"/>
          <w:sz w:val="20"/>
          <w:szCs w:val="20"/>
          <w:rtl/>
        </w:rPr>
        <w:t xml:space="preserve">ב. </w:t>
      </w:r>
      <w:r w:rsidRPr="00B96D5A">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בראייה של כמה ימים, יש להחשיב רק את הראייה הראשונה לקביעת הווסת, וכ"פ </w:t>
      </w:r>
      <w:r w:rsidRPr="00382E39">
        <w:rPr>
          <w:rFonts w:hint="cs"/>
          <w:b/>
          <w:bCs/>
          <w:sz w:val="20"/>
          <w:szCs w:val="20"/>
          <w:rtl/>
        </w:rPr>
        <w:t>הרמ"א</w:t>
      </w:r>
      <w:r>
        <w:rPr>
          <w:rFonts w:hint="cs"/>
          <w:sz w:val="20"/>
          <w:szCs w:val="20"/>
          <w:rtl/>
        </w:rPr>
        <w:t>.</w:t>
      </w:r>
      <w:r>
        <w:rPr>
          <w:sz w:val="20"/>
          <w:szCs w:val="20"/>
          <w:rtl/>
        </w:rPr>
        <w:br/>
      </w:r>
      <w:r>
        <w:rPr>
          <w:rFonts w:hint="cs"/>
          <w:sz w:val="20"/>
          <w:szCs w:val="20"/>
          <w:rtl/>
        </w:rPr>
        <w:t>לכן, במקרה הנ"ל קבעה לה רק ווסת הדילוג אך לא קבעה ווסת ליום יז'.</w:t>
      </w:r>
    </w:p>
    <w:p w:rsidR="00620060" w:rsidRDefault="00620060" w:rsidP="00620060">
      <w:pPr>
        <w:rPr>
          <w:sz w:val="20"/>
          <w:szCs w:val="20"/>
          <w:rtl/>
        </w:rPr>
      </w:pPr>
      <w:r w:rsidRPr="005A2AED">
        <w:rPr>
          <w:rFonts w:hint="cs"/>
          <w:b/>
          <w:bCs/>
          <w:sz w:val="20"/>
          <w:szCs w:val="20"/>
          <w:rtl/>
        </w:rPr>
        <w:t xml:space="preserve">האם סגי בג' ראיות לקביעת ווסת הדילוג? </w:t>
      </w:r>
      <w:r w:rsidRPr="00EA6EEF">
        <w:rPr>
          <w:rFonts w:hint="cs"/>
          <w:sz w:val="18"/>
          <w:szCs w:val="18"/>
          <w:rtl/>
        </w:rPr>
        <w:t>(ט"ז)</w:t>
      </w:r>
      <w:r>
        <w:rPr>
          <w:rFonts w:hint="cs"/>
          <w:sz w:val="20"/>
          <w:szCs w:val="20"/>
          <w:u w:val="single"/>
          <w:rtl/>
        </w:rPr>
        <w:br/>
      </w:r>
      <w:r>
        <w:rPr>
          <w:rFonts w:hint="cs"/>
          <w:sz w:val="20"/>
          <w:szCs w:val="20"/>
          <w:rtl/>
        </w:rPr>
        <w:t xml:space="preserve">קשה </w:t>
      </w:r>
      <w:r>
        <w:rPr>
          <w:sz w:val="20"/>
          <w:szCs w:val="20"/>
          <w:rtl/>
        </w:rPr>
        <w:t>–</w:t>
      </w:r>
      <w:r>
        <w:rPr>
          <w:rFonts w:hint="cs"/>
          <w:sz w:val="20"/>
          <w:szCs w:val="20"/>
          <w:rtl/>
        </w:rPr>
        <w:t xml:space="preserve"> דברי הרמ"א מועתקים מהטור ע"פ דברי הרמב"ן, והרי הרמב"ן פוסק כשמואל שהראייה הראשונה אינה נמנית בווסת הדילוג, ואם כן דרושה כאן ראייה נוספת לקביעת ווסת הדילוג!</w:t>
      </w:r>
      <w:r>
        <w:rPr>
          <w:rFonts w:hint="cs"/>
          <w:sz w:val="20"/>
          <w:szCs w:val="20"/>
          <w:rtl/>
        </w:rPr>
        <w:br/>
        <w:t xml:space="preserve">א. </w:t>
      </w:r>
      <w:r w:rsidRPr="00382E39">
        <w:rPr>
          <w:rFonts w:hint="cs"/>
          <w:b/>
          <w:bCs/>
          <w:sz w:val="20"/>
          <w:szCs w:val="20"/>
          <w:rtl/>
        </w:rPr>
        <w:t>בית יוסף</w:t>
      </w:r>
      <w:r>
        <w:rPr>
          <w:rFonts w:hint="cs"/>
          <w:sz w:val="20"/>
          <w:szCs w:val="20"/>
          <w:rtl/>
        </w:rPr>
        <w:t xml:space="preserve"> </w:t>
      </w:r>
      <w:r>
        <w:rPr>
          <w:sz w:val="20"/>
          <w:szCs w:val="20"/>
          <w:rtl/>
        </w:rPr>
        <w:t>–</w:t>
      </w:r>
      <w:r>
        <w:rPr>
          <w:rFonts w:hint="cs"/>
          <w:sz w:val="20"/>
          <w:szCs w:val="20"/>
          <w:rtl/>
        </w:rPr>
        <w:t xml:space="preserve"> מדובר שהיה לה ווסת קבוע קודם לכן, ובכה"ג מודה שמואל.</w:t>
      </w:r>
      <w:r>
        <w:rPr>
          <w:sz w:val="20"/>
          <w:szCs w:val="20"/>
          <w:rtl/>
        </w:rPr>
        <w:br/>
      </w:r>
      <w:r>
        <w:rPr>
          <w:rFonts w:hint="cs"/>
          <w:sz w:val="20"/>
          <w:szCs w:val="20"/>
          <w:rtl/>
        </w:rPr>
        <w:t xml:space="preserve">דוחה </w:t>
      </w:r>
      <w:r w:rsidRPr="00382E39">
        <w:rPr>
          <w:rFonts w:hint="cs"/>
          <w:b/>
          <w:bCs/>
          <w:sz w:val="20"/>
          <w:szCs w:val="20"/>
          <w:rtl/>
        </w:rPr>
        <w:t>הט"ז</w:t>
      </w:r>
      <w:r>
        <w:rPr>
          <w:rFonts w:hint="cs"/>
          <w:sz w:val="20"/>
          <w:szCs w:val="20"/>
          <w:rtl/>
        </w:rPr>
        <w:t xml:space="preserve"> </w:t>
      </w:r>
      <w:r>
        <w:rPr>
          <w:sz w:val="20"/>
          <w:szCs w:val="20"/>
          <w:rtl/>
        </w:rPr>
        <w:t>–</w:t>
      </w:r>
      <w:r>
        <w:rPr>
          <w:rFonts w:hint="cs"/>
          <w:sz w:val="20"/>
          <w:szCs w:val="20"/>
          <w:rtl/>
        </w:rPr>
        <w:t xml:space="preserve"> הרמב"ן היה צריך לפרש זאת ולא לסתום.</w:t>
      </w:r>
      <w:r>
        <w:rPr>
          <w:rFonts w:hint="cs"/>
          <w:sz w:val="20"/>
          <w:szCs w:val="20"/>
          <w:rtl/>
        </w:rPr>
        <w:br/>
        <w:t xml:space="preserve">ב. </w:t>
      </w:r>
      <w:r w:rsidRPr="008C05E2">
        <w:rPr>
          <w:rFonts w:hint="cs"/>
          <w:b/>
          <w:bCs/>
          <w:sz w:val="20"/>
          <w:szCs w:val="20"/>
          <w:rtl/>
        </w:rPr>
        <w:t>דרישה וב"ח</w:t>
      </w:r>
      <w:r>
        <w:rPr>
          <w:rFonts w:hint="cs"/>
          <w:sz w:val="20"/>
          <w:szCs w:val="20"/>
          <w:rtl/>
        </w:rPr>
        <w:t xml:space="preserve"> </w:t>
      </w:r>
      <w:r>
        <w:rPr>
          <w:sz w:val="20"/>
          <w:szCs w:val="20"/>
          <w:rtl/>
        </w:rPr>
        <w:t>–</w:t>
      </w:r>
      <w:r>
        <w:rPr>
          <w:rFonts w:hint="cs"/>
          <w:sz w:val="20"/>
          <w:szCs w:val="20"/>
          <w:rtl/>
        </w:rPr>
        <w:t xml:space="preserve"> כוונת הרמב"ן והרמ"א היא, שאם תראה שוב ביח' לחודש הבא, קבעה לה ווסת.</w:t>
      </w:r>
      <w:r>
        <w:rPr>
          <w:rFonts w:hint="cs"/>
          <w:sz w:val="20"/>
          <w:szCs w:val="20"/>
          <w:rtl/>
        </w:rPr>
        <w:br/>
        <w:t xml:space="preserve">דוחה </w:t>
      </w:r>
      <w:r w:rsidRPr="008C05E2">
        <w:rPr>
          <w:rFonts w:hint="cs"/>
          <w:b/>
          <w:bCs/>
          <w:sz w:val="20"/>
          <w:szCs w:val="20"/>
          <w:rtl/>
        </w:rPr>
        <w:t>הט"ז</w:t>
      </w:r>
      <w:r>
        <w:rPr>
          <w:rFonts w:hint="cs"/>
          <w:sz w:val="20"/>
          <w:szCs w:val="20"/>
          <w:rtl/>
        </w:rPr>
        <w:t xml:space="preserve"> </w:t>
      </w:r>
      <w:r>
        <w:rPr>
          <w:sz w:val="20"/>
          <w:szCs w:val="20"/>
          <w:rtl/>
        </w:rPr>
        <w:t>–</w:t>
      </w:r>
      <w:r>
        <w:rPr>
          <w:rFonts w:hint="cs"/>
          <w:sz w:val="20"/>
          <w:szCs w:val="20"/>
          <w:rtl/>
        </w:rPr>
        <w:t xml:space="preserve"> הרי אין חוששים לווסת הדילוג עד שייקבע, ומדוע פסק הטור והרמ"א שחוששת לפני ראייה ד'?</w:t>
      </w:r>
      <w:r>
        <w:rPr>
          <w:rFonts w:hint="cs"/>
          <w:sz w:val="20"/>
          <w:szCs w:val="20"/>
          <w:rtl/>
        </w:rPr>
        <w:br/>
        <w:t xml:space="preserve">ג. </w:t>
      </w:r>
      <w:r w:rsidRPr="00175BCA">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דעת הרמב"ן, שיש לחוש לחומרה לרב שבג' ראיות קבעה ווסת.</w:t>
      </w:r>
    </w:p>
    <w:p w:rsidR="00620060" w:rsidRDefault="00620060" w:rsidP="00620060">
      <w:pPr>
        <w:rPr>
          <w:sz w:val="20"/>
          <w:szCs w:val="20"/>
          <w:rtl/>
        </w:rPr>
      </w:pPr>
      <w:r w:rsidRPr="0018623E">
        <w:rPr>
          <w:rFonts w:hint="cs"/>
          <w:b/>
          <w:bCs/>
          <w:sz w:val="20"/>
          <w:szCs w:val="20"/>
          <w:rtl/>
        </w:rPr>
        <w:t>סיכום</w:t>
      </w:r>
      <w:r>
        <w:rPr>
          <w:sz w:val="20"/>
          <w:szCs w:val="20"/>
          <w:rtl/>
        </w:rPr>
        <w:br/>
      </w:r>
      <w:r>
        <w:rPr>
          <w:rFonts w:hint="cs"/>
          <w:sz w:val="20"/>
          <w:szCs w:val="20"/>
          <w:rtl/>
        </w:rPr>
        <w:t xml:space="preserve">1. </w:t>
      </w:r>
      <w:r w:rsidRPr="0018623E">
        <w:rPr>
          <w:rFonts w:hint="cs"/>
          <w:b/>
          <w:bCs/>
          <w:sz w:val="20"/>
          <w:szCs w:val="20"/>
          <w:rtl/>
        </w:rPr>
        <w:t>שו"ע</w:t>
      </w:r>
      <w:r>
        <w:rPr>
          <w:rFonts w:hint="cs"/>
          <w:sz w:val="20"/>
          <w:szCs w:val="20"/>
          <w:rtl/>
        </w:rPr>
        <w:t>. ווסת נקבע רק כשכל הראיות היו באותה עונה, כלומר ביום או בלילה. אם קבעה ע"י ג' פעמים ביום ואח"כ ראתה אחת בלילה או להיפך, חוששת ליום מחמת ווסת הקבוע וחוששת ללילה מחמת ראייה האחרונה.</w:t>
      </w:r>
      <w:r>
        <w:rPr>
          <w:rFonts w:hint="cs"/>
          <w:sz w:val="20"/>
          <w:szCs w:val="20"/>
          <w:rtl/>
        </w:rPr>
        <w:br/>
        <w:t xml:space="preserve">2. </w:t>
      </w:r>
      <w:r w:rsidRPr="00217BDD">
        <w:rPr>
          <w:rFonts w:hint="cs"/>
          <w:b/>
          <w:bCs/>
          <w:sz w:val="20"/>
          <w:szCs w:val="20"/>
          <w:rtl/>
        </w:rPr>
        <w:t>גדול אחד</w:t>
      </w:r>
      <w:r>
        <w:rPr>
          <w:rFonts w:hint="cs"/>
          <w:sz w:val="20"/>
          <w:szCs w:val="20"/>
          <w:rtl/>
        </w:rPr>
        <w:t xml:space="preserve">. ווסת ההפלגה נקבע ע"פ מספר שווה של עונות בין ראייה לראייה. </w:t>
      </w:r>
      <w:r w:rsidRPr="00C87FAB">
        <w:rPr>
          <w:rFonts w:hint="cs"/>
          <w:sz w:val="18"/>
          <w:szCs w:val="18"/>
          <w:rtl/>
        </w:rPr>
        <w:t>(</w:t>
      </w:r>
      <w:r>
        <w:rPr>
          <w:rFonts w:hint="cs"/>
          <w:sz w:val="18"/>
          <w:szCs w:val="18"/>
          <w:rtl/>
        </w:rPr>
        <w:t xml:space="preserve">וכן יהיה הדין בווסת ההפלגות שאינו קבוע, שחוששת להפלגת מספר העונות שבין שתי ראיותיה האחרונות). </w:t>
      </w:r>
      <w:r w:rsidRPr="00217BDD">
        <w:rPr>
          <w:rFonts w:hint="cs"/>
          <w:b/>
          <w:bCs/>
          <w:sz w:val="20"/>
          <w:szCs w:val="20"/>
          <w:rtl/>
        </w:rPr>
        <w:t>נוב"י</w:t>
      </w:r>
      <w:r>
        <w:rPr>
          <w:rFonts w:hint="cs"/>
          <w:sz w:val="20"/>
          <w:szCs w:val="20"/>
          <w:rtl/>
        </w:rPr>
        <w:t>. אין לחשב עונות בווסת ההפלגה, אלא הווסת נקבע רק ע"פ הפרש הימים שיש בין הראיות.</w:t>
      </w:r>
      <w:r>
        <w:rPr>
          <w:rFonts w:hint="cs"/>
          <w:sz w:val="20"/>
          <w:szCs w:val="20"/>
          <w:rtl/>
        </w:rPr>
        <w:br/>
      </w:r>
      <w:r>
        <w:rPr>
          <w:rFonts w:hint="cs"/>
          <w:sz w:val="20"/>
          <w:szCs w:val="20"/>
          <w:rtl/>
        </w:rPr>
        <w:lastRenderedPageBreak/>
        <w:t xml:space="preserve">3. </w:t>
      </w:r>
      <w:r w:rsidRPr="00217BDD">
        <w:rPr>
          <w:rFonts w:hint="cs"/>
          <w:b/>
          <w:bCs/>
          <w:sz w:val="20"/>
          <w:szCs w:val="20"/>
          <w:rtl/>
        </w:rPr>
        <w:t>רמ"א</w:t>
      </w:r>
      <w:r>
        <w:rPr>
          <w:rFonts w:hint="cs"/>
          <w:sz w:val="20"/>
          <w:szCs w:val="20"/>
          <w:rtl/>
        </w:rPr>
        <w:t xml:space="preserve"> </w:t>
      </w:r>
      <w:r w:rsidRPr="00F555C4">
        <w:rPr>
          <w:rFonts w:hint="cs"/>
          <w:sz w:val="18"/>
          <w:szCs w:val="18"/>
          <w:rtl/>
        </w:rPr>
        <w:t xml:space="preserve">(ע"פ </w:t>
      </w:r>
      <w:r w:rsidRPr="00217BDD">
        <w:rPr>
          <w:rFonts w:hint="cs"/>
          <w:b/>
          <w:bCs/>
          <w:sz w:val="18"/>
          <w:szCs w:val="18"/>
          <w:rtl/>
        </w:rPr>
        <w:t>הרמב"ן</w:t>
      </w:r>
      <w:r w:rsidRPr="00F555C4">
        <w:rPr>
          <w:rFonts w:hint="cs"/>
          <w:sz w:val="18"/>
          <w:szCs w:val="18"/>
          <w:rtl/>
        </w:rPr>
        <w:t>)</w:t>
      </w:r>
      <w:r>
        <w:rPr>
          <w:rFonts w:hint="cs"/>
          <w:sz w:val="20"/>
          <w:szCs w:val="20"/>
          <w:rtl/>
        </w:rPr>
        <w:t xml:space="preserve">. אשה שראתה א' ניסן וכ' בו, וכן בא' אייר </w:t>
      </w:r>
      <w:r>
        <w:rPr>
          <w:sz w:val="20"/>
          <w:szCs w:val="20"/>
          <w:rtl/>
        </w:rPr>
        <w:t>–</w:t>
      </w:r>
      <w:r>
        <w:rPr>
          <w:rFonts w:hint="cs"/>
          <w:sz w:val="20"/>
          <w:szCs w:val="20"/>
          <w:rtl/>
        </w:rPr>
        <w:t xml:space="preserve"> חוששת לווסת ההפלגה של כ' </w:t>
      </w:r>
      <w:r w:rsidRPr="003A1CA9">
        <w:rPr>
          <w:rFonts w:hint="cs"/>
          <w:sz w:val="18"/>
          <w:szCs w:val="18"/>
          <w:rtl/>
        </w:rPr>
        <w:t xml:space="preserve">(ט' אייר) </w:t>
      </w:r>
      <w:r>
        <w:rPr>
          <w:rFonts w:hint="cs"/>
          <w:sz w:val="20"/>
          <w:szCs w:val="20"/>
          <w:rtl/>
        </w:rPr>
        <w:t xml:space="preserve">וכן לווסת החודש בא'. </w:t>
      </w:r>
      <w:r w:rsidRPr="007D4126">
        <w:rPr>
          <w:rFonts w:hint="cs"/>
          <w:b/>
          <w:bCs/>
          <w:sz w:val="20"/>
          <w:szCs w:val="20"/>
          <w:rtl/>
        </w:rPr>
        <w:t>ב"י</w:t>
      </w:r>
      <w:r>
        <w:rPr>
          <w:rFonts w:hint="cs"/>
          <w:sz w:val="20"/>
          <w:szCs w:val="20"/>
          <w:rtl/>
        </w:rPr>
        <w:t>. חוששת רק לווסת החודש שבו הולך הווסת להיקבע, אך לא לווסת ההפלגה.</w:t>
      </w:r>
      <w:r>
        <w:rPr>
          <w:sz w:val="20"/>
          <w:szCs w:val="20"/>
          <w:rtl/>
        </w:rPr>
        <w:br/>
      </w:r>
      <w:r>
        <w:rPr>
          <w:rFonts w:hint="cs"/>
          <w:sz w:val="20"/>
          <w:szCs w:val="20"/>
          <w:rtl/>
        </w:rPr>
        <w:t xml:space="preserve">4. </w:t>
      </w:r>
      <w:r w:rsidRPr="00217BDD">
        <w:rPr>
          <w:rFonts w:hint="cs"/>
          <w:b/>
          <w:bCs/>
          <w:sz w:val="20"/>
          <w:szCs w:val="20"/>
          <w:rtl/>
        </w:rPr>
        <w:t>ט"ז</w:t>
      </w:r>
      <w:r>
        <w:rPr>
          <w:rFonts w:hint="cs"/>
          <w:sz w:val="20"/>
          <w:szCs w:val="20"/>
          <w:rtl/>
        </w:rPr>
        <w:t xml:space="preserve">. הלכה </w:t>
      </w:r>
      <w:r w:rsidRPr="00217BDD">
        <w:rPr>
          <w:rFonts w:hint="cs"/>
          <w:b/>
          <w:bCs/>
          <w:sz w:val="20"/>
          <w:szCs w:val="20"/>
          <w:rtl/>
        </w:rPr>
        <w:t>כרמ"א</w:t>
      </w:r>
      <w:r>
        <w:rPr>
          <w:rFonts w:hint="cs"/>
          <w:sz w:val="20"/>
          <w:szCs w:val="20"/>
          <w:rtl/>
        </w:rPr>
        <w:t xml:space="preserve">. </w:t>
      </w:r>
      <w:r w:rsidRPr="00217BDD">
        <w:rPr>
          <w:rFonts w:hint="cs"/>
          <w:b/>
          <w:bCs/>
          <w:sz w:val="20"/>
          <w:szCs w:val="20"/>
          <w:rtl/>
        </w:rPr>
        <w:t xml:space="preserve">ב"ח </w:t>
      </w:r>
      <w:r>
        <w:rPr>
          <w:rFonts w:hint="cs"/>
          <w:b/>
          <w:bCs/>
          <w:sz w:val="20"/>
          <w:szCs w:val="20"/>
          <w:rtl/>
        </w:rPr>
        <w:t>ו</w:t>
      </w:r>
      <w:r w:rsidRPr="00217BDD">
        <w:rPr>
          <w:rFonts w:hint="cs"/>
          <w:b/>
          <w:bCs/>
          <w:sz w:val="20"/>
          <w:szCs w:val="20"/>
          <w:rtl/>
        </w:rPr>
        <w:t>ש"ך</w:t>
      </w:r>
      <w:r>
        <w:rPr>
          <w:rFonts w:hint="cs"/>
          <w:sz w:val="20"/>
          <w:szCs w:val="20"/>
          <w:rtl/>
        </w:rPr>
        <w:t>. יש לחוש להפלגת יב' מהראייה האחרונה.</w:t>
      </w:r>
      <w:r>
        <w:rPr>
          <w:sz w:val="20"/>
          <w:szCs w:val="20"/>
          <w:rtl/>
        </w:rPr>
        <w:br/>
      </w:r>
      <w:r>
        <w:rPr>
          <w:rFonts w:hint="cs"/>
          <w:sz w:val="20"/>
          <w:szCs w:val="20"/>
          <w:rtl/>
        </w:rPr>
        <w:t xml:space="preserve">5. </w:t>
      </w:r>
      <w:r w:rsidRPr="00217BDD">
        <w:rPr>
          <w:rFonts w:hint="cs"/>
          <w:b/>
          <w:bCs/>
          <w:sz w:val="20"/>
          <w:szCs w:val="20"/>
          <w:rtl/>
        </w:rPr>
        <w:t>רמ"א</w:t>
      </w:r>
      <w:r>
        <w:rPr>
          <w:rFonts w:hint="cs"/>
          <w:sz w:val="20"/>
          <w:szCs w:val="20"/>
          <w:rtl/>
        </w:rPr>
        <w:t xml:space="preserve"> הנ"ל. כאשר נקבע ווסת אחד אין חוששים לאחר. וכן אם נעקר אחד פעם אחת, אין חוששים לו עוד.</w:t>
      </w:r>
      <w:r>
        <w:rPr>
          <w:sz w:val="20"/>
          <w:szCs w:val="20"/>
          <w:rtl/>
        </w:rPr>
        <w:br/>
      </w:r>
      <w:r w:rsidRPr="00063856">
        <w:rPr>
          <w:rFonts w:hint="cs"/>
          <w:b/>
          <w:bCs/>
          <w:sz w:val="20"/>
          <w:szCs w:val="20"/>
          <w:rtl/>
        </w:rPr>
        <w:t>בית יוסף</w:t>
      </w:r>
      <w:r>
        <w:rPr>
          <w:rFonts w:hint="cs"/>
          <w:sz w:val="20"/>
          <w:szCs w:val="20"/>
          <w:rtl/>
        </w:rPr>
        <w:t>. ווסת שנקבע אינו עוקר את חברו האינו קבוע, וממשיכה לחוש לאינו קבוע עד שייעקר.</w:t>
      </w:r>
      <w:r>
        <w:rPr>
          <w:rFonts w:hint="cs"/>
          <w:sz w:val="20"/>
          <w:szCs w:val="20"/>
          <w:rtl/>
        </w:rPr>
        <w:br/>
        <w:t xml:space="preserve">6. </w:t>
      </w:r>
      <w:r w:rsidRPr="006F3F03">
        <w:rPr>
          <w:rFonts w:hint="cs"/>
          <w:sz w:val="20"/>
          <w:szCs w:val="20"/>
          <w:rtl/>
        </w:rPr>
        <w:t>האם לפני שנקבע ווסת אחד יש לחוש גם לעונה בינונית?</w:t>
      </w:r>
      <w:r>
        <w:rPr>
          <w:rFonts w:hint="cs"/>
          <w:sz w:val="20"/>
          <w:szCs w:val="20"/>
          <w:rtl/>
        </w:rPr>
        <w:t xml:space="preserve"> </w:t>
      </w:r>
      <w:r w:rsidRPr="00217BDD">
        <w:rPr>
          <w:rFonts w:hint="cs"/>
          <w:b/>
          <w:bCs/>
          <w:sz w:val="20"/>
          <w:szCs w:val="20"/>
          <w:rtl/>
        </w:rPr>
        <w:t>ב"ח</w:t>
      </w:r>
      <w:r>
        <w:rPr>
          <w:rFonts w:hint="cs"/>
          <w:sz w:val="20"/>
          <w:szCs w:val="20"/>
          <w:rtl/>
        </w:rPr>
        <w:t xml:space="preserve">. לא. </w:t>
      </w:r>
      <w:r w:rsidRPr="00217BDD">
        <w:rPr>
          <w:rFonts w:hint="cs"/>
          <w:b/>
          <w:bCs/>
          <w:sz w:val="20"/>
          <w:szCs w:val="20"/>
          <w:rtl/>
        </w:rPr>
        <w:t>ט"ז</w:t>
      </w:r>
      <w:r>
        <w:rPr>
          <w:rFonts w:hint="cs"/>
          <w:sz w:val="20"/>
          <w:szCs w:val="20"/>
          <w:rtl/>
        </w:rPr>
        <w:t>. כן.</w:t>
      </w:r>
      <w:r>
        <w:rPr>
          <w:sz w:val="20"/>
          <w:szCs w:val="20"/>
          <w:rtl/>
        </w:rPr>
        <w:br/>
      </w:r>
      <w:r>
        <w:rPr>
          <w:rFonts w:hint="cs"/>
          <w:sz w:val="20"/>
          <w:szCs w:val="20"/>
          <w:rtl/>
        </w:rPr>
        <w:t xml:space="preserve">7. </w:t>
      </w:r>
      <w:r w:rsidRPr="006F3F03">
        <w:rPr>
          <w:rFonts w:hint="cs"/>
          <w:sz w:val="20"/>
          <w:szCs w:val="20"/>
          <w:rtl/>
        </w:rPr>
        <w:t>מתי היא עו"ב?</w:t>
      </w:r>
      <w:r>
        <w:rPr>
          <w:rFonts w:hint="cs"/>
          <w:sz w:val="20"/>
          <w:szCs w:val="20"/>
          <w:rtl/>
        </w:rPr>
        <w:t xml:space="preserve"> </w:t>
      </w:r>
      <w:r w:rsidRPr="00217BDD">
        <w:rPr>
          <w:rFonts w:hint="cs"/>
          <w:b/>
          <w:bCs/>
          <w:sz w:val="20"/>
          <w:szCs w:val="20"/>
          <w:rtl/>
        </w:rPr>
        <w:t>ש"ך</w:t>
      </w:r>
      <w:r>
        <w:rPr>
          <w:rFonts w:hint="cs"/>
          <w:sz w:val="20"/>
          <w:szCs w:val="20"/>
          <w:rtl/>
        </w:rPr>
        <w:t xml:space="preserve">. יום החודש. </w:t>
      </w:r>
      <w:r w:rsidRPr="00217BDD">
        <w:rPr>
          <w:rFonts w:hint="cs"/>
          <w:b/>
          <w:bCs/>
          <w:sz w:val="20"/>
          <w:szCs w:val="20"/>
          <w:rtl/>
        </w:rPr>
        <w:t>ב"י</w:t>
      </w:r>
      <w:r>
        <w:rPr>
          <w:rFonts w:hint="cs"/>
          <w:sz w:val="20"/>
          <w:szCs w:val="20"/>
          <w:rtl/>
        </w:rPr>
        <w:t xml:space="preserve">. יום ל' מתחילת ראייתה </w:t>
      </w:r>
      <w:r w:rsidRPr="00B03717">
        <w:rPr>
          <w:rFonts w:hint="cs"/>
          <w:sz w:val="18"/>
          <w:szCs w:val="18"/>
          <w:rtl/>
        </w:rPr>
        <w:t>(ראתה בא' חוששת בל')</w:t>
      </w:r>
      <w:r>
        <w:rPr>
          <w:rFonts w:hint="cs"/>
          <w:sz w:val="20"/>
          <w:szCs w:val="20"/>
          <w:rtl/>
        </w:rPr>
        <w:t xml:space="preserve">. </w:t>
      </w:r>
      <w:r w:rsidRPr="00217BDD">
        <w:rPr>
          <w:rFonts w:hint="cs"/>
          <w:b/>
          <w:bCs/>
          <w:sz w:val="20"/>
          <w:szCs w:val="20"/>
          <w:rtl/>
        </w:rPr>
        <w:t>חוו"ד</w:t>
      </w:r>
      <w:r>
        <w:rPr>
          <w:rFonts w:hint="cs"/>
          <w:sz w:val="20"/>
          <w:szCs w:val="20"/>
          <w:rtl/>
        </w:rPr>
        <w:t>. לא' יום.</w:t>
      </w:r>
      <w:r>
        <w:rPr>
          <w:rFonts w:hint="cs"/>
          <w:sz w:val="20"/>
          <w:szCs w:val="20"/>
          <w:rtl/>
        </w:rPr>
        <w:br/>
        <w:t xml:space="preserve">8. </w:t>
      </w:r>
      <w:r w:rsidRPr="006F3F03">
        <w:rPr>
          <w:rFonts w:hint="cs"/>
          <w:sz w:val="20"/>
          <w:szCs w:val="20"/>
          <w:rtl/>
        </w:rPr>
        <w:t>ווסת הדילוג.</w:t>
      </w:r>
      <w:r>
        <w:rPr>
          <w:rFonts w:hint="cs"/>
          <w:sz w:val="20"/>
          <w:szCs w:val="20"/>
          <w:rtl/>
        </w:rPr>
        <w:t xml:space="preserve"> </w:t>
      </w:r>
      <w:r w:rsidRPr="00217BDD">
        <w:rPr>
          <w:rFonts w:hint="cs"/>
          <w:b/>
          <w:bCs/>
          <w:sz w:val="20"/>
          <w:szCs w:val="20"/>
          <w:rtl/>
        </w:rPr>
        <w:t>רמ"א</w:t>
      </w:r>
      <w:r>
        <w:rPr>
          <w:rFonts w:hint="cs"/>
          <w:sz w:val="20"/>
          <w:szCs w:val="20"/>
          <w:rtl/>
        </w:rPr>
        <w:t>. אין חוששים לווסת זה, אלא רק לאחר שנקבע.</w:t>
      </w:r>
      <w:r>
        <w:rPr>
          <w:sz w:val="20"/>
          <w:szCs w:val="20"/>
          <w:rtl/>
        </w:rPr>
        <w:br/>
      </w:r>
      <w:r>
        <w:rPr>
          <w:rFonts w:hint="cs"/>
          <w:sz w:val="20"/>
          <w:szCs w:val="20"/>
          <w:rtl/>
        </w:rPr>
        <w:t xml:space="preserve">9. </w:t>
      </w:r>
      <w:r w:rsidRPr="006F3F03">
        <w:rPr>
          <w:rFonts w:hint="cs"/>
          <w:sz w:val="20"/>
          <w:szCs w:val="20"/>
          <w:rtl/>
        </w:rPr>
        <w:t>בכמה ראיות נקבע?</w:t>
      </w:r>
      <w:r>
        <w:rPr>
          <w:rFonts w:hint="cs"/>
          <w:sz w:val="20"/>
          <w:szCs w:val="20"/>
          <w:rtl/>
        </w:rPr>
        <w:t xml:space="preserve"> </w:t>
      </w:r>
      <w:r w:rsidRPr="006F3F03">
        <w:rPr>
          <w:rFonts w:hint="cs"/>
          <w:b/>
          <w:bCs/>
          <w:sz w:val="20"/>
          <w:szCs w:val="20"/>
          <w:rtl/>
        </w:rPr>
        <w:t>ווסת</w:t>
      </w:r>
      <w:r w:rsidRPr="00063856">
        <w:rPr>
          <w:rFonts w:hint="cs"/>
          <w:b/>
          <w:bCs/>
          <w:sz w:val="20"/>
          <w:szCs w:val="20"/>
          <w:rtl/>
        </w:rPr>
        <w:t xml:space="preserve"> החודש</w:t>
      </w:r>
      <w:r w:rsidRPr="006F3F03">
        <w:rPr>
          <w:rFonts w:hint="cs"/>
          <w:b/>
          <w:bCs/>
          <w:sz w:val="20"/>
          <w:szCs w:val="20"/>
          <w:rtl/>
        </w:rPr>
        <w:t xml:space="preserve"> בדילוג</w:t>
      </w:r>
      <w:r w:rsidRPr="006F3F03">
        <w:rPr>
          <w:rFonts w:hint="cs"/>
          <w:sz w:val="20"/>
          <w:szCs w:val="20"/>
          <w:rtl/>
        </w:rPr>
        <w:t xml:space="preserve">. רב. ג'. שמואל. ד'. </w:t>
      </w:r>
      <w:r w:rsidRPr="006F3F03">
        <w:rPr>
          <w:rFonts w:hint="cs"/>
          <w:b/>
          <w:bCs/>
          <w:sz w:val="20"/>
          <w:szCs w:val="20"/>
          <w:rtl/>
        </w:rPr>
        <w:t>ווסת ההפלגה בדילוג</w:t>
      </w:r>
      <w:r w:rsidRPr="006F3F03">
        <w:rPr>
          <w:rFonts w:hint="cs"/>
          <w:sz w:val="20"/>
          <w:szCs w:val="20"/>
          <w:rtl/>
        </w:rPr>
        <w:t>. רב. ד'. שמואל. ה'.</w:t>
      </w:r>
      <w:r>
        <w:rPr>
          <w:rFonts w:hint="cs"/>
          <w:sz w:val="20"/>
          <w:szCs w:val="20"/>
          <w:rtl/>
        </w:rPr>
        <w:br/>
      </w:r>
      <w:r w:rsidRPr="00217BDD">
        <w:rPr>
          <w:rFonts w:hint="cs"/>
          <w:b/>
          <w:bCs/>
          <w:sz w:val="20"/>
          <w:szCs w:val="20"/>
          <w:rtl/>
        </w:rPr>
        <w:t xml:space="preserve">טעם </w:t>
      </w:r>
      <w:r>
        <w:rPr>
          <w:sz w:val="20"/>
          <w:szCs w:val="20"/>
          <w:rtl/>
        </w:rPr>
        <w:t>–</w:t>
      </w:r>
      <w:r>
        <w:rPr>
          <w:rFonts w:hint="cs"/>
          <w:sz w:val="20"/>
          <w:szCs w:val="20"/>
          <w:rtl/>
        </w:rPr>
        <w:t xml:space="preserve"> בווסת החודש הדילוג ניכר בראייה השנייה, אך בהפלגה הדילוג ניכר רק בשלישית.</w:t>
      </w:r>
      <w:r>
        <w:rPr>
          <w:rFonts w:hint="cs"/>
          <w:sz w:val="20"/>
          <w:szCs w:val="20"/>
          <w:rtl/>
        </w:rPr>
        <w:br/>
        <w:t xml:space="preserve">10. ראתה טו </w:t>
      </w:r>
      <w:r>
        <w:rPr>
          <w:sz w:val="20"/>
          <w:szCs w:val="20"/>
          <w:rtl/>
        </w:rPr>
        <w:t>–</w:t>
      </w:r>
      <w:r>
        <w:rPr>
          <w:rFonts w:hint="cs"/>
          <w:sz w:val="20"/>
          <w:szCs w:val="20"/>
          <w:rtl/>
        </w:rPr>
        <w:t xml:space="preserve"> יח, ובחודש אחריו טז </w:t>
      </w:r>
      <w:r>
        <w:rPr>
          <w:sz w:val="20"/>
          <w:szCs w:val="20"/>
          <w:rtl/>
        </w:rPr>
        <w:t>–</w:t>
      </w:r>
      <w:r>
        <w:rPr>
          <w:rFonts w:hint="cs"/>
          <w:sz w:val="20"/>
          <w:szCs w:val="20"/>
          <w:rtl/>
        </w:rPr>
        <w:t xml:space="preserve"> יח, ובחודש אחריו יז. לכו"ע קבעה ווסת לדילוג. האם קבעה גם ליז'? </w:t>
      </w:r>
      <w:r w:rsidRPr="009D2C72">
        <w:rPr>
          <w:rFonts w:hint="cs"/>
          <w:b/>
          <w:bCs/>
          <w:sz w:val="20"/>
          <w:szCs w:val="20"/>
          <w:rtl/>
        </w:rPr>
        <w:t>רמב"ן</w:t>
      </w:r>
      <w:r>
        <w:rPr>
          <w:rFonts w:hint="cs"/>
          <w:sz w:val="20"/>
          <w:szCs w:val="20"/>
          <w:rtl/>
        </w:rPr>
        <w:t xml:space="preserve">. כן. </w:t>
      </w:r>
      <w:r w:rsidRPr="009D2C72">
        <w:rPr>
          <w:rFonts w:hint="cs"/>
          <w:b/>
          <w:bCs/>
          <w:sz w:val="20"/>
          <w:szCs w:val="20"/>
          <w:rtl/>
        </w:rPr>
        <w:t>טעם</w:t>
      </w:r>
      <w:r>
        <w:rPr>
          <w:rFonts w:hint="cs"/>
          <w:sz w:val="20"/>
          <w:szCs w:val="20"/>
          <w:rtl/>
        </w:rPr>
        <w:t xml:space="preserve">. כל יום בראייה נידון בפנ"ע. </w:t>
      </w:r>
      <w:r w:rsidRPr="009D2C72">
        <w:rPr>
          <w:rFonts w:hint="cs"/>
          <w:b/>
          <w:bCs/>
          <w:sz w:val="20"/>
          <w:szCs w:val="20"/>
          <w:rtl/>
        </w:rPr>
        <w:t>רשב"א</w:t>
      </w:r>
      <w:r>
        <w:rPr>
          <w:rFonts w:hint="cs"/>
          <w:sz w:val="20"/>
          <w:szCs w:val="20"/>
          <w:rtl/>
        </w:rPr>
        <w:t xml:space="preserve">. לא, וכ"פ </w:t>
      </w:r>
      <w:r w:rsidRPr="009D2C72">
        <w:rPr>
          <w:rFonts w:hint="cs"/>
          <w:b/>
          <w:bCs/>
          <w:sz w:val="20"/>
          <w:szCs w:val="20"/>
          <w:rtl/>
        </w:rPr>
        <w:t>הרמ"א</w:t>
      </w:r>
      <w:r>
        <w:rPr>
          <w:rFonts w:hint="cs"/>
          <w:sz w:val="20"/>
          <w:szCs w:val="20"/>
          <w:rtl/>
        </w:rPr>
        <w:t xml:space="preserve">. </w:t>
      </w:r>
      <w:r w:rsidRPr="009D2C72">
        <w:rPr>
          <w:rFonts w:hint="cs"/>
          <w:b/>
          <w:bCs/>
          <w:sz w:val="20"/>
          <w:szCs w:val="20"/>
          <w:rtl/>
        </w:rPr>
        <w:t>טעם</w:t>
      </w:r>
      <w:r>
        <w:rPr>
          <w:rFonts w:hint="cs"/>
          <w:sz w:val="20"/>
          <w:szCs w:val="20"/>
          <w:rtl/>
        </w:rPr>
        <w:t>. תחילת הראייה היא העיקר.</w:t>
      </w:r>
      <w:r>
        <w:rPr>
          <w:sz w:val="20"/>
          <w:szCs w:val="20"/>
          <w:rtl/>
        </w:rPr>
        <w:br/>
      </w:r>
      <w:r>
        <w:rPr>
          <w:rFonts w:hint="cs"/>
          <w:sz w:val="20"/>
          <w:szCs w:val="20"/>
          <w:rtl/>
        </w:rPr>
        <w:t xml:space="preserve">11. כיצד כתב הרמב"ן שקבעה ווסת לדילוג, הרי פסק כשמואל שדרושה ראייה נוספת! </w:t>
      </w:r>
      <w:r w:rsidRPr="009D2C72">
        <w:rPr>
          <w:rFonts w:hint="cs"/>
          <w:b/>
          <w:bCs/>
          <w:sz w:val="20"/>
          <w:szCs w:val="20"/>
          <w:rtl/>
        </w:rPr>
        <w:t>ב"י</w:t>
      </w:r>
      <w:r>
        <w:rPr>
          <w:rFonts w:hint="cs"/>
          <w:sz w:val="20"/>
          <w:szCs w:val="20"/>
          <w:rtl/>
        </w:rPr>
        <w:t xml:space="preserve">. מיירי שהיה לה ווסת קבוע. </w:t>
      </w:r>
      <w:r w:rsidRPr="009D2C72">
        <w:rPr>
          <w:rFonts w:hint="cs"/>
          <w:b/>
          <w:bCs/>
          <w:sz w:val="20"/>
          <w:szCs w:val="20"/>
          <w:rtl/>
        </w:rPr>
        <w:t>ב"ח</w:t>
      </w:r>
      <w:r>
        <w:rPr>
          <w:rFonts w:hint="cs"/>
          <w:sz w:val="20"/>
          <w:szCs w:val="20"/>
          <w:rtl/>
        </w:rPr>
        <w:t xml:space="preserve">. רק אם תראה ביח' לחודש הבא קובעת ווסת. </w:t>
      </w:r>
      <w:r w:rsidRPr="009D2C72">
        <w:rPr>
          <w:rFonts w:hint="cs"/>
          <w:b/>
          <w:bCs/>
          <w:sz w:val="20"/>
          <w:szCs w:val="20"/>
          <w:rtl/>
        </w:rPr>
        <w:t>ט"ז</w:t>
      </w:r>
      <w:r>
        <w:rPr>
          <w:rFonts w:hint="cs"/>
          <w:sz w:val="20"/>
          <w:szCs w:val="20"/>
          <w:rtl/>
        </w:rPr>
        <w:t xml:space="preserve">. יש לחוש לחומרה לרב. </w:t>
      </w:r>
    </w:p>
    <w:p w:rsidR="00620060" w:rsidRDefault="00620060" w:rsidP="00620060">
      <w:pPr>
        <w:rPr>
          <w:rFonts w:cs="Arial"/>
          <w:sz w:val="20"/>
          <w:szCs w:val="20"/>
          <w:rtl/>
        </w:rPr>
      </w:pPr>
      <w:r>
        <w:rPr>
          <w:sz w:val="20"/>
          <w:szCs w:val="20"/>
          <w:rtl/>
        </w:rPr>
        <w:br/>
      </w:r>
      <w:r>
        <w:rPr>
          <w:rFonts w:hint="cs"/>
          <w:b/>
          <w:bCs/>
          <w:sz w:val="20"/>
          <w:szCs w:val="20"/>
          <w:rtl/>
        </w:rPr>
        <w:t xml:space="preserve">סעיף יד </w:t>
      </w:r>
      <w:r>
        <w:rPr>
          <w:b/>
          <w:bCs/>
          <w:sz w:val="20"/>
          <w:szCs w:val="20"/>
          <w:rtl/>
        </w:rPr>
        <w:t>–</w:t>
      </w:r>
      <w:r>
        <w:rPr>
          <w:rFonts w:hint="cs"/>
          <w:b/>
          <w:bCs/>
          <w:sz w:val="20"/>
          <w:szCs w:val="20"/>
          <w:rtl/>
        </w:rPr>
        <w:t xml:space="preserve"> שינתה ראייתה</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גמרא </w:t>
      </w:r>
      <w:r>
        <w:rPr>
          <w:rFonts w:hint="cs"/>
          <w:sz w:val="20"/>
          <w:szCs w:val="20"/>
          <w:rtl/>
        </w:rPr>
        <w:t xml:space="preserve">נידה (סד.) "תניא... </w:t>
      </w:r>
      <w:r w:rsidRPr="007F3C90">
        <w:rPr>
          <w:rFonts w:cs="Arial" w:hint="cs"/>
          <w:sz w:val="20"/>
          <w:szCs w:val="20"/>
          <w:rtl/>
        </w:rPr>
        <w:t>היתה</w:t>
      </w:r>
      <w:r w:rsidRPr="007F3C90">
        <w:rPr>
          <w:rFonts w:cs="Arial"/>
          <w:sz w:val="20"/>
          <w:szCs w:val="20"/>
          <w:rtl/>
        </w:rPr>
        <w:t xml:space="preserve"> </w:t>
      </w:r>
      <w:r w:rsidRPr="007F3C90">
        <w:rPr>
          <w:rFonts w:cs="Arial" w:hint="cs"/>
          <w:sz w:val="20"/>
          <w:szCs w:val="20"/>
          <w:rtl/>
        </w:rPr>
        <w:t>למודה</w:t>
      </w:r>
      <w:r w:rsidRPr="007F3C90">
        <w:rPr>
          <w:rFonts w:cs="Arial"/>
          <w:sz w:val="20"/>
          <w:szCs w:val="20"/>
          <w:rtl/>
        </w:rPr>
        <w:t xml:space="preserve"> </w:t>
      </w:r>
      <w:r w:rsidRPr="007F3C90">
        <w:rPr>
          <w:rFonts w:cs="Arial" w:hint="cs"/>
          <w:sz w:val="20"/>
          <w:szCs w:val="20"/>
          <w:rtl/>
        </w:rPr>
        <w:t>להיות</w:t>
      </w:r>
      <w:r w:rsidRPr="007F3C90">
        <w:rPr>
          <w:rFonts w:cs="Arial"/>
          <w:sz w:val="20"/>
          <w:szCs w:val="20"/>
          <w:rtl/>
        </w:rPr>
        <w:t xml:space="preserve"> </w:t>
      </w:r>
      <w:r w:rsidRPr="007F3C90">
        <w:rPr>
          <w:rFonts w:cs="Arial" w:hint="cs"/>
          <w:sz w:val="20"/>
          <w:szCs w:val="20"/>
          <w:rtl/>
        </w:rPr>
        <w:t>רואה</w:t>
      </w:r>
      <w:r w:rsidRPr="007F3C90">
        <w:rPr>
          <w:rFonts w:cs="Arial"/>
          <w:sz w:val="20"/>
          <w:szCs w:val="20"/>
          <w:rtl/>
        </w:rPr>
        <w:t xml:space="preserve"> </w:t>
      </w:r>
      <w:r w:rsidRPr="007F3C90">
        <w:rPr>
          <w:rFonts w:cs="Arial" w:hint="cs"/>
          <w:sz w:val="20"/>
          <w:szCs w:val="20"/>
          <w:rtl/>
        </w:rPr>
        <w:t>יום</w:t>
      </w:r>
      <w:r w:rsidRPr="007F3C90">
        <w:rPr>
          <w:rFonts w:cs="Arial"/>
          <w:sz w:val="20"/>
          <w:szCs w:val="20"/>
          <w:rtl/>
        </w:rPr>
        <w:t xml:space="preserve"> </w:t>
      </w:r>
      <w:r w:rsidRPr="007F3C90">
        <w:rPr>
          <w:rFonts w:cs="Arial" w:hint="cs"/>
          <w:sz w:val="20"/>
          <w:szCs w:val="20"/>
          <w:rtl/>
        </w:rPr>
        <w:t>עשרים</w:t>
      </w:r>
      <w:r w:rsidRPr="007F3C90">
        <w:rPr>
          <w:rFonts w:cs="Arial"/>
          <w:sz w:val="20"/>
          <w:szCs w:val="20"/>
          <w:rtl/>
        </w:rPr>
        <w:t xml:space="preserve"> </w:t>
      </w:r>
      <w:r w:rsidRPr="007F3C90">
        <w:rPr>
          <w:rFonts w:cs="Arial" w:hint="cs"/>
          <w:sz w:val="20"/>
          <w:szCs w:val="20"/>
          <w:rtl/>
        </w:rPr>
        <w:t>ושינתה</w:t>
      </w:r>
      <w:r w:rsidRPr="007F3C90">
        <w:rPr>
          <w:rFonts w:cs="Arial"/>
          <w:sz w:val="20"/>
          <w:szCs w:val="20"/>
          <w:rtl/>
        </w:rPr>
        <w:t xml:space="preserve"> </w:t>
      </w:r>
      <w:r w:rsidRPr="007F3C90">
        <w:rPr>
          <w:rFonts w:cs="Arial" w:hint="cs"/>
          <w:sz w:val="20"/>
          <w:szCs w:val="20"/>
          <w:rtl/>
        </w:rPr>
        <w:t>ליום</w:t>
      </w:r>
      <w:r w:rsidRPr="007F3C90">
        <w:rPr>
          <w:rFonts w:cs="Arial"/>
          <w:sz w:val="20"/>
          <w:szCs w:val="20"/>
          <w:rtl/>
        </w:rPr>
        <w:t xml:space="preserve"> </w:t>
      </w:r>
      <w:r w:rsidRPr="007F3C90">
        <w:rPr>
          <w:rFonts w:cs="Arial" w:hint="cs"/>
          <w:sz w:val="20"/>
          <w:szCs w:val="20"/>
          <w:rtl/>
        </w:rPr>
        <w:t>של</w:t>
      </w:r>
      <w:r>
        <w:rPr>
          <w:rFonts w:cs="Arial" w:hint="cs"/>
          <w:sz w:val="20"/>
          <w:szCs w:val="20"/>
          <w:rtl/>
        </w:rPr>
        <w:t>ו</w:t>
      </w:r>
      <w:r w:rsidRPr="007F3C90">
        <w:rPr>
          <w:rFonts w:cs="Arial" w:hint="cs"/>
          <w:sz w:val="20"/>
          <w:szCs w:val="20"/>
          <w:rtl/>
        </w:rPr>
        <w:t>שים</w:t>
      </w:r>
      <w:r w:rsidRPr="007F3C90">
        <w:rPr>
          <w:rFonts w:cs="Arial"/>
          <w:sz w:val="20"/>
          <w:szCs w:val="20"/>
          <w:rtl/>
        </w:rPr>
        <w:t xml:space="preserve"> - </w:t>
      </w:r>
      <w:r w:rsidRPr="007F3C90">
        <w:rPr>
          <w:rFonts w:cs="Arial" w:hint="cs"/>
          <w:sz w:val="20"/>
          <w:szCs w:val="20"/>
          <w:rtl/>
        </w:rPr>
        <w:t>זה</w:t>
      </w:r>
      <w:r w:rsidRPr="007F3C90">
        <w:rPr>
          <w:rFonts w:cs="Arial"/>
          <w:sz w:val="20"/>
          <w:szCs w:val="20"/>
          <w:rtl/>
        </w:rPr>
        <w:t xml:space="preserve"> </w:t>
      </w:r>
      <w:r w:rsidRPr="007F3C90">
        <w:rPr>
          <w:rFonts w:cs="Arial" w:hint="cs"/>
          <w:sz w:val="20"/>
          <w:szCs w:val="20"/>
          <w:rtl/>
        </w:rPr>
        <w:t>וזה</w:t>
      </w:r>
      <w:r w:rsidRPr="007F3C90">
        <w:rPr>
          <w:rFonts w:cs="Arial"/>
          <w:sz w:val="20"/>
          <w:szCs w:val="20"/>
          <w:rtl/>
        </w:rPr>
        <w:t xml:space="preserve"> </w:t>
      </w:r>
      <w:r w:rsidRPr="007F3C90">
        <w:rPr>
          <w:rFonts w:cs="Arial" w:hint="cs"/>
          <w:sz w:val="20"/>
          <w:szCs w:val="20"/>
          <w:rtl/>
        </w:rPr>
        <w:t>אסורין</w:t>
      </w:r>
      <w:r w:rsidRPr="007F3C90">
        <w:rPr>
          <w:rFonts w:cs="Arial"/>
          <w:sz w:val="20"/>
          <w:szCs w:val="20"/>
          <w:rtl/>
        </w:rPr>
        <w:t xml:space="preserve">, </w:t>
      </w:r>
      <w:r w:rsidRPr="007F3C90">
        <w:rPr>
          <w:rFonts w:cs="Arial" w:hint="cs"/>
          <w:sz w:val="20"/>
          <w:szCs w:val="20"/>
          <w:rtl/>
        </w:rPr>
        <w:t>הגיע</w:t>
      </w:r>
      <w:r w:rsidRPr="007F3C90">
        <w:rPr>
          <w:rFonts w:cs="Arial"/>
          <w:sz w:val="20"/>
          <w:szCs w:val="20"/>
          <w:rtl/>
        </w:rPr>
        <w:t xml:space="preserve"> </w:t>
      </w:r>
      <w:r w:rsidRPr="007F3C90">
        <w:rPr>
          <w:rFonts w:cs="Arial" w:hint="cs"/>
          <w:sz w:val="20"/>
          <w:szCs w:val="20"/>
          <w:rtl/>
        </w:rPr>
        <w:t>יום</w:t>
      </w:r>
      <w:r w:rsidRPr="007F3C90">
        <w:rPr>
          <w:rFonts w:cs="Arial"/>
          <w:sz w:val="20"/>
          <w:szCs w:val="20"/>
          <w:rtl/>
        </w:rPr>
        <w:t xml:space="preserve"> </w:t>
      </w:r>
      <w:r w:rsidRPr="007F3C90">
        <w:rPr>
          <w:rFonts w:cs="Arial" w:hint="cs"/>
          <w:sz w:val="20"/>
          <w:szCs w:val="20"/>
          <w:rtl/>
        </w:rPr>
        <w:t>עשרים</w:t>
      </w:r>
      <w:r w:rsidRPr="007F3C90">
        <w:rPr>
          <w:rFonts w:cs="Arial"/>
          <w:sz w:val="20"/>
          <w:szCs w:val="20"/>
          <w:rtl/>
        </w:rPr>
        <w:t xml:space="preserve"> </w:t>
      </w:r>
      <w:r w:rsidRPr="007F3C90">
        <w:rPr>
          <w:rFonts w:cs="Arial" w:hint="cs"/>
          <w:sz w:val="20"/>
          <w:szCs w:val="20"/>
          <w:rtl/>
        </w:rPr>
        <w:t>ולא</w:t>
      </w:r>
      <w:r w:rsidRPr="007F3C90">
        <w:rPr>
          <w:rFonts w:cs="Arial"/>
          <w:sz w:val="20"/>
          <w:szCs w:val="20"/>
          <w:rtl/>
        </w:rPr>
        <w:t xml:space="preserve"> </w:t>
      </w:r>
      <w:r w:rsidRPr="007F3C90">
        <w:rPr>
          <w:rFonts w:cs="Arial" w:hint="cs"/>
          <w:sz w:val="20"/>
          <w:szCs w:val="20"/>
          <w:rtl/>
        </w:rPr>
        <w:t>ראתה</w:t>
      </w:r>
      <w:r w:rsidRPr="007F3C90">
        <w:rPr>
          <w:rFonts w:cs="Arial"/>
          <w:sz w:val="20"/>
          <w:szCs w:val="20"/>
          <w:rtl/>
        </w:rPr>
        <w:t xml:space="preserve"> - </w:t>
      </w:r>
      <w:r w:rsidRPr="007F3C90">
        <w:rPr>
          <w:rFonts w:cs="Arial" w:hint="cs"/>
          <w:sz w:val="20"/>
          <w:szCs w:val="20"/>
          <w:rtl/>
        </w:rPr>
        <w:t>מותרת</w:t>
      </w:r>
      <w:r w:rsidRPr="007F3C90">
        <w:rPr>
          <w:rFonts w:cs="Arial"/>
          <w:sz w:val="20"/>
          <w:szCs w:val="20"/>
          <w:rtl/>
        </w:rPr>
        <w:t xml:space="preserve"> </w:t>
      </w:r>
      <w:r w:rsidRPr="007F3C90">
        <w:rPr>
          <w:rFonts w:cs="Arial" w:hint="cs"/>
          <w:sz w:val="20"/>
          <w:szCs w:val="20"/>
          <w:rtl/>
        </w:rPr>
        <w:t>לשמש</w:t>
      </w:r>
      <w:r w:rsidRPr="007F3C90">
        <w:rPr>
          <w:rFonts w:cs="Arial"/>
          <w:sz w:val="20"/>
          <w:szCs w:val="20"/>
          <w:rtl/>
        </w:rPr>
        <w:t xml:space="preserve"> </w:t>
      </w:r>
      <w:r w:rsidRPr="007F3C90">
        <w:rPr>
          <w:rFonts w:cs="Arial" w:hint="cs"/>
          <w:sz w:val="20"/>
          <w:szCs w:val="20"/>
          <w:rtl/>
        </w:rPr>
        <w:t>עד</w:t>
      </w:r>
      <w:r w:rsidRPr="007F3C90">
        <w:rPr>
          <w:rFonts w:cs="Arial"/>
          <w:sz w:val="20"/>
          <w:szCs w:val="20"/>
          <w:rtl/>
        </w:rPr>
        <w:t xml:space="preserve"> </w:t>
      </w:r>
      <w:r w:rsidRPr="007F3C90">
        <w:rPr>
          <w:rFonts w:cs="Arial" w:hint="cs"/>
          <w:sz w:val="20"/>
          <w:szCs w:val="20"/>
          <w:rtl/>
        </w:rPr>
        <w:t>יום</w:t>
      </w:r>
      <w:r w:rsidRPr="007F3C90">
        <w:rPr>
          <w:rFonts w:cs="Arial"/>
          <w:sz w:val="20"/>
          <w:szCs w:val="20"/>
          <w:rtl/>
        </w:rPr>
        <w:t xml:space="preserve"> </w:t>
      </w:r>
      <w:r w:rsidRPr="007F3C90">
        <w:rPr>
          <w:rFonts w:cs="Arial" w:hint="cs"/>
          <w:sz w:val="20"/>
          <w:szCs w:val="20"/>
          <w:rtl/>
        </w:rPr>
        <w:t>של</w:t>
      </w:r>
      <w:r>
        <w:rPr>
          <w:rFonts w:cs="Arial" w:hint="cs"/>
          <w:sz w:val="20"/>
          <w:szCs w:val="20"/>
          <w:rtl/>
        </w:rPr>
        <w:t>ו</w:t>
      </w:r>
      <w:r w:rsidRPr="007F3C90">
        <w:rPr>
          <w:rFonts w:cs="Arial" w:hint="cs"/>
          <w:sz w:val="20"/>
          <w:szCs w:val="20"/>
          <w:rtl/>
        </w:rPr>
        <w:t>שים</w:t>
      </w:r>
      <w:r w:rsidRPr="007F3C90">
        <w:rPr>
          <w:rFonts w:cs="Arial"/>
          <w:sz w:val="20"/>
          <w:szCs w:val="20"/>
          <w:rtl/>
        </w:rPr>
        <w:t xml:space="preserve">, </w:t>
      </w:r>
      <w:r w:rsidRPr="007F3C90">
        <w:rPr>
          <w:rFonts w:cs="Arial" w:hint="cs"/>
          <w:sz w:val="20"/>
          <w:szCs w:val="20"/>
          <w:rtl/>
        </w:rPr>
        <w:t>וחוששת</w:t>
      </w:r>
      <w:r w:rsidRPr="007F3C90">
        <w:rPr>
          <w:rFonts w:cs="Arial"/>
          <w:sz w:val="20"/>
          <w:szCs w:val="20"/>
          <w:rtl/>
        </w:rPr>
        <w:t xml:space="preserve"> </w:t>
      </w:r>
      <w:r w:rsidRPr="007F3C90">
        <w:rPr>
          <w:rFonts w:cs="Arial" w:hint="cs"/>
          <w:sz w:val="20"/>
          <w:szCs w:val="20"/>
          <w:rtl/>
        </w:rPr>
        <w:t>ליום</w:t>
      </w:r>
      <w:r w:rsidRPr="007F3C90">
        <w:rPr>
          <w:rFonts w:cs="Arial"/>
          <w:sz w:val="20"/>
          <w:szCs w:val="20"/>
          <w:rtl/>
        </w:rPr>
        <w:t xml:space="preserve"> </w:t>
      </w:r>
      <w:r w:rsidRPr="007F3C90">
        <w:rPr>
          <w:rFonts w:cs="Arial" w:hint="cs"/>
          <w:sz w:val="20"/>
          <w:szCs w:val="20"/>
          <w:rtl/>
        </w:rPr>
        <w:t>של</w:t>
      </w:r>
      <w:r>
        <w:rPr>
          <w:rFonts w:cs="Arial" w:hint="cs"/>
          <w:sz w:val="20"/>
          <w:szCs w:val="20"/>
          <w:rtl/>
        </w:rPr>
        <w:t>ו</w:t>
      </w:r>
      <w:r w:rsidRPr="007F3C90">
        <w:rPr>
          <w:rFonts w:cs="Arial" w:hint="cs"/>
          <w:sz w:val="20"/>
          <w:szCs w:val="20"/>
          <w:rtl/>
        </w:rPr>
        <w:t>שים</w:t>
      </w:r>
      <w:r w:rsidRPr="007F3C90">
        <w:rPr>
          <w:rFonts w:cs="Arial"/>
          <w:sz w:val="20"/>
          <w:szCs w:val="20"/>
          <w:rtl/>
        </w:rPr>
        <w:t xml:space="preserve">. </w:t>
      </w:r>
      <w:r w:rsidRPr="007F3C90">
        <w:rPr>
          <w:rFonts w:cs="Arial" w:hint="cs"/>
          <w:sz w:val="20"/>
          <w:szCs w:val="20"/>
          <w:rtl/>
        </w:rPr>
        <w:t>הגיע</w:t>
      </w:r>
      <w:r w:rsidRPr="007F3C90">
        <w:rPr>
          <w:rFonts w:cs="Arial"/>
          <w:sz w:val="20"/>
          <w:szCs w:val="20"/>
          <w:rtl/>
        </w:rPr>
        <w:t xml:space="preserve"> </w:t>
      </w:r>
      <w:r w:rsidRPr="007F3C90">
        <w:rPr>
          <w:rFonts w:cs="Arial" w:hint="cs"/>
          <w:sz w:val="20"/>
          <w:szCs w:val="20"/>
          <w:rtl/>
        </w:rPr>
        <w:t>יום</w:t>
      </w:r>
      <w:r w:rsidRPr="007F3C90">
        <w:rPr>
          <w:rFonts w:cs="Arial"/>
          <w:sz w:val="20"/>
          <w:szCs w:val="20"/>
          <w:rtl/>
        </w:rPr>
        <w:t xml:space="preserve"> </w:t>
      </w:r>
      <w:r w:rsidRPr="007F3C90">
        <w:rPr>
          <w:rFonts w:cs="Arial" w:hint="cs"/>
          <w:sz w:val="20"/>
          <w:szCs w:val="20"/>
          <w:rtl/>
        </w:rPr>
        <w:t>שלשים</w:t>
      </w:r>
      <w:r w:rsidRPr="007F3C90">
        <w:rPr>
          <w:rFonts w:cs="Arial"/>
          <w:sz w:val="20"/>
          <w:szCs w:val="20"/>
          <w:rtl/>
        </w:rPr>
        <w:t xml:space="preserve"> </w:t>
      </w:r>
      <w:r w:rsidRPr="007F3C90">
        <w:rPr>
          <w:rFonts w:cs="Arial" w:hint="cs"/>
          <w:sz w:val="20"/>
          <w:szCs w:val="20"/>
          <w:rtl/>
        </w:rPr>
        <w:t>וראתה</w:t>
      </w:r>
      <w:r w:rsidRPr="007F3C90">
        <w:rPr>
          <w:rFonts w:cs="Arial"/>
          <w:sz w:val="20"/>
          <w:szCs w:val="20"/>
          <w:rtl/>
        </w:rPr>
        <w:t xml:space="preserve">, </w:t>
      </w:r>
      <w:r w:rsidRPr="007F3C90">
        <w:rPr>
          <w:rFonts w:cs="Arial" w:hint="cs"/>
          <w:sz w:val="20"/>
          <w:szCs w:val="20"/>
          <w:rtl/>
        </w:rPr>
        <w:t>הגיע</w:t>
      </w:r>
      <w:r w:rsidRPr="007F3C90">
        <w:rPr>
          <w:rFonts w:cs="Arial"/>
          <w:sz w:val="20"/>
          <w:szCs w:val="20"/>
          <w:rtl/>
        </w:rPr>
        <w:t xml:space="preserve"> </w:t>
      </w:r>
      <w:r w:rsidRPr="007F3C90">
        <w:rPr>
          <w:rFonts w:cs="Arial" w:hint="cs"/>
          <w:sz w:val="20"/>
          <w:szCs w:val="20"/>
          <w:rtl/>
        </w:rPr>
        <w:t>יום</w:t>
      </w:r>
      <w:r w:rsidRPr="007F3C90">
        <w:rPr>
          <w:rFonts w:cs="Arial"/>
          <w:sz w:val="20"/>
          <w:szCs w:val="20"/>
          <w:rtl/>
        </w:rPr>
        <w:t xml:space="preserve"> </w:t>
      </w:r>
      <w:r w:rsidRPr="007F3C90">
        <w:rPr>
          <w:rFonts w:cs="Arial" w:hint="cs"/>
          <w:sz w:val="20"/>
          <w:szCs w:val="20"/>
          <w:rtl/>
        </w:rPr>
        <w:t>עשרים</w:t>
      </w:r>
      <w:r w:rsidRPr="007F3C90">
        <w:rPr>
          <w:rFonts w:cs="Arial"/>
          <w:sz w:val="20"/>
          <w:szCs w:val="20"/>
          <w:rtl/>
        </w:rPr>
        <w:t xml:space="preserve"> </w:t>
      </w:r>
      <w:r w:rsidRPr="007F3C90">
        <w:rPr>
          <w:rFonts w:cs="Arial" w:hint="cs"/>
          <w:sz w:val="20"/>
          <w:szCs w:val="20"/>
          <w:rtl/>
        </w:rPr>
        <w:t>ולא</w:t>
      </w:r>
      <w:r w:rsidRPr="007F3C90">
        <w:rPr>
          <w:rFonts w:cs="Arial"/>
          <w:sz w:val="20"/>
          <w:szCs w:val="20"/>
          <w:rtl/>
        </w:rPr>
        <w:t xml:space="preserve"> </w:t>
      </w:r>
      <w:r w:rsidRPr="007F3C90">
        <w:rPr>
          <w:rFonts w:cs="Arial" w:hint="cs"/>
          <w:sz w:val="20"/>
          <w:szCs w:val="20"/>
          <w:rtl/>
        </w:rPr>
        <w:t>ראתה</w:t>
      </w:r>
      <w:r w:rsidRPr="007F3C90">
        <w:rPr>
          <w:rFonts w:cs="Arial"/>
          <w:sz w:val="20"/>
          <w:szCs w:val="20"/>
          <w:rtl/>
        </w:rPr>
        <w:t xml:space="preserve">, </w:t>
      </w:r>
      <w:r w:rsidRPr="007F3C90">
        <w:rPr>
          <w:rFonts w:cs="Arial" w:hint="cs"/>
          <w:sz w:val="20"/>
          <w:szCs w:val="20"/>
          <w:rtl/>
        </w:rPr>
        <w:t>והגיע</w:t>
      </w:r>
      <w:r w:rsidRPr="007F3C90">
        <w:rPr>
          <w:rFonts w:cs="Arial"/>
          <w:sz w:val="20"/>
          <w:szCs w:val="20"/>
          <w:rtl/>
        </w:rPr>
        <w:t xml:space="preserve"> </w:t>
      </w:r>
      <w:r w:rsidRPr="007F3C90">
        <w:rPr>
          <w:rFonts w:cs="Arial" w:hint="cs"/>
          <w:sz w:val="20"/>
          <w:szCs w:val="20"/>
          <w:rtl/>
        </w:rPr>
        <w:t>יום</w:t>
      </w:r>
      <w:r w:rsidRPr="007F3C90">
        <w:rPr>
          <w:rFonts w:cs="Arial"/>
          <w:sz w:val="20"/>
          <w:szCs w:val="20"/>
          <w:rtl/>
        </w:rPr>
        <w:t xml:space="preserve"> </w:t>
      </w:r>
      <w:r w:rsidRPr="007F3C90">
        <w:rPr>
          <w:rFonts w:cs="Arial" w:hint="cs"/>
          <w:sz w:val="20"/>
          <w:szCs w:val="20"/>
          <w:rtl/>
        </w:rPr>
        <w:t>של</w:t>
      </w:r>
      <w:r>
        <w:rPr>
          <w:rFonts w:cs="Arial" w:hint="cs"/>
          <w:sz w:val="20"/>
          <w:szCs w:val="20"/>
          <w:rtl/>
        </w:rPr>
        <w:t>ו</w:t>
      </w:r>
      <w:r w:rsidRPr="007F3C90">
        <w:rPr>
          <w:rFonts w:cs="Arial" w:hint="cs"/>
          <w:sz w:val="20"/>
          <w:szCs w:val="20"/>
          <w:rtl/>
        </w:rPr>
        <w:t>שים</w:t>
      </w:r>
      <w:r w:rsidRPr="007F3C90">
        <w:rPr>
          <w:rFonts w:cs="Arial"/>
          <w:sz w:val="20"/>
          <w:szCs w:val="20"/>
          <w:rtl/>
        </w:rPr>
        <w:t xml:space="preserve"> </w:t>
      </w:r>
      <w:r w:rsidRPr="007F3C90">
        <w:rPr>
          <w:rFonts w:cs="Arial" w:hint="cs"/>
          <w:sz w:val="20"/>
          <w:szCs w:val="20"/>
          <w:rtl/>
        </w:rPr>
        <w:t>ולא</w:t>
      </w:r>
      <w:r w:rsidRPr="007F3C90">
        <w:rPr>
          <w:rFonts w:cs="Arial"/>
          <w:sz w:val="20"/>
          <w:szCs w:val="20"/>
          <w:rtl/>
        </w:rPr>
        <w:t xml:space="preserve"> </w:t>
      </w:r>
      <w:r w:rsidRPr="007F3C90">
        <w:rPr>
          <w:rFonts w:cs="Arial" w:hint="cs"/>
          <w:sz w:val="20"/>
          <w:szCs w:val="20"/>
          <w:rtl/>
        </w:rPr>
        <w:t>ראתה</w:t>
      </w:r>
      <w:r w:rsidRPr="007F3C90">
        <w:rPr>
          <w:rFonts w:cs="Arial"/>
          <w:sz w:val="20"/>
          <w:szCs w:val="20"/>
          <w:rtl/>
        </w:rPr>
        <w:t xml:space="preserve">, </w:t>
      </w:r>
      <w:r w:rsidRPr="007F3C90">
        <w:rPr>
          <w:rFonts w:cs="Arial" w:hint="cs"/>
          <w:sz w:val="20"/>
          <w:szCs w:val="20"/>
          <w:rtl/>
        </w:rPr>
        <w:t>והגיע</w:t>
      </w:r>
      <w:r w:rsidRPr="007F3C90">
        <w:rPr>
          <w:rFonts w:cs="Arial"/>
          <w:sz w:val="20"/>
          <w:szCs w:val="20"/>
          <w:rtl/>
        </w:rPr>
        <w:t xml:space="preserve"> </w:t>
      </w:r>
      <w:r w:rsidRPr="007F3C90">
        <w:rPr>
          <w:rFonts w:cs="Arial" w:hint="cs"/>
          <w:sz w:val="20"/>
          <w:szCs w:val="20"/>
          <w:rtl/>
        </w:rPr>
        <w:t>יום</w:t>
      </w:r>
      <w:r w:rsidRPr="007F3C90">
        <w:rPr>
          <w:rFonts w:cs="Arial"/>
          <w:sz w:val="20"/>
          <w:szCs w:val="20"/>
          <w:rtl/>
        </w:rPr>
        <w:t xml:space="preserve"> </w:t>
      </w:r>
      <w:r w:rsidRPr="007F3C90">
        <w:rPr>
          <w:rFonts w:cs="Arial" w:hint="cs"/>
          <w:sz w:val="20"/>
          <w:szCs w:val="20"/>
          <w:rtl/>
        </w:rPr>
        <w:t>עשרים</w:t>
      </w:r>
      <w:r w:rsidRPr="007F3C90">
        <w:rPr>
          <w:rFonts w:cs="Arial"/>
          <w:sz w:val="20"/>
          <w:szCs w:val="20"/>
          <w:rtl/>
        </w:rPr>
        <w:t xml:space="preserve"> </w:t>
      </w:r>
      <w:r w:rsidRPr="007F3C90">
        <w:rPr>
          <w:rFonts w:cs="Arial" w:hint="cs"/>
          <w:sz w:val="20"/>
          <w:szCs w:val="20"/>
          <w:rtl/>
        </w:rPr>
        <w:t>וראתה</w:t>
      </w:r>
      <w:r w:rsidRPr="007F3C90">
        <w:rPr>
          <w:rFonts w:cs="Arial"/>
          <w:sz w:val="20"/>
          <w:szCs w:val="20"/>
          <w:rtl/>
        </w:rPr>
        <w:t xml:space="preserve"> - </w:t>
      </w:r>
      <w:r w:rsidRPr="007F3C90">
        <w:rPr>
          <w:rFonts w:cs="Arial" w:hint="cs"/>
          <w:sz w:val="20"/>
          <w:szCs w:val="20"/>
          <w:rtl/>
        </w:rPr>
        <w:t>הותר</w:t>
      </w:r>
      <w:r w:rsidRPr="007F3C90">
        <w:rPr>
          <w:rFonts w:cs="Arial"/>
          <w:sz w:val="20"/>
          <w:szCs w:val="20"/>
          <w:rtl/>
        </w:rPr>
        <w:t xml:space="preserve"> </w:t>
      </w:r>
      <w:r w:rsidRPr="007F3C90">
        <w:rPr>
          <w:rFonts w:cs="Arial" w:hint="cs"/>
          <w:sz w:val="20"/>
          <w:szCs w:val="20"/>
          <w:rtl/>
        </w:rPr>
        <w:t>יום</w:t>
      </w:r>
      <w:r w:rsidRPr="007F3C90">
        <w:rPr>
          <w:rFonts w:cs="Arial"/>
          <w:sz w:val="20"/>
          <w:szCs w:val="20"/>
          <w:rtl/>
        </w:rPr>
        <w:t xml:space="preserve"> </w:t>
      </w:r>
      <w:r w:rsidRPr="007F3C90">
        <w:rPr>
          <w:rFonts w:cs="Arial" w:hint="cs"/>
          <w:sz w:val="20"/>
          <w:szCs w:val="20"/>
          <w:rtl/>
        </w:rPr>
        <w:t>של</w:t>
      </w:r>
      <w:r>
        <w:rPr>
          <w:rFonts w:cs="Arial" w:hint="cs"/>
          <w:sz w:val="20"/>
          <w:szCs w:val="20"/>
          <w:rtl/>
        </w:rPr>
        <w:t>ו</w:t>
      </w:r>
      <w:r w:rsidRPr="007F3C90">
        <w:rPr>
          <w:rFonts w:cs="Arial" w:hint="cs"/>
          <w:sz w:val="20"/>
          <w:szCs w:val="20"/>
          <w:rtl/>
        </w:rPr>
        <w:t>שים</w:t>
      </w:r>
      <w:r w:rsidRPr="007F3C90">
        <w:rPr>
          <w:rFonts w:hint="cs"/>
          <w:rtl/>
        </w:rPr>
        <w:t xml:space="preserve"> </w:t>
      </w:r>
      <w:r w:rsidRPr="007F3C90">
        <w:rPr>
          <w:rFonts w:cs="Arial" w:hint="cs"/>
          <w:sz w:val="20"/>
          <w:szCs w:val="20"/>
          <w:rtl/>
        </w:rPr>
        <w:t>ונאסר</w:t>
      </w:r>
      <w:r w:rsidRPr="007F3C90">
        <w:rPr>
          <w:rFonts w:cs="Arial"/>
          <w:sz w:val="20"/>
          <w:szCs w:val="20"/>
          <w:rtl/>
        </w:rPr>
        <w:t xml:space="preserve"> </w:t>
      </w:r>
      <w:r w:rsidRPr="007F3C90">
        <w:rPr>
          <w:rFonts w:cs="Arial" w:hint="cs"/>
          <w:sz w:val="20"/>
          <w:szCs w:val="20"/>
          <w:rtl/>
        </w:rPr>
        <w:t>יום</w:t>
      </w:r>
      <w:r w:rsidRPr="007F3C90">
        <w:rPr>
          <w:rFonts w:cs="Arial"/>
          <w:sz w:val="20"/>
          <w:szCs w:val="20"/>
          <w:rtl/>
        </w:rPr>
        <w:t xml:space="preserve"> </w:t>
      </w:r>
      <w:r w:rsidRPr="007F3C90">
        <w:rPr>
          <w:rFonts w:cs="Arial" w:hint="cs"/>
          <w:sz w:val="20"/>
          <w:szCs w:val="20"/>
          <w:rtl/>
        </w:rPr>
        <w:t>עשרים</w:t>
      </w:r>
      <w:r w:rsidRPr="007F3C90">
        <w:rPr>
          <w:rFonts w:cs="Arial"/>
          <w:sz w:val="20"/>
          <w:szCs w:val="20"/>
          <w:rtl/>
        </w:rPr>
        <w:t xml:space="preserve">, </w:t>
      </w:r>
      <w:r w:rsidRPr="007F3C90">
        <w:rPr>
          <w:rFonts w:cs="Arial" w:hint="cs"/>
          <w:sz w:val="20"/>
          <w:szCs w:val="20"/>
          <w:rtl/>
        </w:rPr>
        <w:t>מפני</w:t>
      </w:r>
      <w:r w:rsidRPr="007F3C90">
        <w:rPr>
          <w:rFonts w:cs="Arial"/>
          <w:sz w:val="20"/>
          <w:szCs w:val="20"/>
          <w:rtl/>
        </w:rPr>
        <w:t xml:space="preserve"> </w:t>
      </w:r>
      <w:r w:rsidRPr="007F3C90">
        <w:rPr>
          <w:rFonts w:cs="Arial" w:hint="cs"/>
          <w:sz w:val="20"/>
          <w:szCs w:val="20"/>
          <w:rtl/>
        </w:rPr>
        <w:t>שאורח</w:t>
      </w:r>
      <w:r w:rsidRPr="007F3C90">
        <w:rPr>
          <w:rFonts w:cs="Arial"/>
          <w:sz w:val="20"/>
          <w:szCs w:val="20"/>
          <w:rtl/>
        </w:rPr>
        <w:t xml:space="preserve"> </w:t>
      </w:r>
      <w:r w:rsidRPr="007F3C90">
        <w:rPr>
          <w:rFonts w:cs="Arial" w:hint="cs"/>
          <w:sz w:val="20"/>
          <w:szCs w:val="20"/>
          <w:rtl/>
        </w:rPr>
        <w:t>בזמנו</w:t>
      </w:r>
      <w:r w:rsidRPr="007F3C90">
        <w:rPr>
          <w:rFonts w:cs="Arial"/>
          <w:sz w:val="20"/>
          <w:szCs w:val="20"/>
          <w:rtl/>
        </w:rPr>
        <w:t xml:space="preserve"> </w:t>
      </w:r>
      <w:r w:rsidRPr="007F3C90">
        <w:rPr>
          <w:rFonts w:cs="Arial" w:hint="cs"/>
          <w:sz w:val="20"/>
          <w:szCs w:val="20"/>
          <w:rtl/>
        </w:rPr>
        <w:t>בא</w:t>
      </w:r>
      <w:r>
        <w:rPr>
          <w:rFonts w:cs="Arial" w:hint="cs"/>
          <w:sz w:val="20"/>
          <w:szCs w:val="20"/>
          <w:rtl/>
        </w:rPr>
        <w:t>"</w:t>
      </w:r>
      <w:r w:rsidRPr="007F3C90">
        <w:rPr>
          <w:rFonts w:cs="Arial"/>
          <w:sz w:val="20"/>
          <w:szCs w:val="20"/>
          <w:rtl/>
        </w:rPr>
        <w:t>.</w:t>
      </w:r>
    </w:p>
    <w:p w:rsidR="00620060" w:rsidRDefault="00620060" w:rsidP="00620060">
      <w:pPr>
        <w:rPr>
          <w:sz w:val="20"/>
          <w:szCs w:val="20"/>
          <w:rtl/>
        </w:rPr>
      </w:pPr>
      <w:r>
        <w:rPr>
          <w:rFonts w:cs="Arial" w:hint="cs"/>
          <w:sz w:val="20"/>
          <w:szCs w:val="20"/>
          <w:u w:val="single"/>
          <w:rtl/>
        </w:rPr>
        <w:t>מדוע לא נעקר הווסת?</w:t>
      </w:r>
      <w:r>
        <w:rPr>
          <w:rFonts w:cs="Arial" w:hint="cs"/>
          <w:sz w:val="20"/>
          <w:szCs w:val="20"/>
          <w:u w:val="single"/>
          <w:rtl/>
        </w:rPr>
        <w:br/>
      </w:r>
      <w:r>
        <w:rPr>
          <w:rFonts w:cs="Arial" w:hint="cs"/>
          <w:sz w:val="20"/>
          <w:szCs w:val="20"/>
          <w:rtl/>
        </w:rPr>
        <w:t xml:space="preserve">סיכום המקרה כך </w:t>
      </w:r>
      <w:r>
        <w:rPr>
          <w:rFonts w:cs="Arial"/>
          <w:sz w:val="20"/>
          <w:szCs w:val="20"/>
          <w:rtl/>
        </w:rPr>
        <w:t>–</w:t>
      </w:r>
      <w:r>
        <w:rPr>
          <w:rFonts w:cs="Arial" w:hint="cs"/>
          <w:sz w:val="20"/>
          <w:szCs w:val="20"/>
          <w:rtl/>
        </w:rPr>
        <w:t xml:space="preserve"> למודה לראות בכ' ושינתה פעמיים לל'</w:t>
      </w:r>
      <w:r>
        <w:rPr>
          <w:rFonts w:hint="cs"/>
          <w:sz w:val="20"/>
          <w:szCs w:val="20"/>
          <w:rtl/>
        </w:rPr>
        <w:t xml:space="preserve">. לאחר מכן לא ראתה בכ' ולא לל' ואח"כ ראתה לכ'. </w:t>
      </w:r>
      <w:r>
        <w:rPr>
          <w:sz w:val="20"/>
          <w:szCs w:val="20"/>
          <w:rtl/>
        </w:rPr>
        <w:br/>
      </w:r>
      <w:r>
        <w:rPr>
          <w:rFonts w:hint="cs"/>
          <w:sz w:val="20"/>
          <w:szCs w:val="20"/>
          <w:rtl/>
        </w:rPr>
        <w:t xml:space="preserve">וקשה </w:t>
      </w:r>
      <w:r>
        <w:rPr>
          <w:sz w:val="20"/>
          <w:szCs w:val="20"/>
          <w:rtl/>
        </w:rPr>
        <w:t>–</w:t>
      </w:r>
      <w:r>
        <w:rPr>
          <w:rFonts w:hint="cs"/>
          <w:sz w:val="20"/>
          <w:szCs w:val="20"/>
          <w:rtl/>
        </w:rPr>
        <w:t xml:space="preserve"> מדוע כ' לא נעקר, הרי ג' פעמים הגיע כ' ולא ראתה בו!</w:t>
      </w:r>
      <w:r>
        <w:rPr>
          <w:rFonts w:hint="cs"/>
          <w:sz w:val="20"/>
          <w:szCs w:val="20"/>
          <w:rtl/>
        </w:rPr>
        <w:br/>
        <w:t xml:space="preserve">מיישב </w:t>
      </w:r>
      <w:r w:rsidRPr="00D60477">
        <w:rPr>
          <w:rFonts w:hint="cs"/>
          <w:b/>
          <w:bCs/>
          <w:sz w:val="20"/>
          <w:szCs w:val="20"/>
          <w:rtl/>
        </w:rPr>
        <w:t>רש"י</w:t>
      </w:r>
      <w:r>
        <w:rPr>
          <w:rFonts w:hint="cs"/>
          <w:sz w:val="20"/>
          <w:szCs w:val="20"/>
          <w:rtl/>
        </w:rPr>
        <w:t xml:space="preserve"> </w:t>
      </w:r>
      <w:r>
        <w:rPr>
          <w:sz w:val="20"/>
          <w:szCs w:val="20"/>
          <w:rtl/>
        </w:rPr>
        <w:t>–</w:t>
      </w:r>
      <w:r>
        <w:rPr>
          <w:rFonts w:hint="cs"/>
          <w:sz w:val="20"/>
          <w:szCs w:val="20"/>
          <w:rtl/>
        </w:rPr>
        <w:t xml:space="preserve"> עקירה אחרונה אינה חשובה עקירה, כיוון שאף בל' לא ראתה. </w:t>
      </w:r>
      <w:r>
        <w:rPr>
          <w:sz w:val="20"/>
          <w:szCs w:val="20"/>
          <w:rtl/>
        </w:rPr>
        <w:br/>
      </w:r>
      <w:r>
        <w:rPr>
          <w:rFonts w:hint="cs"/>
          <w:sz w:val="20"/>
          <w:szCs w:val="20"/>
          <w:rtl/>
        </w:rPr>
        <w:t>כלומר, כדי לעקור ווסת לא די שלא ראתה גרידא, אלא צריך שתראה בזמן אחר.</w:t>
      </w:r>
    </w:p>
    <w:p w:rsidR="00620060" w:rsidRDefault="00620060" w:rsidP="00620060">
      <w:pPr>
        <w:rPr>
          <w:sz w:val="20"/>
          <w:szCs w:val="20"/>
          <w:rtl/>
        </w:rPr>
      </w:pPr>
      <w:r>
        <w:rPr>
          <w:rFonts w:hint="cs"/>
          <w:b/>
          <w:bCs/>
          <w:sz w:val="20"/>
          <w:szCs w:val="20"/>
          <w:rtl/>
        </w:rPr>
        <w:t>מאיזה יום יש לה למנות את הכ'?</w:t>
      </w:r>
      <w:r>
        <w:rPr>
          <w:b/>
          <w:bCs/>
          <w:sz w:val="20"/>
          <w:szCs w:val="20"/>
          <w:rtl/>
        </w:rPr>
        <w:br/>
      </w:r>
      <w:r>
        <w:rPr>
          <w:rFonts w:hint="cs"/>
          <w:b/>
          <w:bCs/>
          <w:sz w:val="20"/>
          <w:szCs w:val="20"/>
          <w:rtl/>
        </w:rPr>
        <w:t xml:space="preserve">גמרא </w:t>
      </w:r>
      <w:r>
        <w:rPr>
          <w:rFonts w:hint="cs"/>
          <w:sz w:val="20"/>
          <w:szCs w:val="20"/>
          <w:rtl/>
        </w:rPr>
        <w:t xml:space="preserve">נידה (לט:) </w:t>
      </w:r>
      <w:r w:rsidRPr="003A5648">
        <w:rPr>
          <w:rFonts w:hint="cs"/>
          <w:sz w:val="20"/>
          <w:szCs w:val="20"/>
          <w:rtl/>
        </w:rPr>
        <w:t>"</w:t>
      </w:r>
      <w:r w:rsidRPr="004F79A0">
        <w:rPr>
          <w:rFonts w:hint="cs"/>
          <w:sz w:val="18"/>
          <w:szCs w:val="18"/>
          <w:rtl/>
        </w:rPr>
        <w:t>[היתה למודה לראות וסת קבוע]</w:t>
      </w:r>
      <w:r w:rsidRPr="004F79A0">
        <w:rPr>
          <w:rFonts w:hint="cs"/>
          <w:sz w:val="20"/>
          <w:szCs w:val="20"/>
          <w:rtl/>
        </w:rPr>
        <w:t xml:space="preserve"> </w:t>
      </w:r>
      <w:r w:rsidRPr="003A5648">
        <w:rPr>
          <w:rFonts w:cs="Arial" w:hint="cs"/>
          <w:sz w:val="20"/>
          <w:szCs w:val="20"/>
          <w:rtl/>
        </w:rPr>
        <w:t>כ</w:t>
      </w:r>
      <w:r w:rsidRPr="003A5648">
        <w:rPr>
          <w:rFonts w:cs="Arial"/>
          <w:sz w:val="20"/>
          <w:szCs w:val="20"/>
          <w:rtl/>
        </w:rPr>
        <w:t>"</w:t>
      </w:r>
      <w:r w:rsidRPr="003A5648">
        <w:rPr>
          <w:rFonts w:cs="Arial" w:hint="cs"/>
          <w:sz w:val="20"/>
          <w:szCs w:val="20"/>
          <w:rtl/>
        </w:rPr>
        <w:t>ב</w:t>
      </w:r>
      <w:r w:rsidRPr="003A5648">
        <w:rPr>
          <w:rFonts w:cs="Arial"/>
          <w:sz w:val="20"/>
          <w:szCs w:val="20"/>
          <w:rtl/>
        </w:rPr>
        <w:t xml:space="preserve"> </w:t>
      </w:r>
      <w:r w:rsidRPr="003A5648">
        <w:rPr>
          <w:rFonts w:cs="Arial" w:hint="cs"/>
          <w:sz w:val="20"/>
          <w:szCs w:val="20"/>
          <w:rtl/>
        </w:rPr>
        <w:t>לראייתה</w:t>
      </w:r>
      <w:r w:rsidRPr="003A5648">
        <w:rPr>
          <w:rFonts w:cs="Arial"/>
          <w:sz w:val="20"/>
          <w:szCs w:val="20"/>
          <w:rtl/>
        </w:rPr>
        <w:t xml:space="preserve">, </w:t>
      </w:r>
      <w:r w:rsidRPr="003A5648">
        <w:rPr>
          <w:rFonts w:cs="Arial" w:hint="cs"/>
          <w:sz w:val="20"/>
          <w:szCs w:val="20"/>
          <w:rtl/>
        </w:rPr>
        <w:t>ושינתה</w:t>
      </w:r>
      <w:r w:rsidRPr="003A5648">
        <w:rPr>
          <w:rFonts w:cs="Arial"/>
          <w:sz w:val="20"/>
          <w:szCs w:val="20"/>
          <w:rtl/>
        </w:rPr>
        <w:t xml:space="preserve"> </w:t>
      </w:r>
      <w:r w:rsidRPr="003A5648">
        <w:rPr>
          <w:rFonts w:cs="Arial" w:hint="cs"/>
          <w:sz w:val="20"/>
          <w:szCs w:val="20"/>
          <w:rtl/>
        </w:rPr>
        <w:t>ליום</w:t>
      </w:r>
      <w:r w:rsidRPr="003A5648">
        <w:rPr>
          <w:rFonts w:cs="Arial"/>
          <w:sz w:val="20"/>
          <w:szCs w:val="20"/>
          <w:rtl/>
        </w:rPr>
        <w:t xml:space="preserve"> </w:t>
      </w:r>
      <w:r w:rsidRPr="003A5648">
        <w:rPr>
          <w:rFonts w:cs="Arial" w:hint="cs"/>
          <w:sz w:val="20"/>
          <w:szCs w:val="20"/>
          <w:rtl/>
        </w:rPr>
        <w:t>כ</w:t>
      </w:r>
      <w:r w:rsidRPr="003A5648">
        <w:rPr>
          <w:rFonts w:cs="Arial"/>
          <w:sz w:val="20"/>
          <w:szCs w:val="20"/>
          <w:rtl/>
        </w:rPr>
        <w:t>"</w:t>
      </w:r>
      <w:r w:rsidRPr="003A5648">
        <w:rPr>
          <w:rFonts w:cs="Arial" w:hint="cs"/>
          <w:sz w:val="20"/>
          <w:szCs w:val="20"/>
          <w:rtl/>
        </w:rPr>
        <w:t>ז</w:t>
      </w:r>
      <w:r>
        <w:rPr>
          <w:rFonts w:cs="Arial" w:hint="cs"/>
          <w:sz w:val="20"/>
          <w:szCs w:val="20"/>
          <w:rtl/>
        </w:rPr>
        <w:t xml:space="preserve">... </w:t>
      </w:r>
      <w:r w:rsidRPr="003A5648">
        <w:rPr>
          <w:rFonts w:cs="Arial" w:hint="cs"/>
          <w:sz w:val="20"/>
          <w:szCs w:val="20"/>
          <w:rtl/>
        </w:rPr>
        <w:t>קסבר</w:t>
      </w:r>
      <w:r w:rsidRPr="003A5648">
        <w:rPr>
          <w:rFonts w:cs="Arial"/>
          <w:sz w:val="20"/>
          <w:szCs w:val="20"/>
          <w:rtl/>
        </w:rPr>
        <w:t xml:space="preserve"> </w:t>
      </w:r>
      <w:r w:rsidRPr="003A5648">
        <w:rPr>
          <w:rFonts w:cs="Arial" w:hint="cs"/>
          <w:sz w:val="20"/>
          <w:szCs w:val="20"/>
          <w:rtl/>
        </w:rPr>
        <w:t>רב</w:t>
      </w:r>
      <w:r w:rsidRPr="003A5648">
        <w:rPr>
          <w:rFonts w:cs="Arial"/>
          <w:sz w:val="20"/>
          <w:szCs w:val="20"/>
          <w:rtl/>
        </w:rPr>
        <w:t xml:space="preserve"> </w:t>
      </w:r>
      <w:r w:rsidRPr="003A5648">
        <w:rPr>
          <w:rFonts w:cs="Arial" w:hint="cs"/>
          <w:sz w:val="20"/>
          <w:szCs w:val="20"/>
          <w:rtl/>
        </w:rPr>
        <w:t>פפא</w:t>
      </w:r>
      <w:r w:rsidRPr="003A5648">
        <w:rPr>
          <w:rFonts w:cs="Arial"/>
          <w:sz w:val="20"/>
          <w:szCs w:val="20"/>
          <w:rtl/>
        </w:rPr>
        <w:t xml:space="preserve">: </w:t>
      </w:r>
      <w:r w:rsidRPr="003A5648">
        <w:rPr>
          <w:rFonts w:cs="Arial" w:hint="cs"/>
          <w:sz w:val="20"/>
          <w:szCs w:val="20"/>
          <w:rtl/>
        </w:rPr>
        <w:t>עשרין</w:t>
      </w:r>
      <w:r w:rsidRPr="003A5648">
        <w:rPr>
          <w:rFonts w:cs="Arial"/>
          <w:sz w:val="20"/>
          <w:szCs w:val="20"/>
          <w:rtl/>
        </w:rPr>
        <w:t xml:space="preserve"> </w:t>
      </w:r>
      <w:r w:rsidRPr="003A5648">
        <w:rPr>
          <w:rFonts w:cs="Arial" w:hint="cs"/>
          <w:sz w:val="20"/>
          <w:szCs w:val="20"/>
          <w:rtl/>
        </w:rPr>
        <w:t>ותרתין</w:t>
      </w:r>
      <w:r w:rsidRPr="003A5648">
        <w:rPr>
          <w:rFonts w:cs="Arial"/>
          <w:sz w:val="20"/>
          <w:szCs w:val="20"/>
          <w:rtl/>
        </w:rPr>
        <w:t xml:space="preserve"> - </w:t>
      </w:r>
      <w:r w:rsidRPr="003A5648">
        <w:rPr>
          <w:rFonts w:cs="Arial" w:hint="cs"/>
          <w:sz w:val="20"/>
          <w:szCs w:val="20"/>
          <w:rtl/>
        </w:rPr>
        <w:t>מעשרין</w:t>
      </w:r>
      <w:r w:rsidRPr="003A5648">
        <w:rPr>
          <w:rFonts w:cs="Arial"/>
          <w:sz w:val="20"/>
          <w:szCs w:val="20"/>
          <w:rtl/>
        </w:rPr>
        <w:t xml:space="preserve"> </w:t>
      </w:r>
      <w:r w:rsidRPr="003A5648">
        <w:rPr>
          <w:rFonts w:cs="Arial" w:hint="cs"/>
          <w:sz w:val="20"/>
          <w:szCs w:val="20"/>
          <w:rtl/>
        </w:rPr>
        <w:t>ותרתין</w:t>
      </w:r>
      <w:r w:rsidRPr="003A5648">
        <w:rPr>
          <w:rFonts w:cs="Arial"/>
          <w:sz w:val="20"/>
          <w:szCs w:val="20"/>
          <w:rtl/>
        </w:rPr>
        <w:t xml:space="preserve"> </w:t>
      </w:r>
      <w:r w:rsidRPr="003A5648">
        <w:rPr>
          <w:rFonts w:cs="Arial" w:hint="cs"/>
          <w:sz w:val="20"/>
          <w:szCs w:val="20"/>
          <w:rtl/>
        </w:rPr>
        <w:t>מנינן</w:t>
      </w:r>
      <w:r>
        <w:rPr>
          <w:rFonts w:cs="Arial" w:hint="cs"/>
          <w:sz w:val="20"/>
          <w:szCs w:val="20"/>
          <w:rtl/>
        </w:rPr>
        <w:t xml:space="preserve">... </w:t>
      </w:r>
      <w:r w:rsidRPr="003A5648">
        <w:rPr>
          <w:rFonts w:cs="Arial" w:hint="cs"/>
          <w:sz w:val="20"/>
          <w:szCs w:val="20"/>
          <w:rtl/>
        </w:rPr>
        <w:t>א</w:t>
      </w:r>
      <w:r>
        <w:rPr>
          <w:rFonts w:cs="Arial" w:hint="cs"/>
          <w:sz w:val="20"/>
          <w:szCs w:val="20"/>
          <w:rtl/>
        </w:rPr>
        <w:t xml:space="preserve">מר </w:t>
      </w:r>
      <w:r w:rsidRPr="003A5648">
        <w:rPr>
          <w:rFonts w:cs="Arial" w:hint="cs"/>
          <w:sz w:val="20"/>
          <w:szCs w:val="20"/>
          <w:rtl/>
        </w:rPr>
        <w:t>ל</w:t>
      </w:r>
      <w:r>
        <w:rPr>
          <w:rFonts w:cs="Arial" w:hint="cs"/>
          <w:sz w:val="20"/>
          <w:szCs w:val="20"/>
          <w:rtl/>
        </w:rPr>
        <w:t>יה</w:t>
      </w:r>
      <w:r w:rsidRPr="003A5648">
        <w:rPr>
          <w:rFonts w:cs="Arial"/>
          <w:sz w:val="20"/>
          <w:szCs w:val="20"/>
          <w:rtl/>
        </w:rPr>
        <w:t xml:space="preserve"> </w:t>
      </w:r>
      <w:r w:rsidRPr="003A5648">
        <w:rPr>
          <w:rFonts w:cs="Arial" w:hint="cs"/>
          <w:sz w:val="20"/>
          <w:szCs w:val="20"/>
          <w:rtl/>
        </w:rPr>
        <w:t>רב</w:t>
      </w:r>
      <w:r w:rsidRPr="003A5648">
        <w:rPr>
          <w:rFonts w:cs="Arial"/>
          <w:sz w:val="20"/>
          <w:szCs w:val="20"/>
          <w:rtl/>
        </w:rPr>
        <w:t xml:space="preserve"> </w:t>
      </w:r>
      <w:r w:rsidRPr="003A5648">
        <w:rPr>
          <w:rFonts w:cs="Arial" w:hint="cs"/>
          <w:sz w:val="20"/>
          <w:szCs w:val="20"/>
          <w:rtl/>
        </w:rPr>
        <w:t>הונא</w:t>
      </w:r>
      <w:r w:rsidRPr="003A5648">
        <w:rPr>
          <w:rFonts w:cs="Arial"/>
          <w:sz w:val="20"/>
          <w:szCs w:val="20"/>
          <w:rtl/>
        </w:rPr>
        <w:t xml:space="preserve"> </w:t>
      </w:r>
      <w:r w:rsidRPr="003A5648">
        <w:rPr>
          <w:rFonts w:cs="Arial" w:hint="cs"/>
          <w:sz w:val="20"/>
          <w:szCs w:val="20"/>
          <w:rtl/>
        </w:rPr>
        <w:t>בריה</w:t>
      </w:r>
      <w:r w:rsidRPr="003A5648">
        <w:rPr>
          <w:rFonts w:cs="Arial"/>
          <w:sz w:val="20"/>
          <w:szCs w:val="20"/>
          <w:rtl/>
        </w:rPr>
        <w:t xml:space="preserve"> </w:t>
      </w:r>
      <w:r w:rsidRPr="003A5648">
        <w:rPr>
          <w:rFonts w:cs="Arial" w:hint="cs"/>
          <w:sz w:val="20"/>
          <w:szCs w:val="20"/>
          <w:rtl/>
        </w:rPr>
        <w:t>דרב</w:t>
      </w:r>
      <w:r w:rsidRPr="003A5648">
        <w:rPr>
          <w:rFonts w:cs="Arial"/>
          <w:sz w:val="20"/>
          <w:szCs w:val="20"/>
          <w:rtl/>
        </w:rPr>
        <w:t xml:space="preserve"> </w:t>
      </w:r>
      <w:r w:rsidRPr="003A5648">
        <w:rPr>
          <w:rFonts w:cs="Arial" w:hint="cs"/>
          <w:sz w:val="20"/>
          <w:szCs w:val="20"/>
          <w:rtl/>
        </w:rPr>
        <w:t>יהושע</w:t>
      </w:r>
      <w:r w:rsidRPr="003A5648">
        <w:rPr>
          <w:rFonts w:cs="Arial"/>
          <w:sz w:val="20"/>
          <w:szCs w:val="20"/>
          <w:rtl/>
        </w:rPr>
        <w:t xml:space="preserve"> </w:t>
      </w:r>
      <w:r w:rsidRPr="003A5648">
        <w:rPr>
          <w:rFonts w:cs="Arial" w:hint="cs"/>
          <w:sz w:val="20"/>
          <w:szCs w:val="20"/>
          <w:rtl/>
        </w:rPr>
        <w:t>לרב</w:t>
      </w:r>
      <w:r w:rsidRPr="003A5648">
        <w:rPr>
          <w:rFonts w:cs="Arial"/>
          <w:sz w:val="20"/>
          <w:szCs w:val="20"/>
          <w:rtl/>
        </w:rPr>
        <w:t xml:space="preserve"> </w:t>
      </w:r>
      <w:r w:rsidRPr="003A5648">
        <w:rPr>
          <w:rFonts w:cs="Arial" w:hint="cs"/>
          <w:sz w:val="20"/>
          <w:szCs w:val="20"/>
          <w:rtl/>
        </w:rPr>
        <w:t>פפא</w:t>
      </w:r>
      <w:r w:rsidRPr="003A5648">
        <w:rPr>
          <w:rFonts w:cs="Arial"/>
          <w:sz w:val="20"/>
          <w:szCs w:val="20"/>
          <w:rtl/>
        </w:rPr>
        <w:t xml:space="preserve">: </w:t>
      </w:r>
      <w:r w:rsidRPr="003A5648">
        <w:rPr>
          <w:rFonts w:cs="Arial" w:hint="cs"/>
          <w:sz w:val="20"/>
          <w:szCs w:val="20"/>
          <w:rtl/>
        </w:rPr>
        <w:t>ממאי</w:t>
      </w:r>
      <w:r w:rsidRPr="003A5648">
        <w:rPr>
          <w:rFonts w:cs="Arial"/>
          <w:sz w:val="20"/>
          <w:szCs w:val="20"/>
          <w:rtl/>
        </w:rPr>
        <w:t xml:space="preserve">? </w:t>
      </w:r>
      <w:r w:rsidRPr="003A5648">
        <w:rPr>
          <w:rFonts w:cs="Arial" w:hint="cs"/>
          <w:sz w:val="20"/>
          <w:szCs w:val="20"/>
          <w:rtl/>
        </w:rPr>
        <w:t>דלמא</w:t>
      </w:r>
      <w:r w:rsidRPr="003A5648">
        <w:rPr>
          <w:rFonts w:cs="Arial"/>
          <w:sz w:val="20"/>
          <w:szCs w:val="20"/>
          <w:rtl/>
        </w:rPr>
        <w:t xml:space="preserve"> </w:t>
      </w:r>
      <w:r w:rsidRPr="003A5648">
        <w:rPr>
          <w:rFonts w:cs="Arial" w:hint="cs"/>
          <w:sz w:val="20"/>
          <w:szCs w:val="20"/>
          <w:rtl/>
        </w:rPr>
        <w:t>עשרין</w:t>
      </w:r>
      <w:r w:rsidRPr="003A5648">
        <w:rPr>
          <w:rFonts w:cs="Arial"/>
          <w:sz w:val="20"/>
          <w:szCs w:val="20"/>
          <w:rtl/>
        </w:rPr>
        <w:t xml:space="preserve"> </w:t>
      </w:r>
      <w:r w:rsidRPr="003A5648">
        <w:rPr>
          <w:rFonts w:cs="Arial" w:hint="cs"/>
          <w:sz w:val="20"/>
          <w:szCs w:val="20"/>
          <w:rtl/>
        </w:rPr>
        <w:t>ותרתין</w:t>
      </w:r>
      <w:r w:rsidRPr="003A5648">
        <w:rPr>
          <w:rFonts w:cs="Arial"/>
          <w:sz w:val="20"/>
          <w:szCs w:val="20"/>
          <w:rtl/>
        </w:rPr>
        <w:t xml:space="preserve"> </w:t>
      </w:r>
      <w:r w:rsidRPr="003A5648">
        <w:rPr>
          <w:rFonts w:cs="Arial" w:hint="cs"/>
          <w:sz w:val="20"/>
          <w:szCs w:val="20"/>
          <w:rtl/>
        </w:rPr>
        <w:t>נמי</w:t>
      </w:r>
      <w:r w:rsidRPr="003A5648">
        <w:rPr>
          <w:rFonts w:cs="Arial"/>
          <w:sz w:val="20"/>
          <w:szCs w:val="20"/>
          <w:rtl/>
        </w:rPr>
        <w:t xml:space="preserve"> </w:t>
      </w:r>
      <w:r w:rsidRPr="003A5648">
        <w:rPr>
          <w:rFonts w:cs="Arial" w:hint="cs"/>
          <w:sz w:val="20"/>
          <w:szCs w:val="20"/>
          <w:rtl/>
        </w:rPr>
        <w:t>מעשרין</w:t>
      </w:r>
      <w:r w:rsidRPr="003A5648">
        <w:rPr>
          <w:rFonts w:cs="Arial"/>
          <w:sz w:val="20"/>
          <w:szCs w:val="20"/>
          <w:rtl/>
        </w:rPr>
        <w:t xml:space="preserve"> </w:t>
      </w:r>
      <w:r w:rsidRPr="003A5648">
        <w:rPr>
          <w:rFonts w:cs="Arial" w:hint="cs"/>
          <w:sz w:val="20"/>
          <w:szCs w:val="20"/>
          <w:rtl/>
        </w:rPr>
        <w:t>וז</w:t>
      </w:r>
      <w:r w:rsidRPr="003A5648">
        <w:rPr>
          <w:rFonts w:cs="Arial"/>
          <w:sz w:val="20"/>
          <w:szCs w:val="20"/>
          <w:rtl/>
        </w:rPr>
        <w:t xml:space="preserve">' </w:t>
      </w:r>
      <w:r w:rsidRPr="003A5648">
        <w:rPr>
          <w:rFonts w:cs="Arial" w:hint="cs"/>
          <w:sz w:val="20"/>
          <w:szCs w:val="20"/>
          <w:rtl/>
        </w:rPr>
        <w:t>מנינן</w:t>
      </w:r>
      <w:r>
        <w:rPr>
          <w:rFonts w:hint="cs"/>
          <w:rtl/>
        </w:rPr>
        <w:t>...</w:t>
      </w:r>
      <w:r w:rsidRPr="004F79A0">
        <w:rPr>
          <w:rFonts w:hint="cs"/>
          <w:rtl/>
        </w:rPr>
        <w:t xml:space="preserve"> </w:t>
      </w:r>
      <w:r w:rsidRPr="004F79A0">
        <w:rPr>
          <w:rFonts w:cs="Arial" w:hint="cs"/>
          <w:sz w:val="20"/>
          <w:szCs w:val="20"/>
          <w:rtl/>
        </w:rPr>
        <w:t>ה</w:t>
      </w:r>
      <w:r>
        <w:rPr>
          <w:rFonts w:cs="Arial" w:hint="cs"/>
          <w:sz w:val="20"/>
          <w:szCs w:val="20"/>
          <w:rtl/>
        </w:rPr>
        <w:t xml:space="preserve">כי </w:t>
      </w:r>
      <w:r w:rsidRPr="004F79A0">
        <w:rPr>
          <w:rFonts w:cs="Arial" w:hint="cs"/>
          <w:sz w:val="20"/>
          <w:szCs w:val="20"/>
          <w:rtl/>
        </w:rPr>
        <w:t>נ</w:t>
      </w:r>
      <w:r>
        <w:rPr>
          <w:rFonts w:cs="Arial" w:hint="cs"/>
          <w:sz w:val="20"/>
          <w:szCs w:val="20"/>
          <w:rtl/>
        </w:rPr>
        <w:t>מי</w:t>
      </w:r>
      <w:r w:rsidRPr="004F79A0">
        <w:rPr>
          <w:rFonts w:cs="Arial"/>
          <w:sz w:val="20"/>
          <w:szCs w:val="20"/>
          <w:rtl/>
        </w:rPr>
        <w:t xml:space="preserve"> </w:t>
      </w:r>
      <w:r w:rsidRPr="004F79A0">
        <w:rPr>
          <w:rFonts w:cs="Arial" w:hint="cs"/>
          <w:sz w:val="20"/>
          <w:szCs w:val="20"/>
          <w:rtl/>
        </w:rPr>
        <w:t>מסתברא</w:t>
      </w:r>
      <w:r w:rsidRPr="004F79A0">
        <w:rPr>
          <w:rFonts w:cs="Arial"/>
          <w:sz w:val="20"/>
          <w:szCs w:val="20"/>
          <w:rtl/>
        </w:rPr>
        <w:t xml:space="preserve">. </w:t>
      </w:r>
      <w:r w:rsidRPr="004F79A0">
        <w:rPr>
          <w:rFonts w:cs="Arial" w:hint="cs"/>
          <w:sz w:val="20"/>
          <w:szCs w:val="20"/>
          <w:rtl/>
        </w:rPr>
        <w:t>דאי</w:t>
      </w:r>
      <w:r w:rsidRPr="004F79A0">
        <w:rPr>
          <w:rFonts w:cs="Arial"/>
          <w:sz w:val="20"/>
          <w:szCs w:val="20"/>
          <w:rtl/>
        </w:rPr>
        <w:t xml:space="preserve"> </w:t>
      </w:r>
      <w:r w:rsidRPr="004F79A0">
        <w:rPr>
          <w:rFonts w:cs="Arial" w:hint="cs"/>
          <w:sz w:val="20"/>
          <w:szCs w:val="20"/>
          <w:rtl/>
        </w:rPr>
        <w:t>לא</w:t>
      </w:r>
      <w:r w:rsidRPr="004F79A0">
        <w:rPr>
          <w:rFonts w:cs="Arial"/>
          <w:sz w:val="20"/>
          <w:szCs w:val="20"/>
          <w:rtl/>
        </w:rPr>
        <w:t xml:space="preserve"> </w:t>
      </w:r>
      <w:r w:rsidRPr="004F79A0">
        <w:rPr>
          <w:rFonts w:cs="Arial" w:hint="cs"/>
          <w:sz w:val="20"/>
          <w:szCs w:val="20"/>
          <w:rtl/>
        </w:rPr>
        <w:t>תימא</w:t>
      </w:r>
      <w:r w:rsidRPr="004F79A0">
        <w:rPr>
          <w:rFonts w:cs="Arial"/>
          <w:sz w:val="20"/>
          <w:szCs w:val="20"/>
          <w:rtl/>
        </w:rPr>
        <w:t xml:space="preserve"> </w:t>
      </w:r>
      <w:r w:rsidRPr="004F79A0">
        <w:rPr>
          <w:rFonts w:cs="Arial" w:hint="cs"/>
          <w:sz w:val="20"/>
          <w:szCs w:val="20"/>
          <w:rtl/>
        </w:rPr>
        <w:t>הכי</w:t>
      </w:r>
      <w:r w:rsidRPr="004F79A0">
        <w:rPr>
          <w:rFonts w:cs="Arial"/>
          <w:sz w:val="20"/>
          <w:szCs w:val="20"/>
          <w:rtl/>
        </w:rPr>
        <w:t xml:space="preserve">, </w:t>
      </w:r>
      <w:r w:rsidRPr="004F79A0">
        <w:rPr>
          <w:rFonts w:cs="Arial" w:hint="cs"/>
          <w:sz w:val="20"/>
          <w:szCs w:val="20"/>
          <w:rtl/>
        </w:rPr>
        <w:t>האי</w:t>
      </w:r>
      <w:r w:rsidRPr="004F79A0">
        <w:rPr>
          <w:rFonts w:cs="Arial"/>
          <w:sz w:val="20"/>
          <w:szCs w:val="20"/>
          <w:rtl/>
        </w:rPr>
        <w:t xml:space="preserve"> </w:t>
      </w:r>
      <w:r w:rsidRPr="004F79A0">
        <w:rPr>
          <w:rFonts w:cs="Arial" w:hint="cs"/>
          <w:sz w:val="20"/>
          <w:szCs w:val="20"/>
          <w:rtl/>
        </w:rPr>
        <w:t>תרנגולתא</w:t>
      </w:r>
      <w:r w:rsidRPr="004F79A0">
        <w:rPr>
          <w:rFonts w:cs="Arial"/>
          <w:sz w:val="20"/>
          <w:szCs w:val="20"/>
          <w:rtl/>
        </w:rPr>
        <w:t xml:space="preserve"> </w:t>
      </w:r>
      <w:r w:rsidRPr="004F79A0">
        <w:rPr>
          <w:rFonts w:cs="Arial" w:hint="cs"/>
          <w:sz w:val="20"/>
          <w:szCs w:val="20"/>
          <w:rtl/>
        </w:rPr>
        <w:t>דרמיא</w:t>
      </w:r>
      <w:r w:rsidRPr="004F79A0">
        <w:rPr>
          <w:rFonts w:cs="Arial"/>
          <w:sz w:val="20"/>
          <w:szCs w:val="20"/>
          <w:rtl/>
        </w:rPr>
        <w:t xml:space="preserve"> </w:t>
      </w:r>
      <w:r w:rsidRPr="004F79A0">
        <w:rPr>
          <w:rFonts w:cs="Arial" w:hint="cs"/>
          <w:sz w:val="20"/>
          <w:szCs w:val="20"/>
          <w:rtl/>
        </w:rPr>
        <w:t>יומא</w:t>
      </w:r>
      <w:r w:rsidRPr="004F79A0">
        <w:rPr>
          <w:rFonts w:cs="Arial"/>
          <w:sz w:val="20"/>
          <w:szCs w:val="20"/>
          <w:rtl/>
        </w:rPr>
        <w:t xml:space="preserve"> </w:t>
      </w:r>
      <w:r w:rsidRPr="004F79A0">
        <w:rPr>
          <w:rFonts w:cs="Arial" w:hint="cs"/>
          <w:sz w:val="20"/>
          <w:szCs w:val="20"/>
          <w:rtl/>
        </w:rPr>
        <w:t>וכבשה</w:t>
      </w:r>
      <w:r w:rsidRPr="004F79A0">
        <w:rPr>
          <w:rFonts w:cs="Arial"/>
          <w:sz w:val="20"/>
          <w:szCs w:val="20"/>
          <w:rtl/>
        </w:rPr>
        <w:t xml:space="preserve"> </w:t>
      </w:r>
      <w:r w:rsidRPr="004F79A0">
        <w:rPr>
          <w:rFonts w:cs="Arial" w:hint="cs"/>
          <w:sz w:val="20"/>
          <w:szCs w:val="20"/>
          <w:rtl/>
        </w:rPr>
        <w:t>יומא</w:t>
      </w:r>
      <w:r w:rsidRPr="004F79A0">
        <w:rPr>
          <w:rFonts w:cs="Arial"/>
          <w:sz w:val="20"/>
          <w:szCs w:val="20"/>
          <w:rtl/>
        </w:rPr>
        <w:t xml:space="preserve">, </w:t>
      </w:r>
      <w:r w:rsidRPr="004F79A0">
        <w:rPr>
          <w:rFonts w:cs="Arial" w:hint="cs"/>
          <w:sz w:val="20"/>
          <w:szCs w:val="20"/>
          <w:rtl/>
        </w:rPr>
        <w:t>ורמיא</w:t>
      </w:r>
      <w:r w:rsidRPr="004F79A0">
        <w:rPr>
          <w:rFonts w:cs="Arial"/>
          <w:sz w:val="20"/>
          <w:szCs w:val="20"/>
          <w:rtl/>
        </w:rPr>
        <w:t xml:space="preserve"> </w:t>
      </w:r>
      <w:r w:rsidRPr="004F79A0">
        <w:rPr>
          <w:rFonts w:cs="Arial" w:hint="cs"/>
          <w:sz w:val="20"/>
          <w:szCs w:val="20"/>
          <w:rtl/>
        </w:rPr>
        <w:t>יומא</w:t>
      </w:r>
      <w:r w:rsidRPr="004F79A0">
        <w:rPr>
          <w:rFonts w:cs="Arial"/>
          <w:sz w:val="20"/>
          <w:szCs w:val="20"/>
          <w:rtl/>
        </w:rPr>
        <w:t xml:space="preserve"> </w:t>
      </w:r>
      <w:r w:rsidRPr="004F79A0">
        <w:rPr>
          <w:rFonts w:cs="Arial" w:hint="cs"/>
          <w:sz w:val="20"/>
          <w:szCs w:val="20"/>
          <w:rtl/>
        </w:rPr>
        <w:t>וכבשה</w:t>
      </w:r>
      <w:r w:rsidRPr="004F79A0">
        <w:rPr>
          <w:rFonts w:cs="Arial"/>
          <w:sz w:val="20"/>
          <w:szCs w:val="20"/>
          <w:rtl/>
        </w:rPr>
        <w:t xml:space="preserve"> </w:t>
      </w:r>
      <w:r w:rsidRPr="004F79A0">
        <w:rPr>
          <w:rFonts w:cs="Arial" w:hint="cs"/>
          <w:sz w:val="20"/>
          <w:szCs w:val="20"/>
          <w:rtl/>
        </w:rPr>
        <w:t>יומא</w:t>
      </w:r>
      <w:r w:rsidRPr="004F79A0">
        <w:rPr>
          <w:rFonts w:cs="Arial"/>
          <w:sz w:val="20"/>
          <w:szCs w:val="20"/>
          <w:rtl/>
        </w:rPr>
        <w:t xml:space="preserve">, </w:t>
      </w:r>
      <w:r w:rsidRPr="004F79A0">
        <w:rPr>
          <w:rFonts w:cs="Arial" w:hint="cs"/>
          <w:sz w:val="20"/>
          <w:szCs w:val="20"/>
          <w:rtl/>
        </w:rPr>
        <w:t>וכבשה</w:t>
      </w:r>
      <w:r w:rsidRPr="004F79A0">
        <w:rPr>
          <w:rFonts w:cs="Arial"/>
          <w:sz w:val="20"/>
          <w:szCs w:val="20"/>
          <w:rtl/>
        </w:rPr>
        <w:t xml:space="preserve"> </w:t>
      </w:r>
      <w:r w:rsidRPr="004F79A0">
        <w:rPr>
          <w:rFonts w:cs="Arial" w:hint="cs"/>
          <w:sz w:val="20"/>
          <w:szCs w:val="20"/>
          <w:rtl/>
        </w:rPr>
        <w:t>תרי</w:t>
      </w:r>
      <w:r w:rsidRPr="004F79A0">
        <w:rPr>
          <w:rFonts w:cs="Arial"/>
          <w:sz w:val="20"/>
          <w:szCs w:val="20"/>
          <w:rtl/>
        </w:rPr>
        <w:t xml:space="preserve"> </w:t>
      </w:r>
      <w:r w:rsidRPr="004F79A0">
        <w:rPr>
          <w:rFonts w:cs="Arial" w:hint="cs"/>
          <w:sz w:val="20"/>
          <w:szCs w:val="20"/>
          <w:rtl/>
        </w:rPr>
        <w:t>יומי</w:t>
      </w:r>
      <w:r w:rsidRPr="004F79A0">
        <w:rPr>
          <w:rFonts w:cs="Arial"/>
          <w:sz w:val="20"/>
          <w:szCs w:val="20"/>
          <w:rtl/>
        </w:rPr>
        <w:t xml:space="preserve"> </w:t>
      </w:r>
      <w:r w:rsidRPr="004F79A0">
        <w:rPr>
          <w:rFonts w:cs="Arial" w:hint="cs"/>
          <w:sz w:val="20"/>
          <w:szCs w:val="20"/>
          <w:rtl/>
        </w:rPr>
        <w:t>ורמיא</w:t>
      </w:r>
      <w:r w:rsidRPr="004F79A0">
        <w:rPr>
          <w:rFonts w:cs="Arial"/>
          <w:sz w:val="20"/>
          <w:szCs w:val="20"/>
          <w:rtl/>
        </w:rPr>
        <w:t xml:space="preserve"> </w:t>
      </w:r>
      <w:r w:rsidRPr="004F79A0">
        <w:rPr>
          <w:rFonts w:cs="Arial" w:hint="cs"/>
          <w:sz w:val="20"/>
          <w:szCs w:val="20"/>
          <w:rtl/>
        </w:rPr>
        <w:t>חד</w:t>
      </w:r>
      <w:r w:rsidRPr="004F79A0">
        <w:rPr>
          <w:rFonts w:cs="Arial"/>
          <w:sz w:val="20"/>
          <w:szCs w:val="20"/>
          <w:rtl/>
        </w:rPr>
        <w:t xml:space="preserve"> </w:t>
      </w:r>
      <w:r w:rsidRPr="004F79A0">
        <w:rPr>
          <w:rFonts w:cs="Arial" w:hint="cs"/>
          <w:sz w:val="20"/>
          <w:szCs w:val="20"/>
          <w:rtl/>
        </w:rPr>
        <w:t>יומא</w:t>
      </w:r>
      <w:r w:rsidRPr="004F79A0">
        <w:rPr>
          <w:rFonts w:cs="Arial"/>
          <w:sz w:val="20"/>
          <w:szCs w:val="20"/>
          <w:rtl/>
        </w:rPr>
        <w:t xml:space="preserve">, </w:t>
      </w:r>
      <w:r w:rsidRPr="004F79A0">
        <w:rPr>
          <w:rFonts w:cs="Arial" w:hint="cs"/>
          <w:sz w:val="20"/>
          <w:szCs w:val="20"/>
          <w:rtl/>
        </w:rPr>
        <w:t>כי</w:t>
      </w:r>
      <w:r w:rsidRPr="004F79A0">
        <w:rPr>
          <w:rFonts w:cs="Arial"/>
          <w:sz w:val="20"/>
          <w:szCs w:val="20"/>
          <w:rtl/>
        </w:rPr>
        <w:t xml:space="preserve"> </w:t>
      </w:r>
      <w:r w:rsidRPr="004F79A0">
        <w:rPr>
          <w:rFonts w:cs="Arial" w:hint="cs"/>
          <w:sz w:val="20"/>
          <w:szCs w:val="20"/>
          <w:rtl/>
        </w:rPr>
        <w:t>הדרה</w:t>
      </w:r>
      <w:r w:rsidRPr="004F79A0">
        <w:rPr>
          <w:rFonts w:cs="Arial"/>
          <w:sz w:val="20"/>
          <w:szCs w:val="20"/>
          <w:rtl/>
        </w:rPr>
        <w:t xml:space="preserve"> </w:t>
      </w:r>
      <w:r w:rsidRPr="004F79A0">
        <w:rPr>
          <w:rFonts w:cs="Arial" w:hint="cs"/>
          <w:sz w:val="20"/>
          <w:szCs w:val="20"/>
          <w:rtl/>
        </w:rPr>
        <w:t>נקטה</w:t>
      </w:r>
      <w:r w:rsidRPr="004F79A0">
        <w:rPr>
          <w:rFonts w:cs="Arial"/>
          <w:sz w:val="20"/>
          <w:szCs w:val="20"/>
          <w:rtl/>
        </w:rPr>
        <w:t xml:space="preserve"> - </w:t>
      </w:r>
      <w:r w:rsidRPr="004F79A0">
        <w:rPr>
          <w:rFonts w:cs="Arial" w:hint="cs"/>
          <w:sz w:val="20"/>
          <w:szCs w:val="20"/>
          <w:rtl/>
        </w:rPr>
        <w:t>כדלקמיה</w:t>
      </w:r>
      <w:r w:rsidRPr="004F79A0">
        <w:rPr>
          <w:rFonts w:cs="Arial"/>
          <w:sz w:val="20"/>
          <w:szCs w:val="20"/>
          <w:rtl/>
        </w:rPr>
        <w:t xml:space="preserve"> </w:t>
      </w:r>
      <w:r w:rsidRPr="004F79A0">
        <w:rPr>
          <w:rFonts w:cs="Arial" w:hint="cs"/>
          <w:sz w:val="20"/>
          <w:szCs w:val="20"/>
          <w:rtl/>
        </w:rPr>
        <w:t>נקטה</w:t>
      </w:r>
      <w:r w:rsidRPr="004F79A0">
        <w:rPr>
          <w:rFonts w:cs="Arial"/>
          <w:sz w:val="20"/>
          <w:szCs w:val="20"/>
          <w:rtl/>
        </w:rPr>
        <w:t xml:space="preserve"> </w:t>
      </w:r>
      <w:r w:rsidRPr="004F79A0">
        <w:rPr>
          <w:rFonts w:cs="Arial" w:hint="cs"/>
          <w:sz w:val="20"/>
          <w:szCs w:val="20"/>
          <w:rtl/>
        </w:rPr>
        <w:t>או</w:t>
      </w:r>
      <w:r w:rsidRPr="004F79A0">
        <w:rPr>
          <w:rFonts w:cs="Arial"/>
          <w:sz w:val="20"/>
          <w:szCs w:val="20"/>
          <w:rtl/>
        </w:rPr>
        <w:t xml:space="preserve"> </w:t>
      </w:r>
      <w:r w:rsidRPr="004F79A0">
        <w:rPr>
          <w:rFonts w:cs="Arial" w:hint="cs"/>
          <w:sz w:val="20"/>
          <w:szCs w:val="20"/>
          <w:rtl/>
        </w:rPr>
        <w:t>כדמעיקרא</w:t>
      </w:r>
      <w:r w:rsidRPr="004F79A0">
        <w:rPr>
          <w:rFonts w:cs="Arial"/>
          <w:sz w:val="20"/>
          <w:szCs w:val="20"/>
          <w:rtl/>
        </w:rPr>
        <w:t xml:space="preserve"> </w:t>
      </w:r>
      <w:r w:rsidRPr="004F79A0">
        <w:rPr>
          <w:rFonts w:cs="Arial" w:hint="cs"/>
          <w:sz w:val="20"/>
          <w:szCs w:val="20"/>
          <w:rtl/>
        </w:rPr>
        <w:t>נקטה</w:t>
      </w:r>
      <w:r w:rsidRPr="004F79A0">
        <w:rPr>
          <w:rFonts w:cs="Arial"/>
          <w:sz w:val="20"/>
          <w:szCs w:val="20"/>
          <w:rtl/>
        </w:rPr>
        <w:t xml:space="preserve">? </w:t>
      </w:r>
      <w:r w:rsidRPr="004F79A0">
        <w:rPr>
          <w:rFonts w:cs="Arial" w:hint="cs"/>
          <w:sz w:val="20"/>
          <w:szCs w:val="20"/>
          <w:rtl/>
        </w:rPr>
        <w:t>על</w:t>
      </w:r>
      <w:r w:rsidRPr="004F79A0">
        <w:rPr>
          <w:rFonts w:cs="Arial"/>
          <w:sz w:val="20"/>
          <w:szCs w:val="20"/>
          <w:rtl/>
        </w:rPr>
        <w:t xml:space="preserve"> </w:t>
      </w:r>
      <w:r w:rsidRPr="004F79A0">
        <w:rPr>
          <w:rFonts w:cs="Arial" w:hint="cs"/>
          <w:sz w:val="20"/>
          <w:szCs w:val="20"/>
          <w:rtl/>
        </w:rPr>
        <w:t>כרחך</w:t>
      </w:r>
      <w:r w:rsidRPr="004F79A0">
        <w:rPr>
          <w:rFonts w:cs="Arial"/>
          <w:sz w:val="20"/>
          <w:szCs w:val="20"/>
          <w:rtl/>
        </w:rPr>
        <w:t xml:space="preserve"> </w:t>
      </w:r>
      <w:r w:rsidRPr="004F79A0">
        <w:rPr>
          <w:rFonts w:cs="Arial" w:hint="cs"/>
          <w:sz w:val="20"/>
          <w:szCs w:val="20"/>
          <w:rtl/>
        </w:rPr>
        <w:t>כדלקמיה</w:t>
      </w:r>
      <w:r w:rsidRPr="004F79A0">
        <w:rPr>
          <w:rFonts w:cs="Arial"/>
          <w:sz w:val="20"/>
          <w:szCs w:val="20"/>
          <w:rtl/>
        </w:rPr>
        <w:t xml:space="preserve"> </w:t>
      </w:r>
      <w:r w:rsidRPr="004F79A0">
        <w:rPr>
          <w:rFonts w:cs="Arial" w:hint="cs"/>
          <w:sz w:val="20"/>
          <w:szCs w:val="20"/>
          <w:rtl/>
        </w:rPr>
        <w:t>נקטה</w:t>
      </w:r>
      <w:r w:rsidRPr="004F79A0">
        <w:rPr>
          <w:rFonts w:cs="Arial"/>
          <w:sz w:val="20"/>
          <w:szCs w:val="20"/>
          <w:rtl/>
        </w:rPr>
        <w:t>!</w:t>
      </w:r>
      <w:r>
        <w:rPr>
          <w:rFonts w:hint="cs"/>
          <w:sz w:val="20"/>
          <w:szCs w:val="20"/>
          <w:rtl/>
        </w:rPr>
        <w:t>"</w:t>
      </w:r>
    </w:p>
    <w:p w:rsidR="00620060" w:rsidRDefault="00620060" w:rsidP="00620060">
      <w:pPr>
        <w:rPr>
          <w:sz w:val="20"/>
          <w:szCs w:val="20"/>
          <w:rtl/>
        </w:rPr>
      </w:pPr>
      <w:r>
        <w:rPr>
          <w:rFonts w:hint="cs"/>
          <w:sz w:val="20"/>
          <w:szCs w:val="20"/>
          <w:u w:val="single"/>
          <w:rtl/>
        </w:rPr>
        <w:t>הסבר</w:t>
      </w:r>
      <w:r>
        <w:rPr>
          <w:sz w:val="20"/>
          <w:szCs w:val="20"/>
          <w:u w:val="single"/>
          <w:rtl/>
        </w:rPr>
        <w:br/>
      </w:r>
      <w:r>
        <w:rPr>
          <w:rFonts w:hint="cs"/>
          <w:sz w:val="20"/>
          <w:szCs w:val="20"/>
          <w:rtl/>
        </w:rPr>
        <w:t xml:space="preserve">מדובר באשה בעלת ווסת קבוע ששינתה ראייתה פעם אחת וחוששת כעת לשני הווסתות. המחלוקת כך - </w:t>
      </w:r>
      <w:r>
        <w:rPr>
          <w:sz w:val="20"/>
          <w:szCs w:val="20"/>
          <w:rtl/>
        </w:rPr>
        <w:br/>
      </w:r>
      <w:r>
        <w:rPr>
          <w:rFonts w:hint="cs"/>
          <w:sz w:val="20"/>
          <w:szCs w:val="20"/>
          <w:rtl/>
        </w:rPr>
        <w:t xml:space="preserve">רב פפא </w:t>
      </w:r>
      <w:r>
        <w:rPr>
          <w:sz w:val="20"/>
          <w:szCs w:val="20"/>
          <w:rtl/>
        </w:rPr>
        <w:t>–</w:t>
      </w:r>
      <w:r>
        <w:rPr>
          <w:rFonts w:hint="cs"/>
          <w:sz w:val="20"/>
          <w:szCs w:val="20"/>
          <w:rtl/>
        </w:rPr>
        <w:t xml:space="preserve"> חוששת ליום כב' הנמנה מהיום שבו היתה אמורה לראות ע"פ ווסתה הקבוע, כלומר מיום כב'.</w:t>
      </w:r>
      <w:r>
        <w:rPr>
          <w:sz w:val="20"/>
          <w:szCs w:val="20"/>
          <w:rtl/>
        </w:rPr>
        <w:br/>
      </w:r>
      <w:r>
        <w:rPr>
          <w:rFonts w:hint="cs"/>
          <w:sz w:val="20"/>
          <w:szCs w:val="20"/>
          <w:rtl/>
        </w:rPr>
        <w:t xml:space="preserve">רב הונא </w:t>
      </w:r>
      <w:r>
        <w:rPr>
          <w:sz w:val="20"/>
          <w:szCs w:val="20"/>
          <w:rtl/>
        </w:rPr>
        <w:t>–</w:t>
      </w:r>
      <w:r>
        <w:rPr>
          <w:rFonts w:hint="cs"/>
          <w:sz w:val="20"/>
          <w:szCs w:val="20"/>
          <w:rtl/>
        </w:rPr>
        <w:t xml:space="preserve"> חוששת ליום כב' הנמנה מהיום שבו ראתה בפועל, כלומר כב' מיום כז'.</w:t>
      </w:r>
      <w:r>
        <w:rPr>
          <w:sz w:val="20"/>
          <w:szCs w:val="20"/>
          <w:rtl/>
        </w:rPr>
        <w:br/>
      </w:r>
      <w:r w:rsidRPr="004F79A0">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תרנגולת שמטילה ביצה לסירוגין, יום מטילה ויום אינה מטילה, וקרה שיומיים לא הטילה, וכי למחרת תטיל שתי ביצים?! כך גם כאן, פסקה מעט זמן מלראות וכעת חוזרת ללימודה החל מראייתה האחרונה.</w:t>
      </w:r>
      <w:r>
        <w:rPr>
          <w:sz w:val="20"/>
          <w:szCs w:val="20"/>
          <w:rtl/>
        </w:rPr>
        <w:br/>
      </w:r>
      <w:r>
        <w:rPr>
          <w:rFonts w:hint="cs"/>
          <w:sz w:val="20"/>
          <w:szCs w:val="20"/>
          <w:rtl/>
        </w:rPr>
        <w:t xml:space="preserve">פסיקת הראשונים </w:t>
      </w:r>
      <w:r>
        <w:rPr>
          <w:sz w:val="20"/>
          <w:szCs w:val="20"/>
          <w:rtl/>
        </w:rPr>
        <w:t>–</w:t>
      </w:r>
      <w:r>
        <w:rPr>
          <w:rFonts w:hint="cs"/>
          <w:sz w:val="20"/>
          <w:szCs w:val="20"/>
          <w:rtl/>
        </w:rPr>
        <w:t xml:space="preserve"> משמע בגמרא שהלכה כרב הונא, וכ"פ </w:t>
      </w:r>
      <w:r w:rsidRPr="004F79A0">
        <w:rPr>
          <w:rFonts w:hint="cs"/>
          <w:b/>
          <w:bCs/>
          <w:sz w:val="20"/>
          <w:szCs w:val="20"/>
          <w:rtl/>
        </w:rPr>
        <w:t>המחבר</w:t>
      </w:r>
      <w:r>
        <w:rPr>
          <w:rFonts w:hint="cs"/>
          <w:sz w:val="20"/>
          <w:szCs w:val="20"/>
          <w:rtl/>
        </w:rPr>
        <w:t>.</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rFonts w:hint="cs"/>
          <w:sz w:val="18"/>
          <w:szCs w:val="18"/>
          <w:rtl/>
        </w:rPr>
        <w:t>(</w:t>
      </w:r>
      <w:r w:rsidRPr="00A071D8">
        <w:rPr>
          <w:rFonts w:hint="cs"/>
          <w:sz w:val="18"/>
          <w:szCs w:val="18"/>
          <w:rtl/>
        </w:rPr>
        <w:t xml:space="preserve">ע"פ הטור והרמב"ן) </w:t>
      </w:r>
      <w:r>
        <w:rPr>
          <w:sz w:val="20"/>
          <w:szCs w:val="20"/>
          <w:rtl/>
        </w:rPr>
        <w:t>–</w:t>
      </w:r>
      <w:r>
        <w:rPr>
          <w:rFonts w:hint="cs"/>
          <w:sz w:val="20"/>
          <w:szCs w:val="20"/>
          <w:rtl/>
        </w:rPr>
        <w:t xml:space="preserve"> "</w:t>
      </w:r>
      <w:r w:rsidRPr="004F79A0">
        <w:rPr>
          <w:rFonts w:cs="Arial" w:hint="cs"/>
          <w:sz w:val="20"/>
          <w:szCs w:val="20"/>
          <w:rtl/>
        </w:rPr>
        <w:t>היתה</w:t>
      </w:r>
      <w:r w:rsidRPr="004F79A0">
        <w:rPr>
          <w:rFonts w:cs="Arial"/>
          <w:sz w:val="20"/>
          <w:szCs w:val="20"/>
          <w:rtl/>
        </w:rPr>
        <w:t xml:space="preserve"> </w:t>
      </w:r>
      <w:r w:rsidRPr="004F79A0">
        <w:rPr>
          <w:rFonts w:cs="Arial" w:hint="cs"/>
          <w:sz w:val="20"/>
          <w:szCs w:val="20"/>
          <w:rtl/>
        </w:rPr>
        <w:t>רגילה</w:t>
      </w:r>
      <w:r w:rsidRPr="004F79A0">
        <w:rPr>
          <w:rFonts w:cs="Arial"/>
          <w:sz w:val="20"/>
          <w:szCs w:val="20"/>
          <w:rtl/>
        </w:rPr>
        <w:t xml:space="preserve"> </w:t>
      </w:r>
      <w:r w:rsidRPr="004F79A0">
        <w:rPr>
          <w:rFonts w:cs="Arial" w:hint="cs"/>
          <w:sz w:val="20"/>
          <w:szCs w:val="20"/>
          <w:rtl/>
        </w:rPr>
        <w:t>לראות</w:t>
      </w:r>
      <w:r w:rsidRPr="004F79A0">
        <w:rPr>
          <w:rFonts w:cs="Arial"/>
          <w:sz w:val="20"/>
          <w:szCs w:val="20"/>
          <w:rtl/>
        </w:rPr>
        <w:t xml:space="preserve"> </w:t>
      </w:r>
      <w:r w:rsidRPr="004F79A0">
        <w:rPr>
          <w:rFonts w:cs="Arial" w:hint="cs"/>
          <w:sz w:val="20"/>
          <w:szCs w:val="20"/>
          <w:rtl/>
        </w:rPr>
        <w:t>יום</w:t>
      </w:r>
      <w:r w:rsidRPr="004F79A0">
        <w:rPr>
          <w:rFonts w:cs="Arial"/>
          <w:sz w:val="20"/>
          <w:szCs w:val="20"/>
          <w:rtl/>
        </w:rPr>
        <w:t xml:space="preserve"> </w:t>
      </w:r>
      <w:r w:rsidRPr="004F79A0">
        <w:rPr>
          <w:rFonts w:cs="Arial" w:hint="cs"/>
          <w:sz w:val="20"/>
          <w:szCs w:val="20"/>
          <w:rtl/>
        </w:rPr>
        <w:t>עשרים</w:t>
      </w:r>
      <w:r w:rsidRPr="004F79A0">
        <w:rPr>
          <w:rFonts w:cs="Arial"/>
          <w:sz w:val="20"/>
          <w:szCs w:val="20"/>
          <w:rtl/>
        </w:rPr>
        <w:t xml:space="preserve">, </w:t>
      </w:r>
      <w:r w:rsidRPr="004F79A0">
        <w:rPr>
          <w:rFonts w:cs="Arial"/>
          <w:sz w:val="18"/>
          <w:szCs w:val="18"/>
          <w:rtl/>
        </w:rPr>
        <w:t>(</w:t>
      </w:r>
      <w:r w:rsidRPr="004F79A0">
        <w:rPr>
          <w:rFonts w:cs="Arial" w:hint="cs"/>
          <w:sz w:val="18"/>
          <w:szCs w:val="18"/>
          <w:rtl/>
        </w:rPr>
        <w:t>ויש</w:t>
      </w:r>
      <w:r w:rsidRPr="004F79A0">
        <w:rPr>
          <w:rFonts w:cs="Arial"/>
          <w:sz w:val="18"/>
          <w:szCs w:val="18"/>
          <w:rtl/>
        </w:rPr>
        <w:t xml:space="preserve"> </w:t>
      </w:r>
      <w:r w:rsidRPr="004F79A0">
        <w:rPr>
          <w:rFonts w:cs="Arial" w:hint="cs"/>
          <w:sz w:val="18"/>
          <w:szCs w:val="18"/>
          <w:rtl/>
        </w:rPr>
        <w:t>לה</w:t>
      </w:r>
      <w:r w:rsidRPr="004F79A0">
        <w:rPr>
          <w:rFonts w:cs="Arial"/>
          <w:sz w:val="18"/>
          <w:szCs w:val="18"/>
          <w:rtl/>
        </w:rPr>
        <w:t xml:space="preserve"> </w:t>
      </w:r>
      <w:r w:rsidRPr="004F79A0">
        <w:rPr>
          <w:rFonts w:cs="Arial" w:hint="cs"/>
          <w:sz w:val="18"/>
          <w:szCs w:val="18"/>
          <w:rtl/>
        </w:rPr>
        <w:t>בזה</w:t>
      </w:r>
      <w:r w:rsidRPr="004F79A0">
        <w:rPr>
          <w:rFonts w:cs="Arial"/>
          <w:sz w:val="18"/>
          <w:szCs w:val="18"/>
          <w:rtl/>
        </w:rPr>
        <w:t xml:space="preserve"> </w:t>
      </w:r>
      <w:r w:rsidRPr="004F79A0">
        <w:rPr>
          <w:rFonts w:cs="Arial" w:hint="cs"/>
          <w:sz w:val="18"/>
          <w:szCs w:val="18"/>
          <w:rtl/>
        </w:rPr>
        <w:t>וסת</w:t>
      </w:r>
      <w:r w:rsidRPr="004F79A0">
        <w:rPr>
          <w:rFonts w:cs="Arial"/>
          <w:sz w:val="18"/>
          <w:szCs w:val="18"/>
          <w:rtl/>
        </w:rPr>
        <w:t xml:space="preserve"> </w:t>
      </w:r>
      <w:r w:rsidRPr="004F79A0">
        <w:rPr>
          <w:rFonts w:cs="Arial" w:hint="cs"/>
          <w:sz w:val="18"/>
          <w:szCs w:val="18"/>
          <w:rtl/>
        </w:rPr>
        <w:t>קבוע</w:t>
      </w:r>
      <w:r w:rsidRPr="004F79A0">
        <w:rPr>
          <w:rFonts w:cs="Arial"/>
          <w:sz w:val="18"/>
          <w:szCs w:val="18"/>
          <w:rtl/>
        </w:rPr>
        <w:t>)</w:t>
      </w:r>
      <w:r w:rsidRPr="004F79A0">
        <w:rPr>
          <w:rFonts w:cs="Arial"/>
          <w:sz w:val="20"/>
          <w:szCs w:val="20"/>
          <w:rtl/>
        </w:rPr>
        <w:t xml:space="preserve">, </w:t>
      </w:r>
      <w:r w:rsidRPr="004F79A0">
        <w:rPr>
          <w:rFonts w:cs="Arial" w:hint="cs"/>
          <w:sz w:val="20"/>
          <w:szCs w:val="20"/>
          <w:rtl/>
        </w:rPr>
        <w:t>ושינתה</w:t>
      </w:r>
      <w:r w:rsidRPr="004F79A0">
        <w:rPr>
          <w:rFonts w:cs="Arial"/>
          <w:sz w:val="20"/>
          <w:szCs w:val="20"/>
          <w:rtl/>
        </w:rPr>
        <w:t xml:space="preserve"> </w:t>
      </w:r>
      <w:r w:rsidRPr="004F79A0">
        <w:rPr>
          <w:rFonts w:cs="Arial" w:hint="cs"/>
          <w:sz w:val="20"/>
          <w:szCs w:val="20"/>
          <w:rtl/>
        </w:rPr>
        <w:t>ליום</w:t>
      </w:r>
      <w:r w:rsidRPr="004F79A0">
        <w:rPr>
          <w:rFonts w:cs="Arial"/>
          <w:sz w:val="20"/>
          <w:szCs w:val="20"/>
          <w:rtl/>
        </w:rPr>
        <w:t xml:space="preserve"> </w:t>
      </w:r>
      <w:r w:rsidRPr="004F79A0">
        <w:rPr>
          <w:rFonts w:cs="Arial" w:hint="cs"/>
          <w:sz w:val="20"/>
          <w:szCs w:val="20"/>
          <w:rtl/>
        </w:rPr>
        <w:t>של</w:t>
      </w:r>
      <w:r>
        <w:rPr>
          <w:rFonts w:cs="Arial" w:hint="cs"/>
          <w:sz w:val="20"/>
          <w:szCs w:val="20"/>
          <w:rtl/>
        </w:rPr>
        <w:t>ו</w:t>
      </w:r>
      <w:r w:rsidRPr="004F79A0">
        <w:rPr>
          <w:rFonts w:cs="Arial" w:hint="cs"/>
          <w:sz w:val="20"/>
          <w:szCs w:val="20"/>
          <w:rtl/>
        </w:rPr>
        <w:t>שים</w:t>
      </w:r>
      <w:r w:rsidRPr="004F79A0">
        <w:rPr>
          <w:rFonts w:cs="Arial"/>
          <w:sz w:val="20"/>
          <w:szCs w:val="20"/>
          <w:rtl/>
        </w:rPr>
        <w:t xml:space="preserve">, </w:t>
      </w:r>
      <w:r w:rsidRPr="004F79A0">
        <w:rPr>
          <w:rFonts w:cs="Arial" w:hint="cs"/>
          <w:sz w:val="20"/>
          <w:szCs w:val="20"/>
          <w:rtl/>
        </w:rPr>
        <w:t>זה</w:t>
      </w:r>
      <w:r w:rsidRPr="004F79A0">
        <w:rPr>
          <w:rFonts w:cs="Arial"/>
          <w:sz w:val="20"/>
          <w:szCs w:val="20"/>
          <w:rtl/>
        </w:rPr>
        <w:t xml:space="preserve"> </w:t>
      </w:r>
      <w:r w:rsidRPr="004F79A0">
        <w:rPr>
          <w:rFonts w:cs="Arial" w:hint="cs"/>
          <w:sz w:val="20"/>
          <w:szCs w:val="20"/>
          <w:rtl/>
        </w:rPr>
        <w:t>וזה</w:t>
      </w:r>
      <w:r w:rsidRPr="004F79A0">
        <w:rPr>
          <w:rFonts w:cs="Arial"/>
          <w:sz w:val="20"/>
          <w:szCs w:val="20"/>
          <w:rtl/>
        </w:rPr>
        <w:t xml:space="preserve"> </w:t>
      </w:r>
      <w:r w:rsidRPr="004F79A0">
        <w:rPr>
          <w:rFonts w:cs="Arial" w:hint="cs"/>
          <w:sz w:val="20"/>
          <w:szCs w:val="20"/>
          <w:rtl/>
        </w:rPr>
        <w:t>אסורים</w:t>
      </w:r>
      <w:r w:rsidRPr="004F79A0">
        <w:rPr>
          <w:rFonts w:cs="Arial"/>
          <w:sz w:val="20"/>
          <w:szCs w:val="20"/>
          <w:rtl/>
        </w:rPr>
        <w:t xml:space="preserve">, </w:t>
      </w:r>
      <w:r w:rsidRPr="004F79A0">
        <w:rPr>
          <w:rFonts w:cs="Arial" w:hint="cs"/>
          <w:sz w:val="20"/>
          <w:szCs w:val="20"/>
          <w:rtl/>
        </w:rPr>
        <w:t>וכשיגיע</w:t>
      </w:r>
      <w:r w:rsidRPr="004F79A0">
        <w:rPr>
          <w:rFonts w:cs="Arial"/>
          <w:sz w:val="20"/>
          <w:szCs w:val="20"/>
          <w:rtl/>
        </w:rPr>
        <w:t xml:space="preserve"> </w:t>
      </w:r>
      <w:r w:rsidRPr="004F79A0">
        <w:rPr>
          <w:rFonts w:cs="Arial" w:hint="cs"/>
          <w:sz w:val="20"/>
          <w:szCs w:val="20"/>
          <w:rtl/>
        </w:rPr>
        <w:t>יום</w:t>
      </w:r>
      <w:r w:rsidRPr="004F79A0">
        <w:rPr>
          <w:rFonts w:cs="Arial"/>
          <w:sz w:val="20"/>
          <w:szCs w:val="20"/>
          <w:rtl/>
        </w:rPr>
        <w:t xml:space="preserve"> </w:t>
      </w:r>
      <w:r w:rsidRPr="004F79A0">
        <w:rPr>
          <w:rFonts w:cs="Arial" w:hint="cs"/>
          <w:sz w:val="20"/>
          <w:szCs w:val="20"/>
          <w:rtl/>
        </w:rPr>
        <w:t>כ</w:t>
      </w:r>
      <w:r w:rsidRPr="004F79A0">
        <w:rPr>
          <w:rFonts w:cs="Arial"/>
          <w:sz w:val="20"/>
          <w:szCs w:val="20"/>
          <w:rtl/>
        </w:rPr>
        <w:t xml:space="preserve">' </w:t>
      </w:r>
      <w:r w:rsidRPr="004F79A0">
        <w:rPr>
          <w:rFonts w:cs="Arial" w:hint="cs"/>
          <w:sz w:val="20"/>
          <w:szCs w:val="20"/>
          <w:rtl/>
        </w:rPr>
        <w:t>לראיית</w:t>
      </w:r>
      <w:r w:rsidRPr="004F79A0">
        <w:rPr>
          <w:rFonts w:cs="Arial"/>
          <w:sz w:val="20"/>
          <w:szCs w:val="20"/>
          <w:rtl/>
        </w:rPr>
        <w:t xml:space="preserve"> </w:t>
      </w:r>
      <w:r w:rsidRPr="004F79A0">
        <w:rPr>
          <w:rFonts w:cs="Arial" w:hint="cs"/>
          <w:sz w:val="20"/>
          <w:szCs w:val="20"/>
          <w:rtl/>
        </w:rPr>
        <w:t>של</w:t>
      </w:r>
      <w:r>
        <w:rPr>
          <w:rFonts w:cs="Arial" w:hint="cs"/>
          <w:sz w:val="20"/>
          <w:szCs w:val="20"/>
          <w:rtl/>
        </w:rPr>
        <w:t>ו</w:t>
      </w:r>
      <w:r w:rsidRPr="004F79A0">
        <w:rPr>
          <w:rFonts w:cs="Arial" w:hint="cs"/>
          <w:sz w:val="20"/>
          <w:szCs w:val="20"/>
          <w:rtl/>
        </w:rPr>
        <w:t>שים</w:t>
      </w:r>
      <w:r w:rsidRPr="004F79A0">
        <w:rPr>
          <w:rFonts w:cs="Arial"/>
          <w:sz w:val="20"/>
          <w:szCs w:val="20"/>
          <w:rtl/>
        </w:rPr>
        <w:t xml:space="preserve">, </w:t>
      </w:r>
      <w:r w:rsidRPr="004F79A0">
        <w:rPr>
          <w:rFonts w:cs="Arial" w:hint="cs"/>
          <w:sz w:val="20"/>
          <w:szCs w:val="20"/>
          <w:rtl/>
        </w:rPr>
        <w:t>אסורה</w:t>
      </w:r>
      <w:r w:rsidRPr="004F79A0">
        <w:rPr>
          <w:rFonts w:cs="Arial"/>
          <w:sz w:val="20"/>
          <w:szCs w:val="20"/>
          <w:rtl/>
        </w:rPr>
        <w:t xml:space="preserve"> </w:t>
      </w:r>
      <w:r w:rsidRPr="004F79A0">
        <w:rPr>
          <w:rFonts w:cs="Arial" w:hint="cs"/>
          <w:sz w:val="20"/>
          <w:szCs w:val="20"/>
          <w:rtl/>
        </w:rPr>
        <w:t>משום</w:t>
      </w:r>
      <w:r w:rsidRPr="004F79A0">
        <w:rPr>
          <w:rFonts w:cs="Arial"/>
          <w:sz w:val="20"/>
          <w:szCs w:val="20"/>
          <w:rtl/>
        </w:rPr>
        <w:t xml:space="preserve"> </w:t>
      </w:r>
      <w:r w:rsidRPr="004F79A0">
        <w:rPr>
          <w:rFonts w:cs="Arial" w:hint="cs"/>
          <w:sz w:val="20"/>
          <w:szCs w:val="20"/>
          <w:rtl/>
        </w:rPr>
        <w:t>וסת</w:t>
      </w:r>
      <w:r w:rsidRPr="004F79A0">
        <w:rPr>
          <w:rFonts w:cs="Arial"/>
          <w:sz w:val="20"/>
          <w:szCs w:val="20"/>
          <w:rtl/>
        </w:rPr>
        <w:t xml:space="preserve"> </w:t>
      </w:r>
      <w:r w:rsidRPr="004F79A0">
        <w:rPr>
          <w:rFonts w:cs="Arial" w:hint="cs"/>
          <w:sz w:val="20"/>
          <w:szCs w:val="20"/>
          <w:rtl/>
        </w:rPr>
        <w:t>הראשון</w:t>
      </w:r>
      <w:r w:rsidRPr="004F79A0">
        <w:rPr>
          <w:rFonts w:cs="Arial"/>
          <w:sz w:val="20"/>
          <w:szCs w:val="20"/>
          <w:rtl/>
        </w:rPr>
        <w:t xml:space="preserve">, </w:t>
      </w:r>
      <w:r w:rsidRPr="004F79A0">
        <w:rPr>
          <w:rFonts w:cs="Arial" w:hint="cs"/>
          <w:sz w:val="20"/>
          <w:szCs w:val="20"/>
          <w:rtl/>
        </w:rPr>
        <w:t>ואם</w:t>
      </w:r>
      <w:r w:rsidRPr="004F79A0">
        <w:rPr>
          <w:rFonts w:cs="Arial"/>
          <w:sz w:val="20"/>
          <w:szCs w:val="20"/>
          <w:rtl/>
        </w:rPr>
        <w:t xml:space="preserve"> </w:t>
      </w:r>
      <w:r w:rsidRPr="004F79A0">
        <w:rPr>
          <w:rFonts w:cs="Arial" w:hint="cs"/>
          <w:sz w:val="20"/>
          <w:szCs w:val="20"/>
          <w:rtl/>
        </w:rPr>
        <w:t>לא</w:t>
      </w:r>
      <w:r w:rsidRPr="004F79A0">
        <w:rPr>
          <w:rFonts w:cs="Arial"/>
          <w:sz w:val="20"/>
          <w:szCs w:val="20"/>
          <w:rtl/>
        </w:rPr>
        <w:t xml:space="preserve"> </w:t>
      </w:r>
      <w:r w:rsidRPr="004F79A0">
        <w:rPr>
          <w:rFonts w:cs="Arial" w:hint="cs"/>
          <w:sz w:val="20"/>
          <w:szCs w:val="20"/>
          <w:rtl/>
        </w:rPr>
        <w:t>תראה</w:t>
      </w:r>
      <w:r w:rsidRPr="004F79A0">
        <w:rPr>
          <w:rFonts w:cs="Arial"/>
          <w:sz w:val="20"/>
          <w:szCs w:val="20"/>
          <w:rtl/>
        </w:rPr>
        <w:t xml:space="preserve"> </w:t>
      </w:r>
      <w:r w:rsidRPr="004F79A0">
        <w:rPr>
          <w:rFonts w:cs="Arial" w:hint="cs"/>
          <w:sz w:val="20"/>
          <w:szCs w:val="20"/>
          <w:rtl/>
        </w:rPr>
        <w:t>בו</w:t>
      </w:r>
      <w:r w:rsidRPr="004F79A0">
        <w:rPr>
          <w:rFonts w:cs="Arial"/>
          <w:sz w:val="20"/>
          <w:szCs w:val="20"/>
          <w:rtl/>
        </w:rPr>
        <w:t xml:space="preserve"> </w:t>
      </w:r>
      <w:r w:rsidRPr="004F79A0">
        <w:rPr>
          <w:rFonts w:cs="Arial" w:hint="cs"/>
          <w:sz w:val="20"/>
          <w:szCs w:val="20"/>
          <w:rtl/>
        </w:rPr>
        <w:t>חוששת</w:t>
      </w:r>
      <w:r w:rsidRPr="004F79A0">
        <w:rPr>
          <w:rFonts w:cs="Arial"/>
          <w:sz w:val="20"/>
          <w:szCs w:val="20"/>
          <w:rtl/>
        </w:rPr>
        <w:t xml:space="preserve"> </w:t>
      </w:r>
      <w:r w:rsidRPr="004F79A0">
        <w:rPr>
          <w:rFonts w:cs="Arial" w:hint="cs"/>
          <w:sz w:val="20"/>
          <w:szCs w:val="20"/>
          <w:rtl/>
        </w:rPr>
        <w:t>ליום</w:t>
      </w:r>
      <w:r w:rsidRPr="004F79A0">
        <w:rPr>
          <w:rFonts w:cs="Arial"/>
          <w:sz w:val="20"/>
          <w:szCs w:val="20"/>
          <w:rtl/>
        </w:rPr>
        <w:t xml:space="preserve"> </w:t>
      </w:r>
      <w:r w:rsidRPr="004F79A0">
        <w:rPr>
          <w:rFonts w:cs="Arial" w:hint="cs"/>
          <w:sz w:val="20"/>
          <w:szCs w:val="20"/>
          <w:rtl/>
        </w:rPr>
        <w:t>ל</w:t>
      </w:r>
      <w:r w:rsidRPr="004F79A0">
        <w:rPr>
          <w:rFonts w:cs="Arial"/>
          <w:sz w:val="20"/>
          <w:szCs w:val="20"/>
          <w:rtl/>
        </w:rPr>
        <w:t xml:space="preserve">'. </w:t>
      </w:r>
      <w:r w:rsidRPr="004F79A0">
        <w:rPr>
          <w:rFonts w:cs="Arial" w:hint="cs"/>
          <w:sz w:val="20"/>
          <w:szCs w:val="20"/>
          <w:rtl/>
        </w:rPr>
        <w:t>שינתה</w:t>
      </w:r>
      <w:r w:rsidRPr="004F79A0">
        <w:rPr>
          <w:rFonts w:cs="Arial"/>
          <w:sz w:val="20"/>
          <w:szCs w:val="20"/>
          <w:rtl/>
        </w:rPr>
        <w:t xml:space="preserve"> </w:t>
      </w:r>
      <w:r w:rsidRPr="004F79A0">
        <w:rPr>
          <w:rFonts w:cs="Arial" w:hint="cs"/>
          <w:sz w:val="20"/>
          <w:szCs w:val="20"/>
          <w:rtl/>
        </w:rPr>
        <w:t>פעמ</w:t>
      </w:r>
      <w:r>
        <w:rPr>
          <w:rFonts w:cs="Arial" w:hint="cs"/>
          <w:sz w:val="20"/>
          <w:szCs w:val="20"/>
          <w:rtl/>
        </w:rPr>
        <w:t>י</w:t>
      </w:r>
      <w:r w:rsidRPr="004F79A0">
        <w:rPr>
          <w:rFonts w:cs="Arial" w:hint="cs"/>
          <w:sz w:val="20"/>
          <w:szCs w:val="20"/>
          <w:rtl/>
        </w:rPr>
        <w:t>ים</w:t>
      </w:r>
      <w:r w:rsidRPr="004F79A0">
        <w:rPr>
          <w:rFonts w:cs="Arial"/>
          <w:sz w:val="20"/>
          <w:szCs w:val="20"/>
          <w:rtl/>
        </w:rPr>
        <w:t xml:space="preserve"> </w:t>
      </w:r>
      <w:r w:rsidRPr="004F79A0">
        <w:rPr>
          <w:rFonts w:cs="Arial" w:hint="cs"/>
          <w:sz w:val="20"/>
          <w:szCs w:val="20"/>
          <w:rtl/>
        </w:rPr>
        <w:t>ליום</w:t>
      </w:r>
      <w:r w:rsidRPr="004F79A0">
        <w:rPr>
          <w:rFonts w:cs="Arial"/>
          <w:sz w:val="20"/>
          <w:szCs w:val="20"/>
          <w:rtl/>
        </w:rPr>
        <w:t xml:space="preserve"> </w:t>
      </w:r>
      <w:r w:rsidRPr="004F79A0">
        <w:rPr>
          <w:rFonts w:cs="Arial" w:hint="cs"/>
          <w:sz w:val="20"/>
          <w:szCs w:val="20"/>
          <w:rtl/>
        </w:rPr>
        <w:t>ל</w:t>
      </w:r>
      <w:r w:rsidRPr="004F79A0">
        <w:rPr>
          <w:rFonts w:cs="Arial"/>
          <w:sz w:val="20"/>
          <w:szCs w:val="20"/>
          <w:rtl/>
        </w:rPr>
        <w:t xml:space="preserve">' </w:t>
      </w:r>
      <w:r w:rsidRPr="004F79A0">
        <w:rPr>
          <w:rFonts w:cs="Arial" w:hint="cs"/>
          <w:sz w:val="20"/>
          <w:szCs w:val="20"/>
          <w:rtl/>
        </w:rPr>
        <w:t>זה</w:t>
      </w:r>
      <w:r w:rsidRPr="004F79A0">
        <w:rPr>
          <w:rFonts w:cs="Arial"/>
          <w:sz w:val="20"/>
          <w:szCs w:val="20"/>
          <w:rtl/>
        </w:rPr>
        <w:t xml:space="preserve"> </w:t>
      </w:r>
      <w:r w:rsidRPr="004F79A0">
        <w:rPr>
          <w:rFonts w:cs="Arial" w:hint="cs"/>
          <w:sz w:val="20"/>
          <w:szCs w:val="20"/>
          <w:rtl/>
        </w:rPr>
        <w:t>וזה</w:t>
      </w:r>
      <w:r w:rsidRPr="004F79A0">
        <w:rPr>
          <w:rFonts w:cs="Arial"/>
          <w:sz w:val="20"/>
          <w:szCs w:val="20"/>
          <w:rtl/>
        </w:rPr>
        <w:t xml:space="preserve"> </w:t>
      </w:r>
      <w:r w:rsidRPr="004F79A0">
        <w:rPr>
          <w:rFonts w:cs="Arial" w:hint="cs"/>
          <w:sz w:val="20"/>
          <w:szCs w:val="20"/>
          <w:rtl/>
        </w:rPr>
        <w:t>אסורים</w:t>
      </w:r>
      <w:r w:rsidRPr="004F79A0">
        <w:rPr>
          <w:rFonts w:cs="Arial"/>
          <w:sz w:val="20"/>
          <w:szCs w:val="20"/>
          <w:rtl/>
        </w:rPr>
        <w:t xml:space="preserve">. </w:t>
      </w:r>
      <w:r w:rsidRPr="004F79A0">
        <w:rPr>
          <w:rFonts w:cs="Arial" w:hint="cs"/>
          <w:sz w:val="20"/>
          <w:szCs w:val="20"/>
          <w:rtl/>
        </w:rPr>
        <w:t>שינתה</w:t>
      </w:r>
      <w:r w:rsidRPr="004F79A0">
        <w:rPr>
          <w:rFonts w:cs="Arial"/>
          <w:sz w:val="20"/>
          <w:szCs w:val="20"/>
          <w:rtl/>
        </w:rPr>
        <w:t xml:space="preserve"> </w:t>
      </w:r>
      <w:r w:rsidRPr="004F79A0">
        <w:rPr>
          <w:rFonts w:cs="Arial" w:hint="cs"/>
          <w:sz w:val="20"/>
          <w:szCs w:val="20"/>
          <w:rtl/>
        </w:rPr>
        <w:t>ג</w:t>
      </w:r>
      <w:r>
        <w:rPr>
          <w:rFonts w:cs="Arial" w:hint="cs"/>
          <w:sz w:val="20"/>
          <w:szCs w:val="20"/>
          <w:rtl/>
        </w:rPr>
        <w:t xml:space="preserve">' </w:t>
      </w:r>
      <w:r w:rsidRPr="004F79A0">
        <w:rPr>
          <w:rFonts w:cs="Arial" w:hint="cs"/>
          <w:sz w:val="20"/>
          <w:szCs w:val="20"/>
          <w:rtl/>
        </w:rPr>
        <w:t>פ</w:t>
      </w:r>
      <w:r>
        <w:rPr>
          <w:rFonts w:cs="Arial" w:hint="cs"/>
          <w:sz w:val="20"/>
          <w:szCs w:val="20"/>
          <w:rtl/>
        </w:rPr>
        <w:t>עמים</w:t>
      </w:r>
      <w:r w:rsidRPr="004F79A0">
        <w:rPr>
          <w:rFonts w:cs="Arial"/>
          <w:sz w:val="20"/>
          <w:szCs w:val="20"/>
          <w:rtl/>
        </w:rPr>
        <w:t xml:space="preserve"> </w:t>
      </w:r>
      <w:r w:rsidRPr="004F79A0">
        <w:rPr>
          <w:rFonts w:cs="Arial" w:hint="cs"/>
          <w:sz w:val="20"/>
          <w:szCs w:val="20"/>
          <w:rtl/>
        </w:rPr>
        <w:t>ליום</w:t>
      </w:r>
      <w:r w:rsidRPr="004F79A0">
        <w:rPr>
          <w:rFonts w:cs="Arial"/>
          <w:sz w:val="20"/>
          <w:szCs w:val="20"/>
          <w:rtl/>
        </w:rPr>
        <w:t xml:space="preserve"> </w:t>
      </w:r>
      <w:r w:rsidRPr="004F79A0">
        <w:rPr>
          <w:rFonts w:cs="Arial" w:hint="cs"/>
          <w:sz w:val="20"/>
          <w:szCs w:val="20"/>
          <w:rtl/>
        </w:rPr>
        <w:t>ל</w:t>
      </w:r>
      <w:r w:rsidRPr="004F79A0">
        <w:rPr>
          <w:rFonts w:cs="Arial"/>
          <w:sz w:val="20"/>
          <w:szCs w:val="20"/>
          <w:rtl/>
        </w:rPr>
        <w:t xml:space="preserve">', </w:t>
      </w:r>
      <w:r w:rsidRPr="004F79A0">
        <w:rPr>
          <w:rFonts w:cs="Arial" w:hint="cs"/>
          <w:sz w:val="20"/>
          <w:szCs w:val="20"/>
          <w:rtl/>
        </w:rPr>
        <w:t>הותר</w:t>
      </w:r>
      <w:r w:rsidRPr="004F79A0">
        <w:rPr>
          <w:rFonts w:cs="Arial"/>
          <w:sz w:val="20"/>
          <w:szCs w:val="20"/>
          <w:rtl/>
        </w:rPr>
        <w:t xml:space="preserve"> </w:t>
      </w:r>
      <w:r w:rsidRPr="004F79A0">
        <w:rPr>
          <w:rFonts w:cs="Arial" w:hint="cs"/>
          <w:sz w:val="20"/>
          <w:szCs w:val="20"/>
          <w:rtl/>
        </w:rPr>
        <w:t>יום</w:t>
      </w:r>
      <w:r w:rsidRPr="004F79A0">
        <w:rPr>
          <w:rFonts w:cs="Arial"/>
          <w:sz w:val="20"/>
          <w:szCs w:val="20"/>
          <w:rtl/>
        </w:rPr>
        <w:t xml:space="preserve"> </w:t>
      </w:r>
      <w:r w:rsidRPr="004F79A0">
        <w:rPr>
          <w:rFonts w:cs="Arial" w:hint="cs"/>
          <w:sz w:val="20"/>
          <w:szCs w:val="20"/>
          <w:rtl/>
        </w:rPr>
        <w:t>כ</w:t>
      </w:r>
      <w:r w:rsidRPr="004F79A0">
        <w:rPr>
          <w:rFonts w:cs="Arial"/>
          <w:sz w:val="20"/>
          <w:szCs w:val="20"/>
          <w:rtl/>
        </w:rPr>
        <w:t xml:space="preserve">' </w:t>
      </w:r>
      <w:r w:rsidRPr="004F79A0">
        <w:rPr>
          <w:rFonts w:cs="Arial" w:hint="cs"/>
          <w:sz w:val="20"/>
          <w:szCs w:val="20"/>
          <w:rtl/>
        </w:rPr>
        <w:t>ונאסר</w:t>
      </w:r>
      <w:r w:rsidRPr="004F79A0">
        <w:rPr>
          <w:rFonts w:cs="Arial"/>
          <w:sz w:val="20"/>
          <w:szCs w:val="20"/>
          <w:rtl/>
        </w:rPr>
        <w:t xml:space="preserve"> </w:t>
      </w:r>
      <w:r w:rsidRPr="004F79A0">
        <w:rPr>
          <w:rFonts w:cs="Arial" w:hint="cs"/>
          <w:sz w:val="20"/>
          <w:szCs w:val="20"/>
          <w:rtl/>
        </w:rPr>
        <w:t>יום</w:t>
      </w:r>
      <w:r w:rsidRPr="004F79A0">
        <w:rPr>
          <w:rFonts w:cs="Arial"/>
          <w:sz w:val="20"/>
          <w:szCs w:val="20"/>
          <w:rtl/>
        </w:rPr>
        <w:t xml:space="preserve"> </w:t>
      </w:r>
      <w:r w:rsidRPr="004F79A0">
        <w:rPr>
          <w:rFonts w:cs="Arial" w:hint="cs"/>
          <w:sz w:val="20"/>
          <w:szCs w:val="20"/>
          <w:rtl/>
        </w:rPr>
        <w:t>ל</w:t>
      </w:r>
      <w:r w:rsidRPr="004F79A0">
        <w:rPr>
          <w:rFonts w:cs="Arial"/>
          <w:sz w:val="20"/>
          <w:szCs w:val="20"/>
          <w:rtl/>
        </w:rPr>
        <w:t xml:space="preserve">'. </w:t>
      </w:r>
      <w:r w:rsidRPr="004F79A0">
        <w:rPr>
          <w:rFonts w:cs="Arial" w:hint="cs"/>
          <w:sz w:val="20"/>
          <w:szCs w:val="20"/>
          <w:rtl/>
        </w:rPr>
        <w:t>ואם</w:t>
      </w:r>
      <w:r w:rsidRPr="004F79A0">
        <w:rPr>
          <w:rFonts w:cs="Arial"/>
          <w:sz w:val="20"/>
          <w:szCs w:val="20"/>
          <w:rtl/>
        </w:rPr>
        <w:t xml:space="preserve"> </w:t>
      </w:r>
      <w:r w:rsidRPr="004F79A0">
        <w:rPr>
          <w:rFonts w:cs="Arial" w:hint="cs"/>
          <w:sz w:val="20"/>
          <w:szCs w:val="20"/>
          <w:rtl/>
        </w:rPr>
        <w:t>לאחר</w:t>
      </w:r>
      <w:r w:rsidRPr="004F79A0">
        <w:rPr>
          <w:rFonts w:cs="Arial"/>
          <w:sz w:val="20"/>
          <w:szCs w:val="20"/>
          <w:rtl/>
        </w:rPr>
        <w:t xml:space="preserve"> </w:t>
      </w:r>
      <w:r w:rsidRPr="004F79A0">
        <w:rPr>
          <w:rFonts w:cs="Arial" w:hint="cs"/>
          <w:sz w:val="20"/>
          <w:szCs w:val="20"/>
          <w:rtl/>
        </w:rPr>
        <w:t>ששינתה</w:t>
      </w:r>
      <w:r w:rsidRPr="004F79A0">
        <w:rPr>
          <w:rFonts w:cs="Arial"/>
          <w:sz w:val="20"/>
          <w:szCs w:val="20"/>
          <w:rtl/>
        </w:rPr>
        <w:t xml:space="preserve"> </w:t>
      </w:r>
      <w:r w:rsidRPr="004F79A0">
        <w:rPr>
          <w:rFonts w:cs="Arial" w:hint="cs"/>
          <w:sz w:val="20"/>
          <w:szCs w:val="20"/>
          <w:rtl/>
        </w:rPr>
        <w:t>פעם</w:t>
      </w:r>
      <w:r w:rsidRPr="004F79A0">
        <w:rPr>
          <w:rFonts w:cs="Arial"/>
          <w:sz w:val="20"/>
          <w:szCs w:val="20"/>
          <w:rtl/>
        </w:rPr>
        <w:t xml:space="preserve"> </w:t>
      </w:r>
      <w:r w:rsidRPr="004F79A0">
        <w:rPr>
          <w:rFonts w:cs="Arial" w:hint="cs"/>
          <w:sz w:val="20"/>
          <w:szCs w:val="20"/>
          <w:rtl/>
        </w:rPr>
        <w:t>או</w:t>
      </w:r>
      <w:r w:rsidRPr="004F79A0">
        <w:rPr>
          <w:rFonts w:cs="Arial"/>
          <w:sz w:val="20"/>
          <w:szCs w:val="20"/>
          <w:rtl/>
        </w:rPr>
        <w:t xml:space="preserve"> </w:t>
      </w:r>
      <w:r w:rsidRPr="004F79A0">
        <w:rPr>
          <w:rFonts w:cs="Arial" w:hint="cs"/>
          <w:sz w:val="20"/>
          <w:szCs w:val="20"/>
          <w:rtl/>
        </w:rPr>
        <w:t>פעמ</w:t>
      </w:r>
      <w:r>
        <w:rPr>
          <w:rFonts w:cs="Arial" w:hint="cs"/>
          <w:sz w:val="20"/>
          <w:szCs w:val="20"/>
          <w:rtl/>
        </w:rPr>
        <w:t>י</w:t>
      </w:r>
      <w:r w:rsidRPr="004F79A0">
        <w:rPr>
          <w:rFonts w:cs="Arial" w:hint="cs"/>
          <w:sz w:val="20"/>
          <w:szCs w:val="20"/>
          <w:rtl/>
        </w:rPr>
        <w:t>ים</w:t>
      </w:r>
      <w:r w:rsidRPr="004F79A0">
        <w:rPr>
          <w:rFonts w:cs="Arial"/>
          <w:sz w:val="20"/>
          <w:szCs w:val="20"/>
          <w:rtl/>
        </w:rPr>
        <w:t xml:space="preserve"> </w:t>
      </w:r>
      <w:r w:rsidRPr="004F79A0">
        <w:rPr>
          <w:rFonts w:cs="Arial" w:hint="cs"/>
          <w:sz w:val="20"/>
          <w:szCs w:val="20"/>
          <w:rtl/>
        </w:rPr>
        <w:t>ליום</w:t>
      </w:r>
      <w:r w:rsidRPr="004F79A0">
        <w:rPr>
          <w:rFonts w:cs="Arial"/>
          <w:sz w:val="20"/>
          <w:szCs w:val="20"/>
          <w:rtl/>
        </w:rPr>
        <w:t xml:space="preserve"> </w:t>
      </w:r>
      <w:r w:rsidRPr="004F79A0">
        <w:rPr>
          <w:rFonts w:cs="Arial" w:hint="cs"/>
          <w:sz w:val="20"/>
          <w:szCs w:val="20"/>
          <w:rtl/>
        </w:rPr>
        <w:t>ל</w:t>
      </w:r>
      <w:r w:rsidRPr="004F79A0">
        <w:rPr>
          <w:rFonts w:cs="Arial"/>
          <w:sz w:val="20"/>
          <w:szCs w:val="20"/>
          <w:rtl/>
        </w:rPr>
        <w:t xml:space="preserve">' </w:t>
      </w:r>
      <w:r w:rsidRPr="004F79A0">
        <w:rPr>
          <w:rFonts w:cs="Arial" w:hint="cs"/>
          <w:sz w:val="20"/>
          <w:szCs w:val="20"/>
          <w:rtl/>
        </w:rPr>
        <w:t>ראתה</w:t>
      </w:r>
      <w:r w:rsidRPr="004F79A0">
        <w:rPr>
          <w:rFonts w:cs="Arial"/>
          <w:sz w:val="20"/>
          <w:szCs w:val="20"/>
          <w:rtl/>
        </w:rPr>
        <w:t xml:space="preserve"> </w:t>
      </w:r>
      <w:r w:rsidRPr="004F79A0">
        <w:rPr>
          <w:rFonts w:cs="Arial" w:hint="cs"/>
          <w:sz w:val="20"/>
          <w:szCs w:val="20"/>
          <w:rtl/>
        </w:rPr>
        <w:t>לסוף</w:t>
      </w:r>
      <w:r w:rsidRPr="004F79A0">
        <w:rPr>
          <w:rFonts w:cs="Arial"/>
          <w:sz w:val="20"/>
          <w:szCs w:val="20"/>
          <w:rtl/>
        </w:rPr>
        <w:t xml:space="preserve"> </w:t>
      </w:r>
      <w:r w:rsidRPr="004F79A0">
        <w:rPr>
          <w:rFonts w:cs="Arial" w:hint="cs"/>
          <w:sz w:val="20"/>
          <w:szCs w:val="20"/>
          <w:rtl/>
        </w:rPr>
        <w:t>כ</w:t>
      </w:r>
      <w:r w:rsidRPr="004F79A0">
        <w:rPr>
          <w:rFonts w:cs="Arial"/>
          <w:sz w:val="20"/>
          <w:szCs w:val="20"/>
          <w:rtl/>
        </w:rPr>
        <w:t xml:space="preserve">', </w:t>
      </w:r>
      <w:r w:rsidRPr="004F79A0">
        <w:rPr>
          <w:rFonts w:cs="Arial" w:hint="cs"/>
          <w:sz w:val="20"/>
          <w:szCs w:val="20"/>
          <w:rtl/>
        </w:rPr>
        <w:t>חזר</w:t>
      </w:r>
      <w:r w:rsidRPr="004F79A0">
        <w:rPr>
          <w:rFonts w:cs="Arial"/>
          <w:sz w:val="20"/>
          <w:szCs w:val="20"/>
          <w:rtl/>
        </w:rPr>
        <w:t xml:space="preserve"> </w:t>
      </w:r>
      <w:r w:rsidRPr="004F79A0">
        <w:rPr>
          <w:rFonts w:cs="Arial" w:hint="cs"/>
          <w:sz w:val="20"/>
          <w:szCs w:val="20"/>
          <w:rtl/>
        </w:rPr>
        <w:t>ו</w:t>
      </w:r>
      <w:r>
        <w:rPr>
          <w:rFonts w:cs="Arial" w:hint="cs"/>
          <w:sz w:val="20"/>
          <w:szCs w:val="20"/>
          <w:rtl/>
        </w:rPr>
        <w:t>ו</w:t>
      </w:r>
      <w:r w:rsidRPr="004F79A0">
        <w:rPr>
          <w:rFonts w:cs="Arial" w:hint="cs"/>
          <w:sz w:val="20"/>
          <w:szCs w:val="20"/>
          <w:rtl/>
        </w:rPr>
        <w:t>סת</w:t>
      </w:r>
      <w:r w:rsidRPr="004F79A0">
        <w:rPr>
          <w:rFonts w:cs="Arial"/>
          <w:sz w:val="20"/>
          <w:szCs w:val="20"/>
          <w:rtl/>
        </w:rPr>
        <w:t xml:space="preserve"> </w:t>
      </w:r>
      <w:r w:rsidRPr="004F79A0">
        <w:rPr>
          <w:rFonts w:cs="Arial" w:hint="cs"/>
          <w:sz w:val="20"/>
          <w:szCs w:val="20"/>
          <w:rtl/>
        </w:rPr>
        <w:t>של</w:t>
      </w:r>
      <w:r w:rsidRPr="004F79A0">
        <w:rPr>
          <w:rFonts w:cs="Arial"/>
          <w:sz w:val="20"/>
          <w:szCs w:val="20"/>
          <w:rtl/>
        </w:rPr>
        <w:t xml:space="preserve"> </w:t>
      </w:r>
      <w:r w:rsidRPr="004F79A0">
        <w:rPr>
          <w:rFonts w:cs="Arial" w:hint="cs"/>
          <w:sz w:val="20"/>
          <w:szCs w:val="20"/>
          <w:rtl/>
        </w:rPr>
        <w:t>כ</w:t>
      </w:r>
      <w:r w:rsidRPr="004F79A0">
        <w:rPr>
          <w:rFonts w:cs="Arial"/>
          <w:sz w:val="20"/>
          <w:szCs w:val="20"/>
          <w:rtl/>
        </w:rPr>
        <w:t xml:space="preserve">' </w:t>
      </w:r>
      <w:r w:rsidRPr="004F79A0">
        <w:rPr>
          <w:rFonts w:cs="Arial" w:hint="cs"/>
          <w:sz w:val="20"/>
          <w:szCs w:val="20"/>
          <w:rtl/>
        </w:rPr>
        <w:t>למקומו</w:t>
      </w:r>
      <w:r w:rsidRPr="004F79A0">
        <w:rPr>
          <w:rFonts w:cs="Arial"/>
          <w:sz w:val="20"/>
          <w:szCs w:val="20"/>
          <w:rtl/>
        </w:rPr>
        <w:t xml:space="preserve"> </w:t>
      </w:r>
      <w:r w:rsidRPr="004F79A0">
        <w:rPr>
          <w:rFonts w:cs="Arial" w:hint="cs"/>
          <w:sz w:val="20"/>
          <w:szCs w:val="20"/>
          <w:rtl/>
        </w:rPr>
        <w:t>והותר</w:t>
      </w:r>
      <w:r w:rsidRPr="004F79A0">
        <w:rPr>
          <w:rFonts w:cs="Arial"/>
          <w:sz w:val="20"/>
          <w:szCs w:val="20"/>
          <w:rtl/>
        </w:rPr>
        <w:t xml:space="preserve"> </w:t>
      </w:r>
      <w:r w:rsidRPr="004F79A0">
        <w:rPr>
          <w:rFonts w:cs="Arial" w:hint="cs"/>
          <w:sz w:val="20"/>
          <w:szCs w:val="20"/>
          <w:rtl/>
        </w:rPr>
        <w:t>של</w:t>
      </w:r>
      <w:r>
        <w:rPr>
          <w:rFonts w:cs="Arial" w:hint="cs"/>
          <w:sz w:val="20"/>
          <w:szCs w:val="20"/>
          <w:rtl/>
        </w:rPr>
        <w:t>ו</w:t>
      </w:r>
      <w:r w:rsidRPr="004F79A0">
        <w:rPr>
          <w:rFonts w:cs="Arial" w:hint="cs"/>
          <w:sz w:val="20"/>
          <w:szCs w:val="20"/>
          <w:rtl/>
        </w:rPr>
        <w:t>שים</w:t>
      </w:r>
      <w:r>
        <w:rPr>
          <w:rFonts w:cs="Arial" w:hint="cs"/>
          <w:sz w:val="20"/>
          <w:szCs w:val="20"/>
          <w:rtl/>
        </w:rPr>
        <w:t>".</w:t>
      </w:r>
    </w:p>
    <w:p w:rsidR="00620060" w:rsidRDefault="00620060" w:rsidP="00620060">
      <w:pPr>
        <w:rPr>
          <w:sz w:val="20"/>
          <w:szCs w:val="20"/>
          <w:rtl/>
        </w:rPr>
      </w:pPr>
      <w:r>
        <w:rPr>
          <w:rFonts w:hint="cs"/>
          <w:b/>
          <w:bCs/>
          <w:sz w:val="20"/>
          <w:szCs w:val="20"/>
          <w:rtl/>
        </w:rPr>
        <w:t>ביאור דברי המחבר</w:t>
      </w:r>
      <w:r>
        <w:rPr>
          <w:rFonts w:hint="cs"/>
          <w:sz w:val="20"/>
          <w:szCs w:val="20"/>
          <w:u w:val="single"/>
          <w:rtl/>
        </w:rPr>
        <w:br/>
        <w:t>קושייה על דברי הרמב"ן והמחבר</w:t>
      </w:r>
      <w:r>
        <w:rPr>
          <w:sz w:val="20"/>
          <w:szCs w:val="20"/>
          <w:u w:val="single"/>
          <w:rtl/>
        </w:rPr>
        <w:br/>
      </w:r>
      <w:r>
        <w:rPr>
          <w:rFonts w:cs="Arial" w:hint="cs"/>
          <w:sz w:val="20"/>
          <w:szCs w:val="20"/>
          <w:rtl/>
        </w:rPr>
        <w:t>"</w:t>
      </w:r>
      <w:r w:rsidRPr="004F79A0">
        <w:rPr>
          <w:rFonts w:cs="Arial" w:hint="cs"/>
          <w:sz w:val="20"/>
          <w:szCs w:val="20"/>
          <w:rtl/>
        </w:rPr>
        <w:t>ואם</w:t>
      </w:r>
      <w:r w:rsidRPr="004F79A0">
        <w:rPr>
          <w:rFonts w:cs="Arial"/>
          <w:sz w:val="20"/>
          <w:szCs w:val="20"/>
          <w:rtl/>
        </w:rPr>
        <w:t xml:space="preserve"> </w:t>
      </w:r>
      <w:r w:rsidRPr="004F79A0">
        <w:rPr>
          <w:rFonts w:cs="Arial" w:hint="cs"/>
          <w:sz w:val="20"/>
          <w:szCs w:val="20"/>
          <w:rtl/>
        </w:rPr>
        <w:t>לאחר</w:t>
      </w:r>
      <w:r w:rsidRPr="004F79A0">
        <w:rPr>
          <w:rFonts w:cs="Arial"/>
          <w:sz w:val="20"/>
          <w:szCs w:val="20"/>
          <w:rtl/>
        </w:rPr>
        <w:t xml:space="preserve"> </w:t>
      </w:r>
      <w:r w:rsidRPr="004F79A0">
        <w:rPr>
          <w:rFonts w:cs="Arial" w:hint="cs"/>
          <w:sz w:val="20"/>
          <w:szCs w:val="20"/>
          <w:rtl/>
        </w:rPr>
        <w:t>ששינתה</w:t>
      </w:r>
      <w:r w:rsidRPr="004F79A0">
        <w:rPr>
          <w:rFonts w:cs="Arial"/>
          <w:sz w:val="20"/>
          <w:szCs w:val="20"/>
          <w:rtl/>
        </w:rPr>
        <w:t xml:space="preserve"> </w:t>
      </w:r>
      <w:r w:rsidRPr="004F79A0">
        <w:rPr>
          <w:rFonts w:cs="Arial" w:hint="cs"/>
          <w:sz w:val="20"/>
          <w:szCs w:val="20"/>
          <w:rtl/>
        </w:rPr>
        <w:t>פעם</w:t>
      </w:r>
      <w:r w:rsidRPr="004F79A0">
        <w:rPr>
          <w:rFonts w:cs="Arial"/>
          <w:sz w:val="20"/>
          <w:szCs w:val="20"/>
          <w:rtl/>
        </w:rPr>
        <w:t xml:space="preserve"> </w:t>
      </w:r>
      <w:r w:rsidRPr="004F79A0">
        <w:rPr>
          <w:rFonts w:cs="Arial" w:hint="cs"/>
          <w:sz w:val="20"/>
          <w:szCs w:val="20"/>
          <w:rtl/>
        </w:rPr>
        <w:t>או</w:t>
      </w:r>
      <w:r w:rsidRPr="004F79A0">
        <w:rPr>
          <w:rFonts w:cs="Arial"/>
          <w:sz w:val="20"/>
          <w:szCs w:val="20"/>
          <w:rtl/>
        </w:rPr>
        <w:t xml:space="preserve"> </w:t>
      </w:r>
      <w:r w:rsidRPr="004F79A0">
        <w:rPr>
          <w:rFonts w:cs="Arial" w:hint="cs"/>
          <w:sz w:val="20"/>
          <w:szCs w:val="20"/>
          <w:rtl/>
        </w:rPr>
        <w:t>פעמ</w:t>
      </w:r>
      <w:r>
        <w:rPr>
          <w:rFonts w:cs="Arial" w:hint="cs"/>
          <w:sz w:val="20"/>
          <w:szCs w:val="20"/>
          <w:rtl/>
        </w:rPr>
        <w:t>י</w:t>
      </w:r>
      <w:r w:rsidRPr="004F79A0">
        <w:rPr>
          <w:rFonts w:cs="Arial" w:hint="cs"/>
          <w:sz w:val="20"/>
          <w:szCs w:val="20"/>
          <w:rtl/>
        </w:rPr>
        <w:t>ים</w:t>
      </w:r>
      <w:r w:rsidRPr="004F79A0">
        <w:rPr>
          <w:rFonts w:cs="Arial"/>
          <w:sz w:val="20"/>
          <w:szCs w:val="20"/>
          <w:rtl/>
        </w:rPr>
        <w:t xml:space="preserve"> </w:t>
      </w:r>
      <w:r w:rsidRPr="004F79A0">
        <w:rPr>
          <w:rFonts w:cs="Arial" w:hint="cs"/>
          <w:sz w:val="20"/>
          <w:szCs w:val="20"/>
          <w:rtl/>
        </w:rPr>
        <w:t>ליום</w:t>
      </w:r>
      <w:r w:rsidRPr="004F79A0">
        <w:rPr>
          <w:rFonts w:cs="Arial"/>
          <w:sz w:val="20"/>
          <w:szCs w:val="20"/>
          <w:rtl/>
        </w:rPr>
        <w:t xml:space="preserve"> </w:t>
      </w:r>
      <w:r w:rsidRPr="004F79A0">
        <w:rPr>
          <w:rFonts w:cs="Arial" w:hint="cs"/>
          <w:sz w:val="20"/>
          <w:szCs w:val="20"/>
          <w:rtl/>
        </w:rPr>
        <w:t>ל</w:t>
      </w:r>
      <w:r w:rsidRPr="004F79A0">
        <w:rPr>
          <w:rFonts w:cs="Arial"/>
          <w:sz w:val="20"/>
          <w:szCs w:val="20"/>
          <w:rtl/>
        </w:rPr>
        <w:t xml:space="preserve">' </w:t>
      </w:r>
      <w:r w:rsidRPr="004F79A0">
        <w:rPr>
          <w:rFonts w:cs="Arial" w:hint="cs"/>
          <w:sz w:val="20"/>
          <w:szCs w:val="20"/>
          <w:rtl/>
        </w:rPr>
        <w:t>ראתה</w:t>
      </w:r>
      <w:r w:rsidRPr="004F79A0">
        <w:rPr>
          <w:rFonts w:cs="Arial"/>
          <w:sz w:val="20"/>
          <w:szCs w:val="20"/>
          <w:rtl/>
        </w:rPr>
        <w:t xml:space="preserve"> </w:t>
      </w:r>
      <w:r w:rsidRPr="004F79A0">
        <w:rPr>
          <w:rFonts w:cs="Arial" w:hint="cs"/>
          <w:sz w:val="20"/>
          <w:szCs w:val="20"/>
          <w:rtl/>
        </w:rPr>
        <w:t>לסוף</w:t>
      </w:r>
      <w:r w:rsidRPr="004F79A0">
        <w:rPr>
          <w:rFonts w:cs="Arial"/>
          <w:sz w:val="20"/>
          <w:szCs w:val="20"/>
          <w:rtl/>
        </w:rPr>
        <w:t xml:space="preserve"> </w:t>
      </w:r>
      <w:r w:rsidRPr="004F79A0">
        <w:rPr>
          <w:rFonts w:cs="Arial" w:hint="cs"/>
          <w:sz w:val="20"/>
          <w:szCs w:val="20"/>
          <w:rtl/>
        </w:rPr>
        <w:t>כ</w:t>
      </w:r>
      <w:r w:rsidRPr="004F79A0">
        <w:rPr>
          <w:rFonts w:cs="Arial"/>
          <w:sz w:val="20"/>
          <w:szCs w:val="20"/>
          <w:rtl/>
        </w:rPr>
        <w:t xml:space="preserve">', </w:t>
      </w:r>
      <w:r w:rsidRPr="004F79A0">
        <w:rPr>
          <w:rFonts w:cs="Arial" w:hint="cs"/>
          <w:sz w:val="20"/>
          <w:szCs w:val="20"/>
          <w:rtl/>
        </w:rPr>
        <w:t>חזר</w:t>
      </w:r>
      <w:r w:rsidRPr="004F79A0">
        <w:rPr>
          <w:rFonts w:cs="Arial"/>
          <w:sz w:val="20"/>
          <w:szCs w:val="20"/>
          <w:rtl/>
        </w:rPr>
        <w:t xml:space="preserve"> </w:t>
      </w:r>
      <w:r w:rsidRPr="004F79A0">
        <w:rPr>
          <w:rFonts w:cs="Arial" w:hint="cs"/>
          <w:sz w:val="20"/>
          <w:szCs w:val="20"/>
          <w:rtl/>
        </w:rPr>
        <w:t>ו</w:t>
      </w:r>
      <w:r>
        <w:rPr>
          <w:rFonts w:cs="Arial" w:hint="cs"/>
          <w:sz w:val="20"/>
          <w:szCs w:val="20"/>
          <w:rtl/>
        </w:rPr>
        <w:t>ו</w:t>
      </w:r>
      <w:r w:rsidRPr="004F79A0">
        <w:rPr>
          <w:rFonts w:cs="Arial" w:hint="cs"/>
          <w:sz w:val="20"/>
          <w:szCs w:val="20"/>
          <w:rtl/>
        </w:rPr>
        <w:t>סת</w:t>
      </w:r>
      <w:r w:rsidRPr="004F79A0">
        <w:rPr>
          <w:rFonts w:cs="Arial"/>
          <w:sz w:val="20"/>
          <w:szCs w:val="20"/>
          <w:rtl/>
        </w:rPr>
        <w:t xml:space="preserve"> </w:t>
      </w:r>
      <w:r w:rsidRPr="004F79A0">
        <w:rPr>
          <w:rFonts w:cs="Arial" w:hint="cs"/>
          <w:sz w:val="20"/>
          <w:szCs w:val="20"/>
          <w:rtl/>
        </w:rPr>
        <w:t>של</w:t>
      </w:r>
      <w:r w:rsidRPr="004F79A0">
        <w:rPr>
          <w:rFonts w:cs="Arial"/>
          <w:sz w:val="20"/>
          <w:szCs w:val="20"/>
          <w:rtl/>
        </w:rPr>
        <w:t xml:space="preserve"> </w:t>
      </w:r>
      <w:r w:rsidRPr="004F79A0">
        <w:rPr>
          <w:rFonts w:cs="Arial" w:hint="cs"/>
          <w:sz w:val="20"/>
          <w:szCs w:val="20"/>
          <w:rtl/>
        </w:rPr>
        <w:t>כ</w:t>
      </w:r>
      <w:r w:rsidRPr="004F79A0">
        <w:rPr>
          <w:rFonts w:cs="Arial"/>
          <w:sz w:val="20"/>
          <w:szCs w:val="20"/>
          <w:rtl/>
        </w:rPr>
        <w:t xml:space="preserve">' </w:t>
      </w:r>
      <w:r w:rsidRPr="004F79A0">
        <w:rPr>
          <w:rFonts w:cs="Arial" w:hint="cs"/>
          <w:sz w:val="20"/>
          <w:szCs w:val="20"/>
          <w:rtl/>
        </w:rPr>
        <w:t>למקומו</w:t>
      </w:r>
      <w:r w:rsidRPr="004F79A0">
        <w:rPr>
          <w:rFonts w:cs="Arial"/>
          <w:sz w:val="20"/>
          <w:szCs w:val="20"/>
          <w:rtl/>
        </w:rPr>
        <w:t xml:space="preserve"> </w:t>
      </w:r>
      <w:r w:rsidRPr="004F79A0">
        <w:rPr>
          <w:rFonts w:cs="Arial" w:hint="cs"/>
          <w:sz w:val="20"/>
          <w:szCs w:val="20"/>
          <w:rtl/>
        </w:rPr>
        <w:t>והותר</w:t>
      </w:r>
      <w:r w:rsidRPr="004F79A0">
        <w:rPr>
          <w:rFonts w:cs="Arial"/>
          <w:sz w:val="20"/>
          <w:szCs w:val="20"/>
          <w:rtl/>
        </w:rPr>
        <w:t xml:space="preserve"> </w:t>
      </w:r>
      <w:r w:rsidRPr="004F79A0">
        <w:rPr>
          <w:rFonts w:cs="Arial" w:hint="cs"/>
          <w:sz w:val="20"/>
          <w:szCs w:val="20"/>
          <w:rtl/>
        </w:rPr>
        <w:t>של</w:t>
      </w:r>
      <w:r>
        <w:rPr>
          <w:rFonts w:cs="Arial" w:hint="cs"/>
          <w:sz w:val="20"/>
          <w:szCs w:val="20"/>
          <w:rtl/>
        </w:rPr>
        <w:t>ו</w:t>
      </w:r>
      <w:r w:rsidRPr="004F79A0">
        <w:rPr>
          <w:rFonts w:cs="Arial" w:hint="cs"/>
          <w:sz w:val="20"/>
          <w:szCs w:val="20"/>
          <w:rtl/>
        </w:rPr>
        <w:t>שים</w:t>
      </w:r>
      <w:r>
        <w:rPr>
          <w:rFonts w:cs="Arial" w:hint="cs"/>
          <w:sz w:val="20"/>
          <w:szCs w:val="20"/>
          <w:rtl/>
        </w:rPr>
        <w:t>".</w:t>
      </w:r>
      <w:r>
        <w:rPr>
          <w:sz w:val="20"/>
          <w:szCs w:val="20"/>
          <w:u w:val="single"/>
          <w:rtl/>
        </w:rPr>
        <w:br/>
      </w:r>
      <w:r>
        <w:rPr>
          <w:rFonts w:hint="cs"/>
          <w:sz w:val="20"/>
          <w:szCs w:val="20"/>
          <w:rtl/>
        </w:rPr>
        <w:t xml:space="preserve">לכאורה, דברי הרמב"ן המועתקים בשו"ע הם נגד התלמוד. </w:t>
      </w:r>
      <w:r>
        <w:rPr>
          <w:sz w:val="20"/>
          <w:szCs w:val="20"/>
          <w:rtl/>
        </w:rPr>
        <w:br/>
      </w:r>
      <w:r>
        <w:rPr>
          <w:rFonts w:hint="cs"/>
          <w:sz w:val="20"/>
          <w:szCs w:val="20"/>
          <w:rtl/>
        </w:rPr>
        <w:lastRenderedPageBreak/>
        <w:t>הסבר - הגמרא נקטה מקרה שבו לא ראתה ג' פעמים בכ' ואעפ"כ לא עקרה את הווסת, כאמור לעיל.</w:t>
      </w:r>
      <w:r>
        <w:rPr>
          <w:sz w:val="20"/>
          <w:szCs w:val="20"/>
          <w:rtl/>
        </w:rPr>
        <w:br/>
      </w:r>
      <w:r>
        <w:rPr>
          <w:rFonts w:hint="cs"/>
          <w:sz w:val="20"/>
          <w:szCs w:val="20"/>
          <w:rtl/>
        </w:rPr>
        <w:t>אם כן, מדוע הרמב"ן כתב שעקרה ראיית כ' פעמיים, הרי אפילו אם עקרה ג' פעמים דינא הכי!</w:t>
      </w:r>
    </w:p>
    <w:p w:rsidR="00620060" w:rsidRDefault="00620060" w:rsidP="00620060">
      <w:pPr>
        <w:rPr>
          <w:sz w:val="20"/>
          <w:szCs w:val="20"/>
          <w:rtl/>
        </w:rPr>
      </w:pPr>
      <w:r>
        <w:rPr>
          <w:rFonts w:hint="cs"/>
          <w:sz w:val="20"/>
          <w:szCs w:val="20"/>
          <w:u w:val="single"/>
          <w:rtl/>
        </w:rPr>
        <w:t>תירוץ הקושייה</w:t>
      </w:r>
      <w:r>
        <w:rPr>
          <w:rFonts w:hint="cs"/>
          <w:sz w:val="20"/>
          <w:szCs w:val="20"/>
          <w:u w:val="single"/>
          <w:rtl/>
        </w:rPr>
        <w:br/>
      </w:r>
      <w:r>
        <w:rPr>
          <w:rFonts w:hint="cs"/>
          <w:sz w:val="20"/>
          <w:szCs w:val="20"/>
          <w:rtl/>
        </w:rPr>
        <w:t xml:space="preserve">א. </w:t>
      </w:r>
      <w:r w:rsidRPr="0094754D">
        <w:rPr>
          <w:rFonts w:hint="cs"/>
          <w:b/>
          <w:bCs/>
          <w:sz w:val="20"/>
          <w:szCs w:val="20"/>
          <w:rtl/>
        </w:rPr>
        <w:t>ט"ז</w:t>
      </w:r>
      <w:r>
        <w:rPr>
          <w:rFonts w:hint="cs"/>
          <w:sz w:val="20"/>
          <w:szCs w:val="20"/>
          <w:rtl/>
        </w:rPr>
        <w:t xml:space="preserve"> - בגמרא מדובר על ראייה התלויה בימי החודש, ולכן למרות שג' פעמים לא ראתה בכ', מכל מקום כשחוזרת לראות בכ' ניכר שהווסת חוזר לקביעותו הראשון. ברם, הרמב"ן בדבריו מתייחס לווסת ההפלגה, ובכה"ג לא מצי למימר שעקרה ג' פעמים, משום שאף אם חוזרת אח"כ לראות בכ' אין הדבר ניכר ואינה חוזרת לווסתה.</w:t>
      </w:r>
      <w:r>
        <w:rPr>
          <w:sz w:val="20"/>
          <w:szCs w:val="20"/>
          <w:rtl/>
        </w:rPr>
        <w:br/>
      </w:r>
      <w:r>
        <w:rPr>
          <w:rFonts w:hint="cs"/>
          <w:sz w:val="20"/>
          <w:szCs w:val="20"/>
          <w:rtl/>
        </w:rPr>
        <w:t xml:space="preserve">כגון </w:t>
      </w:r>
      <w:r>
        <w:rPr>
          <w:sz w:val="20"/>
          <w:szCs w:val="20"/>
          <w:rtl/>
        </w:rPr>
        <w:t>–</w:t>
      </w:r>
      <w:r>
        <w:rPr>
          <w:rFonts w:hint="cs"/>
          <w:sz w:val="20"/>
          <w:szCs w:val="20"/>
          <w:rtl/>
        </w:rPr>
        <w:t xml:space="preserve"> קבעה לכ' ועקרה פעמיים לל', אף אם ראייתה הבאה תהיה לנ' יום אין זה מגלה שחזרה לקביעות כ'.</w:t>
      </w:r>
      <w:r>
        <w:rPr>
          <w:sz w:val="20"/>
          <w:szCs w:val="20"/>
          <w:u w:val="single"/>
          <w:rtl/>
        </w:rPr>
        <w:br/>
      </w:r>
      <w:r>
        <w:rPr>
          <w:sz w:val="20"/>
          <w:szCs w:val="20"/>
          <w:rtl/>
        </w:rPr>
        <w:br/>
      </w:r>
      <w:r>
        <w:rPr>
          <w:rFonts w:hint="cs"/>
          <w:sz w:val="20"/>
          <w:szCs w:val="20"/>
          <w:rtl/>
        </w:rPr>
        <w:t>ברם, מודה הרמב"ן אף בווסת ההפלגה לעיקר הדין היוצא מהסוגייה הנ"ל.</w:t>
      </w:r>
      <w:r>
        <w:rPr>
          <w:rFonts w:hint="cs"/>
          <w:sz w:val="20"/>
          <w:szCs w:val="20"/>
          <w:u w:val="single"/>
          <w:rtl/>
        </w:rPr>
        <w:br/>
      </w:r>
      <w:r>
        <w:rPr>
          <w:rFonts w:hint="cs"/>
          <w:sz w:val="20"/>
          <w:szCs w:val="20"/>
          <w:rtl/>
        </w:rPr>
        <w:t xml:space="preserve">כגון </w:t>
      </w:r>
      <w:r>
        <w:rPr>
          <w:sz w:val="20"/>
          <w:szCs w:val="20"/>
          <w:rtl/>
        </w:rPr>
        <w:t>–</w:t>
      </w:r>
      <w:r>
        <w:rPr>
          <w:rFonts w:hint="cs"/>
          <w:sz w:val="20"/>
          <w:szCs w:val="20"/>
          <w:rtl/>
        </w:rPr>
        <w:t xml:space="preserve"> קבעה לכ' ועקרה פעמיים לל'. ראייה הבאה היתה לנ' ואחר כך ראתה לכ' </w:t>
      </w:r>
      <w:r>
        <w:rPr>
          <w:sz w:val="20"/>
          <w:szCs w:val="20"/>
          <w:rtl/>
        </w:rPr>
        <w:t>–</w:t>
      </w:r>
      <w:r>
        <w:rPr>
          <w:rFonts w:hint="cs"/>
          <w:sz w:val="20"/>
          <w:szCs w:val="20"/>
          <w:rtl/>
        </w:rPr>
        <w:t xml:space="preserve"> חזרה לווסת הקבוע לה.</w:t>
      </w:r>
      <w:r>
        <w:rPr>
          <w:sz w:val="20"/>
          <w:szCs w:val="20"/>
          <w:rtl/>
        </w:rPr>
        <w:br/>
      </w:r>
      <w:r>
        <w:rPr>
          <w:rFonts w:hint="cs"/>
          <w:sz w:val="20"/>
          <w:szCs w:val="20"/>
          <w:rtl/>
        </w:rPr>
        <w:t xml:space="preserve">כלומר </w:t>
      </w:r>
      <w:r>
        <w:rPr>
          <w:sz w:val="20"/>
          <w:szCs w:val="20"/>
          <w:rtl/>
        </w:rPr>
        <w:t>–</w:t>
      </w:r>
      <w:r>
        <w:rPr>
          <w:rFonts w:hint="cs"/>
          <w:sz w:val="20"/>
          <w:szCs w:val="20"/>
          <w:rtl/>
        </w:rPr>
        <w:t xml:space="preserve"> מכיוון שווסת כ' לא נעקר ג' פעמים ע"י ראיית ל', שפיר חוזרת לווסתה הקבוע ע"י ראיית כ' שבאה לאחר הפלגת נ' [ל', ל', נ', כ].</w:t>
      </w:r>
      <w:r>
        <w:rPr>
          <w:sz w:val="20"/>
          <w:szCs w:val="20"/>
          <w:rtl/>
        </w:rPr>
        <w:br/>
      </w:r>
      <w:r>
        <w:rPr>
          <w:rFonts w:hint="cs"/>
          <w:sz w:val="20"/>
          <w:szCs w:val="20"/>
          <w:rtl/>
        </w:rPr>
        <w:br/>
        <w:t xml:space="preserve">ב. </w:t>
      </w:r>
      <w:r w:rsidRPr="0094754D">
        <w:rPr>
          <w:rFonts w:hint="cs"/>
          <w:b/>
          <w:bCs/>
          <w:sz w:val="20"/>
          <w:szCs w:val="20"/>
          <w:rtl/>
        </w:rPr>
        <w:t>ט"ז</w:t>
      </w:r>
      <w:r>
        <w:rPr>
          <w:rFonts w:hint="cs"/>
          <w:sz w:val="20"/>
          <w:szCs w:val="20"/>
          <w:rtl/>
        </w:rPr>
        <w:t xml:space="preserve"> - ואמנם, הט"ז מציע גם אפשרות שונה, ע"פ גירסה שונה שכנראה היתה בידי הרמב"ן - </w:t>
      </w:r>
      <w:r>
        <w:rPr>
          <w:rFonts w:hint="cs"/>
          <w:sz w:val="20"/>
          <w:szCs w:val="20"/>
          <w:rtl/>
        </w:rPr>
        <w:br/>
        <w:t xml:space="preserve">אין לגרוס בגמרא "הגיע יום כ' ולא ראתה, הגיע יום ל' ולא ראתה". ובמקום זאת יש לגרוס רק: "הגיע יום ל' וראתה, יום כ' וראתה </w:t>
      </w:r>
      <w:r>
        <w:rPr>
          <w:sz w:val="20"/>
          <w:szCs w:val="20"/>
          <w:rtl/>
        </w:rPr>
        <w:t>–</w:t>
      </w:r>
      <w:r>
        <w:rPr>
          <w:rFonts w:hint="cs"/>
          <w:sz w:val="20"/>
          <w:szCs w:val="20"/>
          <w:rtl/>
        </w:rPr>
        <w:t xml:space="preserve"> הותר יום ל' ונאסר יום כ'".</w:t>
      </w:r>
      <w:r>
        <w:rPr>
          <w:sz w:val="20"/>
          <w:szCs w:val="20"/>
          <w:rtl/>
        </w:rPr>
        <w:br/>
      </w:r>
      <w:r>
        <w:rPr>
          <w:rFonts w:hint="cs"/>
          <w:sz w:val="20"/>
          <w:szCs w:val="20"/>
          <w:rtl/>
        </w:rPr>
        <w:t xml:space="preserve">ולפי גירסה זאת, יסוד דברי רש"י אינו נכון. באמת אם לא ראתה ג' פעמים בכ', עקרה את ווסתה אפילו אם לא ראתה כלל. ולפי"ז מובן מדוע הרמב"ן נקט דוגמה של עקירת כ' פעמיים בלבד, משום שאם כ' נעקר ג' פעמים ע"י שלא ראתה בו </w:t>
      </w:r>
      <w:r>
        <w:rPr>
          <w:sz w:val="20"/>
          <w:szCs w:val="20"/>
          <w:rtl/>
        </w:rPr>
        <w:t>–</w:t>
      </w:r>
      <w:r>
        <w:rPr>
          <w:rFonts w:hint="cs"/>
          <w:sz w:val="20"/>
          <w:szCs w:val="20"/>
          <w:rtl/>
        </w:rPr>
        <w:t xml:space="preserve"> נעקר ווסתה.</w:t>
      </w:r>
    </w:p>
    <w:p w:rsidR="00620060" w:rsidRDefault="00620060" w:rsidP="00620060">
      <w:pPr>
        <w:rPr>
          <w:sz w:val="20"/>
          <w:szCs w:val="20"/>
          <w:rtl/>
        </w:rPr>
      </w:pPr>
      <w:r>
        <w:rPr>
          <w:rFonts w:hint="cs"/>
          <w:sz w:val="20"/>
          <w:szCs w:val="20"/>
          <w:rtl/>
        </w:rPr>
        <w:t xml:space="preserve">ג. </w:t>
      </w:r>
      <w:r w:rsidRPr="002E595C">
        <w:rPr>
          <w:rFonts w:hint="cs"/>
          <w:b/>
          <w:bCs/>
          <w:sz w:val="20"/>
          <w:szCs w:val="20"/>
          <w:rtl/>
        </w:rPr>
        <w:t>מעדני מלך</w:t>
      </w:r>
      <w:r>
        <w:rPr>
          <w:rFonts w:hint="cs"/>
          <w:sz w:val="20"/>
          <w:szCs w:val="20"/>
          <w:rtl/>
        </w:rPr>
        <w:t xml:space="preserve"> </w:t>
      </w:r>
      <w:r w:rsidRPr="002E595C">
        <w:rPr>
          <w:rFonts w:hint="cs"/>
          <w:sz w:val="18"/>
          <w:szCs w:val="18"/>
          <w:rtl/>
        </w:rPr>
        <w:t xml:space="preserve">(הו"ד בש"ך) </w:t>
      </w:r>
      <w:r>
        <w:rPr>
          <w:sz w:val="20"/>
          <w:szCs w:val="20"/>
          <w:rtl/>
        </w:rPr>
        <w:t>–</w:t>
      </w:r>
      <w:r>
        <w:rPr>
          <w:rFonts w:hint="cs"/>
          <w:sz w:val="20"/>
          <w:szCs w:val="20"/>
          <w:rtl/>
        </w:rPr>
        <w:t xml:space="preserve"> הרמב"ן שינה מלשון הגמרא משום שבכך השמיע חידוש גדול יותר, שאינה צריכה לחשוש ליום ל' מכיוון שע"י ראיית כ' חזרה לווסת הרגיל שלה.</w:t>
      </w:r>
      <w:r>
        <w:rPr>
          <w:sz w:val="20"/>
          <w:szCs w:val="20"/>
          <w:rtl/>
        </w:rPr>
        <w:br/>
      </w:r>
      <w:r>
        <w:rPr>
          <w:rFonts w:hint="cs"/>
          <w:sz w:val="20"/>
          <w:szCs w:val="20"/>
          <w:rtl/>
        </w:rPr>
        <w:t xml:space="preserve">דוחה </w:t>
      </w:r>
      <w:r w:rsidRPr="000E7F89">
        <w:rPr>
          <w:rFonts w:hint="cs"/>
          <w:b/>
          <w:bCs/>
          <w:sz w:val="20"/>
          <w:szCs w:val="20"/>
          <w:rtl/>
        </w:rPr>
        <w:t>הש"ך</w:t>
      </w:r>
      <w:r>
        <w:rPr>
          <w:rFonts w:hint="cs"/>
          <w:sz w:val="20"/>
          <w:szCs w:val="20"/>
          <w:rtl/>
        </w:rPr>
        <w:t xml:space="preserve"> </w:t>
      </w:r>
      <w:r>
        <w:rPr>
          <w:sz w:val="20"/>
          <w:szCs w:val="20"/>
          <w:rtl/>
        </w:rPr>
        <w:t>–</w:t>
      </w:r>
      <w:r>
        <w:rPr>
          <w:rFonts w:hint="cs"/>
          <w:sz w:val="20"/>
          <w:szCs w:val="20"/>
          <w:rtl/>
        </w:rPr>
        <w:t xml:space="preserve"> דין זה נכון אפילו אם לא היה לה ווסת קבוע בכ', שהרי ווסת שאינו קבוע נעקר אפילו בפעם אחת, ואם כן אין צורך להשמיע זאת דווקא באשה שיש לה ווסת קבוע.</w:t>
      </w:r>
      <w:r>
        <w:rPr>
          <w:rStyle w:val="a5"/>
          <w:sz w:val="20"/>
          <w:szCs w:val="20"/>
          <w:rtl/>
        </w:rPr>
        <w:footnoteReference w:id="204"/>
      </w:r>
    </w:p>
    <w:p w:rsidR="00620060" w:rsidRDefault="00620060" w:rsidP="00620060">
      <w:pPr>
        <w:rPr>
          <w:sz w:val="20"/>
          <w:szCs w:val="20"/>
          <w:rtl/>
        </w:rPr>
      </w:pPr>
      <w:r>
        <w:rPr>
          <w:rFonts w:hint="cs"/>
          <w:sz w:val="20"/>
          <w:szCs w:val="20"/>
          <w:rtl/>
        </w:rPr>
        <w:t xml:space="preserve">ד. </w:t>
      </w:r>
      <w:r w:rsidRPr="008965F3">
        <w:rPr>
          <w:rFonts w:hint="cs"/>
          <w:b/>
          <w:bCs/>
          <w:sz w:val="20"/>
          <w:szCs w:val="20"/>
          <w:rtl/>
        </w:rPr>
        <w:t>ש"ך בנקה"כ</w:t>
      </w:r>
      <w:r>
        <w:rPr>
          <w:rFonts w:hint="cs"/>
          <w:sz w:val="20"/>
          <w:szCs w:val="20"/>
          <w:rtl/>
        </w:rPr>
        <w:t xml:space="preserve"> </w:t>
      </w:r>
      <w:r>
        <w:rPr>
          <w:sz w:val="20"/>
          <w:szCs w:val="20"/>
          <w:rtl/>
        </w:rPr>
        <w:t>–</w:t>
      </w:r>
      <w:r>
        <w:rPr>
          <w:rFonts w:hint="cs"/>
          <w:sz w:val="20"/>
          <w:szCs w:val="20"/>
          <w:rtl/>
        </w:rPr>
        <w:t xml:space="preserve"> כוונת הרמב"ן והמחבר לומר שלאחר שראתה פעמיים בל' ראתה שוב לזמן מרוחק מל', ומהראייה הזאת ראתה לכ', ובכה"ג שפיר איכא עקירה של ג' פעמים, ואעפ"כ אינה עקירה, כאמור.</w:t>
      </w:r>
      <w:r>
        <w:rPr>
          <w:sz w:val="20"/>
          <w:szCs w:val="20"/>
          <w:rtl/>
        </w:rPr>
        <w:br/>
      </w:r>
      <w:r>
        <w:rPr>
          <w:rFonts w:hint="cs"/>
          <w:sz w:val="20"/>
          <w:szCs w:val="20"/>
          <w:rtl/>
        </w:rPr>
        <w:t xml:space="preserve">כגון </w:t>
      </w:r>
      <w:r>
        <w:rPr>
          <w:sz w:val="20"/>
          <w:szCs w:val="20"/>
          <w:rtl/>
        </w:rPr>
        <w:t>–</w:t>
      </w:r>
      <w:r>
        <w:rPr>
          <w:rFonts w:hint="cs"/>
          <w:sz w:val="20"/>
          <w:szCs w:val="20"/>
          <w:rtl/>
        </w:rPr>
        <w:t xml:space="preserve"> ראתה ל', ל', נ', כ'. </w:t>
      </w:r>
      <w:r w:rsidRPr="008965F3">
        <w:rPr>
          <w:rFonts w:hint="cs"/>
          <w:sz w:val="18"/>
          <w:szCs w:val="18"/>
          <w:rtl/>
        </w:rPr>
        <w:t xml:space="preserve">(הסבר זה הוא כדברי הט"ז, אלא שהט"ז לא פירש כך את דברי המחבר אלא כתב שהמחבר יסכים לזה, אך הש"ך מסביר שזו היא כוונת המחבר). </w:t>
      </w:r>
    </w:p>
    <w:p w:rsidR="00620060" w:rsidRPr="003E4943" w:rsidRDefault="00620060" w:rsidP="00620060">
      <w:pPr>
        <w:rPr>
          <w:sz w:val="20"/>
          <w:szCs w:val="20"/>
          <w:rtl/>
        </w:rPr>
      </w:pPr>
      <w:r>
        <w:rPr>
          <w:rFonts w:hint="cs"/>
          <w:b/>
          <w:bCs/>
          <w:sz w:val="20"/>
          <w:szCs w:val="20"/>
          <w:rtl/>
        </w:rPr>
        <w:t xml:space="preserve">האם ניתן להחזיק שתי הפלגות בו זמנית </w:t>
      </w:r>
      <w:r w:rsidRPr="003D1FF4">
        <w:rPr>
          <w:rFonts w:hint="cs"/>
          <w:sz w:val="18"/>
          <w:szCs w:val="18"/>
          <w:rtl/>
        </w:rPr>
        <w:t>(פת"ש)</w:t>
      </w:r>
      <w:r>
        <w:rPr>
          <w:rFonts w:hint="cs"/>
          <w:b/>
          <w:bCs/>
          <w:sz w:val="20"/>
          <w:szCs w:val="20"/>
          <w:rtl/>
        </w:rPr>
        <w:br/>
      </w:r>
      <w:r>
        <w:rPr>
          <w:rFonts w:hint="cs"/>
          <w:sz w:val="20"/>
          <w:szCs w:val="20"/>
          <w:rtl/>
        </w:rPr>
        <w:t xml:space="preserve">המקרה </w:t>
      </w:r>
      <w:r>
        <w:rPr>
          <w:sz w:val="20"/>
          <w:szCs w:val="20"/>
          <w:rtl/>
        </w:rPr>
        <w:t>–</w:t>
      </w:r>
      <w:r>
        <w:rPr>
          <w:rFonts w:hint="cs"/>
          <w:sz w:val="20"/>
          <w:szCs w:val="20"/>
          <w:rtl/>
        </w:rPr>
        <w:t xml:space="preserve"> ראתה פעמיים ליום ל' ובפעם השלישית ראתה לכ', בטלה הפלגת ל'. </w:t>
      </w:r>
      <w:r>
        <w:rPr>
          <w:sz w:val="20"/>
          <w:szCs w:val="20"/>
          <w:rtl/>
        </w:rPr>
        <w:br/>
      </w:r>
      <w:r>
        <w:rPr>
          <w:rFonts w:hint="cs"/>
          <w:sz w:val="20"/>
          <w:szCs w:val="20"/>
          <w:rtl/>
        </w:rPr>
        <w:t>אחר כך ראתה להפלגת י', האם חוששת מעתה להפלגת ל? שהרי מראיית ל' האחרונה הפליגה ל' לראייה זו.</w:t>
      </w:r>
      <w:r>
        <w:rPr>
          <w:sz w:val="20"/>
          <w:szCs w:val="20"/>
          <w:rtl/>
        </w:rPr>
        <w:br/>
      </w:r>
      <w:r>
        <w:rPr>
          <w:rFonts w:hint="cs"/>
          <w:sz w:val="20"/>
          <w:szCs w:val="20"/>
          <w:rtl/>
        </w:rPr>
        <w:t xml:space="preserve">א. </w:t>
      </w:r>
      <w:r w:rsidRPr="003E4943">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אינה חוששת להפלגת ל'.</w:t>
      </w:r>
      <w:r>
        <w:rPr>
          <w:sz w:val="20"/>
          <w:szCs w:val="20"/>
          <w:rtl/>
        </w:rPr>
        <w:br/>
      </w:r>
      <w:r w:rsidRPr="003E4943">
        <w:rPr>
          <w:rFonts w:hint="cs"/>
          <w:b/>
          <w:bCs/>
          <w:sz w:val="20"/>
          <w:szCs w:val="20"/>
          <w:rtl/>
        </w:rPr>
        <w:t xml:space="preserve">טעם </w:t>
      </w:r>
      <w:r>
        <w:rPr>
          <w:sz w:val="20"/>
          <w:szCs w:val="20"/>
          <w:rtl/>
        </w:rPr>
        <w:t>–</w:t>
      </w:r>
      <w:r>
        <w:rPr>
          <w:rFonts w:hint="cs"/>
          <w:sz w:val="20"/>
          <w:szCs w:val="20"/>
          <w:rtl/>
        </w:rPr>
        <w:t xml:space="preserve"> הפלגת כ' ביטלה את הפלגת ל'.</w:t>
      </w:r>
      <w:r>
        <w:rPr>
          <w:sz w:val="20"/>
          <w:szCs w:val="20"/>
          <w:rtl/>
        </w:rPr>
        <w:br/>
      </w:r>
      <w:r>
        <w:rPr>
          <w:rFonts w:hint="cs"/>
          <w:sz w:val="20"/>
          <w:szCs w:val="20"/>
          <w:rtl/>
        </w:rPr>
        <w:t xml:space="preserve">ב. </w:t>
      </w:r>
      <w:r w:rsidRPr="003E4943">
        <w:rPr>
          <w:rFonts w:hint="cs"/>
          <w:b/>
          <w:bCs/>
          <w:sz w:val="20"/>
          <w:szCs w:val="20"/>
          <w:rtl/>
        </w:rPr>
        <w:t>סד"ט וחוו"ד</w:t>
      </w:r>
      <w:r>
        <w:rPr>
          <w:rFonts w:hint="cs"/>
          <w:sz w:val="20"/>
          <w:szCs w:val="20"/>
          <w:rtl/>
        </w:rPr>
        <w:t xml:space="preserve"> </w:t>
      </w:r>
      <w:r>
        <w:rPr>
          <w:sz w:val="20"/>
          <w:szCs w:val="20"/>
          <w:rtl/>
        </w:rPr>
        <w:t>–</w:t>
      </w:r>
      <w:r>
        <w:rPr>
          <w:rFonts w:hint="cs"/>
          <w:sz w:val="20"/>
          <w:szCs w:val="20"/>
          <w:rtl/>
        </w:rPr>
        <w:t xml:space="preserve"> חוששת להפלגת ל'.</w:t>
      </w:r>
      <w:r>
        <w:rPr>
          <w:sz w:val="20"/>
          <w:szCs w:val="20"/>
          <w:rtl/>
        </w:rPr>
        <w:br/>
      </w:r>
      <w:r w:rsidRPr="003E4943">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מוכח שעדיין רואה גם להפלגות ל'.</w:t>
      </w:r>
    </w:p>
    <w:p w:rsidR="00620060" w:rsidRDefault="00620060" w:rsidP="00620060">
      <w:pPr>
        <w:rPr>
          <w:sz w:val="20"/>
          <w:szCs w:val="20"/>
          <w:rtl/>
        </w:rPr>
      </w:pPr>
      <w:r w:rsidRPr="007E4E42">
        <w:rPr>
          <w:rFonts w:hint="cs"/>
          <w:b/>
          <w:bCs/>
          <w:sz w:val="20"/>
          <w:szCs w:val="20"/>
          <w:rtl/>
        </w:rPr>
        <w:t>סיכום</w:t>
      </w:r>
      <w:r>
        <w:rPr>
          <w:sz w:val="20"/>
          <w:szCs w:val="20"/>
          <w:rtl/>
        </w:rPr>
        <w:br/>
      </w:r>
      <w:r>
        <w:rPr>
          <w:rFonts w:hint="cs"/>
          <w:sz w:val="20"/>
          <w:szCs w:val="20"/>
          <w:rtl/>
        </w:rPr>
        <w:t xml:space="preserve">1. </w:t>
      </w:r>
      <w:r w:rsidRPr="007E4E42">
        <w:rPr>
          <w:rFonts w:hint="cs"/>
          <w:b/>
          <w:bCs/>
          <w:sz w:val="20"/>
          <w:szCs w:val="20"/>
          <w:rtl/>
        </w:rPr>
        <w:t>גמרא</w:t>
      </w:r>
      <w:r>
        <w:rPr>
          <w:rFonts w:hint="cs"/>
          <w:sz w:val="20"/>
          <w:szCs w:val="20"/>
          <w:rtl/>
        </w:rPr>
        <w:t xml:space="preserve">. למודה לראות בכ' ושינתה פעמיים לל' נאסר ל' וכ' אף הוא אסור. לאחר מכן לא ראתה בכ' ולא בל' ואח"כ ראתה לכ' </w:t>
      </w:r>
      <w:r>
        <w:rPr>
          <w:sz w:val="20"/>
          <w:szCs w:val="20"/>
          <w:rtl/>
        </w:rPr>
        <w:t>–</w:t>
      </w:r>
      <w:r>
        <w:rPr>
          <w:rFonts w:hint="cs"/>
          <w:sz w:val="20"/>
          <w:szCs w:val="20"/>
          <w:rtl/>
        </w:rPr>
        <w:t xml:space="preserve"> חזר ווסת של כ' למקומו והותר ל'. </w:t>
      </w:r>
      <w:r>
        <w:rPr>
          <w:rFonts w:hint="cs"/>
          <w:sz w:val="20"/>
          <w:szCs w:val="20"/>
          <w:rtl/>
        </w:rPr>
        <w:br/>
        <w:t xml:space="preserve">2. </w:t>
      </w:r>
      <w:r w:rsidRPr="007E4E42">
        <w:rPr>
          <w:rFonts w:hint="cs"/>
          <w:b/>
          <w:bCs/>
          <w:sz w:val="20"/>
          <w:szCs w:val="20"/>
          <w:rtl/>
        </w:rPr>
        <w:t>רש"י</w:t>
      </w:r>
      <w:r>
        <w:rPr>
          <w:rFonts w:hint="cs"/>
          <w:sz w:val="20"/>
          <w:szCs w:val="20"/>
          <w:rtl/>
        </w:rPr>
        <w:t>. מדוע כ' לא נעקר, הרי לא ראתה בו ג' פעמים?</w:t>
      </w:r>
      <w:r w:rsidRPr="005E7F3B">
        <w:rPr>
          <w:rFonts w:hint="cs"/>
          <w:sz w:val="20"/>
          <w:szCs w:val="20"/>
          <w:rtl/>
        </w:rPr>
        <w:t xml:space="preserve"> מיישב</w:t>
      </w:r>
      <w:r>
        <w:rPr>
          <w:rFonts w:hint="cs"/>
          <w:sz w:val="20"/>
          <w:szCs w:val="20"/>
          <w:rtl/>
        </w:rPr>
        <w:t>. עקירה היא רק כשראתה ג' פעמים בזמן שונה, אך חוסר ראייה אינו עוקר ווסת.</w:t>
      </w:r>
      <w:r>
        <w:rPr>
          <w:sz w:val="20"/>
          <w:szCs w:val="20"/>
          <w:rtl/>
        </w:rPr>
        <w:br/>
      </w:r>
      <w:r>
        <w:rPr>
          <w:rFonts w:hint="cs"/>
          <w:sz w:val="20"/>
          <w:szCs w:val="20"/>
          <w:rtl/>
        </w:rPr>
        <w:t xml:space="preserve">3. </w:t>
      </w:r>
      <w:r w:rsidRPr="005E7F3B">
        <w:rPr>
          <w:rFonts w:hint="cs"/>
          <w:sz w:val="20"/>
          <w:szCs w:val="20"/>
          <w:rtl/>
        </w:rPr>
        <w:t>החוששת לווסת שאינו קבוע מאימתי מונה?</w:t>
      </w:r>
      <w:r>
        <w:rPr>
          <w:rFonts w:hint="cs"/>
          <w:sz w:val="20"/>
          <w:szCs w:val="20"/>
          <w:rtl/>
        </w:rPr>
        <w:t xml:space="preserve"> </w:t>
      </w:r>
      <w:r w:rsidRPr="007E4E42">
        <w:rPr>
          <w:rFonts w:hint="cs"/>
          <w:sz w:val="20"/>
          <w:szCs w:val="20"/>
          <w:u w:val="single"/>
          <w:rtl/>
        </w:rPr>
        <w:t>רב פפא</w:t>
      </w:r>
      <w:r>
        <w:rPr>
          <w:rFonts w:hint="cs"/>
          <w:sz w:val="20"/>
          <w:szCs w:val="20"/>
          <w:rtl/>
        </w:rPr>
        <w:t xml:space="preserve">. מהיום בו היתה צריכה לראות. </w:t>
      </w:r>
      <w:r w:rsidRPr="007E4E42">
        <w:rPr>
          <w:rFonts w:hint="cs"/>
          <w:sz w:val="20"/>
          <w:szCs w:val="20"/>
          <w:u w:val="single"/>
          <w:rtl/>
        </w:rPr>
        <w:t>רב הונא</w:t>
      </w:r>
      <w:r>
        <w:rPr>
          <w:rFonts w:hint="cs"/>
          <w:sz w:val="20"/>
          <w:szCs w:val="20"/>
          <w:rtl/>
        </w:rPr>
        <w:t xml:space="preserve">. מראייה האחרונה, וכ"פ </w:t>
      </w:r>
      <w:r w:rsidRPr="007E4E42">
        <w:rPr>
          <w:rFonts w:hint="cs"/>
          <w:b/>
          <w:bCs/>
          <w:sz w:val="20"/>
          <w:szCs w:val="20"/>
          <w:rtl/>
        </w:rPr>
        <w:t>המחבר</w:t>
      </w:r>
      <w:r>
        <w:rPr>
          <w:rFonts w:hint="cs"/>
          <w:sz w:val="20"/>
          <w:szCs w:val="20"/>
          <w:rtl/>
        </w:rPr>
        <w:t>.</w:t>
      </w:r>
      <w:r>
        <w:rPr>
          <w:sz w:val="20"/>
          <w:szCs w:val="20"/>
          <w:rtl/>
        </w:rPr>
        <w:br/>
      </w:r>
      <w:r>
        <w:rPr>
          <w:rFonts w:hint="cs"/>
          <w:sz w:val="20"/>
          <w:szCs w:val="20"/>
          <w:rtl/>
        </w:rPr>
        <w:t xml:space="preserve">4. </w:t>
      </w:r>
      <w:r w:rsidRPr="007E4E42">
        <w:rPr>
          <w:rFonts w:hint="cs"/>
          <w:b/>
          <w:bCs/>
          <w:sz w:val="20"/>
          <w:szCs w:val="20"/>
          <w:rtl/>
        </w:rPr>
        <w:t>רמב"ן ומחבר</w:t>
      </w:r>
      <w:r>
        <w:rPr>
          <w:rFonts w:hint="cs"/>
          <w:sz w:val="20"/>
          <w:szCs w:val="20"/>
          <w:rtl/>
        </w:rPr>
        <w:t xml:space="preserve">. היתה רגילה לראות לכ' ושינתה פעמיים לל' וחזרה לראות בכ' </w:t>
      </w:r>
      <w:r>
        <w:rPr>
          <w:sz w:val="20"/>
          <w:szCs w:val="20"/>
          <w:rtl/>
        </w:rPr>
        <w:t>–</w:t>
      </w:r>
      <w:r>
        <w:rPr>
          <w:rFonts w:hint="cs"/>
          <w:sz w:val="20"/>
          <w:szCs w:val="20"/>
          <w:rtl/>
        </w:rPr>
        <w:t xml:space="preserve"> נעקר ל' ונשאר כ'.</w:t>
      </w:r>
      <w:r>
        <w:rPr>
          <w:sz w:val="20"/>
          <w:szCs w:val="20"/>
          <w:rtl/>
        </w:rPr>
        <w:br/>
      </w:r>
      <w:r>
        <w:rPr>
          <w:rFonts w:hint="cs"/>
          <w:sz w:val="20"/>
          <w:szCs w:val="20"/>
          <w:rtl/>
        </w:rPr>
        <w:t xml:space="preserve">5. </w:t>
      </w:r>
      <w:r w:rsidRPr="005E7F3B">
        <w:rPr>
          <w:rFonts w:hint="cs"/>
          <w:sz w:val="20"/>
          <w:szCs w:val="20"/>
          <w:rtl/>
        </w:rPr>
        <w:t>קשה.</w:t>
      </w:r>
      <w:r>
        <w:rPr>
          <w:rFonts w:hint="cs"/>
          <w:sz w:val="20"/>
          <w:szCs w:val="20"/>
          <w:rtl/>
        </w:rPr>
        <w:t xml:space="preserve"> מדוע כתבו שעקרה רק פעמיים, הרי אפילו אם עקרה ג"פ אינה עקירה משום שלא ראתה, כאמור.</w:t>
      </w:r>
      <w:r>
        <w:rPr>
          <w:sz w:val="20"/>
          <w:szCs w:val="20"/>
          <w:rtl/>
        </w:rPr>
        <w:br/>
      </w:r>
      <w:r>
        <w:rPr>
          <w:rFonts w:hint="cs"/>
          <w:sz w:val="20"/>
          <w:szCs w:val="20"/>
          <w:rtl/>
        </w:rPr>
        <w:lastRenderedPageBreak/>
        <w:t xml:space="preserve">6. א. </w:t>
      </w:r>
      <w:r w:rsidRPr="007E4E42">
        <w:rPr>
          <w:rFonts w:hint="cs"/>
          <w:b/>
          <w:bCs/>
          <w:sz w:val="20"/>
          <w:szCs w:val="20"/>
          <w:rtl/>
        </w:rPr>
        <w:t>ט"ז</w:t>
      </w:r>
      <w:r>
        <w:rPr>
          <w:rFonts w:hint="cs"/>
          <w:sz w:val="20"/>
          <w:szCs w:val="20"/>
          <w:rtl/>
        </w:rPr>
        <w:t xml:space="preserve">. בגמרא מדובר על ווסת החודש, כאן מדובר על הפלגה ואין הדבר ניכר שחזרה לכ'. ברם, מודה </w:t>
      </w:r>
      <w:r w:rsidRPr="007E4E42">
        <w:rPr>
          <w:rFonts w:hint="cs"/>
          <w:b/>
          <w:bCs/>
          <w:sz w:val="20"/>
          <w:szCs w:val="20"/>
          <w:rtl/>
        </w:rPr>
        <w:t>הרמב"ן</w:t>
      </w:r>
      <w:r>
        <w:rPr>
          <w:rFonts w:hint="cs"/>
          <w:sz w:val="20"/>
          <w:szCs w:val="20"/>
          <w:rtl/>
        </w:rPr>
        <w:t xml:space="preserve"> בראיית ל', ל', נ', כ' שחוזרת לווסת כ'. ב. </w:t>
      </w:r>
      <w:r w:rsidRPr="007E4E42">
        <w:rPr>
          <w:rFonts w:hint="cs"/>
          <w:b/>
          <w:bCs/>
          <w:sz w:val="20"/>
          <w:szCs w:val="20"/>
          <w:rtl/>
        </w:rPr>
        <w:t>ט"ז</w:t>
      </w:r>
      <w:r>
        <w:rPr>
          <w:rFonts w:hint="cs"/>
          <w:sz w:val="20"/>
          <w:szCs w:val="20"/>
          <w:rtl/>
        </w:rPr>
        <w:t xml:space="preserve">. </w:t>
      </w:r>
      <w:r w:rsidRPr="007E4E42">
        <w:rPr>
          <w:rFonts w:hint="cs"/>
          <w:b/>
          <w:bCs/>
          <w:sz w:val="20"/>
          <w:szCs w:val="20"/>
          <w:rtl/>
        </w:rPr>
        <w:t>הרמב"ן</w:t>
      </w:r>
      <w:r>
        <w:rPr>
          <w:rFonts w:hint="cs"/>
          <w:sz w:val="20"/>
          <w:szCs w:val="20"/>
          <w:rtl/>
        </w:rPr>
        <w:t xml:space="preserve"> גרס אחרת, ודילוג של ג"פ הוי עקירה אפילו אם לא ראתה. ג. </w:t>
      </w:r>
      <w:r w:rsidRPr="007E4E42">
        <w:rPr>
          <w:rFonts w:hint="cs"/>
          <w:b/>
          <w:bCs/>
          <w:sz w:val="20"/>
          <w:szCs w:val="20"/>
          <w:rtl/>
        </w:rPr>
        <w:t>מעדני מלך</w:t>
      </w:r>
      <w:r>
        <w:rPr>
          <w:rFonts w:hint="cs"/>
          <w:sz w:val="20"/>
          <w:szCs w:val="20"/>
          <w:rtl/>
        </w:rPr>
        <w:t xml:space="preserve">. רבותא אשמעינן שאינה חוששת לל' למרות שטרם עקרתו. </w:t>
      </w:r>
      <w:r w:rsidRPr="005E7F3B">
        <w:rPr>
          <w:rFonts w:hint="cs"/>
          <w:sz w:val="20"/>
          <w:szCs w:val="20"/>
          <w:rtl/>
        </w:rPr>
        <w:t xml:space="preserve">דוחה </w:t>
      </w:r>
      <w:r w:rsidRPr="005E7F3B">
        <w:rPr>
          <w:rFonts w:hint="cs"/>
          <w:b/>
          <w:bCs/>
          <w:sz w:val="20"/>
          <w:szCs w:val="20"/>
          <w:rtl/>
        </w:rPr>
        <w:t>הש"ך</w:t>
      </w:r>
      <w:r>
        <w:rPr>
          <w:rFonts w:hint="cs"/>
          <w:sz w:val="20"/>
          <w:szCs w:val="20"/>
          <w:rtl/>
        </w:rPr>
        <w:t xml:space="preserve">. דין זה נכון אפילו אם אינה למודה לראות לכ'. ד. </w:t>
      </w:r>
      <w:r w:rsidRPr="007E4E42">
        <w:rPr>
          <w:rFonts w:hint="cs"/>
          <w:b/>
          <w:bCs/>
          <w:sz w:val="20"/>
          <w:szCs w:val="20"/>
          <w:rtl/>
        </w:rPr>
        <w:t>ש"ך</w:t>
      </w:r>
      <w:r>
        <w:rPr>
          <w:rFonts w:hint="cs"/>
          <w:sz w:val="20"/>
          <w:szCs w:val="20"/>
          <w:rtl/>
        </w:rPr>
        <w:t>. מדובר שראתה ל', ל', נ', כ' ושפיר איכא 'עקירת' כ' ג"פ.</w:t>
      </w:r>
      <w:r>
        <w:rPr>
          <w:rFonts w:hint="cs"/>
          <w:sz w:val="20"/>
          <w:szCs w:val="20"/>
          <w:rtl/>
        </w:rPr>
        <w:br/>
        <w:t xml:space="preserve">7. הפליגה פעמיים לל' ועוד הפליגה לכ' ולי', האם חוששת לל'? </w:t>
      </w:r>
      <w:r w:rsidRPr="00A32D3C">
        <w:rPr>
          <w:rFonts w:hint="cs"/>
          <w:b/>
          <w:bCs/>
          <w:sz w:val="20"/>
          <w:szCs w:val="20"/>
          <w:rtl/>
        </w:rPr>
        <w:t>ש"ך</w:t>
      </w:r>
      <w:r>
        <w:rPr>
          <w:rFonts w:hint="cs"/>
          <w:sz w:val="20"/>
          <w:szCs w:val="20"/>
          <w:rtl/>
        </w:rPr>
        <w:t xml:space="preserve">. לא. </w:t>
      </w:r>
      <w:r w:rsidRPr="00A32D3C">
        <w:rPr>
          <w:rFonts w:hint="cs"/>
          <w:b/>
          <w:bCs/>
          <w:sz w:val="20"/>
          <w:szCs w:val="20"/>
          <w:rtl/>
        </w:rPr>
        <w:t>סד"ט וחוו"ד</w:t>
      </w:r>
      <w:r>
        <w:rPr>
          <w:rFonts w:hint="cs"/>
          <w:sz w:val="20"/>
          <w:szCs w:val="20"/>
          <w:rtl/>
        </w:rPr>
        <w:t>. כן.</w:t>
      </w:r>
    </w:p>
    <w:p w:rsidR="00620060" w:rsidRDefault="00620060" w:rsidP="00620060">
      <w:pPr>
        <w:rPr>
          <w:sz w:val="20"/>
          <w:szCs w:val="20"/>
          <w:rtl/>
        </w:rPr>
      </w:pPr>
      <w:r>
        <w:rPr>
          <w:sz w:val="20"/>
          <w:szCs w:val="20"/>
          <w:rtl/>
        </w:rPr>
        <w:br/>
      </w:r>
      <w:r>
        <w:rPr>
          <w:rFonts w:hint="cs"/>
          <w:b/>
          <w:bCs/>
          <w:sz w:val="20"/>
          <w:szCs w:val="20"/>
          <w:rtl/>
        </w:rPr>
        <w:t xml:space="preserve">סעיף טו </w:t>
      </w:r>
      <w:r>
        <w:rPr>
          <w:b/>
          <w:bCs/>
          <w:sz w:val="20"/>
          <w:szCs w:val="20"/>
          <w:rtl/>
        </w:rPr>
        <w:t>–</w:t>
      </w:r>
      <w:r>
        <w:rPr>
          <w:rFonts w:hint="cs"/>
          <w:b/>
          <w:bCs/>
          <w:sz w:val="20"/>
          <w:szCs w:val="20"/>
          <w:rtl/>
        </w:rPr>
        <w:t xml:space="preserve"> עקירת ווסת ההפלגה</w:t>
      </w:r>
      <w:r w:rsidRPr="005E7F3B">
        <w:rPr>
          <w:rStyle w:val="a5"/>
          <w:sz w:val="20"/>
          <w:szCs w:val="20"/>
          <w:rtl/>
        </w:rPr>
        <w:footnoteReference w:id="205"/>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משנה </w:t>
      </w:r>
      <w:r>
        <w:rPr>
          <w:rFonts w:hint="cs"/>
          <w:sz w:val="20"/>
          <w:szCs w:val="20"/>
          <w:rtl/>
        </w:rPr>
        <w:t>נידה (ז:) "</w:t>
      </w:r>
      <w:r w:rsidRPr="00BE6AD9">
        <w:rPr>
          <w:rFonts w:cs="Arial" w:hint="cs"/>
          <w:sz w:val="20"/>
          <w:szCs w:val="20"/>
          <w:rtl/>
        </w:rPr>
        <w:t>רבי</w:t>
      </w:r>
      <w:r w:rsidRPr="00BE6AD9">
        <w:rPr>
          <w:rFonts w:cs="Arial"/>
          <w:sz w:val="20"/>
          <w:szCs w:val="20"/>
          <w:rtl/>
        </w:rPr>
        <w:t xml:space="preserve"> </w:t>
      </w:r>
      <w:r w:rsidRPr="00BE6AD9">
        <w:rPr>
          <w:rFonts w:cs="Arial" w:hint="cs"/>
          <w:sz w:val="20"/>
          <w:szCs w:val="20"/>
          <w:rtl/>
        </w:rPr>
        <w:t>אליעזר</w:t>
      </w:r>
      <w:r w:rsidRPr="00BE6AD9">
        <w:rPr>
          <w:rFonts w:cs="Arial"/>
          <w:sz w:val="20"/>
          <w:szCs w:val="20"/>
          <w:rtl/>
        </w:rPr>
        <w:t xml:space="preserve"> </w:t>
      </w:r>
      <w:r w:rsidRPr="00BE6AD9">
        <w:rPr>
          <w:rFonts w:cs="Arial" w:hint="cs"/>
          <w:sz w:val="20"/>
          <w:szCs w:val="20"/>
          <w:rtl/>
        </w:rPr>
        <w:t>אומר</w:t>
      </w:r>
      <w:r w:rsidRPr="00BE6AD9">
        <w:rPr>
          <w:rFonts w:cs="Arial"/>
          <w:sz w:val="20"/>
          <w:szCs w:val="20"/>
          <w:rtl/>
        </w:rPr>
        <w:t xml:space="preserve">: </w:t>
      </w:r>
      <w:r w:rsidRPr="00BE6AD9">
        <w:rPr>
          <w:rFonts w:cs="Arial" w:hint="cs"/>
          <w:sz w:val="20"/>
          <w:szCs w:val="20"/>
          <w:rtl/>
        </w:rPr>
        <w:t>כל</w:t>
      </w:r>
      <w:r w:rsidRPr="00BE6AD9">
        <w:rPr>
          <w:rFonts w:cs="Arial"/>
          <w:sz w:val="20"/>
          <w:szCs w:val="20"/>
          <w:rtl/>
        </w:rPr>
        <w:t xml:space="preserve"> </w:t>
      </w:r>
      <w:r w:rsidRPr="00BE6AD9">
        <w:rPr>
          <w:rFonts w:cs="Arial" w:hint="cs"/>
          <w:sz w:val="20"/>
          <w:szCs w:val="20"/>
          <w:rtl/>
        </w:rPr>
        <w:t>אשה</w:t>
      </w:r>
      <w:r w:rsidRPr="00BE6AD9">
        <w:rPr>
          <w:rFonts w:cs="Arial"/>
          <w:sz w:val="20"/>
          <w:szCs w:val="20"/>
          <w:rtl/>
        </w:rPr>
        <w:t xml:space="preserve"> </w:t>
      </w:r>
      <w:r w:rsidRPr="00BE6AD9">
        <w:rPr>
          <w:rFonts w:cs="Arial" w:hint="cs"/>
          <w:sz w:val="20"/>
          <w:szCs w:val="20"/>
          <w:rtl/>
        </w:rPr>
        <w:t>שעברו</w:t>
      </w:r>
      <w:r w:rsidRPr="00BE6AD9">
        <w:rPr>
          <w:rFonts w:cs="Arial"/>
          <w:sz w:val="20"/>
          <w:szCs w:val="20"/>
          <w:rtl/>
        </w:rPr>
        <w:t xml:space="preserve"> </w:t>
      </w:r>
      <w:r w:rsidRPr="00BE6AD9">
        <w:rPr>
          <w:rFonts w:cs="Arial" w:hint="cs"/>
          <w:sz w:val="20"/>
          <w:szCs w:val="20"/>
          <w:rtl/>
        </w:rPr>
        <w:t>עליה</w:t>
      </w:r>
      <w:r w:rsidRPr="00BE6AD9">
        <w:rPr>
          <w:rFonts w:cs="Arial"/>
          <w:sz w:val="20"/>
          <w:szCs w:val="20"/>
          <w:rtl/>
        </w:rPr>
        <w:t xml:space="preserve"> </w:t>
      </w:r>
      <w:r w:rsidRPr="00BE6AD9">
        <w:rPr>
          <w:rFonts w:cs="Arial" w:hint="cs"/>
          <w:sz w:val="20"/>
          <w:szCs w:val="20"/>
          <w:rtl/>
        </w:rPr>
        <w:t>שלש</w:t>
      </w:r>
      <w:r w:rsidRPr="00BE6AD9">
        <w:rPr>
          <w:rFonts w:cs="Arial"/>
          <w:sz w:val="20"/>
          <w:szCs w:val="20"/>
          <w:rtl/>
        </w:rPr>
        <w:t xml:space="preserve"> </w:t>
      </w:r>
      <w:r w:rsidRPr="00BE6AD9">
        <w:rPr>
          <w:rFonts w:cs="Arial" w:hint="cs"/>
          <w:sz w:val="20"/>
          <w:szCs w:val="20"/>
          <w:rtl/>
        </w:rPr>
        <w:t>עונות</w:t>
      </w:r>
      <w:r>
        <w:rPr>
          <w:rFonts w:cs="Arial" w:hint="cs"/>
          <w:sz w:val="20"/>
          <w:szCs w:val="20"/>
          <w:rtl/>
        </w:rPr>
        <w:t xml:space="preserve"> </w:t>
      </w:r>
      <w:r w:rsidRPr="006E446C">
        <w:rPr>
          <w:rFonts w:cs="Arial" w:hint="cs"/>
          <w:sz w:val="18"/>
          <w:szCs w:val="18"/>
          <w:rtl/>
        </w:rPr>
        <w:t>(</w:t>
      </w:r>
      <w:r>
        <w:rPr>
          <w:rFonts w:cs="Arial" w:hint="cs"/>
          <w:sz w:val="18"/>
          <w:szCs w:val="18"/>
          <w:rtl/>
        </w:rPr>
        <w:t>ש</w:t>
      </w:r>
      <w:r w:rsidRPr="006E446C">
        <w:rPr>
          <w:rFonts w:cs="Arial" w:hint="cs"/>
          <w:sz w:val="18"/>
          <w:szCs w:val="18"/>
          <w:rtl/>
        </w:rPr>
        <w:t>לא ראתה בהן)</w:t>
      </w:r>
      <w:r w:rsidRPr="006E446C">
        <w:rPr>
          <w:rFonts w:cs="Arial"/>
          <w:sz w:val="18"/>
          <w:szCs w:val="18"/>
          <w:rtl/>
        </w:rPr>
        <w:t xml:space="preserve"> </w:t>
      </w:r>
      <w:r w:rsidRPr="00BE6AD9">
        <w:rPr>
          <w:rFonts w:cs="Arial"/>
          <w:sz w:val="20"/>
          <w:szCs w:val="20"/>
          <w:rtl/>
        </w:rPr>
        <w:t xml:space="preserve">- </w:t>
      </w:r>
      <w:r w:rsidRPr="00BE6AD9">
        <w:rPr>
          <w:rFonts w:cs="Arial" w:hint="cs"/>
          <w:sz w:val="20"/>
          <w:szCs w:val="20"/>
          <w:rtl/>
        </w:rPr>
        <w:t>דיה</w:t>
      </w:r>
      <w:r w:rsidRPr="00BE6AD9">
        <w:rPr>
          <w:rFonts w:cs="Arial"/>
          <w:sz w:val="20"/>
          <w:szCs w:val="20"/>
          <w:rtl/>
        </w:rPr>
        <w:t xml:space="preserve"> </w:t>
      </w:r>
      <w:r w:rsidRPr="00BE6AD9">
        <w:rPr>
          <w:rFonts w:cs="Arial" w:hint="cs"/>
          <w:sz w:val="20"/>
          <w:szCs w:val="20"/>
          <w:rtl/>
        </w:rPr>
        <w:t>שעתה</w:t>
      </w:r>
      <w:r>
        <w:rPr>
          <w:rFonts w:cs="Arial" w:hint="cs"/>
          <w:sz w:val="20"/>
          <w:szCs w:val="20"/>
          <w:rtl/>
        </w:rPr>
        <w:t>"</w:t>
      </w:r>
      <w:r>
        <w:rPr>
          <w:rStyle w:val="a5"/>
          <w:rFonts w:cs="Arial"/>
          <w:sz w:val="20"/>
          <w:szCs w:val="20"/>
          <w:rtl/>
        </w:rPr>
        <w:footnoteReference w:id="206"/>
      </w:r>
      <w:r>
        <w:rPr>
          <w:rFonts w:cs="Arial" w:hint="cs"/>
          <w:sz w:val="20"/>
          <w:szCs w:val="20"/>
          <w:rtl/>
        </w:rPr>
        <w:t>.</w:t>
      </w:r>
      <w:r>
        <w:rPr>
          <w:rFonts w:hint="cs"/>
          <w:sz w:val="20"/>
          <w:szCs w:val="20"/>
          <w:rtl/>
        </w:rPr>
        <w:br/>
      </w:r>
      <w:r>
        <w:rPr>
          <w:rFonts w:hint="cs"/>
          <w:b/>
          <w:bCs/>
          <w:sz w:val="20"/>
          <w:szCs w:val="20"/>
          <w:rtl/>
        </w:rPr>
        <w:t>טור</w:t>
      </w:r>
      <w:r>
        <w:rPr>
          <w:rFonts w:hint="cs"/>
          <w:sz w:val="20"/>
          <w:szCs w:val="20"/>
          <w:rtl/>
        </w:rPr>
        <w:t xml:space="preserve"> </w:t>
      </w:r>
      <w:r>
        <w:rPr>
          <w:sz w:val="20"/>
          <w:szCs w:val="20"/>
          <w:rtl/>
        </w:rPr>
        <w:t>–</w:t>
      </w:r>
      <w:r>
        <w:rPr>
          <w:rFonts w:hint="cs"/>
          <w:sz w:val="20"/>
          <w:szCs w:val="20"/>
          <w:rtl/>
        </w:rPr>
        <w:t xml:space="preserve"> הוא הדין אם ראתה ג' פעמים בצורה לא מסודרת באופן שאינו קובע ווסת.</w:t>
      </w:r>
      <w:r>
        <w:rPr>
          <w:sz w:val="20"/>
          <w:szCs w:val="20"/>
          <w:rtl/>
        </w:rPr>
        <w:br/>
      </w:r>
      <w:r>
        <w:rPr>
          <w:rFonts w:hint="cs"/>
          <w:sz w:val="20"/>
          <w:szCs w:val="20"/>
          <w:rtl/>
        </w:rPr>
        <w:t xml:space="preserve">כלומר </w:t>
      </w:r>
      <w:r>
        <w:rPr>
          <w:sz w:val="20"/>
          <w:szCs w:val="20"/>
          <w:rtl/>
        </w:rPr>
        <w:t>–</w:t>
      </w:r>
      <w:r>
        <w:rPr>
          <w:rFonts w:hint="cs"/>
          <w:sz w:val="20"/>
          <w:szCs w:val="20"/>
          <w:rtl/>
        </w:rPr>
        <w:t xml:space="preserve"> בעלת ווסת קבוע שעברו עליה ג' עונות ללא ראייה, או שראתה ג' ראיות שאין בהן סדר </w:t>
      </w:r>
      <w:r>
        <w:rPr>
          <w:sz w:val="20"/>
          <w:szCs w:val="20"/>
          <w:rtl/>
        </w:rPr>
        <w:t>–</w:t>
      </w:r>
      <w:r>
        <w:rPr>
          <w:rFonts w:hint="cs"/>
          <w:sz w:val="20"/>
          <w:szCs w:val="20"/>
          <w:rtl/>
        </w:rPr>
        <w:t xml:space="preserve"> עקרה את ווסתה ואינה בעלת ווסת כלל.</w:t>
      </w:r>
    </w:p>
    <w:p w:rsidR="00620060" w:rsidRDefault="00620060" w:rsidP="00620060">
      <w:pPr>
        <w:rPr>
          <w:sz w:val="20"/>
          <w:szCs w:val="20"/>
          <w:rtl/>
        </w:rPr>
      </w:pPr>
      <w:r>
        <w:rPr>
          <w:rFonts w:hint="cs"/>
          <w:b/>
          <w:bCs/>
          <w:sz w:val="20"/>
          <w:szCs w:val="20"/>
          <w:rtl/>
        </w:rPr>
        <w:t>כיצד חוזרת לווסתה?</w:t>
      </w:r>
      <w:r>
        <w:rPr>
          <w:rFonts w:hint="cs"/>
          <w:b/>
          <w:bCs/>
          <w:sz w:val="20"/>
          <w:szCs w:val="20"/>
          <w:rtl/>
        </w:rPr>
        <w:br/>
        <w:t xml:space="preserve">טור </w:t>
      </w:r>
      <w:r>
        <w:rPr>
          <w:sz w:val="20"/>
          <w:szCs w:val="20"/>
          <w:rtl/>
        </w:rPr>
        <w:t>–</w:t>
      </w:r>
      <w:r>
        <w:rPr>
          <w:rFonts w:hint="cs"/>
          <w:sz w:val="20"/>
          <w:szCs w:val="20"/>
          <w:rtl/>
        </w:rPr>
        <w:t xml:space="preserve"> כשתראה ראייה אחת המתאימה לווסת הקודם שלה, חוזר הווסת למקומו.</w:t>
      </w:r>
      <w:r>
        <w:rPr>
          <w:sz w:val="20"/>
          <w:szCs w:val="20"/>
          <w:rtl/>
        </w:rPr>
        <w:br/>
      </w:r>
      <w:r w:rsidRPr="00F31586">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כדברי רש"י בסעיף הקודם לגבי אשה שדילגה על ווסתה פעמיים או שלוש, שאם ראתה לאחר מכן פעם אחת כהרגלה חזרה לווסתה הרגיל. ומשם למד הטור גם למקרה שבו ראתה ג' פעמים באופן שאינו קובע ווסת, שאם ראתה לאחר מכן אפילו פעם אחת כהרגלה, חזרה לווסת הקבוע לה.</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B008CC">
        <w:rPr>
          <w:rFonts w:cs="Arial" w:hint="cs"/>
          <w:sz w:val="18"/>
          <w:szCs w:val="18"/>
          <w:rtl/>
        </w:rPr>
        <w:t xml:space="preserve">[ט"ז - אשה בעלת ווסת לכ'] </w:t>
      </w:r>
      <w:r w:rsidRPr="00F31586">
        <w:rPr>
          <w:rFonts w:cs="Arial" w:hint="cs"/>
          <w:sz w:val="20"/>
          <w:szCs w:val="20"/>
          <w:rtl/>
        </w:rPr>
        <w:t>שינתה</w:t>
      </w:r>
      <w:r w:rsidRPr="00F31586">
        <w:rPr>
          <w:rFonts w:cs="Arial"/>
          <w:sz w:val="20"/>
          <w:szCs w:val="20"/>
          <w:rtl/>
        </w:rPr>
        <w:t xml:space="preserve"> </w:t>
      </w:r>
      <w:r w:rsidRPr="00F31586">
        <w:rPr>
          <w:rFonts w:cs="Arial" w:hint="cs"/>
          <w:sz w:val="20"/>
          <w:szCs w:val="20"/>
          <w:rtl/>
        </w:rPr>
        <w:t>ראיותיה</w:t>
      </w:r>
      <w:r w:rsidRPr="00F31586">
        <w:rPr>
          <w:rFonts w:cs="Arial"/>
          <w:sz w:val="20"/>
          <w:szCs w:val="20"/>
          <w:rtl/>
        </w:rPr>
        <w:t xml:space="preserve"> </w:t>
      </w:r>
      <w:r w:rsidRPr="00F31586">
        <w:rPr>
          <w:rFonts w:cs="Arial" w:hint="cs"/>
          <w:sz w:val="20"/>
          <w:szCs w:val="20"/>
          <w:rtl/>
        </w:rPr>
        <w:t>ולא</w:t>
      </w:r>
      <w:r w:rsidRPr="00F31586">
        <w:rPr>
          <w:rFonts w:cs="Arial"/>
          <w:sz w:val="20"/>
          <w:szCs w:val="20"/>
          <w:rtl/>
        </w:rPr>
        <w:t xml:space="preserve"> </w:t>
      </w:r>
      <w:r w:rsidRPr="00F31586">
        <w:rPr>
          <w:rFonts w:cs="Arial" w:hint="cs"/>
          <w:sz w:val="20"/>
          <w:szCs w:val="20"/>
          <w:rtl/>
        </w:rPr>
        <w:t>הש</w:t>
      </w:r>
      <w:r>
        <w:rPr>
          <w:rFonts w:cs="Arial" w:hint="cs"/>
          <w:sz w:val="20"/>
          <w:szCs w:val="20"/>
          <w:rtl/>
        </w:rPr>
        <w:t>ו</w:t>
      </w:r>
      <w:r w:rsidRPr="00F31586">
        <w:rPr>
          <w:rFonts w:cs="Arial" w:hint="cs"/>
          <w:sz w:val="20"/>
          <w:szCs w:val="20"/>
          <w:rtl/>
        </w:rPr>
        <w:t>וה</w:t>
      </w:r>
      <w:r w:rsidRPr="00F31586">
        <w:rPr>
          <w:rFonts w:cs="Arial"/>
          <w:sz w:val="20"/>
          <w:szCs w:val="20"/>
          <w:rtl/>
        </w:rPr>
        <w:t xml:space="preserve"> </w:t>
      </w:r>
      <w:r w:rsidRPr="00F31586">
        <w:rPr>
          <w:rFonts w:cs="Arial" w:hint="cs"/>
          <w:sz w:val="20"/>
          <w:szCs w:val="20"/>
          <w:rtl/>
        </w:rPr>
        <w:t>אותם</w:t>
      </w:r>
      <w:r w:rsidRPr="00F31586">
        <w:rPr>
          <w:rFonts w:cs="Arial"/>
          <w:sz w:val="20"/>
          <w:szCs w:val="20"/>
          <w:rtl/>
        </w:rPr>
        <w:t xml:space="preserve">, </w:t>
      </w:r>
      <w:r w:rsidRPr="00F31586">
        <w:rPr>
          <w:rFonts w:cs="Arial" w:hint="cs"/>
          <w:sz w:val="20"/>
          <w:szCs w:val="20"/>
          <w:rtl/>
        </w:rPr>
        <w:t>כגון</w:t>
      </w:r>
      <w:r w:rsidRPr="00F31586">
        <w:rPr>
          <w:rFonts w:cs="Arial"/>
          <w:sz w:val="20"/>
          <w:szCs w:val="20"/>
          <w:rtl/>
        </w:rPr>
        <w:t xml:space="preserve"> </w:t>
      </w:r>
      <w:r w:rsidRPr="00F31586">
        <w:rPr>
          <w:rFonts w:cs="Arial" w:hint="cs"/>
          <w:sz w:val="20"/>
          <w:szCs w:val="20"/>
          <w:rtl/>
        </w:rPr>
        <w:t>ששינתה</w:t>
      </w:r>
      <w:r w:rsidRPr="00F31586">
        <w:rPr>
          <w:rFonts w:cs="Arial"/>
          <w:sz w:val="20"/>
          <w:szCs w:val="20"/>
          <w:rtl/>
        </w:rPr>
        <w:t xml:space="preserve"> </w:t>
      </w:r>
      <w:r w:rsidRPr="00F31586">
        <w:rPr>
          <w:rFonts w:cs="Arial" w:hint="cs"/>
          <w:sz w:val="20"/>
          <w:szCs w:val="20"/>
          <w:rtl/>
        </w:rPr>
        <w:t>פעם</w:t>
      </w:r>
      <w:r w:rsidRPr="00F31586">
        <w:rPr>
          <w:rFonts w:cs="Arial"/>
          <w:sz w:val="20"/>
          <w:szCs w:val="20"/>
          <w:rtl/>
        </w:rPr>
        <w:t xml:space="preserve"> </w:t>
      </w:r>
      <w:r w:rsidRPr="00F31586">
        <w:rPr>
          <w:rFonts w:cs="Arial" w:hint="cs"/>
          <w:sz w:val="20"/>
          <w:szCs w:val="20"/>
          <w:rtl/>
        </w:rPr>
        <w:t>אחת</w:t>
      </w:r>
      <w:r w:rsidRPr="00F31586">
        <w:rPr>
          <w:rFonts w:cs="Arial"/>
          <w:sz w:val="20"/>
          <w:szCs w:val="20"/>
          <w:rtl/>
        </w:rPr>
        <w:t xml:space="preserve"> </w:t>
      </w:r>
      <w:r w:rsidRPr="00F31586">
        <w:rPr>
          <w:rFonts w:cs="Arial" w:hint="cs"/>
          <w:sz w:val="20"/>
          <w:szCs w:val="20"/>
          <w:rtl/>
        </w:rPr>
        <w:t>ליום</w:t>
      </w:r>
      <w:r w:rsidRPr="00F31586">
        <w:rPr>
          <w:rFonts w:cs="Arial"/>
          <w:sz w:val="20"/>
          <w:szCs w:val="20"/>
          <w:rtl/>
        </w:rPr>
        <w:t xml:space="preserve"> </w:t>
      </w:r>
      <w:r w:rsidRPr="00F31586">
        <w:rPr>
          <w:rFonts w:cs="Arial" w:hint="cs"/>
          <w:sz w:val="20"/>
          <w:szCs w:val="20"/>
          <w:rtl/>
        </w:rPr>
        <w:t>ל</w:t>
      </w:r>
      <w:r w:rsidRPr="00F31586">
        <w:rPr>
          <w:rFonts w:cs="Arial"/>
          <w:sz w:val="20"/>
          <w:szCs w:val="20"/>
          <w:rtl/>
        </w:rPr>
        <w:t xml:space="preserve">' </w:t>
      </w:r>
      <w:r w:rsidRPr="00F31586">
        <w:rPr>
          <w:rFonts w:cs="Arial" w:hint="cs"/>
          <w:sz w:val="20"/>
          <w:szCs w:val="20"/>
          <w:rtl/>
        </w:rPr>
        <w:t>והשני</w:t>
      </w:r>
      <w:r w:rsidRPr="00F31586">
        <w:rPr>
          <w:rFonts w:cs="Arial"/>
          <w:sz w:val="20"/>
          <w:szCs w:val="20"/>
          <w:rtl/>
        </w:rPr>
        <w:t xml:space="preserve"> </w:t>
      </w:r>
      <w:r w:rsidRPr="00F31586">
        <w:rPr>
          <w:rFonts w:cs="Arial" w:hint="cs"/>
          <w:sz w:val="20"/>
          <w:szCs w:val="20"/>
          <w:rtl/>
        </w:rPr>
        <w:t>לל</w:t>
      </w:r>
      <w:r w:rsidRPr="00F31586">
        <w:rPr>
          <w:rFonts w:cs="Arial"/>
          <w:sz w:val="20"/>
          <w:szCs w:val="20"/>
          <w:rtl/>
        </w:rPr>
        <w:t>"</w:t>
      </w:r>
      <w:r w:rsidRPr="00F31586">
        <w:rPr>
          <w:rFonts w:cs="Arial" w:hint="cs"/>
          <w:sz w:val="20"/>
          <w:szCs w:val="20"/>
          <w:rtl/>
        </w:rPr>
        <w:t>ב</w:t>
      </w:r>
      <w:r w:rsidRPr="00F31586">
        <w:rPr>
          <w:rFonts w:cs="Arial"/>
          <w:sz w:val="20"/>
          <w:szCs w:val="20"/>
          <w:rtl/>
        </w:rPr>
        <w:t xml:space="preserve">, </w:t>
      </w:r>
      <w:r w:rsidRPr="00F31586">
        <w:rPr>
          <w:rFonts w:cs="Arial" w:hint="cs"/>
          <w:sz w:val="20"/>
          <w:szCs w:val="20"/>
          <w:rtl/>
        </w:rPr>
        <w:t>והג</w:t>
      </w:r>
      <w:r w:rsidRPr="00F31586">
        <w:rPr>
          <w:rFonts w:cs="Arial"/>
          <w:sz w:val="20"/>
          <w:szCs w:val="20"/>
          <w:rtl/>
        </w:rPr>
        <w:t xml:space="preserve">' </w:t>
      </w:r>
      <w:r w:rsidRPr="00F31586">
        <w:rPr>
          <w:rFonts w:cs="Arial" w:hint="cs"/>
          <w:sz w:val="20"/>
          <w:szCs w:val="20"/>
          <w:rtl/>
        </w:rPr>
        <w:t>לל</w:t>
      </w:r>
      <w:r w:rsidRPr="00F31586">
        <w:rPr>
          <w:rFonts w:cs="Arial"/>
          <w:sz w:val="20"/>
          <w:szCs w:val="20"/>
          <w:rtl/>
        </w:rPr>
        <w:t>"</w:t>
      </w:r>
      <w:r w:rsidRPr="00F31586">
        <w:rPr>
          <w:rFonts w:cs="Arial" w:hint="cs"/>
          <w:sz w:val="20"/>
          <w:szCs w:val="20"/>
          <w:rtl/>
        </w:rPr>
        <w:t>ד</w:t>
      </w:r>
      <w:r w:rsidRPr="00F31586">
        <w:rPr>
          <w:rFonts w:cs="Arial"/>
          <w:sz w:val="20"/>
          <w:szCs w:val="20"/>
          <w:rtl/>
        </w:rPr>
        <w:t xml:space="preserve">, </w:t>
      </w:r>
      <w:r w:rsidRPr="00F31586">
        <w:rPr>
          <w:rFonts w:cs="Arial" w:hint="cs"/>
          <w:sz w:val="20"/>
          <w:szCs w:val="20"/>
          <w:rtl/>
        </w:rPr>
        <w:t>נעקר</w:t>
      </w:r>
      <w:r w:rsidRPr="00F31586">
        <w:rPr>
          <w:rFonts w:cs="Arial"/>
          <w:sz w:val="20"/>
          <w:szCs w:val="20"/>
          <w:rtl/>
        </w:rPr>
        <w:t xml:space="preserve"> </w:t>
      </w:r>
      <w:r w:rsidRPr="00F31586">
        <w:rPr>
          <w:rFonts w:cs="Arial" w:hint="cs"/>
          <w:sz w:val="20"/>
          <w:szCs w:val="20"/>
          <w:rtl/>
        </w:rPr>
        <w:t>ו</w:t>
      </w:r>
      <w:r>
        <w:rPr>
          <w:rFonts w:cs="Arial" w:hint="cs"/>
          <w:sz w:val="20"/>
          <w:szCs w:val="20"/>
          <w:rtl/>
        </w:rPr>
        <w:t>ו</w:t>
      </w:r>
      <w:r w:rsidRPr="00F31586">
        <w:rPr>
          <w:rFonts w:cs="Arial" w:hint="cs"/>
          <w:sz w:val="20"/>
          <w:szCs w:val="20"/>
          <w:rtl/>
        </w:rPr>
        <w:t>סת</w:t>
      </w:r>
      <w:r w:rsidRPr="00F31586">
        <w:rPr>
          <w:rFonts w:cs="Arial"/>
          <w:sz w:val="20"/>
          <w:szCs w:val="20"/>
          <w:rtl/>
        </w:rPr>
        <w:t xml:space="preserve"> </w:t>
      </w:r>
      <w:r w:rsidRPr="00F31586">
        <w:rPr>
          <w:rFonts w:cs="Arial" w:hint="cs"/>
          <w:sz w:val="20"/>
          <w:szCs w:val="20"/>
          <w:rtl/>
        </w:rPr>
        <w:t>הראשון</w:t>
      </w:r>
      <w:r w:rsidRPr="00F31586">
        <w:rPr>
          <w:rFonts w:cs="Arial"/>
          <w:sz w:val="20"/>
          <w:szCs w:val="20"/>
          <w:rtl/>
        </w:rPr>
        <w:t xml:space="preserve"> </w:t>
      </w:r>
      <w:r w:rsidRPr="00F31586">
        <w:rPr>
          <w:rFonts w:cs="Arial" w:hint="cs"/>
          <w:sz w:val="20"/>
          <w:szCs w:val="20"/>
          <w:rtl/>
        </w:rPr>
        <w:t>ואין</w:t>
      </w:r>
      <w:r w:rsidRPr="00F31586">
        <w:rPr>
          <w:rFonts w:cs="Arial"/>
          <w:sz w:val="20"/>
          <w:szCs w:val="20"/>
          <w:rtl/>
        </w:rPr>
        <w:t xml:space="preserve"> </w:t>
      </w:r>
      <w:r w:rsidRPr="00F31586">
        <w:rPr>
          <w:rFonts w:cs="Arial" w:hint="cs"/>
          <w:sz w:val="20"/>
          <w:szCs w:val="20"/>
          <w:rtl/>
        </w:rPr>
        <w:t>לה</w:t>
      </w:r>
      <w:r w:rsidRPr="00F31586">
        <w:rPr>
          <w:rFonts w:cs="Arial"/>
          <w:sz w:val="20"/>
          <w:szCs w:val="20"/>
          <w:rtl/>
        </w:rPr>
        <w:t xml:space="preserve"> </w:t>
      </w:r>
      <w:r w:rsidRPr="00F31586">
        <w:rPr>
          <w:rFonts w:cs="Arial" w:hint="cs"/>
          <w:sz w:val="20"/>
          <w:szCs w:val="20"/>
          <w:rtl/>
        </w:rPr>
        <w:t>ו</w:t>
      </w:r>
      <w:r>
        <w:rPr>
          <w:rFonts w:cs="Arial" w:hint="cs"/>
          <w:sz w:val="20"/>
          <w:szCs w:val="20"/>
          <w:rtl/>
        </w:rPr>
        <w:t>ו</w:t>
      </w:r>
      <w:r w:rsidRPr="00F31586">
        <w:rPr>
          <w:rFonts w:cs="Arial" w:hint="cs"/>
          <w:sz w:val="20"/>
          <w:szCs w:val="20"/>
          <w:rtl/>
        </w:rPr>
        <w:t>סת</w:t>
      </w:r>
      <w:r w:rsidRPr="00F31586">
        <w:rPr>
          <w:rFonts w:cs="Arial"/>
          <w:sz w:val="20"/>
          <w:szCs w:val="20"/>
          <w:rtl/>
        </w:rPr>
        <w:t xml:space="preserve"> </w:t>
      </w:r>
      <w:r w:rsidRPr="00F31586">
        <w:rPr>
          <w:rFonts w:cs="Arial" w:hint="cs"/>
          <w:sz w:val="20"/>
          <w:szCs w:val="20"/>
          <w:rtl/>
        </w:rPr>
        <w:t>כלל</w:t>
      </w:r>
      <w:r>
        <w:rPr>
          <w:rStyle w:val="a5"/>
          <w:rFonts w:cs="Arial"/>
          <w:sz w:val="20"/>
          <w:szCs w:val="20"/>
          <w:rtl/>
        </w:rPr>
        <w:footnoteReference w:id="207"/>
      </w:r>
      <w:r w:rsidRPr="00F31586">
        <w:rPr>
          <w:rFonts w:cs="Arial"/>
          <w:sz w:val="20"/>
          <w:szCs w:val="20"/>
          <w:rtl/>
        </w:rPr>
        <w:t xml:space="preserve">. </w:t>
      </w:r>
      <w:r w:rsidRPr="00F31586">
        <w:rPr>
          <w:rFonts w:cs="Arial" w:hint="cs"/>
          <w:sz w:val="20"/>
          <w:szCs w:val="20"/>
          <w:rtl/>
        </w:rPr>
        <w:t>ואם</w:t>
      </w:r>
      <w:r w:rsidRPr="00F31586">
        <w:rPr>
          <w:rFonts w:cs="Arial"/>
          <w:sz w:val="20"/>
          <w:szCs w:val="20"/>
          <w:rtl/>
        </w:rPr>
        <w:t xml:space="preserve"> </w:t>
      </w:r>
      <w:r w:rsidRPr="00F31586">
        <w:rPr>
          <w:rFonts w:cs="Arial" w:hint="cs"/>
          <w:sz w:val="20"/>
          <w:szCs w:val="20"/>
          <w:rtl/>
        </w:rPr>
        <w:t>חזרה</w:t>
      </w:r>
      <w:r w:rsidRPr="00F31586">
        <w:rPr>
          <w:rFonts w:cs="Arial"/>
          <w:sz w:val="20"/>
          <w:szCs w:val="20"/>
          <w:rtl/>
        </w:rPr>
        <w:t xml:space="preserve"> </w:t>
      </w:r>
      <w:r w:rsidRPr="00F31586">
        <w:rPr>
          <w:rFonts w:cs="Arial" w:hint="cs"/>
          <w:sz w:val="20"/>
          <w:szCs w:val="20"/>
          <w:rtl/>
        </w:rPr>
        <w:t>לראות</w:t>
      </w:r>
      <w:r w:rsidRPr="00F31586">
        <w:rPr>
          <w:rFonts w:cs="Arial"/>
          <w:sz w:val="20"/>
          <w:szCs w:val="20"/>
          <w:rtl/>
        </w:rPr>
        <w:t xml:space="preserve"> </w:t>
      </w:r>
      <w:r w:rsidRPr="00F31586">
        <w:rPr>
          <w:rFonts w:cs="Arial" w:hint="cs"/>
          <w:sz w:val="20"/>
          <w:szCs w:val="20"/>
          <w:rtl/>
        </w:rPr>
        <w:t>ביום</w:t>
      </w:r>
      <w:r w:rsidRPr="00F31586">
        <w:rPr>
          <w:rFonts w:cs="Arial"/>
          <w:sz w:val="20"/>
          <w:szCs w:val="20"/>
          <w:rtl/>
        </w:rPr>
        <w:t xml:space="preserve"> </w:t>
      </w:r>
      <w:r w:rsidRPr="00F31586">
        <w:rPr>
          <w:rFonts w:cs="Arial" w:hint="cs"/>
          <w:sz w:val="20"/>
          <w:szCs w:val="20"/>
          <w:rtl/>
        </w:rPr>
        <w:t>ה</w:t>
      </w:r>
      <w:r>
        <w:rPr>
          <w:rFonts w:cs="Arial" w:hint="cs"/>
          <w:sz w:val="20"/>
          <w:szCs w:val="20"/>
          <w:rtl/>
        </w:rPr>
        <w:t>ו</w:t>
      </w:r>
      <w:r w:rsidRPr="00F31586">
        <w:rPr>
          <w:rFonts w:cs="Arial" w:hint="cs"/>
          <w:sz w:val="20"/>
          <w:szCs w:val="20"/>
          <w:rtl/>
        </w:rPr>
        <w:t>וסת</w:t>
      </w:r>
      <w:r w:rsidRPr="00F31586">
        <w:rPr>
          <w:rFonts w:cs="Arial"/>
          <w:sz w:val="20"/>
          <w:szCs w:val="20"/>
          <w:rtl/>
        </w:rPr>
        <w:t xml:space="preserve"> </w:t>
      </w:r>
      <w:r w:rsidRPr="00F31586">
        <w:rPr>
          <w:rFonts w:cs="Arial" w:hint="cs"/>
          <w:sz w:val="20"/>
          <w:szCs w:val="20"/>
          <w:rtl/>
        </w:rPr>
        <w:t>הראשון</w:t>
      </w:r>
      <w:r>
        <w:rPr>
          <w:rStyle w:val="a5"/>
          <w:rFonts w:cs="Arial"/>
          <w:sz w:val="20"/>
          <w:szCs w:val="20"/>
          <w:rtl/>
        </w:rPr>
        <w:footnoteReference w:id="208"/>
      </w:r>
      <w:r w:rsidRPr="00F31586">
        <w:rPr>
          <w:rFonts w:cs="Arial"/>
          <w:sz w:val="20"/>
          <w:szCs w:val="20"/>
          <w:rtl/>
        </w:rPr>
        <w:t xml:space="preserve">, </w:t>
      </w:r>
      <w:r w:rsidRPr="00F31586">
        <w:rPr>
          <w:rFonts w:cs="Arial" w:hint="cs"/>
          <w:sz w:val="20"/>
          <w:szCs w:val="20"/>
          <w:rtl/>
        </w:rPr>
        <w:t>חוזר</w:t>
      </w:r>
      <w:r w:rsidRPr="00F31586">
        <w:rPr>
          <w:rFonts w:cs="Arial"/>
          <w:sz w:val="20"/>
          <w:szCs w:val="20"/>
          <w:rtl/>
        </w:rPr>
        <w:t xml:space="preserve"> </w:t>
      </w:r>
      <w:r w:rsidRPr="00F31586">
        <w:rPr>
          <w:rFonts w:cs="Arial" w:hint="cs"/>
          <w:sz w:val="20"/>
          <w:szCs w:val="20"/>
          <w:rtl/>
        </w:rPr>
        <w:t>לקביעותו</w:t>
      </w:r>
      <w:r w:rsidRPr="00F31586">
        <w:rPr>
          <w:rFonts w:cs="Arial"/>
          <w:sz w:val="20"/>
          <w:szCs w:val="20"/>
          <w:rtl/>
        </w:rPr>
        <w:t xml:space="preserve"> </w:t>
      </w:r>
      <w:r w:rsidRPr="00F31586">
        <w:rPr>
          <w:rFonts w:cs="Arial" w:hint="cs"/>
          <w:sz w:val="20"/>
          <w:szCs w:val="20"/>
          <w:rtl/>
        </w:rPr>
        <w:t>הראשון</w:t>
      </w:r>
      <w:r w:rsidRPr="00F31586">
        <w:rPr>
          <w:rFonts w:cs="Arial"/>
          <w:sz w:val="20"/>
          <w:szCs w:val="20"/>
          <w:rtl/>
        </w:rPr>
        <w:t xml:space="preserve"> </w:t>
      </w:r>
      <w:r w:rsidRPr="00F31586">
        <w:rPr>
          <w:rFonts w:cs="Arial" w:hint="cs"/>
          <w:sz w:val="20"/>
          <w:szCs w:val="20"/>
          <w:rtl/>
        </w:rPr>
        <w:t>וחוששת</w:t>
      </w:r>
      <w:r w:rsidRPr="00F31586">
        <w:rPr>
          <w:rFonts w:cs="Arial"/>
          <w:sz w:val="20"/>
          <w:szCs w:val="20"/>
          <w:rtl/>
        </w:rPr>
        <w:t xml:space="preserve"> </w:t>
      </w:r>
      <w:r w:rsidRPr="00F31586">
        <w:rPr>
          <w:rFonts w:cs="Arial" w:hint="cs"/>
          <w:sz w:val="20"/>
          <w:szCs w:val="20"/>
          <w:rtl/>
        </w:rPr>
        <w:t>לו</w:t>
      </w:r>
      <w:r w:rsidRPr="00F31586">
        <w:rPr>
          <w:rFonts w:cs="Arial"/>
          <w:sz w:val="20"/>
          <w:szCs w:val="20"/>
          <w:rtl/>
        </w:rPr>
        <w:t xml:space="preserve"> </w:t>
      </w:r>
      <w:r w:rsidRPr="00F31586">
        <w:rPr>
          <w:rFonts w:cs="Arial" w:hint="cs"/>
          <w:sz w:val="20"/>
          <w:szCs w:val="20"/>
          <w:rtl/>
        </w:rPr>
        <w:t>תמיד</w:t>
      </w:r>
      <w:r w:rsidRPr="00F31586">
        <w:rPr>
          <w:rFonts w:cs="Arial"/>
          <w:sz w:val="20"/>
          <w:szCs w:val="20"/>
          <w:rtl/>
        </w:rPr>
        <w:t xml:space="preserve"> </w:t>
      </w:r>
      <w:r w:rsidRPr="00F31586">
        <w:rPr>
          <w:rFonts w:cs="Arial" w:hint="cs"/>
          <w:sz w:val="20"/>
          <w:szCs w:val="20"/>
          <w:rtl/>
        </w:rPr>
        <w:t>עד</w:t>
      </w:r>
      <w:r w:rsidRPr="00F31586">
        <w:rPr>
          <w:rFonts w:cs="Arial"/>
          <w:sz w:val="20"/>
          <w:szCs w:val="20"/>
          <w:rtl/>
        </w:rPr>
        <w:t xml:space="preserve"> </w:t>
      </w:r>
      <w:r w:rsidRPr="00F31586">
        <w:rPr>
          <w:rFonts w:cs="Arial" w:hint="cs"/>
          <w:sz w:val="20"/>
          <w:szCs w:val="20"/>
          <w:rtl/>
        </w:rPr>
        <w:t>שיעקר</w:t>
      </w:r>
      <w:r w:rsidRPr="00F31586">
        <w:rPr>
          <w:rFonts w:cs="Arial"/>
          <w:sz w:val="20"/>
          <w:szCs w:val="20"/>
          <w:rtl/>
        </w:rPr>
        <w:t xml:space="preserve"> </w:t>
      </w:r>
      <w:r w:rsidRPr="00F31586">
        <w:rPr>
          <w:rFonts w:cs="Arial" w:hint="cs"/>
          <w:sz w:val="20"/>
          <w:szCs w:val="20"/>
          <w:rtl/>
        </w:rPr>
        <w:t>ממנה</w:t>
      </w:r>
      <w:r w:rsidRPr="00F31586">
        <w:rPr>
          <w:rFonts w:cs="Arial"/>
          <w:sz w:val="20"/>
          <w:szCs w:val="20"/>
          <w:rtl/>
        </w:rPr>
        <w:t xml:space="preserve"> </w:t>
      </w:r>
      <w:r w:rsidRPr="00F31586">
        <w:rPr>
          <w:rFonts w:cs="Arial" w:hint="cs"/>
          <w:sz w:val="20"/>
          <w:szCs w:val="20"/>
          <w:rtl/>
        </w:rPr>
        <w:t>שלש</w:t>
      </w:r>
      <w:r w:rsidRPr="00F31586">
        <w:rPr>
          <w:rFonts w:cs="Arial"/>
          <w:sz w:val="20"/>
          <w:szCs w:val="20"/>
          <w:rtl/>
        </w:rPr>
        <w:t xml:space="preserve"> </w:t>
      </w:r>
      <w:r w:rsidRPr="00F31586">
        <w:rPr>
          <w:rFonts w:cs="Arial" w:hint="cs"/>
          <w:sz w:val="20"/>
          <w:szCs w:val="20"/>
          <w:rtl/>
        </w:rPr>
        <w:t>פעמים</w:t>
      </w:r>
      <w:r w:rsidRPr="00F31586">
        <w:rPr>
          <w:rFonts w:cs="Arial"/>
          <w:sz w:val="20"/>
          <w:szCs w:val="20"/>
          <w:rtl/>
        </w:rPr>
        <w:t xml:space="preserve">. </w:t>
      </w:r>
      <w:r w:rsidRPr="00F31586">
        <w:rPr>
          <w:rFonts w:cs="Arial" w:hint="cs"/>
          <w:sz w:val="20"/>
          <w:szCs w:val="20"/>
          <w:rtl/>
        </w:rPr>
        <w:t>וה</w:t>
      </w:r>
      <w:r>
        <w:rPr>
          <w:rFonts w:cs="Arial" w:hint="cs"/>
          <w:sz w:val="20"/>
          <w:szCs w:val="20"/>
          <w:rtl/>
        </w:rPr>
        <w:t xml:space="preserve">וא </w:t>
      </w:r>
      <w:r w:rsidRPr="00F31586">
        <w:rPr>
          <w:rFonts w:cs="Arial" w:hint="cs"/>
          <w:sz w:val="20"/>
          <w:szCs w:val="20"/>
          <w:rtl/>
        </w:rPr>
        <w:t>ה</w:t>
      </w:r>
      <w:r>
        <w:rPr>
          <w:rFonts w:cs="Arial" w:hint="cs"/>
          <w:sz w:val="20"/>
          <w:szCs w:val="20"/>
          <w:rtl/>
        </w:rPr>
        <w:t>דין</w:t>
      </w:r>
      <w:r w:rsidRPr="00F31586">
        <w:rPr>
          <w:rFonts w:cs="Arial"/>
          <w:sz w:val="20"/>
          <w:szCs w:val="20"/>
          <w:rtl/>
        </w:rPr>
        <w:t xml:space="preserve"> </w:t>
      </w:r>
      <w:r w:rsidRPr="00F31586">
        <w:rPr>
          <w:rFonts w:cs="Arial" w:hint="cs"/>
          <w:sz w:val="20"/>
          <w:szCs w:val="20"/>
          <w:rtl/>
        </w:rPr>
        <w:t>להפסיקה</w:t>
      </w:r>
      <w:r w:rsidRPr="00F31586">
        <w:rPr>
          <w:rFonts w:cs="Arial"/>
          <w:sz w:val="20"/>
          <w:szCs w:val="20"/>
          <w:rtl/>
        </w:rPr>
        <w:t xml:space="preserve"> </w:t>
      </w:r>
      <w:r w:rsidRPr="00F31586">
        <w:rPr>
          <w:rFonts w:cs="Arial" w:hint="cs"/>
          <w:sz w:val="20"/>
          <w:szCs w:val="20"/>
          <w:rtl/>
        </w:rPr>
        <w:t>מלראות</w:t>
      </w:r>
      <w:r w:rsidRPr="00F31586">
        <w:rPr>
          <w:rFonts w:cs="Arial"/>
          <w:sz w:val="20"/>
          <w:szCs w:val="20"/>
          <w:rtl/>
        </w:rPr>
        <w:t xml:space="preserve"> </w:t>
      </w:r>
      <w:r w:rsidRPr="00F31586">
        <w:rPr>
          <w:rFonts w:cs="Arial" w:hint="cs"/>
          <w:sz w:val="20"/>
          <w:szCs w:val="20"/>
          <w:rtl/>
        </w:rPr>
        <w:t>שלש</w:t>
      </w:r>
      <w:r w:rsidRPr="00F31586">
        <w:rPr>
          <w:rFonts w:cs="Arial"/>
          <w:sz w:val="20"/>
          <w:szCs w:val="20"/>
          <w:rtl/>
        </w:rPr>
        <w:t xml:space="preserve"> </w:t>
      </w:r>
      <w:r w:rsidRPr="00F31586">
        <w:rPr>
          <w:rFonts w:cs="Arial" w:hint="cs"/>
          <w:sz w:val="20"/>
          <w:szCs w:val="20"/>
          <w:rtl/>
        </w:rPr>
        <w:t>עונות</w:t>
      </w:r>
      <w:r w:rsidRPr="00F31586">
        <w:rPr>
          <w:rFonts w:cs="Arial"/>
          <w:sz w:val="20"/>
          <w:szCs w:val="20"/>
          <w:rtl/>
        </w:rPr>
        <w:t xml:space="preserve">, </w:t>
      </w:r>
      <w:r w:rsidRPr="00F31586">
        <w:rPr>
          <w:rFonts w:cs="Arial" w:hint="cs"/>
          <w:sz w:val="20"/>
          <w:szCs w:val="20"/>
          <w:rtl/>
        </w:rPr>
        <w:t>ואחר</w:t>
      </w:r>
      <w:r w:rsidRPr="00F31586">
        <w:rPr>
          <w:rFonts w:cs="Arial"/>
          <w:sz w:val="20"/>
          <w:szCs w:val="20"/>
          <w:rtl/>
        </w:rPr>
        <w:t xml:space="preserve"> </w:t>
      </w:r>
      <w:r w:rsidRPr="00F31586">
        <w:rPr>
          <w:rFonts w:cs="Arial" w:hint="cs"/>
          <w:sz w:val="20"/>
          <w:szCs w:val="20"/>
          <w:rtl/>
        </w:rPr>
        <w:t>כך</w:t>
      </w:r>
      <w:r w:rsidRPr="00F31586">
        <w:rPr>
          <w:rFonts w:cs="Arial"/>
          <w:sz w:val="20"/>
          <w:szCs w:val="20"/>
          <w:rtl/>
        </w:rPr>
        <w:t xml:space="preserve"> </w:t>
      </w:r>
      <w:r w:rsidRPr="00F31586">
        <w:rPr>
          <w:rFonts w:cs="Arial" w:hint="cs"/>
          <w:sz w:val="20"/>
          <w:szCs w:val="20"/>
          <w:rtl/>
        </w:rPr>
        <w:t>חזרה</w:t>
      </w:r>
      <w:r w:rsidRPr="00F31586">
        <w:rPr>
          <w:rFonts w:cs="Arial"/>
          <w:sz w:val="20"/>
          <w:szCs w:val="20"/>
          <w:rtl/>
        </w:rPr>
        <w:t xml:space="preserve"> </w:t>
      </w:r>
      <w:r w:rsidRPr="00F31586">
        <w:rPr>
          <w:rFonts w:cs="Arial" w:hint="cs"/>
          <w:sz w:val="20"/>
          <w:szCs w:val="20"/>
          <w:rtl/>
        </w:rPr>
        <w:t>לראות</w:t>
      </w:r>
      <w:r w:rsidRPr="00F31586">
        <w:rPr>
          <w:rFonts w:cs="Arial"/>
          <w:sz w:val="20"/>
          <w:szCs w:val="20"/>
          <w:rtl/>
        </w:rPr>
        <w:t xml:space="preserve"> </w:t>
      </w:r>
      <w:r w:rsidRPr="00F31586">
        <w:rPr>
          <w:rFonts w:cs="Arial" w:hint="cs"/>
          <w:sz w:val="20"/>
          <w:szCs w:val="20"/>
          <w:rtl/>
        </w:rPr>
        <w:t>ביום</w:t>
      </w:r>
      <w:r w:rsidRPr="00F31586">
        <w:rPr>
          <w:rFonts w:cs="Arial"/>
          <w:sz w:val="20"/>
          <w:szCs w:val="20"/>
          <w:rtl/>
        </w:rPr>
        <w:t xml:space="preserve"> </w:t>
      </w:r>
      <w:r w:rsidRPr="00F31586">
        <w:rPr>
          <w:rFonts w:cs="Arial" w:hint="cs"/>
          <w:sz w:val="20"/>
          <w:szCs w:val="20"/>
          <w:rtl/>
        </w:rPr>
        <w:t>הו</w:t>
      </w:r>
      <w:r>
        <w:rPr>
          <w:rFonts w:cs="Arial" w:hint="cs"/>
          <w:sz w:val="20"/>
          <w:szCs w:val="20"/>
          <w:rtl/>
        </w:rPr>
        <w:t>ו</w:t>
      </w:r>
      <w:r w:rsidRPr="00F31586">
        <w:rPr>
          <w:rFonts w:cs="Arial" w:hint="cs"/>
          <w:sz w:val="20"/>
          <w:szCs w:val="20"/>
          <w:rtl/>
        </w:rPr>
        <w:t>סת</w:t>
      </w:r>
      <w:r w:rsidRPr="00F31586">
        <w:rPr>
          <w:rFonts w:cs="Arial"/>
          <w:sz w:val="20"/>
          <w:szCs w:val="20"/>
          <w:rtl/>
        </w:rPr>
        <w:t xml:space="preserve"> </w:t>
      </w:r>
      <w:r w:rsidRPr="00F31586">
        <w:rPr>
          <w:rFonts w:cs="Arial" w:hint="cs"/>
          <w:sz w:val="20"/>
          <w:szCs w:val="20"/>
          <w:rtl/>
        </w:rPr>
        <w:t>הראשון</w:t>
      </w:r>
      <w:r>
        <w:rPr>
          <w:rFonts w:cs="Arial" w:hint="cs"/>
          <w:sz w:val="20"/>
          <w:szCs w:val="20"/>
          <w:rtl/>
        </w:rPr>
        <w:t>".</w:t>
      </w:r>
      <w:r>
        <w:rPr>
          <w:sz w:val="20"/>
          <w:szCs w:val="20"/>
          <w:rtl/>
        </w:rPr>
        <w:br/>
      </w:r>
      <w:r>
        <w:rPr>
          <w:sz w:val="20"/>
          <w:szCs w:val="20"/>
          <w:u w:val="single"/>
          <w:rtl/>
        </w:rPr>
        <w:br/>
      </w:r>
      <w:r>
        <w:rPr>
          <w:rFonts w:hint="cs"/>
          <w:sz w:val="20"/>
          <w:szCs w:val="20"/>
          <w:u w:val="single"/>
          <w:rtl/>
        </w:rPr>
        <w:t>ממתי אינה חוששת לווסת הקבוע?</w:t>
      </w:r>
      <w:r>
        <w:rPr>
          <w:rStyle w:val="a5"/>
          <w:sz w:val="20"/>
          <w:szCs w:val="20"/>
          <w:u w:val="single"/>
          <w:rtl/>
        </w:rPr>
        <w:footnoteReference w:id="209"/>
      </w:r>
      <w:r>
        <w:rPr>
          <w:sz w:val="20"/>
          <w:szCs w:val="20"/>
          <w:u w:val="single"/>
          <w:rtl/>
        </w:rPr>
        <w:br/>
      </w:r>
      <w:r>
        <w:rPr>
          <w:rFonts w:hint="cs"/>
          <w:sz w:val="20"/>
          <w:szCs w:val="20"/>
          <w:rtl/>
        </w:rPr>
        <w:lastRenderedPageBreak/>
        <w:t xml:space="preserve">א. </w:t>
      </w:r>
      <w:r w:rsidRPr="00666216">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מדברי המחבר, וכן מדבריו בב"י, משמע שאם הפסיקה לראות פעם אחת בלבד, עדיין צריכה לחשוש לווסתה </w:t>
      </w:r>
      <w:r w:rsidRPr="00666216">
        <w:rPr>
          <w:rFonts w:hint="cs"/>
          <w:sz w:val="18"/>
          <w:szCs w:val="18"/>
          <w:rtl/>
        </w:rPr>
        <w:t>(יום כ</w:t>
      </w:r>
      <w:r>
        <w:rPr>
          <w:rFonts w:hint="cs"/>
          <w:sz w:val="18"/>
          <w:szCs w:val="18"/>
          <w:rtl/>
        </w:rPr>
        <w:t>'</w:t>
      </w:r>
      <w:r w:rsidRPr="00666216">
        <w:rPr>
          <w:rFonts w:hint="cs"/>
          <w:sz w:val="18"/>
          <w:szCs w:val="18"/>
          <w:rtl/>
        </w:rPr>
        <w:t>)</w:t>
      </w:r>
      <w:r>
        <w:rPr>
          <w:rFonts w:hint="cs"/>
          <w:sz w:val="20"/>
          <w:szCs w:val="20"/>
          <w:rtl/>
        </w:rPr>
        <w:t>, ורק אם עברו עליה ג' פעמים כ' ולא ראתה אינה חוששת לו.</w:t>
      </w:r>
      <w:r>
        <w:rPr>
          <w:rFonts w:hint="cs"/>
          <w:sz w:val="20"/>
          <w:szCs w:val="20"/>
          <w:rtl/>
        </w:rPr>
        <w:br/>
        <w:t xml:space="preserve">לכן </w:t>
      </w:r>
      <w:r>
        <w:rPr>
          <w:sz w:val="20"/>
          <w:szCs w:val="20"/>
          <w:rtl/>
        </w:rPr>
        <w:t>–</w:t>
      </w:r>
      <w:r>
        <w:rPr>
          <w:rFonts w:hint="cs"/>
          <w:sz w:val="20"/>
          <w:szCs w:val="20"/>
          <w:rtl/>
        </w:rPr>
        <w:t xml:space="preserve"> חוששת עתה ליום מ' וס' מראייתה האחרונה, כיוון שממשיכה לחשוש לווסת הפלגת כ'.</w:t>
      </w:r>
    </w:p>
    <w:p w:rsidR="00620060" w:rsidRDefault="00620060" w:rsidP="00620060">
      <w:pPr>
        <w:rPr>
          <w:sz w:val="20"/>
          <w:szCs w:val="20"/>
          <w:rtl/>
        </w:rPr>
      </w:pPr>
      <w:r>
        <w:rPr>
          <w:rFonts w:hint="cs"/>
          <w:sz w:val="20"/>
          <w:szCs w:val="20"/>
          <w:rtl/>
        </w:rPr>
        <w:t xml:space="preserve">ב. </w:t>
      </w:r>
      <w:r w:rsidRPr="00666216">
        <w:rPr>
          <w:rFonts w:hint="cs"/>
          <w:b/>
          <w:bCs/>
          <w:sz w:val="20"/>
          <w:szCs w:val="20"/>
          <w:rtl/>
        </w:rPr>
        <w:t>מהרש"ל</w:t>
      </w:r>
      <w:r>
        <w:rPr>
          <w:rFonts w:hint="cs"/>
          <w:sz w:val="20"/>
          <w:szCs w:val="20"/>
          <w:rtl/>
        </w:rPr>
        <w:t xml:space="preserve"> </w:t>
      </w:r>
      <w:r>
        <w:rPr>
          <w:sz w:val="20"/>
          <w:szCs w:val="20"/>
          <w:rtl/>
        </w:rPr>
        <w:t>–</w:t>
      </w:r>
      <w:r>
        <w:rPr>
          <w:rFonts w:hint="cs"/>
          <w:sz w:val="20"/>
          <w:szCs w:val="20"/>
          <w:rtl/>
        </w:rPr>
        <w:t xml:space="preserve"> אשה בעלת ווסת להפלגת כ' שדילגה על ווסתה </w:t>
      </w:r>
      <w:r w:rsidRPr="008C3E2A">
        <w:rPr>
          <w:rFonts w:hint="cs"/>
          <w:sz w:val="20"/>
          <w:szCs w:val="20"/>
          <w:u w:val="single"/>
          <w:rtl/>
        </w:rPr>
        <w:t>פעם אחת</w:t>
      </w:r>
      <w:r>
        <w:rPr>
          <w:rFonts w:hint="cs"/>
          <w:sz w:val="20"/>
          <w:szCs w:val="20"/>
          <w:rtl/>
        </w:rPr>
        <w:t xml:space="preserve">, אינה חוששת לו לעולם, וכ"פ </w:t>
      </w:r>
      <w:r w:rsidRPr="00A1387D">
        <w:rPr>
          <w:rFonts w:hint="cs"/>
          <w:b/>
          <w:bCs/>
          <w:sz w:val="20"/>
          <w:szCs w:val="20"/>
          <w:rtl/>
        </w:rPr>
        <w:t>הש"ך</w:t>
      </w:r>
      <w:r>
        <w:rPr>
          <w:rFonts w:hint="cs"/>
          <w:sz w:val="20"/>
          <w:szCs w:val="20"/>
          <w:rtl/>
        </w:rPr>
        <w:t>.</w:t>
      </w:r>
      <w:r>
        <w:rPr>
          <w:sz w:val="20"/>
          <w:szCs w:val="20"/>
          <w:rtl/>
        </w:rPr>
        <w:br/>
      </w:r>
      <w:r w:rsidRPr="00415F36">
        <w:rPr>
          <w:rFonts w:hint="cs"/>
          <w:b/>
          <w:bCs/>
          <w:sz w:val="20"/>
          <w:szCs w:val="20"/>
          <w:rtl/>
        </w:rPr>
        <w:t xml:space="preserve">טעם </w:t>
      </w:r>
      <w:r>
        <w:rPr>
          <w:sz w:val="20"/>
          <w:szCs w:val="20"/>
          <w:rtl/>
        </w:rPr>
        <w:t>–</w:t>
      </w:r>
      <w:r>
        <w:rPr>
          <w:rFonts w:hint="cs"/>
          <w:sz w:val="20"/>
          <w:szCs w:val="20"/>
          <w:rtl/>
        </w:rPr>
        <w:t xml:space="preserve"> אין זמן שממנו יש לחשב את הפלגת כ'. ואין לומר שיש לחשב זאת מהזמן שבו היתה צריכה לראות </w:t>
      </w:r>
      <w:r w:rsidRPr="00B014F3">
        <w:rPr>
          <w:rFonts w:hint="cs"/>
          <w:sz w:val="18"/>
          <w:szCs w:val="18"/>
          <w:rtl/>
        </w:rPr>
        <w:t>(ותחשוש ליום מ' מראייתה האחרונה</w:t>
      </w:r>
      <w:r>
        <w:rPr>
          <w:rFonts w:hint="cs"/>
          <w:sz w:val="18"/>
          <w:szCs w:val="18"/>
          <w:rtl/>
        </w:rPr>
        <w:t xml:space="preserve"> (כ+כ)</w:t>
      </w:r>
      <w:r w:rsidRPr="00B014F3">
        <w:rPr>
          <w:rFonts w:hint="cs"/>
          <w:sz w:val="18"/>
          <w:szCs w:val="18"/>
          <w:rtl/>
        </w:rPr>
        <w:t>)</w:t>
      </w:r>
      <w:r>
        <w:rPr>
          <w:rFonts w:hint="cs"/>
          <w:sz w:val="20"/>
          <w:szCs w:val="20"/>
          <w:rtl/>
        </w:rPr>
        <w:t>, שהרי לא ראתה לכ' ואינה דומה לאשה שווסתה לכ' ושינתה לל' שחוששת לכ' מראיית ל', כיוון שכאן כלל לא שייך לדבר על הפלגת כ' שהרי דילגה עליה.</w:t>
      </w:r>
      <w:r>
        <w:rPr>
          <w:sz w:val="18"/>
          <w:szCs w:val="18"/>
          <w:rtl/>
        </w:rPr>
        <w:br/>
      </w:r>
      <w:r>
        <w:rPr>
          <w:sz w:val="20"/>
          <w:szCs w:val="20"/>
          <w:rtl/>
        </w:rPr>
        <w:br/>
      </w:r>
      <w:r w:rsidRPr="00D26CFA">
        <w:rPr>
          <w:rFonts w:hint="cs"/>
          <w:sz w:val="20"/>
          <w:szCs w:val="20"/>
          <w:rtl/>
        </w:rPr>
        <w:t>ומ</w:t>
      </w:r>
      <w:r>
        <w:rPr>
          <w:rFonts w:hint="cs"/>
          <w:sz w:val="20"/>
          <w:szCs w:val="20"/>
          <w:rtl/>
        </w:rPr>
        <w:t>התם</w:t>
      </w:r>
      <w:r w:rsidRPr="00D26CFA">
        <w:rPr>
          <w:rFonts w:hint="cs"/>
          <w:sz w:val="20"/>
          <w:szCs w:val="20"/>
          <w:rtl/>
        </w:rPr>
        <w:t xml:space="preserve"> יש להוכיח</w:t>
      </w:r>
      <w:r w:rsidRPr="00D26CFA">
        <w:rPr>
          <w:rFonts w:hint="cs"/>
          <w:sz w:val="20"/>
          <w:szCs w:val="20"/>
          <w:rtl/>
        </w:rPr>
        <w:tab/>
      </w:r>
      <w:r>
        <w:rPr>
          <w:rFonts w:hint="cs"/>
          <w:sz w:val="20"/>
          <w:szCs w:val="20"/>
          <w:rtl/>
        </w:rPr>
        <w:t xml:space="preserve">זאת </w:t>
      </w:r>
      <w:r>
        <w:rPr>
          <w:sz w:val="20"/>
          <w:szCs w:val="20"/>
          <w:rtl/>
        </w:rPr>
        <w:t>–</w:t>
      </w:r>
      <w:r>
        <w:rPr>
          <w:rFonts w:hint="cs"/>
          <w:sz w:val="20"/>
          <w:szCs w:val="20"/>
          <w:rtl/>
        </w:rPr>
        <w:t xml:space="preserve"> אין חוששים לי' מראיית ל' אע"פ שי' זה הוא כ' לכ' שהיתה צריכה לראות בו, ועל כרחך הטעם הוא משום שאין לחשב הפלגה מזמן שאין בה ראייה.</w:t>
      </w:r>
      <w:r>
        <w:rPr>
          <w:sz w:val="20"/>
          <w:szCs w:val="20"/>
          <w:rtl/>
        </w:rPr>
        <w:br/>
      </w:r>
      <w:r>
        <w:rPr>
          <w:rFonts w:hint="cs"/>
          <w:sz w:val="20"/>
          <w:szCs w:val="20"/>
          <w:rtl/>
        </w:rPr>
        <w:t xml:space="preserve">ועוד </w:t>
      </w:r>
      <w:r>
        <w:rPr>
          <w:sz w:val="20"/>
          <w:szCs w:val="20"/>
          <w:rtl/>
        </w:rPr>
        <w:t>–</w:t>
      </w:r>
      <w:r>
        <w:rPr>
          <w:rFonts w:hint="cs"/>
          <w:sz w:val="20"/>
          <w:szCs w:val="20"/>
          <w:rtl/>
        </w:rPr>
        <w:t xml:space="preserve"> אפילו לעונה בינונית אין לחשוש כאן, כיוון שעו"ב זה חשש למי שאין לה ווסת קבוע אך כאן יש לה ווסת אלא ששינתה אותה </w:t>
      </w:r>
      <w:r w:rsidRPr="00EE2AEF">
        <w:rPr>
          <w:rFonts w:hint="cs"/>
          <w:sz w:val="18"/>
          <w:szCs w:val="18"/>
          <w:rtl/>
        </w:rPr>
        <w:t>(ועיין לעיל בהערה על דברי המחבר שדעת הש"ך לחשוש לעו"ב).</w:t>
      </w:r>
      <w:r>
        <w:rPr>
          <w:rFonts w:hint="cs"/>
          <w:sz w:val="20"/>
          <w:szCs w:val="20"/>
          <w:rtl/>
        </w:rPr>
        <w:br/>
      </w:r>
      <w:r>
        <w:rPr>
          <w:sz w:val="20"/>
          <w:szCs w:val="20"/>
          <w:rtl/>
        </w:rPr>
        <w:br/>
      </w:r>
      <w:r>
        <w:rPr>
          <w:rFonts w:hint="cs"/>
          <w:sz w:val="20"/>
          <w:szCs w:val="20"/>
          <w:rtl/>
        </w:rPr>
        <w:t xml:space="preserve">ואמנם, אכתי יש חילוק בין עקירת ג' פעמים לעקירת פעם אחת </w:t>
      </w:r>
      <w:r>
        <w:rPr>
          <w:sz w:val="20"/>
          <w:szCs w:val="20"/>
          <w:rtl/>
        </w:rPr>
        <w:t>–</w:t>
      </w:r>
      <w:r>
        <w:rPr>
          <w:rFonts w:hint="cs"/>
          <w:sz w:val="20"/>
          <w:szCs w:val="20"/>
          <w:rtl/>
        </w:rPr>
        <w:t xml:space="preserve"> </w:t>
      </w:r>
      <w:r>
        <w:rPr>
          <w:sz w:val="20"/>
          <w:szCs w:val="20"/>
          <w:rtl/>
        </w:rPr>
        <w:br/>
      </w:r>
      <w:r>
        <w:rPr>
          <w:rFonts w:hint="cs"/>
          <w:sz w:val="20"/>
          <w:szCs w:val="20"/>
          <w:rtl/>
        </w:rPr>
        <w:t>בפעם הבאה שתראה לאחר עקירתה, דינה ישתנה כדלהלן:</w:t>
      </w:r>
      <w:r>
        <w:rPr>
          <w:rFonts w:hint="cs"/>
          <w:sz w:val="20"/>
          <w:szCs w:val="20"/>
          <w:rtl/>
        </w:rPr>
        <w:br/>
        <w:t xml:space="preserve">עקרה פעם אחת וראתה, למשל לאחר נ' </w:t>
      </w:r>
      <w:r>
        <w:rPr>
          <w:sz w:val="20"/>
          <w:szCs w:val="20"/>
          <w:rtl/>
        </w:rPr>
        <w:t>–</w:t>
      </w:r>
      <w:r>
        <w:rPr>
          <w:rFonts w:hint="cs"/>
          <w:sz w:val="20"/>
          <w:szCs w:val="20"/>
          <w:rtl/>
        </w:rPr>
        <w:t xml:space="preserve"> חוששת לכ' מיום נ' משום שזה ווסת הקבוע, וכן חוששת עתה להפלגת נ' שמא תקבע ווסת להפלגת נ'.</w:t>
      </w:r>
      <w:r>
        <w:rPr>
          <w:sz w:val="20"/>
          <w:szCs w:val="20"/>
          <w:rtl/>
        </w:rPr>
        <w:br/>
      </w:r>
      <w:r>
        <w:rPr>
          <w:rFonts w:hint="cs"/>
          <w:sz w:val="20"/>
          <w:szCs w:val="20"/>
          <w:rtl/>
        </w:rPr>
        <w:t xml:space="preserve">עקרה ג' פעמים וראתה, למשל לאחר ק' </w:t>
      </w:r>
      <w:r>
        <w:rPr>
          <w:sz w:val="20"/>
          <w:szCs w:val="20"/>
          <w:rtl/>
        </w:rPr>
        <w:t>–</w:t>
      </w:r>
      <w:r>
        <w:rPr>
          <w:rFonts w:hint="cs"/>
          <w:sz w:val="20"/>
          <w:szCs w:val="20"/>
          <w:rtl/>
        </w:rPr>
        <w:t xml:space="preserve"> הרי זו מסולקת דמים וחוששת עתה רק להפלגת כ' שהוא ווסתה הקודם, אך אינה חוששת להפלגת ק'.</w:t>
      </w:r>
      <w:r>
        <w:rPr>
          <w:rFonts w:hint="cs"/>
          <w:sz w:val="20"/>
          <w:szCs w:val="20"/>
          <w:rtl/>
        </w:rPr>
        <w:tab/>
      </w:r>
    </w:p>
    <w:p w:rsidR="00620060" w:rsidRDefault="00620060" w:rsidP="00620060">
      <w:pPr>
        <w:rPr>
          <w:sz w:val="20"/>
          <w:szCs w:val="20"/>
          <w:rtl/>
        </w:rPr>
      </w:pPr>
      <w:r>
        <w:rPr>
          <w:rFonts w:hint="cs"/>
          <w:sz w:val="20"/>
          <w:szCs w:val="20"/>
          <w:u w:val="single"/>
          <w:rtl/>
        </w:rPr>
        <w:t>אופן החזרה לווסת הקבוע לה</w:t>
      </w:r>
      <w:r>
        <w:rPr>
          <w:rFonts w:hint="cs"/>
          <w:sz w:val="20"/>
          <w:szCs w:val="20"/>
          <w:u w:val="single"/>
          <w:rtl/>
        </w:rPr>
        <w:br/>
      </w:r>
      <w:r>
        <w:rPr>
          <w:rFonts w:hint="cs"/>
          <w:sz w:val="20"/>
          <w:szCs w:val="20"/>
          <w:rtl/>
        </w:rPr>
        <w:t xml:space="preserve">פסקה ג' פעמים ולא ראתה כלל, כיצד חוזרת לווסתה? </w:t>
      </w:r>
      <w:r>
        <w:rPr>
          <w:rFonts w:hint="cs"/>
          <w:sz w:val="20"/>
          <w:szCs w:val="20"/>
          <w:u w:val="single"/>
          <w:rtl/>
        </w:rPr>
        <w:br/>
      </w:r>
      <w:r>
        <w:rPr>
          <w:rFonts w:hint="cs"/>
          <w:sz w:val="20"/>
          <w:szCs w:val="20"/>
          <w:rtl/>
        </w:rPr>
        <w:t xml:space="preserve">א. </w:t>
      </w:r>
      <w:r w:rsidRPr="009B1A53">
        <w:rPr>
          <w:rFonts w:hint="cs"/>
          <w:b/>
          <w:bCs/>
          <w:sz w:val="20"/>
          <w:szCs w:val="20"/>
          <w:rtl/>
        </w:rPr>
        <w:t>מחבר</w:t>
      </w:r>
      <w:r w:rsidRPr="009B1A53">
        <w:rPr>
          <w:rFonts w:hint="cs"/>
          <w:sz w:val="20"/>
          <w:szCs w:val="20"/>
          <w:rtl/>
        </w:rPr>
        <w:t xml:space="preserve"> </w:t>
      </w:r>
      <w:r>
        <w:rPr>
          <w:rFonts w:hint="cs"/>
          <w:b/>
          <w:bCs/>
          <w:sz w:val="20"/>
          <w:szCs w:val="20"/>
          <w:rtl/>
        </w:rPr>
        <w:t>ו</w:t>
      </w:r>
      <w:r w:rsidRPr="00006243">
        <w:rPr>
          <w:rFonts w:hint="cs"/>
          <w:b/>
          <w:bCs/>
          <w:sz w:val="20"/>
          <w:szCs w:val="20"/>
          <w:rtl/>
        </w:rPr>
        <w:t>ש"ך</w:t>
      </w:r>
      <w:r w:rsidRPr="009B1A53">
        <w:rPr>
          <w:rFonts w:hint="cs"/>
          <w:rtl/>
        </w:rPr>
        <w:t xml:space="preserve"> </w:t>
      </w:r>
      <w:r>
        <w:rPr>
          <w:rFonts w:hint="cs"/>
          <w:sz w:val="18"/>
          <w:szCs w:val="18"/>
          <w:rtl/>
        </w:rPr>
        <w:t>(</w:t>
      </w:r>
      <w:r w:rsidRPr="00006243">
        <w:rPr>
          <w:rFonts w:hint="cs"/>
          <w:sz w:val="18"/>
          <w:szCs w:val="18"/>
          <w:rtl/>
        </w:rPr>
        <w:t>בנקה"כ)</w:t>
      </w:r>
      <w:r>
        <w:rPr>
          <w:sz w:val="20"/>
          <w:szCs w:val="20"/>
          <w:rtl/>
        </w:rPr>
        <w:t>–</w:t>
      </w:r>
      <w:r>
        <w:rPr>
          <w:rFonts w:hint="cs"/>
          <w:sz w:val="20"/>
          <w:szCs w:val="20"/>
          <w:rtl/>
        </w:rPr>
        <w:t xml:space="preserve"> חוזרת לווסת הקבוע לה רק ע"י ב ראיות שביניהן הפלגת כ'.</w:t>
      </w:r>
      <w:r>
        <w:rPr>
          <w:sz w:val="20"/>
          <w:szCs w:val="20"/>
          <w:u w:val="single"/>
          <w:rtl/>
        </w:rPr>
        <w:br/>
      </w:r>
      <w:r>
        <w:rPr>
          <w:rFonts w:hint="cs"/>
          <w:sz w:val="20"/>
          <w:szCs w:val="20"/>
          <w:rtl/>
        </w:rPr>
        <w:t xml:space="preserve">ב. </w:t>
      </w:r>
      <w:r w:rsidRPr="009457F5">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כשתראה שוב ראייה סתמית חוששת ממנה לכ'.</w:t>
      </w:r>
      <w:r>
        <w:rPr>
          <w:rFonts w:hint="cs"/>
          <w:sz w:val="20"/>
          <w:szCs w:val="20"/>
          <w:rtl/>
        </w:rPr>
        <w:br/>
      </w:r>
      <w:r>
        <w:rPr>
          <w:sz w:val="20"/>
          <w:szCs w:val="20"/>
          <w:rtl/>
        </w:rPr>
        <w:br/>
      </w:r>
      <w:r>
        <w:rPr>
          <w:sz w:val="20"/>
          <w:szCs w:val="20"/>
          <w:u w:val="single"/>
          <w:rtl/>
        </w:rPr>
        <w:br/>
      </w:r>
      <w:r>
        <w:rPr>
          <w:rFonts w:hint="cs"/>
          <w:sz w:val="20"/>
          <w:szCs w:val="20"/>
          <w:u w:val="single"/>
          <w:rtl/>
        </w:rPr>
        <w:t>האם קבעה ווסת הדילוג? (ש"ך)</w:t>
      </w:r>
      <w:r>
        <w:rPr>
          <w:rFonts w:hint="cs"/>
          <w:sz w:val="20"/>
          <w:szCs w:val="20"/>
          <w:u w:val="single"/>
          <w:rtl/>
        </w:rPr>
        <w:br/>
      </w:r>
      <w:r>
        <w:rPr>
          <w:rFonts w:hint="cs"/>
          <w:sz w:val="20"/>
          <w:szCs w:val="20"/>
          <w:rtl/>
        </w:rPr>
        <w:t xml:space="preserve">א. </w:t>
      </w:r>
      <w:r w:rsidRPr="00D042A3">
        <w:rPr>
          <w:rFonts w:hint="cs"/>
          <w:b/>
          <w:bCs/>
          <w:sz w:val="20"/>
          <w:szCs w:val="20"/>
          <w:rtl/>
        </w:rPr>
        <w:t>בית יוסף</w:t>
      </w:r>
      <w:r>
        <w:rPr>
          <w:rFonts w:hint="cs"/>
          <w:sz w:val="20"/>
          <w:szCs w:val="20"/>
          <w:rtl/>
        </w:rPr>
        <w:t xml:space="preserve"> </w:t>
      </w:r>
      <w:r>
        <w:rPr>
          <w:sz w:val="20"/>
          <w:szCs w:val="20"/>
          <w:rtl/>
        </w:rPr>
        <w:t>–</w:t>
      </w:r>
      <w:r>
        <w:rPr>
          <w:rFonts w:hint="cs"/>
          <w:sz w:val="20"/>
          <w:szCs w:val="20"/>
          <w:rtl/>
        </w:rPr>
        <w:t xml:space="preserve"> אע"פ שראתה כאן ל', לב', לד' לא קבעה ווסת הדילוג.</w:t>
      </w:r>
      <w:r>
        <w:rPr>
          <w:sz w:val="20"/>
          <w:szCs w:val="20"/>
          <w:rtl/>
        </w:rPr>
        <w:br/>
      </w:r>
      <w:r w:rsidRPr="00D042A3">
        <w:rPr>
          <w:rFonts w:hint="cs"/>
          <w:b/>
          <w:bCs/>
          <w:sz w:val="20"/>
          <w:szCs w:val="20"/>
          <w:rtl/>
        </w:rPr>
        <w:t xml:space="preserve">טעם </w:t>
      </w:r>
      <w:r>
        <w:rPr>
          <w:sz w:val="20"/>
          <w:szCs w:val="20"/>
          <w:rtl/>
        </w:rPr>
        <w:t>–</w:t>
      </w:r>
      <w:r>
        <w:rPr>
          <w:rFonts w:hint="cs"/>
          <w:sz w:val="20"/>
          <w:szCs w:val="20"/>
          <w:rtl/>
        </w:rPr>
        <w:t xml:space="preserve"> אלו רק שני דילוגים, רק אם תראה פעם נוספת ללו' קבעה ווסת לדילוג.</w:t>
      </w:r>
      <w:r>
        <w:rPr>
          <w:sz w:val="20"/>
          <w:szCs w:val="20"/>
          <w:rtl/>
        </w:rPr>
        <w:br/>
      </w:r>
      <w:r w:rsidRPr="006A0E37">
        <w:rPr>
          <w:rFonts w:hint="cs"/>
          <w:sz w:val="20"/>
          <w:szCs w:val="20"/>
          <w:rtl/>
        </w:rPr>
        <w:t xml:space="preserve">מעיר </w:t>
      </w:r>
      <w:r w:rsidRPr="006A0E37">
        <w:rPr>
          <w:rFonts w:hint="cs"/>
          <w:b/>
          <w:bCs/>
          <w:sz w:val="20"/>
          <w:szCs w:val="20"/>
          <w:rtl/>
        </w:rPr>
        <w:t>הש"ך</w:t>
      </w:r>
      <w:r>
        <w:rPr>
          <w:rFonts w:hint="cs"/>
          <w:sz w:val="20"/>
          <w:szCs w:val="20"/>
          <w:rtl/>
        </w:rPr>
        <w:t xml:space="preserve"> </w:t>
      </w:r>
      <w:r>
        <w:rPr>
          <w:sz w:val="20"/>
          <w:szCs w:val="20"/>
          <w:rtl/>
        </w:rPr>
        <w:t>–</w:t>
      </w:r>
      <w:r>
        <w:rPr>
          <w:rFonts w:hint="cs"/>
          <w:sz w:val="20"/>
          <w:szCs w:val="20"/>
          <w:rtl/>
        </w:rPr>
        <w:t xml:space="preserve"> תירוץ זה נאמר רק לשיטת שמואל, אך רב מחמיר וסובר שווסת הדילוג נקבע אף בשני דילוגים. ומכיוון שחוששים לחומרה לדעת רב </w:t>
      </w:r>
      <w:r w:rsidRPr="005164A2">
        <w:rPr>
          <w:rFonts w:hint="cs"/>
          <w:sz w:val="18"/>
          <w:szCs w:val="18"/>
          <w:rtl/>
        </w:rPr>
        <w:t>(כמבואר לעיל בסעיף ז')</w:t>
      </w:r>
      <w:r>
        <w:rPr>
          <w:rFonts w:hint="cs"/>
          <w:sz w:val="20"/>
          <w:szCs w:val="20"/>
          <w:rtl/>
        </w:rPr>
        <w:t>, יש לחוש כאן אף לווסת הדילוג.</w:t>
      </w:r>
      <w:r>
        <w:rPr>
          <w:sz w:val="20"/>
          <w:szCs w:val="20"/>
          <w:rtl/>
        </w:rPr>
        <w:br/>
      </w:r>
      <w:r>
        <w:rPr>
          <w:rFonts w:hint="cs"/>
          <w:sz w:val="20"/>
          <w:szCs w:val="20"/>
          <w:rtl/>
        </w:rPr>
        <w:t xml:space="preserve">ב. </w:t>
      </w:r>
      <w:r w:rsidRPr="00376C18">
        <w:rPr>
          <w:rFonts w:hint="cs"/>
          <w:b/>
          <w:bCs/>
          <w:sz w:val="20"/>
          <w:szCs w:val="20"/>
          <w:rtl/>
        </w:rPr>
        <w:t>ב"ח</w:t>
      </w:r>
      <w:r>
        <w:rPr>
          <w:rFonts w:hint="cs"/>
          <w:sz w:val="20"/>
          <w:szCs w:val="20"/>
          <w:rtl/>
        </w:rPr>
        <w:t xml:space="preserve"> </w:t>
      </w:r>
      <w:r>
        <w:rPr>
          <w:sz w:val="20"/>
          <w:szCs w:val="20"/>
          <w:rtl/>
        </w:rPr>
        <w:t>–</w:t>
      </w:r>
      <w:r>
        <w:rPr>
          <w:rFonts w:hint="cs"/>
          <w:sz w:val="20"/>
          <w:szCs w:val="20"/>
          <w:rtl/>
        </w:rPr>
        <w:t xml:space="preserve"> וסת ההפלגה בדילוג נקבע רק בה' ראיות, ולכן כאן קובעת ווסת רק אם תראה בל', לב', לד', לו', לח'.</w:t>
      </w:r>
      <w:r>
        <w:rPr>
          <w:sz w:val="20"/>
          <w:szCs w:val="20"/>
          <w:rtl/>
        </w:rPr>
        <w:br/>
      </w:r>
      <w:r w:rsidRPr="006A0E37">
        <w:rPr>
          <w:rFonts w:hint="cs"/>
          <w:sz w:val="20"/>
          <w:szCs w:val="20"/>
          <w:rtl/>
        </w:rPr>
        <w:t xml:space="preserve">דוחה </w:t>
      </w:r>
      <w:r w:rsidRPr="006A0E37">
        <w:rPr>
          <w:rFonts w:hint="cs"/>
          <w:b/>
          <w:bCs/>
          <w:sz w:val="20"/>
          <w:szCs w:val="20"/>
          <w:rtl/>
        </w:rPr>
        <w:t>הש"ך</w:t>
      </w:r>
      <w:r>
        <w:rPr>
          <w:rFonts w:hint="cs"/>
          <w:sz w:val="20"/>
          <w:szCs w:val="20"/>
          <w:rtl/>
        </w:rPr>
        <w:t xml:space="preserve"> </w:t>
      </w:r>
      <w:r>
        <w:rPr>
          <w:sz w:val="20"/>
          <w:szCs w:val="20"/>
          <w:rtl/>
        </w:rPr>
        <w:t>–</w:t>
      </w:r>
      <w:r>
        <w:rPr>
          <w:rFonts w:hint="cs"/>
          <w:sz w:val="20"/>
          <w:szCs w:val="20"/>
          <w:rtl/>
        </w:rPr>
        <w:t xml:space="preserve"> אף לדעת שמואל שאינו מונה את הראייה הראשונה אין צריך כאן את כל ה' ראיות אלו, שהרי יש לה ווסת קבוע בכ', ושפיר איכא ג' דילוגים אף ללא ראיית לח'.</w:t>
      </w:r>
      <w:r>
        <w:rPr>
          <w:rStyle w:val="a5"/>
          <w:sz w:val="20"/>
          <w:szCs w:val="20"/>
          <w:rtl/>
        </w:rPr>
        <w:footnoteReference w:id="210"/>
      </w:r>
      <w:r>
        <w:rPr>
          <w:rFonts w:hint="cs"/>
          <w:sz w:val="20"/>
          <w:szCs w:val="20"/>
          <w:rtl/>
        </w:rPr>
        <w:tab/>
      </w:r>
    </w:p>
    <w:p w:rsidR="00620060" w:rsidRDefault="00620060" w:rsidP="00620060">
      <w:pPr>
        <w:rPr>
          <w:sz w:val="20"/>
          <w:szCs w:val="20"/>
          <w:rtl/>
        </w:rPr>
      </w:pPr>
      <w:r w:rsidRPr="00B73B2C">
        <w:rPr>
          <w:rFonts w:hint="cs"/>
          <w:b/>
          <w:bCs/>
          <w:sz w:val="20"/>
          <w:szCs w:val="20"/>
          <w:rtl/>
        </w:rPr>
        <w:lastRenderedPageBreak/>
        <w:t>סיכום</w:t>
      </w:r>
      <w:r>
        <w:rPr>
          <w:sz w:val="20"/>
          <w:szCs w:val="20"/>
          <w:rtl/>
        </w:rPr>
        <w:br/>
      </w:r>
      <w:r>
        <w:rPr>
          <w:rFonts w:hint="cs"/>
          <w:sz w:val="20"/>
          <w:szCs w:val="20"/>
          <w:rtl/>
        </w:rPr>
        <w:t xml:space="preserve">1. </w:t>
      </w:r>
      <w:r w:rsidRPr="00B73B2C">
        <w:rPr>
          <w:rFonts w:hint="cs"/>
          <w:b/>
          <w:bCs/>
          <w:sz w:val="20"/>
          <w:szCs w:val="20"/>
          <w:rtl/>
        </w:rPr>
        <w:t>משנה</w:t>
      </w:r>
      <w:r>
        <w:rPr>
          <w:rFonts w:hint="cs"/>
          <w:sz w:val="20"/>
          <w:szCs w:val="20"/>
          <w:rtl/>
        </w:rPr>
        <w:t xml:space="preserve">. עברו עליה ג' עונות ולא ראתה </w:t>
      </w:r>
      <w:r>
        <w:rPr>
          <w:sz w:val="20"/>
          <w:szCs w:val="20"/>
          <w:rtl/>
        </w:rPr>
        <w:t>–</w:t>
      </w:r>
      <w:r>
        <w:rPr>
          <w:rFonts w:hint="cs"/>
          <w:sz w:val="20"/>
          <w:szCs w:val="20"/>
          <w:rtl/>
        </w:rPr>
        <w:t xml:space="preserve"> דיה שעתה. </w:t>
      </w:r>
      <w:r w:rsidRPr="00B73B2C">
        <w:rPr>
          <w:rFonts w:hint="cs"/>
          <w:b/>
          <w:bCs/>
          <w:sz w:val="20"/>
          <w:szCs w:val="20"/>
          <w:rtl/>
        </w:rPr>
        <w:t>טור</w:t>
      </w:r>
      <w:r>
        <w:rPr>
          <w:rFonts w:hint="cs"/>
          <w:sz w:val="20"/>
          <w:szCs w:val="20"/>
          <w:rtl/>
        </w:rPr>
        <w:t>. ה"ה אם ראתה ג"פ ללא סדר קבוע.</w:t>
      </w:r>
      <w:r>
        <w:rPr>
          <w:sz w:val="20"/>
          <w:szCs w:val="20"/>
          <w:rtl/>
        </w:rPr>
        <w:br/>
      </w:r>
      <w:r>
        <w:rPr>
          <w:rFonts w:hint="cs"/>
          <w:sz w:val="20"/>
          <w:szCs w:val="20"/>
          <w:rtl/>
        </w:rPr>
        <w:t xml:space="preserve">2. </w:t>
      </w:r>
      <w:r w:rsidRPr="00B73B2C">
        <w:rPr>
          <w:rFonts w:hint="cs"/>
          <w:b/>
          <w:bCs/>
          <w:sz w:val="20"/>
          <w:szCs w:val="20"/>
          <w:rtl/>
        </w:rPr>
        <w:t>טור</w:t>
      </w:r>
      <w:r>
        <w:rPr>
          <w:rFonts w:hint="cs"/>
          <w:sz w:val="20"/>
          <w:szCs w:val="20"/>
          <w:rtl/>
        </w:rPr>
        <w:t xml:space="preserve">. חזרת אשה זו לווסתה נעשית ע"י שתראה ראייה התואמת לווסת הקבוע לה. </w:t>
      </w:r>
      <w:r w:rsidRPr="002F11FE">
        <w:rPr>
          <w:rFonts w:hint="cs"/>
          <w:sz w:val="18"/>
          <w:szCs w:val="18"/>
          <w:rtl/>
        </w:rPr>
        <w:t>(ולמד זאת מרש"י לעיל, שדילוג גרידא אינו עוקר ווסת לגמרי, ולמד מהתם גם לדין אשה ששינתה ראייתה ג"פ ולא קבעה בהם ווסת).</w:t>
      </w:r>
      <w:r>
        <w:rPr>
          <w:rFonts w:hint="cs"/>
          <w:sz w:val="20"/>
          <w:szCs w:val="20"/>
          <w:rtl/>
        </w:rPr>
        <w:br/>
        <w:t xml:space="preserve">3. </w:t>
      </w:r>
      <w:r w:rsidRPr="00B73B2C">
        <w:rPr>
          <w:rFonts w:hint="cs"/>
          <w:b/>
          <w:bCs/>
          <w:sz w:val="20"/>
          <w:szCs w:val="20"/>
          <w:rtl/>
        </w:rPr>
        <w:t>מחבר</w:t>
      </w:r>
      <w:r>
        <w:rPr>
          <w:rFonts w:hint="cs"/>
          <w:sz w:val="20"/>
          <w:szCs w:val="20"/>
          <w:rtl/>
        </w:rPr>
        <w:t xml:space="preserve">. אשה בעלת ווסת קבוע ששינתה ג"פ ללא סדר או ג"פ לא ראתה </w:t>
      </w:r>
      <w:r>
        <w:rPr>
          <w:sz w:val="20"/>
          <w:szCs w:val="20"/>
          <w:rtl/>
        </w:rPr>
        <w:t>–</w:t>
      </w:r>
      <w:r>
        <w:rPr>
          <w:rFonts w:hint="cs"/>
          <w:sz w:val="20"/>
          <w:szCs w:val="20"/>
          <w:rtl/>
        </w:rPr>
        <w:t xml:space="preserve"> נעקר </w:t>
      </w:r>
      <w:r w:rsidRPr="006C7599">
        <w:rPr>
          <w:rFonts w:hint="cs"/>
          <w:sz w:val="18"/>
          <w:szCs w:val="18"/>
          <w:rtl/>
        </w:rPr>
        <w:t xml:space="preserve">('נרדם') </w:t>
      </w:r>
      <w:r>
        <w:rPr>
          <w:rFonts w:hint="cs"/>
          <w:sz w:val="20"/>
          <w:szCs w:val="20"/>
          <w:rtl/>
        </w:rPr>
        <w:t>ווסתה, ואם חזרה לראות כהרגלה הקודם, אפילו בראייה אחת, חזרה לווסתה.</w:t>
      </w:r>
      <w:r>
        <w:rPr>
          <w:sz w:val="20"/>
          <w:szCs w:val="20"/>
          <w:rtl/>
        </w:rPr>
        <w:br/>
      </w:r>
      <w:r>
        <w:rPr>
          <w:rFonts w:hint="cs"/>
          <w:sz w:val="20"/>
          <w:szCs w:val="20"/>
          <w:rtl/>
        </w:rPr>
        <w:t xml:space="preserve">4. </w:t>
      </w:r>
      <w:r w:rsidRPr="00B73B2C">
        <w:rPr>
          <w:rFonts w:hint="cs"/>
          <w:b/>
          <w:bCs/>
          <w:sz w:val="20"/>
          <w:szCs w:val="20"/>
          <w:rtl/>
        </w:rPr>
        <w:t>ט"ז</w:t>
      </w:r>
      <w:r>
        <w:rPr>
          <w:rFonts w:hint="cs"/>
          <w:sz w:val="20"/>
          <w:szCs w:val="20"/>
          <w:rtl/>
        </w:rPr>
        <w:t xml:space="preserve">. רק לאחר ג"פ שלא ראתה אינה חוששת, אך עד אז חוששת למ' וס'. </w:t>
      </w:r>
      <w:r w:rsidRPr="00B73B2C">
        <w:rPr>
          <w:rFonts w:hint="cs"/>
          <w:b/>
          <w:bCs/>
          <w:sz w:val="20"/>
          <w:szCs w:val="20"/>
          <w:rtl/>
        </w:rPr>
        <w:t>מהרש"ל</w:t>
      </w:r>
      <w:r>
        <w:rPr>
          <w:rFonts w:hint="cs"/>
          <w:sz w:val="20"/>
          <w:szCs w:val="20"/>
          <w:rtl/>
        </w:rPr>
        <w:t xml:space="preserve">. אפילו לאחר פ"א שלא ראתה אינה חוששת להפלגתה. </w:t>
      </w:r>
      <w:r w:rsidRPr="00B73B2C">
        <w:rPr>
          <w:rFonts w:hint="cs"/>
          <w:b/>
          <w:bCs/>
          <w:sz w:val="20"/>
          <w:szCs w:val="20"/>
          <w:rtl/>
        </w:rPr>
        <w:t>טעם</w:t>
      </w:r>
      <w:r>
        <w:rPr>
          <w:rFonts w:hint="cs"/>
          <w:sz w:val="20"/>
          <w:szCs w:val="20"/>
          <w:rtl/>
        </w:rPr>
        <w:t xml:space="preserve">. אין זמן שממנו יש לחשב את ההפלגה שהרי לא ראתה! וכן אין לחוש אף לעו"ב. </w:t>
      </w:r>
      <w:r w:rsidRPr="002F11FE">
        <w:rPr>
          <w:rFonts w:hint="cs"/>
          <w:sz w:val="18"/>
          <w:szCs w:val="18"/>
          <w:rtl/>
        </w:rPr>
        <w:t>(</w:t>
      </w:r>
      <w:r>
        <w:rPr>
          <w:rFonts w:hint="cs"/>
          <w:sz w:val="18"/>
          <w:szCs w:val="18"/>
          <w:rtl/>
        </w:rPr>
        <w:t>ו</w:t>
      </w:r>
      <w:r w:rsidRPr="002F11FE">
        <w:rPr>
          <w:rFonts w:hint="cs"/>
          <w:sz w:val="18"/>
          <w:szCs w:val="18"/>
          <w:rtl/>
        </w:rPr>
        <w:t>יש לחלק</w:t>
      </w:r>
      <w:r>
        <w:rPr>
          <w:rFonts w:hint="cs"/>
          <w:sz w:val="18"/>
          <w:szCs w:val="18"/>
          <w:rtl/>
        </w:rPr>
        <w:t>:</w:t>
      </w:r>
      <w:r w:rsidRPr="002F11FE">
        <w:rPr>
          <w:rFonts w:hint="cs"/>
          <w:sz w:val="18"/>
          <w:szCs w:val="18"/>
          <w:rtl/>
        </w:rPr>
        <w:t xml:space="preserve"> עקרה ג"פ וראתה, אי</w:t>
      </w:r>
      <w:r>
        <w:rPr>
          <w:rFonts w:hint="cs"/>
          <w:sz w:val="18"/>
          <w:szCs w:val="18"/>
          <w:rtl/>
        </w:rPr>
        <w:t>נה</w:t>
      </w:r>
      <w:r w:rsidRPr="002F11FE">
        <w:rPr>
          <w:rFonts w:hint="cs"/>
          <w:sz w:val="18"/>
          <w:szCs w:val="18"/>
          <w:rtl/>
        </w:rPr>
        <w:t xml:space="preserve"> חוששת להפלגה האחרונה</w:t>
      </w:r>
      <w:r>
        <w:rPr>
          <w:rFonts w:hint="cs"/>
          <w:sz w:val="18"/>
          <w:szCs w:val="18"/>
          <w:rtl/>
        </w:rPr>
        <w:t xml:space="preserve">. </w:t>
      </w:r>
      <w:r w:rsidRPr="002F11FE">
        <w:rPr>
          <w:rFonts w:hint="cs"/>
          <w:sz w:val="18"/>
          <w:szCs w:val="18"/>
          <w:rtl/>
        </w:rPr>
        <w:t>עקרה פ"א וראתה</w:t>
      </w:r>
      <w:r>
        <w:rPr>
          <w:rFonts w:hint="cs"/>
          <w:sz w:val="18"/>
          <w:szCs w:val="18"/>
          <w:rtl/>
        </w:rPr>
        <w:t xml:space="preserve">, </w:t>
      </w:r>
      <w:r w:rsidRPr="002F11FE">
        <w:rPr>
          <w:rFonts w:hint="cs"/>
          <w:sz w:val="18"/>
          <w:szCs w:val="18"/>
          <w:rtl/>
        </w:rPr>
        <w:t>חוששת גם להפלגה אחרונה</w:t>
      </w:r>
      <w:r>
        <w:rPr>
          <w:rFonts w:hint="cs"/>
          <w:sz w:val="20"/>
          <w:szCs w:val="20"/>
          <w:rtl/>
        </w:rPr>
        <w:t>).</w:t>
      </w:r>
      <w:r>
        <w:rPr>
          <w:rFonts w:hint="cs"/>
          <w:sz w:val="20"/>
          <w:szCs w:val="20"/>
          <w:rtl/>
        </w:rPr>
        <w:br/>
        <w:t xml:space="preserve">5. </w:t>
      </w:r>
      <w:r w:rsidRPr="006A0E37">
        <w:rPr>
          <w:rFonts w:hint="cs"/>
          <w:sz w:val="20"/>
          <w:szCs w:val="20"/>
          <w:rtl/>
        </w:rPr>
        <w:t>כיצד חוזרת לווסתה?</w:t>
      </w:r>
      <w:r>
        <w:rPr>
          <w:rFonts w:hint="cs"/>
          <w:sz w:val="20"/>
          <w:szCs w:val="20"/>
          <w:rtl/>
        </w:rPr>
        <w:t xml:space="preserve"> שינתה ראיותיה </w:t>
      </w:r>
      <w:r>
        <w:rPr>
          <w:sz w:val="20"/>
          <w:szCs w:val="20"/>
          <w:rtl/>
        </w:rPr>
        <w:t>–</w:t>
      </w:r>
      <w:r>
        <w:rPr>
          <w:rFonts w:hint="cs"/>
          <w:sz w:val="20"/>
          <w:szCs w:val="20"/>
          <w:rtl/>
        </w:rPr>
        <w:t xml:space="preserve"> חוזרת ע"י שתראה שוב בהפלגת כ'. פסקה </w:t>
      </w:r>
      <w:r>
        <w:rPr>
          <w:sz w:val="20"/>
          <w:szCs w:val="20"/>
          <w:rtl/>
        </w:rPr>
        <w:t>–</w:t>
      </w:r>
      <w:r>
        <w:rPr>
          <w:rFonts w:hint="cs"/>
          <w:sz w:val="20"/>
          <w:szCs w:val="20"/>
          <w:rtl/>
        </w:rPr>
        <w:t xml:space="preserve"> </w:t>
      </w:r>
      <w:r w:rsidRPr="00B73B2C">
        <w:rPr>
          <w:rFonts w:hint="cs"/>
          <w:b/>
          <w:bCs/>
          <w:sz w:val="20"/>
          <w:szCs w:val="20"/>
          <w:rtl/>
        </w:rPr>
        <w:t>ט"ז</w:t>
      </w:r>
      <w:r>
        <w:rPr>
          <w:rFonts w:hint="cs"/>
          <w:sz w:val="20"/>
          <w:szCs w:val="20"/>
          <w:rtl/>
        </w:rPr>
        <w:t xml:space="preserve">. חוזרת ע"י ראייה אחת. </w:t>
      </w:r>
      <w:r w:rsidRPr="00B73B2C">
        <w:rPr>
          <w:rFonts w:hint="cs"/>
          <w:b/>
          <w:bCs/>
          <w:sz w:val="20"/>
          <w:szCs w:val="20"/>
          <w:rtl/>
        </w:rPr>
        <w:t>ש"ך</w:t>
      </w:r>
      <w:r>
        <w:rPr>
          <w:rFonts w:hint="cs"/>
          <w:sz w:val="20"/>
          <w:szCs w:val="20"/>
          <w:rtl/>
        </w:rPr>
        <w:t>. חוזרת ע"י שתראה ב' ראיות וביניהן כ' ימים.</w:t>
      </w:r>
      <w:r>
        <w:rPr>
          <w:sz w:val="20"/>
          <w:szCs w:val="20"/>
          <w:rtl/>
        </w:rPr>
        <w:br/>
      </w:r>
      <w:r>
        <w:rPr>
          <w:rFonts w:hint="cs"/>
          <w:sz w:val="20"/>
          <w:szCs w:val="20"/>
          <w:rtl/>
        </w:rPr>
        <w:t xml:space="preserve">6. ראתה ל', לב', לד' </w:t>
      </w:r>
      <w:r w:rsidRPr="00B73B2C">
        <w:rPr>
          <w:rFonts w:hint="cs"/>
          <w:sz w:val="18"/>
          <w:szCs w:val="18"/>
          <w:rtl/>
        </w:rPr>
        <w:t xml:space="preserve">(שינתה ראיותיה) </w:t>
      </w:r>
      <w:r>
        <w:rPr>
          <w:rFonts w:hint="cs"/>
          <w:sz w:val="20"/>
          <w:szCs w:val="20"/>
          <w:rtl/>
        </w:rPr>
        <w:t xml:space="preserve">האם קבעה ווסת לדילוג? </w:t>
      </w:r>
      <w:r w:rsidRPr="00B73B2C">
        <w:rPr>
          <w:rFonts w:hint="cs"/>
          <w:b/>
          <w:bCs/>
          <w:sz w:val="20"/>
          <w:szCs w:val="20"/>
          <w:rtl/>
        </w:rPr>
        <w:t>ב"י</w:t>
      </w:r>
      <w:r>
        <w:rPr>
          <w:rFonts w:hint="cs"/>
          <w:sz w:val="20"/>
          <w:szCs w:val="20"/>
          <w:rtl/>
        </w:rPr>
        <w:t xml:space="preserve">. לא, אלו רק שני דילוגים. </w:t>
      </w:r>
      <w:r w:rsidRPr="00B73B2C">
        <w:rPr>
          <w:rFonts w:hint="cs"/>
          <w:b/>
          <w:bCs/>
          <w:sz w:val="20"/>
          <w:szCs w:val="20"/>
          <w:rtl/>
        </w:rPr>
        <w:t>ש"ך</w:t>
      </w:r>
      <w:r>
        <w:rPr>
          <w:rFonts w:hint="cs"/>
          <w:sz w:val="20"/>
          <w:szCs w:val="20"/>
          <w:rtl/>
        </w:rPr>
        <w:t xml:space="preserve">. לשיטת רב קבעה לה ווסת, וחוששים לדבריו לחומרה. </w:t>
      </w:r>
      <w:r w:rsidRPr="00B73B2C">
        <w:rPr>
          <w:rFonts w:hint="cs"/>
          <w:b/>
          <w:bCs/>
          <w:sz w:val="20"/>
          <w:szCs w:val="20"/>
          <w:rtl/>
        </w:rPr>
        <w:t>ב"ח</w:t>
      </w:r>
      <w:r>
        <w:rPr>
          <w:rFonts w:hint="cs"/>
          <w:sz w:val="20"/>
          <w:szCs w:val="20"/>
          <w:rtl/>
        </w:rPr>
        <w:t xml:space="preserve">. ווסת הדילוג בהפלגה נקבע רק בה' ראיות וביניהן ד' דילוגים משום שדילוג הראשון לא נמנה. </w:t>
      </w:r>
      <w:r w:rsidRPr="00B73B2C">
        <w:rPr>
          <w:rFonts w:hint="cs"/>
          <w:b/>
          <w:bCs/>
          <w:sz w:val="20"/>
          <w:szCs w:val="20"/>
          <w:rtl/>
        </w:rPr>
        <w:t>ש"ך</w:t>
      </w:r>
      <w:r>
        <w:rPr>
          <w:rFonts w:hint="cs"/>
          <w:sz w:val="20"/>
          <w:szCs w:val="20"/>
          <w:rtl/>
        </w:rPr>
        <w:t xml:space="preserve">. דברי הב"ח תמוהים, הפלגת ל' </w:t>
      </w:r>
      <w:r>
        <w:rPr>
          <w:sz w:val="20"/>
          <w:szCs w:val="20"/>
          <w:rtl/>
        </w:rPr>
        <w:t>–</w:t>
      </w:r>
      <w:r>
        <w:rPr>
          <w:rFonts w:hint="cs"/>
          <w:sz w:val="20"/>
          <w:szCs w:val="20"/>
          <w:rtl/>
        </w:rPr>
        <w:t xml:space="preserve"> לב' נמנית שפיר וסגי בד' ראיות.</w:t>
      </w:r>
    </w:p>
    <w:p w:rsidR="00620060" w:rsidRDefault="00620060" w:rsidP="00620060">
      <w:pPr>
        <w:rPr>
          <w:sz w:val="20"/>
          <w:szCs w:val="20"/>
          <w:rtl/>
        </w:rPr>
      </w:pPr>
      <w:r>
        <w:rPr>
          <w:sz w:val="20"/>
          <w:szCs w:val="20"/>
          <w:rtl/>
        </w:rPr>
        <w:br/>
      </w:r>
      <w:r>
        <w:rPr>
          <w:rFonts w:hint="cs"/>
          <w:b/>
          <w:bCs/>
          <w:sz w:val="20"/>
          <w:szCs w:val="20"/>
          <w:rtl/>
        </w:rPr>
        <w:t xml:space="preserve">סעיף טז </w:t>
      </w:r>
      <w:r>
        <w:rPr>
          <w:b/>
          <w:bCs/>
          <w:sz w:val="20"/>
          <w:szCs w:val="20"/>
          <w:rtl/>
        </w:rPr>
        <w:t>–</w:t>
      </w:r>
      <w:r>
        <w:rPr>
          <w:rFonts w:hint="cs"/>
          <w:b/>
          <w:bCs/>
          <w:sz w:val="20"/>
          <w:szCs w:val="20"/>
          <w:rtl/>
        </w:rPr>
        <w:t xml:space="preserve"> עקירת ווסת החודש</w:t>
      </w:r>
      <w:r>
        <w:rPr>
          <w:b/>
          <w:b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שולחן ערוך </w:t>
      </w:r>
      <w:r w:rsidRPr="00F763CD">
        <w:rPr>
          <w:rFonts w:hint="cs"/>
          <w:sz w:val="18"/>
          <w:szCs w:val="18"/>
          <w:rtl/>
        </w:rPr>
        <w:t xml:space="preserve">(ע"פ </w:t>
      </w:r>
      <w:r w:rsidRPr="00A1387D">
        <w:rPr>
          <w:rFonts w:hint="cs"/>
          <w:b/>
          <w:bCs/>
          <w:sz w:val="18"/>
          <w:szCs w:val="18"/>
          <w:rtl/>
        </w:rPr>
        <w:t>הטור</w:t>
      </w:r>
      <w:r w:rsidRPr="00F763CD">
        <w:rPr>
          <w:rFonts w:hint="cs"/>
          <w:sz w:val="18"/>
          <w:szCs w:val="18"/>
          <w:rtl/>
        </w:rPr>
        <w:t xml:space="preserve">) </w:t>
      </w:r>
      <w:r>
        <w:rPr>
          <w:sz w:val="20"/>
          <w:szCs w:val="20"/>
          <w:rtl/>
        </w:rPr>
        <w:t>–</w:t>
      </w:r>
      <w:r>
        <w:rPr>
          <w:rFonts w:hint="cs"/>
          <w:sz w:val="20"/>
          <w:szCs w:val="20"/>
          <w:rtl/>
        </w:rPr>
        <w:t xml:space="preserve"> "</w:t>
      </w:r>
      <w:r w:rsidRPr="00F763CD">
        <w:rPr>
          <w:rFonts w:cs="Arial" w:hint="cs"/>
          <w:sz w:val="20"/>
          <w:szCs w:val="20"/>
          <w:rtl/>
        </w:rPr>
        <w:t>כיוצא</w:t>
      </w:r>
      <w:r w:rsidRPr="00F763CD">
        <w:rPr>
          <w:rFonts w:cs="Arial"/>
          <w:sz w:val="20"/>
          <w:szCs w:val="20"/>
          <w:rtl/>
        </w:rPr>
        <w:t xml:space="preserve"> </w:t>
      </w:r>
      <w:r w:rsidRPr="00F763CD">
        <w:rPr>
          <w:rFonts w:cs="Arial" w:hint="cs"/>
          <w:sz w:val="20"/>
          <w:szCs w:val="20"/>
          <w:rtl/>
        </w:rPr>
        <w:t>בזה</w:t>
      </w:r>
      <w:r w:rsidRPr="00F763CD">
        <w:rPr>
          <w:rFonts w:cs="Arial"/>
          <w:sz w:val="20"/>
          <w:szCs w:val="20"/>
          <w:rtl/>
        </w:rPr>
        <w:t xml:space="preserve"> </w:t>
      </w:r>
      <w:r w:rsidRPr="00F763CD">
        <w:rPr>
          <w:rFonts w:cs="Arial" w:hint="cs"/>
          <w:sz w:val="20"/>
          <w:szCs w:val="20"/>
          <w:rtl/>
        </w:rPr>
        <w:t>דין</w:t>
      </w:r>
      <w:r w:rsidRPr="00F763CD">
        <w:rPr>
          <w:rFonts w:cs="Arial"/>
          <w:sz w:val="20"/>
          <w:szCs w:val="20"/>
          <w:rtl/>
        </w:rPr>
        <w:t xml:space="preserve"> </w:t>
      </w:r>
      <w:r w:rsidRPr="00F763CD">
        <w:rPr>
          <w:rFonts w:cs="Arial" w:hint="cs"/>
          <w:sz w:val="20"/>
          <w:szCs w:val="20"/>
          <w:rtl/>
        </w:rPr>
        <w:t>עקירת</w:t>
      </w:r>
      <w:r w:rsidRPr="00F763CD">
        <w:rPr>
          <w:rFonts w:cs="Arial"/>
          <w:sz w:val="20"/>
          <w:szCs w:val="20"/>
          <w:rtl/>
        </w:rPr>
        <w:t xml:space="preserve"> </w:t>
      </w:r>
      <w:r w:rsidRPr="00F763CD">
        <w:rPr>
          <w:rFonts w:cs="Arial" w:hint="cs"/>
          <w:sz w:val="20"/>
          <w:szCs w:val="20"/>
          <w:rtl/>
        </w:rPr>
        <w:t>וסת</w:t>
      </w:r>
      <w:r w:rsidRPr="00F763CD">
        <w:rPr>
          <w:rFonts w:cs="Arial"/>
          <w:sz w:val="20"/>
          <w:szCs w:val="20"/>
          <w:rtl/>
        </w:rPr>
        <w:t xml:space="preserve"> </w:t>
      </w:r>
      <w:r w:rsidRPr="00F763CD">
        <w:rPr>
          <w:rFonts w:cs="Arial" w:hint="cs"/>
          <w:sz w:val="20"/>
          <w:szCs w:val="20"/>
          <w:rtl/>
        </w:rPr>
        <w:t>ר</w:t>
      </w:r>
      <w:r w:rsidRPr="00F763CD">
        <w:rPr>
          <w:rFonts w:cs="Arial"/>
          <w:sz w:val="20"/>
          <w:szCs w:val="20"/>
          <w:rtl/>
        </w:rPr>
        <w:t>"</w:t>
      </w:r>
      <w:r w:rsidRPr="00F763CD">
        <w:rPr>
          <w:rFonts w:cs="Arial" w:hint="cs"/>
          <w:sz w:val="20"/>
          <w:szCs w:val="20"/>
          <w:rtl/>
        </w:rPr>
        <w:t>ח</w:t>
      </w:r>
      <w:r w:rsidRPr="00F763CD">
        <w:rPr>
          <w:rFonts w:cs="Arial"/>
          <w:sz w:val="20"/>
          <w:szCs w:val="20"/>
          <w:rtl/>
        </w:rPr>
        <w:t xml:space="preserve">. </w:t>
      </w:r>
      <w:r w:rsidRPr="00F763CD">
        <w:rPr>
          <w:rFonts w:cs="Arial" w:hint="cs"/>
          <w:sz w:val="20"/>
          <w:szCs w:val="20"/>
          <w:rtl/>
        </w:rPr>
        <w:t>כיצד</w:t>
      </w:r>
      <w:r w:rsidRPr="00F763CD">
        <w:rPr>
          <w:rFonts w:cs="Arial"/>
          <w:sz w:val="20"/>
          <w:szCs w:val="20"/>
          <w:rtl/>
        </w:rPr>
        <w:t xml:space="preserve">, </w:t>
      </w:r>
      <w:r w:rsidRPr="00F763CD">
        <w:rPr>
          <w:rFonts w:cs="Arial" w:hint="cs"/>
          <w:sz w:val="20"/>
          <w:szCs w:val="20"/>
          <w:rtl/>
        </w:rPr>
        <w:t>היתה</w:t>
      </w:r>
      <w:r w:rsidRPr="00F763CD">
        <w:rPr>
          <w:rFonts w:cs="Arial"/>
          <w:sz w:val="20"/>
          <w:szCs w:val="20"/>
          <w:rtl/>
        </w:rPr>
        <w:t xml:space="preserve"> </w:t>
      </w:r>
      <w:r w:rsidRPr="00F763CD">
        <w:rPr>
          <w:rFonts w:cs="Arial" w:hint="cs"/>
          <w:sz w:val="20"/>
          <w:szCs w:val="20"/>
          <w:rtl/>
        </w:rPr>
        <w:t>רגילה</w:t>
      </w:r>
      <w:r w:rsidRPr="00F763CD">
        <w:rPr>
          <w:rFonts w:cs="Arial"/>
          <w:sz w:val="20"/>
          <w:szCs w:val="20"/>
          <w:rtl/>
        </w:rPr>
        <w:t xml:space="preserve"> </w:t>
      </w:r>
      <w:r w:rsidRPr="00F763CD">
        <w:rPr>
          <w:rFonts w:cs="Arial" w:hint="cs"/>
          <w:sz w:val="20"/>
          <w:szCs w:val="20"/>
          <w:rtl/>
        </w:rPr>
        <w:t>לראות</w:t>
      </w:r>
      <w:r w:rsidRPr="00F763CD">
        <w:rPr>
          <w:rFonts w:cs="Arial"/>
          <w:sz w:val="20"/>
          <w:szCs w:val="20"/>
          <w:rtl/>
        </w:rPr>
        <w:t xml:space="preserve"> </w:t>
      </w:r>
      <w:r w:rsidRPr="00F763CD">
        <w:rPr>
          <w:rFonts w:cs="Arial" w:hint="cs"/>
          <w:sz w:val="20"/>
          <w:szCs w:val="20"/>
          <w:rtl/>
        </w:rPr>
        <w:t>בר</w:t>
      </w:r>
      <w:r w:rsidRPr="00F763CD">
        <w:rPr>
          <w:rFonts w:cs="Arial"/>
          <w:sz w:val="20"/>
          <w:szCs w:val="20"/>
          <w:rtl/>
        </w:rPr>
        <w:t>"</w:t>
      </w:r>
      <w:r w:rsidRPr="00F763CD">
        <w:rPr>
          <w:rFonts w:cs="Arial" w:hint="cs"/>
          <w:sz w:val="20"/>
          <w:szCs w:val="20"/>
          <w:rtl/>
        </w:rPr>
        <w:t>ח</w:t>
      </w:r>
      <w:r w:rsidRPr="00F763CD">
        <w:rPr>
          <w:rFonts w:cs="Arial"/>
          <w:sz w:val="20"/>
          <w:szCs w:val="20"/>
          <w:rtl/>
        </w:rPr>
        <w:t xml:space="preserve">, </w:t>
      </w:r>
      <w:r w:rsidRPr="00F763CD">
        <w:rPr>
          <w:rFonts w:cs="Arial" w:hint="cs"/>
          <w:sz w:val="20"/>
          <w:szCs w:val="20"/>
          <w:rtl/>
        </w:rPr>
        <w:t>ועבר</w:t>
      </w:r>
      <w:r w:rsidRPr="00F763CD">
        <w:rPr>
          <w:rFonts w:cs="Arial"/>
          <w:sz w:val="20"/>
          <w:szCs w:val="20"/>
          <w:rtl/>
        </w:rPr>
        <w:t xml:space="preserve"> </w:t>
      </w:r>
      <w:r w:rsidRPr="00F763CD">
        <w:rPr>
          <w:rFonts w:cs="Arial" w:hint="cs"/>
          <w:sz w:val="20"/>
          <w:szCs w:val="20"/>
          <w:rtl/>
        </w:rPr>
        <w:t>עליה</w:t>
      </w:r>
      <w:r w:rsidRPr="00F763CD">
        <w:rPr>
          <w:rFonts w:cs="Arial"/>
          <w:sz w:val="20"/>
          <w:szCs w:val="20"/>
          <w:rtl/>
        </w:rPr>
        <w:t xml:space="preserve"> </w:t>
      </w:r>
      <w:r w:rsidRPr="00F763CD">
        <w:rPr>
          <w:rFonts w:cs="Arial" w:hint="cs"/>
          <w:sz w:val="20"/>
          <w:szCs w:val="20"/>
          <w:rtl/>
        </w:rPr>
        <w:t>ר</w:t>
      </w:r>
      <w:r w:rsidRPr="00F763CD">
        <w:rPr>
          <w:rFonts w:cs="Arial"/>
          <w:sz w:val="20"/>
          <w:szCs w:val="20"/>
          <w:rtl/>
        </w:rPr>
        <w:t>"</w:t>
      </w:r>
      <w:r w:rsidRPr="00F763CD">
        <w:rPr>
          <w:rFonts w:cs="Arial" w:hint="cs"/>
          <w:sz w:val="20"/>
          <w:szCs w:val="20"/>
          <w:rtl/>
        </w:rPr>
        <w:t>ח</w:t>
      </w:r>
      <w:r w:rsidRPr="00F763CD">
        <w:rPr>
          <w:rFonts w:cs="Arial"/>
          <w:sz w:val="20"/>
          <w:szCs w:val="20"/>
          <w:rtl/>
        </w:rPr>
        <w:t xml:space="preserve"> </w:t>
      </w:r>
      <w:r w:rsidRPr="00F763CD">
        <w:rPr>
          <w:rFonts w:cs="Arial" w:hint="cs"/>
          <w:sz w:val="20"/>
          <w:szCs w:val="20"/>
          <w:rtl/>
        </w:rPr>
        <w:t>ולא</w:t>
      </w:r>
      <w:r w:rsidRPr="00F763CD">
        <w:rPr>
          <w:rFonts w:cs="Arial"/>
          <w:sz w:val="20"/>
          <w:szCs w:val="20"/>
          <w:rtl/>
        </w:rPr>
        <w:t xml:space="preserve"> </w:t>
      </w:r>
      <w:r w:rsidRPr="00F763CD">
        <w:rPr>
          <w:rFonts w:cs="Arial" w:hint="cs"/>
          <w:sz w:val="20"/>
          <w:szCs w:val="20"/>
          <w:rtl/>
        </w:rPr>
        <w:t>ראתה</w:t>
      </w:r>
      <w:r w:rsidRPr="00F763CD">
        <w:rPr>
          <w:rFonts w:cs="Arial"/>
          <w:sz w:val="20"/>
          <w:szCs w:val="20"/>
          <w:rtl/>
        </w:rPr>
        <w:t xml:space="preserve">, </w:t>
      </w:r>
      <w:r w:rsidRPr="00F763CD">
        <w:rPr>
          <w:rFonts w:cs="Arial" w:hint="cs"/>
          <w:sz w:val="20"/>
          <w:szCs w:val="20"/>
          <w:rtl/>
        </w:rPr>
        <w:t>חוששת</w:t>
      </w:r>
      <w:r w:rsidRPr="00F763CD">
        <w:rPr>
          <w:rFonts w:cs="Arial"/>
          <w:sz w:val="20"/>
          <w:szCs w:val="20"/>
          <w:rtl/>
        </w:rPr>
        <w:t xml:space="preserve"> </w:t>
      </w:r>
      <w:r w:rsidRPr="00F763CD">
        <w:rPr>
          <w:rFonts w:cs="Arial" w:hint="cs"/>
          <w:sz w:val="20"/>
          <w:szCs w:val="20"/>
          <w:rtl/>
        </w:rPr>
        <w:t>לר</w:t>
      </w:r>
      <w:r w:rsidRPr="00F763CD">
        <w:rPr>
          <w:rFonts w:cs="Arial"/>
          <w:sz w:val="20"/>
          <w:szCs w:val="20"/>
          <w:rtl/>
        </w:rPr>
        <w:t>"</w:t>
      </w:r>
      <w:r w:rsidRPr="00F763CD">
        <w:rPr>
          <w:rFonts w:cs="Arial" w:hint="cs"/>
          <w:sz w:val="20"/>
          <w:szCs w:val="20"/>
          <w:rtl/>
        </w:rPr>
        <w:t>ח</w:t>
      </w:r>
      <w:r w:rsidRPr="00F763CD">
        <w:rPr>
          <w:rFonts w:cs="Arial"/>
          <w:sz w:val="20"/>
          <w:szCs w:val="20"/>
          <w:rtl/>
        </w:rPr>
        <w:t xml:space="preserve"> </w:t>
      </w:r>
      <w:r w:rsidRPr="00F763CD">
        <w:rPr>
          <w:rFonts w:cs="Arial" w:hint="cs"/>
          <w:sz w:val="20"/>
          <w:szCs w:val="20"/>
          <w:rtl/>
        </w:rPr>
        <w:t>עד</w:t>
      </w:r>
      <w:r w:rsidRPr="00F763CD">
        <w:rPr>
          <w:rFonts w:cs="Arial"/>
          <w:sz w:val="20"/>
          <w:szCs w:val="20"/>
          <w:rtl/>
        </w:rPr>
        <w:t xml:space="preserve"> </w:t>
      </w:r>
      <w:r w:rsidRPr="00F763CD">
        <w:rPr>
          <w:rFonts w:cs="Arial" w:hint="cs"/>
          <w:sz w:val="20"/>
          <w:szCs w:val="20"/>
          <w:rtl/>
        </w:rPr>
        <w:t>שיעברו</w:t>
      </w:r>
      <w:r w:rsidRPr="00F763CD">
        <w:rPr>
          <w:rFonts w:cs="Arial"/>
          <w:sz w:val="20"/>
          <w:szCs w:val="20"/>
          <w:rtl/>
        </w:rPr>
        <w:t xml:space="preserve"> </w:t>
      </w:r>
      <w:r w:rsidRPr="00F763CD">
        <w:rPr>
          <w:rFonts w:cs="Arial" w:hint="cs"/>
          <w:sz w:val="20"/>
          <w:szCs w:val="20"/>
          <w:rtl/>
        </w:rPr>
        <w:t>עליה</w:t>
      </w:r>
      <w:r w:rsidRPr="00F763CD">
        <w:rPr>
          <w:rFonts w:cs="Arial"/>
          <w:sz w:val="20"/>
          <w:szCs w:val="20"/>
          <w:rtl/>
        </w:rPr>
        <w:t xml:space="preserve"> </w:t>
      </w:r>
      <w:r w:rsidRPr="00F763CD">
        <w:rPr>
          <w:rFonts w:cs="Arial" w:hint="cs"/>
          <w:sz w:val="20"/>
          <w:szCs w:val="20"/>
          <w:rtl/>
        </w:rPr>
        <w:t>שלשה</w:t>
      </w:r>
      <w:r w:rsidRPr="00F763CD">
        <w:rPr>
          <w:rFonts w:cs="Arial"/>
          <w:sz w:val="20"/>
          <w:szCs w:val="20"/>
          <w:rtl/>
        </w:rPr>
        <w:t xml:space="preserve"> </w:t>
      </w:r>
      <w:r w:rsidRPr="00F763CD">
        <w:rPr>
          <w:rFonts w:cs="Arial" w:hint="cs"/>
          <w:sz w:val="20"/>
          <w:szCs w:val="20"/>
          <w:rtl/>
        </w:rPr>
        <w:t>ר</w:t>
      </w:r>
      <w:r w:rsidRPr="00F763CD">
        <w:rPr>
          <w:rFonts w:cs="Arial"/>
          <w:sz w:val="20"/>
          <w:szCs w:val="20"/>
          <w:rtl/>
        </w:rPr>
        <w:t>"</w:t>
      </w:r>
      <w:r w:rsidRPr="00F763CD">
        <w:rPr>
          <w:rFonts w:cs="Arial" w:hint="cs"/>
          <w:sz w:val="20"/>
          <w:szCs w:val="20"/>
          <w:rtl/>
        </w:rPr>
        <w:t>ח</w:t>
      </w:r>
      <w:r>
        <w:rPr>
          <w:rStyle w:val="a5"/>
          <w:rFonts w:cs="Arial"/>
          <w:sz w:val="20"/>
          <w:szCs w:val="20"/>
          <w:rtl/>
        </w:rPr>
        <w:footnoteReference w:id="211"/>
      </w:r>
      <w:r w:rsidRPr="00F763CD">
        <w:rPr>
          <w:rFonts w:cs="Arial"/>
          <w:sz w:val="20"/>
          <w:szCs w:val="20"/>
          <w:rtl/>
        </w:rPr>
        <w:t xml:space="preserve">. </w:t>
      </w:r>
      <w:r w:rsidRPr="00F763CD">
        <w:rPr>
          <w:rFonts w:cs="Arial" w:hint="cs"/>
          <w:sz w:val="20"/>
          <w:szCs w:val="20"/>
          <w:rtl/>
        </w:rPr>
        <w:t>עברו</w:t>
      </w:r>
      <w:r w:rsidRPr="00F763CD">
        <w:rPr>
          <w:rFonts w:cs="Arial"/>
          <w:sz w:val="20"/>
          <w:szCs w:val="20"/>
          <w:rtl/>
        </w:rPr>
        <w:t xml:space="preserve"> </w:t>
      </w:r>
      <w:r w:rsidRPr="00F763CD">
        <w:rPr>
          <w:rFonts w:cs="Arial" w:hint="cs"/>
          <w:sz w:val="20"/>
          <w:szCs w:val="20"/>
          <w:rtl/>
        </w:rPr>
        <w:t>עליה</w:t>
      </w:r>
      <w:r w:rsidRPr="00F763CD">
        <w:rPr>
          <w:rFonts w:cs="Arial"/>
          <w:sz w:val="20"/>
          <w:szCs w:val="20"/>
          <w:rtl/>
        </w:rPr>
        <w:t xml:space="preserve"> </w:t>
      </w:r>
      <w:r w:rsidRPr="00F763CD">
        <w:rPr>
          <w:rFonts w:cs="Arial" w:hint="cs"/>
          <w:sz w:val="20"/>
          <w:szCs w:val="20"/>
          <w:rtl/>
        </w:rPr>
        <w:t>שלשה</w:t>
      </w:r>
      <w:r w:rsidRPr="00F763CD">
        <w:rPr>
          <w:rFonts w:cs="Arial"/>
          <w:sz w:val="20"/>
          <w:szCs w:val="20"/>
          <w:rtl/>
        </w:rPr>
        <w:t xml:space="preserve"> </w:t>
      </w:r>
      <w:r w:rsidRPr="00F763CD">
        <w:rPr>
          <w:rFonts w:cs="Arial" w:hint="cs"/>
          <w:sz w:val="20"/>
          <w:szCs w:val="20"/>
          <w:rtl/>
        </w:rPr>
        <w:t>ר</w:t>
      </w:r>
      <w:r w:rsidRPr="00F763CD">
        <w:rPr>
          <w:rFonts w:cs="Arial"/>
          <w:sz w:val="20"/>
          <w:szCs w:val="20"/>
          <w:rtl/>
        </w:rPr>
        <w:t>"</w:t>
      </w:r>
      <w:r w:rsidRPr="00F763CD">
        <w:rPr>
          <w:rFonts w:cs="Arial" w:hint="cs"/>
          <w:sz w:val="20"/>
          <w:szCs w:val="20"/>
          <w:rtl/>
        </w:rPr>
        <w:t>ח</w:t>
      </w:r>
      <w:r w:rsidRPr="00F763CD">
        <w:rPr>
          <w:rFonts w:cs="Arial"/>
          <w:sz w:val="20"/>
          <w:szCs w:val="20"/>
          <w:rtl/>
        </w:rPr>
        <w:t xml:space="preserve"> </w:t>
      </w:r>
      <w:r w:rsidRPr="00F763CD">
        <w:rPr>
          <w:rFonts w:cs="Arial" w:hint="cs"/>
          <w:sz w:val="20"/>
          <w:szCs w:val="20"/>
          <w:rtl/>
        </w:rPr>
        <w:t>ולא</w:t>
      </w:r>
      <w:r w:rsidRPr="00F763CD">
        <w:rPr>
          <w:rFonts w:cs="Arial"/>
          <w:sz w:val="20"/>
          <w:szCs w:val="20"/>
          <w:rtl/>
        </w:rPr>
        <w:t xml:space="preserve"> </w:t>
      </w:r>
      <w:r w:rsidRPr="00F763CD">
        <w:rPr>
          <w:rFonts w:cs="Arial" w:hint="cs"/>
          <w:sz w:val="20"/>
          <w:szCs w:val="20"/>
          <w:rtl/>
        </w:rPr>
        <w:t>ראתה</w:t>
      </w:r>
      <w:r w:rsidRPr="00F763CD">
        <w:rPr>
          <w:rFonts w:cs="Arial"/>
          <w:sz w:val="20"/>
          <w:szCs w:val="20"/>
          <w:rtl/>
        </w:rPr>
        <w:t xml:space="preserve">, </w:t>
      </w:r>
      <w:r w:rsidRPr="00F763CD">
        <w:rPr>
          <w:rFonts w:cs="Arial" w:hint="cs"/>
          <w:sz w:val="20"/>
          <w:szCs w:val="20"/>
          <w:rtl/>
        </w:rPr>
        <w:t>אינה</w:t>
      </w:r>
      <w:r w:rsidRPr="00F763CD">
        <w:rPr>
          <w:rFonts w:cs="Arial"/>
          <w:sz w:val="20"/>
          <w:szCs w:val="20"/>
          <w:rtl/>
        </w:rPr>
        <w:t xml:space="preserve"> </w:t>
      </w:r>
      <w:r w:rsidRPr="00F763CD">
        <w:rPr>
          <w:rFonts w:cs="Arial" w:hint="cs"/>
          <w:sz w:val="20"/>
          <w:szCs w:val="20"/>
          <w:rtl/>
        </w:rPr>
        <w:t>חוששת</w:t>
      </w:r>
      <w:r w:rsidRPr="00F763CD">
        <w:rPr>
          <w:rFonts w:cs="Arial"/>
          <w:sz w:val="20"/>
          <w:szCs w:val="20"/>
          <w:rtl/>
        </w:rPr>
        <w:t xml:space="preserve"> </w:t>
      </w:r>
      <w:r w:rsidRPr="00F763CD">
        <w:rPr>
          <w:rFonts w:cs="Arial" w:hint="cs"/>
          <w:sz w:val="20"/>
          <w:szCs w:val="20"/>
          <w:rtl/>
        </w:rPr>
        <w:t>להם</w:t>
      </w:r>
      <w:r w:rsidRPr="00F763CD">
        <w:rPr>
          <w:rFonts w:cs="Arial"/>
          <w:sz w:val="20"/>
          <w:szCs w:val="20"/>
          <w:rtl/>
        </w:rPr>
        <w:t xml:space="preserve">. </w:t>
      </w:r>
      <w:r w:rsidRPr="00F763CD">
        <w:rPr>
          <w:rFonts w:cs="Arial" w:hint="cs"/>
          <w:sz w:val="20"/>
          <w:szCs w:val="20"/>
          <w:rtl/>
        </w:rPr>
        <w:t>חזרה</w:t>
      </w:r>
      <w:r w:rsidRPr="00F763CD">
        <w:rPr>
          <w:rFonts w:cs="Arial"/>
          <w:sz w:val="20"/>
          <w:szCs w:val="20"/>
          <w:rtl/>
        </w:rPr>
        <w:t xml:space="preserve"> </w:t>
      </w:r>
      <w:r w:rsidRPr="00F763CD">
        <w:rPr>
          <w:rFonts w:cs="Arial" w:hint="cs"/>
          <w:sz w:val="20"/>
          <w:szCs w:val="20"/>
          <w:rtl/>
        </w:rPr>
        <w:t>וראתה</w:t>
      </w:r>
      <w:r w:rsidRPr="00F763CD">
        <w:rPr>
          <w:rFonts w:cs="Arial"/>
          <w:sz w:val="20"/>
          <w:szCs w:val="20"/>
          <w:rtl/>
        </w:rPr>
        <w:t xml:space="preserve"> </w:t>
      </w:r>
      <w:r w:rsidRPr="00F763CD">
        <w:rPr>
          <w:rFonts w:cs="Arial" w:hint="cs"/>
          <w:sz w:val="20"/>
          <w:szCs w:val="20"/>
          <w:rtl/>
        </w:rPr>
        <w:t>בר</w:t>
      </w:r>
      <w:r w:rsidRPr="00F763CD">
        <w:rPr>
          <w:rFonts w:cs="Arial"/>
          <w:sz w:val="20"/>
          <w:szCs w:val="20"/>
          <w:rtl/>
        </w:rPr>
        <w:t>"</w:t>
      </w:r>
      <w:r w:rsidRPr="00F763CD">
        <w:rPr>
          <w:rFonts w:cs="Arial" w:hint="cs"/>
          <w:sz w:val="20"/>
          <w:szCs w:val="20"/>
          <w:rtl/>
        </w:rPr>
        <w:t>ח</w:t>
      </w:r>
      <w:r w:rsidRPr="00F763CD">
        <w:rPr>
          <w:rFonts w:cs="Arial"/>
          <w:sz w:val="20"/>
          <w:szCs w:val="20"/>
          <w:rtl/>
        </w:rPr>
        <w:t xml:space="preserve">, </w:t>
      </w:r>
      <w:r w:rsidRPr="00F763CD">
        <w:rPr>
          <w:rFonts w:cs="Arial" w:hint="cs"/>
          <w:sz w:val="20"/>
          <w:szCs w:val="20"/>
          <w:rtl/>
        </w:rPr>
        <w:t>חזר</w:t>
      </w:r>
      <w:r w:rsidRPr="00F763CD">
        <w:rPr>
          <w:rFonts w:cs="Arial"/>
          <w:sz w:val="20"/>
          <w:szCs w:val="20"/>
          <w:rtl/>
        </w:rPr>
        <w:t xml:space="preserve"> </w:t>
      </w:r>
      <w:r w:rsidRPr="00F763CD">
        <w:rPr>
          <w:rFonts w:cs="Arial" w:hint="cs"/>
          <w:sz w:val="20"/>
          <w:szCs w:val="20"/>
          <w:rtl/>
        </w:rPr>
        <w:t>הוסת</w:t>
      </w:r>
      <w:r w:rsidRPr="00F763CD">
        <w:rPr>
          <w:rFonts w:cs="Arial"/>
          <w:sz w:val="20"/>
          <w:szCs w:val="20"/>
          <w:rtl/>
        </w:rPr>
        <w:t xml:space="preserve"> </w:t>
      </w:r>
      <w:r w:rsidRPr="00F763CD">
        <w:rPr>
          <w:rFonts w:cs="Arial" w:hint="cs"/>
          <w:sz w:val="20"/>
          <w:szCs w:val="20"/>
          <w:rtl/>
        </w:rPr>
        <w:t>למקומו</w:t>
      </w:r>
      <w:r>
        <w:rPr>
          <w:rFonts w:cs="Arial" w:hint="cs"/>
          <w:sz w:val="20"/>
          <w:szCs w:val="20"/>
          <w:rtl/>
        </w:rPr>
        <w:t>"</w:t>
      </w:r>
      <w:r w:rsidRPr="00F763CD">
        <w:rPr>
          <w:rFonts w:cs="Arial"/>
          <w:sz w:val="20"/>
          <w:szCs w:val="20"/>
          <w:rtl/>
        </w:rPr>
        <w:t>.</w:t>
      </w:r>
      <w:r>
        <w:rPr>
          <w:rFonts w:cs="Arial" w:hint="cs"/>
          <w:sz w:val="20"/>
          <w:szCs w:val="20"/>
          <w:rtl/>
        </w:rPr>
        <w:br/>
      </w:r>
      <w:r w:rsidRPr="00F763CD">
        <w:rPr>
          <w:rFonts w:cs="Arial" w:hint="cs"/>
          <w:b/>
          <w:bCs/>
          <w:sz w:val="20"/>
          <w:szCs w:val="20"/>
          <w:rtl/>
        </w:rPr>
        <w:t>בית יוסף</w:t>
      </w:r>
      <w:r>
        <w:rPr>
          <w:rFonts w:cs="Arial" w:hint="cs"/>
          <w:sz w:val="20"/>
          <w:szCs w:val="20"/>
          <w:rtl/>
        </w:rPr>
        <w:t xml:space="preserve"> </w:t>
      </w:r>
      <w:r>
        <w:rPr>
          <w:rFonts w:cs="Arial"/>
          <w:sz w:val="20"/>
          <w:szCs w:val="20"/>
          <w:rtl/>
        </w:rPr>
        <w:t>–</w:t>
      </w:r>
      <w:r>
        <w:rPr>
          <w:rFonts w:cs="Arial" w:hint="cs"/>
          <w:sz w:val="20"/>
          <w:szCs w:val="20"/>
          <w:rtl/>
        </w:rPr>
        <w:t xml:space="preserve"> הוא הדין אם שינתה ראיותיה ג' פעמים ולא קבעה </w:t>
      </w:r>
      <w:r>
        <w:rPr>
          <w:rFonts w:hint="cs"/>
          <w:sz w:val="20"/>
          <w:szCs w:val="20"/>
          <w:rtl/>
        </w:rPr>
        <w:t>בהן ווסת שאינה חוששת לווסתה, אלא שאם חזרה לראות בווסת הקבוע לה, חזר קביעות הווסת למקומו, כבסעיף הקודם בווסת ההפלגה.</w:t>
      </w:r>
    </w:p>
    <w:p w:rsidR="00620060" w:rsidRDefault="00620060" w:rsidP="00620060">
      <w:pPr>
        <w:rPr>
          <w:sz w:val="20"/>
          <w:szCs w:val="20"/>
          <w:rtl/>
        </w:rPr>
      </w:pPr>
      <w:r w:rsidRPr="00A1387D">
        <w:rPr>
          <w:rFonts w:hint="cs"/>
          <w:b/>
          <w:bCs/>
          <w:sz w:val="20"/>
          <w:szCs w:val="20"/>
          <w:rtl/>
        </w:rPr>
        <w:t xml:space="preserve">עקירת ווסת החודש למי שהיתה מסולקת דמים </w:t>
      </w:r>
      <w:r w:rsidRPr="002706B8">
        <w:rPr>
          <w:rFonts w:hint="cs"/>
          <w:sz w:val="18"/>
          <w:szCs w:val="18"/>
          <w:rtl/>
        </w:rPr>
        <w:t>(פת"ש)</w:t>
      </w:r>
      <w:r>
        <w:rPr>
          <w:rFonts w:hint="cs"/>
          <w:sz w:val="20"/>
          <w:szCs w:val="20"/>
          <w:u w:val="single"/>
          <w:rtl/>
        </w:rPr>
        <w:br/>
      </w:r>
      <w:r w:rsidRPr="00156704">
        <w:rPr>
          <w:rFonts w:hint="cs"/>
          <w:b/>
          <w:bCs/>
          <w:sz w:val="20"/>
          <w:szCs w:val="20"/>
          <w:rtl/>
        </w:rPr>
        <w:t>נודה ביהודה</w:t>
      </w:r>
      <w:r>
        <w:rPr>
          <w:rFonts w:hint="cs"/>
          <w:sz w:val="20"/>
          <w:szCs w:val="20"/>
          <w:rtl/>
        </w:rPr>
        <w:t xml:space="preserve"> </w:t>
      </w:r>
      <w:r>
        <w:rPr>
          <w:sz w:val="20"/>
          <w:szCs w:val="20"/>
          <w:rtl/>
        </w:rPr>
        <w:t>–</w:t>
      </w:r>
      <w:r>
        <w:rPr>
          <w:rFonts w:hint="cs"/>
          <w:sz w:val="20"/>
          <w:szCs w:val="20"/>
          <w:rtl/>
        </w:rPr>
        <w:t xml:space="preserve"> מה דין אשה שעברו עליה שני חודשים שלא ראתה בהם ביום החודש ואחר כך התעברה ועברו ימי עיבורה והנקתה, ושוב הגיע יום החודש לראייתה ולא ראתה, האם מצטרפת עקירה זו לשתיים שלפני העיבור ועקרה ווסתה?</w:t>
      </w:r>
      <w:r>
        <w:rPr>
          <w:rFonts w:hint="cs"/>
          <w:sz w:val="20"/>
          <w:szCs w:val="20"/>
          <w:rtl/>
        </w:rPr>
        <w:br/>
      </w:r>
      <w:r w:rsidRPr="002706B8">
        <w:rPr>
          <w:rFonts w:hint="cs"/>
          <w:sz w:val="20"/>
          <w:szCs w:val="20"/>
          <w:rtl/>
        </w:rPr>
        <w:t xml:space="preserve">תשובה </w:t>
      </w:r>
      <w:r>
        <w:rPr>
          <w:sz w:val="20"/>
          <w:szCs w:val="20"/>
          <w:rtl/>
        </w:rPr>
        <w:t>–</w:t>
      </w:r>
      <w:r>
        <w:rPr>
          <w:rFonts w:hint="cs"/>
          <w:sz w:val="20"/>
          <w:szCs w:val="20"/>
          <w:rtl/>
        </w:rPr>
        <w:t xml:space="preserve"> נחלקו הראשונים </w:t>
      </w:r>
      <w:r w:rsidRPr="000A3FE1">
        <w:rPr>
          <w:rFonts w:hint="cs"/>
          <w:sz w:val="18"/>
          <w:szCs w:val="18"/>
          <w:rtl/>
        </w:rPr>
        <w:t>(לקמן לד')</w:t>
      </w:r>
      <w:r>
        <w:rPr>
          <w:rFonts w:hint="cs"/>
          <w:sz w:val="20"/>
          <w:szCs w:val="20"/>
          <w:rtl/>
        </w:rPr>
        <w:t xml:space="preserve"> בדין מניקה שעברו ימי הנקתה מתי חוזרת לווסתה, ולפי"ז יש לומר - </w:t>
      </w:r>
      <w:r>
        <w:rPr>
          <w:sz w:val="20"/>
          <w:szCs w:val="20"/>
          <w:rtl/>
        </w:rPr>
        <w:br/>
      </w:r>
      <w:r>
        <w:rPr>
          <w:rFonts w:hint="cs"/>
          <w:sz w:val="20"/>
          <w:szCs w:val="20"/>
          <w:rtl/>
        </w:rPr>
        <w:t xml:space="preserve">לרמב"ן </w:t>
      </w:r>
      <w:r>
        <w:rPr>
          <w:sz w:val="20"/>
          <w:szCs w:val="20"/>
          <w:rtl/>
        </w:rPr>
        <w:t>–</w:t>
      </w:r>
      <w:r>
        <w:rPr>
          <w:rFonts w:hint="cs"/>
          <w:sz w:val="20"/>
          <w:szCs w:val="20"/>
          <w:rtl/>
        </w:rPr>
        <w:t xml:space="preserve"> חוזרת לחוש מייד לווסתה אע"פ שלא ראתה כלל, ואם כן אף לעניין עקירה שפיר הוי עקירה.</w:t>
      </w:r>
      <w:r>
        <w:rPr>
          <w:sz w:val="20"/>
          <w:szCs w:val="20"/>
          <w:rtl/>
        </w:rPr>
        <w:br/>
      </w:r>
      <w:r>
        <w:rPr>
          <w:rFonts w:hint="cs"/>
          <w:sz w:val="20"/>
          <w:szCs w:val="20"/>
          <w:rtl/>
        </w:rPr>
        <w:t>לדעת הראשונים שחוזרת לווסתה רק אם ראתה ביום הווסת, ממילא אינה חוששת ליום הווסת עד שתראה בו.</w:t>
      </w:r>
      <w:r>
        <w:rPr>
          <w:sz w:val="20"/>
          <w:szCs w:val="20"/>
          <w:rtl/>
        </w:rPr>
        <w:br/>
      </w:r>
      <w:r w:rsidRPr="002706B8">
        <w:rPr>
          <w:rFonts w:hint="cs"/>
          <w:sz w:val="20"/>
          <w:szCs w:val="20"/>
          <w:rtl/>
        </w:rPr>
        <w:t xml:space="preserve">לסיכום </w:t>
      </w:r>
      <w:r>
        <w:rPr>
          <w:sz w:val="20"/>
          <w:szCs w:val="20"/>
          <w:rtl/>
        </w:rPr>
        <w:t>–</w:t>
      </w:r>
      <w:r>
        <w:rPr>
          <w:rFonts w:hint="cs"/>
          <w:sz w:val="20"/>
          <w:szCs w:val="20"/>
          <w:rtl/>
        </w:rPr>
        <w:t xml:space="preserve"> לכו"ע אינה חוששת, לרמב"ן הוי עקירה, לראשונים האחרים אינה חוששת עד שתראה כהרגלה.</w:t>
      </w:r>
    </w:p>
    <w:p w:rsidR="00620060" w:rsidRPr="00823371"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823371">
        <w:rPr>
          <w:rFonts w:hint="cs"/>
          <w:b/>
          <w:bCs/>
          <w:sz w:val="20"/>
          <w:szCs w:val="20"/>
          <w:rtl/>
        </w:rPr>
        <w:t>שו"ע</w:t>
      </w:r>
      <w:r>
        <w:rPr>
          <w:rFonts w:hint="cs"/>
          <w:sz w:val="20"/>
          <w:szCs w:val="20"/>
          <w:rtl/>
        </w:rPr>
        <w:t xml:space="preserve">. דין ווסת החודש כווסת ההפלגה. כלומר </w:t>
      </w:r>
      <w:r>
        <w:rPr>
          <w:sz w:val="20"/>
          <w:szCs w:val="20"/>
          <w:rtl/>
        </w:rPr>
        <w:t>–</w:t>
      </w:r>
      <w:r>
        <w:rPr>
          <w:rFonts w:hint="cs"/>
          <w:sz w:val="20"/>
          <w:szCs w:val="20"/>
          <w:rtl/>
        </w:rPr>
        <w:t xml:space="preserve"> אם לא ראתה או שינתה ראיותיה ג"פ, אינה חוששת. </w:t>
      </w:r>
      <w:r>
        <w:rPr>
          <w:sz w:val="20"/>
          <w:szCs w:val="20"/>
          <w:rtl/>
        </w:rPr>
        <w:br/>
      </w:r>
      <w:r>
        <w:rPr>
          <w:rFonts w:hint="cs"/>
          <w:sz w:val="20"/>
          <w:szCs w:val="20"/>
          <w:rtl/>
        </w:rPr>
        <w:t xml:space="preserve">אך אם ראתה פעם אחת כהרגלה הקודם </w:t>
      </w:r>
      <w:r>
        <w:rPr>
          <w:sz w:val="20"/>
          <w:szCs w:val="20"/>
          <w:rtl/>
        </w:rPr>
        <w:t>–</w:t>
      </w:r>
      <w:r>
        <w:rPr>
          <w:rFonts w:hint="cs"/>
          <w:sz w:val="20"/>
          <w:szCs w:val="20"/>
          <w:rtl/>
        </w:rPr>
        <w:t xml:space="preserve"> חזרה לווסתה.</w:t>
      </w:r>
      <w:r>
        <w:rPr>
          <w:sz w:val="20"/>
          <w:szCs w:val="20"/>
          <w:rtl/>
        </w:rPr>
        <w:br/>
      </w:r>
      <w:r>
        <w:rPr>
          <w:rFonts w:hint="cs"/>
          <w:sz w:val="20"/>
          <w:szCs w:val="20"/>
          <w:rtl/>
        </w:rPr>
        <w:t xml:space="preserve">2. </w:t>
      </w:r>
      <w:r w:rsidRPr="00192F6D">
        <w:rPr>
          <w:rFonts w:hint="cs"/>
          <w:b/>
          <w:bCs/>
          <w:sz w:val="20"/>
          <w:szCs w:val="20"/>
          <w:rtl/>
        </w:rPr>
        <w:t>נוב"י</w:t>
      </w:r>
      <w:r>
        <w:rPr>
          <w:rFonts w:hint="cs"/>
          <w:sz w:val="20"/>
          <w:szCs w:val="20"/>
          <w:rtl/>
        </w:rPr>
        <w:t xml:space="preserve">. בעלת ווסת קבוע שעקרתו פעמיים והתעברה ואחר ימי הנקתה פ"א לא ראתה, לכו"ע עקרה ווסתה. </w:t>
      </w:r>
    </w:p>
    <w:p w:rsidR="00620060" w:rsidRDefault="00620060" w:rsidP="00620060">
      <w:pPr>
        <w:rPr>
          <w:sz w:val="20"/>
          <w:szCs w:val="20"/>
          <w:rtl/>
        </w:rPr>
      </w:pPr>
      <w:r>
        <w:rPr>
          <w:sz w:val="20"/>
          <w:szCs w:val="20"/>
          <w:rtl/>
        </w:rPr>
        <w:br/>
      </w:r>
      <w:r>
        <w:rPr>
          <w:rFonts w:hint="cs"/>
          <w:b/>
          <w:bCs/>
          <w:sz w:val="20"/>
          <w:szCs w:val="20"/>
          <w:rtl/>
        </w:rPr>
        <w:t xml:space="preserve">סעיף יז </w:t>
      </w:r>
      <w:r>
        <w:rPr>
          <w:b/>
          <w:bCs/>
          <w:sz w:val="20"/>
          <w:szCs w:val="20"/>
          <w:rtl/>
        </w:rPr>
        <w:t>–</w:t>
      </w:r>
      <w:r>
        <w:rPr>
          <w:rFonts w:hint="cs"/>
          <w:b/>
          <w:bCs/>
          <w:sz w:val="20"/>
          <w:szCs w:val="20"/>
          <w:rtl/>
        </w:rPr>
        <w:t xml:space="preserve"> ווסת התלוי במעשה</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גמרא </w:t>
      </w:r>
      <w:r>
        <w:rPr>
          <w:rFonts w:hint="cs"/>
          <w:sz w:val="20"/>
          <w:szCs w:val="20"/>
          <w:rtl/>
        </w:rPr>
        <w:t>נידה (יא.) "</w:t>
      </w:r>
      <w:r w:rsidRPr="002252CD">
        <w:rPr>
          <w:rFonts w:cs="Arial" w:hint="cs"/>
          <w:sz w:val="20"/>
          <w:szCs w:val="20"/>
          <w:rtl/>
        </w:rPr>
        <w:t>א</w:t>
      </w:r>
      <w:r>
        <w:rPr>
          <w:rFonts w:cs="Arial" w:hint="cs"/>
          <w:sz w:val="20"/>
          <w:szCs w:val="20"/>
          <w:rtl/>
        </w:rPr>
        <w:t xml:space="preserve">מר </w:t>
      </w:r>
      <w:r w:rsidRPr="002252CD">
        <w:rPr>
          <w:rFonts w:cs="Arial" w:hint="cs"/>
          <w:sz w:val="20"/>
          <w:szCs w:val="20"/>
          <w:rtl/>
        </w:rPr>
        <w:t>ר</w:t>
      </w:r>
      <w:r>
        <w:rPr>
          <w:rFonts w:cs="Arial" w:hint="cs"/>
          <w:sz w:val="20"/>
          <w:szCs w:val="20"/>
          <w:rtl/>
        </w:rPr>
        <w:t>ב</w:t>
      </w:r>
      <w:r w:rsidRPr="002252CD">
        <w:rPr>
          <w:rFonts w:cs="Arial"/>
          <w:sz w:val="20"/>
          <w:szCs w:val="20"/>
          <w:rtl/>
        </w:rPr>
        <w:t xml:space="preserve"> </w:t>
      </w:r>
      <w:r w:rsidRPr="002252CD">
        <w:rPr>
          <w:rFonts w:cs="Arial" w:hint="cs"/>
          <w:sz w:val="20"/>
          <w:szCs w:val="20"/>
          <w:rtl/>
        </w:rPr>
        <w:t>הונא</w:t>
      </w:r>
      <w:r w:rsidRPr="002252CD">
        <w:rPr>
          <w:rFonts w:cs="Arial"/>
          <w:sz w:val="20"/>
          <w:szCs w:val="20"/>
          <w:rtl/>
        </w:rPr>
        <w:t xml:space="preserve">: </w:t>
      </w:r>
      <w:r w:rsidRPr="002252CD">
        <w:rPr>
          <w:rFonts w:cs="Arial" w:hint="cs"/>
          <w:sz w:val="20"/>
          <w:szCs w:val="20"/>
          <w:rtl/>
        </w:rPr>
        <w:t>קפצה</w:t>
      </w:r>
      <w:r w:rsidRPr="002252CD">
        <w:rPr>
          <w:rFonts w:cs="Arial"/>
          <w:sz w:val="20"/>
          <w:szCs w:val="20"/>
          <w:rtl/>
        </w:rPr>
        <w:t xml:space="preserve"> </w:t>
      </w:r>
      <w:r w:rsidRPr="002252CD">
        <w:rPr>
          <w:rFonts w:cs="Arial" w:hint="cs"/>
          <w:sz w:val="20"/>
          <w:szCs w:val="20"/>
          <w:rtl/>
        </w:rPr>
        <w:t>וראתה</w:t>
      </w:r>
      <w:r w:rsidRPr="002252CD">
        <w:rPr>
          <w:rFonts w:cs="Arial"/>
          <w:sz w:val="20"/>
          <w:szCs w:val="20"/>
          <w:rtl/>
        </w:rPr>
        <w:t xml:space="preserve">, </w:t>
      </w:r>
      <w:r w:rsidRPr="002252CD">
        <w:rPr>
          <w:rFonts w:cs="Arial" w:hint="cs"/>
          <w:sz w:val="20"/>
          <w:szCs w:val="20"/>
          <w:rtl/>
        </w:rPr>
        <w:t>קפצה</w:t>
      </w:r>
      <w:r w:rsidRPr="002252CD">
        <w:rPr>
          <w:rFonts w:cs="Arial"/>
          <w:sz w:val="20"/>
          <w:szCs w:val="20"/>
          <w:rtl/>
        </w:rPr>
        <w:t xml:space="preserve"> </w:t>
      </w:r>
      <w:r w:rsidRPr="002252CD">
        <w:rPr>
          <w:rFonts w:cs="Arial" w:hint="cs"/>
          <w:sz w:val="20"/>
          <w:szCs w:val="20"/>
          <w:rtl/>
        </w:rPr>
        <w:t>וראתה</w:t>
      </w:r>
      <w:r w:rsidRPr="002252CD">
        <w:rPr>
          <w:rFonts w:cs="Arial"/>
          <w:sz w:val="20"/>
          <w:szCs w:val="20"/>
          <w:rtl/>
        </w:rPr>
        <w:t xml:space="preserve">, </w:t>
      </w:r>
      <w:r w:rsidRPr="002252CD">
        <w:rPr>
          <w:rFonts w:cs="Arial" w:hint="cs"/>
          <w:sz w:val="20"/>
          <w:szCs w:val="20"/>
          <w:rtl/>
        </w:rPr>
        <w:t>קפצה</w:t>
      </w:r>
      <w:r w:rsidRPr="002252CD">
        <w:rPr>
          <w:rFonts w:cs="Arial"/>
          <w:sz w:val="20"/>
          <w:szCs w:val="20"/>
          <w:rtl/>
        </w:rPr>
        <w:t xml:space="preserve"> </w:t>
      </w:r>
      <w:r w:rsidRPr="002252CD">
        <w:rPr>
          <w:rFonts w:cs="Arial" w:hint="cs"/>
          <w:sz w:val="20"/>
          <w:szCs w:val="20"/>
          <w:rtl/>
        </w:rPr>
        <w:t>וראתה</w:t>
      </w:r>
      <w:r w:rsidRPr="002252CD">
        <w:rPr>
          <w:rFonts w:cs="Arial"/>
          <w:sz w:val="20"/>
          <w:szCs w:val="20"/>
          <w:rtl/>
        </w:rPr>
        <w:t xml:space="preserve"> - </w:t>
      </w:r>
      <w:r w:rsidRPr="002252CD">
        <w:rPr>
          <w:rFonts w:cs="Arial" w:hint="cs"/>
          <w:sz w:val="20"/>
          <w:szCs w:val="20"/>
          <w:rtl/>
        </w:rPr>
        <w:t>קבעה</w:t>
      </w:r>
      <w:r w:rsidRPr="002252CD">
        <w:rPr>
          <w:rFonts w:cs="Arial"/>
          <w:sz w:val="20"/>
          <w:szCs w:val="20"/>
          <w:rtl/>
        </w:rPr>
        <w:t xml:space="preserve"> </w:t>
      </w:r>
      <w:r w:rsidRPr="002252CD">
        <w:rPr>
          <w:rFonts w:cs="Arial" w:hint="cs"/>
          <w:sz w:val="20"/>
          <w:szCs w:val="20"/>
          <w:rtl/>
        </w:rPr>
        <w:t>לה</w:t>
      </w:r>
      <w:r w:rsidRPr="002252CD">
        <w:rPr>
          <w:rFonts w:cs="Arial"/>
          <w:sz w:val="20"/>
          <w:szCs w:val="20"/>
          <w:rtl/>
        </w:rPr>
        <w:t xml:space="preserve"> </w:t>
      </w:r>
      <w:r w:rsidRPr="002252CD">
        <w:rPr>
          <w:rFonts w:cs="Arial" w:hint="cs"/>
          <w:sz w:val="20"/>
          <w:szCs w:val="20"/>
          <w:rtl/>
        </w:rPr>
        <w:t>וסת</w:t>
      </w:r>
      <w:r w:rsidRPr="002252CD">
        <w:rPr>
          <w:rFonts w:cs="Arial"/>
          <w:sz w:val="20"/>
          <w:szCs w:val="20"/>
          <w:rtl/>
        </w:rPr>
        <w:t xml:space="preserve">. </w:t>
      </w:r>
      <w:r w:rsidRPr="002252CD">
        <w:rPr>
          <w:rFonts w:cs="Arial" w:hint="cs"/>
          <w:sz w:val="20"/>
          <w:szCs w:val="20"/>
          <w:rtl/>
        </w:rPr>
        <w:t>למאי</w:t>
      </w:r>
      <w:r w:rsidRPr="002252CD">
        <w:rPr>
          <w:rFonts w:cs="Arial"/>
          <w:sz w:val="20"/>
          <w:szCs w:val="20"/>
          <w:rtl/>
        </w:rPr>
        <w:t xml:space="preserve">? </w:t>
      </w:r>
      <w:r w:rsidRPr="002252CD">
        <w:rPr>
          <w:rFonts w:cs="Arial" w:hint="cs"/>
          <w:sz w:val="20"/>
          <w:szCs w:val="20"/>
          <w:rtl/>
        </w:rPr>
        <w:t>אילימא</w:t>
      </w:r>
      <w:r w:rsidRPr="002252CD">
        <w:rPr>
          <w:rFonts w:cs="Arial"/>
          <w:sz w:val="20"/>
          <w:szCs w:val="20"/>
          <w:rtl/>
        </w:rPr>
        <w:t xml:space="preserve"> </w:t>
      </w:r>
      <w:r w:rsidRPr="002252CD">
        <w:rPr>
          <w:rFonts w:cs="Arial" w:hint="cs"/>
          <w:sz w:val="20"/>
          <w:szCs w:val="20"/>
          <w:rtl/>
        </w:rPr>
        <w:t>לימים</w:t>
      </w:r>
      <w:r w:rsidRPr="002252CD">
        <w:rPr>
          <w:rFonts w:cs="Arial"/>
          <w:sz w:val="20"/>
          <w:szCs w:val="20"/>
          <w:rtl/>
        </w:rPr>
        <w:t xml:space="preserve"> - </w:t>
      </w:r>
      <w:r w:rsidRPr="002252CD">
        <w:rPr>
          <w:rFonts w:cs="Arial" w:hint="cs"/>
          <w:sz w:val="20"/>
          <w:szCs w:val="20"/>
          <w:rtl/>
        </w:rPr>
        <w:t>הא</w:t>
      </w:r>
      <w:r w:rsidRPr="002252CD">
        <w:rPr>
          <w:rFonts w:cs="Arial"/>
          <w:sz w:val="20"/>
          <w:szCs w:val="20"/>
          <w:rtl/>
        </w:rPr>
        <w:t xml:space="preserve"> </w:t>
      </w:r>
      <w:r w:rsidRPr="002252CD">
        <w:rPr>
          <w:rFonts w:cs="Arial" w:hint="cs"/>
          <w:sz w:val="20"/>
          <w:szCs w:val="20"/>
          <w:rtl/>
        </w:rPr>
        <w:t>כל</w:t>
      </w:r>
      <w:r w:rsidRPr="002252CD">
        <w:rPr>
          <w:rFonts w:cs="Arial"/>
          <w:sz w:val="20"/>
          <w:szCs w:val="20"/>
          <w:rtl/>
        </w:rPr>
        <w:t xml:space="preserve"> </w:t>
      </w:r>
      <w:r w:rsidRPr="002252CD">
        <w:rPr>
          <w:rFonts w:cs="Arial" w:hint="cs"/>
          <w:sz w:val="20"/>
          <w:szCs w:val="20"/>
          <w:rtl/>
        </w:rPr>
        <w:t>יומא</w:t>
      </w:r>
      <w:r w:rsidRPr="002252CD">
        <w:rPr>
          <w:rFonts w:cs="Arial"/>
          <w:sz w:val="20"/>
          <w:szCs w:val="20"/>
          <w:rtl/>
        </w:rPr>
        <w:t xml:space="preserve"> </w:t>
      </w:r>
      <w:r w:rsidRPr="002252CD">
        <w:rPr>
          <w:rFonts w:cs="Arial" w:hint="cs"/>
          <w:sz w:val="20"/>
          <w:szCs w:val="20"/>
          <w:rtl/>
        </w:rPr>
        <w:t>דלא</w:t>
      </w:r>
      <w:r w:rsidRPr="002252CD">
        <w:rPr>
          <w:rFonts w:cs="Arial"/>
          <w:sz w:val="20"/>
          <w:szCs w:val="20"/>
          <w:rtl/>
        </w:rPr>
        <w:t xml:space="preserve"> </w:t>
      </w:r>
      <w:r w:rsidRPr="002252CD">
        <w:rPr>
          <w:rFonts w:cs="Arial" w:hint="cs"/>
          <w:sz w:val="20"/>
          <w:szCs w:val="20"/>
          <w:rtl/>
        </w:rPr>
        <w:t>קפיץ</w:t>
      </w:r>
      <w:r w:rsidRPr="002252CD">
        <w:rPr>
          <w:rFonts w:cs="Arial"/>
          <w:sz w:val="20"/>
          <w:szCs w:val="20"/>
          <w:rtl/>
        </w:rPr>
        <w:t xml:space="preserve"> </w:t>
      </w:r>
      <w:r w:rsidRPr="002252CD">
        <w:rPr>
          <w:rFonts w:cs="Arial" w:hint="cs"/>
          <w:sz w:val="20"/>
          <w:szCs w:val="20"/>
          <w:rtl/>
        </w:rPr>
        <w:t>לא</w:t>
      </w:r>
      <w:r w:rsidRPr="002252CD">
        <w:rPr>
          <w:rFonts w:cs="Arial"/>
          <w:sz w:val="20"/>
          <w:szCs w:val="20"/>
          <w:rtl/>
        </w:rPr>
        <w:t xml:space="preserve"> </w:t>
      </w:r>
      <w:r w:rsidRPr="002252CD">
        <w:rPr>
          <w:rFonts w:cs="Arial" w:hint="cs"/>
          <w:sz w:val="20"/>
          <w:szCs w:val="20"/>
          <w:rtl/>
        </w:rPr>
        <w:t>חזאי</w:t>
      </w:r>
      <w:r w:rsidRPr="002252CD">
        <w:rPr>
          <w:rFonts w:cs="Arial"/>
          <w:sz w:val="20"/>
          <w:szCs w:val="20"/>
          <w:rtl/>
        </w:rPr>
        <w:t xml:space="preserve">! </w:t>
      </w:r>
      <w:r w:rsidRPr="002252CD">
        <w:rPr>
          <w:rFonts w:cs="Arial" w:hint="cs"/>
          <w:sz w:val="20"/>
          <w:szCs w:val="20"/>
          <w:rtl/>
        </w:rPr>
        <w:t>אלא</w:t>
      </w:r>
      <w:r w:rsidRPr="002252CD">
        <w:rPr>
          <w:rFonts w:cs="Arial"/>
          <w:sz w:val="20"/>
          <w:szCs w:val="20"/>
          <w:rtl/>
        </w:rPr>
        <w:t xml:space="preserve"> </w:t>
      </w:r>
      <w:r w:rsidRPr="002252CD">
        <w:rPr>
          <w:rFonts w:cs="Arial" w:hint="cs"/>
          <w:sz w:val="20"/>
          <w:szCs w:val="20"/>
          <w:rtl/>
        </w:rPr>
        <w:t>לקפיצות</w:t>
      </w:r>
      <w:r w:rsidRPr="002252CD">
        <w:rPr>
          <w:rFonts w:cs="Arial"/>
          <w:sz w:val="20"/>
          <w:szCs w:val="20"/>
          <w:rtl/>
        </w:rPr>
        <w:t xml:space="preserve">, </w:t>
      </w:r>
      <w:r w:rsidRPr="002252CD">
        <w:rPr>
          <w:rFonts w:cs="Arial" w:hint="cs"/>
          <w:sz w:val="20"/>
          <w:szCs w:val="20"/>
          <w:rtl/>
        </w:rPr>
        <w:t>והתניא</w:t>
      </w:r>
      <w:r w:rsidRPr="002252CD">
        <w:rPr>
          <w:rFonts w:cs="Arial"/>
          <w:sz w:val="20"/>
          <w:szCs w:val="20"/>
          <w:rtl/>
        </w:rPr>
        <w:t xml:space="preserve">: </w:t>
      </w:r>
      <w:r w:rsidRPr="002252CD">
        <w:rPr>
          <w:rFonts w:cs="Arial" w:hint="cs"/>
          <w:sz w:val="20"/>
          <w:szCs w:val="20"/>
          <w:rtl/>
        </w:rPr>
        <w:t>כל</w:t>
      </w:r>
      <w:r w:rsidRPr="002252CD">
        <w:rPr>
          <w:rFonts w:cs="Arial"/>
          <w:sz w:val="20"/>
          <w:szCs w:val="20"/>
          <w:rtl/>
        </w:rPr>
        <w:t xml:space="preserve"> </w:t>
      </w:r>
      <w:r w:rsidRPr="002252CD">
        <w:rPr>
          <w:rFonts w:cs="Arial" w:hint="cs"/>
          <w:sz w:val="20"/>
          <w:szCs w:val="20"/>
          <w:rtl/>
        </w:rPr>
        <w:t>שתקבענה</w:t>
      </w:r>
      <w:r w:rsidRPr="002252CD">
        <w:rPr>
          <w:rFonts w:cs="Arial"/>
          <w:sz w:val="20"/>
          <w:szCs w:val="20"/>
          <w:rtl/>
        </w:rPr>
        <w:t xml:space="preserve"> </w:t>
      </w:r>
      <w:r w:rsidRPr="002252CD">
        <w:rPr>
          <w:rFonts w:cs="Arial" w:hint="cs"/>
          <w:sz w:val="20"/>
          <w:szCs w:val="20"/>
          <w:rtl/>
        </w:rPr>
        <w:t>מחמת</w:t>
      </w:r>
      <w:r w:rsidRPr="002252CD">
        <w:rPr>
          <w:rFonts w:cs="Arial"/>
          <w:sz w:val="20"/>
          <w:szCs w:val="20"/>
          <w:rtl/>
        </w:rPr>
        <w:t xml:space="preserve"> </w:t>
      </w:r>
      <w:r w:rsidRPr="002252CD">
        <w:rPr>
          <w:rFonts w:cs="Arial" w:hint="cs"/>
          <w:sz w:val="20"/>
          <w:szCs w:val="20"/>
          <w:rtl/>
        </w:rPr>
        <w:t>אונס</w:t>
      </w:r>
      <w:r w:rsidRPr="002252CD">
        <w:rPr>
          <w:rFonts w:cs="Arial"/>
          <w:sz w:val="20"/>
          <w:szCs w:val="20"/>
          <w:rtl/>
        </w:rPr>
        <w:t xml:space="preserve"> - </w:t>
      </w:r>
      <w:r w:rsidRPr="002252CD">
        <w:rPr>
          <w:rFonts w:cs="Arial" w:hint="cs"/>
          <w:sz w:val="20"/>
          <w:szCs w:val="20"/>
          <w:rtl/>
        </w:rPr>
        <w:t>אפילו</w:t>
      </w:r>
      <w:r w:rsidRPr="002252CD">
        <w:rPr>
          <w:rFonts w:cs="Arial"/>
          <w:sz w:val="20"/>
          <w:szCs w:val="20"/>
          <w:rtl/>
        </w:rPr>
        <w:t xml:space="preserve"> </w:t>
      </w:r>
      <w:r w:rsidRPr="002252CD">
        <w:rPr>
          <w:rFonts w:cs="Arial" w:hint="cs"/>
          <w:sz w:val="20"/>
          <w:szCs w:val="20"/>
          <w:rtl/>
        </w:rPr>
        <w:t>כמה</w:t>
      </w:r>
      <w:r w:rsidRPr="002252CD">
        <w:rPr>
          <w:rFonts w:cs="Arial"/>
          <w:sz w:val="20"/>
          <w:szCs w:val="20"/>
          <w:rtl/>
        </w:rPr>
        <w:t xml:space="preserve"> </w:t>
      </w:r>
      <w:r w:rsidRPr="002252CD">
        <w:rPr>
          <w:rFonts w:cs="Arial" w:hint="cs"/>
          <w:sz w:val="20"/>
          <w:szCs w:val="20"/>
          <w:rtl/>
        </w:rPr>
        <w:t>פעמים</w:t>
      </w:r>
      <w:r w:rsidRPr="002252CD">
        <w:rPr>
          <w:rFonts w:cs="Arial"/>
          <w:sz w:val="20"/>
          <w:szCs w:val="20"/>
          <w:rtl/>
        </w:rPr>
        <w:t xml:space="preserve"> </w:t>
      </w:r>
      <w:r w:rsidRPr="002252CD">
        <w:rPr>
          <w:rFonts w:cs="Arial" w:hint="cs"/>
          <w:sz w:val="20"/>
          <w:szCs w:val="20"/>
          <w:rtl/>
        </w:rPr>
        <w:t>לא</w:t>
      </w:r>
      <w:r w:rsidRPr="002252CD">
        <w:rPr>
          <w:rFonts w:cs="Arial"/>
          <w:sz w:val="20"/>
          <w:szCs w:val="20"/>
          <w:rtl/>
        </w:rPr>
        <w:t xml:space="preserve"> </w:t>
      </w:r>
      <w:r w:rsidRPr="002252CD">
        <w:rPr>
          <w:rFonts w:cs="Arial" w:hint="cs"/>
          <w:sz w:val="20"/>
          <w:szCs w:val="20"/>
          <w:rtl/>
        </w:rPr>
        <w:t>קבעה</w:t>
      </w:r>
      <w:r w:rsidRPr="002252CD">
        <w:rPr>
          <w:rFonts w:cs="Arial"/>
          <w:sz w:val="20"/>
          <w:szCs w:val="20"/>
          <w:rtl/>
        </w:rPr>
        <w:t xml:space="preserve"> </w:t>
      </w:r>
      <w:r w:rsidRPr="002252CD">
        <w:rPr>
          <w:rFonts w:cs="Arial" w:hint="cs"/>
          <w:sz w:val="20"/>
          <w:szCs w:val="20"/>
          <w:rtl/>
        </w:rPr>
        <w:t>וסת</w:t>
      </w:r>
      <w:r w:rsidRPr="002252CD">
        <w:rPr>
          <w:rFonts w:cs="Arial"/>
          <w:sz w:val="20"/>
          <w:szCs w:val="20"/>
          <w:rtl/>
        </w:rPr>
        <w:t xml:space="preserve">! </w:t>
      </w:r>
      <w:r w:rsidRPr="002252CD">
        <w:rPr>
          <w:rFonts w:cs="Arial" w:hint="cs"/>
          <w:sz w:val="20"/>
          <w:szCs w:val="20"/>
          <w:rtl/>
        </w:rPr>
        <w:t>מאי</w:t>
      </w:r>
      <w:r w:rsidRPr="002252CD">
        <w:rPr>
          <w:rFonts w:cs="Arial"/>
          <w:sz w:val="20"/>
          <w:szCs w:val="20"/>
          <w:rtl/>
        </w:rPr>
        <w:t xml:space="preserve"> </w:t>
      </w:r>
      <w:r w:rsidRPr="002252CD">
        <w:rPr>
          <w:rFonts w:cs="Arial" w:hint="cs"/>
          <w:sz w:val="20"/>
          <w:szCs w:val="20"/>
          <w:rtl/>
        </w:rPr>
        <w:t>לאו</w:t>
      </w:r>
      <w:r w:rsidRPr="002252CD">
        <w:rPr>
          <w:rFonts w:cs="Arial"/>
          <w:sz w:val="20"/>
          <w:szCs w:val="20"/>
          <w:rtl/>
        </w:rPr>
        <w:t xml:space="preserve"> - </w:t>
      </w:r>
      <w:r w:rsidRPr="002252CD">
        <w:rPr>
          <w:rFonts w:cs="Arial" w:hint="cs"/>
          <w:sz w:val="20"/>
          <w:szCs w:val="20"/>
          <w:rtl/>
        </w:rPr>
        <w:t>לא</w:t>
      </w:r>
      <w:r w:rsidRPr="002252CD">
        <w:rPr>
          <w:rFonts w:cs="Arial"/>
          <w:sz w:val="20"/>
          <w:szCs w:val="20"/>
          <w:rtl/>
        </w:rPr>
        <w:t xml:space="preserve"> </w:t>
      </w:r>
      <w:r w:rsidRPr="002252CD">
        <w:rPr>
          <w:rFonts w:cs="Arial" w:hint="cs"/>
          <w:sz w:val="20"/>
          <w:szCs w:val="20"/>
          <w:rtl/>
        </w:rPr>
        <w:t>קבעה</w:t>
      </w:r>
      <w:r w:rsidRPr="002252CD">
        <w:rPr>
          <w:rFonts w:cs="Arial"/>
          <w:sz w:val="20"/>
          <w:szCs w:val="20"/>
          <w:rtl/>
        </w:rPr>
        <w:t xml:space="preserve"> </w:t>
      </w:r>
      <w:r w:rsidRPr="002252CD">
        <w:rPr>
          <w:rFonts w:cs="Arial" w:hint="cs"/>
          <w:sz w:val="20"/>
          <w:szCs w:val="20"/>
          <w:rtl/>
        </w:rPr>
        <w:t>וסת</w:t>
      </w:r>
      <w:r w:rsidRPr="002252CD">
        <w:rPr>
          <w:rFonts w:cs="Arial"/>
          <w:sz w:val="20"/>
          <w:szCs w:val="20"/>
          <w:rtl/>
        </w:rPr>
        <w:t xml:space="preserve"> </w:t>
      </w:r>
      <w:r w:rsidRPr="002252CD">
        <w:rPr>
          <w:rFonts w:cs="Arial" w:hint="cs"/>
          <w:sz w:val="20"/>
          <w:szCs w:val="20"/>
          <w:rtl/>
        </w:rPr>
        <w:t>כלל</w:t>
      </w:r>
      <w:r w:rsidRPr="002252CD">
        <w:rPr>
          <w:rFonts w:cs="Arial"/>
          <w:sz w:val="20"/>
          <w:szCs w:val="20"/>
          <w:rtl/>
        </w:rPr>
        <w:t xml:space="preserve">! </w:t>
      </w:r>
      <w:r w:rsidRPr="002252CD">
        <w:rPr>
          <w:rFonts w:cs="Arial" w:hint="cs"/>
          <w:sz w:val="20"/>
          <w:szCs w:val="20"/>
          <w:rtl/>
        </w:rPr>
        <w:t>לא</w:t>
      </w:r>
      <w:r w:rsidRPr="002252CD">
        <w:rPr>
          <w:rFonts w:cs="Arial"/>
          <w:sz w:val="20"/>
          <w:szCs w:val="20"/>
          <w:rtl/>
        </w:rPr>
        <w:t xml:space="preserve">, </w:t>
      </w:r>
      <w:r w:rsidRPr="002252CD">
        <w:rPr>
          <w:rFonts w:cs="Arial" w:hint="cs"/>
          <w:sz w:val="20"/>
          <w:szCs w:val="20"/>
          <w:rtl/>
        </w:rPr>
        <w:t>לא</w:t>
      </w:r>
      <w:r w:rsidRPr="002252CD">
        <w:rPr>
          <w:rFonts w:cs="Arial"/>
          <w:sz w:val="20"/>
          <w:szCs w:val="20"/>
          <w:rtl/>
        </w:rPr>
        <w:t xml:space="preserve"> </w:t>
      </w:r>
      <w:r w:rsidRPr="002252CD">
        <w:rPr>
          <w:rFonts w:cs="Arial" w:hint="cs"/>
          <w:sz w:val="20"/>
          <w:szCs w:val="20"/>
          <w:rtl/>
        </w:rPr>
        <w:t>קבעה</w:t>
      </w:r>
      <w:r w:rsidRPr="002252CD">
        <w:rPr>
          <w:rFonts w:cs="Arial"/>
          <w:sz w:val="20"/>
          <w:szCs w:val="20"/>
          <w:rtl/>
        </w:rPr>
        <w:t xml:space="preserve"> </w:t>
      </w:r>
      <w:r w:rsidRPr="002252CD">
        <w:rPr>
          <w:rFonts w:cs="Arial" w:hint="cs"/>
          <w:sz w:val="20"/>
          <w:szCs w:val="20"/>
          <w:rtl/>
        </w:rPr>
        <w:t>וסת</w:t>
      </w:r>
      <w:r w:rsidRPr="002252CD">
        <w:rPr>
          <w:rFonts w:cs="Arial"/>
          <w:sz w:val="20"/>
          <w:szCs w:val="20"/>
          <w:rtl/>
        </w:rPr>
        <w:t xml:space="preserve"> </w:t>
      </w:r>
      <w:r w:rsidRPr="002252CD">
        <w:rPr>
          <w:rFonts w:cs="Arial" w:hint="cs"/>
          <w:sz w:val="20"/>
          <w:szCs w:val="20"/>
          <w:rtl/>
        </w:rPr>
        <w:t>לימים</w:t>
      </w:r>
      <w:r w:rsidRPr="002252CD">
        <w:rPr>
          <w:rFonts w:cs="Arial"/>
          <w:sz w:val="20"/>
          <w:szCs w:val="20"/>
          <w:rtl/>
        </w:rPr>
        <w:t xml:space="preserve"> </w:t>
      </w:r>
      <w:r w:rsidRPr="002252CD">
        <w:rPr>
          <w:rFonts w:cs="Arial" w:hint="cs"/>
          <w:sz w:val="20"/>
          <w:szCs w:val="20"/>
          <w:rtl/>
        </w:rPr>
        <w:t>לחודייהו</w:t>
      </w:r>
      <w:r w:rsidRPr="002252CD">
        <w:rPr>
          <w:rFonts w:cs="Arial"/>
          <w:sz w:val="20"/>
          <w:szCs w:val="20"/>
          <w:rtl/>
        </w:rPr>
        <w:t xml:space="preserve"> </w:t>
      </w:r>
      <w:r w:rsidRPr="002252CD">
        <w:rPr>
          <w:rFonts w:cs="Arial" w:hint="cs"/>
          <w:sz w:val="20"/>
          <w:szCs w:val="20"/>
          <w:rtl/>
        </w:rPr>
        <w:t>ולקפיצות</w:t>
      </w:r>
      <w:r w:rsidRPr="002252CD">
        <w:rPr>
          <w:rFonts w:cs="Arial"/>
          <w:sz w:val="20"/>
          <w:szCs w:val="20"/>
          <w:rtl/>
        </w:rPr>
        <w:t xml:space="preserve"> </w:t>
      </w:r>
      <w:r w:rsidRPr="002252CD">
        <w:rPr>
          <w:rFonts w:cs="Arial" w:hint="cs"/>
          <w:sz w:val="20"/>
          <w:szCs w:val="20"/>
          <w:rtl/>
        </w:rPr>
        <w:t>לחודייהו</w:t>
      </w:r>
      <w:r w:rsidRPr="002252CD">
        <w:rPr>
          <w:rFonts w:cs="Arial"/>
          <w:sz w:val="20"/>
          <w:szCs w:val="20"/>
          <w:rtl/>
        </w:rPr>
        <w:t xml:space="preserve">, </w:t>
      </w:r>
      <w:r w:rsidRPr="002252CD">
        <w:rPr>
          <w:rFonts w:cs="Arial" w:hint="cs"/>
          <w:sz w:val="20"/>
          <w:szCs w:val="20"/>
          <w:rtl/>
        </w:rPr>
        <w:t>אבל</w:t>
      </w:r>
      <w:r w:rsidRPr="002252CD">
        <w:rPr>
          <w:rFonts w:cs="Arial"/>
          <w:sz w:val="20"/>
          <w:szCs w:val="20"/>
          <w:rtl/>
        </w:rPr>
        <w:t xml:space="preserve"> </w:t>
      </w:r>
      <w:r w:rsidRPr="002252CD">
        <w:rPr>
          <w:rFonts w:cs="Arial" w:hint="cs"/>
          <w:sz w:val="20"/>
          <w:szCs w:val="20"/>
          <w:rtl/>
        </w:rPr>
        <w:t>קבעה</w:t>
      </w:r>
      <w:r w:rsidRPr="002252CD">
        <w:rPr>
          <w:rFonts w:cs="Arial"/>
          <w:sz w:val="20"/>
          <w:szCs w:val="20"/>
          <w:rtl/>
        </w:rPr>
        <w:t xml:space="preserve"> </w:t>
      </w:r>
      <w:r w:rsidRPr="002252CD">
        <w:rPr>
          <w:rFonts w:cs="Arial" w:hint="cs"/>
          <w:sz w:val="20"/>
          <w:szCs w:val="20"/>
          <w:rtl/>
        </w:rPr>
        <w:t>לה</w:t>
      </w:r>
      <w:r w:rsidRPr="002252CD">
        <w:rPr>
          <w:rFonts w:cs="Arial"/>
          <w:sz w:val="20"/>
          <w:szCs w:val="20"/>
          <w:rtl/>
        </w:rPr>
        <w:t xml:space="preserve"> </w:t>
      </w:r>
      <w:r w:rsidRPr="002252CD">
        <w:rPr>
          <w:rFonts w:cs="Arial" w:hint="cs"/>
          <w:sz w:val="20"/>
          <w:szCs w:val="20"/>
          <w:rtl/>
        </w:rPr>
        <w:t>וסת</w:t>
      </w:r>
      <w:r w:rsidRPr="002252CD">
        <w:rPr>
          <w:rFonts w:cs="Arial"/>
          <w:sz w:val="20"/>
          <w:szCs w:val="20"/>
          <w:rtl/>
        </w:rPr>
        <w:t xml:space="preserve"> </w:t>
      </w:r>
      <w:r w:rsidRPr="002252CD">
        <w:rPr>
          <w:rFonts w:cs="Arial" w:hint="cs"/>
          <w:sz w:val="20"/>
          <w:szCs w:val="20"/>
          <w:rtl/>
        </w:rPr>
        <w:t>לימים</w:t>
      </w:r>
      <w:r w:rsidRPr="002252CD">
        <w:rPr>
          <w:rFonts w:cs="Arial"/>
          <w:sz w:val="20"/>
          <w:szCs w:val="20"/>
          <w:rtl/>
        </w:rPr>
        <w:t xml:space="preserve"> </w:t>
      </w:r>
      <w:r w:rsidRPr="002252CD">
        <w:rPr>
          <w:rFonts w:cs="Arial" w:hint="cs"/>
          <w:sz w:val="20"/>
          <w:szCs w:val="20"/>
          <w:rtl/>
        </w:rPr>
        <w:t>ולקפיצות</w:t>
      </w:r>
      <w:r w:rsidRPr="002252CD">
        <w:rPr>
          <w:rFonts w:cs="Arial"/>
          <w:sz w:val="20"/>
          <w:szCs w:val="20"/>
          <w:rtl/>
        </w:rPr>
        <w:t xml:space="preserve">. </w:t>
      </w:r>
      <w:r w:rsidRPr="002252CD">
        <w:rPr>
          <w:rFonts w:cs="Arial" w:hint="cs"/>
          <w:sz w:val="20"/>
          <w:szCs w:val="20"/>
          <w:rtl/>
        </w:rPr>
        <w:t>לימים</w:t>
      </w:r>
      <w:r w:rsidRPr="002252CD">
        <w:rPr>
          <w:rFonts w:cs="Arial"/>
          <w:sz w:val="20"/>
          <w:szCs w:val="20"/>
          <w:rtl/>
        </w:rPr>
        <w:t xml:space="preserve"> </w:t>
      </w:r>
      <w:r w:rsidRPr="002252CD">
        <w:rPr>
          <w:rFonts w:cs="Arial" w:hint="cs"/>
          <w:sz w:val="20"/>
          <w:szCs w:val="20"/>
          <w:rtl/>
        </w:rPr>
        <w:t>לחודייהו</w:t>
      </w:r>
      <w:r w:rsidRPr="002252CD">
        <w:rPr>
          <w:rFonts w:cs="Arial"/>
          <w:sz w:val="20"/>
          <w:szCs w:val="20"/>
          <w:rtl/>
        </w:rPr>
        <w:t xml:space="preserve"> </w:t>
      </w:r>
      <w:r w:rsidRPr="002252CD">
        <w:rPr>
          <w:rFonts w:cs="Arial" w:hint="cs"/>
          <w:sz w:val="20"/>
          <w:szCs w:val="20"/>
          <w:rtl/>
        </w:rPr>
        <w:t>פשיטא</w:t>
      </w:r>
      <w:r w:rsidRPr="002252CD">
        <w:rPr>
          <w:rFonts w:cs="Arial"/>
          <w:sz w:val="20"/>
          <w:szCs w:val="20"/>
          <w:rtl/>
        </w:rPr>
        <w:t>!</w:t>
      </w:r>
      <w:r>
        <w:rPr>
          <w:rFonts w:cs="Arial" w:hint="cs"/>
          <w:sz w:val="20"/>
          <w:szCs w:val="20"/>
          <w:rtl/>
        </w:rPr>
        <w:t>..."</w:t>
      </w:r>
    </w:p>
    <w:p w:rsidR="00620060" w:rsidRDefault="00620060" w:rsidP="00620060">
      <w:pPr>
        <w:rPr>
          <w:sz w:val="20"/>
          <w:szCs w:val="20"/>
          <w:rtl/>
        </w:rPr>
      </w:pPr>
      <w:r w:rsidRPr="0093580C">
        <w:rPr>
          <w:rFonts w:hint="cs"/>
          <w:b/>
          <w:bCs/>
          <w:sz w:val="20"/>
          <w:szCs w:val="20"/>
          <w:rtl/>
        </w:rPr>
        <w:t>שיטות הראשונים</w:t>
      </w:r>
      <w:r>
        <w:rPr>
          <w:sz w:val="20"/>
          <w:szCs w:val="20"/>
          <w:u w:val="single"/>
          <w:rtl/>
        </w:rPr>
        <w:br/>
      </w:r>
      <w:r w:rsidRPr="002252CD">
        <w:rPr>
          <w:rFonts w:hint="cs"/>
          <w:sz w:val="20"/>
          <w:szCs w:val="20"/>
          <w:rtl/>
        </w:rPr>
        <w:t>האם אשה קובעת ווסת לקפיצה</w:t>
      </w:r>
      <w:r>
        <w:rPr>
          <w:rFonts w:hint="cs"/>
          <w:sz w:val="20"/>
          <w:szCs w:val="20"/>
          <w:rtl/>
        </w:rPr>
        <w:t xml:space="preserve"> בלבד</w:t>
      </w:r>
      <w:r w:rsidRPr="002252CD">
        <w:rPr>
          <w:rFonts w:hint="cs"/>
          <w:sz w:val="20"/>
          <w:szCs w:val="20"/>
          <w:rtl/>
        </w:rPr>
        <w:t>?</w:t>
      </w:r>
      <w:r>
        <w:rPr>
          <w:sz w:val="20"/>
          <w:szCs w:val="20"/>
          <w:rtl/>
        </w:rPr>
        <w:br/>
      </w:r>
      <w:r>
        <w:rPr>
          <w:rFonts w:hint="cs"/>
          <w:sz w:val="20"/>
          <w:szCs w:val="20"/>
          <w:rtl/>
        </w:rPr>
        <w:t xml:space="preserve">א. </w:t>
      </w:r>
      <w:r w:rsidRPr="002252CD">
        <w:rPr>
          <w:rFonts w:hint="cs"/>
          <w:b/>
          <w:bCs/>
          <w:sz w:val="20"/>
          <w:szCs w:val="20"/>
          <w:rtl/>
        </w:rPr>
        <w:t>רש"י</w:t>
      </w:r>
      <w:r>
        <w:rPr>
          <w:rFonts w:hint="cs"/>
          <w:sz w:val="20"/>
          <w:szCs w:val="20"/>
          <w:rtl/>
        </w:rPr>
        <w:t xml:space="preserve">, </w:t>
      </w:r>
      <w:r w:rsidRPr="002252CD">
        <w:rPr>
          <w:rFonts w:hint="cs"/>
          <w:b/>
          <w:bCs/>
          <w:sz w:val="20"/>
          <w:szCs w:val="20"/>
          <w:rtl/>
        </w:rPr>
        <w:t>רז"ה וטור</w:t>
      </w:r>
      <w:r>
        <w:rPr>
          <w:rFonts w:hint="cs"/>
          <w:sz w:val="20"/>
          <w:szCs w:val="20"/>
          <w:rtl/>
        </w:rPr>
        <w:t xml:space="preserve"> </w:t>
      </w:r>
      <w:r>
        <w:rPr>
          <w:sz w:val="20"/>
          <w:szCs w:val="20"/>
          <w:rtl/>
        </w:rPr>
        <w:t>–</w:t>
      </w:r>
      <w:r>
        <w:rPr>
          <w:rFonts w:hint="cs"/>
          <w:sz w:val="20"/>
          <w:szCs w:val="20"/>
          <w:rtl/>
        </w:rPr>
        <w:t xml:space="preserve"> כן.</w:t>
      </w:r>
      <w:r>
        <w:rPr>
          <w:sz w:val="20"/>
          <w:szCs w:val="20"/>
          <w:rtl/>
        </w:rPr>
        <w:br/>
      </w:r>
      <w:r w:rsidRPr="002252CD">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רב הונא איירי בווסת התלוי בקפיצה בלבד, ולא בווסת המורכב מקפיצה בימים מסויימים.</w:t>
      </w:r>
      <w:r>
        <w:rPr>
          <w:sz w:val="20"/>
          <w:szCs w:val="20"/>
          <w:rtl/>
        </w:rPr>
        <w:br/>
      </w:r>
      <w:r>
        <w:rPr>
          <w:rFonts w:hint="cs"/>
          <w:sz w:val="20"/>
          <w:szCs w:val="20"/>
          <w:rtl/>
        </w:rPr>
        <w:lastRenderedPageBreak/>
        <w:t>ואע"פ שהגמרא העמידה את הברייתא שאינה קובעת ווסת לקפיצה לבד, היינו משום שראתה בימים קבועים ולכן הווסת מורכב מקפיצה וימים, אך רב הונא איירי בקפיצה לחוד וקמ"ל שקובעת.</w:t>
      </w:r>
      <w:r>
        <w:rPr>
          <w:rStyle w:val="a5"/>
          <w:sz w:val="20"/>
          <w:szCs w:val="20"/>
          <w:rtl/>
        </w:rPr>
        <w:footnoteReference w:id="212"/>
      </w:r>
      <w:r>
        <w:rPr>
          <w:sz w:val="20"/>
          <w:szCs w:val="20"/>
          <w:rtl/>
        </w:rPr>
        <w:br/>
      </w:r>
      <w:r>
        <w:rPr>
          <w:rFonts w:hint="cs"/>
          <w:sz w:val="20"/>
          <w:szCs w:val="20"/>
          <w:rtl/>
        </w:rPr>
        <w:t>וכן יש להוכיח זאת מלשון הגמרא שהקשתה על ההסבר בברייתא: "</w:t>
      </w:r>
      <w:r w:rsidRPr="002252CD">
        <w:rPr>
          <w:rFonts w:cs="Arial" w:hint="cs"/>
          <w:sz w:val="20"/>
          <w:szCs w:val="20"/>
          <w:rtl/>
        </w:rPr>
        <w:t>לימים</w:t>
      </w:r>
      <w:r w:rsidRPr="002252CD">
        <w:rPr>
          <w:rFonts w:cs="Arial"/>
          <w:sz w:val="20"/>
          <w:szCs w:val="20"/>
          <w:rtl/>
        </w:rPr>
        <w:t xml:space="preserve"> </w:t>
      </w:r>
      <w:r w:rsidRPr="002252CD">
        <w:rPr>
          <w:rFonts w:cs="Arial" w:hint="cs"/>
          <w:sz w:val="20"/>
          <w:szCs w:val="20"/>
          <w:rtl/>
        </w:rPr>
        <w:t>לחודייהו</w:t>
      </w:r>
      <w:r w:rsidRPr="002252CD">
        <w:rPr>
          <w:rFonts w:cs="Arial"/>
          <w:sz w:val="20"/>
          <w:szCs w:val="20"/>
          <w:rtl/>
        </w:rPr>
        <w:t xml:space="preserve"> </w:t>
      </w:r>
      <w:r w:rsidRPr="002252CD">
        <w:rPr>
          <w:rFonts w:cs="Arial" w:hint="cs"/>
          <w:sz w:val="20"/>
          <w:szCs w:val="20"/>
          <w:rtl/>
        </w:rPr>
        <w:t>פשיטא</w:t>
      </w:r>
      <w:r w:rsidRPr="002252CD">
        <w:rPr>
          <w:rFonts w:cs="Arial"/>
          <w:sz w:val="20"/>
          <w:szCs w:val="20"/>
          <w:rtl/>
        </w:rPr>
        <w:t>!</w:t>
      </w:r>
      <w:r>
        <w:rPr>
          <w:rFonts w:hint="cs"/>
          <w:sz w:val="20"/>
          <w:szCs w:val="20"/>
          <w:rtl/>
        </w:rPr>
        <w:t xml:space="preserve">" ואין מקשים קושייה זאת על קפיצות </w:t>
      </w:r>
      <w:r w:rsidRPr="00587811">
        <w:rPr>
          <w:rFonts w:hint="cs"/>
          <w:sz w:val="18"/>
          <w:szCs w:val="18"/>
          <w:rtl/>
        </w:rPr>
        <w:t>("לקפיצות לחודייהו פשיטא</w:t>
      </w:r>
      <w:r>
        <w:rPr>
          <w:rFonts w:hint="cs"/>
          <w:sz w:val="18"/>
          <w:szCs w:val="18"/>
          <w:rtl/>
        </w:rPr>
        <w:t>"</w:t>
      </w:r>
      <w:r w:rsidRPr="00587811">
        <w:rPr>
          <w:rFonts w:hint="cs"/>
          <w:sz w:val="18"/>
          <w:szCs w:val="18"/>
          <w:rtl/>
        </w:rPr>
        <w:t xml:space="preserve"> </w:t>
      </w:r>
      <w:r w:rsidRPr="00587811">
        <w:rPr>
          <w:rFonts w:hint="cs"/>
          <w:sz w:val="16"/>
          <w:szCs w:val="16"/>
          <w:rtl/>
        </w:rPr>
        <w:t>(שאינה קובעת)</w:t>
      </w:r>
      <w:r w:rsidRPr="00587811">
        <w:rPr>
          <w:rFonts w:hint="cs"/>
          <w:sz w:val="18"/>
          <w:szCs w:val="18"/>
          <w:rtl/>
        </w:rPr>
        <w:t>)</w:t>
      </w:r>
      <w:r>
        <w:rPr>
          <w:rFonts w:hint="cs"/>
          <w:sz w:val="20"/>
          <w:szCs w:val="20"/>
          <w:rtl/>
        </w:rPr>
        <w:t>, על כרחך משום שאין הדבר פשוט כלל ועיקר, כיוון שקפיצה היא עיקר הווסת ובה הדבר תלוי.</w:t>
      </w:r>
      <w:r>
        <w:rPr>
          <w:sz w:val="20"/>
          <w:szCs w:val="20"/>
          <w:rtl/>
        </w:rPr>
        <w:br/>
      </w:r>
      <w:r>
        <w:rPr>
          <w:rFonts w:hint="cs"/>
          <w:sz w:val="20"/>
          <w:szCs w:val="20"/>
          <w:rtl/>
        </w:rPr>
        <w:t>כמו כן יש להוכיח זאת מהגמרא לקמן (טו:) "</w:t>
      </w:r>
      <w:r w:rsidRPr="00587811">
        <w:rPr>
          <w:rFonts w:cs="Arial" w:hint="cs"/>
          <w:sz w:val="20"/>
          <w:szCs w:val="20"/>
          <w:rtl/>
        </w:rPr>
        <w:t>הבאין</w:t>
      </w:r>
      <w:r w:rsidRPr="00587811">
        <w:rPr>
          <w:rFonts w:cs="Arial"/>
          <w:sz w:val="20"/>
          <w:szCs w:val="20"/>
          <w:rtl/>
        </w:rPr>
        <w:t xml:space="preserve"> </w:t>
      </w:r>
      <w:r w:rsidRPr="00587811">
        <w:rPr>
          <w:rFonts w:cs="Arial" w:hint="cs"/>
          <w:sz w:val="20"/>
          <w:szCs w:val="20"/>
          <w:rtl/>
        </w:rPr>
        <w:t>מן</w:t>
      </w:r>
      <w:r w:rsidRPr="00587811">
        <w:rPr>
          <w:rFonts w:cs="Arial"/>
          <w:sz w:val="20"/>
          <w:szCs w:val="20"/>
          <w:rtl/>
        </w:rPr>
        <w:t xml:space="preserve"> </w:t>
      </w:r>
      <w:r w:rsidRPr="00587811">
        <w:rPr>
          <w:rFonts w:cs="Arial" w:hint="cs"/>
          <w:sz w:val="20"/>
          <w:szCs w:val="20"/>
          <w:rtl/>
        </w:rPr>
        <w:t>הדרך</w:t>
      </w:r>
      <w:r w:rsidRPr="00587811">
        <w:rPr>
          <w:rFonts w:cs="Arial"/>
          <w:sz w:val="20"/>
          <w:szCs w:val="20"/>
          <w:rtl/>
        </w:rPr>
        <w:t xml:space="preserve"> - </w:t>
      </w:r>
      <w:r w:rsidRPr="00587811">
        <w:rPr>
          <w:rFonts w:cs="Arial" w:hint="cs"/>
          <w:sz w:val="20"/>
          <w:szCs w:val="20"/>
          <w:rtl/>
        </w:rPr>
        <w:t>נשיהן</w:t>
      </w:r>
      <w:r w:rsidRPr="00587811">
        <w:rPr>
          <w:rFonts w:cs="Arial"/>
          <w:sz w:val="20"/>
          <w:szCs w:val="20"/>
          <w:rtl/>
        </w:rPr>
        <w:t xml:space="preserve"> </w:t>
      </w:r>
      <w:r w:rsidRPr="00587811">
        <w:rPr>
          <w:rFonts w:cs="Arial" w:hint="cs"/>
          <w:sz w:val="20"/>
          <w:szCs w:val="20"/>
          <w:rtl/>
        </w:rPr>
        <w:t>להן</w:t>
      </w:r>
      <w:r w:rsidRPr="00587811">
        <w:rPr>
          <w:rFonts w:cs="Arial"/>
          <w:sz w:val="20"/>
          <w:szCs w:val="20"/>
          <w:rtl/>
        </w:rPr>
        <w:t xml:space="preserve"> </w:t>
      </w:r>
      <w:r w:rsidRPr="00587811">
        <w:rPr>
          <w:rFonts w:cs="Arial" w:hint="cs"/>
          <w:sz w:val="20"/>
          <w:szCs w:val="20"/>
          <w:rtl/>
        </w:rPr>
        <w:t>בחזקת</w:t>
      </w:r>
      <w:r w:rsidRPr="00587811">
        <w:rPr>
          <w:rFonts w:cs="Arial"/>
          <w:sz w:val="20"/>
          <w:szCs w:val="20"/>
          <w:rtl/>
        </w:rPr>
        <w:t xml:space="preserve"> </w:t>
      </w:r>
      <w:r w:rsidRPr="00587811">
        <w:rPr>
          <w:rFonts w:cs="Arial" w:hint="cs"/>
          <w:sz w:val="20"/>
          <w:szCs w:val="20"/>
          <w:rtl/>
        </w:rPr>
        <w:t>טהרה</w:t>
      </w:r>
      <w:r>
        <w:rPr>
          <w:rFonts w:cs="Arial"/>
          <w:sz w:val="20"/>
          <w:szCs w:val="20"/>
          <w:rtl/>
        </w:rPr>
        <w:t>.</w:t>
      </w:r>
      <w:r>
        <w:rPr>
          <w:rFonts w:cs="Arial" w:hint="cs"/>
          <w:sz w:val="20"/>
          <w:szCs w:val="20"/>
          <w:rtl/>
        </w:rPr>
        <w:t xml:space="preserve">.. </w:t>
      </w:r>
      <w:r w:rsidRPr="00587811">
        <w:rPr>
          <w:rFonts w:cs="Arial" w:hint="cs"/>
          <w:sz w:val="20"/>
          <w:szCs w:val="20"/>
          <w:rtl/>
        </w:rPr>
        <w:t>אמר</w:t>
      </w:r>
      <w:r w:rsidRPr="00587811">
        <w:rPr>
          <w:rFonts w:cs="Arial"/>
          <w:sz w:val="20"/>
          <w:szCs w:val="20"/>
          <w:rtl/>
        </w:rPr>
        <w:t xml:space="preserve"> </w:t>
      </w:r>
      <w:r w:rsidRPr="00587811">
        <w:rPr>
          <w:rFonts w:cs="Arial" w:hint="cs"/>
          <w:sz w:val="20"/>
          <w:szCs w:val="20"/>
          <w:rtl/>
        </w:rPr>
        <w:t>רב</w:t>
      </w:r>
      <w:r w:rsidRPr="00587811">
        <w:rPr>
          <w:rFonts w:cs="Arial"/>
          <w:sz w:val="20"/>
          <w:szCs w:val="20"/>
          <w:rtl/>
        </w:rPr>
        <w:t xml:space="preserve"> </w:t>
      </w:r>
      <w:r w:rsidRPr="00587811">
        <w:rPr>
          <w:rFonts w:cs="Arial" w:hint="cs"/>
          <w:sz w:val="20"/>
          <w:szCs w:val="20"/>
          <w:rtl/>
        </w:rPr>
        <w:t>הונא</w:t>
      </w:r>
      <w:r w:rsidRPr="00587811">
        <w:rPr>
          <w:rFonts w:cs="Arial"/>
          <w:sz w:val="20"/>
          <w:szCs w:val="20"/>
          <w:rtl/>
        </w:rPr>
        <w:t>:</w:t>
      </w:r>
      <w:r>
        <w:rPr>
          <w:rFonts w:hint="cs"/>
          <w:rtl/>
        </w:rPr>
        <w:t xml:space="preserve"> </w:t>
      </w:r>
      <w:r w:rsidRPr="00587811">
        <w:rPr>
          <w:rFonts w:cs="Arial" w:hint="cs"/>
          <w:sz w:val="20"/>
          <w:szCs w:val="20"/>
          <w:rtl/>
        </w:rPr>
        <w:t>לא</w:t>
      </w:r>
      <w:r w:rsidRPr="00587811">
        <w:rPr>
          <w:rFonts w:cs="Arial"/>
          <w:sz w:val="20"/>
          <w:szCs w:val="20"/>
          <w:rtl/>
        </w:rPr>
        <w:t xml:space="preserve"> </w:t>
      </w:r>
      <w:r w:rsidRPr="00587811">
        <w:rPr>
          <w:rFonts w:cs="Arial" w:hint="cs"/>
          <w:sz w:val="20"/>
          <w:szCs w:val="20"/>
          <w:rtl/>
        </w:rPr>
        <w:t>שנו</w:t>
      </w:r>
      <w:r w:rsidRPr="00587811">
        <w:rPr>
          <w:rFonts w:cs="Arial"/>
          <w:sz w:val="20"/>
          <w:szCs w:val="20"/>
          <w:rtl/>
        </w:rPr>
        <w:t xml:space="preserve"> </w:t>
      </w:r>
      <w:r w:rsidRPr="00587811">
        <w:rPr>
          <w:rFonts w:cs="Arial" w:hint="cs"/>
          <w:sz w:val="20"/>
          <w:szCs w:val="20"/>
          <w:rtl/>
        </w:rPr>
        <w:t>אלא</w:t>
      </w:r>
      <w:r w:rsidRPr="00587811">
        <w:rPr>
          <w:rFonts w:cs="Arial"/>
          <w:sz w:val="20"/>
          <w:szCs w:val="20"/>
          <w:rtl/>
        </w:rPr>
        <w:t xml:space="preserve"> </w:t>
      </w:r>
      <w:r w:rsidRPr="00587811">
        <w:rPr>
          <w:rFonts w:cs="Arial" w:hint="cs"/>
          <w:sz w:val="20"/>
          <w:szCs w:val="20"/>
          <w:rtl/>
        </w:rPr>
        <w:t>שאין</w:t>
      </w:r>
      <w:r w:rsidRPr="00587811">
        <w:rPr>
          <w:rFonts w:cs="Arial"/>
          <w:sz w:val="20"/>
          <w:szCs w:val="20"/>
          <w:rtl/>
        </w:rPr>
        <w:t xml:space="preserve"> </w:t>
      </w:r>
      <w:r w:rsidRPr="00587811">
        <w:rPr>
          <w:rFonts w:cs="Arial" w:hint="cs"/>
          <w:sz w:val="20"/>
          <w:szCs w:val="20"/>
          <w:rtl/>
        </w:rPr>
        <w:t>לה</w:t>
      </w:r>
      <w:r w:rsidRPr="00587811">
        <w:rPr>
          <w:rFonts w:cs="Arial"/>
          <w:sz w:val="20"/>
          <w:szCs w:val="20"/>
          <w:rtl/>
        </w:rPr>
        <w:t xml:space="preserve"> </w:t>
      </w:r>
      <w:r w:rsidRPr="00587811">
        <w:rPr>
          <w:rFonts w:cs="Arial" w:hint="cs"/>
          <w:sz w:val="20"/>
          <w:szCs w:val="20"/>
          <w:rtl/>
        </w:rPr>
        <w:t>וסת</w:t>
      </w:r>
      <w:r w:rsidRPr="00587811">
        <w:rPr>
          <w:rFonts w:cs="Arial"/>
          <w:sz w:val="20"/>
          <w:szCs w:val="20"/>
          <w:rtl/>
        </w:rPr>
        <w:t xml:space="preserve"> </w:t>
      </w:r>
      <w:r w:rsidRPr="00587811">
        <w:rPr>
          <w:rFonts w:cs="Arial" w:hint="cs"/>
          <w:sz w:val="20"/>
          <w:szCs w:val="20"/>
          <w:rtl/>
        </w:rPr>
        <w:t>לימים</w:t>
      </w:r>
      <w:r w:rsidRPr="00587811">
        <w:rPr>
          <w:rFonts w:cs="Arial"/>
          <w:sz w:val="20"/>
          <w:szCs w:val="20"/>
          <w:rtl/>
        </w:rPr>
        <w:t xml:space="preserve"> </w:t>
      </w:r>
      <w:r w:rsidRPr="00587811">
        <w:rPr>
          <w:rFonts w:cs="Arial" w:hint="cs"/>
          <w:sz w:val="20"/>
          <w:szCs w:val="20"/>
          <w:rtl/>
        </w:rPr>
        <w:t>אלא</w:t>
      </w:r>
      <w:r w:rsidRPr="00587811">
        <w:rPr>
          <w:rFonts w:cs="Arial"/>
          <w:sz w:val="20"/>
          <w:szCs w:val="20"/>
          <w:rtl/>
        </w:rPr>
        <w:t xml:space="preserve"> </w:t>
      </w:r>
      <w:r w:rsidRPr="00587811">
        <w:rPr>
          <w:rFonts w:cs="Arial" w:hint="cs"/>
          <w:sz w:val="20"/>
          <w:szCs w:val="20"/>
          <w:rtl/>
        </w:rPr>
        <w:t>יש</w:t>
      </w:r>
      <w:r w:rsidRPr="00587811">
        <w:rPr>
          <w:rFonts w:cs="Arial"/>
          <w:sz w:val="20"/>
          <w:szCs w:val="20"/>
          <w:rtl/>
        </w:rPr>
        <w:t xml:space="preserve"> </w:t>
      </w:r>
      <w:r w:rsidRPr="00587811">
        <w:rPr>
          <w:rFonts w:cs="Arial" w:hint="cs"/>
          <w:sz w:val="20"/>
          <w:szCs w:val="20"/>
          <w:rtl/>
        </w:rPr>
        <w:t>לה</w:t>
      </w:r>
      <w:r w:rsidRPr="00587811">
        <w:rPr>
          <w:rFonts w:cs="Arial"/>
          <w:sz w:val="20"/>
          <w:szCs w:val="20"/>
          <w:rtl/>
        </w:rPr>
        <w:t xml:space="preserve"> </w:t>
      </w:r>
      <w:r w:rsidRPr="00587811">
        <w:rPr>
          <w:rFonts w:cs="Arial" w:hint="cs"/>
          <w:sz w:val="20"/>
          <w:szCs w:val="20"/>
          <w:rtl/>
        </w:rPr>
        <w:t>וסת</w:t>
      </w:r>
      <w:r>
        <w:rPr>
          <w:rFonts w:cs="Arial" w:hint="cs"/>
          <w:sz w:val="20"/>
          <w:szCs w:val="20"/>
          <w:rtl/>
        </w:rPr>
        <w:t xml:space="preserve"> </w:t>
      </w:r>
      <w:r w:rsidRPr="00587811">
        <w:rPr>
          <w:rFonts w:cs="Arial" w:hint="cs"/>
          <w:sz w:val="20"/>
          <w:szCs w:val="20"/>
          <w:rtl/>
        </w:rPr>
        <w:t>לקפיצות</w:t>
      </w:r>
      <w:r w:rsidRPr="00587811">
        <w:rPr>
          <w:rFonts w:cs="Arial"/>
          <w:sz w:val="20"/>
          <w:szCs w:val="20"/>
          <w:rtl/>
        </w:rPr>
        <w:t xml:space="preserve">, </w:t>
      </w:r>
      <w:r w:rsidRPr="00587811">
        <w:rPr>
          <w:rFonts w:cs="Arial" w:hint="cs"/>
          <w:sz w:val="20"/>
          <w:szCs w:val="20"/>
          <w:rtl/>
        </w:rPr>
        <w:t>כיון</w:t>
      </w:r>
      <w:r w:rsidRPr="00587811">
        <w:rPr>
          <w:rFonts w:cs="Arial"/>
          <w:sz w:val="20"/>
          <w:szCs w:val="20"/>
          <w:rtl/>
        </w:rPr>
        <w:t xml:space="preserve"> </w:t>
      </w:r>
      <w:r w:rsidRPr="00587811">
        <w:rPr>
          <w:rFonts w:cs="Arial" w:hint="cs"/>
          <w:sz w:val="20"/>
          <w:szCs w:val="20"/>
          <w:rtl/>
        </w:rPr>
        <w:t>דבמעשה</w:t>
      </w:r>
      <w:r w:rsidRPr="00587811">
        <w:rPr>
          <w:rFonts w:cs="Arial"/>
          <w:sz w:val="20"/>
          <w:szCs w:val="20"/>
          <w:rtl/>
        </w:rPr>
        <w:t xml:space="preserve"> </w:t>
      </w:r>
      <w:r w:rsidRPr="00587811">
        <w:rPr>
          <w:rFonts w:cs="Arial" w:hint="cs"/>
          <w:sz w:val="20"/>
          <w:szCs w:val="20"/>
          <w:rtl/>
        </w:rPr>
        <w:t>תליא</w:t>
      </w:r>
      <w:r w:rsidRPr="00587811">
        <w:rPr>
          <w:rFonts w:cs="Arial"/>
          <w:sz w:val="20"/>
          <w:szCs w:val="20"/>
          <w:rtl/>
        </w:rPr>
        <w:t xml:space="preserve"> </w:t>
      </w:r>
      <w:r w:rsidRPr="00587811">
        <w:rPr>
          <w:rFonts w:cs="Arial" w:hint="cs"/>
          <w:sz w:val="20"/>
          <w:szCs w:val="20"/>
          <w:rtl/>
        </w:rPr>
        <w:t>מילתא</w:t>
      </w:r>
      <w:r w:rsidRPr="00587811">
        <w:rPr>
          <w:rFonts w:cs="Arial"/>
          <w:sz w:val="20"/>
          <w:szCs w:val="20"/>
          <w:rtl/>
        </w:rPr>
        <w:t xml:space="preserve"> - </w:t>
      </w:r>
      <w:r w:rsidRPr="00587811">
        <w:rPr>
          <w:rFonts w:cs="Arial" w:hint="cs"/>
          <w:sz w:val="20"/>
          <w:szCs w:val="20"/>
          <w:rtl/>
        </w:rPr>
        <w:t>אימא</w:t>
      </w:r>
      <w:r w:rsidRPr="00587811">
        <w:rPr>
          <w:rFonts w:cs="Arial"/>
          <w:sz w:val="20"/>
          <w:szCs w:val="20"/>
          <w:rtl/>
        </w:rPr>
        <w:t xml:space="preserve"> </w:t>
      </w:r>
      <w:r w:rsidRPr="00587811">
        <w:rPr>
          <w:rFonts w:cs="Arial" w:hint="cs"/>
          <w:sz w:val="20"/>
          <w:szCs w:val="20"/>
          <w:rtl/>
        </w:rPr>
        <w:t>לא</w:t>
      </w:r>
      <w:r w:rsidRPr="00587811">
        <w:rPr>
          <w:rFonts w:cs="Arial"/>
          <w:sz w:val="20"/>
          <w:szCs w:val="20"/>
          <w:rtl/>
        </w:rPr>
        <w:t xml:space="preserve"> </w:t>
      </w:r>
      <w:r w:rsidRPr="00587811">
        <w:rPr>
          <w:rFonts w:cs="Arial" w:hint="cs"/>
          <w:sz w:val="20"/>
          <w:szCs w:val="20"/>
          <w:rtl/>
        </w:rPr>
        <w:t>קפיץ</w:t>
      </w:r>
      <w:r w:rsidRPr="00587811">
        <w:rPr>
          <w:rFonts w:cs="Arial"/>
          <w:sz w:val="20"/>
          <w:szCs w:val="20"/>
          <w:rtl/>
        </w:rPr>
        <w:t xml:space="preserve"> </w:t>
      </w:r>
      <w:r w:rsidRPr="00587811">
        <w:rPr>
          <w:rFonts w:cs="Arial" w:hint="cs"/>
          <w:sz w:val="20"/>
          <w:szCs w:val="20"/>
          <w:rtl/>
        </w:rPr>
        <w:t>ולא</w:t>
      </w:r>
      <w:r w:rsidRPr="00587811">
        <w:rPr>
          <w:rFonts w:cs="Arial"/>
          <w:sz w:val="20"/>
          <w:szCs w:val="20"/>
          <w:rtl/>
        </w:rPr>
        <w:t xml:space="preserve"> </w:t>
      </w:r>
      <w:r w:rsidRPr="00587811">
        <w:rPr>
          <w:rFonts w:cs="Arial" w:hint="cs"/>
          <w:sz w:val="20"/>
          <w:szCs w:val="20"/>
          <w:rtl/>
        </w:rPr>
        <w:t>חזאי</w:t>
      </w:r>
      <w:r>
        <w:rPr>
          <w:rFonts w:hint="cs"/>
          <w:sz w:val="20"/>
          <w:szCs w:val="20"/>
          <w:rtl/>
        </w:rPr>
        <w:t>".</w:t>
      </w:r>
      <w:r>
        <w:rPr>
          <w:sz w:val="20"/>
          <w:szCs w:val="20"/>
          <w:rtl/>
        </w:rPr>
        <w:br/>
      </w:r>
      <w:r>
        <w:rPr>
          <w:rFonts w:hint="cs"/>
          <w:sz w:val="20"/>
          <w:szCs w:val="20"/>
          <w:rtl/>
        </w:rPr>
        <w:t>מוכח להדיא שיש ווסת התלוי במעשה בלבד.</w:t>
      </w:r>
    </w:p>
    <w:p w:rsidR="00620060" w:rsidRDefault="00620060" w:rsidP="00620060">
      <w:pPr>
        <w:rPr>
          <w:sz w:val="20"/>
          <w:szCs w:val="20"/>
          <w:rtl/>
        </w:rPr>
      </w:pPr>
      <w:r>
        <w:rPr>
          <w:rFonts w:hint="cs"/>
          <w:sz w:val="20"/>
          <w:szCs w:val="20"/>
          <w:rtl/>
        </w:rPr>
        <w:t xml:space="preserve">ב. </w:t>
      </w:r>
      <w:r w:rsidRPr="003A46DE">
        <w:rPr>
          <w:rFonts w:hint="cs"/>
          <w:b/>
          <w:bCs/>
          <w:sz w:val="20"/>
          <w:szCs w:val="20"/>
          <w:rtl/>
        </w:rPr>
        <w:t>רמב"ם</w:t>
      </w:r>
      <w:r>
        <w:rPr>
          <w:rFonts w:hint="cs"/>
          <w:sz w:val="20"/>
          <w:szCs w:val="20"/>
          <w:rtl/>
        </w:rPr>
        <w:t xml:space="preserve">, </w:t>
      </w:r>
      <w:r w:rsidRPr="003A46DE">
        <w:rPr>
          <w:rFonts w:hint="cs"/>
          <w:b/>
          <w:bCs/>
          <w:sz w:val="20"/>
          <w:szCs w:val="20"/>
          <w:rtl/>
        </w:rPr>
        <w:t>רשב"</w:t>
      </w:r>
      <w:r w:rsidRPr="00B11920">
        <w:rPr>
          <w:rFonts w:hint="cs"/>
          <w:b/>
          <w:bCs/>
          <w:sz w:val="20"/>
          <w:szCs w:val="20"/>
          <w:rtl/>
        </w:rPr>
        <w:t>א</w:t>
      </w:r>
      <w:r>
        <w:rPr>
          <w:rFonts w:hint="cs"/>
          <w:sz w:val="20"/>
          <w:szCs w:val="20"/>
          <w:rtl/>
        </w:rPr>
        <w:t xml:space="preserve">, </w:t>
      </w:r>
      <w:r w:rsidRPr="00B11920">
        <w:rPr>
          <w:rFonts w:hint="cs"/>
          <w:b/>
          <w:bCs/>
          <w:sz w:val="20"/>
          <w:szCs w:val="20"/>
          <w:rtl/>
        </w:rPr>
        <w:t>תוספות ומגיד משנה</w:t>
      </w:r>
      <w:r>
        <w:rPr>
          <w:rFonts w:hint="cs"/>
          <w:sz w:val="20"/>
          <w:szCs w:val="20"/>
          <w:rtl/>
        </w:rPr>
        <w:t xml:space="preserve"> </w:t>
      </w:r>
      <w:r>
        <w:rPr>
          <w:sz w:val="20"/>
          <w:szCs w:val="20"/>
          <w:rtl/>
        </w:rPr>
        <w:t>–</w:t>
      </w:r>
      <w:r>
        <w:rPr>
          <w:rFonts w:hint="cs"/>
          <w:sz w:val="20"/>
          <w:szCs w:val="20"/>
          <w:rtl/>
        </w:rPr>
        <w:t xml:space="preserve"> לא, וכ"פ </w:t>
      </w:r>
      <w:r w:rsidRPr="00DE65B4">
        <w:rPr>
          <w:rFonts w:hint="cs"/>
          <w:b/>
          <w:bCs/>
          <w:sz w:val="20"/>
          <w:szCs w:val="20"/>
          <w:rtl/>
        </w:rPr>
        <w:t>המחבר</w:t>
      </w:r>
      <w:r>
        <w:rPr>
          <w:rFonts w:hint="cs"/>
          <w:sz w:val="20"/>
          <w:szCs w:val="20"/>
          <w:rtl/>
        </w:rPr>
        <w:t>.</w:t>
      </w:r>
      <w:r>
        <w:rPr>
          <w:sz w:val="20"/>
          <w:szCs w:val="20"/>
          <w:rtl/>
        </w:rPr>
        <w:br/>
      </w:r>
      <w:r w:rsidRPr="00A93C43">
        <w:rPr>
          <w:rFonts w:hint="cs"/>
          <w:b/>
          <w:bCs/>
          <w:sz w:val="20"/>
          <w:szCs w:val="20"/>
          <w:rtl/>
        </w:rPr>
        <w:t xml:space="preserve">טעם </w:t>
      </w:r>
      <w:r>
        <w:rPr>
          <w:sz w:val="20"/>
          <w:szCs w:val="20"/>
          <w:rtl/>
        </w:rPr>
        <w:t>–</w:t>
      </w:r>
      <w:r>
        <w:rPr>
          <w:rFonts w:hint="cs"/>
          <w:sz w:val="20"/>
          <w:szCs w:val="20"/>
          <w:rtl/>
        </w:rPr>
        <w:t xml:space="preserve"> רב הונא מדבר על ווסת המורכב ממעשה וימים קבועים.</w:t>
      </w:r>
      <w:r>
        <w:rPr>
          <w:sz w:val="20"/>
          <w:szCs w:val="20"/>
          <w:rtl/>
        </w:rPr>
        <w:br/>
      </w:r>
      <w:r w:rsidRPr="00A93C43">
        <w:rPr>
          <w:rFonts w:hint="cs"/>
          <w:b/>
          <w:bCs/>
          <w:sz w:val="20"/>
          <w:szCs w:val="20"/>
          <w:rtl/>
        </w:rPr>
        <w:t xml:space="preserve">ראיה </w:t>
      </w:r>
      <w:r>
        <w:rPr>
          <w:sz w:val="20"/>
          <w:szCs w:val="20"/>
          <w:rtl/>
        </w:rPr>
        <w:t>–</w:t>
      </w:r>
      <w:r>
        <w:rPr>
          <w:rFonts w:hint="cs"/>
          <w:sz w:val="20"/>
          <w:szCs w:val="20"/>
          <w:rtl/>
        </w:rPr>
        <w:t xml:space="preserve"> הגמרא שואלת על רב הונא "למאי? אילימא לימים..." משמע להדיא שרב הונא מדבר על מעשה התלוי בימים מסויימים, דאי לאו הכי מה ההו"א של הגמרא לומר שרב הונא מדבר על ווסת התלוי בימים? אלא על כרחך רב הונא מדבר על ווסת מורכב, ולכן הגמרא מבררת האם קביעות הווסת היא לימים.</w:t>
      </w:r>
      <w:r>
        <w:rPr>
          <w:sz w:val="20"/>
          <w:szCs w:val="20"/>
          <w:rtl/>
        </w:rPr>
        <w:br/>
      </w:r>
      <w:r>
        <w:rPr>
          <w:rFonts w:hint="cs"/>
          <w:sz w:val="20"/>
          <w:szCs w:val="20"/>
          <w:rtl/>
        </w:rPr>
        <w:t>כמו כן, הגירסה בגמרא לקמן אינה כפי שגרסו הם, אלא יש לגרוס: "</w:t>
      </w:r>
      <w:r w:rsidRPr="00A93C43">
        <w:rPr>
          <w:rFonts w:cs="Arial" w:hint="cs"/>
          <w:sz w:val="20"/>
          <w:szCs w:val="20"/>
          <w:rtl/>
        </w:rPr>
        <w:t>לא</w:t>
      </w:r>
      <w:r w:rsidRPr="00A93C43">
        <w:rPr>
          <w:rFonts w:cs="Arial"/>
          <w:sz w:val="20"/>
          <w:szCs w:val="20"/>
          <w:rtl/>
        </w:rPr>
        <w:t xml:space="preserve"> </w:t>
      </w:r>
      <w:r w:rsidRPr="00A93C43">
        <w:rPr>
          <w:rFonts w:cs="Arial" w:hint="cs"/>
          <w:sz w:val="20"/>
          <w:szCs w:val="20"/>
          <w:rtl/>
        </w:rPr>
        <w:t>שנו</w:t>
      </w:r>
      <w:r w:rsidRPr="00A93C43">
        <w:rPr>
          <w:rFonts w:cs="Arial"/>
          <w:sz w:val="20"/>
          <w:szCs w:val="20"/>
          <w:rtl/>
        </w:rPr>
        <w:t xml:space="preserve"> </w:t>
      </w:r>
      <w:r w:rsidRPr="00A93C43">
        <w:rPr>
          <w:rFonts w:cs="Arial" w:hint="cs"/>
          <w:sz w:val="20"/>
          <w:szCs w:val="20"/>
          <w:rtl/>
        </w:rPr>
        <w:t>אלא</w:t>
      </w:r>
      <w:r w:rsidRPr="00A93C43">
        <w:rPr>
          <w:rFonts w:cs="Arial"/>
          <w:sz w:val="20"/>
          <w:szCs w:val="20"/>
          <w:rtl/>
        </w:rPr>
        <w:t xml:space="preserve"> </w:t>
      </w:r>
      <w:r w:rsidRPr="00A93C43">
        <w:rPr>
          <w:rFonts w:cs="Arial" w:hint="cs"/>
          <w:sz w:val="20"/>
          <w:szCs w:val="20"/>
          <w:rtl/>
        </w:rPr>
        <w:t>שאין</w:t>
      </w:r>
      <w:r w:rsidRPr="00A93C43">
        <w:rPr>
          <w:rFonts w:cs="Arial"/>
          <w:sz w:val="20"/>
          <w:szCs w:val="20"/>
          <w:rtl/>
        </w:rPr>
        <w:t xml:space="preserve"> </w:t>
      </w:r>
      <w:r w:rsidRPr="00A93C43">
        <w:rPr>
          <w:rFonts w:cs="Arial" w:hint="cs"/>
          <w:sz w:val="20"/>
          <w:szCs w:val="20"/>
          <w:rtl/>
        </w:rPr>
        <w:t>לה</w:t>
      </w:r>
      <w:r w:rsidRPr="00A93C43">
        <w:rPr>
          <w:rFonts w:cs="Arial"/>
          <w:sz w:val="20"/>
          <w:szCs w:val="20"/>
          <w:rtl/>
        </w:rPr>
        <w:t xml:space="preserve"> </w:t>
      </w:r>
      <w:r w:rsidRPr="00A93C43">
        <w:rPr>
          <w:rFonts w:cs="Arial" w:hint="cs"/>
          <w:sz w:val="20"/>
          <w:szCs w:val="20"/>
          <w:rtl/>
        </w:rPr>
        <w:t>וסת</w:t>
      </w:r>
      <w:r w:rsidRPr="00A93C43">
        <w:rPr>
          <w:rFonts w:cs="Arial"/>
          <w:sz w:val="20"/>
          <w:szCs w:val="20"/>
          <w:rtl/>
        </w:rPr>
        <w:t xml:space="preserve"> </w:t>
      </w:r>
      <w:r w:rsidRPr="00A93C43">
        <w:rPr>
          <w:rFonts w:cs="Arial" w:hint="cs"/>
          <w:sz w:val="20"/>
          <w:szCs w:val="20"/>
          <w:rtl/>
        </w:rPr>
        <w:t>לימים</w:t>
      </w:r>
      <w:r w:rsidRPr="00A93C43">
        <w:rPr>
          <w:rFonts w:cs="Arial"/>
          <w:sz w:val="20"/>
          <w:szCs w:val="20"/>
          <w:rtl/>
        </w:rPr>
        <w:t xml:space="preserve"> </w:t>
      </w:r>
      <w:r w:rsidRPr="00A93C43">
        <w:rPr>
          <w:rFonts w:cs="Arial" w:hint="cs"/>
          <w:sz w:val="20"/>
          <w:szCs w:val="20"/>
          <w:rtl/>
        </w:rPr>
        <w:t>אלא</w:t>
      </w:r>
      <w:r w:rsidRPr="00A93C43">
        <w:rPr>
          <w:rFonts w:cs="Arial"/>
          <w:sz w:val="20"/>
          <w:szCs w:val="20"/>
          <w:rtl/>
        </w:rPr>
        <w:t xml:space="preserve"> </w:t>
      </w:r>
      <w:r w:rsidRPr="00A93C43">
        <w:rPr>
          <w:rFonts w:cs="Arial" w:hint="cs"/>
          <w:sz w:val="20"/>
          <w:szCs w:val="20"/>
          <w:rtl/>
        </w:rPr>
        <w:t>יש</w:t>
      </w:r>
      <w:r w:rsidRPr="00A93C43">
        <w:rPr>
          <w:rFonts w:cs="Arial"/>
          <w:sz w:val="20"/>
          <w:szCs w:val="20"/>
          <w:rtl/>
        </w:rPr>
        <w:t xml:space="preserve"> </w:t>
      </w:r>
      <w:r w:rsidRPr="00A93C43">
        <w:rPr>
          <w:rFonts w:cs="Arial" w:hint="cs"/>
          <w:sz w:val="20"/>
          <w:szCs w:val="20"/>
          <w:rtl/>
        </w:rPr>
        <w:t>לה</w:t>
      </w:r>
      <w:r w:rsidRPr="00A93C43">
        <w:rPr>
          <w:rFonts w:cs="Arial"/>
          <w:sz w:val="20"/>
          <w:szCs w:val="20"/>
          <w:rtl/>
        </w:rPr>
        <w:t xml:space="preserve"> </w:t>
      </w:r>
      <w:r w:rsidRPr="00A93C43">
        <w:rPr>
          <w:rFonts w:cs="Arial" w:hint="cs"/>
          <w:sz w:val="20"/>
          <w:szCs w:val="20"/>
          <w:rtl/>
        </w:rPr>
        <w:t>וסת</w:t>
      </w:r>
      <w:r w:rsidRPr="00A93C43">
        <w:rPr>
          <w:rFonts w:cs="Arial"/>
          <w:sz w:val="20"/>
          <w:szCs w:val="20"/>
          <w:rtl/>
        </w:rPr>
        <w:t xml:space="preserve"> </w:t>
      </w:r>
      <w:r w:rsidRPr="00A93C43">
        <w:rPr>
          <w:rFonts w:cs="Arial" w:hint="cs"/>
          <w:sz w:val="20"/>
          <w:szCs w:val="20"/>
          <w:u w:val="single"/>
          <w:rtl/>
        </w:rPr>
        <w:t>לימים</w:t>
      </w:r>
      <w:r w:rsidRPr="00A93C43">
        <w:rPr>
          <w:rFonts w:cs="Arial"/>
          <w:sz w:val="20"/>
          <w:szCs w:val="20"/>
          <w:u w:val="single"/>
          <w:rtl/>
        </w:rPr>
        <w:t xml:space="preserve"> </w:t>
      </w:r>
      <w:r w:rsidRPr="00A93C43">
        <w:rPr>
          <w:rFonts w:cs="Arial" w:hint="cs"/>
          <w:sz w:val="20"/>
          <w:szCs w:val="20"/>
          <w:u w:val="single"/>
          <w:rtl/>
        </w:rPr>
        <w:t>ולקפיצות</w:t>
      </w:r>
      <w:r>
        <w:rPr>
          <w:rFonts w:cs="Arial" w:hint="cs"/>
          <w:sz w:val="20"/>
          <w:szCs w:val="20"/>
          <w:rtl/>
        </w:rPr>
        <w:t>".</w:t>
      </w:r>
      <w:r>
        <w:rPr>
          <w:sz w:val="20"/>
          <w:szCs w:val="20"/>
          <w:rtl/>
        </w:rPr>
        <w:br/>
      </w:r>
      <w:r>
        <w:rPr>
          <w:sz w:val="20"/>
          <w:szCs w:val="20"/>
          <w:rtl/>
        </w:rPr>
        <w:br/>
      </w:r>
      <w:r>
        <w:rPr>
          <w:rFonts w:hint="cs"/>
          <w:b/>
          <w:bCs/>
          <w:sz w:val="20"/>
          <w:szCs w:val="20"/>
          <w:rtl/>
        </w:rPr>
        <w:t>חשש לווסת הקפיצות</w:t>
      </w:r>
      <w:r>
        <w:rPr>
          <w:b/>
          <w:bCs/>
          <w:sz w:val="20"/>
          <w:szCs w:val="20"/>
          <w:rtl/>
        </w:rPr>
        <w:br/>
      </w:r>
      <w:r>
        <w:rPr>
          <w:rFonts w:hint="cs"/>
          <w:b/>
          <w:bCs/>
          <w:sz w:val="20"/>
          <w:szCs w:val="20"/>
          <w:rtl/>
        </w:rPr>
        <w:t>מגיד משנה</w:t>
      </w:r>
      <w:r>
        <w:rPr>
          <w:rFonts w:hint="cs"/>
          <w:sz w:val="20"/>
          <w:szCs w:val="20"/>
          <w:rtl/>
        </w:rPr>
        <w:t xml:space="preserve"> </w:t>
      </w:r>
      <w:r>
        <w:rPr>
          <w:sz w:val="20"/>
          <w:szCs w:val="20"/>
          <w:rtl/>
        </w:rPr>
        <w:t>–</w:t>
      </w:r>
      <w:r>
        <w:rPr>
          <w:rFonts w:hint="cs"/>
          <w:sz w:val="20"/>
          <w:szCs w:val="20"/>
          <w:rtl/>
        </w:rPr>
        <w:t xml:space="preserve"> למרות שהרמב"ם סובר שאין אשה קובעת ווסת לקפיצות, מכל מקום לאחר ג' פעמים חוששת לו כדין ווסת שאינו קבוע, וכ"פ </w:t>
      </w:r>
      <w:r w:rsidRPr="003A46DE">
        <w:rPr>
          <w:rFonts w:hint="cs"/>
          <w:b/>
          <w:bCs/>
          <w:sz w:val="20"/>
          <w:szCs w:val="20"/>
          <w:rtl/>
        </w:rPr>
        <w:t>הרמ"א</w:t>
      </w:r>
      <w:r>
        <w:rPr>
          <w:rFonts w:hint="cs"/>
          <w:sz w:val="20"/>
          <w:szCs w:val="20"/>
          <w:rtl/>
        </w:rPr>
        <w:t>.</w:t>
      </w:r>
    </w:p>
    <w:p w:rsidR="00620060" w:rsidRDefault="00620060" w:rsidP="00620060">
      <w:pPr>
        <w:rPr>
          <w:sz w:val="18"/>
          <w:szCs w:val="18"/>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117462">
        <w:rPr>
          <w:rFonts w:cs="Arial" w:hint="cs"/>
          <w:sz w:val="20"/>
          <w:szCs w:val="20"/>
          <w:rtl/>
        </w:rPr>
        <w:t>כל</w:t>
      </w:r>
      <w:r w:rsidRPr="00117462">
        <w:rPr>
          <w:rFonts w:cs="Arial"/>
          <w:sz w:val="20"/>
          <w:szCs w:val="20"/>
          <w:rtl/>
        </w:rPr>
        <w:t xml:space="preserve"> </w:t>
      </w:r>
      <w:r w:rsidRPr="00117462">
        <w:rPr>
          <w:rFonts w:cs="Arial" w:hint="cs"/>
          <w:sz w:val="20"/>
          <w:szCs w:val="20"/>
          <w:rtl/>
        </w:rPr>
        <w:t>וסת</w:t>
      </w:r>
      <w:r w:rsidRPr="00117462">
        <w:rPr>
          <w:rFonts w:cs="Arial"/>
          <w:sz w:val="20"/>
          <w:szCs w:val="20"/>
          <w:rtl/>
        </w:rPr>
        <w:t xml:space="preserve"> </w:t>
      </w:r>
      <w:r w:rsidRPr="00117462">
        <w:rPr>
          <w:rFonts w:cs="Arial" w:hint="cs"/>
          <w:sz w:val="20"/>
          <w:szCs w:val="20"/>
          <w:rtl/>
        </w:rPr>
        <w:t>שנקבע</w:t>
      </w:r>
      <w:r w:rsidRPr="00117462">
        <w:rPr>
          <w:rFonts w:cs="Arial"/>
          <w:sz w:val="20"/>
          <w:szCs w:val="20"/>
          <w:rtl/>
        </w:rPr>
        <w:t xml:space="preserve"> </w:t>
      </w:r>
      <w:r w:rsidRPr="00117462">
        <w:rPr>
          <w:rFonts w:cs="Arial" w:hint="cs"/>
          <w:sz w:val="20"/>
          <w:szCs w:val="20"/>
          <w:rtl/>
        </w:rPr>
        <w:t>מחמת</w:t>
      </w:r>
      <w:r w:rsidRPr="00117462">
        <w:rPr>
          <w:rFonts w:cs="Arial"/>
          <w:sz w:val="20"/>
          <w:szCs w:val="20"/>
          <w:rtl/>
        </w:rPr>
        <w:t xml:space="preserve"> </w:t>
      </w:r>
      <w:r w:rsidRPr="00117462">
        <w:rPr>
          <w:rFonts w:cs="Arial" w:hint="cs"/>
          <w:sz w:val="20"/>
          <w:szCs w:val="20"/>
          <w:rtl/>
        </w:rPr>
        <w:t>אונס</w:t>
      </w:r>
      <w:r w:rsidRPr="00117462">
        <w:rPr>
          <w:rFonts w:cs="Arial"/>
          <w:sz w:val="20"/>
          <w:szCs w:val="20"/>
          <w:rtl/>
        </w:rPr>
        <w:t xml:space="preserve"> </w:t>
      </w:r>
      <w:r w:rsidRPr="00117462">
        <w:rPr>
          <w:rFonts w:cs="Arial"/>
          <w:sz w:val="18"/>
          <w:szCs w:val="18"/>
          <w:rtl/>
        </w:rPr>
        <w:t>(</w:t>
      </w:r>
      <w:r w:rsidRPr="00117462">
        <w:rPr>
          <w:rFonts w:cs="Arial" w:hint="cs"/>
          <w:sz w:val="18"/>
          <w:szCs w:val="18"/>
          <w:rtl/>
        </w:rPr>
        <w:t>כגון</w:t>
      </w:r>
      <w:r w:rsidRPr="00117462">
        <w:rPr>
          <w:rFonts w:cs="Arial"/>
          <w:sz w:val="18"/>
          <w:szCs w:val="18"/>
          <w:rtl/>
        </w:rPr>
        <w:t xml:space="preserve"> </w:t>
      </w:r>
      <w:r w:rsidRPr="00117462">
        <w:rPr>
          <w:rFonts w:cs="Arial" w:hint="cs"/>
          <w:sz w:val="18"/>
          <w:szCs w:val="18"/>
          <w:rtl/>
        </w:rPr>
        <w:t>שקפצה</w:t>
      </w:r>
      <w:r w:rsidRPr="00117462">
        <w:rPr>
          <w:rFonts w:cs="Arial"/>
          <w:sz w:val="18"/>
          <w:szCs w:val="18"/>
          <w:rtl/>
        </w:rPr>
        <w:t xml:space="preserve"> </w:t>
      </w:r>
      <w:r w:rsidRPr="00117462">
        <w:rPr>
          <w:rFonts w:cs="Arial" w:hint="cs"/>
          <w:sz w:val="18"/>
          <w:szCs w:val="18"/>
          <w:rtl/>
        </w:rPr>
        <w:t>וראתה</w:t>
      </w:r>
      <w:r w:rsidRPr="00117462">
        <w:rPr>
          <w:rFonts w:cs="Arial"/>
          <w:sz w:val="18"/>
          <w:szCs w:val="18"/>
          <w:rtl/>
        </w:rPr>
        <w:t>)</w:t>
      </w:r>
      <w:r w:rsidRPr="00117462">
        <w:rPr>
          <w:rFonts w:cs="Arial"/>
          <w:sz w:val="20"/>
          <w:szCs w:val="20"/>
          <w:rtl/>
        </w:rPr>
        <w:t xml:space="preserve">, </w:t>
      </w:r>
      <w:r w:rsidRPr="00117462">
        <w:rPr>
          <w:rFonts w:cs="Arial" w:hint="cs"/>
          <w:sz w:val="20"/>
          <w:szCs w:val="20"/>
          <w:rtl/>
        </w:rPr>
        <w:t>אפילו</w:t>
      </w:r>
      <w:r w:rsidRPr="00117462">
        <w:rPr>
          <w:rFonts w:cs="Arial"/>
          <w:sz w:val="20"/>
          <w:szCs w:val="20"/>
          <w:rtl/>
        </w:rPr>
        <w:t xml:space="preserve"> </w:t>
      </w:r>
      <w:r w:rsidRPr="00117462">
        <w:rPr>
          <w:rFonts w:cs="Arial" w:hint="cs"/>
          <w:sz w:val="20"/>
          <w:szCs w:val="20"/>
          <w:rtl/>
        </w:rPr>
        <w:t>ראתה</w:t>
      </w:r>
      <w:r w:rsidRPr="00117462">
        <w:rPr>
          <w:rFonts w:cs="Arial"/>
          <w:sz w:val="20"/>
          <w:szCs w:val="20"/>
          <w:rtl/>
        </w:rPr>
        <w:t xml:space="preserve"> </w:t>
      </w:r>
      <w:r w:rsidRPr="00117462">
        <w:rPr>
          <w:rFonts w:cs="Arial" w:hint="cs"/>
          <w:sz w:val="20"/>
          <w:szCs w:val="20"/>
          <w:rtl/>
        </w:rPr>
        <w:t>בו</w:t>
      </w:r>
      <w:r w:rsidRPr="00117462">
        <w:rPr>
          <w:rFonts w:cs="Arial"/>
          <w:sz w:val="20"/>
          <w:szCs w:val="20"/>
          <w:rtl/>
        </w:rPr>
        <w:t xml:space="preserve"> </w:t>
      </w:r>
      <w:r w:rsidRPr="00117462">
        <w:rPr>
          <w:rFonts w:cs="Arial" w:hint="cs"/>
          <w:sz w:val="20"/>
          <w:szCs w:val="20"/>
          <w:rtl/>
        </w:rPr>
        <w:t>כמה</w:t>
      </w:r>
      <w:r w:rsidRPr="00117462">
        <w:rPr>
          <w:rFonts w:cs="Arial"/>
          <w:sz w:val="20"/>
          <w:szCs w:val="20"/>
          <w:rtl/>
        </w:rPr>
        <w:t xml:space="preserve"> </w:t>
      </w:r>
      <w:r w:rsidRPr="00117462">
        <w:rPr>
          <w:rFonts w:cs="Arial" w:hint="cs"/>
          <w:sz w:val="20"/>
          <w:szCs w:val="20"/>
          <w:rtl/>
        </w:rPr>
        <w:t>פעמים</w:t>
      </w:r>
      <w:r w:rsidRPr="00117462">
        <w:rPr>
          <w:rFonts w:cs="Arial"/>
          <w:sz w:val="20"/>
          <w:szCs w:val="20"/>
          <w:rtl/>
        </w:rPr>
        <w:t xml:space="preserve"> </w:t>
      </w:r>
      <w:r w:rsidRPr="00117462">
        <w:rPr>
          <w:rFonts w:cs="Arial"/>
          <w:sz w:val="18"/>
          <w:szCs w:val="18"/>
          <w:rtl/>
        </w:rPr>
        <w:t>(</w:t>
      </w:r>
      <w:r w:rsidRPr="00117462">
        <w:rPr>
          <w:rFonts w:cs="Arial" w:hint="cs"/>
          <w:sz w:val="18"/>
          <w:szCs w:val="18"/>
          <w:rtl/>
        </w:rPr>
        <w:t>אם</w:t>
      </w:r>
      <w:r w:rsidRPr="00117462">
        <w:rPr>
          <w:rFonts w:cs="Arial"/>
          <w:sz w:val="18"/>
          <w:szCs w:val="18"/>
          <w:rtl/>
        </w:rPr>
        <w:t xml:space="preserve"> </w:t>
      </w:r>
      <w:r w:rsidRPr="00117462">
        <w:rPr>
          <w:rFonts w:cs="Arial" w:hint="cs"/>
          <w:sz w:val="18"/>
          <w:szCs w:val="18"/>
          <w:rtl/>
        </w:rPr>
        <w:t>לא</w:t>
      </w:r>
      <w:r w:rsidRPr="00117462">
        <w:rPr>
          <w:rFonts w:cs="Arial"/>
          <w:sz w:val="18"/>
          <w:szCs w:val="18"/>
          <w:rtl/>
        </w:rPr>
        <w:t xml:space="preserve"> </w:t>
      </w:r>
      <w:r w:rsidRPr="00117462">
        <w:rPr>
          <w:rFonts w:cs="Arial" w:hint="cs"/>
          <w:sz w:val="18"/>
          <w:szCs w:val="18"/>
          <w:rtl/>
        </w:rPr>
        <w:t>קבעה</w:t>
      </w:r>
      <w:r w:rsidRPr="00117462">
        <w:rPr>
          <w:rFonts w:cs="Arial"/>
          <w:sz w:val="18"/>
          <w:szCs w:val="18"/>
          <w:rtl/>
        </w:rPr>
        <w:t xml:space="preserve"> </w:t>
      </w:r>
      <w:r w:rsidRPr="00117462">
        <w:rPr>
          <w:rFonts w:cs="Arial" w:hint="cs"/>
          <w:sz w:val="18"/>
          <w:szCs w:val="18"/>
          <w:rtl/>
        </w:rPr>
        <w:t>אותן</w:t>
      </w:r>
      <w:r w:rsidRPr="00117462">
        <w:rPr>
          <w:rFonts w:cs="Arial"/>
          <w:sz w:val="18"/>
          <w:szCs w:val="18"/>
          <w:rtl/>
        </w:rPr>
        <w:t xml:space="preserve"> </w:t>
      </w:r>
      <w:r w:rsidRPr="00117462">
        <w:rPr>
          <w:rFonts w:cs="Arial" w:hint="cs"/>
          <w:sz w:val="18"/>
          <w:szCs w:val="18"/>
          <w:rtl/>
        </w:rPr>
        <w:t>לימים</w:t>
      </w:r>
      <w:r>
        <w:rPr>
          <w:rStyle w:val="a5"/>
          <w:rFonts w:cs="Arial"/>
          <w:sz w:val="18"/>
          <w:szCs w:val="18"/>
          <w:rtl/>
        </w:rPr>
        <w:footnoteReference w:id="213"/>
      </w:r>
      <w:r w:rsidRPr="00117462">
        <w:rPr>
          <w:rFonts w:cs="Arial"/>
          <w:sz w:val="18"/>
          <w:szCs w:val="18"/>
          <w:rtl/>
        </w:rPr>
        <w:t>)</w:t>
      </w:r>
      <w:r w:rsidRPr="00117462">
        <w:rPr>
          <w:rFonts w:cs="Arial"/>
          <w:sz w:val="20"/>
          <w:szCs w:val="20"/>
          <w:rtl/>
        </w:rPr>
        <w:t xml:space="preserve">, </w:t>
      </w:r>
      <w:r w:rsidRPr="00117462">
        <w:rPr>
          <w:rFonts w:cs="Arial" w:hint="cs"/>
          <w:sz w:val="20"/>
          <w:szCs w:val="20"/>
          <w:rtl/>
        </w:rPr>
        <w:t>אינו</w:t>
      </w:r>
      <w:r w:rsidRPr="00117462">
        <w:rPr>
          <w:rFonts w:cs="Arial"/>
          <w:sz w:val="20"/>
          <w:szCs w:val="20"/>
          <w:rtl/>
        </w:rPr>
        <w:t xml:space="preserve"> </w:t>
      </w:r>
      <w:r w:rsidRPr="00117462">
        <w:rPr>
          <w:rFonts w:cs="Arial" w:hint="cs"/>
          <w:sz w:val="20"/>
          <w:szCs w:val="20"/>
          <w:rtl/>
        </w:rPr>
        <w:t>וסת</w:t>
      </w:r>
      <w:r w:rsidRPr="00117462">
        <w:rPr>
          <w:rFonts w:cs="Arial"/>
          <w:sz w:val="20"/>
          <w:szCs w:val="20"/>
          <w:rtl/>
        </w:rPr>
        <w:t xml:space="preserve">, </w:t>
      </w:r>
      <w:r w:rsidRPr="00117462">
        <w:rPr>
          <w:rFonts w:cs="Arial" w:hint="cs"/>
          <w:sz w:val="20"/>
          <w:szCs w:val="20"/>
          <w:rtl/>
        </w:rPr>
        <w:t>שמפני</w:t>
      </w:r>
      <w:r w:rsidRPr="00117462">
        <w:rPr>
          <w:rFonts w:cs="Arial"/>
          <w:sz w:val="20"/>
          <w:szCs w:val="20"/>
          <w:rtl/>
        </w:rPr>
        <w:t xml:space="preserve"> </w:t>
      </w:r>
      <w:r w:rsidRPr="00117462">
        <w:rPr>
          <w:rFonts w:cs="Arial" w:hint="cs"/>
          <w:sz w:val="20"/>
          <w:szCs w:val="20"/>
          <w:rtl/>
        </w:rPr>
        <w:t>האונס</w:t>
      </w:r>
      <w:r w:rsidRPr="00117462">
        <w:rPr>
          <w:rFonts w:cs="Arial"/>
          <w:sz w:val="20"/>
          <w:szCs w:val="20"/>
          <w:rtl/>
        </w:rPr>
        <w:t xml:space="preserve"> </w:t>
      </w:r>
      <w:r w:rsidRPr="00117462">
        <w:rPr>
          <w:rFonts w:cs="Arial" w:hint="cs"/>
          <w:sz w:val="20"/>
          <w:szCs w:val="20"/>
          <w:rtl/>
        </w:rPr>
        <w:t>ראתה</w:t>
      </w:r>
      <w:r w:rsidRPr="00117462">
        <w:rPr>
          <w:rFonts w:cs="Arial"/>
          <w:sz w:val="20"/>
          <w:szCs w:val="20"/>
          <w:rtl/>
        </w:rPr>
        <w:t xml:space="preserve">. </w:t>
      </w:r>
      <w:r w:rsidRPr="00117462">
        <w:rPr>
          <w:rFonts w:cs="Arial"/>
          <w:sz w:val="18"/>
          <w:szCs w:val="18"/>
          <w:rtl/>
        </w:rPr>
        <w:t>(</w:t>
      </w:r>
      <w:r w:rsidRPr="00117462">
        <w:rPr>
          <w:rFonts w:cs="Arial" w:hint="cs"/>
          <w:sz w:val="18"/>
          <w:szCs w:val="18"/>
          <w:rtl/>
        </w:rPr>
        <w:t>ומ</w:t>
      </w:r>
      <w:r>
        <w:rPr>
          <w:rFonts w:cs="Arial" w:hint="cs"/>
          <w:sz w:val="18"/>
          <w:szCs w:val="18"/>
          <w:rtl/>
        </w:rPr>
        <w:t>כל מקום</w:t>
      </w:r>
      <w:r w:rsidRPr="00117462">
        <w:rPr>
          <w:rFonts w:cs="Arial"/>
          <w:sz w:val="18"/>
          <w:szCs w:val="18"/>
          <w:rtl/>
        </w:rPr>
        <w:t xml:space="preserve"> </w:t>
      </w:r>
      <w:r w:rsidRPr="00117462">
        <w:rPr>
          <w:rFonts w:cs="Arial" w:hint="cs"/>
          <w:sz w:val="18"/>
          <w:szCs w:val="18"/>
          <w:rtl/>
        </w:rPr>
        <w:t>חוששת</w:t>
      </w:r>
      <w:r w:rsidRPr="00117462">
        <w:rPr>
          <w:rFonts w:cs="Arial"/>
          <w:sz w:val="18"/>
          <w:szCs w:val="18"/>
          <w:rtl/>
        </w:rPr>
        <w:t xml:space="preserve"> </w:t>
      </w:r>
      <w:r w:rsidRPr="00117462">
        <w:rPr>
          <w:rFonts w:cs="Arial" w:hint="cs"/>
          <w:sz w:val="18"/>
          <w:szCs w:val="18"/>
          <w:rtl/>
        </w:rPr>
        <w:t>לו</w:t>
      </w:r>
      <w:r w:rsidRPr="00117462">
        <w:rPr>
          <w:rFonts w:cs="Arial"/>
          <w:sz w:val="18"/>
          <w:szCs w:val="18"/>
          <w:rtl/>
        </w:rPr>
        <w:t xml:space="preserve"> </w:t>
      </w:r>
      <w:r w:rsidRPr="00117462">
        <w:rPr>
          <w:rFonts w:cs="Arial" w:hint="cs"/>
          <w:sz w:val="18"/>
          <w:szCs w:val="18"/>
          <w:rtl/>
        </w:rPr>
        <w:t>כמו</w:t>
      </w:r>
      <w:r w:rsidRPr="00117462">
        <w:rPr>
          <w:rFonts w:cs="Arial"/>
          <w:sz w:val="18"/>
          <w:szCs w:val="18"/>
          <w:rtl/>
        </w:rPr>
        <w:t xml:space="preserve"> </w:t>
      </w:r>
      <w:r w:rsidRPr="00117462">
        <w:rPr>
          <w:rFonts w:cs="Arial" w:hint="cs"/>
          <w:sz w:val="18"/>
          <w:szCs w:val="18"/>
          <w:rtl/>
        </w:rPr>
        <w:t>לו</w:t>
      </w:r>
      <w:r>
        <w:rPr>
          <w:rFonts w:cs="Arial" w:hint="cs"/>
          <w:sz w:val="18"/>
          <w:szCs w:val="18"/>
          <w:rtl/>
        </w:rPr>
        <w:t>ו</w:t>
      </w:r>
      <w:r w:rsidRPr="00117462">
        <w:rPr>
          <w:rFonts w:cs="Arial" w:hint="cs"/>
          <w:sz w:val="18"/>
          <w:szCs w:val="18"/>
          <w:rtl/>
        </w:rPr>
        <w:t>סת</w:t>
      </w:r>
      <w:r w:rsidRPr="00117462">
        <w:rPr>
          <w:rFonts w:cs="Arial"/>
          <w:sz w:val="18"/>
          <w:szCs w:val="18"/>
          <w:rtl/>
        </w:rPr>
        <w:t xml:space="preserve"> </w:t>
      </w:r>
      <w:r w:rsidRPr="00117462">
        <w:rPr>
          <w:rFonts w:cs="Arial" w:hint="cs"/>
          <w:sz w:val="18"/>
          <w:szCs w:val="18"/>
          <w:rtl/>
        </w:rPr>
        <w:t>שאינו</w:t>
      </w:r>
      <w:r w:rsidRPr="00117462">
        <w:rPr>
          <w:rFonts w:cs="Arial"/>
          <w:sz w:val="18"/>
          <w:szCs w:val="18"/>
          <w:rtl/>
        </w:rPr>
        <w:t xml:space="preserve"> </w:t>
      </w:r>
      <w:r w:rsidRPr="00117462">
        <w:rPr>
          <w:rFonts w:cs="Arial" w:hint="cs"/>
          <w:sz w:val="18"/>
          <w:szCs w:val="18"/>
          <w:rtl/>
        </w:rPr>
        <w:t>קבוע</w:t>
      </w:r>
      <w:r w:rsidRPr="00117462">
        <w:rPr>
          <w:rFonts w:cs="Arial"/>
          <w:sz w:val="18"/>
          <w:szCs w:val="18"/>
          <w:rtl/>
        </w:rPr>
        <w:t>)</w:t>
      </w:r>
      <w:r w:rsidRPr="00117462">
        <w:rPr>
          <w:rFonts w:hint="cs"/>
          <w:sz w:val="20"/>
          <w:szCs w:val="20"/>
          <w:rtl/>
        </w:rPr>
        <w:t>".</w:t>
      </w:r>
      <w:r>
        <w:rPr>
          <w:rStyle w:val="a5"/>
          <w:sz w:val="18"/>
          <w:szCs w:val="18"/>
          <w:rtl/>
        </w:rPr>
        <w:footnoteReference w:id="214"/>
      </w:r>
    </w:p>
    <w:p w:rsidR="00620060" w:rsidRDefault="00620060" w:rsidP="00620060">
      <w:pPr>
        <w:rPr>
          <w:rFonts w:cs="Arial"/>
          <w:sz w:val="20"/>
          <w:szCs w:val="20"/>
          <w:rtl/>
        </w:rPr>
      </w:pPr>
      <w:r w:rsidRPr="00655F54">
        <w:rPr>
          <w:rFonts w:hint="cs"/>
          <w:sz w:val="20"/>
          <w:szCs w:val="20"/>
          <w:u w:val="single"/>
          <w:rtl/>
        </w:rPr>
        <w:t xml:space="preserve">חשש </w:t>
      </w:r>
      <w:r>
        <w:rPr>
          <w:rFonts w:hint="cs"/>
          <w:sz w:val="20"/>
          <w:szCs w:val="20"/>
          <w:u w:val="single"/>
          <w:rtl/>
        </w:rPr>
        <w:t>לווסת המורכב</w:t>
      </w:r>
      <w:r>
        <w:rPr>
          <w:sz w:val="20"/>
          <w:szCs w:val="20"/>
          <w:u w:val="single"/>
          <w:rtl/>
        </w:rPr>
        <w:br/>
      </w:r>
      <w:r>
        <w:rPr>
          <w:rFonts w:cs="Arial" w:hint="cs"/>
          <w:sz w:val="18"/>
          <w:szCs w:val="18"/>
          <w:rtl/>
        </w:rPr>
        <w:t>"</w:t>
      </w:r>
      <w:r w:rsidRPr="00117462">
        <w:rPr>
          <w:rFonts w:cs="Arial" w:hint="cs"/>
          <w:sz w:val="18"/>
          <w:szCs w:val="18"/>
          <w:rtl/>
        </w:rPr>
        <w:t>ומ</w:t>
      </w:r>
      <w:r>
        <w:rPr>
          <w:rFonts w:cs="Arial" w:hint="cs"/>
          <w:sz w:val="18"/>
          <w:szCs w:val="18"/>
          <w:rtl/>
        </w:rPr>
        <w:t>כל מקום</w:t>
      </w:r>
      <w:r w:rsidRPr="00117462">
        <w:rPr>
          <w:rFonts w:cs="Arial"/>
          <w:sz w:val="18"/>
          <w:szCs w:val="18"/>
          <w:rtl/>
        </w:rPr>
        <w:t xml:space="preserve"> </w:t>
      </w:r>
      <w:r w:rsidRPr="00117462">
        <w:rPr>
          <w:rFonts w:cs="Arial" w:hint="cs"/>
          <w:sz w:val="18"/>
          <w:szCs w:val="18"/>
          <w:rtl/>
        </w:rPr>
        <w:t>חוששת</w:t>
      </w:r>
      <w:r w:rsidRPr="00117462">
        <w:rPr>
          <w:rFonts w:cs="Arial"/>
          <w:sz w:val="18"/>
          <w:szCs w:val="18"/>
          <w:rtl/>
        </w:rPr>
        <w:t xml:space="preserve"> </w:t>
      </w:r>
      <w:r w:rsidRPr="00117462">
        <w:rPr>
          <w:rFonts w:cs="Arial" w:hint="cs"/>
          <w:sz w:val="18"/>
          <w:szCs w:val="18"/>
          <w:rtl/>
        </w:rPr>
        <w:t>לו</w:t>
      </w:r>
      <w:r w:rsidRPr="00117462">
        <w:rPr>
          <w:rFonts w:cs="Arial"/>
          <w:sz w:val="18"/>
          <w:szCs w:val="18"/>
          <w:rtl/>
        </w:rPr>
        <w:t xml:space="preserve"> </w:t>
      </w:r>
      <w:r w:rsidRPr="00117462">
        <w:rPr>
          <w:rFonts w:cs="Arial" w:hint="cs"/>
          <w:sz w:val="18"/>
          <w:szCs w:val="18"/>
          <w:rtl/>
        </w:rPr>
        <w:t>כמו</w:t>
      </w:r>
      <w:r w:rsidRPr="00117462">
        <w:rPr>
          <w:rFonts w:cs="Arial"/>
          <w:sz w:val="18"/>
          <w:szCs w:val="18"/>
          <w:rtl/>
        </w:rPr>
        <w:t xml:space="preserve"> </w:t>
      </w:r>
      <w:r w:rsidRPr="00117462">
        <w:rPr>
          <w:rFonts w:cs="Arial" w:hint="cs"/>
          <w:sz w:val="18"/>
          <w:szCs w:val="18"/>
          <w:rtl/>
        </w:rPr>
        <w:t>לו</w:t>
      </w:r>
      <w:r>
        <w:rPr>
          <w:rFonts w:cs="Arial" w:hint="cs"/>
          <w:sz w:val="18"/>
          <w:szCs w:val="18"/>
          <w:rtl/>
        </w:rPr>
        <w:t>ו</w:t>
      </w:r>
      <w:r w:rsidRPr="00117462">
        <w:rPr>
          <w:rFonts w:cs="Arial" w:hint="cs"/>
          <w:sz w:val="18"/>
          <w:szCs w:val="18"/>
          <w:rtl/>
        </w:rPr>
        <w:t>סת</w:t>
      </w:r>
      <w:r w:rsidRPr="00117462">
        <w:rPr>
          <w:rFonts w:cs="Arial"/>
          <w:sz w:val="18"/>
          <w:szCs w:val="18"/>
          <w:rtl/>
        </w:rPr>
        <w:t xml:space="preserve"> </w:t>
      </w:r>
      <w:r w:rsidRPr="00117462">
        <w:rPr>
          <w:rFonts w:cs="Arial" w:hint="cs"/>
          <w:sz w:val="18"/>
          <w:szCs w:val="18"/>
          <w:rtl/>
        </w:rPr>
        <w:t>שאינו</w:t>
      </w:r>
      <w:r w:rsidRPr="00117462">
        <w:rPr>
          <w:rFonts w:cs="Arial"/>
          <w:sz w:val="18"/>
          <w:szCs w:val="18"/>
          <w:rtl/>
        </w:rPr>
        <w:t xml:space="preserve"> </w:t>
      </w:r>
      <w:r w:rsidRPr="00117462">
        <w:rPr>
          <w:rFonts w:cs="Arial" w:hint="cs"/>
          <w:sz w:val="18"/>
          <w:szCs w:val="18"/>
          <w:rtl/>
        </w:rPr>
        <w:t>קבוע</w:t>
      </w:r>
      <w:r>
        <w:rPr>
          <w:rFonts w:cs="Arial" w:hint="cs"/>
          <w:sz w:val="18"/>
          <w:szCs w:val="18"/>
          <w:rtl/>
        </w:rPr>
        <w:t>".</w:t>
      </w:r>
      <w:r>
        <w:rPr>
          <w:rFonts w:cs="Arial"/>
          <w:sz w:val="18"/>
          <w:szCs w:val="18"/>
          <w:rtl/>
        </w:rPr>
        <w:br/>
      </w:r>
      <w:r w:rsidRPr="00655F54">
        <w:rPr>
          <w:rFonts w:cs="Arial" w:hint="cs"/>
          <w:b/>
          <w:bCs/>
          <w:sz w:val="20"/>
          <w:szCs w:val="20"/>
          <w:rtl/>
        </w:rPr>
        <w:t>ש"ך</w:t>
      </w:r>
      <w:r>
        <w:rPr>
          <w:rFonts w:cs="Arial" w:hint="cs"/>
          <w:sz w:val="20"/>
          <w:szCs w:val="20"/>
          <w:rtl/>
        </w:rPr>
        <w:t xml:space="preserve"> </w:t>
      </w:r>
      <w:r>
        <w:rPr>
          <w:rFonts w:cs="Arial"/>
          <w:sz w:val="20"/>
          <w:szCs w:val="20"/>
          <w:rtl/>
        </w:rPr>
        <w:t>–</w:t>
      </w:r>
      <w:r>
        <w:rPr>
          <w:rFonts w:cs="Arial" w:hint="cs"/>
          <w:sz w:val="20"/>
          <w:szCs w:val="20"/>
          <w:rtl/>
        </w:rPr>
        <w:t xml:space="preserve"> מדובר שראתה ג"פ ע"י קפיצה, אך אם ראתה פעם אחת בלבד אינה חוששת לקפיצה לבד.</w:t>
      </w:r>
      <w:r>
        <w:rPr>
          <w:rFonts w:cs="Arial"/>
          <w:sz w:val="20"/>
          <w:szCs w:val="20"/>
          <w:rtl/>
        </w:rPr>
        <w:br/>
      </w:r>
      <w:r>
        <w:rPr>
          <w:rFonts w:cs="Arial" w:hint="cs"/>
          <w:sz w:val="20"/>
          <w:szCs w:val="20"/>
          <w:rtl/>
        </w:rPr>
        <w:t xml:space="preserve">ברם, חוששת לווסת המורכב, כלומר - </w:t>
      </w:r>
      <w:r>
        <w:rPr>
          <w:rFonts w:cs="Arial"/>
          <w:sz w:val="20"/>
          <w:szCs w:val="20"/>
          <w:rtl/>
        </w:rPr>
        <w:br/>
      </w:r>
      <w:r>
        <w:rPr>
          <w:rFonts w:cs="Arial" w:hint="cs"/>
          <w:sz w:val="20"/>
          <w:szCs w:val="20"/>
          <w:rtl/>
        </w:rPr>
        <w:t>קפצה וראתה בטו' ניסן, חוששת לטו' אם תקפוץ.</w:t>
      </w:r>
      <w:r>
        <w:rPr>
          <w:rFonts w:cs="Arial"/>
          <w:sz w:val="20"/>
          <w:szCs w:val="20"/>
          <w:rtl/>
        </w:rPr>
        <w:br/>
      </w:r>
      <w:r>
        <w:rPr>
          <w:rFonts w:cs="Arial" w:hint="cs"/>
          <w:sz w:val="20"/>
          <w:szCs w:val="20"/>
          <w:rtl/>
        </w:rPr>
        <w:t>ראתה בקפיצה היום ולסוף כ', חוששת לכ' אם תקפוץ.</w:t>
      </w:r>
      <w:r>
        <w:rPr>
          <w:rStyle w:val="a5"/>
          <w:sz w:val="20"/>
          <w:szCs w:val="20"/>
          <w:u w:val="single"/>
          <w:rtl/>
        </w:rPr>
        <w:footnoteReference w:id="215"/>
      </w:r>
      <w:r>
        <w:rPr>
          <w:sz w:val="20"/>
          <w:szCs w:val="20"/>
          <w:u w:val="single"/>
          <w:rtl/>
        </w:rPr>
        <w:br/>
      </w:r>
      <w:r w:rsidRPr="008A5F9A">
        <w:rPr>
          <w:rFonts w:hint="cs"/>
          <w:b/>
          <w:bCs/>
          <w:sz w:val="20"/>
          <w:szCs w:val="20"/>
          <w:rtl/>
        </w:rPr>
        <w:t xml:space="preserve">טעם </w:t>
      </w:r>
      <w:r>
        <w:rPr>
          <w:sz w:val="20"/>
          <w:szCs w:val="20"/>
          <w:rtl/>
        </w:rPr>
        <w:t>–</w:t>
      </w:r>
      <w:r>
        <w:rPr>
          <w:rFonts w:hint="cs"/>
          <w:sz w:val="20"/>
          <w:szCs w:val="20"/>
          <w:rtl/>
        </w:rPr>
        <w:t xml:space="preserve"> לא גרע מכל ראייה שיש לחשוש.</w:t>
      </w:r>
      <w:r>
        <w:rPr>
          <w:rFonts w:hint="cs"/>
          <w:sz w:val="20"/>
          <w:szCs w:val="20"/>
          <w:u w:val="single"/>
          <w:rtl/>
        </w:rPr>
        <w:br/>
      </w:r>
      <w:r>
        <w:rPr>
          <w:b/>
          <w:bCs/>
          <w:sz w:val="20"/>
          <w:szCs w:val="20"/>
          <w:rtl/>
        </w:rPr>
        <w:br/>
      </w:r>
      <w:r w:rsidRPr="00E03C38">
        <w:rPr>
          <w:rFonts w:hint="cs"/>
          <w:b/>
          <w:bCs/>
          <w:sz w:val="20"/>
          <w:szCs w:val="20"/>
          <w:rtl/>
        </w:rPr>
        <w:t xml:space="preserve">קפצה וראתה למחרת </w:t>
      </w:r>
      <w:r w:rsidRPr="00E03C38">
        <w:rPr>
          <w:b/>
          <w:bCs/>
          <w:sz w:val="20"/>
          <w:szCs w:val="20"/>
          <w:rtl/>
        </w:rPr>
        <w:t>–</w:t>
      </w:r>
      <w:r w:rsidRPr="00E03C38">
        <w:rPr>
          <w:rFonts w:hint="cs"/>
          <w:b/>
          <w:bCs/>
          <w:sz w:val="20"/>
          <w:szCs w:val="20"/>
          <w:rtl/>
        </w:rPr>
        <w:t xml:space="preserve"> האם קבעה ווסת לקפיצה?</w:t>
      </w:r>
      <w:r>
        <w:rPr>
          <w:b/>
          <w:bCs/>
          <w:sz w:val="20"/>
          <w:szCs w:val="20"/>
          <w:rtl/>
        </w:rPr>
        <w:br/>
      </w:r>
      <w:r>
        <w:rPr>
          <w:rFonts w:hint="cs"/>
          <w:b/>
          <w:bCs/>
          <w:sz w:val="20"/>
          <w:szCs w:val="20"/>
          <w:rtl/>
        </w:rPr>
        <w:t xml:space="preserve">גמרא </w:t>
      </w:r>
      <w:r>
        <w:rPr>
          <w:rFonts w:hint="cs"/>
          <w:sz w:val="20"/>
          <w:szCs w:val="20"/>
          <w:rtl/>
        </w:rPr>
        <w:t>נידה (יא.) "...</w:t>
      </w:r>
      <w:r w:rsidRPr="00E03C38">
        <w:rPr>
          <w:rFonts w:cs="Arial" w:hint="cs"/>
          <w:sz w:val="20"/>
          <w:szCs w:val="20"/>
          <w:rtl/>
        </w:rPr>
        <w:t>לימים</w:t>
      </w:r>
      <w:r w:rsidRPr="00E03C38">
        <w:rPr>
          <w:rFonts w:cs="Arial"/>
          <w:sz w:val="20"/>
          <w:szCs w:val="20"/>
          <w:rtl/>
        </w:rPr>
        <w:t xml:space="preserve"> </w:t>
      </w:r>
      <w:r w:rsidRPr="00E03C38">
        <w:rPr>
          <w:rFonts w:cs="Arial" w:hint="cs"/>
          <w:sz w:val="20"/>
          <w:szCs w:val="20"/>
          <w:rtl/>
        </w:rPr>
        <w:t>לחודייהו</w:t>
      </w:r>
      <w:r w:rsidRPr="00E03C38">
        <w:rPr>
          <w:rFonts w:cs="Arial"/>
          <w:sz w:val="20"/>
          <w:szCs w:val="20"/>
          <w:rtl/>
        </w:rPr>
        <w:t xml:space="preserve"> </w:t>
      </w:r>
      <w:r w:rsidRPr="00E03C38">
        <w:rPr>
          <w:rFonts w:cs="Arial" w:hint="cs"/>
          <w:sz w:val="20"/>
          <w:szCs w:val="20"/>
          <w:rtl/>
        </w:rPr>
        <w:t>פשיטא</w:t>
      </w:r>
      <w:r w:rsidRPr="00E03C38">
        <w:rPr>
          <w:rFonts w:cs="Arial"/>
          <w:sz w:val="20"/>
          <w:szCs w:val="20"/>
          <w:rtl/>
        </w:rPr>
        <w:t xml:space="preserve">! </w:t>
      </w:r>
      <w:r w:rsidRPr="00E03C38">
        <w:rPr>
          <w:rFonts w:cs="Arial" w:hint="cs"/>
          <w:sz w:val="20"/>
          <w:szCs w:val="20"/>
          <w:rtl/>
        </w:rPr>
        <w:t>אמר</w:t>
      </w:r>
      <w:r w:rsidRPr="00E03C38">
        <w:rPr>
          <w:rFonts w:cs="Arial"/>
          <w:sz w:val="20"/>
          <w:szCs w:val="20"/>
          <w:rtl/>
        </w:rPr>
        <w:t xml:space="preserve"> </w:t>
      </w:r>
      <w:r w:rsidRPr="00E03C38">
        <w:rPr>
          <w:rFonts w:cs="Arial" w:hint="cs"/>
          <w:sz w:val="20"/>
          <w:szCs w:val="20"/>
          <w:rtl/>
        </w:rPr>
        <w:t>רב</w:t>
      </w:r>
      <w:r w:rsidRPr="00E03C38">
        <w:rPr>
          <w:rFonts w:cs="Arial"/>
          <w:sz w:val="20"/>
          <w:szCs w:val="20"/>
          <w:rtl/>
        </w:rPr>
        <w:t xml:space="preserve"> </w:t>
      </w:r>
      <w:r w:rsidRPr="00E03C38">
        <w:rPr>
          <w:rFonts w:cs="Arial" w:hint="cs"/>
          <w:sz w:val="20"/>
          <w:szCs w:val="20"/>
          <w:rtl/>
        </w:rPr>
        <w:t>אשי</w:t>
      </w:r>
      <w:r w:rsidRPr="00E03C38">
        <w:rPr>
          <w:rFonts w:cs="Arial"/>
          <w:sz w:val="20"/>
          <w:szCs w:val="20"/>
          <w:rtl/>
        </w:rPr>
        <w:t xml:space="preserve">: </w:t>
      </w:r>
      <w:r w:rsidRPr="00E03C38">
        <w:rPr>
          <w:rFonts w:cs="Arial" w:hint="cs"/>
          <w:sz w:val="20"/>
          <w:szCs w:val="20"/>
          <w:rtl/>
        </w:rPr>
        <w:t>כגון</w:t>
      </w:r>
      <w:r w:rsidRPr="00E03C38">
        <w:rPr>
          <w:rFonts w:cs="Arial"/>
          <w:sz w:val="20"/>
          <w:szCs w:val="20"/>
          <w:rtl/>
        </w:rPr>
        <w:t xml:space="preserve"> </w:t>
      </w:r>
      <w:r w:rsidRPr="00E03C38">
        <w:rPr>
          <w:rFonts w:cs="Arial" w:hint="cs"/>
          <w:sz w:val="20"/>
          <w:szCs w:val="20"/>
          <w:rtl/>
        </w:rPr>
        <w:t>דקפיץ</w:t>
      </w:r>
      <w:r w:rsidRPr="00E03C38">
        <w:rPr>
          <w:rFonts w:cs="Arial"/>
          <w:sz w:val="20"/>
          <w:szCs w:val="20"/>
          <w:rtl/>
        </w:rPr>
        <w:t xml:space="preserve"> </w:t>
      </w:r>
      <w:r w:rsidRPr="00E03C38">
        <w:rPr>
          <w:rFonts w:cs="Arial" w:hint="cs"/>
          <w:sz w:val="20"/>
          <w:szCs w:val="20"/>
          <w:rtl/>
        </w:rPr>
        <w:t>בחד</w:t>
      </w:r>
      <w:r w:rsidRPr="00E03C38">
        <w:rPr>
          <w:rFonts w:cs="Arial"/>
          <w:sz w:val="20"/>
          <w:szCs w:val="20"/>
          <w:rtl/>
        </w:rPr>
        <w:t xml:space="preserve"> </w:t>
      </w:r>
      <w:r w:rsidRPr="00E03C38">
        <w:rPr>
          <w:rFonts w:cs="Arial" w:hint="cs"/>
          <w:sz w:val="20"/>
          <w:szCs w:val="20"/>
          <w:rtl/>
        </w:rPr>
        <w:t>בשבת</w:t>
      </w:r>
      <w:r w:rsidRPr="00E03C38">
        <w:rPr>
          <w:rFonts w:cs="Arial"/>
          <w:sz w:val="20"/>
          <w:szCs w:val="20"/>
          <w:rtl/>
        </w:rPr>
        <w:t xml:space="preserve"> </w:t>
      </w:r>
      <w:r w:rsidRPr="00E03C38">
        <w:rPr>
          <w:rFonts w:cs="Arial" w:hint="cs"/>
          <w:sz w:val="20"/>
          <w:szCs w:val="20"/>
          <w:rtl/>
        </w:rPr>
        <w:t>וחזאי</w:t>
      </w:r>
      <w:r w:rsidRPr="00E03C38">
        <w:rPr>
          <w:rFonts w:cs="Arial"/>
          <w:sz w:val="20"/>
          <w:szCs w:val="20"/>
          <w:rtl/>
        </w:rPr>
        <w:t xml:space="preserve">, </w:t>
      </w:r>
      <w:r w:rsidRPr="00E03C38">
        <w:rPr>
          <w:rFonts w:cs="Arial" w:hint="cs"/>
          <w:sz w:val="20"/>
          <w:szCs w:val="20"/>
          <w:rtl/>
        </w:rPr>
        <w:t>וקפיץ</w:t>
      </w:r>
      <w:r w:rsidRPr="00E03C38">
        <w:rPr>
          <w:rFonts w:cs="Arial"/>
          <w:sz w:val="20"/>
          <w:szCs w:val="20"/>
          <w:rtl/>
        </w:rPr>
        <w:t xml:space="preserve"> </w:t>
      </w:r>
      <w:r w:rsidRPr="00E03C38">
        <w:rPr>
          <w:rFonts w:cs="Arial" w:hint="cs"/>
          <w:sz w:val="20"/>
          <w:szCs w:val="20"/>
          <w:rtl/>
        </w:rPr>
        <w:t>בחד</w:t>
      </w:r>
      <w:r w:rsidRPr="00E03C38">
        <w:rPr>
          <w:rFonts w:cs="Arial"/>
          <w:sz w:val="20"/>
          <w:szCs w:val="20"/>
          <w:rtl/>
        </w:rPr>
        <w:t xml:space="preserve"> </w:t>
      </w:r>
      <w:r w:rsidRPr="00E03C38">
        <w:rPr>
          <w:rFonts w:cs="Arial" w:hint="cs"/>
          <w:sz w:val="20"/>
          <w:szCs w:val="20"/>
          <w:rtl/>
        </w:rPr>
        <w:t>בשבת</w:t>
      </w:r>
      <w:r w:rsidRPr="00E03C38">
        <w:rPr>
          <w:rFonts w:cs="Arial"/>
          <w:sz w:val="20"/>
          <w:szCs w:val="20"/>
          <w:rtl/>
        </w:rPr>
        <w:t xml:space="preserve"> </w:t>
      </w:r>
      <w:r w:rsidRPr="00E03C38">
        <w:rPr>
          <w:rFonts w:cs="Arial" w:hint="cs"/>
          <w:sz w:val="20"/>
          <w:szCs w:val="20"/>
          <w:rtl/>
        </w:rPr>
        <w:t>וחזאי</w:t>
      </w:r>
      <w:r w:rsidRPr="00E03C38">
        <w:rPr>
          <w:rFonts w:cs="Arial"/>
          <w:sz w:val="20"/>
          <w:szCs w:val="20"/>
          <w:rtl/>
        </w:rPr>
        <w:t>, [</w:t>
      </w:r>
      <w:r w:rsidRPr="00E03C38">
        <w:rPr>
          <w:rFonts w:cs="Arial" w:hint="cs"/>
          <w:sz w:val="20"/>
          <w:szCs w:val="20"/>
          <w:rtl/>
        </w:rPr>
        <w:t>ובשבת</w:t>
      </w:r>
      <w:r w:rsidRPr="00E03C38">
        <w:rPr>
          <w:rFonts w:cs="Arial"/>
          <w:sz w:val="20"/>
          <w:szCs w:val="20"/>
          <w:rtl/>
        </w:rPr>
        <w:t xml:space="preserve"> </w:t>
      </w:r>
      <w:r w:rsidRPr="00E03C38">
        <w:rPr>
          <w:rFonts w:cs="Arial" w:hint="cs"/>
          <w:sz w:val="20"/>
          <w:szCs w:val="20"/>
          <w:rtl/>
        </w:rPr>
        <w:t>קפצה</w:t>
      </w:r>
      <w:r w:rsidRPr="00E03C38">
        <w:rPr>
          <w:rFonts w:cs="Arial"/>
          <w:sz w:val="20"/>
          <w:szCs w:val="20"/>
          <w:rtl/>
        </w:rPr>
        <w:t xml:space="preserve"> </w:t>
      </w:r>
      <w:r w:rsidRPr="00E03C38">
        <w:rPr>
          <w:rFonts w:cs="Arial" w:hint="cs"/>
          <w:sz w:val="20"/>
          <w:szCs w:val="20"/>
          <w:rtl/>
        </w:rPr>
        <w:t>ולא</w:t>
      </w:r>
      <w:r w:rsidRPr="00E03C38">
        <w:rPr>
          <w:rFonts w:cs="Arial"/>
          <w:sz w:val="20"/>
          <w:szCs w:val="20"/>
          <w:rtl/>
        </w:rPr>
        <w:t xml:space="preserve"> </w:t>
      </w:r>
      <w:r w:rsidRPr="00E03C38">
        <w:rPr>
          <w:rFonts w:cs="Arial" w:hint="cs"/>
          <w:sz w:val="20"/>
          <w:szCs w:val="20"/>
          <w:rtl/>
        </w:rPr>
        <w:t>חזאי</w:t>
      </w:r>
      <w:r w:rsidRPr="00E03C38">
        <w:rPr>
          <w:rFonts w:cs="Arial"/>
          <w:sz w:val="20"/>
          <w:szCs w:val="20"/>
          <w:rtl/>
        </w:rPr>
        <w:t xml:space="preserve">], </w:t>
      </w:r>
      <w:r w:rsidRPr="00E03C38">
        <w:rPr>
          <w:rFonts w:cs="Arial" w:hint="cs"/>
          <w:sz w:val="20"/>
          <w:szCs w:val="20"/>
          <w:rtl/>
        </w:rPr>
        <w:t>ולחד</w:t>
      </w:r>
      <w:r w:rsidRPr="00E03C38">
        <w:rPr>
          <w:rFonts w:cs="Arial"/>
          <w:sz w:val="20"/>
          <w:szCs w:val="20"/>
          <w:rtl/>
        </w:rPr>
        <w:t xml:space="preserve"> </w:t>
      </w:r>
      <w:r w:rsidRPr="00E03C38">
        <w:rPr>
          <w:rFonts w:cs="Arial" w:hint="cs"/>
          <w:sz w:val="20"/>
          <w:szCs w:val="20"/>
          <w:rtl/>
        </w:rPr>
        <w:t>בשבת</w:t>
      </w:r>
      <w:r w:rsidRPr="00E03C38">
        <w:rPr>
          <w:rFonts w:cs="Arial"/>
          <w:sz w:val="20"/>
          <w:szCs w:val="20"/>
          <w:rtl/>
        </w:rPr>
        <w:t xml:space="preserve"> </w:t>
      </w:r>
      <w:r w:rsidRPr="00E03C38">
        <w:rPr>
          <w:rFonts w:cs="Arial" w:hint="cs"/>
          <w:sz w:val="20"/>
          <w:szCs w:val="20"/>
          <w:rtl/>
        </w:rPr>
        <w:t>חזאי</w:t>
      </w:r>
      <w:r w:rsidRPr="00E03C38">
        <w:rPr>
          <w:rFonts w:cs="Arial"/>
          <w:sz w:val="20"/>
          <w:szCs w:val="20"/>
          <w:rtl/>
        </w:rPr>
        <w:t xml:space="preserve"> </w:t>
      </w:r>
      <w:r w:rsidRPr="00E03C38">
        <w:rPr>
          <w:rFonts w:cs="Arial" w:hint="cs"/>
          <w:sz w:val="20"/>
          <w:szCs w:val="20"/>
          <w:rtl/>
        </w:rPr>
        <w:t>בלא</w:t>
      </w:r>
      <w:r w:rsidRPr="00E03C38">
        <w:rPr>
          <w:rFonts w:cs="Arial"/>
          <w:sz w:val="20"/>
          <w:szCs w:val="20"/>
          <w:rtl/>
        </w:rPr>
        <w:t xml:space="preserve"> </w:t>
      </w:r>
      <w:r w:rsidRPr="00E03C38">
        <w:rPr>
          <w:rFonts w:cs="Arial" w:hint="cs"/>
          <w:sz w:val="20"/>
          <w:szCs w:val="20"/>
          <w:rtl/>
        </w:rPr>
        <w:t>קפיצה</w:t>
      </w:r>
      <w:r w:rsidRPr="00E03C38">
        <w:rPr>
          <w:rFonts w:cs="Arial"/>
          <w:sz w:val="20"/>
          <w:szCs w:val="20"/>
          <w:rtl/>
        </w:rPr>
        <w:t xml:space="preserve">; </w:t>
      </w:r>
      <w:r w:rsidRPr="00E03C38">
        <w:rPr>
          <w:rFonts w:cs="Arial" w:hint="cs"/>
          <w:sz w:val="20"/>
          <w:szCs w:val="20"/>
          <w:rtl/>
        </w:rPr>
        <w:t>מהו</w:t>
      </w:r>
      <w:r w:rsidRPr="00E03C38">
        <w:rPr>
          <w:rFonts w:cs="Arial"/>
          <w:sz w:val="20"/>
          <w:szCs w:val="20"/>
          <w:rtl/>
        </w:rPr>
        <w:t xml:space="preserve"> </w:t>
      </w:r>
      <w:r w:rsidRPr="00E03C38">
        <w:rPr>
          <w:rFonts w:cs="Arial" w:hint="cs"/>
          <w:sz w:val="20"/>
          <w:szCs w:val="20"/>
          <w:rtl/>
        </w:rPr>
        <w:t>דתימא</w:t>
      </w:r>
      <w:r w:rsidRPr="00E03C38">
        <w:rPr>
          <w:rFonts w:cs="Arial"/>
          <w:sz w:val="20"/>
          <w:szCs w:val="20"/>
          <w:rtl/>
        </w:rPr>
        <w:t xml:space="preserve">: </w:t>
      </w:r>
      <w:r w:rsidRPr="00E03C38">
        <w:rPr>
          <w:rFonts w:cs="Arial" w:hint="cs"/>
          <w:sz w:val="20"/>
          <w:szCs w:val="20"/>
          <w:rtl/>
        </w:rPr>
        <w:t>איגלאי</w:t>
      </w:r>
      <w:r w:rsidRPr="00E03C38">
        <w:rPr>
          <w:rFonts w:cs="Arial"/>
          <w:sz w:val="20"/>
          <w:szCs w:val="20"/>
          <w:rtl/>
        </w:rPr>
        <w:t xml:space="preserve"> </w:t>
      </w:r>
      <w:r w:rsidRPr="00E03C38">
        <w:rPr>
          <w:rFonts w:cs="Arial" w:hint="cs"/>
          <w:sz w:val="20"/>
          <w:szCs w:val="20"/>
          <w:rtl/>
        </w:rPr>
        <w:t>מילתא</w:t>
      </w:r>
      <w:r w:rsidRPr="00E03C38">
        <w:rPr>
          <w:rFonts w:cs="Arial"/>
          <w:sz w:val="20"/>
          <w:szCs w:val="20"/>
          <w:rtl/>
        </w:rPr>
        <w:t xml:space="preserve"> </w:t>
      </w:r>
      <w:r w:rsidRPr="00E03C38">
        <w:rPr>
          <w:rFonts w:cs="Arial" w:hint="cs"/>
          <w:sz w:val="20"/>
          <w:szCs w:val="20"/>
          <w:rtl/>
        </w:rPr>
        <w:t>למפרע</w:t>
      </w:r>
      <w:r w:rsidRPr="00E03C38">
        <w:rPr>
          <w:rFonts w:cs="Arial"/>
          <w:sz w:val="20"/>
          <w:szCs w:val="20"/>
          <w:rtl/>
        </w:rPr>
        <w:t xml:space="preserve"> </w:t>
      </w:r>
      <w:r w:rsidRPr="00E03C38">
        <w:rPr>
          <w:rFonts w:cs="Arial" w:hint="cs"/>
          <w:sz w:val="20"/>
          <w:szCs w:val="20"/>
          <w:rtl/>
        </w:rPr>
        <w:t>דיומא</w:t>
      </w:r>
      <w:r w:rsidRPr="00E03C38">
        <w:rPr>
          <w:rFonts w:cs="Arial"/>
          <w:sz w:val="20"/>
          <w:szCs w:val="20"/>
          <w:rtl/>
        </w:rPr>
        <w:t xml:space="preserve"> </w:t>
      </w:r>
      <w:r w:rsidRPr="00E03C38">
        <w:rPr>
          <w:rFonts w:cs="Arial" w:hint="cs"/>
          <w:sz w:val="20"/>
          <w:szCs w:val="20"/>
          <w:rtl/>
        </w:rPr>
        <w:t>הוא</w:t>
      </w:r>
      <w:r w:rsidRPr="00E03C38">
        <w:rPr>
          <w:rFonts w:cs="Arial"/>
          <w:sz w:val="20"/>
          <w:szCs w:val="20"/>
          <w:rtl/>
        </w:rPr>
        <w:t xml:space="preserve"> </w:t>
      </w:r>
      <w:r w:rsidRPr="00E03C38">
        <w:rPr>
          <w:rFonts w:cs="Arial" w:hint="cs"/>
          <w:sz w:val="20"/>
          <w:szCs w:val="20"/>
          <w:rtl/>
        </w:rPr>
        <w:t>דקגרים</w:t>
      </w:r>
      <w:r w:rsidRPr="00E03C38">
        <w:rPr>
          <w:rFonts w:cs="Arial"/>
          <w:sz w:val="20"/>
          <w:szCs w:val="20"/>
          <w:rtl/>
        </w:rPr>
        <w:t xml:space="preserve"> </w:t>
      </w:r>
      <w:r w:rsidRPr="00E03C38">
        <w:rPr>
          <w:rFonts w:cs="Arial" w:hint="cs"/>
          <w:sz w:val="20"/>
          <w:szCs w:val="20"/>
          <w:rtl/>
        </w:rPr>
        <w:t>ולא</w:t>
      </w:r>
      <w:r w:rsidRPr="00E03C38">
        <w:rPr>
          <w:rFonts w:cs="Arial"/>
          <w:sz w:val="20"/>
          <w:szCs w:val="20"/>
          <w:rtl/>
        </w:rPr>
        <w:t xml:space="preserve"> </w:t>
      </w:r>
      <w:r w:rsidRPr="00E03C38">
        <w:rPr>
          <w:rFonts w:cs="Arial" w:hint="cs"/>
          <w:sz w:val="20"/>
          <w:szCs w:val="20"/>
          <w:rtl/>
        </w:rPr>
        <w:t>קפיצה</w:t>
      </w:r>
      <w:r w:rsidRPr="00E03C38">
        <w:rPr>
          <w:rFonts w:cs="Arial"/>
          <w:sz w:val="20"/>
          <w:szCs w:val="20"/>
          <w:rtl/>
        </w:rPr>
        <w:t xml:space="preserve">, </w:t>
      </w:r>
      <w:r w:rsidRPr="00E03C38">
        <w:rPr>
          <w:rFonts w:cs="Arial" w:hint="cs"/>
          <w:sz w:val="20"/>
          <w:szCs w:val="20"/>
          <w:rtl/>
        </w:rPr>
        <w:t>קמ</w:t>
      </w:r>
      <w:r w:rsidRPr="00E03C38">
        <w:rPr>
          <w:rFonts w:cs="Arial"/>
          <w:sz w:val="20"/>
          <w:szCs w:val="20"/>
          <w:rtl/>
        </w:rPr>
        <w:t>"</w:t>
      </w:r>
      <w:r w:rsidRPr="00E03C38">
        <w:rPr>
          <w:rFonts w:cs="Arial" w:hint="cs"/>
          <w:sz w:val="20"/>
          <w:szCs w:val="20"/>
          <w:rtl/>
        </w:rPr>
        <w:t>ל</w:t>
      </w:r>
      <w:r w:rsidRPr="00E03C38">
        <w:rPr>
          <w:rFonts w:cs="Arial"/>
          <w:sz w:val="20"/>
          <w:szCs w:val="20"/>
          <w:rtl/>
        </w:rPr>
        <w:t xml:space="preserve"> </w:t>
      </w:r>
      <w:r w:rsidRPr="00E03C38">
        <w:rPr>
          <w:rFonts w:cs="Arial" w:hint="cs"/>
          <w:sz w:val="20"/>
          <w:szCs w:val="20"/>
          <w:rtl/>
        </w:rPr>
        <w:t>דקפיצה</w:t>
      </w:r>
      <w:r w:rsidRPr="00E03C38">
        <w:rPr>
          <w:rFonts w:cs="Arial"/>
          <w:sz w:val="20"/>
          <w:szCs w:val="20"/>
          <w:rtl/>
        </w:rPr>
        <w:t xml:space="preserve"> </w:t>
      </w:r>
      <w:r w:rsidRPr="00E03C38">
        <w:rPr>
          <w:rFonts w:cs="Arial" w:hint="cs"/>
          <w:sz w:val="20"/>
          <w:szCs w:val="20"/>
          <w:rtl/>
        </w:rPr>
        <w:t>נמי</w:t>
      </w:r>
      <w:r w:rsidRPr="00E03C38">
        <w:rPr>
          <w:rFonts w:cs="Arial"/>
          <w:sz w:val="20"/>
          <w:szCs w:val="20"/>
          <w:rtl/>
        </w:rPr>
        <w:t xml:space="preserve"> </w:t>
      </w:r>
      <w:r w:rsidRPr="00E03C38">
        <w:rPr>
          <w:rFonts w:cs="Arial" w:hint="cs"/>
          <w:sz w:val="20"/>
          <w:szCs w:val="20"/>
          <w:rtl/>
        </w:rPr>
        <w:t>דאתמול</w:t>
      </w:r>
      <w:r w:rsidRPr="00E03C38">
        <w:rPr>
          <w:rFonts w:cs="Arial"/>
          <w:sz w:val="20"/>
          <w:szCs w:val="20"/>
          <w:rtl/>
        </w:rPr>
        <w:t xml:space="preserve"> </w:t>
      </w:r>
      <w:r w:rsidRPr="00E03C38">
        <w:rPr>
          <w:rFonts w:cs="Arial" w:hint="cs"/>
          <w:sz w:val="20"/>
          <w:szCs w:val="20"/>
          <w:rtl/>
        </w:rPr>
        <w:t>גרמא</w:t>
      </w:r>
      <w:r w:rsidRPr="00E03C38">
        <w:rPr>
          <w:rFonts w:cs="Arial"/>
          <w:sz w:val="20"/>
          <w:szCs w:val="20"/>
          <w:rtl/>
        </w:rPr>
        <w:t xml:space="preserve">, </w:t>
      </w:r>
      <w:r w:rsidRPr="00E03C38">
        <w:rPr>
          <w:rFonts w:cs="Arial" w:hint="cs"/>
          <w:sz w:val="20"/>
          <w:szCs w:val="20"/>
          <w:rtl/>
        </w:rPr>
        <w:t>והאי</w:t>
      </w:r>
      <w:r w:rsidRPr="00E03C38">
        <w:rPr>
          <w:rFonts w:cs="Arial"/>
          <w:sz w:val="20"/>
          <w:szCs w:val="20"/>
          <w:rtl/>
        </w:rPr>
        <w:t xml:space="preserve"> </w:t>
      </w:r>
      <w:r w:rsidRPr="00E03C38">
        <w:rPr>
          <w:rFonts w:cs="Arial" w:hint="cs"/>
          <w:sz w:val="20"/>
          <w:szCs w:val="20"/>
          <w:rtl/>
        </w:rPr>
        <w:t>דלא</w:t>
      </w:r>
      <w:r w:rsidRPr="00E03C38">
        <w:rPr>
          <w:rFonts w:cs="Arial"/>
          <w:sz w:val="20"/>
          <w:szCs w:val="20"/>
          <w:rtl/>
        </w:rPr>
        <w:t xml:space="preserve"> </w:t>
      </w:r>
      <w:r w:rsidRPr="00E03C38">
        <w:rPr>
          <w:rFonts w:cs="Arial" w:hint="cs"/>
          <w:sz w:val="20"/>
          <w:szCs w:val="20"/>
          <w:rtl/>
        </w:rPr>
        <w:t>חזאי</w:t>
      </w:r>
      <w:r w:rsidRPr="00E03C38">
        <w:rPr>
          <w:rFonts w:cs="Arial"/>
          <w:sz w:val="20"/>
          <w:szCs w:val="20"/>
          <w:rtl/>
        </w:rPr>
        <w:t xml:space="preserve"> - </w:t>
      </w:r>
      <w:r w:rsidRPr="00E03C38">
        <w:rPr>
          <w:rFonts w:cs="Arial" w:hint="cs"/>
          <w:sz w:val="20"/>
          <w:szCs w:val="20"/>
          <w:rtl/>
        </w:rPr>
        <w:t>משום</w:t>
      </w:r>
      <w:r w:rsidRPr="00E03C38">
        <w:rPr>
          <w:rFonts w:cs="Arial"/>
          <w:sz w:val="20"/>
          <w:szCs w:val="20"/>
          <w:rtl/>
        </w:rPr>
        <w:t xml:space="preserve"> </w:t>
      </w:r>
      <w:r w:rsidRPr="00E03C38">
        <w:rPr>
          <w:rFonts w:cs="Arial" w:hint="cs"/>
          <w:sz w:val="20"/>
          <w:szCs w:val="20"/>
          <w:rtl/>
        </w:rPr>
        <w:t>דאכתי</w:t>
      </w:r>
      <w:r w:rsidRPr="00E03C38">
        <w:rPr>
          <w:rFonts w:cs="Arial"/>
          <w:sz w:val="20"/>
          <w:szCs w:val="20"/>
          <w:rtl/>
        </w:rPr>
        <w:t xml:space="preserve"> </w:t>
      </w:r>
      <w:r w:rsidRPr="00E03C38">
        <w:rPr>
          <w:rFonts w:cs="Arial" w:hint="cs"/>
          <w:sz w:val="20"/>
          <w:szCs w:val="20"/>
          <w:rtl/>
        </w:rPr>
        <w:t>לא</w:t>
      </w:r>
      <w:r w:rsidRPr="00E03C38">
        <w:rPr>
          <w:rFonts w:cs="Arial"/>
          <w:sz w:val="20"/>
          <w:szCs w:val="20"/>
          <w:rtl/>
        </w:rPr>
        <w:t xml:space="preserve"> </w:t>
      </w:r>
      <w:r w:rsidRPr="00E03C38">
        <w:rPr>
          <w:rFonts w:cs="Arial" w:hint="cs"/>
          <w:sz w:val="20"/>
          <w:szCs w:val="20"/>
          <w:rtl/>
        </w:rPr>
        <w:t>מטא</w:t>
      </w:r>
      <w:r w:rsidRPr="00E03C38">
        <w:rPr>
          <w:rFonts w:cs="Arial"/>
          <w:sz w:val="20"/>
          <w:szCs w:val="20"/>
          <w:rtl/>
        </w:rPr>
        <w:t xml:space="preserve"> </w:t>
      </w:r>
      <w:r w:rsidRPr="00E03C38">
        <w:rPr>
          <w:rFonts w:cs="Arial" w:hint="cs"/>
          <w:sz w:val="20"/>
          <w:szCs w:val="20"/>
          <w:rtl/>
        </w:rPr>
        <w:t>זמן</w:t>
      </w:r>
      <w:r w:rsidRPr="00E03C38">
        <w:rPr>
          <w:rFonts w:cs="Arial"/>
          <w:sz w:val="20"/>
          <w:szCs w:val="20"/>
          <w:rtl/>
        </w:rPr>
        <w:t xml:space="preserve"> </w:t>
      </w:r>
      <w:r w:rsidRPr="00E03C38">
        <w:rPr>
          <w:rFonts w:cs="Arial" w:hint="cs"/>
          <w:sz w:val="20"/>
          <w:szCs w:val="20"/>
          <w:rtl/>
        </w:rPr>
        <w:t>קפיצה</w:t>
      </w:r>
      <w:r w:rsidRPr="00E03C38">
        <w:rPr>
          <w:rFonts w:cs="Arial"/>
          <w:sz w:val="20"/>
          <w:szCs w:val="20"/>
          <w:rtl/>
        </w:rPr>
        <w:t xml:space="preserve">. </w:t>
      </w:r>
      <w:r w:rsidRPr="00E03C38">
        <w:rPr>
          <w:rFonts w:cs="Arial" w:hint="cs"/>
          <w:sz w:val="20"/>
          <w:szCs w:val="20"/>
          <w:rtl/>
        </w:rPr>
        <w:t>לישנא</w:t>
      </w:r>
      <w:r w:rsidRPr="00E03C38">
        <w:rPr>
          <w:rFonts w:cs="Arial"/>
          <w:sz w:val="20"/>
          <w:szCs w:val="20"/>
          <w:rtl/>
        </w:rPr>
        <w:t xml:space="preserve"> </w:t>
      </w:r>
      <w:r w:rsidRPr="00E03C38">
        <w:rPr>
          <w:rFonts w:cs="Arial" w:hint="cs"/>
          <w:sz w:val="20"/>
          <w:szCs w:val="20"/>
          <w:rtl/>
        </w:rPr>
        <w:t>אחרינא</w:t>
      </w:r>
      <w:r w:rsidRPr="00E03C38">
        <w:rPr>
          <w:rFonts w:cs="Arial"/>
          <w:sz w:val="20"/>
          <w:szCs w:val="20"/>
          <w:rtl/>
        </w:rPr>
        <w:t xml:space="preserve">, </w:t>
      </w:r>
      <w:r w:rsidRPr="00E03C38">
        <w:rPr>
          <w:rFonts w:cs="Arial" w:hint="cs"/>
          <w:sz w:val="20"/>
          <w:szCs w:val="20"/>
          <w:rtl/>
        </w:rPr>
        <w:t>א</w:t>
      </w:r>
      <w:r>
        <w:rPr>
          <w:rFonts w:cs="Arial" w:hint="cs"/>
          <w:sz w:val="20"/>
          <w:szCs w:val="20"/>
          <w:rtl/>
        </w:rPr>
        <w:t xml:space="preserve">מר </w:t>
      </w:r>
      <w:r w:rsidRPr="00E03C38">
        <w:rPr>
          <w:rFonts w:cs="Arial" w:hint="cs"/>
          <w:sz w:val="20"/>
          <w:szCs w:val="20"/>
          <w:rtl/>
        </w:rPr>
        <w:t>ר</w:t>
      </w:r>
      <w:r>
        <w:rPr>
          <w:rFonts w:cs="Arial" w:hint="cs"/>
          <w:sz w:val="20"/>
          <w:szCs w:val="20"/>
          <w:rtl/>
        </w:rPr>
        <w:t>ב</w:t>
      </w:r>
      <w:r w:rsidRPr="00E03C38">
        <w:rPr>
          <w:rFonts w:cs="Arial"/>
          <w:sz w:val="20"/>
          <w:szCs w:val="20"/>
          <w:rtl/>
        </w:rPr>
        <w:t xml:space="preserve"> </w:t>
      </w:r>
      <w:r w:rsidRPr="00E03C38">
        <w:rPr>
          <w:rFonts w:cs="Arial" w:hint="cs"/>
          <w:sz w:val="20"/>
          <w:szCs w:val="20"/>
          <w:rtl/>
        </w:rPr>
        <w:t>הונא</w:t>
      </w:r>
      <w:r w:rsidRPr="00E03C38">
        <w:rPr>
          <w:rFonts w:cs="Arial"/>
          <w:sz w:val="20"/>
          <w:szCs w:val="20"/>
          <w:rtl/>
        </w:rPr>
        <w:t xml:space="preserve">: </w:t>
      </w:r>
      <w:r w:rsidRPr="00E03C38">
        <w:rPr>
          <w:rFonts w:cs="Arial" w:hint="cs"/>
          <w:sz w:val="20"/>
          <w:szCs w:val="20"/>
          <w:rtl/>
        </w:rPr>
        <w:t>קפצה</w:t>
      </w:r>
      <w:r w:rsidRPr="00E03C38">
        <w:rPr>
          <w:rFonts w:cs="Arial"/>
          <w:sz w:val="20"/>
          <w:szCs w:val="20"/>
          <w:rtl/>
        </w:rPr>
        <w:t xml:space="preserve"> </w:t>
      </w:r>
      <w:r w:rsidRPr="00E03C38">
        <w:rPr>
          <w:rFonts w:cs="Arial" w:hint="cs"/>
          <w:sz w:val="20"/>
          <w:szCs w:val="20"/>
          <w:rtl/>
        </w:rPr>
        <w:t>וראתה</w:t>
      </w:r>
      <w:r w:rsidRPr="00E03C38">
        <w:rPr>
          <w:rFonts w:cs="Arial"/>
          <w:sz w:val="20"/>
          <w:szCs w:val="20"/>
          <w:rtl/>
        </w:rPr>
        <w:t xml:space="preserve">, </w:t>
      </w:r>
      <w:r w:rsidRPr="00E03C38">
        <w:rPr>
          <w:rFonts w:cs="Arial" w:hint="cs"/>
          <w:sz w:val="20"/>
          <w:szCs w:val="20"/>
          <w:rtl/>
        </w:rPr>
        <w:t>קפצה</w:t>
      </w:r>
      <w:r w:rsidRPr="00E03C38">
        <w:rPr>
          <w:rFonts w:cs="Arial"/>
          <w:sz w:val="20"/>
          <w:szCs w:val="20"/>
          <w:rtl/>
        </w:rPr>
        <w:t xml:space="preserve"> </w:t>
      </w:r>
      <w:r w:rsidRPr="00E03C38">
        <w:rPr>
          <w:rFonts w:cs="Arial" w:hint="cs"/>
          <w:sz w:val="20"/>
          <w:szCs w:val="20"/>
          <w:rtl/>
        </w:rPr>
        <w:t>וראתה</w:t>
      </w:r>
      <w:r w:rsidRPr="00E03C38">
        <w:rPr>
          <w:rFonts w:cs="Arial"/>
          <w:sz w:val="20"/>
          <w:szCs w:val="20"/>
          <w:rtl/>
        </w:rPr>
        <w:t xml:space="preserve">, </w:t>
      </w:r>
      <w:r w:rsidRPr="00E03C38">
        <w:rPr>
          <w:rFonts w:cs="Arial" w:hint="cs"/>
          <w:sz w:val="20"/>
          <w:szCs w:val="20"/>
          <w:rtl/>
        </w:rPr>
        <w:t>קפצה</w:t>
      </w:r>
      <w:r w:rsidRPr="00E03C38">
        <w:rPr>
          <w:rFonts w:cs="Arial"/>
          <w:sz w:val="20"/>
          <w:szCs w:val="20"/>
          <w:rtl/>
        </w:rPr>
        <w:t xml:space="preserve"> </w:t>
      </w:r>
      <w:r w:rsidRPr="00E03C38">
        <w:rPr>
          <w:rFonts w:cs="Arial" w:hint="cs"/>
          <w:sz w:val="20"/>
          <w:szCs w:val="20"/>
          <w:rtl/>
        </w:rPr>
        <w:t>וראתה</w:t>
      </w:r>
      <w:r w:rsidRPr="00E03C38">
        <w:rPr>
          <w:rFonts w:cs="Arial"/>
          <w:sz w:val="20"/>
          <w:szCs w:val="20"/>
          <w:rtl/>
        </w:rPr>
        <w:t xml:space="preserve"> - </w:t>
      </w:r>
      <w:r w:rsidRPr="00E03C38">
        <w:rPr>
          <w:rFonts w:cs="Arial" w:hint="cs"/>
          <w:sz w:val="20"/>
          <w:szCs w:val="20"/>
          <w:rtl/>
        </w:rPr>
        <w:t>קבעה</w:t>
      </w:r>
      <w:r w:rsidRPr="00E03C38">
        <w:rPr>
          <w:rFonts w:cs="Arial"/>
          <w:sz w:val="20"/>
          <w:szCs w:val="20"/>
          <w:rtl/>
        </w:rPr>
        <w:t xml:space="preserve"> </w:t>
      </w:r>
      <w:r w:rsidRPr="00E03C38">
        <w:rPr>
          <w:rFonts w:cs="Arial" w:hint="cs"/>
          <w:sz w:val="20"/>
          <w:szCs w:val="20"/>
          <w:rtl/>
        </w:rPr>
        <w:t>לה</w:t>
      </w:r>
      <w:r w:rsidRPr="00E03C38">
        <w:rPr>
          <w:rFonts w:cs="Arial"/>
          <w:sz w:val="20"/>
          <w:szCs w:val="20"/>
          <w:rtl/>
        </w:rPr>
        <w:t xml:space="preserve"> </w:t>
      </w:r>
      <w:r w:rsidRPr="00E03C38">
        <w:rPr>
          <w:rFonts w:cs="Arial" w:hint="cs"/>
          <w:sz w:val="20"/>
          <w:szCs w:val="20"/>
          <w:rtl/>
        </w:rPr>
        <w:t>וסת</w:t>
      </w:r>
      <w:r w:rsidRPr="00E03C38">
        <w:rPr>
          <w:rFonts w:cs="Arial"/>
          <w:sz w:val="20"/>
          <w:szCs w:val="20"/>
          <w:rtl/>
        </w:rPr>
        <w:t xml:space="preserve"> </w:t>
      </w:r>
      <w:r w:rsidRPr="00E03C38">
        <w:rPr>
          <w:rFonts w:cs="Arial" w:hint="cs"/>
          <w:sz w:val="20"/>
          <w:szCs w:val="20"/>
          <w:rtl/>
        </w:rPr>
        <w:t>לימים</w:t>
      </w:r>
      <w:r w:rsidRPr="00E03C38">
        <w:rPr>
          <w:rFonts w:cs="Arial"/>
          <w:sz w:val="20"/>
          <w:szCs w:val="20"/>
          <w:rtl/>
        </w:rPr>
        <w:t xml:space="preserve"> </w:t>
      </w:r>
      <w:r w:rsidRPr="00E03C38">
        <w:rPr>
          <w:rFonts w:cs="Arial" w:hint="cs"/>
          <w:sz w:val="20"/>
          <w:szCs w:val="20"/>
          <w:rtl/>
        </w:rPr>
        <w:t>ולא</w:t>
      </w:r>
      <w:r w:rsidRPr="00E03C38">
        <w:rPr>
          <w:rFonts w:cs="Arial"/>
          <w:sz w:val="20"/>
          <w:szCs w:val="20"/>
          <w:rtl/>
        </w:rPr>
        <w:t xml:space="preserve"> </w:t>
      </w:r>
      <w:r w:rsidRPr="00E03C38">
        <w:rPr>
          <w:rFonts w:cs="Arial" w:hint="cs"/>
          <w:sz w:val="20"/>
          <w:szCs w:val="20"/>
          <w:rtl/>
        </w:rPr>
        <w:t>לקפיצות</w:t>
      </w:r>
      <w:r w:rsidRPr="00E03C38">
        <w:rPr>
          <w:rFonts w:cs="Arial"/>
          <w:sz w:val="20"/>
          <w:szCs w:val="20"/>
          <w:rtl/>
        </w:rPr>
        <w:t xml:space="preserve">. </w:t>
      </w:r>
      <w:r w:rsidRPr="00E03C38">
        <w:rPr>
          <w:rFonts w:cs="Arial" w:hint="cs"/>
          <w:sz w:val="20"/>
          <w:szCs w:val="20"/>
          <w:rtl/>
        </w:rPr>
        <w:t>היכי</w:t>
      </w:r>
      <w:r w:rsidRPr="00E03C38">
        <w:rPr>
          <w:rFonts w:cs="Arial"/>
          <w:sz w:val="20"/>
          <w:szCs w:val="20"/>
          <w:rtl/>
        </w:rPr>
        <w:t xml:space="preserve"> </w:t>
      </w:r>
      <w:r w:rsidRPr="00E03C38">
        <w:rPr>
          <w:rFonts w:cs="Arial" w:hint="cs"/>
          <w:sz w:val="20"/>
          <w:szCs w:val="20"/>
          <w:rtl/>
        </w:rPr>
        <w:t>דמי</w:t>
      </w:r>
      <w:r w:rsidRPr="00E03C38">
        <w:rPr>
          <w:rFonts w:cs="Arial"/>
          <w:sz w:val="20"/>
          <w:szCs w:val="20"/>
          <w:rtl/>
        </w:rPr>
        <w:t xml:space="preserve">? </w:t>
      </w:r>
      <w:r w:rsidRPr="00E03C38">
        <w:rPr>
          <w:rFonts w:cs="Arial" w:hint="cs"/>
          <w:sz w:val="20"/>
          <w:szCs w:val="20"/>
          <w:rtl/>
        </w:rPr>
        <w:t>א</w:t>
      </w:r>
      <w:r>
        <w:rPr>
          <w:rFonts w:cs="Arial" w:hint="cs"/>
          <w:sz w:val="20"/>
          <w:szCs w:val="20"/>
          <w:rtl/>
        </w:rPr>
        <w:t xml:space="preserve">מר </w:t>
      </w:r>
      <w:r w:rsidRPr="00E03C38">
        <w:rPr>
          <w:rFonts w:cs="Arial" w:hint="cs"/>
          <w:sz w:val="20"/>
          <w:szCs w:val="20"/>
          <w:rtl/>
        </w:rPr>
        <w:t>ר</w:t>
      </w:r>
      <w:r>
        <w:rPr>
          <w:rFonts w:cs="Arial" w:hint="cs"/>
          <w:sz w:val="20"/>
          <w:szCs w:val="20"/>
          <w:rtl/>
        </w:rPr>
        <w:t>ב</w:t>
      </w:r>
      <w:r w:rsidRPr="00E03C38">
        <w:rPr>
          <w:rFonts w:cs="Arial"/>
          <w:sz w:val="20"/>
          <w:szCs w:val="20"/>
          <w:rtl/>
        </w:rPr>
        <w:t xml:space="preserve"> </w:t>
      </w:r>
      <w:r w:rsidRPr="00E03C38">
        <w:rPr>
          <w:rFonts w:cs="Arial" w:hint="cs"/>
          <w:sz w:val="20"/>
          <w:szCs w:val="20"/>
          <w:rtl/>
        </w:rPr>
        <w:t>אשי</w:t>
      </w:r>
      <w:r w:rsidRPr="00E03C38">
        <w:rPr>
          <w:rFonts w:cs="Arial"/>
          <w:sz w:val="20"/>
          <w:szCs w:val="20"/>
          <w:rtl/>
        </w:rPr>
        <w:t xml:space="preserve">: </w:t>
      </w:r>
      <w:r w:rsidRPr="00E03C38">
        <w:rPr>
          <w:rFonts w:cs="Arial" w:hint="cs"/>
          <w:sz w:val="20"/>
          <w:szCs w:val="20"/>
          <w:rtl/>
        </w:rPr>
        <w:t>דקפיץ</w:t>
      </w:r>
      <w:r w:rsidRPr="00E03C38">
        <w:rPr>
          <w:rFonts w:cs="Arial"/>
          <w:sz w:val="20"/>
          <w:szCs w:val="20"/>
          <w:rtl/>
        </w:rPr>
        <w:t xml:space="preserve"> </w:t>
      </w:r>
      <w:r w:rsidRPr="00E03C38">
        <w:rPr>
          <w:rFonts w:cs="Arial" w:hint="cs"/>
          <w:sz w:val="20"/>
          <w:szCs w:val="20"/>
          <w:rtl/>
        </w:rPr>
        <w:t>בחד</w:t>
      </w:r>
      <w:r w:rsidRPr="00E03C38">
        <w:rPr>
          <w:rFonts w:cs="Arial"/>
          <w:sz w:val="20"/>
          <w:szCs w:val="20"/>
          <w:rtl/>
        </w:rPr>
        <w:t xml:space="preserve"> </w:t>
      </w:r>
      <w:r w:rsidRPr="00E03C38">
        <w:rPr>
          <w:rFonts w:cs="Arial" w:hint="cs"/>
          <w:sz w:val="20"/>
          <w:szCs w:val="20"/>
          <w:rtl/>
        </w:rPr>
        <w:t>בשבת</w:t>
      </w:r>
      <w:r w:rsidRPr="00E03C38">
        <w:rPr>
          <w:rFonts w:cs="Arial"/>
          <w:sz w:val="20"/>
          <w:szCs w:val="20"/>
          <w:rtl/>
        </w:rPr>
        <w:t xml:space="preserve"> </w:t>
      </w:r>
      <w:r w:rsidRPr="00E03C38">
        <w:rPr>
          <w:rFonts w:cs="Arial" w:hint="cs"/>
          <w:sz w:val="20"/>
          <w:szCs w:val="20"/>
          <w:rtl/>
        </w:rPr>
        <w:t>וחזאי</w:t>
      </w:r>
      <w:r w:rsidRPr="00E03C38">
        <w:rPr>
          <w:rFonts w:cs="Arial"/>
          <w:sz w:val="20"/>
          <w:szCs w:val="20"/>
          <w:rtl/>
        </w:rPr>
        <w:t xml:space="preserve">, </w:t>
      </w:r>
      <w:r w:rsidRPr="00E03C38">
        <w:rPr>
          <w:rFonts w:cs="Arial" w:hint="cs"/>
          <w:sz w:val="20"/>
          <w:szCs w:val="20"/>
          <w:rtl/>
        </w:rPr>
        <w:t>וקפיץ</w:t>
      </w:r>
      <w:r w:rsidRPr="00E03C38">
        <w:rPr>
          <w:rFonts w:cs="Arial"/>
          <w:sz w:val="20"/>
          <w:szCs w:val="20"/>
          <w:rtl/>
        </w:rPr>
        <w:t xml:space="preserve"> </w:t>
      </w:r>
      <w:r w:rsidRPr="00E03C38">
        <w:rPr>
          <w:rFonts w:cs="Arial" w:hint="cs"/>
          <w:sz w:val="20"/>
          <w:szCs w:val="20"/>
          <w:rtl/>
        </w:rPr>
        <w:t>בחד</w:t>
      </w:r>
      <w:r w:rsidRPr="00E03C38">
        <w:rPr>
          <w:rFonts w:cs="Arial"/>
          <w:sz w:val="20"/>
          <w:szCs w:val="20"/>
          <w:rtl/>
        </w:rPr>
        <w:t xml:space="preserve"> </w:t>
      </w:r>
      <w:r w:rsidRPr="00E03C38">
        <w:rPr>
          <w:rFonts w:cs="Arial" w:hint="cs"/>
          <w:sz w:val="20"/>
          <w:szCs w:val="20"/>
          <w:rtl/>
        </w:rPr>
        <w:t>בשבת</w:t>
      </w:r>
      <w:r w:rsidRPr="00E03C38">
        <w:rPr>
          <w:rFonts w:cs="Arial"/>
          <w:sz w:val="20"/>
          <w:szCs w:val="20"/>
          <w:rtl/>
        </w:rPr>
        <w:t xml:space="preserve"> </w:t>
      </w:r>
      <w:r w:rsidRPr="00E03C38">
        <w:rPr>
          <w:rFonts w:cs="Arial" w:hint="cs"/>
          <w:sz w:val="20"/>
          <w:szCs w:val="20"/>
          <w:rtl/>
        </w:rPr>
        <w:t>וחזאי</w:t>
      </w:r>
      <w:r w:rsidRPr="00E03C38">
        <w:rPr>
          <w:rFonts w:cs="Arial"/>
          <w:sz w:val="20"/>
          <w:szCs w:val="20"/>
          <w:rtl/>
        </w:rPr>
        <w:t xml:space="preserve">, </w:t>
      </w:r>
      <w:r w:rsidRPr="00E03C38">
        <w:rPr>
          <w:rFonts w:cs="Arial" w:hint="cs"/>
          <w:sz w:val="20"/>
          <w:szCs w:val="20"/>
          <w:rtl/>
        </w:rPr>
        <w:t>ולחד</w:t>
      </w:r>
      <w:r w:rsidRPr="00E03C38">
        <w:rPr>
          <w:rFonts w:cs="Arial"/>
          <w:sz w:val="20"/>
          <w:szCs w:val="20"/>
          <w:rtl/>
        </w:rPr>
        <w:t xml:space="preserve"> </w:t>
      </w:r>
      <w:r w:rsidRPr="00E03C38">
        <w:rPr>
          <w:rFonts w:cs="Arial" w:hint="cs"/>
          <w:sz w:val="20"/>
          <w:szCs w:val="20"/>
          <w:rtl/>
        </w:rPr>
        <w:t>בשבת</w:t>
      </w:r>
      <w:r w:rsidRPr="00E03C38">
        <w:rPr>
          <w:rFonts w:cs="Arial"/>
          <w:sz w:val="20"/>
          <w:szCs w:val="20"/>
          <w:rtl/>
        </w:rPr>
        <w:t xml:space="preserve"> (</w:t>
      </w:r>
      <w:r w:rsidRPr="00E03C38">
        <w:rPr>
          <w:rFonts w:cs="Arial" w:hint="cs"/>
          <w:sz w:val="20"/>
          <w:szCs w:val="20"/>
          <w:rtl/>
        </w:rPr>
        <w:t>אחרינא</w:t>
      </w:r>
      <w:r w:rsidRPr="00E03C38">
        <w:rPr>
          <w:rFonts w:cs="Arial"/>
          <w:sz w:val="20"/>
          <w:szCs w:val="20"/>
          <w:rtl/>
        </w:rPr>
        <w:t xml:space="preserve">) </w:t>
      </w:r>
      <w:r w:rsidRPr="00E03C38">
        <w:rPr>
          <w:rFonts w:cs="Arial" w:hint="cs"/>
          <w:sz w:val="20"/>
          <w:szCs w:val="20"/>
          <w:rtl/>
        </w:rPr>
        <w:t>חזאי</w:t>
      </w:r>
      <w:r w:rsidRPr="00E03C38">
        <w:rPr>
          <w:rFonts w:cs="Arial"/>
          <w:sz w:val="20"/>
          <w:szCs w:val="20"/>
          <w:rtl/>
        </w:rPr>
        <w:t xml:space="preserve"> </w:t>
      </w:r>
      <w:r w:rsidRPr="00E03C38">
        <w:rPr>
          <w:rFonts w:cs="Arial" w:hint="cs"/>
          <w:sz w:val="20"/>
          <w:szCs w:val="20"/>
          <w:rtl/>
        </w:rPr>
        <w:t>בלא</w:t>
      </w:r>
      <w:r w:rsidRPr="00E03C38">
        <w:rPr>
          <w:rFonts w:cs="Arial"/>
          <w:sz w:val="20"/>
          <w:szCs w:val="20"/>
          <w:rtl/>
        </w:rPr>
        <w:t xml:space="preserve"> </w:t>
      </w:r>
      <w:r w:rsidRPr="00E03C38">
        <w:rPr>
          <w:rFonts w:cs="Arial" w:hint="cs"/>
          <w:sz w:val="20"/>
          <w:szCs w:val="20"/>
          <w:rtl/>
        </w:rPr>
        <w:t>קפיצה</w:t>
      </w:r>
      <w:r w:rsidRPr="00E03C38">
        <w:rPr>
          <w:rFonts w:cs="Arial"/>
          <w:sz w:val="20"/>
          <w:szCs w:val="20"/>
          <w:rtl/>
        </w:rPr>
        <w:t xml:space="preserve"> - </w:t>
      </w:r>
      <w:r w:rsidRPr="00E03C38">
        <w:rPr>
          <w:rFonts w:cs="Arial" w:hint="cs"/>
          <w:sz w:val="20"/>
          <w:szCs w:val="20"/>
          <w:rtl/>
        </w:rPr>
        <w:t>דהתם</w:t>
      </w:r>
      <w:r w:rsidRPr="00E03C38">
        <w:rPr>
          <w:rFonts w:cs="Arial"/>
          <w:sz w:val="20"/>
          <w:szCs w:val="20"/>
          <w:rtl/>
        </w:rPr>
        <w:t xml:space="preserve"> </w:t>
      </w:r>
      <w:r w:rsidRPr="00E03C38">
        <w:rPr>
          <w:rFonts w:cs="Arial" w:hint="cs"/>
          <w:sz w:val="20"/>
          <w:szCs w:val="20"/>
          <w:rtl/>
        </w:rPr>
        <w:t>איגלאי</w:t>
      </w:r>
      <w:r w:rsidRPr="00E03C38">
        <w:rPr>
          <w:rFonts w:cs="Arial"/>
          <w:sz w:val="20"/>
          <w:szCs w:val="20"/>
          <w:rtl/>
        </w:rPr>
        <w:t xml:space="preserve"> </w:t>
      </w:r>
      <w:r w:rsidRPr="00E03C38">
        <w:rPr>
          <w:rFonts w:cs="Arial" w:hint="cs"/>
          <w:sz w:val="20"/>
          <w:szCs w:val="20"/>
          <w:rtl/>
        </w:rPr>
        <w:t>מילתא</w:t>
      </w:r>
      <w:r w:rsidRPr="00E03C38">
        <w:rPr>
          <w:rFonts w:cs="Arial"/>
          <w:sz w:val="20"/>
          <w:szCs w:val="20"/>
          <w:rtl/>
        </w:rPr>
        <w:t xml:space="preserve"> </w:t>
      </w:r>
      <w:r w:rsidRPr="00E03C38">
        <w:rPr>
          <w:rFonts w:cs="Arial" w:hint="cs"/>
          <w:sz w:val="20"/>
          <w:szCs w:val="20"/>
          <w:rtl/>
        </w:rPr>
        <w:t>דיומא</w:t>
      </w:r>
      <w:r w:rsidRPr="00E03C38">
        <w:rPr>
          <w:rFonts w:cs="Arial"/>
          <w:sz w:val="20"/>
          <w:szCs w:val="20"/>
          <w:rtl/>
        </w:rPr>
        <w:t xml:space="preserve"> </w:t>
      </w:r>
      <w:r w:rsidRPr="00E03C38">
        <w:rPr>
          <w:rFonts w:cs="Arial" w:hint="cs"/>
          <w:sz w:val="20"/>
          <w:szCs w:val="20"/>
          <w:rtl/>
        </w:rPr>
        <w:t>הוא</w:t>
      </w:r>
      <w:r w:rsidRPr="00E03C38">
        <w:rPr>
          <w:rFonts w:cs="Arial"/>
          <w:sz w:val="20"/>
          <w:szCs w:val="20"/>
          <w:rtl/>
        </w:rPr>
        <w:t xml:space="preserve"> </w:t>
      </w:r>
      <w:r w:rsidRPr="00E03C38">
        <w:rPr>
          <w:rFonts w:cs="Arial" w:hint="cs"/>
          <w:sz w:val="20"/>
          <w:szCs w:val="20"/>
          <w:rtl/>
        </w:rPr>
        <w:t>דקא</w:t>
      </w:r>
      <w:r w:rsidRPr="00E03C38">
        <w:rPr>
          <w:rFonts w:cs="Arial"/>
          <w:sz w:val="20"/>
          <w:szCs w:val="20"/>
          <w:rtl/>
        </w:rPr>
        <w:t xml:space="preserve"> </w:t>
      </w:r>
      <w:r w:rsidRPr="00E03C38">
        <w:rPr>
          <w:rFonts w:cs="Arial" w:hint="cs"/>
          <w:sz w:val="20"/>
          <w:szCs w:val="20"/>
          <w:rtl/>
        </w:rPr>
        <w:t>גרים</w:t>
      </w:r>
      <w:r>
        <w:rPr>
          <w:rFonts w:cs="Arial" w:hint="cs"/>
          <w:sz w:val="20"/>
          <w:szCs w:val="20"/>
          <w:rtl/>
        </w:rPr>
        <w:t>"</w:t>
      </w:r>
      <w:r w:rsidRPr="00E03C38">
        <w:rPr>
          <w:rFonts w:cs="Arial"/>
          <w:sz w:val="20"/>
          <w:szCs w:val="20"/>
          <w:rtl/>
        </w:rPr>
        <w:t>.</w:t>
      </w:r>
    </w:p>
    <w:p w:rsidR="00620060" w:rsidRDefault="00620060" w:rsidP="00620060">
      <w:pPr>
        <w:rPr>
          <w:sz w:val="20"/>
          <w:szCs w:val="20"/>
          <w:rtl/>
        </w:rPr>
      </w:pPr>
      <w:r>
        <w:rPr>
          <w:rFonts w:cs="Arial" w:hint="cs"/>
          <w:sz w:val="20"/>
          <w:szCs w:val="20"/>
          <w:u w:val="single"/>
          <w:rtl/>
        </w:rPr>
        <w:t>ביאור ההבדל בין הלישנות</w:t>
      </w:r>
      <w:r>
        <w:rPr>
          <w:rFonts w:cs="Arial"/>
          <w:sz w:val="20"/>
          <w:szCs w:val="20"/>
          <w:u w:val="single"/>
          <w:rtl/>
        </w:rPr>
        <w:br/>
      </w:r>
      <w:r>
        <w:rPr>
          <w:rFonts w:cs="Arial" w:hint="cs"/>
          <w:sz w:val="20"/>
          <w:szCs w:val="20"/>
          <w:rtl/>
        </w:rPr>
        <w:t xml:space="preserve">לישנא קמא </w:t>
      </w:r>
      <w:r>
        <w:rPr>
          <w:rFonts w:cs="Arial"/>
          <w:sz w:val="20"/>
          <w:szCs w:val="20"/>
          <w:rtl/>
        </w:rPr>
        <w:t>–</w:t>
      </w:r>
      <w:r>
        <w:rPr>
          <w:rFonts w:cs="Arial" w:hint="cs"/>
          <w:sz w:val="20"/>
          <w:szCs w:val="20"/>
          <w:rtl/>
        </w:rPr>
        <w:t xml:space="preserve"> </w:t>
      </w:r>
      <w:r>
        <w:rPr>
          <w:rFonts w:hint="cs"/>
          <w:sz w:val="20"/>
          <w:szCs w:val="20"/>
          <w:rtl/>
        </w:rPr>
        <w:t>ראתה פעמיים ביום א' ע" קפיצה, ואת ראייה ג' ראתה ללא קפיצה ביום א' אך קפצה בשבת.</w:t>
      </w:r>
      <w:r>
        <w:rPr>
          <w:sz w:val="20"/>
          <w:szCs w:val="20"/>
          <w:rtl/>
        </w:rPr>
        <w:br/>
      </w:r>
      <w:r>
        <w:rPr>
          <w:rFonts w:hint="cs"/>
          <w:sz w:val="20"/>
          <w:szCs w:val="20"/>
          <w:rtl/>
        </w:rPr>
        <w:t xml:space="preserve">הדין </w:t>
      </w:r>
      <w:r>
        <w:rPr>
          <w:sz w:val="20"/>
          <w:szCs w:val="20"/>
          <w:rtl/>
        </w:rPr>
        <w:t>–</w:t>
      </w:r>
      <w:r>
        <w:rPr>
          <w:rFonts w:hint="cs"/>
          <w:sz w:val="20"/>
          <w:szCs w:val="20"/>
          <w:rtl/>
        </w:rPr>
        <w:t xml:space="preserve"> קבעה ווסת לימים וקפיצות.</w:t>
      </w:r>
      <w:r>
        <w:rPr>
          <w:sz w:val="20"/>
          <w:szCs w:val="20"/>
          <w:rtl/>
        </w:rPr>
        <w:br/>
      </w:r>
      <w:r w:rsidRPr="00F10A23">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קפיצה של אתמול גרמה לראיית יום א', ואם כן קבעה ווסת לקפיצה ביום א'.</w:t>
      </w:r>
      <w:r>
        <w:rPr>
          <w:sz w:val="20"/>
          <w:szCs w:val="20"/>
          <w:rtl/>
        </w:rPr>
        <w:br/>
      </w:r>
      <w:r>
        <w:rPr>
          <w:rFonts w:hint="cs"/>
          <w:sz w:val="20"/>
          <w:szCs w:val="20"/>
          <w:rtl/>
        </w:rPr>
        <w:br/>
        <w:t xml:space="preserve">לישנא בתרא </w:t>
      </w:r>
      <w:r>
        <w:rPr>
          <w:sz w:val="20"/>
          <w:szCs w:val="20"/>
          <w:rtl/>
        </w:rPr>
        <w:t>–</w:t>
      </w:r>
      <w:r>
        <w:rPr>
          <w:rFonts w:hint="cs"/>
          <w:sz w:val="20"/>
          <w:szCs w:val="20"/>
          <w:rtl/>
        </w:rPr>
        <w:t xml:space="preserve"> ראתה פעמיים ביום א' ע"י קפיצה, ואת ראייה ג' ראתה ללא קפיצה כלל.</w:t>
      </w:r>
      <w:r>
        <w:rPr>
          <w:sz w:val="20"/>
          <w:szCs w:val="20"/>
          <w:rtl/>
        </w:rPr>
        <w:br/>
      </w:r>
      <w:r>
        <w:rPr>
          <w:rFonts w:hint="cs"/>
          <w:sz w:val="20"/>
          <w:szCs w:val="20"/>
          <w:rtl/>
        </w:rPr>
        <w:lastRenderedPageBreak/>
        <w:t xml:space="preserve">הדין </w:t>
      </w:r>
      <w:r>
        <w:rPr>
          <w:sz w:val="20"/>
          <w:szCs w:val="20"/>
          <w:rtl/>
        </w:rPr>
        <w:t>–</w:t>
      </w:r>
      <w:r>
        <w:rPr>
          <w:rFonts w:hint="cs"/>
          <w:sz w:val="20"/>
          <w:szCs w:val="20"/>
          <w:rtl/>
        </w:rPr>
        <w:t xml:space="preserve"> קבעה ווסת ליום א' ללא קפיצה.</w:t>
      </w:r>
      <w:r>
        <w:rPr>
          <w:sz w:val="20"/>
          <w:szCs w:val="20"/>
          <w:rtl/>
        </w:rPr>
        <w:br/>
      </w:r>
      <w:r w:rsidRPr="00065E70">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ראייה ג' ראתה ללא קפיצה.</w:t>
      </w:r>
    </w:p>
    <w:p w:rsidR="00620060" w:rsidRDefault="00620060" w:rsidP="00620060">
      <w:pPr>
        <w:rPr>
          <w:sz w:val="20"/>
          <w:szCs w:val="20"/>
          <w:rtl/>
        </w:rPr>
      </w:pPr>
      <w:r>
        <w:rPr>
          <w:rFonts w:hint="cs"/>
          <w:sz w:val="20"/>
          <w:szCs w:val="20"/>
          <w:u w:val="single"/>
          <w:rtl/>
        </w:rPr>
        <w:t xml:space="preserve">האם הלישנות חולקות </w:t>
      </w:r>
      <w:r>
        <w:rPr>
          <w:sz w:val="20"/>
          <w:szCs w:val="20"/>
          <w:u w:val="single"/>
          <w:rtl/>
        </w:rPr>
        <w:t>–</w:t>
      </w:r>
      <w:r>
        <w:rPr>
          <w:rFonts w:hint="cs"/>
          <w:sz w:val="20"/>
          <w:szCs w:val="20"/>
          <w:u w:val="single"/>
          <w:rtl/>
        </w:rPr>
        <w:t xml:space="preserve"> שיטות הראשונים</w:t>
      </w:r>
      <w:r>
        <w:rPr>
          <w:sz w:val="20"/>
          <w:szCs w:val="20"/>
          <w:u w:val="single"/>
          <w:rtl/>
        </w:rPr>
        <w:br/>
      </w:r>
      <w:r>
        <w:rPr>
          <w:rFonts w:hint="cs"/>
          <w:sz w:val="20"/>
          <w:szCs w:val="20"/>
          <w:rtl/>
        </w:rPr>
        <w:t xml:space="preserve">א. </w:t>
      </w:r>
      <w:r w:rsidRPr="00BD16FA">
        <w:rPr>
          <w:rFonts w:hint="cs"/>
          <w:b/>
          <w:bCs/>
          <w:sz w:val="20"/>
          <w:szCs w:val="20"/>
          <w:rtl/>
        </w:rPr>
        <w:t>טור</w:t>
      </w:r>
      <w:r>
        <w:rPr>
          <w:rFonts w:hint="cs"/>
          <w:sz w:val="20"/>
          <w:szCs w:val="20"/>
          <w:rtl/>
        </w:rPr>
        <w:t xml:space="preserve"> </w:t>
      </w:r>
      <w:r>
        <w:rPr>
          <w:sz w:val="20"/>
          <w:szCs w:val="20"/>
          <w:rtl/>
        </w:rPr>
        <w:t>–</w:t>
      </w:r>
      <w:r>
        <w:rPr>
          <w:rFonts w:hint="cs"/>
          <w:sz w:val="20"/>
          <w:szCs w:val="20"/>
          <w:rtl/>
        </w:rPr>
        <w:t xml:space="preserve"> הלכה כשתי הלישנות והן אינן חולקות זו על זו,  וכ"פ </w:t>
      </w:r>
      <w:r>
        <w:rPr>
          <w:rFonts w:hint="cs"/>
          <w:b/>
          <w:bCs/>
          <w:sz w:val="20"/>
          <w:szCs w:val="20"/>
          <w:rtl/>
        </w:rPr>
        <w:t>הש"</w:t>
      </w:r>
      <w:r w:rsidRPr="001B242C">
        <w:rPr>
          <w:rFonts w:hint="cs"/>
          <w:b/>
          <w:bCs/>
          <w:sz w:val="20"/>
          <w:szCs w:val="20"/>
          <w:rtl/>
        </w:rPr>
        <w:t>ך</w:t>
      </w:r>
      <w:r>
        <w:rPr>
          <w:rFonts w:hint="cs"/>
          <w:sz w:val="20"/>
          <w:szCs w:val="20"/>
          <w:rtl/>
        </w:rPr>
        <w:t>.</w:t>
      </w:r>
      <w:r>
        <w:rPr>
          <w:sz w:val="20"/>
          <w:szCs w:val="20"/>
          <w:rtl/>
        </w:rPr>
        <w:br/>
      </w:r>
      <w:r>
        <w:rPr>
          <w:rFonts w:hint="cs"/>
          <w:sz w:val="20"/>
          <w:szCs w:val="20"/>
          <w:rtl/>
        </w:rPr>
        <w:t xml:space="preserve">לכן </w:t>
      </w:r>
      <w:r>
        <w:rPr>
          <w:sz w:val="20"/>
          <w:szCs w:val="20"/>
          <w:rtl/>
        </w:rPr>
        <w:t>–</w:t>
      </w:r>
      <w:r>
        <w:rPr>
          <w:rFonts w:hint="cs"/>
          <w:sz w:val="20"/>
          <w:szCs w:val="20"/>
          <w:rtl/>
        </w:rPr>
        <w:t xml:space="preserve"> קפצה פעמיים ביום א' וראתה, וראתה ביום א' לאחר קפיצה בשבת </w:t>
      </w:r>
      <w:r>
        <w:rPr>
          <w:sz w:val="20"/>
          <w:szCs w:val="20"/>
          <w:rtl/>
        </w:rPr>
        <w:t>–</w:t>
      </w:r>
      <w:r>
        <w:rPr>
          <w:rFonts w:hint="cs"/>
          <w:sz w:val="20"/>
          <w:szCs w:val="20"/>
          <w:rtl/>
        </w:rPr>
        <w:t xml:space="preserve"> קבעה ווסת מורכב, כל"ק.</w:t>
      </w:r>
      <w:r>
        <w:rPr>
          <w:rFonts w:hint="cs"/>
          <w:sz w:val="20"/>
          <w:szCs w:val="20"/>
          <w:rtl/>
        </w:rPr>
        <w:br/>
        <w:t xml:space="preserve">וכן, אם ראתה פעמיים ביום א' ע"י קפיצה ואח"כ ראתה ביום א' ללא קפיצה </w:t>
      </w:r>
      <w:r>
        <w:rPr>
          <w:sz w:val="20"/>
          <w:szCs w:val="20"/>
          <w:rtl/>
        </w:rPr>
        <w:t>–</w:t>
      </w:r>
      <w:r>
        <w:rPr>
          <w:rFonts w:hint="cs"/>
          <w:sz w:val="20"/>
          <w:szCs w:val="20"/>
          <w:rtl/>
        </w:rPr>
        <w:t xml:space="preserve"> קבעה לימים, כל"ב.</w:t>
      </w:r>
      <w:r>
        <w:rPr>
          <w:sz w:val="20"/>
          <w:szCs w:val="20"/>
          <w:rtl/>
        </w:rPr>
        <w:br/>
      </w:r>
      <w:r>
        <w:rPr>
          <w:rFonts w:hint="cs"/>
          <w:sz w:val="20"/>
          <w:szCs w:val="20"/>
          <w:rtl/>
        </w:rPr>
        <w:t xml:space="preserve">ב. </w:t>
      </w:r>
      <w:r w:rsidRPr="008D0555">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הלכה כל"ב והיא חולקת על לישנא קמא, וכ"פ </w:t>
      </w:r>
      <w:r w:rsidRPr="008D0555">
        <w:rPr>
          <w:rFonts w:hint="cs"/>
          <w:b/>
          <w:bCs/>
          <w:sz w:val="20"/>
          <w:szCs w:val="20"/>
          <w:rtl/>
        </w:rPr>
        <w:t>המחבר</w:t>
      </w:r>
      <w:r>
        <w:rPr>
          <w:rFonts w:hint="cs"/>
          <w:sz w:val="20"/>
          <w:szCs w:val="20"/>
          <w:rtl/>
        </w:rPr>
        <w:t>.</w:t>
      </w:r>
      <w:r>
        <w:rPr>
          <w:rStyle w:val="a5"/>
          <w:sz w:val="20"/>
          <w:szCs w:val="20"/>
          <w:rtl/>
        </w:rPr>
        <w:footnoteReference w:id="216"/>
      </w:r>
      <w:r>
        <w:rPr>
          <w:sz w:val="20"/>
          <w:szCs w:val="20"/>
          <w:rtl/>
        </w:rPr>
        <w:br/>
      </w:r>
      <w:r>
        <w:rPr>
          <w:rFonts w:hint="cs"/>
          <w:sz w:val="20"/>
          <w:szCs w:val="20"/>
          <w:rtl/>
        </w:rPr>
        <w:t xml:space="preserve">לכן </w:t>
      </w:r>
      <w:r>
        <w:rPr>
          <w:sz w:val="20"/>
          <w:szCs w:val="20"/>
          <w:rtl/>
        </w:rPr>
        <w:t>–</w:t>
      </w:r>
      <w:r>
        <w:rPr>
          <w:rFonts w:hint="cs"/>
          <w:sz w:val="20"/>
          <w:szCs w:val="20"/>
          <w:rtl/>
        </w:rPr>
        <w:t xml:space="preserve"> אם קפצה פעמיים ביום א' ואחר כך ראתה ביום א' ללא שקפצה בו, לא קבעה אפילו אם קפצה בשבת.</w:t>
      </w:r>
      <w:r>
        <w:rPr>
          <w:sz w:val="20"/>
          <w:szCs w:val="20"/>
          <w:rtl/>
        </w:rPr>
        <w:br/>
      </w:r>
      <w:r>
        <w:rPr>
          <w:rFonts w:hint="cs"/>
          <w:sz w:val="20"/>
          <w:szCs w:val="20"/>
          <w:rtl/>
        </w:rPr>
        <w:t xml:space="preserve">אך הלכה כל"ב, שבכה"ג קבעה ווסת לימים לחודייהו. </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sz w:val="20"/>
          <w:szCs w:val="20"/>
          <w:rtl/>
        </w:rPr>
        <w:t xml:space="preserve">א. </w:t>
      </w:r>
      <w:r>
        <w:rPr>
          <w:rFonts w:hint="cs"/>
          <w:b/>
          <w:bCs/>
          <w:sz w:val="20"/>
          <w:szCs w:val="20"/>
          <w:rtl/>
        </w:rPr>
        <w:t xml:space="preserve">שולחן ערוך </w:t>
      </w:r>
      <w:r>
        <w:rPr>
          <w:sz w:val="20"/>
          <w:szCs w:val="20"/>
          <w:rtl/>
        </w:rPr>
        <w:t>–</w:t>
      </w:r>
      <w:r>
        <w:rPr>
          <w:rFonts w:hint="cs"/>
          <w:sz w:val="20"/>
          <w:szCs w:val="20"/>
          <w:rtl/>
        </w:rPr>
        <w:t xml:space="preserve"> "</w:t>
      </w:r>
      <w:r w:rsidRPr="00F904EB">
        <w:rPr>
          <w:rFonts w:cs="Arial" w:hint="cs"/>
          <w:sz w:val="20"/>
          <w:szCs w:val="20"/>
          <w:rtl/>
        </w:rPr>
        <w:t>קפצה</w:t>
      </w:r>
      <w:r w:rsidRPr="00F904EB">
        <w:rPr>
          <w:rFonts w:cs="Arial"/>
          <w:sz w:val="20"/>
          <w:szCs w:val="20"/>
          <w:rtl/>
        </w:rPr>
        <w:t xml:space="preserve"> </w:t>
      </w:r>
      <w:r w:rsidRPr="00F904EB">
        <w:rPr>
          <w:rFonts w:cs="Arial" w:hint="cs"/>
          <w:sz w:val="20"/>
          <w:szCs w:val="20"/>
          <w:rtl/>
        </w:rPr>
        <w:t>וראתה</w:t>
      </w:r>
      <w:r w:rsidRPr="00F904EB">
        <w:rPr>
          <w:rFonts w:cs="Arial"/>
          <w:sz w:val="20"/>
          <w:szCs w:val="20"/>
          <w:rtl/>
        </w:rPr>
        <w:t xml:space="preserve">, </w:t>
      </w:r>
      <w:r w:rsidRPr="00F904EB">
        <w:rPr>
          <w:rFonts w:cs="Arial" w:hint="cs"/>
          <w:sz w:val="20"/>
          <w:szCs w:val="20"/>
          <w:rtl/>
        </w:rPr>
        <w:t>קפצה</w:t>
      </w:r>
      <w:r w:rsidRPr="00F904EB">
        <w:rPr>
          <w:rFonts w:cs="Arial"/>
          <w:sz w:val="20"/>
          <w:szCs w:val="20"/>
          <w:rtl/>
        </w:rPr>
        <w:t xml:space="preserve"> </w:t>
      </w:r>
      <w:r w:rsidRPr="00F904EB">
        <w:rPr>
          <w:rFonts w:cs="Arial" w:hint="cs"/>
          <w:sz w:val="20"/>
          <w:szCs w:val="20"/>
          <w:rtl/>
        </w:rPr>
        <w:t>וראתה</w:t>
      </w:r>
      <w:r w:rsidRPr="00F904EB">
        <w:rPr>
          <w:rFonts w:cs="Arial"/>
          <w:sz w:val="20"/>
          <w:szCs w:val="20"/>
          <w:rtl/>
        </w:rPr>
        <w:t xml:space="preserve">, </w:t>
      </w:r>
      <w:r w:rsidRPr="00F904EB">
        <w:rPr>
          <w:rFonts w:cs="Arial" w:hint="cs"/>
          <w:sz w:val="20"/>
          <w:szCs w:val="20"/>
          <w:rtl/>
        </w:rPr>
        <w:t>קבעה</w:t>
      </w:r>
      <w:r w:rsidRPr="00F904EB">
        <w:rPr>
          <w:rFonts w:cs="Arial"/>
          <w:sz w:val="20"/>
          <w:szCs w:val="20"/>
          <w:rtl/>
        </w:rPr>
        <w:t xml:space="preserve"> </w:t>
      </w:r>
      <w:r w:rsidRPr="00F904EB">
        <w:rPr>
          <w:rFonts w:cs="Arial" w:hint="cs"/>
          <w:sz w:val="20"/>
          <w:szCs w:val="20"/>
          <w:rtl/>
        </w:rPr>
        <w:t>לה</w:t>
      </w:r>
      <w:r w:rsidRPr="00F904EB">
        <w:rPr>
          <w:rFonts w:cs="Arial"/>
          <w:sz w:val="20"/>
          <w:szCs w:val="20"/>
          <w:rtl/>
        </w:rPr>
        <w:t xml:space="preserve"> </w:t>
      </w:r>
      <w:r w:rsidRPr="00F904EB">
        <w:rPr>
          <w:rFonts w:cs="Arial" w:hint="cs"/>
          <w:sz w:val="20"/>
          <w:szCs w:val="20"/>
          <w:rtl/>
        </w:rPr>
        <w:t>וסת</w:t>
      </w:r>
      <w:r w:rsidRPr="00F904EB">
        <w:rPr>
          <w:rFonts w:cs="Arial"/>
          <w:sz w:val="20"/>
          <w:szCs w:val="20"/>
          <w:rtl/>
        </w:rPr>
        <w:t xml:space="preserve"> </w:t>
      </w:r>
      <w:r w:rsidRPr="00F904EB">
        <w:rPr>
          <w:rFonts w:cs="Arial" w:hint="cs"/>
          <w:sz w:val="20"/>
          <w:szCs w:val="20"/>
          <w:rtl/>
        </w:rPr>
        <w:t>לימים</w:t>
      </w:r>
      <w:r w:rsidRPr="00F904EB">
        <w:rPr>
          <w:rFonts w:cs="Arial"/>
          <w:sz w:val="20"/>
          <w:szCs w:val="20"/>
          <w:rtl/>
        </w:rPr>
        <w:t xml:space="preserve">, </w:t>
      </w:r>
      <w:r w:rsidRPr="00F904EB">
        <w:rPr>
          <w:rFonts w:cs="Arial" w:hint="cs"/>
          <w:sz w:val="20"/>
          <w:szCs w:val="20"/>
          <w:rtl/>
        </w:rPr>
        <w:t>בלא</w:t>
      </w:r>
      <w:r w:rsidRPr="00F904EB">
        <w:rPr>
          <w:rFonts w:cs="Arial"/>
          <w:sz w:val="20"/>
          <w:szCs w:val="20"/>
          <w:rtl/>
        </w:rPr>
        <w:t xml:space="preserve"> </w:t>
      </w:r>
      <w:r w:rsidRPr="00F904EB">
        <w:rPr>
          <w:rFonts w:cs="Arial" w:hint="cs"/>
          <w:sz w:val="20"/>
          <w:szCs w:val="20"/>
          <w:rtl/>
        </w:rPr>
        <w:t>קפיצות</w:t>
      </w:r>
      <w:r w:rsidRPr="00F904EB">
        <w:rPr>
          <w:rFonts w:cs="Arial"/>
          <w:sz w:val="20"/>
          <w:szCs w:val="20"/>
          <w:rtl/>
        </w:rPr>
        <w:t xml:space="preserve">. </w:t>
      </w:r>
      <w:r w:rsidRPr="00F904EB">
        <w:rPr>
          <w:rFonts w:cs="Arial" w:hint="cs"/>
          <w:sz w:val="20"/>
          <w:szCs w:val="20"/>
          <w:rtl/>
        </w:rPr>
        <w:t>כיצד</w:t>
      </w:r>
      <w:r w:rsidRPr="00F904EB">
        <w:rPr>
          <w:rFonts w:cs="Arial"/>
          <w:sz w:val="20"/>
          <w:szCs w:val="20"/>
          <w:rtl/>
        </w:rPr>
        <w:t xml:space="preserve">, </w:t>
      </w:r>
      <w:r w:rsidRPr="00F904EB">
        <w:rPr>
          <w:rFonts w:cs="Arial" w:hint="cs"/>
          <w:sz w:val="20"/>
          <w:szCs w:val="20"/>
          <w:rtl/>
        </w:rPr>
        <w:t>קפצה</w:t>
      </w:r>
      <w:r w:rsidRPr="00F904EB">
        <w:rPr>
          <w:rFonts w:cs="Arial"/>
          <w:sz w:val="20"/>
          <w:szCs w:val="20"/>
          <w:rtl/>
        </w:rPr>
        <w:t xml:space="preserve"> </w:t>
      </w:r>
      <w:r w:rsidRPr="00F904EB">
        <w:rPr>
          <w:rFonts w:cs="Arial" w:hint="cs"/>
          <w:sz w:val="20"/>
          <w:szCs w:val="20"/>
          <w:rtl/>
        </w:rPr>
        <w:t>באחד</w:t>
      </w:r>
      <w:r w:rsidRPr="00F904EB">
        <w:rPr>
          <w:rFonts w:cs="Arial"/>
          <w:sz w:val="20"/>
          <w:szCs w:val="20"/>
          <w:rtl/>
        </w:rPr>
        <w:t xml:space="preserve"> </w:t>
      </w:r>
      <w:r w:rsidRPr="00F904EB">
        <w:rPr>
          <w:rFonts w:cs="Arial" w:hint="cs"/>
          <w:sz w:val="20"/>
          <w:szCs w:val="20"/>
          <w:rtl/>
        </w:rPr>
        <w:t>בשבת</w:t>
      </w:r>
      <w:r w:rsidRPr="00F904EB">
        <w:rPr>
          <w:rFonts w:cs="Arial"/>
          <w:sz w:val="20"/>
          <w:szCs w:val="20"/>
          <w:rtl/>
        </w:rPr>
        <w:t xml:space="preserve"> </w:t>
      </w:r>
      <w:r w:rsidRPr="00F904EB">
        <w:rPr>
          <w:rFonts w:cs="Arial" w:hint="cs"/>
          <w:sz w:val="20"/>
          <w:szCs w:val="20"/>
          <w:rtl/>
        </w:rPr>
        <w:t>וראתה</w:t>
      </w:r>
      <w:r w:rsidRPr="00F904EB">
        <w:rPr>
          <w:rFonts w:cs="Arial"/>
          <w:sz w:val="20"/>
          <w:szCs w:val="20"/>
          <w:rtl/>
        </w:rPr>
        <w:t xml:space="preserve"> </w:t>
      </w:r>
      <w:r w:rsidRPr="00F904EB">
        <w:rPr>
          <w:rFonts w:cs="Arial" w:hint="cs"/>
          <w:sz w:val="20"/>
          <w:szCs w:val="20"/>
          <w:rtl/>
        </w:rPr>
        <w:t>דם</w:t>
      </w:r>
      <w:r w:rsidRPr="00F904EB">
        <w:rPr>
          <w:rFonts w:cs="Arial"/>
          <w:sz w:val="20"/>
          <w:szCs w:val="20"/>
          <w:rtl/>
        </w:rPr>
        <w:t xml:space="preserve">, </w:t>
      </w:r>
      <w:r w:rsidRPr="00F904EB">
        <w:rPr>
          <w:rFonts w:cs="Arial" w:hint="cs"/>
          <w:sz w:val="20"/>
          <w:szCs w:val="20"/>
          <w:rtl/>
        </w:rPr>
        <w:t>ולאחר</w:t>
      </w:r>
      <w:r w:rsidRPr="00F904EB">
        <w:rPr>
          <w:rFonts w:cs="Arial"/>
          <w:sz w:val="20"/>
          <w:szCs w:val="20"/>
          <w:rtl/>
        </w:rPr>
        <w:t xml:space="preserve"> </w:t>
      </w:r>
      <w:r w:rsidRPr="00F904EB">
        <w:rPr>
          <w:rFonts w:cs="Arial" w:hint="cs"/>
          <w:sz w:val="20"/>
          <w:szCs w:val="20"/>
          <w:rtl/>
        </w:rPr>
        <w:t>כ</w:t>
      </w:r>
      <w:r w:rsidRPr="00F904EB">
        <w:rPr>
          <w:rFonts w:cs="Arial"/>
          <w:sz w:val="20"/>
          <w:szCs w:val="20"/>
          <w:rtl/>
        </w:rPr>
        <w:t xml:space="preserve">' </w:t>
      </w:r>
      <w:r w:rsidRPr="00F904EB">
        <w:rPr>
          <w:rFonts w:cs="Arial" w:hint="cs"/>
          <w:sz w:val="20"/>
          <w:szCs w:val="20"/>
          <w:rtl/>
        </w:rPr>
        <w:t>יום</w:t>
      </w:r>
      <w:r w:rsidRPr="00F904EB">
        <w:rPr>
          <w:rFonts w:cs="Arial"/>
          <w:sz w:val="20"/>
          <w:szCs w:val="20"/>
          <w:rtl/>
        </w:rPr>
        <w:t xml:space="preserve"> </w:t>
      </w:r>
      <w:r w:rsidRPr="00F904EB">
        <w:rPr>
          <w:rFonts w:cs="Arial" w:hint="cs"/>
          <w:sz w:val="20"/>
          <w:szCs w:val="20"/>
          <w:rtl/>
        </w:rPr>
        <w:t>קפצה</w:t>
      </w:r>
      <w:r w:rsidRPr="00F904EB">
        <w:rPr>
          <w:rFonts w:cs="Arial"/>
          <w:sz w:val="20"/>
          <w:szCs w:val="20"/>
          <w:rtl/>
        </w:rPr>
        <w:t xml:space="preserve"> </w:t>
      </w:r>
      <w:r w:rsidRPr="00F904EB">
        <w:rPr>
          <w:rFonts w:cs="Arial" w:hint="cs"/>
          <w:sz w:val="20"/>
          <w:szCs w:val="20"/>
          <w:rtl/>
        </w:rPr>
        <w:t>באחד</w:t>
      </w:r>
      <w:r w:rsidRPr="00F904EB">
        <w:rPr>
          <w:rFonts w:cs="Arial"/>
          <w:sz w:val="20"/>
          <w:szCs w:val="20"/>
          <w:rtl/>
        </w:rPr>
        <w:t xml:space="preserve"> </w:t>
      </w:r>
      <w:r w:rsidRPr="00F904EB">
        <w:rPr>
          <w:rFonts w:cs="Arial" w:hint="cs"/>
          <w:sz w:val="20"/>
          <w:szCs w:val="20"/>
          <w:rtl/>
        </w:rPr>
        <w:t>בשבת</w:t>
      </w:r>
      <w:r w:rsidRPr="00F904EB">
        <w:rPr>
          <w:rFonts w:cs="Arial"/>
          <w:sz w:val="20"/>
          <w:szCs w:val="20"/>
          <w:rtl/>
        </w:rPr>
        <w:t xml:space="preserve"> </w:t>
      </w:r>
      <w:r w:rsidRPr="00F904EB">
        <w:rPr>
          <w:rFonts w:cs="Arial" w:hint="cs"/>
          <w:sz w:val="20"/>
          <w:szCs w:val="20"/>
          <w:rtl/>
        </w:rPr>
        <w:t>וראתה</w:t>
      </w:r>
      <w:r w:rsidRPr="00F904EB">
        <w:rPr>
          <w:rFonts w:cs="Arial"/>
          <w:sz w:val="20"/>
          <w:szCs w:val="20"/>
          <w:rtl/>
        </w:rPr>
        <w:t xml:space="preserve"> </w:t>
      </w:r>
      <w:r w:rsidRPr="00F904EB">
        <w:rPr>
          <w:rFonts w:cs="Arial" w:hint="cs"/>
          <w:sz w:val="20"/>
          <w:szCs w:val="20"/>
          <w:rtl/>
        </w:rPr>
        <w:t>דם</w:t>
      </w:r>
      <w:r w:rsidRPr="00F904EB">
        <w:rPr>
          <w:rFonts w:cs="Arial"/>
          <w:sz w:val="20"/>
          <w:szCs w:val="20"/>
          <w:rtl/>
        </w:rPr>
        <w:t xml:space="preserve">, </w:t>
      </w:r>
      <w:r w:rsidRPr="00F904EB">
        <w:rPr>
          <w:rFonts w:cs="Arial" w:hint="cs"/>
          <w:sz w:val="20"/>
          <w:szCs w:val="20"/>
          <w:rtl/>
        </w:rPr>
        <w:t>ולאחר</w:t>
      </w:r>
      <w:r w:rsidRPr="00F904EB">
        <w:rPr>
          <w:rFonts w:cs="Arial"/>
          <w:sz w:val="20"/>
          <w:szCs w:val="20"/>
          <w:rtl/>
        </w:rPr>
        <w:t xml:space="preserve"> </w:t>
      </w:r>
      <w:r w:rsidRPr="00F904EB">
        <w:rPr>
          <w:rFonts w:cs="Arial" w:hint="cs"/>
          <w:sz w:val="20"/>
          <w:szCs w:val="20"/>
          <w:rtl/>
        </w:rPr>
        <w:t>י</w:t>
      </w:r>
      <w:r w:rsidRPr="00F904EB">
        <w:rPr>
          <w:rFonts w:cs="Arial"/>
          <w:sz w:val="20"/>
          <w:szCs w:val="20"/>
          <w:rtl/>
        </w:rPr>
        <w:t>"</w:t>
      </w:r>
      <w:r w:rsidRPr="00F904EB">
        <w:rPr>
          <w:rFonts w:cs="Arial" w:hint="cs"/>
          <w:sz w:val="20"/>
          <w:szCs w:val="20"/>
          <w:rtl/>
        </w:rPr>
        <w:t>ט</w:t>
      </w:r>
      <w:r w:rsidRPr="00F904EB">
        <w:rPr>
          <w:rFonts w:cs="Arial"/>
          <w:sz w:val="20"/>
          <w:szCs w:val="20"/>
          <w:rtl/>
        </w:rPr>
        <w:t xml:space="preserve"> </w:t>
      </w:r>
      <w:r w:rsidRPr="00F904EB">
        <w:rPr>
          <w:rFonts w:cs="Arial" w:hint="cs"/>
          <w:sz w:val="20"/>
          <w:szCs w:val="20"/>
          <w:rtl/>
        </w:rPr>
        <w:t>יום</w:t>
      </w:r>
      <w:r w:rsidRPr="00F904EB">
        <w:rPr>
          <w:rFonts w:cs="Arial"/>
          <w:sz w:val="20"/>
          <w:szCs w:val="20"/>
          <w:rtl/>
        </w:rPr>
        <w:t xml:space="preserve"> </w:t>
      </w:r>
      <w:r w:rsidRPr="00F904EB">
        <w:rPr>
          <w:rFonts w:cs="Arial" w:hint="cs"/>
          <w:sz w:val="20"/>
          <w:szCs w:val="20"/>
          <w:rtl/>
        </w:rPr>
        <w:t>קפצה</w:t>
      </w:r>
      <w:r w:rsidRPr="00F904EB">
        <w:rPr>
          <w:rFonts w:cs="Arial"/>
          <w:sz w:val="20"/>
          <w:szCs w:val="20"/>
          <w:rtl/>
        </w:rPr>
        <w:t xml:space="preserve"> </w:t>
      </w:r>
      <w:r w:rsidRPr="00F904EB">
        <w:rPr>
          <w:rFonts w:cs="Arial" w:hint="cs"/>
          <w:sz w:val="20"/>
          <w:szCs w:val="20"/>
          <w:rtl/>
        </w:rPr>
        <w:t>ביום</w:t>
      </w:r>
      <w:r w:rsidRPr="00F904EB">
        <w:rPr>
          <w:rFonts w:cs="Arial"/>
          <w:sz w:val="20"/>
          <w:szCs w:val="20"/>
          <w:rtl/>
        </w:rPr>
        <w:t xml:space="preserve"> </w:t>
      </w:r>
      <w:r w:rsidRPr="00F904EB">
        <w:rPr>
          <w:rFonts w:cs="Arial" w:hint="cs"/>
          <w:sz w:val="20"/>
          <w:szCs w:val="20"/>
          <w:rtl/>
        </w:rPr>
        <w:t>השבת</w:t>
      </w:r>
      <w:r w:rsidRPr="00F904EB">
        <w:rPr>
          <w:rFonts w:cs="Arial"/>
          <w:sz w:val="20"/>
          <w:szCs w:val="20"/>
          <w:rtl/>
        </w:rPr>
        <w:t xml:space="preserve"> </w:t>
      </w:r>
      <w:r w:rsidRPr="00F904EB">
        <w:rPr>
          <w:rFonts w:cs="Arial" w:hint="cs"/>
          <w:sz w:val="20"/>
          <w:szCs w:val="20"/>
          <w:rtl/>
        </w:rPr>
        <w:t>ולא</w:t>
      </w:r>
      <w:r w:rsidRPr="00F904EB">
        <w:rPr>
          <w:rFonts w:cs="Arial"/>
          <w:sz w:val="20"/>
          <w:szCs w:val="20"/>
          <w:rtl/>
        </w:rPr>
        <w:t xml:space="preserve"> </w:t>
      </w:r>
      <w:r w:rsidRPr="00F904EB">
        <w:rPr>
          <w:rFonts w:cs="Arial" w:hint="cs"/>
          <w:sz w:val="20"/>
          <w:szCs w:val="20"/>
          <w:rtl/>
        </w:rPr>
        <w:t>ראתה</w:t>
      </w:r>
      <w:r w:rsidRPr="00F904EB">
        <w:rPr>
          <w:rFonts w:cs="Arial"/>
          <w:sz w:val="20"/>
          <w:szCs w:val="20"/>
          <w:rtl/>
        </w:rPr>
        <w:t xml:space="preserve"> </w:t>
      </w:r>
      <w:r w:rsidRPr="00F904EB">
        <w:rPr>
          <w:rFonts w:cs="Arial" w:hint="cs"/>
          <w:sz w:val="20"/>
          <w:szCs w:val="20"/>
          <w:rtl/>
        </w:rPr>
        <w:t>דם</w:t>
      </w:r>
      <w:r w:rsidRPr="00F904EB">
        <w:rPr>
          <w:rFonts w:cs="Arial"/>
          <w:sz w:val="20"/>
          <w:szCs w:val="20"/>
          <w:rtl/>
        </w:rPr>
        <w:t xml:space="preserve">, </w:t>
      </w:r>
      <w:r w:rsidRPr="00F904EB">
        <w:rPr>
          <w:rFonts w:cs="Arial" w:hint="cs"/>
          <w:sz w:val="20"/>
          <w:szCs w:val="20"/>
          <w:rtl/>
        </w:rPr>
        <w:t>ולאחר</w:t>
      </w:r>
      <w:r w:rsidRPr="00F904EB">
        <w:rPr>
          <w:rFonts w:cs="Arial"/>
          <w:sz w:val="20"/>
          <w:szCs w:val="20"/>
          <w:rtl/>
        </w:rPr>
        <w:t xml:space="preserve"> </w:t>
      </w:r>
      <w:r w:rsidRPr="00F904EB">
        <w:rPr>
          <w:rFonts w:cs="Arial" w:hint="cs"/>
          <w:sz w:val="20"/>
          <w:szCs w:val="20"/>
          <w:rtl/>
        </w:rPr>
        <w:t>השבת</w:t>
      </w:r>
      <w:r w:rsidRPr="00F904EB">
        <w:rPr>
          <w:rFonts w:cs="Arial"/>
          <w:sz w:val="20"/>
          <w:szCs w:val="20"/>
          <w:rtl/>
        </w:rPr>
        <w:t xml:space="preserve"> </w:t>
      </w:r>
      <w:r w:rsidRPr="00F904EB">
        <w:rPr>
          <w:rFonts w:cs="Arial" w:hint="cs"/>
          <w:sz w:val="20"/>
          <w:szCs w:val="20"/>
          <w:rtl/>
        </w:rPr>
        <w:t>ראתה</w:t>
      </w:r>
      <w:r w:rsidRPr="00F904EB">
        <w:rPr>
          <w:rFonts w:cs="Arial"/>
          <w:sz w:val="20"/>
          <w:szCs w:val="20"/>
          <w:rtl/>
        </w:rPr>
        <w:t xml:space="preserve"> </w:t>
      </w:r>
      <w:r w:rsidRPr="00F904EB">
        <w:rPr>
          <w:rFonts w:cs="Arial" w:hint="cs"/>
          <w:sz w:val="20"/>
          <w:szCs w:val="20"/>
          <w:rtl/>
        </w:rPr>
        <w:t>בלא</w:t>
      </w:r>
      <w:r w:rsidRPr="00F904EB">
        <w:rPr>
          <w:rFonts w:cs="Arial"/>
          <w:sz w:val="20"/>
          <w:szCs w:val="20"/>
          <w:rtl/>
        </w:rPr>
        <w:t xml:space="preserve"> </w:t>
      </w:r>
      <w:r w:rsidRPr="00F904EB">
        <w:rPr>
          <w:rFonts w:cs="Arial" w:hint="cs"/>
          <w:sz w:val="20"/>
          <w:szCs w:val="20"/>
          <w:rtl/>
        </w:rPr>
        <w:t>קפיצה</w:t>
      </w:r>
      <w:r w:rsidRPr="00F904EB">
        <w:rPr>
          <w:rFonts w:cs="Arial"/>
          <w:sz w:val="20"/>
          <w:szCs w:val="20"/>
          <w:rtl/>
        </w:rPr>
        <w:t xml:space="preserve">, </w:t>
      </w:r>
      <w:r w:rsidRPr="00F904EB">
        <w:rPr>
          <w:rFonts w:cs="Arial" w:hint="cs"/>
          <w:sz w:val="20"/>
          <w:szCs w:val="20"/>
          <w:rtl/>
        </w:rPr>
        <w:t>הרי</w:t>
      </w:r>
      <w:r w:rsidRPr="00F904EB">
        <w:rPr>
          <w:rFonts w:cs="Arial"/>
          <w:sz w:val="20"/>
          <w:szCs w:val="20"/>
          <w:rtl/>
        </w:rPr>
        <w:t xml:space="preserve"> </w:t>
      </w:r>
      <w:r w:rsidRPr="00F904EB">
        <w:rPr>
          <w:rFonts w:cs="Arial" w:hint="cs"/>
          <w:sz w:val="20"/>
          <w:szCs w:val="20"/>
          <w:rtl/>
        </w:rPr>
        <w:t>נקבע</w:t>
      </w:r>
      <w:r w:rsidRPr="00F904EB">
        <w:rPr>
          <w:rFonts w:cs="Arial"/>
          <w:sz w:val="20"/>
          <w:szCs w:val="20"/>
          <w:rtl/>
        </w:rPr>
        <w:t xml:space="preserve"> </w:t>
      </w:r>
      <w:r w:rsidRPr="00F904EB">
        <w:rPr>
          <w:rFonts w:cs="Arial" w:hint="cs"/>
          <w:sz w:val="20"/>
          <w:szCs w:val="20"/>
          <w:rtl/>
        </w:rPr>
        <w:t>אחד</w:t>
      </w:r>
      <w:r w:rsidRPr="00F904EB">
        <w:rPr>
          <w:rFonts w:cs="Arial"/>
          <w:sz w:val="20"/>
          <w:szCs w:val="20"/>
          <w:rtl/>
        </w:rPr>
        <w:t xml:space="preserve"> </w:t>
      </w:r>
      <w:r w:rsidRPr="00F904EB">
        <w:rPr>
          <w:rFonts w:cs="Arial" w:hint="cs"/>
          <w:sz w:val="20"/>
          <w:szCs w:val="20"/>
          <w:rtl/>
        </w:rPr>
        <w:t>בשבת</w:t>
      </w:r>
      <w:r w:rsidRPr="00F904EB">
        <w:rPr>
          <w:rFonts w:cs="Arial"/>
          <w:sz w:val="20"/>
          <w:szCs w:val="20"/>
          <w:rtl/>
        </w:rPr>
        <w:t xml:space="preserve"> </w:t>
      </w:r>
      <w:r w:rsidRPr="00F904EB">
        <w:rPr>
          <w:rFonts w:cs="Arial" w:hint="cs"/>
          <w:sz w:val="20"/>
          <w:szCs w:val="20"/>
          <w:rtl/>
        </w:rPr>
        <w:t>אחר</w:t>
      </w:r>
      <w:r w:rsidRPr="00F904EB">
        <w:rPr>
          <w:rFonts w:cs="Arial"/>
          <w:sz w:val="20"/>
          <w:szCs w:val="20"/>
          <w:rtl/>
        </w:rPr>
        <w:t xml:space="preserve"> </w:t>
      </w:r>
      <w:r w:rsidRPr="00F904EB">
        <w:rPr>
          <w:rFonts w:cs="Arial" w:hint="cs"/>
          <w:sz w:val="20"/>
          <w:szCs w:val="20"/>
          <w:rtl/>
        </w:rPr>
        <w:t>כ</w:t>
      </w:r>
      <w:r w:rsidRPr="00F904EB">
        <w:rPr>
          <w:rFonts w:cs="Arial"/>
          <w:sz w:val="20"/>
          <w:szCs w:val="20"/>
          <w:rtl/>
        </w:rPr>
        <w:t xml:space="preserve">', </w:t>
      </w:r>
      <w:r w:rsidRPr="00F904EB">
        <w:rPr>
          <w:rFonts w:cs="Arial" w:hint="cs"/>
          <w:sz w:val="20"/>
          <w:szCs w:val="20"/>
          <w:rtl/>
        </w:rPr>
        <w:t>שהרי</w:t>
      </w:r>
      <w:r w:rsidRPr="00F904EB">
        <w:rPr>
          <w:rFonts w:cs="Arial"/>
          <w:sz w:val="20"/>
          <w:szCs w:val="20"/>
          <w:rtl/>
        </w:rPr>
        <w:t xml:space="preserve"> </w:t>
      </w:r>
      <w:r w:rsidRPr="00F904EB">
        <w:rPr>
          <w:rFonts w:cs="Arial" w:hint="cs"/>
          <w:sz w:val="20"/>
          <w:szCs w:val="20"/>
          <w:rtl/>
        </w:rPr>
        <w:t>נודע</w:t>
      </w:r>
      <w:r w:rsidRPr="00F904EB">
        <w:rPr>
          <w:rFonts w:cs="Arial"/>
          <w:sz w:val="20"/>
          <w:szCs w:val="20"/>
          <w:rtl/>
        </w:rPr>
        <w:t xml:space="preserve"> </w:t>
      </w:r>
      <w:r w:rsidRPr="00F904EB">
        <w:rPr>
          <w:rFonts w:cs="Arial" w:hint="cs"/>
          <w:sz w:val="20"/>
          <w:szCs w:val="20"/>
          <w:rtl/>
        </w:rPr>
        <w:t>שהיום</w:t>
      </w:r>
      <w:r w:rsidRPr="00F904EB">
        <w:rPr>
          <w:rFonts w:cs="Arial"/>
          <w:sz w:val="20"/>
          <w:szCs w:val="20"/>
          <w:rtl/>
        </w:rPr>
        <w:t xml:space="preserve"> </w:t>
      </w:r>
      <w:r w:rsidRPr="00F904EB">
        <w:rPr>
          <w:rFonts w:cs="Arial" w:hint="cs"/>
          <w:sz w:val="20"/>
          <w:szCs w:val="20"/>
          <w:rtl/>
        </w:rPr>
        <w:t>גרם</w:t>
      </w:r>
      <w:r w:rsidRPr="00F904EB">
        <w:rPr>
          <w:rFonts w:cs="Arial"/>
          <w:sz w:val="20"/>
          <w:szCs w:val="20"/>
          <w:rtl/>
        </w:rPr>
        <w:t xml:space="preserve"> </w:t>
      </w:r>
      <w:r w:rsidRPr="00F904EB">
        <w:rPr>
          <w:rFonts w:cs="Arial" w:hint="cs"/>
          <w:sz w:val="20"/>
          <w:szCs w:val="20"/>
          <w:rtl/>
        </w:rPr>
        <w:t>לה</w:t>
      </w:r>
      <w:r w:rsidRPr="00F904EB">
        <w:rPr>
          <w:rFonts w:cs="Arial"/>
          <w:sz w:val="20"/>
          <w:szCs w:val="20"/>
          <w:rtl/>
        </w:rPr>
        <w:t xml:space="preserve">, </w:t>
      </w:r>
      <w:r w:rsidRPr="00F904EB">
        <w:rPr>
          <w:rFonts w:cs="Arial" w:hint="cs"/>
          <w:sz w:val="20"/>
          <w:szCs w:val="20"/>
          <w:rtl/>
        </w:rPr>
        <w:t>ולא</w:t>
      </w:r>
      <w:r w:rsidRPr="00F904EB">
        <w:rPr>
          <w:rFonts w:cs="Arial"/>
          <w:sz w:val="20"/>
          <w:szCs w:val="20"/>
          <w:rtl/>
        </w:rPr>
        <w:t xml:space="preserve"> </w:t>
      </w:r>
      <w:r w:rsidRPr="00F904EB">
        <w:rPr>
          <w:rFonts w:cs="Arial" w:hint="cs"/>
          <w:sz w:val="20"/>
          <w:szCs w:val="20"/>
          <w:rtl/>
        </w:rPr>
        <w:t>הקפיצה</w:t>
      </w:r>
      <w:r w:rsidRPr="00F904EB">
        <w:rPr>
          <w:rFonts w:cs="Arial"/>
          <w:sz w:val="20"/>
          <w:szCs w:val="20"/>
          <w:rtl/>
        </w:rPr>
        <w:t xml:space="preserve">, </w:t>
      </w:r>
      <w:r w:rsidRPr="00F904EB">
        <w:rPr>
          <w:rFonts w:cs="Arial" w:hint="cs"/>
          <w:sz w:val="20"/>
          <w:szCs w:val="20"/>
          <w:rtl/>
        </w:rPr>
        <w:t>וכבר</w:t>
      </w:r>
      <w:r w:rsidRPr="00F904EB">
        <w:rPr>
          <w:rFonts w:cs="Arial"/>
          <w:sz w:val="20"/>
          <w:szCs w:val="20"/>
          <w:rtl/>
        </w:rPr>
        <w:t xml:space="preserve"> </w:t>
      </w:r>
      <w:r w:rsidRPr="00F904EB">
        <w:rPr>
          <w:rFonts w:cs="Arial" w:hint="cs"/>
          <w:sz w:val="20"/>
          <w:szCs w:val="20"/>
          <w:rtl/>
        </w:rPr>
        <w:t>נקבע</w:t>
      </w:r>
      <w:r w:rsidRPr="00F904EB">
        <w:rPr>
          <w:rFonts w:cs="Arial"/>
          <w:sz w:val="20"/>
          <w:szCs w:val="20"/>
          <w:rtl/>
        </w:rPr>
        <w:t xml:space="preserve"> </w:t>
      </w:r>
      <w:r w:rsidRPr="00F904EB">
        <w:rPr>
          <w:rFonts w:cs="Arial" w:hint="cs"/>
          <w:sz w:val="20"/>
          <w:szCs w:val="20"/>
          <w:rtl/>
        </w:rPr>
        <w:t>יום</w:t>
      </w:r>
      <w:r w:rsidRPr="00F904EB">
        <w:rPr>
          <w:rFonts w:cs="Arial"/>
          <w:sz w:val="20"/>
          <w:szCs w:val="20"/>
          <w:rtl/>
        </w:rPr>
        <w:t xml:space="preserve"> </w:t>
      </w:r>
      <w:r w:rsidRPr="00F904EB">
        <w:rPr>
          <w:rFonts w:cs="Arial" w:hint="cs"/>
          <w:sz w:val="20"/>
          <w:szCs w:val="20"/>
          <w:rtl/>
        </w:rPr>
        <w:t>זה</w:t>
      </w:r>
      <w:r w:rsidRPr="00F904EB">
        <w:rPr>
          <w:rFonts w:cs="Arial"/>
          <w:sz w:val="20"/>
          <w:szCs w:val="20"/>
          <w:rtl/>
        </w:rPr>
        <w:t xml:space="preserve"> </w:t>
      </w:r>
      <w:r w:rsidRPr="00F904EB">
        <w:rPr>
          <w:rFonts w:cs="Arial" w:hint="cs"/>
          <w:sz w:val="20"/>
          <w:szCs w:val="20"/>
          <w:rtl/>
        </w:rPr>
        <w:t>ג</w:t>
      </w:r>
      <w:r>
        <w:rPr>
          <w:rFonts w:cs="Arial" w:hint="cs"/>
          <w:sz w:val="20"/>
          <w:szCs w:val="20"/>
          <w:rtl/>
        </w:rPr>
        <w:t xml:space="preserve">' </w:t>
      </w:r>
      <w:r w:rsidRPr="00F904EB">
        <w:rPr>
          <w:rFonts w:cs="Arial" w:hint="cs"/>
          <w:sz w:val="20"/>
          <w:szCs w:val="20"/>
          <w:rtl/>
        </w:rPr>
        <w:t>פ</w:t>
      </w:r>
      <w:r>
        <w:rPr>
          <w:rFonts w:cs="Arial" w:hint="cs"/>
          <w:sz w:val="20"/>
          <w:szCs w:val="20"/>
          <w:rtl/>
        </w:rPr>
        <w:t>עמים</w:t>
      </w:r>
      <w:r w:rsidRPr="00F904EB">
        <w:rPr>
          <w:rFonts w:cs="Arial"/>
          <w:sz w:val="20"/>
          <w:szCs w:val="20"/>
          <w:rtl/>
        </w:rPr>
        <w:t xml:space="preserve">. </w:t>
      </w:r>
      <w:r w:rsidRPr="00F904EB">
        <w:rPr>
          <w:rFonts w:cs="Arial" w:hint="cs"/>
          <w:sz w:val="20"/>
          <w:szCs w:val="20"/>
          <w:rtl/>
        </w:rPr>
        <w:t>וכן</w:t>
      </w:r>
      <w:r w:rsidRPr="00F904EB">
        <w:rPr>
          <w:rFonts w:cs="Arial"/>
          <w:sz w:val="20"/>
          <w:szCs w:val="20"/>
          <w:rtl/>
        </w:rPr>
        <w:t xml:space="preserve"> </w:t>
      </w:r>
      <w:r w:rsidRPr="00F904EB">
        <w:rPr>
          <w:rFonts w:cs="Arial" w:hint="cs"/>
          <w:sz w:val="20"/>
          <w:szCs w:val="20"/>
          <w:rtl/>
        </w:rPr>
        <w:t>כל</w:t>
      </w:r>
      <w:r w:rsidRPr="00F904EB">
        <w:rPr>
          <w:rFonts w:cs="Arial"/>
          <w:sz w:val="20"/>
          <w:szCs w:val="20"/>
          <w:rtl/>
        </w:rPr>
        <w:t xml:space="preserve"> </w:t>
      </w:r>
      <w:r w:rsidRPr="00F904EB">
        <w:rPr>
          <w:rFonts w:cs="Arial" w:hint="cs"/>
          <w:sz w:val="20"/>
          <w:szCs w:val="20"/>
          <w:rtl/>
        </w:rPr>
        <w:t>כיוצא</w:t>
      </w:r>
      <w:r w:rsidRPr="00F904EB">
        <w:rPr>
          <w:rFonts w:cs="Arial"/>
          <w:sz w:val="20"/>
          <w:szCs w:val="20"/>
          <w:rtl/>
        </w:rPr>
        <w:t xml:space="preserve"> </w:t>
      </w:r>
      <w:r w:rsidRPr="00F904EB">
        <w:rPr>
          <w:rFonts w:cs="Arial" w:hint="cs"/>
          <w:sz w:val="20"/>
          <w:szCs w:val="20"/>
          <w:rtl/>
        </w:rPr>
        <w:t>בזה</w:t>
      </w:r>
      <w:r>
        <w:rPr>
          <w:rFonts w:cs="Arial" w:hint="cs"/>
          <w:sz w:val="20"/>
          <w:szCs w:val="20"/>
          <w:rtl/>
        </w:rPr>
        <w:t>".</w:t>
      </w:r>
      <w:r>
        <w:rPr>
          <w:rFonts w:cs="Arial"/>
          <w:sz w:val="20"/>
          <w:szCs w:val="20"/>
          <w:rtl/>
        </w:rPr>
        <w:br/>
      </w:r>
      <w:r>
        <w:rPr>
          <w:rFonts w:cs="Arial" w:hint="cs"/>
          <w:sz w:val="20"/>
          <w:szCs w:val="20"/>
          <w:rtl/>
        </w:rPr>
        <w:t xml:space="preserve">ב. </w:t>
      </w:r>
      <w:r w:rsidRPr="00A02A33">
        <w:rPr>
          <w:rFonts w:cs="Arial" w:hint="cs"/>
          <w:b/>
          <w:bCs/>
          <w:sz w:val="20"/>
          <w:szCs w:val="20"/>
          <w:rtl/>
        </w:rPr>
        <w:t>ש"ך</w:t>
      </w:r>
      <w:r>
        <w:rPr>
          <w:rFonts w:cs="Arial" w:hint="cs"/>
          <w:sz w:val="20"/>
          <w:szCs w:val="20"/>
          <w:rtl/>
        </w:rPr>
        <w:t xml:space="preserve"> </w:t>
      </w:r>
      <w:r>
        <w:rPr>
          <w:rFonts w:cs="Arial"/>
          <w:sz w:val="20"/>
          <w:szCs w:val="20"/>
          <w:rtl/>
        </w:rPr>
        <w:t>–</w:t>
      </w:r>
      <w:r>
        <w:rPr>
          <w:rFonts w:cs="Arial" w:hint="cs"/>
          <w:sz w:val="20"/>
          <w:szCs w:val="20"/>
          <w:rtl/>
        </w:rPr>
        <w:t xml:space="preserve"> קפצה וראתה פעמיים ביום א', ואח"כ קפצה בשבת וראתה ביום א', קבעה ווסת ליום א' ע"י קפיצה.</w:t>
      </w:r>
      <w:r>
        <w:rPr>
          <w:rFonts w:hint="cs"/>
          <w:sz w:val="20"/>
          <w:szCs w:val="20"/>
          <w:rtl/>
        </w:rPr>
        <w:br/>
      </w:r>
      <w:r w:rsidRPr="00A02A33">
        <w:rPr>
          <w:rFonts w:hint="cs"/>
          <w:b/>
          <w:bCs/>
          <w:sz w:val="20"/>
          <w:szCs w:val="20"/>
          <w:rtl/>
        </w:rPr>
        <w:t xml:space="preserve">טעם </w:t>
      </w:r>
      <w:r>
        <w:rPr>
          <w:sz w:val="20"/>
          <w:szCs w:val="20"/>
          <w:rtl/>
        </w:rPr>
        <w:t>–</w:t>
      </w:r>
      <w:r>
        <w:rPr>
          <w:rFonts w:hint="cs"/>
          <w:sz w:val="20"/>
          <w:szCs w:val="20"/>
          <w:rtl/>
        </w:rPr>
        <w:t xml:space="preserve"> כן דעת כמה ראשונים, וסברה לפסוק כמותם כיוון שווסתות דרבנן ונקטינן לקולא.</w:t>
      </w:r>
      <w:r>
        <w:rPr>
          <w:rStyle w:val="a5"/>
          <w:sz w:val="20"/>
          <w:szCs w:val="20"/>
          <w:rtl/>
        </w:rPr>
        <w:footnoteReference w:id="217"/>
      </w:r>
      <w:r>
        <w:rPr>
          <w:rFonts w:hint="cs"/>
          <w:sz w:val="20"/>
          <w:szCs w:val="20"/>
          <w:rtl/>
        </w:rPr>
        <w:br/>
        <w:t xml:space="preserve">ועוד </w:t>
      </w:r>
      <w:r>
        <w:rPr>
          <w:sz w:val="20"/>
          <w:szCs w:val="20"/>
          <w:rtl/>
        </w:rPr>
        <w:t>–</w:t>
      </w:r>
      <w:r>
        <w:rPr>
          <w:rFonts w:hint="cs"/>
          <w:sz w:val="20"/>
          <w:szCs w:val="20"/>
          <w:rtl/>
        </w:rPr>
        <w:t xml:space="preserve"> פסיקת המחבר היא חומרה דאתי לידי קולא, כגון אם לא תראה מעתה ג' פעמים ביום א' ולא קפצה בהם. לדעת הרמב"ם והמחבר עקרה את הווסת, אך לדעת הטור לא עקרה משום שלא קפצה באותם ימים.</w:t>
      </w:r>
      <w:r>
        <w:rPr>
          <w:rFonts w:hint="cs"/>
          <w:sz w:val="20"/>
          <w:szCs w:val="20"/>
          <w:rtl/>
        </w:rPr>
        <w:br/>
      </w:r>
      <w:r>
        <w:rPr>
          <w:sz w:val="20"/>
          <w:szCs w:val="20"/>
          <w:rtl/>
        </w:rPr>
        <w:br/>
      </w:r>
      <w:r>
        <w:rPr>
          <w:rFonts w:hint="cs"/>
          <w:sz w:val="20"/>
          <w:szCs w:val="20"/>
          <w:u w:val="single"/>
          <w:rtl/>
        </w:rPr>
        <w:t>הגבלות בדעת הש"ך (פת"ש)</w:t>
      </w:r>
      <w:r>
        <w:rPr>
          <w:rFonts w:hint="cs"/>
          <w:sz w:val="20"/>
          <w:szCs w:val="20"/>
          <w:rtl/>
        </w:rPr>
        <w:br/>
        <w:t xml:space="preserve">א. </w:t>
      </w:r>
      <w:r w:rsidRPr="007A6E84">
        <w:rPr>
          <w:rFonts w:hint="cs"/>
          <w:b/>
          <w:bCs/>
          <w:sz w:val="20"/>
          <w:szCs w:val="20"/>
          <w:rtl/>
        </w:rPr>
        <w:t>נוב"י</w:t>
      </w:r>
      <w:r>
        <w:rPr>
          <w:rFonts w:hint="cs"/>
          <w:sz w:val="20"/>
          <w:szCs w:val="20"/>
          <w:rtl/>
        </w:rPr>
        <w:t xml:space="preserve"> </w:t>
      </w:r>
      <w:r>
        <w:rPr>
          <w:sz w:val="20"/>
          <w:szCs w:val="20"/>
          <w:rtl/>
        </w:rPr>
        <w:t>–</w:t>
      </w:r>
      <w:r>
        <w:rPr>
          <w:rFonts w:hint="cs"/>
          <w:sz w:val="20"/>
          <w:szCs w:val="20"/>
          <w:rtl/>
        </w:rPr>
        <w:t xml:space="preserve"> רק בקפיצה של אתמול יש לתלות, אך אם קפצה באמצע הזמן וראתה אחר כך ביום א' כהרגלה, אין אומרים שמחמת הקפיצה ראתה.</w:t>
      </w:r>
      <w:r>
        <w:rPr>
          <w:sz w:val="20"/>
          <w:szCs w:val="20"/>
          <w:rtl/>
        </w:rPr>
        <w:br/>
      </w:r>
      <w:r>
        <w:rPr>
          <w:rFonts w:hint="cs"/>
          <w:sz w:val="20"/>
          <w:szCs w:val="20"/>
          <w:rtl/>
        </w:rPr>
        <w:t xml:space="preserve">ב. </w:t>
      </w:r>
      <w:r w:rsidRPr="007A6E84">
        <w:rPr>
          <w:rFonts w:hint="cs"/>
          <w:b/>
          <w:bCs/>
          <w:sz w:val="20"/>
          <w:szCs w:val="20"/>
          <w:rtl/>
        </w:rPr>
        <w:t>חוו"ד</w:t>
      </w:r>
      <w:r>
        <w:rPr>
          <w:rFonts w:hint="cs"/>
          <w:sz w:val="20"/>
          <w:szCs w:val="20"/>
          <w:rtl/>
        </w:rPr>
        <w:t xml:space="preserve"> </w:t>
      </w:r>
      <w:r>
        <w:rPr>
          <w:sz w:val="20"/>
          <w:szCs w:val="20"/>
          <w:rtl/>
        </w:rPr>
        <w:t>–</w:t>
      </w:r>
      <w:r>
        <w:rPr>
          <w:rFonts w:hint="cs"/>
          <w:sz w:val="20"/>
          <w:szCs w:val="20"/>
          <w:rtl/>
        </w:rPr>
        <w:t xml:space="preserve"> אם ראתה ג"פ ביום א' לאחר שקפצה בשבת, קבעה ווסת לימים בלבד.</w:t>
      </w:r>
      <w:r>
        <w:rPr>
          <w:rFonts w:hint="cs"/>
          <w:sz w:val="20"/>
          <w:szCs w:val="20"/>
          <w:rtl/>
        </w:rPr>
        <w:br/>
      </w:r>
      <w:r w:rsidRPr="007A6E84">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רק כשראתה פעמיים ע"י קפיצה ופעם שלישית ראתה ע"י קפיצה של שבת קבעה ווסת המורכב, אך אם אירע כן ג' פעמים, התגלה שהיום גורם ולא הקפיצה.</w:t>
      </w:r>
    </w:p>
    <w:p w:rsidR="00620060" w:rsidRPr="00395386" w:rsidRDefault="00620060" w:rsidP="00620060">
      <w:pPr>
        <w:rPr>
          <w:sz w:val="20"/>
          <w:szCs w:val="20"/>
        </w:rPr>
      </w:pPr>
      <w:r>
        <w:rPr>
          <w:rFonts w:hint="cs"/>
          <w:sz w:val="20"/>
          <w:szCs w:val="20"/>
          <w:u w:val="single"/>
          <w:rtl/>
        </w:rPr>
        <w:t>בירור בדעת המחבר (פת"ש)</w:t>
      </w:r>
      <w:r>
        <w:rPr>
          <w:rFonts w:hint="cs"/>
          <w:sz w:val="20"/>
          <w:szCs w:val="20"/>
          <w:rtl/>
        </w:rPr>
        <w:br/>
      </w:r>
      <w:r w:rsidRPr="00C14E04">
        <w:rPr>
          <w:rFonts w:hint="cs"/>
          <w:b/>
          <w:bCs/>
          <w:sz w:val="20"/>
          <w:szCs w:val="20"/>
          <w:rtl/>
        </w:rPr>
        <w:t>חוו"ד</w:t>
      </w:r>
      <w:r>
        <w:rPr>
          <w:rFonts w:hint="cs"/>
          <w:sz w:val="20"/>
          <w:szCs w:val="20"/>
          <w:rtl/>
        </w:rPr>
        <w:t xml:space="preserve"> </w:t>
      </w:r>
      <w:r>
        <w:rPr>
          <w:sz w:val="20"/>
          <w:szCs w:val="20"/>
          <w:rtl/>
        </w:rPr>
        <w:t>–</w:t>
      </w:r>
      <w:r>
        <w:rPr>
          <w:rFonts w:hint="cs"/>
          <w:sz w:val="20"/>
          <w:szCs w:val="20"/>
          <w:rtl/>
        </w:rPr>
        <w:t xml:space="preserve"> ראתה ג' פעמים ביום א' ע"י קפיצה ופעם רביעית ראתה ביום א' לאחר שקפצה בשבת, האם הוברר הדבר שהיום גורם את הראייה ואין זו ווסת מורכב?</w:t>
      </w:r>
      <w:r>
        <w:rPr>
          <w:rFonts w:hint="cs"/>
          <w:sz w:val="20"/>
          <w:szCs w:val="20"/>
          <w:rtl/>
        </w:rPr>
        <w:br/>
        <w:t xml:space="preserve">ונראה לומר כך </w:t>
      </w:r>
      <w:r>
        <w:rPr>
          <w:sz w:val="20"/>
          <w:szCs w:val="20"/>
          <w:rtl/>
        </w:rPr>
        <w:t>–</w:t>
      </w:r>
      <w:r>
        <w:rPr>
          <w:rFonts w:hint="cs"/>
          <w:sz w:val="20"/>
          <w:szCs w:val="20"/>
          <w:rtl/>
        </w:rPr>
        <w:t xml:space="preserve"> לקמן </w:t>
      </w:r>
      <w:r w:rsidRPr="001215DB">
        <w:rPr>
          <w:rFonts w:hint="cs"/>
          <w:sz w:val="18"/>
          <w:szCs w:val="18"/>
          <w:rtl/>
        </w:rPr>
        <w:t xml:space="preserve">(סעיף יט' ובט"ז שם סקל"ו) </w:t>
      </w:r>
      <w:r>
        <w:rPr>
          <w:rFonts w:hint="cs"/>
          <w:sz w:val="20"/>
          <w:szCs w:val="20"/>
          <w:rtl/>
        </w:rPr>
        <w:t>מבואר שנחלקו המחבר והרמ"א במי שקבעה ווסת מורכב, כגון פיהוק ביום ידוע, האם חוששת מעתה לפיהוק אפילו כשהגיע ביום שאינה רגילה לראות?</w:t>
      </w:r>
      <w:r>
        <w:rPr>
          <w:sz w:val="20"/>
          <w:szCs w:val="20"/>
          <w:rtl/>
        </w:rPr>
        <w:br/>
      </w:r>
      <w:r w:rsidRPr="00C96177">
        <w:rPr>
          <w:rFonts w:hint="cs"/>
          <w:b/>
          <w:bCs/>
          <w:sz w:val="20"/>
          <w:szCs w:val="20"/>
          <w:rtl/>
        </w:rPr>
        <w:t>מחבר</w:t>
      </w:r>
      <w:r>
        <w:rPr>
          <w:rFonts w:hint="cs"/>
          <w:sz w:val="20"/>
          <w:szCs w:val="20"/>
          <w:rtl/>
        </w:rPr>
        <w:t xml:space="preserve"> </w:t>
      </w:r>
      <w:r>
        <w:rPr>
          <w:sz w:val="20"/>
          <w:szCs w:val="20"/>
          <w:rtl/>
        </w:rPr>
        <w:t>–</w:t>
      </w:r>
      <w:r>
        <w:rPr>
          <w:rFonts w:hint="cs"/>
          <w:sz w:val="20"/>
          <w:szCs w:val="20"/>
          <w:rtl/>
        </w:rPr>
        <w:t xml:space="preserve"> חוששת; </w:t>
      </w:r>
      <w:r w:rsidRPr="00C96177">
        <w:rPr>
          <w:rFonts w:hint="cs"/>
          <w:b/>
          <w:bCs/>
          <w:sz w:val="20"/>
          <w:szCs w:val="20"/>
          <w:rtl/>
        </w:rPr>
        <w:t>רמ"א</w:t>
      </w:r>
      <w:r>
        <w:rPr>
          <w:rFonts w:hint="cs"/>
          <w:sz w:val="20"/>
          <w:szCs w:val="20"/>
          <w:rtl/>
        </w:rPr>
        <w:t xml:space="preserve"> </w:t>
      </w:r>
      <w:r>
        <w:rPr>
          <w:sz w:val="20"/>
          <w:szCs w:val="20"/>
          <w:rtl/>
        </w:rPr>
        <w:t>–</w:t>
      </w:r>
      <w:r>
        <w:rPr>
          <w:rFonts w:hint="cs"/>
          <w:sz w:val="20"/>
          <w:szCs w:val="20"/>
          <w:rtl/>
        </w:rPr>
        <w:t xml:space="preserve"> אינה חוששת.</w:t>
      </w:r>
      <w:r>
        <w:rPr>
          <w:sz w:val="20"/>
          <w:szCs w:val="20"/>
          <w:rtl/>
        </w:rPr>
        <w:br/>
      </w:r>
      <w:r>
        <w:rPr>
          <w:rFonts w:hint="cs"/>
          <w:sz w:val="20"/>
          <w:szCs w:val="20"/>
          <w:rtl/>
        </w:rPr>
        <w:t xml:space="preserve">ולפי"ז יש לומר כך - </w:t>
      </w:r>
      <w:r>
        <w:rPr>
          <w:sz w:val="20"/>
          <w:szCs w:val="20"/>
          <w:rtl/>
        </w:rPr>
        <w:br/>
      </w:r>
      <w:r>
        <w:rPr>
          <w:rFonts w:hint="cs"/>
          <w:sz w:val="20"/>
          <w:szCs w:val="20"/>
          <w:rtl/>
        </w:rPr>
        <w:t xml:space="preserve">לדעת </w:t>
      </w:r>
      <w:r w:rsidRPr="00C96177">
        <w:rPr>
          <w:rFonts w:hint="cs"/>
          <w:b/>
          <w:bCs/>
          <w:sz w:val="20"/>
          <w:szCs w:val="20"/>
          <w:rtl/>
        </w:rPr>
        <w:t>המחבר</w:t>
      </w:r>
      <w:r>
        <w:rPr>
          <w:rFonts w:hint="cs"/>
          <w:sz w:val="20"/>
          <w:szCs w:val="20"/>
          <w:rtl/>
        </w:rPr>
        <w:t xml:space="preserve"> אפילו לאחר ג"פ לא ברור באופן גמור מה גורם את הווסת, ולכן יש לומר כאן שקבעה ליום א'.</w:t>
      </w:r>
      <w:r>
        <w:rPr>
          <w:sz w:val="20"/>
          <w:szCs w:val="20"/>
          <w:rtl/>
        </w:rPr>
        <w:br/>
      </w:r>
      <w:r>
        <w:rPr>
          <w:rFonts w:hint="cs"/>
          <w:sz w:val="20"/>
          <w:szCs w:val="20"/>
          <w:rtl/>
        </w:rPr>
        <w:t xml:space="preserve">לדעת </w:t>
      </w:r>
      <w:r w:rsidRPr="00C96177">
        <w:rPr>
          <w:rFonts w:hint="cs"/>
          <w:b/>
          <w:bCs/>
          <w:sz w:val="20"/>
          <w:szCs w:val="20"/>
          <w:rtl/>
        </w:rPr>
        <w:t>הרמ"א</w:t>
      </w:r>
      <w:r>
        <w:rPr>
          <w:rFonts w:hint="cs"/>
          <w:sz w:val="20"/>
          <w:szCs w:val="20"/>
          <w:rtl/>
        </w:rPr>
        <w:t xml:space="preserve"> שאינה חוששת לפיהוק בלבד, ברור באופן מוחלט מה גורם את הראייה, ולכן אין לחוש כעת שווסתה תלוי בימים. </w:t>
      </w:r>
      <w:r>
        <w:rPr>
          <w:sz w:val="20"/>
          <w:szCs w:val="20"/>
          <w:rtl/>
        </w:rPr>
        <w:br/>
      </w:r>
      <w:r>
        <w:rPr>
          <w:sz w:val="20"/>
          <w:szCs w:val="20"/>
          <w:rtl/>
        </w:rPr>
        <w:br/>
      </w:r>
      <w:r w:rsidRPr="002926BE">
        <w:rPr>
          <w:rFonts w:hint="cs"/>
          <w:b/>
          <w:bCs/>
          <w:sz w:val="20"/>
          <w:szCs w:val="20"/>
          <w:rtl/>
        </w:rPr>
        <w:t>סיכום</w:t>
      </w:r>
      <w:r>
        <w:rPr>
          <w:sz w:val="20"/>
          <w:szCs w:val="20"/>
          <w:rtl/>
        </w:rPr>
        <w:br/>
      </w:r>
      <w:r>
        <w:rPr>
          <w:rFonts w:hint="cs"/>
          <w:sz w:val="20"/>
          <w:szCs w:val="20"/>
          <w:rtl/>
        </w:rPr>
        <w:t xml:space="preserve">1. </w:t>
      </w:r>
      <w:r w:rsidRPr="002926BE">
        <w:rPr>
          <w:rFonts w:hint="cs"/>
          <w:b/>
          <w:bCs/>
          <w:sz w:val="20"/>
          <w:szCs w:val="20"/>
          <w:rtl/>
        </w:rPr>
        <w:t>גמ'</w:t>
      </w:r>
      <w:r>
        <w:rPr>
          <w:rFonts w:hint="cs"/>
          <w:sz w:val="20"/>
          <w:szCs w:val="20"/>
          <w:rtl/>
        </w:rPr>
        <w:t xml:space="preserve">. קפצה וראתה ג"פ קבעה ווסת. </w:t>
      </w:r>
      <w:r w:rsidRPr="00395386">
        <w:rPr>
          <w:rFonts w:hint="cs"/>
          <w:b/>
          <w:bCs/>
          <w:sz w:val="20"/>
          <w:szCs w:val="20"/>
          <w:rtl/>
        </w:rPr>
        <w:t>רש"י</w:t>
      </w:r>
      <w:r>
        <w:rPr>
          <w:rFonts w:hint="cs"/>
          <w:sz w:val="20"/>
          <w:szCs w:val="20"/>
          <w:rtl/>
        </w:rPr>
        <w:t xml:space="preserve">. קבעה לקפיצה. </w:t>
      </w:r>
      <w:r w:rsidRPr="00395386">
        <w:rPr>
          <w:rFonts w:hint="cs"/>
          <w:b/>
          <w:bCs/>
          <w:sz w:val="20"/>
          <w:szCs w:val="20"/>
          <w:rtl/>
        </w:rPr>
        <w:t>רמב"ם</w:t>
      </w:r>
      <w:r>
        <w:rPr>
          <w:rFonts w:hint="cs"/>
          <w:sz w:val="20"/>
          <w:szCs w:val="20"/>
          <w:rtl/>
        </w:rPr>
        <w:t xml:space="preserve">. קבעה ווסת מורכב, וכ"פ </w:t>
      </w:r>
      <w:r w:rsidRPr="00395386">
        <w:rPr>
          <w:rFonts w:hint="cs"/>
          <w:b/>
          <w:bCs/>
          <w:sz w:val="20"/>
          <w:szCs w:val="20"/>
          <w:rtl/>
        </w:rPr>
        <w:t>המחבר</w:t>
      </w:r>
      <w:r>
        <w:rPr>
          <w:rFonts w:hint="cs"/>
          <w:sz w:val="20"/>
          <w:szCs w:val="20"/>
          <w:rtl/>
        </w:rPr>
        <w:t>.</w:t>
      </w:r>
      <w:r>
        <w:rPr>
          <w:rFonts w:hint="cs"/>
          <w:sz w:val="20"/>
          <w:szCs w:val="20"/>
          <w:rtl/>
        </w:rPr>
        <w:br/>
        <w:t xml:space="preserve">2. </w:t>
      </w:r>
      <w:r w:rsidRPr="002926BE">
        <w:rPr>
          <w:rFonts w:hint="cs"/>
          <w:b/>
          <w:bCs/>
          <w:sz w:val="20"/>
          <w:szCs w:val="20"/>
          <w:rtl/>
        </w:rPr>
        <w:t>מגיד משנה</w:t>
      </w:r>
      <w:r>
        <w:rPr>
          <w:rFonts w:hint="cs"/>
          <w:sz w:val="20"/>
          <w:szCs w:val="20"/>
          <w:rtl/>
        </w:rPr>
        <w:t xml:space="preserve">. למרות שלא קבעה, מכל מקום חוששת לו כדין ווסת שאינו קבוע, וכ"פ </w:t>
      </w:r>
      <w:r w:rsidRPr="002926BE">
        <w:rPr>
          <w:rFonts w:hint="cs"/>
          <w:b/>
          <w:bCs/>
          <w:sz w:val="20"/>
          <w:szCs w:val="20"/>
          <w:rtl/>
        </w:rPr>
        <w:t>הרמ"א</w:t>
      </w:r>
      <w:r>
        <w:rPr>
          <w:rFonts w:hint="cs"/>
          <w:sz w:val="20"/>
          <w:szCs w:val="20"/>
          <w:rtl/>
        </w:rPr>
        <w:t>.</w:t>
      </w:r>
      <w:r>
        <w:rPr>
          <w:sz w:val="20"/>
          <w:szCs w:val="20"/>
          <w:rtl/>
        </w:rPr>
        <w:br/>
      </w:r>
      <w:r>
        <w:rPr>
          <w:rFonts w:hint="cs"/>
          <w:sz w:val="20"/>
          <w:szCs w:val="20"/>
          <w:rtl/>
        </w:rPr>
        <w:t xml:space="preserve">3. </w:t>
      </w:r>
      <w:r w:rsidRPr="00395386">
        <w:rPr>
          <w:rFonts w:hint="cs"/>
          <w:b/>
          <w:bCs/>
          <w:sz w:val="20"/>
          <w:szCs w:val="20"/>
          <w:rtl/>
        </w:rPr>
        <w:t>ש"ך</w:t>
      </w:r>
      <w:r>
        <w:rPr>
          <w:rFonts w:hint="cs"/>
          <w:sz w:val="20"/>
          <w:szCs w:val="20"/>
          <w:rtl/>
        </w:rPr>
        <w:t xml:space="preserve">. רק אם קפצה ג"פ חוששת לקפיצה כווסת שאינו קבוע, אך אם קפצה פ"א חוששת לקפיצה רק ביום החודש או בהפלגה. מסייג </w:t>
      </w:r>
      <w:r w:rsidRPr="00D17B10">
        <w:rPr>
          <w:rFonts w:hint="cs"/>
          <w:b/>
          <w:bCs/>
          <w:sz w:val="20"/>
          <w:szCs w:val="20"/>
          <w:rtl/>
        </w:rPr>
        <w:t>ה</w:t>
      </w:r>
      <w:r w:rsidRPr="002926BE">
        <w:rPr>
          <w:rFonts w:hint="cs"/>
          <w:b/>
          <w:bCs/>
          <w:sz w:val="20"/>
          <w:szCs w:val="20"/>
          <w:rtl/>
        </w:rPr>
        <w:t>חוו"ד</w:t>
      </w:r>
      <w:r>
        <w:rPr>
          <w:rFonts w:hint="cs"/>
          <w:sz w:val="20"/>
          <w:szCs w:val="20"/>
          <w:rtl/>
        </w:rPr>
        <w:t>. אם אין לה ווסת קבוע ולא ראתה בינתיים, חוששת לעו"ב מהקפיצה.</w:t>
      </w:r>
      <w:r>
        <w:rPr>
          <w:sz w:val="20"/>
          <w:szCs w:val="20"/>
          <w:rtl/>
        </w:rPr>
        <w:br/>
      </w:r>
      <w:r>
        <w:rPr>
          <w:rFonts w:hint="cs"/>
          <w:sz w:val="20"/>
          <w:szCs w:val="20"/>
          <w:rtl/>
        </w:rPr>
        <w:t xml:space="preserve">4. </w:t>
      </w:r>
      <w:r w:rsidRPr="002926BE">
        <w:rPr>
          <w:rFonts w:hint="cs"/>
          <w:b/>
          <w:bCs/>
          <w:sz w:val="20"/>
          <w:szCs w:val="20"/>
          <w:rtl/>
        </w:rPr>
        <w:t>גמ'</w:t>
      </w:r>
      <w:r>
        <w:rPr>
          <w:rFonts w:hint="cs"/>
          <w:sz w:val="20"/>
          <w:szCs w:val="20"/>
          <w:rtl/>
        </w:rPr>
        <w:t xml:space="preserve">. ב' לישנות. א'. ראתה ב"פ בקפיצה וראיית ג' ע"י קפיצת יום קודם </w:t>
      </w:r>
      <w:r>
        <w:rPr>
          <w:sz w:val="20"/>
          <w:szCs w:val="20"/>
          <w:rtl/>
        </w:rPr>
        <w:t>–</w:t>
      </w:r>
      <w:r>
        <w:rPr>
          <w:rFonts w:hint="cs"/>
          <w:sz w:val="20"/>
          <w:szCs w:val="20"/>
          <w:rtl/>
        </w:rPr>
        <w:t xml:space="preserve"> קבעה לקפיצה ולימים. </w:t>
      </w:r>
      <w:r>
        <w:rPr>
          <w:sz w:val="20"/>
          <w:szCs w:val="20"/>
          <w:rtl/>
        </w:rPr>
        <w:br/>
      </w:r>
      <w:r>
        <w:rPr>
          <w:rFonts w:hint="cs"/>
          <w:sz w:val="20"/>
          <w:szCs w:val="20"/>
          <w:rtl/>
        </w:rPr>
        <w:t xml:space="preserve">ב'. ראתה ב"פ בקפיצה וראיית ג' ללא קפיצה כלל </w:t>
      </w:r>
      <w:r>
        <w:rPr>
          <w:sz w:val="20"/>
          <w:szCs w:val="20"/>
          <w:rtl/>
        </w:rPr>
        <w:t>–</w:t>
      </w:r>
      <w:r>
        <w:rPr>
          <w:rFonts w:hint="cs"/>
          <w:sz w:val="20"/>
          <w:szCs w:val="20"/>
          <w:rtl/>
        </w:rPr>
        <w:t xml:space="preserve"> קבעה לימים.</w:t>
      </w:r>
      <w:r>
        <w:rPr>
          <w:sz w:val="20"/>
          <w:szCs w:val="20"/>
          <w:rtl/>
        </w:rPr>
        <w:br/>
      </w:r>
      <w:r>
        <w:rPr>
          <w:rFonts w:hint="cs"/>
          <w:sz w:val="20"/>
          <w:szCs w:val="20"/>
          <w:rtl/>
        </w:rPr>
        <w:t xml:space="preserve">5. </w:t>
      </w:r>
      <w:r w:rsidRPr="002926BE">
        <w:rPr>
          <w:rFonts w:hint="cs"/>
          <w:b/>
          <w:bCs/>
          <w:sz w:val="20"/>
          <w:szCs w:val="20"/>
          <w:rtl/>
        </w:rPr>
        <w:t>טור</w:t>
      </w:r>
      <w:r>
        <w:rPr>
          <w:rFonts w:hint="cs"/>
          <w:sz w:val="20"/>
          <w:szCs w:val="20"/>
          <w:rtl/>
        </w:rPr>
        <w:t xml:space="preserve">. הלכה כב' הלישנות, אין מחלוקת. קרי </w:t>
      </w:r>
      <w:r>
        <w:rPr>
          <w:sz w:val="20"/>
          <w:szCs w:val="20"/>
          <w:rtl/>
        </w:rPr>
        <w:t>–</w:t>
      </w:r>
      <w:r>
        <w:rPr>
          <w:rFonts w:hint="cs"/>
          <w:sz w:val="20"/>
          <w:szCs w:val="20"/>
          <w:rtl/>
        </w:rPr>
        <w:t xml:space="preserve"> קפיצת שבת גורמת לראייה שאחריה, וכ"פ </w:t>
      </w:r>
      <w:r w:rsidRPr="002926BE">
        <w:rPr>
          <w:rFonts w:hint="cs"/>
          <w:b/>
          <w:bCs/>
          <w:sz w:val="20"/>
          <w:szCs w:val="20"/>
          <w:rtl/>
        </w:rPr>
        <w:t>הש"ך</w:t>
      </w:r>
      <w:r>
        <w:rPr>
          <w:rFonts w:hint="cs"/>
          <w:sz w:val="20"/>
          <w:szCs w:val="20"/>
          <w:rtl/>
        </w:rPr>
        <w:t xml:space="preserve">. </w:t>
      </w:r>
      <w:r>
        <w:rPr>
          <w:sz w:val="20"/>
          <w:szCs w:val="20"/>
          <w:rtl/>
        </w:rPr>
        <w:br/>
      </w:r>
      <w:r w:rsidRPr="002926BE">
        <w:rPr>
          <w:rFonts w:hint="cs"/>
          <w:b/>
          <w:bCs/>
          <w:sz w:val="20"/>
          <w:szCs w:val="20"/>
          <w:rtl/>
        </w:rPr>
        <w:t>רמב"ם</w:t>
      </w:r>
      <w:r>
        <w:rPr>
          <w:rFonts w:hint="cs"/>
          <w:sz w:val="20"/>
          <w:szCs w:val="20"/>
          <w:rtl/>
        </w:rPr>
        <w:t xml:space="preserve">. הלכה כל"ב, יש מחלוקת. קרי </w:t>
      </w:r>
      <w:r>
        <w:rPr>
          <w:sz w:val="20"/>
          <w:szCs w:val="20"/>
          <w:rtl/>
        </w:rPr>
        <w:t>–</w:t>
      </w:r>
      <w:r>
        <w:rPr>
          <w:rFonts w:hint="cs"/>
          <w:sz w:val="20"/>
          <w:szCs w:val="20"/>
          <w:rtl/>
        </w:rPr>
        <w:t xml:space="preserve"> קפיצת שבת אינה גורמת לראייה שלאחריה, וכ"פ </w:t>
      </w:r>
      <w:r w:rsidRPr="002926BE">
        <w:rPr>
          <w:rFonts w:hint="cs"/>
          <w:b/>
          <w:bCs/>
          <w:sz w:val="20"/>
          <w:szCs w:val="20"/>
          <w:rtl/>
        </w:rPr>
        <w:t>המחבר</w:t>
      </w:r>
      <w:r>
        <w:rPr>
          <w:rFonts w:hint="cs"/>
          <w:sz w:val="20"/>
          <w:szCs w:val="20"/>
          <w:rtl/>
        </w:rPr>
        <w:t xml:space="preserve">. </w:t>
      </w:r>
      <w:r>
        <w:rPr>
          <w:rFonts w:hint="cs"/>
          <w:sz w:val="20"/>
          <w:szCs w:val="20"/>
          <w:rtl/>
        </w:rPr>
        <w:br/>
      </w:r>
      <w:r>
        <w:rPr>
          <w:rFonts w:hint="cs"/>
          <w:sz w:val="20"/>
          <w:szCs w:val="20"/>
          <w:rtl/>
        </w:rPr>
        <w:lastRenderedPageBreak/>
        <w:t xml:space="preserve">6. </w:t>
      </w:r>
      <w:r w:rsidRPr="00056AD4">
        <w:rPr>
          <w:rFonts w:hint="cs"/>
          <w:sz w:val="20"/>
          <w:szCs w:val="20"/>
          <w:rtl/>
        </w:rPr>
        <w:t>הגבלות בדעת הש"ך.</w:t>
      </w:r>
      <w:r>
        <w:rPr>
          <w:rFonts w:hint="cs"/>
          <w:sz w:val="20"/>
          <w:szCs w:val="20"/>
          <w:rtl/>
        </w:rPr>
        <w:t xml:space="preserve"> </w:t>
      </w:r>
      <w:r w:rsidRPr="002926BE">
        <w:rPr>
          <w:rFonts w:hint="cs"/>
          <w:b/>
          <w:bCs/>
          <w:sz w:val="20"/>
          <w:szCs w:val="20"/>
          <w:rtl/>
        </w:rPr>
        <w:t>נוב"י</w:t>
      </w:r>
      <w:r>
        <w:rPr>
          <w:rFonts w:hint="cs"/>
          <w:sz w:val="20"/>
          <w:szCs w:val="20"/>
          <w:rtl/>
        </w:rPr>
        <w:t xml:space="preserve">. רק קפיצת אתמול גורמת, אך קפיצה שבאמצע הזמן אינה גורמת. </w:t>
      </w:r>
      <w:r>
        <w:rPr>
          <w:b/>
          <w:bCs/>
          <w:sz w:val="20"/>
          <w:szCs w:val="20"/>
          <w:rtl/>
        </w:rPr>
        <w:br/>
      </w:r>
      <w:r w:rsidRPr="002926BE">
        <w:rPr>
          <w:rFonts w:hint="cs"/>
          <w:b/>
          <w:bCs/>
          <w:sz w:val="20"/>
          <w:szCs w:val="20"/>
          <w:rtl/>
        </w:rPr>
        <w:t>חוו"ד</w:t>
      </w:r>
      <w:r>
        <w:rPr>
          <w:rFonts w:hint="cs"/>
          <w:sz w:val="20"/>
          <w:szCs w:val="20"/>
          <w:rtl/>
        </w:rPr>
        <w:t xml:space="preserve">. קפצה ג"פ וראתה למחרת </w:t>
      </w:r>
      <w:r>
        <w:rPr>
          <w:sz w:val="20"/>
          <w:szCs w:val="20"/>
          <w:rtl/>
        </w:rPr>
        <w:t>–</w:t>
      </w:r>
      <w:r>
        <w:rPr>
          <w:rFonts w:hint="cs"/>
          <w:sz w:val="20"/>
          <w:szCs w:val="20"/>
          <w:rtl/>
        </w:rPr>
        <w:t xml:space="preserve"> קבעה לימים בלבד, רק ראייה אחת יש לתלות בקפיצה של אתמול.</w:t>
      </w:r>
      <w:r>
        <w:rPr>
          <w:sz w:val="20"/>
          <w:szCs w:val="20"/>
          <w:rtl/>
        </w:rPr>
        <w:br/>
      </w:r>
      <w:r>
        <w:rPr>
          <w:rFonts w:hint="cs"/>
          <w:sz w:val="20"/>
          <w:szCs w:val="20"/>
          <w:rtl/>
        </w:rPr>
        <w:t xml:space="preserve">7. </w:t>
      </w:r>
      <w:r w:rsidRPr="002926BE">
        <w:rPr>
          <w:rFonts w:hint="cs"/>
          <w:b/>
          <w:bCs/>
          <w:sz w:val="20"/>
          <w:szCs w:val="20"/>
          <w:rtl/>
        </w:rPr>
        <w:t>חוו"ד</w:t>
      </w:r>
      <w:r>
        <w:rPr>
          <w:rFonts w:hint="cs"/>
          <w:sz w:val="20"/>
          <w:szCs w:val="20"/>
          <w:rtl/>
        </w:rPr>
        <w:t xml:space="preserve">. בדעת המחבר </w:t>
      </w:r>
      <w:r>
        <w:rPr>
          <w:sz w:val="20"/>
          <w:szCs w:val="20"/>
          <w:rtl/>
        </w:rPr>
        <w:t>–</w:t>
      </w:r>
      <w:r>
        <w:rPr>
          <w:rFonts w:hint="cs"/>
          <w:sz w:val="20"/>
          <w:szCs w:val="20"/>
          <w:rtl/>
        </w:rPr>
        <w:t xml:space="preserve"> קבעה ג"פ ווסת לקפיצה ויום ואח"כ קפצה בשבת וראתה ביום א', האם חוששת ליום א' ללא קפיצה? לדעת </w:t>
      </w:r>
      <w:r w:rsidRPr="002926BE">
        <w:rPr>
          <w:rFonts w:hint="cs"/>
          <w:b/>
          <w:bCs/>
          <w:sz w:val="20"/>
          <w:szCs w:val="20"/>
          <w:rtl/>
        </w:rPr>
        <w:t>המחבר</w:t>
      </w:r>
      <w:r>
        <w:rPr>
          <w:rFonts w:hint="cs"/>
          <w:sz w:val="20"/>
          <w:szCs w:val="20"/>
          <w:rtl/>
        </w:rPr>
        <w:t xml:space="preserve">. קבעה לימים. לדעת </w:t>
      </w:r>
      <w:r w:rsidRPr="002926BE">
        <w:rPr>
          <w:rFonts w:hint="cs"/>
          <w:b/>
          <w:bCs/>
          <w:sz w:val="20"/>
          <w:szCs w:val="20"/>
          <w:rtl/>
        </w:rPr>
        <w:t>הרמ"א</w:t>
      </w:r>
      <w:r>
        <w:rPr>
          <w:rFonts w:hint="cs"/>
          <w:sz w:val="20"/>
          <w:szCs w:val="20"/>
          <w:rtl/>
        </w:rPr>
        <w:t>. קבעה רק לווסת המורכב.</w:t>
      </w:r>
    </w:p>
    <w:p w:rsidR="00620060" w:rsidRDefault="00620060" w:rsidP="00620060">
      <w:pPr>
        <w:rPr>
          <w:sz w:val="20"/>
          <w:szCs w:val="20"/>
          <w:rtl/>
        </w:rPr>
      </w:pPr>
    </w:p>
    <w:p w:rsidR="00620060" w:rsidRDefault="00620060" w:rsidP="00620060">
      <w:pPr>
        <w:rPr>
          <w:rFonts w:cs="Arial"/>
          <w:sz w:val="20"/>
          <w:szCs w:val="20"/>
          <w:rtl/>
        </w:rPr>
      </w:pPr>
      <w:r>
        <w:rPr>
          <w:rFonts w:hint="cs"/>
          <w:b/>
          <w:bCs/>
          <w:sz w:val="20"/>
          <w:szCs w:val="20"/>
          <w:rtl/>
        </w:rPr>
        <w:t xml:space="preserve">סעיף יח </w:t>
      </w:r>
      <w:r>
        <w:rPr>
          <w:b/>
          <w:bCs/>
          <w:sz w:val="20"/>
          <w:szCs w:val="20"/>
          <w:rtl/>
        </w:rPr>
        <w:t>–</w:t>
      </w:r>
      <w:r>
        <w:rPr>
          <w:rFonts w:hint="cs"/>
          <w:b/>
          <w:bCs/>
          <w:sz w:val="20"/>
          <w:szCs w:val="20"/>
          <w:rtl/>
        </w:rPr>
        <w:t xml:space="preserve"> ווסת מורכב </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גמרא </w:t>
      </w:r>
      <w:r>
        <w:rPr>
          <w:rFonts w:hint="cs"/>
          <w:sz w:val="20"/>
          <w:szCs w:val="20"/>
          <w:rtl/>
        </w:rPr>
        <w:t>נידה (יא.) "</w:t>
      </w:r>
      <w:r w:rsidRPr="002252CD">
        <w:rPr>
          <w:rFonts w:cs="Arial" w:hint="cs"/>
          <w:sz w:val="20"/>
          <w:szCs w:val="20"/>
          <w:rtl/>
        </w:rPr>
        <w:t>א</w:t>
      </w:r>
      <w:r>
        <w:rPr>
          <w:rFonts w:cs="Arial" w:hint="cs"/>
          <w:sz w:val="20"/>
          <w:szCs w:val="20"/>
          <w:rtl/>
        </w:rPr>
        <w:t xml:space="preserve">מר </w:t>
      </w:r>
      <w:r w:rsidRPr="002252CD">
        <w:rPr>
          <w:rFonts w:cs="Arial" w:hint="cs"/>
          <w:sz w:val="20"/>
          <w:szCs w:val="20"/>
          <w:rtl/>
        </w:rPr>
        <w:t>ר</w:t>
      </w:r>
      <w:r>
        <w:rPr>
          <w:rFonts w:cs="Arial" w:hint="cs"/>
          <w:sz w:val="20"/>
          <w:szCs w:val="20"/>
          <w:rtl/>
        </w:rPr>
        <w:t>ב</w:t>
      </w:r>
      <w:r w:rsidRPr="002252CD">
        <w:rPr>
          <w:rFonts w:cs="Arial"/>
          <w:sz w:val="20"/>
          <w:szCs w:val="20"/>
          <w:rtl/>
        </w:rPr>
        <w:t xml:space="preserve"> </w:t>
      </w:r>
      <w:r w:rsidRPr="002252CD">
        <w:rPr>
          <w:rFonts w:cs="Arial" w:hint="cs"/>
          <w:sz w:val="20"/>
          <w:szCs w:val="20"/>
          <w:rtl/>
        </w:rPr>
        <w:t>הונא</w:t>
      </w:r>
      <w:r w:rsidRPr="002252CD">
        <w:rPr>
          <w:rFonts w:cs="Arial"/>
          <w:sz w:val="20"/>
          <w:szCs w:val="20"/>
          <w:rtl/>
        </w:rPr>
        <w:t xml:space="preserve">: </w:t>
      </w:r>
      <w:r w:rsidRPr="002252CD">
        <w:rPr>
          <w:rFonts w:cs="Arial" w:hint="cs"/>
          <w:sz w:val="20"/>
          <w:szCs w:val="20"/>
          <w:rtl/>
        </w:rPr>
        <w:t>קפצה</w:t>
      </w:r>
      <w:r w:rsidRPr="002252CD">
        <w:rPr>
          <w:rFonts w:cs="Arial"/>
          <w:sz w:val="20"/>
          <w:szCs w:val="20"/>
          <w:rtl/>
        </w:rPr>
        <w:t xml:space="preserve"> </w:t>
      </w:r>
      <w:r w:rsidRPr="002252CD">
        <w:rPr>
          <w:rFonts w:cs="Arial" w:hint="cs"/>
          <w:sz w:val="20"/>
          <w:szCs w:val="20"/>
          <w:rtl/>
        </w:rPr>
        <w:t>וראתה</w:t>
      </w:r>
      <w:r w:rsidRPr="002252CD">
        <w:rPr>
          <w:rFonts w:cs="Arial"/>
          <w:sz w:val="20"/>
          <w:szCs w:val="20"/>
          <w:rtl/>
        </w:rPr>
        <w:t xml:space="preserve">, </w:t>
      </w:r>
      <w:r w:rsidRPr="002252CD">
        <w:rPr>
          <w:rFonts w:cs="Arial" w:hint="cs"/>
          <w:sz w:val="20"/>
          <w:szCs w:val="20"/>
          <w:rtl/>
        </w:rPr>
        <w:t>קפצה</w:t>
      </w:r>
      <w:r w:rsidRPr="002252CD">
        <w:rPr>
          <w:rFonts w:cs="Arial"/>
          <w:sz w:val="20"/>
          <w:szCs w:val="20"/>
          <w:rtl/>
        </w:rPr>
        <w:t xml:space="preserve"> </w:t>
      </w:r>
      <w:r w:rsidRPr="002252CD">
        <w:rPr>
          <w:rFonts w:cs="Arial" w:hint="cs"/>
          <w:sz w:val="20"/>
          <w:szCs w:val="20"/>
          <w:rtl/>
        </w:rPr>
        <w:t>וראתה</w:t>
      </w:r>
      <w:r w:rsidRPr="002252CD">
        <w:rPr>
          <w:rFonts w:cs="Arial"/>
          <w:sz w:val="20"/>
          <w:szCs w:val="20"/>
          <w:rtl/>
        </w:rPr>
        <w:t xml:space="preserve">, </w:t>
      </w:r>
      <w:r w:rsidRPr="002252CD">
        <w:rPr>
          <w:rFonts w:cs="Arial" w:hint="cs"/>
          <w:sz w:val="20"/>
          <w:szCs w:val="20"/>
          <w:rtl/>
        </w:rPr>
        <w:t>קפצה</w:t>
      </w:r>
      <w:r w:rsidRPr="002252CD">
        <w:rPr>
          <w:rFonts w:cs="Arial"/>
          <w:sz w:val="20"/>
          <w:szCs w:val="20"/>
          <w:rtl/>
        </w:rPr>
        <w:t xml:space="preserve"> </w:t>
      </w:r>
      <w:r w:rsidRPr="002252CD">
        <w:rPr>
          <w:rFonts w:cs="Arial" w:hint="cs"/>
          <w:sz w:val="20"/>
          <w:szCs w:val="20"/>
          <w:rtl/>
        </w:rPr>
        <w:t>וראתה</w:t>
      </w:r>
      <w:r w:rsidRPr="002252CD">
        <w:rPr>
          <w:rFonts w:cs="Arial"/>
          <w:sz w:val="20"/>
          <w:szCs w:val="20"/>
          <w:rtl/>
        </w:rPr>
        <w:t xml:space="preserve"> - </w:t>
      </w:r>
      <w:r w:rsidRPr="002252CD">
        <w:rPr>
          <w:rFonts w:cs="Arial" w:hint="cs"/>
          <w:sz w:val="20"/>
          <w:szCs w:val="20"/>
          <w:rtl/>
        </w:rPr>
        <w:t>קבעה</w:t>
      </w:r>
      <w:r w:rsidRPr="002252CD">
        <w:rPr>
          <w:rFonts w:cs="Arial"/>
          <w:sz w:val="20"/>
          <w:szCs w:val="20"/>
          <w:rtl/>
        </w:rPr>
        <w:t xml:space="preserve"> </w:t>
      </w:r>
      <w:r w:rsidRPr="002252CD">
        <w:rPr>
          <w:rFonts w:cs="Arial" w:hint="cs"/>
          <w:sz w:val="20"/>
          <w:szCs w:val="20"/>
          <w:rtl/>
        </w:rPr>
        <w:t>לה</w:t>
      </w:r>
      <w:r w:rsidRPr="002252CD">
        <w:rPr>
          <w:rFonts w:cs="Arial"/>
          <w:sz w:val="20"/>
          <w:szCs w:val="20"/>
          <w:rtl/>
        </w:rPr>
        <w:t xml:space="preserve"> </w:t>
      </w:r>
      <w:r w:rsidRPr="002252CD">
        <w:rPr>
          <w:rFonts w:cs="Arial" w:hint="cs"/>
          <w:sz w:val="20"/>
          <w:szCs w:val="20"/>
          <w:rtl/>
        </w:rPr>
        <w:t>וסת</w:t>
      </w:r>
      <w:r w:rsidRPr="002252CD">
        <w:rPr>
          <w:rFonts w:cs="Arial"/>
          <w:sz w:val="20"/>
          <w:szCs w:val="20"/>
          <w:rtl/>
        </w:rPr>
        <w:t xml:space="preserve">. </w:t>
      </w:r>
      <w:r w:rsidRPr="002252CD">
        <w:rPr>
          <w:rFonts w:cs="Arial" w:hint="cs"/>
          <w:sz w:val="20"/>
          <w:szCs w:val="20"/>
          <w:rtl/>
        </w:rPr>
        <w:t>למאי</w:t>
      </w:r>
      <w:r w:rsidRPr="002252CD">
        <w:rPr>
          <w:rFonts w:cs="Arial"/>
          <w:sz w:val="20"/>
          <w:szCs w:val="20"/>
          <w:rtl/>
        </w:rPr>
        <w:t xml:space="preserve">? </w:t>
      </w:r>
      <w:r w:rsidRPr="002252CD">
        <w:rPr>
          <w:rFonts w:cs="Arial" w:hint="cs"/>
          <w:sz w:val="20"/>
          <w:szCs w:val="20"/>
          <w:rtl/>
        </w:rPr>
        <w:t>אילימא</w:t>
      </w:r>
      <w:r w:rsidRPr="002252CD">
        <w:rPr>
          <w:rFonts w:cs="Arial"/>
          <w:sz w:val="20"/>
          <w:szCs w:val="20"/>
          <w:rtl/>
        </w:rPr>
        <w:t xml:space="preserve"> </w:t>
      </w:r>
      <w:r w:rsidRPr="002252CD">
        <w:rPr>
          <w:rFonts w:cs="Arial" w:hint="cs"/>
          <w:sz w:val="20"/>
          <w:szCs w:val="20"/>
          <w:rtl/>
        </w:rPr>
        <w:t>לימים</w:t>
      </w:r>
      <w:r w:rsidRPr="002252CD">
        <w:rPr>
          <w:rFonts w:cs="Arial"/>
          <w:sz w:val="20"/>
          <w:szCs w:val="20"/>
          <w:rtl/>
        </w:rPr>
        <w:t xml:space="preserve"> - </w:t>
      </w:r>
      <w:r w:rsidRPr="002252CD">
        <w:rPr>
          <w:rFonts w:cs="Arial" w:hint="cs"/>
          <w:sz w:val="20"/>
          <w:szCs w:val="20"/>
          <w:rtl/>
        </w:rPr>
        <w:t>הא</w:t>
      </w:r>
      <w:r w:rsidRPr="002252CD">
        <w:rPr>
          <w:rFonts w:cs="Arial"/>
          <w:sz w:val="20"/>
          <w:szCs w:val="20"/>
          <w:rtl/>
        </w:rPr>
        <w:t xml:space="preserve"> </w:t>
      </w:r>
      <w:r w:rsidRPr="002252CD">
        <w:rPr>
          <w:rFonts w:cs="Arial" w:hint="cs"/>
          <w:sz w:val="20"/>
          <w:szCs w:val="20"/>
          <w:rtl/>
        </w:rPr>
        <w:t>כל</w:t>
      </w:r>
      <w:r w:rsidRPr="002252CD">
        <w:rPr>
          <w:rFonts w:cs="Arial"/>
          <w:sz w:val="20"/>
          <w:szCs w:val="20"/>
          <w:rtl/>
        </w:rPr>
        <w:t xml:space="preserve"> </w:t>
      </w:r>
      <w:r w:rsidRPr="002252CD">
        <w:rPr>
          <w:rFonts w:cs="Arial" w:hint="cs"/>
          <w:sz w:val="20"/>
          <w:szCs w:val="20"/>
          <w:rtl/>
        </w:rPr>
        <w:t>יומא</w:t>
      </w:r>
      <w:r w:rsidRPr="002252CD">
        <w:rPr>
          <w:rFonts w:cs="Arial"/>
          <w:sz w:val="20"/>
          <w:szCs w:val="20"/>
          <w:rtl/>
        </w:rPr>
        <w:t xml:space="preserve"> </w:t>
      </w:r>
      <w:r w:rsidRPr="002252CD">
        <w:rPr>
          <w:rFonts w:cs="Arial" w:hint="cs"/>
          <w:sz w:val="20"/>
          <w:szCs w:val="20"/>
          <w:rtl/>
        </w:rPr>
        <w:t>דלא</w:t>
      </w:r>
      <w:r w:rsidRPr="002252CD">
        <w:rPr>
          <w:rFonts w:cs="Arial"/>
          <w:sz w:val="20"/>
          <w:szCs w:val="20"/>
          <w:rtl/>
        </w:rPr>
        <w:t xml:space="preserve"> </w:t>
      </w:r>
      <w:r w:rsidRPr="002252CD">
        <w:rPr>
          <w:rFonts w:cs="Arial" w:hint="cs"/>
          <w:sz w:val="20"/>
          <w:szCs w:val="20"/>
          <w:rtl/>
        </w:rPr>
        <w:t>קפיץ</w:t>
      </w:r>
      <w:r w:rsidRPr="002252CD">
        <w:rPr>
          <w:rFonts w:cs="Arial"/>
          <w:sz w:val="20"/>
          <w:szCs w:val="20"/>
          <w:rtl/>
        </w:rPr>
        <w:t xml:space="preserve"> </w:t>
      </w:r>
      <w:r w:rsidRPr="002252CD">
        <w:rPr>
          <w:rFonts w:cs="Arial" w:hint="cs"/>
          <w:sz w:val="20"/>
          <w:szCs w:val="20"/>
          <w:rtl/>
        </w:rPr>
        <w:t>לא</w:t>
      </w:r>
      <w:r w:rsidRPr="002252CD">
        <w:rPr>
          <w:rFonts w:cs="Arial"/>
          <w:sz w:val="20"/>
          <w:szCs w:val="20"/>
          <w:rtl/>
        </w:rPr>
        <w:t xml:space="preserve"> </w:t>
      </w:r>
      <w:r w:rsidRPr="002252CD">
        <w:rPr>
          <w:rFonts w:cs="Arial" w:hint="cs"/>
          <w:sz w:val="20"/>
          <w:szCs w:val="20"/>
          <w:rtl/>
        </w:rPr>
        <w:t>חזאי</w:t>
      </w:r>
      <w:r w:rsidRPr="002252CD">
        <w:rPr>
          <w:rFonts w:cs="Arial"/>
          <w:sz w:val="20"/>
          <w:szCs w:val="20"/>
          <w:rtl/>
        </w:rPr>
        <w:t xml:space="preserve">! </w:t>
      </w:r>
      <w:r w:rsidRPr="002252CD">
        <w:rPr>
          <w:rFonts w:cs="Arial" w:hint="cs"/>
          <w:sz w:val="20"/>
          <w:szCs w:val="20"/>
          <w:rtl/>
        </w:rPr>
        <w:t>אלא</w:t>
      </w:r>
      <w:r w:rsidRPr="002252CD">
        <w:rPr>
          <w:rFonts w:cs="Arial"/>
          <w:sz w:val="20"/>
          <w:szCs w:val="20"/>
          <w:rtl/>
        </w:rPr>
        <w:t xml:space="preserve"> </w:t>
      </w:r>
      <w:r w:rsidRPr="002252CD">
        <w:rPr>
          <w:rFonts w:cs="Arial" w:hint="cs"/>
          <w:sz w:val="20"/>
          <w:szCs w:val="20"/>
          <w:rtl/>
        </w:rPr>
        <w:t>לקפיצות</w:t>
      </w:r>
      <w:r w:rsidRPr="002252CD">
        <w:rPr>
          <w:rFonts w:cs="Arial"/>
          <w:sz w:val="20"/>
          <w:szCs w:val="20"/>
          <w:rtl/>
        </w:rPr>
        <w:t xml:space="preserve">, </w:t>
      </w:r>
      <w:r w:rsidRPr="002252CD">
        <w:rPr>
          <w:rFonts w:cs="Arial" w:hint="cs"/>
          <w:sz w:val="20"/>
          <w:szCs w:val="20"/>
          <w:rtl/>
        </w:rPr>
        <w:t>והתניא</w:t>
      </w:r>
      <w:r w:rsidRPr="002252CD">
        <w:rPr>
          <w:rFonts w:cs="Arial"/>
          <w:sz w:val="20"/>
          <w:szCs w:val="20"/>
          <w:rtl/>
        </w:rPr>
        <w:t xml:space="preserve">: </w:t>
      </w:r>
      <w:r w:rsidRPr="002252CD">
        <w:rPr>
          <w:rFonts w:cs="Arial" w:hint="cs"/>
          <w:sz w:val="20"/>
          <w:szCs w:val="20"/>
          <w:rtl/>
        </w:rPr>
        <w:t>כל</w:t>
      </w:r>
      <w:r w:rsidRPr="002252CD">
        <w:rPr>
          <w:rFonts w:cs="Arial"/>
          <w:sz w:val="20"/>
          <w:szCs w:val="20"/>
          <w:rtl/>
        </w:rPr>
        <w:t xml:space="preserve"> </w:t>
      </w:r>
      <w:r w:rsidRPr="002252CD">
        <w:rPr>
          <w:rFonts w:cs="Arial" w:hint="cs"/>
          <w:sz w:val="20"/>
          <w:szCs w:val="20"/>
          <w:rtl/>
        </w:rPr>
        <w:t>שתקבענה</w:t>
      </w:r>
      <w:r w:rsidRPr="002252CD">
        <w:rPr>
          <w:rFonts w:cs="Arial"/>
          <w:sz w:val="20"/>
          <w:szCs w:val="20"/>
          <w:rtl/>
        </w:rPr>
        <w:t xml:space="preserve"> </w:t>
      </w:r>
      <w:r w:rsidRPr="002252CD">
        <w:rPr>
          <w:rFonts w:cs="Arial" w:hint="cs"/>
          <w:sz w:val="20"/>
          <w:szCs w:val="20"/>
          <w:rtl/>
        </w:rPr>
        <w:t>מחמת</w:t>
      </w:r>
      <w:r w:rsidRPr="002252CD">
        <w:rPr>
          <w:rFonts w:cs="Arial"/>
          <w:sz w:val="20"/>
          <w:szCs w:val="20"/>
          <w:rtl/>
        </w:rPr>
        <w:t xml:space="preserve"> </w:t>
      </w:r>
      <w:r w:rsidRPr="002252CD">
        <w:rPr>
          <w:rFonts w:cs="Arial" w:hint="cs"/>
          <w:sz w:val="20"/>
          <w:szCs w:val="20"/>
          <w:rtl/>
        </w:rPr>
        <w:t>אונס</w:t>
      </w:r>
      <w:r w:rsidRPr="002252CD">
        <w:rPr>
          <w:rFonts w:cs="Arial"/>
          <w:sz w:val="20"/>
          <w:szCs w:val="20"/>
          <w:rtl/>
        </w:rPr>
        <w:t xml:space="preserve"> - </w:t>
      </w:r>
      <w:r w:rsidRPr="002252CD">
        <w:rPr>
          <w:rFonts w:cs="Arial" w:hint="cs"/>
          <w:sz w:val="20"/>
          <w:szCs w:val="20"/>
          <w:rtl/>
        </w:rPr>
        <w:t>אפילו</w:t>
      </w:r>
      <w:r w:rsidRPr="002252CD">
        <w:rPr>
          <w:rFonts w:cs="Arial"/>
          <w:sz w:val="20"/>
          <w:szCs w:val="20"/>
          <w:rtl/>
        </w:rPr>
        <w:t xml:space="preserve"> </w:t>
      </w:r>
      <w:r w:rsidRPr="002252CD">
        <w:rPr>
          <w:rFonts w:cs="Arial" w:hint="cs"/>
          <w:sz w:val="20"/>
          <w:szCs w:val="20"/>
          <w:rtl/>
        </w:rPr>
        <w:t>כמה</w:t>
      </w:r>
      <w:r w:rsidRPr="002252CD">
        <w:rPr>
          <w:rFonts w:cs="Arial"/>
          <w:sz w:val="20"/>
          <w:szCs w:val="20"/>
          <w:rtl/>
        </w:rPr>
        <w:t xml:space="preserve"> </w:t>
      </w:r>
      <w:r w:rsidRPr="002252CD">
        <w:rPr>
          <w:rFonts w:cs="Arial" w:hint="cs"/>
          <w:sz w:val="20"/>
          <w:szCs w:val="20"/>
          <w:rtl/>
        </w:rPr>
        <w:t>פעמים</w:t>
      </w:r>
      <w:r w:rsidRPr="002252CD">
        <w:rPr>
          <w:rFonts w:cs="Arial"/>
          <w:sz w:val="20"/>
          <w:szCs w:val="20"/>
          <w:rtl/>
        </w:rPr>
        <w:t xml:space="preserve"> </w:t>
      </w:r>
      <w:r w:rsidRPr="002252CD">
        <w:rPr>
          <w:rFonts w:cs="Arial" w:hint="cs"/>
          <w:sz w:val="20"/>
          <w:szCs w:val="20"/>
          <w:rtl/>
        </w:rPr>
        <w:t>לא</w:t>
      </w:r>
      <w:r w:rsidRPr="002252CD">
        <w:rPr>
          <w:rFonts w:cs="Arial"/>
          <w:sz w:val="20"/>
          <w:szCs w:val="20"/>
          <w:rtl/>
        </w:rPr>
        <w:t xml:space="preserve"> </w:t>
      </w:r>
      <w:r w:rsidRPr="002252CD">
        <w:rPr>
          <w:rFonts w:cs="Arial" w:hint="cs"/>
          <w:sz w:val="20"/>
          <w:szCs w:val="20"/>
          <w:rtl/>
        </w:rPr>
        <w:t>קבעה</w:t>
      </w:r>
      <w:r w:rsidRPr="002252CD">
        <w:rPr>
          <w:rFonts w:cs="Arial"/>
          <w:sz w:val="20"/>
          <w:szCs w:val="20"/>
          <w:rtl/>
        </w:rPr>
        <w:t xml:space="preserve"> </w:t>
      </w:r>
      <w:r w:rsidRPr="002252CD">
        <w:rPr>
          <w:rFonts w:cs="Arial" w:hint="cs"/>
          <w:sz w:val="20"/>
          <w:szCs w:val="20"/>
          <w:rtl/>
        </w:rPr>
        <w:t>וסת</w:t>
      </w:r>
      <w:r w:rsidRPr="002252CD">
        <w:rPr>
          <w:rFonts w:cs="Arial"/>
          <w:sz w:val="20"/>
          <w:szCs w:val="20"/>
          <w:rtl/>
        </w:rPr>
        <w:t xml:space="preserve">! </w:t>
      </w:r>
      <w:r w:rsidRPr="002252CD">
        <w:rPr>
          <w:rFonts w:cs="Arial" w:hint="cs"/>
          <w:sz w:val="20"/>
          <w:szCs w:val="20"/>
          <w:rtl/>
        </w:rPr>
        <w:t>מאי</w:t>
      </w:r>
      <w:r w:rsidRPr="002252CD">
        <w:rPr>
          <w:rFonts w:cs="Arial"/>
          <w:sz w:val="20"/>
          <w:szCs w:val="20"/>
          <w:rtl/>
        </w:rPr>
        <w:t xml:space="preserve"> </w:t>
      </w:r>
      <w:r w:rsidRPr="002252CD">
        <w:rPr>
          <w:rFonts w:cs="Arial" w:hint="cs"/>
          <w:sz w:val="20"/>
          <w:szCs w:val="20"/>
          <w:rtl/>
        </w:rPr>
        <w:t>לאו</w:t>
      </w:r>
      <w:r w:rsidRPr="002252CD">
        <w:rPr>
          <w:rFonts w:cs="Arial"/>
          <w:sz w:val="20"/>
          <w:szCs w:val="20"/>
          <w:rtl/>
        </w:rPr>
        <w:t xml:space="preserve"> - </w:t>
      </w:r>
      <w:r w:rsidRPr="002252CD">
        <w:rPr>
          <w:rFonts w:cs="Arial" w:hint="cs"/>
          <w:sz w:val="20"/>
          <w:szCs w:val="20"/>
          <w:rtl/>
        </w:rPr>
        <w:t>לא</w:t>
      </w:r>
      <w:r w:rsidRPr="002252CD">
        <w:rPr>
          <w:rFonts w:cs="Arial"/>
          <w:sz w:val="20"/>
          <w:szCs w:val="20"/>
          <w:rtl/>
        </w:rPr>
        <w:t xml:space="preserve"> </w:t>
      </w:r>
      <w:r w:rsidRPr="002252CD">
        <w:rPr>
          <w:rFonts w:cs="Arial" w:hint="cs"/>
          <w:sz w:val="20"/>
          <w:szCs w:val="20"/>
          <w:rtl/>
        </w:rPr>
        <w:t>קבעה</w:t>
      </w:r>
      <w:r w:rsidRPr="002252CD">
        <w:rPr>
          <w:rFonts w:cs="Arial"/>
          <w:sz w:val="20"/>
          <w:szCs w:val="20"/>
          <w:rtl/>
        </w:rPr>
        <w:t xml:space="preserve"> </w:t>
      </w:r>
      <w:r w:rsidRPr="002252CD">
        <w:rPr>
          <w:rFonts w:cs="Arial" w:hint="cs"/>
          <w:sz w:val="20"/>
          <w:szCs w:val="20"/>
          <w:rtl/>
        </w:rPr>
        <w:t>וסת</w:t>
      </w:r>
      <w:r w:rsidRPr="002252CD">
        <w:rPr>
          <w:rFonts w:cs="Arial"/>
          <w:sz w:val="20"/>
          <w:szCs w:val="20"/>
          <w:rtl/>
        </w:rPr>
        <w:t xml:space="preserve"> </w:t>
      </w:r>
      <w:r w:rsidRPr="002252CD">
        <w:rPr>
          <w:rFonts w:cs="Arial" w:hint="cs"/>
          <w:sz w:val="20"/>
          <w:szCs w:val="20"/>
          <w:rtl/>
        </w:rPr>
        <w:t>כלל</w:t>
      </w:r>
      <w:r w:rsidRPr="002252CD">
        <w:rPr>
          <w:rFonts w:cs="Arial"/>
          <w:sz w:val="20"/>
          <w:szCs w:val="20"/>
          <w:rtl/>
        </w:rPr>
        <w:t xml:space="preserve">! </w:t>
      </w:r>
      <w:r w:rsidRPr="002252CD">
        <w:rPr>
          <w:rFonts w:cs="Arial" w:hint="cs"/>
          <w:sz w:val="20"/>
          <w:szCs w:val="20"/>
          <w:rtl/>
        </w:rPr>
        <w:t>לא</w:t>
      </w:r>
      <w:r w:rsidRPr="002252CD">
        <w:rPr>
          <w:rFonts w:cs="Arial"/>
          <w:sz w:val="20"/>
          <w:szCs w:val="20"/>
          <w:rtl/>
        </w:rPr>
        <w:t xml:space="preserve">, </w:t>
      </w:r>
      <w:r w:rsidRPr="002252CD">
        <w:rPr>
          <w:rFonts w:cs="Arial" w:hint="cs"/>
          <w:sz w:val="20"/>
          <w:szCs w:val="20"/>
          <w:rtl/>
        </w:rPr>
        <w:t>לא</w:t>
      </w:r>
      <w:r w:rsidRPr="002252CD">
        <w:rPr>
          <w:rFonts w:cs="Arial"/>
          <w:sz w:val="20"/>
          <w:szCs w:val="20"/>
          <w:rtl/>
        </w:rPr>
        <w:t xml:space="preserve"> </w:t>
      </w:r>
      <w:r w:rsidRPr="002252CD">
        <w:rPr>
          <w:rFonts w:cs="Arial" w:hint="cs"/>
          <w:sz w:val="20"/>
          <w:szCs w:val="20"/>
          <w:rtl/>
        </w:rPr>
        <w:t>קבעה</w:t>
      </w:r>
      <w:r w:rsidRPr="002252CD">
        <w:rPr>
          <w:rFonts w:cs="Arial"/>
          <w:sz w:val="20"/>
          <w:szCs w:val="20"/>
          <w:rtl/>
        </w:rPr>
        <w:t xml:space="preserve"> </w:t>
      </w:r>
      <w:r w:rsidRPr="002252CD">
        <w:rPr>
          <w:rFonts w:cs="Arial" w:hint="cs"/>
          <w:sz w:val="20"/>
          <w:szCs w:val="20"/>
          <w:rtl/>
        </w:rPr>
        <w:t>וסת</w:t>
      </w:r>
      <w:r w:rsidRPr="002252CD">
        <w:rPr>
          <w:rFonts w:cs="Arial"/>
          <w:sz w:val="20"/>
          <w:szCs w:val="20"/>
          <w:rtl/>
        </w:rPr>
        <w:t xml:space="preserve"> </w:t>
      </w:r>
      <w:r w:rsidRPr="002252CD">
        <w:rPr>
          <w:rFonts w:cs="Arial" w:hint="cs"/>
          <w:sz w:val="20"/>
          <w:szCs w:val="20"/>
          <w:rtl/>
        </w:rPr>
        <w:t>לימים</w:t>
      </w:r>
      <w:r w:rsidRPr="002252CD">
        <w:rPr>
          <w:rFonts w:cs="Arial"/>
          <w:sz w:val="20"/>
          <w:szCs w:val="20"/>
          <w:rtl/>
        </w:rPr>
        <w:t xml:space="preserve"> </w:t>
      </w:r>
      <w:r w:rsidRPr="002252CD">
        <w:rPr>
          <w:rFonts w:cs="Arial" w:hint="cs"/>
          <w:sz w:val="20"/>
          <w:szCs w:val="20"/>
          <w:rtl/>
        </w:rPr>
        <w:t>לחודייהו</w:t>
      </w:r>
      <w:r w:rsidRPr="002252CD">
        <w:rPr>
          <w:rFonts w:cs="Arial"/>
          <w:sz w:val="20"/>
          <w:szCs w:val="20"/>
          <w:rtl/>
        </w:rPr>
        <w:t xml:space="preserve"> </w:t>
      </w:r>
      <w:r w:rsidRPr="002252CD">
        <w:rPr>
          <w:rFonts w:cs="Arial" w:hint="cs"/>
          <w:sz w:val="20"/>
          <w:szCs w:val="20"/>
          <w:rtl/>
        </w:rPr>
        <w:t>ולקפיצות</w:t>
      </w:r>
      <w:r w:rsidRPr="002252CD">
        <w:rPr>
          <w:rFonts w:cs="Arial"/>
          <w:sz w:val="20"/>
          <w:szCs w:val="20"/>
          <w:rtl/>
        </w:rPr>
        <w:t xml:space="preserve"> </w:t>
      </w:r>
      <w:r w:rsidRPr="002252CD">
        <w:rPr>
          <w:rFonts w:cs="Arial" w:hint="cs"/>
          <w:sz w:val="20"/>
          <w:szCs w:val="20"/>
          <w:rtl/>
        </w:rPr>
        <w:t>לחודייהו</w:t>
      </w:r>
      <w:r w:rsidRPr="002252CD">
        <w:rPr>
          <w:rFonts w:cs="Arial"/>
          <w:sz w:val="20"/>
          <w:szCs w:val="20"/>
          <w:rtl/>
        </w:rPr>
        <w:t xml:space="preserve">, </w:t>
      </w:r>
      <w:r w:rsidRPr="002252CD">
        <w:rPr>
          <w:rFonts w:cs="Arial" w:hint="cs"/>
          <w:sz w:val="20"/>
          <w:szCs w:val="20"/>
          <w:rtl/>
        </w:rPr>
        <w:t>אבל</w:t>
      </w:r>
      <w:r w:rsidRPr="002252CD">
        <w:rPr>
          <w:rFonts w:cs="Arial"/>
          <w:sz w:val="20"/>
          <w:szCs w:val="20"/>
          <w:rtl/>
        </w:rPr>
        <w:t xml:space="preserve"> </w:t>
      </w:r>
      <w:r w:rsidRPr="002252CD">
        <w:rPr>
          <w:rFonts w:cs="Arial" w:hint="cs"/>
          <w:sz w:val="20"/>
          <w:szCs w:val="20"/>
          <w:rtl/>
        </w:rPr>
        <w:t>קבעה</w:t>
      </w:r>
      <w:r w:rsidRPr="002252CD">
        <w:rPr>
          <w:rFonts w:cs="Arial"/>
          <w:sz w:val="20"/>
          <w:szCs w:val="20"/>
          <w:rtl/>
        </w:rPr>
        <w:t xml:space="preserve"> </w:t>
      </w:r>
      <w:r w:rsidRPr="002252CD">
        <w:rPr>
          <w:rFonts w:cs="Arial" w:hint="cs"/>
          <w:sz w:val="20"/>
          <w:szCs w:val="20"/>
          <w:rtl/>
        </w:rPr>
        <w:t>לה</w:t>
      </w:r>
      <w:r w:rsidRPr="002252CD">
        <w:rPr>
          <w:rFonts w:cs="Arial"/>
          <w:sz w:val="20"/>
          <w:szCs w:val="20"/>
          <w:rtl/>
        </w:rPr>
        <w:t xml:space="preserve"> </w:t>
      </w:r>
      <w:r w:rsidRPr="002252CD">
        <w:rPr>
          <w:rFonts w:cs="Arial" w:hint="cs"/>
          <w:sz w:val="20"/>
          <w:szCs w:val="20"/>
          <w:rtl/>
        </w:rPr>
        <w:t>וסת</w:t>
      </w:r>
      <w:r w:rsidRPr="002252CD">
        <w:rPr>
          <w:rFonts w:cs="Arial"/>
          <w:sz w:val="20"/>
          <w:szCs w:val="20"/>
          <w:rtl/>
        </w:rPr>
        <w:t xml:space="preserve"> </w:t>
      </w:r>
      <w:r w:rsidRPr="002252CD">
        <w:rPr>
          <w:rFonts w:cs="Arial" w:hint="cs"/>
          <w:sz w:val="20"/>
          <w:szCs w:val="20"/>
          <w:rtl/>
        </w:rPr>
        <w:t>לימים</w:t>
      </w:r>
      <w:r w:rsidRPr="002252CD">
        <w:rPr>
          <w:rFonts w:cs="Arial"/>
          <w:sz w:val="20"/>
          <w:szCs w:val="20"/>
          <w:rtl/>
        </w:rPr>
        <w:t xml:space="preserve"> </w:t>
      </w:r>
      <w:r w:rsidRPr="002252CD">
        <w:rPr>
          <w:rFonts w:cs="Arial" w:hint="cs"/>
          <w:sz w:val="20"/>
          <w:szCs w:val="20"/>
          <w:rtl/>
        </w:rPr>
        <w:t>ולקפיצות</w:t>
      </w:r>
      <w:r>
        <w:rPr>
          <w:rFonts w:cs="Arial" w:hint="cs"/>
          <w:sz w:val="20"/>
          <w:szCs w:val="20"/>
          <w:rtl/>
        </w:rPr>
        <w:t>".</w:t>
      </w:r>
    </w:p>
    <w:p w:rsidR="00620060" w:rsidRDefault="00620060" w:rsidP="00620060">
      <w:pPr>
        <w:rPr>
          <w:sz w:val="20"/>
          <w:szCs w:val="20"/>
          <w:rtl/>
        </w:rPr>
      </w:pPr>
      <w:r>
        <w:rPr>
          <w:rFonts w:cs="Arial" w:hint="cs"/>
          <w:b/>
          <w:bCs/>
          <w:sz w:val="20"/>
          <w:szCs w:val="20"/>
          <w:rtl/>
        </w:rPr>
        <w:t>פסיקת הלכה</w:t>
      </w:r>
      <w:r>
        <w:rPr>
          <w:rFonts w:cs="Arial"/>
          <w:b/>
          <w:bCs/>
          <w:sz w:val="20"/>
          <w:szCs w:val="20"/>
          <w:rtl/>
        </w:rPr>
        <w:br/>
      </w:r>
      <w:r>
        <w:rPr>
          <w:rFonts w:cs="Arial" w:hint="cs"/>
          <w:b/>
          <w:bCs/>
          <w:sz w:val="20"/>
          <w:szCs w:val="20"/>
          <w:rtl/>
        </w:rPr>
        <w:t>שולחן ערוך</w:t>
      </w:r>
      <w:r>
        <w:rPr>
          <w:rFonts w:cs="Arial" w:hint="cs"/>
          <w:sz w:val="20"/>
          <w:szCs w:val="20"/>
          <w:rtl/>
        </w:rPr>
        <w:t xml:space="preserve"> </w:t>
      </w:r>
      <w:r>
        <w:rPr>
          <w:rFonts w:cs="Arial"/>
          <w:sz w:val="20"/>
          <w:szCs w:val="20"/>
          <w:rtl/>
        </w:rPr>
        <w:t>–</w:t>
      </w:r>
      <w:r>
        <w:rPr>
          <w:rFonts w:cs="Arial" w:hint="cs"/>
          <w:sz w:val="20"/>
          <w:szCs w:val="20"/>
          <w:rtl/>
        </w:rPr>
        <w:t xml:space="preserve"> "</w:t>
      </w:r>
      <w:r w:rsidRPr="00A119C4">
        <w:rPr>
          <w:rFonts w:cs="Arial" w:hint="cs"/>
          <w:sz w:val="20"/>
          <w:szCs w:val="20"/>
          <w:rtl/>
        </w:rPr>
        <w:t>קפצה</w:t>
      </w:r>
      <w:r w:rsidRPr="00A119C4">
        <w:rPr>
          <w:rFonts w:cs="Arial"/>
          <w:sz w:val="20"/>
          <w:szCs w:val="20"/>
          <w:rtl/>
        </w:rPr>
        <w:t xml:space="preserve"> </w:t>
      </w:r>
      <w:r w:rsidRPr="00A119C4">
        <w:rPr>
          <w:rFonts w:cs="Arial" w:hint="cs"/>
          <w:sz w:val="20"/>
          <w:szCs w:val="20"/>
          <w:rtl/>
        </w:rPr>
        <w:t>ביום</w:t>
      </w:r>
      <w:r w:rsidRPr="00A119C4">
        <w:rPr>
          <w:rFonts w:cs="Arial"/>
          <w:sz w:val="20"/>
          <w:szCs w:val="20"/>
          <w:rtl/>
        </w:rPr>
        <w:t xml:space="preserve"> </w:t>
      </w:r>
      <w:r w:rsidRPr="00A119C4">
        <w:rPr>
          <w:rFonts w:cs="Arial" w:hint="cs"/>
          <w:sz w:val="20"/>
          <w:szCs w:val="20"/>
          <w:rtl/>
        </w:rPr>
        <w:t>ידוע</w:t>
      </w:r>
      <w:r w:rsidRPr="00A119C4">
        <w:rPr>
          <w:rFonts w:cs="Arial"/>
          <w:sz w:val="20"/>
          <w:szCs w:val="20"/>
          <w:rtl/>
        </w:rPr>
        <w:t xml:space="preserve">, </w:t>
      </w:r>
      <w:r w:rsidRPr="00A119C4">
        <w:rPr>
          <w:rFonts w:cs="Arial" w:hint="cs"/>
          <w:sz w:val="20"/>
          <w:szCs w:val="20"/>
          <w:rtl/>
        </w:rPr>
        <w:t>כגון</w:t>
      </w:r>
      <w:r w:rsidRPr="00A119C4">
        <w:rPr>
          <w:rFonts w:cs="Arial"/>
          <w:sz w:val="20"/>
          <w:szCs w:val="20"/>
          <w:rtl/>
        </w:rPr>
        <w:t xml:space="preserve"> </w:t>
      </w:r>
      <w:r w:rsidRPr="00A119C4">
        <w:rPr>
          <w:rFonts w:cs="Arial" w:hint="cs"/>
          <w:sz w:val="20"/>
          <w:szCs w:val="20"/>
          <w:rtl/>
        </w:rPr>
        <w:t>בר</w:t>
      </w:r>
      <w:r w:rsidRPr="00A119C4">
        <w:rPr>
          <w:rFonts w:cs="Arial"/>
          <w:sz w:val="20"/>
          <w:szCs w:val="20"/>
          <w:rtl/>
        </w:rPr>
        <w:t>"</w:t>
      </w:r>
      <w:r w:rsidRPr="00A119C4">
        <w:rPr>
          <w:rFonts w:cs="Arial" w:hint="cs"/>
          <w:sz w:val="20"/>
          <w:szCs w:val="20"/>
          <w:rtl/>
        </w:rPr>
        <w:t>ח</w:t>
      </w:r>
      <w:r w:rsidRPr="00A119C4">
        <w:rPr>
          <w:rFonts w:cs="Arial"/>
          <w:sz w:val="20"/>
          <w:szCs w:val="20"/>
          <w:rtl/>
        </w:rPr>
        <w:t xml:space="preserve"> </w:t>
      </w:r>
      <w:r w:rsidRPr="00A119C4">
        <w:rPr>
          <w:rFonts w:cs="Arial" w:hint="cs"/>
          <w:sz w:val="20"/>
          <w:szCs w:val="20"/>
          <w:rtl/>
        </w:rPr>
        <w:t>או</w:t>
      </w:r>
      <w:r w:rsidRPr="00A119C4">
        <w:rPr>
          <w:rFonts w:cs="Arial"/>
          <w:sz w:val="20"/>
          <w:szCs w:val="20"/>
          <w:rtl/>
        </w:rPr>
        <w:t xml:space="preserve"> </w:t>
      </w:r>
      <w:r w:rsidRPr="00A119C4">
        <w:rPr>
          <w:rFonts w:cs="Arial" w:hint="cs"/>
          <w:sz w:val="20"/>
          <w:szCs w:val="20"/>
          <w:rtl/>
        </w:rPr>
        <w:t>באחד</w:t>
      </w:r>
      <w:r w:rsidRPr="00A119C4">
        <w:rPr>
          <w:rFonts w:cs="Arial"/>
          <w:sz w:val="20"/>
          <w:szCs w:val="20"/>
          <w:rtl/>
        </w:rPr>
        <w:t xml:space="preserve"> </w:t>
      </w:r>
      <w:r w:rsidRPr="00A119C4">
        <w:rPr>
          <w:rFonts w:cs="Arial" w:hint="cs"/>
          <w:sz w:val="20"/>
          <w:szCs w:val="20"/>
          <w:rtl/>
        </w:rPr>
        <w:t>בשבת</w:t>
      </w:r>
      <w:r w:rsidRPr="00A119C4">
        <w:rPr>
          <w:rFonts w:cs="Arial"/>
          <w:sz w:val="20"/>
          <w:szCs w:val="20"/>
          <w:rtl/>
        </w:rPr>
        <w:t xml:space="preserve">, </w:t>
      </w:r>
      <w:r w:rsidRPr="00A119C4">
        <w:rPr>
          <w:rFonts w:cs="Arial" w:hint="cs"/>
          <w:sz w:val="20"/>
          <w:szCs w:val="20"/>
          <w:rtl/>
        </w:rPr>
        <w:t>וראתה</w:t>
      </w:r>
      <w:r w:rsidRPr="00A119C4">
        <w:rPr>
          <w:rFonts w:cs="Arial"/>
          <w:sz w:val="20"/>
          <w:szCs w:val="20"/>
          <w:rtl/>
        </w:rPr>
        <w:t xml:space="preserve"> </w:t>
      </w:r>
      <w:r w:rsidRPr="00A119C4">
        <w:rPr>
          <w:rFonts w:cs="Arial" w:hint="cs"/>
          <w:sz w:val="20"/>
          <w:szCs w:val="20"/>
          <w:rtl/>
        </w:rPr>
        <w:t>בו</w:t>
      </w:r>
      <w:r w:rsidRPr="00A119C4">
        <w:rPr>
          <w:rFonts w:cs="Arial"/>
          <w:sz w:val="20"/>
          <w:szCs w:val="20"/>
          <w:rtl/>
        </w:rPr>
        <w:t xml:space="preserve">, </w:t>
      </w:r>
      <w:r w:rsidRPr="00A119C4">
        <w:rPr>
          <w:rFonts w:cs="Arial" w:hint="cs"/>
          <w:sz w:val="20"/>
          <w:szCs w:val="20"/>
          <w:rtl/>
        </w:rPr>
        <w:t>ואירע</w:t>
      </w:r>
      <w:r w:rsidRPr="00A119C4">
        <w:rPr>
          <w:rFonts w:cs="Arial"/>
          <w:sz w:val="20"/>
          <w:szCs w:val="20"/>
          <w:rtl/>
        </w:rPr>
        <w:t xml:space="preserve"> </w:t>
      </w:r>
      <w:r w:rsidRPr="00A119C4">
        <w:rPr>
          <w:rFonts w:cs="Arial" w:hint="cs"/>
          <w:sz w:val="20"/>
          <w:szCs w:val="20"/>
          <w:rtl/>
        </w:rPr>
        <w:t>כן</w:t>
      </w:r>
      <w:r w:rsidRPr="00A119C4">
        <w:rPr>
          <w:rFonts w:cs="Arial"/>
          <w:sz w:val="20"/>
          <w:szCs w:val="20"/>
          <w:rtl/>
        </w:rPr>
        <w:t xml:space="preserve"> </w:t>
      </w:r>
      <w:r w:rsidRPr="00A119C4">
        <w:rPr>
          <w:rFonts w:cs="Arial" w:hint="cs"/>
          <w:sz w:val="20"/>
          <w:szCs w:val="20"/>
          <w:rtl/>
        </w:rPr>
        <w:t>בג</w:t>
      </w:r>
      <w:r w:rsidRPr="00A119C4">
        <w:rPr>
          <w:rFonts w:cs="Arial"/>
          <w:sz w:val="20"/>
          <w:szCs w:val="20"/>
          <w:rtl/>
        </w:rPr>
        <w:t xml:space="preserve">' </w:t>
      </w:r>
      <w:r w:rsidRPr="00A119C4">
        <w:rPr>
          <w:rFonts w:cs="Arial" w:hint="cs"/>
          <w:sz w:val="20"/>
          <w:szCs w:val="20"/>
          <w:rtl/>
        </w:rPr>
        <w:t>ר</w:t>
      </w:r>
      <w:r w:rsidRPr="00A119C4">
        <w:rPr>
          <w:rFonts w:cs="Arial"/>
          <w:sz w:val="20"/>
          <w:szCs w:val="20"/>
          <w:rtl/>
        </w:rPr>
        <w:t>"</w:t>
      </w:r>
      <w:r w:rsidRPr="00A119C4">
        <w:rPr>
          <w:rFonts w:cs="Arial" w:hint="cs"/>
          <w:sz w:val="20"/>
          <w:szCs w:val="20"/>
          <w:rtl/>
        </w:rPr>
        <w:t>ח</w:t>
      </w:r>
      <w:r w:rsidRPr="00A119C4">
        <w:rPr>
          <w:rFonts w:cs="Arial"/>
          <w:sz w:val="20"/>
          <w:szCs w:val="20"/>
          <w:rtl/>
        </w:rPr>
        <w:t xml:space="preserve"> </w:t>
      </w:r>
      <w:r w:rsidRPr="00A119C4">
        <w:rPr>
          <w:rFonts w:cs="Arial" w:hint="cs"/>
          <w:sz w:val="20"/>
          <w:szCs w:val="20"/>
          <w:rtl/>
        </w:rPr>
        <w:t>או</w:t>
      </w:r>
      <w:r w:rsidRPr="00A119C4">
        <w:rPr>
          <w:rFonts w:cs="Arial"/>
          <w:sz w:val="20"/>
          <w:szCs w:val="20"/>
          <w:rtl/>
        </w:rPr>
        <w:t xml:space="preserve"> </w:t>
      </w:r>
      <w:r w:rsidRPr="00A119C4">
        <w:rPr>
          <w:rFonts w:cs="Arial" w:hint="cs"/>
          <w:sz w:val="20"/>
          <w:szCs w:val="20"/>
          <w:rtl/>
        </w:rPr>
        <w:t>בג</w:t>
      </w:r>
      <w:r w:rsidRPr="00A119C4">
        <w:rPr>
          <w:rFonts w:cs="Arial"/>
          <w:sz w:val="20"/>
          <w:szCs w:val="20"/>
          <w:rtl/>
        </w:rPr>
        <w:t xml:space="preserve">' </w:t>
      </w:r>
      <w:r w:rsidRPr="00A119C4">
        <w:rPr>
          <w:rFonts w:cs="Arial" w:hint="cs"/>
          <w:sz w:val="20"/>
          <w:szCs w:val="20"/>
          <w:rtl/>
        </w:rPr>
        <w:t>אחד</w:t>
      </w:r>
      <w:r w:rsidRPr="00A119C4">
        <w:rPr>
          <w:rFonts w:cs="Arial"/>
          <w:sz w:val="20"/>
          <w:szCs w:val="20"/>
          <w:rtl/>
        </w:rPr>
        <w:t xml:space="preserve"> </w:t>
      </w:r>
      <w:r w:rsidRPr="00A119C4">
        <w:rPr>
          <w:rFonts w:cs="Arial" w:hint="cs"/>
          <w:sz w:val="20"/>
          <w:szCs w:val="20"/>
          <w:rtl/>
        </w:rPr>
        <w:t>בשבת</w:t>
      </w:r>
      <w:r w:rsidRPr="00A119C4">
        <w:rPr>
          <w:rFonts w:cs="Arial"/>
          <w:sz w:val="20"/>
          <w:szCs w:val="20"/>
          <w:rtl/>
        </w:rPr>
        <w:t xml:space="preserve">, </w:t>
      </w:r>
      <w:r w:rsidRPr="00A119C4">
        <w:rPr>
          <w:rFonts w:cs="Arial" w:hint="cs"/>
          <w:sz w:val="20"/>
          <w:szCs w:val="20"/>
          <w:rtl/>
        </w:rPr>
        <w:t>קבעה</w:t>
      </w:r>
      <w:r w:rsidRPr="00A119C4">
        <w:rPr>
          <w:rFonts w:cs="Arial"/>
          <w:sz w:val="20"/>
          <w:szCs w:val="20"/>
          <w:rtl/>
        </w:rPr>
        <w:t xml:space="preserve"> </w:t>
      </w:r>
      <w:r w:rsidRPr="00A119C4">
        <w:rPr>
          <w:rFonts w:cs="Arial" w:hint="cs"/>
          <w:sz w:val="20"/>
          <w:szCs w:val="20"/>
          <w:rtl/>
        </w:rPr>
        <w:t>לה</w:t>
      </w:r>
      <w:r w:rsidRPr="00A119C4">
        <w:rPr>
          <w:rFonts w:cs="Arial"/>
          <w:sz w:val="20"/>
          <w:szCs w:val="20"/>
          <w:rtl/>
        </w:rPr>
        <w:t xml:space="preserve"> </w:t>
      </w:r>
      <w:r w:rsidRPr="00A119C4">
        <w:rPr>
          <w:rFonts w:cs="Arial" w:hint="cs"/>
          <w:sz w:val="20"/>
          <w:szCs w:val="20"/>
          <w:rtl/>
        </w:rPr>
        <w:t>וסת</w:t>
      </w:r>
      <w:r w:rsidRPr="00A119C4">
        <w:rPr>
          <w:rFonts w:cs="Arial"/>
          <w:sz w:val="20"/>
          <w:szCs w:val="20"/>
          <w:rtl/>
        </w:rPr>
        <w:t xml:space="preserve"> </w:t>
      </w:r>
      <w:r w:rsidRPr="00A119C4">
        <w:rPr>
          <w:rFonts w:cs="Arial" w:hint="cs"/>
          <w:sz w:val="20"/>
          <w:szCs w:val="20"/>
          <w:rtl/>
        </w:rPr>
        <w:t>וחוששת</w:t>
      </w:r>
      <w:r w:rsidRPr="00A119C4">
        <w:rPr>
          <w:rFonts w:cs="Arial"/>
          <w:sz w:val="20"/>
          <w:szCs w:val="20"/>
          <w:rtl/>
        </w:rPr>
        <w:t xml:space="preserve"> </w:t>
      </w:r>
      <w:r w:rsidRPr="00A119C4">
        <w:rPr>
          <w:rFonts w:cs="Arial" w:hint="cs"/>
          <w:sz w:val="20"/>
          <w:szCs w:val="20"/>
          <w:rtl/>
        </w:rPr>
        <w:t>לכל</w:t>
      </w:r>
      <w:r w:rsidRPr="00A119C4">
        <w:rPr>
          <w:rFonts w:cs="Arial"/>
          <w:sz w:val="20"/>
          <w:szCs w:val="20"/>
          <w:rtl/>
        </w:rPr>
        <w:t xml:space="preserve"> </w:t>
      </w:r>
      <w:r w:rsidRPr="00A119C4">
        <w:rPr>
          <w:rFonts w:cs="Arial" w:hint="cs"/>
          <w:sz w:val="20"/>
          <w:szCs w:val="20"/>
          <w:rtl/>
        </w:rPr>
        <w:t>פעם</w:t>
      </w:r>
      <w:r w:rsidRPr="00A119C4">
        <w:rPr>
          <w:rFonts w:cs="Arial"/>
          <w:sz w:val="20"/>
          <w:szCs w:val="20"/>
          <w:rtl/>
        </w:rPr>
        <w:t xml:space="preserve"> </w:t>
      </w:r>
      <w:r w:rsidRPr="00A119C4">
        <w:rPr>
          <w:rFonts w:cs="Arial" w:hint="cs"/>
          <w:sz w:val="20"/>
          <w:szCs w:val="20"/>
          <w:rtl/>
        </w:rPr>
        <w:t>שתקפוץ</w:t>
      </w:r>
      <w:r w:rsidRPr="00A119C4">
        <w:rPr>
          <w:rFonts w:cs="Arial"/>
          <w:sz w:val="20"/>
          <w:szCs w:val="20"/>
          <w:rtl/>
        </w:rPr>
        <w:t xml:space="preserve"> </w:t>
      </w:r>
      <w:r w:rsidRPr="00A119C4">
        <w:rPr>
          <w:rFonts w:cs="Arial" w:hint="cs"/>
          <w:sz w:val="20"/>
          <w:szCs w:val="20"/>
          <w:rtl/>
        </w:rPr>
        <w:t>באותו</w:t>
      </w:r>
      <w:r w:rsidRPr="00A119C4">
        <w:rPr>
          <w:rFonts w:cs="Arial"/>
          <w:sz w:val="20"/>
          <w:szCs w:val="20"/>
          <w:rtl/>
        </w:rPr>
        <w:t xml:space="preserve"> </w:t>
      </w:r>
      <w:r w:rsidRPr="00A119C4">
        <w:rPr>
          <w:rFonts w:cs="Arial" w:hint="cs"/>
          <w:sz w:val="20"/>
          <w:szCs w:val="20"/>
          <w:rtl/>
        </w:rPr>
        <w:t>זמן</w:t>
      </w:r>
      <w:r w:rsidRPr="00A119C4">
        <w:rPr>
          <w:rFonts w:cs="Arial"/>
          <w:sz w:val="20"/>
          <w:szCs w:val="20"/>
          <w:rtl/>
        </w:rPr>
        <w:t xml:space="preserve">. </w:t>
      </w:r>
      <w:r w:rsidRPr="00A119C4">
        <w:rPr>
          <w:rFonts w:cs="Arial" w:hint="cs"/>
          <w:sz w:val="20"/>
          <w:szCs w:val="20"/>
          <w:rtl/>
        </w:rPr>
        <w:t>ואם</w:t>
      </w:r>
      <w:r w:rsidRPr="00A119C4">
        <w:rPr>
          <w:rFonts w:cs="Arial"/>
          <w:sz w:val="20"/>
          <w:szCs w:val="20"/>
          <w:rtl/>
        </w:rPr>
        <w:t xml:space="preserve"> </w:t>
      </w:r>
      <w:r w:rsidRPr="00A119C4">
        <w:rPr>
          <w:rFonts w:cs="Arial" w:hint="cs"/>
          <w:sz w:val="20"/>
          <w:szCs w:val="20"/>
          <w:rtl/>
        </w:rPr>
        <w:t>אח</w:t>
      </w:r>
      <w:r>
        <w:rPr>
          <w:rFonts w:cs="Arial" w:hint="cs"/>
          <w:sz w:val="20"/>
          <w:szCs w:val="20"/>
          <w:rtl/>
        </w:rPr>
        <w:t xml:space="preserve">ר </w:t>
      </w:r>
      <w:r w:rsidRPr="00A119C4">
        <w:rPr>
          <w:rFonts w:cs="Arial" w:hint="cs"/>
          <w:sz w:val="20"/>
          <w:szCs w:val="20"/>
          <w:rtl/>
        </w:rPr>
        <w:t>כ</w:t>
      </w:r>
      <w:r>
        <w:rPr>
          <w:rFonts w:cs="Arial" w:hint="cs"/>
          <w:sz w:val="20"/>
          <w:szCs w:val="20"/>
          <w:rtl/>
        </w:rPr>
        <w:t>ך</w:t>
      </w:r>
      <w:r w:rsidRPr="00A119C4">
        <w:rPr>
          <w:rFonts w:cs="Arial"/>
          <w:sz w:val="20"/>
          <w:szCs w:val="20"/>
          <w:rtl/>
        </w:rPr>
        <w:t xml:space="preserve"> </w:t>
      </w:r>
      <w:r w:rsidRPr="00A119C4">
        <w:rPr>
          <w:rFonts w:cs="Arial" w:hint="cs"/>
          <w:sz w:val="20"/>
          <w:szCs w:val="20"/>
          <w:rtl/>
        </w:rPr>
        <w:t>הגיע</w:t>
      </w:r>
      <w:r w:rsidRPr="00A119C4">
        <w:rPr>
          <w:rFonts w:cs="Arial"/>
          <w:sz w:val="20"/>
          <w:szCs w:val="20"/>
          <w:rtl/>
        </w:rPr>
        <w:t xml:space="preserve"> </w:t>
      </w:r>
      <w:r w:rsidRPr="00A119C4">
        <w:rPr>
          <w:rFonts w:cs="Arial" w:hint="cs"/>
          <w:sz w:val="20"/>
          <w:szCs w:val="20"/>
          <w:rtl/>
        </w:rPr>
        <w:t>א</w:t>
      </w:r>
      <w:r w:rsidRPr="00A119C4">
        <w:rPr>
          <w:rFonts w:cs="Arial"/>
          <w:sz w:val="20"/>
          <w:szCs w:val="20"/>
          <w:rtl/>
        </w:rPr>
        <w:t xml:space="preserve">' </w:t>
      </w:r>
      <w:r w:rsidRPr="00A119C4">
        <w:rPr>
          <w:rFonts w:cs="Arial" w:hint="cs"/>
          <w:sz w:val="20"/>
          <w:szCs w:val="20"/>
          <w:rtl/>
        </w:rPr>
        <w:t>בשבת</w:t>
      </w:r>
      <w:r w:rsidRPr="00A119C4">
        <w:rPr>
          <w:rFonts w:cs="Arial"/>
          <w:sz w:val="20"/>
          <w:szCs w:val="20"/>
          <w:rtl/>
        </w:rPr>
        <w:t xml:space="preserve"> </w:t>
      </w:r>
      <w:r w:rsidRPr="00A119C4">
        <w:rPr>
          <w:rFonts w:cs="Arial" w:hint="cs"/>
          <w:sz w:val="20"/>
          <w:szCs w:val="20"/>
          <w:rtl/>
        </w:rPr>
        <w:t>ולא</w:t>
      </w:r>
      <w:r w:rsidRPr="00A119C4">
        <w:rPr>
          <w:rFonts w:cs="Arial"/>
          <w:sz w:val="20"/>
          <w:szCs w:val="20"/>
          <w:rtl/>
        </w:rPr>
        <w:t xml:space="preserve"> </w:t>
      </w:r>
      <w:r w:rsidRPr="00A119C4">
        <w:rPr>
          <w:rFonts w:cs="Arial" w:hint="cs"/>
          <w:sz w:val="20"/>
          <w:szCs w:val="20"/>
          <w:rtl/>
        </w:rPr>
        <w:t>קפצה</w:t>
      </w:r>
      <w:r w:rsidRPr="00A119C4">
        <w:rPr>
          <w:rFonts w:cs="Arial"/>
          <w:sz w:val="20"/>
          <w:szCs w:val="20"/>
          <w:rtl/>
        </w:rPr>
        <w:t xml:space="preserve">, </w:t>
      </w:r>
      <w:r w:rsidRPr="00A119C4">
        <w:rPr>
          <w:rFonts w:cs="Arial" w:hint="cs"/>
          <w:sz w:val="20"/>
          <w:szCs w:val="20"/>
          <w:rtl/>
        </w:rPr>
        <w:t>או</w:t>
      </w:r>
      <w:r w:rsidRPr="00A119C4">
        <w:rPr>
          <w:rFonts w:cs="Arial"/>
          <w:sz w:val="20"/>
          <w:szCs w:val="20"/>
          <w:rtl/>
        </w:rPr>
        <w:t xml:space="preserve"> </w:t>
      </w:r>
      <w:r w:rsidRPr="00A119C4">
        <w:rPr>
          <w:rFonts w:cs="Arial" w:hint="cs"/>
          <w:sz w:val="20"/>
          <w:szCs w:val="20"/>
          <w:rtl/>
        </w:rPr>
        <w:t>שקפצה</w:t>
      </w:r>
      <w:r w:rsidRPr="00A119C4">
        <w:rPr>
          <w:rFonts w:cs="Arial"/>
          <w:sz w:val="20"/>
          <w:szCs w:val="20"/>
          <w:rtl/>
        </w:rPr>
        <w:t xml:space="preserve"> </w:t>
      </w:r>
      <w:r w:rsidRPr="00A119C4">
        <w:rPr>
          <w:rFonts w:cs="Arial" w:hint="cs"/>
          <w:sz w:val="20"/>
          <w:szCs w:val="20"/>
          <w:rtl/>
        </w:rPr>
        <w:t>בשני</w:t>
      </w:r>
      <w:r w:rsidRPr="00A119C4">
        <w:rPr>
          <w:rFonts w:cs="Arial"/>
          <w:sz w:val="20"/>
          <w:szCs w:val="20"/>
          <w:rtl/>
        </w:rPr>
        <w:t xml:space="preserve"> </w:t>
      </w:r>
      <w:r w:rsidRPr="00A119C4">
        <w:rPr>
          <w:rFonts w:cs="Arial" w:hint="cs"/>
          <w:sz w:val="20"/>
          <w:szCs w:val="20"/>
          <w:rtl/>
        </w:rPr>
        <w:t>בשבת</w:t>
      </w:r>
      <w:r w:rsidRPr="00A119C4">
        <w:rPr>
          <w:rFonts w:cs="Arial"/>
          <w:sz w:val="20"/>
          <w:szCs w:val="20"/>
          <w:rtl/>
        </w:rPr>
        <w:t xml:space="preserve">, </w:t>
      </w:r>
      <w:r w:rsidRPr="00A119C4">
        <w:rPr>
          <w:rFonts w:cs="Arial" w:hint="cs"/>
          <w:sz w:val="20"/>
          <w:szCs w:val="20"/>
          <w:rtl/>
        </w:rPr>
        <w:t>אינה</w:t>
      </w:r>
      <w:r w:rsidRPr="00A119C4">
        <w:rPr>
          <w:rFonts w:cs="Arial"/>
          <w:sz w:val="20"/>
          <w:szCs w:val="20"/>
          <w:rtl/>
        </w:rPr>
        <w:t xml:space="preserve"> </w:t>
      </w:r>
      <w:r w:rsidRPr="00A119C4">
        <w:rPr>
          <w:rFonts w:cs="Arial" w:hint="cs"/>
          <w:sz w:val="20"/>
          <w:szCs w:val="20"/>
          <w:rtl/>
        </w:rPr>
        <w:t>חוששת</w:t>
      </w:r>
      <w:r w:rsidRPr="00A119C4">
        <w:rPr>
          <w:rFonts w:cs="Arial"/>
          <w:sz w:val="20"/>
          <w:szCs w:val="20"/>
          <w:rtl/>
        </w:rPr>
        <w:t xml:space="preserve">, </w:t>
      </w:r>
      <w:r w:rsidRPr="00A119C4">
        <w:rPr>
          <w:rFonts w:cs="Arial" w:hint="cs"/>
          <w:sz w:val="20"/>
          <w:szCs w:val="20"/>
          <w:rtl/>
        </w:rPr>
        <w:t>שהרי</w:t>
      </w:r>
      <w:r w:rsidRPr="00A119C4">
        <w:rPr>
          <w:rFonts w:cs="Arial"/>
          <w:sz w:val="20"/>
          <w:szCs w:val="20"/>
          <w:rtl/>
        </w:rPr>
        <w:t xml:space="preserve"> </w:t>
      </w:r>
      <w:r w:rsidRPr="00A119C4">
        <w:rPr>
          <w:rFonts w:cs="Arial" w:hint="cs"/>
          <w:sz w:val="20"/>
          <w:szCs w:val="20"/>
          <w:rtl/>
        </w:rPr>
        <w:t>לא</w:t>
      </w:r>
      <w:r w:rsidRPr="00A119C4">
        <w:rPr>
          <w:rFonts w:cs="Arial"/>
          <w:sz w:val="20"/>
          <w:szCs w:val="20"/>
          <w:rtl/>
        </w:rPr>
        <w:t xml:space="preserve"> </w:t>
      </w:r>
      <w:r w:rsidRPr="00A119C4">
        <w:rPr>
          <w:rFonts w:cs="Arial" w:hint="cs"/>
          <w:sz w:val="20"/>
          <w:szCs w:val="20"/>
          <w:rtl/>
        </w:rPr>
        <w:t>קבעה</w:t>
      </w:r>
      <w:r w:rsidRPr="00A119C4">
        <w:rPr>
          <w:rFonts w:cs="Arial"/>
          <w:sz w:val="20"/>
          <w:szCs w:val="20"/>
          <w:rtl/>
        </w:rPr>
        <w:t xml:space="preserve"> </w:t>
      </w:r>
      <w:r w:rsidRPr="00A119C4">
        <w:rPr>
          <w:rFonts w:cs="Arial" w:hint="cs"/>
          <w:sz w:val="20"/>
          <w:szCs w:val="20"/>
          <w:rtl/>
        </w:rPr>
        <w:t>אלא</w:t>
      </w:r>
      <w:r w:rsidRPr="00A119C4">
        <w:rPr>
          <w:rFonts w:cs="Arial"/>
          <w:sz w:val="20"/>
          <w:szCs w:val="20"/>
          <w:rtl/>
        </w:rPr>
        <w:t xml:space="preserve"> </w:t>
      </w:r>
      <w:r w:rsidRPr="00A119C4">
        <w:rPr>
          <w:rFonts w:cs="Arial" w:hint="cs"/>
          <w:sz w:val="20"/>
          <w:szCs w:val="20"/>
          <w:rtl/>
        </w:rPr>
        <w:t>לקפיצות</w:t>
      </w:r>
      <w:r w:rsidRPr="00A119C4">
        <w:rPr>
          <w:rFonts w:cs="Arial"/>
          <w:sz w:val="20"/>
          <w:szCs w:val="20"/>
          <w:rtl/>
        </w:rPr>
        <w:t xml:space="preserve"> </w:t>
      </w:r>
      <w:r w:rsidRPr="00A119C4">
        <w:rPr>
          <w:rFonts w:cs="Arial" w:hint="cs"/>
          <w:sz w:val="20"/>
          <w:szCs w:val="20"/>
          <w:rtl/>
        </w:rPr>
        <w:t>של</w:t>
      </w:r>
      <w:r w:rsidRPr="00A119C4">
        <w:rPr>
          <w:rFonts w:cs="Arial"/>
          <w:sz w:val="20"/>
          <w:szCs w:val="20"/>
          <w:rtl/>
        </w:rPr>
        <w:t xml:space="preserve"> </w:t>
      </w:r>
      <w:r w:rsidRPr="00A119C4">
        <w:rPr>
          <w:rFonts w:cs="Arial" w:hint="cs"/>
          <w:sz w:val="20"/>
          <w:szCs w:val="20"/>
          <w:rtl/>
        </w:rPr>
        <w:t>אחד</w:t>
      </w:r>
      <w:r w:rsidRPr="00A119C4">
        <w:rPr>
          <w:rFonts w:cs="Arial"/>
          <w:sz w:val="20"/>
          <w:szCs w:val="20"/>
          <w:rtl/>
        </w:rPr>
        <w:t xml:space="preserve"> </w:t>
      </w:r>
      <w:r w:rsidRPr="00A119C4">
        <w:rPr>
          <w:rFonts w:cs="Arial" w:hint="cs"/>
          <w:sz w:val="20"/>
          <w:szCs w:val="20"/>
          <w:rtl/>
        </w:rPr>
        <w:t>בשבת</w:t>
      </w:r>
      <w:r>
        <w:rPr>
          <w:rFonts w:cs="Arial" w:hint="cs"/>
          <w:sz w:val="20"/>
          <w:szCs w:val="20"/>
          <w:rtl/>
        </w:rPr>
        <w:t>".</w:t>
      </w:r>
      <w:r>
        <w:rPr>
          <w:rFonts w:hint="cs"/>
          <w:sz w:val="20"/>
          <w:szCs w:val="20"/>
          <w:rtl/>
        </w:rPr>
        <w:br/>
      </w:r>
      <w:r w:rsidRPr="00FF080A">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"חוששת לכל פעם שתקפוץ" היינו לכל העונה, כמבואר לקמן סעיף כה'.</w:t>
      </w:r>
    </w:p>
    <w:p w:rsidR="00620060" w:rsidRPr="009B4CC0" w:rsidRDefault="00620060" w:rsidP="00620060">
      <w:pPr>
        <w:rPr>
          <w:sz w:val="20"/>
          <w:szCs w:val="20"/>
          <w:rtl/>
        </w:rPr>
      </w:pPr>
      <w:r w:rsidRPr="009B4CC0">
        <w:rPr>
          <w:rFonts w:hint="cs"/>
          <w:sz w:val="20"/>
          <w:szCs w:val="20"/>
          <w:u w:val="single"/>
          <w:rtl/>
        </w:rPr>
        <w:t>אופ</w:t>
      </w:r>
      <w:r>
        <w:rPr>
          <w:rFonts w:hint="cs"/>
          <w:sz w:val="20"/>
          <w:szCs w:val="20"/>
          <w:u w:val="single"/>
          <w:rtl/>
        </w:rPr>
        <w:t>ן</w:t>
      </w:r>
      <w:r w:rsidRPr="009B4CC0">
        <w:rPr>
          <w:rFonts w:hint="cs"/>
          <w:sz w:val="20"/>
          <w:szCs w:val="20"/>
          <w:u w:val="single"/>
          <w:rtl/>
        </w:rPr>
        <w:t xml:space="preserve"> עקירת הווסת</w:t>
      </w:r>
      <w:r>
        <w:rPr>
          <w:sz w:val="20"/>
          <w:szCs w:val="20"/>
          <w:rtl/>
        </w:rPr>
        <w:br/>
      </w:r>
      <w:r w:rsidRPr="003C159A">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ווסת זה נעקר ע"י שתקפוץ ג' פעמים ביום שרגילה לראות ולא תראה.</w:t>
      </w:r>
      <w:r>
        <w:rPr>
          <w:rFonts w:hint="cs"/>
          <w:sz w:val="20"/>
          <w:szCs w:val="20"/>
          <w:rtl/>
        </w:rPr>
        <w:br/>
      </w:r>
      <w:r>
        <w:rPr>
          <w:rFonts w:hint="cs"/>
          <w:b/>
          <w:bCs/>
          <w:sz w:val="20"/>
          <w:szCs w:val="20"/>
          <w:rtl/>
        </w:rPr>
        <w:t>חוו"ד</w:t>
      </w:r>
      <w:r>
        <w:rPr>
          <w:rFonts w:hint="cs"/>
          <w:sz w:val="20"/>
          <w:szCs w:val="20"/>
          <w:rtl/>
        </w:rPr>
        <w:t xml:space="preserve"> </w:t>
      </w:r>
      <w:r>
        <w:rPr>
          <w:sz w:val="20"/>
          <w:szCs w:val="20"/>
          <w:rtl/>
        </w:rPr>
        <w:t>–</w:t>
      </w:r>
      <w:r>
        <w:rPr>
          <w:rFonts w:hint="cs"/>
          <w:sz w:val="20"/>
          <w:szCs w:val="20"/>
          <w:rtl/>
        </w:rPr>
        <w:t xml:space="preserve"> אם אחר כך חזרה וקפצה ביום הקבוע לה וראתה, חוזר הווסת למקומו.</w:t>
      </w:r>
      <w:r>
        <w:rPr>
          <w:sz w:val="20"/>
          <w:szCs w:val="20"/>
          <w:rtl/>
        </w:rPr>
        <w:br/>
      </w:r>
      <w:r w:rsidRPr="009B4CC0">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כפי שמבואר לעיל בסעיף טו' לגבי הפסיקה לראות ג' עונות.</w:t>
      </w:r>
    </w:p>
    <w:p w:rsidR="00620060" w:rsidRPr="00B95058" w:rsidRDefault="00620060" w:rsidP="00620060">
      <w:pPr>
        <w:rPr>
          <w:rtl/>
        </w:rPr>
      </w:pPr>
      <w:r>
        <w:rPr>
          <w:rFonts w:hint="cs"/>
          <w:sz w:val="20"/>
          <w:szCs w:val="20"/>
          <w:u w:val="single"/>
          <w:rtl/>
        </w:rPr>
        <w:t>ווסת המורכב מקפיצה ופיהוק (פת"ש)</w:t>
      </w:r>
      <w:r>
        <w:rPr>
          <w:b/>
          <w:bCs/>
          <w:sz w:val="20"/>
          <w:szCs w:val="20"/>
          <w:rtl/>
        </w:rPr>
        <w:br/>
      </w:r>
      <w:r w:rsidRPr="00B95058">
        <w:rPr>
          <w:rFonts w:hint="cs"/>
          <w:b/>
          <w:bCs/>
          <w:sz w:val="20"/>
          <w:szCs w:val="20"/>
          <w:rtl/>
        </w:rPr>
        <w:t>כרתי</w:t>
      </w:r>
      <w:r w:rsidRPr="00B95058">
        <w:rPr>
          <w:rFonts w:hint="cs"/>
          <w:sz w:val="20"/>
          <w:szCs w:val="20"/>
          <w:rtl/>
        </w:rPr>
        <w:t xml:space="preserve"> </w:t>
      </w:r>
      <w:r w:rsidRPr="00B95058">
        <w:rPr>
          <w:sz w:val="20"/>
          <w:szCs w:val="20"/>
          <w:rtl/>
        </w:rPr>
        <w:t>–</w:t>
      </w:r>
      <w:r w:rsidRPr="00B95058">
        <w:rPr>
          <w:rFonts w:hint="cs"/>
          <w:sz w:val="20"/>
          <w:szCs w:val="20"/>
          <w:rtl/>
        </w:rPr>
        <w:t xml:space="preserve"> יש להסתפק</w:t>
      </w:r>
      <w:r>
        <w:rPr>
          <w:rFonts w:hint="cs"/>
          <w:sz w:val="20"/>
          <w:szCs w:val="20"/>
          <w:rtl/>
        </w:rPr>
        <w:t xml:space="preserve"> האם ניתן לקבוע ווסת מורכב ע"י קפיצה ושינוי בגוף.</w:t>
      </w:r>
      <w:r>
        <w:rPr>
          <w:sz w:val="20"/>
          <w:szCs w:val="20"/>
          <w:rtl/>
        </w:rPr>
        <w:br/>
      </w:r>
      <w:r w:rsidRPr="00B95058">
        <w:rPr>
          <w:rFonts w:hint="cs"/>
          <w:sz w:val="20"/>
          <w:szCs w:val="20"/>
          <w:rtl/>
        </w:rPr>
        <w:t xml:space="preserve">כגון </w:t>
      </w:r>
      <w:r w:rsidRPr="00B95058">
        <w:rPr>
          <w:sz w:val="20"/>
          <w:szCs w:val="20"/>
          <w:rtl/>
        </w:rPr>
        <w:t>–</w:t>
      </w:r>
      <w:r w:rsidRPr="00B95058">
        <w:rPr>
          <w:rFonts w:hint="cs"/>
          <w:sz w:val="20"/>
          <w:szCs w:val="20"/>
          <w:rtl/>
        </w:rPr>
        <w:t xml:space="preserve"> קפצה ג' פעמים ופיהקה </w:t>
      </w:r>
      <w:r w:rsidRPr="00762EF3">
        <w:rPr>
          <w:rFonts w:hint="cs"/>
          <w:sz w:val="18"/>
          <w:szCs w:val="18"/>
          <w:rtl/>
        </w:rPr>
        <w:t xml:space="preserve">(או התעטשה) </w:t>
      </w:r>
      <w:r>
        <w:rPr>
          <w:rFonts w:hint="cs"/>
          <w:sz w:val="20"/>
          <w:szCs w:val="20"/>
          <w:rtl/>
        </w:rPr>
        <w:t>וראתה</w:t>
      </w:r>
      <w:r w:rsidRPr="00B95058">
        <w:rPr>
          <w:rFonts w:hint="cs"/>
          <w:sz w:val="20"/>
          <w:szCs w:val="20"/>
          <w:rtl/>
        </w:rPr>
        <w:t xml:space="preserve">, </w:t>
      </w:r>
      <w:r>
        <w:rPr>
          <w:rFonts w:hint="cs"/>
          <w:sz w:val="20"/>
          <w:szCs w:val="20"/>
          <w:rtl/>
        </w:rPr>
        <w:t xml:space="preserve">אך </w:t>
      </w:r>
      <w:r w:rsidRPr="00B95058">
        <w:rPr>
          <w:rFonts w:hint="cs"/>
          <w:sz w:val="20"/>
          <w:szCs w:val="20"/>
          <w:rtl/>
        </w:rPr>
        <w:t>כמה פעמים קפצה לחוד ופיהק</w:t>
      </w:r>
      <w:r>
        <w:rPr>
          <w:rFonts w:hint="cs"/>
          <w:sz w:val="20"/>
          <w:szCs w:val="20"/>
          <w:rtl/>
        </w:rPr>
        <w:t xml:space="preserve">ה לחוד ולא ראתה, האם קבעה ווסת </w:t>
      </w:r>
      <w:r w:rsidRPr="00B95058">
        <w:rPr>
          <w:rFonts w:hint="cs"/>
          <w:sz w:val="20"/>
          <w:szCs w:val="20"/>
          <w:rtl/>
        </w:rPr>
        <w:t>מורכב לקפיצה ופיהוק? והניח בצ"ע.</w:t>
      </w:r>
    </w:p>
    <w:p w:rsidR="00620060" w:rsidRDefault="00620060" w:rsidP="00620060">
      <w:pPr>
        <w:rPr>
          <w:sz w:val="20"/>
          <w:szCs w:val="20"/>
          <w:rtl/>
        </w:rPr>
      </w:pPr>
      <w:r>
        <w:rPr>
          <w:rFonts w:hint="cs"/>
          <w:sz w:val="20"/>
          <w:szCs w:val="20"/>
          <w:u w:val="single"/>
          <w:rtl/>
        </w:rPr>
        <w:t>ווסת מורכב שמגיע בשעה קבועה (פת"ש)</w:t>
      </w:r>
      <w:r>
        <w:rPr>
          <w:b/>
          <w:bCs/>
          <w:sz w:val="20"/>
          <w:szCs w:val="20"/>
          <w:rtl/>
        </w:rPr>
        <w:br/>
      </w:r>
      <w:r w:rsidRPr="00B95058">
        <w:rPr>
          <w:rFonts w:hint="cs"/>
          <w:b/>
          <w:bCs/>
          <w:sz w:val="20"/>
          <w:szCs w:val="20"/>
          <w:rtl/>
        </w:rPr>
        <w:t>חוו"ד</w:t>
      </w:r>
      <w:r w:rsidRPr="00B95058">
        <w:rPr>
          <w:rFonts w:hint="cs"/>
          <w:sz w:val="20"/>
          <w:szCs w:val="20"/>
          <w:rtl/>
        </w:rPr>
        <w:t xml:space="preserve"> </w:t>
      </w:r>
      <w:r w:rsidRPr="00B95058">
        <w:rPr>
          <w:sz w:val="20"/>
          <w:szCs w:val="20"/>
          <w:rtl/>
        </w:rPr>
        <w:t>–</w:t>
      </w:r>
      <w:r w:rsidRPr="00B95058">
        <w:rPr>
          <w:rFonts w:hint="cs"/>
          <w:sz w:val="20"/>
          <w:szCs w:val="20"/>
          <w:rtl/>
        </w:rPr>
        <w:t xml:space="preserve"> אם רגילה לראות בשעה קבועה אחר הווסת, כגון לאחר ג' שעות מהקפיצה, אינה חוששת כל עונת הקפיצה אלא בשעה ג' בלבד. כמו כן, אם רגילה לראות ביום הקפיצה רק כשקפצה בשעה מסויימת, אינה חוששת לקפיצה אחרת הנעשית באותו יום אלא חוששת רק לקפיצה הנעשית באותה שעה.</w:t>
      </w:r>
    </w:p>
    <w:p w:rsidR="00620060" w:rsidRPr="00C80D67" w:rsidRDefault="00620060" w:rsidP="00620060">
      <w:pPr>
        <w:rPr>
          <w:sz w:val="20"/>
          <w:szCs w:val="20"/>
          <w:rtl/>
        </w:rPr>
      </w:pPr>
      <w:r>
        <w:rPr>
          <w:rFonts w:hint="cs"/>
          <w:sz w:val="20"/>
          <w:szCs w:val="20"/>
          <w:u w:val="single"/>
          <w:rtl/>
        </w:rPr>
        <w:t>קביעת ווסת מורכב בהפלגה (פת"ש)</w:t>
      </w:r>
      <w:r>
        <w:rPr>
          <w:rFonts w:hint="cs"/>
          <w:sz w:val="20"/>
          <w:szCs w:val="20"/>
          <w:u w:val="single"/>
          <w:rtl/>
        </w:rPr>
        <w:br/>
      </w:r>
      <w:r>
        <w:rPr>
          <w:rFonts w:hint="cs"/>
          <w:b/>
          <w:bCs/>
          <w:sz w:val="20"/>
          <w:szCs w:val="20"/>
          <w:rtl/>
        </w:rPr>
        <w:t xml:space="preserve">חוו"ד </w:t>
      </w:r>
      <w:r>
        <w:rPr>
          <w:sz w:val="20"/>
          <w:szCs w:val="20"/>
          <w:rtl/>
        </w:rPr>
        <w:t>–</w:t>
      </w:r>
      <w:r>
        <w:rPr>
          <w:rFonts w:hint="cs"/>
          <w:sz w:val="20"/>
          <w:szCs w:val="20"/>
          <w:rtl/>
        </w:rPr>
        <w:t xml:space="preserve"> אם קבעה ווסת להפלגות ולקפיצות, אפילו אם הפסיקה פעם אחת בינתיים </w:t>
      </w:r>
      <w:r w:rsidRPr="00C80D67">
        <w:rPr>
          <w:rFonts w:hint="cs"/>
          <w:sz w:val="18"/>
          <w:szCs w:val="18"/>
          <w:rtl/>
        </w:rPr>
        <w:t xml:space="preserve">(לפני שקבעה) </w:t>
      </w:r>
      <w:r>
        <w:rPr>
          <w:rFonts w:hint="cs"/>
          <w:sz w:val="20"/>
          <w:szCs w:val="20"/>
          <w:rtl/>
        </w:rPr>
        <w:t>וראתה ללא קפיצה, מכל מקום אינו מבטל את ההפלגה.</w:t>
      </w:r>
      <w:r>
        <w:rPr>
          <w:sz w:val="20"/>
          <w:szCs w:val="20"/>
          <w:rtl/>
        </w:rPr>
        <w:br/>
      </w:r>
      <w:r w:rsidRPr="00C80D67">
        <w:rPr>
          <w:rFonts w:hint="cs"/>
          <w:b/>
          <w:bCs/>
          <w:sz w:val="20"/>
          <w:szCs w:val="20"/>
          <w:rtl/>
        </w:rPr>
        <w:t xml:space="preserve">טעם </w:t>
      </w:r>
      <w:r>
        <w:rPr>
          <w:sz w:val="20"/>
          <w:szCs w:val="20"/>
          <w:rtl/>
        </w:rPr>
        <w:t>–</w:t>
      </w:r>
      <w:r>
        <w:rPr>
          <w:rFonts w:hint="cs"/>
          <w:sz w:val="20"/>
          <w:szCs w:val="20"/>
          <w:rtl/>
        </w:rPr>
        <w:t xml:space="preserve"> יש לומר שדווקא ההפלגה מהראייה שבאה עם הקפיצה היא הגורמת לראייה הבאה שתבוא. </w:t>
      </w:r>
    </w:p>
    <w:p w:rsidR="00620060" w:rsidRPr="00C80D67"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FD7004">
        <w:rPr>
          <w:rFonts w:hint="cs"/>
          <w:b/>
          <w:bCs/>
          <w:sz w:val="20"/>
          <w:szCs w:val="20"/>
          <w:rtl/>
        </w:rPr>
        <w:t>גמרא</w:t>
      </w:r>
      <w:r>
        <w:rPr>
          <w:rFonts w:hint="cs"/>
          <w:sz w:val="20"/>
          <w:szCs w:val="20"/>
          <w:rtl/>
        </w:rPr>
        <w:t xml:space="preserve">. קפצה וראתה ג' פעמים, קבעה ווסת לקפיצות וימים, וכ"פ </w:t>
      </w:r>
      <w:r w:rsidRPr="00FD7004">
        <w:rPr>
          <w:rFonts w:hint="cs"/>
          <w:b/>
          <w:bCs/>
          <w:sz w:val="20"/>
          <w:szCs w:val="20"/>
          <w:rtl/>
        </w:rPr>
        <w:t>המחבר</w:t>
      </w:r>
      <w:r>
        <w:rPr>
          <w:rFonts w:hint="cs"/>
          <w:sz w:val="20"/>
          <w:szCs w:val="20"/>
          <w:rtl/>
        </w:rPr>
        <w:t xml:space="preserve">. </w:t>
      </w:r>
      <w:r w:rsidRPr="00FD7004">
        <w:rPr>
          <w:rFonts w:hint="cs"/>
          <w:b/>
          <w:bCs/>
          <w:sz w:val="20"/>
          <w:szCs w:val="20"/>
          <w:rtl/>
        </w:rPr>
        <w:t>ש"ך</w:t>
      </w:r>
      <w:r>
        <w:rPr>
          <w:rFonts w:hint="cs"/>
          <w:sz w:val="20"/>
          <w:szCs w:val="20"/>
          <w:rtl/>
        </w:rPr>
        <w:t xml:space="preserve">. כשתבוא הקפיצה ביום הקבוע לווסת, חוששת כל אותה עונה. </w:t>
      </w:r>
      <w:r>
        <w:rPr>
          <w:sz w:val="20"/>
          <w:szCs w:val="20"/>
          <w:rtl/>
        </w:rPr>
        <w:br/>
      </w:r>
      <w:r>
        <w:rPr>
          <w:rFonts w:hint="cs"/>
          <w:sz w:val="20"/>
          <w:szCs w:val="20"/>
          <w:rtl/>
        </w:rPr>
        <w:t xml:space="preserve">2. </w:t>
      </w:r>
      <w:r w:rsidRPr="00FD7004">
        <w:rPr>
          <w:rFonts w:hint="cs"/>
          <w:b/>
          <w:bCs/>
          <w:sz w:val="20"/>
          <w:szCs w:val="20"/>
          <w:rtl/>
        </w:rPr>
        <w:t>מחבר</w:t>
      </w:r>
      <w:r>
        <w:rPr>
          <w:rFonts w:hint="cs"/>
          <w:sz w:val="20"/>
          <w:szCs w:val="20"/>
          <w:rtl/>
        </w:rPr>
        <w:t>. אינה חוששת לקפיצה לחוד וליום לחוד, שהרי קבעה ווסת לקפיצה ביום קבוע.</w:t>
      </w:r>
      <w:r>
        <w:rPr>
          <w:rFonts w:hint="cs"/>
          <w:sz w:val="20"/>
          <w:szCs w:val="20"/>
          <w:rtl/>
        </w:rPr>
        <w:br/>
        <w:t xml:space="preserve">3. </w:t>
      </w:r>
      <w:r w:rsidRPr="00FD7004">
        <w:rPr>
          <w:rFonts w:hint="cs"/>
          <w:b/>
          <w:bCs/>
          <w:sz w:val="20"/>
          <w:szCs w:val="20"/>
          <w:rtl/>
        </w:rPr>
        <w:t>ש"ך</w:t>
      </w:r>
      <w:r>
        <w:rPr>
          <w:rFonts w:hint="cs"/>
          <w:sz w:val="20"/>
          <w:szCs w:val="20"/>
          <w:rtl/>
        </w:rPr>
        <w:t xml:space="preserve">. עקירת הווסת נעשית ע"י שתקפוץ ג"פ בימי ווסתה ולא תראה. </w:t>
      </w:r>
      <w:r w:rsidRPr="00E55594">
        <w:rPr>
          <w:rFonts w:hint="cs"/>
          <w:b/>
          <w:bCs/>
          <w:sz w:val="20"/>
          <w:szCs w:val="20"/>
          <w:rtl/>
        </w:rPr>
        <w:t>חוו"ד</w:t>
      </w:r>
      <w:r>
        <w:rPr>
          <w:rFonts w:hint="cs"/>
          <w:sz w:val="20"/>
          <w:szCs w:val="20"/>
          <w:rtl/>
        </w:rPr>
        <w:t>. אם אח"כ ראתה פ"א בקפיצה בזמנה חזר הווסת לקביעותו.</w:t>
      </w:r>
      <w:r>
        <w:rPr>
          <w:rFonts w:hint="cs"/>
          <w:sz w:val="20"/>
          <w:szCs w:val="20"/>
          <w:rtl/>
        </w:rPr>
        <w:br/>
        <w:t xml:space="preserve">4. </w:t>
      </w:r>
      <w:r w:rsidRPr="00FD7004">
        <w:rPr>
          <w:rFonts w:hint="cs"/>
          <w:b/>
          <w:bCs/>
          <w:sz w:val="20"/>
          <w:szCs w:val="20"/>
          <w:rtl/>
        </w:rPr>
        <w:t>כרתי</w:t>
      </w:r>
      <w:r>
        <w:rPr>
          <w:rFonts w:hint="cs"/>
          <w:sz w:val="20"/>
          <w:szCs w:val="20"/>
          <w:rtl/>
        </w:rPr>
        <w:t>. ספק האם ווסת מורכב נקבע גם ע"י קפיצה ושינוי בגוף, כגון קפיצה ופיהוק.</w:t>
      </w:r>
      <w:r>
        <w:rPr>
          <w:rFonts w:hint="cs"/>
          <w:sz w:val="20"/>
          <w:szCs w:val="20"/>
          <w:rtl/>
        </w:rPr>
        <w:br/>
        <w:t xml:space="preserve">5. </w:t>
      </w:r>
      <w:r w:rsidRPr="00FD7004">
        <w:rPr>
          <w:rFonts w:hint="cs"/>
          <w:b/>
          <w:bCs/>
          <w:sz w:val="20"/>
          <w:szCs w:val="20"/>
          <w:rtl/>
        </w:rPr>
        <w:t>חוו"ד</w:t>
      </w:r>
      <w:r>
        <w:rPr>
          <w:rFonts w:hint="cs"/>
          <w:sz w:val="20"/>
          <w:szCs w:val="20"/>
          <w:rtl/>
        </w:rPr>
        <w:t xml:space="preserve">. אם רגילה לראות בשעה קבועה אחר הווסת, חוששת רק לאותה שעה. וכן אם רגילה לקפוץ ולראות בשעה קבועה, חוששת רק לאותה שעה ולא לשאר הקפיצות של יום זה. </w:t>
      </w:r>
      <w:r>
        <w:rPr>
          <w:sz w:val="20"/>
          <w:szCs w:val="20"/>
          <w:rtl/>
        </w:rPr>
        <w:br/>
      </w:r>
      <w:r>
        <w:rPr>
          <w:rFonts w:hint="cs"/>
          <w:sz w:val="20"/>
          <w:szCs w:val="20"/>
          <w:rtl/>
        </w:rPr>
        <w:t xml:space="preserve">6. </w:t>
      </w:r>
      <w:r>
        <w:rPr>
          <w:rFonts w:hint="cs"/>
          <w:b/>
          <w:bCs/>
          <w:sz w:val="20"/>
          <w:szCs w:val="20"/>
          <w:rtl/>
        </w:rPr>
        <w:t>חוו"ד</w:t>
      </w:r>
      <w:r>
        <w:rPr>
          <w:rFonts w:hint="cs"/>
          <w:sz w:val="20"/>
          <w:szCs w:val="20"/>
          <w:rtl/>
        </w:rPr>
        <w:t>. קביעת ווסת הפלגה מורכב, נעשה אפילו אם היתה ראייה בינתיים ללא קפיצה.</w:t>
      </w:r>
    </w:p>
    <w:p w:rsidR="00620060" w:rsidRDefault="00620060" w:rsidP="00620060">
      <w:pPr>
        <w:rPr>
          <w:sz w:val="20"/>
          <w:szCs w:val="20"/>
          <w:rtl/>
        </w:rPr>
      </w:pPr>
      <w:r>
        <w:rPr>
          <w:sz w:val="20"/>
          <w:szCs w:val="20"/>
          <w:rtl/>
        </w:rPr>
        <w:br/>
      </w:r>
      <w:r>
        <w:rPr>
          <w:rFonts w:hint="cs"/>
          <w:b/>
          <w:bCs/>
          <w:sz w:val="20"/>
          <w:szCs w:val="20"/>
          <w:rtl/>
        </w:rPr>
        <w:t xml:space="preserve">סעיף יט </w:t>
      </w:r>
      <w:r>
        <w:rPr>
          <w:b/>
          <w:bCs/>
          <w:sz w:val="20"/>
          <w:szCs w:val="20"/>
          <w:rtl/>
        </w:rPr>
        <w:t>–</w:t>
      </w:r>
      <w:r>
        <w:rPr>
          <w:rFonts w:hint="cs"/>
          <w:b/>
          <w:bCs/>
          <w:sz w:val="20"/>
          <w:szCs w:val="20"/>
          <w:rtl/>
        </w:rPr>
        <w:t xml:space="preserve"> ווסת הפיהוק</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משנה </w:t>
      </w:r>
      <w:r>
        <w:rPr>
          <w:rFonts w:hint="cs"/>
          <w:sz w:val="20"/>
          <w:szCs w:val="20"/>
          <w:rtl/>
        </w:rPr>
        <w:t>נידה (סג.) "</w:t>
      </w:r>
      <w:r w:rsidRPr="00A41E6A">
        <w:rPr>
          <w:rFonts w:cs="Arial" w:hint="cs"/>
          <w:sz w:val="20"/>
          <w:szCs w:val="20"/>
          <w:rtl/>
        </w:rPr>
        <w:t>אלו</w:t>
      </w:r>
      <w:r w:rsidRPr="00A41E6A">
        <w:rPr>
          <w:rFonts w:cs="Arial"/>
          <w:sz w:val="20"/>
          <w:szCs w:val="20"/>
          <w:rtl/>
        </w:rPr>
        <w:t xml:space="preserve"> </w:t>
      </w:r>
      <w:r w:rsidRPr="00A41E6A">
        <w:rPr>
          <w:rFonts w:cs="Arial" w:hint="cs"/>
          <w:sz w:val="20"/>
          <w:szCs w:val="20"/>
          <w:rtl/>
        </w:rPr>
        <w:t>הן</w:t>
      </w:r>
      <w:r w:rsidRPr="00A41E6A">
        <w:rPr>
          <w:rFonts w:cs="Arial"/>
          <w:sz w:val="20"/>
          <w:szCs w:val="20"/>
          <w:rtl/>
        </w:rPr>
        <w:t xml:space="preserve"> </w:t>
      </w:r>
      <w:r w:rsidRPr="00A41E6A">
        <w:rPr>
          <w:rFonts w:cs="Arial" w:hint="cs"/>
          <w:sz w:val="20"/>
          <w:szCs w:val="20"/>
          <w:rtl/>
        </w:rPr>
        <w:t>ה</w:t>
      </w:r>
      <w:r>
        <w:rPr>
          <w:rFonts w:cs="Arial" w:hint="cs"/>
          <w:sz w:val="20"/>
          <w:szCs w:val="20"/>
          <w:rtl/>
        </w:rPr>
        <w:t>ו</w:t>
      </w:r>
      <w:r w:rsidRPr="00A41E6A">
        <w:rPr>
          <w:rFonts w:cs="Arial" w:hint="cs"/>
          <w:sz w:val="20"/>
          <w:szCs w:val="20"/>
          <w:rtl/>
        </w:rPr>
        <w:t>וסתות</w:t>
      </w:r>
      <w:r w:rsidRPr="00A41E6A">
        <w:rPr>
          <w:rFonts w:cs="Arial"/>
          <w:sz w:val="20"/>
          <w:szCs w:val="20"/>
          <w:rtl/>
        </w:rPr>
        <w:t xml:space="preserve">: </w:t>
      </w:r>
      <w:r w:rsidRPr="00A41E6A">
        <w:rPr>
          <w:rFonts w:cs="Arial" w:hint="cs"/>
          <w:sz w:val="20"/>
          <w:szCs w:val="20"/>
          <w:rtl/>
        </w:rPr>
        <w:t>מפהקת</w:t>
      </w:r>
      <w:r w:rsidRPr="00A41E6A">
        <w:rPr>
          <w:rFonts w:cs="Arial"/>
          <w:sz w:val="20"/>
          <w:szCs w:val="20"/>
          <w:rtl/>
        </w:rPr>
        <w:t xml:space="preserve">, </w:t>
      </w:r>
      <w:r w:rsidRPr="00A41E6A">
        <w:rPr>
          <w:rFonts w:cs="Arial" w:hint="cs"/>
          <w:sz w:val="20"/>
          <w:szCs w:val="20"/>
          <w:rtl/>
        </w:rPr>
        <w:t>ומעטשת</w:t>
      </w:r>
      <w:r w:rsidRPr="00A41E6A">
        <w:rPr>
          <w:rFonts w:cs="Arial"/>
          <w:sz w:val="20"/>
          <w:szCs w:val="20"/>
          <w:rtl/>
        </w:rPr>
        <w:t xml:space="preserve">, </w:t>
      </w:r>
      <w:r w:rsidRPr="00A41E6A">
        <w:rPr>
          <w:rFonts w:cs="Arial" w:hint="cs"/>
          <w:sz w:val="20"/>
          <w:szCs w:val="20"/>
          <w:rtl/>
        </w:rPr>
        <w:t>וחוששת</w:t>
      </w:r>
      <w:r w:rsidRPr="00A41E6A">
        <w:rPr>
          <w:rFonts w:cs="Arial"/>
          <w:sz w:val="20"/>
          <w:szCs w:val="20"/>
          <w:rtl/>
        </w:rPr>
        <w:t xml:space="preserve"> </w:t>
      </w:r>
      <w:r w:rsidRPr="00A41E6A">
        <w:rPr>
          <w:rFonts w:cs="Arial" w:hint="cs"/>
          <w:sz w:val="20"/>
          <w:szCs w:val="20"/>
          <w:rtl/>
        </w:rPr>
        <w:t>בפי</w:t>
      </w:r>
      <w:r w:rsidRPr="00A41E6A">
        <w:rPr>
          <w:rFonts w:cs="Arial"/>
          <w:sz w:val="20"/>
          <w:szCs w:val="20"/>
          <w:rtl/>
        </w:rPr>
        <w:t xml:space="preserve"> </w:t>
      </w:r>
      <w:r w:rsidRPr="00A41E6A">
        <w:rPr>
          <w:rFonts w:cs="Arial" w:hint="cs"/>
          <w:sz w:val="20"/>
          <w:szCs w:val="20"/>
          <w:rtl/>
        </w:rPr>
        <w:t>כריסה</w:t>
      </w:r>
      <w:r>
        <w:rPr>
          <w:rFonts w:cs="Arial" w:hint="cs"/>
          <w:sz w:val="20"/>
          <w:szCs w:val="20"/>
          <w:rtl/>
        </w:rPr>
        <w:t xml:space="preserve"> </w:t>
      </w:r>
      <w:r w:rsidRPr="00A95D92">
        <w:rPr>
          <w:rFonts w:cs="Arial" w:hint="cs"/>
          <w:sz w:val="18"/>
          <w:szCs w:val="18"/>
          <w:rtl/>
        </w:rPr>
        <w:t>(נגד הטבור)</w:t>
      </w:r>
      <w:r w:rsidRPr="00A95D92">
        <w:rPr>
          <w:rFonts w:cs="Arial"/>
          <w:sz w:val="18"/>
          <w:szCs w:val="18"/>
          <w:rtl/>
        </w:rPr>
        <w:t xml:space="preserve"> </w:t>
      </w:r>
      <w:r w:rsidRPr="00A41E6A">
        <w:rPr>
          <w:rFonts w:cs="Arial" w:hint="cs"/>
          <w:sz w:val="20"/>
          <w:szCs w:val="20"/>
          <w:rtl/>
        </w:rPr>
        <w:t>ובשפולי</w:t>
      </w:r>
      <w:r w:rsidRPr="00A41E6A">
        <w:rPr>
          <w:rFonts w:cs="Arial"/>
          <w:sz w:val="20"/>
          <w:szCs w:val="20"/>
          <w:rtl/>
        </w:rPr>
        <w:t xml:space="preserve"> </w:t>
      </w:r>
      <w:r w:rsidRPr="00A41E6A">
        <w:rPr>
          <w:rFonts w:cs="Arial" w:hint="cs"/>
          <w:sz w:val="20"/>
          <w:szCs w:val="20"/>
          <w:rtl/>
        </w:rPr>
        <w:t>מעיה</w:t>
      </w:r>
      <w:r>
        <w:rPr>
          <w:rFonts w:cs="Arial" w:hint="cs"/>
          <w:sz w:val="20"/>
          <w:szCs w:val="20"/>
          <w:rtl/>
        </w:rPr>
        <w:t xml:space="preserve"> </w:t>
      </w:r>
      <w:r w:rsidRPr="00A95D92">
        <w:rPr>
          <w:rFonts w:cs="Arial" w:hint="cs"/>
          <w:sz w:val="18"/>
          <w:szCs w:val="18"/>
          <w:rtl/>
        </w:rPr>
        <w:t xml:space="preserve">(בית </w:t>
      </w:r>
      <w:r w:rsidRPr="00A95D92">
        <w:rPr>
          <w:rFonts w:cs="Arial" w:hint="cs"/>
          <w:sz w:val="18"/>
          <w:szCs w:val="18"/>
          <w:rtl/>
        </w:rPr>
        <w:lastRenderedPageBreak/>
        <w:t>הרחם)</w:t>
      </w:r>
      <w:r w:rsidRPr="00A41E6A">
        <w:rPr>
          <w:rFonts w:cs="Arial"/>
          <w:sz w:val="20"/>
          <w:szCs w:val="20"/>
          <w:rtl/>
        </w:rPr>
        <w:t xml:space="preserve">, </w:t>
      </w:r>
      <w:r w:rsidRPr="00A41E6A">
        <w:rPr>
          <w:rFonts w:cs="Arial" w:hint="cs"/>
          <w:sz w:val="20"/>
          <w:szCs w:val="20"/>
          <w:rtl/>
        </w:rPr>
        <w:t>ושופעת</w:t>
      </w:r>
      <w:r w:rsidRPr="00A41E6A">
        <w:rPr>
          <w:rFonts w:cs="Arial"/>
          <w:sz w:val="20"/>
          <w:szCs w:val="20"/>
          <w:rtl/>
        </w:rPr>
        <w:t xml:space="preserve">, </w:t>
      </w:r>
      <w:r w:rsidRPr="00A41E6A">
        <w:rPr>
          <w:rFonts w:cs="Arial" w:hint="cs"/>
          <w:sz w:val="20"/>
          <w:szCs w:val="20"/>
          <w:rtl/>
        </w:rPr>
        <w:t>וכמין</w:t>
      </w:r>
      <w:r w:rsidRPr="00A41E6A">
        <w:rPr>
          <w:rFonts w:cs="Arial"/>
          <w:sz w:val="20"/>
          <w:szCs w:val="20"/>
          <w:rtl/>
        </w:rPr>
        <w:t xml:space="preserve"> </w:t>
      </w:r>
      <w:r w:rsidRPr="00A41E6A">
        <w:rPr>
          <w:rFonts w:cs="Arial" w:hint="cs"/>
          <w:sz w:val="20"/>
          <w:szCs w:val="20"/>
          <w:rtl/>
        </w:rPr>
        <w:t>צמרמורות</w:t>
      </w:r>
      <w:r w:rsidRPr="00A41E6A">
        <w:rPr>
          <w:rFonts w:cs="Arial"/>
          <w:sz w:val="20"/>
          <w:szCs w:val="20"/>
          <w:rtl/>
        </w:rPr>
        <w:t xml:space="preserve"> </w:t>
      </w:r>
      <w:r w:rsidRPr="00A41E6A">
        <w:rPr>
          <w:rFonts w:cs="Arial" w:hint="cs"/>
          <w:sz w:val="20"/>
          <w:szCs w:val="20"/>
          <w:rtl/>
        </w:rPr>
        <w:t>אוחזין</w:t>
      </w:r>
      <w:r w:rsidRPr="00A41E6A">
        <w:rPr>
          <w:rFonts w:cs="Arial"/>
          <w:sz w:val="20"/>
          <w:szCs w:val="20"/>
          <w:rtl/>
        </w:rPr>
        <w:t xml:space="preserve"> </w:t>
      </w:r>
      <w:r w:rsidRPr="00A41E6A">
        <w:rPr>
          <w:rFonts w:cs="Arial" w:hint="cs"/>
          <w:sz w:val="20"/>
          <w:szCs w:val="20"/>
          <w:rtl/>
        </w:rPr>
        <w:t>אותה</w:t>
      </w:r>
      <w:r w:rsidRPr="00A41E6A">
        <w:rPr>
          <w:rFonts w:cs="Arial"/>
          <w:sz w:val="20"/>
          <w:szCs w:val="20"/>
          <w:rtl/>
        </w:rPr>
        <w:t xml:space="preserve">, </w:t>
      </w:r>
      <w:r w:rsidRPr="00A41E6A">
        <w:rPr>
          <w:rFonts w:cs="Arial" w:hint="cs"/>
          <w:sz w:val="20"/>
          <w:szCs w:val="20"/>
          <w:rtl/>
        </w:rPr>
        <w:t>וכן</w:t>
      </w:r>
      <w:r w:rsidRPr="00A41E6A">
        <w:rPr>
          <w:rFonts w:cs="Arial"/>
          <w:sz w:val="20"/>
          <w:szCs w:val="20"/>
          <w:rtl/>
        </w:rPr>
        <w:t xml:space="preserve"> </w:t>
      </w:r>
      <w:r w:rsidRPr="00A41E6A">
        <w:rPr>
          <w:rFonts w:cs="Arial" w:hint="cs"/>
          <w:sz w:val="20"/>
          <w:szCs w:val="20"/>
          <w:rtl/>
        </w:rPr>
        <w:t>כיוצא</w:t>
      </w:r>
      <w:r w:rsidRPr="00A41E6A">
        <w:rPr>
          <w:rFonts w:cs="Arial"/>
          <w:sz w:val="20"/>
          <w:szCs w:val="20"/>
          <w:rtl/>
        </w:rPr>
        <w:t xml:space="preserve"> </w:t>
      </w:r>
      <w:r w:rsidRPr="00A41E6A">
        <w:rPr>
          <w:rFonts w:cs="Arial" w:hint="cs"/>
          <w:sz w:val="20"/>
          <w:szCs w:val="20"/>
          <w:rtl/>
        </w:rPr>
        <w:t>בהן</w:t>
      </w:r>
      <w:r w:rsidRPr="00A41E6A">
        <w:rPr>
          <w:rFonts w:cs="Arial"/>
          <w:sz w:val="20"/>
          <w:szCs w:val="20"/>
          <w:rtl/>
        </w:rPr>
        <w:t xml:space="preserve">. </w:t>
      </w:r>
      <w:r w:rsidRPr="00A41E6A">
        <w:rPr>
          <w:rFonts w:cs="Arial" w:hint="cs"/>
          <w:sz w:val="20"/>
          <w:szCs w:val="20"/>
          <w:rtl/>
        </w:rPr>
        <w:t>וכל</w:t>
      </w:r>
      <w:r w:rsidRPr="00A41E6A">
        <w:rPr>
          <w:rFonts w:cs="Arial"/>
          <w:sz w:val="20"/>
          <w:szCs w:val="20"/>
          <w:rtl/>
        </w:rPr>
        <w:t xml:space="preserve"> </w:t>
      </w:r>
      <w:r w:rsidRPr="00A41E6A">
        <w:rPr>
          <w:rFonts w:cs="Arial" w:hint="cs"/>
          <w:sz w:val="20"/>
          <w:szCs w:val="20"/>
          <w:rtl/>
        </w:rPr>
        <w:t>שקבעה</w:t>
      </w:r>
      <w:r w:rsidRPr="00A41E6A">
        <w:rPr>
          <w:rFonts w:cs="Arial"/>
          <w:sz w:val="20"/>
          <w:szCs w:val="20"/>
          <w:rtl/>
        </w:rPr>
        <w:t xml:space="preserve"> </w:t>
      </w:r>
      <w:r w:rsidRPr="00A41E6A">
        <w:rPr>
          <w:rFonts w:cs="Arial" w:hint="cs"/>
          <w:sz w:val="20"/>
          <w:szCs w:val="20"/>
          <w:rtl/>
        </w:rPr>
        <w:t>לה</w:t>
      </w:r>
      <w:r w:rsidRPr="00A41E6A">
        <w:rPr>
          <w:rFonts w:cs="Arial"/>
          <w:sz w:val="20"/>
          <w:szCs w:val="20"/>
          <w:rtl/>
        </w:rPr>
        <w:t xml:space="preserve"> </w:t>
      </w:r>
      <w:r w:rsidRPr="00A41E6A">
        <w:rPr>
          <w:rFonts w:cs="Arial" w:hint="cs"/>
          <w:sz w:val="20"/>
          <w:szCs w:val="20"/>
          <w:rtl/>
        </w:rPr>
        <w:t>שלשה</w:t>
      </w:r>
      <w:r w:rsidRPr="00A41E6A">
        <w:rPr>
          <w:rFonts w:cs="Arial"/>
          <w:sz w:val="20"/>
          <w:szCs w:val="20"/>
          <w:rtl/>
        </w:rPr>
        <w:t xml:space="preserve"> </w:t>
      </w:r>
      <w:r w:rsidRPr="00A41E6A">
        <w:rPr>
          <w:rFonts w:cs="Arial" w:hint="cs"/>
          <w:sz w:val="20"/>
          <w:szCs w:val="20"/>
          <w:rtl/>
        </w:rPr>
        <w:t>פעמים</w:t>
      </w:r>
      <w:r w:rsidRPr="00A41E6A">
        <w:rPr>
          <w:rFonts w:cs="Arial"/>
          <w:sz w:val="20"/>
          <w:szCs w:val="20"/>
          <w:rtl/>
        </w:rPr>
        <w:t xml:space="preserve"> - </w:t>
      </w:r>
      <w:r w:rsidRPr="00A41E6A">
        <w:rPr>
          <w:rFonts w:cs="Arial" w:hint="cs"/>
          <w:sz w:val="20"/>
          <w:szCs w:val="20"/>
          <w:rtl/>
        </w:rPr>
        <w:t>הרי</w:t>
      </w:r>
      <w:r w:rsidRPr="00A41E6A">
        <w:rPr>
          <w:rFonts w:cs="Arial"/>
          <w:sz w:val="20"/>
          <w:szCs w:val="20"/>
          <w:rtl/>
        </w:rPr>
        <w:t xml:space="preserve"> </w:t>
      </w:r>
      <w:r w:rsidRPr="00A41E6A">
        <w:rPr>
          <w:rFonts w:cs="Arial" w:hint="cs"/>
          <w:sz w:val="20"/>
          <w:szCs w:val="20"/>
          <w:rtl/>
        </w:rPr>
        <w:t>זה</w:t>
      </w:r>
      <w:r w:rsidRPr="00A41E6A">
        <w:rPr>
          <w:rFonts w:cs="Arial"/>
          <w:sz w:val="20"/>
          <w:szCs w:val="20"/>
          <w:rtl/>
        </w:rPr>
        <w:t xml:space="preserve"> </w:t>
      </w:r>
      <w:r w:rsidRPr="00A41E6A">
        <w:rPr>
          <w:rFonts w:cs="Arial" w:hint="cs"/>
          <w:sz w:val="20"/>
          <w:szCs w:val="20"/>
          <w:rtl/>
        </w:rPr>
        <w:t>וסת</w:t>
      </w:r>
      <w:r>
        <w:rPr>
          <w:rFonts w:cs="Arial" w:hint="cs"/>
          <w:sz w:val="20"/>
          <w:szCs w:val="20"/>
          <w:rtl/>
        </w:rPr>
        <w:t>".</w:t>
      </w:r>
      <w:r>
        <w:rPr>
          <w:rFonts w:cs="Arial"/>
          <w:sz w:val="20"/>
          <w:szCs w:val="20"/>
          <w:rtl/>
        </w:rPr>
        <w:br/>
      </w:r>
      <w:r w:rsidRPr="003D3B26">
        <w:rPr>
          <w:rFonts w:cs="Arial" w:hint="cs"/>
          <w:b/>
          <w:bCs/>
          <w:sz w:val="20"/>
          <w:szCs w:val="20"/>
          <w:rtl/>
        </w:rPr>
        <w:t>גמרא</w:t>
      </w:r>
      <w:r>
        <w:rPr>
          <w:rFonts w:cs="Arial" w:hint="cs"/>
          <w:sz w:val="20"/>
          <w:szCs w:val="20"/>
          <w:rtl/>
        </w:rPr>
        <w:t xml:space="preserve"> (שם, ע"ב) "</w:t>
      </w:r>
      <w:r w:rsidRPr="006F4C22">
        <w:rPr>
          <w:rFonts w:cs="Arial" w:hint="cs"/>
          <w:sz w:val="20"/>
          <w:szCs w:val="20"/>
          <w:rtl/>
        </w:rPr>
        <w:t>וכן</w:t>
      </w:r>
      <w:r w:rsidRPr="006F4C22">
        <w:rPr>
          <w:rFonts w:cs="Arial"/>
          <w:sz w:val="20"/>
          <w:szCs w:val="20"/>
          <w:rtl/>
        </w:rPr>
        <w:t xml:space="preserve"> </w:t>
      </w:r>
      <w:r w:rsidRPr="006F4C22">
        <w:rPr>
          <w:rFonts w:cs="Arial" w:hint="cs"/>
          <w:sz w:val="20"/>
          <w:szCs w:val="20"/>
          <w:rtl/>
        </w:rPr>
        <w:t>כיוצא</w:t>
      </w:r>
      <w:r w:rsidRPr="006F4C22">
        <w:rPr>
          <w:rFonts w:cs="Arial"/>
          <w:sz w:val="20"/>
          <w:szCs w:val="20"/>
          <w:rtl/>
        </w:rPr>
        <w:t xml:space="preserve"> </w:t>
      </w:r>
      <w:r w:rsidRPr="006F4C22">
        <w:rPr>
          <w:rFonts w:cs="Arial" w:hint="cs"/>
          <w:sz w:val="20"/>
          <w:szCs w:val="20"/>
          <w:rtl/>
        </w:rPr>
        <w:t>בהן</w:t>
      </w:r>
      <w:r w:rsidRPr="006F4C22">
        <w:rPr>
          <w:rFonts w:cs="Arial"/>
          <w:sz w:val="20"/>
          <w:szCs w:val="20"/>
          <w:rtl/>
        </w:rPr>
        <w:t xml:space="preserve"> </w:t>
      </w:r>
      <w:r w:rsidRPr="006F4C22">
        <w:rPr>
          <w:rFonts w:cs="Arial" w:hint="cs"/>
          <w:sz w:val="20"/>
          <w:szCs w:val="20"/>
          <w:rtl/>
        </w:rPr>
        <w:t>לאתויי</w:t>
      </w:r>
      <w:r w:rsidRPr="006F4C22">
        <w:rPr>
          <w:rFonts w:cs="Arial"/>
          <w:sz w:val="20"/>
          <w:szCs w:val="20"/>
          <w:rtl/>
        </w:rPr>
        <w:t xml:space="preserve"> </w:t>
      </w:r>
      <w:r w:rsidRPr="006F4C22">
        <w:rPr>
          <w:rFonts w:cs="Arial" w:hint="cs"/>
          <w:sz w:val="20"/>
          <w:szCs w:val="20"/>
          <w:rtl/>
        </w:rPr>
        <w:t>מאי</w:t>
      </w:r>
      <w:r w:rsidRPr="006F4C22">
        <w:rPr>
          <w:rFonts w:cs="Arial"/>
          <w:sz w:val="20"/>
          <w:szCs w:val="20"/>
          <w:rtl/>
        </w:rPr>
        <w:t xml:space="preserve">? </w:t>
      </w:r>
      <w:r w:rsidRPr="006F4C22">
        <w:rPr>
          <w:rFonts w:cs="Arial" w:hint="cs"/>
          <w:sz w:val="20"/>
          <w:szCs w:val="20"/>
          <w:rtl/>
        </w:rPr>
        <w:t>אמר</w:t>
      </w:r>
      <w:r w:rsidRPr="006F4C22">
        <w:rPr>
          <w:rFonts w:cs="Arial"/>
          <w:sz w:val="20"/>
          <w:szCs w:val="20"/>
          <w:rtl/>
        </w:rPr>
        <w:t xml:space="preserve"> </w:t>
      </w:r>
      <w:r w:rsidRPr="006F4C22">
        <w:rPr>
          <w:rFonts w:cs="Arial" w:hint="cs"/>
          <w:sz w:val="20"/>
          <w:szCs w:val="20"/>
          <w:rtl/>
        </w:rPr>
        <w:t>רבה</w:t>
      </w:r>
      <w:r w:rsidRPr="006F4C22">
        <w:rPr>
          <w:rFonts w:cs="Arial"/>
          <w:sz w:val="20"/>
          <w:szCs w:val="20"/>
          <w:rtl/>
        </w:rPr>
        <w:t xml:space="preserve"> </w:t>
      </w:r>
      <w:r w:rsidRPr="006F4C22">
        <w:rPr>
          <w:rFonts w:cs="Arial" w:hint="cs"/>
          <w:sz w:val="20"/>
          <w:szCs w:val="20"/>
          <w:rtl/>
        </w:rPr>
        <w:t>בר</w:t>
      </w:r>
      <w:r w:rsidRPr="006F4C22">
        <w:rPr>
          <w:rFonts w:cs="Arial"/>
          <w:sz w:val="20"/>
          <w:szCs w:val="20"/>
          <w:rtl/>
        </w:rPr>
        <w:t xml:space="preserve"> </w:t>
      </w:r>
      <w:r w:rsidRPr="006F4C22">
        <w:rPr>
          <w:rFonts w:cs="Arial" w:hint="cs"/>
          <w:sz w:val="20"/>
          <w:szCs w:val="20"/>
          <w:rtl/>
        </w:rPr>
        <w:t>עולא</w:t>
      </w:r>
      <w:r w:rsidRPr="006F4C22">
        <w:rPr>
          <w:rFonts w:cs="Arial"/>
          <w:sz w:val="20"/>
          <w:szCs w:val="20"/>
          <w:rtl/>
        </w:rPr>
        <w:t xml:space="preserve">: </w:t>
      </w:r>
      <w:r w:rsidRPr="006F4C22">
        <w:rPr>
          <w:rFonts w:cs="Arial" w:hint="cs"/>
          <w:sz w:val="20"/>
          <w:szCs w:val="20"/>
          <w:rtl/>
        </w:rPr>
        <w:t>לאתויי</w:t>
      </w:r>
      <w:r w:rsidRPr="006F4C22">
        <w:rPr>
          <w:rFonts w:cs="Arial"/>
          <w:sz w:val="20"/>
          <w:szCs w:val="20"/>
          <w:rtl/>
        </w:rPr>
        <w:t xml:space="preserve"> </w:t>
      </w:r>
      <w:r w:rsidRPr="006F4C22">
        <w:rPr>
          <w:rFonts w:cs="Arial" w:hint="cs"/>
          <w:sz w:val="20"/>
          <w:szCs w:val="20"/>
          <w:rtl/>
        </w:rPr>
        <w:t>אשה</w:t>
      </w:r>
      <w:r w:rsidRPr="006F4C22">
        <w:rPr>
          <w:rFonts w:cs="Arial"/>
          <w:sz w:val="20"/>
          <w:szCs w:val="20"/>
          <w:rtl/>
        </w:rPr>
        <w:t xml:space="preserve"> </w:t>
      </w:r>
      <w:r w:rsidRPr="006F4C22">
        <w:rPr>
          <w:rFonts w:cs="Arial" w:hint="cs"/>
          <w:sz w:val="20"/>
          <w:szCs w:val="20"/>
          <w:rtl/>
        </w:rPr>
        <w:t>שראשה</w:t>
      </w:r>
      <w:r w:rsidRPr="006F4C22">
        <w:rPr>
          <w:rFonts w:cs="Arial"/>
          <w:sz w:val="20"/>
          <w:szCs w:val="20"/>
          <w:rtl/>
        </w:rPr>
        <w:t xml:space="preserve"> </w:t>
      </w:r>
      <w:r w:rsidRPr="006F4C22">
        <w:rPr>
          <w:rFonts w:cs="Arial" w:hint="cs"/>
          <w:sz w:val="20"/>
          <w:szCs w:val="20"/>
          <w:rtl/>
        </w:rPr>
        <w:t>כבד</w:t>
      </w:r>
      <w:r w:rsidRPr="006F4C22">
        <w:rPr>
          <w:rFonts w:cs="Arial"/>
          <w:sz w:val="20"/>
          <w:szCs w:val="20"/>
          <w:rtl/>
        </w:rPr>
        <w:t xml:space="preserve"> </w:t>
      </w:r>
      <w:r w:rsidRPr="006F4C22">
        <w:rPr>
          <w:rFonts w:cs="Arial" w:hint="cs"/>
          <w:sz w:val="20"/>
          <w:szCs w:val="20"/>
          <w:rtl/>
        </w:rPr>
        <w:t>עליה</w:t>
      </w:r>
      <w:r w:rsidRPr="006F4C22">
        <w:rPr>
          <w:rFonts w:cs="Arial"/>
          <w:sz w:val="20"/>
          <w:szCs w:val="20"/>
          <w:rtl/>
        </w:rPr>
        <w:t xml:space="preserve">, </w:t>
      </w:r>
      <w:r w:rsidRPr="006F4C22">
        <w:rPr>
          <w:rFonts w:cs="Arial" w:hint="cs"/>
          <w:sz w:val="20"/>
          <w:szCs w:val="20"/>
          <w:rtl/>
        </w:rPr>
        <w:t>ואבריה</w:t>
      </w:r>
      <w:r w:rsidRPr="006F4C22">
        <w:rPr>
          <w:rFonts w:cs="Arial"/>
          <w:sz w:val="20"/>
          <w:szCs w:val="20"/>
          <w:rtl/>
        </w:rPr>
        <w:t xml:space="preserve"> </w:t>
      </w:r>
      <w:r w:rsidRPr="006F4C22">
        <w:rPr>
          <w:rFonts w:cs="Arial" w:hint="cs"/>
          <w:sz w:val="20"/>
          <w:szCs w:val="20"/>
          <w:rtl/>
        </w:rPr>
        <w:t>כבדים</w:t>
      </w:r>
      <w:r w:rsidRPr="006F4C22">
        <w:rPr>
          <w:rFonts w:cs="Arial"/>
          <w:sz w:val="20"/>
          <w:szCs w:val="20"/>
          <w:rtl/>
        </w:rPr>
        <w:t xml:space="preserve"> </w:t>
      </w:r>
      <w:r w:rsidRPr="006F4C22">
        <w:rPr>
          <w:rFonts w:cs="Arial" w:hint="cs"/>
          <w:sz w:val="20"/>
          <w:szCs w:val="20"/>
          <w:rtl/>
        </w:rPr>
        <w:t>עליה</w:t>
      </w:r>
      <w:r>
        <w:rPr>
          <w:rFonts w:cs="Arial" w:hint="cs"/>
          <w:sz w:val="20"/>
          <w:szCs w:val="20"/>
          <w:rtl/>
        </w:rPr>
        <w:t>".</w:t>
      </w:r>
    </w:p>
    <w:p w:rsidR="00620060" w:rsidRPr="00920EF2" w:rsidRDefault="00620060" w:rsidP="00620060">
      <w:pPr>
        <w:rPr>
          <w:sz w:val="20"/>
          <w:szCs w:val="20"/>
          <w:rtl/>
        </w:rPr>
      </w:pPr>
      <w:r w:rsidRPr="003D3B26">
        <w:rPr>
          <w:rFonts w:hint="cs"/>
          <w:b/>
          <w:bCs/>
          <w:sz w:val="20"/>
          <w:szCs w:val="20"/>
          <w:rtl/>
        </w:rPr>
        <w:t>הסבר המושגים</w:t>
      </w:r>
      <w:r>
        <w:rPr>
          <w:sz w:val="20"/>
          <w:szCs w:val="20"/>
          <w:u w:val="single"/>
          <w:rtl/>
        </w:rPr>
        <w:br/>
      </w:r>
      <w:r w:rsidRPr="00F705A6">
        <w:rPr>
          <w:rFonts w:hint="cs"/>
          <w:sz w:val="20"/>
          <w:szCs w:val="20"/>
          <w:u w:val="single"/>
          <w:rtl/>
        </w:rPr>
        <w:t>מפהקת</w:t>
      </w:r>
      <w:r>
        <w:rPr>
          <w:rFonts w:hint="cs"/>
          <w:sz w:val="20"/>
          <w:szCs w:val="20"/>
          <w:rtl/>
        </w:rPr>
        <w:t xml:space="preserve"> </w:t>
      </w:r>
      <w:r>
        <w:rPr>
          <w:sz w:val="20"/>
          <w:szCs w:val="20"/>
          <w:rtl/>
        </w:rPr>
        <w:t>–</w:t>
      </w:r>
      <w:r>
        <w:rPr>
          <w:rFonts w:hint="cs"/>
          <w:sz w:val="20"/>
          <w:szCs w:val="20"/>
          <w:rtl/>
        </w:rPr>
        <w:t xml:space="preserve"> </w:t>
      </w:r>
      <w:r w:rsidRPr="00191183">
        <w:rPr>
          <w:rFonts w:hint="cs"/>
          <w:b/>
          <w:bCs/>
          <w:sz w:val="20"/>
          <w:szCs w:val="20"/>
          <w:rtl/>
        </w:rPr>
        <w:t>רש"</w:t>
      </w:r>
      <w:r>
        <w:rPr>
          <w:rFonts w:hint="cs"/>
          <w:sz w:val="20"/>
          <w:szCs w:val="20"/>
          <w:rtl/>
        </w:rPr>
        <w:t xml:space="preserve">י </w:t>
      </w:r>
      <w:r>
        <w:rPr>
          <w:sz w:val="20"/>
          <w:szCs w:val="20"/>
          <w:rtl/>
        </w:rPr>
        <w:t>–</w:t>
      </w:r>
      <w:r>
        <w:rPr>
          <w:rFonts w:hint="cs"/>
          <w:sz w:val="20"/>
          <w:szCs w:val="20"/>
          <w:rtl/>
        </w:rPr>
        <w:t xml:space="preserve"> אדם הפושט איבריו, ובמקום אחר פירש שהכוונה היא לאדם הפותח את פיו.</w:t>
      </w:r>
      <w:r>
        <w:rPr>
          <w:rStyle w:val="a5"/>
          <w:sz w:val="20"/>
          <w:szCs w:val="20"/>
          <w:rtl/>
        </w:rPr>
        <w:footnoteReference w:id="218"/>
      </w:r>
      <w:r>
        <w:rPr>
          <w:sz w:val="20"/>
          <w:szCs w:val="20"/>
          <w:rtl/>
        </w:rPr>
        <w:br/>
      </w:r>
      <w:r w:rsidRPr="00191183">
        <w:rPr>
          <w:rFonts w:hint="cs"/>
          <w:b/>
          <w:bCs/>
          <w:sz w:val="20"/>
          <w:szCs w:val="20"/>
          <w:rtl/>
        </w:rPr>
        <w:t>ערוך</w:t>
      </w:r>
      <w:r>
        <w:rPr>
          <w:rFonts w:hint="cs"/>
          <w:sz w:val="20"/>
          <w:szCs w:val="20"/>
          <w:rtl/>
        </w:rPr>
        <w:t xml:space="preserve"> </w:t>
      </w:r>
      <w:r>
        <w:rPr>
          <w:sz w:val="20"/>
          <w:szCs w:val="20"/>
          <w:rtl/>
        </w:rPr>
        <w:t>–</w:t>
      </w:r>
      <w:r>
        <w:rPr>
          <w:rFonts w:hint="cs"/>
          <w:sz w:val="20"/>
          <w:szCs w:val="20"/>
          <w:rtl/>
        </w:rPr>
        <w:t xml:space="preserve"> קול היוצא מהגרון מתוך מאכל שאכל. </w:t>
      </w:r>
      <w:r>
        <w:rPr>
          <w:sz w:val="20"/>
          <w:szCs w:val="20"/>
          <w:rtl/>
        </w:rPr>
        <w:br/>
      </w:r>
      <w:r>
        <w:rPr>
          <w:rFonts w:hint="cs"/>
          <w:sz w:val="20"/>
          <w:szCs w:val="20"/>
          <w:rtl/>
        </w:rPr>
        <w:t xml:space="preserve">וכתב </w:t>
      </w:r>
      <w:r w:rsidRPr="00191183">
        <w:rPr>
          <w:rFonts w:hint="cs"/>
          <w:b/>
          <w:bCs/>
          <w:sz w:val="20"/>
          <w:szCs w:val="20"/>
          <w:rtl/>
        </w:rPr>
        <w:t>הרא"ש</w:t>
      </w:r>
      <w:r>
        <w:rPr>
          <w:rFonts w:hint="cs"/>
          <w:sz w:val="20"/>
          <w:szCs w:val="20"/>
          <w:rtl/>
        </w:rPr>
        <w:t xml:space="preserve"> </w:t>
      </w:r>
      <w:r>
        <w:rPr>
          <w:sz w:val="20"/>
          <w:szCs w:val="20"/>
          <w:rtl/>
        </w:rPr>
        <w:t>–</w:t>
      </w:r>
      <w:r>
        <w:rPr>
          <w:rFonts w:hint="cs"/>
          <w:sz w:val="20"/>
          <w:szCs w:val="20"/>
          <w:rtl/>
        </w:rPr>
        <w:t xml:space="preserve"> "</w:t>
      </w:r>
      <w:r w:rsidRPr="00191183">
        <w:rPr>
          <w:rFonts w:cs="Arial" w:hint="cs"/>
          <w:sz w:val="20"/>
          <w:szCs w:val="20"/>
          <w:rtl/>
        </w:rPr>
        <w:t>וכולן</w:t>
      </w:r>
      <w:r w:rsidRPr="00191183">
        <w:rPr>
          <w:rFonts w:cs="Arial"/>
          <w:sz w:val="20"/>
          <w:szCs w:val="20"/>
          <w:rtl/>
        </w:rPr>
        <w:t xml:space="preserve"> </w:t>
      </w:r>
      <w:r w:rsidRPr="00191183">
        <w:rPr>
          <w:rFonts w:cs="Arial" w:hint="cs"/>
          <w:sz w:val="20"/>
          <w:szCs w:val="20"/>
          <w:rtl/>
        </w:rPr>
        <w:t>דברי</w:t>
      </w:r>
      <w:r w:rsidRPr="00191183">
        <w:rPr>
          <w:rFonts w:cs="Arial"/>
          <w:sz w:val="20"/>
          <w:szCs w:val="20"/>
          <w:rtl/>
        </w:rPr>
        <w:t xml:space="preserve"> </w:t>
      </w:r>
      <w:r w:rsidRPr="00191183">
        <w:rPr>
          <w:rFonts w:cs="Arial" w:hint="cs"/>
          <w:sz w:val="20"/>
          <w:szCs w:val="20"/>
          <w:rtl/>
        </w:rPr>
        <w:t>אל</w:t>
      </w:r>
      <w:r>
        <w:rPr>
          <w:rFonts w:cs="Arial" w:hint="cs"/>
          <w:sz w:val="20"/>
          <w:szCs w:val="20"/>
          <w:rtl/>
        </w:rPr>
        <w:t>וק</w:t>
      </w:r>
      <w:r w:rsidRPr="00191183">
        <w:rPr>
          <w:rFonts w:cs="Arial" w:hint="cs"/>
          <w:sz w:val="20"/>
          <w:szCs w:val="20"/>
          <w:rtl/>
        </w:rPr>
        <w:t>ים</w:t>
      </w:r>
      <w:r w:rsidRPr="00191183">
        <w:rPr>
          <w:rFonts w:cs="Arial"/>
          <w:sz w:val="20"/>
          <w:szCs w:val="20"/>
          <w:rtl/>
        </w:rPr>
        <w:t xml:space="preserve"> </w:t>
      </w:r>
      <w:r w:rsidRPr="00191183">
        <w:rPr>
          <w:rFonts w:cs="Arial" w:hint="cs"/>
          <w:sz w:val="20"/>
          <w:szCs w:val="20"/>
          <w:rtl/>
        </w:rPr>
        <w:t>חיים</w:t>
      </w:r>
      <w:r w:rsidRPr="00191183">
        <w:rPr>
          <w:rFonts w:cs="Arial"/>
          <w:sz w:val="20"/>
          <w:szCs w:val="20"/>
          <w:rtl/>
        </w:rPr>
        <w:t xml:space="preserve"> </w:t>
      </w:r>
      <w:r w:rsidRPr="00191183">
        <w:rPr>
          <w:rFonts w:cs="Arial" w:hint="cs"/>
          <w:sz w:val="20"/>
          <w:szCs w:val="20"/>
          <w:rtl/>
        </w:rPr>
        <w:t>דכל</w:t>
      </w:r>
      <w:r w:rsidRPr="00191183">
        <w:rPr>
          <w:rFonts w:cs="Arial"/>
          <w:sz w:val="20"/>
          <w:szCs w:val="20"/>
          <w:rtl/>
        </w:rPr>
        <w:t xml:space="preserve"> </w:t>
      </w:r>
      <w:r w:rsidRPr="00191183">
        <w:rPr>
          <w:rFonts w:cs="Arial" w:hint="cs"/>
          <w:sz w:val="20"/>
          <w:szCs w:val="20"/>
          <w:rtl/>
        </w:rPr>
        <w:t>חוש</w:t>
      </w:r>
      <w:r w:rsidRPr="00191183">
        <w:rPr>
          <w:rFonts w:cs="Arial"/>
          <w:sz w:val="20"/>
          <w:szCs w:val="20"/>
          <w:rtl/>
        </w:rPr>
        <w:t xml:space="preserve"> </w:t>
      </w:r>
      <w:r w:rsidRPr="00191183">
        <w:rPr>
          <w:rFonts w:cs="Arial" w:hint="cs"/>
          <w:sz w:val="20"/>
          <w:szCs w:val="20"/>
          <w:rtl/>
        </w:rPr>
        <w:t>שינוי</w:t>
      </w:r>
      <w:r w:rsidRPr="00191183">
        <w:rPr>
          <w:rFonts w:cs="Arial"/>
          <w:sz w:val="20"/>
          <w:szCs w:val="20"/>
          <w:rtl/>
        </w:rPr>
        <w:t xml:space="preserve"> </w:t>
      </w:r>
      <w:r w:rsidRPr="00191183">
        <w:rPr>
          <w:rFonts w:cs="Arial" w:hint="cs"/>
          <w:sz w:val="20"/>
          <w:szCs w:val="20"/>
          <w:rtl/>
        </w:rPr>
        <w:t>הגוף</w:t>
      </w:r>
      <w:r w:rsidRPr="00191183">
        <w:rPr>
          <w:rFonts w:cs="Arial"/>
          <w:sz w:val="20"/>
          <w:szCs w:val="20"/>
          <w:rtl/>
        </w:rPr>
        <w:t xml:space="preserve"> </w:t>
      </w:r>
      <w:r w:rsidRPr="00191183">
        <w:rPr>
          <w:rFonts w:cs="Arial" w:hint="cs"/>
          <w:sz w:val="20"/>
          <w:szCs w:val="20"/>
          <w:rtl/>
        </w:rPr>
        <w:t>כיון</w:t>
      </w:r>
      <w:r w:rsidRPr="00191183">
        <w:rPr>
          <w:rFonts w:cs="Arial"/>
          <w:sz w:val="20"/>
          <w:szCs w:val="20"/>
          <w:rtl/>
        </w:rPr>
        <w:t xml:space="preserve"> </w:t>
      </w:r>
      <w:r w:rsidRPr="00191183">
        <w:rPr>
          <w:rFonts w:cs="Arial" w:hint="cs"/>
          <w:sz w:val="20"/>
          <w:szCs w:val="20"/>
          <w:rtl/>
        </w:rPr>
        <w:t>שהוחזקה</w:t>
      </w:r>
      <w:r w:rsidRPr="00191183">
        <w:rPr>
          <w:rFonts w:cs="Arial"/>
          <w:sz w:val="20"/>
          <w:szCs w:val="20"/>
          <w:rtl/>
        </w:rPr>
        <w:t xml:space="preserve"> </w:t>
      </w:r>
      <w:r w:rsidRPr="00191183">
        <w:rPr>
          <w:rFonts w:cs="Arial" w:hint="cs"/>
          <w:sz w:val="20"/>
          <w:szCs w:val="20"/>
          <w:rtl/>
        </w:rPr>
        <w:t>בו</w:t>
      </w:r>
      <w:r w:rsidRPr="00191183">
        <w:rPr>
          <w:rFonts w:cs="Arial"/>
          <w:sz w:val="20"/>
          <w:szCs w:val="20"/>
          <w:rtl/>
        </w:rPr>
        <w:t xml:space="preserve"> </w:t>
      </w:r>
      <w:r w:rsidRPr="00191183">
        <w:rPr>
          <w:rFonts w:cs="Arial" w:hint="cs"/>
          <w:sz w:val="20"/>
          <w:szCs w:val="20"/>
          <w:rtl/>
        </w:rPr>
        <w:t>הוא</w:t>
      </w:r>
      <w:r w:rsidRPr="00191183">
        <w:rPr>
          <w:rFonts w:cs="Arial"/>
          <w:sz w:val="20"/>
          <w:szCs w:val="20"/>
          <w:rtl/>
        </w:rPr>
        <w:t xml:space="preserve"> </w:t>
      </w:r>
      <w:r w:rsidRPr="00191183">
        <w:rPr>
          <w:rFonts w:cs="Arial" w:hint="cs"/>
          <w:sz w:val="20"/>
          <w:szCs w:val="20"/>
          <w:rtl/>
        </w:rPr>
        <w:t>סימן</w:t>
      </w:r>
      <w:r w:rsidRPr="00191183">
        <w:rPr>
          <w:rFonts w:cs="Arial"/>
          <w:sz w:val="20"/>
          <w:szCs w:val="20"/>
          <w:rtl/>
        </w:rPr>
        <w:t xml:space="preserve"> </w:t>
      </w:r>
      <w:r w:rsidRPr="00191183">
        <w:rPr>
          <w:rFonts w:cs="Arial" w:hint="cs"/>
          <w:sz w:val="20"/>
          <w:szCs w:val="20"/>
          <w:rtl/>
        </w:rPr>
        <w:t>להתעוררות</w:t>
      </w:r>
      <w:r w:rsidRPr="00191183">
        <w:rPr>
          <w:rFonts w:cs="Arial"/>
          <w:sz w:val="20"/>
          <w:szCs w:val="20"/>
          <w:rtl/>
        </w:rPr>
        <w:t xml:space="preserve"> </w:t>
      </w:r>
      <w:r w:rsidRPr="00191183">
        <w:rPr>
          <w:rFonts w:cs="Arial" w:hint="cs"/>
          <w:sz w:val="20"/>
          <w:szCs w:val="20"/>
          <w:rtl/>
        </w:rPr>
        <w:t>עקירת</w:t>
      </w:r>
      <w:r w:rsidRPr="00191183">
        <w:rPr>
          <w:rFonts w:cs="Arial"/>
          <w:sz w:val="20"/>
          <w:szCs w:val="20"/>
          <w:rtl/>
        </w:rPr>
        <w:t xml:space="preserve"> </w:t>
      </w:r>
      <w:r w:rsidRPr="00191183">
        <w:rPr>
          <w:rFonts w:cs="Arial" w:hint="cs"/>
          <w:sz w:val="20"/>
          <w:szCs w:val="20"/>
          <w:rtl/>
        </w:rPr>
        <w:t>הדם</w:t>
      </w:r>
      <w:r>
        <w:rPr>
          <w:rFonts w:hint="cs"/>
          <w:sz w:val="20"/>
          <w:szCs w:val="20"/>
          <w:rtl/>
        </w:rPr>
        <w:t xml:space="preserve">", וכ"פ </w:t>
      </w:r>
      <w:r w:rsidRPr="00191183">
        <w:rPr>
          <w:rFonts w:hint="cs"/>
          <w:b/>
          <w:bCs/>
          <w:sz w:val="20"/>
          <w:szCs w:val="20"/>
          <w:rtl/>
        </w:rPr>
        <w:t>המחבר</w:t>
      </w:r>
      <w:r>
        <w:rPr>
          <w:rFonts w:hint="cs"/>
          <w:sz w:val="20"/>
          <w:szCs w:val="20"/>
          <w:rtl/>
        </w:rPr>
        <w:t>.</w:t>
      </w:r>
      <w:r>
        <w:rPr>
          <w:sz w:val="20"/>
          <w:szCs w:val="20"/>
          <w:rtl/>
        </w:rPr>
        <w:br/>
      </w:r>
      <w:r w:rsidRPr="00F705A6">
        <w:rPr>
          <w:rFonts w:hint="cs"/>
          <w:sz w:val="20"/>
          <w:szCs w:val="20"/>
          <w:u w:val="single"/>
          <w:rtl/>
        </w:rPr>
        <w:t>מעטשת</w:t>
      </w:r>
      <w:r>
        <w:rPr>
          <w:rFonts w:hint="cs"/>
          <w:sz w:val="20"/>
          <w:szCs w:val="20"/>
          <w:rtl/>
        </w:rPr>
        <w:t xml:space="preserve"> </w:t>
      </w:r>
      <w:r>
        <w:rPr>
          <w:sz w:val="20"/>
          <w:szCs w:val="20"/>
          <w:rtl/>
        </w:rPr>
        <w:t>–</w:t>
      </w:r>
      <w:r>
        <w:rPr>
          <w:rFonts w:hint="cs"/>
          <w:sz w:val="20"/>
          <w:szCs w:val="20"/>
          <w:rtl/>
        </w:rPr>
        <w:t xml:space="preserve"> דרך מטה, ומהרמב"ם בפיה"מ משמע שהוא דרך מעלה, וכתב </w:t>
      </w:r>
      <w:r w:rsidRPr="00D35344">
        <w:rPr>
          <w:rFonts w:hint="cs"/>
          <w:b/>
          <w:bCs/>
          <w:sz w:val="20"/>
          <w:szCs w:val="20"/>
          <w:rtl/>
        </w:rPr>
        <w:t>הש"ך</w:t>
      </w:r>
      <w:r>
        <w:rPr>
          <w:rFonts w:hint="cs"/>
          <w:sz w:val="20"/>
          <w:szCs w:val="20"/>
          <w:rtl/>
        </w:rPr>
        <w:t xml:space="preserve"> שלדינא שני הפירושים אמת.</w:t>
      </w:r>
      <w:r>
        <w:rPr>
          <w:sz w:val="20"/>
          <w:szCs w:val="20"/>
          <w:rtl/>
        </w:rPr>
        <w:br/>
      </w:r>
      <w:r w:rsidRPr="00F705A6">
        <w:rPr>
          <w:rFonts w:hint="cs"/>
          <w:sz w:val="20"/>
          <w:szCs w:val="20"/>
          <w:u w:val="single"/>
          <w:rtl/>
        </w:rPr>
        <w:t>שופעת</w:t>
      </w:r>
      <w:r>
        <w:rPr>
          <w:rFonts w:hint="cs"/>
          <w:sz w:val="20"/>
          <w:szCs w:val="20"/>
          <w:rtl/>
        </w:rPr>
        <w:t xml:space="preserve"> </w:t>
      </w:r>
      <w:r>
        <w:rPr>
          <w:sz w:val="20"/>
          <w:szCs w:val="20"/>
          <w:rtl/>
        </w:rPr>
        <w:t>–</w:t>
      </w:r>
      <w:r>
        <w:rPr>
          <w:rFonts w:hint="cs"/>
          <w:sz w:val="20"/>
          <w:szCs w:val="20"/>
          <w:rtl/>
        </w:rPr>
        <w:t xml:space="preserve"> רגילה לראות תחילה דם טהור ואחריו דם טמא.</w:t>
      </w:r>
      <w:r>
        <w:rPr>
          <w:rStyle w:val="a5"/>
          <w:sz w:val="20"/>
          <w:szCs w:val="20"/>
          <w:rtl/>
        </w:rPr>
        <w:footnoteReference w:id="219"/>
      </w:r>
    </w:p>
    <w:p w:rsidR="00620060" w:rsidRDefault="00620060" w:rsidP="00620060">
      <w:pPr>
        <w:rPr>
          <w:sz w:val="20"/>
          <w:szCs w:val="20"/>
          <w:rtl/>
        </w:rPr>
      </w:pPr>
      <w:r>
        <w:rPr>
          <w:rFonts w:hint="cs"/>
          <w:b/>
          <w:bCs/>
          <w:sz w:val="20"/>
          <w:szCs w:val="20"/>
          <w:rtl/>
        </w:rPr>
        <w:t>האם הווסת נקבע דווקא בג' ראיות?</w:t>
      </w:r>
      <w:r>
        <w:rPr>
          <w:sz w:val="20"/>
          <w:szCs w:val="20"/>
          <w:rtl/>
        </w:rPr>
        <w:br/>
      </w:r>
      <w:r w:rsidRPr="002422DC">
        <w:rPr>
          <w:rFonts w:hint="cs"/>
          <w:sz w:val="20"/>
          <w:szCs w:val="20"/>
          <w:rtl/>
        </w:rPr>
        <w:t>אע"פ שבמשנה נאמר שווסת הגוף נקבע בשלוש פעמים, בגמרא מובאת דעה נוספת בדין זה: "</w:t>
      </w:r>
      <w:r w:rsidRPr="002422DC">
        <w:rPr>
          <w:rFonts w:cs="Arial" w:hint="cs"/>
          <w:sz w:val="20"/>
          <w:szCs w:val="20"/>
          <w:rtl/>
        </w:rPr>
        <w:t>אמר</w:t>
      </w:r>
      <w:r w:rsidRPr="002422DC">
        <w:rPr>
          <w:rFonts w:cs="Arial"/>
          <w:sz w:val="20"/>
          <w:szCs w:val="20"/>
          <w:rtl/>
        </w:rPr>
        <w:t xml:space="preserve"> </w:t>
      </w:r>
      <w:r w:rsidRPr="002422DC">
        <w:rPr>
          <w:rFonts w:cs="Arial" w:hint="cs"/>
          <w:sz w:val="20"/>
          <w:szCs w:val="20"/>
          <w:rtl/>
        </w:rPr>
        <w:t>רב</w:t>
      </w:r>
      <w:r w:rsidRPr="002422DC">
        <w:rPr>
          <w:rFonts w:cs="Arial"/>
          <w:sz w:val="20"/>
          <w:szCs w:val="20"/>
          <w:rtl/>
        </w:rPr>
        <w:t xml:space="preserve"> </w:t>
      </w:r>
      <w:r w:rsidRPr="002422DC">
        <w:rPr>
          <w:rFonts w:cs="Arial" w:hint="cs"/>
          <w:sz w:val="20"/>
          <w:szCs w:val="20"/>
          <w:rtl/>
        </w:rPr>
        <w:t>הונא</w:t>
      </w:r>
      <w:r w:rsidRPr="002422DC">
        <w:rPr>
          <w:rFonts w:cs="Arial"/>
          <w:sz w:val="20"/>
          <w:szCs w:val="20"/>
          <w:rtl/>
        </w:rPr>
        <w:t xml:space="preserve"> </w:t>
      </w:r>
      <w:r w:rsidRPr="002422DC">
        <w:rPr>
          <w:rFonts w:cs="Arial" w:hint="cs"/>
          <w:sz w:val="20"/>
          <w:szCs w:val="20"/>
          <w:rtl/>
        </w:rPr>
        <w:t>בר</w:t>
      </w:r>
      <w:r w:rsidRPr="002422DC">
        <w:rPr>
          <w:rFonts w:cs="Arial"/>
          <w:sz w:val="20"/>
          <w:szCs w:val="20"/>
          <w:rtl/>
        </w:rPr>
        <w:t xml:space="preserve"> </w:t>
      </w:r>
      <w:r w:rsidRPr="002422DC">
        <w:rPr>
          <w:rFonts w:cs="Arial" w:hint="cs"/>
          <w:sz w:val="20"/>
          <w:szCs w:val="20"/>
          <w:rtl/>
        </w:rPr>
        <w:t>חייא</w:t>
      </w:r>
      <w:r w:rsidRPr="002422DC">
        <w:rPr>
          <w:rFonts w:cs="Arial"/>
          <w:sz w:val="20"/>
          <w:szCs w:val="20"/>
          <w:rtl/>
        </w:rPr>
        <w:t xml:space="preserve"> </w:t>
      </w:r>
      <w:r w:rsidRPr="002422DC">
        <w:rPr>
          <w:rFonts w:cs="Arial" w:hint="cs"/>
          <w:sz w:val="20"/>
          <w:szCs w:val="20"/>
          <w:rtl/>
        </w:rPr>
        <w:t>אמר</w:t>
      </w:r>
      <w:r w:rsidRPr="002422DC">
        <w:rPr>
          <w:rFonts w:cs="Arial"/>
          <w:sz w:val="20"/>
          <w:szCs w:val="20"/>
          <w:rtl/>
        </w:rPr>
        <w:t xml:space="preserve"> </w:t>
      </w:r>
      <w:r w:rsidRPr="002422DC">
        <w:rPr>
          <w:rFonts w:cs="Arial" w:hint="cs"/>
          <w:sz w:val="20"/>
          <w:szCs w:val="20"/>
          <w:rtl/>
        </w:rPr>
        <w:t>שמואל</w:t>
      </w:r>
      <w:r w:rsidRPr="002422DC">
        <w:rPr>
          <w:rFonts w:cs="Arial"/>
          <w:sz w:val="20"/>
          <w:szCs w:val="20"/>
          <w:rtl/>
        </w:rPr>
        <w:t xml:space="preserve">: </w:t>
      </w:r>
      <w:r w:rsidRPr="002422DC">
        <w:rPr>
          <w:rFonts w:cs="Arial" w:hint="cs"/>
          <w:sz w:val="20"/>
          <w:szCs w:val="20"/>
          <w:rtl/>
        </w:rPr>
        <w:t>הרי</w:t>
      </w:r>
      <w:r w:rsidRPr="002422DC">
        <w:rPr>
          <w:rFonts w:cs="Arial"/>
          <w:sz w:val="20"/>
          <w:szCs w:val="20"/>
          <w:rtl/>
        </w:rPr>
        <w:t xml:space="preserve"> </w:t>
      </w:r>
      <w:r w:rsidRPr="002422DC">
        <w:rPr>
          <w:rFonts w:cs="Arial" w:hint="cs"/>
          <w:sz w:val="20"/>
          <w:szCs w:val="20"/>
          <w:rtl/>
        </w:rPr>
        <w:t>אמרו</w:t>
      </w:r>
      <w:r w:rsidRPr="002422DC">
        <w:rPr>
          <w:rFonts w:cs="Arial"/>
          <w:sz w:val="20"/>
          <w:szCs w:val="20"/>
          <w:rtl/>
        </w:rPr>
        <w:t xml:space="preserve"> </w:t>
      </w:r>
      <w:r w:rsidRPr="002422DC">
        <w:rPr>
          <w:rFonts w:cs="Arial" w:hint="cs"/>
          <w:sz w:val="20"/>
          <w:szCs w:val="20"/>
          <w:rtl/>
        </w:rPr>
        <w:t>לימים</w:t>
      </w:r>
      <w:r w:rsidRPr="002422DC">
        <w:rPr>
          <w:rFonts w:cs="Arial"/>
          <w:sz w:val="20"/>
          <w:szCs w:val="20"/>
          <w:rtl/>
        </w:rPr>
        <w:t xml:space="preserve"> - </w:t>
      </w:r>
      <w:r w:rsidRPr="002422DC">
        <w:rPr>
          <w:rFonts w:cs="Arial" w:hint="cs"/>
          <w:sz w:val="20"/>
          <w:szCs w:val="20"/>
          <w:rtl/>
        </w:rPr>
        <w:t>שנ</w:t>
      </w:r>
      <w:r>
        <w:rPr>
          <w:rFonts w:cs="Arial" w:hint="cs"/>
          <w:sz w:val="20"/>
          <w:szCs w:val="20"/>
          <w:rtl/>
        </w:rPr>
        <w:t>י</w:t>
      </w:r>
      <w:r w:rsidRPr="002422DC">
        <w:rPr>
          <w:rFonts w:cs="Arial" w:hint="cs"/>
          <w:sz w:val="20"/>
          <w:szCs w:val="20"/>
          <w:rtl/>
        </w:rPr>
        <w:t>ים</w:t>
      </w:r>
      <w:r w:rsidRPr="002422DC">
        <w:rPr>
          <w:rFonts w:cs="Arial"/>
          <w:sz w:val="20"/>
          <w:szCs w:val="20"/>
          <w:rtl/>
        </w:rPr>
        <w:t xml:space="preserve">, </w:t>
      </w:r>
      <w:r w:rsidRPr="002422DC">
        <w:rPr>
          <w:rFonts w:cs="Arial" w:hint="cs"/>
          <w:sz w:val="20"/>
          <w:szCs w:val="20"/>
          <w:rtl/>
        </w:rPr>
        <w:t>לווסתות</w:t>
      </w:r>
      <w:r w:rsidRPr="002422DC">
        <w:rPr>
          <w:rFonts w:cs="Arial"/>
          <w:sz w:val="20"/>
          <w:szCs w:val="20"/>
          <w:rtl/>
        </w:rPr>
        <w:t xml:space="preserve"> </w:t>
      </w:r>
      <w:r w:rsidRPr="002422DC">
        <w:rPr>
          <w:rFonts w:cs="Arial" w:hint="cs"/>
          <w:sz w:val="16"/>
          <w:szCs w:val="16"/>
          <w:rtl/>
        </w:rPr>
        <w:t xml:space="preserve">(ווסת הגוף שבמשנתנו) </w:t>
      </w:r>
      <w:r w:rsidRPr="002422DC">
        <w:rPr>
          <w:rFonts w:cs="Arial"/>
          <w:sz w:val="20"/>
          <w:szCs w:val="20"/>
          <w:rtl/>
        </w:rPr>
        <w:t xml:space="preserve">– </w:t>
      </w:r>
      <w:r w:rsidRPr="002422DC">
        <w:rPr>
          <w:rFonts w:cs="Arial" w:hint="cs"/>
          <w:sz w:val="20"/>
          <w:szCs w:val="20"/>
          <w:rtl/>
        </w:rPr>
        <w:t>אחת</w:t>
      </w:r>
      <w:r w:rsidRPr="002422DC">
        <w:rPr>
          <w:rFonts w:hint="cs"/>
          <w:sz w:val="20"/>
          <w:szCs w:val="20"/>
          <w:rtl/>
        </w:rPr>
        <w:t xml:space="preserve">". </w:t>
      </w:r>
      <w:r>
        <w:rPr>
          <w:sz w:val="20"/>
          <w:szCs w:val="20"/>
          <w:rtl/>
        </w:rPr>
        <w:br/>
      </w:r>
      <w:r w:rsidRPr="002422DC">
        <w:rPr>
          <w:rFonts w:hint="cs"/>
          <w:sz w:val="20"/>
          <w:szCs w:val="20"/>
          <w:rtl/>
        </w:rPr>
        <w:t>אמנם, מסקנת הגמרא היא שדברי שמואל אינם להלכה: "</w:t>
      </w:r>
      <w:r w:rsidRPr="002422DC">
        <w:rPr>
          <w:rFonts w:cs="Arial" w:hint="cs"/>
          <w:sz w:val="20"/>
          <w:szCs w:val="20"/>
          <w:rtl/>
        </w:rPr>
        <w:t>אמר</w:t>
      </w:r>
      <w:r w:rsidRPr="002422DC">
        <w:rPr>
          <w:rFonts w:cs="Arial"/>
          <w:sz w:val="20"/>
          <w:szCs w:val="20"/>
          <w:rtl/>
        </w:rPr>
        <w:t xml:space="preserve"> </w:t>
      </w:r>
      <w:r w:rsidRPr="002422DC">
        <w:rPr>
          <w:rFonts w:cs="Arial" w:hint="cs"/>
          <w:sz w:val="20"/>
          <w:szCs w:val="20"/>
          <w:rtl/>
        </w:rPr>
        <w:t>רב</w:t>
      </w:r>
      <w:r w:rsidRPr="002422DC">
        <w:rPr>
          <w:rFonts w:cs="Arial"/>
          <w:sz w:val="20"/>
          <w:szCs w:val="20"/>
          <w:rtl/>
        </w:rPr>
        <w:t xml:space="preserve"> </w:t>
      </w:r>
      <w:r w:rsidRPr="002422DC">
        <w:rPr>
          <w:rFonts w:cs="Arial" w:hint="cs"/>
          <w:sz w:val="20"/>
          <w:szCs w:val="20"/>
          <w:rtl/>
        </w:rPr>
        <w:t>יהודה</w:t>
      </w:r>
      <w:r w:rsidRPr="002422DC">
        <w:rPr>
          <w:rFonts w:cs="Arial"/>
          <w:sz w:val="20"/>
          <w:szCs w:val="20"/>
          <w:rtl/>
        </w:rPr>
        <w:t xml:space="preserve"> </w:t>
      </w:r>
      <w:r w:rsidRPr="002422DC">
        <w:rPr>
          <w:rFonts w:cs="Arial" w:hint="cs"/>
          <w:sz w:val="20"/>
          <w:szCs w:val="20"/>
          <w:rtl/>
        </w:rPr>
        <w:t>אמר</w:t>
      </w:r>
      <w:r w:rsidRPr="002422DC">
        <w:rPr>
          <w:rFonts w:cs="Arial"/>
          <w:sz w:val="20"/>
          <w:szCs w:val="20"/>
          <w:rtl/>
        </w:rPr>
        <w:t xml:space="preserve"> </w:t>
      </w:r>
      <w:r w:rsidRPr="002422DC">
        <w:rPr>
          <w:rFonts w:cs="Arial" w:hint="cs"/>
          <w:sz w:val="20"/>
          <w:szCs w:val="20"/>
          <w:rtl/>
        </w:rPr>
        <w:t>שמואל</w:t>
      </w:r>
      <w:r w:rsidRPr="002422DC">
        <w:rPr>
          <w:rFonts w:cs="Arial"/>
          <w:sz w:val="20"/>
          <w:szCs w:val="20"/>
          <w:rtl/>
        </w:rPr>
        <w:t xml:space="preserve">: </w:t>
      </w:r>
      <w:r w:rsidRPr="002422DC">
        <w:rPr>
          <w:rFonts w:cs="Arial" w:hint="cs"/>
          <w:sz w:val="20"/>
          <w:szCs w:val="20"/>
          <w:rtl/>
        </w:rPr>
        <w:t>זו</w:t>
      </w:r>
      <w:r w:rsidRPr="002422DC">
        <w:rPr>
          <w:rFonts w:cs="Arial"/>
          <w:sz w:val="20"/>
          <w:szCs w:val="20"/>
          <w:rtl/>
        </w:rPr>
        <w:t xml:space="preserve"> </w:t>
      </w:r>
      <w:r w:rsidRPr="007255D1">
        <w:rPr>
          <w:rFonts w:cs="Arial" w:hint="cs"/>
          <w:sz w:val="18"/>
          <w:szCs w:val="18"/>
          <w:rtl/>
        </w:rPr>
        <w:t>(שצריכה לראות ג' פעמים)</w:t>
      </w:r>
      <w:r>
        <w:rPr>
          <w:rFonts w:cs="Arial" w:hint="cs"/>
          <w:sz w:val="20"/>
          <w:szCs w:val="20"/>
          <w:rtl/>
        </w:rPr>
        <w:t xml:space="preserve"> </w:t>
      </w:r>
      <w:r w:rsidRPr="002422DC">
        <w:rPr>
          <w:rFonts w:cs="Arial" w:hint="cs"/>
          <w:sz w:val="20"/>
          <w:szCs w:val="20"/>
          <w:rtl/>
        </w:rPr>
        <w:t>דברי</w:t>
      </w:r>
      <w:r w:rsidRPr="002422DC">
        <w:rPr>
          <w:rFonts w:cs="Arial"/>
          <w:sz w:val="20"/>
          <w:szCs w:val="20"/>
          <w:rtl/>
        </w:rPr>
        <w:t xml:space="preserve"> </w:t>
      </w:r>
      <w:r w:rsidRPr="002422DC">
        <w:rPr>
          <w:rFonts w:cs="Arial" w:hint="cs"/>
          <w:sz w:val="20"/>
          <w:szCs w:val="20"/>
          <w:rtl/>
        </w:rPr>
        <w:t>ר</w:t>
      </w:r>
      <w:r>
        <w:rPr>
          <w:rFonts w:cs="Arial" w:hint="cs"/>
          <w:sz w:val="20"/>
          <w:szCs w:val="20"/>
          <w:rtl/>
        </w:rPr>
        <w:t xml:space="preserve">בן </w:t>
      </w:r>
      <w:r w:rsidRPr="002422DC">
        <w:rPr>
          <w:rFonts w:cs="Arial" w:hint="cs"/>
          <w:sz w:val="20"/>
          <w:szCs w:val="20"/>
          <w:rtl/>
        </w:rPr>
        <w:t>ג</w:t>
      </w:r>
      <w:r>
        <w:rPr>
          <w:rFonts w:cs="Arial" w:hint="cs"/>
          <w:sz w:val="20"/>
          <w:szCs w:val="20"/>
          <w:rtl/>
        </w:rPr>
        <w:t>מליאל</w:t>
      </w:r>
      <w:r w:rsidRPr="002422DC">
        <w:rPr>
          <w:rFonts w:cs="Arial"/>
          <w:sz w:val="20"/>
          <w:szCs w:val="20"/>
          <w:rtl/>
        </w:rPr>
        <w:t xml:space="preserve"> </w:t>
      </w:r>
      <w:r w:rsidRPr="002422DC">
        <w:rPr>
          <w:rFonts w:cs="Arial" w:hint="cs"/>
          <w:sz w:val="20"/>
          <w:szCs w:val="20"/>
          <w:rtl/>
        </w:rPr>
        <w:t>בר</w:t>
      </w:r>
      <w:r w:rsidRPr="002422DC">
        <w:rPr>
          <w:rFonts w:cs="Arial"/>
          <w:sz w:val="20"/>
          <w:szCs w:val="20"/>
          <w:rtl/>
        </w:rPr>
        <w:t xml:space="preserve"> </w:t>
      </w:r>
      <w:r w:rsidRPr="002422DC">
        <w:rPr>
          <w:rFonts w:cs="Arial" w:hint="cs"/>
          <w:sz w:val="20"/>
          <w:szCs w:val="20"/>
          <w:rtl/>
        </w:rPr>
        <w:t>רבי</w:t>
      </w:r>
      <w:r w:rsidRPr="002422DC">
        <w:rPr>
          <w:rFonts w:cs="Arial"/>
          <w:sz w:val="20"/>
          <w:szCs w:val="20"/>
          <w:rtl/>
        </w:rPr>
        <w:t xml:space="preserve"> </w:t>
      </w:r>
      <w:r w:rsidRPr="002422DC">
        <w:rPr>
          <w:rFonts w:cs="Arial" w:hint="cs"/>
          <w:sz w:val="20"/>
          <w:szCs w:val="20"/>
          <w:rtl/>
        </w:rPr>
        <w:t>שאמר</w:t>
      </w:r>
      <w:r w:rsidRPr="002422DC">
        <w:rPr>
          <w:rFonts w:cs="Arial"/>
          <w:sz w:val="20"/>
          <w:szCs w:val="20"/>
          <w:rtl/>
        </w:rPr>
        <w:t xml:space="preserve"> </w:t>
      </w:r>
      <w:r w:rsidRPr="002422DC">
        <w:rPr>
          <w:rFonts w:cs="Arial" w:hint="cs"/>
          <w:sz w:val="20"/>
          <w:szCs w:val="20"/>
          <w:rtl/>
        </w:rPr>
        <w:t>משום</w:t>
      </w:r>
      <w:r w:rsidRPr="002422DC">
        <w:rPr>
          <w:rFonts w:cs="Arial"/>
          <w:sz w:val="20"/>
          <w:szCs w:val="20"/>
          <w:rtl/>
        </w:rPr>
        <w:t xml:space="preserve"> </w:t>
      </w:r>
      <w:r w:rsidRPr="002422DC">
        <w:rPr>
          <w:rFonts w:cs="Arial" w:hint="cs"/>
          <w:sz w:val="20"/>
          <w:szCs w:val="20"/>
          <w:rtl/>
        </w:rPr>
        <w:t>רשב</w:t>
      </w:r>
      <w:r w:rsidRPr="002422DC">
        <w:rPr>
          <w:rFonts w:cs="Arial"/>
          <w:sz w:val="20"/>
          <w:szCs w:val="20"/>
          <w:rtl/>
        </w:rPr>
        <w:t>"</w:t>
      </w:r>
      <w:r w:rsidRPr="002422DC">
        <w:rPr>
          <w:rFonts w:cs="Arial" w:hint="cs"/>
          <w:sz w:val="20"/>
          <w:szCs w:val="20"/>
          <w:rtl/>
        </w:rPr>
        <w:t>ג</w:t>
      </w:r>
      <w:r w:rsidRPr="002422DC">
        <w:rPr>
          <w:rFonts w:cs="Arial"/>
          <w:sz w:val="20"/>
          <w:szCs w:val="20"/>
          <w:rtl/>
        </w:rPr>
        <w:t xml:space="preserve">, </w:t>
      </w:r>
      <w:r w:rsidRPr="002422DC">
        <w:rPr>
          <w:rFonts w:cs="Arial" w:hint="cs"/>
          <w:sz w:val="20"/>
          <w:szCs w:val="20"/>
          <w:rtl/>
        </w:rPr>
        <w:t>אבל</w:t>
      </w:r>
      <w:r w:rsidRPr="002422DC">
        <w:rPr>
          <w:rFonts w:cs="Arial"/>
          <w:sz w:val="20"/>
          <w:szCs w:val="20"/>
          <w:rtl/>
        </w:rPr>
        <w:t xml:space="preserve"> </w:t>
      </w:r>
      <w:r w:rsidRPr="002422DC">
        <w:rPr>
          <w:rFonts w:cs="Arial" w:hint="cs"/>
          <w:sz w:val="20"/>
          <w:szCs w:val="20"/>
          <w:rtl/>
        </w:rPr>
        <w:t>חכמים</w:t>
      </w:r>
      <w:r w:rsidRPr="002422DC">
        <w:rPr>
          <w:rFonts w:cs="Arial"/>
          <w:sz w:val="20"/>
          <w:szCs w:val="20"/>
          <w:rtl/>
        </w:rPr>
        <w:t xml:space="preserve"> </w:t>
      </w:r>
      <w:r w:rsidRPr="002422DC">
        <w:rPr>
          <w:rFonts w:cs="Arial" w:hint="cs"/>
          <w:sz w:val="20"/>
          <w:szCs w:val="20"/>
          <w:rtl/>
        </w:rPr>
        <w:t>אומרים</w:t>
      </w:r>
      <w:r w:rsidRPr="002422DC">
        <w:rPr>
          <w:rFonts w:cs="Arial"/>
          <w:sz w:val="20"/>
          <w:szCs w:val="20"/>
          <w:rtl/>
        </w:rPr>
        <w:t xml:space="preserve">: </w:t>
      </w:r>
      <w:r w:rsidRPr="002422DC">
        <w:rPr>
          <w:rFonts w:cs="Arial" w:hint="cs"/>
          <w:sz w:val="20"/>
          <w:szCs w:val="20"/>
          <w:rtl/>
        </w:rPr>
        <w:t>ראתה</w:t>
      </w:r>
      <w:r w:rsidRPr="002422DC">
        <w:rPr>
          <w:rFonts w:cs="Arial"/>
          <w:sz w:val="20"/>
          <w:szCs w:val="20"/>
          <w:rtl/>
        </w:rPr>
        <w:t xml:space="preserve"> - </w:t>
      </w:r>
      <w:r w:rsidRPr="002422DC">
        <w:rPr>
          <w:rFonts w:cs="Arial" w:hint="cs"/>
          <w:sz w:val="20"/>
          <w:szCs w:val="20"/>
          <w:rtl/>
        </w:rPr>
        <w:t>אינה</w:t>
      </w:r>
      <w:r w:rsidRPr="002422DC">
        <w:rPr>
          <w:rFonts w:cs="Arial"/>
          <w:sz w:val="20"/>
          <w:szCs w:val="20"/>
          <w:rtl/>
        </w:rPr>
        <w:t xml:space="preserve"> </w:t>
      </w:r>
      <w:r w:rsidRPr="002422DC">
        <w:rPr>
          <w:rFonts w:cs="Arial" w:hint="cs"/>
          <w:sz w:val="20"/>
          <w:szCs w:val="20"/>
          <w:rtl/>
        </w:rPr>
        <w:t>צריכה</w:t>
      </w:r>
      <w:r w:rsidRPr="002422DC">
        <w:rPr>
          <w:rFonts w:cs="Arial"/>
          <w:sz w:val="20"/>
          <w:szCs w:val="20"/>
          <w:rtl/>
        </w:rPr>
        <w:t xml:space="preserve"> </w:t>
      </w:r>
      <w:r w:rsidRPr="002422DC">
        <w:rPr>
          <w:rFonts w:cs="Arial" w:hint="cs"/>
          <w:sz w:val="20"/>
          <w:szCs w:val="20"/>
          <w:rtl/>
        </w:rPr>
        <w:t>לא</w:t>
      </w:r>
      <w:r w:rsidRPr="002422DC">
        <w:rPr>
          <w:rFonts w:cs="Arial"/>
          <w:sz w:val="20"/>
          <w:szCs w:val="20"/>
          <w:rtl/>
        </w:rPr>
        <w:t xml:space="preserve"> </w:t>
      </w:r>
      <w:r w:rsidRPr="002422DC">
        <w:rPr>
          <w:rFonts w:cs="Arial" w:hint="cs"/>
          <w:sz w:val="20"/>
          <w:szCs w:val="20"/>
          <w:rtl/>
        </w:rPr>
        <w:t>לשנות</w:t>
      </w:r>
      <w:r w:rsidRPr="002422DC">
        <w:rPr>
          <w:rFonts w:cs="Arial"/>
          <w:sz w:val="20"/>
          <w:szCs w:val="20"/>
          <w:rtl/>
        </w:rPr>
        <w:t xml:space="preserve"> </w:t>
      </w:r>
      <w:r w:rsidRPr="002422DC">
        <w:rPr>
          <w:rFonts w:cs="Arial" w:hint="cs"/>
          <w:sz w:val="20"/>
          <w:szCs w:val="20"/>
          <w:rtl/>
        </w:rPr>
        <w:t>ולא</w:t>
      </w:r>
      <w:r w:rsidRPr="002422DC">
        <w:rPr>
          <w:rFonts w:cs="Arial"/>
          <w:sz w:val="20"/>
          <w:szCs w:val="20"/>
          <w:rtl/>
        </w:rPr>
        <w:t xml:space="preserve"> </w:t>
      </w:r>
      <w:r w:rsidRPr="002422DC">
        <w:rPr>
          <w:rFonts w:cs="Arial" w:hint="cs"/>
          <w:sz w:val="20"/>
          <w:szCs w:val="20"/>
          <w:rtl/>
        </w:rPr>
        <w:t>לשלש</w:t>
      </w:r>
      <w:r w:rsidRPr="002422DC">
        <w:rPr>
          <w:rFonts w:cs="Arial"/>
          <w:sz w:val="20"/>
          <w:szCs w:val="20"/>
          <w:rtl/>
        </w:rPr>
        <w:t xml:space="preserve">. </w:t>
      </w:r>
      <w:r w:rsidRPr="002422DC">
        <w:rPr>
          <w:rFonts w:cs="Arial" w:hint="cs"/>
          <w:sz w:val="20"/>
          <w:szCs w:val="20"/>
          <w:rtl/>
        </w:rPr>
        <w:t>ואמרינן</w:t>
      </w:r>
      <w:r w:rsidRPr="002422DC">
        <w:rPr>
          <w:rFonts w:cs="Arial"/>
          <w:sz w:val="20"/>
          <w:szCs w:val="20"/>
          <w:rtl/>
        </w:rPr>
        <w:t xml:space="preserve"> </w:t>
      </w:r>
      <w:r w:rsidRPr="002422DC">
        <w:rPr>
          <w:rFonts w:cs="Arial" w:hint="cs"/>
          <w:sz w:val="20"/>
          <w:szCs w:val="20"/>
          <w:rtl/>
        </w:rPr>
        <w:t>לך</w:t>
      </w:r>
      <w:r w:rsidRPr="002422DC">
        <w:rPr>
          <w:rFonts w:cs="Arial"/>
          <w:sz w:val="20"/>
          <w:szCs w:val="20"/>
          <w:rtl/>
        </w:rPr>
        <w:t xml:space="preserve">: </w:t>
      </w:r>
      <w:r w:rsidRPr="002422DC">
        <w:rPr>
          <w:rFonts w:cs="Arial" w:hint="cs"/>
          <w:sz w:val="20"/>
          <w:szCs w:val="20"/>
          <w:rtl/>
        </w:rPr>
        <w:t>לשנות</w:t>
      </w:r>
      <w:r w:rsidRPr="002422DC">
        <w:rPr>
          <w:rFonts w:cs="Arial"/>
          <w:sz w:val="20"/>
          <w:szCs w:val="20"/>
          <w:rtl/>
        </w:rPr>
        <w:t xml:space="preserve"> </w:t>
      </w:r>
      <w:r w:rsidRPr="002422DC">
        <w:rPr>
          <w:rFonts w:cs="Arial" w:hint="cs"/>
          <w:sz w:val="20"/>
          <w:szCs w:val="20"/>
          <w:rtl/>
        </w:rPr>
        <w:t>אמרת</w:t>
      </w:r>
      <w:r w:rsidRPr="002422DC">
        <w:rPr>
          <w:rFonts w:cs="Arial"/>
          <w:sz w:val="20"/>
          <w:szCs w:val="20"/>
          <w:rtl/>
        </w:rPr>
        <w:t xml:space="preserve"> </w:t>
      </w:r>
      <w:r w:rsidRPr="002422DC">
        <w:rPr>
          <w:rFonts w:cs="Arial" w:hint="cs"/>
          <w:sz w:val="20"/>
          <w:szCs w:val="20"/>
          <w:rtl/>
        </w:rPr>
        <w:t>לן</w:t>
      </w:r>
      <w:r w:rsidRPr="002422DC">
        <w:rPr>
          <w:rFonts w:cs="Arial"/>
          <w:sz w:val="20"/>
          <w:szCs w:val="20"/>
          <w:rtl/>
        </w:rPr>
        <w:t xml:space="preserve">, </w:t>
      </w:r>
      <w:r w:rsidRPr="002422DC">
        <w:rPr>
          <w:rFonts w:cs="Arial" w:hint="cs"/>
          <w:sz w:val="20"/>
          <w:szCs w:val="20"/>
          <w:rtl/>
        </w:rPr>
        <w:t>לשלש</w:t>
      </w:r>
      <w:r w:rsidRPr="002422DC">
        <w:rPr>
          <w:rFonts w:cs="Arial"/>
          <w:sz w:val="20"/>
          <w:szCs w:val="20"/>
          <w:rtl/>
        </w:rPr>
        <w:t xml:space="preserve"> </w:t>
      </w:r>
      <w:r w:rsidRPr="002422DC">
        <w:rPr>
          <w:rFonts w:cs="Arial" w:hint="cs"/>
          <w:sz w:val="20"/>
          <w:szCs w:val="20"/>
          <w:rtl/>
        </w:rPr>
        <w:t>מיבעיא</w:t>
      </w:r>
      <w:r w:rsidRPr="002422DC">
        <w:rPr>
          <w:rFonts w:cs="Arial"/>
          <w:sz w:val="20"/>
          <w:szCs w:val="20"/>
          <w:rtl/>
        </w:rPr>
        <w:t xml:space="preserve">? </w:t>
      </w:r>
      <w:r w:rsidRPr="002422DC">
        <w:rPr>
          <w:rFonts w:cs="Arial" w:hint="cs"/>
          <w:sz w:val="20"/>
          <w:szCs w:val="20"/>
          <w:rtl/>
        </w:rPr>
        <w:t>ואמרת</w:t>
      </w:r>
      <w:r w:rsidRPr="002422DC">
        <w:rPr>
          <w:rFonts w:cs="Arial"/>
          <w:sz w:val="20"/>
          <w:szCs w:val="20"/>
          <w:rtl/>
        </w:rPr>
        <w:t xml:space="preserve"> </w:t>
      </w:r>
      <w:r w:rsidRPr="002422DC">
        <w:rPr>
          <w:rFonts w:cs="Arial" w:hint="cs"/>
          <w:sz w:val="20"/>
          <w:szCs w:val="20"/>
          <w:rtl/>
        </w:rPr>
        <w:t>לן</w:t>
      </w:r>
      <w:r w:rsidRPr="002422DC">
        <w:rPr>
          <w:rFonts w:cs="Arial"/>
          <w:sz w:val="20"/>
          <w:szCs w:val="20"/>
          <w:rtl/>
        </w:rPr>
        <w:t xml:space="preserve">: </w:t>
      </w:r>
      <w:r w:rsidRPr="002422DC">
        <w:rPr>
          <w:rFonts w:cs="Arial" w:hint="cs"/>
          <w:sz w:val="20"/>
          <w:szCs w:val="20"/>
          <w:rtl/>
        </w:rPr>
        <w:t>לשנות</w:t>
      </w:r>
      <w:r w:rsidRPr="002422DC">
        <w:rPr>
          <w:rFonts w:cs="Arial"/>
          <w:sz w:val="20"/>
          <w:szCs w:val="20"/>
          <w:rtl/>
        </w:rPr>
        <w:t xml:space="preserve"> - </w:t>
      </w:r>
      <w:r w:rsidRPr="002422DC">
        <w:rPr>
          <w:rFonts w:cs="Arial" w:hint="cs"/>
          <w:sz w:val="20"/>
          <w:szCs w:val="20"/>
          <w:rtl/>
        </w:rPr>
        <w:t>בו</w:t>
      </w:r>
      <w:r>
        <w:rPr>
          <w:rFonts w:cs="Arial" w:hint="cs"/>
          <w:sz w:val="20"/>
          <w:szCs w:val="20"/>
          <w:rtl/>
        </w:rPr>
        <w:t>ו</w:t>
      </w:r>
      <w:r w:rsidRPr="002422DC">
        <w:rPr>
          <w:rFonts w:cs="Arial" w:hint="cs"/>
          <w:sz w:val="20"/>
          <w:szCs w:val="20"/>
          <w:rtl/>
        </w:rPr>
        <w:t>סתות</w:t>
      </w:r>
      <w:r w:rsidRPr="002422DC">
        <w:rPr>
          <w:rFonts w:cs="Arial"/>
          <w:sz w:val="20"/>
          <w:szCs w:val="20"/>
          <w:rtl/>
        </w:rPr>
        <w:t xml:space="preserve">, </w:t>
      </w:r>
      <w:r w:rsidRPr="002422DC">
        <w:rPr>
          <w:rFonts w:cs="Arial" w:hint="cs"/>
          <w:sz w:val="20"/>
          <w:szCs w:val="20"/>
          <w:rtl/>
        </w:rPr>
        <w:t>לשלש</w:t>
      </w:r>
      <w:r w:rsidRPr="002422DC">
        <w:rPr>
          <w:rFonts w:cs="Arial"/>
          <w:sz w:val="20"/>
          <w:szCs w:val="20"/>
          <w:rtl/>
        </w:rPr>
        <w:t xml:space="preserve"> – </w:t>
      </w:r>
      <w:r w:rsidRPr="002422DC">
        <w:rPr>
          <w:rFonts w:cs="Arial" w:hint="cs"/>
          <w:sz w:val="20"/>
          <w:szCs w:val="20"/>
          <w:rtl/>
        </w:rPr>
        <w:t>בימי</w:t>
      </w:r>
      <w:r w:rsidRPr="002422DC">
        <w:rPr>
          <w:rFonts w:hint="cs"/>
          <w:sz w:val="20"/>
          <w:szCs w:val="20"/>
          <w:rtl/>
        </w:rPr>
        <w:t xml:space="preserve">ם". </w:t>
      </w:r>
      <w:r w:rsidRPr="002422DC">
        <w:rPr>
          <w:sz w:val="20"/>
          <w:szCs w:val="20"/>
          <w:rtl/>
        </w:rPr>
        <w:br/>
      </w:r>
      <w:r w:rsidRPr="002422DC">
        <w:rPr>
          <w:rFonts w:hint="cs"/>
          <w:sz w:val="20"/>
          <w:szCs w:val="20"/>
          <w:rtl/>
        </w:rPr>
        <w:t xml:space="preserve">כלומר </w:t>
      </w:r>
      <w:r w:rsidRPr="002422DC">
        <w:rPr>
          <w:sz w:val="20"/>
          <w:szCs w:val="20"/>
          <w:rtl/>
        </w:rPr>
        <w:t>–</w:t>
      </w:r>
      <w:r w:rsidRPr="002422DC">
        <w:rPr>
          <w:rFonts w:hint="cs"/>
          <w:sz w:val="20"/>
          <w:szCs w:val="20"/>
          <w:rtl/>
        </w:rPr>
        <w:t xml:space="preserve"> משנתינו שנויה כדעת רשב"ג הסובר שווסת נקבע בג' פעמים, ואע"פ שחכמים חולקים, מכל מקום קיי"ל כרשב"ג בווסתות.</w:t>
      </w:r>
      <w:r w:rsidRPr="002422DC">
        <w:rPr>
          <w:sz w:val="20"/>
          <w:szCs w:val="20"/>
          <w:rtl/>
        </w:rPr>
        <w:br/>
      </w:r>
      <w:r w:rsidRPr="002422DC">
        <w:rPr>
          <w:rFonts w:hint="cs"/>
          <w:sz w:val="20"/>
          <w:szCs w:val="20"/>
          <w:rtl/>
        </w:rPr>
        <w:t xml:space="preserve">ועוד </w:t>
      </w:r>
      <w:r w:rsidRPr="002422DC">
        <w:rPr>
          <w:sz w:val="20"/>
          <w:szCs w:val="20"/>
          <w:rtl/>
        </w:rPr>
        <w:t>–</w:t>
      </w:r>
      <w:r w:rsidRPr="002422DC">
        <w:rPr>
          <w:rFonts w:hint="cs"/>
          <w:sz w:val="20"/>
          <w:szCs w:val="20"/>
          <w:rtl/>
        </w:rPr>
        <w:t xml:space="preserve"> גם שמואל עצמו אינו סובר שקובעת בפעם אחת, אלא "אמרו" קאמר אך אינו סובר כן.</w:t>
      </w:r>
    </w:p>
    <w:p w:rsidR="00620060" w:rsidRDefault="00620060" w:rsidP="00620060">
      <w:pPr>
        <w:rPr>
          <w:sz w:val="20"/>
          <w:szCs w:val="20"/>
          <w:rtl/>
        </w:rPr>
      </w:pPr>
      <w:r>
        <w:rPr>
          <w:rFonts w:hint="cs"/>
          <w:b/>
          <w:bCs/>
          <w:sz w:val="20"/>
          <w:szCs w:val="20"/>
          <w:rtl/>
        </w:rPr>
        <w:t>אופן הפיהוק והעיטוש</w:t>
      </w:r>
      <w:r>
        <w:rPr>
          <w:b/>
          <w:bCs/>
          <w:sz w:val="20"/>
          <w:szCs w:val="20"/>
          <w:rtl/>
        </w:rPr>
        <w:br/>
      </w:r>
      <w:r w:rsidRPr="00743C69">
        <w:rPr>
          <w:rFonts w:hint="cs"/>
          <w:b/>
          <w:bCs/>
          <w:sz w:val="20"/>
          <w:szCs w:val="20"/>
          <w:rtl/>
        </w:rPr>
        <w:t>רא"ש</w:t>
      </w:r>
      <w:r>
        <w:rPr>
          <w:rFonts w:hint="cs"/>
          <w:sz w:val="20"/>
          <w:szCs w:val="20"/>
          <w:rtl/>
        </w:rPr>
        <w:t xml:space="preserve"> </w:t>
      </w:r>
      <w:r>
        <w:rPr>
          <w:sz w:val="20"/>
          <w:szCs w:val="20"/>
          <w:rtl/>
        </w:rPr>
        <w:t>–</w:t>
      </w:r>
      <w:r>
        <w:rPr>
          <w:rFonts w:hint="cs"/>
          <w:sz w:val="20"/>
          <w:szCs w:val="20"/>
          <w:rtl/>
        </w:rPr>
        <w:t xml:space="preserve"> פיהוק ועיטוש של הווסת אינם כפיהוק ועיטוש קצרים ומצויים, אלא הכוונה לפיהוק ועיטוש ארוכים.</w:t>
      </w:r>
      <w:r>
        <w:rPr>
          <w:sz w:val="20"/>
          <w:szCs w:val="20"/>
          <w:rtl/>
        </w:rPr>
        <w:br/>
      </w:r>
      <w:r w:rsidRPr="00743C69">
        <w:rPr>
          <w:rFonts w:hint="cs"/>
          <w:b/>
          <w:bCs/>
          <w:sz w:val="20"/>
          <w:szCs w:val="20"/>
          <w:rtl/>
        </w:rPr>
        <w:t>ראיה</w:t>
      </w:r>
      <w:r>
        <w:rPr>
          <w:rFonts w:hint="cs"/>
          <w:sz w:val="20"/>
          <w:szCs w:val="20"/>
          <w:rtl/>
        </w:rPr>
        <w:t xml:space="preserve"> </w:t>
      </w:r>
      <w:r>
        <w:rPr>
          <w:sz w:val="20"/>
          <w:szCs w:val="20"/>
          <w:rtl/>
        </w:rPr>
        <w:t>–</w:t>
      </w:r>
      <w:r>
        <w:rPr>
          <w:rFonts w:hint="cs"/>
          <w:sz w:val="20"/>
          <w:szCs w:val="20"/>
          <w:rtl/>
        </w:rPr>
        <w:t xml:space="preserve"> נאמר במשנה הסמוכה (סג:) "</w:t>
      </w:r>
      <w:r w:rsidRPr="00743C69">
        <w:rPr>
          <w:rFonts w:cs="Arial" w:hint="cs"/>
          <w:sz w:val="20"/>
          <w:szCs w:val="20"/>
          <w:rtl/>
        </w:rPr>
        <w:t>היתה</w:t>
      </w:r>
      <w:r w:rsidRPr="00743C69">
        <w:rPr>
          <w:rFonts w:cs="Arial"/>
          <w:sz w:val="20"/>
          <w:szCs w:val="20"/>
          <w:rtl/>
        </w:rPr>
        <w:t xml:space="preserve"> </w:t>
      </w:r>
      <w:r w:rsidRPr="00743C69">
        <w:rPr>
          <w:rFonts w:cs="Arial" w:hint="cs"/>
          <w:sz w:val="20"/>
          <w:szCs w:val="20"/>
          <w:rtl/>
        </w:rPr>
        <w:t>למודה</w:t>
      </w:r>
      <w:r w:rsidRPr="00743C69">
        <w:rPr>
          <w:rFonts w:cs="Arial"/>
          <w:sz w:val="20"/>
          <w:szCs w:val="20"/>
          <w:rtl/>
        </w:rPr>
        <w:t xml:space="preserve"> </w:t>
      </w:r>
      <w:r w:rsidRPr="00743C69">
        <w:rPr>
          <w:rFonts w:cs="Arial" w:hint="cs"/>
          <w:sz w:val="20"/>
          <w:szCs w:val="20"/>
          <w:rtl/>
        </w:rPr>
        <w:t>להיות</w:t>
      </w:r>
      <w:r w:rsidRPr="00743C69">
        <w:rPr>
          <w:rFonts w:cs="Arial"/>
          <w:sz w:val="20"/>
          <w:szCs w:val="20"/>
          <w:rtl/>
        </w:rPr>
        <w:t xml:space="preserve"> </w:t>
      </w:r>
      <w:r w:rsidRPr="00743C69">
        <w:rPr>
          <w:rFonts w:cs="Arial" w:hint="cs"/>
          <w:sz w:val="20"/>
          <w:szCs w:val="20"/>
          <w:rtl/>
        </w:rPr>
        <w:t>רואה</w:t>
      </w:r>
      <w:r w:rsidRPr="00743C69">
        <w:rPr>
          <w:rFonts w:cs="Arial"/>
          <w:sz w:val="20"/>
          <w:szCs w:val="20"/>
          <w:rtl/>
        </w:rPr>
        <w:t xml:space="preserve"> </w:t>
      </w:r>
      <w:r w:rsidRPr="00743C69">
        <w:rPr>
          <w:rFonts w:cs="Arial" w:hint="cs"/>
          <w:sz w:val="20"/>
          <w:szCs w:val="20"/>
          <w:rtl/>
        </w:rPr>
        <w:t>בתח</w:t>
      </w:r>
      <w:r>
        <w:rPr>
          <w:rFonts w:cs="Arial" w:hint="cs"/>
          <w:sz w:val="20"/>
          <w:szCs w:val="20"/>
          <w:rtl/>
        </w:rPr>
        <w:t>י</w:t>
      </w:r>
      <w:r w:rsidRPr="00743C69">
        <w:rPr>
          <w:rFonts w:cs="Arial" w:hint="cs"/>
          <w:sz w:val="20"/>
          <w:szCs w:val="20"/>
          <w:rtl/>
        </w:rPr>
        <w:t>לת</w:t>
      </w:r>
      <w:r w:rsidRPr="00743C69">
        <w:rPr>
          <w:rFonts w:cs="Arial"/>
          <w:sz w:val="20"/>
          <w:szCs w:val="20"/>
          <w:rtl/>
        </w:rPr>
        <w:t xml:space="preserve"> </w:t>
      </w:r>
      <w:r w:rsidRPr="00743C69">
        <w:rPr>
          <w:rFonts w:cs="Arial" w:hint="cs"/>
          <w:sz w:val="20"/>
          <w:szCs w:val="20"/>
          <w:rtl/>
        </w:rPr>
        <w:t>הו</w:t>
      </w:r>
      <w:r>
        <w:rPr>
          <w:rFonts w:cs="Arial" w:hint="cs"/>
          <w:sz w:val="20"/>
          <w:szCs w:val="20"/>
          <w:rtl/>
        </w:rPr>
        <w:t>ו</w:t>
      </w:r>
      <w:r w:rsidRPr="00743C69">
        <w:rPr>
          <w:rFonts w:cs="Arial" w:hint="cs"/>
          <w:sz w:val="20"/>
          <w:szCs w:val="20"/>
          <w:rtl/>
        </w:rPr>
        <w:t>סתות</w:t>
      </w:r>
      <w:r w:rsidRPr="00743C69">
        <w:rPr>
          <w:rFonts w:cs="Arial"/>
          <w:sz w:val="20"/>
          <w:szCs w:val="20"/>
          <w:rtl/>
        </w:rPr>
        <w:t xml:space="preserve">, </w:t>
      </w:r>
      <w:r w:rsidRPr="00743C69">
        <w:rPr>
          <w:rFonts w:cs="Arial" w:hint="cs"/>
          <w:sz w:val="20"/>
          <w:szCs w:val="20"/>
          <w:rtl/>
        </w:rPr>
        <w:t>כל</w:t>
      </w:r>
      <w:r w:rsidRPr="00743C69">
        <w:rPr>
          <w:rFonts w:cs="Arial"/>
          <w:sz w:val="20"/>
          <w:szCs w:val="20"/>
          <w:rtl/>
        </w:rPr>
        <w:t xml:space="preserve"> </w:t>
      </w:r>
      <w:r w:rsidRPr="00743C69">
        <w:rPr>
          <w:rFonts w:cs="Arial" w:hint="cs"/>
          <w:sz w:val="20"/>
          <w:szCs w:val="20"/>
          <w:rtl/>
        </w:rPr>
        <w:t>הטהרות</w:t>
      </w:r>
      <w:r w:rsidRPr="00743C69">
        <w:rPr>
          <w:rFonts w:cs="Arial"/>
          <w:sz w:val="20"/>
          <w:szCs w:val="20"/>
          <w:rtl/>
        </w:rPr>
        <w:t xml:space="preserve"> </w:t>
      </w:r>
      <w:r w:rsidRPr="00743C69">
        <w:rPr>
          <w:rFonts w:cs="Arial" w:hint="cs"/>
          <w:sz w:val="20"/>
          <w:szCs w:val="20"/>
          <w:rtl/>
        </w:rPr>
        <w:t>שעשתה</w:t>
      </w:r>
      <w:r w:rsidRPr="00743C69">
        <w:rPr>
          <w:rFonts w:cs="Arial"/>
          <w:sz w:val="20"/>
          <w:szCs w:val="20"/>
          <w:rtl/>
        </w:rPr>
        <w:t xml:space="preserve"> </w:t>
      </w:r>
      <w:r w:rsidRPr="00743C69">
        <w:rPr>
          <w:rFonts w:cs="Arial" w:hint="cs"/>
          <w:sz w:val="20"/>
          <w:szCs w:val="20"/>
          <w:rtl/>
        </w:rPr>
        <w:t>בתוך</w:t>
      </w:r>
      <w:r w:rsidRPr="00743C69">
        <w:rPr>
          <w:rFonts w:cs="Arial"/>
          <w:sz w:val="20"/>
          <w:szCs w:val="20"/>
          <w:rtl/>
        </w:rPr>
        <w:t xml:space="preserve"> </w:t>
      </w:r>
      <w:r w:rsidRPr="00743C69">
        <w:rPr>
          <w:rFonts w:cs="Arial" w:hint="cs"/>
          <w:sz w:val="20"/>
          <w:szCs w:val="20"/>
          <w:rtl/>
        </w:rPr>
        <w:t>הו</w:t>
      </w:r>
      <w:r>
        <w:rPr>
          <w:rFonts w:cs="Arial" w:hint="cs"/>
          <w:sz w:val="20"/>
          <w:szCs w:val="20"/>
          <w:rtl/>
        </w:rPr>
        <w:t>ו</w:t>
      </w:r>
      <w:r w:rsidRPr="00743C69">
        <w:rPr>
          <w:rFonts w:cs="Arial" w:hint="cs"/>
          <w:sz w:val="20"/>
          <w:szCs w:val="20"/>
          <w:rtl/>
        </w:rPr>
        <w:t>סתות</w:t>
      </w:r>
      <w:r w:rsidRPr="00743C69">
        <w:rPr>
          <w:rFonts w:cs="Arial"/>
          <w:sz w:val="20"/>
          <w:szCs w:val="20"/>
          <w:rtl/>
        </w:rPr>
        <w:t xml:space="preserve"> - </w:t>
      </w:r>
      <w:r w:rsidRPr="00743C69">
        <w:rPr>
          <w:rFonts w:cs="Arial" w:hint="cs"/>
          <w:sz w:val="20"/>
          <w:szCs w:val="20"/>
          <w:rtl/>
        </w:rPr>
        <w:t>טמאות</w:t>
      </w:r>
      <w:r w:rsidRPr="00743C69">
        <w:rPr>
          <w:rFonts w:cs="Arial"/>
          <w:sz w:val="20"/>
          <w:szCs w:val="20"/>
          <w:rtl/>
        </w:rPr>
        <w:t xml:space="preserve">. </w:t>
      </w:r>
      <w:r w:rsidRPr="00743C69">
        <w:rPr>
          <w:rFonts w:cs="Arial" w:hint="cs"/>
          <w:sz w:val="20"/>
          <w:szCs w:val="20"/>
          <w:rtl/>
        </w:rPr>
        <w:t>בסוף</w:t>
      </w:r>
      <w:r w:rsidRPr="00743C69">
        <w:rPr>
          <w:rFonts w:cs="Arial"/>
          <w:sz w:val="20"/>
          <w:szCs w:val="20"/>
          <w:rtl/>
        </w:rPr>
        <w:t xml:space="preserve"> </w:t>
      </w:r>
      <w:r w:rsidRPr="00743C69">
        <w:rPr>
          <w:rFonts w:cs="Arial" w:hint="cs"/>
          <w:sz w:val="20"/>
          <w:szCs w:val="20"/>
          <w:rtl/>
        </w:rPr>
        <w:t>ה</w:t>
      </w:r>
      <w:r>
        <w:rPr>
          <w:rFonts w:cs="Arial" w:hint="cs"/>
          <w:sz w:val="20"/>
          <w:szCs w:val="20"/>
          <w:rtl/>
        </w:rPr>
        <w:t>ו</w:t>
      </w:r>
      <w:r w:rsidRPr="00743C69">
        <w:rPr>
          <w:rFonts w:cs="Arial" w:hint="cs"/>
          <w:sz w:val="20"/>
          <w:szCs w:val="20"/>
          <w:rtl/>
        </w:rPr>
        <w:t>וסתות</w:t>
      </w:r>
      <w:r w:rsidRPr="00743C69">
        <w:rPr>
          <w:rFonts w:cs="Arial"/>
          <w:sz w:val="20"/>
          <w:szCs w:val="20"/>
          <w:rtl/>
        </w:rPr>
        <w:t xml:space="preserve"> - </w:t>
      </w:r>
      <w:r w:rsidRPr="00743C69">
        <w:rPr>
          <w:rFonts w:cs="Arial" w:hint="cs"/>
          <w:sz w:val="20"/>
          <w:szCs w:val="20"/>
          <w:rtl/>
        </w:rPr>
        <w:t>כל</w:t>
      </w:r>
      <w:r w:rsidRPr="00743C69">
        <w:rPr>
          <w:rFonts w:cs="Arial"/>
          <w:sz w:val="20"/>
          <w:szCs w:val="20"/>
          <w:rtl/>
        </w:rPr>
        <w:t xml:space="preserve"> </w:t>
      </w:r>
      <w:r w:rsidRPr="00743C69">
        <w:rPr>
          <w:rFonts w:cs="Arial" w:hint="cs"/>
          <w:sz w:val="20"/>
          <w:szCs w:val="20"/>
          <w:rtl/>
        </w:rPr>
        <w:t>הטהרות</w:t>
      </w:r>
      <w:r w:rsidRPr="00743C69">
        <w:rPr>
          <w:rFonts w:cs="Arial"/>
          <w:sz w:val="20"/>
          <w:szCs w:val="20"/>
          <w:rtl/>
        </w:rPr>
        <w:t xml:space="preserve"> </w:t>
      </w:r>
      <w:r w:rsidRPr="00743C69">
        <w:rPr>
          <w:rFonts w:cs="Arial" w:hint="cs"/>
          <w:sz w:val="20"/>
          <w:szCs w:val="20"/>
          <w:rtl/>
        </w:rPr>
        <w:t>שעשתה</w:t>
      </w:r>
      <w:r w:rsidRPr="00743C69">
        <w:rPr>
          <w:rFonts w:cs="Arial"/>
          <w:sz w:val="20"/>
          <w:szCs w:val="20"/>
          <w:rtl/>
        </w:rPr>
        <w:t xml:space="preserve"> </w:t>
      </w:r>
      <w:r w:rsidRPr="00743C69">
        <w:rPr>
          <w:rFonts w:cs="Arial" w:hint="cs"/>
          <w:sz w:val="20"/>
          <w:szCs w:val="20"/>
          <w:rtl/>
        </w:rPr>
        <w:t>בתוך</w:t>
      </w:r>
      <w:r w:rsidRPr="00743C69">
        <w:rPr>
          <w:rFonts w:cs="Arial"/>
          <w:sz w:val="20"/>
          <w:szCs w:val="20"/>
          <w:rtl/>
        </w:rPr>
        <w:t xml:space="preserve"> </w:t>
      </w:r>
      <w:r w:rsidRPr="00743C69">
        <w:rPr>
          <w:rFonts w:cs="Arial" w:hint="cs"/>
          <w:sz w:val="20"/>
          <w:szCs w:val="20"/>
          <w:rtl/>
        </w:rPr>
        <w:t>הו</w:t>
      </w:r>
      <w:r>
        <w:rPr>
          <w:rFonts w:cs="Arial" w:hint="cs"/>
          <w:sz w:val="20"/>
          <w:szCs w:val="20"/>
          <w:rtl/>
        </w:rPr>
        <w:t>ו</w:t>
      </w:r>
      <w:r w:rsidRPr="00743C69">
        <w:rPr>
          <w:rFonts w:cs="Arial" w:hint="cs"/>
          <w:sz w:val="20"/>
          <w:szCs w:val="20"/>
          <w:rtl/>
        </w:rPr>
        <w:t>סתות</w:t>
      </w:r>
      <w:r w:rsidRPr="00743C69">
        <w:rPr>
          <w:rFonts w:cs="Arial"/>
          <w:sz w:val="20"/>
          <w:szCs w:val="20"/>
          <w:rtl/>
        </w:rPr>
        <w:t xml:space="preserve"> </w:t>
      </w:r>
      <w:r w:rsidRPr="00743C69">
        <w:rPr>
          <w:rFonts w:cs="Arial" w:hint="cs"/>
          <w:sz w:val="20"/>
          <w:szCs w:val="20"/>
          <w:rtl/>
        </w:rPr>
        <w:t>טהורות</w:t>
      </w:r>
      <w:r>
        <w:rPr>
          <w:rFonts w:cs="Arial" w:hint="cs"/>
          <w:sz w:val="20"/>
          <w:szCs w:val="20"/>
          <w:rtl/>
        </w:rPr>
        <w:t xml:space="preserve">". </w:t>
      </w:r>
      <w:r>
        <w:rPr>
          <w:rFonts w:cs="Arial"/>
          <w:sz w:val="20"/>
          <w:szCs w:val="20"/>
          <w:rtl/>
        </w:rPr>
        <w:br/>
      </w:r>
      <w:r>
        <w:rPr>
          <w:rFonts w:cs="Arial" w:hint="cs"/>
          <w:sz w:val="20"/>
          <w:szCs w:val="20"/>
          <w:rtl/>
        </w:rPr>
        <w:t>ומכך שהמשנה מחלקת בין תחילת הווסת לסופה, על כרחך מדובר בווסת ארוכה, אך אם מדובר בפיהוק קצר שכל אדם מורגל בו אין שייך לדבר עליו במונחים של תחילה וסוף.</w:t>
      </w:r>
      <w:r>
        <w:rPr>
          <w:sz w:val="20"/>
          <w:szCs w:val="20"/>
          <w:rtl/>
        </w:rPr>
        <w:br/>
      </w:r>
      <w:r>
        <w:rPr>
          <w:rFonts w:hint="cs"/>
          <w:sz w:val="20"/>
          <w:szCs w:val="20"/>
          <w:rtl/>
        </w:rPr>
        <w:br/>
      </w:r>
      <w:r>
        <w:rPr>
          <w:rFonts w:hint="cs"/>
          <w:b/>
          <w:bCs/>
          <w:sz w:val="20"/>
          <w:szCs w:val="20"/>
          <w:rtl/>
        </w:rPr>
        <w:t xml:space="preserve">האם לדעת הרשב"א וסיעתו יש ווסת לפיהוק בלבד? </w:t>
      </w:r>
      <w:r>
        <w:rPr>
          <w:rFonts w:hint="cs"/>
          <w:b/>
          <w:bCs/>
          <w:sz w:val="20"/>
          <w:szCs w:val="20"/>
          <w:rtl/>
        </w:rPr>
        <w:br/>
      </w:r>
      <w:r w:rsidRPr="006C1F07">
        <w:rPr>
          <w:rFonts w:hint="cs"/>
          <w:b/>
          <w:bCs/>
          <w:sz w:val="20"/>
          <w:szCs w:val="20"/>
          <w:rtl/>
        </w:rPr>
        <w:t>רש"י</w:t>
      </w:r>
      <w:r>
        <w:rPr>
          <w:rFonts w:hint="cs"/>
          <w:sz w:val="20"/>
          <w:szCs w:val="20"/>
          <w:rtl/>
        </w:rPr>
        <w:t xml:space="preserve"> וסיעתו סוברים שאשה קובעת ווסת לקפיצה לבד, ואם כן הוא הדין שקובעת ווסת לפיהוק לבד.</w:t>
      </w:r>
      <w:r>
        <w:rPr>
          <w:sz w:val="20"/>
          <w:szCs w:val="20"/>
          <w:rtl/>
        </w:rPr>
        <w:br/>
      </w:r>
      <w:r>
        <w:rPr>
          <w:rFonts w:hint="cs"/>
          <w:sz w:val="20"/>
          <w:szCs w:val="20"/>
          <w:rtl/>
        </w:rPr>
        <w:t>אך יש לעין לדעת הרשב"א וסיעתו שאין אשה קובעת ווסת לקפיצה בלבד, האם קובעת ווסת לפיהוק לבד?</w:t>
      </w:r>
      <w:r>
        <w:rPr>
          <w:b/>
          <w:bCs/>
          <w:sz w:val="20"/>
          <w:szCs w:val="20"/>
          <w:rtl/>
        </w:rPr>
        <w:br/>
      </w:r>
      <w:r>
        <w:rPr>
          <w:rFonts w:hint="cs"/>
          <w:b/>
          <w:bCs/>
          <w:sz w:val="20"/>
          <w:szCs w:val="20"/>
          <w:rtl/>
        </w:rPr>
        <w:t xml:space="preserve">רשב"א </w:t>
      </w:r>
      <w:r>
        <w:rPr>
          <w:sz w:val="20"/>
          <w:szCs w:val="20"/>
          <w:rtl/>
        </w:rPr>
        <w:t>–</w:t>
      </w:r>
      <w:r>
        <w:rPr>
          <w:rFonts w:hint="cs"/>
          <w:sz w:val="20"/>
          <w:szCs w:val="20"/>
          <w:rtl/>
        </w:rPr>
        <w:t xml:space="preserve"> למרות שאין אשה קובעת לה ווסת לקפיצות לבד, קובעת ווסת לפיהוק וכדומה.</w:t>
      </w:r>
      <w:r>
        <w:rPr>
          <w:rFonts w:hint="cs"/>
          <w:sz w:val="20"/>
          <w:szCs w:val="20"/>
          <w:rtl/>
        </w:rPr>
        <w:br/>
      </w:r>
      <w:r w:rsidRPr="00605145">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קפיצה היא אונס המביא את הווסת, ובכה"ג אינה קובעת. לעומת זאת, פיהוק הוא שינוי גופני המעיד על כך שהווסת מתקרב לבוא. </w:t>
      </w:r>
      <w:r w:rsidRPr="00240120">
        <w:rPr>
          <w:rFonts w:hint="cs"/>
          <w:sz w:val="18"/>
          <w:szCs w:val="18"/>
          <w:rtl/>
        </w:rPr>
        <w:t xml:space="preserve">(ניתן לומר כך </w:t>
      </w:r>
      <w:r w:rsidRPr="00240120">
        <w:rPr>
          <w:sz w:val="18"/>
          <w:szCs w:val="18"/>
          <w:rtl/>
        </w:rPr>
        <w:t>–</w:t>
      </w:r>
      <w:r w:rsidRPr="00240120">
        <w:rPr>
          <w:rFonts w:hint="cs"/>
          <w:sz w:val="18"/>
          <w:szCs w:val="18"/>
          <w:rtl/>
        </w:rPr>
        <w:t xml:space="preserve"> קפיצה היא סיבה ואילו פיהוק הוא סימן. סיבה אינה מספיקה כדי לקבוע ווסת, כפי שנאמר להדיא בברייתא, אך סימן מעיד על הדם שיבוא ולכן הוי ווסת).</w:t>
      </w:r>
    </w:p>
    <w:p w:rsidR="00620060" w:rsidRPr="00737E72" w:rsidRDefault="00620060" w:rsidP="00620060">
      <w:pPr>
        <w:rPr>
          <w:sz w:val="20"/>
          <w:szCs w:val="20"/>
          <w:rtl/>
        </w:rPr>
      </w:pPr>
      <w:r>
        <w:rPr>
          <w:rFonts w:hint="cs"/>
          <w:b/>
          <w:bCs/>
          <w:sz w:val="20"/>
          <w:szCs w:val="20"/>
          <w:rtl/>
        </w:rPr>
        <w:t>שיטת הרמב"ם</w:t>
      </w:r>
      <w:r>
        <w:rPr>
          <w:b/>
          <w:bCs/>
          <w:sz w:val="20"/>
          <w:szCs w:val="20"/>
          <w:rtl/>
        </w:rPr>
        <w:br/>
      </w:r>
      <w:r w:rsidRPr="00737E72">
        <w:rPr>
          <w:rFonts w:hint="cs"/>
          <w:b/>
          <w:bCs/>
          <w:sz w:val="20"/>
          <w:szCs w:val="20"/>
          <w:rtl/>
        </w:rPr>
        <w:t>רמב"ם</w:t>
      </w:r>
      <w:r>
        <w:rPr>
          <w:rFonts w:hint="cs"/>
          <w:sz w:val="20"/>
          <w:szCs w:val="20"/>
          <w:rtl/>
        </w:rPr>
        <w:t xml:space="preserve"> </w:t>
      </w:r>
      <w:r w:rsidRPr="00C638EA">
        <w:rPr>
          <w:rFonts w:hint="cs"/>
          <w:sz w:val="18"/>
          <w:szCs w:val="18"/>
          <w:rtl/>
        </w:rPr>
        <w:t>(</w:t>
      </w:r>
      <w:r>
        <w:rPr>
          <w:rFonts w:hint="cs"/>
          <w:sz w:val="18"/>
          <w:szCs w:val="18"/>
          <w:rtl/>
        </w:rPr>
        <w:t>ע</w:t>
      </w:r>
      <w:r w:rsidRPr="00C638EA">
        <w:rPr>
          <w:rFonts w:hint="cs"/>
          <w:sz w:val="18"/>
          <w:szCs w:val="18"/>
          <w:rtl/>
        </w:rPr>
        <w:t xml:space="preserve">"פ </w:t>
      </w:r>
      <w:r w:rsidRPr="00C638EA">
        <w:rPr>
          <w:rFonts w:hint="cs"/>
          <w:b/>
          <w:bCs/>
          <w:sz w:val="18"/>
          <w:szCs w:val="18"/>
          <w:rtl/>
        </w:rPr>
        <w:t>המגיד משנה</w:t>
      </w:r>
      <w:r w:rsidRPr="00C638EA">
        <w:rPr>
          <w:rFonts w:hint="cs"/>
          <w:sz w:val="18"/>
          <w:szCs w:val="18"/>
          <w:rtl/>
        </w:rPr>
        <w:t xml:space="preserve">) </w:t>
      </w:r>
      <w:r>
        <w:rPr>
          <w:sz w:val="20"/>
          <w:szCs w:val="20"/>
          <w:rtl/>
        </w:rPr>
        <w:t>–</w:t>
      </w:r>
      <w:r>
        <w:rPr>
          <w:rFonts w:hint="cs"/>
          <w:sz w:val="20"/>
          <w:szCs w:val="20"/>
          <w:rtl/>
        </w:rPr>
        <w:t xml:space="preserve"> אין ווסת לפיהוק בלבד, אלא יש ווסת המורכב מפיהוק וימים.</w:t>
      </w:r>
      <w:r>
        <w:rPr>
          <w:rStyle w:val="a5"/>
          <w:sz w:val="20"/>
          <w:szCs w:val="20"/>
          <w:rtl/>
        </w:rPr>
        <w:footnoteReference w:id="220"/>
      </w:r>
      <w:r>
        <w:rPr>
          <w:sz w:val="20"/>
          <w:szCs w:val="20"/>
          <w:rtl/>
        </w:rPr>
        <w:br/>
      </w:r>
      <w:r w:rsidRPr="00737E72">
        <w:rPr>
          <w:rFonts w:hint="cs"/>
          <w:b/>
          <w:bCs/>
          <w:sz w:val="20"/>
          <w:szCs w:val="20"/>
          <w:rtl/>
        </w:rPr>
        <w:t>הסבר</w:t>
      </w:r>
      <w:r>
        <w:rPr>
          <w:rFonts w:hint="cs"/>
          <w:sz w:val="20"/>
          <w:szCs w:val="20"/>
          <w:rtl/>
        </w:rPr>
        <w:t xml:space="preserve"> </w:t>
      </w:r>
      <w:r>
        <w:rPr>
          <w:sz w:val="20"/>
          <w:szCs w:val="20"/>
          <w:rtl/>
        </w:rPr>
        <w:t>–</w:t>
      </w:r>
      <w:r>
        <w:rPr>
          <w:rFonts w:hint="cs"/>
          <w:sz w:val="20"/>
          <w:szCs w:val="20"/>
          <w:rtl/>
        </w:rPr>
        <w:t xml:space="preserve"> המשנה לא באה לומר שיש סוג ווסת נוסף התלוי במקרי הגוף, אלא כוונת המשנה לומר שבעת ראיית הווסת האשה מרגישה שינוי בגוף, ומי שלמודה לראות בתחילת השינוי חוששת מאותו הזמן, ומי שלמודה לראות בסוף השינוי חוששת רק בסופו. </w:t>
      </w:r>
      <w:r>
        <w:rPr>
          <w:sz w:val="20"/>
          <w:szCs w:val="20"/>
          <w:rtl/>
        </w:rPr>
        <w:br/>
      </w:r>
      <w:r>
        <w:rPr>
          <w:rFonts w:hint="cs"/>
          <w:sz w:val="20"/>
          <w:szCs w:val="20"/>
          <w:rtl/>
        </w:rPr>
        <w:t xml:space="preserve">כלומר </w:t>
      </w:r>
      <w:r>
        <w:rPr>
          <w:sz w:val="20"/>
          <w:szCs w:val="20"/>
          <w:rtl/>
        </w:rPr>
        <w:t>–</w:t>
      </w:r>
      <w:r>
        <w:rPr>
          <w:rFonts w:hint="cs"/>
          <w:sz w:val="20"/>
          <w:szCs w:val="20"/>
          <w:rtl/>
        </w:rPr>
        <w:t xml:space="preserve"> אין צריך לחשוש בכל היום, אלא רק בזמן שרגילה לראות ביחס לשינוי הגופני.</w:t>
      </w:r>
      <w:r>
        <w:rPr>
          <w:sz w:val="20"/>
          <w:szCs w:val="20"/>
          <w:rtl/>
        </w:rPr>
        <w:br/>
      </w:r>
      <w:r w:rsidRPr="004B6038">
        <w:rPr>
          <w:rFonts w:hint="cs"/>
          <w:sz w:val="20"/>
          <w:szCs w:val="20"/>
          <w:rtl/>
        </w:rPr>
        <w:t xml:space="preserve">מעיר </w:t>
      </w:r>
      <w:r w:rsidRPr="004B6038">
        <w:rPr>
          <w:rFonts w:hint="cs"/>
          <w:b/>
          <w:bCs/>
          <w:sz w:val="20"/>
          <w:szCs w:val="20"/>
          <w:rtl/>
        </w:rPr>
        <w:t>המגיד משנה</w:t>
      </w:r>
      <w:r>
        <w:rPr>
          <w:rFonts w:hint="cs"/>
          <w:sz w:val="20"/>
          <w:szCs w:val="20"/>
          <w:rtl/>
        </w:rPr>
        <w:t xml:space="preserve"> </w:t>
      </w:r>
      <w:r>
        <w:rPr>
          <w:sz w:val="20"/>
          <w:szCs w:val="20"/>
          <w:rtl/>
        </w:rPr>
        <w:t>–</w:t>
      </w:r>
      <w:r>
        <w:rPr>
          <w:rFonts w:hint="cs"/>
          <w:sz w:val="20"/>
          <w:szCs w:val="20"/>
          <w:rtl/>
        </w:rPr>
        <w:t xml:space="preserve"> כל המפרשים האחרים פירשו שאלו הן שני ווסתות נפרדים, ווסת הימים וווסת הגוף.</w:t>
      </w:r>
    </w:p>
    <w:p w:rsidR="00620060" w:rsidRDefault="00620060" w:rsidP="00620060">
      <w:pPr>
        <w:rPr>
          <w:sz w:val="20"/>
          <w:szCs w:val="20"/>
          <w:rtl/>
        </w:rPr>
      </w:pPr>
      <w:r>
        <w:rPr>
          <w:rFonts w:hint="cs"/>
          <w:b/>
          <w:bCs/>
          <w:sz w:val="20"/>
          <w:szCs w:val="20"/>
          <w:rtl/>
        </w:rPr>
        <w:lastRenderedPageBreak/>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C3571A">
        <w:rPr>
          <w:rFonts w:cs="Arial" w:hint="cs"/>
          <w:sz w:val="20"/>
          <w:szCs w:val="20"/>
          <w:rtl/>
        </w:rPr>
        <w:t>יש</w:t>
      </w:r>
      <w:r w:rsidRPr="00C3571A">
        <w:rPr>
          <w:rFonts w:cs="Arial"/>
          <w:sz w:val="20"/>
          <w:szCs w:val="20"/>
          <w:rtl/>
        </w:rPr>
        <w:t xml:space="preserve"> </w:t>
      </w:r>
      <w:r w:rsidRPr="00C3571A">
        <w:rPr>
          <w:rFonts w:cs="Arial" w:hint="cs"/>
          <w:sz w:val="20"/>
          <w:szCs w:val="20"/>
          <w:rtl/>
        </w:rPr>
        <w:t>קובעת</w:t>
      </w:r>
      <w:r w:rsidRPr="00C3571A">
        <w:rPr>
          <w:rFonts w:cs="Arial"/>
          <w:sz w:val="20"/>
          <w:szCs w:val="20"/>
          <w:rtl/>
        </w:rPr>
        <w:t xml:space="preserve"> </w:t>
      </w:r>
      <w:r w:rsidRPr="00C3571A">
        <w:rPr>
          <w:rFonts w:cs="Arial" w:hint="cs"/>
          <w:sz w:val="20"/>
          <w:szCs w:val="20"/>
          <w:rtl/>
        </w:rPr>
        <w:t>וסת</w:t>
      </w:r>
      <w:r w:rsidRPr="00C3571A">
        <w:rPr>
          <w:rFonts w:cs="Arial"/>
          <w:sz w:val="20"/>
          <w:szCs w:val="20"/>
          <w:rtl/>
        </w:rPr>
        <w:t xml:space="preserve"> </w:t>
      </w:r>
      <w:r w:rsidRPr="00C3571A">
        <w:rPr>
          <w:rFonts w:cs="Arial" w:hint="cs"/>
          <w:sz w:val="20"/>
          <w:szCs w:val="20"/>
          <w:rtl/>
        </w:rPr>
        <w:t>על</w:t>
      </w:r>
      <w:r w:rsidRPr="00C3571A">
        <w:rPr>
          <w:rFonts w:cs="Arial"/>
          <w:sz w:val="20"/>
          <w:szCs w:val="20"/>
          <w:rtl/>
        </w:rPr>
        <w:t xml:space="preserve"> </w:t>
      </w:r>
      <w:r w:rsidRPr="00C3571A">
        <w:rPr>
          <w:rFonts w:cs="Arial" w:hint="cs"/>
          <w:sz w:val="20"/>
          <w:szCs w:val="20"/>
          <w:rtl/>
        </w:rPr>
        <w:t>ידי</w:t>
      </w:r>
      <w:r w:rsidRPr="00C3571A">
        <w:rPr>
          <w:rFonts w:cs="Arial"/>
          <w:sz w:val="20"/>
          <w:szCs w:val="20"/>
          <w:rtl/>
        </w:rPr>
        <w:t xml:space="preserve"> </w:t>
      </w:r>
      <w:r w:rsidRPr="00C3571A">
        <w:rPr>
          <w:rFonts w:cs="Arial" w:hint="cs"/>
          <w:sz w:val="20"/>
          <w:szCs w:val="20"/>
          <w:rtl/>
        </w:rPr>
        <w:t>מקרים</w:t>
      </w:r>
      <w:r w:rsidRPr="00C3571A">
        <w:rPr>
          <w:rFonts w:cs="Arial"/>
          <w:sz w:val="20"/>
          <w:szCs w:val="20"/>
          <w:rtl/>
        </w:rPr>
        <w:t xml:space="preserve"> </w:t>
      </w:r>
      <w:r w:rsidRPr="00C3571A">
        <w:rPr>
          <w:rFonts w:cs="Arial" w:hint="cs"/>
          <w:sz w:val="20"/>
          <w:szCs w:val="20"/>
          <w:rtl/>
        </w:rPr>
        <w:t>שיארעו</w:t>
      </w:r>
      <w:r w:rsidRPr="00C3571A">
        <w:rPr>
          <w:rFonts w:cs="Arial"/>
          <w:sz w:val="20"/>
          <w:szCs w:val="20"/>
          <w:rtl/>
        </w:rPr>
        <w:t xml:space="preserve"> </w:t>
      </w:r>
      <w:r w:rsidRPr="00C3571A">
        <w:rPr>
          <w:rFonts w:cs="Arial" w:hint="cs"/>
          <w:sz w:val="20"/>
          <w:szCs w:val="20"/>
          <w:rtl/>
        </w:rPr>
        <w:t>בגופה</w:t>
      </w:r>
      <w:r w:rsidRPr="00C3571A">
        <w:rPr>
          <w:rFonts w:cs="Arial"/>
          <w:sz w:val="20"/>
          <w:szCs w:val="20"/>
          <w:rtl/>
        </w:rPr>
        <w:t xml:space="preserve"> </w:t>
      </w:r>
      <w:r w:rsidRPr="00C3571A">
        <w:rPr>
          <w:rFonts w:cs="Arial" w:hint="cs"/>
          <w:sz w:val="20"/>
          <w:szCs w:val="20"/>
          <w:rtl/>
        </w:rPr>
        <w:t>כגון</w:t>
      </w:r>
      <w:r w:rsidRPr="00C3571A">
        <w:rPr>
          <w:rFonts w:cs="Arial"/>
          <w:sz w:val="20"/>
          <w:szCs w:val="20"/>
          <w:rtl/>
        </w:rPr>
        <w:t xml:space="preserve"> </w:t>
      </w:r>
      <w:r w:rsidRPr="00C3571A">
        <w:rPr>
          <w:rFonts w:cs="Arial" w:hint="cs"/>
          <w:sz w:val="20"/>
          <w:szCs w:val="20"/>
          <w:rtl/>
        </w:rPr>
        <w:t>שמפהקת</w:t>
      </w:r>
      <w:r w:rsidRPr="00C3571A">
        <w:rPr>
          <w:rFonts w:cs="Arial"/>
          <w:sz w:val="20"/>
          <w:szCs w:val="20"/>
          <w:rtl/>
        </w:rPr>
        <w:t xml:space="preserve">, </w:t>
      </w:r>
      <w:r w:rsidRPr="00C3571A">
        <w:rPr>
          <w:rFonts w:cs="Arial" w:hint="cs"/>
          <w:sz w:val="20"/>
          <w:szCs w:val="20"/>
          <w:rtl/>
        </w:rPr>
        <w:t>דהיינו</w:t>
      </w:r>
      <w:r w:rsidRPr="00C3571A">
        <w:rPr>
          <w:rFonts w:cs="Arial"/>
          <w:sz w:val="20"/>
          <w:szCs w:val="20"/>
          <w:rtl/>
        </w:rPr>
        <w:t xml:space="preserve"> </w:t>
      </w:r>
      <w:r w:rsidRPr="00C3571A">
        <w:rPr>
          <w:rFonts w:cs="Arial" w:hint="cs"/>
          <w:sz w:val="20"/>
          <w:szCs w:val="20"/>
          <w:rtl/>
        </w:rPr>
        <w:t>כאדם</w:t>
      </w:r>
      <w:r w:rsidRPr="00C3571A">
        <w:rPr>
          <w:rFonts w:cs="Arial"/>
          <w:sz w:val="20"/>
          <w:szCs w:val="20"/>
          <w:rtl/>
        </w:rPr>
        <w:t xml:space="preserve"> </w:t>
      </w:r>
      <w:r w:rsidRPr="00C3571A">
        <w:rPr>
          <w:rFonts w:cs="Arial" w:hint="cs"/>
          <w:sz w:val="20"/>
          <w:szCs w:val="20"/>
          <w:rtl/>
        </w:rPr>
        <w:t>שפושט</w:t>
      </w:r>
      <w:r w:rsidRPr="00C3571A">
        <w:rPr>
          <w:rFonts w:cs="Arial"/>
          <w:sz w:val="20"/>
          <w:szCs w:val="20"/>
          <w:rtl/>
        </w:rPr>
        <w:t xml:space="preserve"> </w:t>
      </w:r>
      <w:r w:rsidRPr="00C3571A">
        <w:rPr>
          <w:rFonts w:cs="Arial" w:hint="cs"/>
          <w:sz w:val="20"/>
          <w:szCs w:val="20"/>
          <w:rtl/>
        </w:rPr>
        <w:t>זרועותיו</w:t>
      </w:r>
      <w:r w:rsidRPr="00C3571A">
        <w:rPr>
          <w:rFonts w:cs="Arial"/>
          <w:sz w:val="20"/>
          <w:szCs w:val="20"/>
          <w:rtl/>
        </w:rPr>
        <w:t xml:space="preserve"> </w:t>
      </w:r>
      <w:r w:rsidRPr="00C3571A">
        <w:rPr>
          <w:rFonts w:cs="Arial" w:hint="cs"/>
          <w:sz w:val="20"/>
          <w:szCs w:val="20"/>
          <w:rtl/>
        </w:rPr>
        <w:t>מחמת</w:t>
      </w:r>
      <w:r w:rsidRPr="00C3571A">
        <w:rPr>
          <w:rFonts w:cs="Arial"/>
          <w:sz w:val="20"/>
          <w:szCs w:val="20"/>
          <w:rtl/>
        </w:rPr>
        <w:t xml:space="preserve"> </w:t>
      </w:r>
      <w:r w:rsidRPr="00C3571A">
        <w:rPr>
          <w:rFonts w:cs="Arial" w:hint="cs"/>
          <w:sz w:val="20"/>
          <w:szCs w:val="20"/>
          <w:rtl/>
        </w:rPr>
        <w:t>כובד</w:t>
      </w:r>
      <w:r w:rsidRPr="00C3571A">
        <w:rPr>
          <w:rFonts w:cs="Arial"/>
          <w:sz w:val="20"/>
          <w:szCs w:val="20"/>
          <w:rtl/>
        </w:rPr>
        <w:t xml:space="preserve">, </w:t>
      </w:r>
      <w:r w:rsidRPr="00C3571A">
        <w:rPr>
          <w:rFonts w:cs="Arial" w:hint="cs"/>
          <w:sz w:val="20"/>
          <w:szCs w:val="20"/>
          <w:rtl/>
        </w:rPr>
        <w:t>או</w:t>
      </w:r>
      <w:r w:rsidRPr="00C3571A">
        <w:rPr>
          <w:rFonts w:cs="Arial"/>
          <w:sz w:val="20"/>
          <w:szCs w:val="20"/>
          <w:rtl/>
        </w:rPr>
        <w:t xml:space="preserve"> </w:t>
      </w:r>
      <w:r w:rsidRPr="00C3571A">
        <w:rPr>
          <w:rFonts w:cs="Arial" w:hint="cs"/>
          <w:sz w:val="20"/>
          <w:szCs w:val="20"/>
          <w:rtl/>
        </w:rPr>
        <w:t>כאדם</w:t>
      </w:r>
      <w:r w:rsidRPr="00C3571A">
        <w:rPr>
          <w:rFonts w:cs="Arial"/>
          <w:sz w:val="20"/>
          <w:szCs w:val="20"/>
          <w:rtl/>
        </w:rPr>
        <w:t xml:space="preserve"> </w:t>
      </w:r>
      <w:r w:rsidRPr="00C3571A">
        <w:rPr>
          <w:rFonts w:cs="Arial" w:hint="cs"/>
          <w:sz w:val="20"/>
          <w:szCs w:val="20"/>
          <w:rtl/>
        </w:rPr>
        <w:t>שפותח</w:t>
      </w:r>
      <w:r w:rsidRPr="00C3571A">
        <w:rPr>
          <w:rFonts w:cs="Arial"/>
          <w:sz w:val="20"/>
          <w:szCs w:val="20"/>
          <w:rtl/>
        </w:rPr>
        <w:t xml:space="preserve"> </w:t>
      </w:r>
      <w:r w:rsidRPr="00C3571A">
        <w:rPr>
          <w:rFonts w:cs="Arial" w:hint="cs"/>
          <w:sz w:val="20"/>
          <w:szCs w:val="20"/>
          <w:rtl/>
        </w:rPr>
        <w:t>פיו</w:t>
      </w:r>
      <w:r w:rsidRPr="00C3571A">
        <w:rPr>
          <w:rFonts w:cs="Arial"/>
          <w:sz w:val="20"/>
          <w:szCs w:val="20"/>
          <w:rtl/>
        </w:rPr>
        <w:t xml:space="preserve"> </w:t>
      </w:r>
      <w:r w:rsidRPr="00C3571A">
        <w:rPr>
          <w:rFonts w:cs="Arial" w:hint="cs"/>
          <w:sz w:val="20"/>
          <w:szCs w:val="20"/>
          <w:rtl/>
        </w:rPr>
        <w:t>מחמת</w:t>
      </w:r>
      <w:r w:rsidRPr="00C3571A">
        <w:rPr>
          <w:rFonts w:cs="Arial"/>
          <w:sz w:val="20"/>
          <w:szCs w:val="20"/>
          <w:rtl/>
        </w:rPr>
        <w:t xml:space="preserve"> </w:t>
      </w:r>
      <w:r w:rsidRPr="00C3571A">
        <w:rPr>
          <w:rFonts w:cs="Arial" w:hint="cs"/>
          <w:sz w:val="20"/>
          <w:szCs w:val="20"/>
          <w:rtl/>
        </w:rPr>
        <w:t>כובד</w:t>
      </w:r>
      <w:r w:rsidRPr="00C3571A">
        <w:rPr>
          <w:rFonts w:cs="Arial"/>
          <w:sz w:val="20"/>
          <w:szCs w:val="20"/>
          <w:rtl/>
        </w:rPr>
        <w:t xml:space="preserve">, </w:t>
      </w:r>
      <w:r w:rsidRPr="00C3571A">
        <w:rPr>
          <w:rFonts w:cs="Arial" w:hint="cs"/>
          <w:sz w:val="20"/>
          <w:szCs w:val="20"/>
          <w:rtl/>
        </w:rPr>
        <w:t>או</w:t>
      </w:r>
      <w:r w:rsidRPr="00C3571A">
        <w:rPr>
          <w:rFonts w:cs="Arial"/>
          <w:sz w:val="20"/>
          <w:szCs w:val="20"/>
          <w:rtl/>
        </w:rPr>
        <w:t xml:space="preserve"> </w:t>
      </w:r>
      <w:r w:rsidRPr="00C3571A">
        <w:rPr>
          <w:rFonts w:cs="Arial" w:hint="cs"/>
          <w:sz w:val="20"/>
          <w:szCs w:val="20"/>
          <w:rtl/>
        </w:rPr>
        <w:t>כאדם</w:t>
      </w:r>
      <w:r w:rsidRPr="00C3571A">
        <w:rPr>
          <w:rFonts w:cs="Arial"/>
          <w:sz w:val="20"/>
          <w:szCs w:val="20"/>
          <w:rtl/>
        </w:rPr>
        <w:t xml:space="preserve"> </w:t>
      </w:r>
      <w:r w:rsidRPr="00C3571A">
        <w:rPr>
          <w:rFonts w:cs="Arial" w:hint="cs"/>
          <w:sz w:val="20"/>
          <w:szCs w:val="20"/>
          <w:rtl/>
        </w:rPr>
        <w:t>שמוציא</w:t>
      </w:r>
      <w:r w:rsidRPr="00C3571A">
        <w:rPr>
          <w:rFonts w:cs="Arial"/>
          <w:sz w:val="20"/>
          <w:szCs w:val="20"/>
          <w:rtl/>
        </w:rPr>
        <w:t xml:space="preserve"> </w:t>
      </w:r>
      <w:r w:rsidRPr="00C3571A">
        <w:rPr>
          <w:rFonts w:cs="Arial" w:hint="cs"/>
          <w:sz w:val="20"/>
          <w:szCs w:val="20"/>
          <w:rtl/>
        </w:rPr>
        <w:t>קול</w:t>
      </w:r>
      <w:r w:rsidRPr="00C3571A">
        <w:rPr>
          <w:rFonts w:cs="Arial"/>
          <w:sz w:val="20"/>
          <w:szCs w:val="20"/>
          <w:rtl/>
        </w:rPr>
        <w:t xml:space="preserve"> </w:t>
      </w:r>
      <w:r w:rsidRPr="00C3571A">
        <w:rPr>
          <w:rFonts w:cs="Arial" w:hint="cs"/>
          <w:sz w:val="20"/>
          <w:szCs w:val="20"/>
          <w:rtl/>
        </w:rPr>
        <w:t>דרך</w:t>
      </w:r>
      <w:r w:rsidRPr="00C3571A">
        <w:rPr>
          <w:rFonts w:cs="Arial"/>
          <w:sz w:val="20"/>
          <w:szCs w:val="20"/>
          <w:rtl/>
        </w:rPr>
        <w:t xml:space="preserve"> </w:t>
      </w:r>
      <w:r w:rsidRPr="00C3571A">
        <w:rPr>
          <w:rFonts w:cs="Arial" w:hint="cs"/>
          <w:sz w:val="20"/>
          <w:szCs w:val="20"/>
          <w:rtl/>
        </w:rPr>
        <w:t>הגרון</w:t>
      </w:r>
      <w:r w:rsidRPr="00C3571A">
        <w:rPr>
          <w:rFonts w:cs="Arial"/>
          <w:sz w:val="20"/>
          <w:szCs w:val="20"/>
          <w:rtl/>
        </w:rPr>
        <w:t xml:space="preserve">, </w:t>
      </w:r>
      <w:r w:rsidRPr="00C3571A">
        <w:rPr>
          <w:rFonts w:cs="Arial" w:hint="cs"/>
          <w:sz w:val="20"/>
          <w:szCs w:val="20"/>
          <w:rtl/>
        </w:rPr>
        <w:t>וכן</w:t>
      </w:r>
      <w:r w:rsidRPr="00C3571A">
        <w:rPr>
          <w:rFonts w:cs="Arial"/>
          <w:sz w:val="20"/>
          <w:szCs w:val="20"/>
          <w:rtl/>
        </w:rPr>
        <w:t xml:space="preserve"> </w:t>
      </w:r>
      <w:r w:rsidRPr="00C3571A">
        <w:rPr>
          <w:rFonts w:cs="Arial" w:hint="cs"/>
          <w:sz w:val="20"/>
          <w:szCs w:val="20"/>
          <w:rtl/>
        </w:rPr>
        <w:t>אם</w:t>
      </w:r>
      <w:r w:rsidRPr="00C3571A">
        <w:rPr>
          <w:rFonts w:cs="Arial"/>
          <w:sz w:val="20"/>
          <w:szCs w:val="20"/>
          <w:rtl/>
        </w:rPr>
        <w:t xml:space="preserve"> </w:t>
      </w:r>
      <w:r w:rsidRPr="00C3571A">
        <w:rPr>
          <w:rFonts w:cs="Arial" w:hint="cs"/>
          <w:sz w:val="20"/>
          <w:szCs w:val="20"/>
          <w:rtl/>
        </w:rPr>
        <w:t>מתעטשת</w:t>
      </w:r>
      <w:r w:rsidRPr="00C3571A">
        <w:rPr>
          <w:rFonts w:cs="Arial"/>
          <w:sz w:val="20"/>
          <w:szCs w:val="20"/>
          <w:rtl/>
        </w:rPr>
        <w:t xml:space="preserve"> </w:t>
      </w:r>
      <w:r w:rsidRPr="00C3571A">
        <w:rPr>
          <w:rFonts w:cs="Arial" w:hint="cs"/>
          <w:sz w:val="20"/>
          <w:szCs w:val="20"/>
          <w:rtl/>
        </w:rPr>
        <w:t>דרך</w:t>
      </w:r>
      <w:r w:rsidRPr="00C3571A">
        <w:rPr>
          <w:rFonts w:cs="Arial"/>
          <w:sz w:val="20"/>
          <w:szCs w:val="20"/>
          <w:rtl/>
        </w:rPr>
        <w:t xml:space="preserve"> </w:t>
      </w:r>
      <w:r w:rsidRPr="00C3571A">
        <w:rPr>
          <w:rFonts w:cs="Arial" w:hint="cs"/>
          <w:sz w:val="20"/>
          <w:szCs w:val="20"/>
          <w:rtl/>
        </w:rPr>
        <w:t>מטה</w:t>
      </w:r>
      <w:r w:rsidRPr="00C3571A">
        <w:rPr>
          <w:rFonts w:cs="Arial"/>
          <w:sz w:val="20"/>
          <w:szCs w:val="20"/>
          <w:rtl/>
        </w:rPr>
        <w:t xml:space="preserve">, </w:t>
      </w:r>
      <w:r w:rsidRPr="00C3571A">
        <w:rPr>
          <w:rFonts w:cs="Arial" w:hint="cs"/>
          <w:sz w:val="20"/>
          <w:szCs w:val="20"/>
          <w:rtl/>
        </w:rPr>
        <w:t>או</w:t>
      </w:r>
      <w:r w:rsidRPr="00C3571A">
        <w:rPr>
          <w:rFonts w:cs="Arial"/>
          <w:sz w:val="20"/>
          <w:szCs w:val="20"/>
          <w:rtl/>
        </w:rPr>
        <w:t xml:space="preserve"> </w:t>
      </w:r>
      <w:r w:rsidRPr="00C3571A">
        <w:rPr>
          <w:rFonts w:cs="Arial" w:hint="cs"/>
          <w:sz w:val="20"/>
          <w:szCs w:val="20"/>
          <w:rtl/>
        </w:rPr>
        <w:t>חוששת</w:t>
      </w:r>
      <w:r w:rsidRPr="00C3571A">
        <w:rPr>
          <w:rFonts w:cs="Arial"/>
          <w:sz w:val="20"/>
          <w:szCs w:val="20"/>
          <w:rtl/>
        </w:rPr>
        <w:t xml:space="preserve"> </w:t>
      </w:r>
      <w:r w:rsidRPr="00C3571A">
        <w:rPr>
          <w:rFonts w:cs="Arial" w:hint="cs"/>
          <w:sz w:val="20"/>
          <w:szCs w:val="20"/>
          <w:rtl/>
        </w:rPr>
        <w:t>בפי</w:t>
      </w:r>
      <w:r w:rsidRPr="00C3571A">
        <w:rPr>
          <w:rFonts w:cs="Arial"/>
          <w:sz w:val="20"/>
          <w:szCs w:val="20"/>
          <w:rtl/>
        </w:rPr>
        <w:t xml:space="preserve"> </w:t>
      </w:r>
      <w:r w:rsidRPr="00C3571A">
        <w:rPr>
          <w:rFonts w:cs="Arial" w:hint="cs"/>
          <w:sz w:val="20"/>
          <w:szCs w:val="20"/>
          <w:rtl/>
        </w:rPr>
        <w:t>כריסה</w:t>
      </w:r>
      <w:r w:rsidRPr="00C3571A">
        <w:rPr>
          <w:rFonts w:cs="Arial"/>
          <w:sz w:val="20"/>
          <w:szCs w:val="20"/>
          <w:rtl/>
        </w:rPr>
        <w:t xml:space="preserve"> </w:t>
      </w:r>
      <w:r w:rsidRPr="00C3571A">
        <w:rPr>
          <w:rFonts w:cs="Arial" w:hint="cs"/>
          <w:sz w:val="20"/>
          <w:szCs w:val="20"/>
          <w:rtl/>
        </w:rPr>
        <w:t>ובשיפולי</w:t>
      </w:r>
      <w:r w:rsidRPr="00C3571A">
        <w:rPr>
          <w:rFonts w:cs="Arial"/>
          <w:sz w:val="20"/>
          <w:szCs w:val="20"/>
          <w:rtl/>
        </w:rPr>
        <w:t xml:space="preserve"> </w:t>
      </w:r>
      <w:r w:rsidRPr="00C3571A">
        <w:rPr>
          <w:rFonts w:cs="Arial" w:hint="cs"/>
          <w:sz w:val="20"/>
          <w:szCs w:val="20"/>
          <w:rtl/>
        </w:rPr>
        <w:t>מעיה</w:t>
      </w:r>
      <w:r w:rsidRPr="00C3571A">
        <w:rPr>
          <w:rFonts w:cs="Arial"/>
          <w:sz w:val="20"/>
          <w:szCs w:val="20"/>
          <w:rtl/>
        </w:rPr>
        <w:t xml:space="preserve">, </w:t>
      </w:r>
      <w:r w:rsidRPr="00C3571A">
        <w:rPr>
          <w:rFonts w:cs="Arial" w:hint="cs"/>
          <w:sz w:val="20"/>
          <w:szCs w:val="20"/>
          <w:rtl/>
        </w:rPr>
        <w:t>או</w:t>
      </w:r>
      <w:r w:rsidRPr="00C3571A">
        <w:rPr>
          <w:rFonts w:cs="Arial"/>
          <w:sz w:val="20"/>
          <w:szCs w:val="20"/>
          <w:rtl/>
        </w:rPr>
        <w:t xml:space="preserve"> </w:t>
      </w:r>
      <w:r w:rsidRPr="00C3571A">
        <w:rPr>
          <w:rFonts w:cs="Arial" w:hint="cs"/>
          <w:sz w:val="20"/>
          <w:szCs w:val="20"/>
          <w:rtl/>
        </w:rPr>
        <w:t>שאחזוה</w:t>
      </w:r>
      <w:r w:rsidRPr="00C3571A">
        <w:rPr>
          <w:rFonts w:cs="Arial"/>
          <w:sz w:val="20"/>
          <w:szCs w:val="20"/>
          <w:rtl/>
        </w:rPr>
        <w:t xml:space="preserve"> </w:t>
      </w:r>
      <w:r w:rsidRPr="00C3571A">
        <w:rPr>
          <w:rFonts w:cs="Arial" w:hint="cs"/>
          <w:sz w:val="20"/>
          <w:szCs w:val="20"/>
          <w:rtl/>
        </w:rPr>
        <w:t>צירי</w:t>
      </w:r>
      <w:r w:rsidRPr="00C3571A">
        <w:rPr>
          <w:rFonts w:cs="Arial"/>
          <w:sz w:val="20"/>
          <w:szCs w:val="20"/>
          <w:rtl/>
        </w:rPr>
        <w:t xml:space="preserve"> </w:t>
      </w:r>
      <w:r w:rsidRPr="00C3571A">
        <w:rPr>
          <w:rFonts w:cs="Arial" w:hint="cs"/>
          <w:sz w:val="20"/>
          <w:szCs w:val="20"/>
          <w:rtl/>
        </w:rPr>
        <w:t>הקדחת</w:t>
      </w:r>
      <w:r w:rsidRPr="00C3571A">
        <w:rPr>
          <w:rFonts w:cs="Arial"/>
          <w:sz w:val="20"/>
          <w:szCs w:val="20"/>
          <w:rtl/>
        </w:rPr>
        <w:t xml:space="preserve">, </w:t>
      </w:r>
      <w:r w:rsidRPr="00C3571A">
        <w:rPr>
          <w:rFonts w:cs="Arial" w:hint="cs"/>
          <w:sz w:val="20"/>
          <w:szCs w:val="20"/>
          <w:rtl/>
        </w:rPr>
        <w:t>או</w:t>
      </w:r>
      <w:r w:rsidRPr="00C3571A">
        <w:rPr>
          <w:rFonts w:cs="Arial"/>
          <w:sz w:val="20"/>
          <w:szCs w:val="20"/>
          <w:rtl/>
        </w:rPr>
        <w:t xml:space="preserve"> </w:t>
      </w:r>
      <w:r w:rsidRPr="00C3571A">
        <w:rPr>
          <w:rFonts w:cs="Arial" w:hint="cs"/>
          <w:sz w:val="20"/>
          <w:szCs w:val="20"/>
          <w:rtl/>
        </w:rPr>
        <w:t>שראשה</w:t>
      </w:r>
      <w:r w:rsidRPr="00C3571A">
        <w:rPr>
          <w:rFonts w:cs="Arial"/>
          <w:sz w:val="20"/>
          <w:szCs w:val="20"/>
          <w:rtl/>
        </w:rPr>
        <w:t xml:space="preserve"> </w:t>
      </w:r>
      <w:r w:rsidRPr="00C3571A">
        <w:rPr>
          <w:rFonts w:cs="Arial" w:hint="cs"/>
          <w:sz w:val="20"/>
          <w:szCs w:val="20"/>
          <w:rtl/>
        </w:rPr>
        <w:t>ואיבריה</w:t>
      </w:r>
      <w:r w:rsidRPr="00C3571A">
        <w:rPr>
          <w:rFonts w:cs="Arial"/>
          <w:sz w:val="20"/>
          <w:szCs w:val="20"/>
          <w:rtl/>
        </w:rPr>
        <w:t xml:space="preserve"> </w:t>
      </w:r>
      <w:r w:rsidRPr="00C3571A">
        <w:rPr>
          <w:rFonts w:cs="Arial" w:hint="cs"/>
          <w:sz w:val="20"/>
          <w:szCs w:val="20"/>
          <w:rtl/>
        </w:rPr>
        <w:t>כבדים</w:t>
      </w:r>
      <w:r w:rsidRPr="00C3571A">
        <w:rPr>
          <w:rFonts w:cs="Arial"/>
          <w:sz w:val="20"/>
          <w:szCs w:val="20"/>
          <w:rtl/>
        </w:rPr>
        <w:t xml:space="preserve"> </w:t>
      </w:r>
      <w:r w:rsidRPr="00C3571A">
        <w:rPr>
          <w:rFonts w:cs="Arial" w:hint="cs"/>
          <w:sz w:val="20"/>
          <w:szCs w:val="20"/>
          <w:rtl/>
        </w:rPr>
        <w:t>עליה</w:t>
      </w:r>
      <w:r w:rsidRPr="00C3571A">
        <w:rPr>
          <w:rFonts w:cs="Arial"/>
          <w:sz w:val="20"/>
          <w:szCs w:val="20"/>
          <w:rtl/>
        </w:rPr>
        <w:t xml:space="preserve">, </w:t>
      </w:r>
      <w:r w:rsidRPr="00C3571A">
        <w:rPr>
          <w:rFonts w:cs="Arial" w:hint="cs"/>
          <w:sz w:val="20"/>
          <w:szCs w:val="20"/>
          <w:rtl/>
        </w:rPr>
        <w:t>בכל</w:t>
      </w:r>
      <w:r w:rsidRPr="00C3571A">
        <w:rPr>
          <w:rFonts w:cs="Arial"/>
          <w:sz w:val="20"/>
          <w:szCs w:val="20"/>
          <w:rtl/>
        </w:rPr>
        <w:t xml:space="preserve"> </w:t>
      </w:r>
      <w:r w:rsidRPr="00C3571A">
        <w:rPr>
          <w:rFonts w:cs="Arial" w:hint="cs"/>
          <w:sz w:val="20"/>
          <w:szCs w:val="20"/>
          <w:rtl/>
        </w:rPr>
        <w:t>אחד</w:t>
      </w:r>
      <w:r w:rsidRPr="00C3571A">
        <w:rPr>
          <w:rFonts w:cs="Arial"/>
          <w:sz w:val="20"/>
          <w:szCs w:val="20"/>
          <w:rtl/>
        </w:rPr>
        <w:t xml:space="preserve"> </w:t>
      </w:r>
      <w:r w:rsidRPr="00C3571A">
        <w:rPr>
          <w:rFonts w:cs="Arial" w:hint="cs"/>
          <w:sz w:val="20"/>
          <w:szCs w:val="20"/>
          <w:rtl/>
        </w:rPr>
        <w:t>מאלו</w:t>
      </w:r>
      <w:r w:rsidRPr="00C3571A">
        <w:rPr>
          <w:rFonts w:cs="Arial"/>
          <w:sz w:val="20"/>
          <w:szCs w:val="20"/>
          <w:rtl/>
        </w:rPr>
        <w:t xml:space="preserve"> </w:t>
      </w:r>
      <w:r w:rsidRPr="00C3571A">
        <w:rPr>
          <w:rFonts w:cs="Arial" w:hint="cs"/>
          <w:sz w:val="20"/>
          <w:szCs w:val="20"/>
          <w:rtl/>
        </w:rPr>
        <w:t>אם</w:t>
      </w:r>
      <w:r w:rsidRPr="00C3571A">
        <w:rPr>
          <w:rFonts w:cs="Arial"/>
          <w:sz w:val="20"/>
          <w:szCs w:val="20"/>
          <w:rtl/>
        </w:rPr>
        <w:t xml:space="preserve"> </w:t>
      </w:r>
      <w:r w:rsidRPr="00C3571A">
        <w:rPr>
          <w:rFonts w:cs="Arial" w:hint="cs"/>
          <w:sz w:val="20"/>
          <w:szCs w:val="20"/>
          <w:rtl/>
        </w:rPr>
        <w:t>יארע</w:t>
      </w:r>
      <w:r w:rsidRPr="00C3571A">
        <w:rPr>
          <w:rFonts w:cs="Arial"/>
          <w:sz w:val="20"/>
          <w:szCs w:val="20"/>
          <w:rtl/>
        </w:rPr>
        <w:t xml:space="preserve"> </w:t>
      </w:r>
      <w:r w:rsidRPr="00C3571A">
        <w:rPr>
          <w:rFonts w:cs="Arial" w:hint="cs"/>
          <w:sz w:val="20"/>
          <w:szCs w:val="20"/>
          <w:rtl/>
        </w:rPr>
        <w:t>לה</w:t>
      </w:r>
      <w:r w:rsidRPr="00C3571A">
        <w:rPr>
          <w:rFonts w:cs="Arial"/>
          <w:sz w:val="20"/>
          <w:szCs w:val="20"/>
          <w:rtl/>
        </w:rPr>
        <w:t xml:space="preserve"> </w:t>
      </w:r>
      <w:r w:rsidRPr="00C3571A">
        <w:rPr>
          <w:rFonts w:cs="Arial" w:hint="cs"/>
          <w:sz w:val="20"/>
          <w:szCs w:val="20"/>
          <w:rtl/>
        </w:rPr>
        <w:t>של</w:t>
      </w:r>
      <w:r>
        <w:rPr>
          <w:rFonts w:cs="Arial" w:hint="cs"/>
          <w:sz w:val="20"/>
          <w:szCs w:val="20"/>
          <w:rtl/>
        </w:rPr>
        <w:t>ו</w:t>
      </w:r>
      <w:r w:rsidRPr="00C3571A">
        <w:rPr>
          <w:rFonts w:cs="Arial" w:hint="cs"/>
          <w:sz w:val="20"/>
          <w:szCs w:val="20"/>
          <w:rtl/>
        </w:rPr>
        <w:t>שה</w:t>
      </w:r>
      <w:r w:rsidRPr="00C3571A">
        <w:rPr>
          <w:rFonts w:cs="Arial"/>
          <w:sz w:val="20"/>
          <w:szCs w:val="20"/>
          <w:rtl/>
        </w:rPr>
        <w:t xml:space="preserve"> </w:t>
      </w:r>
      <w:r w:rsidRPr="00C3571A">
        <w:rPr>
          <w:rFonts w:cs="Arial" w:hint="cs"/>
          <w:sz w:val="20"/>
          <w:szCs w:val="20"/>
          <w:rtl/>
        </w:rPr>
        <w:t>פעמים</w:t>
      </w:r>
      <w:r w:rsidRPr="00C3571A">
        <w:rPr>
          <w:rFonts w:cs="Arial"/>
          <w:sz w:val="20"/>
          <w:szCs w:val="20"/>
          <w:rtl/>
        </w:rPr>
        <w:t xml:space="preserve">, </w:t>
      </w:r>
      <w:r w:rsidRPr="00C3571A">
        <w:rPr>
          <w:rFonts w:cs="Arial" w:hint="cs"/>
          <w:sz w:val="20"/>
          <w:szCs w:val="20"/>
          <w:rtl/>
        </w:rPr>
        <w:t>וראתה</w:t>
      </w:r>
      <w:r w:rsidRPr="00C3571A">
        <w:rPr>
          <w:rFonts w:cs="Arial"/>
          <w:sz w:val="20"/>
          <w:szCs w:val="20"/>
          <w:rtl/>
        </w:rPr>
        <w:t xml:space="preserve">, </w:t>
      </w:r>
      <w:r w:rsidRPr="00C3571A">
        <w:rPr>
          <w:rFonts w:cs="Arial" w:hint="cs"/>
          <w:sz w:val="20"/>
          <w:szCs w:val="20"/>
          <w:rtl/>
        </w:rPr>
        <w:t>קבעה</w:t>
      </w:r>
      <w:r w:rsidRPr="00C3571A">
        <w:rPr>
          <w:rFonts w:cs="Arial"/>
          <w:sz w:val="20"/>
          <w:szCs w:val="20"/>
          <w:rtl/>
        </w:rPr>
        <w:t xml:space="preserve"> </w:t>
      </w:r>
      <w:r w:rsidRPr="00C3571A">
        <w:rPr>
          <w:rFonts w:cs="Arial" w:hint="cs"/>
          <w:sz w:val="20"/>
          <w:szCs w:val="20"/>
          <w:rtl/>
        </w:rPr>
        <w:t>לה</w:t>
      </w:r>
      <w:r w:rsidRPr="00C3571A">
        <w:rPr>
          <w:rFonts w:cs="Arial"/>
          <w:sz w:val="20"/>
          <w:szCs w:val="20"/>
          <w:rtl/>
        </w:rPr>
        <w:t xml:space="preserve"> </w:t>
      </w:r>
      <w:r w:rsidRPr="00C3571A">
        <w:rPr>
          <w:rFonts w:cs="Arial" w:hint="cs"/>
          <w:sz w:val="20"/>
          <w:szCs w:val="20"/>
          <w:rtl/>
        </w:rPr>
        <w:t>וסת</w:t>
      </w:r>
      <w:r w:rsidRPr="00C3571A">
        <w:rPr>
          <w:rFonts w:cs="Arial"/>
          <w:sz w:val="20"/>
          <w:szCs w:val="20"/>
          <w:rtl/>
        </w:rPr>
        <w:t xml:space="preserve">, </w:t>
      </w:r>
      <w:r w:rsidRPr="00C3571A">
        <w:rPr>
          <w:rFonts w:cs="Arial" w:hint="cs"/>
          <w:sz w:val="20"/>
          <w:szCs w:val="20"/>
          <w:rtl/>
        </w:rPr>
        <w:t>שבכל</w:t>
      </w:r>
      <w:r w:rsidRPr="00C3571A">
        <w:rPr>
          <w:rFonts w:cs="Arial"/>
          <w:sz w:val="20"/>
          <w:szCs w:val="20"/>
          <w:rtl/>
        </w:rPr>
        <w:t xml:space="preserve"> </w:t>
      </w:r>
      <w:r w:rsidRPr="00C3571A">
        <w:rPr>
          <w:rFonts w:cs="Arial" w:hint="cs"/>
          <w:sz w:val="20"/>
          <w:szCs w:val="20"/>
          <w:rtl/>
        </w:rPr>
        <w:t>פעם</w:t>
      </w:r>
      <w:r w:rsidRPr="00C3571A">
        <w:rPr>
          <w:rFonts w:cs="Arial"/>
          <w:sz w:val="20"/>
          <w:szCs w:val="20"/>
          <w:rtl/>
        </w:rPr>
        <w:t xml:space="preserve"> </w:t>
      </w:r>
      <w:r w:rsidRPr="00C3571A">
        <w:rPr>
          <w:rFonts w:cs="Arial" w:hint="cs"/>
          <w:sz w:val="20"/>
          <w:szCs w:val="20"/>
          <w:rtl/>
        </w:rPr>
        <w:t>שהיא</w:t>
      </w:r>
      <w:r w:rsidRPr="00C3571A">
        <w:rPr>
          <w:rFonts w:cs="Arial"/>
          <w:sz w:val="20"/>
          <w:szCs w:val="20"/>
          <w:rtl/>
        </w:rPr>
        <w:t xml:space="preserve"> </w:t>
      </w:r>
      <w:r w:rsidRPr="00C3571A">
        <w:rPr>
          <w:rFonts w:cs="Arial" w:hint="cs"/>
          <w:sz w:val="20"/>
          <w:szCs w:val="20"/>
          <w:rtl/>
        </w:rPr>
        <w:t>חוששת</w:t>
      </w:r>
      <w:r w:rsidRPr="00C3571A">
        <w:rPr>
          <w:rFonts w:cs="Arial"/>
          <w:sz w:val="20"/>
          <w:szCs w:val="20"/>
          <w:rtl/>
        </w:rPr>
        <w:t xml:space="preserve"> </w:t>
      </w:r>
      <w:r w:rsidRPr="00C3571A">
        <w:rPr>
          <w:rFonts w:cs="Arial" w:hint="cs"/>
          <w:sz w:val="20"/>
          <w:szCs w:val="20"/>
          <w:rtl/>
        </w:rPr>
        <w:t>מהם</w:t>
      </w:r>
      <w:r w:rsidRPr="00C3571A">
        <w:rPr>
          <w:rFonts w:cs="Arial"/>
          <w:sz w:val="20"/>
          <w:szCs w:val="20"/>
          <w:rtl/>
        </w:rPr>
        <w:t xml:space="preserve">, </w:t>
      </w:r>
      <w:r w:rsidRPr="00C3571A">
        <w:rPr>
          <w:rFonts w:cs="Arial" w:hint="cs"/>
          <w:sz w:val="20"/>
          <w:szCs w:val="20"/>
          <w:rtl/>
        </w:rPr>
        <w:t>אסורה</w:t>
      </w:r>
      <w:r w:rsidRPr="00C3571A">
        <w:rPr>
          <w:rFonts w:cs="Arial"/>
          <w:sz w:val="20"/>
          <w:szCs w:val="20"/>
          <w:rtl/>
        </w:rPr>
        <w:t xml:space="preserve"> </w:t>
      </w:r>
      <w:r w:rsidRPr="00C3571A">
        <w:rPr>
          <w:rFonts w:cs="Arial" w:hint="cs"/>
          <w:sz w:val="20"/>
          <w:szCs w:val="20"/>
          <w:rtl/>
        </w:rPr>
        <w:t>לשמש</w:t>
      </w:r>
      <w:r>
        <w:rPr>
          <w:rStyle w:val="a5"/>
          <w:rFonts w:cs="Arial"/>
          <w:sz w:val="20"/>
          <w:szCs w:val="20"/>
          <w:rtl/>
        </w:rPr>
        <w:footnoteReference w:id="221"/>
      </w:r>
      <w:r w:rsidRPr="00C3571A">
        <w:rPr>
          <w:rFonts w:cs="Arial"/>
          <w:sz w:val="20"/>
          <w:szCs w:val="20"/>
          <w:rtl/>
        </w:rPr>
        <w:t xml:space="preserve">. </w:t>
      </w:r>
      <w:r w:rsidRPr="00C3571A">
        <w:rPr>
          <w:rFonts w:cs="Arial" w:hint="cs"/>
          <w:sz w:val="20"/>
          <w:szCs w:val="20"/>
          <w:rtl/>
        </w:rPr>
        <w:t>ומיהו</w:t>
      </w:r>
      <w:r w:rsidRPr="00C3571A">
        <w:rPr>
          <w:rFonts w:cs="Arial"/>
          <w:sz w:val="20"/>
          <w:szCs w:val="20"/>
          <w:rtl/>
        </w:rPr>
        <w:t xml:space="preserve"> </w:t>
      </w:r>
      <w:r w:rsidRPr="00C3571A">
        <w:rPr>
          <w:rFonts w:cs="Arial" w:hint="cs"/>
          <w:sz w:val="20"/>
          <w:szCs w:val="20"/>
          <w:rtl/>
        </w:rPr>
        <w:t>בפיהוק</w:t>
      </w:r>
      <w:r w:rsidRPr="00C3571A">
        <w:rPr>
          <w:rFonts w:cs="Arial"/>
          <w:sz w:val="20"/>
          <w:szCs w:val="20"/>
          <w:rtl/>
        </w:rPr>
        <w:t xml:space="preserve"> </w:t>
      </w:r>
      <w:r w:rsidRPr="00C3571A">
        <w:rPr>
          <w:rFonts w:cs="Arial" w:hint="cs"/>
          <w:sz w:val="20"/>
          <w:szCs w:val="20"/>
          <w:rtl/>
        </w:rPr>
        <w:t>או</w:t>
      </w:r>
      <w:r w:rsidRPr="00C3571A">
        <w:rPr>
          <w:rFonts w:cs="Arial"/>
          <w:sz w:val="20"/>
          <w:szCs w:val="20"/>
          <w:rtl/>
        </w:rPr>
        <w:t xml:space="preserve"> </w:t>
      </w:r>
      <w:r w:rsidRPr="00C3571A">
        <w:rPr>
          <w:rFonts w:cs="Arial" w:hint="cs"/>
          <w:sz w:val="20"/>
          <w:szCs w:val="20"/>
          <w:rtl/>
        </w:rPr>
        <w:t>עיטוש</w:t>
      </w:r>
      <w:r w:rsidRPr="00C3571A">
        <w:rPr>
          <w:rFonts w:cs="Arial"/>
          <w:sz w:val="20"/>
          <w:szCs w:val="20"/>
          <w:rtl/>
        </w:rPr>
        <w:t xml:space="preserve"> </w:t>
      </w:r>
      <w:r w:rsidRPr="00C3571A">
        <w:rPr>
          <w:rFonts w:cs="Arial" w:hint="cs"/>
          <w:sz w:val="20"/>
          <w:szCs w:val="20"/>
          <w:rtl/>
        </w:rPr>
        <w:t>של</w:t>
      </w:r>
      <w:r w:rsidRPr="00C3571A">
        <w:rPr>
          <w:rFonts w:cs="Arial"/>
          <w:sz w:val="20"/>
          <w:szCs w:val="20"/>
          <w:rtl/>
        </w:rPr>
        <w:t xml:space="preserve"> </w:t>
      </w:r>
      <w:r w:rsidRPr="00C3571A">
        <w:rPr>
          <w:rFonts w:cs="Arial" w:hint="cs"/>
          <w:sz w:val="20"/>
          <w:szCs w:val="20"/>
          <w:rtl/>
        </w:rPr>
        <w:t>פעם</w:t>
      </w:r>
      <w:r w:rsidRPr="00C3571A">
        <w:rPr>
          <w:rFonts w:cs="Arial"/>
          <w:sz w:val="20"/>
          <w:szCs w:val="20"/>
          <w:rtl/>
        </w:rPr>
        <w:t xml:space="preserve"> </w:t>
      </w:r>
      <w:r w:rsidRPr="00C3571A">
        <w:rPr>
          <w:rFonts w:cs="Arial" w:hint="cs"/>
          <w:sz w:val="20"/>
          <w:szCs w:val="20"/>
          <w:rtl/>
        </w:rPr>
        <w:t>אחד</w:t>
      </w:r>
      <w:r w:rsidRPr="00C3571A">
        <w:rPr>
          <w:rFonts w:cs="Arial"/>
          <w:sz w:val="20"/>
          <w:szCs w:val="20"/>
          <w:rtl/>
        </w:rPr>
        <w:t xml:space="preserve"> </w:t>
      </w:r>
      <w:r w:rsidRPr="00C3571A">
        <w:rPr>
          <w:rFonts w:cs="Arial" w:hint="cs"/>
          <w:sz w:val="20"/>
          <w:szCs w:val="20"/>
          <w:rtl/>
        </w:rPr>
        <w:t>אין</w:t>
      </w:r>
      <w:r w:rsidRPr="00C3571A">
        <w:rPr>
          <w:rFonts w:cs="Arial"/>
          <w:sz w:val="20"/>
          <w:szCs w:val="20"/>
          <w:rtl/>
        </w:rPr>
        <w:t xml:space="preserve"> </w:t>
      </w:r>
      <w:r w:rsidRPr="00C3571A">
        <w:rPr>
          <w:rFonts w:cs="Arial" w:hint="cs"/>
          <w:sz w:val="20"/>
          <w:szCs w:val="20"/>
          <w:rtl/>
        </w:rPr>
        <w:t>הוסת</w:t>
      </w:r>
      <w:r w:rsidRPr="00C3571A">
        <w:rPr>
          <w:rFonts w:cs="Arial"/>
          <w:sz w:val="20"/>
          <w:szCs w:val="20"/>
          <w:rtl/>
        </w:rPr>
        <w:t xml:space="preserve"> </w:t>
      </w:r>
      <w:r w:rsidRPr="00C3571A">
        <w:rPr>
          <w:rFonts w:cs="Arial" w:hint="cs"/>
          <w:sz w:val="20"/>
          <w:szCs w:val="20"/>
          <w:rtl/>
        </w:rPr>
        <w:t>נקבע</w:t>
      </w:r>
      <w:r w:rsidRPr="00C3571A">
        <w:rPr>
          <w:rFonts w:cs="Arial"/>
          <w:sz w:val="20"/>
          <w:szCs w:val="20"/>
          <w:rtl/>
        </w:rPr>
        <w:t xml:space="preserve">, </w:t>
      </w:r>
      <w:r w:rsidRPr="00C3571A">
        <w:rPr>
          <w:rFonts w:cs="Arial" w:hint="cs"/>
          <w:sz w:val="20"/>
          <w:szCs w:val="20"/>
          <w:rtl/>
        </w:rPr>
        <w:t>אלא</w:t>
      </w:r>
      <w:r w:rsidRPr="00C3571A">
        <w:rPr>
          <w:rFonts w:cs="Arial"/>
          <w:sz w:val="20"/>
          <w:szCs w:val="20"/>
          <w:rtl/>
        </w:rPr>
        <w:t xml:space="preserve"> </w:t>
      </w:r>
      <w:r w:rsidRPr="00C3571A">
        <w:rPr>
          <w:rFonts w:cs="Arial" w:hint="cs"/>
          <w:sz w:val="20"/>
          <w:szCs w:val="20"/>
          <w:rtl/>
        </w:rPr>
        <w:t>כשעושה</w:t>
      </w:r>
      <w:r w:rsidRPr="00C3571A">
        <w:rPr>
          <w:rFonts w:cs="Arial"/>
          <w:sz w:val="20"/>
          <w:szCs w:val="20"/>
          <w:rtl/>
        </w:rPr>
        <w:t xml:space="preserve"> </w:t>
      </w:r>
      <w:r w:rsidRPr="00C3571A">
        <w:rPr>
          <w:rFonts w:cs="Arial" w:hint="cs"/>
          <w:sz w:val="20"/>
          <w:szCs w:val="20"/>
          <w:rtl/>
        </w:rPr>
        <w:t>כן</w:t>
      </w:r>
      <w:r w:rsidRPr="00C3571A">
        <w:rPr>
          <w:rFonts w:cs="Arial"/>
          <w:sz w:val="20"/>
          <w:szCs w:val="20"/>
          <w:rtl/>
        </w:rPr>
        <w:t xml:space="preserve"> </w:t>
      </w:r>
      <w:r w:rsidRPr="00C3571A">
        <w:rPr>
          <w:rFonts w:cs="Arial" w:hint="cs"/>
          <w:sz w:val="20"/>
          <w:szCs w:val="20"/>
          <w:rtl/>
        </w:rPr>
        <w:t>הרבה</w:t>
      </w:r>
      <w:r w:rsidRPr="00C3571A">
        <w:rPr>
          <w:rFonts w:cs="Arial"/>
          <w:sz w:val="20"/>
          <w:szCs w:val="20"/>
          <w:rtl/>
        </w:rPr>
        <w:t xml:space="preserve"> </w:t>
      </w:r>
      <w:r w:rsidRPr="00C3571A">
        <w:rPr>
          <w:rFonts w:cs="Arial" w:hint="cs"/>
          <w:sz w:val="20"/>
          <w:szCs w:val="20"/>
          <w:rtl/>
        </w:rPr>
        <w:t>פעמים</w:t>
      </w:r>
      <w:r w:rsidRPr="00C3571A">
        <w:rPr>
          <w:rFonts w:cs="Arial"/>
          <w:sz w:val="20"/>
          <w:szCs w:val="20"/>
          <w:rtl/>
        </w:rPr>
        <w:t xml:space="preserve"> </w:t>
      </w:r>
      <w:r w:rsidRPr="00C3571A">
        <w:rPr>
          <w:rFonts w:cs="Arial" w:hint="cs"/>
          <w:sz w:val="20"/>
          <w:szCs w:val="20"/>
          <w:rtl/>
        </w:rPr>
        <w:t>זה</w:t>
      </w:r>
      <w:r w:rsidRPr="00C3571A">
        <w:rPr>
          <w:rFonts w:cs="Arial"/>
          <w:sz w:val="20"/>
          <w:szCs w:val="20"/>
          <w:rtl/>
        </w:rPr>
        <w:t xml:space="preserve"> </w:t>
      </w:r>
      <w:r w:rsidRPr="00C3571A">
        <w:rPr>
          <w:rFonts w:cs="Arial" w:hint="cs"/>
          <w:sz w:val="20"/>
          <w:szCs w:val="20"/>
          <w:rtl/>
        </w:rPr>
        <w:t>אחר</w:t>
      </w:r>
      <w:r w:rsidRPr="00C3571A">
        <w:rPr>
          <w:rFonts w:cs="Arial"/>
          <w:sz w:val="20"/>
          <w:szCs w:val="20"/>
          <w:rtl/>
        </w:rPr>
        <w:t xml:space="preserve"> </w:t>
      </w:r>
      <w:r w:rsidRPr="00C3571A">
        <w:rPr>
          <w:rFonts w:cs="Arial" w:hint="cs"/>
          <w:sz w:val="20"/>
          <w:szCs w:val="20"/>
          <w:rtl/>
        </w:rPr>
        <w:t>זה</w:t>
      </w:r>
      <w:r w:rsidRPr="00C3571A">
        <w:rPr>
          <w:rFonts w:cs="Arial"/>
          <w:sz w:val="20"/>
          <w:szCs w:val="20"/>
          <w:rtl/>
        </w:rPr>
        <w:t xml:space="preserve">. </w:t>
      </w:r>
      <w:r w:rsidRPr="00C3571A">
        <w:rPr>
          <w:rFonts w:cs="Arial" w:hint="cs"/>
          <w:sz w:val="20"/>
          <w:szCs w:val="20"/>
          <w:rtl/>
        </w:rPr>
        <w:t>ואם</w:t>
      </w:r>
      <w:r w:rsidRPr="00C3571A">
        <w:rPr>
          <w:rFonts w:cs="Arial"/>
          <w:sz w:val="20"/>
          <w:szCs w:val="20"/>
          <w:rtl/>
        </w:rPr>
        <w:t xml:space="preserve"> </w:t>
      </w:r>
      <w:r w:rsidRPr="00C3571A">
        <w:rPr>
          <w:rFonts w:cs="Arial" w:hint="cs"/>
          <w:sz w:val="20"/>
          <w:szCs w:val="20"/>
          <w:rtl/>
        </w:rPr>
        <w:t>אירע</w:t>
      </w:r>
      <w:r w:rsidRPr="00C3571A">
        <w:rPr>
          <w:rFonts w:cs="Arial"/>
          <w:sz w:val="20"/>
          <w:szCs w:val="20"/>
          <w:rtl/>
        </w:rPr>
        <w:t xml:space="preserve"> </w:t>
      </w:r>
      <w:r w:rsidRPr="00C3571A">
        <w:rPr>
          <w:rFonts w:cs="Arial" w:hint="cs"/>
          <w:sz w:val="20"/>
          <w:szCs w:val="20"/>
          <w:rtl/>
        </w:rPr>
        <w:t>לה</w:t>
      </w:r>
      <w:r w:rsidRPr="00C3571A">
        <w:rPr>
          <w:rFonts w:cs="Arial"/>
          <w:sz w:val="20"/>
          <w:szCs w:val="20"/>
          <w:rtl/>
        </w:rPr>
        <w:t xml:space="preserve"> </w:t>
      </w:r>
      <w:r w:rsidRPr="00C3571A">
        <w:rPr>
          <w:rFonts w:cs="Arial" w:hint="cs"/>
          <w:sz w:val="20"/>
          <w:szCs w:val="20"/>
          <w:rtl/>
        </w:rPr>
        <w:t>שלשה</w:t>
      </w:r>
      <w:r w:rsidRPr="00C3571A">
        <w:rPr>
          <w:rFonts w:cs="Arial"/>
          <w:sz w:val="20"/>
          <w:szCs w:val="20"/>
          <w:rtl/>
        </w:rPr>
        <w:t xml:space="preserve"> </w:t>
      </w:r>
      <w:r w:rsidRPr="00C3571A">
        <w:rPr>
          <w:rFonts w:cs="Arial" w:hint="cs"/>
          <w:sz w:val="20"/>
          <w:szCs w:val="20"/>
          <w:rtl/>
        </w:rPr>
        <w:t>פעמים</w:t>
      </w:r>
      <w:r w:rsidRPr="00C3571A">
        <w:rPr>
          <w:rFonts w:cs="Arial"/>
          <w:sz w:val="20"/>
          <w:szCs w:val="20"/>
          <w:rtl/>
        </w:rPr>
        <w:t xml:space="preserve">, </w:t>
      </w:r>
      <w:r w:rsidRPr="00C3571A">
        <w:rPr>
          <w:rFonts w:cs="Arial" w:hint="cs"/>
          <w:sz w:val="20"/>
          <w:szCs w:val="20"/>
          <w:rtl/>
        </w:rPr>
        <w:t>שבכל</w:t>
      </w:r>
      <w:r w:rsidRPr="00C3571A">
        <w:rPr>
          <w:rFonts w:cs="Arial"/>
          <w:sz w:val="20"/>
          <w:szCs w:val="20"/>
          <w:rtl/>
        </w:rPr>
        <w:t xml:space="preserve"> </w:t>
      </w:r>
      <w:r w:rsidRPr="00C3571A">
        <w:rPr>
          <w:rFonts w:cs="Arial" w:hint="cs"/>
          <w:sz w:val="20"/>
          <w:szCs w:val="20"/>
          <w:rtl/>
        </w:rPr>
        <w:t>פעם</w:t>
      </w:r>
      <w:r w:rsidRPr="00C3571A">
        <w:rPr>
          <w:rFonts w:cs="Arial"/>
          <w:sz w:val="20"/>
          <w:szCs w:val="20"/>
          <w:rtl/>
        </w:rPr>
        <w:t xml:space="preserve"> </w:t>
      </w:r>
      <w:r w:rsidRPr="00C3571A">
        <w:rPr>
          <w:rFonts w:cs="Arial" w:hint="cs"/>
          <w:sz w:val="20"/>
          <w:szCs w:val="20"/>
          <w:rtl/>
        </w:rPr>
        <w:t>עשתה</w:t>
      </w:r>
      <w:r w:rsidRPr="00C3571A">
        <w:rPr>
          <w:rFonts w:cs="Arial"/>
          <w:sz w:val="20"/>
          <w:szCs w:val="20"/>
          <w:rtl/>
        </w:rPr>
        <w:t xml:space="preserve"> </w:t>
      </w:r>
      <w:r w:rsidRPr="00C3571A">
        <w:rPr>
          <w:rFonts w:cs="Arial" w:hint="cs"/>
          <w:sz w:val="20"/>
          <w:szCs w:val="20"/>
          <w:rtl/>
        </w:rPr>
        <w:t>כן</w:t>
      </w:r>
      <w:r w:rsidRPr="00C3571A">
        <w:rPr>
          <w:rFonts w:cs="Arial"/>
          <w:sz w:val="20"/>
          <w:szCs w:val="20"/>
          <w:rtl/>
        </w:rPr>
        <w:t xml:space="preserve"> </w:t>
      </w:r>
      <w:r w:rsidRPr="00C3571A">
        <w:rPr>
          <w:rFonts w:cs="Arial" w:hint="cs"/>
          <w:sz w:val="20"/>
          <w:szCs w:val="20"/>
          <w:rtl/>
        </w:rPr>
        <w:t>הרבה</w:t>
      </w:r>
      <w:r w:rsidRPr="00C3571A">
        <w:rPr>
          <w:rFonts w:cs="Arial"/>
          <w:sz w:val="20"/>
          <w:szCs w:val="20"/>
          <w:rtl/>
        </w:rPr>
        <w:t xml:space="preserve"> </w:t>
      </w:r>
      <w:r w:rsidRPr="00C3571A">
        <w:rPr>
          <w:rFonts w:cs="Arial" w:hint="cs"/>
          <w:sz w:val="20"/>
          <w:szCs w:val="20"/>
          <w:rtl/>
        </w:rPr>
        <w:t>פעמים</w:t>
      </w:r>
      <w:r w:rsidRPr="00C3571A">
        <w:rPr>
          <w:rFonts w:cs="Arial"/>
          <w:sz w:val="20"/>
          <w:szCs w:val="20"/>
          <w:rtl/>
        </w:rPr>
        <w:t xml:space="preserve">, </w:t>
      </w:r>
      <w:r w:rsidRPr="00C3571A">
        <w:rPr>
          <w:rFonts w:cs="Arial" w:hint="cs"/>
          <w:sz w:val="20"/>
          <w:szCs w:val="20"/>
          <w:rtl/>
        </w:rPr>
        <w:t>הרי</w:t>
      </w:r>
      <w:r w:rsidRPr="00C3571A">
        <w:rPr>
          <w:rFonts w:cs="Arial"/>
          <w:sz w:val="20"/>
          <w:szCs w:val="20"/>
          <w:rtl/>
        </w:rPr>
        <w:t xml:space="preserve"> </w:t>
      </w:r>
      <w:r w:rsidRPr="00C3571A">
        <w:rPr>
          <w:rFonts w:cs="Arial" w:hint="cs"/>
          <w:sz w:val="20"/>
          <w:szCs w:val="20"/>
          <w:rtl/>
        </w:rPr>
        <w:t>זה</w:t>
      </w:r>
      <w:r w:rsidRPr="00C3571A">
        <w:rPr>
          <w:rFonts w:cs="Arial"/>
          <w:sz w:val="20"/>
          <w:szCs w:val="20"/>
          <w:rtl/>
        </w:rPr>
        <w:t xml:space="preserve"> </w:t>
      </w:r>
      <w:r w:rsidRPr="00C3571A">
        <w:rPr>
          <w:rFonts w:cs="Arial" w:hint="cs"/>
          <w:sz w:val="20"/>
          <w:szCs w:val="20"/>
          <w:rtl/>
        </w:rPr>
        <w:t>וסת</w:t>
      </w:r>
      <w:r>
        <w:rPr>
          <w:rFonts w:cs="Arial" w:hint="cs"/>
          <w:sz w:val="20"/>
          <w:szCs w:val="20"/>
          <w:rtl/>
        </w:rPr>
        <w:t>. ו</w:t>
      </w:r>
      <w:r w:rsidRPr="00F81529">
        <w:rPr>
          <w:rFonts w:cs="Arial" w:hint="cs"/>
          <w:sz w:val="20"/>
          <w:szCs w:val="20"/>
          <w:rtl/>
        </w:rPr>
        <w:t>כל</w:t>
      </w:r>
      <w:r w:rsidRPr="00F81529">
        <w:rPr>
          <w:rFonts w:cs="Arial"/>
          <w:sz w:val="20"/>
          <w:szCs w:val="20"/>
          <w:rtl/>
        </w:rPr>
        <w:t xml:space="preserve"> </w:t>
      </w:r>
      <w:r w:rsidRPr="00F81529">
        <w:rPr>
          <w:rFonts w:cs="Arial" w:hint="cs"/>
          <w:sz w:val="20"/>
          <w:szCs w:val="20"/>
          <w:rtl/>
        </w:rPr>
        <w:t>אלו</w:t>
      </w:r>
      <w:r w:rsidRPr="00F81529">
        <w:rPr>
          <w:rFonts w:cs="Arial"/>
          <w:sz w:val="20"/>
          <w:szCs w:val="20"/>
          <w:rtl/>
        </w:rPr>
        <w:t xml:space="preserve"> </w:t>
      </w:r>
      <w:r w:rsidRPr="00F81529">
        <w:rPr>
          <w:rFonts w:cs="Arial" w:hint="cs"/>
          <w:sz w:val="20"/>
          <w:szCs w:val="20"/>
          <w:rtl/>
        </w:rPr>
        <w:t>הו</w:t>
      </w:r>
      <w:r>
        <w:rPr>
          <w:rFonts w:cs="Arial" w:hint="cs"/>
          <w:sz w:val="20"/>
          <w:szCs w:val="20"/>
          <w:rtl/>
        </w:rPr>
        <w:t>ו</w:t>
      </w:r>
      <w:r w:rsidRPr="00F81529">
        <w:rPr>
          <w:rFonts w:cs="Arial" w:hint="cs"/>
          <w:sz w:val="20"/>
          <w:szCs w:val="20"/>
          <w:rtl/>
        </w:rPr>
        <w:t>סתות</w:t>
      </w:r>
      <w:r w:rsidRPr="00F81529">
        <w:rPr>
          <w:rFonts w:cs="Arial"/>
          <w:sz w:val="20"/>
          <w:szCs w:val="20"/>
          <w:rtl/>
        </w:rPr>
        <w:t xml:space="preserve"> </w:t>
      </w:r>
      <w:r w:rsidRPr="00F81529">
        <w:rPr>
          <w:rFonts w:cs="Arial" w:hint="cs"/>
          <w:sz w:val="20"/>
          <w:szCs w:val="20"/>
          <w:rtl/>
        </w:rPr>
        <w:t>שבגופה</w:t>
      </w:r>
      <w:r w:rsidRPr="00F81529">
        <w:rPr>
          <w:rFonts w:cs="Arial"/>
          <w:sz w:val="20"/>
          <w:szCs w:val="20"/>
          <w:rtl/>
        </w:rPr>
        <w:t xml:space="preserve"> </w:t>
      </w:r>
      <w:r w:rsidRPr="00F81529">
        <w:rPr>
          <w:rFonts w:cs="Arial" w:hint="cs"/>
          <w:sz w:val="20"/>
          <w:szCs w:val="20"/>
          <w:rtl/>
        </w:rPr>
        <w:t>אין</w:t>
      </w:r>
      <w:r w:rsidRPr="00F81529">
        <w:rPr>
          <w:rFonts w:cs="Arial"/>
          <w:sz w:val="20"/>
          <w:szCs w:val="20"/>
          <w:rtl/>
        </w:rPr>
        <w:t xml:space="preserve"> </w:t>
      </w:r>
      <w:r w:rsidRPr="00F81529">
        <w:rPr>
          <w:rFonts w:cs="Arial" w:hint="cs"/>
          <w:sz w:val="20"/>
          <w:szCs w:val="20"/>
          <w:rtl/>
        </w:rPr>
        <w:t>להם</w:t>
      </w:r>
      <w:r w:rsidRPr="00F81529">
        <w:rPr>
          <w:rFonts w:cs="Arial"/>
          <w:sz w:val="20"/>
          <w:szCs w:val="20"/>
          <w:rtl/>
        </w:rPr>
        <w:t xml:space="preserve"> </w:t>
      </w:r>
      <w:r w:rsidRPr="00F81529">
        <w:rPr>
          <w:rFonts w:cs="Arial" w:hint="cs"/>
          <w:sz w:val="20"/>
          <w:szCs w:val="20"/>
          <w:rtl/>
        </w:rPr>
        <w:t>זמן</w:t>
      </w:r>
      <w:r w:rsidRPr="00F81529">
        <w:rPr>
          <w:rFonts w:cs="Arial"/>
          <w:sz w:val="20"/>
          <w:szCs w:val="20"/>
          <w:rtl/>
        </w:rPr>
        <w:t xml:space="preserve"> </w:t>
      </w:r>
      <w:r w:rsidRPr="00F81529">
        <w:rPr>
          <w:rFonts w:cs="Arial" w:hint="cs"/>
          <w:sz w:val="20"/>
          <w:szCs w:val="20"/>
          <w:rtl/>
        </w:rPr>
        <w:t>ידוע</w:t>
      </w:r>
      <w:r w:rsidRPr="00F81529">
        <w:rPr>
          <w:rFonts w:cs="Arial"/>
          <w:sz w:val="20"/>
          <w:szCs w:val="20"/>
          <w:rtl/>
        </w:rPr>
        <w:t xml:space="preserve">, </w:t>
      </w:r>
      <w:r w:rsidRPr="00F81529">
        <w:rPr>
          <w:rFonts w:cs="Arial" w:hint="cs"/>
          <w:sz w:val="20"/>
          <w:szCs w:val="20"/>
          <w:rtl/>
        </w:rPr>
        <w:t>אלא</w:t>
      </w:r>
      <w:r w:rsidRPr="00F81529">
        <w:rPr>
          <w:rFonts w:cs="Arial"/>
          <w:sz w:val="20"/>
          <w:szCs w:val="20"/>
          <w:rtl/>
        </w:rPr>
        <w:t xml:space="preserve"> </w:t>
      </w:r>
      <w:r w:rsidRPr="00F81529">
        <w:rPr>
          <w:rFonts w:cs="Arial" w:hint="cs"/>
          <w:sz w:val="20"/>
          <w:szCs w:val="20"/>
          <w:rtl/>
        </w:rPr>
        <w:t>בכל</w:t>
      </w:r>
      <w:r w:rsidRPr="00F81529">
        <w:rPr>
          <w:rFonts w:cs="Arial"/>
          <w:sz w:val="20"/>
          <w:szCs w:val="20"/>
          <w:rtl/>
        </w:rPr>
        <w:t xml:space="preserve"> </w:t>
      </w:r>
      <w:r w:rsidRPr="00F81529">
        <w:rPr>
          <w:rFonts w:cs="Arial" w:hint="cs"/>
          <w:sz w:val="20"/>
          <w:szCs w:val="20"/>
          <w:rtl/>
        </w:rPr>
        <w:t>פעם</w:t>
      </w:r>
      <w:r w:rsidRPr="00F81529">
        <w:rPr>
          <w:rFonts w:cs="Arial"/>
          <w:sz w:val="20"/>
          <w:szCs w:val="20"/>
          <w:rtl/>
        </w:rPr>
        <w:t xml:space="preserve"> </w:t>
      </w:r>
      <w:r w:rsidRPr="00F81529">
        <w:rPr>
          <w:rFonts w:cs="Arial" w:hint="cs"/>
          <w:sz w:val="20"/>
          <w:szCs w:val="20"/>
          <w:rtl/>
        </w:rPr>
        <w:t>שיקרה</w:t>
      </w:r>
      <w:r w:rsidRPr="00F81529">
        <w:rPr>
          <w:rFonts w:cs="Arial"/>
          <w:sz w:val="20"/>
          <w:szCs w:val="20"/>
          <w:rtl/>
        </w:rPr>
        <w:t xml:space="preserve"> </w:t>
      </w:r>
      <w:r w:rsidRPr="00F81529">
        <w:rPr>
          <w:rFonts w:cs="Arial" w:hint="cs"/>
          <w:sz w:val="20"/>
          <w:szCs w:val="20"/>
          <w:rtl/>
        </w:rPr>
        <w:t>לה</w:t>
      </w:r>
      <w:r w:rsidRPr="00F81529">
        <w:rPr>
          <w:rFonts w:cs="Arial"/>
          <w:sz w:val="20"/>
          <w:szCs w:val="20"/>
          <w:rtl/>
        </w:rPr>
        <w:t xml:space="preserve"> </w:t>
      </w:r>
      <w:r w:rsidRPr="00F81529">
        <w:rPr>
          <w:rFonts w:cs="Arial" w:hint="cs"/>
          <w:sz w:val="20"/>
          <w:szCs w:val="20"/>
          <w:rtl/>
        </w:rPr>
        <w:t>זה</w:t>
      </w:r>
      <w:r w:rsidRPr="00F81529">
        <w:rPr>
          <w:rFonts w:cs="Arial"/>
          <w:sz w:val="20"/>
          <w:szCs w:val="20"/>
          <w:rtl/>
        </w:rPr>
        <w:t xml:space="preserve"> </w:t>
      </w:r>
      <w:r w:rsidRPr="00F81529">
        <w:rPr>
          <w:rFonts w:cs="Arial" w:hint="cs"/>
          <w:sz w:val="20"/>
          <w:szCs w:val="20"/>
          <w:rtl/>
        </w:rPr>
        <w:t>המקרה</w:t>
      </w:r>
      <w:r w:rsidRPr="00F81529">
        <w:rPr>
          <w:rFonts w:cs="Arial"/>
          <w:sz w:val="20"/>
          <w:szCs w:val="20"/>
          <w:rtl/>
        </w:rPr>
        <w:t xml:space="preserve">, </w:t>
      </w:r>
      <w:r w:rsidRPr="00F81529">
        <w:rPr>
          <w:rFonts w:cs="Arial" w:hint="cs"/>
          <w:sz w:val="20"/>
          <w:szCs w:val="20"/>
          <w:rtl/>
        </w:rPr>
        <w:t>הוא</w:t>
      </w:r>
      <w:r w:rsidRPr="00F81529">
        <w:rPr>
          <w:rFonts w:cs="Arial"/>
          <w:sz w:val="20"/>
          <w:szCs w:val="20"/>
          <w:rtl/>
        </w:rPr>
        <w:t xml:space="preserve"> </w:t>
      </w:r>
      <w:r w:rsidRPr="00F81529">
        <w:rPr>
          <w:rFonts w:cs="Arial" w:hint="cs"/>
          <w:sz w:val="20"/>
          <w:szCs w:val="20"/>
          <w:rtl/>
        </w:rPr>
        <w:t>ו</w:t>
      </w:r>
      <w:r>
        <w:rPr>
          <w:rFonts w:cs="Arial" w:hint="cs"/>
          <w:sz w:val="20"/>
          <w:szCs w:val="20"/>
          <w:rtl/>
        </w:rPr>
        <w:t>ו</w:t>
      </w:r>
      <w:r w:rsidRPr="00F81529">
        <w:rPr>
          <w:rFonts w:cs="Arial" w:hint="cs"/>
          <w:sz w:val="20"/>
          <w:szCs w:val="20"/>
          <w:rtl/>
        </w:rPr>
        <w:t>סת</w:t>
      </w:r>
      <w:r>
        <w:rPr>
          <w:rFonts w:cs="Arial" w:hint="cs"/>
          <w:sz w:val="20"/>
          <w:szCs w:val="20"/>
          <w:rtl/>
        </w:rPr>
        <w:t>".</w:t>
      </w:r>
    </w:p>
    <w:p w:rsidR="00620060" w:rsidRDefault="00620060" w:rsidP="00620060">
      <w:pPr>
        <w:rPr>
          <w:sz w:val="20"/>
          <w:szCs w:val="20"/>
          <w:rtl/>
        </w:rPr>
      </w:pPr>
      <w:r>
        <w:rPr>
          <w:rFonts w:hint="cs"/>
          <w:b/>
          <w:bCs/>
          <w:sz w:val="20"/>
          <w:szCs w:val="20"/>
          <w:rtl/>
        </w:rPr>
        <w:t>ווסת פיהוק מורכב</w:t>
      </w:r>
      <w:r>
        <w:rPr>
          <w:b/>
          <w:bCs/>
          <w:sz w:val="20"/>
          <w:szCs w:val="20"/>
          <w:rtl/>
        </w:rPr>
        <w:br/>
      </w:r>
      <w:r>
        <w:rPr>
          <w:rFonts w:hint="cs"/>
          <w:b/>
          <w:bCs/>
          <w:sz w:val="20"/>
          <w:szCs w:val="20"/>
          <w:rtl/>
        </w:rPr>
        <w:t>פסיקת הלכה</w:t>
      </w:r>
      <w:r>
        <w:rPr>
          <w:rFonts w:hint="cs"/>
          <w:b/>
          <w:bCs/>
          <w:sz w:val="20"/>
          <w:szCs w:val="20"/>
          <w:rtl/>
        </w:rPr>
        <w:br/>
        <w:t xml:space="preserve">שולחן ערוך </w:t>
      </w:r>
      <w:r>
        <w:rPr>
          <w:sz w:val="20"/>
          <w:szCs w:val="20"/>
          <w:rtl/>
        </w:rPr>
        <w:t>–</w:t>
      </w:r>
      <w:r>
        <w:rPr>
          <w:rFonts w:hint="cs"/>
          <w:sz w:val="20"/>
          <w:szCs w:val="20"/>
          <w:rtl/>
        </w:rPr>
        <w:t xml:space="preserve"> "</w:t>
      </w:r>
      <w:r w:rsidRPr="003D66D5">
        <w:rPr>
          <w:rFonts w:cs="Arial" w:hint="cs"/>
          <w:sz w:val="20"/>
          <w:szCs w:val="20"/>
          <w:rtl/>
        </w:rPr>
        <w:t>ואם</w:t>
      </w:r>
      <w:r w:rsidRPr="003D66D5">
        <w:rPr>
          <w:rFonts w:cs="Arial"/>
          <w:sz w:val="20"/>
          <w:szCs w:val="20"/>
          <w:rtl/>
        </w:rPr>
        <w:t xml:space="preserve"> </w:t>
      </w:r>
      <w:r w:rsidRPr="003D66D5">
        <w:rPr>
          <w:rFonts w:cs="Arial" w:hint="cs"/>
          <w:sz w:val="20"/>
          <w:szCs w:val="20"/>
          <w:rtl/>
        </w:rPr>
        <w:t>בא</w:t>
      </w:r>
      <w:r w:rsidRPr="003D66D5">
        <w:rPr>
          <w:rFonts w:cs="Arial"/>
          <w:sz w:val="20"/>
          <w:szCs w:val="20"/>
          <w:rtl/>
        </w:rPr>
        <w:t xml:space="preserve"> </w:t>
      </w:r>
      <w:r w:rsidRPr="003D66D5">
        <w:rPr>
          <w:rFonts w:cs="Arial" w:hint="cs"/>
          <w:sz w:val="20"/>
          <w:szCs w:val="20"/>
          <w:rtl/>
        </w:rPr>
        <w:t>וסת</w:t>
      </w:r>
      <w:r w:rsidRPr="003D66D5">
        <w:rPr>
          <w:rFonts w:cs="Arial"/>
          <w:sz w:val="20"/>
          <w:szCs w:val="20"/>
          <w:rtl/>
        </w:rPr>
        <w:t xml:space="preserve"> </w:t>
      </w:r>
      <w:r w:rsidRPr="003D66D5">
        <w:rPr>
          <w:rFonts w:cs="Arial" w:hint="cs"/>
          <w:sz w:val="20"/>
          <w:szCs w:val="20"/>
          <w:rtl/>
        </w:rPr>
        <w:t>הגוף</w:t>
      </w:r>
      <w:r w:rsidRPr="003D66D5">
        <w:rPr>
          <w:rFonts w:cs="Arial"/>
          <w:sz w:val="20"/>
          <w:szCs w:val="20"/>
          <w:rtl/>
        </w:rPr>
        <w:t xml:space="preserve"> </w:t>
      </w:r>
      <w:r w:rsidRPr="003D66D5">
        <w:rPr>
          <w:rFonts w:cs="Arial" w:hint="cs"/>
          <w:sz w:val="20"/>
          <w:szCs w:val="20"/>
          <w:rtl/>
        </w:rPr>
        <w:t>לזמן</w:t>
      </w:r>
      <w:r w:rsidRPr="003D66D5">
        <w:rPr>
          <w:rFonts w:cs="Arial"/>
          <w:sz w:val="20"/>
          <w:szCs w:val="20"/>
          <w:rtl/>
        </w:rPr>
        <w:t xml:space="preserve"> </w:t>
      </w:r>
      <w:r w:rsidRPr="003D66D5">
        <w:rPr>
          <w:rFonts w:cs="Arial" w:hint="cs"/>
          <w:sz w:val="20"/>
          <w:szCs w:val="20"/>
          <w:rtl/>
        </w:rPr>
        <w:t>ידוע</w:t>
      </w:r>
      <w:r w:rsidRPr="003D66D5">
        <w:rPr>
          <w:rFonts w:cs="Arial"/>
          <w:sz w:val="20"/>
          <w:szCs w:val="20"/>
          <w:rtl/>
        </w:rPr>
        <w:t xml:space="preserve">, </w:t>
      </w:r>
      <w:r w:rsidRPr="003D66D5">
        <w:rPr>
          <w:rFonts w:cs="Arial" w:hint="cs"/>
          <w:sz w:val="20"/>
          <w:szCs w:val="20"/>
          <w:rtl/>
        </w:rPr>
        <w:t>כגון</w:t>
      </w:r>
      <w:r w:rsidRPr="003D66D5">
        <w:rPr>
          <w:rFonts w:cs="Arial"/>
          <w:sz w:val="20"/>
          <w:szCs w:val="20"/>
          <w:rtl/>
        </w:rPr>
        <w:t xml:space="preserve"> </w:t>
      </w:r>
      <w:r w:rsidRPr="003D66D5">
        <w:rPr>
          <w:rFonts w:cs="Arial" w:hint="cs"/>
          <w:sz w:val="20"/>
          <w:szCs w:val="20"/>
          <w:rtl/>
        </w:rPr>
        <w:t>מר</w:t>
      </w:r>
      <w:r w:rsidRPr="003D66D5">
        <w:rPr>
          <w:rFonts w:cs="Arial"/>
          <w:sz w:val="20"/>
          <w:szCs w:val="20"/>
          <w:rtl/>
        </w:rPr>
        <w:t>"</w:t>
      </w:r>
      <w:r w:rsidRPr="003D66D5">
        <w:rPr>
          <w:rFonts w:cs="Arial" w:hint="cs"/>
          <w:sz w:val="20"/>
          <w:szCs w:val="20"/>
          <w:rtl/>
        </w:rPr>
        <w:t>ח</w:t>
      </w:r>
      <w:r w:rsidRPr="003D66D5">
        <w:rPr>
          <w:rFonts w:cs="Arial"/>
          <w:sz w:val="20"/>
          <w:szCs w:val="20"/>
          <w:rtl/>
        </w:rPr>
        <w:t xml:space="preserve"> </w:t>
      </w:r>
      <w:r w:rsidRPr="003D66D5">
        <w:rPr>
          <w:rFonts w:cs="Arial" w:hint="cs"/>
          <w:sz w:val="20"/>
          <w:szCs w:val="20"/>
          <w:rtl/>
        </w:rPr>
        <w:t>לר</w:t>
      </w:r>
      <w:r w:rsidRPr="003D66D5">
        <w:rPr>
          <w:rFonts w:cs="Arial"/>
          <w:sz w:val="20"/>
          <w:szCs w:val="20"/>
          <w:rtl/>
        </w:rPr>
        <w:t>"</w:t>
      </w:r>
      <w:r w:rsidRPr="003D66D5">
        <w:rPr>
          <w:rFonts w:cs="Arial" w:hint="cs"/>
          <w:sz w:val="20"/>
          <w:szCs w:val="20"/>
          <w:rtl/>
        </w:rPr>
        <w:t>ח</w:t>
      </w:r>
      <w:r w:rsidRPr="003D66D5">
        <w:rPr>
          <w:rFonts w:cs="Arial"/>
          <w:sz w:val="20"/>
          <w:szCs w:val="20"/>
          <w:rtl/>
        </w:rPr>
        <w:t xml:space="preserve"> </w:t>
      </w:r>
      <w:r w:rsidRPr="003D66D5">
        <w:rPr>
          <w:rFonts w:cs="Arial" w:hint="cs"/>
          <w:sz w:val="20"/>
          <w:szCs w:val="20"/>
          <w:rtl/>
        </w:rPr>
        <w:t>או</w:t>
      </w:r>
      <w:r w:rsidRPr="003D66D5">
        <w:rPr>
          <w:rFonts w:cs="Arial"/>
          <w:sz w:val="20"/>
          <w:szCs w:val="20"/>
          <w:rtl/>
        </w:rPr>
        <w:t xml:space="preserve"> </w:t>
      </w:r>
      <w:r w:rsidRPr="003D66D5">
        <w:rPr>
          <w:rFonts w:cs="Arial" w:hint="cs"/>
          <w:sz w:val="20"/>
          <w:szCs w:val="20"/>
          <w:rtl/>
        </w:rPr>
        <w:t>מכ</w:t>
      </w:r>
      <w:r w:rsidRPr="003D66D5">
        <w:rPr>
          <w:rFonts w:cs="Arial"/>
          <w:sz w:val="20"/>
          <w:szCs w:val="20"/>
          <w:rtl/>
        </w:rPr>
        <w:t xml:space="preserve">' </w:t>
      </w:r>
      <w:r w:rsidRPr="003D66D5">
        <w:rPr>
          <w:rFonts w:cs="Arial" w:hint="cs"/>
          <w:sz w:val="20"/>
          <w:szCs w:val="20"/>
          <w:rtl/>
        </w:rPr>
        <w:t>יום</w:t>
      </w:r>
      <w:r w:rsidRPr="003D66D5">
        <w:rPr>
          <w:rFonts w:cs="Arial"/>
          <w:sz w:val="20"/>
          <w:szCs w:val="20"/>
          <w:rtl/>
        </w:rPr>
        <w:t xml:space="preserve"> </w:t>
      </w:r>
      <w:r w:rsidRPr="003D66D5">
        <w:rPr>
          <w:rFonts w:cs="Arial" w:hint="cs"/>
          <w:sz w:val="20"/>
          <w:szCs w:val="20"/>
          <w:rtl/>
        </w:rPr>
        <w:t>לכ</w:t>
      </w:r>
      <w:r w:rsidRPr="003D66D5">
        <w:rPr>
          <w:rFonts w:cs="Arial"/>
          <w:sz w:val="20"/>
          <w:szCs w:val="20"/>
          <w:rtl/>
        </w:rPr>
        <w:t xml:space="preserve">' </w:t>
      </w:r>
      <w:r w:rsidRPr="003D66D5">
        <w:rPr>
          <w:rFonts w:cs="Arial" w:hint="cs"/>
          <w:sz w:val="20"/>
          <w:szCs w:val="20"/>
          <w:rtl/>
        </w:rPr>
        <w:t>יום</w:t>
      </w:r>
      <w:r w:rsidRPr="003D66D5">
        <w:rPr>
          <w:rFonts w:cs="Arial"/>
          <w:sz w:val="20"/>
          <w:szCs w:val="20"/>
          <w:rtl/>
        </w:rPr>
        <w:t xml:space="preserve">, </w:t>
      </w:r>
      <w:r w:rsidRPr="003D66D5">
        <w:rPr>
          <w:rFonts w:cs="Arial" w:hint="cs"/>
          <w:sz w:val="20"/>
          <w:szCs w:val="20"/>
          <w:rtl/>
        </w:rPr>
        <w:t>קבעה</w:t>
      </w:r>
      <w:r w:rsidRPr="003D66D5">
        <w:rPr>
          <w:rFonts w:cs="Arial"/>
          <w:sz w:val="20"/>
          <w:szCs w:val="20"/>
          <w:rtl/>
        </w:rPr>
        <w:t xml:space="preserve"> </w:t>
      </w:r>
      <w:r w:rsidRPr="003D66D5">
        <w:rPr>
          <w:rFonts w:cs="Arial" w:hint="cs"/>
          <w:sz w:val="20"/>
          <w:szCs w:val="20"/>
          <w:rtl/>
        </w:rPr>
        <w:t>לה</w:t>
      </w:r>
      <w:r w:rsidRPr="003D66D5">
        <w:rPr>
          <w:rFonts w:cs="Arial"/>
          <w:sz w:val="20"/>
          <w:szCs w:val="20"/>
          <w:rtl/>
        </w:rPr>
        <w:t xml:space="preserve"> </w:t>
      </w:r>
      <w:r w:rsidRPr="003D66D5">
        <w:rPr>
          <w:rFonts w:cs="Arial" w:hint="cs"/>
          <w:sz w:val="20"/>
          <w:szCs w:val="20"/>
          <w:rtl/>
        </w:rPr>
        <w:t>וסת</w:t>
      </w:r>
      <w:r w:rsidRPr="003D66D5">
        <w:rPr>
          <w:rFonts w:cs="Arial"/>
          <w:sz w:val="20"/>
          <w:szCs w:val="20"/>
          <w:rtl/>
        </w:rPr>
        <w:t xml:space="preserve"> </w:t>
      </w:r>
      <w:r w:rsidRPr="003D66D5">
        <w:rPr>
          <w:rFonts w:cs="Arial" w:hint="cs"/>
          <w:sz w:val="20"/>
          <w:szCs w:val="20"/>
          <w:rtl/>
        </w:rPr>
        <w:t>לזמן</w:t>
      </w:r>
      <w:r w:rsidRPr="003D66D5">
        <w:rPr>
          <w:rFonts w:cs="Arial"/>
          <w:sz w:val="20"/>
          <w:szCs w:val="20"/>
          <w:rtl/>
        </w:rPr>
        <w:t xml:space="preserve"> </w:t>
      </w:r>
      <w:r w:rsidRPr="003D66D5">
        <w:rPr>
          <w:rFonts w:cs="Arial" w:hint="cs"/>
          <w:sz w:val="20"/>
          <w:szCs w:val="20"/>
          <w:rtl/>
        </w:rPr>
        <w:t>ולמיחוש</w:t>
      </w:r>
      <w:r w:rsidRPr="003D66D5">
        <w:rPr>
          <w:rFonts w:cs="Arial"/>
          <w:sz w:val="20"/>
          <w:szCs w:val="20"/>
          <w:rtl/>
        </w:rPr>
        <w:t xml:space="preserve"> </w:t>
      </w:r>
      <w:r w:rsidRPr="003D66D5">
        <w:rPr>
          <w:rFonts w:cs="Arial" w:hint="cs"/>
          <w:sz w:val="20"/>
          <w:szCs w:val="20"/>
          <w:rtl/>
        </w:rPr>
        <w:t>הוסת</w:t>
      </w:r>
      <w:r w:rsidRPr="003D66D5">
        <w:rPr>
          <w:rFonts w:cs="Arial"/>
          <w:sz w:val="20"/>
          <w:szCs w:val="20"/>
          <w:rtl/>
        </w:rPr>
        <w:t xml:space="preserve">, </w:t>
      </w:r>
      <w:r w:rsidRPr="003D66D5">
        <w:rPr>
          <w:rFonts w:cs="Arial" w:hint="cs"/>
          <w:sz w:val="20"/>
          <w:szCs w:val="20"/>
          <w:rtl/>
        </w:rPr>
        <w:t>ואינה</w:t>
      </w:r>
      <w:r w:rsidRPr="003D66D5">
        <w:rPr>
          <w:rFonts w:cs="Arial"/>
          <w:sz w:val="20"/>
          <w:szCs w:val="20"/>
          <w:rtl/>
        </w:rPr>
        <w:t xml:space="preserve"> </w:t>
      </w:r>
      <w:r w:rsidRPr="003D66D5">
        <w:rPr>
          <w:rFonts w:cs="Arial" w:hint="cs"/>
          <w:sz w:val="20"/>
          <w:szCs w:val="20"/>
          <w:rtl/>
        </w:rPr>
        <w:t>חוששת</w:t>
      </w:r>
      <w:r w:rsidRPr="003D66D5">
        <w:rPr>
          <w:rFonts w:cs="Arial"/>
          <w:sz w:val="20"/>
          <w:szCs w:val="20"/>
          <w:rtl/>
        </w:rPr>
        <w:t xml:space="preserve"> </w:t>
      </w:r>
      <w:r w:rsidRPr="003D66D5">
        <w:rPr>
          <w:rFonts w:cs="Arial" w:hint="cs"/>
          <w:sz w:val="20"/>
          <w:szCs w:val="20"/>
          <w:rtl/>
        </w:rPr>
        <w:t>אלא</w:t>
      </w:r>
      <w:r w:rsidRPr="003D66D5">
        <w:rPr>
          <w:rFonts w:cs="Arial"/>
          <w:sz w:val="20"/>
          <w:szCs w:val="20"/>
          <w:rtl/>
        </w:rPr>
        <w:t xml:space="preserve"> </w:t>
      </w:r>
      <w:r w:rsidRPr="003D66D5">
        <w:rPr>
          <w:rFonts w:cs="Arial" w:hint="cs"/>
          <w:sz w:val="20"/>
          <w:szCs w:val="20"/>
          <w:rtl/>
        </w:rPr>
        <w:t>לשניהם</w:t>
      </w:r>
      <w:r w:rsidRPr="003D66D5">
        <w:rPr>
          <w:rFonts w:cs="Arial"/>
          <w:sz w:val="20"/>
          <w:szCs w:val="20"/>
          <w:rtl/>
        </w:rPr>
        <w:t xml:space="preserve"> </w:t>
      </w:r>
      <w:r w:rsidRPr="003D66D5">
        <w:rPr>
          <w:rFonts w:cs="Arial" w:hint="cs"/>
          <w:sz w:val="20"/>
          <w:szCs w:val="20"/>
          <w:rtl/>
        </w:rPr>
        <w:t>ביחד</w:t>
      </w:r>
      <w:r w:rsidRPr="003D66D5">
        <w:rPr>
          <w:rFonts w:cs="Arial"/>
          <w:sz w:val="20"/>
          <w:szCs w:val="20"/>
          <w:rtl/>
        </w:rPr>
        <w:t xml:space="preserve">, </w:t>
      </w:r>
      <w:r w:rsidRPr="003D66D5">
        <w:rPr>
          <w:rFonts w:cs="Arial" w:hint="cs"/>
          <w:sz w:val="20"/>
          <w:szCs w:val="20"/>
          <w:rtl/>
        </w:rPr>
        <w:t>ואם</w:t>
      </w:r>
      <w:r w:rsidRPr="003D66D5">
        <w:rPr>
          <w:rFonts w:cs="Arial"/>
          <w:sz w:val="20"/>
          <w:szCs w:val="20"/>
          <w:rtl/>
        </w:rPr>
        <w:t xml:space="preserve"> </w:t>
      </w:r>
      <w:r w:rsidRPr="003D66D5">
        <w:rPr>
          <w:rFonts w:cs="Arial" w:hint="cs"/>
          <w:sz w:val="20"/>
          <w:szCs w:val="20"/>
          <w:rtl/>
        </w:rPr>
        <w:t>הגיע</w:t>
      </w:r>
      <w:r w:rsidRPr="003D66D5">
        <w:rPr>
          <w:rFonts w:cs="Arial"/>
          <w:sz w:val="20"/>
          <w:szCs w:val="20"/>
          <w:rtl/>
        </w:rPr>
        <w:t xml:space="preserve"> </w:t>
      </w:r>
      <w:r w:rsidRPr="003D66D5">
        <w:rPr>
          <w:rFonts w:cs="Arial" w:hint="cs"/>
          <w:sz w:val="20"/>
          <w:szCs w:val="20"/>
          <w:rtl/>
        </w:rPr>
        <w:t>העת</w:t>
      </w:r>
      <w:r w:rsidRPr="003D66D5">
        <w:rPr>
          <w:rFonts w:cs="Arial"/>
          <w:sz w:val="20"/>
          <w:szCs w:val="20"/>
          <w:rtl/>
        </w:rPr>
        <w:t xml:space="preserve"> </w:t>
      </w:r>
      <w:r w:rsidRPr="003D66D5">
        <w:rPr>
          <w:rFonts w:cs="Arial" w:hint="cs"/>
          <w:sz w:val="20"/>
          <w:szCs w:val="20"/>
          <w:rtl/>
        </w:rPr>
        <w:t>ולא</w:t>
      </w:r>
      <w:r w:rsidRPr="003D66D5">
        <w:rPr>
          <w:rFonts w:cs="Arial"/>
          <w:sz w:val="20"/>
          <w:szCs w:val="20"/>
          <w:rtl/>
        </w:rPr>
        <w:t xml:space="preserve"> </w:t>
      </w:r>
      <w:r w:rsidRPr="003D66D5">
        <w:rPr>
          <w:rFonts w:cs="Arial" w:hint="cs"/>
          <w:sz w:val="20"/>
          <w:szCs w:val="20"/>
          <w:rtl/>
        </w:rPr>
        <w:t>בא</w:t>
      </w:r>
      <w:r w:rsidRPr="003D66D5">
        <w:rPr>
          <w:rFonts w:cs="Arial"/>
          <w:sz w:val="20"/>
          <w:szCs w:val="20"/>
          <w:rtl/>
        </w:rPr>
        <w:t xml:space="preserve"> </w:t>
      </w:r>
      <w:r w:rsidRPr="003D66D5">
        <w:rPr>
          <w:rFonts w:cs="Arial" w:hint="cs"/>
          <w:sz w:val="20"/>
          <w:szCs w:val="20"/>
          <w:rtl/>
        </w:rPr>
        <w:t>המיחוש</w:t>
      </w:r>
      <w:r w:rsidRPr="003D66D5">
        <w:rPr>
          <w:rFonts w:cs="Arial"/>
          <w:sz w:val="20"/>
          <w:szCs w:val="20"/>
          <w:rtl/>
        </w:rPr>
        <w:t xml:space="preserve">, </w:t>
      </w:r>
      <w:r w:rsidRPr="003D66D5">
        <w:rPr>
          <w:rFonts w:cs="Arial" w:hint="cs"/>
          <w:sz w:val="20"/>
          <w:szCs w:val="20"/>
          <w:rtl/>
        </w:rPr>
        <w:t>או</w:t>
      </w:r>
      <w:r w:rsidRPr="003D66D5">
        <w:rPr>
          <w:rFonts w:cs="Arial"/>
          <w:sz w:val="20"/>
          <w:szCs w:val="20"/>
          <w:rtl/>
        </w:rPr>
        <w:t xml:space="preserve"> </w:t>
      </w:r>
      <w:r w:rsidRPr="003D66D5">
        <w:rPr>
          <w:rFonts w:cs="Arial" w:hint="cs"/>
          <w:sz w:val="20"/>
          <w:szCs w:val="20"/>
          <w:rtl/>
        </w:rPr>
        <w:t>שבא</w:t>
      </w:r>
      <w:r w:rsidRPr="003D66D5">
        <w:rPr>
          <w:rFonts w:cs="Arial"/>
          <w:sz w:val="20"/>
          <w:szCs w:val="20"/>
          <w:rtl/>
        </w:rPr>
        <w:t xml:space="preserve"> </w:t>
      </w:r>
      <w:r w:rsidRPr="003D66D5">
        <w:rPr>
          <w:rFonts w:cs="Arial" w:hint="cs"/>
          <w:sz w:val="20"/>
          <w:szCs w:val="20"/>
          <w:rtl/>
        </w:rPr>
        <w:t>המיחוש</w:t>
      </w:r>
      <w:r w:rsidRPr="003D66D5">
        <w:rPr>
          <w:rFonts w:cs="Arial"/>
          <w:sz w:val="20"/>
          <w:szCs w:val="20"/>
          <w:rtl/>
        </w:rPr>
        <w:t xml:space="preserve"> </w:t>
      </w:r>
      <w:r w:rsidRPr="003D66D5">
        <w:rPr>
          <w:rFonts w:cs="Arial" w:hint="cs"/>
          <w:sz w:val="20"/>
          <w:szCs w:val="20"/>
          <w:rtl/>
        </w:rPr>
        <w:t>בלא</w:t>
      </w:r>
      <w:r w:rsidRPr="003D66D5">
        <w:rPr>
          <w:rFonts w:cs="Arial"/>
          <w:sz w:val="20"/>
          <w:szCs w:val="20"/>
          <w:rtl/>
        </w:rPr>
        <w:t xml:space="preserve"> </w:t>
      </w:r>
      <w:r w:rsidRPr="003D66D5">
        <w:rPr>
          <w:rFonts w:cs="Arial" w:hint="cs"/>
          <w:sz w:val="20"/>
          <w:szCs w:val="20"/>
          <w:rtl/>
        </w:rPr>
        <w:t>עתו</w:t>
      </w:r>
      <w:r w:rsidRPr="003D66D5">
        <w:rPr>
          <w:rFonts w:cs="Arial"/>
          <w:sz w:val="20"/>
          <w:szCs w:val="20"/>
          <w:rtl/>
        </w:rPr>
        <w:t xml:space="preserve"> </w:t>
      </w:r>
      <w:r w:rsidRPr="003D66D5">
        <w:rPr>
          <w:rFonts w:cs="Arial" w:hint="cs"/>
          <w:sz w:val="20"/>
          <w:szCs w:val="20"/>
          <w:rtl/>
        </w:rPr>
        <w:t>אינה</w:t>
      </w:r>
      <w:r w:rsidRPr="003D66D5">
        <w:rPr>
          <w:rFonts w:cs="Arial"/>
          <w:sz w:val="20"/>
          <w:szCs w:val="20"/>
          <w:rtl/>
        </w:rPr>
        <w:t xml:space="preserve"> </w:t>
      </w:r>
      <w:r w:rsidRPr="003D66D5">
        <w:rPr>
          <w:rFonts w:cs="Arial" w:hint="cs"/>
          <w:sz w:val="20"/>
          <w:szCs w:val="20"/>
          <w:rtl/>
        </w:rPr>
        <w:t>חוששת</w:t>
      </w:r>
      <w:r w:rsidRPr="003D66D5">
        <w:rPr>
          <w:rFonts w:cs="Arial"/>
          <w:sz w:val="20"/>
          <w:szCs w:val="20"/>
          <w:rtl/>
        </w:rPr>
        <w:t xml:space="preserve">. </w:t>
      </w:r>
      <w:r w:rsidRPr="003D66D5">
        <w:rPr>
          <w:rFonts w:cs="Arial" w:hint="cs"/>
          <w:sz w:val="18"/>
          <w:szCs w:val="18"/>
          <w:rtl/>
        </w:rPr>
        <w:t>הגה</w:t>
      </w:r>
      <w:r w:rsidRPr="003D66D5">
        <w:rPr>
          <w:rFonts w:cs="Arial"/>
          <w:sz w:val="18"/>
          <w:szCs w:val="18"/>
          <w:rtl/>
        </w:rPr>
        <w:t xml:space="preserve">: </w:t>
      </w:r>
      <w:r w:rsidRPr="003D66D5">
        <w:rPr>
          <w:rFonts w:cs="Arial" w:hint="cs"/>
          <w:sz w:val="18"/>
          <w:szCs w:val="18"/>
          <w:rtl/>
        </w:rPr>
        <w:t>ודוקא</w:t>
      </w:r>
      <w:r w:rsidRPr="003D66D5">
        <w:rPr>
          <w:rFonts w:cs="Arial"/>
          <w:sz w:val="18"/>
          <w:szCs w:val="18"/>
          <w:rtl/>
        </w:rPr>
        <w:t xml:space="preserve"> </w:t>
      </w:r>
      <w:r w:rsidRPr="003D66D5">
        <w:rPr>
          <w:rFonts w:cs="Arial" w:hint="cs"/>
          <w:sz w:val="18"/>
          <w:szCs w:val="18"/>
          <w:rtl/>
        </w:rPr>
        <w:t>שקבעה</w:t>
      </w:r>
      <w:r w:rsidRPr="003D66D5">
        <w:rPr>
          <w:rFonts w:cs="Arial"/>
          <w:sz w:val="18"/>
          <w:szCs w:val="18"/>
          <w:rtl/>
        </w:rPr>
        <w:t xml:space="preserve"> </w:t>
      </w:r>
      <w:r w:rsidRPr="003D66D5">
        <w:rPr>
          <w:rFonts w:cs="Arial" w:hint="cs"/>
          <w:sz w:val="18"/>
          <w:szCs w:val="18"/>
          <w:rtl/>
        </w:rPr>
        <w:t>לה</w:t>
      </w:r>
      <w:r w:rsidRPr="003D66D5">
        <w:rPr>
          <w:rFonts w:cs="Arial"/>
          <w:sz w:val="18"/>
          <w:szCs w:val="18"/>
          <w:rtl/>
        </w:rPr>
        <w:t xml:space="preserve"> </w:t>
      </w:r>
      <w:r w:rsidRPr="003D66D5">
        <w:rPr>
          <w:rFonts w:cs="Arial" w:hint="cs"/>
          <w:sz w:val="18"/>
          <w:szCs w:val="18"/>
          <w:rtl/>
        </w:rPr>
        <w:t>וסת</w:t>
      </w:r>
      <w:r w:rsidRPr="003D66D5">
        <w:rPr>
          <w:rFonts w:cs="Arial"/>
          <w:sz w:val="18"/>
          <w:szCs w:val="18"/>
          <w:rtl/>
        </w:rPr>
        <w:t xml:space="preserve"> </w:t>
      </w:r>
      <w:r w:rsidRPr="003D66D5">
        <w:rPr>
          <w:rFonts w:cs="Arial" w:hint="cs"/>
          <w:sz w:val="18"/>
          <w:szCs w:val="18"/>
          <w:rtl/>
        </w:rPr>
        <w:t>לשניהם</w:t>
      </w:r>
      <w:r w:rsidRPr="003D66D5">
        <w:rPr>
          <w:rFonts w:cs="Arial"/>
          <w:sz w:val="18"/>
          <w:szCs w:val="18"/>
          <w:rtl/>
        </w:rPr>
        <w:t xml:space="preserve"> </w:t>
      </w:r>
      <w:r w:rsidRPr="003D66D5">
        <w:rPr>
          <w:rFonts w:cs="Arial" w:hint="cs"/>
          <w:sz w:val="18"/>
          <w:szCs w:val="18"/>
          <w:rtl/>
        </w:rPr>
        <w:t>ביחד</w:t>
      </w:r>
      <w:r w:rsidRPr="003D66D5">
        <w:rPr>
          <w:rFonts w:cs="Arial"/>
          <w:sz w:val="18"/>
          <w:szCs w:val="18"/>
          <w:rtl/>
        </w:rPr>
        <w:t xml:space="preserve">, </w:t>
      </w:r>
      <w:r w:rsidRPr="003D66D5">
        <w:rPr>
          <w:rFonts w:cs="Arial" w:hint="cs"/>
          <w:sz w:val="18"/>
          <w:szCs w:val="18"/>
          <w:rtl/>
        </w:rPr>
        <w:t>אבל</w:t>
      </w:r>
      <w:r w:rsidRPr="003D66D5">
        <w:rPr>
          <w:rFonts w:cs="Arial"/>
          <w:sz w:val="18"/>
          <w:szCs w:val="18"/>
          <w:rtl/>
        </w:rPr>
        <w:t xml:space="preserve"> </w:t>
      </w:r>
      <w:r w:rsidRPr="003D66D5">
        <w:rPr>
          <w:rFonts w:cs="Arial" w:hint="cs"/>
          <w:sz w:val="18"/>
          <w:szCs w:val="18"/>
          <w:rtl/>
        </w:rPr>
        <w:t>מתחלה</w:t>
      </w:r>
      <w:r w:rsidRPr="003D66D5">
        <w:rPr>
          <w:rFonts w:cs="Arial"/>
          <w:sz w:val="18"/>
          <w:szCs w:val="18"/>
          <w:rtl/>
        </w:rPr>
        <w:t xml:space="preserve"> </w:t>
      </w:r>
      <w:r w:rsidRPr="003D66D5">
        <w:rPr>
          <w:rFonts w:cs="Arial" w:hint="cs"/>
          <w:sz w:val="18"/>
          <w:szCs w:val="18"/>
          <w:rtl/>
        </w:rPr>
        <w:t>חוששת</w:t>
      </w:r>
      <w:r w:rsidRPr="003D66D5">
        <w:rPr>
          <w:rFonts w:cs="Arial"/>
          <w:sz w:val="18"/>
          <w:szCs w:val="18"/>
          <w:rtl/>
        </w:rPr>
        <w:t xml:space="preserve"> </w:t>
      </w:r>
      <w:r w:rsidRPr="003D66D5">
        <w:rPr>
          <w:rFonts w:cs="Arial" w:hint="cs"/>
          <w:sz w:val="18"/>
          <w:szCs w:val="18"/>
          <w:rtl/>
        </w:rPr>
        <w:t>לכל</w:t>
      </w:r>
      <w:r w:rsidRPr="003D66D5">
        <w:rPr>
          <w:rFonts w:cs="Arial"/>
          <w:sz w:val="18"/>
          <w:szCs w:val="18"/>
          <w:rtl/>
        </w:rPr>
        <w:t xml:space="preserve"> </w:t>
      </w:r>
      <w:r w:rsidRPr="003D66D5">
        <w:rPr>
          <w:rFonts w:cs="Arial" w:hint="cs"/>
          <w:sz w:val="18"/>
          <w:szCs w:val="18"/>
          <w:rtl/>
        </w:rPr>
        <w:t>אחד</w:t>
      </w:r>
      <w:r w:rsidRPr="003D66D5">
        <w:rPr>
          <w:rFonts w:cs="Arial"/>
          <w:sz w:val="18"/>
          <w:szCs w:val="18"/>
          <w:rtl/>
        </w:rPr>
        <w:t xml:space="preserve"> </w:t>
      </w:r>
      <w:r w:rsidRPr="003D66D5">
        <w:rPr>
          <w:rFonts w:cs="Arial" w:hint="cs"/>
          <w:sz w:val="18"/>
          <w:szCs w:val="18"/>
          <w:rtl/>
        </w:rPr>
        <w:t>בפני</w:t>
      </w:r>
      <w:r w:rsidRPr="003D66D5">
        <w:rPr>
          <w:rFonts w:cs="Arial"/>
          <w:sz w:val="18"/>
          <w:szCs w:val="18"/>
          <w:rtl/>
        </w:rPr>
        <w:t xml:space="preserve"> </w:t>
      </w:r>
      <w:r w:rsidRPr="003D66D5">
        <w:rPr>
          <w:rFonts w:cs="Arial" w:hint="cs"/>
          <w:sz w:val="18"/>
          <w:szCs w:val="18"/>
          <w:rtl/>
        </w:rPr>
        <w:t>עצמו</w:t>
      </w:r>
      <w:r w:rsidRPr="003D66D5">
        <w:rPr>
          <w:rFonts w:cs="Arial"/>
          <w:sz w:val="18"/>
          <w:szCs w:val="18"/>
          <w:rtl/>
        </w:rPr>
        <w:t xml:space="preserve">, </w:t>
      </w:r>
      <w:r w:rsidRPr="003D66D5">
        <w:rPr>
          <w:rFonts w:cs="Arial" w:hint="cs"/>
          <w:sz w:val="18"/>
          <w:szCs w:val="18"/>
          <w:rtl/>
        </w:rPr>
        <w:t>כי</w:t>
      </w:r>
      <w:r w:rsidRPr="003D66D5">
        <w:rPr>
          <w:rFonts w:cs="Arial"/>
          <w:sz w:val="18"/>
          <w:szCs w:val="18"/>
          <w:rtl/>
        </w:rPr>
        <w:t xml:space="preserve"> </w:t>
      </w:r>
      <w:r w:rsidRPr="003D66D5">
        <w:rPr>
          <w:rFonts w:cs="Arial" w:hint="cs"/>
          <w:sz w:val="18"/>
          <w:szCs w:val="18"/>
          <w:rtl/>
        </w:rPr>
        <w:t>אינה</w:t>
      </w:r>
      <w:r w:rsidRPr="003D66D5">
        <w:rPr>
          <w:rFonts w:cs="Arial"/>
          <w:sz w:val="18"/>
          <w:szCs w:val="18"/>
          <w:rtl/>
        </w:rPr>
        <w:t xml:space="preserve"> </w:t>
      </w:r>
      <w:r w:rsidRPr="003D66D5">
        <w:rPr>
          <w:rFonts w:cs="Arial" w:hint="cs"/>
          <w:sz w:val="18"/>
          <w:szCs w:val="18"/>
          <w:rtl/>
        </w:rPr>
        <w:t>יודעת</w:t>
      </w:r>
      <w:r w:rsidRPr="003D66D5">
        <w:rPr>
          <w:rFonts w:cs="Arial"/>
          <w:sz w:val="18"/>
          <w:szCs w:val="18"/>
          <w:rtl/>
        </w:rPr>
        <w:t xml:space="preserve"> </w:t>
      </w:r>
      <w:r w:rsidRPr="003D66D5">
        <w:rPr>
          <w:rFonts w:cs="Arial" w:hint="cs"/>
          <w:sz w:val="18"/>
          <w:szCs w:val="18"/>
          <w:rtl/>
        </w:rPr>
        <w:t>איזה</w:t>
      </w:r>
      <w:r w:rsidRPr="003D66D5">
        <w:rPr>
          <w:rFonts w:cs="Arial"/>
          <w:sz w:val="18"/>
          <w:szCs w:val="18"/>
          <w:rtl/>
        </w:rPr>
        <w:t xml:space="preserve"> </w:t>
      </w:r>
      <w:r w:rsidRPr="003D66D5">
        <w:rPr>
          <w:rFonts w:cs="Arial" w:hint="cs"/>
          <w:sz w:val="18"/>
          <w:szCs w:val="18"/>
          <w:rtl/>
        </w:rPr>
        <w:t>מהן</w:t>
      </w:r>
      <w:r w:rsidRPr="003D66D5">
        <w:rPr>
          <w:rFonts w:cs="Arial"/>
          <w:sz w:val="18"/>
          <w:szCs w:val="18"/>
          <w:rtl/>
        </w:rPr>
        <w:t xml:space="preserve"> </w:t>
      </w:r>
      <w:r w:rsidRPr="003D66D5">
        <w:rPr>
          <w:rFonts w:cs="Arial" w:hint="cs"/>
          <w:sz w:val="18"/>
          <w:szCs w:val="18"/>
          <w:rtl/>
        </w:rPr>
        <w:t>תקבע</w:t>
      </w:r>
      <w:r w:rsidRPr="003D66D5">
        <w:rPr>
          <w:rFonts w:cs="Arial"/>
          <w:sz w:val="18"/>
          <w:szCs w:val="18"/>
          <w:rtl/>
        </w:rPr>
        <w:t xml:space="preserve">, </w:t>
      </w:r>
      <w:r w:rsidRPr="003D66D5">
        <w:rPr>
          <w:rFonts w:cs="Arial" w:hint="cs"/>
          <w:sz w:val="18"/>
          <w:szCs w:val="18"/>
          <w:rtl/>
        </w:rPr>
        <w:t>וכמו</w:t>
      </w:r>
      <w:r w:rsidRPr="003D66D5">
        <w:rPr>
          <w:rFonts w:cs="Arial"/>
          <w:sz w:val="18"/>
          <w:szCs w:val="18"/>
          <w:rtl/>
        </w:rPr>
        <w:t xml:space="preserve"> </w:t>
      </w:r>
      <w:r w:rsidRPr="003D66D5">
        <w:rPr>
          <w:rFonts w:cs="Arial" w:hint="cs"/>
          <w:sz w:val="18"/>
          <w:szCs w:val="18"/>
          <w:rtl/>
        </w:rPr>
        <w:t>שנתבאר</w:t>
      </w:r>
      <w:r w:rsidRPr="003D66D5">
        <w:rPr>
          <w:rFonts w:cs="Arial"/>
          <w:sz w:val="18"/>
          <w:szCs w:val="18"/>
          <w:rtl/>
        </w:rPr>
        <w:t xml:space="preserve"> </w:t>
      </w:r>
      <w:r w:rsidRPr="003D66D5">
        <w:rPr>
          <w:rFonts w:cs="Arial" w:hint="cs"/>
          <w:sz w:val="18"/>
          <w:szCs w:val="18"/>
          <w:rtl/>
        </w:rPr>
        <w:t>לעיל</w:t>
      </w:r>
      <w:r w:rsidRPr="003D66D5">
        <w:rPr>
          <w:rFonts w:cs="Arial"/>
          <w:sz w:val="18"/>
          <w:szCs w:val="18"/>
          <w:rtl/>
        </w:rPr>
        <w:t xml:space="preserve"> </w:t>
      </w:r>
      <w:r w:rsidRPr="003D66D5">
        <w:rPr>
          <w:rFonts w:cs="Arial" w:hint="cs"/>
          <w:sz w:val="18"/>
          <w:szCs w:val="18"/>
          <w:rtl/>
        </w:rPr>
        <w:t>גבי</w:t>
      </w:r>
      <w:r w:rsidRPr="003D66D5">
        <w:rPr>
          <w:rFonts w:cs="Arial"/>
          <w:sz w:val="18"/>
          <w:szCs w:val="18"/>
          <w:rtl/>
        </w:rPr>
        <w:t xml:space="preserve"> </w:t>
      </w:r>
      <w:r w:rsidRPr="003D66D5">
        <w:rPr>
          <w:rFonts w:cs="Arial" w:hint="cs"/>
          <w:sz w:val="18"/>
          <w:szCs w:val="18"/>
          <w:rtl/>
        </w:rPr>
        <w:t>וסת</w:t>
      </w:r>
      <w:r w:rsidRPr="003D66D5">
        <w:rPr>
          <w:rFonts w:cs="Arial"/>
          <w:sz w:val="18"/>
          <w:szCs w:val="18"/>
          <w:rtl/>
        </w:rPr>
        <w:t xml:space="preserve"> </w:t>
      </w:r>
      <w:r w:rsidRPr="003D66D5">
        <w:rPr>
          <w:rFonts w:cs="Arial" w:hint="cs"/>
          <w:sz w:val="18"/>
          <w:szCs w:val="18"/>
          <w:rtl/>
        </w:rPr>
        <w:t>הדילוג</w:t>
      </w:r>
      <w:r w:rsidRPr="003D66D5">
        <w:rPr>
          <w:rFonts w:cs="Arial"/>
          <w:sz w:val="18"/>
          <w:szCs w:val="18"/>
          <w:rtl/>
        </w:rPr>
        <w:t xml:space="preserve"> </w:t>
      </w:r>
      <w:r w:rsidRPr="003D66D5">
        <w:rPr>
          <w:rFonts w:cs="Arial" w:hint="cs"/>
          <w:sz w:val="18"/>
          <w:szCs w:val="18"/>
          <w:rtl/>
        </w:rPr>
        <w:t>וימים</w:t>
      </w:r>
      <w:r w:rsidRPr="003D66D5">
        <w:rPr>
          <w:rFonts w:cs="Arial"/>
          <w:sz w:val="18"/>
          <w:szCs w:val="18"/>
          <w:rtl/>
        </w:rPr>
        <w:t xml:space="preserve">, </w:t>
      </w:r>
      <w:r w:rsidRPr="003D66D5">
        <w:rPr>
          <w:rFonts w:cs="Arial" w:hint="cs"/>
          <w:sz w:val="18"/>
          <w:szCs w:val="18"/>
          <w:rtl/>
        </w:rPr>
        <w:t>או</w:t>
      </w:r>
      <w:r w:rsidRPr="003D66D5">
        <w:rPr>
          <w:rFonts w:cs="Arial"/>
          <w:sz w:val="18"/>
          <w:szCs w:val="18"/>
          <w:rtl/>
        </w:rPr>
        <w:t xml:space="preserve"> </w:t>
      </w:r>
      <w:r w:rsidRPr="003D66D5">
        <w:rPr>
          <w:rFonts w:cs="Arial" w:hint="cs"/>
          <w:sz w:val="18"/>
          <w:szCs w:val="18"/>
          <w:rtl/>
        </w:rPr>
        <w:t>מהפלגה</w:t>
      </w:r>
      <w:r w:rsidRPr="003D66D5">
        <w:rPr>
          <w:rFonts w:cs="Arial"/>
          <w:sz w:val="18"/>
          <w:szCs w:val="18"/>
          <w:rtl/>
        </w:rPr>
        <w:t xml:space="preserve"> </w:t>
      </w:r>
      <w:r w:rsidRPr="003D66D5">
        <w:rPr>
          <w:rFonts w:cs="Arial" w:hint="cs"/>
          <w:sz w:val="18"/>
          <w:szCs w:val="18"/>
          <w:rtl/>
        </w:rPr>
        <w:t>וימים</w:t>
      </w:r>
      <w:r w:rsidRPr="003D66D5">
        <w:rPr>
          <w:rFonts w:cs="Arial"/>
          <w:sz w:val="18"/>
          <w:szCs w:val="18"/>
          <w:rtl/>
        </w:rPr>
        <w:t xml:space="preserve">, </w:t>
      </w:r>
      <w:r w:rsidRPr="003D66D5">
        <w:rPr>
          <w:rFonts w:cs="Arial" w:hint="cs"/>
          <w:sz w:val="18"/>
          <w:szCs w:val="18"/>
          <w:rtl/>
        </w:rPr>
        <w:t>וכן</w:t>
      </w:r>
      <w:r w:rsidRPr="003D66D5">
        <w:rPr>
          <w:rFonts w:cs="Arial"/>
          <w:sz w:val="18"/>
          <w:szCs w:val="18"/>
          <w:rtl/>
        </w:rPr>
        <w:t xml:space="preserve"> </w:t>
      </w:r>
      <w:r w:rsidRPr="003D66D5">
        <w:rPr>
          <w:rFonts w:cs="Arial" w:hint="cs"/>
          <w:sz w:val="18"/>
          <w:szCs w:val="18"/>
          <w:rtl/>
        </w:rPr>
        <w:t>יתבאר</w:t>
      </w:r>
      <w:r w:rsidRPr="003D66D5">
        <w:rPr>
          <w:rFonts w:cs="Arial"/>
          <w:sz w:val="18"/>
          <w:szCs w:val="18"/>
          <w:rtl/>
        </w:rPr>
        <w:t xml:space="preserve"> </w:t>
      </w:r>
      <w:r w:rsidRPr="003D66D5">
        <w:rPr>
          <w:rFonts w:cs="Arial" w:hint="cs"/>
          <w:sz w:val="18"/>
          <w:szCs w:val="18"/>
          <w:rtl/>
        </w:rPr>
        <w:t>בסמוך</w:t>
      </w:r>
      <w:r w:rsidRPr="003D66D5">
        <w:rPr>
          <w:rFonts w:cs="Arial"/>
          <w:sz w:val="18"/>
          <w:szCs w:val="18"/>
          <w:rtl/>
        </w:rPr>
        <w:t>.</w:t>
      </w:r>
      <w:r>
        <w:rPr>
          <w:rFonts w:cs="Arial" w:hint="cs"/>
          <w:sz w:val="20"/>
          <w:szCs w:val="20"/>
          <w:rtl/>
        </w:rPr>
        <w:t>"</w:t>
      </w:r>
      <w:r w:rsidRPr="003D66D5">
        <w:rPr>
          <w:rFonts w:cs="Arial"/>
          <w:sz w:val="18"/>
          <w:szCs w:val="18"/>
          <w:rtl/>
        </w:rPr>
        <w:t xml:space="preserve"> </w:t>
      </w:r>
    </w:p>
    <w:p w:rsidR="00620060" w:rsidRDefault="00620060" w:rsidP="00620060">
      <w:pPr>
        <w:rPr>
          <w:sz w:val="20"/>
          <w:szCs w:val="20"/>
          <w:rtl/>
        </w:rPr>
      </w:pPr>
      <w:r w:rsidRPr="003D3B26">
        <w:rPr>
          <w:rFonts w:hint="cs"/>
          <w:b/>
          <w:bCs/>
          <w:sz w:val="20"/>
          <w:szCs w:val="20"/>
          <w:rtl/>
        </w:rPr>
        <w:t>ביאור המחלוקת</w:t>
      </w:r>
      <w:r w:rsidRPr="00DE1813">
        <w:rPr>
          <w:rFonts w:hint="cs"/>
          <w:sz w:val="18"/>
          <w:szCs w:val="18"/>
          <w:rtl/>
        </w:rPr>
        <w:t xml:space="preserve"> (ט"ז וש"ך)</w:t>
      </w:r>
      <w:r>
        <w:rPr>
          <w:rFonts w:hint="cs"/>
          <w:sz w:val="20"/>
          <w:szCs w:val="20"/>
          <w:u w:val="single"/>
          <w:rtl/>
        </w:rPr>
        <w:br/>
      </w:r>
      <w:r>
        <w:rPr>
          <w:rFonts w:hint="cs"/>
          <w:sz w:val="20"/>
          <w:szCs w:val="20"/>
          <w:rtl/>
        </w:rPr>
        <w:t xml:space="preserve">א. </w:t>
      </w:r>
      <w:r w:rsidRPr="00AF25DA">
        <w:rPr>
          <w:rFonts w:hint="cs"/>
          <w:b/>
          <w:bCs/>
          <w:sz w:val="20"/>
          <w:szCs w:val="20"/>
          <w:rtl/>
        </w:rPr>
        <w:t>מחבר</w:t>
      </w:r>
      <w:r>
        <w:rPr>
          <w:rFonts w:hint="cs"/>
          <w:sz w:val="20"/>
          <w:szCs w:val="20"/>
          <w:rtl/>
        </w:rPr>
        <w:t xml:space="preserve"> </w:t>
      </w:r>
      <w:r w:rsidRPr="00B4742D">
        <w:rPr>
          <w:rFonts w:hint="cs"/>
          <w:sz w:val="18"/>
          <w:szCs w:val="18"/>
          <w:rtl/>
        </w:rPr>
        <w:t xml:space="preserve">(ע"פ דבריו </w:t>
      </w:r>
      <w:r w:rsidRPr="003D3B26">
        <w:rPr>
          <w:rFonts w:hint="cs"/>
          <w:b/>
          <w:bCs/>
          <w:sz w:val="18"/>
          <w:szCs w:val="18"/>
          <w:rtl/>
        </w:rPr>
        <w:t>בב"י</w:t>
      </w:r>
      <w:r w:rsidRPr="00B4742D">
        <w:rPr>
          <w:rFonts w:hint="cs"/>
          <w:sz w:val="18"/>
          <w:szCs w:val="18"/>
          <w:rtl/>
        </w:rPr>
        <w:t xml:space="preserve">) </w:t>
      </w:r>
      <w:r>
        <w:rPr>
          <w:sz w:val="20"/>
          <w:szCs w:val="20"/>
          <w:rtl/>
        </w:rPr>
        <w:t>–</w:t>
      </w:r>
      <w:r>
        <w:rPr>
          <w:rFonts w:hint="cs"/>
          <w:sz w:val="20"/>
          <w:szCs w:val="20"/>
          <w:rtl/>
        </w:rPr>
        <w:t xml:space="preserve"> אע"פ שקבעה ווסת ואינה חוששת לפיהוק לבד או ליום לבד, היינו דווקא שאינה חוששת להם כדין ווסת קבוע, אך מכל מקום חוששת לפיהוק לבד וליום לבד כדין ווסת שאינו קבוע.</w:t>
      </w:r>
      <w:r>
        <w:rPr>
          <w:rStyle w:val="a5"/>
          <w:sz w:val="20"/>
          <w:szCs w:val="20"/>
          <w:rtl/>
        </w:rPr>
        <w:footnoteReference w:id="222"/>
      </w:r>
      <w:r>
        <w:rPr>
          <w:rFonts w:hint="cs"/>
          <w:sz w:val="20"/>
          <w:szCs w:val="20"/>
          <w:rtl/>
        </w:rPr>
        <w:br/>
        <w:t xml:space="preserve">נפק"מ </w:t>
      </w:r>
      <w:r>
        <w:rPr>
          <w:sz w:val="20"/>
          <w:szCs w:val="20"/>
          <w:rtl/>
        </w:rPr>
        <w:t>–</w:t>
      </w:r>
      <w:r>
        <w:rPr>
          <w:rFonts w:hint="cs"/>
          <w:sz w:val="20"/>
          <w:szCs w:val="20"/>
          <w:rtl/>
        </w:rPr>
        <w:t xml:space="preserve"> לא בדקה ולא ראתה, מותרת לשמש בלי בדיקה.</w:t>
      </w:r>
      <w:r>
        <w:rPr>
          <w:sz w:val="20"/>
          <w:szCs w:val="20"/>
          <w:rtl/>
        </w:rPr>
        <w:br/>
      </w:r>
      <w:r>
        <w:rPr>
          <w:rFonts w:hint="cs"/>
          <w:sz w:val="20"/>
          <w:szCs w:val="20"/>
          <w:rtl/>
        </w:rPr>
        <w:t xml:space="preserve">ב. </w:t>
      </w:r>
      <w:r w:rsidRPr="00AF25DA">
        <w:rPr>
          <w:rFonts w:hint="cs"/>
          <w:b/>
          <w:bCs/>
          <w:sz w:val="20"/>
          <w:szCs w:val="20"/>
          <w:rtl/>
        </w:rPr>
        <w:t>רמ"א</w:t>
      </w:r>
      <w:r>
        <w:rPr>
          <w:rFonts w:hint="cs"/>
          <w:sz w:val="20"/>
          <w:szCs w:val="20"/>
          <w:rtl/>
        </w:rPr>
        <w:t xml:space="preserve"> </w:t>
      </w:r>
      <w:r>
        <w:rPr>
          <w:sz w:val="20"/>
          <w:szCs w:val="20"/>
          <w:rtl/>
        </w:rPr>
        <w:t>–</w:t>
      </w:r>
      <w:r>
        <w:rPr>
          <w:rFonts w:hint="cs"/>
          <w:sz w:val="20"/>
          <w:szCs w:val="20"/>
          <w:rtl/>
        </w:rPr>
        <w:t xml:space="preserve"> לאחר שקבעה ווסת המורכב, אינה חוששת כלל לפיהוק לבד או ליום לבד.</w:t>
      </w:r>
      <w:r>
        <w:rPr>
          <w:rStyle w:val="a5"/>
          <w:sz w:val="20"/>
          <w:szCs w:val="20"/>
          <w:rtl/>
        </w:rPr>
        <w:footnoteReference w:id="223"/>
      </w:r>
      <w:r>
        <w:rPr>
          <w:rFonts w:hint="cs"/>
          <w:sz w:val="20"/>
          <w:szCs w:val="20"/>
          <w:rtl/>
        </w:rPr>
        <w:t xml:space="preserve"> </w:t>
      </w:r>
      <w:r>
        <w:rPr>
          <w:sz w:val="20"/>
          <w:szCs w:val="20"/>
          <w:rtl/>
        </w:rPr>
        <w:br/>
      </w:r>
      <w:r>
        <w:rPr>
          <w:rFonts w:hint="cs"/>
          <w:sz w:val="20"/>
          <w:szCs w:val="20"/>
          <w:rtl/>
        </w:rPr>
        <w:t>ברם, לפני שקבעה את הווסת בג' פעמים מודה שחוששת ליום לבד ולפיהוק לבד כדין ווסת שאינו קבוע.</w:t>
      </w:r>
    </w:p>
    <w:p w:rsidR="00620060" w:rsidRDefault="00620060" w:rsidP="00620060">
      <w:pPr>
        <w:rPr>
          <w:sz w:val="20"/>
          <w:szCs w:val="20"/>
          <w:rtl/>
        </w:rPr>
      </w:pPr>
      <w:r w:rsidRPr="00EF7E18">
        <w:rPr>
          <w:rFonts w:hint="cs"/>
          <w:b/>
          <w:bCs/>
          <w:sz w:val="20"/>
          <w:szCs w:val="20"/>
          <w:rtl/>
        </w:rPr>
        <w:t>סיכום</w:t>
      </w:r>
      <w:r>
        <w:rPr>
          <w:sz w:val="20"/>
          <w:szCs w:val="20"/>
          <w:rtl/>
        </w:rPr>
        <w:br/>
      </w:r>
      <w:r>
        <w:rPr>
          <w:rFonts w:hint="cs"/>
          <w:sz w:val="20"/>
          <w:szCs w:val="20"/>
          <w:rtl/>
        </w:rPr>
        <w:t xml:space="preserve">1. </w:t>
      </w:r>
      <w:r w:rsidRPr="00EF7E18">
        <w:rPr>
          <w:rFonts w:hint="cs"/>
          <w:b/>
          <w:bCs/>
          <w:sz w:val="20"/>
          <w:szCs w:val="20"/>
          <w:rtl/>
        </w:rPr>
        <w:t>משנה</w:t>
      </w:r>
      <w:r>
        <w:rPr>
          <w:rFonts w:hint="cs"/>
          <w:sz w:val="20"/>
          <w:szCs w:val="20"/>
          <w:rtl/>
        </w:rPr>
        <w:t xml:space="preserve">. ווסתות הגוף </w:t>
      </w:r>
      <w:r>
        <w:rPr>
          <w:sz w:val="20"/>
          <w:szCs w:val="20"/>
          <w:rtl/>
        </w:rPr>
        <w:t>–</w:t>
      </w:r>
      <w:r>
        <w:rPr>
          <w:rFonts w:hint="cs"/>
          <w:sz w:val="20"/>
          <w:szCs w:val="20"/>
          <w:rtl/>
        </w:rPr>
        <w:t xml:space="preserve"> מפהקת, מעטשת, חוששת בטבורה ובבית הרחם, שופעת, מרגישה צמרמורות.</w:t>
      </w:r>
      <w:r>
        <w:rPr>
          <w:sz w:val="20"/>
          <w:szCs w:val="20"/>
          <w:rtl/>
        </w:rPr>
        <w:br/>
      </w:r>
      <w:r>
        <w:rPr>
          <w:rFonts w:hint="cs"/>
          <w:sz w:val="20"/>
          <w:szCs w:val="20"/>
          <w:rtl/>
        </w:rPr>
        <w:t xml:space="preserve">2. </w:t>
      </w:r>
      <w:r w:rsidRPr="003D3B26">
        <w:rPr>
          <w:rFonts w:hint="cs"/>
          <w:sz w:val="20"/>
          <w:szCs w:val="20"/>
          <w:rtl/>
        </w:rPr>
        <w:t>מפהקת.</w:t>
      </w:r>
      <w:r>
        <w:rPr>
          <w:rFonts w:hint="cs"/>
          <w:sz w:val="20"/>
          <w:szCs w:val="20"/>
          <w:rtl/>
        </w:rPr>
        <w:t xml:space="preserve"> </w:t>
      </w:r>
      <w:r w:rsidRPr="00222162">
        <w:rPr>
          <w:rFonts w:hint="cs"/>
          <w:b/>
          <w:bCs/>
          <w:sz w:val="20"/>
          <w:szCs w:val="20"/>
          <w:rtl/>
        </w:rPr>
        <w:t>רש"י</w:t>
      </w:r>
      <w:r>
        <w:rPr>
          <w:rFonts w:hint="cs"/>
          <w:sz w:val="20"/>
          <w:szCs w:val="20"/>
          <w:rtl/>
        </w:rPr>
        <w:t xml:space="preserve">. מתמתחת או פיהוק שלנו. </w:t>
      </w:r>
      <w:r w:rsidRPr="00222162">
        <w:rPr>
          <w:rFonts w:hint="cs"/>
          <w:b/>
          <w:bCs/>
          <w:sz w:val="20"/>
          <w:szCs w:val="20"/>
          <w:rtl/>
        </w:rPr>
        <w:t>ערוך</w:t>
      </w:r>
      <w:r>
        <w:rPr>
          <w:rFonts w:hint="cs"/>
          <w:sz w:val="20"/>
          <w:szCs w:val="20"/>
          <w:rtl/>
        </w:rPr>
        <w:t xml:space="preserve">. קול מהפה. </w:t>
      </w:r>
      <w:r w:rsidRPr="00222162">
        <w:rPr>
          <w:rFonts w:hint="cs"/>
          <w:b/>
          <w:bCs/>
          <w:sz w:val="20"/>
          <w:szCs w:val="20"/>
          <w:rtl/>
        </w:rPr>
        <w:t>רא"ש</w:t>
      </w:r>
      <w:r>
        <w:rPr>
          <w:rFonts w:hint="cs"/>
          <w:sz w:val="20"/>
          <w:szCs w:val="20"/>
          <w:rtl/>
        </w:rPr>
        <w:t xml:space="preserve">. הכל נכון לדינא, וכ"פ </w:t>
      </w:r>
      <w:r w:rsidRPr="00222162">
        <w:rPr>
          <w:rFonts w:hint="cs"/>
          <w:b/>
          <w:bCs/>
          <w:sz w:val="20"/>
          <w:szCs w:val="20"/>
          <w:rtl/>
        </w:rPr>
        <w:t>המחבר</w:t>
      </w:r>
      <w:r>
        <w:rPr>
          <w:rFonts w:hint="cs"/>
          <w:sz w:val="20"/>
          <w:szCs w:val="20"/>
          <w:rtl/>
        </w:rPr>
        <w:t>.</w:t>
      </w:r>
      <w:r>
        <w:rPr>
          <w:sz w:val="20"/>
          <w:szCs w:val="20"/>
          <w:rtl/>
        </w:rPr>
        <w:br/>
      </w:r>
      <w:r>
        <w:rPr>
          <w:rFonts w:hint="cs"/>
          <w:sz w:val="20"/>
          <w:szCs w:val="20"/>
          <w:rtl/>
        </w:rPr>
        <w:t xml:space="preserve">3. </w:t>
      </w:r>
      <w:r w:rsidRPr="003D3B26">
        <w:rPr>
          <w:rFonts w:hint="cs"/>
          <w:sz w:val="20"/>
          <w:szCs w:val="20"/>
          <w:rtl/>
        </w:rPr>
        <w:t>מעטשת.</w:t>
      </w:r>
      <w:r>
        <w:rPr>
          <w:rFonts w:hint="cs"/>
          <w:sz w:val="20"/>
          <w:szCs w:val="20"/>
          <w:rtl/>
        </w:rPr>
        <w:t xml:space="preserve"> דרך מטה. </w:t>
      </w:r>
      <w:r w:rsidRPr="00222162">
        <w:rPr>
          <w:rFonts w:hint="cs"/>
          <w:b/>
          <w:bCs/>
          <w:sz w:val="20"/>
          <w:szCs w:val="20"/>
          <w:rtl/>
        </w:rPr>
        <w:t>רמב"ם</w:t>
      </w:r>
      <w:r>
        <w:rPr>
          <w:rFonts w:hint="cs"/>
          <w:sz w:val="20"/>
          <w:szCs w:val="20"/>
          <w:rtl/>
        </w:rPr>
        <w:t xml:space="preserve">. דרך מעלה. </w:t>
      </w:r>
      <w:r w:rsidRPr="00222162">
        <w:rPr>
          <w:rFonts w:hint="cs"/>
          <w:b/>
          <w:bCs/>
          <w:sz w:val="20"/>
          <w:szCs w:val="20"/>
          <w:rtl/>
        </w:rPr>
        <w:t>ש"ך</w:t>
      </w:r>
      <w:r>
        <w:rPr>
          <w:rFonts w:hint="cs"/>
          <w:sz w:val="20"/>
          <w:szCs w:val="20"/>
          <w:rtl/>
        </w:rPr>
        <w:t>. לדינא שניהם אמת.</w:t>
      </w:r>
      <w:r>
        <w:rPr>
          <w:sz w:val="20"/>
          <w:szCs w:val="20"/>
          <w:rtl/>
        </w:rPr>
        <w:br/>
      </w:r>
      <w:r>
        <w:rPr>
          <w:rFonts w:hint="cs"/>
          <w:sz w:val="20"/>
          <w:szCs w:val="20"/>
          <w:rtl/>
        </w:rPr>
        <w:t xml:space="preserve">4. </w:t>
      </w:r>
      <w:r w:rsidRPr="00222162">
        <w:rPr>
          <w:rFonts w:hint="cs"/>
          <w:b/>
          <w:bCs/>
          <w:sz w:val="20"/>
          <w:szCs w:val="20"/>
          <w:rtl/>
        </w:rPr>
        <w:t>משנה</w:t>
      </w:r>
      <w:r>
        <w:rPr>
          <w:rFonts w:hint="cs"/>
          <w:sz w:val="20"/>
          <w:szCs w:val="20"/>
          <w:rtl/>
        </w:rPr>
        <w:t xml:space="preserve">. ווסתות אלו נקבעים בג"פ. </w:t>
      </w:r>
      <w:r w:rsidRPr="00222162">
        <w:rPr>
          <w:rFonts w:hint="cs"/>
          <w:sz w:val="20"/>
          <w:szCs w:val="20"/>
          <w:u w:val="single"/>
          <w:rtl/>
        </w:rPr>
        <w:t>שמואל</w:t>
      </w:r>
      <w:r>
        <w:rPr>
          <w:rFonts w:hint="cs"/>
          <w:sz w:val="20"/>
          <w:szCs w:val="20"/>
          <w:rtl/>
        </w:rPr>
        <w:t>. נקבע בפעם אחת.</w:t>
      </w:r>
      <w:r>
        <w:rPr>
          <w:sz w:val="20"/>
          <w:szCs w:val="20"/>
          <w:rtl/>
        </w:rPr>
        <w:br/>
      </w:r>
      <w:r>
        <w:rPr>
          <w:rFonts w:hint="cs"/>
          <w:sz w:val="20"/>
          <w:szCs w:val="20"/>
          <w:rtl/>
        </w:rPr>
        <w:t>5. לא קיי"ל כשמואל אלא כמתניתין השנויה לדעת רשב"ג שהלכה כמותו בווסתות.</w:t>
      </w:r>
      <w:r>
        <w:rPr>
          <w:sz w:val="20"/>
          <w:szCs w:val="20"/>
          <w:rtl/>
        </w:rPr>
        <w:br/>
      </w:r>
      <w:r>
        <w:rPr>
          <w:rFonts w:hint="cs"/>
          <w:sz w:val="20"/>
          <w:szCs w:val="20"/>
          <w:rtl/>
        </w:rPr>
        <w:t xml:space="preserve">6. </w:t>
      </w:r>
      <w:r w:rsidRPr="00222162">
        <w:rPr>
          <w:rFonts w:hint="cs"/>
          <w:b/>
          <w:bCs/>
          <w:sz w:val="20"/>
          <w:szCs w:val="20"/>
          <w:rtl/>
        </w:rPr>
        <w:t>רא"ש</w:t>
      </w:r>
      <w:r>
        <w:rPr>
          <w:rFonts w:hint="cs"/>
          <w:sz w:val="20"/>
          <w:szCs w:val="20"/>
          <w:rtl/>
        </w:rPr>
        <w:t>. מדובר בפיהוק ועיטוש ארוכים ולא קצרים המצויים בכל אדם.</w:t>
      </w:r>
      <w:r>
        <w:rPr>
          <w:sz w:val="20"/>
          <w:szCs w:val="20"/>
          <w:rtl/>
        </w:rPr>
        <w:br/>
      </w:r>
      <w:r>
        <w:rPr>
          <w:rFonts w:hint="cs"/>
          <w:sz w:val="20"/>
          <w:szCs w:val="20"/>
          <w:rtl/>
        </w:rPr>
        <w:t xml:space="preserve">7. </w:t>
      </w:r>
      <w:r w:rsidRPr="00222162">
        <w:rPr>
          <w:rFonts w:hint="cs"/>
          <w:b/>
          <w:bCs/>
          <w:sz w:val="20"/>
          <w:szCs w:val="20"/>
          <w:rtl/>
        </w:rPr>
        <w:t>רשב"א</w:t>
      </w:r>
      <w:r>
        <w:rPr>
          <w:rFonts w:hint="cs"/>
          <w:sz w:val="20"/>
          <w:szCs w:val="20"/>
          <w:rtl/>
        </w:rPr>
        <w:t xml:space="preserve">. אע"פ שאין ווסת לקפיצה לחוד, יש ווסת לפיהוק לחוד. </w:t>
      </w:r>
      <w:r w:rsidRPr="00496375">
        <w:rPr>
          <w:rFonts w:hint="cs"/>
          <w:b/>
          <w:bCs/>
          <w:sz w:val="20"/>
          <w:szCs w:val="20"/>
          <w:rtl/>
        </w:rPr>
        <w:t>טעם</w:t>
      </w:r>
      <w:r>
        <w:rPr>
          <w:rFonts w:hint="cs"/>
          <w:sz w:val="20"/>
          <w:szCs w:val="20"/>
          <w:rtl/>
        </w:rPr>
        <w:t>. פיהוק הוא סימן על הדם שיבוא.</w:t>
      </w:r>
      <w:r>
        <w:rPr>
          <w:sz w:val="20"/>
          <w:szCs w:val="20"/>
          <w:rtl/>
        </w:rPr>
        <w:br/>
      </w:r>
      <w:r>
        <w:rPr>
          <w:rFonts w:hint="cs"/>
          <w:sz w:val="20"/>
          <w:szCs w:val="20"/>
          <w:rtl/>
        </w:rPr>
        <w:t xml:space="preserve">8. </w:t>
      </w:r>
      <w:r w:rsidRPr="00222162">
        <w:rPr>
          <w:rFonts w:hint="cs"/>
          <w:b/>
          <w:bCs/>
          <w:sz w:val="20"/>
          <w:szCs w:val="20"/>
          <w:rtl/>
        </w:rPr>
        <w:t>רמב"ם</w:t>
      </w:r>
      <w:r>
        <w:rPr>
          <w:rFonts w:hint="cs"/>
          <w:sz w:val="20"/>
          <w:szCs w:val="20"/>
          <w:rtl/>
        </w:rPr>
        <w:t>. אין ווסת לפיהוק לבד, אלא רק ווסת המורכב מפיהוק וימים. דבריו לא הובאו להלכה.</w:t>
      </w:r>
      <w:r>
        <w:rPr>
          <w:rFonts w:hint="cs"/>
          <w:sz w:val="20"/>
          <w:szCs w:val="20"/>
          <w:rtl/>
        </w:rPr>
        <w:br/>
        <w:t xml:space="preserve">9. </w:t>
      </w:r>
      <w:r w:rsidRPr="00222162">
        <w:rPr>
          <w:rFonts w:hint="cs"/>
          <w:b/>
          <w:bCs/>
          <w:sz w:val="20"/>
          <w:szCs w:val="20"/>
          <w:rtl/>
        </w:rPr>
        <w:t>מחבר</w:t>
      </w:r>
      <w:r>
        <w:rPr>
          <w:rFonts w:hint="cs"/>
          <w:sz w:val="20"/>
          <w:szCs w:val="20"/>
          <w:rtl/>
        </w:rPr>
        <w:t>. יש קובעת ווסת ע"י שינוי הגוף שתעשה ג"פ. מדובר בפיהוק ארוך. הנ"ל וסת אף שאינם ביום קבוע.</w:t>
      </w:r>
      <w:r>
        <w:rPr>
          <w:rFonts w:hint="cs"/>
          <w:sz w:val="20"/>
          <w:szCs w:val="20"/>
          <w:rtl/>
        </w:rPr>
        <w:br/>
        <w:t xml:space="preserve">10. </w:t>
      </w:r>
      <w:r w:rsidRPr="00222162">
        <w:rPr>
          <w:rFonts w:hint="cs"/>
          <w:b/>
          <w:bCs/>
          <w:sz w:val="20"/>
          <w:szCs w:val="20"/>
          <w:rtl/>
        </w:rPr>
        <w:t>מחבר</w:t>
      </w:r>
      <w:r>
        <w:rPr>
          <w:rFonts w:hint="cs"/>
          <w:sz w:val="20"/>
          <w:szCs w:val="20"/>
          <w:rtl/>
        </w:rPr>
        <w:t xml:space="preserve">. אע"פ שקבעה ווסת מורכב, מכל מקום חוששת לפיהוק לבד וליום לבד כדין ווסת שאינו קבוע. </w:t>
      </w:r>
      <w:r>
        <w:rPr>
          <w:sz w:val="20"/>
          <w:szCs w:val="20"/>
          <w:rtl/>
        </w:rPr>
        <w:br/>
      </w:r>
      <w:r w:rsidRPr="00222162">
        <w:rPr>
          <w:rFonts w:hint="cs"/>
          <w:b/>
          <w:bCs/>
          <w:sz w:val="20"/>
          <w:szCs w:val="20"/>
          <w:rtl/>
        </w:rPr>
        <w:t>רמ"א</w:t>
      </w:r>
      <w:r>
        <w:rPr>
          <w:rFonts w:hint="cs"/>
          <w:sz w:val="20"/>
          <w:szCs w:val="20"/>
          <w:rtl/>
        </w:rPr>
        <w:t xml:space="preserve">. לאחר שקבעה אינה חוששת ליום או לפיהוק לבד </w:t>
      </w:r>
      <w:r w:rsidRPr="00D30E4C">
        <w:rPr>
          <w:rFonts w:hint="cs"/>
          <w:sz w:val="18"/>
          <w:szCs w:val="18"/>
          <w:rtl/>
        </w:rPr>
        <w:t>(</w:t>
      </w:r>
      <w:r w:rsidRPr="00D30E4C">
        <w:rPr>
          <w:rFonts w:hint="cs"/>
          <w:b/>
          <w:bCs/>
          <w:sz w:val="18"/>
          <w:szCs w:val="18"/>
          <w:rtl/>
        </w:rPr>
        <w:t>ש"ך</w:t>
      </w:r>
      <w:r w:rsidRPr="00D30E4C">
        <w:rPr>
          <w:rFonts w:hint="cs"/>
          <w:sz w:val="18"/>
          <w:szCs w:val="18"/>
          <w:rtl/>
        </w:rPr>
        <w:t xml:space="preserve">. </w:t>
      </w:r>
      <w:r w:rsidRPr="00D30E4C">
        <w:rPr>
          <w:rFonts w:hint="cs"/>
          <w:b/>
          <w:bCs/>
          <w:sz w:val="18"/>
          <w:szCs w:val="18"/>
          <w:rtl/>
        </w:rPr>
        <w:t xml:space="preserve">ט"ז </w:t>
      </w:r>
      <w:r w:rsidRPr="00D30E4C">
        <w:rPr>
          <w:sz w:val="18"/>
          <w:szCs w:val="18"/>
          <w:rtl/>
        </w:rPr>
        <w:t>–</w:t>
      </w:r>
      <w:r w:rsidRPr="00D30E4C">
        <w:rPr>
          <w:rFonts w:hint="cs"/>
          <w:sz w:val="18"/>
          <w:szCs w:val="18"/>
          <w:rtl/>
        </w:rPr>
        <w:t xml:space="preserve"> חוששת ליום לבד כווסת שאינו קבוע </w:t>
      </w:r>
      <w:r>
        <w:rPr>
          <w:rFonts w:hint="cs"/>
          <w:sz w:val="18"/>
          <w:szCs w:val="18"/>
          <w:rtl/>
        </w:rPr>
        <w:t>כ</w:t>
      </w:r>
      <w:r w:rsidRPr="00D30E4C">
        <w:rPr>
          <w:rFonts w:hint="cs"/>
          <w:sz w:val="18"/>
          <w:szCs w:val="18"/>
          <w:rtl/>
        </w:rPr>
        <w:t>דעת המחבר)</w:t>
      </w:r>
      <w:r>
        <w:rPr>
          <w:rFonts w:hint="cs"/>
          <w:sz w:val="20"/>
          <w:szCs w:val="20"/>
          <w:rtl/>
        </w:rPr>
        <w:t xml:space="preserve">, אך לפני שקבעה חוששת לכל אחד כווסת שאינו קבוע. </w:t>
      </w:r>
    </w:p>
    <w:p w:rsidR="00620060" w:rsidRDefault="00620060" w:rsidP="00620060">
      <w:pPr>
        <w:rPr>
          <w:sz w:val="20"/>
          <w:szCs w:val="20"/>
          <w:rtl/>
        </w:rPr>
      </w:pPr>
      <w:r>
        <w:rPr>
          <w:sz w:val="20"/>
          <w:szCs w:val="20"/>
          <w:rtl/>
        </w:rPr>
        <w:br/>
      </w:r>
      <w:r>
        <w:rPr>
          <w:rFonts w:hint="cs"/>
          <w:b/>
          <w:bCs/>
          <w:sz w:val="20"/>
          <w:szCs w:val="20"/>
          <w:rtl/>
        </w:rPr>
        <w:t xml:space="preserve">סעיף כ </w:t>
      </w:r>
      <w:r>
        <w:rPr>
          <w:b/>
          <w:bCs/>
          <w:sz w:val="20"/>
          <w:szCs w:val="20"/>
          <w:rtl/>
        </w:rPr>
        <w:t>–</w:t>
      </w:r>
      <w:r>
        <w:rPr>
          <w:rFonts w:hint="cs"/>
          <w:b/>
          <w:bCs/>
          <w:sz w:val="20"/>
          <w:szCs w:val="20"/>
          <w:rtl/>
        </w:rPr>
        <w:t xml:space="preserve"> קביעת ווסת מורכב</w:t>
      </w:r>
      <w:r>
        <w:rPr>
          <w:b/>
          <w:b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שולחן ערוך </w:t>
      </w:r>
      <w:r w:rsidRPr="00E52EA1">
        <w:rPr>
          <w:rFonts w:hint="cs"/>
          <w:sz w:val="18"/>
          <w:szCs w:val="18"/>
          <w:rtl/>
        </w:rPr>
        <w:t xml:space="preserve">(ע"פ הרשב"א והטור) </w:t>
      </w:r>
      <w:r>
        <w:rPr>
          <w:sz w:val="20"/>
          <w:szCs w:val="20"/>
          <w:rtl/>
        </w:rPr>
        <w:t>–</w:t>
      </w:r>
      <w:r>
        <w:rPr>
          <w:rFonts w:hint="cs"/>
          <w:sz w:val="20"/>
          <w:szCs w:val="20"/>
          <w:rtl/>
        </w:rPr>
        <w:t xml:space="preserve"> "</w:t>
      </w:r>
      <w:r w:rsidRPr="00C146A1">
        <w:rPr>
          <w:rFonts w:cs="Arial" w:hint="cs"/>
          <w:sz w:val="20"/>
          <w:szCs w:val="20"/>
          <w:rtl/>
        </w:rPr>
        <w:t>פיהקה</w:t>
      </w:r>
      <w:r w:rsidRPr="00C146A1">
        <w:rPr>
          <w:rFonts w:cs="Arial"/>
          <w:sz w:val="20"/>
          <w:szCs w:val="20"/>
          <w:rtl/>
        </w:rPr>
        <w:t xml:space="preserve"> </w:t>
      </w:r>
      <w:r w:rsidRPr="00C146A1">
        <w:rPr>
          <w:rFonts w:cs="Arial" w:hint="cs"/>
          <w:sz w:val="20"/>
          <w:szCs w:val="20"/>
          <w:rtl/>
        </w:rPr>
        <w:t>ב</w:t>
      </w:r>
      <w:r w:rsidRPr="00C146A1">
        <w:rPr>
          <w:rFonts w:cs="Arial"/>
          <w:sz w:val="20"/>
          <w:szCs w:val="20"/>
          <w:rtl/>
        </w:rPr>
        <w:t xml:space="preserve">' </w:t>
      </w:r>
      <w:r w:rsidRPr="00C146A1">
        <w:rPr>
          <w:rFonts w:cs="Arial" w:hint="cs"/>
          <w:sz w:val="20"/>
          <w:szCs w:val="20"/>
          <w:rtl/>
        </w:rPr>
        <w:t>פעמים</w:t>
      </w:r>
      <w:r w:rsidRPr="00C146A1">
        <w:rPr>
          <w:rFonts w:cs="Arial"/>
          <w:sz w:val="20"/>
          <w:szCs w:val="20"/>
          <w:rtl/>
        </w:rPr>
        <w:t xml:space="preserve"> </w:t>
      </w:r>
      <w:r w:rsidRPr="00C146A1">
        <w:rPr>
          <w:rFonts w:cs="Arial" w:hint="cs"/>
          <w:sz w:val="20"/>
          <w:szCs w:val="20"/>
          <w:rtl/>
        </w:rPr>
        <w:t>בר</w:t>
      </w:r>
      <w:r w:rsidRPr="00C146A1">
        <w:rPr>
          <w:rFonts w:cs="Arial"/>
          <w:sz w:val="20"/>
          <w:szCs w:val="20"/>
          <w:rtl/>
        </w:rPr>
        <w:t>"</w:t>
      </w:r>
      <w:r w:rsidRPr="00C146A1">
        <w:rPr>
          <w:rFonts w:cs="Arial" w:hint="cs"/>
          <w:sz w:val="20"/>
          <w:szCs w:val="20"/>
          <w:rtl/>
        </w:rPr>
        <w:t>ח</w:t>
      </w:r>
      <w:r w:rsidRPr="00C146A1">
        <w:rPr>
          <w:rFonts w:cs="Arial"/>
          <w:sz w:val="20"/>
          <w:szCs w:val="20"/>
          <w:rtl/>
        </w:rPr>
        <w:t xml:space="preserve">, </w:t>
      </w:r>
      <w:r w:rsidRPr="00C146A1">
        <w:rPr>
          <w:rFonts w:cs="Arial" w:hint="cs"/>
          <w:sz w:val="20"/>
          <w:szCs w:val="20"/>
          <w:rtl/>
        </w:rPr>
        <w:t>וראתה</w:t>
      </w:r>
      <w:r w:rsidRPr="00C146A1">
        <w:rPr>
          <w:rFonts w:cs="Arial"/>
          <w:sz w:val="20"/>
          <w:szCs w:val="20"/>
          <w:rtl/>
        </w:rPr>
        <w:t xml:space="preserve"> </w:t>
      </w:r>
      <w:r w:rsidRPr="00C146A1">
        <w:rPr>
          <w:rFonts w:cs="Arial" w:hint="cs"/>
          <w:sz w:val="20"/>
          <w:szCs w:val="20"/>
          <w:rtl/>
        </w:rPr>
        <w:t>ואחר</w:t>
      </w:r>
      <w:r w:rsidRPr="00C146A1">
        <w:rPr>
          <w:rFonts w:cs="Arial"/>
          <w:sz w:val="20"/>
          <w:szCs w:val="20"/>
          <w:rtl/>
        </w:rPr>
        <w:t xml:space="preserve"> </w:t>
      </w:r>
      <w:r w:rsidRPr="00C146A1">
        <w:rPr>
          <w:rFonts w:cs="Arial" w:hint="cs"/>
          <w:sz w:val="20"/>
          <w:szCs w:val="20"/>
          <w:rtl/>
        </w:rPr>
        <w:t>כך</w:t>
      </w:r>
      <w:r w:rsidRPr="00C146A1">
        <w:rPr>
          <w:rFonts w:cs="Arial"/>
          <w:sz w:val="20"/>
          <w:szCs w:val="20"/>
          <w:rtl/>
        </w:rPr>
        <w:t xml:space="preserve"> </w:t>
      </w:r>
      <w:r w:rsidRPr="00C146A1">
        <w:rPr>
          <w:rFonts w:cs="Arial" w:hint="cs"/>
          <w:sz w:val="20"/>
          <w:szCs w:val="20"/>
          <w:rtl/>
        </w:rPr>
        <w:t>פיהקה</w:t>
      </w:r>
      <w:r w:rsidRPr="00C146A1">
        <w:rPr>
          <w:rFonts w:cs="Arial"/>
          <w:sz w:val="20"/>
          <w:szCs w:val="20"/>
          <w:rtl/>
        </w:rPr>
        <w:t xml:space="preserve"> </w:t>
      </w:r>
      <w:r w:rsidRPr="00C146A1">
        <w:rPr>
          <w:rFonts w:cs="Arial" w:hint="cs"/>
          <w:sz w:val="20"/>
          <w:szCs w:val="20"/>
          <w:rtl/>
        </w:rPr>
        <w:t>שלא</w:t>
      </w:r>
      <w:r w:rsidRPr="00C146A1">
        <w:rPr>
          <w:rFonts w:cs="Arial"/>
          <w:sz w:val="20"/>
          <w:szCs w:val="20"/>
          <w:rtl/>
        </w:rPr>
        <w:t xml:space="preserve"> </w:t>
      </w:r>
      <w:r w:rsidRPr="00C146A1">
        <w:rPr>
          <w:rFonts w:cs="Arial" w:hint="cs"/>
          <w:sz w:val="20"/>
          <w:szCs w:val="20"/>
          <w:rtl/>
        </w:rPr>
        <w:t>בר</w:t>
      </w:r>
      <w:r w:rsidRPr="00C146A1">
        <w:rPr>
          <w:rFonts w:cs="Arial"/>
          <w:sz w:val="20"/>
          <w:szCs w:val="20"/>
          <w:rtl/>
        </w:rPr>
        <w:t>"</w:t>
      </w:r>
      <w:r w:rsidRPr="00C146A1">
        <w:rPr>
          <w:rFonts w:cs="Arial" w:hint="cs"/>
          <w:sz w:val="20"/>
          <w:szCs w:val="20"/>
          <w:rtl/>
        </w:rPr>
        <w:t>ח</w:t>
      </w:r>
      <w:r w:rsidRPr="00C146A1">
        <w:rPr>
          <w:rFonts w:cs="Arial"/>
          <w:sz w:val="20"/>
          <w:szCs w:val="20"/>
          <w:rtl/>
        </w:rPr>
        <w:t xml:space="preserve"> </w:t>
      </w:r>
      <w:r w:rsidRPr="00C146A1">
        <w:rPr>
          <w:rFonts w:cs="Arial" w:hint="cs"/>
          <w:sz w:val="20"/>
          <w:szCs w:val="20"/>
          <w:rtl/>
        </w:rPr>
        <w:t>וראתה</w:t>
      </w:r>
      <w:r w:rsidRPr="00C146A1">
        <w:rPr>
          <w:rFonts w:cs="Arial"/>
          <w:sz w:val="20"/>
          <w:szCs w:val="20"/>
          <w:rtl/>
        </w:rPr>
        <w:t xml:space="preserve">, </w:t>
      </w:r>
      <w:r w:rsidRPr="00C146A1">
        <w:rPr>
          <w:rFonts w:cs="Arial" w:hint="cs"/>
          <w:sz w:val="20"/>
          <w:szCs w:val="20"/>
          <w:rtl/>
        </w:rPr>
        <w:t>הוברר</w:t>
      </w:r>
      <w:r w:rsidRPr="00C146A1">
        <w:rPr>
          <w:rFonts w:cs="Arial"/>
          <w:sz w:val="20"/>
          <w:szCs w:val="20"/>
          <w:rtl/>
        </w:rPr>
        <w:t xml:space="preserve"> </w:t>
      </w:r>
      <w:r w:rsidRPr="00C146A1">
        <w:rPr>
          <w:rFonts w:cs="Arial" w:hint="cs"/>
          <w:sz w:val="20"/>
          <w:szCs w:val="20"/>
          <w:rtl/>
        </w:rPr>
        <w:t>הדבר</w:t>
      </w:r>
      <w:r w:rsidRPr="00C146A1">
        <w:rPr>
          <w:rFonts w:cs="Arial"/>
          <w:sz w:val="20"/>
          <w:szCs w:val="20"/>
          <w:rtl/>
        </w:rPr>
        <w:t xml:space="preserve"> </w:t>
      </w:r>
      <w:r w:rsidRPr="00C146A1">
        <w:rPr>
          <w:rFonts w:cs="Arial" w:hint="cs"/>
          <w:sz w:val="20"/>
          <w:szCs w:val="20"/>
          <w:rtl/>
        </w:rPr>
        <w:t>שאין</w:t>
      </w:r>
      <w:r w:rsidRPr="00C146A1">
        <w:rPr>
          <w:rFonts w:cs="Arial"/>
          <w:sz w:val="20"/>
          <w:szCs w:val="20"/>
          <w:rtl/>
        </w:rPr>
        <w:t xml:space="preserve"> </w:t>
      </w:r>
      <w:r w:rsidRPr="00C146A1">
        <w:rPr>
          <w:rFonts w:cs="Arial" w:hint="cs"/>
          <w:sz w:val="20"/>
          <w:szCs w:val="20"/>
          <w:rtl/>
        </w:rPr>
        <w:t>ר</w:t>
      </w:r>
      <w:r w:rsidRPr="00C146A1">
        <w:rPr>
          <w:rFonts w:cs="Arial"/>
          <w:sz w:val="20"/>
          <w:szCs w:val="20"/>
          <w:rtl/>
        </w:rPr>
        <w:t>"</w:t>
      </w:r>
      <w:r w:rsidRPr="00C146A1">
        <w:rPr>
          <w:rFonts w:cs="Arial" w:hint="cs"/>
          <w:sz w:val="20"/>
          <w:szCs w:val="20"/>
          <w:rtl/>
        </w:rPr>
        <w:t>ח</w:t>
      </w:r>
      <w:r w:rsidRPr="00C146A1">
        <w:rPr>
          <w:rFonts w:cs="Arial"/>
          <w:sz w:val="20"/>
          <w:szCs w:val="20"/>
          <w:rtl/>
        </w:rPr>
        <w:t xml:space="preserve"> </w:t>
      </w:r>
      <w:r w:rsidRPr="00C146A1">
        <w:rPr>
          <w:rFonts w:cs="Arial" w:hint="cs"/>
          <w:sz w:val="20"/>
          <w:szCs w:val="20"/>
          <w:rtl/>
        </w:rPr>
        <w:t>גורם</w:t>
      </w:r>
      <w:r w:rsidRPr="00C146A1">
        <w:rPr>
          <w:rFonts w:cs="Arial"/>
          <w:sz w:val="20"/>
          <w:szCs w:val="20"/>
          <w:rtl/>
        </w:rPr>
        <w:t xml:space="preserve"> </w:t>
      </w:r>
      <w:r w:rsidRPr="00C146A1">
        <w:rPr>
          <w:rFonts w:cs="Arial" w:hint="cs"/>
          <w:sz w:val="20"/>
          <w:szCs w:val="20"/>
          <w:rtl/>
        </w:rPr>
        <w:t>אלא</w:t>
      </w:r>
      <w:r w:rsidRPr="00C146A1">
        <w:rPr>
          <w:rFonts w:cs="Arial"/>
          <w:sz w:val="20"/>
          <w:szCs w:val="20"/>
          <w:rtl/>
        </w:rPr>
        <w:t xml:space="preserve"> </w:t>
      </w:r>
      <w:r w:rsidRPr="00C146A1">
        <w:rPr>
          <w:rFonts w:cs="Arial" w:hint="cs"/>
          <w:sz w:val="20"/>
          <w:szCs w:val="20"/>
          <w:rtl/>
        </w:rPr>
        <w:t>הפיהוק</w:t>
      </w:r>
      <w:r w:rsidRPr="00C146A1">
        <w:rPr>
          <w:rFonts w:cs="Arial"/>
          <w:sz w:val="20"/>
          <w:szCs w:val="20"/>
          <w:rtl/>
        </w:rPr>
        <w:t xml:space="preserve">. </w:t>
      </w:r>
      <w:r w:rsidRPr="00C146A1">
        <w:rPr>
          <w:rFonts w:cs="Arial" w:hint="cs"/>
          <w:sz w:val="20"/>
          <w:szCs w:val="20"/>
          <w:rtl/>
        </w:rPr>
        <w:t>וכן</w:t>
      </w:r>
      <w:r w:rsidRPr="00C146A1">
        <w:rPr>
          <w:rFonts w:cs="Arial"/>
          <w:sz w:val="20"/>
          <w:szCs w:val="20"/>
          <w:rtl/>
        </w:rPr>
        <w:t xml:space="preserve"> </w:t>
      </w:r>
      <w:r w:rsidRPr="00C146A1">
        <w:rPr>
          <w:rFonts w:cs="Arial" w:hint="cs"/>
          <w:sz w:val="20"/>
          <w:szCs w:val="20"/>
          <w:rtl/>
        </w:rPr>
        <w:t>אם</w:t>
      </w:r>
      <w:r w:rsidRPr="00C146A1">
        <w:rPr>
          <w:rFonts w:cs="Arial"/>
          <w:sz w:val="20"/>
          <w:szCs w:val="20"/>
          <w:rtl/>
        </w:rPr>
        <w:t xml:space="preserve"> </w:t>
      </w:r>
      <w:r w:rsidRPr="00C146A1">
        <w:rPr>
          <w:rFonts w:cs="Arial" w:hint="cs"/>
          <w:sz w:val="20"/>
          <w:szCs w:val="20"/>
          <w:rtl/>
        </w:rPr>
        <w:t>בפעם</w:t>
      </w:r>
      <w:r w:rsidRPr="00C146A1">
        <w:rPr>
          <w:rFonts w:cs="Arial"/>
          <w:sz w:val="20"/>
          <w:szCs w:val="20"/>
          <w:rtl/>
        </w:rPr>
        <w:t xml:space="preserve"> </w:t>
      </w:r>
      <w:r w:rsidRPr="00C146A1">
        <w:rPr>
          <w:rFonts w:cs="Arial" w:hint="cs"/>
          <w:sz w:val="20"/>
          <w:szCs w:val="20"/>
          <w:rtl/>
        </w:rPr>
        <w:t>השלישית</w:t>
      </w:r>
      <w:r w:rsidRPr="00C146A1">
        <w:rPr>
          <w:rFonts w:cs="Arial"/>
          <w:sz w:val="20"/>
          <w:szCs w:val="20"/>
          <w:rtl/>
        </w:rPr>
        <w:t xml:space="preserve"> </w:t>
      </w:r>
      <w:r w:rsidRPr="00C146A1">
        <w:rPr>
          <w:rFonts w:cs="Arial" w:hint="cs"/>
          <w:sz w:val="20"/>
          <w:szCs w:val="20"/>
          <w:rtl/>
        </w:rPr>
        <w:t>ראתה</w:t>
      </w:r>
      <w:r w:rsidRPr="00C146A1">
        <w:rPr>
          <w:rFonts w:cs="Arial"/>
          <w:sz w:val="20"/>
          <w:szCs w:val="20"/>
          <w:rtl/>
        </w:rPr>
        <w:t xml:space="preserve"> </w:t>
      </w:r>
      <w:r w:rsidRPr="00C146A1">
        <w:rPr>
          <w:rFonts w:cs="Arial" w:hint="cs"/>
          <w:sz w:val="20"/>
          <w:szCs w:val="20"/>
          <w:rtl/>
        </w:rPr>
        <w:t>בר</w:t>
      </w:r>
      <w:r w:rsidRPr="00C146A1">
        <w:rPr>
          <w:rFonts w:cs="Arial"/>
          <w:sz w:val="20"/>
          <w:szCs w:val="20"/>
          <w:rtl/>
        </w:rPr>
        <w:t>"</w:t>
      </w:r>
      <w:r w:rsidRPr="00C146A1">
        <w:rPr>
          <w:rFonts w:cs="Arial" w:hint="cs"/>
          <w:sz w:val="20"/>
          <w:szCs w:val="20"/>
          <w:rtl/>
        </w:rPr>
        <w:t>ח</w:t>
      </w:r>
      <w:r w:rsidRPr="00C146A1">
        <w:rPr>
          <w:rFonts w:cs="Arial"/>
          <w:sz w:val="20"/>
          <w:szCs w:val="20"/>
          <w:rtl/>
        </w:rPr>
        <w:t xml:space="preserve"> </w:t>
      </w:r>
      <w:r w:rsidRPr="00C146A1">
        <w:rPr>
          <w:rFonts w:cs="Arial" w:hint="cs"/>
          <w:sz w:val="20"/>
          <w:szCs w:val="20"/>
          <w:rtl/>
        </w:rPr>
        <w:t>בלא</w:t>
      </w:r>
      <w:r w:rsidRPr="00C146A1">
        <w:rPr>
          <w:rFonts w:cs="Arial"/>
          <w:sz w:val="20"/>
          <w:szCs w:val="20"/>
          <w:rtl/>
        </w:rPr>
        <w:t xml:space="preserve"> </w:t>
      </w:r>
      <w:r w:rsidRPr="00C146A1">
        <w:rPr>
          <w:rFonts w:cs="Arial" w:hint="cs"/>
          <w:sz w:val="20"/>
          <w:szCs w:val="20"/>
          <w:rtl/>
        </w:rPr>
        <w:t>פיהוק</w:t>
      </w:r>
      <w:r w:rsidRPr="00C146A1">
        <w:rPr>
          <w:rFonts w:cs="Arial"/>
          <w:sz w:val="20"/>
          <w:szCs w:val="20"/>
          <w:rtl/>
        </w:rPr>
        <w:t xml:space="preserve">, </w:t>
      </w:r>
      <w:r w:rsidRPr="00C146A1">
        <w:rPr>
          <w:rFonts w:cs="Arial" w:hint="cs"/>
          <w:sz w:val="20"/>
          <w:szCs w:val="20"/>
          <w:rtl/>
        </w:rPr>
        <w:t>הוברר</w:t>
      </w:r>
      <w:r w:rsidRPr="00C146A1">
        <w:rPr>
          <w:rFonts w:cs="Arial"/>
          <w:sz w:val="20"/>
          <w:szCs w:val="20"/>
          <w:rtl/>
        </w:rPr>
        <w:t xml:space="preserve"> </w:t>
      </w:r>
      <w:r w:rsidRPr="00C146A1">
        <w:rPr>
          <w:rFonts w:cs="Arial" w:hint="cs"/>
          <w:sz w:val="20"/>
          <w:szCs w:val="20"/>
          <w:rtl/>
        </w:rPr>
        <w:t>הדבר</w:t>
      </w:r>
      <w:r w:rsidRPr="00C146A1">
        <w:rPr>
          <w:rFonts w:cs="Arial"/>
          <w:sz w:val="20"/>
          <w:szCs w:val="20"/>
          <w:rtl/>
        </w:rPr>
        <w:t xml:space="preserve"> </w:t>
      </w:r>
      <w:r w:rsidRPr="00C146A1">
        <w:rPr>
          <w:rFonts w:cs="Arial" w:hint="cs"/>
          <w:sz w:val="20"/>
          <w:szCs w:val="20"/>
          <w:rtl/>
        </w:rPr>
        <w:t>שאין</w:t>
      </w:r>
      <w:r w:rsidRPr="00C146A1">
        <w:rPr>
          <w:rFonts w:cs="Arial"/>
          <w:sz w:val="20"/>
          <w:szCs w:val="20"/>
          <w:rtl/>
        </w:rPr>
        <w:t xml:space="preserve"> </w:t>
      </w:r>
      <w:r w:rsidRPr="00C146A1">
        <w:rPr>
          <w:rFonts w:cs="Arial" w:hint="cs"/>
          <w:sz w:val="20"/>
          <w:szCs w:val="20"/>
          <w:rtl/>
        </w:rPr>
        <w:t>הפיהוק</w:t>
      </w:r>
      <w:r w:rsidRPr="00C146A1">
        <w:rPr>
          <w:rFonts w:cs="Arial"/>
          <w:sz w:val="20"/>
          <w:szCs w:val="20"/>
          <w:rtl/>
        </w:rPr>
        <w:t xml:space="preserve"> </w:t>
      </w:r>
      <w:r w:rsidRPr="00C146A1">
        <w:rPr>
          <w:rFonts w:cs="Arial" w:hint="cs"/>
          <w:sz w:val="20"/>
          <w:szCs w:val="20"/>
          <w:rtl/>
        </w:rPr>
        <w:t>גורם</w:t>
      </w:r>
      <w:r w:rsidRPr="00C146A1">
        <w:rPr>
          <w:rFonts w:cs="Arial"/>
          <w:sz w:val="20"/>
          <w:szCs w:val="20"/>
          <w:rtl/>
        </w:rPr>
        <w:t xml:space="preserve"> </w:t>
      </w:r>
      <w:r w:rsidRPr="00C146A1">
        <w:rPr>
          <w:rFonts w:cs="Arial" w:hint="cs"/>
          <w:sz w:val="20"/>
          <w:szCs w:val="20"/>
          <w:rtl/>
        </w:rPr>
        <w:t>אלא</w:t>
      </w:r>
      <w:r w:rsidRPr="00C146A1">
        <w:rPr>
          <w:rFonts w:cs="Arial"/>
          <w:sz w:val="20"/>
          <w:szCs w:val="20"/>
          <w:rtl/>
        </w:rPr>
        <w:t xml:space="preserve"> </w:t>
      </w:r>
      <w:r w:rsidRPr="00C146A1">
        <w:rPr>
          <w:rFonts w:cs="Arial" w:hint="cs"/>
          <w:sz w:val="20"/>
          <w:szCs w:val="20"/>
          <w:rtl/>
        </w:rPr>
        <w:t>הר</w:t>
      </w:r>
      <w:r w:rsidRPr="00C146A1">
        <w:rPr>
          <w:rFonts w:cs="Arial"/>
          <w:sz w:val="20"/>
          <w:szCs w:val="20"/>
          <w:rtl/>
        </w:rPr>
        <w:t>"</w:t>
      </w:r>
      <w:r w:rsidRPr="00C146A1">
        <w:rPr>
          <w:rFonts w:cs="Arial" w:hint="cs"/>
          <w:sz w:val="20"/>
          <w:szCs w:val="20"/>
          <w:rtl/>
        </w:rPr>
        <w:t>ח</w:t>
      </w:r>
      <w:r w:rsidRPr="00C146A1">
        <w:rPr>
          <w:rFonts w:cs="Arial"/>
          <w:sz w:val="20"/>
          <w:szCs w:val="20"/>
          <w:rtl/>
        </w:rPr>
        <w:t xml:space="preserve">. </w:t>
      </w:r>
      <w:r w:rsidRPr="00C146A1">
        <w:rPr>
          <w:rFonts w:cs="Arial" w:hint="cs"/>
          <w:sz w:val="20"/>
          <w:szCs w:val="20"/>
          <w:rtl/>
        </w:rPr>
        <w:t>אבל</w:t>
      </w:r>
      <w:r w:rsidRPr="00C146A1">
        <w:rPr>
          <w:rFonts w:cs="Arial"/>
          <w:sz w:val="20"/>
          <w:szCs w:val="20"/>
          <w:rtl/>
        </w:rPr>
        <w:t xml:space="preserve"> </w:t>
      </w:r>
      <w:r w:rsidRPr="00C146A1">
        <w:rPr>
          <w:rFonts w:cs="Arial" w:hint="cs"/>
          <w:sz w:val="20"/>
          <w:szCs w:val="20"/>
          <w:rtl/>
        </w:rPr>
        <w:t>אם</w:t>
      </w:r>
      <w:r w:rsidRPr="00C146A1">
        <w:rPr>
          <w:rFonts w:cs="Arial"/>
          <w:sz w:val="20"/>
          <w:szCs w:val="20"/>
          <w:rtl/>
        </w:rPr>
        <w:t xml:space="preserve"> </w:t>
      </w:r>
      <w:r w:rsidRPr="00C146A1">
        <w:rPr>
          <w:rFonts w:cs="Arial" w:hint="cs"/>
          <w:sz w:val="20"/>
          <w:szCs w:val="20"/>
          <w:rtl/>
        </w:rPr>
        <w:t>פיהקה</w:t>
      </w:r>
      <w:r w:rsidRPr="00C146A1">
        <w:rPr>
          <w:rFonts w:cs="Arial"/>
          <w:sz w:val="20"/>
          <w:szCs w:val="20"/>
          <w:rtl/>
        </w:rPr>
        <w:t xml:space="preserve"> </w:t>
      </w:r>
      <w:r w:rsidRPr="00C146A1">
        <w:rPr>
          <w:rFonts w:cs="Arial" w:hint="cs"/>
          <w:sz w:val="20"/>
          <w:szCs w:val="20"/>
          <w:rtl/>
        </w:rPr>
        <w:t>ב</w:t>
      </w:r>
      <w:r w:rsidRPr="00C146A1">
        <w:rPr>
          <w:rFonts w:cs="Arial"/>
          <w:sz w:val="20"/>
          <w:szCs w:val="20"/>
          <w:rtl/>
        </w:rPr>
        <w:t xml:space="preserve">' </w:t>
      </w:r>
      <w:r w:rsidRPr="00C146A1">
        <w:rPr>
          <w:rFonts w:cs="Arial" w:hint="cs"/>
          <w:sz w:val="20"/>
          <w:szCs w:val="20"/>
          <w:rtl/>
        </w:rPr>
        <w:t>פעמים</w:t>
      </w:r>
      <w:r w:rsidRPr="00C146A1">
        <w:rPr>
          <w:rFonts w:cs="Arial"/>
          <w:sz w:val="20"/>
          <w:szCs w:val="20"/>
          <w:rtl/>
        </w:rPr>
        <w:t xml:space="preserve"> </w:t>
      </w:r>
      <w:r w:rsidRPr="00C146A1">
        <w:rPr>
          <w:rFonts w:cs="Arial" w:hint="cs"/>
          <w:sz w:val="20"/>
          <w:szCs w:val="20"/>
          <w:rtl/>
        </w:rPr>
        <w:t>בר</w:t>
      </w:r>
      <w:r w:rsidRPr="00C146A1">
        <w:rPr>
          <w:rFonts w:cs="Arial"/>
          <w:sz w:val="20"/>
          <w:szCs w:val="20"/>
          <w:rtl/>
        </w:rPr>
        <w:t>"</w:t>
      </w:r>
      <w:r w:rsidRPr="00C146A1">
        <w:rPr>
          <w:rFonts w:cs="Arial" w:hint="cs"/>
          <w:sz w:val="20"/>
          <w:szCs w:val="20"/>
          <w:rtl/>
        </w:rPr>
        <w:t>ח</w:t>
      </w:r>
      <w:r w:rsidRPr="00C146A1">
        <w:rPr>
          <w:rFonts w:cs="Arial"/>
          <w:sz w:val="20"/>
          <w:szCs w:val="20"/>
          <w:rtl/>
        </w:rPr>
        <w:t xml:space="preserve">, </w:t>
      </w:r>
      <w:r w:rsidRPr="00C146A1">
        <w:rPr>
          <w:rFonts w:cs="Arial" w:hint="cs"/>
          <w:sz w:val="20"/>
          <w:szCs w:val="20"/>
          <w:rtl/>
        </w:rPr>
        <w:t>ובפעם</w:t>
      </w:r>
      <w:r w:rsidRPr="00C146A1">
        <w:rPr>
          <w:rFonts w:cs="Arial"/>
          <w:sz w:val="20"/>
          <w:szCs w:val="20"/>
          <w:rtl/>
        </w:rPr>
        <w:t xml:space="preserve"> </w:t>
      </w:r>
      <w:r w:rsidRPr="00C146A1">
        <w:rPr>
          <w:rFonts w:cs="Arial" w:hint="cs"/>
          <w:sz w:val="20"/>
          <w:szCs w:val="20"/>
          <w:rtl/>
        </w:rPr>
        <w:t>השלישית</w:t>
      </w:r>
      <w:r w:rsidRPr="00C146A1">
        <w:rPr>
          <w:rFonts w:cs="Arial"/>
          <w:sz w:val="20"/>
          <w:szCs w:val="20"/>
          <w:rtl/>
        </w:rPr>
        <w:t xml:space="preserve"> </w:t>
      </w:r>
      <w:r w:rsidRPr="00C146A1">
        <w:rPr>
          <w:rFonts w:cs="Arial" w:hint="cs"/>
          <w:sz w:val="20"/>
          <w:szCs w:val="20"/>
          <w:rtl/>
        </w:rPr>
        <w:t>פיהקה</w:t>
      </w:r>
      <w:r w:rsidRPr="00C146A1">
        <w:rPr>
          <w:rFonts w:cs="Arial"/>
          <w:sz w:val="20"/>
          <w:szCs w:val="20"/>
          <w:rtl/>
        </w:rPr>
        <w:t xml:space="preserve"> </w:t>
      </w:r>
      <w:r w:rsidRPr="00C146A1">
        <w:rPr>
          <w:rFonts w:cs="Arial" w:hint="cs"/>
          <w:sz w:val="20"/>
          <w:szCs w:val="20"/>
          <w:rtl/>
        </w:rPr>
        <w:t>בכ</w:t>
      </w:r>
      <w:r w:rsidRPr="00C146A1">
        <w:rPr>
          <w:rFonts w:cs="Arial"/>
          <w:sz w:val="20"/>
          <w:szCs w:val="20"/>
          <w:rtl/>
        </w:rPr>
        <w:t>"</w:t>
      </w:r>
      <w:r w:rsidRPr="00C146A1">
        <w:rPr>
          <w:rFonts w:cs="Arial" w:hint="cs"/>
          <w:sz w:val="20"/>
          <w:szCs w:val="20"/>
          <w:rtl/>
        </w:rPr>
        <w:t>ט</w:t>
      </w:r>
      <w:r w:rsidRPr="00C146A1">
        <w:rPr>
          <w:rFonts w:cs="Arial"/>
          <w:sz w:val="20"/>
          <w:szCs w:val="20"/>
          <w:rtl/>
        </w:rPr>
        <w:t xml:space="preserve"> </w:t>
      </w:r>
      <w:r w:rsidRPr="00C146A1">
        <w:rPr>
          <w:rFonts w:cs="Arial" w:hint="cs"/>
          <w:sz w:val="20"/>
          <w:szCs w:val="20"/>
          <w:rtl/>
        </w:rPr>
        <w:t>לחדש</w:t>
      </w:r>
      <w:r w:rsidRPr="00C146A1">
        <w:rPr>
          <w:rFonts w:cs="Arial"/>
          <w:sz w:val="20"/>
          <w:szCs w:val="20"/>
          <w:rtl/>
        </w:rPr>
        <w:t xml:space="preserve">, </w:t>
      </w:r>
      <w:r w:rsidRPr="00C146A1">
        <w:rPr>
          <w:rFonts w:cs="Arial" w:hint="cs"/>
          <w:sz w:val="20"/>
          <w:szCs w:val="20"/>
          <w:rtl/>
        </w:rPr>
        <w:t>ולא</w:t>
      </w:r>
      <w:r w:rsidRPr="00C146A1">
        <w:rPr>
          <w:rFonts w:cs="Arial"/>
          <w:sz w:val="20"/>
          <w:szCs w:val="20"/>
          <w:rtl/>
        </w:rPr>
        <w:t xml:space="preserve"> </w:t>
      </w:r>
      <w:r w:rsidRPr="00C146A1">
        <w:rPr>
          <w:rFonts w:cs="Arial" w:hint="cs"/>
          <w:sz w:val="20"/>
          <w:szCs w:val="20"/>
          <w:rtl/>
        </w:rPr>
        <w:t>ראתה</w:t>
      </w:r>
      <w:r w:rsidRPr="00C146A1">
        <w:rPr>
          <w:rFonts w:cs="Arial"/>
          <w:sz w:val="20"/>
          <w:szCs w:val="20"/>
          <w:rtl/>
        </w:rPr>
        <w:t xml:space="preserve">, </w:t>
      </w:r>
      <w:r w:rsidRPr="00C146A1">
        <w:rPr>
          <w:rFonts w:cs="Arial" w:hint="cs"/>
          <w:sz w:val="20"/>
          <w:szCs w:val="20"/>
          <w:rtl/>
        </w:rPr>
        <w:t>ובר</w:t>
      </w:r>
      <w:r w:rsidRPr="00C146A1">
        <w:rPr>
          <w:rFonts w:cs="Arial"/>
          <w:sz w:val="20"/>
          <w:szCs w:val="20"/>
          <w:rtl/>
        </w:rPr>
        <w:t>"</w:t>
      </w:r>
      <w:r w:rsidRPr="00C146A1">
        <w:rPr>
          <w:rFonts w:cs="Arial" w:hint="cs"/>
          <w:sz w:val="20"/>
          <w:szCs w:val="20"/>
          <w:rtl/>
        </w:rPr>
        <w:t>ח</w:t>
      </w:r>
      <w:r w:rsidRPr="00C146A1">
        <w:rPr>
          <w:rFonts w:cs="Arial"/>
          <w:sz w:val="20"/>
          <w:szCs w:val="20"/>
          <w:rtl/>
        </w:rPr>
        <w:t xml:space="preserve"> </w:t>
      </w:r>
      <w:r w:rsidRPr="00C146A1">
        <w:rPr>
          <w:rFonts w:cs="Arial" w:hint="cs"/>
          <w:sz w:val="20"/>
          <w:szCs w:val="20"/>
          <w:rtl/>
        </w:rPr>
        <w:t>ראתה</w:t>
      </w:r>
      <w:r w:rsidRPr="00C146A1">
        <w:rPr>
          <w:rFonts w:cs="Arial"/>
          <w:sz w:val="20"/>
          <w:szCs w:val="20"/>
          <w:rtl/>
        </w:rPr>
        <w:t xml:space="preserve"> </w:t>
      </w:r>
      <w:r w:rsidRPr="00C146A1">
        <w:rPr>
          <w:rFonts w:cs="Arial" w:hint="cs"/>
          <w:sz w:val="20"/>
          <w:szCs w:val="20"/>
          <w:rtl/>
        </w:rPr>
        <w:t>בלא</w:t>
      </w:r>
      <w:r w:rsidRPr="00C146A1">
        <w:rPr>
          <w:rFonts w:cs="Arial"/>
          <w:sz w:val="20"/>
          <w:szCs w:val="20"/>
          <w:rtl/>
        </w:rPr>
        <w:t xml:space="preserve"> </w:t>
      </w:r>
      <w:r w:rsidRPr="00C146A1">
        <w:rPr>
          <w:rFonts w:cs="Arial" w:hint="cs"/>
          <w:sz w:val="20"/>
          <w:szCs w:val="20"/>
          <w:rtl/>
        </w:rPr>
        <w:t>פיהוק</w:t>
      </w:r>
      <w:r w:rsidRPr="00C146A1">
        <w:rPr>
          <w:rFonts w:cs="Arial"/>
          <w:sz w:val="20"/>
          <w:szCs w:val="20"/>
          <w:rtl/>
        </w:rPr>
        <w:t xml:space="preserve">, </w:t>
      </w:r>
      <w:r w:rsidRPr="00C146A1">
        <w:rPr>
          <w:rFonts w:cs="Arial" w:hint="cs"/>
          <w:sz w:val="20"/>
          <w:szCs w:val="20"/>
          <w:rtl/>
        </w:rPr>
        <w:t>קבעה</w:t>
      </w:r>
      <w:r w:rsidRPr="00C146A1">
        <w:rPr>
          <w:rFonts w:cs="Arial"/>
          <w:sz w:val="20"/>
          <w:szCs w:val="20"/>
          <w:rtl/>
        </w:rPr>
        <w:t xml:space="preserve"> </w:t>
      </w:r>
      <w:r w:rsidRPr="00C146A1">
        <w:rPr>
          <w:rFonts w:cs="Arial" w:hint="cs"/>
          <w:sz w:val="20"/>
          <w:szCs w:val="20"/>
          <w:rtl/>
        </w:rPr>
        <w:t>לה</w:t>
      </w:r>
      <w:r w:rsidRPr="00C146A1">
        <w:rPr>
          <w:rFonts w:cs="Arial"/>
          <w:sz w:val="20"/>
          <w:szCs w:val="20"/>
          <w:rtl/>
        </w:rPr>
        <w:t xml:space="preserve"> </w:t>
      </w:r>
      <w:r w:rsidRPr="00C146A1">
        <w:rPr>
          <w:rFonts w:cs="Arial" w:hint="cs"/>
          <w:sz w:val="20"/>
          <w:szCs w:val="20"/>
          <w:rtl/>
        </w:rPr>
        <w:t>וסת</w:t>
      </w:r>
      <w:r w:rsidRPr="00C146A1">
        <w:rPr>
          <w:rFonts w:cs="Arial"/>
          <w:sz w:val="20"/>
          <w:szCs w:val="20"/>
          <w:rtl/>
        </w:rPr>
        <w:t xml:space="preserve"> </w:t>
      </w:r>
      <w:r w:rsidRPr="00C146A1">
        <w:rPr>
          <w:rFonts w:cs="Arial" w:hint="cs"/>
          <w:sz w:val="20"/>
          <w:szCs w:val="20"/>
          <w:rtl/>
        </w:rPr>
        <w:t>לפיהוק</w:t>
      </w:r>
      <w:r w:rsidRPr="00C146A1">
        <w:rPr>
          <w:rFonts w:cs="Arial"/>
          <w:sz w:val="20"/>
          <w:szCs w:val="20"/>
          <w:rtl/>
        </w:rPr>
        <w:t xml:space="preserve"> </w:t>
      </w:r>
      <w:r w:rsidRPr="00C146A1">
        <w:rPr>
          <w:rFonts w:cs="Arial" w:hint="cs"/>
          <w:sz w:val="20"/>
          <w:szCs w:val="20"/>
          <w:rtl/>
        </w:rPr>
        <w:t>של</w:t>
      </w:r>
      <w:r w:rsidRPr="00C146A1">
        <w:rPr>
          <w:rFonts w:cs="Arial"/>
          <w:sz w:val="20"/>
          <w:szCs w:val="20"/>
          <w:rtl/>
        </w:rPr>
        <w:t xml:space="preserve"> </w:t>
      </w:r>
      <w:r w:rsidRPr="00C146A1">
        <w:rPr>
          <w:rFonts w:cs="Arial" w:hint="cs"/>
          <w:sz w:val="20"/>
          <w:szCs w:val="20"/>
          <w:rtl/>
        </w:rPr>
        <w:t>ר</w:t>
      </w:r>
      <w:r w:rsidRPr="00C146A1">
        <w:rPr>
          <w:rFonts w:cs="Arial"/>
          <w:sz w:val="20"/>
          <w:szCs w:val="20"/>
          <w:rtl/>
        </w:rPr>
        <w:t>"</w:t>
      </w:r>
      <w:r w:rsidRPr="00C146A1">
        <w:rPr>
          <w:rFonts w:cs="Arial" w:hint="cs"/>
          <w:sz w:val="20"/>
          <w:szCs w:val="20"/>
          <w:rtl/>
        </w:rPr>
        <w:t>ח</w:t>
      </w:r>
      <w:r w:rsidRPr="00C146A1">
        <w:rPr>
          <w:rFonts w:cs="Arial"/>
          <w:sz w:val="20"/>
          <w:szCs w:val="20"/>
          <w:rtl/>
        </w:rPr>
        <w:t xml:space="preserve">, </w:t>
      </w:r>
      <w:r w:rsidRPr="00C146A1">
        <w:rPr>
          <w:rFonts w:cs="Arial" w:hint="cs"/>
          <w:sz w:val="20"/>
          <w:szCs w:val="20"/>
          <w:rtl/>
        </w:rPr>
        <w:t>שפיהוק</w:t>
      </w:r>
      <w:r w:rsidRPr="00C146A1">
        <w:rPr>
          <w:rFonts w:cs="Arial"/>
          <w:sz w:val="20"/>
          <w:szCs w:val="20"/>
          <w:rtl/>
        </w:rPr>
        <w:t xml:space="preserve"> </w:t>
      </w:r>
      <w:r w:rsidRPr="00C146A1">
        <w:rPr>
          <w:rFonts w:cs="Arial" w:hint="cs"/>
          <w:sz w:val="20"/>
          <w:szCs w:val="20"/>
          <w:rtl/>
        </w:rPr>
        <w:t>של</w:t>
      </w:r>
      <w:r w:rsidRPr="00C146A1">
        <w:rPr>
          <w:rFonts w:cs="Arial"/>
          <w:sz w:val="20"/>
          <w:szCs w:val="20"/>
          <w:rtl/>
        </w:rPr>
        <w:t xml:space="preserve"> </w:t>
      </w:r>
      <w:r w:rsidRPr="00C146A1">
        <w:rPr>
          <w:rFonts w:cs="Arial" w:hint="cs"/>
          <w:sz w:val="20"/>
          <w:szCs w:val="20"/>
          <w:rtl/>
        </w:rPr>
        <w:t>אתמול</w:t>
      </w:r>
      <w:r w:rsidRPr="00C146A1">
        <w:rPr>
          <w:rFonts w:cs="Arial"/>
          <w:sz w:val="20"/>
          <w:szCs w:val="20"/>
          <w:rtl/>
        </w:rPr>
        <w:t xml:space="preserve"> </w:t>
      </w:r>
      <w:r w:rsidRPr="00C146A1">
        <w:rPr>
          <w:rFonts w:cs="Arial" w:hint="cs"/>
          <w:sz w:val="20"/>
          <w:szCs w:val="20"/>
          <w:rtl/>
        </w:rPr>
        <w:t>גרם</w:t>
      </w:r>
      <w:r w:rsidRPr="00C146A1">
        <w:rPr>
          <w:rFonts w:cs="Arial"/>
          <w:sz w:val="20"/>
          <w:szCs w:val="20"/>
          <w:rtl/>
        </w:rPr>
        <w:t xml:space="preserve"> </w:t>
      </w:r>
      <w:r w:rsidRPr="00C146A1">
        <w:rPr>
          <w:rFonts w:cs="Arial" w:hint="cs"/>
          <w:sz w:val="20"/>
          <w:szCs w:val="20"/>
          <w:rtl/>
        </w:rPr>
        <w:t>לראייה</w:t>
      </w:r>
      <w:r w:rsidRPr="00C146A1">
        <w:rPr>
          <w:rFonts w:cs="Arial"/>
          <w:sz w:val="20"/>
          <w:szCs w:val="20"/>
          <w:rtl/>
        </w:rPr>
        <w:t xml:space="preserve"> </w:t>
      </w:r>
      <w:r w:rsidRPr="00C146A1">
        <w:rPr>
          <w:rFonts w:cs="Arial" w:hint="cs"/>
          <w:sz w:val="20"/>
          <w:szCs w:val="20"/>
          <w:rtl/>
        </w:rPr>
        <w:t>של</w:t>
      </w:r>
      <w:r w:rsidRPr="00C146A1">
        <w:rPr>
          <w:rFonts w:cs="Arial"/>
          <w:sz w:val="20"/>
          <w:szCs w:val="20"/>
          <w:rtl/>
        </w:rPr>
        <w:t xml:space="preserve"> </w:t>
      </w:r>
      <w:r w:rsidRPr="00C146A1">
        <w:rPr>
          <w:rFonts w:cs="Arial" w:hint="cs"/>
          <w:sz w:val="20"/>
          <w:szCs w:val="20"/>
          <w:rtl/>
        </w:rPr>
        <w:t>ר</w:t>
      </w:r>
      <w:r w:rsidRPr="00C146A1">
        <w:rPr>
          <w:rFonts w:cs="Arial"/>
          <w:sz w:val="20"/>
          <w:szCs w:val="20"/>
          <w:rtl/>
        </w:rPr>
        <w:t>"</w:t>
      </w:r>
      <w:r w:rsidRPr="00C146A1">
        <w:rPr>
          <w:rFonts w:cs="Arial" w:hint="cs"/>
          <w:sz w:val="20"/>
          <w:szCs w:val="20"/>
          <w:rtl/>
        </w:rPr>
        <w:t>ח</w:t>
      </w:r>
      <w:r>
        <w:rPr>
          <w:rFonts w:cs="Arial" w:hint="cs"/>
          <w:sz w:val="20"/>
          <w:szCs w:val="20"/>
          <w:rtl/>
        </w:rPr>
        <w:t>"</w:t>
      </w:r>
      <w:r w:rsidRPr="00C146A1">
        <w:rPr>
          <w:rFonts w:cs="Arial"/>
          <w:sz w:val="20"/>
          <w:szCs w:val="20"/>
          <w:rtl/>
        </w:rPr>
        <w:t>.</w:t>
      </w:r>
    </w:p>
    <w:p w:rsidR="00620060" w:rsidRDefault="00620060" w:rsidP="00620060">
      <w:pPr>
        <w:rPr>
          <w:sz w:val="20"/>
          <w:szCs w:val="20"/>
          <w:rtl/>
        </w:rPr>
      </w:pPr>
      <w:r>
        <w:rPr>
          <w:rFonts w:hint="cs"/>
          <w:sz w:val="20"/>
          <w:szCs w:val="20"/>
          <w:u w:val="single"/>
          <w:rtl/>
        </w:rPr>
        <w:t>מאי שנא מווסת הקפיצה? (ט"ז וש"ך)</w:t>
      </w:r>
      <w:r>
        <w:rPr>
          <w:rFonts w:hint="cs"/>
          <w:sz w:val="20"/>
          <w:szCs w:val="20"/>
          <w:u w:val="single"/>
          <w:rtl/>
        </w:rPr>
        <w:br/>
      </w:r>
      <w:r>
        <w:rPr>
          <w:rFonts w:hint="cs"/>
          <w:sz w:val="20"/>
          <w:szCs w:val="20"/>
          <w:rtl/>
        </w:rPr>
        <w:t xml:space="preserve">קשה </w:t>
      </w:r>
      <w:r>
        <w:rPr>
          <w:sz w:val="20"/>
          <w:szCs w:val="20"/>
          <w:rtl/>
        </w:rPr>
        <w:t>–</w:t>
      </w:r>
      <w:r>
        <w:rPr>
          <w:rFonts w:hint="cs"/>
          <w:sz w:val="20"/>
          <w:szCs w:val="20"/>
          <w:rtl/>
        </w:rPr>
        <w:t xml:space="preserve"> המחבר פוסק כאן שפיהוק של אתמול גרם לראייה של מחר, ולכן אם פיהקה ביום כט' וראתה למחרת </w:t>
      </w:r>
      <w:r>
        <w:rPr>
          <w:rFonts w:hint="cs"/>
          <w:sz w:val="20"/>
          <w:szCs w:val="20"/>
          <w:rtl/>
        </w:rPr>
        <w:lastRenderedPageBreak/>
        <w:t>בר"ח אמרינן שקבעה ווסת לפיהוק וימים משום שפיהוק של אתמול גרם לה. ברם, לגבי ווסת המורכב מקפיצה וימים פסק המחבר שקפיצה של שבת לא גורמת לראיית יום א'?</w:t>
      </w:r>
      <w:r>
        <w:rPr>
          <w:rFonts w:hint="cs"/>
          <w:sz w:val="20"/>
          <w:szCs w:val="20"/>
          <w:rtl/>
        </w:rPr>
        <w:br/>
        <w:t xml:space="preserve">מיישבים </w:t>
      </w:r>
      <w:r w:rsidRPr="00E52EA1">
        <w:rPr>
          <w:rFonts w:hint="cs"/>
          <w:b/>
          <w:bCs/>
          <w:sz w:val="20"/>
          <w:szCs w:val="20"/>
          <w:rtl/>
        </w:rPr>
        <w:t>הט"ז והש"ך</w:t>
      </w:r>
      <w:r>
        <w:rPr>
          <w:rFonts w:hint="cs"/>
          <w:sz w:val="20"/>
          <w:szCs w:val="20"/>
          <w:rtl/>
        </w:rPr>
        <w:t xml:space="preserve"> </w:t>
      </w:r>
      <w:r>
        <w:rPr>
          <w:sz w:val="20"/>
          <w:szCs w:val="20"/>
          <w:rtl/>
        </w:rPr>
        <w:t>–</w:t>
      </w:r>
      <w:r>
        <w:rPr>
          <w:rFonts w:hint="cs"/>
          <w:sz w:val="20"/>
          <w:szCs w:val="20"/>
          <w:rtl/>
        </w:rPr>
        <w:t xml:space="preserve"> קפיצה היא אונס וסיבה לראייה, לכן אין קפיצת אתמול גורמת לראיית יום זה, אך פיהוק הוא שינוי גופני המעיד על בוא הווסת, ולכן פיהוק של אתמול מעיד על הווסת שבא היום וקבעה ווסת מורכב.</w:t>
      </w:r>
    </w:p>
    <w:p w:rsidR="00620060" w:rsidRPr="0069408C" w:rsidRDefault="00620060" w:rsidP="00620060">
      <w:pPr>
        <w:rPr>
          <w:sz w:val="20"/>
          <w:szCs w:val="20"/>
          <w:rtl/>
        </w:rPr>
      </w:pPr>
      <w:r>
        <w:rPr>
          <w:rFonts w:hint="cs"/>
          <w:b/>
          <w:bCs/>
          <w:sz w:val="20"/>
          <w:szCs w:val="20"/>
          <w:rtl/>
        </w:rPr>
        <w:t>סיכום</w:t>
      </w:r>
      <w:r>
        <w:rPr>
          <w:rFonts w:hint="cs"/>
          <w:b/>
          <w:bCs/>
          <w:sz w:val="20"/>
          <w:szCs w:val="20"/>
          <w:rtl/>
        </w:rPr>
        <w:br/>
      </w:r>
      <w:r>
        <w:rPr>
          <w:rFonts w:hint="cs"/>
          <w:sz w:val="20"/>
          <w:szCs w:val="20"/>
          <w:rtl/>
        </w:rPr>
        <w:t xml:space="preserve">1. </w:t>
      </w:r>
      <w:r w:rsidRPr="00BD186A">
        <w:rPr>
          <w:rFonts w:hint="cs"/>
          <w:b/>
          <w:bCs/>
          <w:sz w:val="20"/>
          <w:szCs w:val="20"/>
          <w:rtl/>
        </w:rPr>
        <w:t>מחבר</w:t>
      </w:r>
      <w:r>
        <w:rPr>
          <w:rFonts w:hint="cs"/>
          <w:sz w:val="20"/>
          <w:szCs w:val="20"/>
          <w:rtl/>
        </w:rPr>
        <w:t>. פיהקה ב' ר"ח ור</w:t>
      </w:r>
      <w:r w:rsidRPr="00E3585E">
        <w:rPr>
          <w:rFonts w:hint="cs"/>
          <w:sz w:val="20"/>
          <w:szCs w:val="20"/>
          <w:rtl/>
        </w:rPr>
        <w:t xml:space="preserve">אתה. א. פיהקה בזמן אחר וראתה </w:t>
      </w:r>
      <w:r w:rsidRPr="00E3585E">
        <w:rPr>
          <w:sz w:val="20"/>
          <w:szCs w:val="20"/>
          <w:rtl/>
        </w:rPr>
        <w:t>–</w:t>
      </w:r>
      <w:r w:rsidRPr="00E3585E">
        <w:rPr>
          <w:rFonts w:hint="cs"/>
          <w:sz w:val="20"/>
          <w:szCs w:val="20"/>
          <w:rtl/>
        </w:rPr>
        <w:t xml:space="preserve"> קבעה לפיהוק. ב. ראתה בר"ח ללא פיהוק </w:t>
      </w:r>
      <w:r w:rsidRPr="00E3585E">
        <w:rPr>
          <w:sz w:val="20"/>
          <w:szCs w:val="20"/>
          <w:rtl/>
        </w:rPr>
        <w:t>–</w:t>
      </w:r>
      <w:r w:rsidRPr="00E3585E">
        <w:rPr>
          <w:rFonts w:hint="cs"/>
          <w:sz w:val="20"/>
          <w:szCs w:val="20"/>
          <w:rtl/>
        </w:rPr>
        <w:t xml:space="preserve"> קבעה לר"ח. ג. פיהקה בכט'</w:t>
      </w:r>
      <w:r>
        <w:rPr>
          <w:rFonts w:hint="cs"/>
          <w:sz w:val="20"/>
          <w:szCs w:val="20"/>
          <w:rtl/>
        </w:rPr>
        <w:t xml:space="preserve"> וראתה בר"ח </w:t>
      </w:r>
      <w:r>
        <w:rPr>
          <w:sz w:val="20"/>
          <w:szCs w:val="20"/>
          <w:rtl/>
        </w:rPr>
        <w:t>–</w:t>
      </w:r>
      <w:r>
        <w:rPr>
          <w:rFonts w:hint="cs"/>
          <w:sz w:val="20"/>
          <w:szCs w:val="20"/>
          <w:rtl/>
        </w:rPr>
        <w:t xml:space="preserve"> קבעה ווסת מורכב. </w:t>
      </w:r>
      <w:r w:rsidRPr="00D03191">
        <w:rPr>
          <w:rFonts w:hint="cs"/>
          <w:b/>
          <w:bCs/>
          <w:sz w:val="20"/>
          <w:szCs w:val="20"/>
          <w:rtl/>
        </w:rPr>
        <w:t>טעם</w:t>
      </w:r>
      <w:r>
        <w:rPr>
          <w:rFonts w:hint="cs"/>
          <w:sz w:val="20"/>
          <w:szCs w:val="20"/>
          <w:rtl/>
        </w:rPr>
        <w:t>. פיהוק של כט' גרם לראיית ר"ח.</w:t>
      </w:r>
      <w:r>
        <w:rPr>
          <w:sz w:val="20"/>
          <w:szCs w:val="20"/>
          <w:rtl/>
        </w:rPr>
        <w:br/>
      </w:r>
      <w:r>
        <w:rPr>
          <w:rFonts w:hint="cs"/>
          <w:sz w:val="20"/>
          <w:szCs w:val="20"/>
          <w:rtl/>
        </w:rPr>
        <w:t xml:space="preserve">2. </w:t>
      </w:r>
      <w:r w:rsidRPr="0069408C">
        <w:rPr>
          <w:rFonts w:hint="cs"/>
          <w:b/>
          <w:bCs/>
          <w:sz w:val="20"/>
          <w:szCs w:val="20"/>
          <w:rtl/>
        </w:rPr>
        <w:t>ט"ז וש"ך</w:t>
      </w:r>
      <w:r>
        <w:rPr>
          <w:rFonts w:hint="cs"/>
          <w:sz w:val="20"/>
          <w:szCs w:val="20"/>
          <w:rtl/>
        </w:rPr>
        <w:t>. בקפיצה אין אומרים שקפיצה גרמה לראייה של מחרת, אך פיהוק שונה משום שהוא סימן לווסת.</w:t>
      </w:r>
      <w:r>
        <w:rPr>
          <w:b/>
          <w:bCs/>
          <w:sz w:val="20"/>
          <w:szCs w:val="20"/>
          <w:rtl/>
        </w:rPr>
        <w:br/>
      </w:r>
    </w:p>
    <w:p w:rsidR="00620060" w:rsidRDefault="00620060" w:rsidP="00620060">
      <w:pPr>
        <w:rPr>
          <w:sz w:val="20"/>
          <w:szCs w:val="20"/>
          <w:rtl/>
        </w:rPr>
      </w:pPr>
      <w:r>
        <w:rPr>
          <w:sz w:val="20"/>
          <w:szCs w:val="20"/>
          <w:rtl/>
        </w:rPr>
        <w:br/>
      </w:r>
      <w:r>
        <w:rPr>
          <w:rFonts w:hint="cs"/>
          <w:b/>
          <w:bCs/>
          <w:sz w:val="20"/>
          <w:szCs w:val="20"/>
          <w:rtl/>
        </w:rPr>
        <w:t xml:space="preserve">סעיף כא </w:t>
      </w:r>
      <w:r>
        <w:rPr>
          <w:b/>
          <w:bCs/>
          <w:sz w:val="20"/>
          <w:szCs w:val="20"/>
          <w:rtl/>
        </w:rPr>
        <w:t>–</w:t>
      </w:r>
      <w:r>
        <w:rPr>
          <w:rFonts w:hint="cs"/>
          <w:b/>
          <w:bCs/>
          <w:sz w:val="20"/>
          <w:szCs w:val="20"/>
          <w:rtl/>
        </w:rPr>
        <w:t xml:space="preserve"> חשש לפיהוק וליום הפיהוק</w:t>
      </w:r>
      <w:r>
        <w:rPr>
          <w:b/>
          <w:b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שולחן ערוך </w:t>
      </w:r>
      <w:r>
        <w:rPr>
          <w:rFonts w:hint="cs"/>
          <w:sz w:val="20"/>
          <w:szCs w:val="20"/>
          <w:rtl/>
        </w:rPr>
        <w:t xml:space="preserve"> </w:t>
      </w:r>
      <w:r w:rsidRPr="00794CAE">
        <w:rPr>
          <w:rFonts w:hint="cs"/>
          <w:sz w:val="18"/>
          <w:szCs w:val="18"/>
          <w:rtl/>
        </w:rPr>
        <w:t xml:space="preserve">(ע"פ </w:t>
      </w:r>
      <w:r w:rsidRPr="0079029E">
        <w:rPr>
          <w:rFonts w:hint="cs"/>
          <w:b/>
          <w:bCs/>
          <w:sz w:val="18"/>
          <w:szCs w:val="18"/>
          <w:rtl/>
        </w:rPr>
        <w:t>הרא"ש</w:t>
      </w:r>
      <w:r w:rsidRPr="00794CAE">
        <w:rPr>
          <w:rFonts w:hint="cs"/>
          <w:sz w:val="18"/>
          <w:szCs w:val="18"/>
          <w:rtl/>
        </w:rPr>
        <w:t xml:space="preserve">, </w:t>
      </w:r>
      <w:r w:rsidRPr="0079029E">
        <w:rPr>
          <w:rFonts w:hint="cs"/>
          <w:b/>
          <w:bCs/>
          <w:sz w:val="18"/>
          <w:szCs w:val="18"/>
          <w:rtl/>
        </w:rPr>
        <w:t>רשב"א וטור</w:t>
      </w:r>
      <w:r w:rsidRPr="00794CAE">
        <w:rPr>
          <w:rFonts w:hint="cs"/>
          <w:sz w:val="18"/>
          <w:szCs w:val="18"/>
          <w:rtl/>
        </w:rPr>
        <w:t xml:space="preserve">) </w:t>
      </w:r>
      <w:r>
        <w:rPr>
          <w:sz w:val="20"/>
          <w:szCs w:val="20"/>
          <w:rtl/>
        </w:rPr>
        <w:t>–</w:t>
      </w:r>
      <w:r>
        <w:rPr>
          <w:rFonts w:hint="cs"/>
          <w:sz w:val="20"/>
          <w:szCs w:val="20"/>
          <w:rtl/>
        </w:rPr>
        <w:t xml:space="preserve"> "</w:t>
      </w:r>
      <w:r w:rsidRPr="005973D4">
        <w:rPr>
          <w:rFonts w:cs="Arial" w:hint="cs"/>
          <w:sz w:val="20"/>
          <w:szCs w:val="20"/>
          <w:rtl/>
        </w:rPr>
        <w:t>פיהקה</w:t>
      </w:r>
      <w:r w:rsidRPr="005973D4">
        <w:rPr>
          <w:rFonts w:cs="Arial"/>
          <w:sz w:val="20"/>
          <w:szCs w:val="20"/>
          <w:rtl/>
        </w:rPr>
        <w:t xml:space="preserve"> </w:t>
      </w:r>
      <w:r w:rsidRPr="005973D4">
        <w:rPr>
          <w:rFonts w:cs="Arial" w:hint="cs"/>
          <w:sz w:val="20"/>
          <w:szCs w:val="20"/>
          <w:rtl/>
        </w:rPr>
        <w:t>בר</w:t>
      </w:r>
      <w:r w:rsidRPr="005973D4">
        <w:rPr>
          <w:rFonts w:cs="Arial"/>
          <w:sz w:val="20"/>
          <w:szCs w:val="20"/>
          <w:rtl/>
        </w:rPr>
        <w:t>"</w:t>
      </w:r>
      <w:r w:rsidRPr="005973D4">
        <w:rPr>
          <w:rFonts w:cs="Arial" w:hint="cs"/>
          <w:sz w:val="20"/>
          <w:szCs w:val="20"/>
          <w:rtl/>
        </w:rPr>
        <w:t>ח</w:t>
      </w:r>
      <w:r w:rsidRPr="005973D4">
        <w:rPr>
          <w:rFonts w:cs="Arial"/>
          <w:sz w:val="20"/>
          <w:szCs w:val="20"/>
          <w:rtl/>
        </w:rPr>
        <w:t xml:space="preserve"> </w:t>
      </w:r>
      <w:r w:rsidRPr="005973D4">
        <w:rPr>
          <w:rFonts w:cs="Arial" w:hint="cs"/>
          <w:sz w:val="20"/>
          <w:szCs w:val="20"/>
          <w:rtl/>
        </w:rPr>
        <w:t>וראתה</w:t>
      </w:r>
      <w:r w:rsidRPr="005973D4">
        <w:rPr>
          <w:rFonts w:cs="Arial"/>
          <w:sz w:val="20"/>
          <w:szCs w:val="20"/>
          <w:rtl/>
        </w:rPr>
        <w:t xml:space="preserve">, </w:t>
      </w:r>
      <w:r w:rsidRPr="005973D4">
        <w:rPr>
          <w:rFonts w:cs="Arial" w:hint="cs"/>
          <w:sz w:val="20"/>
          <w:szCs w:val="20"/>
          <w:rtl/>
        </w:rPr>
        <w:t>וחזרה</w:t>
      </w:r>
      <w:r w:rsidRPr="005973D4">
        <w:rPr>
          <w:rFonts w:cs="Arial"/>
          <w:sz w:val="20"/>
          <w:szCs w:val="20"/>
          <w:rtl/>
        </w:rPr>
        <w:t xml:space="preserve"> </w:t>
      </w:r>
      <w:r w:rsidRPr="005973D4">
        <w:rPr>
          <w:rFonts w:cs="Arial" w:hint="cs"/>
          <w:sz w:val="20"/>
          <w:szCs w:val="20"/>
          <w:rtl/>
        </w:rPr>
        <w:t>ופיהקה</w:t>
      </w:r>
      <w:r w:rsidRPr="005973D4">
        <w:rPr>
          <w:rFonts w:cs="Arial"/>
          <w:sz w:val="20"/>
          <w:szCs w:val="20"/>
          <w:rtl/>
        </w:rPr>
        <w:t xml:space="preserve"> </w:t>
      </w:r>
      <w:r w:rsidRPr="005973D4">
        <w:rPr>
          <w:rFonts w:cs="Arial" w:hint="cs"/>
          <w:sz w:val="20"/>
          <w:szCs w:val="20"/>
          <w:rtl/>
        </w:rPr>
        <w:t>בתוך</w:t>
      </w:r>
      <w:r w:rsidRPr="005973D4">
        <w:rPr>
          <w:rFonts w:cs="Arial"/>
          <w:sz w:val="20"/>
          <w:szCs w:val="20"/>
          <w:rtl/>
        </w:rPr>
        <w:t xml:space="preserve"> </w:t>
      </w:r>
      <w:r w:rsidRPr="005973D4">
        <w:rPr>
          <w:rFonts w:cs="Arial" w:hint="cs"/>
          <w:sz w:val="20"/>
          <w:szCs w:val="20"/>
          <w:rtl/>
        </w:rPr>
        <w:t>ימי</w:t>
      </w:r>
      <w:r w:rsidRPr="005973D4">
        <w:rPr>
          <w:rFonts w:cs="Arial"/>
          <w:sz w:val="20"/>
          <w:szCs w:val="20"/>
          <w:rtl/>
        </w:rPr>
        <w:t xml:space="preserve"> </w:t>
      </w:r>
      <w:r w:rsidRPr="005973D4">
        <w:rPr>
          <w:rFonts w:cs="Arial" w:hint="cs"/>
          <w:sz w:val="20"/>
          <w:szCs w:val="20"/>
          <w:rtl/>
        </w:rPr>
        <w:t>הח</w:t>
      </w:r>
      <w:r>
        <w:rPr>
          <w:rFonts w:cs="Arial" w:hint="cs"/>
          <w:sz w:val="20"/>
          <w:szCs w:val="20"/>
          <w:rtl/>
        </w:rPr>
        <w:t>ו</w:t>
      </w:r>
      <w:r w:rsidRPr="005973D4">
        <w:rPr>
          <w:rFonts w:cs="Arial" w:hint="cs"/>
          <w:sz w:val="20"/>
          <w:szCs w:val="20"/>
          <w:rtl/>
        </w:rPr>
        <w:t>דש</w:t>
      </w:r>
      <w:r w:rsidRPr="005973D4">
        <w:rPr>
          <w:rFonts w:cs="Arial"/>
          <w:sz w:val="20"/>
          <w:szCs w:val="20"/>
          <w:rtl/>
        </w:rPr>
        <w:t xml:space="preserve">, </w:t>
      </w:r>
      <w:r w:rsidRPr="005973D4">
        <w:rPr>
          <w:rFonts w:cs="Arial" w:hint="cs"/>
          <w:sz w:val="20"/>
          <w:szCs w:val="20"/>
          <w:rtl/>
        </w:rPr>
        <w:t>חוששת</w:t>
      </w:r>
      <w:r w:rsidRPr="005973D4">
        <w:rPr>
          <w:rFonts w:cs="Arial"/>
          <w:sz w:val="20"/>
          <w:szCs w:val="20"/>
          <w:rtl/>
        </w:rPr>
        <w:t xml:space="preserve"> </w:t>
      </w:r>
      <w:r w:rsidRPr="005973D4">
        <w:rPr>
          <w:rFonts w:cs="Arial" w:hint="cs"/>
          <w:sz w:val="20"/>
          <w:szCs w:val="20"/>
          <w:rtl/>
        </w:rPr>
        <w:t>לאותו</w:t>
      </w:r>
      <w:r w:rsidRPr="005973D4">
        <w:rPr>
          <w:rFonts w:cs="Arial"/>
          <w:sz w:val="20"/>
          <w:szCs w:val="20"/>
          <w:rtl/>
        </w:rPr>
        <w:t xml:space="preserve"> </w:t>
      </w:r>
      <w:r w:rsidRPr="005973D4">
        <w:rPr>
          <w:rFonts w:cs="Arial" w:hint="cs"/>
          <w:sz w:val="20"/>
          <w:szCs w:val="20"/>
          <w:rtl/>
        </w:rPr>
        <w:t>הפיהוק</w:t>
      </w:r>
      <w:r w:rsidRPr="005973D4">
        <w:rPr>
          <w:rFonts w:cs="Arial"/>
          <w:sz w:val="20"/>
          <w:szCs w:val="20"/>
          <w:rtl/>
        </w:rPr>
        <w:t xml:space="preserve"> </w:t>
      </w:r>
      <w:r w:rsidRPr="005973D4">
        <w:rPr>
          <w:rFonts w:cs="Arial" w:hint="cs"/>
          <w:sz w:val="20"/>
          <w:szCs w:val="20"/>
          <w:rtl/>
        </w:rPr>
        <w:t>ואסורה</w:t>
      </w:r>
      <w:r w:rsidRPr="005973D4">
        <w:rPr>
          <w:rFonts w:cs="Arial"/>
          <w:sz w:val="20"/>
          <w:szCs w:val="20"/>
          <w:rtl/>
        </w:rPr>
        <w:t xml:space="preserve"> </w:t>
      </w:r>
      <w:r w:rsidRPr="005973D4">
        <w:rPr>
          <w:rFonts w:cs="Arial" w:hint="cs"/>
          <w:sz w:val="20"/>
          <w:szCs w:val="20"/>
          <w:rtl/>
        </w:rPr>
        <w:t>לשמש</w:t>
      </w:r>
      <w:r w:rsidRPr="005973D4">
        <w:rPr>
          <w:rFonts w:cs="Arial"/>
          <w:sz w:val="20"/>
          <w:szCs w:val="20"/>
          <w:rtl/>
        </w:rPr>
        <w:t xml:space="preserve"> </w:t>
      </w:r>
      <w:r w:rsidRPr="005973D4">
        <w:rPr>
          <w:rFonts w:cs="Arial" w:hint="cs"/>
          <w:sz w:val="20"/>
          <w:szCs w:val="20"/>
          <w:rtl/>
        </w:rPr>
        <w:t>עד</w:t>
      </w:r>
      <w:r w:rsidRPr="005973D4">
        <w:rPr>
          <w:rFonts w:cs="Arial"/>
          <w:sz w:val="20"/>
          <w:szCs w:val="20"/>
          <w:rtl/>
        </w:rPr>
        <w:t xml:space="preserve"> </w:t>
      </w:r>
      <w:r w:rsidRPr="005973D4">
        <w:rPr>
          <w:rFonts w:cs="Arial" w:hint="cs"/>
          <w:sz w:val="20"/>
          <w:szCs w:val="20"/>
          <w:rtl/>
        </w:rPr>
        <w:t>שתבדוק</w:t>
      </w:r>
      <w:r w:rsidRPr="005973D4">
        <w:rPr>
          <w:rFonts w:cs="Arial"/>
          <w:sz w:val="20"/>
          <w:szCs w:val="20"/>
          <w:rtl/>
        </w:rPr>
        <w:t xml:space="preserve">. </w:t>
      </w:r>
      <w:r w:rsidRPr="005973D4">
        <w:rPr>
          <w:rFonts w:cs="Arial" w:hint="cs"/>
          <w:sz w:val="20"/>
          <w:szCs w:val="20"/>
          <w:rtl/>
        </w:rPr>
        <w:t>שכל</w:t>
      </w:r>
      <w:r w:rsidRPr="005973D4">
        <w:rPr>
          <w:rFonts w:cs="Arial"/>
          <w:sz w:val="20"/>
          <w:szCs w:val="20"/>
          <w:rtl/>
        </w:rPr>
        <w:t xml:space="preserve"> </w:t>
      </w:r>
      <w:r w:rsidRPr="005973D4">
        <w:rPr>
          <w:rFonts w:cs="Arial" w:hint="cs"/>
          <w:sz w:val="20"/>
          <w:szCs w:val="20"/>
          <w:rtl/>
        </w:rPr>
        <w:t>ו</w:t>
      </w:r>
      <w:r>
        <w:rPr>
          <w:rFonts w:cs="Arial" w:hint="cs"/>
          <w:sz w:val="20"/>
          <w:szCs w:val="20"/>
          <w:rtl/>
        </w:rPr>
        <w:t>ו</w:t>
      </w:r>
      <w:r w:rsidRPr="005973D4">
        <w:rPr>
          <w:rFonts w:cs="Arial" w:hint="cs"/>
          <w:sz w:val="20"/>
          <w:szCs w:val="20"/>
          <w:rtl/>
        </w:rPr>
        <w:t>סת</w:t>
      </w:r>
      <w:r w:rsidRPr="005973D4">
        <w:rPr>
          <w:rFonts w:cs="Arial"/>
          <w:sz w:val="20"/>
          <w:szCs w:val="20"/>
          <w:rtl/>
        </w:rPr>
        <w:t xml:space="preserve"> </w:t>
      </w:r>
      <w:r w:rsidRPr="005973D4">
        <w:rPr>
          <w:rFonts w:cs="Arial" w:hint="cs"/>
          <w:sz w:val="20"/>
          <w:szCs w:val="20"/>
          <w:rtl/>
        </w:rPr>
        <w:t>בין</w:t>
      </w:r>
      <w:r w:rsidRPr="005973D4">
        <w:rPr>
          <w:rFonts w:cs="Arial"/>
          <w:sz w:val="20"/>
          <w:szCs w:val="20"/>
          <w:rtl/>
        </w:rPr>
        <w:t xml:space="preserve"> </w:t>
      </w:r>
      <w:r w:rsidRPr="005973D4">
        <w:rPr>
          <w:rFonts w:cs="Arial" w:hint="cs"/>
          <w:sz w:val="20"/>
          <w:szCs w:val="20"/>
          <w:rtl/>
        </w:rPr>
        <w:t>של</w:t>
      </w:r>
      <w:r w:rsidRPr="005973D4">
        <w:rPr>
          <w:rFonts w:cs="Arial"/>
          <w:sz w:val="20"/>
          <w:szCs w:val="20"/>
          <w:rtl/>
        </w:rPr>
        <w:t xml:space="preserve"> </w:t>
      </w:r>
      <w:r w:rsidRPr="005973D4">
        <w:rPr>
          <w:rFonts w:cs="Arial" w:hint="cs"/>
          <w:sz w:val="20"/>
          <w:szCs w:val="20"/>
          <w:rtl/>
        </w:rPr>
        <w:t>ימים</w:t>
      </w:r>
      <w:r w:rsidRPr="005973D4">
        <w:rPr>
          <w:rFonts w:cs="Arial"/>
          <w:sz w:val="20"/>
          <w:szCs w:val="20"/>
          <w:rtl/>
        </w:rPr>
        <w:t xml:space="preserve"> </w:t>
      </w:r>
      <w:r w:rsidRPr="005973D4">
        <w:rPr>
          <w:rFonts w:cs="Arial" w:hint="cs"/>
          <w:sz w:val="20"/>
          <w:szCs w:val="20"/>
          <w:rtl/>
        </w:rPr>
        <w:t>בין</w:t>
      </w:r>
      <w:r w:rsidRPr="005973D4">
        <w:rPr>
          <w:rFonts w:cs="Arial"/>
          <w:sz w:val="20"/>
          <w:szCs w:val="20"/>
          <w:rtl/>
        </w:rPr>
        <w:t xml:space="preserve"> </w:t>
      </w:r>
      <w:r w:rsidRPr="005973D4">
        <w:rPr>
          <w:rFonts w:cs="Arial" w:hint="cs"/>
          <w:sz w:val="20"/>
          <w:szCs w:val="20"/>
          <w:rtl/>
        </w:rPr>
        <w:t>של</w:t>
      </w:r>
      <w:r w:rsidRPr="005973D4">
        <w:rPr>
          <w:rFonts w:cs="Arial"/>
          <w:sz w:val="20"/>
          <w:szCs w:val="20"/>
          <w:rtl/>
        </w:rPr>
        <w:t xml:space="preserve"> </w:t>
      </w:r>
      <w:r w:rsidRPr="005973D4">
        <w:rPr>
          <w:rFonts w:cs="Arial" w:hint="cs"/>
          <w:sz w:val="20"/>
          <w:szCs w:val="20"/>
          <w:rtl/>
        </w:rPr>
        <w:t>הגוף</w:t>
      </w:r>
      <w:r w:rsidRPr="005973D4">
        <w:rPr>
          <w:rFonts w:cs="Arial"/>
          <w:sz w:val="20"/>
          <w:szCs w:val="20"/>
          <w:rtl/>
        </w:rPr>
        <w:t xml:space="preserve"> </w:t>
      </w:r>
      <w:r w:rsidRPr="005973D4">
        <w:rPr>
          <w:rFonts w:cs="Arial" w:hint="cs"/>
          <w:sz w:val="20"/>
          <w:szCs w:val="20"/>
          <w:rtl/>
        </w:rPr>
        <w:t>חוששת</w:t>
      </w:r>
      <w:r w:rsidRPr="005973D4">
        <w:rPr>
          <w:rFonts w:cs="Arial"/>
          <w:sz w:val="20"/>
          <w:szCs w:val="20"/>
          <w:rtl/>
        </w:rPr>
        <w:t xml:space="preserve"> </w:t>
      </w:r>
      <w:r w:rsidRPr="005973D4">
        <w:rPr>
          <w:rFonts w:cs="Arial" w:hint="cs"/>
          <w:sz w:val="20"/>
          <w:szCs w:val="20"/>
          <w:rtl/>
        </w:rPr>
        <w:t>לו</w:t>
      </w:r>
      <w:r w:rsidRPr="005973D4">
        <w:rPr>
          <w:rFonts w:cs="Arial"/>
          <w:sz w:val="20"/>
          <w:szCs w:val="20"/>
          <w:rtl/>
        </w:rPr>
        <w:t xml:space="preserve"> </w:t>
      </w:r>
      <w:r w:rsidRPr="005973D4">
        <w:rPr>
          <w:rFonts w:cs="Arial" w:hint="cs"/>
          <w:sz w:val="20"/>
          <w:szCs w:val="20"/>
          <w:rtl/>
        </w:rPr>
        <w:t>בפעם</w:t>
      </w:r>
      <w:r w:rsidRPr="005973D4">
        <w:rPr>
          <w:rFonts w:cs="Arial"/>
          <w:sz w:val="20"/>
          <w:szCs w:val="20"/>
          <w:rtl/>
        </w:rPr>
        <w:t xml:space="preserve"> </w:t>
      </w:r>
      <w:r w:rsidRPr="005973D4">
        <w:rPr>
          <w:rFonts w:cs="Arial" w:hint="cs"/>
          <w:sz w:val="20"/>
          <w:szCs w:val="20"/>
          <w:rtl/>
        </w:rPr>
        <w:t>אחת</w:t>
      </w:r>
      <w:r w:rsidRPr="005973D4">
        <w:rPr>
          <w:rFonts w:cs="Arial"/>
          <w:sz w:val="20"/>
          <w:szCs w:val="20"/>
          <w:rtl/>
        </w:rPr>
        <w:t xml:space="preserve">, </w:t>
      </w:r>
      <w:r w:rsidRPr="005973D4">
        <w:rPr>
          <w:rFonts w:cs="Arial" w:hint="cs"/>
          <w:sz w:val="20"/>
          <w:szCs w:val="20"/>
          <w:rtl/>
        </w:rPr>
        <w:t>ויש</w:t>
      </w:r>
      <w:r w:rsidRPr="005973D4">
        <w:rPr>
          <w:rFonts w:cs="Arial"/>
          <w:sz w:val="20"/>
          <w:szCs w:val="20"/>
          <w:rtl/>
        </w:rPr>
        <w:t xml:space="preserve"> </w:t>
      </w:r>
      <w:r w:rsidRPr="005973D4">
        <w:rPr>
          <w:rFonts w:cs="Arial" w:hint="cs"/>
          <w:sz w:val="20"/>
          <w:szCs w:val="20"/>
          <w:rtl/>
        </w:rPr>
        <w:t>לחוש</w:t>
      </w:r>
      <w:r w:rsidRPr="005973D4">
        <w:rPr>
          <w:rFonts w:cs="Arial"/>
          <w:sz w:val="20"/>
          <w:szCs w:val="20"/>
          <w:rtl/>
        </w:rPr>
        <w:t xml:space="preserve"> </w:t>
      </w:r>
      <w:r w:rsidRPr="005973D4">
        <w:rPr>
          <w:rFonts w:cs="Arial" w:hint="cs"/>
          <w:sz w:val="20"/>
          <w:szCs w:val="20"/>
          <w:rtl/>
        </w:rPr>
        <w:t>שמא</w:t>
      </w:r>
      <w:r w:rsidRPr="005973D4">
        <w:rPr>
          <w:rFonts w:cs="Arial"/>
          <w:sz w:val="20"/>
          <w:szCs w:val="20"/>
          <w:rtl/>
        </w:rPr>
        <w:t xml:space="preserve"> </w:t>
      </w:r>
      <w:r w:rsidRPr="005973D4">
        <w:rPr>
          <w:rFonts w:cs="Arial" w:hint="cs"/>
          <w:sz w:val="20"/>
          <w:szCs w:val="20"/>
          <w:rtl/>
        </w:rPr>
        <w:t>תקבע</w:t>
      </w:r>
      <w:r w:rsidRPr="005973D4">
        <w:rPr>
          <w:rFonts w:cs="Arial"/>
          <w:sz w:val="20"/>
          <w:szCs w:val="20"/>
          <w:rtl/>
        </w:rPr>
        <w:t xml:space="preserve"> </w:t>
      </w:r>
      <w:r w:rsidRPr="005973D4">
        <w:rPr>
          <w:rFonts w:cs="Arial" w:hint="cs"/>
          <w:sz w:val="20"/>
          <w:szCs w:val="20"/>
          <w:rtl/>
        </w:rPr>
        <w:t>ו</w:t>
      </w:r>
      <w:r>
        <w:rPr>
          <w:rFonts w:cs="Arial" w:hint="cs"/>
          <w:sz w:val="20"/>
          <w:szCs w:val="20"/>
          <w:rtl/>
        </w:rPr>
        <w:t>ו</w:t>
      </w:r>
      <w:r w:rsidRPr="005973D4">
        <w:rPr>
          <w:rFonts w:cs="Arial" w:hint="cs"/>
          <w:sz w:val="20"/>
          <w:szCs w:val="20"/>
          <w:rtl/>
        </w:rPr>
        <w:t>סת</w:t>
      </w:r>
      <w:r w:rsidRPr="005973D4">
        <w:rPr>
          <w:rFonts w:cs="Arial"/>
          <w:sz w:val="20"/>
          <w:szCs w:val="20"/>
          <w:rtl/>
        </w:rPr>
        <w:t xml:space="preserve"> </w:t>
      </w:r>
      <w:r w:rsidRPr="005973D4">
        <w:rPr>
          <w:rFonts w:cs="Arial" w:hint="cs"/>
          <w:sz w:val="20"/>
          <w:szCs w:val="20"/>
          <w:rtl/>
        </w:rPr>
        <w:t>לפיהוק</w:t>
      </w:r>
      <w:r w:rsidRPr="005973D4">
        <w:rPr>
          <w:rFonts w:cs="Arial"/>
          <w:sz w:val="20"/>
          <w:szCs w:val="20"/>
          <w:rtl/>
        </w:rPr>
        <w:t xml:space="preserve"> </w:t>
      </w:r>
      <w:r w:rsidRPr="005973D4">
        <w:rPr>
          <w:rFonts w:cs="Arial" w:hint="cs"/>
          <w:sz w:val="20"/>
          <w:szCs w:val="20"/>
          <w:rtl/>
        </w:rPr>
        <w:t>בלא</w:t>
      </w:r>
      <w:r w:rsidRPr="005973D4">
        <w:rPr>
          <w:rFonts w:cs="Arial"/>
          <w:sz w:val="20"/>
          <w:szCs w:val="20"/>
          <w:rtl/>
        </w:rPr>
        <w:t xml:space="preserve"> </w:t>
      </w:r>
      <w:r w:rsidRPr="005973D4">
        <w:rPr>
          <w:rFonts w:cs="Arial" w:hint="cs"/>
          <w:sz w:val="20"/>
          <w:szCs w:val="20"/>
          <w:rtl/>
        </w:rPr>
        <w:t>זמן</w:t>
      </w:r>
      <w:r w:rsidRPr="005973D4">
        <w:rPr>
          <w:rFonts w:cs="Arial"/>
          <w:sz w:val="20"/>
          <w:szCs w:val="20"/>
          <w:rtl/>
        </w:rPr>
        <w:t xml:space="preserve"> </w:t>
      </w:r>
      <w:r w:rsidRPr="005973D4">
        <w:rPr>
          <w:rFonts w:cs="Arial" w:hint="cs"/>
          <w:sz w:val="20"/>
          <w:szCs w:val="20"/>
          <w:rtl/>
        </w:rPr>
        <w:t>ידוע</w:t>
      </w:r>
      <w:r w:rsidRPr="005973D4">
        <w:rPr>
          <w:rFonts w:cs="Arial"/>
          <w:sz w:val="20"/>
          <w:szCs w:val="20"/>
          <w:rtl/>
        </w:rPr>
        <w:t xml:space="preserve">. </w:t>
      </w:r>
      <w:r w:rsidRPr="005973D4">
        <w:rPr>
          <w:rFonts w:cs="Arial" w:hint="cs"/>
          <w:sz w:val="20"/>
          <w:szCs w:val="20"/>
          <w:rtl/>
        </w:rPr>
        <w:t>ואם</w:t>
      </w:r>
      <w:r w:rsidRPr="005973D4">
        <w:rPr>
          <w:rFonts w:cs="Arial"/>
          <w:sz w:val="20"/>
          <w:szCs w:val="20"/>
          <w:rtl/>
        </w:rPr>
        <w:t xml:space="preserve"> </w:t>
      </w:r>
      <w:r w:rsidRPr="005973D4">
        <w:rPr>
          <w:rFonts w:cs="Arial" w:hint="cs"/>
          <w:sz w:val="20"/>
          <w:szCs w:val="20"/>
          <w:rtl/>
        </w:rPr>
        <w:t>בדקה</w:t>
      </w:r>
      <w:r w:rsidRPr="005973D4">
        <w:rPr>
          <w:rFonts w:cs="Arial"/>
          <w:sz w:val="20"/>
          <w:szCs w:val="20"/>
          <w:rtl/>
        </w:rPr>
        <w:t xml:space="preserve"> </w:t>
      </w:r>
      <w:r w:rsidRPr="005973D4">
        <w:rPr>
          <w:rFonts w:cs="Arial" w:hint="cs"/>
          <w:sz w:val="20"/>
          <w:szCs w:val="20"/>
          <w:rtl/>
        </w:rPr>
        <w:t>ונמצאת</w:t>
      </w:r>
      <w:r w:rsidRPr="005973D4">
        <w:rPr>
          <w:rFonts w:cs="Arial"/>
          <w:sz w:val="20"/>
          <w:szCs w:val="20"/>
          <w:rtl/>
        </w:rPr>
        <w:t xml:space="preserve"> </w:t>
      </w:r>
      <w:r w:rsidRPr="005973D4">
        <w:rPr>
          <w:rFonts w:cs="Arial" w:hint="cs"/>
          <w:sz w:val="20"/>
          <w:szCs w:val="20"/>
          <w:rtl/>
        </w:rPr>
        <w:t>שלא</w:t>
      </w:r>
      <w:r w:rsidRPr="005973D4">
        <w:rPr>
          <w:rFonts w:cs="Arial"/>
          <w:sz w:val="20"/>
          <w:szCs w:val="20"/>
          <w:rtl/>
        </w:rPr>
        <w:t xml:space="preserve"> </w:t>
      </w:r>
      <w:r w:rsidRPr="005973D4">
        <w:rPr>
          <w:rFonts w:cs="Arial" w:hint="cs"/>
          <w:sz w:val="20"/>
          <w:szCs w:val="20"/>
          <w:rtl/>
        </w:rPr>
        <w:t>ראתה</w:t>
      </w:r>
      <w:r w:rsidRPr="005973D4">
        <w:rPr>
          <w:rFonts w:cs="Arial"/>
          <w:sz w:val="20"/>
          <w:szCs w:val="20"/>
          <w:rtl/>
        </w:rPr>
        <w:t xml:space="preserve">, </w:t>
      </w:r>
      <w:r w:rsidRPr="005973D4">
        <w:rPr>
          <w:rFonts w:cs="Arial" w:hint="cs"/>
          <w:sz w:val="20"/>
          <w:szCs w:val="20"/>
          <w:rtl/>
        </w:rPr>
        <w:t>אינה</w:t>
      </w:r>
      <w:r w:rsidRPr="005973D4">
        <w:rPr>
          <w:rFonts w:cs="Arial"/>
          <w:sz w:val="20"/>
          <w:szCs w:val="20"/>
          <w:rtl/>
        </w:rPr>
        <w:t xml:space="preserve"> </w:t>
      </w:r>
      <w:r w:rsidRPr="005973D4">
        <w:rPr>
          <w:rFonts w:cs="Arial" w:hint="cs"/>
          <w:sz w:val="20"/>
          <w:szCs w:val="20"/>
          <w:rtl/>
        </w:rPr>
        <w:t>חוששת</w:t>
      </w:r>
      <w:r w:rsidRPr="005973D4">
        <w:rPr>
          <w:rFonts w:cs="Arial"/>
          <w:sz w:val="20"/>
          <w:szCs w:val="20"/>
          <w:rtl/>
        </w:rPr>
        <w:t xml:space="preserve"> </w:t>
      </w:r>
      <w:r w:rsidRPr="005973D4">
        <w:rPr>
          <w:rFonts w:cs="Arial" w:hint="cs"/>
          <w:sz w:val="20"/>
          <w:szCs w:val="20"/>
          <w:rtl/>
        </w:rPr>
        <w:t>עוד</w:t>
      </w:r>
      <w:r w:rsidRPr="005973D4">
        <w:rPr>
          <w:rFonts w:cs="Arial"/>
          <w:sz w:val="20"/>
          <w:szCs w:val="20"/>
          <w:rtl/>
        </w:rPr>
        <w:t xml:space="preserve"> </w:t>
      </w:r>
      <w:r w:rsidRPr="005973D4">
        <w:rPr>
          <w:rFonts w:cs="Arial" w:hint="cs"/>
          <w:sz w:val="20"/>
          <w:szCs w:val="20"/>
          <w:rtl/>
        </w:rPr>
        <w:t>לפיהוק</w:t>
      </w:r>
      <w:r w:rsidRPr="005973D4">
        <w:rPr>
          <w:rFonts w:cs="Arial"/>
          <w:sz w:val="20"/>
          <w:szCs w:val="20"/>
          <w:rtl/>
        </w:rPr>
        <w:t xml:space="preserve"> </w:t>
      </w:r>
      <w:r w:rsidRPr="005973D4">
        <w:rPr>
          <w:rFonts w:cs="Arial" w:hint="cs"/>
          <w:sz w:val="20"/>
          <w:szCs w:val="20"/>
          <w:rtl/>
        </w:rPr>
        <w:t>גרידא</w:t>
      </w:r>
      <w:r w:rsidRPr="005973D4">
        <w:rPr>
          <w:rFonts w:cs="Arial"/>
          <w:sz w:val="20"/>
          <w:szCs w:val="20"/>
          <w:rtl/>
        </w:rPr>
        <w:t xml:space="preserve"> </w:t>
      </w:r>
      <w:r w:rsidRPr="005973D4">
        <w:rPr>
          <w:rFonts w:cs="Arial" w:hint="cs"/>
          <w:sz w:val="20"/>
          <w:szCs w:val="20"/>
          <w:rtl/>
        </w:rPr>
        <w:t>אבל</w:t>
      </w:r>
      <w:r w:rsidRPr="005973D4">
        <w:rPr>
          <w:rFonts w:cs="Arial"/>
          <w:sz w:val="20"/>
          <w:szCs w:val="20"/>
          <w:rtl/>
        </w:rPr>
        <w:t xml:space="preserve"> </w:t>
      </w:r>
      <w:r w:rsidRPr="005973D4">
        <w:rPr>
          <w:rFonts w:cs="Arial" w:hint="cs"/>
          <w:sz w:val="20"/>
          <w:szCs w:val="20"/>
          <w:rtl/>
        </w:rPr>
        <w:t>חוששת</w:t>
      </w:r>
      <w:r w:rsidRPr="005973D4">
        <w:rPr>
          <w:rFonts w:cs="Arial"/>
          <w:sz w:val="20"/>
          <w:szCs w:val="20"/>
          <w:rtl/>
        </w:rPr>
        <w:t xml:space="preserve"> </w:t>
      </w:r>
      <w:r w:rsidRPr="005973D4">
        <w:rPr>
          <w:rFonts w:cs="Arial" w:hint="cs"/>
          <w:sz w:val="20"/>
          <w:szCs w:val="20"/>
          <w:rtl/>
        </w:rPr>
        <w:t>לראש</w:t>
      </w:r>
      <w:r w:rsidRPr="005973D4">
        <w:rPr>
          <w:rFonts w:cs="Arial"/>
          <w:sz w:val="20"/>
          <w:szCs w:val="20"/>
          <w:rtl/>
        </w:rPr>
        <w:t xml:space="preserve"> </w:t>
      </w:r>
      <w:r w:rsidRPr="005973D4">
        <w:rPr>
          <w:rFonts w:cs="Arial" w:hint="cs"/>
          <w:sz w:val="20"/>
          <w:szCs w:val="20"/>
          <w:rtl/>
        </w:rPr>
        <w:t>ח</w:t>
      </w:r>
      <w:r>
        <w:rPr>
          <w:rFonts w:cs="Arial" w:hint="cs"/>
          <w:sz w:val="20"/>
          <w:szCs w:val="20"/>
          <w:rtl/>
        </w:rPr>
        <w:t>ו</w:t>
      </w:r>
      <w:r w:rsidRPr="005973D4">
        <w:rPr>
          <w:rFonts w:cs="Arial" w:hint="cs"/>
          <w:sz w:val="20"/>
          <w:szCs w:val="20"/>
          <w:rtl/>
        </w:rPr>
        <w:t>דש</w:t>
      </w:r>
      <w:r w:rsidRPr="005973D4">
        <w:rPr>
          <w:rFonts w:cs="Arial"/>
          <w:sz w:val="20"/>
          <w:szCs w:val="20"/>
          <w:rtl/>
        </w:rPr>
        <w:t xml:space="preserve">, </w:t>
      </w:r>
      <w:r w:rsidRPr="005973D4">
        <w:rPr>
          <w:rFonts w:cs="Arial" w:hint="cs"/>
          <w:sz w:val="20"/>
          <w:szCs w:val="20"/>
          <w:rtl/>
        </w:rPr>
        <w:t>שמא</w:t>
      </w:r>
      <w:r w:rsidRPr="005973D4">
        <w:rPr>
          <w:rFonts w:cs="Arial"/>
          <w:sz w:val="20"/>
          <w:szCs w:val="20"/>
          <w:rtl/>
        </w:rPr>
        <w:t xml:space="preserve"> </w:t>
      </w:r>
      <w:r w:rsidRPr="005973D4">
        <w:rPr>
          <w:rFonts w:cs="Arial" w:hint="cs"/>
          <w:sz w:val="20"/>
          <w:szCs w:val="20"/>
          <w:rtl/>
        </w:rPr>
        <w:t>תקבע</w:t>
      </w:r>
      <w:r w:rsidRPr="005973D4">
        <w:rPr>
          <w:rFonts w:cs="Arial"/>
          <w:sz w:val="20"/>
          <w:szCs w:val="20"/>
          <w:rtl/>
        </w:rPr>
        <w:t xml:space="preserve"> </w:t>
      </w:r>
      <w:r w:rsidRPr="005973D4">
        <w:rPr>
          <w:rFonts w:cs="Arial" w:hint="cs"/>
          <w:sz w:val="20"/>
          <w:szCs w:val="20"/>
          <w:rtl/>
        </w:rPr>
        <w:t>לראש</w:t>
      </w:r>
      <w:r w:rsidRPr="005973D4">
        <w:rPr>
          <w:rFonts w:cs="Arial"/>
          <w:sz w:val="20"/>
          <w:szCs w:val="20"/>
          <w:rtl/>
        </w:rPr>
        <w:t xml:space="preserve"> </w:t>
      </w:r>
      <w:r w:rsidRPr="005973D4">
        <w:rPr>
          <w:rFonts w:cs="Arial" w:hint="cs"/>
          <w:sz w:val="20"/>
          <w:szCs w:val="20"/>
          <w:rtl/>
        </w:rPr>
        <w:t>ח</w:t>
      </w:r>
      <w:r>
        <w:rPr>
          <w:rFonts w:cs="Arial" w:hint="cs"/>
          <w:sz w:val="20"/>
          <w:szCs w:val="20"/>
          <w:rtl/>
        </w:rPr>
        <w:t>ו</w:t>
      </w:r>
      <w:r w:rsidRPr="005973D4">
        <w:rPr>
          <w:rFonts w:cs="Arial" w:hint="cs"/>
          <w:sz w:val="20"/>
          <w:szCs w:val="20"/>
          <w:rtl/>
        </w:rPr>
        <w:t>דש</w:t>
      </w:r>
      <w:r>
        <w:rPr>
          <w:rFonts w:cs="Arial" w:hint="cs"/>
          <w:sz w:val="20"/>
          <w:szCs w:val="20"/>
          <w:rtl/>
        </w:rPr>
        <w:t>"</w:t>
      </w:r>
      <w:r w:rsidRPr="005973D4">
        <w:rPr>
          <w:rFonts w:cs="Arial"/>
          <w:sz w:val="20"/>
          <w:szCs w:val="20"/>
          <w:rtl/>
        </w:rPr>
        <w:t>.</w:t>
      </w:r>
      <w:r>
        <w:rPr>
          <w:rFonts w:hint="cs"/>
          <w:sz w:val="20"/>
          <w:szCs w:val="20"/>
          <w:rtl/>
        </w:rPr>
        <w:br/>
        <w:t xml:space="preserve">ועוד כתב </w:t>
      </w:r>
      <w:r w:rsidRPr="00794CAE">
        <w:rPr>
          <w:rFonts w:hint="cs"/>
          <w:b/>
          <w:bCs/>
          <w:sz w:val="20"/>
          <w:szCs w:val="20"/>
          <w:rtl/>
        </w:rPr>
        <w:t>הב"י</w:t>
      </w:r>
      <w:r>
        <w:rPr>
          <w:rFonts w:hint="cs"/>
          <w:sz w:val="20"/>
          <w:szCs w:val="20"/>
          <w:rtl/>
        </w:rPr>
        <w:t xml:space="preserve"> </w:t>
      </w:r>
      <w:r>
        <w:rPr>
          <w:sz w:val="20"/>
          <w:szCs w:val="20"/>
          <w:rtl/>
        </w:rPr>
        <w:t>–</w:t>
      </w:r>
      <w:r>
        <w:rPr>
          <w:rFonts w:hint="cs"/>
          <w:sz w:val="20"/>
          <w:szCs w:val="20"/>
          <w:rtl/>
        </w:rPr>
        <w:t xml:space="preserve"> אם הגיע יום החודש ולא פיהקה ולא ראתה, אינה חוששת עוד ליום החודש אך חוששת לפיהוק. והטעם פשוט, שהרי יום החודש נעקר בפעם אחת, אך פיהוק לא נעקר כיוון שלא פיהקה.</w:t>
      </w:r>
    </w:p>
    <w:p w:rsidR="00620060" w:rsidRDefault="00620060" w:rsidP="00620060">
      <w:pPr>
        <w:rPr>
          <w:sz w:val="20"/>
          <w:szCs w:val="20"/>
          <w:rtl/>
        </w:rPr>
      </w:pPr>
      <w:r>
        <w:rPr>
          <w:rFonts w:hint="cs"/>
          <w:sz w:val="20"/>
          <w:szCs w:val="20"/>
          <w:u w:val="single"/>
          <w:rtl/>
        </w:rPr>
        <w:t xml:space="preserve">מדוע אסורה לשמש עד שתבדוק? </w:t>
      </w:r>
      <w:r>
        <w:rPr>
          <w:sz w:val="20"/>
          <w:szCs w:val="20"/>
          <w:u w:val="single"/>
          <w:rtl/>
        </w:rPr>
        <w:br/>
      </w:r>
      <w:r>
        <w:rPr>
          <w:rFonts w:hint="cs"/>
          <w:sz w:val="20"/>
          <w:szCs w:val="20"/>
          <w:rtl/>
        </w:rPr>
        <w:t xml:space="preserve">קשה </w:t>
      </w:r>
      <w:r>
        <w:rPr>
          <w:sz w:val="20"/>
          <w:szCs w:val="20"/>
          <w:rtl/>
        </w:rPr>
        <w:t>–</w:t>
      </w:r>
      <w:r>
        <w:rPr>
          <w:rFonts w:hint="cs"/>
          <w:sz w:val="20"/>
          <w:szCs w:val="20"/>
          <w:rtl/>
        </w:rPr>
        <w:t xml:space="preserve"> לעיל, בסעיף ד', פסק המחבר לגבי בעלת ווסת שאינו קבוע שהגיע שעת ווסתה ולא בדקה שמותרת לשמש לאחר עונתה, ואם כן מדוע כאן פסק לאסור תשמיש עד שתבדוק לאחר הפיהוק </w:t>
      </w:r>
      <w:r w:rsidRPr="00B51A86">
        <w:rPr>
          <w:rFonts w:hint="cs"/>
          <w:sz w:val="18"/>
          <w:szCs w:val="18"/>
          <w:rtl/>
        </w:rPr>
        <w:t>(הרי לא קבעתו)</w:t>
      </w:r>
      <w:r>
        <w:rPr>
          <w:rFonts w:hint="cs"/>
          <w:sz w:val="20"/>
          <w:szCs w:val="20"/>
          <w:rtl/>
        </w:rPr>
        <w:t>?</w:t>
      </w:r>
      <w:r>
        <w:rPr>
          <w:rFonts w:hint="cs"/>
          <w:sz w:val="20"/>
          <w:szCs w:val="20"/>
          <w:rtl/>
        </w:rPr>
        <w:br/>
        <w:t xml:space="preserve">א. </w:t>
      </w:r>
      <w:r w:rsidRPr="00B51A86">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פיהוק גרע טפי משאר ווסת שאינו קבוע, משום שטבע האשה לפהק בשעת ראייתה או סמוך לה.</w:t>
      </w:r>
      <w:r>
        <w:rPr>
          <w:rStyle w:val="a5"/>
          <w:sz w:val="20"/>
          <w:szCs w:val="20"/>
        </w:rPr>
        <w:footnoteReference w:id="224"/>
      </w:r>
      <w:r>
        <w:rPr>
          <w:rFonts w:hint="cs"/>
          <w:sz w:val="20"/>
          <w:szCs w:val="20"/>
          <w:rtl/>
        </w:rPr>
        <w:br/>
        <w:t xml:space="preserve">ב. </w:t>
      </w:r>
      <w:r w:rsidRPr="00BE4D2D">
        <w:rPr>
          <w:rFonts w:hint="cs"/>
          <w:b/>
          <w:bCs/>
          <w:sz w:val="20"/>
          <w:szCs w:val="20"/>
          <w:rtl/>
        </w:rPr>
        <w:t>נקה"כ</w:t>
      </w:r>
      <w:r>
        <w:rPr>
          <w:rFonts w:hint="cs"/>
          <w:sz w:val="20"/>
          <w:szCs w:val="20"/>
          <w:rtl/>
        </w:rPr>
        <w:t xml:space="preserve"> </w:t>
      </w:r>
      <w:r>
        <w:rPr>
          <w:sz w:val="20"/>
          <w:szCs w:val="20"/>
          <w:rtl/>
        </w:rPr>
        <w:t>–</w:t>
      </w:r>
      <w:r>
        <w:rPr>
          <w:rFonts w:hint="cs"/>
          <w:sz w:val="20"/>
          <w:szCs w:val="20"/>
          <w:rtl/>
        </w:rPr>
        <w:t xml:space="preserve"> אין חילוק בין ווסת הפיהוק לשאר ווסתות, ובשניהם מותרת לאחר שעת הווסת ללא בדיקה. </w:t>
      </w:r>
      <w:r>
        <w:rPr>
          <w:sz w:val="20"/>
          <w:szCs w:val="20"/>
          <w:rtl/>
        </w:rPr>
        <w:br/>
      </w:r>
      <w:r>
        <w:rPr>
          <w:rFonts w:hint="cs"/>
          <w:sz w:val="20"/>
          <w:szCs w:val="20"/>
          <w:rtl/>
        </w:rPr>
        <w:t xml:space="preserve">אלא, שהמחבר לא יכול להתנסח בלשון זאת. כלומר </w:t>
      </w:r>
      <w:r>
        <w:rPr>
          <w:sz w:val="20"/>
          <w:szCs w:val="20"/>
          <w:rtl/>
        </w:rPr>
        <w:t>–</w:t>
      </w:r>
      <w:r>
        <w:rPr>
          <w:rFonts w:hint="cs"/>
          <w:sz w:val="20"/>
          <w:szCs w:val="20"/>
          <w:rtl/>
        </w:rPr>
        <w:t xml:space="preserve"> כיצד יאמר? אינו יכול לומר שאסורה רק עד הפיהוק, שהרי גם בשעת הפיהוק עצמו אסורה. ולכן אמר שאסורה עד שתבדוק, וכוונתו לומר שבדיקה זו נעשית בסמוך אחר הפיהוק, אך אין הכי נמי שאם עבר זמן מופלג מהפיהוק </w:t>
      </w:r>
      <w:r>
        <w:rPr>
          <w:sz w:val="20"/>
          <w:szCs w:val="20"/>
          <w:rtl/>
        </w:rPr>
        <w:t>–</w:t>
      </w:r>
      <w:r>
        <w:rPr>
          <w:rFonts w:hint="cs"/>
          <w:sz w:val="20"/>
          <w:szCs w:val="20"/>
          <w:rtl/>
        </w:rPr>
        <w:t xml:space="preserve"> מותרת לשמש.</w:t>
      </w:r>
    </w:p>
    <w:p w:rsidR="00620060"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B90CAF">
        <w:rPr>
          <w:rFonts w:hint="cs"/>
          <w:b/>
          <w:bCs/>
          <w:sz w:val="20"/>
          <w:szCs w:val="20"/>
          <w:rtl/>
        </w:rPr>
        <w:t>מחבר</w:t>
      </w:r>
      <w:r>
        <w:rPr>
          <w:rFonts w:hint="cs"/>
          <w:sz w:val="20"/>
          <w:szCs w:val="20"/>
          <w:rtl/>
        </w:rPr>
        <w:t xml:space="preserve">. פיהקה בר"ח וראתה, חוששת לפיהוק לבד וליום לבד שמא תקבע ווסת שאינו מורכב. אם בדקה </w:t>
      </w:r>
      <w:r w:rsidRPr="00BD186A">
        <w:rPr>
          <w:rFonts w:hint="cs"/>
          <w:sz w:val="18"/>
          <w:szCs w:val="18"/>
          <w:rtl/>
        </w:rPr>
        <w:t xml:space="preserve">(ביום או אחר הפיהוק) </w:t>
      </w:r>
      <w:r>
        <w:rPr>
          <w:rFonts w:hint="cs"/>
          <w:sz w:val="20"/>
          <w:szCs w:val="20"/>
          <w:rtl/>
        </w:rPr>
        <w:t xml:space="preserve">ולא ראתה </w:t>
      </w:r>
      <w:r>
        <w:rPr>
          <w:sz w:val="20"/>
          <w:szCs w:val="20"/>
          <w:rtl/>
        </w:rPr>
        <w:t>–</w:t>
      </w:r>
      <w:r>
        <w:rPr>
          <w:rFonts w:hint="cs"/>
          <w:sz w:val="20"/>
          <w:szCs w:val="20"/>
          <w:rtl/>
        </w:rPr>
        <w:t xml:space="preserve"> אינה חוששת עוד. </w:t>
      </w:r>
      <w:r w:rsidRPr="00762C73">
        <w:rPr>
          <w:rFonts w:hint="cs"/>
          <w:b/>
          <w:bCs/>
          <w:sz w:val="20"/>
          <w:szCs w:val="20"/>
          <w:rtl/>
        </w:rPr>
        <w:t>ב"י</w:t>
      </w:r>
      <w:r>
        <w:rPr>
          <w:rFonts w:hint="cs"/>
          <w:sz w:val="20"/>
          <w:szCs w:val="20"/>
          <w:rtl/>
        </w:rPr>
        <w:t>. לא פיהקה ולא ראתה ביום החודש - חוששת לפיהוק.</w:t>
      </w:r>
      <w:r>
        <w:rPr>
          <w:sz w:val="20"/>
          <w:szCs w:val="20"/>
          <w:rtl/>
        </w:rPr>
        <w:br/>
      </w:r>
      <w:r>
        <w:rPr>
          <w:rFonts w:hint="cs"/>
          <w:sz w:val="20"/>
          <w:szCs w:val="20"/>
          <w:rtl/>
        </w:rPr>
        <w:t xml:space="preserve">2. </w:t>
      </w:r>
      <w:r w:rsidRPr="00762C73">
        <w:rPr>
          <w:rFonts w:hint="cs"/>
          <w:b/>
          <w:bCs/>
          <w:sz w:val="20"/>
          <w:szCs w:val="20"/>
          <w:rtl/>
        </w:rPr>
        <w:t>מחבר</w:t>
      </w:r>
      <w:r>
        <w:rPr>
          <w:rFonts w:hint="cs"/>
          <w:sz w:val="20"/>
          <w:szCs w:val="20"/>
          <w:rtl/>
        </w:rPr>
        <w:t xml:space="preserve">. פיהקה בווסת שאינו קבוע </w:t>
      </w:r>
      <w:r>
        <w:rPr>
          <w:sz w:val="20"/>
          <w:szCs w:val="20"/>
          <w:rtl/>
        </w:rPr>
        <w:t>–</w:t>
      </w:r>
      <w:r>
        <w:rPr>
          <w:rFonts w:hint="cs"/>
          <w:sz w:val="20"/>
          <w:szCs w:val="20"/>
          <w:rtl/>
        </w:rPr>
        <w:t xml:space="preserve"> אסורה לשמש עד שתבדוק.</w:t>
      </w:r>
      <w:r>
        <w:rPr>
          <w:sz w:val="20"/>
          <w:szCs w:val="20"/>
          <w:rtl/>
        </w:rPr>
        <w:br/>
      </w:r>
      <w:r>
        <w:rPr>
          <w:rFonts w:hint="cs"/>
          <w:sz w:val="20"/>
          <w:szCs w:val="20"/>
          <w:rtl/>
        </w:rPr>
        <w:t xml:space="preserve">3. קשה, מדוע אסורה לשמש הרי בווסת שאינו קבוע שלא בדקה מותרת? </w:t>
      </w:r>
      <w:r w:rsidRPr="00762C73">
        <w:rPr>
          <w:rFonts w:hint="cs"/>
          <w:b/>
          <w:bCs/>
          <w:sz w:val="20"/>
          <w:szCs w:val="20"/>
          <w:rtl/>
        </w:rPr>
        <w:t>ט"ז</w:t>
      </w:r>
      <w:r>
        <w:rPr>
          <w:rFonts w:hint="cs"/>
          <w:sz w:val="20"/>
          <w:szCs w:val="20"/>
          <w:rtl/>
        </w:rPr>
        <w:t xml:space="preserve">. פיהוק גרע ואסורה. </w:t>
      </w:r>
      <w:r>
        <w:rPr>
          <w:b/>
          <w:bCs/>
          <w:sz w:val="20"/>
          <w:szCs w:val="20"/>
          <w:rtl/>
        </w:rPr>
        <w:br/>
      </w:r>
      <w:r w:rsidRPr="00762C73">
        <w:rPr>
          <w:rFonts w:hint="cs"/>
          <w:b/>
          <w:bCs/>
          <w:sz w:val="20"/>
          <w:szCs w:val="20"/>
          <w:rtl/>
        </w:rPr>
        <w:t>נקה"כ</w:t>
      </w:r>
      <w:r>
        <w:rPr>
          <w:rFonts w:hint="cs"/>
          <w:sz w:val="20"/>
          <w:szCs w:val="20"/>
          <w:rtl/>
        </w:rPr>
        <w:t>. מותרת לשמש, המחבר אסר רק בזמן הסמוך לפיהוק.</w:t>
      </w:r>
    </w:p>
    <w:p w:rsidR="00620060" w:rsidRDefault="00620060" w:rsidP="00620060">
      <w:pPr>
        <w:rPr>
          <w:sz w:val="20"/>
          <w:szCs w:val="20"/>
          <w:rtl/>
        </w:rPr>
      </w:pPr>
      <w:r>
        <w:rPr>
          <w:sz w:val="20"/>
          <w:szCs w:val="20"/>
          <w:rtl/>
        </w:rPr>
        <w:br/>
      </w:r>
      <w:r>
        <w:rPr>
          <w:rFonts w:hint="cs"/>
          <w:b/>
          <w:bCs/>
          <w:sz w:val="20"/>
          <w:szCs w:val="20"/>
          <w:rtl/>
        </w:rPr>
        <w:t xml:space="preserve">סעיף כב </w:t>
      </w:r>
      <w:r>
        <w:rPr>
          <w:b/>
          <w:bCs/>
          <w:sz w:val="20"/>
          <w:szCs w:val="20"/>
          <w:rtl/>
        </w:rPr>
        <w:t>–</w:t>
      </w:r>
      <w:r>
        <w:rPr>
          <w:rFonts w:hint="cs"/>
          <w:b/>
          <w:bCs/>
          <w:sz w:val="20"/>
          <w:szCs w:val="20"/>
          <w:rtl/>
        </w:rPr>
        <w:t xml:space="preserve"> חשש לפיהוק ולהפלגה</w:t>
      </w:r>
      <w:r>
        <w:rPr>
          <w:b/>
          <w:b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שולחן ערוך </w:t>
      </w:r>
      <w:r>
        <w:rPr>
          <w:rFonts w:hint="cs"/>
          <w:sz w:val="20"/>
          <w:szCs w:val="20"/>
          <w:rtl/>
        </w:rPr>
        <w:t xml:space="preserve"> </w:t>
      </w:r>
      <w:r w:rsidRPr="00794CAE">
        <w:rPr>
          <w:rFonts w:hint="cs"/>
          <w:sz w:val="18"/>
          <w:szCs w:val="18"/>
          <w:rtl/>
        </w:rPr>
        <w:t xml:space="preserve">(ע"פ </w:t>
      </w:r>
      <w:r w:rsidRPr="0079029E">
        <w:rPr>
          <w:rFonts w:hint="cs"/>
          <w:b/>
          <w:bCs/>
          <w:sz w:val="18"/>
          <w:szCs w:val="18"/>
          <w:rtl/>
        </w:rPr>
        <w:t>הרא"ש</w:t>
      </w:r>
      <w:r w:rsidRPr="00794CAE">
        <w:rPr>
          <w:rFonts w:hint="cs"/>
          <w:sz w:val="18"/>
          <w:szCs w:val="18"/>
          <w:rtl/>
        </w:rPr>
        <w:t xml:space="preserve">, </w:t>
      </w:r>
      <w:r w:rsidRPr="0079029E">
        <w:rPr>
          <w:rFonts w:hint="cs"/>
          <w:b/>
          <w:bCs/>
          <w:sz w:val="18"/>
          <w:szCs w:val="18"/>
          <w:rtl/>
        </w:rPr>
        <w:t>רשב"א וטור</w:t>
      </w:r>
      <w:r w:rsidRPr="00794CAE">
        <w:rPr>
          <w:rFonts w:hint="cs"/>
          <w:sz w:val="18"/>
          <w:szCs w:val="18"/>
          <w:rtl/>
        </w:rPr>
        <w:t xml:space="preserve">) </w:t>
      </w:r>
      <w:r>
        <w:rPr>
          <w:sz w:val="20"/>
          <w:szCs w:val="20"/>
          <w:rtl/>
        </w:rPr>
        <w:t>–</w:t>
      </w:r>
      <w:r>
        <w:rPr>
          <w:rFonts w:hint="cs"/>
          <w:sz w:val="20"/>
          <w:szCs w:val="20"/>
          <w:rtl/>
        </w:rPr>
        <w:t xml:space="preserve"> </w:t>
      </w:r>
      <w:r>
        <w:rPr>
          <w:rFonts w:cs="Arial" w:hint="cs"/>
          <w:sz w:val="20"/>
          <w:szCs w:val="20"/>
          <w:rtl/>
        </w:rPr>
        <w:t>"</w:t>
      </w:r>
      <w:r w:rsidRPr="00E52C8D">
        <w:rPr>
          <w:rFonts w:cs="Arial" w:hint="cs"/>
          <w:sz w:val="20"/>
          <w:szCs w:val="20"/>
          <w:rtl/>
        </w:rPr>
        <w:t>וכן</w:t>
      </w:r>
      <w:r w:rsidRPr="00E52C8D">
        <w:rPr>
          <w:rFonts w:cs="Arial"/>
          <w:sz w:val="20"/>
          <w:szCs w:val="20"/>
          <w:rtl/>
        </w:rPr>
        <w:t xml:space="preserve"> </w:t>
      </w:r>
      <w:r w:rsidRPr="00E52C8D">
        <w:rPr>
          <w:rFonts w:cs="Arial" w:hint="cs"/>
          <w:sz w:val="20"/>
          <w:szCs w:val="20"/>
          <w:rtl/>
        </w:rPr>
        <w:t>הדין</w:t>
      </w:r>
      <w:r w:rsidRPr="00E52C8D">
        <w:rPr>
          <w:rFonts w:cs="Arial"/>
          <w:sz w:val="20"/>
          <w:szCs w:val="20"/>
          <w:rtl/>
        </w:rPr>
        <w:t xml:space="preserve"> </w:t>
      </w:r>
      <w:r w:rsidRPr="00E52C8D">
        <w:rPr>
          <w:rFonts w:cs="Arial" w:hint="cs"/>
          <w:sz w:val="20"/>
          <w:szCs w:val="20"/>
          <w:rtl/>
        </w:rPr>
        <w:t>בימים</w:t>
      </w:r>
      <w:r w:rsidRPr="00E52C8D">
        <w:rPr>
          <w:rFonts w:cs="Arial"/>
          <w:sz w:val="20"/>
          <w:szCs w:val="20"/>
          <w:rtl/>
        </w:rPr>
        <w:t xml:space="preserve">. </w:t>
      </w:r>
      <w:r w:rsidRPr="00E52C8D">
        <w:rPr>
          <w:rFonts w:cs="Arial" w:hint="cs"/>
          <w:sz w:val="20"/>
          <w:szCs w:val="20"/>
          <w:rtl/>
        </w:rPr>
        <w:t>אם</w:t>
      </w:r>
      <w:r w:rsidRPr="00E52C8D">
        <w:rPr>
          <w:rFonts w:cs="Arial"/>
          <w:sz w:val="20"/>
          <w:szCs w:val="20"/>
          <w:rtl/>
        </w:rPr>
        <w:t xml:space="preserve"> </w:t>
      </w:r>
      <w:r w:rsidRPr="00E52C8D">
        <w:rPr>
          <w:rFonts w:cs="Arial" w:hint="cs"/>
          <w:sz w:val="20"/>
          <w:szCs w:val="20"/>
          <w:rtl/>
        </w:rPr>
        <w:t>פיהקה</w:t>
      </w:r>
      <w:r w:rsidRPr="00E52C8D">
        <w:rPr>
          <w:rFonts w:cs="Arial"/>
          <w:sz w:val="20"/>
          <w:szCs w:val="20"/>
          <w:rtl/>
        </w:rPr>
        <w:t xml:space="preserve"> </w:t>
      </w:r>
      <w:r w:rsidRPr="00E52C8D">
        <w:rPr>
          <w:rFonts w:cs="Arial" w:hint="cs"/>
          <w:sz w:val="20"/>
          <w:szCs w:val="20"/>
          <w:rtl/>
        </w:rPr>
        <w:t>היום</w:t>
      </w:r>
      <w:r w:rsidRPr="00E52C8D">
        <w:rPr>
          <w:rFonts w:cs="Arial"/>
          <w:sz w:val="20"/>
          <w:szCs w:val="20"/>
          <w:rtl/>
        </w:rPr>
        <w:t xml:space="preserve">, </w:t>
      </w:r>
      <w:r w:rsidRPr="00E52C8D">
        <w:rPr>
          <w:rFonts w:cs="Arial" w:hint="cs"/>
          <w:sz w:val="20"/>
          <w:szCs w:val="20"/>
          <w:rtl/>
        </w:rPr>
        <w:t>ופיהקה</w:t>
      </w:r>
      <w:r w:rsidRPr="00E52C8D">
        <w:rPr>
          <w:rFonts w:cs="Arial"/>
          <w:sz w:val="20"/>
          <w:szCs w:val="20"/>
          <w:rtl/>
        </w:rPr>
        <w:t xml:space="preserve"> </w:t>
      </w:r>
      <w:r w:rsidRPr="00E52C8D">
        <w:rPr>
          <w:rFonts w:cs="Arial" w:hint="cs"/>
          <w:sz w:val="20"/>
          <w:szCs w:val="20"/>
          <w:rtl/>
        </w:rPr>
        <w:t>לסוף</w:t>
      </w:r>
      <w:r w:rsidRPr="00E52C8D">
        <w:rPr>
          <w:rFonts w:cs="Arial"/>
          <w:sz w:val="20"/>
          <w:szCs w:val="20"/>
          <w:rtl/>
        </w:rPr>
        <w:t xml:space="preserve"> </w:t>
      </w:r>
      <w:r w:rsidRPr="00E52C8D">
        <w:rPr>
          <w:rFonts w:cs="Arial" w:hint="cs"/>
          <w:sz w:val="20"/>
          <w:szCs w:val="20"/>
          <w:rtl/>
        </w:rPr>
        <w:t>ל</w:t>
      </w:r>
      <w:r w:rsidRPr="00E52C8D">
        <w:rPr>
          <w:rFonts w:cs="Arial"/>
          <w:sz w:val="20"/>
          <w:szCs w:val="20"/>
          <w:rtl/>
        </w:rPr>
        <w:t xml:space="preserve">', </w:t>
      </w:r>
      <w:r w:rsidRPr="00E52C8D">
        <w:rPr>
          <w:rFonts w:cs="Arial" w:hint="cs"/>
          <w:sz w:val="20"/>
          <w:szCs w:val="20"/>
          <w:rtl/>
        </w:rPr>
        <w:t>אם</w:t>
      </w:r>
      <w:r w:rsidRPr="00E52C8D">
        <w:rPr>
          <w:rFonts w:cs="Arial"/>
          <w:sz w:val="20"/>
          <w:szCs w:val="20"/>
          <w:rtl/>
        </w:rPr>
        <w:t xml:space="preserve"> </w:t>
      </w:r>
      <w:r w:rsidRPr="00E52C8D">
        <w:rPr>
          <w:rFonts w:cs="Arial" w:hint="cs"/>
          <w:sz w:val="20"/>
          <w:szCs w:val="20"/>
          <w:rtl/>
        </w:rPr>
        <w:t>תפהק</w:t>
      </w:r>
      <w:r w:rsidRPr="00E52C8D">
        <w:rPr>
          <w:rFonts w:cs="Arial"/>
          <w:sz w:val="20"/>
          <w:szCs w:val="20"/>
          <w:rtl/>
        </w:rPr>
        <w:t xml:space="preserve"> </w:t>
      </w:r>
      <w:r w:rsidRPr="00E52C8D">
        <w:rPr>
          <w:rFonts w:cs="Arial" w:hint="cs"/>
          <w:sz w:val="20"/>
          <w:szCs w:val="20"/>
          <w:rtl/>
        </w:rPr>
        <w:t>אפילו</w:t>
      </w:r>
      <w:r w:rsidRPr="00E52C8D">
        <w:rPr>
          <w:rFonts w:cs="Arial"/>
          <w:sz w:val="20"/>
          <w:szCs w:val="20"/>
          <w:rtl/>
        </w:rPr>
        <w:t xml:space="preserve"> </w:t>
      </w:r>
      <w:r w:rsidRPr="00E52C8D">
        <w:rPr>
          <w:rFonts w:cs="Arial" w:hint="cs"/>
          <w:sz w:val="20"/>
          <w:szCs w:val="20"/>
          <w:rtl/>
        </w:rPr>
        <w:t>שלא</w:t>
      </w:r>
      <w:r w:rsidRPr="00E52C8D">
        <w:rPr>
          <w:rFonts w:cs="Arial"/>
          <w:sz w:val="20"/>
          <w:szCs w:val="20"/>
          <w:rtl/>
        </w:rPr>
        <w:t xml:space="preserve"> </w:t>
      </w:r>
      <w:r w:rsidRPr="00E52C8D">
        <w:rPr>
          <w:rFonts w:cs="Arial" w:hint="cs"/>
          <w:sz w:val="20"/>
          <w:szCs w:val="20"/>
          <w:rtl/>
        </w:rPr>
        <w:t>ביום</w:t>
      </w:r>
      <w:r w:rsidRPr="00E52C8D">
        <w:rPr>
          <w:rFonts w:cs="Arial"/>
          <w:sz w:val="20"/>
          <w:szCs w:val="20"/>
          <w:rtl/>
        </w:rPr>
        <w:t xml:space="preserve"> </w:t>
      </w:r>
      <w:r w:rsidRPr="00E52C8D">
        <w:rPr>
          <w:rFonts w:cs="Arial" w:hint="cs"/>
          <w:sz w:val="20"/>
          <w:szCs w:val="20"/>
          <w:rtl/>
        </w:rPr>
        <w:t>שלשים</w:t>
      </w:r>
      <w:r w:rsidRPr="00E52C8D">
        <w:rPr>
          <w:rFonts w:cs="Arial"/>
          <w:sz w:val="20"/>
          <w:szCs w:val="20"/>
          <w:rtl/>
        </w:rPr>
        <w:t xml:space="preserve"> </w:t>
      </w:r>
      <w:r w:rsidRPr="00E52C8D">
        <w:rPr>
          <w:rFonts w:cs="Arial" w:hint="cs"/>
          <w:sz w:val="20"/>
          <w:szCs w:val="20"/>
          <w:rtl/>
        </w:rPr>
        <w:t>חוששת</w:t>
      </w:r>
      <w:r w:rsidRPr="00E52C8D">
        <w:rPr>
          <w:rFonts w:cs="Arial"/>
          <w:sz w:val="20"/>
          <w:szCs w:val="20"/>
          <w:rtl/>
        </w:rPr>
        <w:t xml:space="preserve"> </w:t>
      </w:r>
      <w:r w:rsidRPr="00E52C8D">
        <w:rPr>
          <w:rFonts w:cs="Arial" w:hint="cs"/>
          <w:sz w:val="20"/>
          <w:szCs w:val="20"/>
          <w:rtl/>
        </w:rPr>
        <w:t>לאותו</w:t>
      </w:r>
      <w:r w:rsidRPr="00E52C8D">
        <w:rPr>
          <w:rFonts w:cs="Arial"/>
          <w:sz w:val="20"/>
          <w:szCs w:val="20"/>
          <w:rtl/>
        </w:rPr>
        <w:t xml:space="preserve"> </w:t>
      </w:r>
      <w:r w:rsidRPr="00E52C8D">
        <w:rPr>
          <w:rFonts w:cs="Arial" w:hint="cs"/>
          <w:sz w:val="20"/>
          <w:szCs w:val="20"/>
          <w:rtl/>
        </w:rPr>
        <w:t>פיהוק</w:t>
      </w:r>
      <w:r w:rsidRPr="00E52C8D">
        <w:rPr>
          <w:rFonts w:cs="Arial"/>
          <w:sz w:val="20"/>
          <w:szCs w:val="20"/>
          <w:rtl/>
        </w:rPr>
        <w:t xml:space="preserve"> </w:t>
      </w:r>
      <w:r w:rsidRPr="00E52C8D">
        <w:rPr>
          <w:rFonts w:cs="Arial" w:hint="cs"/>
          <w:sz w:val="20"/>
          <w:szCs w:val="20"/>
          <w:rtl/>
        </w:rPr>
        <w:t>שמא</w:t>
      </w:r>
      <w:r w:rsidRPr="00E52C8D">
        <w:rPr>
          <w:rFonts w:cs="Arial"/>
          <w:sz w:val="20"/>
          <w:szCs w:val="20"/>
          <w:rtl/>
        </w:rPr>
        <w:t xml:space="preserve"> </w:t>
      </w:r>
      <w:r w:rsidRPr="00E52C8D">
        <w:rPr>
          <w:rFonts w:cs="Arial" w:hint="cs"/>
          <w:sz w:val="20"/>
          <w:szCs w:val="20"/>
          <w:rtl/>
        </w:rPr>
        <w:t>תקבע</w:t>
      </w:r>
      <w:r w:rsidRPr="00E52C8D">
        <w:rPr>
          <w:rFonts w:cs="Arial"/>
          <w:sz w:val="20"/>
          <w:szCs w:val="20"/>
          <w:rtl/>
        </w:rPr>
        <w:t xml:space="preserve"> </w:t>
      </w:r>
      <w:r w:rsidRPr="00E52C8D">
        <w:rPr>
          <w:rFonts w:cs="Arial" w:hint="cs"/>
          <w:sz w:val="20"/>
          <w:szCs w:val="20"/>
          <w:rtl/>
        </w:rPr>
        <w:t>לפיהוק</w:t>
      </w:r>
      <w:r w:rsidRPr="00E52C8D">
        <w:rPr>
          <w:rFonts w:cs="Arial"/>
          <w:sz w:val="20"/>
          <w:szCs w:val="20"/>
          <w:rtl/>
        </w:rPr>
        <w:t xml:space="preserve"> </w:t>
      </w:r>
      <w:r w:rsidRPr="00E52C8D">
        <w:rPr>
          <w:rFonts w:cs="Arial" w:hint="cs"/>
          <w:sz w:val="20"/>
          <w:szCs w:val="20"/>
          <w:rtl/>
        </w:rPr>
        <w:t>גרידא</w:t>
      </w:r>
      <w:r w:rsidRPr="00E52C8D">
        <w:rPr>
          <w:rFonts w:cs="Arial"/>
          <w:sz w:val="20"/>
          <w:szCs w:val="20"/>
          <w:rtl/>
        </w:rPr>
        <w:t xml:space="preserve">. </w:t>
      </w:r>
      <w:r w:rsidRPr="00E52C8D">
        <w:rPr>
          <w:rFonts w:cs="Arial" w:hint="cs"/>
          <w:sz w:val="20"/>
          <w:szCs w:val="20"/>
          <w:rtl/>
        </w:rPr>
        <w:t>פיהקה</w:t>
      </w:r>
      <w:r w:rsidRPr="00E52C8D">
        <w:rPr>
          <w:rFonts w:cs="Arial"/>
          <w:sz w:val="20"/>
          <w:szCs w:val="20"/>
          <w:rtl/>
        </w:rPr>
        <w:t xml:space="preserve"> </w:t>
      </w:r>
      <w:r w:rsidRPr="00E52C8D">
        <w:rPr>
          <w:rFonts w:cs="Arial" w:hint="cs"/>
          <w:sz w:val="20"/>
          <w:szCs w:val="20"/>
          <w:rtl/>
        </w:rPr>
        <w:t>בתוך</w:t>
      </w:r>
      <w:r w:rsidRPr="00E52C8D">
        <w:rPr>
          <w:rFonts w:cs="Arial"/>
          <w:sz w:val="20"/>
          <w:szCs w:val="20"/>
          <w:rtl/>
        </w:rPr>
        <w:t xml:space="preserve"> </w:t>
      </w:r>
      <w:r w:rsidRPr="00E52C8D">
        <w:rPr>
          <w:rFonts w:cs="Arial" w:hint="cs"/>
          <w:sz w:val="20"/>
          <w:szCs w:val="20"/>
          <w:rtl/>
        </w:rPr>
        <w:t>שלשים</w:t>
      </w:r>
      <w:r w:rsidRPr="00E52C8D">
        <w:rPr>
          <w:rFonts w:cs="Arial"/>
          <w:sz w:val="20"/>
          <w:szCs w:val="20"/>
          <w:rtl/>
        </w:rPr>
        <w:t xml:space="preserve"> </w:t>
      </w:r>
      <w:r w:rsidRPr="00E52C8D">
        <w:rPr>
          <w:rFonts w:cs="Arial" w:hint="cs"/>
          <w:sz w:val="20"/>
          <w:szCs w:val="20"/>
          <w:rtl/>
        </w:rPr>
        <w:t>ולא</w:t>
      </w:r>
      <w:r w:rsidRPr="00E52C8D">
        <w:rPr>
          <w:rFonts w:cs="Arial"/>
          <w:sz w:val="20"/>
          <w:szCs w:val="20"/>
          <w:rtl/>
        </w:rPr>
        <w:t xml:space="preserve"> </w:t>
      </w:r>
      <w:r w:rsidRPr="00E52C8D">
        <w:rPr>
          <w:rFonts w:cs="Arial" w:hint="cs"/>
          <w:sz w:val="20"/>
          <w:szCs w:val="20"/>
          <w:rtl/>
        </w:rPr>
        <w:t>ראתה</w:t>
      </w:r>
      <w:r w:rsidRPr="00E52C8D">
        <w:rPr>
          <w:rFonts w:cs="Arial"/>
          <w:sz w:val="20"/>
          <w:szCs w:val="20"/>
          <w:rtl/>
        </w:rPr>
        <w:t xml:space="preserve">, </w:t>
      </w:r>
      <w:r w:rsidRPr="00E52C8D">
        <w:rPr>
          <w:rFonts w:cs="Arial" w:hint="cs"/>
          <w:sz w:val="20"/>
          <w:szCs w:val="20"/>
          <w:rtl/>
        </w:rPr>
        <w:t>אין</w:t>
      </w:r>
      <w:r w:rsidRPr="00E52C8D">
        <w:rPr>
          <w:rFonts w:cs="Arial"/>
          <w:sz w:val="20"/>
          <w:szCs w:val="20"/>
          <w:rtl/>
        </w:rPr>
        <w:t xml:space="preserve"> </w:t>
      </w:r>
      <w:r w:rsidRPr="00E52C8D">
        <w:rPr>
          <w:rFonts w:cs="Arial" w:hint="cs"/>
          <w:sz w:val="20"/>
          <w:szCs w:val="20"/>
          <w:rtl/>
        </w:rPr>
        <w:t>צריכה</w:t>
      </w:r>
      <w:r w:rsidRPr="00E52C8D">
        <w:rPr>
          <w:rFonts w:cs="Arial"/>
          <w:sz w:val="20"/>
          <w:szCs w:val="20"/>
          <w:rtl/>
        </w:rPr>
        <w:t xml:space="preserve"> </w:t>
      </w:r>
      <w:r w:rsidRPr="00E52C8D">
        <w:rPr>
          <w:rFonts w:cs="Arial" w:hint="cs"/>
          <w:sz w:val="20"/>
          <w:szCs w:val="20"/>
          <w:rtl/>
        </w:rPr>
        <w:t>לחוש</w:t>
      </w:r>
      <w:r w:rsidRPr="00E52C8D">
        <w:rPr>
          <w:rFonts w:cs="Arial"/>
          <w:sz w:val="20"/>
          <w:szCs w:val="20"/>
          <w:rtl/>
        </w:rPr>
        <w:t xml:space="preserve"> </w:t>
      </w:r>
      <w:r w:rsidRPr="00E52C8D">
        <w:rPr>
          <w:rFonts w:cs="Arial" w:hint="cs"/>
          <w:sz w:val="20"/>
          <w:szCs w:val="20"/>
          <w:rtl/>
        </w:rPr>
        <w:t>עוד</w:t>
      </w:r>
      <w:r w:rsidRPr="00E52C8D">
        <w:rPr>
          <w:rFonts w:cs="Arial"/>
          <w:sz w:val="20"/>
          <w:szCs w:val="20"/>
          <w:rtl/>
        </w:rPr>
        <w:t xml:space="preserve"> </w:t>
      </w:r>
      <w:r w:rsidRPr="00E52C8D">
        <w:rPr>
          <w:rFonts w:cs="Arial" w:hint="cs"/>
          <w:sz w:val="20"/>
          <w:szCs w:val="20"/>
          <w:rtl/>
        </w:rPr>
        <w:t>לפיהוק</w:t>
      </w:r>
      <w:r w:rsidRPr="00E52C8D">
        <w:rPr>
          <w:rFonts w:cs="Arial"/>
          <w:sz w:val="20"/>
          <w:szCs w:val="20"/>
          <w:rtl/>
        </w:rPr>
        <w:t xml:space="preserve"> </w:t>
      </w:r>
      <w:r w:rsidRPr="00E52C8D">
        <w:rPr>
          <w:rFonts w:cs="Arial" w:hint="cs"/>
          <w:sz w:val="20"/>
          <w:szCs w:val="20"/>
          <w:rtl/>
        </w:rPr>
        <w:t>גרידא</w:t>
      </w:r>
      <w:r w:rsidRPr="00E52C8D">
        <w:rPr>
          <w:rFonts w:cs="Arial"/>
          <w:sz w:val="20"/>
          <w:szCs w:val="20"/>
          <w:rtl/>
        </w:rPr>
        <w:t xml:space="preserve"> </w:t>
      </w:r>
      <w:r w:rsidRPr="00E52C8D">
        <w:rPr>
          <w:rFonts w:cs="Arial" w:hint="cs"/>
          <w:sz w:val="20"/>
          <w:szCs w:val="20"/>
          <w:rtl/>
        </w:rPr>
        <w:t>אבל</w:t>
      </w:r>
      <w:r w:rsidRPr="00E52C8D">
        <w:rPr>
          <w:rFonts w:cs="Arial"/>
          <w:sz w:val="20"/>
          <w:szCs w:val="20"/>
          <w:rtl/>
        </w:rPr>
        <w:t xml:space="preserve"> </w:t>
      </w:r>
      <w:r w:rsidRPr="00E52C8D">
        <w:rPr>
          <w:rFonts w:cs="Arial" w:hint="cs"/>
          <w:sz w:val="20"/>
          <w:szCs w:val="20"/>
          <w:rtl/>
        </w:rPr>
        <w:t>צריכה</w:t>
      </w:r>
      <w:r w:rsidRPr="00E52C8D">
        <w:rPr>
          <w:rFonts w:cs="Arial"/>
          <w:sz w:val="20"/>
          <w:szCs w:val="20"/>
          <w:rtl/>
        </w:rPr>
        <w:t xml:space="preserve"> </w:t>
      </w:r>
      <w:r w:rsidRPr="00E52C8D">
        <w:rPr>
          <w:rFonts w:cs="Arial" w:hint="cs"/>
          <w:sz w:val="20"/>
          <w:szCs w:val="20"/>
          <w:rtl/>
        </w:rPr>
        <w:t>לחוש</w:t>
      </w:r>
      <w:r w:rsidRPr="00E52C8D">
        <w:rPr>
          <w:rFonts w:cs="Arial"/>
          <w:sz w:val="20"/>
          <w:szCs w:val="20"/>
          <w:rtl/>
        </w:rPr>
        <w:t xml:space="preserve"> </w:t>
      </w:r>
      <w:r w:rsidRPr="00E52C8D">
        <w:rPr>
          <w:rFonts w:cs="Arial" w:hint="cs"/>
          <w:sz w:val="20"/>
          <w:szCs w:val="20"/>
          <w:rtl/>
        </w:rPr>
        <w:t>לסוף</w:t>
      </w:r>
      <w:r w:rsidRPr="00E52C8D">
        <w:rPr>
          <w:rFonts w:cs="Arial"/>
          <w:sz w:val="20"/>
          <w:szCs w:val="20"/>
          <w:rtl/>
        </w:rPr>
        <w:t xml:space="preserve"> </w:t>
      </w:r>
      <w:r w:rsidRPr="00E52C8D">
        <w:rPr>
          <w:rFonts w:cs="Arial" w:hint="cs"/>
          <w:sz w:val="20"/>
          <w:szCs w:val="20"/>
          <w:rtl/>
        </w:rPr>
        <w:t>שלשים</w:t>
      </w:r>
      <w:r w:rsidRPr="00E52C8D">
        <w:rPr>
          <w:rFonts w:cs="Arial"/>
          <w:sz w:val="20"/>
          <w:szCs w:val="20"/>
          <w:rtl/>
        </w:rPr>
        <w:t xml:space="preserve">, </w:t>
      </w:r>
      <w:r w:rsidRPr="00E52C8D">
        <w:rPr>
          <w:rFonts w:cs="Arial" w:hint="cs"/>
          <w:sz w:val="20"/>
          <w:szCs w:val="20"/>
          <w:rtl/>
        </w:rPr>
        <w:t>וכן</w:t>
      </w:r>
      <w:r w:rsidRPr="00E52C8D">
        <w:rPr>
          <w:rFonts w:cs="Arial"/>
          <w:sz w:val="20"/>
          <w:szCs w:val="20"/>
          <w:rtl/>
        </w:rPr>
        <w:t xml:space="preserve"> </w:t>
      </w:r>
      <w:r w:rsidRPr="00E52C8D">
        <w:rPr>
          <w:rFonts w:cs="Arial" w:hint="cs"/>
          <w:sz w:val="20"/>
          <w:szCs w:val="20"/>
          <w:rtl/>
        </w:rPr>
        <w:t>צריכה</w:t>
      </w:r>
      <w:r w:rsidRPr="00E52C8D">
        <w:rPr>
          <w:rFonts w:cs="Arial"/>
          <w:sz w:val="20"/>
          <w:szCs w:val="20"/>
          <w:rtl/>
        </w:rPr>
        <w:t xml:space="preserve"> </w:t>
      </w:r>
      <w:r w:rsidRPr="00E52C8D">
        <w:rPr>
          <w:rFonts w:cs="Arial" w:hint="cs"/>
          <w:sz w:val="20"/>
          <w:szCs w:val="20"/>
          <w:rtl/>
        </w:rPr>
        <w:t>לחוש</w:t>
      </w:r>
      <w:r w:rsidRPr="00E52C8D">
        <w:rPr>
          <w:rFonts w:cs="Arial"/>
          <w:sz w:val="20"/>
          <w:szCs w:val="20"/>
          <w:rtl/>
        </w:rPr>
        <w:t xml:space="preserve"> </w:t>
      </w:r>
      <w:r w:rsidRPr="00E52C8D">
        <w:rPr>
          <w:rFonts w:cs="Arial" w:hint="cs"/>
          <w:sz w:val="20"/>
          <w:szCs w:val="20"/>
          <w:rtl/>
        </w:rPr>
        <w:t>ליום</w:t>
      </w:r>
      <w:r w:rsidRPr="00E52C8D">
        <w:rPr>
          <w:rFonts w:cs="Arial"/>
          <w:sz w:val="20"/>
          <w:szCs w:val="20"/>
          <w:rtl/>
        </w:rPr>
        <w:t xml:space="preserve"> </w:t>
      </w:r>
      <w:r w:rsidRPr="00E52C8D">
        <w:rPr>
          <w:rFonts w:cs="Arial" w:hint="cs"/>
          <w:sz w:val="20"/>
          <w:szCs w:val="20"/>
          <w:rtl/>
        </w:rPr>
        <w:t>הקבוע</w:t>
      </w:r>
      <w:r w:rsidRPr="00E52C8D">
        <w:rPr>
          <w:rFonts w:cs="Arial"/>
          <w:sz w:val="20"/>
          <w:szCs w:val="20"/>
          <w:rtl/>
        </w:rPr>
        <w:t xml:space="preserve"> </w:t>
      </w:r>
      <w:r w:rsidRPr="00E52C8D">
        <w:rPr>
          <w:rFonts w:cs="Arial" w:hint="cs"/>
          <w:sz w:val="20"/>
          <w:szCs w:val="20"/>
          <w:rtl/>
        </w:rPr>
        <w:t>בחדש</w:t>
      </w:r>
      <w:r w:rsidRPr="00E52C8D">
        <w:rPr>
          <w:rFonts w:cs="Arial"/>
          <w:sz w:val="20"/>
          <w:szCs w:val="20"/>
          <w:rtl/>
        </w:rPr>
        <w:t xml:space="preserve"> </w:t>
      </w:r>
      <w:r w:rsidRPr="00E52C8D">
        <w:rPr>
          <w:rFonts w:cs="Arial" w:hint="cs"/>
          <w:sz w:val="20"/>
          <w:szCs w:val="20"/>
          <w:rtl/>
        </w:rPr>
        <w:t>שפיהקה</w:t>
      </w:r>
      <w:r w:rsidRPr="00E52C8D">
        <w:rPr>
          <w:rFonts w:cs="Arial"/>
          <w:sz w:val="20"/>
          <w:szCs w:val="20"/>
          <w:rtl/>
        </w:rPr>
        <w:t xml:space="preserve"> </w:t>
      </w:r>
      <w:r w:rsidRPr="00E52C8D">
        <w:rPr>
          <w:rFonts w:cs="Arial" w:hint="cs"/>
          <w:sz w:val="20"/>
          <w:szCs w:val="20"/>
          <w:rtl/>
        </w:rPr>
        <w:t>בו</w:t>
      </w:r>
      <w:r w:rsidRPr="00E52C8D">
        <w:rPr>
          <w:rFonts w:cs="Arial"/>
          <w:sz w:val="20"/>
          <w:szCs w:val="20"/>
          <w:rtl/>
        </w:rPr>
        <w:t xml:space="preserve">, </w:t>
      </w:r>
      <w:r w:rsidRPr="00E52C8D">
        <w:rPr>
          <w:rFonts w:cs="Arial" w:hint="cs"/>
          <w:sz w:val="20"/>
          <w:szCs w:val="20"/>
          <w:rtl/>
        </w:rPr>
        <w:t>שמא</w:t>
      </w:r>
      <w:r w:rsidRPr="00E52C8D">
        <w:rPr>
          <w:rFonts w:cs="Arial"/>
          <w:sz w:val="20"/>
          <w:szCs w:val="20"/>
          <w:rtl/>
        </w:rPr>
        <w:t xml:space="preserve"> </w:t>
      </w:r>
      <w:r w:rsidRPr="00E52C8D">
        <w:rPr>
          <w:rFonts w:cs="Arial" w:hint="cs"/>
          <w:sz w:val="20"/>
          <w:szCs w:val="20"/>
          <w:rtl/>
        </w:rPr>
        <w:t>תקבע</w:t>
      </w:r>
      <w:r w:rsidRPr="00E52C8D">
        <w:rPr>
          <w:rFonts w:cs="Arial"/>
          <w:sz w:val="20"/>
          <w:szCs w:val="20"/>
          <w:rtl/>
        </w:rPr>
        <w:t xml:space="preserve"> </w:t>
      </w:r>
      <w:r w:rsidRPr="00E52C8D">
        <w:rPr>
          <w:rFonts w:cs="Arial" w:hint="cs"/>
          <w:sz w:val="20"/>
          <w:szCs w:val="20"/>
          <w:rtl/>
        </w:rPr>
        <w:t>וסת</w:t>
      </w:r>
      <w:r w:rsidRPr="00E52C8D">
        <w:rPr>
          <w:rFonts w:cs="Arial"/>
          <w:sz w:val="20"/>
          <w:szCs w:val="20"/>
          <w:rtl/>
        </w:rPr>
        <w:t xml:space="preserve"> </w:t>
      </w:r>
      <w:r w:rsidRPr="00E52C8D">
        <w:rPr>
          <w:rFonts w:cs="Arial" w:hint="cs"/>
          <w:sz w:val="20"/>
          <w:szCs w:val="20"/>
          <w:rtl/>
        </w:rPr>
        <w:t>לימים</w:t>
      </w:r>
      <w:r>
        <w:rPr>
          <w:rFonts w:cs="Arial" w:hint="cs"/>
          <w:sz w:val="20"/>
          <w:szCs w:val="20"/>
          <w:rtl/>
        </w:rPr>
        <w:t>"</w:t>
      </w:r>
      <w:r w:rsidRPr="00E52C8D">
        <w:rPr>
          <w:rFonts w:cs="Arial"/>
          <w:sz w:val="20"/>
          <w:szCs w:val="20"/>
          <w:rtl/>
        </w:rPr>
        <w:t>.</w:t>
      </w:r>
    </w:p>
    <w:p w:rsidR="00620060" w:rsidRDefault="00620060" w:rsidP="00620060">
      <w:pPr>
        <w:rPr>
          <w:sz w:val="20"/>
          <w:szCs w:val="20"/>
          <w:rtl/>
        </w:rPr>
      </w:pPr>
      <w:r>
        <w:rPr>
          <w:rFonts w:hint="cs"/>
          <w:sz w:val="20"/>
          <w:szCs w:val="20"/>
          <w:u w:val="single"/>
          <w:rtl/>
        </w:rPr>
        <w:t>סיכום החששות (בית יוסף)</w:t>
      </w:r>
      <w:r>
        <w:rPr>
          <w:rFonts w:hint="cs"/>
          <w:sz w:val="20"/>
          <w:szCs w:val="20"/>
          <w:u w:val="single"/>
          <w:rtl/>
        </w:rPr>
        <w:br/>
      </w:r>
      <w:r>
        <w:rPr>
          <w:rFonts w:hint="cs"/>
          <w:sz w:val="20"/>
          <w:szCs w:val="20"/>
          <w:rtl/>
        </w:rPr>
        <w:t xml:space="preserve">אשה שפיהקה וראתה צריכה לחשוש כך - </w:t>
      </w:r>
      <w:r>
        <w:rPr>
          <w:sz w:val="20"/>
          <w:szCs w:val="20"/>
          <w:rtl/>
        </w:rPr>
        <w:br/>
      </w:r>
      <w:r>
        <w:rPr>
          <w:rFonts w:hint="cs"/>
          <w:sz w:val="20"/>
          <w:szCs w:val="20"/>
          <w:rtl/>
        </w:rPr>
        <w:t>א. לפיהוק.</w:t>
      </w:r>
      <w:r>
        <w:rPr>
          <w:sz w:val="20"/>
          <w:szCs w:val="20"/>
          <w:rtl/>
        </w:rPr>
        <w:br/>
      </w:r>
      <w:r>
        <w:rPr>
          <w:rFonts w:hint="cs"/>
          <w:sz w:val="20"/>
          <w:szCs w:val="20"/>
          <w:rtl/>
        </w:rPr>
        <w:t>ב. ליום החודש.</w:t>
      </w:r>
      <w:r>
        <w:rPr>
          <w:sz w:val="20"/>
          <w:szCs w:val="20"/>
          <w:rtl/>
        </w:rPr>
        <w:br/>
      </w:r>
      <w:r>
        <w:rPr>
          <w:rFonts w:hint="cs"/>
          <w:sz w:val="20"/>
          <w:szCs w:val="20"/>
          <w:rtl/>
        </w:rPr>
        <w:t>ג. להפלגה.</w:t>
      </w:r>
    </w:p>
    <w:p w:rsidR="00620060" w:rsidRDefault="00620060" w:rsidP="00620060">
      <w:pPr>
        <w:rPr>
          <w:sz w:val="20"/>
          <w:szCs w:val="20"/>
          <w:rtl/>
        </w:rPr>
      </w:pPr>
      <w:r>
        <w:rPr>
          <w:sz w:val="20"/>
          <w:szCs w:val="20"/>
          <w:rtl/>
        </w:rPr>
        <w:lastRenderedPageBreak/>
        <w:br/>
      </w:r>
      <w:r>
        <w:rPr>
          <w:rFonts w:hint="cs"/>
          <w:b/>
          <w:bCs/>
          <w:sz w:val="20"/>
          <w:szCs w:val="20"/>
          <w:rtl/>
        </w:rPr>
        <w:t xml:space="preserve">סעיף כג </w:t>
      </w:r>
      <w:r>
        <w:rPr>
          <w:b/>
          <w:bCs/>
          <w:sz w:val="20"/>
          <w:szCs w:val="20"/>
          <w:rtl/>
        </w:rPr>
        <w:t>–</w:t>
      </w:r>
      <w:r>
        <w:rPr>
          <w:rFonts w:hint="cs"/>
          <w:b/>
          <w:bCs/>
          <w:sz w:val="20"/>
          <w:szCs w:val="20"/>
          <w:rtl/>
        </w:rPr>
        <w:t xml:space="preserve"> צירוף כמה מקרים לקביעת הווסת</w:t>
      </w:r>
      <w:r>
        <w:rPr>
          <w:b/>
          <w:bCs/>
          <w:sz w:val="20"/>
          <w:szCs w:val="20"/>
          <w:rtl/>
        </w:rPr>
        <w:br/>
      </w:r>
      <w:r>
        <w:rPr>
          <w:rFonts w:hint="cs"/>
          <w:b/>
          <w:bCs/>
          <w:sz w:val="20"/>
          <w:szCs w:val="20"/>
          <w:rtl/>
        </w:rPr>
        <w:t>צירוף פיהוק ועיטוש</w:t>
      </w:r>
      <w:r>
        <w:rPr>
          <w:b/>
          <w:b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שולחן ערוך </w:t>
      </w:r>
      <w:r>
        <w:rPr>
          <w:rFonts w:hint="cs"/>
          <w:sz w:val="20"/>
          <w:szCs w:val="20"/>
          <w:rtl/>
        </w:rPr>
        <w:t xml:space="preserve"> </w:t>
      </w:r>
      <w:r w:rsidRPr="00794CAE">
        <w:rPr>
          <w:rFonts w:hint="cs"/>
          <w:sz w:val="18"/>
          <w:szCs w:val="18"/>
          <w:rtl/>
        </w:rPr>
        <w:t xml:space="preserve">(ע"פ </w:t>
      </w:r>
      <w:r>
        <w:rPr>
          <w:rFonts w:hint="cs"/>
          <w:sz w:val="18"/>
          <w:szCs w:val="18"/>
          <w:rtl/>
        </w:rPr>
        <w:t>ה</w:t>
      </w:r>
      <w:r w:rsidRPr="00794CAE">
        <w:rPr>
          <w:rFonts w:hint="cs"/>
          <w:sz w:val="18"/>
          <w:szCs w:val="18"/>
          <w:rtl/>
        </w:rPr>
        <w:t>רשב"א</w:t>
      </w:r>
      <w:r>
        <w:rPr>
          <w:rFonts w:hint="cs"/>
          <w:sz w:val="18"/>
          <w:szCs w:val="18"/>
          <w:rtl/>
        </w:rPr>
        <w:t xml:space="preserve"> והטור</w:t>
      </w:r>
      <w:r w:rsidRPr="00794CAE">
        <w:rPr>
          <w:rFonts w:hint="cs"/>
          <w:sz w:val="18"/>
          <w:szCs w:val="18"/>
          <w:rtl/>
        </w:rPr>
        <w:t>)</w:t>
      </w:r>
      <w:r>
        <w:rPr>
          <w:rFonts w:hint="cs"/>
          <w:b/>
          <w:bCs/>
          <w:sz w:val="20"/>
          <w:szCs w:val="20"/>
          <w:rtl/>
        </w:rPr>
        <w:t xml:space="preserve"> </w:t>
      </w:r>
      <w:r>
        <w:rPr>
          <w:sz w:val="20"/>
          <w:szCs w:val="20"/>
          <w:rtl/>
        </w:rPr>
        <w:t>–</w:t>
      </w:r>
      <w:r>
        <w:rPr>
          <w:rFonts w:hint="cs"/>
          <w:sz w:val="20"/>
          <w:szCs w:val="20"/>
          <w:rtl/>
        </w:rPr>
        <w:t xml:space="preserve"> "</w:t>
      </w:r>
      <w:r w:rsidRPr="00295808">
        <w:rPr>
          <w:rFonts w:cs="Arial" w:hint="cs"/>
          <w:sz w:val="20"/>
          <w:szCs w:val="20"/>
          <w:rtl/>
        </w:rPr>
        <w:t>כל</w:t>
      </w:r>
      <w:r w:rsidRPr="00295808">
        <w:rPr>
          <w:rFonts w:cs="Arial"/>
          <w:sz w:val="20"/>
          <w:szCs w:val="20"/>
          <w:rtl/>
        </w:rPr>
        <w:t xml:space="preserve"> </w:t>
      </w:r>
      <w:r w:rsidRPr="00295808">
        <w:rPr>
          <w:rFonts w:cs="Arial" w:hint="cs"/>
          <w:sz w:val="20"/>
          <w:szCs w:val="20"/>
          <w:rtl/>
        </w:rPr>
        <w:t>אלו</w:t>
      </w:r>
      <w:r w:rsidRPr="00295808">
        <w:rPr>
          <w:rFonts w:cs="Arial"/>
          <w:sz w:val="20"/>
          <w:szCs w:val="20"/>
          <w:rtl/>
        </w:rPr>
        <w:t xml:space="preserve"> </w:t>
      </w:r>
      <w:r w:rsidRPr="00295808">
        <w:rPr>
          <w:rFonts w:cs="Arial" w:hint="cs"/>
          <w:sz w:val="20"/>
          <w:szCs w:val="20"/>
          <w:rtl/>
        </w:rPr>
        <w:t>ה</w:t>
      </w:r>
      <w:r>
        <w:rPr>
          <w:rFonts w:cs="Arial" w:hint="cs"/>
          <w:sz w:val="20"/>
          <w:szCs w:val="20"/>
          <w:rtl/>
        </w:rPr>
        <w:t>ו</w:t>
      </w:r>
      <w:r w:rsidRPr="00295808">
        <w:rPr>
          <w:rFonts w:cs="Arial" w:hint="cs"/>
          <w:sz w:val="20"/>
          <w:szCs w:val="20"/>
          <w:rtl/>
        </w:rPr>
        <w:t>וסתות</w:t>
      </w:r>
      <w:r w:rsidRPr="00295808">
        <w:rPr>
          <w:rFonts w:cs="Arial"/>
          <w:sz w:val="20"/>
          <w:szCs w:val="20"/>
          <w:rtl/>
        </w:rPr>
        <w:t xml:space="preserve"> </w:t>
      </w:r>
      <w:r w:rsidRPr="00295808">
        <w:rPr>
          <w:rFonts w:cs="Arial" w:hint="cs"/>
          <w:sz w:val="20"/>
          <w:szCs w:val="20"/>
          <w:rtl/>
        </w:rPr>
        <w:t>שנקבעים</w:t>
      </w:r>
      <w:r w:rsidRPr="00295808">
        <w:rPr>
          <w:rFonts w:cs="Arial"/>
          <w:sz w:val="20"/>
          <w:szCs w:val="20"/>
          <w:rtl/>
        </w:rPr>
        <w:t xml:space="preserve"> </w:t>
      </w:r>
      <w:r w:rsidRPr="00295808">
        <w:rPr>
          <w:rFonts w:cs="Arial" w:hint="cs"/>
          <w:sz w:val="20"/>
          <w:szCs w:val="20"/>
          <w:rtl/>
        </w:rPr>
        <w:t>על</w:t>
      </w:r>
      <w:r w:rsidRPr="00295808">
        <w:rPr>
          <w:rFonts w:cs="Arial"/>
          <w:sz w:val="20"/>
          <w:szCs w:val="20"/>
          <w:rtl/>
        </w:rPr>
        <w:t xml:space="preserve"> </w:t>
      </w:r>
      <w:r w:rsidRPr="00295808">
        <w:rPr>
          <w:rFonts w:cs="Arial" w:hint="cs"/>
          <w:sz w:val="20"/>
          <w:szCs w:val="20"/>
          <w:rtl/>
        </w:rPr>
        <w:t>ידי</w:t>
      </w:r>
      <w:r w:rsidRPr="00295808">
        <w:rPr>
          <w:rFonts w:cs="Arial"/>
          <w:sz w:val="20"/>
          <w:szCs w:val="20"/>
          <w:rtl/>
        </w:rPr>
        <w:t xml:space="preserve"> </w:t>
      </w:r>
      <w:r w:rsidRPr="00295808">
        <w:rPr>
          <w:rFonts w:cs="Arial" w:hint="cs"/>
          <w:sz w:val="20"/>
          <w:szCs w:val="20"/>
          <w:rtl/>
        </w:rPr>
        <w:t>מקרה</w:t>
      </w:r>
      <w:r w:rsidRPr="00295808">
        <w:rPr>
          <w:rFonts w:cs="Arial"/>
          <w:sz w:val="20"/>
          <w:szCs w:val="20"/>
          <w:rtl/>
        </w:rPr>
        <w:t xml:space="preserve"> </w:t>
      </w:r>
      <w:r w:rsidRPr="00295808">
        <w:rPr>
          <w:rFonts w:cs="Arial" w:hint="cs"/>
          <w:sz w:val="20"/>
          <w:szCs w:val="20"/>
          <w:rtl/>
        </w:rPr>
        <w:t>אין</w:t>
      </w:r>
      <w:r w:rsidRPr="00295808">
        <w:rPr>
          <w:rFonts w:cs="Arial"/>
          <w:sz w:val="20"/>
          <w:szCs w:val="20"/>
          <w:rtl/>
        </w:rPr>
        <w:t xml:space="preserve"> </w:t>
      </w:r>
      <w:r w:rsidRPr="00295808">
        <w:rPr>
          <w:rFonts w:cs="Arial" w:hint="cs"/>
          <w:sz w:val="20"/>
          <w:szCs w:val="20"/>
          <w:rtl/>
        </w:rPr>
        <w:t>אחד</w:t>
      </w:r>
      <w:r w:rsidRPr="00295808">
        <w:rPr>
          <w:rFonts w:cs="Arial"/>
          <w:sz w:val="20"/>
          <w:szCs w:val="20"/>
          <w:rtl/>
        </w:rPr>
        <w:t xml:space="preserve"> </w:t>
      </w:r>
      <w:r w:rsidRPr="00295808">
        <w:rPr>
          <w:rFonts w:cs="Arial" w:hint="cs"/>
          <w:sz w:val="20"/>
          <w:szCs w:val="20"/>
          <w:rtl/>
        </w:rPr>
        <w:t>קובע</w:t>
      </w:r>
      <w:r w:rsidRPr="00295808">
        <w:rPr>
          <w:rFonts w:cs="Arial"/>
          <w:sz w:val="20"/>
          <w:szCs w:val="20"/>
          <w:rtl/>
        </w:rPr>
        <w:t xml:space="preserve"> </w:t>
      </w:r>
      <w:r w:rsidRPr="00295808">
        <w:rPr>
          <w:rFonts w:cs="Arial" w:hint="cs"/>
          <w:sz w:val="20"/>
          <w:szCs w:val="20"/>
          <w:rtl/>
        </w:rPr>
        <w:t>עם</w:t>
      </w:r>
      <w:r w:rsidRPr="00295808">
        <w:rPr>
          <w:rFonts w:cs="Arial"/>
          <w:sz w:val="20"/>
          <w:szCs w:val="20"/>
          <w:rtl/>
        </w:rPr>
        <w:t xml:space="preserve"> </w:t>
      </w:r>
      <w:r w:rsidRPr="00295808">
        <w:rPr>
          <w:rFonts w:cs="Arial" w:hint="cs"/>
          <w:sz w:val="20"/>
          <w:szCs w:val="20"/>
          <w:rtl/>
        </w:rPr>
        <w:t>חבירו</w:t>
      </w:r>
      <w:r w:rsidRPr="00295808">
        <w:rPr>
          <w:rFonts w:cs="Arial"/>
          <w:sz w:val="20"/>
          <w:szCs w:val="20"/>
          <w:rtl/>
        </w:rPr>
        <w:t xml:space="preserve">, </w:t>
      </w:r>
      <w:r w:rsidRPr="00295808">
        <w:rPr>
          <w:rFonts w:cs="Arial" w:hint="cs"/>
          <w:sz w:val="20"/>
          <w:szCs w:val="20"/>
          <w:rtl/>
        </w:rPr>
        <w:t>אלא</w:t>
      </w:r>
      <w:r w:rsidRPr="00295808">
        <w:rPr>
          <w:rFonts w:cs="Arial"/>
          <w:sz w:val="20"/>
          <w:szCs w:val="20"/>
          <w:rtl/>
        </w:rPr>
        <w:t xml:space="preserve"> </w:t>
      </w:r>
      <w:r w:rsidRPr="00295808">
        <w:rPr>
          <w:rFonts w:cs="Arial" w:hint="cs"/>
          <w:sz w:val="20"/>
          <w:szCs w:val="20"/>
          <w:rtl/>
        </w:rPr>
        <w:t>כל</w:t>
      </w:r>
      <w:r w:rsidRPr="00295808">
        <w:rPr>
          <w:rFonts w:cs="Arial"/>
          <w:sz w:val="20"/>
          <w:szCs w:val="20"/>
          <w:rtl/>
        </w:rPr>
        <w:t xml:space="preserve"> </w:t>
      </w:r>
      <w:r w:rsidRPr="00295808">
        <w:rPr>
          <w:rFonts w:cs="Arial" w:hint="cs"/>
          <w:sz w:val="20"/>
          <w:szCs w:val="20"/>
          <w:rtl/>
        </w:rPr>
        <w:t>שפיהקה</w:t>
      </w:r>
      <w:r w:rsidRPr="00295808">
        <w:rPr>
          <w:rFonts w:cs="Arial"/>
          <w:sz w:val="20"/>
          <w:szCs w:val="20"/>
          <w:rtl/>
        </w:rPr>
        <w:t xml:space="preserve"> </w:t>
      </w:r>
      <w:r w:rsidRPr="00295808">
        <w:rPr>
          <w:rFonts w:cs="Arial" w:hint="cs"/>
          <w:sz w:val="20"/>
          <w:szCs w:val="20"/>
          <w:rtl/>
        </w:rPr>
        <w:t>שלש</w:t>
      </w:r>
      <w:r w:rsidRPr="00295808">
        <w:rPr>
          <w:rFonts w:cs="Arial"/>
          <w:sz w:val="20"/>
          <w:szCs w:val="20"/>
          <w:rtl/>
        </w:rPr>
        <w:t xml:space="preserve"> </w:t>
      </w:r>
      <w:r w:rsidRPr="00295808">
        <w:rPr>
          <w:rFonts w:cs="Arial" w:hint="cs"/>
          <w:sz w:val="20"/>
          <w:szCs w:val="20"/>
          <w:rtl/>
        </w:rPr>
        <w:t>פעמים</w:t>
      </w:r>
      <w:r w:rsidRPr="00295808">
        <w:rPr>
          <w:rFonts w:cs="Arial"/>
          <w:sz w:val="20"/>
          <w:szCs w:val="20"/>
          <w:rtl/>
        </w:rPr>
        <w:t xml:space="preserve"> </w:t>
      </w:r>
      <w:r w:rsidRPr="00295808">
        <w:rPr>
          <w:rFonts w:cs="Arial" w:hint="cs"/>
          <w:sz w:val="20"/>
          <w:szCs w:val="20"/>
          <w:rtl/>
        </w:rPr>
        <w:t>וראתה</w:t>
      </w:r>
      <w:r w:rsidRPr="00295808">
        <w:rPr>
          <w:rFonts w:cs="Arial"/>
          <w:sz w:val="20"/>
          <w:szCs w:val="20"/>
          <w:rtl/>
        </w:rPr>
        <w:t xml:space="preserve">, </w:t>
      </w:r>
      <w:r w:rsidRPr="00295808">
        <w:rPr>
          <w:rFonts w:cs="Arial" w:hint="cs"/>
          <w:sz w:val="20"/>
          <w:szCs w:val="20"/>
          <w:rtl/>
        </w:rPr>
        <w:t>קבעה</w:t>
      </w:r>
      <w:r w:rsidRPr="00295808">
        <w:rPr>
          <w:rFonts w:cs="Arial"/>
          <w:sz w:val="20"/>
          <w:szCs w:val="20"/>
          <w:rtl/>
        </w:rPr>
        <w:t xml:space="preserve"> </w:t>
      </w:r>
      <w:r w:rsidRPr="00295808">
        <w:rPr>
          <w:rFonts w:cs="Arial" w:hint="cs"/>
          <w:sz w:val="20"/>
          <w:szCs w:val="20"/>
          <w:rtl/>
        </w:rPr>
        <w:t>וסת</w:t>
      </w:r>
      <w:r w:rsidRPr="00295808">
        <w:rPr>
          <w:rFonts w:cs="Arial"/>
          <w:sz w:val="20"/>
          <w:szCs w:val="20"/>
          <w:rtl/>
        </w:rPr>
        <w:t xml:space="preserve">. </w:t>
      </w:r>
      <w:r w:rsidRPr="00295808">
        <w:rPr>
          <w:rFonts w:cs="Arial" w:hint="cs"/>
          <w:sz w:val="20"/>
          <w:szCs w:val="20"/>
          <w:rtl/>
        </w:rPr>
        <w:t>אבל</w:t>
      </w:r>
      <w:r w:rsidRPr="00295808">
        <w:rPr>
          <w:rFonts w:cs="Arial"/>
          <w:sz w:val="20"/>
          <w:szCs w:val="20"/>
          <w:rtl/>
        </w:rPr>
        <w:t xml:space="preserve"> </w:t>
      </w:r>
      <w:r w:rsidRPr="00295808">
        <w:rPr>
          <w:rFonts w:cs="Arial" w:hint="cs"/>
          <w:sz w:val="20"/>
          <w:szCs w:val="20"/>
          <w:rtl/>
        </w:rPr>
        <w:t>אם</w:t>
      </w:r>
      <w:r w:rsidRPr="00295808">
        <w:rPr>
          <w:rFonts w:cs="Arial"/>
          <w:sz w:val="20"/>
          <w:szCs w:val="20"/>
          <w:rtl/>
        </w:rPr>
        <w:t xml:space="preserve"> </w:t>
      </w:r>
      <w:r w:rsidRPr="00295808">
        <w:rPr>
          <w:rFonts w:cs="Arial" w:hint="cs"/>
          <w:sz w:val="20"/>
          <w:szCs w:val="20"/>
          <w:rtl/>
        </w:rPr>
        <w:t>פיהקה</w:t>
      </w:r>
      <w:r w:rsidRPr="00295808">
        <w:rPr>
          <w:rFonts w:cs="Arial"/>
          <w:sz w:val="20"/>
          <w:szCs w:val="20"/>
          <w:rtl/>
        </w:rPr>
        <w:t xml:space="preserve"> </w:t>
      </w:r>
      <w:r w:rsidRPr="00295808">
        <w:rPr>
          <w:rFonts w:cs="Arial" w:hint="cs"/>
          <w:sz w:val="20"/>
          <w:szCs w:val="20"/>
          <w:rtl/>
        </w:rPr>
        <w:t>פעם</w:t>
      </w:r>
      <w:r w:rsidRPr="00295808">
        <w:rPr>
          <w:rFonts w:cs="Arial"/>
          <w:sz w:val="20"/>
          <w:szCs w:val="20"/>
          <w:rtl/>
        </w:rPr>
        <w:t xml:space="preserve"> </w:t>
      </w:r>
      <w:r w:rsidRPr="00295808">
        <w:rPr>
          <w:rFonts w:cs="Arial" w:hint="cs"/>
          <w:sz w:val="20"/>
          <w:szCs w:val="20"/>
          <w:rtl/>
        </w:rPr>
        <w:t>אחד</w:t>
      </w:r>
      <w:r w:rsidRPr="00295808">
        <w:rPr>
          <w:rFonts w:cs="Arial"/>
          <w:sz w:val="20"/>
          <w:szCs w:val="20"/>
          <w:rtl/>
        </w:rPr>
        <w:t xml:space="preserve"> </w:t>
      </w:r>
      <w:r w:rsidRPr="00295808">
        <w:rPr>
          <w:rFonts w:cs="Arial" w:hint="cs"/>
          <w:sz w:val="20"/>
          <w:szCs w:val="20"/>
          <w:rtl/>
        </w:rPr>
        <w:t>ונתעטשה</w:t>
      </w:r>
      <w:r w:rsidRPr="00295808">
        <w:rPr>
          <w:rFonts w:cs="Arial"/>
          <w:sz w:val="20"/>
          <w:szCs w:val="20"/>
          <w:rtl/>
        </w:rPr>
        <w:t xml:space="preserve"> </w:t>
      </w:r>
      <w:r w:rsidRPr="00295808">
        <w:rPr>
          <w:rFonts w:cs="Arial" w:hint="cs"/>
          <w:sz w:val="20"/>
          <w:szCs w:val="20"/>
          <w:rtl/>
        </w:rPr>
        <w:t>שתי</w:t>
      </w:r>
      <w:r w:rsidRPr="00295808">
        <w:rPr>
          <w:rFonts w:cs="Arial"/>
          <w:sz w:val="20"/>
          <w:szCs w:val="20"/>
          <w:rtl/>
        </w:rPr>
        <w:t xml:space="preserve"> </w:t>
      </w:r>
      <w:r w:rsidRPr="00295808">
        <w:rPr>
          <w:rFonts w:cs="Arial" w:hint="cs"/>
          <w:sz w:val="20"/>
          <w:szCs w:val="20"/>
          <w:rtl/>
        </w:rPr>
        <w:t>פעמים</w:t>
      </w:r>
      <w:r w:rsidRPr="00295808">
        <w:rPr>
          <w:rFonts w:cs="Arial"/>
          <w:sz w:val="20"/>
          <w:szCs w:val="20"/>
          <w:rtl/>
        </w:rPr>
        <w:t xml:space="preserve">, </w:t>
      </w:r>
      <w:r w:rsidRPr="00295808">
        <w:rPr>
          <w:rFonts w:cs="Arial" w:hint="cs"/>
          <w:sz w:val="20"/>
          <w:szCs w:val="20"/>
          <w:rtl/>
        </w:rPr>
        <w:t>אין</w:t>
      </w:r>
      <w:r w:rsidRPr="00295808">
        <w:rPr>
          <w:rFonts w:cs="Arial"/>
          <w:sz w:val="20"/>
          <w:szCs w:val="20"/>
          <w:rtl/>
        </w:rPr>
        <w:t xml:space="preserve"> </w:t>
      </w:r>
      <w:r w:rsidRPr="00295808">
        <w:rPr>
          <w:rFonts w:cs="Arial" w:hint="cs"/>
          <w:sz w:val="20"/>
          <w:szCs w:val="20"/>
          <w:rtl/>
        </w:rPr>
        <w:t>מצטרפים</w:t>
      </w:r>
      <w:r>
        <w:rPr>
          <w:rFonts w:cs="Arial" w:hint="cs"/>
          <w:sz w:val="20"/>
          <w:szCs w:val="20"/>
          <w:rtl/>
        </w:rPr>
        <w:t>"</w:t>
      </w:r>
      <w:r w:rsidRPr="00295808">
        <w:rPr>
          <w:rFonts w:cs="Arial"/>
          <w:sz w:val="20"/>
          <w:szCs w:val="20"/>
          <w:rtl/>
        </w:rPr>
        <w:t>.</w:t>
      </w:r>
    </w:p>
    <w:p w:rsidR="00620060" w:rsidRDefault="00620060" w:rsidP="00620060">
      <w:pPr>
        <w:rPr>
          <w:rFonts w:cs="Arial"/>
          <w:sz w:val="20"/>
          <w:szCs w:val="20"/>
          <w:rtl/>
        </w:rPr>
      </w:pPr>
      <w:r>
        <w:rPr>
          <w:rFonts w:hint="cs"/>
          <w:b/>
          <w:bCs/>
          <w:sz w:val="20"/>
          <w:szCs w:val="20"/>
          <w:rtl/>
        </w:rPr>
        <w:t>צירוף אכילת מאכלים חריפים</w:t>
      </w:r>
      <w:r>
        <w:rPr>
          <w:b/>
          <w:bCs/>
          <w:sz w:val="20"/>
          <w:szCs w:val="20"/>
          <w:rtl/>
        </w:rPr>
        <w:br/>
      </w:r>
      <w:r>
        <w:rPr>
          <w:rFonts w:hint="cs"/>
          <w:b/>
          <w:bCs/>
          <w:sz w:val="20"/>
          <w:szCs w:val="20"/>
          <w:rtl/>
        </w:rPr>
        <w:t xml:space="preserve">גמרא </w:t>
      </w:r>
      <w:r>
        <w:rPr>
          <w:rFonts w:hint="cs"/>
          <w:sz w:val="20"/>
          <w:szCs w:val="20"/>
          <w:rtl/>
        </w:rPr>
        <w:t>נידה (סג:) "</w:t>
      </w:r>
      <w:r w:rsidRPr="004A19AC">
        <w:rPr>
          <w:rFonts w:cs="Arial" w:hint="cs"/>
          <w:sz w:val="20"/>
          <w:szCs w:val="20"/>
          <w:rtl/>
        </w:rPr>
        <w:t>אמר</w:t>
      </w:r>
      <w:r w:rsidRPr="004A19AC">
        <w:rPr>
          <w:rFonts w:cs="Arial"/>
          <w:sz w:val="20"/>
          <w:szCs w:val="20"/>
          <w:rtl/>
        </w:rPr>
        <w:t xml:space="preserve"> </w:t>
      </w:r>
      <w:r w:rsidRPr="004A19AC">
        <w:rPr>
          <w:rFonts w:cs="Arial" w:hint="cs"/>
          <w:sz w:val="20"/>
          <w:szCs w:val="20"/>
          <w:rtl/>
        </w:rPr>
        <w:t>רב</w:t>
      </w:r>
      <w:r w:rsidRPr="004A19AC">
        <w:rPr>
          <w:rFonts w:cs="Arial"/>
          <w:sz w:val="20"/>
          <w:szCs w:val="20"/>
          <w:rtl/>
        </w:rPr>
        <w:t xml:space="preserve"> </w:t>
      </w:r>
      <w:r w:rsidRPr="004A19AC">
        <w:rPr>
          <w:rFonts w:cs="Arial" w:hint="cs"/>
          <w:sz w:val="20"/>
          <w:szCs w:val="20"/>
          <w:rtl/>
        </w:rPr>
        <w:t>הונא</w:t>
      </w:r>
      <w:r w:rsidRPr="004A19AC">
        <w:rPr>
          <w:rFonts w:cs="Arial"/>
          <w:sz w:val="20"/>
          <w:szCs w:val="20"/>
          <w:rtl/>
        </w:rPr>
        <w:t xml:space="preserve"> </w:t>
      </w:r>
      <w:r w:rsidRPr="004A19AC">
        <w:rPr>
          <w:rFonts w:cs="Arial" w:hint="cs"/>
          <w:sz w:val="20"/>
          <w:szCs w:val="20"/>
          <w:rtl/>
        </w:rPr>
        <w:t>בר</w:t>
      </w:r>
      <w:r w:rsidRPr="004A19AC">
        <w:rPr>
          <w:rFonts w:cs="Arial"/>
          <w:sz w:val="20"/>
          <w:szCs w:val="20"/>
          <w:rtl/>
        </w:rPr>
        <w:t xml:space="preserve"> </w:t>
      </w:r>
      <w:r w:rsidRPr="004A19AC">
        <w:rPr>
          <w:rFonts w:cs="Arial" w:hint="cs"/>
          <w:sz w:val="20"/>
          <w:szCs w:val="20"/>
          <w:rtl/>
        </w:rPr>
        <w:t>חייא</w:t>
      </w:r>
      <w:r w:rsidRPr="004A19AC">
        <w:rPr>
          <w:rFonts w:cs="Arial"/>
          <w:sz w:val="20"/>
          <w:szCs w:val="20"/>
          <w:rtl/>
        </w:rPr>
        <w:t xml:space="preserve"> </w:t>
      </w:r>
      <w:r w:rsidRPr="004A19AC">
        <w:rPr>
          <w:rFonts w:cs="Arial" w:hint="cs"/>
          <w:sz w:val="20"/>
          <w:szCs w:val="20"/>
          <w:rtl/>
        </w:rPr>
        <w:t>אמר</w:t>
      </w:r>
      <w:r w:rsidRPr="004A19AC">
        <w:rPr>
          <w:rFonts w:cs="Arial"/>
          <w:sz w:val="20"/>
          <w:szCs w:val="20"/>
          <w:rtl/>
        </w:rPr>
        <w:t xml:space="preserve"> </w:t>
      </w:r>
      <w:r w:rsidRPr="004A19AC">
        <w:rPr>
          <w:rFonts w:cs="Arial" w:hint="cs"/>
          <w:sz w:val="20"/>
          <w:szCs w:val="20"/>
          <w:rtl/>
        </w:rPr>
        <w:t>שמואל</w:t>
      </w:r>
      <w:r w:rsidRPr="004A19AC">
        <w:rPr>
          <w:rFonts w:cs="Arial"/>
          <w:sz w:val="20"/>
          <w:szCs w:val="20"/>
          <w:rtl/>
        </w:rPr>
        <w:t xml:space="preserve">: </w:t>
      </w:r>
      <w:r w:rsidRPr="004A19AC">
        <w:rPr>
          <w:rFonts w:cs="Arial" w:hint="cs"/>
          <w:sz w:val="20"/>
          <w:szCs w:val="20"/>
          <w:rtl/>
        </w:rPr>
        <w:t>הרי</w:t>
      </w:r>
      <w:r w:rsidRPr="004A19AC">
        <w:rPr>
          <w:rFonts w:cs="Arial"/>
          <w:sz w:val="20"/>
          <w:szCs w:val="20"/>
          <w:rtl/>
        </w:rPr>
        <w:t xml:space="preserve"> </w:t>
      </w:r>
      <w:r w:rsidRPr="004A19AC">
        <w:rPr>
          <w:rFonts w:cs="Arial" w:hint="cs"/>
          <w:sz w:val="20"/>
          <w:szCs w:val="20"/>
          <w:rtl/>
        </w:rPr>
        <w:t>אמרו</w:t>
      </w:r>
      <w:r w:rsidRPr="004A19AC">
        <w:rPr>
          <w:rFonts w:cs="Arial"/>
          <w:sz w:val="20"/>
          <w:szCs w:val="20"/>
          <w:rtl/>
        </w:rPr>
        <w:t xml:space="preserve"> </w:t>
      </w:r>
      <w:r w:rsidRPr="004A19AC">
        <w:rPr>
          <w:rFonts w:cs="Arial" w:hint="cs"/>
          <w:sz w:val="20"/>
          <w:szCs w:val="20"/>
          <w:rtl/>
        </w:rPr>
        <w:t>לימים</w:t>
      </w:r>
      <w:r w:rsidRPr="004A19AC">
        <w:rPr>
          <w:rFonts w:cs="Arial"/>
          <w:sz w:val="20"/>
          <w:szCs w:val="20"/>
          <w:rtl/>
        </w:rPr>
        <w:t xml:space="preserve"> - </w:t>
      </w:r>
      <w:r w:rsidRPr="004A19AC">
        <w:rPr>
          <w:rFonts w:cs="Arial" w:hint="cs"/>
          <w:sz w:val="20"/>
          <w:szCs w:val="20"/>
          <w:rtl/>
        </w:rPr>
        <w:t>שנ</w:t>
      </w:r>
      <w:r>
        <w:rPr>
          <w:rFonts w:cs="Arial" w:hint="cs"/>
          <w:sz w:val="20"/>
          <w:szCs w:val="20"/>
          <w:rtl/>
        </w:rPr>
        <w:t>י</w:t>
      </w:r>
      <w:r w:rsidRPr="004A19AC">
        <w:rPr>
          <w:rFonts w:cs="Arial" w:hint="cs"/>
          <w:sz w:val="20"/>
          <w:szCs w:val="20"/>
          <w:rtl/>
        </w:rPr>
        <w:t>ים</w:t>
      </w:r>
      <w:r w:rsidRPr="004A19AC">
        <w:rPr>
          <w:rFonts w:cs="Arial"/>
          <w:sz w:val="20"/>
          <w:szCs w:val="20"/>
          <w:rtl/>
        </w:rPr>
        <w:t xml:space="preserve">, </w:t>
      </w:r>
      <w:r w:rsidRPr="004A19AC">
        <w:rPr>
          <w:rFonts w:cs="Arial" w:hint="cs"/>
          <w:sz w:val="20"/>
          <w:szCs w:val="20"/>
          <w:rtl/>
        </w:rPr>
        <w:t>לו</w:t>
      </w:r>
      <w:r>
        <w:rPr>
          <w:rFonts w:cs="Arial" w:hint="cs"/>
          <w:sz w:val="20"/>
          <w:szCs w:val="20"/>
          <w:rtl/>
        </w:rPr>
        <w:t>ו</w:t>
      </w:r>
      <w:r w:rsidRPr="004A19AC">
        <w:rPr>
          <w:rFonts w:cs="Arial" w:hint="cs"/>
          <w:sz w:val="20"/>
          <w:szCs w:val="20"/>
          <w:rtl/>
        </w:rPr>
        <w:t>סתות</w:t>
      </w:r>
      <w:r w:rsidRPr="004A19AC">
        <w:rPr>
          <w:rFonts w:cs="Arial"/>
          <w:sz w:val="20"/>
          <w:szCs w:val="20"/>
          <w:rtl/>
        </w:rPr>
        <w:t xml:space="preserve"> - </w:t>
      </w:r>
      <w:r w:rsidRPr="004A19AC">
        <w:rPr>
          <w:rFonts w:cs="Arial" w:hint="cs"/>
          <w:sz w:val="20"/>
          <w:szCs w:val="20"/>
          <w:rtl/>
        </w:rPr>
        <w:t>אחת</w:t>
      </w:r>
      <w:r w:rsidRPr="004A19AC">
        <w:rPr>
          <w:rFonts w:cs="Arial"/>
          <w:sz w:val="20"/>
          <w:szCs w:val="20"/>
          <w:rtl/>
        </w:rPr>
        <w:t xml:space="preserve">, </w:t>
      </w:r>
      <w:r w:rsidRPr="004A19AC">
        <w:rPr>
          <w:rFonts w:cs="Arial" w:hint="cs"/>
          <w:sz w:val="20"/>
          <w:szCs w:val="20"/>
          <w:rtl/>
        </w:rPr>
        <w:t>למה</w:t>
      </w:r>
      <w:r w:rsidRPr="004A19AC">
        <w:rPr>
          <w:rFonts w:cs="Arial"/>
          <w:sz w:val="20"/>
          <w:szCs w:val="20"/>
          <w:rtl/>
        </w:rPr>
        <w:t xml:space="preserve"> </w:t>
      </w:r>
      <w:r w:rsidRPr="004A19AC">
        <w:rPr>
          <w:rFonts w:cs="Arial" w:hint="cs"/>
          <w:sz w:val="20"/>
          <w:szCs w:val="20"/>
          <w:rtl/>
        </w:rPr>
        <w:t>שלא</w:t>
      </w:r>
      <w:r w:rsidRPr="004A19AC">
        <w:rPr>
          <w:rFonts w:cs="Arial"/>
          <w:sz w:val="20"/>
          <w:szCs w:val="20"/>
          <w:rtl/>
        </w:rPr>
        <w:t xml:space="preserve"> </w:t>
      </w:r>
      <w:r w:rsidRPr="004A19AC">
        <w:rPr>
          <w:rFonts w:cs="Arial" w:hint="cs"/>
          <w:sz w:val="20"/>
          <w:szCs w:val="20"/>
          <w:rtl/>
        </w:rPr>
        <w:t>מנו</w:t>
      </w:r>
      <w:r w:rsidRPr="004A19AC">
        <w:rPr>
          <w:rFonts w:cs="Arial"/>
          <w:sz w:val="20"/>
          <w:szCs w:val="20"/>
          <w:rtl/>
        </w:rPr>
        <w:t xml:space="preserve"> </w:t>
      </w:r>
      <w:r w:rsidRPr="004A19AC">
        <w:rPr>
          <w:rFonts w:cs="Arial" w:hint="cs"/>
          <w:sz w:val="20"/>
          <w:szCs w:val="20"/>
          <w:rtl/>
        </w:rPr>
        <w:t>חכמים</w:t>
      </w:r>
      <w:r w:rsidRPr="004A19AC">
        <w:rPr>
          <w:rFonts w:cs="Arial"/>
          <w:sz w:val="20"/>
          <w:szCs w:val="20"/>
          <w:rtl/>
        </w:rPr>
        <w:t xml:space="preserve"> - </w:t>
      </w:r>
      <w:r w:rsidRPr="004A19AC">
        <w:rPr>
          <w:rFonts w:cs="Arial" w:hint="cs"/>
          <w:sz w:val="20"/>
          <w:szCs w:val="20"/>
          <w:rtl/>
        </w:rPr>
        <w:t>של</w:t>
      </w:r>
      <w:r>
        <w:rPr>
          <w:rFonts w:cs="Arial" w:hint="cs"/>
          <w:sz w:val="20"/>
          <w:szCs w:val="20"/>
          <w:rtl/>
        </w:rPr>
        <w:t>ו</w:t>
      </w:r>
      <w:r w:rsidRPr="004A19AC">
        <w:rPr>
          <w:rFonts w:cs="Arial" w:hint="cs"/>
          <w:sz w:val="20"/>
          <w:szCs w:val="20"/>
          <w:rtl/>
        </w:rPr>
        <w:t>שה</w:t>
      </w:r>
      <w:r w:rsidRPr="004A19AC">
        <w:rPr>
          <w:rFonts w:cs="Arial"/>
          <w:sz w:val="20"/>
          <w:szCs w:val="20"/>
          <w:rtl/>
        </w:rPr>
        <w:t xml:space="preserve">. </w:t>
      </w:r>
      <w:r w:rsidRPr="004A19AC">
        <w:rPr>
          <w:rFonts w:cs="Arial" w:hint="cs"/>
          <w:sz w:val="20"/>
          <w:szCs w:val="20"/>
          <w:rtl/>
        </w:rPr>
        <w:t>למה</w:t>
      </w:r>
      <w:r w:rsidRPr="004A19AC">
        <w:rPr>
          <w:rFonts w:cs="Arial"/>
          <w:sz w:val="20"/>
          <w:szCs w:val="20"/>
          <w:rtl/>
        </w:rPr>
        <w:t xml:space="preserve"> </w:t>
      </w:r>
      <w:r w:rsidRPr="004A19AC">
        <w:rPr>
          <w:rFonts w:cs="Arial" w:hint="cs"/>
          <w:sz w:val="20"/>
          <w:szCs w:val="20"/>
          <w:rtl/>
        </w:rPr>
        <w:t>שלא</w:t>
      </w:r>
      <w:r w:rsidRPr="004A19AC">
        <w:rPr>
          <w:rFonts w:cs="Arial"/>
          <w:sz w:val="20"/>
          <w:szCs w:val="20"/>
          <w:rtl/>
        </w:rPr>
        <w:t xml:space="preserve"> </w:t>
      </w:r>
      <w:r w:rsidRPr="004A19AC">
        <w:rPr>
          <w:rFonts w:cs="Arial" w:hint="cs"/>
          <w:sz w:val="20"/>
          <w:szCs w:val="20"/>
          <w:rtl/>
        </w:rPr>
        <w:t>מנו</w:t>
      </w:r>
      <w:r w:rsidRPr="004A19AC">
        <w:rPr>
          <w:rFonts w:cs="Arial"/>
          <w:sz w:val="20"/>
          <w:szCs w:val="20"/>
          <w:rtl/>
        </w:rPr>
        <w:t xml:space="preserve"> </w:t>
      </w:r>
      <w:r w:rsidRPr="004A19AC">
        <w:rPr>
          <w:rFonts w:cs="Arial" w:hint="cs"/>
          <w:sz w:val="20"/>
          <w:szCs w:val="20"/>
          <w:rtl/>
        </w:rPr>
        <w:t>חכמים</w:t>
      </w:r>
      <w:r w:rsidRPr="004A19AC">
        <w:rPr>
          <w:rFonts w:cs="Arial"/>
          <w:sz w:val="20"/>
          <w:szCs w:val="20"/>
          <w:rtl/>
        </w:rPr>
        <w:t xml:space="preserve"> - </w:t>
      </w:r>
      <w:r w:rsidRPr="004A19AC">
        <w:rPr>
          <w:rFonts w:cs="Arial" w:hint="cs"/>
          <w:sz w:val="20"/>
          <w:szCs w:val="20"/>
          <w:rtl/>
        </w:rPr>
        <w:t>לאתויי</w:t>
      </w:r>
      <w:r w:rsidRPr="004A19AC">
        <w:rPr>
          <w:rFonts w:cs="Arial"/>
          <w:sz w:val="20"/>
          <w:szCs w:val="20"/>
          <w:rtl/>
        </w:rPr>
        <w:t xml:space="preserve"> </w:t>
      </w:r>
      <w:r w:rsidRPr="004A19AC">
        <w:rPr>
          <w:rFonts w:cs="Arial" w:hint="cs"/>
          <w:sz w:val="20"/>
          <w:szCs w:val="20"/>
          <w:rtl/>
        </w:rPr>
        <w:t>מאי</w:t>
      </w:r>
      <w:r>
        <w:rPr>
          <w:rFonts w:cs="Arial"/>
          <w:sz w:val="20"/>
          <w:szCs w:val="20"/>
          <w:rtl/>
        </w:rPr>
        <w:t>?</w:t>
      </w:r>
      <w:r>
        <w:rPr>
          <w:rFonts w:cs="Arial" w:hint="cs"/>
          <w:sz w:val="20"/>
          <w:szCs w:val="20"/>
          <w:rtl/>
        </w:rPr>
        <w:t xml:space="preserve">... </w:t>
      </w:r>
      <w:r w:rsidRPr="004A19AC">
        <w:rPr>
          <w:rFonts w:cs="Arial" w:hint="cs"/>
          <w:sz w:val="20"/>
          <w:szCs w:val="20"/>
          <w:rtl/>
        </w:rPr>
        <w:t>אמר</w:t>
      </w:r>
      <w:r w:rsidRPr="004A19AC">
        <w:rPr>
          <w:rFonts w:cs="Arial"/>
          <w:sz w:val="20"/>
          <w:szCs w:val="20"/>
          <w:rtl/>
        </w:rPr>
        <w:t xml:space="preserve"> </w:t>
      </w:r>
      <w:r w:rsidRPr="004A19AC">
        <w:rPr>
          <w:rFonts w:cs="Arial" w:hint="cs"/>
          <w:sz w:val="20"/>
          <w:szCs w:val="20"/>
          <w:rtl/>
        </w:rPr>
        <w:t>אביי</w:t>
      </w:r>
      <w:r w:rsidRPr="004A19AC">
        <w:rPr>
          <w:rFonts w:cs="Arial"/>
          <w:sz w:val="20"/>
          <w:szCs w:val="20"/>
          <w:rtl/>
        </w:rPr>
        <w:t xml:space="preserve">: </w:t>
      </w:r>
      <w:r w:rsidRPr="004A19AC">
        <w:rPr>
          <w:rFonts w:cs="Arial" w:hint="cs"/>
          <w:sz w:val="20"/>
          <w:szCs w:val="20"/>
          <w:rtl/>
        </w:rPr>
        <w:t>לאתויי</w:t>
      </w:r>
      <w:r w:rsidRPr="004A19AC">
        <w:rPr>
          <w:rFonts w:cs="Arial"/>
          <w:sz w:val="20"/>
          <w:szCs w:val="20"/>
          <w:rtl/>
        </w:rPr>
        <w:t xml:space="preserve"> - </w:t>
      </w:r>
      <w:r w:rsidRPr="004A19AC">
        <w:rPr>
          <w:rFonts w:cs="Arial" w:hint="cs"/>
          <w:sz w:val="20"/>
          <w:szCs w:val="20"/>
          <w:rtl/>
        </w:rPr>
        <w:t>אכלה</w:t>
      </w:r>
      <w:r w:rsidRPr="004A19AC">
        <w:rPr>
          <w:rFonts w:cs="Arial"/>
          <w:sz w:val="20"/>
          <w:szCs w:val="20"/>
          <w:rtl/>
        </w:rPr>
        <w:t xml:space="preserve"> </w:t>
      </w:r>
      <w:r w:rsidRPr="004A19AC">
        <w:rPr>
          <w:rFonts w:cs="Arial" w:hint="cs"/>
          <w:sz w:val="20"/>
          <w:szCs w:val="20"/>
          <w:rtl/>
        </w:rPr>
        <w:t>שום</w:t>
      </w:r>
      <w:r w:rsidRPr="004A19AC">
        <w:rPr>
          <w:rFonts w:cs="Arial"/>
          <w:sz w:val="20"/>
          <w:szCs w:val="20"/>
          <w:rtl/>
        </w:rPr>
        <w:t xml:space="preserve"> </w:t>
      </w:r>
      <w:r w:rsidRPr="004A19AC">
        <w:rPr>
          <w:rFonts w:cs="Arial" w:hint="cs"/>
          <w:sz w:val="20"/>
          <w:szCs w:val="20"/>
          <w:rtl/>
        </w:rPr>
        <w:t>וראתה</w:t>
      </w:r>
      <w:r w:rsidRPr="004A19AC">
        <w:rPr>
          <w:rFonts w:cs="Arial"/>
          <w:sz w:val="20"/>
          <w:szCs w:val="20"/>
          <w:rtl/>
        </w:rPr>
        <w:t xml:space="preserve">, </w:t>
      </w:r>
      <w:r w:rsidRPr="004A19AC">
        <w:rPr>
          <w:rFonts w:cs="Arial" w:hint="cs"/>
          <w:sz w:val="20"/>
          <w:szCs w:val="20"/>
          <w:rtl/>
        </w:rPr>
        <w:t>ואכלה</w:t>
      </w:r>
      <w:r w:rsidRPr="004A19AC">
        <w:rPr>
          <w:rFonts w:cs="Arial"/>
          <w:sz w:val="20"/>
          <w:szCs w:val="20"/>
          <w:rtl/>
        </w:rPr>
        <w:t xml:space="preserve"> </w:t>
      </w:r>
      <w:r w:rsidRPr="004A19AC">
        <w:rPr>
          <w:rFonts w:cs="Arial" w:hint="cs"/>
          <w:sz w:val="20"/>
          <w:szCs w:val="20"/>
          <w:rtl/>
        </w:rPr>
        <w:t>בצלים</w:t>
      </w:r>
      <w:r w:rsidRPr="004A19AC">
        <w:rPr>
          <w:rFonts w:cs="Arial"/>
          <w:sz w:val="20"/>
          <w:szCs w:val="20"/>
          <w:rtl/>
        </w:rPr>
        <w:t xml:space="preserve"> </w:t>
      </w:r>
      <w:r w:rsidRPr="004A19AC">
        <w:rPr>
          <w:rFonts w:cs="Arial" w:hint="cs"/>
          <w:sz w:val="20"/>
          <w:szCs w:val="20"/>
          <w:rtl/>
        </w:rPr>
        <w:t>וראתה</w:t>
      </w:r>
      <w:r w:rsidRPr="004A19AC">
        <w:rPr>
          <w:rFonts w:cs="Arial"/>
          <w:sz w:val="20"/>
          <w:szCs w:val="20"/>
          <w:rtl/>
        </w:rPr>
        <w:t xml:space="preserve">, </w:t>
      </w:r>
      <w:r w:rsidRPr="004A19AC">
        <w:rPr>
          <w:rFonts w:cs="Arial" w:hint="cs"/>
          <w:sz w:val="20"/>
          <w:szCs w:val="20"/>
          <w:rtl/>
        </w:rPr>
        <w:t>כססה</w:t>
      </w:r>
      <w:r w:rsidRPr="004A19AC">
        <w:rPr>
          <w:rFonts w:cs="Arial"/>
          <w:sz w:val="20"/>
          <w:szCs w:val="20"/>
          <w:rtl/>
        </w:rPr>
        <w:t xml:space="preserve"> </w:t>
      </w:r>
      <w:r w:rsidRPr="004A19AC">
        <w:rPr>
          <w:rFonts w:cs="Arial" w:hint="cs"/>
          <w:sz w:val="20"/>
          <w:szCs w:val="20"/>
          <w:rtl/>
        </w:rPr>
        <w:t>פלפלים</w:t>
      </w:r>
      <w:r w:rsidRPr="004A19AC">
        <w:rPr>
          <w:rFonts w:cs="Arial"/>
          <w:sz w:val="20"/>
          <w:szCs w:val="20"/>
          <w:rtl/>
        </w:rPr>
        <w:t xml:space="preserve"> </w:t>
      </w:r>
      <w:r w:rsidRPr="004A19AC">
        <w:rPr>
          <w:rFonts w:cs="Arial" w:hint="cs"/>
          <w:sz w:val="20"/>
          <w:szCs w:val="20"/>
          <w:rtl/>
        </w:rPr>
        <w:t>וראתה</w:t>
      </w:r>
      <w:r>
        <w:rPr>
          <w:rFonts w:cs="Arial" w:hint="cs"/>
          <w:sz w:val="20"/>
          <w:szCs w:val="20"/>
          <w:rtl/>
        </w:rPr>
        <w:t>"</w:t>
      </w:r>
      <w:r w:rsidRPr="004A19AC">
        <w:rPr>
          <w:rFonts w:cs="Arial"/>
          <w:sz w:val="20"/>
          <w:szCs w:val="20"/>
          <w:rtl/>
        </w:rPr>
        <w:t>.</w:t>
      </w:r>
    </w:p>
    <w:p w:rsidR="00620060" w:rsidRDefault="00620060" w:rsidP="00620060">
      <w:pPr>
        <w:rPr>
          <w:rFonts w:cs="Arial"/>
          <w:sz w:val="20"/>
          <w:szCs w:val="20"/>
          <w:u w:val="single"/>
          <w:rtl/>
        </w:rPr>
      </w:pPr>
      <w:r w:rsidRPr="001B2803">
        <w:rPr>
          <w:rFonts w:cs="Arial" w:hint="cs"/>
          <w:b/>
          <w:bCs/>
          <w:sz w:val="20"/>
          <w:szCs w:val="20"/>
          <w:rtl/>
        </w:rPr>
        <w:t>האם אכילת מאכלים ח</w:t>
      </w:r>
      <w:r>
        <w:rPr>
          <w:rFonts w:cs="Arial" w:hint="cs"/>
          <w:b/>
          <w:bCs/>
          <w:sz w:val="20"/>
          <w:szCs w:val="20"/>
          <w:rtl/>
        </w:rPr>
        <w:t>ריפים</w:t>
      </w:r>
      <w:r w:rsidRPr="001B2803">
        <w:rPr>
          <w:rFonts w:cs="Arial" w:hint="cs"/>
          <w:b/>
          <w:bCs/>
          <w:sz w:val="20"/>
          <w:szCs w:val="20"/>
          <w:rtl/>
        </w:rPr>
        <w:t xml:space="preserve"> קובעת ווסת?</w:t>
      </w:r>
      <w:r>
        <w:rPr>
          <w:rFonts w:cs="Arial"/>
          <w:sz w:val="20"/>
          <w:szCs w:val="20"/>
          <w:u w:val="single"/>
          <w:rtl/>
        </w:rPr>
        <w:br/>
      </w:r>
      <w:r>
        <w:rPr>
          <w:rFonts w:cs="Arial" w:hint="cs"/>
          <w:sz w:val="20"/>
          <w:szCs w:val="20"/>
          <w:rtl/>
        </w:rPr>
        <w:t xml:space="preserve">א. </w:t>
      </w:r>
      <w:r w:rsidRPr="009B400C">
        <w:rPr>
          <w:rFonts w:cs="Arial" w:hint="cs"/>
          <w:b/>
          <w:bCs/>
          <w:sz w:val="20"/>
          <w:szCs w:val="20"/>
          <w:rtl/>
        </w:rPr>
        <w:t>טור</w:t>
      </w:r>
      <w:r>
        <w:rPr>
          <w:rFonts w:cs="Arial" w:hint="cs"/>
          <w:sz w:val="20"/>
          <w:szCs w:val="20"/>
          <w:rtl/>
        </w:rPr>
        <w:t xml:space="preserve"> </w:t>
      </w:r>
      <w:r>
        <w:rPr>
          <w:rFonts w:cs="Arial"/>
          <w:sz w:val="20"/>
          <w:szCs w:val="20"/>
          <w:rtl/>
        </w:rPr>
        <w:t>–</w:t>
      </w:r>
      <w:r>
        <w:rPr>
          <w:rFonts w:cs="Arial" w:hint="cs"/>
          <w:sz w:val="20"/>
          <w:szCs w:val="20"/>
          <w:rtl/>
        </w:rPr>
        <w:t xml:space="preserve"> לא הזכיר כלל דין קביעת ווסת לאכילת מאכל חריף.</w:t>
      </w:r>
      <w:r>
        <w:rPr>
          <w:rFonts w:cs="Arial"/>
          <w:sz w:val="20"/>
          <w:szCs w:val="20"/>
          <w:rtl/>
        </w:rPr>
        <w:br/>
      </w:r>
      <w:r w:rsidRPr="009B400C">
        <w:rPr>
          <w:rFonts w:cs="Arial" w:hint="cs"/>
          <w:b/>
          <w:bCs/>
          <w:sz w:val="20"/>
          <w:szCs w:val="20"/>
          <w:rtl/>
        </w:rPr>
        <w:t>טעם</w:t>
      </w:r>
      <w:r>
        <w:rPr>
          <w:rFonts w:cs="Arial" w:hint="cs"/>
          <w:sz w:val="20"/>
          <w:szCs w:val="20"/>
          <w:rtl/>
        </w:rPr>
        <w:t xml:space="preserve"> </w:t>
      </w:r>
      <w:r w:rsidRPr="004A19AC">
        <w:rPr>
          <w:rFonts w:cs="Arial" w:hint="cs"/>
          <w:sz w:val="18"/>
          <w:szCs w:val="18"/>
          <w:rtl/>
        </w:rPr>
        <w:t xml:space="preserve">(ע"פ </w:t>
      </w:r>
      <w:r w:rsidRPr="00177B38">
        <w:rPr>
          <w:rFonts w:cs="Arial" w:hint="cs"/>
          <w:b/>
          <w:bCs/>
          <w:sz w:val="18"/>
          <w:szCs w:val="18"/>
          <w:rtl/>
        </w:rPr>
        <w:t>הב"י</w:t>
      </w:r>
      <w:r w:rsidRPr="004A19AC">
        <w:rPr>
          <w:rFonts w:cs="Arial" w:hint="cs"/>
          <w:sz w:val="18"/>
          <w:szCs w:val="18"/>
          <w:rtl/>
        </w:rPr>
        <w:t xml:space="preserve">) </w:t>
      </w:r>
      <w:r>
        <w:rPr>
          <w:rFonts w:cs="Arial"/>
          <w:sz w:val="20"/>
          <w:szCs w:val="20"/>
          <w:rtl/>
        </w:rPr>
        <w:t>–</w:t>
      </w:r>
      <w:r>
        <w:rPr>
          <w:rFonts w:cs="Arial" w:hint="cs"/>
          <w:sz w:val="20"/>
          <w:szCs w:val="20"/>
          <w:rtl/>
        </w:rPr>
        <w:t xml:space="preserve"> מכיוון שדברי רב הונא נדחו לגבי קביעת ווסת לימים </w:t>
      </w:r>
      <w:r w:rsidRPr="004A19AC">
        <w:rPr>
          <w:rFonts w:cs="Arial" w:hint="cs"/>
          <w:sz w:val="18"/>
          <w:szCs w:val="18"/>
          <w:rtl/>
        </w:rPr>
        <w:t xml:space="preserve">(שניים) </w:t>
      </w:r>
      <w:r>
        <w:rPr>
          <w:rFonts w:cs="Arial" w:hint="cs"/>
          <w:sz w:val="20"/>
          <w:szCs w:val="20"/>
          <w:rtl/>
        </w:rPr>
        <w:t>ולשינוי הגוף</w:t>
      </w:r>
      <w:r w:rsidRPr="004A19AC">
        <w:rPr>
          <w:rFonts w:hint="cs"/>
          <w:sz w:val="18"/>
          <w:szCs w:val="18"/>
          <w:rtl/>
        </w:rPr>
        <w:t xml:space="preserve"> (אחד)</w:t>
      </w:r>
      <w:r>
        <w:rPr>
          <w:rFonts w:hint="cs"/>
          <w:sz w:val="20"/>
          <w:szCs w:val="20"/>
          <w:rtl/>
        </w:rPr>
        <w:t>, נדחו כל דבריו</w:t>
      </w:r>
      <w:r>
        <w:rPr>
          <w:rFonts w:cs="Arial" w:hint="cs"/>
          <w:sz w:val="20"/>
          <w:szCs w:val="20"/>
          <w:rtl/>
        </w:rPr>
        <w:t>. כלומר, קביעת ווסת ע"י אכילת דברים חמים הנלמדת מתוך דבריו, נדחתה אף היא.</w:t>
      </w:r>
      <w:r>
        <w:rPr>
          <w:rFonts w:cs="Arial"/>
          <w:sz w:val="20"/>
          <w:szCs w:val="20"/>
          <w:u w:val="single"/>
          <w:rtl/>
        </w:rPr>
        <w:br/>
      </w:r>
      <w:r>
        <w:rPr>
          <w:rFonts w:hint="cs"/>
          <w:sz w:val="20"/>
          <w:szCs w:val="20"/>
          <w:rtl/>
        </w:rPr>
        <w:t xml:space="preserve">ב. </w:t>
      </w:r>
      <w:r w:rsidRPr="009B400C">
        <w:rPr>
          <w:rFonts w:hint="cs"/>
          <w:b/>
          <w:bCs/>
          <w:sz w:val="20"/>
          <w:szCs w:val="20"/>
          <w:rtl/>
        </w:rPr>
        <w:t>רא"ש</w:t>
      </w:r>
      <w:r>
        <w:rPr>
          <w:rFonts w:hint="cs"/>
          <w:sz w:val="20"/>
          <w:szCs w:val="20"/>
          <w:rtl/>
        </w:rPr>
        <w:t xml:space="preserve"> </w:t>
      </w:r>
      <w:r>
        <w:rPr>
          <w:sz w:val="20"/>
          <w:szCs w:val="20"/>
          <w:rtl/>
        </w:rPr>
        <w:t>–</w:t>
      </w:r>
      <w:r>
        <w:rPr>
          <w:rFonts w:hint="cs"/>
          <w:sz w:val="20"/>
          <w:szCs w:val="20"/>
          <w:rtl/>
        </w:rPr>
        <w:t xml:space="preserve"> אכילת מאכל חריף קובעת ווסת לבד. ואפילו ראתה פעם אחת מחמת אכילת פלפל, פעם שנייה מחמת אכילת שום ופעם שלישית מחמת אכילת בצל </w:t>
      </w:r>
      <w:r>
        <w:rPr>
          <w:sz w:val="20"/>
          <w:szCs w:val="20"/>
          <w:rtl/>
        </w:rPr>
        <w:t>–</w:t>
      </w:r>
      <w:r>
        <w:rPr>
          <w:rFonts w:hint="cs"/>
          <w:sz w:val="20"/>
          <w:szCs w:val="20"/>
          <w:rtl/>
        </w:rPr>
        <w:t xml:space="preserve"> קבעה ווסת לכל מאכל חריף שתאכל, וכ"פ </w:t>
      </w:r>
      <w:r w:rsidRPr="001B2803">
        <w:rPr>
          <w:rFonts w:hint="cs"/>
          <w:b/>
          <w:bCs/>
          <w:sz w:val="20"/>
          <w:szCs w:val="20"/>
          <w:rtl/>
        </w:rPr>
        <w:t>הרמ"א</w:t>
      </w:r>
      <w:r>
        <w:rPr>
          <w:rFonts w:hint="cs"/>
          <w:sz w:val="20"/>
          <w:szCs w:val="20"/>
          <w:rtl/>
        </w:rPr>
        <w:t>.</w:t>
      </w:r>
    </w:p>
    <w:p w:rsidR="00620060" w:rsidRDefault="00620060" w:rsidP="00620060">
      <w:pPr>
        <w:rPr>
          <w:sz w:val="20"/>
          <w:szCs w:val="20"/>
          <w:rtl/>
        </w:rPr>
      </w:pPr>
      <w:r w:rsidRPr="001B2803">
        <w:rPr>
          <w:rFonts w:cs="Arial" w:hint="cs"/>
          <w:b/>
          <w:bCs/>
          <w:sz w:val="20"/>
          <w:szCs w:val="20"/>
          <w:rtl/>
        </w:rPr>
        <w:t>האם אכילת דברים ח</w:t>
      </w:r>
      <w:r>
        <w:rPr>
          <w:rFonts w:cs="Arial" w:hint="cs"/>
          <w:b/>
          <w:bCs/>
          <w:sz w:val="20"/>
          <w:szCs w:val="20"/>
          <w:rtl/>
        </w:rPr>
        <w:t xml:space="preserve">ריפים </w:t>
      </w:r>
      <w:r w:rsidRPr="001B2803">
        <w:rPr>
          <w:rFonts w:cs="Arial" w:hint="cs"/>
          <w:b/>
          <w:bCs/>
          <w:sz w:val="20"/>
          <w:szCs w:val="20"/>
          <w:rtl/>
        </w:rPr>
        <w:t>קובעת כקפיצה או כפיהוק?</w:t>
      </w:r>
      <w:r>
        <w:rPr>
          <w:rStyle w:val="a5"/>
          <w:rFonts w:cs="Arial"/>
          <w:sz w:val="20"/>
          <w:szCs w:val="20"/>
          <w:rtl/>
        </w:rPr>
        <w:footnoteReference w:id="225"/>
      </w:r>
      <w:r>
        <w:rPr>
          <w:rFonts w:cs="Arial"/>
          <w:sz w:val="20"/>
          <w:szCs w:val="20"/>
          <w:rtl/>
        </w:rPr>
        <w:br/>
      </w:r>
      <w:r>
        <w:rPr>
          <w:rFonts w:cs="Arial" w:hint="cs"/>
          <w:sz w:val="20"/>
          <w:szCs w:val="20"/>
          <w:rtl/>
        </w:rPr>
        <w:t xml:space="preserve">א. </w:t>
      </w:r>
      <w:r w:rsidRPr="009B400C">
        <w:rPr>
          <w:rFonts w:cs="Arial" w:hint="cs"/>
          <w:b/>
          <w:bCs/>
          <w:sz w:val="20"/>
          <w:szCs w:val="20"/>
          <w:rtl/>
        </w:rPr>
        <w:t>רשב"א</w:t>
      </w:r>
      <w:r>
        <w:rPr>
          <w:rFonts w:cs="Arial" w:hint="cs"/>
          <w:sz w:val="20"/>
          <w:szCs w:val="20"/>
          <w:rtl/>
        </w:rPr>
        <w:t xml:space="preserve"> </w:t>
      </w:r>
      <w:r>
        <w:rPr>
          <w:rFonts w:cs="Arial"/>
          <w:sz w:val="20"/>
          <w:szCs w:val="20"/>
          <w:rtl/>
        </w:rPr>
        <w:t>–</w:t>
      </w:r>
      <w:r>
        <w:rPr>
          <w:rFonts w:cs="Arial" w:hint="cs"/>
          <w:sz w:val="20"/>
          <w:szCs w:val="20"/>
          <w:rtl/>
        </w:rPr>
        <w:t xml:space="preserve"> אכילת מאכל חריף קובעת ווסת רק בצירוף לימים, כדין ווסת הקפיצות.</w:t>
      </w:r>
      <w:r>
        <w:rPr>
          <w:rFonts w:cs="Arial"/>
          <w:sz w:val="20"/>
          <w:szCs w:val="20"/>
          <w:rtl/>
        </w:rPr>
        <w:br/>
      </w:r>
      <w:r>
        <w:rPr>
          <w:rFonts w:cs="Arial" w:hint="cs"/>
          <w:sz w:val="20"/>
          <w:szCs w:val="20"/>
          <w:rtl/>
        </w:rPr>
        <w:t xml:space="preserve">כגון </w:t>
      </w:r>
      <w:r>
        <w:rPr>
          <w:rFonts w:cs="Arial"/>
          <w:sz w:val="20"/>
          <w:szCs w:val="20"/>
          <w:rtl/>
        </w:rPr>
        <w:t>–</w:t>
      </w:r>
      <w:r>
        <w:rPr>
          <w:rFonts w:cs="Arial" w:hint="cs"/>
          <w:sz w:val="20"/>
          <w:szCs w:val="20"/>
          <w:rtl/>
        </w:rPr>
        <w:t xml:space="preserve"> רגילה לאכול פלפל ביום מסויים ולראות, קבעה ווסת לאותו יום אם תאכל בו פלפל.</w:t>
      </w:r>
      <w:r>
        <w:rPr>
          <w:rFonts w:cs="Arial"/>
          <w:sz w:val="20"/>
          <w:szCs w:val="20"/>
          <w:rtl/>
        </w:rPr>
        <w:br/>
      </w:r>
      <w:r>
        <w:rPr>
          <w:rFonts w:hint="cs"/>
          <w:sz w:val="20"/>
          <w:szCs w:val="20"/>
          <w:rtl/>
        </w:rPr>
        <w:t xml:space="preserve">ב. </w:t>
      </w:r>
      <w:r w:rsidRPr="00481827">
        <w:rPr>
          <w:rFonts w:hint="cs"/>
          <w:b/>
          <w:bCs/>
          <w:sz w:val="20"/>
          <w:szCs w:val="20"/>
          <w:rtl/>
        </w:rPr>
        <w:t>תוספות</w:t>
      </w:r>
      <w:r>
        <w:rPr>
          <w:rFonts w:hint="cs"/>
          <w:sz w:val="20"/>
          <w:szCs w:val="20"/>
          <w:rtl/>
        </w:rPr>
        <w:t xml:space="preserve"> </w:t>
      </w:r>
      <w:r>
        <w:rPr>
          <w:sz w:val="20"/>
          <w:szCs w:val="20"/>
          <w:rtl/>
        </w:rPr>
        <w:t>–</w:t>
      </w:r>
      <w:r>
        <w:rPr>
          <w:rFonts w:hint="cs"/>
          <w:sz w:val="20"/>
          <w:szCs w:val="20"/>
          <w:rtl/>
        </w:rPr>
        <w:t xml:space="preserve"> אכילת מאכלים חריפים קובעת ווסת אפילו ללא קביעות הימים, כדין פיהוק.</w:t>
      </w:r>
      <w:r>
        <w:rPr>
          <w:sz w:val="20"/>
          <w:szCs w:val="20"/>
          <w:rtl/>
        </w:rPr>
        <w:br/>
      </w:r>
      <w:r>
        <w:rPr>
          <w:b/>
          <w:b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רמ"א </w:t>
      </w:r>
      <w:r>
        <w:rPr>
          <w:sz w:val="20"/>
          <w:szCs w:val="20"/>
          <w:rtl/>
        </w:rPr>
        <w:t>–</w:t>
      </w:r>
      <w:r>
        <w:rPr>
          <w:rFonts w:hint="cs"/>
          <w:sz w:val="20"/>
          <w:szCs w:val="20"/>
          <w:rtl/>
        </w:rPr>
        <w:t xml:space="preserve"> </w:t>
      </w:r>
      <w:r w:rsidRPr="009B400C">
        <w:rPr>
          <w:rFonts w:hint="cs"/>
          <w:sz w:val="18"/>
          <w:szCs w:val="18"/>
          <w:rtl/>
        </w:rPr>
        <w:t>"</w:t>
      </w:r>
      <w:r w:rsidRPr="009B400C">
        <w:rPr>
          <w:rFonts w:cs="Arial" w:hint="cs"/>
          <w:sz w:val="18"/>
          <w:szCs w:val="18"/>
          <w:rtl/>
        </w:rPr>
        <w:t>אכלה</w:t>
      </w:r>
      <w:r w:rsidRPr="009B400C">
        <w:rPr>
          <w:rFonts w:cs="Arial"/>
          <w:sz w:val="18"/>
          <w:szCs w:val="18"/>
          <w:rtl/>
        </w:rPr>
        <w:t xml:space="preserve"> </w:t>
      </w:r>
      <w:r w:rsidRPr="009B400C">
        <w:rPr>
          <w:rFonts w:cs="Arial" w:hint="cs"/>
          <w:sz w:val="18"/>
          <w:szCs w:val="18"/>
          <w:rtl/>
        </w:rPr>
        <w:t>שום</w:t>
      </w:r>
      <w:r w:rsidRPr="009B400C">
        <w:rPr>
          <w:rFonts w:cs="Arial"/>
          <w:sz w:val="18"/>
          <w:szCs w:val="18"/>
          <w:rtl/>
        </w:rPr>
        <w:t xml:space="preserve"> </w:t>
      </w:r>
      <w:r w:rsidRPr="009B400C">
        <w:rPr>
          <w:rFonts w:cs="Arial" w:hint="cs"/>
          <w:sz w:val="18"/>
          <w:szCs w:val="18"/>
          <w:rtl/>
        </w:rPr>
        <w:t>וראתה</w:t>
      </w:r>
      <w:r w:rsidRPr="009B400C">
        <w:rPr>
          <w:rFonts w:cs="Arial"/>
          <w:sz w:val="18"/>
          <w:szCs w:val="18"/>
          <w:rtl/>
        </w:rPr>
        <w:t xml:space="preserve">, </w:t>
      </w:r>
      <w:r w:rsidRPr="009B400C">
        <w:rPr>
          <w:rFonts w:cs="Arial" w:hint="cs"/>
          <w:sz w:val="18"/>
          <w:szCs w:val="18"/>
          <w:rtl/>
        </w:rPr>
        <w:t>אכלה</w:t>
      </w:r>
      <w:r w:rsidRPr="009B400C">
        <w:rPr>
          <w:rFonts w:cs="Arial"/>
          <w:sz w:val="18"/>
          <w:szCs w:val="18"/>
          <w:rtl/>
        </w:rPr>
        <w:t xml:space="preserve"> </w:t>
      </w:r>
      <w:r w:rsidRPr="009B400C">
        <w:rPr>
          <w:rFonts w:cs="Arial" w:hint="cs"/>
          <w:sz w:val="18"/>
          <w:szCs w:val="18"/>
          <w:rtl/>
        </w:rPr>
        <w:t>בצל</w:t>
      </w:r>
      <w:r w:rsidRPr="009B400C">
        <w:rPr>
          <w:rFonts w:cs="Arial"/>
          <w:sz w:val="18"/>
          <w:szCs w:val="18"/>
          <w:rtl/>
        </w:rPr>
        <w:t xml:space="preserve"> </w:t>
      </w:r>
      <w:r w:rsidRPr="009B400C">
        <w:rPr>
          <w:rFonts w:cs="Arial" w:hint="cs"/>
          <w:sz w:val="18"/>
          <w:szCs w:val="18"/>
          <w:rtl/>
        </w:rPr>
        <w:t>וראתה</w:t>
      </w:r>
      <w:r w:rsidRPr="009B400C">
        <w:rPr>
          <w:rFonts w:cs="Arial"/>
          <w:sz w:val="18"/>
          <w:szCs w:val="18"/>
          <w:rtl/>
        </w:rPr>
        <w:t xml:space="preserve">, </w:t>
      </w:r>
      <w:r w:rsidRPr="009B400C">
        <w:rPr>
          <w:rFonts w:cs="Arial" w:hint="cs"/>
          <w:sz w:val="18"/>
          <w:szCs w:val="18"/>
          <w:rtl/>
        </w:rPr>
        <w:t>אכלה</w:t>
      </w:r>
      <w:r w:rsidRPr="009B400C">
        <w:rPr>
          <w:rFonts w:cs="Arial"/>
          <w:sz w:val="18"/>
          <w:szCs w:val="18"/>
          <w:rtl/>
        </w:rPr>
        <w:t xml:space="preserve"> </w:t>
      </w:r>
      <w:r w:rsidRPr="009B400C">
        <w:rPr>
          <w:rFonts w:cs="Arial" w:hint="cs"/>
          <w:sz w:val="18"/>
          <w:szCs w:val="18"/>
          <w:rtl/>
        </w:rPr>
        <w:t>פלפלין</w:t>
      </w:r>
      <w:r w:rsidRPr="009B400C">
        <w:rPr>
          <w:rFonts w:cs="Arial"/>
          <w:sz w:val="18"/>
          <w:szCs w:val="18"/>
          <w:rtl/>
        </w:rPr>
        <w:t xml:space="preserve"> </w:t>
      </w:r>
      <w:r w:rsidRPr="009B400C">
        <w:rPr>
          <w:rFonts w:cs="Arial" w:hint="cs"/>
          <w:sz w:val="18"/>
          <w:szCs w:val="18"/>
          <w:rtl/>
        </w:rPr>
        <w:t>וראתה</w:t>
      </w:r>
      <w:r w:rsidRPr="009B400C">
        <w:rPr>
          <w:rFonts w:cs="Arial"/>
          <w:sz w:val="18"/>
          <w:szCs w:val="18"/>
          <w:rtl/>
        </w:rPr>
        <w:t xml:space="preserve">, </w:t>
      </w:r>
      <w:r w:rsidRPr="009B400C">
        <w:rPr>
          <w:rFonts w:cs="Arial" w:hint="cs"/>
          <w:sz w:val="18"/>
          <w:szCs w:val="18"/>
          <w:rtl/>
        </w:rPr>
        <w:t>יש</w:t>
      </w:r>
      <w:r w:rsidRPr="009B400C">
        <w:rPr>
          <w:rFonts w:cs="Arial"/>
          <w:sz w:val="18"/>
          <w:szCs w:val="18"/>
          <w:rtl/>
        </w:rPr>
        <w:t xml:space="preserve"> </w:t>
      </w:r>
      <w:r w:rsidRPr="009B400C">
        <w:rPr>
          <w:rFonts w:cs="Arial" w:hint="cs"/>
          <w:sz w:val="18"/>
          <w:szCs w:val="18"/>
          <w:rtl/>
        </w:rPr>
        <w:t>אומרים</w:t>
      </w:r>
      <w:r w:rsidRPr="009B400C">
        <w:rPr>
          <w:rFonts w:cs="Arial"/>
          <w:sz w:val="18"/>
          <w:szCs w:val="18"/>
          <w:rtl/>
        </w:rPr>
        <w:t xml:space="preserve"> </w:t>
      </w:r>
      <w:r w:rsidRPr="009B400C">
        <w:rPr>
          <w:rFonts w:cs="Arial" w:hint="cs"/>
          <w:sz w:val="18"/>
          <w:szCs w:val="18"/>
          <w:rtl/>
        </w:rPr>
        <w:t>שקבעה</w:t>
      </w:r>
      <w:r w:rsidRPr="009B400C">
        <w:rPr>
          <w:rFonts w:cs="Arial"/>
          <w:sz w:val="18"/>
          <w:szCs w:val="18"/>
          <w:rtl/>
        </w:rPr>
        <w:t xml:space="preserve"> </w:t>
      </w:r>
      <w:r w:rsidRPr="009B400C">
        <w:rPr>
          <w:rFonts w:cs="Arial" w:hint="cs"/>
          <w:sz w:val="18"/>
          <w:szCs w:val="18"/>
          <w:rtl/>
        </w:rPr>
        <w:t>לה</w:t>
      </w:r>
      <w:r w:rsidRPr="009B400C">
        <w:rPr>
          <w:rFonts w:cs="Arial"/>
          <w:sz w:val="18"/>
          <w:szCs w:val="18"/>
          <w:rtl/>
        </w:rPr>
        <w:t xml:space="preserve"> </w:t>
      </w:r>
      <w:r w:rsidRPr="009B400C">
        <w:rPr>
          <w:rFonts w:cs="Arial" w:hint="cs"/>
          <w:sz w:val="18"/>
          <w:szCs w:val="18"/>
          <w:rtl/>
        </w:rPr>
        <w:t>וסת</w:t>
      </w:r>
      <w:r w:rsidRPr="009B400C">
        <w:rPr>
          <w:rFonts w:cs="Arial"/>
          <w:sz w:val="18"/>
          <w:szCs w:val="18"/>
          <w:rtl/>
        </w:rPr>
        <w:t xml:space="preserve"> </w:t>
      </w:r>
      <w:r w:rsidRPr="009B400C">
        <w:rPr>
          <w:rFonts w:cs="Arial" w:hint="cs"/>
          <w:sz w:val="18"/>
          <w:szCs w:val="18"/>
          <w:rtl/>
        </w:rPr>
        <w:t>לראיה</w:t>
      </w:r>
      <w:r w:rsidRPr="009B400C">
        <w:rPr>
          <w:rFonts w:cs="Arial"/>
          <w:sz w:val="18"/>
          <w:szCs w:val="18"/>
          <w:rtl/>
        </w:rPr>
        <w:t xml:space="preserve"> </w:t>
      </w:r>
      <w:r w:rsidRPr="009B400C">
        <w:rPr>
          <w:rFonts w:cs="Arial" w:hint="cs"/>
          <w:sz w:val="18"/>
          <w:szCs w:val="18"/>
          <w:rtl/>
        </w:rPr>
        <w:t>ע</w:t>
      </w:r>
      <w:r>
        <w:rPr>
          <w:rFonts w:cs="Arial" w:hint="cs"/>
          <w:sz w:val="18"/>
          <w:szCs w:val="18"/>
          <w:rtl/>
        </w:rPr>
        <w:t>ל ידי</w:t>
      </w:r>
      <w:r w:rsidRPr="009B400C">
        <w:rPr>
          <w:rFonts w:cs="Arial"/>
          <w:sz w:val="18"/>
          <w:szCs w:val="18"/>
          <w:rtl/>
        </w:rPr>
        <w:t xml:space="preserve"> </w:t>
      </w:r>
      <w:r w:rsidRPr="009B400C">
        <w:rPr>
          <w:rFonts w:cs="Arial" w:hint="cs"/>
          <w:sz w:val="18"/>
          <w:szCs w:val="18"/>
          <w:rtl/>
        </w:rPr>
        <w:t>כל</w:t>
      </w:r>
      <w:r w:rsidRPr="009B400C">
        <w:rPr>
          <w:rFonts w:cs="Arial"/>
          <w:sz w:val="18"/>
          <w:szCs w:val="18"/>
          <w:rtl/>
        </w:rPr>
        <w:t xml:space="preserve"> </w:t>
      </w:r>
      <w:r w:rsidRPr="009B400C">
        <w:rPr>
          <w:rFonts w:cs="Arial" w:hint="cs"/>
          <w:sz w:val="18"/>
          <w:szCs w:val="18"/>
          <w:rtl/>
        </w:rPr>
        <w:t>אכילת</w:t>
      </w:r>
      <w:r w:rsidRPr="009B400C">
        <w:rPr>
          <w:rFonts w:cs="Arial"/>
          <w:sz w:val="18"/>
          <w:szCs w:val="18"/>
          <w:rtl/>
        </w:rPr>
        <w:t xml:space="preserve"> </w:t>
      </w:r>
      <w:r w:rsidRPr="009B400C">
        <w:rPr>
          <w:rFonts w:cs="Arial" w:hint="cs"/>
          <w:sz w:val="18"/>
          <w:szCs w:val="18"/>
          <w:rtl/>
        </w:rPr>
        <w:t>דברים</w:t>
      </w:r>
      <w:r w:rsidRPr="009B400C">
        <w:rPr>
          <w:rFonts w:cs="Arial"/>
          <w:sz w:val="18"/>
          <w:szCs w:val="18"/>
          <w:rtl/>
        </w:rPr>
        <w:t xml:space="preserve"> </w:t>
      </w:r>
      <w:r w:rsidRPr="009B400C">
        <w:rPr>
          <w:rFonts w:cs="Arial" w:hint="cs"/>
          <w:sz w:val="18"/>
          <w:szCs w:val="18"/>
          <w:rtl/>
        </w:rPr>
        <w:t>חמים</w:t>
      </w:r>
      <w:r w:rsidRPr="009B400C">
        <w:rPr>
          <w:rFonts w:cs="Arial"/>
          <w:sz w:val="18"/>
          <w:szCs w:val="18"/>
          <w:rtl/>
        </w:rPr>
        <w:t xml:space="preserve"> (</w:t>
      </w:r>
      <w:r w:rsidRPr="009B400C">
        <w:rPr>
          <w:rFonts w:cs="Arial" w:hint="cs"/>
          <w:sz w:val="18"/>
          <w:szCs w:val="18"/>
          <w:rtl/>
        </w:rPr>
        <w:t>רא</w:t>
      </w:r>
      <w:r w:rsidRPr="009B400C">
        <w:rPr>
          <w:rFonts w:cs="Arial"/>
          <w:sz w:val="18"/>
          <w:szCs w:val="18"/>
          <w:rtl/>
        </w:rPr>
        <w:t>"</w:t>
      </w:r>
      <w:r w:rsidRPr="009B400C">
        <w:rPr>
          <w:rFonts w:cs="Arial" w:hint="cs"/>
          <w:sz w:val="18"/>
          <w:szCs w:val="18"/>
          <w:rtl/>
        </w:rPr>
        <w:t>ש</w:t>
      </w:r>
      <w:r>
        <w:rPr>
          <w:rFonts w:cs="Arial" w:hint="cs"/>
          <w:sz w:val="18"/>
          <w:szCs w:val="18"/>
          <w:rtl/>
        </w:rPr>
        <w:t xml:space="preserve">). </w:t>
      </w:r>
      <w:r w:rsidRPr="009B400C">
        <w:rPr>
          <w:rFonts w:cs="Arial" w:hint="cs"/>
          <w:sz w:val="18"/>
          <w:szCs w:val="18"/>
          <w:rtl/>
        </w:rPr>
        <w:t>וי</w:t>
      </w:r>
      <w:r>
        <w:rPr>
          <w:rFonts w:cs="Arial" w:hint="cs"/>
          <w:sz w:val="18"/>
          <w:szCs w:val="18"/>
          <w:rtl/>
        </w:rPr>
        <w:t xml:space="preserve">ש </w:t>
      </w:r>
      <w:r w:rsidRPr="009B400C">
        <w:rPr>
          <w:rFonts w:cs="Arial" w:hint="cs"/>
          <w:sz w:val="18"/>
          <w:szCs w:val="18"/>
          <w:rtl/>
        </w:rPr>
        <w:t>א</w:t>
      </w:r>
      <w:r>
        <w:rPr>
          <w:rFonts w:cs="Arial" w:hint="cs"/>
          <w:sz w:val="18"/>
          <w:szCs w:val="18"/>
          <w:rtl/>
        </w:rPr>
        <w:t>ומרים</w:t>
      </w:r>
      <w:r w:rsidRPr="009B400C">
        <w:rPr>
          <w:rFonts w:cs="Arial"/>
          <w:sz w:val="18"/>
          <w:szCs w:val="18"/>
          <w:rtl/>
        </w:rPr>
        <w:t xml:space="preserve"> </w:t>
      </w:r>
      <w:r w:rsidRPr="009B400C">
        <w:rPr>
          <w:rFonts w:cs="Arial" w:hint="cs"/>
          <w:sz w:val="18"/>
          <w:szCs w:val="18"/>
          <w:rtl/>
        </w:rPr>
        <w:t>שכל</w:t>
      </w:r>
      <w:r w:rsidRPr="009B400C">
        <w:rPr>
          <w:rFonts w:cs="Arial"/>
          <w:sz w:val="18"/>
          <w:szCs w:val="18"/>
          <w:rtl/>
        </w:rPr>
        <w:t xml:space="preserve"> </w:t>
      </w:r>
      <w:r w:rsidRPr="009B400C">
        <w:rPr>
          <w:rFonts w:cs="Arial" w:hint="cs"/>
          <w:sz w:val="18"/>
          <w:szCs w:val="18"/>
          <w:rtl/>
        </w:rPr>
        <w:t>זה</w:t>
      </w:r>
      <w:r w:rsidRPr="009B400C">
        <w:rPr>
          <w:rFonts w:cs="Arial"/>
          <w:sz w:val="18"/>
          <w:szCs w:val="18"/>
          <w:rtl/>
        </w:rPr>
        <w:t xml:space="preserve"> </w:t>
      </w:r>
      <w:r w:rsidRPr="009B400C">
        <w:rPr>
          <w:rFonts w:cs="Arial" w:hint="cs"/>
          <w:sz w:val="18"/>
          <w:szCs w:val="18"/>
          <w:rtl/>
        </w:rPr>
        <w:t>שתראה</w:t>
      </w:r>
      <w:r w:rsidRPr="009B400C">
        <w:rPr>
          <w:rFonts w:cs="Arial"/>
          <w:sz w:val="18"/>
          <w:szCs w:val="18"/>
          <w:rtl/>
        </w:rPr>
        <w:t xml:space="preserve"> </w:t>
      </w:r>
      <w:r w:rsidRPr="009B400C">
        <w:rPr>
          <w:rFonts w:cs="Arial" w:hint="cs"/>
          <w:sz w:val="18"/>
          <w:szCs w:val="18"/>
          <w:rtl/>
        </w:rPr>
        <w:t>ע</w:t>
      </w:r>
      <w:r>
        <w:rPr>
          <w:rFonts w:cs="Arial" w:hint="cs"/>
          <w:sz w:val="18"/>
          <w:szCs w:val="18"/>
          <w:rtl/>
        </w:rPr>
        <w:t xml:space="preserve">ל </w:t>
      </w:r>
      <w:r w:rsidRPr="009B400C">
        <w:rPr>
          <w:rFonts w:cs="Arial" w:hint="cs"/>
          <w:sz w:val="18"/>
          <w:szCs w:val="18"/>
          <w:rtl/>
        </w:rPr>
        <w:t>י</w:t>
      </w:r>
      <w:r>
        <w:rPr>
          <w:rFonts w:cs="Arial" w:hint="cs"/>
          <w:sz w:val="18"/>
          <w:szCs w:val="18"/>
          <w:rtl/>
        </w:rPr>
        <w:t>די</w:t>
      </w:r>
      <w:r w:rsidRPr="009B400C">
        <w:rPr>
          <w:rFonts w:cs="Arial"/>
          <w:sz w:val="18"/>
          <w:szCs w:val="18"/>
          <w:rtl/>
        </w:rPr>
        <w:t xml:space="preserve"> </w:t>
      </w:r>
      <w:r w:rsidRPr="009B400C">
        <w:rPr>
          <w:rFonts w:cs="Arial" w:hint="cs"/>
          <w:sz w:val="18"/>
          <w:szCs w:val="18"/>
          <w:rtl/>
        </w:rPr>
        <w:t>מאכל</w:t>
      </w:r>
      <w:r w:rsidRPr="009B400C">
        <w:rPr>
          <w:rFonts w:cs="Arial"/>
          <w:sz w:val="18"/>
          <w:szCs w:val="18"/>
          <w:rtl/>
        </w:rPr>
        <w:t xml:space="preserve"> </w:t>
      </w:r>
      <w:r w:rsidRPr="009B400C">
        <w:rPr>
          <w:rFonts w:cs="Arial" w:hint="cs"/>
          <w:sz w:val="18"/>
          <w:szCs w:val="18"/>
          <w:rtl/>
        </w:rPr>
        <w:t>דינו</w:t>
      </w:r>
      <w:r w:rsidRPr="009B400C">
        <w:rPr>
          <w:rFonts w:cs="Arial"/>
          <w:sz w:val="18"/>
          <w:szCs w:val="18"/>
          <w:rtl/>
        </w:rPr>
        <w:t xml:space="preserve"> </w:t>
      </w:r>
      <w:r w:rsidRPr="009B400C">
        <w:rPr>
          <w:rFonts w:cs="Arial" w:hint="cs"/>
          <w:sz w:val="18"/>
          <w:szCs w:val="18"/>
          <w:rtl/>
        </w:rPr>
        <w:t>כמו</w:t>
      </w:r>
      <w:r w:rsidRPr="009B400C">
        <w:rPr>
          <w:rFonts w:cs="Arial"/>
          <w:sz w:val="18"/>
          <w:szCs w:val="18"/>
          <w:rtl/>
        </w:rPr>
        <w:t xml:space="preserve"> </w:t>
      </w:r>
      <w:r w:rsidRPr="009B400C">
        <w:rPr>
          <w:rFonts w:cs="Arial" w:hint="cs"/>
          <w:sz w:val="18"/>
          <w:szCs w:val="18"/>
          <w:rtl/>
        </w:rPr>
        <w:t>שתראה</w:t>
      </w:r>
      <w:r w:rsidRPr="009B400C">
        <w:rPr>
          <w:rFonts w:cs="Arial"/>
          <w:sz w:val="18"/>
          <w:szCs w:val="18"/>
          <w:rtl/>
        </w:rPr>
        <w:t xml:space="preserve"> </w:t>
      </w:r>
      <w:r w:rsidRPr="009B400C">
        <w:rPr>
          <w:rFonts w:cs="Arial" w:hint="cs"/>
          <w:sz w:val="18"/>
          <w:szCs w:val="18"/>
          <w:rtl/>
        </w:rPr>
        <w:t>ע</w:t>
      </w:r>
      <w:r>
        <w:rPr>
          <w:rFonts w:cs="Arial" w:hint="cs"/>
          <w:sz w:val="18"/>
          <w:szCs w:val="18"/>
          <w:rtl/>
        </w:rPr>
        <w:t>ל ידי</w:t>
      </w:r>
      <w:r w:rsidRPr="009B400C">
        <w:rPr>
          <w:rFonts w:cs="Arial"/>
          <w:sz w:val="18"/>
          <w:szCs w:val="18"/>
          <w:rtl/>
        </w:rPr>
        <w:t xml:space="preserve"> </w:t>
      </w:r>
      <w:r w:rsidRPr="009B400C">
        <w:rPr>
          <w:rFonts w:cs="Arial" w:hint="cs"/>
          <w:sz w:val="18"/>
          <w:szCs w:val="18"/>
          <w:rtl/>
        </w:rPr>
        <w:t>קפיצה</w:t>
      </w:r>
      <w:r w:rsidRPr="009B400C">
        <w:rPr>
          <w:rFonts w:cs="Arial"/>
          <w:sz w:val="18"/>
          <w:szCs w:val="18"/>
          <w:rtl/>
        </w:rPr>
        <w:t xml:space="preserve"> </w:t>
      </w:r>
      <w:r w:rsidRPr="009B400C">
        <w:rPr>
          <w:rFonts w:cs="Arial" w:hint="cs"/>
          <w:sz w:val="18"/>
          <w:szCs w:val="18"/>
          <w:rtl/>
        </w:rPr>
        <w:t>ושאר</w:t>
      </w:r>
      <w:r w:rsidRPr="009B400C">
        <w:rPr>
          <w:rFonts w:cs="Arial"/>
          <w:sz w:val="18"/>
          <w:szCs w:val="18"/>
          <w:rtl/>
        </w:rPr>
        <w:t xml:space="preserve"> </w:t>
      </w:r>
      <w:r w:rsidRPr="009B400C">
        <w:rPr>
          <w:rFonts w:cs="Arial" w:hint="cs"/>
          <w:sz w:val="18"/>
          <w:szCs w:val="18"/>
          <w:rtl/>
        </w:rPr>
        <w:t>מעשה</w:t>
      </w:r>
      <w:r w:rsidRPr="009B400C">
        <w:rPr>
          <w:rFonts w:cs="Arial"/>
          <w:sz w:val="18"/>
          <w:szCs w:val="18"/>
          <w:rtl/>
        </w:rPr>
        <w:t xml:space="preserve"> </w:t>
      </w:r>
      <w:r w:rsidRPr="009B400C">
        <w:rPr>
          <w:rFonts w:cs="Arial" w:hint="cs"/>
          <w:sz w:val="18"/>
          <w:szCs w:val="18"/>
          <w:rtl/>
        </w:rPr>
        <w:t>שהיא</w:t>
      </w:r>
      <w:r w:rsidRPr="009B400C">
        <w:rPr>
          <w:rFonts w:cs="Arial"/>
          <w:sz w:val="18"/>
          <w:szCs w:val="18"/>
          <w:rtl/>
        </w:rPr>
        <w:t xml:space="preserve"> </w:t>
      </w:r>
      <w:r w:rsidRPr="009B400C">
        <w:rPr>
          <w:rFonts w:cs="Arial" w:hint="cs"/>
          <w:sz w:val="18"/>
          <w:szCs w:val="18"/>
          <w:rtl/>
        </w:rPr>
        <w:t>עושה</w:t>
      </w:r>
      <w:r w:rsidRPr="009B400C">
        <w:rPr>
          <w:rFonts w:cs="Arial"/>
          <w:sz w:val="18"/>
          <w:szCs w:val="18"/>
          <w:rtl/>
        </w:rPr>
        <w:t xml:space="preserve">, </w:t>
      </w:r>
      <w:r w:rsidRPr="009B400C">
        <w:rPr>
          <w:rFonts w:cs="Arial" w:hint="cs"/>
          <w:sz w:val="18"/>
          <w:szCs w:val="18"/>
          <w:rtl/>
        </w:rPr>
        <w:t>שמקרי</w:t>
      </w:r>
      <w:r w:rsidRPr="009B400C">
        <w:rPr>
          <w:rFonts w:cs="Arial"/>
          <w:sz w:val="18"/>
          <w:szCs w:val="18"/>
          <w:rtl/>
        </w:rPr>
        <w:t xml:space="preserve"> </w:t>
      </w:r>
      <w:r w:rsidRPr="009B400C">
        <w:rPr>
          <w:rFonts w:cs="Arial" w:hint="cs"/>
          <w:sz w:val="18"/>
          <w:szCs w:val="18"/>
          <w:rtl/>
        </w:rPr>
        <w:t>ראיה</w:t>
      </w:r>
      <w:r w:rsidRPr="009B400C">
        <w:rPr>
          <w:rFonts w:cs="Arial"/>
          <w:sz w:val="18"/>
          <w:szCs w:val="18"/>
          <w:rtl/>
        </w:rPr>
        <w:t xml:space="preserve"> </w:t>
      </w:r>
      <w:r w:rsidRPr="009B400C">
        <w:rPr>
          <w:rFonts w:cs="Arial" w:hint="cs"/>
          <w:sz w:val="18"/>
          <w:szCs w:val="18"/>
          <w:rtl/>
        </w:rPr>
        <w:t>ע</w:t>
      </w:r>
      <w:r>
        <w:rPr>
          <w:rFonts w:cs="Arial" w:hint="cs"/>
          <w:sz w:val="18"/>
          <w:szCs w:val="18"/>
          <w:rtl/>
        </w:rPr>
        <w:t>ל ידי</w:t>
      </w:r>
      <w:r w:rsidRPr="009B400C">
        <w:rPr>
          <w:rFonts w:cs="Arial"/>
          <w:sz w:val="18"/>
          <w:szCs w:val="18"/>
          <w:rtl/>
        </w:rPr>
        <w:t xml:space="preserve"> </w:t>
      </w:r>
      <w:r w:rsidRPr="009B400C">
        <w:rPr>
          <w:rFonts w:cs="Arial" w:hint="cs"/>
          <w:sz w:val="18"/>
          <w:szCs w:val="18"/>
          <w:rtl/>
        </w:rPr>
        <w:t>אונס</w:t>
      </w:r>
      <w:r w:rsidRPr="009B400C">
        <w:rPr>
          <w:rFonts w:cs="Arial"/>
          <w:sz w:val="18"/>
          <w:szCs w:val="18"/>
          <w:rtl/>
        </w:rPr>
        <w:t xml:space="preserve"> </w:t>
      </w:r>
      <w:r w:rsidRPr="009B400C">
        <w:rPr>
          <w:rFonts w:cs="Arial" w:hint="cs"/>
          <w:sz w:val="18"/>
          <w:szCs w:val="18"/>
          <w:rtl/>
        </w:rPr>
        <w:t>ואינה</w:t>
      </w:r>
      <w:r w:rsidRPr="009B400C">
        <w:rPr>
          <w:rFonts w:cs="Arial"/>
          <w:sz w:val="18"/>
          <w:szCs w:val="18"/>
          <w:rtl/>
        </w:rPr>
        <w:t xml:space="preserve"> </w:t>
      </w:r>
      <w:r w:rsidRPr="009B400C">
        <w:rPr>
          <w:rFonts w:cs="Arial" w:hint="cs"/>
          <w:sz w:val="18"/>
          <w:szCs w:val="18"/>
          <w:rtl/>
        </w:rPr>
        <w:t>קובעת</w:t>
      </w:r>
      <w:r w:rsidRPr="009B400C">
        <w:rPr>
          <w:rFonts w:cs="Arial"/>
          <w:sz w:val="18"/>
          <w:szCs w:val="18"/>
          <w:rtl/>
        </w:rPr>
        <w:t xml:space="preserve"> </w:t>
      </w:r>
      <w:r w:rsidRPr="009B400C">
        <w:rPr>
          <w:rFonts w:cs="Arial" w:hint="cs"/>
          <w:sz w:val="18"/>
          <w:szCs w:val="18"/>
          <w:rtl/>
        </w:rPr>
        <w:t>וסת</w:t>
      </w:r>
      <w:r w:rsidRPr="009B400C">
        <w:rPr>
          <w:rFonts w:cs="Arial"/>
          <w:sz w:val="18"/>
          <w:szCs w:val="18"/>
          <w:rtl/>
        </w:rPr>
        <w:t xml:space="preserve"> </w:t>
      </w:r>
      <w:r w:rsidRPr="009B400C">
        <w:rPr>
          <w:rFonts w:cs="Arial" w:hint="cs"/>
          <w:sz w:val="18"/>
          <w:szCs w:val="18"/>
          <w:rtl/>
        </w:rPr>
        <w:t>אלא</w:t>
      </w:r>
      <w:r w:rsidRPr="009B400C">
        <w:rPr>
          <w:rFonts w:cs="Arial"/>
          <w:sz w:val="18"/>
          <w:szCs w:val="18"/>
          <w:rtl/>
        </w:rPr>
        <w:t xml:space="preserve"> </w:t>
      </w:r>
      <w:r w:rsidRPr="009B400C">
        <w:rPr>
          <w:rFonts w:cs="Arial" w:hint="cs"/>
          <w:sz w:val="18"/>
          <w:szCs w:val="18"/>
          <w:rtl/>
        </w:rPr>
        <w:t>עם</w:t>
      </w:r>
      <w:r w:rsidRPr="009B400C">
        <w:rPr>
          <w:rFonts w:cs="Arial"/>
          <w:sz w:val="18"/>
          <w:szCs w:val="18"/>
          <w:rtl/>
        </w:rPr>
        <w:t xml:space="preserve"> </w:t>
      </w:r>
      <w:r w:rsidRPr="009B400C">
        <w:rPr>
          <w:rFonts w:cs="Arial" w:hint="cs"/>
          <w:sz w:val="18"/>
          <w:szCs w:val="18"/>
          <w:rtl/>
        </w:rPr>
        <w:t>הימים</w:t>
      </w:r>
      <w:r w:rsidRPr="009B400C">
        <w:rPr>
          <w:rFonts w:cs="Arial"/>
          <w:sz w:val="18"/>
          <w:szCs w:val="18"/>
          <w:rtl/>
        </w:rPr>
        <w:t xml:space="preserve"> (</w:t>
      </w:r>
      <w:r w:rsidRPr="009B400C">
        <w:rPr>
          <w:rFonts w:cs="Arial" w:hint="cs"/>
          <w:sz w:val="18"/>
          <w:szCs w:val="18"/>
          <w:rtl/>
        </w:rPr>
        <w:t>רשב</w:t>
      </w:r>
      <w:r w:rsidRPr="009B400C">
        <w:rPr>
          <w:rFonts w:cs="Arial"/>
          <w:sz w:val="18"/>
          <w:szCs w:val="18"/>
          <w:rtl/>
        </w:rPr>
        <w:t>"</w:t>
      </w:r>
      <w:r w:rsidRPr="009B400C">
        <w:rPr>
          <w:rFonts w:cs="Arial" w:hint="cs"/>
          <w:sz w:val="18"/>
          <w:szCs w:val="18"/>
          <w:rtl/>
        </w:rPr>
        <w:t>א</w:t>
      </w:r>
      <w:r w:rsidRPr="009B400C">
        <w:rPr>
          <w:rFonts w:cs="Arial"/>
          <w:sz w:val="18"/>
          <w:szCs w:val="18"/>
          <w:rtl/>
        </w:rPr>
        <w:t>)</w:t>
      </w:r>
      <w:r>
        <w:rPr>
          <w:rFonts w:cs="Arial" w:hint="cs"/>
          <w:sz w:val="18"/>
          <w:szCs w:val="18"/>
          <w:rtl/>
        </w:rPr>
        <w:t>.</w:t>
      </w:r>
      <w:r w:rsidRPr="009B400C">
        <w:rPr>
          <w:rFonts w:cs="Arial"/>
          <w:sz w:val="18"/>
          <w:szCs w:val="18"/>
          <w:rtl/>
        </w:rPr>
        <w:t xml:space="preserve"> </w:t>
      </w:r>
      <w:r w:rsidRPr="009B400C">
        <w:rPr>
          <w:rFonts w:cs="Arial" w:hint="cs"/>
          <w:sz w:val="18"/>
          <w:szCs w:val="18"/>
          <w:rtl/>
        </w:rPr>
        <w:t>וי</w:t>
      </w:r>
      <w:r>
        <w:rPr>
          <w:rFonts w:cs="Arial" w:hint="cs"/>
          <w:sz w:val="18"/>
          <w:szCs w:val="18"/>
          <w:rtl/>
        </w:rPr>
        <w:t>ש אומרים</w:t>
      </w:r>
      <w:r w:rsidRPr="009B400C">
        <w:rPr>
          <w:rFonts w:cs="Arial"/>
          <w:sz w:val="18"/>
          <w:szCs w:val="18"/>
          <w:rtl/>
        </w:rPr>
        <w:t xml:space="preserve"> </w:t>
      </w:r>
      <w:r w:rsidRPr="009B400C">
        <w:rPr>
          <w:rFonts w:cs="Arial" w:hint="cs"/>
          <w:sz w:val="18"/>
          <w:szCs w:val="18"/>
          <w:rtl/>
        </w:rPr>
        <w:t>שדינו</w:t>
      </w:r>
      <w:r w:rsidRPr="009B400C">
        <w:rPr>
          <w:rFonts w:cs="Arial"/>
          <w:sz w:val="18"/>
          <w:szCs w:val="18"/>
          <w:rtl/>
        </w:rPr>
        <w:t xml:space="preserve"> </w:t>
      </w:r>
      <w:r w:rsidRPr="009B400C">
        <w:rPr>
          <w:rFonts w:cs="Arial" w:hint="cs"/>
          <w:sz w:val="18"/>
          <w:szCs w:val="18"/>
          <w:rtl/>
        </w:rPr>
        <w:t>כ</w:t>
      </w:r>
      <w:r>
        <w:rPr>
          <w:rFonts w:cs="Arial" w:hint="cs"/>
          <w:sz w:val="18"/>
          <w:szCs w:val="18"/>
          <w:rtl/>
        </w:rPr>
        <w:t>ו</w:t>
      </w:r>
      <w:r w:rsidRPr="009B400C">
        <w:rPr>
          <w:rFonts w:cs="Arial" w:hint="cs"/>
          <w:sz w:val="18"/>
          <w:szCs w:val="18"/>
          <w:rtl/>
        </w:rPr>
        <w:t>וסת</w:t>
      </w:r>
      <w:r w:rsidRPr="009B400C">
        <w:rPr>
          <w:rFonts w:cs="Arial"/>
          <w:sz w:val="18"/>
          <w:szCs w:val="18"/>
          <w:rtl/>
        </w:rPr>
        <w:t xml:space="preserve"> </w:t>
      </w:r>
      <w:r w:rsidRPr="009B400C">
        <w:rPr>
          <w:rFonts w:cs="Arial" w:hint="cs"/>
          <w:sz w:val="18"/>
          <w:szCs w:val="18"/>
          <w:rtl/>
        </w:rPr>
        <w:t>שתראה</w:t>
      </w:r>
      <w:r w:rsidRPr="009B400C">
        <w:rPr>
          <w:rFonts w:cs="Arial"/>
          <w:sz w:val="18"/>
          <w:szCs w:val="18"/>
          <w:rtl/>
        </w:rPr>
        <w:t xml:space="preserve"> </w:t>
      </w:r>
      <w:r w:rsidRPr="009B400C">
        <w:rPr>
          <w:rFonts w:cs="Arial" w:hint="cs"/>
          <w:sz w:val="18"/>
          <w:szCs w:val="18"/>
          <w:rtl/>
        </w:rPr>
        <w:t>על</w:t>
      </w:r>
      <w:r w:rsidRPr="009B400C">
        <w:rPr>
          <w:rFonts w:cs="Arial"/>
          <w:sz w:val="18"/>
          <w:szCs w:val="18"/>
          <w:rtl/>
        </w:rPr>
        <w:t xml:space="preserve"> </w:t>
      </w:r>
      <w:r w:rsidRPr="009B400C">
        <w:rPr>
          <w:rFonts w:cs="Arial" w:hint="cs"/>
          <w:sz w:val="18"/>
          <w:szCs w:val="18"/>
          <w:rtl/>
        </w:rPr>
        <w:t>ידי</w:t>
      </w:r>
      <w:r w:rsidRPr="009B400C">
        <w:rPr>
          <w:rFonts w:cs="Arial"/>
          <w:sz w:val="18"/>
          <w:szCs w:val="18"/>
          <w:rtl/>
        </w:rPr>
        <w:t xml:space="preserve"> </w:t>
      </w:r>
      <w:r w:rsidRPr="009B400C">
        <w:rPr>
          <w:rFonts w:cs="Arial" w:hint="cs"/>
          <w:sz w:val="18"/>
          <w:szCs w:val="18"/>
          <w:rtl/>
        </w:rPr>
        <w:t>מקרה</w:t>
      </w:r>
      <w:r w:rsidRPr="009B400C">
        <w:rPr>
          <w:rFonts w:cs="Arial"/>
          <w:sz w:val="18"/>
          <w:szCs w:val="18"/>
          <w:rtl/>
        </w:rPr>
        <w:t xml:space="preserve"> </w:t>
      </w:r>
      <w:r w:rsidRPr="009B400C">
        <w:rPr>
          <w:rFonts w:cs="Arial" w:hint="cs"/>
          <w:sz w:val="18"/>
          <w:szCs w:val="18"/>
          <w:rtl/>
        </w:rPr>
        <w:t>שבגופה</w:t>
      </w:r>
      <w:r w:rsidRPr="009B400C">
        <w:rPr>
          <w:rFonts w:cs="Arial"/>
          <w:sz w:val="18"/>
          <w:szCs w:val="18"/>
          <w:rtl/>
        </w:rPr>
        <w:t xml:space="preserve"> </w:t>
      </w:r>
      <w:r w:rsidRPr="009B400C">
        <w:rPr>
          <w:rFonts w:cs="Arial" w:hint="cs"/>
          <w:sz w:val="18"/>
          <w:szCs w:val="18"/>
          <w:rtl/>
        </w:rPr>
        <w:t>וקובעת</w:t>
      </w:r>
      <w:r w:rsidRPr="009B400C">
        <w:rPr>
          <w:rFonts w:cs="Arial"/>
          <w:sz w:val="18"/>
          <w:szCs w:val="18"/>
          <w:rtl/>
        </w:rPr>
        <w:t xml:space="preserve"> </w:t>
      </w:r>
      <w:r w:rsidRPr="009B400C">
        <w:rPr>
          <w:rFonts w:cs="Arial" w:hint="cs"/>
          <w:sz w:val="18"/>
          <w:szCs w:val="18"/>
          <w:rtl/>
        </w:rPr>
        <w:t>אותו</w:t>
      </w:r>
      <w:r w:rsidRPr="009B400C">
        <w:rPr>
          <w:rFonts w:cs="Arial"/>
          <w:sz w:val="18"/>
          <w:szCs w:val="18"/>
          <w:rtl/>
        </w:rPr>
        <w:t xml:space="preserve"> </w:t>
      </w:r>
      <w:r w:rsidRPr="009B400C">
        <w:rPr>
          <w:rFonts w:cs="Arial" w:hint="cs"/>
          <w:sz w:val="18"/>
          <w:szCs w:val="18"/>
          <w:rtl/>
        </w:rPr>
        <w:t>אפילו</w:t>
      </w:r>
      <w:r w:rsidRPr="009B400C">
        <w:rPr>
          <w:rFonts w:cs="Arial"/>
          <w:sz w:val="18"/>
          <w:szCs w:val="18"/>
          <w:rtl/>
        </w:rPr>
        <w:t xml:space="preserve"> </w:t>
      </w:r>
      <w:r w:rsidRPr="009B400C">
        <w:rPr>
          <w:rFonts w:cs="Arial" w:hint="cs"/>
          <w:sz w:val="18"/>
          <w:szCs w:val="18"/>
          <w:rtl/>
        </w:rPr>
        <w:t>בלא</w:t>
      </w:r>
      <w:r w:rsidRPr="009B400C">
        <w:rPr>
          <w:rFonts w:cs="Arial"/>
          <w:sz w:val="18"/>
          <w:szCs w:val="18"/>
          <w:rtl/>
        </w:rPr>
        <w:t xml:space="preserve"> </w:t>
      </w:r>
      <w:r w:rsidRPr="009B400C">
        <w:rPr>
          <w:rFonts w:cs="Arial" w:hint="cs"/>
          <w:sz w:val="18"/>
          <w:szCs w:val="18"/>
          <w:rtl/>
        </w:rPr>
        <w:t>ימים</w:t>
      </w:r>
      <w:r w:rsidRPr="009B400C">
        <w:rPr>
          <w:rFonts w:cs="Arial"/>
          <w:sz w:val="18"/>
          <w:szCs w:val="18"/>
          <w:rtl/>
        </w:rPr>
        <w:t xml:space="preserve"> </w:t>
      </w:r>
      <w:r w:rsidRPr="009B400C">
        <w:rPr>
          <w:rFonts w:cs="Arial" w:hint="cs"/>
          <w:sz w:val="18"/>
          <w:szCs w:val="18"/>
          <w:rtl/>
        </w:rPr>
        <w:t>שו</w:t>
      </w:r>
      <w:r>
        <w:rPr>
          <w:rFonts w:cs="Arial" w:hint="cs"/>
          <w:sz w:val="18"/>
          <w:szCs w:val="18"/>
          <w:rtl/>
        </w:rPr>
        <w:t>ו</w:t>
      </w:r>
      <w:r w:rsidRPr="009B400C">
        <w:rPr>
          <w:rFonts w:cs="Arial" w:hint="cs"/>
          <w:sz w:val="18"/>
          <w:szCs w:val="18"/>
          <w:rtl/>
        </w:rPr>
        <w:t>ים</w:t>
      </w:r>
      <w:r>
        <w:rPr>
          <w:rFonts w:cs="Arial" w:hint="cs"/>
          <w:sz w:val="18"/>
          <w:szCs w:val="18"/>
          <w:rtl/>
        </w:rPr>
        <w:t xml:space="preserve"> (תוספות)</w:t>
      </w:r>
      <w:r>
        <w:rPr>
          <w:rFonts w:hint="cs"/>
          <w:sz w:val="20"/>
          <w:szCs w:val="20"/>
          <w:rtl/>
        </w:rPr>
        <w:t>".</w:t>
      </w:r>
    </w:p>
    <w:p w:rsidR="00620060" w:rsidRPr="009906EE" w:rsidRDefault="00620060" w:rsidP="00620060">
      <w:pPr>
        <w:rPr>
          <w:sz w:val="20"/>
          <w:szCs w:val="20"/>
          <w:rtl/>
        </w:rPr>
      </w:pPr>
      <w:r>
        <w:rPr>
          <w:rFonts w:hint="cs"/>
          <w:sz w:val="20"/>
          <w:szCs w:val="20"/>
          <w:u w:val="single"/>
          <w:rtl/>
        </w:rPr>
        <w:t>עקירת הווסת (פת"ש)</w:t>
      </w:r>
      <w:r>
        <w:rPr>
          <w:rFonts w:hint="cs"/>
          <w:sz w:val="20"/>
          <w:szCs w:val="20"/>
          <w:u w:val="single"/>
          <w:rtl/>
        </w:rPr>
        <w:br/>
      </w:r>
      <w:r w:rsidRPr="009906EE">
        <w:rPr>
          <w:rFonts w:hint="cs"/>
          <w:b/>
          <w:bCs/>
          <w:sz w:val="20"/>
          <w:szCs w:val="20"/>
          <w:rtl/>
        </w:rPr>
        <w:t>חוו"ד</w:t>
      </w:r>
      <w:r>
        <w:rPr>
          <w:rFonts w:hint="cs"/>
          <w:sz w:val="20"/>
          <w:szCs w:val="20"/>
          <w:rtl/>
        </w:rPr>
        <w:t xml:space="preserve"> </w:t>
      </w:r>
      <w:r>
        <w:rPr>
          <w:sz w:val="20"/>
          <w:szCs w:val="20"/>
          <w:rtl/>
        </w:rPr>
        <w:t>–</w:t>
      </w:r>
      <w:r>
        <w:rPr>
          <w:rFonts w:hint="cs"/>
          <w:sz w:val="20"/>
          <w:szCs w:val="20"/>
          <w:rtl/>
        </w:rPr>
        <w:t xml:space="preserve"> אם אכלה ג' פעמים מאכלים חריפים ולא ראתה, לא נעקר ווסתה מאכילת פלפל, שום ובצל.</w:t>
      </w:r>
      <w:r>
        <w:rPr>
          <w:sz w:val="20"/>
          <w:szCs w:val="20"/>
          <w:rtl/>
        </w:rPr>
        <w:br/>
      </w:r>
      <w:r>
        <w:rPr>
          <w:rFonts w:hint="cs"/>
          <w:sz w:val="20"/>
          <w:szCs w:val="20"/>
          <w:rtl/>
        </w:rPr>
        <w:t>אמנם, אם אכלה ג' פעמים שום ולא ראתה, נעקר ווסתה אף מפלפל ובצל.</w:t>
      </w:r>
      <w:r>
        <w:rPr>
          <w:sz w:val="20"/>
          <w:szCs w:val="20"/>
          <w:rtl/>
        </w:rPr>
        <w:br/>
      </w:r>
      <w:r w:rsidRPr="006879C2">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כיוון שנעקר דבר אחד מהדברים שבהם נקבע הווסת, התבטלה כל החזקה.</w:t>
      </w:r>
    </w:p>
    <w:p w:rsidR="00620060"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E36B1E">
        <w:rPr>
          <w:rFonts w:hint="cs"/>
          <w:b/>
          <w:bCs/>
          <w:sz w:val="20"/>
          <w:szCs w:val="20"/>
          <w:rtl/>
        </w:rPr>
        <w:t>מחבר</w:t>
      </w:r>
      <w:r>
        <w:rPr>
          <w:rFonts w:hint="cs"/>
          <w:sz w:val="20"/>
          <w:szCs w:val="20"/>
          <w:rtl/>
        </w:rPr>
        <w:t>. ראתה פ"א בפיהוק ופ"א בעיטוש וכדומה, אינה קובעת ווסת.</w:t>
      </w:r>
      <w:r>
        <w:rPr>
          <w:sz w:val="20"/>
          <w:szCs w:val="20"/>
          <w:rtl/>
        </w:rPr>
        <w:br/>
      </w:r>
      <w:r>
        <w:rPr>
          <w:rFonts w:hint="cs"/>
          <w:sz w:val="20"/>
          <w:szCs w:val="20"/>
          <w:rtl/>
        </w:rPr>
        <w:t xml:space="preserve">2. </w:t>
      </w:r>
      <w:r w:rsidRPr="00E36B1E">
        <w:rPr>
          <w:rFonts w:hint="cs"/>
          <w:b/>
          <w:bCs/>
          <w:sz w:val="20"/>
          <w:szCs w:val="20"/>
          <w:rtl/>
        </w:rPr>
        <w:t>גמרא</w:t>
      </w:r>
      <w:r>
        <w:rPr>
          <w:rFonts w:hint="cs"/>
          <w:sz w:val="20"/>
          <w:szCs w:val="20"/>
          <w:rtl/>
        </w:rPr>
        <w:t xml:space="preserve">. </w:t>
      </w:r>
      <w:r w:rsidRPr="00E36B1E">
        <w:rPr>
          <w:rFonts w:hint="cs"/>
          <w:sz w:val="20"/>
          <w:szCs w:val="20"/>
          <w:u w:val="single"/>
          <w:rtl/>
        </w:rPr>
        <w:t>רב הונא</w:t>
      </w:r>
      <w:r>
        <w:rPr>
          <w:rFonts w:hint="cs"/>
          <w:sz w:val="20"/>
          <w:szCs w:val="20"/>
          <w:rtl/>
        </w:rPr>
        <w:t>. יש קובעת ווסת ע"י אכילת מאכלים חריפים.</w:t>
      </w:r>
      <w:r>
        <w:rPr>
          <w:sz w:val="20"/>
          <w:szCs w:val="20"/>
          <w:rtl/>
        </w:rPr>
        <w:br/>
      </w:r>
      <w:r>
        <w:rPr>
          <w:rFonts w:hint="cs"/>
          <w:sz w:val="20"/>
          <w:szCs w:val="20"/>
          <w:rtl/>
        </w:rPr>
        <w:t xml:space="preserve">3. </w:t>
      </w:r>
      <w:r w:rsidRPr="00E36B1E">
        <w:rPr>
          <w:rFonts w:hint="cs"/>
          <w:b/>
          <w:bCs/>
          <w:sz w:val="20"/>
          <w:szCs w:val="20"/>
          <w:rtl/>
        </w:rPr>
        <w:t>טור</w:t>
      </w:r>
      <w:r>
        <w:rPr>
          <w:rFonts w:hint="cs"/>
          <w:sz w:val="20"/>
          <w:szCs w:val="20"/>
          <w:rtl/>
        </w:rPr>
        <w:t xml:space="preserve">. אין מאכל חריף קובע ווסת. </w:t>
      </w:r>
      <w:r w:rsidRPr="00177B38">
        <w:rPr>
          <w:rFonts w:hint="cs"/>
          <w:b/>
          <w:bCs/>
          <w:sz w:val="20"/>
          <w:szCs w:val="20"/>
          <w:rtl/>
        </w:rPr>
        <w:t>טעם</w:t>
      </w:r>
      <w:r>
        <w:rPr>
          <w:rFonts w:hint="cs"/>
          <w:sz w:val="20"/>
          <w:szCs w:val="20"/>
          <w:rtl/>
        </w:rPr>
        <w:t xml:space="preserve">. דברי רב הונא נדחו. </w:t>
      </w:r>
      <w:r w:rsidRPr="00E36B1E">
        <w:rPr>
          <w:rFonts w:hint="cs"/>
          <w:b/>
          <w:bCs/>
          <w:sz w:val="20"/>
          <w:szCs w:val="20"/>
          <w:rtl/>
        </w:rPr>
        <w:t>רא"ש</w:t>
      </w:r>
      <w:r>
        <w:rPr>
          <w:rFonts w:hint="cs"/>
          <w:sz w:val="20"/>
          <w:szCs w:val="20"/>
          <w:rtl/>
        </w:rPr>
        <w:t xml:space="preserve">. מאכל חריף קובע ווסת, ואפילו מאכלים שונים מצטרפים לקביעות זאת, וכ"פ </w:t>
      </w:r>
      <w:r w:rsidRPr="00177B38">
        <w:rPr>
          <w:rFonts w:hint="cs"/>
          <w:b/>
          <w:bCs/>
          <w:sz w:val="20"/>
          <w:szCs w:val="20"/>
          <w:rtl/>
        </w:rPr>
        <w:t>הרמ"א</w:t>
      </w:r>
      <w:r>
        <w:rPr>
          <w:rFonts w:hint="cs"/>
          <w:sz w:val="20"/>
          <w:szCs w:val="20"/>
          <w:rtl/>
        </w:rPr>
        <w:t>.</w:t>
      </w:r>
      <w:r>
        <w:rPr>
          <w:rFonts w:hint="cs"/>
          <w:b/>
          <w:bCs/>
          <w:sz w:val="20"/>
          <w:szCs w:val="20"/>
          <w:rtl/>
        </w:rPr>
        <w:t xml:space="preserve"> </w:t>
      </w:r>
      <w:r>
        <w:rPr>
          <w:b/>
          <w:bCs/>
          <w:sz w:val="20"/>
          <w:szCs w:val="20"/>
          <w:rtl/>
        </w:rPr>
        <w:br/>
      </w:r>
      <w:r>
        <w:rPr>
          <w:rFonts w:hint="cs"/>
          <w:sz w:val="20"/>
          <w:szCs w:val="20"/>
          <w:rtl/>
        </w:rPr>
        <w:t xml:space="preserve">4. אופן קביעת הווסת. </w:t>
      </w:r>
      <w:r w:rsidRPr="00E36B1E">
        <w:rPr>
          <w:rFonts w:hint="cs"/>
          <w:b/>
          <w:bCs/>
          <w:sz w:val="20"/>
          <w:szCs w:val="20"/>
          <w:rtl/>
        </w:rPr>
        <w:t>רשב"א</w:t>
      </w:r>
      <w:r>
        <w:rPr>
          <w:rFonts w:hint="cs"/>
          <w:sz w:val="20"/>
          <w:szCs w:val="20"/>
          <w:rtl/>
        </w:rPr>
        <w:t xml:space="preserve">. מאכל חריף קובע ווסת רק בצירוף לימים. </w:t>
      </w:r>
      <w:r w:rsidRPr="00177B38">
        <w:rPr>
          <w:rFonts w:hint="cs"/>
          <w:b/>
          <w:bCs/>
          <w:sz w:val="20"/>
          <w:szCs w:val="20"/>
          <w:rtl/>
        </w:rPr>
        <w:t>תוספות</w:t>
      </w:r>
      <w:r>
        <w:rPr>
          <w:rFonts w:hint="cs"/>
          <w:sz w:val="20"/>
          <w:szCs w:val="20"/>
          <w:rtl/>
        </w:rPr>
        <w:t>. קובע אף בפני עצמו.</w:t>
      </w:r>
      <w:r>
        <w:rPr>
          <w:sz w:val="20"/>
          <w:szCs w:val="20"/>
          <w:rtl/>
        </w:rPr>
        <w:br/>
      </w:r>
      <w:r>
        <w:rPr>
          <w:rFonts w:hint="cs"/>
          <w:sz w:val="20"/>
          <w:szCs w:val="20"/>
          <w:rtl/>
        </w:rPr>
        <w:t xml:space="preserve">5. </w:t>
      </w:r>
      <w:r w:rsidRPr="00E36B1E">
        <w:rPr>
          <w:rFonts w:hint="cs"/>
          <w:b/>
          <w:bCs/>
          <w:sz w:val="20"/>
          <w:szCs w:val="20"/>
          <w:rtl/>
        </w:rPr>
        <w:t>רמ"א</w:t>
      </w:r>
      <w:r>
        <w:rPr>
          <w:rFonts w:hint="cs"/>
          <w:sz w:val="20"/>
          <w:szCs w:val="20"/>
          <w:rtl/>
        </w:rPr>
        <w:t>. יש קובעת ווסת ע"י אכילת דברים חריפים. והביא ב' דעות האם נקבע לבד או רק בצירוף לימים.</w:t>
      </w:r>
      <w:r>
        <w:rPr>
          <w:sz w:val="20"/>
          <w:szCs w:val="20"/>
          <w:rtl/>
        </w:rPr>
        <w:br/>
      </w:r>
      <w:r>
        <w:rPr>
          <w:rFonts w:hint="cs"/>
          <w:sz w:val="20"/>
          <w:szCs w:val="20"/>
          <w:rtl/>
        </w:rPr>
        <w:t xml:space="preserve">6. </w:t>
      </w:r>
      <w:r w:rsidRPr="006879C2">
        <w:rPr>
          <w:rFonts w:hint="cs"/>
          <w:b/>
          <w:bCs/>
          <w:sz w:val="20"/>
          <w:szCs w:val="20"/>
          <w:rtl/>
        </w:rPr>
        <w:t>חוו"ד</w:t>
      </w:r>
      <w:r>
        <w:rPr>
          <w:rFonts w:hint="cs"/>
          <w:sz w:val="20"/>
          <w:szCs w:val="20"/>
          <w:rtl/>
        </w:rPr>
        <w:t xml:space="preserve">. אכלה ג"פ דבר חריף ולא ראתה </w:t>
      </w:r>
      <w:r>
        <w:rPr>
          <w:sz w:val="20"/>
          <w:szCs w:val="20"/>
          <w:rtl/>
        </w:rPr>
        <w:t>–</w:t>
      </w:r>
      <w:r>
        <w:rPr>
          <w:rFonts w:hint="cs"/>
          <w:sz w:val="20"/>
          <w:szCs w:val="20"/>
          <w:rtl/>
        </w:rPr>
        <w:t xml:space="preserve"> לא נעקר. אכלה ג"פ אחד ממה שקבע ווסתה ולא ראתה </w:t>
      </w:r>
      <w:r>
        <w:rPr>
          <w:sz w:val="20"/>
          <w:szCs w:val="20"/>
          <w:rtl/>
        </w:rPr>
        <w:t>–</w:t>
      </w:r>
      <w:r>
        <w:rPr>
          <w:rFonts w:hint="cs"/>
          <w:sz w:val="20"/>
          <w:szCs w:val="20"/>
          <w:rtl/>
        </w:rPr>
        <w:t xml:space="preserve"> נעקר.</w:t>
      </w:r>
    </w:p>
    <w:p w:rsidR="00620060" w:rsidRDefault="00620060" w:rsidP="00620060">
      <w:pPr>
        <w:rPr>
          <w:sz w:val="20"/>
          <w:szCs w:val="20"/>
          <w:rtl/>
        </w:rPr>
      </w:pPr>
      <w:r>
        <w:rPr>
          <w:sz w:val="20"/>
          <w:szCs w:val="20"/>
          <w:rtl/>
        </w:rPr>
        <w:br/>
      </w:r>
      <w:r>
        <w:rPr>
          <w:rFonts w:hint="cs"/>
          <w:b/>
          <w:bCs/>
          <w:sz w:val="20"/>
          <w:szCs w:val="20"/>
          <w:rtl/>
        </w:rPr>
        <w:t xml:space="preserve">סעיף כד </w:t>
      </w:r>
      <w:r>
        <w:rPr>
          <w:b/>
          <w:bCs/>
          <w:sz w:val="20"/>
          <w:szCs w:val="20"/>
          <w:rtl/>
        </w:rPr>
        <w:t>–</w:t>
      </w:r>
      <w:r>
        <w:rPr>
          <w:rFonts w:hint="cs"/>
          <w:b/>
          <w:bCs/>
          <w:sz w:val="20"/>
          <w:szCs w:val="20"/>
          <w:rtl/>
        </w:rPr>
        <w:t xml:space="preserve"> מתי יש לחוש לווסת </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משנה </w:t>
      </w:r>
      <w:r>
        <w:rPr>
          <w:rFonts w:hint="cs"/>
          <w:sz w:val="20"/>
          <w:szCs w:val="20"/>
          <w:rtl/>
        </w:rPr>
        <w:t xml:space="preserve">נידה (סג. </w:t>
      </w:r>
      <w:r>
        <w:rPr>
          <w:sz w:val="20"/>
          <w:szCs w:val="20"/>
          <w:rtl/>
        </w:rPr>
        <w:t>–</w:t>
      </w:r>
      <w:r>
        <w:rPr>
          <w:rFonts w:hint="cs"/>
          <w:sz w:val="20"/>
          <w:szCs w:val="20"/>
          <w:rtl/>
        </w:rPr>
        <w:t xml:space="preserve"> סג:) </w:t>
      </w:r>
      <w:r>
        <w:rPr>
          <w:rFonts w:cs="Arial" w:hint="cs"/>
          <w:sz w:val="20"/>
          <w:szCs w:val="20"/>
          <w:rtl/>
        </w:rPr>
        <w:t>"</w:t>
      </w:r>
      <w:r w:rsidRPr="003170B8">
        <w:rPr>
          <w:rFonts w:cs="Arial" w:hint="cs"/>
          <w:sz w:val="20"/>
          <w:szCs w:val="20"/>
          <w:rtl/>
        </w:rPr>
        <w:t>ואלו</w:t>
      </w:r>
      <w:r w:rsidRPr="003170B8">
        <w:rPr>
          <w:rFonts w:cs="Arial"/>
          <w:sz w:val="20"/>
          <w:szCs w:val="20"/>
          <w:rtl/>
        </w:rPr>
        <w:t xml:space="preserve"> </w:t>
      </w:r>
      <w:r w:rsidRPr="003170B8">
        <w:rPr>
          <w:rFonts w:cs="Arial" w:hint="cs"/>
          <w:sz w:val="20"/>
          <w:szCs w:val="20"/>
          <w:rtl/>
        </w:rPr>
        <w:t>הן</w:t>
      </w:r>
      <w:r w:rsidRPr="003170B8">
        <w:rPr>
          <w:rFonts w:cs="Arial"/>
          <w:sz w:val="20"/>
          <w:szCs w:val="20"/>
          <w:rtl/>
        </w:rPr>
        <w:t xml:space="preserve"> </w:t>
      </w:r>
      <w:r w:rsidRPr="003170B8">
        <w:rPr>
          <w:rFonts w:cs="Arial" w:hint="cs"/>
          <w:sz w:val="20"/>
          <w:szCs w:val="20"/>
          <w:rtl/>
        </w:rPr>
        <w:t>הו</w:t>
      </w:r>
      <w:r>
        <w:rPr>
          <w:rFonts w:cs="Arial" w:hint="cs"/>
          <w:sz w:val="20"/>
          <w:szCs w:val="20"/>
          <w:rtl/>
        </w:rPr>
        <w:t>ו</w:t>
      </w:r>
      <w:r w:rsidRPr="003170B8">
        <w:rPr>
          <w:rFonts w:cs="Arial" w:hint="cs"/>
          <w:sz w:val="20"/>
          <w:szCs w:val="20"/>
          <w:rtl/>
        </w:rPr>
        <w:t>סתות</w:t>
      </w:r>
      <w:r w:rsidRPr="003170B8">
        <w:rPr>
          <w:rFonts w:cs="Arial"/>
          <w:sz w:val="20"/>
          <w:szCs w:val="20"/>
          <w:rtl/>
        </w:rPr>
        <w:t xml:space="preserve">: </w:t>
      </w:r>
      <w:r w:rsidRPr="003170B8">
        <w:rPr>
          <w:rFonts w:cs="Arial" w:hint="cs"/>
          <w:sz w:val="20"/>
          <w:szCs w:val="20"/>
          <w:rtl/>
        </w:rPr>
        <w:t>מפהקת</w:t>
      </w:r>
      <w:r w:rsidRPr="003170B8">
        <w:rPr>
          <w:rFonts w:cs="Arial"/>
          <w:sz w:val="20"/>
          <w:szCs w:val="20"/>
          <w:rtl/>
        </w:rPr>
        <w:t xml:space="preserve">, </w:t>
      </w:r>
      <w:r w:rsidRPr="003170B8">
        <w:rPr>
          <w:rFonts w:cs="Arial" w:hint="cs"/>
          <w:sz w:val="20"/>
          <w:szCs w:val="20"/>
          <w:rtl/>
        </w:rPr>
        <w:t>ומעטשת</w:t>
      </w:r>
      <w:r>
        <w:rPr>
          <w:rFonts w:cs="Arial" w:hint="cs"/>
          <w:sz w:val="20"/>
          <w:szCs w:val="20"/>
          <w:rtl/>
        </w:rPr>
        <w:t xml:space="preserve">... </w:t>
      </w:r>
      <w:r w:rsidRPr="001411AA">
        <w:rPr>
          <w:rFonts w:cs="Arial"/>
          <w:sz w:val="20"/>
          <w:szCs w:val="20"/>
          <w:rtl/>
        </w:rPr>
        <w:t>היתה למודה להיות רואה בתח</w:t>
      </w:r>
      <w:r>
        <w:rPr>
          <w:rFonts w:cs="Arial" w:hint="cs"/>
          <w:sz w:val="20"/>
          <w:szCs w:val="20"/>
          <w:rtl/>
        </w:rPr>
        <w:t>י</w:t>
      </w:r>
      <w:r w:rsidRPr="001411AA">
        <w:rPr>
          <w:rFonts w:cs="Arial"/>
          <w:sz w:val="20"/>
          <w:szCs w:val="20"/>
          <w:rtl/>
        </w:rPr>
        <w:t>לת ה</w:t>
      </w:r>
      <w:r>
        <w:rPr>
          <w:rFonts w:cs="Arial" w:hint="cs"/>
          <w:sz w:val="20"/>
          <w:szCs w:val="20"/>
          <w:rtl/>
        </w:rPr>
        <w:t>ו</w:t>
      </w:r>
      <w:r w:rsidRPr="001411AA">
        <w:rPr>
          <w:rFonts w:cs="Arial"/>
          <w:sz w:val="20"/>
          <w:szCs w:val="20"/>
          <w:rtl/>
        </w:rPr>
        <w:t>וסתות, כל הטהרות שעשתה בתוך הו</w:t>
      </w:r>
      <w:r>
        <w:rPr>
          <w:rFonts w:cs="Arial" w:hint="cs"/>
          <w:sz w:val="20"/>
          <w:szCs w:val="20"/>
          <w:rtl/>
        </w:rPr>
        <w:t>ו</w:t>
      </w:r>
      <w:r w:rsidRPr="001411AA">
        <w:rPr>
          <w:rFonts w:cs="Arial"/>
          <w:sz w:val="20"/>
          <w:szCs w:val="20"/>
          <w:rtl/>
        </w:rPr>
        <w:t>סתות - טמאות. בסוף הו</w:t>
      </w:r>
      <w:r>
        <w:rPr>
          <w:rFonts w:cs="Arial" w:hint="cs"/>
          <w:sz w:val="20"/>
          <w:szCs w:val="20"/>
          <w:rtl/>
        </w:rPr>
        <w:t>ו</w:t>
      </w:r>
      <w:r w:rsidRPr="001411AA">
        <w:rPr>
          <w:rFonts w:cs="Arial"/>
          <w:sz w:val="20"/>
          <w:szCs w:val="20"/>
          <w:rtl/>
        </w:rPr>
        <w:t>סתות - כל הטהרות שעשתה בתוך ה</w:t>
      </w:r>
      <w:r>
        <w:rPr>
          <w:rFonts w:cs="Arial" w:hint="cs"/>
          <w:sz w:val="20"/>
          <w:szCs w:val="20"/>
          <w:rtl/>
        </w:rPr>
        <w:t>ו</w:t>
      </w:r>
      <w:r w:rsidRPr="001411AA">
        <w:rPr>
          <w:rFonts w:cs="Arial"/>
          <w:sz w:val="20"/>
          <w:szCs w:val="20"/>
          <w:rtl/>
        </w:rPr>
        <w:t xml:space="preserve">וסתות טהורות. </w:t>
      </w:r>
      <w:r w:rsidRPr="003170B8">
        <w:rPr>
          <w:rFonts w:cs="Arial" w:hint="cs"/>
          <w:sz w:val="20"/>
          <w:szCs w:val="20"/>
          <w:rtl/>
        </w:rPr>
        <w:t>רבי</w:t>
      </w:r>
      <w:r w:rsidRPr="003170B8">
        <w:rPr>
          <w:rFonts w:cs="Arial"/>
          <w:sz w:val="20"/>
          <w:szCs w:val="20"/>
          <w:rtl/>
        </w:rPr>
        <w:t xml:space="preserve"> </w:t>
      </w:r>
      <w:r w:rsidRPr="003170B8">
        <w:rPr>
          <w:rFonts w:cs="Arial" w:hint="cs"/>
          <w:sz w:val="20"/>
          <w:szCs w:val="20"/>
          <w:rtl/>
        </w:rPr>
        <w:t>יוסי</w:t>
      </w:r>
      <w:r w:rsidRPr="003170B8">
        <w:rPr>
          <w:rFonts w:cs="Arial"/>
          <w:sz w:val="20"/>
          <w:szCs w:val="20"/>
          <w:rtl/>
        </w:rPr>
        <w:t xml:space="preserve"> </w:t>
      </w:r>
      <w:r w:rsidRPr="003170B8">
        <w:rPr>
          <w:rFonts w:cs="Arial" w:hint="cs"/>
          <w:sz w:val="20"/>
          <w:szCs w:val="20"/>
          <w:rtl/>
        </w:rPr>
        <w:t>אומר</w:t>
      </w:r>
      <w:r w:rsidRPr="003170B8">
        <w:rPr>
          <w:rFonts w:cs="Arial"/>
          <w:sz w:val="20"/>
          <w:szCs w:val="20"/>
          <w:rtl/>
        </w:rPr>
        <w:t xml:space="preserve">: </w:t>
      </w:r>
      <w:r w:rsidRPr="003170B8">
        <w:rPr>
          <w:rFonts w:cs="Arial" w:hint="cs"/>
          <w:sz w:val="20"/>
          <w:szCs w:val="20"/>
          <w:rtl/>
        </w:rPr>
        <w:t>אף</w:t>
      </w:r>
      <w:r w:rsidRPr="003170B8">
        <w:rPr>
          <w:rFonts w:cs="Arial"/>
          <w:sz w:val="20"/>
          <w:szCs w:val="20"/>
          <w:rtl/>
        </w:rPr>
        <w:t xml:space="preserve"> </w:t>
      </w:r>
      <w:r w:rsidRPr="003170B8">
        <w:rPr>
          <w:rFonts w:cs="Arial" w:hint="cs"/>
          <w:sz w:val="20"/>
          <w:szCs w:val="20"/>
          <w:rtl/>
        </w:rPr>
        <w:t>ימים</w:t>
      </w:r>
      <w:r w:rsidRPr="003170B8">
        <w:rPr>
          <w:rFonts w:cs="Arial"/>
          <w:sz w:val="20"/>
          <w:szCs w:val="20"/>
          <w:rtl/>
        </w:rPr>
        <w:t xml:space="preserve"> </w:t>
      </w:r>
      <w:r w:rsidRPr="003170B8">
        <w:rPr>
          <w:rFonts w:cs="Arial" w:hint="cs"/>
          <w:sz w:val="20"/>
          <w:szCs w:val="20"/>
          <w:rtl/>
        </w:rPr>
        <w:t>ושעות</w:t>
      </w:r>
      <w:r w:rsidRPr="003170B8">
        <w:rPr>
          <w:rFonts w:cs="Arial"/>
          <w:sz w:val="20"/>
          <w:szCs w:val="20"/>
          <w:rtl/>
        </w:rPr>
        <w:t xml:space="preserve"> </w:t>
      </w:r>
      <w:r w:rsidRPr="003170B8">
        <w:rPr>
          <w:rFonts w:cs="Arial" w:hint="cs"/>
          <w:sz w:val="20"/>
          <w:szCs w:val="20"/>
          <w:rtl/>
        </w:rPr>
        <w:t>וסתות</w:t>
      </w:r>
      <w:r w:rsidRPr="003170B8">
        <w:rPr>
          <w:rFonts w:cs="Arial"/>
          <w:sz w:val="20"/>
          <w:szCs w:val="20"/>
          <w:rtl/>
        </w:rPr>
        <w:t xml:space="preserve">; </w:t>
      </w:r>
      <w:r w:rsidRPr="003170B8">
        <w:rPr>
          <w:rFonts w:cs="Arial" w:hint="cs"/>
          <w:sz w:val="20"/>
          <w:szCs w:val="20"/>
          <w:rtl/>
        </w:rPr>
        <w:t>היתה</w:t>
      </w:r>
      <w:r w:rsidRPr="003170B8">
        <w:rPr>
          <w:rFonts w:cs="Arial"/>
          <w:sz w:val="20"/>
          <w:szCs w:val="20"/>
          <w:rtl/>
        </w:rPr>
        <w:t xml:space="preserve"> </w:t>
      </w:r>
      <w:r w:rsidRPr="003170B8">
        <w:rPr>
          <w:rFonts w:cs="Arial" w:hint="cs"/>
          <w:sz w:val="20"/>
          <w:szCs w:val="20"/>
          <w:rtl/>
        </w:rPr>
        <w:t>למודה</w:t>
      </w:r>
      <w:r w:rsidRPr="003170B8">
        <w:rPr>
          <w:rFonts w:cs="Arial"/>
          <w:sz w:val="20"/>
          <w:szCs w:val="20"/>
          <w:rtl/>
        </w:rPr>
        <w:t xml:space="preserve"> </w:t>
      </w:r>
      <w:r w:rsidRPr="003170B8">
        <w:rPr>
          <w:rFonts w:cs="Arial" w:hint="cs"/>
          <w:sz w:val="20"/>
          <w:szCs w:val="20"/>
          <w:rtl/>
        </w:rPr>
        <w:t>להיות</w:t>
      </w:r>
      <w:r w:rsidRPr="003170B8">
        <w:rPr>
          <w:rFonts w:cs="Arial"/>
          <w:sz w:val="20"/>
          <w:szCs w:val="20"/>
          <w:rtl/>
        </w:rPr>
        <w:t xml:space="preserve"> </w:t>
      </w:r>
      <w:r w:rsidRPr="003170B8">
        <w:rPr>
          <w:rFonts w:cs="Arial" w:hint="cs"/>
          <w:sz w:val="20"/>
          <w:szCs w:val="20"/>
          <w:rtl/>
        </w:rPr>
        <w:t>רואה</w:t>
      </w:r>
      <w:r w:rsidRPr="003170B8">
        <w:rPr>
          <w:rFonts w:cs="Arial"/>
          <w:sz w:val="20"/>
          <w:szCs w:val="20"/>
          <w:rtl/>
        </w:rPr>
        <w:t xml:space="preserve"> </w:t>
      </w:r>
      <w:r w:rsidRPr="003170B8">
        <w:rPr>
          <w:rFonts w:cs="Arial" w:hint="cs"/>
          <w:sz w:val="20"/>
          <w:szCs w:val="20"/>
          <w:rtl/>
        </w:rPr>
        <w:t>עם</w:t>
      </w:r>
      <w:r w:rsidRPr="003170B8">
        <w:rPr>
          <w:rFonts w:cs="Arial"/>
          <w:sz w:val="20"/>
          <w:szCs w:val="20"/>
          <w:rtl/>
        </w:rPr>
        <w:t xml:space="preserve"> </w:t>
      </w:r>
      <w:r w:rsidRPr="003170B8">
        <w:rPr>
          <w:rFonts w:cs="Arial" w:hint="cs"/>
          <w:sz w:val="20"/>
          <w:szCs w:val="20"/>
          <w:rtl/>
        </w:rPr>
        <w:t>הנץ</w:t>
      </w:r>
      <w:r w:rsidRPr="003170B8">
        <w:rPr>
          <w:rFonts w:cs="Arial"/>
          <w:sz w:val="20"/>
          <w:szCs w:val="20"/>
          <w:rtl/>
        </w:rPr>
        <w:t xml:space="preserve"> </w:t>
      </w:r>
      <w:r w:rsidRPr="003170B8">
        <w:rPr>
          <w:rFonts w:cs="Arial" w:hint="cs"/>
          <w:sz w:val="20"/>
          <w:szCs w:val="20"/>
          <w:rtl/>
        </w:rPr>
        <w:t>החמה</w:t>
      </w:r>
      <w:r w:rsidRPr="003170B8">
        <w:rPr>
          <w:rFonts w:cs="Arial"/>
          <w:sz w:val="20"/>
          <w:szCs w:val="20"/>
          <w:rtl/>
        </w:rPr>
        <w:t xml:space="preserve"> - </w:t>
      </w:r>
      <w:r w:rsidRPr="003170B8">
        <w:rPr>
          <w:rFonts w:cs="Arial" w:hint="cs"/>
          <w:sz w:val="20"/>
          <w:szCs w:val="20"/>
          <w:rtl/>
        </w:rPr>
        <w:t>אינה</w:t>
      </w:r>
      <w:r w:rsidRPr="003170B8">
        <w:rPr>
          <w:rFonts w:cs="Arial"/>
          <w:sz w:val="20"/>
          <w:szCs w:val="20"/>
          <w:rtl/>
        </w:rPr>
        <w:t xml:space="preserve"> </w:t>
      </w:r>
      <w:r w:rsidRPr="003170B8">
        <w:rPr>
          <w:rFonts w:cs="Arial" w:hint="cs"/>
          <w:sz w:val="20"/>
          <w:szCs w:val="20"/>
          <w:rtl/>
        </w:rPr>
        <w:t>אסורה</w:t>
      </w:r>
      <w:r w:rsidRPr="003170B8">
        <w:rPr>
          <w:rFonts w:cs="Arial"/>
          <w:sz w:val="20"/>
          <w:szCs w:val="20"/>
          <w:rtl/>
        </w:rPr>
        <w:t xml:space="preserve"> </w:t>
      </w:r>
      <w:r w:rsidRPr="003170B8">
        <w:rPr>
          <w:rFonts w:cs="Arial" w:hint="cs"/>
          <w:sz w:val="20"/>
          <w:szCs w:val="20"/>
          <w:rtl/>
        </w:rPr>
        <w:t>אלא</w:t>
      </w:r>
      <w:r w:rsidRPr="003170B8">
        <w:rPr>
          <w:rFonts w:cs="Arial"/>
          <w:sz w:val="20"/>
          <w:szCs w:val="20"/>
          <w:rtl/>
        </w:rPr>
        <w:t xml:space="preserve"> </w:t>
      </w:r>
      <w:r w:rsidRPr="003170B8">
        <w:rPr>
          <w:rFonts w:cs="Arial" w:hint="cs"/>
          <w:sz w:val="20"/>
          <w:szCs w:val="20"/>
          <w:rtl/>
        </w:rPr>
        <w:t>עם</w:t>
      </w:r>
      <w:r w:rsidRPr="003170B8">
        <w:rPr>
          <w:rFonts w:cs="Arial"/>
          <w:sz w:val="20"/>
          <w:szCs w:val="20"/>
          <w:rtl/>
        </w:rPr>
        <w:t xml:space="preserve"> </w:t>
      </w:r>
      <w:r w:rsidRPr="003170B8">
        <w:rPr>
          <w:rFonts w:cs="Arial" w:hint="cs"/>
          <w:sz w:val="20"/>
          <w:szCs w:val="20"/>
          <w:rtl/>
        </w:rPr>
        <w:t>הנץ</w:t>
      </w:r>
      <w:r w:rsidRPr="003170B8">
        <w:rPr>
          <w:rFonts w:cs="Arial"/>
          <w:sz w:val="20"/>
          <w:szCs w:val="20"/>
          <w:rtl/>
        </w:rPr>
        <w:t xml:space="preserve"> </w:t>
      </w:r>
      <w:r w:rsidRPr="003170B8">
        <w:rPr>
          <w:rFonts w:cs="Arial" w:hint="cs"/>
          <w:sz w:val="20"/>
          <w:szCs w:val="20"/>
          <w:rtl/>
        </w:rPr>
        <w:t>החמה</w:t>
      </w:r>
      <w:r w:rsidRPr="003170B8">
        <w:rPr>
          <w:rFonts w:cs="Arial"/>
          <w:sz w:val="20"/>
          <w:szCs w:val="20"/>
          <w:rtl/>
        </w:rPr>
        <w:t xml:space="preserve">. </w:t>
      </w:r>
      <w:r w:rsidRPr="003170B8">
        <w:rPr>
          <w:rFonts w:cs="Arial" w:hint="cs"/>
          <w:sz w:val="20"/>
          <w:szCs w:val="20"/>
          <w:rtl/>
        </w:rPr>
        <w:t>רבי</w:t>
      </w:r>
      <w:r w:rsidRPr="003170B8">
        <w:rPr>
          <w:rFonts w:cs="Arial"/>
          <w:sz w:val="20"/>
          <w:szCs w:val="20"/>
          <w:rtl/>
        </w:rPr>
        <w:t xml:space="preserve"> </w:t>
      </w:r>
      <w:r w:rsidRPr="003170B8">
        <w:rPr>
          <w:rFonts w:cs="Arial" w:hint="cs"/>
          <w:sz w:val="20"/>
          <w:szCs w:val="20"/>
          <w:rtl/>
        </w:rPr>
        <w:t>יהודה</w:t>
      </w:r>
      <w:r w:rsidRPr="003170B8">
        <w:rPr>
          <w:rFonts w:cs="Arial"/>
          <w:sz w:val="20"/>
          <w:szCs w:val="20"/>
          <w:rtl/>
        </w:rPr>
        <w:t xml:space="preserve"> </w:t>
      </w:r>
      <w:r w:rsidRPr="003170B8">
        <w:rPr>
          <w:rFonts w:cs="Arial" w:hint="cs"/>
          <w:sz w:val="20"/>
          <w:szCs w:val="20"/>
          <w:rtl/>
        </w:rPr>
        <w:t>אומר</w:t>
      </w:r>
      <w:r w:rsidRPr="003170B8">
        <w:rPr>
          <w:rFonts w:cs="Arial"/>
          <w:sz w:val="20"/>
          <w:szCs w:val="20"/>
          <w:rtl/>
        </w:rPr>
        <w:t xml:space="preserve">: </w:t>
      </w:r>
      <w:r w:rsidRPr="003170B8">
        <w:rPr>
          <w:rFonts w:cs="Arial" w:hint="cs"/>
          <w:sz w:val="20"/>
          <w:szCs w:val="20"/>
          <w:rtl/>
        </w:rPr>
        <w:t>כל</w:t>
      </w:r>
      <w:r w:rsidRPr="003170B8">
        <w:rPr>
          <w:rFonts w:cs="Arial"/>
          <w:sz w:val="20"/>
          <w:szCs w:val="20"/>
          <w:rtl/>
        </w:rPr>
        <w:t xml:space="preserve"> </w:t>
      </w:r>
      <w:r w:rsidRPr="003170B8">
        <w:rPr>
          <w:rFonts w:cs="Arial" w:hint="cs"/>
          <w:sz w:val="20"/>
          <w:szCs w:val="20"/>
          <w:rtl/>
        </w:rPr>
        <w:t>היום</w:t>
      </w:r>
      <w:r w:rsidRPr="003170B8">
        <w:rPr>
          <w:rFonts w:cs="Arial"/>
          <w:sz w:val="20"/>
          <w:szCs w:val="20"/>
          <w:rtl/>
        </w:rPr>
        <w:t xml:space="preserve"> </w:t>
      </w:r>
      <w:r w:rsidRPr="003170B8">
        <w:rPr>
          <w:rFonts w:cs="Arial" w:hint="cs"/>
          <w:sz w:val="20"/>
          <w:szCs w:val="20"/>
          <w:rtl/>
        </w:rPr>
        <w:t>שלה</w:t>
      </w:r>
      <w:r>
        <w:rPr>
          <w:rFonts w:cs="Arial" w:hint="cs"/>
          <w:sz w:val="20"/>
          <w:szCs w:val="20"/>
          <w:rtl/>
        </w:rPr>
        <w:t>"</w:t>
      </w:r>
      <w:r w:rsidRPr="003170B8">
        <w:rPr>
          <w:rFonts w:cs="Arial"/>
          <w:sz w:val="20"/>
          <w:szCs w:val="20"/>
          <w:rtl/>
        </w:rPr>
        <w:t>.</w:t>
      </w:r>
      <w:r>
        <w:rPr>
          <w:rFonts w:cs="Arial" w:hint="cs"/>
          <w:sz w:val="20"/>
          <w:szCs w:val="20"/>
          <w:rtl/>
        </w:rPr>
        <w:br/>
      </w:r>
      <w:r>
        <w:rPr>
          <w:rFonts w:hint="cs"/>
          <w:sz w:val="20"/>
          <w:szCs w:val="20"/>
          <w:rtl/>
        </w:rPr>
        <w:lastRenderedPageBreak/>
        <w:br/>
      </w:r>
      <w:r w:rsidRPr="001411AA">
        <w:rPr>
          <w:rFonts w:hint="cs"/>
          <w:b/>
          <w:bCs/>
          <w:sz w:val="20"/>
          <w:szCs w:val="20"/>
          <w:rtl/>
        </w:rPr>
        <w:t>מתי חוששת לווסתה?</w:t>
      </w:r>
      <w:r>
        <w:rPr>
          <w:rFonts w:hint="cs"/>
          <w:sz w:val="20"/>
          <w:szCs w:val="20"/>
          <w:u w:val="single"/>
          <w:rtl/>
        </w:rPr>
        <w:br/>
      </w:r>
      <w:r w:rsidRPr="00FD77CE">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ווסת הגוף קל משאר הווסתות בכך שחוששת לו רק בזמן שרגילה לראות ולא כל העונה.</w:t>
      </w:r>
      <w:r>
        <w:rPr>
          <w:sz w:val="20"/>
          <w:szCs w:val="20"/>
          <w:rtl/>
        </w:rPr>
        <w:br/>
      </w:r>
      <w:r>
        <w:rPr>
          <w:rFonts w:hint="cs"/>
          <w:sz w:val="20"/>
          <w:szCs w:val="20"/>
          <w:rtl/>
        </w:rPr>
        <w:t xml:space="preserve">כגון </w:t>
      </w:r>
      <w:r>
        <w:rPr>
          <w:sz w:val="20"/>
          <w:szCs w:val="20"/>
          <w:rtl/>
        </w:rPr>
        <w:t>–</w:t>
      </w:r>
      <w:r>
        <w:rPr>
          <w:rFonts w:hint="cs"/>
          <w:sz w:val="20"/>
          <w:szCs w:val="20"/>
          <w:rtl/>
        </w:rPr>
        <w:t xml:space="preserve"> רגילה לראות בסוף הפיהוק, מותרת בתחילתו. אמנם, אם רגילה לראות בתחילת הפיהוק אסורה כל משך הפיהוק, שמא תראה באמצע או בסוף. ומכל מקום לאחר הפיהוק מותרת מייד ואינה חוששת לכל העונה.</w:t>
      </w:r>
      <w:r>
        <w:rPr>
          <w:sz w:val="20"/>
          <w:szCs w:val="20"/>
          <w:rtl/>
        </w:rPr>
        <w:br/>
      </w:r>
      <w:r w:rsidRPr="00FD77CE">
        <w:rPr>
          <w:rFonts w:hint="cs"/>
          <w:b/>
          <w:bCs/>
          <w:sz w:val="20"/>
          <w:szCs w:val="20"/>
          <w:rtl/>
        </w:rPr>
        <w:t>ראיה</w:t>
      </w:r>
      <w:r>
        <w:rPr>
          <w:rFonts w:hint="cs"/>
          <w:sz w:val="20"/>
          <w:szCs w:val="20"/>
          <w:rtl/>
        </w:rPr>
        <w:t xml:space="preserve"> </w:t>
      </w:r>
      <w:r>
        <w:rPr>
          <w:sz w:val="20"/>
          <w:szCs w:val="20"/>
          <w:rtl/>
        </w:rPr>
        <w:t>–</w:t>
      </w:r>
      <w:r>
        <w:rPr>
          <w:rFonts w:hint="cs"/>
          <w:sz w:val="20"/>
          <w:szCs w:val="20"/>
          <w:rtl/>
        </w:rPr>
        <w:t xml:space="preserve"> במשנה לעיל נחלקו רבי יוסי ורבי יהודה באיזה שלב של הווסת אסורה. מחלוקת זו נאמרה רק לגבי למודה לראות ביום מסויים, אך לא נחלקו לגבי הרישא העוסקת בווסתות הגוף. משמע שבווסת הגוף אין מחלוקת שאסורה רק בשעת הווסת ותו לא.</w:t>
      </w:r>
    </w:p>
    <w:p w:rsidR="00620060" w:rsidRPr="004B340B"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946736">
        <w:rPr>
          <w:rFonts w:cs="Arial" w:hint="cs"/>
          <w:sz w:val="20"/>
          <w:szCs w:val="20"/>
          <w:rtl/>
        </w:rPr>
        <w:t>וכולם</w:t>
      </w:r>
      <w:r w:rsidRPr="00946736">
        <w:rPr>
          <w:rFonts w:cs="Arial"/>
          <w:sz w:val="20"/>
          <w:szCs w:val="20"/>
          <w:rtl/>
        </w:rPr>
        <w:t xml:space="preserve"> </w:t>
      </w:r>
      <w:r w:rsidRPr="00946736">
        <w:rPr>
          <w:rFonts w:cs="Arial" w:hint="cs"/>
          <w:sz w:val="20"/>
          <w:szCs w:val="20"/>
          <w:rtl/>
        </w:rPr>
        <w:t>אין</w:t>
      </w:r>
      <w:r w:rsidRPr="00946736">
        <w:rPr>
          <w:rFonts w:cs="Arial"/>
          <w:sz w:val="20"/>
          <w:szCs w:val="20"/>
          <w:rtl/>
        </w:rPr>
        <w:t xml:space="preserve"> </w:t>
      </w:r>
      <w:r w:rsidRPr="00946736">
        <w:rPr>
          <w:rFonts w:cs="Arial" w:hint="cs"/>
          <w:sz w:val="20"/>
          <w:szCs w:val="20"/>
          <w:rtl/>
        </w:rPr>
        <w:t>חוששין</w:t>
      </w:r>
      <w:r w:rsidRPr="00946736">
        <w:rPr>
          <w:rFonts w:cs="Arial"/>
          <w:sz w:val="20"/>
          <w:szCs w:val="20"/>
          <w:rtl/>
        </w:rPr>
        <w:t xml:space="preserve"> </w:t>
      </w:r>
      <w:r w:rsidRPr="00946736">
        <w:rPr>
          <w:rFonts w:cs="Arial" w:hint="cs"/>
          <w:sz w:val="20"/>
          <w:szCs w:val="20"/>
          <w:rtl/>
        </w:rPr>
        <w:t>להם</w:t>
      </w:r>
      <w:r w:rsidRPr="00946736">
        <w:rPr>
          <w:rFonts w:cs="Arial"/>
          <w:sz w:val="20"/>
          <w:szCs w:val="20"/>
          <w:rtl/>
        </w:rPr>
        <w:t xml:space="preserve"> </w:t>
      </w:r>
      <w:r w:rsidRPr="00946736">
        <w:rPr>
          <w:rFonts w:cs="Arial" w:hint="cs"/>
          <w:sz w:val="20"/>
          <w:szCs w:val="20"/>
          <w:rtl/>
        </w:rPr>
        <w:t>אלא</w:t>
      </w:r>
      <w:r w:rsidRPr="00946736">
        <w:rPr>
          <w:rFonts w:cs="Arial"/>
          <w:sz w:val="20"/>
          <w:szCs w:val="20"/>
          <w:rtl/>
        </w:rPr>
        <w:t xml:space="preserve"> </w:t>
      </w:r>
      <w:r w:rsidRPr="00946736">
        <w:rPr>
          <w:rFonts w:cs="Arial" w:hint="cs"/>
          <w:sz w:val="20"/>
          <w:szCs w:val="20"/>
          <w:rtl/>
        </w:rPr>
        <w:t>לשעתה</w:t>
      </w:r>
      <w:r>
        <w:rPr>
          <w:rFonts w:cs="Arial" w:hint="cs"/>
          <w:sz w:val="20"/>
          <w:szCs w:val="20"/>
          <w:rtl/>
        </w:rPr>
        <w:t>.</w:t>
      </w:r>
      <w:r w:rsidRPr="00946736">
        <w:rPr>
          <w:rFonts w:cs="Arial"/>
          <w:sz w:val="20"/>
          <w:szCs w:val="20"/>
          <w:rtl/>
        </w:rPr>
        <w:t xml:space="preserve"> </w:t>
      </w:r>
      <w:r w:rsidRPr="00946736">
        <w:rPr>
          <w:rFonts w:cs="Arial" w:hint="cs"/>
          <w:sz w:val="20"/>
          <w:szCs w:val="20"/>
          <w:rtl/>
        </w:rPr>
        <w:t>כיצד</w:t>
      </w:r>
      <w:r w:rsidRPr="00946736">
        <w:rPr>
          <w:rFonts w:cs="Arial"/>
          <w:sz w:val="20"/>
          <w:szCs w:val="20"/>
          <w:rtl/>
        </w:rPr>
        <w:t xml:space="preserve">, </w:t>
      </w:r>
      <w:r w:rsidRPr="00946736">
        <w:rPr>
          <w:rFonts w:cs="Arial" w:hint="cs"/>
          <w:sz w:val="20"/>
          <w:szCs w:val="20"/>
          <w:rtl/>
        </w:rPr>
        <w:t>היתה</w:t>
      </w:r>
      <w:r w:rsidRPr="00946736">
        <w:rPr>
          <w:rFonts w:cs="Arial"/>
          <w:sz w:val="20"/>
          <w:szCs w:val="20"/>
          <w:rtl/>
        </w:rPr>
        <w:t xml:space="preserve"> </w:t>
      </w:r>
      <w:r w:rsidRPr="00946736">
        <w:rPr>
          <w:rFonts w:cs="Arial" w:hint="cs"/>
          <w:sz w:val="20"/>
          <w:szCs w:val="20"/>
          <w:rtl/>
        </w:rPr>
        <w:t>רגילה</w:t>
      </w:r>
      <w:r w:rsidRPr="00946736">
        <w:rPr>
          <w:rFonts w:cs="Arial"/>
          <w:sz w:val="20"/>
          <w:szCs w:val="20"/>
          <w:rtl/>
        </w:rPr>
        <w:t xml:space="preserve"> </w:t>
      </w:r>
      <w:r w:rsidRPr="00946736">
        <w:rPr>
          <w:rFonts w:cs="Arial" w:hint="cs"/>
          <w:sz w:val="20"/>
          <w:szCs w:val="20"/>
          <w:rtl/>
        </w:rPr>
        <w:t>לראות</w:t>
      </w:r>
      <w:r w:rsidRPr="00946736">
        <w:rPr>
          <w:rFonts w:cs="Arial"/>
          <w:sz w:val="20"/>
          <w:szCs w:val="20"/>
          <w:rtl/>
        </w:rPr>
        <w:t xml:space="preserve"> </w:t>
      </w:r>
      <w:r w:rsidRPr="00946736">
        <w:rPr>
          <w:rFonts w:cs="Arial" w:hint="cs"/>
          <w:sz w:val="20"/>
          <w:szCs w:val="20"/>
          <w:rtl/>
        </w:rPr>
        <w:t>עם</w:t>
      </w:r>
      <w:r w:rsidRPr="00946736">
        <w:rPr>
          <w:rFonts w:cs="Arial"/>
          <w:sz w:val="20"/>
          <w:szCs w:val="20"/>
          <w:rtl/>
        </w:rPr>
        <w:t xml:space="preserve"> </w:t>
      </w:r>
      <w:r w:rsidRPr="00946736">
        <w:rPr>
          <w:rFonts w:cs="Arial" w:hint="cs"/>
          <w:sz w:val="20"/>
          <w:szCs w:val="20"/>
          <w:rtl/>
        </w:rPr>
        <w:t>התחלת</w:t>
      </w:r>
      <w:r w:rsidRPr="00946736">
        <w:rPr>
          <w:rFonts w:cs="Arial"/>
          <w:sz w:val="20"/>
          <w:szCs w:val="20"/>
          <w:rtl/>
        </w:rPr>
        <w:t xml:space="preserve"> </w:t>
      </w:r>
      <w:r w:rsidRPr="00946736">
        <w:rPr>
          <w:rFonts w:cs="Arial" w:hint="cs"/>
          <w:sz w:val="20"/>
          <w:szCs w:val="20"/>
          <w:rtl/>
        </w:rPr>
        <w:t>ה</w:t>
      </w:r>
      <w:r>
        <w:rPr>
          <w:rFonts w:cs="Arial" w:hint="cs"/>
          <w:sz w:val="20"/>
          <w:szCs w:val="20"/>
          <w:rtl/>
        </w:rPr>
        <w:t>ו</w:t>
      </w:r>
      <w:r w:rsidRPr="00946736">
        <w:rPr>
          <w:rFonts w:cs="Arial" w:hint="cs"/>
          <w:sz w:val="20"/>
          <w:szCs w:val="20"/>
          <w:rtl/>
        </w:rPr>
        <w:t>וסת</w:t>
      </w:r>
      <w:r w:rsidRPr="00946736">
        <w:rPr>
          <w:rFonts w:cs="Arial"/>
          <w:sz w:val="20"/>
          <w:szCs w:val="20"/>
          <w:rtl/>
        </w:rPr>
        <w:t xml:space="preserve"> </w:t>
      </w:r>
      <w:r w:rsidRPr="00946736">
        <w:rPr>
          <w:rFonts w:cs="Arial" w:hint="cs"/>
          <w:sz w:val="20"/>
          <w:szCs w:val="20"/>
          <w:rtl/>
        </w:rPr>
        <w:t>מיד</w:t>
      </w:r>
      <w:r w:rsidRPr="00946736">
        <w:rPr>
          <w:rFonts w:cs="Arial"/>
          <w:sz w:val="20"/>
          <w:szCs w:val="20"/>
          <w:rtl/>
        </w:rPr>
        <w:t xml:space="preserve">, </w:t>
      </w:r>
      <w:r w:rsidRPr="00946736">
        <w:rPr>
          <w:rFonts w:cs="Arial" w:hint="cs"/>
          <w:sz w:val="20"/>
          <w:szCs w:val="20"/>
          <w:rtl/>
        </w:rPr>
        <w:t>אסורה</w:t>
      </w:r>
      <w:r w:rsidRPr="00946736">
        <w:rPr>
          <w:rFonts w:cs="Arial"/>
          <w:sz w:val="20"/>
          <w:szCs w:val="20"/>
          <w:rtl/>
        </w:rPr>
        <w:t xml:space="preserve"> </w:t>
      </w:r>
      <w:r w:rsidRPr="00946736">
        <w:rPr>
          <w:rFonts w:cs="Arial" w:hint="cs"/>
          <w:sz w:val="20"/>
          <w:szCs w:val="20"/>
          <w:rtl/>
        </w:rPr>
        <w:t>כל</w:t>
      </w:r>
      <w:r w:rsidRPr="00946736">
        <w:rPr>
          <w:rFonts w:cs="Arial"/>
          <w:sz w:val="20"/>
          <w:szCs w:val="20"/>
          <w:rtl/>
        </w:rPr>
        <w:t xml:space="preserve"> </w:t>
      </w:r>
      <w:r w:rsidRPr="00946736">
        <w:rPr>
          <w:rFonts w:cs="Arial" w:hint="cs"/>
          <w:sz w:val="20"/>
          <w:szCs w:val="20"/>
          <w:rtl/>
        </w:rPr>
        <w:t>זמן</w:t>
      </w:r>
      <w:r w:rsidRPr="00946736">
        <w:rPr>
          <w:rFonts w:cs="Arial"/>
          <w:sz w:val="20"/>
          <w:szCs w:val="20"/>
          <w:rtl/>
        </w:rPr>
        <w:t xml:space="preserve"> </w:t>
      </w:r>
      <w:r w:rsidRPr="00946736">
        <w:rPr>
          <w:rFonts w:cs="Arial" w:hint="cs"/>
          <w:sz w:val="20"/>
          <w:szCs w:val="20"/>
          <w:rtl/>
        </w:rPr>
        <w:t>המשכת</w:t>
      </w:r>
      <w:r w:rsidRPr="00946736">
        <w:rPr>
          <w:rFonts w:cs="Arial"/>
          <w:sz w:val="20"/>
          <w:szCs w:val="20"/>
          <w:rtl/>
        </w:rPr>
        <w:t xml:space="preserve"> </w:t>
      </w:r>
      <w:r w:rsidRPr="00946736">
        <w:rPr>
          <w:rFonts w:cs="Arial" w:hint="cs"/>
          <w:sz w:val="20"/>
          <w:szCs w:val="20"/>
          <w:rtl/>
        </w:rPr>
        <w:t>הו</w:t>
      </w:r>
      <w:r>
        <w:rPr>
          <w:rFonts w:cs="Arial" w:hint="cs"/>
          <w:sz w:val="20"/>
          <w:szCs w:val="20"/>
          <w:rtl/>
        </w:rPr>
        <w:t>ו</w:t>
      </w:r>
      <w:r w:rsidRPr="00946736">
        <w:rPr>
          <w:rFonts w:cs="Arial" w:hint="cs"/>
          <w:sz w:val="20"/>
          <w:szCs w:val="20"/>
          <w:rtl/>
        </w:rPr>
        <w:t>סת</w:t>
      </w:r>
      <w:r w:rsidRPr="00946736">
        <w:rPr>
          <w:rFonts w:cs="Arial"/>
          <w:sz w:val="20"/>
          <w:szCs w:val="20"/>
          <w:rtl/>
        </w:rPr>
        <w:t xml:space="preserve">. </w:t>
      </w:r>
      <w:r w:rsidRPr="00946736">
        <w:rPr>
          <w:rFonts w:cs="Arial" w:hint="cs"/>
          <w:sz w:val="20"/>
          <w:szCs w:val="20"/>
          <w:rtl/>
        </w:rPr>
        <w:t>היתה</w:t>
      </w:r>
      <w:r w:rsidRPr="00946736">
        <w:rPr>
          <w:rFonts w:cs="Arial"/>
          <w:sz w:val="20"/>
          <w:szCs w:val="20"/>
          <w:rtl/>
        </w:rPr>
        <w:t xml:space="preserve"> </w:t>
      </w:r>
      <w:r w:rsidRPr="00946736">
        <w:rPr>
          <w:rFonts w:cs="Arial" w:hint="cs"/>
          <w:sz w:val="20"/>
          <w:szCs w:val="20"/>
          <w:rtl/>
        </w:rPr>
        <w:t>רגילה</w:t>
      </w:r>
      <w:r w:rsidRPr="00946736">
        <w:rPr>
          <w:rFonts w:cs="Arial"/>
          <w:sz w:val="20"/>
          <w:szCs w:val="20"/>
          <w:rtl/>
        </w:rPr>
        <w:t xml:space="preserve"> </w:t>
      </w:r>
      <w:r w:rsidRPr="00946736">
        <w:rPr>
          <w:rFonts w:cs="Arial" w:hint="cs"/>
          <w:sz w:val="20"/>
          <w:szCs w:val="20"/>
          <w:rtl/>
        </w:rPr>
        <w:t>לראות</w:t>
      </w:r>
      <w:r w:rsidRPr="00946736">
        <w:rPr>
          <w:rFonts w:cs="Arial"/>
          <w:sz w:val="20"/>
          <w:szCs w:val="20"/>
          <w:rtl/>
        </w:rPr>
        <w:t xml:space="preserve"> </w:t>
      </w:r>
      <w:r w:rsidRPr="00946736">
        <w:rPr>
          <w:rFonts w:cs="Arial" w:hint="cs"/>
          <w:sz w:val="20"/>
          <w:szCs w:val="20"/>
          <w:rtl/>
        </w:rPr>
        <w:t>בסופו</w:t>
      </w:r>
      <w:r w:rsidRPr="00946736">
        <w:rPr>
          <w:rFonts w:cs="Arial"/>
          <w:sz w:val="20"/>
          <w:szCs w:val="20"/>
          <w:rtl/>
        </w:rPr>
        <w:t xml:space="preserve">, </w:t>
      </w:r>
      <w:r w:rsidRPr="00946736">
        <w:rPr>
          <w:rFonts w:cs="Arial" w:hint="cs"/>
          <w:sz w:val="20"/>
          <w:szCs w:val="20"/>
          <w:rtl/>
        </w:rPr>
        <w:t>אינה</w:t>
      </w:r>
      <w:r w:rsidRPr="00946736">
        <w:rPr>
          <w:rFonts w:cs="Arial"/>
          <w:sz w:val="20"/>
          <w:szCs w:val="20"/>
          <w:rtl/>
        </w:rPr>
        <w:t xml:space="preserve"> </w:t>
      </w:r>
      <w:r w:rsidRPr="00946736">
        <w:rPr>
          <w:rFonts w:cs="Arial" w:hint="cs"/>
          <w:sz w:val="20"/>
          <w:szCs w:val="20"/>
          <w:rtl/>
        </w:rPr>
        <w:t>אסורה</w:t>
      </w:r>
      <w:r w:rsidRPr="00946736">
        <w:rPr>
          <w:rFonts w:cs="Arial"/>
          <w:sz w:val="20"/>
          <w:szCs w:val="20"/>
          <w:rtl/>
        </w:rPr>
        <w:t xml:space="preserve"> </w:t>
      </w:r>
      <w:r w:rsidRPr="00946736">
        <w:rPr>
          <w:rFonts w:cs="Arial" w:hint="cs"/>
          <w:sz w:val="20"/>
          <w:szCs w:val="20"/>
          <w:rtl/>
        </w:rPr>
        <w:t>אלא</w:t>
      </w:r>
      <w:r w:rsidRPr="00946736">
        <w:rPr>
          <w:rFonts w:cs="Arial"/>
          <w:sz w:val="20"/>
          <w:szCs w:val="20"/>
          <w:rtl/>
        </w:rPr>
        <w:t xml:space="preserve"> </w:t>
      </w:r>
      <w:r w:rsidRPr="00946736">
        <w:rPr>
          <w:rFonts w:cs="Arial" w:hint="cs"/>
          <w:sz w:val="20"/>
          <w:szCs w:val="20"/>
          <w:rtl/>
        </w:rPr>
        <w:t>בסופו</w:t>
      </w:r>
      <w:r>
        <w:rPr>
          <w:rFonts w:cs="Arial" w:hint="cs"/>
          <w:sz w:val="20"/>
          <w:szCs w:val="20"/>
          <w:rtl/>
        </w:rPr>
        <w:t>"</w:t>
      </w:r>
      <w:r w:rsidRPr="00946736">
        <w:rPr>
          <w:rFonts w:cs="Arial"/>
          <w:sz w:val="20"/>
          <w:szCs w:val="20"/>
          <w:rtl/>
        </w:rPr>
        <w:t>.</w:t>
      </w:r>
      <w:r>
        <w:rPr>
          <w:rFonts w:cs="Arial" w:hint="cs"/>
          <w:sz w:val="20"/>
          <w:szCs w:val="20"/>
          <w:rtl/>
        </w:rPr>
        <w:br/>
      </w:r>
      <w:r>
        <w:rPr>
          <w:sz w:val="20"/>
          <w:szCs w:val="20"/>
          <w:u w:val="single"/>
          <w:rtl/>
        </w:rPr>
        <w:br/>
      </w:r>
      <w:r>
        <w:rPr>
          <w:rFonts w:hint="cs"/>
          <w:sz w:val="20"/>
          <w:szCs w:val="20"/>
          <w:u w:val="single"/>
          <w:rtl/>
        </w:rPr>
        <w:t>דין זה בווסת הקפיצות</w:t>
      </w:r>
      <w:r>
        <w:rPr>
          <w:sz w:val="20"/>
          <w:szCs w:val="20"/>
          <w:u w:val="single"/>
          <w:rtl/>
        </w:rPr>
        <w:br/>
      </w:r>
      <w:r w:rsidRPr="00A919E5">
        <w:rPr>
          <w:rFonts w:hint="cs"/>
          <w:b/>
          <w:bCs/>
          <w:sz w:val="20"/>
          <w:szCs w:val="20"/>
          <w:rtl/>
        </w:rPr>
        <w:t xml:space="preserve">תורת השלמים </w:t>
      </w:r>
      <w:r>
        <w:rPr>
          <w:sz w:val="20"/>
          <w:szCs w:val="20"/>
          <w:rtl/>
        </w:rPr>
        <w:t>–</w:t>
      </w:r>
      <w:r>
        <w:rPr>
          <w:rFonts w:hint="cs"/>
          <w:sz w:val="20"/>
          <w:szCs w:val="20"/>
          <w:rtl/>
        </w:rPr>
        <w:t xml:space="preserve"> מדובר כאן על ווסת הפיהוק, אך בווסת הקפיצות אסורה תמיד כל אותה עונה.</w:t>
      </w:r>
      <w:r>
        <w:rPr>
          <w:sz w:val="20"/>
          <w:szCs w:val="20"/>
          <w:rtl/>
        </w:rPr>
        <w:br/>
      </w:r>
      <w:r w:rsidRPr="00A919E5">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ווסת הקפיצות נקבע רק בהרכבה </w:t>
      </w:r>
      <w:r w:rsidRPr="00A919E5">
        <w:rPr>
          <w:rFonts w:hint="cs"/>
          <w:sz w:val="18"/>
          <w:szCs w:val="18"/>
          <w:rtl/>
        </w:rPr>
        <w:t>(צירוף לימים)</w:t>
      </w:r>
      <w:r>
        <w:rPr>
          <w:rFonts w:hint="cs"/>
          <w:sz w:val="20"/>
          <w:szCs w:val="20"/>
          <w:rtl/>
        </w:rPr>
        <w:t>, ובווסת מורכב פוסק המחבר בסמוך לאסור כל העונה.</w:t>
      </w:r>
    </w:p>
    <w:p w:rsidR="00620060" w:rsidRDefault="00620060" w:rsidP="00620060">
      <w:pPr>
        <w:rPr>
          <w:sz w:val="20"/>
          <w:szCs w:val="20"/>
          <w:rtl/>
        </w:rPr>
      </w:pPr>
      <w:r>
        <w:rPr>
          <w:rFonts w:hint="cs"/>
          <w:b/>
          <w:bCs/>
          <w:sz w:val="20"/>
          <w:szCs w:val="20"/>
          <w:rtl/>
        </w:rPr>
        <w:t>ראייה שאינה מובלעת בכל הווסת</w:t>
      </w:r>
      <w:r>
        <w:rPr>
          <w:b/>
          <w:bCs/>
          <w:sz w:val="20"/>
          <w:szCs w:val="20"/>
          <w:rtl/>
        </w:rPr>
        <w:br/>
      </w:r>
      <w:r>
        <w:rPr>
          <w:rFonts w:hint="cs"/>
          <w:b/>
          <w:bCs/>
          <w:sz w:val="20"/>
          <w:szCs w:val="20"/>
          <w:rtl/>
        </w:rPr>
        <w:t xml:space="preserve">רשב"א </w:t>
      </w:r>
      <w:r>
        <w:rPr>
          <w:sz w:val="20"/>
          <w:szCs w:val="20"/>
          <w:rtl/>
        </w:rPr>
        <w:t>–</w:t>
      </w:r>
      <w:r>
        <w:rPr>
          <w:rFonts w:hint="cs"/>
          <w:sz w:val="20"/>
          <w:szCs w:val="20"/>
          <w:rtl/>
        </w:rPr>
        <w:t xml:space="preserve"> הדין הנ"ל שחוששת רק לזמן המדוייק שרגילה לראות נאמר רק אם כל ראייתה מובלעת בפיהוק, אך אם ראייתה נמשכת גם לאחר הפיהוק, נחלקו הראשונים:</w:t>
      </w:r>
      <w:r>
        <w:rPr>
          <w:rFonts w:hint="cs"/>
          <w:sz w:val="20"/>
          <w:szCs w:val="20"/>
          <w:rtl/>
        </w:rPr>
        <w:br/>
        <w:t xml:space="preserve">א. </w:t>
      </w:r>
      <w:r w:rsidRPr="002B78FB">
        <w:rPr>
          <w:rFonts w:hint="cs"/>
          <w:b/>
          <w:bCs/>
          <w:sz w:val="20"/>
          <w:szCs w:val="20"/>
          <w:rtl/>
        </w:rPr>
        <w:t>גדולי המורים</w:t>
      </w:r>
      <w:r>
        <w:rPr>
          <w:rFonts w:hint="cs"/>
          <w:sz w:val="20"/>
          <w:szCs w:val="20"/>
          <w:rtl/>
        </w:rPr>
        <w:t xml:space="preserve"> </w:t>
      </w:r>
      <w:r>
        <w:rPr>
          <w:sz w:val="20"/>
          <w:szCs w:val="20"/>
          <w:rtl/>
        </w:rPr>
        <w:t>–</w:t>
      </w:r>
      <w:r>
        <w:rPr>
          <w:rFonts w:hint="cs"/>
          <w:sz w:val="20"/>
          <w:szCs w:val="20"/>
          <w:rtl/>
        </w:rPr>
        <w:t xml:space="preserve"> אסורה כל אותה עונה, וכ"פ </w:t>
      </w:r>
      <w:r w:rsidRPr="00791F8E">
        <w:rPr>
          <w:rFonts w:hint="cs"/>
          <w:b/>
          <w:bCs/>
          <w:sz w:val="20"/>
          <w:szCs w:val="20"/>
          <w:rtl/>
        </w:rPr>
        <w:t>המחבר</w:t>
      </w:r>
      <w:r>
        <w:rPr>
          <w:rFonts w:hint="cs"/>
          <w:sz w:val="20"/>
          <w:szCs w:val="20"/>
          <w:rtl/>
        </w:rPr>
        <w:t>.</w:t>
      </w:r>
      <w:r>
        <w:rPr>
          <w:rStyle w:val="a5"/>
          <w:sz w:val="20"/>
          <w:szCs w:val="20"/>
          <w:rtl/>
        </w:rPr>
        <w:footnoteReference w:id="226"/>
      </w:r>
      <w:r>
        <w:rPr>
          <w:sz w:val="20"/>
          <w:szCs w:val="20"/>
          <w:rtl/>
        </w:rPr>
        <w:br/>
      </w:r>
      <w:r>
        <w:rPr>
          <w:rFonts w:hint="cs"/>
          <w:sz w:val="20"/>
          <w:szCs w:val="20"/>
          <w:rtl/>
        </w:rPr>
        <w:t xml:space="preserve">ב. </w:t>
      </w:r>
      <w:r w:rsidRPr="002B78FB">
        <w:rPr>
          <w:rFonts w:hint="cs"/>
          <w:b/>
          <w:bCs/>
          <w:sz w:val="20"/>
          <w:szCs w:val="20"/>
          <w:rtl/>
        </w:rPr>
        <w:t>רז"ה</w:t>
      </w:r>
      <w:r>
        <w:rPr>
          <w:rFonts w:hint="cs"/>
          <w:sz w:val="20"/>
          <w:szCs w:val="20"/>
          <w:rtl/>
        </w:rPr>
        <w:t xml:space="preserve"> </w:t>
      </w:r>
      <w:r>
        <w:rPr>
          <w:sz w:val="20"/>
          <w:szCs w:val="20"/>
          <w:rtl/>
        </w:rPr>
        <w:t>–</w:t>
      </w:r>
      <w:r>
        <w:rPr>
          <w:rFonts w:hint="cs"/>
          <w:sz w:val="20"/>
          <w:szCs w:val="20"/>
          <w:rtl/>
        </w:rPr>
        <w:t xml:space="preserve"> אסורה רק בשעת הפיהוק, אך מייד לאחר הפיהוק מותרת.</w:t>
      </w:r>
      <w:r>
        <w:rPr>
          <w:sz w:val="20"/>
          <w:szCs w:val="20"/>
          <w:rtl/>
        </w:rPr>
        <w:br/>
      </w:r>
      <w:r w:rsidRPr="002B78FB">
        <w:rPr>
          <w:rFonts w:hint="cs"/>
          <w:b/>
          <w:bCs/>
          <w:sz w:val="20"/>
          <w:szCs w:val="20"/>
          <w:rtl/>
        </w:rPr>
        <w:t xml:space="preserve">טעם </w:t>
      </w:r>
      <w:r>
        <w:rPr>
          <w:sz w:val="20"/>
          <w:szCs w:val="20"/>
          <w:rtl/>
        </w:rPr>
        <w:t>–</w:t>
      </w:r>
      <w:r>
        <w:rPr>
          <w:rFonts w:hint="cs"/>
          <w:sz w:val="20"/>
          <w:szCs w:val="20"/>
          <w:rtl/>
        </w:rPr>
        <w:t xml:space="preserve"> הולכים אחר </w:t>
      </w:r>
      <w:r w:rsidRPr="002B78FB">
        <w:rPr>
          <w:rFonts w:hint="cs"/>
          <w:sz w:val="20"/>
          <w:szCs w:val="20"/>
          <w:u w:val="single"/>
          <w:rtl/>
        </w:rPr>
        <w:t>תחילת</w:t>
      </w:r>
      <w:r>
        <w:rPr>
          <w:rFonts w:hint="cs"/>
          <w:sz w:val="20"/>
          <w:szCs w:val="20"/>
          <w:rtl/>
        </w:rPr>
        <w:t xml:space="preserve"> הראייה שהיא בעת הפיהוק, אך אין להתחשב בהמשך הראייה שלאחר הפיהוק.</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Pr>
          <w:rFonts w:cs="Arial" w:hint="cs"/>
          <w:sz w:val="20"/>
          <w:szCs w:val="20"/>
          <w:rtl/>
        </w:rPr>
        <w:t>"</w:t>
      </w:r>
      <w:r w:rsidRPr="00946736">
        <w:rPr>
          <w:rFonts w:cs="Arial" w:hint="cs"/>
          <w:sz w:val="20"/>
          <w:szCs w:val="20"/>
          <w:rtl/>
        </w:rPr>
        <w:t>במה</w:t>
      </w:r>
      <w:r w:rsidRPr="00946736">
        <w:rPr>
          <w:rFonts w:cs="Arial"/>
          <w:sz w:val="20"/>
          <w:szCs w:val="20"/>
          <w:rtl/>
        </w:rPr>
        <w:t xml:space="preserve"> </w:t>
      </w:r>
      <w:r w:rsidRPr="00946736">
        <w:rPr>
          <w:rFonts w:cs="Arial" w:hint="cs"/>
          <w:sz w:val="20"/>
          <w:szCs w:val="20"/>
          <w:rtl/>
        </w:rPr>
        <w:t>דברים</w:t>
      </w:r>
      <w:r w:rsidRPr="00946736">
        <w:rPr>
          <w:rFonts w:cs="Arial"/>
          <w:sz w:val="20"/>
          <w:szCs w:val="20"/>
          <w:rtl/>
        </w:rPr>
        <w:t xml:space="preserve"> </w:t>
      </w:r>
      <w:r w:rsidRPr="00946736">
        <w:rPr>
          <w:rFonts w:cs="Arial" w:hint="cs"/>
          <w:sz w:val="20"/>
          <w:szCs w:val="20"/>
          <w:rtl/>
        </w:rPr>
        <w:t>אמורים</w:t>
      </w:r>
      <w:r w:rsidRPr="00946736">
        <w:rPr>
          <w:rFonts w:cs="Arial"/>
          <w:sz w:val="20"/>
          <w:szCs w:val="20"/>
          <w:rtl/>
        </w:rPr>
        <w:t xml:space="preserve">, </w:t>
      </w:r>
      <w:r w:rsidRPr="00946736">
        <w:rPr>
          <w:rFonts w:cs="Arial" w:hint="cs"/>
          <w:sz w:val="20"/>
          <w:szCs w:val="20"/>
          <w:rtl/>
        </w:rPr>
        <w:t>בזמן</w:t>
      </w:r>
      <w:r w:rsidRPr="00946736">
        <w:rPr>
          <w:rFonts w:cs="Arial"/>
          <w:sz w:val="20"/>
          <w:szCs w:val="20"/>
          <w:rtl/>
        </w:rPr>
        <w:t xml:space="preserve"> </w:t>
      </w:r>
      <w:r w:rsidRPr="00946736">
        <w:rPr>
          <w:rFonts w:cs="Arial" w:hint="cs"/>
          <w:sz w:val="20"/>
          <w:szCs w:val="20"/>
          <w:rtl/>
        </w:rPr>
        <w:t>שכל</w:t>
      </w:r>
      <w:r w:rsidRPr="00946736">
        <w:rPr>
          <w:rFonts w:cs="Arial"/>
          <w:sz w:val="20"/>
          <w:szCs w:val="20"/>
          <w:rtl/>
        </w:rPr>
        <w:t xml:space="preserve"> </w:t>
      </w:r>
      <w:r w:rsidRPr="00946736">
        <w:rPr>
          <w:rFonts w:cs="Arial" w:hint="cs"/>
          <w:sz w:val="20"/>
          <w:szCs w:val="20"/>
          <w:rtl/>
        </w:rPr>
        <w:t>הראיה</w:t>
      </w:r>
      <w:r w:rsidRPr="00946736">
        <w:rPr>
          <w:rFonts w:cs="Arial"/>
          <w:sz w:val="20"/>
          <w:szCs w:val="20"/>
          <w:rtl/>
        </w:rPr>
        <w:t xml:space="preserve"> </w:t>
      </w:r>
      <w:r w:rsidRPr="00946736">
        <w:rPr>
          <w:rFonts w:cs="Arial" w:hint="cs"/>
          <w:sz w:val="20"/>
          <w:szCs w:val="20"/>
          <w:rtl/>
        </w:rPr>
        <w:t>מובלעת</w:t>
      </w:r>
      <w:r w:rsidRPr="00946736">
        <w:rPr>
          <w:rFonts w:cs="Arial"/>
          <w:sz w:val="20"/>
          <w:szCs w:val="20"/>
          <w:rtl/>
        </w:rPr>
        <w:t xml:space="preserve"> </w:t>
      </w:r>
      <w:r w:rsidRPr="00946736">
        <w:rPr>
          <w:rFonts w:cs="Arial" w:hint="cs"/>
          <w:sz w:val="20"/>
          <w:szCs w:val="20"/>
          <w:rtl/>
        </w:rPr>
        <w:t>בתוך</w:t>
      </w:r>
      <w:r w:rsidRPr="00946736">
        <w:rPr>
          <w:rFonts w:cs="Arial"/>
          <w:sz w:val="20"/>
          <w:szCs w:val="20"/>
          <w:rtl/>
        </w:rPr>
        <w:t xml:space="preserve"> </w:t>
      </w:r>
      <w:r w:rsidRPr="00946736">
        <w:rPr>
          <w:rFonts w:cs="Arial" w:hint="cs"/>
          <w:sz w:val="20"/>
          <w:szCs w:val="20"/>
          <w:rtl/>
        </w:rPr>
        <w:t>הו</w:t>
      </w:r>
      <w:r>
        <w:rPr>
          <w:rFonts w:cs="Arial" w:hint="cs"/>
          <w:sz w:val="20"/>
          <w:szCs w:val="20"/>
          <w:rtl/>
        </w:rPr>
        <w:t>ו</w:t>
      </w:r>
      <w:r w:rsidRPr="00946736">
        <w:rPr>
          <w:rFonts w:cs="Arial" w:hint="cs"/>
          <w:sz w:val="20"/>
          <w:szCs w:val="20"/>
          <w:rtl/>
        </w:rPr>
        <w:t>סת</w:t>
      </w:r>
      <w:r w:rsidRPr="00946736">
        <w:rPr>
          <w:rFonts w:cs="Arial"/>
          <w:sz w:val="20"/>
          <w:szCs w:val="20"/>
          <w:rtl/>
        </w:rPr>
        <w:t xml:space="preserve">, </w:t>
      </w:r>
      <w:r w:rsidRPr="00946736">
        <w:rPr>
          <w:rFonts w:cs="Arial" w:hint="cs"/>
          <w:sz w:val="20"/>
          <w:szCs w:val="20"/>
          <w:rtl/>
        </w:rPr>
        <w:t>אבל</w:t>
      </w:r>
      <w:r w:rsidRPr="00946736">
        <w:rPr>
          <w:rFonts w:cs="Arial"/>
          <w:sz w:val="20"/>
          <w:szCs w:val="20"/>
          <w:rtl/>
        </w:rPr>
        <w:t xml:space="preserve"> </w:t>
      </w:r>
      <w:r w:rsidRPr="00946736">
        <w:rPr>
          <w:rFonts w:cs="Arial" w:hint="cs"/>
          <w:sz w:val="20"/>
          <w:szCs w:val="20"/>
          <w:rtl/>
        </w:rPr>
        <w:t>אם</w:t>
      </w:r>
      <w:r w:rsidRPr="00946736">
        <w:rPr>
          <w:rFonts w:cs="Arial"/>
          <w:sz w:val="20"/>
          <w:szCs w:val="20"/>
          <w:rtl/>
        </w:rPr>
        <w:t xml:space="preserve"> </w:t>
      </w:r>
      <w:r w:rsidRPr="00946736">
        <w:rPr>
          <w:rFonts w:cs="Arial" w:hint="cs"/>
          <w:sz w:val="20"/>
          <w:szCs w:val="20"/>
          <w:rtl/>
        </w:rPr>
        <w:t>אין</w:t>
      </w:r>
      <w:r w:rsidRPr="00946736">
        <w:rPr>
          <w:rFonts w:cs="Arial"/>
          <w:sz w:val="20"/>
          <w:szCs w:val="20"/>
          <w:rtl/>
        </w:rPr>
        <w:t xml:space="preserve"> </w:t>
      </w:r>
      <w:r w:rsidRPr="00946736">
        <w:rPr>
          <w:rFonts w:cs="Arial" w:hint="cs"/>
          <w:sz w:val="20"/>
          <w:szCs w:val="20"/>
          <w:rtl/>
        </w:rPr>
        <w:t>כל</w:t>
      </w:r>
      <w:r w:rsidRPr="00946736">
        <w:rPr>
          <w:rFonts w:cs="Arial"/>
          <w:sz w:val="20"/>
          <w:szCs w:val="20"/>
          <w:rtl/>
        </w:rPr>
        <w:t xml:space="preserve"> </w:t>
      </w:r>
      <w:r w:rsidRPr="00946736">
        <w:rPr>
          <w:rFonts w:cs="Arial" w:hint="cs"/>
          <w:sz w:val="20"/>
          <w:szCs w:val="20"/>
          <w:rtl/>
        </w:rPr>
        <w:t>הראייה</w:t>
      </w:r>
      <w:r w:rsidRPr="00946736">
        <w:rPr>
          <w:rFonts w:cs="Arial"/>
          <w:sz w:val="20"/>
          <w:szCs w:val="20"/>
          <w:rtl/>
        </w:rPr>
        <w:t xml:space="preserve"> </w:t>
      </w:r>
      <w:r w:rsidRPr="00946736">
        <w:rPr>
          <w:rFonts w:cs="Arial" w:hint="cs"/>
          <w:sz w:val="20"/>
          <w:szCs w:val="20"/>
          <w:rtl/>
        </w:rPr>
        <w:t>מובלעת</w:t>
      </w:r>
      <w:r w:rsidRPr="00946736">
        <w:rPr>
          <w:rFonts w:cs="Arial"/>
          <w:sz w:val="20"/>
          <w:szCs w:val="20"/>
          <w:rtl/>
        </w:rPr>
        <w:t xml:space="preserve"> </w:t>
      </w:r>
      <w:r w:rsidRPr="00946736">
        <w:rPr>
          <w:rFonts w:cs="Arial" w:hint="cs"/>
          <w:sz w:val="20"/>
          <w:szCs w:val="20"/>
          <w:rtl/>
        </w:rPr>
        <w:t>בתוך</w:t>
      </w:r>
      <w:r w:rsidRPr="00946736">
        <w:rPr>
          <w:rFonts w:cs="Arial"/>
          <w:sz w:val="20"/>
          <w:szCs w:val="20"/>
          <w:rtl/>
        </w:rPr>
        <w:t xml:space="preserve"> </w:t>
      </w:r>
      <w:r w:rsidRPr="00946736">
        <w:rPr>
          <w:rFonts w:cs="Arial" w:hint="cs"/>
          <w:sz w:val="20"/>
          <w:szCs w:val="20"/>
          <w:rtl/>
        </w:rPr>
        <w:t>ה</w:t>
      </w:r>
      <w:r>
        <w:rPr>
          <w:rFonts w:cs="Arial" w:hint="cs"/>
          <w:sz w:val="20"/>
          <w:szCs w:val="20"/>
          <w:rtl/>
        </w:rPr>
        <w:t>ו</w:t>
      </w:r>
      <w:r w:rsidRPr="00946736">
        <w:rPr>
          <w:rFonts w:cs="Arial" w:hint="cs"/>
          <w:sz w:val="20"/>
          <w:szCs w:val="20"/>
          <w:rtl/>
        </w:rPr>
        <w:t>וסת</w:t>
      </w:r>
      <w:r w:rsidRPr="00946736">
        <w:rPr>
          <w:rFonts w:cs="Arial"/>
          <w:sz w:val="20"/>
          <w:szCs w:val="20"/>
          <w:rtl/>
        </w:rPr>
        <w:t xml:space="preserve">, </w:t>
      </w:r>
      <w:r w:rsidRPr="00946736">
        <w:rPr>
          <w:rFonts w:cs="Arial" w:hint="cs"/>
          <w:sz w:val="20"/>
          <w:szCs w:val="20"/>
          <w:rtl/>
        </w:rPr>
        <w:t>אלא</w:t>
      </w:r>
      <w:r w:rsidRPr="00946736">
        <w:rPr>
          <w:rFonts w:cs="Arial"/>
          <w:sz w:val="20"/>
          <w:szCs w:val="20"/>
          <w:rtl/>
        </w:rPr>
        <w:t xml:space="preserve"> </w:t>
      </w:r>
      <w:r w:rsidRPr="00946736">
        <w:rPr>
          <w:rFonts w:cs="Arial" w:hint="cs"/>
          <w:sz w:val="20"/>
          <w:szCs w:val="20"/>
          <w:rtl/>
        </w:rPr>
        <w:t>נמשכת</w:t>
      </w:r>
      <w:r w:rsidRPr="00946736">
        <w:rPr>
          <w:rFonts w:cs="Arial"/>
          <w:sz w:val="20"/>
          <w:szCs w:val="20"/>
          <w:rtl/>
        </w:rPr>
        <w:t xml:space="preserve"> </w:t>
      </w:r>
      <w:r w:rsidRPr="00946736">
        <w:rPr>
          <w:rFonts w:cs="Arial" w:hint="cs"/>
          <w:sz w:val="20"/>
          <w:szCs w:val="20"/>
          <w:rtl/>
        </w:rPr>
        <w:t>גם</w:t>
      </w:r>
      <w:r w:rsidRPr="00946736">
        <w:rPr>
          <w:rFonts w:cs="Arial"/>
          <w:sz w:val="20"/>
          <w:szCs w:val="20"/>
          <w:rtl/>
        </w:rPr>
        <w:t xml:space="preserve"> </w:t>
      </w:r>
      <w:r w:rsidRPr="00946736">
        <w:rPr>
          <w:rFonts w:cs="Arial" w:hint="cs"/>
          <w:sz w:val="20"/>
          <w:szCs w:val="20"/>
          <w:rtl/>
        </w:rPr>
        <w:t>אחר</w:t>
      </w:r>
      <w:r w:rsidRPr="00946736">
        <w:rPr>
          <w:rFonts w:cs="Arial"/>
          <w:sz w:val="20"/>
          <w:szCs w:val="20"/>
          <w:rtl/>
        </w:rPr>
        <w:t xml:space="preserve"> </w:t>
      </w:r>
      <w:r w:rsidRPr="00946736">
        <w:rPr>
          <w:rFonts w:cs="Arial" w:hint="cs"/>
          <w:sz w:val="20"/>
          <w:szCs w:val="20"/>
          <w:rtl/>
        </w:rPr>
        <w:t>ה</w:t>
      </w:r>
      <w:r>
        <w:rPr>
          <w:rFonts w:cs="Arial" w:hint="cs"/>
          <w:sz w:val="20"/>
          <w:szCs w:val="20"/>
          <w:rtl/>
        </w:rPr>
        <w:t>ו</w:t>
      </w:r>
      <w:r w:rsidRPr="00946736">
        <w:rPr>
          <w:rFonts w:cs="Arial" w:hint="cs"/>
          <w:sz w:val="20"/>
          <w:szCs w:val="20"/>
          <w:rtl/>
        </w:rPr>
        <w:t>וסת</w:t>
      </w:r>
      <w:r w:rsidRPr="00946736">
        <w:rPr>
          <w:rFonts w:cs="Arial"/>
          <w:sz w:val="20"/>
          <w:szCs w:val="20"/>
          <w:rtl/>
        </w:rPr>
        <w:t xml:space="preserve">, </w:t>
      </w:r>
      <w:r w:rsidRPr="00946736">
        <w:rPr>
          <w:rFonts w:cs="Arial" w:hint="cs"/>
          <w:sz w:val="20"/>
          <w:szCs w:val="20"/>
          <w:rtl/>
        </w:rPr>
        <w:t>אסורה</w:t>
      </w:r>
      <w:r w:rsidRPr="00946736">
        <w:rPr>
          <w:rFonts w:cs="Arial"/>
          <w:sz w:val="20"/>
          <w:szCs w:val="20"/>
          <w:rtl/>
        </w:rPr>
        <w:t xml:space="preserve"> </w:t>
      </w:r>
      <w:r w:rsidRPr="00946736">
        <w:rPr>
          <w:rFonts w:cs="Arial" w:hint="cs"/>
          <w:sz w:val="20"/>
          <w:szCs w:val="20"/>
          <w:rtl/>
        </w:rPr>
        <w:t>מתחלת</w:t>
      </w:r>
      <w:r w:rsidRPr="00946736">
        <w:rPr>
          <w:rFonts w:cs="Arial"/>
          <w:sz w:val="20"/>
          <w:szCs w:val="20"/>
          <w:rtl/>
        </w:rPr>
        <w:t xml:space="preserve"> </w:t>
      </w:r>
      <w:r w:rsidRPr="00946736">
        <w:rPr>
          <w:rFonts w:cs="Arial" w:hint="cs"/>
          <w:sz w:val="20"/>
          <w:szCs w:val="20"/>
          <w:rtl/>
        </w:rPr>
        <w:t>הו</w:t>
      </w:r>
      <w:r>
        <w:rPr>
          <w:rFonts w:cs="Arial" w:hint="cs"/>
          <w:sz w:val="20"/>
          <w:szCs w:val="20"/>
          <w:rtl/>
        </w:rPr>
        <w:t>ו</w:t>
      </w:r>
      <w:r w:rsidRPr="00946736">
        <w:rPr>
          <w:rFonts w:cs="Arial" w:hint="cs"/>
          <w:sz w:val="20"/>
          <w:szCs w:val="20"/>
          <w:rtl/>
        </w:rPr>
        <w:t>סת</w:t>
      </w:r>
      <w:r w:rsidRPr="00946736">
        <w:rPr>
          <w:rFonts w:cs="Arial"/>
          <w:sz w:val="20"/>
          <w:szCs w:val="20"/>
          <w:rtl/>
        </w:rPr>
        <w:t xml:space="preserve"> </w:t>
      </w:r>
      <w:r w:rsidRPr="00946736">
        <w:rPr>
          <w:rFonts w:cs="Arial" w:hint="cs"/>
          <w:sz w:val="20"/>
          <w:szCs w:val="20"/>
          <w:rtl/>
        </w:rPr>
        <w:t>עד</w:t>
      </w:r>
      <w:r w:rsidRPr="00946736">
        <w:rPr>
          <w:rFonts w:cs="Arial"/>
          <w:sz w:val="20"/>
          <w:szCs w:val="20"/>
          <w:rtl/>
        </w:rPr>
        <w:t xml:space="preserve"> </w:t>
      </w:r>
      <w:r w:rsidRPr="00946736">
        <w:rPr>
          <w:rFonts w:cs="Arial" w:hint="cs"/>
          <w:sz w:val="20"/>
          <w:szCs w:val="20"/>
          <w:rtl/>
        </w:rPr>
        <w:t>סוף</w:t>
      </w:r>
      <w:r w:rsidRPr="00946736">
        <w:rPr>
          <w:rFonts w:cs="Arial"/>
          <w:sz w:val="20"/>
          <w:szCs w:val="20"/>
          <w:rtl/>
        </w:rPr>
        <w:t xml:space="preserve"> </w:t>
      </w:r>
      <w:r w:rsidRPr="00946736">
        <w:rPr>
          <w:rFonts w:cs="Arial" w:hint="cs"/>
          <w:sz w:val="20"/>
          <w:szCs w:val="20"/>
          <w:rtl/>
        </w:rPr>
        <w:t>עונה</w:t>
      </w:r>
      <w:r w:rsidRPr="00946736">
        <w:rPr>
          <w:rFonts w:cs="Arial"/>
          <w:sz w:val="20"/>
          <w:szCs w:val="20"/>
          <w:rtl/>
        </w:rPr>
        <w:t xml:space="preserve"> </w:t>
      </w:r>
      <w:r w:rsidRPr="00946736">
        <w:rPr>
          <w:rFonts w:cs="Arial" w:hint="cs"/>
          <w:sz w:val="20"/>
          <w:szCs w:val="20"/>
          <w:rtl/>
        </w:rPr>
        <w:t>אחת</w:t>
      </w:r>
      <w:r>
        <w:rPr>
          <w:rFonts w:cs="Arial" w:hint="cs"/>
          <w:sz w:val="20"/>
          <w:szCs w:val="20"/>
          <w:rtl/>
        </w:rPr>
        <w:t>".</w:t>
      </w:r>
    </w:p>
    <w:p w:rsidR="00620060" w:rsidRDefault="00620060" w:rsidP="00620060">
      <w:pPr>
        <w:rPr>
          <w:sz w:val="20"/>
          <w:szCs w:val="20"/>
          <w:rtl/>
        </w:rPr>
      </w:pPr>
      <w:r>
        <w:rPr>
          <w:rFonts w:hint="cs"/>
          <w:sz w:val="20"/>
          <w:szCs w:val="20"/>
          <w:u w:val="single"/>
          <w:rtl/>
        </w:rPr>
        <w:t>רואה לפני הווסת</w:t>
      </w:r>
      <w:r>
        <w:rPr>
          <w:sz w:val="20"/>
          <w:szCs w:val="20"/>
          <w:u w:val="single"/>
          <w:rtl/>
        </w:rPr>
        <w:br/>
      </w:r>
      <w:r w:rsidRPr="00772558">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כל שכן אם רגילה לראות גם לפני הווסת שצריכה לפרוש כל העונה שלפני הווסת, ואפשר שצריכה לפרוש אף לאחר הווסת עד סוף העונה, וצ"ע.</w:t>
      </w:r>
    </w:p>
    <w:p w:rsidR="00620060"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804C69">
        <w:rPr>
          <w:rFonts w:hint="cs"/>
          <w:b/>
          <w:bCs/>
          <w:sz w:val="20"/>
          <w:szCs w:val="20"/>
          <w:rtl/>
        </w:rPr>
        <w:t>רשב"א</w:t>
      </w:r>
      <w:r>
        <w:rPr>
          <w:rFonts w:hint="cs"/>
          <w:sz w:val="20"/>
          <w:szCs w:val="20"/>
          <w:rtl/>
        </w:rPr>
        <w:t xml:space="preserve">. בווסת הגוף חוששת רק בשעה שרגילה לראות. כגון </w:t>
      </w:r>
      <w:r>
        <w:rPr>
          <w:sz w:val="20"/>
          <w:szCs w:val="20"/>
          <w:rtl/>
        </w:rPr>
        <w:t>–</w:t>
      </w:r>
      <w:r>
        <w:rPr>
          <w:rFonts w:hint="cs"/>
          <w:sz w:val="20"/>
          <w:szCs w:val="20"/>
          <w:rtl/>
        </w:rPr>
        <w:t xml:space="preserve"> רואה בסוף הפיהוק, מותרת בתחילתו. אמנם, אם רואה בתחילת הפיהוק אסורה כל הפיהוק, וכ"פ </w:t>
      </w:r>
      <w:r w:rsidRPr="00804C69">
        <w:rPr>
          <w:rFonts w:hint="cs"/>
          <w:b/>
          <w:bCs/>
          <w:sz w:val="20"/>
          <w:szCs w:val="20"/>
          <w:rtl/>
        </w:rPr>
        <w:t>המחבר</w:t>
      </w:r>
      <w:r>
        <w:rPr>
          <w:rFonts w:hint="cs"/>
          <w:sz w:val="20"/>
          <w:szCs w:val="20"/>
          <w:rtl/>
        </w:rPr>
        <w:t>.</w:t>
      </w:r>
      <w:r>
        <w:rPr>
          <w:sz w:val="20"/>
          <w:szCs w:val="20"/>
          <w:rtl/>
        </w:rPr>
        <w:br/>
      </w:r>
      <w:r>
        <w:rPr>
          <w:rFonts w:hint="cs"/>
          <w:sz w:val="20"/>
          <w:szCs w:val="20"/>
          <w:rtl/>
        </w:rPr>
        <w:t xml:space="preserve">2. </w:t>
      </w:r>
      <w:r w:rsidRPr="00804C69">
        <w:rPr>
          <w:rFonts w:hint="cs"/>
          <w:b/>
          <w:bCs/>
          <w:sz w:val="20"/>
          <w:szCs w:val="20"/>
          <w:rtl/>
        </w:rPr>
        <w:t>תוה"ש</w:t>
      </w:r>
      <w:r>
        <w:rPr>
          <w:rFonts w:hint="cs"/>
          <w:sz w:val="20"/>
          <w:szCs w:val="20"/>
          <w:rtl/>
        </w:rPr>
        <w:t>. בווסת הקפיצות, כיוון שנקבע רק בצירוף לימים, לא שייך דין זה ואסורה כל העונה.</w:t>
      </w:r>
      <w:r>
        <w:rPr>
          <w:sz w:val="20"/>
          <w:szCs w:val="20"/>
          <w:rtl/>
        </w:rPr>
        <w:br/>
      </w:r>
      <w:r>
        <w:rPr>
          <w:rFonts w:hint="cs"/>
          <w:sz w:val="20"/>
          <w:szCs w:val="20"/>
          <w:rtl/>
        </w:rPr>
        <w:t xml:space="preserve">3. ראייה שאינה מובלעת בכל הווסת. </w:t>
      </w:r>
      <w:r w:rsidRPr="00ED374F">
        <w:rPr>
          <w:rFonts w:hint="cs"/>
          <w:b/>
          <w:bCs/>
          <w:sz w:val="20"/>
          <w:szCs w:val="20"/>
          <w:rtl/>
        </w:rPr>
        <w:t>רשב"א</w:t>
      </w:r>
      <w:r>
        <w:rPr>
          <w:rFonts w:hint="cs"/>
          <w:sz w:val="20"/>
          <w:szCs w:val="20"/>
          <w:rtl/>
        </w:rPr>
        <w:t xml:space="preserve">. פורשת עונה, וכ"פ </w:t>
      </w:r>
      <w:r w:rsidRPr="00ED374F">
        <w:rPr>
          <w:rFonts w:hint="cs"/>
          <w:b/>
          <w:bCs/>
          <w:sz w:val="20"/>
          <w:szCs w:val="20"/>
          <w:rtl/>
        </w:rPr>
        <w:t>המחבר</w:t>
      </w:r>
      <w:r>
        <w:rPr>
          <w:rFonts w:hint="cs"/>
          <w:sz w:val="20"/>
          <w:szCs w:val="20"/>
          <w:rtl/>
        </w:rPr>
        <w:t xml:space="preserve">. </w:t>
      </w:r>
      <w:r w:rsidRPr="00ED374F">
        <w:rPr>
          <w:rFonts w:hint="cs"/>
          <w:b/>
          <w:bCs/>
          <w:sz w:val="20"/>
          <w:szCs w:val="20"/>
          <w:rtl/>
        </w:rPr>
        <w:t>רז"ה</w:t>
      </w:r>
      <w:r>
        <w:rPr>
          <w:rFonts w:hint="cs"/>
          <w:sz w:val="20"/>
          <w:szCs w:val="20"/>
          <w:rtl/>
        </w:rPr>
        <w:t>. פורשת רק בשעת הפיהוק.</w:t>
      </w:r>
      <w:r>
        <w:rPr>
          <w:sz w:val="20"/>
          <w:szCs w:val="20"/>
          <w:rtl/>
        </w:rPr>
        <w:br/>
      </w:r>
      <w:r>
        <w:rPr>
          <w:rFonts w:hint="cs"/>
          <w:sz w:val="20"/>
          <w:szCs w:val="20"/>
          <w:rtl/>
        </w:rPr>
        <w:t xml:space="preserve">4. </w:t>
      </w:r>
      <w:r w:rsidRPr="00804C69">
        <w:rPr>
          <w:rFonts w:hint="cs"/>
          <w:b/>
          <w:bCs/>
          <w:sz w:val="20"/>
          <w:szCs w:val="20"/>
          <w:rtl/>
        </w:rPr>
        <w:t>ש"ך</w:t>
      </w:r>
      <w:r>
        <w:rPr>
          <w:rFonts w:hint="cs"/>
          <w:sz w:val="20"/>
          <w:szCs w:val="20"/>
          <w:rtl/>
        </w:rPr>
        <w:t>. כ"ש אם רגילה לראות לפני הווסת שפורשת כל העונה לפני הווסת, ושמא גם לאחר הווסת, וצ"ע.</w:t>
      </w:r>
    </w:p>
    <w:p w:rsidR="00620060" w:rsidRDefault="00620060" w:rsidP="00620060">
      <w:pPr>
        <w:rPr>
          <w:sz w:val="20"/>
          <w:szCs w:val="20"/>
          <w:rtl/>
        </w:rPr>
      </w:pPr>
      <w:r>
        <w:rPr>
          <w:sz w:val="20"/>
          <w:szCs w:val="20"/>
          <w:rtl/>
        </w:rPr>
        <w:br/>
      </w:r>
      <w:r>
        <w:rPr>
          <w:rFonts w:hint="cs"/>
          <w:b/>
          <w:bCs/>
          <w:sz w:val="20"/>
          <w:szCs w:val="20"/>
          <w:rtl/>
        </w:rPr>
        <w:t xml:space="preserve">סעיף כה </w:t>
      </w:r>
      <w:r>
        <w:rPr>
          <w:b/>
          <w:bCs/>
          <w:sz w:val="20"/>
          <w:szCs w:val="20"/>
          <w:rtl/>
        </w:rPr>
        <w:t>–</w:t>
      </w:r>
      <w:r>
        <w:rPr>
          <w:rFonts w:hint="cs"/>
          <w:b/>
          <w:bCs/>
          <w:sz w:val="20"/>
          <w:szCs w:val="20"/>
          <w:rtl/>
        </w:rPr>
        <w:t xml:space="preserve"> מתי יש לחוש בווסת המורכב</w:t>
      </w:r>
      <w:r>
        <w:rPr>
          <w:b/>
          <w:b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שולחן ערוך </w:t>
      </w:r>
      <w:r w:rsidRPr="00D6095E">
        <w:rPr>
          <w:rFonts w:hint="cs"/>
          <w:sz w:val="18"/>
          <w:szCs w:val="18"/>
          <w:rtl/>
        </w:rPr>
        <w:t xml:space="preserve">(ע"פ הטור) </w:t>
      </w:r>
      <w:r>
        <w:rPr>
          <w:sz w:val="20"/>
          <w:szCs w:val="20"/>
          <w:rtl/>
        </w:rPr>
        <w:t>–</w:t>
      </w:r>
      <w:r>
        <w:rPr>
          <w:rFonts w:hint="cs"/>
          <w:sz w:val="20"/>
          <w:szCs w:val="20"/>
          <w:rtl/>
        </w:rPr>
        <w:t xml:space="preserve"> "</w:t>
      </w:r>
      <w:r w:rsidRPr="00D6095E">
        <w:rPr>
          <w:rFonts w:cs="Arial" w:hint="cs"/>
          <w:sz w:val="20"/>
          <w:szCs w:val="20"/>
          <w:rtl/>
        </w:rPr>
        <w:t>אם</w:t>
      </w:r>
      <w:r w:rsidRPr="00D6095E">
        <w:rPr>
          <w:rFonts w:cs="Arial"/>
          <w:sz w:val="20"/>
          <w:szCs w:val="20"/>
          <w:rtl/>
        </w:rPr>
        <w:t xml:space="preserve"> </w:t>
      </w:r>
      <w:r w:rsidRPr="00D6095E">
        <w:rPr>
          <w:rFonts w:cs="Arial" w:hint="cs"/>
          <w:sz w:val="20"/>
          <w:szCs w:val="20"/>
          <w:rtl/>
        </w:rPr>
        <w:t>אחד</w:t>
      </w:r>
      <w:r w:rsidRPr="00D6095E">
        <w:rPr>
          <w:rFonts w:cs="Arial"/>
          <w:sz w:val="20"/>
          <w:szCs w:val="20"/>
          <w:rtl/>
        </w:rPr>
        <w:t xml:space="preserve"> </w:t>
      </w:r>
      <w:r w:rsidRPr="00D6095E">
        <w:rPr>
          <w:rFonts w:cs="Arial" w:hint="cs"/>
          <w:sz w:val="20"/>
          <w:szCs w:val="20"/>
          <w:rtl/>
        </w:rPr>
        <w:t>מאלו</w:t>
      </w:r>
      <w:r w:rsidRPr="00D6095E">
        <w:rPr>
          <w:rFonts w:cs="Arial"/>
          <w:sz w:val="20"/>
          <w:szCs w:val="20"/>
          <w:rtl/>
        </w:rPr>
        <w:t xml:space="preserve"> </w:t>
      </w:r>
      <w:r w:rsidRPr="00D6095E">
        <w:rPr>
          <w:rFonts w:cs="Arial" w:hint="cs"/>
          <w:sz w:val="20"/>
          <w:szCs w:val="20"/>
          <w:rtl/>
        </w:rPr>
        <w:t>בא</w:t>
      </w:r>
      <w:r w:rsidRPr="00D6095E">
        <w:rPr>
          <w:rFonts w:cs="Arial"/>
          <w:sz w:val="20"/>
          <w:szCs w:val="20"/>
          <w:rtl/>
        </w:rPr>
        <w:t xml:space="preserve"> </w:t>
      </w:r>
      <w:r w:rsidRPr="00D6095E">
        <w:rPr>
          <w:rFonts w:cs="Arial" w:hint="cs"/>
          <w:sz w:val="20"/>
          <w:szCs w:val="20"/>
          <w:rtl/>
        </w:rPr>
        <w:t>לזמן</w:t>
      </w:r>
      <w:r w:rsidRPr="00D6095E">
        <w:rPr>
          <w:rFonts w:cs="Arial"/>
          <w:sz w:val="20"/>
          <w:szCs w:val="20"/>
          <w:rtl/>
        </w:rPr>
        <w:t xml:space="preserve"> </w:t>
      </w:r>
      <w:r w:rsidRPr="00D6095E">
        <w:rPr>
          <w:rFonts w:cs="Arial" w:hint="cs"/>
          <w:sz w:val="20"/>
          <w:szCs w:val="20"/>
          <w:rtl/>
        </w:rPr>
        <w:t>ידוע</w:t>
      </w:r>
      <w:r w:rsidRPr="00D6095E">
        <w:rPr>
          <w:rFonts w:cs="Arial"/>
          <w:sz w:val="20"/>
          <w:szCs w:val="20"/>
          <w:rtl/>
        </w:rPr>
        <w:t xml:space="preserve">, </w:t>
      </w:r>
      <w:r w:rsidRPr="00D6095E">
        <w:rPr>
          <w:rFonts w:cs="Arial" w:hint="cs"/>
          <w:sz w:val="20"/>
          <w:szCs w:val="20"/>
          <w:rtl/>
        </w:rPr>
        <w:t>אז</w:t>
      </w:r>
      <w:r w:rsidRPr="00D6095E">
        <w:rPr>
          <w:rFonts w:cs="Arial"/>
          <w:sz w:val="20"/>
          <w:szCs w:val="20"/>
          <w:rtl/>
        </w:rPr>
        <w:t xml:space="preserve"> </w:t>
      </w:r>
      <w:r w:rsidRPr="00D6095E">
        <w:rPr>
          <w:rFonts w:cs="Arial" w:hint="cs"/>
          <w:sz w:val="20"/>
          <w:szCs w:val="20"/>
          <w:rtl/>
        </w:rPr>
        <w:t>ודאי</w:t>
      </w:r>
      <w:r w:rsidRPr="00D6095E">
        <w:rPr>
          <w:rFonts w:cs="Arial"/>
          <w:sz w:val="20"/>
          <w:szCs w:val="20"/>
          <w:rtl/>
        </w:rPr>
        <w:t xml:space="preserve"> </w:t>
      </w:r>
      <w:r w:rsidRPr="00D6095E">
        <w:rPr>
          <w:rFonts w:cs="Arial" w:hint="cs"/>
          <w:sz w:val="20"/>
          <w:szCs w:val="20"/>
          <w:rtl/>
        </w:rPr>
        <w:t>אסורה</w:t>
      </w:r>
      <w:r w:rsidRPr="00D6095E">
        <w:rPr>
          <w:rFonts w:cs="Arial"/>
          <w:sz w:val="20"/>
          <w:szCs w:val="20"/>
          <w:rtl/>
        </w:rPr>
        <w:t xml:space="preserve"> </w:t>
      </w:r>
      <w:r w:rsidRPr="00D6095E">
        <w:rPr>
          <w:rFonts w:cs="Arial" w:hint="cs"/>
          <w:sz w:val="20"/>
          <w:szCs w:val="20"/>
          <w:rtl/>
        </w:rPr>
        <w:t>כל</w:t>
      </w:r>
      <w:r w:rsidRPr="00D6095E">
        <w:rPr>
          <w:rFonts w:cs="Arial"/>
          <w:sz w:val="20"/>
          <w:szCs w:val="20"/>
          <w:rtl/>
        </w:rPr>
        <w:t xml:space="preserve"> </w:t>
      </w:r>
      <w:r w:rsidRPr="00D6095E">
        <w:rPr>
          <w:rFonts w:cs="Arial" w:hint="cs"/>
          <w:sz w:val="20"/>
          <w:szCs w:val="20"/>
          <w:rtl/>
        </w:rPr>
        <w:t>עונת</w:t>
      </w:r>
      <w:r w:rsidRPr="00D6095E">
        <w:rPr>
          <w:rFonts w:cs="Arial"/>
          <w:sz w:val="20"/>
          <w:szCs w:val="20"/>
          <w:rtl/>
        </w:rPr>
        <w:t xml:space="preserve"> </w:t>
      </w:r>
      <w:r w:rsidRPr="00D6095E">
        <w:rPr>
          <w:rFonts w:cs="Arial" w:hint="cs"/>
          <w:sz w:val="20"/>
          <w:szCs w:val="20"/>
          <w:rtl/>
        </w:rPr>
        <w:t>הוסת</w:t>
      </w:r>
      <w:r w:rsidRPr="00D6095E">
        <w:rPr>
          <w:rFonts w:cs="Arial"/>
          <w:sz w:val="20"/>
          <w:szCs w:val="20"/>
          <w:rtl/>
        </w:rPr>
        <w:t xml:space="preserve">, </w:t>
      </w:r>
      <w:r w:rsidRPr="00D6095E">
        <w:rPr>
          <w:rFonts w:cs="Arial" w:hint="cs"/>
          <w:sz w:val="20"/>
          <w:szCs w:val="20"/>
          <w:rtl/>
        </w:rPr>
        <w:t>כמו</w:t>
      </w:r>
      <w:r w:rsidRPr="00D6095E">
        <w:rPr>
          <w:rFonts w:cs="Arial"/>
          <w:sz w:val="20"/>
          <w:szCs w:val="20"/>
          <w:rtl/>
        </w:rPr>
        <w:t xml:space="preserve"> </w:t>
      </w:r>
      <w:r w:rsidRPr="00D6095E">
        <w:rPr>
          <w:rFonts w:cs="Arial" w:hint="cs"/>
          <w:sz w:val="20"/>
          <w:szCs w:val="20"/>
          <w:rtl/>
        </w:rPr>
        <w:t>וסת</w:t>
      </w:r>
      <w:r w:rsidRPr="00D6095E">
        <w:rPr>
          <w:rFonts w:cs="Arial"/>
          <w:sz w:val="20"/>
          <w:szCs w:val="20"/>
          <w:rtl/>
        </w:rPr>
        <w:t xml:space="preserve"> </w:t>
      </w:r>
      <w:r w:rsidRPr="00D6095E">
        <w:rPr>
          <w:rFonts w:cs="Arial" w:hint="cs"/>
          <w:sz w:val="20"/>
          <w:szCs w:val="20"/>
          <w:rtl/>
        </w:rPr>
        <w:t>ימים</w:t>
      </w:r>
      <w:r w:rsidRPr="00D6095E">
        <w:rPr>
          <w:rFonts w:cs="Arial"/>
          <w:sz w:val="20"/>
          <w:szCs w:val="20"/>
          <w:rtl/>
        </w:rPr>
        <w:t xml:space="preserve"> </w:t>
      </w:r>
      <w:r w:rsidRPr="00D6095E">
        <w:rPr>
          <w:rFonts w:cs="Arial" w:hint="cs"/>
          <w:sz w:val="20"/>
          <w:szCs w:val="20"/>
          <w:rtl/>
        </w:rPr>
        <w:t>גרידא</w:t>
      </w:r>
      <w:r>
        <w:rPr>
          <w:rFonts w:cs="Arial" w:hint="cs"/>
          <w:sz w:val="20"/>
          <w:szCs w:val="20"/>
          <w:rtl/>
        </w:rPr>
        <w:t>".</w:t>
      </w:r>
    </w:p>
    <w:p w:rsidR="00620060" w:rsidRDefault="00620060" w:rsidP="00620060">
      <w:pPr>
        <w:rPr>
          <w:sz w:val="20"/>
          <w:szCs w:val="20"/>
          <w:rtl/>
        </w:rPr>
      </w:pPr>
      <w:r w:rsidRPr="00190CED">
        <w:rPr>
          <w:rFonts w:hint="cs"/>
          <w:sz w:val="20"/>
          <w:szCs w:val="20"/>
          <w:u w:val="single"/>
          <w:rtl/>
        </w:rPr>
        <w:lastRenderedPageBreak/>
        <w:t>הסבר דברי המחבר</w:t>
      </w:r>
      <w:r>
        <w:rPr>
          <w:sz w:val="20"/>
          <w:szCs w:val="20"/>
          <w:u w:val="single"/>
          <w:rtl/>
        </w:rPr>
        <w:br/>
      </w:r>
      <w:r>
        <w:rPr>
          <w:rFonts w:hint="cs"/>
          <w:sz w:val="20"/>
          <w:szCs w:val="20"/>
          <w:rtl/>
        </w:rPr>
        <w:t xml:space="preserve">א. </w:t>
      </w:r>
      <w:r w:rsidRPr="00051786">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משמע מדברי המחבר שבסעיף הקודם מדובר בווסת הגוף בלבד ולכן חוששת רק לשעת הווסת, ואילו כאן מדובר על ווסת המורכב ולכן חוששת לכל העונה.</w:t>
      </w:r>
      <w:r>
        <w:rPr>
          <w:sz w:val="20"/>
          <w:szCs w:val="20"/>
          <w:rtl/>
        </w:rPr>
        <w:br/>
      </w:r>
      <w:r>
        <w:rPr>
          <w:rFonts w:hint="cs"/>
          <w:sz w:val="20"/>
          <w:szCs w:val="20"/>
          <w:rtl/>
        </w:rPr>
        <w:t>ברם, אי אפשר לומר שזו כוונת המחבר, משום שדברי המחבר כאן מבוססים על דברי הראב"ד, והראב"ד עצמו כתב שבווסת התלוי בגוף אפילו אם הוא מורכב חוששת רק לשעת הווסת ותו לא, ואם כן נמצאו דבריו סותרים!</w:t>
      </w:r>
      <w:r>
        <w:rPr>
          <w:rFonts w:hint="cs"/>
          <w:sz w:val="20"/>
          <w:szCs w:val="20"/>
          <w:rtl/>
        </w:rPr>
        <w:br/>
        <w:t xml:space="preserve">מיישב </w:t>
      </w:r>
      <w:r>
        <w:rPr>
          <w:sz w:val="20"/>
          <w:szCs w:val="20"/>
          <w:rtl/>
        </w:rPr>
        <w:t>–</w:t>
      </w:r>
      <w:r>
        <w:rPr>
          <w:rFonts w:hint="cs"/>
          <w:sz w:val="20"/>
          <w:szCs w:val="20"/>
          <w:rtl/>
        </w:rPr>
        <w:t xml:space="preserve"> הראב"ד שהתיר בווסת המורכב התכוון רק </w:t>
      </w:r>
      <w:r w:rsidRPr="0034255C">
        <w:rPr>
          <w:rFonts w:hint="cs"/>
          <w:sz w:val="20"/>
          <w:szCs w:val="20"/>
          <w:u w:val="single"/>
          <w:rtl/>
        </w:rPr>
        <w:t>לפני</w:t>
      </w:r>
      <w:r>
        <w:rPr>
          <w:rFonts w:hint="cs"/>
          <w:sz w:val="20"/>
          <w:szCs w:val="20"/>
          <w:rtl/>
        </w:rPr>
        <w:t xml:space="preserve"> שעת הווסת שמותרת לשמש </w:t>
      </w:r>
      <w:r w:rsidRPr="00A54A33">
        <w:rPr>
          <w:rFonts w:hint="cs"/>
          <w:sz w:val="18"/>
          <w:szCs w:val="18"/>
          <w:rtl/>
        </w:rPr>
        <w:t>(בניגוד לווסת היום שאסור כל אותה עונה)</w:t>
      </w:r>
      <w:r>
        <w:rPr>
          <w:rFonts w:hint="cs"/>
          <w:sz w:val="20"/>
          <w:szCs w:val="20"/>
          <w:rtl/>
        </w:rPr>
        <w:t xml:space="preserve">, אך כאן מדובר על הזמן </w:t>
      </w:r>
      <w:r w:rsidRPr="0034255C">
        <w:rPr>
          <w:rFonts w:hint="cs"/>
          <w:sz w:val="20"/>
          <w:szCs w:val="20"/>
          <w:u w:val="single"/>
          <w:rtl/>
        </w:rPr>
        <w:t>שלאחר</w:t>
      </w:r>
      <w:r>
        <w:rPr>
          <w:rFonts w:hint="cs"/>
          <w:sz w:val="20"/>
          <w:szCs w:val="20"/>
          <w:rtl/>
        </w:rPr>
        <w:t xml:space="preserve"> הווסת, ובהכי יש חילוק בין ווסת מורכב לווסת הגוף לבד. </w:t>
      </w:r>
      <w:r>
        <w:rPr>
          <w:sz w:val="20"/>
          <w:szCs w:val="20"/>
          <w:rtl/>
        </w:rPr>
        <w:br/>
      </w:r>
      <w:r>
        <w:rPr>
          <w:rFonts w:hint="cs"/>
          <w:sz w:val="20"/>
          <w:szCs w:val="20"/>
          <w:rtl/>
        </w:rPr>
        <w:t>בווסת המורכב אסורה אף לאחר הווסת, אך בווסת הגוף לבד מותרת לאחר הווסת.</w:t>
      </w:r>
    </w:p>
    <w:p w:rsidR="00620060" w:rsidRDefault="00620060" w:rsidP="00620060">
      <w:pPr>
        <w:rPr>
          <w:sz w:val="20"/>
          <w:szCs w:val="20"/>
          <w:rtl/>
        </w:rPr>
      </w:pPr>
      <w:r>
        <w:rPr>
          <w:rFonts w:hint="cs"/>
          <w:sz w:val="20"/>
          <w:szCs w:val="20"/>
          <w:rtl/>
        </w:rPr>
        <w:t xml:space="preserve">ב. </w:t>
      </w:r>
      <w:r w:rsidRPr="004B1AD4">
        <w:rPr>
          <w:rFonts w:hint="cs"/>
          <w:b/>
          <w:bCs/>
          <w:sz w:val="20"/>
          <w:szCs w:val="20"/>
          <w:rtl/>
        </w:rPr>
        <w:t>נקה"כ</w:t>
      </w:r>
      <w:r>
        <w:rPr>
          <w:rFonts w:hint="cs"/>
          <w:sz w:val="20"/>
          <w:szCs w:val="20"/>
          <w:rtl/>
        </w:rPr>
        <w:t xml:space="preserve"> </w:t>
      </w:r>
      <w:r>
        <w:rPr>
          <w:sz w:val="20"/>
          <w:szCs w:val="20"/>
          <w:rtl/>
        </w:rPr>
        <w:t>–</w:t>
      </w:r>
      <w:r>
        <w:rPr>
          <w:rFonts w:hint="cs"/>
          <w:sz w:val="20"/>
          <w:szCs w:val="20"/>
          <w:rtl/>
        </w:rPr>
        <w:t xml:space="preserve"> דברי הט"ז אינם נכונים, דין ווסת מורכב דינו לגמרי כווסת הימים. </w:t>
      </w:r>
      <w:r>
        <w:rPr>
          <w:sz w:val="20"/>
          <w:szCs w:val="20"/>
          <w:rtl/>
        </w:rPr>
        <w:br/>
      </w:r>
      <w:r>
        <w:rPr>
          <w:rFonts w:hint="cs"/>
          <w:sz w:val="20"/>
          <w:szCs w:val="20"/>
          <w:rtl/>
        </w:rPr>
        <w:t xml:space="preserve">ואת הסתירה בדברי הראב"ד יש ליישב כך </w:t>
      </w:r>
      <w:r>
        <w:rPr>
          <w:sz w:val="20"/>
          <w:szCs w:val="20"/>
          <w:rtl/>
        </w:rPr>
        <w:t>–</w:t>
      </w:r>
      <w:r>
        <w:rPr>
          <w:rFonts w:hint="cs"/>
          <w:sz w:val="20"/>
          <w:szCs w:val="20"/>
          <w:rtl/>
        </w:rPr>
        <w:t xml:space="preserve"> הראב"ד שכתב שיש לפרוש רק בשעת הווסת התייחס לאשה שפיהקה כמה פעמים בר"ח ולא ראתה, ואח"כ פיהקה פעמיים בר"ח וראתה, דהיינו שיש לה זמן קבוע לסימנים האלו אך אין זמן קבוע לראייתה, בכה"ג חוששת רק לפיהוק ותו לא. </w:t>
      </w:r>
      <w:r>
        <w:rPr>
          <w:sz w:val="20"/>
          <w:szCs w:val="20"/>
          <w:rtl/>
        </w:rPr>
        <w:br/>
      </w:r>
      <w:r>
        <w:rPr>
          <w:rFonts w:hint="cs"/>
          <w:sz w:val="20"/>
          <w:szCs w:val="20"/>
          <w:rtl/>
        </w:rPr>
        <w:t>ברם, כאן מדובר בווסת הפיהוק שנקבע לזמן ידוע ודינו כווסת הימים לגמרי.</w:t>
      </w:r>
      <w:r>
        <w:rPr>
          <w:sz w:val="20"/>
          <w:szCs w:val="20"/>
          <w:rtl/>
        </w:rPr>
        <w:br/>
      </w:r>
      <w:r>
        <w:rPr>
          <w:rFonts w:hint="cs"/>
          <w:sz w:val="20"/>
          <w:szCs w:val="20"/>
          <w:rtl/>
        </w:rPr>
        <w:t xml:space="preserve">לכן </w:t>
      </w:r>
      <w:r>
        <w:rPr>
          <w:sz w:val="20"/>
          <w:szCs w:val="20"/>
          <w:rtl/>
        </w:rPr>
        <w:t>–</w:t>
      </w:r>
      <w:r>
        <w:rPr>
          <w:rFonts w:hint="cs"/>
          <w:sz w:val="20"/>
          <w:szCs w:val="20"/>
          <w:rtl/>
        </w:rPr>
        <w:t xml:space="preserve"> יש לפרוש כל עונת הווסת, כפשט דברי המחבר כאן.</w:t>
      </w:r>
      <w:r>
        <w:rPr>
          <w:sz w:val="20"/>
          <w:szCs w:val="20"/>
          <w:rtl/>
        </w:rPr>
        <w:br/>
      </w:r>
      <w:r w:rsidRPr="004B1AD4">
        <w:rPr>
          <w:rFonts w:hint="cs"/>
          <w:sz w:val="20"/>
          <w:szCs w:val="20"/>
          <w:u w:val="single"/>
          <w:rtl/>
        </w:rPr>
        <w:t>ולדינא</w:t>
      </w:r>
      <w:r>
        <w:rPr>
          <w:rFonts w:hint="cs"/>
          <w:sz w:val="20"/>
          <w:szCs w:val="20"/>
          <w:rtl/>
        </w:rPr>
        <w:t xml:space="preserve"> </w:t>
      </w:r>
      <w:r>
        <w:rPr>
          <w:sz w:val="20"/>
          <w:szCs w:val="20"/>
          <w:rtl/>
        </w:rPr>
        <w:t>–</w:t>
      </w:r>
      <w:r>
        <w:rPr>
          <w:rFonts w:hint="cs"/>
          <w:sz w:val="20"/>
          <w:szCs w:val="20"/>
          <w:rtl/>
        </w:rPr>
        <w:t xml:space="preserve"> העיקר כדברי </w:t>
      </w:r>
      <w:r w:rsidRPr="004B1AD4">
        <w:rPr>
          <w:rFonts w:hint="cs"/>
          <w:b/>
          <w:bCs/>
          <w:sz w:val="20"/>
          <w:szCs w:val="20"/>
          <w:rtl/>
        </w:rPr>
        <w:t>הבית יוסף</w:t>
      </w:r>
      <w:r>
        <w:rPr>
          <w:rFonts w:hint="cs"/>
          <w:sz w:val="20"/>
          <w:szCs w:val="20"/>
          <w:rtl/>
        </w:rPr>
        <w:t xml:space="preserve"> שאף בווסת מורכב שאינו קבוע יש לפרוש כל אותה עונה.</w:t>
      </w:r>
      <w:r>
        <w:rPr>
          <w:rStyle w:val="a5"/>
          <w:sz w:val="20"/>
          <w:szCs w:val="20"/>
          <w:rtl/>
        </w:rPr>
        <w:footnoteReference w:id="227"/>
      </w:r>
    </w:p>
    <w:p w:rsidR="00620060" w:rsidRDefault="00620060" w:rsidP="00620060">
      <w:pPr>
        <w:rPr>
          <w:sz w:val="20"/>
          <w:szCs w:val="20"/>
          <w:rtl/>
        </w:rPr>
      </w:pPr>
      <w:r>
        <w:rPr>
          <w:rFonts w:hint="cs"/>
          <w:b/>
          <w:bCs/>
          <w:sz w:val="20"/>
          <w:szCs w:val="20"/>
          <w:rtl/>
        </w:rPr>
        <w:t>סיכום</w:t>
      </w:r>
      <w:r>
        <w:rPr>
          <w:b/>
          <w:bCs/>
          <w:sz w:val="20"/>
          <w:szCs w:val="20"/>
          <w:rtl/>
        </w:rPr>
        <w:br/>
      </w:r>
      <w:r w:rsidRPr="004B1AD4">
        <w:rPr>
          <w:rFonts w:hint="cs"/>
          <w:sz w:val="20"/>
          <w:szCs w:val="20"/>
          <w:rtl/>
        </w:rPr>
        <w:t xml:space="preserve">1. </w:t>
      </w:r>
      <w:r w:rsidRPr="004B1AD4">
        <w:rPr>
          <w:rFonts w:hint="cs"/>
          <w:b/>
          <w:bCs/>
          <w:sz w:val="20"/>
          <w:szCs w:val="20"/>
          <w:rtl/>
        </w:rPr>
        <w:t>ט"ז</w:t>
      </w:r>
      <w:r w:rsidRPr="004B1AD4">
        <w:rPr>
          <w:rFonts w:hint="cs"/>
          <w:sz w:val="20"/>
          <w:szCs w:val="20"/>
          <w:rtl/>
        </w:rPr>
        <w:t xml:space="preserve"> - </w:t>
      </w:r>
      <w:r w:rsidRPr="008D1BC8">
        <w:rPr>
          <w:rFonts w:hint="cs"/>
          <w:sz w:val="20"/>
          <w:szCs w:val="20"/>
          <w:u w:val="single"/>
          <w:rtl/>
        </w:rPr>
        <w:t>ווסת הגוף</w:t>
      </w:r>
      <w:r>
        <w:rPr>
          <w:rFonts w:hint="cs"/>
          <w:sz w:val="20"/>
          <w:szCs w:val="20"/>
          <w:rtl/>
        </w:rPr>
        <w:t xml:space="preserve">. אסורה רק בשעת הווסת ותו לא. </w:t>
      </w:r>
      <w:r>
        <w:rPr>
          <w:sz w:val="20"/>
          <w:szCs w:val="20"/>
          <w:rtl/>
        </w:rPr>
        <w:br/>
      </w:r>
      <w:r w:rsidRPr="008D1BC8">
        <w:rPr>
          <w:rFonts w:hint="cs"/>
          <w:sz w:val="20"/>
          <w:szCs w:val="20"/>
          <w:u w:val="single"/>
          <w:rtl/>
        </w:rPr>
        <w:t>ווסת המורכב</w:t>
      </w:r>
      <w:r>
        <w:rPr>
          <w:rFonts w:hint="cs"/>
          <w:sz w:val="20"/>
          <w:szCs w:val="20"/>
          <w:rtl/>
        </w:rPr>
        <w:t>. עד שעת הווסת מותרת, לאחר שעת הווסת אסורה עד סוף אותה עונה.</w:t>
      </w:r>
      <w:r>
        <w:rPr>
          <w:sz w:val="20"/>
          <w:szCs w:val="20"/>
          <w:rtl/>
        </w:rPr>
        <w:br/>
      </w:r>
      <w:r>
        <w:rPr>
          <w:rFonts w:hint="cs"/>
          <w:sz w:val="20"/>
          <w:szCs w:val="20"/>
          <w:rtl/>
        </w:rPr>
        <w:t xml:space="preserve">2. </w:t>
      </w:r>
      <w:r w:rsidRPr="004B1AD4">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גם בווסת המורכב אסורה כל אותה עונה. ולדינא הלכה כב"י שאף בווסת מורכב שאינו קבוע אסורה כל אותה עונה.</w:t>
      </w:r>
    </w:p>
    <w:p w:rsidR="00620060" w:rsidRDefault="00620060" w:rsidP="00620060">
      <w:pPr>
        <w:rPr>
          <w:sz w:val="20"/>
          <w:szCs w:val="20"/>
          <w:rtl/>
        </w:rPr>
      </w:pPr>
      <w:r>
        <w:rPr>
          <w:sz w:val="20"/>
          <w:szCs w:val="20"/>
          <w:rtl/>
        </w:rPr>
        <w:br/>
      </w:r>
      <w:r>
        <w:rPr>
          <w:rFonts w:hint="cs"/>
          <w:b/>
          <w:bCs/>
          <w:sz w:val="20"/>
          <w:szCs w:val="20"/>
          <w:rtl/>
        </w:rPr>
        <w:t xml:space="preserve">סעיף כו </w:t>
      </w:r>
      <w:r>
        <w:rPr>
          <w:b/>
          <w:bCs/>
          <w:sz w:val="20"/>
          <w:szCs w:val="20"/>
          <w:rtl/>
        </w:rPr>
        <w:t>–</w:t>
      </w:r>
      <w:r>
        <w:rPr>
          <w:rFonts w:hint="cs"/>
          <w:b/>
          <w:bCs/>
          <w:sz w:val="20"/>
          <w:szCs w:val="20"/>
          <w:rtl/>
        </w:rPr>
        <w:t xml:space="preserve"> חשש לווסת הגוף ועקירת ווסת הגוף</w:t>
      </w:r>
      <w:r>
        <w:rPr>
          <w:b/>
          <w:b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שולחן ערוך </w:t>
      </w:r>
      <w:r w:rsidRPr="002B33AA">
        <w:rPr>
          <w:rFonts w:hint="cs"/>
          <w:sz w:val="18"/>
          <w:szCs w:val="18"/>
          <w:rtl/>
        </w:rPr>
        <w:t xml:space="preserve">(ע"פ הטור) </w:t>
      </w:r>
      <w:r>
        <w:rPr>
          <w:sz w:val="20"/>
          <w:szCs w:val="20"/>
          <w:rtl/>
        </w:rPr>
        <w:t>–</w:t>
      </w:r>
      <w:r>
        <w:rPr>
          <w:rFonts w:hint="cs"/>
          <w:sz w:val="20"/>
          <w:szCs w:val="20"/>
          <w:rtl/>
        </w:rPr>
        <w:t xml:space="preserve"> "</w:t>
      </w:r>
      <w:r w:rsidRPr="002B33AA">
        <w:rPr>
          <w:rFonts w:cs="Arial" w:hint="cs"/>
          <w:sz w:val="20"/>
          <w:szCs w:val="20"/>
          <w:rtl/>
        </w:rPr>
        <w:t>כשם</w:t>
      </w:r>
      <w:r w:rsidRPr="002B33AA">
        <w:rPr>
          <w:rFonts w:cs="Arial"/>
          <w:sz w:val="20"/>
          <w:szCs w:val="20"/>
          <w:rtl/>
        </w:rPr>
        <w:t xml:space="preserve"> </w:t>
      </w:r>
      <w:r w:rsidRPr="002B33AA">
        <w:rPr>
          <w:rFonts w:cs="Arial" w:hint="cs"/>
          <w:sz w:val="20"/>
          <w:szCs w:val="20"/>
          <w:rtl/>
        </w:rPr>
        <w:t>שחוששת</w:t>
      </w:r>
      <w:r w:rsidRPr="002B33AA">
        <w:rPr>
          <w:rFonts w:cs="Arial"/>
          <w:sz w:val="20"/>
          <w:szCs w:val="20"/>
          <w:rtl/>
        </w:rPr>
        <w:t xml:space="preserve"> </w:t>
      </w:r>
      <w:r w:rsidRPr="002B33AA">
        <w:rPr>
          <w:rFonts w:cs="Arial" w:hint="cs"/>
          <w:sz w:val="20"/>
          <w:szCs w:val="20"/>
          <w:rtl/>
        </w:rPr>
        <w:t>ל</w:t>
      </w:r>
      <w:r>
        <w:rPr>
          <w:rFonts w:cs="Arial" w:hint="cs"/>
          <w:sz w:val="20"/>
          <w:szCs w:val="20"/>
          <w:rtl/>
        </w:rPr>
        <w:t>ו</w:t>
      </w:r>
      <w:r w:rsidRPr="002B33AA">
        <w:rPr>
          <w:rFonts w:cs="Arial" w:hint="cs"/>
          <w:sz w:val="20"/>
          <w:szCs w:val="20"/>
          <w:rtl/>
        </w:rPr>
        <w:t>וסת</w:t>
      </w:r>
      <w:r w:rsidRPr="002B33AA">
        <w:rPr>
          <w:rFonts w:cs="Arial"/>
          <w:sz w:val="20"/>
          <w:szCs w:val="20"/>
          <w:rtl/>
        </w:rPr>
        <w:t xml:space="preserve"> </w:t>
      </w:r>
      <w:r w:rsidRPr="002B33AA">
        <w:rPr>
          <w:rFonts w:cs="Arial" w:hint="cs"/>
          <w:sz w:val="20"/>
          <w:szCs w:val="20"/>
          <w:rtl/>
        </w:rPr>
        <w:t>הימים</w:t>
      </w:r>
      <w:r w:rsidRPr="002B33AA">
        <w:rPr>
          <w:rFonts w:cs="Arial"/>
          <w:sz w:val="20"/>
          <w:szCs w:val="20"/>
          <w:rtl/>
        </w:rPr>
        <w:t xml:space="preserve"> </w:t>
      </w:r>
      <w:r w:rsidRPr="002B33AA">
        <w:rPr>
          <w:rFonts w:cs="Arial" w:hint="cs"/>
          <w:sz w:val="20"/>
          <w:szCs w:val="20"/>
          <w:rtl/>
        </w:rPr>
        <w:t>בפעם</w:t>
      </w:r>
      <w:r w:rsidRPr="002B33AA">
        <w:rPr>
          <w:rFonts w:cs="Arial"/>
          <w:sz w:val="20"/>
          <w:szCs w:val="20"/>
          <w:rtl/>
        </w:rPr>
        <w:t xml:space="preserve"> </w:t>
      </w:r>
      <w:r w:rsidRPr="002B33AA">
        <w:rPr>
          <w:rFonts w:cs="Arial" w:hint="cs"/>
          <w:sz w:val="20"/>
          <w:szCs w:val="20"/>
          <w:rtl/>
        </w:rPr>
        <w:t>אחת</w:t>
      </w:r>
      <w:r w:rsidRPr="002B33AA">
        <w:rPr>
          <w:rFonts w:cs="Arial"/>
          <w:sz w:val="20"/>
          <w:szCs w:val="20"/>
          <w:rtl/>
        </w:rPr>
        <w:t xml:space="preserve">, </w:t>
      </w:r>
      <w:r w:rsidRPr="002B33AA">
        <w:rPr>
          <w:rFonts w:cs="Arial" w:hint="cs"/>
          <w:sz w:val="20"/>
          <w:szCs w:val="20"/>
          <w:rtl/>
        </w:rPr>
        <w:t>כך</w:t>
      </w:r>
      <w:r w:rsidRPr="002B33AA">
        <w:rPr>
          <w:rFonts w:cs="Arial"/>
          <w:sz w:val="20"/>
          <w:szCs w:val="20"/>
          <w:rtl/>
        </w:rPr>
        <w:t xml:space="preserve"> </w:t>
      </w:r>
      <w:r w:rsidRPr="002B33AA">
        <w:rPr>
          <w:rFonts w:cs="Arial" w:hint="cs"/>
          <w:sz w:val="20"/>
          <w:szCs w:val="20"/>
          <w:rtl/>
        </w:rPr>
        <w:t>חוששת</w:t>
      </w:r>
      <w:r w:rsidRPr="002B33AA">
        <w:rPr>
          <w:rFonts w:cs="Arial"/>
          <w:sz w:val="20"/>
          <w:szCs w:val="20"/>
          <w:rtl/>
        </w:rPr>
        <w:t xml:space="preserve"> </w:t>
      </w:r>
      <w:r w:rsidRPr="002B33AA">
        <w:rPr>
          <w:rFonts w:cs="Arial" w:hint="cs"/>
          <w:sz w:val="20"/>
          <w:szCs w:val="20"/>
          <w:rtl/>
        </w:rPr>
        <w:t>ל</w:t>
      </w:r>
      <w:r>
        <w:rPr>
          <w:rFonts w:cs="Arial" w:hint="cs"/>
          <w:sz w:val="20"/>
          <w:szCs w:val="20"/>
          <w:rtl/>
        </w:rPr>
        <w:t>ו</w:t>
      </w:r>
      <w:r w:rsidRPr="002B33AA">
        <w:rPr>
          <w:rFonts w:cs="Arial" w:hint="cs"/>
          <w:sz w:val="20"/>
          <w:szCs w:val="20"/>
          <w:rtl/>
        </w:rPr>
        <w:t>וסת</w:t>
      </w:r>
      <w:r w:rsidRPr="002B33AA">
        <w:rPr>
          <w:rFonts w:cs="Arial"/>
          <w:sz w:val="20"/>
          <w:szCs w:val="20"/>
          <w:rtl/>
        </w:rPr>
        <w:t xml:space="preserve"> </w:t>
      </w:r>
      <w:r w:rsidRPr="002B33AA">
        <w:rPr>
          <w:rFonts w:cs="Arial" w:hint="cs"/>
          <w:sz w:val="20"/>
          <w:szCs w:val="20"/>
          <w:rtl/>
        </w:rPr>
        <w:t>הגוף</w:t>
      </w:r>
      <w:r w:rsidRPr="002B33AA">
        <w:rPr>
          <w:rFonts w:cs="Arial"/>
          <w:sz w:val="20"/>
          <w:szCs w:val="20"/>
          <w:rtl/>
        </w:rPr>
        <w:t xml:space="preserve"> </w:t>
      </w:r>
      <w:r w:rsidRPr="002B33AA">
        <w:rPr>
          <w:rFonts w:cs="Arial" w:hint="cs"/>
          <w:sz w:val="20"/>
          <w:szCs w:val="20"/>
          <w:rtl/>
        </w:rPr>
        <w:t>בפעם</w:t>
      </w:r>
      <w:r w:rsidRPr="002B33AA">
        <w:rPr>
          <w:rFonts w:cs="Arial"/>
          <w:sz w:val="20"/>
          <w:szCs w:val="20"/>
          <w:rtl/>
        </w:rPr>
        <w:t xml:space="preserve"> </w:t>
      </w:r>
      <w:r w:rsidRPr="002B33AA">
        <w:rPr>
          <w:rFonts w:cs="Arial" w:hint="cs"/>
          <w:sz w:val="20"/>
          <w:szCs w:val="20"/>
          <w:rtl/>
        </w:rPr>
        <w:t>אחת</w:t>
      </w:r>
      <w:r w:rsidRPr="002B33AA">
        <w:rPr>
          <w:rFonts w:cs="Arial"/>
          <w:sz w:val="20"/>
          <w:szCs w:val="20"/>
          <w:rtl/>
        </w:rPr>
        <w:t xml:space="preserve">. </w:t>
      </w:r>
      <w:r w:rsidRPr="002B33AA">
        <w:rPr>
          <w:rFonts w:cs="Arial" w:hint="cs"/>
          <w:sz w:val="20"/>
          <w:szCs w:val="20"/>
          <w:rtl/>
        </w:rPr>
        <w:t>כיצד</w:t>
      </w:r>
      <w:r w:rsidRPr="002B33AA">
        <w:rPr>
          <w:rFonts w:cs="Arial"/>
          <w:sz w:val="20"/>
          <w:szCs w:val="20"/>
          <w:rtl/>
        </w:rPr>
        <w:t xml:space="preserve">, </w:t>
      </w:r>
      <w:r w:rsidRPr="002B33AA">
        <w:rPr>
          <w:rFonts w:cs="Arial" w:hint="cs"/>
          <w:sz w:val="20"/>
          <w:szCs w:val="20"/>
          <w:rtl/>
        </w:rPr>
        <w:t>היתה</w:t>
      </w:r>
      <w:r w:rsidRPr="002B33AA">
        <w:rPr>
          <w:rFonts w:cs="Arial"/>
          <w:sz w:val="20"/>
          <w:szCs w:val="20"/>
          <w:rtl/>
        </w:rPr>
        <w:t xml:space="preserve"> </w:t>
      </w:r>
      <w:r w:rsidRPr="002B33AA">
        <w:rPr>
          <w:rFonts w:cs="Arial" w:hint="cs"/>
          <w:sz w:val="20"/>
          <w:szCs w:val="20"/>
          <w:rtl/>
        </w:rPr>
        <w:t>מפהקת</w:t>
      </w:r>
      <w:r w:rsidRPr="002B33AA">
        <w:rPr>
          <w:rFonts w:cs="Arial"/>
          <w:sz w:val="20"/>
          <w:szCs w:val="20"/>
          <w:rtl/>
        </w:rPr>
        <w:t xml:space="preserve"> </w:t>
      </w:r>
      <w:r w:rsidRPr="002B33AA">
        <w:rPr>
          <w:rFonts w:cs="Arial" w:hint="cs"/>
          <w:sz w:val="20"/>
          <w:szCs w:val="20"/>
          <w:rtl/>
        </w:rPr>
        <w:t>פעם</w:t>
      </w:r>
      <w:r w:rsidRPr="002B33AA">
        <w:rPr>
          <w:rFonts w:cs="Arial"/>
          <w:sz w:val="20"/>
          <w:szCs w:val="20"/>
          <w:rtl/>
        </w:rPr>
        <w:t xml:space="preserve"> </w:t>
      </w:r>
      <w:r w:rsidRPr="002B33AA">
        <w:rPr>
          <w:rFonts w:cs="Arial" w:hint="cs"/>
          <w:sz w:val="20"/>
          <w:szCs w:val="20"/>
          <w:rtl/>
        </w:rPr>
        <w:t>אחת</w:t>
      </w:r>
      <w:r w:rsidRPr="002B33AA">
        <w:rPr>
          <w:rFonts w:cs="Arial"/>
          <w:sz w:val="20"/>
          <w:szCs w:val="20"/>
          <w:rtl/>
        </w:rPr>
        <w:t xml:space="preserve"> </w:t>
      </w:r>
      <w:r w:rsidRPr="002B33AA">
        <w:rPr>
          <w:rFonts w:cs="Arial" w:hint="cs"/>
          <w:sz w:val="20"/>
          <w:szCs w:val="20"/>
          <w:rtl/>
        </w:rPr>
        <w:t>וראתה</w:t>
      </w:r>
      <w:r w:rsidRPr="002B33AA">
        <w:rPr>
          <w:rFonts w:cs="Arial"/>
          <w:sz w:val="20"/>
          <w:szCs w:val="20"/>
          <w:rtl/>
        </w:rPr>
        <w:t xml:space="preserve">, </w:t>
      </w:r>
      <w:r w:rsidRPr="002B33AA">
        <w:rPr>
          <w:rFonts w:cs="Arial" w:hint="cs"/>
          <w:sz w:val="20"/>
          <w:szCs w:val="20"/>
          <w:rtl/>
        </w:rPr>
        <w:t>כשתפהק</w:t>
      </w:r>
      <w:r w:rsidRPr="002B33AA">
        <w:rPr>
          <w:rFonts w:cs="Arial"/>
          <w:sz w:val="20"/>
          <w:szCs w:val="20"/>
          <w:rtl/>
        </w:rPr>
        <w:t xml:space="preserve"> </w:t>
      </w:r>
      <w:r w:rsidRPr="002B33AA">
        <w:rPr>
          <w:rFonts w:cs="Arial" w:hint="cs"/>
          <w:sz w:val="20"/>
          <w:szCs w:val="20"/>
          <w:rtl/>
        </w:rPr>
        <w:t>פעם</w:t>
      </w:r>
      <w:r w:rsidRPr="002B33AA">
        <w:rPr>
          <w:rFonts w:cs="Arial"/>
          <w:sz w:val="20"/>
          <w:szCs w:val="20"/>
          <w:rtl/>
        </w:rPr>
        <w:t xml:space="preserve"> </w:t>
      </w:r>
      <w:r w:rsidRPr="002B33AA">
        <w:rPr>
          <w:rFonts w:cs="Arial" w:hint="cs"/>
          <w:sz w:val="20"/>
          <w:szCs w:val="20"/>
          <w:rtl/>
        </w:rPr>
        <w:t>אחרת</w:t>
      </w:r>
      <w:r w:rsidRPr="002B33AA">
        <w:rPr>
          <w:rFonts w:cs="Arial"/>
          <w:sz w:val="20"/>
          <w:szCs w:val="20"/>
          <w:rtl/>
        </w:rPr>
        <w:t xml:space="preserve">, </w:t>
      </w:r>
      <w:r w:rsidRPr="002B33AA">
        <w:rPr>
          <w:rFonts w:cs="Arial" w:hint="cs"/>
          <w:sz w:val="20"/>
          <w:szCs w:val="20"/>
          <w:rtl/>
        </w:rPr>
        <w:t>חוששת</w:t>
      </w:r>
      <w:r w:rsidRPr="002B33AA">
        <w:rPr>
          <w:rFonts w:cs="Arial"/>
          <w:sz w:val="20"/>
          <w:szCs w:val="20"/>
          <w:rtl/>
        </w:rPr>
        <w:t xml:space="preserve"> </w:t>
      </w:r>
      <w:r w:rsidRPr="002B33AA">
        <w:rPr>
          <w:rFonts w:cs="Arial" w:hint="cs"/>
          <w:sz w:val="20"/>
          <w:szCs w:val="20"/>
          <w:rtl/>
        </w:rPr>
        <w:t>לו</w:t>
      </w:r>
      <w:r>
        <w:rPr>
          <w:rFonts w:cs="Arial" w:hint="cs"/>
          <w:sz w:val="20"/>
          <w:szCs w:val="20"/>
          <w:rtl/>
        </w:rPr>
        <w:t>.</w:t>
      </w:r>
      <w:r w:rsidRPr="002B33AA">
        <w:rPr>
          <w:rFonts w:cs="Arial"/>
          <w:sz w:val="20"/>
          <w:szCs w:val="20"/>
          <w:rtl/>
        </w:rPr>
        <w:t xml:space="preserve"> </w:t>
      </w:r>
      <w:r w:rsidRPr="002B33AA">
        <w:rPr>
          <w:rFonts w:cs="Arial" w:hint="cs"/>
          <w:sz w:val="20"/>
          <w:szCs w:val="20"/>
          <w:rtl/>
        </w:rPr>
        <w:t>וכשם</w:t>
      </w:r>
      <w:r w:rsidRPr="002B33AA">
        <w:rPr>
          <w:rFonts w:cs="Arial"/>
          <w:sz w:val="20"/>
          <w:szCs w:val="20"/>
          <w:rtl/>
        </w:rPr>
        <w:t xml:space="preserve"> </w:t>
      </w:r>
      <w:r w:rsidRPr="002B33AA">
        <w:rPr>
          <w:rFonts w:cs="Arial" w:hint="cs"/>
          <w:sz w:val="20"/>
          <w:szCs w:val="20"/>
          <w:rtl/>
        </w:rPr>
        <w:t>שו</w:t>
      </w:r>
      <w:r>
        <w:rPr>
          <w:rFonts w:cs="Arial" w:hint="cs"/>
          <w:sz w:val="20"/>
          <w:szCs w:val="20"/>
          <w:rtl/>
        </w:rPr>
        <w:t>ו</w:t>
      </w:r>
      <w:r w:rsidRPr="002B33AA">
        <w:rPr>
          <w:rFonts w:cs="Arial" w:hint="cs"/>
          <w:sz w:val="20"/>
          <w:szCs w:val="20"/>
          <w:rtl/>
        </w:rPr>
        <w:t>סת</w:t>
      </w:r>
      <w:r w:rsidRPr="002B33AA">
        <w:rPr>
          <w:rFonts w:cs="Arial"/>
          <w:sz w:val="20"/>
          <w:szCs w:val="20"/>
          <w:rtl/>
        </w:rPr>
        <w:t xml:space="preserve"> </w:t>
      </w:r>
      <w:r w:rsidRPr="002B33AA">
        <w:rPr>
          <w:rFonts w:cs="Arial" w:hint="cs"/>
          <w:sz w:val="20"/>
          <w:szCs w:val="20"/>
          <w:rtl/>
        </w:rPr>
        <w:t>הימים</w:t>
      </w:r>
      <w:r w:rsidRPr="002B33AA">
        <w:rPr>
          <w:rFonts w:cs="Arial"/>
          <w:sz w:val="20"/>
          <w:szCs w:val="20"/>
          <w:rtl/>
        </w:rPr>
        <w:t xml:space="preserve"> </w:t>
      </w:r>
      <w:r w:rsidRPr="002B33AA">
        <w:rPr>
          <w:rFonts w:cs="Arial" w:hint="cs"/>
          <w:sz w:val="20"/>
          <w:szCs w:val="20"/>
          <w:rtl/>
        </w:rPr>
        <w:t>שאינו</w:t>
      </w:r>
      <w:r w:rsidRPr="002B33AA">
        <w:rPr>
          <w:rFonts w:cs="Arial"/>
          <w:sz w:val="20"/>
          <w:szCs w:val="20"/>
          <w:rtl/>
        </w:rPr>
        <w:t xml:space="preserve"> </w:t>
      </w:r>
      <w:r w:rsidRPr="002B33AA">
        <w:rPr>
          <w:rFonts w:cs="Arial" w:hint="cs"/>
          <w:sz w:val="20"/>
          <w:szCs w:val="20"/>
          <w:rtl/>
        </w:rPr>
        <w:t>קבוע</w:t>
      </w:r>
      <w:r w:rsidRPr="002B33AA">
        <w:rPr>
          <w:rFonts w:cs="Arial"/>
          <w:sz w:val="20"/>
          <w:szCs w:val="20"/>
          <w:rtl/>
        </w:rPr>
        <w:t xml:space="preserve"> </w:t>
      </w:r>
      <w:r w:rsidRPr="002B33AA">
        <w:rPr>
          <w:rFonts w:cs="Arial" w:hint="cs"/>
          <w:sz w:val="20"/>
          <w:szCs w:val="20"/>
          <w:rtl/>
        </w:rPr>
        <w:t>נעקר</w:t>
      </w:r>
      <w:r w:rsidRPr="002B33AA">
        <w:rPr>
          <w:rFonts w:cs="Arial"/>
          <w:sz w:val="20"/>
          <w:szCs w:val="20"/>
          <w:rtl/>
        </w:rPr>
        <w:t xml:space="preserve"> </w:t>
      </w:r>
      <w:r w:rsidRPr="002B33AA">
        <w:rPr>
          <w:rFonts w:cs="Arial" w:hint="cs"/>
          <w:sz w:val="20"/>
          <w:szCs w:val="20"/>
          <w:rtl/>
        </w:rPr>
        <w:t>בפעם</w:t>
      </w:r>
      <w:r w:rsidRPr="002B33AA">
        <w:rPr>
          <w:rFonts w:cs="Arial"/>
          <w:sz w:val="20"/>
          <w:szCs w:val="20"/>
          <w:rtl/>
        </w:rPr>
        <w:t xml:space="preserve"> </w:t>
      </w:r>
      <w:r w:rsidRPr="002B33AA">
        <w:rPr>
          <w:rFonts w:cs="Arial" w:hint="cs"/>
          <w:sz w:val="20"/>
          <w:szCs w:val="20"/>
          <w:rtl/>
        </w:rPr>
        <w:t>אחת</w:t>
      </w:r>
      <w:r w:rsidRPr="002B33AA">
        <w:rPr>
          <w:rFonts w:cs="Arial"/>
          <w:sz w:val="20"/>
          <w:szCs w:val="20"/>
          <w:rtl/>
        </w:rPr>
        <w:t xml:space="preserve">, </w:t>
      </w:r>
      <w:r w:rsidRPr="002B33AA">
        <w:rPr>
          <w:rFonts w:cs="Arial" w:hint="cs"/>
          <w:sz w:val="20"/>
          <w:szCs w:val="20"/>
          <w:rtl/>
        </w:rPr>
        <w:t>שאפילו</w:t>
      </w:r>
      <w:r w:rsidRPr="002B33AA">
        <w:rPr>
          <w:rFonts w:cs="Arial"/>
          <w:sz w:val="20"/>
          <w:szCs w:val="20"/>
          <w:rtl/>
        </w:rPr>
        <w:t xml:space="preserve"> </w:t>
      </w:r>
      <w:r w:rsidRPr="002B33AA">
        <w:rPr>
          <w:rFonts w:cs="Arial" w:hint="cs"/>
          <w:sz w:val="20"/>
          <w:szCs w:val="20"/>
          <w:rtl/>
        </w:rPr>
        <w:t>ראתה</w:t>
      </w:r>
      <w:r w:rsidRPr="002B33AA">
        <w:rPr>
          <w:rFonts w:cs="Arial"/>
          <w:sz w:val="20"/>
          <w:szCs w:val="20"/>
          <w:rtl/>
        </w:rPr>
        <w:t xml:space="preserve"> </w:t>
      </w:r>
      <w:r w:rsidRPr="002B33AA">
        <w:rPr>
          <w:rFonts w:cs="Arial" w:hint="cs"/>
          <w:sz w:val="20"/>
          <w:szCs w:val="20"/>
          <w:rtl/>
        </w:rPr>
        <w:t>שני</w:t>
      </w:r>
      <w:r w:rsidRPr="002B33AA">
        <w:rPr>
          <w:rFonts w:cs="Arial"/>
          <w:sz w:val="20"/>
          <w:szCs w:val="20"/>
          <w:rtl/>
        </w:rPr>
        <w:t xml:space="preserve"> </w:t>
      </w:r>
      <w:r w:rsidRPr="002B33AA">
        <w:rPr>
          <w:rFonts w:cs="Arial" w:hint="cs"/>
          <w:sz w:val="20"/>
          <w:szCs w:val="20"/>
          <w:rtl/>
        </w:rPr>
        <w:t>פעמים</w:t>
      </w:r>
      <w:r w:rsidRPr="002B33AA">
        <w:rPr>
          <w:rFonts w:cs="Arial"/>
          <w:sz w:val="20"/>
          <w:szCs w:val="20"/>
          <w:rtl/>
        </w:rPr>
        <w:t xml:space="preserve"> </w:t>
      </w:r>
      <w:r w:rsidRPr="002B33AA">
        <w:rPr>
          <w:rFonts w:cs="Arial" w:hint="cs"/>
          <w:sz w:val="20"/>
          <w:szCs w:val="20"/>
          <w:rtl/>
        </w:rPr>
        <w:t>ליום</w:t>
      </w:r>
      <w:r w:rsidRPr="002B33AA">
        <w:rPr>
          <w:rFonts w:cs="Arial"/>
          <w:sz w:val="20"/>
          <w:szCs w:val="20"/>
          <w:rtl/>
        </w:rPr>
        <w:t xml:space="preserve"> </w:t>
      </w:r>
      <w:r w:rsidRPr="002B33AA">
        <w:rPr>
          <w:rFonts w:cs="Arial" w:hint="cs"/>
          <w:sz w:val="20"/>
          <w:szCs w:val="20"/>
          <w:rtl/>
        </w:rPr>
        <w:t>ידוע</w:t>
      </w:r>
      <w:r w:rsidRPr="002B33AA">
        <w:rPr>
          <w:rFonts w:cs="Arial"/>
          <w:sz w:val="20"/>
          <w:szCs w:val="20"/>
          <w:rtl/>
        </w:rPr>
        <w:t xml:space="preserve"> </w:t>
      </w:r>
      <w:r w:rsidRPr="002B33AA">
        <w:rPr>
          <w:rFonts w:cs="Arial" w:hint="cs"/>
          <w:sz w:val="20"/>
          <w:szCs w:val="20"/>
          <w:rtl/>
        </w:rPr>
        <w:t>אם</w:t>
      </w:r>
      <w:r w:rsidRPr="002B33AA">
        <w:rPr>
          <w:rFonts w:cs="Arial"/>
          <w:sz w:val="20"/>
          <w:szCs w:val="20"/>
          <w:rtl/>
        </w:rPr>
        <w:t xml:space="preserve"> </w:t>
      </w:r>
      <w:r w:rsidRPr="002B33AA">
        <w:rPr>
          <w:rFonts w:cs="Arial" w:hint="cs"/>
          <w:sz w:val="20"/>
          <w:szCs w:val="20"/>
          <w:rtl/>
        </w:rPr>
        <w:t>הגיע</w:t>
      </w:r>
      <w:r w:rsidRPr="002B33AA">
        <w:rPr>
          <w:rFonts w:cs="Arial"/>
          <w:sz w:val="20"/>
          <w:szCs w:val="20"/>
          <w:rtl/>
        </w:rPr>
        <w:t xml:space="preserve"> </w:t>
      </w:r>
      <w:r w:rsidRPr="002B33AA">
        <w:rPr>
          <w:rFonts w:cs="Arial" w:hint="cs"/>
          <w:sz w:val="20"/>
          <w:szCs w:val="20"/>
          <w:rtl/>
        </w:rPr>
        <w:t>זמן</w:t>
      </w:r>
      <w:r w:rsidRPr="002B33AA">
        <w:rPr>
          <w:rFonts w:cs="Arial"/>
          <w:sz w:val="20"/>
          <w:szCs w:val="20"/>
          <w:rtl/>
        </w:rPr>
        <w:t xml:space="preserve"> </w:t>
      </w:r>
      <w:r w:rsidRPr="002B33AA">
        <w:rPr>
          <w:rFonts w:cs="Arial" w:hint="cs"/>
          <w:sz w:val="20"/>
          <w:szCs w:val="20"/>
          <w:rtl/>
        </w:rPr>
        <w:t>שלישי</w:t>
      </w:r>
      <w:r w:rsidRPr="002B33AA">
        <w:rPr>
          <w:rFonts w:cs="Arial"/>
          <w:sz w:val="20"/>
          <w:szCs w:val="20"/>
          <w:rtl/>
        </w:rPr>
        <w:t xml:space="preserve"> </w:t>
      </w:r>
      <w:r w:rsidRPr="002B33AA">
        <w:rPr>
          <w:rFonts w:cs="Arial" w:hint="cs"/>
          <w:sz w:val="20"/>
          <w:szCs w:val="20"/>
          <w:rtl/>
        </w:rPr>
        <w:t>ולא</w:t>
      </w:r>
      <w:r w:rsidRPr="002B33AA">
        <w:rPr>
          <w:rFonts w:cs="Arial"/>
          <w:sz w:val="20"/>
          <w:szCs w:val="20"/>
          <w:rtl/>
        </w:rPr>
        <w:t xml:space="preserve"> </w:t>
      </w:r>
      <w:r w:rsidRPr="002B33AA">
        <w:rPr>
          <w:rFonts w:cs="Arial" w:hint="cs"/>
          <w:sz w:val="20"/>
          <w:szCs w:val="20"/>
          <w:rtl/>
        </w:rPr>
        <w:t>ראתה</w:t>
      </w:r>
      <w:r w:rsidRPr="002B33AA">
        <w:rPr>
          <w:rFonts w:cs="Arial"/>
          <w:sz w:val="20"/>
          <w:szCs w:val="20"/>
          <w:rtl/>
        </w:rPr>
        <w:t xml:space="preserve">, </w:t>
      </w:r>
      <w:r w:rsidRPr="002B33AA">
        <w:rPr>
          <w:rFonts w:cs="Arial" w:hint="cs"/>
          <w:sz w:val="20"/>
          <w:szCs w:val="20"/>
          <w:rtl/>
        </w:rPr>
        <w:t>נעקר</w:t>
      </w:r>
      <w:r w:rsidRPr="002B33AA">
        <w:rPr>
          <w:rFonts w:cs="Arial"/>
          <w:sz w:val="20"/>
          <w:szCs w:val="20"/>
          <w:rtl/>
        </w:rPr>
        <w:t xml:space="preserve"> </w:t>
      </w:r>
      <w:r w:rsidRPr="002B33AA">
        <w:rPr>
          <w:rFonts w:cs="Arial" w:hint="cs"/>
          <w:sz w:val="20"/>
          <w:szCs w:val="20"/>
          <w:rtl/>
        </w:rPr>
        <w:t>לגמרי</w:t>
      </w:r>
      <w:r w:rsidRPr="002B33AA">
        <w:rPr>
          <w:rFonts w:cs="Arial"/>
          <w:sz w:val="20"/>
          <w:szCs w:val="20"/>
          <w:rtl/>
        </w:rPr>
        <w:t xml:space="preserve">, </w:t>
      </w:r>
      <w:r w:rsidRPr="002B33AA">
        <w:rPr>
          <w:rFonts w:cs="Arial" w:hint="cs"/>
          <w:sz w:val="20"/>
          <w:szCs w:val="20"/>
          <w:rtl/>
        </w:rPr>
        <w:t>כן</w:t>
      </w:r>
      <w:r w:rsidRPr="002B33AA">
        <w:rPr>
          <w:rFonts w:cs="Arial"/>
          <w:sz w:val="20"/>
          <w:szCs w:val="20"/>
          <w:rtl/>
        </w:rPr>
        <w:t xml:space="preserve"> </w:t>
      </w:r>
      <w:r w:rsidRPr="002B33AA">
        <w:rPr>
          <w:rFonts w:cs="Arial" w:hint="cs"/>
          <w:sz w:val="20"/>
          <w:szCs w:val="20"/>
          <w:rtl/>
        </w:rPr>
        <w:t>הוא</w:t>
      </w:r>
      <w:r w:rsidRPr="002B33AA">
        <w:rPr>
          <w:rFonts w:cs="Arial"/>
          <w:sz w:val="20"/>
          <w:szCs w:val="20"/>
          <w:rtl/>
        </w:rPr>
        <w:t xml:space="preserve"> </w:t>
      </w:r>
      <w:r w:rsidRPr="002B33AA">
        <w:rPr>
          <w:rFonts w:cs="Arial" w:hint="cs"/>
          <w:sz w:val="20"/>
          <w:szCs w:val="20"/>
          <w:rtl/>
        </w:rPr>
        <w:t>וסת</w:t>
      </w:r>
      <w:r w:rsidRPr="002B33AA">
        <w:rPr>
          <w:rFonts w:cs="Arial"/>
          <w:sz w:val="20"/>
          <w:szCs w:val="20"/>
          <w:rtl/>
        </w:rPr>
        <w:t xml:space="preserve"> </w:t>
      </w:r>
      <w:r w:rsidRPr="002B33AA">
        <w:rPr>
          <w:rFonts w:cs="Arial" w:hint="cs"/>
          <w:sz w:val="20"/>
          <w:szCs w:val="20"/>
          <w:rtl/>
        </w:rPr>
        <w:t>הגוף</w:t>
      </w:r>
      <w:r w:rsidRPr="002B33AA">
        <w:rPr>
          <w:rFonts w:cs="Arial"/>
          <w:sz w:val="20"/>
          <w:szCs w:val="20"/>
          <w:rtl/>
        </w:rPr>
        <w:t xml:space="preserve">. </w:t>
      </w:r>
      <w:r w:rsidRPr="002B33AA">
        <w:rPr>
          <w:rFonts w:cs="Arial" w:hint="cs"/>
          <w:sz w:val="20"/>
          <w:szCs w:val="20"/>
          <w:rtl/>
        </w:rPr>
        <w:t>וכשם</w:t>
      </w:r>
      <w:r w:rsidRPr="002B33AA">
        <w:rPr>
          <w:rFonts w:cs="Arial"/>
          <w:sz w:val="20"/>
          <w:szCs w:val="20"/>
          <w:rtl/>
        </w:rPr>
        <w:t xml:space="preserve"> </w:t>
      </w:r>
      <w:r w:rsidRPr="002B33AA">
        <w:rPr>
          <w:rFonts w:cs="Arial" w:hint="cs"/>
          <w:sz w:val="20"/>
          <w:szCs w:val="20"/>
          <w:rtl/>
        </w:rPr>
        <w:t>שו</w:t>
      </w:r>
      <w:r>
        <w:rPr>
          <w:rFonts w:cs="Arial" w:hint="cs"/>
          <w:sz w:val="20"/>
          <w:szCs w:val="20"/>
          <w:rtl/>
        </w:rPr>
        <w:t>ו</w:t>
      </w:r>
      <w:r w:rsidRPr="002B33AA">
        <w:rPr>
          <w:rFonts w:cs="Arial" w:hint="cs"/>
          <w:sz w:val="20"/>
          <w:szCs w:val="20"/>
          <w:rtl/>
        </w:rPr>
        <w:t>סת</w:t>
      </w:r>
      <w:r w:rsidRPr="002B33AA">
        <w:rPr>
          <w:rFonts w:cs="Arial"/>
          <w:sz w:val="20"/>
          <w:szCs w:val="20"/>
          <w:rtl/>
        </w:rPr>
        <w:t xml:space="preserve"> </w:t>
      </w:r>
      <w:r w:rsidRPr="002B33AA">
        <w:rPr>
          <w:rFonts w:cs="Arial" w:hint="cs"/>
          <w:sz w:val="20"/>
          <w:szCs w:val="20"/>
          <w:rtl/>
        </w:rPr>
        <w:t>הימים</w:t>
      </w:r>
      <w:r w:rsidRPr="002B33AA">
        <w:rPr>
          <w:rFonts w:cs="Arial"/>
          <w:sz w:val="20"/>
          <w:szCs w:val="20"/>
          <w:rtl/>
        </w:rPr>
        <w:t xml:space="preserve"> </w:t>
      </w:r>
      <w:r w:rsidRPr="002B33AA">
        <w:rPr>
          <w:rFonts w:cs="Arial" w:hint="cs"/>
          <w:sz w:val="20"/>
          <w:szCs w:val="20"/>
          <w:rtl/>
        </w:rPr>
        <w:t>הקבוע</w:t>
      </w:r>
      <w:r w:rsidRPr="002B33AA">
        <w:rPr>
          <w:rFonts w:cs="Arial"/>
          <w:sz w:val="20"/>
          <w:szCs w:val="20"/>
          <w:rtl/>
        </w:rPr>
        <w:t xml:space="preserve"> </w:t>
      </w:r>
      <w:r w:rsidRPr="002B33AA">
        <w:rPr>
          <w:rFonts w:cs="Arial" w:hint="cs"/>
          <w:sz w:val="20"/>
          <w:szCs w:val="20"/>
          <w:rtl/>
        </w:rPr>
        <w:t>בג</w:t>
      </w:r>
      <w:r w:rsidRPr="002B33AA">
        <w:rPr>
          <w:rFonts w:cs="Arial"/>
          <w:sz w:val="20"/>
          <w:szCs w:val="20"/>
          <w:rtl/>
        </w:rPr>
        <w:t xml:space="preserve">' </w:t>
      </w:r>
      <w:r w:rsidRPr="002B33AA">
        <w:rPr>
          <w:rFonts w:cs="Arial" w:hint="cs"/>
          <w:sz w:val="20"/>
          <w:szCs w:val="20"/>
          <w:rtl/>
        </w:rPr>
        <w:t>פעמים</w:t>
      </w:r>
      <w:r w:rsidRPr="002B33AA">
        <w:rPr>
          <w:rFonts w:cs="Arial"/>
          <w:sz w:val="20"/>
          <w:szCs w:val="20"/>
          <w:rtl/>
        </w:rPr>
        <w:t xml:space="preserve"> </w:t>
      </w:r>
      <w:r w:rsidRPr="002B33AA">
        <w:rPr>
          <w:rFonts w:cs="Arial" w:hint="cs"/>
          <w:sz w:val="20"/>
          <w:szCs w:val="20"/>
          <w:rtl/>
        </w:rPr>
        <w:t>צריך</w:t>
      </w:r>
      <w:r w:rsidRPr="002B33AA">
        <w:rPr>
          <w:rFonts w:cs="Arial"/>
          <w:sz w:val="20"/>
          <w:szCs w:val="20"/>
          <w:rtl/>
        </w:rPr>
        <w:t xml:space="preserve"> </w:t>
      </w:r>
      <w:r w:rsidRPr="002B33AA">
        <w:rPr>
          <w:rFonts w:cs="Arial" w:hint="cs"/>
          <w:sz w:val="20"/>
          <w:szCs w:val="20"/>
          <w:rtl/>
        </w:rPr>
        <w:t>עקירה</w:t>
      </w:r>
      <w:r w:rsidRPr="002B33AA">
        <w:rPr>
          <w:rFonts w:cs="Arial"/>
          <w:sz w:val="20"/>
          <w:szCs w:val="20"/>
          <w:rtl/>
        </w:rPr>
        <w:t xml:space="preserve"> </w:t>
      </w:r>
      <w:r w:rsidRPr="002B33AA">
        <w:rPr>
          <w:rFonts w:cs="Arial" w:hint="cs"/>
          <w:sz w:val="20"/>
          <w:szCs w:val="20"/>
          <w:rtl/>
        </w:rPr>
        <w:t>ג</w:t>
      </w:r>
      <w:r w:rsidRPr="002B33AA">
        <w:rPr>
          <w:rFonts w:cs="Arial"/>
          <w:sz w:val="20"/>
          <w:szCs w:val="20"/>
          <w:rtl/>
        </w:rPr>
        <w:t xml:space="preserve">' </w:t>
      </w:r>
      <w:r w:rsidRPr="002B33AA">
        <w:rPr>
          <w:rFonts w:cs="Arial" w:hint="cs"/>
          <w:sz w:val="20"/>
          <w:szCs w:val="20"/>
          <w:rtl/>
        </w:rPr>
        <w:t>פעמים</w:t>
      </w:r>
      <w:r w:rsidRPr="002B33AA">
        <w:rPr>
          <w:rFonts w:cs="Arial"/>
          <w:sz w:val="20"/>
          <w:szCs w:val="20"/>
          <w:rtl/>
        </w:rPr>
        <w:t xml:space="preserve"> </w:t>
      </w:r>
      <w:r w:rsidRPr="002B33AA">
        <w:rPr>
          <w:rFonts w:cs="Arial" w:hint="cs"/>
          <w:sz w:val="20"/>
          <w:szCs w:val="20"/>
          <w:rtl/>
        </w:rPr>
        <w:t>ובדיקה</w:t>
      </w:r>
      <w:r w:rsidRPr="002B33AA">
        <w:rPr>
          <w:rFonts w:cs="Arial"/>
          <w:sz w:val="20"/>
          <w:szCs w:val="20"/>
          <w:rtl/>
        </w:rPr>
        <w:t xml:space="preserve">, </w:t>
      </w:r>
      <w:r w:rsidRPr="002B33AA">
        <w:rPr>
          <w:rFonts w:cs="Arial" w:hint="cs"/>
          <w:sz w:val="20"/>
          <w:szCs w:val="20"/>
          <w:rtl/>
        </w:rPr>
        <w:t>כן</w:t>
      </w:r>
      <w:r w:rsidRPr="002B33AA">
        <w:rPr>
          <w:rFonts w:cs="Arial"/>
          <w:sz w:val="20"/>
          <w:szCs w:val="20"/>
          <w:rtl/>
        </w:rPr>
        <w:t xml:space="preserve"> </w:t>
      </w:r>
      <w:r w:rsidRPr="002B33AA">
        <w:rPr>
          <w:rFonts w:cs="Arial" w:hint="cs"/>
          <w:sz w:val="20"/>
          <w:szCs w:val="20"/>
          <w:rtl/>
        </w:rPr>
        <w:t>הוא</w:t>
      </w:r>
      <w:r w:rsidRPr="002B33AA">
        <w:rPr>
          <w:rFonts w:cs="Arial"/>
          <w:sz w:val="20"/>
          <w:szCs w:val="20"/>
          <w:rtl/>
        </w:rPr>
        <w:t xml:space="preserve"> </w:t>
      </w:r>
      <w:r w:rsidRPr="002B33AA">
        <w:rPr>
          <w:rFonts w:cs="Arial" w:hint="cs"/>
          <w:sz w:val="20"/>
          <w:szCs w:val="20"/>
          <w:rtl/>
        </w:rPr>
        <w:t>וסת</w:t>
      </w:r>
      <w:r w:rsidRPr="002B33AA">
        <w:rPr>
          <w:rFonts w:cs="Arial"/>
          <w:sz w:val="20"/>
          <w:szCs w:val="20"/>
          <w:rtl/>
        </w:rPr>
        <w:t xml:space="preserve"> </w:t>
      </w:r>
      <w:r w:rsidRPr="002B33AA">
        <w:rPr>
          <w:rFonts w:cs="Arial" w:hint="cs"/>
          <w:sz w:val="20"/>
          <w:szCs w:val="20"/>
          <w:rtl/>
        </w:rPr>
        <w:t>הקבוע</w:t>
      </w:r>
      <w:r w:rsidRPr="002B33AA">
        <w:rPr>
          <w:rFonts w:cs="Arial"/>
          <w:sz w:val="20"/>
          <w:szCs w:val="20"/>
          <w:rtl/>
        </w:rPr>
        <w:t xml:space="preserve"> </w:t>
      </w:r>
      <w:r w:rsidRPr="002B33AA">
        <w:rPr>
          <w:rFonts w:cs="Arial" w:hint="cs"/>
          <w:sz w:val="20"/>
          <w:szCs w:val="20"/>
          <w:rtl/>
        </w:rPr>
        <w:t>בגוף</w:t>
      </w:r>
      <w:r w:rsidRPr="002B33AA">
        <w:rPr>
          <w:rFonts w:cs="Arial"/>
          <w:sz w:val="20"/>
          <w:szCs w:val="20"/>
          <w:rtl/>
        </w:rPr>
        <w:t xml:space="preserve">. </w:t>
      </w:r>
      <w:r w:rsidRPr="002B33AA">
        <w:rPr>
          <w:rFonts w:cs="Arial" w:hint="cs"/>
          <w:sz w:val="20"/>
          <w:szCs w:val="20"/>
          <w:rtl/>
        </w:rPr>
        <w:t>ומאימתי</w:t>
      </w:r>
      <w:r w:rsidRPr="002B33AA">
        <w:rPr>
          <w:rFonts w:cs="Arial"/>
          <w:sz w:val="20"/>
          <w:szCs w:val="20"/>
          <w:rtl/>
        </w:rPr>
        <w:t xml:space="preserve"> </w:t>
      </w:r>
      <w:r w:rsidRPr="002B33AA">
        <w:rPr>
          <w:rFonts w:cs="Arial" w:hint="cs"/>
          <w:sz w:val="20"/>
          <w:szCs w:val="20"/>
          <w:rtl/>
        </w:rPr>
        <w:t>עקירתו</w:t>
      </w:r>
      <w:r w:rsidRPr="002B33AA">
        <w:rPr>
          <w:rFonts w:cs="Arial"/>
          <w:sz w:val="20"/>
          <w:szCs w:val="20"/>
          <w:rtl/>
        </w:rPr>
        <w:t xml:space="preserve">, </w:t>
      </w:r>
      <w:r w:rsidRPr="002B33AA">
        <w:rPr>
          <w:rFonts w:cs="Arial" w:hint="cs"/>
          <w:sz w:val="20"/>
          <w:szCs w:val="20"/>
          <w:rtl/>
        </w:rPr>
        <w:t>משיקרה</w:t>
      </w:r>
      <w:r w:rsidRPr="002B33AA">
        <w:rPr>
          <w:rFonts w:cs="Arial"/>
          <w:sz w:val="20"/>
          <w:szCs w:val="20"/>
          <w:rtl/>
        </w:rPr>
        <w:t xml:space="preserve"> </w:t>
      </w:r>
      <w:r w:rsidRPr="002B33AA">
        <w:rPr>
          <w:rFonts w:cs="Arial" w:hint="cs"/>
          <w:sz w:val="20"/>
          <w:szCs w:val="20"/>
          <w:rtl/>
        </w:rPr>
        <w:t>מקרה</w:t>
      </w:r>
      <w:r w:rsidRPr="002B33AA">
        <w:rPr>
          <w:rFonts w:cs="Arial"/>
          <w:sz w:val="20"/>
          <w:szCs w:val="20"/>
          <w:rtl/>
        </w:rPr>
        <w:t xml:space="preserve">, </w:t>
      </w:r>
      <w:r w:rsidRPr="002B33AA">
        <w:rPr>
          <w:rFonts w:cs="Arial" w:hint="cs"/>
          <w:sz w:val="20"/>
          <w:szCs w:val="20"/>
          <w:rtl/>
        </w:rPr>
        <w:t>ולא</w:t>
      </w:r>
      <w:r w:rsidRPr="002B33AA">
        <w:rPr>
          <w:rFonts w:cs="Arial"/>
          <w:sz w:val="20"/>
          <w:szCs w:val="20"/>
          <w:rtl/>
        </w:rPr>
        <w:t xml:space="preserve"> </w:t>
      </w:r>
      <w:r w:rsidRPr="002B33AA">
        <w:rPr>
          <w:rFonts w:cs="Arial" w:hint="cs"/>
          <w:sz w:val="20"/>
          <w:szCs w:val="20"/>
          <w:rtl/>
        </w:rPr>
        <w:t>תראה</w:t>
      </w:r>
      <w:r w:rsidRPr="002B33AA">
        <w:rPr>
          <w:rFonts w:cs="Arial"/>
          <w:sz w:val="20"/>
          <w:szCs w:val="20"/>
          <w:rtl/>
        </w:rPr>
        <w:t xml:space="preserve">. </w:t>
      </w:r>
      <w:r w:rsidRPr="002B33AA">
        <w:rPr>
          <w:rFonts w:cs="Arial" w:hint="cs"/>
          <w:sz w:val="20"/>
          <w:szCs w:val="20"/>
          <w:rtl/>
        </w:rPr>
        <w:t>היה</w:t>
      </w:r>
      <w:r w:rsidRPr="002B33AA">
        <w:rPr>
          <w:rFonts w:cs="Arial"/>
          <w:sz w:val="20"/>
          <w:szCs w:val="20"/>
          <w:rtl/>
        </w:rPr>
        <w:t xml:space="preserve"> </w:t>
      </w:r>
      <w:r w:rsidRPr="002B33AA">
        <w:rPr>
          <w:rFonts w:cs="Arial" w:hint="cs"/>
          <w:sz w:val="20"/>
          <w:szCs w:val="20"/>
          <w:rtl/>
        </w:rPr>
        <w:t>המקרה</w:t>
      </w:r>
      <w:r w:rsidRPr="002B33AA">
        <w:rPr>
          <w:rFonts w:cs="Arial"/>
          <w:sz w:val="20"/>
          <w:szCs w:val="20"/>
          <w:rtl/>
        </w:rPr>
        <w:t xml:space="preserve"> </w:t>
      </w:r>
      <w:r w:rsidRPr="002B33AA">
        <w:rPr>
          <w:rFonts w:cs="Arial" w:hint="cs"/>
          <w:sz w:val="20"/>
          <w:szCs w:val="20"/>
          <w:rtl/>
        </w:rPr>
        <w:t>לזמן</w:t>
      </w:r>
      <w:r w:rsidRPr="002B33AA">
        <w:rPr>
          <w:rFonts w:cs="Arial"/>
          <w:sz w:val="20"/>
          <w:szCs w:val="20"/>
          <w:rtl/>
        </w:rPr>
        <w:t xml:space="preserve"> </w:t>
      </w:r>
      <w:r w:rsidRPr="002B33AA">
        <w:rPr>
          <w:rFonts w:cs="Arial" w:hint="cs"/>
          <w:sz w:val="20"/>
          <w:szCs w:val="20"/>
          <w:rtl/>
        </w:rPr>
        <w:t>ידוע</w:t>
      </w:r>
      <w:r w:rsidRPr="002B33AA">
        <w:rPr>
          <w:rFonts w:cs="Arial"/>
          <w:sz w:val="20"/>
          <w:szCs w:val="20"/>
          <w:rtl/>
        </w:rPr>
        <w:t xml:space="preserve">, </w:t>
      </w:r>
      <w:r w:rsidRPr="002B33AA">
        <w:rPr>
          <w:rFonts w:cs="Arial" w:hint="cs"/>
          <w:sz w:val="20"/>
          <w:szCs w:val="20"/>
          <w:rtl/>
        </w:rPr>
        <w:t>אינו</w:t>
      </w:r>
      <w:r w:rsidRPr="002B33AA">
        <w:rPr>
          <w:rFonts w:cs="Arial"/>
          <w:sz w:val="20"/>
          <w:szCs w:val="20"/>
          <w:rtl/>
        </w:rPr>
        <w:t xml:space="preserve"> </w:t>
      </w:r>
      <w:r w:rsidRPr="002B33AA">
        <w:rPr>
          <w:rFonts w:cs="Arial" w:hint="cs"/>
          <w:sz w:val="20"/>
          <w:szCs w:val="20"/>
          <w:rtl/>
        </w:rPr>
        <w:t>נעקר</w:t>
      </w:r>
      <w:r w:rsidRPr="002B33AA">
        <w:rPr>
          <w:rFonts w:cs="Arial"/>
          <w:sz w:val="20"/>
          <w:szCs w:val="20"/>
          <w:rtl/>
        </w:rPr>
        <w:t xml:space="preserve"> </w:t>
      </w:r>
      <w:r w:rsidRPr="002B33AA">
        <w:rPr>
          <w:rFonts w:cs="Arial" w:hint="cs"/>
          <w:sz w:val="20"/>
          <w:szCs w:val="20"/>
          <w:rtl/>
        </w:rPr>
        <w:t>אלא</w:t>
      </w:r>
      <w:r w:rsidRPr="002B33AA">
        <w:rPr>
          <w:rFonts w:cs="Arial"/>
          <w:sz w:val="20"/>
          <w:szCs w:val="20"/>
          <w:rtl/>
        </w:rPr>
        <w:t xml:space="preserve"> </w:t>
      </w:r>
      <w:r w:rsidRPr="002B33AA">
        <w:rPr>
          <w:rFonts w:cs="Arial" w:hint="cs"/>
          <w:sz w:val="20"/>
          <w:szCs w:val="20"/>
          <w:rtl/>
        </w:rPr>
        <w:t>אם</w:t>
      </w:r>
      <w:r w:rsidRPr="002B33AA">
        <w:rPr>
          <w:rFonts w:cs="Arial"/>
          <w:sz w:val="20"/>
          <w:szCs w:val="20"/>
          <w:rtl/>
        </w:rPr>
        <w:t xml:space="preserve"> </w:t>
      </w:r>
      <w:r w:rsidRPr="002B33AA">
        <w:rPr>
          <w:rFonts w:cs="Arial" w:hint="cs"/>
          <w:sz w:val="20"/>
          <w:szCs w:val="20"/>
          <w:rtl/>
        </w:rPr>
        <w:t>כן</w:t>
      </w:r>
      <w:r w:rsidRPr="002B33AA">
        <w:rPr>
          <w:rFonts w:cs="Arial"/>
          <w:sz w:val="20"/>
          <w:szCs w:val="20"/>
          <w:rtl/>
        </w:rPr>
        <w:t xml:space="preserve"> </w:t>
      </w:r>
      <w:r w:rsidRPr="002B33AA">
        <w:rPr>
          <w:rFonts w:cs="Arial" w:hint="cs"/>
          <w:sz w:val="20"/>
          <w:szCs w:val="20"/>
          <w:rtl/>
        </w:rPr>
        <w:t>בא</w:t>
      </w:r>
      <w:r w:rsidRPr="002B33AA">
        <w:rPr>
          <w:rFonts w:cs="Arial"/>
          <w:sz w:val="20"/>
          <w:szCs w:val="20"/>
          <w:rtl/>
        </w:rPr>
        <w:t xml:space="preserve"> </w:t>
      </w:r>
      <w:r w:rsidRPr="002B33AA">
        <w:rPr>
          <w:rFonts w:cs="Arial" w:hint="cs"/>
          <w:sz w:val="20"/>
          <w:szCs w:val="20"/>
          <w:rtl/>
        </w:rPr>
        <w:t>המקרה</w:t>
      </w:r>
      <w:r w:rsidRPr="002B33AA">
        <w:rPr>
          <w:rFonts w:cs="Arial"/>
          <w:sz w:val="20"/>
          <w:szCs w:val="20"/>
          <w:rtl/>
        </w:rPr>
        <w:t xml:space="preserve"> </w:t>
      </w:r>
      <w:r w:rsidRPr="002B33AA">
        <w:rPr>
          <w:rFonts w:cs="Arial" w:hint="cs"/>
          <w:sz w:val="20"/>
          <w:szCs w:val="20"/>
          <w:rtl/>
        </w:rPr>
        <w:t>של</w:t>
      </w:r>
      <w:r>
        <w:rPr>
          <w:rFonts w:cs="Arial" w:hint="cs"/>
          <w:sz w:val="20"/>
          <w:szCs w:val="20"/>
          <w:rtl/>
        </w:rPr>
        <w:t>ו</w:t>
      </w:r>
      <w:r w:rsidRPr="002B33AA">
        <w:rPr>
          <w:rFonts w:cs="Arial" w:hint="cs"/>
          <w:sz w:val="20"/>
          <w:szCs w:val="20"/>
          <w:rtl/>
        </w:rPr>
        <w:t>ש</w:t>
      </w:r>
      <w:r w:rsidRPr="002B33AA">
        <w:rPr>
          <w:rFonts w:cs="Arial"/>
          <w:sz w:val="20"/>
          <w:szCs w:val="20"/>
          <w:rtl/>
        </w:rPr>
        <w:t xml:space="preserve"> </w:t>
      </w:r>
      <w:r w:rsidRPr="002B33AA">
        <w:rPr>
          <w:rFonts w:cs="Arial" w:hint="cs"/>
          <w:sz w:val="20"/>
          <w:szCs w:val="20"/>
          <w:rtl/>
        </w:rPr>
        <w:t>פעמים</w:t>
      </w:r>
      <w:r w:rsidRPr="002B33AA">
        <w:rPr>
          <w:rFonts w:cs="Arial"/>
          <w:sz w:val="20"/>
          <w:szCs w:val="20"/>
          <w:rtl/>
        </w:rPr>
        <w:t xml:space="preserve"> </w:t>
      </w:r>
      <w:r w:rsidRPr="002B33AA">
        <w:rPr>
          <w:rFonts w:cs="Arial" w:hint="cs"/>
          <w:sz w:val="20"/>
          <w:szCs w:val="20"/>
          <w:rtl/>
        </w:rPr>
        <w:t>בזמנו</w:t>
      </w:r>
      <w:r w:rsidRPr="002B33AA">
        <w:rPr>
          <w:rFonts w:cs="Arial"/>
          <w:sz w:val="20"/>
          <w:szCs w:val="20"/>
          <w:rtl/>
        </w:rPr>
        <w:t xml:space="preserve">, </w:t>
      </w:r>
      <w:r w:rsidRPr="002B33AA">
        <w:rPr>
          <w:rFonts w:cs="Arial" w:hint="cs"/>
          <w:sz w:val="20"/>
          <w:szCs w:val="20"/>
          <w:rtl/>
        </w:rPr>
        <w:t>ולא</w:t>
      </w:r>
      <w:r w:rsidRPr="002B33AA">
        <w:rPr>
          <w:rFonts w:cs="Arial"/>
          <w:sz w:val="20"/>
          <w:szCs w:val="20"/>
          <w:rtl/>
        </w:rPr>
        <w:t xml:space="preserve"> </w:t>
      </w:r>
      <w:r w:rsidRPr="002B33AA">
        <w:rPr>
          <w:rFonts w:cs="Arial" w:hint="cs"/>
          <w:sz w:val="20"/>
          <w:szCs w:val="20"/>
          <w:rtl/>
        </w:rPr>
        <w:t>ראתה</w:t>
      </w:r>
      <w:r w:rsidRPr="002B33AA">
        <w:rPr>
          <w:rFonts w:cs="Arial"/>
          <w:sz w:val="20"/>
          <w:szCs w:val="20"/>
          <w:rtl/>
        </w:rPr>
        <w:t xml:space="preserve">, </w:t>
      </w:r>
      <w:r w:rsidRPr="002B33AA">
        <w:rPr>
          <w:rFonts w:cs="Arial" w:hint="cs"/>
          <w:sz w:val="20"/>
          <w:szCs w:val="20"/>
          <w:rtl/>
        </w:rPr>
        <w:t>אבל</w:t>
      </w:r>
      <w:r w:rsidRPr="002B33AA">
        <w:rPr>
          <w:rFonts w:cs="Arial"/>
          <w:sz w:val="20"/>
          <w:szCs w:val="20"/>
          <w:rtl/>
        </w:rPr>
        <w:t xml:space="preserve"> </w:t>
      </w:r>
      <w:r w:rsidRPr="002B33AA">
        <w:rPr>
          <w:rFonts w:cs="Arial" w:hint="cs"/>
          <w:sz w:val="20"/>
          <w:szCs w:val="20"/>
          <w:rtl/>
        </w:rPr>
        <w:t>במקרה</w:t>
      </w:r>
      <w:r w:rsidRPr="002B33AA">
        <w:rPr>
          <w:rFonts w:cs="Arial"/>
          <w:sz w:val="20"/>
          <w:szCs w:val="20"/>
          <w:rtl/>
        </w:rPr>
        <w:t xml:space="preserve"> </w:t>
      </w:r>
      <w:r w:rsidRPr="002B33AA">
        <w:rPr>
          <w:rFonts w:cs="Arial" w:hint="cs"/>
          <w:sz w:val="20"/>
          <w:szCs w:val="20"/>
          <w:rtl/>
        </w:rPr>
        <w:t>לבדו</w:t>
      </w:r>
      <w:r w:rsidRPr="002B33AA">
        <w:rPr>
          <w:rFonts w:cs="Arial"/>
          <w:sz w:val="20"/>
          <w:szCs w:val="20"/>
          <w:rtl/>
        </w:rPr>
        <w:t xml:space="preserve">, </w:t>
      </w:r>
      <w:r w:rsidRPr="002B33AA">
        <w:rPr>
          <w:rFonts w:cs="Arial" w:hint="cs"/>
          <w:sz w:val="20"/>
          <w:szCs w:val="20"/>
          <w:rtl/>
        </w:rPr>
        <w:t>או</w:t>
      </w:r>
      <w:r w:rsidRPr="002B33AA">
        <w:rPr>
          <w:rFonts w:cs="Arial"/>
          <w:sz w:val="20"/>
          <w:szCs w:val="20"/>
          <w:rtl/>
        </w:rPr>
        <w:t xml:space="preserve"> </w:t>
      </w:r>
      <w:r w:rsidRPr="002B33AA">
        <w:rPr>
          <w:rFonts w:cs="Arial" w:hint="cs"/>
          <w:sz w:val="20"/>
          <w:szCs w:val="20"/>
          <w:rtl/>
        </w:rPr>
        <w:t>זמן</w:t>
      </w:r>
      <w:r w:rsidRPr="002B33AA">
        <w:rPr>
          <w:rFonts w:cs="Arial"/>
          <w:sz w:val="20"/>
          <w:szCs w:val="20"/>
          <w:rtl/>
        </w:rPr>
        <w:t xml:space="preserve"> </w:t>
      </w:r>
      <w:r w:rsidRPr="002B33AA">
        <w:rPr>
          <w:rFonts w:cs="Arial" w:hint="cs"/>
          <w:sz w:val="20"/>
          <w:szCs w:val="20"/>
          <w:rtl/>
        </w:rPr>
        <w:t>לבדו</w:t>
      </w:r>
      <w:r w:rsidRPr="002B33AA">
        <w:rPr>
          <w:rFonts w:cs="Arial"/>
          <w:sz w:val="20"/>
          <w:szCs w:val="20"/>
          <w:rtl/>
        </w:rPr>
        <w:t xml:space="preserve"> </w:t>
      </w:r>
      <w:r w:rsidRPr="002B33AA">
        <w:rPr>
          <w:rFonts w:cs="Arial" w:hint="cs"/>
          <w:sz w:val="20"/>
          <w:szCs w:val="20"/>
          <w:rtl/>
        </w:rPr>
        <w:t>שלא</w:t>
      </w:r>
      <w:r w:rsidRPr="002B33AA">
        <w:rPr>
          <w:rFonts w:cs="Arial"/>
          <w:sz w:val="20"/>
          <w:szCs w:val="20"/>
          <w:rtl/>
        </w:rPr>
        <w:t xml:space="preserve"> </w:t>
      </w:r>
      <w:r w:rsidRPr="002B33AA">
        <w:rPr>
          <w:rFonts w:cs="Arial" w:hint="cs"/>
          <w:sz w:val="20"/>
          <w:szCs w:val="20"/>
          <w:rtl/>
        </w:rPr>
        <w:t>ראתה</w:t>
      </w:r>
      <w:r w:rsidRPr="002B33AA">
        <w:rPr>
          <w:rFonts w:cs="Arial"/>
          <w:sz w:val="20"/>
          <w:szCs w:val="20"/>
          <w:rtl/>
        </w:rPr>
        <w:t xml:space="preserve"> </w:t>
      </w:r>
      <w:r w:rsidRPr="002B33AA">
        <w:rPr>
          <w:rFonts w:cs="Arial" w:hint="cs"/>
          <w:sz w:val="20"/>
          <w:szCs w:val="20"/>
          <w:rtl/>
        </w:rPr>
        <w:t>בהם</w:t>
      </w:r>
      <w:r w:rsidRPr="002B33AA">
        <w:rPr>
          <w:rFonts w:cs="Arial"/>
          <w:sz w:val="20"/>
          <w:szCs w:val="20"/>
          <w:rtl/>
        </w:rPr>
        <w:t xml:space="preserve">, </w:t>
      </w:r>
      <w:r w:rsidRPr="002B33AA">
        <w:rPr>
          <w:rFonts w:cs="Arial" w:hint="cs"/>
          <w:sz w:val="20"/>
          <w:szCs w:val="20"/>
          <w:rtl/>
        </w:rPr>
        <w:t>אינו</w:t>
      </w:r>
      <w:r w:rsidRPr="002B33AA">
        <w:rPr>
          <w:rFonts w:cs="Arial"/>
          <w:sz w:val="20"/>
          <w:szCs w:val="20"/>
          <w:rtl/>
        </w:rPr>
        <w:t xml:space="preserve"> </w:t>
      </w:r>
      <w:r w:rsidRPr="002B33AA">
        <w:rPr>
          <w:rFonts w:cs="Arial" w:hint="cs"/>
          <w:sz w:val="20"/>
          <w:szCs w:val="20"/>
          <w:rtl/>
        </w:rPr>
        <w:t>נעקר</w:t>
      </w:r>
      <w:r>
        <w:rPr>
          <w:rFonts w:cs="Arial" w:hint="cs"/>
          <w:sz w:val="20"/>
          <w:szCs w:val="20"/>
          <w:rtl/>
        </w:rPr>
        <w:t>".</w:t>
      </w:r>
    </w:p>
    <w:p w:rsidR="00620060" w:rsidRDefault="00620060" w:rsidP="00620060">
      <w:pPr>
        <w:rPr>
          <w:sz w:val="20"/>
          <w:szCs w:val="20"/>
          <w:rtl/>
        </w:rPr>
      </w:pPr>
      <w:r>
        <w:rPr>
          <w:rFonts w:hint="cs"/>
          <w:sz w:val="20"/>
          <w:szCs w:val="20"/>
          <w:u w:val="single"/>
          <w:rtl/>
        </w:rPr>
        <w:t>קבעה ווסת מורכב, האם חוששת לעונה בינונית?</w:t>
      </w:r>
      <w:r>
        <w:rPr>
          <w:sz w:val="20"/>
          <w:szCs w:val="20"/>
          <w:u w:val="single"/>
          <w:rtl/>
        </w:rPr>
        <w:br/>
      </w:r>
      <w:r w:rsidRPr="002B33AA">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למרות שקבעה ווסת מורכב, מכל מקום חוששת לעונה בינונית.</w:t>
      </w:r>
      <w:r>
        <w:rPr>
          <w:sz w:val="20"/>
          <w:szCs w:val="20"/>
          <w:rtl/>
        </w:rPr>
        <w:br/>
      </w:r>
      <w:r w:rsidRPr="007531E7">
        <w:rPr>
          <w:rFonts w:hint="cs"/>
          <w:b/>
          <w:bCs/>
          <w:sz w:val="20"/>
          <w:szCs w:val="20"/>
          <w:rtl/>
        </w:rPr>
        <w:t xml:space="preserve">מחבר </w:t>
      </w:r>
      <w:r w:rsidRPr="007531E7">
        <w:rPr>
          <w:rFonts w:hint="cs"/>
          <w:sz w:val="18"/>
          <w:szCs w:val="18"/>
          <w:rtl/>
        </w:rPr>
        <w:t xml:space="preserve">(סוף סימן קפד') </w:t>
      </w:r>
      <w:r>
        <w:rPr>
          <w:rFonts w:hint="cs"/>
          <w:sz w:val="20"/>
          <w:szCs w:val="20"/>
          <w:rtl/>
        </w:rPr>
        <w:t xml:space="preserve">- הלכה כרשב"א. </w:t>
      </w:r>
      <w:r>
        <w:rPr>
          <w:sz w:val="20"/>
          <w:szCs w:val="20"/>
          <w:rtl/>
        </w:rPr>
        <w:br/>
      </w:r>
      <w:r w:rsidRPr="007531E7">
        <w:rPr>
          <w:rFonts w:hint="cs"/>
          <w:b/>
          <w:bCs/>
          <w:sz w:val="20"/>
          <w:szCs w:val="20"/>
          <w:rtl/>
        </w:rPr>
        <w:t>ש"ך</w:t>
      </w:r>
      <w:r>
        <w:rPr>
          <w:rFonts w:hint="cs"/>
          <w:sz w:val="20"/>
          <w:szCs w:val="20"/>
          <w:rtl/>
        </w:rPr>
        <w:t xml:space="preserve"> - המחבר מחמיר אף בווסת הפיהוק לחשוש לעו"ב, ודבריו אינם אלא רק בווסת הקפיצה חוששים לעו"ב.</w:t>
      </w:r>
    </w:p>
    <w:p w:rsidR="00620060" w:rsidRDefault="00620060" w:rsidP="00620060">
      <w:pPr>
        <w:rPr>
          <w:sz w:val="20"/>
          <w:szCs w:val="20"/>
          <w:rtl/>
        </w:rPr>
      </w:pPr>
      <w:r w:rsidRPr="002D52A1">
        <w:rPr>
          <w:rFonts w:hint="cs"/>
          <w:sz w:val="20"/>
          <w:szCs w:val="20"/>
          <w:u w:val="single"/>
          <w:rtl/>
        </w:rPr>
        <w:t>לא ראתה ג' פעמים ביום הפיהוק</w:t>
      </w:r>
      <w:r>
        <w:rPr>
          <w:rFonts w:hint="cs"/>
          <w:sz w:val="20"/>
          <w:szCs w:val="20"/>
          <w:u w:val="single"/>
          <w:rtl/>
        </w:rPr>
        <w:t xml:space="preserve"> (פת"ש)</w:t>
      </w:r>
      <w:r>
        <w:rPr>
          <w:rFonts w:hint="cs"/>
          <w:sz w:val="20"/>
          <w:szCs w:val="20"/>
          <w:u w:val="single"/>
          <w:rtl/>
        </w:rPr>
        <w:br/>
      </w:r>
      <w:r w:rsidRPr="00F66A60">
        <w:rPr>
          <w:rFonts w:hint="cs"/>
          <w:b/>
          <w:bCs/>
          <w:sz w:val="20"/>
          <w:szCs w:val="20"/>
          <w:rtl/>
        </w:rPr>
        <w:t>סדרי טהרה</w:t>
      </w:r>
      <w:r>
        <w:rPr>
          <w:rFonts w:hint="cs"/>
          <w:sz w:val="20"/>
          <w:szCs w:val="20"/>
          <w:rtl/>
        </w:rPr>
        <w:t xml:space="preserve"> </w:t>
      </w:r>
      <w:r>
        <w:rPr>
          <w:sz w:val="20"/>
          <w:szCs w:val="20"/>
          <w:rtl/>
        </w:rPr>
        <w:t>–</w:t>
      </w:r>
      <w:r>
        <w:rPr>
          <w:rFonts w:hint="cs"/>
          <w:sz w:val="20"/>
          <w:szCs w:val="20"/>
          <w:rtl/>
        </w:rPr>
        <w:t xml:space="preserve"> אם הגיע היום ג' פעמים ולא פיהקה ולא ראתה, אע"פ שלא נעקר הווסת וחוששת לאותו יום אם תפהק, מכל מקום מהני לעניין שאינה צריכה לחשוש באותו יום אם אינה מפהקת. </w:t>
      </w:r>
      <w:r>
        <w:rPr>
          <w:sz w:val="20"/>
          <w:szCs w:val="20"/>
          <w:rtl/>
        </w:rPr>
        <w:br/>
      </w:r>
      <w:r>
        <w:rPr>
          <w:b/>
          <w:bCs/>
          <w:sz w:val="20"/>
          <w:szCs w:val="20"/>
          <w:rtl/>
        </w:rPr>
        <w:br/>
      </w:r>
      <w:r>
        <w:rPr>
          <w:rFonts w:hint="cs"/>
          <w:b/>
          <w:bCs/>
          <w:sz w:val="20"/>
          <w:szCs w:val="20"/>
          <w:rtl/>
        </w:rPr>
        <w:t>סיכום</w:t>
      </w:r>
      <w:r>
        <w:rPr>
          <w:b/>
          <w:bCs/>
          <w:sz w:val="20"/>
          <w:szCs w:val="20"/>
          <w:rtl/>
        </w:rPr>
        <w:br/>
      </w:r>
      <w:r w:rsidRPr="001574EF">
        <w:rPr>
          <w:rFonts w:hint="cs"/>
          <w:sz w:val="20"/>
          <w:szCs w:val="20"/>
          <w:rtl/>
        </w:rPr>
        <w:t>1.</w:t>
      </w:r>
      <w:r>
        <w:rPr>
          <w:rFonts w:hint="cs"/>
          <w:b/>
          <w:bCs/>
          <w:sz w:val="20"/>
          <w:szCs w:val="20"/>
          <w:rtl/>
        </w:rPr>
        <w:t xml:space="preserve"> </w:t>
      </w:r>
      <w:r>
        <w:rPr>
          <w:rFonts w:hint="cs"/>
          <w:sz w:val="20"/>
          <w:szCs w:val="20"/>
          <w:rtl/>
        </w:rPr>
        <w:t xml:space="preserve">קביעת ווסת הגוף כקביעת ווסת היום </w:t>
      </w:r>
      <w:r>
        <w:rPr>
          <w:sz w:val="20"/>
          <w:szCs w:val="20"/>
          <w:rtl/>
        </w:rPr>
        <w:t>–</w:t>
      </w:r>
      <w:r>
        <w:rPr>
          <w:rFonts w:hint="cs"/>
          <w:sz w:val="20"/>
          <w:szCs w:val="20"/>
          <w:rtl/>
        </w:rPr>
        <w:t xml:space="preserve"> חוששת לו בפעם אחת ונעקר בפעם אחת. נקבע ג"פ </w:t>
      </w:r>
      <w:r>
        <w:rPr>
          <w:sz w:val="20"/>
          <w:szCs w:val="20"/>
          <w:rtl/>
        </w:rPr>
        <w:t>–</w:t>
      </w:r>
      <w:r>
        <w:rPr>
          <w:rFonts w:hint="cs"/>
          <w:sz w:val="20"/>
          <w:szCs w:val="20"/>
          <w:rtl/>
        </w:rPr>
        <w:t xml:space="preserve"> נעקר בג"פ.</w:t>
      </w:r>
      <w:r>
        <w:rPr>
          <w:sz w:val="20"/>
          <w:szCs w:val="20"/>
          <w:rtl/>
        </w:rPr>
        <w:br/>
      </w:r>
      <w:r>
        <w:rPr>
          <w:rFonts w:hint="cs"/>
          <w:sz w:val="20"/>
          <w:szCs w:val="20"/>
          <w:rtl/>
        </w:rPr>
        <w:t>כיצד נעקר? כשיגיע המקרה ולא תראה. ווסת המורכב נעקר שיבוא אותו יום ג"פ ויבוא המקרה ולא תראה.</w:t>
      </w:r>
      <w:r>
        <w:rPr>
          <w:sz w:val="20"/>
          <w:szCs w:val="20"/>
          <w:rtl/>
        </w:rPr>
        <w:br/>
      </w:r>
      <w:r>
        <w:rPr>
          <w:rFonts w:hint="cs"/>
          <w:sz w:val="20"/>
          <w:szCs w:val="20"/>
          <w:rtl/>
        </w:rPr>
        <w:t xml:space="preserve">2. </w:t>
      </w:r>
      <w:r w:rsidRPr="001574EF">
        <w:rPr>
          <w:rFonts w:hint="cs"/>
          <w:b/>
          <w:bCs/>
          <w:sz w:val="20"/>
          <w:szCs w:val="20"/>
          <w:rtl/>
        </w:rPr>
        <w:t>רשב"א</w:t>
      </w:r>
      <w:r>
        <w:rPr>
          <w:rFonts w:hint="cs"/>
          <w:sz w:val="20"/>
          <w:szCs w:val="20"/>
          <w:rtl/>
        </w:rPr>
        <w:t xml:space="preserve">. בווסת המורכב יש לחשוש גם לעונה בינונית. </w:t>
      </w:r>
      <w:r w:rsidRPr="003E3520">
        <w:rPr>
          <w:rFonts w:hint="cs"/>
          <w:b/>
          <w:bCs/>
          <w:sz w:val="20"/>
          <w:szCs w:val="20"/>
          <w:rtl/>
        </w:rPr>
        <w:t>מחבר</w:t>
      </w:r>
      <w:r>
        <w:rPr>
          <w:rFonts w:hint="cs"/>
          <w:sz w:val="20"/>
          <w:szCs w:val="20"/>
          <w:rtl/>
        </w:rPr>
        <w:t xml:space="preserve">. גם בווסת פיהוק. </w:t>
      </w:r>
      <w:r w:rsidRPr="003E3520">
        <w:rPr>
          <w:rFonts w:hint="cs"/>
          <w:b/>
          <w:bCs/>
          <w:sz w:val="20"/>
          <w:szCs w:val="20"/>
          <w:rtl/>
        </w:rPr>
        <w:t>ש"ך</w:t>
      </w:r>
      <w:r>
        <w:rPr>
          <w:rFonts w:hint="cs"/>
          <w:sz w:val="20"/>
          <w:szCs w:val="20"/>
          <w:rtl/>
        </w:rPr>
        <w:t>. רק בווסת קפיצה.</w:t>
      </w:r>
      <w:r>
        <w:rPr>
          <w:sz w:val="20"/>
          <w:szCs w:val="20"/>
          <w:rtl/>
        </w:rPr>
        <w:br/>
      </w:r>
      <w:r>
        <w:rPr>
          <w:rFonts w:hint="cs"/>
          <w:sz w:val="20"/>
          <w:szCs w:val="20"/>
          <w:rtl/>
        </w:rPr>
        <w:lastRenderedPageBreak/>
        <w:t xml:space="preserve">3. </w:t>
      </w:r>
      <w:r w:rsidRPr="00F66A60">
        <w:rPr>
          <w:rFonts w:hint="cs"/>
          <w:b/>
          <w:bCs/>
          <w:sz w:val="20"/>
          <w:szCs w:val="20"/>
          <w:rtl/>
        </w:rPr>
        <w:t>סד"ט</w:t>
      </w:r>
      <w:r>
        <w:rPr>
          <w:rFonts w:hint="cs"/>
          <w:sz w:val="20"/>
          <w:szCs w:val="20"/>
          <w:rtl/>
        </w:rPr>
        <w:t xml:space="preserve">. קבעה ווסת מורכב ואח"כ הגיע היום ולא פיהקה ולא ראתה ג"פ, אינה חוששת ליום זה אם אינה מפהקת </w:t>
      </w:r>
      <w:r w:rsidRPr="007531E7">
        <w:rPr>
          <w:rFonts w:hint="cs"/>
          <w:sz w:val="18"/>
          <w:szCs w:val="18"/>
          <w:rtl/>
        </w:rPr>
        <w:t>(ומכל מקום אם מפהקת ביום זה, חוששת)</w:t>
      </w:r>
      <w:r>
        <w:rPr>
          <w:rFonts w:hint="cs"/>
          <w:sz w:val="20"/>
          <w:szCs w:val="20"/>
          <w:rtl/>
        </w:rPr>
        <w:t>.</w:t>
      </w:r>
    </w:p>
    <w:p w:rsidR="00620060" w:rsidRDefault="00620060" w:rsidP="00620060">
      <w:pPr>
        <w:rPr>
          <w:sz w:val="20"/>
          <w:szCs w:val="20"/>
          <w:rtl/>
        </w:rPr>
      </w:pPr>
      <w:r>
        <w:rPr>
          <w:sz w:val="20"/>
          <w:szCs w:val="20"/>
          <w:rtl/>
        </w:rPr>
        <w:br/>
      </w:r>
      <w:r>
        <w:rPr>
          <w:rFonts w:hint="cs"/>
          <w:b/>
          <w:bCs/>
          <w:sz w:val="20"/>
          <w:szCs w:val="20"/>
          <w:rtl/>
        </w:rPr>
        <w:t xml:space="preserve">סעיף כז </w:t>
      </w:r>
      <w:r>
        <w:rPr>
          <w:b/>
          <w:bCs/>
          <w:sz w:val="20"/>
          <w:szCs w:val="20"/>
          <w:rtl/>
        </w:rPr>
        <w:t>–</w:t>
      </w:r>
      <w:r>
        <w:rPr>
          <w:rFonts w:hint="cs"/>
          <w:b/>
          <w:bCs/>
          <w:sz w:val="20"/>
          <w:szCs w:val="20"/>
          <w:rtl/>
        </w:rPr>
        <w:t xml:space="preserve"> דין תינוקת</w:t>
      </w:r>
      <w:r>
        <w:rPr>
          <w:b/>
          <w:bCs/>
          <w:sz w:val="20"/>
          <w:szCs w:val="20"/>
          <w:rtl/>
        </w:rPr>
        <w:br/>
      </w:r>
      <w:r>
        <w:rPr>
          <w:rFonts w:hint="cs"/>
          <w:b/>
          <w:bCs/>
          <w:sz w:val="20"/>
          <w:szCs w:val="20"/>
          <w:rtl/>
        </w:rPr>
        <w:t>מקורות הדין</w:t>
      </w:r>
      <w:r>
        <w:rPr>
          <w:b/>
          <w:bCs/>
          <w:sz w:val="20"/>
          <w:szCs w:val="20"/>
          <w:rtl/>
        </w:rPr>
        <w:br/>
      </w:r>
      <w:r>
        <w:rPr>
          <w:rFonts w:hint="cs"/>
          <w:sz w:val="20"/>
          <w:szCs w:val="20"/>
          <w:rtl/>
        </w:rPr>
        <w:t xml:space="preserve">א. </w:t>
      </w:r>
      <w:r>
        <w:rPr>
          <w:rFonts w:hint="cs"/>
          <w:b/>
          <w:bCs/>
          <w:sz w:val="20"/>
          <w:szCs w:val="20"/>
          <w:rtl/>
        </w:rPr>
        <w:t xml:space="preserve">גמרא </w:t>
      </w:r>
      <w:r>
        <w:rPr>
          <w:rFonts w:hint="cs"/>
          <w:sz w:val="20"/>
          <w:szCs w:val="20"/>
          <w:rtl/>
        </w:rPr>
        <w:t>נידה (ט:) "</w:t>
      </w:r>
      <w:r w:rsidRPr="00D42C5F">
        <w:rPr>
          <w:rFonts w:cs="Arial" w:hint="cs"/>
          <w:sz w:val="20"/>
          <w:szCs w:val="20"/>
          <w:rtl/>
        </w:rPr>
        <w:t>ת</w:t>
      </w:r>
      <w:r>
        <w:rPr>
          <w:rFonts w:cs="Arial" w:hint="cs"/>
          <w:sz w:val="20"/>
          <w:szCs w:val="20"/>
          <w:rtl/>
        </w:rPr>
        <w:t xml:space="preserve">נו </w:t>
      </w:r>
      <w:r w:rsidRPr="00D42C5F">
        <w:rPr>
          <w:rFonts w:cs="Arial" w:hint="cs"/>
          <w:sz w:val="20"/>
          <w:szCs w:val="20"/>
          <w:rtl/>
        </w:rPr>
        <w:t>ר</w:t>
      </w:r>
      <w:r>
        <w:rPr>
          <w:rFonts w:cs="Arial" w:hint="cs"/>
          <w:sz w:val="20"/>
          <w:szCs w:val="20"/>
          <w:rtl/>
        </w:rPr>
        <w:t>בנן</w:t>
      </w:r>
      <w:r w:rsidRPr="00D42C5F">
        <w:rPr>
          <w:rFonts w:cs="Arial"/>
          <w:sz w:val="20"/>
          <w:szCs w:val="20"/>
          <w:rtl/>
        </w:rPr>
        <w:t xml:space="preserve">: </w:t>
      </w:r>
      <w:r w:rsidRPr="00D42C5F">
        <w:rPr>
          <w:rFonts w:cs="Arial" w:hint="cs"/>
          <w:sz w:val="20"/>
          <w:szCs w:val="20"/>
          <w:rtl/>
        </w:rPr>
        <w:t>ת</w:t>
      </w:r>
      <w:r>
        <w:rPr>
          <w:rFonts w:cs="Arial" w:hint="cs"/>
          <w:sz w:val="20"/>
          <w:szCs w:val="20"/>
          <w:rtl/>
        </w:rPr>
        <w:t>י</w:t>
      </w:r>
      <w:r w:rsidRPr="00D42C5F">
        <w:rPr>
          <w:rFonts w:cs="Arial" w:hint="cs"/>
          <w:sz w:val="20"/>
          <w:szCs w:val="20"/>
          <w:rtl/>
        </w:rPr>
        <w:t>נוקת</w:t>
      </w:r>
      <w:r w:rsidRPr="00D42C5F">
        <w:rPr>
          <w:rFonts w:cs="Arial"/>
          <w:sz w:val="20"/>
          <w:szCs w:val="20"/>
          <w:rtl/>
        </w:rPr>
        <w:t xml:space="preserve"> </w:t>
      </w:r>
      <w:r w:rsidRPr="00D42C5F">
        <w:rPr>
          <w:rFonts w:cs="Arial" w:hint="cs"/>
          <w:sz w:val="20"/>
          <w:szCs w:val="20"/>
          <w:rtl/>
        </w:rPr>
        <w:t>שלא</w:t>
      </w:r>
      <w:r w:rsidRPr="00D42C5F">
        <w:rPr>
          <w:rFonts w:cs="Arial"/>
          <w:sz w:val="20"/>
          <w:szCs w:val="20"/>
          <w:rtl/>
        </w:rPr>
        <w:t xml:space="preserve"> </w:t>
      </w:r>
      <w:r w:rsidRPr="00D42C5F">
        <w:rPr>
          <w:rFonts w:cs="Arial" w:hint="cs"/>
          <w:sz w:val="20"/>
          <w:szCs w:val="20"/>
          <w:rtl/>
        </w:rPr>
        <w:t>הגיע</w:t>
      </w:r>
      <w:r w:rsidRPr="00D42C5F">
        <w:rPr>
          <w:rFonts w:cs="Arial"/>
          <w:sz w:val="20"/>
          <w:szCs w:val="20"/>
          <w:rtl/>
        </w:rPr>
        <w:t xml:space="preserve"> </w:t>
      </w:r>
      <w:r w:rsidRPr="00D42C5F">
        <w:rPr>
          <w:rFonts w:cs="Arial" w:hint="cs"/>
          <w:sz w:val="20"/>
          <w:szCs w:val="20"/>
          <w:rtl/>
        </w:rPr>
        <w:t>זמנה</w:t>
      </w:r>
      <w:r w:rsidRPr="00D42C5F">
        <w:rPr>
          <w:rFonts w:cs="Arial"/>
          <w:sz w:val="20"/>
          <w:szCs w:val="20"/>
          <w:rtl/>
        </w:rPr>
        <w:t xml:space="preserve"> </w:t>
      </w:r>
      <w:r w:rsidRPr="00D42C5F">
        <w:rPr>
          <w:rFonts w:cs="Arial" w:hint="cs"/>
          <w:sz w:val="20"/>
          <w:szCs w:val="20"/>
          <w:rtl/>
        </w:rPr>
        <w:t>לראות</w:t>
      </w:r>
      <w:r w:rsidRPr="00D42C5F">
        <w:rPr>
          <w:rFonts w:cs="Arial"/>
          <w:sz w:val="20"/>
          <w:szCs w:val="20"/>
          <w:rtl/>
        </w:rPr>
        <w:t xml:space="preserve"> </w:t>
      </w:r>
      <w:r w:rsidRPr="00D42C5F">
        <w:rPr>
          <w:rFonts w:cs="Arial" w:hint="cs"/>
          <w:sz w:val="20"/>
          <w:szCs w:val="20"/>
          <w:rtl/>
        </w:rPr>
        <w:t>וראתה</w:t>
      </w:r>
      <w:r w:rsidRPr="00D42C5F">
        <w:rPr>
          <w:rFonts w:cs="Arial"/>
          <w:sz w:val="20"/>
          <w:szCs w:val="20"/>
          <w:rtl/>
        </w:rPr>
        <w:t xml:space="preserve">, </w:t>
      </w:r>
      <w:r w:rsidRPr="00D42C5F">
        <w:rPr>
          <w:rFonts w:cs="Arial" w:hint="cs"/>
          <w:sz w:val="20"/>
          <w:szCs w:val="20"/>
          <w:rtl/>
        </w:rPr>
        <w:t>פעם</w:t>
      </w:r>
      <w:r w:rsidRPr="00D42C5F">
        <w:rPr>
          <w:rFonts w:cs="Arial"/>
          <w:sz w:val="20"/>
          <w:szCs w:val="20"/>
          <w:rtl/>
        </w:rPr>
        <w:t xml:space="preserve"> </w:t>
      </w:r>
      <w:r w:rsidRPr="00D42C5F">
        <w:rPr>
          <w:rFonts w:cs="Arial" w:hint="cs"/>
          <w:sz w:val="20"/>
          <w:szCs w:val="20"/>
          <w:rtl/>
        </w:rPr>
        <w:t>ראשונה</w:t>
      </w:r>
      <w:r w:rsidRPr="00D42C5F">
        <w:rPr>
          <w:rFonts w:cs="Arial"/>
          <w:sz w:val="20"/>
          <w:szCs w:val="20"/>
          <w:rtl/>
        </w:rPr>
        <w:t xml:space="preserve"> - </w:t>
      </w:r>
      <w:r w:rsidRPr="00D42C5F">
        <w:rPr>
          <w:rFonts w:cs="Arial" w:hint="cs"/>
          <w:sz w:val="20"/>
          <w:szCs w:val="20"/>
          <w:rtl/>
        </w:rPr>
        <w:t>דיה</w:t>
      </w:r>
      <w:r w:rsidRPr="00D42C5F">
        <w:rPr>
          <w:rFonts w:cs="Arial"/>
          <w:sz w:val="20"/>
          <w:szCs w:val="20"/>
          <w:rtl/>
        </w:rPr>
        <w:t xml:space="preserve"> </w:t>
      </w:r>
      <w:r w:rsidRPr="00D42C5F">
        <w:rPr>
          <w:rFonts w:cs="Arial" w:hint="cs"/>
          <w:sz w:val="20"/>
          <w:szCs w:val="20"/>
          <w:rtl/>
        </w:rPr>
        <w:t>שעתה</w:t>
      </w:r>
      <w:r w:rsidRPr="00D42C5F">
        <w:rPr>
          <w:rFonts w:cs="Arial"/>
          <w:sz w:val="20"/>
          <w:szCs w:val="20"/>
          <w:rtl/>
        </w:rPr>
        <w:t xml:space="preserve">, </w:t>
      </w:r>
      <w:r w:rsidRPr="00D42C5F">
        <w:rPr>
          <w:rFonts w:cs="Arial" w:hint="cs"/>
          <w:sz w:val="20"/>
          <w:szCs w:val="20"/>
          <w:rtl/>
        </w:rPr>
        <w:t>שניה</w:t>
      </w:r>
      <w:r w:rsidRPr="00D42C5F">
        <w:rPr>
          <w:rFonts w:cs="Arial"/>
          <w:sz w:val="20"/>
          <w:szCs w:val="20"/>
          <w:rtl/>
        </w:rPr>
        <w:t xml:space="preserve"> - </w:t>
      </w:r>
      <w:r w:rsidRPr="00D42C5F">
        <w:rPr>
          <w:rFonts w:cs="Arial" w:hint="cs"/>
          <w:sz w:val="20"/>
          <w:szCs w:val="20"/>
          <w:rtl/>
        </w:rPr>
        <w:t>דיה</w:t>
      </w:r>
      <w:r w:rsidRPr="00D42C5F">
        <w:rPr>
          <w:rFonts w:cs="Arial"/>
          <w:sz w:val="20"/>
          <w:szCs w:val="20"/>
          <w:rtl/>
        </w:rPr>
        <w:t xml:space="preserve"> </w:t>
      </w:r>
      <w:r w:rsidRPr="00D42C5F">
        <w:rPr>
          <w:rFonts w:cs="Arial" w:hint="cs"/>
          <w:sz w:val="20"/>
          <w:szCs w:val="20"/>
          <w:rtl/>
        </w:rPr>
        <w:t>שעתה</w:t>
      </w:r>
      <w:r w:rsidRPr="00D42C5F">
        <w:rPr>
          <w:rFonts w:cs="Arial"/>
          <w:sz w:val="20"/>
          <w:szCs w:val="20"/>
          <w:rtl/>
        </w:rPr>
        <w:t xml:space="preserve">, </w:t>
      </w:r>
      <w:r w:rsidRPr="00D42C5F">
        <w:rPr>
          <w:rFonts w:cs="Arial" w:hint="cs"/>
          <w:sz w:val="20"/>
          <w:szCs w:val="20"/>
          <w:rtl/>
        </w:rPr>
        <w:t>שלישית</w:t>
      </w:r>
      <w:r w:rsidRPr="00D42C5F">
        <w:rPr>
          <w:rFonts w:cs="Arial"/>
          <w:sz w:val="20"/>
          <w:szCs w:val="20"/>
          <w:rtl/>
        </w:rPr>
        <w:t xml:space="preserve"> - </w:t>
      </w:r>
      <w:r w:rsidRPr="00D42C5F">
        <w:rPr>
          <w:rFonts w:cs="Arial" w:hint="cs"/>
          <w:sz w:val="20"/>
          <w:szCs w:val="20"/>
          <w:rtl/>
        </w:rPr>
        <w:t>הרי</w:t>
      </w:r>
      <w:r w:rsidRPr="00D42C5F">
        <w:rPr>
          <w:rFonts w:cs="Arial"/>
          <w:sz w:val="20"/>
          <w:szCs w:val="20"/>
          <w:rtl/>
        </w:rPr>
        <w:t xml:space="preserve"> </w:t>
      </w:r>
      <w:r w:rsidRPr="00D42C5F">
        <w:rPr>
          <w:rFonts w:cs="Arial" w:hint="cs"/>
          <w:sz w:val="20"/>
          <w:szCs w:val="20"/>
          <w:rtl/>
        </w:rPr>
        <w:t>היא</w:t>
      </w:r>
      <w:r w:rsidRPr="00D42C5F">
        <w:rPr>
          <w:rFonts w:cs="Arial"/>
          <w:sz w:val="20"/>
          <w:szCs w:val="20"/>
          <w:rtl/>
        </w:rPr>
        <w:t xml:space="preserve"> </w:t>
      </w:r>
      <w:r w:rsidRPr="00D42C5F">
        <w:rPr>
          <w:rFonts w:cs="Arial" w:hint="cs"/>
          <w:sz w:val="20"/>
          <w:szCs w:val="20"/>
          <w:rtl/>
        </w:rPr>
        <w:t>ככל</w:t>
      </w:r>
      <w:r w:rsidRPr="00D42C5F">
        <w:rPr>
          <w:rFonts w:cs="Arial"/>
          <w:sz w:val="20"/>
          <w:szCs w:val="20"/>
          <w:rtl/>
        </w:rPr>
        <w:t xml:space="preserve"> </w:t>
      </w:r>
      <w:r w:rsidRPr="00D42C5F">
        <w:rPr>
          <w:rFonts w:cs="Arial" w:hint="cs"/>
          <w:sz w:val="20"/>
          <w:szCs w:val="20"/>
          <w:rtl/>
        </w:rPr>
        <w:t>הנשים</w:t>
      </w:r>
      <w:r w:rsidRPr="00D42C5F">
        <w:rPr>
          <w:rFonts w:cs="Arial"/>
          <w:sz w:val="20"/>
          <w:szCs w:val="20"/>
          <w:rtl/>
        </w:rPr>
        <w:t xml:space="preserve">, </w:t>
      </w:r>
      <w:r w:rsidRPr="00D42C5F">
        <w:rPr>
          <w:rFonts w:cs="Arial" w:hint="cs"/>
          <w:sz w:val="20"/>
          <w:szCs w:val="20"/>
          <w:rtl/>
        </w:rPr>
        <w:t>ומטמאה</w:t>
      </w:r>
      <w:r w:rsidRPr="00D42C5F">
        <w:rPr>
          <w:rFonts w:cs="Arial"/>
          <w:sz w:val="20"/>
          <w:szCs w:val="20"/>
          <w:rtl/>
        </w:rPr>
        <w:t xml:space="preserve"> </w:t>
      </w:r>
      <w:r w:rsidRPr="00D42C5F">
        <w:rPr>
          <w:rFonts w:cs="Arial" w:hint="cs"/>
          <w:sz w:val="20"/>
          <w:szCs w:val="20"/>
          <w:rtl/>
        </w:rPr>
        <w:t>מעת</w:t>
      </w:r>
      <w:r w:rsidRPr="00D42C5F">
        <w:rPr>
          <w:rFonts w:cs="Arial"/>
          <w:sz w:val="20"/>
          <w:szCs w:val="20"/>
          <w:rtl/>
        </w:rPr>
        <w:t xml:space="preserve"> </w:t>
      </w:r>
      <w:r w:rsidRPr="00D42C5F">
        <w:rPr>
          <w:rFonts w:cs="Arial" w:hint="cs"/>
          <w:sz w:val="20"/>
          <w:szCs w:val="20"/>
          <w:rtl/>
        </w:rPr>
        <w:t>לעת</w:t>
      </w:r>
      <w:r w:rsidRPr="00D42C5F">
        <w:rPr>
          <w:rFonts w:cs="Arial"/>
          <w:sz w:val="20"/>
          <w:szCs w:val="20"/>
          <w:rtl/>
        </w:rPr>
        <w:t xml:space="preserve"> </w:t>
      </w:r>
      <w:r w:rsidRPr="00D42C5F">
        <w:rPr>
          <w:rFonts w:cs="Arial" w:hint="cs"/>
          <w:sz w:val="20"/>
          <w:szCs w:val="20"/>
          <w:rtl/>
        </w:rPr>
        <w:t>ומפקידה</w:t>
      </w:r>
      <w:r w:rsidRPr="00D42C5F">
        <w:rPr>
          <w:rFonts w:cs="Arial"/>
          <w:sz w:val="20"/>
          <w:szCs w:val="20"/>
          <w:rtl/>
        </w:rPr>
        <w:t xml:space="preserve"> </w:t>
      </w:r>
      <w:r w:rsidRPr="00D42C5F">
        <w:rPr>
          <w:rFonts w:cs="Arial" w:hint="cs"/>
          <w:sz w:val="20"/>
          <w:szCs w:val="20"/>
          <w:rtl/>
        </w:rPr>
        <w:t>לפקידה</w:t>
      </w:r>
      <w:r w:rsidRPr="00D42C5F">
        <w:rPr>
          <w:rFonts w:cs="Arial"/>
          <w:sz w:val="20"/>
          <w:szCs w:val="20"/>
          <w:rtl/>
        </w:rPr>
        <w:t xml:space="preserve">. </w:t>
      </w:r>
      <w:r w:rsidRPr="00D42C5F">
        <w:rPr>
          <w:rFonts w:cs="Arial" w:hint="cs"/>
          <w:sz w:val="20"/>
          <w:szCs w:val="20"/>
          <w:rtl/>
        </w:rPr>
        <w:t>עברו</w:t>
      </w:r>
      <w:r w:rsidRPr="00D42C5F">
        <w:rPr>
          <w:rFonts w:cs="Arial"/>
          <w:sz w:val="20"/>
          <w:szCs w:val="20"/>
          <w:rtl/>
        </w:rPr>
        <w:t xml:space="preserve"> </w:t>
      </w:r>
      <w:r w:rsidRPr="00D42C5F">
        <w:rPr>
          <w:rFonts w:cs="Arial" w:hint="cs"/>
          <w:sz w:val="20"/>
          <w:szCs w:val="20"/>
          <w:rtl/>
        </w:rPr>
        <w:t>עליה</w:t>
      </w:r>
      <w:r w:rsidRPr="00D42C5F">
        <w:rPr>
          <w:rFonts w:cs="Arial"/>
          <w:sz w:val="20"/>
          <w:szCs w:val="20"/>
          <w:rtl/>
        </w:rPr>
        <w:t xml:space="preserve"> </w:t>
      </w:r>
      <w:r w:rsidRPr="00D42C5F">
        <w:rPr>
          <w:rFonts w:cs="Arial" w:hint="cs"/>
          <w:sz w:val="20"/>
          <w:szCs w:val="20"/>
          <w:rtl/>
        </w:rPr>
        <w:t>של</w:t>
      </w:r>
      <w:r>
        <w:rPr>
          <w:rFonts w:cs="Arial" w:hint="cs"/>
          <w:sz w:val="20"/>
          <w:szCs w:val="20"/>
          <w:rtl/>
        </w:rPr>
        <w:t>ו</w:t>
      </w:r>
      <w:r w:rsidRPr="00D42C5F">
        <w:rPr>
          <w:rFonts w:cs="Arial" w:hint="cs"/>
          <w:sz w:val="20"/>
          <w:szCs w:val="20"/>
          <w:rtl/>
        </w:rPr>
        <w:t>ש</w:t>
      </w:r>
      <w:r w:rsidRPr="00D42C5F">
        <w:rPr>
          <w:rFonts w:cs="Arial"/>
          <w:sz w:val="20"/>
          <w:szCs w:val="20"/>
          <w:rtl/>
        </w:rPr>
        <w:t xml:space="preserve"> </w:t>
      </w:r>
      <w:r w:rsidRPr="00D42C5F">
        <w:rPr>
          <w:rFonts w:cs="Arial" w:hint="cs"/>
          <w:sz w:val="20"/>
          <w:szCs w:val="20"/>
          <w:rtl/>
        </w:rPr>
        <w:t>עונות</w:t>
      </w:r>
      <w:r w:rsidRPr="00D42C5F">
        <w:rPr>
          <w:rFonts w:cs="Arial"/>
          <w:sz w:val="20"/>
          <w:szCs w:val="20"/>
          <w:rtl/>
        </w:rPr>
        <w:t xml:space="preserve"> </w:t>
      </w:r>
      <w:r w:rsidRPr="00D42C5F">
        <w:rPr>
          <w:rFonts w:cs="Arial" w:hint="cs"/>
          <w:sz w:val="20"/>
          <w:szCs w:val="20"/>
          <w:rtl/>
        </w:rPr>
        <w:t>וראתה</w:t>
      </w:r>
      <w:r w:rsidRPr="00D42C5F">
        <w:rPr>
          <w:rFonts w:cs="Arial"/>
          <w:sz w:val="20"/>
          <w:szCs w:val="20"/>
          <w:rtl/>
        </w:rPr>
        <w:t xml:space="preserve"> - </w:t>
      </w:r>
      <w:r w:rsidRPr="00D42C5F">
        <w:rPr>
          <w:rFonts w:cs="Arial" w:hint="cs"/>
          <w:sz w:val="20"/>
          <w:szCs w:val="20"/>
          <w:rtl/>
        </w:rPr>
        <w:t>דיה</w:t>
      </w:r>
      <w:r w:rsidRPr="00D42C5F">
        <w:rPr>
          <w:rFonts w:cs="Arial"/>
          <w:sz w:val="20"/>
          <w:szCs w:val="20"/>
          <w:rtl/>
        </w:rPr>
        <w:t xml:space="preserve"> </w:t>
      </w:r>
      <w:r w:rsidRPr="00D42C5F">
        <w:rPr>
          <w:rFonts w:cs="Arial" w:hint="cs"/>
          <w:sz w:val="20"/>
          <w:szCs w:val="20"/>
          <w:rtl/>
        </w:rPr>
        <w:t>שעתה</w:t>
      </w:r>
      <w:r w:rsidRPr="00D42C5F">
        <w:rPr>
          <w:rFonts w:cs="Arial"/>
          <w:sz w:val="20"/>
          <w:szCs w:val="20"/>
          <w:rtl/>
        </w:rPr>
        <w:t xml:space="preserve">, </w:t>
      </w:r>
      <w:r w:rsidRPr="00D42C5F">
        <w:rPr>
          <w:rFonts w:cs="Arial" w:hint="cs"/>
          <w:sz w:val="20"/>
          <w:szCs w:val="20"/>
          <w:rtl/>
        </w:rPr>
        <w:t>ועוד</w:t>
      </w:r>
      <w:r w:rsidRPr="00D42C5F">
        <w:rPr>
          <w:rFonts w:cs="Arial"/>
          <w:sz w:val="20"/>
          <w:szCs w:val="20"/>
          <w:rtl/>
        </w:rPr>
        <w:t xml:space="preserve"> </w:t>
      </w:r>
      <w:r w:rsidRPr="00D42C5F">
        <w:rPr>
          <w:rFonts w:cs="Arial" w:hint="cs"/>
          <w:sz w:val="20"/>
          <w:szCs w:val="20"/>
          <w:rtl/>
        </w:rPr>
        <w:t>עברו</w:t>
      </w:r>
      <w:r w:rsidRPr="00D42C5F">
        <w:rPr>
          <w:rFonts w:cs="Arial"/>
          <w:sz w:val="20"/>
          <w:szCs w:val="20"/>
          <w:rtl/>
        </w:rPr>
        <w:t xml:space="preserve"> </w:t>
      </w:r>
      <w:r w:rsidRPr="00D42C5F">
        <w:rPr>
          <w:rFonts w:cs="Arial" w:hint="cs"/>
          <w:sz w:val="20"/>
          <w:szCs w:val="20"/>
          <w:rtl/>
        </w:rPr>
        <w:t>עליה</w:t>
      </w:r>
      <w:r w:rsidRPr="00D42C5F">
        <w:rPr>
          <w:rFonts w:cs="Arial"/>
          <w:sz w:val="20"/>
          <w:szCs w:val="20"/>
          <w:rtl/>
        </w:rPr>
        <w:t xml:space="preserve"> </w:t>
      </w:r>
      <w:r w:rsidRPr="00D42C5F">
        <w:rPr>
          <w:rFonts w:cs="Arial" w:hint="cs"/>
          <w:sz w:val="20"/>
          <w:szCs w:val="20"/>
          <w:rtl/>
        </w:rPr>
        <w:t>של</w:t>
      </w:r>
      <w:r>
        <w:rPr>
          <w:rFonts w:cs="Arial" w:hint="cs"/>
          <w:sz w:val="20"/>
          <w:szCs w:val="20"/>
          <w:rtl/>
        </w:rPr>
        <w:t>ו</w:t>
      </w:r>
      <w:r w:rsidRPr="00D42C5F">
        <w:rPr>
          <w:rFonts w:cs="Arial" w:hint="cs"/>
          <w:sz w:val="20"/>
          <w:szCs w:val="20"/>
          <w:rtl/>
        </w:rPr>
        <w:t>ש</w:t>
      </w:r>
      <w:r w:rsidRPr="00D42C5F">
        <w:rPr>
          <w:rFonts w:cs="Arial"/>
          <w:sz w:val="20"/>
          <w:szCs w:val="20"/>
          <w:rtl/>
        </w:rPr>
        <w:t xml:space="preserve"> </w:t>
      </w:r>
      <w:r w:rsidRPr="00D42C5F">
        <w:rPr>
          <w:rFonts w:cs="Arial" w:hint="cs"/>
          <w:sz w:val="20"/>
          <w:szCs w:val="20"/>
          <w:rtl/>
        </w:rPr>
        <w:t>עונות</w:t>
      </w:r>
      <w:r w:rsidRPr="00D42C5F">
        <w:rPr>
          <w:rFonts w:cs="Arial"/>
          <w:sz w:val="20"/>
          <w:szCs w:val="20"/>
          <w:rtl/>
        </w:rPr>
        <w:t xml:space="preserve"> </w:t>
      </w:r>
      <w:r w:rsidRPr="00D42C5F">
        <w:rPr>
          <w:rFonts w:cs="Arial" w:hint="cs"/>
          <w:sz w:val="20"/>
          <w:szCs w:val="20"/>
          <w:rtl/>
        </w:rPr>
        <w:t>וראתה</w:t>
      </w:r>
      <w:r w:rsidRPr="00D42C5F">
        <w:rPr>
          <w:rFonts w:cs="Arial"/>
          <w:sz w:val="20"/>
          <w:szCs w:val="20"/>
          <w:rtl/>
        </w:rPr>
        <w:t xml:space="preserve"> - </w:t>
      </w:r>
      <w:r w:rsidRPr="00D42C5F">
        <w:rPr>
          <w:rFonts w:cs="Arial" w:hint="cs"/>
          <w:sz w:val="20"/>
          <w:szCs w:val="20"/>
          <w:rtl/>
        </w:rPr>
        <w:t>דיה</w:t>
      </w:r>
      <w:r w:rsidRPr="00D42C5F">
        <w:rPr>
          <w:rFonts w:cs="Arial"/>
          <w:sz w:val="20"/>
          <w:szCs w:val="20"/>
          <w:rtl/>
        </w:rPr>
        <w:t xml:space="preserve"> </w:t>
      </w:r>
      <w:r w:rsidRPr="00D42C5F">
        <w:rPr>
          <w:rFonts w:cs="Arial" w:hint="cs"/>
          <w:sz w:val="20"/>
          <w:szCs w:val="20"/>
          <w:rtl/>
        </w:rPr>
        <w:t>שעתה</w:t>
      </w:r>
      <w:r w:rsidRPr="00D42C5F">
        <w:rPr>
          <w:rFonts w:cs="Arial"/>
          <w:sz w:val="20"/>
          <w:szCs w:val="20"/>
          <w:rtl/>
        </w:rPr>
        <w:t xml:space="preserve">, </w:t>
      </w:r>
      <w:r w:rsidRPr="00D42C5F">
        <w:rPr>
          <w:rFonts w:cs="Arial" w:hint="cs"/>
          <w:sz w:val="20"/>
          <w:szCs w:val="20"/>
          <w:rtl/>
        </w:rPr>
        <w:t>ועוד</w:t>
      </w:r>
      <w:r w:rsidRPr="00D42C5F">
        <w:rPr>
          <w:rFonts w:cs="Arial"/>
          <w:sz w:val="20"/>
          <w:szCs w:val="20"/>
          <w:rtl/>
        </w:rPr>
        <w:t xml:space="preserve"> </w:t>
      </w:r>
      <w:r w:rsidRPr="00D42C5F">
        <w:rPr>
          <w:rFonts w:cs="Arial" w:hint="cs"/>
          <w:sz w:val="20"/>
          <w:szCs w:val="20"/>
          <w:rtl/>
        </w:rPr>
        <w:t>עברו</w:t>
      </w:r>
      <w:r w:rsidRPr="00D42C5F">
        <w:rPr>
          <w:rFonts w:cs="Arial"/>
          <w:sz w:val="20"/>
          <w:szCs w:val="20"/>
          <w:rtl/>
        </w:rPr>
        <w:t xml:space="preserve"> </w:t>
      </w:r>
      <w:r w:rsidRPr="00D42C5F">
        <w:rPr>
          <w:rFonts w:cs="Arial" w:hint="cs"/>
          <w:sz w:val="20"/>
          <w:szCs w:val="20"/>
          <w:rtl/>
        </w:rPr>
        <w:t>עליה</w:t>
      </w:r>
      <w:r w:rsidRPr="00D42C5F">
        <w:rPr>
          <w:rFonts w:cs="Arial"/>
          <w:sz w:val="20"/>
          <w:szCs w:val="20"/>
          <w:rtl/>
        </w:rPr>
        <w:t xml:space="preserve"> </w:t>
      </w:r>
      <w:r w:rsidRPr="00D42C5F">
        <w:rPr>
          <w:rFonts w:cs="Arial" w:hint="cs"/>
          <w:sz w:val="20"/>
          <w:szCs w:val="20"/>
          <w:rtl/>
        </w:rPr>
        <w:t>של</w:t>
      </w:r>
      <w:r>
        <w:rPr>
          <w:rFonts w:cs="Arial" w:hint="cs"/>
          <w:sz w:val="20"/>
          <w:szCs w:val="20"/>
          <w:rtl/>
        </w:rPr>
        <w:t>ו</w:t>
      </w:r>
      <w:r w:rsidRPr="00D42C5F">
        <w:rPr>
          <w:rFonts w:cs="Arial" w:hint="cs"/>
          <w:sz w:val="20"/>
          <w:szCs w:val="20"/>
          <w:rtl/>
        </w:rPr>
        <w:t>ש</w:t>
      </w:r>
      <w:r w:rsidRPr="00D42C5F">
        <w:rPr>
          <w:rFonts w:cs="Arial"/>
          <w:sz w:val="20"/>
          <w:szCs w:val="20"/>
          <w:rtl/>
        </w:rPr>
        <w:t xml:space="preserve"> </w:t>
      </w:r>
      <w:r w:rsidRPr="00D42C5F">
        <w:rPr>
          <w:rFonts w:cs="Arial" w:hint="cs"/>
          <w:sz w:val="20"/>
          <w:szCs w:val="20"/>
          <w:rtl/>
        </w:rPr>
        <w:t>עונות</w:t>
      </w:r>
      <w:r w:rsidRPr="00D42C5F">
        <w:rPr>
          <w:rFonts w:cs="Arial"/>
          <w:sz w:val="20"/>
          <w:szCs w:val="20"/>
          <w:rtl/>
        </w:rPr>
        <w:t xml:space="preserve"> </w:t>
      </w:r>
      <w:r w:rsidRPr="00D42C5F">
        <w:rPr>
          <w:rFonts w:cs="Arial" w:hint="cs"/>
          <w:sz w:val="20"/>
          <w:szCs w:val="20"/>
          <w:rtl/>
        </w:rPr>
        <w:t>וראתה</w:t>
      </w:r>
      <w:r w:rsidRPr="00D42C5F">
        <w:rPr>
          <w:rFonts w:cs="Arial"/>
          <w:sz w:val="20"/>
          <w:szCs w:val="20"/>
          <w:rtl/>
        </w:rPr>
        <w:t xml:space="preserve"> - </w:t>
      </w:r>
      <w:r w:rsidRPr="00D42C5F">
        <w:rPr>
          <w:rFonts w:cs="Arial" w:hint="cs"/>
          <w:sz w:val="20"/>
          <w:szCs w:val="20"/>
          <w:rtl/>
        </w:rPr>
        <w:t>הרי</w:t>
      </w:r>
      <w:r w:rsidRPr="00D42C5F">
        <w:rPr>
          <w:rFonts w:cs="Arial"/>
          <w:sz w:val="20"/>
          <w:szCs w:val="20"/>
          <w:rtl/>
        </w:rPr>
        <w:t xml:space="preserve"> </w:t>
      </w:r>
      <w:r w:rsidRPr="00D42C5F">
        <w:rPr>
          <w:rFonts w:cs="Arial" w:hint="cs"/>
          <w:sz w:val="20"/>
          <w:szCs w:val="20"/>
          <w:rtl/>
        </w:rPr>
        <w:t>היא</w:t>
      </w:r>
      <w:r w:rsidRPr="00D42C5F">
        <w:rPr>
          <w:rFonts w:cs="Arial"/>
          <w:sz w:val="20"/>
          <w:szCs w:val="20"/>
          <w:rtl/>
        </w:rPr>
        <w:t xml:space="preserve"> </w:t>
      </w:r>
      <w:r w:rsidRPr="00D42C5F">
        <w:rPr>
          <w:rFonts w:cs="Arial" w:hint="cs"/>
          <w:sz w:val="20"/>
          <w:szCs w:val="20"/>
          <w:rtl/>
        </w:rPr>
        <w:t>ככל</w:t>
      </w:r>
      <w:r w:rsidRPr="00D42C5F">
        <w:rPr>
          <w:rFonts w:cs="Arial"/>
          <w:sz w:val="20"/>
          <w:szCs w:val="20"/>
          <w:rtl/>
        </w:rPr>
        <w:t xml:space="preserve"> </w:t>
      </w:r>
      <w:r w:rsidRPr="00D42C5F">
        <w:rPr>
          <w:rFonts w:cs="Arial" w:hint="cs"/>
          <w:sz w:val="20"/>
          <w:szCs w:val="20"/>
          <w:rtl/>
        </w:rPr>
        <w:t>הנשים</w:t>
      </w:r>
      <w:r w:rsidRPr="00D42C5F">
        <w:rPr>
          <w:rFonts w:cs="Arial"/>
          <w:sz w:val="20"/>
          <w:szCs w:val="20"/>
          <w:rtl/>
        </w:rPr>
        <w:t xml:space="preserve">, </w:t>
      </w:r>
      <w:r w:rsidRPr="00D42C5F">
        <w:rPr>
          <w:rFonts w:cs="Arial" w:hint="cs"/>
          <w:sz w:val="20"/>
          <w:szCs w:val="20"/>
          <w:rtl/>
        </w:rPr>
        <w:t>ומטמאה</w:t>
      </w:r>
      <w:r w:rsidRPr="00D42C5F">
        <w:rPr>
          <w:rFonts w:cs="Arial"/>
          <w:sz w:val="20"/>
          <w:szCs w:val="20"/>
          <w:rtl/>
        </w:rPr>
        <w:t xml:space="preserve"> </w:t>
      </w:r>
      <w:r w:rsidRPr="00D42C5F">
        <w:rPr>
          <w:rFonts w:cs="Arial" w:hint="cs"/>
          <w:sz w:val="20"/>
          <w:szCs w:val="20"/>
          <w:rtl/>
        </w:rPr>
        <w:t>מעת</w:t>
      </w:r>
      <w:r w:rsidRPr="00D42C5F">
        <w:rPr>
          <w:rFonts w:cs="Arial"/>
          <w:sz w:val="20"/>
          <w:szCs w:val="20"/>
          <w:rtl/>
        </w:rPr>
        <w:t xml:space="preserve"> </w:t>
      </w:r>
      <w:r w:rsidRPr="00D42C5F">
        <w:rPr>
          <w:rFonts w:cs="Arial" w:hint="cs"/>
          <w:sz w:val="20"/>
          <w:szCs w:val="20"/>
          <w:rtl/>
        </w:rPr>
        <w:t>לעת</w:t>
      </w:r>
      <w:r w:rsidRPr="00D42C5F">
        <w:rPr>
          <w:rFonts w:cs="Arial"/>
          <w:sz w:val="20"/>
          <w:szCs w:val="20"/>
          <w:rtl/>
        </w:rPr>
        <w:t xml:space="preserve"> </w:t>
      </w:r>
      <w:r w:rsidRPr="00D42C5F">
        <w:rPr>
          <w:rFonts w:cs="Arial" w:hint="cs"/>
          <w:sz w:val="20"/>
          <w:szCs w:val="20"/>
          <w:rtl/>
        </w:rPr>
        <w:t>ומפקידה</w:t>
      </w:r>
      <w:r w:rsidRPr="00D42C5F">
        <w:rPr>
          <w:rFonts w:cs="Arial"/>
          <w:sz w:val="20"/>
          <w:szCs w:val="20"/>
          <w:rtl/>
        </w:rPr>
        <w:t xml:space="preserve"> </w:t>
      </w:r>
      <w:r w:rsidRPr="00D42C5F">
        <w:rPr>
          <w:rFonts w:cs="Arial" w:hint="cs"/>
          <w:sz w:val="20"/>
          <w:szCs w:val="20"/>
          <w:rtl/>
        </w:rPr>
        <w:t>לפקידה</w:t>
      </w:r>
      <w:r>
        <w:rPr>
          <w:rFonts w:cs="Arial" w:hint="cs"/>
          <w:sz w:val="20"/>
          <w:szCs w:val="20"/>
          <w:rtl/>
        </w:rPr>
        <w:t>".</w:t>
      </w:r>
      <w:r>
        <w:rPr>
          <w:rFonts w:cs="Arial" w:hint="cs"/>
          <w:sz w:val="20"/>
          <w:szCs w:val="20"/>
          <w:rtl/>
        </w:rPr>
        <w:br/>
      </w:r>
      <w:r>
        <w:rPr>
          <w:rFonts w:cs="Arial"/>
          <w:sz w:val="20"/>
          <w:szCs w:val="20"/>
          <w:rtl/>
        </w:rPr>
        <w:br/>
      </w:r>
      <w:r w:rsidRPr="00BF28D5">
        <w:rPr>
          <w:rFonts w:cs="Arial" w:hint="cs"/>
          <w:sz w:val="20"/>
          <w:szCs w:val="20"/>
          <w:rtl/>
        </w:rPr>
        <w:t xml:space="preserve">הסבר </w:t>
      </w:r>
      <w:r w:rsidRPr="00BF28D5">
        <w:rPr>
          <w:rFonts w:cs="Arial"/>
          <w:sz w:val="20"/>
          <w:szCs w:val="20"/>
          <w:rtl/>
        </w:rPr>
        <w:t>–</w:t>
      </w:r>
      <w:r w:rsidRPr="00BF28D5">
        <w:rPr>
          <w:rFonts w:cs="Arial" w:hint="cs"/>
          <w:sz w:val="20"/>
          <w:szCs w:val="20"/>
          <w:rtl/>
        </w:rPr>
        <w:t xml:space="preserve"> תינוקת שלא הגיע זמנה לראות דם וראתה, בשתי ראיותיה הראשונות דיה שעתה</w:t>
      </w:r>
      <w:r w:rsidRPr="00BF28D5">
        <w:rPr>
          <w:rFonts w:hint="cs"/>
          <w:sz w:val="20"/>
          <w:szCs w:val="20"/>
          <w:rtl/>
        </w:rPr>
        <w:t>, בשלישית הרי היא ככל הנשים</w:t>
      </w:r>
      <w:r>
        <w:rPr>
          <w:rFonts w:hint="cs"/>
          <w:sz w:val="20"/>
          <w:szCs w:val="20"/>
          <w:rtl/>
        </w:rPr>
        <w:t xml:space="preserve"> ומטמאת מעת לעת ומפקידה לפקידה.</w:t>
      </w:r>
      <w:r>
        <w:rPr>
          <w:sz w:val="20"/>
          <w:szCs w:val="20"/>
          <w:rtl/>
        </w:rPr>
        <w:br/>
      </w:r>
      <w:r>
        <w:rPr>
          <w:rFonts w:hint="cs"/>
          <w:sz w:val="20"/>
          <w:szCs w:val="20"/>
          <w:rtl/>
        </w:rPr>
        <w:t xml:space="preserve">אמנם, אם עברו עליה שלוש עונות </w:t>
      </w:r>
      <w:r w:rsidRPr="005670D5">
        <w:rPr>
          <w:rFonts w:hint="cs"/>
          <w:sz w:val="18"/>
          <w:szCs w:val="18"/>
          <w:rtl/>
        </w:rPr>
        <w:t>(תשעים יום</w:t>
      </w:r>
      <w:r>
        <w:rPr>
          <w:rStyle w:val="a5"/>
          <w:sz w:val="18"/>
          <w:szCs w:val="18"/>
          <w:rtl/>
        </w:rPr>
        <w:footnoteReference w:id="228"/>
      </w:r>
      <w:r w:rsidRPr="005670D5">
        <w:rPr>
          <w:rFonts w:hint="cs"/>
          <w:sz w:val="18"/>
          <w:szCs w:val="18"/>
          <w:rtl/>
        </w:rPr>
        <w:t xml:space="preserve">) </w:t>
      </w:r>
      <w:r>
        <w:rPr>
          <w:rFonts w:hint="cs"/>
          <w:sz w:val="20"/>
          <w:szCs w:val="20"/>
          <w:rtl/>
        </w:rPr>
        <w:t xml:space="preserve">שלא ראתה, התגלה שהדם שראתה עד עתה היה מקרה ומכאן ואילך דיה שעתה. אך אם המשיכה לראות פעמיים נוספות בדילוגים של ג' עונות </w:t>
      </w:r>
      <w:r>
        <w:rPr>
          <w:sz w:val="20"/>
          <w:szCs w:val="20"/>
          <w:rtl/>
        </w:rPr>
        <w:t>–</w:t>
      </w:r>
      <w:r>
        <w:rPr>
          <w:rFonts w:hint="cs"/>
          <w:sz w:val="20"/>
          <w:szCs w:val="20"/>
          <w:rtl/>
        </w:rPr>
        <w:t xml:space="preserve"> קבעה ווסת לצ' יום.</w:t>
      </w:r>
    </w:p>
    <w:p w:rsidR="00620060" w:rsidRDefault="00620060" w:rsidP="00620060">
      <w:pPr>
        <w:rPr>
          <w:sz w:val="20"/>
          <w:szCs w:val="20"/>
          <w:rtl/>
        </w:rPr>
      </w:pPr>
      <w:r w:rsidRPr="00C02646">
        <w:rPr>
          <w:rFonts w:hint="cs"/>
          <w:b/>
          <w:bCs/>
          <w:sz w:val="20"/>
          <w:szCs w:val="20"/>
          <w:rtl/>
        </w:rPr>
        <w:t>הגדרת תינוקת</w:t>
      </w:r>
      <w:r>
        <w:rPr>
          <w:sz w:val="20"/>
          <w:szCs w:val="20"/>
          <w:u w:val="single"/>
          <w:rtl/>
        </w:rPr>
        <w:br/>
      </w:r>
      <w:r w:rsidRPr="00EE0FD9">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בוגרת היא רק מי שהגיע לגיל הנעורים והביאה סימנים. אם הגיע לגיל הנעורים ולא הביאה סימנים, או הביאה סימנים ולא הגיעה לגיל הנעורים </w:t>
      </w:r>
      <w:r>
        <w:rPr>
          <w:sz w:val="20"/>
          <w:szCs w:val="20"/>
          <w:rtl/>
        </w:rPr>
        <w:t>–</w:t>
      </w:r>
      <w:r>
        <w:rPr>
          <w:rFonts w:hint="cs"/>
          <w:sz w:val="20"/>
          <w:szCs w:val="20"/>
          <w:rtl/>
        </w:rPr>
        <w:t xml:space="preserve"> דינה תינוקת </w:t>
      </w:r>
      <w:r w:rsidRPr="005F0529">
        <w:rPr>
          <w:rFonts w:hint="cs"/>
          <w:sz w:val="18"/>
          <w:szCs w:val="18"/>
          <w:rtl/>
        </w:rPr>
        <w:t>(ואומרים שב' שערות שהביאה הן שומא</w:t>
      </w:r>
      <w:r>
        <w:rPr>
          <w:rFonts w:hint="cs"/>
          <w:sz w:val="18"/>
          <w:szCs w:val="18"/>
          <w:rtl/>
        </w:rPr>
        <w:t xml:space="preserve">, </w:t>
      </w:r>
      <w:r>
        <w:rPr>
          <w:rFonts w:hint="cs"/>
          <w:b/>
          <w:bCs/>
          <w:sz w:val="18"/>
          <w:szCs w:val="18"/>
          <w:rtl/>
        </w:rPr>
        <w:t>ט"ז</w:t>
      </w:r>
      <w:r w:rsidRPr="005F0529">
        <w:rPr>
          <w:rFonts w:hint="cs"/>
          <w:sz w:val="18"/>
          <w:szCs w:val="18"/>
          <w:rtl/>
        </w:rPr>
        <w:t>)</w:t>
      </w:r>
      <w:r>
        <w:rPr>
          <w:rFonts w:hint="cs"/>
          <w:sz w:val="20"/>
          <w:szCs w:val="20"/>
          <w:rtl/>
        </w:rPr>
        <w:t>.</w:t>
      </w:r>
    </w:p>
    <w:p w:rsidR="00620060" w:rsidRDefault="00620060" w:rsidP="00620060">
      <w:pPr>
        <w:rPr>
          <w:sz w:val="20"/>
          <w:szCs w:val="20"/>
          <w:rtl/>
        </w:rPr>
      </w:pPr>
      <w:r>
        <w:rPr>
          <w:rFonts w:hint="cs"/>
          <w:b/>
          <w:bCs/>
          <w:sz w:val="20"/>
          <w:szCs w:val="20"/>
          <w:rtl/>
        </w:rPr>
        <w:t>האם הלכה כברייתא זו?</w:t>
      </w:r>
      <w:r>
        <w:rPr>
          <w:rFonts w:hint="cs"/>
          <w:b/>
          <w:bCs/>
          <w:sz w:val="20"/>
          <w:szCs w:val="20"/>
          <w:rtl/>
        </w:rPr>
        <w:br/>
      </w:r>
      <w:r>
        <w:rPr>
          <w:rFonts w:hint="cs"/>
          <w:sz w:val="20"/>
          <w:szCs w:val="20"/>
          <w:rtl/>
        </w:rPr>
        <w:t xml:space="preserve">א. </w:t>
      </w:r>
      <w:r>
        <w:rPr>
          <w:rFonts w:hint="cs"/>
          <w:b/>
          <w:bCs/>
          <w:sz w:val="20"/>
          <w:szCs w:val="20"/>
          <w:rtl/>
        </w:rPr>
        <w:t>רש"י</w:t>
      </w:r>
      <w:r>
        <w:rPr>
          <w:rFonts w:hint="cs"/>
          <w:sz w:val="20"/>
          <w:szCs w:val="20"/>
          <w:rtl/>
        </w:rPr>
        <w:t xml:space="preserve"> </w:t>
      </w:r>
      <w:r w:rsidRPr="000D27D4">
        <w:rPr>
          <w:rFonts w:hint="cs"/>
          <w:sz w:val="18"/>
          <w:szCs w:val="18"/>
          <w:rtl/>
        </w:rPr>
        <w:t xml:space="preserve">(הו"ד ברשב"א) </w:t>
      </w:r>
      <w:r>
        <w:rPr>
          <w:sz w:val="20"/>
          <w:szCs w:val="20"/>
          <w:rtl/>
        </w:rPr>
        <w:t>–</w:t>
      </w:r>
      <w:r>
        <w:rPr>
          <w:rFonts w:hint="cs"/>
          <w:sz w:val="20"/>
          <w:szCs w:val="20"/>
          <w:rtl/>
        </w:rPr>
        <w:t xml:space="preserve"> אין הלכה כברייתא זו, תינוקת קובעת ווסת בד' ראיות.</w:t>
      </w:r>
      <w:r>
        <w:rPr>
          <w:sz w:val="20"/>
          <w:szCs w:val="20"/>
          <w:rtl/>
        </w:rPr>
        <w:br/>
      </w:r>
      <w:r w:rsidRPr="000D27D4">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הברייתא שנויה כדעת רבי הסובר שחזקה נוצרת בב' ראיות, אך רשב"ג חולק וסובר ש</w:t>
      </w:r>
      <w:r w:rsidRPr="002572F5">
        <w:rPr>
          <w:rFonts w:cs="Arial" w:hint="cs"/>
          <w:sz w:val="20"/>
          <w:szCs w:val="20"/>
          <w:rtl/>
        </w:rPr>
        <w:t>דרושות</w:t>
      </w:r>
      <w:r w:rsidRPr="002572F5">
        <w:rPr>
          <w:rFonts w:cs="Arial"/>
          <w:sz w:val="20"/>
          <w:szCs w:val="20"/>
          <w:rtl/>
        </w:rPr>
        <w:t xml:space="preserve"> </w:t>
      </w:r>
      <w:r>
        <w:rPr>
          <w:rFonts w:hint="cs"/>
          <w:sz w:val="20"/>
          <w:szCs w:val="20"/>
          <w:rtl/>
        </w:rPr>
        <w:t>ג' ראיות לחזקה ולקביעת ווסת, ולכן כאן קובעת ווסת רק בד' ראיות שבהן יש ג' הפלגות.</w:t>
      </w:r>
      <w:r>
        <w:rPr>
          <w:sz w:val="20"/>
          <w:szCs w:val="20"/>
          <w:rtl/>
        </w:rPr>
        <w:br/>
      </w:r>
      <w:r>
        <w:rPr>
          <w:rFonts w:hint="cs"/>
          <w:sz w:val="20"/>
          <w:szCs w:val="20"/>
          <w:rtl/>
        </w:rPr>
        <w:t xml:space="preserve">ב. </w:t>
      </w:r>
      <w:r w:rsidRPr="000D27D4">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הלכה כברייתא זו.</w:t>
      </w:r>
      <w:r>
        <w:rPr>
          <w:sz w:val="20"/>
          <w:szCs w:val="20"/>
          <w:rtl/>
        </w:rPr>
        <w:br/>
      </w:r>
      <w:r w:rsidRPr="000D27D4">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כאן ליכא פלוגתא בין רבי לרשב"ג. כלומר, לרבי אין לומר בב' ראיות שקבעה ווסת משום שאשה זו מוחזקת שאין לה דם ולכן ראייה הראשונה היא מקרה בלבד. כאשר היא רואה פעם שנייה נחשב כראייה ראשונה, אך ראייה שלישית מגלה שאין זה מקרה בלבד, וממילא יש לצרף גם את ראייתה הראשונה לסך ראיותיה וקבעה ווסת. ולפי טעם זה, יש לומר שגם לרשב"ג קבעה לה ווסת.</w:t>
      </w:r>
      <w:r>
        <w:rPr>
          <w:rFonts w:hint="cs"/>
          <w:sz w:val="20"/>
          <w:szCs w:val="20"/>
          <w:rtl/>
        </w:rPr>
        <w:br/>
        <w:t xml:space="preserve">ועוד </w:t>
      </w:r>
      <w:r>
        <w:rPr>
          <w:sz w:val="20"/>
          <w:szCs w:val="20"/>
          <w:rtl/>
        </w:rPr>
        <w:t>–</w:t>
      </w:r>
      <w:r>
        <w:rPr>
          <w:rFonts w:hint="cs"/>
          <w:sz w:val="20"/>
          <w:szCs w:val="20"/>
          <w:rtl/>
        </w:rPr>
        <w:t xml:space="preserve"> לא ייתכן לומר שכל השקלא וטריא בסוגייה אינו מכוון להלכה.</w:t>
      </w:r>
    </w:p>
    <w:p w:rsidR="00620060" w:rsidRDefault="00620060" w:rsidP="00620060">
      <w:pPr>
        <w:rPr>
          <w:sz w:val="20"/>
          <w:szCs w:val="20"/>
          <w:rtl/>
        </w:rPr>
      </w:pPr>
      <w:r>
        <w:rPr>
          <w:rFonts w:hint="cs"/>
          <w:b/>
          <w:bCs/>
          <w:sz w:val="20"/>
          <w:szCs w:val="20"/>
          <w:rtl/>
        </w:rPr>
        <w:t>לא ראתה ג' עונות וחזרה לראות כהרגלה</w:t>
      </w:r>
      <w:r>
        <w:rPr>
          <w:b/>
          <w:bCs/>
          <w:sz w:val="20"/>
          <w:szCs w:val="20"/>
          <w:rtl/>
        </w:rPr>
        <w:br/>
      </w:r>
      <w:r>
        <w:rPr>
          <w:rFonts w:hint="cs"/>
          <w:b/>
          <w:bCs/>
          <w:sz w:val="20"/>
          <w:szCs w:val="20"/>
          <w:rtl/>
        </w:rPr>
        <w:t xml:space="preserve">רשב"א </w:t>
      </w:r>
      <w:r>
        <w:rPr>
          <w:sz w:val="20"/>
          <w:szCs w:val="20"/>
          <w:rtl/>
        </w:rPr>
        <w:t>–</w:t>
      </w:r>
      <w:r>
        <w:rPr>
          <w:rFonts w:hint="cs"/>
          <w:sz w:val="20"/>
          <w:szCs w:val="20"/>
          <w:rtl/>
        </w:rPr>
        <w:t xml:space="preserve"> תינוקת שקבעה ווסת ואחר כך פסקה לראות ג' עונות וחזרה לראות פעם אחת כווסת הראשון </w:t>
      </w:r>
      <w:r>
        <w:rPr>
          <w:sz w:val="20"/>
          <w:szCs w:val="20"/>
          <w:rtl/>
        </w:rPr>
        <w:t>–</w:t>
      </w:r>
      <w:r>
        <w:rPr>
          <w:rFonts w:hint="cs"/>
          <w:sz w:val="20"/>
          <w:szCs w:val="20"/>
          <w:rtl/>
        </w:rPr>
        <w:t xml:space="preserve"> </w:t>
      </w:r>
      <w:r>
        <w:rPr>
          <w:sz w:val="20"/>
          <w:szCs w:val="20"/>
          <w:rtl/>
        </w:rPr>
        <w:br/>
      </w:r>
      <w:r>
        <w:rPr>
          <w:rFonts w:hint="cs"/>
          <w:sz w:val="20"/>
          <w:szCs w:val="20"/>
          <w:rtl/>
        </w:rPr>
        <w:t>אינה חוששת לווסת הראשון שלה אפילו כדין ווסת שאינו קבוע.</w:t>
      </w:r>
      <w:r>
        <w:rPr>
          <w:rFonts w:hint="cs"/>
          <w:sz w:val="20"/>
          <w:szCs w:val="20"/>
          <w:rtl/>
        </w:rPr>
        <w:br/>
      </w:r>
      <w:r w:rsidRPr="00AE31D3">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ע"י הפסק הצ' יום שבהם לא ראתה, התגלה הדבר שהווסת הראשון היה מקרה ואין לחוש לו.</w:t>
      </w:r>
      <w:r>
        <w:rPr>
          <w:sz w:val="20"/>
          <w:szCs w:val="20"/>
          <w:rtl/>
        </w:rPr>
        <w:br/>
      </w:r>
      <w:r>
        <w:rPr>
          <w:rFonts w:hint="cs"/>
          <w:sz w:val="20"/>
          <w:szCs w:val="20"/>
          <w:rtl/>
        </w:rPr>
        <w:t>ואע"פ שמעוברת ומינקת שראו פעם אחת כהרגלן חוששות לווסתן הראשון, התם שאני משום שהן בטבען רואות אלא שמקרה גרם להן שכעת לא יראו, אך זו אינה רגילה בטבעה לראות כלל.</w:t>
      </w:r>
      <w:r>
        <w:rPr>
          <w:sz w:val="20"/>
          <w:szCs w:val="20"/>
          <w:rtl/>
        </w:rPr>
        <w:br/>
      </w:r>
      <w:r>
        <w:rPr>
          <w:sz w:val="20"/>
          <w:szCs w:val="20"/>
          <w:rtl/>
        </w:rPr>
        <w:br/>
      </w:r>
      <w:r>
        <w:rPr>
          <w:rFonts w:hint="cs"/>
          <w:sz w:val="20"/>
          <w:szCs w:val="20"/>
          <w:rtl/>
        </w:rPr>
        <w:t xml:space="preserve">למעשה </w:t>
      </w:r>
      <w:r>
        <w:rPr>
          <w:sz w:val="20"/>
          <w:szCs w:val="20"/>
          <w:rtl/>
        </w:rPr>
        <w:t>–</w:t>
      </w:r>
      <w:r>
        <w:rPr>
          <w:rFonts w:hint="cs"/>
          <w:sz w:val="20"/>
          <w:szCs w:val="20"/>
          <w:rtl/>
        </w:rPr>
        <w:t xml:space="preserve"> הבדל זה הוא ההבדל היחיד</w:t>
      </w:r>
      <w:r w:rsidRPr="00C32ACD">
        <w:rPr>
          <w:rFonts w:hint="cs"/>
          <w:sz w:val="18"/>
          <w:szCs w:val="18"/>
          <w:rtl/>
        </w:rPr>
        <w:t xml:space="preserve"> </w:t>
      </w:r>
      <w:r>
        <w:rPr>
          <w:rFonts w:hint="cs"/>
          <w:sz w:val="20"/>
          <w:szCs w:val="20"/>
          <w:rtl/>
        </w:rPr>
        <w:t>שבין תינוקת לשאר נשים.</w:t>
      </w:r>
      <w:r>
        <w:rPr>
          <w:sz w:val="20"/>
          <w:szCs w:val="20"/>
          <w:rtl/>
        </w:rPr>
        <w:br/>
      </w:r>
      <w:r>
        <w:rPr>
          <w:rFonts w:hint="cs"/>
          <w:sz w:val="20"/>
          <w:szCs w:val="20"/>
          <w:rtl/>
        </w:rPr>
        <w:t xml:space="preserve">כלומר </w:t>
      </w:r>
      <w:r>
        <w:rPr>
          <w:sz w:val="20"/>
          <w:szCs w:val="20"/>
          <w:rtl/>
        </w:rPr>
        <w:t>–</w:t>
      </w:r>
      <w:r>
        <w:rPr>
          <w:rFonts w:hint="cs"/>
          <w:sz w:val="20"/>
          <w:szCs w:val="20"/>
          <w:rtl/>
        </w:rPr>
        <w:t xml:space="preserve"> שאר נשים שדילגו על ווסתן ג' פעמים אך לא קבעו ווסת אחר, אע"פ שאינן חוששות לווסתן מכל מקום חוזרות לחשוש לו לאחר הפעם הראשונה שיראו כהרגלן. </w:t>
      </w:r>
      <w:r>
        <w:rPr>
          <w:sz w:val="20"/>
          <w:szCs w:val="20"/>
          <w:rtl/>
        </w:rPr>
        <w:br/>
      </w:r>
      <w:r>
        <w:rPr>
          <w:rFonts w:hint="cs"/>
          <w:sz w:val="20"/>
          <w:szCs w:val="20"/>
          <w:rtl/>
        </w:rPr>
        <w:t xml:space="preserve">תינוקת שונה משאר הנשים בנקודה זו </w:t>
      </w:r>
      <w:r>
        <w:rPr>
          <w:sz w:val="20"/>
          <w:szCs w:val="20"/>
          <w:rtl/>
        </w:rPr>
        <w:t>–</w:t>
      </w:r>
      <w:r>
        <w:rPr>
          <w:rFonts w:hint="cs"/>
          <w:sz w:val="20"/>
          <w:szCs w:val="20"/>
          <w:rtl/>
        </w:rPr>
        <w:t xml:space="preserve"> אע"פ שמעיקרא היה לה ווסת קבוע וחזרה כעת לראות כהרגלה הראשון, מכיוון שצ' יום לא ראתה נעקר ווסתה לחלוטין ואינה חוששת לו כלל עד שתקבע אותו בג' פעמים.</w:t>
      </w:r>
      <w:r>
        <w:rPr>
          <w:sz w:val="20"/>
          <w:szCs w:val="20"/>
          <w:rtl/>
        </w:rPr>
        <w:br/>
      </w:r>
      <w:r w:rsidRPr="00075792">
        <w:rPr>
          <w:rFonts w:hint="cs"/>
          <w:sz w:val="18"/>
          <w:szCs w:val="18"/>
          <w:rtl/>
        </w:rPr>
        <w:t>(וכל שכן שבג' הפעמים הראשונות שראתה מעיקרא</w:t>
      </w:r>
      <w:r>
        <w:rPr>
          <w:rFonts w:hint="cs"/>
          <w:sz w:val="18"/>
          <w:szCs w:val="18"/>
          <w:rtl/>
        </w:rPr>
        <w:t xml:space="preserve"> א</w:t>
      </w:r>
      <w:r w:rsidRPr="00075792">
        <w:rPr>
          <w:rFonts w:hint="cs"/>
          <w:sz w:val="18"/>
          <w:szCs w:val="18"/>
          <w:rtl/>
        </w:rPr>
        <w:t>ינה חוששת כלל, בניגוד לאשה בעלת ווסת שאינ</w:t>
      </w:r>
      <w:r>
        <w:rPr>
          <w:rFonts w:hint="cs"/>
          <w:sz w:val="18"/>
          <w:szCs w:val="18"/>
          <w:rtl/>
        </w:rPr>
        <w:t>ו</w:t>
      </w:r>
      <w:r w:rsidRPr="00075792">
        <w:rPr>
          <w:rFonts w:hint="cs"/>
          <w:sz w:val="18"/>
          <w:szCs w:val="18"/>
          <w:rtl/>
        </w:rPr>
        <w:t xml:space="preserve"> קבוע שחוששת תמיד לראייתה האחרונה</w:t>
      </w:r>
      <w:r>
        <w:rPr>
          <w:rFonts w:hint="cs"/>
          <w:sz w:val="18"/>
          <w:szCs w:val="18"/>
          <w:rtl/>
        </w:rPr>
        <w:t xml:space="preserve">, </w:t>
      </w:r>
      <w:r w:rsidRPr="00B0559C">
        <w:rPr>
          <w:rFonts w:hint="cs"/>
          <w:b/>
          <w:bCs/>
          <w:sz w:val="18"/>
          <w:szCs w:val="18"/>
          <w:rtl/>
        </w:rPr>
        <w:t>ט"ז</w:t>
      </w:r>
      <w:r w:rsidRPr="00075792">
        <w:rPr>
          <w:rFonts w:hint="cs"/>
          <w:sz w:val="18"/>
          <w:szCs w:val="18"/>
          <w:rtl/>
        </w:rPr>
        <w:t>).</w:t>
      </w:r>
      <w:r>
        <w:rPr>
          <w:sz w:val="20"/>
          <w:szCs w:val="20"/>
          <w:rtl/>
        </w:rPr>
        <w:br/>
      </w:r>
      <w:r>
        <w:rPr>
          <w:rFonts w:hint="cs"/>
          <w:sz w:val="20"/>
          <w:szCs w:val="20"/>
          <w:rtl/>
        </w:rPr>
        <w:br/>
      </w:r>
      <w:r>
        <w:rPr>
          <w:rFonts w:hint="cs"/>
          <w:b/>
          <w:bCs/>
          <w:sz w:val="20"/>
          <w:szCs w:val="20"/>
          <w:rtl/>
        </w:rPr>
        <w:t>דילגה מצ' לצ' יום</w:t>
      </w:r>
      <w:r>
        <w:rPr>
          <w:rFonts w:hint="cs"/>
          <w:b/>
          <w:bCs/>
          <w:sz w:val="20"/>
          <w:szCs w:val="20"/>
          <w:rtl/>
        </w:rPr>
        <w:br/>
      </w:r>
      <w:r>
        <w:rPr>
          <w:rFonts w:hint="cs"/>
          <w:sz w:val="20"/>
          <w:szCs w:val="20"/>
          <w:rtl/>
        </w:rPr>
        <w:t xml:space="preserve">נאמר להדיא בברייתא שאם דילגה ג' עונות וראתה כך ג' פעמים </w:t>
      </w:r>
      <w:r>
        <w:rPr>
          <w:sz w:val="20"/>
          <w:szCs w:val="20"/>
          <w:rtl/>
        </w:rPr>
        <w:t>–</w:t>
      </w:r>
      <w:r>
        <w:rPr>
          <w:rFonts w:hint="cs"/>
          <w:sz w:val="20"/>
          <w:szCs w:val="20"/>
          <w:rtl/>
        </w:rPr>
        <w:t xml:space="preserve"> קבעה ווסת לדילוג של צ' יום.</w:t>
      </w:r>
      <w:r>
        <w:rPr>
          <w:sz w:val="20"/>
          <w:szCs w:val="20"/>
          <w:rtl/>
        </w:rPr>
        <w:br/>
      </w:r>
      <w:r>
        <w:rPr>
          <w:rFonts w:hint="cs"/>
          <w:sz w:val="20"/>
          <w:szCs w:val="20"/>
          <w:rtl/>
        </w:rPr>
        <w:t xml:space="preserve">אמנם, אם פחתה או הותירה, כגון שדילוג ראשון היה לצ' יום ודילוג ב' לצב' יום וכו' </w:t>
      </w:r>
      <w:r>
        <w:rPr>
          <w:sz w:val="20"/>
          <w:szCs w:val="20"/>
          <w:rtl/>
        </w:rPr>
        <w:t>–</w:t>
      </w:r>
      <w:r>
        <w:rPr>
          <w:rFonts w:hint="cs"/>
          <w:sz w:val="20"/>
          <w:szCs w:val="20"/>
          <w:rtl/>
        </w:rPr>
        <w:t xml:space="preserve"> אינה קובעת ווסת.</w:t>
      </w:r>
      <w:r>
        <w:rPr>
          <w:sz w:val="20"/>
          <w:szCs w:val="20"/>
          <w:rtl/>
        </w:rPr>
        <w:br/>
      </w:r>
      <w:r>
        <w:rPr>
          <w:rFonts w:hint="cs"/>
          <w:sz w:val="20"/>
          <w:szCs w:val="20"/>
          <w:rtl/>
        </w:rPr>
        <w:t xml:space="preserve">והטעם הוא </w:t>
      </w:r>
      <w:r>
        <w:rPr>
          <w:sz w:val="20"/>
          <w:szCs w:val="20"/>
          <w:rtl/>
        </w:rPr>
        <w:t>–</w:t>
      </w:r>
      <w:r>
        <w:rPr>
          <w:rFonts w:hint="cs"/>
          <w:sz w:val="20"/>
          <w:szCs w:val="20"/>
          <w:rtl/>
        </w:rPr>
        <w:t xml:space="preserve"> משום שאין כאן ג' הפלגות שוות ואין לה ווסת קבוע.</w:t>
      </w:r>
    </w:p>
    <w:p w:rsidR="00620060" w:rsidRDefault="00620060" w:rsidP="00620060">
      <w:pPr>
        <w:rPr>
          <w:sz w:val="20"/>
          <w:szCs w:val="20"/>
          <w:rtl/>
        </w:rPr>
      </w:pPr>
      <w:r>
        <w:rPr>
          <w:rFonts w:hint="cs"/>
          <w:b/>
          <w:bCs/>
          <w:sz w:val="20"/>
          <w:szCs w:val="20"/>
          <w:rtl/>
        </w:rPr>
        <w:lastRenderedPageBreak/>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2572F5">
        <w:rPr>
          <w:rFonts w:cs="Arial" w:hint="cs"/>
          <w:sz w:val="20"/>
          <w:szCs w:val="20"/>
          <w:rtl/>
        </w:rPr>
        <w:t>תינוקת</w:t>
      </w:r>
      <w:r w:rsidRPr="002572F5">
        <w:rPr>
          <w:rFonts w:cs="Arial"/>
          <w:sz w:val="20"/>
          <w:szCs w:val="20"/>
          <w:rtl/>
        </w:rPr>
        <w:t xml:space="preserve"> </w:t>
      </w:r>
      <w:r w:rsidRPr="002572F5">
        <w:rPr>
          <w:rFonts w:cs="Arial" w:hint="cs"/>
          <w:sz w:val="20"/>
          <w:szCs w:val="20"/>
          <w:rtl/>
        </w:rPr>
        <w:t>שלא</w:t>
      </w:r>
      <w:r w:rsidRPr="002572F5">
        <w:rPr>
          <w:rFonts w:cs="Arial"/>
          <w:sz w:val="20"/>
          <w:szCs w:val="20"/>
          <w:rtl/>
        </w:rPr>
        <w:t xml:space="preserve"> </w:t>
      </w:r>
      <w:r w:rsidRPr="002572F5">
        <w:rPr>
          <w:rFonts w:cs="Arial" w:hint="cs"/>
          <w:sz w:val="20"/>
          <w:szCs w:val="20"/>
          <w:rtl/>
        </w:rPr>
        <w:t>הגיע</w:t>
      </w:r>
      <w:r w:rsidRPr="002572F5">
        <w:rPr>
          <w:rFonts w:cs="Arial"/>
          <w:sz w:val="20"/>
          <w:szCs w:val="20"/>
          <w:rtl/>
        </w:rPr>
        <w:t xml:space="preserve"> </w:t>
      </w:r>
      <w:r w:rsidRPr="002572F5">
        <w:rPr>
          <w:rFonts w:cs="Arial" w:hint="cs"/>
          <w:sz w:val="20"/>
          <w:szCs w:val="20"/>
          <w:rtl/>
        </w:rPr>
        <w:t>זמנה</w:t>
      </w:r>
      <w:r w:rsidRPr="002572F5">
        <w:rPr>
          <w:rFonts w:cs="Arial"/>
          <w:sz w:val="20"/>
          <w:szCs w:val="20"/>
          <w:rtl/>
        </w:rPr>
        <w:t xml:space="preserve"> </w:t>
      </w:r>
      <w:r w:rsidRPr="002572F5">
        <w:rPr>
          <w:rFonts w:cs="Arial" w:hint="cs"/>
          <w:sz w:val="20"/>
          <w:szCs w:val="20"/>
          <w:rtl/>
        </w:rPr>
        <w:t>לראות</w:t>
      </w:r>
      <w:r w:rsidRPr="002572F5">
        <w:rPr>
          <w:rFonts w:cs="Arial"/>
          <w:sz w:val="20"/>
          <w:szCs w:val="20"/>
          <w:rtl/>
        </w:rPr>
        <w:t xml:space="preserve">, </w:t>
      </w:r>
      <w:r w:rsidRPr="002572F5">
        <w:rPr>
          <w:rFonts w:cs="Arial" w:hint="cs"/>
          <w:sz w:val="20"/>
          <w:szCs w:val="20"/>
          <w:rtl/>
        </w:rPr>
        <w:t>והיא</w:t>
      </w:r>
      <w:r w:rsidRPr="002572F5">
        <w:rPr>
          <w:rFonts w:cs="Arial"/>
          <w:sz w:val="20"/>
          <w:szCs w:val="20"/>
          <w:rtl/>
        </w:rPr>
        <w:t xml:space="preserve"> </w:t>
      </w:r>
      <w:r w:rsidRPr="002572F5">
        <w:rPr>
          <w:rFonts w:cs="Arial" w:hint="cs"/>
          <w:sz w:val="20"/>
          <w:szCs w:val="20"/>
          <w:rtl/>
        </w:rPr>
        <w:t>קטנה</w:t>
      </w:r>
      <w:r w:rsidRPr="002572F5">
        <w:rPr>
          <w:rFonts w:cs="Arial"/>
          <w:sz w:val="20"/>
          <w:szCs w:val="20"/>
          <w:rtl/>
        </w:rPr>
        <w:t xml:space="preserve"> </w:t>
      </w:r>
      <w:r w:rsidRPr="002572F5">
        <w:rPr>
          <w:rFonts w:cs="Arial" w:hint="cs"/>
          <w:sz w:val="20"/>
          <w:szCs w:val="20"/>
          <w:rtl/>
        </w:rPr>
        <w:t>שלא</w:t>
      </w:r>
      <w:r w:rsidRPr="002572F5">
        <w:rPr>
          <w:rFonts w:cs="Arial"/>
          <w:sz w:val="20"/>
          <w:szCs w:val="20"/>
          <w:rtl/>
        </w:rPr>
        <w:t xml:space="preserve"> </w:t>
      </w:r>
      <w:r w:rsidRPr="002572F5">
        <w:rPr>
          <w:rFonts w:cs="Arial" w:hint="cs"/>
          <w:sz w:val="20"/>
          <w:szCs w:val="20"/>
          <w:rtl/>
        </w:rPr>
        <w:t>הגיעה</w:t>
      </w:r>
      <w:r w:rsidRPr="002572F5">
        <w:rPr>
          <w:rFonts w:cs="Arial"/>
          <w:sz w:val="20"/>
          <w:szCs w:val="20"/>
          <w:rtl/>
        </w:rPr>
        <w:t xml:space="preserve"> </w:t>
      </w:r>
      <w:r w:rsidRPr="002572F5">
        <w:rPr>
          <w:rFonts w:cs="Arial" w:hint="cs"/>
          <w:sz w:val="20"/>
          <w:szCs w:val="20"/>
          <w:rtl/>
        </w:rPr>
        <w:t>לימי</w:t>
      </w:r>
      <w:r w:rsidRPr="002572F5">
        <w:rPr>
          <w:rFonts w:cs="Arial"/>
          <w:sz w:val="20"/>
          <w:szCs w:val="20"/>
          <w:rtl/>
        </w:rPr>
        <w:t xml:space="preserve"> </w:t>
      </w:r>
      <w:r w:rsidRPr="002572F5">
        <w:rPr>
          <w:rFonts w:cs="Arial" w:hint="cs"/>
          <w:sz w:val="20"/>
          <w:szCs w:val="20"/>
          <w:rtl/>
        </w:rPr>
        <w:t>הנעורים</w:t>
      </w:r>
      <w:r w:rsidRPr="002572F5">
        <w:rPr>
          <w:rFonts w:cs="Arial"/>
          <w:sz w:val="20"/>
          <w:szCs w:val="20"/>
          <w:rtl/>
        </w:rPr>
        <w:t xml:space="preserve"> </w:t>
      </w:r>
      <w:r w:rsidRPr="002572F5">
        <w:rPr>
          <w:rFonts w:cs="Arial" w:hint="cs"/>
          <w:sz w:val="20"/>
          <w:szCs w:val="20"/>
          <w:rtl/>
        </w:rPr>
        <w:t>אפילו</w:t>
      </w:r>
      <w:r w:rsidRPr="002572F5">
        <w:rPr>
          <w:rFonts w:cs="Arial"/>
          <w:sz w:val="20"/>
          <w:szCs w:val="20"/>
          <w:rtl/>
        </w:rPr>
        <w:t xml:space="preserve"> </w:t>
      </w:r>
      <w:r w:rsidRPr="002572F5">
        <w:rPr>
          <w:rFonts w:cs="Arial" w:hint="cs"/>
          <w:sz w:val="20"/>
          <w:szCs w:val="20"/>
          <w:rtl/>
        </w:rPr>
        <w:t>הביאה</w:t>
      </w:r>
      <w:r w:rsidRPr="002572F5">
        <w:rPr>
          <w:rFonts w:cs="Arial"/>
          <w:sz w:val="20"/>
          <w:szCs w:val="20"/>
          <w:rtl/>
        </w:rPr>
        <w:t xml:space="preserve"> </w:t>
      </w:r>
      <w:r w:rsidRPr="002572F5">
        <w:rPr>
          <w:rFonts w:cs="Arial" w:hint="cs"/>
          <w:sz w:val="20"/>
          <w:szCs w:val="20"/>
          <w:rtl/>
        </w:rPr>
        <w:t>שתי</w:t>
      </w:r>
      <w:r w:rsidRPr="002572F5">
        <w:rPr>
          <w:rFonts w:cs="Arial"/>
          <w:sz w:val="20"/>
          <w:szCs w:val="20"/>
          <w:rtl/>
        </w:rPr>
        <w:t xml:space="preserve"> </w:t>
      </w:r>
      <w:r w:rsidRPr="002572F5">
        <w:rPr>
          <w:rFonts w:cs="Arial" w:hint="cs"/>
          <w:sz w:val="20"/>
          <w:szCs w:val="20"/>
          <w:rtl/>
        </w:rPr>
        <w:t>שערות</w:t>
      </w:r>
      <w:r w:rsidRPr="002572F5">
        <w:rPr>
          <w:rFonts w:cs="Arial"/>
          <w:sz w:val="20"/>
          <w:szCs w:val="20"/>
          <w:rtl/>
        </w:rPr>
        <w:t xml:space="preserve">, </w:t>
      </w:r>
      <w:r w:rsidRPr="002572F5">
        <w:rPr>
          <w:rFonts w:cs="Arial" w:hint="cs"/>
          <w:sz w:val="20"/>
          <w:szCs w:val="20"/>
          <w:rtl/>
        </w:rPr>
        <w:t>וכן</w:t>
      </w:r>
      <w:r w:rsidRPr="002572F5">
        <w:rPr>
          <w:rFonts w:cs="Arial"/>
          <w:sz w:val="20"/>
          <w:szCs w:val="20"/>
          <w:rtl/>
        </w:rPr>
        <w:t xml:space="preserve"> </w:t>
      </w:r>
      <w:r w:rsidRPr="002572F5">
        <w:rPr>
          <w:rFonts w:cs="Arial" w:hint="cs"/>
          <w:sz w:val="20"/>
          <w:szCs w:val="20"/>
          <w:rtl/>
        </w:rPr>
        <w:t>אפילו</w:t>
      </w:r>
      <w:r w:rsidRPr="002572F5">
        <w:rPr>
          <w:rFonts w:cs="Arial"/>
          <w:sz w:val="20"/>
          <w:szCs w:val="20"/>
          <w:rtl/>
        </w:rPr>
        <w:t xml:space="preserve"> </w:t>
      </w:r>
      <w:r w:rsidRPr="002572F5">
        <w:rPr>
          <w:rFonts w:cs="Arial" w:hint="cs"/>
          <w:sz w:val="20"/>
          <w:szCs w:val="20"/>
          <w:rtl/>
        </w:rPr>
        <w:t>הגיעה</w:t>
      </w:r>
      <w:r w:rsidRPr="002572F5">
        <w:rPr>
          <w:rFonts w:cs="Arial"/>
          <w:sz w:val="20"/>
          <w:szCs w:val="20"/>
          <w:rtl/>
        </w:rPr>
        <w:t xml:space="preserve"> </w:t>
      </w:r>
      <w:r w:rsidRPr="002572F5">
        <w:rPr>
          <w:rFonts w:cs="Arial" w:hint="cs"/>
          <w:sz w:val="20"/>
          <w:szCs w:val="20"/>
          <w:rtl/>
        </w:rPr>
        <w:t>לימי</w:t>
      </w:r>
      <w:r w:rsidRPr="002572F5">
        <w:rPr>
          <w:rFonts w:cs="Arial"/>
          <w:sz w:val="20"/>
          <w:szCs w:val="20"/>
          <w:rtl/>
        </w:rPr>
        <w:t xml:space="preserve"> </w:t>
      </w:r>
      <w:r w:rsidRPr="002572F5">
        <w:rPr>
          <w:rFonts w:cs="Arial" w:hint="cs"/>
          <w:sz w:val="20"/>
          <w:szCs w:val="20"/>
          <w:rtl/>
        </w:rPr>
        <w:t>הנעורים</w:t>
      </w:r>
      <w:r w:rsidRPr="002572F5">
        <w:rPr>
          <w:rFonts w:cs="Arial"/>
          <w:sz w:val="20"/>
          <w:szCs w:val="20"/>
          <w:rtl/>
        </w:rPr>
        <w:t xml:space="preserve"> </w:t>
      </w:r>
      <w:r w:rsidRPr="002572F5">
        <w:rPr>
          <w:rFonts w:cs="Arial" w:hint="cs"/>
          <w:sz w:val="20"/>
          <w:szCs w:val="20"/>
          <w:rtl/>
        </w:rPr>
        <w:t>אם</w:t>
      </w:r>
      <w:r w:rsidRPr="002572F5">
        <w:rPr>
          <w:rFonts w:cs="Arial"/>
          <w:sz w:val="20"/>
          <w:szCs w:val="20"/>
          <w:rtl/>
        </w:rPr>
        <w:t xml:space="preserve"> </w:t>
      </w:r>
      <w:r w:rsidRPr="002572F5">
        <w:rPr>
          <w:rFonts w:cs="Arial" w:hint="cs"/>
          <w:sz w:val="20"/>
          <w:szCs w:val="20"/>
          <w:rtl/>
        </w:rPr>
        <w:t>בדקוה</w:t>
      </w:r>
      <w:r w:rsidRPr="002572F5">
        <w:rPr>
          <w:rFonts w:cs="Arial"/>
          <w:sz w:val="20"/>
          <w:szCs w:val="20"/>
          <w:rtl/>
        </w:rPr>
        <w:t xml:space="preserve"> </w:t>
      </w:r>
      <w:r w:rsidRPr="002572F5">
        <w:rPr>
          <w:rFonts w:cs="Arial" w:hint="cs"/>
          <w:sz w:val="20"/>
          <w:szCs w:val="20"/>
          <w:rtl/>
        </w:rPr>
        <w:t>ולא</w:t>
      </w:r>
      <w:r w:rsidRPr="002572F5">
        <w:rPr>
          <w:rFonts w:cs="Arial"/>
          <w:sz w:val="20"/>
          <w:szCs w:val="20"/>
          <w:rtl/>
        </w:rPr>
        <w:t xml:space="preserve"> </w:t>
      </w:r>
      <w:r w:rsidRPr="002572F5">
        <w:rPr>
          <w:rFonts w:cs="Arial" w:hint="cs"/>
          <w:sz w:val="20"/>
          <w:szCs w:val="20"/>
          <w:rtl/>
        </w:rPr>
        <w:t>הביאה</w:t>
      </w:r>
      <w:r w:rsidRPr="002572F5">
        <w:rPr>
          <w:rFonts w:cs="Arial"/>
          <w:sz w:val="20"/>
          <w:szCs w:val="20"/>
          <w:rtl/>
        </w:rPr>
        <w:t xml:space="preserve"> </w:t>
      </w:r>
      <w:r w:rsidRPr="002572F5">
        <w:rPr>
          <w:rFonts w:cs="Arial" w:hint="cs"/>
          <w:sz w:val="20"/>
          <w:szCs w:val="20"/>
          <w:rtl/>
        </w:rPr>
        <w:t>שתי</w:t>
      </w:r>
      <w:r w:rsidRPr="002572F5">
        <w:rPr>
          <w:rFonts w:cs="Arial"/>
          <w:sz w:val="20"/>
          <w:szCs w:val="20"/>
          <w:rtl/>
        </w:rPr>
        <w:t xml:space="preserve"> </w:t>
      </w:r>
      <w:r w:rsidRPr="002572F5">
        <w:rPr>
          <w:rFonts w:cs="Arial" w:hint="cs"/>
          <w:sz w:val="20"/>
          <w:szCs w:val="20"/>
          <w:rtl/>
        </w:rPr>
        <w:t>שערות</w:t>
      </w:r>
      <w:r w:rsidRPr="002572F5">
        <w:rPr>
          <w:rFonts w:cs="Arial"/>
          <w:sz w:val="20"/>
          <w:szCs w:val="20"/>
          <w:rtl/>
        </w:rPr>
        <w:t xml:space="preserve">, </w:t>
      </w:r>
      <w:r w:rsidRPr="002572F5">
        <w:rPr>
          <w:rFonts w:cs="Arial" w:hint="cs"/>
          <w:sz w:val="20"/>
          <w:szCs w:val="20"/>
          <w:rtl/>
        </w:rPr>
        <w:t>היא</w:t>
      </w:r>
      <w:r w:rsidRPr="002572F5">
        <w:rPr>
          <w:rFonts w:cs="Arial"/>
          <w:sz w:val="20"/>
          <w:szCs w:val="20"/>
          <w:rtl/>
        </w:rPr>
        <w:t xml:space="preserve"> </w:t>
      </w:r>
      <w:r w:rsidRPr="002572F5">
        <w:rPr>
          <w:rFonts w:cs="Arial" w:hint="cs"/>
          <w:sz w:val="20"/>
          <w:szCs w:val="20"/>
          <w:rtl/>
        </w:rPr>
        <w:t>קובעת</w:t>
      </w:r>
      <w:r w:rsidRPr="002572F5">
        <w:rPr>
          <w:rFonts w:cs="Arial"/>
          <w:sz w:val="20"/>
          <w:szCs w:val="20"/>
          <w:rtl/>
        </w:rPr>
        <w:t xml:space="preserve"> </w:t>
      </w:r>
      <w:r w:rsidRPr="002572F5">
        <w:rPr>
          <w:rFonts w:cs="Arial" w:hint="cs"/>
          <w:sz w:val="20"/>
          <w:szCs w:val="20"/>
          <w:rtl/>
        </w:rPr>
        <w:t>ו</w:t>
      </w:r>
      <w:r>
        <w:rPr>
          <w:rFonts w:cs="Arial" w:hint="cs"/>
          <w:sz w:val="20"/>
          <w:szCs w:val="20"/>
          <w:rtl/>
        </w:rPr>
        <w:t>ו</w:t>
      </w:r>
      <w:r w:rsidRPr="002572F5">
        <w:rPr>
          <w:rFonts w:cs="Arial" w:hint="cs"/>
          <w:sz w:val="20"/>
          <w:szCs w:val="20"/>
          <w:rtl/>
        </w:rPr>
        <w:t>סת</w:t>
      </w:r>
      <w:r w:rsidRPr="002572F5">
        <w:rPr>
          <w:rFonts w:cs="Arial"/>
          <w:sz w:val="20"/>
          <w:szCs w:val="20"/>
          <w:rtl/>
        </w:rPr>
        <w:t xml:space="preserve"> </w:t>
      </w:r>
      <w:r w:rsidRPr="002572F5">
        <w:rPr>
          <w:rFonts w:cs="Arial" w:hint="cs"/>
          <w:sz w:val="20"/>
          <w:szCs w:val="20"/>
          <w:rtl/>
        </w:rPr>
        <w:t>כשאר</w:t>
      </w:r>
      <w:r w:rsidRPr="002572F5">
        <w:rPr>
          <w:rFonts w:cs="Arial"/>
          <w:sz w:val="20"/>
          <w:szCs w:val="20"/>
          <w:rtl/>
        </w:rPr>
        <w:t xml:space="preserve"> </w:t>
      </w:r>
      <w:r w:rsidRPr="002572F5">
        <w:rPr>
          <w:rFonts w:cs="Arial" w:hint="cs"/>
          <w:sz w:val="20"/>
          <w:szCs w:val="20"/>
          <w:rtl/>
        </w:rPr>
        <w:t>נשים</w:t>
      </w:r>
      <w:r w:rsidRPr="002572F5">
        <w:rPr>
          <w:rFonts w:cs="Arial"/>
          <w:sz w:val="20"/>
          <w:szCs w:val="20"/>
          <w:rtl/>
        </w:rPr>
        <w:t xml:space="preserve"> </w:t>
      </w:r>
      <w:r w:rsidRPr="002572F5">
        <w:rPr>
          <w:rFonts w:cs="Arial" w:hint="cs"/>
          <w:sz w:val="20"/>
          <w:szCs w:val="20"/>
          <w:rtl/>
        </w:rPr>
        <w:t>בשל</w:t>
      </w:r>
      <w:r>
        <w:rPr>
          <w:rFonts w:cs="Arial" w:hint="cs"/>
          <w:sz w:val="20"/>
          <w:szCs w:val="20"/>
          <w:rtl/>
        </w:rPr>
        <w:t>ו</w:t>
      </w:r>
      <w:r w:rsidRPr="002572F5">
        <w:rPr>
          <w:rFonts w:cs="Arial" w:hint="cs"/>
          <w:sz w:val="20"/>
          <w:szCs w:val="20"/>
          <w:rtl/>
        </w:rPr>
        <w:t>ש</w:t>
      </w:r>
      <w:r w:rsidRPr="002572F5">
        <w:rPr>
          <w:rFonts w:cs="Arial"/>
          <w:sz w:val="20"/>
          <w:szCs w:val="20"/>
          <w:rtl/>
        </w:rPr>
        <w:t xml:space="preserve"> </w:t>
      </w:r>
      <w:r w:rsidRPr="002572F5">
        <w:rPr>
          <w:rFonts w:cs="Arial" w:hint="cs"/>
          <w:sz w:val="20"/>
          <w:szCs w:val="20"/>
          <w:rtl/>
        </w:rPr>
        <w:t>ראיות</w:t>
      </w:r>
      <w:r w:rsidRPr="002572F5">
        <w:rPr>
          <w:rFonts w:cs="Arial"/>
          <w:sz w:val="20"/>
          <w:szCs w:val="20"/>
          <w:rtl/>
        </w:rPr>
        <w:t xml:space="preserve"> </w:t>
      </w:r>
      <w:r w:rsidRPr="002572F5">
        <w:rPr>
          <w:rFonts w:cs="Arial" w:hint="cs"/>
          <w:sz w:val="20"/>
          <w:szCs w:val="20"/>
          <w:rtl/>
        </w:rPr>
        <w:t>בשאר</w:t>
      </w:r>
      <w:r w:rsidRPr="002572F5">
        <w:rPr>
          <w:rFonts w:cs="Arial"/>
          <w:sz w:val="20"/>
          <w:szCs w:val="20"/>
          <w:rtl/>
        </w:rPr>
        <w:t xml:space="preserve"> </w:t>
      </w:r>
      <w:r w:rsidRPr="002572F5">
        <w:rPr>
          <w:rFonts w:cs="Arial" w:hint="cs"/>
          <w:sz w:val="20"/>
          <w:szCs w:val="20"/>
          <w:rtl/>
        </w:rPr>
        <w:t>הו</w:t>
      </w:r>
      <w:r>
        <w:rPr>
          <w:rFonts w:cs="Arial" w:hint="cs"/>
          <w:sz w:val="20"/>
          <w:szCs w:val="20"/>
          <w:rtl/>
        </w:rPr>
        <w:t>ו</w:t>
      </w:r>
      <w:r w:rsidRPr="002572F5">
        <w:rPr>
          <w:rFonts w:cs="Arial" w:hint="cs"/>
          <w:sz w:val="20"/>
          <w:szCs w:val="20"/>
          <w:rtl/>
        </w:rPr>
        <w:t>סתות</w:t>
      </w:r>
      <w:r w:rsidRPr="002572F5">
        <w:rPr>
          <w:rFonts w:cs="Arial"/>
          <w:sz w:val="20"/>
          <w:szCs w:val="20"/>
          <w:rtl/>
        </w:rPr>
        <w:t xml:space="preserve">, </w:t>
      </w:r>
      <w:r w:rsidRPr="002572F5">
        <w:rPr>
          <w:rFonts w:cs="Arial" w:hint="cs"/>
          <w:sz w:val="20"/>
          <w:szCs w:val="20"/>
          <w:rtl/>
        </w:rPr>
        <w:t>ובארבעה</w:t>
      </w:r>
      <w:r w:rsidRPr="002572F5">
        <w:rPr>
          <w:rFonts w:cs="Arial"/>
          <w:sz w:val="20"/>
          <w:szCs w:val="20"/>
          <w:rtl/>
        </w:rPr>
        <w:t xml:space="preserve"> </w:t>
      </w:r>
      <w:r w:rsidRPr="002572F5">
        <w:rPr>
          <w:rFonts w:cs="Arial" w:hint="cs"/>
          <w:sz w:val="20"/>
          <w:szCs w:val="20"/>
          <w:rtl/>
        </w:rPr>
        <w:t>ב</w:t>
      </w:r>
      <w:r>
        <w:rPr>
          <w:rFonts w:cs="Arial" w:hint="cs"/>
          <w:sz w:val="20"/>
          <w:szCs w:val="20"/>
          <w:rtl/>
        </w:rPr>
        <w:t>ו</w:t>
      </w:r>
      <w:r w:rsidRPr="002572F5">
        <w:rPr>
          <w:rFonts w:cs="Arial" w:hint="cs"/>
          <w:sz w:val="20"/>
          <w:szCs w:val="20"/>
          <w:rtl/>
        </w:rPr>
        <w:t>וסת</w:t>
      </w:r>
      <w:r w:rsidRPr="002572F5">
        <w:rPr>
          <w:rFonts w:cs="Arial"/>
          <w:sz w:val="20"/>
          <w:szCs w:val="20"/>
          <w:rtl/>
        </w:rPr>
        <w:t xml:space="preserve"> </w:t>
      </w:r>
      <w:r w:rsidRPr="002572F5">
        <w:rPr>
          <w:rFonts w:cs="Arial" w:hint="cs"/>
          <w:sz w:val="20"/>
          <w:szCs w:val="20"/>
          <w:rtl/>
        </w:rPr>
        <w:t>ההפלגות</w:t>
      </w:r>
      <w:r>
        <w:rPr>
          <w:rFonts w:cs="Arial" w:hint="cs"/>
          <w:sz w:val="20"/>
          <w:szCs w:val="20"/>
          <w:rtl/>
        </w:rPr>
        <w:t>.</w:t>
      </w:r>
      <w:r w:rsidRPr="002572F5">
        <w:rPr>
          <w:rFonts w:cs="Arial"/>
          <w:sz w:val="20"/>
          <w:szCs w:val="20"/>
          <w:rtl/>
        </w:rPr>
        <w:t xml:space="preserve"> </w:t>
      </w:r>
      <w:r w:rsidRPr="002572F5">
        <w:rPr>
          <w:rFonts w:cs="Arial" w:hint="cs"/>
          <w:sz w:val="20"/>
          <w:szCs w:val="20"/>
          <w:rtl/>
        </w:rPr>
        <w:t>אלא</w:t>
      </w:r>
      <w:r w:rsidRPr="002572F5">
        <w:rPr>
          <w:rFonts w:cs="Arial"/>
          <w:sz w:val="20"/>
          <w:szCs w:val="20"/>
          <w:rtl/>
        </w:rPr>
        <w:t xml:space="preserve"> </w:t>
      </w:r>
      <w:r w:rsidRPr="002572F5">
        <w:rPr>
          <w:rFonts w:cs="Arial" w:hint="cs"/>
          <w:sz w:val="20"/>
          <w:szCs w:val="20"/>
          <w:rtl/>
        </w:rPr>
        <w:t>שיש</w:t>
      </w:r>
      <w:r w:rsidRPr="002572F5">
        <w:rPr>
          <w:rFonts w:cs="Arial"/>
          <w:sz w:val="20"/>
          <w:szCs w:val="20"/>
          <w:rtl/>
        </w:rPr>
        <w:t xml:space="preserve"> </w:t>
      </w:r>
      <w:r w:rsidRPr="002572F5">
        <w:rPr>
          <w:rFonts w:cs="Arial" w:hint="cs"/>
          <w:sz w:val="20"/>
          <w:szCs w:val="20"/>
          <w:rtl/>
        </w:rPr>
        <w:t>הפרש</w:t>
      </w:r>
      <w:r w:rsidRPr="002572F5">
        <w:rPr>
          <w:rFonts w:cs="Arial"/>
          <w:sz w:val="20"/>
          <w:szCs w:val="20"/>
          <w:rtl/>
        </w:rPr>
        <w:t xml:space="preserve"> </w:t>
      </w:r>
      <w:r w:rsidRPr="002572F5">
        <w:rPr>
          <w:rFonts w:cs="Arial" w:hint="cs"/>
          <w:sz w:val="20"/>
          <w:szCs w:val="20"/>
          <w:rtl/>
        </w:rPr>
        <w:t>בינה</w:t>
      </w:r>
      <w:r w:rsidRPr="002572F5">
        <w:rPr>
          <w:rFonts w:cs="Arial"/>
          <w:sz w:val="20"/>
          <w:szCs w:val="20"/>
          <w:rtl/>
        </w:rPr>
        <w:t xml:space="preserve"> </w:t>
      </w:r>
      <w:r w:rsidRPr="002572F5">
        <w:rPr>
          <w:rFonts w:cs="Arial" w:hint="cs"/>
          <w:sz w:val="20"/>
          <w:szCs w:val="20"/>
          <w:rtl/>
        </w:rPr>
        <w:t>לגדולה</w:t>
      </w:r>
      <w:r w:rsidRPr="002572F5">
        <w:rPr>
          <w:rFonts w:cs="Arial"/>
          <w:sz w:val="20"/>
          <w:szCs w:val="20"/>
          <w:rtl/>
        </w:rPr>
        <w:t xml:space="preserve"> </w:t>
      </w:r>
      <w:r w:rsidRPr="002572F5">
        <w:rPr>
          <w:rFonts w:cs="Arial" w:hint="cs"/>
          <w:sz w:val="20"/>
          <w:szCs w:val="20"/>
          <w:rtl/>
        </w:rPr>
        <w:t>שאף</w:t>
      </w:r>
      <w:r w:rsidRPr="002572F5">
        <w:rPr>
          <w:rFonts w:cs="Arial"/>
          <w:sz w:val="20"/>
          <w:szCs w:val="20"/>
          <w:rtl/>
        </w:rPr>
        <w:t xml:space="preserve"> </w:t>
      </w:r>
      <w:r w:rsidRPr="002572F5">
        <w:rPr>
          <w:rFonts w:cs="Arial" w:hint="cs"/>
          <w:sz w:val="20"/>
          <w:szCs w:val="20"/>
          <w:rtl/>
        </w:rPr>
        <w:t>על</w:t>
      </w:r>
      <w:r w:rsidRPr="002572F5">
        <w:rPr>
          <w:rFonts w:cs="Arial"/>
          <w:sz w:val="20"/>
          <w:szCs w:val="20"/>
          <w:rtl/>
        </w:rPr>
        <w:t xml:space="preserve"> </w:t>
      </w:r>
      <w:r w:rsidRPr="002572F5">
        <w:rPr>
          <w:rFonts w:cs="Arial" w:hint="cs"/>
          <w:sz w:val="20"/>
          <w:szCs w:val="20"/>
          <w:rtl/>
        </w:rPr>
        <w:t>פי</w:t>
      </w:r>
      <w:r w:rsidRPr="002572F5">
        <w:rPr>
          <w:rFonts w:cs="Arial"/>
          <w:sz w:val="20"/>
          <w:szCs w:val="20"/>
          <w:rtl/>
        </w:rPr>
        <w:t xml:space="preserve"> </w:t>
      </w:r>
      <w:r w:rsidRPr="002572F5">
        <w:rPr>
          <w:rFonts w:cs="Arial" w:hint="cs"/>
          <w:sz w:val="20"/>
          <w:szCs w:val="20"/>
          <w:rtl/>
        </w:rPr>
        <w:t>שהוחזקה</w:t>
      </w:r>
      <w:r w:rsidRPr="002572F5">
        <w:rPr>
          <w:rFonts w:cs="Arial"/>
          <w:sz w:val="20"/>
          <w:szCs w:val="20"/>
          <w:rtl/>
        </w:rPr>
        <w:t xml:space="preserve"> </w:t>
      </w:r>
      <w:r w:rsidRPr="002572F5">
        <w:rPr>
          <w:rFonts w:cs="Arial" w:hint="cs"/>
          <w:sz w:val="20"/>
          <w:szCs w:val="20"/>
          <w:rtl/>
        </w:rPr>
        <w:t>רואה</w:t>
      </w:r>
      <w:r w:rsidRPr="002572F5">
        <w:rPr>
          <w:rFonts w:cs="Arial"/>
          <w:sz w:val="20"/>
          <w:szCs w:val="20"/>
          <w:rtl/>
        </w:rPr>
        <w:t xml:space="preserve"> </w:t>
      </w:r>
      <w:r w:rsidRPr="002572F5">
        <w:rPr>
          <w:rFonts w:cs="Arial" w:hint="cs"/>
          <w:sz w:val="20"/>
          <w:szCs w:val="20"/>
          <w:rtl/>
        </w:rPr>
        <w:t>וקבעה</w:t>
      </w:r>
      <w:r w:rsidRPr="002572F5">
        <w:rPr>
          <w:rFonts w:cs="Arial"/>
          <w:sz w:val="20"/>
          <w:szCs w:val="20"/>
          <w:rtl/>
        </w:rPr>
        <w:t xml:space="preserve"> </w:t>
      </w:r>
      <w:r w:rsidRPr="002572F5">
        <w:rPr>
          <w:rFonts w:cs="Arial" w:hint="cs"/>
          <w:sz w:val="20"/>
          <w:szCs w:val="20"/>
          <w:rtl/>
        </w:rPr>
        <w:t>לה</w:t>
      </w:r>
      <w:r w:rsidRPr="002572F5">
        <w:rPr>
          <w:rFonts w:cs="Arial"/>
          <w:sz w:val="20"/>
          <w:szCs w:val="20"/>
          <w:rtl/>
        </w:rPr>
        <w:t xml:space="preserve"> </w:t>
      </w:r>
      <w:r w:rsidRPr="002572F5">
        <w:rPr>
          <w:rFonts w:cs="Arial" w:hint="cs"/>
          <w:sz w:val="20"/>
          <w:szCs w:val="20"/>
          <w:rtl/>
        </w:rPr>
        <w:t>וסת</w:t>
      </w:r>
      <w:r w:rsidRPr="002572F5">
        <w:rPr>
          <w:rFonts w:cs="Arial"/>
          <w:sz w:val="20"/>
          <w:szCs w:val="20"/>
          <w:rtl/>
        </w:rPr>
        <w:t xml:space="preserve">, </w:t>
      </w:r>
      <w:r w:rsidRPr="002572F5">
        <w:rPr>
          <w:rFonts w:cs="Arial" w:hint="cs"/>
          <w:sz w:val="20"/>
          <w:szCs w:val="20"/>
          <w:rtl/>
        </w:rPr>
        <w:t>אם</w:t>
      </w:r>
      <w:r w:rsidRPr="002572F5">
        <w:rPr>
          <w:rFonts w:cs="Arial"/>
          <w:sz w:val="20"/>
          <w:szCs w:val="20"/>
          <w:rtl/>
        </w:rPr>
        <w:t xml:space="preserve"> </w:t>
      </w:r>
      <w:r w:rsidRPr="002572F5">
        <w:rPr>
          <w:rFonts w:cs="Arial" w:hint="cs"/>
          <w:sz w:val="20"/>
          <w:szCs w:val="20"/>
          <w:rtl/>
        </w:rPr>
        <w:t>פסקה</w:t>
      </w:r>
      <w:r w:rsidRPr="002572F5">
        <w:rPr>
          <w:rFonts w:cs="Arial"/>
          <w:sz w:val="20"/>
          <w:szCs w:val="20"/>
          <w:rtl/>
        </w:rPr>
        <w:t xml:space="preserve"> </w:t>
      </w:r>
      <w:r w:rsidRPr="002572F5">
        <w:rPr>
          <w:rFonts w:cs="Arial" w:hint="cs"/>
          <w:sz w:val="20"/>
          <w:szCs w:val="20"/>
          <w:rtl/>
        </w:rPr>
        <w:t>ג</w:t>
      </w:r>
      <w:r w:rsidRPr="002572F5">
        <w:rPr>
          <w:rFonts w:cs="Arial"/>
          <w:sz w:val="20"/>
          <w:szCs w:val="20"/>
          <w:rtl/>
        </w:rPr>
        <w:t xml:space="preserve">' </w:t>
      </w:r>
      <w:r w:rsidRPr="002572F5">
        <w:rPr>
          <w:rFonts w:cs="Arial" w:hint="cs"/>
          <w:sz w:val="20"/>
          <w:szCs w:val="20"/>
          <w:rtl/>
        </w:rPr>
        <w:t>עונות</w:t>
      </w:r>
      <w:r w:rsidRPr="002572F5">
        <w:rPr>
          <w:rFonts w:cs="Arial"/>
          <w:sz w:val="20"/>
          <w:szCs w:val="20"/>
          <w:rtl/>
        </w:rPr>
        <w:t xml:space="preserve"> </w:t>
      </w:r>
      <w:r w:rsidRPr="002572F5">
        <w:rPr>
          <w:rFonts w:cs="Arial" w:hint="cs"/>
          <w:sz w:val="20"/>
          <w:szCs w:val="20"/>
          <w:rtl/>
        </w:rPr>
        <w:t>בינוניות</w:t>
      </w:r>
      <w:r w:rsidRPr="002572F5">
        <w:rPr>
          <w:rFonts w:cs="Arial"/>
          <w:sz w:val="20"/>
          <w:szCs w:val="20"/>
          <w:rtl/>
        </w:rPr>
        <w:t xml:space="preserve"> </w:t>
      </w:r>
      <w:r w:rsidRPr="002572F5">
        <w:rPr>
          <w:rFonts w:cs="Arial" w:hint="cs"/>
          <w:sz w:val="20"/>
          <w:szCs w:val="20"/>
          <w:rtl/>
        </w:rPr>
        <w:t>שהם</w:t>
      </w:r>
      <w:r w:rsidRPr="002572F5">
        <w:rPr>
          <w:rFonts w:cs="Arial"/>
          <w:sz w:val="20"/>
          <w:szCs w:val="20"/>
          <w:rtl/>
        </w:rPr>
        <w:t xml:space="preserve"> </w:t>
      </w:r>
      <w:r w:rsidRPr="002572F5">
        <w:rPr>
          <w:rFonts w:cs="Arial" w:hint="cs"/>
          <w:sz w:val="20"/>
          <w:szCs w:val="20"/>
          <w:rtl/>
        </w:rPr>
        <w:t>צ</w:t>
      </w:r>
      <w:r w:rsidRPr="002572F5">
        <w:rPr>
          <w:rFonts w:cs="Arial"/>
          <w:sz w:val="20"/>
          <w:szCs w:val="20"/>
          <w:rtl/>
        </w:rPr>
        <w:t xml:space="preserve">' </w:t>
      </w:r>
      <w:r w:rsidRPr="002572F5">
        <w:rPr>
          <w:rFonts w:cs="Arial" w:hint="cs"/>
          <w:sz w:val="20"/>
          <w:szCs w:val="20"/>
          <w:rtl/>
        </w:rPr>
        <w:t>יום</w:t>
      </w:r>
      <w:r w:rsidRPr="002572F5">
        <w:rPr>
          <w:rFonts w:cs="Arial"/>
          <w:sz w:val="20"/>
          <w:szCs w:val="20"/>
          <w:rtl/>
        </w:rPr>
        <w:t xml:space="preserve"> </w:t>
      </w:r>
      <w:r w:rsidRPr="002572F5">
        <w:rPr>
          <w:rFonts w:cs="Arial" w:hint="cs"/>
          <w:sz w:val="20"/>
          <w:szCs w:val="20"/>
          <w:rtl/>
        </w:rPr>
        <w:t>ולא</w:t>
      </w:r>
      <w:r w:rsidRPr="002572F5">
        <w:rPr>
          <w:rFonts w:cs="Arial"/>
          <w:sz w:val="20"/>
          <w:szCs w:val="20"/>
          <w:rtl/>
        </w:rPr>
        <w:t xml:space="preserve"> </w:t>
      </w:r>
      <w:r w:rsidRPr="002572F5">
        <w:rPr>
          <w:rFonts w:cs="Arial" w:hint="cs"/>
          <w:sz w:val="20"/>
          <w:szCs w:val="20"/>
          <w:rtl/>
        </w:rPr>
        <w:t>ראתה</w:t>
      </w:r>
      <w:r w:rsidRPr="002572F5">
        <w:rPr>
          <w:rFonts w:cs="Arial"/>
          <w:sz w:val="20"/>
          <w:szCs w:val="20"/>
          <w:rtl/>
        </w:rPr>
        <w:t xml:space="preserve">, </w:t>
      </w:r>
      <w:r w:rsidRPr="002572F5">
        <w:rPr>
          <w:rFonts w:cs="Arial" w:hint="cs"/>
          <w:sz w:val="20"/>
          <w:szCs w:val="20"/>
          <w:rtl/>
        </w:rPr>
        <w:t>אינה</w:t>
      </w:r>
      <w:r w:rsidRPr="002572F5">
        <w:rPr>
          <w:rFonts w:cs="Arial"/>
          <w:sz w:val="20"/>
          <w:szCs w:val="20"/>
          <w:rtl/>
        </w:rPr>
        <w:t xml:space="preserve"> </w:t>
      </w:r>
      <w:r w:rsidRPr="002572F5">
        <w:rPr>
          <w:rFonts w:cs="Arial" w:hint="cs"/>
          <w:sz w:val="20"/>
          <w:szCs w:val="20"/>
          <w:rtl/>
        </w:rPr>
        <w:t>חוששת</w:t>
      </w:r>
      <w:r w:rsidRPr="002572F5">
        <w:rPr>
          <w:rFonts w:cs="Arial"/>
          <w:sz w:val="20"/>
          <w:szCs w:val="20"/>
          <w:rtl/>
        </w:rPr>
        <w:t xml:space="preserve"> </w:t>
      </w:r>
      <w:r w:rsidRPr="002572F5">
        <w:rPr>
          <w:rFonts w:cs="Arial" w:hint="cs"/>
          <w:sz w:val="20"/>
          <w:szCs w:val="20"/>
          <w:rtl/>
        </w:rPr>
        <w:t>ל</w:t>
      </w:r>
      <w:r>
        <w:rPr>
          <w:rFonts w:cs="Arial" w:hint="cs"/>
          <w:sz w:val="20"/>
          <w:szCs w:val="20"/>
          <w:rtl/>
        </w:rPr>
        <w:t>ו</w:t>
      </w:r>
      <w:r w:rsidRPr="002572F5">
        <w:rPr>
          <w:rFonts w:cs="Arial" w:hint="cs"/>
          <w:sz w:val="20"/>
          <w:szCs w:val="20"/>
          <w:rtl/>
        </w:rPr>
        <w:t>וסת</w:t>
      </w:r>
      <w:r w:rsidRPr="002572F5">
        <w:rPr>
          <w:rFonts w:cs="Arial"/>
          <w:sz w:val="20"/>
          <w:szCs w:val="20"/>
          <w:rtl/>
        </w:rPr>
        <w:t xml:space="preserve"> </w:t>
      </w:r>
      <w:r w:rsidRPr="002572F5">
        <w:rPr>
          <w:rFonts w:cs="Arial" w:hint="cs"/>
          <w:sz w:val="20"/>
          <w:szCs w:val="20"/>
          <w:rtl/>
        </w:rPr>
        <w:t>הראשון</w:t>
      </w:r>
      <w:r w:rsidRPr="002572F5">
        <w:rPr>
          <w:rFonts w:cs="Arial"/>
          <w:sz w:val="20"/>
          <w:szCs w:val="20"/>
          <w:rtl/>
        </w:rPr>
        <w:t xml:space="preserve"> </w:t>
      </w:r>
      <w:r w:rsidRPr="002572F5">
        <w:rPr>
          <w:rFonts w:cs="Arial" w:hint="cs"/>
          <w:sz w:val="20"/>
          <w:szCs w:val="20"/>
          <w:rtl/>
        </w:rPr>
        <w:t>כלל</w:t>
      </w:r>
      <w:r w:rsidRPr="002572F5">
        <w:rPr>
          <w:rFonts w:cs="Arial"/>
          <w:sz w:val="20"/>
          <w:szCs w:val="20"/>
          <w:rtl/>
        </w:rPr>
        <w:t xml:space="preserve">, </w:t>
      </w:r>
      <w:r w:rsidRPr="002572F5">
        <w:rPr>
          <w:rFonts w:cs="Arial" w:hint="cs"/>
          <w:sz w:val="20"/>
          <w:szCs w:val="20"/>
          <w:rtl/>
        </w:rPr>
        <w:t>וחזרה</w:t>
      </w:r>
      <w:r w:rsidRPr="002572F5">
        <w:rPr>
          <w:rFonts w:cs="Arial"/>
          <w:sz w:val="20"/>
          <w:szCs w:val="20"/>
          <w:rtl/>
        </w:rPr>
        <w:t xml:space="preserve"> </w:t>
      </w:r>
      <w:r w:rsidRPr="002572F5">
        <w:rPr>
          <w:rFonts w:cs="Arial" w:hint="cs"/>
          <w:sz w:val="20"/>
          <w:szCs w:val="20"/>
          <w:rtl/>
        </w:rPr>
        <w:t>לקדמותה</w:t>
      </w:r>
      <w:r>
        <w:rPr>
          <w:rStyle w:val="a5"/>
          <w:rFonts w:cs="Arial"/>
          <w:sz w:val="20"/>
          <w:szCs w:val="20"/>
          <w:rtl/>
        </w:rPr>
        <w:footnoteReference w:id="229"/>
      </w:r>
      <w:r w:rsidRPr="002572F5">
        <w:rPr>
          <w:rFonts w:cs="Arial"/>
          <w:sz w:val="20"/>
          <w:szCs w:val="20"/>
          <w:rtl/>
        </w:rPr>
        <w:t xml:space="preserve">. </w:t>
      </w:r>
      <w:r w:rsidRPr="002572F5">
        <w:rPr>
          <w:rFonts w:cs="Arial" w:hint="cs"/>
          <w:sz w:val="20"/>
          <w:szCs w:val="20"/>
          <w:rtl/>
        </w:rPr>
        <w:t>ואפילו</w:t>
      </w:r>
      <w:r w:rsidRPr="002572F5">
        <w:rPr>
          <w:rFonts w:cs="Arial"/>
          <w:sz w:val="20"/>
          <w:szCs w:val="20"/>
          <w:rtl/>
        </w:rPr>
        <w:t xml:space="preserve"> </w:t>
      </w:r>
      <w:r w:rsidRPr="002572F5">
        <w:rPr>
          <w:rFonts w:cs="Arial" w:hint="cs"/>
          <w:sz w:val="20"/>
          <w:szCs w:val="20"/>
          <w:rtl/>
        </w:rPr>
        <w:t>חזרה</w:t>
      </w:r>
      <w:r w:rsidRPr="002572F5">
        <w:rPr>
          <w:rFonts w:cs="Arial"/>
          <w:sz w:val="20"/>
          <w:szCs w:val="20"/>
          <w:rtl/>
        </w:rPr>
        <w:t xml:space="preserve"> </w:t>
      </w:r>
      <w:r w:rsidRPr="002572F5">
        <w:rPr>
          <w:rFonts w:cs="Arial" w:hint="cs"/>
          <w:sz w:val="20"/>
          <w:szCs w:val="20"/>
          <w:rtl/>
        </w:rPr>
        <w:t>לראות</w:t>
      </w:r>
      <w:r w:rsidRPr="002572F5">
        <w:rPr>
          <w:rFonts w:cs="Arial"/>
          <w:sz w:val="20"/>
          <w:szCs w:val="20"/>
          <w:rtl/>
        </w:rPr>
        <w:t xml:space="preserve"> </w:t>
      </w:r>
      <w:r w:rsidRPr="002572F5">
        <w:rPr>
          <w:rFonts w:cs="Arial" w:hint="cs"/>
          <w:sz w:val="20"/>
          <w:szCs w:val="20"/>
          <w:rtl/>
        </w:rPr>
        <w:t>באותן</w:t>
      </w:r>
      <w:r w:rsidRPr="002572F5">
        <w:rPr>
          <w:rFonts w:cs="Arial"/>
          <w:sz w:val="20"/>
          <w:szCs w:val="20"/>
          <w:rtl/>
        </w:rPr>
        <w:t xml:space="preserve"> </w:t>
      </w:r>
      <w:r w:rsidRPr="002572F5">
        <w:rPr>
          <w:rFonts w:cs="Arial" w:hint="cs"/>
          <w:sz w:val="20"/>
          <w:szCs w:val="20"/>
          <w:rtl/>
        </w:rPr>
        <w:t>עונות</w:t>
      </w:r>
      <w:r w:rsidRPr="002572F5">
        <w:rPr>
          <w:rFonts w:cs="Arial"/>
          <w:sz w:val="20"/>
          <w:szCs w:val="20"/>
          <w:rtl/>
        </w:rPr>
        <w:t xml:space="preserve"> </w:t>
      </w:r>
      <w:r w:rsidRPr="002572F5">
        <w:rPr>
          <w:rFonts w:cs="Arial" w:hint="cs"/>
          <w:sz w:val="20"/>
          <w:szCs w:val="20"/>
          <w:rtl/>
        </w:rPr>
        <w:t>שהיתה</w:t>
      </w:r>
      <w:r w:rsidRPr="002572F5">
        <w:rPr>
          <w:rFonts w:cs="Arial"/>
          <w:sz w:val="20"/>
          <w:szCs w:val="20"/>
          <w:rtl/>
        </w:rPr>
        <w:t xml:space="preserve"> </w:t>
      </w:r>
      <w:r w:rsidRPr="002572F5">
        <w:rPr>
          <w:rFonts w:cs="Arial" w:hint="cs"/>
          <w:sz w:val="20"/>
          <w:szCs w:val="20"/>
          <w:rtl/>
        </w:rPr>
        <w:t>למודה</w:t>
      </w:r>
      <w:r w:rsidRPr="002572F5">
        <w:rPr>
          <w:rFonts w:cs="Arial"/>
          <w:sz w:val="20"/>
          <w:szCs w:val="20"/>
          <w:rtl/>
        </w:rPr>
        <w:t xml:space="preserve"> </w:t>
      </w:r>
      <w:r w:rsidRPr="002572F5">
        <w:rPr>
          <w:rFonts w:cs="Arial"/>
          <w:sz w:val="18"/>
          <w:szCs w:val="18"/>
          <w:rtl/>
        </w:rPr>
        <w:t>(</w:t>
      </w:r>
      <w:r w:rsidRPr="002572F5">
        <w:rPr>
          <w:rFonts w:cs="Arial" w:hint="cs"/>
          <w:sz w:val="18"/>
          <w:szCs w:val="18"/>
          <w:rtl/>
        </w:rPr>
        <w:t>פי</w:t>
      </w:r>
      <w:r>
        <w:rPr>
          <w:rFonts w:cs="Arial" w:hint="cs"/>
          <w:sz w:val="18"/>
          <w:szCs w:val="18"/>
          <w:rtl/>
        </w:rPr>
        <w:t>רוש</w:t>
      </w:r>
      <w:r w:rsidRPr="002572F5">
        <w:rPr>
          <w:rFonts w:cs="Arial"/>
          <w:sz w:val="18"/>
          <w:szCs w:val="18"/>
          <w:rtl/>
        </w:rPr>
        <w:t xml:space="preserve"> </w:t>
      </w:r>
      <w:r w:rsidRPr="002572F5">
        <w:rPr>
          <w:rFonts w:cs="Arial" w:hint="cs"/>
          <w:sz w:val="18"/>
          <w:szCs w:val="18"/>
          <w:rtl/>
        </w:rPr>
        <w:t>נהוגה</w:t>
      </w:r>
      <w:r w:rsidRPr="002572F5">
        <w:rPr>
          <w:rFonts w:cs="Arial"/>
          <w:sz w:val="18"/>
          <w:szCs w:val="18"/>
          <w:rtl/>
        </w:rPr>
        <w:t xml:space="preserve">) </w:t>
      </w:r>
      <w:r w:rsidRPr="002572F5">
        <w:rPr>
          <w:rFonts w:cs="Arial" w:hint="cs"/>
          <w:sz w:val="20"/>
          <w:szCs w:val="20"/>
          <w:rtl/>
        </w:rPr>
        <w:t>לראות</w:t>
      </w:r>
      <w:r w:rsidRPr="002572F5">
        <w:rPr>
          <w:rFonts w:cs="Arial"/>
          <w:sz w:val="20"/>
          <w:szCs w:val="20"/>
          <w:rtl/>
        </w:rPr>
        <w:t xml:space="preserve"> </w:t>
      </w:r>
      <w:r w:rsidRPr="002572F5">
        <w:rPr>
          <w:rFonts w:cs="Arial" w:hint="cs"/>
          <w:sz w:val="20"/>
          <w:szCs w:val="20"/>
          <w:rtl/>
        </w:rPr>
        <w:t>בהן</w:t>
      </w:r>
      <w:r w:rsidRPr="002572F5">
        <w:rPr>
          <w:rFonts w:cs="Arial"/>
          <w:sz w:val="20"/>
          <w:szCs w:val="20"/>
          <w:rtl/>
        </w:rPr>
        <w:t xml:space="preserve">, </w:t>
      </w:r>
      <w:r w:rsidRPr="002572F5">
        <w:rPr>
          <w:rFonts w:cs="Arial" w:hint="cs"/>
          <w:sz w:val="20"/>
          <w:szCs w:val="20"/>
          <w:rtl/>
        </w:rPr>
        <w:t>אינה</w:t>
      </w:r>
      <w:r w:rsidRPr="002572F5">
        <w:rPr>
          <w:rFonts w:cs="Arial"/>
          <w:sz w:val="20"/>
          <w:szCs w:val="20"/>
          <w:rtl/>
        </w:rPr>
        <w:t xml:space="preserve"> </w:t>
      </w:r>
      <w:r w:rsidRPr="002572F5">
        <w:rPr>
          <w:rFonts w:cs="Arial" w:hint="cs"/>
          <w:sz w:val="20"/>
          <w:szCs w:val="20"/>
          <w:rtl/>
        </w:rPr>
        <w:t>חוששת</w:t>
      </w:r>
      <w:r w:rsidRPr="002572F5">
        <w:rPr>
          <w:rFonts w:cs="Arial"/>
          <w:sz w:val="20"/>
          <w:szCs w:val="20"/>
          <w:rtl/>
        </w:rPr>
        <w:t xml:space="preserve"> </w:t>
      </w:r>
      <w:r w:rsidRPr="002572F5">
        <w:rPr>
          <w:rFonts w:cs="Arial" w:hint="cs"/>
          <w:sz w:val="20"/>
          <w:szCs w:val="20"/>
          <w:rtl/>
        </w:rPr>
        <w:t>עד</w:t>
      </w:r>
      <w:r w:rsidRPr="002572F5">
        <w:rPr>
          <w:rFonts w:cs="Arial"/>
          <w:sz w:val="20"/>
          <w:szCs w:val="20"/>
          <w:rtl/>
        </w:rPr>
        <w:t xml:space="preserve"> </w:t>
      </w:r>
      <w:r w:rsidRPr="002572F5">
        <w:rPr>
          <w:rFonts w:cs="Arial" w:hint="cs"/>
          <w:sz w:val="20"/>
          <w:szCs w:val="20"/>
          <w:rtl/>
        </w:rPr>
        <w:t>שתחזור</w:t>
      </w:r>
      <w:r w:rsidRPr="002572F5">
        <w:rPr>
          <w:rFonts w:cs="Arial"/>
          <w:sz w:val="20"/>
          <w:szCs w:val="20"/>
          <w:rtl/>
        </w:rPr>
        <w:t xml:space="preserve"> </w:t>
      </w:r>
      <w:r w:rsidRPr="002572F5">
        <w:rPr>
          <w:rFonts w:cs="Arial" w:hint="cs"/>
          <w:sz w:val="20"/>
          <w:szCs w:val="20"/>
          <w:rtl/>
        </w:rPr>
        <w:t>ותקבענו</w:t>
      </w:r>
      <w:r w:rsidRPr="002572F5">
        <w:rPr>
          <w:rFonts w:cs="Arial"/>
          <w:sz w:val="20"/>
          <w:szCs w:val="20"/>
          <w:rtl/>
        </w:rPr>
        <w:t xml:space="preserve"> </w:t>
      </w:r>
      <w:r w:rsidRPr="002572F5">
        <w:rPr>
          <w:rFonts w:cs="Arial" w:hint="cs"/>
          <w:sz w:val="20"/>
          <w:szCs w:val="20"/>
          <w:rtl/>
        </w:rPr>
        <w:t>ג</w:t>
      </w:r>
      <w:r w:rsidRPr="002572F5">
        <w:rPr>
          <w:rFonts w:cs="Arial"/>
          <w:sz w:val="20"/>
          <w:szCs w:val="20"/>
          <w:rtl/>
        </w:rPr>
        <w:t xml:space="preserve">' </w:t>
      </w:r>
      <w:r w:rsidRPr="002572F5">
        <w:rPr>
          <w:rFonts w:cs="Arial" w:hint="cs"/>
          <w:sz w:val="20"/>
          <w:szCs w:val="20"/>
          <w:rtl/>
        </w:rPr>
        <w:t>פעמים</w:t>
      </w:r>
      <w:r w:rsidRPr="002572F5">
        <w:rPr>
          <w:rFonts w:cs="Arial"/>
          <w:sz w:val="20"/>
          <w:szCs w:val="20"/>
          <w:rtl/>
        </w:rPr>
        <w:t xml:space="preserve">, </w:t>
      </w:r>
      <w:r w:rsidRPr="002572F5">
        <w:rPr>
          <w:rFonts w:cs="Arial" w:hint="cs"/>
          <w:sz w:val="20"/>
          <w:szCs w:val="20"/>
          <w:rtl/>
        </w:rPr>
        <w:t>לפי</w:t>
      </w:r>
      <w:r w:rsidRPr="002572F5">
        <w:rPr>
          <w:rFonts w:cs="Arial"/>
          <w:sz w:val="20"/>
          <w:szCs w:val="20"/>
          <w:rtl/>
        </w:rPr>
        <w:t xml:space="preserve"> </w:t>
      </w:r>
      <w:r w:rsidRPr="002572F5">
        <w:rPr>
          <w:rFonts w:cs="Arial" w:hint="cs"/>
          <w:sz w:val="20"/>
          <w:szCs w:val="20"/>
          <w:rtl/>
        </w:rPr>
        <w:t>שאינה</w:t>
      </w:r>
      <w:r w:rsidRPr="002572F5">
        <w:rPr>
          <w:rFonts w:cs="Arial"/>
          <w:sz w:val="20"/>
          <w:szCs w:val="20"/>
          <w:rtl/>
        </w:rPr>
        <w:t xml:space="preserve"> </w:t>
      </w:r>
      <w:r w:rsidRPr="002572F5">
        <w:rPr>
          <w:rFonts w:cs="Arial" w:hint="cs"/>
          <w:sz w:val="20"/>
          <w:szCs w:val="20"/>
          <w:rtl/>
        </w:rPr>
        <w:t>בת</w:t>
      </w:r>
      <w:r w:rsidRPr="002572F5">
        <w:rPr>
          <w:rFonts w:cs="Arial"/>
          <w:sz w:val="20"/>
          <w:szCs w:val="20"/>
          <w:rtl/>
        </w:rPr>
        <w:t xml:space="preserve"> </w:t>
      </w:r>
      <w:r w:rsidRPr="002572F5">
        <w:rPr>
          <w:rFonts w:cs="Arial" w:hint="cs"/>
          <w:sz w:val="20"/>
          <w:szCs w:val="20"/>
          <w:rtl/>
        </w:rPr>
        <w:t>דמים</w:t>
      </w:r>
      <w:r w:rsidRPr="002572F5">
        <w:rPr>
          <w:rFonts w:cs="Arial"/>
          <w:sz w:val="20"/>
          <w:szCs w:val="20"/>
          <w:rtl/>
        </w:rPr>
        <w:t xml:space="preserve"> </w:t>
      </w:r>
      <w:r w:rsidRPr="002572F5">
        <w:rPr>
          <w:rFonts w:cs="Arial" w:hint="cs"/>
          <w:sz w:val="20"/>
          <w:szCs w:val="20"/>
          <w:rtl/>
        </w:rPr>
        <w:t>ונתגלה</w:t>
      </w:r>
      <w:r w:rsidRPr="002572F5">
        <w:rPr>
          <w:rFonts w:cs="Arial"/>
          <w:sz w:val="20"/>
          <w:szCs w:val="20"/>
          <w:rtl/>
        </w:rPr>
        <w:t xml:space="preserve"> </w:t>
      </w:r>
      <w:r w:rsidRPr="002572F5">
        <w:rPr>
          <w:rFonts w:cs="Arial" w:hint="cs"/>
          <w:sz w:val="20"/>
          <w:szCs w:val="20"/>
          <w:rtl/>
        </w:rPr>
        <w:t>שדמים</w:t>
      </w:r>
      <w:r w:rsidRPr="002572F5">
        <w:rPr>
          <w:rFonts w:cs="Arial"/>
          <w:sz w:val="20"/>
          <w:szCs w:val="20"/>
          <w:rtl/>
        </w:rPr>
        <w:t xml:space="preserve"> </w:t>
      </w:r>
      <w:r w:rsidRPr="002572F5">
        <w:rPr>
          <w:rFonts w:cs="Arial" w:hint="cs"/>
          <w:sz w:val="20"/>
          <w:szCs w:val="20"/>
          <w:rtl/>
        </w:rPr>
        <w:t>הראשונים</w:t>
      </w:r>
      <w:r w:rsidRPr="002572F5">
        <w:rPr>
          <w:rFonts w:cs="Arial"/>
          <w:sz w:val="20"/>
          <w:szCs w:val="20"/>
          <w:rtl/>
        </w:rPr>
        <w:t xml:space="preserve"> </w:t>
      </w:r>
      <w:r w:rsidRPr="002572F5">
        <w:rPr>
          <w:rFonts w:cs="Arial" w:hint="cs"/>
          <w:sz w:val="20"/>
          <w:szCs w:val="20"/>
          <w:rtl/>
        </w:rPr>
        <w:t>מקרה</w:t>
      </w:r>
      <w:r w:rsidRPr="002572F5">
        <w:rPr>
          <w:rFonts w:cs="Arial"/>
          <w:sz w:val="20"/>
          <w:szCs w:val="20"/>
          <w:rtl/>
        </w:rPr>
        <w:t xml:space="preserve"> </w:t>
      </w:r>
      <w:r w:rsidRPr="002572F5">
        <w:rPr>
          <w:rFonts w:cs="Arial" w:hint="cs"/>
          <w:sz w:val="20"/>
          <w:szCs w:val="20"/>
          <w:rtl/>
        </w:rPr>
        <w:t>היה</w:t>
      </w:r>
      <w:r w:rsidRPr="002572F5">
        <w:rPr>
          <w:rFonts w:cs="Arial"/>
          <w:sz w:val="20"/>
          <w:szCs w:val="20"/>
          <w:rtl/>
        </w:rPr>
        <w:t xml:space="preserve">. </w:t>
      </w:r>
      <w:r w:rsidRPr="002572F5">
        <w:rPr>
          <w:rFonts w:cs="Arial" w:hint="cs"/>
          <w:sz w:val="20"/>
          <w:szCs w:val="20"/>
          <w:rtl/>
        </w:rPr>
        <w:t>ראתה</w:t>
      </w:r>
      <w:r w:rsidRPr="002572F5">
        <w:rPr>
          <w:rFonts w:cs="Arial"/>
          <w:sz w:val="20"/>
          <w:szCs w:val="20"/>
          <w:rtl/>
        </w:rPr>
        <w:t xml:space="preserve"> </w:t>
      </w:r>
      <w:r w:rsidRPr="002572F5">
        <w:rPr>
          <w:rFonts w:cs="Arial" w:hint="cs"/>
          <w:sz w:val="20"/>
          <w:szCs w:val="20"/>
          <w:rtl/>
        </w:rPr>
        <w:t>ג</w:t>
      </w:r>
      <w:r w:rsidRPr="002572F5">
        <w:rPr>
          <w:rFonts w:cs="Arial"/>
          <w:sz w:val="20"/>
          <w:szCs w:val="20"/>
          <w:rtl/>
        </w:rPr>
        <w:t xml:space="preserve">' </w:t>
      </w:r>
      <w:r w:rsidRPr="002572F5">
        <w:rPr>
          <w:rFonts w:cs="Arial" w:hint="cs"/>
          <w:sz w:val="20"/>
          <w:szCs w:val="20"/>
          <w:rtl/>
        </w:rPr>
        <w:t>ראיות</w:t>
      </w:r>
      <w:r w:rsidRPr="002572F5">
        <w:rPr>
          <w:rFonts w:cs="Arial"/>
          <w:sz w:val="20"/>
          <w:szCs w:val="20"/>
          <w:rtl/>
        </w:rPr>
        <w:t xml:space="preserve"> </w:t>
      </w:r>
      <w:r w:rsidRPr="002572F5">
        <w:rPr>
          <w:rFonts w:cs="Arial" w:hint="cs"/>
          <w:sz w:val="20"/>
          <w:szCs w:val="20"/>
          <w:rtl/>
        </w:rPr>
        <w:t>בג</w:t>
      </w:r>
      <w:r w:rsidRPr="002572F5">
        <w:rPr>
          <w:rFonts w:cs="Arial"/>
          <w:sz w:val="20"/>
          <w:szCs w:val="20"/>
          <w:rtl/>
        </w:rPr>
        <w:t xml:space="preserve">' </w:t>
      </w:r>
      <w:r w:rsidRPr="002572F5">
        <w:rPr>
          <w:rFonts w:cs="Arial" w:hint="cs"/>
          <w:sz w:val="20"/>
          <w:szCs w:val="20"/>
          <w:rtl/>
        </w:rPr>
        <w:t>עונות</w:t>
      </w:r>
      <w:r w:rsidRPr="002572F5">
        <w:rPr>
          <w:rFonts w:cs="Arial"/>
          <w:sz w:val="20"/>
          <w:szCs w:val="20"/>
          <w:rtl/>
        </w:rPr>
        <w:t xml:space="preserve"> </w:t>
      </w:r>
      <w:r w:rsidRPr="002572F5">
        <w:rPr>
          <w:rFonts w:cs="Arial" w:hint="cs"/>
          <w:sz w:val="20"/>
          <w:szCs w:val="20"/>
          <w:rtl/>
        </w:rPr>
        <w:t>מכוונות</w:t>
      </w:r>
      <w:r w:rsidRPr="002572F5">
        <w:rPr>
          <w:rFonts w:cs="Arial"/>
          <w:sz w:val="20"/>
          <w:szCs w:val="20"/>
          <w:rtl/>
        </w:rPr>
        <w:t xml:space="preserve"> </w:t>
      </w:r>
      <w:r w:rsidRPr="002572F5">
        <w:rPr>
          <w:rFonts w:cs="Arial" w:hint="cs"/>
          <w:sz w:val="20"/>
          <w:szCs w:val="20"/>
          <w:rtl/>
        </w:rPr>
        <w:t>שלא</w:t>
      </w:r>
      <w:r w:rsidRPr="002572F5">
        <w:rPr>
          <w:rFonts w:cs="Arial"/>
          <w:sz w:val="20"/>
          <w:szCs w:val="20"/>
          <w:rtl/>
        </w:rPr>
        <w:t xml:space="preserve"> </w:t>
      </w:r>
      <w:r w:rsidRPr="002572F5">
        <w:rPr>
          <w:rFonts w:cs="Arial" w:hint="cs"/>
          <w:sz w:val="20"/>
          <w:szCs w:val="20"/>
          <w:rtl/>
        </w:rPr>
        <w:t>פיחתה</w:t>
      </w:r>
      <w:r w:rsidRPr="002572F5">
        <w:rPr>
          <w:rFonts w:cs="Arial"/>
          <w:sz w:val="20"/>
          <w:szCs w:val="20"/>
          <w:rtl/>
        </w:rPr>
        <w:t xml:space="preserve"> </w:t>
      </w:r>
      <w:r w:rsidRPr="002572F5">
        <w:rPr>
          <w:rFonts w:cs="Arial" w:hint="cs"/>
          <w:sz w:val="20"/>
          <w:szCs w:val="20"/>
          <w:rtl/>
        </w:rPr>
        <w:t>ולא</w:t>
      </w:r>
      <w:r w:rsidRPr="002572F5">
        <w:rPr>
          <w:rFonts w:cs="Arial"/>
          <w:sz w:val="20"/>
          <w:szCs w:val="20"/>
          <w:rtl/>
        </w:rPr>
        <w:t xml:space="preserve"> </w:t>
      </w:r>
      <w:r w:rsidRPr="002572F5">
        <w:rPr>
          <w:rFonts w:cs="Arial" w:hint="cs"/>
          <w:sz w:val="20"/>
          <w:szCs w:val="20"/>
          <w:rtl/>
        </w:rPr>
        <w:t>הותירה</w:t>
      </w:r>
      <w:r w:rsidRPr="002572F5">
        <w:rPr>
          <w:rFonts w:cs="Arial"/>
          <w:sz w:val="20"/>
          <w:szCs w:val="20"/>
          <w:rtl/>
        </w:rPr>
        <w:t xml:space="preserve">, </w:t>
      </w:r>
      <w:r w:rsidRPr="002572F5">
        <w:rPr>
          <w:rFonts w:cs="Arial" w:hint="cs"/>
          <w:sz w:val="20"/>
          <w:szCs w:val="20"/>
          <w:rtl/>
        </w:rPr>
        <w:t>נתגלה</w:t>
      </w:r>
      <w:r w:rsidRPr="002572F5">
        <w:rPr>
          <w:rFonts w:cs="Arial"/>
          <w:sz w:val="20"/>
          <w:szCs w:val="20"/>
          <w:rtl/>
        </w:rPr>
        <w:t xml:space="preserve"> </w:t>
      </w:r>
      <w:r w:rsidRPr="002572F5">
        <w:rPr>
          <w:rFonts w:cs="Arial" w:hint="cs"/>
          <w:sz w:val="20"/>
          <w:szCs w:val="20"/>
          <w:rtl/>
        </w:rPr>
        <w:t>שדילוג</w:t>
      </w:r>
      <w:r w:rsidRPr="002572F5">
        <w:rPr>
          <w:rFonts w:cs="Arial"/>
          <w:sz w:val="20"/>
          <w:szCs w:val="20"/>
          <w:rtl/>
        </w:rPr>
        <w:t xml:space="preserve"> </w:t>
      </w:r>
      <w:r w:rsidRPr="002572F5">
        <w:rPr>
          <w:rFonts w:cs="Arial" w:hint="cs"/>
          <w:sz w:val="20"/>
          <w:szCs w:val="20"/>
          <w:rtl/>
        </w:rPr>
        <w:t>הראשון</w:t>
      </w:r>
      <w:r w:rsidRPr="002572F5">
        <w:rPr>
          <w:rFonts w:cs="Arial"/>
          <w:sz w:val="20"/>
          <w:szCs w:val="20"/>
          <w:rtl/>
        </w:rPr>
        <w:t xml:space="preserve"> </w:t>
      </w:r>
      <w:r w:rsidRPr="002572F5">
        <w:rPr>
          <w:rFonts w:cs="Arial" w:hint="cs"/>
          <w:sz w:val="20"/>
          <w:szCs w:val="20"/>
          <w:rtl/>
        </w:rPr>
        <w:t>אינו</w:t>
      </w:r>
      <w:r w:rsidRPr="002572F5">
        <w:rPr>
          <w:rFonts w:cs="Arial"/>
          <w:sz w:val="20"/>
          <w:szCs w:val="20"/>
          <w:rtl/>
        </w:rPr>
        <w:t xml:space="preserve"> </w:t>
      </w:r>
      <w:r w:rsidRPr="002572F5">
        <w:rPr>
          <w:rFonts w:cs="Arial" w:hint="cs"/>
          <w:sz w:val="20"/>
          <w:szCs w:val="20"/>
          <w:rtl/>
        </w:rPr>
        <w:t>סילוק</w:t>
      </w:r>
      <w:r w:rsidRPr="002572F5">
        <w:rPr>
          <w:rFonts w:cs="Arial"/>
          <w:sz w:val="20"/>
          <w:szCs w:val="20"/>
          <w:rtl/>
        </w:rPr>
        <w:t xml:space="preserve"> </w:t>
      </w:r>
      <w:r w:rsidRPr="002572F5">
        <w:rPr>
          <w:rFonts w:cs="Arial" w:hint="cs"/>
          <w:sz w:val="20"/>
          <w:szCs w:val="20"/>
          <w:rtl/>
        </w:rPr>
        <w:t>דמים</w:t>
      </w:r>
      <w:r w:rsidRPr="002572F5">
        <w:rPr>
          <w:rFonts w:cs="Arial"/>
          <w:sz w:val="20"/>
          <w:szCs w:val="20"/>
          <w:rtl/>
        </w:rPr>
        <w:t xml:space="preserve">, </w:t>
      </w:r>
      <w:r w:rsidRPr="002572F5">
        <w:rPr>
          <w:rFonts w:cs="Arial" w:hint="cs"/>
          <w:sz w:val="20"/>
          <w:szCs w:val="20"/>
          <w:rtl/>
        </w:rPr>
        <w:t>אלא</w:t>
      </w:r>
      <w:r w:rsidRPr="002572F5">
        <w:rPr>
          <w:rFonts w:cs="Arial"/>
          <w:sz w:val="20"/>
          <w:szCs w:val="20"/>
          <w:rtl/>
        </w:rPr>
        <w:t xml:space="preserve"> </w:t>
      </w:r>
      <w:r w:rsidRPr="002572F5">
        <w:rPr>
          <w:rFonts w:cs="Arial" w:hint="cs"/>
          <w:sz w:val="20"/>
          <w:szCs w:val="20"/>
          <w:rtl/>
        </w:rPr>
        <w:t>שינוי</w:t>
      </w:r>
      <w:r w:rsidRPr="002572F5">
        <w:rPr>
          <w:rFonts w:cs="Arial"/>
          <w:sz w:val="20"/>
          <w:szCs w:val="20"/>
          <w:rtl/>
        </w:rPr>
        <w:t xml:space="preserve"> </w:t>
      </w:r>
      <w:r w:rsidRPr="002572F5">
        <w:rPr>
          <w:rFonts w:cs="Arial" w:hint="cs"/>
          <w:sz w:val="20"/>
          <w:szCs w:val="20"/>
          <w:rtl/>
        </w:rPr>
        <w:t>ו</w:t>
      </w:r>
      <w:r>
        <w:rPr>
          <w:rFonts w:cs="Arial" w:hint="cs"/>
          <w:sz w:val="20"/>
          <w:szCs w:val="20"/>
          <w:rtl/>
        </w:rPr>
        <w:t>ו</w:t>
      </w:r>
      <w:r w:rsidRPr="002572F5">
        <w:rPr>
          <w:rFonts w:cs="Arial" w:hint="cs"/>
          <w:sz w:val="20"/>
          <w:szCs w:val="20"/>
          <w:rtl/>
        </w:rPr>
        <w:t>סת</w:t>
      </w:r>
      <w:r w:rsidRPr="002572F5">
        <w:rPr>
          <w:rFonts w:cs="Arial"/>
          <w:sz w:val="20"/>
          <w:szCs w:val="20"/>
          <w:rtl/>
        </w:rPr>
        <w:t xml:space="preserve">. </w:t>
      </w:r>
      <w:r w:rsidRPr="002572F5">
        <w:rPr>
          <w:rFonts w:cs="Arial" w:hint="cs"/>
          <w:sz w:val="20"/>
          <w:szCs w:val="20"/>
          <w:rtl/>
        </w:rPr>
        <w:t>לפיכך</w:t>
      </w:r>
      <w:r w:rsidRPr="002572F5">
        <w:rPr>
          <w:rFonts w:cs="Arial"/>
          <w:sz w:val="20"/>
          <w:szCs w:val="20"/>
          <w:rtl/>
        </w:rPr>
        <w:t xml:space="preserve">, </w:t>
      </w:r>
      <w:r w:rsidRPr="002572F5">
        <w:rPr>
          <w:rFonts w:cs="Arial" w:hint="cs"/>
          <w:sz w:val="20"/>
          <w:szCs w:val="20"/>
          <w:rtl/>
        </w:rPr>
        <w:t>ראייה</w:t>
      </w:r>
      <w:r w:rsidRPr="002572F5">
        <w:rPr>
          <w:rFonts w:cs="Arial"/>
          <w:sz w:val="20"/>
          <w:szCs w:val="20"/>
          <w:rtl/>
        </w:rPr>
        <w:t xml:space="preserve"> </w:t>
      </w:r>
      <w:r w:rsidRPr="002572F5">
        <w:rPr>
          <w:rFonts w:cs="Arial" w:hint="cs"/>
          <w:sz w:val="20"/>
          <w:szCs w:val="20"/>
          <w:rtl/>
        </w:rPr>
        <w:t>ראשונה</w:t>
      </w:r>
      <w:r w:rsidRPr="002572F5">
        <w:rPr>
          <w:rFonts w:cs="Arial"/>
          <w:sz w:val="20"/>
          <w:szCs w:val="20"/>
          <w:rtl/>
        </w:rPr>
        <w:t xml:space="preserve"> </w:t>
      </w:r>
      <w:r w:rsidRPr="002572F5">
        <w:rPr>
          <w:rFonts w:cs="Arial" w:hint="cs"/>
          <w:sz w:val="20"/>
          <w:szCs w:val="20"/>
          <w:rtl/>
        </w:rPr>
        <w:t>שממנה</w:t>
      </w:r>
      <w:r w:rsidRPr="002572F5">
        <w:rPr>
          <w:rFonts w:cs="Arial"/>
          <w:sz w:val="20"/>
          <w:szCs w:val="20"/>
          <w:rtl/>
        </w:rPr>
        <w:t xml:space="preserve"> </w:t>
      </w:r>
      <w:r w:rsidRPr="002572F5">
        <w:rPr>
          <w:rFonts w:cs="Arial" w:hint="cs"/>
          <w:sz w:val="20"/>
          <w:szCs w:val="20"/>
          <w:rtl/>
        </w:rPr>
        <w:t>התחילה</w:t>
      </w:r>
      <w:r w:rsidRPr="002572F5">
        <w:rPr>
          <w:rFonts w:cs="Arial"/>
          <w:sz w:val="20"/>
          <w:szCs w:val="20"/>
          <w:rtl/>
        </w:rPr>
        <w:t xml:space="preserve"> </w:t>
      </w:r>
      <w:r w:rsidRPr="002572F5">
        <w:rPr>
          <w:rFonts w:cs="Arial"/>
          <w:sz w:val="18"/>
          <w:szCs w:val="18"/>
          <w:rtl/>
        </w:rPr>
        <w:t>(</w:t>
      </w:r>
      <w:r w:rsidRPr="002572F5">
        <w:rPr>
          <w:rFonts w:cs="Arial" w:hint="cs"/>
          <w:sz w:val="18"/>
          <w:szCs w:val="18"/>
          <w:rtl/>
        </w:rPr>
        <w:t>לדלג</w:t>
      </w:r>
      <w:r w:rsidRPr="002572F5">
        <w:rPr>
          <w:rFonts w:cs="Arial"/>
          <w:sz w:val="18"/>
          <w:szCs w:val="18"/>
          <w:rtl/>
        </w:rPr>
        <w:t xml:space="preserve">) </w:t>
      </w:r>
      <w:r w:rsidRPr="002572F5">
        <w:rPr>
          <w:rFonts w:cs="Arial" w:hint="cs"/>
          <w:sz w:val="20"/>
          <w:szCs w:val="20"/>
          <w:rtl/>
        </w:rPr>
        <w:t>מצטרפת</w:t>
      </w:r>
      <w:r w:rsidRPr="002572F5">
        <w:rPr>
          <w:rFonts w:cs="Arial"/>
          <w:sz w:val="20"/>
          <w:szCs w:val="20"/>
          <w:rtl/>
        </w:rPr>
        <w:t xml:space="preserve"> </w:t>
      </w:r>
      <w:r w:rsidRPr="002572F5">
        <w:rPr>
          <w:rFonts w:cs="Arial" w:hint="cs"/>
          <w:sz w:val="20"/>
          <w:szCs w:val="20"/>
          <w:rtl/>
        </w:rPr>
        <w:t>לג</w:t>
      </w:r>
      <w:r w:rsidRPr="002572F5">
        <w:rPr>
          <w:rFonts w:cs="Arial"/>
          <w:sz w:val="20"/>
          <w:szCs w:val="20"/>
          <w:rtl/>
        </w:rPr>
        <w:t xml:space="preserve">' </w:t>
      </w:r>
      <w:r w:rsidRPr="002572F5">
        <w:rPr>
          <w:rFonts w:cs="Arial" w:hint="cs"/>
          <w:sz w:val="20"/>
          <w:szCs w:val="20"/>
          <w:rtl/>
        </w:rPr>
        <w:t>ראיות</w:t>
      </w:r>
      <w:r w:rsidRPr="002572F5">
        <w:rPr>
          <w:rFonts w:cs="Arial"/>
          <w:sz w:val="20"/>
          <w:szCs w:val="20"/>
          <w:rtl/>
        </w:rPr>
        <w:t xml:space="preserve"> </w:t>
      </w:r>
      <w:r w:rsidRPr="002572F5">
        <w:rPr>
          <w:rFonts w:cs="Arial" w:hint="cs"/>
          <w:sz w:val="20"/>
          <w:szCs w:val="20"/>
          <w:rtl/>
        </w:rPr>
        <w:t>אחרונות</w:t>
      </w:r>
      <w:r w:rsidRPr="002572F5">
        <w:rPr>
          <w:rFonts w:cs="Arial"/>
          <w:sz w:val="20"/>
          <w:szCs w:val="20"/>
          <w:rtl/>
        </w:rPr>
        <w:t xml:space="preserve">, </w:t>
      </w:r>
      <w:r w:rsidRPr="002572F5">
        <w:rPr>
          <w:rFonts w:cs="Arial" w:hint="cs"/>
          <w:sz w:val="20"/>
          <w:szCs w:val="20"/>
          <w:rtl/>
        </w:rPr>
        <w:t>ונמצאו</w:t>
      </w:r>
      <w:r w:rsidRPr="002572F5">
        <w:rPr>
          <w:rFonts w:cs="Arial"/>
          <w:sz w:val="20"/>
          <w:szCs w:val="20"/>
          <w:rtl/>
        </w:rPr>
        <w:t xml:space="preserve"> </w:t>
      </w:r>
      <w:r w:rsidRPr="002572F5">
        <w:rPr>
          <w:rFonts w:cs="Arial" w:hint="cs"/>
          <w:sz w:val="20"/>
          <w:szCs w:val="20"/>
          <w:rtl/>
        </w:rPr>
        <w:t>ד</w:t>
      </w:r>
      <w:r w:rsidRPr="002572F5">
        <w:rPr>
          <w:rFonts w:cs="Arial"/>
          <w:sz w:val="20"/>
          <w:szCs w:val="20"/>
          <w:rtl/>
        </w:rPr>
        <w:t xml:space="preserve">' </w:t>
      </w:r>
      <w:r w:rsidRPr="002572F5">
        <w:rPr>
          <w:rFonts w:cs="Arial" w:hint="cs"/>
          <w:sz w:val="20"/>
          <w:szCs w:val="20"/>
          <w:rtl/>
        </w:rPr>
        <w:t>ראיות</w:t>
      </w:r>
      <w:r w:rsidRPr="002572F5">
        <w:rPr>
          <w:rFonts w:cs="Arial"/>
          <w:sz w:val="20"/>
          <w:szCs w:val="20"/>
          <w:rtl/>
        </w:rPr>
        <w:t xml:space="preserve"> </w:t>
      </w:r>
      <w:r w:rsidRPr="002572F5">
        <w:rPr>
          <w:rFonts w:cs="Arial" w:hint="cs"/>
          <w:sz w:val="20"/>
          <w:szCs w:val="20"/>
          <w:rtl/>
        </w:rPr>
        <w:t>וג</w:t>
      </w:r>
      <w:r w:rsidRPr="002572F5">
        <w:rPr>
          <w:rFonts w:cs="Arial"/>
          <w:sz w:val="20"/>
          <w:szCs w:val="20"/>
          <w:rtl/>
        </w:rPr>
        <w:t xml:space="preserve">' </w:t>
      </w:r>
      <w:r w:rsidRPr="002572F5">
        <w:rPr>
          <w:rFonts w:cs="Arial" w:hint="cs"/>
          <w:sz w:val="20"/>
          <w:szCs w:val="20"/>
          <w:rtl/>
        </w:rPr>
        <w:t>הפלגות</w:t>
      </w:r>
      <w:r w:rsidRPr="002572F5">
        <w:rPr>
          <w:rFonts w:cs="Arial"/>
          <w:sz w:val="20"/>
          <w:szCs w:val="20"/>
          <w:rtl/>
        </w:rPr>
        <w:t xml:space="preserve"> </w:t>
      </w:r>
      <w:r>
        <w:rPr>
          <w:rFonts w:cs="Arial" w:hint="cs"/>
          <w:sz w:val="20"/>
          <w:szCs w:val="20"/>
          <w:rtl/>
        </w:rPr>
        <w:t>ביניהן</w:t>
      </w:r>
      <w:r w:rsidRPr="002572F5">
        <w:rPr>
          <w:rFonts w:cs="Arial"/>
          <w:sz w:val="20"/>
          <w:szCs w:val="20"/>
          <w:rtl/>
        </w:rPr>
        <w:t xml:space="preserve"> </w:t>
      </w:r>
      <w:r w:rsidRPr="002572F5">
        <w:rPr>
          <w:rFonts w:cs="Arial" w:hint="cs"/>
          <w:sz w:val="20"/>
          <w:szCs w:val="20"/>
          <w:rtl/>
        </w:rPr>
        <w:t>מצ</w:t>
      </w:r>
      <w:r w:rsidRPr="002572F5">
        <w:rPr>
          <w:rFonts w:cs="Arial"/>
          <w:sz w:val="20"/>
          <w:szCs w:val="20"/>
          <w:rtl/>
        </w:rPr>
        <w:t xml:space="preserve">' </w:t>
      </w:r>
      <w:r w:rsidRPr="002572F5">
        <w:rPr>
          <w:rFonts w:cs="Arial" w:hint="cs"/>
          <w:sz w:val="20"/>
          <w:szCs w:val="20"/>
          <w:rtl/>
        </w:rPr>
        <w:t>לצ</w:t>
      </w:r>
      <w:r w:rsidRPr="002572F5">
        <w:rPr>
          <w:rFonts w:cs="Arial"/>
          <w:sz w:val="20"/>
          <w:szCs w:val="20"/>
          <w:rtl/>
        </w:rPr>
        <w:t xml:space="preserve">'. </w:t>
      </w:r>
      <w:r w:rsidRPr="002572F5">
        <w:rPr>
          <w:rFonts w:cs="Arial" w:hint="cs"/>
          <w:sz w:val="20"/>
          <w:szCs w:val="20"/>
          <w:rtl/>
        </w:rPr>
        <w:t>אבל</w:t>
      </w:r>
      <w:r w:rsidRPr="002572F5">
        <w:rPr>
          <w:rFonts w:cs="Arial"/>
          <w:sz w:val="20"/>
          <w:szCs w:val="20"/>
          <w:rtl/>
        </w:rPr>
        <w:t xml:space="preserve"> </w:t>
      </w:r>
      <w:r w:rsidRPr="002572F5">
        <w:rPr>
          <w:rFonts w:cs="Arial" w:hint="cs"/>
          <w:sz w:val="20"/>
          <w:szCs w:val="20"/>
          <w:rtl/>
        </w:rPr>
        <w:t>אם</w:t>
      </w:r>
      <w:r w:rsidRPr="002572F5">
        <w:rPr>
          <w:rFonts w:cs="Arial"/>
          <w:sz w:val="20"/>
          <w:szCs w:val="20"/>
          <w:rtl/>
        </w:rPr>
        <w:t xml:space="preserve"> </w:t>
      </w:r>
      <w:r w:rsidRPr="002572F5">
        <w:rPr>
          <w:rFonts w:cs="Arial" w:hint="cs"/>
          <w:sz w:val="20"/>
          <w:szCs w:val="20"/>
          <w:rtl/>
        </w:rPr>
        <w:t>פיחתה</w:t>
      </w:r>
      <w:r w:rsidRPr="002572F5">
        <w:rPr>
          <w:rFonts w:cs="Arial"/>
          <w:sz w:val="20"/>
          <w:szCs w:val="20"/>
          <w:rtl/>
        </w:rPr>
        <w:t xml:space="preserve"> </w:t>
      </w:r>
      <w:r w:rsidRPr="002572F5">
        <w:rPr>
          <w:rFonts w:cs="Arial" w:hint="cs"/>
          <w:sz w:val="20"/>
          <w:szCs w:val="20"/>
          <w:rtl/>
        </w:rPr>
        <w:t>או</w:t>
      </w:r>
      <w:r w:rsidRPr="002572F5">
        <w:rPr>
          <w:rFonts w:cs="Arial"/>
          <w:sz w:val="20"/>
          <w:szCs w:val="20"/>
          <w:rtl/>
        </w:rPr>
        <w:t xml:space="preserve"> </w:t>
      </w:r>
      <w:r w:rsidRPr="002572F5">
        <w:rPr>
          <w:rFonts w:cs="Arial" w:hint="cs"/>
          <w:sz w:val="20"/>
          <w:szCs w:val="20"/>
          <w:rtl/>
        </w:rPr>
        <w:t>הותירה</w:t>
      </w:r>
      <w:r w:rsidRPr="002572F5">
        <w:rPr>
          <w:rFonts w:cs="Arial"/>
          <w:sz w:val="20"/>
          <w:szCs w:val="20"/>
          <w:rtl/>
        </w:rPr>
        <w:t xml:space="preserve">, </w:t>
      </w:r>
      <w:r w:rsidRPr="002572F5">
        <w:rPr>
          <w:rFonts w:cs="Arial" w:hint="cs"/>
          <w:sz w:val="20"/>
          <w:szCs w:val="20"/>
          <w:rtl/>
        </w:rPr>
        <w:t>שלא</w:t>
      </w:r>
      <w:r w:rsidRPr="002572F5">
        <w:rPr>
          <w:rFonts w:cs="Arial"/>
          <w:sz w:val="20"/>
          <w:szCs w:val="20"/>
          <w:rtl/>
        </w:rPr>
        <w:t xml:space="preserve"> </w:t>
      </w:r>
      <w:r w:rsidRPr="002572F5">
        <w:rPr>
          <w:rFonts w:cs="Arial" w:hint="cs"/>
          <w:sz w:val="20"/>
          <w:szCs w:val="20"/>
          <w:rtl/>
        </w:rPr>
        <w:t>היו</w:t>
      </w:r>
      <w:r w:rsidRPr="002572F5">
        <w:rPr>
          <w:rFonts w:cs="Arial"/>
          <w:sz w:val="20"/>
          <w:szCs w:val="20"/>
          <w:rtl/>
        </w:rPr>
        <w:t xml:space="preserve"> </w:t>
      </w:r>
      <w:r w:rsidRPr="002572F5">
        <w:rPr>
          <w:rFonts w:cs="Arial" w:hint="cs"/>
          <w:sz w:val="20"/>
          <w:szCs w:val="20"/>
          <w:rtl/>
        </w:rPr>
        <w:t>הראיות</w:t>
      </w:r>
      <w:r w:rsidRPr="002572F5">
        <w:rPr>
          <w:rFonts w:cs="Arial"/>
          <w:sz w:val="20"/>
          <w:szCs w:val="20"/>
          <w:rtl/>
        </w:rPr>
        <w:t xml:space="preserve"> </w:t>
      </w:r>
      <w:r w:rsidRPr="002572F5">
        <w:rPr>
          <w:rFonts w:cs="Arial" w:hint="cs"/>
          <w:sz w:val="20"/>
          <w:szCs w:val="20"/>
          <w:rtl/>
        </w:rPr>
        <w:t>מכוונות</w:t>
      </w:r>
      <w:r w:rsidRPr="002572F5">
        <w:rPr>
          <w:rFonts w:cs="Arial"/>
          <w:sz w:val="20"/>
          <w:szCs w:val="20"/>
          <w:rtl/>
        </w:rPr>
        <w:t xml:space="preserve">, </w:t>
      </w:r>
      <w:r w:rsidRPr="002572F5">
        <w:rPr>
          <w:rFonts w:cs="Arial" w:hint="cs"/>
          <w:sz w:val="20"/>
          <w:szCs w:val="20"/>
          <w:rtl/>
        </w:rPr>
        <w:t>אז</w:t>
      </w:r>
      <w:r w:rsidRPr="002572F5">
        <w:rPr>
          <w:rFonts w:cs="Arial"/>
          <w:sz w:val="20"/>
          <w:szCs w:val="20"/>
          <w:rtl/>
        </w:rPr>
        <w:t xml:space="preserve"> </w:t>
      </w:r>
      <w:r w:rsidRPr="002572F5">
        <w:rPr>
          <w:rFonts w:cs="Arial" w:hint="cs"/>
          <w:sz w:val="20"/>
          <w:szCs w:val="20"/>
          <w:rtl/>
        </w:rPr>
        <w:t>אי</w:t>
      </w:r>
      <w:r w:rsidRPr="002572F5">
        <w:rPr>
          <w:rFonts w:cs="Arial"/>
          <w:sz w:val="20"/>
          <w:szCs w:val="20"/>
          <w:rtl/>
        </w:rPr>
        <w:t xml:space="preserve"> </w:t>
      </w:r>
      <w:r w:rsidRPr="002572F5">
        <w:rPr>
          <w:rFonts w:cs="Arial" w:hint="cs"/>
          <w:sz w:val="20"/>
          <w:szCs w:val="20"/>
          <w:rtl/>
        </w:rPr>
        <w:t>אפשר</w:t>
      </w:r>
      <w:r w:rsidRPr="002572F5">
        <w:rPr>
          <w:rFonts w:cs="Arial"/>
          <w:sz w:val="20"/>
          <w:szCs w:val="20"/>
          <w:rtl/>
        </w:rPr>
        <w:t xml:space="preserve"> </w:t>
      </w:r>
      <w:r w:rsidRPr="002572F5">
        <w:rPr>
          <w:rFonts w:cs="Arial" w:hint="cs"/>
          <w:sz w:val="20"/>
          <w:szCs w:val="20"/>
          <w:rtl/>
        </w:rPr>
        <w:t>לראשונות</w:t>
      </w:r>
      <w:r w:rsidRPr="002572F5">
        <w:rPr>
          <w:rFonts w:cs="Arial"/>
          <w:sz w:val="20"/>
          <w:szCs w:val="20"/>
          <w:rtl/>
        </w:rPr>
        <w:t xml:space="preserve"> </w:t>
      </w:r>
      <w:r w:rsidRPr="002572F5">
        <w:rPr>
          <w:rFonts w:cs="Arial" w:hint="cs"/>
          <w:sz w:val="20"/>
          <w:szCs w:val="20"/>
          <w:rtl/>
        </w:rPr>
        <w:t>להצטרף</w:t>
      </w:r>
      <w:r w:rsidRPr="002572F5">
        <w:rPr>
          <w:rFonts w:cs="Arial"/>
          <w:sz w:val="20"/>
          <w:szCs w:val="20"/>
          <w:rtl/>
        </w:rPr>
        <w:t xml:space="preserve">, </w:t>
      </w:r>
      <w:r w:rsidRPr="002572F5">
        <w:rPr>
          <w:rFonts w:cs="Arial" w:hint="cs"/>
          <w:sz w:val="20"/>
          <w:szCs w:val="20"/>
          <w:rtl/>
        </w:rPr>
        <w:t>ועד</w:t>
      </w:r>
      <w:r w:rsidRPr="002572F5">
        <w:rPr>
          <w:rFonts w:cs="Arial"/>
          <w:sz w:val="20"/>
          <w:szCs w:val="20"/>
          <w:rtl/>
        </w:rPr>
        <w:t xml:space="preserve"> </w:t>
      </w:r>
      <w:r w:rsidRPr="002572F5">
        <w:rPr>
          <w:rFonts w:cs="Arial" w:hint="cs"/>
          <w:sz w:val="20"/>
          <w:szCs w:val="20"/>
          <w:rtl/>
        </w:rPr>
        <w:t>שתראה</w:t>
      </w:r>
      <w:r w:rsidRPr="002572F5">
        <w:rPr>
          <w:rFonts w:cs="Arial"/>
          <w:sz w:val="20"/>
          <w:szCs w:val="20"/>
          <w:rtl/>
        </w:rPr>
        <w:t xml:space="preserve"> </w:t>
      </w:r>
      <w:r w:rsidRPr="002572F5">
        <w:rPr>
          <w:rFonts w:cs="Arial" w:hint="cs"/>
          <w:sz w:val="20"/>
          <w:szCs w:val="20"/>
          <w:rtl/>
        </w:rPr>
        <w:t>ד</w:t>
      </w:r>
      <w:r w:rsidRPr="002572F5">
        <w:rPr>
          <w:rFonts w:cs="Arial"/>
          <w:sz w:val="20"/>
          <w:szCs w:val="20"/>
          <w:rtl/>
        </w:rPr>
        <w:t xml:space="preserve">' </w:t>
      </w:r>
      <w:r w:rsidRPr="002572F5">
        <w:rPr>
          <w:rFonts w:cs="Arial" w:hint="cs"/>
          <w:sz w:val="20"/>
          <w:szCs w:val="20"/>
          <w:rtl/>
        </w:rPr>
        <w:t>ראיות</w:t>
      </w:r>
      <w:r w:rsidRPr="002572F5">
        <w:rPr>
          <w:rFonts w:cs="Arial"/>
          <w:sz w:val="20"/>
          <w:szCs w:val="20"/>
          <w:rtl/>
        </w:rPr>
        <w:t xml:space="preserve"> </w:t>
      </w:r>
      <w:r w:rsidRPr="002572F5">
        <w:rPr>
          <w:rFonts w:cs="Arial" w:hint="cs"/>
          <w:sz w:val="20"/>
          <w:szCs w:val="20"/>
          <w:rtl/>
        </w:rPr>
        <w:t>מכוונות</w:t>
      </w:r>
      <w:r w:rsidRPr="002572F5">
        <w:rPr>
          <w:rFonts w:cs="Arial"/>
          <w:sz w:val="20"/>
          <w:szCs w:val="20"/>
          <w:rtl/>
        </w:rPr>
        <w:t xml:space="preserve"> </w:t>
      </w:r>
      <w:r w:rsidRPr="002572F5">
        <w:rPr>
          <w:rFonts w:cs="Arial" w:hint="cs"/>
          <w:sz w:val="20"/>
          <w:szCs w:val="20"/>
          <w:rtl/>
        </w:rPr>
        <w:t>אינה</w:t>
      </w:r>
      <w:r w:rsidRPr="002572F5">
        <w:rPr>
          <w:rFonts w:cs="Arial"/>
          <w:sz w:val="20"/>
          <w:szCs w:val="20"/>
          <w:rtl/>
        </w:rPr>
        <w:t xml:space="preserve"> </w:t>
      </w:r>
      <w:r w:rsidRPr="002572F5">
        <w:rPr>
          <w:rFonts w:cs="Arial" w:hint="cs"/>
          <w:sz w:val="20"/>
          <w:szCs w:val="20"/>
          <w:rtl/>
        </w:rPr>
        <w:t>קובעת</w:t>
      </w:r>
      <w:r w:rsidRPr="002572F5">
        <w:rPr>
          <w:rFonts w:cs="Arial"/>
          <w:sz w:val="20"/>
          <w:szCs w:val="20"/>
          <w:rtl/>
        </w:rPr>
        <w:t xml:space="preserve"> </w:t>
      </w:r>
      <w:r w:rsidRPr="002572F5">
        <w:rPr>
          <w:rFonts w:cs="Arial" w:hint="cs"/>
          <w:sz w:val="20"/>
          <w:szCs w:val="20"/>
          <w:rtl/>
        </w:rPr>
        <w:t>וסת</w:t>
      </w:r>
      <w:r w:rsidRPr="002572F5">
        <w:rPr>
          <w:rFonts w:cs="Arial"/>
          <w:sz w:val="20"/>
          <w:szCs w:val="20"/>
          <w:rtl/>
        </w:rPr>
        <w:t xml:space="preserve"> </w:t>
      </w:r>
      <w:r w:rsidRPr="002572F5">
        <w:rPr>
          <w:rFonts w:cs="Arial" w:hint="cs"/>
          <w:sz w:val="20"/>
          <w:szCs w:val="20"/>
          <w:rtl/>
        </w:rPr>
        <w:t>להפלגות</w:t>
      </w:r>
      <w:r>
        <w:rPr>
          <w:rFonts w:cs="Arial" w:hint="cs"/>
          <w:sz w:val="20"/>
          <w:szCs w:val="20"/>
          <w:rtl/>
        </w:rPr>
        <w:t>".</w:t>
      </w:r>
    </w:p>
    <w:p w:rsidR="00620060" w:rsidRDefault="00620060" w:rsidP="00620060">
      <w:pPr>
        <w:rPr>
          <w:sz w:val="20"/>
          <w:szCs w:val="20"/>
          <w:rtl/>
        </w:rPr>
      </w:pPr>
      <w:r w:rsidRPr="00420308">
        <w:rPr>
          <w:rFonts w:hint="cs"/>
          <w:sz w:val="20"/>
          <w:szCs w:val="20"/>
          <w:u w:val="single"/>
          <w:rtl/>
        </w:rPr>
        <w:t>סיכום אופני קביעת הווסת בתינוקת שפסקה לראות</w:t>
      </w:r>
      <w:r>
        <w:rPr>
          <w:b/>
          <w:bCs/>
          <w:sz w:val="20"/>
          <w:szCs w:val="20"/>
          <w:rtl/>
        </w:rPr>
        <w:br/>
      </w:r>
      <w:r>
        <w:rPr>
          <w:rFonts w:hint="cs"/>
          <w:b/>
          <w:bCs/>
          <w:sz w:val="20"/>
          <w:szCs w:val="20"/>
          <w:rtl/>
        </w:rPr>
        <w:t xml:space="preserve">ט"ז </w:t>
      </w:r>
      <w:r>
        <w:rPr>
          <w:sz w:val="20"/>
          <w:szCs w:val="20"/>
          <w:rtl/>
        </w:rPr>
        <w:t>–</w:t>
      </w:r>
      <w:r>
        <w:rPr>
          <w:rFonts w:hint="cs"/>
          <w:sz w:val="20"/>
          <w:szCs w:val="20"/>
          <w:rtl/>
        </w:rPr>
        <w:t xml:space="preserve"> תינוקת שראתה ופסקה לצ' יום ושוב ראתה, להלן האפשרויות לקביעת ווסתה - </w:t>
      </w:r>
      <w:r>
        <w:rPr>
          <w:sz w:val="20"/>
          <w:szCs w:val="20"/>
          <w:rtl/>
        </w:rPr>
        <w:br/>
      </w:r>
      <w:r>
        <w:rPr>
          <w:rFonts w:hint="cs"/>
          <w:sz w:val="20"/>
          <w:szCs w:val="20"/>
          <w:rtl/>
        </w:rPr>
        <w:t xml:space="preserve">א. אם תראה פעמיים נוספות בהפרש של צ' יום בין ראייה לראייה </w:t>
      </w:r>
      <w:r>
        <w:rPr>
          <w:sz w:val="20"/>
          <w:szCs w:val="20"/>
          <w:rtl/>
        </w:rPr>
        <w:t>–</w:t>
      </w:r>
      <w:r>
        <w:rPr>
          <w:rFonts w:hint="cs"/>
          <w:sz w:val="20"/>
          <w:szCs w:val="20"/>
          <w:rtl/>
        </w:rPr>
        <w:t xml:space="preserve"> קבעה ווסת להפלגת צ' יום.</w:t>
      </w:r>
      <w:r>
        <w:rPr>
          <w:sz w:val="20"/>
          <w:szCs w:val="20"/>
          <w:rtl/>
        </w:rPr>
        <w:br/>
      </w:r>
      <w:r>
        <w:rPr>
          <w:rFonts w:hint="cs"/>
          <w:sz w:val="20"/>
          <w:szCs w:val="20"/>
          <w:rtl/>
        </w:rPr>
        <w:t xml:space="preserve">ב. אם תראה עוד פעמיים באותו היום שראתה, כגון בא' לחודש </w:t>
      </w:r>
      <w:r>
        <w:rPr>
          <w:sz w:val="20"/>
          <w:szCs w:val="20"/>
          <w:rtl/>
        </w:rPr>
        <w:t>–</w:t>
      </w:r>
      <w:r>
        <w:rPr>
          <w:rFonts w:hint="cs"/>
          <w:sz w:val="20"/>
          <w:szCs w:val="20"/>
          <w:rtl/>
        </w:rPr>
        <w:t xml:space="preserve"> קבעה ווסת לא' בחודש.</w:t>
      </w:r>
      <w:r>
        <w:rPr>
          <w:sz w:val="20"/>
          <w:szCs w:val="20"/>
          <w:rtl/>
        </w:rPr>
        <w:br/>
      </w:r>
      <w:r>
        <w:rPr>
          <w:rFonts w:hint="cs"/>
          <w:sz w:val="20"/>
          <w:szCs w:val="20"/>
          <w:rtl/>
        </w:rPr>
        <w:t xml:space="preserve">ג. אם תראה מעתה עוד ג' ראיות בהפלגות שוות </w:t>
      </w:r>
      <w:r>
        <w:rPr>
          <w:sz w:val="20"/>
          <w:szCs w:val="20"/>
          <w:rtl/>
        </w:rPr>
        <w:t>–</w:t>
      </w:r>
      <w:r>
        <w:rPr>
          <w:rFonts w:hint="cs"/>
          <w:sz w:val="20"/>
          <w:szCs w:val="20"/>
          <w:rtl/>
        </w:rPr>
        <w:t xml:space="preserve"> קבעה ווסת להפלגה.</w:t>
      </w:r>
    </w:p>
    <w:p w:rsidR="00620060" w:rsidRDefault="00620060" w:rsidP="00620060">
      <w:pPr>
        <w:rPr>
          <w:sz w:val="20"/>
          <w:szCs w:val="20"/>
          <w:rtl/>
        </w:rPr>
      </w:pPr>
      <w:r>
        <w:rPr>
          <w:rFonts w:hint="cs"/>
          <w:sz w:val="20"/>
          <w:szCs w:val="20"/>
          <w:u w:val="single"/>
          <w:rtl/>
        </w:rPr>
        <w:t>ראתה ג' פעמים ולא קבעה ווסת, האם חוששת כדין ווסת שאינו קבוע?</w:t>
      </w:r>
      <w:r>
        <w:rPr>
          <w:sz w:val="20"/>
          <w:szCs w:val="20"/>
          <w:u w:val="single"/>
          <w:rtl/>
        </w:rPr>
        <w:br/>
      </w:r>
      <w:r>
        <w:rPr>
          <w:rFonts w:hint="cs"/>
          <w:sz w:val="20"/>
          <w:szCs w:val="20"/>
          <w:rtl/>
        </w:rPr>
        <w:t xml:space="preserve">א. </w:t>
      </w:r>
      <w:r w:rsidRPr="00045823">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אם ראתה ג' ראיות ולא קבעה בהן ווסת </w:t>
      </w:r>
      <w:r>
        <w:rPr>
          <w:sz w:val="20"/>
          <w:szCs w:val="20"/>
          <w:rtl/>
        </w:rPr>
        <w:t>–</w:t>
      </w:r>
      <w:r>
        <w:rPr>
          <w:rFonts w:hint="cs"/>
          <w:sz w:val="20"/>
          <w:szCs w:val="20"/>
          <w:rtl/>
        </w:rPr>
        <w:t xml:space="preserve"> חוששת כדין  אשה שווסתה אינו קבוע.</w:t>
      </w:r>
      <w:r>
        <w:rPr>
          <w:sz w:val="20"/>
          <w:szCs w:val="20"/>
          <w:rtl/>
        </w:rPr>
        <w:br/>
      </w:r>
      <w:r w:rsidRPr="00B14696">
        <w:rPr>
          <w:rFonts w:hint="cs"/>
          <w:sz w:val="18"/>
          <w:szCs w:val="18"/>
          <w:rtl/>
        </w:rPr>
        <w:t>(ואין לדמות זאת למה שנכתב לעיל שקטנה אינה חוששת אפילו לווסת שאינו קבוע, משום שהתם אינה מוחזקת בדם, אך כאן מוחזקת בדם אלא שלא קבעה ווסת).</w:t>
      </w:r>
      <w:r>
        <w:rPr>
          <w:sz w:val="20"/>
          <w:szCs w:val="20"/>
          <w:rtl/>
        </w:rPr>
        <w:br/>
      </w:r>
      <w:r>
        <w:rPr>
          <w:rFonts w:hint="cs"/>
          <w:sz w:val="20"/>
          <w:szCs w:val="20"/>
          <w:rtl/>
        </w:rPr>
        <w:t xml:space="preserve">ב. </w:t>
      </w:r>
      <w:r w:rsidRPr="0032548F">
        <w:rPr>
          <w:rFonts w:hint="cs"/>
          <w:b/>
          <w:bCs/>
          <w:sz w:val="20"/>
          <w:szCs w:val="20"/>
          <w:rtl/>
        </w:rPr>
        <w:t>נקודות הכסף</w:t>
      </w:r>
      <w:r>
        <w:rPr>
          <w:rFonts w:hint="cs"/>
          <w:sz w:val="20"/>
          <w:szCs w:val="20"/>
          <w:rtl/>
        </w:rPr>
        <w:t xml:space="preserve"> </w:t>
      </w:r>
      <w:r>
        <w:rPr>
          <w:sz w:val="20"/>
          <w:szCs w:val="20"/>
          <w:rtl/>
        </w:rPr>
        <w:t>–</w:t>
      </w:r>
      <w:r>
        <w:rPr>
          <w:rFonts w:hint="cs"/>
          <w:sz w:val="20"/>
          <w:szCs w:val="20"/>
          <w:rtl/>
        </w:rPr>
        <w:t xml:space="preserve"> תינוקת אינה חוששת לעולם לווסת שאינו קבוע, וכן משמע </w:t>
      </w:r>
      <w:r w:rsidRPr="00261F48">
        <w:rPr>
          <w:rFonts w:hint="cs"/>
          <w:b/>
          <w:bCs/>
          <w:sz w:val="20"/>
          <w:szCs w:val="20"/>
          <w:rtl/>
        </w:rPr>
        <w:t>מהרשב"א ומהמחבר</w:t>
      </w:r>
      <w:r>
        <w:rPr>
          <w:rFonts w:hint="cs"/>
          <w:sz w:val="20"/>
          <w:szCs w:val="20"/>
          <w:rtl/>
        </w:rPr>
        <w:t>.</w:t>
      </w:r>
    </w:p>
    <w:p w:rsidR="00620060" w:rsidRDefault="00620060" w:rsidP="00620060">
      <w:pPr>
        <w:rPr>
          <w:sz w:val="20"/>
          <w:szCs w:val="20"/>
          <w:rtl/>
        </w:rPr>
      </w:pPr>
      <w:r>
        <w:rPr>
          <w:rFonts w:hint="cs"/>
          <w:sz w:val="20"/>
          <w:szCs w:val="20"/>
          <w:u w:val="single"/>
          <w:rtl/>
        </w:rPr>
        <w:t>פסקה לראות ג' עונות קטנות (ש"ך)</w:t>
      </w:r>
      <w:r>
        <w:rPr>
          <w:rFonts w:hint="cs"/>
          <w:sz w:val="20"/>
          <w:szCs w:val="20"/>
          <w:u w:val="single"/>
          <w:rtl/>
        </w:rPr>
        <w:br/>
      </w:r>
      <w:r w:rsidRPr="002158B0">
        <w:rPr>
          <w:rFonts w:hint="cs"/>
          <w:b/>
          <w:bCs/>
          <w:sz w:val="20"/>
          <w:szCs w:val="20"/>
          <w:rtl/>
        </w:rPr>
        <w:t xml:space="preserve">פרישה </w:t>
      </w:r>
      <w:r>
        <w:rPr>
          <w:sz w:val="20"/>
          <w:szCs w:val="20"/>
          <w:rtl/>
        </w:rPr>
        <w:t>–</w:t>
      </w:r>
      <w:r>
        <w:rPr>
          <w:rFonts w:hint="cs"/>
          <w:sz w:val="20"/>
          <w:szCs w:val="20"/>
          <w:rtl/>
        </w:rPr>
        <w:t xml:space="preserve"> דברי המחבר שפסקה לראות צ' יום הם בדווקא. </w:t>
      </w:r>
      <w:r>
        <w:rPr>
          <w:sz w:val="20"/>
          <w:szCs w:val="20"/>
          <w:rtl/>
        </w:rPr>
        <w:br/>
      </w:r>
      <w:r>
        <w:rPr>
          <w:rFonts w:hint="cs"/>
          <w:sz w:val="20"/>
          <w:szCs w:val="20"/>
          <w:rtl/>
        </w:rPr>
        <w:t xml:space="preserve">כלומר - אם פסקה לראות ג' עונות בלבד, כגון שרגילה לראות לכ' יום וכעת ס' יום לא ראתה, דינה כשאר נשים. דין שאר נשים מבואר לעיל בסעיף טו' - חוששות לווסת שאינו קבוע, ואם חזרו לראות אפילו פעם אחת כהרגלן </w:t>
      </w:r>
      <w:r>
        <w:rPr>
          <w:sz w:val="20"/>
          <w:szCs w:val="20"/>
          <w:rtl/>
        </w:rPr>
        <w:t>–</w:t>
      </w:r>
      <w:r>
        <w:rPr>
          <w:rFonts w:hint="cs"/>
          <w:sz w:val="20"/>
          <w:szCs w:val="20"/>
          <w:rtl/>
        </w:rPr>
        <w:t xml:space="preserve"> חזרו לקביעותן הראשונה.</w:t>
      </w:r>
    </w:p>
    <w:p w:rsidR="00620060" w:rsidRDefault="00620060" w:rsidP="00620060">
      <w:pPr>
        <w:rPr>
          <w:sz w:val="20"/>
          <w:szCs w:val="20"/>
          <w:rtl/>
        </w:rPr>
      </w:pPr>
      <w:r w:rsidRPr="004D6F03">
        <w:rPr>
          <w:rFonts w:hint="cs"/>
          <w:b/>
          <w:bCs/>
          <w:sz w:val="20"/>
          <w:szCs w:val="20"/>
          <w:rtl/>
        </w:rPr>
        <w:t>סיכום</w:t>
      </w:r>
      <w:r>
        <w:rPr>
          <w:sz w:val="20"/>
          <w:szCs w:val="20"/>
          <w:rtl/>
        </w:rPr>
        <w:br/>
      </w:r>
      <w:r>
        <w:rPr>
          <w:rFonts w:hint="cs"/>
          <w:sz w:val="20"/>
          <w:szCs w:val="20"/>
          <w:rtl/>
        </w:rPr>
        <w:t xml:space="preserve">1. </w:t>
      </w:r>
      <w:r w:rsidRPr="004D6F03">
        <w:rPr>
          <w:rFonts w:hint="cs"/>
          <w:b/>
          <w:bCs/>
          <w:sz w:val="20"/>
          <w:szCs w:val="20"/>
          <w:rtl/>
        </w:rPr>
        <w:t>גמרא</w:t>
      </w:r>
      <w:r>
        <w:rPr>
          <w:rFonts w:hint="cs"/>
          <w:sz w:val="20"/>
          <w:szCs w:val="20"/>
          <w:rtl/>
        </w:rPr>
        <w:t xml:space="preserve">. תינוקת שלא הגיע זמנה לראות וראתה, ב"פ דיה שעתה. ג' </w:t>
      </w:r>
      <w:r>
        <w:rPr>
          <w:sz w:val="20"/>
          <w:szCs w:val="20"/>
          <w:rtl/>
        </w:rPr>
        <w:t>–</w:t>
      </w:r>
      <w:r>
        <w:rPr>
          <w:rFonts w:hint="cs"/>
          <w:sz w:val="20"/>
          <w:szCs w:val="20"/>
          <w:rtl/>
        </w:rPr>
        <w:t xml:space="preserve"> ככל הנשים, מטמאה מעל"ע. עברו ג' עונות וראתה </w:t>
      </w:r>
      <w:r>
        <w:rPr>
          <w:sz w:val="20"/>
          <w:szCs w:val="20"/>
          <w:rtl/>
        </w:rPr>
        <w:t>–</w:t>
      </w:r>
      <w:r>
        <w:rPr>
          <w:rFonts w:hint="cs"/>
          <w:sz w:val="20"/>
          <w:szCs w:val="20"/>
          <w:rtl/>
        </w:rPr>
        <w:t xml:space="preserve"> דיה שעתה. אך אם ראתה ג"פ לסוף ג' עונות </w:t>
      </w:r>
      <w:r>
        <w:rPr>
          <w:sz w:val="20"/>
          <w:szCs w:val="20"/>
          <w:rtl/>
        </w:rPr>
        <w:t>–</w:t>
      </w:r>
      <w:r>
        <w:rPr>
          <w:rFonts w:hint="cs"/>
          <w:sz w:val="20"/>
          <w:szCs w:val="20"/>
          <w:rtl/>
        </w:rPr>
        <w:t xml:space="preserve"> קבעה ווסת לסוף ג' עונות. </w:t>
      </w:r>
      <w:r>
        <w:rPr>
          <w:rFonts w:hint="cs"/>
          <w:sz w:val="20"/>
          <w:szCs w:val="20"/>
          <w:rtl/>
        </w:rPr>
        <w:br/>
        <w:t xml:space="preserve">2. </w:t>
      </w:r>
      <w:r w:rsidRPr="00261F48">
        <w:rPr>
          <w:rFonts w:hint="cs"/>
          <w:sz w:val="20"/>
          <w:szCs w:val="20"/>
          <w:rtl/>
        </w:rPr>
        <w:t>הגדרת תינוקת.</w:t>
      </w:r>
      <w:r>
        <w:rPr>
          <w:rFonts w:hint="cs"/>
          <w:sz w:val="20"/>
          <w:szCs w:val="20"/>
          <w:rtl/>
        </w:rPr>
        <w:t xml:space="preserve"> לא הגיעה ליב' שנים או לא הביאה סימנים.</w:t>
      </w:r>
      <w:r>
        <w:rPr>
          <w:rFonts w:hint="cs"/>
          <w:sz w:val="20"/>
          <w:szCs w:val="20"/>
          <w:rtl/>
        </w:rPr>
        <w:br/>
        <w:t xml:space="preserve">3. </w:t>
      </w:r>
      <w:r w:rsidRPr="00F77699">
        <w:rPr>
          <w:rFonts w:hint="cs"/>
          <w:b/>
          <w:bCs/>
          <w:sz w:val="20"/>
          <w:szCs w:val="20"/>
          <w:rtl/>
        </w:rPr>
        <w:t>רש"י</w:t>
      </w:r>
      <w:r>
        <w:rPr>
          <w:rFonts w:hint="cs"/>
          <w:sz w:val="20"/>
          <w:szCs w:val="20"/>
          <w:rtl/>
        </w:rPr>
        <w:t xml:space="preserve">. אין הלכה כברייתא זו השנויה כדעת רבי. </w:t>
      </w:r>
      <w:r w:rsidRPr="00F77699">
        <w:rPr>
          <w:rFonts w:hint="cs"/>
          <w:b/>
          <w:bCs/>
          <w:sz w:val="20"/>
          <w:szCs w:val="20"/>
          <w:rtl/>
        </w:rPr>
        <w:t>רשב"א</w:t>
      </w:r>
      <w:r>
        <w:rPr>
          <w:rFonts w:hint="cs"/>
          <w:sz w:val="20"/>
          <w:szCs w:val="20"/>
          <w:rtl/>
        </w:rPr>
        <w:t>. ברייתא זו אליבא דכו"ע וכוותה קיי"ל.</w:t>
      </w:r>
      <w:r>
        <w:rPr>
          <w:rFonts w:hint="cs"/>
          <w:sz w:val="20"/>
          <w:szCs w:val="20"/>
          <w:rtl/>
        </w:rPr>
        <w:br/>
        <w:t xml:space="preserve">4. </w:t>
      </w:r>
      <w:r w:rsidRPr="00F77699">
        <w:rPr>
          <w:rFonts w:hint="cs"/>
          <w:b/>
          <w:bCs/>
          <w:sz w:val="20"/>
          <w:szCs w:val="20"/>
          <w:rtl/>
        </w:rPr>
        <w:t>רשב"א</w:t>
      </w:r>
      <w:r>
        <w:rPr>
          <w:rFonts w:hint="cs"/>
          <w:sz w:val="20"/>
          <w:szCs w:val="20"/>
          <w:rtl/>
        </w:rPr>
        <w:t xml:space="preserve">. תינוקת שקבעה ווסת בג"פ והפסיקה לצ' יום וחזרה וראתה אפילו כהרגלה הראשון </w:t>
      </w:r>
      <w:r>
        <w:rPr>
          <w:sz w:val="20"/>
          <w:szCs w:val="20"/>
          <w:rtl/>
        </w:rPr>
        <w:t>–</w:t>
      </w:r>
      <w:r>
        <w:rPr>
          <w:rFonts w:hint="cs"/>
          <w:sz w:val="20"/>
          <w:szCs w:val="20"/>
          <w:rtl/>
        </w:rPr>
        <w:t xml:space="preserve"> אינה חוששת לווסתה. </w:t>
      </w:r>
      <w:r w:rsidRPr="00F77699">
        <w:rPr>
          <w:rFonts w:hint="cs"/>
          <w:b/>
          <w:bCs/>
          <w:sz w:val="20"/>
          <w:szCs w:val="20"/>
          <w:rtl/>
        </w:rPr>
        <w:t>טעם</w:t>
      </w:r>
      <w:r>
        <w:rPr>
          <w:rFonts w:hint="cs"/>
          <w:sz w:val="20"/>
          <w:szCs w:val="20"/>
          <w:rtl/>
        </w:rPr>
        <w:t>. התגלה שראיותיה הקודמות היו במקרה, ודינה שונה משאר הנשים המסולקות דמים שחוזרות לחוש לווסתן לאחר שראו פעם אחת כהרגלן.</w:t>
      </w:r>
      <w:r>
        <w:rPr>
          <w:sz w:val="20"/>
          <w:szCs w:val="20"/>
          <w:rtl/>
        </w:rPr>
        <w:br/>
      </w:r>
      <w:r>
        <w:rPr>
          <w:rFonts w:hint="cs"/>
          <w:sz w:val="20"/>
          <w:szCs w:val="20"/>
          <w:rtl/>
        </w:rPr>
        <w:t xml:space="preserve">5. </w:t>
      </w:r>
      <w:r w:rsidRPr="00F77699">
        <w:rPr>
          <w:rFonts w:hint="cs"/>
          <w:b/>
          <w:bCs/>
          <w:sz w:val="20"/>
          <w:szCs w:val="20"/>
          <w:rtl/>
        </w:rPr>
        <w:t>גמרא</w:t>
      </w:r>
      <w:r>
        <w:rPr>
          <w:rFonts w:hint="cs"/>
          <w:sz w:val="20"/>
          <w:szCs w:val="20"/>
          <w:rtl/>
        </w:rPr>
        <w:t xml:space="preserve">. דילגה מצ' לצ' יום במשך ג"פ </w:t>
      </w:r>
      <w:r>
        <w:rPr>
          <w:sz w:val="20"/>
          <w:szCs w:val="20"/>
          <w:rtl/>
        </w:rPr>
        <w:t>–</w:t>
      </w:r>
      <w:r>
        <w:rPr>
          <w:rFonts w:hint="cs"/>
          <w:sz w:val="20"/>
          <w:szCs w:val="20"/>
          <w:rtl/>
        </w:rPr>
        <w:t xml:space="preserve"> קבעה לה ווסת להפלגת צ'.</w:t>
      </w:r>
      <w:r>
        <w:rPr>
          <w:rFonts w:hint="cs"/>
          <w:sz w:val="20"/>
          <w:szCs w:val="20"/>
          <w:rtl/>
        </w:rPr>
        <w:br/>
        <w:t xml:space="preserve">6. </w:t>
      </w:r>
      <w:r w:rsidRPr="00F77699">
        <w:rPr>
          <w:rFonts w:hint="cs"/>
          <w:b/>
          <w:bCs/>
          <w:sz w:val="20"/>
          <w:szCs w:val="20"/>
          <w:rtl/>
        </w:rPr>
        <w:t>מחבר</w:t>
      </w:r>
      <w:r>
        <w:rPr>
          <w:rFonts w:hint="cs"/>
          <w:sz w:val="20"/>
          <w:szCs w:val="20"/>
          <w:rtl/>
        </w:rPr>
        <w:t xml:space="preserve">. תינוקת </w:t>
      </w:r>
      <w:r w:rsidRPr="006A6263">
        <w:rPr>
          <w:rFonts w:hint="cs"/>
          <w:sz w:val="18"/>
          <w:szCs w:val="18"/>
          <w:rtl/>
        </w:rPr>
        <w:t>(אפילו הביאה שערות)</w:t>
      </w:r>
      <w:r>
        <w:rPr>
          <w:rFonts w:hint="cs"/>
          <w:sz w:val="20"/>
          <w:szCs w:val="20"/>
          <w:rtl/>
        </w:rPr>
        <w:t xml:space="preserve"> קובעת ווסת כשאר נשים. ברם, אם פסקה צ' יום עקרה ווסתה לחלוטין ואפילו אם תחזור ותראה כהרגלה אינה חוששת לווסתה הקודם, וחוששת רק לווסת שתקבע מעתה. ראתה ג"פ בהפלגת צ' </w:t>
      </w:r>
      <w:r>
        <w:rPr>
          <w:sz w:val="20"/>
          <w:szCs w:val="20"/>
          <w:rtl/>
        </w:rPr>
        <w:t>–</w:t>
      </w:r>
      <w:r>
        <w:rPr>
          <w:rFonts w:hint="cs"/>
          <w:sz w:val="20"/>
          <w:szCs w:val="20"/>
          <w:rtl/>
        </w:rPr>
        <w:t xml:space="preserve"> קבעה ווסת להפלגת צ'.</w:t>
      </w:r>
      <w:r>
        <w:rPr>
          <w:sz w:val="20"/>
          <w:szCs w:val="20"/>
          <w:rtl/>
        </w:rPr>
        <w:br/>
      </w:r>
      <w:r w:rsidRPr="003035CB">
        <w:rPr>
          <w:rFonts w:hint="cs"/>
          <w:sz w:val="20"/>
          <w:szCs w:val="20"/>
          <w:rtl/>
        </w:rPr>
        <w:t xml:space="preserve">7. ראתה ג"פ ולא קבעה ווסת, האם חוששת לווסת שאינו קבוע? </w:t>
      </w:r>
      <w:r w:rsidRPr="003035CB">
        <w:rPr>
          <w:rFonts w:hint="cs"/>
          <w:b/>
          <w:bCs/>
          <w:sz w:val="20"/>
          <w:szCs w:val="20"/>
          <w:rtl/>
        </w:rPr>
        <w:t>ט</w:t>
      </w:r>
      <w:r w:rsidRPr="00F77699">
        <w:rPr>
          <w:rFonts w:hint="cs"/>
          <w:b/>
          <w:bCs/>
          <w:sz w:val="20"/>
          <w:szCs w:val="20"/>
          <w:rtl/>
        </w:rPr>
        <w:t>"ז</w:t>
      </w:r>
      <w:r>
        <w:rPr>
          <w:rFonts w:hint="cs"/>
          <w:sz w:val="20"/>
          <w:szCs w:val="20"/>
          <w:rtl/>
        </w:rPr>
        <w:t xml:space="preserve">. כן. </w:t>
      </w:r>
      <w:r w:rsidRPr="00F77699">
        <w:rPr>
          <w:rFonts w:hint="cs"/>
          <w:b/>
          <w:bCs/>
          <w:sz w:val="20"/>
          <w:szCs w:val="20"/>
          <w:rtl/>
        </w:rPr>
        <w:t>נקה"כ</w:t>
      </w:r>
      <w:r>
        <w:rPr>
          <w:rFonts w:hint="cs"/>
          <w:sz w:val="20"/>
          <w:szCs w:val="20"/>
          <w:rtl/>
        </w:rPr>
        <w:t>. לא.</w:t>
      </w:r>
      <w:r>
        <w:rPr>
          <w:sz w:val="20"/>
          <w:szCs w:val="20"/>
          <w:rtl/>
        </w:rPr>
        <w:br/>
      </w:r>
      <w:r>
        <w:rPr>
          <w:rFonts w:hint="cs"/>
          <w:sz w:val="20"/>
          <w:szCs w:val="20"/>
          <w:rtl/>
        </w:rPr>
        <w:t xml:space="preserve">8. </w:t>
      </w:r>
      <w:r w:rsidRPr="00F77699">
        <w:rPr>
          <w:rFonts w:hint="cs"/>
          <w:b/>
          <w:bCs/>
          <w:sz w:val="20"/>
          <w:szCs w:val="20"/>
          <w:rtl/>
        </w:rPr>
        <w:t>פרישה</w:t>
      </w:r>
      <w:r>
        <w:rPr>
          <w:rFonts w:hint="cs"/>
          <w:sz w:val="20"/>
          <w:szCs w:val="20"/>
          <w:rtl/>
        </w:rPr>
        <w:t xml:space="preserve">. אם פסקה לראות בג' עונותיה הפחותות מצ' יום </w:t>
      </w:r>
      <w:r>
        <w:rPr>
          <w:sz w:val="20"/>
          <w:szCs w:val="20"/>
          <w:rtl/>
        </w:rPr>
        <w:t>–</w:t>
      </w:r>
      <w:r>
        <w:rPr>
          <w:rFonts w:hint="cs"/>
          <w:sz w:val="20"/>
          <w:szCs w:val="20"/>
          <w:rtl/>
        </w:rPr>
        <w:t xml:space="preserve"> דינה כשאר נשים, חוששת לראייה אחרונה, ואם תראה פעם נוספת כהרגלה הראשון </w:t>
      </w:r>
      <w:r>
        <w:rPr>
          <w:sz w:val="20"/>
          <w:szCs w:val="20"/>
          <w:rtl/>
        </w:rPr>
        <w:t>–</w:t>
      </w:r>
      <w:r>
        <w:rPr>
          <w:rFonts w:hint="cs"/>
          <w:sz w:val="20"/>
          <w:szCs w:val="20"/>
          <w:rtl/>
        </w:rPr>
        <w:t xml:space="preserve"> חזרה לווסתה.</w:t>
      </w:r>
    </w:p>
    <w:p w:rsidR="00620060" w:rsidRPr="004D14C0" w:rsidRDefault="00620060" w:rsidP="00620060">
      <w:pPr>
        <w:rPr>
          <w:sz w:val="18"/>
          <w:szCs w:val="18"/>
          <w:rtl/>
        </w:rPr>
      </w:pPr>
      <w:r w:rsidRPr="004D14C0">
        <w:rPr>
          <w:rFonts w:hint="cs"/>
          <w:sz w:val="18"/>
          <w:szCs w:val="18"/>
          <w:rtl/>
        </w:rPr>
        <w:t xml:space="preserve">[נספח </w:t>
      </w:r>
      <w:r w:rsidRPr="004D14C0">
        <w:rPr>
          <w:sz w:val="18"/>
          <w:szCs w:val="18"/>
          <w:rtl/>
        </w:rPr>
        <w:t>–</w:t>
      </w:r>
      <w:r w:rsidRPr="004D14C0">
        <w:rPr>
          <w:rFonts w:hint="cs"/>
          <w:sz w:val="18"/>
          <w:szCs w:val="18"/>
          <w:rtl/>
        </w:rPr>
        <w:t xml:space="preserve"> </w:t>
      </w:r>
      <w:r w:rsidRPr="004D14C0">
        <w:rPr>
          <w:rFonts w:hint="cs"/>
          <w:b/>
          <w:bCs/>
          <w:sz w:val="18"/>
          <w:szCs w:val="18"/>
          <w:rtl/>
        </w:rPr>
        <w:t>מחלוקת בית יוסף וט"ז בהבנת שיטת הרשב"א בפירוש הגמרא</w:t>
      </w:r>
      <w:r w:rsidRPr="004D14C0">
        <w:rPr>
          <w:rFonts w:hint="cs"/>
          <w:sz w:val="18"/>
          <w:szCs w:val="18"/>
          <w:rtl/>
        </w:rPr>
        <w:t>.</w:t>
      </w:r>
    </w:p>
    <w:p w:rsidR="00620060" w:rsidRPr="004D14C0" w:rsidRDefault="00620060" w:rsidP="00620060">
      <w:pPr>
        <w:rPr>
          <w:sz w:val="18"/>
          <w:szCs w:val="18"/>
          <w:rtl/>
        </w:rPr>
      </w:pPr>
      <w:r w:rsidRPr="004D14C0">
        <w:rPr>
          <w:rFonts w:hint="cs"/>
          <w:b/>
          <w:bCs/>
          <w:sz w:val="18"/>
          <w:szCs w:val="18"/>
          <w:rtl/>
        </w:rPr>
        <w:t xml:space="preserve">גמרא </w:t>
      </w:r>
      <w:r w:rsidRPr="004D14C0">
        <w:rPr>
          <w:rFonts w:hint="cs"/>
          <w:sz w:val="18"/>
          <w:szCs w:val="18"/>
          <w:rtl/>
        </w:rPr>
        <w:t>(שם) "</w:t>
      </w:r>
      <w:r w:rsidRPr="004D14C0">
        <w:rPr>
          <w:rFonts w:cs="Arial" w:hint="cs"/>
          <w:sz w:val="18"/>
          <w:szCs w:val="18"/>
          <w:rtl/>
        </w:rPr>
        <w:t>אמר</w:t>
      </w:r>
      <w:r w:rsidRPr="004D14C0">
        <w:rPr>
          <w:rFonts w:cs="Arial"/>
          <w:sz w:val="18"/>
          <w:szCs w:val="18"/>
          <w:rtl/>
        </w:rPr>
        <w:t xml:space="preserve"> </w:t>
      </w:r>
      <w:r w:rsidRPr="004D14C0">
        <w:rPr>
          <w:rFonts w:cs="Arial" w:hint="cs"/>
          <w:sz w:val="18"/>
          <w:szCs w:val="18"/>
          <w:rtl/>
        </w:rPr>
        <w:t>מר</w:t>
      </w:r>
      <w:r w:rsidRPr="004D14C0">
        <w:rPr>
          <w:rFonts w:cs="Arial"/>
          <w:sz w:val="18"/>
          <w:szCs w:val="18"/>
          <w:rtl/>
        </w:rPr>
        <w:t xml:space="preserve">: </w:t>
      </w:r>
      <w:r w:rsidRPr="004D14C0">
        <w:rPr>
          <w:rFonts w:cs="Arial" w:hint="cs"/>
          <w:sz w:val="18"/>
          <w:szCs w:val="18"/>
          <w:rtl/>
        </w:rPr>
        <w:t>עברו</w:t>
      </w:r>
      <w:r w:rsidRPr="004D14C0">
        <w:rPr>
          <w:rFonts w:cs="Arial"/>
          <w:sz w:val="18"/>
          <w:szCs w:val="18"/>
          <w:rtl/>
        </w:rPr>
        <w:t xml:space="preserve"> </w:t>
      </w:r>
      <w:r w:rsidRPr="004D14C0">
        <w:rPr>
          <w:rFonts w:cs="Arial" w:hint="cs"/>
          <w:sz w:val="18"/>
          <w:szCs w:val="18"/>
          <w:rtl/>
        </w:rPr>
        <w:t>עליה</w:t>
      </w:r>
      <w:r w:rsidRPr="004D14C0">
        <w:rPr>
          <w:rFonts w:cs="Arial"/>
          <w:sz w:val="18"/>
          <w:szCs w:val="18"/>
          <w:rtl/>
        </w:rPr>
        <w:t xml:space="preserve"> </w:t>
      </w:r>
      <w:r w:rsidRPr="004D14C0">
        <w:rPr>
          <w:rFonts w:cs="Arial" w:hint="cs"/>
          <w:sz w:val="18"/>
          <w:szCs w:val="18"/>
          <w:rtl/>
        </w:rPr>
        <w:t>שלוש</w:t>
      </w:r>
      <w:r w:rsidRPr="004D14C0">
        <w:rPr>
          <w:rFonts w:cs="Arial"/>
          <w:sz w:val="18"/>
          <w:szCs w:val="18"/>
          <w:rtl/>
        </w:rPr>
        <w:t xml:space="preserve"> </w:t>
      </w:r>
      <w:r w:rsidRPr="004D14C0">
        <w:rPr>
          <w:rFonts w:cs="Arial" w:hint="cs"/>
          <w:sz w:val="18"/>
          <w:szCs w:val="18"/>
          <w:rtl/>
        </w:rPr>
        <w:t>עונות</w:t>
      </w:r>
      <w:r w:rsidRPr="004D14C0">
        <w:rPr>
          <w:rFonts w:cs="Arial"/>
          <w:sz w:val="18"/>
          <w:szCs w:val="18"/>
          <w:rtl/>
        </w:rPr>
        <w:t xml:space="preserve"> - </w:t>
      </w:r>
      <w:r w:rsidRPr="004D14C0">
        <w:rPr>
          <w:rFonts w:cs="Arial" w:hint="cs"/>
          <w:sz w:val="18"/>
          <w:szCs w:val="18"/>
          <w:rtl/>
        </w:rPr>
        <w:t>דיה</w:t>
      </w:r>
      <w:r w:rsidRPr="004D14C0">
        <w:rPr>
          <w:rFonts w:cs="Arial"/>
          <w:sz w:val="18"/>
          <w:szCs w:val="18"/>
          <w:rtl/>
        </w:rPr>
        <w:t xml:space="preserve"> </w:t>
      </w:r>
      <w:r w:rsidRPr="004D14C0">
        <w:rPr>
          <w:rFonts w:cs="Arial" w:hint="cs"/>
          <w:sz w:val="18"/>
          <w:szCs w:val="18"/>
          <w:rtl/>
        </w:rPr>
        <w:t>שעתה</w:t>
      </w:r>
      <w:r w:rsidRPr="004D14C0">
        <w:rPr>
          <w:rFonts w:cs="Arial"/>
          <w:sz w:val="18"/>
          <w:szCs w:val="18"/>
          <w:rtl/>
        </w:rPr>
        <w:t>,</w:t>
      </w:r>
      <w:r w:rsidRPr="004D14C0">
        <w:rPr>
          <w:rFonts w:hint="cs"/>
          <w:sz w:val="18"/>
          <w:szCs w:val="18"/>
          <w:rtl/>
        </w:rPr>
        <w:t xml:space="preserve"> </w:t>
      </w:r>
      <w:r w:rsidRPr="004D14C0">
        <w:rPr>
          <w:rFonts w:cs="Arial" w:hint="cs"/>
          <w:sz w:val="18"/>
          <w:szCs w:val="18"/>
          <w:rtl/>
        </w:rPr>
        <w:t>הדר</w:t>
      </w:r>
      <w:r w:rsidRPr="004D14C0">
        <w:rPr>
          <w:rFonts w:cs="Arial"/>
          <w:sz w:val="18"/>
          <w:szCs w:val="18"/>
          <w:rtl/>
        </w:rPr>
        <w:t xml:space="preserve"> </w:t>
      </w:r>
      <w:r w:rsidRPr="004D14C0">
        <w:rPr>
          <w:rFonts w:cs="Arial" w:hint="cs"/>
          <w:sz w:val="18"/>
          <w:szCs w:val="18"/>
          <w:rtl/>
        </w:rPr>
        <w:t>קחזיא</w:t>
      </w:r>
      <w:r w:rsidRPr="004D14C0">
        <w:rPr>
          <w:rFonts w:cs="Arial"/>
          <w:sz w:val="18"/>
          <w:szCs w:val="18"/>
          <w:rtl/>
        </w:rPr>
        <w:t xml:space="preserve"> </w:t>
      </w:r>
      <w:r w:rsidRPr="004D14C0">
        <w:rPr>
          <w:rFonts w:cs="Arial" w:hint="cs"/>
          <w:sz w:val="18"/>
          <w:szCs w:val="18"/>
          <w:rtl/>
        </w:rPr>
        <w:t>בעונות</w:t>
      </w:r>
      <w:r w:rsidRPr="004D14C0">
        <w:rPr>
          <w:rFonts w:cs="Arial"/>
          <w:sz w:val="18"/>
          <w:szCs w:val="18"/>
          <w:rtl/>
        </w:rPr>
        <w:t xml:space="preserve"> </w:t>
      </w:r>
      <w:r w:rsidRPr="004D14C0">
        <w:rPr>
          <w:rFonts w:cs="Arial" w:hint="cs"/>
          <w:sz w:val="18"/>
          <w:szCs w:val="18"/>
          <w:rtl/>
        </w:rPr>
        <w:t>(של ל' יום) מאי</w:t>
      </w:r>
      <w:r w:rsidRPr="004D14C0">
        <w:rPr>
          <w:rFonts w:cs="Arial"/>
          <w:sz w:val="18"/>
          <w:szCs w:val="18"/>
          <w:rtl/>
        </w:rPr>
        <w:t xml:space="preserve">? </w:t>
      </w:r>
      <w:r w:rsidRPr="004D14C0">
        <w:rPr>
          <w:rFonts w:cs="Arial" w:hint="cs"/>
          <w:sz w:val="18"/>
          <w:szCs w:val="18"/>
          <w:rtl/>
        </w:rPr>
        <w:t>אמר</w:t>
      </w:r>
      <w:r w:rsidRPr="004D14C0">
        <w:rPr>
          <w:rFonts w:cs="Arial"/>
          <w:sz w:val="18"/>
          <w:szCs w:val="18"/>
          <w:rtl/>
        </w:rPr>
        <w:t xml:space="preserve"> </w:t>
      </w:r>
      <w:r w:rsidRPr="004D14C0">
        <w:rPr>
          <w:rFonts w:cs="Arial" w:hint="cs"/>
          <w:sz w:val="18"/>
          <w:szCs w:val="18"/>
          <w:rtl/>
        </w:rPr>
        <w:t>רב</w:t>
      </w:r>
      <w:r w:rsidRPr="004D14C0">
        <w:rPr>
          <w:rFonts w:cs="Arial"/>
          <w:sz w:val="18"/>
          <w:szCs w:val="18"/>
          <w:rtl/>
        </w:rPr>
        <w:t xml:space="preserve"> </w:t>
      </w:r>
      <w:r w:rsidRPr="004D14C0">
        <w:rPr>
          <w:rFonts w:cs="Arial" w:hint="cs"/>
          <w:sz w:val="18"/>
          <w:szCs w:val="18"/>
          <w:rtl/>
        </w:rPr>
        <w:t>גידל</w:t>
      </w:r>
      <w:r w:rsidRPr="004D14C0">
        <w:rPr>
          <w:rFonts w:cs="Arial"/>
          <w:sz w:val="18"/>
          <w:szCs w:val="18"/>
          <w:rtl/>
        </w:rPr>
        <w:t xml:space="preserve"> </w:t>
      </w:r>
      <w:r w:rsidRPr="004D14C0">
        <w:rPr>
          <w:rFonts w:cs="Arial" w:hint="cs"/>
          <w:sz w:val="18"/>
          <w:szCs w:val="18"/>
          <w:rtl/>
        </w:rPr>
        <w:t>אמר</w:t>
      </w:r>
      <w:r w:rsidRPr="004D14C0">
        <w:rPr>
          <w:rFonts w:cs="Arial"/>
          <w:sz w:val="18"/>
          <w:szCs w:val="18"/>
          <w:rtl/>
        </w:rPr>
        <w:t xml:space="preserve"> </w:t>
      </w:r>
      <w:r w:rsidRPr="004D14C0">
        <w:rPr>
          <w:rFonts w:cs="Arial" w:hint="cs"/>
          <w:sz w:val="18"/>
          <w:szCs w:val="18"/>
          <w:rtl/>
        </w:rPr>
        <w:t>רב</w:t>
      </w:r>
      <w:r w:rsidRPr="004D14C0">
        <w:rPr>
          <w:rFonts w:cs="Arial"/>
          <w:sz w:val="18"/>
          <w:szCs w:val="18"/>
          <w:rtl/>
        </w:rPr>
        <w:t xml:space="preserve">: </w:t>
      </w:r>
      <w:r w:rsidRPr="004D14C0">
        <w:rPr>
          <w:rFonts w:cs="Arial" w:hint="cs"/>
          <w:sz w:val="18"/>
          <w:szCs w:val="18"/>
          <w:rtl/>
        </w:rPr>
        <w:t>פעם</w:t>
      </w:r>
      <w:r w:rsidRPr="004D14C0">
        <w:rPr>
          <w:rFonts w:cs="Arial"/>
          <w:sz w:val="18"/>
          <w:szCs w:val="18"/>
          <w:rtl/>
        </w:rPr>
        <w:t xml:space="preserve"> </w:t>
      </w:r>
      <w:r w:rsidRPr="004D14C0">
        <w:rPr>
          <w:rFonts w:cs="Arial" w:hint="cs"/>
          <w:sz w:val="18"/>
          <w:szCs w:val="18"/>
          <w:rtl/>
        </w:rPr>
        <w:t>ראשונה</w:t>
      </w:r>
      <w:r w:rsidRPr="004D14C0">
        <w:rPr>
          <w:rFonts w:cs="Arial"/>
          <w:sz w:val="18"/>
          <w:szCs w:val="18"/>
          <w:rtl/>
        </w:rPr>
        <w:t xml:space="preserve"> </w:t>
      </w:r>
      <w:r w:rsidRPr="004D14C0">
        <w:rPr>
          <w:rFonts w:cs="Arial" w:hint="cs"/>
          <w:sz w:val="18"/>
          <w:szCs w:val="18"/>
          <w:rtl/>
        </w:rPr>
        <w:t>ושניה</w:t>
      </w:r>
      <w:r w:rsidRPr="004D14C0">
        <w:rPr>
          <w:rFonts w:cs="Arial"/>
          <w:sz w:val="18"/>
          <w:szCs w:val="18"/>
          <w:rtl/>
        </w:rPr>
        <w:t xml:space="preserve"> - </w:t>
      </w:r>
      <w:r w:rsidRPr="004D14C0">
        <w:rPr>
          <w:rFonts w:cs="Arial" w:hint="cs"/>
          <w:sz w:val="18"/>
          <w:szCs w:val="18"/>
          <w:rtl/>
        </w:rPr>
        <w:t>דיה</w:t>
      </w:r>
      <w:r w:rsidRPr="004D14C0">
        <w:rPr>
          <w:rFonts w:cs="Arial"/>
          <w:sz w:val="18"/>
          <w:szCs w:val="18"/>
          <w:rtl/>
        </w:rPr>
        <w:t xml:space="preserve"> </w:t>
      </w:r>
      <w:r w:rsidRPr="004D14C0">
        <w:rPr>
          <w:rFonts w:cs="Arial" w:hint="cs"/>
          <w:sz w:val="18"/>
          <w:szCs w:val="18"/>
          <w:rtl/>
        </w:rPr>
        <w:t>שעתה</w:t>
      </w:r>
      <w:r w:rsidRPr="004D14C0">
        <w:rPr>
          <w:rFonts w:cs="Arial"/>
          <w:sz w:val="18"/>
          <w:szCs w:val="18"/>
          <w:rtl/>
        </w:rPr>
        <w:t xml:space="preserve">, </w:t>
      </w:r>
      <w:r w:rsidRPr="004D14C0">
        <w:rPr>
          <w:rFonts w:cs="Arial" w:hint="cs"/>
          <w:sz w:val="18"/>
          <w:szCs w:val="18"/>
          <w:rtl/>
        </w:rPr>
        <w:t>שלישית</w:t>
      </w:r>
      <w:r w:rsidRPr="004D14C0">
        <w:rPr>
          <w:rFonts w:cs="Arial"/>
          <w:sz w:val="18"/>
          <w:szCs w:val="18"/>
          <w:rtl/>
        </w:rPr>
        <w:t xml:space="preserve"> </w:t>
      </w:r>
      <w:r w:rsidRPr="004D14C0">
        <w:rPr>
          <w:rFonts w:cs="Arial" w:hint="cs"/>
          <w:sz w:val="18"/>
          <w:szCs w:val="18"/>
          <w:rtl/>
        </w:rPr>
        <w:t>מטמאה</w:t>
      </w:r>
      <w:r w:rsidRPr="004D14C0">
        <w:rPr>
          <w:rFonts w:cs="Arial"/>
          <w:sz w:val="18"/>
          <w:szCs w:val="18"/>
          <w:rtl/>
        </w:rPr>
        <w:t xml:space="preserve"> </w:t>
      </w:r>
      <w:r w:rsidRPr="004D14C0">
        <w:rPr>
          <w:rFonts w:cs="Arial" w:hint="cs"/>
          <w:sz w:val="18"/>
          <w:szCs w:val="18"/>
          <w:rtl/>
        </w:rPr>
        <w:t>מעת</w:t>
      </w:r>
      <w:r w:rsidRPr="004D14C0">
        <w:rPr>
          <w:rFonts w:cs="Arial"/>
          <w:sz w:val="18"/>
          <w:szCs w:val="18"/>
          <w:rtl/>
        </w:rPr>
        <w:t xml:space="preserve"> </w:t>
      </w:r>
      <w:r w:rsidRPr="004D14C0">
        <w:rPr>
          <w:rFonts w:cs="Arial" w:hint="cs"/>
          <w:sz w:val="18"/>
          <w:szCs w:val="18"/>
          <w:rtl/>
        </w:rPr>
        <w:t>לעת</w:t>
      </w:r>
      <w:r w:rsidRPr="004D14C0">
        <w:rPr>
          <w:rFonts w:cs="Arial"/>
          <w:sz w:val="18"/>
          <w:szCs w:val="18"/>
          <w:rtl/>
        </w:rPr>
        <w:t xml:space="preserve"> </w:t>
      </w:r>
      <w:r w:rsidRPr="004D14C0">
        <w:rPr>
          <w:rFonts w:cs="Arial" w:hint="cs"/>
          <w:sz w:val="18"/>
          <w:szCs w:val="18"/>
          <w:rtl/>
        </w:rPr>
        <w:t>ומפקידה</w:t>
      </w:r>
      <w:r w:rsidRPr="004D14C0">
        <w:rPr>
          <w:rFonts w:cs="Arial"/>
          <w:sz w:val="18"/>
          <w:szCs w:val="18"/>
          <w:rtl/>
        </w:rPr>
        <w:t xml:space="preserve"> </w:t>
      </w:r>
      <w:r w:rsidRPr="004D14C0">
        <w:rPr>
          <w:rFonts w:cs="Arial" w:hint="cs"/>
          <w:sz w:val="18"/>
          <w:szCs w:val="18"/>
          <w:rtl/>
        </w:rPr>
        <w:t>לפקידה</w:t>
      </w:r>
      <w:r w:rsidRPr="004D14C0">
        <w:rPr>
          <w:rFonts w:cs="Arial"/>
          <w:sz w:val="18"/>
          <w:szCs w:val="18"/>
          <w:rtl/>
        </w:rPr>
        <w:t xml:space="preserve">. </w:t>
      </w:r>
      <w:r w:rsidRPr="004D14C0">
        <w:rPr>
          <w:rFonts w:cs="Arial"/>
          <w:sz w:val="18"/>
          <w:szCs w:val="18"/>
          <w:rtl/>
        </w:rPr>
        <w:br/>
      </w:r>
      <w:r w:rsidRPr="004D14C0">
        <w:rPr>
          <w:rFonts w:cs="Arial" w:hint="cs"/>
          <w:sz w:val="18"/>
          <w:szCs w:val="18"/>
          <w:rtl/>
        </w:rPr>
        <w:lastRenderedPageBreak/>
        <w:t>ועוד</w:t>
      </w:r>
      <w:r w:rsidRPr="004D14C0">
        <w:rPr>
          <w:rFonts w:cs="Arial"/>
          <w:sz w:val="18"/>
          <w:szCs w:val="18"/>
          <w:rtl/>
        </w:rPr>
        <w:t xml:space="preserve"> </w:t>
      </w:r>
      <w:r w:rsidRPr="004D14C0">
        <w:rPr>
          <w:rFonts w:cs="Arial" w:hint="cs"/>
          <w:sz w:val="18"/>
          <w:szCs w:val="18"/>
          <w:rtl/>
        </w:rPr>
        <w:t>עברו</w:t>
      </w:r>
      <w:r w:rsidRPr="004D14C0">
        <w:rPr>
          <w:rFonts w:cs="Arial"/>
          <w:sz w:val="18"/>
          <w:szCs w:val="18"/>
          <w:rtl/>
        </w:rPr>
        <w:t xml:space="preserve"> </w:t>
      </w:r>
      <w:r w:rsidRPr="004D14C0">
        <w:rPr>
          <w:rFonts w:cs="Arial" w:hint="cs"/>
          <w:sz w:val="18"/>
          <w:szCs w:val="18"/>
          <w:rtl/>
        </w:rPr>
        <w:t>עליה</w:t>
      </w:r>
      <w:r w:rsidRPr="004D14C0">
        <w:rPr>
          <w:rFonts w:cs="Arial"/>
          <w:sz w:val="18"/>
          <w:szCs w:val="18"/>
          <w:rtl/>
        </w:rPr>
        <w:t xml:space="preserve"> </w:t>
      </w:r>
      <w:r w:rsidRPr="004D14C0">
        <w:rPr>
          <w:rFonts w:cs="Arial" w:hint="cs"/>
          <w:sz w:val="18"/>
          <w:szCs w:val="18"/>
          <w:rtl/>
        </w:rPr>
        <w:t>ג</w:t>
      </w:r>
      <w:r w:rsidRPr="004D14C0">
        <w:rPr>
          <w:rFonts w:cs="Arial"/>
          <w:sz w:val="18"/>
          <w:szCs w:val="18"/>
          <w:rtl/>
        </w:rPr>
        <w:t xml:space="preserve">' </w:t>
      </w:r>
      <w:r w:rsidRPr="004D14C0">
        <w:rPr>
          <w:rFonts w:cs="Arial" w:hint="cs"/>
          <w:sz w:val="18"/>
          <w:szCs w:val="18"/>
          <w:rtl/>
        </w:rPr>
        <w:t xml:space="preserve">עונות </w:t>
      </w:r>
      <w:r w:rsidRPr="00261F48">
        <w:rPr>
          <w:rFonts w:cs="Arial" w:hint="cs"/>
          <w:sz w:val="16"/>
          <w:szCs w:val="16"/>
          <w:rtl/>
        </w:rPr>
        <w:t>(ב' הפסקות של צ' יום)</w:t>
      </w:r>
      <w:r w:rsidRPr="00261F48">
        <w:rPr>
          <w:rFonts w:cs="Arial"/>
          <w:sz w:val="16"/>
          <w:szCs w:val="16"/>
          <w:rtl/>
        </w:rPr>
        <w:t xml:space="preserve"> </w:t>
      </w:r>
      <w:r w:rsidRPr="004D14C0">
        <w:rPr>
          <w:rFonts w:cs="Arial" w:hint="cs"/>
          <w:sz w:val="18"/>
          <w:szCs w:val="18"/>
          <w:rtl/>
        </w:rPr>
        <w:t>וראתה</w:t>
      </w:r>
      <w:r w:rsidRPr="004D14C0">
        <w:rPr>
          <w:rFonts w:cs="Arial"/>
          <w:sz w:val="18"/>
          <w:szCs w:val="18"/>
          <w:rtl/>
        </w:rPr>
        <w:t xml:space="preserve"> - </w:t>
      </w:r>
      <w:r w:rsidRPr="004D14C0">
        <w:rPr>
          <w:rFonts w:cs="Arial" w:hint="cs"/>
          <w:sz w:val="18"/>
          <w:szCs w:val="18"/>
          <w:rtl/>
        </w:rPr>
        <w:t>דיה</w:t>
      </w:r>
      <w:r w:rsidRPr="004D14C0">
        <w:rPr>
          <w:rFonts w:cs="Arial"/>
          <w:sz w:val="18"/>
          <w:szCs w:val="18"/>
          <w:rtl/>
        </w:rPr>
        <w:t xml:space="preserve"> </w:t>
      </w:r>
      <w:r w:rsidRPr="004D14C0">
        <w:rPr>
          <w:rFonts w:cs="Arial" w:hint="cs"/>
          <w:sz w:val="18"/>
          <w:szCs w:val="18"/>
          <w:rtl/>
        </w:rPr>
        <w:t>שעתה</w:t>
      </w:r>
      <w:r w:rsidRPr="004D14C0">
        <w:rPr>
          <w:rFonts w:cs="Arial"/>
          <w:sz w:val="18"/>
          <w:szCs w:val="18"/>
          <w:rtl/>
        </w:rPr>
        <w:t xml:space="preserve">, </w:t>
      </w:r>
      <w:r w:rsidRPr="004D14C0">
        <w:rPr>
          <w:rFonts w:cs="Arial" w:hint="cs"/>
          <w:sz w:val="18"/>
          <w:szCs w:val="18"/>
          <w:rtl/>
        </w:rPr>
        <w:t>הדר</w:t>
      </w:r>
      <w:r w:rsidRPr="004D14C0">
        <w:rPr>
          <w:rFonts w:cs="Arial"/>
          <w:sz w:val="18"/>
          <w:szCs w:val="18"/>
          <w:rtl/>
        </w:rPr>
        <w:t xml:space="preserve"> </w:t>
      </w:r>
      <w:r w:rsidRPr="004D14C0">
        <w:rPr>
          <w:rFonts w:cs="Arial" w:hint="cs"/>
          <w:sz w:val="18"/>
          <w:szCs w:val="18"/>
          <w:rtl/>
        </w:rPr>
        <w:t>קחזיא</w:t>
      </w:r>
      <w:r w:rsidRPr="004D14C0">
        <w:rPr>
          <w:rFonts w:cs="Arial"/>
          <w:sz w:val="18"/>
          <w:szCs w:val="18"/>
          <w:rtl/>
        </w:rPr>
        <w:t xml:space="preserve"> </w:t>
      </w:r>
      <w:r w:rsidRPr="004D14C0">
        <w:rPr>
          <w:rFonts w:cs="Arial" w:hint="cs"/>
          <w:sz w:val="18"/>
          <w:szCs w:val="18"/>
          <w:rtl/>
        </w:rPr>
        <w:t>בעונות</w:t>
      </w:r>
      <w:r w:rsidRPr="004D14C0">
        <w:rPr>
          <w:rFonts w:cs="Arial"/>
          <w:sz w:val="18"/>
          <w:szCs w:val="18"/>
          <w:rtl/>
        </w:rPr>
        <w:t xml:space="preserve"> </w:t>
      </w:r>
      <w:r w:rsidRPr="004D14C0">
        <w:rPr>
          <w:rFonts w:cs="Arial" w:hint="cs"/>
          <w:sz w:val="18"/>
          <w:szCs w:val="18"/>
          <w:rtl/>
        </w:rPr>
        <w:t>מאי</w:t>
      </w:r>
      <w:r w:rsidRPr="004D14C0">
        <w:rPr>
          <w:rFonts w:cs="Arial"/>
          <w:sz w:val="18"/>
          <w:szCs w:val="18"/>
          <w:rtl/>
        </w:rPr>
        <w:t xml:space="preserve">? </w:t>
      </w:r>
      <w:r w:rsidRPr="004D14C0">
        <w:rPr>
          <w:rFonts w:cs="Arial" w:hint="cs"/>
          <w:sz w:val="18"/>
          <w:szCs w:val="18"/>
          <w:rtl/>
        </w:rPr>
        <w:t>אמר</w:t>
      </w:r>
      <w:r w:rsidRPr="004D14C0">
        <w:rPr>
          <w:rFonts w:cs="Arial"/>
          <w:sz w:val="18"/>
          <w:szCs w:val="18"/>
          <w:rtl/>
        </w:rPr>
        <w:t xml:space="preserve"> </w:t>
      </w:r>
      <w:r w:rsidRPr="004D14C0">
        <w:rPr>
          <w:rFonts w:cs="Arial" w:hint="cs"/>
          <w:sz w:val="18"/>
          <w:szCs w:val="18"/>
          <w:rtl/>
        </w:rPr>
        <w:t>רב</w:t>
      </w:r>
      <w:r w:rsidRPr="004D14C0">
        <w:rPr>
          <w:rFonts w:cs="Arial"/>
          <w:sz w:val="18"/>
          <w:szCs w:val="18"/>
          <w:rtl/>
        </w:rPr>
        <w:t xml:space="preserve"> </w:t>
      </w:r>
      <w:r w:rsidRPr="004D14C0">
        <w:rPr>
          <w:rFonts w:cs="Arial" w:hint="cs"/>
          <w:sz w:val="18"/>
          <w:szCs w:val="18"/>
          <w:rtl/>
        </w:rPr>
        <w:t>כהנא</w:t>
      </w:r>
      <w:r w:rsidRPr="004D14C0">
        <w:rPr>
          <w:rFonts w:cs="Arial"/>
          <w:sz w:val="18"/>
          <w:szCs w:val="18"/>
          <w:rtl/>
        </w:rPr>
        <w:t xml:space="preserve"> </w:t>
      </w:r>
      <w:r w:rsidRPr="004D14C0">
        <w:rPr>
          <w:rFonts w:cs="Arial" w:hint="cs"/>
          <w:sz w:val="18"/>
          <w:szCs w:val="18"/>
          <w:rtl/>
        </w:rPr>
        <w:t>אמר</w:t>
      </w:r>
      <w:r w:rsidRPr="004D14C0">
        <w:rPr>
          <w:rFonts w:cs="Arial"/>
          <w:sz w:val="18"/>
          <w:szCs w:val="18"/>
          <w:rtl/>
        </w:rPr>
        <w:t xml:space="preserve"> </w:t>
      </w:r>
      <w:r w:rsidRPr="004D14C0">
        <w:rPr>
          <w:rFonts w:cs="Arial" w:hint="cs"/>
          <w:sz w:val="18"/>
          <w:szCs w:val="18"/>
          <w:rtl/>
        </w:rPr>
        <w:t>רב</w:t>
      </w:r>
      <w:r w:rsidRPr="004D14C0">
        <w:rPr>
          <w:rFonts w:cs="Arial"/>
          <w:sz w:val="18"/>
          <w:szCs w:val="18"/>
          <w:rtl/>
        </w:rPr>
        <w:t xml:space="preserve"> </w:t>
      </w:r>
      <w:r w:rsidRPr="004D14C0">
        <w:rPr>
          <w:rFonts w:cs="Arial" w:hint="cs"/>
          <w:sz w:val="18"/>
          <w:szCs w:val="18"/>
          <w:rtl/>
        </w:rPr>
        <w:t>גידל</w:t>
      </w:r>
      <w:r w:rsidRPr="004D14C0">
        <w:rPr>
          <w:rFonts w:cs="Arial"/>
          <w:sz w:val="18"/>
          <w:szCs w:val="18"/>
          <w:rtl/>
        </w:rPr>
        <w:t xml:space="preserve"> </w:t>
      </w:r>
      <w:r w:rsidRPr="004D14C0">
        <w:rPr>
          <w:rFonts w:cs="Arial" w:hint="cs"/>
          <w:sz w:val="18"/>
          <w:szCs w:val="18"/>
          <w:rtl/>
        </w:rPr>
        <w:t>אמר</w:t>
      </w:r>
      <w:r w:rsidRPr="004D14C0">
        <w:rPr>
          <w:rFonts w:cs="Arial"/>
          <w:sz w:val="18"/>
          <w:szCs w:val="18"/>
          <w:rtl/>
        </w:rPr>
        <w:t xml:space="preserve"> </w:t>
      </w:r>
      <w:r w:rsidRPr="004D14C0">
        <w:rPr>
          <w:rFonts w:cs="Arial" w:hint="cs"/>
          <w:sz w:val="18"/>
          <w:szCs w:val="18"/>
          <w:rtl/>
        </w:rPr>
        <w:t>רב</w:t>
      </w:r>
      <w:r w:rsidRPr="004D14C0">
        <w:rPr>
          <w:rFonts w:cs="Arial"/>
          <w:sz w:val="18"/>
          <w:szCs w:val="18"/>
          <w:rtl/>
        </w:rPr>
        <w:t xml:space="preserve">: </w:t>
      </w:r>
      <w:r w:rsidRPr="004D14C0">
        <w:rPr>
          <w:rFonts w:cs="Arial" w:hint="cs"/>
          <w:sz w:val="18"/>
          <w:szCs w:val="18"/>
          <w:rtl/>
        </w:rPr>
        <w:t>פעם</w:t>
      </w:r>
      <w:r w:rsidRPr="004D14C0">
        <w:rPr>
          <w:rFonts w:cs="Arial"/>
          <w:sz w:val="18"/>
          <w:szCs w:val="18"/>
          <w:rtl/>
        </w:rPr>
        <w:t xml:space="preserve"> </w:t>
      </w:r>
      <w:r w:rsidRPr="004D14C0">
        <w:rPr>
          <w:rFonts w:cs="Arial" w:hint="cs"/>
          <w:sz w:val="18"/>
          <w:szCs w:val="18"/>
          <w:rtl/>
        </w:rPr>
        <w:t>ראשונה</w:t>
      </w:r>
      <w:r w:rsidRPr="004D14C0">
        <w:rPr>
          <w:rFonts w:cs="Arial"/>
          <w:sz w:val="18"/>
          <w:szCs w:val="18"/>
          <w:rtl/>
        </w:rPr>
        <w:t xml:space="preserve"> - </w:t>
      </w:r>
      <w:r w:rsidRPr="004D14C0">
        <w:rPr>
          <w:rFonts w:cs="Arial" w:hint="cs"/>
          <w:sz w:val="18"/>
          <w:szCs w:val="18"/>
          <w:rtl/>
        </w:rPr>
        <w:t>דיה</w:t>
      </w:r>
      <w:r w:rsidRPr="004D14C0">
        <w:rPr>
          <w:rFonts w:cs="Arial"/>
          <w:sz w:val="18"/>
          <w:szCs w:val="18"/>
          <w:rtl/>
        </w:rPr>
        <w:t xml:space="preserve"> </w:t>
      </w:r>
      <w:r w:rsidRPr="004D14C0">
        <w:rPr>
          <w:rFonts w:cs="Arial" w:hint="cs"/>
          <w:sz w:val="18"/>
          <w:szCs w:val="18"/>
          <w:rtl/>
        </w:rPr>
        <w:t>שעתה</w:t>
      </w:r>
      <w:r w:rsidRPr="004D14C0">
        <w:rPr>
          <w:rFonts w:cs="Arial"/>
          <w:sz w:val="18"/>
          <w:szCs w:val="18"/>
          <w:rtl/>
        </w:rPr>
        <w:t xml:space="preserve">, </w:t>
      </w:r>
      <w:r w:rsidRPr="004D14C0">
        <w:rPr>
          <w:rFonts w:cs="Arial" w:hint="cs"/>
          <w:sz w:val="18"/>
          <w:szCs w:val="18"/>
          <w:rtl/>
        </w:rPr>
        <w:t>שניה</w:t>
      </w:r>
      <w:r w:rsidRPr="004D14C0">
        <w:rPr>
          <w:rFonts w:cs="Arial"/>
          <w:sz w:val="18"/>
          <w:szCs w:val="18"/>
          <w:rtl/>
        </w:rPr>
        <w:t xml:space="preserve"> - </w:t>
      </w:r>
      <w:r w:rsidRPr="004D14C0">
        <w:rPr>
          <w:rFonts w:cs="Arial" w:hint="cs"/>
          <w:sz w:val="18"/>
          <w:szCs w:val="18"/>
          <w:rtl/>
        </w:rPr>
        <w:t>מטמאה</w:t>
      </w:r>
      <w:r w:rsidRPr="004D14C0">
        <w:rPr>
          <w:rFonts w:cs="Arial"/>
          <w:sz w:val="18"/>
          <w:szCs w:val="18"/>
          <w:rtl/>
        </w:rPr>
        <w:t xml:space="preserve"> </w:t>
      </w:r>
      <w:r w:rsidRPr="004D14C0">
        <w:rPr>
          <w:rFonts w:cs="Arial" w:hint="cs"/>
          <w:sz w:val="18"/>
          <w:szCs w:val="18"/>
          <w:rtl/>
        </w:rPr>
        <w:t>מעת</w:t>
      </w:r>
      <w:r w:rsidRPr="004D14C0">
        <w:rPr>
          <w:rFonts w:cs="Arial"/>
          <w:sz w:val="18"/>
          <w:szCs w:val="18"/>
          <w:rtl/>
        </w:rPr>
        <w:t xml:space="preserve"> </w:t>
      </w:r>
      <w:r w:rsidRPr="004D14C0">
        <w:rPr>
          <w:rFonts w:cs="Arial" w:hint="cs"/>
          <w:sz w:val="18"/>
          <w:szCs w:val="18"/>
          <w:rtl/>
        </w:rPr>
        <w:t>לעת</w:t>
      </w:r>
      <w:r w:rsidRPr="004D14C0">
        <w:rPr>
          <w:rFonts w:cs="Arial"/>
          <w:sz w:val="18"/>
          <w:szCs w:val="18"/>
          <w:rtl/>
        </w:rPr>
        <w:t xml:space="preserve"> </w:t>
      </w:r>
      <w:r w:rsidRPr="004D14C0">
        <w:rPr>
          <w:rFonts w:cs="Arial" w:hint="cs"/>
          <w:sz w:val="18"/>
          <w:szCs w:val="18"/>
          <w:rtl/>
        </w:rPr>
        <w:t>ומפקידה</w:t>
      </w:r>
      <w:r w:rsidRPr="004D14C0">
        <w:rPr>
          <w:rFonts w:cs="Arial"/>
          <w:sz w:val="18"/>
          <w:szCs w:val="18"/>
          <w:rtl/>
        </w:rPr>
        <w:t xml:space="preserve"> </w:t>
      </w:r>
      <w:r w:rsidRPr="004D14C0">
        <w:rPr>
          <w:rFonts w:cs="Arial" w:hint="cs"/>
          <w:sz w:val="18"/>
          <w:szCs w:val="18"/>
          <w:rtl/>
        </w:rPr>
        <w:t>לפקידה</w:t>
      </w:r>
      <w:r w:rsidRPr="004D14C0">
        <w:rPr>
          <w:rFonts w:cs="Arial"/>
          <w:sz w:val="18"/>
          <w:szCs w:val="18"/>
          <w:rtl/>
        </w:rPr>
        <w:t>.</w:t>
      </w:r>
      <w:r w:rsidRPr="004D14C0">
        <w:rPr>
          <w:rFonts w:cs="Arial" w:hint="cs"/>
          <w:sz w:val="18"/>
          <w:szCs w:val="18"/>
          <w:rtl/>
        </w:rPr>
        <w:t>"</w:t>
      </w:r>
    </w:p>
    <w:p w:rsidR="00620060" w:rsidRPr="004D14C0" w:rsidRDefault="00620060" w:rsidP="00620060">
      <w:pPr>
        <w:rPr>
          <w:sz w:val="18"/>
          <w:szCs w:val="18"/>
          <w:rtl/>
        </w:rPr>
      </w:pPr>
      <w:r>
        <w:rPr>
          <w:rFonts w:hint="cs"/>
          <w:sz w:val="18"/>
          <w:szCs w:val="18"/>
          <w:u w:val="single"/>
          <w:rtl/>
        </w:rPr>
        <w:t>דברי הרשב"א</w:t>
      </w:r>
      <w:r>
        <w:rPr>
          <w:sz w:val="18"/>
          <w:szCs w:val="18"/>
          <w:rtl/>
        </w:rPr>
        <w:br/>
      </w:r>
      <w:r w:rsidRPr="00261F48">
        <w:rPr>
          <w:rFonts w:hint="cs"/>
          <w:b/>
          <w:bCs/>
          <w:sz w:val="18"/>
          <w:szCs w:val="18"/>
          <w:rtl/>
        </w:rPr>
        <w:t>רשב"א</w:t>
      </w:r>
      <w:r w:rsidRPr="004D14C0">
        <w:rPr>
          <w:rFonts w:hint="cs"/>
          <w:sz w:val="18"/>
          <w:szCs w:val="18"/>
          <w:rtl/>
        </w:rPr>
        <w:t xml:space="preserve"> </w:t>
      </w:r>
      <w:r>
        <w:rPr>
          <w:rFonts w:hint="cs"/>
          <w:sz w:val="18"/>
          <w:szCs w:val="18"/>
          <w:rtl/>
        </w:rPr>
        <w:t xml:space="preserve">- </w:t>
      </w:r>
      <w:r w:rsidRPr="004D14C0">
        <w:rPr>
          <w:rFonts w:hint="cs"/>
          <w:sz w:val="18"/>
          <w:szCs w:val="18"/>
          <w:rtl/>
        </w:rPr>
        <w:t xml:space="preserve">מטמאה מעת לעת בראייה השלישית </w:t>
      </w:r>
      <w:r w:rsidRPr="003E616C">
        <w:rPr>
          <w:rFonts w:hint="cs"/>
          <w:sz w:val="16"/>
          <w:szCs w:val="16"/>
          <w:rtl/>
        </w:rPr>
        <w:t xml:space="preserve">(בבעיא הראשונה) </w:t>
      </w:r>
      <w:r w:rsidRPr="004D14C0">
        <w:rPr>
          <w:rFonts w:hint="cs"/>
          <w:sz w:val="18"/>
          <w:szCs w:val="18"/>
          <w:rtl/>
        </w:rPr>
        <w:t xml:space="preserve">מכיוון שיש ג' הפלגות שוות של ל' יום. </w:t>
      </w:r>
      <w:r>
        <w:rPr>
          <w:sz w:val="18"/>
          <w:szCs w:val="18"/>
          <w:rtl/>
        </w:rPr>
        <w:br/>
      </w:r>
      <w:r>
        <w:rPr>
          <w:sz w:val="18"/>
          <w:szCs w:val="18"/>
          <w:u w:val="single"/>
          <w:rtl/>
        </w:rPr>
        <w:br/>
      </w:r>
      <w:r>
        <w:rPr>
          <w:rFonts w:hint="cs"/>
          <w:sz w:val="18"/>
          <w:szCs w:val="18"/>
          <w:u w:val="single"/>
          <w:rtl/>
        </w:rPr>
        <w:t xml:space="preserve">קושיות הבית יוסף </w:t>
      </w:r>
      <w:r w:rsidRPr="003E616C">
        <w:rPr>
          <w:rFonts w:hint="cs"/>
          <w:sz w:val="18"/>
          <w:szCs w:val="18"/>
          <w:u w:val="single"/>
          <w:rtl/>
        </w:rPr>
        <w:t>ו</w:t>
      </w:r>
      <w:r>
        <w:rPr>
          <w:rFonts w:hint="cs"/>
          <w:sz w:val="18"/>
          <w:szCs w:val="18"/>
          <w:u w:val="single"/>
          <w:rtl/>
        </w:rPr>
        <w:t xml:space="preserve">הצגת </w:t>
      </w:r>
      <w:r w:rsidRPr="003E616C">
        <w:rPr>
          <w:rFonts w:hint="cs"/>
          <w:sz w:val="18"/>
          <w:szCs w:val="18"/>
          <w:u w:val="single"/>
          <w:rtl/>
        </w:rPr>
        <w:t>שיטתו ברשב"א</w:t>
      </w:r>
      <w:r>
        <w:rPr>
          <w:rFonts w:hint="cs"/>
          <w:sz w:val="18"/>
          <w:szCs w:val="18"/>
          <w:rtl/>
        </w:rPr>
        <w:br/>
        <w:t>דברי הרשב"א</w:t>
      </w:r>
      <w:r w:rsidRPr="004D14C0">
        <w:rPr>
          <w:rFonts w:hint="cs"/>
          <w:sz w:val="18"/>
          <w:szCs w:val="18"/>
          <w:rtl/>
        </w:rPr>
        <w:t xml:space="preserve"> אינ</w:t>
      </w:r>
      <w:r>
        <w:rPr>
          <w:rFonts w:hint="cs"/>
          <w:sz w:val="18"/>
          <w:szCs w:val="18"/>
          <w:rtl/>
        </w:rPr>
        <w:t>ם</w:t>
      </w:r>
      <w:r w:rsidRPr="004D14C0">
        <w:rPr>
          <w:rFonts w:hint="cs"/>
          <w:sz w:val="18"/>
          <w:szCs w:val="18"/>
          <w:rtl/>
        </w:rPr>
        <w:t xml:space="preserve"> מתקבל</w:t>
      </w:r>
      <w:r>
        <w:rPr>
          <w:rFonts w:hint="cs"/>
          <w:sz w:val="18"/>
          <w:szCs w:val="18"/>
          <w:rtl/>
        </w:rPr>
        <w:t>ים</w:t>
      </w:r>
      <w:r w:rsidRPr="004D14C0">
        <w:rPr>
          <w:rFonts w:hint="cs"/>
          <w:sz w:val="18"/>
          <w:szCs w:val="18"/>
          <w:rtl/>
        </w:rPr>
        <w:t xml:space="preserve"> על הדעת, משום שבכדי ליצור ג' הפלגות מוכרח שיהיו לה ד' ראיות!</w:t>
      </w:r>
      <w:r>
        <w:rPr>
          <w:sz w:val="18"/>
          <w:szCs w:val="18"/>
          <w:rtl/>
        </w:rPr>
        <w:br/>
      </w:r>
      <w:r w:rsidRPr="004D14C0">
        <w:rPr>
          <w:rFonts w:hint="cs"/>
          <w:sz w:val="18"/>
          <w:szCs w:val="18"/>
          <w:rtl/>
        </w:rPr>
        <w:t xml:space="preserve">ועוד יקשה </w:t>
      </w:r>
      <w:r w:rsidRPr="004D14C0">
        <w:rPr>
          <w:sz w:val="18"/>
          <w:szCs w:val="18"/>
          <w:rtl/>
        </w:rPr>
        <w:t>–</w:t>
      </w:r>
      <w:r w:rsidRPr="004D14C0">
        <w:rPr>
          <w:rFonts w:hint="cs"/>
          <w:sz w:val="18"/>
          <w:szCs w:val="18"/>
          <w:rtl/>
        </w:rPr>
        <w:t xml:space="preserve"> מה ראה המקשן להקשות את קושייתו פעם נוספת, הרי פשטו לו שהראייה המגיעה לאחר צ' יום מצטרפת להפלגות!</w:t>
      </w:r>
      <w:r w:rsidRPr="004D14C0">
        <w:rPr>
          <w:sz w:val="18"/>
          <w:szCs w:val="18"/>
          <w:rtl/>
        </w:rPr>
        <w:br/>
      </w:r>
      <w:r w:rsidRPr="004D14C0">
        <w:rPr>
          <w:rFonts w:hint="cs"/>
          <w:sz w:val="18"/>
          <w:szCs w:val="18"/>
          <w:rtl/>
        </w:rPr>
        <w:t xml:space="preserve">עוד יקשה </w:t>
      </w:r>
      <w:r w:rsidRPr="004D14C0">
        <w:rPr>
          <w:sz w:val="18"/>
          <w:szCs w:val="18"/>
          <w:rtl/>
        </w:rPr>
        <w:t>–</w:t>
      </w:r>
      <w:r w:rsidRPr="004D14C0">
        <w:rPr>
          <w:rFonts w:hint="cs"/>
          <w:sz w:val="18"/>
          <w:szCs w:val="18"/>
          <w:rtl/>
        </w:rPr>
        <w:t xml:space="preserve"> מדוע בבעיא השנייה פשטו שראייה הראשונה דיה שעתה, הרי לכאורה זו ראייה ג' ומטמאה מעת לעת!</w:t>
      </w:r>
      <w:r w:rsidRPr="004D14C0">
        <w:rPr>
          <w:rFonts w:hint="cs"/>
          <w:sz w:val="18"/>
          <w:szCs w:val="18"/>
          <w:rtl/>
        </w:rPr>
        <w:br/>
        <w:t>אלא על כ</w:t>
      </w:r>
      <w:r>
        <w:rPr>
          <w:rFonts w:hint="cs"/>
          <w:sz w:val="18"/>
          <w:szCs w:val="18"/>
          <w:rtl/>
        </w:rPr>
        <w:t>ו</w:t>
      </w:r>
      <w:r w:rsidRPr="004D14C0">
        <w:rPr>
          <w:rFonts w:hint="cs"/>
          <w:sz w:val="18"/>
          <w:szCs w:val="18"/>
          <w:rtl/>
        </w:rPr>
        <w:t xml:space="preserve">רחך כוונת הרשב"א כך </w:t>
      </w:r>
      <w:r w:rsidRPr="004D14C0">
        <w:rPr>
          <w:sz w:val="18"/>
          <w:szCs w:val="18"/>
          <w:rtl/>
        </w:rPr>
        <w:t>–</w:t>
      </w:r>
      <w:r w:rsidRPr="004D14C0">
        <w:rPr>
          <w:rFonts w:hint="cs"/>
          <w:sz w:val="18"/>
          <w:szCs w:val="18"/>
          <w:rtl/>
        </w:rPr>
        <w:t xml:space="preserve"> מלבד הראייה עליה מדובר בגמרא היתה ראייה נוספת. </w:t>
      </w:r>
      <w:r w:rsidRPr="004D14C0">
        <w:rPr>
          <w:sz w:val="18"/>
          <w:szCs w:val="18"/>
          <w:rtl/>
        </w:rPr>
        <w:br/>
      </w:r>
      <w:r w:rsidRPr="004D14C0">
        <w:rPr>
          <w:rFonts w:hint="cs"/>
          <w:sz w:val="18"/>
          <w:szCs w:val="18"/>
          <w:rtl/>
        </w:rPr>
        <w:t xml:space="preserve">כלומר </w:t>
      </w:r>
      <w:r w:rsidRPr="004D14C0">
        <w:rPr>
          <w:sz w:val="18"/>
          <w:szCs w:val="18"/>
          <w:rtl/>
        </w:rPr>
        <w:t>–</w:t>
      </w:r>
      <w:r w:rsidRPr="004D14C0">
        <w:rPr>
          <w:rFonts w:hint="cs"/>
          <w:sz w:val="18"/>
          <w:szCs w:val="18"/>
          <w:rtl/>
        </w:rPr>
        <w:t xml:space="preserve"> סך הכל יש ג' הפלגות, משום שמדובר על ד' ראיות.</w:t>
      </w:r>
      <w:r w:rsidRPr="004D14C0">
        <w:rPr>
          <w:rFonts w:hint="cs"/>
          <w:sz w:val="18"/>
          <w:szCs w:val="18"/>
          <w:rtl/>
        </w:rPr>
        <w:br/>
        <w:t>ואע"פ שבבעיא הראשונה פשטו שאין לצרף את הראייה הראשונה ודרושות עוד ג' ראיות, מכל מקום הקשו שנית שמא כשהיו ב' ראיות מרוחקות מצטרפות</w:t>
      </w:r>
      <w:r>
        <w:rPr>
          <w:rFonts w:hint="cs"/>
          <w:sz w:val="18"/>
          <w:szCs w:val="18"/>
          <w:rtl/>
        </w:rPr>
        <w:t>, משום שיש כבר שתי ראיות ואם תראה פעם נוספת בהפלגת צ' תקבע ווסת ולכן ייתכן שאף עתה דינה חמור ותהיה מוחזקת בדם ע"י ראייה בעונה קטנה</w:t>
      </w:r>
      <w:r w:rsidRPr="004D14C0">
        <w:rPr>
          <w:rFonts w:hint="cs"/>
          <w:sz w:val="18"/>
          <w:szCs w:val="18"/>
          <w:rtl/>
        </w:rPr>
        <w:t xml:space="preserve">. </w:t>
      </w:r>
      <w:r>
        <w:rPr>
          <w:rFonts w:hint="cs"/>
          <w:sz w:val="18"/>
          <w:szCs w:val="18"/>
          <w:rtl/>
        </w:rPr>
        <w:br/>
      </w:r>
      <w:r w:rsidRPr="004D14C0">
        <w:rPr>
          <w:sz w:val="18"/>
          <w:szCs w:val="18"/>
          <w:rtl/>
        </w:rPr>
        <w:br/>
      </w:r>
      <w:r>
        <w:rPr>
          <w:rFonts w:hint="cs"/>
          <w:sz w:val="18"/>
          <w:szCs w:val="18"/>
          <w:u w:val="single"/>
          <w:rtl/>
        </w:rPr>
        <w:t>דחיית הסבר הבית יוסף והצגת שיטת הט"ז ברשב"א</w:t>
      </w:r>
      <w:r>
        <w:rPr>
          <w:sz w:val="18"/>
          <w:szCs w:val="18"/>
          <w:rtl/>
        </w:rPr>
        <w:br/>
      </w:r>
      <w:r w:rsidRPr="004D14C0">
        <w:rPr>
          <w:rFonts w:hint="cs"/>
          <w:sz w:val="18"/>
          <w:szCs w:val="18"/>
          <w:rtl/>
        </w:rPr>
        <w:t xml:space="preserve">פירוש זה קשה להבנה, וכפי שמקשה גם </w:t>
      </w:r>
      <w:r w:rsidRPr="004D14C0">
        <w:rPr>
          <w:rFonts w:hint="cs"/>
          <w:b/>
          <w:bCs/>
          <w:sz w:val="18"/>
          <w:szCs w:val="18"/>
          <w:rtl/>
        </w:rPr>
        <w:t>הט"ז</w:t>
      </w:r>
      <w:r w:rsidRPr="004D14C0">
        <w:rPr>
          <w:rFonts w:hint="cs"/>
          <w:sz w:val="18"/>
          <w:szCs w:val="18"/>
          <w:rtl/>
        </w:rPr>
        <w:t xml:space="preserve"> </w:t>
      </w:r>
      <w:r w:rsidRPr="004D14C0">
        <w:rPr>
          <w:sz w:val="18"/>
          <w:szCs w:val="18"/>
          <w:rtl/>
        </w:rPr>
        <w:t>–</w:t>
      </w:r>
      <w:r w:rsidRPr="004D14C0">
        <w:rPr>
          <w:rFonts w:hint="cs"/>
          <w:sz w:val="18"/>
          <w:szCs w:val="18"/>
          <w:rtl/>
        </w:rPr>
        <w:t xml:space="preserve"> </w:t>
      </w:r>
      <w:r w:rsidRPr="004D14C0">
        <w:rPr>
          <w:sz w:val="18"/>
          <w:szCs w:val="18"/>
          <w:rtl/>
        </w:rPr>
        <w:br/>
      </w:r>
      <w:r w:rsidRPr="004D14C0">
        <w:rPr>
          <w:rFonts w:hint="cs"/>
          <w:sz w:val="18"/>
          <w:szCs w:val="18"/>
          <w:rtl/>
        </w:rPr>
        <w:t xml:space="preserve">לפי הסבר זה אין חילוק בין שתי האיבעיות בגמרא, וגם לאחר הראייה שאחרי ההפסקה השנייה דרושות עוד ג' ראיות כדי ליצור ג' הפלגות שוות, ואם כן דברי רב גידל אינם ברורים. </w:t>
      </w:r>
      <w:r w:rsidRPr="004D14C0">
        <w:rPr>
          <w:sz w:val="18"/>
          <w:szCs w:val="18"/>
          <w:rtl/>
        </w:rPr>
        <w:br/>
      </w:r>
      <w:r w:rsidRPr="004D14C0">
        <w:rPr>
          <w:rFonts w:hint="cs"/>
          <w:sz w:val="18"/>
          <w:szCs w:val="18"/>
          <w:rtl/>
        </w:rPr>
        <w:t xml:space="preserve">כלומר </w:t>
      </w:r>
      <w:r w:rsidRPr="004D14C0">
        <w:rPr>
          <w:sz w:val="18"/>
          <w:szCs w:val="18"/>
          <w:rtl/>
        </w:rPr>
        <w:t>–</w:t>
      </w:r>
      <w:r w:rsidRPr="004D14C0">
        <w:rPr>
          <w:rFonts w:hint="cs"/>
          <w:sz w:val="18"/>
          <w:szCs w:val="18"/>
          <w:rtl/>
        </w:rPr>
        <w:t xml:space="preserve"> באיבעיא הראשונה רב גידל אומר שרק מראייה השלישית מטמאה מעל"ע, באיבעיא השנייה רב גידל אומר שכבר מהראייה השנייה מטמאה מעל"ע, אך להסבר </w:t>
      </w:r>
      <w:r w:rsidRPr="004D14C0">
        <w:rPr>
          <w:rFonts w:hint="cs"/>
          <w:b/>
          <w:bCs/>
          <w:sz w:val="18"/>
          <w:szCs w:val="18"/>
          <w:rtl/>
        </w:rPr>
        <w:t xml:space="preserve">הבית יוסף </w:t>
      </w:r>
      <w:r w:rsidRPr="004D14C0">
        <w:rPr>
          <w:rFonts w:hint="cs"/>
          <w:sz w:val="18"/>
          <w:szCs w:val="18"/>
          <w:rtl/>
        </w:rPr>
        <w:t>ברשב"א אין כלל הבדל בין האיבעיות ובשתיהן מטמאה מעל"ע רק לאחר ג' הפלגות שוות!</w:t>
      </w:r>
      <w:r w:rsidRPr="004D14C0">
        <w:rPr>
          <w:rFonts w:hint="cs"/>
          <w:sz w:val="18"/>
          <w:szCs w:val="18"/>
          <w:rtl/>
        </w:rPr>
        <w:br/>
      </w:r>
      <w:r w:rsidRPr="004D14C0">
        <w:rPr>
          <w:sz w:val="18"/>
          <w:szCs w:val="18"/>
          <w:rtl/>
        </w:rPr>
        <w:br/>
      </w:r>
      <w:r w:rsidRPr="004D14C0">
        <w:rPr>
          <w:rFonts w:hint="cs"/>
          <w:sz w:val="18"/>
          <w:szCs w:val="18"/>
          <w:rtl/>
        </w:rPr>
        <w:t xml:space="preserve">משום כך מציע </w:t>
      </w:r>
      <w:r w:rsidRPr="004D14C0">
        <w:rPr>
          <w:rFonts w:hint="cs"/>
          <w:b/>
          <w:bCs/>
          <w:sz w:val="18"/>
          <w:szCs w:val="18"/>
          <w:rtl/>
        </w:rPr>
        <w:t>הט"ז</w:t>
      </w:r>
      <w:r w:rsidRPr="004D14C0">
        <w:rPr>
          <w:rFonts w:hint="cs"/>
          <w:sz w:val="18"/>
          <w:szCs w:val="18"/>
          <w:rtl/>
        </w:rPr>
        <w:t xml:space="preserve"> פירוש שונה בדברי </w:t>
      </w:r>
      <w:r w:rsidRPr="004D14C0">
        <w:rPr>
          <w:rFonts w:hint="cs"/>
          <w:b/>
          <w:bCs/>
          <w:sz w:val="18"/>
          <w:szCs w:val="18"/>
          <w:rtl/>
        </w:rPr>
        <w:t>הרשב"א</w:t>
      </w:r>
      <w:r w:rsidRPr="004D14C0">
        <w:rPr>
          <w:rFonts w:hint="cs"/>
          <w:sz w:val="18"/>
          <w:szCs w:val="18"/>
          <w:rtl/>
        </w:rPr>
        <w:t xml:space="preserve"> - </w:t>
      </w:r>
      <w:r w:rsidRPr="004D14C0">
        <w:rPr>
          <w:sz w:val="18"/>
          <w:szCs w:val="18"/>
          <w:rtl/>
        </w:rPr>
        <w:br/>
      </w:r>
      <w:r w:rsidRPr="004D14C0">
        <w:rPr>
          <w:rFonts w:hint="cs"/>
          <w:sz w:val="18"/>
          <w:szCs w:val="18"/>
          <w:rtl/>
        </w:rPr>
        <w:t>המסקנה בדברי רב גידל היא, שבג' ראיות לאחר הפסקת הצ' יום מוחזקת בדם ומטמאה מעל"ע.</w:t>
      </w:r>
      <w:r w:rsidRPr="004D14C0">
        <w:rPr>
          <w:sz w:val="18"/>
          <w:szCs w:val="18"/>
          <w:rtl/>
        </w:rPr>
        <w:br/>
      </w:r>
      <w:r w:rsidRPr="004D14C0">
        <w:rPr>
          <w:rFonts w:hint="cs"/>
          <w:sz w:val="18"/>
          <w:szCs w:val="18"/>
          <w:rtl/>
        </w:rPr>
        <w:t xml:space="preserve">לכן </w:t>
      </w:r>
      <w:r w:rsidRPr="004D14C0">
        <w:rPr>
          <w:sz w:val="18"/>
          <w:szCs w:val="18"/>
          <w:rtl/>
        </w:rPr>
        <w:t>–</w:t>
      </w:r>
      <w:r w:rsidRPr="004D14C0">
        <w:rPr>
          <w:rFonts w:hint="cs"/>
          <w:sz w:val="18"/>
          <w:szCs w:val="18"/>
          <w:rtl/>
        </w:rPr>
        <w:t xml:space="preserve"> אם פסקה צ' יום פעם אחת בלבד, לאחר ב' ראיות</w:t>
      </w:r>
      <w:r>
        <w:rPr>
          <w:rFonts w:hint="cs"/>
          <w:sz w:val="18"/>
          <w:szCs w:val="18"/>
          <w:rtl/>
        </w:rPr>
        <w:t xml:space="preserve"> בעונות קטנות היא מוחזקת בדם ומטמאה מעל"ע</w:t>
      </w:r>
      <w:r w:rsidRPr="004D14C0">
        <w:rPr>
          <w:rFonts w:hint="cs"/>
          <w:sz w:val="18"/>
          <w:szCs w:val="18"/>
          <w:rtl/>
        </w:rPr>
        <w:t xml:space="preserve"> </w:t>
      </w:r>
      <w:r w:rsidRPr="00261F48">
        <w:rPr>
          <w:rFonts w:hint="cs"/>
          <w:sz w:val="16"/>
          <w:szCs w:val="16"/>
          <w:rtl/>
        </w:rPr>
        <w:t>(ואמנם, אם היתה רואה ב' ראיות אלו בהפלגת צ', היתה גם קובעת ווסת לצ' יום)</w:t>
      </w:r>
      <w:r w:rsidRPr="004D14C0">
        <w:rPr>
          <w:rFonts w:hint="cs"/>
          <w:sz w:val="18"/>
          <w:szCs w:val="18"/>
          <w:rtl/>
        </w:rPr>
        <w:t>.</w:t>
      </w:r>
      <w:r w:rsidRPr="004D14C0">
        <w:rPr>
          <w:sz w:val="18"/>
          <w:szCs w:val="18"/>
          <w:rtl/>
        </w:rPr>
        <w:br/>
      </w:r>
      <w:r w:rsidRPr="004D14C0">
        <w:rPr>
          <w:rFonts w:hint="cs"/>
          <w:sz w:val="18"/>
          <w:szCs w:val="18"/>
          <w:rtl/>
        </w:rPr>
        <w:t>אך אם פסקה פעמיים לצ' יום, לאחר שתראה פעם אחת נוספת הרי היא מוחזקת בדם, ומטמאה מעל"ע.</w:t>
      </w:r>
      <w:r w:rsidRPr="004D14C0">
        <w:rPr>
          <w:sz w:val="18"/>
          <w:szCs w:val="18"/>
          <w:rtl/>
        </w:rPr>
        <w:br/>
      </w:r>
      <w:r w:rsidRPr="004D14C0">
        <w:rPr>
          <w:rFonts w:hint="cs"/>
          <w:sz w:val="18"/>
          <w:szCs w:val="18"/>
          <w:rtl/>
        </w:rPr>
        <w:t>לעניינינו, המשמעות ההלכתית בכך שתינוקת זו מוחזקת בדם היא, שכעת חוששת לראייתה כדין ווסת שאינו קבוע.</w:t>
      </w:r>
      <w:r w:rsidRPr="004D14C0">
        <w:rPr>
          <w:rFonts w:hint="cs"/>
          <w:sz w:val="18"/>
          <w:szCs w:val="18"/>
          <w:rtl/>
        </w:rPr>
        <w:br/>
      </w:r>
      <w:r w:rsidRPr="004D14C0">
        <w:rPr>
          <w:sz w:val="18"/>
          <w:szCs w:val="18"/>
          <w:rtl/>
        </w:rPr>
        <w:br/>
      </w:r>
      <w:r>
        <w:rPr>
          <w:rFonts w:hint="cs"/>
          <w:sz w:val="18"/>
          <w:szCs w:val="18"/>
          <w:u w:val="single"/>
          <w:rtl/>
        </w:rPr>
        <w:t>שורש מחלוקת בית יוסף וט"ז</w:t>
      </w:r>
      <w:r>
        <w:rPr>
          <w:sz w:val="18"/>
          <w:szCs w:val="18"/>
          <w:rtl/>
        </w:rPr>
        <w:br/>
      </w:r>
      <w:r w:rsidRPr="004D14C0">
        <w:rPr>
          <w:rFonts w:hint="cs"/>
          <w:sz w:val="18"/>
          <w:szCs w:val="18"/>
          <w:rtl/>
        </w:rPr>
        <w:t xml:space="preserve">ניתן לומר כך </w:t>
      </w:r>
      <w:r w:rsidRPr="004D14C0">
        <w:rPr>
          <w:sz w:val="18"/>
          <w:szCs w:val="18"/>
          <w:rtl/>
        </w:rPr>
        <w:t>–</w:t>
      </w:r>
      <w:r w:rsidRPr="004D14C0">
        <w:rPr>
          <w:rFonts w:hint="cs"/>
          <w:sz w:val="18"/>
          <w:szCs w:val="18"/>
          <w:rtl/>
        </w:rPr>
        <w:t xml:space="preserve"> שורש המחלוקת בין הט"ז לב"י הוא האם יש לחוש לווסת שאינו קבוע בתינוקת, או שבתינוקת שייך לחשוש רק לווסת קבוע ואין שייך לחשוש לווסת שאינו קבוע.</w:t>
      </w:r>
      <w:r w:rsidRPr="004D14C0">
        <w:rPr>
          <w:sz w:val="18"/>
          <w:szCs w:val="18"/>
          <w:rtl/>
        </w:rPr>
        <w:br/>
      </w:r>
      <w:r w:rsidRPr="004D14C0">
        <w:rPr>
          <w:rFonts w:hint="cs"/>
          <w:b/>
          <w:bCs/>
          <w:sz w:val="18"/>
          <w:szCs w:val="18"/>
          <w:rtl/>
        </w:rPr>
        <w:t>ב"י</w:t>
      </w:r>
      <w:r w:rsidRPr="004D14C0">
        <w:rPr>
          <w:rFonts w:hint="cs"/>
          <w:sz w:val="18"/>
          <w:szCs w:val="18"/>
          <w:rtl/>
        </w:rPr>
        <w:t xml:space="preserve"> </w:t>
      </w:r>
      <w:r w:rsidRPr="004D14C0">
        <w:rPr>
          <w:sz w:val="18"/>
          <w:szCs w:val="18"/>
          <w:rtl/>
        </w:rPr>
        <w:t>–</w:t>
      </w:r>
      <w:r w:rsidRPr="004D14C0">
        <w:rPr>
          <w:rFonts w:hint="cs"/>
          <w:sz w:val="18"/>
          <w:szCs w:val="18"/>
          <w:rtl/>
        </w:rPr>
        <w:t xml:space="preserve"> אין חשש לווסת שאינו קבוע בתינוקת.</w:t>
      </w:r>
      <w:r w:rsidRPr="004D14C0">
        <w:rPr>
          <w:sz w:val="18"/>
          <w:szCs w:val="18"/>
          <w:rtl/>
        </w:rPr>
        <w:br/>
      </w:r>
      <w:r w:rsidRPr="004D14C0">
        <w:rPr>
          <w:rFonts w:hint="cs"/>
          <w:sz w:val="18"/>
          <w:szCs w:val="18"/>
          <w:rtl/>
        </w:rPr>
        <w:t xml:space="preserve">לכן </w:t>
      </w:r>
      <w:r w:rsidRPr="004D14C0">
        <w:rPr>
          <w:sz w:val="18"/>
          <w:szCs w:val="18"/>
          <w:rtl/>
        </w:rPr>
        <w:t>–</w:t>
      </w:r>
      <w:r w:rsidRPr="004D14C0">
        <w:rPr>
          <w:rFonts w:hint="cs"/>
          <w:sz w:val="18"/>
          <w:szCs w:val="18"/>
          <w:rtl/>
        </w:rPr>
        <w:t xml:space="preserve"> הסוגייה אינה עוסקת כלל בג' ראיות שאין ביניהן הפלגות זהות, ועל כרחינו לפרש ברשב"א שמדובר בראיות שוות בהפלגותיהן וקבעה ווסת.</w:t>
      </w:r>
      <w:r>
        <w:rPr>
          <w:rFonts w:hint="cs"/>
          <w:sz w:val="18"/>
          <w:szCs w:val="18"/>
          <w:rtl/>
        </w:rPr>
        <w:t>]</w:t>
      </w:r>
    </w:p>
    <w:p w:rsidR="00620060" w:rsidRDefault="00620060" w:rsidP="00620060">
      <w:pPr>
        <w:rPr>
          <w:sz w:val="20"/>
          <w:szCs w:val="20"/>
          <w:rtl/>
        </w:rPr>
      </w:pPr>
      <w:r>
        <w:rPr>
          <w:sz w:val="20"/>
          <w:szCs w:val="20"/>
          <w:rtl/>
        </w:rPr>
        <w:br/>
      </w:r>
      <w:r>
        <w:rPr>
          <w:rFonts w:hint="cs"/>
          <w:b/>
          <w:bCs/>
          <w:sz w:val="20"/>
          <w:szCs w:val="20"/>
          <w:rtl/>
        </w:rPr>
        <w:t xml:space="preserve">סעיף כח </w:t>
      </w:r>
      <w:r>
        <w:rPr>
          <w:b/>
          <w:bCs/>
          <w:sz w:val="20"/>
          <w:szCs w:val="20"/>
          <w:rtl/>
        </w:rPr>
        <w:t>–</w:t>
      </w:r>
      <w:r>
        <w:rPr>
          <w:rFonts w:hint="cs"/>
          <w:b/>
          <w:bCs/>
          <w:sz w:val="20"/>
          <w:szCs w:val="20"/>
          <w:rtl/>
        </w:rPr>
        <w:t xml:space="preserve"> דין זקנה</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משנה </w:t>
      </w:r>
      <w:r>
        <w:rPr>
          <w:rFonts w:hint="cs"/>
          <w:sz w:val="20"/>
          <w:szCs w:val="20"/>
          <w:rtl/>
        </w:rPr>
        <w:t>נידה (ז.) "</w:t>
      </w:r>
      <w:r w:rsidRPr="000B1C95">
        <w:rPr>
          <w:rFonts w:cs="Arial" w:hint="cs"/>
          <w:sz w:val="20"/>
          <w:szCs w:val="20"/>
          <w:rtl/>
        </w:rPr>
        <w:t>רבי</w:t>
      </w:r>
      <w:r w:rsidRPr="000B1C95">
        <w:rPr>
          <w:rFonts w:cs="Arial"/>
          <w:sz w:val="20"/>
          <w:szCs w:val="20"/>
          <w:rtl/>
        </w:rPr>
        <w:t xml:space="preserve"> </w:t>
      </w:r>
      <w:r w:rsidRPr="000B1C95">
        <w:rPr>
          <w:rFonts w:cs="Arial" w:hint="cs"/>
          <w:sz w:val="20"/>
          <w:szCs w:val="20"/>
          <w:rtl/>
        </w:rPr>
        <w:t>אליעזר</w:t>
      </w:r>
      <w:r w:rsidRPr="000B1C95">
        <w:rPr>
          <w:rFonts w:cs="Arial"/>
          <w:sz w:val="20"/>
          <w:szCs w:val="20"/>
          <w:rtl/>
        </w:rPr>
        <w:t xml:space="preserve"> </w:t>
      </w:r>
      <w:r w:rsidRPr="000B1C95">
        <w:rPr>
          <w:rFonts w:cs="Arial" w:hint="cs"/>
          <w:sz w:val="20"/>
          <w:szCs w:val="20"/>
          <w:rtl/>
        </w:rPr>
        <w:t>אומר</w:t>
      </w:r>
      <w:r w:rsidRPr="000B1C95">
        <w:rPr>
          <w:rFonts w:cs="Arial"/>
          <w:sz w:val="20"/>
          <w:szCs w:val="20"/>
          <w:rtl/>
        </w:rPr>
        <w:t xml:space="preserve">, </w:t>
      </w:r>
      <w:r w:rsidRPr="000B1C95">
        <w:rPr>
          <w:rFonts w:cs="Arial" w:hint="cs"/>
          <w:sz w:val="20"/>
          <w:szCs w:val="20"/>
          <w:rtl/>
        </w:rPr>
        <w:t>ארבע</w:t>
      </w:r>
      <w:r w:rsidRPr="000B1C95">
        <w:rPr>
          <w:rFonts w:cs="Arial"/>
          <w:sz w:val="20"/>
          <w:szCs w:val="20"/>
          <w:rtl/>
        </w:rPr>
        <w:t xml:space="preserve"> </w:t>
      </w:r>
      <w:r w:rsidRPr="000B1C95">
        <w:rPr>
          <w:rFonts w:cs="Arial" w:hint="cs"/>
          <w:sz w:val="20"/>
          <w:szCs w:val="20"/>
          <w:rtl/>
        </w:rPr>
        <w:t>נשים</w:t>
      </w:r>
      <w:r w:rsidRPr="000B1C95">
        <w:rPr>
          <w:rFonts w:cs="Arial"/>
          <w:sz w:val="20"/>
          <w:szCs w:val="20"/>
          <w:rtl/>
        </w:rPr>
        <w:t xml:space="preserve"> </w:t>
      </w:r>
      <w:r w:rsidRPr="000B1C95">
        <w:rPr>
          <w:rFonts w:cs="Arial" w:hint="cs"/>
          <w:sz w:val="20"/>
          <w:szCs w:val="20"/>
          <w:rtl/>
        </w:rPr>
        <w:t>דיין</w:t>
      </w:r>
      <w:r w:rsidRPr="000B1C95">
        <w:rPr>
          <w:rFonts w:cs="Arial"/>
          <w:sz w:val="20"/>
          <w:szCs w:val="20"/>
          <w:rtl/>
        </w:rPr>
        <w:t xml:space="preserve"> </w:t>
      </w:r>
      <w:r w:rsidRPr="000B1C95">
        <w:rPr>
          <w:rFonts w:cs="Arial" w:hint="cs"/>
          <w:sz w:val="20"/>
          <w:szCs w:val="20"/>
          <w:rtl/>
        </w:rPr>
        <w:t>שעתן</w:t>
      </w:r>
      <w:r w:rsidRPr="000B1C95">
        <w:rPr>
          <w:rFonts w:cs="Arial"/>
          <w:sz w:val="20"/>
          <w:szCs w:val="20"/>
          <w:rtl/>
        </w:rPr>
        <w:t xml:space="preserve">: </w:t>
      </w:r>
      <w:r w:rsidRPr="000B1C95">
        <w:rPr>
          <w:rFonts w:cs="Arial" w:hint="cs"/>
          <w:sz w:val="20"/>
          <w:szCs w:val="20"/>
          <w:rtl/>
        </w:rPr>
        <w:t>בתולה</w:t>
      </w:r>
      <w:r w:rsidRPr="000B1C95">
        <w:rPr>
          <w:rFonts w:cs="Arial"/>
          <w:sz w:val="20"/>
          <w:szCs w:val="20"/>
          <w:rtl/>
        </w:rPr>
        <w:t xml:space="preserve">, </w:t>
      </w:r>
      <w:r w:rsidRPr="000B1C95">
        <w:rPr>
          <w:rFonts w:cs="Arial" w:hint="cs"/>
          <w:sz w:val="20"/>
          <w:szCs w:val="20"/>
          <w:rtl/>
        </w:rPr>
        <w:t>מעוברת</w:t>
      </w:r>
      <w:r w:rsidRPr="000B1C95">
        <w:rPr>
          <w:rFonts w:cs="Arial"/>
          <w:sz w:val="20"/>
          <w:szCs w:val="20"/>
          <w:rtl/>
        </w:rPr>
        <w:t xml:space="preserve">, </w:t>
      </w:r>
      <w:r w:rsidRPr="000B1C95">
        <w:rPr>
          <w:rFonts w:cs="Arial" w:hint="cs"/>
          <w:sz w:val="20"/>
          <w:szCs w:val="20"/>
          <w:rtl/>
        </w:rPr>
        <w:t>מניקה</w:t>
      </w:r>
      <w:r w:rsidRPr="000B1C95">
        <w:rPr>
          <w:rFonts w:cs="Arial"/>
          <w:sz w:val="20"/>
          <w:szCs w:val="20"/>
          <w:rtl/>
        </w:rPr>
        <w:t xml:space="preserve">, </w:t>
      </w:r>
      <w:r w:rsidRPr="000B1C95">
        <w:rPr>
          <w:rFonts w:cs="Arial" w:hint="cs"/>
          <w:sz w:val="20"/>
          <w:szCs w:val="20"/>
          <w:rtl/>
        </w:rPr>
        <w:t>וזקינה</w:t>
      </w:r>
      <w:r>
        <w:rPr>
          <w:rFonts w:cs="Arial"/>
          <w:sz w:val="20"/>
          <w:szCs w:val="20"/>
          <w:rtl/>
        </w:rPr>
        <w:t>.</w:t>
      </w:r>
      <w:r>
        <w:rPr>
          <w:rFonts w:cs="Arial" w:hint="cs"/>
          <w:sz w:val="20"/>
          <w:szCs w:val="20"/>
          <w:rtl/>
        </w:rPr>
        <w:t xml:space="preserve">.. </w:t>
      </w:r>
      <w:r w:rsidRPr="000B1C95">
        <w:rPr>
          <w:rFonts w:cs="Arial" w:hint="cs"/>
          <w:sz w:val="20"/>
          <w:szCs w:val="20"/>
          <w:rtl/>
        </w:rPr>
        <w:t>איזוהי</w:t>
      </w:r>
      <w:r w:rsidRPr="000B1C95">
        <w:rPr>
          <w:rFonts w:cs="Arial"/>
          <w:sz w:val="20"/>
          <w:szCs w:val="20"/>
          <w:rtl/>
        </w:rPr>
        <w:t xml:space="preserve"> </w:t>
      </w:r>
      <w:r w:rsidRPr="000B1C95">
        <w:rPr>
          <w:rFonts w:cs="Arial" w:hint="cs"/>
          <w:sz w:val="20"/>
          <w:szCs w:val="20"/>
          <w:rtl/>
        </w:rPr>
        <w:t>זקנה</w:t>
      </w:r>
      <w:r w:rsidRPr="000B1C95">
        <w:rPr>
          <w:rFonts w:cs="Arial"/>
          <w:sz w:val="20"/>
          <w:szCs w:val="20"/>
          <w:rtl/>
        </w:rPr>
        <w:t xml:space="preserve"> - </w:t>
      </w:r>
      <w:r w:rsidRPr="000B1C95">
        <w:rPr>
          <w:rFonts w:cs="Arial" w:hint="cs"/>
          <w:sz w:val="20"/>
          <w:szCs w:val="20"/>
          <w:rtl/>
        </w:rPr>
        <w:t>כל</w:t>
      </w:r>
      <w:r w:rsidRPr="000B1C95">
        <w:rPr>
          <w:rFonts w:cs="Arial"/>
          <w:sz w:val="20"/>
          <w:szCs w:val="20"/>
          <w:rtl/>
        </w:rPr>
        <w:t xml:space="preserve"> </w:t>
      </w:r>
      <w:r w:rsidRPr="000B1C95">
        <w:rPr>
          <w:rFonts w:cs="Arial" w:hint="cs"/>
          <w:sz w:val="20"/>
          <w:szCs w:val="20"/>
          <w:rtl/>
        </w:rPr>
        <w:t>שעברו</w:t>
      </w:r>
      <w:r w:rsidRPr="000B1C95">
        <w:rPr>
          <w:rFonts w:cs="Arial"/>
          <w:sz w:val="20"/>
          <w:szCs w:val="20"/>
          <w:rtl/>
        </w:rPr>
        <w:t xml:space="preserve"> </w:t>
      </w:r>
      <w:r w:rsidRPr="000B1C95">
        <w:rPr>
          <w:rFonts w:cs="Arial" w:hint="cs"/>
          <w:sz w:val="20"/>
          <w:szCs w:val="20"/>
          <w:rtl/>
        </w:rPr>
        <w:t>עליה</w:t>
      </w:r>
      <w:r w:rsidRPr="000B1C95">
        <w:rPr>
          <w:rFonts w:cs="Arial"/>
          <w:sz w:val="20"/>
          <w:szCs w:val="20"/>
          <w:rtl/>
        </w:rPr>
        <w:t xml:space="preserve"> </w:t>
      </w:r>
      <w:r w:rsidRPr="000B1C95">
        <w:rPr>
          <w:rFonts w:cs="Arial" w:hint="cs"/>
          <w:sz w:val="20"/>
          <w:szCs w:val="20"/>
          <w:rtl/>
        </w:rPr>
        <w:t>שלש</w:t>
      </w:r>
      <w:r w:rsidRPr="000B1C95">
        <w:rPr>
          <w:rFonts w:cs="Arial"/>
          <w:sz w:val="20"/>
          <w:szCs w:val="20"/>
          <w:rtl/>
        </w:rPr>
        <w:t xml:space="preserve"> </w:t>
      </w:r>
      <w:r w:rsidRPr="000B1C95">
        <w:rPr>
          <w:rFonts w:cs="Arial" w:hint="cs"/>
          <w:sz w:val="20"/>
          <w:szCs w:val="20"/>
          <w:rtl/>
        </w:rPr>
        <w:t>עונות</w:t>
      </w:r>
      <w:r w:rsidRPr="000B1C95">
        <w:rPr>
          <w:rFonts w:cs="Arial"/>
          <w:sz w:val="20"/>
          <w:szCs w:val="20"/>
          <w:rtl/>
        </w:rPr>
        <w:t xml:space="preserve"> </w:t>
      </w:r>
      <w:r w:rsidRPr="000B1C95">
        <w:rPr>
          <w:rFonts w:cs="Arial" w:hint="cs"/>
          <w:sz w:val="20"/>
          <w:szCs w:val="20"/>
          <w:rtl/>
        </w:rPr>
        <w:t>סמוך</w:t>
      </w:r>
      <w:r w:rsidRPr="000B1C95">
        <w:rPr>
          <w:rFonts w:cs="Arial"/>
          <w:sz w:val="20"/>
          <w:szCs w:val="20"/>
          <w:rtl/>
        </w:rPr>
        <w:t xml:space="preserve"> </w:t>
      </w:r>
      <w:r w:rsidRPr="000B1C95">
        <w:rPr>
          <w:rFonts w:cs="Arial" w:hint="cs"/>
          <w:sz w:val="20"/>
          <w:szCs w:val="20"/>
          <w:rtl/>
        </w:rPr>
        <w:t>לזקנתה</w:t>
      </w:r>
      <w:r>
        <w:rPr>
          <w:rFonts w:cs="Arial" w:hint="cs"/>
          <w:sz w:val="20"/>
          <w:szCs w:val="20"/>
          <w:rtl/>
        </w:rPr>
        <w:t xml:space="preserve"> </w:t>
      </w:r>
      <w:r w:rsidRPr="000B1C95">
        <w:rPr>
          <w:rFonts w:cs="Arial" w:hint="cs"/>
          <w:sz w:val="18"/>
          <w:szCs w:val="18"/>
          <w:rtl/>
        </w:rPr>
        <w:t>(ולא ראתה בהן דם)</w:t>
      </w:r>
      <w:r>
        <w:rPr>
          <w:rFonts w:cs="Arial" w:hint="cs"/>
          <w:sz w:val="20"/>
          <w:szCs w:val="20"/>
          <w:rtl/>
        </w:rPr>
        <w:t>".</w:t>
      </w:r>
    </w:p>
    <w:p w:rsidR="00620060" w:rsidRDefault="00620060" w:rsidP="00620060">
      <w:pPr>
        <w:rPr>
          <w:rFonts w:cs="Arial"/>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7021FD">
        <w:rPr>
          <w:rFonts w:cs="Arial" w:hint="cs"/>
          <w:sz w:val="20"/>
          <w:szCs w:val="20"/>
          <w:rtl/>
        </w:rPr>
        <w:t>וכן</w:t>
      </w:r>
      <w:r w:rsidRPr="007021FD">
        <w:rPr>
          <w:rFonts w:cs="Arial"/>
          <w:sz w:val="20"/>
          <w:szCs w:val="20"/>
          <w:rtl/>
        </w:rPr>
        <w:t xml:space="preserve"> </w:t>
      </w:r>
      <w:r w:rsidRPr="007021FD">
        <w:rPr>
          <w:rFonts w:cs="Arial" w:hint="cs"/>
          <w:sz w:val="20"/>
          <w:szCs w:val="20"/>
          <w:rtl/>
        </w:rPr>
        <w:t>זקנה</w:t>
      </w:r>
      <w:r w:rsidRPr="007021FD">
        <w:rPr>
          <w:rFonts w:cs="Arial"/>
          <w:sz w:val="20"/>
          <w:szCs w:val="20"/>
          <w:rtl/>
        </w:rPr>
        <w:t xml:space="preserve"> </w:t>
      </w:r>
      <w:r w:rsidRPr="007021FD">
        <w:rPr>
          <w:rFonts w:cs="Arial" w:hint="cs"/>
          <w:sz w:val="20"/>
          <w:szCs w:val="20"/>
          <w:rtl/>
        </w:rPr>
        <w:t>שעברו</w:t>
      </w:r>
      <w:r w:rsidRPr="007021FD">
        <w:rPr>
          <w:rFonts w:cs="Arial"/>
          <w:sz w:val="20"/>
          <w:szCs w:val="20"/>
          <w:rtl/>
        </w:rPr>
        <w:t xml:space="preserve"> </w:t>
      </w:r>
      <w:r w:rsidRPr="007021FD">
        <w:rPr>
          <w:rFonts w:cs="Arial" w:hint="cs"/>
          <w:sz w:val="20"/>
          <w:szCs w:val="20"/>
          <w:rtl/>
        </w:rPr>
        <w:t>עליה</w:t>
      </w:r>
      <w:r w:rsidRPr="007021FD">
        <w:rPr>
          <w:rFonts w:cs="Arial"/>
          <w:sz w:val="20"/>
          <w:szCs w:val="20"/>
          <w:rtl/>
        </w:rPr>
        <w:t xml:space="preserve"> </w:t>
      </w:r>
      <w:r w:rsidRPr="007021FD">
        <w:rPr>
          <w:rFonts w:cs="Arial" w:hint="cs"/>
          <w:sz w:val="20"/>
          <w:szCs w:val="20"/>
          <w:rtl/>
        </w:rPr>
        <w:t>של</w:t>
      </w:r>
      <w:r>
        <w:rPr>
          <w:rFonts w:cs="Arial" w:hint="cs"/>
          <w:sz w:val="20"/>
          <w:szCs w:val="20"/>
          <w:rtl/>
        </w:rPr>
        <w:t>ו</w:t>
      </w:r>
      <w:r w:rsidRPr="007021FD">
        <w:rPr>
          <w:rFonts w:cs="Arial" w:hint="cs"/>
          <w:sz w:val="20"/>
          <w:szCs w:val="20"/>
          <w:rtl/>
        </w:rPr>
        <w:t>ש</w:t>
      </w:r>
      <w:r w:rsidRPr="007021FD">
        <w:rPr>
          <w:rFonts w:cs="Arial"/>
          <w:sz w:val="20"/>
          <w:szCs w:val="20"/>
          <w:rtl/>
        </w:rPr>
        <w:t xml:space="preserve"> </w:t>
      </w:r>
      <w:r w:rsidRPr="007021FD">
        <w:rPr>
          <w:rFonts w:cs="Arial" w:hint="cs"/>
          <w:sz w:val="20"/>
          <w:szCs w:val="20"/>
          <w:rtl/>
        </w:rPr>
        <w:t>עונות</w:t>
      </w:r>
      <w:r w:rsidRPr="007021FD">
        <w:rPr>
          <w:rFonts w:cs="Arial"/>
          <w:sz w:val="20"/>
          <w:szCs w:val="20"/>
          <w:rtl/>
        </w:rPr>
        <w:t xml:space="preserve"> </w:t>
      </w:r>
      <w:r w:rsidRPr="007021FD">
        <w:rPr>
          <w:rFonts w:cs="Arial" w:hint="cs"/>
          <w:sz w:val="20"/>
          <w:szCs w:val="20"/>
          <w:rtl/>
        </w:rPr>
        <w:t>משהזקינה</w:t>
      </w:r>
      <w:r w:rsidRPr="007021FD">
        <w:rPr>
          <w:rFonts w:cs="Arial"/>
          <w:sz w:val="20"/>
          <w:szCs w:val="20"/>
          <w:rtl/>
        </w:rPr>
        <w:t xml:space="preserve">, </w:t>
      </w:r>
      <w:r w:rsidRPr="007021FD">
        <w:rPr>
          <w:rFonts w:cs="Arial" w:hint="cs"/>
          <w:sz w:val="20"/>
          <w:szCs w:val="20"/>
          <w:rtl/>
        </w:rPr>
        <w:t>ולא</w:t>
      </w:r>
      <w:r w:rsidRPr="007021FD">
        <w:rPr>
          <w:rFonts w:cs="Arial"/>
          <w:sz w:val="20"/>
          <w:szCs w:val="20"/>
          <w:rtl/>
        </w:rPr>
        <w:t xml:space="preserve"> </w:t>
      </w:r>
      <w:r w:rsidRPr="007021FD">
        <w:rPr>
          <w:rFonts w:cs="Arial" w:hint="cs"/>
          <w:sz w:val="20"/>
          <w:szCs w:val="20"/>
          <w:rtl/>
        </w:rPr>
        <w:t>ראתה</w:t>
      </w:r>
      <w:r w:rsidRPr="007021FD">
        <w:rPr>
          <w:rFonts w:cs="Arial"/>
          <w:sz w:val="20"/>
          <w:szCs w:val="20"/>
          <w:rtl/>
        </w:rPr>
        <w:t xml:space="preserve">, </w:t>
      </w:r>
      <w:r w:rsidRPr="007021FD">
        <w:rPr>
          <w:rFonts w:cs="Arial" w:hint="cs"/>
          <w:sz w:val="20"/>
          <w:szCs w:val="20"/>
          <w:rtl/>
        </w:rPr>
        <w:t>הרי</w:t>
      </w:r>
      <w:r w:rsidRPr="007021FD">
        <w:rPr>
          <w:rFonts w:cs="Arial"/>
          <w:sz w:val="20"/>
          <w:szCs w:val="20"/>
          <w:rtl/>
        </w:rPr>
        <w:t xml:space="preserve"> </w:t>
      </w:r>
      <w:r w:rsidRPr="007021FD">
        <w:rPr>
          <w:rFonts w:cs="Arial" w:hint="cs"/>
          <w:sz w:val="20"/>
          <w:szCs w:val="20"/>
          <w:rtl/>
        </w:rPr>
        <w:t>זו</w:t>
      </w:r>
      <w:r w:rsidRPr="007021FD">
        <w:rPr>
          <w:rFonts w:cs="Arial"/>
          <w:sz w:val="20"/>
          <w:szCs w:val="20"/>
          <w:rtl/>
        </w:rPr>
        <w:t xml:space="preserve"> </w:t>
      </w:r>
      <w:r w:rsidRPr="007021FD">
        <w:rPr>
          <w:rFonts w:cs="Arial" w:hint="cs"/>
          <w:sz w:val="20"/>
          <w:szCs w:val="20"/>
          <w:rtl/>
        </w:rPr>
        <w:t>מסולקת</w:t>
      </w:r>
      <w:r w:rsidRPr="007021FD">
        <w:rPr>
          <w:rFonts w:cs="Arial"/>
          <w:sz w:val="20"/>
          <w:szCs w:val="20"/>
          <w:rtl/>
        </w:rPr>
        <w:t xml:space="preserve"> </w:t>
      </w:r>
      <w:r w:rsidRPr="007021FD">
        <w:rPr>
          <w:rFonts w:cs="Arial" w:hint="cs"/>
          <w:sz w:val="20"/>
          <w:szCs w:val="20"/>
          <w:rtl/>
        </w:rPr>
        <w:t>דמים</w:t>
      </w:r>
      <w:r w:rsidRPr="007021FD">
        <w:rPr>
          <w:rFonts w:cs="Arial"/>
          <w:sz w:val="20"/>
          <w:szCs w:val="20"/>
          <w:rtl/>
        </w:rPr>
        <w:t xml:space="preserve"> </w:t>
      </w:r>
      <w:r w:rsidRPr="007021FD">
        <w:rPr>
          <w:rFonts w:cs="Arial" w:hint="cs"/>
          <w:sz w:val="20"/>
          <w:szCs w:val="20"/>
          <w:rtl/>
        </w:rPr>
        <w:t>ואינה</w:t>
      </w:r>
      <w:r w:rsidRPr="007021FD">
        <w:rPr>
          <w:rFonts w:cs="Arial"/>
          <w:sz w:val="20"/>
          <w:szCs w:val="20"/>
          <w:rtl/>
        </w:rPr>
        <w:t xml:space="preserve"> </w:t>
      </w:r>
      <w:r w:rsidRPr="007021FD">
        <w:rPr>
          <w:rFonts w:cs="Arial" w:hint="cs"/>
          <w:sz w:val="20"/>
          <w:szCs w:val="20"/>
          <w:rtl/>
        </w:rPr>
        <w:t>חוששת</w:t>
      </w:r>
      <w:r w:rsidRPr="007021FD">
        <w:rPr>
          <w:rFonts w:cs="Arial"/>
          <w:sz w:val="20"/>
          <w:szCs w:val="20"/>
          <w:rtl/>
        </w:rPr>
        <w:t xml:space="preserve"> </w:t>
      </w:r>
      <w:r w:rsidRPr="007021FD">
        <w:rPr>
          <w:rFonts w:cs="Arial" w:hint="cs"/>
          <w:sz w:val="20"/>
          <w:szCs w:val="20"/>
          <w:rtl/>
        </w:rPr>
        <w:t>ל</w:t>
      </w:r>
      <w:r>
        <w:rPr>
          <w:rFonts w:cs="Arial" w:hint="cs"/>
          <w:sz w:val="20"/>
          <w:szCs w:val="20"/>
          <w:rtl/>
        </w:rPr>
        <w:t>ו</w:t>
      </w:r>
      <w:r w:rsidRPr="007021FD">
        <w:rPr>
          <w:rFonts w:cs="Arial" w:hint="cs"/>
          <w:sz w:val="20"/>
          <w:szCs w:val="20"/>
          <w:rtl/>
        </w:rPr>
        <w:t>וסתה</w:t>
      </w:r>
      <w:r w:rsidRPr="007021FD">
        <w:rPr>
          <w:rFonts w:cs="Arial"/>
          <w:sz w:val="20"/>
          <w:szCs w:val="20"/>
          <w:rtl/>
        </w:rPr>
        <w:t xml:space="preserve"> </w:t>
      </w:r>
      <w:r w:rsidRPr="007021FD">
        <w:rPr>
          <w:rFonts w:cs="Arial" w:hint="cs"/>
          <w:sz w:val="20"/>
          <w:szCs w:val="20"/>
          <w:rtl/>
        </w:rPr>
        <w:t>הראשון</w:t>
      </w:r>
      <w:r>
        <w:rPr>
          <w:rFonts w:cs="Arial" w:hint="cs"/>
          <w:sz w:val="20"/>
          <w:szCs w:val="20"/>
          <w:rtl/>
        </w:rPr>
        <w:t>".</w:t>
      </w:r>
      <w:r>
        <w:rPr>
          <w:rStyle w:val="a5"/>
          <w:rFonts w:cs="Arial"/>
          <w:sz w:val="20"/>
          <w:szCs w:val="20"/>
          <w:rtl/>
        </w:rPr>
        <w:footnoteReference w:id="230"/>
      </w:r>
      <w:r>
        <w:rPr>
          <w:rFonts w:cs="Arial" w:hint="cs"/>
          <w:sz w:val="20"/>
          <w:szCs w:val="20"/>
          <w:rtl/>
        </w:rPr>
        <w:t xml:space="preserve">  </w:t>
      </w:r>
      <w:r>
        <w:rPr>
          <w:rStyle w:val="a5"/>
          <w:rFonts w:cs="Arial"/>
          <w:sz w:val="20"/>
          <w:szCs w:val="20"/>
          <w:rtl/>
        </w:rPr>
        <w:footnoteReference w:id="231"/>
      </w:r>
    </w:p>
    <w:p w:rsidR="00620060" w:rsidRDefault="00620060" w:rsidP="00620060">
      <w:pPr>
        <w:rPr>
          <w:sz w:val="20"/>
          <w:szCs w:val="20"/>
          <w:rtl/>
        </w:rPr>
      </w:pPr>
      <w:r>
        <w:rPr>
          <w:rFonts w:cs="Arial" w:hint="cs"/>
          <w:b/>
          <w:bCs/>
          <w:sz w:val="20"/>
          <w:szCs w:val="20"/>
          <w:rtl/>
        </w:rPr>
        <w:lastRenderedPageBreak/>
        <w:t>חשש לווסת שאינו קבוע</w:t>
      </w:r>
      <w:r>
        <w:rPr>
          <w:rFonts w:cs="Arial"/>
          <w:b/>
          <w:bCs/>
          <w:sz w:val="20"/>
          <w:szCs w:val="20"/>
          <w:rtl/>
        </w:rPr>
        <w:br/>
      </w:r>
      <w:r>
        <w:rPr>
          <w:rFonts w:cs="Arial" w:hint="cs"/>
          <w:b/>
          <w:bCs/>
          <w:sz w:val="20"/>
          <w:szCs w:val="20"/>
          <w:rtl/>
        </w:rPr>
        <w:t>פסיקת הלכה</w:t>
      </w:r>
      <w:r>
        <w:rPr>
          <w:rFonts w:cs="Arial"/>
          <w:b/>
          <w:bCs/>
          <w:sz w:val="20"/>
          <w:szCs w:val="20"/>
          <w:rtl/>
        </w:rPr>
        <w:br/>
      </w:r>
      <w:r>
        <w:rPr>
          <w:rFonts w:cs="Arial" w:hint="cs"/>
          <w:b/>
          <w:bCs/>
          <w:sz w:val="20"/>
          <w:szCs w:val="20"/>
          <w:rtl/>
        </w:rPr>
        <w:t xml:space="preserve">רמ"א </w:t>
      </w:r>
      <w:r w:rsidRPr="00C6757D">
        <w:rPr>
          <w:rFonts w:cs="Arial" w:hint="cs"/>
          <w:sz w:val="18"/>
          <w:szCs w:val="18"/>
          <w:rtl/>
        </w:rPr>
        <w:t xml:space="preserve">(ע"פ </w:t>
      </w:r>
      <w:r w:rsidRPr="00C6757D">
        <w:rPr>
          <w:rFonts w:cs="Arial" w:hint="cs"/>
          <w:b/>
          <w:bCs/>
          <w:sz w:val="18"/>
          <w:szCs w:val="18"/>
          <w:rtl/>
        </w:rPr>
        <w:t>הב"י</w:t>
      </w:r>
      <w:r w:rsidRPr="00C6757D">
        <w:rPr>
          <w:rFonts w:cs="Arial" w:hint="cs"/>
          <w:sz w:val="18"/>
          <w:szCs w:val="18"/>
          <w:rtl/>
        </w:rPr>
        <w:t xml:space="preserve"> בשם </w:t>
      </w:r>
      <w:r w:rsidRPr="00C6757D">
        <w:rPr>
          <w:rFonts w:cs="Arial" w:hint="cs"/>
          <w:b/>
          <w:bCs/>
          <w:sz w:val="18"/>
          <w:szCs w:val="18"/>
          <w:rtl/>
        </w:rPr>
        <w:t>הרשב"א</w:t>
      </w:r>
      <w:r w:rsidRPr="00C6757D">
        <w:rPr>
          <w:rFonts w:cs="Arial" w:hint="cs"/>
          <w:sz w:val="18"/>
          <w:szCs w:val="18"/>
          <w:rtl/>
        </w:rPr>
        <w:t xml:space="preserve">) </w:t>
      </w:r>
      <w:r w:rsidRPr="00C6757D">
        <w:rPr>
          <w:rFonts w:cs="Arial"/>
          <w:sz w:val="18"/>
          <w:szCs w:val="18"/>
          <w:rtl/>
        </w:rPr>
        <w:t>–</w:t>
      </w:r>
      <w:r w:rsidRPr="00C6757D">
        <w:rPr>
          <w:rFonts w:cs="Arial" w:hint="cs"/>
          <w:sz w:val="18"/>
          <w:szCs w:val="18"/>
          <w:rtl/>
        </w:rPr>
        <w:t xml:space="preserve"> "וקטנה</w:t>
      </w:r>
      <w:r w:rsidRPr="00C6757D">
        <w:rPr>
          <w:rFonts w:cs="Arial"/>
          <w:sz w:val="18"/>
          <w:szCs w:val="18"/>
          <w:rtl/>
        </w:rPr>
        <w:t xml:space="preserve"> </w:t>
      </w:r>
      <w:r w:rsidRPr="00C6757D">
        <w:rPr>
          <w:rFonts w:cs="Arial" w:hint="cs"/>
          <w:sz w:val="18"/>
          <w:szCs w:val="18"/>
          <w:rtl/>
        </w:rPr>
        <w:t>וזקנה</w:t>
      </w:r>
      <w:r w:rsidRPr="00C6757D">
        <w:rPr>
          <w:rFonts w:cs="Arial"/>
          <w:sz w:val="18"/>
          <w:szCs w:val="18"/>
          <w:rtl/>
        </w:rPr>
        <w:t xml:space="preserve"> </w:t>
      </w:r>
      <w:r w:rsidRPr="00C6757D">
        <w:rPr>
          <w:rFonts w:cs="Arial" w:hint="cs"/>
          <w:sz w:val="18"/>
          <w:szCs w:val="18"/>
          <w:rtl/>
        </w:rPr>
        <w:t>אינן</w:t>
      </w:r>
      <w:r w:rsidRPr="00C6757D">
        <w:rPr>
          <w:rFonts w:cs="Arial"/>
          <w:sz w:val="18"/>
          <w:szCs w:val="18"/>
          <w:rtl/>
        </w:rPr>
        <w:t xml:space="preserve"> </w:t>
      </w:r>
      <w:r w:rsidRPr="00C6757D">
        <w:rPr>
          <w:rFonts w:cs="Arial" w:hint="cs"/>
          <w:sz w:val="18"/>
          <w:szCs w:val="18"/>
          <w:rtl/>
        </w:rPr>
        <w:t>חוששות</w:t>
      </w:r>
      <w:r w:rsidRPr="00C6757D">
        <w:rPr>
          <w:rFonts w:cs="Arial"/>
          <w:sz w:val="18"/>
          <w:szCs w:val="18"/>
          <w:rtl/>
        </w:rPr>
        <w:t xml:space="preserve"> </w:t>
      </w:r>
      <w:r w:rsidRPr="00C6757D">
        <w:rPr>
          <w:rFonts w:cs="Arial" w:hint="cs"/>
          <w:sz w:val="18"/>
          <w:szCs w:val="18"/>
          <w:rtl/>
        </w:rPr>
        <w:t>לווסת</w:t>
      </w:r>
      <w:r w:rsidRPr="00C6757D">
        <w:rPr>
          <w:rFonts w:cs="Arial"/>
          <w:sz w:val="18"/>
          <w:szCs w:val="18"/>
          <w:rtl/>
        </w:rPr>
        <w:t xml:space="preserve"> </w:t>
      </w:r>
      <w:r w:rsidRPr="00C6757D">
        <w:rPr>
          <w:rFonts w:cs="Arial" w:hint="cs"/>
          <w:sz w:val="18"/>
          <w:szCs w:val="18"/>
          <w:rtl/>
        </w:rPr>
        <w:t>שאינו</w:t>
      </w:r>
      <w:r w:rsidRPr="00C6757D">
        <w:rPr>
          <w:rFonts w:cs="Arial"/>
          <w:sz w:val="18"/>
          <w:szCs w:val="18"/>
          <w:rtl/>
        </w:rPr>
        <w:t xml:space="preserve"> </w:t>
      </w:r>
      <w:r w:rsidRPr="00C6757D">
        <w:rPr>
          <w:rFonts w:cs="Arial" w:hint="cs"/>
          <w:sz w:val="18"/>
          <w:szCs w:val="18"/>
          <w:rtl/>
        </w:rPr>
        <w:t>קבוע</w:t>
      </w:r>
      <w:r w:rsidRPr="00C6757D">
        <w:rPr>
          <w:rFonts w:hint="cs"/>
          <w:sz w:val="18"/>
          <w:szCs w:val="18"/>
          <w:rtl/>
        </w:rPr>
        <w:t>".</w:t>
      </w:r>
    </w:p>
    <w:p w:rsidR="00620060" w:rsidRDefault="00620060" w:rsidP="00620060">
      <w:pPr>
        <w:rPr>
          <w:sz w:val="20"/>
          <w:szCs w:val="20"/>
          <w:rtl/>
        </w:rPr>
      </w:pPr>
      <w:r>
        <w:rPr>
          <w:rFonts w:hint="cs"/>
          <w:sz w:val="20"/>
          <w:szCs w:val="20"/>
          <w:u w:val="single"/>
          <w:rtl/>
        </w:rPr>
        <w:t>זקנה וקטנה שראו ג' פעמים</w:t>
      </w:r>
      <w:r>
        <w:rPr>
          <w:sz w:val="20"/>
          <w:szCs w:val="20"/>
          <w:u w:val="single"/>
          <w:rtl/>
        </w:rPr>
        <w:br/>
      </w:r>
      <w:r>
        <w:rPr>
          <w:rFonts w:hint="cs"/>
          <w:sz w:val="20"/>
          <w:szCs w:val="20"/>
          <w:rtl/>
        </w:rPr>
        <w:t xml:space="preserve">קטנה וזקנה שראו דם ג' פעמים אך לא קבעו ווסת, האם חוששות לווסת שאינו קבוע? </w:t>
      </w:r>
      <w:r>
        <w:rPr>
          <w:rFonts w:hint="cs"/>
          <w:sz w:val="18"/>
          <w:szCs w:val="18"/>
          <w:rtl/>
        </w:rPr>
        <w:t xml:space="preserve">(מבואר בסוף </w:t>
      </w:r>
      <w:r w:rsidRPr="00C6757D">
        <w:rPr>
          <w:rFonts w:hint="cs"/>
          <w:sz w:val="18"/>
          <w:szCs w:val="18"/>
          <w:rtl/>
        </w:rPr>
        <w:t>סעיף הקודם)</w:t>
      </w:r>
      <w:r>
        <w:rPr>
          <w:rFonts w:hint="cs"/>
          <w:sz w:val="20"/>
          <w:szCs w:val="20"/>
          <w:rtl/>
        </w:rPr>
        <w:br/>
        <w:t xml:space="preserve">א. </w:t>
      </w:r>
      <w:r w:rsidRPr="00C6757D">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כן.</w:t>
      </w:r>
      <w:r>
        <w:rPr>
          <w:sz w:val="20"/>
          <w:szCs w:val="20"/>
          <w:rtl/>
        </w:rPr>
        <w:br/>
      </w:r>
      <w:r>
        <w:rPr>
          <w:rFonts w:hint="cs"/>
          <w:sz w:val="20"/>
          <w:szCs w:val="20"/>
          <w:rtl/>
        </w:rPr>
        <w:t xml:space="preserve">ב. </w:t>
      </w:r>
      <w:r w:rsidRPr="00C6757D">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לא.</w:t>
      </w:r>
    </w:p>
    <w:p w:rsidR="00620060"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2F593E">
        <w:rPr>
          <w:rFonts w:hint="cs"/>
          <w:b/>
          <w:bCs/>
          <w:sz w:val="20"/>
          <w:szCs w:val="20"/>
          <w:rtl/>
        </w:rPr>
        <w:t>משנה</w:t>
      </w:r>
      <w:r>
        <w:rPr>
          <w:rFonts w:hint="cs"/>
          <w:sz w:val="20"/>
          <w:szCs w:val="20"/>
          <w:rtl/>
        </w:rPr>
        <w:t xml:space="preserve">. זקנה שעברו עליה ג' עונות ולא ראתה </w:t>
      </w:r>
      <w:r>
        <w:rPr>
          <w:sz w:val="20"/>
          <w:szCs w:val="20"/>
          <w:rtl/>
        </w:rPr>
        <w:t>–</w:t>
      </w:r>
      <w:r>
        <w:rPr>
          <w:rFonts w:hint="cs"/>
          <w:sz w:val="20"/>
          <w:szCs w:val="20"/>
          <w:rtl/>
        </w:rPr>
        <w:t xml:space="preserve"> דיה שעתה.</w:t>
      </w:r>
      <w:r>
        <w:rPr>
          <w:sz w:val="20"/>
          <w:szCs w:val="20"/>
          <w:rtl/>
        </w:rPr>
        <w:br/>
      </w:r>
      <w:r>
        <w:rPr>
          <w:rFonts w:hint="cs"/>
          <w:sz w:val="20"/>
          <w:szCs w:val="20"/>
          <w:rtl/>
        </w:rPr>
        <w:t xml:space="preserve">2. </w:t>
      </w:r>
      <w:r w:rsidRPr="002F593E">
        <w:rPr>
          <w:rFonts w:hint="cs"/>
          <w:b/>
          <w:bCs/>
          <w:sz w:val="20"/>
          <w:szCs w:val="20"/>
          <w:rtl/>
        </w:rPr>
        <w:t>מחבר</w:t>
      </w:r>
      <w:r>
        <w:rPr>
          <w:rFonts w:hint="cs"/>
          <w:sz w:val="20"/>
          <w:szCs w:val="20"/>
          <w:rtl/>
        </w:rPr>
        <w:t xml:space="preserve">. זקנה שעברו עליה ג' עונות ולא ראתה </w:t>
      </w:r>
      <w:r>
        <w:rPr>
          <w:sz w:val="20"/>
          <w:szCs w:val="20"/>
          <w:rtl/>
        </w:rPr>
        <w:t>–</w:t>
      </w:r>
      <w:r>
        <w:rPr>
          <w:rFonts w:hint="cs"/>
          <w:sz w:val="20"/>
          <w:szCs w:val="20"/>
          <w:rtl/>
        </w:rPr>
        <w:t xml:space="preserve"> מסולקת דמים ואינה חוששת לווסת הראשון.</w:t>
      </w:r>
      <w:r>
        <w:rPr>
          <w:rFonts w:hint="cs"/>
          <w:sz w:val="20"/>
          <w:szCs w:val="20"/>
          <w:rtl/>
        </w:rPr>
        <w:br/>
        <w:t xml:space="preserve">3. </w:t>
      </w:r>
      <w:r w:rsidRPr="002F593E">
        <w:rPr>
          <w:rFonts w:hint="cs"/>
          <w:b/>
          <w:bCs/>
          <w:sz w:val="20"/>
          <w:szCs w:val="20"/>
          <w:rtl/>
        </w:rPr>
        <w:t>רמ"א</w:t>
      </w:r>
      <w:r>
        <w:rPr>
          <w:rFonts w:hint="cs"/>
          <w:sz w:val="20"/>
          <w:szCs w:val="20"/>
          <w:rtl/>
        </w:rPr>
        <w:t>. קטנה וזקנה אינן חוששות לווסת שאינו קבוע.</w:t>
      </w:r>
      <w:r>
        <w:rPr>
          <w:sz w:val="20"/>
          <w:szCs w:val="20"/>
          <w:rtl/>
        </w:rPr>
        <w:br/>
      </w:r>
      <w:r>
        <w:rPr>
          <w:rFonts w:hint="cs"/>
          <w:sz w:val="20"/>
          <w:szCs w:val="20"/>
          <w:rtl/>
        </w:rPr>
        <w:t xml:space="preserve">4. קטנה וזקנה שראו ג"פ, האם חוששות מעתה כווסת שאינו קבוע? </w:t>
      </w:r>
      <w:r w:rsidRPr="002F593E">
        <w:rPr>
          <w:rFonts w:hint="cs"/>
          <w:b/>
          <w:bCs/>
          <w:sz w:val="20"/>
          <w:szCs w:val="20"/>
          <w:rtl/>
        </w:rPr>
        <w:t>ט"ז</w:t>
      </w:r>
      <w:r>
        <w:rPr>
          <w:rFonts w:hint="cs"/>
          <w:sz w:val="20"/>
          <w:szCs w:val="20"/>
          <w:rtl/>
        </w:rPr>
        <w:t xml:space="preserve">. כן. </w:t>
      </w:r>
      <w:r w:rsidRPr="002F593E">
        <w:rPr>
          <w:rFonts w:hint="cs"/>
          <w:b/>
          <w:bCs/>
          <w:sz w:val="20"/>
          <w:szCs w:val="20"/>
          <w:rtl/>
        </w:rPr>
        <w:t>ש"ך</w:t>
      </w:r>
      <w:r>
        <w:rPr>
          <w:rFonts w:hint="cs"/>
          <w:sz w:val="20"/>
          <w:szCs w:val="20"/>
          <w:rtl/>
        </w:rPr>
        <w:t>. לא.</w:t>
      </w:r>
    </w:p>
    <w:p w:rsidR="00620060" w:rsidRDefault="00620060" w:rsidP="00620060">
      <w:pPr>
        <w:rPr>
          <w:sz w:val="20"/>
          <w:szCs w:val="20"/>
          <w:rtl/>
        </w:rPr>
      </w:pPr>
      <w:r>
        <w:rPr>
          <w:sz w:val="20"/>
          <w:szCs w:val="20"/>
          <w:rtl/>
        </w:rPr>
        <w:br/>
      </w:r>
      <w:r>
        <w:rPr>
          <w:rFonts w:hint="cs"/>
          <w:b/>
          <w:bCs/>
          <w:sz w:val="20"/>
          <w:szCs w:val="20"/>
          <w:rtl/>
        </w:rPr>
        <w:t xml:space="preserve">סעיף כט </w:t>
      </w:r>
      <w:r>
        <w:rPr>
          <w:b/>
          <w:bCs/>
          <w:sz w:val="20"/>
          <w:szCs w:val="20"/>
          <w:rtl/>
        </w:rPr>
        <w:t>–</w:t>
      </w:r>
      <w:r>
        <w:rPr>
          <w:rFonts w:hint="cs"/>
          <w:b/>
          <w:bCs/>
          <w:sz w:val="20"/>
          <w:szCs w:val="20"/>
          <w:rtl/>
        </w:rPr>
        <w:t xml:space="preserve"> הגדרת זקנה</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גמרא </w:t>
      </w:r>
      <w:r>
        <w:rPr>
          <w:rFonts w:hint="cs"/>
          <w:sz w:val="20"/>
          <w:szCs w:val="20"/>
          <w:rtl/>
        </w:rPr>
        <w:t xml:space="preserve">נידה (ט. </w:t>
      </w:r>
      <w:r>
        <w:rPr>
          <w:sz w:val="20"/>
          <w:szCs w:val="20"/>
          <w:rtl/>
        </w:rPr>
        <w:t>–</w:t>
      </w:r>
      <w:r>
        <w:rPr>
          <w:rFonts w:hint="cs"/>
          <w:sz w:val="20"/>
          <w:szCs w:val="20"/>
          <w:rtl/>
        </w:rPr>
        <w:t xml:space="preserve"> ט:) "</w:t>
      </w:r>
      <w:r w:rsidRPr="009E1652">
        <w:rPr>
          <w:rFonts w:cs="Arial" w:hint="cs"/>
          <w:sz w:val="20"/>
          <w:szCs w:val="20"/>
          <w:rtl/>
        </w:rPr>
        <w:t>איזו</w:t>
      </w:r>
      <w:r w:rsidRPr="009E1652">
        <w:rPr>
          <w:rFonts w:cs="Arial"/>
          <w:sz w:val="20"/>
          <w:szCs w:val="20"/>
          <w:rtl/>
        </w:rPr>
        <w:t xml:space="preserve"> </w:t>
      </w:r>
      <w:r w:rsidRPr="009E1652">
        <w:rPr>
          <w:rFonts w:cs="Arial" w:hint="cs"/>
          <w:sz w:val="20"/>
          <w:szCs w:val="20"/>
          <w:rtl/>
        </w:rPr>
        <w:t>היא</w:t>
      </w:r>
      <w:r w:rsidRPr="009E1652">
        <w:rPr>
          <w:rFonts w:cs="Arial"/>
          <w:sz w:val="20"/>
          <w:szCs w:val="20"/>
          <w:rtl/>
        </w:rPr>
        <w:t xml:space="preserve"> </w:t>
      </w:r>
      <w:r w:rsidRPr="009E1652">
        <w:rPr>
          <w:rFonts w:cs="Arial" w:hint="cs"/>
          <w:sz w:val="20"/>
          <w:szCs w:val="20"/>
          <w:rtl/>
        </w:rPr>
        <w:t>זקנה</w:t>
      </w:r>
      <w:r w:rsidRPr="009E1652">
        <w:rPr>
          <w:rFonts w:cs="Arial"/>
          <w:sz w:val="20"/>
          <w:szCs w:val="20"/>
          <w:rtl/>
        </w:rPr>
        <w:t xml:space="preserve"> </w:t>
      </w:r>
      <w:r w:rsidRPr="009E1652">
        <w:rPr>
          <w:rFonts w:cs="Arial" w:hint="cs"/>
          <w:sz w:val="20"/>
          <w:szCs w:val="20"/>
          <w:rtl/>
        </w:rPr>
        <w:t>כל</w:t>
      </w:r>
      <w:r w:rsidRPr="009E1652">
        <w:rPr>
          <w:rFonts w:cs="Arial"/>
          <w:sz w:val="20"/>
          <w:szCs w:val="20"/>
          <w:rtl/>
        </w:rPr>
        <w:t xml:space="preserve"> </w:t>
      </w:r>
      <w:r w:rsidRPr="009E1652">
        <w:rPr>
          <w:rFonts w:cs="Arial" w:hint="cs"/>
          <w:sz w:val="20"/>
          <w:szCs w:val="20"/>
          <w:rtl/>
        </w:rPr>
        <w:t>שעברו</w:t>
      </w:r>
      <w:r w:rsidRPr="009E1652">
        <w:rPr>
          <w:rFonts w:cs="Arial"/>
          <w:sz w:val="20"/>
          <w:szCs w:val="20"/>
          <w:rtl/>
        </w:rPr>
        <w:t xml:space="preserve"> </w:t>
      </w:r>
      <w:r w:rsidRPr="009E1652">
        <w:rPr>
          <w:rFonts w:cs="Arial" w:hint="cs"/>
          <w:sz w:val="20"/>
          <w:szCs w:val="20"/>
          <w:rtl/>
        </w:rPr>
        <w:t>עליה</w:t>
      </w:r>
      <w:r w:rsidRPr="009E1652">
        <w:rPr>
          <w:rFonts w:cs="Arial"/>
          <w:sz w:val="20"/>
          <w:szCs w:val="20"/>
          <w:rtl/>
        </w:rPr>
        <w:t xml:space="preserve"> </w:t>
      </w:r>
      <w:r w:rsidRPr="009E1652">
        <w:rPr>
          <w:rFonts w:cs="Arial" w:hint="cs"/>
          <w:sz w:val="20"/>
          <w:szCs w:val="20"/>
          <w:rtl/>
        </w:rPr>
        <w:t>שלש</w:t>
      </w:r>
      <w:r w:rsidRPr="009E1652">
        <w:rPr>
          <w:rFonts w:cs="Arial"/>
          <w:sz w:val="20"/>
          <w:szCs w:val="20"/>
          <w:rtl/>
        </w:rPr>
        <w:t xml:space="preserve"> </w:t>
      </w:r>
      <w:r w:rsidRPr="009E1652">
        <w:rPr>
          <w:rFonts w:cs="Arial" w:hint="cs"/>
          <w:sz w:val="20"/>
          <w:szCs w:val="20"/>
          <w:rtl/>
        </w:rPr>
        <w:t>עונות</w:t>
      </w:r>
      <w:r>
        <w:rPr>
          <w:rFonts w:cs="Arial"/>
          <w:sz w:val="20"/>
          <w:szCs w:val="20"/>
          <w:rtl/>
        </w:rPr>
        <w:t xml:space="preserve"> </w:t>
      </w:r>
      <w:r w:rsidRPr="009E1652">
        <w:rPr>
          <w:rFonts w:cs="Arial" w:hint="cs"/>
          <w:sz w:val="20"/>
          <w:szCs w:val="20"/>
          <w:rtl/>
        </w:rPr>
        <w:t>סמוך</w:t>
      </w:r>
      <w:r w:rsidRPr="009E1652">
        <w:rPr>
          <w:rFonts w:cs="Arial"/>
          <w:sz w:val="20"/>
          <w:szCs w:val="20"/>
          <w:rtl/>
        </w:rPr>
        <w:t xml:space="preserve"> </w:t>
      </w:r>
      <w:r w:rsidRPr="009E1652">
        <w:rPr>
          <w:rFonts w:cs="Arial" w:hint="cs"/>
          <w:sz w:val="20"/>
          <w:szCs w:val="20"/>
          <w:rtl/>
        </w:rPr>
        <w:t>לזקנתה</w:t>
      </w:r>
      <w:r w:rsidRPr="009E1652">
        <w:rPr>
          <w:rFonts w:cs="Arial"/>
          <w:sz w:val="20"/>
          <w:szCs w:val="20"/>
          <w:rtl/>
        </w:rPr>
        <w:t>.</w:t>
      </w:r>
      <w:r w:rsidRPr="009E1652">
        <w:rPr>
          <w:rFonts w:hint="cs"/>
          <w:rtl/>
        </w:rPr>
        <w:t xml:space="preserve"> </w:t>
      </w:r>
      <w:r w:rsidRPr="009E1652">
        <w:rPr>
          <w:rFonts w:cs="Arial" w:hint="cs"/>
          <w:sz w:val="20"/>
          <w:szCs w:val="20"/>
          <w:rtl/>
        </w:rPr>
        <w:t>היכי</w:t>
      </w:r>
      <w:r w:rsidRPr="009E1652">
        <w:rPr>
          <w:rFonts w:cs="Arial"/>
          <w:sz w:val="20"/>
          <w:szCs w:val="20"/>
          <w:rtl/>
        </w:rPr>
        <w:t xml:space="preserve"> </w:t>
      </w:r>
      <w:r w:rsidRPr="009E1652">
        <w:rPr>
          <w:rFonts w:cs="Arial" w:hint="cs"/>
          <w:sz w:val="20"/>
          <w:szCs w:val="20"/>
          <w:rtl/>
        </w:rPr>
        <w:t>דמי</w:t>
      </w:r>
      <w:r w:rsidRPr="009E1652">
        <w:rPr>
          <w:rFonts w:cs="Arial"/>
          <w:sz w:val="20"/>
          <w:szCs w:val="20"/>
          <w:rtl/>
        </w:rPr>
        <w:t xml:space="preserve"> </w:t>
      </w:r>
      <w:r w:rsidRPr="009E1652">
        <w:rPr>
          <w:rFonts w:cs="Arial" w:hint="cs"/>
          <w:sz w:val="20"/>
          <w:szCs w:val="20"/>
          <w:rtl/>
        </w:rPr>
        <w:t>סמוך</w:t>
      </w:r>
      <w:r w:rsidRPr="009E1652">
        <w:rPr>
          <w:rFonts w:cs="Arial"/>
          <w:sz w:val="20"/>
          <w:szCs w:val="20"/>
          <w:rtl/>
        </w:rPr>
        <w:t xml:space="preserve"> </w:t>
      </w:r>
      <w:r w:rsidRPr="009E1652">
        <w:rPr>
          <w:rFonts w:cs="Arial" w:hint="cs"/>
          <w:sz w:val="20"/>
          <w:szCs w:val="20"/>
          <w:rtl/>
        </w:rPr>
        <w:t>לזקנתה</w:t>
      </w:r>
      <w:r w:rsidRPr="009E1652">
        <w:rPr>
          <w:rFonts w:cs="Arial"/>
          <w:sz w:val="20"/>
          <w:szCs w:val="20"/>
          <w:rtl/>
        </w:rPr>
        <w:t xml:space="preserve">? </w:t>
      </w:r>
      <w:r w:rsidRPr="009E1652">
        <w:rPr>
          <w:rFonts w:cs="Arial" w:hint="cs"/>
          <w:sz w:val="20"/>
          <w:szCs w:val="20"/>
          <w:rtl/>
        </w:rPr>
        <w:t>אמר</w:t>
      </w:r>
      <w:r w:rsidRPr="009E1652">
        <w:rPr>
          <w:rFonts w:cs="Arial"/>
          <w:sz w:val="20"/>
          <w:szCs w:val="20"/>
          <w:rtl/>
        </w:rPr>
        <w:t xml:space="preserve"> </w:t>
      </w:r>
      <w:r w:rsidRPr="009E1652">
        <w:rPr>
          <w:rFonts w:cs="Arial" w:hint="cs"/>
          <w:sz w:val="20"/>
          <w:szCs w:val="20"/>
          <w:rtl/>
        </w:rPr>
        <w:t>רב</w:t>
      </w:r>
      <w:r w:rsidRPr="009E1652">
        <w:rPr>
          <w:rFonts w:cs="Arial"/>
          <w:sz w:val="20"/>
          <w:szCs w:val="20"/>
          <w:rtl/>
        </w:rPr>
        <w:t xml:space="preserve"> </w:t>
      </w:r>
      <w:r w:rsidRPr="009E1652">
        <w:rPr>
          <w:rFonts w:cs="Arial" w:hint="cs"/>
          <w:sz w:val="20"/>
          <w:szCs w:val="20"/>
          <w:rtl/>
        </w:rPr>
        <w:t>יהודה</w:t>
      </w:r>
      <w:r w:rsidRPr="009E1652">
        <w:rPr>
          <w:rFonts w:cs="Arial"/>
          <w:sz w:val="20"/>
          <w:szCs w:val="20"/>
          <w:rtl/>
        </w:rPr>
        <w:t xml:space="preserve">: </w:t>
      </w:r>
      <w:r w:rsidRPr="009E1652">
        <w:rPr>
          <w:rFonts w:cs="Arial" w:hint="cs"/>
          <w:sz w:val="20"/>
          <w:szCs w:val="20"/>
          <w:rtl/>
        </w:rPr>
        <w:t>כל</w:t>
      </w:r>
      <w:r w:rsidRPr="009E1652">
        <w:rPr>
          <w:rFonts w:cs="Arial"/>
          <w:sz w:val="20"/>
          <w:szCs w:val="20"/>
          <w:rtl/>
        </w:rPr>
        <w:t xml:space="preserve"> </w:t>
      </w:r>
      <w:r w:rsidRPr="009E1652">
        <w:rPr>
          <w:rFonts w:cs="Arial" w:hint="cs"/>
          <w:sz w:val="20"/>
          <w:szCs w:val="20"/>
          <w:rtl/>
        </w:rPr>
        <w:t>שחברותיה</w:t>
      </w:r>
      <w:r w:rsidRPr="009E1652">
        <w:rPr>
          <w:rFonts w:cs="Arial"/>
          <w:sz w:val="20"/>
          <w:szCs w:val="20"/>
          <w:rtl/>
        </w:rPr>
        <w:t xml:space="preserve"> </w:t>
      </w:r>
      <w:r w:rsidRPr="009E1652">
        <w:rPr>
          <w:rFonts w:cs="Arial" w:hint="cs"/>
          <w:sz w:val="20"/>
          <w:szCs w:val="20"/>
          <w:rtl/>
        </w:rPr>
        <w:t>אומרות</w:t>
      </w:r>
      <w:r w:rsidRPr="009E1652">
        <w:rPr>
          <w:rFonts w:cs="Arial"/>
          <w:sz w:val="20"/>
          <w:szCs w:val="20"/>
          <w:rtl/>
        </w:rPr>
        <w:t xml:space="preserve"> </w:t>
      </w:r>
      <w:r w:rsidRPr="009E1652">
        <w:rPr>
          <w:rFonts w:cs="Arial" w:hint="cs"/>
          <w:sz w:val="20"/>
          <w:szCs w:val="20"/>
          <w:rtl/>
        </w:rPr>
        <w:t>עליה</w:t>
      </w:r>
      <w:r w:rsidRPr="009E1652">
        <w:rPr>
          <w:rFonts w:cs="Arial"/>
          <w:sz w:val="20"/>
          <w:szCs w:val="20"/>
          <w:rtl/>
        </w:rPr>
        <w:t xml:space="preserve"> </w:t>
      </w:r>
      <w:r w:rsidRPr="009E1652">
        <w:rPr>
          <w:rFonts w:cs="Arial" w:hint="cs"/>
          <w:sz w:val="20"/>
          <w:szCs w:val="20"/>
          <w:rtl/>
        </w:rPr>
        <w:t>זקנה</w:t>
      </w:r>
      <w:r w:rsidRPr="009E1652">
        <w:rPr>
          <w:rFonts w:cs="Arial"/>
          <w:sz w:val="20"/>
          <w:szCs w:val="20"/>
          <w:rtl/>
        </w:rPr>
        <w:t xml:space="preserve"> </w:t>
      </w:r>
      <w:r w:rsidRPr="009E1652">
        <w:rPr>
          <w:rFonts w:cs="Arial" w:hint="cs"/>
          <w:sz w:val="20"/>
          <w:szCs w:val="20"/>
          <w:rtl/>
        </w:rPr>
        <w:t>היא</w:t>
      </w:r>
      <w:r w:rsidRPr="009E1652">
        <w:rPr>
          <w:rFonts w:cs="Arial"/>
          <w:sz w:val="20"/>
          <w:szCs w:val="20"/>
          <w:rtl/>
        </w:rPr>
        <w:t xml:space="preserve">. </w:t>
      </w:r>
      <w:r w:rsidRPr="009E1652">
        <w:rPr>
          <w:rFonts w:cs="Arial" w:hint="cs"/>
          <w:sz w:val="20"/>
          <w:szCs w:val="20"/>
          <w:rtl/>
        </w:rPr>
        <w:t>ורבי</w:t>
      </w:r>
      <w:r w:rsidRPr="009E1652">
        <w:rPr>
          <w:rFonts w:cs="Arial"/>
          <w:sz w:val="20"/>
          <w:szCs w:val="20"/>
          <w:rtl/>
        </w:rPr>
        <w:t xml:space="preserve"> </w:t>
      </w:r>
      <w:r w:rsidRPr="009E1652">
        <w:rPr>
          <w:rFonts w:cs="Arial" w:hint="cs"/>
          <w:sz w:val="20"/>
          <w:szCs w:val="20"/>
          <w:rtl/>
        </w:rPr>
        <w:t>שמעון</w:t>
      </w:r>
      <w:r w:rsidRPr="009E1652">
        <w:rPr>
          <w:rFonts w:cs="Arial"/>
          <w:sz w:val="20"/>
          <w:szCs w:val="20"/>
          <w:rtl/>
        </w:rPr>
        <w:t xml:space="preserve"> </w:t>
      </w:r>
      <w:r w:rsidRPr="009E1652">
        <w:rPr>
          <w:rFonts w:cs="Arial" w:hint="cs"/>
          <w:sz w:val="20"/>
          <w:szCs w:val="20"/>
          <w:rtl/>
        </w:rPr>
        <w:t>אומר</w:t>
      </w:r>
      <w:r w:rsidRPr="009E1652">
        <w:rPr>
          <w:rFonts w:cs="Arial"/>
          <w:sz w:val="20"/>
          <w:szCs w:val="20"/>
          <w:rtl/>
        </w:rPr>
        <w:t xml:space="preserve">: </w:t>
      </w:r>
      <w:r w:rsidRPr="009E1652">
        <w:rPr>
          <w:rFonts w:cs="Arial" w:hint="cs"/>
          <w:sz w:val="20"/>
          <w:szCs w:val="20"/>
          <w:rtl/>
        </w:rPr>
        <w:t>כל</w:t>
      </w:r>
      <w:r w:rsidRPr="009E1652">
        <w:rPr>
          <w:rFonts w:cs="Arial"/>
          <w:sz w:val="20"/>
          <w:szCs w:val="20"/>
          <w:rtl/>
        </w:rPr>
        <w:t xml:space="preserve"> </w:t>
      </w:r>
      <w:r w:rsidRPr="009E1652">
        <w:rPr>
          <w:rFonts w:cs="Arial" w:hint="cs"/>
          <w:sz w:val="20"/>
          <w:szCs w:val="20"/>
          <w:rtl/>
        </w:rPr>
        <w:t>שקורין</w:t>
      </w:r>
      <w:r w:rsidRPr="009E1652">
        <w:rPr>
          <w:rFonts w:cs="Arial"/>
          <w:sz w:val="20"/>
          <w:szCs w:val="20"/>
          <w:rtl/>
        </w:rPr>
        <w:t xml:space="preserve"> </w:t>
      </w:r>
      <w:r w:rsidRPr="009E1652">
        <w:rPr>
          <w:rFonts w:cs="Arial" w:hint="cs"/>
          <w:sz w:val="20"/>
          <w:szCs w:val="20"/>
          <w:rtl/>
        </w:rPr>
        <w:t>לה</w:t>
      </w:r>
      <w:r w:rsidRPr="009E1652">
        <w:rPr>
          <w:rFonts w:cs="Arial"/>
          <w:sz w:val="20"/>
          <w:szCs w:val="20"/>
          <w:rtl/>
        </w:rPr>
        <w:t xml:space="preserve"> </w:t>
      </w:r>
      <w:r w:rsidRPr="009E1652">
        <w:rPr>
          <w:rFonts w:cs="Arial" w:hint="cs"/>
          <w:sz w:val="20"/>
          <w:szCs w:val="20"/>
          <w:rtl/>
        </w:rPr>
        <w:t>אמא</w:t>
      </w:r>
      <w:r>
        <w:rPr>
          <w:rStyle w:val="a5"/>
          <w:rFonts w:cs="Arial"/>
          <w:sz w:val="20"/>
          <w:szCs w:val="20"/>
          <w:rtl/>
        </w:rPr>
        <w:footnoteReference w:id="232"/>
      </w:r>
      <w:r w:rsidRPr="009E1652">
        <w:rPr>
          <w:rFonts w:cs="Arial"/>
          <w:sz w:val="20"/>
          <w:szCs w:val="20"/>
          <w:rtl/>
        </w:rPr>
        <w:t xml:space="preserve"> </w:t>
      </w:r>
      <w:r w:rsidRPr="009E1652">
        <w:rPr>
          <w:rFonts w:cs="Arial" w:hint="cs"/>
          <w:sz w:val="20"/>
          <w:szCs w:val="20"/>
          <w:rtl/>
        </w:rPr>
        <w:t>ואינה</w:t>
      </w:r>
      <w:r w:rsidRPr="009E1652">
        <w:rPr>
          <w:rFonts w:cs="Arial"/>
          <w:sz w:val="20"/>
          <w:szCs w:val="20"/>
          <w:rtl/>
        </w:rPr>
        <w:t xml:space="preserve"> </w:t>
      </w:r>
      <w:r w:rsidRPr="009E1652">
        <w:rPr>
          <w:rFonts w:cs="Arial" w:hint="cs"/>
          <w:sz w:val="20"/>
          <w:szCs w:val="20"/>
          <w:rtl/>
        </w:rPr>
        <w:t>בושה</w:t>
      </w:r>
      <w:r w:rsidRPr="009E1652">
        <w:rPr>
          <w:rFonts w:cs="Arial"/>
          <w:sz w:val="20"/>
          <w:szCs w:val="20"/>
          <w:rtl/>
        </w:rPr>
        <w:t xml:space="preserve">. </w:t>
      </w:r>
      <w:r>
        <w:rPr>
          <w:rFonts w:cs="Arial"/>
          <w:sz w:val="20"/>
          <w:szCs w:val="20"/>
          <w:rtl/>
        </w:rPr>
        <w:br/>
      </w:r>
      <w:r w:rsidRPr="009E1652">
        <w:rPr>
          <w:rFonts w:cs="Arial" w:hint="cs"/>
          <w:sz w:val="20"/>
          <w:szCs w:val="20"/>
          <w:rtl/>
        </w:rPr>
        <w:t>ר</w:t>
      </w:r>
      <w:r w:rsidRPr="009E1652">
        <w:rPr>
          <w:rFonts w:cs="Arial"/>
          <w:sz w:val="20"/>
          <w:szCs w:val="20"/>
          <w:rtl/>
        </w:rPr>
        <w:t xml:space="preserve">' </w:t>
      </w:r>
      <w:r w:rsidRPr="009E1652">
        <w:rPr>
          <w:rFonts w:cs="Arial" w:hint="cs"/>
          <w:sz w:val="20"/>
          <w:szCs w:val="20"/>
          <w:rtl/>
        </w:rPr>
        <w:t>זירא</w:t>
      </w:r>
      <w:r w:rsidRPr="009E1652">
        <w:rPr>
          <w:rFonts w:cs="Arial"/>
          <w:sz w:val="20"/>
          <w:szCs w:val="20"/>
          <w:rtl/>
        </w:rPr>
        <w:t xml:space="preserve"> </w:t>
      </w:r>
      <w:r w:rsidRPr="009E1652">
        <w:rPr>
          <w:rFonts w:cs="Arial" w:hint="cs"/>
          <w:sz w:val="20"/>
          <w:szCs w:val="20"/>
          <w:rtl/>
        </w:rPr>
        <w:t>ור</w:t>
      </w:r>
      <w:r w:rsidRPr="009E1652">
        <w:rPr>
          <w:rFonts w:cs="Arial"/>
          <w:sz w:val="20"/>
          <w:szCs w:val="20"/>
          <w:rtl/>
        </w:rPr>
        <w:t xml:space="preserve">' </w:t>
      </w:r>
      <w:r w:rsidRPr="009E1652">
        <w:rPr>
          <w:rFonts w:cs="Arial" w:hint="cs"/>
          <w:sz w:val="20"/>
          <w:szCs w:val="20"/>
          <w:rtl/>
        </w:rPr>
        <w:t>שמואל</w:t>
      </w:r>
      <w:r w:rsidRPr="009E1652">
        <w:rPr>
          <w:rFonts w:cs="Arial"/>
          <w:sz w:val="20"/>
          <w:szCs w:val="20"/>
          <w:rtl/>
        </w:rPr>
        <w:t xml:space="preserve"> </w:t>
      </w:r>
      <w:r w:rsidRPr="009E1652">
        <w:rPr>
          <w:rFonts w:cs="Arial" w:hint="cs"/>
          <w:sz w:val="20"/>
          <w:szCs w:val="20"/>
          <w:rtl/>
        </w:rPr>
        <w:t>בר</w:t>
      </w:r>
      <w:r w:rsidRPr="009E1652">
        <w:rPr>
          <w:rFonts w:cs="Arial"/>
          <w:sz w:val="20"/>
          <w:szCs w:val="20"/>
          <w:rtl/>
        </w:rPr>
        <w:t xml:space="preserve"> </w:t>
      </w:r>
      <w:r w:rsidRPr="009E1652">
        <w:rPr>
          <w:rFonts w:cs="Arial" w:hint="cs"/>
          <w:sz w:val="20"/>
          <w:szCs w:val="20"/>
          <w:rtl/>
        </w:rPr>
        <w:t>רב</w:t>
      </w:r>
      <w:r w:rsidRPr="009E1652">
        <w:rPr>
          <w:rFonts w:cs="Arial"/>
          <w:sz w:val="20"/>
          <w:szCs w:val="20"/>
          <w:rtl/>
        </w:rPr>
        <w:t xml:space="preserve"> </w:t>
      </w:r>
      <w:r w:rsidRPr="009E1652">
        <w:rPr>
          <w:rFonts w:cs="Arial" w:hint="cs"/>
          <w:sz w:val="20"/>
          <w:szCs w:val="20"/>
          <w:rtl/>
        </w:rPr>
        <w:t>יצחק</w:t>
      </w:r>
      <w:r w:rsidRPr="009E1652">
        <w:rPr>
          <w:rFonts w:cs="Arial"/>
          <w:sz w:val="20"/>
          <w:szCs w:val="20"/>
          <w:rtl/>
        </w:rPr>
        <w:t xml:space="preserve">, </w:t>
      </w:r>
      <w:r w:rsidRPr="009E1652">
        <w:rPr>
          <w:rFonts w:cs="Arial" w:hint="cs"/>
          <w:sz w:val="20"/>
          <w:szCs w:val="20"/>
          <w:rtl/>
        </w:rPr>
        <w:t>חד</w:t>
      </w:r>
      <w:r w:rsidRPr="009E1652">
        <w:rPr>
          <w:rFonts w:cs="Arial"/>
          <w:sz w:val="20"/>
          <w:szCs w:val="20"/>
          <w:rtl/>
        </w:rPr>
        <w:t xml:space="preserve"> </w:t>
      </w:r>
      <w:r w:rsidRPr="009E1652">
        <w:rPr>
          <w:rFonts w:cs="Arial" w:hint="cs"/>
          <w:sz w:val="20"/>
          <w:szCs w:val="20"/>
          <w:rtl/>
        </w:rPr>
        <w:t>אמר</w:t>
      </w:r>
      <w:r w:rsidRPr="009E1652">
        <w:rPr>
          <w:rFonts w:cs="Arial"/>
          <w:sz w:val="20"/>
          <w:szCs w:val="20"/>
          <w:rtl/>
        </w:rPr>
        <w:t xml:space="preserve">: </w:t>
      </w:r>
      <w:r w:rsidRPr="009E1652">
        <w:rPr>
          <w:rFonts w:cs="Arial" w:hint="cs"/>
          <w:sz w:val="20"/>
          <w:szCs w:val="20"/>
          <w:rtl/>
        </w:rPr>
        <w:t>כל</w:t>
      </w:r>
      <w:r w:rsidRPr="009E1652">
        <w:rPr>
          <w:rFonts w:cs="Arial"/>
          <w:sz w:val="20"/>
          <w:szCs w:val="20"/>
          <w:rtl/>
        </w:rPr>
        <w:t xml:space="preserve"> </w:t>
      </w:r>
      <w:r w:rsidRPr="009E1652">
        <w:rPr>
          <w:rFonts w:cs="Arial" w:hint="cs"/>
          <w:sz w:val="20"/>
          <w:szCs w:val="20"/>
          <w:rtl/>
        </w:rPr>
        <w:t>שאינה</w:t>
      </w:r>
      <w:r w:rsidRPr="009E1652">
        <w:rPr>
          <w:rFonts w:cs="Arial"/>
          <w:sz w:val="20"/>
          <w:szCs w:val="20"/>
          <w:rtl/>
        </w:rPr>
        <w:t xml:space="preserve"> </w:t>
      </w:r>
      <w:r w:rsidRPr="009E1652">
        <w:rPr>
          <w:rFonts w:cs="Arial" w:hint="cs"/>
          <w:sz w:val="20"/>
          <w:szCs w:val="20"/>
          <w:rtl/>
        </w:rPr>
        <w:t>מקפדת</w:t>
      </w:r>
      <w:r w:rsidRPr="009E1652">
        <w:rPr>
          <w:rFonts w:cs="Arial"/>
          <w:sz w:val="20"/>
          <w:szCs w:val="20"/>
          <w:rtl/>
        </w:rPr>
        <w:t xml:space="preserve">, </w:t>
      </w:r>
      <w:r w:rsidRPr="009E1652">
        <w:rPr>
          <w:rFonts w:cs="Arial" w:hint="cs"/>
          <w:sz w:val="20"/>
          <w:szCs w:val="20"/>
          <w:rtl/>
        </w:rPr>
        <w:t>וחד</w:t>
      </w:r>
      <w:r w:rsidRPr="009E1652">
        <w:rPr>
          <w:rFonts w:cs="Arial"/>
          <w:sz w:val="20"/>
          <w:szCs w:val="20"/>
          <w:rtl/>
        </w:rPr>
        <w:t xml:space="preserve"> </w:t>
      </w:r>
      <w:r w:rsidRPr="009E1652">
        <w:rPr>
          <w:rFonts w:cs="Arial" w:hint="cs"/>
          <w:sz w:val="20"/>
          <w:szCs w:val="20"/>
          <w:rtl/>
        </w:rPr>
        <w:t>אמר</w:t>
      </w:r>
      <w:r w:rsidRPr="009E1652">
        <w:rPr>
          <w:rFonts w:cs="Arial"/>
          <w:sz w:val="20"/>
          <w:szCs w:val="20"/>
          <w:rtl/>
        </w:rPr>
        <w:t xml:space="preserve">: </w:t>
      </w:r>
      <w:r w:rsidRPr="009E1652">
        <w:rPr>
          <w:rFonts w:cs="Arial" w:hint="cs"/>
          <w:sz w:val="20"/>
          <w:szCs w:val="20"/>
          <w:rtl/>
        </w:rPr>
        <w:t>כל</w:t>
      </w:r>
      <w:r w:rsidRPr="009E1652">
        <w:rPr>
          <w:rFonts w:cs="Arial"/>
          <w:sz w:val="20"/>
          <w:szCs w:val="20"/>
          <w:rtl/>
        </w:rPr>
        <w:t xml:space="preserve"> </w:t>
      </w:r>
      <w:r w:rsidRPr="009E1652">
        <w:rPr>
          <w:rFonts w:cs="Arial" w:hint="cs"/>
          <w:sz w:val="20"/>
          <w:szCs w:val="20"/>
          <w:rtl/>
        </w:rPr>
        <w:t>שאינה</w:t>
      </w:r>
      <w:r w:rsidRPr="009E1652">
        <w:rPr>
          <w:rFonts w:cs="Arial"/>
          <w:sz w:val="20"/>
          <w:szCs w:val="20"/>
          <w:rtl/>
        </w:rPr>
        <w:t xml:space="preserve"> </w:t>
      </w:r>
      <w:r w:rsidRPr="009E1652">
        <w:rPr>
          <w:rFonts w:cs="Arial" w:hint="cs"/>
          <w:sz w:val="20"/>
          <w:szCs w:val="20"/>
          <w:rtl/>
        </w:rPr>
        <w:t>בושה</w:t>
      </w:r>
      <w:r w:rsidRPr="009E1652">
        <w:rPr>
          <w:rFonts w:cs="Arial"/>
          <w:sz w:val="20"/>
          <w:szCs w:val="20"/>
          <w:rtl/>
        </w:rPr>
        <w:t>.</w:t>
      </w:r>
      <w:r>
        <w:rPr>
          <w:rStyle w:val="a5"/>
          <w:rFonts w:cs="Arial"/>
          <w:sz w:val="20"/>
          <w:szCs w:val="20"/>
          <w:rtl/>
        </w:rPr>
        <w:footnoteReference w:id="233"/>
      </w:r>
      <w:r w:rsidRPr="009E1652">
        <w:rPr>
          <w:rFonts w:cs="Arial"/>
          <w:sz w:val="20"/>
          <w:szCs w:val="20"/>
          <w:rtl/>
        </w:rPr>
        <w:t xml:space="preserve"> </w:t>
      </w:r>
      <w:r>
        <w:rPr>
          <w:rFonts w:cs="Arial"/>
          <w:sz w:val="20"/>
          <w:szCs w:val="20"/>
          <w:rtl/>
        </w:rPr>
        <w:br/>
      </w:r>
      <w:r w:rsidRPr="009E1652">
        <w:rPr>
          <w:rFonts w:cs="Arial" w:hint="cs"/>
          <w:sz w:val="20"/>
          <w:szCs w:val="20"/>
          <w:rtl/>
        </w:rPr>
        <w:t>מאי</w:t>
      </w:r>
      <w:r w:rsidRPr="009E1652">
        <w:rPr>
          <w:rFonts w:cs="Arial"/>
          <w:sz w:val="20"/>
          <w:szCs w:val="20"/>
          <w:rtl/>
        </w:rPr>
        <w:t xml:space="preserve"> </w:t>
      </w:r>
      <w:r w:rsidRPr="009E1652">
        <w:rPr>
          <w:rFonts w:cs="Arial" w:hint="cs"/>
          <w:sz w:val="20"/>
          <w:szCs w:val="20"/>
          <w:rtl/>
        </w:rPr>
        <w:t>בינייהו</w:t>
      </w:r>
      <w:r w:rsidRPr="009E1652">
        <w:rPr>
          <w:rFonts w:cs="Arial"/>
          <w:sz w:val="20"/>
          <w:szCs w:val="20"/>
          <w:rtl/>
        </w:rPr>
        <w:t xml:space="preserve">? </w:t>
      </w:r>
      <w:r w:rsidRPr="009E1652">
        <w:rPr>
          <w:rFonts w:cs="Arial" w:hint="cs"/>
          <w:sz w:val="20"/>
          <w:szCs w:val="20"/>
          <w:rtl/>
        </w:rPr>
        <w:t>איכא</w:t>
      </w:r>
      <w:r w:rsidRPr="009E1652">
        <w:rPr>
          <w:rFonts w:cs="Arial"/>
          <w:sz w:val="20"/>
          <w:szCs w:val="20"/>
          <w:rtl/>
        </w:rPr>
        <w:t xml:space="preserve"> </w:t>
      </w:r>
      <w:r w:rsidRPr="009E1652">
        <w:rPr>
          <w:rFonts w:cs="Arial" w:hint="cs"/>
          <w:sz w:val="20"/>
          <w:szCs w:val="20"/>
          <w:rtl/>
        </w:rPr>
        <w:t>בינייהו</w:t>
      </w:r>
      <w:r w:rsidRPr="009E1652">
        <w:rPr>
          <w:rFonts w:cs="Arial"/>
          <w:sz w:val="20"/>
          <w:szCs w:val="20"/>
          <w:rtl/>
        </w:rPr>
        <w:t xml:space="preserve">: </w:t>
      </w:r>
      <w:r w:rsidRPr="009E1652">
        <w:rPr>
          <w:rFonts w:cs="Arial" w:hint="cs"/>
          <w:sz w:val="20"/>
          <w:szCs w:val="20"/>
          <w:rtl/>
        </w:rPr>
        <w:t>בושה</w:t>
      </w:r>
      <w:r w:rsidRPr="009E1652">
        <w:rPr>
          <w:rFonts w:cs="Arial"/>
          <w:sz w:val="20"/>
          <w:szCs w:val="20"/>
          <w:rtl/>
        </w:rPr>
        <w:t xml:space="preserve"> </w:t>
      </w:r>
      <w:r w:rsidRPr="009E1652">
        <w:rPr>
          <w:rFonts w:cs="Arial" w:hint="cs"/>
          <w:sz w:val="20"/>
          <w:szCs w:val="20"/>
          <w:rtl/>
        </w:rPr>
        <w:t>ואינה</w:t>
      </w:r>
      <w:r w:rsidRPr="009E1652">
        <w:rPr>
          <w:rFonts w:cs="Arial"/>
          <w:sz w:val="20"/>
          <w:szCs w:val="20"/>
          <w:rtl/>
        </w:rPr>
        <w:t xml:space="preserve"> </w:t>
      </w:r>
      <w:r w:rsidRPr="009E1652">
        <w:rPr>
          <w:rFonts w:cs="Arial" w:hint="cs"/>
          <w:sz w:val="20"/>
          <w:szCs w:val="20"/>
          <w:rtl/>
        </w:rPr>
        <w:t>מקפדת</w:t>
      </w:r>
      <w:r>
        <w:rPr>
          <w:rFonts w:cs="Arial" w:hint="cs"/>
          <w:sz w:val="20"/>
          <w:szCs w:val="20"/>
          <w:rtl/>
        </w:rPr>
        <w:t>"</w:t>
      </w:r>
      <w:r w:rsidRPr="009E1652">
        <w:rPr>
          <w:rFonts w:cs="Arial"/>
          <w:sz w:val="20"/>
          <w:szCs w:val="20"/>
          <w:rtl/>
        </w:rPr>
        <w:t>.</w:t>
      </w:r>
    </w:p>
    <w:p w:rsidR="00620060" w:rsidRDefault="00620060" w:rsidP="00620060">
      <w:pPr>
        <w:rPr>
          <w:sz w:val="20"/>
          <w:szCs w:val="20"/>
          <w:rtl/>
        </w:rPr>
      </w:pPr>
      <w:r w:rsidRPr="0066661A">
        <w:rPr>
          <w:rFonts w:hint="cs"/>
          <w:b/>
          <w:bCs/>
          <w:sz w:val="20"/>
          <w:szCs w:val="20"/>
          <w:rtl/>
        </w:rPr>
        <w:t>הכרעת הבית יוסף במחלוקת הראשונה</w:t>
      </w:r>
      <w:r>
        <w:rPr>
          <w:sz w:val="20"/>
          <w:szCs w:val="20"/>
          <w:u w:val="single"/>
          <w:rtl/>
        </w:rPr>
        <w:br/>
      </w:r>
      <w:r>
        <w:rPr>
          <w:rFonts w:hint="cs"/>
          <w:sz w:val="20"/>
          <w:szCs w:val="20"/>
          <w:rtl/>
        </w:rPr>
        <w:t>הלכה כרבי שמעון, שקוראים לה אמא בפניה, אלו הנימוקים:</w:t>
      </w:r>
      <w:r>
        <w:rPr>
          <w:sz w:val="20"/>
          <w:szCs w:val="20"/>
          <w:rtl/>
        </w:rPr>
        <w:br/>
      </w:r>
      <w:r>
        <w:rPr>
          <w:rFonts w:hint="cs"/>
          <w:sz w:val="20"/>
          <w:szCs w:val="20"/>
          <w:rtl/>
        </w:rPr>
        <w:t xml:space="preserve">א. </w:t>
      </w:r>
      <w:r w:rsidRPr="00956653">
        <w:rPr>
          <w:rFonts w:hint="cs"/>
          <w:b/>
          <w:bCs/>
          <w:sz w:val="20"/>
          <w:szCs w:val="20"/>
          <w:rtl/>
        </w:rPr>
        <w:t>בית יוסף</w:t>
      </w:r>
      <w:r>
        <w:rPr>
          <w:rFonts w:hint="cs"/>
          <w:sz w:val="20"/>
          <w:szCs w:val="20"/>
          <w:rtl/>
        </w:rPr>
        <w:t xml:space="preserve"> - קיי"ל כרבי שמעון לגבי רבי יהודה. </w:t>
      </w:r>
      <w:r>
        <w:rPr>
          <w:sz w:val="20"/>
          <w:szCs w:val="20"/>
          <w:rtl/>
        </w:rPr>
        <w:br/>
      </w:r>
      <w:r>
        <w:rPr>
          <w:rFonts w:hint="cs"/>
          <w:sz w:val="20"/>
          <w:szCs w:val="20"/>
          <w:rtl/>
        </w:rPr>
        <w:t>ועוד - האמוראים נחלקו אליבא דר"ש.</w:t>
      </w:r>
      <w:r>
        <w:rPr>
          <w:sz w:val="20"/>
          <w:szCs w:val="20"/>
          <w:rtl/>
        </w:rPr>
        <w:br/>
      </w:r>
      <w:r>
        <w:rPr>
          <w:rFonts w:hint="cs"/>
          <w:sz w:val="20"/>
          <w:szCs w:val="20"/>
          <w:rtl/>
        </w:rPr>
        <w:t xml:space="preserve">ב. </w:t>
      </w:r>
      <w:r w:rsidRPr="00956653">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נימוקים אלו אינם נכונים. </w:t>
      </w:r>
      <w:r>
        <w:rPr>
          <w:sz w:val="20"/>
          <w:szCs w:val="20"/>
          <w:rtl/>
        </w:rPr>
        <w:br/>
      </w:r>
      <w:r>
        <w:rPr>
          <w:rFonts w:hint="cs"/>
          <w:sz w:val="20"/>
          <w:szCs w:val="20"/>
          <w:rtl/>
        </w:rPr>
        <w:t xml:space="preserve">קיי"ל כרבי יהודה לגבי רבי שמעון. </w:t>
      </w:r>
      <w:r>
        <w:rPr>
          <w:sz w:val="20"/>
          <w:szCs w:val="20"/>
          <w:rtl/>
        </w:rPr>
        <w:br/>
      </w:r>
      <w:r>
        <w:rPr>
          <w:rFonts w:hint="cs"/>
          <w:sz w:val="20"/>
          <w:szCs w:val="20"/>
          <w:rtl/>
        </w:rPr>
        <w:t>כאן אין זו מחלוקת תנאים, אין מדובר על רבי יהודה התנא אלא על רב יהודה האמורא, ור"ש הוא ריש לקיש.</w:t>
      </w:r>
      <w:r>
        <w:rPr>
          <w:rFonts w:hint="cs"/>
          <w:sz w:val="20"/>
          <w:szCs w:val="20"/>
          <w:rtl/>
        </w:rPr>
        <w:br/>
      </w:r>
      <w:r>
        <w:rPr>
          <w:b/>
          <w:bCs/>
          <w:sz w:val="20"/>
          <w:szCs w:val="20"/>
          <w:rtl/>
        </w:rPr>
        <w:br/>
      </w:r>
      <w:r w:rsidRPr="0066661A">
        <w:rPr>
          <w:rFonts w:hint="cs"/>
          <w:b/>
          <w:bCs/>
          <w:sz w:val="20"/>
          <w:szCs w:val="20"/>
          <w:rtl/>
        </w:rPr>
        <w:t>הכרעה הבית יוסף במחלוקת השנייה</w:t>
      </w:r>
      <w:r>
        <w:rPr>
          <w:rFonts w:hint="cs"/>
          <w:sz w:val="20"/>
          <w:szCs w:val="20"/>
          <w:rtl/>
        </w:rPr>
        <w:t xml:space="preserve">  </w:t>
      </w:r>
      <w:r>
        <w:rPr>
          <w:sz w:val="20"/>
          <w:szCs w:val="20"/>
          <w:rtl/>
        </w:rPr>
        <w:br/>
      </w:r>
      <w:r w:rsidRPr="001C1925">
        <w:rPr>
          <w:rFonts w:hint="cs"/>
          <w:b/>
          <w:bCs/>
          <w:sz w:val="20"/>
          <w:szCs w:val="20"/>
          <w:rtl/>
        </w:rPr>
        <w:t>בית יוסף</w:t>
      </w:r>
      <w:r>
        <w:rPr>
          <w:rFonts w:hint="cs"/>
          <w:sz w:val="20"/>
          <w:szCs w:val="20"/>
          <w:rtl/>
        </w:rPr>
        <w:t xml:space="preserve"> - קיי"ל כמ"ד כל שאינה מקפדת.</w:t>
      </w:r>
      <w:r>
        <w:rPr>
          <w:sz w:val="20"/>
          <w:szCs w:val="20"/>
          <w:rtl/>
        </w:rPr>
        <w:br/>
      </w:r>
      <w:r w:rsidRPr="009C771B">
        <w:rPr>
          <w:rFonts w:hint="cs"/>
          <w:b/>
          <w:bCs/>
          <w:sz w:val="20"/>
          <w:szCs w:val="20"/>
          <w:rtl/>
        </w:rPr>
        <w:t xml:space="preserve">טעם </w:t>
      </w:r>
      <w:r>
        <w:rPr>
          <w:sz w:val="20"/>
          <w:szCs w:val="20"/>
          <w:rtl/>
        </w:rPr>
        <w:t>–</w:t>
      </w:r>
      <w:r>
        <w:rPr>
          <w:rFonts w:hint="cs"/>
          <w:sz w:val="20"/>
          <w:szCs w:val="20"/>
          <w:rtl/>
        </w:rPr>
        <w:t xml:space="preserve"> ווסתות דרבנן ואזלינן לקולא. כלומר, מאחר שאינה מקפדת אע"פ שהיא בושה הרי זו מסולקת דמים.</w:t>
      </w:r>
    </w:p>
    <w:p w:rsidR="00620060" w:rsidRDefault="00620060" w:rsidP="00620060">
      <w:pPr>
        <w:rPr>
          <w:sz w:val="20"/>
          <w:szCs w:val="20"/>
          <w:rtl/>
        </w:rPr>
      </w:pPr>
      <w:r>
        <w:rPr>
          <w:rFonts w:hint="cs"/>
          <w:b/>
          <w:bCs/>
          <w:sz w:val="20"/>
          <w:szCs w:val="20"/>
          <w:rtl/>
        </w:rPr>
        <w:t>האם זקנה הוא שיעור זמן קבוע</w:t>
      </w:r>
      <w:r>
        <w:rPr>
          <w:b/>
          <w:bCs/>
          <w:sz w:val="20"/>
          <w:szCs w:val="20"/>
          <w:rtl/>
        </w:rPr>
        <w:br/>
      </w:r>
      <w:r>
        <w:rPr>
          <w:rFonts w:hint="cs"/>
          <w:b/>
          <w:bCs/>
          <w:sz w:val="20"/>
          <w:szCs w:val="20"/>
          <w:rtl/>
        </w:rPr>
        <w:t xml:space="preserve">ירושלמי </w:t>
      </w:r>
      <w:r>
        <w:rPr>
          <w:rFonts w:cs="Arial" w:hint="cs"/>
          <w:sz w:val="20"/>
          <w:szCs w:val="20"/>
          <w:rtl/>
        </w:rPr>
        <w:t>נידה "</w:t>
      </w:r>
      <w:r w:rsidRPr="009C771B">
        <w:rPr>
          <w:rFonts w:cs="Arial" w:hint="cs"/>
          <w:sz w:val="20"/>
          <w:szCs w:val="20"/>
          <w:rtl/>
        </w:rPr>
        <w:t>אי</w:t>
      </w:r>
      <w:r w:rsidRPr="009C771B">
        <w:rPr>
          <w:rFonts w:cs="Arial"/>
          <w:sz w:val="20"/>
          <w:szCs w:val="20"/>
          <w:rtl/>
        </w:rPr>
        <w:t xml:space="preserve"> </w:t>
      </w:r>
      <w:r w:rsidRPr="009C771B">
        <w:rPr>
          <w:rFonts w:cs="Arial" w:hint="cs"/>
          <w:sz w:val="20"/>
          <w:szCs w:val="20"/>
          <w:rtl/>
        </w:rPr>
        <w:t>זו</w:t>
      </w:r>
      <w:r w:rsidRPr="009C771B">
        <w:rPr>
          <w:rFonts w:cs="Arial"/>
          <w:sz w:val="20"/>
          <w:szCs w:val="20"/>
          <w:rtl/>
        </w:rPr>
        <w:t xml:space="preserve"> </w:t>
      </w:r>
      <w:r w:rsidRPr="009C771B">
        <w:rPr>
          <w:rFonts w:cs="Arial" w:hint="cs"/>
          <w:sz w:val="20"/>
          <w:szCs w:val="20"/>
          <w:rtl/>
        </w:rPr>
        <w:t>היא</w:t>
      </w:r>
      <w:r w:rsidRPr="009C771B">
        <w:rPr>
          <w:rFonts w:cs="Arial"/>
          <w:sz w:val="20"/>
          <w:szCs w:val="20"/>
          <w:rtl/>
        </w:rPr>
        <w:t xml:space="preserve"> </w:t>
      </w:r>
      <w:r w:rsidRPr="009C771B">
        <w:rPr>
          <w:rFonts w:cs="Arial" w:hint="cs"/>
          <w:sz w:val="20"/>
          <w:szCs w:val="20"/>
          <w:rtl/>
        </w:rPr>
        <w:t>זקינה</w:t>
      </w:r>
      <w:r>
        <w:rPr>
          <w:rFonts w:cs="Arial" w:hint="cs"/>
          <w:sz w:val="20"/>
          <w:szCs w:val="20"/>
          <w:rtl/>
        </w:rPr>
        <w:t>?</w:t>
      </w:r>
      <w:r w:rsidRPr="009C771B">
        <w:rPr>
          <w:rFonts w:cs="Arial"/>
          <w:sz w:val="20"/>
          <w:szCs w:val="20"/>
          <w:rtl/>
        </w:rPr>
        <w:t xml:space="preserve"> </w:t>
      </w:r>
      <w:r w:rsidRPr="009C771B">
        <w:rPr>
          <w:rFonts w:cs="Arial" w:hint="cs"/>
          <w:sz w:val="20"/>
          <w:szCs w:val="20"/>
          <w:rtl/>
        </w:rPr>
        <w:t>רבי</w:t>
      </w:r>
      <w:r w:rsidRPr="009C771B">
        <w:rPr>
          <w:rFonts w:cs="Arial"/>
          <w:sz w:val="20"/>
          <w:szCs w:val="20"/>
          <w:rtl/>
        </w:rPr>
        <w:t xml:space="preserve"> </w:t>
      </w:r>
      <w:r w:rsidRPr="009C771B">
        <w:rPr>
          <w:rFonts w:cs="Arial" w:hint="cs"/>
          <w:sz w:val="20"/>
          <w:szCs w:val="20"/>
          <w:rtl/>
        </w:rPr>
        <w:t>שמעון</w:t>
      </w:r>
      <w:r w:rsidRPr="009C771B">
        <w:rPr>
          <w:rFonts w:cs="Arial"/>
          <w:sz w:val="20"/>
          <w:szCs w:val="20"/>
          <w:rtl/>
        </w:rPr>
        <w:t xml:space="preserve"> </w:t>
      </w:r>
      <w:r w:rsidRPr="009C771B">
        <w:rPr>
          <w:rFonts w:cs="Arial" w:hint="cs"/>
          <w:sz w:val="20"/>
          <w:szCs w:val="20"/>
          <w:rtl/>
        </w:rPr>
        <w:t>בן</w:t>
      </w:r>
      <w:r w:rsidRPr="009C771B">
        <w:rPr>
          <w:rFonts w:cs="Arial"/>
          <w:sz w:val="20"/>
          <w:szCs w:val="20"/>
          <w:rtl/>
        </w:rPr>
        <w:t xml:space="preserve"> </w:t>
      </w:r>
      <w:r w:rsidRPr="009C771B">
        <w:rPr>
          <w:rFonts w:cs="Arial" w:hint="cs"/>
          <w:sz w:val="20"/>
          <w:szCs w:val="20"/>
          <w:rtl/>
        </w:rPr>
        <w:t>לקיש</w:t>
      </w:r>
      <w:r w:rsidRPr="009C771B">
        <w:rPr>
          <w:rFonts w:cs="Arial"/>
          <w:sz w:val="20"/>
          <w:szCs w:val="20"/>
          <w:rtl/>
        </w:rPr>
        <w:t xml:space="preserve"> </w:t>
      </w:r>
      <w:r w:rsidRPr="009C771B">
        <w:rPr>
          <w:rFonts w:cs="Arial" w:hint="cs"/>
          <w:sz w:val="20"/>
          <w:szCs w:val="20"/>
          <w:rtl/>
        </w:rPr>
        <w:t>אמר</w:t>
      </w:r>
      <w:r>
        <w:rPr>
          <w:rFonts w:cs="Arial" w:hint="cs"/>
          <w:sz w:val="20"/>
          <w:szCs w:val="20"/>
          <w:rtl/>
        </w:rPr>
        <w:t>:</w:t>
      </w:r>
      <w:r w:rsidRPr="009C771B">
        <w:rPr>
          <w:rFonts w:cs="Arial"/>
          <w:sz w:val="20"/>
          <w:szCs w:val="20"/>
          <w:rtl/>
        </w:rPr>
        <w:t xml:space="preserve"> </w:t>
      </w:r>
      <w:r w:rsidRPr="009C771B">
        <w:rPr>
          <w:rFonts w:cs="Arial" w:hint="cs"/>
          <w:sz w:val="20"/>
          <w:szCs w:val="20"/>
          <w:rtl/>
        </w:rPr>
        <w:t>כל</w:t>
      </w:r>
      <w:r w:rsidRPr="009C771B">
        <w:rPr>
          <w:rFonts w:cs="Arial"/>
          <w:sz w:val="20"/>
          <w:szCs w:val="20"/>
          <w:rtl/>
        </w:rPr>
        <w:t xml:space="preserve"> </w:t>
      </w:r>
      <w:r w:rsidRPr="009C771B">
        <w:rPr>
          <w:rFonts w:cs="Arial" w:hint="cs"/>
          <w:sz w:val="20"/>
          <w:szCs w:val="20"/>
          <w:rtl/>
        </w:rPr>
        <w:t>שקורין</w:t>
      </w:r>
      <w:r w:rsidRPr="009C771B">
        <w:rPr>
          <w:rFonts w:cs="Arial"/>
          <w:sz w:val="20"/>
          <w:szCs w:val="20"/>
          <w:rtl/>
        </w:rPr>
        <w:t xml:space="preserve"> </w:t>
      </w:r>
      <w:r w:rsidRPr="009C771B">
        <w:rPr>
          <w:rFonts w:cs="Arial" w:hint="cs"/>
          <w:sz w:val="20"/>
          <w:szCs w:val="20"/>
          <w:rtl/>
        </w:rPr>
        <w:t>אותה</w:t>
      </w:r>
      <w:r w:rsidRPr="009C771B">
        <w:rPr>
          <w:rFonts w:cs="Arial"/>
          <w:sz w:val="20"/>
          <w:szCs w:val="20"/>
          <w:rtl/>
        </w:rPr>
        <w:t xml:space="preserve"> </w:t>
      </w:r>
      <w:r w:rsidRPr="009C771B">
        <w:rPr>
          <w:rFonts w:cs="Arial" w:hint="cs"/>
          <w:sz w:val="20"/>
          <w:szCs w:val="20"/>
          <w:rtl/>
        </w:rPr>
        <w:t>אמה</w:t>
      </w:r>
      <w:r w:rsidRPr="009C771B">
        <w:rPr>
          <w:rFonts w:cs="Arial"/>
          <w:sz w:val="20"/>
          <w:szCs w:val="20"/>
          <w:rtl/>
        </w:rPr>
        <w:t xml:space="preserve"> </w:t>
      </w:r>
      <w:r w:rsidRPr="009C771B">
        <w:rPr>
          <w:rFonts w:cs="Arial" w:hint="cs"/>
          <w:sz w:val="20"/>
          <w:szCs w:val="20"/>
          <w:rtl/>
        </w:rPr>
        <w:t>ואינה</w:t>
      </w:r>
      <w:r w:rsidRPr="009C771B">
        <w:rPr>
          <w:rFonts w:cs="Arial"/>
          <w:sz w:val="20"/>
          <w:szCs w:val="20"/>
          <w:rtl/>
        </w:rPr>
        <w:t xml:space="preserve"> </w:t>
      </w:r>
      <w:r w:rsidRPr="009C771B">
        <w:rPr>
          <w:rFonts w:cs="Arial" w:hint="cs"/>
          <w:sz w:val="20"/>
          <w:szCs w:val="20"/>
          <w:rtl/>
        </w:rPr>
        <w:t>מקפדת</w:t>
      </w:r>
      <w:r w:rsidRPr="009C771B">
        <w:rPr>
          <w:rFonts w:cs="Arial"/>
          <w:sz w:val="20"/>
          <w:szCs w:val="20"/>
          <w:rtl/>
        </w:rPr>
        <w:t xml:space="preserve">. </w:t>
      </w:r>
      <w:r w:rsidRPr="009C771B">
        <w:rPr>
          <w:rFonts w:cs="Arial" w:hint="cs"/>
          <w:sz w:val="20"/>
          <w:szCs w:val="20"/>
          <w:rtl/>
        </w:rPr>
        <w:t>ובדעתה</w:t>
      </w:r>
      <w:r w:rsidRPr="009C771B">
        <w:rPr>
          <w:rFonts w:cs="Arial"/>
          <w:sz w:val="20"/>
          <w:szCs w:val="20"/>
          <w:rtl/>
        </w:rPr>
        <w:t xml:space="preserve"> </w:t>
      </w:r>
      <w:r w:rsidRPr="009C771B">
        <w:rPr>
          <w:rFonts w:cs="Arial" w:hint="cs"/>
          <w:sz w:val="20"/>
          <w:szCs w:val="20"/>
          <w:rtl/>
        </w:rPr>
        <w:t>הדבר</w:t>
      </w:r>
      <w:r w:rsidRPr="009C771B">
        <w:rPr>
          <w:rFonts w:cs="Arial"/>
          <w:sz w:val="20"/>
          <w:szCs w:val="20"/>
          <w:rtl/>
        </w:rPr>
        <w:t xml:space="preserve"> </w:t>
      </w:r>
      <w:r w:rsidRPr="009C771B">
        <w:rPr>
          <w:rFonts w:cs="Arial" w:hint="cs"/>
          <w:sz w:val="20"/>
          <w:szCs w:val="20"/>
          <w:rtl/>
        </w:rPr>
        <w:t>תלוי</w:t>
      </w:r>
      <w:r>
        <w:rPr>
          <w:rFonts w:cs="Arial" w:hint="cs"/>
          <w:sz w:val="20"/>
          <w:szCs w:val="20"/>
          <w:rtl/>
        </w:rPr>
        <w:t>?</w:t>
      </w:r>
      <w:r w:rsidRPr="009C771B">
        <w:rPr>
          <w:rFonts w:cs="Arial"/>
          <w:sz w:val="20"/>
          <w:szCs w:val="20"/>
          <w:rtl/>
        </w:rPr>
        <w:t xml:space="preserve"> </w:t>
      </w:r>
      <w:r w:rsidRPr="009C771B">
        <w:rPr>
          <w:rFonts w:cs="Arial" w:hint="cs"/>
          <w:sz w:val="20"/>
          <w:szCs w:val="20"/>
          <w:rtl/>
        </w:rPr>
        <w:t>א</w:t>
      </w:r>
      <w:r>
        <w:rPr>
          <w:rFonts w:cs="Arial" w:hint="cs"/>
          <w:sz w:val="20"/>
          <w:szCs w:val="20"/>
          <w:rtl/>
        </w:rPr>
        <w:t xml:space="preserve">מר </w:t>
      </w:r>
      <w:r w:rsidRPr="009C771B">
        <w:rPr>
          <w:rFonts w:cs="Arial" w:hint="cs"/>
          <w:sz w:val="20"/>
          <w:szCs w:val="20"/>
          <w:rtl/>
        </w:rPr>
        <w:t>ר</w:t>
      </w:r>
      <w:r>
        <w:rPr>
          <w:rFonts w:cs="Arial" w:hint="cs"/>
          <w:sz w:val="20"/>
          <w:szCs w:val="20"/>
          <w:rtl/>
        </w:rPr>
        <w:t>בי</w:t>
      </w:r>
      <w:r w:rsidRPr="009C771B">
        <w:rPr>
          <w:rFonts w:cs="Arial"/>
          <w:sz w:val="20"/>
          <w:szCs w:val="20"/>
          <w:rtl/>
        </w:rPr>
        <w:t xml:space="preserve"> </w:t>
      </w:r>
      <w:r w:rsidRPr="009C771B">
        <w:rPr>
          <w:rFonts w:cs="Arial" w:hint="cs"/>
          <w:sz w:val="20"/>
          <w:szCs w:val="20"/>
          <w:rtl/>
        </w:rPr>
        <w:t>אבין</w:t>
      </w:r>
      <w:r>
        <w:rPr>
          <w:rFonts w:cs="Arial" w:hint="cs"/>
          <w:sz w:val="20"/>
          <w:szCs w:val="20"/>
          <w:rtl/>
        </w:rPr>
        <w:t>:</w:t>
      </w:r>
      <w:r w:rsidRPr="009C771B">
        <w:rPr>
          <w:rFonts w:cs="Arial"/>
          <w:sz w:val="20"/>
          <w:szCs w:val="20"/>
          <w:rtl/>
        </w:rPr>
        <w:t xml:space="preserve"> </w:t>
      </w:r>
      <w:r w:rsidRPr="009C771B">
        <w:rPr>
          <w:rFonts w:cs="Arial" w:hint="cs"/>
          <w:sz w:val="20"/>
          <w:szCs w:val="20"/>
          <w:rtl/>
        </w:rPr>
        <w:t>כל</w:t>
      </w:r>
      <w:r w:rsidRPr="009C771B">
        <w:rPr>
          <w:rFonts w:cs="Arial"/>
          <w:sz w:val="20"/>
          <w:szCs w:val="20"/>
          <w:rtl/>
        </w:rPr>
        <w:t xml:space="preserve"> </w:t>
      </w:r>
      <w:r w:rsidRPr="009C771B">
        <w:rPr>
          <w:rFonts w:cs="Arial" w:hint="cs"/>
          <w:sz w:val="20"/>
          <w:szCs w:val="20"/>
          <w:rtl/>
        </w:rPr>
        <w:t>שהוא</w:t>
      </w:r>
      <w:r w:rsidRPr="009C771B">
        <w:rPr>
          <w:rFonts w:cs="Arial"/>
          <w:sz w:val="20"/>
          <w:szCs w:val="20"/>
          <w:rtl/>
        </w:rPr>
        <w:t xml:space="preserve"> </w:t>
      </w:r>
      <w:r w:rsidRPr="002A2599">
        <w:rPr>
          <w:rFonts w:cs="Arial" w:hint="cs"/>
          <w:sz w:val="20"/>
          <w:szCs w:val="20"/>
          <w:u w:val="single"/>
          <w:rtl/>
        </w:rPr>
        <w:t>ראויה</w:t>
      </w:r>
      <w:r w:rsidRPr="002A2599">
        <w:rPr>
          <w:rFonts w:cs="Arial"/>
          <w:sz w:val="20"/>
          <w:szCs w:val="20"/>
          <w:u w:val="single"/>
          <w:rtl/>
        </w:rPr>
        <w:t xml:space="preserve"> </w:t>
      </w:r>
      <w:r w:rsidRPr="002A2599">
        <w:rPr>
          <w:rFonts w:cs="Arial" w:hint="cs"/>
          <w:sz w:val="20"/>
          <w:szCs w:val="20"/>
          <w:u w:val="single"/>
          <w:rtl/>
        </w:rPr>
        <w:t>להיקרות</w:t>
      </w:r>
      <w:r w:rsidRPr="002A2599">
        <w:rPr>
          <w:rFonts w:cs="Arial"/>
          <w:sz w:val="20"/>
          <w:szCs w:val="20"/>
          <w:u w:val="single"/>
          <w:rtl/>
        </w:rPr>
        <w:t xml:space="preserve"> </w:t>
      </w:r>
      <w:r w:rsidRPr="002A2599">
        <w:rPr>
          <w:rFonts w:cs="Arial" w:hint="cs"/>
          <w:sz w:val="20"/>
          <w:szCs w:val="20"/>
          <w:u w:val="single"/>
          <w:rtl/>
        </w:rPr>
        <w:t>אימא</w:t>
      </w:r>
      <w:r>
        <w:rPr>
          <w:rFonts w:cs="Arial" w:hint="cs"/>
          <w:sz w:val="20"/>
          <w:szCs w:val="20"/>
          <w:rtl/>
        </w:rPr>
        <w:t>".</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2A2599">
        <w:rPr>
          <w:rFonts w:cs="Arial" w:hint="cs"/>
          <w:sz w:val="20"/>
          <w:szCs w:val="20"/>
          <w:rtl/>
        </w:rPr>
        <w:t>איזו</w:t>
      </w:r>
      <w:r w:rsidRPr="002A2599">
        <w:rPr>
          <w:rFonts w:cs="Arial"/>
          <w:sz w:val="20"/>
          <w:szCs w:val="20"/>
          <w:rtl/>
        </w:rPr>
        <w:t xml:space="preserve"> </w:t>
      </w:r>
      <w:r w:rsidRPr="002A2599">
        <w:rPr>
          <w:rFonts w:cs="Arial" w:hint="cs"/>
          <w:sz w:val="20"/>
          <w:szCs w:val="20"/>
          <w:rtl/>
        </w:rPr>
        <w:t>היא</w:t>
      </w:r>
      <w:r w:rsidRPr="002A2599">
        <w:rPr>
          <w:rFonts w:cs="Arial"/>
          <w:sz w:val="20"/>
          <w:szCs w:val="20"/>
          <w:rtl/>
        </w:rPr>
        <w:t xml:space="preserve"> </w:t>
      </w:r>
      <w:r w:rsidRPr="002A2599">
        <w:rPr>
          <w:rFonts w:cs="Arial" w:hint="cs"/>
          <w:sz w:val="20"/>
          <w:szCs w:val="20"/>
          <w:rtl/>
        </w:rPr>
        <w:t>זקנה</w:t>
      </w:r>
      <w:r w:rsidRPr="002A2599">
        <w:rPr>
          <w:rFonts w:cs="Arial"/>
          <w:sz w:val="20"/>
          <w:szCs w:val="20"/>
          <w:rtl/>
        </w:rPr>
        <w:t xml:space="preserve">, </w:t>
      </w:r>
      <w:r w:rsidRPr="002A2599">
        <w:rPr>
          <w:rFonts w:cs="Arial" w:hint="cs"/>
          <w:sz w:val="20"/>
          <w:szCs w:val="20"/>
          <w:rtl/>
        </w:rPr>
        <w:t>כל</w:t>
      </w:r>
      <w:r w:rsidRPr="002A2599">
        <w:rPr>
          <w:rFonts w:cs="Arial"/>
          <w:sz w:val="20"/>
          <w:szCs w:val="20"/>
          <w:rtl/>
        </w:rPr>
        <w:t xml:space="preserve"> </w:t>
      </w:r>
      <w:r w:rsidRPr="002A2599">
        <w:rPr>
          <w:rFonts w:cs="Arial"/>
          <w:sz w:val="18"/>
          <w:szCs w:val="18"/>
          <w:rtl/>
        </w:rPr>
        <w:t>(</w:t>
      </w:r>
      <w:r w:rsidRPr="002A2599">
        <w:rPr>
          <w:rFonts w:cs="Arial" w:hint="cs"/>
          <w:sz w:val="18"/>
          <w:szCs w:val="18"/>
          <w:rtl/>
        </w:rPr>
        <w:t>שזקנה</w:t>
      </w:r>
      <w:r w:rsidRPr="002A2599">
        <w:rPr>
          <w:rFonts w:cs="Arial"/>
          <w:sz w:val="18"/>
          <w:szCs w:val="18"/>
          <w:rtl/>
        </w:rPr>
        <w:t xml:space="preserve"> </w:t>
      </w:r>
      <w:r w:rsidRPr="002A2599">
        <w:rPr>
          <w:rFonts w:cs="Arial" w:hint="cs"/>
          <w:sz w:val="18"/>
          <w:szCs w:val="18"/>
          <w:rtl/>
        </w:rPr>
        <w:t>כל</w:t>
      </w:r>
      <w:r w:rsidRPr="002A2599">
        <w:rPr>
          <w:rFonts w:cs="Arial"/>
          <w:sz w:val="18"/>
          <w:szCs w:val="18"/>
          <w:rtl/>
        </w:rPr>
        <w:t xml:space="preserve"> </w:t>
      </w:r>
      <w:r w:rsidRPr="002A2599">
        <w:rPr>
          <w:rFonts w:cs="Arial" w:hint="cs"/>
          <w:sz w:val="18"/>
          <w:szCs w:val="18"/>
          <w:rtl/>
        </w:rPr>
        <w:t>כך</w:t>
      </w:r>
      <w:r w:rsidRPr="002A2599">
        <w:rPr>
          <w:rFonts w:cs="Arial"/>
          <w:sz w:val="18"/>
          <w:szCs w:val="18"/>
          <w:rtl/>
        </w:rPr>
        <w:t xml:space="preserve"> </w:t>
      </w:r>
      <w:r w:rsidRPr="002A2599">
        <w:rPr>
          <w:rFonts w:cs="Arial" w:hint="cs"/>
          <w:sz w:val="18"/>
          <w:szCs w:val="18"/>
          <w:rtl/>
        </w:rPr>
        <w:t>שראויה</w:t>
      </w:r>
      <w:r w:rsidRPr="002A2599">
        <w:rPr>
          <w:rFonts w:cs="Arial"/>
          <w:sz w:val="18"/>
          <w:szCs w:val="18"/>
          <w:rtl/>
        </w:rPr>
        <w:t xml:space="preserve">) </w:t>
      </w:r>
      <w:r w:rsidRPr="002A2599">
        <w:rPr>
          <w:rFonts w:cs="Arial" w:hint="cs"/>
          <w:sz w:val="20"/>
          <w:szCs w:val="20"/>
          <w:rtl/>
        </w:rPr>
        <w:t>שקורין</w:t>
      </w:r>
      <w:r w:rsidRPr="002A2599">
        <w:rPr>
          <w:rFonts w:cs="Arial"/>
          <w:sz w:val="20"/>
          <w:szCs w:val="20"/>
          <w:rtl/>
        </w:rPr>
        <w:t xml:space="preserve"> </w:t>
      </w:r>
      <w:r w:rsidRPr="002A2599">
        <w:rPr>
          <w:rFonts w:cs="Arial" w:hint="cs"/>
          <w:sz w:val="20"/>
          <w:szCs w:val="20"/>
          <w:rtl/>
        </w:rPr>
        <w:t>לה</w:t>
      </w:r>
      <w:r w:rsidRPr="002A2599">
        <w:rPr>
          <w:rFonts w:cs="Arial"/>
          <w:sz w:val="20"/>
          <w:szCs w:val="20"/>
          <w:rtl/>
        </w:rPr>
        <w:t xml:space="preserve"> </w:t>
      </w:r>
      <w:r>
        <w:rPr>
          <w:rFonts w:cs="Arial" w:hint="cs"/>
          <w:sz w:val="20"/>
          <w:szCs w:val="20"/>
          <w:rtl/>
        </w:rPr>
        <w:t>א</w:t>
      </w:r>
      <w:r w:rsidRPr="002A2599">
        <w:rPr>
          <w:rFonts w:cs="Arial" w:hint="cs"/>
          <w:sz w:val="20"/>
          <w:szCs w:val="20"/>
          <w:rtl/>
        </w:rPr>
        <w:t>מא</w:t>
      </w:r>
      <w:r w:rsidRPr="002A2599">
        <w:rPr>
          <w:rFonts w:cs="Arial"/>
          <w:sz w:val="20"/>
          <w:szCs w:val="20"/>
          <w:rtl/>
        </w:rPr>
        <w:t xml:space="preserve"> </w:t>
      </w:r>
      <w:r w:rsidRPr="002A2599">
        <w:rPr>
          <w:rFonts w:cs="Arial" w:hint="cs"/>
          <w:sz w:val="20"/>
          <w:szCs w:val="20"/>
          <w:rtl/>
        </w:rPr>
        <w:t>בפניה</w:t>
      </w:r>
      <w:r w:rsidRPr="002A2599">
        <w:rPr>
          <w:rFonts w:cs="Arial"/>
          <w:sz w:val="20"/>
          <w:szCs w:val="20"/>
          <w:rtl/>
        </w:rPr>
        <w:t xml:space="preserve"> </w:t>
      </w:r>
      <w:r w:rsidRPr="002A2599">
        <w:rPr>
          <w:rFonts w:cs="Arial" w:hint="cs"/>
          <w:sz w:val="20"/>
          <w:szCs w:val="20"/>
          <w:rtl/>
        </w:rPr>
        <w:t>מחמת</w:t>
      </w:r>
      <w:r w:rsidRPr="002A2599">
        <w:rPr>
          <w:rFonts w:cs="Arial"/>
          <w:sz w:val="20"/>
          <w:szCs w:val="20"/>
          <w:rtl/>
        </w:rPr>
        <w:t xml:space="preserve"> </w:t>
      </w:r>
      <w:r w:rsidRPr="002A2599">
        <w:rPr>
          <w:rFonts w:cs="Arial" w:hint="cs"/>
          <w:sz w:val="20"/>
          <w:szCs w:val="20"/>
          <w:rtl/>
        </w:rPr>
        <w:t>זקנותה</w:t>
      </w:r>
      <w:r w:rsidRPr="002A2599">
        <w:rPr>
          <w:rFonts w:cs="Arial"/>
          <w:sz w:val="20"/>
          <w:szCs w:val="20"/>
          <w:rtl/>
        </w:rPr>
        <w:t xml:space="preserve"> </w:t>
      </w:r>
      <w:r w:rsidRPr="002A2599">
        <w:rPr>
          <w:rFonts w:cs="Arial" w:hint="cs"/>
          <w:sz w:val="20"/>
          <w:szCs w:val="20"/>
          <w:rtl/>
        </w:rPr>
        <w:t>ואינה</w:t>
      </w:r>
      <w:r w:rsidRPr="002A2599">
        <w:rPr>
          <w:rFonts w:cs="Arial"/>
          <w:sz w:val="20"/>
          <w:szCs w:val="20"/>
          <w:rtl/>
        </w:rPr>
        <w:t xml:space="preserve"> </w:t>
      </w:r>
      <w:r w:rsidRPr="002A2599">
        <w:rPr>
          <w:rFonts w:cs="Arial" w:hint="cs"/>
          <w:sz w:val="20"/>
          <w:szCs w:val="20"/>
          <w:rtl/>
        </w:rPr>
        <w:t>חוששת</w:t>
      </w:r>
      <w:r>
        <w:rPr>
          <w:rFonts w:cs="Arial" w:hint="cs"/>
          <w:sz w:val="20"/>
          <w:szCs w:val="20"/>
          <w:rtl/>
        </w:rPr>
        <w:t>"</w:t>
      </w:r>
      <w:r w:rsidRPr="002A2599">
        <w:rPr>
          <w:rFonts w:cs="Arial"/>
          <w:sz w:val="20"/>
          <w:szCs w:val="20"/>
          <w:rtl/>
        </w:rPr>
        <w:t>.</w:t>
      </w:r>
    </w:p>
    <w:p w:rsidR="00620060" w:rsidRDefault="00620060" w:rsidP="00620060">
      <w:pPr>
        <w:rPr>
          <w:sz w:val="20"/>
          <w:szCs w:val="20"/>
          <w:rtl/>
        </w:rPr>
      </w:pPr>
      <w:r>
        <w:rPr>
          <w:rFonts w:hint="cs"/>
          <w:sz w:val="20"/>
          <w:szCs w:val="20"/>
          <w:u w:val="single"/>
          <w:rtl/>
        </w:rPr>
        <w:t>כאיזו דעה פוסק המחבר?</w:t>
      </w:r>
      <w:r>
        <w:rPr>
          <w:sz w:val="20"/>
          <w:szCs w:val="20"/>
          <w:u w:val="single"/>
          <w:rtl/>
        </w:rPr>
        <w:br/>
      </w:r>
      <w:r>
        <w:rPr>
          <w:rFonts w:hint="cs"/>
          <w:sz w:val="20"/>
          <w:szCs w:val="20"/>
          <w:rtl/>
        </w:rPr>
        <w:t>נחלקו האחרונים בביאור דברי המחבר "ואינה חוששת".</w:t>
      </w:r>
      <w:r>
        <w:rPr>
          <w:rFonts w:hint="cs"/>
          <w:sz w:val="20"/>
          <w:szCs w:val="20"/>
          <w:u w:val="single"/>
          <w:rtl/>
        </w:rPr>
        <w:br/>
      </w:r>
      <w:r>
        <w:rPr>
          <w:rFonts w:hint="cs"/>
          <w:sz w:val="20"/>
          <w:szCs w:val="20"/>
          <w:rtl/>
        </w:rPr>
        <w:t xml:space="preserve">א. </w:t>
      </w:r>
      <w:r w:rsidRPr="007E0790">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אינה בושה </w:t>
      </w:r>
      <w:r w:rsidRPr="007E0790">
        <w:rPr>
          <w:rFonts w:hint="cs"/>
          <w:sz w:val="18"/>
          <w:szCs w:val="18"/>
          <w:rtl/>
        </w:rPr>
        <w:t>(חומרה)</w:t>
      </w:r>
      <w:r>
        <w:rPr>
          <w:rFonts w:hint="cs"/>
          <w:sz w:val="20"/>
          <w:szCs w:val="20"/>
          <w:rtl/>
        </w:rPr>
        <w:t>.</w:t>
      </w:r>
      <w:r>
        <w:rPr>
          <w:sz w:val="20"/>
          <w:szCs w:val="20"/>
          <w:rtl/>
        </w:rPr>
        <w:br/>
      </w:r>
      <w:r>
        <w:rPr>
          <w:rFonts w:hint="cs"/>
          <w:sz w:val="20"/>
          <w:szCs w:val="20"/>
          <w:rtl/>
        </w:rPr>
        <w:t xml:space="preserve">ב. </w:t>
      </w:r>
      <w:r w:rsidRPr="007E0790">
        <w:rPr>
          <w:rFonts w:hint="cs"/>
          <w:b/>
          <w:bCs/>
          <w:sz w:val="20"/>
          <w:szCs w:val="20"/>
          <w:rtl/>
        </w:rPr>
        <w:t>גר"א</w:t>
      </w:r>
      <w:r>
        <w:rPr>
          <w:rFonts w:hint="cs"/>
          <w:sz w:val="20"/>
          <w:szCs w:val="20"/>
          <w:rtl/>
        </w:rPr>
        <w:t xml:space="preserve"> </w:t>
      </w:r>
      <w:r>
        <w:rPr>
          <w:sz w:val="20"/>
          <w:szCs w:val="20"/>
          <w:rtl/>
        </w:rPr>
        <w:t>–</w:t>
      </w:r>
      <w:r>
        <w:rPr>
          <w:rFonts w:hint="cs"/>
          <w:sz w:val="20"/>
          <w:szCs w:val="20"/>
          <w:rtl/>
        </w:rPr>
        <w:t xml:space="preserve"> אינה מקפדת </w:t>
      </w:r>
      <w:r w:rsidRPr="007E0790">
        <w:rPr>
          <w:rFonts w:hint="cs"/>
          <w:sz w:val="18"/>
          <w:szCs w:val="18"/>
          <w:rtl/>
        </w:rPr>
        <w:t>(קולא</w:t>
      </w:r>
      <w:r>
        <w:rPr>
          <w:rFonts w:hint="cs"/>
          <w:sz w:val="18"/>
          <w:szCs w:val="18"/>
          <w:rtl/>
        </w:rPr>
        <w:t>)</w:t>
      </w:r>
      <w:r>
        <w:rPr>
          <w:rFonts w:hint="cs"/>
          <w:sz w:val="20"/>
          <w:szCs w:val="20"/>
          <w:rtl/>
        </w:rPr>
        <w:t>.</w:t>
      </w:r>
    </w:p>
    <w:p w:rsidR="00620060" w:rsidRDefault="00620060" w:rsidP="00620060">
      <w:pPr>
        <w:rPr>
          <w:sz w:val="20"/>
          <w:szCs w:val="20"/>
          <w:rtl/>
        </w:rPr>
      </w:pPr>
      <w:r w:rsidRPr="0066661A">
        <w:rPr>
          <w:rFonts w:hint="cs"/>
          <w:b/>
          <w:bCs/>
          <w:sz w:val="20"/>
          <w:szCs w:val="20"/>
          <w:rtl/>
        </w:rPr>
        <w:t>דין זקנה היום</w:t>
      </w:r>
      <w:r>
        <w:rPr>
          <w:sz w:val="20"/>
          <w:szCs w:val="20"/>
          <w:u w:val="single"/>
          <w:rtl/>
        </w:rPr>
        <w:br/>
      </w:r>
      <w:r w:rsidRPr="0066661A">
        <w:rPr>
          <w:rFonts w:hint="cs"/>
          <w:b/>
          <w:bCs/>
          <w:sz w:val="20"/>
          <w:szCs w:val="20"/>
          <w:rtl/>
        </w:rPr>
        <w:t>שבט הלוי</w:t>
      </w:r>
      <w:r w:rsidRPr="002D5CA8">
        <w:rPr>
          <w:rFonts w:hint="cs"/>
          <w:sz w:val="20"/>
          <w:szCs w:val="20"/>
          <w:rtl/>
        </w:rPr>
        <w:t xml:space="preserve"> </w:t>
      </w:r>
      <w:r w:rsidRPr="002D5CA8">
        <w:rPr>
          <w:sz w:val="20"/>
          <w:szCs w:val="20"/>
          <w:rtl/>
        </w:rPr>
        <w:t>–</w:t>
      </w:r>
      <w:r w:rsidRPr="002D5CA8">
        <w:rPr>
          <w:rFonts w:hint="cs"/>
          <w:sz w:val="20"/>
          <w:szCs w:val="20"/>
          <w:rtl/>
        </w:rPr>
        <w:t xml:space="preserve"> בזמנינו קשה לקבוע מהו גדר של זקנה. למעשה, אשה כבת 65 </w:t>
      </w:r>
      <w:r w:rsidRPr="002D5CA8">
        <w:rPr>
          <w:sz w:val="20"/>
          <w:szCs w:val="20"/>
          <w:rtl/>
        </w:rPr>
        <w:t>–</w:t>
      </w:r>
      <w:r w:rsidRPr="002D5CA8">
        <w:rPr>
          <w:rFonts w:hint="cs"/>
          <w:sz w:val="20"/>
          <w:szCs w:val="20"/>
          <w:rtl/>
        </w:rPr>
        <w:t xml:space="preserve"> 60 ודאי נחשבת זקנה. </w:t>
      </w:r>
      <w:r>
        <w:rPr>
          <w:sz w:val="20"/>
          <w:szCs w:val="20"/>
          <w:rtl/>
        </w:rPr>
        <w:br/>
      </w:r>
      <w:r w:rsidRPr="002D5CA8">
        <w:rPr>
          <w:rFonts w:hint="cs"/>
          <w:sz w:val="20"/>
          <w:szCs w:val="20"/>
          <w:rtl/>
        </w:rPr>
        <w:lastRenderedPageBreak/>
        <w:t xml:space="preserve">אך בסילוק דמים שמתחיל בגיל 55 </w:t>
      </w:r>
      <w:r w:rsidRPr="002D5CA8">
        <w:rPr>
          <w:sz w:val="20"/>
          <w:szCs w:val="20"/>
          <w:rtl/>
        </w:rPr>
        <w:t>–</w:t>
      </w:r>
      <w:r w:rsidRPr="002D5CA8">
        <w:rPr>
          <w:rFonts w:hint="cs"/>
          <w:sz w:val="20"/>
          <w:szCs w:val="20"/>
          <w:rtl/>
        </w:rPr>
        <w:t xml:space="preserve"> 45 אין להחשיבה זקנה, משום שבזמן הז</w:t>
      </w:r>
      <w:r>
        <w:rPr>
          <w:rFonts w:hint="cs"/>
          <w:sz w:val="20"/>
          <w:szCs w:val="20"/>
          <w:rtl/>
        </w:rPr>
        <w:t>ה</w:t>
      </w:r>
      <w:r w:rsidRPr="002D5CA8">
        <w:rPr>
          <w:rFonts w:hint="cs"/>
          <w:sz w:val="20"/>
          <w:szCs w:val="20"/>
          <w:rtl/>
        </w:rPr>
        <w:t xml:space="preserve"> אין סילוק דמים מוחלט, אלא פוסקת פעם אחת ושוב רואה וכו'.</w:t>
      </w:r>
      <w:r>
        <w:rPr>
          <w:rFonts w:hint="cs"/>
          <w:sz w:val="20"/>
          <w:szCs w:val="20"/>
          <w:rtl/>
        </w:rPr>
        <w:br/>
        <w:t xml:space="preserve">המשמעות ההלכתית לכך שהיא אינה זקנה </w:t>
      </w:r>
      <w:r>
        <w:rPr>
          <w:sz w:val="20"/>
          <w:szCs w:val="20"/>
          <w:rtl/>
        </w:rPr>
        <w:t>–</w:t>
      </w:r>
      <w:r>
        <w:rPr>
          <w:rFonts w:hint="cs"/>
          <w:sz w:val="20"/>
          <w:szCs w:val="20"/>
          <w:rtl/>
        </w:rPr>
        <w:t xml:space="preserve"> אם ראתה דם שלא בשעת ווסתה הראשון, חוששת כעת לווסת שאינו קבוע, ואילו אם היתה זקנה דינה כמסולקת דמים שאינה חוששת כלל. </w:t>
      </w:r>
      <w:r>
        <w:rPr>
          <w:sz w:val="20"/>
          <w:szCs w:val="20"/>
          <w:rtl/>
        </w:rPr>
        <w:br/>
      </w:r>
      <w:r>
        <w:rPr>
          <w:rFonts w:hint="cs"/>
          <w:sz w:val="20"/>
          <w:szCs w:val="20"/>
          <w:rtl/>
        </w:rPr>
        <w:t xml:space="preserve">ועיין לעיל בסעיף כז' לעניין אם ראתה ג' פעמים ולא קבעה ווסת האם חוששת מעתה כדין ווסת שאינו קבוע. </w:t>
      </w:r>
    </w:p>
    <w:p w:rsidR="00620060"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591842">
        <w:rPr>
          <w:rFonts w:hint="cs"/>
          <w:b/>
          <w:bCs/>
          <w:sz w:val="20"/>
          <w:szCs w:val="20"/>
          <w:rtl/>
        </w:rPr>
        <w:t>גמרא</w:t>
      </w:r>
      <w:r>
        <w:rPr>
          <w:rFonts w:hint="cs"/>
          <w:sz w:val="20"/>
          <w:szCs w:val="20"/>
          <w:rtl/>
        </w:rPr>
        <w:t xml:space="preserve">. זקנה היא מי שעברו עליה ג' עונות סמוך לזקנתה ולא ראתה. </w:t>
      </w:r>
      <w:r w:rsidRPr="00591842">
        <w:rPr>
          <w:rFonts w:hint="cs"/>
          <w:sz w:val="20"/>
          <w:szCs w:val="20"/>
          <w:u w:val="single"/>
          <w:rtl/>
        </w:rPr>
        <w:t>רב יהודה</w:t>
      </w:r>
      <w:r>
        <w:rPr>
          <w:rFonts w:hint="cs"/>
          <w:sz w:val="20"/>
          <w:szCs w:val="20"/>
          <w:rtl/>
        </w:rPr>
        <w:t xml:space="preserve">. כל שחברותיה אומרות 'זקנה היא'. </w:t>
      </w:r>
      <w:r w:rsidRPr="00591842">
        <w:rPr>
          <w:rFonts w:hint="cs"/>
          <w:sz w:val="20"/>
          <w:szCs w:val="20"/>
          <w:u w:val="single"/>
          <w:rtl/>
        </w:rPr>
        <w:t>רבי שמעון</w:t>
      </w:r>
      <w:r>
        <w:rPr>
          <w:rFonts w:hint="cs"/>
          <w:sz w:val="20"/>
          <w:szCs w:val="20"/>
          <w:rtl/>
        </w:rPr>
        <w:t>. כל שקוראים לה אמא בפניה ואינה בושה.</w:t>
      </w:r>
      <w:r>
        <w:rPr>
          <w:sz w:val="20"/>
          <w:szCs w:val="20"/>
          <w:rtl/>
        </w:rPr>
        <w:br/>
      </w:r>
      <w:r>
        <w:rPr>
          <w:rFonts w:hint="cs"/>
          <w:sz w:val="20"/>
          <w:szCs w:val="20"/>
          <w:rtl/>
        </w:rPr>
        <w:t>2. נחלקו אמוראים בדעת ר"ש. י"א כל שאינה מקפדת. י"א כל שאינה בושה. ונפק"מ כשבושה ואינה מקפדת.</w:t>
      </w:r>
      <w:r>
        <w:rPr>
          <w:sz w:val="20"/>
          <w:szCs w:val="20"/>
          <w:rtl/>
        </w:rPr>
        <w:br/>
      </w:r>
      <w:r>
        <w:rPr>
          <w:rFonts w:hint="cs"/>
          <w:sz w:val="20"/>
          <w:szCs w:val="20"/>
          <w:rtl/>
        </w:rPr>
        <w:t xml:space="preserve">3. </w:t>
      </w:r>
      <w:r w:rsidRPr="00591842">
        <w:rPr>
          <w:rFonts w:hint="cs"/>
          <w:b/>
          <w:bCs/>
          <w:sz w:val="20"/>
          <w:szCs w:val="20"/>
          <w:rtl/>
        </w:rPr>
        <w:t>ב"י</w:t>
      </w:r>
      <w:r>
        <w:rPr>
          <w:rFonts w:hint="cs"/>
          <w:sz w:val="20"/>
          <w:szCs w:val="20"/>
          <w:rtl/>
        </w:rPr>
        <w:t xml:space="preserve">. הלכה כר"ש. קיי"ל כוותיה לגבי ר"י וכן אמוראים נחלקו אליביה. </w:t>
      </w:r>
      <w:r w:rsidRPr="0066661A">
        <w:rPr>
          <w:rFonts w:hint="cs"/>
          <w:b/>
          <w:bCs/>
          <w:sz w:val="20"/>
          <w:szCs w:val="20"/>
          <w:rtl/>
        </w:rPr>
        <w:t>ט"ז</w:t>
      </w:r>
      <w:r>
        <w:rPr>
          <w:rFonts w:hint="cs"/>
          <w:sz w:val="20"/>
          <w:szCs w:val="20"/>
          <w:rtl/>
        </w:rPr>
        <w:t>. נימוקי הב"י דחויים.</w:t>
      </w:r>
      <w:r>
        <w:rPr>
          <w:sz w:val="20"/>
          <w:szCs w:val="20"/>
          <w:rtl/>
        </w:rPr>
        <w:br/>
      </w:r>
      <w:r>
        <w:rPr>
          <w:rFonts w:hint="cs"/>
          <w:sz w:val="20"/>
          <w:szCs w:val="20"/>
          <w:rtl/>
        </w:rPr>
        <w:t xml:space="preserve">4. </w:t>
      </w:r>
      <w:r w:rsidRPr="00591842">
        <w:rPr>
          <w:rFonts w:hint="cs"/>
          <w:b/>
          <w:bCs/>
          <w:sz w:val="20"/>
          <w:szCs w:val="20"/>
          <w:rtl/>
        </w:rPr>
        <w:t>ב"י</w:t>
      </w:r>
      <w:r>
        <w:rPr>
          <w:rFonts w:hint="cs"/>
          <w:sz w:val="20"/>
          <w:szCs w:val="20"/>
          <w:rtl/>
        </w:rPr>
        <w:t xml:space="preserve">. במחלוקת השנייה קיי"ל כמ"ד כל שאינה מקפדת. </w:t>
      </w:r>
      <w:r w:rsidRPr="0066661A">
        <w:rPr>
          <w:rFonts w:hint="cs"/>
          <w:b/>
          <w:bCs/>
          <w:sz w:val="20"/>
          <w:szCs w:val="20"/>
          <w:rtl/>
        </w:rPr>
        <w:t>טעם</w:t>
      </w:r>
      <w:r>
        <w:rPr>
          <w:rFonts w:hint="cs"/>
          <w:sz w:val="20"/>
          <w:szCs w:val="20"/>
          <w:rtl/>
        </w:rPr>
        <w:t>. ווסתות דרבנן ואזלינן לקולא.</w:t>
      </w:r>
      <w:r>
        <w:rPr>
          <w:sz w:val="20"/>
          <w:szCs w:val="20"/>
          <w:rtl/>
        </w:rPr>
        <w:br/>
      </w:r>
      <w:r>
        <w:rPr>
          <w:rFonts w:hint="cs"/>
          <w:sz w:val="20"/>
          <w:szCs w:val="20"/>
          <w:rtl/>
        </w:rPr>
        <w:t xml:space="preserve">5. </w:t>
      </w:r>
      <w:r w:rsidRPr="00591842">
        <w:rPr>
          <w:rFonts w:hint="cs"/>
          <w:b/>
          <w:bCs/>
          <w:sz w:val="20"/>
          <w:szCs w:val="20"/>
          <w:rtl/>
        </w:rPr>
        <w:t>מחבר</w:t>
      </w:r>
      <w:r>
        <w:rPr>
          <w:rFonts w:hint="cs"/>
          <w:sz w:val="20"/>
          <w:szCs w:val="20"/>
          <w:rtl/>
        </w:rPr>
        <w:t xml:space="preserve">. זקנה היא מי שקוראים לה אמא בפניה מחמת זקנותה ואינה חוששת. </w:t>
      </w:r>
      <w:r>
        <w:rPr>
          <w:sz w:val="20"/>
          <w:szCs w:val="20"/>
          <w:rtl/>
        </w:rPr>
        <w:br/>
      </w:r>
      <w:r>
        <w:rPr>
          <w:rFonts w:hint="cs"/>
          <w:sz w:val="20"/>
          <w:szCs w:val="20"/>
          <w:rtl/>
        </w:rPr>
        <w:t>6</w:t>
      </w:r>
      <w:r w:rsidRPr="00D16178">
        <w:rPr>
          <w:rFonts w:hint="cs"/>
          <w:sz w:val="20"/>
          <w:szCs w:val="20"/>
          <w:rtl/>
        </w:rPr>
        <w:t xml:space="preserve">. כמי פסק המחבר? </w:t>
      </w:r>
      <w:r w:rsidRPr="00D16178">
        <w:rPr>
          <w:rFonts w:hint="cs"/>
          <w:b/>
          <w:bCs/>
          <w:sz w:val="20"/>
          <w:szCs w:val="20"/>
          <w:rtl/>
        </w:rPr>
        <w:t>ט"ז</w:t>
      </w:r>
      <w:r>
        <w:rPr>
          <w:rFonts w:hint="cs"/>
          <w:sz w:val="20"/>
          <w:szCs w:val="20"/>
          <w:rtl/>
        </w:rPr>
        <w:t xml:space="preserve">. אינה בושה </w:t>
      </w:r>
      <w:r w:rsidRPr="00591842">
        <w:rPr>
          <w:rFonts w:hint="cs"/>
          <w:sz w:val="18"/>
          <w:szCs w:val="18"/>
          <w:rtl/>
        </w:rPr>
        <w:t>(חומרה)</w:t>
      </w:r>
      <w:r>
        <w:rPr>
          <w:rFonts w:hint="cs"/>
          <w:sz w:val="20"/>
          <w:szCs w:val="20"/>
          <w:rtl/>
        </w:rPr>
        <w:t xml:space="preserve">. </w:t>
      </w:r>
      <w:r w:rsidRPr="00591842">
        <w:rPr>
          <w:rFonts w:hint="cs"/>
          <w:b/>
          <w:bCs/>
          <w:sz w:val="20"/>
          <w:szCs w:val="20"/>
          <w:rtl/>
        </w:rPr>
        <w:t>גר"א</w:t>
      </w:r>
      <w:r>
        <w:rPr>
          <w:rFonts w:hint="cs"/>
          <w:sz w:val="20"/>
          <w:szCs w:val="20"/>
          <w:rtl/>
        </w:rPr>
        <w:t xml:space="preserve">. אינה מקפדת </w:t>
      </w:r>
      <w:r w:rsidRPr="00591842">
        <w:rPr>
          <w:rFonts w:hint="cs"/>
          <w:sz w:val="18"/>
          <w:szCs w:val="18"/>
          <w:rtl/>
        </w:rPr>
        <w:t>(קולא)</w:t>
      </w:r>
      <w:r>
        <w:rPr>
          <w:rFonts w:hint="cs"/>
          <w:sz w:val="20"/>
          <w:szCs w:val="20"/>
          <w:rtl/>
        </w:rPr>
        <w:t>.</w:t>
      </w:r>
      <w:r>
        <w:rPr>
          <w:sz w:val="20"/>
          <w:szCs w:val="20"/>
          <w:rtl/>
        </w:rPr>
        <w:br/>
      </w:r>
      <w:r>
        <w:rPr>
          <w:rFonts w:hint="cs"/>
          <w:sz w:val="20"/>
          <w:szCs w:val="20"/>
          <w:rtl/>
        </w:rPr>
        <w:t xml:space="preserve">7. </w:t>
      </w:r>
      <w:r w:rsidRPr="00591842">
        <w:rPr>
          <w:rFonts w:hint="cs"/>
          <w:b/>
          <w:bCs/>
          <w:sz w:val="20"/>
          <w:szCs w:val="20"/>
          <w:rtl/>
        </w:rPr>
        <w:t>ירושלמי</w:t>
      </w:r>
      <w:r>
        <w:rPr>
          <w:rFonts w:hint="cs"/>
          <w:sz w:val="20"/>
          <w:szCs w:val="20"/>
          <w:rtl/>
        </w:rPr>
        <w:t xml:space="preserve">. זקנה הוא שיעור זמן קבוע ואינו תלוי בהקפדת האשה, וכ"פ </w:t>
      </w:r>
      <w:r>
        <w:rPr>
          <w:rFonts w:hint="cs"/>
          <w:b/>
          <w:bCs/>
          <w:sz w:val="20"/>
          <w:szCs w:val="20"/>
          <w:rtl/>
        </w:rPr>
        <w:t>ה</w:t>
      </w:r>
      <w:r w:rsidRPr="00591842">
        <w:rPr>
          <w:rFonts w:hint="cs"/>
          <w:b/>
          <w:bCs/>
          <w:sz w:val="20"/>
          <w:szCs w:val="20"/>
          <w:rtl/>
        </w:rPr>
        <w:t>רמ"א</w:t>
      </w:r>
      <w:r>
        <w:rPr>
          <w:rFonts w:hint="cs"/>
          <w:sz w:val="20"/>
          <w:szCs w:val="20"/>
          <w:rtl/>
        </w:rPr>
        <w:t xml:space="preserve">. </w:t>
      </w:r>
      <w:r>
        <w:rPr>
          <w:sz w:val="20"/>
          <w:szCs w:val="20"/>
          <w:rtl/>
        </w:rPr>
        <w:br/>
      </w:r>
      <w:r>
        <w:rPr>
          <w:rFonts w:hint="cs"/>
          <w:sz w:val="20"/>
          <w:szCs w:val="20"/>
          <w:rtl/>
        </w:rPr>
        <w:t xml:space="preserve">8. </w:t>
      </w:r>
      <w:r w:rsidRPr="00591842">
        <w:rPr>
          <w:rFonts w:hint="cs"/>
          <w:b/>
          <w:bCs/>
          <w:sz w:val="20"/>
          <w:szCs w:val="20"/>
          <w:rtl/>
        </w:rPr>
        <w:t>שבט הלוי</w:t>
      </w:r>
      <w:r>
        <w:rPr>
          <w:rFonts w:hint="cs"/>
          <w:sz w:val="20"/>
          <w:szCs w:val="20"/>
          <w:rtl/>
        </w:rPr>
        <w:t xml:space="preserve">. קשה לקבוע גיל מדוייק לזקנה, ונראה להקל בגיל 65 </w:t>
      </w:r>
      <w:r>
        <w:rPr>
          <w:sz w:val="20"/>
          <w:szCs w:val="20"/>
          <w:rtl/>
        </w:rPr>
        <w:t>–</w:t>
      </w:r>
      <w:r>
        <w:rPr>
          <w:rFonts w:hint="cs"/>
          <w:sz w:val="20"/>
          <w:szCs w:val="20"/>
          <w:rtl/>
        </w:rPr>
        <w:t xml:space="preserve"> 60, אך לפני כן אינו סילוק גמור אלא מיעוט דמים ולפעמים רואה לאחר תקופת זמן ארוכה שלא ראתה.</w:t>
      </w:r>
    </w:p>
    <w:p w:rsidR="00620060" w:rsidRDefault="00620060" w:rsidP="00620060">
      <w:pPr>
        <w:rPr>
          <w:sz w:val="20"/>
          <w:szCs w:val="20"/>
          <w:rtl/>
        </w:rPr>
      </w:pPr>
      <w:r>
        <w:rPr>
          <w:sz w:val="20"/>
          <w:szCs w:val="20"/>
          <w:rtl/>
        </w:rPr>
        <w:br/>
      </w:r>
      <w:r>
        <w:rPr>
          <w:rFonts w:hint="cs"/>
          <w:b/>
          <w:bCs/>
          <w:sz w:val="20"/>
          <w:szCs w:val="20"/>
          <w:rtl/>
        </w:rPr>
        <w:t xml:space="preserve">סעיף ל </w:t>
      </w:r>
      <w:r>
        <w:rPr>
          <w:b/>
          <w:bCs/>
          <w:sz w:val="20"/>
          <w:szCs w:val="20"/>
          <w:rtl/>
        </w:rPr>
        <w:t>–</w:t>
      </w:r>
      <w:r>
        <w:rPr>
          <w:rFonts w:hint="cs"/>
          <w:b/>
          <w:bCs/>
          <w:sz w:val="20"/>
          <w:szCs w:val="20"/>
          <w:rtl/>
        </w:rPr>
        <w:t xml:space="preserve"> זקנה שחזרה וראתה</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גמרא </w:t>
      </w:r>
      <w:r>
        <w:rPr>
          <w:rFonts w:hint="cs"/>
          <w:sz w:val="20"/>
          <w:szCs w:val="20"/>
          <w:rtl/>
        </w:rPr>
        <w:t xml:space="preserve">נידה (ט:) </w:t>
      </w:r>
      <w:r w:rsidRPr="00E54993">
        <w:rPr>
          <w:rFonts w:cs="Arial" w:hint="cs"/>
          <w:sz w:val="20"/>
          <w:szCs w:val="20"/>
          <w:rtl/>
        </w:rPr>
        <w:t>ת</w:t>
      </w:r>
      <w:r>
        <w:rPr>
          <w:rFonts w:cs="Arial" w:hint="cs"/>
          <w:sz w:val="20"/>
          <w:szCs w:val="20"/>
          <w:rtl/>
        </w:rPr>
        <w:t xml:space="preserve">נו </w:t>
      </w:r>
      <w:r w:rsidRPr="00E54993">
        <w:rPr>
          <w:rFonts w:cs="Arial" w:hint="cs"/>
          <w:sz w:val="20"/>
          <w:szCs w:val="20"/>
          <w:rtl/>
        </w:rPr>
        <w:t>ר</w:t>
      </w:r>
      <w:r>
        <w:rPr>
          <w:rFonts w:cs="Arial" w:hint="cs"/>
          <w:sz w:val="20"/>
          <w:szCs w:val="20"/>
          <w:rtl/>
        </w:rPr>
        <w:t>בנן</w:t>
      </w:r>
      <w:r w:rsidRPr="00E54993">
        <w:rPr>
          <w:rFonts w:cs="Arial"/>
          <w:sz w:val="20"/>
          <w:szCs w:val="20"/>
          <w:rtl/>
        </w:rPr>
        <w:t xml:space="preserve">: </w:t>
      </w:r>
      <w:r w:rsidRPr="00E54993">
        <w:rPr>
          <w:rFonts w:cs="Arial" w:hint="cs"/>
          <w:sz w:val="20"/>
          <w:szCs w:val="20"/>
          <w:rtl/>
        </w:rPr>
        <w:t>זקנה</w:t>
      </w:r>
      <w:r w:rsidRPr="00E54993">
        <w:rPr>
          <w:rFonts w:cs="Arial"/>
          <w:sz w:val="20"/>
          <w:szCs w:val="20"/>
          <w:rtl/>
        </w:rPr>
        <w:t xml:space="preserve"> </w:t>
      </w:r>
      <w:r w:rsidRPr="00E54993">
        <w:rPr>
          <w:rFonts w:cs="Arial" w:hint="cs"/>
          <w:sz w:val="20"/>
          <w:szCs w:val="20"/>
          <w:rtl/>
        </w:rPr>
        <w:t>שעברו</w:t>
      </w:r>
      <w:r w:rsidRPr="00E54993">
        <w:rPr>
          <w:rFonts w:cs="Arial"/>
          <w:sz w:val="20"/>
          <w:szCs w:val="20"/>
          <w:rtl/>
        </w:rPr>
        <w:t xml:space="preserve"> </w:t>
      </w:r>
      <w:r w:rsidRPr="00E54993">
        <w:rPr>
          <w:rFonts w:cs="Arial" w:hint="cs"/>
          <w:sz w:val="20"/>
          <w:szCs w:val="20"/>
          <w:rtl/>
        </w:rPr>
        <w:t>עליה</w:t>
      </w:r>
      <w:r w:rsidRPr="00E54993">
        <w:rPr>
          <w:rFonts w:cs="Arial"/>
          <w:sz w:val="20"/>
          <w:szCs w:val="20"/>
          <w:rtl/>
        </w:rPr>
        <w:t xml:space="preserve"> </w:t>
      </w:r>
      <w:r w:rsidRPr="00E54993">
        <w:rPr>
          <w:rFonts w:cs="Arial" w:hint="cs"/>
          <w:sz w:val="20"/>
          <w:szCs w:val="20"/>
          <w:rtl/>
        </w:rPr>
        <w:t>שלש</w:t>
      </w:r>
      <w:r w:rsidRPr="00E54993">
        <w:rPr>
          <w:rFonts w:cs="Arial"/>
          <w:sz w:val="20"/>
          <w:szCs w:val="20"/>
          <w:rtl/>
        </w:rPr>
        <w:t xml:space="preserve"> </w:t>
      </w:r>
      <w:r w:rsidRPr="00E54993">
        <w:rPr>
          <w:rFonts w:cs="Arial" w:hint="cs"/>
          <w:sz w:val="20"/>
          <w:szCs w:val="20"/>
          <w:rtl/>
        </w:rPr>
        <w:t>עונות</w:t>
      </w:r>
      <w:r w:rsidRPr="00E54993">
        <w:rPr>
          <w:rFonts w:cs="Arial"/>
          <w:sz w:val="20"/>
          <w:szCs w:val="20"/>
          <w:rtl/>
        </w:rPr>
        <w:t xml:space="preserve"> </w:t>
      </w:r>
      <w:r w:rsidRPr="00E54993">
        <w:rPr>
          <w:rFonts w:cs="Arial" w:hint="cs"/>
          <w:sz w:val="20"/>
          <w:szCs w:val="20"/>
          <w:rtl/>
        </w:rPr>
        <w:t>וראתה</w:t>
      </w:r>
      <w:r w:rsidRPr="00E54993">
        <w:rPr>
          <w:rFonts w:cs="Arial"/>
          <w:sz w:val="20"/>
          <w:szCs w:val="20"/>
          <w:rtl/>
        </w:rPr>
        <w:t xml:space="preserve"> - </w:t>
      </w:r>
      <w:r w:rsidRPr="00E54993">
        <w:rPr>
          <w:rFonts w:cs="Arial" w:hint="cs"/>
          <w:sz w:val="20"/>
          <w:szCs w:val="20"/>
          <w:rtl/>
        </w:rPr>
        <w:t>דיה</w:t>
      </w:r>
      <w:r w:rsidRPr="00E54993">
        <w:rPr>
          <w:rFonts w:cs="Arial"/>
          <w:sz w:val="20"/>
          <w:szCs w:val="20"/>
          <w:rtl/>
        </w:rPr>
        <w:t xml:space="preserve"> </w:t>
      </w:r>
      <w:r w:rsidRPr="00E54993">
        <w:rPr>
          <w:rFonts w:cs="Arial" w:hint="cs"/>
          <w:sz w:val="20"/>
          <w:szCs w:val="20"/>
          <w:rtl/>
        </w:rPr>
        <w:t>שעתה</w:t>
      </w:r>
      <w:r w:rsidRPr="00E54993">
        <w:rPr>
          <w:rFonts w:cs="Arial"/>
          <w:sz w:val="20"/>
          <w:szCs w:val="20"/>
          <w:rtl/>
        </w:rPr>
        <w:t xml:space="preserve">, </w:t>
      </w:r>
      <w:r w:rsidRPr="00E54993">
        <w:rPr>
          <w:rFonts w:cs="Arial" w:hint="cs"/>
          <w:sz w:val="20"/>
          <w:szCs w:val="20"/>
          <w:rtl/>
        </w:rPr>
        <w:t>ועוד</w:t>
      </w:r>
      <w:r w:rsidRPr="00E54993">
        <w:rPr>
          <w:rFonts w:cs="Arial"/>
          <w:sz w:val="20"/>
          <w:szCs w:val="20"/>
          <w:rtl/>
        </w:rPr>
        <w:t xml:space="preserve"> </w:t>
      </w:r>
      <w:r w:rsidRPr="00E54993">
        <w:rPr>
          <w:rFonts w:cs="Arial" w:hint="cs"/>
          <w:sz w:val="20"/>
          <w:szCs w:val="20"/>
          <w:rtl/>
        </w:rPr>
        <w:t>עברו</w:t>
      </w:r>
      <w:r w:rsidRPr="00E54993">
        <w:rPr>
          <w:rFonts w:cs="Arial"/>
          <w:sz w:val="20"/>
          <w:szCs w:val="20"/>
          <w:rtl/>
        </w:rPr>
        <w:t xml:space="preserve"> </w:t>
      </w:r>
      <w:r w:rsidRPr="00E54993">
        <w:rPr>
          <w:rFonts w:cs="Arial" w:hint="cs"/>
          <w:sz w:val="20"/>
          <w:szCs w:val="20"/>
          <w:rtl/>
        </w:rPr>
        <w:t>עליה</w:t>
      </w:r>
      <w:r w:rsidRPr="00E54993">
        <w:rPr>
          <w:rFonts w:cs="Arial"/>
          <w:sz w:val="20"/>
          <w:szCs w:val="20"/>
          <w:rtl/>
        </w:rPr>
        <w:t xml:space="preserve"> </w:t>
      </w:r>
      <w:r w:rsidRPr="00E54993">
        <w:rPr>
          <w:rFonts w:cs="Arial" w:hint="cs"/>
          <w:sz w:val="20"/>
          <w:szCs w:val="20"/>
          <w:rtl/>
        </w:rPr>
        <w:t>שלש</w:t>
      </w:r>
      <w:r w:rsidRPr="00E54993">
        <w:rPr>
          <w:rFonts w:cs="Arial"/>
          <w:sz w:val="20"/>
          <w:szCs w:val="20"/>
          <w:rtl/>
        </w:rPr>
        <w:t xml:space="preserve"> </w:t>
      </w:r>
      <w:r w:rsidRPr="00E54993">
        <w:rPr>
          <w:rFonts w:cs="Arial" w:hint="cs"/>
          <w:sz w:val="20"/>
          <w:szCs w:val="20"/>
          <w:rtl/>
        </w:rPr>
        <w:t>עונות</w:t>
      </w:r>
      <w:r w:rsidRPr="00E54993">
        <w:rPr>
          <w:rFonts w:cs="Arial"/>
          <w:sz w:val="20"/>
          <w:szCs w:val="20"/>
          <w:rtl/>
        </w:rPr>
        <w:t xml:space="preserve"> </w:t>
      </w:r>
      <w:r w:rsidRPr="00E54993">
        <w:rPr>
          <w:rFonts w:cs="Arial" w:hint="cs"/>
          <w:sz w:val="20"/>
          <w:szCs w:val="20"/>
          <w:rtl/>
        </w:rPr>
        <w:t>וראתה</w:t>
      </w:r>
      <w:r w:rsidRPr="00E54993">
        <w:rPr>
          <w:rFonts w:cs="Arial"/>
          <w:sz w:val="20"/>
          <w:szCs w:val="20"/>
          <w:rtl/>
        </w:rPr>
        <w:t xml:space="preserve"> - </w:t>
      </w:r>
      <w:r w:rsidRPr="00E54993">
        <w:rPr>
          <w:rFonts w:cs="Arial" w:hint="cs"/>
          <w:sz w:val="20"/>
          <w:szCs w:val="20"/>
          <w:rtl/>
        </w:rPr>
        <w:t>דיה</w:t>
      </w:r>
      <w:r w:rsidRPr="00E54993">
        <w:rPr>
          <w:rFonts w:cs="Arial"/>
          <w:sz w:val="20"/>
          <w:szCs w:val="20"/>
          <w:rtl/>
        </w:rPr>
        <w:t xml:space="preserve"> </w:t>
      </w:r>
      <w:r w:rsidRPr="00E54993">
        <w:rPr>
          <w:rFonts w:cs="Arial" w:hint="cs"/>
          <w:sz w:val="20"/>
          <w:szCs w:val="20"/>
          <w:rtl/>
        </w:rPr>
        <w:t>שעתה</w:t>
      </w:r>
      <w:r w:rsidRPr="00E54993">
        <w:rPr>
          <w:rFonts w:cs="Arial"/>
          <w:sz w:val="20"/>
          <w:szCs w:val="20"/>
          <w:rtl/>
        </w:rPr>
        <w:t xml:space="preserve">, </w:t>
      </w:r>
      <w:r w:rsidRPr="00E54993">
        <w:rPr>
          <w:rFonts w:cs="Arial" w:hint="cs"/>
          <w:sz w:val="20"/>
          <w:szCs w:val="20"/>
          <w:rtl/>
        </w:rPr>
        <w:t>ועוד</w:t>
      </w:r>
      <w:r w:rsidRPr="00E54993">
        <w:rPr>
          <w:rFonts w:cs="Arial"/>
          <w:sz w:val="20"/>
          <w:szCs w:val="20"/>
          <w:rtl/>
        </w:rPr>
        <w:t xml:space="preserve"> </w:t>
      </w:r>
      <w:r w:rsidRPr="00E54993">
        <w:rPr>
          <w:rFonts w:cs="Arial" w:hint="cs"/>
          <w:sz w:val="20"/>
          <w:szCs w:val="20"/>
          <w:rtl/>
        </w:rPr>
        <w:t>עברו</w:t>
      </w:r>
      <w:r w:rsidRPr="00E54993">
        <w:rPr>
          <w:rFonts w:cs="Arial"/>
          <w:sz w:val="20"/>
          <w:szCs w:val="20"/>
          <w:rtl/>
        </w:rPr>
        <w:t xml:space="preserve"> </w:t>
      </w:r>
      <w:r w:rsidRPr="00E54993">
        <w:rPr>
          <w:rFonts w:cs="Arial" w:hint="cs"/>
          <w:sz w:val="20"/>
          <w:szCs w:val="20"/>
          <w:rtl/>
        </w:rPr>
        <w:t>עליה</w:t>
      </w:r>
      <w:r w:rsidRPr="00E54993">
        <w:rPr>
          <w:rFonts w:cs="Arial"/>
          <w:sz w:val="20"/>
          <w:szCs w:val="20"/>
          <w:rtl/>
        </w:rPr>
        <w:t xml:space="preserve"> </w:t>
      </w:r>
      <w:r w:rsidRPr="00E54993">
        <w:rPr>
          <w:rFonts w:cs="Arial" w:hint="cs"/>
          <w:sz w:val="20"/>
          <w:szCs w:val="20"/>
          <w:rtl/>
        </w:rPr>
        <w:t>שלש</w:t>
      </w:r>
      <w:r w:rsidRPr="00E54993">
        <w:rPr>
          <w:rFonts w:cs="Arial"/>
          <w:sz w:val="20"/>
          <w:szCs w:val="20"/>
          <w:rtl/>
        </w:rPr>
        <w:t xml:space="preserve"> </w:t>
      </w:r>
      <w:r w:rsidRPr="00E54993">
        <w:rPr>
          <w:rFonts w:cs="Arial" w:hint="cs"/>
          <w:sz w:val="20"/>
          <w:szCs w:val="20"/>
          <w:rtl/>
        </w:rPr>
        <w:t>עונות</w:t>
      </w:r>
      <w:r w:rsidRPr="00E54993">
        <w:rPr>
          <w:rFonts w:cs="Arial"/>
          <w:sz w:val="20"/>
          <w:szCs w:val="20"/>
          <w:rtl/>
        </w:rPr>
        <w:t xml:space="preserve"> </w:t>
      </w:r>
      <w:r w:rsidRPr="00E54993">
        <w:rPr>
          <w:rFonts w:cs="Arial" w:hint="cs"/>
          <w:sz w:val="20"/>
          <w:szCs w:val="20"/>
          <w:rtl/>
        </w:rPr>
        <w:t>וראתה</w:t>
      </w:r>
      <w:r w:rsidRPr="00E54993">
        <w:rPr>
          <w:rFonts w:cs="Arial"/>
          <w:sz w:val="20"/>
          <w:szCs w:val="20"/>
          <w:rtl/>
        </w:rPr>
        <w:t xml:space="preserve"> - </w:t>
      </w:r>
      <w:r w:rsidRPr="00E54993">
        <w:rPr>
          <w:rFonts w:cs="Arial" w:hint="cs"/>
          <w:sz w:val="20"/>
          <w:szCs w:val="20"/>
          <w:rtl/>
        </w:rPr>
        <w:t>הרי</w:t>
      </w:r>
      <w:r w:rsidRPr="00E54993">
        <w:rPr>
          <w:rFonts w:cs="Arial"/>
          <w:sz w:val="20"/>
          <w:szCs w:val="20"/>
          <w:rtl/>
        </w:rPr>
        <w:t xml:space="preserve"> </w:t>
      </w:r>
      <w:r w:rsidRPr="00E54993">
        <w:rPr>
          <w:rFonts w:cs="Arial" w:hint="cs"/>
          <w:sz w:val="20"/>
          <w:szCs w:val="20"/>
          <w:rtl/>
        </w:rPr>
        <w:t>היא</w:t>
      </w:r>
      <w:r w:rsidRPr="00E54993">
        <w:rPr>
          <w:rFonts w:cs="Arial"/>
          <w:sz w:val="20"/>
          <w:szCs w:val="20"/>
          <w:rtl/>
        </w:rPr>
        <w:t xml:space="preserve"> </w:t>
      </w:r>
      <w:r w:rsidRPr="00E54993">
        <w:rPr>
          <w:rFonts w:cs="Arial" w:hint="cs"/>
          <w:sz w:val="20"/>
          <w:szCs w:val="20"/>
          <w:rtl/>
        </w:rPr>
        <w:t>ככל</w:t>
      </w:r>
      <w:r w:rsidRPr="00E54993">
        <w:rPr>
          <w:rFonts w:cs="Arial"/>
          <w:sz w:val="20"/>
          <w:szCs w:val="20"/>
          <w:rtl/>
        </w:rPr>
        <w:t xml:space="preserve"> </w:t>
      </w:r>
      <w:r w:rsidRPr="00E54993">
        <w:rPr>
          <w:rFonts w:cs="Arial" w:hint="cs"/>
          <w:sz w:val="20"/>
          <w:szCs w:val="20"/>
          <w:rtl/>
        </w:rPr>
        <w:t>הנשים</w:t>
      </w:r>
      <w:r w:rsidRPr="00E54993">
        <w:rPr>
          <w:rFonts w:cs="Arial"/>
          <w:sz w:val="20"/>
          <w:szCs w:val="20"/>
          <w:rtl/>
        </w:rPr>
        <w:t xml:space="preserve">, </w:t>
      </w:r>
      <w:r w:rsidRPr="00E54993">
        <w:rPr>
          <w:rFonts w:cs="Arial" w:hint="cs"/>
          <w:sz w:val="20"/>
          <w:szCs w:val="20"/>
          <w:rtl/>
        </w:rPr>
        <w:t>ומטמאה</w:t>
      </w:r>
      <w:r w:rsidRPr="00E54993">
        <w:rPr>
          <w:rFonts w:cs="Arial"/>
          <w:sz w:val="20"/>
          <w:szCs w:val="20"/>
          <w:rtl/>
        </w:rPr>
        <w:t xml:space="preserve"> </w:t>
      </w:r>
      <w:r w:rsidRPr="00E54993">
        <w:rPr>
          <w:rFonts w:cs="Arial" w:hint="cs"/>
          <w:sz w:val="20"/>
          <w:szCs w:val="20"/>
          <w:rtl/>
        </w:rPr>
        <w:t>מעת</w:t>
      </w:r>
      <w:r w:rsidRPr="00E54993">
        <w:rPr>
          <w:rFonts w:cs="Arial"/>
          <w:sz w:val="20"/>
          <w:szCs w:val="20"/>
          <w:rtl/>
        </w:rPr>
        <w:t xml:space="preserve"> </w:t>
      </w:r>
      <w:r w:rsidRPr="00E54993">
        <w:rPr>
          <w:rFonts w:cs="Arial" w:hint="cs"/>
          <w:sz w:val="20"/>
          <w:szCs w:val="20"/>
          <w:rtl/>
        </w:rPr>
        <w:t>לעת</w:t>
      </w:r>
      <w:r w:rsidRPr="00E54993">
        <w:rPr>
          <w:rFonts w:cs="Arial"/>
          <w:sz w:val="20"/>
          <w:szCs w:val="20"/>
          <w:rtl/>
        </w:rPr>
        <w:t xml:space="preserve"> </w:t>
      </w:r>
      <w:r w:rsidRPr="00E54993">
        <w:rPr>
          <w:rFonts w:cs="Arial" w:hint="cs"/>
          <w:sz w:val="20"/>
          <w:szCs w:val="20"/>
          <w:rtl/>
        </w:rPr>
        <w:t>ומפקידה</w:t>
      </w:r>
      <w:r>
        <w:rPr>
          <w:rFonts w:cs="Arial" w:hint="cs"/>
          <w:sz w:val="20"/>
          <w:szCs w:val="20"/>
          <w:rtl/>
        </w:rPr>
        <w:t xml:space="preserve"> </w:t>
      </w:r>
      <w:r w:rsidRPr="00E54993">
        <w:rPr>
          <w:rFonts w:cs="Arial" w:hint="cs"/>
          <w:sz w:val="20"/>
          <w:szCs w:val="20"/>
          <w:rtl/>
        </w:rPr>
        <w:t>לפקידה</w:t>
      </w:r>
      <w:r>
        <w:rPr>
          <w:rFonts w:cs="Arial"/>
          <w:sz w:val="20"/>
          <w:szCs w:val="20"/>
          <w:rtl/>
        </w:rPr>
        <w:t>.</w:t>
      </w:r>
      <w:r>
        <w:rPr>
          <w:rFonts w:cs="Arial" w:hint="cs"/>
          <w:sz w:val="20"/>
          <w:szCs w:val="20"/>
          <w:rtl/>
        </w:rPr>
        <w:t xml:space="preserve">.. </w:t>
      </w:r>
      <w:r w:rsidRPr="00E54993">
        <w:rPr>
          <w:rFonts w:cs="Arial" w:hint="cs"/>
          <w:sz w:val="20"/>
          <w:szCs w:val="20"/>
          <w:rtl/>
        </w:rPr>
        <w:t>ולא</w:t>
      </w:r>
      <w:r w:rsidRPr="00E54993">
        <w:rPr>
          <w:rFonts w:cs="Arial"/>
          <w:sz w:val="20"/>
          <w:szCs w:val="20"/>
          <w:rtl/>
        </w:rPr>
        <w:t xml:space="preserve"> </w:t>
      </w:r>
      <w:r w:rsidRPr="00E54993">
        <w:rPr>
          <w:rFonts w:cs="Arial" w:hint="cs"/>
          <w:sz w:val="20"/>
          <w:szCs w:val="20"/>
          <w:rtl/>
        </w:rPr>
        <w:t>שכוונה</w:t>
      </w:r>
      <w:r>
        <w:rPr>
          <w:rFonts w:cs="Arial" w:hint="cs"/>
          <w:sz w:val="20"/>
          <w:szCs w:val="20"/>
          <w:rtl/>
        </w:rPr>
        <w:t xml:space="preserve"> </w:t>
      </w:r>
      <w:r w:rsidRPr="00E54993">
        <w:rPr>
          <w:rFonts w:cs="Arial" w:hint="cs"/>
          <w:sz w:val="18"/>
          <w:szCs w:val="18"/>
          <w:rtl/>
        </w:rPr>
        <w:t xml:space="preserve">(ולא כשהיו הפלגותיה שוות) </w:t>
      </w:r>
      <w:r w:rsidRPr="00E54993">
        <w:rPr>
          <w:rFonts w:cs="Arial" w:hint="cs"/>
          <w:sz w:val="20"/>
          <w:szCs w:val="20"/>
          <w:rtl/>
        </w:rPr>
        <w:t>אלא</w:t>
      </w:r>
      <w:r w:rsidRPr="00E54993">
        <w:rPr>
          <w:rFonts w:cs="Arial"/>
          <w:sz w:val="20"/>
          <w:szCs w:val="20"/>
          <w:rtl/>
        </w:rPr>
        <w:t xml:space="preserve"> </w:t>
      </w:r>
      <w:r w:rsidRPr="00E54993">
        <w:rPr>
          <w:rFonts w:cs="Arial" w:hint="cs"/>
          <w:sz w:val="20"/>
          <w:szCs w:val="20"/>
          <w:rtl/>
        </w:rPr>
        <w:t>שפיחתה</w:t>
      </w:r>
      <w:r w:rsidRPr="00E54993">
        <w:rPr>
          <w:rFonts w:cs="Arial"/>
          <w:sz w:val="20"/>
          <w:szCs w:val="20"/>
          <w:rtl/>
        </w:rPr>
        <w:t xml:space="preserve"> </w:t>
      </w:r>
      <w:r w:rsidRPr="00E54993">
        <w:rPr>
          <w:rFonts w:cs="Arial" w:hint="cs"/>
          <w:sz w:val="20"/>
          <w:szCs w:val="20"/>
          <w:rtl/>
        </w:rPr>
        <w:t>והותירה</w:t>
      </w:r>
      <w:r w:rsidRPr="00E54993">
        <w:rPr>
          <w:rFonts w:cs="Arial"/>
          <w:sz w:val="20"/>
          <w:szCs w:val="20"/>
          <w:rtl/>
        </w:rPr>
        <w:t xml:space="preserve">, </w:t>
      </w:r>
      <w:r w:rsidRPr="00E54993">
        <w:rPr>
          <w:rFonts w:cs="Arial" w:hint="cs"/>
          <w:sz w:val="20"/>
          <w:szCs w:val="20"/>
          <w:rtl/>
        </w:rPr>
        <w:t>אבל</w:t>
      </w:r>
      <w:r w:rsidRPr="00E54993">
        <w:rPr>
          <w:rFonts w:cs="Arial"/>
          <w:sz w:val="20"/>
          <w:szCs w:val="20"/>
          <w:rtl/>
        </w:rPr>
        <w:t xml:space="preserve"> </w:t>
      </w:r>
      <w:r w:rsidRPr="00E54993">
        <w:rPr>
          <w:rFonts w:cs="Arial" w:hint="cs"/>
          <w:sz w:val="20"/>
          <w:szCs w:val="20"/>
          <w:rtl/>
        </w:rPr>
        <w:t>כוונה</w:t>
      </w:r>
      <w:r w:rsidRPr="00E54993">
        <w:rPr>
          <w:rFonts w:cs="Arial"/>
          <w:sz w:val="20"/>
          <w:szCs w:val="20"/>
          <w:rtl/>
        </w:rPr>
        <w:t xml:space="preserve"> </w:t>
      </w:r>
      <w:r w:rsidRPr="00E54993">
        <w:rPr>
          <w:rFonts w:cs="Arial" w:hint="cs"/>
          <w:sz w:val="18"/>
          <w:szCs w:val="18"/>
          <w:rtl/>
        </w:rPr>
        <w:t>(ראיותיה במרווחי זמן קבועים)</w:t>
      </w:r>
      <w:r w:rsidRPr="00E54993">
        <w:rPr>
          <w:rFonts w:cs="Arial"/>
          <w:sz w:val="20"/>
          <w:szCs w:val="20"/>
          <w:rtl/>
        </w:rPr>
        <w:t xml:space="preserve">- </w:t>
      </w:r>
      <w:r w:rsidRPr="00E54993">
        <w:rPr>
          <w:rFonts w:cs="Arial" w:hint="cs"/>
          <w:sz w:val="20"/>
          <w:szCs w:val="20"/>
          <w:rtl/>
        </w:rPr>
        <w:t>קבעה</w:t>
      </w:r>
      <w:r w:rsidRPr="00E54993">
        <w:rPr>
          <w:rFonts w:cs="Arial"/>
          <w:sz w:val="20"/>
          <w:szCs w:val="20"/>
          <w:rtl/>
        </w:rPr>
        <w:t xml:space="preserve"> </w:t>
      </w:r>
      <w:r w:rsidRPr="00E54993">
        <w:rPr>
          <w:rFonts w:cs="Arial" w:hint="cs"/>
          <w:sz w:val="20"/>
          <w:szCs w:val="20"/>
          <w:rtl/>
        </w:rPr>
        <w:t>לה</w:t>
      </w:r>
      <w:r w:rsidRPr="00E54993">
        <w:rPr>
          <w:rFonts w:cs="Arial"/>
          <w:sz w:val="20"/>
          <w:szCs w:val="20"/>
          <w:rtl/>
        </w:rPr>
        <w:t xml:space="preserve"> </w:t>
      </w:r>
      <w:r w:rsidRPr="00E54993">
        <w:rPr>
          <w:rFonts w:cs="Arial" w:hint="cs"/>
          <w:sz w:val="20"/>
          <w:szCs w:val="20"/>
          <w:rtl/>
        </w:rPr>
        <w:t>וסת</w:t>
      </w:r>
      <w:r w:rsidRPr="00E54993">
        <w:rPr>
          <w:rFonts w:cs="Arial"/>
          <w:sz w:val="20"/>
          <w:szCs w:val="20"/>
          <w:rtl/>
        </w:rPr>
        <w:t xml:space="preserve"> </w:t>
      </w:r>
      <w:r w:rsidRPr="00E54993">
        <w:rPr>
          <w:rFonts w:cs="Arial" w:hint="cs"/>
          <w:sz w:val="20"/>
          <w:szCs w:val="20"/>
          <w:rtl/>
        </w:rPr>
        <w:t>ודיה</w:t>
      </w:r>
      <w:r w:rsidRPr="00E54993">
        <w:rPr>
          <w:rFonts w:cs="Arial"/>
          <w:sz w:val="20"/>
          <w:szCs w:val="20"/>
          <w:rtl/>
        </w:rPr>
        <w:t xml:space="preserve"> </w:t>
      </w:r>
      <w:r w:rsidRPr="00E54993">
        <w:rPr>
          <w:rFonts w:cs="Arial" w:hint="cs"/>
          <w:sz w:val="20"/>
          <w:szCs w:val="20"/>
          <w:rtl/>
        </w:rPr>
        <w:t>שעתה</w:t>
      </w:r>
      <w:r>
        <w:rPr>
          <w:rFonts w:cs="Arial" w:hint="cs"/>
          <w:sz w:val="20"/>
          <w:szCs w:val="20"/>
          <w:rtl/>
        </w:rPr>
        <w:t>".</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E54993">
        <w:rPr>
          <w:rFonts w:cs="Arial" w:hint="cs"/>
          <w:sz w:val="20"/>
          <w:szCs w:val="20"/>
          <w:rtl/>
        </w:rPr>
        <w:t>חזרה</w:t>
      </w:r>
      <w:r w:rsidRPr="00E54993">
        <w:rPr>
          <w:rFonts w:cs="Arial"/>
          <w:sz w:val="20"/>
          <w:szCs w:val="20"/>
          <w:rtl/>
        </w:rPr>
        <w:t xml:space="preserve"> </w:t>
      </w:r>
      <w:r w:rsidRPr="00E54993">
        <w:rPr>
          <w:rFonts w:cs="Arial" w:hint="cs"/>
          <w:sz w:val="20"/>
          <w:szCs w:val="20"/>
          <w:rtl/>
        </w:rPr>
        <w:t>וראתה</w:t>
      </w:r>
      <w:r w:rsidRPr="00E54993">
        <w:rPr>
          <w:rFonts w:cs="Arial"/>
          <w:sz w:val="20"/>
          <w:szCs w:val="20"/>
          <w:rtl/>
        </w:rPr>
        <w:t xml:space="preserve">, </w:t>
      </w:r>
      <w:r w:rsidRPr="00E54993">
        <w:rPr>
          <w:rFonts w:cs="Arial" w:hint="cs"/>
          <w:sz w:val="20"/>
          <w:szCs w:val="20"/>
          <w:rtl/>
        </w:rPr>
        <w:t>דינה</w:t>
      </w:r>
      <w:r w:rsidRPr="00E54993">
        <w:rPr>
          <w:rFonts w:cs="Arial"/>
          <w:sz w:val="20"/>
          <w:szCs w:val="20"/>
          <w:rtl/>
        </w:rPr>
        <w:t xml:space="preserve"> </w:t>
      </w:r>
      <w:r w:rsidRPr="00E54993">
        <w:rPr>
          <w:rFonts w:cs="Arial" w:hint="cs"/>
          <w:sz w:val="20"/>
          <w:szCs w:val="20"/>
          <w:rtl/>
        </w:rPr>
        <w:t>כדין</w:t>
      </w:r>
      <w:r w:rsidRPr="00E54993">
        <w:rPr>
          <w:rFonts w:cs="Arial"/>
          <w:sz w:val="20"/>
          <w:szCs w:val="20"/>
          <w:rtl/>
        </w:rPr>
        <w:t xml:space="preserve"> </w:t>
      </w:r>
      <w:r w:rsidRPr="00E54993">
        <w:rPr>
          <w:rFonts w:cs="Arial" w:hint="cs"/>
          <w:sz w:val="20"/>
          <w:szCs w:val="20"/>
          <w:rtl/>
        </w:rPr>
        <w:t>תינוקת</w:t>
      </w:r>
      <w:r w:rsidRPr="00E54993">
        <w:rPr>
          <w:rFonts w:cs="Arial"/>
          <w:sz w:val="20"/>
          <w:szCs w:val="20"/>
          <w:rtl/>
        </w:rPr>
        <w:t xml:space="preserve"> </w:t>
      </w:r>
      <w:r w:rsidRPr="00E54993">
        <w:rPr>
          <w:rFonts w:cs="Arial" w:hint="cs"/>
          <w:sz w:val="20"/>
          <w:szCs w:val="20"/>
          <w:rtl/>
        </w:rPr>
        <w:t>שלא</w:t>
      </w:r>
      <w:r w:rsidRPr="00E54993">
        <w:rPr>
          <w:rFonts w:cs="Arial"/>
          <w:sz w:val="20"/>
          <w:szCs w:val="20"/>
          <w:rtl/>
        </w:rPr>
        <w:t xml:space="preserve"> </w:t>
      </w:r>
      <w:r w:rsidRPr="00E54993">
        <w:rPr>
          <w:rFonts w:cs="Arial" w:hint="cs"/>
          <w:sz w:val="20"/>
          <w:szCs w:val="20"/>
          <w:rtl/>
        </w:rPr>
        <w:t>הגיע</w:t>
      </w:r>
      <w:r w:rsidRPr="00E54993">
        <w:rPr>
          <w:rFonts w:cs="Arial"/>
          <w:sz w:val="20"/>
          <w:szCs w:val="20"/>
          <w:rtl/>
        </w:rPr>
        <w:t xml:space="preserve"> </w:t>
      </w:r>
      <w:r w:rsidRPr="00E54993">
        <w:rPr>
          <w:rFonts w:cs="Arial" w:hint="cs"/>
          <w:sz w:val="20"/>
          <w:szCs w:val="20"/>
          <w:rtl/>
        </w:rPr>
        <w:t>זמנה</w:t>
      </w:r>
      <w:r w:rsidRPr="00E54993">
        <w:rPr>
          <w:rFonts w:cs="Arial"/>
          <w:sz w:val="20"/>
          <w:szCs w:val="20"/>
          <w:rtl/>
        </w:rPr>
        <w:t xml:space="preserve"> </w:t>
      </w:r>
      <w:r w:rsidRPr="00E54993">
        <w:rPr>
          <w:rFonts w:cs="Arial" w:hint="cs"/>
          <w:sz w:val="20"/>
          <w:szCs w:val="20"/>
          <w:rtl/>
        </w:rPr>
        <w:t>לראות</w:t>
      </w:r>
      <w:r>
        <w:rPr>
          <w:rFonts w:cs="Arial" w:hint="cs"/>
          <w:sz w:val="20"/>
          <w:szCs w:val="20"/>
          <w:rtl/>
        </w:rPr>
        <w:t>".</w:t>
      </w:r>
      <w:r>
        <w:rPr>
          <w:rFonts w:hint="cs"/>
          <w:sz w:val="20"/>
          <w:szCs w:val="20"/>
          <w:rtl/>
        </w:rPr>
        <w:br/>
        <w:t>כלומר, אין הווסת חוזר כעת בראייה זו, אך עיין בסעיף הבא שדין זקנה חמור מקטנה.</w:t>
      </w:r>
    </w:p>
    <w:p w:rsidR="00620060" w:rsidRDefault="00620060" w:rsidP="00620060">
      <w:pPr>
        <w:rPr>
          <w:sz w:val="20"/>
          <w:szCs w:val="20"/>
          <w:rtl/>
        </w:rPr>
      </w:pPr>
      <w:r>
        <w:rPr>
          <w:sz w:val="20"/>
          <w:szCs w:val="20"/>
          <w:rtl/>
        </w:rPr>
        <w:br/>
      </w:r>
      <w:r>
        <w:rPr>
          <w:rFonts w:hint="cs"/>
          <w:b/>
          <w:bCs/>
          <w:sz w:val="20"/>
          <w:szCs w:val="20"/>
          <w:rtl/>
        </w:rPr>
        <w:t xml:space="preserve">סעיף לא </w:t>
      </w:r>
      <w:r>
        <w:rPr>
          <w:b/>
          <w:bCs/>
          <w:sz w:val="20"/>
          <w:szCs w:val="20"/>
          <w:rtl/>
        </w:rPr>
        <w:t>–</w:t>
      </w:r>
      <w:r>
        <w:rPr>
          <w:rFonts w:hint="cs"/>
          <w:b/>
          <w:bCs/>
          <w:sz w:val="20"/>
          <w:szCs w:val="20"/>
          <w:rtl/>
        </w:rPr>
        <w:t xml:space="preserve"> חומרה בזקנה מתינוקת</w:t>
      </w:r>
      <w:r>
        <w:rPr>
          <w:b/>
          <w:b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שולחן ערוך </w:t>
      </w:r>
      <w:r w:rsidRPr="00531B59">
        <w:rPr>
          <w:rFonts w:hint="cs"/>
          <w:sz w:val="18"/>
          <w:szCs w:val="18"/>
          <w:rtl/>
        </w:rPr>
        <w:t xml:space="preserve">(ע"פ </w:t>
      </w:r>
      <w:r w:rsidRPr="003D5A21">
        <w:rPr>
          <w:rFonts w:hint="cs"/>
          <w:b/>
          <w:bCs/>
          <w:sz w:val="18"/>
          <w:szCs w:val="18"/>
          <w:rtl/>
        </w:rPr>
        <w:t>הרשב"א</w:t>
      </w:r>
      <w:r w:rsidRPr="00531B59">
        <w:rPr>
          <w:rFonts w:hint="cs"/>
          <w:sz w:val="18"/>
          <w:szCs w:val="18"/>
          <w:rtl/>
        </w:rPr>
        <w:t xml:space="preserve">) </w:t>
      </w:r>
      <w:r>
        <w:rPr>
          <w:sz w:val="20"/>
          <w:szCs w:val="20"/>
          <w:rtl/>
        </w:rPr>
        <w:t>–</w:t>
      </w:r>
      <w:r>
        <w:rPr>
          <w:rFonts w:hint="cs"/>
          <w:sz w:val="20"/>
          <w:szCs w:val="20"/>
          <w:rtl/>
        </w:rPr>
        <w:t xml:space="preserve"> "</w:t>
      </w:r>
      <w:r w:rsidRPr="00531B59">
        <w:rPr>
          <w:rFonts w:cs="Arial" w:hint="cs"/>
          <w:sz w:val="20"/>
          <w:szCs w:val="20"/>
          <w:rtl/>
        </w:rPr>
        <w:t>חזרה</w:t>
      </w:r>
      <w:r w:rsidRPr="00531B59">
        <w:rPr>
          <w:rFonts w:cs="Arial"/>
          <w:sz w:val="20"/>
          <w:szCs w:val="20"/>
          <w:rtl/>
        </w:rPr>
        <w:t xml:space="preserve"> </w:t>
      </w:r>
      <w:r w:rsidRPr="00531B59">
        <w:rPr>
          <w:rFonts w:cs="Arial" w:hint="cs"/>
          <w:sz w:val="20"/>
          <w:szCs w:val="20"/>
          <w:rtl/>
        </w:rPr>
        <w:t>לראות</w:t>
      </w:r>
      <w:r w:rsidRPr="00531B59">
        <w:rPr>
          <w:rFonts w:cs="Arial"/>
          <w:sz w:val="20"/>
          <w:szCs w:val="20"/>
          <w:rtl/>
        </w:rPr>
        <w:t xml:space="preserve"> </w:t>
      </w:r>
      <w:r w:rsidRPr="00531B59">
        <w:rPr>
          <w:rFonts w:cs="Arial" w:hint="cs"/>
          <w:sz w:val="20"/>
          <w:szCs w:val="20"/>
          <w:rtl/>
        </w:rPr>
        <w:t>בעונות</w:t>
      </w:r>
      <w:r w:rsidRPr="00531B59">
        <w:rPr>
          <w:rFonts w:cs="Arial"/>
          <w:sz w:val="20"/>
          <w:szCs w:val="20"/>
          <w:rtl/>
        </w:rPr>
        <w:t xml:space="preserve"> </w:t>
      </w:r>
      <w:r w:rsidRPr="00531B59">
        <w:rPr>
          <w:rFonts w:cs="Arial" w:hint="cs"/>
          <w:sz w:val="20"/>
          <w:szCs w:val="20"/>
          <w:rtl/>
        </w:rPr>
        <w:t>קטנות</w:t>
      </w:r>
      <w:r w:rsidRPr="00531B59">
        <w:rPr>
          <w:rFonts w:cs="Arial"/>
          <w:sz w:val="20"/>
          <w:szCs w:val="20"/>
          <w:rtl/>
        </w:rPr>
        <w:t xml:space="preserve"> </w:t>
      </w:r>
      <w:r w:rsidRPr="00531B59">
        <w:rPr>
          <w:rFonts w:cs="Arial" w:hint="cs"/>
          <w:sz w:val="20"/>
          <w:szCs w:val="20"/>
          <w:rtl/>
        </w:rPr>
        <w:t>שהיתה</w:t>
      </w:r>
      <w:r w:rsidRPr="00531B59">
        <w:rPr>
          <w:rFonts w:cs="Arial"/>
          <w:sz w:val="20"/>
          <w:szCs w:val="20"/>
          <w:rtl/>
        </w:rPr>
        <w:t xml:space="preserve"> </w:t>
      </w:r>
      <w:r w:rsidRPr="00531B59">
        <w:rPr>
          <w:rFonts w:cs="Arial" w:hint="cs"/>
          <w:sz w:val="20"/>
          <w:szCs w:val="20"/>
          <w:rtl/>
        </w:rPr>
        <w:t>למודה</w:t>
      </w:r>
      <w:r w:rsidRPr="00531B59">
        <w:rPr>
          <w:rFonts w:cs="Arial"/>
          <w:sz w:val="20"/>
          <w:szCs w:val="20"/>
          <w:rtl/>
        </w:rPr>
        <w:t xml:space="preserve"> </w:t>
      </w:r>
      <w:r w:rsidRPr="00531B59">
        <w:rPr>
          <w:rFonts w:cs="Arial" w:hint="cs"/>
          <w:sz w:val="20"/>
          <w:szCs w:val="20"/>
          <w:rtl/>
        </w:rPr>
        <w:t>להיות</w:t>
      </w:r>
      <w:r w:rsidRPr="00531B59">
        <w:rPr>
          <w:rFonts w:cs="Arial"/>
          <w:sz w:val="20"/>
          <w:szCs w:val="20"/>
          <w:rtl/>
        </w:rPr>
        <w:t xml:space="preserve"> </w:t>
      </w:r>
      <w:r w:rsidRPr="00531B59">
        <w:rPr>
          <w:rFonts w:cs="Arial" w:hint="cs"/>
          <w:sz w:val="20"/>
          <w:szCs w:val="20"/>
          <w:rtl/>
        </w:rPr>
        <w:t>רואה</w:t>
      </w:r>
      <w:r w:rsidRPr="00531B59">
        <w:rPr>
          <w:rFonts w:cs="Arial"/>
          <w:sz w:val="20"/>
          <w:szCs w:val="20"/>
          <w:rtl/>
        </w:rPr>
        <w:t xml:space="preserve"> </w:t>
      </w:r>
      <w:r w:rsidRPr="00531B59">
        <w:rPr>
          <w:rFonts w:cs="Arial" w:hint="cs"/>
          <w:sz w:val="20"/>
          <w:szCs w:val="20"/>
          <w:rtl/>
        </w:rPr>
        <w:t>בהן</w:t>
      </w:r>
      <w:r w:rsidRPr="00531B59">
        <w:rPr>
          <w:rFonts w:cs="Arial"/>
          <w:sz w:val="20"/>
          <w:szCs w:val="20"/>
          <w:rtl/>
        </w:rPr>
        <w:t xml:space="preserve">, </w:t>
      </w:r>
      <w:r w:rsidRPr="00531B59">
        <w:rPr>
          <w:rFonts w:cs="Arial" w:hint="cs"/>
          <w:sz w:val="20"/>
          <w:szCs w:val="20"/>
          <w:rtl/>
        </w:rPr>
        <w:t>חזרה</w:t>
      </w:r>
      <w:r w:rsidRPr="00531B59">
        <w:rPr>
          <w:rFonts w:cs="Arial"/>
          <w:sz w:val="20"/>
          <w:szCs w:val="20"/>
          <w:rtl/>
        </w:rPr>
        <w:t xml:space="preserve"> </w:t>
      </w:r>
      <w:r w:rsidRPr="00531B59">
        <w:rPr>
          <w:rFonts w:cs="Arial" w:hint="cs"/>
          <w:sz w:val="20"/>
          <w:szCs w:val="20"/>
          <w:rtl/>
        </w:rPr>
        <w:t>לקביעותה</w:t>
      </w:r>
      <w:r w:rsidRPr="00531B59">
        <w:rPr>
          <w:rFonts w:cs="Arial"/>
          <w:sz w:val="20"/>
          <w:szCs w:val="20"/>
          <w:rtl/>
        </w:rPr>
        <w:t xml:space="preserve"> </w:t>
      </w:r>
      <w:r w:rsidRPr="00531B59">
        <w:rPr>
          <w:rFonts w:cs="Arial" w:hint="cs"/>
          <w:sz w:val="20"/>
          <w:szCs w:val="20"/>
          <w:rtl/>
        </w:rPr>
        <w:t>הראשון</w:t>
      </w:r>
      <w:r w:rsidRPr="00531B59">
        <w:rPr>
          <w:rFonts w:cs="Arial"/>
          <w:sz w:val="20"/>
          <w:szCs w:val="20"/>
          <w:rtl/>
        </w:rPr>
        <w:t xml:space="preserve">. </w:t>
      </w:r>
      <w:r w:rsidRPr="00531B59">
        <w:rPr>
          <w:rFonts w:cs="Arial" w:hint="cs"/>
          <w:sz w:val="20"/>
          <w:szCs w:val="20"/>
          <w:rtl/>
        </w:rPr>
        <w:t>אם</w:t>
      </w:r>
      <w:r w:rsidRPr="00531B59">
        <w:rPr>
          <w:rFonts w:cs="Arial"/>
          <w:sz w:val="20"/>
          <w:szCs w:val="20"/>
          <w:rtl/>
        </w:rPr>
        <w:t xml:space="preserve"> </w:t>
      </w:r>
      <w:r w:rsidRPr="00531B59">
        <w:rPr>
          <w:rFonts w:cs="Arial" w:hint="cs"/>
          <w:sz w:val="20"/>
          <w:szCs w:val="20"/>
          <w:rtl/>
        </w:rPr>
        <w:t>וסת</w:t>
      </w:r>
      <w:r w:rsidRPr="00531B59">
        <w:rPr>
          <w:rFonts w:cs="Arial"/>
          <w:sz w:val="20"/>
          <w:szCs w:val="20"/>
          <w:rtl/>
        </w:rPr>
        <w:t xml:space="preserve"> </w:t>
      </w:r>
      <w:r w:rsidRPr="00531B59">
        <w:rPr>
          <w:rFonts w:cs="Arial" w:hint="cs"/>
          <w:sz w:val="20"/>
          <w:szCs w:val="20"/>
          <w:rtl/>
        </w:rPr>
        <w:t>ההפלגות</w:t>
      </w:r>
      <w:r w:rsidRPr="00531B59">
        <w:rPr>
          <w:rFonts w:cs="Arial"/>
          <w:sz w:val="20"/>
          <w:szCs w:val="20"/>
          <w:rtl/>
        </w:rPr>
        <w:t xml:space="preserve"> </w:t>
      </w:r>
      <w:r w:rsidRPr="00531B59">
        <w:rPr>
          <w:rFonts w:cs="Arial" w:hint="cs"/>
          <w:sz w:val="20"/>
          <w:szCs w:val="20"/>
          <w:rtl/>
        </w:rPr>
        <w:t>חזרה</w:t>
      </w:r>
      <w:r w:rsidRPr="00531B59">
        <w:rPr>
          <w:rFonts w:cs="Arial"/>
          <w:sz w:val="20"/>
          <w:szCs w:val="20"/>
          <w:rtl/>
        </w:rPr>
        <w:t xml:space="preserve"> </w:t>
      </w:r>
      <w:r w:rsidRPr="00531B59">
        <w:rPr>
          <w:rFonts w:cs="Arial" w:hint="cs"/>
          <w:sz w:val="20"/>
          <w:szCs w:val="20"/>
          <w:rtl/>
        </w:rPr>
        <w:t>לקדמותה</w:t>
      </w:r>
      <w:r w:rsidRPr="00531B59">
        <w:rPr>
          <w:rFonts w:cs="Arial"/>
          <w:sz w:val="20"/>
          <w:szCs w:val="20"/>
          <w:rtl/>
        </w:rPr>
        <w:t xml:space="preserve">, </w:t>
      </w:r>
      <w:r w:rsidRPr="00531B59">
        <w:rPr>
          <w:rFonts w:cs="Arial" w:hint="cs"/>
          <w:sz w:val="20"/>
          <w:szCs w:val="20"/>
          <w:rtl/>
        </w:rPr>
        <w:t>אם</w:t>
      </w:r>
      <w:r w:rsidRPr="00531B59">
        <w:rPr>
          <w:rFonts w:cs="Arial"/>
          <w:sz w:val="20"/>
          <w:szCs w:val="20"/>
          <w:rtl/>
        </w:rPr>
        <w:t xml:space="preserve"> </w:t>
      </w:r>
      <w:r w:rsidRPr="00531B59">
        <w:rPr>
          <w:rFonts w:cs="Arial" w:hint="cs"/>
          <w:sz w:val="20"/>
          <w:szCs w:val="20"/>
          <w:rtl/>
        </w:rPr>
        <w:t>תהיה</w:t>
      </w:r>
      <w:r w:rsidRPr="00531B59">
        <w:rPr>
          <w:rFonts w:cs="Arial"/>
          <w:sz w:val="20"/>
          <w:szCs w:val="20"/>
          <w:rtl/>
        </w:rPr>
        <w:t xml:space="preserve"> </w:t>
      </w:r>
      <w:r w:rsidRPr="00531B59">
        <w:rPr>
          <w:rFonts w:cs="Arial" w:hint="cs"/>
          <w:sz w:val="20"/>
          <w:szCs w:val="20"/>
          <w:rtl/>
        </w:rPr>
        <w:t>ההפלגה</w:t>
      </w:r>
      <w:r w:rsidRPr="00531B59">
        <w:rPr>
          <w:rFonts w:cs="Arial"/>
          <w:sz w:val="20"/>
          <w:szCs w:val="20"/>
          <w:rtl/>
        </w:rPr>
        <w:t xml:space="preserve"> </w:t>
      </w:r>
      <w:r w:rsidRPr="00531B59">
        <w:rPr>
          <w:rFonts w:cs="Arial" w:hint="cs"/>
          <w:sz w:val="20"/>
          <w:szCs w:val="20"/>
          <w:rtl/>
        </w:rPr>
        <w:t>כמו</w:t>
      </w:r>
      <w:r w:rsidRPr="00531B59">
        <w:rPr>
          <w:rFonts w:cs="Arial"/>
          <w:sz w:val="20"/>
          <w:szCs w:val="20"/>
          <w:rtl/>
        </w:rPr>
        <w:t xml:space="preserve"> </w:t>
      </w:r>
      <w:r w:rsidRPr="00531B59">
        <w:rPr>
          <w:rFonts w:cs="Arial" w:hint="cs"/>
          <w:sz w:val="20"/>
          <w:szCs w:val="20"/>
          <w:rtl/>
        </w:rPr>
        <w:t>שהיתה</w:t>
      </w:r>
      <w:r w:rsidRPr="00531B59">
        <w:rPr>
          <w:rFonts w:cs="Arial"/>
          <w:sz w:val="20"/>
          <w:szCs w:val="20"/>
          <w:rtl/>
        </w:rPr>
        <w:t xml:space="preserve"> </w:t>
      </w:r>
      <w:r w:rsidRPr="00531B59">
        <w:rPr>
          <w:rFonts w:cs="Arial" w:hint="cs"/>
          <w:sz w:val="20"/>
          <w:szCs w:val="20"/>
          <w:rtl/>
        </w:rPr>
        <w:t>למודה</w:t>
      </w:r>
      <w:r w:rsidRPr="00531B59">
        <w:rPr>
          <w:rFonts w:cs="Arial"/>
          <w:sz w:val="20"/>
          <w:szCs w:val="20"/>
          <w:rtl/>
        </w:rPr>
        <w:t xml:space="preserve"> </w:t>
      </w:r>
      <w:r w:rsidRPr="00531B59">
        <w:rPr>
          <w:rFonts w:cs="Arial" w:hint="cs"/>
          <w:sz w:val="20"/>
          <w:szCs w:val="20"/>
          <w:rtl/>
        </w:rPr>
        <w:t>תחלה</w:t>
      </w:r>
      <w:r w:rsidRPr="00531B59">
        <w:rPr>
          <w:rFonts w:cs="Arial"/>
          <w:sz w:val="20"/>
          <w:szCs w:val="20"/>
          <w:rtl/>
        </w:rPr>
        <w:t xml:space="preserve">, </w:t>
      </w:r>
      <w:r w:rsidRPr="00531B59">
        <w:rPr>
          <w:rFonts w:cs="Arial" w:hint="cs"/>
          <w:sz w:val="20"/>
          <w:szCs w:val="20"/>
          <w:rtl/>
        </w:rPr>
        <w:t>אם</w:t>
      </w:r>
      <w:r w:rsidRPr="00531B59">
        <w:rPr>
          <w:rFonts w:cs="Arial"/>
          <w:sz w:val="20"/>
          <w:szCs w:val="20"/>
          <w:rtl/>
        </w:rPr>
        <w:t xml:space="preserve"> </w:t>
      </w:r>
      <w:r w:rsidRPr="00531B59">
        <w:rPr>
          <w:rFonts w:cs="Arial" w:hint="cs"/>
          <w:sz w:val="20"/>
          <w:szCs w:val="20"/>
          <w:rtl/>
        </w:rPr>
        <w:t>בשאר</w:t>
      </w:r>
      <w:r w:rsidRPr="00531B59">
        <w:rPr>
          <w:rFonts w:cs="Arial"/>
          <w:sz w:val="20"/>
          <w:szCs w:val="20"/>
          <w:rtl/>
        </w:rPr>
        <w:t xml:space="preserve"> </w:t>
      </w:r>
      <w:r w:rsidRPr="00531B59">
        <w:rPr>
          <w:rFonts w:cs="Arial" w:hint="cs"/>
          <w:sz w:val="20"/>
          <w:szCs w:val="20"/>
          <w:rtl/>
        </w:rPr>
        <w:t>ה</w:t>
      </w:r>
      <w:r>
        <w:rPr>
          <w:rFonts w:cs="Arial" w:hint="cs"/>
          <w:sz w:val="20"/>
          <w:szCs w:val="20"/>
          <w:rtl/>
        </w:rPr>
        <w:t>ו</w:t>
      </w:r>
      <w:r w:rsidRPr="00531B59">
        <w:rPr>
          <w:rFonts w:cs="Arial" w:hint="cs"/>
          <w:sz w:val="20"/>
          <w:szCs w:val="20"/>
          <w:rtl/>
        </w:rPr>
        <w:t>וסתות</w:t>
      </w:r>
      <w:r w:rsidRPr="00531B59">
        <w:rPr>
          <w:rFonts w:cs="Arial"/>
          <w:sz w:val="20"/>
          <w:szCs w:val="20"/>
          <w:rtl/>
        </w:rPr>
        <w:t xml:space="preserve">, </w:t>
      </w:r>
      <w:r w:rsidRPr="00531B59">
        <w:rPr>
          <w:rFonts w:cs="Arial" w:hint="cs"/>
          <w:sz w:val="20"/>
          <w:szCs w:val="20"/>
          <w:rtl/>
        </w:rPr>
        <w:t>אפי</w:t>
      </w:r>
      <w:r>
        <w:rPr>
          <w:rFonts w:cs="Arial" w:hint="cs"/>
          <w:sz w:val="20"/>
          <w:szCs w:val="20"/>
          <w:rtl/>
        </w:rPr>
        <w:t>לו</w:t>
      </w:r>
      <w:r w:rsidRPr="00531B59">
        <w:rPr>
          <w:rFonts w:cs="Arial"/>
          <w:sz w:val="20"/>
          <w:szCs w:val="20"/>
          <w:rtl/>
        </w:rPr>
        <w:t xml:space="preserve"> </w:t>
      </w:r>
      <w:r w:rsidRPr="00531B59">
        <w:rPr>
          <w:rFonts w:cs="Arial" w:hint="cs"/>
          <w:sz w:val="20"/>
          <w:szCs w:val="20"/>
          <w:rtl/>
        </w:rPr>
        <w:t>בפעם</w:t>
      </w:r>
      <w:r w:rsidRPr="00531B59">
        <w:rPr>
          <w:rFonts w:cs="Arial"/>
          <w:sz w:val="20"/>
          <w:szCs w:val="20"/>
          <w:rtl/>
        </w:rPr>
        <w:t xml:space="preserve"> </w:t>
      </w:r>
      <w:r w:rsidRPr="00531B59">
        <w:rPr>
          <w:rFonts w:cs="Arial" w:hint="cs"/>
          <w:sz w:val="20"/>
          <w:szCs w:val="20"/>
          <w:rtl/>
        </w:rPr>
        <w:t>אחת</w:t>
      </w:r>
      <w:r w:rsidRPr="00531B59">
        <w:rPr>
          <w:rFonts w:cs="Arial"/>
          <w:sz w:val="20"/>
          <w:szCs w:val="20"/>
          <w:rtl/>
        </w:rPr>
        <w:t xml:space="preserve"> </w:t>
      </w:r>
      <w:r w:rsidRPr="00531B59">
        <w:rPr>
          <w:rFonts w:cs="Arial" w:hint="cs"/>
          <w:sz w:val="20"/>
          <w:szCs w:val="20"/>
          <w:rtl/>
        </w:rPr>
        <w:t>חוזרת</w:t>
      </w:r>
      <w:r w:rsidRPr="00531B59">
        <w:rPr>
          <w:rFonts w:cs="Arial"/>
          <w:sz w:val="20"/>
          <w:szCs w:val="20"/>
          <w:rtl/>
        </w:rPr>
        <w:t xml:space="preserve"> </w:t>
      </w:r>
      <w:r w:rsidRPr="00531B59">
        <w:rPr>
          <w:rFonts w:cs="Arial" w:hint="cs"/>
          <w:sz w:val="20"/>
          <w:szCs w:val="20"/>
          <w:rtl/>
        </w:rPr>
        <w:t>לקדמותה</w:t>
      </w:r>
      <w:r w:rsidRPr="00531B59">
        <w:rPr>
          <w:rFonts w:cs="Arial"/>
          <w:sz w:val="20"/>
          <w:szCs w:val="20"/>
          <w:rtl/>
        </w:rPr>
        <w:t xml:space="preserve">, </w:t>
      </w:r>
      <w:r w:rsidRPr="00531B59">
        <w:rPr>
          <w:rFonts w:cs="Arial" w:hint="cs"/>
          <w:sz w:val="20"/>
          <w:szCs w:val="20"/>
          <w:rtl/>
        </w:rPr>
        <w:t>שהרי</w:t>
      </w:r>
      <w:r w:rsidRPr="00531B59">
        <w:rPr>
          <w:rFonts w:cs="Arial"/>
          <w:sz w:val="20"/>
          <w:szCs w:val="20"/>
          <w:rtl/>
        </w:rPr>
        <w:t xml:space="preserve"> </w:t>
      </w:r>
      <w:r w:rsidRPr="00531B59">
        <w:rPr>
          <w:rFonts w:cs="Arial" w:hint="cs"/>
          <w:sz w:val="20"/>
          <w:szCs w:val="20"/>
          <w:rtl/>
        </w:rPr>
        <w:t>נתגלה</w:t>
      </w:r>
      <w:r w:rsidRPr="00531B59">
        <w:rPr>
          <w:rFonts w:cs="Arial"/>
          <w:sz w:val="20"/>
          <w:szCs w:val="20"/>
          <w:rtl/>
        </w:rPr>
        <w:t xml:space="preserve"> </w:t>
      </w:r>
      <w:r w:rsidRPr="00531B59">
        <w:rPr>
          <w:rFonts w:cs="Arial" w:hint="cs"/>
          <w:sz w:val="20"/>
          <w:szCs w:val="20"/>
          <w:rtl/>
        </w:rPr>
        <w:t>שדילוג</w:t>
      </w:r>
      <w:r w:rsidRPr="00531B59">
        <w:rPr>
          <w:rFonts w:cs="Arial"/>
          <w:sz w:val="20"/>
          <w:szCs w:val="20"/>
          <w:rtl/>
        </w:rPr>
        <w:t xml:space="preserve"> </w:t>
      </w:r>
      <w:r w:rsidRPr="00531B59">
        <w:rPr>
          <w:rFonts w:cs="Arial" w:hint="cs"/>
          <w:sz w:val="20"/>
          <w:szCs w:val="20"/>
          <w:rtl/>
        </w:rPr>
        <w:t>הראשון</w:t>
      </w:r>
      <w:r w:rsidRPr="00531B59">
        <w:rPr>
          <w:rFonts w:cs="Arial"/>
          <w:sz w:val="20"/>
          <w:szCs w:val="20"/>
          <w:rtl/>
        </w:rPr>
        <w:t xml:space="preserve"> </w:t>
      </w:r>
      <w:r w:rsidRPr="00531B59">
        <w:rPr>
          <w:rFonts w:cs="Arial" w:hint="cs"/>
          <w:sz w:val="20"/>
          <w:szCs w:val="20"/>
          <w:rtl/>
        </w:rPr>
        <w:t>לא</w:t>
      </w:r>
      <w:r w:rsidRPr="00531B59">
        <w:rPr>
          <w:rFonts w:cs="Arial"/>
          <w:sz w:val="20"/>
          <w:szCs w:val="20"/>
          <w:rtl/>
        </w:rPr>
        <w:t xml:space="preserve"> </w:t>
      </w:r>
      <w:r w:rsidRPr="00531B59">
        <w:rPr>
          <w:rFonts w:cs="Arial" w:hint="cs"/>
          <w:sz w:val="20"/>
          <w:szCs w:val="20"/>
          <w:rtl/>
        </w:rPr>
        <w:t>סילוק</w:t>
      </w:r>
      <w:r w:rsidRPr="00531B59">
        <w:rPr>
          <w:rFonts w:cs="Arial"/>
          <w:sz w:val="20"/>
          <w:szCs w:val="20"/>
          <w:rtl/>
        </w:rPr>
        <w:t xml:space="preserve"> </w:t>
      </w:r>
      <w:r w:rsidRPr="00531B59">
        <w:rPr>
          <w:rFonts w:cs="Arial" w:hint="cs"/>
          <w:sz w:val="20"/>
          <w:szCs w:val="20"/>
          <w:rtl/>
        </w:rPr>
        <w:t>דמיה</w:t>
      </w:r>
      <w:r w:rsidRPr="00531B59">
        <w:rPr>
          <w:rFonts w:cs="Arial"/>
          <w:sz w:val="20"/>
          <w:szCs w:val="20"/>
          <w:rtl/>
        </w:rPr>
        <w:t xml:space="preserve"> </w:t>
      </w:r>
      <w:r w:rsidRPr="00531B59">
        <w:rPr>
          <w:rFonts w:cs="Arial" w:hint="cs"/>
          <w:sz w:val="20"/>
          <w:szCs w:val="20"/>
          <w:rtl/>
        </w:rPr>
        <w:t>היה</w:t>
      </w:r>
      <w:r w:rsidRPr="00531B59">
        <w:rPr>
          <w:rFonts w:cs="Arial"/>
          <w:sz w:val="20"/>
          <w:szCs w:val="20"/>
          <w:rtl/>
        </w:rPr>
        <w:t xml:space="preserve"> </w:t>
      </w:r>
      <w:r w:rsidRPr="00531B59">
        <w:rPr>
          <w:rFonts w:cs="Arial" w:hint="cs"/>
          <w:sz w:val="20"/>
          <w:szCs w:val="20"/>
          <w:rtl/>
        </w:rPr>
        <w:t>אלא</w:t>
      </w:r>
      <w:r w:rsidRPr="00531B59">
        <w:rPr>
          <w:rFonts w:cs="Arial"/>
          <w:sz w:val="20"/>
          <w:szCs w:val="20"/>
          <w:rtl/>
        </w:rPr>
        <w:t xml:space="preserve"> </w:t>
      </w:r>
      <w:r w:rsidRPr="00531B59">
        <w:rPr>
          <w:rFonts w:cs="Arial" w:hint="cs"/>
          <w:sz w:val="20"/>
          <w:szCs w:val="20"/>
          <w:rtl/>
        </w:rPr>
        <w:t>מקרה</w:t>
      </w:r>
      <w:r w:rsidRPr="00531B59">
        <w:rPr>
          <w:rFonts w:cs="Arial"/>
          <w:sz w:val="20"/>
          <w:szCs w:val="20"/>
          <w:rtl/>
        </w:rPr>
        <w:t xml:space="preserve">. </w:t>
      </w:r>
      <w:r w:rsidRPr="00531B59">
        <w:rPr>
          <w:rFonts w:cs="Arial" w:hint="cs"/>
          <w:sz w:val="20"/>
          <w:szCs w:val="20"/>
          <w:rtl/>
        </w:rPr>
        <w:t>ובזה</w:t>
      </w:r>
      <w:r w:rsidRPr="00531B59">
        <w:rPr>
          <w:rFonts w:cs="Arial"/>
          <w:sz w:val="20"/>
          <w:szCs w:val="20"/>
          <w:rtl/>
        </w:rPr>
        <w:t xml:space="preserve"> </w:t>
      </w:r>
      <w:r w:rsidRPr="00531B59">
        <w:rPr>
          <w:rFonts w:cs="Arial" w:hint="cs"/>
          <w:sz w:val="20"/>
          <w:szCs w:val="20"/>
          <w:rtl/>
        </w:rPr>
        <w:t>חמור</w:t>
      </w:r>
      <w:r w:rsidRPr="00531B59">
        <w:rPr>
          <w:rFonts w:cs="Arial"/>
          <w:sz w:val="20"/>
          <w:szCs w:val="20"/>
          <w:rtl/>
        </w:rPr>
        <w:t xml:space="preserve"> </w:t>
      </w:r>
      <w:r w:rsidRPr="00531B59">
        <w:rPr>
          <w:rFonts w:cs="Arial" w:hint="cs"/>
          <w:sz w:val="20"/>
          <w:szCs w:val="20"/>
          <w:rtl/>
        </w:rPr>
        <w:t>דין</w:t>
      </w:r>
      <w:r w:rsidRPr="00531B59">
        <w:rPr>
          <w:rFonts w:cs="Arial"/>
          <w:sz w:val="20"/>
          <w:szCs w:val="20"/>
          <w:rtl/>
        </w:rPr>
        <w:t xml:space="preserve"> </w:t>
      </w:r>
      <w:r w:rsidRPr="00531B59">
        <w:rPr>
          <w:rFonts w:cs="Arial" w:hint="cs"/>
          <w:sz w:val="20"/>
          <w:szCs w:val="20"/>
          <w:rtl/>
        </w:rPr>
        <w:t>הזקנה</w:t>
      </w:r>
      <w:r w:rsidRPr="00531B59">
        <w:rPr>
          <w:rFonts w:cs="Arial"/>
          <w:sz w:val="20"/>
          <w:szCs w:val="20"/>
          <w:rtl/>
        </w:rPr>
        <w:t xml:space="preserve"> </w:t>
      </w:r>
      <w:r w:rsidRPr="00531B59">
        <w:rPr>
          <w:rFonts w:cs="Arial" w:hint="cs"/>
          <w:sz w:val="20"/>
          <w:szCs w:val="20"/>
          <w:rtl/>
        </w:rPr>
        <w:t>מדין</w:t>
      </w:r>
      <w:r w:rsidRPr="00531B59">
        <w:rPr>
          <w:rFonts w:cs="Arial"/>
          <w:sz w:val="20"/>
          <w:szCs w:val="20"/>
          <w:rtl/>
        </w:rPr>
        <w:t xml:space="preserve"> </w:t>
      </w:r>
      <w:r w:rsidRPr="00531B59">
        <w:rPr>
          <w:rFonts w:cs="Arial" w:hint="cs"/>
          <w:sz w:val="20"/>
          <w:szCs w:val="20"/>
          <w:rtl/>
        </w:rPr>
        <w:t>הקטנה</w:t>
      </w:r>
      <w:r w:rsidRPr="00531B59">
        <w:rPr>
          <w:rFonts w:cs="Arial"/>
          <w:sz w:val="20"/>
          <w:szCs w:val="20"/>
          <w:rtl/>
        </w:rPr>
        <w:t xml:space="preserve"> </w:t>
      </w:r>
      <w:r w:rsidRPr="00531B59">
        <w:rPr>
          <w:rFonts w:cs="Arial" w:hint="cs"/>
          <w:sz w:val="20"/>
          <w:szCs w:val="20"/>
          <w:rtl/>
        </w:rPr>
        <w:t>שלא</w:t>
      </w:r>
      <w:r w:rsidRPr="00531B59">
        <w:rPr>
          <w:rFonts w:cs="Arial"/>
          <w:sz w:val="20"/>
          <w:szCs w:val="20"/>
          <w:rtl/>
        </w:rPr>
        <w:t xml:space="preserve"> </w:t>
      </w:r>
      <w:r w:rsidRPr="00531B59">
        <w:rPr>
          <w:rFonts w:cs="Arial" w:hint="cs"/>
          <w:sz w:val="20"/>
          <w:szCs w:val="20"/>
          <w:rtl/>
        </w:rPr>
        <w:t>הגיע</w:t>
      </w:r>
      <w:r w:rsidRPr="00531B59">
        <w:rPr>
          <w:rFonts w:cs="Arial"/>
          <w:sz w:val="20"/>
          <w:szCs w:val="20"/>
          <w:rtl/>
        </w:rPr>
        <w:t xml:space="preserve"> </w:t>
      </w:r>
      <w:r w:rsidRPr="00531B59">
        <w:rPr>
          <w:rFonts w:cs="Arial" w:hint="cs"/>
          <w:sz w:val="20"/>
          <w:szCs w:val="20"/>
          <w:rtl/>
        </w:rPr>
        <w:t>זמנה</w:t>
      </w:r>
      <w:r w:rsidRPr="00531B59">
        <w:rPr>
          <w:rFonts w:cs="Arial"/>
          <w:sz w:val="20"/>
          <w:szCs w:val="20"/>
          <w:rtl/>
        </w:rPr>
        <w:t xml:space="preserve"> </w:t>
      </w:r>
      <w:r w:rsidRPr="00531B59">
        <w:rPr>
          <w:rFonts w:cs="Arial" w:hint="cs"/>
          <w:sz w:val="20"/>
          <w:szCs w:val="20"/>
          <w:rtl/>
        </w:rPr>
        <w:t>לראות</w:t>
      </w:r>
      <w:r>
        <w:rPr>
          <w:rFonts w:cs="Arial" w:hint="cs"/>
          <w:sz w:val="20"/>
          <w:szCs w:val="20"/>
          <w:rtl/>
        </w:rPr>
        <w:t>".</w:t>
      </w:r>
    </w:p>
    <w:p w:rsidR="00620060" w:rsidRDefault="00620060" w:rsidP="00620060">
      <w:pPr>
        <w:rPr>
          <w:sz w:val="20"/>
          <w:szCs w:val="20"/>
          <w:rtl/>
        </w:rPr>
      </w:pPr>
      <w:r>
        <w:rPr>
          <w:rFonts w:hint="cs"/>
          <w:sz w:val="20"/>
          <w:szCs w:val="20"/>
          <w:u w:val="single"/>
          <w:rtl/>
        </w:rPr>
        <w:t>ראיה</w:t>
      </w:r>
      <w:r>
        <w:rPr>
          <w:sz w:val="20"/>
          <w:szCs w:val="20"/>
          <w:u w:val="single"/>
          <w:rtl/>
        </w:rPr>
        <w:br/>
      </w:r>
      <w:r>
        <w:rPr>
          <w:rFonts w:hint="cs"/>
          <w:b/>
          <w:bCs/>
          <w:sz w:val="20"/>
          <w:szCs w:val="20"/>
          <w:rtl/>
        </w:rPr>
        <w:t xml:space="preserve">רשב"א </w:t>
      </w:r>
      <w:r>
        <w:rPr>
          <w:sz w:val="20"/>
          <w:szCs w:val="20"/>
          <w:rtl/>
        </w:rPr>
        <w:t>–</w:t>
      </w:r>
      <w:r>
        <w:rPr>
          <w:rFonts w:hint="cs"/>
          <w:sz w:val="20"/>
          <w:szCs w:val="20"/>
          <w:rtl/>
        </w:rPr>
        <w:t xml:space="preserve"> מוכח בגמרא שדין זקנה חמור מדין תינוקת, מכך שהגמרא שאלה על תינוקת "הדר חזיא בעונות מאי?" ולא שאלה זאת על זקנה, מוכח שזקנה שחוזרת לראייתה הקודמת חוזרת לדינה הקודם.</w:t>
      </w:r>
    </w:p>
    <w:p w:rsidR="00620060" w:rsidRDefault="00620060" w:rsidP="00620060">
      <w:pPr>
        <w:rPr>
          <w:sz w:val="20"/>
          <w:szCs w:val="20"/>
          <w:rtl/>
        </w:rPr>
      </w:pPr>
      <w:r>
        <w:rPr>
          <w:rFonts w:hint="cs"/>
          <w:sz w:val="20"/>
          <w:szCs w:val="20"/>
          <w:u w:val="single"/>
          <w:rtl/>
        </w:rPr>
        <w:t>טעם הדין</w:t>
      </w:r>
      <w:r>
        <w:rPr>
          <w:sz w:val="20"/>
          <w:szCs w:val="20"/>
          <w:u w:val="single"/>
          <w:rtl/>
        </w:rPr>
        <w:br/>
      </w:r>
      <w:r w:rsidRPr="00693EC8">
        <w:rPr>
          <w:rFonts w:hint="cs"/>
          <w:b/>
          <w:bCs/>
          <w:sz w:val="20"/>
          <w:szCs w:val="20"/>
          <w:rtl/>
        </w:rPr>
        <w:t>שבט הלוי</w:t>
      </w:r>
      <w:r>
        <w:rPr>
          <w:rFonts w:hint="cs"/>
          <w:sz w:val="20"/>
          <w:szCs w:val="20"/>
          <w:rtl/>
        </w:rPr>
        <w:t xml:space="preserve"> </w:t>
      </w:r>
      <w:r>
        <w:rPr>
          <w:sz w:val="20"/>
          <w:szCs w:val="20"/>
          <w:rtl/>
        </w:rPr>
        <w:t>–</w:t>
      </w:r>
      <w:r>
        <w:rPr>
          <w:rFonts w:hint="cs"/>
          <w:sz w:val="20"/>
          <w:szCs w:val="20"/>
          <w:rtl/>
        </w:rPr>
        <w:t xml:space="preserve"> בזקנה היה חזקת דמים אלא שנדמה לה שהחזקה הסתלקה, כעת מסתבר שהחזקה קיימת.</w:t>
      </w:r>
      <w:r>
        <w:rPr>
          <w:sz w:val="20"/>
          <w:szCs w:val="20"/>
          <w:rtl/>
        </w:rPr>
        <w:br/>
      </w:r>
      <w:r>
        <w:rPr>
          <w:rFonts w:hint="cs"/>
          <w:sz w:val="20"/>
          <w:szCs w:val="20"/>
          <w:rtl/>
        </w:rPr>
        <w:t>אך בתינוקת אין חזקת דמים, ולכן בראייה אחת כהרגלה הקודם עדיין אינה צריכה לחשוש לווסתה.</w:t>
      </w:r>
    </w:p>
    <w:p w:rsidR="00620060" w:rsidRDefault="00620060" w:rsidP="00620060">
      <w:pPr>
        <w:rPr>
          <w:sz w:val="20"/>
          <w:szCs w:val="20"/>
          <w:rtl/>
        </w:rPr>
      </w:pPr>
      <w:r>
        <w:rPr>
          <w:sz w:val="20"/>
          <w:szCs w:val="20"/>
          <w:rtl/>
        </w:rPr>
        <w:br/>
      </w:r>
      <w:r>
        <w:rPr>
          <w:rFonts w:hint="cs"/>
          <w:b/>
          <w:bCs/>
          <w:sz w:val="20"/>
          <w:szCs w:val="20"/>
          <w:rtl/>
        </w:rPr>
        <w:t xml:space="preserve">סעיף לב </w:t>
      </w:r>
      <w:r>
        <w:rPr>
          <w:b/>
          <w:bCs/>
          <w:sz w:val="20"/>
          <w:szCs w:val="20"/>
          <w:rtl/>
        </w:rPr>
        <w:t>–</w:t>
      </w:r>
      <w:r>
        <w:rPr>
          <w:rFonts w:hint="cs"/>
          <w:b/>
          <w:bCs/>
          <w:sz w:val="20"/>
          <w:szCs w:val="20"/>
          <w:rtl/>
        </w:rPr>
        <w:t xml:space="preserve"> קביעת ווסת בימי זיבה ובימי נידה</w:t>
      </w:r>
      <w:r>
        <w:rPr>
          <w:b/>
          <w:bCs/>
          <w:sz w:val="20"/>
          <w:szCs w:val="20"/>
          <w:rtl/>
        </w:rPr>
        <w:br/>
      </w:r>
      <w:r>
        <w:rPr>
          <w:rFonts w:hint="cs"/>
          <w:b/>
          <w:bCs/>
          <w:sz w:val="20"/>
          <w:szCs w:val="20"/>
          <w:rtl/>
        </w:rPr>
        <w:t>מקורות הדין</w:t>
      </w:r>
      <w:r>
        <w:rPr>
          <w:b/>
          <w:bCs/>
          <w:sz w:val="20"/>
          <w:szCs w:val="20"/>
          <w:rtl/>
        </w:rPr>
        <w:br/>
      </w:r>
      <w:r>
        <w:rPr>
          <w:rFonts w:hint="cs"/>
          <w:sz w:val="20"/>
          <w:szCs w:val="20"/>
          <w:rtl/>
        </w:rPr>
        <w:t xml:space="preserve">א. </w:t>
      </w:r>
      <w:r>
        <w:rPr>
          <w:rFonts w:hint="cs"/>
          <w:b/>
          <w:bCs/>
          <w:sz w:val="20"/>
          <w:szCs w:val="20"/>
          <w:rtl/>
        </w:rPr>
        <w:t xml:space="preserve">משנה </w:t>
      </w:r>
      <w:r>
        <w:rPr>
          <w:rFonts w:hint="cs"/>
          <w:sz w:val="20"/>
          <w:szCs w:val="20"/>
          <w:rtl/>
        </w:rPr>
        <w:t>נידה (לח:) "</w:t>
      </w:r>
      <w:r w:rsidRPr="003B5D77">
        <w:rPr>
          <w:rFonts w:cs="Arial" w:hint="cs"/>
          <w:sz w:val="20"/>
          <w:szCs w:val="20"/>
          <w:rtl/>
        </w:rPr>
        <w:t>כל</w:t>
      </w:r>
      <w:r w:rsidRPr="003B5D77">
        <w:rPr>
          <w:rFonts w:cs="Arial"/>
          <w:sz w:val="20"/>
          <w:szCs w:val="20"/>
          <w:rtl/>
        </w:rPr>
        <w:t xml:space="preserve"> </w:t>
      </w:r>
      <w:r w:rsidRPr="003B5D77">
        <w:rPr>
          <w:rFonts w:cs="Arial" w:hint="cs"/>
          <w:sz w:val="20"/>
          <w:szCs w:val="20"/>
          <w:rtl/>
        </w:rPr>
        <w:t>אחד</w:t>
      </w:r>
      <w:r w:rsidRPr="003B5D77">
        <w:rPr>
          <w:rFonts w:cs="Arial"/>
          <w:sz w:val="20"/>
          <w:szCs w:val="20"/>
          <w:rtl/>
        </w:rPr>
        <w:t xml:space="preserve"> </w:t>
      </w:r>
      <w:r w:rsidRPr="003B5D77">
        <w:rPr>
          <w:rFonts w:cs="Arial" w:hint="cs"/>
          <w:sz w:val="20"/>
          <w:szCs w:val="20"/>
          <w:rtl/>
        </w:rPr>
        <w:t>עשר</w:t>
      </w:r>
      <w:r w:rsidRPr="003B5D77">
        <w:rPr>
          <w:rFonts w:cs="Arial"/>
          <w:sz w:val="20"/>
          <w:szCs w:val="20"/>
          <w:rtl/>
        </w:rPr>
        <w:t xml:space="preserve"> </w:t>
      </w:r>
      <w:r w:rsidRPr="003B5D77">
        <w:rPr>
          <w:rFonts w:cs="Arial" w:hint="cs"/>
          <w:sz w:val="20"/>
          <w:szCs w:val="20"/>
          <w:rtl/>
        </w:rPr>
        <w:t>יום</w:t>
      </w:r>
      <w:r w:rsidRPr="003B5D77">
        <w:rPr>
          <w:rFonts w:cs="Arial"/>
          <w:sz w:val="20"/>
          <w:szCs w:val="20"/>
          <w:rtl/>
        </w:rPr>
        <w:t xml:space="preserve"> </w:t>
      </w:r>
      <w:r w:rsidRPr="003B5D77">
        <w:rPr>
          <w:rFonts w:cs="Arial" w:hint="cs"/>
          <w:sz w:val="20"/>
          <w:szCs w:val="20"/>
          <w:rtl/>
        </w:rPr>
        <w:t>בחזקת</w:t>
      </w:r>
      <w:r w:rsidRPr="003B5D77">
        <w:rPr>
          <w:rFonts w:cs="Arial"/>
          <w:sz w:val="20"/>
          <w:szCs w:val="20"/>
          <w:rtl/>
        </w:rPr>
        <w:t xml:space="preserve"> </w:t>
      </w:r>
      <w:r w:rsidRPr="003B5D77">
        <w:rPr>
          <w:rFonts w:cs="Arial" w:hint="cs"/>
          <w:sz w:val="20"/>
          <w:szCs w:val="20"/>
          <w:rtl/>
        </w:rPr>
        <w:t>טהרה</w:t>
      </w:r>
      <w:r>
        <w:rPr>
          <w:rFonts w:cs="Arial" w:hint="cs"/>
          <w:sz w:val="20"/>
          <w:szCs w:val="20"/>
          <w:rtl/>
        </w:rPr>
        <w:t>".</w:t>
      </w:r>
      <w:r>
        <w:rPr>
          <w:rFonts w:hint="cs"/>
          <w:sz w:val="20"/>
          <w:szCs w:val="20"/>
          <w:rtl/>
        </w:rPr>
        <w:br/>
      </w:r>
      <w:r>
        <w:rPr>
          <w:rFonts w:hint="cs"/>
          <w:b/>
          <w:bCs/>
          <w:sz w:val="20"/>
          <w:szCs w:val="20"/>
          <w:rtl/>
        </w:rPr>
        <w:lastRenderedPageBreak/>
        <w:t xml:space="preserve">גמרא </w:t>
      </w:r>
      <w:r>
        <w:rPr>
          <w:rFonts w:hint="cs"/>
          <w:sz w:val="20"/>
          <w:szCs w:val="20"/>
          <w:rtl/>
        </w:rPr>
        <w:t>(שם לט.) "</w:t>
      </w:r>
      <w:r>
        <w:rPr>
          <w:rFonts w:cs="Arial" w:hint="cs"/>
          <w:sz w:val="20"/>
          <w:szCs w:val="20"/>
          <w:rtl/>
        </w:rPr>
        <w:t xml:space="preserve">למאי הלכתא?... </w:t>
      </w:r>
      <w:r w:rsidRPr="003B5D77">
        <w:rPr>
          <w:rFonts w:cs="Arial" w:hint="cs"/>
          <w:sz w:val="20"/>
          <w:szCs w:val="20"/>
          <w:rtl/>
        </w:rPr>
        <w:t>רב</w:t>
      </w:r>
      <w:r w:rsidRPr="003B5D77">
        <w:rPr>
          <w:rFonts w:cs="Arial"/>
          <w:sz w:val="20"/>
          <w:szCs w:val="20"/>
          <w:rtl/>
        </w:rPr>
        <w:t xml:space="preserve"> </w:t>
      </w:r>
      <w:r w:rsidRPr="003B5D77">
        <w:rPr>
          <w:rFonts w:cs="Arial" w:hint="cs"/>
          <w:sz w:val="20"/>
          <w:szCs w:val="20"/>
          <w:rtl/>
        </w:rPr>
        <w:t>הונא</w:t>
      </w:r>
      <w:r w:rsidRPr="003B5D77">
        <w:rPr>
          <w:rFonts w:cs="Arial"/>
          <w:sz w:val="20"/>
          <w:szCs w:val="20"/>
          <w:rtl/>
        </w:rPr>
        <w:t xml:space="preserve"> </w:t>
      </w:r>
      <w:r w:rsidRPr="003B5D77">
        <w:rPr>
          <w:rFonts w:cs="Arial" w:hint="cs"/>
          <w:sz w:val="20"/>
          <w:szCs w:val="20"/>
          <w:rtl/>
        </w:rPr>
        <w:t>בר</w:t>
      </w:r>
      <w:r w:rsidRPr="003B5D77">
        <w:rPr>
          <w:rFonts w:cs="Arial"/>
          <w:sz w:val="20"/>
          <w:szCs w:val="20"/>
          <w:rtl/>
        </w:rPr>
        <w:t xml:space="preserve"> </w:t>
      </w:r>
      <w:r w:rsidRPr="003B5D77">
        <w:rPr>
          <w:rFonts w:cs="Arial" w:hint="cs"/>
          <w:sz w:val="20"/>
          <w:szCs w:val="20"/>
          <w:rtl/>
        </w:rPr>
        <w:t>חייא</w:t>
      </w:r>
      <w:r w:rsidRPr="003B5D77">
        <w:rPr>
          <w:rFonts w:cs="Arial"/>
          <w:sz w:val="20"/>
          <w:szCs w:val="20"/>
          <w:rtl/>
        </w:rPr>
        <w:t xml:space="preserve"> </w:t>
      </w:r>
      <w:r w:rsidRPr="003B5D77">
        <w:rPr>
          <w:rFonts w:cs="Arial" w:hint="cs"/>
          <w:sz w:val="20"/>
          <w:szCs w:val="20"/>
          <w:rtl/>
        </w:rPr>
        <w:t>אמר</w:t>
      </w:r>
      <w:r w:rsidRPr="003B5D77">
        <w:rPr>
          <w:rFonts w:cs="Arial"/>
          <w:sz w:val="20"/>
          <w:szCs w:val="20"/>
          <w:rtl/>
        </w:rPr>
        <w:t xml:space="preserve"> </w:t>
      </w:r>
      <w:r w:rsidRPr="003B5D77">
        <w:rPr>
          <w:rFonts w:cs="Arial" w:hint="cs"/>
          <w:sz w:val="20"/>
          <w:szCs w:val="20"/>
          <w:rtl/>
        </w:rPr>
        <w:t>שמואל</w:t>
      </w:r>
      <w:r w:rsidRPr="003B5D77">
        <w:rPr>
          <w:rFonts w:cs="Arial"/>
          <w:sz w:val="20"/>
          <w:szCs w:val="20"/>
          <w:rtl/>
        </w:rPr>
        <w:t xml:space="preserve">: </w:t>
      </w:r>
      <w:r w:rsidRPr="003B5D77">
        <w:rPr>
          <w:rFonts w:cs="Arial" w:hint="cs"/>
          <w:sz w:val="20"/>
          <w:szCs w:val="20"/>
          <w:rtl/>
        </w:rPr>
        <w:t>לומר</w:t>
      </w:r>
      <w:r w:rsidRPr="003B5D77">
        <w:rPr>
          <w:rFonts w:cs="Arial"/>
          <w:sz w:val="20"/>
          <w:szCs w:val="20"/>
          <w:rtl/>
        </w:rPr>
        <w:t xml:space="preserve"> </w:t>
      </w:r>
      <w:r w:rsidRPr="003B5D77">
        <w:rPr>
          <w:rFonts w:cs="Arial" w:hint="cs"/>
          <w:sz w:val="20"/>
          <w:szCs w:val="20"/>
          <w:rtl/>
        </w:rPr>
        <w:t>שאינה</w:t>
      </w:r>
      <w:r w:rsidRPr="003B5D77">
        <w:rPr>
          <w:rFonts w:cs="Arial"/>
          <w:sz w:val="20"/>
          <w:szCs w:val="20"/>
          <w:rtl/>
        </w:rPr>
        <w:t xml:space="preserve"> </w:t>
      </w:r>
      <w:r w:rsidRPr="003B5D77">
        <w:rPr>
          <w:rFonts w:cs="Arial" w:hint="cs"/>
          <w:sz w:val="20"/>
          <w:szCs w:val="20"/>
          <w:rtl/>
        </w:rPr>
        <w:t>קובעת</w:t>
      </w:r>
      <w:r w:rsidRPr="003B5D77">
        <w:rPr>
          <w:rFonts w:cs="Arial"/>
          <w:sz w:val="20"/>
          <w:szCs w:val="20"/>
          <w:rtl/>
        </w:rPr>
        <w:t xml:space="preserve"> </w:t>
      </w:r>
      <w:r w:rsidRPr="003B5D77">
        <w:rPr>
          <w:rFonts w:cs="Arial" w:hint="cs"/>
          <w:sz w:val="20"/>
          <w:szCs w:val="20"/>
          <w:rtl/>
        </w:rPr>
        <w:t>לה</w:t>
      </w:r>
      <w:r w:rsidRPr="003B5D77">
        <w:rPr>
          <w:rFonts w:cs="Arial"/>
          <w:sz w:val="20"/>
          <w:szCs w:val="20"/>
          <w:rtl/>
        </w:rPr>
        <w:t xml:space="preserve"> </w:t>
      </w:r>
      <w:r w:rsidRPr="003B5D77">
        <w:rPr>
          <w:rFonts w:cs="Arial" w:hint="cs"/>
          <w:sz w:val="20"/>
          <w:szCs w:val="20"/>
          <w:rtl/>
        </w:rPr>
        <w:t>וסת</w:t>
      </w:r>
      <w:r w:rsidRPr="003B5D77">
        <w:rPr>
          <w:rFonts w:cs="Arial"/>
          <w:sz w:val="20"/>
          <w:szCs w:val="20"/>
          <w:rtl/>
        </w:rPr>
        <w:t xml:space="preserve"> </w:t>
      </w:r>
      <w:r w:rsidRPr="003B5D77">
        <w:rPr>
          <w:rFonts w:cs="Arial" w:hint="cs"/>
          <w:sz w:val="20"/>
          <w:szCs w:val="20"/>
          <w:rtl/>
        </w:rPr>
        <w:t>בתוך</w:t>
      </w:r>
      <w:r w:rsidRPr="003B5D77">
        <w:rPr>
          <w:rFonts w:cs="Arial"/>
          <w:sz w:val="20"/>
          <w:szCs w:val="20"/>
          <w:rtl/>
        </w:rPr>
        <w:t xml:space="preserve"> </w:t>
      </w:r>
      <w:r w:rsidRPr="003B5D77">
        <w:rPr>
          <w:rFonts w:cs="Arial" w:hint="cs"/>
          <w:sz w:val="20"/>
          <w:szCs w:val="20"/>
          <w:rtl/>
        </w:rPr>
        <w:t>ימי</w:t>
      </w:r>
      <w:r w:rsidRPr="003B5D77">
        <w:rPr>
          <w:rFonts w:cs="Arial"/>
          <w:sz w:val="20"/>
          <w:szCs w:val="20"/>
          <w:rtl/>
        </w:rPr>
        <w:t xml:space="preserve"> </w:t>
      </w:r>
      <w:r w:rsidRPr="003B5D77">
        <w:rPr>
          <w:rFonts w:cs="Arial" w:hint="cs"/>
          <w:sz w:val="20"/>
          <w:szCs w:val="20"/>
          <w:rtl/>
        </w:rPr>
        <w:t>זיבתה</w:t>
      </w:r>
      <w:r w:rsidRPr="003B5D77">
        <w:rPr>
          <w:rFonts w:cs="Arial"/>
          <w:sz w:val="20"/>
          <w:szCs w:val="20"/>
          <w:rtl/>
        </w:rPr>
        <w:t>.</w:t>
      </w:r>
      <w:r>
        <w:rPr>
          <w:rFonts w:cs="Arial" w:hint="cs"/>
          <w:sz w:val="20"/>
          <w:szCs w:val="20"/>
          <w:rtl/>
        </w:rPr>
        <w:t>"</w:t>
      </w:r>
      <w:r>
        <w:rPr>
          <w:rStyle w:val="a5"/>
          <w:rFonts w:cs="Arial"/>
          <w:sz w:val="20"/>
          <w:szCs w:val="20"/>
          <w:rtl/>
        </w:rPr>
        <w:footnoteReference w:id="234"/>
      </w:r>
      <w:r w:rsidRPr="003B5D77">
        <w:rPr>
          <w:rFonts w:cs="Arial"/>
          <w:sz w:val="20"/>
          <w:szCs w:val="20"/>
          <w:rtl/>
        </w:rPr>
        <w:t xml:space="preserve"> </w:t>
      </w:r>
    </w:p>
    <w:p w:rsidR="00620060" w:rsidRDefault="00620060" w:rsidP="00620060">
      <w:pPr>
        <w:rPr>
          <w:sz w:val="20"/>
          <w:szCs w:val="20"/>
          <w:rtl/>
        </w:rPr>
      </w:pPr>
      <w:r>
        <w:rPr>
          <w:rFonts w:hint="cs"/>
          <w:sz w:val="20"/>
          <w:szCs w:val="20"/>
          <w:rtl/>
        </w:rPr>
        <w:t xml:space="preserve">ב. </w:t>
      </w:r>
      <w:r>
        <w:rPr>
          <w:rFonts w:hint="cs"/>
          <w:b/>
          <w:bCs/>
          <w:sz w:val="20"/>
          <w:szCs w:val="20"/>
          <w:rtl/>
        </w:rPr>
        <w:t xml:space="preserve">משנה </w:t>
      </w:r>
      <w:r>
        <w:rPr>
          <w:rFonts w:hint="cs"/>
          <w:sz w:val="20"/>
          <w:szCs w:val="20"/>
          <w:rtl/>
        </w:rPr>
        <w:t>נידה (יא.) "</w:t>
      </w:r>
      <w:r w:rsidRPr="00F07881">
        <w:rPr>
          <w:rFonts w:cs="Arial" w:hint="cs"/>
          <w:sz w:val="20"/>
          <w:szCs w:val="20"/>
          <w:rtl/>
        </w:rPr>
        <w:t>אף</w:t>
      </w:r>
      <w:r w:rsidRPr="00F07881">
        <w:rPr>
          <w:rFonts w:cs="Arial"/>
          <w:sz w:val="20"/>
          <w:szCs w:val="20"/>
          <w:rtl/>
        </w:rPr>
        <w:t xml:space="preserve"> </w:t>
      </w:r>
      <w:r w:rsidRPr="00F07881">
        <w:rPr>
          <w:rFonts w:cs="Arial" w:hint="cs"/>
          <w:sz w:val="20"/>
          <w:szCs w:val="20"/>
          <w:rtl/>
        </w:rPr>
        <w:t>על</w:t>
      </w:r>
      <w:r w:rsidRPr="00F07881">
        <w:rPr>
          <w:rFonts w:cs="Arial"/>
          <w:sz w:val="20"/>
          <w:szCs w:val="20"/>
          <w:rtl/>
        </w:rPr>
        <w:t xml:space="preserve"> </w:t>
      </w:r>
      <w:r w:rsidRPr="00F07881">
        <w:rPr>
          <w:rFonts w:cs="Arial" w:hint="cs"/>
          <w:sz w:val="20"/>
          <w:szCs w:val="20"/>
          <w:rtl/>
        </w:rPr>
        <w:t>פי</w:t>
      </w:r>
      <w:r w:rsidRPr="00F07881">
        <w:rPr>
          <w:rFonts w:cs="Arial"/>
          <w:sz w:val="20"/>
          <w:szCs w:val="20"/>
          <w:rtl/>
        </w:rPr>
        <w:t xml:space="preserve"> </w:t>
      </w:r>
      <w:r w:rsidRPr="00F07881">
        <w:rPr>
          <w:rFonts w:cs="Arial" w:hint="cs"/>
          <w:sz w:val="20"/>
          <w:szCs w:val="20"/>
          <w:rtl/>
        </w:rPr>
        <w:t>שאמרו</w:t>
      </w:r>
      <w:r w:rsidRPr="00F07881">
        <w:rPr>
          <w:rFonts w:cs="Arial"/>
          <w:sz w:val="20"/>
          <w:szCs w:val="20"/>
          <w:rtl/>
        </w:rPr>
        <w:t xml:space="preserve"> </w:t>
      </w:r>
      <w:r w:rsidRPr="00F07881">
        <w:rPr>
          <w:rFonts w:cs="Arial" w:hint="cs"/>
          <w:sz w:val="20"/>
          <w:szCs w:val="20"/>
          <w:rtl/>
        </w:rPr>
        <w:t>דיה</w:t>
      </w:r>
      <w:r w:rsidRPr="00F07881">
        <w:rPr>
          <w:rFonts w:cs="Arial"/>
          <w:sz w:val="20"/>
          <w:szCs w:val="20"/>
          <w:rtl/>
        </w:rPr>
        <w:t xml:space="preserve"> </w:t>
      </w:r>
      <w:r w:rsidRPr="00F07881">
        <w:rPr>
          <w:rFonts w:cs="Arial" w:hint="cs"/>
          <w:sz w:val="20"/>
          <w:szCs w:val="20"/>
          <w:rtl/>
        </w:rPr>
        <w:t>שעתה</w:t>
      </w:r>
      <w:r w:rsidRPr="00F07881">
        <w:rPr>
          <w:rFonts w:cs="Arial" w:hint="cs"/>
          <w:sz w:val="18"/>
          <w:szCs w:val="18"/>
          <w:rtl/>
        </w:rPr>
        <w:t xml:space="preserve"> (כשיש לה ווסת)</w:t>
      </w:r>
      <w:r w:rsidRPr="00F07881">
        <w:rPr>
          <w:rFonts w:cs="Arial"/>
          <w:sz w:val="18"/>
          <w:szCs w:val="18"/>
          <w:rtl/>
        </w:rPr>
        <w:t xml:space="preserve"> </w:t>
      </w:r>
      <w:r w:rsidRPr="00F07881">
        <w:rPr>
          <w:rFonts w:cs="Arial"/>
          <w:sz w:val="20"/>
          <w:szCs w:val="20"/>
          <w:rtl/>
        </w:rPr>
        <w:t xml:space="preserve">- </w:t>
      </w:r>
      <w:r w:rsidRPr="00F07881">
        <w:rPr>
          <w:rFonts w:cs="Arial" w:hint="cs"/>
          <w:sz w:val="20"/>
          <w:szCs w:val="20"/>
          <w:rtl/>
        </w:rPr>
        <w:t>צריכה</w:t>
      </w:r>
      <w:r w:rsidRPr="00F07881">
        <w:rPr>
          <w:rFonts w:cs="Arial"/>
          <w:sz w:val="20"/>
          <w:szCs w:val="20"/>
          <w:rtl/>
        </w:rPr>
        <w:t xml:space="preserve"> </w:t>
      </w:r>
      <w:r w:rsidRPr="00F07881">
        <w:rPr>
          <w:rFonts w:cs="Arial" w:hint="cs"/>
          <w:sz w:val="20"/>
          <w:szCs w:val="20"/>
          <w:rtl/>
        </w:rPr>
        <w:t>להיות</w:t>
      </w:r>
      <w:r w:rsidRPr="00F07881">
        <w:rPr>
          <w:rFonts w:cs="Arial"/>
          <w:sz w:val="20"/>
          <w:szCs w:val="20"/>
          <w:rtl/>
        </w:rPr>
        <w:t xml:space="preserve"> </w:t>
      </w:r>
      <w:r w:rsidRPr="00F07881">
        <w:rPr>
          <w:rFonts w:cs="Arial" w:hint="cs"/>
          <w:sz w:val="20"/>
          <w:szCs w:val="20"/>
          <w:rtl/>
        </w:rPr>
        <w:t>בודקת</w:t>
      </w:r>
      <w:r w:rsidRPr="00F07881">
        <w:rPr>
          <w:rFonts w:cs="Arial"/>
          <w:sz w:val="20"/>
          <w:szCs w:val="20"/>
          <w:rtl/>
        </w:rPr>
        <w:t xml:space="preserve">, </w:t>
      </w:r>
      <w:r w:rsidRPr="00F07881">
        <w:rPr>
          <w:rFonts w:cs="Arial" w:hint="cs"/>
          <w:sz w:val="20"/>
          <w:szCs w:val="20"/>
          <w:rtl/>
        </w:rPr>
        <w:t>חוץ</w:t>
      </w:r>
      <w:r w:rsidRPr="00F07881">
        <w:rPr>
          <w:rFonts w:cs="Arial"/>
          <w:sz w:val="20"/>
          <w:szCs w:val="20"/>
          <w:rtl/>
        </w:rPr>
        <w:t xml:space="preserve"> </w:t>
      </w:r>
      <w:r w:rsidRPr="00F07881">
        <w:rPr>
          <w:rFonts w:cs="Arial" w:hint="cs"/>
          <w:sz w:val="20"/>
          <w:szCs w:val="20"/>
          <w:rtl/>
        </w:rPr>
        <w:t>מן</w:t>
      </w:r>
      <w:r w:rsidRPr="00F07881">
        <w:rPr>
          <w:rFonts w:cs="Arial"/>
          <w:sz w:val="20"/>
          <w:szCs w:val="20"/>
          <w:rtl/>
        </w:rPr>
        <w:t xml:space="preserve"> </w:t>
      </w:r>
      <w:r w:rsidRPr="00F07881">
        <w:rPr>
          <w:rFonts w:cs="Arial" w:hint="cs"/>
          <w:sz w:val="20"/>
          <w:szCs w:val="20"/>
          <w:rtl/>
        </w:rPr>
        <w:t>הנדה</w:t>
      </w:r>
      <w:r>
        <w:rPr>
          <w:rFonts w:hint="cs"/>
          <w:sz w:val="20"/>
          <w:szCs w:val="20"/>
          <w:rtl/>
        </w:rPr>
        <w:t>".</w:t>
      </w:r>
      <w:r>
        <w:rPr>
          <w:rFonts w:hint="cs"/>
          <w:sz w:val="20"/>
          <w:szCs w:val="20"/>
          <w:rtl/>
        </w:rPr>
        <w:br/>
      </w:r>
      <w:r>
        <w:rPr>
          <w:rFonts w:cs="Arial" w:hint="cs"/>
          <w:b/>
          <w:bCs/>
          <w:sz w:val="20"/>
          <w:szCs w:val="20"/>
          <w:rtl/>
        </w:rPr>
        <w:t xml:space="preserve">גמרא </w:t>
      </w:r>
      <w:r>
        <w:rPr>
          <w:rFonts w:cs="Arial" w:hint="cs"/>
          <w:sz w:val="20"/>
          <w:szCs w:val="20"/>
          <w:rtl/>
        </w:rPr>
        <w:t>(שם) "</w:t>
      </w:r>
      <w:r w:rsidRPr="004941B1">
        <w:rPr>
          <w:rFonts w:cs="Arial" w:hint="cs"/>
          <w:sz w:val="20"/>
          <w:szCs w:val="20"/>
          <w:rtl/>
        </w:rPr>
        <w:t>חוץ</w:t>
      </w:r>
      <w:r w:rsidRPr="004941B1">
        <w:rPr>
          <w:rFonts w:cs="Arial"/>
          <w:sz w:val="20"/>
          <w:szCs w:val="20"/>
          <w:rtl/>
        </w:rPr>
        <w:t xml:space="preserve"> </w:t>
      </w:r>
      <w:r w:rsidRPr="004941B1">
        <w:rPr>
          <w:rFonts w:cs="Arial" w:hint="cs"/>
          <w:sz w:val="20"/>
          <w:szCs w:val="20"/>
          <w:rtl/>
        </w:rPr>
        <w:t>מן</w:t>
      </w:r>
      <w:r w:rsidRPr="004941B1">
        <w:rPr>
          <w:rFonts w:cs="Arial"/>
          <w:sz w:val="20"/>
          <w:szCs w:val="20"/>
          <w:rtl/>
        </w:rPr>
        <w:t xml:space="preserve"> </w:t>
      </w:r>
      <w:r w:rsidRPr="004941B1">
        <w:rPr>
          <w:rFonts w:cs="Arial" w:hint="cs"/>
          <w:sz w:val="20"/>
          <w:szCs w:val="20"/>
          <w:rtl/>
        </w:rPr>
        <w:t>הנ</w:t>
      </w:r>
      <w:r>
        <w:rPr>
          <w:rFonts w:cs="Arial" w:hint="cs"/>
          <w:sz w:val="20"/>
          <w:szCs w:val="20"/>
          <w:rtl/>
        </w:rPr>
        <w:t>י</w:t>
      </w:r>
      <w:r w:rsidRPr="004941B1">
        <w:rPr>
          <w:rFonts w:cs="Arial" w:hint="cs"/>
          <w:sz w:val="20"/>
          <w:szCs w:val="20"/>
          <w:rtl/>
        </w:rPr>
        <w:t>דה</w:t>
      </w:r>
      <w:r w:rsidRPr="004941B1">
        <w:rPr>
          <w:rFonts w:cs="Arial"/>
          <w:sz w:val="20"/>
          <w:szCs w:val="20"/>
          <w:rtl/>
        </w:rPr>
        <w:t xml:space="preserve"> </w:t>
      </w:r>
      <w:r w:rsidRPr="004941B1">
        <w:rPr>
          <w:rFonts w:cs="Arial" w:hint="cs"/>
          <w:sz w:val="20"/>
          <w:szCs w:val="20"/>
          <w:rtl/>
        </w:rPr>
        <w:t>דבתוך</w:t>
      </w:r>
      <w:r w:rsidRPr="004941B1">
        <w:rPr>
          <w:rFonts w:cs="Arial"/>
          <w:sz w:val="20"/>
          <w:szCs w:val="20"/>
          <w:rtl/>
        </w:rPr>
        <w:t xml:space="preserve"> </w:t>
      </w:r>
      <w:r w:rsidRPr="004941B1">
        <w:rPr>
          <w:rFonts w:cs="Arial" w:hint="cs"/>
          <w:sz w:val="20"/>
          <w:szCs w:val="20"/>
          <w:rtl/>
        </w:rPr>
        <w:t>ימי</w:t>
      </w:r>
      <w:r w:rsidRPr="004941B1">
        <w:rPr>
          <w:rFonts w:cs="Arial"/>
          <w:sz w:val="20"/>
          <w:szCs w:val="20"/>
          <w:rtl/>
        </w:rPr>
        <w:t xml:space="preserve"> </w:t>
      </w:r>
      <w:r w:rsidRPr="004941B1">
        <w:rPr>
          <w:rFonts w:cs="Arial" w:hint="cs"/>
          <w:sz w:val="20"/>
          <w:szCs w:val="20"/>
          <w:rtl/>
        </w:rPr>
        <w:t>נ</w:t>
      </w:r>
      <w:r>
        <w:rPr>
          <w:rFonts w:cs="Arial" w:hint="cs"/>
          <w:sz w:val="20"/>
          <w:szCs w:val="20"/>
          <w:rtl/>
        </w:rPr>
        <w:t>י</w:t>
      </w:r>
      <w:r w:rsidRPr="004941B1">
        <w:rPr>
          <w:rFonts w:cs="Arial" w:hint="cs"/>
          <w:sz w:val="20"/>
          <w:szCs w:val="20"/>
          <w:rtl/>
        </w:rPr>
        <w:t>דתה</w:t>
      </w:r>
      <w:r w:rsidRPr="004941B1">
        <w:rPr>
          <w:rFonts w:cs="Arial"/>
          <w:sz w:val="20"/>
          <w:szCs w:val="20"/>
          <w:rtl/>
        </w:rPr>
        <w:t xml:space="preserve"> </w:t>
      </w:r>
      <w:r w:rsidRPr="004941B1">
        <w:rPr>
          <w:rFonts w:cs="Arial" w:hint="cs"/>
          <w:sz w:val="20"/>
          <w:szCs w:val="20"/>
          <w:rtl/>
        </w:rPr>
        <w:t>לא</w:t>
      </w:r>
      <w:r w:rsidRPr="004941B1">
        <w:rPr>
          <w:rFonts w:cs="Arial"/>
          <w:sz w:val="20"/>
          <w:szCs w:val="20"/>
          <w:rtl/>
        </w:rPr>
        <w:t xml:space="preserve"> </w:t>
      </w:r>
      <w:r w:rsidRPr="004941B1">
        <w:rPr>
          <w:rFonts w:cs="Arial" w:hint="cs"/>
          <w:sz w:val="20"/>
          <w:szCs w:val="20"/>
          <w:rtl/>
        </w:rPr>
        <w:t>בעי</w:t>
      </w:r>
      <w:r w:rsidRPr="004941B1">
        <w:rPr>
          <w:rFonts w:cs="Arial"/>
          <w:sz w:val="20"/>
          <w:szCs w:val="20"/>
          <w:rtl/>
        </w:rPr>
        <w:t xml:space="preserve"> </w:t>
      </w:r>
      <w:r w:rsidRPr="004941B1">
        <w:rPr>
          <w:rFonts w:cs="Arial" w:hint="cs"/>
          <w:sz w:val="20"/>
          <w:szCs w:val="20"/>
          <w:rtl/>
        </w:rPr>
        <w:t>בדיקה</w:t>
      </w:r>
      <w:r w:rsidRPr="004941B1">
        <w:rPr>
          <w:rFonts w:cs="Arial"/>
          <w:sz w:val="20"/>
          <w:szCs w:val="20"/>
          <w:rtl/>
        </w:rPr>
        <w:t xml:space="preserve">. </w:t>
      </w:r>
      <w:r w:rsidRPr="004941B1">
        <w:rPr>
          <w:rFonts w:cs="Arial" w:hint="cs"/>
          <w:sz w:val="20"/>
          <w:szCs w:val="20"/>
          <w:rtl/>
        </w:rPr>
        <w:t>הניחא</w:t>
      </w:r>
      <w:r w:rsidRPr="004941B1">
        <w:rPr>
          <w:rFonts w:cs="Arial"/>
          <w:sz w:val="20"/>
          <w:szCs w:val="20"/>
          <w:rtl/>
        </w:rPr>
        <w:t xml:space="preserve"> </w:t>
      </w:r>
      <w:r w:rsidRPr="004941B1">
        <w:rPr>
          <w:rFonts w:cs="Arial" w:hint="cs"/>
          <w:sz w:val="20"/>
          <w:szCs w:val="20"/>
          <w:rtl/>
        </w:rPr>
        <w:t>לרבי</w:t>
      </w:r>
      <w:r w:rsidRPr="004941B1">
        <w:rPr>
          <w:rFonts w:cs="Arial"/>
          <w:sz w:val="20"/>
          <w:szCs w:val="20"/>
          <w:rtl/>
        </w:rPr>
        <w:t xml:space="preserve"> </w:t>
      </w:r>
      <w:r w:rsidRPr="004941B1">
        <w:rPr>
          <w:rFonts w:cs="Arial" w:hint="cs"/>
          <w:sz w:val="20"/>
          <w:szCs w:val="20"/>
          <w:rtl/>
        </w:rPr>
        <w:t>שמעון</w:t>
      </w:r>
      <w:r w:rsidRPr="004941B1">
        <w:rPr>
          <w:rFonts w:cs="Arial"/>
          <w:sz w:val="20"/>
          <w:szCs w:val="20"/>
          <w:rtl/>
        </w:rPr>
        <w:t xml:space="preserve"> </w:t>
      </w:r>
      <w:r w:rsidRPr="004941B1">
        <w:rPr>
          <w:rFonts w:cs="Arial" w:hint="cs"/>
          <w:sz w:val="20"/>
          <w:szCs w:val="20"/>
          <w:rtl/>
        </w:rPr>
        <w:t>בן</w:t>
      </w:r>
      <w:r w:rsidRPr="004941B1">
        <w:rPr>
          <w:rFonts w:cs="Arial"/>
          <w:sz w:val="20"/>
          <w:szCs w:val="20"/>
          <w:rtl/>
        </w:rPr>
        <w:t xml:space="preserve"> </w:t>
      </w:r>
      <w:r w:rsidRPr="004941B1">
        <w:rPr>
          <w:rFonts w:cs="Arial" w:hint="cs"/>
          <w:sz w:val="20"/>
          <w:szCs w:val="20"/>
          <w:rtl/>
        </w:rPr>
        <w:t>לקיש</w:t>
      </w:r>
      <w:r w:rsidRPr="004941B1">
        <w:rPr>
          <w:rFonts w:cs="Arial"/>
          <w:sz w:val="20"/>
          <w:szCs w:val="20"/>
          <w:rtl/>
        </w:rPr>
        <w:t xml:space="preserve"> </w:t>
      </w:r>
      <w:r w:rsidRPr="004941B1">
        <w:rPr>
          <w:rFonts w:cs="Arial" w:hint="cs"/>
          <w:sz w:val="20"/>
          <w:szCs w:val="20"/>
          <w:rtl/>
        </w:rPr>
        <w:t>דאמר</w:t>
      </w:r>
      <w:r w:rsidRPr="004941B1">
        <w:rPr>
          <w:rFonts w:cs="Arial"/>
          <w:sz w:val="20"/>
          <w:szCs w:val="20"/>
          <w:rtl/>
        </w:rPr>
        <w:t xml:space="preserve"> </w:t>
      </w:r>
      <w:r w:rsidRPr="004941B1">
        <w:rPr>
          <w:rFonts w:cs="Arial" w:hint="cs"/>
          <w:sz w:val="20"/>
          <w:szCs w:val="20"/>
          <w:rtl/>
        </w:rPr>
        <w:t>אשה</w:t>
      </w:r>
      <w:r w:rsidRPr="004941B1">
        <w:rPr>
          <w:rFonts w:cs="Arial"/>
          <w:sz w:val="20"/>
          <w:szCs w:val="20"/>
          <w:rtl/>
        </w:rPr>
        <w:t xml:space="preserve"> </w:t>
      </w:r>
      <w:r w:rsidRPr="004941B1">
        <w:rPr>
          <w:rFonts w:cs="Arial" w:hint="cs"/>
          <w:sz w:val="20"/>
          <w:szCs w:val="20"/>
          <w:rtl/>
        </w:rPr>
        <w:t>קובעת</w:t>
      </w:r>
      <w:r w:rsidRPr="004941B1">
        <w:rPr>
          <w:rFonts w:cs="Arial"/>
          <w:sz w:val="20"/>
          <w:szCs w:val="20"/>
          <w:rtl/>
        </w:rPr>
        <w:t xml:space="preserve"> </w:t>
      </w:r>
      <w:r w:rsidRPr="004941B1">
        <w:rPr>
          <w:rFonts w:cs="Arial" w:hint="cs"/>
          <w:sz w:val="20"/>
          <w:szCs w:val="20"/>
          <w:rtl/>
        </w:rPr>
        <w:t>לה</w:t>
      </w:r>
      <w:r w:rsidRPr="004941B1">
        <w:rPr>
          <w:rFonts w:cs="Arial"/>
          <w:sz w:val="20"/>
          <w:szCs w:val="20"/>
          <w:rtl/>
        </w:rPr>
        <w:t xml:space="preserve"> </w:t>
      </w:r>
      <w:r w:rsidRPr="004941B1">
        <w:rPr>
          <w:rFonts w:cs="Arial" w:hint="cs"/>
          <w:sz w:val="20"/>
          <w:szCs w:val="20"/>
          <w:rtl/>
        </w:rPr>
        <w:t>וסת</w:t>
      </w:r>
      <w:r w:rsidRPr="004941B1">
        <w:rPr>
          <w:rFonts w:cs="Arial"/>
          <w:sz w:val="20"/>
          <w:szCs w:val="20"/>
          <w:rtl/>
        </w:rPr>
        <w:t xml:space="preserve"> </w:t>
      </w:r>
      <w:r w:rsidRPr="004941B1">
        <w:rPr>
          <w:rFonts w:cs="Arial" w:hint="cs"/>
          <w:sz w:val="20"/>
          <w:szCs w:val="20"/>
          <w:rtl/>
        </w:rPr>
        <w:t>בתוך</w:t>
      </w:r>
      <w:r w:rsidRPr="004941B1">
        <w:rPr>
          <w:rFonts w:cs="Arial"/>
          <w:sz w:val="20"/>
          <w:szCs w:val="20"/>
          <w:rtl/>
        </w:rPr>
        <w:t xml:space="preserve"> </w:t>
      </w:r>
      <w:r w:rsidRPr="004941B1">
        <w:rPr>
          <w:rFonts w:cs="Arial" w:hint="cs"/>
          <w:sz w:val="20"/>
          <w:szCs w:val="20"/>
          <w:rtl/>
        </w:rPr>
        <w:t>ימי</w:t>
      </w:r>
      <w:r w:rsidRPr="004941B1">
        <w:rPr>
          <w:rFonts w:cs="Arial"/>
          <w:sz w:val="20"/>
          <w:szCs w:val="20"/>
          <w:rtl/>
        </w:rPr>
        <w:t xml:space="preserve"> </w:t>
      </w:r>
      <w:r w:rsidRPr="004941B1">
        <w:rPr>
          <w:rFonts w:cs="Arial" w:hint="cs"/>
          <w:sz w:val="20"/>
          <w:szCs w:val="20"/>
          <w:rtl/>
        </w:rPr>
        <w:t>זיבתה</w:t>
      </w:r>
      <w:r w:rsidRPr="004941B1">
        <w:rPr>
          <w:rFonts w:cs="Arial"/>
          <w:sz w:val="20"/>
          <w:szCs w:val="20"/>
          <w:rtl/>
        </w:rPr>
        <w:t xml:space="preserve">, </w:t>
      </w:r>
      <w:r w:rsidRPr="004941B1">
        <w:rPr>
          <w:rFonts w:cs="Arial" w:hint="cs"/>
          <w:sz w:val="20"/>
          <w:szCs w:val="20"/>
          <w:rtl/>
        </w:rPr>
        <w:t>ואין</w:t>
      </w:r>
      <w:r w:rsidRPr="004941B1">
        <w:rPr>
          <w:rFonts w:cs="Arial"/>
          <w:sz w:val="20"/>
          <w:szCs w:val="20"/>
          <w:rtl/>
        </w:rPr>
        <w:t xml:space="preserve"> </w:t>
      </w:r>
      <w:r w:rsidRPr="004941B1">
        <w:rPr>
          <w:rFonts w:cs="Arial" w:hint="cs"/>
          <w:sz w:val="20"/>
          <w:szCs w:val="20"/>
          <w:rtl/>
        </w:rPr>
        <w:t>אשה</w:t>
      </w:r>
      <w:r w:rsidRPr="004941B1">
        <w:rPr>
          <w:rFonts w:cs="Arial"/>
          <w:sz w:val="20"/>
          <w:szCs w:val="20"/>
          <w:rtl/>
        </w:rPr>
        <w:t xml:space="preserve"> </w:t>
      </w:r>
      <w:r w:rsidRPr="004941B1">
        <w:rPr>
          <w:rFonts w:cs="Arial" w:hint="cs"/>
          <w:sz w:val="20"/>
          <w:szCs w:val="20"/>
          <w:rtl/>
        </w:rPr>
        <w:t>קובעת</w:t>
      </w:r>
      <w:r w:rsidRPr="004941B1">
        <w:rPr>
          <w:rFonts w:cs="Arial"/>
          <w:sz w:val="20"/>
          <w:szCs w:val="20"/>
          <w:rtl/>
        </w:rPr>
        <w:t xml:space="preserve"> </w:t>
      </w:r>
      <w:r w:rsidRPr="004941B1">
        <w:rPr>
          <w:rFonts w:cs="Arial" w:hint="cs"/>
          <w:sz w:val="20"/>
          <w:szCs w:val="20"/>
          <w:rtl/>
        </w:rPr>
        <w:t>לה</w:t>
      </w:r>
      <w:r w:rsidRPr="004941B1">
        <w:rPr>
          <w:rFonts w:cs="Arial"/>
          <w:sz w:val="20"/>
          <w:szCs w:val="20"/>
          <w:rtl/>
        </w:rPr>
        <w:t xml:space="preserve"> </w:t>
      </w:r>
      <w:r w:rsidRPr="004941B1">
        <w:rPr>
          <w:rFonts w:cs="Arial" w:hint="cs"/>
          <w:sz w:val="20"/>
          <w:szCs w:val="20"/>
          <w:rtl/>
        </w:rPr>
        <w:t>וסת</w:t>
      </w:r>
      <w:r w:rsidRPr="004941B1">
        <w:rPr>
          <w:rFonts w:cs="Arial"/>
          <w:sz w:val="20"/>
          <w:szCs w:val="20"/>
          <w:rtl/>
        </w:rPr>
        <w:t xml:space="preserve"> </w:t>
      </w:r>
      <w:r w:rsidRPr="004941B1">
        <w:rPr>
          <w:rFonts w:cs="Arial" w:hint="cs"/>
          <w:sz w:val="20"/>
          <w:szCs w:val="20"/>
          <w:rtl/>
        </w:rPr>
        <w:t>בתוך</w:t>
      </w:r>
      <w:r w:rsidRPr="004941B1">
        <w:rPr>
          <w:rFonts w:cs="Arial"/>
          <w:sz w:val="20"/>
          <w:szCs w:val="20"/>
          <w:rtl/>
        </w:rPr>
        <w:t xml:space="preserve"> </w:t>
      </w:r>
      <w:r w:rsidRPr="004941B1">
        <w:rPr>
          <w:rFonts w:cs="Arial" w:hint="cs"/>
          <w:sz w:val="20"/>
          <w:szCs w:val="20"/>
          <w:rtl/>
        </w:rPr>
        <w:t>ימי</w:t>
      </w:r>
      <w:r w:rsidRPr="004941B1">
        <w:rPr>
          <w:rFonts w:cs="Arial"/>
          <w:sz w:val="20"/>
          <w:szCs w:val="20"/>
          <w:rtl/>
        </w:rPr>
        <w:t xml:space="preserve"> </w:t>
      </w:r>
      <w:r w:rsidRPr="004941B1">
        <w:rPr>
          <w:rFonts w:cs="Arial" w:hint="cs"/>
          <w:sz w:val="20"/>
          <w:szCs w:val="20"/>
          <w:rtl/>
        </w:rPr>
        <w:t>נ</w:t>
      </w:r>
      <w:r>
        <w:rPr>
          <w:rFonts w:cs="Arial" w:hint="cs"/>
          <w:sz w:val="20"/>
          <w:szCs w:val="20"/>
          <w:rtl/>
        </w:rPr>
        <w:t>י</w:t>
      </w:r>
      <w:r w:rsidRPr="004941B1">
        <w:rPr>
          <w:rFonts w:cs="Arial" w:hint="cs"/>
          <w:sz w:val="20"/>
          <w:szCs w:val="20"/>
          <w:rtl/>
        </w:rPr>
        <w:t>דתה</w:t>
      </w:r>
      <w:r w:rsidRPr="004941B1">
        <w:rPr>
          <w:rFonts w:cs="Arial"/>
          <w:sz w:val="20"/>
          <w:szCs w:val="20"/>
          <w:rtl/>
        </w:rPr>
        <w:t xml:space="preserve"> - </w:t>
      </w:r>
      <w:r w:rsidRPr="004941B1">
        <w:rPr>
          <w:rFonts w:cs="Arial" w:hint="cs"/>
          <w:sz w:val="20"/>
          <w:szCs w:val="20"/>
          <w:rtl/>
        </w:rPr>
        <w:t>שפיר</w:t>
      </w:r>
      <w:r w:rsidRPr="004941B1">
        <w:rPr>
          <w:rFonts w:cs="Arial"/>
          <w:sz w:val="20"/>
          <w:szCs w:val="20"/>
          <w:rtl/>
        </w:rPr>
        <w:t xml:space="preserve">; </w:t>
      </w:r>
      <w:r w:rsidRPr="004941B1">
        <w:rPr>
          <w:rFonts w:cs="Arial" w:hint="cs"/>
          <w:sz w:val="20"/>
          <w:szCs w:val="20"/>
          <w:rtl/>
        </w:rPr>
        <w:t>אלא</w:t>
      </w:r>
      <w:r w:rsidRPr="004941B1">
        <w:rPr>
          <w:rFonts w:cs="Arial"/>
          <w:sz w:val="20"/>
          <w:szCs w:val="20"/>
          <w:rtl/>
        </w:rPr>
        <w:t xml:space="preserve"> </w:t>
      </w:r>
      <w:r w:rsidRPr="004941B1">
        <w:rPr>
          <w:rFonts w:cs="Arial" w:hint="cs"/>
          <w:sz w:val="20"/>
          <w:szCs w:val="20"/>
          <w:rtl/>
        </w:rPr>
        <w:t>לרבי</w:t>
      </w:r>
      <w:r w:rsidRPr="004941B1">
        <w:rPr>
          <w:rFonts w:cs="Arial"/>
          <w:sz w:val="20"/>
          <w:szCs w:val="20"/>
          <w:rtl/>
        </w:rPr>
        <w:t xml:space="preserve"> </w:t>
      </w:r>
      <w:r w:rsidRPr="004941B1">
        <w:rPr>
          <w:rFonts w:cs="Arial" w:hint="cs"/>
          <w:sz w:val="20"/>
          <w:szCs w:val="20"/>
          <w:rtl/>
        </w:rPr>
        <w:t>יוחנן</w:t>
      </w:r>
      <w:r w:rsidRPr="004941B1">
        <w:rPr>
          <w:rFonts w:cs="Arial"/>
          <w:sz w:val="20"/>
          <w:szCs w:val="20"/>
          <w:rtl/>
        </w:rPr>
        <w:t xml:space="preserve">, </w:t>
      </w:r>
      <w:r w:rsidRPr="004941B1">
        <w:rPr>
          <w:rFonts w:cs="Arial" w:hint="cs"/>
          <w:sz w:val="20"/>
          <w:szCs w:val="20"/>
          <w:rtl/>
        </w:rPr>
        <w:t>דאמר</w:t>
      </w:r>
      <w:r w:rsidRPr="004941B1">
        <w:rPr>
          <w:rFonts w:cs="Arial"/>
          <w:sz w:val="20"/>
          <w:szCs w:val="20"/>
          <w:rtl/>
        </w:rPr>
        <w:t xml:space="preserve"> </w:t>
      </w:r>
      <w:r w:rsidRPr="004941B1">
        <w:rPr>
          <w:rFonts w:cs="Arial" w:hint="cs"/>
          <w:sz w:val="20"/>
          <w:szCs w:val="20"/>
          <w:rtl/>
        </w:rPr>
        <w:t>אשה</w:t>
      </w:r>
      <w:r w:rsidRPr="004941B1">
        <w:rPr>
          <w:rFonts w:cs="Arial"/>
          <w:sz w:val="20"/>
          <w:szCs w:val="20"/>
          <w:rtl/>
        </w:rPr>
        <w:t xml:space="preserve"> </w:t>
      </w:r>
      <w:r w:rsidRPr="004941B1">
        <w:rPr>
          <w:rFonts w:cs="Arial" w:hint="cs"/>
          <w:sz w:val="20"/>
          <w:szCs w:val="20"/>
          <w:rtl/>
        </w:rPr>
        <w:t>קובעת</w:t>
      </w:r>
      <w:r w:rsidRPr="004941B1">
        <w:rPr>
          <w:rFonts w:cs="Arial"/>
          <w:sz w:val="20"/>
          <w:szCs w:val="20"/>
          <w:rtl/>
        </w:rPr>
        <w:t xml:space="preserve"> </w:t>
      </w:r>
      <w:r w:rsidRPr="004941B1">
        <w:rPr>
          <w:rFonts w:cs="Arial" w:hint="cs"/>
          <w:sz w:val="20"/>
          <w:szCs w:val="20"/>
          <w:rtl/>
        </w:rPr>
        <w:t>לה</w:t>
      </w:r>
      <w:r w:rsidRPr="004941B1">
        <w:rPr>
          <w:rFonts w:cs="Arial"/>
          <w:sz w:val="20"/>
          <w:szCs w:val="20"/>
          <w:rtl/>
        </w:rPr>
        <w:t xml:space="preserve"> </w:t>
      </w:r>
      <w:r w:rsidRPr="004941B1">
        <w:rPr>
          <w:rFonts w:cs="Arial" w:hint="cs"/>
          <w:sz w:val="20"/>
          <w:szCs w:val="20"/>
          <w:rtl/>
        </w:rPr>
        <w:t>וסת</w:t>
      </w:r>
      <w:r w:rsidRPr="004941B1">
        <w:rPr>
          <w:rFonts w:cs="Arial"/>
          <w:sz w:val="20"/>
          <w:szCs w:val="20"/>
          <w:rtl/>
        </w:rPr>
        <w:t xml:space="preserve"> </w:t>
      </w:r>
      <w:r w:rsidRPr="004941B1">
        <w:rPr>
          <w:rFonts w:cs="Arial" w:hint="cs"/>
          <w:sz w:val="20"/>
          <w:szCs w:val="20"/>
          <w:rtl/>
        </w:rPr>
        <w:t>בתוך</w:t>
      </w:r>
      <w:r w:rsidRPr="004941B1">
        <w:rPr>
          <w:rFonts w:cs="Arial"/>
          <w:sz w:val="20"/>
          <w:szCs w:val="20"/>
          <w:rtl/>
        </w:rPr>
        <w:t xml:space="preserve"> </w:t>
      </w:r>
      <w:r w:rsidRPr="004941B1">
        <w:rPr>
          <w:rFonts w:cs="Arial" w:hint="cs"/>
          <w:sz w:val="20"/>
          <w:szCs w:val="20"/>
          <w:rtl/>
        </w:rPr>
        <w:t>ימי</w:t>
      </w:r>
      <w:r w:rsidRPr="004941B1">
        <w:rPr>
          <w:rFonts w:cs="Arial"/>
          <w:sz w:val="20"/>
          <w:szCs w:val="20"/>
          <w:rtl/>
        </w:rPr>
        <w:t xml:space="preserve"> </w:t>
      </w:r>
      <w:r w:rsidRPr="004941B1">
        <w:rPr>
          <w:rFonts w:cs="Arial" w:hint="cs"/>
          <w:sz w:val="20"/>
          <w:szCs w:val="20"/>
          <w:rtl/>
        </w:rPr>
        <w:t>נ</w:t>
      </w:r>
      <w:r>
        <w:rPr>
          <w:rFonts w:cs="Arial" w:hint="cs"/>
          <w:sz w:val="20"/>
          <w:szCs w:val="20"/>
          <w:rtl/>
        </w:rPr>
        <w:t>י</w:t>
      </w:r>
      <w:r w:rsidRPr="004941B1">
        <w:rPr>
          <w:rFonts w:cs="Arial" w:hint="cs"/>
          <w:sz w:val="20"/>
          <w:szCs w:val="20"/>
          <w:rtl/>
        </w:rPr>
        <w:t>דתה</w:t>
      </w:r>
      <w:r w:rsidRPr="004941B1">
        <w:rPr>
          <w:rFonts w:cs="Arial"/>
          <w:sz w:val="20"/>
          <w:szCs w:val="20"/>
          <w:rtl/>
        </w:rPr>
        <w:t xml:space="preserve"> - </w:t>
      </w:r>
      <w:r w:rsidRPr="004941B1">
        <w:rPr>
          <w:rFonts w:cs="Arial" w:hint="cs"/>
          <w:sz w:val="20"/>
          <w:szCs w:val="20"/>
          <w:rtl/>
        </w:rPr>
        <w:t>תבדוק</w:t>
      </w:r>
      <w:r w:rsidRPr="004941B1">
        <w:rPr>
          <w:rFonts w:cs="Arial"/>
          <w:sz w:val="20"/>
          <w:szCs w:val="20"/>
          <w:rtl/>
        </w:rPr>
        <w:t xml:space="preserve">, </w:t>
      </w:r>
      <w:r w:rsidRPr="004941B1">
        <w:rPr>
          <w:rFonts w:cs="Arial" w:hint="cs"/>
          <w:sz w:val="20"/>
          <w:szCs w:val="20"/>
          <w:rtl/>
        </w:rPr>
        <w:t>דילמא</w:t>
      </w:r>
      <w:r w:rsidRPr="004941B1">
        <w:rPr>
          <w:rFonts w:cs="Arial"/>
          <w:sz w:val="20"/>
          <w:szCs w:val="20"/>
          <w:rtl/>
        </w:rPr>
        <w:t xml:space="preserve"> </w:t>
      </w:r>
      <w:r w:rsidRPr="004941B1">
        <w:rPr>
          <w:rFonts w:cs="Arial" w:hint="cs"/>
          <w:sz w:val="20"/>
          <w:szCs w:val="20"/>
          <w:rtl/>
        </w:rPr>
        <w:t>קבעה</w:t>
      </w:r>
      <w:r w:rsidRPr="004941B1">
        <w:rPr>
          <w:rFonts w:cs="Arial"/>
          <w:sz w:val="20"/>
          <w:szCs w:val="20"/>
          <w:rtl/>
        </w:rPr>
        <w:t xml:space="preserve"> </w:t>
      </w:r>
      <w:r w:rsidRPr="004941B1">
        <w:rPr>
          <w:rFonts w:cs="Arial" w:hint="cs"/>
          <w:sz w:val="20"/>
          <w:szCs w:val="20"/>
          <w:rtl/>
        </w:rPr>
        <w:t>לה</w:t>
      </w:r>
      <w:r w:rsidRPr="004941B1">
        <w:rPr>
          <w:rFonts w:cs="Arial"/>
          <w:sz w:val="20"/>
          <w:szCs w:val="20"/>
          <w:rtl/>
        </w:rPr>
        <w:t xml:space="preserve"> </w:t>
      </w:r>
      <w:r w:rsidRPr="004941B1">
        <w:rPr>
          <w:rFonts w:cs="Arial" w:hint="cs"/>
          <w:sz w:val="20"/>
          <w:szCs w:val="20"/>
          <w:rtl/>
        </w:rPr>
        <w:t>וסת</w:t>
      </w:r>
      <w:r w:rsidRPr="004941B1">
        <w:rPr>
          <w:rFonts w:cs="Arial"/>
          <w:sz w:val="20"/>
          <w:szCs w:val="20"/>
          <w:rtl/>
        </w:rPr>
        <w:t xml:space="preserve">! </w:t>
      </w:r>
      <w:r w:rsidRPr="004941B1">
        <w:rPr>
          <w:rFonts w:cs="Arial" w:hint="cs"/>
          <w:sz w:val="20"/>
          <w:szCs w:val="20"/>
          <w:rtl/>
        </w:rPr>
        <w:t>אמר</w:t>
      </w:r>
      <w:r w:rsidRPr="004941B1">
        <w:rPr>
          <w:rFonts w:cs="Arial"/>
          <w:sz w:val="20"/>
          <w:szCs w:val="20"/>
          <w:rtl/>
        </w:rPr>
        <w:t xml:space="preserve"> </w:t>
      </w:r>
      <w:r w:rsidRPr="004941B1">
        <w:rPr>
          <w:rFonts w:cs="Arial" w:hint="cs"/>
          <w:sz w:val="20"/>
          <w:szCs w:val="20"/>
          <w:rtl/>
        </w:rPr>
        <w:t>לך</w:t>
      </w:r>
      <w:r w:rsidRPr="004941B1">
        <w:rPr>
          <w:rFonts w:cs="Arial"/>
          <w:sz w:val="20"/>
          <w:szCs w:val="20"/>
          <w:rtl/>
        </w:rPr>
        <w:t xml:space="preserve"> </w:t>
      </w:r>
      <w:r w:rsidRPr="004941B1">
        <w:rPr>
          <w:rFonts w:cs="Arial" w:hint="cs"/>
          <w:sz w:val="20"/>
          <w:szCs w:val="20"/>
          <w:rtl/>
        </w:rPr>
        <w:t>רבי</w:t>
      </w:r>
      <w:r w:rsidRPr="004941B1">
        <w:rPr>
          <w:rFonts w:cs="Arial"/>
          <w:sz w:val="20"/>
          <w:szCs w:val="20"/>
          <w:rtl/>
        </w:rPr>
        <w:t xml:space="preserve"> </w:t>
      </w:r>
      <w:r w:rsidRPr="004941B1">
        <w:rPr>
          <w:rFonts w:cs="Arial" w:hint="cs"/>
          <w:sz w:val="20"/>
          <w:szCs w:val="20"/>
          <w:rtl/>
        </w:rPr>
        <w:t>יוחנן</w:t>
      </w:r>
      <w:r w:rsidRPr="004941B1">
        <w:rPr>
          <w:rFonts w:cs="Arial"/>
          <w:sz w:val="20"/>
          <w:szCs w:val="20"/>
          <w:rtl/>
        </w:rPr>
        <w:t xml:space="preserve">: </w:t>
      </w:r>
      <w:r w:rsidRPr="004941B1">
        <w:rPr>
          <w:rFonts w:cs="Arial" w:hint="cs"/>
          <w:sz w:val="20"/>
          <w:szCs w:val="20"/>
          <w:rtl/>
        </w:rPr>
        <w:t>כי</w:t>
      </w:r>
      <w:r w:rsidRPr="004941B1">
        <w:rPr>
          <w:rFonts w:cs="Arial"/>
          <w:sz w:val="20"/>
          <w:szCs w:val="20"/>
          <w:rtl/>
        </w:rPr>
        <w:t xml:space="preserve"> </w:t>
      </w:r>
      <w:r w:rsidRPr="004941B1">
        <w:rPr>
          <w:rFonts w:cs="Arial" w:hint="cs"/>
          <w:sz w:val="20"/>
          <w:szCs w:val="20"/>
          <w:rtl/>
        </w:rPr>
        <w:t>אמינא</w:t>
      </w:r>
      <w:r w:rsidRPr="004941B1">
        <w:rPr>
          <w:rFonts w:cs="Arial"/>
          <w:sz w:val="20"/>
          <w:szCs w:val="20"/>
          <w:rtl/>
        </w:rPr>
        <w:t xml:space="preserve"> </w:t>
      </w:r>
      <w:r w:rsidRPr="004941B1">
        <w:rPr>
          <w:rFonts w:cs="Arial" w:hint="cs"/>
          <w:sz w:val="20"/>
          <w:szCs w:val="20"/>
          <w:rtl/>
        </w:rPr>
        <w:t>אנא</w:t>
      </w:r>
      <w:r w:rsidRPr="004941B1">
        <w:rPr>
          <w:rFonts w:cs="Arial"/>
          <w:sz w:val="20"/>
          <w:szCs w:val="20"/>
          <w:rtl/>
        </w:rPr>
        <w:t xml:space="preserve"> - </w:t>
      </w:r>
      <w:r w:rsidRPr="004941B1">
        <w:rPr>
          <w:rFonts w:cs="Arial" w:hint="cs"/>
          <w:sz w:val="20"/>
          <w:szCs w:val="20"/>
          <w:rtl/>
        </w:rPr>
        <w:t>היכא</w:t>
      </w:r>
      <w:r w:rsidRPr="004941B1">
        <w:rPr>
          <w:rFonts w:cs="Arial"/>
          <w:sz w:val="20"/>
          <w:szCs w:val="20"/>
          <w:rtl/>
        </w:rPr>
        <w:t xml:space="preserve"> </w:t>
      </w:r>
      <w:r w:rsidRPr="004941B1">
        <w:rPr>
          <w:rFonts w:cs="Arial" w:hint="cs"/>
          <w:sz w:val="20"/>
          <w:szCs w:val="20"/>
          <w:rtl/>
        </w:rPr>
        <w:t>דחזיתיה</w:t>
      </w:r>
      <w:r w:rsidRPr="004941B1">
        <w:rPr>
          <w:rFonts w:cs="Arial"/>
          <w:sz w:val="20"/>
          <w:szCs w:val="20"/>
          <w:rtl/>
        </w:rPr>
        <w:t xml:space="preserve"> </w:t>
      </w:r>
      <w:r w:rsidRPr="004941B1">
        <w:rPr>
          <w:rFonts w:cs="Arial" w:hint="cs"/>
          <w:sz w:val="20"/>
          <w:szCs w:val="20"/>
          <w:rtl/>
        </w:rPr>
        <w:t>ממעין</w:t>
      </w:r>
      <w:r w:rsidRPr="004941B1">
        <w:rPr>
          <w:rFonts w:cs="Arial"/>
          <w:sz w:val="20"/>
          <w:szCs w:val="20"/>
          <w:rtl/>
        </w:rPr>
        <w:t xml:space="preserve"> </w:t>
      </w:r>
      <w:r w:rsidRPr="004941B1">
        <w:rPr>
          <w:rFonts w:cs="Arial" w:hint="cs"/>
          <w:sz w:val="20"/>
          <w:szCs w:val="20"/>
          <w:rtl/>
        </w:rPr>
        <w:t>סתום</w:t>
      </w:r>
      <w:r w:rsidRPr="004941B1">
        <w:rPr>
          <w:rFonts w:cs="Arial"/>
          <w:sz w:val="20"/>
          <w:szCs w:val="20"/>
          <w:rtl/>
        </w:rPr>
        <w:t xml:space="preserve">, </w:t>
      </w:r>
      <w:r w:rsidRPr="004941B1">
        <w:rPr>
          <w:rFonts w:cs="Arial" w:hint="cs"/>
          <w:sz w:val="20"/>
          <w:szCs w:val="20"/>
          <w:rtl/>
        </w:rPr>
        <w:t>אבל</w:t>
      </w:r>
      <w:r w:rsidRPr="004941B1">
        <w:rPr>
          <w:rFonts w:cs="Arial"/>
          <w:sz w:val="20"/>
          <w:szCs w:val="20"/>
          <w:rtl/>
        </w:rPr>
        <w:t xml:space="preserve"> </w:t>
      </w:r>
      <w:r w:rsidRPr="004941B1">
        <w:rPr>
          <w:rFonts w:cs="Arial" w:hint="cs"/>
          <w:sz w:val="20"/>
          <w:szCs w:val="20"/>
          <w:rtl/>
        </w:rPr>
        <w:t>חזיתיה</w:t>
      </w:r>
      <w:r w:rsidRPr="004941B1">
        <w:rPr>
          <w:rFonts w:cs="Arial"/>
          <w:sz w:val="20"/>
          <w:szCs w:val="20"/>
          <w:rtl/>
        </w:rPr>
        <w:t xml:space="preserve"> </w:t>
      </w:r>
      <w:r w:rsidRPr="004941B1">
        <w:rPr>
          <w:rFonts w:cs="Arial" w:hint="cs"/>
          <w:sz w:val="20"/>
          <w:szCs w:val="20"/>
          <w:rtl/>
        </w:rPr>
        <w:t>ממעין</w:t>
      </w:r>
      <w:r w:rsidRPr="004941B1">
        <w:rPr>
          <w:rFonts w:cs="Arial"/>
          <w:sz w:val="20"/>
          <w:szCs w:val="20"/>
          <w:rtl/>
        </w:rPr>
        <w:t xml:space="preserve"> </w:t>
      </w:r>
      <w:r w:rsidRPr="004941B1">
        <w:rPr>
          <w:rFonts w:cs="Arial" w:hint="cs"/>
          <w:sz w:val="20"/>
          <w:szCs w:val="20"/>
          <w:rtl/>
        </w:rPr>
        <w:t>פתוח</w:t>
      </w:r>
      <w:r w:rsidRPr="004941B1">
        <w:rPr>
          <w:rFonts w:cs="Arial"/>
          <w:sz w:val="20"/>
          <w:szCs w:val="20"/>
          <w:rtl/>
        </w:rPr>
        <w:t xml:space="preserve"> - </w:t>
      </w:r>
      <w:r w:rsidRPr="004941B1">
        <w:rPr>
          <w:rFonts w:cs="Arial" w:hint="cs"/>
          <w:sz w:val="20"/>
          <w:szCs w:val="20"/>
          <w:rtl/>
        </w:rPr>
        <w:t>לא</w:t>
      </w:r>
      <w:r w:rsidRPr="004941B1">
        <w:rPr>
          <w:rFonts w:cs="Arial"/>
          <w:sz w:val="20"/>
          <w:szCs w:val="20"/>
          <w:rtl/>
        </w:rPr>
        <w:t xml:space="preserve"> </w:t>
      </w:r>
      <w:r w:rsidRPr="004941B1">
        <w:rPr>
          <w:rFonts w:cs="Arial" w:hint="cs"/>
          <w:sz w:val="20"/>
          <w:szCs w:val="20"/>
          <w:rtl/>
        </w:rPr>
        <w:t>אמרי</w:t>
      </w:r>
      <w:r>
        <w:rPr>
          <w:rFonts w:cs="Arial" w:hint="cs"/>
          <w:sz w:val="20"/>
          <w:szCs w:val="20"/>
          <w:rtl/>
        </w:rPr>
        <w:t>"</w:t>
      </w:r>
      <w:r w:rsidRPr="004941B1">
        <w:rPr>
          <w:rFonts w:cs="Arial"/>
          <w:sz w:val="20"/>
          <w:szCs w:val="20"/>
          <w:rtl/>
        </w:rPr>
        <w:t>.</w:t>
      </w:r>
      <w:r>
        <w:rPr>
          <w:rStyle w:val="a5"/>
          <w:rFonts w:cs="Arial"/>
          <w:sz w:val="20"/>
          <w:szCs w:val="20"/>
          <w:rtl/>
        </w:rPr>
        <w:footnoteReference w:id="235"/>
      </w:r>
    </w:p>
    <w:p w:rsidR="00620060" w:rsidRDefault="00620060" w:rsidP="00620060">
      <w:pPr>
        <w:rPr>
          <w:sz w:val="18"/>
          <w:szCs w:val="18"/>
          <w:rtl/>
        </w:rPr>
      </w:pPr>
      <w:r>
        <w:rPr>
          <w:rFonts w:hint="cs"/>
          <w:sz w:val="20"/>
          <w:szCs w:val="20"/>
          <w:u w:val="single"/>
          <w:rtl/>
        </w:rPr>
        <w:t>הסבר דין מעיין סתום ומעיין פתוח</w:t>
      </w:r>
      <w:r>
        <w:rPr>
          <w:sz w:val="20"/>
          <w:szCs w:val="20"/>
          <w:u w:val="single"/>
          <w:rtl/>
        </w:rPr>
        <w:br/>
      </w:r>
      <w:r>
        <w:rPr>
          <w:rFonts w:hint="cs"/>
          <w:sz w:val="20"/>
          <w:szCs w:val="20"/>
          <w:rtl/>
        </w:rPr>
        <w:t>רבי יוחנן סובר שאשה קובעת ווסת בימי נידתה, אך רק כאשר היא ראתה זאת ממעיין סתום.</w:t>
      </w:r>
      <w:r>
        <w:rPr>
          <w:rFonts w:hint="cs"/>
          <w:sz w:val="20"/>
          <w:szCs w:val="20"/>
          <w:rtl/>
        </w:rPr>
        <w:br/>
        <w:t xml:space="preserve">מהו מעיין סתום? כגון </w:t>
      </w:r>
      <w:r>
        <w:rPr>
          <w:sz w:val="20"/>
          <w:szCs w:val="20"/>
          <w:rtl/>
        </w:rPr>
        <w:t>–</w:t>
      </w:r>
      <w:r>
        <w:rPr>
          <w:rFonts w:hint="cs"/>
          <w:sz w:val="20"/>
          <w:szCs w:val="20"/>
          <w:rtl/>
        </w:rPr>
        <w:t xml:space="preserve"> ראתה פעמיים בא' לחודש, ואחר כך ראתה ראייה ג' בכה' לחודש וכן ראתה בא'.</w:t>
      </w:r>
      <w:r>
        <w:rPr>
          <w:sz w:val="20"/>
          <w:szCs w:val="20"/>
          <w:rtl/>
        </w:rPr>
        <w:br/>
      </w:r>
      <w:r>
        <w:rPr>
          <w:rFonts w:hint="cs"/>
          <w:sz w:val="20"/>
          <w:szCs w:val="20"/>
          <w:rtl/>
        </w:rPr>
        <w:t xml:space="preserve">הדין </w:t>
      </w:r>
      <w:r>
        <w:rPr>
          <w:sz w:val="20"/>
          <w:szCs w:val="20"/>
          <w:rtl/>
        </w:rPr>
        <w:t>–</w:t>
      </w:r>
      <w:r>
        <w:rPr>
          <w:rFonts w:hint="cs"/>
          <w:sz w:val="20"/>
          <w:szCs w:val="20"/>
          <w:rtl/>
        </w:rPr>
        <w:t xml:space="preserve"> קבעה ווסת לא' בחודש. </w:t>
      </w:r>
      <w:r>
        <w:rPr>
          <w:sz w:val="20"/>
          <w:szCs w:val="20"/>
          <w:rtl/>
        </w:rPr>
        <w:br/>
      </w:r>
      <w:r w:rsidRPr="008A28B7">
        <w:rPr>
          <w:rFonts w:hint="cs"/>
          <w:b/>
          <w:bCs/>
          <w:sz w:val="20"/>
          <w:szCs w:val="20"/>
          <w:rtl/>
        </w:rPr>
        <w:t>טעם</w:t>
      </w:r>
      <w:r>
        <w:rPr>
          <w:rFonts w:hint="cs"/>
          <w:sz w:val="20"/>
          <w:szCs w:val="20"/>
          <w:rtl/>
        </w:rPr>
        <w:t xml:space="preserve"> - אע"פ שלכאורה אין לצרף את ראיית א' האחרונה משום שהיא בימי נידה, מכל מקום יש לצרפה משום שב' הראיות הראשונות של א' היו כשלא היתה נידה, ולכן מצרפים אף את ראיית א' האחרונה וקבעה לה ווסת.</w:t>
      </w:r>
      <w:r>
        <w:rPr>
          <w:rFonts w:hint="cs"/>
          <w:sz w:val="20"/>
          <w:szCs w:val="20"/>
          <w:rtl/>
        </w:rPr>
        <w:br/>
        <w:t>ומה שראתה גם בכה' לחודש, אין זה עיקר ראייתה אלא אלו דמים יתרים שהתווספו בה.</w:t>
      </w:r>
      <w:r>
        <w:rPr>
          <w:sz w:val="20"/>
          <w:szCs w:val="20"/>
          <w:rtl/>
        </w:rPr>
        <w:br/>
      </w:r>
      <w:r>
        <w:rPr>
          <w:sz w:val="20"/>
          <w:szCs w:val="20"/>
          <w:rtl/>
        </w:rPr>
        <w:br/>
      </w:r>
      <w:r>
        <w:rPr>
          <w:rFonts w:hint="cs"/>
          <w:sz w:val="20"/>
          <w:szCs w:val="20"/>
          <w:rtl/>
        </w:rPr>
        <w:t xml:space="preserve">ומהו מעיין פתוח? כגון אם ראתה בא' ובה' בחודש, וחזרה בחודש הבא וראתה באופן זה, אע"פ שראתה בחודש השלישי רק בה' בחודש </w:t>
      </w:r>
      <w:r>
        <w:rPr>
          <w:sz w:val="20"/>
          <w:szCs w:val="20"/>
          <w:rtl/>
        </w:rPr>
        <w:t>–</w:t>
      </w:r>
      <w:r>
        <w:rPr>
          <w:rFonts w:hint="cs"/>
          <w:sz w:val="20"/>
          <w:szCs w:val="20"/>
          <w:rtl/>
        </w:rPr>
        <w:t xml:space="preserve"> לא קבעה ווסת לה' בחודש.</w:t>
      </w:r>
      <w:r>
        <w:rPr>
          <w:sz w:val="20"/>
          <w:szCs w:val="20"/>
          <w:rtl/>
        </w:rPr>
        <w:br/>
      </w:r>
      <w:r w:rsidRPr="00F06B5F">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משום שבפעמיים הראשונות שראתה בה' בחודש היה זה כתוצאה מכך שראתה לפני כן בא', אך אין זו ראייה עצמאית לעניין קביעת ווסת, ועיין בהערה להסברים נוספים למושגים אלו.</w:t>
      </w:r>
      <w:r>
        <w:rPr>
          <w:rStyle w:val="a5"/>
          <w:sz w:val="20"/>
          <w:szCs w:val="20"/>
          <w:rtl/>
        </w:rPr>
        <w:footnoteReference w:id="236"/>
      </w:r>
      <w:r>
        <w:rPr>
          <w:rFonts w:hint="cs"/>
          <w:sz w:val="20"/>
          <w:szCs w:val="20"/>
          <w:rtl/>
        </w:rPr>
        <w:br/>
      </w:r>
      <w:r w:rsidRPr="00F209CD">
        <w:rPr>
          <w:rFonts w:hint="cs"/>
          <w:sz w:val="18"/>
          <w:szCs w:val="18"/>
          <w:rtl/>
        </w:rPr>
        <w:t>[וכן הדין לעניין מעיין פתוח ומעיין ס</w:t>
      </w:r>
      <w:r>
        <w:rPr>
          <w:rFonts w:hint="cs"/>
          <w:sz w:val="18"/>
          <w:szCs w:val="18"/>
          <w:rtl/>
        </w:rPr>
        <w:t>תום</w:t>
      </w:r>
      <w:r w:rsidRPr="00F209CD">
        <w:rPr>
          <w:rFonts w:hint="cs"/>
          <w:sz w:val="18"/>
          <w:szCs w:val="18"/>
          <w:rtl/>
        </w:rPr>
        <w:t xml:space="preserve"> בימי זיבתה </w:t>
      </w:r>
      <w:r w:rsidRPr="00F209CD">
        <w:rPr>
          <w:sz w:val="18"/>
          <w:szCs w:val="18"/>
          <w:rtl/>
        </w:rPr>
        <w:t>–</w:t>
      </w:r>
      <w:r w:rsidRPr="00F209CD">
        <w:rPr>
          <w:rFonts w:hint="cs"/>
          <w:sz w:val="18"/>
          <w:szCs w:val="18"/>
          <w:rtl/>
        </w:rPr>
        <w:t xml:space="preserve"> אם ראתה פעמיים בא' לחודש </w:t>
      </w:r>
      <w:r>
        <w:rPr>
          <w:rFonts w:hint="cs"/>
          <w:sz w:val="18"/>
          <w:szCs w:val="18"/>
          <w:rtl/>
        </w:rPr>
        <w:t>ואחר כך ראתה בכ' לחודש ובא', הרי זה מעיין סתום וקובעת ווסת בימי זיבה. אך אם ראתה פעם אחת בא' ואילו בב' חודשים שאחר כך ראתה בכ' ובא' הרי זה מעיין פתוח ולא קבעה ווסת בימי זיבה].</w:t>
      </w:r>
    </w:p>
    <w:p w:rsidR="00620060" w:rsidRDefault="00620060" w:rsidP="00620060">
      <w:pPr>
        <w:rPr>
          <w:sz w:val="20"/>
          <w:szCs w:val="20"/>
          <w:rtl/>
        </w:rPr>
      </w:pPr>
      <w:r>
        <w:rPr>
          <w:rFonts w:hint="cs"/>
          <w:b/>
          <w:bCs/>
          <w:sz w:val="20"/>
          <w:szCs w:val="20"/>
          <w:rtl/>
        </w:rPr>
        <w:t>האם יש לחשוש לראייה בימי זיבה כדין ווסת שאינו קבוע</w:t>
      </w:r>
      <w:r>
        <w:rPr>
          <w:rFonts w:hint="cs"/>
          <w:b/>
          <w:bCs/>
          <w:sz w:val="20"/>
          <w:szCs w:val="20"/>
          <w:rtl/>
        </w:rPr>
        <w:br/>
      </w:r>
      <w:r>
        <w:rPr>
          <w:rFonts w:hint="cs"/>
          <w:sz w:val="20"/>
          <w:szCs w:val="20"/>
          <w:rtl/>
        </w:rPr>
        <w:t>באופן שבו אינה קובעת ווסת בימי זיבתה, כלומר כשראתה ממעיין פתוח, נחלקו אמוראים בגמרא</w:t>
      </w:r>
      <w:r>
        <w:rPr>
          <w:rFonts w:hint="cs"/>
          <w:b/>
          <w:bCs/>
          <w:sz w:val="20"/>
          <w:szCs w:val="20"/>
          <w:rtl/>
        </w:rPr>
        <w:t xml:space="preserve"> </w:t>
      </w:r>
      <w:r>
        <w:rPr>
          <w:rFonts w:hint="cs"/>
          <w:sz w:val="20"/>
          <w:szCs w:val="20"/>
          <w:rtl/>
        </w:rPr>
        <w:t xml:space="preserve">האם חוששת לראייתה האחרונה כדין ווסת שאינו קבוע - </w:t>
      </w:r>
      <w:r>
        <w:rPr>
          <w:sz w:val="20"/>
          <w:szCs w:val="20"/>
          <w:rtl/>
        </w:rPr>
        <w:br/>
      </w:r>
      <w:r>
        <w:rPr>
          <w:rFonts w:hint="cs"/>
          <w:sz w:val="20"/>
          <w:szCs w:val="20"/>
          <w:rtl/>
        </w:rPr>
        <w:t xml:space="preserve">א. רב פפא </w:t>
      </w:r>
      <w:r>
        <w:rPr>
          <w:sz w:val="20"/>
          <w:szCs w:val="20"/>
          <w:rtl/>
        </w:rPr>
        <w:t>–</w:t>
      </w:r>
      <w:r>
        <w:rPr>
          <w:rFonts w:hint="cs"/>
          <w:sz w:val="20"/>
          <w:szCs w:val="20"/>
          <w:rtl/>
        </w:rPr>
        <w:t xml:space="preserve"> חוששת.</w:t>
      </w:r>
      <w:r>
        <w:rPr>
          <w:sz w:val="20"/>
          <w:szCs w:val="20"/>
          <w:rtl/>
        </w:rPr>
        <w:br/>
      </w:r>
      <w:r>
        <w:rPr>
          <w:rFonts w:hint="cs"/>
          <w:sz w:val="20"/>
          <w:szCs w:val="20"/>
          <w:rtl/>
        </w:rPr>
        <w:t xml:space="preserve">ב. רב הונא בריה דרב יהושע </w:t>
      </w:r>
      <w:r>
        <w:rPr>
          <w:sz w:val="20"/>
          <w:szCs w:val="20"/>
          <w:rtl/>
        </w:rPr>
        <w:t>–</w:t>
      </w:r>
      <w:r>
        <w:rPr>
          <w:rFonts w:hint="cs"/>
          <w:sz w:val="20"/>
          <w:szCs w:val="20"/>
          <w:rtl/>
        </w:rPr>
        <w:t xml:space="preserve"> אינה חוששת.</w:t>
      </w:r>
    </w:p>
    <w:p w:rsidR="00620060" w:rsidRDefault="00620060" w:rsidP="00620060">
      <w:pPr>
        <w:rPr>
          <w:b/>
          <w:bCs/>
          <w:sz w:val="20"/>
          <w:szCs w:val="20"/>
          <w:rtl/>
        </w:rPr>
      </w:pPr>
      <w:r w:rsidRPr="0093580C">
        <w:rPr>
          <w:rFonts w:hint="cs"/>
          <w:b/>
          <w:bCs/>
          <w:sz w:val="20"/>
          <w:szCs w:val="20"/>
          <w:rtl/>
        </w:rPr>
        <w:lastRenderedPageBreak/>
        <w:t>שיטות הראשונים</w:t>
      </w:r>
      <w:r>
        <w:rPr>
          <w:sz w:val="20"/>
          <w:szCs w:val="20"/>
          <w:u w:val="single"/>
          <w:rtl/>
        </w:rPr>
        <w:br/>
      </w:r>
      <w:r>
        <w:rPr>
          <w:rFonts w:hint="cs"/>
          <w:sz w:val="20"/>
          <w:szCs w:val="20"/>
          <w:rtl/>
        </w:rPr>
        <w:t xml:space="preserve">א. </w:t>
      </w:r>
      <w:r w:rsidRPr="002A1C7C">
        <w:rPr>
          <w:rFonts w:hint="cs"/>
          <w:b/>
          <w:bCs/>
          <w:sz w:val="20"/>
          <w:szCs w:val="20"/>
          <w:rtl/>
        </w:rPr>
        <w:t>ראב"ד</w:t>
      </w:r>
      <w:r>
        <w:rPr>
          <w:rFonts w:hint="cs"/>
          <w:sz w:val="20"/>
          <w:szCs w:val="20"/>
          <w:rtl/>
        </w:rPr>
        <w:t xml:space="preserve"> </w:t>
      </w:r>
      <w:r>
        <w:rPr>
          <w:sz w:val="20"/>
          <w:szCs w:val="20"/>
          <w:rtl/>
        </w:rPr>
        <w:t>–</w:t>
      </w:r>
      <w:r>
        <w:rPr>
          <w:rFonts w:hint="cs"/>
          <w:sz w:val="20"/>
          <w:szCs w:val="20"/>
          <w:rtl/>
        </w:rPr>
        <w:t xml:space="preserve"> חוששת כרב פפא.</w:t>
      </w:r>
      <w:r>
        <w:rPr>
          <w:sz w:val="20"/>
          <w:szCs w:val="20"/>
          <w:rtl/>
        </w:rPr>
        <w:br/>
      </w:r>
      <w:r>
        <w:rPr>
          <w:rFonts w:hint="cs"/>
          <w:sz w:val="20"/>
          <w:szCs w:val="20"/>
          <w:rtl/>
        </w:rPr>
        <w:t xml:space="preserve">ב. </w:t>
      </w:r>
      <w:r w:rsidRPr="002A1C7C">
        <w:rPr>
          <w:rFonts w:hint="cs"/>
          <w:b/>
          <w:bCs/>
          <w:sz w:val="20"/>
          <w:szCs w:val="20"/>
          <w:rtl/>
        </w:rPr>
        <w:t>שאר הפוסקים</w:t>
      </w:r>
      <w:r>
        <w:rPr>
          <w:rFonts w:hint="cs"/>
          <w:sz w:val="20"/>
          <w:szCs w:val="20"/>
          <w:rtl/>
        </w:rPr>
        <w:t xml:space="preserve"> </w:t>
      </w:r>
      <w:r>
        <w:rPr>
          <w:sz w:val="20"/>
          <w:szCs w:val="20"/>
          <w:rtl/>
        </w:rPr>
        <w:t>–</w:t>
      </w:r>
      <w:r>
        <w:rPr>
          <w:rFonts w:hint="cs"/>
          <w:sz w:val="20"/>
          <w:szCs w:val="20"/>
          <w:rtl/>
        </w:rPr>
        <w:t xml:space="preserve"> אינה חוששת, כרב הונא.</w:t>
      </w:r>
      <w:r>
        <w:rPr>
          <w:sz w:val="20"/>
          <w:szCs w:val="20"/>
          <w:rtl/>
        </w:rPr>
        <w:br/>
      </w:r>
      <w:r w:rsidRPr="002A1C7C">
        <w:rPr>
          <w:rFonts w:hint="cs"/>
          <w:b/>
          <w:bCs/>
          <w:sz w:val="20"/>
          <w:szCs w:val="20"/>
          <w:rtl/>
        </w:rPr>
        <w:t xml:space="preserve">טעם </w:t>
      </w:r>
      <w:r>
        <w:rPr>
          <w:sz w:val="20"/>
          <w:szCs w:val="20"/>
          <w:rtl/>
        </w:rPr>
        <w:t>–</w:t>
      </w:r>
      <w:r>
        <w:rPr>
          <w:rFonts w:hint="cs"/>
          <w:sz w:val="20"/>
          <w:szCs w:val="20"/>
          <w:rtl/>
        </w:rPr>
        <w:t xml:space="preserve"> ווסתות דרבנן ואזלינן לקולא.</w:t>
      </w:r>
      <w:r>
        <w:rPr>
          <w:rFonts w:hint="cs"/>
          <w:b/>
          <w:bCs/>
          <w:sz w:val="20"/>
          <w:szCs w:val="20"/>
          <w:rtl/>
        </w:rPr>
        <w:t xml:space="preserve"> </w:t>
      </w:r>
      <w:r>
        <w:rPr>
          <w:b/>
          <w:bCs/>
          <w:sz w:val="20"/>
          <w:szCs w:val="20"/>
          <w:rtl/>
        </w:rPr>
        <w:br/>
      </w:r>
      <w:r>
        <w:rPr>
          <w:rFonts w:hint="cs"/>
          <w:sz w:val="20"/>
          <w:szCs w:val="20"/>
          <w:rtl/>
        </w:rPr>
        <w:t xml:space="preserve">ועוד </w:t>
      </w:r>
      <w:r>
        <w:rPr>
          <w:sz w:val="20"/>
          <w:szCs w:val="20"/>
          <w:rtl/>
        </w:rPr>
        <w:t>–</w:t>
      </w:r>
      <w:r>
        <w:rPr>
          <w:rFonts w:hint="cs"/>
          <w:sz w:val="20"/>
          <w:szCs w:val="20"/>
          <w:rtl/>
        </w:rPr>
        <w:t xml:space="preserve"> נאמר בגמרא שם: "</w:t>
      </w:r>
      <w:r w:rsidRPr="002A1C7C">
        <w:rPr>
          <w:rFonts w:cs="Arial" w:hint="cs"/>
          <w:sz w:val="20"/>
          <w:szCs w:val="20"/>
          <w:rtl/>
        </w:rPr>
        <w:t>כי</w:t>
      </w:r>
      <w:r w:rsidRPr="002A1C7C">
        <w:rPr>
          <w:rFonts w:cs="Arial"/>
          <w:sz w:val="20"/>
          <w:szCs w:val="20"/>
          <w:rtl/>
        </w:rPr>
        <w:t xml:space="preserve"> </w:t>
      </w:r>
      <w:r w:rsidRPr="002A1C7C">
        <w:rPr>
          <w:rFonts w:cs="Arial" w:hint="cs"/>
          <w:sz w:val="20"/>
          <w:szCs w:val="20"/>
          <w:rtl/>
        </w:rPr>
        <w:t>אתא</w:t>
      </w:r>
      <w:r w:rsidRPr="002A1C7C">
        <w:rPr>
          <w:rFonts w:cs="Arial"/>
          <w:sz w:val="20"/>
          <w:szCs w:val="20"/>
          <w:rtl/>
        </w:rPr>
        <w:t xml:space="preserve"> </w:t>
      </w:r>
      <w:r w:rsidRPr="002A1C7C">
        <w:rPr>
          <w:rFonts w:cs="Arial" w:hint="cs"/>
          <w:sz w:val="20"/>
          <w:szCs w:val="20"/>
          <w:rtl/>
        </w:rPr>
        <w:t>רבין</w:t>
      </w:r>
      <w:r w:rsidRPr="002A1C7C">
        <w:rPr>
          <w:rFonts w:cs="Arial"/>
          <w:sz w:val="20"/>
          <w:szCs w:val="20"/>
          <w:rtl/>
        </w:rPr>
        <w:t xml:space="preserve"> </w:t>
      </w:r>
      <w:r w:rsidRPr="002A1C7C">
        <w:rPr>
          <w:rFonts w:cs="Arial" w:hint="cs"/>
          <w:sz w:val="20"/>
          <w:szCs w:val="20"/>
          <w:rtl/>
        </w:rPr>
        <w:t>וכל</w:t>
      </w:r>
      <w:r w:rsidRPr="002A1C7C">
        <w:rPr>
          <w:rFonts w:cs="Arial"/>
          <w:sz w:val="20"/>
          <w:szCs w:val="20"/>
          <w:rtl/>
        </w:rPr>
        <w:t xml:space="preserve"> </w:t>
      </w:r>
      <w:r w:rsidRPr="002A1C7C">
        <w:rPr>
          <w:rFonts w:cs="Arial" w:hint="cs"/>
          <w:sz w:val="20"/>
          <w:szCs w:val="20"/>
          <w:rtl/>
        </w:rPr>
        <w:t>נחותי</w:t>
      </w:r>
      <w:r w:rsidRPr="002A1C7C">
        <w:rPr>
          <w:rFonts w:cs="Arial"/>
          <w:sz w:val="20"/>
          <w:szCs w:val="20"/>
          <w:rtl/>
        </w:rPr>
        <w:t xml:space="preserve"> </w:t>
      </w:r>
      <w:r w:rsidRPr="002A1C7C">
        <w:rPr>
          <w:rFonts w:cs="Arial" w:hint="cs"/>
          <w:sz w:val="20"/>
          <w:szCs w:val="20"/>
          <w:rtl/>
        </w:rPr>
        <w:t>ימא</w:t>
      </w:r>
      <w:r w:rsidRPr="002A1C7C">
        <w:rPr>
          <w:rFonts w:cs="Arial"/>
          <w:sz w:val="20"/>
          <w:szCs w:val="20"/>
          <w:rtl/>
        </w:rPr>
        <w:t xml:space="preserve">, </w:t>
      </w:r>
      <w:r w:rsidRPr="002A1C7C">
        <w:rPr>
          <w:rFonts w:cs="Arial" w:hint="cs"/>
          <w:sz w:val="20"/>
          <w:szCs w:val="20"/>
          <w:rtl/>
        </w:rPr>
        <w:t>אמרוה</w:t>
      </w:r>
      <w:r w:rsidRPr="002A1C7C">
        <w:rPr>
          <w:rFonts w:cs="Arial"/>
          <w:sz w:val="20"/>
          <w:szCs w:val="20"/>
          <w:rtl/>
        </w:rPr>
        <w:t xml:space="preserve"> </w:t>
      </w:r>
      <w:r w:rsidRPr="002A1C7C">
        <w:rPr>
          <w:rFonts w:cs="Arial" w:hint="cs"/>
          <w:sz w:val="20"/>
          <w:szCs w:val="20"/>
          <w:rtl/>
        </w:rPr>
        <w:t>כרב</w:t>
      </w:r>
      <w:r w:rsidRPr="002A1C7C">
        <w:rPr>
          <w:rFonts w:cs="Arial"/>
          <w:sz w:val="20"/>
          <w:szCs w:val="20"/>
          <w:rtl/>
        </w:rPr>
        <w:t xml:space="preserve"> </w:t>
      </w:r>
      <w:r w:rsidRPr="002A1C7C">
        <w:rPr>
          <w:rFonts w:cs="Arial" w:hint="cs"/>
          <w:sz w:val="20"/>
          <w:szCs w:val="20"/>
          <w:rtl/>
        </w:rPr>
        <w:t>הונא</w:t>
      </w:r>
      <w:r w:rsidRPr="002A1C7C">
        <w:rPr>
          <w:rFonts w:cs="Arial"/>
          <w:sz w:val="20"/>
          <w:szCs w:val="20"/>
          <w:rtl/>
        </w:rPr>
        <w:t xml:space="preserve"> </w:t>
      </w:r>
      <w:r w:rsidRPr="002A1C7C">
        <w:rPr>
          <w:rFonts w:cs="Arial" w:hint="cs"/>
          <w:sz w:val="20"/>
          <w:szCs w:val="20"/>
          <w:rtl/>
        </w:rPr>
        <w:t>בריה</w:t>
      </w:r>
      <w:r w:rsidRPr="002A1C7C">
        <w:rPr>
          <w:rFonts w:cs="Arial"/>
          <w:sz w:val="20"/>
          <w:szCs w:val="20"/>
          <w:rtl/>
        </w:rPr>
        <w:t xml:space="preserve"> </w:t>
      </w:r>
      <w:r w:rsidRPr="002A1C7C">
        <w:rPr>
          <w:rFonts w:cs="Arial" w:hint="cs"/>
          <w:sz w:val="20"/>
          <w:szCs w:val="20"/>
          <w:rtl/>
        </w:rPr>
        <w:t>דרב</w:t>
      </w:r>
      <w:r w:rsidRPr="002A1C7C">
        <w:rPr>
          <w:rFonts w:cs="Arial"/>
          <w:sz w:val="20"/>
          <w:szCs w:val="20"/>
          <w:rtl/>
        </w:rPr>
        <w:t xml:space="preserve"> </w:t>
      </w:r>
      <w:r w:rsidRPr="002A1C7C">
        <w:rPr>
          <w:rFonts w:cs="Arial" w:hint="cs"/>
          <w:sz w:val="20"/>
          <w:szCs w:val="20"/>
          <w:rtl/>
        </w:rPr>
        <w:t>יהושע</w:t>
      </w:r>
      <w:r>
        <w:rPr>
          <w:rFonts w:cs="Arial" w:hint="cs"/>
          <w:sz w:val="20"/>
          <w:szCs w:val="20"/>
          <w:rtl/>
        </w:rPr>
        <w:t>".</w:t>
      </w:r>
    </w:p>
    <w:p w:rsidR="00620060" w:rsidRDefault="00620060" w:rsidP="00620060">
      <w:pPr>
        <w:rPr>
          <w:b/>
          <w:bCs/>
          <w:sz w:val="20"/>
          <w:szCs w:val="20"/>
          <w:rtl/>
        </w:rPr>
      </w:pPr>
      <w:r w:rsidRPr="00327D5E">
        <w:rPr>
          <w:rFonts w:hint="cs"/>
          <w:b/>
          <w:bCs/>
          <w:sz w:val="20"/>
          <w:szCs w:val="20"/>
          <w:rtl/>
        </w:rPr>
        <w:t>הדין למעשה</w:t>
      </w:r>
      <w:r>
        <w:rPr>
          <w:rFonts w:hint="cs"/>
          <w:b/>
          <w:bCs/>
          <w:sz w:val="20"/>
          <w:szCs w:val="20"/>
          <w:rtl/>
        </w:rPr>
        <w:br/>
      </w:r>
      <w:r w:rsidRPr="00E225CA">
        <w:rPr>
          <w:rFonts w:hint="cs"/>
          <w:b/>
          <w:bCs/>
          <w:sz w:val="20"/>
          <w:szCs w:val="20"/>
          <w:rtl/>
        </w:rPr>
        <w:t>רמב"ן</w:t>
      </w:r>
      <w:r>
        <w:rPr>
          <w:rFonts w:hint="cs"/>
          <w:sz w:val="20"/>
          <w:szCs w:val="20"/>
          <w:rtl/>
        </w:rPr>
        <w:t xml:space="preserve">, </w:t>
      </w:r>
      <w:r w:rsidRPr="00E225CA">
        <w:rPr>
          <w:rFonts w:hint="cs"/>
          <w:b/>
          <w:bCs/>
          <w:sz w:val="20"/>
          <w:szCs w:val="20"/>
          <w:rtl/>
        </w:rPr>
        <w:t>רשב"א</w:t>
      </w:r>
      <w:r>
        <w:rPr>
          <w:rFonts w:hint="cs"/>
          <w:sz w:val="20"/>
          <w:szCs w:val="20"/>
          <w:rtl/>
        </w:rPr>
        <w:t xml:space="preserve">, </w:t>
      </w:r>
      <w:r w:rsidRPr="00E225CA">
        <w:rPr>
          <w:rFonts w:hint="cs"/>
          <w:b/>
          <w:bCs/>
          <w:sz w:val="20"/>
          <w:szCs w:val="20"/>
          <w:rtl/>
        </w:rPr>
        <w:t>מגיד משנה ורבינו ירוחם</w:t>
      </w:r>
      <w:r>
        <w:rPr>
          <w:rFonts w:hint="cs"/>
          <w:sz w:val="20"/>
          <w:szCs w:val="20"/>
          <w:rtl/>
        </w:rPr>
        <w:t xml:space="preserve"> </w:t>
      </w:r>
      <w:r>
        <w:rPr>
          <w:sz w:val="20"/>
          <w:szCs w:val="20"/>
          <w:rtl/>
        </w:rPr>
        <w:t>–</w:t>
      </w:r>
      <w:r>
        <w:rPr>
          <w:rFonts w:hint="cs"/>
          <w:sz w:val="20"/>
          <w:szCs w:val="20"/>
          <w:rtl/>
        </w:rPr>
        <w:t xml:space="preserve"> למעשה אשה קובעת ווסת בימי זיבה ונידה בכל אופן.</w:t>
      </w:r>
      <w:r>
        <w:rPr>
          <w:sz w:val="20"/>
          <w:szCs w:val="20"/>
          <w:rtl/>
        </w:rPr>
        <w:br/>
      </w:r>
      <w:r w:rsidRPr="00E225CA">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בנות ישראל החמירו על עצמן כרבי זירא שאינן מחלקות בין ימי נידה לימי זיבה, ובכל עניין טמאות.</w:t>
      </w:r>
      <w:r>
        <w:rPr>
          <w:sz w:val="20"/>
          <w:szCs w:val="20"/>
          <w:rtl/>
        </w:rPr>
        <w:br/>
      </w:r>
      <w:r>
        <w:rPr>
          <w:rFonts w:hint="cs"/>
          <w:sz w:val="20"/>
          <w:szCs w:val="20"/>
          <w:rtl/>
        </w:rPr>
        <w:t>טעם החומרה הוא, משום חשש לטעות. ומכיוון שאין מחלקים בין ימי זיבה לימי נידה לעניין טומאה וטהרה, אם נאמר להן שאינן קובעות ווסת בימי נידה וזיבה נמצאת מצריך אותן ללמוד זאת, ומכיוון שהדבר עלול להביא לידי טעות אין פוסקים כך.</w:t>
      </w:r>
      <w:r>
        <w:rPr>
          <w:rFonts w:hint="cs"/>
          <w:b/>
          <w:bCs/>
          <w:sz w:val="20"/>
          <w:szCs w:val="20"/>
          <w:rtl/>
        </w:rPr>
        <w:br/>
      </w:r>
      <w:r>
        <w:rPr>
          <w:rFonts w:hint="cs"/>
          <w:b/>
          <w:bCs/>
          <w:sz w:val="20"/>
          <w:szCs w:val="20"/>
          <w:rtl/>
        </w:rPr>
        <w:br/>
      </w:r>
      <w:r>
        <w:rPr>
          <w:rFonts w:hint="cs"/>
          <w:sz w:val="20"/>
          <w:szCs w:val="20"/>
          <w:rtl/>
        </w:rPr>
        <w:t xml:space="preserve">היוצא לדינא </w:t>
      </w:r>
      <w:r>
        <w:rPr>
          <w:sz w:val="20"/>
          <w:szCs w:val="20"/>
          <w:rtl/>
        </w:rPr>
        <w:t>–</w:t>
      </w:r>
      <w:r>
        <w:rPr>
          <w:rFonts w:hint="cs"/>
          <w:sz w:val="20"/>
          <w:szCs w:val="20"/>
          <w:rtl/>
        </w:rPr>
        <w:t xml:space="preserve"> אשה שרואה מטו' לטו' יום, חוששת לשני זמנים אלו, אע"פ שאחת מהן בימי זיבה.</w:t>
      </w:r>
      <w:r>
        <w:rPr>
          <w:sz w:val="20"/>
          <w:szCs w:val="20"/>
          <w:rtl/>
        </w:rPr>
        <w:br/>
      </w:r>
      <w:r>
        <w:rPr>
          <w:rFonts w:hint="cs"/>
          <w:sz w:val="20"/>
          <w:szCs w:val="20"/>
          <w:rtl/>
        </w:rPr>
        <w:t xml:space="preserve">כמו כן, אשה קובעת לה ווסת בתוך ווסת. כגון </w:t>
      </w:r>
      <w:r>
        <w:rPr>
          <w:sz w:val="20"/>
          <w:szCs w:val="20"/>
          <w:rtl/>
        </w:rPr>
        <w:t>–</w:t>
      </w:r>
      <w:r>
        <w:rPr>
          <w:rFonts w:hint="cs"/>
          <w:sz w:val="20"/>
          <w:szCs w:val="20"/>
          <w:rtl/>
        </w:rPr>
        <w:t xml:space="preserve"> ראתה ג' פעמים בא' לחודש, ואחר כך ראתה ג' חודשים גם בכ' לחודש, קבעה לה שני ווסתות וחוששת לשניהם.</w:t>
      </w:r>
    </w:p>
    <w:p w:rsidR="00620060" w:rsidRDefault="00620060" w:rsidP="00620060">
      <w:pPr>
        <w:rPr>
          <w:b/>
          <w:bCs/>
          <w:sz w:val="20"/>
          <w:szCs w:val="20"/>
          <w:rtl/>
        </w:rPr>
      </w:pPr>
      <w:r w:rsidRPr="00EC1955">
        <w:rPr>
          <w:rFonts w:hint="cs"/>
          <w:b/>
          <w:bCs/>
          <w:sz w:val="20"/>
          <w:szCs w:val="20"/>
          <w:rtl/>
        </w:rPr>
        <w:t>פסיקת הלכה</w:t>
      </w:r>
      <w:r w:rsidRPr="00EC1955">
        <w:rPr>
          <w:b/>
          <w:bCs/>
          <w:sz w:val="20"/>
          <w:szCs w:val="20"/>
          <w:rtl/>
        </w:rPr>
        <w:br/>
      </w:r>
      <w:r w:rsidRPr="00EC1955">
        <w:rPr>
          <w:rFonts w:hint="cs"/>
          <w:b/>
          <w:bCs/>
          <w:sz w:val="20"/>
          <w:szCs w:val="20"/>
          <w:rtl/>
        </w:rPr>
        <w:t>שולחן ערוך</w:t>
      </w:r>
      <w:r>
        <w:rPr>
          <w:rFonts w:hint="cs"/>
          <w:sz w:val="20"/>
          <w:szCs w:val="20"/>
          <w:rtl/>
        </w:rPr>
        <w:t xml:space="preserve"> </w:t>
      </w:r>
      <w:r w:rsidRPr="00EC1955">
        <w:rPr>
          <w:sz w:val="20"/>
          <w:szCs w:val="20"/>
          <w:rtl/>
        </w:rPr>
        <w:t>–</w:t>
      </w:r>
      <w:r w:rsidRPr="00EC1955">
        <w:rPr>
          <w:rFonts w:hint="cs"/>
          <w:sz w:val="20"/>
          <w:szCs w:val="20"/>
          <w:rtl/>
        </w:rPr>
        <w:t xml:space="preserve"> "</w:t>
      </w:r>
      <w:r w:rsidRPr="00EC1955">
        <w:rPr>
          <w:rFonts w:cs="Arial" w:hint="cs"/>
          <w:sz w:val="20"/>
          <w:szCs w:val="20"/>
          <w:rtl/>
        </w:rPr>
        <w:t>פעמים</w:t>
      </w:r>
      <w:r w:rsidRPr="00EC1955">
        <w:rPr>
          <w:rFonts w:cs="Arial"/>
          <w:sz w:val="20"/>
          <w:szCs w:val="20"/>
          <w:rtl/>
        </w:rPr>
        <w:t xml:space="preserve"> </w:t>
      </w:r>
      <w:r w:rsidRPr="00EC1955">
        <w:rPr>
          <w:rFonts w:cs="Arial" w:hint="cs"/>
          <w:sz w:val="20"/>
          <w:szCs w:val="20"/>
          <w:rtl/>
        </w:rPr>
        <w:t>שהאשה</w:t>
      </w:r>
      <w:r w:rsidRPr="00EC1955">
        <w:rPr>
          <w:rFonts w:cs="Arial"/>
          <w:sz w:val="20"/>
          <w:szCs w:val="20"/>
          <w:rtl/>
        </w:rPr>
        <w:t xml:space="preserve"> </w:t>
      </w:r>
      <w:r w:rsidRPr="00EC1955">
        <w:rPr>
          <w:rFonts w:cs="Arial" w:hint="cs"/>
          <w:sz w:val="20"/>
          <w:szCs w:val="20"/>
          <w:rtl/>
        </w:rPr>
        <w:t>קובעת</w:t>
      </w:r>
      <w:r w:rsidRPr="00EC1955">
        <w:rPr>
          <w:rFonts w:cs="Arial"/>
          <w:sz w:val="20"/>
          <w:szCs w:val="20"/>
          <w:rtl/>
        </w:rPr>
        <w:t xml:space="preserve"> </w:t>
      </w:r>
      <w:r w:rsidRPr="00EC1955">
        <w:rPr>
          <w:rFonts w:cs="Arial" w:hint="cs"/>
          <w:sz w:val="20"/>
          <w:szCs w:val="20"/>
          <w:rtl/>
        </w:rPr>
        <w:t>לה</w:t>
      </w:r>
      <w:r w:rsidRPr="00EC1955">
        <w:rPr>
          <w:rFonts w:cs="Arial"/>
          <w:sz w:val="20"/>
          <w:szCs w:val="20"/>
          <w:rtl/>
        </w:rPr>
        <w:t xml:space="preserve"> </w:t>
      </w:r>
      <w:r w:rsidRPr="00EC1955">
        <w:rPr>
          <w:rFonts w:cs="Arial" w:hint="cs"/>
          <w:sz w:val="20"/>
          <w:szCs w:val="20"/>
          <w:rtl/>
        </w:rPr>
        <w:t>וסת</w:t>
      </w:r>
      <w:r w:rsidRPr="00EC1955">
        <w:rPr>
          <w:rFonts w:cs="Arial"/>
          <w:sz w:val="20"/>
          <w:szCs w:val="20"/>
          <w:rtl/>
        </w:rPr>
        <w:t xml:space="preserve"> </w:t>
      </w:r>
      <w:r w:rsidRPr="00EC1955">
        <w:rPr>
          <w:rFonts w:cs="Arial" w:hint="cs"/>
          <w:sz w:val="20"/>
          <w:szCs w:val="20"/>
          <w:rtl/>
        </w:rPr>
        <w:t>בתוך</w:t>
      </w:r>
      <w:r w:rsidRPr="00EC1955">
        <w:rPr>
          <w:rFonts w:cs="Arial"/>
          <w:sz w:val="20"/>
          <w:szCs w:val="20"/>
          <w:rtl/>
        </w:rPr>
        <w:t xml:space="preserve"> </w:t>
      </w:r>
      <w:r w:rsidRPr="00EC1955">
        <w:rPr>
          <w:rFonts w:cs="Arial" w:hint="cs"/>
          <w:sz w:val="20"/>
          <w:szCs w:val="20"/>
          <w:rtl/>
        </w:rPr>
        <w:t>וסת</w:t>
      </w:r>
      <w:r w:rsidRPr="00EC1955">
        <w:rPr>
          <w:rFonts w:cs="Arial"/>
          <w:sz w:val="20"/>
          <w:szCs w:val="20"/>
          <w:rtl/>
        </w:rPr>
        <w:t xml:space="preserve">. </w:t>
      </w:r>
      <w:r w:rsidRPr="00EC1955">
        <w:rPr>
          <w:rFonts w:cs="Arial" w:hint="cs"/>
          <w:sz w:val="20"/>
          <w:szCs w:val="20"/>
          <w:rtl/>
        </w:rPr>
        <w:t>כיצד</w:t>
      </w:r>
      <w:r w:rsidRPr="00EC1955">
        <w:rPr>
          <w:rFonts w:cs="Arial"/>
          <w:sz w:val="20"/>
          <w:szCs w:val="20"/>
          <w:rtl/>
        </w:rPr>
        <w:t xml:space="preserve">, </w:t>
      </w:r>
      <w:r w:rsidRPr="00EC1955">
        <w:rPr>
          <w:rFonts w:cs="Arial" w:hint="cs"/>
          <w:sz w:val="20"/>
          <w:szCs w:val="20"/>
          <w:rtl/>
        </w:rPr>
        <w:t>ראתה</w:t>
      </w:r>
      <w:r w:rsidRPr="00EC1955">
        <w:rPr>
          <w:rFonts w:cs="Arial"/>
          <w:sz w:val="20"/>
          <w:szCs w:val="20"/>
          <w:rtl/>
        </w:rPr>
        <w:t xml:space="preserve"> </w:t>
      </w:r>
      <w:r w:rsidRPr="00EC1955">
        <w:rPr>
          <w:rFonts w:cs="Arial" w:hint="cs"/>
          <w:sz w:val="20"/>
          <w:szCs w:val="20"/>
          <w:rtl/>
        </w:rPr>
        <w:t>שלש</w:t>
      </w:r>
      <w:r w:rsidRPr="00EC1955">
        <w:rPr>
          <w:rFonts w:cs="Arial"/>
          <w:sz w:val="20"/>
          <w:szCs w:val="20"/>
          <w:rtl/>
        </w:rPr>
        <w:t xml:space="preserve"> </w:t>
      </w:r>
      <w:r w:rsidRPr="00EC1955">
        <w:rPr>
          <w:rFonts w:cs="Arial" w:hint="cs"/>
          <w:sz w:val="20"/>
          <w:szCs w:val="20"/>
          <w:rtl/>
        </w:rPr>
        <w:t>פעמים</w:t>
      </w:r>
      <w:r w:rsidRPr="00EC1955">
        <w:rPr>
          <w:rFonts w:cs="Arial"/>
          <w:sz w:val="20"/>
          <w:szCs w:val="20"/>
          <w:rtl/>
        </w:rPr>
        <w:t xml:space="preserve"> </w:t>
      </w:r>
      <w:r w:rsidRPr="00EC1955">
        <w:rPr>
          <w:rFonts w:cs="Arial" w:hint="cs"/>
          <w:sz w:val="20"/>
          <w:szCs w:val="20"/>
          <w:rtl/>
        </w:rPr>
        <w:t>בראש</w:t>
      </w:r>
      <w:r w:rsidRPr="00EC1955">
        <w:rPr>
          <w:rFonts w:cs="Arial"/>
          <w:sz w:val="20"/>
          <w:szCs w:val="20"/>
          <w:rtl/>
        </w:rPr>
        <w:t xml:space="preserve"> </w:t>
      </w:r>
      <w:r w:rsidRPr="00EC1955">
        <w:rPr>
          <w:rFonts w:cs="Arial" w:hint="cs"/>
          <w:sz w:val="20"/>
          <w:szCs w:val="20"/>
          <w:rtl/>
        </w:rPr>
        <w:t>חודש</w:t>
      </w:r>
      <w:r w:rsidRPr="00EC1955">
        <w:rPr>
          <w:rFonts w:cs="Arial"/>
          <w:sz w:val="20"/>
          <w:szCs w:val="20"/>
          <w:rtl/>
        </w:rPr>
        <w:t xml:space="preserve">, </w:t>
      </w:r>
      <w:r w:rsidRPr="00EC1955">
        <w:rPr>
          <w:rFonts w:cs="Arial" w:hint="cs"/>
          <w:sz w:val="20"/>
          <w:szCs w:val="20"/>
          <w:rtl/>
        </w:rPr>
        <w:t>ורביעית</w:t>
      </w:r>
      <w:r w:rsidRPr="00EC1955">
        <w:rPr>
          <w:rFonts w:cs="Arial"/>
          <w:sz w:val="20"/>
          <w:szCs w:val="20"/>
          <w:rtl/>
        </w:rPr>
        <w:t xml:space="preserve"> </w:t>
      </w:r>
      <w:r w:rsidRPr="00EC1955">
        <w:rPr>
          <w:rFonts w:cs="Arial" w:hint="cs"/>
          <w:sz w:val="20"/>
          <w:szCs w:val="20"/>
          <w:rtl/>
        </w:rPr>
        <w:t>בב</w:t>
      </w:r>
      <w:r w:rsidRPr="00EC1955">
        <w:rPr>
          <w:rFonts w:cs="Arial"/>
          <w:sz w:val="20"/>
          <w:szCs w:val="20"/>
          <w:rtl/>
        </w:rPr>
        <w:t xml:space="preserve">' </w:t>
      </w:r>
      <w:r w:rsidRPr="00EC1955">
        <w:rPr>
          <w:rFonts w:cs="Arial" w:hint="cs"/>
          <w:sz w:val="20"/>
          <w:szCs w:val="20"/>
          <w:rtl/>
        </w:rPr>
        <w:t>לחודש</w:t>
      </w:r>
      <w:r w:rsidRPr="00EC1955">
        <w:rPr>
          <w:rFonts w:cs="Arial"/>
          <w:sz w:val="20"/>
          <w:szCs w:val="20"/>
          <w:rtl/>
        </w:rPr>
        <w:t xml:space="preserve"> </w:t>
      </w:r>
      <w:r w:rsidRPr="00EC1955">
        <w:rPr>
          <w:rFonts w:cs="Arial" w:hint="cs"/>
          <w:sz w:val="20"/>
          <w:szCs w:val="20"/>
          <w:rtl/>
        </w:rPr>
        <w:t>ובר</w:t>
      </w:r>
      <w:r w:rsidRPr="00EC1955">
        <w:rPr>
          <w:rFonts w:cs="Arial"/>
          <w:sz w:val="20"/>
          <w:szCs w:val="20"/>
          <w:rtl/>
        </w:rPr>
        <w:t>"</w:t>
      </w:r>
      <w:r w:rsidRPr="00EC1955">
        <w:rPr>
          <w:rFonts w:cs="Arial" w:hint="cs"/>
          <w:sz w:val="20"/>
          <w:szCs w:val="20"/>
          <w:rtl/>
        </w:rPr>
        <w:t>ח</w:t>
      </w:r>
      <w:r w:rsidRPr="00EC1955">
        <w:rPr>
          <w:rFonts w:cs="Arial"/>
          <w:sz w:val="20"/>
          <w:szCs w:val="20"/>
          <w:rtl/>
        </w:rPr>
        <w:t xml:space="preserve"> </w:t>
      </w:r>
      <w:r w:rsidRPr="00EC1955">
        <w:rPr>
          <w:rFonts w:cs="Arial" w:hint="cs"/>
          <w:sz w:val="20"/>
          <w:szCs w:val="20"/>
          <w:rtl/>
        </w:rPr>
        <w:t>וכן</w:t>
      </w:r>
      <w:r w:rsidRPr="00EC1955">
        <w:rPr>
          <w:rFonts w:cs="Arial"/>
          <w:sz w:val="20"/>
          <w:szCs w:val="20"/>
          <w:rtl/>
        </w:rPr>
        <w:t xml:space="preserve"> </w:t>
      </w:r>
      <w:r w:rsidRPr="00EC1955">
        <w:rPr>
          <w:rFonts w:cs="Arial" w:hint="cs"/>
          <w:sz w:val="20"/>
          <w:szCs w:val="20"/>
          <w:rtl/>
        </w:rPr>
        <w:t>בחמישית</w:t>
      </w:r>
      <w:r w:rsidRPr="00EC1955">
        <w:rPr>
          <w:rFonts w:cs="Arial"/>
          <w:sz w:val="20"/>
          <w:szCs w:val="20"/>
          <w:rtl/>
        </w:rPr>
        <w:t xml:space="preserve"> </w:t>
      </w:r>
      <w:r w:rsidRPr="00EC1955">
        <w:rPr>
          <w:rFonts w:cs="Arial" w:hint="cs"/>
          <w:sz w:val="20"/>
          <w:szCs w:val="20"/>
          <w:rtl/>
        </w:rPr>
        <w:t>ובש</w:t>
      </w:r>
      <w:r>
        <w:rPr>
          <w:rFonts w:cs="Arial" w:hint="cs"/>
          <w:sz w:val="20"/>
          <w:szCs w:val="20"/>
          <w:rtl/>
        </w:rPr>
        <w:t>י</w:t>
      </w:r>
      <w:r w:rsidRPr="00EC1955">
        <w:rPr>
          <w:rFonts w:cs="Arial" w:hint="cs"/>
          <w:sz w:val="20"/>
          <w:szCs w:val="20"/>
          <w:rtl/>
        </w:rPr>
        <w:t>שית</w:t>
      </w:r>
      <w:r w:rsidRPr="00EC1955">
        <w:rPr>
          <w:rFonts w:cs="Arial"/>
          <w:sz w:val="20"/>
          <w:szCs w:val="20"/>
          <w:rtl/>
        </w:rPr>
        <w:t xml:space="preserve">, </w:t>
      </w:r>
      <w:r w:rsidRPr="00EC1955">
        <w:rPr>
          <w:rFonts w:cs="Arial" w:hint="cs"/>
          <w:sz w:val="20"/>
          <w:szCs w:val="20"/>
          <w:rtl/>
        </w:rPr>
        <w:t>הרי</w:t>
      </w:r>
      <w:r w:rsidRPr="00EC1955">
        <w:rPr>
          <w:rFonts w:cs="Arial"/>
          <w:sz w:val="20"/>
          <w:szCs w:val="20"/>
          <w:rtl/>
        </w:rPr>
        <w:t xml:space="preserve"> </w:t>
      </w:r>
      <w:r w:rsidRPr="00EC1955">
        <w:rPr>
          <w:rFonts w:cs="Arial" w:hint="cs"/>
          <w:sz w:val="20"/>
          <w:szCs w:val="20"/>
          <w:rtl/>
        </w:rPr>
        <w:t>קבעה</w:t>
      </w:r>
      <w:r w:rsidRPr="00EC1955">
        <w:rPr>
          <w:rFonts w:cs="Arial"/>
          <w:sz w:val="20"/>
          <w:szCs w:val="20"/>
          <w:rtl/>
        </w:rPr>
        <w:t xml:space="preserve"> </w:t>
      </w:r>
      <w:r w:rsidRPr="00EC1955">
        <w:rPr>
          <w:rFonts w:cs="Arial" w:hint="cs"/>
          <w:sz w:val="20"/>
          <w:szCs w:val="20"/>
          <w:rtl/>
        </w:rPr>
        <w:t>שתי</w:t>
      </w:r>
      <w:r w:rsidRPr="00EC1955">
        <w:rPr>
          <w:rFonts w:cs="Arial"/>
          <w:sz w:val="20"/>
          <w:szCs w:val="20"/>
          <w:rtl/>
        </w:rPr>
        <w:t xml:space="preserve"> </w:t>
      </w:r>
      <w:r w:rsidRPr="00EC1955">
        <w:rPr>
          <w:rFonts w:cs="Arial" w:hint="cs"/>
          <w:sz w:val="20"/>
          <w:szCs w:val="20"/>
          <w:rtl/>
        </w:rPr>
        <w:t>וסתות".</w:t>
      </w:r>
    </w:p>
    <w:p w:rsidR="00620060" w:rsidRPr="006700E7" w:rsidRDefault="00620060" w:rsidP="00620060">
      <w:pPr>
        <w:rPr>
          <w:sz w:val="20"/>
          <w:szCs w:val="20"/>
          <w:rtl/>
        </w:rPr>
      </w:pPr>
      <w:r w:rsidRPr="009E5495">
        <w:rPr>
          <w:rFonts w:hint="cs"/>
          <w:sz w:val="20"/>
          <w:szCs w:val="20"/>
          <w:u w:val="single"/>
          <w:rtl/>
        </w:rPr>
        <w:t>מהי הגירסה הנכונה</w:t>
      </w:r>
      <w:r>
        <w:rPr>
          <w:rFonts w:hint="cs"/>
          <w:sz w:val="20"/>
          <w:szCs w:val="20"/>
          <w:u w:val="single"/>
          <w:rtl/>
        </w:rPr>
        <w:t xml:space="preserve"> בדברי המחבר</w:t>
      </w:r>
      <w:r>
        <w:rPr>
          <w:sz w:val="20"/>
          <w:szCs w:val="20"/>
          <w:u w:val="single"/>
          <w:rtl/>
        </w:rPr>
        <w:br/>
      </w:r>
      <w:r>
        <w:rPr>
          <w:rFonts w:hint="cs"/>
          <w:sz w:val="20"/>
          <w:szCs w:val="20"/>
          <w:rtl/>
        </w:rPr>
        <w:t xml:space="preserve">א. </w:t>
      </w:r>
      <w:r w:rsidRPr="00243F21">
        <w:rPr>
          <w:rFonts w:hint="cs"/>
          <w:b/>
          <w:bCs/>
          <w:sz w:val="20"/>
          <w:szCs w:val="20"/>
          <w:rtl/>
        </w:rPr>
        <w:t>דרישה</w:t>
      </w:r>
      <w:r>
        <w:rPr>
          <w:rFonts w:hint="cs"/>
          <w:b/>
          <w:bCs/>
          <w:sz w:val="20"/>
          <w:szCs w:val="20"/>
          <w:rtl/>
        </w:rPr>
        <w:t xml:space="preserve"> וט"ז</w:t>
      </w:r>
      <w:r>
        <w:rPr>
          <w:rFonts w:hint="cs"/>
          <w:sz w:val="20"/>
          <w:szCs w:val="20"/>
          <w:rtl/>
        </w:rPr>
        <w:t xml:space="preserve"> </w:t>
      </w:r>
      <w:r>
        <w:rPr>
          <w:sz w:val="20"/>
          <w:szCs w:val="20"/>
          <w:rtl/>
        </w:rPr>
        <w:t>–</w:t>
      </w:r>
      <w:r>
        <w:rPr>
          <w:rFonts w:hint="cs"/>
          <w:sz w:val="20"/>
          <w:szCs w:val="20"/>
          <w:rtl/>
        </w:rPr>
        <w:t xml:space="preserve"> הגרסה המופיעה לפנינו היא הנכונה, מדובר שראתה בחודש הרביעי בב' לחודש.</w:t>
      </w:r>
      <w:r>
        <w:rPr>
          <w:sz w:val="20"/>
          <w:szCs w:val="20"/>
          <w:rtl/>
        </w:rPr>
        <w:br/>
      </w:r>
      <w:r>
        <w:rPr>
          <w:rFonts w:hint="cs"/>
          <w:sz w:val="20"/>
          <w:szCs w:val="20"/>
          <w:rtl/>
        </w:rPr>
        <w:t xml:space="preserve">ב. </w:t>
      </w:r>
      <w:r w:rsidRPr="00243F21">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הגרסה אינה נכונה, יש לגרוס כ' במקום ב'.</w:t>
      </w:r>
      <w:r>
        <w:rPr>
          <w:sz w:val="20"/>
          <w:szCs w:val="20"/>
          <w:rtl/>
        </w:rPr>
        <w:br/>
      </w:r>
      <w:r w:rsidRPr="00243F21">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אם ראתה בא' ובב' הרי זו ראייה אחת והולכים אחר תחילת הראייה בלבד, כלומר יום א'.</w:t>
      </w:r>
    </w:p>
    <w:p w:rsidR="00620060" w:rsidRDefault="00620060" w:rsidP="00620060">
      <w:pPr>
        <w:rPr>
          <w:b/>
          <w:bCs/>
          <w:sz w:val="20"/>
          <w:szCs w:val="20"/>
          <w:rtl/>
        </w:rPr>
      </w:pPr>
      <w:r>
        <w:rPr>
          <w:rFonts w:hint="cs"/>
          <w:sz w:val="20"/>
          <w:szCs w:val="20"/>
          <w:u w:val="single"/>
          <w:rtl/>
        </w:rPr>
        <w:t>קביעת שני ווסתות בג' חודשים</w:t>
      </w:r>
      <w:r>
        <w:rPr>
          <w:sz w:val="20"/>
          <w:szCs w:val="20"/>
          <w:u w:val="single"/>
          <w:rtl/>
        </w:rPr>
        <w:br/>
      </w:r>
      <w:r w:rsidRPr="00EA3080">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אף אם ראתה בא' ובב' בשלושה חודשים בלבד, קבעה לה שני ווסתות.</w:t>
      </w:r>
      <w:r>
        <w:rPr>
          <w:rFonts w:hint="cs"/>
          <w:sz w:val="20"/>
          <w:szCs w:val="20"/>
          <w:rtl/>
        </w:rPr>
        <w:br/>
        <w:t>אך המחבר לא רצה לכתוב זאת משום שזהו דין פשוט, ונקט בדווקא שראתה כבר בא' לחודש ג' פעמים וקבעה לה ווסת ורק לאחר מכן ראתה ג' חודשים גם בב', דהוה אמינא שראיית ב' בחודש לא ייקבע כווסת חדש משום שרואה ממעיין פתוח, קמ"ל.</w:t>
      </w:r>
      <w:r>
        <w:rPr>
          <w:sz w:val="20"/>
          <w:szCs w:val="20"/>
          <w:rtl/>
        </w:rPr>
        <w:br/>
      </w:r>
      <w:r>
        <w:rPr>
          <w:rFonts w:hint="cs"/>
          <w:b/>
          <w:bCs/>
          <w:sz w:val="20"/>
          <w:szCs w:val="20"/>
          <w:rtl/>
        </w:rPr>
        <w:br/>
      </w:r>
      <w:r w:rsidRPr="00DE25E2">
        <w:rPr>
          <w:rFonts w:hint="cs"/>
          <w:sz w:val="20"/>
          <w:szCs w:val="20"/>
          <w:u w:val="single"/>
          <w:rtl/>
        </w:rPr>
        <w:t xml:space="preserve">קביעת ווסת בימי נידה </w:t>
      </w:r>
      <w:r>
        <w:rPr>
          <w:rFonts w:hint="cs"/>
          <w:sz w:val="20"/>
          <w:szCs w:val="20"/>
          <w:u w:val="single"/>
          <w:rtl/>
        </w:rPr>
        <w:t xml:space="preserve">וזבה </w:t>
      </w:r>
      <w:r w:rsidRPr="00DE25E2">
        <w:rPr>
          <w:rFonts w:hint="cs"/>
          <w:sz w:val="20"/>
          <w:szCs w:val="20"/>
          <w:u w:val="single"/>
          <w:rtl/>
        </w:rPr>
        <w:t>ל</w:t>
      </w:r>
      <w:r>
        <w:rPr>
          <w:rFonts w:hint="cs"/>
          <w:sz w:val="20"/>
          <w:szCs w:val="20"/>
          <w:u w:val="single"/>
          <w:rtl/>
        </w:rPr>
        <w:t>חומרה</w:t>
      </w:r>
      <w:r>
        <w:rPr>
          <w:rFonts w:hint="cs"/>
          <w:b/>
          <w:bCs/>
          <w:sz w:val="20"/>
          <w:szCs w:val="20"/>
          <w:rtl/>
        </w:rPr>
        <w:br/>
      </w:r>
      <w:r>
        <w:rPr>
          <w:rFonts w:hint="cs"/>
          <w:sz w:val="20"/>
          <w:szCs w:val="20"/>
          <w:rtl/>
        </w:rPr>
        <w:t xml:space="preserve">א. </w:t>
      </w:r>
      <w:r w:rsidRPr="00DE25E2">
        <w:rPr>
          <w:rFonts w:hint="cs"/>
          <w:b/>
          <w:bCs/>
          <w:sz w:val="20"/>
          <w:szCs w:val="20"/>
          <w:rtl/>
        </w:rPr>
        <w:t>נקודות הכסף</w:t>
      </w:r>
      <w:r>
        <w:rPr>
          <w:rFonts w:hint="cs"/>
          <w:sz w:val="20"/>
          <w:szCs w:val="20"/>
          <w:rtl/>
        </w:rPr>
        <w:t xml:space="preserve"> </w:t>
      </w:r>
      <w:r>
        <w:rPr>
          <w:sz w:val="20"/>
          <w:szCs w:val="20"/>
          <w:rtl/>
        </w:rPr>
        <w:t>–</w:t>
      </w:r>
      <w:r>
        <w:rPr>
          <w:rFonts w:hint="cs"/>
          <w:sz w:val="20"/>
          <w:szCs w:val="20"/>
          <w:rtl/>
        </w:rPr>
        <w:t xml:space="preserve"> דברי הרמב"ן שקובעת ווסת אף בימי נידה וזבה נאמרו דווקא לחומרה, אך לא לקולא.</w:t>
      </w:r>
      <w:r>
        <w:rPr>
          <w:sz w:val="20"/>
          <w:szCs w:val="20"/>
          <w:rtl/>
        </w:rPr>
        <w:br/>
      </w:r>
      <w:r>
        <w:rPr>
          <w:rFonts w:hint="cs"/>
          <w:sz w:val="20"/>
          <w:szCs w:val="20"/>
          <w:rtl/>
        </w:rPr>
        <w:t xml:space="preserve">כלומר </w:t>
      </w:r>
      <w:r>
        <w:rPr>
          <w:sz w:val="20"/>
          <w:szCs w:val="20"/>
          <w:rtl/>
        </w:rPr>
        <w:t>–</w:t>
      </w:r>
      <w:r>
        <w:rPr>
          <w:rFonts w:hint="cs"/>
          <w:sz w:val="20"/>
          <w:szCs w:val="20"/>
          <w:rtl/>
        </w:rPr>
        <w:t xml:space="preserve"> יש דינים בהם חמור דין ווסת קבוע </w:t>
      </w:r>
      <w:r w:rsidRPr="00DE25E2">
        <w:rPr>
          <w:rFonts w:hint="cs"/>
          <w:sz w:val="18"/>
          <w:szCs w:val="18"/>
          <w:rtl/>
        </w:rPr>
        <w:t xml:space="preserve">(כגון אם לא בדקה בזמן הווסת) </w:t>
      </w:r>
      <w:r>
        <w:rPr>
          <w:rFonts w:hint="cs"/>
          <w:sz w:val="20"/>
          <w:szCs w:val="20"/>
          <w:rtl/>
        </w:rPr>
        <w:t xml:space="preserve">ויש דינים שבהם חמור ווסת שאינו קבוע </w:t>
      </w:r>
      <w:r w:rsidRPr="00DE25E2">
        <w:rPr>
          <w:rFonts w:hint="cs"/>
          <w:sz w:val="18"/>
          <w:szCs w:val="18"/>
          <w:rtl/>
        </w:rPr>
        <w:t>(חשש להפלגה אחרונה, יום החודש ועוד)</w:t>
      </w:r>
      <w:r>
        <w:rPr>
          <w:rFonts w:hint="cs"/>
          <w:sz w:val="20"/>
          <w:szCs w:val="20"/>
          <w:rtl/>
        </w:rPr>
        <w:t>, ודברי הרמב"ן שקובעת ווסת בימי נידתה נאמרו רק לחומרה.</w:t>
      </w:r>
      <w:r>
        <w:rPr>
          <w:sz w:val="20"/>
          <w:szCs w:val="20"/>
          <w:rtl/>
        </w:rPr>
        <w:br/>
      </w:r>
      <w:r w:rsidRPr="00DE25E2">
        <w:rPr>
          <w:rFonts w:hint="cs"/>
          <w:b/>
          <w:bCs/>
          <w:sz w:val="20"/>
          <w:szCs w:val="20"/>
          <w:rtl/>
        </w:rPr>
        <w:t xml:space="preserve">טעם </w:t>
      </w:r>
      <w:r>
        <w:rPr>
          <w:sz w:val="20"/>
          <w:szCs w:val="20"/>
          <w:rtl/>
        </w:rPr>
        <w:t>–</w:t>
      </w:r>
      <w:r>
        <w:rPr>
          <w:rFonts w:hint="cs"/>
          <w:sz w:val="20"/>
          <w:szCs w:val="20"/>
          <w:rtl/>
        </w:rPr>
        <w:t xml:space="preserve"> לא ייתכן שהראשונים יחלקו ויקלו כנגד דין התלמוד ויאמרו שקובעת ווסת בימי נידה וזבה אף להקל.</w:t>
      </w:r>
      <w:r>
        <w:rPr>
          <w:sz w:val="20"/>
          <w:szCs w:val="20"/>
          <w:rtl/>
        </w:rPr>
        <w:br/>
      </w:r>
      <w:r>
        <w:rPr>
          <w:rFonts w:hint="cs"/>
          <w:sz w:val="20"/>
          <w:szCs w:val="20"/>
          <w:rtl/>
        </w:rPr>
        <w:t>ולפי"ז, בכל מקום בסימן שנאמר שקבעה לה ווסת, אם יוצא מכך קולא זה דווקא שלא בימי נידה וזבה.</w:t>
      </w:r>
      <w:r>
        <w:rPr>
          <w:rFonts w:hint="cs"/>
          <w:b/>
          <w:bCs/>
          <w:sz w:val="20"/>
          <w:szCs w:val="20"/>
          <w:rtl/>
        </w:rPr>
        <w:br/>
      </w:r>
      <w:r w:rsidRPr="00DE25E2">
        <w:rPr>
          <w:rFonts w:hint="cs"/>
          <w:sz w:val="20"/>
          <w:szCs w:val="20"/>
          <w:rtl/>
        </w:rPr>
        <w:t>ב.</w:t>
      </w:r>
      <w:r>
        <w:rPr>
          <w:rFonts w:hint="cs"/>
          <w:b/>
          <w:bCs/>
          <w:sz w:val="20"/>
          <w:szCs w:val="20"/>
          <w:rtl/>
        </w:rPr>
        <w:t xml:space="preserve"> תורת השלמים </w:t>
      </w:r>
      <w:r>
        <w:rPr>
          <w:sz w:val="20"/>
          <w:szCs w:val="20"/>
          <w:rtl/>
        </w:rPr>
        <w:t>–</w:t>
      </w:r>
      <w:r w:rsidRPr="00DE25E2">
        <w:rPr>
          <w:rFonts w:hint="cs"/>
          <w:sz w:val="20"/>
          <w:szCs w:val="20"/>
          <w:rtl/>
        </w:rPr>
        <w:t xml:space="preserve"> </w:t>
      </w:r>
      <w:r>
        <w:rPr>
          <w:rFonts w:hint="cs"/>
          <w:sz w:val="20"/>
          <w:szCs w:val="20"/>
          <w:rtl/>
        </w:rPr>
        <w:t>דברי הרמב"ן נאמרו גם לקולא.</w:t>
      </w:r>
      <w:r>
        <w:rPr>
          <w:sz w:val="20"/>
          <w:szCs w:val="20"/>
          <w:rtl/>
        </w:rPr>
        <w:br/>
      </w:r>
      <w:r w:rsidRPr="00DE25E2">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ווסתות דרבנן ואין להחמיר בהם. ועוד, אם תאמר שלחומרה לא קובעת ווסת בימי נידה וזבה, נמצאת מצריך את הנשים ללמוד את הדינים הכרוכים בימי נידה וזבה, ואם כן ביטלת את דברי הרמב"ן והראשונים.</w:t>
      </w:r>
    </w:p>
    <w:p w:rsidR="00620060" w:rsidRPr="003853FF" w:rsidRDefault="00620060" w:rsidP="00620060">
      <w:pPr>
        <w:rPr>
          <w:sz w:val="20"/>
          <w:szCs w:val="20"/>
          <w:rtl/>
        </w:rPr>
      </w:pPr>
      <w:r>
        <w:rPr>
          <w:rFonts w:hint="cs"/>
          <w:sz w:val="20"/>
          <w:szCs w:val="20"/>
          <w:u w:val="single"/>
          <w:rtl/>
        </w:rPr>
        <w:t>האם דברי המחבר כאן הם בדווקא (פת"ש)</w:t>
      </w:r>
      <w:r>
        <w:rPr>
          <w:rFonts w:hint="cs"/>
          <w:sz w:val="20"/>
          <w:szCs w:val="20"/>
          <w:u w:val="single"/>
          <w:rtl/>
        </w:rPr>
        <w:br/>
      </w:r>
      <w:r w:rsidRPr="00B01740">
        <w:rPr>
          <w:rFonts w:hint="cs"/>
          <w:b/>
          <w:bCs/>
          <w:sz w:val="20"/>
          <w:szCs w:val="20"/>
          <w:rtl/>
        </w:rPr>
        <w:t>נודע ביהודה</w:t>
      </w:r>
      <w:r>
        <w:rPr>
          <w:rFonts w:hint="cs"/>
          <w:sz w:val="20"/>
          <w:szCs w:val="20"/>
          <w:rtl/>
        </w:rPr>
        <w:t xml:space="preserve"> </w:t>
      </w:r>
      <w:r>
        <w:rPr>
          <w:sz w:val="20"/>
          <w:szCs w:val="20"/>
          <w:rtl/>
        </w:rPr>
        <w:t>–</w:t>
      </w:r>
      <w:r>
        <w:rPr>
          <w:rFonts w:hint="cs"/>
          <w:sz w:val="20"/>
          <w:szCs w:val="20"/>
          <w:rtl/>
        </w:rPr>
        <w:t xml:space="preserve"> המחבר כתב שקבעה לה ווסת לאחר שראתה גם בפעם החמישית והשישית בב' לחודש.</w:t>
      </w:r>
      <w:r>
        <w:rPr>
          <w:sz w:val="20"/>
          <w:szCs w:val="20"/>
          <w:rtl/>
        </w:rPr>
        <w:br/>
      </w:r>
      <w:r>
        <w:rPr>
          <w:rFonts w:hint="cs"/>
          <w:sz w:val="20"/>
          <w:szCs w:val="20"/>
          <w:rtl/>
        </w:rPr>
        <w:t xml:space="preserve">ומעתה יש להסתפק </w:t>
      </w:r>
      <w:r>
        <w:rPr>
          <w:sz w:val="20"/>
          <w:szCs w:val="20"/>
          <w:rtl/>
        </w:rPr>
        <w:t>–</w:t>
      </w:r>
      <w:r>
        <w:rPr>
          <w:rFonts w:hint="cs"/>
          <w:sz w:val="20"/>
          <w:szCs w:val="20"/>
          <w:rtl/>
        </w:rPr>
        <w:t xml:space="preserve"> האם דברי המחבר הם רק לעניין ווסת קבוע אך לווסת שאינו קבוע חוששת כבר מהפעם הראשונה שראתה בב', או דלמא חוששת לב' רק לאחר שקבעתו ולא לפני כן.</w:t>
      </w:r>
      <w:r>
        <w:rPr>
          <w:sz w:val="20"/>
          <w:szCs w:val="20"/>
          <w:rtl/>
        </w:rPr>
        <w:br/>
      </w:r>
      <w:r>
        <w:rPr>
          <w:sz w:val="20"/>
          <w:szCs w:val="20"/>
          <w:rtl/>
        </w:rPr>
        <w:br/>
      </w:r>
      <w:r>
        <w:rPr>
          <w:rFonts w:hint="cs"/>
          <w:sz w:val="20"/>
          <w:szCs w:val="20"/>
          <w:rtl/>
        </w:rPr>
        <w:t xml:space="preserve">יסוד הספק </w:t>
      </w:r>
      <w:r>
        <w:rPr>
          <w:sz w:val="20"/>
          <w:szCs w:val="20"/>
          <w:rtl/>
        </w:rPr>
        <w:t>–</w:t>
      </w:r>
      <w:r>
        <w:rPr>
          <w:rFonts w:hint="cs"/>
          <w:sz w:val="20"/>
          <w:szCs w:val="20"/>
          <w:rtl/>
        </w:rPr>
        <w:t xml:space="preserve"> בסעיף יג' מבואר שאשה בעלת ווסת קבוע שרואה במקביל בזמנים נוספים אינה חוששת לווסת שאינו קבוע, אלא הווסת הקבוע הוא העיקרי ורק לו חוששים.</w:t>
      </w:r>
      <w:r>
        <w:rPr>
          <w:sz w:val="20"/>
          <w:szCs w:val="20"/>
          <w:rtl/>
        </w:rPr>
        <w:br/>
      </w:r>
      <w:r>
        <w:rPr>
          <w:rFonts w:hint="cs"/>
          <w:sz w:val="20"/>
          <w:szCs w:val="20"/>
          <w:rtl/>
        </w:rPr>
        <w:t>וכעת יש לדון</w:t>
      </w:r>
      <w:r>
        <w:rPr>
          <w:rFonts w:hint="cs"/>
          <w:b/>
          <w:bCs/>
          <w:sz w:val="20"/>
          <w:szCs w:val="20"/>
          <w:rtl/>
        </w:rPr>
        <w:t xml:space="preserve"> </w:t>
      </w:r>
      <w:r>
        <w:rPr>
          <w:sz w:val="20"/>
          <w:szCs w:val="20"/>
          <w:rtl/>
        </w:rPr>
        <w:t>–</w:t>
      </w:r>
      <w:r>
        <w:rPr>
          <w:rFonts w:hint="cs"/>
          <w:sz w:val="20"/>
          <w:szCs w:val="20"/>
          <w:rtl/>
        </w:rPr>
        <w:t xml:space="preserve"> האם מה שאינה חוששת לווסת שאינו קבוע הוא רק כאשר ראתה את האינו קבוע לבד ולא ראתה באותו זמן את הקבוע, ואח"כ כשחזר לה הקבוע אמרינן שלא תראה יותר באינו קבוע, דמסתמא לא יבוא. אך אם ראתה את האינו קבוע במקביל לראיית הקבוע, כגון במקרה כאן, אין מועיל ראיית הקבוע לעקור את האינו קבוע, שהרי חזינן שאף כשרואה את הקבוע מכל מקום רואה גם את האינו קבוע.</w:t>
      </w:r>
      <w:r>
        <w:rPr>
          <w:rFonts w:hint="cs"/>
          <w:b/>
          <w:bCs/>
          <w:sz w:val="20"/>
          <w:szCs w:val="20"/>
          <w:rtl/>
        </w:rPr>
        <w:br/>
      </w:r>
      <w:r w:rsidRPr="00C3201C">
        <w:rPr>
          <w:rFonts w:hint="cs"/>
          <w:sz w:val="20"/>
          <w:szCs w:val="20"/>
          <w:rtl/>
        </w:rPr>
        <w:t>או דלמא</w:t>
      </w:r>
      <w:r>
        <w:rPr>
          <w:rFonts w:hint="cs"/>
          <w:sz w:val="20"/>
          <w:szCs w:val="20"/>
          <w:rtl/>
        </w:rPr>
        <w:t xml:space="preserve"> לא, ואפילו כאשר שני הווסתות היו לה במקביל אינה חוששת לאינו קבוע.</w:t>
      </w:r>
      <w:r w:rsidRPr="00327D5E">
        <w:rPr>
          <w:b/>
          <w:bCs/>
          <w:sz w:val="20"/>
          <w:szCs w:val="20"/>
          <w:rtl/>
        </w:rPr>
        <w:br/>
      </w:r>
      <w:r>
        <w:rPr>
          <w:b/>
          <w:bCs/>
          <w:sz w:val="20"/>
          <w:szCs w:val="20"/>
          <w:rtl/>
        </w:rPr>
        <w:lastRenderedPageBreak/>
        <w:br/>
      </w:r>
      <w:r w:rsidRPr="0021217F">
        <w:rPr>
          <w:rFonts w:hint="cs"/>
          <w:b/>
          <w:bCs/>
          <w:sz w:val="20"/>
          <w:szCs w:val="20"/>
          <w:rtl/>
        </w:rPr>
        <w:t>סיכום</w:t>
      </w:r>
      <w:r>
        <w:rPr>
          <w:sz w:val="20"/>
          <w:szCs w:val="20"/>
          <w:rtl/>
        </w:rPr>
        <w:br/>
      </w:r>
      <w:r>
        <w:rPr>
          <w:rFonts w:hint="cs"/>
          <w:sz w:val="20"/>
          <w:szCs w:val="20"/>
          <w:rtl/>
        </w:rPr>
        <w:t xml:space="preserve">1. </w:t>
      </w:r>
      <w:r w:rsidRPr="0021217F">
        <w:rPr>
          <w:rFonts w:hint="cs"/>
          <w:b/>
          <w:bCs/>
          <w:sz w:val="20"/>
          <w:szCs w:val="20"/>
          <w:rtl/>
        </w:rPr>
        <w:t>משנה</w:t>
      </w:r>
      <w:r>
        <w:rPr>
          <w:rFonts w:hint="cs"/>
          <w:sz w:val="20"/>
          <w:szCs w:val="20"/>
          <w:rtl/>
        </w:rPr>
        <w:t xml:space="preserve">. כל יא' יום בחזקת טהרה. </w:t>
      </w:r>
      <w:r w:rsidRPr="008E57CA">
        <w:rPr>
          <w:rFonts w:hint="cs"/>
          <w:b/>
          <w:bCs/>
          <w:sz w:val="20"/>
          <w:szCs w:val="20"/>
          <w:rtl/>
        </w:rPr>
        <w:t>גמרא</w:t>
      </w:r>
      <w:r>
        <w:rPr>
          <w:rFonts w:hint="cs"/>
          <w:sz w:val="20"/>
          <w:szCs w:val="20"/>
          <w:rtl/>
        </w:rPr>
        <w:t>. הפירוש הוא שאינה קובעת ווסת בימי זיבתה.</w:t>
      </w:r>
      <w:r>
        <w:rPr>
          <w:sz w:val="20"/>
          <w:szCs w:val="20"/>
          <w:rtl/>
        </w:rPr>
        <w:br/>
      </w:r>
      <w:r>
        <w:rPr>
          <w:rFonts w:hint="cs"/>
          <w:sz w:val="20"/>
          <w:szCs w:val="20"/>
          <w:rtl/>
        </w:rPr>
        <w:t xml:space="preserve">2. </w:t>
      </w:r>
      <w:r w:rsidRPr="0021217F">
        <w:rPr>
          <w:rFonts w:hint="cs"/>
          <w:b/>
          <w:bCs/>
          <w:sz w:val="20"/>
          <w:szCs w:val="20"/>
          <w:rtl/>
        </w:rPr>
        <w:t>גמרא</w:t>
      </w:r>
      <w:r>
        <w:rPr>
          <w:rFonts w:hint="cs"/>
          <w:sz w:val="20"/>
          <w:szCs w:val="20"/>
          <w:rtl/>
        </w:rPr>
        <w:t xml:space="preserve">. </w:t>
      </w:r>
      <w:r w:rsidRPr="0021217F">
        <w:rPr>
          <w:rFonts w:hint="cs"/>
          <w:sz w:val="20"/>
          <w:szCs w:val="20"/>
          <w:u w:val="single"/>
          <w:rtl/>
        </w:rPr>
        <w:t>ר"ל</w:t>
      </w:r>
      <w:r>
        <w:rPr>
          <w:rFonts w:hint="cs"/>
          <w:sz w:val="20"/>
          <w:szCs w:val="20"/>
          <w:rtl/>
        </w:rPr>
        <w:t xml:space="preserve">. אשה אינה קובעת ווסת בימי נידתה. </w:t>
      </w:r>
      <w:r w:rsidRPr="0021217F">
        <w:rPr>
          <w:rFonts w:hint="cs"/>
          <w:sz w:val="20"/>
          <w:szCs w:val="20"/>
          <w:u w:val="single"/>
          <w:rtl/>
        </w:rPr>
        <w:t>ר"י</w:t>
      </w:r>
      <w:r>
        <w:rPr>
          <w:rFonts w:hint="cs"/>
          <w:sz w:val="20"/>
          <w:szCs w:val="20"/>
          <w:rtl/>
        </w:rPr>
        <w:t xml:space="preserve">. אשה קובעת ווסת בימי נידתה. ומבואר לר"י שקובעת דווקא כשראתה ממעיין סתום אך לא ממעיין פתוח. </w:t>
      </w:r>
      <w:r w:rsidRPr="003853FF">
        <w:rPr>
          <w:rFonts w:hint="cs"/>
          <w:sz w:val="18"/>
          <w:szCs w:val="18"/>
          <w:rtl/>
        </w:rPr>
        <w:t>(</w:t>
      </w:r>
      <w:r w:rsidRPr="0021217F">
        <w:rPr>
          <w:rFonts w:hint="cs"/>
          <w:b/>
          <w:bCs/>
          <w:sz w:val="18"/>
          <w:szCs w:val="18"/>
          <w:rtl/>
        </w:rPr>
        <w:t>רשב"א</w:t>
      </w:r>
      <w:r w:rsidRPr="003853FF">
        <w:rPr>
          <w:rFonts w:hint="cs"/>
          <w:sz w:val="18"/>
          <w:szCs w:val="18"/>
          <w:rtl/>
        </w:rPr>
        <w:t xml:space="preserve"> </w:t>
      </w:r>
      <w:r w:rsidRPr="003853FF">
        <w:rPr>
          <w:sz w:val="18"/>
          <w:szCs w:val="18"/>
          <w:rtl/>
        </w:rPr>
        <w:t>–</w:t>
      </w:r>
      <w:r w:rsidRPr="003853FF">
        <w:rPr>
          <w:rFonts w:hint="cs"/>
          <w:sz w:val="18"/>
          <w:szCs w:val="18"/>
          <w:rtl/>
        </w:rPr>
        <w:t xml:space="preserve"> ה"ה שקובעת בימי זיבתה כשראתה ממעין סתום).</w:t>
      </w:r>
      <w:r>
        <w:rPr>
          <w:rFonts w:hint="cs"/>
          <w:sz w:val="20"/>
          <w:szCs w:val="20"/>
          <w:rtl/>
        </w:rPr>
        <w:br/>
        <w:t xml:space="preserve">3. </w:t>
      </w:r>
      <w:r w:rsidRPr="0021217F">
        <w:rPr>
          <w:rFonts w:hint="cs"/>
          <w:sz w:val="20"/>
          <w:szCs w:val="20"/>
          <w:u w:val="single"/>
          <w:rtl/>
        </w:rPr>
        <w:t>מעיין סתום</w:t>
      </w:r>
      <w:r>
        <w:rPr>
          <w:rFonts w:hint="cs"/>
          <w:sz w:val="20"/>
          <w:szCs w:val="20"/>
          <w:rtl/>
        </w:rPr>
        <w:t xml:space="preserve">. ראתה ב' פעמים בא' לחודש, ופעם ג' ראתה בכה' ובא', אע"פ שא' השלישי בימי נידתה, מכל מקום ב' הראשונים היו ממעיין סתום. </w:t>
      </w:r>
      <w:r w:rsidRPr="0021217F">
        <w:rPr>
          <w:rFonts w:hint="cs"/>
          <w:sz w:val="20"/>
          <w:szCs w:val="20"/>
          <w:u w:val="single"/>
          <w:rtl/>
        </w:rPr>
        <w:t>מעיין פתוח</w:t>
      </w:r>
      <w:r>
        <w:rPr>
          <w:rFonts w:hint="cs"/>
          <w:sz w:val="20"/>
          <w:szCs w:val="20"/>
          <w:rtl/>
        </w:rPr>
        <w:t xml:space="preserve">. ראתה ב' פעמים בא' ובה', אע"פ שבחודש הג' ראתה רק בה', מכל מקום ב' ראיותיה הראשונות היו ממעיין פתוח ולא קבע לה ווסת. </w:t>
      </w:r>
      <w:r w:rsidRPr="00006C94">
        <w:rPr>
          <w:rFonts w:hint="cs"/>
          <w:sz w:val="18"/>
          <w:szCs w:val="18"/>
          <w:rtl/>
        </w:rPr>
        <w:t>[א. וכן הדין לעניין מעיין פתוח וסתום בימי זיבה. ב. דעת הרמב"ם היא שמעיין פתוח הוא כל שראתה בתוך 18 הימים אינה קובעת עוד ווסת באותם הימים, אך אם ראתה בהם פעם אחת בלבד קבעה ווסת והוא מעיין סתום].</w:t>
      </w:r>
      <w:r>
        <w:rPr>
          <w:sz w:val="20"/>
          <w:szCs w:val="20"/>
          <w:rtl/>
        </w:rPr>
        <w:br/>
      </w:r>
      <w:r>
        <w:rPr>
          <w:rFonts w:hint="cs"/>
          <w:sz w:val="20"/>
          <w:szCs w:val="20"/>
          <w:rtl/>
        </w:rPr>
        <w:t>4</w:t>
      </w:r>
      <w:r w:rsidRPr="00477F01">
        <w:rPr>
          <w:rFonts w:hint="cs"/>
          <w:sz w:val="20"/>
          <w:szCs w:val="20"/>
          <w:rtl/>
        </w:rPr>
        <w:t>. אשה שרואה דם ממעין פתוח, האם חוששת לו כדין ווסת שאינו קבוע?</w:t>
      </w:r>
      <w:r>
        <w:rPr>
          <w:rFonts w:hint="cs"/>
          <w:sz w:val="20"/>
          <w:szCs w:val="20"/>
          <w:rtl/>
        </w:rPr>
        <w:t xml:space="preserve"> </w:t>
      </w:r>
      <w:r w:rsidRPr="0021217F">
        <w:rPr>
          <w:rFonts w:hint="cs"/>
          <w:sz w:val="20"/>
          <w:szCs w:val="20"/>
          <w:u w:val="single"/>
          <w:rtl/>
        </w:rPr>
        <w:t>ר"פ</w:t>
      </w:r>
      <w:r>
        <w:rPr>
          <w:rFonts w:hint="cs"/>
          <w:sz w:val="20"/>
          <w:szCs w:val="20"/>
          <w:rtl/>
        </w:rPr>
        <w:t xml:space="preserve">. חוששת, וכ"פ </w:t>
      </w:r>
      <w:r w:rsidRPr="0021217F">
        <w:rPr>
          <w:rFonts w:hint="cs"/>
          <w:b/>
          <w:bCs/>
          <w:sz w:val="20"/>
          <w:szCs w:val="20"/>
          <w:rtl/>
        </w:rPr>
        <w:t>הראב"ד</w:t>
      </w:r>
      <w:r>
        <w:rPr>
          <w:rFonts w:hint="cs"/>
          <w:sz w:val="20"/>
          <w:szCs w:val="20"/>
          <w:rtl/>
        </w:rPr>
        <w:t xml:space="preserve">. </w:t>
      </w:r>
      <w:r>
        <w:rPr>
          <w:sz w:val="20"/>
          <w:szCs w:val="20"/>
          <w:rtl/>
        </w:rPr>
        <w:br/>
      </w:r>
      <w:r w:rsidRPr="0021217F">
        <w:rPr>
          <w:rFonts w:hint="cs"/>
          <w:sz w:val="20"/>
          <w:szCs w:val="20"/>
          <w:u w:val="single"/>
          <w:rtl/>
        </w:rPr>
        <w:t>רב הונא</w:t>
      </w:r>
      <w:r>
        <w:rPr>
          <w:rFonts w:hint="cs"/>
          <w:sz w:val="20"/>
          <w:szCs w:val="20"/>
          <w:rtl/>
        </w:rPr>
        <w:t xml:space="preserve">. אינה חוששת, וכ"פ שאר הראשונים. </w:t>
      </w:r>
      <w:r w:rsidRPr="0021217F">
        <w:rPr>
          <w:rFonts w:hint="cs"/>
          <w:b/>
          <w:bCs/>
          <w:sz w:val="20"/>
          <w:szCs w:val="20"/>
          <w:rtl/>
        </w:rPr>
        <w:t>טעם</w:t>
      </w:r>
      <w:r>
        <w:rPr>
          <w:rFonts w:hint="cs"/>
          <w:sz w:val="20"/>
          <w:szCs w:val="20"/>
          <w:rtl/>
        </w:rPr>
        <w:t xml:space="preserve">. ווסתות דרבנן, וכ"פ </w:t>
      </w:r>
      <w:r w:rsidRPr="0021217F">
        <w:rPr>
          <w:rFonts w:hint="cs"/>
          <w:b/>
          <w:bCs/>
          <w:sz w:val="20"/>
          <w:szCs w:val="20"/>
          <w:rtl/>
        </w:rPr>
        <w:t>בגמרא</w:t>
      </w:r>
      <w:r>
        <w:rPr>
          <w:rFonts w:hint="cs"/>
          <w:sz w:val="20"/>
          <w:szCs w:val="20"/>
          <w:rtl/>
        </w:rPr>
        <w:t>.</w:t>
      </w:r>
      <w:r>
        <w:rPr>
          <w:sz w:val="20"/>
          <w:szCs w:val="20"/>
          <w:rtl/>
        </w:rPr>
        <w:br/>
      </w:r>
      <w:r>
        <w:rPr>
          <w:rFonts w:hint="cs"/>
          <w:sz w:val="20"/>
          <w:szCs w:val="20"/>
          <w:rtl/>
        </w:rPr>
        <w:t xml:space="preserve">5. למעשה </w:t>
      </w:r>
      <w:r>
        <w:rPr>
          <w:sz w:val="20"/>
          <w:szCs w:val="20"/>
          <w:rtl/>
        </w:rPr>
        <w:t>–</w:t>
      </w:r>
      <w:r>
        <w:rPr>
          <w:rFonts w:hint="cs"/>
          <w:sz w:val="20"/>
          <w:szCs w:val="20"/>
          <w:rtl/>
        </w:rPr>
        <w:t xml:space="preserve"> הראשונים פסקו שקובעת ווסת בימי נידתה וזיבתה אפילו ממעיין פתוח. </w:t>
      </w:r>
      <w:r w:rsidRPr="0021217F">
        <w:rPr>
          <w:rFonts w:hint="cs"/>
          <w:b/>
          <w:bCs/>
          <w:sz w:val="20"/>
          <w:szCs w:val="20"/>
          <w:rtl/>
        </w:rPr>
        <w:t>טעם</w:t>
      </w:r>
      <w:r>
        <w:rPr>
          <w:rFonts w:hint="cs"/>
          <w:sz w:val="20"/>
          <w:szCs w:val="20"/>
          <w:rtl/>
        </w:rPr>
        <w:t>. החמירו כרבי זירא שאין ימי נידה וימי זיבה, ואם תאמר להן שאינן קובעות ווסת באותם הימים עלולות לבוא לידי טעות בדינים אלו.</w:t>
      </w:r>
      <w:r>
        <w:rPr>
          <w:sz w:val="20"/>
          <w:szCs w:val="20"/>
          <w:rtl/>
        </w:rPr>
        <w:br/>
      </w:r>
      <w:r>
        <w:rPr>
          <w:rFonts w:hint="cs"/>
          <w:sz w:val="20"/>
          <w:szCs w:val="20"/>
          <w:rtl/>
        </w:rPr>
        <w:t xml:space="preserve">6. </w:t>
      </w:r>
      <w:r w:rsidRPr="0021217F">
        <w:rPr>
          <w:rFonts w:hint="cs"/>
          <w:b/>
          <w:bCs/>
          <w:sz w:val="20"/>
          <w:szCs w:val="20"/>
          <w:rtl/>
        </w:rPr>
        <w:t>מחבר</w:t>
      </w:r>
      <w:r>
        <w:rPr>
          <w:rFonts w:hint="cs"/>
          <w:sz w:val="20"/>
          <w:szCs w:val="20"/>
          <w:rtl/>
        </w:rPr>
        <w:t xml:space="preserve">. אשה קובעת ווסת בתוך ווסת. כגון </w:t>
      </w:r>
      <w:r>
        <w:rPr>
          <w:sz w:val="20"/>
          <w:szCs w:val="20"/>
          <w:rtl/>
        </w:rPr>
        <w:t>–</w:t>
      </w:r>
      <w:r>
        <w:rPr>
          <w:rFonts w:hint="cs"/>
          <w:sz w:val="20"/>
          <w:szCs w:val="20"/>
          <w:rtl/>
        </w:rPr>
        <w:t xml:space="preserve"> ראתה ג"פ בא', ואח"כ ראתה ג"פ בא' ובב', קבעה שני ווסתות.</w:t>
      </w:r>
      <w:r>
        <w:rPr>
          <w:sz w:val="20"/>
          <w:szCs w:val="20"/>
          <w:rtl/>
        </w:rPr>
        <w:br/>
      </w:r>
      <w:r>
        <w:rPr>
          <w:rFonts w:hint="cs"/>
          <w:sz w:val="20"/>
          <w:szCs w:val="20"/>
          <w:rtl/>
        </w:rPr>
        <w:t xml:space="preserve">7. </w:t>
      </w:r>
      <w:r w:rsidRPr="0021217F">
        <w:rPr>
          <w:rFonts w:hint="cs"/>
          <w:b/>
          <w:bCs/>
          <w:sz w:val="20"/>
          <w:szCs w:val="20"/>
          <w:rtl/>
        </w:rPr>
        <w:t>ט"ז</w:t>
      </w:r>
      <w:r>
        <w:rPr>
          <w:rFonts w:hint="cs"/>
          <w:sz w:val="20"/>
          <w:szCs w:val="20"/>
          <w:rtl/>
        </w:rPr>
        <w:t xml:space="preserve">. הגירסה הנ"ל היא הנכונה. </w:t>
      </w:r>
      <w:r w:rsidRPr="0021217F">
        <w:rPr>
          <w:rFonts w:hint="cs"/>
          <w:b/>
          <w:bCs/>
          <w:sz w:val="20"/>
          <w:szCs w:val="20"/>
          <w:rtl/>
        </w:rPr>
        <w:t>ש"ך</w:t>
      </w:r>
      <w:r>
        <w:rPr>
          <w:rFonts w:hint="cs"/>
          <w:sz w:val="20"/>
          <w:szCs w:val="20"/>
          <w:rtl/>
        </w:rPr>
        <w:t>. יש לגרוס שראתה בא ובכ', אך אם ראתה בא' ובב' הוי רק כרואה בא'.</w:t>
      </w:r>
      <w:r>
        <w:rPr>
          <w:sz w:val="20"/>
          <w:szCs w:val="20"/>
          <w:rtl/>
        </w:rPr>
        <w:br/>
      </w:r>
      <w:r>
        <w:rPr>
          <w:rFonts w:hint="cs"/>
          <w:sz w:val="20"/>
          <w:szCs w:val="20"/>
          <w:rtl/>
        </w:rPr>
        <w:t xml:space="preserve">8. </w:t>
      </w:r>
      <w:r w:rsidRPr="0021217F">
        <w:rPr>
          <w:rFonts w:hint="cs"/>
          <w:b/>
          <w:bCs/>
          <w:sz w:val="20"/>
          <w:szCs w:val="20"/>
          <w:rtl/>
        </w:rPr>
        <w:t>ט"ז</w:t>
      </w:r>
      <w:r>
        <w:rPr>
          <w:rFonts w:hint="cs"/>
          <w:sz w:val="20"/>
          <w:szCs w:val="20"/>
          <w:rtl/>
        </w:rPr>
        <w:t>. אף אם ראתה בא' ב' שלושה חודשים רצופים, קבעה שני ווסתות. והמחבר השמיע רבותא שאפילו אם כבר קבעה ווסת לא', אפ"ה קובעת ווסת נוסף לב'.</w:t>
      </w:r>
      <w:r>
        <w:rPr>
          <w:sz w:val="20"/>
          <w:szCs w:val="20"/>
          <w:rtl/>
        </w:rPr>
        <w:br/>
      </w:r>
      <w:r>
        <w:rPr>
          <w:rFonts w:hint="cs"/>
          <w:sz w:val="20"/>
          <w:szCs w:val="20"/>
          <w:rtl/>
        </w:rPr>
        <w:t xml:space="preserve">9. </w:t>
      </w:r>
      <w:r w:rsidRPr="0021217F">
        <w:rPr>
          <w:rFonts w:hint="cs"/>
          <w:b/>
          <w:bCs/>
          <w:sz w:val="20"/>
          <w:szCs w:val="20"/>
          <w:rtl/>
        </w:rPr>
        <w:t>נקה"כ</w:t>
      </w:r>
      <w:r>
        <w:rPr>
          <w:rFonts w:hint="cs"/>
          <w:sz w:val="20"/>
          <w:szCs w:val="20"/>
          <w:rtl/>
        </w:rPr>
        <w:t xml:space="preserve">. קביעת ווסת בימי זיבה נאמרה רק לחומרה, אך לקולא לא קבעה ווסת וחוששת לראייה האחרונה ליום החודש וכו'. </w:t>
      </w:r>
      <w:r w:rsidRPr="0021217F">
        <w:rPr>
          <w:rFonts w:hint="cs"/>
          <w:b/>
          <w:bCs/>
          <w:sz w:val="20"/>
          <w:szCs w:val="20"/>
          <w:rtl/>
        </w:rPr>
        <w:t>טעם</w:t>
      </w:r>
      <w:r>
        <w:rPr>
          <w:rFonts w:hint="cs"/>
          <w:sz w:val="20"/>
          <w:szCs w:val="20"/>
          <w:rtl/>
        </w:rPr>
        <w:t xml:space="preserve">. אין להקל כנגד דין התלמוד האומר שאין קביעת ווסת בימי נידה. </w:t>
      </w:r>
      <w:r w:rsidRPr="0021217F">
        <w:rPr>
          <w:rFonts w:hint="cs"/>
          <w:b/>
          <w:bCs/>
          <w:sz w:val="20"/>
          <w:szCs w:val="20"/>
          <w:rtl/>
        </w:rPr>
        <w:t>תוה"ש</w:t>
      </w:r>
      <w:r>
        <w:rPr>
          <w:rFonts w:hint="cs"/>
          <w:sz w:val="20"/>
          <w:szCs w:val="20"/>
          <w:rtl/>
        </w:rPr>
        <w:t xml:space="preserve">. אף לקולא קובעת ווסת בימי נידה. </w:t>
      </w:r>
      <w:r w:rsidRPr="0021217F">
        <w:rPr>
          <w:rFonts w:hint="cs"/>
          <w:b/>
          <w:bCs/>
          <w:sz w:val="20"/>
          <w:szCs w:val="20"/>
          <w:rtl/>
        </w:rPr>
        <w:t>טעם</w:t>
      </w:r>
      <w:r>
        <w:rPr>
          <w:rFonts w:hint="cs"/>
          <w:sz w:val="20"/>
          <w:szCs w:val="20"/>
          <w:rtl/>
        </w:rPr>
        <w:t>. ווסתות דרבנן, וכן כדי לא להצריך את הנשים ללמוד דיני ימים אלו.</w:t>
      </w:r>
      <w:r>
        <w:rPr>
          <w:rFonts w:hint="cs"/>
          <w:sz w:val="20"/>
          <w:szCs w:val="20"/>
          <w:rtl/>
        </w:rPr>
        <w:br/>
        <w:t xml:space="preserve">10. </w:t>
      </w:r>
      <w:r w:rsidRPr="00B01740">
        <w:rPr>
          <w:rFonts w:hint="cs"/>
          <w:b/>
          <w:bCs/>
          <w:sz w:val="20"/>
          <w:szCs w:val="20"/>
          <w:rtl/>
        </w:rPr>
        <w:t>נוב"י</w:t>
      </w:r>
      <w:r>
        <w:rPr>
          <w:rFonts w:hint="cs"/>
          <w:sz w:val="20"/>
          <w:szCs w:val="20"/>
          <w:rtl/>
        </w:rPr>
        <w:t>. ספק האם חוששת לראיית ב' כבר מהפעם הראשונה שראתה בו, או שחוששת לו רק לאחר ג"פ.</w:t>
      </w:r>
      <w:r>
        <w:rPr>
          <w:sz w:val="20"/>
          <w:szCs w:val="20"/>
          <w:rtl/>
        </w:rPr>
        <w:br/>
      </w:r>
      <w:r>
        <w:rPr>
          <w:rFonts w:hint="cs"/>
          <w:sz w:val="20"/>
          <w:szCs w:val="20"/>
          <w:rtl/>
        </w:rPr>
        <w:t xml:space="preserve">יסוד הספק </w:t>
      </w:r>
      <w:r>
        <w:rPr>
          <w:sz w:val="20"/>
          <w:szCs w:val="20"/>
          <w:rtl/>
        </w:rPr>
        <w:t>–</w:t>
      </w:r>
      <w:r>
        <w:rPr>
          <w:rFonts w:hint="cs"/>
          <w:sz w:val="20"/>
          <w:szCs w:val="20"/>
          <w:rtl/>
        </w:rPr>
        <w:t xml:space="preserve"> האם יש לחשוש לווסת שאינו קבוע כאשר חזינן שהוא בא במקביל לראיית הווסת הקבוע.</w:t>
      </w:r>
    </w:p>
    <w:p w:rsidR="00620060" w:rsidRPr="00327D5E" w:rsidRDefault="00620060" w:rsidP="00620060">
      <w:pPr>
        <w:rPr>
          <w:b/>
          <w:bCs/>
          <w:sz w:val="20"/>
          <w:szCs w:val="20"/>
          <w:rtl/>
        </w:rPr>
      </w:pPr>
    </w:p>
    <w:p w:rsidR="00620060" w:rsidRDefault="00620060" w:rsidP="00620060">
      <w:pPr>
        <w:rPr>
          <w:sz w:val="20"/>
          <w:szCs w:val="20"/>
          <w:rtl/>
        </w:rPr>
      </w:pPr>
      <w:r>
        <w:rPr>
          <w:rFonts w:hint="cs"/>
          <w:b/>
          <w:bCs/>
          <w:sz w:val="20"/>
          <w:szCs w:val="20"/>
          <w:rtl/>
        </w:rPr>
        <w:t xml:space="preserve">סעיף לג </w:t>
      </w:r>
      <w:r>
        <w:rPr>
          <w:b/>
          <w:bCs/>
          <w:sz w:val="20"/>
          <w:szCs w:val="20"/>
          <w:rtl/>
        </w:rPr>
        <w:t>–</w:t>
      </w:r>
      <w:r>
        <w:rPr>
          <w:rFonts w:hint="cs"/>
          <w:b/>
          <w:bCs/>
          <w:sz w:val="20"/>
          <w:szCs w:val="20"/>
          <w:rtl/>
        </w:rPr>
        <w:t xml:space="preserve"> קביעת ווסת במעוברת ומניקה</w:t>
      </w:r>
      <w:r>
        <w:rPr>
          <w:b/>
          <w:bCs/>
          <w:sz w:val="20"/>
          <w:szCs w:val="20"/>
          <w:rtl/>
        </w:rPr>
        <w:br/>
      </w:r>
      <w:r>
        <w:rPr>
          <w:rFonts w:hint="cs"/>
          <w:b/>
          <w:bCs/>
          <w:sz w:val="20"/>
          <w:szCs w:val="20"/>
          <w:rtl/>
        </w:rPr>
        <w:t>מקורות הדין</w:t>
      </w:r>
      <w:r>
        <w:rPr>
          <w:b/>
          <w:bCs/>
          <w:sz w:val="20"/>
          <w:szCs w:val="20"/>
          <w:rtl/>
        </w:rPr>
        <w:br/>
      </w:r>
      <w:r w:rsidRPr="00630950">
        <w:rPr>
          <w:rFonts w:hint="cs"/>
          <w:b/>
          <w:bCs/>
          <w:sz w:val="20"/>
          <w:szCs w:val="20"/>
          <w:rtl/>
        </w:rPr>
        <w:t>משנה</w:t>
      </w:r>
      <w:r>
        <w:rPr>
          <w:rFonts w:hint="cs"/>
          <w:sz w:val="20"/>
          <w:szCs w:val="20"/>
          <w:rtl/>
        </w:rPr>
        <w:t xml:space="preserve"> נידה (ז. </w:t>
      </w:r>
      <w:r>
        <w:rPr>
          <w:sz w:val="20"/>
          <w:szCs w:val="20"/>
          <w:rtl/>
        </w:rPr>
        <w:t>–</w:t>
      </w:r>
      <w:r>
        <w:rPr>
          <w:rFonts w:hint="cs"/>
          <w:sz w:val="20"/>
          <w:szCs w:val="20"/>
          <w:rtl/>
        </w:rPr>
        <w:t xml:space="preserve"> ז:) "</w:t>
      </w:r>
      <w:r w:rsidRPr="00630950">
        <w:rPr>
          <w:rFonts w:cs="Arial" w:hint="cs"/>
          <w:sz w:val="20"/>
          <w:szCs w:val="20"/>
          <w:rtl/>
        </w:rPr>
        <w:t>רבי</w:t>
      </w:r>
      <w:r w:rsidRPr="00630950">
        <w:rPr>
          <w:rFonts w:cs="Arial"/>
          <w:sz w:val="20"/>
          <w:szCs w:val="20"/>
          <w:rtl/>
        </w:rPr>
        <w:t xml:space="preserve"> </w:t>
      </w:r>
      <w:r w:rsidRPr="00630950">
        <w:rPr>
          <w:rFonts w:cs="Arial" w:hint="cs"/>
          <w:sz w:val="20"/>
          <w:szCs w:val="20"/>
          <w:rtl/>
        </w:rPr>
        <w:t>אליעזר</w:t>
      </w:r>
      <w:r w:rsidRPr="00630950">
        <w:rPr>
          <w:rFonts w:cs="Arial"/>
          <w:sz w:val="20"/>
          <w:szCs w:val="20"/>
          <w:rtl/>
        </w:rPr>
        <w:t xml:space="preserve"> </w:t>
      </w:r>
      <w:r w:rsidRPr="00630950">
        <w:rPr>
          <w:rFonts w:cs="Arial" w:hint="cs"/>
          <w:sz w:val="20"/>
          <w:szCs w:val="20"/>
          <w:rtl/>
        </w:rPr>
        <w:t>אומר</w:t>
      </w:r>
      <w:r w:rsidRPr="00630950">
        <w:rPr>
          <w:rFonts w:cs="Arial"/>
          <w:sz w:val="20"/>
          <w:szCs w:val="20"/>
          <w:rtl/>
        </w:rPr>
        <w:t xml:space="preserve">, </w:t>
      </w:r>
      <w:r w:rsidRPr="00630950">
        <w:rPr>
          <w:rFonts w:cs="Arial" w:hint="cs"/>
          <w:sz w:val="20"/>
          <w:szCs w:val="20"/>
          <w:rtl/>
        </w:rPr>
        <w:t>ארבע</w:t>
      </w:r>
      <w:r w:rsidRPr="00630950">
        <w:rPr>
          <w:rFonts w:cs="Arial"/>
          <w:sz w:val="20"/>
          <w:szCs w:val="20"/>
          <w:rtl/>
        </w:rPr>
        <w:t xml:space="preserve"> </w:t>
      </w:r>
      <w:r w:rsidRPr="00630950">
        <w:rPr>
          <w:rFonts w:cs="Arial" w:hint="cs"/>
          <w:sz w:val="20"/>
          <w:szCs w:val="20"/>
          <w:rtl/>
        </w:rPr>
        <w:t>נשים</w:t>
      </w:r>
      <w:r w:rsidRPr="00630950">
        <w:rPr>
          <w:rFonts w:cs="Arial"/>
          <w:sz w:val="20"/>
          <w:szCs w:val="20"/>
          <w:rtl/>
        </w:rPr>
        <w:t xml:space="preserve"> </w:t>
      </w:r>
      <w:r w:rsidRPr="00630950">
        <w:rPr>
          <w:rFonts w:cs="Arial" w:hint="cs"/>
          <w:sz w:val="20"/>
          <w:szCs w:val="20"/>
          <w:rtl/>
        </w:rPr>
        <w:t>דיין</w:t>
      </w:r>
      <w:r w:rsidRPr="00630950">
        <w:rPr>
          <w:rFonts w:cs="Arial"/>
          <w:sz w:val="20"/>
          <w:szCs w:val="20"/>
          <w:rtl/>
        </w:rPr>
        <w:t xml:space="preserve"> </w:t>
      </w:r>
      <w:r w:rsidRPr="00630950">
        <w:rPr>
          <w:rFonts w:cs="Arial" w:hint="cs"/>
          <w:sz w:val="20"/>
          <w:szCs w:val="20"/>
          <w:rtl/>
        </w:rPr>
        <w:t>שעתן</w:t>
      </w:r>
      <w:r>
        <w:rPr>
          <w:rFonts w:cs="Arial"/>
          <w:sz w:val="20"/>
          <w:szCs w:val="20"/>
          <w:rtl/>
        </w:rPr>
        <w:t>:</w:t>
      </w:r>
      <w:r>
        <w:rPr>
          <w:rFonts w:cs="Arial" w:hint="cs"/>
          <w:sz w:val="20"/>
          <w:szCs w:val="20"/>
          <w:rtl/>
        </w:rPr>
        <w:t xml:space="preserve">... </w:t>
      </w:r>
      <w:r w:rsidRPr="00630950">
        <w:rPr>
          <w:rFonts w:cs="Arial" w:hint="cs"/>
          <w:sz w:val="20"/>
          <w:szCs w:val="20"/>
          <w:rtl/>
        </w:rPr>
        <w:t>מעוברת</w:t>
      </w:r>
      <w:r w:rsidRPr="00630950">
        <w:rPr>
          <w:rFonts w:cs="Arial"/>
          <w:sz w:val="20"/>
          <w:szCs w:val="20"/>
          <w:rtl/>
        </w:rPr>
        <w:t xml:space="preserve">, </w:t>
      </w:r>
      <w:r w:rsidRPr="00630950">
        <w:rPr>
          <w:rFonts w:cs="Arial" w:hint="cs"/>
          <w:sz w:val="20"/>
          <w:szCs w:val="20"/>
          <w:rtl/>
        </w:rPr>
        <w:t>מניקה</w:t>
      </w:r>
      <w:r>
        <w:rPr>
          <w:rFonts w:hint="cs"/>
          <w:sz w:val="20"/>
          <w:szCs w:val="20"/>
          <w:rtl/>
        </w:rPr>
        <w:t xml:space="preserve">... איזו היא </w:t>
      </w:r>
      <w:r>
        <w:rPr>
          <w:rFonts w:cs="Arial" w:hint="cs"/>
          <w:sz w:val="20"/>
          <w:szCs w:val="20"/>
          <w:rtl/>
        </w:rPr>
        <w:t xml:space="preserve">מעוברת? </w:t>
      </w:r>
      <w:r w:rsidRPr="00630950">
        <w:rPr>
          <w:rFonts w:cs="Arial" w:hint="cs"/>
          <w:sz w:val="20"/>
          <w:szCs w:val="20"/>
          <w:rtl/>
        </w:rPr>
        <w:t>מש</w:t>
      </w:r>
      <w:r>
        <w:rPr>
          <w:rFonts w:cs="Arial" w:hint="cs"/>
          <w:sz w:val="20"/>
          <w:szCs w:val="20"/>
          <w:rtl/>
        </w:rPr>
        <w:t>יוד</w:t>
      </w:r>
      <w:r w:rsidRPr="00630950">
        <w:rPr>
          <w:rFonts w:cs="Arial" w:hint="cs"/>
          <w:sz w:val="20"/>
          <w:szCs w:val="20"/>
          <w:rtl/>
        </w:rPr>
        <w:t>ע</w:t>
      </w:r>
      <w:r w:rsidRPr="00630950">
        <w:rPr>
          <w:rFonts w:cs="Arial"/>
          <w:sz w:val="20"/>
          <w:szCs w:val="20"/>
          <w:rtl/>
        </w:rPr>
        <w:t xml:space="preserve"> </w:t>
      </w:r>
      <w:r w:rsidRPr="00630950">
        <w:rPr>
          <w:rFonts w:cs="Arial" w:hint="cs"/>
          <w:sz w:val="20"/>
          <w:szCs w:val="20"/>
          <w:rtl/>
        </w:rPr>
        <w:t>עוברה</w:t>
      </w:r>
      <w:r w:rsidRPr="00630950">
        <w:rPr>
          <w:rFonts w:cs="Arial"/>
          <w:sz w:val="20"/>
          <w:szCs w:val="20"/>
          <w:rtl/>
        </w:rPr>
        <w:t xml:space="preserve">, </w:t>
      </w:r>
      <w:r w:rsidRPr="00630950">
        <w:rPr>
          <w:rFonts w:cs="Arial" w:hint="cs"/>
          <w:sz w:val="20"/>
          <w:szCs w:val="20"/>
          <w:rtl/>
        </w:rPr>
        <w:t>מניקה</w:t>
      </w:r>
      <w:r w:rsidRPr="00630950">
        <w:rPr>
          <w:rFonts w:cs="Arial"/>
          <w:sz w:val="20"/>
          <w:szCs w:val="20"/>
          <w:rtl/>
        </w:rPr>
        <w:t xml:space="preserve"> - </w:t>
      </w:r>
      <w:r w:rsidRPr="00630950">
        <w:rPr>
          <w:rFonts w:cs="Arial" w:hint="cs"/>
          <w:sz w:val="20"/>
          <w:szCs w:val="20"/>
          <w:rtl/>
        </w:rPr>
        <w:t>עד</w:t>
      </w:r>
      <w:r w:rsidRPr="00630950">
        <w:rPr>
          <w:rFonts w:cs="Arial"/>
          <w:sz w:val="20"/>
          <w:szCs w:val="20"/>
          <w:rtl/>
        </w:rPr>
        <w:t xml:space="preserve"> </w:t>
      </w:r>
      <w:r w:rsidRPr="00630950">
        <w:rPr>
          <w:rFonts w:cs="Arial" w:hint="cs"/>
          <w:sz w:val="20"/>
          <w:szCs w:val="20"/>
          <w:rtl/>
        </w:rPr>
        <w:t>שתגמול</w:t>
      </w:r>
      <w:r w:rsidRPr="00630950">
        <w:rPr>
          <w:rFonts w:cs="Arial"/>
          <w:sz w:val="20"/>
          <w:szCs w:val="20"/>
          <w:rtl/>
        </w:rPr>
        <w:t xml:space="preserve"> </w:t>
      </w:r>
      <w:r w:rsidRPr="00630950">
        <w:rPr>
          <w:rFonts w:cs="Arial" w:hint="cs"/>
          <w:sz w:val="20"/>
          <w:szCs w:val="20"/>
          <w:rtl/>
        </w:rPr>
        <w:t>את</w:t>
      </w:r>
      <w:r w:rsidRPr="00630950">
        <w:rPr>
          <w:rFonts w:cs="Arial"/>
          <w:sz w:val="20"/>
          <w:szCs w:val="20"/>
          <w:rtl/>
        </w:rPr>
        <w:t xml:space="preserve"> </w:t>
      </w:r>
      <w:r w:rsidRPr="00630950">
        <w:rPr>
          <w:rFonts w:cs="Arial" w:hint="cs"/>
          <w:sz w:val="20"/>
          <w:szCs w:val="20"/>
          <w:rtl/>
        </w:rPr>
        <w:t>בנה</w:t>
      </w:r>
      <w:r>
        <w:rPr>
          <w:rFonts w:cs="Arial" w:hint="cs"/>
          <w:sz w:val="20"/>
          <w:szCs w:val="20"/>
          <w:rtl/>
        </w:rPr>
        <w:t>".</w:t>
      </w:r>
      <w:r>
        <w:rPr>
          <w:rFonts w:hint="cs"/>
          <w:sz w:val="20"/>
          <w:szCs w:val="20"/>
          <w:rtl/>
        </w:rPr>
        <w:br/>
      </w:r>
      <w:r w:rsidRPr="000B45F2">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טעם הדין הוא, משום שמעוברת הרי היא כחולה ודמיה מסולקים, ודווקא משהוכר עוברה לפי שאז ראשה ואבריה כבדים עליה, אך קודם לכן אינה מסולקת דמים.</w:t>
      </w:r>
    </w:p>
    <w:p w:rsidR="00620060" w:rsidRDefault="00620060" w:rsidP="00620060">
      <w:pPr>
        <w:rPr>
          <w:sz w:val="20"/>
          <w:szCs w:val="20"/>
          <w:rtl/>
        </w:rPr>
      </w:pPr>
      <w:r>
        <w:rPr>
          <w:rFonts w:hint="cs"/>
          <w:b/>
          <w:bCs/>
          <w:sz w:val="20"/>
          <w:szCs w:val="20"/>
          <w:rtl/>
        </w:rPr>
        <w:t>מניקה שפסקה להניק</w:t>
      </w:r>
      <w:r>
        <w:rPr>
          <w:b/>
          <w:bCs/>
          <w:sz w:val="20"/>
          <w:szCs w:val="20"/>
          <w:rtl/>
        </w:rPr>
        <w:br/>
      </w:r>
      <w:r w:rsidRPr="000B45F2">
        <w:rPr>
          <w:rFonts w:cs="Arial" w:hint="cs"/>
          <w:b/>
          <w:bCs/>
          <w:sz w:val="20"/>
          <w:szCs w:val="20"/>
          <w:rtl/>
        </w:rPr>
        <w:t>גמרא</w:t>
      </w:r>
      <w:r w:rsidRPr="000B45F2">
        <w:rPr>
          <w:rFonts w:cs="Arial" w:hint="cs"/>
          <w:sz w:val="20"/>
          <w:szCs w:val="20"/>
          <w:rtl/>
        </w:rPr>
        <w:t xml:space="preserve"> שם (ט.) "ת</w:t>
      </w:r>
      <w:r>
        <w:rPr>
          <w:rFonts w:cs="Arial" w:hint="cs"/>
          <w:sz w:val="20"/>
          <w:szCs w:val="20"/>
          <w:rtl/>
        </w:rPr>
        <w:t xml:space="preserve">נו </w:t>
      </w:r>
      <w:r w:rsidRPr="000B45F2">
        <w:rPr>
          <w:rFonts w:cs="Arial" w:hint="cs"/>
          <w:sz w:val="20"/>
          <w:szCs w:val="20"/>
          <w:rtl/>
        </w:rPr>
        <w:t>ר</w:t>
      </w:r>
      <w:r>
        <w:rPr>
          <w:rFonts w:cs="Arial" w:hint="cs"/>
          <w:sz w:val="20"/>
          <w:szCs w:val="20"/>
          <w:rtl/>
        </w:rPr>
        <w:t>בנן</w:t>
      </w:r>
      <w:r w:rsidRPr="000B45F2">
        <w:rPr>
          <w:rFonts w:cs="Arial"/>
          <w:sz w:val="20"/>
          <w:szCs w:val="20"/>
          <w:rtl/>
        </w:rPr>
        <w:t xml:space="preserve">: </w:t>
      </w:r>
      <w:r w:rsidRPr="000B45F2">
        <w:rPr>
          <w:rFonts w:cs="Arial" w:hint="cs"/>
          <w:sz w:val="20"/>
          <w:szCs w:val="20"/>
          <w:rtl/>
        </w:rPr>
        <w:t>מניקה</w:t>
      </w:r>
      <w:r w:rsidRPr="000B45F2">
        <w:rPr>
          <w:rFonts w:cs="Arial"/>
          <w:sz w:val="20"/>
          <w:szCs w:val="20"/>
          <w:rtl/>
        </w:rPr>
        <w:t xml:space="preserve"> </w:t>
      </w:r>
      <w:r w:rsidRPr="000B45F2">
        <w:rPr>
          <w:rFonts w:cs="Arial" w:hint="cs"/>
          <w:sz w:val="20"/>
          <w:szCs w:val="20"/>
          <w:rtl/>
        </w:rPr>
        <w:t>שמת</w:t>
      </w:r>
      <w:r w:rsidRPr="000B45F2">
        <w:rPr>
          <w:rFonts w:cs="Arial"/>
          <w:sz w:val="20"/>
          <w:szCs w:val="20"/>
          <w:rtl/>
        </w:rPr>
        <w:t xml:space="preserve"> </w:t>
      </w:r>
      <w:r w:rsidRPr="000B45F2">
        <w:rPr>
          <w:rFonts w:cs="Arial" w:hint="cs"/>
          <w:sz w:val="20"/>
          <w:szCs w:val="20"/>
          <w:rtl/>
        </w:rPr>
        <w:t>בנה</w:t>
      </w:r>
      <w:r w:rsidRPr="000B45F2">
        <w:rPr>
          <w:rFonts w:cs="Arial"/>
          <w:sz w:val="20"/>
          <w:szCs w:val="20"/>
          <w:rtl/>
        </w:rPr>
        <w:t xml:space="preserve"> </w:t>
      </w:r>
      <w:r w:rsidRPr="000B45F2">
        <w:rPr>
          <w:rFonts w:cs="Arial" w:hint="cs"/>
          <w:sz w:val="20"/>
          <w:szCs w:val="20"/>
          <w:rtl/>
        </w:rPr>
        <w:t>בתוך</w:t>
      </w:r>
      <w:r w:rsidRPr="000B45F2">
        <w:rPr>
          <w:rFonts w:cs="Arial"/>
          <w:sz w:val="20"/>
          <w:szCs w:val="20"/>
          <w:rtl/>
        </w:rPr>
        <w:t xml:space="preserve"> </w:t>
      </w:r>
      <w:r w:rsidRPr="000B45F2">
        <w:rPr>
          <w:rFonts w:cs="Arial" w:hint="cs"/>
          <w:sz w:val="20"/>
          <w:szCs w:val="20"/>
          <w:rtl/>
        </w:rPr>
        <w:t>עשרים</w:t>
      </w:r>
      <w:r w:rsidRPr="000B45F2">
        <w:rPr>
          <w:rFonts w:cs="Arial"/>
          <w:sz w:val="20"/>
          <w:szCs w:val="20"/>
          <w:rtl/>
        </w:rPr>
        <w:t xml:space="preserve"> </w:t>
      </w:r>
      <w:r w:rsidRPr="000B45F2">
        <w:rPr>
          <w:rFonts w:cs="Arial" w:hint="cs"/>
          <w:sz w:val="20"/>
          <w:szCs w:val="20"/>
          <w:rtl/>
        </w:rPr>
        <w:t>וארבע</w:t>
      </w:r>
      <w:r w:rsidRPr="000B45F2">
        <w:rPr>
          <w:rFonts w:cs="Arial"/>
          <w:sz w:val="20"/>
          <w:szCs w:val="20"/>
          <w:rtl/>
        </w:rPr>
        <w:t xml:space="preserve"> </w:t>
      </w:r>
      <w:r w:rsidRPr="000B45F2">
        <w:rPr>
          <w:rFonts w:cs="Arial" w:hint="cs"/>
          <w:sz w:val="20"/>
          <w:szCs w:val="20"/>
          <w:rtl/>
        </w:rPr>
        <w:t>חדש</w:t>
      </w:r>
      <w:r w:rsidRPr="000B45F2">
        <w:rPr>
          <w:rFonts w:cs="Arial"/>
          <w:sz w:val="20"/>
          <w:szCs w:val="20"/>
          <w:rtl/>
        </w:rPr>
        <w:t xml:space="preserve"> - </w:t>
      </w:r>
      <w:r w:rsidRPr="000B45F2">
        <w:rPr>
          <w:rFonts w:cs="Arial" w:hint="cs"/>
          <w:sz w:val="20"/>
          <w:szCs w:val="20"/>
          <w:rtl/>
        </w:rPr>
        <w:t>הרי</w:t>
      </w:r>
      <w:r w:rsidRPr="000B45F2">
        <w:rPr>
          <w:rFonts w:cs="Arial"/>
          <w:sz w:val="20"/>
          <w:szCs w:val="20"/>
          <w:rtl/>
        </w:rPr>
        <w:t xml:space="preserve"> </w:t>
      </w:r>
      <w:r w:rsidRPr="000B45F2">
        <w:rPr>
          <w:rFonts w:cs="Arial" w:hint="cs"/>
          <w:sz w:val="20"/>
          <w:szCs w:val="20"/>
          <w:rtl/>
        </w:rPr>
        <w:t>היא</w:t>
      </w:r>
      <w:r w:rsidRPr="000B45F2">
        <w:rPr>
          <w:rFonts w:cs="Arial"/>
          <w:sz w:val="20"/>
          <w:szCs w:val="20"/>
          <w:rtl/>
        </w:rPr>
        <w:t xml:space="preserve"> </w:t>
      </w:r>
      <w:r w:rsidRPr="000B45F2">
        <w:rPr>
          <w:rFonts w:cs="Arial" w:hint="cs"/>
          <w:sz w:val="20"/>
          <w:szCs w:val="20"/>
          <w:rtl/>
        </w:rPr>
        <w:t>ככל</w:t>
      </w:r>
      <w:r w:rsidRPr="000B45F2">
        <w:rPr>
          <w:rFonts w:cs="Arial"/>
          <w:sz w:val="20"/>
          <w:szCs w:val="20"/>
          <w:rtl/>
        </w:rPr>
        <w:t xml:space="preserve"> </w:t>
      </w:r>
      <w:r w:rsidRPr="000B45F2">
        <w:rPr>
          <w:rFonts w:cs="Arial" w:hint="cs"/>
          <w:sz w:val="20"/>
          <w:szCs w:val="20"/>
          <w:rtl/>
        </w:rPr>
        <w:t>הנשים</w:t>
      </w:r>
      <w:r w:rsidRPr="000B45F2">
        <w:rPr>
          <w:rFonts w:cs="Arial"/>
          <w:sz w:val="20"/>
          <w:szCs w:val="20"/>
          <w:rtl/>
        </w:rPr>
        <w:t xml:space="preserve">, </w:t>
      </w:r>
      <w:r w:rsidRPr="000B45F2">
        <w:rPr>
          <w:rFonts w:cs="Arial" w:hint="cs"/>
          <w:sz w:val="20"/>
          <w:szCs w:val="20"/>
          <w:rtl/>
        </w:rPr>
        <w:t>ומטמאה</w:t>
      </w:r>
      <w:r w:rsidRPr="000B45F2">
        <w:rPr>
          <w:rFonts w:cs="Arial"/>
          <w:sz w:val="20"/>
          <w:szCs w:val="20"/>
          <w:rtl/>
        </w:rPr>
        <w:t xml:space="preserve"> </w:t>
      </w:r>
      <w:r w:rsidRPr="000B45F2">
        <w:rPr>
          <w:rFonts w:cs="Arial" w:hint="cs"/>
          <w:sz w:val="20"/>
          <w:szCs w:val="20"/>
          <w:rtl/>
        </w:rPr>
        <w:t>מעת</w:t>
      </w:r>
      <w:r w:rsidRPr="000B45F2">
        <w:rPr>
          <w:rFonts w:cs="Arial"/>
          <w:sz w:val="20"/>
          <w:szCs w:val="20"/>
          <w:rtl/>
        </w:rPr>
        <w:t xml:space="preserve"> </w:t>
      </w:r>
      <w:r w:rsidRPr="000B45F2">
        <w:rPr>
          <w:rFonts w:cs="Arial" w:hint="cs"/>
          <w:sz w:val="20"/>
          <w:szCs w:val="20"/>
          <w:rtl/>
        </w:rPr>
        <w:t>לעת</w:t>
      </w:r>
      <w:r w:rsidRPr="000B45F2">
        <w:rPr>
          <w:rFonts w:cs="Arial"/>
          <w:sz w:val="20"/>
          <w:szCs w:val="20"/>
          <w:rtl/>
        </w:rPr>
        <w:t xml:space="preserve"> </w:t>
      </w:r>
      <w:r w:rsidRPr="000B45F2">
        <w:rPr>
          <w:rFonts w:cs="Arial" w:hint="cs"/>
          <w:sz w:val="20"/>
          <w:szCs w:val="20"/>
          <w:rtl/>
        </w:rPr>
        <w:t>ומפקידה</w:t>
      </w:r>
      <w:r w:rsidRPr="000B45F2">
        <w:rPr>
          <w:rFonts w:cs="Arial"/>
          <w:sz w:val="20"/>
          <w:szCs w:val="20"/>
          <w:rtl/>
        </w:rPr>
        <w:t xml:space="preserve"> </w:t>
      </w:r>
      <w:r w:rsidRPr="000B45F2">
        <w:rPr>
          <w:rFonts w:cs="Arial" w:hint="cs"/>
          <w:sz w:val="20"/>
          <w:szCs w:val="20"/>
          <w:rtl/>
        </w:rPr>
        <w:t>לפקידה</w:t>
      </w:r>
      <w:r w:rsidRPr="000B45F2">
        <w:rPr>
          <w:rFonts w:cs="Arial"/>
          <w:sz w:val="20"/>
          <w:szCs w:val="20"/>
          <w:rtl/>
        </w:rPr>
        <w:t xml:space="preserve">. </w:t>
      </w:r>
      <w:r w:rsidRPr="000B45F2">
        <w:rPr>
          <w:rFonts w:cs="Arial" w:hint="cs"/>
          <w:sz w:val="20"/>
          <w:szCs w:val="20"/>
          <w:rtl/>
        </w:rPr>
        <w:t>לפיכך</w:t>
      </w:r>
      <w:r w:rsidRPr="000B45F2">
        <w:rPr>
          <w:rFonts w:cs="Arial"/>
          <w:sz w:val="20"/>
          <w:szCs w:val="20"/>
          <w:rtl/>
        </w:rPr>
        <w:t xml:space="preserve">, </w:t>
      </w:r>
      <w:r w:rsidRPr="000B45F2">
        <w:rPr>
          <w:rFonts w:cs="Arial" w:hint="cs"/>
          <w:sz w:val="20"/>
          <w:szCs w:val="20"/>
          <w:rtl/>
        </w:rPr>
        <w:t>אם</w:t>
      </w:r>
      <w:r w:rsidRPr="000B45F2">
        <w:rPr>
          <w:rFonts w:cs="Arial"/>
          <w:sz w:val="20"/>
          <w:szCs w:val="20"/>
          <w:rtl/>
        </w:rPr>
        <w:t xml:space="preserve"> </w:t>
      </w:r>
      <w:r w:rsidRPr="000B45F2">
        <w:rPr>
          <w:rFonts w:cs="Arial" w:hint="cs"/>
          <w:sz w:val="20"/>
          <w:szCs w:val="20"/>
          <w:rtl/>
        </w:rPr>
        <w:t>היתה</w:t>
      </w:r>
      <w:r w:rsidRPr="000B45F2">
        <w:rPr>
          <w:rFonts w:cs="Arial"/>
          <w:sz w:val="20"/>
          <w:szCs w:val="20"/>
          <w:rtl/>
        </w:rPr>
        <w:t xml:space="preserve"> </w:t>
      </w:r>
      <w:r w:rsidRPr="000B45F2">
        <w:rPr>
          <w:rFonts w:cs="Arial" w:hint="cs"/>
          <w:sz w:val="20"/>
          <w:szCs w:val="20"/>
          <w:rtl/>
        </w:rPr>
        <w:t>מניקתו</w:t>
      </w:r>
      <w:r w:rsidRPr="000B45F2">
        <w:rPr>
          <w:rFonts w:cs="Arial"/>
          <w:sz w:val="20"/>
          <w:szCs w:val="20"/>
          <w:rtl/>
        </w:rPr>
        <w:t xml:space="preserve"> </w:t>
      </w:r>
      <w:r w:rsidRPr="000B45F2">
        <w:rPr>
          <w:rFonts w:cs="Arial" w:hint="cs"/>
          <w:sz w:val="20"/>
          <w:szCs w:val="20"/>
          <w:rtl/>
        </w:rPr>
        <w:t>והולכת</w:t>
      </w:r>
      <w:r w:rsidRPr="000B45F2">
        <w:rPr>
          <w:rFonts w:cs="Arial"/>
          <w:sz w:val="20"/>
          <w:szCs w:val="20"/>
          <w:rtl/>
        </w:rPr>
        <w:t xml:space="preserve"> </w:t>
      </w:r>
      <w:r w:rsidRPr="000B45F2">
        <w:rPr>
          <w:rFonts w:cs="Arial" w:hint="cs"/>
          <w:sz w:val="20"/>
          <w:szCs w:val="20"/>
          <w:rtl/>
        </w:rPr>
        <w:t>ארבע</w:t>
      </w:r>
      <w:r w:rsidRPr="000B45F2">
        <w:rPr>
          <w:rFonts w:cs="Arial"/>
          <w:sz w:val="20"/>
          <w:szCs w:val="20"/>
          <w:rtl/>
        </w:rPr>
        <w:t xml:space="preserve"> </w:t>
      </w:r>
      <w:r w:rsidRPr="000B45F2">
        <w:rPr>
          <w:rFonts w:cs="Arial" w:hint="cs"/>
          <w:sz w:val="20"/>
          <w:szCs w:val="20"/>
          <w:rtl/>
        </w:rPr>
        <w:t>או</w:t>
      </w:r>
      <w:r w:rsidRPr="000B45F2">
        <w:rPr>
          <w:rFonts w:cs="Arial"/>
          <w:sz w:val="20"/>
          <w:szCs w:val="20"/>
          <w:rtl/>
        </w:rPr>
        <w:t xml:space="preserve"> </w:t>
      </w:r>
      <w:r w:rsidRPr="000B45F2">
        <w:rPr>
          <w:rFonts w:cs="Arial" w:hint="cs"/>
          <w:sz w:val="20"/>
          <w:szCs w:val="20"/>
          <w:rtl/>
        </w:rPr>
        <w:t>חמש</w:t>
      </w:r>
      <w:r w:rsidRPr="000B45F2">
        <w:rPr>
          <w:rFonts w:cs="Arial"/>
          <w:sz w:val="20"/>
          <w:szCs w:val="20"/>
          <w:rtl/>
        </w:rPr>
        <w:t xml:space="preserve"> </w:t>
      </w:r>
      <w:r w:rsidRPr="000B45F2">
        <w:rPr>
          <w:rFonts w:cs="Arial" w:hint="cs"/>
          <w:sz w:val="20"/>
          <w:szCs w:val="20"/>
          <w:rtl/>
        </w:rPr>
        <w:t>שנים</w:t>
      </w:r>
      <w:r w:rsidRPr="000B45F2">
        <w:rPr>
          <w:rFonts w:cs="Arial"/>
          <w:sz w:val="20"/>
          <w:szCs w:val="20"/>
          <w:rtl/>
        </w:rPr>
        <w:t xml:space="preserve"> - </w:t>
      </w:r>
      <w:r w:rsidRPr="000B45F2">
        <w:rPr>
          <w:rFonts w:cs="Arial" w:hint="cs"/>
          <w:sz w:val="20"/>
          <w:szCs w:val="20"/>
          <w:rtl/>
        </w:rPr>
        <w:t>דיה</w:t>
      </w:r>
      <w:r w:rsidRPr="000B45F2">
        <w:rPr>
          <w:rFonts w:cs="Arial"/>
          <w:sz w:val="20"/>
          <w:szCs w:val="20"/>
          <w:rtl/>
        </w:rPr>
        <w:t xml:space="preserve"> </w:t>
      </w:r>
      <w:r w:rsidRPr="000B45F2">
        <w:rPr>
          <w:rFonts w:cs="Arial" w:hint="cs"/>
          <w:sz w:val="20"/>
          <w:szCs w:val="20"/>
          <w:rtl/>
        </w:rPr>
        <w:t>שעתה</w:t>
      </w:r>
      <w:r w:rsidRPr="000B45F2">
        <w:rPr>
          <w:rFonts w:cs="Arial"/>
          <w:sz w:val="20"/>
          <w:szCs w:val="20"/>
          <w:rtl/>
        </w:rPr>
        <w:t xml:space="preserve"> - </w:t>
      </w:r>
      <w:r w:rsidRPr="000B45F2">
        <w:rPr>
          <w:rFonts w:cs="Arial" w:hint="cs"/>
          <w:sz w:val="20"/>
          <w:szCs w:val="20"/>
          <w:rtl/>
        </w:rPr>
        <w:t>דברי</w:t>
      </w:r>
      <w:r w:rsidRPr="000B45F2">
        <w:rPr>
          <w:rFonts w:cs="Arial"/>
          <w:sz w:val="20"/>
          <w:szCs w:val="20"/>
          <w:rtl/>
        </w:rPr>
        <w:t xml:space="preserve"> </w:t>
      </w:r>
      <w:r w:rsidRPr="000B45F2">
        <w:rPr>
          <w:rFonts w:cs="Arial" w:hint="cs"/>
          <w:sz w:val="20"/>
          <w:szCs w:val="20"/>
          <w:rtl/>
        </w:rPr>
        <w:t>ר</w:t>
      </w:r>
      <w:r>
        <w:rPr>
          <w:rFonts w:cs="Arial" w:hint="cs"/>
          <w:sz w:val="20"/>
          <w:szCs w:val="20"/>
          <w:rtl/>
        </w:rPr>
        <w:t>בי מאיר</w:t>
      </w:r>
      <w:r w:rsidRPr="000B45F2">
        <w:rPr>
          <w:rFonts w:cs="Arial"/>
          <w:sz w:val="20"/>
          <w:szCs w:val="20"/>
          <w:rtl/>
        </w:rPr>
        <w:t xml:space="preserve">. </w:t>
      </w:r>
      <w:r w:rsidRPr="000B45F2">
        <w:rPr>
          <w:rFonts w:cs="Arial" w:hint="cs"/>
          <w:sz w:val="20"/>
          <w:szCs w:val="20"/>
          <w:rtl/>
        </w:rPr>
        <w:t>רבי</w:t>
      </w:r>
      <w:r w:rsidRPr="000B45F2">
        <w:rPr>
          <w:rFonts w:cs="Arial"/>
          <w:sz w:val="20"/>
          <w:szCs w:val="20"/>
          <w:rtl/>
        </w:rPr>
        <w:t xml:space="preserve"> </w:t>
      </w:r>
      <w:r w:rsidRPr="000B45F2">
        <w:rPr>
          <w:rFonts w:cs="Arial" w:hint="cs"/>
          <w:sz w:val="20"/>
          <w:szCs w:val="20"/>
          <w:rtl/>
        </w:rPr>
        <w:t>יהודה</w:t>
      </w:r>
      <w:r w:rsidRPr="000B45F2">
        <w:rPr>
          <w:rFonts w:cs="Arial"/>
          <w:sz w:val="20"/>
          <w:szCs w:val="20"/>
          <w:rtl/>
        </w:rPr>
        <w:t xml:space="preserve"> </w:t>
      </w:r>
      <w:r w:rsidRPr="000B45F2">
        <w:rPr>
          <w:rFonts w:cs="Arial" w:hint="cs"/>
          <w:sz w:val="20"/>
          <w:szCs w:val="20"/>
          <w:rtl/>
        </w:rPr>
        <w:t>ורבי</w:t>
      </w:r>
      <w:r w:rsidRPr="000B45F2">
        <w:rPr>
          <w:rFonts w:cs="Arial"/>
          <w:sz w:val="20"/>
          <w:szCs w:val="20"/>
          <w:rtl/>
        </w:rPr>
        <w:t xml:space="preserve"> </w:t>
      </w:r>
      <w:r w:rsidRPr="000B45F2">
        <w:rPr>
          <w:rFonts w:cs="Arial" w:hint="cs"/>
          <w:sz w:val="20"/>
          <w:szCs w:val="20"/>
          <w:rtl/>
        </w:rPr>
        <w:t>יוסי</w:t>
      </w:r>
      <w:r w:rsidRPr="000B45F2">
        <w:rPr>
          <w:rFonts w:cs="Arial"/>
          <w:sz w:val="20"/>
          <w:szCs w:val="20"/>
          <w:rtl/>
        </w:rPr>
        <w:t xml:space="preserve"> </w:t>
      </w:r>
      <w:r w:rsidRPr="000B45F2">
        <w:rPr>
          <w:rFonts w:cs="Arial" w:hint="cs"/>
          <w:sz w:val="20"/>
          <w:szCs w:val="20"/>
          <w:rtl/>
        </w:rPr>
        <w:t>ורבי</w:t>
      </w:r>
      <w:r w:rsidRPr="000B45F2">
        <w:rPr>
          <w:rFonts w:cs="Arial"/>
          <w:sz w:val="20"/>
          <w:szCs w:val="20"/>
          <w:rtl/>
        </w:rPr>
        <w:t xml:space="preserve"> </w:t>
      </w:r>
      <w:r w:rsidRPr="000B45F2">
        <w:rPr>
          <w:rFonts w:cs="Arial" w:hint="cs"/>
          <w:sz w:val="20"/>
          <w:szCs w:val="20"/>
          <w:rtl/>
        </w:rPr>
        <w:t>שמעון</w:t>
      </w:r>
      <w:r w:rsidRPr="000B45F2">
        <w:rPr>
          <w:rFonts w:cs="Arial"/>
          <w:sz w:val="20"/>
          <w:szCs w:val="20"/>
          <w:rtl/>
        </w:rPr>
        <w:t xml:space="preserve"> </w:t>
      </w:r>
      <w:r w:rsidRPr="000B45F2">
        <w:rPr>
          <w:rFonts w:cs="Arial" w:hint="cs"/>
          <w:sz w:val="20"/>
          <w:szCs w:val="20"/>
          <w:rtl/>
        </w:rPr>
        <w:t>אומרים</w:t>
      </w:r>
      <w:r w:rsidRPr="000B45F2">
        <w:rPr>
          <w:rFonts w:cs="Arial"/>
          <w:sz w:val="20"/>
          <w:szCs w:val="20"/>
          <w:rtl/>
        </w:rPr>
        <w:t xml:space="preserve">: </w:t>
      </w:r>
      <w:r w:rsidRPr="000B45F2">
        <w:rPr>
          <w:rFonts w:cs="Arial" w:hint="cs"/>
          <w:sz w:val="20"/>
          <w:szCs w:val="20"/>
          <w:rtl/>
        </w:rPr>
        <w:t>דיין</w:t>
      </w:r>
      <w:r w:rsidRPr="000B45F2">
        <w:rPr>
          <w:rFonts w:cs="Arial"/>
          <w:sz w:val="20"/>
          <w:szCs w:val="20"/>
          <w:rtl/>
        </w:rPr>
        <w:t xml:space="preserve"> </w:t>
      </w:r>
      <w:r w:rsidRPr="000B45F2">
        <w:rPr>
          <w:rFonts w:cs="Arial" w:hint="cs"/>
          <w:sz w:val="20"/>
          <w:szCs w:val="20"/>
          <w:rtl/>
        </w:rPr>
        <w:t>שעתן</w:t>
      </w:r>
      <w:r w:rsidRPr="000B45F2">
        <w:rPr>
          <w:rFonts w:cs="Arial"/>
          <w:sz w:val="20"/>
          <w:szCs w:val="20"/>
          <w:rtl/>
        </w:rPr>
        <w:t xml:space="preserve"> </w:t>
      </w:r>
      <w:r w:rsidRPr="000B45F2">
        <w:rPr>
          <w:rFonts w:cs="Arial" w:hint="cs"/>
          <w:sz w:val="20"/>
          <w:szCs w:val="20"/>
          <w:rtl/>
        </w:rPr>
        <w:t>כל</w:t>
      </w:r>
      <w:r w:rsidRPr="000B45F2">
        <w:rPr>
          <w:rFonts w:cs="Arial"/>
          <w:sz w:val="20"/>
          <w:szCs w:val="20"/>
          <w:rtl/>
        </w:rPr>
        <w:t xml:space="preserve"> </w:t>
      </w:r>
      <w:r w:rsidRPr="000B45F2">
        <w:rPr>
          <w:rFonts w:cs="Arial" w:hint="cs"/>
          <w:sz w:val="20"/>
          <w:szCs w:val="20"/>
          <w:rtl/>
        </w:rPr>
        <w:t>עשרים</w:t>
      </w:r>
      <w:r w:rsidRPr="000B45F2">
        <w:rPr>
          <w:rFonts w:cs="Arial"/>
          <w:sz w:val="20"/>
          <w:szCs w:val="20"/>
          <w:rtl/>
        </w:rPr>
        <w:t xml:space="preserve"> </w:t>
      </w:r>
      <w:r w:rsidRPr="000B45F2">
        <w:rPr>
          <w:rFonts w:cs="Arial" w:hint="cs"/>
          <w:sz w:val="20"/>
          <w:szCs w:val="20"/>
          <w:rtl/>
        </w:rPr>
        <w:t>וארבע</w:t>
      </w:r>
      <w:r w:rsidRPr="000B45F2">
        <w:rPr>
          <w:rFonts w:cs="Arial"/>
          <w:sz w:val="20"/>
          <w:szCs w:val="20"/>
          <w:rtl/>
        </w:rPr>
        <w:t xml:space="preserve"> </w:t>
      </w:r>
      <w:r w:rsidRPr="000B45F2">
        <w:rPr>
          <w:rFonts w:cs="Arial" w:hint="cs"/>
          <w:sz w:val="20"/>
          <w:szCs w:val="20"/>
          <w:rtl/>
        </w:rPr>
        <w:t>חדש</w:t>
      </w:r>
      <w:r w:rsidRPr="000B45F2">
        <w:rPr>
          <w:rFonts w:cs="Arial"/>
          <w:sz w:val="20"/>
          <w:szCs w:val="20"/>
          <w:rtl/>
        </w:rPr>
        <w:t xml:space="preserve">, </w:t>
      </w:r>
      <w:r w:rsidRPr="000B45F2">
        <w:rPr>
          <w:rFonts w:cs="Arial" w:hint="cs"/>
          <w:sz w:val="20"/>
          <w:szCs w:val="20"/>
          <w:rtl/>
        </w:rPr>
        <w:t>לפיכך</w:t>
      </w:r>
      <w:r w:rsidRPr="000B45F2">
        <w:rPr>
          <w:rFonts w:cs="Arial"/>
          <w:sz w:val="20"/>
          <w:szCs w:val="20"/>
          <w:rtl/>
        </w:rPr>
        <w:t xml:space="preserve">, </w:t>
      </w:r>
      <w:r w:rsidRPr="000B45F2">
        <w:rPr>
          <w:rFonts w:cs="Arial" w:hint="cs"/>
          <w:sz w:val="20"/>
          <w:szCs w:val="20"/>
          <w:rtl/>
        </w:rPr>
        <w:t>אם</w:t>
      </w:r>
      <w:r w:rsidRPr="000B45F2">
        <w:rPr>
          <w:rFonts w:cs="Arial"/>
          <w:sz w:val="20"/>
          <w:szCs w:val="20"/>
          <w:rtl/>
        </w:rPr>
        <w:t xml:space="preserve"> </w:t>
      </w:r>
      <w:r w:rsidRPr="000B45F2">
        <w:rPr>
          <w:rFonts w:cs="Arial" w:hint="cs"/>
          <w:sz w:val="20"/>
          <w:szCs w:val="20"/>
          <w:rtl/>
        </w:rPr>
        <w:t>היתה</w:t>
      </w:r>
      <w:r w:rsidRPr="000B45F2">
        <w:rPr>
          <w:rFonts w:cs="Arial"/>
          <w:sz w:val="20"/>
          <w:szCs w:val="20"/>
          <w:rtl/>
        </w:rPr>
        <w:t xml:space="preserve"> </w:t>
      </w:r>
      <w:r w:rsidRPr="000B45F2">
        <w:rPr>
          <w:rFonts w:cs="Arial" w:hint="cs"/>
          <w:sz w:val="20"/>
          <w:szCs w:val="20"/>
          <w:rtl/>
        </w:rPr>
        <w:t>מניקתו</w:t>
      </w:r>
      <w:r w:rsidRPr="000B45F2">
        <w:rPr>
          <w:rFonts w:cs="Arial"/>
          <w:sz w:val="20"/>
          <w:szCs w:val="20"/>
          <w:rtl/>
        </w:rPr>
        <w:t xml:space="preserve"> </w:t>
      </w:r>
      <w:r w:rsidRPr="000B45F2">
        <w:rPr>
          <w:rFonts w:cs="Arial" w:hint="cs"/>
          <w:sz w:val="20"/>
          <w:szCs w:val="20"/>
          <w:rtl/>
        </w:rPr>
        <w:t>ארבע</w:t>
      </w:r>
      <w:r w:rsidRPr="000B45F2">
        <w:rPr>
          <w:rFonts w:cs="Arial"/>
          <w:sz w:val="20"/>
          <w:szCs w:val="20"/>
          <w:rtl/>
        </w:rPr>
        <w:t xml:space="preserve"> </w:t>
      </w:r>
      <w:r w:rsidRPr="000B45F2">
        <w:rPr>
          <w:rFonts w:cs="Arial" w:hint="cs"/>
          <w:sz w:val="20"/>
          <w:szCs w:val="20"/>
          <w:rtl/>
        </w:rPr>
        <w:t>וחמש</w:t>
      </w:r>
      <w:r w:rsidRPr="000B45F2">
        <w:rPr>
          <w:rFonts w:cs="Arial"/>
          <w:sz w:val="20"/>
          <w:szCs w:val="20"/>
          <w:rtl/>
        </w:rPr>
        <w:t xml:space="preserve"> </w:t>
      </w:r>
      <w:r w:rsidRPr="000B45F2">
        <w:rPr>
          <w:rFonts w:cs="Arial" w:hint="cs"/>
          <w:sz w:val="20"/>
          <w:szCs w:val="20"/>
          <w:rtl/>
        </w:rPr>
        <w:t>שנים</w:t>
      </w:r>
      <w:r w:rsidRPr="000B45F2">
        <w:rPr>
          <w:rFonts w:cs="Arial"/>
          <w:sz w:val="20"/>
          <w:szCs w:val="20"/>
          <w:rtl/>
        </w:rPr>
        <w:t xml:space="preserve"> - </w:t>
      </w:r>
      <w:r w:rsidRPr="000B45F2">
        <w:rPr>
          <w:rFonts w:cs="Arial" w:hint="cs"/>
          <w:sz w:val="20"/>
          <w:szCs w:val="20"/>
          <w:rtl/>
        </w:rPr>
        <w:t>מטמאה</w:t>
      </w:r>
      <w:r w:rsidRPr="000B45F2">
        <w:rPr>
          <w:rFonts w:cs="Arial"/>
          <w:sz w:val="20"/>
          <w:szCs w:val="20"/>
          <w:rtl/>
        </w:rPr>
        <w:t xml:space="preserve"> </w:t>
      </w:r>
      <w:r w:rsidRPr="000B45F2">
        <w:rPr>
          <w:rFonts w:cs="Arial" w:hint="cs"/>
          <w:sz w:val="20"/>
          <w:szCs w:val="20"/>
          <w:rtl/>
        </w:rPr>
        <w:t>מעת</w:t>
      </w:r>
      <w:r w:rsidRPr="000B45F2">
        <w:rPr>
          <w:rFonts w:cs="Arial"/>
          <w:sz w:val="20"/>
          <w:szCs w:val="20"/>
          <w:rtl/>
        </w:rPr>
        <w:t xml:space="preserve"> </w:t>
      </w:r>
      <w:r w:rsidRPr="000B45F2">
        <w:rPr>
          <w:rFonts w:cs="Arial" w:hint="cs"/>
          <w:sz w:val="20"/>
          <w:szCs w:val="20"/>
          <w:rtl/>
        </w:rPr>
        <w:t>לעת</w:t>
      </w:r>
      <w:r w:rsidRPr="000B45F2">
        <w:rPr>
          <w:rFonts w:cs="Arial"/>
          <w:sz w:val="20"/>
          <w:szCs w:val="20"/>
          <w:rtl/>
        </w:rPr>
        <w:t xml:space="preserve"> </w:t>
      </w:r>
      <w:r w:rsidRPr="000B45F2">
        <w:rPr>
          <w:rFonts w:cs="Arial" w:hint="cs"/>
          <w:sz w:val="20"/>
          <w:szCs w:val="20"/>
          <w:rtl/>
        </w:rPr>
        <w:t>ומפקידה</w:t>
      </w:r>
      <w:r w:rsidRPr="000B45F2">
        <w:rPr>
          <w:rFonts w:cs="Arial"/>
          <w:sz w:val="20"/>
          <w:szCs w:val="20"/>
          <w:rtl/>
        </w:rPr>
        <w:t xml:space="preserve"> </w:t>
      </w:r>
      <w:r w:rsidRPr="000B45F2">
        <w:rPr>
          <w:rFonts w:cs="Arial" w:hint="cs"/>
          <w:sz w:val="20"/>
          <w:szCs w:val="20"/>
          <w:rtl/>
        </w:rPr>
        <w:t>לפקידה</w:t>
      </w:r>
      <w:r w:rsidRPr="000B45F2">
        <w:rPr>
          <w:rFonts w:cs="Arial"/>
          <w:sz w:val="20"/>
          <w:szCs w:val="20"/>
          <w:rtl/>
        </w:rPr>
        <w:t xml:space="preserve">. </w:t>
      </w:r>
      <w:r w:rsidRPr="000B45F2">
        <w:rPr>
          <w:rFonts w:cs="Arial" w:hint="cs"/>
          <w:sz w:val="20"/>
          <w:szCs w:val="20"/>
          <w:rtl/>
        </w:rPr>
        <w:t>כשתמצא</w:t>
      </w:r>
      <w:r w:rsidRPr="000B45F2">
        <w:rPr>
          <w:rFonts w:cs="Arial"/>
          <w:sz w:val="20"/>
          <w:szCs w:val="20"/>
          <w:rtl/>
        </w:rPr>
        <w:t xml:space="preserve"> </w:t>
      </w:r>
      <w:r w:rsidRPr="000B45F2">
        <w:rPr>
          <w:rFonts w:cs="Arial" w:hint="cs"/>
          <w:sz w:val="20"/>
          <w:szCs w:val="20"/>
          <w:rtl/>
        </w:rPr>
        <w:t>לומר</w:t>
      </w:r>
      <w:r w:rsidRPr="000B45F2">
        <w:rPr>
          <w:rFonts w:cs="Arial"/>
          <w:sz w:val="20"/>
          <w:szCs w:val="20"/>
          <w:rtl/>
        </w:rPr>
        <w:t xml:space="preserve">, </w:t>
      </w:r>
      <w:r w:rsidRPr="000B45F2">
        <w:rPr>
          <w:rFonts w:cs="Arial" w:hint="cs"/>
          <w:sz w:val="20"/>
          <w:szCs w:val="20"/>
          <w:rtl/>
        </w:rPr>
        <w:t>לדברי</w:t>
      </w:r>
      <w:r w:rsidRPr="000B45F2">
        <w:rPr>
          <w:rFonts w:cs="Arial"/>
          <w:sz w:val="20"/>
          <w:szCs w:val="20"/>
          <w:rtl/>
        </w:rPr>
        <w:t xml:space="preserve"> </w:t>
      </w:r>
      <w:r w:rsidRPr="000B45F2">
        <w:rPr>
          <w:rFonts w:cs="Arial" w:hint="cs"/>
          <w:sz w:val="20"/>
          <w:szCs w:val="20"/>
          <w:rtl/>
        </w:rPr>
        <w:t>ר</w:t>
      </w:r>
      <w:r>
        <w:rPr>
          <w:rFonts w:cs="Arial" w:hint="cs"/>
          <w:sz w:val="20"/>
          <w:szCs w:val="20"/>
          <w:rtl/>
        </w:rPr>
        <w:t>בי מאיר</w:t>
      </w:r>
      <w:r w:rsidRPr="000B45F2">
        <w:rPr>
          <w:rFonts w:cs="Arial"/>
          <w:sz w:val="20"/>
          <w:szCs w:val="20"/>
          <w:rtl/>
        </w:rPr>
        <w:t xml:space="preserve"> - </w:t>
      </w:r>
      <w:r w:rsidRPr="000B45F2">
        <w:rPr>
          <w:rFonts w:cs="Arial" w:hint="cs"/>
          <w:sz w:val="20"/>
          <w:szCs w:val="20"/>
          <w:rtl/>
        </w:rPr>
        <w:t>דם</w:t>
      </w:r>
      <w:r w:rsidRPr="000B45F2">
        <w:rPr>
          <w:rFonts w:cs="Arial"/>
          <w:sz w:val="20"/>
          <w:szCs w:val="20"/>
          <w:rtl/>
        </w:rPr>
        <w:t xml:space="preserve"> </w:t>
      </w:r>
      <w:r w:rsidRPr="000B45F2">
        <w:rPr>
          <w:rFonts w:cs="Arial" w:hint="cs"/>
          <w:sz w:val="20"/>
          <w:szCs w:val="20"/>
          <w:rtl/>
        </w:rPr>
        <w:t>נעכר</w:t>
      </w:r>
      <w:r w:rsidRPr="000B45F2">
        <w:rPr>
          <w:rFonts w:cs="Arial"/>
          <w:sz w:val="20"/>
          <w:szCs w:val="20"/>
          <w:rtl/>
        </w:rPr>
        <w:t xml:space="preserve"> </w:t>
      </w:r>
      <w:r w:rsidRPr="000B45F2">
        <w:rPr>
          <w:rFonts w:cs="Arial" w:hint="cs"/>
          <w:sz w:val="20"/>
          <w:szCs w:val="20"/>
          <w:rtl/>
        </w:rPr>
        <w:t>ונעשה</w:t>
      </w:r>
      <w:r w:rsidRPr="000B45F2">
        <w:rPr>
          <w:rFonts w:cs="Arial"/>
          <w:sz w:val="20"/>
          <w:szCs w:val="20"/>
          <w:rtl/>
        </w:rPr>
        <w:t xml:space="preserve"> </w:t>
      </w:r>
      <w:r w:rsidRPr="000B45F2">
        <w:rPr>
          <w:rFonts w:cs="Arial" w:hint="cs"/>
          <w:sz w:val="20"/>
          <w:szCs w:val="20"/>
          <w:rtl/>
        </w:rPr>
        <w:t>חלב</w:t>
      </w:r>
      <w:r w:rsidRPr="000B45F2">
        <w:rPr>
          <w:rFonts w:cs="Arial"/>
          <w:sz w:val="20"/>
          <w:szCs w:val="20"/>
          <w:rtl/>
        </w:rPr>
        <w:t xml:space="preserve">, </w:t>
      </w:r>
      <w:r w:rsidRPr="000B45F2">
        <w:rPr>
          <w:rFonts w:cs="Arial" w:hint="cs"/>
          <w:sz w:val="20"/>
          <w:szCs w:val="20"/>
          <w:rtl/>
        </w:rPr>
        <w:t>לדברי</w:t>
      </w:r>
      <w:r w:rsidRPr="000B45F2">
        <w:rPr>
          <w:rFonts w:cs="Arial"/>
          <w:sz w:val="20"/>
          <w:szCs w:val="20"/>
          <w:rtl/>
        </w:rPr>
        <w:t xml:space="preserve"> </w:t>
      </w:r>
      <w:r w:rsidRPr="000B45F2">
        <w:rPr>
          <w:rFonts w:cs="Arial" w:hint="cs"/>
          <w:sz w:val="20"/>
          <w:szCs w:val="20"/>
          <w:rtl/>
        </w:rPr>
        <w:t>רבי</w:t>
      </w:r>
      <w:r w:rsidRPr="000B45F2">
        <w:rPr>
          <w:rFonts w:cs="Arial"/>
          <w:sz w:val="20"/>
          <w:szCs w:val="20"/>
          <w:rtl/>
        </w:rPr>
        <w:t xml:space="preserve"> </w:t>
      </w:r>
      <w:r w:rsidRPr="000B45F2">
        <w:rPr>
          <w:rFonts w:cs="Arial" w:hint="cs"/>
          <w:sz w:val="20"/>
          <w:szCs w:val="20"/>
          <w:rtl/>
        </w:rPr>
        <w:t>יוסי</w:t>
      </w:r>
      <w:r w:rsidRPr="000B45F2">
        <w:rPr>
          <w:rFonts w:cs="Arial"/>
          <w:sz w:val="20"/>
          <w:szCs w:val="20"/>
          <w:rtl/>
        </w:rPr>
        <w:t xml:space="preserve"> </w:t>
      </w:r>
      <w:r w:rsidRPr="000B45F2">
        <w:rPr>
          <w:rFonts w:cs="Arial" w:hint="cs"/>
          <w:sz w:val="20"/>
          <w:szCs w:val="20"/>
          <w:rtl/>
        </w:rPr>
        <w:t>ורבי</w:t>
      </w:r>
      <w:r w:rsidRPr="000B45F2">
        <w:rPr>
          <w:rFonts w:cs="Arial"/>
          <w:sz w:val="20"/>
          <w:szCs w:val="20"/>
          <w:rtl/>
        </w:rPr>
        <w:t xml:space="preserve"> </w:t>
      </w:r>
      <w:r w:rsidRPr="000B45F2">
        <w:rPr>
          <w:rFonts w:cs="Arial" w:hint="cs"/>
          <w:sz w:val="20"/>
          <w:szCs w:val="20"/>
          <w:rtl/>
        </w:rPr>
        <w:t>יהודה</w:t>
      </w:r>
      <w:r w:rsidRPr="000B45F2">
        <w:rPr>
          <w:rFonts w:cs="Arial"/>
          <w:sz w:val="20"/>
          <w:szCs w:val="20"/>
          <w:rtl/>
        </w:rPr>
        <w:t xml:space="preserve"> </w:t>
      </w:r>
      <w:r w:rsidRPr="000B45F2">
        <w:rPr>
          <w:rFonts w:cs="Arial" w:hint="cs"/>
          <w:sz w:val="20"/>
          <w:szCs w:val="20"/>
          <w:rtl/>
        </w:rPr>
        <w:t>ורבי</w:t>
      </w:r>
      <w:r w:rsidRPr="000B45F2">
        <w:rPr>
          <w:rFonts w:cs="Arial"/>
          <w:sz w:val="20"/>
          <w:szCs w:val="20"/>
          <w:rtl/>
        </w:rPr>
        <w:t xml:space="preserve"> </w:t>
      </w:r>
      <w:r w:rsidRPr="000B45F2">
        <w:rPr>
          <w:rFonts w:cs="Arial" w:hint="cs"/>
          <w:sz w:val="20"/>
          <w:szCs w:val="20"/>
          <w:rtl/>
        </w:rPr>
        <w:t>שמעון</w:t>
      </w:r>
      <w:r w:rsidRPr="000B45F2">
        <w:rPr>
          <w:rFonts w:cs="Arial"/>
          <w:sz w:val="20"/>
          <w:szCs w:val="20"/>
          <w:rtl/>
        </w:rPr>
        <w:t xml:space="preserve"> - </w:t>
      </w:r>
      <w:r w:rsidRPr="000B45F2">
        <w:rPr>
          <w:rFonts w:cs="Arial" w:hint="cs"/>
          <w:sz w:val="20"/>
          <w:szCs w:val="20"/>
          <w:rtl/>
        </w:rPr>
        <w:t>אבריה</w:t>
      </w:r>
      <w:r w:rsidRPr="000B45F2">
        <w:rPr>
          <w:rFonts w:cs="Arial"/>
          <w:sz w:val="20"/>
          <w:szCs w:val="20"/>
          <w:rtl/>
        </w:rPr>
        <w:t xml:space="preserve"> </w:t>
      </w:r>
      <w:r w:rsidRPr="000B45F2">
        <w:rPr>
          <w:rFonts w:cs="Arial" w:hint="cs"/>
          <w:sz w:val="20"/>
          <w:szCs w:val="20"/>
          <w:rtl/>
        </w:rPr>
        <w:t>מתפרקין</w:t>
      </w:r>
      <w:r w:rsidRPr="000B45F2">
        <w:rPr>
          <w:rFonts w:cs="Arial"/>
          <w:sz w:val="20"/>
          <w:szCs w:val="20"/>
          <w:rtl/>
        </w:rPr>
        <w:t xml:space="preserve">, </w:t>
      </w:r>
      <w:r w:rsidRPr="000B45F2">
        <w:rPr>
          <w:rFonts w:cs="Arial" w:hint="cs"/>
          <w:sz w:val="20"/>
          <w:szCs w:val="20"/>
          <w:rtl/>
        </w:rPr>
        <w:t>ואין</w:t>
      </w:r>
      <w:r w:rsidRPr="000B45F2">
        <w:rPr>
          <w:rFonts w:cs="Arial"/>
          <w:sz w:val="20"/>
          <w:szCs w:val="20"/>
          <w:rtl/>
        </w:rPr>
        <w:t xml:space="preserve"> </w:t>
      </w:r>
      <w:r w:rsidRPr="000B45F2">
        <w:rPr>
          <w:rFonts w:cs="Arial" w:hint="cs"/>
          <w:sz w:val="20"/>
          <w:szCs w:val="20"/>
          <w:rtl/>
        </w:rPr>
        <w:t>נפשה</w:t>
      </w:r>
      <w:r>
        <w:rPr>
          <w:rFonts w:cs="Arial" w:hint="cs"/>
          <w:sz w:val="20"/>
          <w:szCs w:val="20"/>
          <w:rtl/>
        </w:rPr>
        <w:t xml:space="preserve"> </w:t>
      </w:r>
      <w:r w:rsidRPr="006A6FCC">
        <w:rPr>
          <w:rFonts w:cs="Arial" w:hint="cs"/>
          <w:sz w:val="18"/>
          <w:szCs w:val="18"/>
          <w:rtl/>
        </w:rPr>
        <w:t>(דמה)</w:t>
      </w:r>
      <w:r w:rsidRPr="006A6FCC">
        <w:rPr>
          <w:rFonts w:cs="Arial"/>
          <w:sz w:val="18"/>
          <w:szCs w:val="18"/>
          <w:rtl/>
        </w:rPr>
        <w:t xml:space="preserve"> </w:t>
      </w:r>
      <w:r w:rsidRPr="000B45F2">
        <w:rPr>
          <w:rFonts w:cs="Arial" w:hint="cs"/>
          <w:sz w:val="20"/>
          <w:szCs w:val="20"/>
          <w:rtl/>
        </w:rPr>
        <w:t>חוזרת</w:t>
      </w:r>
      <w:r w:rsidRPr="000B45F2">
        <w:rPr>
          <w:rFonts w:cs="Arial"/>
          <w:sz w:val="20"/>
          <w:szCs w:val="20"/>
          <w:rtl/>
        </w:rPr>
        <w:t xml:space="preserve"> </w:t>
      </w:r>
      <w:r w:rsidRPr="000B45F2">
        <w:rPr>
          <w:rFonts w:cs="Arial" w:hint="cs"/>
          <w:sz w:val="20"/>
          <w:szCs w:val="20"/>
          <w:rtl/>
        </w:rPr>
        <w:t>עד</w:t>
      </w:r>
      <w:r w:rsidRPr="000B45F2">
        <w:rPr>
          <w:rFonts w:cs="Arial"/>
          <w:sz w:val="20"/>
          <w:szCs w:val="20"/>
          <w:rtl/>
        </w:rPr>
        <w:t xml:space="preserve"> </w:t>
      </w:r>
      <w:r w:rsidRPr="000B45F2">
        <w:rPr>
          <w:rFonts w:cs="Arial" w:hint="cs"/>
          <w:sz w:val="20"/>
          <w:szCs w:val="20"/>
          <w:rtl/>
        </w:rPr>
        <w:t>עשרים</w:t>
      </w:r>
      <w:r w:rsidRPr="000B45F2">
        <w:rPr>
          <w:rFonts w:cs="Arial"/>
          <w:sz w:val="20"/>
          <w:szCs w:val="20"/>
          <w:rtl/>
        </w:rPr>
        <w:t xml:space="preserve"> </w:t>
      </w:r>
      <w:r w:rsidRPr="000B45F2">
        <w:rPr>
          <w:rFonts w:cs="Arial" w:hint="cs"/>
          <w:sz w:val="20"/>
          <w:szCs w:val="20"/>
          <w:rtl/>
        </w:rPr>
        <w:t>וארבע</w:t>
      </w:r>
      <w:r w:rsidRPr="000B45F2">
        <w:rPr>
          <w:rFonts w:cs="Arial"/>
          <w:sz w:val="20"/>
          <w:szCs w:val="20"/>
          <w:rtl/>
        </w:rPr>
        <w:t xml:space="preserve"> </w:t>
      </w:r>
      <w:r w:rsidRPr="000B45F2">
        <w:rPr>
          <w:rFonts w:cs="Arial" w:hint="cs"/>
          <w:sz w:val="20"/>
          <w:szCs w:val="20"/>
          <w:rtl/>
        </w:rPr>
        <w:t>חדש</w:t>
      </w:r>
      <w:r>
        <w:rPr>
          <w:rFonts w:cs="Arial" w:hint="cs"/>
          <w:sz w:val="20"/>
          <w:szCs w:val="20"/>
          <w:rtl/>
        </w:rPr>
        <w:t>"</w:t>
      </w:r>
      <w:r w:rsidRPr="000B45F2">
        <w:rPr>
          <w:rFonts w:cs="Arial"/>
          <w:sz w:val="20"/>
          <w:szCs w:val="20"/>
          <w:rtl/>
        </w:rPr>
        <w:t>.</w:t>
      </w:r>
      <w:r>
        <w:rPr>
          <w:rFonts w:hint="cs"/>
          <w:b/>
          <w:bCs/>
          <w:sz w:val="20"/>
          <w:szCs w:val="20"/>
          <w:rtl/>
        </w:rPr>
        <w:br/>
      </w:r>
      <w:r w:rsidRPr="00475EFE">
        <w:rPr>
          <w:rFonts w:hint="cs"/>
          <w:b/>
          <w:bCs/>
          <w:sz w:val="20"/>
          <w:szCs w:val="20"/>
          <w:rtl/>
        </w:rPr>
        <w:t>בית יוסף</w:t>
      </w:r>
      <w:r>
        <w:rPr>
          <w:rFonts w:hint="cs"/>
          <w:sz w:val="20"/>
          <w:szCs w:val="20"/>
          <w:rtl/>
        </w:rPr>
        <w:t xml:space="preserve"> </w:t>
      </w:r>
      <w:r>
        <w:rPr>
          <w:sz w:val="20"/>
          <w:szCs w:val="20"/>
          <w:rtl/>
        </w:rPr>
        <w:t>–</w:t>
      </w:r>
      <w:r>
        <w:rPr>
          <w:rFonts w:hint="cs"/>
          <w:sz w:val="20"/>
          <w:szCs w:val="20"/>
          <w:rtl/>
        </w:rPr>
        <w:t xml:space="preserve"> הראשונים פסקו כרבי יהודה ורבי שמעון, ולכן אפילו אם מת בנה דיה שעתה כל כד' חודש.</w:t>
      </w:r>
    </w:p>
    <w:p w:rsidR="00620060" w:rsidRDefault="00620060" w:rsidP="00620060">
      <w:pPr>
        <w:rPr>
          <w:sz w:val="20"/>
          <w:szCs w:val="20"/>
          <w:rtl/>
        </w:rPr>
      </w:pPr>
      <w:r>
        <w:rPr>
          <w:rFonts w:hint="cs"/>
          <w:b/>
          <w:bCs/>
          <w:sz w:val="20"/>
          <w:szCs w:val="20"/>
          <w:rtl/>
        </w:rPr>
        <w:t>שיטות הראשונים</w:t>
      </w:r>
      <w:r>
        <w:rPr>
          <w:b/>
          <w:bCs/>
          <w:sz w:val="20"/>
          <w:szCs w:val="20"/>
          <w:rtl/>
        </w:rPr>
        <w:br/>
      </w:r>
      <w:r>
        <w:rPr>
          <w:rFonts w:hint="cs"/>
          <w:sz w:val="20"/>
          <w:szCs w:val="20"/>
          <w:rtl/>
        </w:rPr>
        <w:t>האם מעוברת ומניקה קובעות ווסת בימי עיבורן והנקתן, וכן האם חוששות לראייתן כווסת שאינו קבוע?</w:t>
      </w:r>
      <w:r>
        <w:rPr>
          <w:rFonts w:hint="cs"/>
          <w:sz w:val="20"/>
          <w:szCs w:val="20"/>
          <w:rtl/>
        </w:rPr>
        <w:br/>
        <w:t xml:space="preserve">א. </w:t>
      </w:r>
      <w:r w:rsidRPr="00AC357E">
        <w:rPr>
          <w:rFonts w:hint="cs"/>
          <w:b/>
          <w:bCs/>
          <w:sz w:val="20"/>
          <w:szCs w:val="20"/>
          <w:rtl/>
        </w:rPr>
        <w:t>רשב"א</w:t>
      </w:r>
      <w:r>
        <w:rPr>
          <w:rFonts w:hint="cs"/>
          <w:sz w:val="20"/>
          <w:szCs w:val="20"/>
          <w:rtl/>
        </w:rPr>
        <w:t xml:space="preserve"> </w:t>
      </w:r>
      <w:r w:rsidRPr="00AC357E">
        <w:rPr>
          <w:rFonts w:hint="cs"/>
          <w:sz w:val="18"/>
          <w:szCs w:val="18"/>
          <w:rtl/>
        </w:rPr>
        <w:t xml:space="preserve">(בהוה אמינא) </w:t>
      </w:r>
      <w:r>
        <w:rPr>
          <w:sz w:val="20"/>
          <w:szCs w:val="20"/>
          <w:rtl/>
        </w:rPr>
        <w:t>–</w:t>
      </w:r>
      <w:r>
        <w:rPr>
          <w:rFonts w:hint="cs"/>
          <w:sz w:val="20"/>
          <w:szCs w:val="20"/>
          <w:rtl/>
        </w:rPr>
        <w:t xml:space="preserve"> אינן קובעות ווסת ואינן חוששות לראייה האחרונה כלל.</w:t>
      </w:r>
      <w:r>
        <w:rPr>
          <w:sz w:val="20"/>
          <w:szCs w:val="20"/>
          <w:rtl/>
        </w:rPr>
        <w:br/>
      </w:r>
      <w:r>
        <w:rPr>
          <w:rFonts w:hint="cs"/>
          <w:sz w:val="20"/>
          <w:szCs w:val="20"/>
          <w:rtl/>
        </w:rPr>
        <w:t xml:space="preserve">ב. </w:t>
      </w:r>
      <w:r w:rsidRPr="00AC357E">
        <w:rPr>
          <w:rFonts w:hint="cs"/>
          <w:b/>
          <w:bCs/>
          <w:sz w:val="20"/>
          <w:szCs w:val="20"/>
          <w:rtl/>
        </w:rPr>
        <w:t>ראב"ד</w:t>
      </w:r>
      <w:r>
        <w:rPr>
          <w:rFonts w:hint="cs"/>
          <w:sz w:val="20"/>
          <w:szCs w:val="20"/>
          <w:rtl/>
        </w:rPr>
        <w:t xml:space="preserve"> </w:t>
      </w:r>
      <w:r w:rsidRPr="00AC357E">
        <w:rPr>
          <w:rFonts w:hint="cs"/>
          <w:sz w:val="18"/>
          <w:szCs w:val="18"/>
          <w:rtl/>
        </w:rPr>
        <w:t>(</w:t>
      </w:r>
      <w:r w:rsidRPr="00AC357E">
        <w:rPr>
          <w:rFonts w:hint="cs"/>
          <w:b/>
          <w:bCs/>
          <w:sz w:val="18"/>
          <w:szCs w:val="18"/>
          <w:rtl/>
        </w:rPr>
        <w:t>ורשב"א</w:t>
      </w:r>
      <w:r w:rsidRPr="00AC357E">
        <w:rPr>
          <w:rFonts w:hint="cs"/>
          <w:sz w:val="18"/>
          <w:szCs w:val="18"/>
          <w:rtl/>
        </w:rPr>
        <w:t xml:space="preserve"> במסקנה) </w:t>
      </w:r>
      <w:r>
        <w:rPr>
          <w:sz w:val="20"/>
          <w:szCs w:val="20"/>
          <w:rtl/>
        </w:rPr>
        <w:t>–</w:t>
      </w:r>
      <w:r>
        <w:rPr>
          <w:rFonts w:hint="cs"/>
          <w:sz w:val="20"/>
          <w:szCs w:val="20"/>
          <w:rtl/>
        </w:rPr>
        <w:t xml:space="preserve"> אינן קובעות ווסת, אך חוששות לראייה האחרונה, וכ"פ </w:t>
      </w:r>
      <w:r w:rsidRPr="00580BDF">
        <w:rPr>
          <w:rFonts w:hint="cs"/>
          <w:b/>
          <w:bCs/>
          <w:sz w:val="20"/>
          <w:szCs w:val="20"/>
          <w:rtl/>
        </w:rPr>
        <w:t>המחבר.</w:t>
      </w:r>
      <w:r>
        <w:rPr>
          <w:sz w:val="20"/>
          <w:szCs w:val="20"/>
          <w:rtl/>
        </w:rPr>
        <w:br/>
      </w:r>
      <w:r>
        <w:rPr>
          <w:rFonts w:hint="cs"/>
          <w:sz w:val="20"/>
          <w:szCs w:val="20"/>
          <w:rtl/>
        </w:rPr>
        <w:t xml:space="preserve">ג. </w:t>
      </w:r>
      <w:r w:rsidRPr="00AC357E">
        <w:rPr>
          <w:rFonts w:hint="cs"/>
          <w:b/>
          <w:bCs/>
          <w:sz w:val="20"/>
          <w:szCs w:val="20"/>
          <w:rtl/>
        </w:rPr>
        <w:t>רמב"ן</w:t>
      </w:r>
      <w:r>
        <w:rPr>
          <w:rFonts w:hint="cs"/>
          <w:sz w:val="20"/>
          <w:szCs w:val="20"/>
          <w:rtl/>
        </w:rPr>
        <w:t xml:space="preserve"> </w:t>
      </w:r>
      <w:r>
        <w:rPr>
          <w:sz w:val="20"/>
          <w:szCs w:val="20"/>
          <w:rtl/>
        </w:rPr>
        <w:t>–</w:t>
      </w:r>
      <w:r>
        <w:rPr>
          <w:rFonts w:hint="cs"/>
          <w:sz w:val="20"/>
          <w:szCs w:val="20"/>
          <w:rtl/>
        </w:rPr>
        <w:t xml:space="preserve"> מניקה ומעוברת קובעות ווסת ככל שאר הנשים, וכ"פ </w:t>
      </w:r>
      <w:r w:rsidRPr="005448F3">
        <w:rPr>
          <w:rFonts w:hint="cs"/>
          <w:b/>
          <w:bCs/>
          <w:sz w:val="20"/>
          <w:szCs w:val="20"/>
          <w:rtl/>
        </w:rPr>
        <w:t>הב"ח</w:t>
      </w:r>
      <w:r>
        <w:rPr>
          <w:rFonts w:hint="cs"/>
          <w:sz w:val="20"/>
          <w:szCs w:val="20"/>
          <w:rtl/>
        </w:rPr>
        <w:t>.</w:t>
      </w:r>
      <w:r>
        <w:rPr>
          <w:rStyle w:val="a5"/>
          <w:sz w:val="20"/>
          <w:szCs w:val="20"/>
          <w:rtl/>
        </w:rPr>
        <w:footnoteReference w:id="237"/>
      </w:r>
    </w:p>
    <w:p w:rsidR="00620060" w:rsidRDefault="00620060" w:rsidP="00620060">
      <w:pPr>
        <w:rPr>
          <w:sz w:val="20"/>
          <w:szCs w:val="20"/>
          <w:rtl/>
        </w:rPr>
      </w:pPr>
      <w:r>
        <w:rPr>
          <w:rFonts w:hint="cs"/>
          <w:sz w:val="20"/>
          <w:szCs w:val="20"/>
          <w:u w:val="single"/>
          <w:rtl/>
        </w:rPr>
        <w:t>הסבר שיטת הרמב"ן</w:t>
      </w:r>
      <w:r>
        <w:rPr>
          <w:sz w:val="20"/>
          <w:szCs w:val="20"/>
          <w:u w:val="single"/>
          <w:rtl/>
        </w:rPr>
        <w:br/>
      </w:r>
      <w:r w:rsidRPr="00AC357E">
        <w:rPr>
          <w:rFonts w:hint="cs"/>
          <w:b/>
          <w:bCs/>
          <w:sz w:val="20"/>
          <w:szCs w:val="20"/>
          <w:rtl/>
        </w:rPr>
        <w:t xml:space="preserve">משנה </w:t>
      </w:r>
      <w:r>
        <w:rPr>
          <w:rFonts w:hint="cs"/>
          <w:sz w:val="20"/>
          <w:szCs w:val="20"/>
          <w:rtl/>
        </w:rPr>
        <w:t>נידה (יא.) "</w:t>
      </w:r>
      <w:r w:rsidRPr="00AC357E">
        <w:rPr>
          <w:rFonts w:cs="Arial" w:hint="cs"/>
          <w:sz w:val="20"/>
          <w:szCs w:val="20"/>
          <w:rtl/>
        </w:rPr>
        <w:t>אף</w:t>
      </w:r>
      <w:r w:rsidRPr="00AC357E">
        <w:rPr>
          <w:rFonts w:cs="Arial"/>
          <w:sz w:val="20"/>
          <w:szCs w:val="20"/>
          <w:rtl/>
        </w:rPr>
        <w:t xml:space="preserve"> </w:t>
      </w:r>
      <w:r w:rsidRPr="00AC357E">
        <w:rPr>
          <w:rFonts w:cs="Arial" w:hint="cs"/>
          <w:sz w:val="20"/>
          <w:szCs w:val="20"/>
          <w:rtl/>
        </w:rPr>
        <w:t>על</w:t>
      </w:r>
      <w:r w:rsidRPr="00AC357E">
        <w:rPr>
          <w:rFonts w:cs="Arial"/>
          <w:sz w:val="20"/>
          <w:szCs w:val="20"/>
          <w:rtl/>
        </w:rPr>
        <w:t xml:space="preserve"> </w:t>
      </w:r>
      <w:r w:rsidRPr="00AC357E">
        <w:rPr>
          <w:rFonts w:cs="Arial" w:hint="cs"/>
          <w:sz w:val="20"/>
          <w:szCs w:val="20"/>
          <w:rtl/>
        </w:rPr>
        <w:t>פי</w:t>
      </w:r>
      <w:r w:rsidRPr="00AC357E">
        <w:rPr>
          <w:rFonts w:cs="Arial"/>
          <w:sz w:val="20"/>
          <w:szCs w:val="20"/>
          <w:rtl/>
        </w:rPr>
        <w:t xml:space="preserve"> </w:t>
      </w:r>
      <w:r w:rsidRPr="00AC357E">
        <w:rPr>
          <w:rFonts w:cs="Arial" w:hint="cs"/>
          <w:sz w:val="20"/>
          <w:szCs w:val="20"/>
          <w:rtl/>
        </w:rPr>
        <w:t>שאמרו</w:t>
      </w:r>
      <w:r w:rsidRPr="00AC357E">
        <w:rPr>
          <w:rFonts w:cs="Arial"/>
          <w:sz w:val="20"/>
          <w:szCs w:val="20"/>
          <w:rtl/>
        </w:rPr>
        <w:t xml:space="preserve"> </w:t>
      </w:r>
      <w:r w:rsidRPr="00AC357E">
        <w:rPr>
          <w:rFonts w:cs="Arial" w:hint="cs"/>
          <w:sz w:val="20"/>
          <w:szCs w:val="20"/>
          <w:rtl/>
        </w:rPr>
        <w:t>דיה</w:t>
      </w:r>
      <w:r w:rsidRPr="00AC357E">
        <w:rPr>
          <w:rFonts w:cs="Arial"/>
          <w:sz w:val="20"/>
          <w:szCs w:val="20"/>
          <w:rtl/>
        </w:rPr>
        <w:t xml:space="preserve"> </w:t>
      </w:r>
      <w:r w:rsidRPr="00AC357E">
        <w:rPr>
          <w:rFonts w:cs="Arial" w:hint="cs"/>
          <w:sz w:val="20"/>
          <w:szCs w:val="20"/>
          <w:rtl/>
        </w:rPr>
        <w:t>שעתה</w:t>
      </w:r>
      <w:r w:rsidRPr="00AC357E">
        <w:rPr>
          <w:rFonts w:cs="Arial"/>
          <w:sz w:val="20"/>
          <w:szCs w:val="20"/>
          <w:rtl/>
        </w:rPr>
        <w:t xml:space="preserve"> - </w:t>
      </w:r>
      <w:r w:rsidRPr="00AC357E">
        <w:rPr>
          <w:rFonts w:cs="Arial" w:hint="cs"/>
          <w:sz w:val="20"/>
          <w:szCs w:val="20"/>
          <w:rtl/>
        </w:rPr>
        <w:t>צריכה</w:t>
      </w:r>
      <w:r w:rsidRPr="00AC357E">
        <w:rPr>
          <w:rFonts w:cs="Arial"/>
          <w:sz w:val="20"/>
          <w:szCs w:val="20"/>
          <w:rtl/>
        </w:rPr>
        <w:t xml:space="preserve"> </w:t>
      </w:r>
      <w:r w:rsidRPr="00AC357E">
        <w:rPr>
          <w:rFonts w:cs="Arial" w:hint="cs"/>
          <w:sz w:val="20"/>
          <w:szCs w:val="20"/>
          <w:rtl/>
        </w:rPr>
        <w:t>להיות</w:t>
      </w:r>
      <w:r w:rsidRPr="00AC357E">
        <w:rPr>
          <w:rFonts w:cs="Arial"/>
          <w:sz w:val="20"/>
          <w:szCs w:val="20"/>
          <w:rtl/>
        </w:rPr>
        <w:t xml:space="preserve"> </w:t>
      </w:r>
      <w:r w:rsidRPr="00AC357E">
        <w:rPr>
          <w:rFonts w:cs="Arial" w:hint="cs"/>
          <w:sz w:val="20"/>
          <w:szCs w:val="20"/>
          <w:rtl/>
        </w:rPr>
        <w:t>בודקת</w:t>
      </w:r>
      <w:r w:rsidRPr="00AC357E">
        <w:rPr>
          <w:rFonts w:cs="Arial"/>
          <w:sz w:val="20"/>
          <w:szCs w:val="20"/>
          <w:rtl/>
        </w:rPr>
        <w:t xml:space="preserve">, </w:t>
      </w:r>
      <w:r w:rsidRPr="00AC357E">
        <w:rPr>
          <w:rFonts w:cs="Arial" w:hint="cs"/>
          <w:sz w:val="20"/>
          <w:szCs w:val="20"/>
          <w:rtl/>
        </w:rPr>
        <w:t>חוץ</w:t>
      </w:r>
      <w:r w:rsidRPr="00AC357E">
        <w:rPr>
          <w:rFonts w:cs="Arial"/>
          <w:sz w:val="20"/>
          <w:szCs w:val="20"/>
          <w:rtl/>
        </w:rPr>
        <w:t xml:space="preserve"> </w:t>
      </w:r>
      <w:r w:rsidRPr="00AC357E">
        <w:rPr>
          <w:rFonts w:cs="Arial" w:hint="cs"/>
          <w:sz w:val="20"/>
          <w:szCs w:val="20"/>
          <w:rtl/>
        </w:rPr>
        <w:t>מן</w:t>
      </w:r>
      <w:r w:rsidRPr="00AC357E">
        <w:rPr>
          <w:rFonts w:cs="Arial"/>
          <w:sz w:val="20"/>
          <w:szCs w:val="20"/>
          <w:rtl/>
        </w:rPr>
        <w:t xml:space="preserve"> </w:t>
      </w:r>
      <w:r w:rsidRPr="00AC357E">
        <w:rPr>
          <w:rFonts w:cs="Arial" w:hint="cs"/>
          <w:sz w:val="20"/>
          <w:szCs w:val="20"/>
          <w:rtl/>
        </w:rPr>
        <w:t>הנדה</w:t>
      </w:r>
      <w:r w:rsidRPr="00AC357E">
        <w:rPr>
          <w:rFonts w:cs="Arial"/>
          <w:sz w:val="20"/>
          <w:szCs w:val="20"/>
          <w:rtl/>
        </w:rPr>
        <w:t xml:space="preserve"> </w:t>
      </w:r>
      <w:r w:rsidRPr="00AC357E">
        <w:rPr>
          <w:rFonts w:cs="Arial" w:hint="cs"/>
          <w:sz w:val="20"/>
          <w:szCs w:val="20"/>
          <w:rtl/>
        </w:rPr>
        <w:t>והיושבת</w:t>
      </w:r>
      <w:r w:rsidRPr="00AC357E">
        <w:rPr>
          <w:rFonts w:cs="Arial"/>
          <w:sz w:val="20"/>
          <w:szCs w:val="20"/>
          <w:rtl/>
        </w:rPr>
        <w:t xml:space="preserve"> </w:t>
      </w:r>
      <w:r w:rsidRPr="00AC357E">
        <w:rPr>
          <w:rFonts w:cs="Arial" w:hint="cs"/>
          <w:sz w:val="20"/>
          <w:szCs w:val="20"/>
          <w:rtl/>
        </w:rPr>
        <w:t>על</w:t>
      </w:r>
      <w:r w:rsidRPr="00AC357E">
        <w:rPr>
          <w:rFonts w:cs="Arial"/>
          <w:sz w:val="20"/>
          <w:szCs w:val="20"/>
          <w:rtl/>
        </w:rPr>
        <w:t xml:space="preserve"> </w:t>
      </w:r>
      <w:r w:rsidRPr="00AC357E">
        <w:rPr>
          <w:rFonts w:cs="Arial" w:hint="cs"/>
          <w:sz w:val="20"/>
          <w:szCs w:val="20"/>
          <w:rtl/>
        </w:rPr>
        <w:t>דם</w:t>
      </w:r>
      <w:r w:rsidRPr="00AC357E">
        <w:rPr>
          <w:rFonts w:cs="Arial"/>
          <w:sz w:val="20"/>
          <w:szCs w:val="20"/>
          <w:rtl/>
        </w:rPr>
        <w:t xml:space="preserve"> </w:t>
      </w:r>
      <w:r w:rsidRPr="00AC357E">
        <w:rPr>
          <w:rFonts w:cs="Arial" w:hint="cs"/>
          <w:sz w:val="20"/>
          <w:szCs w:val="20"/>
          <w:rtl/>
        </w:rPr>
        <w:t>טוהר</w:t>
      </w:r>
      <w:r>
        <w:rPr>
          <w:rFonts w:cs="Arial" w:hint="cs"/>
          <w:sz w:val="20"/>
          <w:szCs w:val="20"/>
          <w:rtl/>
        </w:rPr>
        <w:t>".</w:t>
      </w:r>
      <w:r>
        <w:rPr>
          <w:sz w:val="20"/>
          <w:szCs w:val="20"/>
          <w:rtl/>
        </w:rPr>
        <w:br/>
      </w:r>
      <w:r w:rsidRPr="00175AF7">
        <w:rPr>
          <w:rFonts w:hint="cs"/>
          <w:b/>
          <w:bCs/>
          <w:sz w:val="20"/>
          <w:szCs w:val="20"/>
          <w:rtl/>
        </w:rPr>
        <w:t>גמרא</w:t>
      </w:r>
      <w:r>
        <w:rPr>
          <w:rFonts w:hint="cs"/>
          <w:sz w:val="20"/>
          <w:szCs w:val="20"/>
          <w:rtl/>
        </w:rPr>
        <w:t xml:space="preserve"> (שם, וע"ב) "</w:t>
      </w:r>
      <w:r w:rsidRPr="00832D52">
        <w:rPr>
          <w:rFonts w:cs="Arial" w:hint="cs"/>
          <w:sz w:val="20"/>
          <w:szCs w:val="20"/>
          <w:rtl/>
        </w:rPr>
        <w:t>והיושבת</w:t>
      </w:r>
      <w:r w:rsidRPr="00832D52">
        <w:rPr>
          <w:rFonts w:cs="Arial"/>
          <w:sz w:val="20"/>
          <w:szCs w:val="20"/>
          <w:rtl/>
        </w:rPr>
        <w:t xml:space="preserve"> </w:t>
      </w:r>
      <w:r w:rsidRPr="00832D52">
        <w:rPr>
          <w:rFonts w:cs="Arial" w:hint="cs"/>
          <w:sz w:val="20"/>
          <w:szCs w:val="20"/>
          <w:rtl/>
        </w:rPr>
        <w:t>על</w:t>
      </w:r>
      <w:r w:rsidRPr="00832D52">
        <w:rPr>
          <w:rFonts w:cs="Arial"/>
          <w:sz w:val="20"/>
          <w:szCs w:val="20"/>
          <w:rtl/>
        </w:rPr>
        <w:t xml:space="preserve"> </w:t>
      </w:r>
      <w:r w:rsidRPr="00832D52">
        <w:rPr>
          <w:rFonts w:cs="Arial" w:hint="cs"/>
          <w:sz w:val="20"/>
          <w:szCs w:val="20"/>
          <w:rtl/>
        </w:rPr>
        <w:t>דם</w:t>
      </w:r>
      <w:r w:rsidRPr="00832D52">
        <w:rPr>
          <w:rFonts w:cs="Arial"/>
          <w:sz w:val="20"/>
          <w:szCs w:val="20"/>
          <w:rtl/>
        </w:rPr>
        <w:t xml:space="preserve"> </w:t>
      </w:r>
      <w:r w:rsidRPr="00832D52">
        <w:rPr>
          <w:rFonts w:cs="Arial" w:hint="cs"/>
          <w:sz w:val="20"/>
          <w:szCs w:val="20"/>
          <w:rtl/>
        </w:rPr>
        <w:t>טוהר</w:t>
      </w:r>
      <w:r w:rsidRPr="00832D52">
        <w:rPr>
          <w:rFonts w:cs="Arial"/>
          <w:sz w:val="20"/>
          <w:szCs w:val="20"/>
          <w:rtl/>
        </w:rPr>
        <w:t xml:space="preserve">. </w:t>
      </w:r>
      <w:r w:rsidRPr="00832D52">
        <w:rPr>
          <w:rFonts w:cs="Arial" w:hint="cs"/>
          <w:sz w:val="20"/>
          <w:szCs w:val="20"/>
          <w:rtl/>
        </w:rPr>
        <w:t>קס</w:t>
      </w:r>
      <w:r w:rsidRPr="00832D52">
        <w:rPr>
          <w:rFonts w:cs="Arial"/>
          <w:sz w:val="20"/>
          <w:szCs w:val="20"/>
          <w:rtl/>
        </w:rPr>
        <w:t>"</w:t>
      </w:r>
      <w:r w:rsidRPr="00832D52">
        <w:rPr>
          <w:rFonts w:cs="Arial" w:hint="cs"/>
          <w:sz w:val="20"/>
          <w:szCs w:val="20"/>
          <w:rtl/>
        </w:rPr>
        <w:t>ד</w:t>
      </w:r>
      <w:r w:rsidRPr="00832D52">
        <w:rPr>
          <w:rFonts w:cs="Arial"/>
          <w:sz w:val="20"/>
          <w:szCs w:val="20"/>
          <w:rtl/>
        </w:rPr>
        <w:t xml:space="preserve">: </w:t>
      </w:r>
      <w:r w:rsidRPr="00832D52">
        <w:rPr>
          <w:rFonts w:cs="Arial" w:hint="cs"/>
          <w:sz w:val="20"/>
          <w:szCs w:val="20"/>
          <w:rtl/>
        </w:rPr>
        <w:t>מבקשת</w:t>
      </w:r>
      <w:r w:rsidRPr="00832D52">
        <w:rPr>
          <w:rFonts w:cs="Arial"/>
          <w:sz w:val="20"/>
          <w:szCs w:val="20"/>
          <w:rtl/>
        </w:rPr>
        <w:t xml:space="preserve"> </w:t>
      </w:r>
      <w:r w:rsidRPr="00832D52">
        <w:rPr>
          <w:rFonts w:cs="Arial" w:hint="cs"/>
          <w:sz w:val="20"/>
          <w:szCs w:val="20"/>
          <w:rtl/>
        </w:rPr>
        <w:t>לישב</w:t>
      </w:r>
      <w:r w:rsidRPr="00832D52">
        <w:rPr>
          <w:rFonts w:cs="Arial"/>
          <w:sz w:val="20"/>
          <w:szCs w:val="20"/>
          <w:rtl/>
        </w:rPr>
        <w:t xml:space="preserve"> </w:t>
      </w:r>
      <w:r w:rsidRPr="00832D52">
        <w:rPr>
          <w:rFonts w:cs="Arial" w:hint="cs"/>
          <w:sz w:val="20"/>
          <w:szCs w:val="20"/>
          <w:rtl/>
        </w:rPr>
        <w:t>על</w:t>
      </w:r>
      <w:r w:rsidRPr="00832D52">
        <w:rPr>
          <w:rFonts w:cs="Arial"/>
          <w:sz w:val="20"/>
          <w:szCs w:val="20"/>
          <w:rtl/>
        </w:rPr>
        <w:t xml:space="preserve"> </w:t>
      </w:r>
      <w:r w:rsidRPr="00832D52">
        <w:rPr>
          <w:rFonts w:cs="Arial" w:hint="cs"/>
          <w:sz w:val="20"/>
          <w:szCs w:val="20"/>
          <w:rtl/>
        </w:rPr>
        <w:t>דם</w:t>
      </w:r>
      <w:r w:rsidRPr="00832D52">
        <w:rPr>
          <w:rFonts w:cs="Arial"/>
          <w:sz w:val="20"/>
          <w:szCs w:val="20"/>
          <w:rtl/>
        </w:rPr>
        <w:t xml:space="preserve"> </w:t>
      </w:r>
      <w:r w:rsidRPr="00832D52">
        <w:rPr>
          <w:rFonts w:cs="Arial" w:hint="cs"/>
          <w:sz w:val="20"/>
          <w:szCs w:val="20"/>
          <w:rtl/>
        </w:rPr>
        <w:t>טוהר</w:t>
      </w:r>
      <w:r w:rsidRPr="00832D52">
        <w:rPr>
          <w:rFonts w:cs="Arial"/>
          <w:sz w:val="20"/>
          <w:szCs w:val="20"/>
          <w:rtl/>
        </w:rPr>
        <w:t xml:space="preserve">; </w:t>
      </w:r>
      <w:r w:rsidRPr="00832D52">
        <w:rPr>
          <w:rFonts w:cs="Arial" w:hint="cs"/>
          <w:sz w:val="20"/>
          <w:szCs w:val="20"/>
          <w:rtl/>
        </w:rPr>
        <w:t>הניחא</w:t>
      </w:r>
      <w:r w:rsidRPr="00832D52">
        <w:rPr>
          <w:rFonts w:cs="Arial"/>
          <w:sz w:val="20"/>
          <w:szCs w:val="20"/>
          <w:rtl/>
        </w:rPr>
        <w:t xml:space="preserve"> </w:t>
      </w:r>
      <w:r w:rsidRPr="00832D52">
        <w:rPr>
          <w:rFonts w:cs="Arial" w:hint="cs"/>
          <w:sz w:val="20"/>
          <w:szCs w:val="20"/>
          <w:rtl/>
        </w:rPr>
        <w:t>לרב</w:t>
      </w:r>
      <w:r w:rsidRPr="00832D52">
        <w:rPr>
          <w:rFonts w:cs="Arial"/>
          <w:sz w:val="20"/>
          <w:szCs w:val="20"/>
          <w:rtl/>
        </w:rPr>
        <w:t xml:space="preserve"> </w:t>
      </w:r>
      <w:r w:rsidRPr="00832D52">
        <w:rPr>
          <w:rFonts w:cs="Arial" w:hint="cs"/>
          <w:sz w:val="20"/>
          <w:szCs w:val="20"/>
          <w:rtl/>
        </w:rPr>
        <w:t>דאמר</w:t>
      </w:r>
      <w:r w:rsidRPr="00832D52">
        <w:rPr>
          <w:rFonts w:cs="Arial"/>
          <w:sz w:val="20"/>
          <w:szCs w:val="20"/>
          <w:rtl/>
        </w:rPr>
        <w:t xml:space="preserve"> </w:t>
      </w:r>
      <w:r w:rsidRPr="00832D52">
        <w:rPr>
          <w:rFonts w:cs="Arial" w:hint="cs"/>
          <w:sz w:val="20"/>
          <w:szCs w:val="20"/>
          <w:rtl/>
        </w:rPr>
        <w:t>מעין</w:t>
      </w:r>
      <w:r w:rsidRPr="00832D52">
        <w:rPr>
          <w:rFonts w:cs="Arial"/>
          <w:sz w:val="20"/>
          <w:szCs w:val="20"/>
          <w:rtl/>
        </w:rPr>
        <w:t xml:space="preserve"> </w:t>
      </w:r>
      <w:r w:rsidRPr="00832D52">
        <w:rPr>
          <w:rFonts w:cs="Arial" w:hint="cs"/>
          <w:sz w:val="20"/>
          <w:szCs w:val="20"/>
          <w:rtl/>
        </w:rPr>
        <w:t>אחד</w:t>
      </w:r>
      <w:r w:rsidRPr="00832D52">
        <w:rPr>
          <w:rFonts w:cs="Arial"/>
          <w:sz w:val="20"/>
          <w:szCs w:val="20"/>
          <w:rtl/>
        </w:rPr>
        <w:t xml:space="preserve"> </w:t>
      </w:r>
      <w:r w:rsidRPr="00832D52">
        <w:rPr>
          <w:rFonts w:cs="Arial" w:hint="cs"/>
          <w:sz w:val="20"/>
          <w:szCs w:val="20"/>
          <w:rtl/>
        </w:rPr>
        <w:lastRenderedPageBreak/>
        <w:t>הוא</w:t>
      </w:r>
      <w:r w:rsidRPr="00832D52">
        <w:rPr>
          <w:rFonts w:cs="Arial"/>
          <w:sz w:val="20"/>
          <w:szCs w:val="20"/>
          <w:rtl/>
        </w:rPr>
        <w:t xml:space="preserve">, </w:t>
      </w:r>
      <w:r w:rsidRPr="00832D52">
        <w:rPr>
          <w:rFonts w:cs="Arial" w:hint="cs"/>
          <w:sz w:val="20"/>
          <w:szCs w:val="20"/>
          <w:rtl/>
        </w:rPr>
        <w:t>התורה</w:t>
      </w:r>
      <w:r w:rsidRPr="00832D52">
        <w:rPr>
          <w:rFonts w:cs="Arial"/>
          <w:sz w:val="20"/>
          <w:szCs w:val="20"/>
          <w:rtl/>
        </w:rPr>
        <w:t xml:space="preserve"> </w:t>
      </w:r>
      <w:r w:rsidRPr="00832D52">
        <w:rPr>
          <w:rFonts w:cs="Arial" w:hint="cs"/>
          <w:sz w:val="20"/>
          <w:szCs w:val="20"/>
          <w:rtl/>
        </w:rPr>
        <w:t>טמאתו</w:t>
      </w:r>
      <w:r w:rsidRPr="00832D52">
        <w:rPr>
          <w:rFonts w:cs="Arial"/>
          <w:sz w:val="20"/>
          <w:szCs w:val="20"/>
          <w:rtl/>
        </w:rPr>
        <w:t xml:space="preserve"> </w:t>
      </w:r>
      <w:r w:rsidRPr="00832D52">
        <w:rPr>
          <w:rFonts w:cs="Arial" w:hint="cs"/>
          <w:sz w:val="20"/>
          <w:szCs w:val="20"/>
          <w:rtl/>
        </w:rPr>
        <w:t>והתורה</w:t>
      </w:r>
      <w:r w:rsidRPr="00832D52">
        <w:rPr>
          <w:rFonts w:cs="Arial"/>
          <w:sz w:val="20"/>
          <w:szCs w:val="20"/>
          <w:rtl/>
        </w:rPr>
        <w:t xml:space="preserve"> </w:t>
      </w:r>
      <w:r w:rsidRPr="00832D52">
        <w:rPr>
          <w:rFonts w:cs="Arial" w:hint="cs"/>
          <w:sz w:val="20"/>
          <w:szCs w:val="20"/>
          <w:rtl/>
        </w:rPr>
        <w:t>טהרתו</w:t>
      </w:r>
      <w:r w:rsidRPr="00832D52">
        <w:rPr>
          <w:rFonts w:cs="Arial"/>
          <w:sz w:val="20"/>
          <w:szCs w:val="20"/>
          <w:rtl/>
        </w:rPr>
        <w:t xml:space="preserve"> </w:t>
      </w:r>
      <w:r>
        <w:rPr>
          <w:rFonts w:cs="Arial"/>
          <w:sz w:val="20"/>
          <w:szCs w:val="20"/>
          <w:rtl/>
        </w:rPr>
        <w:t>–</w:t>
      </w:r>
      <w:r w:rsidRPr="00832D52">
        <w:rPr>
          <w:rFonts w:cs="Arial"/>
          <w:sz w:val="20"/>
          <w:szCs w:val="20"/>
          <w:rtl/>
        </w:rPr>
        <w:t xml:space="preserve"> </w:t>
      </w:r>
      <w:r w:rsidRPr="00832D52">
        <w:rPr>
          <w:rFonts w:cs="Arial" w:hint="cs"/>
          <w:sz w:val="20"/>
          <w:szCs w:val="20"/>
          <w:rtl/>
        </w:rPr>
        <w:t>שפיר</w:t>
      </w:r>
      <w:r>
        <w:rPr>
          <w:rFonts w:cs="Arial" w:hint="cs"/>
          <w:sz w:val="20"/>
          <w:szCs w:val="20"/>
          <w:rtl/>
        </w:rPr>
        <w:t xml:space="preserve"> </w:t>
      </w:r>
      <w:r w:rsidRPr="00C84D3F">
        <w:rPr>
          <w:rFonts w:cs="Arial" w:hint="cs"/>
          <w:sz w:val="18"/>
          <w:szCs w:val="18"/>
          <w:rtl/>
        </w:rPr>
        <w:t>(שאינה בודקת, משום שאפילו אם אינה פוסקת לראות דם טהורה מכוח גזירת הכתוב)</w:t>
      </w:r>
      <w:r w:rsidRPr="00832D52">
        <w:rPr>
          <w:rFonts w:cs="Arial"/>
          <w:sz w:val="20"/>
          <w:szCs w:val="20"/>
          <w:rtl/>
        </w:rPr>
        <w:t xml:space="preserve">, </w:t>
      </w:r>
      <w:r w:rsidRPr="00832D52">
        <w:rPr>
          <w:rFonts w:cs="Arial" w:hint="cs"/>
          <w:sz w:val="20"/>
          <w:szCs w:val="20"/>
          <w:rtl/>
        </w:rPr>
        <w:t>אלא</w:t>
      </w:r>
      <w:r w:rsidRPr="00832D52">
        <w:rPr>
          <w:rFonts w:cs="Arial"/>
          <w:sz w:val="20"/>
          <w:szCs w:val="20"/>
          <w:rtl/>
        </w:rPr>
        <w:t xml:space="preserve"> </w:t>
      </w:r>
      <w:r w:rsidRPr="00832D52">
        <w:rPr>
          <w:rFonts w:cs="Arial" w:hint="cs"/>
          <w:sz w:val="20"/>
          <w:szCs w:val="20"/>
          <w:rtl/>
        </w:rPr>
        <w:t>ללוי</w:t>
      </w:r>
      <w:r w:rsidRPr="00832D52">
        <w:rPr>
          <w:rFonts w:cs="Arial"/>
          <w:sz w:val="20"/>
          <w:szCs w:val="20"/>
          <w:rtl/>
        </w:rPr>
        <w:t xml:space="preserve">, </w:t>
      </w:r>
      <w:r w:rsidRPr="00832D52">
        <w:rPr>
          <w:rFonts w:cs="Arial" w:hint="cs"/>
          <w:sz w:val="20"/>
          <w:szCs w:val="20"/>
          <w:rtl/>
        </w:rPr>
        <w:t>דאמר</w:t>
      </w:r>
      <w:r w:rsidRPr="00832D52">
        <w:rPr>
          <w:rFonts w:cs="Arial"/>
          <w:sz w:val="20"/>
          <w:szCs w:val="20"/>
          <w:rtl/>
        </w:rPr>
        <w:t xml:space="preserve"> </w:t>
      </w:r>
      <w:r w:rsidRPr="00832D52">
        <w:rPr>
          <w:rFonts w:cs="Arial" w:hint="cs"/>
          <w:sz w:val="20"/>
          <w:szCs w:val="20"/>
          <w:rtl/>
        </w:rPr>
        <w:t>שני</w:t>
      </w:r>
      <w:r w:rsidRPr="00832D52">
        <w:rPr>
          <w:rFonts w:cs="Arial"/>
          <w:sz w:val="20"/>
          <w:szCs w:val="20"/>
          <w:rtl/>
        </w:rPr>
        <w:t xml:space="preserve"> </w:t>
      </w:r>
      <w:r w:rsidRPr="00832D52">
        <w:rPr>
          <w:rFonts w:cs="Arial" w:hint="cs"/>
          <w:sz w:val="20"/>
          <w:szCs w:val="20"/>
          <w:rtl/>
        </w:rPr>
        <w:t>מעינות</w:t>
      </w:r>
      <w:r w:rsidRPr="00832D52">
        <w:rPr>
          <w:rFonts w:cs="Arial"/>
          <w:sz w:val="20"/>
          <w:szCs w:val="20"/>
          <w:rtl/>
        </w:rPr>
        <w:t xml:space="preserve"> </w:t>
      </w:r>
      <w:r w:rsidRPr="00832D52">
        <w:rPr>
          <w:rFonts w:cs="Arial" w:hint="cs"/>
          <w:sz w:val="20"/>
          <w:szCs w:val="20"/>
          <w:rtl/>
        </w:rPr>
        <w:t>הם</w:t>
      </w:r>
      <w:r w:rsidRPr="00832D52">
        <w:rPr>
          <w:rFonts w:cs="Arial"/>
          <w:sz w:val="20"/>
          <w:szCs w:val="20"/>
          <w:rtl/>
        </w:rPr>
        <w:t xml:space="preserve"> </w:t>
      </w:r>
      <w:r w:rsidRPr="00DC63CE">
        <w:rPr>
          <w:rFonts w:cs="Arial" w:hint="cs"/>
          <w:sz w:val="18"/>
          <w:szCs w:val="18"/>
          <w:rtl/>
        </w:rPr>
        <w:t xml:space="preserve">(שני מקורות דם שונים) </w:t>
      </w:r>
      <w:r w:rsidRPr="00832D52">
        <w:rPr>
          <w:rFonts w:cs="Arial"/>
          <w:sz w:val="20"/>
          <w:szCs w:val="20"/>
          <w:rtl/>
        </w:rPr>
        <w:t xml:space="preserve">- </w:t>
      </w:r>
      <w:r w:rsidRPr="00832D52">
        <w:rPr>
          <w:rFonts w:cs="Arial" w:hint="cs"/>
          <w:sz w:val="20"/>
          <w:szCs w:val="20"/>
          <w:rtl/>
        </w:rPr>
        <w:t>תבדוק</w:t>
      </w:r>
      <w:r w:rsidRPr="00832D52">
        <w:rPr>
          <w:rFonts w:cs="Arial"/>
          <w:sz w:val="20"/>
          <w:szCs w:val="20"/>
          <w:rtl/>
        </w:rPr>
        <w:t xml:space="preserve">, </w:t>
      </w:r>
      <w:r w:rsidRPr="00832D52">
        <w:rPr>
          <w:rFonts w:cs="Arial" w:hint="cs"/>
          <w:sz w:val="20"/>
          <w:szCs w:val="20"/>
          <w:rtl/>
        </w:rPr>
        <w:t>דילמא</w:t>
      </w:r>
      <w:r w:rsidRPr="00832D52">
        <w:rPr>
          <w:rFonts w:cs="Arial"/>
          <w:sz w:val="20"/>
          <w:szCs w:val="20"/>
          <w:rtl/>
        </w:rPr>
        <w:t xml:space="preserve"> </w:t>
      </w:r>
      <w:r w:rsidRPr="00832D52">
        <w:rPr>
          <w:rFonts w:cs="Arial" w:hint="cs"/>
          <w:sz w:val="20"/>
          <w:szCs w:val="20"/>
          <w:rtl/>
        </w:rPr>
        <w:t>אכתי</w:t>
      </w:r>
      <w:r w:rsidRPr="00832D52">
        <w:rPr>
          <w:rFonts w:cs="Arial"/>
          <w:sz w:val="20"/>
          <w:szCs w:val="20"/>
          <w:rtl/>
        </w:rPr>
        <w:t xml:space="preserve"> </w:t>
      </w:r>
      <w:r w:rsidRPr="00832D52">
        <w:rPr>
          <w:rFonts w:cs="Arial" w:hint="cs"/>
          <w:sz w:val="20"/>
          <w:szCs w:val="20"/>
          <w:rtl/>
        </w:rPr>
        <w:t>לא</w:t>
      </w:r>
      <w:r w:rsidRPr="00832D52">
        <w:rPr>
          <w:rFonts w:cs="Arial"/>
          <w:sz w:val="20"/>
          <w:szCs w:val="20"/>
          <w:rtl/>
        </w:rPr>
        <w:t xml:space="preserve"> </w:t>
      </w:r>
      <w:r w:rsidRPr="00832D52">
        <w:rPr>
          <w:rFonts w:cs="Arial" w:hint="cs"/>
          <w:sz w:val="20"/>
          <w:szCs w:val="20"/>
          <w:rtl/>
        </w:rPr>
        <w:t>פסק</w:t>
      </w:r>
      <w:r w:rsidRPr="00832D52">
        <w:rPr>
          <w:rFonts w:cs="Arial"/>
          <w:sz w:val="20"/>
          <w:szCs w:val="20"/>
          <w:rtl/>
        </w:rPr>
        <w:t xml:space="preserve"> </w:t>
      </w:r>
      <w:r w:rsidRPr="00832D52">
        <w:rPr>
          <w:rFonts w:cs="Arial" w:hint="cs"/>
          <w:sz w:val="20"/>
          <w:szCs w:val="20"/>
          <w:rtl/>
        </w:rPr>
        <w:t>ההוא</w:t>
      </w:r>
      <w:r w:rsidRPr="00832D52">
        <w:rPr>
          <w:rFonts w:cs="Arial"/>
          <w:sz w:val="20"/>
          <w:szCs w:val="20"/>
          <w:rtl/>
        </w:rPr>
        <w:t xml:space="preserve"> </w:t>
      </w:r>
      <w:r w:rsidRPr="00832D52">
        <w:rPr>
          <w:rFonts w:cs="Arial" w:hint="cs"/>
          <w:sz w:val="20"/>
          <w:szCs w:val="20"/>
          <w:rtl/>
        </w:rPr>
        <w:t>מעין</w:t>
      </w:r>
      <w:r w:rsidRPr="00832D52">
        <w:rPr>
          <w:rFonts w:cs="Arial"/>
          <w:sz w:val="20"/>
          <w:szCs w:val="20"/>
          <w:rtl/>
        </w:rPr>
        <w:t xml:space="preserve"> </w:t>
      </w:r>
      <w:r w:rsidRPr="00832D52">
        <w:rPr>
          <w:rFonts w:cs="Arial" w:hint="cs"/>
          <w:sz w:val="20"/>
          <w:szCs w:val="20"/>
          <w:rtl/>
        </w:rPr>
        <w:t>טמא</w:t>
      </w:r>
      <w:r w:rsidRPr="00832D52">
        <w:rPr>
          <w:rFonts w:cs="Arial"/>
          <w:sz w:val="20"/>
          <w:szCs w:val="20"/>
          <w:rtl/>
        </w:rPr>
        <w:t>!</w:t>
      </w:r>
      <w:r>
        <w:rPr>
          <w:rFonts w:cs="Arial" w:hint="cs"/>
          <w:sz w:val="20"/>
          <w:szCs w:val="20"/>
          <w:rtl/>
        </w:rPr>
        <w:t>...</w:t>
      </w:r>
      <w:r w:rsidRPr="00832D52">
        <w:rPr>
          <w:rFonts w:cs="Arial"/>
          <w:sz w:val="20"/>
          <w:szCs w:val="20"/>
          <w:rtl/>
        </w:rPr>
        <w:t xml:space="preserve"> </w:t>
      </w:r>
      <w:r w:rsidRPr="00832D52">
        <w:rPr>
          <w:rFonts w:cs="Arial" w:hint="cs"/>
          <w:sz w:val="20"/>
          <w:szCs w:val="20"/>
          <w:rtl/>
        </w:rPr>
        <w:t>מי</w:t>
      </w:r>
      <w:r w:rsidRPr="00832D52">
        <w:rPr>
          <w:rFonts w:cs="Arial"/>
          <w:sz w:val="20"/>
          <w:szCs w:val="20"/>
          <w:rtl/>
        </w:rPr>
        <w:t xml:space="preserve"> </w:t>
      </w:r>
      <w:r w:rsidRPr="00832D52">
        <w:rPr>
          <w:rFonts w:cs="Arial" w:hint="cs"/>
          <w:sz w:val="20"/>
          <w:szCs w:val="20"/>
          <w:rtl/>
        </w:rPr>
        <w:t>קתני</w:t>
      </w:r>
      <w:r w:rsidRPr="00832D52">
        <w:rPr>
          <w:rFonts w:cs="Arial"/>
          <w:sz w:val="20"/>
          <w:szCs w:val="20"/>
          <w:rtl/>
        </w:rPr>
        <w:t xml:space="preserve"> </w:t>
      </w:r>
      <w:r w:rsidRPr="00832D52">
        <w:rPr>
          <w:rFonts w:cs="Arial" w:hint="cs"/>
          <w:sz w:val="20"/>
          <w:szCs w:val="20"/>
          <w:rtl/>
        </w:rPr>
        <w:t>מבקשת</w:t>
      </w:r>
      <w:r w:rsidRPr="00832D52">
        <w:rPr>
          <w:rFonts w:cs="Arial"/>
          <w:sz w:val="20"/>
          <w:szCs w:val="20"/>
          <w:rtl/>
        </w:rPr>
        <w:t xml:space="preserve"> </w:t>
      </w:r>
      <w:r w:rsidRPr="00832D52">
        <w:rPr>
          <w:rFonts w:cs="Arial" w:hint="cs"/>
          <w:sz w:val="20"/>
          <w:szCs w:val="20"/>
          <w:rtl/>
        </w:rPr>
        <w:t>לישב</w:t>
      </w:r>
      <w:r w:rsidRPr="00832D52">
        <w:rPr>
          <w:rFonts w:cs="Arial"/>
          <w:sz w:val="20"/>
          <w:szCs w:val="20"/>
          <w:rtl/>
        </w:rPr>
        <w:t xml:space="preserve">? </w:t>
      </w:r>
      <w:r w:rsidRPr="00832D52">
        <w:rPr>
          <w:rFonts w:cs="Arial" w:hint="cs"/>
          <w:sz w:val="20"/>
          <w:szCs w:val="20"/>
          <w:rtl/>
        </w:rPr>
        <w:t>יושבת</w:t>
      </w:r>
      <w:r w:rsidRPr="00832D52">
        <w:rPr>
          <w:rFonts w:cs="Arial"/>
          <w:sz w:val="20"/>
          <w:szCs w:val="20"/>
          <w:rtl/>
        </w:rPr>
        <w:t xml:space="preserve"> </w:t>
      </w:r>
      <w:r w:rsidRPr="00832D52">
        <w:rPr>
          <w:rFonts w:cs="Arial" w:hint="cs"/>
          <w:sz w:val="20"/>
          <w:szCs w:val="20"/>
          <w:rtl/>
        </w:rPr>
        <w:t>קתני</w:t>
      </w:r>
      <w:r>
        <w:rPr>
          <w:rFonts w:cs="Arial" w:hint="cs"/>
          <w:sz w:val="20"/>
          <w:szCs w:val="20"/>
          <w:rtl/>
        </w:rPr>
        <w:t xml:space="preserve"> </w:t>
      </w:r>
      <w:r w:rsidRPr="00F81257">
        <w:rPr>
          <w:rFonts w:cs="Arial" w:hint="cs"/>
          <w:sz w:val="18"/>
          <w:szCs w:val="18"/>
          <w:rtl/>
        </w:rPr>
        <w:t>(היושבת על דם טוהר אינה צריכה בדיקה)</w:t>
      </w:r>
      <w:r w:rsidRPr="00832D52">
        <w:rPr>
          <w:rFonts w:cs="Arial"/>
          <w:sz w:val="20"/>
          <w:szCs w:val="20"/>
          <w:rtl/>
        </w:rPr>
        <w:t xml:space="preserve">. </w:t>
      </w:r>
      <w:r w:rsidRPr="00832D52">
        <w:rPr>
          <w:rFonts w:cs="Arial" w:hint="cs"/>
          <w:sz w:val="20"/>
          <w:szCs w:val="20"/>
          <w:rtl/>
        </w:rPr>
        <w:t>אי</w:t>
      </w:r>
      <w:r w:rsidRPr="00832D52">
        <w:rPr>
          <w:rFonts w:cs="Arial"/>
          <w:sz w:val="20"/>
          <w:szCs w:val="20"/>
          <w:rtl/>
        </w:rPr>
        <w:t xml:space="preserve"> </w:t>
      </w:r>
      <w:r w:rsidRPr="00832D52">
        <w:rPr>
          <w:rFonts w:cs="Arial" w:hint="cs"/>
          <w:sz w:val="20"/>
          <w:szCs w:val="20"/>
          <w:rtl/>
        </w:rPr>
        <w:t>יושבת</w:t>
      </w:r>
      <w:r w:rsidRPr="00832D52">
        <w:rPr>
          <w:rFonts w:cs="Arial"/>
          <w:sz w:val="20"/>
          <w:szCs w:val="20"/>
          <w:rtl/>
        </w:rPr>
        <w:t xml:space="preserve"> - </w:t>
      </w:r>
      <w:r w:rsidRPr="00832D52">
        <w:rPr>
          <w:rFonts w:cs="Arial" w:hint="cs"/>
          <w:sz w:val="20"/>
          <w:szCs w:val="20"/>
          <w:rtl/>
        </w:rPr>
        <w:t>מאי</w:t>
      </w:r>
      <w:r w:rsidRPr="00832D52">
        <w:rPr>
          <w:rFonts w:cs="Arial"/>
          <w:sz w:val="20"/>
          <w:szCs w:val="20"/>
          <w:rtl/>
        </w:rPr>
        <w:t xml:space="preserve"> </w:t>
      </w:r>
      <w:r w:rsidRPr="00832D52">
        <w:rPr>
          <w:rFonts w:cs="Arial" w:hint="cs"/>
          <w:sz w:val="20"/>
          <w:szCs w:val="20"/>
          <w:rtl/>
        </w:rPr>
        <w:t>למימרא</w:t>
      </w:r>
      <w:r w:rsidRPr="00832D52">
        <w:rPr>
          <w:rFonts w:cs="Arial"/>
          <w:sz w:val="20"/>
          <w:szCs w:val="20"/>
          <w:rtl/>
        </w:rPr>
        <w:t xml:space="preserve">? </w:t>
      </w:r>
      <w:r w:rsidRPr="00832D52">
        <w:rPr>
          <w:rFonts w:cs="Arial" w:hint="cs"/>
          <w:sz w:val="20"/>
          <w:szCs w:val="20"/>
          <w:rtl/>
        </w:rPr>
        <w:t>מהו</w:t>
      </w:r>
      <w:r w:rsidRPr="00832D52">
        <w:rPr>
          <w:rFonts w:cs="Arial"/>
          <w:sz w:val="20"/>
          <w:szCs w:val="20"/>
          <w:rtl/>
        </w:rPr>
        <w:t xml:space="preserve"> </w:t>
      </w:r>
      <w:r w:rsidRPr="00832D52">
        <w:rPr>
          <w:rFonts w:cs="Arial" w:hint="cs"/>
          <w:sz w:val="20"/>
          <w:szCs w:val="20"/>
          <w:rtl/>
        </w:rPr>
        <w:t>דתימא</w:t>
      </w:r>
      <w:r w:rsidRPr="00832D52">
        <w:rPr>
          <w:rFonts w:cs="Arial"/>
          <w:sz w:val="20"/>
          <w:szCs w:val="20"/>
          <w:rtl/>
        </w:rPr>
        <w:t xml:space="preserve">: </w:t>
      </w:r>
      <w:r w:rsidRPr="00832D52">
        <w:rPr>
          <w:rFonts w:cs="Arial" w:hint="cs"/>
          <w:sz w:val="20"/>
          <w:szCs w:val="20"/>
          <w:rtl/>
        </w:rPr>
        <w:t>תיבדוק</w:t>
      </w:r>
      <w:r w:rsidRPr="00832D52">
        <w:rPr>
          <w:rFonts w:cs="Arial"/>
          <w:sz w:val="20"/>
          <w:szCs w:val="20"/>
          <w:rtl/>
        </w:rPr>
        <w:t xml:space="preserve">, </w:t>
      </w:r>
      <w:r w:rsidRPr="00832D52">
        <w:rPr>
          <w:rFonts w:cs="Arial" w:hint="cs"/>
          <w:sz w:val="20"/>
          <w:szCs w:val="20"/>
          <w:rtl/>
        </w:rPr>
        <w:t>דדילמא</w:t>
      </w:r>
      <w:r w:rsidRPr="00832D52">
        <w:rPr>
          <w:rFonts w:cs="Arial"/>
          <w:sz w:val="20"/>
          <w:szCs w:val="20"/>
          <w:rtl/>
        </w:rPr>
        <w:t xml:space="preserve"> </w:t>
      </w:r>
      <w:r w:rsidRPr="00832D52">
        <w:rPr>
          <w:rFonts w:cs="Arial" w:hint="cs"/>
          <w:sz w:val="20"/>
          <w:szCs w:val="20"/>
          <w:rtl/>
        </w:rPr>
        <w:t>קבעה</w:t>
      </w:r>
      <w:r w:rsidRPr="00832D52">
        <w:rPr>
          <w:rFonts w:cs="Arial"/>
          <w:sz w:val="20"/>
          <w:szCs w:val="20"/>
          <w:rtl/>
        </w:rPr>
        <w:t xml:space="preserve"> </w:t>
      </w:r>
      <w:r w:rsidRPr="00832D52">
        <w:rPr>
          <w:rFonts w:cs="Arial" w:hint="cs"/>
          <w:sz w:val="20"/>
          <w:szCs w:val="20"/>
          <w:rtl/>
        </w:rPr>
        <w:t>לה</w:t>
      </w:r>
      <w:r w:rsidRPr="00832D52">
        <w:rPr>
          <w:rFonts w:cs="Arial"/>
          <w:sz w:val="20"/>
          <w:szCs w:val="20"/>
          <w:rtl/>
        </w:rPr>
        <w:t xml:space="preserve"> </w:t>
      </w:r>
      <w:r w:rsidRPr="00832D52">
        <w:rPr>
          <w:rFonts w:cs="Arial" w:hint="cs"/>
          <w:sz w:val="20"/>
          <w:szCs w:val="20"/>
          <w:rtl/>
        </w:rPr>
        <w:t>וסת</w:t>
      </w:r>
      <w:r w:rsidRPr="00832D52">
        <w:rPr>
          <w:rFonts w:cs="Arial"/>
          <w:sz w:val="20"/>
          <w:szCs w:val="20"/>
          <w:rtl/>
        </w:rPr>
        <w:t xml:space="preserve"> - </w:t>
      </w:r>
      <w:r w:rsidRPr="00832D52">
        <w:rPr>
          <w:rFonts w:cs="Arial" w:hint="cs"/>
          <w:sz w:val="20"/>
          <w:szCs w:val="20"/>
          <w:rtl/>
        </w:rPr>
        <w:t>קמ</w:t>
      </w:r>
      <w:r w:rsidRPr="00832D52">
        <w:rPr>
          <w:rFonts w:cs="Arial"/>
          <w:sz w:val="20"/>
          <w:szCs w:val="20"/>
          <w:rtl/>
        </w:rPr>
        <w:t>"</w:t>
      </w:r>
      <w:r w:rsidRPr="00832D52">
        <w:rPr>
          <w:rFonts w:cs="Arial" w:hint="cs"/>
          <w:sz w:val="20"/>
          <w:szCs w:val="20"/>
          <w:rtl/>
        </w:rPr>
        <w:t>ל</w:t>
      </w:r>
      <w:r w:rsidRPr="00832D52">
        <w:rPr>
          <w:rFonts w:cs="Arial"/>
          <w:sz w:val="20"/>
          <w:szCs w:val="20"/>
          <w:rtl/>
        </w:rPr>
        <w:t xml:space="preserve"> </w:t>
      </w:r>
      <w:r w:rsidRPr="00832D52">
        <w:rPr>
          <w:rFonts w:cs="Arial" w:hint="cs"/>
          <w:sz w:val="20"/>
          <w:szCs w:val="20"/>
          <w:rtl/>
        </w:rPr>
        <w:t>דמעין</w:t>
      </w:r>
      <w:r w:rsidRPr="00832D52">
        <w:rPr>
          <w:rFonts w:cs="Arial"/>
          <w:sz w:val="20"/>
          <w:szCs w:val="20"/>
          <w:rtl/>
        </w:rPr>
        <w:t xml:space="preserve"> </w:t>
      </w:r>
      <w:r w:rsidRPr="00832D52">
        <w:rPr>
          <w:rFonts w:cs="Arial" w:hint="cs"/>
          <w:sz w:val="20"/>
          <w:szCs w:val="20"/>
          <w:rtl/>
        </w:rPr>
        <w:t>טהור</w:t>
      </w:r>
      <w:r w:rsidRPr="00832D52">
        <w:rPr>
          <w:rFonts w:cs="Arial"/>
          <w:sz w:val="20"/>
          <w:szCs w:val="20"/>
          <w:rtl/>
        </w:rPr>
        <w:t xml:space="preserve"> </w:t>
      </w:r>
      <w:r w:rsidRPr="00832D52">
        <w:rPr>
          <w:rFonts w:cs="Arial" w:hint="cs"/>
          <w:sz w:val="20"/>
          <w:szCs w:val="20"/>
          <w:rtl/>
        </w:rPr>
        <w:t>למעין</w:t>
      </w:r>
      <w:r w:rsidRPr="00832D52">
        <w:rPr>
          <w:rFonts w:cs="Arial"/>
          <w:sz w:val="20"/>
          <w:szCs w:val="20"/>
          <w:rtl/>
        </w:rPr>
        <w:t xml:space="preserve"> </w:t>
      </w:r>
      <w:r w:rsidRPr="00832D52">
        <w:rPr>
          <w:rFonts w:cs="Arial" w:hint="cs"/>
          <w:sz w:val="20"/>
          <w:szCs w:val="20"/>
          <w:rtl/>
        </w:rPr>
        <w:t>טמא</w:t>
      </w:r>
      <w:r w:rsidRPr="00832D52">
        <w:rPr>
          <w:rFonts w:cs="Arial"/>
          <w:sz w:val="20"/>
          <w:szCs w:val="20"/>
          <w:rtl/>
        </w:rPr>
        <w:t xml:space="preserve"> </w:t>
      </w:r>
      <w:r w:rsidRPr="00832D52">
        <w:rPr>
          <w:rFonts w:cs="Arial" w:hint="cs"/>
          <w:sz w:val="20"/>
          <w:szCs w:val="20"/>
          <w:rtl/>
        </w:rPr>
        <w:t>לא</w:t>
      </w:r>
      <w:r w:rsidRPr="00832D52">
        <w:rPr>
          <w:rFonts w:cs="Arial"/>
          <w:sz w:val="20"/>
          <w:szCs w:val="20"/>
          <w:rtl/>
        </w:rPr>
        <w:t xml:space="preserve"> </w:t>
      </w:r>
      <w:r w:rsidRPr="00832D52">
        <w:rPr>
          <w:rFonts w:cs="Arial" w:hint="cs"/>
          <w:sz w:val="20"/>
          <w:szCs w:val="20"/>
          <w:rtl/>
        </w:rPr>
        <w:t>קבעה</w:t>
      </w:r>
      <w:r w:rsidRPr="00832D52">
        <w:rPr>
          <w:rFonts w:cs="Arial"/>
          <w:sz w:val="20"/>
          <w:szCs w:val="20"/>
          <w:rtl/>
        </w:rPr>
        <w:t xml:space="preserve">. </w:t>
      </w:r>
      <w:r w:rsidRPr="00832D52">
        <w:rPr>
          <w:rFonts w:cs="Arial" w:hint="cs"/>
          <w:sz w:val="20"/>
          <w:szCs w:val="20"/>
          <w:rtl/>
        </w:rPr>
        <w:t>הניחא</w:t>
      </w:r>
      <w:r w:rsidRPr="00832D52">
        <w:rPr>
          <w:rFonts w:cs="Arial"/>
          <w:sz w:val="20"/>
          <w:szCs w:val="20"/>
          <w:rtl/>
        </w:rPr>
        <w:t xml:space="preserve"> </w:t>
      </w:r>
      <w:r w:rsidRPr="00832D52">
        <w:rPr>
          <w:rFonts w:cs="Arial" w:hint="cs"/>
          <w:sz w:val="20"/>
          <w:szCs w:val="20"/>
          <w:rtl/>
        </w:rPr>
        <w:t>ללוי</w:t>
      </w:r>
      <w:r w:rsidRPr="00832D52">
        <w:rPr>
          <w:rFonts w:cs="Arial"/>
          <w:sz w:val="20"/>
          <w:szCs w:val="20"/>
          <w:rtl/>
        </w:rPr>
        <w:t xml:space="preserve">, </w:t>
      </w:r>
      <w:r w:rsidRPr="00832D52">
        <w:rPr>
          <w:rFonts w:cs="Arial" w:hint="cs"/>
          <w:sz w:val="20"/>
          <w:szCs w:val="20"/>
          <w:rtl/>
        </w:rPr>
        <w:t>דאמר</w:t>
      </w:r>
      <w:r w:rsidRPr="00832D52">
        <w:rPr>
          <w:rFonts w:cs="Arial"/>
          <w:sz w:val="20"/>
          <w:szCs w:val="20"/>
          <w:rtl/>
        </w:rPr>
        <w:t xml:space="preserve"> </w:t>
      </w:r>
      <w:r w:rsidRPr="00832D52">
        <w:rPr>
          <w:rFonts w:cs="Arial" w:hint="cs"/>
          <w:sz w:val="20"/>
          <w:szCs w:val="20"/>
          <w:rtl/>
        </w:rPr>
        <w:t>שני</w:t>
      </w:r>
      <w:r w:rsidRPr="00832D52">
        <w:rPr>
          <w:rFonts w:cs="Arial"/>
          <w:sz w:val="20"/>
          <w:szCs w:val="20"/>
          <w:rtl/>
        </w:rPr>
        <w:t xml:space="preserve"> </w:t>
      </w:r>
      <w:r w:rsidRPr="00832D52">
        <w:rPr>
          <w:rFonts w:cs="Arial" w:hint="cs"/>
          <w:sz w:val="20"/>
          <w:szCs w:val="20"/>
          <w:rtl/>
        </w:rPr>
        <w:t>מעינות</w:t>
      </w:r>
      <w:r w:rsidRPr="00832D52">
        <w:rPr>
          <w:rFonts w:cs="Arial"/>
          <w:sz w:val="20"/>
          <w:szCs w:val="20"/>
          <w:rtl/>
        </w:rPr>
        <w:t xml:space="preserve"> </w:t>
      </w:r>
      <w:r w:rsidRPr="00832D52">
        <w:rPr>
          <w:rFonts w:cs="Arial" w:hint="cs"/>
          <w:sz w:val="20"/>
          <w:szCs w:val="20"/>
          <w:rtl/>
        </w:rPr>
        <w:t>הם</w:t>
      </w:r>
      <w:r w:rsidRPr="00832D52">
        <w:rPr>
          <w:rFonts w:cs="Arial"/>
          <w:sz w:val="20"/>
          <w:szCs w:val="20"/>
          <w:rtl/>
        </w:rPr>
        <w:t xml:space="preserve">, </w:t>
      </w:r>
      <w:r w:rsidRPr="00832D52">
        <w:rPr>
          <w:rFonts w:cs="Arial" w:hint="cs"/>
          <w:sz w:val="20"/>
          <w:szCs w:val="20"/>
          <w:rtl/>
        </w:rPr>
        <w:t>אלא</w:t>
      </w:r>
      <w:r w:rsidRPr="00832D52">
        <w:rPr>
          <w:rFonts w:cs="Arial"/>
          <w:sz w:val="20"/>
          <w:szCs w:val="20"/>
          <w:rtl/>
        </w:rPr>
        <w:t xml:space="preserve"> </w:t>
      </w:r>
      <w:r w:rsidRPr="00832D52">
        <w:rPr>
          <w:rFonts w:cs="Arial" w:hint="cs"/>
          <w:sz w:val="20"/>
          <w:szCs w:val="20"/>
          <w:rtl/>
        </w:rPr>
        <w:t>לרב</w:t>
      </w:r>
      <w:r w:rsidRPr="00832D52">
        <w:rPr>
          <w:rFonts w:cs="Arial"/>
          <w:sz w:val="20"/>
          <w:szCs w:val="20"/>
          <w:rtl/>
        </w:rPr>
        <w:t xml:space="preserve"> </w:t>
      </w:r>
      <w:r w:rsidRPr="00832D52">
        <w:rPr>
          <w:rFonts w:cs="Arial" w:hint="cs"/>
          <w:sz w:val="20"/>
          <w:szCs w:val="20"/>
          <w:rtl/>
        </w:rPr>
        <w:t>דאמר</w:t>
      </w:r>
      <w:r w:rsidRPr="00832D52">
        <w:rPr>
          <w:rFonts w:cs="Arial"/>
          <w:sz w:val="20"/>
          <w:szCs w:val="20"/>
          <w:rtl/>
        </w:rPr>
        <w:t xml:space="preserve"> </w:t>
      </w:r>
      <w:r w:rsidRPr="00832D52">
        <w:rPr>
          <w:rFonts w:cs="Arial" w:hint="cs"/>
          <w:sz w:val="20"/>
          <w:szCs w:val="20"/>
          <w:rtl/>
        </w:rPr>
        <w:t>מעין</w:t>
      </w:r>
      <w:r w:rsidRPr="00832D52">
        <w:rPr>
          <w:rFonts w:cs="Arial"/>
          <w:sz w:val="20"/>
          <w:szCs w:val="20"/>
          <w:rtl/>
        </w:rPr>
        <w:t xml:space="preserve"> </w:t>
      </w:r>
      <w:r w:rsidRPr="00832D52">
        <w:rPr>
          <w:rFonts w:cs="Arial" w:hint="cs"/>
          <w:sz w:val="20"/>
          <w:szCs w:val="20"/>
          <w:rtl/>
        </w:rPr>
        <w:t>אחד</w:t>
      </w:r>
      <w:r w:rsidRPr="00832D52">
        <w:rPr>
          <w:rFonts w:cs="Arial"/>
          <w:sz w:val="20"/>
          <w:szCs w:val="20"/>
          <w:rtl/>
        </w:rPr>
        <w:t xml:space="preserve"> </w:t>
      </w:r>
      <w:r w:rsidRPr="00832D52">
        <w:rPr>
          <w:rFonts w:cs="Arial" w:hint="cs"/>
          <w:sz w:val="20"/>
          <w:szCs w:val="20"/>
          <w:rtl/>
        </w:rPr>
        <w:t>הוא</w:t>
      </w:r>
      <w:r w:rsidRPr="00832D52">
        <w:rPr>
          <w:rFonts w:cs="Arial"/>
          <w:sz w:val="20"/>
          <w:szCs w:val="20"/>
          <w:rtl/>
        </w:rPr>
        <w:t xml:space="preserve"> - </w:t>
      </w:r>
      <w:r w:rsidRPr="00832D52">
        <w:rPr>
          <w:rFonts w:cs="Arial" w:hint="cs"/>
          <w:sz w:val="20"/>
          <w:szCs w:val="20"/>
          <w:rtl/>
        </w:rPr>
        <w:t>תבדוק</w:t>
      </w:r>
      <w:r w:rsidRPr="00832D52">
        <w:rPr>
          <w:rFonts w:cs="Arial"/>
          <w:sz w:val="20"/>
          <w:szCs w:val="20"/>
          <w:rtl/>
        </w:rPr>
        <w:t xml:space="preserve">, </w:t>
      </w:r>
      <w:r w:rsidRPr="00832D52">
        <w:rPr>
          <w:rFonts w:cs="Arial" w:hint="cs"/>
          <w:sz w:val="20"/>
          <w:szCs w:val="20"/>
          <w:rtl/>
        </w:rPr>
        <w:t>דילמא</w:t>
      </w:r>
      <w:r w:rsidRPr="00832D52">
        <w:rPr>
          <w:rFonts w:cs="Arial"/>
          <w:sz w:val="20"/>
          <w:szCs w:val="20"/>
          <w:rtl/>
        </w:rPr>
        <w:t xml:space="preserve"> </w:t>
      </w:r>
      <w:r w:rsidRPr="00832D52">
        <w:rPr>
          <w:rFonts w:cs="Arial" w:hint="cs"/>
          <w:sz w:val="20"/>
          <w:szCs w:val="20"/>
          <w:rtl/>
        </w:rPr>
        <w:t>קבעה</w:t>
      </w:r>
      <w:r w:rsidRPr="00832D52">
        <w:rPr>
          <w:rFonts w:cs="Arial"/>
          <w:sz w:val="20"/>
          <w:szCs w:val="20"/>
          <w:rtl/>
        </w:rPr>
        <w:t xml:space="preserve"> </w:t>
      </w:r>
      <w:r w:rsidRPr="00832D52">
        <w:rPr>
          <w:rFonts w:cs="Arial" w:hint="cs"/>
          <w:sz w:val="20"/>
          <w:szCs w:val="20"/>
          <w:rtl/>
        </w:rPr>
        <w:t>לה</w:t>
      </w:r>
      <w:r w:rsidRPr="00832D52">
        <w:rPr>
          <w:rFonts w:cs="Arial"/>
          <w:sz w:val="20"/>
          <w:szCs w:val="20"/>
          <w:rtl/>
        </w:rPr>
        <w:t xml:space="preserve"> </w:t>
      </w:r>
      <w:r w:rsidRPr="00832D52">
        <w:rPr>
          <w:rFonts w:cs="Arial" w:hint="cs"/>
          <w:sz w:val="20"/>
          <w:szCs w:val="20"/>
          <w:rtl/>
        </w:rPr>
        <w:t>וסת</w:t>
      </w:r>
      <w:r w:rsidRPr="00832D52">
        <w:rPr>
          <w:rFonts w:cs="Arial"/>
          <w:sz w:val="20"/>
          <w:szCs w:val="20"/>
          <w:rtl/>
        </w:rPr>
        <w:t xml:space="preserve">! </w:t>
      </w:r>
      <w:r w:rsidRPr="00832D52">
        <w:rPr>
          <w:rFonts w:cs="Arial" w:hint="cs"/>
          <w:sz w:val="20"/>
          <w:szCs w:val="20"/>
          <w:rtl/>
        </w:rPr>
        <w:t>אפילו</w:t>
      </w:r>
      <w:r w:rsidRPr="00832D52">
        <w:rPr>
          <w:rFonts w:cs="Arial"/>
          <w:sz w:val="20"/>
          <w:szCs w:val="20"/>
          <w:rtl/>
        </w:rPr>
        <w:t xml:space="preserve"> </w:t>
      </w:r>
      <w:r w:rsidRPr="00832D52">
        <w:rPr>
          <w:rFonts w:cs="Arial" w:hint="cs"/>
          <w:sz w:val="20"/>
          <w:szCs w:val="20"/>
          <w:rtl/>
        </w:rPr>
        <w:t>הכי</w:t>
      </w:r>
      <w:r w:rsidRPr="00832D52">
        <w:rPr>
          <w:rFonts w:cs="Arial"/>
          <w:sz w:val="20"/>
          <w:szCs w:val="20"/>
          <w:rtl/>
        </w:rPr>
        <w:t xml:space="preserve"> - </w:t>
      </w:r>
      <w:r w:rsidRPr="00832D52">
        <w:rPr>
          <w:rFonts w:cs="Arial" w:hint="cs"/>
          <w:sz w:val="20"/>
          <w:szCs w:val="20"/>
          <w:rtl/>
        </w:rPr>
        <w:t>מימי</w:t>
      </w:r>
      <w:r w:rsidRPr="00832D52">
        <w:rPr>
          <w:rFonts w:cs="Arial"/>
          <w:sz w:val="20"/>
          <w:szCs w:val="20"/>
          <w:rtl/>
        </w:rPr>
        <w:t xml:space="preserve"> </w:t>
      </w:r>
      <w:r w:rsidRPr="00832D52">
        <w:rPr>
          <w:rFonts w:cs="Arial" w:hint="cs"/>
          <w:sz w:val="20"/>
          <w:szCs w:val="20"/>
          <w:rtl/>
        </w:rPr>
        <w:t>טהרה</w:t>
      </w:r>
      <w:r w:rsidRPr="00832D52">
        <w:rPr>
          <w:rFonts w:cs="Arial"/>
          <w:sz w:val="20"/>
          <w:szCs w:val="20"/>
          <w:rtl/>
        </w:rPr>
        <w:t xml:space="preserve"> </w:t>
      </w:r>
      <w:r w:rsidRPr="00832D52">
        <w:rPr>
          <w:rFonts w:cs="Arial" w:hint="cs"/>
          <w:sz w:val="20"/>
          <w:szCs w:val="20"/>
          <w:rtl/>
        </w:rPr>
        <w:t>לימי</w:t>
      </w:r>
      <w:r w:rsidRPr="00832D52">
        <w:rPr>
          <w:rFonts w:cs="Arial"/>
          <w:sz w:val="20"/>
          <w:szCs w:val="20"/>
          <w:rtl/>
        </w:rPr>
        <w:t xml:space="preserve"> </w:t>
      </w:r>
      <w:r w:rsidRPr="00832D52">
        <w:rPr>
          <w:rFonts w:cs="Arial" w:hint="cs"/>
          <w:sz w:val="20"/>
          <w:szCs w:val="20"/>
          <w:rtl/>
        </w:rPr>
        <w:t>טומאה</w:t>
      </w:r>
      <w:r w:rsidRPr="00832D52">
        <w:rPr>
          <w:rFonts w:cs="Arial"/>
          <w:sz w:val="20"/>
          <w:szCs w:val="20"/>
          <w:rtl/>
        </w:rPr>
        <w:t xml:space="preserve"> - </w:t>
      </w:r>
      <w:r w:rsidRPr="00832D52">
        <w:rPr>
          <w:rFonts w:cs="Arial" w:hint="cs"/>
          <w:sz w:val="20"/>
          <w:szCs w:val="20"/>
          <w:rtl/>
        </w:rPr>
        <w:t>לא</w:t>
      </w:r>
      <w:r w:rsidRPr="00832D52">
        <w:rPr>
          <w:rFonts w:cs="Arial"/>
          <w:sz w:val="20"/>
          <w:szCs w:val="20"/>
          <w:rtl/>
        </w:rPr>
        <w:t xml:space="preserve"> </w:t>
      </w:r>
      <w:r w:rsidRPr="00832D52">
        <w:rPr>
          <w:rFonts w:cs="Arial" w:hint="cs"/>
          <w:sz w:val="20"/>
          <w:szCs w:val="20"/>
          <w:rtl/>
        </w:rPr>
        <w:t>קבעה</w:t>
      </w:r>
      <w:r>
        <w:rPr>
          <w:rFonts w:cs="Arial" w:hint="cs"/>
          <w:sz w:val="20"/>
          <w:szCs w:val="20"/>
          <w:rtl/>
        </w:rPr>
        <w:t xml:space="preserve"> </w:t>
      </w:r>
      <w:r w:rsidRPr="00175AF7">
        <w:rPr>
          <w:rFonts w:cs="Arial" w:hint="cs"/>
          <w:sz w:val="18"/>
          <w:szCs w:val="18"/>
          <w:rtl/>
        </w:rPr>
        <w:t xml:space="preserve">(ולכן גם אם תבדוק </w:t>
      </w:r>
      <w:r>
        <w:rPr>
          <w:rFonts w:cs="Arial" w:hint="cs"/>
          <w:sz w:val="18"/>
          <w:szCs w:val="18"/>
          <w:rtl/>
        </w:rPr>
        <w:t>אין לכך משמעות לדין קביעת ווסת)</w:t>
      </w:r>
      <w:r>
        <w:rPr>
          <w:rFonts w:cs="Arial" w:hint="cs"/>
          <w:sz w:val="20"/>
          <w:szCs w:val="20"/>
          <w:rtl/>
        </w:rPr>
        <w:t>"</w:t>
      </w:r>
      <w:r w:rsidRPr="00832D52">
        <w:rPr>
          <w:rFonts w:cs="Arial"/>
          <w:sz w:val="20"/>
          <w:szCs w:val="20"/>
          <w:rtl/>
        </w:rPr>
        <w:t xml:space="preserve">. </w:t>
      </w:r>
    </w:p>
    <w:p w:rsidR="00620060" w:rsidRDefault="00620060" w:rsidP="00620060">
      <w:pPr>
        <w:rPr>
          <w:sz w:val="20"/>
          <w:szCs w:val="20"/>
          <w:rtl/>
        </w:rPr>
      </w:pPr>
      <w:r w:rsidRPr="001A62A1">
        <w:rPr>
          <w:rFonts w:hint="cs"/>
          <w:b/>
          <w:bCs/>
          <w:sz w:val="20"/>
          <w:szCs w:val="20"/>
          <w:rtl/>
        </w:rPr>
        <w:t>רמב"ן</w:t>
      </w:r>
      <w:r>
        <w:rPr>
          <w:rFonts w:hint="cs"/>
          <w:sz w:val="20"/>
          <w:szCs w:val="20"/>
          <w:rtl/>
        </w:rPr>
        <w:t xml:space="preserve"> </w:t>
      </w:r>
      <w:r>
        <w:rPr>
          <w:sz w:val="20"/>
          <w:szCs w:val="20"/>
          <w:rtl/>
        </w:rPr>
        <w:t>–</w:t>
      </w:r>
      <w:r>
        <w:rPr>
          <w:rFonts w:hint="cs"/>
          <w:sz w:val="20"/>
          <w:szCs w:val="20"/>
          <w:rtl/>
        </w:rPr>
        <w:t xml:space="preserve"> מוכח בגמרא שאשה קובעת ווסת בימי עיבור והנקה.</w:t>
      </w:r>
      <w:r>
        <w:rPr>
          <w:sz w:val="20"/>
          <w:szCs w:val="20"/>
          <w:rtl/>
        </w:rPr>
        <w:br/>
      </w:r>
      <w:r w:rsidRPr="001A62A1">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הגמרא ממעטת רק יושבת על דם טוהר שאינה קובעת ווסת, משמע שמעוברת ומניקה קובעות ווסת.</w:t>
      </w:r>
    </w:p>
    <w:p w:rsidR="00620060" w:rsidRDefault="00620060" w:rsidP="00620060">
      <w:pPr>
        <w:rPr>
          <w:sz w:val="20"/>
          <w:szCs w:val="20"/>
          <w:rtl/>
        </w:rPr>
      </w:pPr>
      <w:r>
        <w:rPr>
          <w:rFonts w:hint="cs"/>
          <w:sz w:val="20"/>
          <w:szCs w:val="20"/>
          <w:u w:val="single"/>
          <w:rtl/>
        </w:rPr>
        <w:t>הסבר שיטת הראב"ד והרשב"א</w:t>
      </w:r>
      <w:r>
        <w:rPr>
          <w:rFonts w:hint="cs"/>
          <w:sz w:val="20"/>
          <w:szCs w:val="20"/>
          <w:rtl/>
        </w:rPr>
        <w:br/>
      </w:r>
      <w:r w:rsidRPr="00146C04">
        <w:rPr>
          <w:rFonts w:cs="Arial" w:hint="cs"/>
          <w:b/>
          <w:bCs/>
          <w:sz w:val="20"/>
          <w:szCs w:val="20"/>
          <w:rtl/>
        </w:rPr>
        <w:t xml:space="preserve">גמרא </w:t>
      </w:r>
      <w:r>
        <w:rPr>
          <w:rFonts w:cs="Arial" w:hint="cs"/>
          <w:sz w:val="20"/>
          <w:szCs w:val="20"/>
          <w:rtl/>
        </w:rPr>
        <w:t>נידה (י:) "</w:t>
      </w:r>
      <w:r w:rsidRPr="00146C04">
        <w:rPr>
          <w:rFonts w:cs="Arial" w:hint="cs"/>
          <w:sz w:val="20"/>
          <w:szCs w:val="20"/>
          <w:rtl/>
        </w:rPr>
        <w:t>שמואל</w:t>
      </w:r>
      <w:r w:rsidRPr="00146C04">
        <w:rPr>
          <w:rFonts w:cs="Arial"/>
          <w:sz w:val="20"/>
          <w:szCs w:val="20"/>
          <w:rtl/>
        </w:rPr>
        <w:t xml:space="preserve"> </w:t>
      </w:r>
      <w:r w:rsidRPr="00146C04">
        <w:rPr>
          <w:rFonts w:cs="Arial" w:hint="cs"/>
          <w:sz w:val="20"/>
          <w:szCs w:val="20"/>
          <w:rtl/>
        </w:rPr>
        <w:t>אמר</w:t>
      </w:r>
      <w:r>
        <w:rPr>
          <w:rFonts w:cs="Arial"/>
          <w:sz w:val="20"/>
          <w:szCs w:val="20"/>
          <w:rtl/>
        </w:rPr>
        <w:t>:</w:t>
      </w:r>
      <w:r>
        <w:rPr>
          <w:rFonts w:cs="Arial" w:hint="cs"/>
          <w:sz w:val="20"/>
          <w:szCs w:val="20"/>
          <w:rtl/>
        </w:rPr>
        <w:t xml:space="preserve">... </w:t>
      </w:r>
      <w:r w:rsidRPr="00146C04">
        <w:rPr>
          <w:rFonts w:cs="Arial" w:hint="cs"/>
          <w:sz w:val="20"/>
          <w:szCs w:val="20"/>
          <w:rtl/>
        </w:rPr>
        <w:t>מעוברת</w:t>
      </w:r>
      <w:r w:rsidRPr="00146C04">
        <w:rPr>
          <w:rFonts w:cs="Arial"/>
          <w:sz w:val="20"/>
          <w:szCs w:val="20"/>
          <w:rtl/>
        </w:rPr>
        <w:t xml:space="preserve"> </w:t>
      </w:r>
      <w:r w:rsidRPr="00146C04">
        <w:rPr>
          <w:rFonts w:cs="Arial" w:hint="cs"/>
          <w:sz w:val="20"/>
          <w:szCs w:val="20"/>
          <w:rtl/>
        </w:rPr>
        <w:t>ומניקה</w:t>
      </w:r>
      <w:r w:rsidRPr="00146C04">
        <w:rPr>
          <w:rFonts w:cs="Arial"/>
          <w:sz w:val="20"/>
          <w:szCs w:val="20"/>
          <w:rtl/>
        </w:rPr>
        <w:t xml:space="preserve"> - </w:t>
      </w:r>
      <w:r w:rsidRPr="00146C04">
        <w:rPr>
          <w:rFonts w:cs="Arial" w:hint="cs"/>
          <w:sz w:val="20"/>
          <w:szCs w:val="20"/>
          <w:rtl/>
        </w:rPr>
        <w:t>דיין</w:t>
      </w:r>
      <w:r w:rsidRPr="00146C04">
        <w:rPr>
          <w:rFonts w:cs="Arial"/>
          <w:sz w:val="20"/>
          <w:szCs w:val="20"/>
          <w:rtl/>
        </w:rPr>
        <w:t xml:space="preserve"> </w:t>
      </w:r>
      <w:r w:rsidRPr="00146C04">
        <w:rPr>
          <w:rFonts w:cs="Arial" w:hint="cs"/>
          <w:sz w:val="20"/>
          <w:szCs w:val="20"/>
          <w:rtl/>
        </w:rPr>
        <w:t>כל</w:t>
      </w:r>
      <w:r w:rsidRPr="00146C04">
        <w:rPr>
          <w:rFonts w:cs="Arial"/>
          <w:sz w:val="20"/>
          <w:szCs w:val="20"/>
          <w:rtl/>
        </w:rPr>
        <w:t xml:space="preserve"> </w:t>
      </w:r>
      <w:r w:rsidRPr="00146C04">
        <w:rPr>
          <w:rFonts w:cs="Arial" w:hint="cs"/>
          <w:sz w:val="20"/>
          <w:szCs w:val="20"/>
          <w:rtl/>
        </w:rPr>
        <w:t>ימי</w:t>
      </w:r>
      <w:r w:rsidRPr="00146C04">
        <w:rPr>
          <w:rFonts w:cs="Arial"/>
          <w:sz w:val="20"/>
          <w:szCs w:val="20"/>
          <w:rtl/>
        </w:rPr>
        <w:t xml:space="preserve"> </w:t>
      </w:r>
      <w:r w:rsidRPr="00146C04">
        <w:rPr>
          <w:rFonts w:cs="Arial" w:hint="cs"/>
          <w:sz w:val="20"/>
          <w:szCs w:val="20"/>
          <w:rtl/>
        </w:rPr>
        <w:t>עיבורן</w:t>
      </w:r>
      <w:r w:rsidRPr="00146C04">
        <w:rPr>
          <w:rFonts w:cs="Arial"/>
          <w:sz w:val="20"/>
          <w:szCs w:val="20"/>
          <w:rtl/>
        </w:rPr>
        <w:t xml:space="preserve">, </w:t>
      </w:r>
      <w:r w:rsidRPr="00146C04">
        <w:rPr>
          <w:rFonts w:cs="Arial" w:hint="cs"/>
          <w:sz w:val="20"/>
          <w:szCs w:val="20"/>
          <w:rtl/>
        </w:rPr>
        <w:t>דיין</w:t>
      </w:r>
      <w:r w:rsidRPr="00146C04">
        <w:rPr>
          <w:rFonts w:cs="Arial"/>
          <w:sz w:val="20"/>
          <w:szCs w:val="20"/>
          <w:rtl/>
        </w:rPr>
        <w:t xml:space="preserve"> </w:t>
      </w:r>
      <w:r w:rsidRPr="00146C04">
        <w:rPr>
          <w:rFonts w:cs="Arial" w:hint="cs"/>
          <w:sz w:val="20"/>
          <w:szCs w:val="20"/>
          <w:rtl/>
        </w:rPr>
        <w:t>כל</w:t>
      </w:r>
      <w:r w:rsidRPr="00146C04">
        <w:rPr>
          <w:rFonts w:cs="Arial"/>
          <w:sz w:val="20"/>
          <w:szCs w:val="20"/>
          <w:rtl/>
        </w:rPr>
        <w:t xml:space="preserve"> </w:t>
      </w:r>
      <w:r w:rsidRPr="00146C04">
        <w:rPr>
          <w:rFonts w:cs="Arial" w:hint="cs"/>
          <w:sz w:val="20"/>
          <w:szCs w:val="20"/>
          <w:rtl/>
        </w:rPr>
        <w:t>ימי</w:t>
      </w:r>
      <w:r w:rsidRPr="00146C04">
        <w:rPr>
          <w:rFonts w:cs="Arial"/>
          <w:sz w:val="20"/>
          <w:szCs w:val="20"/>
          <w:rtl/>
        </w:rPr>
        <w:t xml:space="preserve"> </w:t>
      </w:r>
      <w:r w:rsidRPr="00146C04">
        <w:rPr>
          <w:rFonts w:cs="Arial" w:hint="cs"/>
          <w:sz w:val="20"/>
          <w:szCs w:val="20"/>
          <w:rtl/>
        </w:rPr>
        <w:t>מניקותן</w:t>
      </w:r>
      <w:r>
        <w:rPr>
          <w:rFonts w:cs="Arial" w:hint="cs"/>
          <w:sz w:val="20"/>
          <w:szCs w:val="20"/>
          <w:rtl/>
        </w:rPr>
        <w:t>"</w:t>
      </w:r>
      <w:r w:rsidRPr="00146C04">
        <w:rPr>
          <w:rFonts w:cs="Arial"/>
          <w:sz w:val="20"/>
          <w:szCs w:val="20"/>
          <w:rtl/>
        </w:rPr>
        <w:t>.</w:t>
      </w:r>
      <w:r>
        <w:rPr>
          <w:sz w:val="20"/>
          <w:szCs w:val="20"/>
          <w:rtl/>
        </w:rPr>
        <w:br/>
      </w:r>
      <w:r w:rsidRPr="00146C04">
        <w:rPr>
          <w:rFonts w:hint="cs"/>
          <w:b/>
          <w:bCs/>
          <w:sz w:val="20"/>
          <w:szCs w:val="20"/>
          <w:rtl/>
        </w:rPr>
        <w:t>ראב"ד ורשב"א</w:t>
      </w:r>
      <w:r>
        <w:rPr>
          <w:rFonts w:hint="cs"/>
          <w:sz w:val="20"/>
          <w:szCs w:val="20"/>
          <w:rtl/>
        </w:rPr>
        <w:t xml:space="preserve"> </w:t>
      </w:r>
      <w:r>
        <w:rPr>
          <w:sz w:val="20"/>
          <w:szCs w:val="20"/>
          <w:rtl/>
        </w:rPr>
        <w:t>–</w:t>
      </w:r>
      <w:r>
        <w:rPr>
          <w:rFonts w:hint="cs"/>
          <w:sz w:val="20"/>
          <w:szCs w:val="20"/>
          <w:rtl/>
        </w:rPr>
        <w:t xml:space="preserve"> כל אשה שאומרים בה 'דיה שעתה' הכוונה היא שראיותיה הן בדרך מקרה וממילא גם אינה קובעת ווסת.</w:t>
      </w:r>
      <w:r>
        <w:rPr>
          <w:rFonts w:hint="cs"/>
          <w:sz w:val="20"/>
          <w:szCs w:val="20"/>
          <w:rtl/>
        </w:rPr>
        <w:br/>
        <w:t xml:space="preserve">ולעניין ראיית הרמב"ן יש לומר כך </w:t>
      </w:r>
      <w:r>
        <w:rPr>
          <w:sz w:val="20"/>
          <w:szCs w:val="20"/>
          <w:rtl/>
        </w:rPr>
        <w:t>–</w:t>
      </w:r>
      <w:r>
        <w:rPr>
          <w:rFonts w:hint="cs"/>
          <w:sz w:val="20"/>
          <w:szCs w:val="20"/>
          <w:rtl/>
        </w:rPr>
        <w:t xml:space="preserve"> המשנה לא כתבה שגם אשה מניקה דיה שעתה, מכיוון שהתנא אינו רוצה להכניס עצמו למחלוקת תנאים, ולגבי מניקה יש מחלוקת תנאים </w:t>
      </w:r>
      <w:r w:rsidRPr="005448F3">
        <w:rPr>
          <w:rFonts w:hint="cs"/>
          <w:sz w:val="18"/>
          <w:szCs w:val="18"/>
          <w:rtl/>
        </w:rPr>
        <w:t xml:space="preserve">(במשנה ז:) </w:t>
      </w:r>
      <w:r>
        <w:rPr>
          <w:rFonts w:hint="cs"/>
          <w:sz w:val="20"/>
          <w:szCs w:val="20"/>
          <w:rtl/>
        </w:rPr>
        <w:t>האם דיה שעתה רק בראייה הראשונה או בכל ימי הנקתה. אך לדינא קיי"ל כדעת רבי מאיר האומר שכל ימי עיבורה והנקתה דיה שעתה.</w:t>
      </w:r>
      <w:r>
        <w:rPr>
          <w:rStyle w:val="a5"/>
          <w:sz w:val="20"/>
          <w:szCs w:val="20"/>
          <w:rtl/>
        </w:rPr>
        <w:footnoteReference w:id="238"/>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92003C">
        <w:rPr>
          <w:rFonts w:cs="Arial" w:hint="cs"/>
          <w:sz w:val="20"/>
          <w:szCs w:val="20"/>
          <w:rtl/>
        </w:rPr>
        <w:t>מעוברת</w:t>
      </w:r>
      <w:r w:rsidRPr="0092003C">
        <w:rPr>
          <w:rFonts w:cs="Arial"/>
          <w:sz w:val="20"/>
          <w:szCs w:val="20"/>
          <w:rtl/>
        </w:rPr>
        <w:t xml:space="preserve">, </w:t>
      </w:r>
      <w:r w:rsidRPr="0092003C">
        <w:rPr>
          <w:rFonts w:cs="Arial" w:hint="cs"/>
          <w:sz w:val="20"/>
          <w:szCs w:val="20"/>
          <w:rtl/>
        </w:rPr>
        <w:t>לאחר</w:t>
      </w:r>
      <w:r w:rsidRPr="0092003C">
        <w:rPr>
          <w:rFonts w:cs="Arial"/>
          <w:sz w:val="20"/>
          <w:szCs w:val="20"/>
          <w:rtl/>
        </w:rPr>
        <w:t xml:space="preserve"> </w:t>
      </w:r>
      <w:r w:rsidRPr="0092003C">
        <w:rPr>
          <w:rFonts w:cs="Arial" w:hint="cs"/>
          <w:sz w:val="20"/>
          <w:szCs w:val="20"/>
          <w:rtl/>
        </w:rPr>
        <w:t>של</w:t>
      </w:r>
      <w:r>
        <w:rPr>
          <w:rFonts w:cs="Arial" w:hint="cs"/>
          <w:sz w:val="20"/>
          <w:szCs w:val="20"/>
          <w:rtl/>
        </w:rPr>
        <w:t>ו</w:t>
      </w:r>
      <w:r w:rsidRPr="0092003C">
        <w:rPr>
          <w:rFonts w:cs="Arial" w:hint="cs"/>
          <w:sz w:val="20"/>
          <w:szCs w:val="20"/>
          <w:rtl/>
        </w:rPr>
        <w:t>שה</w:t>
      </w:r>
      <w:r w:rsidRPr="0092003C">
        <w:rPr>
          <w:rFonts w:cs="Arial"/>
          <w:sz w:val="20"/>
          <w:szCs w:val="20"/>
          <w:rtl/>
        </w:rPr>
        <w:t xml:space="preserve"> </w:t>
      </w:r>
      <w:r w:rsidRPr="0092003C">
        <w:rPr>
          <w:rFonts w:cs="Arial" w:hint="cs"/>
          <w:sz w:val="20"/>
          <w:szCs w:val="20"/>
          <w:rtl/>
        </w:rPr>
        <w:t>חדשים</w:t>
      </w:r>
      <w:r w:rsidRPr="0092003C">
        <w:rPr>
          <w:rFonts w:cs="Arial"/>
          <w:sz w:val="20"/>
          <w:szCs w:val="20"/>
          <w:rtl/>
        </w:rPr>
        <w:t xml:space="preserve"> </w:t>
      </w:r>
      <w:r w:rsidRPr="0092003C">
        <w:rPr>
          <w:rFonts w:cs="Arial" w:hint="cs"/>
          <w:sz w:val="20"/>
          <w:szCs w:val="20"/>
          <w:rtl/>
        </w:rPr>
        <w:t>לעיבורה</w:t>
      </w:r>
      <w:r w:rsidRPr="0092003C">
        <w:rPr>
          <w:rFonts w:cs="Arial"/>
          <w:sz w:val="20"/>
          <w:szCs w:val="20"/>
          <w:rtl/>
        </w:rPr>
        <w:t xml:space="preserve"> </w:t>
      </w:r>
      <w:r w:rsidRPr="0092003C">
        <w:rPr>
          <w:rFonts w:cs="Arial" w:hint="cs"/>
          <w:sz w:val="20"/>
          <w:szCs w:val="20"/>
          <w:rtl/>
        </w:rPr>
        <w:t>ומניקה</w:t>
      </w:r>
      <w:r w:rsidRPr="0092003C">
        <w:rPr>
          <w:rFonts w:cs="Arial"/>
          <w:sz w:val="20"/>
          <w:szCs w:val="20"/>
          <w:rtl/>
        </w:rPr>
        <w:t xml:space="preserve"> </w:t>
      </w:r>
      <w:r w:rsidRPr="0092003C">
        <w:rPr>
          <w:rFonts w:cs="Arial" w:hint="cs"/>
          <w:sz w:val="20"/>
          <w:szCs w:val="20"/>
          <w:rtl/>
        </w:rPr>
        <w:t>כל</w:t>
      </w:r>
      <w:r w:rsidRPr="0092003C">
        <w:rPr>
          <w:rFonts w:cs="Arial"/>
          <w:sz w:val="20"/>
          <w:szCs w:val="20"/>
          <w:rtl/>
        </w:rPr>
        <w:t xml:space="preserve"> </w:t>
      </w:r>
      <w:r w:rsidRPr="0092003C">
        <w:rPr>
          <w:rFonts w:cs="Arial" w:hint="cs"/>
          <w:sz w:val="20"/>
          <w:szCs w:val="20"/>
          <w:rtl/>
        </w:rPr>
        <w:t>כ</w:t>
      </w:r>
      <w:r w:rsidRPr="0092003C">
        <w:rPr>
          <w:rFonts w:cs="Arial"/>
          <w:sz w:val="20"/>
          <w:szCs w:val="20"/>
          <w:rtl/>
        </w:rPr>
        <w:t>"</w:t>
      </w:r>
      <w:r w:rsidRPr="0092003C">
        <w:rPr>
          <w:rFonts w:cs="Arial" w:hint="cs"/>
          <w:sz w:val="20"/>
          <w:szCs w:val="20"/>
          <w:rtl/>
        </w:rPr>
        <w:t>ד</w:t>
      </w:r>
      <w:r w:rsidRPr="0092003C">
        <w:rPr>
          <w:rFonts w:cs="Arial"/>
          <w:sz w:val="20"/>
          <w:szCs w:val="20"/>
          <w:rtl/>
        </w:rPr>
        <w:t xml:space="preserve"> </w:t>
      </w:r>
      <w:r w:rsidRPr="0092003C">
        <w:rPr>
          <w:rFonts w:cs="Arial" w:hint="cs"/>
          <w:sz w:val="20"/>
          <w:szCs w:val="20"/>
          <w:rtl/>
        </w:rPr>
        <w:t>חודש</w:t>
      </w:r>
      <w:r w:rsidRPr="0092003C">
        <w:rPr>
          <w:rFonts w:cs="Arial"/>
          <w:sz w:val="20"/>
          <w:szCs w:val="20"/>
          <w:rtl/>
        </w:rPr>
        <w:t xml:space="preserve"> </w:t>
      </w:r>
      <w:r w:rsidRPr="0092003C">
        <w:rPr>
          <w:rFonts w:cs="Arial" w:hint="cs"/>
          <w:sz w:val="20"/>
          <w:szCs w:val="20"/>
          <w:rtl/>
        </w:rPr>
        <w:t>אחר</w:t>
      </w:r>
      <w:r w:rsidRPr="0092003C">
        <w:rPr>
          <w:rFonts w:cs="Arial"/>
          <w:sz w:val="20"/>
          <w:szCs w:val="20"/>
          <w:rtl/>
        </w:rPr>
        <w:t xml:space="preserve"> </w:t>
      </w:r>
      <w:r w:rsidRPr="0092003C">
        <w:rPr>
          <w:rFonts w:cs="Arial" w:hint="cs"/>
          <w:sz w:val="20"/>
          <w:szCs w:val="20"/>
          <w:rtl/>
        </w:rPr>
        <w:t>לידת</w:t>
      </w:r>
      <w:r w:rsidRPr="0092003C">
        <w:rPr>
          <w:rFonts w:cs="Arial"/>
          <w:sz w:val="20"/>
          <w:szCs w:val="20"/>
          <w:rtl/>
        </w:rPr>
        <w:t xml:space="preserve"> </w:t>
      </w:r>
      <w:r w:rsidRPr="0092003C">
        <w:rPr>
          <w:rFonts w:cs="Arial" w:hint="cs"/>
          <w:sz w:val="20"/>
          <w:szCs w:val="20"/>
          <w:rtl/>
        </w:rPr>
        <w:t>הולד</w:t>
      </w:r>
      <w:r w:rsidRPr="0092003C">
        <w:rPr>
          <w:rFonts w:cs="Arial"/>
          <w:sz w:val="20"/>
          <w:szCs w:val="20"/>
          <w:rtl/>
        </w:rPr>
        <w:t xml:space="preserve">, </w:t>
      </w:r>
      <w:r w:rsidRPr="0092003C">
        <w:rPr>
          <w:rFonts w:cs="Arial" w:hint="cs"/>
          <w:sz w:val="20"/>
          <w:szCs w:val="20"/>
          <w:rtl/>
        </w:rPr>
        <w:t>אינה</w:t>
      </w:r>
      <w:r w:rsidRPr="0092003C">
        <w:rPr>
          <w:rFonts w:cs="Arial"/>
          <w:sz w:val="20"/>
          <w:szCs w:val="20"/>
          <w:rtl/>
        </w:rPr>
        <w:t xml:space="preserve"> </w:t>
      </w:r>
      <w:r w:rsidRPr="0092003C">
        <w:rPr>
          <w:rFonts w:cs="Arial" w:hint="cs"/>
          <w:sz w:val="20"/>
          <w:szCs w:val="20"/>
          <w:rtl/>
        </w:rPr>
        <w:t>קובעת</w:t>
      </w:r>
      <w:r w:rsidRPr="0092003C">
        <w:rPr>
          <w:rFonts w:cs="Arial"/>
          <w:sz w:val="20"/>
          <w:szCs w:val="20"/>
          <w:rtl/>
        </w:rPr>
        <w:t xml:space="preserve"> </w:t>
      </w:r>
      <w:r w:rsidRPr="0092003C">
        <w:rPr>
          <w:rFonts w:cs="Arial" w:hint="cs"/>
          <w:sz w:val="20"/>
          <w:szCs w:val="20"/>
          <w:rtl/>
        </w:rPr>
        <w:t>וסת</w:t>
      </w:r>
      <w:r w:rsidRPr="0092003C">
        <w:rPr>
          <w:rFonts w:cs="Arial"/>
          <w:sz w:val="20"/>
          <w:szCs w:val="20"/>
          <w:rtl/>
        </w:rPr>
        <w:t xml:space="preserve">. </w:t>
      </w:r>
      <w:r w:rsidRPr="0092003C">
        <w:rPr>
          <w:rFonts w:cs="Arial" w:hint="cs"/>
          <w:sz w:val="20"/>
          <w:szCs w:val="20"/>
          <w:rtl/>
        </w:rPr>
        <w:t>אפילו</w:t>
      </w:r>
      <w:r w:rsidRPr="0092003C">
        <w:rPr>
          <w:rFonts w:cs="Arial"/>
          <w:sz w:val="20"/>
          <w:szCs w:val="20"/>
          <w:rtl/>
        </w:rPr>
        <w:t xml:space="preserve"> </w:t>
      </w:r>
      <w:r w:rsidRPr="0092003C">
        <w:rPr>
          <w:rFonts w:cs="Arial" w:hint="cs"/>
          <w:sz w:val="20"/>
          <w:szCs w:val="20"/>
          <w:rtl/>
        </w:rPr>
        <w:t>מת</w:t>
      </w:r>
      <w:r w:rsidRPr="0092003C">
        <w:rPr>
          <w:rFonts w:cs="Arial"/>
          <w:sz w:val="20"/>
          <w:szCs w:val="20"/>
          <w:rtl/>
        </w:rPr>
        <w:t xml:space="preserve"> </w:t>
      </w:r>
      <w:r w:rsidRPr="0092003C">
        <w:rPr>
          <w:rFonts w:cs="Arial" w:hint="cs"/>
          <w:sz w:val="20"/>
          <w:szCs w:val="20"/>
          <w:rtl/>
        </w:rPr>
        <w:t>הולד</w:t>
      </w:r>
      <w:r w:rsidRPr="0092003C">
        <w:rPr>
          <w:rFonts w:cs="Arial"/>
          <w:sz w:val="20"/>
          <w:szCs w:val="20"/>
          <w:rtl/>
        </w:rPr>
        <w:t xml:space="preserve"> </w:t>
      </w:r>
      <w:r w:rsidRPr="0092003C">
        <w:rPr>
          <w:rFonts w:cs="Arial" w:hint="cs"/>
          <w:sz w:val="20"/>
          <w:szCs w:val="20"/>
          <w:rtl/>
        </w:rPr>
        <w:t>או</w:t>
      </w:r>
      <w:r w:rsidRPr="0092003C">
        <w:rPr>
          <w:rFonts w:cs="Arial"/>
          <w:sz w:val="20"/>
          <w:szCs w:val="20"/>
          <w:rtl/>
        </w:rPr>
        <w:t xml:space="preserve"> </w:t>
      </w:r>
      <w:r w:rsidRPr="0092003C">
        <w:rPr>
          <w:rFonts w:cs="Arial" w:hint="cs"/>
          <w:sz w:val="20"/>
          <w:szCs w:val="20"/>
          <w:rtl/>
        </w:rPr>
        <w:t>גמלתו</w:t>
      </w:r>
      <w:r w:rsidRPr="0092003C">
        <w:rPr>
          <w:rFonts w:cs="Arial"/>
          <w:sz w:val="20"/>
          <w:szCs w:val="20"/>
          <w:rtl/>
        </w:rPr>
        <w:t xml:space="preserve">, </w:t>
      </w:r>
      <w:r>
        <w:rPr>
          <w:rFonts w:cs="Arial" w:hint="cs"/>
          <w:sz w:val="20"/>
          <w:szCs w:val="20"/>
          <w:rtl/>
        </w:rPr>
        <w:t>ש</w:t>
      </w:r>
      <w:r w:rsidRPr="0092003C">
        <w:rPr>
          <w:rFonts w:cs="Arial" w:hint="cs"/>
          <w:sz w:val="20"/>
          <w:szCs w:val="20"/>
          <w:rtl/>
        </w:rPr>
        <w:t>דמים</w:t>
      </w:r>
      <w:r w:rsidRPr="0092003C">
        <w:rPr>
          <w:rFonts w:cs="Arial"/>
          <w:sz w:val="20"/>
          <w:szCs w:val="20"/>
          <w:rtl/>
        </w:rPr>
        <w:t xml:space="preserve"> </w:t>
      </w:r>
      <w:r w:rsidRPr="0092003C">
        <w:rPr>
          <w:rFonts w:cs="Arial" w:hint="cs"/>
          <w:sz w:val="20"/>
          <w:szCs w:val="20"/>
          <w:rtl/>
        </w:rPr>
        <w:t>מסולקים</w:t>
      </w:r>
      <w:r w:rsidRPr="0092003C">
        <w:rPr>
          <w:rFonts w:cs="Arial"/>
          <w:sz w:val="20"/>
          <w:szCs w:val="20"/>
          <w:rtl/>
        </w:rPr>
        <w:t xml:space="preserve"> </w:t>
      </w:r>
      <w:r w:rsidRPr="0092003C">
        <w:rPr>
          <w:rFonts w:cs="Arial" w:hint="cs"/>
          <w:sz w:val="20"/>
          <w:szCs w:val="20"/>
          <w:rtl/>
        </w:rPr>
        <w:t>מהן</w:t>
      </w:r>
      <w:r w:rsidRPr="0092003C">
        <w:rPr>
          <w:rFonts w:cs="Arial"/>
          <w:sz w:val="20"/>
          <w:szCs w:val="20"/>
          <w:rtl/>
        </w:rPr>
        <w:t xml:space="preserve"> </w:t>
      </w:r>
      <w:r w:rsidRPr="0092003C">
        <w:rPr>
          <w:rFonts w:cs="Arial" w:hint="cs"/>
          <w:sz w:val="20"/>
          <w:szCs w:val="20"/>
          <w:rtl/>
        </w:rPr>
        <w:t>כל</w:t>
      </w:r>
      <w:r w:rsidRPr="0092003C">
        <w:rPr>
          <w:rFonts w:cs="Arial"/>
          <w:sz w:val="20"/>
          <w:szCs w:val="20"/>
          <w:rtl/>
        </w:rPr>
        <w:t xml:space="preserve"> </w:t>
      </w:r>
      <w:r w:rsidRPr="0092003C">
        <w:rPr>
          <w:rFonts w:cs="Arial" w:hint="cs"/>
          <w:sz w:val="20"/>
          <w:szCs w:val="20"/>
          <w:rtl/>
        </w:rPr>
        <w:t>זמן</w:t>
      </w:r>
      <w:r w:rsidRPr="0092003C">
        <w:rPr>
          <w:rFonts w:cs="Arial"/>
          <w:sz w:val="20"/>
          <w:szCs w:val="20"/>
          <w:rtl/>
        </w:rPr>
        <w:t xml:space="preserve"> </w:t>
      </w:r>
      <w:r w:rsidRPr="0092003C">
        <w:rPr>
          <w:rFonts w:cs="Arial" w:hint="cs"/>
          <w:sz w:val="20"/>
          <w:szCs w:val="20"/>
          <w:rtl/>
        </w:rPr>
        <w:t>עיבורה</w:t>
      </w:r>
      <w:r w:rsidRPr="0092003C">
        <w:rPr>
          <w:rFonts w:cs="Arial"/>
          <w:sz w:val="20"/>
          <w:szCs w:val="20"/>
          <w:rtl/>
        </w:rPr>
        <w:t xml:space="preserve"> </w:t>
      </w:r>
      <w:r w:rsidRPr="0092003C">
        <w:rPr>
          <w:rFonts w:cs="Arial" w:hint="cs"/>
          <w:sz w:val="20"/>
          <w:szCs w:val="20"/>
          <w:rtl/>
        </w:rPr>
        <w:t>וכל</w:t>
      </w:r>
      <w:r w:rsidRPr="0092003C">
        <w:rPr>
          <w:rFonts w:cs="Arial"/>
          <w:sz w:val="20"/>
          <w:szCs w:val="20"/>
          <w:rtl/>
        </w:rPr>
        <w:t xml:space="preserve"> </w:t>
      </w:r>
      <w:r w:rsidRPr="0092003C">
        <w:rPr>
          <w:rFonts w:cs="Arial" w:hint="cs"/>
          <w:sz w:val="20"/>
          <w:szCs w:val="20"/>
          <w:rtl/>
        </w:rPr>
        <w:t>כ</w:t>
      </w:r>
      <w:r w:rsidRPr="0092003C">
        <w:rPr>
          <w:rFonts w:cs="Arial"/>
          <w:sz w:val="20"/>
          <w:szCs w:val="20"/>
          <w:rtl/>
        </w:rPr>
        <w:t>"</w:t>
      </w:r>
      <w:r w:rsidRPr="0092003C">
        <w:rPr>
          <w:rFonts w:cs="Arial" w:hint="cs"/>
          <w:sz w:val="20"/>
          <w:szCs w:val="20"/>
          <w:rtl/>
        </w:rPr>
        <w:t>ד</w:t>
      </w:r>
      <w:r w:rsidRPr="0092003C">
        <w:rPr>
          <w:rFonts w:cs="Arial"/>
          <w:sz w:val="20"/>
          <w:szCs w:val="20"/>
          <w:rtl/>
        </w:rPr>
        <w:t xml:space="preserve"> </w:t>
      </w:r>
      <w:r w:rsidRPr="0092003C">
        <w:rPr>
          <w:rFonts w:cs="Arial" w:hint="cs"/>
          <w:sz w:val="20"/>
          <w:szCs w:val="20"/>
          <w:rtl/>
        </w:rPr>
        <w:t>חודש</w:t>
      </w:r>
      <w:r w:rsidRPr="0092003C">
        <w:rPr>
          <w:rFonts w:cs="Arial"/>
          <w:sz w:val="20"/>
          <w:szCs w:val="20"/>
          <w:rtl/>
        </w:rPr>
        <w:t xml:space="preserve">. </w:t>
      </w:r>
      <w:r w:rsidRPr="0092003C">
        <w:rPr>
          <w:rFonts w:cs="Arial" w:hint="cs"/>
          <w:sz w:val="20"/>
          <w:szCs w:val="20"/>
          <w:rtl/>
        </w:rPr>
        <w:t>ומ</w:t>
      </w:r>
      <w:r>
        <w:rPr>
          <w:rFonts w:cs="Arial" w:hint="cs"/>
          <w:sz w:val="20"/>
          <w:szCs w:val="20"/>
          <w:rtl/>
        </w:rPr>
        <w:t xml:space="preserve">כל </w:t>
      </w:r>
      <w:r w:rsidRPr="0092003C">
        <w:rPr>
          <w:rFonts w:cs="Arial" w:hint="cs"/>
          <w:sz w:val="20"/>
          <w:szCs w:val="20"/>
          <w:rtl/>
        </w:rPr>
        <w:t>מ</w:t>
      </w:r>
      <w:r>
        <w:rPr>
          <w:rFonts w:cs="Arial" w:hint="cs"/>
          <w:sz w:val="20"/>
          <w:szCs w:val="20"/>
          <w:rtl/>
        </w:rPr>
        <w:t>קום</w:t>
      </w:r>
      <w:r w:rsidRPr="0092003C">
        <w:rPr>
          <w:rFonts w:cs="Arial"/>
          <w:sz w:val="20"/>
          <w:szCs w:val="20"/>
          <w:rtl/>
        </w:rPr>
        <w:t xml:space="preserve"> </w:t>
      </w:r>
      <w:r w:rsidRPr="0092003C">
        <w:rPr>
          <w:rFonts w:cs="Arial" w:hint="cs"/>
          <w:sz w:val="20"/>
          <w:szCs w:val="20"/>
          <w:rtl/>
        </w:rPr>
        <w:t>חוששת</w:t>
      </w:r>
      <w:r w:rsidRPr="0092003C">
        <w:rPr>
          <w:rFonts w:cs="Arial"/>
          <w:sz w:val="20"/>
          <w:szCs w:val="20"/>
          <w:rtl/>
        </w:rPr>
        <w:t xml:space="preserve"> </w:t>
      </w:r>
      <w:r w:rsidRPr="0092003C">
        <w:rPr>
          <w:rFonts w:cs="Arial" w:hint="cs"/>
          <w:sz w:val="20"/>
          <w:szCs w:val="20"/>
          <w:rtl/>
        </w:rPr>
        <w:t>לראיה</w:t>
      </w:r>
      <w:r w:rsidRPr="0092003C">
        <w:rPr>
          <w:rFonts w:cs="Arial"/>
          <w:sz w:val="20"/>
          <w:szCs w:val="20"/>
          <w:rtl/>
        </w:rPr>
        <w:t xml:space="preserve"> </w:t>
      </w:r>
      <w:r w:rsidRPr="0092003C">
        <w:rPr>
          <w:rFonts w:cs="Arial" w:hint="cs"/>
          <w:sz w:val="20"/>
          <w:szCs w:val="20"/>
          <w:rtl/>
        </w:rPr>
        <w:t>שתראה</w:t>
      </w:r>
      <w:r w:rsidRPr="0092003C">
        <w:rPr>
          <w:rFonts w:cs="Arial"/>
          <w:sz w:val="20"/>
          <w:szCs w:val="20"/>
          <w:rtl/>
        </w:rPr>
        <w:t xml:space="preserve"> </w:t>
      </w:r>
      <w:r w:rsidRPr="0092003C">
        <w:rPr>
          <w:rFonts w:cs="Arial" w:hint="cs"/>
          <w:sz w:val="20"/>
          <w:szCs w:val="20"/>
          <w:rtl/>
        </w:rPr>
        <w:t>כדרך</w:t>
      </w:r>
      <w:r w:rsidRPr="0092003C">
        <w:rPr>
          <w:rFonts w:cs="Arial"/>
          <w:sz w:val="20"/>
          <w:szCs w:val="20"/>
          <w:rtl/>
        </w:rPr>
        <w:t xml:space="preserve"> </w:t>
      </w:r>
      <w:r w:rsidRPr="0092003C">
        <w:rPr>
          <w:rFonts w:cs="Arial" w:hint="cs"/>
          <w:sz w:val="20"/>
          <w:szCs w:val="20"/>
          <w:rtl/>
        </w:rPr>
        <w:t>שחוששת</w:t>
      </w:r>
      <w:r w:rsidRPr="0092003C">
        <w:rPr>
          <w:rFonts w:cs="Arial"/>
          <w:sz w:val="20"/>
          <w:szCs w:val="20"/>
          <w:rtl/>
        </w:rPr>
        <w:t xml:space="preserve"> </w:t>
      </w:r>
      <w:r w:rsidRPr="0092003C">
        <w:rPr>
          <w:rFonts w:cs="Arial" w:hint="cs"/>
          <w:sz w:val="20"/>
          <w:szCs w:val="20"/>
          <w:rtl/>
        </w:rPr>
        <w:t>ל</w:t>
      </w:r>
      <w:r>
        <w:rPr>
          <w:rFonts w:cs="Arial" w:hint="cs"/>
          <w:sz w:val="20"/>
          <w:szCs w:val="20"/>
          <w:rtl/>
        </w:rPr>
        <w:t>ו</w:t>
      </w:r>
      <w:r w:rsidRPr="0092003C">
        <w:rPr>
          <w:rFonts w:cs="Arial" w:hint="cs"/>
          <w:sz w:val="20"/>
          <w:szCs w:val="20"/>
          <w:rtl/>
        </w:rPr>
        <w:t>וסת</w:t>
      </w:r>
      <w:r w:rsidRPr="0092003C">
        <w:rPr>
          <w:rFonts w:cs="Arial"/>
          <w:sz w:val="20"/>
          <w:szCs w:val="20"/>
          <w:rtl/>
        </w:rPr>
        <w:t xml:space="preserve"> </w:t>
      </w:r>
      <w:r w:rsidRPr="0092003C">
        <w:rPr>
          <w:rFonts w:cs="Arial" w:hint="cs"/>
          <w:sz w:val="20"/>
          <w:szCs w:val="20"/>
          <w:rtl/>
        </w:rPr>
        <w:t>שאינו</w:t>
      </w:r>
      <w:r w:rsidRPr="0092003C">
        <w:rPr>
          <w:rFonts w:cs="Arial"/>
          <w:sz w:val="20"/>
          <w:szCs w:val="20"/>
          <w:rtl/>
        </w:rPr>
        <w:t xml:space="preserve"> </w:t>
      </w:r>
      <w:r w:rsidRPr="0092003C">
        <w:rPr>
          <w:rFonts w:cs="Arial" w:hint="cs"/>
          <w:sz w:val="20"/>
          <w:szCs w:val="20"/>
          <w:rtl/>
        </w:rPr>
        <w:t>קבוע</w:t>
      </w:r>
      <w:r>
        <w:rPr>
          <w:rFonts w:cs="Arial" w:hint="cs"/>
          <w:sz w:val="20"/>
          <w:szCs w:val="20"/>
          <w:rtl/>
        </w:rPr>
        <w:t>".</w:t>
      </w:r>
    </w:p>
    <w:p w:rsidR="00620060" w:rsidRDefault="00620060" w:rsidP="00620060">
      <w:pPr>
        <w:rPr>
          <w:sz w:val="20"/>
          <w:szCs w:val="20"/>
          <w:rtl/>
        </w:rPr>
      </w:pPr>
      <w:r w:rsidRPr="005448F3">
        <w:rPr>
          <w:rFonts w:hint="cs"/>
          <w:sz w:val="20"/>
          <w:szCs w:val="20"/>
          <w:u w:val="single"/>
          <w:rtl/>
        </w:rPr>
        <w:t>חומרת מעוברת</w:t>
      </w:r>
      <w:r>
        <w:rPr>
          <w:rFonts w:hint="cs"/>
          <w:sz w:val="20"/>
          <w:szCs w:val="20"/>
          <w:u w:val="single"/>
          <w:rtl/>
        </w:rPr>
        <w:t xml:space="preserve"> ומניקה </w:t>
      </w:r>
      <w:r w:rsidRPr="005448F3">
        <w:rPr>
          <w:rFonts w:hint="cs"/>
          <w:sz w:val="20"/>
          <w:szCs w:val="20"/>
          <w:u w:val="single"/>
          <w:rtl/>
        </w:rPr>
        <w:t>מקטנה וזקנה</w:t>
      </w:r>
      <w:r>
        <w:rPr>
          <w:sz w:val="20"/>
          <w:szCs w:val="20"/>
          <w:u w:val="single"/>
          <w:rtl/>
        </w:rPr>
        <w:br/>
      </w:r>
      <w:r w:rsidRPr="00FE0E45">
        <w:rPr>
          <w:rFonts w:hint="cs"/>
          <w:b/>
          <w:bCs/>
          <w:sz w:val="20"/>
          <w:szCs w:val="20"/>
          <w:rtl/>
        </w:rPr>
        <w:t>ב"י</w:t>
      </w:r>
      <w:r>
        <w:rPr>
          <w:rFonts w:hint="cs"/>
          <w:sz w:val="20"/>
          <w:szCs w:val="20"/>
          <w:rtl/>
        </w:rPr>
        <w:t xml:space="preserve"> </w:t>
      </w:r>
      <w:r>
        <w:rPr>
          <w:sz w:val="20"/>
          <w:szCs w:val="20"/>
          <w:rtl/>
        </w:rPr>
        <w:t>–</w:t>
      </w:r>
      <w:r>
        <w:rPr>
          <w:rFonts w:hint="cs"/>
          <w:sz w:val="20"/>
          <w:szCs w:val="20"/>
          <w:rtl/>
        </w:rPr>
        <w:t xml:space="preserve"> דין מעוברת ומניקה חמור יותר מדין זקנה וקטנה בכך שחוששות לראייה האחרונה כווסת שאינו קבוע.</w:t>
      </w:r>
      <w:r>
        <w:rPr>
          <w:sz w:val="20"/>
          <w:szCs w:val="20"/>
          <w:rtl/>
        </w:rPr>
        <w:br/>
      </w:r>
      <w:r w:rsidRPr="00FE0E45">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זקנה מסולקת דמים בטבעה, אך במעוברת ומניקה אין סילוק דמים אלא רק דבר המעכב את הראייה.</w:t>
      </w:r>
    </w:p>
    <w:p w:rsidR="00620060" w:rsidRDefault="00620060" w:rsidP="00620060">
      <w:pPr>
        <w:rPr>
          <w:sz w:val="20"/>
          <w:szCs w:val="20"/>
          <w:rtl/>
        </w:rPr>
      </w:pPr>
      <w:r>
        <w:rPr>
          <w:rFonts w:hint="cs"/>
          <w:sz w:val="20"/>
          <w:szCs w:val="20"/>
          <w:u w:val="single"/>
          <w:rtl/>
        </w:rPr>
        <w:t>תמיהת הב"ח ויישוב תמיהתו</w:t>
      </w:r>
      <w:r>
        <w:rPr>
          <w:sz w:val="20"/>
          <w:szCs w:val="20"/>
          <w:u w:val="single"/>
          <w:rtl/>
        </w:rPr>
        <w:br/>
      </w:r>
      <w:r w:rsidRPr="00580BDF">
        <w:rPr>
          <w:rFonts w:hint="cs"/>
          <w:b/>
          <w:bCs/>
          <w:sz w:val="20"/>
          <w:szCs w:val="20"/>
          <w:rtl/>
        </w:rPr>
        <w:t>ב"ח</w:t>
      </w:r>
      <w:r>
        <w:rPr>
          <w:rFonts w:hint="cs"/>
          <w:sz w:val="20"/>
          <w:szCs w:val="20"/>
          <w:rtl/>
        </w:rPr>
        <w:t xml:space="preserve"> </w:t>
      </w:r>
      <w:r>
        <w:rPr>
          <w:sz w:val="20"/>
          <w:szCs w:val="20"/>
          <w:rtl/>
        </w:rPr>
        <w:t>–</w:t>
      </w:r>
      <w:r>
        <w:rPr>
          <w:rFonts w:hint="cs"/>
          <w:sz w:val="20"/>
          <w:szCs w:val="20"/>
          <w:rtl/>
        </w:rPr>
        <w:t xml:space="preserve"> תימה מדוע המחבר לא פסק כרמב"ן, שהרי הטור הביא את דבריו להורות שיש להחמיר כמותו.</w:t>
      </w:r>
      <w:r>
        <w:rPr>
          <w:sz w:val="20"/>
          <w:szCs w:val="20"/>
          <w:rtl/>
        </w:rPr>
        <w:br/>
      </w:r>
      <w:r w:rsidRPr="00580BDF">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אין זו תימה, משום שאע"פ שקיי"ל הלכה כאחרונים, זה דווקא במקום שהאחרונים ראו את דברי הראשונים, אך הטור לא ראה את דברי הרשב"א </w:t>
      </w:r>
      <w:r w:rsidRPr="00580BDF">
        <w:rPr>
          <w:rFonts w:hint="cs"/>
          <w:sz w:val="18"/>
          <w:szCs w:val="18"/>
          <w:rtl/>
        </w:rPr>
        <w:t>(בתורת הבית</w:t>
      </w:r>
      <w:r>
        <w:rPr>
          <w:rFonts w:hint="cs"/>
          <w:sz w:val="18"/>
          <w:szCs w:val="18"/>
          <w:rtl/>
        </w:rPr>
        <w:t xml:space="preserve"> הארוך</w:t>
      </w:r>
      <w:r w:rsidRPr="00580BDF">
        <w:rPr>
          <w:rFonts w:hint="cs"/>
          <w:sz w:val="18"/>
          <w:szCs w:val="18"/>
          <w:rtl/>
        </w:rPr>
        <w:t xml:space="preserve">) </w:t>
      </w:r>
      <w:r>
        <w:rPr>
          <w:rFonts w:hint="cs"/>
          <w:sz w:val="20"/>
          <w:szCs w:val="20"/>
          <w:rtl/>
        </w:rPr>
        <w:t>ולכן אין להוכיח מדבריו מאומה.</w:t>
      </w:r>
      <w:r>
        <w:rPr>
          <w:sz w:val="20"/>
          <w:szCs w:val="20"/>
          <w:rtl/>
        </w:rPr>
        <w:br/>
      </w:r>
      <w:r>
        <w:rPr>
          <w:rFonts w:hint="cs"/>
          <w:sz w:val="20"/>
          <w:szCs w:val="20"/>
          <w:rtl/>
        </w:rPr>
        <w:t xml:space="preserve">ועוד </w:t>
      </w:r>
      <w:r>
        <w:rPr>
          <w:sz w:val="20"/>
          <w:szCs w:val="20"/>
          <w:rtl/>
        </w:rPr>
        <w:t>–</w:t>
      </w:r>
      <w:r>
        <w:rPr>
          <w:rFonts w:hint="cs"/>
          <w:sz w:val="20"/>
          <w:szCs w:val="20"/>
          <w:rtl/>
        </w:rPr>
        <w:t xml:space="preserve"> הראב"ד והריטב"א סוברים אף הם כרשב"א, ואם כן הרמב"ן הוא דעת יחיד.</w:t>
      </w:r>
      <w:r>
        <w:rPr>
          <w:sz w:val="20"/>
          <w:szCs w:val="20"/>
          <w:rtl/>
        </w:rPr>
        <w:br/>
      </w:r>
      <w:r>
        <w:rPr>
          <w:rFonts w:hint="cs"/>
          <w:sz w:val="20"/>
          <w:szCs w:val="20"/>
          <w:rtl/>
        </w:rPr>
        <w:t xml:space="preserve">ועוד </w:t>
      </w:r>
      <w:r>
        <w:rPr>
          <w:sz w:val="20"/>
          <w:szCs w:val="20"/>
          <w:rtl/>
        </w:rPr>
        <w:t>–</w:t>
      </w:r>
      <w:r>
        <w:rPr>
          <w:rFonts w:hint="cs"/>
          <w:sz w:val="20"/>
          <w:szCs w:val="20"/>
          <w:rtl/>
        </w:rPr>
        <w:t xml:space="preserve"> הריטב"א כתב שהמנהג כרשב"א, וקיי"ל שמקום בו ההלכה רופפת יש ללכת אחר המנהג.</w:t>
      </w:r>
      <w:r>
        <w:rPr>
          <w:sz w:val="20"/>
          <w:szCs w:val="20"/>
          <w:rtl/>
        </w:rPr>
        <w:br/>
      </w:r>
      <w:r>
        <w:rPr>
          <w:rFonts w:hint="cs"/>
          <w:sz w:val="20"/>
          <w:szCs w:val="20"/>
          <w:rtl/>
        </w:rPr>
        <w:t xml:space="preserve">ועוד </w:t>
      </w:r>
      <w:r>
        <w:rPr>
          <w:sz w:val="20"/>
          <w:szCs w:val="20"/>
          <w:rtl/>
        </w:rPr>
        <w:t>–</w:t>
      </w:r>
      <w:r>
        <w:rPr>
          <w:rFonts w:hint="cs"/>
          <w:sz w:val="20"/>
          <w:szCs w:val="20"/>
          <w:rtl/>
        </w:rPr>
        <w:t xml:space="preserve"> ווסתות דרבנן ולכן יש להקל בהם.</w:t>
      </w:r>
    </w:p>
    <w:p w:rsidR="00620060" w:rsidRDefault="00620060" w:rsidP="00620060">
      <w:pPr>
        <w:rPr>
          <w:sz w:val="20"/>
          <w:szCs w:val="20"/>
          <w:rtl/>
        </w:rPr>
      </w:pPr>
      <w:r>
        <w:rPr>
          <w:rFonts w:hint="cs"/>
          <w:sz w:val="20"/>
          <w:szCs w:val="20"/>
          <w:u w:val="single"/>
          <w:rtl/>
        </w:rPr>
        <w:t>קביעת ווסת לאשה שהפילה (פת"ש)</w:t>
      </w:r>
      <w:r>
        <w:rPr>
          <w:sz w:val="20"/>
          <w:szCs w:val="20"/>
          <w:u w:val="single"/>
          <w:rtl/>
        </w:rPr>
        <w:br/>
      </w:r>
      <w:r>
        <w:rPr>
          <w:rFonts w:hint="cs"/>
          <w:sz w:val="20"/>
          <w:szCs w:val="20"/>
          <w:rtl/>
        </w:rPr>
        <w:t xml:space="preserve">א. </w:t>
      </w:r>
      <w:r w:rsidRPr="004A02C6">
        <w:rPr>
          <w:rFonts w:hint="cs"/>
          <w:b/>
          <w:bCs/>
          <w:sz w:val="20"/>
          <w:szCs w:val="20"/>
          <w:rtl/>
        </w:rPr>
        <w:t xml:space="preserve">כרתי </w:t>
      </w:r>
      <w:r>
        <w:rPr>
          <w:sz w:val="20"/>
          <w:szCs w:val="20"/>
          <w:rtl/>
        </w:rPr>
        <w:t>–</w:t>
      </w:r>
      <w:r>
        <w:rPr>
          <w:rFonts w:hint="cs"/>
          <w:sz w:val="20"/>
          <w:szCs w:val="20"/>
          <w:rtl/>
        </w:rPr>
        <w:t xml:space="preserve"> אשה שהפילה דינה כיולדת שאינה קובעת ווסת כד' חודש, ובלבד שטמאה מחמת הנפל.</w:t>
      </w:r>
      <w:r>
        <w:rPr>
          <w:rFonts w:hint="cs"/>
          <w:sz w:val="20"/>
          <w:szCs w:val="20"/>
          <w:rtl/>
        </w:rPr>
        <w:br/>
      </w:r>
      <w:r w:rsidRPr="004A02C6">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אבריה מתפרקים בשעת ההפלה כמו בשעת לידה ואינם חוזרים עד כד' חודש.</w:t>
      </w:r>
      <w:r>
        <w:rPr>
          <w:sz w:val="20"/>
          <w:szCs w:val="20"/>
          <w:rtl/>
        </w:rPr>
        <w:br/>
      </w:r>
      <w:r>
        <w:rPr>
          <w:rFonts w:hint="cs"/>
          <w:sz w:val="20"/>
          <w:szCs w:val="20"/>
          <w:rtl/>
        </w:rPr>
        <w:t xml:space="preserve">ב. </w:t>
      </w:r>
      <w:r w:rsidRPr="004A02C6">
        <w:rPr>
          <w:rFonts w:hint="cs"/>
          <w:b/>
          <w:bCs/>
          <w:sz w:val="20"/>
          <w:szCs w:val="20"/>
          <w:rtl/>
        </w:rPr>
        <w:t>חוו"ד</w:t>
      </w:r>
      <w:r>
        <w:rPr>
          <w:rFonts w:hint="cs"/>
          <w:sz w:val="20"/>
          <w:szCs w:val="20"/>
          <w:rtl/>
        </w:rPr>
        <w:t xml:space="preserve"> </w:t>
      </w:r>
      <w:r>
        <w:rPr>
          <w:sz w:val="20"/>
          <w:szCs w:val="20"/>
          <w:rtl/>
        </w:rPr>
        <w:t>–</w:t>
      </w:r>
      <w:r>
        <w:rPr>
          <w:rFonts w:hint="cs"/>
          <w:sz w:val="20"/>
          <w:szCs w:val="20"/>
          <w:rtl/>
        </w:rPr>
        <w:t xml:space="preserve"> אפילו אם הפילה באופן שאינה טמאה, כגון הפילה רוח, אינה קובעת ווסת.</w:t>
      </w:r>
    </w:p>
    <w:p w:rsidR="00620060" w:rsidRDefault="00620060" w:rsidP="00620060">
      <w:pPr>
        <w:rPr>
          <w:sz w:val="20"/>
          <w:szCs w:val="20"/>
          <w:rtl/>
        </w:rPr>
      </w:pPr>
      <w:r>
        <w:rPr>
          <w:rFonts w:hint="cs"/>
          <w:sz w:val="20"/>
          <w:szCs w:val="20"/>
          <w:u w:val="single"/>
          <w:rtl/>
        </w:rPr>
        <w:t>האם קובעת ווסת לקולא? (פת"ש)</w:t>
      </w:r>
      <w:r>
        <w:rPr>
          <w:sz w:val="20"/>
          <w:szCs w:val="20"/>
          <w:u w:val="single"/>
          <w:rtl/>
        </w:rPr>
        <w:br/>
      </w:r>
      <w:r w:rsidRPr="008C78E7">
        <w:rPr>
          <w:rFonts w:hint="cs"/>
          <w:b/>
          <w:bCs/>
          <w:sz w:val="20"/>
          <w:szCs w:val="20"/>
          <w:rtl/>
        </w:rPr>
        <w:t>סדרי טהרה</w:t>
      </w:r>
      <w:r>
        <w:rPr>
          <w:rFonts w:hint="cs"/>
          <w:sz w:val="20"/>
          <w:szCs w:val="20"/>
          <w:rtl/>
        </w:rPr>
        <w:t xml:space="preserve"> </w:t>
      </w:r>
      <w:r>
        <w:rPr>
          <w:sz w:val="20"/>
          <w:szCs w:val="20"/>
          <w:rtl/>
        </w:rPr>
        <w:t>–</w:t>
      </w:r>
      <w:r>
        <w:rPr>
          <w:rFonts w:hint="cs"/>
          <w:sz w:val="20"/>
          <w:szCs w:val="20"/>
          <w:rtl/>
        </w:rPr>
        <w:t xml:space="preserve"> מעוברת ומניקה אינן קובעות ווסת דווקא לחומרה, אך לקולא אמרינן שפיר שקובעות.</w:t>
      </w:r>
      <w:r>
        <w:rPr>
          <w:sz w:val="20"/>
          <w:szCs w:val="20"/>
          <w:rtl/>
        </w:rPr>
        <w:br/>
      </w:r>
      <w:r>
        <w:rPr>
          <w:rFonts w:hint="cs"/>
          <w:sz w:val="20"/>
          <w:szCs w:val="20"/>
          <w:rtl/>
        </w:rPr>
        <w:t xml:space="preserve">לכן </w:t>
      </w:r>
      <w:r>
        <w:rPr>
          <w:sz w:val="20"/>
          <w:szCs w:val="20"/>
          <w:rtl/>
        </w:rPr>
        <w:t>–</w:t>
      </w:r>
      <w:r>
        <w:rPr>
          <w:rFonts w:hint="cs"/>
          <w:sz w:val="20"/>
          <w:szCs w:val="20"/>
          <w:rtl/>
        </w:rPr>
        <w:t xml:space="preserve"> אם קבעה ג' פעמים חוששת כבעלת ווסת קבוע, להפלגה או לימי החודש.</w:t>
      </w:r>
    </w:p>
    <w:p w:rsidR="00620060" w:rsidRDefault="00620060" w:rsidP="00620060">
      <w:pPr>
        <w:rPr>
          <w:sz w:val="20"/>
          <w:szCs w:val="20"/>
          <w:rtl/>
        </w:rPr>
      </w:pPr>
      <w:r>
        <w:rPr>
          <w:rFonts w:hint="cs"/>
          <w:sz w:val="20"/>
          <w:szCs w:val="20"/>
          <w:u w:val="single"/>
          <w:rtl/>
        </w:rPr>
        <w:t>האם מעוברת צריכה לחשוש לעונה בינונית? (פת"ש וששבה"ל)</w:t>
      </w:r>
      <w:r>
        <w:rPr>
          <w:rFonts w:hint="cs"/>
          <w:sz w:val="20"/>
          <w:szCs w:val="20"/>
          <w:u w:val="single"/>
          <w:rtl/>
        </w:rPr>
        <w:br/>
      </w:r>
      <w:r>
        <w:rPr>
          <w:rFonts w:hint="cs"/>
          <w:sz w:val="20"/>
          <w:szCs w:val="20"/>
          <w:rtl/>
        </w:rPr>
        <w:t>האם מעוברת ומניקה חוששות לעונה בינונית מראייתן האחרונה?</w:t>
      </w:r>
      <w:r>
        <w:rPr>
          <w:sz w:val="20"/>
          <w:szCs w:val="20"/>
          <w:u w:val="single"/>
          <w:rtl/>
        </w:rPr>
        <w:br/>
      </w:r>
      <w:r>
        <w:rPr>
          <w:rFonts w:hint="cs"/>
          <w:sz w:val="20"/>
          <w:szCs w:val="20"/>
          <w:rtl/>
        </w:rPr>
        <w:lastRenderedPageBreak/>
        <w:t xml:space="preserve">א. </w:t>
      </w:r>
      <w:r w:rsidRPr="00EB775C">
        <w:rPr>
          <w:rFonts w:hint="cs"/>
          <w:b/>
          <w:bCs/>
          <w:sz w:val="20"/>
          <w:szCs w:val="20"/>
          <w:rtl/>
        </w:rPr>
        <w:t>סדרי טהרה</w:t>
      </w:r>
      <w:r>
        <w:rPr>
          <w:rFonts w:hint="cs"/>
          <w:sz w:val="20"/>
          <w:szCs w:val="20"/>
          <w:rtl/>
        </w:rPr>
        <w:t xml:space="preserve"> </w:t>
      </w:r>
      <w:r>
        <w:rPr>
          <w:sz w:val="20"/>
          <w:szCs w:val="20"/>
          <w:rtl/>
        </w:rPr>
        <w:t>–</w:t>
      </w:r>
      <w:r>
        <w:rPr>
          <w:rFonts w:hint="cs"/>
          <w:sz w:val="20"/>
          <w:szCs w:val="20"/>
          <w:rtl/>
        </w:rPr>
        <w:t xml:space="preserve"> לא, וכ"פ </w:t>
      </w:r>
      <w:r w:rsidRPr="00744DF2">
        <w:rPr>
          <w:rFonts w:hint="cs"/>
          <w:b/>
          <w:bCs/>
          <w:sz w:val="20"/>
          <w:szCs w:val="20"/>
          <w:rtl/>
        </w:rPr>
        <w:t>הפת"ש</w:t>
      </w:r>
      <w:r>
        <w:rPr>
          <w:rFonts w:hint="cs"/>
          <w:sz w:val="20"/>
          <w:szCs w:val="20"/>
          <w:rtl/>
        </w:rPr>
        <w:t>.</w:t>
      </w:r>
      <w:r>
        <w:rPr>
          <w:sz w:val="20"/>
          <w:szCs w:val="20"/>
          <w:rtl/>
        </w:rPr>
        <w:br/>
      </w:r>
      <w:r w:rsidRPr="00EB775C">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כדין אשה שיש לה ווסת קבוע שאינה חוששת לעו"ב</w:t>
      </w:r>
      <w:r>
        <w:rPr>
          <w:rStyle w:val="a5"/>
          <w:sz w:val="20"/>
          <w:szCs w:val="20"/>
          <w:rtl/>
        </w:rPr>
        <w:footnoteReference w:id="239"/>
      </w:r>
      <w:r>
        <w:rPr>
          <w:rFonts w:hint="cs"/>
          <w:sz w:val="20"/>
          <w:szCs w:val="20"/>
          <w:rtl/>
        </w:rPr>
        <w:t xml:space="preserve"> </w:t>
      </w:r>
      <w:r>
        <w:rPr>
          <w:rFonts w:hint="cs"/>
          <w:sz w:val="18"/>
          <w:szCs w:val="18"/>
          <w:rtl/>
        </w:rPr>
        <w:t>(</w:t>
      </w:r>
      <w:r w:rsidRPr="00E368AD">
        <w:rPr>
          <w:rFonts w:hint="cs"/>
          <w:sz w:val="18"/>
          <w:szCs w:val="18"/>
          <w:rtl/>
        </w:rPr>
        <w:t>אם שינתה ראייתה פעם אחת)</w:t>
      </w:r>
      <w:r>
        <w:rPr>
          <w:rFonts w:hint="cs"/>
          <w:sz w:val="20"/>
          <w:szCs w:val="20"/>
          <w:rtl/>
        </w:rPr>
        <w:t>.</w:t>
      </w:r>
      <w:r>
        <w:rPr>
          <w:sz w:val="20"/>
          <w:szCs w:val="20"/>
          <w:rtl/>
        </w:rPr>
        <w:br/>
      </w:r>
      <w:r>
        <w:rPr>
          <w:rFonts w:hint="cs"/>
          <w:sz w:val="20"/>
          <w:szCs w:val="20"/>
          <w:rtl/>
        </w:rPr>
        <w:t>ואמנם, צריכות לחשוש להפלגה וליום החודש.</w:t>
      </w:r>
      <w:r>
        <w:rPr>
          <w:sz w:val="20"/>
          <w:szCs w:val="20"/>
          <w:rtl/>
        </w:rPr>
        <w:br/>
      </w:r>
      <w:r>
        <w:rPr>
          <w:rFonts w:hint="cs"/>
          <w:sz w:val="20"/>
          <w:szCs w:val="20"/>
          <w:rtl/>
        </w:rPr>
        <w:t xml:space="preserve">ב. </w:t>
      </w:r>
      <w:r w:rsidRPr="00EB775C">
        <w:rPr>
          <w:rFonts w:hint="cs"/>
          <w:b/>
          <w:bCs/>
          <w:sz w:val="20"/>
          <w:szCs w:val="20"/>
          <w:rtl/>
        </w:rPr>
        <w:t>מהר"ם פדאווה</w:t>
      </w:r>
      <w:r>
        <w:rPr>
          <w:rFonts w:hint="cs"/>
          <w:sz w:val="20"/>
          <w:szCs w:val="20"/>
          <w:rtl/>
        </w:rPr>
        <w:t xml:space="preserve"> </w:t>
      </w:r>
      <w:r>
        <w:rPr>
          <w:sz w:val="20"/>
          <w:szCs w:val="20"/>
          <w:rtl/>
        </w:rPr>
        <w:t>–</w:t>
      </w:r>
      <w:r>
        <w:rPr>
          <w:rFonts w:hint="cs"/>
          <w:sz w:val="20"/>
          <w:szCs w:val="20"/>
          <w:rtl/>
        </w:rPr>
        <w:t xml:space="preserve"> כן.</w:t>
      </w:r>
      <w:r>
        <w:rPr>
          <w:sz w:val="20"/>
          <w:szCs w:val="20"/>
          <w:rtl/>
        </w:rPr>
        <w:br/>
      </w:r>
      <w:r w:rsidRPr="00EB775C">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טעם החשש לעו"ב הוא משום ש"וכי לעולם לא תראה" וסברה זו אין לומר באשה שיש לה ווסת קבוע, משום שמסתמא תראה כהרגלה, אך למעוברת ומניקה אין ווסת לראות בה, ואם כן יש לחוש שמא תראה עתה.</w:t>
      </w:r>
    </w:p>
    <w:p w:rsidR="00620060" w:rsidRDefault="00620060" w:rsidP="00620060">
      <w:pPr>
        <w:rPr>
          <w:sz w:val="20"/>
          <w:szCs w:val="20"/>
          <w:rtl/>
        </w:rPr>
      </w:pPr>
      <w:r>
        <w:rPr>
          <w:rFonts w:hint="cs"/>
          <w:sz w:val="20"/>
          <w:szCs w:val="20"/>
          <w:u w:val="single"/>
          <w:rtl/>
        </w:rPr>
        <w:t>דין מעוברת ומניקה בימינו (ששבה"ל)</w:t>
      </w:r>
      <w:r>
        <w:rPr>
          <w:rFonts w:hint="cs"/>
          <w:sz w:val="20"/>
          <w:szCs w:val="20"/>
          <w:u w:val="single"/>
          <w:rtl/>
        </w:rPr>
        <w:br/>
      </w:r>
      <w:r w:rsidRPr="009E44B8">
        <w:rPr>
          <w:rFonts w:hint="cs"/>
          <w:sz w:val="20"/>
          <w:szCs w:val="20"/>
          <w:u w:val="single"/>
          <w:rtl/>
        </w:rPr>
        <w:t>מעוברת</w:t>
      </w:r>
      <w:r>
        <w:rPr>
          <w:rFonts w:hint="cs"/>
          <w:sz w:val="20"/>
          <w:szCs w:val="20"/>
          <w:rtl/>
        </w:rPr>
        <w:t xml:space="preserve"> </w:t>
      </w:r>
      <w:r>
        <w:rPr>
          <w:sz w:val="20"/>
          <w:szCs w:val="20"/>
          <w:rtl/>
        </w:rPr>
        <w:t>–</w:t>
      </w:r>
      <w:r>
        <w:rPr>
          <w:rFonts w:hint="cs"/>
          <w:sz w:val="20"/>
          <w:szCs w:val="20"/>
          <w:rtl/>
        </w:rPr>
        <w:t xml:space="preserve"> ברוב הנשים לא שייך חשש לווסתן אפילו בג' חודשי העיבור הראשונים.</w:t>
      </w:r>
      <w:r>
        <w:rPr>
          <w:sz w:val="20"/>
          <w:szCs w:val="20"/>
          <w:rtl/>
        </w:rPr>
        <w:br/>
      </w:r>
      <w:r w:rsidRPr="009E44B8">
        <w:rPr>
          <w:rFonts w:hint="cs"/>
          <w:b/>
          <w:bCs/>
          <w:sz w:val="20"/>
          <w:szCs w:val="20"/>
          <w:rtl/>
        </w:rPr>
        <w:t xml:space="preserve">טעם </w:t>
      </w:r>
      <w:r>
        <w:rPr>
          <w:sz w:val="20"/>
          <w:szCs w:val="20"/>
          <w:rtl/>
        </w:rPr>
        <w:t>–</w:t>
      </w:r>
      <w:r>
        <w:rPr>
          <w:rFonts w:hint="cs"/>
          <w:sz w:val="20"/>
          <w:szCs w:val="20"/>
          <w:rtl/>
        </w:rPr>
        <w:t xml:space="preserve"> לרוב הנשים יש ווסת להפלגה, ובהפלגה קיי"ל כדעת </w:t>
      </w:r>
      <w:r w:rsidRPr="00744DF2">
        <w:rPr>
          <w:rFonts w:hint="cs"/>
          <w:b/>
          <w:bCs/>
          <w:sz w:val="20"/>
          <w:szCs w:val="20"/>
          <w:rtl/>
        </w:rPr>
        <w:t>מהרש"ל</w:t>
      </w:r>
      <w:r>
        <w:rPr>
          <w:rFonts w:hint="cs"/>
          <w:sz w:val="20"/>
          <w:szCs w:val="20"/>
          <w:rtl/>
        </w:rPr>
        <w:t xml:space="preserve"> שאם לא ראתה פעם אחת שוב אינה חוששת </w:t>
      </w:r>
      <w:r w:rsidRPr="009E44B8">
        <w:rPr>
          <w:rFonts w:hint="cs"/>
          <w:sz w:val="18"/>
          <w:szCs w:val="18"/>
          <w:rtl/>
        </w:rPr>
        <w:t>(עיין בסעיף טו')</w:t>
      </w:r>
      <w:r>
        <w:rPr>
          <w:rFonts w:hint="cs"/>
          <w:sz w:val="20"/>
          <w:szCs w:val="20"/>
          <w:rtl/>
        </w:rPr>
        <w:t>, ולכן מעוברת שבחודש הראשון לעיבורה לא ראתה כהרגלה, אינה חוששת לווסתה.</w:t>
      </w:r>
      <w:r>
        <w:rPr>
          <w:rFonts w:hint="cs"/>
          <w:sz w:val="20"/>
          <w:szCs w:val="20"/>
          <w:rtl/>
        </w:rPr>
        <w:br/>
      </w:r>
      <w:r>
        <w:rPr>
          <w:sz w:val="20"/>
          <w:szCs w:val="20"/>
          <w:rtl/>
        </w:rPr>
        <w:br/>
      </w:r>
      <w:r w:rsidRPr="009E44B8">
        <w:rPr>
          <w:rFonts w:hint="cs"/>
          <w:sz w:val="20"/>
          <w:szCs w:val="20"/>
          <w:u w:val="single"/>
          <w:rtl/>
        </w:rPr>
        <w:t>מניקה</w:t>
      </w:r>
      <w:r>
        <w:rPr>
          <w:rFonts w:hint="cs"/>
          <w:sz w:val="20"/>
          <w:szCs w:val="20"/>
          <w:rtl/>
        </w:rPr>
        <w:t xml:space="preserve"> </w:t>
      </w:r>
      <w:r>
        <w:rPr>
          <w:sz w:val="20"/>
          <w:szCs w:val="20"/>
          <w:rtl/>
        </w:rPr>
        <w:t>–</w:t>
      </w:r>
      <w:r>
        <w:rPr>
          <w:rFonts w:hint="cs"/>
          <w:sz w:val="20"/>
          <w:szCs w:val="20"/>
          <w:rtl/>
        </w:rPr>
        <w:t xml:space="preserve"> בימינו השתנו הטבעים, ודרך הנשים להתחיל לראות כמה חודשים לאחר הלידה.</w:t>
      </w:r>
      <w:r>
        <w:rPr>
          <w:sz w:val="20"/>
          <w:szCs w:val="20"/>
          <w:rtl/>
        </w:rPr>
        <w:br/>
      </w:r>
      <w:r>
        <w:rPr>
          <w:rFonts w:hint="cs"/>
          <w:sz w:val="20"/>
          <w:szCs w:val="20"/>
          <w:rtl/>
        </w:rPr>
        <w:t xml:space="preserve">לכן </w:t>
      </w:r>
      <w:r>
        <w:rPr>
          <w:sz w:val="20"/>
          <w:szCs w:val="20"/>
          <w:rtl/>
        </w:rPr>
        <w:t>–</w:t>
      </w:r>
      <w:r>
        <w:rPr>
          <w:rFonts w:hint="cs"/>
          <w:sz w:val="20"/>
          <w:szCs w:val="20"/>
          <w:rtl/>
        </w:rPr>
        <w:t xml:space="preserve"> יש לחוש לחומרה שקובעות ווסת, אך אין להקל ע"י קביעות הווסת </w:t>
      </w:r>
      <w:r w:rsidRPr="000A0B02">
        <w:rPr>
          <w:rFonts w:hint="cs"/>
          <w:sz w:val="18"/>
          <w:szCs w:val="18"/>
          <w:rtl/>
        </w:rPr>
        <w:t>(ועיין לעיל בשם סד"ט שקובעת לקולא)</w:t>
      </w:r>
      <w:r>
        <w:rPr>
          <w:rFonts w:hint="cs"/>
          <w:sz w:val="20"/>
          <w:szCs w:val="20"/>
          <w:rtl/>
        </w:rPr>
        <w:t>.</w:t>
      </w:r>
      <w:r>
        <w:rPr>
          <w:rFonts w:hint="cs"/>
          <w:sz w:val="20"/>
          <w:szCs w:val="20"/>
          <w:rtl/>
        </w:rPr>
        <w:br/>
      </w:r>
      <w:r w:rsidRPr="004A074A">
        <w:rPr>
          <w:rFonts w:hint="cs"/>
          <w:sz w:val="20"/>
          <w:szCs w:val="20"/>
          <w:rtl/>
        </w:rPr>
        <w:t>ואמנם,</w:t>
      </w:r>
      <w:r>
        <w:rPr>
          <w:rFonts w:hint="cs"/>
          <w:sz w:val="20"/>
          <w:szCs w:val="20"/>
          <w:rtl/>
        </w:rPr>
        <w:t xml:space="preserve"> בתוך כד' חודש חוששת רק לפי ראיותיה הנוכחיות ולא לפי הווסת הקודם שלפני העיבור.</w:t>
      </w:r>
      <w:r>
        <w:rPr>
          <w:sz w:val="20"/>
          <w:szCs w:val="20"/>
          <w:rtl/>
        </w:rPr>
        <w:br/>
      </w:r>
      <w:r>
        <w:rPr>
          <w:rFonts w:hint="cs"/>
          <w:sz w:val="20"/>
          <w:szCs w:val="20"/>
          <w:rtl/>
        </w:rPr>
        <w:t>כמו כן, ווסת זה שקובעת עתה אינו עוקר את הווסת שהיה לה לפני העיבור.</w:t>
      </w:r>
      <w:r>
        <w:rPr>
          <w:sz w:val="20"/>
          <w:szCs w:val="20"/>
          <w:rtl/>
        </w:rPr>
        <w:br/>
      </w:r>
      <w:r>
        <w:rPr>
          <w:rFonts w:hint="cs"/>
          <w:sz w:val="20"/>
          <w:szCs w:val="20"/>
          <w:rtl/>
        </w:rPr>
        <w:t xml:space="preserve">לכן </w:t>
      </w:r>
      <w:r>
        <w:rPr>
          <w:sz w:val="20"/>
          <w:szCs w:val="20"/>
          <w:rtl/>
        </w:rPr>
        <w:t>–</w:t>
      </w:r>
      <w:r>
        <w:rPr>
          <w:rFonts w:hint="cs"/>
          <w:sz w:val="20"/>
          <w:szCs w:val="20"/>
          <w:rtl/>
        </w:rPr>
        <w:t xml:space="preserve"> לאחר כד' חודש חוששת לשני הווסתות, לווסת שלפני העיבור ולווסת החדש.</w:t>
      </w:r>
      <w:r>
        <w:rPr>
          <w:sz w:val="20"/>
          <w:szCs w:val="20"/>
          <w:rtl/>
        </w:rPr>
        <w:br/>
      </w:r>
      <w:r>
        <w:rPr>
          <w:rFonts w:hint="cs"/>
          <w:sz w:val="20"/>
          <w:szCs w:val="20"/>
          <w:rtl/>
        </w:rPr>
        <w:t>ואמנם, אם קבעה לה ווסת גמור בתוך הכד' חודש, יש להקל בזמן הזה להתעלם מהווסת שלפני העיבור.</w:t>
      </w:r>
    </w:p>
    <w:p w:rsidR="00620060" w:rsidRDefault="00620060" w:rsidP="00620060">
      <w:pPr>
        <w:rPr>
          <w:sz w:val="20"/>
          <w:szCs w:val="20"/>
          <w:rtl/>
        </w:rPr>
      </w:pPr>
      <w:r w:rsidRPr="00ED66CA">
        <w:rPr>
          <w:rFonts w:hint="cs"/>
          <w:b/>
          <w:bCs/>
          <w:sz w:val="20"/>
          <w:szCs w:val="20"/>
          <w:rtl/>
        </w:rPr>
        <w:t>סיכום</w:t>
      </w:r>
      <w:r>
        <w:rPr>
          <w:sz w:val="20"/>
          <w:szCs w:val="20"/>
          <w:rtl/>
        </w:rPr>
        <w:br/>
      </w:r>
      <w:r>
        <w:rPr>
          <w:rFonts w:hint="cs"/>
          <w:sz w:val="20"/>
          <w:szCs w:val="20"/>
          <w:rtl/>
        </w:rPr>
        <w:t xml:space="preserve">1. </w:t>
      </w:r>
      <w:r w:rsidRPr="00ED66CA">
        <w:rPr>
          <w:rFonts w:hint="cs"/>
          <w:b/>
          <w:bCs/>
          <w:sz w:val="20"/>
          <w:szCs w:val="20"/>
          <w:rtl/>
        </w:rPr>
        <w:t>משנה</w:t>
      </w:r>
      <w:r>
        <w:rPr>
          <w:rFonts w:hint="cs"/>
          <w:sz w:val="20"/>
          <w:szCs w:val="20"/>
          <w:rtl/>
        </w:rPr>
        <w:t xml:space="preserve">. מעוברת ומניקה דיה שעתה. מעוברת </w:t>
      </w:r>
      <w:r>
        <w:rPr>
          <w:sz w:val="20"/>
          <w:szCs w:val="20"/>
          <w:rtl/>
        </w:rPr>
        <w:t>–</w:t>
      </w:r>
      <w:r>
        <w:rPr>
          <w:rFonts w:hint="cs"/>
          <w:sz w:val="20"/>
          <w:szCs w:val="20"/>
          <w:rtl/>
        </w:rPr>
        <w:t xml:space="preserve"> משהוכר עוברה; מניקה </w:t>
      </w:r>
      <w:r>
        <w:rPr>
          <w:sz w:val="20"/>
          <w:szCs w:val="20"/>
          <w:rtl/>
        </w:rPr>
        <w:t>–</w:t>
      </w:r>
      <w:r>
        <w:rPr>
          <w:rFonts w:hint="cs"/>
          <w:sz w:val="20"/>
          <w:szCs w:val="20"/>
          <w:rtl/>
        </w:rPr>
        <w:t xml:space="preserve"> עד שתגמול את בנה.</w:t>
      </w:r>
      <w:r>
        <w:rPr>
          <w:sz w:val="20"/>
          <w:szCs w:val="20"/>
          <w:rtl/>
        </w:rPr>
        <w:br/>
      </w:r>
      <w:r>
        <w:rPr>
          <w:rFonts w:hint="cs"/>
          <w:sz w:val="20"/>
          <w:szCs w:val="20"/>
          <w:rtl/>
        </w:rPr>
        <w:t xml:space="preserve">2. </w:t>
      </w:r>
      <w:r w:rsidRPr="00ED66CA">
        <w:rPr>
          <w:rFonts w:hint="cs"/>
          <w:b/>
          <w:bCs/>
          <w:sz w:val="20"/>
          <w:szCs w:val="20"/>
          <w:rtl/>
        </w:rPr>
        <w:t>גמרא</w:t>
      </w:r>
      <w:r>
        <w:rPr>
          <w:rFonts w:hint="cs"/>
          <w:sz w:val="20"/>
          <w:szCs w:val="20"/>
          <w:rtl/>
        </w:rPr>
        <w:t xml:space="preserve">. מניקה שמת בנה תוך כד' חודש. </w:t>
      </w:r>
      <w:r w:rsidRPr="00CD1193">
        <w:rPr>
          <w:rFonts w:hint="cs"/>
          <w:sz w:val="20"/>
          <w:szCs w:val="20"/>
          <w:u w:val="single"/>
          <w:rtl/>
        </w:rPr>
        <w:t>ר"מ</w:t>
      </w:r>
      <w:r>
        <w:rPr>
          <w:rFonts w:hint="cs"/>
          <w:sz w:val="20"/>
          <w:szCs w:val="20"/>
          <w:rtl/>
        </w:rPr>
        <w:t xml:space="preserve">. מטמאה מעל"ע, וכן אם היתה מניקה חמש שנים דיה שעתה, הכל תלוי בהנקה בפועל. </w:t>
      </w:r>
      <w:r w:rsidRPr="00CD1193">
        <w:rPr>
          <w:rFonts w:hint="cs"/>
          <w:sz w:val="20"/>
          <w:szCs w:val="20"/>
          <w:u w:val="single"/>
          <w:rtl/>
        </w:rPr>
        <w:t>רבי יוסי</w:t>
      </w:r>
      <w:r>
        <w:rPr>
          <w:rFonts w:hint="cs"/>
          <w:sz w:val="20"/>
          <w:szCs w:val="20"/>
          <w:rtl/>
        </w:rPr>
        <w:t xml:space="preserve">. דיה שעתה שנתיים בכל עניין, אבריה מתפרקים מחמת הלידה, וכ"פ </w:t>
      </w:r>
      <w:r w:rsidRPr="00CD1193">
        <w:rPr>
          <w:rFonts w:hint="cs"/>
          <w:b/>
          <w:bCs/>
          <w:sz w:val="20"/>
          <w:szCs w:val="20"/>
          <w:rtl/>
        </w:rPr>
        <w:t>הב"י</w:t>
      </w:r>
      <w:r>
        <w:rPr>
          <w:rFonts w:hint="cs"/>
          <w:sz w:val="20"/>
          <w:szCs w:val="20"/>
          <w:rtl/>
        </w:rPr>
        <w:t>.</w:t>
      </w:r>
      <w:r>
        <w:rPr>
          <w:sz w:val="20"/>
          <w:szCs w:val="20"/>
          <w:rtl/>
        </w:rPr>
        <w:br/>
      </w:r>
      <w:r>
        <w:rPr>
          <w:rFonts w:hint="cs"/>
          <w:sz w:val="20"/>
          <w:szCs w:val="20"/>
          <w:rtl/>
        </w:rPr>
        <w:t xml:space="preserve">3. </w:t>
      </w:r>
      <w:r w:rsidRPr="00223882">
        <w:rPr>
          <w:rFonts w:hint="cs"/>
          <w:b/>
          <w:bCs/>
          <w:sz w:val="20"/>
          <w:szCs w:val="20"/>
          <w:rtl/>
        </w:rPr>
        <w:t>ראב"ד ורשב"א</w:t>
      </w:r>
      <w:r>
        <w:rPr>
          <w:rFonts w:hint="cs"/>
          <w:sz w:val="20"/>
          <w:szCs w:val="20"/>
          <w:rtl/>
        </w:rPr>
        <w:t xml:space="preserve">. מעוברת ומניקה אינן קובעות ווסת אך חוששות לראייה האחרונה. </w:t>
      </w:r>
      <w:r w:rsidRPr="00223882">
        <w:rPr>
          <w:rFonts w:hint="cs"/>
          <w:b/>
          <w:bCs/>
          <w:sz w:val="20"/>
          <w:szCs w:val="20"/>
          <w:rtl/>
        </w:rPr>
        <w:t>רמב"ן</w:t>
      </w:r>
      <w:r>
        <w:rPr>
          <w:rFonts w:hint="cs"/>
          <w:sz w:val="20"/>
          <w:szCs w:val="20"/>
          <w:rtl/>
        </w:rPr>
        <w:t>. קובעות ווסת.</w:t>
      </w:r>
      <w:r>
        <w:rPr>
          <w:rFonts w:hint="cs"/>
          <w:sz w:val="20"/>
          <w:szCs w:val="20"/>
          <w:rtl/>
        </w:rPr>
        <w:br/>
        <w:t xml:space="preserve">4. </w:t>
      </w:r>
      <w:r w:rsidRPr="00ED66CA">
        <w:rPr>
          <w:rFonts w:hint="cs"/>
          <w:b/>
          <w:bCs/>
          <w:sz w:val="20"/>
          <w:szCs w:val="20"/>
          <w:rtl/>
        </w:rPr>
        <w:t>טעם הרמב"ן</w:t>
      </w:r>
      <w:r>
        <w:rPr>
          <w:rFonts w:hint="cs"/>
          <w:sz w:val="20"/>
          <w:szCs w:val="20"/>
          <w:rtl/>
        </w:rPr>
        <w:t>. בגמרא ממעטים יושבת על דם טוהר שאינה קובעת ווסת, משמע שמעוברת ומניקה קובעות.</w:t>
      </w:r>
      <w:r>
        <w:rPr>
          <w:sz w:val="20"/>
          <w:szCs w:val="20"/>
          <w:rtl/>
        </w:rPr>
        <w:br/>
      </w:r>
      <w:r>
        <w:rPr>
          <w:rFonts w:hint="cs"/>
          <w:sz w:val="20"/>
          <w:szCs w:val="20"/>
          <w:rtl/>
        </w:rPr>
        <w:t xml:space="preserve">5. </w:t>
      </w:r>
      <w:r w:rsidRPr="00ED66CA">
        <w:rPr>
          <w:rFonts w:hint="cs"/>
          <w:b/>
          <w:bCs/>
          <w:sz w:val="20"/>
          <w:szCs w:val="20"/>
          <w:rtl/>
        </w:rPr>
        <w:t>טעם הראב"ד והרשב"א</w:t>
      </w:r>
      <w:r>
        <w:rPr>
          <w:rFonts w:hint="cs"/>
          <w:sz w:val="20"/>
          <w:szCs w:val="20"/>
          <w:rtl/>
        </w:rPr>
        <w:t>. נאמר במעוברת ומניקה שדיה שעתה, משמע שראיותיה מקרה ואינה קובעת.</w:t>
      </w:r>
      <w:r>
        <w:rPr>
          <w:rFonts w:hint="cs"/>
          <w:sz w:val="20"/>
          <w:szCs w:val="20"/>
          <w:rtl/>
        </w:rPr>
        <w:br/>
        <w:t xml:space="preserve">6. </w:t>
      </w:r>
      <w:r w:rsidRPr="00223882">
        <w:rPr>
          <w:rFonts w:hint="cs"/>
          <w:b/>
          <w:bCs/>
          <w:sz w:val="20"/>
          <w:szCs w:val="20"/>
          <w:rtl/>
        </w:rPr>
        <w:t>מחבר</w:t>
      </w:r>
      <w:r>
        <w:rPr>
          <w:rFonts w:hint="cs"/>
          <w:sz w:val="20"/>
          <w:szCs w:val="20"/>
          <w:rtl/>
        </w:rPr>
        <w:t>. מעוברת לאחר ג' חודשים, וכן מניקה כד' חודש אפילו מת הוולד אינן קובעות, אך חוששת לראייתה.</w:t>
      </w:r>
      <w:r>
        <w:rPr>
          <w:rFonts w:hint="cs"/>
          <w:sz w:val="20"/>
          <w:szCs w:val="20"/>
          <w:rtl/>
        </w:rPr>
        <w:br/>
        <w:t xml:space="preserve">7. </w:t>
      </w:r>
      <w:r w:rsidRPr="003E6AD0">
        <w:rPr>
          <w:rFonts w:hint="cs"/>
          <w:b/>
          <w:bCs/>
          <w:sz w:val="20"/>
          <w:szCs w:val="20"/>
          <w:rtl/>
        </w:rPr>
        <w:t>ב"י</w:t>
      </w:r>
      <w:r>
        <w:rPr>
          <w:rFonts w:hint="cs"/>
          <w:sz w:val="20"/>
          <w:szCs w:val="20"/>
          <w:rtl/>
        </w:rPr>
        <w:t xml:space="preserve">. דין מעוברת ומניקה חמורות מזקנה בכך שחוששות לראייה האחרונה. </w:t>
      </w:r>
      <w:r w:rsidRPr="00744DF2">
        <w:rPr>
          <w:rFonts w:hint="cs"/>
          <w:b/>
          <w:bCs/>
          <w:sz w:val="20"/>
          <w:szCs w:val="20"/>
          <w:rtl/>
        </w:rPr>
        <w:t>טעם</w:t>
      </w:r>
      <w:r>
        <w:rPr>
          <w:rFonts w:hint="cs"/>
          <w:sz w:val="20"/>
          <w:szCs w:val="20"/>
          <w:rtl/>
        </w:rPr>
        <w:t>. אין זה סילוק אלא עיכוב.</w:t>
      </w:r>
      <w:r>
        <w:rPr>
          <w:rFonts w:hint="cs"/>
          <w:sz w:val="20"/>
          <w:szCs w:val="20"/>
          <w:rtl/>
        </w:rPr>
        <w:br/>
        <w:t xml:space="preserve">8. </w:t>
      </w:r>
      <w:r w:rsidRPr="008C78E7">
        <w:rPr>
          <w:rFonts w:hint="cs"/>
          <w:b/>
          <w:bCs/>
          <w:sz w:val="20"/>
          <w:szCs w:val="20"/>
          <w:rtl/>
        </w:rPr>
        <w:t>ב"ח</w:t>
      </w:r>
      <w:r>
        <w:rPr>
          <w:rFonts w:hint="cs"/>
          <w:sz w:val="20"/>
          <w:szCs w:val="20"/>
          <w:rtl/>
        </w:rPr>
        <w:t xml:space="preserve">. הלכה </w:t>
      </w:r>
      <w:r w:rsidRPr="00744DF2">
        <w:rPr>
          <w:rFonts w:hint="cs"/>
          <w:b/>
          <w:bCs/>
          <w:sz w:val="20"/>
          <w:szCs w:val="20"/>
          <w:rtl/>
        </w:rPr>
        <w:t>כרמב"ן</w:t>
      </w:r>
      <w:r>
        <w:rPr>
          <w:rFonts w:hint="cs"/>
          <w:sz w:val="20"/>
          <w:szCs w:val="20"/>
          <w:rtl/>
        </w:rPr>
        <w:t xml:space="preserve"> ותימה על </w:t>
      </w:r>
      <w:r w:rsidRPr="00744DF2">
        <w:rPr>
          <w:rFonts w:hint="cs"/>
          <w:sz w:val="20"/>
          <w:szCs w:val="20"/>
          <w:rtl/>
        </w:rPr>
        <w:t>המחבר</w:t>
      </w:r>
      <w:r>
        <w:rPr>
          <w:rFonts w:hint="cs"/>
          <w:sz w:val="20"/>
          <w:szCs w:val="20"/>
          <w:rtl/>
        </w:rPr>
        <w:t xml:space="preserve"> שפסק כרשב"א. </w:t>
      </w:r>
      <w:r w:rsidRPr="008C78E7">
        <w:rPr>
          <w:rFonts w:hint="cs"/>
          <w:b/>
          <w:bCs/>
          <w:sz w:val="20"/>
          <w:szCs w:val="20"/>
          <w:rtl/>
        </w:rPr>
        <w:t>ש"ך</w:t>
      </w:r>
      <w:r>
        <w:rPr>
          <w:rFonts w:hint="cs"/>
          <w:sz w:val="20"/>
          <w:szCs w:val="20"/>
          <w:rtl/>
        </w:rPr>
        <w:t>. הרמב"ן יחיד, והטור לא ראה את דברי הרשב"א. ועוד, המנהג כרשב"א. ועוד, ווסתות דרבנן ויש להקל.</w:t>
      </w:r>
      <w:r>
        <w:rPr>
          <w:sz w:val="20"/>
          <w:szCs w:val="20"/>
          <w:rtl/>
        </w:rPr>
        <w:br/>
      </w:r>
      <w:r>
        <w:rPr>
          <w:rFonts w:hint="cs"/>
          <w:sz w:val="20"/>
          <w:szCs w:val="20"/>
          <w:rtl/>
        </w:rPr>
        <w:t xml:space="preserve">9. </w:t>
      </w:r>
      <w:r w:rsidRPr="00744DF2">
        <w:rPr>
          <w:rFonts w:hint="cs"/>
          <w:sz w:val="20"/>
          <w:szCs w:val="20"/>
          <w:rtl/>
        </w:rPr>
        <w:t>האם חוששות לעו"ב?</w:t>
      </w:r>
      <w:r>
        <w:rPr>
          <w:rFonts w:hint="cs"/>
          <w:sz w:val="20"/>
          <w:szCs w:val="20"/>
          <w:rtl/>
        </w:rPr>
        <w:t xml:space="preserve"> </w:t>
      </w:r>
      <w:r w:rsidRPr="00EB775C">
        <w:rPr>
          <w:rFonts w:hint="cs"/>
          <w:b/>
          <w:bCs/>
          <w:sz w:val="20"/>
          <w:szCs w:val="20"/>
          <w:rtl/>
        </w:rPr>
        <w:t>סד"ט</w:t>
      </w:r>
      <w:r>
        <w:rPr>
          <w:rFonts w:hint="cs"/>
          <w:sz w:val="20"/>
          <w:szCs w:val="20"/>
          <w:rtl/>
        </w:rPr>
        <w:t xml:space="preserve">. לא, כדין אשה בעלת ווסת קבוע. </w:t>
      </w:r>
      <w:r w:rsidRPr="00EB775C">
        <w:rPr>
          <w:rFonts w:hint="cs"/>
          <w:b/>
          <w:bCs/>
          <w:sz w:val="20"/>
          <w:szCs w:val="20"/>
          <w:rtl/>
        </w:rPr>
        <w:t>מהר"פ</w:t>
      </w:r>
      <w:r>
        <w:rPr>
          <w:rFonts w:hint="cs"/>
          <w:sz w:val="20"/>
          <w:szCs w:val="20"/>
          <w:rtl/>
        </w:rPr>
        <w:t>. כן, אין לה ווסת קבוע לראות.</w:t>
      </w:r>
      <w:r>
        <w:rPr>
          <w:rFonts w:hint="cs"/>
          <w:sz w:val="20"/>
          <w:szCs w:val="20"/>
          <w:rtl/>
        </w:rPr>
        <w:br/>
        <w:t xml:space="preserve">9. </w:t>
      </w:r>
      <w:r w:rsidRPr="008C78E7">
        <w:rPr>
          <w:rFonts w:hint="cs"/>
          <w:b/>
          <w:bCs/>
          <w:sz w:val="20"/>
          <w:szCs w:val="20"/>
          <w:rtl/>
        </w:rPr>
        <w:t>כרתי</w:t>
      </w:r>
      <w:r>
        <w:rPr>
          <w:rFonts w:hint="cs"/>
          <w:sz w:val="20"/>
          <w:szCs w:val="20"/>
          <w:rtl/>
        </w:rPr>
        <w:t xml:space="preserve">. מפלת שטמאה דינה כמניקה. </w:t>
      </w:r>
      <w:r w:rsidRPr="008C78E7">
        <w:rPr>
          <w:rFonts w:hint="cs"/>
          <w:b/>
          <w:bCs/>
          <w:sz w:val="20"/>
          <w:szCs w:val="20"/>
          <w:rtl/>
        </w:rPr>
        <w:t>חוו"ד</w:t>
      </w:r>
      <w:r>
        <w:rPr>
          <w:rFonts w:hint="cs"/>
          <w:sz w:val="20"/>
          <w:szCs w:val="20"/>
          <w:rtl/>
        </w:rPr>
        <w:t>. אפילו אם הפילה רוח ואינה טמאה לידה, דינה כמניקה.</w:t>
      </w:r>
      <w:r>
        <w:rPr>
          <w:sz w:val="20"/>
          <w:szCs w:val="20"/>
          <w:rtl/>
        </w:rPr>
        <w:br/>
      </w:r>
      <w:r>
        <w:rPr>
          <w:rFonts w:hint="cs"/>
          <w:sz w:val="20"/>
          <w:szCs w:val="20"/>
          <w:rtl/>
        </w:rPr>
        <w:t xml:space="preserve">10. </w:t>
      </w:r>
      <w:r w:rsidRPr="008C78E7">
        <w:rPr>
          <w:rFonts w:hint="cs"/>
          <w:b/>
          <w:bCs/>
          <w:sz w:val="20"/>
          <w:szCs w:val="20"/>
          <w:rtl/>
        </w:rPr>
        <w:t>סד"ט</w:t>
      </w:r>
      <w:r>
        <w:rPr>
          <w:rFonts w:hint="cs"/>
          <w:sz w:val="20"/>
          <w:szCs w:val="20"/>
          <w:rtl/>
        </w:rPr>
        <w:t>. לקולא אמרינן שמעוברת ומניקה קובעות ווסת, ואינן חוששות לראייה האחרונה.</w:t>
      </w:r>
      <w:r>
        <w:rPr>
          <w:rFonts w:hint="cs"/>
          <w:sz w:val="20"/>
          <w:szCs w:val="20"/>
          <w:rtl/>
        </w:rPr>
        <w:br/>
        <w:t xml:space="preserve">11. </w:t>
      </w:r>
      <w:r w:rsidRPr="00EB2A04">
        <w:rPr>
          <w:rFonts w:hint="cs"/>
          <w:b/>
          <w:bCs/>
          <w:sz w:val="20"/>
          <w:szCs w:val="20"/>
          <w:rtl/>
        </w:rPr>
        <w:t>ששבה"ל</w:t>
      </w:r>
      <w:r>
        <w:rPr>
          <w:rFonts w:hint="cs"/>
          <w:sz w:val="20"/>
          <w:szCs w:val="20"/>
          <w:rtl/>
        </w:rPr>
        <w:t>.</w:t>
      </w:r>
      <w:r w:rsidRPr="00CD1193">
        <w:rPr>
          <w:rFonts w:hint="cs"/>
          <w:sz w:val="20"/>
          <w:szCs w:val="20"/>
          <w:rtl/>
        </w:rPr>
        <w:t xml:space="preserve"> </w:t>
      </w:r>
      <w:r w:rsidRPr="00CD1193">
        <w:rPr>
          <w:rFonts w:hint="cs"/>
          <w:sz w:val="20"/>
          <w:szCs w:val="20"/>
          <w:u w:val="single"/>
          <w:rtl/>
        </w:rPr>
        <w:t>מעוברת</w:t>
      </w:r>
      <w:r>
        <w:rPr>
          <w:rFonts w:hint="cs"/>
          <w:sz w:val="20"/>
          <w:szCs w:val="20"/>
          <w:rtl/>
        </w:rPr>
        <w:t xml:space="preserve">. לאחר פעם אחת שלא ראתה אינה חוששת לווסת ההפלגה. </w:t>
      </w:r>
      <w:r>
        <w:rPr>
          <w:rFonts w:hint="cs"/>
          <w:sz w:val="20"/>
          <w:szCs w:val="20"/>
          <w:u w:val="single"/>
          <w:rtl/>
        </w:rPr>
        <w:t>מניקה</w:t>
      </w:r>
      <w:r>
        <w:rPr>
          <w:rFonts w:hint="cs"/>
          <w:sz w:val="20"/>
          <w:szCs w:val="20"/>
          <w:rtl/>
        </w:rPr>
        <w:t xml:space="preserve">. כיום מניקה חוששת לווסתה לחומרה לאחר שפסקה להניק. </w:t>
      </w:r>
    </w:p>
    <w:p w:rsidR="00620060" w:rsidRDefault="00620060" w:rsidP="00620060">
      <w:pPr>
        <w:rPr>
          <w:sz w:val="20"/>
          <w:szCs w:val="20"/>
          <w:rtl/>
        </w:rPr>
      </w:pPr>
      <w:r>
        <w:rPr>
          <w:sz w:val="20"/>
          <w:szCs w:val="20"/>
          <w:rtl/>
        </w:rPr>
        <w:br/>
      </w:r>
      <w:r>
        <w:rPr>
          <w:rFonts w:hint="cs"/>
          <w:b/>
          <w:bCs/>
          <w:sz w:val="20"/>
          <w:szCs w:val="20"/>
          <w:rtl/>
        </w:rPr>
        <w:t xml:space="preserve">סעיף לד </w:t>
      </w:r>
      <w:r>
        <w:rPr>
          <w:b/>
          <w:bCs/>
          <w:sz w:val="20"/>
          <w:szCs w:val="20"/>
          <w:rtl/>
        </w:rPr>
        <w:t>–</w:t>
      </w:r>
      <w:r>
        <w:rPr>
          <w:rFonts w:hint="cs"/>
          <w:b/>
          <w:bCs/>
          <w:sz w:val="20"/>
          <w:szCs w:val="20"/>
          <w:rtl/>
        </w:rPr>
        <w:t xml:space="preserve"> חשש לווסת הראשון בימי העיבור וההנקה ולאחר העיבור וההנקה</w:t>
      </w:r>
      <w:r>
        <w:rPr>
          <w:b/>
          <w:bCs/>
          <w:sz w:val="20"/>
          <w:szCs w:val="20"/>
          <w:rtl/>
        </w:rPr>
        <w:br/>
      </w:r>
      <w:r>
        <w:rPr>
          <w:rFonts w:hint="cs"/>
          <w:b/>
          <w:bCs/>
          <w:sz w:val="20"/>
          <w:szCs w:val="20"/>
          <w:rtl/>
        </w:rPr>
        <w:t>חשש לווסת הראשון בימי העיבור וההנקה - שיטות הראשונים</w:t>
      </w:r>
      <w:r w:rsidRPr="00F82A30">
        <w:rPr>
          <w:rStyle w:val="a5"/>
          <w:sz w:val="20"/>
          <w:szCs w:val="20"/>
          <w:rtl/>
        </w:rPr>
        <w:footnoteReference w:id="240"/>
      </w:r>
      <w:r>
        <w:rPr>
          <w:b/>
          <w:bCs/>
          <w:sz w:val="20"/>
          <w:szCs w:val="20"/>
          <w:rtl/>
        </w:rPr>
        <w:br/>
      </w:r>
      <w:r>
        <w:rPr>
          <w:rFonts w:hint="cs"/>
          <w:sz w:val="20"/>
          <w:szCs w:val="20"/>
          <w:rtl/>
        </w:rPr>
        <w:t>האם מעוברת ומניקה שהגיע שעת ווסתן חוששות לו?</w:t>
      </w:r>
      <w:r>
        <w:rPr>
          <w:sz w:val="20"/>
          <w:szCs w:val="20"/>
          <w:rtl/>
        </w:rPr>
        <w:br/>
      </w:r>
      <w:r>
        <w:rPr>
          <w:rFonts w:hint="cs"/>
          <w:sz w:val="20"/>
          <w:szCs w:val="20"/>
          <w:rtl/>
        </w:rPr>
        <w:t xml:space="preserve">א. </w:t>
      </w:r>
      <w:r w:rsidRPr="00F10A73">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לא, וכ"פ </w:t>
      </w:r>
      <w:r w:rsidRPr="00F82A30">
        <w:rPr>
          <w:rFonts w:hint="cs"/>
          <w:b/>
          <w:bCs/>
          <w:sz w:val="20"/>
          <w:szCs w:val="20"/>
          <w:rtl/>
        </w:rPr>
        <w:t>המחבר</w:t>
      </w:r>
      <w:r>
        <w:rPr>
          <w:rFonts w:hint="cs"/>
          <w:sz w:val="20"/>
          <w:szCs w:val="20"/>
          <w:rtl/>
        </w:rPr>
        <w:t>.</w:t>
      </w:r>
      <w:r>
        <w:rPr>
          <w:rFonts w:hint="cs"/>
          <w:sz w:val="20"/>
          <w:szCs w:val="20"/>
          <w:rtl/>
        </w:rPr>
        <w:br/>
        <w:t xml:space="preserve">ב. </w:t>
      </w:r>
      <w:r w:rsidRPr="00F10A73">
        <w:rPr>
          <w:rFonts w:hint="cs"/>
          <w:b/>
          <w:bCs/>
          <w:sz w:val="20"/>
          <w:szCs w:val="20"/>
          <w:rtl/>
        </w:rPr>
        <w:t>רז"ה</w:t>
      </w:r>
      <w:r>
        <w:rPr>
          <w:rFonts w:hint="cs"/>
          <w:sz w:val="20"/>
          <w:szCs w:val="20"/>
          <w:rtl/>
        </w:rPr>
        <w:t xml:space="preserve"> </w:t>
      </w:r>
      <w:r>
        <w:rPr>
          <w:sz w:val="20"/>
          <w:szCs w:val="20"/>
          <w:rtl/>
        </w:rPr>
        <w:t>–</w:t>
      </w:r>
      <w:r>
        <w:rPr>
          <w:rFonts w:hint="cs"/>
          <w:sz w:val="20"/>
          <w:szCs w:val="20"/>
          <w:rtl/>
        </w:rPr>
        <w:t xml:space="preserve"> כן, אך אם עברו עליה ג' עונות שבהן לא ראתה אינה חוששת לווסתה.</w:t>
      </w:r>
      <w:r>
        <w:rPr>
          <w:sz w:val="20"/>
          <w:szCs w:val="20"/>
          <w:rtl/>
        </w:rPr>
        <w:br/>
      </w:r>
      <w:r>
        <w:rPr>
          <w:sz w:val="20"/>
          <w:szCs w:val="20"/>
          <w:u w:val="single"/>
          <w:rtl/>
        </w:rPr>
        <w:br/>
      </w:r>
      <w:r>
        <w:rPr>
          <w:rFonts w:hint="cs"/>
          <w:sz w:val="20"/>
          <w:szCs w:val="20"/>
          <w:u w:val="single"/>
          <w:rtl/>
        </w:rPr>
        <w:t>ראיות לשיטות הרשב"א</w:t>
      </w:r>
      <w:r>
        <w:rPr>
          <w:sz w:val="20"/>
          <w:szCs w:val="20"/>
          <w:u w:val="single"/>
          <w:rtl/>
        </w:rPr>
        <w:br/>
      </w:r>
      <w:r>
        <w:rPr>
          <w:rFonts w:hint="cs"/>
          <w:sz w:val="20"/>
          <w:szCs w:val="20"/>
          <w:rtl/>
        </w:rPr>
        <w:t xml:space="preserve">א. </w:t>
      </w:r>
      <w:r w:rsidRPr="004E01A5">
        <w:rPr>
          <w:rFonts w:hint="cs"/>
          <w:b/>
          <w:bCs/>
          <w:sz w:val="20"/>
          <w:szCs w:val="20"/>
          <w:rtl/>
        </w:rPr>
        <w:t>משנה</w:t>
      </w:r>
      <w:r>
        <w:rPr>
          <w:rFonts w:hint="cs"/>
          <w:sz w:val="20"/>
          <w:szCs w:val="20"/>
          <w:rtl/>
        </w:rPr>
        <w:t xml:space="preserve"> נידה (ז. ז:) "</w:t>
      </w:r>
      <w:r w:rsidRPr="0038311D">
        <w:rPr>
          <w:rFonts w:cs="Arial" w:hint="cs"/>
          <w:sz w:val="20"/>
          <w:szCs w:val="20"/>
          <w:rtl/>
        </w:rPr>
        <w:t>רבי</w:t>
      </w:r>
      <w:r w:rsidRPr="0038311D">
        <w:rPr>
          <w:rFonts w:cs="Arial"/>
          <w:sz w:val="20"/>
          <w:szCs w:val="20"/>
          <w:rtl/>
        </w:rPr>
        <w:t xml:space="preserve"> </w:t>
      </w:r>
      <w:r w:rsidRPr="0038311D">
        <w:rPr>
          <w:rFonts w:cs="Arial" w:hint="cs"/>
          <w:sz w:val="20"/>
          <w:szCs w:val="20"/>
          <w:rtl/>
        </w:rPr>
        <w:t>אליעזר</w:t>
      </w:r>
      <w:r w:rsidRPr="0038311D">
        <w:rPr>
          <w:rFonts w:cs="Arial"/>
          <w:sz w:val="20"/>
          <w:szCs w:val="20"/>
          <w:rtl/>
        </w:rPr>
        <w:t xml:space="preserve"> </w:t>
      </w:r>
      <w:r w:rsidRPr="0038311D">
        <w:rPr>
          <w:rFonts w:cs="Arial" w:hint="cs"/>
          <w:sz w:val="20"/>
          <w:szCs w:val="20"/>
          <w:rtl/>
        </w:rPr>
        <w:t>אומר</w:t>
      </w:r>
      <w:r w:rsidRPr="0038311D">
        <w:rPr>
          <w:rFonts w:cs="Arial"/>
          <w:sz w:val="20"/>
          <w:szCs w:val="20"/>
          <w:rtl/>
        </w:rPr>
        <w:t xml:space="preserve">, </w:t>
      </w:r>
      <w:r w:rsidRPr="0038311D">
        <w:rPr>
          <w:rFonts w:cs="Arial" w:hint="cs"/>
          <w:sz w:val="20"/>
          <w:szCs w:val="20"/>
          <w:rtl/>
        </w:rPr>
        <w:t>ארבע</w:t>
      </w:r>
      <w:r w:rsidRPr="0038311D">
        <w:rPr>
          <w:rFonts w:cs="Arial"/>
          <w:sz w:val="20"/>
          <w:szCs w:val="20"/>
          <w:rtl/>
        </w:rPr>
        <w:t xml:space="preserve"> </w:t>
      </w:r>
      <w:r w:rsidRPr="0038311D">
        <w:rPr>
          <w:rFonts w:cs="Arial" w:hint="cs"/>
          <w:sz w:val="20"/>
          <w:szCs w:val="20"/>
          <w:rtl/>
        </w:rPr>
        <w:t>נשים</w:t>
      </w:r>
      <w:r w:rsidRPr="0038311D">
        <w:rPr>
          <w:rFonts w:cs="Arial"/>
          <w:sz w:val="20"/>
          <w:szCs w:val="20"/>
          <w:rtl/>
        </w:rPr>
        <w:t xml:space="preserve"> </w:t>
      </w:r>
      <w:r w:rsidRPr="0038311D">
        <w:rPr>
          <w:rFonts w:cs="Arial" w:hint="cs"/>
          <w:sz w:val="20"/>
          <w:szCs w:val="20"/>
          <w:rtl/>
        </w:rPr>
        <w:t>דיין</w:t>
      </w:r>
      <w:r w:rsidRPr="0038311D">
        <w:rPr>
          <w:rFonts w:cs="Arial"/>
          <w:sz w:val="20"/>
          <w:szCs w:val="20"/>
          <w:rtl/>
        </w:rPr>
        <w:t xml:space="preserve"> </w:t>
      </w:r>
      <w:r w:rsidRPr="0038311D">
        <w:rPr>
          <w:rFonts w:cs="Arial" w:hint="cs"/>
          <w:sz w:val="20"/>
          <w:szCs w:val="20"/>
          <w:rtl/>
        </w:rPr>
        <w:t>שעתן</w:t>
      </w:r>
      <w:r>
        <w:rPr>
          <w:rFonts w:cs="Arial" w:hint="cs"/>
          <w:sz w:val="20"/>
          <w:szCs w:val="20"/>
          <w:rtl/>
        </w:rPr>
        <w:t xml:space="preserve">... </w:t>
      </w:r>
      <w:r w:rsidRPr="0038311D">
        <w:rPr>
          <w:rFonts w:cs="Arial" w:hint="cs"/>
          <w:sz w:val="20"/>
          <w:szCs w:val="20"/>
          <w:rtl/>
        </w:rPr>
        <w:t>מעוברת</w:t>
      </w:r>
      <w:r w:rsidRPr="0038311D">
        <w:rPr>
          <w:rFonts w:cs="Arial"/>
          <w:sz w:val="20"/>
          <w:szCs w:val="20"/>
          <w:rtl/>
        </w:rPr>
        <w:t xml:space="preserve">, </w:t>
      </w:r>
      <w:r w:rsidRPr="0038311D">
        <w:rPr>
          <w:rFonts w:cs="Arial" w:hint="cs"/>
          <w:sz w:val="20"/>
          <w:szCs w:val="20"/>
          <w:rtl/>
        </w:rPr>
        <w:t>מניקה</w:t>
      </w:r>
      <w:r>
        <w:rPr>
          <w:rFonts w:cs="Arial" w:hint="cs"/>
          <w:sz w:val="20"/>
          <w:szCs w:val="20"/>
          <w:rtl/>
        </w:rPr>
        <w:t xml:space="preserve">... </w:t>
      </w:r>
      <w:r w:rsidRPr="0038311D">
        <w:rPr>
          <w:rFonts w:cs="Arial" w:hint="cs"/>
          <w:sz w:val="20"/>
          <w:szCs w:val="20"/>
          <w:rtl/>
        </w:rPr>
        <w:t>מעוברת</w:t>
      </w:r>
      <w:r w:rsidRPr="0038311D">
        <w:rPr>
          <w:rFonts w:cs="Arial"/>
          <w:sz w:val="20"/>
          <w:szCs w:val="20"/>
          <w:rtl/>
        </w:rPr>
        <w:t xml:space="preserve"> - </w:t>
      </w:r>
      <w:r w:rsidRPr="0038311D">
        <w:rPr>
          <w:rFonts w:cs="Arial" w:hint="cs"/>
          <w:sz w:val="20"/>
          <w:szCs w:val="20"/>
          <w:rtl/>
        </w:rPr>
        <w:t>משיודע</w:t>
      </w:r>
      <w:r w:rsidRPr="0038311D">
        <w:rPr>
          <w:rFonts w:cs="Arial"/>
          <w:sz w:val="20"/>
          <w:szCs w:val="20"/>
          <w:rtl/>
        </w:rPr>
        <w:t xml:space="preserve"> </w:t>
      </w:r>
      <w:r w:rsidRPr="0038311D">
        <w:rPr>
          <w:rFonts w:cs="Arial" w:hint="cs"/>
          <w:sz w:val="20"/>
          <w:szCs w:val="20"/>
          <w:rtl/>
        </w:rPr>
        <w:t>עוברה</w:t>
      </w:r>
      <w:r w:rsidRPr="0038311D">
        <w:rPr>
          <w:rFonts w:cs="Arial"/>
          <w:sz w:val="20"/>
          <w:szCs w:val="20"/>
          <w:rtl/>
        </w:rPr>
        <w:t xml:space="preserve">, </w:t>
      </w:r>
      <w:r w:rsidRPr="0038311D">
        <w:rPr>
          <w:rFonts w:cs="Arial" w:hint="cs"/>
          <w:sz w:val="20"/>
          <w:szCs w:val="20"/>
          <w:rtl/>
        </w:rPr>
        <w:t>מניקה</w:t>
      </w:r>
      <w:r w:rsidRPr="0038311D">
        <w:rPr>
          <w:rFonts w:cs="Arial"/>
          <w:sz w:val="20"/>
          <w:szCs w:val="20"/>
          <w:rtl/>
        </w:rPr>
        <w:t xml:space="preserve"> - </w:t>
      </w:r>
      <w:r w:rsidRPr="0038311D">
        <w:rPr>
          <w:rFonts w:cs="Arial" w:hint="cs"/>
          <w:sz w:val="20"/>
          <w:szCs w:val="20"/>
          <w:rtl/>
        </w:rPr>
        <w:t>עד</w:t>
      </w:r>
      <w:r w:rsidRPr="0038311D">
        <w:rPr>
          <w:rFonts w:cs="Arial"/>
          <w:sz w:val="20"/>
          <w:szCs w:val="20"/>
          <w:rtl/>
        </w:rPr>
        <w:t xml:space="preserve"> </w:t>
      </w:r>
      <w:r w:rsidRPr="0038311D">
        <w:rPr>
          <w:rFonts w:cs="Arial" w:hint="cs"/>
          <w:sz w:val="20"/>
          <w:szCs w:val="20"/>
          <w:rtl/>
        </w:rPr>
        <w:t>שתגמול</w:t>
      </w:r>
      <w:r w:rsidRPr="0038311D">
        <w:rPr>
          <w:rFonts w:cs="Arial"/>
          <w:sz w:val="20"/>
          <w:szCs w:val="20"/>
          <w:rtl/>
        </w:rPr>
        <w:t xml:space="preserve"> </w:t>
      </w:r>
      <w:r w:rsidRPr="0038311D">
        <w:rPr>
          <w:rFonts w:cs="Arial" w:hint="cs"/>
          <w:sz w:val="20"/>
          <w:szCs w:val="20"/>
          <w:rtl/>
        </w:rPr>
        <w:t>את</w:t>
      </w:r>
      <w:r w:rsidRPr="0038311D">
        <w:rPr>
          <w:rFonts w:cs="Arial"/>
          <w:sz w:val="20"/>
          <w:szCs w:val="20"/>
          <w:rtl/>
        </w:rPr>
        <w:t xml:space="preserve"> </w:t>
      </w:r>
      <w:r w:rsidRPr="0038311D">
        <w:rPr>
          <w:rFonts w:cs="Arial" w:hint="cs"/>
          <w:sz w:val="20"/>
          <w:szCs w:val="20"/>
          <w:rtl/>
        </w:rPr>
        <w:t>בנה</w:t>
      </w:r>
      <w:r>
        <w:rPr>
          <w:rFonts w:cs="Arial"/>
          <w:sz w:val="20"/>
          <w:szCs w:val="20"/>
          <w:rtl/>
        </w:rPr>
        <w:t>.</w:t>
      </w:r>
      <w:r>
        <w:rPr>
          <w:rFonts w:cs="Arial" w:hint="cs"/>
          <w:sz w:val="20"/>
          <w:szCs w:val="20"/>
          <w:rtl/>
        </w:rPr>
        <w:t xml:space="preserve">.. </w:t>
      </w:r>
      <w:r w:rsidRPr="0038311D">
        <w:rPr>
          <w:rFonts w:cs="Arial" w:hint="cs"/>
          <w:sz w:val="20"/>
          <w:szCs w:val="20"/>
          <w:rtl/>
        </w:rPr>
        <w:t>רבי</w:t>
      </w:r>
      <w:r w:rsidRPr="0038311D">
        <w:rPr>
          <w:rFonts w:cs="Arial"/>
          <w:sz w:val="20"/>
          <w:szCs w:val="20"/>
          <w:rtl/>
        </w:rPr>
        <w:t xml:space="preserve"> </w:t>
      </w:r>
      <w:r w:rsidRPr="0038311D">
        <w:rPr>
          <w:rFonts w:cs="Arial" w:hint="cs"/>
          <w:sz w:val="20"/>
          <w:szCs w:val="20"/>
          <w:rtl/>
        </w:rPr>
        <w:t>יוסי</w:t>
      </w:r>
      <w:r w:rsidRPr="0038311D">
        <w:rPr>
          <w:rFonts w:cs="Arial"/>
          <w:sz w:val="20"/>
          <w:szCs w:val="20"/>
          <w:rtl/>
        </w:rPr>
        <w:t xml:space="preserve"> </w:t>
      </w:r>
      <w:r w:rsidRPr="0038311D">
        <w:rPr>
          <w:rFonts w:cs="Arial" w:hint="cs"/>
          <w:sz w:val="20"/>
          <w:szCs w:val="20"/>
          <w:rtl/>
        </w:rPr>
        <w:t>אומר</w:t>
      </w:r>
      <w:r w:rsidRPr="0038311D">
        <w:rPr>
          <w:rFonts w:cs="Arial"/>
          <w:sz w:val="20"/>
          <w:szCs w:val="20"/>
          <w:rtl/>
        </w:rPr>
        <w:t xml:space="preserve">: </w:t>
      </w:r>
      <w:r w:rsidRPr="0038311D">
        <w:rPr>
          <w:rFonts w:cs="Arial" w:hint="cs"/>
          <w:sz w:val="20"/>
          <w:szCs w:val="20"/>
          <w:rtl/>
        </w:rPr>
        <w:t>מעוברת</w:t>
      </w:r>
      <w:r w:rsidRPr="0038311D">
        <w:rPr>
          <w:rFonts w:cs="Arial"/>
          <w:sz w:val="20"/>
          <w:szCs w:val="20"/>
          <w:rtl/>
        </w:rPr>
        <w:t xml:space="preserve"> </w:t>
      </w:r>
      <w:r w:rsidRPr="0038311D">
        <w:rPr>
          <w:rFonts w:cs="Arial" w:hint="cs"/>
          <w:sz w:val="20"/>
          <w:szCs w:val="20"/>
          <w:rtl/>
        </w:rPr>
        <w:t>ומניקה</w:t>
      </w:r>
      <w:r w:rsidRPr="0038311D">
        <w:rPr>
          <w:rFonts w:cs="Arial"/>
          <w:sz w:val="20"/>
          <w:szCs w:val="20"/>
          <w:rtl/>
        </w:rPr>
        <w:t xml:space="preserve"> </w:t>
      </w:r>
      <w:r w:rsidRPr="0038311D">
        <w:rPr>
          <w:rFonts w:cs="Arial" w:hint="cs"/>
          <w:sz w:val="20"/>
          <w:szCs w:val="20"/>
          <w:rtl/>
        </w:rPr>
        <w:t>שעברו</w:t>
      </w:r>
      <w:r w:rsidRPr="0038311D">
        <w:rPr>
          <w:rFonts w:cs="Arial"/>
          <w:sz w:val="20"/>
          <w:szCs w:val="20"/>
          <w:rtl/>
        </w:rPr>
        <w:t xml:space="preserve"> </w:t>
      </w:r>
      <w:r w:rsidRPr="0038311D">
        <w:rPr>
          <w:rFonts w:cs="Arial" w:hint="cs"/>
          <w:sz w:val="20"/>
          <w:szCs w:val="20"/>
          <w:rtl/>
        </w:rPr>
        <w:t>עליהן</w:t>
      </w:r>
      <w:r w:rsidRPr="0038311D">
        <w:rPr>
          <w:rFonts w:cs="Arial"/>
          <w:sz w:val="20"/>
          <w:szCs w:val="20"/>
          <w:rtl/>
        </w:rPr>
        <w:t xml:space="preserve"> </w:t>
      </w:r>
      <w:r w:rsidRPr="0038311D">
        <w:rPr>
          <w:rFonts w:cs="Arial" w:hint="cs"/>
          <w:sz w:val="20"/>
          <w:szCs w:val="20"/>
          <w:rtl/>
        </w:rPr>
        <w:t>שלש</w:t>
      </w:r>
      <w:r w:rsidRPr="0038311D">
        <w:rPr>
          <w:rFonts w:cs="Arial"/>
          <w:sz w:val="20"/>
          <w:szCs w:val="20"/>
          <w:rtl/>
        </w:rPr>
        <w:t xml:space="preserve"> </w:t>
      </w:r>
      <w:r w:rsidRPr="0038311D">
        <w:rPr>
          <w:rFonts w:cs="Arial" w:hint="cs"/>
          <w:sz w:val="20"/>
          <w:szCs w:val="20"/>
          <w:rtl/>
        </w:rPr>
        <w:t>עונות</w:t>
      </w:r>
      <w:r w:rsidRPr="0038311D">
        <w:rPr>
          <w:rFonts w:cs="Arial"/>
          <w:sz w:val="20"/>
          <w:szCs w:val="20"/>
          <w:rtl/>
        </w:rPr>
        <w:t xml:space="preserve"> - </w:t>
      </w:r>
      <w:r w:rsidRPr="0038311D">
        <w:rPr>
          <w:rFonts w:cs="Arial" w:hint="cs"/>
          <w:sz w:val="20"/>
          <w:szCs w:val="20"/>
          <w:rtl/>
        </w:rPr>
        <w:t>דיין</w:t>
      </w:r>
      <w:r w:rsidRPr="0038311D">
        <w:rPr>
          <w:rFonts w:cs="Arial"/>
          <w:sz w:val="20"/>
          <w:szCs w:val="20"/>
          <w:rtl/>
        </w:rPr>
        <w:t xml:space="preserve"> </w:t>
      </w:r>
      <w:r w:rsidRPr="0038311D">
        <w:rPr>
          <w:rFonts w:cs="Arial" w:hint="cs"/>
          <w:sz w:val="20"/>
          <w:szCs w:val="20"/>
          <w:rtl/>
        </w:rPr>
        <w:t>שעת</w:t>
      </w:r>
      <w:r>
        <w:rPr>
          <w:rFonts w:cs="Arial" w:hint="cs"/>
          <w:sz w:val="20"/>
          <w:szCs w:val="20"/>
          <w:rtl/>
        </w:rPr>
        <w:t>ן".</w:t>
      </w:r>
      <w:r>
        <w:rPr>
          <w:rFonts w:hint="cs"/>
          <w:sz w:val="20"/>
          <w:szCs w:val="20"/>
          <w:rtl/>
        </w:rPr>
        <w:br/>
        <w:t>הלכה כת"ק שמעוברת ומניקה דיה שעתה, וכל מי שדיה שעתה ראיותיה הן מקרה ואינה חוששת לווסתה.</w:t>
      </w:r>
    </w:p>
    <w:p w:rsidR="00620060" w:rsidRDefault="00620060" w:rsidP="00620060">
      <w:pPr>
        <w:rPr>
          <w:sz w:val="20"/>
          <w:szCs w:val="20"/>
          <w:rtl/>
        </w:rPr>
      </w:pPr>
      <w:r>
        <w:rPr>
          <w:rFonts w:hint="cs"/>
          <w:sz w:val="20"/>
          <w:szCs w:val="20"/>
          <w:rtl/>
        </w:rPr>
        <w:lastRenderedPageBreak/>
        <w:t xml:space="preserve">ב. </w:t>
      </w:r>
      <w:r>
        <w:rPr>
          <w:rFonts w:hint="cs"/>
          <w:b/>
          <w:bCs/>
          <w:sz w:val="20"/>
          <w:szCs w:val="20"/>
          <w:rtl/>
        </w:rPr>
        <w:t xml:space="preserve">גמרא </w:t>
      </w:r>
      <w:r>
        <w:rPr>
          <w:rFonts w:hint="cs"/>
          <w:sz w:val="20"/>
          <w:szCs w:val="20"/>
          <w:rtl/>
        </w:rPr>
        <w:t>שם (ט.) "</w:t>
      </w:r>
      <w:r w:rsidRPr="00EF0F52">
        <w:rPr>
          <w:rFonts w:cs="Arial" w:hint="cs"/>
          <w:sz w:val="20"/>
          <w:szCs w:val="20"/>
          <w:u w:val="single"/>
          <w:rtl/>
        </w:rPr>
        <w:t>בעא</w:t>
      </w:r>
      <w:r w:rsidRPr="00EF0F52">
        <w:rPr>
          <w:rFonts w:cs="Arial"/>
          <w:sz w:val="20"/>
          <w:szCs w:val="20"/>
          <w:u w:val="single"/>
          <w:rtl/>
        </w:rPr>
        <w:t xml:space="preserve"> </w:t>
      </w:r>
      <w:r w:rsidRPr="00EF0F52">
        <w:rPr>
          <w:rFonts w:cs="Arial" w:hint="cs"/>
          <w:sz w:val="20"/>
          <w:szCs w:val="20"/>
          <w:u w:val="single"/>
          <w:rtl/>
        </w:rPr>
        <w:t>מיניה</w:t>
      </w:r>
      <w:r w:rsidRPr="00EF0F52">
        <w:rPr>
          <w:rFonts w:cs="Arial"/>
          <w:sz w:val="20"/>
          <w:szCs w:val="20"/>
          <w:u w:val="single"/>
          <w:rtl/>
        </w:rPr>
        <w:t xml:space="preserve"> </w:t>
      </w:r>
      <w:r w:rsidRPr="00EF0F52">
        <w:rPr>
          <w:rFonts w:cs="Arial" w:hint="cs"/>
          <w:sz w:val="20"/>
          <w:szCs w:val="20"/>
          <w:u w:val="single"/>
          <w:rtl/>
        </w:rPr>
        <w:t>ההוא</w:t>
      </w:r>
      <w:r w:rsidRPr="00EF0F52">
        <w:rPr>
          <w:rFonts w:cs="Arial"/>
          <w:sz w:val="20"/>
          <w:szCs w:val="20"/>
          <w:u w:val="single"/>
          <w:rtl/>
        </w:rPr>
        <w:t xml:space="preserve"> </w:t>
      </w:r>
      <w:r w:rsidRPr="00EF0F52">
        <w:rPr>
          <w:rFonts w:cs="Arial" w:hint="cs"/>
          <w:sz w:val="20"/>
          <w:szCs w:val="20"/>
          <w:u w:val="single"/>
          <w:rtl/>
        </w:rPr>
        <w:t>סבא</w:t>
      </w:r>
      <w:r w:rsidRPr="00EF0F52">
        <w:rPr>
          <w:rFonts w:cs="Arial"/>
          <w:sz w:val="20"/>
          <w:szCs w:val="20"/>
          <w:u w:val="single"/>
          <w:rtl/>
        </w:rPr>
        <w:t xml:space="preserve"> </w:t>
      </w:r>
      <w:r w:rsidRPr="00EF0F52">
        <w:rPr>
          <w:rFonts w:cs="Arial" w:hint="cs"/>
          <w:sz w:val="20"/>
          <w:szCs w:val="20"/>
          <w:u w:val="single"/>
          <w:rtl/>
        </w:rPr>
        <w:t>מר</w:t>
      </w:r>
      <w:r w:rsidRPr="00EF0F52">
        <w:rPr>
          <w:rFonts w:cs="Arial"/>
          <w:sz w:val="20"/>
          <w:szCs w:val="20"/>
          <w:u w:val="single"/>
          <w:rtl/>
        </w:rPr>
        <w:t xml:space="preserve">' </w:t>
      </w:r>
      <w:r w:rsidRPr="00EF0F52">
        <w:rPr>
          <w:rFonts w:cs="Arial" w:hint="cs"/>
          <w:sz w:val="20"/>
          <w:szCs w:val="20"/>
          <w:u w:val="single"/>
          <w:rtl/>
        </w:rPr>
        <w:t>יוחנן</w:t>
      </w:r>
      <w:r w:rsidRPr="00EF0F52">
        <w:rPr>
          <w:rFonts w:cs="Arial"/>
          <w:sz w:val="20"/>
          <w:szCs w:val="20"/>
          <w:u w:val="single"/>
          <w:rtl/>
        </w:rPr>
        <w:t xml:space="preserve">: </w:t>
      </w:r>
      <w:r w:rsidRPr="00EF0F52">
        <w:rPr>
          <w:rFonts w:cs="Arial" w:hint="cs"/>
          <w:sz w:val="20"/>
          <w:szCs w:val="20"/>
          <w:u w:val="single"/>
          <w:rtl/>
        </w:rPr>
        <w:t>הגיע</w:t>
      </w:r>
      <w:r w:rsidRPr="00EF0F52">
        <w:rPr>
          <w:rFonts w:cs="Arial"/>
          <w:sz w:val="20"/>
          <w:szCs w:val="20"/>
          <w:u w:val="single"/>
          <w:rtl/>
        </w:rPr>
        <w:t xml:space="preserve"> </w:t>
      </w:r>
      <w:r w:rsidRPr="00EF0F52">
        <w:rPr>
          <w:rFonts w:cs="Arial" w:hint="cs"/>
          <w:sz w:val="20"/>
          <w:szCs w:val="20"/>
          <w:u w:val="single"/>
          <w:rtl/>
        </w:rPr>
        <w:t>עת</w:t>
      </w:r>
      <w:r w:rsidRPr="00EF0F52">
        <w:rPr>
          <w:rFonts w:cs="Arial"/>
          <w:sz w:val="20"/>
          <w:szCs w:val="20"/>
          <w:u w:val="single"/>
          <w:rtl/>
        </w:rPr>
        <w:t xml:space="preserve"> </w:t>
      </w:r>
      <w:r w:rsidRPr="00EF0F52">
        <w:rPr>
          <w:rFonts w:cs="Arial" w:hint="cs"/>
          <w:sz w:val="20"/>
          <w:szCs w:val="20"/>
          <w:u w:val="single"/>
          <w:rtl/>
        </w:rPr>
        <w:t>וסתה</w:t>
      </w:r>
      <w:r w:rsidRPr="00EF0F52">
        <w:rPr>
          <w:rFonts w:cs="Arial"/>
          <w:sz w:val="20"/>
          <w:szCs w:val="20"/>
          <w:u w:val="single"/>
          <w:rtl/>
        </w:rPr>
        <w:t xml:space="preserve"> </w:t>
      </w:r>
      <w:r w:rsidRPr="00EF0F52">
        <w:rPr>
          <w:rFonts w:cs="Arial" w:hint="cs"/>
          <w:sz w:val="20"/>
          <w:szCs w:val="20"/>
          <w:u w:val="single"/>
          <w:rtl/>
        </w:rPr>
        <w:t>בימי</w:t>
      </w:r>
      <w:r w:rsidRPr="00EF0F52">
        <w:rPr>
          <w:rFonts w:cs="Arial"/>
          <w:sz w:val="20"/>
          <w:szCs w:val="20"/>
          <w:u w:val="single"/>
          <w:rtl/>
        </w:rPr>
        <w:t xml:space="preserve"> </w:t>
      </w:r>
      <w:r w:rsidRPr="00EF0F52">
        <w:rPr>
          <w:rFonts w:cs="Arial" w:hint="cs"/>
          <w:sz w:val="20"/>
          <w:szCs w:val="20"/>
          <w:u w:val="single"/>
          <w:rtl/>
        </w:rPr>
        <w:t>עבורה</w:t>
      </w:r>
      <w:r w:rsidRPr="00EF0F52">
        <w:rPr>
          <w:rFonts w:cs="Arial"/>
          <w:sz w:val="20"/>
          <w:szCs w:val="20"/>
          <w:u w:val="single"/>
          <w:rtl/>
        </w:rPr>
        <w:t xml:space="preserve"> </w:t>
      </w:r>
      <w:r w:rsidRPr="00EF0F52">
        <w:rPr>
          <w:rFonts w:cs="Arial" w:hint="cs"/>
          <w:sz w:val="20"/>
          <w:szCs w:val="20"/>
          <w:u w:val="single"/>
          <w:rtl/>
        </w:rPr>
        <w:t>ולא</w:t>
      </w:r>
      <w:r w:rsidRPr="00EF0F52">
        <w:rPr>
          <w:rFonts w:cs="Arial"/>
          <w:sz w:val="20"/>
          <w:szCs w:val="20"/>
          <w:u w:val="single"/>
          <w:rtl/>
        </w:rPr>
        <w:t xml:space="preserve"> </w:t>
      </w:r>
      <w:r w:rsidRPr="00EF0F52">
        <w:rPr>
          <w:rFonts w:cs="Arial" w:hint="cs"/>
          <w:sz w:val="20"/>
          <w:szCs w:val="20"/>
          <w:u w:val="single"/>
          <w:rtl/>
        </w:rPr>
        <w:t>בדקה</w:t>
      </w:r>
      <w:r w:rsidRPr="00EF0F52">
        <w:rPr>
          <w:rFonts w:cs="Arial"/>
          <w:sz w:val="20"/>
          <w:szCs w:val="20"/>
          <w:u w:val="single"/>
          <w:rtl/>
        </w:rPr>
        <w:t xml:space="preserve">, </w:t>
      </w:r>
      <w:r w:rsidRPr="00EF0F52">
        <w:rPr>
          <w:rFonts w:cs="Arial" w:hint="cs"/>
          <w:sz w:val="20"/>
          <w:szCs w:val="20"/>
          <w:u w:val="single"/>
          <w:rtl/>
        </w:rPr>
        <w:t>מהו</w:t>
      </w:r>
      <w:r w:rsidRPr="00EF0F52">
        <w:rPr>
          <w:rFonts w:cs="Arial"/>
          <w:sz w:val="20"/>
          <w:szCs w:val="20"/>
          <w:u w:val="single"/>
          <w:rtl/>
        </w:rPr>
        <w:t>?</w:t>
      </w:r>
      <w:r w:rsidRPr="00EF0F52">
        <w:rPr>
          <w:rFonts w:cs="Arial"/>
          <w:sz w:val="20"/>
          <w:szCs w:val="20"/>
          <w:rtl/>
        </w:rPr>
        <w:t xml:space="preserve"> </w:t>
      </w:r>
      <w:r w:rsidRPr="00EF0F52">
        <w:rPr>
          <w:rFonts w:cs="Arial" w:hint="cs"/>
          <w:sz w:val="20"/>
          <w:szCs w:val="20"/>
          <w:rtl/>
        </w:rPr>
        <w:t>קא</w:t>
      </w:r>
      <w:r w:rsidRPr="00EF0F52">
        <w:rPr>
          <w:rFonts w:cs="Arial"/>
          <w:sz w:val="20"/>
          <w:szCs w:val="20"/>
          <w:rtl/>
        </w:rPr>
        <w:t xml:space="preserve"> </w:t>
      </w:r>
      <w:r w:rsidRPr="00EF0F52">
        <w:rPr>
          <w:rFonts w:cs="Arial" w:hint="cs"/>
          <w:sz w:val="20"/>
          <w:szCs w:val="20"/>
          <w:rtl/>
        </w:rPr>
        <w:t>מיבעיא</w:t>
      </w:r>
      <w:r w:rsidRPr="00EF0F52">
        <w:rPr>
          <w:rFonts w:cs="Arial"/>
          <w:sz w:val="20"/>
          <w:szCs w:val="20"/>
          <w:rtl/>
        </w:rPr>
        <w:t xml:space="preserve"> </w:t>
      </w:r>
      <w:r w:rsidRPr="00EF0F52">
        <w:rPr>
          <w:rFonts w:cs="Arial" w:hint="cs"/>
          <w:sz w:val="20"/>
          <w:szCs w:val="20"/>
          <w:rtl/>
        </w:rPr>
        <w:t>לי</w:t>
      </w:r>
      <w:r w:rsidRPr="00EF0F52">
        <w:rPr>
          <w:rFonts w:cs="Arial"/>
          <w:sz w:val="20"/>
          <w:szCs w:val="20"/>
          <w:rtl/>
        </w:rPr>
        <w:t xml:space="preserve"> </w:t>
      </w:r>
      <w:r w:rsidRPr="00EF0F52">
        <w:rPr>
          <w:rFonts w:cs="Arial" w:hint="cs"/>
          <w:sz w:val="20"/>
          <w:szCs w:val="20"/>
          <w:rtl/>
        </w:rPr>
        <w:t>אליבא</w:t>
      </w:r>
      <w:r w:rsidRPr="00EF0F52">
        <w:rPr>
          <w:rFonts w:cs="Arial"/>
          <w:sz w:val="20"/>
          <w:szCs w:val="20"/>
          <w:rtl/>
        </w:rPr>
        <w:t xml:space="preserve"> </w:t>
      </w:r>
      <w:r w:rsidRPr="00EF0F52">
        <w:rPr>
          <w:rFonts w:cs="Arial" w:hint="cs"/>
          <w:sz w:val="20"/>
          <w:szCs w:val="20"/>
          <w:rtl/>
        </w:rPr>
        <w:t>דמ</w:t>
      </w:r>
      <w:r>
        <w:rPr>
          <w:rFonts w:cs="Arial" w:hint="cs"/>
          <w:sz w:val="20"/>
          <w:szCs w:val="20"/>
          <w:rtl/>
        </w:rPr>
        <w:t xml:space="preserve">אן </w:t>
      </w:r>
      <w:r w:rsidRPr="00EF0F52">
        <w:rPr>
          <w:rFonts w:cs="Arial" w:hint="cs"/>
          <w:sz w:val="20"/>
          <w:szCs w:val="20"/>
          <w:rtl/>
        </w:rPr>
        <w:t>ד</w:t>
      </w:r>
      <w:r>
        <w:rPr>
          <w:rFonts w:cs="Arial" w:hint="cs"/>
          <w:sz w:val="20"/>
          <w:szCs w:val="20"/>
          <w:rtl/>
        </w:rPr>
        <w:t>אמר</w:t>
      </w:r>
      <w:r w:rsidRPr="00EF0F52">
        <w:rPr>
          <w:rFonts w:cs="Arial"/>
          <w:sz w:val="20"/>
          <w:szCs w:val="20"/>
          <w:rtl/>
        </w:rPr>
        <w:t xml:space="preserve"> </w:t>
      </w:r>
      <w:r w:rsidRPr="00EF0F52">
        <w:rPr>
          <w:rFonts w:cs="Arial" w:hint="cs"/>
          <w:sz w:val="20"/>
          <w:szCs w:val="20"/>
          <w:rtl/>
        </w:rPr>
        <w:t>וסתות</w:t>
      </w:r>
      <w:r w:rsidRPr="00EF0F52">
        <w:rPr>
          <w:rFonts w:cs="Arial"/>
          <w:sz w:val="20"/>
          <w:szCs w:val="20"/>
          <w:rtl/>
        </w:rPr>
        <w:t xml:space="preserve"> </w:t>
      </w:r>
      <w:r w:rsidRPr="00EF0F52">
        <w:rPr>
          <w:rFonts w:cs="Arial" w:hint="cs"/>
          <w:sz w:val="20"/>
          <w:szCs w:val="20"/>
          <w:rtl/>
        </w:rPr>
        <w:t>דאורייתא</w:t>
      </w:r>
      <w:r w:rsidRPr="00EF0F52">
        <w:rPr>
          <w:rFonts w:cs="Arial"/>
          <w:sz w:val="20"/>
          <w:szCs w:val="20"/>
          <w:rtl/>
        </w:rPr>
        <w:t xml:space="preserve">. </w:t>
      </w:r>
      <w:r w:rsidRPr="00EF0F52">
        <w:rPr>
          <w:rFonts w:cs="Arial" w:hint="cs"/>
          <w:sz w:val="20"/>
          <w:szCs w:val="20"/>
          <w:rtl/>
        </w:rPr>
        <w:t>מאי</w:t>
      </w:r>
      <w:r w:rsidRPr="00EF0F52">
        <w:rPr>
          <w:rFonts w:cs="Arial"/>
          <w:sz w:val="20"/>
          <w:szCs w:val="20"/>
          <w:rtl/>
        </w:rPr>
        <w:t xml:space="preserve">! </w:t>
      </w:r>
      <w:r w:rsidRPr="00EF0F52">
        <w:rPr>
          <w:rFonts w:cs="Arial" w:hint="cs"/>
          <w:sz w:val="20"/>
          <w:szCs w:val="20"/>
          <w:rtl/>
        </w:rPr>
        <w:t>כיון</w:t>
      </w:r>
      <w:r w:rsidRPr="00EF0F52">
        <w:rPr>
          <w:rFonts w:cs="Arial"/>
          <w:sz w:val="20"/>
          <w:szCs w:val="20"/>
          <w:rtl/>
        </w:rPr>
        <w:t xml:space="preserve"> </w:t>
      </w:r>
      <w:r w:rsidRPr="00EF0F52">
        <w:rPr>
          <w:rFonts w:cs="Arial" w:hint="cs"/>
          <w:sz w:val="20"/>
          <w:szCs w:val="20"/>
          <w:rtl/>
        </w:rPr>
        <w:t>דוסתות</w:t>
      </w:r>
      <w:r w:rsidRPr="00EF0F52">
        <w:rPr>
          <w:rFonts w:cs="Arial"/>
          <w:sz w:val="20"/>
          <w:szCs w:val="20"/>
          <w:rtl/>
        </w:rPr>
        <w:t xml:space="preserve"> </w:t>
      </w:r>
      <w:r w:rsidRPr="00EF0F52">
        <w:rPr>
          <w:rFonts w:cs="Arial" w:hint="cs"/>
          <w:sz w:val="20"/>
          <w:szCs w:val="20"/>
          <w:rtl/>
        </w:rPr>
        <w:t>דאורייתא</w:t>
      </w:r>
      <w:r w:rsidRPr="00EF0F52">
        <w:rPr>
          <w:rFonts w:cs="Arial"/>
          <w:sz w:val="20"/>
          <w:szCs w:val="20"/>
          <w:rtl/>
        </w:rPr>
        <w:t xml:space="preserve"> - </w:t>
      </w:r>
      <w:r w:rsidRPr="00EF0F52">
        <w:rPr>
          <w:rFonts w:cs="Arial" w:hint="cs"/>
          <w:sz w:val="20"/>
          <w:szCs w:val="20"/>
          <w:rtl/>
        </w:rPr>
        <w:t>בעיא</w:t>
      </w:r>
      <w:r w:rsidRPr="00EF0F52">
        <w:rPr>
          <w:rFonts w:cs="Arial"/>
          <w:sz w:val="20"/>
          <w:szCs w:val="20"/>
          <w:rtl/>
        </w:rPr>
        <w:t xml:space="preserve"> </w:t>
      </w:r>
      <w:r w:rsidRPr="00EF0F52">
        <w:rPr>
          <w:rFonts w:cs="Arial" w:hint="cs"/>
          <w:sz w:val="20"/>
          <w:szCs w:val="20"/>
          <w:rtl/>
        </w:rPr>
        <w:t>בדיקה</w:t>
      </w:r>
      <w:r w:rsidRPr="00EF0F52">
        <w:rPr>
          <w:rFonts w:cs="Arial"/>
          <w:sz w:val="20"/>
          <w:szCs w:val="20"/>
          <w:rtl/>
        </w:rPr>
        <w:t xml:space="preserve">, </w:t>
      </w:r>
      <w:r w:rsidRPr="00EF0F52">
        <w:rPr>
          <w:rFonts w:cs="Arial" w:hint="cs"/>
          <w:sz w:val="20"/>
          <w:szCs w:val="20"/>
          <w:rtl/>
        </w:rPr>
        <w:t>או</w:t>
      </w:r>
      <w:r w:rsidRPr="00EF0F52">
        <w:rPr>
          <w:rFonts w:cs="Arial"/>
          <w:sz w:val="20"/>
          <w:szCs w:val="20"/>
          <w:rtl/>
        </w:rPr>
        <w:t xml:space="preserve"> </w:t>
      </w:r>
      <w:r w:rsidRPr="00EF0F52">
        <w:rPr>
          <w:rFonts w:cs="Arial" w:hint="cs"/>
          <w:sz w:val="20"/>
          <w:szCs w:val="20"/>
          <w:rtl/>
        </w:rPr>
        <w:t>דלמא</w:t>
      </w:r>
      <w:r w:rsidRPr="00EF0F52">
        <w:rPr>
          <w:rFonts w:cs="Arial"/>
          <w:sz w:val="20"/>
          <w:szCs w:val="20"/>
          <w:rtl/>
        </w:rPr>
        <w:t xml:space="preserve">: </w:t>
      </w:r>
      <w:r w:rsidRPr="00EF0F52">
        <w:rPr>
          <w:rFonts w:cs="Arial" w:hint="cs"/>
          <w:sz w:val="20"/>
          <w:szCs w:val="20"/>
          <w:rtl/>
        </w:rPr>
        <w:t>כיון</w:t>
      </w:r>
      <w:r w:rsidRPr="00EF0F52">
        <w:rPr>
          <w:rFonts w:cs="Arial"/>
          <w:sz w:val="20"/>
          <w:szCs w:val="20"/>
          <w:rtl/>
        </w:rPr>
        <w:t xml:space="preserve"> </w:t>
      </w:r>
      <w:r w:rsidRPr="00EF0F52">
        <w:rPr>
          <w:rFonts w:cs="Arial" w:hint="cs"/>
          <w:sz w:val="20"/>
          <w:szCs w:val="20"/>
          <w:rtl/>
        </w:rPr>
        <w:t>דדמיה</w:t>
      </w:r>
      <w:r w:rsidRPr="00EF0F52">
        <w:rPr>
          <w:rFonts w:cs="Arial"/>
          <w:sz w:val="20"/>
          <w:szCs w:val="20"/>
          <w:rtl/>
        </w:rPr>
        <w:t xml:space="preserve"> </w:t>
      </w:r>
      <w:r w:rsidRPr="00EF0F52">
        <w:rPr>
          <w:rFonts w:cs="Arial" w:hint="cs"/>
          <w:sz w:val="20"/>
          <w:szCs w:val="20"/>
          <w:rtl/>
        </w:rPr>
        <w:t>מסולקין</w:t>
      </w:r>
      <w:r w:rsidRPr="00EF0F52">
        <w:rPr>
          <w:rFonts w:cs="Arial"/>
          <w:sz w:val="20"/>
          <w:szCs w:val="20"/>
          <w:rtl/>
        </w:rPr>
        <w:t xml:space="preserve">, </w:t>
      </w:r>
      <w:r w:rsidRPr="00EF0F52">
        <w:rPr>
          <w:rFonts w:cs="Arial" w:hint="cs"/>
          <w:sz w:val="20"/>
          <w:szCs w:val="20"/>
          <w:rtl/>
        </w:rPr>
        <w:t>לא</w:t>
      </w:r>
      <w:r w:rsidRPr="00EF0F52">
        <w:rPr>
          <w:rFonts w:cs="Arial"/>
          <w:sz w:val="20"/>
          <w:szCs w:val="20"/>
          <w:rtl/>
        </w:rPr>
        <w:t xml:space="preserve"> </w:t>
      </w:r>
      <w:r w:rsidRPr="00EF0F52">
        <w:rPr>
          <w:rFonts w:cs="Arial" w:hint="cs"/>
          <w:sz w:val="20"/>
          <w:szCs w:val="20"/>
          <w:rtl/>
        </w:rPr>
        <w:t>בעיא</w:t>
      </w:r>
      <w:r w:rsidRPr="00EF0F52">
        <w:rPr>
          <w:rFonts w:cs="Arial"/>
          <w:sz w:val="20"/>
          <w:szCs w:val="20"/>
          <w:rtl/>
        </w:rPr>
        <w:t xml:space="preserve"> </w:t>
      </w:r>
      <w:r w:rsidRPr="00EF0F52">
        <w:rPr>
          <w:rFonts w:cs="Arial" w:hint="cs"/>
          <w:sz w:val="20"/>
          <w:szCs w:val="20"/>
          <w:rtl/>
        </w:rPr>
        <w:t>בדיקה</w:t>
      </w:r>
      <w:r w:rsidRPr="00EF0F52">
        <w:rPr>
          <w:rFonts w:cs="Arial"/>
          <w:sz w:val="20"/>
          <w:szCs w:val="20"/>
          <w:rtl/>
        </w:rPr>
        <w:t xml:space="preserve">? </w:t>
      </w:r>
      <w:r w:rsidRPr="00EF0F52">
        <w:rPr>
          <w:rFonts w:cs="Arial" w:hint="cs"/>
          <w:sz w:val="20"/>
          <w:szCs w:val="20"/>
          <w:rtl/>
        </w:rPr>
        <w:t>א</w:t>
      </w:r>
      <w:r>
        <w:rPr>
          <w:rFonts w:cs="Arial" w:hint="cs"/>
          <w:sz w:val="20"/>
          <w:szCs w:val="20"/>
          <w:rtl/>
        </w:rPr>
        <w:t xml:space="preserve">מר </w:t>
      </w:r>
      <w:r w:rsidRPr="00EF0F52">
        <w:rPr>
          <w:rFonts w:cs="Arial" w:hint="cs"/>
          <w:sz w:val="20"/>
          <w:szCs w:val="20"/>
          <w:rtl/>
        </w:rPr>
        <w:t>ל</w:t>
      </w:r>
      <w:r>
        <w:rPr>
          <w:rFonts w:cs="Arial" w:hint="cs"/>
          <w:sz w:val="20"/>
          <w:szCs w:val="20"/>
          <w:rtl/>
        </w:rPr>
        <w:t>יה</w:t>
      </w:r>
      <w:r w:rsidRPr="00EF0F52">
        <w:rPr>
          <w:rFonts w:cs="Arial"/>
          <w:sz w:val="20"/>
          <w:szCs w:val="20"/>
          <w:rtl/>
        </w:rPr>
        <w:t xml:space="preserve">, </w:t>
      </w:r>
      <w:r w:rsidRPr="00EF0F52">
        <w:rPr>
          <w:rFonts w:cs="Arial" w:hint="cs"/>
          <w:sz w:val="20"/>
          <w:szCs w:val="20"/>
          <w:rtl/>
        </w:rPr>
        <w:t>תניתוה</w:t>
      </w:r>
      <w:r w:rsidRPr="00EF0F52">
        <w:rPr>
          <w:rFonts w:cs="Arial"/>
          <w:sz w:val="20"/>
          <w:szCs w:val="20"/>
          <w:rtl/>
        </w:rPr>
        <w:t xml:space="preserve">: </w:t>
      </w:r>
      <w:r w:rsidRPr="00EF0F52">
        <w:rPr>
          <w:rFonts w:cs="Arial" w:hint="cs"/>
          <w:sz w:val="20"/>
          <w:szCs w:val="20"/>
          <w:rtl/>
        </w:rPr>
        <w:t>רבי</w:t>
      </w:r>
      <w:r w:rsidRPr="00EF0F52">
        <w:rPr>
          <w:rFonts w:cs="Arial"/>
          <w:sz w:val="20"/>
          <w:szCs w:val="20"/>
          <w:rtl/>
        </w:rPr>
        <w:t xml:space="preserve"> </w:t>
      </w:r>
      <w:r w:rsidRPr="00EF0F52">
        <w:rPr>
          <w:rFonts w:cs="Arial" w:hint="cs"/>
          <w:sz w:val="20"/>
          <w:szCs w:val="20"/>
          <w:rtl/>
        </w:rPr>
        <w:t>מאיר</w:t>
      </w:r>
      <w:r w:rsidRPr="00EF0F52">
        <w:rPr>
          <w:rFonts w:cs="Arial"/>
          <w:sz w:val="20"/>
          <w:szCs w:val="20"/>
          <w:rtl/>
        </w:rPr>
        <w:t xml:space="preserve"> </w:t>
      </w:r>
      <w:r w:rsidRPr="00EF0F52">
        <w:rPr>
          <w:rFonts w:cs="Arial" w:hint="cs"/>
          <w:sz w:val="20"/>
          <w:szCs w:val="20"/>
          <w:rtl/>
        </w:rPr>
        <w:t>אומר</w:t>
      </w:r>
      <w:r w:rsidRPr="00EF0F52">
        <w:rPr>
          <w:rFonts w:cs="Arial"/>
          <w:sz w:val="20"/>
          <w:szCs w:val="20"/>
          <w:rtl/>
        </w:rPr>
        <w:t xml:space="preserve">, </w:t>
      </w:r>
      <w:r w:rsidRPr="00EF0F52">
        <w:rPr>
          <w:rFonts w:cs="Arial" w:hint="cs"/>
          <w:sz w:val="20"/>
          <w:szCs w:val="20"/>
          <w:rtl/>
        </w:rPr>
        <w:t>אם</w:t>
      </w:r>
      <w:r w:rsidRPr="00EF0F52">
        <w:rPr>
          <w:rFonts w:cs="Arial"/>
          <w:sz w:val="20"/>
          <w:szCs w:val="20"/>
          <w:rtl/>
        </w:rPr>
        <w:t xml:space="preserve"> </w:t>
      </w:r>
      <w:r w:rsidRPr="00EF0F52">
        <w:rPr>
          <w:rFonts w:cs="Arial" w:hint="cs"/>
          <w:sz w:val="20"/>
          <w:szCs w:val="20"/>
          <w:rtl/>
        </w:rPr>
        <w:t>היתה</w:t>
      </w:r>
      <w:r w:rsidRPr="00EF0F52">
        <w:rPr>
          <w:rFonts w:cs="Arial"/>
          <w:sz w:val="20"/>
          <w:szCs w:val="20"/>
          <w:rtl/>
        </w:rPr>
        <w:t xml:space="preserve"> </w:t>
      </w:r>
      <w:r w:rsidRPr="00EF0F52">
        <w:rPr>
          <w:rFonts w:cs="Arial" w:hint="cs"/>
          <w:sz w:val="20"/>
          <w:szCs w:val="20"/>
          <w:rtl/>
        </w:rPr>
        <w:t>במחב</w:t>
      </w:r>
      <w:r>
        <w:rPr>
          <w:rFonts w:cs="Arial" w:hint="cs"/>
          <w:sz w:val="20"/>
          <w:szCs w:val="20"/>
          <w:rtl/>
        </w:rPr>
        <w:t>ו</w:t>
      </w:r>
      <w:r w:rsidRPr="00EF0F52">
        <w:rPr>
          <w:rFonts w:cs="Arial" w:hint="cs"/>
          <w:sz w:val="20"/>
          <w:szCs w:val="20"/>
          <w:rtl/>
        </w:rPr>
        <w:t>א</w:t>
      </w:r>
      <w:r w:rsidRPr="00EF0F52">
        <w:rPr>
          <w:rFonts w:cs="Arial"/>
          <w:sz w:val="20"/>
          <w:szCs w:val="20"/>
          <w:rtl/>
        </w:rPr>
        <w:t xml:space="preserve"> </w:t>
      </w:r>
      <w:r w:rsidRPr="00EF0F52">
        <w:rPr>
          <w:rFonts w:cs="Arial" w:hint="cs"/>
          <w:sz w:val="20"/>
          <w:szCs w:val="20"/>
          <w:rtl/>
        </w:rPr>
        <w:t>והגיע</w:t>
      </w:r>
      <w:r w:rsidRPr="00EF0F52">
        <w:rPr>
          <w:rFonts w:cs="Arial"/>
          <w:sz w:val="20"/>
          <w:szCs w:val="20"/>
          <w:rtl/>
        </w:rPr>
        <w:t xml:space="preserve"> </w:t>
      </w:r>
      <w:r w:rsidRPr="00EF0F52">
        <w:rPr>
          <w:rFonts w:cs="Arial" w:hint="cs"/>
          <w:sz w:val="20"/>
          <w:szCs w:val="20"/>
          <w:rtl/>
        </w:rPr>
        <w:t>שעת</w:t>
      </w:r>
      <w:r w:rsidRPr="00EF0F52">
        <w:rPr>
          <w:rFonts w:cs="Arial"/>
          <w:sz w:val="20"/>
          <w:szCs w:val="20"/>
          <w:rtl/>
        </w:rPr>
        <w:t xml:space="preserve"> </w:t>
      </w:r>
      <w:r w:rsidRPr="00EF0F52">
        <w:rPr>
          <w:rFonts w:cs="Arial" w:hint="cs"/>
          <w:sz w:val="20"/>
          <w:szCs w:val="20"/>
          <w:rtl/>
        </w:rPr>
        <w:t>וסתה</w:t>
      </w:r>
      <w:r w:rsidRPr="00EF0F52">
        <w:rPr>
          <w:rFonts w:cs="Arial"/>
          <w:sz w:val="20"/>
          <w:szCs w:val="20"/>
          <w:rtl/>
        </w:rPr>
        <w:t xml:space="preserve"> </w:t>
      </w:r>
      <w:r w:rsidRPr="00EF0F52">
        <w:rPr>
          <w:rFonts w:cs="Arial" w:hint="cs"/>
          <w:sz w:val="20"/>
          <w:szCs w:val="20"/>
          <w:rtl/>
        </w:rPr>
        <w:t>ולא</w:t>
      </w:r>
      <w:r w:rsidRPr="00EF0F52">
        <w:rPr>
          <w:rFonts w:cs="Arial"/>
          <w:sz w:val="20"/>
          <w:szCs w:val="20"/>
          <w:rtl/>
        </w:rPr>
        <w:t xml:space="preserve"> </w:t>
      </w:r>
      <w:r w:rsidRPr="00EF0F52">
        <w:rPr>
          <w:rFonts w:cs="Arial" w:hint="cs"/>
          <w:sz w:val="20"/>
          <w:szCs w:val="20"/>
          <w:rtl/>
        </w:rPr>
        <w:t>בדקה</w:t>
      </w:r>
      <w:r w:rsidRPr="00EF0F52">
        <w:rPr>
          <w:rFonts w:cs="Arial"/>
          <w:sz w:val="20"/>
          <w:szCs w:val="20"/>
          <w:rtl/>
        </w:rPr>
        <w:t xml:space="preserve"> - </w:t>
      </w:r>
      <w:r w:rsidRPr="00EF0F52">
        <w:rPr>
          <w:rFonts w:cs="Arial" w:hint="cs"/>
          <w:sz w:val="20"/>
          <w:szCs w:val="20"/>
          <w:rtl/>
        </w:rPr>
        <w:t>טהורה</w:t>
      </w:r>
      <w:r w:rsidRPr="00EF0F52">
        <w:rPr>
          <w:rFonts w:cs="Arial"/>
          <w:sz w:val="20"/>
          <w:szCs w:val="20"/>
          <w:rtl/>
        </w:rPr>
        <w:t xml:space="preserve">, </w:t>
      </w:r>
      <w:r w:rsidRPr="00EF0F52">
        <w:rPr>
          <w:rFonts w:cs="Arial" w:hint="cs"/>
          <w:sz w:val="20"/>
          <w:szCs w:val="20"/>
          <w:rtl/>
        </w:rPr>
        <w:t>שחרדה</w:t>
      </w:r>
      <w:r w:rsidRPr="00EF0F52">
        <w:rPr>
          <w:rFonts w:cs="Arial"/>
          <w:sz w:val="20"/>
          <w:szCs w:val="20"/>
          <w:rtl/>
        </w:rPr>
        <w:t xml:space="preserve"> </w:t>
      </w:r>
      <w:r w:rsidRPr="00EF0F52">
        <w:rPr>
          <w:rFonts w:cs="Arial" w:hint="cs"/>
          <w:sz w:val="20"/>
          <w:szCs w:val="20"/>
          <w:rtl/>
        </w:rPr>
        <w:t>מסלקת</w:t>
      </w:r>
      <w:r w:rsidRPr="00EF0F52">
        <w:rPr>
          <w:rFonts w:cs="Arial"/>
          <w:sz w:val="20"/>
          <w:szCs w:val="20"/>
          <w:rtl/>
        </w:rPr>
        <w:t xml:space="preserve"> </w:t>
      </w:r>
      <w:r w:rsidRPr="00EF0F52">
        <w:rPr>
          <w:rFonts w:cs="Arial" w:hint="cs"/>
          <w:sz w:val="20"/>
          <w:szCs w:val="20"/>
          <w:rtl/>
        </w:rPr>
        <w:t>את</w:t>
      </w:r>
      <w:r w:rsidRPr="00EF0F52">
        <w:rPr>
          <w:rFonts w:cs="Arial"/>
          <w:sz w:val="20"/>
          <w:szCs w:val="20"/>
          <w:rtl/>
        </w:rPr>
        <w:t xml:space="preserve"> </w:t>
      </w:r>
      <w:r w:rsidRPr="00EF0F52">
        <w:rPr>
          <w:rFonts w:cs="Arial" w:hint="cs"/>
          <w:sz w:val="20"/>
          <w:szCs w:val="20"/>
          <w:rtl/>
        </w:rPr>
        <w:t>הדמים</w:t>
      </w:r>
      <w:r w:rsidRPr="00EF0F52">
        <w:rPr>
          <w:rFonts w:cs="Arial"/>
          <w:sz w:val="20"/>
          <w:szCs w:val="20"/>
          <w:rtl/>
        </w:rPr>
        <w:t xml:space="preserve">. </w:t>
      </w:r>
      <w:r w:rsidRPr="00EF0F52">
        <w:rPr>
          <w:rFonts w:cs="Arial" w:hint="cs"/>
          <w:sz w:val="20"/>
          <w:szCs w:val="20"/>
          <w:rtl/>
        </w:rPr>
        <w:t>טעמא</w:t>
      </w:r>
      <w:r w:rsidRPr="00EF0F52">
        <w:rPr>
          <w:rFonts w:cs="Arial"/>
          <w:sz w:val="20"/>
          <w:szCs w:val="20"/>
          <w:rtl/>
        </w:rPr>
        <w:t xml:space="preserve"> - </w:t>
      </w:r>
      <w:r w:rsidRPr="00EF0F52">
        <w:rPr>
          <w:rFonts w:cs="Arial" w:hint="cs"/>
          <w:sz w:val="20"/>
          <w:szCs w:val="20"/>
          <w:rtl/>
        </w:rPr>
        <w:t>דאיכא</w:t>
      </w:r>
      <w:r w:rsidRPr="00EF0F52">
        <w:rPr>
          <w:rFonts w:cs="Arial"/>
          <w:sz w:val="20"/>
          <w:szCs w:val="20"/>
          <w:rtl/>
        </w:rPr>
        <w:t xml:space="preserve"> </w:t>
      </w:r>
      <w:r w:rsidRPr="00EF0F52">
        <w:rPr>
          <w:rFonts w:cs="Arial" w:hint="cs"/>
          <w:sz w:val="20"/>
          <w:szCs w:val="20"/>
          <w:rtl/>
        </w:rPr>
        <w:t>חרדה</w:t>
      </w:r>
      <w:r w:rsidRPr="00EF0F52">
        <w:rPr>
          <w:rFonts w:cs="Arial"/>
          <w:sz w:val="20"/>
          <w:szCs w:val="20"/>
          <w:rtl/>
        </w:rPr>
        <w:t xml:space="preserve">, </w:t>
      </w:r>
      <w:r w:rsidRPr="00EF0F52">
        <w:rPr>
          <w:rFonts w:cs="Arial" w:hint="cs"/>
          <w:sz w:val="20"/>
          <w:szCs w:val="20"/>
          <w:rtl/>
        </w:rPr>
        <w:t>הא</w:t>
      </w:r>
      <w:r w:rsidRPr="00EF0F52">
        <w:rPr>
          <w:rFonts w:cs="Arial"/>
          <w:sz w:val="20"/>
          <w:szCs w:val="20"/>
          <w:rtl/>
        </w:rPr>
        <w:t xml:space="preserve"> </w:t>
      </w:r>
      <w:r w:rsidRPr="00EF0F52">
        <w:rPr>
          <w:rFonts w:cs="Arial" w:hint="cs"/>
          <w:sz w:val="20"/>
          <w:szCs w:val="20"/>
          <w:rtl/>
        </w:rPr>
        <w:t>ליכא</w:t>
      </w:r>
      <w:r w:rsidRPr="00EF0F52">
        <w:rPr>
          <w:rFonts w:cs="Arial"/>
          <w:sz w:val="20"/>
          <w:szCs w:val="20"/>
          <w:rtl/>
        </w:rPr>
        <w:t xml:space="preserve"> </w:t>
      </w:r>
      <w:r w:rsidRPr="00EF0F52">
        <w:rPr>
          <w:rFonts w:cs="Arial" w:hint="cs"/>
          <w:sz w:val="20"/>
          <w:szCs w:val="20"/>
          <w:rtl/>
        </w:rPr>
        <w:t>חרדה</w:t>
      </w:r>
      <w:r w:rsidRPr="00EF0F52">
        <w:rPr>
          <w:rFonts w:cs="Arial"/>
          <w:sz w:val="20"/>
          <w:szCs w:val="20"/>
          <w:rtl/>
        </w:rPr>
        <w:t xml:space="preserve"> </w:t>
      </w:r>
      <w:r w:rsidRPr="00EF0F52">
        <w:rPr>
          <w:rFonts w:cs="Arial" w:hint="cs"/>
          <w:sz w:val="20"/>
          <w:szCs w:val="20"/>
          <w:rtl/>
        </w:rPr>
        <w:t>והגיע</w:t>
      </w:r>
      <w:r w:rsidRPr="00EF0F52">
        <w:rPr>
          <w:rFonts w:cs="Arial"/>
          <w:sz w:val="20"/>
          <w:szCs w:val="20"/>
          <w:rtl/>
        </w:rPr>
        <w:t xml:space="preserve"> </w:t>
      </w:r>
      <w:r w:rsidRPr="00EF0F52">
        <w:rPr>
          <w:rFonts w:cs="Arial" w:hint="cs"/>
          <w:sz w:val="20"/>
          <w:szCs w:val="20"/>
          <w:rtl/>
        </w:rPr>
        <w:t>וסתה</w:t>
      </w:r>
      <w:r w:rsidRPr="00EF0F52">
        <w:rPr>
          <w:rFonts w:cs="Arial"/>
          <w:sz w:val="20"/>
          <w:szCs w:val="20"/>
          <w:rtl/>
        </w:rPr>
        <w:t xml:space="preserve"> </w:t>
      </w:r>
      <w:r w:rsidRPr="00EF0F52">
        <w:rPr>
          <w:rFonts w:cs="Arial" w:hint="cs"/>
          <w:sz w:val="20"/>
          <w:szCs w:val="20"/>
          <w:rtl/>
        </w:rPr>
        <w:t>ולא</w:t>
      </w:r>
      <w:r w:rsidRPr="00EF0F52">
        <w:rPr>
          <w:rFonts w:cs="Arial"/>
          <w:sz w:val="20"/>
          <w:szCs w:val="20"/>
          <w:rtl/>
        </w:rPr>
        <w:t xml:space="preserve"> </w:t>
      </w:r>
      <w:r w:rsidRPr="00EF0F52">
        <w:rPr>
          <w:rFonts w:cs="Arial" w:hint="cs"/>
          <w:sz w:val="20"/>
          <w:szCs w:val="20"/>
          <w:rtl/>
        </w:rPr>
        <w:t>בדקה</w:t>
      </w:r>
      <w:r w:rsidRPr="00EF0F52">
        <w:rPr>
          <w:rFonts w:cs="Arial"/>
          <w:sz w:val="20"/>
          <w:szCs w:val="20"/>
          <w:rtl/>
        </w:rPr>
        <w:t xml:space="preserve"> - </w:t>
      </w:r>
      <w:r w:rsidRPr="00EF0F52">
        <w:rPr>
          <w:rFonts w:cs="Arial" w:hint="cs"/>
          <w:sz w:val="20"/>
          <w:szCs w:val="20"/>
          <w:rtl/>
        </w:rPr>
        <w:t>טמאה</w:t>
      </w:r>
      <w:r w:rsidRPr="00EF0F52">
        <w:rPr>
          <w:rFonts w:cs="Arial"/>
          <w:sz w:val="20"/>
          <w:szCs w:val="20"/>
          <w:rtl/>
        </w:rPr>
        <w:t xml:space="preserve">, </w:t>
      </w:r>
      <w:r w:rsidRPr="00EF0F52">
        <w:rPr>
          <w:rFonts w:cs="Arial" w:hint="cs"/>
          <w:sz w:val="20"/>
          <w:szCs w:val="20"/>
          <w:rtl/>
        </w:rPr>
        <w:t>אלמא</w:t>
      </w:r>
      <w:r w:rsidRPr="00EF0F52">
        <w:rPr>
          <w:rFonts w:cs="Arial"/>
          <w:sz w:val="20"/>
          <w:szCs w:val="20"/>
          <w:rtl/>
        </w:rPr>
        <w:t xml:space="preserve">: </w:t>
      </w:r>
      <w:r w:rsidRPr="00EF0F52">
        <w:rPr>
          <w:rFonts w:cs="Arial" w:hint="cs"/>
          <w:sz w:val="20"/>
          <w:szCs w:val="20"/>
          <w:rtl/>
        </w:rPr>
        <w:t>וסתות</w:t>
      </w:r>
      <w:r w:rsidRPr="00EF0F52">
        <w:rPr>
          <w:rFonts w:cs="Arial"/>
          <w:sz w:val="20"/>
          <w:szCs w:val="20"/>
          <w:rtl/>
        </w:rPr>
        <w:t xml:space="preserve"> </w:t>
      </w:r>
      <w:r w:rsidRPr="00EF0F52">
        <w:rPr>
          <w:rFonts w:cs="Arial" w:hint="cs"/>
          <w:sz w:val="20"/>
          <w:szCs w:val="20"/>
          <w:rtl/>
        </w:rPr>
        <w:t>דאורייתא</w:t>
      </w:r>
      <w:r w:rsidRPr="00EF0F52">
        <w:rPr>
          <w:rFonts w:cs="Arial"/>
          <w:sz w:val="20"/>
          <w:szCs w:val="20"/>
          <w:rtl/>
        </w:rPr>
        <w:t xml:space="preserve">. </w:t>
      </w:r>
      <w:r w:rsidRPr="00EF0F52">
        <w:rPr>
          <w:rFonts w:cs="Arial" w:hint="cs"/>
          <w:sz w:val="20"/>
          <w:szCs w:val="20"/>
          <w:rtl/>
        </w:rPr>
        <w:t>וכיון</w:t>
      </w:r>
      <w:r w:rsidRPr="00EF0F52">
        <w:rPr>
          <w:rFonts w:cs="Arial"/>
          <w:sz w:val="20"/>
          <w:szCs w:val="20"/>
          <w:rtl/>
        </w:rPr>
        <w:t xml:space="preserve"> </w:t>
      </w:r>
      <w:r w:rsidRPr="00EF0F52">
        <w:rPr>
          <w:rFonts w:cs="Arial" w:hint="cs"/>
          <w:sz w:val="20"/>
          <w:szCs w:val="20"/>
          <w:rtl/>
        </w:rPr>
        <w:t>דאיכא</w:t>
      </w:r>
      <w:r w:rsidRPr="00EF0F52">
        <w:rPr>
          <w:rFonts w:cs="Arial"/>
          <w:sz w:val="20"/>
          <w:szCs w:val="20"/>
          <w:rtl/>
        </w:rPr>
        <w:t xml:space="preserve"> </w:t>
      </w:r>
      <w:r w:rsidRPr="00EF0F52">
        <w:rPr>
          <w:rFonts w:cs="Arial" w:hint="cs"/>
          <w:sz w:val="20"/>
          <w:szCs w:val="20"/>
          <w:rtl/>
        </w:rPr>
        <w:t>חרדה</w:t>
      </w:r>
      <w:r w:rsidRPr="00EF0F52">
        <w:rPr>
          <w:rFonts w:cs="Arial"/>
          <w:sz w:val="20"/>
          <w:szCs w:val="20"/>
          <w:rtl/>
        </w:rPr>
        <w:t xml:space="preserve"> - </w:t>
      </w:r>
      <w:r w:rsidRPr="00EF0F52">
        <w:rPr>
          <w:rFonts w:cs="Arial" w:hint="cs"/>
          <w:sz w:val="20"/>
          <w:szCs w:val="20"/>
          <w:rtl/>
        </w:rPr>
        <w:t>דמיה</w:t>
      </w:r>
      <w:r w:rsidRPr="00EF0F52">
        <w:rPr>
          <w:rFonts w:cs="Arial"/>
          <w:sz w:val="20"/>
          <w:szCs w:val="20"/>
          <w:rtl/>
        </w:rPr>
        <w:t xml:space="preserve"> </w:t>
      </w:r>
      <w:r w:rsidRPr="00EF0F52">
        <w:rPr>
          <w:rFonts w:cs="Arial" w:hint="cs"/>
          <w:sz w:val="20"/>
          <w:szCs w:val="20"/>
          <w:rtl/>
        </w:rPr>
        <w:t>מסולקין</w:t>
      </w:r>
      <w:r w:rsidRPr="00EF0F52">
        <w:rPr>
          <w:rFonts w:cs="Arial"/>
          <w:sz w:val="20"/>
          <w:szCs w:val="20"/>
          <w:rtl/>
        </w:rPr>
        <w:t xml:space="preserve">, </w:t>
      </w:r>
      <w:r w:rsidRPr="00EF0F52">
        <w:rPr>
          <w:rFonts w:cs="Arial" w:hint="cs"/>
          <w:sz w:val="20"/>
          <w:szCs w:val="20"/>
          <w:rtl/>
        </w:rPr>
        <w:t>ולא</w:t>
      </w:r>
      <w:r w:rsidRPr="00EF0F52">
        <w:rPr>
          <w:rFonts w:cs="Arial"/>
          <w:sz w:val="20"/>
          <w:szCs w:val="20"/>
          <w:rtl/>
        </w:rPr>
        <w:t xml:space="preserve"> </w:t>
      </w:r>
      <w:r w:rsidRPr="00EF0F52">
        <w:rPr>
          <w:rFonts w:cs="Arial" w:hint="cs"/>
          <w:sz w:val="20"/>
          <w:szCs w:val="20"/>
          <w:rtl/>
        </w:rPr>
        <w:t>בעיא</w:t>
      </w:r>
      <w:r w:rsidRPr="00EF0F52">
        <w:rPr>
          <w:rFonts w:cs="Arial"/>
          <w:sz w:val="20"/>
          <w:szCs w:val="20"/>
          <w:rtl/>
        </w:rPr>
        <w:t xml:space="preserve"> </w:t>
      </w:r>
      <w:r w:rsidRPr="00EF0F52">
        <w:rPr>
          <w:rFonts w:cs="Arial" w:hint="cs"/>
          <w:sz w:val="20"/>
          <w:szCs w:val="20"/>
          <w:rtl/>
        </w:rPr>
        <w:t>בדיקה</w:t>
      </w:r>
      <w:r w:rsidRPr="00EF0F52">
        <w:rPr>
          <w:rFonts w:cs="Arial"/>
          <w:sz w:val="20"/>
          <w:szCs w:val="20"/>
          <w:rtl/>
        </w:rPr>
        <w:t xml:space="preserve">; </w:t>
      </w:r>
      <w:r w:rsidRPr="00EF0F52">
        <w:rPr>
          <w:rFonts w:cs="Arial" w:hint="cs"/>
          <w:sz w:val="20"/>
          <w:szCs w:val="20"/>
          <w:u w:val="single"/>
          <w:rtl/>
        </w:rPr>
        <w:t>הכא</w:t>
      </w:r>
      <w:r w:rsidRPr="00EF0F52">
        <w:rPr>
          <w:rFonts w:cs="Arial"/>
          <w:sz w:val="20"/>
          <w:szCs w:val="20"/>
          <w:u w:val="single"/>
          <w:rtl/>
        </w:rPr>
        <w:t xml:space="preserve"> </w:t>
      </w:r>
      <w:r w:rsidRPr="00EF0F52">
        <w:rPr>
          <w:rFonts w:cs="Arial" w:hint="cs"/>
          <w:sz w:val="20"/>
          <w:szCs w:val="20"/>
          <w:u w:val="single"/>
          <w:rtl/>
        </w:rPr>
        <w:t>נמי</w:t>
      </w:r>
      <w:r w:rsidRPr="00EF0F52">
        <w:rPr>
          <w:rFonts w:cs="Arial"/>
          <w:sz w:val="20"/>
          <w:szCs w:val="20"/>
          <w:u w:val="single"/>
          <w:rtl/>
        </w:rPr>
        <w:t xml:space="preserve"> - </w:t>
      </w:r>
      <w:r w:rsidRPr="00EF0F52">
        <w:rPr>
          <w:rFonts w:cs="Arial" w:hint="cs"/>
          <w:sz w:val="20"/>
          <w:szCs w:val="20"/>
          <w:u w:val="single"/>
          <w:rtl/>
        </w:rPr>
        <w:t>דמיה</w:t>
      </w:r>
      <w:r w:rsidRPr="00EF0F52">
        <w:rPr>
          <w:rFonts w:cs="Arial"/>
          <w:sz w:val="20"/>
          <w:szCs w:val="20"/>
          <w:u w:val="single"/>
          <w:rtl/>
        </w:rPr>
        <w:t xml:space="preserve"> </w:t>
      </w:r>
      <w:r w:rsidRPr="00EF0F52">
        <w:rPr>
          <w:rFonts w:cs="Arial" w:hint="cs"/>
          <w:sz w:val="20"/>
          <w:szCs w:val="20"/>
          <w:u w:val="single"/>
          <w:rtl/>
        </w:rPr>
        <w:t>מסולקין</w:t>
      </w:r>
      <w:r w:rsidRPr="00EF0F52">
        <w:rPr>
          <w:rFonts w:cs="Arial"/>
          <w:sz w:val="20"/>
          <w:szCs w:val="20"/>
          <w:u w:val="single"/>
          <w:rtl/>
        </w:rPr>
        <w:t xml:space="preserve">, </w:t>
      </w:r>
      <w:r w:rsidRPr="00EF0F52">
        <w:rPr>
          <w:rFonts w:cs="Arial" w:hint="cs"/>
          <w:sz w:val="20"/>
          <w:szCs w:val="20"/>
          <w:u w:val="single"/>
          <w:rtl/>
        </w:rPr>
        <w:t>ולא</w:t>
      </w:r>
      <w:r w:rsidRPr="00EF0F52">
        <w:rPr>
          <w:rFonts w:cs="Arial"/>
          <w:sz w:val="20"/>
          <w:szCs w:val="20"/>
          <w:u w:val="single"/>
          <w:rtl/>
        </w:rPr>
        <w:t xml:space="preserve"> </w:t>
      </w:r>
      <w:r w:rsidRPr="00EF0F52">
        <w:rPr>
          <w:rFonts w:cs="Arial" w:hint="cs"/>
          <w:sz w:val="20"/>
          <w:szCs w:val="20"/>
          <w:u w:val="single"/>
          <w:rtl/>
        </w:rPr>
        <w:t>בעיא</w:t>
      </w:r>
      <w:r w:rsidRPr="00EF0F52">
        <w:rPr>
          <w:rFonts w:cs="Arial"/>
          <w:sz w:val="20"/>
          <w:szCs w:val="20"/>
          <w:u w:val="single"/>
          <w:rtl/>
        </w:rPr>
        <w:t xml:space="preserve"> </w:t>
      </w:r>
      <w:r w:rsidRPr="00EF0F52">
        <w:rPr>
          <w:rFonts w:cs="Arial" w:hint="cs"/>
          <w:sz w:val="20"/>
          <w:szCs w:val="20"/>
          <w:u w:val="single"/>
          <w:rtl/>
        </w:rPr>
        <w:t>בדיקה</w:t>
      </w:r>
      <w:r>
        <w:rPr>
          <w:rFonts w:cs="Arial" w:hint="cs"/>
          <w:sz w:val="20"/>
          <w:szCs w:val="20"/>
          <w:rtl/>
        </w:rPr>
        <w:t>"</w:t>
      </w:r>
      <w:r w:rsidRPr="00EF0F52">
        <w:rPr>
          <w:rFonts w:cs="Arial"/>
          <w:sz w:val="20"/>
          <w:szCs w:val="20"/>
          <w:rtl/>
        </w:rPr>
        <w:t>.</w:t>
      </w:r>
      <w:r>
        <w:rPr>
          <w:rFonts w:cs="Arial" w:hint="cs"/>
          <w:sz w:val="20"/>
          <w:szCs w:val="20"/>
          <w:rtl/>
        </w:rPr>
        <w:br/>
      </w:r>
      <w:r w:rsidRPr="009858AD">
        <w:rPr>
          <w:rFonts w:cs="Arial" w:hint="cs"/>
          <w:b/>
          <w:bCs/>
          <w:sz w:val="20"/>
          <w:szCs w:val="20"/>
          <w:rtl/>
        </w:rPr>
        <w:t>רשב"א</w:t>
      </w:r>
      <w:r>
        <w:rPr>
          <w:rFonts w:cs="Arial" w:hint="cs"/>
          <w:sz w:val="20"/>
          <w:szCs w:val="20"/>
          <w:rtl/>
        </w:rPr>
        <w:t xml:space="preserve"> - מגמרא זו מוכח שאפילו לכתחילה אינה צריכה בדיקה.</w:t>
      </w:r>
    </w:p>
    <w:p w:rsidR="00620060" w:rsidRDefault="00620060" w:rsidP="00620060">
      <w:pPr>
        <w:rPr>
          <w:sz w:val="20"/>
          <w:szCs w:val="20"/>
          <w:rtl/>
        </w:rPr>
      </w:pPr>
      <w:r>
        <w:rPr>
          <w:rFonts w:hint="cs"/>
          <w:sz w:val="20"/>
          <w:szCs w:val="20"/>
          <w:rtl/>
        </w:rPr>
        <w:t xml:space="preserve">ג. </w:t>
      </w:r>
      <w:r>
        <w:rPr>
          <w:rFonts w:hint="cs"/>
          <w:b/>
          <w:bCs/>
          <w:sz w:val="20"/>
          <w:szCs w:val="20"/>
          <w:rtl/>
        </w:rPr>
        <w:t xml:space="preserve">גמרא </w:t>
      </w:r>
      <w:r>
        <w:rPr>
          <w:rFonts w:hint="cs"/>
          <w:sz w:val="20"/>
          <w:szCs w:val="20"/>
          <w:rtl/>
        </w:rPr>
        <w:t>שם (י: - יא.) "...</w:t>
      </w:r>
      <w:r w:rsidRPr="004E01A5">
        <w:rPr>
          <w:rFonts w:cs="Arial" w:hint="cs"/>
          <w:sz w:val="20"/>
          <w:szCs w:val="20"/>
          <w:rtl/>
        </w:rPr>
        <w:t>כתנאי</w:t>
      </w:r>
      <w:r w:rsidRPr="004E01A5">
        <w:rPr>
          <w:rFonts w:cs="Arial"/>
          <w:sz w:val="20"/>
          <w:szCs w:val="20"/>
          <w:rtl/>
        </w:rPr>
        <w:t xml:space="preserve">, </w:t>
      </w:r>
      <w:r w:rsidRPr="004E01A5">
        <w:rPr>
          <w:rFonts w:cs="Arial" w:hint="cs"/>
          <w:sz w:val="20"/>
          <w:szCs w:val="20"/>
          <w:rtl/>
        </w:rPr>
        <w:t>מעוברת</w:t>
      </w:r>
      <w:r w:rsidRPr="004E01A5">
        <w:rPr>
          <w:rFonts w:cs="Arial"/>
          <w:sz w:val="20"/>
          <w:szCs w:val="20"/>
          <w:rtl/>
        </w:rPr>
        <w:t xml:space="preserve"> </w:t>
      </w:r>
      <w:r w:rsidRPr="004E01A5">
        <w:rPr>
          <w:rFonts w:cs="Arial" w:hint="cs"/>
          <w:sz w:val="20"/>
          <w:szCs w:val="20"/>
          <w:rtl/>
        </w:rPr>
        <w:t>ומניקה</w:t>
      </w:r>
      <w:r w:rsidRPr="004E01A5">
        <w:rPr>
          <w:rFonts w:cs="Arial"/>
          <w:sz w:val="20"/>
          <w:szCs w:val="20"/>
          <w:rtl/>
        </w:rPr>
        <w:t xml:space="preserve"> </w:t>
      </w:r>
      <w:r w:rsidRPr="004E01A5">
        <w:rPr>
          <w:rFonts w:cs="Arial" w:hint="cs"/>
          <w:sz w:val="20"/>
          <w:szCs w:val="20"/>
          <w:rtl/>
        </w:rPr>
        <w:t>שהיו</w:t>
      </w:r>
      <w:r w:rsidRPr="004E01A5">
        <w:rPr>
          <w:rFonts w:hint="cs"/>
          <w:rtl/>
        </w:rPr>
        <w:t xml:space="preserve"> </w:t>
      </w:r>
      <w:r w:rsidRPr="004E01A5">
        <w:rPr>
          <w:rFonts w:cs="Arial" w:hint="cs"/>
          <w:sz w:val="20"/>
          <w:szCs w:val="20"/>
          <w:rtl/>
        </w:rPr>
        <w:t>שופעות</w:t>
      </w:r>
      <w:r w:rsidRPr="004E01A5">
        <w:rPr>
          <w:rFonts w:cs="Arial"/>
          <w:sz w:val="20"/>
          <w:szCs w:val="20"/>
          <w:rtl/>
        </w:rPr>
        <w:t xml:space="preserve"> </w:t>
      </w:r>
      <w:r w:rsidRPr="004E01A5">
        <w:rPr>
          <w:rFonts w:cs="Arial" w:hint="cs"/>
          <w:sz w:val="20"/>
          <w:szCs w:val="20"/>
          <w:rtl/>
        </w:rPr>
        <w:t>דם</w:t>
      </w:r>
      <w:r w:rsidRPr="004E01A5">
        <w:rPr>
          <w:rFonts w:cs="Arial"/>
          <w:sz w:val="20"/>
          <w:szCs w:val="20"/>
          <w:rtl/>
        </w:rPr>
        <w:t xml:space="preserve"> </w:t>
      </w:r>
      <w:r w:rsidRPr="004E01A5">
        <w:rPr>
          <w:rFonts w:cs="Arial" w:hint="cs"/>
          <w:sz w:val="20"/>
          <w:szCs w:val="20"/>
          <w:rtl/>
        </w:rPr>
        <w:t>ובאות</w:t>
      </w:r>
      <w:r w:rsidRPr="004E01A5">
        <w:rPr>
          <w:rFonts w:cs="Arial"/>
          <w:sz w:val="20"/>
          <w:szCs w:val="20"/>
          <w:rtl/>
        </w:rPr>
        <w:t xml:space="preserve"> - </w:t>
      </w:r>
      <w:r w:rsidRPr="004E01A5">
        <w:rPr>
          <w:rFonts w:cs="Arial" w:hint="cs"/>
          <w:sz w:val="20"/>
          <w:szCs w:val="20"/>
          <w:rtl/>
        </w:rPr>
        <w:t>דיין</w:t>
      </w:r>
      <w:r w:rsidRPr="004E01A5">
        <w:rPr>
          <w:rFonts w:cs="Arial"/>
          <w:sz w:val="20"/>
          <w:szCs w:val="20"/>
          <w:rtl/>
        </w:rPr>
        <w:t xml:space="preserve"> </w:t>
      </w:r>
      <w:r w:rsidRPr="004E01A5">
        <w:rPr>
          <w:rFonts w:cs="Arial" w:hint="cs"/>
          <w:sz w:val="20"/>
          <w:szCs w:val="20"/>
          <w:rtl/>
        </w:rPr>
        <w:t>כל</w:t>
      </w:r>
      <w:r w:rsidRPr="004E01A5">
        <w:rPr>
          <w:rFonts w:cs="Arial"/>
          <w:sz w:val="20"/>
          <w:szCs w:val="20"/>
          <w:rtl/>
        </w:rPr>
        <w:t xml:space="preserve"> </w:t>
      </w:r>
      <w:r w:rsidRPr="004E01A5">
        <w:rPr>
          <w:rFonts w:cs="Arial" w:hint="cs"/>
          <w:sz w:val="20"/>
          <w:szCs w:val="20"/>
          <w:rtl/>
        </w:rPr>
        <w:t>ימי</w:t>
      </w:r>
      <w:r w:rsidRPr="004E01A5">
        <w:rPr>
          <w:rFonts w:cs="Arial"/>
          <w:sz w:val="20"/>
          <w:szCs w:val="20"/>
          <w:rtl/>
        </w:rPr>
        <w:t xml:space="preserve"> </w:t>
      </w:r>
      <w:r w:rsidRPr="004E01A5">
        <w:rPr>
          <w:rFonts w:cs="Arial" w:hint="cs"/>
          <w:sz w:val="20"/>
          <w:szCs w:val="20"/>
          <w:rtl/>
        </w:rPr>
        <w:t>עיבורן</w:t>
      </w:r>
      <w:r w:rsidRPr="004E01A5">
        <w:rPr>
          <w:rFonts w:cs="Arial"/>
          <w:sz w:val="20"/>
          <w:szCs w:val="20"/>
          <w:rtl/>
        </w:rPr>
        <w:t xml:space="preserve">, </w:t>
      </w:r>
      <w:r w:rsidRPr="004E01A5">
        <w:rPr>
          <w:rFonts w:cs="Arial" w:hint="cs"/>
          <w:sz w:val="20"/>
          <w:szCs w:val="20"/>
          <w:rtl/>
        </w:rPr>
        <w:t>ודיין</w:t>
      </w:r>
      <w:r w:rsidRPr="004E01A5">
        <w:rPr>
          <w:rFonts w:cs="Arial"/>
          <w:sz w:val="20"/>
          <w:szCs w:val="20"/>
          <w:rtl/>
        </w:rPr>
        <w:t xml:space="preserve"> </w:t>
      </w:r>
      <w:r w:rsidRPr="004E01A5">
        <w:rPr>
          <w:rFonts w:cs="Arial" w:hint="cs"/>
          <w:sz w:val="20"/>
          <w:szCs w:val="20"/>
          <w:rtl/>
        </w:rPr>
        <w:t>כל</w:t>
      </w:r>
      <w:r w:rsidRPr="004E01A5">
        <w:rPr>
          <w:rFonts w:cs="Arial"/>
          <w:sz w:val="20"/>
          <w:szCs w:val="20"/>
          <w:rtl/>
        </w:rPr>
        <w:t xml:space="preserve"> </w:t>
      </w:r>
      <w:r w:rsidRPr="004E01A5">
        <w:rPr>
          <w:rFonts w:cs="Arial" w:hint="cs"/>
          <w:sz w:val="20"/>
          <w:szCs w:val="20"/>
          <w:rtl/>
        </w:rPr>
        <w:t>ימי</w:t>
      </w:r>
      <w:r w:rsidRPr="004E01A5">
        <w:rPr>
          <w:rFonts w:cs="Arial"/>
          <w:sz w:val="20"/>
          <w:szCs w:val="20"/>
          <w:rtl/>
        </w:rPr>
        <w:t xml:space="preserve"> </w:t>
      </w:r>
      <w:r w:rsidRPr="004E01A5">
        <w:rPr>
          <w:rFonts w:cs="Arial" w:hint="cs"/>
          <w:sz w:val="20"/>
          <w:szCs w:val="20"/>
          <w:rtl/>
        </w:rPr>
        <w:t>מניקותן</w:t>
      </w:r>
      <w:r w:rsidRPr="004E01A5">
        <w:rPr>
          <w:rFonts w:cs="Arial"/>
          <w:sz w:val="20"/>
          <w:szCs w:val="20"/>
          <w:rtl/>
        </w:rPr>
        <w:t xml:space="preserve"> - </w:t>
      </w:r>
      <w:r w:rsidRPr="004E01A5">
        <w:rPr>
          <w:rFonts w:cs="Arial" w:hint="cs"/>
          <w:sz w:val="20"/>
          <w:szCs w:val="20"/>
          <w:rtl/>
        </w:rPr>
        <w:t>דברי</w:t>
      </w:r>
      <w:r w:rsidRPr="004E01A5">
        <w:rPr>
          <w:rFonts w:cs="Arial"/>
          <w:sz w:val="20"/>
          <w:szCs w:val="20"/>
          <w:rtl/>
        </w:rPr>
        <w:t xml:space="preserve"> </w:t>
      </w:r>
      <w:r w:rsidRPr="004E01A5">
        <w:rPr>
          <w:rFonts w:cs="Arial" w:hint="cs"/>
          <w:sz w:val="20"/>
          <w:szCs w:val="20"/>
          <w:rtl/>
        </w:rPr>
        <w:t>ר</w:t>
      </w:r>
      <w:r>
        <w:rPr>
          <w:rFonts w:cs="Arial" w:hint="cs"/>
          <w:sz w:val="20"/>
          <w:szCs w:val="20"/>
          <w:rtl/>
        </w:rPr>
        <w:t xml:space="preserve">בי </w:t>
      </w:r>
      <w:r w:rsidRPr="004E01A5">
        <w:rPr>
          <w:rFonts w:cs="Arial" w:hint="cs"/>
          <w:sz w:val="20"/>
          <w:szCs w:val="20"/>
          <w:rtl/>
        </w:rPr>
        <w:t>מ</w:t>
      </w:r>
      <w:r>
        <w:rPr>
          <w:rFonts w:cs="Arial" w:hint="cs"/>
          <w:sz w:val="20"/>
          <w:szCs w:val="20"/>
          <w:rtl/>
        </w:rPr>
        <w:t>איר</w:t>
      </w:r>
      <w:r w:rsidRPr="004E01A5">
        <w:rPr>
          <w:rFonts w:cs="Arial"/>
          <w:sz w:val="20"/>
          <w:szCs w:val="20"/>
          <w:rtl/>
        </w:rPr>
        <w:t xml:space="preserve">, </w:t>
      </w:r>
      <w:r w:rsidRPr="004E01A5">
        <w:rPr>
          <w:rFonts w:cs="Arial" w:hint="cs"/>
          <w:sz w:val="20"/>
          <w:szCs w:val="20"/>
          <w:rtl/>
        </w:rPr>
        <w:t>רבי</w:t>
      </w:r>
      <w:r w:rsidRPr="004E01A5">
        <w:rPr>
          <w:rFonts w:cs="Arial"/>
          <w:sz w:val="20"/>
          <w:szCs w:val="20"/>
          <w:rtl/>
        </w:rPr>
        <w:t xml:space="preserve"> </w:t>
      </w:r>
      <w:r w:rsidRPr="004E01A5">
        <w:rPr>
          <w:rFonts w:cs="Arial" w:hint="cs"/>
          <w:sz w:val="20"/>
          <w:szCs w:val="20"/>
          <w:rtl/>
        </w:rPr>
        <w:t>יוסי</w:t>
      </w:r>
      <w:r w:rsidRPr="004E01A5">
        <w:rPr>
          <w:rFonts w:cs="Arial"/>
          <w:sz w:val="20"/>
          <w:szCs w:val="20"/>
          <w:rtl/>
        </w:rPr>
        <w:t xml:space="preserve"> </w:t>
      </w:r>
      <w:r w:rsidRPr="004E01A5">
        <w:rPr>
          <w:rFonts w:cs="Arial" w:hint="cs"/>
          <w:sz w:val="20"/>
          <w:szCs w:val="20"/>
          <w:rtl/>
        </w:rPr>
        <w:t>ור</w:t>
      </w:r>
      <w:r>
        <w:rPr>
          <w:rFonts w:cs="Arial" w:hint="cs"/>
          <w:sz w:val="20"/>
          <w:szCs w:val="20"/>
          <w:rtl/>
        </w:rPr>
        <w:t>בי</w:t>
      </w:r>
      <w:r w:rsidRPr="004E01A5">
        <w:rPr>
          <w:rFonts w:cs="Arial"/>
          <w:sz w:val="20"/>
          <w:szCs w:val="20"/>
          <w:rtl/>
        </w:rPr>
        <w:t xml:space="preserve"> </w:t>
      </w:r>
      <w:r w:rsidRPr="004E01A5">
        <w:rPr>
          <w:rFonts w:cs="Arial" w:hint="cs"/>
          <w:sz w:val="20"/>
          <w:szCs w:val="20"/>
          <w:rtl/>
        </w:rPr>
        <w:t>יהודה</w:t>
      </w:r>
      <w:r w:rsidRPr="004E01A5">
        <w:rPr>
          <w:rFonts w:cs="Arial"/>
          <w:sz w:val="20"/>
          <w:szCs w:val="20"/>
          <w:rtl/>
        </w:rPr>
        <w:t xml:space="preserve"> </w:t>
      </w:r>
      <w:r w:rsidRPr="004E01A5">
        <w:rPr>
          <w:rFonts w:cs="Arial" w:hint="cs"/>
          <w:sz w:val="20"/>
          <w:szCs w:val="20"/>
          <w:rtl/>
        </w:rPr>
        <w:t>ורבי</w:t>
      </w:r>
      <w:r w:rsidRPr="004E01A5">
        <w:rPr>
          <w:rFonts w:cs="Arial"/>
          <w:sz w:val="20"/>
          <w:szCs w:val="20"/>
          <w:rtl/>
        </w:rPr>
        <w:t xml:space="preserve"> </w:t>
      </w:r>
      <w:r w:rsidRPr="004E01A5">
        <w:rPr>
          <w:rFonts w:cs="Arial" w:hint="cs"/>
          <w:sz w:val="20"/>
          <w:szCs w:val="20"/>
          <w:rtl/>
        </w:rPr>
        <w:t>שמעון</w:t>
      </w:r>
      <w:r w:rsidRPr="004E01A5">
        <w:rPr>
          <w:rFonts w:cs="Arial"/>
          <w:sz w:val="20"/>
          <w:szCs w:val="20"/>
          <w:rtl/>
        </w:rPr>
        <w:t xml:space="preserve"> </w:t>
      </w:r>
      <w:r w:rsidRPr="004E01A5">
        <w:rPr>
          <w:rFonts w:cs="Arial" w:hint="cs"/>
          <w:sz w:val="20"/>
          <w:szCs w:val="20"/>
          <w:rtl/>
        </w:rPr>
        <w:t>אומרים</w:t>
      </w:r>
      <w:r w:rsidRPr="004E01A5">
        <w:rPr>
          <w:rFonts w:cs="Arial"/>
          <w:sz w:val="20"/>
          <w:szCs w:val="20"/>
          <w:rtl/>
        </w:rPr>
        <w:t xml:space="preserve">: </w:t>
      </w:r>
      <w:r w:rsidRPr="004E01A5">
        <w:rPr>
          <w:rFonts w:cs="Arial" w:hint="cs"/>
          <w:sz w:val="20"/>
          <w:szCs w:val="20"/>
          <w:rtl/>
        </w:rPr>
        <w:t>לא</w:t>
      </w:r>
      <w:r w:rsidRPr="004E01A5">
        <w:rPr>
          <w:rFonts w:cs="Arial"/>
          <w:sz w:val="20"/>
          <w:szCs w:val="20"/>
          <w:rtl/>
        </w:rPr>
        <w:t xml:space="preserve"> </w:t>
      </w:r>
      <w:r w:rsidRPr="004E01A5">
        <w:rPr>
          <w:rFonts w:cs="Arial" w:hint="cs"/>
          <w:sz w:val="20"/>
          <w:szCs w:val="20"/>
          <w:rtl/>
        </w:rPr>
        <w:t>אמרו</w:t>
      </w:r>
      <w:r w:rsidRPr="004E01A5">
        <w:rPr>
          <w:rFonts w:cs="Arial"/>
          <w:sz w:val="20"/>
          <w:szCs w:val="20"/>
          <w:rtl/>
        </w:rPr>
        <w:t xml:space="preserve"> </w:t>
      </w:r>
      <w:r w:rsidRPr="004E01A5">
        <w:rPr>
          <w:rFonts w:cs="Arial" w:hint="cs"/>
          <w:sz w:val="20"/>
          <w:szCs w:val="20"/>
          <w:rtl/>
        </w:rPr>
        <w:t>דיין</w:t>
      </w:r>
      <w:r w:rsidRPr="004E01A5">
        <w:rPr>
          <w:rFonts w:cs="Arial"/>
          <w:sz w:val="20"/>
          <w:szCs w:val="20"/>
          <w:rtl/>
        </w:rPr>
        <w:t xml:space="preserve"> </w:t>
      </w:r>
      <w:r w:rsidRPr="004E01A5">
        <w:rPr>
          <w:rFonts w:cs="Arial" w:hint="cs"/>
          <w:sz w:val="20"/>
          <w:szCs w:val="20"/>
          <w:rtl/>
        </w:rPr>
        <w:t>שעתן</w:t>
      </w:r>
      <w:r w:rsidRPr="004E01A5">
        <w:rPr>
          <w:rFonts w:cs="Arial"/>
          <w:sz w:val="20"/>
          <w:szCs w:val="20"/>
          <w:rtl/>
        </w:rPr>
        <w:t xml:space="preserve"> </w:t>
      </w:r>
      <w:r w:rsidRPr="004E01A5">
        <w:rPr>
          <w:rFonts w:cs="Arial" w:hint="cs"/>
          <w:sz w:val="20"/>
          <w:szCs w:val="20"/>
          <w:rtl/>
        </w:rPr>
        <w:t>אלא</w:t>
      </w:r>
      <w:r w:rsidRPr="004E01A5">
        <w:rPr>
          <w:rFonts w:cs="Arial"/>
          <w:sz w:val="20"/>
          <w:szCs w:val="20"/>
          <w:rtl/>
        </w:rPr>
        <w:t xml:space="preserve"> </w:t>
      </w:r>
      <w:r w:rsidRPr="004E01A5">
        <w:rPr>
          <w:rFonts w:cs="Arial" w:hint="cs"/>
          <w:sz w:val="20"/>
          <w:szCs w:val="20"/>
          <w:rtl/>
        </w:rPr>
        <w:t>בראייה</w:t>
      </w:r>
      <w:r w:rsidRPr="004E01A5">
        <w:rPr>
          <w:rFonts w:cs="Arial"/>
          <w:sz w:val="20"/>
          <w:szCs w:val="20"/>
          <w:rtl/>
        </w:rPr>
        <w:t xml:space="preserve"> </w:t>
      </w:r>
      <w:r w:rsidRPr="004E01A5">
        <w:rPr>
          <w:rFonts w:cs="Arial" w:hint="cs"/>
          <w:sz w:val="20"/>
          <w:szCs w:val="20"/>
          <w:rtl/>
        </w:rPr>
        <w:t>ראשונה</w:t>
      </w:r>
      <w:r w:rsidRPr="004E01A5">
        <w:rPr>
          <w:rFonts w:cs="Arial"/>
          <w:sz w:val="20"/>
          <w:szCs w:val="20"/>
          <w:rtl/>
        </w:rPr>
        <w:t xml:space="preserve">, </w:t>
      </w:r>
      <w:r w:rsidRPr="004E01A5">
        <w:rPr>
          <w:rFonts w:cs="Arial" w:hint="cs"/>
          <w:sz w:val="20"/>
          <w:szCs w:val="20"/>
          <w:rtl/>
        </w:rPr>
        <w:t>אבל</w:t>
      </w:r>
      <w:r w:rsidRPr="004E01A5">
        <w:rPr>
          <w:rFonts w:cs="Arial"/>
          <w:sz w:val="20"/>
          <w:szCs w:val="20"/>
          <w:rtl/>
        </w:rPr>
        <w:t xml:space="preserve"> </w:t>
      </w:r>
      <w:r w:rsidRPr="004E01A5">
        <w:rPr>
          <w:rFonts w:cs="Arial" w:hint="cs"/>
          <w:sz w:val="20"/>
          <w:szCs w:val="20"/>
          <w:rtl/>
        </w:rPr>
        <w:t>בשני</w:t>
      </w:r>
      <w:r>
        <w:rPr>
          <w:rFonts w:cs="Arial" w:hint="cs"/>
          <w:sz w:val="20"/>
          <w:szCs w:val="20"/>
          <w:rtl/>
        </w:rPr>
        <w:t>י</w:t>
      </w:r>
      <w:r w:rsidRPr="004E01A5">
        <w:rPr>
          <w:rFonts w:cs="Arial" w:hint="cs"/>
          <w:sz w:val="20"/>
          <w:szCs w:val="20"/>
          <w:rtl/>
        </w:rPr>
        <w:t>ה</w:t>
      </w:r>
      <w:r w:rsidRPr="004E01A5">
        <w:rPr>
          <w:rFonts w:cs="Arial"/>
          <w:sz w:val="20"/>
          <w:szCs w:val="20"/>
          <w:rtl/>
        </w:rPr>
        <w:t xml:space="preserve"> - </w:t>
      </w:r>
      <w:r w:rsidRPr="004E01A5">
        <w:rPr>
          <w:rFonts w:cs="Arial" w:hint="cs"/>
          <w:sz w:val="20"/>
          <w:szCs w:val="20"/>
          <w:rtl/>
        </w:rPr>
        <w:t>מטמאה</w:t>
      </w:r>
      <w:r w:rsidRPr="004E01A5">
        <w:rPr>
          <w:rFonts w:cs="Arial"/>
          <w:sz w:val="20"/>
          <w:szCs w:val="20"/>
          <w:rtl/>
        </w:rPr>
        <w:t xml:space="preserve"> </w:t>
      </w:r>
      <w:r w:rsidRPr="004E01A5">
        <w:rPr>
          <w:rFonts w:cs="Arial" w:hint="cs"/>
          <w:sz w:val="20"/>
          <w:szCs w:val="20"/>
          <w:rtl/>
        </w:rPr>
        <w:t>מעת</w:t>
      </w:r>
      <w:r w:rsidRPr="004E01A5">
        <w:rPr>
          <w:rFonts w:cs="Arial"/>
          <w:sz w:val="20"/>
          <w:szCs w:val="20"/>
          <w:rtl/>
        </w:rPr>
        <w:t xml:space="preserve"> </w:t>
      </w:r>
      <w:r w:rsidRPr="004E01A5">
        <w:rPr>
          <w:rFonts w:cs="Arial" w:hint="cs"/>
          <w:sz w:val="20"/>
          <w:szCs w:val="20"/>
          <w:rtl/>
        </w:rPr>
        <w:t>לעת</w:t>
      </w:r>
      <w:r w:rsidRPr="004E01A5">
        <w:rPr>
          <w:rFonts w:cs="Arial"/>
          <w:sz w:val="20"/>
          <w:szCs w:val="20"/>
          <w:rtl/>
        </w:rPr>
        <w:t xml:space="preserve"> </w:t>
      </w:r>
      <w:r w:rsidRPr="004E01A5">
        <w:rPr>
          <w:rFonts w:cs="Arial" w:hint="cs"/>
          <w:sz w:val="20"/>
          <w:szCs w:val="20"/>
          <w:rtl/>
        </w:rPr>
        <w:t>ומפקידה</w:t>
      </w:r>
      <w:r w:rsidRPr="004E01A5">
        <w:rPr>
          <w:rFonts w:cs="Arial"/>
          <w:sz w:val="20"/>
          <w:szCs w:val="20"/>
          <w:rtl/>
        </w:rPr>
        <w:t xml:space="preserve"> </w:t>
      </w:r>
      <w:r w:rsidRPr="004E01A5">
        <w:rPr>
          <w:rFonts w:cs="Arial" w:hint="cs"/>
          <w:sz w:val="20"/>
          <w:szCs w:val="20"/>
          <w:rtl/>
        </w:rPr>
        <w:t>לפקידה</w:t>
      </w:r>
      <w:r>
        <w:rPr>
          <w:rFonts w:cs="Arial" w:hint="cs"/>
          <w:sz w:val="20"/>
          <w:szCs w:val="20"/>
          <w:rtl/>
        </w:rPr>
        <w:t>".</w:t>
      </w:r>
      <w:r>
        <w:rPr>
          <w:rFonts w:hint="cs"/>
          <w:sz w:val="20"/>
          <w:szCs w:val="20"/>
          <w:rtl/>
        </w:rPr>
        <w:br/>
        <w:t>נאמר בגמרא ששמואל ורבי יוחנן פוסקים כרבי מאיר, שדיין שעתן אפילו שופעות דם.</w:t>
      </w:r>
      <w:r>
        <w:rPr>
          <w:rFonts w:hint="cs"/>
          <w:sz w:val="20"/>
          <w:szCs w:val="20"/>
          <w:rtl/>
        </w:rPr>
        <w:br/>
        <w:t xml:space="preserve">טוען </w:t>
      </w:r>
      <w:r w:rsidRPr="0030252A">
        <w:rPr>
          <w:rFonts w:hint="cs"/>
          <w:b/>
          <w:bCs/>
          <w:sz w:val="20"/>
          <w:szCs w:val="20"/>
          <w:rtl/>
        </w:rPr>
        <w:t>הרשב"א</w:t>
      </w:r>
      <w:r>
        <w:rPr>
          <w:rFonts w:hint="cs"/>
          <w:sz w:val="20"/>
          <w:szCs w:val="20"/>
          <w:rtl/>
        </w:rPr>
        <w:t xml:space="preserve"> </w:t>
      </w:r>
      <w:r>
        <w:rPr>
          <w:sz w:val="20"/>
          <w:szCs w:val="20"/>
          <w:rtl/>
        </w:rPr>
        <w:t>–</w:t>
      </w:r>
      <w:r>
        <w:rPr>
          <w:rFonts w:hint="cs"/>
          <w:sz w:val="20"/>
          <w:szCs w:val="20"/>
          <w:rtl/>
        </w:rPr>
        <w:t xml:space="preserve"> לדברי הרז"ה שדיין שעתן רק לאחר שעברו עליהן ג' עונות שבהן לא ראו, אם כן לאחר ג' ראיות חוזרות לקדמותן, כלומר לווסתן הראשון, שהרי כך דין קטנה וזקנה שלאחר ג' עונות דיין שעתן ואעפ"כ אם ראו ג' פעמים נוספות </w:t>
      </w:r>
      <w:r>
        <w:rPr>
          <w:sz w:val="20"/>
          <w:szCs w:val="20"/>
          <w:rtl/>
        </w:rPr>
        <w:t>–</w:t>
      </w:r>
      <w:r>
        <w:rPr>
          <w:rFonts w:hint="cs"/>
          <w:sz w:val="20"/>
          <w:szCs w:val="20"/>
          <w:rtl/>
        </w:rPr>
        <w:t xml:space="preserve"> חזרו לווסתן. </w:t>
      </w:r>
      <w:r>
        <w:rPr>
          <w:sz w:val="20"/>
          <w:szCs w:val="20"/>
          <w:rtl/>
        </w:rPr>
        <w:br/>
      </w:r>
      <w:r>
        <w:rPr>
          <w:rFonts w:hint="cs"/>
          <w:sz w:val="20"/>
          <w:szCs w:val="20"/>
          <w:rtl/>
        </w:rPr>
        <w:t xml:space="preserve">והרי בגמרא כאן איתא להדיא לגבי מעוברת ומניקה שאפילו שופעות דם, ומשמע אפילו ג' פעמים, דיין שעתן, על כורחך אין דינן כקטנה וזקנה אלא דיין שעתן מייד </w:t>
      </w:r>
      <w:r w:rsidRPr="0030252A">
        <w:rPr>
          <w:rFonts w:hint="cs"/>
          <w:sz w:val="18"/>
          <w:szCs w:val="18"/>
          <w:rtl/>
        </w:rPr>
        <w:t>(דאלת"ה, צריכות לחזור לווסתן לאחר ג' ראיות, כאמור)</w:t>
      </w:r>
      <w:r>
        <w:rPr>
          <w:rFonts w:hint="cs"/>
          <w:sz w:val="20"/>
          <w:szCs w:val="20"/>
          <w:rtl/>
        </w:rPr>
        <w:t>.</w:t>
      </w:r>
    </w:p>
    <w:p w:rsidR="00620060" w:rsidRDefault="00620060" w:rsidP="00620060">
      <w:pPr>
        <w:rPr>
          <w:sz w:val="20"/>
          <w:szCs w:val="20"/>
          <w:rtl/>
        </w:rPr>
      </w:pPr>
      <w:r>
        <w:rPr>
          <w:rFonts w:hint="cs"/>
          <w:sz w:val="20"/>
          <w:szCs w:val="20"/>
          <w:rtl/>
        </w:rPr>
        <w:t xml:space="preserve">ד. ועוד </w:t>
      </w:r>
      <w:r>
        <w:rPr>
          <w:sz w:val="20"/>
          <w:szCs w:val="20"/>
          <w:rtl/>
        </w:rPr>
        <w:t>–</w:t>
      </w:r>
      <w:r>
        <w:rPr>
          <w:rFonts w:hint="cs"/>
          <w:sz w:val="20"/>
          <w:szCs w:val="20"/>
          <w:rtl/>
        </w:rPr>
        <w:t xml:space="preserve"> אם בשופעות דם דיין שעתן, כלומר שהן כמסולקות דמים, כל שכן שאינן צריכות ג' עונות בתחילה כדי להיות מסולקות דמים.</w:t>
      </w:r>
    </w:p>
    <w:p w:rsidR="00620060" w:rsidRDefault="00620060" w:rsidP="00620060">
      <w:pPr>
        <w:tabs>
          <w:tab w:val="left" w:pos="2426"/>
        </w:tabs>
        <w:rPr>
          <w:sz w:val="20"/>
          <w:szCs w:val="20"/>
          <w:rtl/>
        </w:rPr>
      </w:pPr>
      <w:r>
        <w:rPr>
          <w:rFonts w:hint="cs"/>
          <w:b/>
          <w:bCs/>
          <w:sz w:val="20"/>
          <w:szCs w:val="20"/>
          <w:rtl/>
        </w:rPr>
        <w:t>פסיקת הלכה</w:t>
      </w:r>
      <w:r>
        <w:rPr>
          <w:b/>
          <w:bCs/>
          <w:sz w:val="20"/>
          <w:szCs w:val="20"/>
          <w:rtl/>
        </w:rPr>
        <w:tab/>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F82A30">
        <w:rPr>
          <w:rFonts w:cs="Arial" w:hint="cs"/>
          <w:sz w:val="20"/>
          <w:szCs w:val="20"/>
          <w:rtl/>
        </w:rPr>
        <w:t>מעוברת</w:t>
      </w:r>
      <w:r w:rsidRPr="00F82A30">
        <w:rPr>
          <w:rFonts w:cs="Arial"/>
          <w:sz w:val="20"/>
          <w:szCs w:val="20"/>
          <w:rtl/>
        </w:rPr>
        <w:t xml:space="preserve">, </w:t>
      </w:r>
      <w:r w:rsidRPr="00F82A30">
        <w:rPr>
          <w:rFonts w:cs="Arial" w:hint="cs"/>
          <w:sz w:val="20"/>
          <w:szCs w:val="20"/>
          <w:rtl/>
        </w:rPr>
        <w:t>משהוכר</w:t>
      </w:r>
      <w:r w:rsidRPr="00F82A30">
        <w:rPr>
          <w:rFonts w:cs="Arial"/>
          <w:sz w:val="20"/>
          <w:szCs w:val="20"/>
          <w:rtl/>
        </w:rPr>
        <w:t xml:space="preserve"> </w:t>
      </w:r>
      <w:r w:rsidRPr="00F82A30">
        <w:rPr>
          <w:rFonts w:cs="Arial" w:hint="cs"/>
          <w:sz w:val="20"/>
          <w:szCs w:val="20"/>
          <w:rtl/>
        </w:rPr>
        <w:t>עוברה</w:t>
      </w:r>
      <w:r w:rsidRPr="00F82A30">
        <w:rPr>
          <w:rFonts w:cs="Arial"/>
          <w:sz w:val="20"/>
          <w:szCs w:val="20"/>
          <w:rtl/>
        </w:rPr>
        <w:t xml:space="preserve">, </w:t>
      </w:r>
      <w:r w:rsidRPr="00F82A30">
        <w:rPr>
          <w:rFonts w:cs="Arial" w:hint="cs"/>
          <w:sz w:val="20"/>
          <w:szCs w:val="20"/>
          <w:rtl/>
        </w:rPr>
        <w:t>ומניקה</w:t>
      </w:r>
      <w:r w:rsidRPr="00F82A30">
        <w:rPr>
          <w:rFonts w:cs="Arial"/>
          <w:sz w:val="20"/>
          <w:szCs w:val="20"/>
          <w:rtl/>
        </w:rPr>
        <w:t xml:space="preserve">, </w:t>
      </w:r>
      <w:r w:rsidRPr="00F82A30">
        <w:rPr>
          <w:rFonts w:cs="Arial" w:hint="cs"/>
          <w:sz w:val="20"/>
          <w:szCs w:val="20"/>
          <w:rtl/>
        </w:rPr>
        <w:t>כל</w:t>
      </w:r>
      <w:r w:rsidRPr="00F82A30">
        <w:rPr>
          <w:rFonts w:cs="Arial"/>
          <w:sz w:val="20"/>
          <w:szCs w:val="20"/>
          <w:rtl/>
        </w:rPr>
        <w:t xml:space="preserve"> </w:t>
      </w:r>
      <w:r w:rsidRPr="00F82A30">
        <w:rPr>
          <w:rFonts w:cs="Arial" w:hint="cs"/>
          <w:sz w:val="20"/>
          <w:szCs w:val="20"/>
          <w:rtl/>
        </w:rPr>
        <w:t>כ</w:t>
      </w:r>
      <w:r w:rsidRPr="00F82A30">
        <w:rPr>
          <w:rFonts w:cs="Arial"/>
          <w:sz w:val="20"/>
          <w:szCs w:val="20"/>
          <w:rtl/>
        </w:rPr>
        <w:t>"</w:t>
      </w:r>
      <w:r w:rsidRPr="00F82A30">
        <w:rPr>
          <w:rFonts w:cs="Arial" w:hint="cs"/>
          <w:sz w:val="20"/>
          <w:szCs w:val="20"/>
          <w:rtl/>
        </w:rPr>
        <w:t>ד</w:t>
      </w:r>
      <w:r w:rsidRPr="00F82A30">
        <w:rPr>
          <w:rFonts w:cs="Arial"/>
          <w:sz w:val="20"/>
          <w:szCs w:val="20"/>
          <w:rtl/>
        </w:rPr>
        <w:t xml:space="preserve"> </w:t>
      </w:r>
      <w:r w:rsidRPr="00F82A30">
        <w:rPr>
          <w:rFonts w:cs="Arial" w:hint="cs"/>
          <w:sz w:val="20"/>
          <w:szCs w:val="20"/>
          <w:rtl/>
        </w:rPr>
        <w:t>חדש</w:t>
      </w:r>
      <w:r w:rsidRPr="00F82A30">
        <w:rPr>
          <w:rFonts w:cs="Arial"/>
          <w:sz w:val="20"/>
          <w:szCs w:val="20"/>
          <w:rtl/>
        </w:rPr>
        <w:t xml:space="preserve">, </w:t>
      </w:r>
      <w:r w:rsidRPr="00F82A30">
        <w:rPr>
          <w:rFonts w:cs="Arial" w:hint="cs"/>
          <w:sz w:val="20"/>
          <w:szCs w:val="20"/>
          <w:rtl/>
        </w:rPr>
        <w:t>אינה</w:t>
      </w:r>
      <w:r w:rsidRPr="00F82A30">
        <w:rPr>
          <w:rFonts w:cs="Arial"/>
          <w:sz w:val="20"/>
          <w:szCs w:val="20"/>
          <w:rtl/>
        </w:rPr>
        <w:t xml:space="preserve"> </w:t>
      </w:r>
      <w:r w:rsidRPr="00F82A30">
        <w:rPr>
          <w:rFonts w:cs="Arial" w:hint="cs"/>
          <w:sz w:val="20"/>
          <w:szCs w:val="20"/>
          <w:rtl/>
        </w:rPr>
        <w:t>חוששת</w:t>
      </w:r>
      <w:r w:rsidRPr="00F82A30">
        <w:rPr>
          <w:rFonts w:cs="Arial"/>
          <w:sz w:val="20"/>
          <w:szCs w:val="20"/>
          <w:rtl/>
        </w:rPr>
        <w:t xml:space="preserve"> </w:t>
      </w:r>
      <w:r w:rsidRPr="00F82A30">
        <w:rPr>
          <w:rFonts w:cs="Arial" w:hint="cs"/>
          <w:sz w:val="20"/>
          <w:szCs w:val="20"/>
          <w:rtl/>
        </w:rPr>
        <w:t>ל</w:t>
      </w:r>
      <w:r>
        <w:rPr>
          <w:rFonts w:cs="Arial" w:hint="cs"/>
          <w:sz w:val="20"/>
          <w:szCs w:val="20"/>
          <w:rtl/>
        </w:rPr>
        <w:t>ו</w:t>
      </w:r>
      <w:r w:rsidRPr="00F82A30">
        <w:rPr>
          <w:rFonts w:cs="Arial" w:hint="cs"/>
          <w:sz w:val="20"/>
          <w:szCs w:val="20"/>
          <w:rtl/>
        </w:rPr>
        <w:t>וסת</w:t>
      </w:r>
      <w:r w:rsidRPr="00F82A30">
        <w:rPr>
          <w:rFonts w:cs="Arial"/>
          <w:sz w:val="20"/>
          <w:szCs w:val="20"/>
          <w:rtl/>
        </w:rPr>
        <w:t xml:space="preserve"> </w:t>
      </w:r>
      <w:r w:rsidRPr="00F82A30">
        <w:rPr>
          <w:rFonts w:cs="Arial" w:hint="cs"/>
          <w:sz w:val="20"/>
          <w:szCs w:val="20"/>
          <w:rtl/>
        </w:rPr>
        <w:t>הראשון</w:t>
      </w:r>
      <w:r w:rsidRPr="00F82A30">
        <w:rPr>
          <w:rFonts w:cs="Arial"/>
          <w:sz w:val="20"/>
          <w:szCs w:val="20"/>
          <w:rtl/>
        </w:rPr>
        <w:t xml:space="preserve">. </w:t>
      </w:r>
      <w:r w:rsidRPr="00F82A30">
        <w:rPr>
          <w:rFonts w:cs="Arial" w:hint="cs"/>
          <w:sz w:val="20"/>
          <w:szCs w:val="20"/>
          <w:rtl/>
        </w:rPr>
        <w:t>אפילו</w:t>
      </w:r>
      <w:r w:rsidRPr="00F82A30">
        <w:rPr>
          <w:rFonts w:cs="Arial"/>
          <w:sz w:val="20"/>
          <w:szCs w:val="20"/>
          <w:rtl/>
        </w:rPr>
        <w:t xml:space="preserve"> </w:t>
      </w:r>
      <w:r w:rsidRPr="00F82A30">
        <w:rPr>
          <w:rFonts w:cs="Arial" w:hint="cs"/>
          <w:sz w:val="20"/>
          <w:szCs w:val="20"/>
          <w:rtl/>
        </w:rPr>
        <w:t>היה</w:t>
      </w:r>
      <w:r w:rsidRPr="00F82A30">
        <w:rPr>
          <w:rFonts w:cs="Arial"/>
          <w:sz w:val="20"/>
          <w:szCs w:val="20"/>
          <w:rtl/>
        </w:rPr>
        <w:t xml:space="preserve"> </w:t>
      </w:r>
      <w:r w:rsidRPr="00F82A30">
        <w:rPr>
          <w:rFonts w:cs="Arial" w:hint="cs"/>
          <w:sz w:val="20"/>
          <w:szCs w:val="20"/>
          <w:rtl/>
        </w:rPr>
        <w:t>לה</w:t>
      </w:r>
      <w:r w:rsidRPr="00F82A30">
        <w:rPr>
          <w:rFonts w:cs="Arial"/>
          <w:sz w:val="20"/>
          <w:szCs w:val="20"/>
          <w:rtl/>
        </w:rPr>
        <w:t xml:space="preserve"> </w:t>
      </w:r>
      <w:r w:rsidRPr="00F82A30">
        <w:rPr>
          <w:rFonts w:cs="Arial" w:hint="cs"/>
          <w:sz w:val="20"/>
          <w:szCs w:val="20"/>
          <w:rtl/>
        </w:rPr>
        <w:t>וסת</w:t>
      </w:r>
      <w:r w:rsidRPr="00F82A30">
        <w:rPr>
          <w:rFonts w:cs="Arial"/>
          <w:sz w:val="20"/>
          <w:szCs w:val="20"/>
          <w:rtl/>
        </w:rPr>
        <w:t xml:space="preserve"> </w:t>
      </w:r>
      <w:r w:rsidRPr="00F82A30">
        <w:rPr>
          <w:rFonts w:cs="Arial" w:hint="cs"/>
          <w:sz w:val="20"/>
          <w:szCs w:val="20"/>
          <w:rtl/>
        </w:rPr>
        <w:t>קבוע</w:t>
      </w:r>
      <w:r w:rsidRPr="00F82A30">
        <w:rPr>
          <w:rFonts w:cs="Arial"/>
          <w:sz w:val="20"/>
          <w:szCs w:val="20"/>
          <w:rtl/>
        </w:rPr>
        <w:t xml:space="preserve"> </w:t>
      </w:r>
      <w:r w:rsidRPr="00F82A30">
        <w:rPr>
          <w:rFonts w:cs="Arial" w:hint="cs"/>
          <w:sz w:val="20"/>
          <w:szCs w:val="20"/>
          <w:rtl/>
        </w:rPr>
        <w:t>והגיע</w:t>
      </w:r>
      <w:r w:rsidRPr="00F82A30">
        <w:rPr>
          <w:rFonts w:cs="Arial"/>
          <w:sz w:val="20"/>
          <w:szCs w:val="20"/>
          <w:rtl/>
        </w:rPr>
        <w:t xml:space="preserve"> </w:t>
      </w:r>
      <w:r w:rsidRPr="00F82A30">
        <w:rPr>
          <w:rFonts w:cs="Arial" w:hint="cs"/>
          <w:sz w:val="20"/>
          <w:szCs w:val="20"/>
          <w:rtl/>
        </w:rPr>
        <w:t>תוך</w:t>
      </w:r>
      <w:r w:rsidRPr="00F82A30">
        <w:rPr>
          <w:rFonts w:cs="Arial"/>
          <w:sz w:val="20"/>
          <w:szCs w:val="20"/>
          <w:rtl/>
        </w:rPr>
        <w:t xml:space="preserve"> </w:t>
      </w:r>
      <w:r w:rsidRPr="00F82A30">
        <w:rPr>
          <w:rFonts w:cs="Arial" w:hint="cs"/>
          <w:sz w:val="20"/>
          <w:szCs w:val="20"/>
          <w:rtl/>
        </w:rPr>
        <w:t>הזמן</w:t>
      </w:r>
      <w:r w:rsidRPr="00F82A30">
        <w:rPr>
          <w:rFonts w:cs="Arial"/>
          <w:sz w:val="20"/>
          <w:szCs w:val="20"/>
          <w:rtl/>
        </w:rPr>
        <w:t xml:space="preserve"> </w:t>
      </w:r>
      <w:r w:rsidRPr="00F82A30">
        <w:rPr>
          <w:rFonts w:cs="Arial" w:hint="cs"/>
          <w:sz w:val="20"/>
          <w:szCs w:val="20"/>
          <w:rtl/>
        </w:rPr>
        <w:t>הזה</w:t>
      </w:r>
      <w:r w:rsidRPr="00F82A30">
        <w:rPr>
          <w:rFonts w:cs="Arial"/>
          <w:sz w:val="20"/>
          <w:szCs w:val="20"/>
          <w:rtl/>
        </w:rPr>
        <w:t xml:space="preserve">, </w:t>
      </w:r>
      <w:r w:rsidRPr="00F82A30">
        <w:rPr>
          <w:rFonts w:cs="Arial" w:hint="cs"/>
          <w:sz w:val="20"/>
          <w:szCs w:val="20"/>
          <w:rtl/>
        </w:rPr>
        <w:t>אינה</w:t>
      </w:r>
      <w:r w:rsidRPr="00F82A30">
        <w:rPr>
          <w:rFonts w:cs="Arial"/>
          <w:sz w:val="20"/>
          <w:szCs w:val="20"/>
          <w:rtl/>
        </w:rPr>
        <w:t xml:space="preserve"> </w:t>
      </w:r>
      <w:r w:rsidRPr="00F82A30">
        <w:rPr>
          <w:rFonts w:cs="Arial" w:hint="cs"/>
          <w:sz w:val="20"/>
          <w:szCs w:val="20"/>
          <w:rtl/>
        </w:rPr>
        <w:t>צריכה</w:t>
      </w:r>
      <w:r w:rsidRPr="00F82A30">
        <w:rPr>
          <w:rFonts w:cs="Arial"/>
          <w:sz w:val="20"/>
          <w:szCs w:val="20"/>
          <w:rtl/>
        </w:rPr>
        <w:t xml:space="preserve"> </w:t>
      </w:r>
      <w:r w:rsidRPr="00F82A30">
        <w:rPr>
          <w:rFonts w:cs="Arial" w:hint="cs"/>
          <w:sz w:val="20"/>
          <w:szCs w:val="20"/>
          <w:rtl/>
        </w:rPr>
        <w:t>בדיקה</w:t>
      </w:r>
      <w:r w:rsidRPr="00F82A30">
        <w:rPr>
          <w:rFonts w:cs="Arial"/>
          <w:sz w:val="20"/>
          <w:szCs w:val="20"/>
          <w:rtl/>
        </w:rPr>
        <w:t xml:space="preserve"> </w:t>
      </w:r>
      <w:r w:rsidRPr="00F82A30">
        <w:rPr>
          <w:rFonts w:cs="Arial" w:hint="cs"/>
          <w:sz w:val="20"/>
          <w:szCs w:val="20"/>
          <w:rtl/>
        </w:rPr>
        <w:t>ומותרת</w:t>
      </w:r>
      <w:r w:rsidRPr="00F82A30">
        <w:rPr>
          <w:rFonts w:cs="Arial"/>
          <w:sz w:val="20"/>
          <w:szCs w:val="20"/>
          <w:rtl/>
        </w:rPr>
        <w:t xml:space="preserve"> </w:t>
      </w:r>
      <w:r w:rsidRPr="00F82A30">
        <w:rPr>
          <w:rFonts w:cs="Arial" w:hint="cs"/>
          <w:sz w:val="20"/>
          <w:szCs w:val="20"/>
          <w:rtl/>
        </w:rPr>
        <w:t>לבעלה</w:t>
      </w:r>
      <w:r w:rsidRPr="00F82A30">
        <w:rPr>
          <w:rFonts w:cs="Arial"/>
          <w:sz w:val="20"/>
          <w:szCs w:val="20"/>
          <w:rtl/>
        </w:rPr>
        <w:t xml:space="preserve">. </w:t>
      </w:r>
      <w:r w:rsidRPr="00F82A30">
        <w:rPr>
          <w:rFonts w:cs="Arial" w:hint="cs"/>
          <w:sz w:val="20"/>
          <w:szCs w:val="20"/>
          <w:rtl/>
        </w:rPr>
        <w:t>ואפילו</w:t>
      </w:r>
      <w:r w:rsidRPr="00F82A30">
        <w:rPr>
          <w:rFonts w:cs="Arial"/>
          <w:sz w:val="20"/>
          <w:szCs w:val="20"/>
          <w:rtl/>
        </w:rPr>
        <w:t xml:space="preserve"> </w:t>
      </w:r>
      <w:r w:rsidRPr="00F82A30">
        <w:rPr>
          <w:rFonts w:cs="Arial" w:hint="cs"/>
          <w:sz w:val="20"/>
          <w:szCs w:val="20"/>
          <w:rtl/>
        </w:rPr>
        <w:t>שופעות</w:t>
      </w:r>
      <w:r w:rsidRPr="00F82A30">
        <w:rPr>
          <w:rFonts w:cs="Arial"/>
          <w:sz w:val="20"/>
          <w:szCs w:val="20"/>
          <w:rtl/>
        </w:rPr>
        <w:t xml:space="preserve"> </w:t>
      </w:r>
      <w:r w:rsidRPr="00F82A30">
        <w:rPr>
          <w:rFonts w:cs="Arial" w:hint="cs"/>
          <w:sz w:val="20"/>
          <w:szCs w:val="20"/>
          <w:rtl/>
        </w:rPr>
        <w:t>ורואו</w:t>
      </w:r>
      <w:r>
        <w:rPr>
          <w:rFonts w:cs="Arial" w:hint="cs"/>
          <w:sz w:val="20"/>
          <w:szCs w:val="20"/>
          <w:rtl/>
        </w:rPr>
        <w:t>ת</w:t>
      </w:r>
      <w:r w:rsidRPr="00F82A30">
        <w:rPr>
          <w:rFonts w:cs="Arial"/>
          <w:sz w:val="20"/>
          <w:szCs w:val="20"/>
          <w:rtl/>
        </w:rPr>
        <w:t xml:space="preserve"> </w:t>
      </w:r>
      <w:r w:rsidRPr="00F82A30">
        <w:rPr>
          <w:rFonts w:cs="Arial" w:hint="cs"/>
          <w:sz w:val="20"/>
          <w:szCs w:val="20"/>
          <w:rtl/>
        </w:rPr>
        <w:t>דם</w:t>
      </w:r>
      <w:r w:rsidRPr="00F82A30">
        <w:rPr>
          <w:rFonts w:cs="Arial"/>
          <w:sz w:val="20"/>
          <w:szCs w:val="20"/>
          <w:rtl/>
        </w:rPr>
        <w:t xml:space="preserve"> </w:t>
      </w:r>
      <w:r w:rsidRPr="00F82A30">
        <w:rPr>
          <w:rFonts w:cs="Arial" w:hint="cs"/>
          <w:sz w:val="20"/>
          <w:szCs w:val="20"/>
          <w:rtl/>
        </w:rPr>
        <w:t>באותן</w:t>
      </w:r>
      <w:r w:rsidRPr="00F82A30">
        <w:rPr>
          <w:rFonts w:cs="Arial"/>
          <w:sz w:val="20"/>
          <w:szCs w:val="20"/>
          <w:rtl/>
        </w:rPr>
        <w:t xml:space="preserve"> </w:t>
      </w:r>
      <w:r w:rsidRPr="00F82A30">
        <w:rPr>
          <w:rFonts w:cs="Arial" w:hint="cs"/>
          <w:sz w:val="20"/>
          <w:szCs w:val="20"/>
          <w:rtl/>
        </w:rPr>
        <w:t>עונו</w:t>
      </w:r>
      <w:r>
        <w:rPr>
          <w:rFonts w:cs="Arial" w:hint="cs"/>
          <w:sz w:val="20"/>
          <w:szCs w:val="20"/>
          <w:rtl/>
        </w:rPr>
        <w:t>ת</w:t>
      </w:r>
      <w:r w:rsidRPr="00F82A30">
        <w:rPr>
          <w:rFonts w:cs="Arial"/>
          <w:sz w:val="20"/>
          <w:szCs w:val="20"/>
          <w:rtl/>
        </w:rPr>
        <w:t xml:space="preserve"> </w:t>
      </w:r>
      <w:r w:rsidRPr="00F82A30">
        <w:rPr>
          <w:rFonts w:cs="Arial" w:hint="cs"/>
          <w:sz w:val="20"/>
          <w:szCs w:val="20"/>
          <w:rtl/>
        </w:rPr>
        <w:t>שהן</w:t>
      </w:r>
      <w:r w:rsidRPr="00F82A30">
        <w:rPr>
          <w:rFonts w:cs="Arial"/>
          <w:sz w:val="20"/>
          <w:szCs w:val="20"/>
          <w:rtl/>
        </w:rPr>
        <w:t xml:space="preserve"> </w:t>
      </w:r>
      <w:r w:rsidRPr="00F82A30">
        <w:rPr>
          <w:rFonts w:cs="Arial" w:hint="cs"/>
          <w:sz w:val="20"/>
          <w:szCs w:val="20"/>
          <w:rtl/>
        </w:rPr>
        <w:t>למודות</w:t>
      </w:r>
      <w:r w:rsidRPr="00F82A30">
        <w:rPr>
          <w:rFonts w:cs="Arial"/>
          <w:sz w:val="20"/>
          <w:szCs w:val="20"/>
          <w:rtl/>
        </w:rPr>
        <w:t xml:space="preserve"> </w:t>
      </w:r>
      <w:r w:rsidRPr="00F82A30">
        <w:rPr>
          <w:rFonts w:cs="Arial" w:hint="cs"/>
          <w:sz w:val="20"/>
          <w:szCs w:val="20"/>
          <w:rtl/>
        </w:rPr>
        <w:t>לראות</w:t>
      </w:r>
      <w:r w:rsidRPr="00F82A30">
        <w:rPr>
          <w:rFonts w:cs="Arial"/>
          <w:sz w:val="20"/>
          <w:szCs w:val="20"/>
          <w:rtl/>
        </w:rPr>
        <w:t xml:space="preserve"> </w:t>
      </w:r>
      <w:r w:rsidRPr="00F82A30">
        <w:rPr>
          <w:rFonts w:cs="Arial" w:hint="cs"/>
          <w:sz w:val="20"/>
          <w:szCs w:val="20"/>
          <w:rtl/>
        </w:rPr>
        <w:t>בהן</w:t>
      </w:r>
      <w:r w:rsidRPr="00F82A30">
        <w:rPr>
          <w:rFonts w:cs="Arial"/>
          <w:sz w:val="20"/>
          <w:szCs w:val="20"/>
          <w:rtl/>
        </w:rPr>
        <w:t xml:space="preserve">, </w:t>
      </w:r>
      <w:r w:rsidRPr="00F82A30">
        <w:rPr>
          <w:rFonts w:cs="Arial" w:hint="cs"/>
          <w:sz w:val="20"/>
          <w:szCs w:val="20"/>
          <w:rtl/>
        </w:rPr>
        <w:t>אינו</w:t>
      </w:r>
      <w:r w:rsidRPr="00F82A30">
        <w:rPr>
          <w:rFonts w:cs="Arial"/>
          <w:sz w:val="20"/>
          <w:szCs w:val="20"/>
          <w:rtl/>
        </w:rPr>
        <w:t xml:space="preserve"> </w:t>
      </w:r>
      <w:r w:rsidRPr="00F82A30">
        <w:rPr>
          <w:rFonts w:cs="Arial" w:hint="cs"/>
          <w:sz w:val="20"/>
          <w:szCs w:val="20"/>
          <w:rtl/>
        </w:rPr>
        <w:t>אלא</w:t>
      </w:r>
      <w:r w:rsidRPr="00F82A30">
        <w:rPr>
          <w:rFonts w:cs="Arial"/>
          <w:sz w:val="20"/>
          <w:szCs w:val="20"/>
          <w:rtl/>
        </w:rPr>
        <w:t xml:space="preserve"> </w:t>
      </w:r>
      <w:r w:rsidRPr="00F82A30">
        <w:rPr>
          <w:rFonts w:cs="Arial" w:hint="cs"/>
          <w:sz w:val="20"/>
          <w:szCs w:val="20"/>
          <w:rtl/>
        </w:rPr>
        <w:t>במקרה</w:t>
      </w:r>
      <w:r>
        <w:rPr>
          <w:rFonts w:cs="Arial" w:hint="cs"/>
          <w:sz w:val="20"/>
          <w:szCs w:val="20"/>
          <w:rtl/>
        </w:rPr>
        <w:t>".</w:t>
      </w:r>
      <w:r>
        <w:rPr>
          <w:sz w:val="20"/>
          <w:szCs w:val="20"/>
          <w:rtl/>
        </w:rPr>
        <w:br/>
      </w:r>
      <w:r>
        <w:rPr>
          <w:b/>
          <w:bCs/>
          <w:sz w:val="20"/>
          <w:szCs w:val="20"/>
          <w:rtl/>
        </w:rPr>
        <w:br/>
      </w:r>
      <w:r>
        <w:rPr>
          <w:rFonts w:hint="cs"/>
          <w:b/>
          <w:bCs/>
          <w:sz w:val="20"/>
          <w:szCs w:val="20"/>
          <w:rtl/>
        </w:rPr>
        <w:t xml:space="preserve">חשש לווסת הראשון לאחר העיבור וההנקה </w:t>
      </w:r>
      <w:r>
        <w:rPr>
          <w:b/>
          <w:bCs/>
          <w:sz w:val="20"/>
          <w:szCs w:val="20"/>
          <w:rtl/>
        </w:rPr>
        <w:t>–</w:t>
      </w:r>
      <w:r>
        <w:rPr>
          <w:rFonts w:hint="cs"/>
          <w:b/>
          <w:bCs/>
          <w:sz w:val="20"/>
          <w:szCs w:val="20"/>
          <w:rtl/>
        </w:rPr>
        <w:t xml:space="preserve"> שיטות הראשונים</w:t>
      </w:r>
      <w:r>
        <w:rPr>
          <w:b/>
          <w:bCs/>
          <w:sz w:val="20"/>
          <w:szCs w:val="20"/>
          <w:rtl/>
        </w:rPr>
        <w:br/>
      </w:r>
      <w:r>
        <w:rPr>
          <w:rFonts w:hint="cs"/>
          <w:sz w:val="20"/>
          <w:szCs w:val="20"/>
          <w:rtl/>
        </w:rPr>
        <w:t xml:space="preserve">א. </w:t>
      </w:r>
      <w:r w:rsidRPr="00F82A30">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מייד בתום ימי העיבור וההנקה חוזרות לווסת הראשון. אמנם, דין זה נאמר רק בווסת החודש או בווסת הגוף</w:t>
      </w:r>
      <w:r>
        <w:rPr>
          <w:rStyle w:val="a5"/>
          <w:sz w:val="20"/>
          <w:szCs w:val="20"/>
          <w:rtl/>
        </w:rPr>
        <w:footnoteReference w:id="241"/>
      </w:r>
      <w:r>
        <w:rPr>
          <w:rFonts w:hint="cs"/>
          <w:sz w:val="20"/>
          <w:szCs w:val="20"/>
          <w:rtl/>
        </w:rPr>
        <w:t xml:space="preserve"> </w:t>
      </w:r>
      <w:r w:rsidRPr="00F82A30">
        <w:rPr>
          <w:rFonts w:hint="cs"/>
          <w:sz w:val="18"/>
          <w:szCs w:val="18"/>
          <w:rtl/>
        </w:rPr>
        <w:t xml:space="preserve">(או ווסת המורכב) </w:t>
      </w:r>
      <w:r>
        <w:rPr>
          <w:rFonts w:hint="cs"/>
          <w:sz w:val="20"/>
          <w:szCs w:val="20"/>
          <w:rtl/>
        </w:rPr>
        <w:t xml:space="preserve">אך לווסת ההפלגה חוששת רק לאחר ראייה הראשונה, וכ"פ </w:t>
      </w:r>
      <w:r w:rsidRPr="00F82A30">
        <w:rPr>
          <w:rFonts w:hint="cs"/>
          <w:b/>
          <w:bCs/>
          <w:sz w:val="20"/>
          <w:szCs w:val="20"/>
          <w:rtl/>
        </w:rPr>
        <w:t>המחבר</w:t>
      </w:r>
      <w:r>
        <w:rPr>
          <w:rFonts w:hint="cs"/>
          <w:sz w:val="20"/>
          <w:szCs w:val="20"/>
          <w:rtl/>
        </w:rPr>
        <w:t>.</w:t>
      </w:r>
      <w:r>
        <w:rPr>
          <w:rFonts w:hint="cs"/>
          <w:sz w:val="20"/>
          <w:szCs w:val="20"/>
          <w:rtl/>
        </w:rPr>
        <w:br/>
      </w:r>
      <w:r w:rsidRPr="001843FC">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נאמר בגמרא נידה (יא.): "</w:t>
      </w:r>
      <w:r>
        <w:rPr>
          <w:rFonts w:cs="Arial" w:hint="cs"/>
          <w:sz w:val="20"/>
          <w:szCs w:val="20"/>
          <w:rtl/>
        </w:rPr>
        <w:t xml:space="preserve">... </w:t>
      </w:r>
      <w:r w:rsidRPr="004E01A5">
        <w:rPr>
          <w:rFonts w:cs="Arial" w:hint="cs"/>
          <w:sz w:val="20"/>
          <w:szCs w:val="20"/>
          <w:rtl/>
        </w:rPr>
        <w:t>דיין</w:t>
      </w:r>
      <w:r w:rsidRPr="004E01A5">
        <w:rPr>
          <w:rFonts w:cs="Arial"/>
          <w:sz w:val="20"/>
          <w:szCs w:val="20"/>
          <w:rtl/>
        </w:rPr>
        <w:t xml:space="preserve"> </w:t>
      </w:r>
      <w:r w:rsidRPr="004E01A5">
        <w:rPr>
          <w:rFonts w:cs="Arial" w:hint="cs"/>
          <w:sz w:val="20"/>
          <w:szCs w:val="20"/>
          <w:rtl/>
        </w:rPr>
        <w:t>כל</w:t>
      </w:r>
      <w:r w:rsidRPr="004E01A5">
        <w:rPr>
          <w:rFonts w:cs="Arial"/>
          <w:sz w:val="20"/>
          <w:szCs w:val="20"/>
          <w:rtl/>
        </w:rPr>
        <w:t xml:space="preserve"> </w:t>
      </w:r>
      <w:r w:rsidRPr="004E01A5">
        <w:rPr>
          <w:rFonts w:cs="Arial" w:hint="cs"/>
          <w:sz w:val="20"/>
          <w:szCs w:val="20"/>
          <w:rtl/>
        </w:rPr>
        <w:t>ימי</w:t>
      </w:r>
      <w:r w:rsidRPr="004E01A5">
        <w:rPr>
          <w:rFonts w:cs="Arial"/>
          <w:sz w:val="20"/>
          <w:szCs w:val="20"/>
          <w:rtl/>
        </w:rPr>
        <w:t xml:space="preserve"> </w:t>
      </w:r>
      <w:r w:rsidRPr="004E01A5">
        <w:rPr>
          <w:rFonts w:cs="Arial" w:hint="cs"/>
          <w:sz w:val="20"/>
          <w:szCs w:val="20"/>
          <w:rtl/>
        </w:rPr>
        <w:t>עיבורן</w:t>
      </w:r>
      <w:r w:rsidRPr="004E01A5">
        <w:rPr>
          <w:rFonts w:cs="Arial"/>
          <w:sz w:val="20"/>
          <w:szCs w:val="20"/>
          <w:rtl/>
        </w:rPr>
        <w:t xml:space="preserve">, </w:t>
      </w:r>
      <w:r w:rsidRPr="004E01A5">
        <w:rPr>
          <w:rFonts w:cs="Arial" w:hint="cs"/>
          <w:sz w:val="20"/>
          <w:szCs w:val="20"/>
          <w:rtl/>
        </w:rPr>
        <w:t>ודיין</w:t>
      </w:r>
      <w:r w:rsidRPr="004E01A5">
        <w:rPr>
          <w:rFonts w:cs="Arial"/>
          <w:sz w:val="20"/>
          <w:szCs w:val="20"/>
          <w:rtl/>
        </w:rPr>
        <w:t xml:space="preserve"> </w:t>
      </w:r>
      <w:r w:rsidRPr="004E01A5">
        <w:rPr>
          <w:rFonts w:cs="Arial" w:hint="cs"/>
          <w:sz w:val="20"/>
          <w:szCs w:val="20"/>
          <w:rtl/>
        </w:rPr>
        <w:t>כל</w:t>
      </w:r>
      <w:r w:rsidRPr="004E01A5">
        <w:rPr>
          <w:rFonts w:cs="Arial"/>
          <w:sz w:val="20"/>
          <w:szCs w:val="20"/>
          <w:rtl/>
        </w:rPr>
        <w:t xml:space="preserve"> </w:t>
      </w:r>
      <w:r w:rsidRPr="004E01A5">
        <w:rPr>
          <w:rFonts w:cs="Arial" w:hint="cs"/>
          <w:sz w:val="20"/>
          <w:szCs w:val="20"/>
          <w:rtl/>
        </w:rPr>
        <w:t>ימי</w:t>
      </w:r>
      <w:r w:rsidRPr="004E01A5">
        <w:rPr>
          <w:rFonts w:cs="Arial"/>
          <w:sz w:val="20"/>
          <w:szCs w:val="20"/>
          <w:rtl/>
        </w:rPr>
        <w:t xml:space="preserve"> </w:t>
      </w:r>
      <w:r w:rsidRPr="004E01A5">
        <w:rPr>
          <w:rFonts w:cs="Arial" w:hint="cs"/>
          <w:sz w:val="20"/>
          <w:szCs w:val="20"/>
          <w:rtl/>
        </w:rPr>
        <w:t>מניקותן</w:t>
      </w:r>
      <w:r>
        <w:rPr>
          <w:rFonts w:hint="cs"/>
          <w:sz w:val="20"/>
          <w:szCs w:val="20"/>
          <w:rtl/>
        </w:rPr>
        <w:t xml:space="preserve">". משמע שלאחר ימי עיבורן והנקתן חוזרות לווסת הראשון. </w:t>
      </w:r>
      <w:r>
        <w:rPr>
          <w:sz w:val="20"/>
          <w:szCs w:val="20"/>
          <w:rtl/>
        </w:rPr>
        <w:br/>
      </w:r>
      <w:r>
        <w:rPr>
          <w:rFonts w:hint="cs"/>
          <w:sz w:val="20"/>
          <w:szCs w:val="20"/>
          <w:rtl/>
        </w:rPr>
        <w:t>ועוד, זיל בתר טעמא, דין סילוק דמים שהיה להם נבע מגורם מסויים, בהסתלק הגורם חוזרות לווסתן.</w:t>
      </w:r>
      <w:r>
        <w:rPr>
          <w:rStyle w:val="a5"/>
          <w:sz w:val="20"/>
          <w:szCs w:val="20"/>
          <w:rtl/>
        </w:rPr>
        <w:footnoteReference w:id="242"/>
      </w:r>
      <w:r>
        <w:rPr>
          <w:rFonts w:hint="cs"/>
          <w:sz w:val="20"/>
          <w:szCs w:val="20"/>
          <w:rtl/>
        </w:rPr>
        <w:br/>
        <w:t xml:space="preserve">ב. </w:t>
      </w:r>
      <w:r w:rsidRPr="00F82A30">
        <w:rPr>
          <w:rFonts w:hint="cs"/>
          <w:b/>
          <w:bCs/>
          <w:sz w:val="20"/>
          <w:szCs w:val="20"/>
          <w:rtl/>
        </w:rPr>
        <w:t>רמב"ן</w:t>
      </w:r>
      <w:r>
        <w:rPr>
          <w:rFonts w:hint="cs"/>
          <w:sz w:val="20"/>
          <w:szCs w:val="20"/>
          <w:rtl/>
        </w:rPr>
        <w:t xml:space="preserve"> </w:t>
      </w:r>
      <w:r>
        <w:rPr>
          <w:sz w:val="20"/>
          <w:szCs w:val="20"/>
          <w:rtl/>
        </w:rPr>
        <w:t>–</w:t>
      </w:r>
      <w:r>
        <w:rPr>
          <w:rFonts w:hint="cs"/>
          <w:sz w:val="20"/>
          <w:szCs w:val="20"/>
          <w:rtl/>
        </w:rPr>
        <w:t xml:space="preserve"> לאחר ראייה הראשונה, אפילו אם ראתה שלא כשעת ווסת הראשון, חוזרת לווסתה, וכ"פ </w:t>
      </w:r>
      <w:r w:rsidRPr="0090244D">
        <w:rPr>
          <w:rFonts w:hint="cs"/>
          <w:b/>
          <w:bCs/>
          <w:sz w:val="20"/>
          <w:szCs w:val="20"/>
          <w:rtl/>
        </w:rPr>
        <w:t>הש"ך</w:t>
      </w:r>
      <w:r>
        <w:rPr>
          <w:rFonts w:hint="cs"/>
          <w:sz w:val="20"/>
          <w:szCs w:val="20"/>
          <w:rtl/>
        </w:rPr>
        <w:t>.</w:t>
      </w:r>
      <w:r>
        <w:rPr>
          <w:sz w:val="20"/>
          <w:szCs w:val="20"/>
          <w:rtl/>
        </w:rPr>
        <w:br/>
      </w:r>
      <w:r>
        <w:rPr>
          <w:rFonts w:hint="cs"/>
          <w:sz w:val="20"/>
          <w:szCs w:val="20"/>
          <w:rtl/>
        </w:rPr>
        <w:t xml:space="preserve">מוסיף </w:t>
      </w:r>
      <w:r w:rsidRPr="00762207">
        <w:rPr>
          <w:rFonts w:hint="cs"/>
          <w:b/>
          <w:bCs/>
          <w:sz w:val="20"/>
          <w:szCs w:val="20"/>
          <w:rtl/>
        </w:rPr>
        <w:t>הראב"ד</w:t>
      </w:r>
      <w:r>
        <w:rPr>
          <w:rFonts w:hint="cs"/>
          <w:sz w:val="20"/>
          <w:szCs w:val="20"/>
          <w:rtl/>
        </w:rPr>
        <w:t xml:space="preserve"> בשיטה זו </w:t>
      </w:r>
      <w:r>
        <w:rPr>
          <w:sz w:val="20"/>
          <w:szCs w:val="20"/>
          <w:rtl/>
        </w:rPr>
        <w:t>–</w:t>
      </w:r>
      <w:r>
        <w:rPr>
          <w:rFonts w:hint="cs"/>
          <w:sz w:val="20"/>
          <w:szCs w:val="20"/>
          <w:rtl/>
        </w:rPr>
        <w:t xml:space="preserve"> לאחר שראתה פעם אחת, חוששת לווסת הקבוע ולראייה זו האחרונה.</w:t>
      </w:r>
      <w:r>
        <w:rPr>
          <w:rStyle w:val="a5"/>
          <w:sz w:val="20"/>
          <w:szCs w:val="20"/>
          <w:rtl/>
        </w:rPr>
        <w:footnoteReference w:id="243"/>
      </w:r>
      <w:r>
        <w:rPr>
          <w:sz w:val="20"/>
          <w:szCs w:val="20"/>
          <w:rtl/>
        </w:rPr>
        <w:br/>
      </w:r>
      <w:r>
        <w:rPr>
          <w:rFonts w:hint="cs"/>
          <w:sz w:val="20"/>
          <w:szCs w:val="20"/>
          <w:rtl/>
        </w:rPr>
        <w:t xml:space="preserve">ג. </w:t>
      </w:r>
      <w:r w:rsidRPr="00F82A30">
        <w:rPr>
          <w:rFonts w:hint="cs"/>
          <w:b/>
          <w:bCs/>
          <w:sz w:val="20"/>
          <w:szCs w:val="20"/>
          <w:rtl/>
        </w:rPr>
        <w:t>גדולי המורים</w:t>
      </w:r>
      <w:r>
        <w:rPr>
          <w:rFonts w:hint="cs"/>
          <w:sz w:val="20"/>
          <w:szCs w:val="20"/>
          <w:rtl/>
        </w:rPr>
        <w:t xml:space="preserve"> </w:t>
      </w:r>
      <w:r w:rsidRPr="00F82A30">
        <w:rPr>
          <w:rFonts w:hint="cs"/>
          <w:sz w:val="18"/>
          <w:szCs w:val="18"/>
          <w:rtl/>
        </w:rPr>
        <w:t xml:space="preserve">(הו"ד </w:t>
      </w:r>
      <w:r w:rsidRPr="00F82A30">
        <w:rPr>
          <w:rFonts w:hint="cs"/>
          <w:b/>
          <w:bCs/>
          <w:sz w:val="18"/>
          <w:szCs w:val="18"/>
          <w:rtl/>
        </w:rPr>
        <w:t>ברשב"א</w:t>
      </w:r>
      <w:r w:rsidRPr="00F82A30">
        <w:rPr>
          <w:rFonts w:hint="cs"/>
          <w:sz w:val="18"/>
          <w:szCs w:val="18"/>
          <w:rtl/>
        </w:rPr>
        <w:t xml:space="preserve">) </w:t>
      </w:r>
      <w:r>
        <w:rPr>
          <w:sz w:val="20"/>
          <w:szCs w:val="20"/>
          <w:rtl/>
        </w:rPr>
        <w:t>–</w:t>
      </w:r>
      <w:r>
        <w:rPr>
          <w:rFonts w:hint="cs"/>
          <w:sz w:val="20"/>
          <w:szCs w:val="20"/>
          <w:rtl/>
        </w:rPr>
        <w:t xml:space="preserve"> רק לאחר שחזרה לראות פעם אחת כהרגלה הראשון חוזרת לווסת הראשון.</w:t>
      </w:r>
      <w:r>
        <w:rPr>
          <w:sz w:val="20"/>
          <w:szCs w:val="20"/>
          <w:rtl/>
        </w:rPr>
        <w:br/>
      </w:r>
      <w:r>
        <w:rPr>
          <w:b/>
          <w:b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F82A30">
        <w:rPr>
          <w:rFonts w:cs="Arial" w:hint="cs"/>
          <w:sz w:val="20"/>
          <w:szCs w:val="20"/>
          <w:rtl/>
        </w:rPr>
        <w:t>עברו</w:t>
      </w:r>
      <w:r w:rsidRPr="00F82A30">
        <w:rPr>
          <w:rFonts w:cs="Arial"/>
          <w:sz w:val="20"/>
          <w:szCs w:val="20"/>
          <w:rtl/>
        </w:rPr>
        <w:t xml:space="preserve"> </w:t>
      </w:r>
      <w:r w:rsidRPr="00F82A30">
        <w:rPr>
          <w:rFonts w:cs="Arial" w:hint="cs"/>
          <w:sz w:val="20"/>
          <w:szCs w:val="20"/>
          <w:rtl/>
        </w:rPr>
        <w:t>ימי</w:t>
      </w:r>
      <w:r w:rsidRPr="00F82A30">
        <w:rPr>
          <w:rFonts w:cs="Arial"/>
          <w:sz w:val="20"/>
          <w:szCs w:val="20"/>
          <w:rtl/>
        </w:rPr>
        <w:t xml:space="preserve"> </w:t>
      </w:r>
      <w:r w:rsidRPr="00F82A30">
        <w:rPr>
          <w:rFonts w:cs="Arial" w:hint="cs"/>
          <w:sz w:val="20"/>
          <w:szCs w:val="20"/>
          <w:rtl/>
        </w:rPr>
        <w:t>העיבור</w:t>
      </w:r>
      <w:r w:rsidRPr="00F82A30">
        <w:rPr>
          <w:rFonts w:cs="Arial"/>
          <w:sz w:val="20"/>
          <w:szCs w:val="20"/>
          <w:rtl/>
        </w:rPr>
        <w:t xml:space="preserve"> </w:t>
      </w:r>
      <w:r w:rsidRPr="00F82A30">
        <w:rPr>
          <w:rFonts w:cs="Arial" w:hint="cs"/>
          <w:sz w:val="20"/>
          <w:szCs w:val="20"/>
          <w:rtl/>
        </w:rPr>
        <w:t>וההנקה</w:t>
      </w:r>
      <w:r w:rsidRPr="00F82A30">
        <w:rPr>
          <w:rFonts w:cs="Arial"/>
          <w:sz w:val="20"/>
          <w:szCs w:val="20"/>
          <w:rtl/>
        </w:rPr>
        <w:t xml:space="preserve">, </w:t>
      </w:r>
      <w:r w:rsidRPr="00F82A30">
        <w:rPr>
          <w:rFonts w:cs="Arial" w:hint="cs"/>
          <w:sz w:val="20"/>
          <w:szCs w:val="20"/>
          <w:rtl/>
        </w:rPr>
        <w:t>חוזרות</w:t>
      </w:r>
      <w:r w:rsidRPr="00F82A30">
        <w:rPr>
          <w:rFonts w:cs="Arial"/>
          <w:sz w:val="20"/>
          <w:szCs w:val="20"/>
          <w:rtl/>
        </w:rPr>
        <w:t xml:space="preserve"> </w:t>
      </w:r>
      <w:r w:rsidRPr="00F82A30">
        <w:rPr>
          <w:rFonts w:cs="Arial" w:hint="cs"/>
          <w:sz w:val="20"/>
          <w:szCs w:val="20"/>
          <w:rtl/>
        </w:rPr>
        <w:t>לחוש</w:t>
      </w:r>
      <w:r w:rsidRPr="00F82A30">
        <w:rPr>
          <w:rFonts w:cs="Arial"/>
          <w:sz w:val="20"/>
          <w:szCs w:val="20"/>
          <w:rtl/>
        </w:rPr>
        <w:t xml:space="preserve"> </w:t>
      </w:r>
      <w:r w:rsidRPr="00F82A30">
        <w:rPr>
          <w:rFonts w:cs="Arial" w:hint="cs"/>
          <w:sz w:val="20"/>
          <w:szCs w:val="20"/>
          <w:rtl/>
        </w:rPr>
        <w:t>ל</w:t>
      </w:r>
      <w:r>
        <w:rPr>
          <w:rFonts w:cs="Arial" w:hint="cs"/>
          <w:sz w:val="20"/>
          <w:szCs w:val="20"/>
          <w:rtl/>
        </w:rPr>
        <w:t>ו</w:t>
      </w:r>
      <w:r w:rsidRPr="00F82A30">
        <w:rPr>
          <w:rFonts w:cs="Arial" w:hint="cs"/>
          <w:sz w:val="20"/>
          <w:szCs w:val="20"/>
          <w:rtl/>
        </w:rPr>
        <w:t>וסתן</w:t>
      </w:r>
      <w:r w:rsidRPr="00F82A30">
        <w:rPr>
          <w:rFonts w:cs="Arial"/>
          <w:sz w:val="20"/>
          <w:szCs w:val="20"/>
          <w:rtl/>
        </w:rPr>
        <w:t xml:space="preserve"> </w:t>
      </w:r>
      <w:r w:rsidRPr="00F82A30">
        <w:rPr>
          <w:rFonts w:cs="Arial" w:hint="cs"/>
          <w:sz w:val="20"/>
          <w:szCs w:val="20"/>
          <w:rtl/>
        </w:rPr>
        <w:t>הראשון</w:t>
      </w:r>
      <w:r w:rsidRPr="00F82A30">
        <w:rPr>
          <w:rFonts w:cs="Arial"/>
          <w:sz w:val="20"/>
          <w:szCs w:val="20"/>
          <w:rtl/>
        </w:rPr>
        <w:t xml:space="preserve">. </w:t>
      </w:r>
      <w:r w:rsidRPr="00F82A30">
        <w:rPr>
          <w:rFonts w:cs="Arial" w:hint="cs"/>
          <w:sz w:val="20"/>
          <w:szCs w:val="20"/>
          <w:rtl/>
        </w:rPr>
        <w:t>כיצד</w:t>
      </w:r>
      <w:r w:rsidRPr="00F82A30">
        <w:rPr>
          <w:rFonts w:cs="Arial"/>
          <w:sz w:val="20"/>
          <w:szCs w:val="20"/>
          <w:rtl/>
        </w:rPr>
        <w:t xml:space="preserve">, </w:t>
      </w:r>
      <w:r w:rsidRPr="00F82A30">
        <w:rPr>
          <w:rFonts w:cs="Arial" w:hint="cs"/>
          <w:sz w:val="20"/>
          <w:szCs w:val="20"/>
          <w:rtl/>
        </w:rPr>
        <w:t>היה</w:t>
      </w:r>
      <w:r w:rsidRPr="00F82A30">
        <w:rPr>
          <w:rFonts w:cs="Arial"/>
          <w:sz w:val="20"/>
          <w:szCs w:val="20"/>
          <w:rtl/>
        </w:rPr>
        <w:t xml:space="preserve"> </w:t>
      </w:r>
      <w:r w:rsidRPr="00F82A30">
        <w:rPr>
          <w:rFonts w:cs="Arial" w:hint="cs"/>
          <w:sz w:val="20"/>
          <w:szCs w:val="20"/>
          <w:rtl/>
        </w:rPr>
        <w:t>לה</w:t>
      </w:r>
      <w:r w:rsidRPr="00F82A30">
        <w:rPr>
          <w:rFonts w:cs="Arial"/>
          <w:sz w:val="20"/>
          <w:szCs w:val="20"/>
          <w:rtl/>
        </w:rPr>
        <w:t xml:space="preserve"> </w:t>
      </w:r>
      <w:r w:rsidRPr="00F82A30">
        <w:rPr>
          <w:rFonts w:cs="Arial" w:hint="cs"/>
          <w:sz w:val="20"/>
          <w:szCs w:val="20"/>
          <w:rtl/>
        </w:rPr>
        <w:t>וסת</w:t>
      </w:r>
      <w:r w:rsidRPr="00F82A30">
        <w:rPr>
          <w:rFonts w:cs="Arial"/>
          <w:sz w:val="20"/>
          <w:szCs w:val="20"/>
          <w:rtl/>
        </w:rPr>
        <w:t xml:space="preserve"> </w:t>
      </w:r>
      <w:r w:rsidRPr="00F82A30">
        <w:rPr>
          <w:rFonts w:cs="Arial" w:hint="cs"/>
          <w:sz w:val="20"/>
          <w:szCs w:val="20"/>
          <w:rtl/>
        </w:rPr>
        <w:t>לימים</w:t>
      </w:r>
      <w:r w:rsidRPr="00F82A30">
        <w:rPr>
          <w:rFonts w:cs="Arial"/>
          <w:sz w:val="20"/>
          <w:szCs w:val="20"/>
          <w:rtl/>
        </w:rPr>
        <w:t xml:space="preserve">, </w:t>
      </w:r>
      <w:r w:rsidRPr="00F82A30">
        <w:rPr>
          <w:rFonts w:cs="Arial" w:hint="cs"/>
          <w:sz w:val="20"/>
          <w:szCs w:val="20"/>
          <w:rtl/>
        </w:rPr>
        <w:t>אם</w:t>
      </w:r>
      <w:r w:rsidRPr="00F82A30">
        <w:rPr>
          <w:rFonts w:cs="Arial"/>
          <w:sz w:val="20"/>
          <w:szCs w:val="20"/>
          <w:rtl/>
        </w:rPr>
        <w:t xml:space="preserve"> </w:t>
      </w:r>
      <w:r w:rsidRPr="00F82A30">
        <w:rPr>
          <w:rFonts w:cs="Arial" w:hint="cs"/>
          <w:sz w:val="20"/>
          <w:szCs w:val="20"/>
          <w:rtl/>
        </w:rPr>
        <w:t>למודה</w:t>
      </w:r>
      <w:r w:rsidRPr="00F82A30">
        <w:rPr>
          <w:rFonts w:cs="Arial"/>
          <w:sz w:val="20"/>
          <w:szCs w:val="20"/>
          <w:rtl/>
        </w:rPr>
        <w:t xml:space="preserve"> </w:t>
      </w:r>
      <w:r w:rsidRPr="00F82A30">
        <w:rPr>
          <w:rFonts w:cs="Arial" w:hint="cs"/>
          <w:sz w:val="20"/>
          <w:szCs w:val="20"/>
          <w:rtl/>
        </w:rPr>
        <w:t>לראשי</w:t>
      </w:r>
      <w:r w:rsidRPr="00F82A30">
        <w:rPr>
          <w:rFonts w:cs="Arial"/>
          <w:sz w:val="20"/>
          <w:szCs w:val="20"/>
          <w:rtl/>
        </w:rPr>
        <w:t xml:space="preserve"> </w:t>
      </w:r>
      <w:r w:rsidRPr="00F82A30">
        <w:rPr>
          <w:rFonts w:cs="Arial" w:hint="cs"/>
          <w:sz w:val="20"/>
          <w:szCs w:val="20"/>
          <w:rtl/>
        </w:rPr>
        <w:t>חדשים</w:t>
      </w:r>
      <w:r w:rsidRPr="00F82A30">
        <w:rPr>
          <w:rFonts w:cs="Arial"/>
          <w:sz w:val="20"/>
          <w:szCs w:val="20"/>
          <w:rtl/>
        </w:rPr>
        <w:t xml:space="preserve">, </w:t>
      </w:r>
      <w:r w:rsidRPr="00F82A30">
        <w:rPr>
          <w:rFonts w:cs="Arial" w:hint="cs"/>
          <w:sz w:val="20"/>
          <w:szCs w:val="20"/>
          <w:rtl/>
        </w:rPr>
        <w:t>חוששת</w:t>
      </w:r>
      <w:r w:rsidRPr="00F82A30">
        <w:rPr>
          <w:rFonts w:cs="Arial"/>
          <w:sz w:val="20"/>
          <w:szCs w:val="20"/>
          <w:rtl/>
        </w:rPr>
        <w:t xml:space="preserve"> </w:t>
      </w:r>
      <w:r w:rsidRPr="00F82A30">
        <w:rPr>
          <w:rFonts w:cs="Arial" w:hint="cs"/>
          <w:sz w:val="20"/>
          <w:szCs w:val="20"/>
          <w:rtl/>
        </w:rPr>
        <w:t>לר</w:t>
      </w:r>
      <w:r w:rsidRPr="00F82A30">
        <w:rPr>
          <w:rFonts w:cs="Arial"/>
          <w:sz w:val="20"/>
          <w:szCs w:val="20"/>
          <w:rtl/>
        </w:rPr>
        <w:t>"</w:t>
      </w:r>
      <w:r w:rsidRPr="00F82A30">
        <w:rPr>
          <w:rFonts w:cs="Arial" w:hint="cs"/>
          <w:sz w:val="20"/>
          <w:szCs w:val="20"/>
          <w:rtl/>
        </w:rPr>
        <w:t>ח</w:t>
      </w:r>
      <w:r w:rsidRPr="00F82A30">
        <w:rPr>
          <w:rFonts w:cs="Arial"/>
          <w:sz w:val="20"/>
          <w:szCs w:val="20"/>
          <w:rtl/>
        </w:rPr>
        <w:t xml:space="preserve"> </w:t>
      </w:r>
      <w:r w:rsidRPr="00F82A30">
        <w:rPr>
          <w:rFonts w:cs="Arial" w:hint="cs"/>
          <w:sz w:val="20"/>
          <w:szCs w:val="20"/>
          <w:rtl/>
        </w:rPr>
        <w:t>ראשון</w:t>
      </w:r>
      <w:r w:rsidRPr="00F82A30">
        <w:rPr>
          <w:rFonts w:cs="Arial"/>
          <w:sz w:val="20"/>
          <w:szCs w:val="20"/>
          <w:rtl/>
        </w:rPr>
        <w:t xml:space="preserve"> </w:t>
      </w:r>
      <w:r w:rsidRPr="00F82A30">
        <w:rPr>
          <w:rFonts w:cs="Arial" w:hint="cs"/>
          <w:sz w:val="20"/>
          <w:szCs w:val="20"/>
          <w:rtl/>
        </w:rPr>
        <w:t>שהיא</w:t>
      </w:r>
      <w:r w:rsidRPr="00F82A30">
        <w:rPr>
          <w:rFonts w:cs="Arial"/>
          <w:sz w:val="20"/>
          <w:szCs w:val="20"/>
          <w:rtl/>
        </w:rPr>
        <w:t xml:space="preserve"> </w:t>
      </w:r>
      <w:r w:rsidRPr="00F82A30">
        <w:rPr>
          <w:rFonts w:cs="Arial" w:hint="cs"/>
          <w:sz w:val="20"/>
          <w:szCs w:val="20"/>
          <w:rtl/>
        </w:rPr>
        <w:t>פוגעת</w:t>
      </w:r>
      <w:r w:rsidRPr="00F82A30">
        <w:rPr>
          <w:rFonts w:cs="Arial"/>
          <w:sz w:val="20"/>
          <w:szCs w:val="20"/>
          <w:rtl/>
        </w:rPr>
        <w:t xml:space="preserve"> </w:t>
      </w:r>
      <w:r w:rsidRPr="00F82A30">
        <w:rPr>
          <w:rFonts w:cs="Arial" w:hint="cs"/>
          <w:sz w:val="20"/>
          <w:szCs w:val="20"/>
          <w:rtl/>
        </w:rPr>
        <w:t>בו</w:t>
      </w:r>
      <w:r w:rsidRPr="00F82A30">
        <w:rPr>
          <w:rFonts w:cs="Arial"/>
          <w:sz w:val="20"/>
          <w:szCs w:val="20"/>
          <w:rtl/>
        </w:rPr>
        <w:t xml:space="preserve">. </w:t>
      </w:r>
      <w:r w:rsidRPr="00F82A30">
        <w:rPr>
          <w:rFonts w:cs="Arial" w:hint="cs"/>
          <w:sz w:val="20"/>
          <w:szCs w:val="20"/>
          <w:rtl/>
        </w:rPr>
        <w:t>וכן</w:t>
      </w:r>
      <w:r w:rsidRPr="00F82A30">
        <w:rPr>
          <w:rFonts w:cs="Arial"/>
          <w:sz w:val="20"/>
          <w:szCs w:val="20"/>
          <w:rtl/>
        </w:rPr>
        <w:t xml:space="preserve"> </w:t>
      </w:r>
      <w:r w:rsidRPr="00F82A30">
        <w:rPr>
          <w:rFonts w:cs="Arial" w:hint="cs"/>
          <w:sz w:val="20"/>
          <w:szCs w:val="20"/>
          <w:rtl/>
        </w:rPr>
        <w:t>כל</w:t>
      </w:r>
      <w:r w:rsidRPr="00F82A30">
        <w:rPr>
          <w:rFonts w:cs="Arial"/>
          <w:sz w:val="20"/>
          <w:szCs w:val="20"/>
          <w:rtl/>
        </w:rPr>
        <w:t xml:space="preserve"> </w:t>
      </w:r>
      <w:r w:rsidRPr="00F82A30">
        <w:rPr>
          <w:rFonts w:cs="Arial" w:hint="cs"/>
          <w:sz w:val="20"/>
          <w:szCs w:val="20"/>
          <w:rtl/>
        </w:rPr>
        <w:t>כיוצא</w:t>
      </w:r>
      <w:r w:rsidRPr="00F82A30">
        <w:rPr>
          <w:rFonts w:cs="Arial"/>
          <w:sz w:val="20"/>
          <w:szCs w:val="20"/>
          <w:rtl/>
        </w:rPr>
        <w:t xml:space="preserve"> </w:t>
      </w:r>
      <w:r w:rsidRPr="00F82A30">
        <w:rPr>
          <w:rFonts w:cs="Arial" w:hint="cs"/>
          <w:sz w:val="20"/>
          <w:szCs w:val="20"/>
          <w:rtl/>
        </w:rPr>
        <w:t>בזה</w:t>
      </w:r>
      <w:r w:rsidRPr="00F82A30">
        <w:rPr>
          <w:rFonts w:cs="Arial"/>
          <w:sz w:val="20"/>
          <w:szCs w:val="20"/>
          <w:rtl/>
        </w:rPr>
        <w:t xml:space="preserve">. </w:t>
      </w:r>
      <w:r w:rsidRPr="00F82A30">
        <w:rPr>
          <w:rFonts w:cs="Arial" w:hint="cs"/>
          <w:sz w:val="20"/>
          <w:szCs w:val="20"/>
          <w:rtl/>
        </w:rPr>
        <w:t>וכן</w:t>
      </w:r>
      <w:r w:rsidRPr="00F82A30">
        <w:rPr>
          <w:rFonts w:cs="Arial"/>
          <w:sz w:val="20"/>
          <w:szCs w:val="20"/>
          <w:rtl/>
        </w:rPr>
        <w:t xml:space="preserve"> </w:t>
      </w:r>
      <w:r w:rsidRPr="00F82A30">
        <w:rPr>
          <w:rFonts w:cs="Arial" w:hint="cs"/>
          <w:sz w:val="20"/>
          <w:szCs w:val="20"/>
          <w:rtl/>
        </w:rPr>
        <w:t>הדין</w:t>
      </w:r>
      <w:r w:rsidRPr="00F82A30">
        <w:rPr>
          <w:rFonts w:cs="Arial"/>
          <w:sz w:val="20"/>
          <w:szCs w:val="20"/>
          <w:rtl/>
        </w:rPr>
        <w:t xml:space="preserve"> </w:t>
      </w:r>
      <w:r w:rsidRPr="00F82A30">
        <w:rPr>
          <w:rFonts w:cs="Arial" w:hint="cs"/>
          <w:sz w:val="20"/>
          <w:szCs w:val="20"/>
          <w:rtl/>
        </w:rPr>
        <w:t>אם</w:t>
      </w:r>
      <w:r w:rsidRPr="00F82A30">
        <w:rPr>
          <w:rFonts w:cs="Arial"/>
          <w:sz w:val="20"/>
          <w:szCs w:val="20"/>
          <w:rtl/>
        </w:rPr>
        <w:t xml:space="preserve"> </w:t>
      </w:r>
      <w:r w:rsidRPr="00F82A30">
        <w:rPr>
          <w:rFonts w:cs="Arial" w:hint="cs"/>
          <w:sz w:val="20"/>
          <w:szCs w:val="20"/>
          <w:rtl/>
        </w:rPr>
        <w:t>היה</w:t>
      </w:r>
      <w:r w:rsidRPr="00F82A30">
        <w:rPr>
          <w:rFonts w:cs="Arial"/>
          <w:sz w:val="20"/>
          <w:szCs w:val="20"/>
          <w:rtl/>
        </w:rPr>
        <w:t xml:space="preserve"> </w:t>
      </w:r>
      <w:r w:rsidRPr="00F82A30">
        <w:rPr>
          <w:rFonts w:cs="Arial" w:hint="cs"/>
          <w:sz w:val="20"/>
          <w:szCs w:val="20"/>
          <w:rtl/>
        </w:rPr>
        <w:t>לה</w:t>
      </w:r>
      <w:r w:rsidRPr="00F82A30">
        <w:rPr>
          <w:rFonts w:cs="Arial"/>
          <w:sz w:val="20"/>
          <w:szCs w:val="20"/>
          <w:rtl/>
        </w:rPr>
        <w:t xml:space="preserve"> </w:t>
      </w:r>
      <w:r w:rsidRPr="00F82A30">
        <w:rPr>
          <w:rFonts w:cs="Arial" w:hint="cs"/>
          <w:sz w:val="20"/>
          <w:szCs w:val="20"/>
          <w:rtl/>
        </w:rPr>
        <w:t>וסת</w:t>
      </w:r>
      <w:r w:rsidRPr="00F82A30">
        <w:rPr>
          <w:rFonts w:cs="Arial"/>
          <w:sz w:val="20"/>
          <w:szCs w:val="20"/>
          <w:rtl/>
        </w:rPr>
        <w:t xml:space="preserve"> </w:t>
      </w:r>
      <w:r w:rsidRPr="00F82A30">
        <w:rPr>
          <w:rFonts w:cs="Arial" w:hint="cs"/>
          <w:sz w:val="20"/>
          <w:szCs w:val="20"/>
          <w:rtl/>
        </w:rPr>
        <w:t>הגוף</w:t>
      </w:r>
      <w:r w:rsidRPr="00F82A30">
        <w:rPr>
          <w:rFonts w:cs="Arial"/>
          <w:sz w:val="20"/>
          <w:szCs w:val="20"/>
          <w:rtl/>
        </w:rPr>
        <w:t xml:space="preserve"> </w:t>
      </w:r>
      <w:r w:rsidRPr="00F82A30">
        <w:rPr>
          <w:rFonts w:cs="Arial" w:hint="cs"/>
          <w:sz w:val="20"/>
          <w:szCs w:val="20"/>
          <w:rtl/>
        </w:rPr>
        <w:t>או</w:t>
      </w:r>
      <w:r w:rsidRPr="00F82A30">
        <w:rPr>
          <w:rFonts w:cs="Arial"/>
          <w:sz w:val="20"/>
          <w:szCs w:val="20"/>
          <w:rtl/>
        </w:rPr>
        <w:t xml:space="preserve"> </w:t>
      </w:r>
      <w:r w:rsidRPr="00F82A30">
        <w:rPr>
          <w:rFonts w:cs="Arial" w:hint="cs"/>
          <w:sz w:val="20"/>
          <w:szCs w:val="20"/>
          <w:rtl/>
        </w:rPr>
        <w:t>לזמן</w:t>
      </w:r>
      <w:r w:rsidRPr="00F82A30">
        <w:rPr>
          <w:rFonts w:cs="Arial"/>
          <w:sz w:val="20"/>
          <w:szCs w:val="20"/>
          <w:rtl/>
        </w:rPr>
        <w:t xml:space="preserve"> </w:t>
      </w:r>
      <w:r w:rsidRPr="00F82A30">
        <w:rPr>
          <w:rFonts w:cs="Arial" w:hint="cs"/>
          <w:sz w:val="20"/>
          <w:szCs w:val="20"/>
          <w:rtl/>
        </w:rPr>
        <w:t>ידוע</w:t>
      </w:r>
      <w:r>
        <w:rPr>
          <w:rFonts w:cs="Arial" w:hint="cs"/>
          <w:sz w:val="20"/>
          <w:szCs w:val="20"/>
          <w:rtl/>
        </w:rPr>
        <w:t>.</w:t>
      </w:r>
      <w:r w:rsidRPr="00F82A30">
        <w:rPr>
          <w:rFonts w:cs="Arial"/>
          <w:sz w:val="20"/>
          <w:szCs w:val="20"/>
          <w:rtl/>
        </w:rPr>
        <w:t xml:space="preserve"> </w:t>
      </w:r>
      <w:r w:rsidRPr="00F82A30">
        <w:rPr>
          <w:rFonts w:cs="Arial" w:hint="cs"/>
          <w:sz w:val="20"/>
          <w:szCs w:val="20"/>
          <w:rtl/>
        </w:rPr>
        <w:t>אבל</w:t>
      </w:r>
      <w:r w:rsidRPr="00F82A30">
        <w:rPr>
          <w:rFonts w:cs="Arial"/>
          <w:sz w:val="20"/>
          <w:szCs w:val="20"/>
          <w:rtl/>
        </w:rPr>
        <w:t xml:space="preserve"> </w:t>
      </w:r>
      <w:r w:rsidRPr="00F82A30">
        <w:rPr>
          <w:rFonts w:cs="Arial" w:hint="cs"/>
          <w:sz w:val="20"/>
          <w:szCs w:val="20"/>
          <w:rtl/>
        </w:rPr>
        <w:t>אם</w:t>
      </w:r>
      <w:r w:rsidRPr="00F82A30">
        <w:rPr>
          <w:rFonts w:cs="Arial"/>
          <w:sz w:val="20"/>
          <w:szCs w:val="20"/>
          <w:rtl/>
        </w:rPr>
        <w:t xml:space="preserve"> </w:t>
      </w:r>
      <w:r w:rsidRPr="00F82A30">
        <w:rPr>
          <w:rFonts w:cs="Arial" w:hint="cs"/>
          <w:sz w:val="20"/>
          <w:szCs w:val="20"/>
          <w:rtl/>
        </w:rPr>
        <w:t>היה</w:t>
      </w:r>
      <w:r w:rsidRPr="00F82A30">
        <w:rPr>
          <w:rFonts w:cs="Arial"/>
          <w:sz w:val="20"/>
          <w:szCs w:val="20"/>
          <w:rtl/>
        </w:rPr>
        <w:t xml:space="preserve"> </w:t>
      </w:r>
      <w:r w:rsidRPr="00F82A30">
        <w:rPr>
          <w:rFonts w:cs="Arial" w:hint="cs"/>
          <w:sz w:val="20"/>
          <w:szCs w:val="20"/>
          <w:rtl/>
        </w:rPr>
        <w:t>וסתה</w:t>
      </w:r>
      <w:r w:rsidRPr="00F82A30">
        <w:rPr>
          <w:rFonts w:cs="Arial"/>
          <w:sz w:val="20"/>
          <w:szCs w:val="20"/>
          <w:rtl/>
        </w:rPr>
        <w:t xml:space="preserve"> </w:t>
      </w:r>
      <w:r w:rsidRPr="00F82A30">
        <w:rPr>
          <w:rFonts w:cs="Arial" w:hint="cs"/>
          <w:sz w:val="20"/>
          <w:szCs w:val="20"/>
          <w:rtl/>
        </w:rPr>
        <w:t>וסת</w:t>
      </w:r>
      <w:r w:rsidRPr="00F82A30">
        <w:rPr>
          <w:rFonts w:cs="Arial"/>
          <w:sz w:val="20"/>
          <w:szCs w:val="20"/>
          <w:rtl/>
        </w:rPr>
        <w:t xml:space="preserve"> </w:t>
      </w:r>
      <w:r w:rsidRPr="00F82A30">
        <w:rPr>
          <w:rFonts w:cs="Arial" w:hint="cs"/>
          <w:sz w:val="20"/>
          <w:szCs w:val="20"/>
          <w:rtl/>
        </w:rPr>
        <w:t>ההפלגות</w:t>
      </w:r>
      <w:r w:rsidRPr="00F82A30">
        <w:rPr>
          <w:rFonts w:cs="Arial"/>
          <w:sz w:val="20"/>
          <w:szCs w:val="20"/>
          <w:rtl/>
        </w:rPr>
        <w:t xml:space="preserve">, </w:t>
      </w:r>
      <w:r w:rsidRPr="00F82A30">
        <w:rPr>
          <w:rFonts w:cs="Arial" w:hint="cs"/>
          <w:sz w:val="20"/>
          <w:szCs w:val="20"/>
          <w:rtl/>
        </w:rPr>
        <w:t>אי</w:t>
      </w:r>
      <w:r w:rsidRPr="00F82A30">
        <w:rPr>
          <w:rFonts w:cs="Arial"/>
          <w:sz w:val="20"/>
          <w:szCs w:val="20"/>
          <w:rtl/>
        </w:rPr>
        <w:t xml:space="preserve"> </w:t>
      </w:r>
      <w:r w:rsidRPr="00F82A30">
        <w:rPr>
          <w:rFonts w:cs="Arial" w:hint="cs"/>
          <w:sz w:val="20"/>
          <w:szCs w:val="20"/>
          <w:rtl/>
        </w:rPr>
        <w:t>אפשר</w:t>
      </w:r>
      <w:r w:rsidRPr="00F82A30">
        <w:rPr>
          <w:rFonts w:cs="Arial"/>
          <w:sz w:val="20"/>
          <w:szCs w:val="20"/>
          <w:rtl/>
        </w:rPr>
        <w:t xml:space="preserve"> </w:t>
      </w:r>
      <w:r w:rsidRPr="00F82A30">
        <w:rPr>
          <w:rFonts w:cs="Arial" w:hint="cs"/>
          <w:sz w:val="20"/>
          <w:szCs w:val="20"/>
          <w:rtl/>
        </w:rPr>
        <w:t>לחוש</w:t>
      </w:r>
      <w:r w:rsidRPr="00F82A30">
        <w:rPr>
          <w:rFonts w:cs="Arial"/>
          <w:sz w:val="20"/>
          <w:szCs w:val="20"/>
          <w:rtl/>
        </w:rPr>
        <w:t xml:space="preserve"> </w:t>
      </w:r>
      <w:r w:rsidRPr="00F82A30">
        <w:rPr>
          <w:rFonts w:cs="Arial" w:hint="cs"/>
          <w:sz w:val="20"/>
          <w:szCs w:val="20"/>
          <w:rtl/>
        </w:rPr>
        <w:t>עד</w:t>
      </w:r>
      <w:r w:rsidRPr="00F82A30">
        <w:rPr>
          <w:rFonts w:cs="Arial"/>
          <w:sz w:val="20"/>
          <w:szCs w:val="20"/>
          <w:rtl/>
        </w:rPr>
        <w:t xml:space="preserve"> </w:t>
      </w:r>
      <w:r w:rsidRPr="00F82A30">
        <w:rPr>
          <w:rFonts w:cs="Arial" w:hint="cs"/>
          <w:sz w:val="20"/>
          <w:szCs w:val="20"/>
          <w:rtl/>
        </w:rPr>
        <w:t>שתחזור</w:t>
      </w:r>
      <w:r w:rsidRPr="00F82A30">
        <w:rPr>
          <w:rFonts w:cs="Arial"/>
          <w:sz w:val="20"/>
          <w:szCs w:val="20"/>
          <w:rtl/>
        </w:rPr>
        <w:t xml:space="preserve"> </w:t>
      </w:r>
      <w:r w:rsidRPr="00F82A30">
        <w:rPr>
          <w:rFonts w:cs="Arial" w:hint="cs"/>
          <w:sz w:val="20"/>
          <w:szCs w:val="20"/>
          <w:rtl/>
        </w:rPr>
        <w:t>לראות</w:t>
      </w:r>
      <w:r w:rsidRPr="00F82A30">
        <w:rPr>
          <w:rFonts w:cs="Arial"/>
          <w:sz w:val="20"/>
          <w:szCs w:val="20"/>
          <w:rtl/>
        </w:rPr>
        <w:t xml:space="preserve">. </w:t>
      </w:r>
      <w:r w:rsidRPr="00F82A30">
        <w:rPr>
          <w:rFonts w:cs="Arial" w:hint="cs"/>
          <w:sz w:val="20"/>
          <w:szCs w:val="20"/>
          <w:rtl/>
        </w:rPr>
        <w:t>חזרה</w:t>
      </w:r>
      <w:r w:rsidRPr="00F82A30">
        <w:rPr>
          <w:rFonts w:cs="Arial"/>
          <w:sz w:val="20"/>
          <w:szCs w:val="20"/>
          <w:rtl/>
        </w:rPr>
        <w:t xml:space="preserve"> </w:t>
      </w:r>
      <w:r w:rsidRPr="00F82A30">
        <w:rPr>
          <w:rFonts w:cs="Arial" w:hint="cs"/>
          <w:sz w:val="20"/>
          <w:szCs w:val="20"/>
          <w:rtl/>
        </w:rPr>
        <w:t>לראות</w:t>
      </w:r>
      <w:r w:rsidRPr="00F82A30">
        <w:rPr>
          <w:rFonts w:cs="Arial"/>
          <w:sz w:val="20"/>
          <w:szCs w:val="20"/>
          <w:rtl/>
        </w:rPr>
        <w:t xml:space="preserve"> </w:t>
      </w:r>
      <w:r w:rsidRPr="00F82A30">
        <w:rPr>
          <w:rFonts w:cs="Arial" w:hint="cs"/>
          <w:sz w:val="20"/>
          <w:szCs w:val="20"/>
          <w:rtl/>
        </w:rPr>
        <w:t>אפילו</w:t>
      </w:r>
      <w:r w:rsidRPr="00F82A30">
        <w:rPr>
          <w:rFonts w:cs="Arial"/>
          <w:sz w:val="20"/>
          <w:szCs w:val="20"/>
          <w:rtl/>
        </w:rPr>
        <w:t xml:space="preserve"> </w:t>
      </w:r>
      <w:r w:rsidRPr="00F82A30">
        <w:rPr>
          <w:rFonts w:cs="Arial" w:hint="cs"/>
          <w:sz w:val="20"/>
          <w:szCs w:val="20"/>
          <w:rtl/>
        </w:rPr>
        <w:t>פעם</w:t>
      </w:r>
      <w:r w:rsidRPr="00F82A30">
        <w:rPr>
          <w:rFonts w:cs="Arial"/>
          <w:sz w:val="20"/>
          <w:szCs w:val="20"/>
          <w:rtl/>
        </w:rPr>
        <w:t xml:space="preserve"> </w:t>
      </w:r>
      <w:r w:rsidRPr="00F82A30">
        <w:rPr>
          <w:rFonts w:cs="Arial" w:hint="cs"/>
          <w:sz w:val="20"/>
          <w:szCs w:val="20"/>
          <w:rtl/>
        </w:rPr>
        <w:t>א</w:t>
      </w:r>
      <w:r>
        <w:rPr>
          <w:rFonts w:cs="Arial" w:hint="cs"/>
          <w:sz w:val="20"/>
          <w:szCs w:val="20"/>
          <w:rtl/>
        </w:rPr>
        <w:t xml:space="preserve">חת </w:t>
      </w:r>
      <w:r w:rsidRPr="00F82A30">
        <w:rPr>
          <w:rFonts w:cs="Arial" w:hint="cs"/>
          <w:sz w:val="20"/>
          <w:szCs w:val="20"/>
          <w:rtl/>
        </w:rPr>
        <w:t>חוששת</w:t>
      </w:r>
      <w:r w:rsidRPr="00F82A30">
        <w:rPr>
          <w:rFonts w:cs="Arial"/>
          <w:sz w:val="20"/>
          <w:szCs w:val="20"/>
          <w:rtl/>
        </w:rPr>
        <w:t xml:space="preserve"> </w:t>
      </w:r>
      <w:r>
        <w:rPr>
          <w:rFonts w:cs="Arial" w:hint="cs"/>
          <w:sz w:val="20"/>
          <w:szCs w:val="20"/>
          <w:rtl/>
        </w:rPr>
        <w:t>ל</w:t>
      </w:r>
      <w:r w:rsidRPr="00F82A30">
        <w:rPr>
          <w:rFonts w:cs="Arial" w:hint="cs"/>
          <w:sz w:val="20"/>
          <w:szCs w:val="20"/>
          <w:rtl/>
        </w:rPr>
        <w:t>יום</w:t>
      </w:r>
      <w:r w:rsidRPr="00F82A30">
        <w:rPr>
          <w:rFonts w:cs="Arial"/>
          <w:sz w:val="20"/>
          <w:szCs w:val="20"/>
          <w:rtl/>
        </w:rPr>
        <w:t xml:space="preserve"> </w:t>
      </w:r>
      <w:r w:rsidRPr="00F82A30">
        <w:rPr>
          <w:rFonts w:cs="Arial" w:hint="cs"/>
          <w:sz w:val="20"/>
          <w:szCs w:val="20"/>
          <w:rtl/>
        </w:rPr>
        <w:t>ההפלגה</w:t>
      </w:r>
      <w:r w:rsidRPr="00F82A30">
        <w:rPr>
          <w:rFonts w:cs="Arial"/>
          <w:sz w:val="20"/>
          <w:szCs w:val="20"/>
          <w:rtl/>
        </w:rPr>
        <w:t xml:space="preserve"> </w:t>
      </w:r>
      <w:r w:rsidRPr="00F82A30">
        <w:rPr>
          <w:rFonts w:cs="Arial" w:hint="cs"/>
          <w:sz w:val="20"/>
          <w:szCs w:val="20"/>
          <w:rtl/>
        </w:rPr>
        <w:t>שהיתה</w:t>
      </w:r>
      <w:r w:rsidRPr="00F82A30">
        <w:rPr>
          <w:rFonts w:cs="Arial"/>
          <w:sz w:val="20"/>
          <w:szCs w:val="20"/>
          <w:rtl/>
        </w:rPr>
        <w:t xml:space="preserve"> </w:t>
      </w:r>
      <w:r w:rsidRPr="00F82A30">
        <w:rPr>
          <w:rFonts w:cs="Arial" w:hint="cs"/>
          <w:sz w:val="20"/>
          <w:szCs w:val="20"/>
          <w:rtl/>
        </w:rPr>
        <w:t>למודה</w:t>
      </w:r>
      <w:r w:rsidRPr="00F82A30">
        <w:rPr>
          <w:rFonts w:cs="Arial"/>
          <w:sz w:val="20"/>
          <w:szCs w:val="20"/>
          <w:rtl/>
        </w:rPr>
        <w:t xml:space="preserve"> </w:t>
      </w:r>
      <w:r w:rsidRPr="00F82A30">
        <w:rPr>
          <w:rFonts w:cs="Arial" w:hint="cs"/>
          <w:sz w:val="20"/>
          <w:szCs w:val="20"/>
          <w:rtl/>
        </w:rPr>
        <w:t>להפליג</w:t>
      </w:r>
      <w:r>
        <w:rPr>
          <w:rFonts w:cs="Arial" w:hint="cs"/>
          <w:sz w:val="20"/>
          <w:szCs w:val="20"/>
          <w:rtl/>
        </w:rPr>
        <w:t>".</w:t>
      </w:r>
      <w:r>
        <w:rPr>
          <w:sz w:val="20"/>
          <w:szCs w:val="20"/>
          <w:rtl/>
        </w:rPr>
        <w:br/>
      </w:r>
      <w:r w:rsidRPr="00164A92">
        <w:rPr>
          <w:rFonts w:hint="cs"/>
          <w:b/>
          <w:bCs/>
          <w:sz w:val="20"/>
          <w:szCs w:val="20"/>
          <w:rtl/>
        </w:rPr>
        <w:t>ובבית יוסף</w:t>
      </w:r>
      <w:r>
        <w:rPr>
          <w:rFonts w:hint="cs"/>
          <w:sz w:val="20"/>
          <w:szCs w:val="20"/>
          <w:rtl/>
        </w:rPr>
        <w:t xml:space="preserve"> ביאר עוד </w:t>
      </w:r>
      <w:r>
        <w:rPr>
          <w:sz w:val="20"/>
          <w:szCs w:val="20"/>
          <w:rtl/>
        </w:rPr>
        <w:t>–</w:t>
      </w:r>
      <w:r>
        <w:rPr>
          <w:rFonts w:hint="cs"/>
          <w:sz w:val="20"/>
          <w:szCs w:val="20"/>
          <w:rtl/>
        </w:rPr>
        <w:t xml:space="preserve"> עקירת הווסת תהיה רק לאחר ג' פעמים שבהם לא תראה כהרגלה הקודם.</w:t>
      </w:r>
    </w:p>
    <w:p w:rsidR="00620060" w:rsidRPr="0090244D" w:rsidRDefault="00620060" w:rsidP="00620060">
      <w:pPr>
        <w:rPr>
          <w:sz w:val="20"/>
          <w:szCs w:val="20"/>
          <w:rtl/>
        </w:rPr>
      </w:pPr>
      <w:r>
        <w:rPr>
          <w:rFonts w:hint="cs"/>
          <w:sz w:val="20"/>
          <w:szCs w:val="20"/>
          <w:u w:val="single"/>
          <w:rtl/>
        </w:rPr>
        <w:t>האם חוששות גם לווסת שאינו קבוע? (פת"ש)</w:t>
      </w:r>
      <w:r>
        <w:rPr>
          <w:rFonts w:hint="cs"/>
          <w:sz w:val="20"/>
          <w:szCs w:val="20"/>
          <w:u w:val="single"/>
          <w:rtl/>
        </w:rPr>
        <w:br/>
      </w:r>
      <w:r w:rsidRPr="0090244D">
        <w:rPr>
          <w:rFonts w:hint="cs"/>
          <w:b/>
          <w:bCs/>
          <w:sz w:val="20"/>
          <w:szCs w:val="20"/>
          <w:rtl/>
        </w:rPr>
        <w:t>נודע ביהודה</w:t>
      </w:r>
      <w:r>
        <w:rPr>
          <w:rFonts w:hint="cs"/>
          <w:sz w:val="20"/>
          <w:szCs w:val="20"/>
          <w:rtl/>
        </w:rPr>
        <w:t xml:space="preserve"> </w:t>
      </w:r>
      <w:r>
        <w:rPr>
          <w:sz w:val="20"/>
          <w:szCs w:val="20"/>
          <w:rtl/>
        </w:rPr>
        <w:t>–</w:t>
      </w:r>
      <w:r>
        <w:rPr>
          <w:rFonts w:hint="cs"/>
          <w:sz w:val="20"/>
          <w:szCs w:val="20"/>
          <w:rtl/>
        </w:rPr>
        <w:t xml:space="preserve"> מעוברת ומניקה שחזרו להרגלן, אינן חוששות לווסת שאינו קבוע שהיה להן לפני כן.</w:t>
      </w:r>
    </w:p>
    <w:p w:rsidR="00620060" w:rsidRDefault="00620060" w:rsidP="00620060">
      <w:pPr>
        <w:rPr>
          <w:sz w:val="20"/>
          <w:szCs w:val="20"/>
          <w:rtl/>
        </w:rPr>
      </w:pPr>
      <w:r>
        <w:rPr>
          <w:rFonts w:hint="cs"/>
          <w:sz w:val="20"/>
          <w:szCs w:val="20"/>
          <w:u w:val="single"/>
          <w:rtl/>
        </w:rPr>
        <w:lastRenderedPageBreak/>
        <w:t>אשה שרואה בימי העיבור וההנקה כהרגלה (בית יוסף)</w:t>
      </w:r>
      <w:r>
        <w:rPr>
          <w:rFonts w:hint="cs"/>
          <w:sz w:val="20"/>
          <w:szCs w:val="20"/>
          <w:u w:val="single"/>
          <w:rtl/>
        </w:rPr>
        <w:br/>
      </w:r>
      <w:r w:rsidRPr="00873A9B">
        <w:rPr>
          <w:rFonts w:hint="cs"/>
          <w:b/>
          <w:bCs/>
          <w:sz w:val="20"/>
          <w:szCs w:val="20"/>
          <w:rtl/>
        </w:rPr>
        <w:t>ראב"ד</w:t>
      </w:r>
      <w:r>
        <w:rPr>
          <w:rFonts w:hint="cs"/>
          <w:sz w:val="20"/>
          <w:szCs w:val="20"/>
          <w:rtl/>
        </w:rPr>
        <w:t xml:space="preserve"> </w:t>
      </w:r>
      <w:r>
        <w:rPr>
          <w:sz w:val="20"/>
          <w:szCs w:val="20"/>
          <w:rtl/>
        </w:rPr>
        <w:t>–</w:t>
      </w:r>
      <w:r>
        <w:rPr>
          <w:rFonts w:hint="cs"/>
          <w:sz w:val="20"/>
          <w:szCs w:val="20"/>
          <w:rtl/>
        </w:rPr>
        <w:t xml:space="preserve"> אשה שרגילה לראות בימי העיבור והנקה כהרגלה הקודם ולא הפסיקה כלל, חוששת ליום ווסתה ואסורה לשמש.</w:t>
      </w:r>
      <w:r>
        <w:rPr>
          <w:sz w:val="20"/>
          <w:szCs w:val="20"/>
          <w:rtl/>
        </w:rPr>
        <w:br/>
      </w:r>
      <w:r>
        <w:rPr>
          <w:rFonts w:hint="cs"/>
          <w:sz w:val="20"/>
          <w:szCs w:val="20"/>
          <w:rtl/>
        </w:rPr>
        <w:t>ברם, אינה צריכה לבדוק עצמה, ואם לא ראתה טהורה אף ללא בדיקה. ואם  עברו עליה ג' עונות שבהן לא ראתה, אינה חוששת עוד לווסתה.</w:t>
      </w:r>
    </w:p>
    <w:p w:rsidR="00620060" w:rsidRPr="00567D24" w:rsidRDefault="00620060" w:rsidP="00620060">
      <w:pPr>
        <w:rPr>
          <w:sz w:val="20"/>
          <w:szCs w:val="20"/>
        </w:rPr>
      </w:pPr>
      <w:r w:rsidRPr="00762207">
        <w:rPr>
          <w:rFonts w:hint="cs"/>
          <w:b/>
          <w:bCs/>
          <w:sz w:val="20"/>
          <w:szCs w:val="20"/>
          <w:rtl/>
        </w:rPr>
        <w:t>סיכום</w:t>
      </w:r>
      <w:r>
        <w:rPr>
          <w:sz w:val="20"/>
          <w:szCs w:val="20"/>
          <w:rtl/>
        </w:rPr>
        <w:br/>
      </w:r>
      <w:r>
        <w:rPr>
          <w:rFonts w:hint="cs"/>
          <w:sz w:val="20"/>
          <w:szCs w:val="20"/>
          <w:rtl/>
        </w:rPr>
        <w:t xml:space="preserve">1. האם מעוברת ומניקה חוששות לווסתן? </w:t>
      </w:r>
      <w:r w:rsidRPr="00567D24">
        <w:rPr>
          <w:rFonts w:hint="cs"/>
          <w:b/>
          <w:bCs/>
          <w:sz w:val="20"/>
          <w:szCs w:val="20"/>
          <w:rtl/>
        </w:rPr>
        <w:t>רשב"א</w:t>
      </w:r>
      <w:r>
        <w:rPr>
          <w:rFonts w:hint="cs"/>
          <w:sz w:val="20"/>
          <w:szCs w:val="20"/>
          <w:rtl/>
        </w:rPr>
        <w:t xml:space="preserve">. לא, וכ"פ </w:t>
      </w:r>
      <w:r w:rsidRPr="00567D24">
        <w:rPr>
          <w:rFonts w:hint="cs"/>
          <w:b/>
          <w:bCs/>
          <w:sz w:val="20"/>
          <w:szCs w:val="20"/>
          <w:rtl/>
        </w:rPr>
        <w:t>המחבר</w:t>
      </w:r>
      <w:r>
        <w:rPr>
          <w:rFonts w:hint="cs"/>
          <w:sz w:val="20"/>
          <w:szCs w:val="20"/>
          <w:rtl/>
        </w:rPr>
        <w:t xml:space="preserve">. </w:t>
      </w:r>
      <w:r w:rsidRPr="00567D24">
        <w:rPr>
          <w:rFonts w:hint="cs"/>
          <w:b/>
          <w:bCs/>
          <w:sz w:val="20"/>
          <w:szCs w:val="20"/>
          <w:rtl/>
        </w:rPr>
        <w:t>רז"ה</w:t>
      </w:r>
      <w:r>
        <w:rPr>
          <w:rFonts w:hint="cs"/>
          <w:sz w:val="20"/>
          <w:szCs w:val="20"/>
          <w:rtl/>
        </w:rPr>
        <w:t>. כן, אא"כ היו ג' עונות ללא ראיה.</w:t>
      </w:r>
      <w:r>
        <w:rPr>
          <w:rFonts w:hint="cs"/>
          <w:sz w:val="20"/>
          <w:szCs w:val="20"/>
          <w:rtl/>
        </w:rPr>
        <w:br/>
        <w:t xml:space="preserve">2. </w:t>
      </w:r>
      <w:r w:rsidRPr="00567D24">
        <w:rPr>
          <w:rFonts w:hint="cs"/>
          <w:b/>
          <w:bCs/>
          <w:sz w:val="20"/>
          <w:szCs w:val="20"/>
          <w:rtl/>
        </w:rPr>
        <w:t>מחבר</w:t>
      </w:r>
      <w:r>
        <w:rPr>
          <w:rFonts w:hint="cs"/>
          <w:sz w:val="20"/>
          <w:szCs w:val="20"/>
          <w:rtl/>
        </w:rPr>
        <w:t>. מעוברת משהוכר עוברה ומניקה כל כד' חודש, אינן חוששות לווסתן אפילו שופעות דם.</w:t>
      </w:r>
      <w:r>
        <w:rPr>
          <w:sz w:val="20"/>
          <w:szCs w:val="20"/>
          <w:rtl/>
        </w:rPr>
        <w:br/>
      </w:r>
      <w:r>
        <w:rPr>
          <w:rFonts w:hint="cs"/>
          <w:sz w:val="20"/>
          <w:szCs w:val="20"/>
          <w:rtl/>
        </w:rPr>
        <w:t xml:space="preserve">3. מתי חוזרות לווסתן לאחר מכן? </w:t>
      </w:r>
      <w:r w:rsidRPr="00567D24">
        <w:rPr>
          <w:rFonts w:hint="cs"/>
          <w:b/>
          <w:bCs/>
          <w:sz w:val="20"/>
          <w:szCs w:val="20"/>
          <w:rtl/>
        </w:rPr>
        <w:t>רשב"א</w:t>
      </w:r>
      <w:r>
        <w:rPr>
          <w:rFonts w:hint="cs"/>
          <w:sz w:val="20"/>
          <w:szCs w:val="20"/>
          <w:rtl/>
        </w:rPr>
        <w:t xml:space="preserve">. מייד, וכ"פ </w:t>
      </w:r>
      <w:r w:rsidRPr="00567D24">
        <w:rPr>
          <w:rFonts w:hint="cs"/>
          <w:b/>
          <w:bCs/>
          <w:sz w:val="20"/>
          <w:szCs w:val="20"/>
          <w:rtl/>
        </w:rPr>
        <w:t xml:space="preserve">המחבר </w:t>
      </w:r>
      <w:r w:rsidRPr="00567D24">
        <w:rPr>
          <w:rFonts w:hint="cs"/>
          <w:sz w:val="18"/>
          <w:szCs w:val="18"/>
          <w:rtl/>
        </w:rPr>
        <w:t>(למעט ווסת ההפלגה שחוששות רק לאחר ראייה אחת)</w:t>
      </w:r>
      <w:r>
        <w:rPr>
          <w:rFonts w:hint="cs"/>
          <w:sz w:val="20"/>
          <w:szCs w:val="20"/>
          <w:rtl/>
        </w:rPr>
        <w:t xml:space="preserve">. </w:t>
      </w:r>
      <w:r w:rsidRPr="00567D24">
        <w:rPr>
          <w:rFonts w:hint="cs"/>
          <w:b/>
          <w:bCs/>
          <w:sz w:val="20"/>
          <w:szCs w:val="20"/>
          <w:rtl/>
        </w:rPr>
        <w:t>רמב"ן</w:t>
      </w:r>
      <w:r>
        <w:rPr>
          <w:rFonts w:hint="cs"/>
          <w:sz w:val="20"/>
          <w:szCs w:val="20"/>
          <w:rtl/>
        </w:rPr>
        <w:t xml:space="preserve">. לאחר ראייה הראשונה, וכ"פ </w:t>
      </w:r>
      <w:r w:rsidRPr="0090244D">
        <w:rPr>
          <w:rFonts w:hint="cs"/>
          <w:b/>
          <w:bCs/>
          <w:sz w:val="20"/>
          <w:szCs w:val="20"/>
          <w:rtl/>
        </w:rPr>
        <w:t>הש"ך</w:t>
      </w:r>
      <w:r>
        <w:rPr>
          <w:rFonts w:hint="cs"/>
          <w:sz w:val="20"/>
          <w:szCs w:val="20"/>
          <w:rtl/>
        </w:rPr>
        <w:t>.</w:t>
      </w:r>
      <w:r>
        <w:rPr>
          <w:rFonts w:hint="cs"/>
          <w:b/>
          <w:bCs/>
          <w:sz w:val="20"/>
          <w:szCs w:val="20"/>
          <w:rtl/>
        </w:rPr>
        <w:t xml:space="preserve"> </w:t>
      </w:r>
      <w:r w:rsidRPr="00567D24">
        <w:rPr>
          <w:rFonts w:hint="cs"/>
          <w:b/>
          <w:bCs/>
          <w:sz w:val="20"/>
          <w:szCs w:val="20"/>
          <w:rtl/>
        </w:rPr>
        <w:t>גדולי המורים</w:t>
      </w:r>
      <w:r>
        <w:rPr>
          <w:rFonts w:hint="cs"/>
          <w:sz w:val="20"/>
          <w:szCs w:val="20"/>
          <w:rtl/>
        </w:rPr>
        <w:t xml:space="preserve">. רק לאחר שיראו פעם אחת כהרגלן הקודם. </w:t>
      </w:r>
      <w:r>
        <w:rPr>
          <w:rFonts w:hint="cs"/>
          <w:sz w:val="20"/>
          <w:szCs w:val="20"/>
          <w:rtl/>
        </w:rPr>
        <w:br/>
        <w:t xml:space="preserve">4. </w:t>
      </w:r>
      <w:r w:rsidRPr="00567D24">
        <w:rPr>
          <w:rFonts w:hint="cs"/>
          <w:b/>
          <w:bCs/>
          <w:sz w:val="20"/>
          <w:szCs w:val="20"/>
          <w:rtl/>
        </w:rPr>
        <w:t>מחבר</w:t>
      </w:r>
      <w:r>
        <w:rPr>
          <w:rFonts w:hint="cs"/>
          <w:sz w:val="20"/>
          <w:szCs w:val="20"/>
          <w:rtl/>
        </w:rPr>
        <w:t>. לאחר ימי העיבור וההנקה חוששות לווסת החודש, ווסת הגוף ווסת המורכב מייד. וחוששות להפלגה לאחר ראייה הראשונה.</w:t>
      </w:r>
      <w:r>
        <w:rPr>
          <w:rFonts w:hint="cs"/>
          <w:sz w:val="20"/>
          <w:szCs w:val="20"/>
          <w:rtl/>
        </w:rPr>
        <w:br/>
        <w:t xml:space="preserve">5. </w:t>
      </w:r>
      <w:r w:rsidRPr="00567D24">
        <w:rPr>
          <w:rFonts w:hint="cs"/>
          <w:b/>
          <w:bCs/>
          <w:sz w:val="20"/>
          <w:szCs w:val="20"/>
          <w:rtl/>
        </w:rPr>
        <w:t>ראב"ד</w:t>
      </w:r>
      <w:r>
        <w:rPr>
          <w:rFonts w:hint="cs"/>
          <w:sz w:val="20"/>
          <w:szCs w:val="20"/>
          <w:rtl/>
        </w:rPr>
        <w:t xml:space="preserve">. מעוברת שרואה כהרגלה, חוששת לווסתה אך אינה צריכה בדיקה. פסקה ג"פ </w:t>
      </w:r>
      <w:r>
        <w:rPr>
          <w:sz w:val="20"/>
          <w:szCs w:val="20"/>
          <w:rtl/>
        </w:rPr>
        <w:t>–</w:t>
      </w:r>
      <w:r>
        <w:rPr>
          <w:rFonts w:hint="cs"/>
          <w:sz w:val="20"/>
          <w:szCs w:val="20"/>
          <w:rtl/>
        </w:rPr>
        <w:t xml:space="preserve"> מסולקת דמים.</w:t>
      </w: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rsidP="00620060">
      <w:pPr>
        <w:rPr>
          <w:b/>
          <w:bCs/>
          <w:sz w:val="20"/>
          <w:szCs w:val="20"/>
          <w:rtl/>
        </w:rPr>
      </w:pPr>
      <w:r>
        <w:rPr>
          <w:rFonts w:hint="cs"/>
          <w:b/>
          <w:bCs/>
          <w:sz w:val="20"/>
          <w:szCs w:val="20"/>
          <w:rtl/>
        </w:rPr>
        <w:lastRenderedPageBreak/>
        <w:t>בעזרת ה' יתברך</w:t>
      </w:r>
    </w:p>
    <w:p w:rsidR="00620060" w:rsidRDefault="00620060" w:rsidP="00620060">
      <w:pPr>
        <w:rPr>
          <w:sz w:val="20"/>
          <w:szCs w:val="20"/>
          <w:rtl/>
        </w:rPr>
      </w:pPr>
      <w:r>
        <w:rPr>
          <w:rFonts w:hint="cs"/>
          <w:b/>
          <w:bCs/>
          <w:sz w:val="20"/>
          <w:szCs w:val="20"/>
          <w:rtl/>
        </w:rPr>
        <w:t xml:space="preserve">סימן קצ </w:t>
      </w:r>
      <w:r>
        <w:rPr>
          <w:b/>
          <w:bCs/>
          <w:sz w:val="20"/>
          <w:szCs w:val="20"/>
          <w:rtl/>
        </w:rPr>
        <w:t>–</w:t>
      </w:r>
      <w:r>
        <w:rPr>
          <w:rFonts w:hint="cs"/>
          <w:b/>
          <w:bCs/>
          <w:sz w:val="20"/>
          <w:szCs w:val="20"/>
          <w:rtl/>
        </w:rPr>
        <w:t xml:space="preserve"> דיני כתמים</w:t>
      </w:r>
      <w:r>
        <w:rPr>
          <w:b/>
          <w:bCs/>
          <w:sz w:val="20"/>
          <w:szCs w:val="20"/>
          <w:rtl/>
        </w:rPr>
        <w:br/>
      </w:r>
      <w:r>
        <w:rPr>
          <w:rFonts w:hint="cs"/>
          <w:b/>
          <w:bCs/>
          <w:sz w:val="20"/>
          <w:szCs w:val="20"/>
          <w:rtl/>
        </w:rPr>
        <w:br/>
        <w:t xml:space="preserve">סעיף א </w:t>
      </w:r>
      <w:r>
        <w:rPr>
          <w:b/>
          <w:bCs/>
          <w:sz w:val="20"/>
          <w:szCs w:val="20"/>
          <w:rtl/>
        </w:rPr>
        <w:t>–</w:t>
      </w:r>
      <w:r>
        <w:rPr>
          <w:rFonts w:hint="cs"/>
          <w:b/>
          <w:bCs/>
          <w:sz w:val="20"/>
          <w:szCs w:val="20"/>
          <w:rtl/>
        </w:rPr>
        <w:t xml:space="preserve"> גזרת כתם ודין הרגשת פתיחת המקור</w:t>
      </w:r>
      <w:r>
        <w:rPr>
          <w:b/>
          <w:bCs/>
          <w:sz w:val="20"/>
          <w:szCs w:val="20"/>
          <w:rtl/>
        </w:rPr>
        <w:br/>
      </w:r>
      <w:r>
        <w:rPr>
          <w:rFonts w:hint="cs"/>
          <w:b/>
          <w:bCs/>
          <w:sz w:val="20"/>
          <w:szCs w:val="20"/>
          <w:rtl/>
        </w:rPr>
        <w:t>מקורות הדין</w:t>
      </w:r>
      <w:r>
        <w:rPr>
          <w:b/>
          <w:bCs/>
          <w:sz w:val="20"/>
          <w:szCs w:val="20"/>
          <w:rtl/>
        </w:rPr>
        <w:br/>
      </w:r>
      <w:r>
        <w:rPr>
          <w:rFonts w:hint="cs"/>
          <w:sz w:val="20"/>
          <w:szCs w:val="20"/>
          <w:rtl/>
        </w:rPr>
        <w:t xml:space="preserve">א. </w:t>
      </w:r>
      <w:r>
        <w:rPr>
          <w:rFonts w:hint="cs"/>
          <w:b/>
          <w:bCs/>
          <w:sz w:val="20"/>
          <w:szCs w:val="20"/>
          <w:rtl/>
        </w:rPr>
        <w:t xml:space="preserve">גמרא </w:t>
      </w:r>
      <w:r>
        <w:rPr>
          <w:rFonts w:hint="cs"/>
          <w:sz w:val="20"/>
          <w:szCs w:val="20"/>
          <w:rtl/>
        </w:rPr>
        <w:t>נידה (נז: - נח.) "</w:t>
      </w:r>
      <w:r w:rsidRPr="00AD7CD8">
        <w:rPr>
          <w:rFonts w:cs="Arial"/>
          <w:sz w:val="20"/>
          <w:szCs w:val="20"/>
          <w:rtl/>
        </w:rPr>
        <w:t>אמר שמואל: בדקה קרקע עולם וישבה עליה, ומצאה דם עליה - טהורה, שנאמר בבשרה - עד שתרגיש בבשרה</w:t>
      </w:r>
      <w:r>
        <w:rPr>
          <w:rFonts w:cs="Arial" w:hint="cs"/>
          <w:sz w:val="20"/>
          <w:szCs w:val="20"/>
          <w:rtl/>
        </w:rPr>
        <w:t xml:space="preserve">... </w:t>
      </w:r>
      <w:r w:rsidRPr="00AD7CD8">
        <w:rPr>
          <w:rFonts w:cs="Arial"/>
          <w:sz w:val="20"/>
          <w:szCs w:val="20"/>
          <w:rtl/>
        </w:rPr>
        <w:t>אמר רב ירמיה מדפתי: מודה שמואל שהיא טמאה</w:t>
      </w:r>
      <w:r>
        <w:rPr>
          <w:rFonts w:cs="Arial" w:hint="cs"/>
          <w:sz w:val="20"/>
          <w:szCs w:val="20"/>
          <w:rtl/>
        </w:rPr>
        <w:t xml:space="preserve"> מדרבנן".</w:t>
      </w:r>
      <w:r>
        <w:rPr>
          <w:rFonts w:hint="cs"/>
          <w:sz w:val="20"/>
          <w:szCs w:val="20"/>
          <w:rtl/>
        </w:rPr>
        <w:br/>
        <w:t xml:space="preserve">ב. </w:t>
      </w:r>
      <w:r>
        <w:rPr>
          <w:rFonts w:hint="cs"/>
          <w:b/>
          <w:bCs/>
          <w:sz w:val="20"/>
          <w:szCs w:val="20"/>
          <w:rtl/>
        </w:rPr>
        <w:t xml:space="preserve">משנה </w:t>
      </w:r>
      <w:r>
        <w:rPr>
          <w:rFonts w:hint="cs"/>
          <w:sz w:val="20"/>
          <w:szCs w:val="20"/>
          <w:rtl/>
        </w:rPr>
        <w:t>(שם, נח:) "</w:t>
      </w:r>
      <w:r w:rsidRPr="00AD7CD8">
        <w:rPr>
          <w:rFonts w:cs="Arial"/>
          <w:sz w:val="20"/>
          <w:szCs w:val="20"/>
          <w:rtl/>
        </w:rPr>
        <w:t>מעשה באשה אחת שבאת לפני ר</w:t>
      </w:r>
      <w:r>
        <w:rPr>
          <w:rFonts w:cs="Arial" w:hint="cs"/>
          <w:sz w:val="20"/>
          <w:szCs w:val="20"/>
          <w:rtl/>
        </w:rPr>
        <w:t xml:space="preserve">בי </w:t>
      </w:r>
      <w:r w:rsidRPr="00AD7CD8">
        <w:rPr>
          <w:rFonts w:cs="Arial"/>
          <w:sz w:val="20"/>
          <w:szCs w:val="20"/>
          <w:rtl/>
        </w:rPr>
        <w:t>ע</w:t>
      </w:r>
      <w:r>
        <w:rPr>
          <w:rFonts w:cs="Arial" w:hint="cs"/>
          <w:sz w:val="20"/>
          <w:szCs w:val="20"/>
          <w:rtl/>
        </w:rPr>
        <w:t>קיבא</w:t>
      </w:r>
      <w:r w:rsidRPr="00AD7CD8">
        <w:rPr>
          <w:rFonts w:cs="Arial"/>
          <w:sz w:val="20"/>
          <w:szCs w:val="20"/>
          <w:rtl/>
        </w:rPr>
        <w:t>, אמרה לו: ראיתי כתם. אמר לה: שמא מכה היתה ביך? אמרה לו: הן, וחיתה. אמר לה: שמא יכולה להגלע ולהוציא דם? אמרה לו: הן. וטהרה ר</w:t>
      </w:r>
      <w:r>
        <w:rPr>
          <w:rFonts w:cs="Arial" w:hint="cs"/>
          <w:sz w:val="20"/>
          <w:szCs w:val="20"/>
          <w:rtl/>
        </w:rPr>
        <w:t xml:space="preserve">בי </w:t>
      </w:r>
      <w:r w:rsidRPr="00AD7CD8">
        <w:rPr>
          <w:rFonts w:cs="Arial"/>
          <w:sz w:val="20"/>
          <w:szCs w:val="20"/>
          <w:rtl/>
        </w:rPr>
        <w:t>ע</w:t>
      </w:r>
      <w:r>
        <w:rPr>
          <w:rFonts w:cs="Arial" w:hint="cs"/>
          <w:sz w:val="20"/>
          <w:szCs w:val="20"/>
          <w:rtl/>
        </w:rPr>
        <w:t>קיבא</w:t>
      </w:r>
      <w:r w:rsidRPr="00AD7CD8">
        <w:rPr>
          <w:rFonts w:cs="Arial"/>
          <w:sz w:val="20"/>
          <w:szCs w:val="20"/>
          <w:rtl/>
        </w:rPr>
        <w:t>. ראה תלמידיו מסתכלין זה בזה, אמר להם: מה הדבר קשה בעיניכם? שלא אמרו חכמים הדבר להחמיר - אלא להקל, שנאמר ואשה כי תהיה זבה דם יהיה זובה בבשרה, דם ולא כתם</w:t>
      </w:r>
      <w:r>
        <w:rPr>
          <w:rFonts w:cs="Arial" w:hint="cs"/>
          <w:sz w:val="20"/>
          <w:szCs w:val="20"/>
          <w:rtl/>
        </w:rPr>
        <w:t>...</w:t>
      </w:r>
      <w:r>
        <w:rPr>
          <w:rFonts w:cs="Arial"/>
          <w:sz w:val="20"/>
          <w:szCs w:val="20"/>
          <w:rtl/>
        </w:rPr>
        <w:br/>
      </w:r>
      <w:r w:rsidRPr="00AD7CD8">
        <w:rPr>
          <w:rFonts w:cs="Arial" w:hint="cs"/>
          <w:b/>
          <w:bCs/>
          <w:sz w:val="20"/>
          <w:szCs w:val="20"/>
          <w:rtl/>
        </w:rPr>
        <w:t>גמרא</w:t>
      </w:r>
      <w:r>
        <w:rPr>
          <w:rFonts w:cs="Arial" w:hint="cs"/>
          <w:sz w:val="20"/>
          <w:szCs w:val="20"/>
          <w:rtl/>
        </w:rPr>
        <w:t xml:space="preserve"> (נט.) ו</w:t>
      </w:r>
      <w:r w:rsidRPr="00AD7CD8">
        <w:rPr>
          <w:rFonts w:cs="Arial"/>
          <w:sz w:val="20"/>
          <w:szCs w:val="20"/>
          <w:rtl/>
        </w:rPr>
        <w:t xml:space="preserve">התניא: לא אמרו חכמים את הדבר להקל, אלא להחמיר! אמר רבינא: לא להקל על דברי תורה - אלא להחמיר </w:t>
      </w:r>
      <w:r>
        <w:rPr>
          <w:rFonts w:cs="Arial"/>
          <w:sz w:val="20"/>
          <w:szCs w:val="20"/>
          <w:rtl/>
        </w:rPr>
        <w:t>על דברי תורה, וכתמים עצמן דרבנן</w:t>
      </w:r>
      <w:r>
        <w:rPr>
          <w:rFonts w:cs="Arial" w:hint="cs"/>
          <w:sz w:val="20"/>
          <w:szCs w:val="20"/>
          <w:rtl/>
        </w:rPr>
        <w:t>".</w:t>
      </w:r>
    </w:p>
    <w:p w:rsidR="00620060" w:rsidRDefault="00620060" w:rsidP="00620060">
      <w:pPr>
        <w:rPr>
          <w:sz w:val="20"/>
          <w:szCs w:val="20"/>
          <w:rtl/>
        </w:rPr>
      </w:pPr>
      <w:r w:rsidRPr="00CD0CCA">
        <w:rPr>
          <w:rFonts w:hint="cs"/>
          <w:b/>
          <w:bCs/>
          <w:sz w:val="20"/>
          <w:szCs w:val="20"/>
          <w:rtl/>
        </w:rPr>
        <w:t>טעמי הגזירה</w:t>
      </w:r>
      <w:r>
        <w:rPr>
          <w:b/>
          <w:bCs/>
          <w:sz w:val="20"/>
          <w:szCs w:val="20"/>
          <w:rtl/>
        </w:rPr>
        <w:br/>
      </w:r>
      <w:r>
        <w:rPr>
          <w:rFonts w:hint="cs"/>
          <w:sz w:val="20"/>
          <w:szCs w:val="20"/>
          <w:rtl/>
        </w:rPr>
        <w:t xml:space="preserve">א. </w:t>
      </w:r>
      <w:r w:rsidRPr="00CD0CCA">
        <w:rPr>
          <w:rFonts w:hint="cs"/>
          <w:b/>
          <w:bCs/>
          <w:sz w:val="20"/>
          <w:szCs w:val="20"/>
          <w:rtl/>
        </w:rPr>
        <w:t>רש"י</w:t>
      </w:r>
      <w:r>
        <w:rPr>
          <w:rFonts w:hint="cs"/>
          <w:sz w:val="20"/>
          <w:szCs w:val="20"/>
          <w:rtl/>
        </w:rPr>
        <w:t xml:space="preserve"> (נח.) </w:t>
      </w:r>
      <w:r>
        <w:rPr>
          <w:sz w:val="20"/>
          <w:szCs w:val="20"/>
          <w:rtl/>
        </w:rPr>
        <w:t>–</w:t>
      </w:r>
      <w:r>
        <w:rPr>
          <w:rFonts w:hint="cs"/>
          <w:sz w:val="20"/>
          <w:szCs w:val="20"/>
          <w:rtl/>
        </w:rPr>
        <w:t xml:space="preserve"> דלמא ארגשה ולאו אדעתה.</w:t>
      </w:r>
      <w:r>
        <w:rPr>
          <w:sz w:val="20"/>
          <w:szCs w:val="20"/>
          <w:rtl/>
        </w:rPr>
        <w:br/>
      </w:r>
      <w:r>
        <w:rPr>
          <w:rFonts w:hint="cs"/>
          <w:sz w:val="20"/>
          <w:szCs w:val="20"/>
          <w:rtl/>
        </w:rPr>
        <w:t xml:space="preserve">ב. </w:t>
      </w:r>
      <w:r w:rsidRPr="00CD0CCA">
        <w:rPr>
          <w:rFonts w:hint="cs"/>
          <w:b/>
          <w:bCs/>
          <w:sz w:val="20"/>
          <w:szCs w:val="20"/>
          <w:rtl/>
        </w:rPr>
        <w:t>רש"י</w:t>
      </w:r>
      <w:r>
        <w:rPr>
          <w:rFonts w:hint="cs"/>
          <w:sz w:val="20"/>
          <w:szCs w:val="20"/>
          <w:rtl/>
        </w:rPr>
        <w:t xml:space="preserve"> (נט.) </w:t>
      </w:r>
      <w:r>
        <w:rPr>
          <w:sz w:val="20"/>
          <w:szCs w:val="20"/>
          <w:rtl/>
        </w:rPr>
        <w:t>–</w:t>
      </w:r>
      <w:r>
        <w:rPr>
          <w:rFonts w:hint="cs"/>
          <w:sz w:val="20"/>
          <w:szCs w:val="20"/>
          <w:rtl/>
        </w:rPr>
        <w:t xml:space="preserve"> כדי שלא יבואו להקל בנידה גמורה.</w:t>
      </w:r>
      <w:r>
        <w:rPr>
          <w:sz w:val="20"/>
          <w:szCs w:val="20"/>
          <w:rtl/>
        </w:rPr>
        <w:br/>
      </w:r>
      <w:r>
        <w:rPr>
          <w:rFonts w:hint="cs"/>
          <w:sz w:val="20"/>
          <w:szCs w:val="20"/>
          <w:rtl/>
        </w:rPr>
        <w:t xml:space="preserve">ג. </w:t>
      </w:r>
      <w:r w:rsidRPr="00577CFF">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זו טומאת ספק, שמא הדם בא מהחדר.</w:t>
      </w:r>
      <w:r>
        <w:rPr>
          <w:rFonts w:hint="cs"/>
          <w:sz w:val="20"/>
          <w:szCs w:val="20"/>
          <w:rtl/>
        </w:rPr>
        <w:br/>
        <w:t xml:space="preserve">ד. </w:t>
      </w:r>
      <w:r w:rsidRPr="008A5136">
        <w:rPr>
          <w:rFonts w:hint="cs"/>
          <w:b/>
          <w:bCs/>
          <w:sz w:val="20"/>
          <w:szCs w:val="20"/>
          <w:rtl/>
        </w:rPr>
        <w:t>ר"ן</w:t>
      </w:r>
      <w:r>
        <w:rPr>
          <w:rFonts w:hint="cs"/>
          <w:sz w:val="20"/>
          <w:szCs w:val="20"/>
          <w:rtl/>
        </w:rPr>
        <w:t xml:space="preserve"> </w:t>
      </w:r>
      <w:r>
        <w:rPr>
          <w:sz w:val="20"/>
          <w:szCs w:val="20"/>
          <w:rtl/>
        </w:rPr>
        <w:t>–</w:t>
      </w:r>
      <w:r>
        <w:rPr>
          <w:rFonts w:hint="cs"/>
          <w:sz w:val="20"/>
          <w:szCs w:val="20"/>
          <w:rtl/>
        </w:rPr>
        <w:t xml:space="preserve"> כיוון שהבגד עליו נמצא הדם טמא, חששו חכמים שאם יטהרו את האשה יבואו לטהר גם את הבגד.</w:t>
      </w:r>
    </w:p>
    <w:p w:rsidR="00620060" w:rsidRDefault="00620060" w:rsidP="00620060">
      <w:pPr>
        <w:rPr>
          <w:sz w:val="20"/>
          <w:szCs w:val="20"/>
          <w:rtl/>
        </w:rPr>
      </w:pPr>
      <w:r w:rsidRPr="00A04B11">
        <w:rPr>
          <w:rFonts w:hint="cs"/>
          <w:sz w:val="20"/>
          <w:szCs w:val="20"/>
          <w:u w:val="single"/>
          <w:rtl/>
        </w:rPr>
        <w:t>מדוע כתם אינו טהור מחמת ספק ספקא?</w:t>
      </w:r>
      <w:r>
        <w:rPr>
          <w:rFonts w:hint="cs"/>
          <w:sz w:val="20"/>
          <w:szCs w:val="20"/>
          <w:u w:val="single"/>
          <w:rtl/>
        </w:rPr>
        <w:br/>
      </w:r>
      <w:r>
        <w:rPr>
          <w:rFonts w:hint="cs"/>
          <w:sz w:val="20"/>
          <w:szCs w:val="20"/>
          <w:rtl/>
        </w:rPr>
        <w:t>לכאורה יש לטהר כל כתם מחמת ספק ספקא, ספק הדם אינו ממנה ואת"ל ממנה שמא אינו דם נידה?</w:t>
      </w:r>
      <w:r>
        <w:rPr>
          <w:rStyle w:val="a5"/>
          <w:sz w:val="20"/>
          <w:szCs w:val="20"/>
          <w:rtl/>
        </w:rPr>
        <w:footnoteReference w:id="244"/>
      </w:r>
      <w:r>
        <w:rPr>
          <w:sz w:val="20"/>
          <w:szCs w:val="20"/>
          <w:u w:val="single"/>
          <w:rtl/>
        </w:rPr>
        <w:br/>
      </w:r>
      <w:r>
        <w:rPr>
          <w:rFonts w:hint="cs"/>
          <w:sz w:val="20"/>
          <w:szCs w:val="20"/>
          <w:rtl/>
        </w:rPr>
        <w:t xml:space="preserve">א. </w:t>
      </w:r>
      <w:r w:rsidRPr="000C59BD">
        <w:rPr>
          <w:rFonts w:hint="cs"/>
          <w:b/>
          <w:bCs/>
          <w:sz w:val="20"/>
          <w:szCs w:val="20"/>
          <w:rtl/>
        </w:rPr>
        <w:t>כסף משנה</w:t>
      </w:r>
      <w:r>
        <w:rPr>
          <w:rFonts w:hint="cs"/>
          <w:sz w:val="20"/>
          <w:szCs w:val="20"/>
          <w:rtl/>
        </w:rPr>
        <w:t xml:space="preserve"> </w:t>
      </w:r>
      <w:r>
        <w:rPr>
          <w:sz w:val="20"/>
          <w:szCs w:val="20"/>
          <w:rtl/>
        </w:rPr>
        <w:t>–</w:t>
      </w:r>
      <w:r>
        <w:rPr>
          <w:rFonts w:hint="cs"/>
          <w:sz w:val="20"/>
          <w:szCs w:val="20"/>
          <w:rtl/>
        </w:rPr>
        <w:t xml:space="preserve"> מכיוון שזה איסור חמור החמירו בו.</w:t>
      </w:r>
      <w:r>
        <w:rPr>
          <w:sz w:val="20"/>
          <w:szCs w:val="20"/>
          <w:rtl/>
        </w:rPr>
        <w:br/>
      </w:r>
      <w:r>
        <w:rPr>
          <w:rFonts w:hint="cs"/>
          <w:sz w:val="20"/>
          <w:szCs w:val="20"/>
          <w:rtl/>
        </w:rPr>
        <w:t xml:space="preserve">ב. </w:t>
      </w:r>
      <w:r w:rsidRPr="000C59BD">
        <w:rPr>
          <w:rFonts w:hint="cs"/>
          <w:b/>
          <w:bCs/>
          <w:sz w:val="20"/>
          <w:szCs w:val="20"/>
          <w:rtl/>
        </w:rPr>
        <w:t>כסף משנה</w:t>
      </w:r>
      <w:r>
        <w:rPr>
          <w:rFonts w:hint="cs"/>
          <w:sz w:val="20"/>
          <w:szCs w:val="20"/>
          <w:rtl/>
        </w:rPr>
        <w:t xml:space="preserve"> </w:t>
      </w:r>
      <w:r>
        <w:rPr>
          <w:sz w:val="20"/>
          <w:szCs w:val="20"/>
          <w:rtl/>
        </w:rPr>
        <w:t>–</w:t>
      </w:r>
      <w:r>
        <w:rPr>
          <w:rFonts w:hint="cs"/>
          <w:sz w:val="20"/>
          <w:szCs w:val="20"/>
          <w:rtl/>
        </w:rPr>
        <w:t xml:space="preserve"> כיוון שאין לה במה לתלות, החמירו חכמים כאילו הוא ודאי מגופה ולכן יש רק ספק אחד.</w:t>
      </w:r>
      <w:r>
        <w:rPr>
          <w:rFonts w:hint="cs"/>
          <w:sz w:val="20"/>
          <w:szCs w:val="20"/>
          <w:u w:val="single"/>
          <w:rtl/>
        </w:rPr>
        <w:br/>
      </w:r>
      <w:r>
        <w:rPr>
          <w:rFonts w:hint="cs"/>
          <w:sz w:val="20"/>
          <w:szCs w:val="20"/>
          <w:rtl/>
        </w:rPr>
        <w:t xml:space="preserve">ג. </w:t>
      </w:r>
      <w:r w:rsidRPr="000C59BD">
        <w:rPr>
          <w:rFonts w:hint="cs"/>
          <w:b/>
          <w:bCs/>
          <w:sz w:val="20"/>
          <w:szCs w:val="20"/>
          <w:rtl/>
        </w:rPr>
        <w:t>ט"ז</w:t>
      </w:r>
      <w:r>
        <w:rPr>
          <w:rFonts w:hint="cs"/>
          <w:sz w:val="20"/>
          <w:szCs w:val="20"/>
          <w:rtl/>
        </w:rPr>
        <w:t xml:space="preserve"> - רוב דמים שיוצאים מאשה שאין לה מכה מגיעים מהמקור, ולכן אין זה נחשב ספק כלל.</w:t>
      </w:r>
    </w:p>
    <w:p w:rsidR="00620060" w:rsidRDefault="00620060" w:rsidP="00620060">
      <w:pPr>
        <w:rPr>
          <w:sz w:val="20"/>
          <w:szCs w:val="20"/>
          <w:rtl/>
        </w:rPr>
      </w:pPr>
      <w:r>
        <w:rPr>
          <w:rFonts w:hint="cs"/>
          <w:b/>
          <w:bCs/>
          <w:sz w:val="20"/>
          <w:szCs w:val="20"/>
          <w:rtl/>
        </w:rPr>
        <w:t>דין כתם בזמן חז"ל</w:t>
      </w:r>
      <w:r>
        <w:rPr>
          <w:b/>
          <w:bCs/>
          <w:sz w:val="20"/>
          <w:szCs w:val="20"/>
          <w:rtl/>
        </w:rPr>
        <w:br/>
      </w:r>
      <w:r w:rsidRPr="00B1786E">
        <w:rPr>
          <w:rFonts w:hint="cs"/>
          <w:b/>
          <w:bCs/>
          <w:sz w:val="20"/>
          <w:szCs w:val="20"/>
          <w:rtl/>
        </w:rPr>
        <w:t>בית יוסף</w:t>
      </w:r>
      <w:r>
        <w:rPr>
          <w:rFonts w:hint="cs"/>
          <w:sz w:val="20"/>
          <w:szCs w:val="20"/>
          <w:rtl/>
        </w:rPr>
        <w:t xml:space="preserve"> </w:t>
      </w:r>
      <w:r>
        <w:rPr>
          <w:sz w:val="20"/>
          <w:szCs w:val="20"/>
          <w:rtl/>
        </w:rPr>
        <w:t>–</w:t>
      </w:r>
      <w:r>
        <w:rPr>
          <w:rFonts w:hint="cs"/>
          <w:sz w:val="20"/>
          <w:szCs w:val="20"/>
          <w:rtl/>
        </w:rPr>
        <w:t xml:space="preserve"> בזמן חז"ל דין כתם היה משתנה לפי הזמן שבו הוא נמצא. </w:t>
      </w:r>
      <w:r>
        <w:rPr>
          <w:sz w:val="20"/>
          <w:szCs w:val="20"/>
          <w:rtl/>
        </w:rPr>
        <w:br/>
      </w:r>
      <w:r>
        <w:rPr>
          <w:rFonts w:hint="cs"/>
          <w:sz w:val="20"/>
          <w:szCs w:val="20"/>
          <w:rtl/>
        </w:rPr>
        <w:t xml:space="preserve">כלומר </w:t>
      </w:r>
      <w:r>
        <w:rPr>
          <w:sz w:val="20"/>
          <w:szCs w:val="20"/>
          <w:rtl/>
        </w:rPr>
        <w:t>–</w:t>
      </w:r>
      <w:r>
        <w:rPr>
          <w:rFonts w:hint="cs"/>
          <w:sz w:val="20"/>
          <w:szCs w:val="20"/>
          <w:rtl/>
        </w:rPr>
        <w:t xml:space="preserve"> אם נמצא בימי נידה, סופרת שבעה ימים עם יום המציאה, טובלת וטהורה. </w:t>
      </w:r>
      <w:r>
        <w:rPr>
          <w:sz w:val="20"/>
          <w:szCs w:val="20"/>
          <w:rtl/>
        </w:rPr>
        <w:br/>
      </w:r>
      <w:r>
        <w:rPr>
          <w:rFonts w:hint="cs"/>
          <w:sz w:val="20"/>
          <w:szCs w:val="20"/>
          <w:rtl/>
        </w:rPr>
        <w:t>אך אם מצאתו בימי זיבה, אם אין בו כשיעור שלושה גריסים, וכן בדקה עצמה ביום הראשון כל בין השמשות</w:t>
      </w:r>
      <w:r>
        <w:rPr>
          <w:rStyle w:val="a5"/>
          <w:sz w:val="20"/>
          <w:szCs w:val="20"/>
          <w:rtl/>
        </w:rPr>
        <w:footnoteReference w:id="245"/>
      </w:r>
      <w:r>
        <w:rPr>
          <w:rFonts w:hint="cs"/>
          <w:sz w:val="20"/>
          <w:szCs w:val="20"/>
          <w:rtl/>
        </w:rPr>
        <w:t xml:space="preserve"> </w:t>
      </w:r>
      <w:r>
        <w:rPr>
          <w:sz w:val="20"/>
          <w:szCs w:val="20"/>
          <w:rtl/>
        </w:rPr>
        <w:t>–</w:t>
      </w:r>
      <w:r>
        <w:rPr>
          <w:rFonts w:hint="cs"/>
          <w:sz w:val="20"/>
          <w:szCs w:val="20"/>
          <w:rtl/>
        </w:rPr>
        <w:t xml:space="preserve"> אינה חוששת לזבה גדולה ושומרת יום כנגד יום בלבד. אך אם הכתם היה כשיעור שלושה גריסים, חוששת לזבה גדולה וצריכה למנות שבעה נקיים.</w:t>
      </w:r>
    </w:p>
    <w:p w:rsidR="00620060" w:rsidRDefault="00620060" w:rsidP="00620060">
      <w:pPr>
        <w:rPr>
          <w:sz w:val="20"/>
          <w:szCs w:val="20"/>
          <w:rtl/>
        </w:rPr>
      </w:pPr>
      <w:r w:rsidRPr="00B1786E">
        <w:rPr>
          <w:rFonts w:hint="cs"/>
          <w:b/>
          <w:bCs/>
          <w:sz w:val="20"/>
          <w:szCs w:val="20"/>
          <w:rtl/>
        </w:rPr>
        <w:t xml:space="preserve">דין כתם </w:t>
      </w:r>
      <w:r>
        <w:rPr>
          <w:rFonts w:hint="cs"/>
          <w:b/>
          <w:bCs/>
          <w:sz w:val="20"/>
          <w:szCs w:val="20"/>
          <w:rtl/>
        </w:rPr>
        <w:t>למעשה</w:t>
      </w:r>
      <w:r>
        <w:rPr>
          <w:b/>
          <w:bCs/>
          <w:sz w:val="20"/>
          <w:szCs w:val="20"/>
          <w:rtl/>
        </w:rPr>
        <w:br/>
      </w:r>
      <w:r>
        <w:rPr>
          <w:rFonts w:hint="cs"/>
          <w:b/>
          <w:bCs/>
          <w:sz w:val="20"/>
          <w:szCs w:val="20"/>
          <w:rtl/>
        </w:rPr>
        <w:t xml:space="preserve">גמרא </w:t>
      </w:r>
      <w:r>
        <w:rPr>
          <w:rFonts w:hint="cs"/>
          <w:sz w:val="20"/>
          <w:szCs w:val="20"/>
          <w:rtl/>
        </w:rPr>
        <w:t>(שם, נג:) "</w:t>
      </w:r>
      <w:r w:rsidRPr="00C94B78">
        <w:rPr>
          <w:rFonts w:cs="Arial"/>
          <w:sz w:val="20"/>
          <w:szCs w:val="20"/>
          <w:rtl/>
        </w:rPr>
        <w:t>בעי מיניה ר</w:t>
      </w:r>
      <w:r>
        <w:rPr>
          <w:rFonts w:cs="Arial" w:hint="cs"/>
          <w:sz w:val="20"/>
          <w:szCs w:val="20"/>
          <w:rtl/>
        </w:rPr>
        <w:t>בי</w:t>
      </w:r>
      <w:r w:rsidRPr="00C94B78">
        <w:rPr>
          <w:rFonts w:cs="Arial"/>
          <w:sz w:val="20"/>
          <w:szCs w:val="20"/>
          <w:rtl/>
        </w:rPr>
        <w:t xml:space="preserve"> זירא מר</w:t>
      </w:r>
      <w:r>
        <w:rPr>
          <w:rFonts w:cs="Arial" w:hint="cs"/>
          <w:sz w:val="20"/>
          <w:szCs w:val="20"/>
          <w:rtl/>
        </w:rPr>
        <w:t>בי</w:t>
      </w:r>
      <w:r w:rsidRPr="00C94B78">
        <w:rPr>
          <w:rFonts w:cs="Arial"/>
          <w:sz w:val="20"/>
          <w:szCs w:val="20"/>
          <w:rtl/>
        </w:rPr>
        <w:t xml:space="preserve"> אסי: כתמים צריכין הפסק טהרה או </w:t>
      </w:r>
      <w:r>
        <w:rPr>
          <w:rFonts w:cs="Arial"/>
          <w:sz w:val="20"/>
          <w:szCs w:val="20"/>
          <w:rtl/>
        </w:rPr>
        <w:t>לא?</w:t>
      </w:r>
      <w:r>
        <w:rPr>
          <w:rFonts w:cs="Arial" w:hint="cs"/>
          <w:sz w:val="20"/>
          <w:szCs w:val="20"/>
          <w:rtl/>
        </w:rPr>
        <w:t xml:space="preserve">... </w:t>
      </w:r>
      <w:r w:rsidRPr="00C94B78">
        <w:rPr>
          <w:rFonts w:cs="Arial"/>
          <w:sz w:val="20"/>
          <w:szCs w:val="20"/>
          <w:rtl/>
        </w:rPr>
        <w:t>א</w:t>
      </w:r>
      <w:r>
        <w:rPr>
          <w:rFonts w:cs="Arial" w:hint="cs"/>
          <w:sz w:val="20"/>
          <w:szCs w:val="20"/>
          <w:rtl/>
        </w:rPr>
        <w:t xml:space="preserve">מר </w:t>
      </w:r>
      <w:r w:rsidRPr="00C94B78">
        <w:rPr>
          <w:rFonts w:cs="Arial"/>
          <w:sz w:val="20"/>
          <w:szCs w:val="20"/>
          <w:rtl/>
        </w:rPr>
        <w:t>ל</w:t>
      </w:r>
      <w:r>
        <w:rPr>
          <w:rFonts w:cs="Arial" w:hint="cs"/>
          <w:sz w:val="20"/>
          <w:szCs w:val="20"/>
          <w:rtl/>
        </w:rPr>
        <w:t>יה</w:t>
      </w:r>
      <w:r>
        <w:rPr>
          <w:rFonts w:cs="Arial"/>
          <w:sz w:val="20"/>
          <w:szCs w:val="20"/>
          <w:rtl/>
        </w:rPr>
        <w:t>: אין</w:t>
      </w:r>
      <w:r>
        <w:rPr>
          <w:rFonts w:cs="Arial" w:hint="cs"/>
          <w:sz w:val="20"/>
          <w:szCs w:val="20"/>
          <w:rtl/>
        </w:rPr>
        <w:t>".</w:t>
      </w:r>
      <w:r>
        <w:rPr>
          <w:rFonts w:cs="Arial"/>
          <w:sz w:val="20"/>
          <w:szCs w:val="20"/>
          <w:rtl/>
        </w:rPr>
        <w:br/>
      </w:r>
      <w:r>
        <w:rPr>
          <w:rFonts w:cs="Arial"/>
          <w:sz w:val="20"/>
          <w:szCs w:val="20"/>
          <w:rtl/>
        </w:rPr>
        <w:br/>
      </w:r>
      <w:r w:rsidRPr="007B3832">
        <w:rPr>
          <w:rFonts w:hint="cs"/>
          <w:b/>
          <w:bCs/>
          <w:sz w:val="20"/>
          <w:szCs w:val="20"/>
          <w:rtl/>
        </w:rPr>
        <w:t xml:space="preserve">שיטות הראשונים </w:t>
      </w:r>
      <w:r>
        <w:rPr>
          <w:b/>
          <w:bCs/>
          <w:sz w:val="20"/>
          <w:szCs w:val="20"/>
          <w:rtl/>
        </w:rPr>
        <w:br/>
      </w:r>
      <w:r>
        <w:rPr>
          <w:rFonts w:hint="cs"/>
          <w:sz w:val="20"/>
          <w:szCs w:val="20"/>
          <w:rtl/>
        </w:rPr>
        <w:t xml:space="preserve">א. </w:t>
      </w:r>
      <w:r w:rsidRPr="00B1786E">
        <w:rPr>
          <w:rFonts w:hint="cs"/>
          <w:b/>
          <w:bCs/>
          <w:sz w:val="20"/>
          <w:szCs w:val="20"/>
          <w:rtl/>
        </w:rPr>
        <w:t>רמב"ן</w:t>
      </w:r>
      <w:r>
        <w:rPr>
          <w:rFonts w:hint="cs"/>
          <w:sz w:val="20"/>
          <w:szCs w:val="20"/>
          <w:rtl/>
        </w:rPr>
        <w:t xml:space="preserve">, </w:t>
      </w:r>
      <w:r w:rsidRPr="00B1786E">
        <w:rPr>
          <w:rFonts w:hint="cs"/>
          <w:b/>
          <w:bCs/>
          <w:sz w:val="20"/>
          <w:szCs w:val="20"/>
          <w:rtl/>
        </w:rPr>
        <w:t>רשב"א</w:t>
      </w:r>
      <w:r>
        <w:rPr>
          <w:rFonts w:hint="cs"/>
          <w:sz w:val="20"/>
          <w:szCs w:val="20"/>
          <w:rtl/>
        </w:rPr>
        <w:t xml:space="preserve"> ורוב הראשונים </w:t>
      </w:r>
      <w:r>
        <w:rPr>
          <w:sz w:val="20"/>
          <w:szCs w:val="20"/>
          <w:rtl/>
        </w:rPr>
        <w:t>–</w:t>
      </w:r>
      <w:r>
        <w:rPr>
          <w:rFonts w:hint="cs"/>
          <w:sz w:val="20"/>
          <w:szCs w:val="20"/>
          <w:rtl/>
        </w:rPr>
        <w:t xml:space="preserve"> דינה כאילו ראתה דם ממש, ולכן צריכה לעשות הפסק טהרה ביום החמישי למציאת הכתם, ולמנות שבעה נקיים, וכ"פ </w:t>
      </w:r>
      <w:r w:rsidRPr="003845CA">
        <w:rPr>
          <w:rFonts w:hint="cs"/>
          <w:b/>
          <w:bCs/>
          <w:sz w:val="20"/>
          <w:szCs w:val="20"/>
          <w:rtl/>
        </w:rPr>
        <w:t>המחבר</w:t>
      </w:r>
      <w:r>
        <w:rPr>
          <w:rFonts w:hint="cs"/>
          <w:sz w:val="20"/>
          <w:szCs w:val="20"/>
          <w:rtl/>
        </w:rPr>
        <w:t>.</w:t>
      </w:r>
      <w:r>
        <w:rPr>
          <w:sz w:val="20"/>
          <w:szCs w:val="20"/>
          <w:rtl/>
        </w:rPr>
        <w:br/>
      </w:r>
      <w:r>
        <w:rPr>
          <w:rFonts w:hint="cs"/>
          <w:sz w:val="20"/>
          <w:szCs w:val="20"/>
          <w:rtl/>
        </w:rPr>
        <w:t xml:space="preserve">ב. </w:t>
      </w:r>
      <w:r w:rsidRPr="00B1786E">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אם יש לחוש מחמת גודל הכתם לזבה גדולה, מונה שבעה נקיים. אך אם אין לחוש לזבה גדולה, מונה את יום המציאה ועוד שישה ימים בלבד</w:t>
      </w:r>
      <w:r>
        <w:rPr>
          <w:rStyle w:val="a5"/>
          <w:sz w:val="20"/>
          <w:szCs w:val="20"/>
          <w:rtl/>
        </w:rPr>
        <w:footnoteReference w:id="246"/>
      </w:r>
      <w:r>
        <w:rPr>
          <w:rFonts w:hint="cs"/>
          <w:sz w:val="20"/>
          <w:szCs w:val="20"/>
          <w:rtl/>
        </w:rPr>
        <w:t>.</w:t>
      </w:r>
      <w:r>
        <w:rPr>
          <w:sz w:val="20"/>
          <w:szCs w:val="20"/>
          <w:rtl/>
        </w:rPr>
        <w:br/>
      </w:r>
      <w:r w:rsidRPr="00B1786E">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חומרת רבי זירא לא נוהגת בכתמים אלא רק בראייה גמורה, אך תקנתו של רבי נוהגת גם בכתם</w:t>
      </w:r>
      <w:r>
        <w:rPr>
          <w:rStyle w:val="a5"/>
          <w:sz w:val="20"/>
          <w:szCs w:val="20"/>
          <w:rtl/>
        </w:rPr>
        <w:footnoteReference w:id="247"/>
      </w:r>
      <w:r>
        <w:rPr>
          <w:rFonts w:hint="cs"/>
          <w:sz w:val="20"/>
          <w:szCs w:val="20"/>
          <w:rtl/>
        </w:rPr>
        <w:t>.</w:t>
      </w:r>
    </w:p>
    <w:p w:rsidR="00620060" w:rsidRPr="003845CA" w:rsidRDefault="00620060" w:rsidP="00620060">
      <w:pPr>
        <w:rPr>
          <w:sz w:val="20"/>
          <w:szCs w:val="20"/>
          <w:rtl/>
        </w:rPr>
      </w:pPr>
      <w:r>
        <w:rPr>
          <w:rFonts w:hint="cs"/>
          <w:b/>
          <w:bCs/>
          <w:sz w:val="20"/>
          <w:szCs w:val="20"/>
          <w:rtl/>
        </w:rPr>
        <w:lastRenderedPageBreak/>
        <w:t>ראתה כתם ובדקה עצמה מייד</w:t>
      </w:r>
      <w:r>
        <w:rPr>
          <w:b/>
          <w:bCs/>
          <w:sz w:val="20"/>
          <w:szCs w:val="20"/>
          <w:rtl/>
        </w:rPr>
        <w:br/>
      </w:r>
      <w:r>
        <w:rPr>
          <w:rFonts w:hint="cs"/>
          <w:b/>
          <w:bCs/>
          <w:sz w:val="20"/>
          <w:szCs w:val="20"/>
          <w:rtl/>
        </w:rPr>
        <w:t>משנה</w:t>
      </w:r>
      <w:r w:rsidRPr="003845CA">
        <w:rPr>
          <w:rStyle w:val="a5"/>
          <w:sz w:val="20"/>
          <w:szCs w:val="20"/>
          <w:rtl/>
        </w:rPr>
        <w:footnoteReference w:id="248"/>
      </w:r>
      <w:r w:rsidRPr="003845CA">
        <w:rPr>
          <w:rFonts w:hint="cs"/>
          <w:sz w:val="20"/>
          <w:szCs w:val="20"/>
          <w:rtl/>
        </w:rPr>
        <w:t xml:space="preserve"> </w:t>
      </w:r>
      <w:r>
        <w:rPr>
          <w:rFonts w:hint="cs"/>
          <w:sz w:val="20"/>
          <w:szCs w:val="20"/>
          <w:rtl/>
        </w:rPr>
        <w:t>(שם, סא.) "</w:t>
      </w:r>
      <w:r w:rsidRPr="003845CA">
        <w:rPr>
          <w:rFonts w:cs="Arial"/>
          <w:sz w:val="20"/>
          <w:szCs w:val="20"/>
          <w:rtl/>
        </w:rPr>
        <w:t>של</w:t>
      </w:r>
      <w:r>
        <w:rPr>
          <w:rFonts w:cs="Arial" w:hint="cs"/>
          <w:sz w:val="20"/>
          <w:szCs w:val="20"/>
          <w:rtl/>
        </w:rPr>
        <w:t>ו</w:t>
      </w:r>
      <w:r w:rsidRPr="003845CA">
        <w:rPr>
          <w:rFonts w:cs="Arial"/>
          <w:sz w:val="20"/>
          <w:szCs w:val="20"/>
          <w:rtl/>
        </w:rPr>
        <w:t>ש נשי</w:t>
      </w:r>
      <w:r>
        <w:rPr>
          <w:rFonts w:cs="Arial"/>
          <w:sz w:val="20"/>
          <w:szCs w:val="20"/>
          <w:rtl/>
        </w:rPr>
        <w:t>ם שהיו ישנות במטה אחת ונמצא דם</w:t>
      </w:r>
      <w:r>
        <w:rPr>
          <w:rFonts w:cs="Arial" w:hint="cs"/>
          <w:sz w:val="20"/>
          <w:szCs w:val="20"/>
          <w:rtl/>
        </w:rPr>
        <w:t xml:space="preserve">... </w:t>
      </w:r>
      <w:r w:rsidRPr="003845CA">
        <w:rPr>
          <w:rFonts w:cs="Arial"/>
          <w:sz w:val="20"/>
          <w:szCs w:val="20"/>
          <w:rtl/>
        </w:rPr>
        <w:t>בדקה אחת מהן ונמצאת טהורה - היא טהורה, ושתים טמאות..</w:t>
      </w:r>
      <w:r>
        <w:rPr>
          <w:rFonts w:cs="Arial" w:hint="cs"/>
          <w:sz w:val="20"/>
          <w:szCs w:val="20"/>
          <w:rtl/>
        </w:rPr>
        <w:t>.</w:t>
      </w:r>
      <w:r w:rsidRPr="003845CA">
        <w:rPr>
          <w:rFonts w:cs="Arial"/>
          <w:sz w:val="20"/>
          <w:szCs w:val="20"/>
          <w:rtl/>
        </w:rPr>
        <w:t xml:space="preserve"> </w:t>
      </w:r>
      <w:r>
        <w:rPr>
          <w:rFonts w:cs="Arial"/>
          <w:sz w:val="20"/>
          <w:szCs w:val="20"/>
          <w:rtl/>
        </w:rPr>
        <w:t>של</w:t>
      </w:r>
      <w:r>
        <w:rPr>
          <w:rFonts w:cs="Arial" w:hint="cs"/>
          <w:sz w:val="20"/>
          <w:szCs w:val="20"/>
          <w:rtl/>
        </w:rPr>
        <w:t>ו</w:t>
      </w:r>
      <w:r>
        <w:rPr>
          <w:rFonts w:cs="Arial"/>
          <w:sz w:val="20"/>
          <w:szCs w:val="20"/>
          <w:rtl/>
        </w:rPr>
        <w:t>שתן ומצאו טהורות - כולן טמאות</w:t>
      </w:r>
      <w:r>
        <w:rPr>
          <w:rFonts w:cs="Arial" w:hint="cs"/>
          <w:sz w:val="20"/>
          <w:szCs w:val="20"/>
          <w:rtl/>
        </w:rPr>
        <w:t>".</w:t>
      </w:r>
      <w:r>
        <w:rPr>
          <w:sz w:val="20"/>
          <w:szCs w:val="20"/>
          <w:rtl/>
        </w:rPr>
        <w:br/>
      </w:r>
      <w:r w:rsidRPr="00374CC3">
        <w:rPr>
          <w:rFonts w:hint="cs"/>
          <w:b/>
          <w:bCs/>
          <w:sz w:val="20"/>
          <w:szCs w:val="20"/>
          <w:rtl/>
        </w:rPr>
        <w:t>טור</w:t>
      </w:r>
      <w:r>
        <w:rPr>
          <w:rFonts w:hint="cs"/>
          <w:sz w:val="20"/>
          <w:szCs w:val="20"/>
          <w:rtl/>
        </w:rPr>
        <w:t xml:space="preserve"> </w:t>
      </w:r>
      <w:r>
        <w:rPr>
          <w:sz w:val="20"/>
          <w:szCs w:val="20"/>
          <w:rtl/>
        </w:rPr>
        <w:t>–</w:t>
      </w:r>
      <w:r>
        <w:rPr>
          <w:rFonts w:hint="cs"/>
          <w:sz w:val="20"/>
          <w:szCs w:val="20"/>
          <w:rtl/>
        </w:rPr>
        <w:t xml:space="preserve"> אשה שמצאה כתם, אפילו אם בדקה עצמה מייד ומצאה טהורה, מכל מקום טמאה, וכ"פ</w:t>
      </w:r>
      <w:r w:rsidRPr="003845CA">
        <w:rPr>
          <w:rFonts w:hint="cs"/>
          <w:b/>
          <w:bCs/>
          <w:sz w:val="20"/>
          <w:szCs w:val="20"/>
          <w:rtl/>
        </w:rPr>
        <w:t xml:space="preserve"> המחבר</w:t>
      </w:r>
      <w:r>
        <w:rPr>
          <w:rFonts w:hint="cs"/>
          <w:sz w:val="20"/>
          <w:szCs w:val="20"/>
          <w:rtl/>
        </w:rPr>
        <w:t>.</w:t>
      </w:r>
    </w:p>
    <w:p w:rsidR="00620060" w:rsidRDefault="00620060" w:rsidP="00620060">
      <w:pPr>
        <w:rPr>
          <w:rFonts w:cs="Arial"/>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3845CA">
        <w:rPr>
          <w:rFonts w:cs="Arial"/>
          <w:sz w:val="20"/>
          <w:szCs w:val="20"/>
          <w:rtl/>
        </w:rPr>
        <w:t>דבר תורה אין האשה מטמאה ולא אסורה לבעלה עד שתרגיש שיצא דם מבשרה</w:t>
      </w:r>
      <w:r>
        <w:rPr>
          <w:rStyle w:val="a5"/>
          <w:rFonts w:cs="Arial"/>
          <w:sz w:val="20"/>
          <w:szCs w:val="20"/>
          <w:rtl/>
        </w:rPr>
        <w:footnoteReference w:id="249"/>
      </w:r>
      <w:r w:rsidRPr="003845CA">
        <w:rPr>
          <w:rFonts w:cs="Arial"/>
          <w:sz w:val="20"/>
          <w:szCs w:val="20"/>
          <w:rtl/>
        </w:rPr>
        <w:t>, וחכמים גזרו על כתם שנמצא בגופה או בבגדיה, שהיא טמאה, ואסורה לבעלה אפילו לא הרגישה ואפילו בדקה עצמה ומצאה טהורה. וצריכה הפסק טהרה, שתבדוק עצמה ותמצא טהורה, ואח</w:t>
      </w:r>
      <w:r>
        <w:rPr>
          <w:rFonts w:cs="Arial" w:hint="cs"/>
          <w:sz w:val="20"/>
          <w:szCs w:val="20"/>
          <w:rtl/>
        </w:rPr>
        <w:t xml:space="preserve">ר </w:t>
      </w:r>
      <w:r w:rsidRPr="003845CA">
        <w:rPr>
          <w:rFonts w:cs="Arial"/>
          <w:sz w:val="20"/>
          <w:szCs w:val="20"/>
          <w:rtl/>
        </w:rPr>
        <w:t>כ</w:t>
      </w:r>
      <w:r>
        <w:rPr>
          <w:rFonts w:cs="Arial" w:hint="cs"/>
          <w:sz w:val="20"/>
          <w:szCs w:val="20"/>
          <w:rtl/>
        </w:rPr>
        <w:t>ך</w:t>
      </w:r>
      <w:r w:rsidRPr="003845CA">
        <w:rPr>
          <w:rFonts w:cs="Arial"/>
          <w:sz w:val="20"/>
          <w:szCs w:val="20"/>
          <w:rtl/>
        </w:rPr>
        <w:t xml:space="preserve"> תמנה שבעה נקיים חוץ מיום המציאה </w:t>
      </w:r>
      <w:r>
        <w:rPr>
          <w:rFonts w:cs="Arial"/>
          <w:sz w:val="18"/>
          <w:szCs w:val="18"/>
          <w:rtl/>
        </w:rPr>
        <w:t>(</w:t>
      </w:r>
      <w:r w:rsidRPr="003845CA">
        <w:rPr>
          <w:rFonts w:cs="Arial"/>
          <w:sz w:val="18"/>
          <w:szCs w:val="18"/>
          <w:rtl/>
        </w:rPr>
        <w:t>כאילו ראתה ודאי, וכמו שיתבאר לקמן סימן קצ"ו</w:t>
      </w:r>
      <w:r>
        <w:rPr>
          <w:rStyle w:val="a5"/>
          <w:rFonts w:cs="Arial"/>
          <w:sz w:val="18"/>
          <w:szCs w:val="18"/>
          <w:rtl/>
        </w:rPr>
        <w:footnoteReference w:id="250"/>
      </w:r>
      <w:r w:rsidRPr="003845CA">
        <w:rPr>
          <w:rFonts w:cs="Arial"/>
          <w:sz w:val="18"/>
          <w:szCs w:val="18"/>
          <w:rtl/>
        </w:rPr>
        <w:t>)</w:t>
      </w:r>
      <w:r>
        <w:rPr>
          <w:rFonts w:cs="Arial" w:hint="cs"/>
          <w:sz w:val="20"/>
          <w:szCs w:val="20"/>
          <w:rtl/>
        </w:rPr>
        <w:t>"</w:t>
      </w:r>
      <w:r w:rsidRPr="003845CA">
        <w:rPr>
          <w:rFonts w:cs="Arial"/>
          <w:sz w:val="20"/>
          <w:szCs w:val="20"/>
          <w:rtl/>
        </w:rPr>
        <w:t>.</w:t>
      </w:r>
    </w:p>
    <w:p w:rsidR="00620060" w:rsidRPr="00B2113A" w:rsidRDefault="00620060" w:rsidP="00620060">
      <w:pPr>
        <w:rPr>
          <w:sz w:val="20"/>
          <w:szCs w:val="20"/>
          <w:rtl/>
        </w:rPr>
      </w:pPr>
      <w:r>
        <w:rPr>
          <w:rFonts w:hint="cs"/>
          <w:sz w:val="20"/>
          <w:szCs w:val="20"/>
          <w:u w:val="single"/>
          <w:rtl/>
        </w:rPr>
        <w:t>האם גזרו על כתמים הנמצאים בבגד האיש? (פת"ש)</w:t>
      </w:r>
      <w:r>
        <w:rPr>
          <w:rFonts w:hint="cs"/>
          <w:sz w:val="20"/>
          <w:szCs w:val="20"/>
          <w:u w:val="single"/>
          <w:rtl/>
        </w:rPr>
        <w:br/>
      </w:r>
      <w:r>
        <w:rPr>
          <w:rFonts w:hint="cs"/>
          <w:sz w:val="20"/>
          <w:szCs w:val="20"/>
          <w:rtl/>
        </w:rPr>
        <w:t>האם כתם שנמצא על בגד האיש מטמא את האישה?</w:t>
      </w:r>
      <w:r>
        <w:rPr>
          <w:rFonts w:hint="cs"/>
          <w:sz w:val="20"/>
          <w:szCs w:val="20"/>
          <w:rtl/>
        </w:rPr>
        <w:br/>
        <w:t xml:space="preserve">א. </w:t>
      </w:r>
      <w:r w:rsidRPr="00B2113A">
        <w:rPr>
          <w:rFonts w:hint="cs"/>
          <w:b/>
          <w:bCs/>
          <w:sz w:val="20"/>
          <w:szCs w:val="20"/>
          <w:rtl/>
        </w:rPr>
        <w:t>פנים מאירות</w:t>
      </w:r>
      <w:r>
        <w:rPr>
          <w:rFonts w:hint="cs"/>
          <w:sz w:val="20"/>
          <w:szCs w:val="20"/>
          <w:rtl/>
        </w:rPr>
        <w:t xml:space="preserve"> </w:t>
      </w:r>
      <w:r>
        <w:rPr>
          <w:sz w:val="20"/>
          <w:szCs w:val="20"/>
          <w:rtl/>
        </w:rPr>
        <w:t>–</w:t>
      </w:r>
      <w:r>
        <w:rPr>
          <w:rFonts w:hint="cs"/>
          <w:sz w:val="20"/>
          <w:szCs w:val="20"/>
          <w:rtl/>
        </w:rPr>
        <w:t xml:space="preserve"> לא.</w:t>
      </w:r>
      <w:r>
        <w:rPr>
          <w:sz w:val="20"/>
          <w:szCs w:val="20"/>
          <w:rtl/>
        </w:rPr>
        <w:br/>
      </w:r>
      <w:r w:rsidRPr="00B2113A">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גזירת חז"ל היתה לטמא רק כתם הנמצא על גוף ובגד האשה, ואפילו אם נמצא לאחר תשמיש אינו מטמא אותה, אלא אם כן קינח את עצמו בחלוק לאחר התשמיש ומצא עליו דם שהיא טמאה מחמתו.</w:t>
      </w:r>
      <w:r>
        <w:rPr>
          <w:sz w:val="20"/>
          <w:szCs w:val="20"/>
          <w:rtl/>
        </w:rPr>
        <w:br/>
      </w:r>
      <w:r>
        <w:rPr>
          <w:rFonts w:hint="cs"/>
          <w:sz w:val="20"/>
          <w:szCs w:val="20"/>
          <w:rtl/>
        </w:rPr>
        <w:t xml:space="preserve">ב. </w:t>
      </w:r>
      <w:r w:rsidRPr="00B2113A">
        <w:rPr>
          <w:rFonts w:hint="cs"/>
          <w:b/>
          <w:bCs/>
          <w:sz w:val="20"/>
          <w:szCs w:val="20"/>
          <w:rtl/>
        </w:rPr>
        <w:t>הרב יחיאל העליר</w:t>
      </w:r>
      <w:r>
        <w:rPr>
          <w:rFonts w:hint="cs"/>
          <w:sz w:val="20"/>
          <w:szCs w:val="20"/>
          <w:rtl/>
        </w:rPr>
        <w:t xml:space="preserve"> </w:t>
      </w:r>
      <w:r>
        <w:rPr>
          <w:sz w:val="20"/>
          <w:szCs w:val="20"/>
          <w:rtl/>
        </w:rPr>
        <w:t>–</w:t>
      </w:r>
      <w:r>
        <w:rPr>
          <w:rFonts w:hint="cs"/>
          <w:sz w:val="20"/>
          <w:szCs w:val="20"/>
          <w:rtl/>
        </w:rPr>
        <w:t xml:space="preserve"> כן </w:t>
      </w:r>
      <w:r w:rsidRPr="003B218D">
        <w:rPr>
          <w:rFonts w:hint="cs"/>
          <w:sz w:val="18"/>
          <w:szCs w:val="18"/>
          <w:rtl/>
        </w:rPr>
        <w:t xml:space="preserve">(וכן נראה שהיא דעת </w:t>
      </w:r>
      <w:r w:rsidRPr="003B218D">
        <w:rPr>
          <w:rFonts w:hint="cs"/>
          <w:b/>
          <w:bCs/>
          <w:sz w:val="18"/>
          <w:szCs w:val="18"/>
          <w:rtl/>
        </w:rPr>
        <w:t>הפת"ש</w:t>
      </w:r>
      <w:r w:rsidRPr="003B218D">
        <w:rPr>
          <w:rFonts w:hint="cs"/>
          <w:sz w:val="18"/>
          <w:szCs w:val="18"/>
          <w:rtl/>
        </w:rPr>
        <w:t>)</w:t>
      </w:r>
      <w:r>
        <w:rPr>
          <w:rFonts w:hint="cs"/>
          <w:sz w:val="20"/>
          <w:szCs w:val="20"/>
          <w:rtl/>
        </w:rPr>
        <w:t>.</w:t>
      </w:r>
      <w:r>
        <w:rPr>
          <w:sz w:val="20"/>
          <w:szCs w:val="20"/>
          <w:rtl/>
        </w:rPr>
        <w:br/>
      </w:r>
      <w:r w:rsidRPr="00B2113A">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כך נאמר בתוספתא (נידה, ו, יח): "</w:t>
      </w:r>
      <w:r w:rsidRPr="00B2113A">
        <w:rPr>
          <w:rFonts w:cs="Arial"/>
          <w:sz w:val="20"/>
          <w:szCs w:val="20"/>
          <w:rtl/>
        </w:rPr>
        <w:t>נמצא על בנה יושב בצדה</w:t>
      </w:r>
      <w:r>
        <w:rPr>
          <w:rFonts w:cs="Arial" w:hint="cs"/>
          <w:sz w:val="20"/>
          <w:szCs w:val="20"/>
          <w:rtl/>
        </w:rPr>
        <w:t xml:space="preserve"> -</w:t>
      </w:r>
      <w:r w:rsidRPr="00B2113A">
        <w:rPr>
          <w:rFonts w:cs="Arial"/>
          <w:sz w:val="20"/>
          <w:szCs w:val="20"/>
          <w:rtl/>
        </w:rPr>
        <w:t xml:space="preserve"> הרי זו טמאה מפני שמתהפך</w:t>
      </w:r>
      <w:r>
        <w:rPr>
          <w:rFonts w:cs="Arial" w:hint="cs"/>
          <w:sz w:val="20"/>
          <w:szCs w:val="20"/>
          <w:rtl/>
        </w:rPr>
        <w:t>;</w:t>
      </w:r>
      <w:r w:rsidRPr="00B2113A">
        <w:rPr>
          <w:rFonts w:cs="Arial"/>
          <w:sz w:val="20"/>
          <w:szCs w:val="20"/>
          <w:rtl/>
        </w:rPr>
        <w:t xml:space="preserve"> ולא על בנה בלבד אמרו אלא על כל אדם</w:t>
      </w:r>
      <w:r>
        <w:rPr>
          <w:rFonts w:cs="Arial" w:hint="cs"/>
          <w:sz w:val="20"/>
          <w:szCs w:val="20"/>
          <w:rtl/>
        </w:rPr>
        <w:t>,</w:t>
      </w:r>
      <w:r w:rsidRPr="00B2113A">
        <w:rPr>
          <w:rFonts w:cs="Arial"/>
          <w:sz w:val="20"/>
          <w:szCs w:val="20"/>
          <w:rtl/>
        </w:rPr>
        <w:t xml:space="preserve"> אלא שדברו חכמים בהוו</w:t>
      </w:r>
      <w:r>
        <w:rPr>
          <w:rFonts w:cs="Arial" w:hint="cs"/>
          <w:sz w:val="20"/>
          <w:szCs w:val="20"/>
          <w:rtl/>
        </w:rPr>
        <w:t>ה".</w:t>
      </w:r>
    </w:p>
    <w:p w:rsidR="00620060" w:rsidRDefault="00620060" w:rsidP="00620060">
      <w:pPr>
        <w:rPr>
          <w:sz w:val="20"/>
          <w:szCs w:val="20"/>
          <w:rtl/>
        </w:rPr>
      </w:pPr>
      <w:r>
        <w:rPr>
          <w:rFonts w:hint="cs"/>
          <w:b/>
          <w:bCs/>
          <w:sz w:val="20"/>
          <w:szCs w:val="20"/>
          <w:rtl/>
        </w:rPr>
        <w:t>הרגשה שנפתח המקור</w:t>
      </w:r>
      <w:r>
        <w:rPr>
          <w:b/>
          <w:bCs/>
          <w:sz w:val="20"/>
          <w:szCs w:val="20"/>
          <w:rtl/>
        </w:rPr>
        <w:br/>
      </w:r>
      <w:r>
        <w:rPr>
          <w:rFonts w:hint="cs"/>
          <w:b/>
          <w:bCs/>
          <w:sz w:val="20"/>
          <w:szCs w:val="20"/>
          <w:rtl/>
        </w:rPr>
        <w:t xml:space="preserve">תרומת הדשן </w:t>
      </w:r>
      <w:r>
        <w:rPr>
          <w:sz w:val="20"/>
          <w:szCs w:val="20"/>
          <w:rtl/>
        </w:rPr>
        <w:t>–</w:t>
      </w:r>
      <w:r>
        <w:rPr>
          <w:rFonts w:hint="cs"/>
          <w:sz w:val="20"/>
          <w:szCs w:val="20"/>
          <w:rtl/>
        </w:rPr>
        <w:t xml:space="preserve"> אשה שהרגישה שנפתח המקור להוציא דם ובדקה אחר כך ולא מצאה כלום, טמאה.</w:t>
      </w:r>
      <w:r w:rsidRPr="00EC0563">
        <w:rPr>
          <w:rFonts w:hint="cs"/>
          <w:sz w:val="20"/>
          <w:szCs w:val="20"/>
          <w:rtl/>
        </w:rPr>
        <w:br/>
      </w:r>
      <w:r w:rsidRPr="000C3EB4">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הרגשה היא סברה דאורייתא, ובמקום שאין לתלות בדבר אחר, טמאה, ויש לומר שיצאה טיפת דם כחרדל והתקנחה או נימוקה.</w:t>
      </w:r>
      <w:r>
        <w:rPr>
          <w:sz w:val="20"/>
          <w:szCs w:val="20"/>
          <w:rtl/>
        </w:rPr>
        <w:br/>
      </w:r>
      <w:r w:rsidRPr="000C3EB4">
        <w:rPr>
          <w:rFonts w:hint="cs"/>
          <w:b/>
          <w:bCs/>
          <w:sz w:val="20"/>
          <w:szCs w:val="20"/>
          <w:rtl/>
        </w:rPr>
        <w:t>ראיה</w:t>
      </w:r>
      <w:r>
        <w:rPr>
          <w:rFonts w:hint="cs"/>
          <w:sz w:val="20"/>
          <w:szCs w:val="20"/>
          <w:rtl/>
        </w:rPr>
        <w:t xml:space="preserve"> </w:t>
      </w:r>
      <w:r>
        <w:rPr>
          <w:sz w:val="20"/>
          <w:szCs w:val="20"/>
          <w:rtl/>
        </w:rPr>
        <w:t>–</w:t>
      </w:r>
      <w:r>
        <w:rPr>
          <w:rFonts w:hint="cs"/>
          <w:sz w:val="20"/>
          <w:szCs w:val="20"/>
          <w:rtl/>
        </w:rPr>
        <w:t xml:space="preserve"> </w:t>
      </w:r>
      <w:r w:rsidRPr="00D35402">
        <w:rPr>
          <w:rFonts w:hint="cs"/>
          <w:b/>
          <w:bCs/>
          <w:sz w:val="20"/>
          <w:szCs w:val="20"/>
          <w:rtl/>
        </w:rPr>
        <w:t xml:space="preserve">גמרא </w:t>
      </w:r>
      <w:r>
        <w:rPr>
          <w:rFonts w:hint="cs"/>
          <w:sz w:val="20"/>
          <w:szCs w:val="20"/>
          <w:rtl/>
        </w:rPr>
        <w:t>(שם, נז:) "</w:t>
      </w:r>
      <w:r w:rsidRPr="000C3EB4">
        <w:rPr>
          <w:rFonts w:cs="Arial"/>
          <w:sz w:val="20"/>
          <w:szCs w:val="20"/>
          <w:rtl/>
        </w:rPr>
        <w:t>נמצא על שלה לאחר זמן - טמאים מספק, ופטורין מן הקרבן. היכי דמי? אי דארגישה - לאחר זמן אמאי פטורין מן הקרבן?</w:t>
      </w:r>
      <w:r>
        <w:rPr>
          <w:rFonts w:cs="Arial" w:hint="cs"/>
          <w:sz w:val="20"/>
          <w:szCs w:val="20"/>
          <w:rtl/>
        </w:rPr>
        <w:t xml:space="preserve">". </w:t>
      </w:r>
      <w:r>
        <w:rPr>
          <w:rFonts w:cs="Arial"/>
          <w:sz w:val="20"/>
          <w:szCs w:val="20"/>
          <w:rtl/>
        </w:rPr>
        <w:br/>
      </w:r>
      <w:r>
        <w:rPr>
          <w:rFonts w:cs="Arial" w:hint="cs"/>
          <w:sz w:val="20"/>
          <w:szCs w:val="20"/>
          <w:rtl/>
        </w:rPr>
        <w:t>מוכח מגמרא זאת שהרגשה היא סברה דאורייתא, שהרי חייבת קרבן. וכיוון שזו סברה דאורייתא, דינה כמו למאן דאמר ווסתות דאורייתא שאפילו אם בדקה עצמה ומצאה טהורה, טמאה.</w:t>
      </w:r>
      <w:r>
        <w:rPr>
          <w:rStyle w:val="a5"/>
          <w:rFonts w:cs="Arial"/>
          <w:sz w:val="20"/>
          <w:szCs w:val="20"/>
          <w:rtl/>
        </w:rPr>
        <w:footnoteReference w:id="251"/>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sz w:val="20"/>
          <w:szCs w:val="20"/>
          <w:rtl/>
        </w:rPr>
        <w:t xml:space="preserve">א. </w:t>
      </w:r>
      <w:r>
        <w:rPr>
          <w:rFonts w:hint="cs"/>
          <w:b/>
          <w:bCs/>
          <w:sz w:val="20"/>
          <w:szCs w:val="20"/>
          <w:rtl/>
        </w:rPr>
        <w:t xml:space="preserve">שולחן ערוך </w:t>
      </w:r>
      <w:r>
        <w:rPr>
          <w:sz w:val="20"/>
          <w:szCs w:val="20"/>
          <w:rtl/>
        </w:rPr>
        <w:t>–</w:t>
      </w:r>
      <w:r>
        <w:rPr>
          <w:rFonts w:hint="cs"/>
          <w:sz w:val="20"/>
          <w:szCs w:val="20"/>
          <w:rtl/>
        </w:rPr>
        <w:t xml:space="preserve"> "</w:t>
      </w:r>
      <w:r w:rsidRPr="000C3EB4">
        <w:rPr>
          <w:rFonts w:cs="Arial"/>
          <w:sz w:val="20"/>
          <w:szCs w:val="20"/>
          <w:rtl/>
        </w:rPr>
        <w:t>ואם הרגישה שנפתח מקורה להוציא דם ובדקה אחר כך ולא מצאה כלום, יש מי שאומר</w:t>
      </w:r>
      <w:r>
        <w:rPr>
          <w:rStyle w:val="a5"/>
          <w:rFonts w:cs="Arial"/>
          <w:sz w:val="20"/>
          <w:szCs w:val="20"/>
          <w:rtl/>
        </w:rPr>
        <w:footnoteReference w:id="252"/>
      </w:r>
      <w:r w:rsidRPr="000C3EB4">
        <w:rPr>
          <w:rFonts w:cs="Arial"/>
          <w:sz w:val="20"/>
          <w:szCs w:val="20"/>
          <w:rtl/>
        </w:rPr>
        <w:t xml:space="preserve"> שהיא טמאה</w:t>
      </w:r>
      <w:r>
        <w:rPr>
          <w:rFonts w:cs="Arial" w:hint="cs"/>
          <w:sz w:val="20"/>
          <w:szCs w:val="20"/>
          <w:rtl/>
        </w:rPr>
        <w:t>".</w:t>
      </w:r>
      <w:r>
        <w:rPr>
          <w:sz w:val="20"/>
          <w:szCs w:val="20"/>
          <w:rtl/>
        </w:rPr>
        <w:br/>
      </w:r>
      <w:r>
        <w:rPr>
          <w:rFonts w:hint="cs"/>
          <w:sz w:val="20"/>
          <w:szCs w:val="20"/>
          <w:rtl/>
        </w:rPr>
        <w:t xml:space="preserve">ב. </w:t>
      </w:r>
      <w:r w:rsidRPr="00061D70">
        <w:rPr>
          <w:rFonts w:hint="cs"/>
          <w:b/>
          <w:bCs/>
          <w:sz w:val="20"/>
          <w:szCs w:val="20"/>
          <w:rtl/>
        </w:rPr>
        <w:t>דרכי משה</w:t>
      </w:r>
      <w:r>
        <w:rPr>
          <w:rFonts w:hint="cs"/>
          <w:sz w:val="20"/>
          <w:szCs w:val="20"/>
          <w:rtl/>
        </w:rPr>
        <w:t xml:space="preserve"> </w:t>
      </w:r>
      <w:r>
        <w:rPr>
          <w:sz w:val="20"/>
          <w:szCs w:val="20"/>
          <w:rtl/>
        </w:rPr>
        <w:t>–</w:t>
      </w:r>
      <w:r>
        <w:rPr>
          <w:rFonts w:hint="cs"/>
          <w:sz w:val="20"/>
          <w:szCs w:val="20"/>
          <w:rtl/>
        </w:rPr>
        <w:t xml:space="preserve"> אין לטמא אשה שהרגישה ולא מצאה דם, וכ"פ </w:t>
      </w:r>
      <w:r w:rsidRPr="00061D70">
        <w:rPr>
          <w:rFonts w:hint="cs"/>
          <w:b/>
          <w:bCs/>
          <w:sz w:val="20"/>
          <w:szCs w:val="20"/>
          <w:rtl/>
        </w:rPr>
        <w:t>הרדב"ז</w:t>
      </w:r>
      <w:r w:rsidRPr="00374CC3">
        <w:rPr>
          <w:rStyle w:val="a5"/>
          <w:sz w:val="20"/>
          <w:szCs w:val="20"/>
          <w:rtl/>
        </w:rPr>
        <w:footnoteReference w:id="253"/>
      </w:r>
      <w:r w:rsidRPr="00374CC3">
        <w:rPr>
          <w:rFonts w:hint="cs"/>
          <w:sz w:val="20"/>
          <w:szCs w:val="20"/>
          <w:rtl/>
        </w:rPr>
        <w:t xml:space="preserve"> </w:t>
      </w:r>
      <w:r w:rsidRPr="00061D70">
        <w:rPr>
          <w:rFonts w:hint="cs"/>
          <w:b/>
          <w:bCs/>
          <w:sz w:val="20"/>
          <w:szCs w:val="20"/>
          <w:rtl/>
        </w:rPr>
        <w:t>והיעב"ץ</w:t>
      </w:r>
      <w:r>
        <w:rPr>
          <w:rFonts w:hint="cs"/>
          <w:sz w:val="20"/>
          <w:szCs w:val="20"/>
          <w:rtl/>
        </w:rPr>
        <w:t>.</w:t>
      </w:r>
    </w:p>
    <w:p w:rsidR="00620060" w:rsidRPr="001E329B" w:rsidRDefault="00620060" w:rsidP="00620060">
      <w:pPr>
        <w:rPr>
          <w:sz w:val="20"/>
          <w:szCs w:val="20"/>
          <w:rtl/>
        </w:rPr>
      </w:pPr>
      <w:r w:rsidRPr="003D2996">
        <w:rPr>
          <w:rFonts w:hint="cs"/>
          <w:b/>
          <w:bCs/>
          <w:sz w:val="20"/>
          <w:szCs w:val="20"/>
          <w:rtl/>
        </w:rPr>
        <w:t>דיונים בשיטת המחבר שפסק כתרומת הדשן</w:t>
      </w:r>
      <w:r>
        <w:rPr>
          <w:sz w:val="20"/>
          <w:szCs w:val="20"/>
          <w:u w:val="single"/>
          <w:rtl/>
        </w:rPr>
        <w:br/>
      </w:r>
      <w:r>
        <w:rPr>
          <w:rFonts w:hint="cs"/>
          <w:sz w:val="20"/>
          <w:szCs w:val="20"/>
          <w:u w:val="single"/>
          <w:rtl/>
        </w:rPr>
        <w:t>בדקה עצמה תוך שיעור ווסת (פת"ש)</w:t>
      </w:r>
      <w:r>
        <w:rPr>
          <w:rFonts w:hint="cs"/>
          <w:sz w:val="20"/>
          <w:szCs w:val="20"/>
          <w:u w:val="single"/>
          <w:rtl/>
        </w:rPr>
        <w:br/>
      </w:r>
      <w:r>
        <w:rPr>
          <w:rFonts w:hint="cs"/>
          <w:sz w:val="20"/>
          <w:szCs w:val="20"/>
          <w:rtl/>
        </w:rPr>
        <w:t>בדקה עצמה תוך שיעור ווסת, האם טמאה?</w:t>
      </w:r>
      <w:r>
        <w:rPr>
          <w:rFonts w:hint="cs"/>
          <w:sz w:val="20"/>
          <w:szCs w:val="20"/>
          <w:rtl/>
        </w:rPr>
        <w:br/>
        <w:t xml:space="preserve">א. </w:t>
      </w:r>
      <w:r w:rsidRPr="001E329B">
        <w:rPr>
          <w:rFonts w:hint="cs"/>
          <w:b/>
          <w:bCs/>
          <w:sz w:val="20"/>
          <w:szCs w:val="20"/>
          <w:rtl/>
        </w:rPr>
        <w:t>חוות דעת</w:t>
      </w:r>
      <w:r>
        <w:rPr>
          <w:rFonts w:hint="cs"/>
          <w:sz w:val="20"/>
          <w:szCs w:val="20"/>
          <w:rtl/>
        </w:rPr>
        <w:t xml:space="preserve"> </w:t>
      </w:r>
      <w:r>
        <w:rPr>
          <w:sz w:val="20"/>
          <w:szCs w:val="20"/>
          <w:rtl/>
        </w:rPr>
        <w:t>–</w:t>
      </w:r>
      <w:r>
        <w:rPr>
          <w:rFonts w:hint="cs"/>
          <w:sz w:val="20"/>
          <w:szCs w:val="20"/>
          <w:rtl/>
        </w:rPr>
        <w:t xml:space="preserve"> טמאה.</w:t>
      </w:r>
      <w:r>
        <w:rPr>
          <w:sz w:val="20"/>
          <w:szCs w:val="20"/>
          <w:rtl/>
        </w:rPr>
        <w:br/>
      </w:r>
      <w:r>
        <w:rPr>
          <w:rFonts w:hint="cs"/>
          <w:sz w:val="20"/>
          <w:szCs w:val="20"/>
          <w:rtl/>
        </w:rPr>
        <w:t xml:space="preserve">ב. </w:t>
      </w:r>
      <w:r w:rsidRPr="001E329B">
        <w:rPr>
          <w:rFonts w:hint="cs"/>
          <w:b/>
          <w:bCs/>
          <w:sz w:val="20"/>
          <w:szCs w:val="20"/>
          <w:rtl/>
        </w:rPr>
        <w:t xml:space="preserve">כרתי </w:t>
      </w:r>
      <w:r>
        <w:rPr>
          <w:sz w:val="20"/>
          <w:szCs w:val="20"/>
          <w:rtl/>
        </w:rPr>
        <w:t>–</w:t>
      </w:r>
      <w:r>
        <w:rPr>
          <w:rFonts w:hint="cs"/>
          <w:sz w:val="20"/>
          <w:szCs w:val="20"/>
          <w:rtl/>
        </w:rPr>
        <w:t xml:space="preserve"> טהורה.</w:t>
      </w:r>
    </w:p>
    <w:p w:rsidR="00620060" w:rsidRPr="00CB7813" w:rsidRDefault="00620060" w:rsidP="00620060">
      <w:pPr>
        <w:rPr>
          <w:sz w:val="20"/>
          <w:szCs w:val="20"/>
          <w:rtl/>
        </w:rPr>
      </w:pPr>
      <w:r>
        <w:rPr>
          <w:rFonts w:hint="cs"/>
          <w:sz w:val="20"/>
          <w:szCs w:val="20"/>
          <w:u w:val="single"/>
          <w:rtl/>
        </w:rPr>
        <w:lastRenderedPageBreak/>
        <w:t xml:space="preserve">מצאה מראה טהור </w:t>
      </w:r>
      <w:r>
        <w:rPr>
          <w:rFonts w:hint="cs"/>
          <w:sz w:val="20"/>
          <w:szCs w:val="20"/>
          <w:u w:val="single"/>
          <w:rtl/>
        </w:rPr>
        <w:br/>
      </w:r>
      <w:r>
        <w:rPr>
          <w:rFonts w:hint="cs"/>
          <w:sz w:val="20"/>
          <w:szCs w:val="20"/>
          <w:rtl/>
        </w:rPr>
        <w:t xml:space="preserve">אם הרגישה שנפתח מקורה ובדקה עצמה ומצאה מראה טהור, טהורה ותולה בו את הרגשתה </w:t>
      </w:r>
      <w:r w:rsidRPr="003D2996">
        <w:rPr>
          <w:rFonts w:hint="cs"/>
          <w:sz w:val="18"/>
          <w:szCs w:val="18"/>
          <w:rtl/>
        </w:rPr>
        <w:t>(לעיל, קפח, א)</w:t>
      </w:r>
      <w:r>
        <w:rPr>
          <w:rFonts w:hint="cs"/>
          <w:sz w:val="20"/>
          <w:szCs w:val="20"/>
          <w:rtl/>
        </w:rPr>
        <w:t>.</w:t>
      </w:r>
    </w:p>
    <w:p w:rsidR="00620060" w:rsidRDefault="00620060" w:rsidP="00620060">
      <w:pPr>
        <w:rPr>
          <w:sz w:val="20"/>
          <w:szCs w:val="20"/>
          <w:rtl/>
        </w:rPr>
      </w:pPr>
      <w:r>
        <w:rPr>
          <w:rFonts w:hint="cs"/>
          <w:sz w:val="20"/>
          <w:szCs w:val="20"/>
          <w:u w:val="single"/>
          <w:rtl/>
        </w:rPr>
        <w:t>הרגשה שהזדעזעו איבריה (פת"ש)</w:t>
      </w:r>
      <w:r>
        <w:rPr>
          <w:rFonts w:hint="cs"/>
          <w:sz w:val="20"/>
          <w:szCs w:val="20"/>
          <w:u w:val="single"/>
          <w:rtl/>
        </w:rPr>
        <w:br/>
      </w:r>
      <w:r>
        <w:rPr>
          <w:rFonts w:hint="cs"/>
          <w:sz w:val="20"/>
          <w:szCs w:val="20"/>
          <w:rtl/>
        </w:rPr>
        <w:t xml:space="preserve">א. </w:t>
      </w:r>
      <w:r w:rsidRPr="00631D46">
        <w:rPr>
          <w:rFonts w:hint="cs"/>
          <w:b/>
          <w:bCs/>
          <w:sz w:val="20"/>
          <w:szCs w:val="20"/>
          <w:rtl/>
        </w:rPr>
        <w:t>חכמם אדם</w:t>
      </w:r>
      <w:r>
        <w:rPr>
          <w:rFonts w:hint="cs"/>
          <w:sz w:val="20"/>
          <w:szCs w:val="20"/>
          <w:rtl/>
        </w:rPr>
        <w:t xml:space="preserve"> </w:t>
      </w:r>
      <w:r>
        <w:rPr>
          <w:sz w:val="20"/>
          <w:szCs w:val="20"/>
          <w:rtl/>
        </w:rPr>
        <w:t>–</w:t>
      </w:r>
      <w:r>
        <w:rPr>
          <w:rFonts w:hint="cs"/>
          <w:sz w:val="20"/>
          <w:szCs w:val="20"/>
          <w:rtl/>
        </w:rPr>
        <w:t xml:space="preserve"> הרגישה שהזדעזעו איבריה ובדקה עצמה ולא מצאה כלום </w:t>
      </w:r>
      <w:r>
        <w:rPr>
          <w:sz w:val="20"/>
          <w:szCs w:val="20"/>
          <w:rtl/>
        </w:rPr>
        <w:t>–</w:t>
      </w:r>
      <w:r>
        <w:rPr>
          <w:rFonts w:hint="cs"/>
          <w:sz w:val="20"/>
          <w:szCs w:val="20"/>
          <w:rtl/>
        </w:rPr>
        <w:t xml:space="preserve"> טהורה.</w:t>
      </w:r>
      <w:r>
        <w:rPr>
          <w:sz w:val="20"/>
          <w:szCs w:val="20"/>
          <w:rtl/>
        </w:rPr>
        <w:br/>
      </w:r>
      <w:r w:rsidRPr="00631D46">
        <w:rPr>
          <w:rFonts w:hint="cs"/>
          <w:b/>
          <w:bCs/>
          <w:sz w:val="20"/>
          <w:szCs w:val="20"/>
          <w:rtl/>
        </w:rPr>
        <w:t xml:space="preserve">טעם </w:t>
      </w:r>
      <w:r>
        <w:rPr>
          <w:sz w:val="20"/>
          <w:szCs w:val="20"/>
          <w:rtl/>
        </w:rPr>
        <w:t>–</w:t>
      </w:r>
      <w:r>
        <w:rPr>
          <w:rFonts w:hint="cs"/>
          <w:sz w:val="20"/>
          <w:szCs w:val="20"/>
          <w:rtl/>
        </w:rPr>
        <w:t xml:space="preserve"> יש לתלות את ההרגשה במאורעות אחרים.</w:t>
      </w:r>
      <w:r>
        <w:rPr>
          <w:sz w:val="20"/>
          <w:szCs w:val="20"/>
          <w:rtl/>
        </w:rPr>
        <w:br/>
      </w:r>
      <w:r>
        <w:rPr>
          <w:rFonts w:hint="cs"/>
          <w:sz w:val="20"/>
          <w:szCs w:val="20"/>
          <w:rtl/>
        </w:rPr>
        <w:t xml:space="preserve">ב. </w:t>
      </w:r>
      <w:r w:rsidRPr="00A31CCA">
        <w:rPr>
          <w:rFonts w:hint="cs"/>
          <w:b/>
          <w:bCs/>
          <w:sz w:val="20"/>
          <w:szCs w:val="20"/>
          <w:rtl/>
        </w:rPr>
        <w:t xml:space="preserve">חתם סופר </w:t>
      </w:r>
      <w:r>
        <w:rPr>
          <w:sz w:val="20"/>
          <w:szCs w:val="20"/>
          <w:rtl/>
        </w:rPr>
        <w:t>–</w:t>
      </w:r>
      <w:r>
        <w:rPr>
          <w:rFonts w:hint="cs"/>
          <w:sz w:val="20"/>
          <w:szCs w:val="20"/>
          <w:rtl/>
        </w:rPr>
        <w:t xml:space="preserve"> אף בכה"ג טמאה.</w:t>
      </w:r>
      <w:r>
        <w:rPr>
          <w:sz w:val="20"/>
          <w:szCs w:val="20"/>
          <w:rtl/>
        </w:rPr>
        <w:br/>
      </w:r>
      <w:r>
        <w:rPr>
          <w:rFonts w:hint="cs"/>
          <w:sz w:val="20"/>
          <w:szCs w:val="20"/>
          <w:rtl/>
        </w:rPr>
        <w:t xml:space="preserve">ואמנם, לכו"ע אם הרגישה זיבת דבר לח ובדקה ולא מצאה כלום </w:t>
      </w:r>
      <w:r>
        <w:rPr>
          <w:sz w:val="20"/>
          <w:szCs w:val="20"/>
          <w:rtl/>
        </w:rPr>
        <w:t>–</w:t>
      </w:r>
      <w:r>
        <w:rPr>
          <w:rFonts w:hint="cs"/>
          <w:sz w:val="20"/>
          <w:szCs w:val="20"/>
          <w:rtl/>
        </w:rPr>
        <w:t xml:space="preserve"> טהורה.</w:t>
      </w:r>
    </w:p>
    <w:p w:rsidR="00620060" w:rsidRDefault="00620060" w:rsidP="00620060">
      <w:pPr>
        <w:rPr>
          <w:sz w:val="20"/>
          <w:szCs w:val="20"/>
          <w:rtl/>
        </w:rPr>
      </w:pPr>
      <w:r>
        <w:rPr>
          <w:rFonts w:hint="cs"/>
          <w:sz w:val="20"/>
          <w:szCs w:val="20"/>
          <w:u w:val="single"/>
          <w:rtl/>
        </w:rPr>
        <w:t>הרגשת פתיחת המקור בנשים מסולקות דמים (פת"ש)</w:t>
      </w:r>
      <w:r>
        <w:rPr>
          <w:rFonts w:hint="cs"/>
          <w:sz w:val="20"/>
          <w:szCs w:val="20"/>
          <w:u w:val="single"/>
          <w:rtl/>
        </w:rPr>
        <w:br/>
      </w:r>
      <w:r>
        <w:rPr>
          <w:rFonts w:hint="cs"/>
          <w:sz w:val="20"/>
          <w:szCs w:val="20"/>
          <w:rtl/>
        </w:rPr>
        <w:t>אשה מסולקת דמים שהרגישה פתיחת המקור ולא מצאה כלום, האם טהורה?</w:t>
      </w:r>
      <w:r>
        <w:rPr>
          <w:rFonts w:hint="cs"/>
          <w:sz w:val="20"/>
          <w:szCs w:val="20"/>
          <w:rtl/>
        </w:rPr>
        <w:br/>
        <w:t xml:space="preserve">א. </w:t>
      </w:r>
      <w:r w:rsidRPr="007316F6">
        <w:rPr>
          <w:rFonts w:hint="cs"/>
          <w:b/>
          <w:bCs/>
          <w:sz w:val="20"/>
          <w:szCs w:val="20"/>
          <w:rtl/>
        </w:rPr>
        <w:t>תורת השלמים</w:t>
      </w:r>
      <w:r>
        <w:rPr>
          <w:rFonts w:hint="cs"/>
          <w:sz w:val="20"/>
          <w:szCs w:val="20"/>
          <w:rtl/>
        </w:rPr>
        <w:t xml:space="preserve"> </w:t>
      </w:r>
      <w:r>
        <w:rPr>
          <w:sz w:val="20"/>
          <w:szCs w:val="20"/>
          <w:rtl/>
        </w:rPr>
        <w:t>–</w:t>
      </w:r>
      <w:r>
        <w:rPr>
          <w:rFonts w:hint="cs"/>
          <w:sz w:val="20"/>
          <w:szCs w:val="20"/>
          <w:rtl/>
        </w:rPr>
        <w:t xml:space="preserve"> טהורה.</w:t>
      </w:r>
      <w:r>
        <w:rPr>
          <w:sz w:val="20"/>
          <w:szCs w:val="20"/>
          <w:rtl/>
        </w:rPr>
        <w:br/>
      </w:r>
      <w:r w:rsidRPr="007316F6">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תולים שההרגשה היתה להוציא דבר שאינו מטמא, כגון ליחה ירוקה או לבנה שאף הן באות מהמקור.</w:t>
      </w:r>
      <w:r>
        <w:rPr>
          <w:rFonts w:hint="cs"/>
          <w:sz w:val="20"/>
          <w:szCs w:val="20"/>
          <w:rtl/>
        </w:rPr>
        <w:br/>
        <w:t xml:space="preserve">ב. משמע </w:t>
      </w:r>
      <w:r w:rsidRPr="007A31A0">
        <w:rPr>
          <w:rFonts w:hint="cs"/>
          <w:b/>
          <w:bCs/>
          <w:sz w:val="20"/>
          <w:szCs w:val="20"/>
          <w:rtl/>
        </w:rPr>
        <w:t>בחתם סופר</w:t>
      </w:r>
      <w:r>
        <w:rPr>
          <w:sz w:val="20"/>
          <w:szCs w:val="20"/>
          <w:rtl/>
        </w:rPr>
        <w:t>–</w:t>
      </w:r>
      <w:r>
        <w:rPr>
          <w:rFonts w:hint="cs"/>
          <w:sz w:val="20"/>
          <w:szCs w:val="20"/>
          <w:rtl/>
        </w:rPr>
        <w:t xml:space="preserve"> טמאה.</w:t>
      </w:r>
      <w:r w:rsidRPr="00EC0563">
        <w:rPr>
          <w:sz w:val="20"/>
          <w:szCs w:val="20"/>
          <w:rtl/>
        </w:rPr>
        <w:br/>
      </w:r>
      <w:r>
        <w:rPr>
          <w:sz w:val="20"/>
          <w:szCs w:val="20"/>
          <w:u w:val="single"/>
          <w:rtl/>
        </w:rPr>
        <w:br/>
      </w:r>
      <w:r>
        <w:rPr>
          <w:rFonts w:hint="cs"/>
          <w:sz w:val="20"/>
          <w:szCs w:val="20"/>
          <w:u w:val="single"/>
          <w:rtl/>
        </w:rPr>
        <w:t>התעטשה ואחר כך מצאה דם (פת"ש)</w:t>
      </w:r>
      <w:r>
        <w:rPr>
          <w:rFonts w:hint="cs"/>
          <w:sz w:val="20"/>
          <w:szCs w:val="20"/>
          <w:u w:val="single"/>
          <w:rtl/>
        </w:rPr>
        <w:br/>
      </w:r>
      <w:r>
        <w:rPr>
          <w:rFonts w:hint="cs"/>
          <w:sz w:val="20"/>
          <w:szCs w:val="20"/>
          <w:rtl/>
        </w:rPr>
        <w:t xml:space="preserve">המקרה </w:t>
      </w:r>
      <w:r>
        <w:rPr>
          <w:sz w:val="20"/>
          <w:szCs w:val="20"/>
          <w:rtl/>
        </w:rPr>
        <w:t>–</w:t>
      </w:r>
      <w:r>
        <w:rPr>
          <w:rFonts w:hint="cs"/>
          <w:sz w:val="20"/>
          <w:szCs w:val="20"/>
          <w:rtl/>
        </w:rPr>
        <w:t xml:space="preserve"> אשה שהתעטשה בחוזק והרגישה מחמת כך שכמה טיפות מי רגליים ניתזות ממנה, אך לא יכלה לבדוק זאת באותו הזמן. לאחר מכן בדקה עצמה ומצאה בכתונת כתם דם פחות מכגריס, האם היא טמאה מחמת ההרגשה שהרגישה?</w:t>
      </w:r>
      <w:r>
        <w:rPr>
          <w:rFonts w:hint="cs"/>
          <w:sz w:val="20"/>
          <w:szCs w:val="20"/>
          <w:rtl/>
        </w:rPr>
        <w:br/>
        <w:t xml:space="preserve">א. </w:t>
      </w:r>
      <w:r w:rsidRPr="007B6D7E">
        <w:rPr>
          <w:rFonts w:hint="cs"/>
          <w:b/>
          <w:bCs/>
          <w:sz w:val="20"/>
          <w:szCs w:val="20"/>
          <w:rtl/>
        </w:rPr>
        <w:t>שב הכהן</w:t>
      </w:r>
      <w:r>
        <w:rPr>
          <w:rFonts w:hint="cs"/>
          <w:sz w:val="20"/>
          <w:szCs w:val="20"/>
          <w:rtl/>
        </w:rPr>
        <w:t xml:space="preserve"> </w:t>
      </w:r>
      <w:r>
        <w:rPr>
          <w:sz w:val="20"/>
          <w:szCs w:val="20"/>
          <w:rtl/>
        </w:rPr>
        <w:t>–</w:t>
      </w:r>
      <w:r>
        <w:rPr>
          <w:rFonts w:hint="cs"/>
          <w:sz w:val="20"/>
          <w:szCs w:val="20"/>
          <w:rtl/>
        </w:rPr>
        <w:t xml:space="preserve"> טהורה.</w:t>
      </w:r>
      <w:r>
        <w:rPr>
          <w:sz w:val="20"/>
          <w:szCs w:val="20"/>
          <w:rtl/>
        </w:rPr>
        <w:br/>
      </w:r>
      <w:r w:rsidRPr="007B6D7E">
        <w:rPr>
          <w:rFonts w:hint="cs"/>
          <w:b/>
          <w:bCs/>
          <w:sz w:val="20"/>
          <w:szCs w:val="20"/>
          <w:rtl/>
        </w:rPr>
        <w:t xml:space="preserve">טעם </w:t>
      </w:r>
      <w:r>
        <w:rPr>
          <w:sz w:val="20"/>
          <w:szCs w:val="20"/>
          <w:rtl/>
        </w:rPr>
        <w:t>–</w:t>
      </w:r>
      <w:r>
        <w:rPr>
          <w:rFonts w:hint="cs"/>
          <w:sz w:val="20"/>
          <w:szCs w:val="20"/>
          <w:rtl/>
        </w:rPr>
        <w:t xml:space="preserve"> הרגשה מטמאה רק אם בדקה </w:t>
      </w:r>
      <w:r w:rsidRPr="00631D46">
        <w:rPr>
          <w:rFonts w:hint="cs"/>
          <w:sz w:val="20"/>
          <w:szCs w:val="20"/>
          <w:u w:val="single"/>
          <w:rtl/>
        </w:rPr>
        <w:t>מייד</w:t>
      </w:r>
      <w:r>
        <w:rPr>
          <w:rFonts w:hint="cs"/>
          <w:sz w:val="20"/>
          <w:szCs w:val="20"/>
          <w:rtl/>
        </w:rPr>
        <w:t xml:space="preserve"> ולא מצאה כלום, בכה"ג אמרינן שלא לחינם הרגישה אלא יצא דם והתקנח. אך כאן יש לתלות את ההרגשה במי רגליים, שהרי היא לא בדקה עצמה מייד, ואם היתה בודקת מייד היתה רואה מי רגליים.</w:t>
      </w:r>
      <w:r>
        <w:rPr>
          <w:sz w:val="20"/>
          <w:szCs w:val="20"/>
          <w:rtl/>
        </w:rPr>
        <w:br/>
      </w:r>
      <w:r>
        <w:rPr>
          <w:rFonts w:hint="cs"/>
          <w:sz w:val="20"/>
          <w:szCs w:val="20"/>
          <w:rtl/>
        </w:rPr>
        <w:t xml:space="preserve">ב. </w:t>
      </w:r>
      <w:r w:rsidRPr="00892CA2">
        <w:rPr>
          <w:rFonts w:hint="cs"/>
          <w:b/>
          <w:bCs/>
          <w:sz w:val="20"/>
          <w:szCs w:val="20"/>
          <w:rtl/>
        </w:rPr>
        <w:t>תפארת צבי</w:t>
      </w:r>
      <w:r>
        <w:rPr>
          <w:rFonts w:hint="cs"/>
          <w:sz w:val="20"/>
          <w:szCs w:val="20"/>
          <w:rtl/>
        </w:rPr>
        <w:t xml:space="preserve"> </w:t>
      </w:r>
      <w:r w:rsidRPr="003D2996">
        <w:rPr>
          <w:sz w:val="20"/>
          <w:szCs w:val="20"/>
          <w:rtl/>
        </w:rPr>
        <w:t>–</w:t>
      </w:r>
      <w:r w:rsidRPr="003D2996">
        <w:rPr>
          <w:rFonts w:hint="cs"/>
          <w:sz w:val="20"/>
          <w:szCs w:val="20"/>
          <w:rtl/>
        </w:rPr>
        <w:t xml:space="preserve"> יש לסייג את היתר השב יעקב, ולהתיר דווקא בכה"ג שהרגישה שיוצא ממנה </w:t>
      </w:r>
      <w:r>
        <w:rPr>
          <w:rFonts w:hint="cs"/>
          <w:sz w:val="20"/>
          <w:szCs w:val="20"/>
          <w:rtl/>
        </w:rPr>
        <w:t>כמה טיפות,</w:t>
      </w:r>
      <w:r w:rsidRPr="003D2996">
        <w:rPr>
          <w:rFonts w:hint="cs"/>
          <w:sz w:val="20"/>
          <w:szCs w:val="20"/>
          <w:rtl/>
        </w:rPr>
        <w:t xml:space="preserve"> וכיוון שכעת רואה רק </w:t>
      </w:r>
      <w:r>
        <w:rPr>
          <w:rFonts w:hint="cs"/>
          <w:sz w:val="20"/>
          <w:szCs w:val="20"/>
          <w:rtl/>
        </w:rPr>
        <w:t xml:space="preserve">טיפה קטנה של </w:t>
      </w:r>
      <w:r w:rsidRPr="003D2996">
        <w:rPr>
          <w:rFonts w:hint="cs"/>
          <w:sz w:val="20"/>
          <w:szCs w:val="20"/>
          <w:rtl/>
        </w:rPr>
        <w:t>דם אמרינן שהוא אינו מחמת העיטוש. אך אם הרגישה שיוצא ממנה</w:t>
      </w:r>
      <w:r>
        <w:rPr>
          <w:rFonts w:hint="cs"/>
          <w:sz w:val="20"/>
          <w:szCs w:val="20"/>
          <w:rtl/>
        </w:rPr>
        <w:t xml:space="preserve"> רק מעט</w:t>
      </w:r>
      <w:r w:rsidRPr="003D2996">
        <w:rPr>
          <w:rFonts w:hint="cs"/>
          <w:sz w:val="20"/>
          <w:szCs w:val="20"/>
          <w:rtl/>
        </w:rPr>
        <w:t xml:space="preserve"> ואינה יודעת מה הוא ואחר כך מצאה דם </w:t>
      </w:r>
      <w:r w:rsidRPr="003D2996">
        <w:rPr>
          <w:sz w:val="20"/>
          <w:szCs w:val="20"/>
          <w:rtl/>
        </w:rPr>
        <w:t>–</w:t>
      </w:r>
      <w:r w:rsidRPr="003D2996">
        <w:rPr>
          <w:rFonts w:hint="cs"/>
          <w:sz w:val="20"/>
          <w:szCs w:val="20"/>
          <w:rtl/>
        </w:rPr>
        <w:t xml:space="preserve"> טמאה.</w:t>
      </w:r>
      <w:r w:rsidRPr="00EC0563">
        <w:rPr>
          <w:sz w:val="20"/>
          <w:szCs w:val="20"/>
          <w:rtl/>
        </w:rPr>
        <w:br/>
      </w:r>
      <w:r>
        <w:rPr>
          <w:rFonts w:hint="cs"/>
          <w:sz w:val="20"/>
          <w:szCs w:val="20"/>
          <w:rtl/>
        </w:rPr>
        <w:t xml:space="preserve">ג. </w:t>
      </w:r>
      <w:r w:rsidRPr="00AB5728">
        <w:rPr>
          <w:rFonts w:hint="cs"/>
          <w:b/>
          <w:bCs/>
          <w:sz w:val="20"/>
          <w:szCs w:val="20"/>
          <w:rtl/>
        </w:rPr>
        <w:t>סדרי טהרה</w:t>
      </w:r>
      <w:r>
        <w:rPr>
          <w:rFonts w:hint="cs"/>
          <w:sz w:val="20"/>
          <w:szCs w:val="20"/>
          <w:rtl/>
        </w:rPr>
        <w:t xml:space="preserve"> </w:t>
      </w:r>
      <w:r>
        <w:rPr>
          <w:sz w:val="20"/>
          <w:szCs w:val="20"/>
          <w:rtl/>
        </w:rPr>
        <w:t>–</w:t>
      </w:r>
      <w:r>
        <w:rPr>
          <w:rFonts w:hint="cs"/>
          <w:sz w:val="20"/>
          <w:szCs w:val="20"/>
          <w:rtl/>
        </w:rPr>
        <w:t xml:space="preserve"> אין לסייג את היתר השב יעקב, אלא בכל עניין טהורה.</w:t>
      </w:r>
      <w:r>
        <w:rPr>
          <w:sz w:val="20"/>
          <w:szCs w:val="20"/>
          <w:rtl/>
        </w:rPr>
        <w:br/>
      </w:r>
      <w:r w:rsidRPr="00AB5728">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ת"ה החמיר רק בהרגשת פתיחת המקור, אך הרגשת עיטוש תולים בדבר המצוי, כלומר במי רגליים.</w:t>
      </w:r>
    </w:p>
    <w:p w:rsidR="00620060" w:rsidRDefault="00620060" w:rsidP="00620060">
      <w:pPr>
        <w:rPr>
          <w:sz w:val="20"/>
          <w:szCs w:val="20"/>
          <w:rtl/>
        </w:rPr>
      </w:pPr>
      <w:r w:rsidRPr="00374CC3">
        <w:rPr>
          <w:rFonts w:hint="cs"/>
          <w:b/>
          <w:bCs/>
          <w:sz w:val="20"/>
          <w:szCs w:val="20"/>
          <w:rtl/>
        </w:rPr>
        <w:t>סיכום</w:t>
      </w:r>
      <w:r>
        <w:rPr>
          <w:sz w:val="20"/>
          <w:szCs w:val="20"/>
          <w:rtl/>
        </w:rPr>
        <w:br/>
      </w:r>
      <w:r>
        <w:rPr>
          <w:rFonts w:hint="cs"/>
          <w:sz w:val="20"/>
          <w:szCs w:val="20"/>
          <w:rtl/>
        </w:rPr>
        <w:t xml:space="preserve">1. </w:t>
      </w:r>
      <w:r w:rsidRPr="00374CC3">
        <w:rPr>
          <w:rFonts w:hint="cs"/>
          <w:b/>
          <w:bCs/>
          <w:sz w:val="20"/>
          <w:szCs w:val="20"/>
          <w:rtl/>
        </w:rPr>
        <w:t>גמרא ומשנה</w:t>
      </w:r>
      <w:r>
        <w:rPr>
          <w:rFonts w:hint="cs"/>
          <w:sz w:val="20"/>
          <w:szCs w:val="20"/>
          <w:rtl/>
        </w:rPr>
        <w:t xml:space="preserve">. מדאורייתא אשה טמאה רק בדם שיוצא בהרגשה, אך אם יוצא ללא הרגשה טהורה. </w:t>
      </w:r>
      <w:r>
        <w:rPr>
          <w:sz w:val="20"/>
          <w:szCs w:val="20"/>
          <w:rtl/>
        </w:rPr>
        <w:br/>
      </w:r>
      <w:r>
        <w:rPr>
          <w:rFonts w:hint="cs"/>
          <w:sz w:val="20"/>
          <w:szCs w:val="20"/>
          <w:rtl/>
        </w:rPr>
        <w:t>דם ללא הרגשה זהו כתם, טמא מדרבנן. בדין זה יש קולות רבות.</w:t>
      </w:r>
      <w:r>
        <w:rPr>
          <w:sz w:val="20"/>
          <w:szCs w:val="20"/>
          <w:rtl/>
        </w:rPr>
        <w:br/>
      </w:r>
      <w:r>
        <w:rPr>
          <w:rFonts w:hint="cs"/>
          <w:sz w:val="20"/>
          <w:szCs w:val="20"/>
          <w:rtl/>
        </w:rPr>
        <w:t xml:space="preserve">2. </w:t>
      </w:r>
      <w:r w:rsidRPr="003D2996">
        <w:rPr>
          <w:rFonts w:hint="cs"/>
          <w:sz w:val="20"/>
          <w:szCs w:val="20"/>
          <w:rtl/>
        </w:rPr>
        <w:t>טעמי הגזרה.</w:t>
      </w:r>
      <w:r>
        <w:rPr>
          <w:rFonts w:hint="cs"/>
          <w:sz w:val="20"/>
          <w:szCs w:val="20"/>
          <w:rtl/>
        </w:rPr>
        <w:t xml:space="preserve"> </w:t>
      </w:r>
      <w:r w:rsidRPr="00374CC3">
        <w:rPr>
          <w:rFonts w:hint="cs"/>
          <w:b/>
          <w:bCs/>
          <w:sz w:val="20"/>
          <w:szCs w:val="20"/>
          <w:rtl/>
        </w:rPr>
        <w:t>רש"י</w:t>
      </w:r>
      <w:r>
        <w:rPr>
          <w:rFonts w:hint="cs"/>
          <w:sz w:val="20"/>
          <w:szCs w:val="20"/>
          <w:rtl/>
        </w:rPr>
        <w:t xml:space="preserve">. שמא הרגישה ולא הבחינה בכך. </w:t>
      </w:r>
      <w:r w:rsidRPr="00374CC3">
        <w:rPr>
          <w:rFonts w:hint="cs"/>
          <w:b/>
          <w:bCs/>
          <w:sz w:val="20"/>
          <w:szCs w:val="20"/>
          <w:rtl/>
        </w:rPr>
        <w:t>רש"י</w:t>
      </w:r>
      <w:r>
        <w:rPr>
          <w:rFonts w:hint="cs"/>
          <w:sz w:val="20"/>
          <w:szCs w:val="20"/>
          <w:rtl/>
        </w:rPr>
        <w:t xml:space="preserve">. שלא יבואו להקל בטומאה דאורייתא. </w:t>
      </w:r>
      <w:r>
        <w:rPr>
          <w:sz w:val="20"/>
          <w:szCs w:val="20"/>
          <w:rtl/>
        </w:rPr>
        <w:br/>
      </w:r>
      <w:r w:rsidRPr="00374CC3">
        <w:rPr>
          <w:rFonts w:hint="cs"/>
          <w:b/>
          <w:bCs/>
          <w:sz w:val="20"/>
          <w:szCs w:val="20"/>
          <w:rtl/>
        </w:rPr>
        <w:t>רמב"ם</w:t>
      </w:r>
      <w:r>
        <w:rPr>
          <w:rFonts w:hint="cs"/>
          <w:sz w:val="20"/>
          <w:szCs w:val="20"/>
          <w:rtl/>
        </w:rPr>
        <w:t xml:space="preserve">. ספק דם החדר. </w:t>
      </w:r>
      <w:r w:rsidRPr="00374CC3">
        <w:rPr>
          <w:rFonts w:hint="cs"/>
          <w:b/>
          <w:bCs/>
          <w:sz w:val="20"/>
          <w:szCs w:val="20"/>
          <w:rtl/>
        </w:rPr>
        <w:t>ר"ן</w:t>
      </w:r>
      <w:r>
        <w:rPr>
          <w:rFonts w:hint="cs"/>
          <w:sz w:val="20"/>
          <w:szCs w:val="20"/>
          <w:rtl/>
        </w:rPr>
        <w:t>. שלא יבואו לטהר את הבגד שנמצא בו הכתם.</w:t>
      </w:r>
      <w:r>
        <w:rPr>
          <w:sz w:val="20"/>
          <w:szCs w:val="20"/>
          <w:rtl/>
        </w:rPr>
        <w:br/>
      </w:r>
      <w:r>
        <w:rPr>
          <w:rFonts w:hint="cs"/>
          <w:sz w:val="20"/>
          <w:szCs w:val="20"/>
          <w:rtl/>
        </w:rPr>
        <w:t xml:space="preserve">3. </w:t>
      </w:r>
      <w:r w:rsidRPr="00A02F6C">
        <w:rPr>
          <w:rFonts w:hint="cs"/>
          <w:sz w:val="20"/>
          <w:szCs w:val="20"/>
          <w:rtl/>
        </w:rPr>
        <w:t>מדוע החמירו, הרי זהו ספק ספקא?</w:t>
      </w:r>
      <w:r>
        <w:rPr>
          <w:rFonts w:hint="cs"/>
          <w:sz w:val="20"/>
          <w:szCs w:val="20"/>
          <w:rtl/>
        </w:rPr>
        <w:t xml:space="preserve"> </w:t>
      </w:r>
      <w:r w:rsidRPr="00374CC3">
        <w:rPr>
          <w:rFonts w:hint="cs"/>
          <w:b/>
          <w:bCs/>
          <w:sz w:val="20"/>
          <w:szCs w:val="20"/>
          <w:rtl/>
        </w:rPr>
        <w:t>כס"מ</w:t>
      </w:r>
      <w:r>
        <w:rPr>
          <w:rFonts w:hint="cs"/>
          <w:sz w:val="20"/>
          <w:szCs w:val="20"/>
          <w:rtl/>
        </w:rPr>
        <w:t xml:space="preserve">. החמירו באיסור חמור. </w:t>
      </w:r>
      <w:r w:rsidRPr="00374CC3">
        <w:rPr>
          <w:rFonts w:hint="cs"/>
          <w:b/>
          <w:bCs/>
          <w:sz w:val="20"/>
          <w:szCs w:val="20"/>
          <w:rtl/>
        </w:rPr>
        <w:t>כס"מ</w:t>
      </w:r>
      <w:r>
        <w:rPr>
          <w:rFonts w:hint="cs"/>
          <w:sz w:val="20"/>
          <w:szCs w:val="20"/>
          <w:rtl/>
        </w:rPr>
        <w:t xml:space="preserve">. אין לה במה לתלות ולכן ודאי מגופה ויש רק ספק אחד. </w:t>
      </w:r>
      <w:r w:rsidRPr="00374CC3">
        <w:rPr>
          <w:rFonts w:hint="cs"/>
          <w:b/>
          <w:bCs/>
          <w:sz w:val="20"/>
          <w:szCs w:val="20"/>
          <w:rtl/>
        </w:rPr>
        <w:t>ט"ז</w:t>
      </w:r>
      <w:r>
        <w:rPr>
          <w:rFonts w:hint="cs"/>
          <w:sz w:val="20"/>
          <w:szCs w:val="20"/>
          <w:rtl/>
        </w:rPr>
        <w:t>. רוב דמים כשאין מכה מגיעים מהמקור.</w:t>
      </w:r>
      <w:r>
        <w:rPr>
          <w:rFonts w:hint="cs"/>
          <w:sz w:val="20"/>
          <w:szCs w:val="20"/>
          <w:rtl/>
        </w:rPr>
        <w:br/>
        <w:t xml:space="preserve">4. </w:t>
      </w:r>
      <w:r w:rsidRPr="00374CC3">
        <w:rPr>
          <w:rFonts w:hint="cs"/>
          <w:b/>
          <w:bCs/>
          <w:sz w:val="20"/>
          <w:szCs w:val="20"/>
          <w:rtl/>
        </w:rPr>
        <w:t>ב"י</w:t>
      </w:r>
      <w:r>
        <w:rPr>
          <w:rFonts w:hint="cs"/>
          <w:sz w:val="20"/>
          <w:szCs w:val="20"/>
          <w:rtl/>
        </w:rPr>
        <w:t xml:space="preserve">. בזמן חז"ל, כתם בימי נידה מונה שישה והוא, בימי זיבה שומרת יום כנגד יום, ואם היה גדול </w:t>
      </w:r>
      <w:r>
        <w:rPr>
          <w:sz w:val="20"/>
          <w:szCs w:val="20"/>
          <w:rtl/>
        </w:rPr>
        <w:t>–</w:t>
      </w:r>
      <w:r>
        <w:rPr>
          <w:rFonts w:hint="cs"/>
          <w:sz w:val="20"/>
          <w:szCs w:val="20"/>
          <w:rtl/>
        </w:rPr>
        <w:t xml:space="preserve"> ז"נ.</w:t>
      </w:r>
      <w:r>
        <w:rPr>
          <w:rFonts w:hint="cs"/>
          <w:sz w:val="20"/>
          <w:szCs w:val="20"/>
          <w:rtl/>
        </w:rPr>
        <w:br/>
        <w:t xml:space="preserve">5. </w:t>
      </w:r>
      <w:r w:rsidRPr="00374CC3">
        <w:rPr>
          <w:rFonts w:hint="cs"/>
          <w:b/>
          <w:bCs/>
          <w:sz w:val="20"/>
          <w:szCs w:val="20"/>
          <w:rtl/>
        </w:rPr>
        <w:t>גמרא</w:t>
      </w:r>
      <w:r>
        <w:rPr>
          <w:rFonts w:hint="cs"/>
          <w:sz w:val="20"/>
          <w:szCs w:val="20"/>
          <w:rtl/>
        </w:rPr>
        <w:t>. כדי להיטהר מכתם צריכה לעשות הפסק.</w:t>
      </w:r>
      <w:r>
        <w:rPr>
          <w:sz w:val="20"/>
          <w:szCs w:val="20"/>
          <w:rtl/>
        </w:rPr>
        <w:br/>
      </w:r>
      <w:r>
        <w:rPr>
          <w:rFonts w:hint="cs"/>
          <w:sz w:val="20"/>
          <w:szCs w:val="20"/>
          <w:rtl/>
        </w:rPr>
        <w:t xml:space="preserve">6. </w:t>
      </w:r>
      <w:r w:rsidRPr="00A02F6C">
        <w:rPr>
          <w:rFonts w:hint="cs"/>
          <w:sz w:val="20"/>
          <w:szCs w:val="20"/>
          <w:rtl/>
        </w:rPr>
        <w:t>טהרה מכתם.</w:t>
      </w:r>
      <w:r>
        <w:rPr>
          <w:rFonts w:hint="cs"/>
          <w:sz w:val="20"/>
          <w:szCs w:val="20"/>
          <w:rtl/>
        </w:rPr>
        <w:t xml:space="preserve"> </w:t>
      </w:r>
      <w:r w:rsidRPr="00374CC3">
        <w:rPr>
          <w:rFonts w:hint="cs"/>
          <w:b/>
          <w:bCs/>
          <w:sz w:val="20"/>
          <w:szCs w:val="20"/>
          <w:rtl/>
        </w:rPr>
        <w:t>רמב"ן</w:t>
      </w:r>
      <w:r>
        <w:rPr>
          <w:rFonts w:hint="cs"/>
          <w:sz w:val="20"/>
          <w:szCs w:val="20"/>
          <w:rtl/>
        </w:rPr>
        <w:t xml:space="preserve">. הפסק וז"נ, וכ"פ </w:t>
      </w:r>
      <w:r w:rsidRPr="00374CC3">
        <w:rPr>
          <w:rFonts w:hint="cs"/>
          <w:b/>
          <w:bCs/>
          <w:sz w:val="20"/>
          <w:szCs w:val="20"/>
          <w:rtl/>
        </w:rPr>
        <w:t>המחבר</w:t>
      </w:r>
      <w:r>
        <w:rPr>
          <w:rFonts w:hint="cs"/>
          <w:sz w:val="20"/>
          <w:szCs w:val="20"/>
          <w:rtl/>
        </w:rPr>
        <w:t xml:space="preserve">. </w:t>
      </w:r>
      <w:r w:rsidRPr="00374CC3">
        <w:rPr>
          <w:rFonts w:hint="cs"/>
          <w:b/>
          <w:bCs/>
          <w:sz w:val="20"/>
          <w:szCs w:val="20"/>
          <w:rtl/>
        </w:rPr>
        <w:t>רמב"ם</w:t>
      </w:r>
      <w:r>
        <w:rPr>
          <w:rFonts w:hint="cs"/>
          <w:sz w:val="20"/>
          <w:szCs w:val="20"/>
          <w:rtl/>
        </w:rPr>
        <w:t>. אם אין לחוש לזבה, מונה שישה והוא.</w:t>
      </w:r>
      <w:r>
        <w:rPr>
          <w:sz w:val="20"/>
          <w:szCs w:val="20"/>
          <w:rtl/>
        </w:rPr>
        <w:br/>
      </w:r>
      <w:r>
        <w:rPr>
          <w:rFonts w:hint="cs"/>
          <w:sz w:val="20"/>
          <w:szCs w:val="20"/>
          <w:rtl/>
        </w:rPr>
        <w:t xml:space="preserve">7. </w:t>
      </w:r>
      <w:r w:rsidRPr="00374CC3">
        <w:rPr>
          <w:rFonts w:hint="cs"/>
          <w:b/>
          <w:bCs/>
          <w:sz w:val="20"/>
          <w:szCs w:val="20"/>
          <w:rtl/>
        </w:rPr>
        <w:t>טור</w:t>
      </w:r>
      <w:r>
        <w:rPr>
          <w:rFonts w:hint="cs"/>
          <w:sz w:val="20"/>
          <w:szCs w:val="20"/>
          <w:rtl/>
        </w:rPr>
        <w:t>. ראתה כתם ובדקה עצמה מייד ומצאה טהורה, לא מהני וטמאה, וכ"פ</w:t>
      </w:r>
      <w:r w:rsidRPr="00374CC3">
        <w:rPr>
          <w:rFonts w:hint="cs"/>
          <w:b/>
          <w:bCs/>
          <w:sz w:val="20"/>
          <w:szCs w:val="20"/>
          <w:rtl/>
        </w:rPr>
        <w:t xml:space="preserve"> המחבר</w:t>
      </w:r>
      <w:r>
        <w:rPr>
          <w:rFonts w:hint="cs"/>
          <w:sz w:val="20"/>
          <w:szCs w:val="20"/>
          <w:rtl/>
        </w:rPr>
        <w:t>.</w:t>
      </w:r>
      <w:r>
        <w:rPr>
          <w:sz w:val="20"/>
          <w:szCs w:val="20"/>
          <w:rtl/>
        </w:rPr>
        <w:br/>
      </w:r>
      <w:r>
        <w:rPr>
          <w:rFonts w:hint="cs"/>
          <w:sz w:val="20"/>
          <w:szCs w:val="20"/>
          <w:rtl/>
        </w:rPr>
        <w:t xml:space="preserve">8. </w:t>
      </w:r>
      <w:r w:rsidRPr="00A02F6C">
        <w:rPr>
          <w:rFonts w:hint="cs"/>
          <w:sz w:val="20"/>
          <w:szCs w:val="20"/>
          <w:rtl/>
        </w:rPr>
        <w:t xml:space="preserve">כתם הנמצא בבגד האיש, האם האשה טהורה? </w:t>
      </w:r>
      <w:r w:rsidRPr="00A02F6C">
        <w:rPr>
          <w:rFonts w:hint="cs"/>
          <w:b/>
          <w:bCs/>
          <w:sz w:val="20"/>
          <w:szCs w:val="20"/>
          <w:rtl/>
        </w:rPr>
        <w:t>פ</w:t>
      </w:r>
      <w:r w:rsidRPr="00374CC3">
        <w:rPr>
          <w:rFonts w:hint="cs"/>
          <w:b/>
          <w:bCs/>
          <w:sz w:val="20"/>
          <w:szCs w:val="20"/>
          <w:rtl/>
        </w:rPr>
        <w:t>"מ</w:t>
      </w:r>
      <w:r>
        <w:rPr>
          <w:rFonts w:hint="cs"/>
          <w:sz w:val="20"/>
          <w:szCs w:val="20"/>
          <w:rtl/>
        </w:rPr>
        <w:t xml:space="preserve">. טהורה. </w:t>
      </w:r>
      <w:r w:rsidRPr="00374CC3">
        <w:rPr>
          <w:rFonts w:hint="cs"/>
          <w:b/>
          <w:bCs/>
          <w:sz w:val="20"/>
          <w:szCs w:val="20"/>
          <w:rtl/>
        </w:rPr>
        <w:t>פת"ש</w:t>
      </w:r>
      <w:r>
        <w:rPr>
          <w:rFonts w:hint="cs"/>
          <w:sz w:val="20"/>
          <w:szCs w:val="20"/>
          <w:rtl/>
        </w:rPr>
        <w:t>. טמאה, וכן מוכח בתוספתא.</w:t>
      </w:r>
      <w:r>
        <w:rPr>
          <w:rFonts w:hint="cs"/>
          <w:sz w:val="20"/>
          <w:szCs w:val="20"/>
          <w:rtl/>
        </w:rPr>
        <w:br/>
        <w:t xml:space="preserve">9. </w:t>
      </w:r>
      <w:r w:rsidRPr="00374CC3">
        <w:rPr>
          <w:rFonts w:hint="cs"/>
          <w:b/>
          <w:bCs/>
          <w:sz w:val="20"/>
          <w:szCs w:val="20"/>
          <w:rtl/>
        </w:rPr>
        <w:t>ת"ה</w:t>
      </w:r>
      <w:r>
        <w:rPr>
          <w:rFonts w:hint="cs"/>
          <w:sz w:val="20"/>
          <w:szCs w:val="20"/>
          <w:rtl/>
        </w:rPr>
        <w:t xml:space="preserve">. הרגישה שנפתח המקור, בדקה ולא מצאה כלום, טמאה. הרגשה היא סברה דאורייתא, וכ"פ </w:t>
      </w:r>
      <w:r w:rsidRPr="00374CC3">
        <w:rPr>
          <w:rFonts w:hint="cs"/>
          <w:b/>
          <w:bCs/>
          <w:sz w:val="20"/>
          <w:szCs w:val="20"/>
          <w:rtl/>
        </w:rPr>
        <w:t>המחבר</w:t>
      </w:r>
      <w:r>
        <w:rPr>
          <w:rFonts w:hint="cs"/>
          <w:sz w:val="20"/>
          <w:szCs w:val="20"/>
          <w:rtl/>
        </w:rPr>
        <w:t>.</w:t>
      </w:r>
      <w:r>
        <w:rPr>
          <w:sz w:val="20"/>
          <w:szCs w:val="20"/>
          <w:rtl/>
        </w:rPr>
        <w:br/>
      </w:r>
      <w:r w:rsidRPr="00374CC3">
        <w:rPr>
          <w:rFonts w:hint="cs"/>
          <w:b/>
          <w:bCs/>
          <w:sz w:val="20"/>
          <w:szCs w:val="20"/>
          <w:rtl/>
        </w:rPr>
        <w:t>דרכ"מ</w:t>
      </w:r>
      <w:r>
        <w:rPr>
          <w:rFonts w:hint="cs"/>
          <w:sz w:val="20"/>
          <w:szCs w:val="20"/>
          <w:rtl/>
        </w:rPr>
        <w:t xml:space="preserve">. טהורה, וכ"פ </w:t>
      </w:r>
      <w:r w:rsidRPr="00374CC3">
        <w:rPr>
          <w:rFonts w:hint="cs"/>
          <w:b/>
          <w:bCs/>
          <w:sz w:val="20"/>
          <w:szCs w:val="20"/>
          <w:rtl/>
        </w:rPr>
        <w:t>הרדב"ז</w:t>
      </w:r>
      <w:r>
        <w:rPr>
          <w:rFonts w:hint="cs"/>
          <w:sz w:val="20"/>
          <w:szCs w:val="20"/>
          <w:rtl/>
        </w:rPr>
        <w:t>.</w:t>
      </w:r>
      <w:r>
        <w:rPr>
          <w:sz w:val="20"/>
          <w:szCs w:val="20"/>
          <w:rtl/>
        </w:rPr>
        <w:br/>
      </w:r>
      <w:r>
        <w:rPr>
          <w:rFonts w:hint="cs"/>
          <w:sz w:val="20"/>
          <w:szCs w:val="20"/>
          <w:rtl/>
        </w:rPr>
        <w:t xml:space="preserve">10. </w:t>
      </w:r>
      <w:r w:rsidRPr="00FE27FE">
        <w:rPr>
          <w:rFonts w:hint="cs"/>
          <w:sz w:val="20"/>
          <w:szCs w:val="20"/>
          <w:rtl/>
        </w:rPr>
        <w:t>קולות בחומרה זו.</w:t>
      </w:r>
      <w:r>
        <w:rPr>
          <w:rFonts w:hint="cs"/>
          <w:sz w:val="20"/>
          <w:szCs w:val="20"/>
          <w:rtl/>
        </w:rPr>
        <w:t xml:space="preserve"> א. בדקה עצמה כשיעור ווסת. </w:t>
      </w:r>
      <w:r w:rsidRPr="00374CC3">
        <w:rPr>
          <w:rFonts w:hint="cs"/>
          <w:b/>
          <w:bCs/>
          <w:sz w:val="20"/>
          <w:szCs w:val="20"/>
          <w:rtl/>
        </w:rPr>
        <w:t>חוו"ד</w:t>
      </w:r>
      <w:r>
        <w:rPr>
          <w:rFonts w:hint="cs"/>
          <w:sz w:val="20"/>
          <w:szCs w:val="20"/>
          <w:rtl/>
        </w:rPr>
        <w:t xml:space="preserve">. טמאה. </w:t>
      </w:r>
      <w:r w:rsidRPr="00374CC3">
        <w:rPr>
          <w:rFonts w:hint="cs"/>
          <w:b/>
          <w:bCs/>
          <w:sz w:val="20"/>
          <w:szCs w:val="20"/>
          <w:rtl/>
        </w:rPr>
        <w:t>כרתי</w:t>
      </w:r>
      <w:r>
        <w:rPr>
          <w:rFonts w:hint="cs"/>
          <w:sz w:val="20"/>
          <w:szCs w:val="20"/>
          <w:rtl/>
        </w:rPr>
        <w:t xml:space="preserve">. טהורה. ב. </w:t>
      </w:r>
      <w:r>
        <w:rPr>
          <w:rFonts w:hint="cs"/>
          <w:b/>
          <w:bCs/>
          <w:sz w:val="20"/>
          <w:szCs w:val="20"/>
          <w:rtl/>
        </w:rPr>
        <w:t>מחבר</w:t>
      </w:r>
      <w:r>
        <w:rPr>
          <w:rFonts w:hint="cs"/>
          <w:sz w:val="20"/>
          <w:szCs w:val="20"/>
          <w:rtl/>
        </w:rPr>
        <w:t xml:space="preserve">. מצאה מראה טהור </w:t>
      </w:r>
      <w:r>
        <w:rPr>
          <w:sz w:val="20"/>
          <w:szCs w:val="20"/>
          <w:rtl/>
        </w:rPr>
        <w:t>–</w:t>
      </w:r>
      <w:r>
        <w:rPr>
          <w:rFonts w:hint="cs"/>
          <w:sz w:val="20"/>
          <w:szCs w:val="20"/>
          <w:rtl/>
        </w:rPr>
        <w:t xml:space="preserve"> טהורה. ג. הרגישה שהזדעזעו אבריה ולא מצאה כלום. </w:t>
      </w:r>
      <w:r w:rsidRPr="00374CC3">
        <w:rPr>
          <w:rFonts w:hint="cs"/>
          <w:b/>
          <w:bCs/>
          <w:sz w:val="20"/>
          <w:szCs w:val="20"/>
          <w:rtl/>
        </w:rPr>
        <w:t>חכמ"א</w:t>
      </w:r>
      <w:r>
        <w:rPr>
          <w:rFonts w:hint="cs"/>
          <w:sz w:val="20"/>
          <w:szCs w:val="20"/>
          <w:rtl/>
        </w:rPr>
        <w:t xml:space="preserve">. טהורה. </w:t>
      </w:r>
      <w:r w:rsidRPr="00374CC3">
        <w:rPr>
          <w:rFonts w:hint="cs"/>
          <w:b/>
          <w:bCs/>
          <w:sz w:val="20"/>
          <w:szCs w:val="20"/>
          <w:rtl/>
        </w:rPr>
        <w:t>חת"ס</w:t>
      </w:r>
      <w:r>
        <w:rPr>
          <w:rFonts w:hint="cs"/>
          <w:sz w:val="20"/>
          <w:szCs w:val="20"/>
          <w:rtl/>
        </w:rPr>
        <w:t xml:space="preserve">. טמאה. ובהרגשת זיבת דבר לח, לכו"ע טהורה. ד. הרגשה באשה מסולקת דמים. </w:t>
      </w:r>
      <w:r w:rsidRPr="00374CC3">
        <w:rPr>
          <w:rFonts w:hint="cs"/>
          <w:b/>
          <w:bCs/>
          <w:sz w:val="20"/>
          <w:szCs w:val="20"/>
          <w:rtl/>
        </w:rPr>
        <w:t>תוה"ש</w:t>
      </w:r>
      <w:r>
        <w:rPr>
          <w:rFonts w:hint="cs"/>
          <w:sz w:val="20"/>
          <w:szCs w:val="20"/>
          <w:rtl/>
        </w:rPr>
        <w:t xml:space="preserve">. טהורה. משמע </w:t>
      </w:r>
      <w:r w:rsidRPr="00374CC3">
        <w:rPr>
          <w:rFonts w:hint="cs"/>
          <w:b/>
          <w:bCs/>
          <w:sz w:val="20"/>
          <w:szCs w:val="20"/>
          <w:rtl/>
        </w:rPr>
        <w:t>בחת"ס</w:t>
      </w:r>
      <w:r>
        <w:rPr>
          <w:rFonts w:hint="cs"/>
          <w:sz w:val="20"/>
          <w:szCs w:val="20"/>
          <w:rtl/>
        </w:rPr>
        <w:t>. טמאה.</w:t>
      </w:r>
      <w:r>
        <w:rPr>
          <w:sz w:val="20"/>
          <w:szCs w:val="20"/>
          <w:rtl/>
        </w:rPr>
        <w:br/>
      </w:r>
      <w:r>
        <w:rPr>
          <w:rFonts w:hint="cs"/>
          <w:sz w:val="20"/>
          <w:szCs w:val="20"/>
          <w:rtl/>
        </w:rPr>
        <w:t xml:space="preserve">11. התעטשה והרגישה טיפות ניתזות ממנה ואח"כ מצאה דם פחות מגריס. </w:t>
      </w:r>
      <w:r w:rsidRPr="00374CC3">
        <w:rPr>
          <w:rFonts w:hint="cs"/>
          <w:b/>
          <w:bCs/>
          <w:sz w:val="20"/>
          <w:szCs w:val="20"/>
          <w:rtl/>
        </w:rPr>
        <w:t>שב הכהן</w:t>
      </w:r>
      <w:r>
        <w:rPr>
          <w:rFonts w:hint="cs"/>
          <w:sz w:val="20"/>
          <w:szCs w:val="20"/>
          <w:rtl/>
        </w:rPr>
        <w:t xml:space="preserve">. טהורה. </w:t>
      </w:r>
      <w:r w:rsidRPr="00374CC3">
        <w:rPr>
          <w:rFonts w:hint="cs"/>
          <w:b/>
          <w:bCs/>
          <w:sz w:val="20"/>
          <w:szCs w:val="20"/>
          <w:rtl/>
        </w:rPr>
        <w:t>טעם</w:t>
      </w:r>
      <w:r>
        <w:rPr>
          <w:rFonts w:hint="cs"/>
          <w:sz w:val="20"/>
          <w:szCs w:val="20"/>
          <w:rtl/>
        </w:rPr>
        <w:t xml:space="preserve">. לא בדקה מייד. </w:t>
      </w:r>
      <w:r w:rsidRPr="00374CC3">
        <w:rPr>
          <w:rFonts w:hint="cs"/>
          <w:b/>
          <w:bCs/>
          <w:sz w:val="20"/>
          <w:szCs w:val="20"/>
          <w:rtl/>
        </w:rPr>
        <w:t>תפא"צ</w:t>
      </w:r>
      <w:r>
        <w:rPr>
          <w:rFonts w:hint="cs"/>
          <w:sz w:val="20"/>
          <w:szCs w:val="20"/>
          <w:rtl/>
        </w:rPr>
        <w:t xml:space="preserve">. מסייג, טהורה רק משום שהרגישה כמות גדולה ומצאה רק מעט. </w:t>
      </w:r>
      <w:r w:rsidRPr="00374CC3">
        <w:rPr>
          <w:rFonts w:hint="cs"/>
          <w:b/>
          <w:bCs/>
          <w:sz w:val="20"/>
          <w:szCs w:val="20"/>
          <w:rtl/>
        </w:rPr>
        <w:t>סד"ט</w:t>
      </w:r>
      <w:r>
        <w:rPr>
          <w:rFonts w:hint="cs"/>
          <w:sz w:val="20"/>
          <w:szCs w:val="20"/>
          <w:rtl/>
        </w:rPr>
        <w:t>. תמיד טהורה.</w:t>
      </w:r>
    </w:p>
    <w:p w:rsidR="00620060" w:rsidRDefault="00620060" w:rsidP="00620060">
      <w:pPr>
        <w:rPr>
          <w:rFonts w:cs="Arial"/>
          <w:sz w:val="20"/>
          <w:szCs w:val="20"/>
          <w:rtl/>
        </w:rPr>
      </w:pPr>
      <w:r>
        <w:rPr>
          <w:sz w:val="20"/>
          <w:szCs w:val="20"/>
          <w:rtl/>
        </w:rPr>
        <w:br/>
      </w:r>
      <w:r>
        <w:rPr>
          <w:rFonts w:hint="cs"/>
          <w:b/>
          <w:bCs/>
          <w:sz w:val="20"/>
          <w:szCs w:val="20"/>
          <w:rtl/>
        </w:rPr>
        <w:t xml:space="preserve">סעיף ב </w:t>
      </w:r>
      <w:r>
        <w:rPr>
          <w:b/>
          <w:bCs/>
          <w:sz w:val="20"/>
          <w:szCs w:val="20"/>
          <w:rtl/>
        </w:rPr>
        <w:t>–</w:t>
      </w:r>
      <w:r>
        <w:rPr>
          <w:rFonts w:hint="cs"/>
          <w:b/>
          <w:bCs/>
          <w:sz w:val="20"/>
          <w:szCs w:val="20"/>
          <w:rtl/>
        </w:rPr>
        <w:t xml:space="preserve"> דין כתמים בתינוקת</w:t>
      </w:r>
      <w:r>
        <w:rPr>
          <w:b/>
          <w:bCs/>
          <w:sz w:val="20"/>
          <w:szCs w:val="20"/>
          <w:rtl/>
        </w:rPr>
        <w:br/>
      </w:r>
      <w:r>
        <w:rPr>
          <w:rFonts w:hint="cs"/>
          <w:b/>
          <w:bCs/>
          <w:sz w:val="20"/>
          <w:szCs w:val="20"/>
          <w:rtl/>
        </w:rPr>
        <w:t>דין תינוקת שלא הגיע זמנה לראות</w:t>
      </w:r>
      <w:r>
        <w:rPr>
          <w:b/>
          <w:bCs/>
          <w:sz w:val="20"/>
          <w:szCs w:val="20"/>
          <w:rtl/>
        </w:rPr>
        <w:br/>
      </w:r>
      <w:r>
        <w:rPr>
          <w:rFonts w:hint="cs"/>
          <w:b/>
          <w:bCs/>
          <w:sz w:val="20"/>
          <w:szCs w:val="20"/>
          <w:rtl/>
        </w:rPr>
        <w:t xml:space="preserve">גמרא </w:t>
      </w:r>
      <w:r>
        <w:rPr>
          <w:rFonts w:hint="cs"/>
          <w:sz w:val="20"/>
          <w:szCs w:val="20"/>
          <w:rtl/>
        </w:rPr>
        <w:t>נידה (ה.) "</w:t>
      </w:r>
      <w:r w:rsidRPr="00FF624B">
        <w:rPr>
          <w:rFonts w:cs="Arial"/>
          <w:sz w:val="20"/>
          <w:szCs w:val="20"/>
          <w:rtl/>
        </w:rPr>
        <w:t>אמר רב יהודה אמר שמואל משום רבי חנינא בן אנטיגנוס</w:t>
      </w:r>
      <w:r>
        <w:rPr>
          <w:rFonts w:cs="Arial" w:hint="cs"/>
          <w:sz w:val="20"/>
          <w:szCs w:val="20"/>
          <w:rtl/>
        </w:rPr>
        <w:t>:</w:t>
      </w:r>
      <w:r w:rsidRPr="00FF624B">
        <w:rPr>
          <w:rFonts w:cs="Arial"/>
          <w:sz w:val="20"/>
          <w:szCs w:val="20"/>
          <w:rtl/>
        </w:rPr>
        <w:t xml:space="preserve"> כל הנשים כתמן טמא למפרע</w:t>
      </w:r>
      <w:r>
        <w:rPr>
          <w:rFonts w:cs="Arial" w:hint="cs"/>
          <w:sz w:val="20"/>
          <w:szCs w:val="20"/>
          <w:rtl/>
        </w:rPr>
        <w:t>,</w:t>
      </w:r>
      <w:r w:rsidRPr="00FF624B">
        <w:rPr>
          <w:rFonts w:cs="Arial"/>
          <w:sz w:val="20"/>
          <w:szCs w:val="20"/>
          <w:rtl/>
        </w:rPr>
        <w:t xml:space="preserve"> </w:t>
      </w:r>
      <w:r w:rsidRPr="00FF624B">
        <w:rPr>
          <w:rFonts w:cs="Arial"/>
          <w:sz w:val="20"/>
          <w:szCs w:val="20"/>
          <w:rtl/>
        </w:rPr>
        <w:lastRenderedPageBreak/>
        <w:t>ונשים שאמרו חכמים דיין שעתן</w:t>
      </w:r>
      <w:r>
        <w:rPr>
          <w:rFonts w:cs="Arial" w:hint="cs"/>
          <w:sz w:val="20"/>
          <w:szCs w:val="20"/>
          <w:rtl/>
        </w:rPr>
        <w:t xml:space="preserve"> -</w:t>
      </w:r>
      <w:r w:rsidRPr="00FF624B">
        <w:rPr>
          <w:rFonts w:cs="Arial"/>
          <w:sz w:val="20"/>
          <w:szCs w:val="20"/>
          <w:rtl/>
        </w:rPr>
        <w:t xml:space="preserve"> כתמן כראייתן</w:t>
      </w:r>
      <w:r>
        <w:rPr>
          <w:rFonts w:cs="Arial" w:hint="cs"/>
          <w:sz w:val="20"/>
          <w:szCs w:val="20"/>
          <w:rtl/>
        </w:rPr>
        <w:t>,</w:t>
      </w:r>
      <w:r w:rsidRPr="00FF624B">
        <w:rPr>
          <w:rFonts w:cs="Arial"/>
          <w:sz w:val="20"/>
          <w:szCs w:val="20"/>
          <w:rtl/>
        </w:rPr>
        <w:t xml:space="preserve"> חוץ מתינוקת שלא הגיע זמנה לראות שאפילו סדינין שלה מלוכלכין בדם </w:t>
      </w:r>
      <w:r>
        <w:rPr>
          <w:rFonts w:cs="Arial" w:hint="cs"/>
          <w:sz w:val="20"/>
          <w:szCs w:val="20"/>
          <w:rtl/>
        </w:rPr>
        <w:t xml:space="preserve">- </w:t>
      </w:r>
      <w:r w:rsidRPr="00FF624B">
        <w:rPr>
          <w:rFonts w:cs="Arial"/>
          <w:sz w:val="20"/>
          <w:szCs w:val="20"/>
          <w:rtl/>
        </w:rPr>
        <w:t>אין חוששין לה</w:t>
      </w:r>
      <w:r>
        <w:rPr>
          <w:rFonts w:cs="Arial" w:hint="cs"/>
          <w:sz w:val="20"/>
          <w:szCs w:val="20"/>
          <w:rtl/>
        </w:rPr>
        <w:t>".</w:t>
      </w:r>
      <w:r>
        <w:rPr>
          <w:rFonts w:cs="Arial"/>
          <w:sz w:val="20"/>
          <w:szCs w:val="20"/>
          <w:rtl/>
        </w:rPr>
        <w:br/>
      </w:r>
      <w:r>
        <w:rPr>
          <w:rFonts w:cs="Arial"/>
          <w:b/>
          <w:bCs/>
          <w:sz w:val="20"/>
          <w:szCs w:val="20"/>
          <w:rtl/>
        </w:rPr>
        <w:br/>
      </w:r>
      <w:r>
        <w:rPr>
          <w:rFonts w:cs="Arial" w:hint="cs"/>
          <w:b/>
          <w:bCs/>
          <w:sz w:val="20"/>
          <w:szCs w:val="20"/>
          <w:rtl/>
        </w:rPr>
        <w:t>האם יש חילוק בין בתולה לבעולה</w:t>
      </w:r>
      <w:r>
        <w:rPr>
          <w:rFonts w:cs="Arial"/>
          <w:b/>
          <w:bCs/>
          <w:sz w:val="20"/>
          <w:szCs w:val="20"/>
          <w:rtl/>
        </w:rPr>
        <w:br/>
      </w:r>
      <w:r>
        <w:rPr>
          <w:rFonts w:cs="Arial" w:hint="cs"/>
          <w:b/>
          <w:bCs/>
          <w:sz w:val="20"/>
          <w:szCs w:val="20"/>
          <w:rtl/>
        </w:rPr>
        <w:t xml:space="preserve">משנה </w:t>
      </w:r>
      <w:r>
        <w:rPr>
          <w:rFonts w:cs="Arial" w:hint="cs"/>
          <w:sz w:val="20"/>
          <w:szCs w:val="20"/>
          <w:rtl/>
        </w:rPr>
        <w:t xml:space="preserve">(שם, ז. </w:t>
      </w:r>
      <w:r>
        <w:rPr>
          <w:rFonts w:cs="Arial"/>
          <w:sz w:val="20"/>
          <w:szCs w:val="20"/>
          <w:rtl/>
        </w:rPr>
        <w:t>–</w:t>
      </w:r>
      <w:r>
        <w:rPr>
          <w:rFonts w:cs="Arial" w:hint="cs"/>
          <w:sz w:val="20"/>
          <w:szCs w:val="20"/>
          <w:rtl/>
        </w:rPr>
        <w:t xml:space="preserve"> ז:) "</w:t>
      </w:r>
      <w:r w:rsidRPr="007C32F0">
        <w:rPr>
          <w:rFonts w:cs="Arial"/>
          <w:sz w:val="20"/>
          <w:szCs w:val="20"/>
          <w:rtl/>
        </w:rPr>
        <w:t>רבי אליעזר אומר, ארבע נשים דיין שעתן: בתולה</w:t>
      </w:r>
      <w:r>
        <w:rPr>
          <w:rFonts w:cs="Arial" w:hint="cs"/>
          <w:sz w:val="20"/>
          <w:szCs w:val="20"/>
          <w:rtl/>
        </w:rPr>
        <w:t xml:space="preserve">... </w:t>
      </w:r>
      <w:r w:rsidRPr="007C32F0">
        <w:rPr>
          <w:rFonts w:cs="Arial"/>
          <w:sz w:val="20"/>
          <w:szCs w:val="20"/>
          <w:rtl/>
        </w:rPr>
        <w:t>איזו היא בתולה - כל שלא</w:t>
      </w:r>
      <w:r>
        <w:rPr>
          <w:rFonts w:cs="Arial"/>
          <w:sz w:val="20"/>
          <w:szCs w:val="20"/>
          <w:rtl/>
        </w:rPr>
        <w:t xml:space="preserve"> ראתה דם מימיה, אף על פי שנשואה</w:t>
      </w:r>
      <w:r>
        <w:rPr>
          <w:rFonts w:cs="Arial" w:hint="cs"/>
          <w:sz w:val="20"/>
          <w:szCs w:val="20"/>
          <w:rtl/>
        </w:rPr>
        <w:t>".</w:t>
      </w:r>
      <w:r>
        <w:rPr>
          <w:rFonts w:cs="Arial"/>
          <w:sz w:val="20"/>
          <w:szCs w:val="20"/>
          <w:rtl/>
        </w:rPr>
        <w:br/>
      </w:r>
      <w:r w:rsidRPr="007C32F0">
        <w:rPr>
          <w:rFonts w:cs="Arial" w:hint="cs"/>
          <w:b/>
          <w:bCs/>
          <w:sz w:val="20"/>
          <w:szCs w:val="20"/>
          <w:rtl/>
        </w:rPr>
        <w:t>טור</w:t>
      </w:r>
      <w:r>
        <w:rPr>
          <w:rFonts w:cs="Arial" w:hint="cs"/>
          <w:sz w:val="20"/>
          <w:szCs w:val="20"/>
          <w:rtl/>
        </w:rPr>
        <w:t xml:space="preserve"> </w:t>
      </w:r>
      <w:r>
        <w:rPr>
          <w:rFonts w:cs="Arial"/>
          <w:sz w:val="20"/>
          <w:szCs w:val="20"/>
          <w:rtl/>
        </w:rPr>
        <w:t>–</w:t>
      </w:r>
      <w:r>
        <w:rPr>
          <w:rFonts w:cs="Arial" w:hint="cs"/>
          <w:sz w:val="20"/>
          <w:szCs w:val="20"/>
          <w:rtl/>
        </w:rPr>
        <w:t xml:space="preserve"> אין חילוק בין תינוקת בתולה לבעולה, בכל אופן כתמה טהור.</w:t>
      </w:r>
      <w:r>
        <w:rPr>
          <w:rFonts w:cs="Arial"/>
          <w:sz w:val="20"/>
          <w:szCs w:val="20"/>
          <w:rtl/>
        </w:rPr>
        <w:br/>
      </w:r>
      <w:r>
        <w:rPr>
          <w:rFonts w:cs="Arial" w:hint="cs"/>
          <w:sz w:val="20"/>
          <w:szCs w:val="20"/>
          <w:rtl/>
        </w:rPr>
        <w:t xml:space="preserve">מסביר </w:t>
      </w:r>
      <w:r w:rsidRPr="007C32F0">
        <w:rPr>
          <w:rFonts w:cs="Arial" w:hint="cs"/>
          <w:b/>
          <w:bCs/>
          <w:sz w:val="20"/>
          <w:szCs w:val="20"/>
          <w:rtl/>
        </w:rPr>
        <w:t>הבית יוסף</w:t>
      </w:r>
      <w:r>
        <w:rPr>
          <w:rFonts w:cs="Arial" w:hint="cs"/>
          <w:sz w:val="20"/>
          <w:szCs w:val="20"/>
          <w:rtl/>
        </w:rPr>
        <w:t xml:space="preserve"> </w:t>
      </w:r>
      <w:r>
        <w:rPr>
          <w:rFonts w:cs="Arial"/>
          <w:sz w:val="20"/>
          <w:szCs w:val="20"/>
          <w:rtl/>
        </w:rPr>
        <w:t>–</w:t>
      </w:r>
      <w:r>
        <w:rPr>
          <w:rFonts w:cs="Arial" w:hint="cs"/>
          <w:sz w:val="20"/>
          <w:szCs w:val="20"/>
          <w:rtl/>
        </w:rPr>
        <w:t xml:space="preserve"> כפי שלעניין ראייה גמורה דיה שעתה ואין חילוק בין בתולה לבעולה, הוא הדין לעניין כתם.</w:t>
      </w:r>
    </w:p>
    <w:p w:rsidR="00620060" w:rsidRDefault="00620060" w:rsidP="00620060">
      <w:pPr>
        <w:rPr>
          <w:rFonts w:cs="Arial"/>
          <w:sz w:val="20"/>
          <w:szCs w:val="20"/>
          <w:rtl/>
        </w:rPr>
      </w:pPr>
      <w:r>
        <w:rPr>
          <w:rFonts w:cs="Arial" w:hint="cs"/>
          <w:b/>
          <w:bCs/>
          <w:sz w:val="20"/>
          <w:szCs w:val="20"/>
          <w:rtl/>
        </w:rPr>
        <w:t>לאחר כמה ראיות יצאה מדין תינוקת</w:t>
      </w:r>
      <w:r>
        <w:rPr>
          <w:rFonts w:cs="Arial" w:hint="cs"/>
          <w:sz w:val="20"/>
          <w:szCs w:val="20"/>
          <w:rtl/>
        </w:rPr>
        <w:br/>
        <w:t xml:space="preserve">א. </w:t>
      </w:r>
      <w:r>
        <w:rPr>
          <w:rFonts w:cs="Arial" w:hint="cs"/>
          <w:b/>
          <w:bCs/>
          <w:sz w:val="20"/>
          <w:szCs w:val="20"/>
          <w:rtl/>
        </w:rPr>
        <w:t xml:space="preserve">גמרא </w:t>
      </w:r>
      <w:r>
        <w:rPr>
          <w:rFonts w:cs="Arial" w:hint="cs"/>
          <w:sz w:val="20"/>
          <w:szCs w:val="20"/>
          <w:rtl/>
        </w:rPr>
        <w:t>(שם, י.) "</w:t>
      </w:r>
      <w:r w:rsidRPr="00806352">
        <w:rPr>
          <w:rFonts w:cs="Arial"/>
          <w:sz w:val="20"/>
          <w:szCs w:val="20"/>
          <w:rtl/>
        </w:rPr>
        <w:t>אמר עולא א</w:t>
      </w:r>
      <w:r>
        <w:rPr>
          <w:rFonts w:cs="Arial" w:hint="cs"/>
          <w:sz w:val="20"/>
          <w:szCs w:val="20"/>
          <w:rtl/>
        </w:rPr>
        <w:t xml:space="preserve">מר </w:t>
      </w:r>
      <w:r w:rsidRPr="00806352">
        <w:rPr>
          <w:rFonts w:cs="Arial"/>
          <w:sz w:val="20"/>
          <w:szCs w:val="20"/>
          <w:rtl/>
        </w:rPr>
        <w:t>ר</w:t>
      </w:r>
      <w:r>
        <w:rPr>
          <w:rFonts w:cs="Arial" w:hint="cs"/>
          <w:sz w:val="20"/>
          <w:szCs w:val="20"/>
          <w:rtl/>
        </w:rPr>
        <w:t>בי</w:t>
      </w:r>
      <w:r w:rsidRPr="00806352">
        <w:rPr>
          <w:rFonts w:cs="Arial"/>
          <w:sz w:val="20"/>
          <w:szCs w:val="20"/>
          <w:rtl/>
        </w:rPr>
        <w:t xml:space="preserve"> יוחנן משום ר</w:t>
      </w:r>
      <w:r>
        <w:rPr>
          <w:rFonts w:cs="Arial" w:hint="cs"/>
          <w:sz w:val="20"/>
          <w:szCs w:val="20"/>
          <w:rtl/>
        </w:rPr>
        <w:t xml:space="preserve">בי </w:t>
      </w:r>
      <w:r w:rsidRPr="00806352">
        <w:rPr>
          <w:rFonts w:cs="Arial"/>
          <w:sz w:val="20"/>
          <w:szCs w:val="20"/>
          <w:rtl/>
        </w:rPr>
        <w:t>ש</w:t>
      </w:r>
      <w:r>
        <w:rPr>
          <w:rFonts w:cs="Arial" w:hint="cs"/>
          <w:sz w:val="20"/>
          <w:szCs w:val="20"/>
          <w:rtl/>
        </w:rPr>
        <w:t>מעון</w:t>
      </w:r>
      <w:r w:rsidRPr="00806352">
        <w:rPr>
          <w:rFonts w:cs="Arial"/>
          <w:sz w:val="20"/>
          <w:szCs w:val="20"/>
          <w:rtl/>
        </w:rPr>
        <w:t xml:space="preserve"> בן יהוצדק: תינוקת שלא הגיע זמנה לראות וראתה, פעם ראשונה ושניה - רוקה ומדרסה בשוק טהור, כתמה נמי טהור</w:t>
      </w:r>
      <w:r>
        <w:rPr>
          <w:rFonts w:cs="Arial" w:hint="cs"/>
          <w:sz w:val="20"/>
          <w:szCs w:val="20"/>
          <w:rtl/>
        </w:rPr>
        <w:t>".</w:t>
      </w:r>
      <w:r>
        <w:rPr>
          <w:rFonts w:cs="Arial" w:hint="cs"/>
          <w:sz w:val="20"/>
          <w:szCs w:val="20"/>
          <w:rtl/>
        </w:rPr>
        <w:br/>
        <w:t xml:space="preserve">ב. </w:t>
      </w:r>
      <w:r w:rsidRPr="00806352">
        <w:rPr>
          <w:rFonts w:cs="Arial" w:hint="cs"/>
          <w:b/>
          <w:bCs/>
          <w:sz w:val="20"/>
          <w:szCs w:val="20"/>
          <w:rtl/>
        </w:rPr>
        <w:t>גמרא</w:t>
      </w:r>
      <w:r>
        <w:rPr>
          <w:rFonts w:cs="Arial" w:hint="cs"/>
          <w:sz w:val="20"/>
          <w:szCs w:val="20"/>
          <w:rtl/>
        </w:rPr>
        <w:t xml:space="preserve"> (שם, י.) "</w:t>
      </w:r>
      <w:r w:rsidRPr="00806352">
        <w:rPr>
          <w:rFonts w:cs="Arial"/>
          <w:sz w:val="20"/>
          <w:szCs w:val="20"/>
          <w:rtl/>
        </w:rPr>
        <w:t>כתם שבין ראשונה ושניה - טהור, שבין שניה ושלישית; חזקיה אמר: טמא, רבי יוחנן אמר: טהור. חזקיה אמר: טמא, כיון דאילו חזיא - מטמאה, כתמה נמי - טמא. ורבי יוחנן אמר: טהור, כיון דלא אתחזקה בדם - כתמה נמי לא מטמינן לה</w:t>
      </w:r>
      <w:r>
        <w:rPr>
          <w:rFonts w:cs="Arial" w:hint="cs"/>
          <w:sz w:val="20"/>
          <w:szCs w:val="20"/>
          <w:rtl/>
        </w:rPr>
        <w:t>"</w:t>
      </w:r>
      <w:r w:rsidRPr="00806352">
        <w:rPr>
          <w:rFonts w:cs="Arial"/>
          <w:sz w:val="20"/>
          <w:szCs w:val="20"/>
          <w:rtl/>
        </w:rPr>
        <w:t>.</w:t>
      </w:r>
    </w:p>
    <w:p w:rsidR="00620060" w:rsidRDefault="00620060" w:rsidP="00620060">
      <w:pPr>
        <w:rPr>
          <w:rFonts w:cs="Arial"/>
          <w:sz w:val="20"/>
          <w:szCs w:val="20"/>
          <w:rtl/>
        </w:rPr>
      </w:pPr>
      <w:r w:rsidRPr="00FD023D">
        <w:rPr>
          <w:rFonts w:cs="Arial" w:hint="cs"/>
          <w:b/>
          <w:bCs/>
          <w:sz w:val="20"/>
          <w:szCs w:val="20"/>
          <w:rtl/>
        </w:rPr>
        <w:t>שיטות הראשונים</w:t>
      </w:r>
      <w:r>
        <w:rPr>
          <w:rFonts w:cs="Arial"/>
          <w:sz w:val="20"/>
          <w:szCs w:val="20"/>
          <w:u w:val="single"/>
          <w:rtl/>
        </w:rPr>
        <w:br/>
      </w:r>
      <w:r>
        <w:rPr>
          <w:rFonts w:cs="Arial" w:hint="cs"/>
          <w:sz w:val="20"/>
          <w:szCs w:val="20"/>
          <w:rtl/>
        </w:rPr>
        <w:t xml:space="preserve">א. </w:t>
      </w:r>
      <w:r w:rsidRPr="00834457">
        <w:rPr>
          <w:rFonts w:cs="Arial" w:hint="cs"/>
          <w:b/>
          <w:bCs/>
          <w:sz w:val="20"/>
          <w:szCs w:val="20"/>
          <w:rtl/>
        </w:rPr>
        <w:t>רשב"א</w:t>
      </w:r>
      <w:r>
        <w:rPr>
          <w:rFonts w:cs="Arial" w:hint="cs"/>
          <w:sz w:val="20"/>
          <w:szCs w:val="20"/>
          <w:rtl/>
        </w:rPr>
        <w:t xml:space="preserve"> </w:t>
      </w:r>
      <w:r>
        <w:rPr>
          <w:rFonts w:cs="Arial"/>
          <w:sz w:val="20"/>
          <w:szCs w:val="20"/>
          <w:rtl/>
        </w:rPr>
        <w:t>–</w:t>
      </w:r>
      <w:r>
        <w:rPr>
          <w:rFonts w:cs="Arial" w:hint="cs"/>
          <w:sz w:val="20"/>
          <w:szCs w:val="20"/>
          <w:rtl/>
        </w:rPr>
        <w:t xml:space="preserve"> כתם לאחר שתי ראיות טהור, לאחר שלוש ראיות טמא, כרבי יוחנן, וכ"פ </w:t>
      </w:r>
      <w:r w:rsidRPr="00915335">
        <w:rPr>
          <w:rFonts w:cs="Arial" w:hint="cs"/>
          <w:b/>
          <w:bCs/>
          <w:sz w:val="20"/>
          <w:szCs w:val="20"/>
          <w:rtl/>
        </w:rPr>
        <w:t>המחבר</w:t>
      </w:r>
      <w:r>
        <w:rPr>
          <w:rFonts w:cs="Arial" w:hint="cs"/>
          <w:sz w:val="20"/>
          <w:szCs w:val="20"/>
          <w:rtl/>
        </w:rPr>
        <w:t>.</w:t>
      </w:r>
      <w:r>
        <w:rPr>
          <w:rFonts w:cs="Arial"/>
          <w:sz w:val="20"/>
          <w:szCs w:val="20"/>
          <w:rtl/>
        </w:rPr>
        <w:br/>
      </w:r>
      <w:r w:rsidRPr="00834457">
        <w:rPr>
          <w:rFonts w:cs="Arial" w:hint="cs"/>
          <w:b/>
          <w:bCs/>
          <w:sz w:val="20"/>
          <w:szCs w:val="20"/>
          <w:rtl/>
        </w:rPr>
        <w:t>טעם</w:t>
      </w:r>
      <w:r>
        <w:rPr>
          <w:rFonts w:cs="Arial" w:hint="cs"/>
          <w:sz w:val="20"/>
          <w:szCs w:val="20"/>
          <w:rtl/>
        </w:rPr>
        <w:t xml:space="preserve"> </w:t>
      </w:r>
      <w:r>
        <w:rPr>
          <w:rFonts w:cs="Arial"/>
          <w:sz w:val="20"/>
          <w:szCs w:val="20"/>
          <w:rtl/>
        </w:rPr>
        <w:t>–</w:t>
      </w:r>
      <w:r>
        <w:rPr>
          <w:rFonts w:cs="Arial" w:hint="cs"/>
          <w:sz w:val="20"/>
          <w:szCs w:val="20"/>
          <w:rtl/>
        </w:rPr>
        <w:t xml:space="preserve"> כך סוברים גם רבי שמעון בן יהוצדק ושאר האמוראים.</w:t>
      </w:r>
      <w:r>
        <w:rPr>
          <w:rStyle w:val="a5"/>
          <w:rFonts w:cs="Arial"/>
          <w:sz w:val="20"/>
          <w:szCs w:val="20"/>
          <w:rtl/>
        </w:rPr>
        <w:footnoteReference w:id="254"/>
      </w:r>
      <w:r>
        <w:rPr>
          <w:rFonts w:cs="Arial" w:hint="cs"/>
          <w:sz w:val="20"/>
          <w:szCs w:val="20"/>
          <w:rtl/>
        </w:rPr>
        <w:br/>
        <w:t xml:space="preserve">ב. </w:t>
      </w:r>
      <w:r w:rsidRPr="00834457">
        <w:rPr>
          <w:rFonts w:cs="Arial" w:hint="cs"/>
          <w:b/>
          <w:bCs/>
          <w:sz w:val="20"/>
          <w:szCs w:val="20"/>
          <w:rtl/>
        </w:rPr>
        <w:t>רש"י ותוספות</w:t>
      </w:r>
      <w:r>
        <w:rPr>
          <w:rFonts w:cs="Arial" w:hint="cs"/>
          <w:sz w:val="20"/>
          <w:szCs w:val="20"/>
          <w:rtl/>
        </w:rPr>
        <w:t xml:space="preserve"> </w:t>
      </w:r>
      <w:r>
        <w:rPr>
          <w:rFonts w:cs="Arial"/>
          <w:sz w:val="20"/>
          <w:szCs w:val="20"/>
          <w:rtl/>
        </w:rPr>
        <w:t>–</w:t>
      </w:r>
      <w:r>
        <w:rPr>
          <w:rFonts w:cs="Arial" w:hint="cs"/>
          <w:sz w:val="20"/>
          <w:szCs w:val="20"/>
          <w:rtl/>
        </w:rPr>
        <w:t xml:space="preserve"> כתם לאחר שלוש ראיות טהור, לאחר ד' ראיות טמא.</w:t>
      </w:r>
      <w:r>
        <w:rPr>
          <w:rFonts w:cs="Arial" w:hint="cs"/>
          <w:sz w:val="20"/>
          <w:szCs w:val="20"/>
          <w:rtl/>
        </w:rPr>
        <w:br/>
      </w:r>
      <w:r w:rsidRPr="00915335">
        <w:rPr>
          <w:rFonts w:cs="Arial" w:hint="cs"/>
          <w:b/>
          <w:bCs/>
          <w:sz w:val="20"/>
          <w:szCs w:val="20"/>
          <w:rtl/>
        </w:rPr>
        <w:t xml:space="preserve">טעם </w:t>
      </w:r>
      <w:r>
        <w:rPr>
          <w:rFonts w:cs="Arial"/>
          <w:sz w:val="20"/>
          <w:szCs w:val="20"/>
          <w:rtl/>
        </w:rPr>
        <w:t>–</w:t>
      </w:r>
      <w:r>
        <w:rPr>
          <w:rFonts w:cs="Arial" w:hint="cs"/>
          <w:sz w:val="20"/>
          <w:szCs w:val="20"/>
          <w:rtl/>
        </w:rPr>
        <w:t xml:space="preserve"> מחלוקת האמוראים לעיל נאמרה בשיטת רבי הסובר שווסת נקבע בשתי ראיות, אך לדידן קיי"ל כרשב"ג שווסת נקבע בג' ראיות, והראייה הראשונה אינה ראויה להצטרף לפי שהיא מקרה, לכן רק לאחר ד' ראיות כתמה טמא.</w:t>
      </w:r>
    </w:p>
    <w:p w:rsidR="00620060" w:rsidRDefault="00620060" w:rsidP="00620060">
      <w:pPr>
        <w:rPr>
          <w:rFonts w:cs="Arial"/>
          <w:sz w:val="20"/>
          <w:szCs w:val="20"/>
          <w:rtl/>
        </w:rPr>
      </w:pPr>
      <w:r w:rsidRPr="00022B6D">
        <w:rPr>
          <w:rFonts w:cs="Arial" w:hint="cs"/>
          <w:b/>
          <w:bCs/>
          <w:sz w:val="20"/>
          <w:szCs w:val="20"/>
          <w:rtl/>
        </w:rPr>
        <w:t>עד אימתי נחשבת תינוקת</w:t>
      </w:r>
      <w:r w:rsidRPr="00022B6D">
        <w:rPr>
          <w:rFonts w:cs="Arial"/>
          <w:b/>
          <w:bCs/>
          <w:sz w:val="20"/>
          <w:szCs w:val="20"/>
          <w:rtl/>
        </w:rPr>
        <w:br/>
      </w:r>
      <w:r>
        <w:rPr>
          <w:rFonts w:cs="Arial" w:hint="cs"/>
          <w:b/>
          <w:bCs/>
          <w:sz w:val="20"/>
          <w:szCs w:val="20"/>
          <w:rtl/>
        </w:rPr>
        <w:t xml:space="preserve">גמרא </w:t>
      </w:r>
      <w:r>
        <w:rPr>
          <w:rFonts w:cs="Arial" w:hint="cs"/>
          <w:sz w:val="20"/>
          <w:szCs w:val="20"/>
          <w:rtl/>
        </w:rPr>
        <w:t>(שם, ה.) "</w:t>
      </w:r>
      <w:r w:rsidRPr="00022B6D">
        <w:rPr>
          <w:rFonts w:cs="Arial"/>
          <w:sz w:val="20"/>
          <w:szCs w:val="20"/>
          <w:rtl/>
        </w:rPr>
        <w:t>רבי חנינא בן אנטיגנוס אומר: נשים שאמרו חכמים דיין שעתן - כתמן כראייתן. ותינוקת שהגיע זמנה לראות - יש לה כתם, ושלא הגיע זמנה לראות - אין לה כתם. ואימתי הגיע זמנה לראות - משה</w:t>
      </w:r>
      <w:r>
        <w:rPr>
          <w:rFonts w:cs="Arial"/>
          <w:sz w:val="20"/>
          <w:szCs w:val="20"/>
          <w:rtl/>
        </w:rPr>
        <w:t>גיעו ימי הנעורים</w:t>
      </w:r>
      <w:r>
        <w:rPr>
          <w:rFonts w:cs="Arial" w:hint="cs"/>
          <w:sz w:val="20"/>
          <w:szCs w:val="20"/>
          <w:rtl/>
        </w:rPr>
        <w:t>".</w:t>
      </w:r>
      <w:r w:rsidRPr="00022B6D">
        <w:rPr>
          <w:rFonts w:cs="Arial"/>
          <w:b/>
          <w:bCs/>
          <w:sz w:val="20"/>
          <w:szCs w:val="20"/>
          <w:rtl/>
        </w:rPr>
        <w:br/>
      </w:r>
      <w:r>
        <w:rPr>
          <w:rFonts w:cs="Arial" w:hint="cs"/>
          <w:b/>
          <w:bCs/>
          <w:sz w:val="20"/>
          <w:szCs w:val="20"/>
          <w:rtl/>
        </w:rPr>
        <w:t xml:space="preserve">רשב"א </w:t>
      </w:r>
      <w:r>
        <w:rPr>
          <w:rFonts w:cs="Arial"/>
          <w:sz w:val="20"/>
          <w:szCs w:val="20"/>
          <w:rtl/>
        </w:rPr>
        <w:t>–</w:t>
      </w:r>
      <w:r>
        <w:rPr>
          <w:rFonts w:cs="Arial" w:hint="cs"/>
          <w:sz w:val="20"/>
          <w:szCs w:val="20"/>
          <w:rtl/>
        </w:rPr>
        <w:t xml:space="preserve"> כשהגיע זמנה לראות, אפילו אם לא ראתה כתמה טמא.</w:t>
      </w:r>
    </w:p>
    <w:p w:rsidR="00620060" w:rsidRDefault="00620060" w:rsidP="00620060">
      <w:pPr>
        <w:rPr>
          <w:rFonts w:cs="Arial"/>
          <w:b/>
          <w:bCs/>
          <w:sz w:val="20"/>
          <w:szCs w:val="20"/>
          <w:rtl/>
        </w:rPr>
      </w:pPr>
      <w:r>
        <w:rPr>
          <w:rFonts w:cs="Arial" w:hint="cs"/>
          <w:sz w:val="20"/>
          <w:szCs w:val="20"/>
          <w:u w:val="single"/>
          <w:rtl/>
        </w:rPr>
        <w:t>האם צריך שנים וסימנים?</w:t>
      </w:r>
      <w:r>
        <w:rPr>
          <w:rFonts w:cs="Arial"/>
          <w:sz w:val="20"/>
          <w:szCs w:val="20"/>
          <w:u w:val="single"/>
          <w:rtl/>
        </w:rPr>
        <w:br/>
      </w:r>
      <w:r>
        <w:rPr>
          <w:rFonts w:cs="Arial" w:hint="cs"/>
          <w:sz w:val="20"/>
          <w:szCs w:val="20"/>
          <w:rtl/>
        </w:rPr>
        <w:t>מאימתי אינה תינוקת?</w:t>
      </w:r>
      <w:r>
        <w:rPr>
          <w:rFonts w:cs="Arial" w:hint="cs"/>
          <w:sz w:val="20"/>
          <w:szCs w:val="20"/>
          <w:u w:val="single"/>
          <w:rtl/>
        </w:rPr>
        <w:br/>
      </w:r>
      <w:r>
        <w:rPr>
          <w:rFonts w:cs="Arial" w:hint="cs"/>
          <w:sz w:val="20"/>
          <w:szCs w:val="20"/>
          <w:rtl/>
        </w:rPr>
        <w:t xml:space="preserve">א. </w:t>
      </w:r>
      <w:r w:rsidRPr="008E2DED">
        <w:rPr>
          <w:rFonts w:cs="Arial" w:hint="cs"/>
          <w:b/>
          <w:bCs/>
          <w:sz w:val="20"/>
          <w:szCs w:val="20"/>
          <w:rtl/>
        </w:rPr>
        <w:t>רשב"א</w:t>
      </w:r>
      <w:r w:rsidRPr="008E2DED">
        <w:rPr>
          <w:rFonts w:cs="Arial" w:hint="cs"/>
          <w:sz w:val="20"/>
          <w:szCs w:val="20"/>
          <w:rtl/>
        </w:rPr>
        <w:t xml:space="preserve"> </w:t>
      </w:r>
      <w:r w:rsidRPr="008E2DED">
        <w:rPr>
          <w:rFonts w:cs="Arial"/>
          <w:sz w:val="20"/>
          <w:szCs w:val="20"/>
          <w:rtl/>
        </w:rPr>
        <w:t>–</w:t>
      </w:r>
      <w:r w:rsidRPr="008E2DED">
        <w:rPr>
          <w:rFonts w:cs="Arial" w:hint="cs"/>
          <w:sz w:val="20"/>
          <w:szCs w:val="20"/>
          <w:rtl/>
        </w:rPr>
        <w:t xml:space="preserve"> רק </w:t>
      </w:r>
      <w:r>
        <w:rPr>
          <w:rFonts w:cs="Arial" w:hint="cs"/>
          <w:sz w:val="20"/>
          <w:szCs w:val="20"/>
          <w:rtl/>
        </w:rPr>
        <w:t>כ</w:t>
      </w:r>
      <w:r w:rsidRPr="008E2DED">
        <w:rPr>
          <w:rFonts w:cs="Arial" w:hint="cs"/>
          <w:sz w:val="20"/>
          <w:szCs w:val="20"/>
          <w:rtl/>
        </w:rPr>
        <w:t>שהגיעה ליב' שנה והביאה שערות, לפני כן אין כתמה טמא.</w:t>
      </w:r>
      <w:r w:rsidRPr="008E2DED">
        <w:rPr>
          <w:rFonts w:cs="Arial" w:hint="cs"/>
          <w:sz w:val="20"/>
          <w:szCs w:val="20"/>
          <w:rtl/>
        </w:rPr>
        <w:br/>
      </w:r>
      <w:r>
        <w:rPr>
          <w:rFonts w:cs="Arial" w:hint="cs"/>
          <w:sz w:val="20"/>
          <w:szCs w:val="20"/>
          <w:rtl/>
        </w:rPr>
        <w:t xml:space="preserve">אמנם, אין צריך לבדוק אם הביאה שערות, דמסתמא הביאה, וכפי שהורה רבא </w:t>
      </w:r>
      <w:r w:rsidRPr="00BD4142">
        <w:rPr>
          <w:rFonts w:cs="Arial" w:hint="cs"/>
          <w:sz w:val="18"/>
          <w:szCs w:val="18"/>
          <w:rtl/>
        </w:rPr>
        <w:t>(נדה, מח:)</w:t>
      </w:r>
      <w:r>
        <w:rPr>
          <w:rFonts w:cs="Arial" w:hint="cs"/>
          <w:sz w:val="20"/>
          <w:szCs w:val="20"/>
          <w:rtl/>
        </w:rPr>
        <w:t>: "</w:t>
      </w:r>
      <w:r w:rsidRPr="008E2DED">
        <w:rPr>
          <w:rFonts w:cs="Arial"/>
          <w:sz w:val="20"/>
          <w:szCs w:val="20"/>
          <w:rtl/>
        </w:rPr>
        <w:t>אמר רבא: קטנה שהגיעה לכלל שנותיה - אינה צריכה בדיקה, חזקה הביאה סימנין</w:t>
      </w:r>
      <w:r>
        <w:rPr>
          <w:rFonts w:cs="Arial" w:hint="cs"/>
          <w:sz w:val="20"/>
          <w:szCs w:val="20"/>
          <w:rtl/>
        </w:rPr>
        <w:t xml:space="preserve">", אך אם בדקו ולא הביאה </w:t>
      </w:r>
      <w:r>
        <w:rPr>
          <w:rFonts w:cs="Arial"/>
          <w:sz w:val="20"/>
          <w:szCs w:val="20"/>
          <w:rtl/>
        </w:rPr>
        <w:t>–</w:t>
      </w:r>
      <w:r>
        <w:rPr>
          <w:rFonts w:cs="Arial" w:hint="cs"/>
          <w:sz w:val="20"/>
          <w:szCs w:val="20"/>
          <w:rtl/>
        </w:rPr>
        <w:t xml:space="preserve"> כתמה טהור, ואין חוששים שמא הביאה ונשרו</w:t>
      </w:r>
      <w:r>
        <w:rPr>
          <w:rStyle w:val="a5"/>
          <w:rFonts w:cs="Arial"/>
          <w:sz w:val="20"/>
          <w:szCs w:val="20"/>
          <w:rtl/>
        </w:rPr>
        <w:footnoteReference w:id="255"/>
      </w:r>
      <w:r>
        <w:rPr>
          <w:rFonts w:cs="Arial" w:hint="cs"/>
          <w:sz w:val="20"/>
          <w:szCs w:val="20"/>
          <w:rtl/>
        </w:rPr>
        <w:t xml:space="preserve">, וכ"פ </w:t>
      </w:r>
      <w:r w:rsidRPr="008C61B4">
        <w:rPr>
          <w:rFonts w:cs="Arial" w:hint="cs"/>
          <w:b/>
          <w:bCs/>
          <w:sz w:val="20"/>
          <w:szCs w:val="20"/>
          <w:rtl/>
        </w:rPr>
        <w:t>המחבר</w:t>
      </w:r>
      <w:r>
        <w:rPr>
          <w:rFonts w:cs="Arial" w:hint="cs"/>
          <w:sz w:val="20"/>
          <w:szCs w:val="20"/>
          <w:rtl/>
        </w:rPr>
        <w:t>.</w:t>
      </w:r>
      <w:r>
        <w:rPr>
          <w:rFonts w:cs="Arial"/>
          <w:sz w:val="20"/>
          <w:szCs w:val="20"/>
          <w:rtl/>
        </w:rPr>
        <w:br/>
      </w:r>
      <w:r>
        <w:rPr>
          <w:rFonts w:cs="Arial" w:hint="cs"/>
          <w:sz w:val="20"/>
          <w:szCs w:val="20"/>
          <w:rtl/>
        </w:rPr>
        <w:t xml:space="preserve">ב. </w:t>
      </w:r>
      <w:r w:rsidRPr="008E2DED">
        <w:rPr>
          <w:rFonts w:cs="Arial" w:hint="cs"/>
          <w:b/>
          <w:bCs/>
          <w:sz w:val="20"/>
          <w:szCs w:val="20"/>
          <w:rtl/>
        </w:rPr>
        <w:t>רש"י</w:t>
      </w:r>
      <w:r>
        <w:rPr>
          <w:rFonts w:cs="Arial" w:hint="cs"/>
          <w:sz w:val="20"/>
          <w:szCs w:val="20"/>
          <w:rtl/>
        </w:rPr>
        <w:t xml:space="preserve"> </w:t>
      </w:r>
      <w:r>
        <w:rPr>
          <w:rFonts w:cs="Arial"/>
          <w:sz w:val="20"/>
          <w:szCs w:val="20"/>
          <w:rtl/>
        </w:rPr>
        <w:t>–</w:t>
      </w:r>
      <w:r>
        <w:rPr>
          <w:rFonts w:cs="Arial" w:hint="cs"/>
          <w:sz w:val="20"/>
          <w:szCs w:val="20"/>
          <w:rtl/>
        </w:rPr>
        <w:t xml:space="preserve"> כל שהגיעה ליב' שנה ויום אחד כתמה טמא, ואין להשגיח בהבאת שערות.</w:t>
      </w:r>
      <w:r>
        <w:rPr>
          <w:rFonts w:cs="Arial"/>
          <w:sz w:val="20"/>
          <w:szCs w:val="20"/>
          <w:rtl/>
        </w:rPr>
        <w:br/>
      </w:r>
      <w:r w:rsidRPr="008E2DED">
        <w:rPr>
          <w:rFonts w:cs="Arial" w:hint="cs"/>
          <w:b/>
          <w:bCs/>
          <w:sz w:val="20"/>
          <w:szCs w:val="20"/>
          <w:rtl/>
        </w:rPr>
        <w:t>טעם</w:t>
      </w:r>
      <w:r>
        <w:rPr>
          <w:rFonts w:cs="Arial" w:hint="cs"/>
          <w:sz w:val="20"/>
          <w:szCs w:val="20"/>
          <w:rtl/>
        </w:rPr>
        <w:t xml:space="preserve"> </w:t>
      </w:r>
      <w:r w:rsidRPr="008E2DED">
        <w:rPr>
          <w:rFonts w:cs="Arial" w:hint="cs"/>
          <w:sz w:val="18"/>
          <w:szCs w:val="18"/>
          <w:rtl/>
        </w:rPr>
        <w:t xml:space="preserve">(ע"פ הסבר </w:t>
      </w:r>
      <w:r w:rsidRPr="00BD4142">
        <w:rPr>
          <w:rFonts w:cs="Arial" w:hint="cs"/>
          <w:b/>
          <w:bCs/>
          <w:sz w:val="18"/>
          <w:szCs w:val="18"/>
          <w:rtl/>
        </w:rPr>
        <w:t>הרשב"א</w:t>
      </w:r>
      <w:r w:rsidRPr="008E2DED">
        <w:rPr>
          <w:rFonts w:cs="Arial" w:hint="cs"/>
          <w:sz w:val="18"/>
          <w:szCs w:val="18"/>
          <w:rtl/>
        </w:rPr>
        <w:t xml:space="preserve">) </w:t>
      </w:r>
      <w:r>
        <w:rPr>
          <w:rFonts w:cs="Arial"/>
          <w:sz w:val="20"/>
          <w:szCs w:val="20"/>
          <w:rtl/>
        </w:rPr>
        <w:t>–</w:t>
      </w:r>
      <w:r>
        <w:rPr>
          <w:rFonts w:cs="Arial" w:hint="cs"/>
          <w:sz w:val="20"/>
          <w:szCs w:val="20"/>
          <w:rtl/>
        </w:rPr>
        <w:t xml:space="preserve"> נאמר בברייתא להדיא: "</w:t>
      </w:r>
      <w:r w:rsidRPr="00022B6D">
        <w:rPr>
          <w:rFonts w:cs="Arial"/>
          <w:sz w:val="20"/>
          <w:szCs w:val="20"/>
          <w:rtl/>
        </w:rPr>
        <w:t>ואימתי הגיע זמנה לראות - משה</w:t>
      </w:r>
      <w:r>
        <w:rPr>
          <w:rFonts w:cs="Arial"/>
          <w:sz w:val="20"/>
          <w:szCs w:val="20"/>
          <w:rtl/>
        </w:rPr>
        <w:t>גיעו ימי הנעורים</w:t>
      </w:r>
      <w:r>
        <w:rPr>
          <w:rFonts w:cs="Arial" w:hint="cs"/>
          <w:sz w:val="20"/>
          <w:szCs w:val="20"/>
          <w:rtl/>
        </w:rPr>
        <w:t>".</w:t>
      </w:r>
    </w:p>
    <w:p w:rsidR="00620060" w:rsidRPr="002945AD" w:rsidRDefault="00620060" w:rsidP="00620060">
      <w:pPr>
        <w:rPr>
          <w:rFonts w:cs="Arial"/>
          <w:sz w:val="20"/>
          <w:szCs w:val="20"/>
          <w:rtl/>
        </w:rPr>
      </w:pPr>
      <w:r>
        <w:rPr>
          <w:rFonts w:cs="Arial" w:hint="cs"/>
          <w:sz w:val="20"/>
          <w:szCs w:val="20"/>
          <w:u w:val="single"/>
          <w:rtl/>
        </w:rPr>
        <w:t>הביאה סימנים לפני יב' שנים</w:t>
      </w:r>
      <w:r>
        <w:rPr>
          <w:rFonts w:cs="Arial"/>
          <w:sz w:val="20"/>
          <w:szCs w:val="20"/>
          <w:u w:val="single"/>
          <w:rtl/>
        </w:rPr>
        <w:br/>
      </w:r>
      <w:r w:rsidRPr="0063271F">
        <w:rPr>
          <w:rFonts w:cs="Arial" w:hint="cs"/>
          <w:b/>
          <w:bCs/>
          <w:sz w:val="20"/>
          <w:szCs w:val="20"/>
          <w:rtl/>
        </w:rPr>
        <w:t xml:space="preserve">גמרא </w:t>
      </w:r>
      <w:r>
        <w:rPr>
          <w:rFonts w:cs="Arial" w:hint="cs"/>
          <w:sz w:val="20"/>
          <w:szCs w:val="20"/>
          <w:rtl/>
        </w:rPr>
        <w:t>(שם, מו.) "</w:t>
      </w:r>
      <w:r w:rsidRPr="002945AD">
        <w:rPr>
          <w:rFonts w:cs="Arial"/>
          <w:sz w:val="20"/>
          <w:szCs w:val="20"/>
          <w:rtl/>
        </w:rPr>
        <w:t>אמר רבא: הילכתא תוך זמן - כלפני זמן</w:t>
      </w:r>
      <w:r>
        <w:rPr>
          <w:rFonts w:cs="Arial" w:hint="cs"/>
          <w:sz w:val="20"/>
          <w:szCs w:val="20"/>
          <w:rtl/>
        </w:rPr>
        <w:t>".</w:t>
      </w:r>
      <w:r>
        <w:rPr>
          <w:rFonts w:cs="Arial"/>
          <w:sz w:val="20"/>
          <w:szCs w:val="20"/>
          <w:rtl/>
        </w:rPr>
        <w:br/>
      </w:r>
      <w:r>
        <w:rPr>
          <w:rFonts w:cs="Arial" w:hint="cs"/>
          <w:sz w:val="20"/>
          <w:szCs w:val="20"/>
          <w:rtl/>
        </w:rPr>
        <w:t xml:space="preserve">כלומר </w:t>
      </w:r>
      <w:r>
        <w:rPr>
          <w:rFonts w:cs="Arial"/>
          <w:sz w:val="20"/>
          <w:szCs w:val="20"/>
          <w:rtl/>
        </w:rPr>
        <w:t>–</w:t>
      </w:r>
      <w:r>
        <w:rPr>
          <w:rFonts w:cs="Arial" w:hint="cs"/>
          <w:sz w:val="20"/>
          <w:szCs w:val="20"/>
          <w:rtl/>
        </w:rPr>
        <w:t xml:space="preserve"> אם הסימנים באו בשנה שלפני הגדלות, הם אינם סימן.</w:t>
      </w:r>
      <w:r>
        <w:rPr>
          <w:rFonts w:cs="Arial"/>
          <w:sz w:val="20"/>
          <w:szCs w:val="20"/>
          <w:rtl/>
        </w:rPr>
        <w:br/>
      </w:r>
      <w:r w:rsidRPr="002945AD">
        <w:rPr>
          <w:rFonts w:cs="Arial" w:hint="cs"/>
          <w:b/>
          <w:bCs/>
          <w:sz w:val="20"/>
          <w:szCs w:val="20"/>
          <w:rtl/>
        </w:rPr>
        <w:t>רשב"א</w:t>
      </w:r>
      <w:r>
        <w:rPr>
          <w:rFonts w:cs="Arial" w:hint="cs"/>
          <w:sz w:val="20"/>
          <w:szCs w:val="20"/>
          <w:rtl/>
        </w:rPr>
        <w:t xml:space="preserve"> </w:t>
      </w:r>
      <w:r>
        <w:rPr>
          <w:rFonts w:cs="Arial"/>
          <w:sz w:val="20"/>
          <w:szCs w:val="20"/>
          <w:rtl/>
        </w:rPr>
        <w:t>–</w:t>
      </w:r>
      <w:r>
        <w:rPr>
          <w:rFonts w:cs="Arial" w:hint="cs"/>
          <w:sz w:val="20"/>
          <w:szCs w:val="20"/>
          <w:rtl/>
        </w:rPr>
        <w:t xml:space="preserve"> הוא הדין בסוגייתנו, אם הביאה סימנים לפני יב' שנה הם שומא בעלמא ואינם סימן, וכ"פ </w:t>
      </w:r>
      <w:r w:rsidRPr="008C61B4">
        <w:rPr>
          <w:rFonts w:cs="Arial" w:hint="cs"/>
          <w:b/>
          <w:bCs/>
          <w:sz w:val="20"/>
          <w:szCs w:val="20"/>
          <w:rtl/>
        </w:rPr>
        <w:t>המחבר</w:t>
      </w:r>
      <w:r>
        <w:rPr>
          <w:rFonts w:cs="Arial" w:hint="cs"/>
          <w:sz w:val="20"/>
          <w:szCs w:val="20"/>
          <w:rtl/>
        </w:rPr>
        <w:t>.</w:t>
      </w:r>
    </w:p>
    <w:p w:rsidR="00620060" w:rsidRDefault="00620060" w:rsidP="00620060">
      <w:pPr>
        <w:rPr>
          <w:rFonts w:cs="Arial"/>
          <w:sz w:val="20"/>
          <w:szCs w:val="20"/>
          <w:rtl/>
        </w:rPr>
      </w:pPr>
      <w:r>
        <w:rPr>
          <w:rFonts w:cs="Arial" w:hint="cs"/>
          <w:b/>
          <w:bCs/>
          <w:sz w:val="20"/>
          <w:szCs w:val="20"/>
          <w:rtl/>
        </w:rPr>
        <w:lastRenderedPageBreak/>
        <w:t>פסיקת הלכה</w:t>
      </w:r>
      <w:r>
        <w:rPr>
          <w:rFonts w:cs="Arial"/>
          <w:b/>
          <w:bCs/>
          <w:sz w:val="20"/>
          <w:szCs w:val="20"/>
          <w:rtl/>
        </w:rPr>
        <w:br/>
      </w:r>
      <w:r>
        <w:rPr>
          <w:rFonts w:cs="Arial" w:hint="cs"/>
          <w:b/>
          <w:bCs/>
          <w:sz w:val="20"/>
          <w:szCs w:val="20"/>
          <w:rtl/>
        </w:rPr>
        <w:t xml:space="preserve">שולחן ערוך </w:t>
      </w:r>
      <w:r>
        <w:rPr>
          <w:rFonts w:cs="Arial"/>
          <w:sz w:val="20"/>
          <w:szCs w:val="20"/>
          <w:rtl/>
        </w:rPr>
        <w:t>–</w:t>
      </w:r>
      <w:r>
        <w:rPr>
          <w:rFonts w:cs="Arial" w:hint="cs"/>
          <w:sz w:val="20"/>
          <w:szCs w:val="20"/>
          <w:rtl/>
        </w:rPr>
        <w:t xml:space="preserve"> </w:t>
      </w:r>
      <w:r w:rsidRPr="002945AD">
        <w:rPr>
          <w:rFonts w:cs="Arial" w:hint="cs"/>
          <w:sz w:val="20"/>
          <w:szCs w:val="20"/>
          <w:rtl/>
        </w:rPr>
        <w:t>"</w:t>
      </w:r>
      <w:r w:rsidRPr="002945AD">
        <w:rPr>
          <w:rFonts w:cs="Arial"/>
          <w:sz w:val="20"/>
          <w:szCs w:val="20"/>
          <w:rtl/>
        </w:rPr>
        <w:t>לא גזרו בתינוקת שלא הגיע זמנה לראות, דהיינו שהיא פחותה מי"ב, אפילו הביאה שתי שערות, וכן אפילו היתה יתירה מי"ב אם בדקוה ולא הביאה ב' שערות, בין שהיא בתולה בין שהיא בעולה, ואפילו אם ראתה כבר ב</w:t>
      </w:r>
      <w:r>
        <w:rPr>
          <w:rFonts w:cs="Arial" w:hint="cs"/>
          <w:sz w:val="20"/>
          <w:szCs w:val="20"/>
          <w:rtl/>
        </w:rPr>
        <w:t xml:space="preserve">' </w:t>
      </w:r>
      <w:r w:rsidRPr="002945AD">
        <w:rPr>
          <w:rFonts w:cs="Arial"/>
          <w:sz w:val="20"/>
          <w:szCs w:val="20"/>
          <w:rtl/>
        </w:rPr>
        <w:t>פ</w:t>
      </w:r>
      <w:r>
        <w:rPr>
          <w:rFonts w:cs="Arial" w:hint="cs"/>
          <w:sz w:val="20"/>
          <w:szCs w:val="20"/>
          <w:rtl/>
        </w:rPr>
        <w:t>עמים</w:t>
      </w:r>
      <w:r w:rsidRPr="002945AD">
        <w:rPr>
          <w:rFonts w:cs="Arial"/>
          <w:sz w:val="20"/>
          <w:szCs w:val="20"/>
          <w:rtl/>
        </w:rPr>
        <w:t xml:space="preserve">. אבל </w:t>
      </w:r>
      <w:r>
        <w:rPr>
          <w:rFonts w:cs="Arial"/>
          <w:sz w:val="20"/>
          <w:szCs w:val="20"/>
          <w:rtl/>
        </w:rPr>
        <w:t>לאחר שראתה של</w:t>
      </w:r>
      <w:r>
        <w:rPr>
          <w:rFonts w:cs="Arial" w:hint="cs"/>
          <w:sz w:val="20"/>
          <w:szCs w:val="20"/>
          <w:rtl/>
        </w:rPr>
        <w:t>ו</w:t>
      </w:r>
      <w:r>
        <w:rPr>
          <w:rFonts w:cs="Arial"/>
          <w:sz w:val="20"/>
          <w:szCs w:val="20"/>
          <w:rtl/>
        </w:rPr>
        <w:t>ש פעמים חוששת לכתם</w:t>
      </w:r>
      <w:r w:rsidRPr="002945AD">
        <w:rPr>
          <w:rFonts w:cs="Arial" w:hint="cs"/>
          <w:sz w:val="20"/>
          <w:szCs w:val="20"/>
          <w:rtl/>
        </w:rPr>
        <w:t>"</w:t>
      </w:r>
      <w:r>
        <w:rPr>
          <w:rFonts w:cs="Arial" w:hint="cs"/>
          <w:sz w:val="20"/>
          <w:szCs w:val="20"/>
          <w:rtl/>
        </w:rPr>
        <w:t>.</w:t>
      </w:r>
      <w:r w:rsidRPr="00022B6D">
        <w:rPr>
          <w:rFonts w:cs="Arial"/>
          <w:b/>
          <w:bCs/>
          <w:sz w:val="20"/>
          <w:szCs w:val="20"/>
          <w:rtl/>
        </w:rPr>
        <w:br/>
      </w:r>
      <w:r>
        <w:rPr>
          <w:rFonts w:cs="Arial" w:hint="cs"/>
          <w:sz w:val="20"/>
          <w:szCs w:val="20"/>
          <w:rtl/>
        </w:rPr>
        <w:br/>
      </w:r>
      <w:r>
        <w:rPr>
          <w:rFonts w:cs="Arial" w:hint="cs"/>
          <w:sz w:val="20"/>
          <w:szCs w:val="20"/>
          <w:u w:val="single"/>
          <w:rtl/>
        </w:rPr>
        <w:t>כתם בתינוקת נשואה</w:t>
      </w:r>
      <w:r>
        <w:rPr>
          <w:rFonts w:cs="Arial"/>
          <w:sz w:val="20"/>
          <w:szCs w:val="20"/>
          <w:u w:val="single"/>
          <w:rtl/>
        </w:rPr>
        <w:br/>
      </w:r>
      <w:r>
        <w:rPr>
          <w:rFonts w:cs="Arial" w:hint="cs"/>
          <w:sz w:val="20"/>
          <w:szCs w:val="20"/>
          <w:rtl/>
        </w:rPr>
        <w:t xml:space="preserve">א. </w:t>
      </w:r>
      <w:r w:rsidRPr="004D21ED">
        <w:rPr>
          <w:rFonts w:cs="Arial" w:hint="cs"/>
          <w:b/>
          <w:bCs/>
          <w:sz w:val="20"/>
          <w:szCs w:val="20"/>
          <w:rtl/>
        </w:rPr>
        <w:t>מהרש"ל</w:t>
      </w:r>
      <w:r>
        <w:rPr>
          <w:rFonts w:cs="Arial" w:hint="cs"/>
          <w:sz w:val="20"/>
          <w:szCs w:val="20"/>
          <w:rtl/>
        </w:rPr>
        <w:t xml:space="preserve"> </w:t>
      </w:r>
      <w:r>
        <w:rPr>
          <w:rFonts w:cs="Arial"/>
          <w:sz w:val="20"/>
          <w:szCs w:val="20"/>
          <w:rtl/>
        </w:rPr>
        <w:t>–</w:t>
      </w:r>
      <w:r>
        <w:rPr>
          <w:rFonts w:cs="Arial" w:hint="cs"/>
          <w:sz w:val="20"/>
          <w:szCs w:val="20"/>
          <w:rtl/>
        </w:rPr>
        <w:t xml:space="preserve"> נהגו להחמיר ולטמא כתם בתינוקת נשואה.</w:t>
      </w:r>
      <w:r>
        <w:rPr>
          <w:rStyle w:val="a5"/>
          <w:rFonts w:cs="Arial"/>
          <w:sz w:val="20"/>
          <w:szCs w:val="20"/>
          <w:rtl/>
        </w:rPr>
        <w:footnoteReference w:id="256"/>
      </w:r>
      <w:r>
        <w:rPr>
          <w:rFonts w:cs="Arial"/>
          <w:sz w:val="20"/>
          <w:szCs w:val="20"/>
          <w:rtl/>
        </w:rPr>
        <w:br/>
      </w:r>
      <w:r w:rsidRPr="004D21ED">
        <w:rPr>
          <w:rFonts w:cs="Arial" w:hint="cs"/>
          <w:b/>
          <w:bCs/>
          <w:sz w:val="20"/>
          <w:szCs w:val="20"/>
          <w:rtl/>
        </w:rPr>
        <w:t>ראיה</w:t>
      </w:r>
      <w:r>
        <w:rPr>
          <w:rFonts w:cs="Arial" w:hint="cs"/>
          <w:sz w:val="20"/>
          <w:szCs w:val="20"/>
          <w:rtl/>
        </w:rPr>
        <w:t xml:space="preserve"> </w:t>
      </w:r>
      <w:r>
        <w:rPr>
          <w:rFonts w:cs="Arial"/>
          <w:sz w:val="20"/>
          <w:szCs w:val="20"/>
          <w:rtl/>
        </w:rPr>
        <w:t>–</w:t>
      </w:r>
      <w:r>
        <w:rPr>
          <w:rFonts w:cs="Arial" w:hint="cs"/>
          <w:sz w:val="20"/>
          <w:szCs w:val="20"/>
          <w:rtl/>
        </w:rPr>
        <w:t xml:space="preserve"> אפילו בדם בתולים החמירו בקטנה, הוא הדין לכתם.</w:t>
      </w:r>
      <w:r>
        <w:rPr>
          <w:rFonts w:cs="Arial"/>
          <w:sz w:val="20"/>
          <w:szCs w:val="20"/>
          <w:rtl/>
        </w:rPr>
        <w:br/>
      </w:r>
      <w:r>
        <w:rPr>
          <w:rFonts w:cs="Arial" w:hint="cs"/>
          <w:sz w:val="20"/>
          <w:szCs w:val="20"/>
          <w:rtl/>
        </w:rPr>
        <w:t xml:space="preserve">ב. </w:t>
      </w:r>
      <w:r w:rsidRPr="000803D4">
        <w:rPr>
          <w:rFonts w:cs="Arial" w:hint="cs"/>
          <w:b/>
          <w:bCs/>
          <w:sz w:val="20"/>
          <w:szCs w:val="20"/>
          <w:rtl/>
        </w:rPr>
        <w:t>ב"ח</w:t>
      </w:r>
      <w:r>
        <w:rPr>
          <w:rFonts w:cs="Arial" w:hint="cs"/>
          <w:sz w:val="20"/>
          <w:szCs w:val="20"/>
          <w:rtl/>
        </w:rPr>
        <w:t xml:space="preserve"> </w:t>
      </w:r>
      <w:r>
        <w:rPr>
          <w:rFonts w:cs="Arial"/>
          <w:sz w:val="20"/>
          <w:szCs w:val="20"/>
          <w:rtl/>
        </w:rPr>
        <w:t>–</w:t>
      </w:r>
      <w:r>
        <w:rPr>
          <w:rFonts w:cs="Arial" w:hint="cs"/>
          <w:sz w:val="20"/>
          <w:szCs w:val="20"/>
          <w:rtl/>
        </w:rPr>
        <w:t xml:space="preserve"> מכיוון שנהגו לטמא אין להקל. אך לעניין הראיה מדם בתולים יש לדחות - </w:t>
      </w:r>
      <w:r>
        <w:rPr>
          <w:rFonts w:cs="Arial"/>
          <w:sz w:val="20"/>
          <w:szCs w:val="20"/>
          <w:rtl/>
        </w:rPr>
        <w:br/>
      </w:r>
      <w:r>
        <w:rPr>
          <w:rFonts w:cs="Arial" w:hint="cs"/>
          <w:sz w:val="20"/>
          <w:szCs w:val="20"/>
          <w:rtl/>
        </w:rPr>
        <w:t>התם מדובר בדם שיוצא מגופה ולכן החמירו בו טפי, אך אין ללמוד משם לכתם שנמצא על בגד תינוקת נשואה.</w:t>
      </w:r>
      <w:r>
        <w:rPr>
          <w:rFonts w:cs="Arial"/>
          <w:sz w:val="20"/>
          <w:szCs w:val="20"/>
          <w:rtl/>
        </w:rPr>
        <w:br/>
      </w:r>
      <w:r>
        <w:rPr>
          <w:rFonts w:cs="Arial" w:hint="cs"/>
          <w:sz w:val="20"/>
          <w:szCs w:val="20"/>
          <w:rtl/>
        </w:rPr>
        <w:t xml:space="preserve">ג. </w:t>
      </w:r>
      <w:r w:rsidRPr="001C145A">
        <w:rPr>
          <w:rFonts w:cs="Arial" w:hint="cs"/>
          <w:b/>
          <w:bCs/>
          <w:sz w:val="20"/>
          <w:szCs w:val="20"/>
          <w:rtl/>
        </w:rPr>
        <w:t>ש"ך</w:t>
      </w:r>
      <w:r>
        <w:rPr>
          <w:rFonts w:cs="Arial" w:hint="cs"/>
          <w:sz w:val="20"/>
          <w:szCs w:val="20"/>
          <w:rtl/>
        </w:rPr>
        <w:t xml:space="preserve"> </w:t>
      </w:r>
      <w:r>
        <w:rPr>
          <w:rFonts w:cs="Arial"/>
          <w:sz w:val="20"/>
          <w:szCs w:val="20"/>
          <w:rtl/>
        </w:rPr>
        <w:t>–</w:t>
      </w:r>
      <w:r>
        <w:rPr>
          <w:rFonts w:cs="Arial" w:hint="cs"/>
          <w:sz w:val="20"/>
          <w:szCs w:val="20"/>
          <w:rtl/>
        </w:rPr>
        <w:t xml:space="preserve"> כתם בתינוקת טהור אפילו כשהיא נשואה.</w:t>
      </w:r>
      <w:r>
        <w:rPr>
          <w:rFonts w:cs="Arial"/>
          <w:sz w:val="20"/>
          <w:szCs w:val="20"/>
          <w:rtl/>
        </w:rPr>
        <w:br/>
      </w:r>
      <w:r w:rsidRPr="001C145A">
        <w:rPr>
          <w:rFonts w:cs="Arial" w:hint="cs"/>
          <w:b/>
          <w:bCs/>
          <w:sz w:val="20"/>
          <w:szCs w:val="20"/>
          <w:rtl/>
        </w:rPr>
        <w:t>טעם</w:t>
      </w:r>
      <w:r>
        <w:rPr>
          <w:rFonts w:cs="Arial" w:hint="cs"/>
          <w:sz w:val="20"/>
          <w:szCs w:val="20"/>
          <w:rtl/>
        </w:rPr>
        <w:t xml:space="preserve"> </w:t>
      </w:r>
      <w:r>
        <w:rPr>
          <w:rFonts w:cs="Arial"/>
          <w:sz w:val="20"/>
          <w:szCs w:val="20"/>
          <w:rtl/>
        </w:rPr>
        <w:t>–</w:t>
      </w:r>
      <w:r>
        <w:rPr>
          <w:rFonts w:cs="Arial" w:hint="cs"/>
          <w:sz w:val="20"/>
          <w:szCs w:val="20"/>
          <w:rtl/>
        </w:rPr>
        <w:t xml:space="preserve"> חכמים החמירו בדם בתולים משום שבעילה מסורה לכל ואינם יודעים את חילוקי הדינים שיש בדם זה, וכן משום שיצרו של החתן תוקפו, וטעמים אלו אינם שייכים בתינוקת ולכן יש להקל בה.</w:t>
      </w:r>
      <w:r>
        <w:rPr>
          <w:rFonts w:cs="Arial"/>
          <w:sz w:val="20"/>
          <w:szCs w:val="20"/>
          <w:rtl/>
        </w:rPr>
        <w:br/>
      </w:r>
      <w:r>
        <w:rPr>
          <w:rFonts w:cs="Arial" w:hint="cs"/>
          <w:sz w:val="20"/>
          <w:szCs w:val="20"/>
          <w:rtl/>
        </w:rPr>
        <w:t>ולגבי מה שכתב הב"ח שאין להקל נגד המנהג, יש לומר שאין זה מנהג אלא בדם בתולים בלבד, ומשם למד מהרש"ל לנידון דידן.</w:t>
      </w:r>
      <w:r>
        <w:rPr>
          <w:rFonts w:cs="Arial"/>
          <w:sz w:val="20"/>
          <w:szCs w:val="20"/>
          <w:rtl/>
        </w:rPr>
        <w:br/>
      </w:r>
      <w:r>
        <w:rPr>
          <w:rFonts w:cs="Arial" w:hint="cs"/>
          <w:sz w:val="20"/>
          <w:szCs w:val="20"/>
          <w:rtl/>
        </w:rPr>
        <w:t>ועוד, בדבר שאינו מצוי אין שייך לומר מנהג, ואם היה מנהג לאסור האחרונים היו כותבים זאת.</w:t>
      </w:r>
    </w:p>
    <w:p w:rsidR="00620060" w:rsidRDefault="00620060" w:rsidP="00620060">
      <w:pPr>
        <w:rPr>
          <w:rFonts w:cs="Arial"/>
          <w:sz w:val="20"/>
          <w:szCs w:val="20"/>
          <w:rtl/>
        </w:rPr>
      </w:pPr>
      <w:r>
        <w:rPr>
          <w:rFonts w:cs="Arial" w:hint="cs"/>
          <w:sz w:val="20"/>
          <w:szCs w:val="20"/>
          <w:u w:val="single"/>
          <w:rtl/>
        </w:rPr>
        <w:t>כתם בגופה של תינוקת</w:t>
      </w:r>
      <w:r>
        <w:rPr>
          <w:rFonts w:cs="Arial"/>
          <w:sz w:val="20"/>
          <w:szCs w:val="20"/>
          <w:rtl/>
        </w:rPr>
        <w:br/>
      </w:r>
      <w:r>
        <w:rPr>
          <w:rFonts w:cs="Arial" w:hint="cs"/>
          <w:sz w:val="20"/>
          <w:szCs w:val="20"/>
          <w:rtl/>
        </w:rPr>
        <w:t xml:space="preserve">א. </w:t>
      </w:r>
      <w:r w:rsidRPr="004D21ED">
        <w:rPr>
          <w:rFonts w:cs="Arial" w:hint="cs"/>
          <w:b/>
          <w:bCs/>
          <w:sz w:val="20"/>
          <w:szCs w:val="20"/>
          <w:rtl/>
        </w:rPr>
        <w:t>ב"ח</w:t>
      </w:r>
      <w:r>
        <w:rPr>
          <w:rFonts w:cs="Arial" w:hint="cs"/>
          <w:sz w:val="20"/>
          <w:szCs w:val="20"/>
          <w:rtl/>
        </w:rPr>
        <w:t xml:space="preserve"> </w:t>
      </w:r>
      <w:r>
        <w:rPr>
          <w:rFonts w:cs="Arial"/>
          <w:sz w:val="20"/>
          <w:szCs w:val="20"/>
          <w:rtl/>
        </w:rPr>
        <w:t>–</w:t>
      </w:r>
      <w:r>
        <w:rPr>
          <w:rFonts w:cs="Arial" w:hint="cs"/>
          <w:sz w:val="20"/>
          <w:szCs w:val="20"/>
          <w:rtl/>
        </w:rPr>
        <w:t xml:space="preserve"> כתם שנמצא על גוף התינוקת </w:t>
      </w:r>
      <w:r>
        <w:rPr>
          <w:rFonts w:cs="Arial"/>
          <w:sz w:val="20"/>
          <w:szCs w:val="20"/>
          <w:rtl/>
        </w:rPr>
        <w:t>–</w:t>
      </w:r>
      <w:r>
        <w:rPr>
          <w:rFonts w:cs="Arial" w:hint="cs"/>
          <w:sz w:val="20"/>
          <w:szCs w:val="20"/>
          <w:rtl/>
        </w:rPr>
        <w:t xml:space="preserve"> טמא.</w:t>
      </w:r>
      <w:r>
        <w:rPr>
          <w:rFonts w:cs="Arial"/>
          <w:sz w:val="20"/>
          <w:szCs w:val="20"/>
          <w:rtl/>
        </w:rPr>
        <w:br/>
      </w:r>
      <w:r w:rsidRPr="000F49EC">
        <w:rPr>
          <w:rFonts w:cs="Arial" w:hint="cs"/>
          <w:b/>
          <w:bCs/>
          <w:sz w:val="20"/>
          <w:szCs w:val="20"/>
          <w:rtl/>
        </w:rPr>
        <w:t xml:space="preserve">ראיה </w:t>
      </w:r>
      <w:r>
        <w:rPr>
          <w:rFonts w:cs="Arial" w:hint="cs"/>
          <w:sz w:val="20"/>
          <w:szCs w:val="20"/>
          <w:rtl/>
        </w:rPr>
        <w:t>- כך מדויק בגמרא שנקטה 'סדין מלוכלך בדם', משמע שדם בגופה מטמא בתורת כתם.</w:t>
      </w:r>
      <w:r>
        <w:rPr>
          <w:rFonts w:cs="Arial"/>
          <w:sz w:val="20"/>
          <w:szCs w:val="20"/>
          <w:rtl/>
        </w:rPr>
        <w:br/>
      </w:r>
      <w:r>
        <w:rPr>
          <w:rFonts w:cs="Arial" w:hint="cs"/>
          <w:sz w:val="20"/>
          <w:szCs w:val="20"/>
          <w:rtl/>
        </w:rPr>
        <w:t xml:space="preserve">ב. </w:t>
      </w:r>
      <w:r w:rsidRPr="002E4AD3">
        <w:rPr>
          <w:rFonts w:cs="Arial" w:hint="cs"/>
          <w:b/>
          <w:bCs/>
          <w:sz w:val="20"/>
          <w:szCs w:val="20"/>
          <w:rtl/>
        </w:rPr>
        <w:t>ש"ך</w:t>
      </w:r>
      <w:r>
        <w:rPr>
          <w:rFonts w:cs="Arial" w:hint="cs"/>
          <w:sz w:val="20"/>
          <w:szCs w:val="20"/>
          <w:rtl/>
        </w:rPr>
        <w:t xml:space="preserve"> </w:t>
      </w:r>
      <w:r>
        <w:rPr>
          <w:rFonts w:cs="Arial"/>
          <w:sz w:val="20"/>
          <w:szCs w:val="20"/>
          <w:rtl/>
        </w:rPr>
        <w:t>–</w:t>
      </w:r>
      <w:r>
        <w:rPr>
          <w:rFonts w:cs="Arial" w:hint="cs"/>
          <w:sz w:val="20"/>
          <w:szCs w:val="20"/>
          <w:rtl/>
        </w:rPr>
        <w:t xml:space="preserve"> כתם של תינוקת טהור גם כשנמצא על גופה.</w:t>
      </w:r>
      <w:r>
        <w:rPr>
          <w:rFonts w:cs="Arial" w:hint="cs"/>
          <w:sz w:val="20"/>
          <w:szCs w:val="20"/>
          <w:rtl/>
        </w:rPr>
        <w:br/>
      </w:r>
      <w:r w:rsidRPr="000F49EC">
        <w:rPr>
          <w:rFonts w:cs="Arial" w:hint="cs"/>
          <w:b/>
          <w:bCs/>
          <w:sz w:val="20"/>
          <w:szCs w:val="20"/>
          <w:rtl/>
        </w:rPr>
        <w:t>ראיה</w:t>
      </w:r>
      <w:r>
        <w:rPr>
          <w:rFonts w:cs="Arial" w:hint="cs"/>
          <w:sz w:val="20"/>
          <w:szCs w:val="20"/>
          <w:rtl/>
        </w:rPr>
        <w:t xml:space="preserve"> </w:t>
      </w:r>
      <w:r>
        <w:rPr>
          <w:rFonts w:cs="Arial"/>
          <w:sz w:val="20"/>
          <w:szCs w:val="20"/>
          <w:rtl/>
        </w:rPr>
        <w:t>–</w:t>
      </w:r>
      <w:r>
        <w:rPr>
          <w:rFonts w:cs="Arial" w:hint="cs"/>
          <w:sz w:val="20"/>
          <w:szCs w:val="20"/>
          <w:rtl/>
        </w:rPr>
        <w:t xml:space="preserve"> טעם ההיתר הוא משום שחכמים לא גזרו כתם בקטנה, ומשמע שבכל אופן לא גזרו אפילו אם נמצא על גופה. ואע"פ שהגמרא נקטה דוגמה שהכתם מצוי על הסדין, אורחא דמילתא נקט והוא הדין לכתם בגופה.</w:t>
      </w:r>
    </w:p>
    <w:p w:rsidR="00620060" w:rsidRDefault="00620060" w:rsidP="00620060">
      <w:pPr>
        <w:rPr>
          <w:rFonts w:cs="Arial"/>
          <w:sz w:val="20"/>
          <w:szCs w:val="20"/>
          <w:rtl/>
        </w:rPr>
      </w:pPr>
      <w:r>
        <w:rPr>
          <w:rFonts w:cs="Arial" w:hint="cs"/>
          <w:sz w:val="20"/>
          <w:szCs w:val="20"/>
          <w:u w:val="single"/>
          <w:rtl/>
        </w:rPr>
        <w:t xml:space="preserve">כתם שהגיע ודאי מגופה </w:t>
      </w:r>
      <w:r>
        <w:rPr>
          <w:rFonts w:cs="Arial"/>
          <w:sz w:val="20"/>
          <w:szCs w:val="20"/>
          <w:u w:val="single"/>
          <w:rtl/>
        </w:rPr>
        <w:t>–</w:t>
      </w:r>
      <w:r>
        <w:rPr>
          <w:rFonts w:cs="Arial" w:hint="cs"/>
          <w:sz w:val="20"/>
          <w:szCs w:val="20"/>
          <w:u w:val="single"/>
          <w:rtl/>
        </w:rPr>
        <w:t xml:space="preserve"> טהור? (פת"ש)</w:t>
      </w:r>
      <w:r>
        <w:rPr>
          <w:rFonts w:cs="Arial" w:hint="cs"/>
          <w:sz w:val="20"/>
          <w:szCs w:val="20"/>
          <w:u w:val="single"/>
          <w:rtl/>
        </w:rPr>
        <w:br/>
      </w:r>
      <w:r>
        <w:rPr>
          <w:rFonts w:cs="Arial" w:hint="cs"/>
          <w:sz w:val="20"/>
          <w:szCs w:val="20"/>
          <w:rtl/>
        </w:rPr>
        <w:t xml:space="preserve">א. משמע </w:t>
      </w:r>
      <w:r w:rsidRPr="0063271F">
        <w:rPr>
          <w:rFonts w:cs="Arial" w:hint="cs"/>
          <w:b/>
          <w:bCs/>
          <w:sz w:val="20"/>
          <w:szCs w:val="20"/>
          <w:rtl/>
        </w:rPr>
        <w:t>בש"ך</w:t>
      </w:r>
      <w:r>
        <w:rPr>
          <w:rFonts w:cs="Arial" w:hint="cs"/>
          <w:sz w:val="20"/>
          <w:szCs w:val="20"/>
          <w:rtl/>
        </w:rPr>
        <w:t xml:space="preserve"> </w:t>
      </w:r>
      <w:r>
        <w:rPr>
          <w:rFonts w:cs="Arial"/>
          <w:sz w:val="20"/>
          <w:szCs w:val="20"/>
          <w:rtl/>
        </w:rPr>
        <w:t>–</w:t>
      </w:r>
      <w:r>
        <w:rPr>
          <w:rFonts w:cs="Arial" w:hint="cs"/>
          <w:sz w:val="20"/>
          <w:szCs w:val="20"/>
          <w:rtl/>
        </w:rPr>
        <w:t xml:space="preserve"> כל כתם שנמצא בתינוקת, אפילו הגיע ודאי מגוף האשה אך ללא הרגשה, טהור.</w:t>
      </w:r>
      <w:r>
        <w:rPr>
          <w:rFonts w:cs="Arial"/>
          <w:sz w:val="20"/>
          <w:szCs w:val="20"/>
          <w:rtl/>
        </w:rPr>
        <w:br/>
      </w:r>
      <w:r>
        <w:rPr>
          <w:rFonts w:cs="Arial" w:hint="cs"/>
          <w:sz w:val="20"/>
          <w:szCs w:val="20"/>
          <w:rtl/>
        </w:rPr>
        <w:t xml:space="preserve">ב. </w:t>
      </w:r>
      <w:r w:rsidRPr="0063271F">
        <w:rPr>
          <w:rFonts w:cs="Arial" w:hint="cs"/>
          <w:b/>
          <w:bCs/>
          <w:sz w:val="20"/>
          <w:szCs w:val="20"/>
          <w:rtl/>
        </w:rPr>
        <w:t>חוו"ד</w:t>
      </w:r>
      <w:r>
        <w:rPr>
          <w:rFonts w:cs="Arial" w:hint="cs"/>
          <w:sz w:val="20"/>
          <w:szCs w:val="20"/>
          <w:rtl/>
        </w:rPr>
        <w:t xml:space="preserve"> </w:t>
      </w:r>
      <w:r>
        <w:rPr>
          <w:rFonts w:cs="Arial"/>
          <w:sz w:val="20"/>
          <w:szCs w:val="20"/>
          <w:rtl/>
        </w:rPr>
        <w:t>–</w:t>
      </w:r>
      <w:r>
        <w:rPr>
          <w:rFonts w:cs="Arial" w:hint="cs"/>
          <w:sz w:val="20"/>
          <w:szCs w:val="20"/>
          <w:rtl/>
        </w:rPr>
        <w:t xml:space="preserve"> כתם בתינוקת טהור רק כשיש לתלות שעברה בשוק של טבחים וכד', אך אם ודאי מגופה </w:t>
      </w:r>
      <w:r>
        <w:rPr>
          <w:rFonts w:cs="Arial"/>
          <w:sz w:val="20"/>
          <w:szCs w:val="20"/>
          <w:rtl/>
        </w:rPr>
        <w:t>–</w:t>
      </w:r>
      <w:r>
        <w:rPr>
          <w:rFonts w:cs="Arial" w:hint="cs"/>
          <w:sz w:val="20"/>
          <w:szCs w:val="20"/>
          <w:rtl/>
        </w:rPr>
        <w:t xml:space="preserve"> טמא.</w:t>
      </w:r>
    </w:p>
    <w:p w:rsidR="00620060" w:rsidRDefault="00620060" w:rsidP="00620060">
      <w:pPr>
        <w:rPr>
          <w:sz w:val="20"/>
          <w:szCs w:val="20"/>
          <w:rtl/>
        </w:rPr>
      </w:pPr>
      <w:r w:rsidRPr="0075610A">
        <w:rPr>
          <w:rFonts w:hint="cs"/>
          <w:b/>
          <w:bCs/>
          <w:sz w:val="20"/>
          <w:szCs w:val="20"/>
          <w:rtl/>
        </w:rPr>
        <w:t>סיכום</w:t>
      </w:r>
      <w:r>
        <w:rPr>
          <w:sz w:val="20"/>
          <w:szCs w:val="20"/>
          <w:rtl/>
        </w:rPr>
        <w:br/>
      </w:r>
      <w:r>
        <w:rPr>
          <w:rFonts w:hint="cs"/>
          <w:sz w:val="20"/>
          <w:szCs w:val="20"/>
          <w:rtl/>
        </w:rPr>
        <w:t xml:space="preserve">1. </w:t>
      </w:r>
      <w:r w:rsidRPr="0075610A">
        <w:rPr>
          <w:rFonts w:hint="cs"/>
          <w:b/>
          <w:bCs/>
          <w:sz w:val="20"/>
          <w:szCs w:val="20"/>
          <w:rtl/>
        </w:rPr>
        <w:t>גמרא</w:t>
      </w:r>
      <w:r>
        <w:rPr>
          <w:rFonts w:hint="cs"/>
          <w:sz w:val="20"/>
          <w:szCs w:val="20"/>
          <w:rtl/>
        </w:rPr>
        <w:t>. תינוקת שלא הגיע זמנה לראות, כתמיה טהורים.</w:t>
      </w:r>
      <w:r>
        <w:rPr>
          <w:sz w:val="20"/>
          <w:szCs w:val="20"/>
          <w:rtl/>
        </w:rPr>
        <w:br/>
      </w:r>
      <w:r>
        <w:rPr>
          <w:rFonts w:hint="cs"/>
          <w:sz w:val="20"/>
          <w:szCs w:val="20"/>
          <w:rtl/>
        </w:rPr>
        <w:t xml:space="preserve">2. </w:t>
      </w:r>
      <w:r w:rsidRPr="0075610A">
        <w:rPr>
          <w:rFonts w:hint="cs"/>
          <w:b/>
          <w:bCs/>
          <w:sz w:val="20"/>
          <w:szCs w:val="20"/>
          <w:rtl/>
        </w:rPr>
        <w:t>טור</w:t>
      </w:r>
      <w:r>
        <w:rPr>
          <w:rFonts w:hint="cs"/>
          <w:sz w:val="20"/>
          <w:szCs w:val="20"/>
          <w:rtl/>
        </w:rPr>
        <w:t>. אין חילוק בין בתולה לבעולה, בכל עניין כתמיה טהורים.</w:t>
      </w:r>
      <w:r>
        <w:rPr>
          <w:rFonts w:hint="cs"/>
          <w:sz w:val="20"/>
          <w:szCs w:val="20"/>
          <w:rtl/>
        </w:rPr>
        <w:br/>
        <w:t xml:space="preserve">3. </w:t>
      </w:r>
      <w:r w:rsidRPr="0075610A">
        <w:rPr>
          <w:rFonts w:hint="cs"/>
          <w:b/>
          <w:bCs/>
          <w:sz w:val="20"/>
          <w:szCs w:val="20"/>
          <w:rtl/>
        </w:rPr>
        <w:t>גמרא</w:t>
      </w:r>
      <w:r>
        <w:rPr>
          <w:rFonts w:hint="cs"/>
          <w:sz w:val="20"/>
          <w:szCs w:val="20"/>
          <w:rtl/>
        </w:rPr>
        <w:t xml:space="preserve">. מתי יוצאת מדין תינוקת? </w:t>
      </w:r>
      <w:r w:rsidRPr="0075610A">
        <w:rPr>
          <w:rFonts w:hint="cs"/>
          <w:sz w:val="20"/>
          <w:szCs w:val="20"/>
          <w:u w:val="single"/>
          <w:rtl/>
        </w:rPr>
        <w:t>חזקיה</w:t>
      </w:r>
      <w:r>
        <w:rPr>
          <w:rFonts w:hint="cs"/>
          <w:sz w:val="20"/>
          <w:szCs w:val="20"/>
          <w:rtl/>
        </w:rPr>
        <w:t xml:space="preserve">. לאחר ב' ראיות. </w:t>
      </w:r>
      <w:r w:rsidRPr="0075610A">
        <w:rPr>
          <w:rFonts w:hint="cs"/>
          <w:sz w:val="20"/>
          <w:szCs w:val="20"/>
          <w:u w:val="single"/>
          <w:rtl/>
        </w:rPr>
        <w:t>רבי יוחנן</w:t>
      </w:r>
      <w:r>
        <w:rPr>
          <w:rFonts w:hint="cs"/>
          <w:sz w:val="20"/>
          <w:szCs w:val="20"/>
          <w:rtl/>
        </w:rPr>
        <w:t>. לאחר ג' ראיות.</w:t>
      </w:r>
      <w:r>
        <w:rPr>
          <w:rFonts w:hint="cs"/>
          <w:sz w:val="20"/>
          <w:szCs w:val="20"/>
          <w:rtl/>
        </w:rPr>
        <w:br/>
        <w:t xml:space="preserve">4. </w:t>
      </w:r>
      <w:r w:rsidRPr="0075610A">
        <w:rPr>
          <w:rFonts w:hint="cs"/>
          <w:b/>
          <w:bCs/>
          <w:sz w:val="20"/>
          <w:szCs w:val="20"/>
          <w:rtl/>
        </w:rPr>
        <w:t>רשב"א</w:t>
      </w:r>
      <w:r>
        <w:rPr>
          <w:rFonts w:hint="cs"/>
          <w:sz w:val="20"/>
          <w:szCs w:val="20"/>
          <w:rtl/>
        </w:rPr>
        <w:t xml:space="preserve">. לאחר ג' ראיות, וכ"פ </w:t>
      </w:r>
      <w:r w:rsidRPr="0075610A">
        <w:rPr>
          <w:rFonts w:hint="cs"/>
          <w:b/>
          <w:bCs/>
          <w:sz w:val="20"/>
          <w:szCs w:val="20"/>
          <w:rtl/>
        </w:rPr>
        <w:t>המחבר</w:t>
      </w:r>
      <w:r>
        <w:rPr>
          <w:rFonts w:hint="cs"/>
          <w:sz w:val="20"/>
          <w:szCs w:val="20"/>
          <w:rtl/>
        </w:rPr>
        <w:t xml:space="preserve">. </w:t>
      </w:r>
      <w:r w:rsidRPr="0075610A">
        <w:rPr>
          <w:rFonts w:hint="cs"/>
          <w:b/>
          <w:bCs/>
          <w:sz w:val="20"/>
          <w:szCs w:val="20"/>
          <w:rtl/>
        </w:rPr>
        <w:t>טעם</w:t>
      </w:r>
      <w:r>
        <w:rPr>
          <w:rFonts w:hint="cs"/>
          <w:sz w:val="20"/>
          <w:szCs w:val="20"/>
          <w:rtl/>
        </w:rPr>
        <w:t xml:space="preserve">. כך סוברים רוב האמוראים. </w:t>
      </w:r>
      <w:r w:rsidRPr="0075610A">
        <w:rPr>
          <w:rFonts w:hint="cs"/>
          <w:b/>
          <w:bCs/>
          <w:sz w:val="20"/>
          <w:szCs w:val="20"/>
          <w:rtl/>
        </w:rPr>
        <w:t>רש"י</w:t>
      </w:r>
      <w:r>
        <w:rPr>
          <w:rFonts w:hint="cs"/>
          <w:sz w:val="20"/>
          <w:szCs w:val="20"/>
          <w:rtl/>
        </w:rPr>
        <w:t>. לאחר ד' ראיות, המחלוקת בגמרא נאמרה בשיטת רבי, אך קיי"ל כרשב"ג.</w:t>
      </w:r>
      <w:r>
        <w:rPr>
          <w:rFonts w:hint="cs"/>
          <w:sz w:val="20"/>
          <w:szCs w:val="20"/>
          <w:rtl/>
        </w:rPr>
        <w:br/>
        <w:t xml:space="preserve">5. </w:t>
      </w:r>
      <w:r w:rsidRPr="0075610A">
        <w:rPr>
          <w:rFonts w:hint="cs"/>
          <w:b/>
          <w:bCs/>
          <w:sz w:val="20"/>
          <w:szCs w:val="20"/>
          <w:rtl/>
        </w:rPr>
        <w:t>גמרא</w:t>
      </w:r>
      <w:r>
        <w:rPr>
          <w:rFonts w:hint="cs"/>
          <w:sz w:val="20"/>
          <w:szCs w:val="20"/>
          <w:rtl/>
        </w:rPr>
        <w:t xml:space="preserve">. תינוקת שהגיע זמנה לראות </w:t>
      </w:r>
      <w:r>
        <w:rPr>
          <w:sz w:val="20"/>
          <w:szCs w:val="20"/>
          <w:rtl/>
        </w:rPr>
        <w:t>–</w:t>
      </w:r>
      <w:r>
        <w:rPr>
          <w:rFonts w:hint="cs"/>
          <w:sz w:val="20"/>
          <w:szCs w:val="20"/>
          <w:rtl/>
        </w:rPr>
        <w:t xml:space="preserve"> כתמיה טמאים. </w:t>
      </w:r>
      <w:r w:rsidRPr="0075610A">
        <w:rPr>
          <w:rFonts w:hint="cs"/>
          <w:b/>
          <w:bCs/>
          <w:sz w:val="20"/>
          <w:szCs w:val="20"/>
          <w:rtl/>
        </w:rPr>
        <w:t>רשב"א</w:t>
      </w:r>
      <w:r>
        <w:rPr>
          <w:rFonts w:hint="cs"/>
          <w:sz w:val="20"/>
          <w:szCs w:val="20"/>
          <w:rtl/>
        </w:rPr>
        <w:t>. הגיע זמנה אע"פ שלא ראתה.</w:t>
      </w:r>
      <w:r>
        <w:rPr>
          <w:sz w:val="20"/>
          <w:szCs w:val="20"/>
          <w:rtl/>
        </w:rPr>
        <w:br/>
      </w:r>
      <w:r>
        <w:rPr>
          <w:rFonts w:hint="cs"/>
          <w:sz w:val="20"/>
          <w:szCs w:val="20"/>
          <w:rtl/>
        </w:rPr>
        <w:t>6</w:t>
      </w:r>
      <w:r w:rsidRPr="00BD4142">
        <w:rPr>
          <w:rFonts w:hint="cs"/>
          <w:sz w:val="20"/>
          <w:szCs w:val="20"/>
          <w:rtl/>
        </w:rPr>
        <w:t xml:space="preserve">. מהי הגעת זמן? </w:t>
      </w:r>
      <w:r w:rsidRPr="00BD4142">
        <w:rPr>
          <w:rFonts w:hint="cs"/>
          <w:b/>
          <w:bCs/>
          <w:sz w:val="20"/>
          <w:szCs w:val="20"/>
          <w:rtl/>
        </w:rPr>
        <w:t>רשב"א</w:t>
      </w:r>
      <w:r w:rsidRPr="00BD4142">
        <w:rPr>
          <w:rFonts w:hint="cs"/>
          <w:sz w:val="20"/>
          <w:szCs w:val="20"/>
          <w:rtl/>
        </w:rPr>
        <w:t xml:space="preserve">. יב' שנים וסימנים, וכ"פ </w:t>
      </w:r>
      <w:r w:rsidRPr="00BD4142">
        <w:rPr>
          <w:rFonts w:hint="cs"/>
          <w:b/>
          <w:bCs/>
          <w:sz w:val="20"/>
          <w:szCs w:val="20"/>
          <w:rtl/>
        </w:rPr>
        <w:t>המחבר</w:t>
      </w:r>
      <w:r w:rsidRPr="00BD4142">
        <w:rPr>
          <w:rFonts w:hint="cs"/>
          <w:sz w:val="20"/>
          <w:szCs w:val="20"/>
          <w:rtl/>
        </w:rPr>
        <w:t xml:space="preserve">, ומסתמא הביאה סימנים אלא אם כן בדקו ולא מצאו. </w:t>
      </w:r>
      <w:r w:rsidRPr="00BD4142">
        <w:rPr>
          <w:rFonts w:hint="cs"/>
          <w:b/>
          <w:bCs/>
          <w:sz w:val="20"/>
          <w:szCs w:val="20"/>
          <w:rtl/>
        </w:rPr>
        <w:t>רש"י</w:t>
      </w:r>
      <w:r w:rsidRPr="00BD4142">
        <w:rPr>
          <w:rFonts w:hint="cs"/>
          <w:sz w:val="20"/>
          <w:szCs w:val="20"/>
          <w:rtl/>
        </w:rPr>
        <w:t>. שנים בלבד.</w:t>
      </w:r>
      <w:r w:rsidRPr="00BD4142">
        <w:rPr>
          <w:rFonts w:hint="cs"/>
          <w:sz w:val="20"/>
          <w:szCs w:val="20"/>
          <w:rtl/>
        </w:rPr>
        <w:br/>
        <w:t xml:space="preserve">7. </w:t>
      </w:r>
      <w:r w:rsidRPr="00FD023D">
        <w:rPr>
          <w:rFonts w:hint="cs"/>
          <w:sz w:val="20"/>
          <w:szCs w:val="20"/>
          <w:u w:val="single"/>
          <w:rtl/>
        </w:rPr>
        <w:t>רבא</w:t>
      </w:r>
      <w:r w:rsidRPr="00BD4142">
        <w:rPr>
          <w:rFonts w:hint="cs"/>
          <w:sz w:val="20"/>
          <w:szCs w:val="20"/>
          <w:rtl/>
        </w:rPr>
        <w:t xml:space="preserve">. סימנים לפני הגיל הם שומא. </w:t>
      </w:r>
      <w:r w:rsidRPr="00BD4142">
        <w:rPr>
          <w:rFonts w:hint="cs"/>
          <w:b/>
          <w:bCs/>
          <w:sz w:val="20"/>
          <w:szCs w:val="20"/>
          <w:rtl/>
        </w:rPr>
        <w:t>רשב"א</w:t>
      </w:r>
      <w:r w:rsidRPr="00BD4142">
        <w:rPr>
          <w:rFonts w:hint="cs"/>
          <w:sz w:val="20"/>
          <w:szCs w:val="20"/>
          <w:rtl/>
        </w:rPr>
        <w:t xml:space="preserve">. הוא הדין לדידן, סימנים לפני יב' אינם כלום, וכ"פ </w:t>
      </w:r>
      <w:r w:rsidRPr="00BD4142">
        <w:rPr>
          <w:rFonts w:hint="cs"/>
          <w:b/>
          <w:bCs/>
          <w:sz w:val="20"/>
          <w:szCs w:val="20"/>
          <w:rtl/>
        </w:rPr>
        <w:t>המחבר</w:t>
      </w:r>
      <w:r w:rsidRPr="00BD4142">
        <w:rPr>
          <w:rFonts w:hint="cs"/>
          <w:sz w:val="20"/>
          <w:szCs w:val="20"/>
          <w:rtl/>
        </w:rPr>
        <w:t>.</w:t>
      </w:r>
      <w:r w:rsidRPr="00BD4142">
        <w:rPr>
          <w:rFonts w:hint="cs"/>
          <w:sz w:val="20"/>
          <w:szCs w:val="20"/>
          <w:rtl/>
        </w:rPr>
        <w:br/>
        <w:t xml:space="preserve">8. כתם בתינוקת נשואה. </w:t>
      </w:r>
      <w:r w:rsidRPr="00BD4142">
        <w:rPr>
          <w:rFonts w:hint="cs"/>
          <w:b/>
          <w:bCs/>
          <w:sz w:val="20"/>
          <w:szCs w:val="20"/>
          <w:rtl/>
        </w:rPr>
        <w:t>מהרש"ל</w:t>
      </w:r>
      <w:r w:rsidRPr="00BD4142">
        <w:rPr>
          <w:rFonts w:hint="cs"/>
          <w:sz w:val="20"/>
          <w:szCs w:val="20"/>
          <w:rtl/>
        </w:rPr>
        <w:t xml:space="preserve">. נהגו להחמיר ולטמא. </w:t>
      </w:r>
      <w:r w:rsidRPr="00BD4142">
        <w:rPr>
          <w:rFonts w:hint="cs"/>
          <w:b/>
          <w:bCs/>
          <w:sz w:val="20"/>
          <w:szCs w:val="20"/>
          <w:rtl/>
        </w:rPr>
        <w:t>ראיה</w:t>
      </w:r>
      <w:r w:rsidRPr="00BD4142">
        <w:rPr>
          <w:rFonts w:hint="cs"/>
          <w:sz w:val="20"/>
          <w:szCs w:val="20"/>
          <w:rtl/>
        </w:rPr>
        <w:t xml:space="preserve">. החמירו בדם בתולים, הוא הדין כאן, וכ"פ </w:t>
      </w:r>
      <w:r w:rsidRPr="00BD4142">
        <w:rPr>
          <w:rFonts w:hint="cs"/>
          <w:b/>
          <w:bCs/>
          <w:sz w:val="20"/>
          <w:szCs w:val="20"/>
          <w:rtl/>
        </w:rPr>
        <w:t>הב"ח</w:t>
      </w:r>
      <w:r w:rsidRPr="00BD4142">
        <w:rPr>
          <w:rFonts w:hint="cs"/>
          <w:sz w:val="20"/>
          <w:szCs w:val="20"/>
          <w:rtl/>
        </w:rPr>
        <w:t xml:space="preserve"> מכוח המנהג, אך דחה את הראייה. </w:t>
      </w:r>
      <w:r w:rsidRPr="00BD4142">
        <w:rPr>
          <w:rFonts w:hint="cs"/>
          <w:b/>
          <w:bCs/>
          <w:sz w:val="20"/>
          <w:szCs w:val="20"/>
          <w:rtl/>
        </w:rPr>
        <w:t>ש"ך</w:t>
      </w:r>
      <w:r w:rsidRPr="00BD4142">
        <w:rPr>
          <w:rFonts w:hint="cs"/>
          <w:sz w:val="20"/>
          <w:szCs w:val="20"/>
          <w:rtl/>
        </w:rPr>
        <w:t>. כתם טהור גם בתינוקת נשואה, ואין מנהג להחמיר.</w:t>
      </w:r>
      <w:r w:rsidRPr="00BD4142">
        <w:rPr>
          <w:rFonts w:hint="cs"/>
          <w:sz w:val="20"/>
          <w:szCs w:val="20"/>
          <w:rtl/>
        </w:rPr>
        <w:br/>
        <w:t xml:space="preserve">9. כתם שנמצא על גוף התינוקת. </w:t>
      </w:r>
      <w:r w:rsidRPr="00BD4142">
        <w:rPr>
          <w:rFonts w:hint="cs"/>
          <w:b/>
          <w:bCs/>
          <w:sz w:val="20"/>
          <w:szCs w:val="20"/>
          <w:rtl/>
        </w:rPr>
        <w:t>ב"ח</w:t>
      </w:r>
      <w:r w:rsidRPr="00BD4142">
        <w:rPr>
          <w:rFonts w:hint="cs"/>
          <w:sz w:val="20"/>
          <w:szCs w:val="20"/>
          <w:rtl/>
        </w:rPr>
        <w:t xml:space="preserve">. טמא, רק בבגדיה הקלו. </w:t>
      </w:r>
      <w:r w:rsidRPr="00BD4142">
        <w:rPr>
          <w:rFonts w:hint="cs"/>
          <w:b/>
          <w:bCs/>
          <w:sz w:val="20"/>
          <w:szCs w:val="20"/>
          <w:rtl/>
        </w:rPr>
        <w:t>ש"ך</w:t>
      </w:r>
      <w:r w:rsidRPr="00BD4142">
        <w:rPr>
          <w:rFonts w:hint="cs"/>
          <w:sz w:val="20"/>
          <w:szCs w:val="20"/>
          <w:rtl/>
        </w:rPr>
        <w:t>. טהור, לא גזרו בה דין כתם כלל.</w:t>
      </w:r>
      <w:r w:rsidRPr="00BD4142">
        <w:rPr>
          <w:rFonts w:hint="cs"/>
          <w:sz w:val="20"/>
          <w:szCs w:val="20"/>
          <w:rtl/>
        </w:rPr>
        <w:br/>
        <w:t>10. כתם שבוודאי הגיע מגופה אך ללא הרגשה. משמע</w:t>
      </w:r>
      <w:r>
        <w:rPr>
          <w:rFonts w:hint="cs"/>
          <w:sz w:val="20"/>
          <w:szCs w:val="20"/>
          <w:rtl/>
        </w:rPr>
        <w:t xml:space="preserve"> </w:t>
      </w:r>
      <w:r w:rsidRPr="0075610A">
        <w:rPr>
          <w:rFonts w:hint="cs"/>
          <w:b/>
          <w:bCs/>
          <w:sz w:val="20"/>
          <w:szCs w:val="20"/>
          <w:rtl/>
        </w:rPr>
        <w:t>בש"ך</w:t>
      </w:r>
      <w:r>
        <w:rPr>
          <w:rFonts w:hint="cs"/>
          <w:sz w:val="20"/>
          <w:szCs w:val="20"/>
          <w:rtl/>
        </w:rPr>
        <w:t xml:space="preserve">. טהור. </w:t>
      </w:r>
      <w:r w:rsidRPr="0075610A">
        <w:rPr>
          <w:rFonts w:hint="cs"/>
          <w:b/>
          <w:bCs/>
          <w:sz w:val="20"/>
          <w:szCs w:val="20"/>
          <w:rtl/>
        </w:rPr>
        <w:t>חוו"ד</w:t>
      </w:r>
      <w:r>
        <w:rPr>
          <w:rFonts w:hint="cs"/>
          <w:sz w:val="20"/>
          <w:szCs w:val="20"/>
          <w:rtl/>
        </w:rPr>
        <w:t>. טמא.</w:t>
      </w:r>
    </w:p>
    <w:p w:rsidR="00620060" w:rsidRDefault="00620060" w:rsidP="00620060">
      <w:pPr>
        <w:rPr>
          <w:sz w:val="20"/>
          <w:szCs w:val="20"/>
          <w:rtl/>
        </w:rPr>
      </w:pPr>
      <w:r>
        <w:rPr>
          <w:sz w:val="20"/>
          <w:szCs w:val="20"/>
          <w:rtl/>
        </w:rPr>
        <w:br/>
      </w:r>
      <w:r>
        <w:rPr>
          <w:rFonts w:hint="cs"/>
          <w:b/>
          <w:bCs/>
          <w:sz w:val="20"/>
          <w:szCs w:val="20"/>
          <w:rtl/>
        </w:rPr>
        <w:t xml:space="preserve">סעיף ג </w:t>
      </w:r>
      <w:r>
        <w:rPr>
          <w:b/>
          <w:bCs/>
          <w:sz w:val="20"/>
          <w:szCs w:val="20"/>
          <w:rtl/>
        </w:rPr>
        <w:t>–</w:t>
      </w:r>
      <w:r>
        <w:rPr>
          <w:rFonts w:hint="cs"/>
          <w:b/>
          <w:bCs/>
          <w:sz w:val="20"/>
          <w:szCs w:val="20"/>
          <w:rtl/>
        </w:rPr>
        <w:t xml:space="preserve"> תינוקת שופעת ומדלפת</w:t>
      </w:r>
      <w:r>
        <w:rPr>
          <w:rFonts w:hint="cs"/>
          <w:b/>
          <w:bCs/>
          <w:sz w:val="20"/>
          <w:szCs w:val="20"/>
          <w:rtl/>
        </w:rPr>
        <w:br/>
        <w:t>מקור הדין</w:t>
      </w:r>
      <w:r>
        <w:rPr>
          <w:rFonts w:hint="cs"/>
          <w:b/>
          <w:bCs/>
          <w:sz w:val="20"/>
          <w:szCs w:val="20"/>
          <w:rtl/>
        </w:rPr>
        <w:br/>
        <w:t xml:space="preserve">גמרא </w:t>
      </w:r>
      <w:r>
        <w:rPr>
          <w:rFonts w:hint="cs"/>
          <w:sz w:val="20"/>
          <w:szCs w:val="20"/>
          <w:rtl/>
        </w:rPr>
        <w:t>נדה (י.) "</w:t>
      </w:r>
      <w:r w:rsidRPr="002917DF">
        <w:rPr>
          <w:rFonts w:cs="Arial"/>
          <w:sz w:val="20"/>
          <w:szCs w:val="20"/>
          <w:rtl/>
        </w:rPr>
        <w:t>אמר רב חלקיה בר טובי: תינוקת שלא הגיע זמנה לראות, אפילו שופעת כל ז' - אינה אלא ראיה אחת. אפילו שופעת - ולא מבעיא פוסקת? א</w:t>
      </w:r>
      <w:r>
        <w:rPr>
          <w:rFonts w:cs="Arial"/>
          <w:sz w:val="20"/>
          <w:szCs w:val="20"/>
          <w:rtl/>
        </w:rPr>
        <w:t>דרבה, פוסקת הויא לה כשתי ראיות</w:t>
      </w:r>
      <w:r>
        <w:rPr>
          <w:rFonts w:cs="Arial" w:hint="cs"/>
          <w:sz w:val="20"/>
          <w:szCs w:val="20"/>
          <w:rtl/>
        </w:rPr>
        <w:t xml:space="preserve">! אלא: </w:t>
      </w:r>
      <w:r w:rsidRPr="002C002E">
        <w:rPr>
          <w:rFonts w:cs="Arial"/>
          <w:sz w:val="20"/>
          <w:szCs w:val="20"/>
          <w:rtl/>
        </w:rPr>
        <w:t xml:space="preserve">תינוקת שלא הגיע זמנה לראות, ושופעת כל ז' - אינה אלא ראיה אחת. </w:t>
      </w:r>
      <w:r>
        <w:rPr>
          <w:rFonts w:cs="Arial" w:hint="cs"/>
          <w:sz w:val="20"/>
          <w:szCs w:val="20"/>
          <w:rtl/>
        </w:rPr>
        <w:br/>
      </w:r>
      <w:r w:rsidRPr="00D32845">
        <w:rPr>
          <w:rFonts w:cs="Arial"/>
          <w:sz w:val="20"/>
          <w:szCs w:val="20"/>
          <w:rtl/>
        </w:rPr>
        <w:t xml:space="preserve">אמר רב שימי בר חייא: מדלפת אינה כרואה. והא קחזיא! אימא: אינה </w:t>
      </w:r>
      <w:r>
        <w:rPr>
          <w:rFonts w:cs="Arial"/>
          <w:sz w:val="20"/>
          <w:szCs w:val="20"/>
          <w:rtl/>
        </w:rPr>
        <w:t xml:space="preserve">כשופעת אלא כפוסקת. מכלל דשופעת </w:t>
      </w:r>
      <w:r w:rsidRPr="00D32845">
        <w:rPr>
          <w:rFonts w:cs="Arial"/>
          <w:sz w:val="20"/>
          <w:szCs w:val="20"/>
          <w:rtl/>
        </w:rPr>
        <w:t xml:space="preserve">- כי </w:t>
      </w:r>
      <w:r>
        <w:rPr>
          <w:rFonts w:cs="Arial"/>
          <w:sz w:val="20"/>
          <w:szCs w:val="20"/>
          <w:rtl/>
        </w:rPr>
        <w:t>נהרא</w:t>
      </w:r>
      <w:r>
        <w:rPr>
          <w:rFonts w:cs="Arial" w:hint="cs"/>
          <w:sz w:val="20"/>
          <w:szCs w:val="20"/>
          <w:rtl/>
        </w:rPr>
        <w:t xml:space="preserve"> </w:t>
      </w:r>
      <w:r w:rsidRPr="00D32845">
        <w:rPr>
          <w:rFonts w:cs="Arial" w:hint="cs"/>
          <w:sz w:val="18"/>
          <w:szCs w:val="18"/>
          <w:rtl/>
        </w:rPr>
        <w:t xml:space="preserve">(רש"י </w:t>
      </w:r>
      <w:r w:rsidRPr="00D32845">
        <w:rPr>
          <w:rFonts w:cs="Arial"/>
          <w:sz w:val="18"/>
          <w:szCs w:val="18"/>
          <w:rtl/>
        </w:rPr>
        <w:t>–</w:t>
      </w:r>
      <w:r w:rsidRPr="00D32845">
        <w:rPr>
          <w:rFonts w:cs="Arial" w:hint="cs"/>
          <w:sz w:val="18"/>
          <w:szCs w:val="18"/>
          <w:rtl/>
        </w:rPr>
        <w:t xml:space="preserve"> ואי אפשר</w:t>
      </w:r>
      <w:r w:rsidRPr="00D32845">
        <w:rPr>
          <w:rFonts w:cs="Arial"/>
          <w:sz w:val="18"/>
          <w:szCs w:val="18"/>
          <w:rtl/>
        </w:rPr>
        <w:t xml:space="preserve"> להיות שופעת כמעין כל שבעה וחיה</w:t>
      </w:r>
      <w:r w:rsidRPr="00D32845">
        <w:rPr>
          <w:rFonts w:cs="Arial" w:hint="cs"/>
          <w:sz w:val="18"/>
          <w:szCs w:val="18"/>
          <w:rtl/>
        </w:rPr>
        <w:t>)</w:t>
      </w:r>
      <w:r>
        <w:rPr>
          <w:rFonts w:cs="Arial"/>
          <w:sz w:val="20"/>
          <w:szCs w:val="20"/>
          <w:rtl/>
        </w:rPr>
        <w:t>? אלא אימא: אינה אלא כשופעת</w:t>
      </w:r>
      <w:r>
        <w:rPr>
          <w:rFonts w:cs="Arial" w:hint="cs"/>
          <w:sz w:val="20"/>
          <w:szCs w:val="20"/>
          <w:rtl/>
        </w:rPr>
        <w:t>".</w:t>
      </w:r>
      <w:r>
        <w:rPr>
          <w:sz w:val="20"/>
          <w:szCs w:val="20"/>
          <w:rtl/>
        </w:rPr>
        <w:br/>
      </w:r>
      <w:r>
        <w:rPr>
          <w:rFonts w:hint="cs"/>
          <w:sz w:val="20"/>
          <w:szCs w:val="20"/>
          <w:rtl/>
        </w:rPr>
        <w:lastRenderedPageBreak/>
        <w:br/>
      </w:r>
      <w:r w:rsidRPr="00D32845">
        <w:rPr>
          <w:rFonts w:hint="cs"/>
          <w:sz w:val="20"/>
          <w:szCs w:val="20"/>
          <w:u w:val="single"/>
          <w:rtl/>
        </w:rPr>
        <w:t>הסבר</w:t>
      </w:r>
      <w:r>
        <w:rPr>
          <w:rFonts w:hint="cs"/>
          <w:sz w:val="20"/>
          <w:szCs w:val="20"/>
          <w:rtl/>
        </w:rPr>
        <w:t xml:space="preserve"> </w:t>
      </w:r>
      <w:r>
        <w:rPr>
          <w:sz w:val="20"/>
          <w:szCs w:val="20"/>
          <w:rtl/>
        </w:rPr>
        <w:br/>
      </w:r>
      <w:r>
        <w:rPr>
          <w:rFonts w:hint="cs"/>
          <w:sz w:val="20"/>
          <w:szCs w:val="20"/>
          <w:rtl/>
        </w:rPr>
        <w:t>תינוקת שראתה דם ג' פעמים, מוחזקת בדמים ויש לה כתם, כאמור לעיל. האמוראים בגמרא מחדשים שאם היא שופעת דם או מדלפת כמה ימים, אין דינה כמוחזקת בדם אלא זו ראייה אחת.</w:t>
      </w:r>
    </w:p>
    <w:p w:rsidR="00620060" w:rsidRDefault="00620060" w:rsidP="00620060">
      <w:pPr>
        <w:rPr>
          <w:sz w:val="20"/>
          <w:szCs w:val="20"/>
          <w:rtl/>
        </w:rPr>
      </w:pPr>
      <w:r>
        <w:rPr>
          <w:rFonts w:hint="cs"/>
          <w:b/>
          <w:bCs/>
          <w:sz w:val="20"/>
          <w:szCs w:val="20"/>
          <w:rtl/>
        </w:rPr>
        <w:t>שיטות הראשונים</w:t>
      </w:r>
      <w:r>
        <w:rPr>
          <w:rFonts w:hint="cs"/>
          <w:b/>
          <w:bCs/>
          <w:sz w:val="20"/>
          <w:szCs w:val="20"/>
          <w:rtl/>
        </w:rPr>
        <w:br/>
      </w:r>
      <w:r w:rsidRPr="00D32845">
        <w:rPr>
          <w:rFonts w:hint="cs"/>
          <w:sz w:val="20"/>
          <w:szCs w:val="20"/>
          <w:u w:val="single"/>
          <w:rtl/>
        </w:rPr>
        <w:t>מתי תינוקת מוחזקת בדם?</w:t>
      </w:r>
      <w:r>
        <w:rPr>
          <w:b/>
          <w:bCs/>
          <w:sz w:val="20"/>
          <w:szCs w:val="20"/>
          <w:rtl/>
        </w:rPr>
        <w:br/>
      </w:r>
      <w:r>
        <w:rPr>
          <w:rFonts w:hint="cs"/>
          <w:sz w:val="20"/>
          <w:szCs w:val="20"/>
          <w:rtl/>
        </w:rPr>
        <w:t xml:space="preserve">א. </w:t>
      </w:r>
      <w:r w:rsidRPr="003D54F2">
        <w:rPr>
          <w:rFonts w:hint="cs"/>
          <w:b/>
          <w:bCs/>
          <w:sz w:val="20"/>
          <w:szCs w:val="20"/>
          <w:rtl/>
        </w:rPr>
        <w:t>רשב"א וטור</w:t>
      </w:r>
      <w:r>
        <w:rPr>
          <w:rFonts w:hint="cs"/>
          <w:sz w:val="20"/>
          <w:szCs w:val="20"/>
          <w:rtl/>
        </w:rPr>
        <w:t xml:space="preserve"> </w:t>
      </w:r>
      <w:r>
        <w:rPr>
          <w:sz w:val="20"/>
          <w:szCs w:val="20"/>
          <w:rtl/>
        </w:rPr>
        <w:t>–</w:t>
      </w:r>
      <w:r>
        <w:rPr>
          <w:rFonts w:hint="cs"/>
          <w:sz w:val="20"/>
          <w:szCs w:val="20"/>
          <w:rtl/>
        </w:rPr>
        <w:t xml:space="preserve"> ראתה ג' פעמים ביום אחד, ובין ראיה לראיה היתה הפסקה </w:t>
      </w:r>
      <w:r>
        <w:rPr>
          <w:sz w:val="20"/>
          <w:szCs w:val="20"/>
          <w:rtl/>
        </w:rPr>
        <w:t>–</w:t>
      </w:r>
      <w:r>
        <w:rPr>
          <w:rFonts w:hint="cs"/>
          <w:sz w:val="20"/>
          <w:szCs w:val="20"/>
          <w:rtl/>
        </w:rPr>
        <w:t xml:space="preserve"> הוחזקה בדם, וכ"פ </w:t>
      </w:r>
      <w:r w:rsidRPr="00075955">
        <w:rPr>
          <w:rFonts w:hint="cs"/>
          <w:b/>
          <w:bCs/>
          <w:sz w:val="20"/>
          <w:szCs w:val="20"/>
          <w:rtl/>
        </w:rPr>
        <w:t>המחבר</w:t>
      </w:r>
      <w:r>
        <w:rPr>
          <w:rFonts w:hint="cs"/>
          <w:sz w:val="20"/>
          <w:szCs w:val="20"/>
          <w:rtl/>
        </w:rPr>
        <w:t>.</w:t>
      </w:r>
      <w:r>
        <w:rPr>
          <w:sz w:val="20"/>
          <w:szCs w:val="20"/>
          <w:rtl/>
        </w:rPr>
        <w:br/>
      </w:r>
      <w:r w:rsidRPr="003D54F2">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מדלפת שאינה מוחזקת בדם היא מי שהדם דולף ממנה טיפה אחר טיפה, אך אם פסקה לגמרי לראות והתחילה לראות שוב, הוחזקה בדם.</w:t>
      </w:r>
      <w:r>
        <w:rPr>
          <w:rStyle w:val="a5"/>
          <w:sz w:val="20"/>
          <w:szCs w:val="20"/>
          <w:rtl/>
        </w:rPr>
        <w:footnoteReference w:id="257"/>
      </w:r>
      <w:r>
        <w:rPr>
          <w:rFonts w:hint="cs"/>
          <w:sz w:val="20"/>
          <w:szCs w:val="20"/>
          <w:rtl/>
        </w:rPr>
        <w:t xml:space="preserve">  </w:t>
      </w:r>
      <w:r>
        <w:rPr>
          <w:rFonts w:hint="cs"/>
          <w:sz w:val="20"/>
          <w:szCs w:val="20"/>
          <w:rtl/>
        </w:rPr>
        <w:br/>
        <w:t xml:space="preserve">ב. </w:t>
      </w:r>
      <w:r w:rsidRPr="003D54F2">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רק לאחר שיהיו לה ג' ווסתות דינה כמוחזקת בדם, אך ג' ראיות ביום אחד הן כראייה אחת.</w:t>
      </w:r>
      <w:r>
        <w:rPr>
          <w:rFonts w:hint="cs"/>
          <w:sz w:val="20"/>
          <w:szCs w:val="20"/>
          <w:rtl/>
        </w:rPr>
        <w:br/>
      </w:r>
      <w:r w:rsidRPr="00600722">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מדלפת שבגמרא אינו טיפה אחר טיפה, אלא אפילו פסקה באותו יום וחזרה וראתה מקרי מדלפת.</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600722">
        <w:rPr>
          <w:rFonts w:cs="Arial"/>
          <w:sz w:val="20"/>
          <w:szCs w:val="20"/>
          <w:rtl/>
        </w:rPr>
        <w:t>היתה שופעת כמה ימים, או שה</w:t>
      </w:r>
      <w:r>
        <w:rPr>
          <w:rFonts w:cs="Arial" w:hint="cs"/>
          <w:sz w:val="20"/>
          <w:szCs w:val="20"/>
          <w:rtl/>
        </w:rPr>
        <w:t>י</w:t>
      </w:r>
      <w:r w:rsidRPr="00600722">
        <w:rPr>
          <w:rFonts w:cs="Arial"/>
          <w:sz w:val="20"/>
          <w:szCs w:val="20"/>
          <w:rtl/>
        </w:rPr>
        <w:t>תה מזלפת טיף אחר טיף בלא הפסק, אינו אלא כראיה אחת עד שתפסיק. אבל אם פסקה מעט, וחזרה וראתה של</w:t>
      </w:r>
      <w:r>
        <w:rPr>
          <w:rFonts w:cs="Arial" w:hint="cs"/>
          <w:sz w:val="20"/>
          <w:szCs w:val="20"/>
          <w:rtl/>
        </w:rPr>
        <w:t>ו</w:t>
      </w:r>
      <w:r w:rsidRPr="00600722">
        <w:rPr>
          <w:rFonts w:cs="Arial"/>
          <w:sz w:val="20"/>
          <w:szCs w:val="20"/>
          <w:rtl/>
        </w:rPr>
        <w:t>ש פעמים אפילו ביום אחד, הרי זו מוחזקת בדמים וכתמה טמא. ויש מי שאומר שאין כתמה טמא אלא א</w:t>
      </w:r>
      <w:r>
        <w:rPr>
          <w:rFonts w:cs="Arial" w:hint="cs"/>
          <w:sz w:val="20"/>
          <w:szCs w:val="20"/>
          <w:rtl/>
        </w:rPr>
        <w:t xml:space="preserve">ם </w:t>
      </w:r>
      <w:r w:rsidRPr="00600722">
        <w:rPr>
          <w:rFonts w:cs="Arial"/>
          <w:sz w:val="20"/>
          <w:szCs w:val="20"/>
          <w:rtl/>
        </w:rPr>
        <w:t>כ</w:t>
      </w:r>
      <w:r>
        <w:rPr>
          <w:rFonts w:cs="Arial" w:hint="cs"/>
          <w:sz w:val="20"/>
          <w:szCs w:val="20"/>
          <w:rtl/>
        </w:rPr>
        <w:t>ן</w:t>
      </w:r>
      <w:r w:rsidRPr="00600722">
        <w:rPr>
          <w:rFonts w:cs="Arial"/>
          <w:sz w:val="20"/>
          <w:szCs w:val="20"/>
          <w:rtl/>
        </w:rPr>
        <w:t xml:space="preserve"> ראתה דם של</w:t>
      </w:r>
      <w:r>
        <w:rPr>
          <w:rFonts w:cs="Arial" w:hint="cs"/>
          <w:sz w:val="20"/>
          <w:szCs w:val="20"/>
          <w:rtl/>
        </w:rPr>
        <w:t>ו</w:t>
      </w:r>
      <w:r w:rsidRPr="00600722">
        <w:rPr>
          <w:rFonts w:cs="Arial"/>
          <w:sz w:val="20"/>
          <w:szCs w:val="20"/>
          <w:rtl/>
        </w:rPr>
        <w:t xml:space="preserve">שה </w:t>
      </w:r>
      <w:r>
        <w:rPr>
          <w:rFonts w:cs="Arial"/>
          <w:sz w:val="20"/>
          <w:szCs w:val="20"/>
          <w:rtl/>
        </w:rPr>
        <w:t xml:space="preserve">וסתות. </w:t>
      </w:r>
      <w:r w:rsidRPr="00C95008">
        <w:rPr>
          <w:rFonts w:cs="Arial"/>
          <w:sz w:val="18"/>
          <w:szCs w:val="18"/>
          <w:rtl/>
        </w:rPr>
        <w:t>ויש להחמיר כסברא הראשונה</w:t>
      </w:r>
      <w:r>
        <w:rPr>
          <w:rFonts w:cs="Arial" w:hint="cs"/>
          <w:sz w:val="20"/>
          <w:szCs w:val="20"/>
          <w:rtl/>
        </w:rPr>
        <w:t>".</w:t>
      </w:r>
    </w:p>
    <w:p w:rsidR="00620060" w:rsidRDefault="00620060" w:rsidP="00620060">
      <w:pPr>
        <w:rPr>
          <w:sz w:val="20"/>
          <w:szCs w:val="20"/>
          <w:rtl/>
        </w:rPr>
      </w:pPr>
      <w:r w:rsidRPr="00D32845">
        <w:rPr>
          <w:rFonts w:hint="cs"/>
          <w:b/>
          <w:bCs/>
          <w:sz w:val="20"/>
          <w:szCs w:val="20"/>
          <w:rtl/>
        </w:rPr>
        <w:t>שופעת פוסקת</w:t>
      </w:r>
      <w:r>
        <w:rPr>
          <w:rFonts w:hint="cs"/>
          <w:sz w:val="20"/>
          <w:szCs w:val="20"/>
          <w:u w:val="single"/>
          <w:rtl/>
        </w:rPr>
        <w:br/>
        <w:t>קושייה בדברי המחבר</w:t>
      </w:r>
      <w:r>
        <w:rPr>
          <w:sz w:val="20"/>
          <w:szCs w:val="20"/>
          <w:u w:val="single"/>
          <w:rtl/>
        </w:rPr>
        <w:br/>
      </w:r>
      <w:r>
        <w:rPr>
          <w:rFonts w:hint="cs"/>
          <w:sz w:val="20"/>
          <w:szCs w:val="20"/>
          <w:rtl/>
        </w:rPr>
        <w:t>המחבר כתב</w:t>
      </w:r>
      <w:r w:rsidRPr="00D32845">
        <w:rPr>
          <w:rFonts w:cs="Arial"/>
          <w:sz w:val="20"/>
          <w:szCs w:val="20"/>
          <w:rtl/>
        </w:rPr>
        <w:t xml:space="preserve"> </w:t>
      </w:r>
      <w:r>
        <w:rPr>
          <w:rFonts w:hint="cs"/>
          <w:sz w:val="20"/>
          <w:szCs w:val="20"/>
          <w:rtl/>
        </w:rPr>
        <w:t>'שופעת או מזלפת', אך לכאורה דבריו קשים משום שמסקנת הגמרא היא ששופעת ומזלפת הם היינו הך, שהרי אי אפשר לה להיות שופעת זמן מרובה כל כך ולחיות!</w:t>
      </w:r>
    </w:p>
    <w:p w:rsidR="00620060" w:rsidRDefault="00620060" w:rsidP="00620060">
      <w:pPr>
        <w:rPr>
          <w:sz w:val="20"/>
          <w:szCs w:val="20"/>
          <w:rtl/>
        </w:rPr>
      </w:pPr>
      <w:r>
        <w:rPr>
          <w:rFonts w:hint="cs"/>
          <w:sz w:val="20"/>
          <w:szCs w:val="20"/>
          <w:u w:val="single"/>
          <w:rtl/>
        </w:rPr>
        <w:t>יישוב הקושייה</w:t>
      </w:r>
      <w:r>
        <w:rPr>
          <w:sz w:val="20"/>
          <w:szCs w:val="20"/>
          <w:u w:val="single"/>
          <w:rtl/>
        </w:rPr>
        <w:br/>
      </w:r>
      <w:r>
        <w:rPr>
          <w:rFonts w:hint="cs"/>
          <w:sz w:val="20"/>
          <w:szCs w:val="20"/>
          <w:rtl/>
        </w:rPr>
        <w:t xml:space="preserve">א. </w:t>
      </w:r>
      <w:r w:rsidRPr="002917DF">
        <w:rPr>
          <w:rFonts w:hint="cs"/>
          <w:b/>
          <w:bCs/>
          <w:sz w:val="20"/>
          <w:szCs w:val="20"/>
          <w:rtl/>
        </w:rPr>
        <w:t>ב"ח</w:t>
      </w:r>
      <w:r>
        <w:rPr>
          <w:rFonts w:hint="cs"/>
          <w:sz w:val="20"/>
          <w:szCs w:val="20"/>
          <w:rtl/>
        </w:rPr>
        <w:t xml:space="preserve"> </w:t>
      </w:r>
      <w:r>
        <w:rPr>
          <w:sz w:val="20"/>
          <w:szCs w:val="20"/>
          <w:rtl/>
        </w:rPr>
        <w:t>–</w:t>
      </w:r>
      <w:r>
        <w:rPr>
          <w:rFonts w:hint="cs"/>
          <w:sz w:val="20"/>
          <w:szCs w:val="20"/>
          <w:rtl/>
        </w:rPr>
        <w:t xml:space="preserve"> שופעת שכתב המחבר היינו ששופעת בהפסקות, ואע"פ שמדלפת בהפסקות מוחזקת בדם, שופעת בהפסקות אינה מוחזקת בדם אלא זו ראייה אחת. לפי"ז, מה שכתב המחבר שאם פסקה מעט וראתה ג' פעמים הוחזקה בדם וכתמה טמא, היינו רק לגבי מזלפת אך לא לגבי שופעת.</w:t>
      </w:r>
      <w:r>
        <w:rPr>
          <w:sz w:val="20"/>
          <w:szCs w:val="20"/>
          <w:rtl/>
        </w:rPr>
        <w:br/>
      </w:r>
      <w:r>
        <w:rPr>
          <w:rFonts w:hint="cs"/>
          <w:sz w:val="20"/>
          <w:szCs w:val="20"/>
          <w:rtl/>
        </w:rPr>
        <w:t xml:space="preserve">ב. </w:t>
      </w:r>
      <w:r w:rsidRPr="002917DF">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דברי הב"ח קשים </w:t>
      </w:r>
      <w:r>
        <w:rPr>
          <w:sz w:val="20"/>
          <w:szCs w:val="20"/>
          <w:rtl/>
        </w:rPr>
        <w:t>–</w:t>
      </w:r>
      <w:r>
        <w:rPr>
          <w:rFonts w:hint="cs"/>
          <w:sz w:val="20"/>
          <w:szCs w:val="20"/>
          <w:rtl/>
        </w:rPr>
        <w:t xml:space="preserve"> נאמר להדיא בגמרא ששופעת מותרת ופוסקת אסורה, משמע שפוסקת קאי על שופעת שאף היא אסורה כשפוסקת.</w:t>
      </w:r>
      <w:r>
        <w:rPr>
          <w:sz w:val="20"/>
          <w:szCs w:val="20"/>
          <w:rtl/>
        </w:rPr>
        <w:br/>
      </w:r>
      <w:r>
        <w:rPr>
          <w:rFonts w:hint="cs"/>
          <w:sz w:val="20"/>
          <w:szCs w:val="20"/>
          <w:rtl/>
        </w:rPr>
        <w:t xml:space="preserve">ועוד </w:t>
      </w:r>
      <w:r>
        <w:rPr>
          <w:sz w:val="20"/>
          <w:szCs w:val="20"/>
          <w:rtl/>
        </w:rPr>
        <w:t>–</w:t>
      </w:r>
      <w:r>
        <w:rPr>
          <w:rFonts w:hint="cs"/>
          <w:sz w:val="20"/>
          <w:szCs w:val="20"/>
          <w:rtl/>
        </w:rPr>
        <w:t xml:space="preserve"> קשה לחלק בסברה בין שופעת בהפסקות לבין מזלפת בהפסקות.</w:t>
      </w:r>
      <w:r>
        <w:rPr>
          <w:sz w:val="20"/>
          <w:szCs w:val="20"/>
          <w:rtl/>
        </w:rPr>
        <w:br/>
      </w:r>
      <w:r>
        <w:rPr>
          <w:rFonts w:hint="cs"/>
          <w:sz w:val="20"/>
          <w:szCs w:val="20"/>
          <w:rtl/>
        </w:rPr>
        <w:t xml:space="preserve">וליישב את הקושייה בדברי המחבר יש לומר כך </w:t>
      </w:r>
      <w:r>
        <w:rPr>
          <w:sz w:val="20"/>
          <w:szCs w:val="20"/>
          <w:rtl/>
        </w:rPr>
        <w:t>–</w:t>
      </w:r>
      <w:r>
        <w:rPr>
          <w:rFonts w:hint="cs"/>
          <w:sz w:val="20"/>
          <w:szCs w:val="20"/>
          <w:rtl/>
        </w:rPr>
        <w:t xml:space="preserve"> בגמרא נאמר שאי אפשר לה להיות שופעת ולחיות משום שמדובר על שופעת ז' יום, וכפי שדייק רש"י לכתוב, אך המחבר כתב שהיא שופעת כמה ימים, משמע יומיים או שלושה וזה דבר אפשרי שעדיין תחיה.</w:t>
      </w:r>
      <w:r>
        <w:rPr>
          <w:sz w:val="20"/>
          <w:szCs w:val="20"/>
          <w:rtl/>
        </w:rPr>
        <w:br/>
      </w:r>
      <w:r>
        <w:rPr>
          <w:rFonts w:hint="cs"/>
          <w:sz w:val="20"/>
          <w:szCs w:val="20"/>
          <w:rtl/>
        </w:rPr>
        <w:t>ולכן, המסקנה היא שבכל אופן שהיה הפסק בין הראיות, אפילו בשופעת, דינה כמוחזקת בדם.</w:t>
      </w:r>
      <w:r>
        <w:rPr>
          <w:rFonts w:hint="cs"/>
          <w:sz w:val="20"/>
          <w:szCs w:val="20"/>
          <w:rtl/>
        </w:rPr>
        <w:br/>
        <w:t xml:space="preserve">ג. </w:t>
      </w:r>
      <w:r w:rsidRPr="004278BA">
        <w:rPr>
          <w:rFonts w:hint="cs"/>
          <w:b/>
          <w:bCs/>
          <w:sz w:val="20"/>
          <w:szCs w:val="20"/>
          <w:rtl/>
        </w:rPr>
        <w:t>נקה"כ</w:t>
      </w:r>
      <w:r>
        <w:rPr>
          <w:rFonts w:hint="cs"/>
          <w:sz w:val="20"/>
          <w:szCs w:val="20"/>
          <w:rtl/>
        </w:rPr>
        <w:t xml:space="preserve"> </w:t>
      </w:r>
      <w:r>
        <w:rPr>
          <w:sz w:val="20"/>
          <w:szCs w:val="20"/>
          <w:rtl/>
        </w:rPr>
        <w:t>–</w:t>
      </w:r>
      <w:r>
        <w:rPr>
          <w:rFonts w:hint="cs"/>
          <w:sz w:val="20"/>
          <w:szCs w:val="20"/>
          <w:rtl/>
        </w:rPr>
        <w:t xml:space="preserve"> דוחה את הט"ז </w:t>
      </w:r>
      <w:r>
        <w:rPr>
          <w:sz w:val="20"/>
          <w:szCs w:val="20"/>
          <w:rtl/>
        </w:rPr>
        <w:t>–</w:t>
      </w:r>
      <w:r>
        <w:rPr>
          <w:rFonts w:hint="cs"/>
          <w:sz w:val="20"/>
          <w:szCs w:val="20"/>
          <w:rtl/>
        </w:rPr>
        <w:t xml:space="preserve"> המחבר כתב סתמא "שופעת כמה ימים" ומשמע אפילו יותר מב' או ג' ימים.</w:t>
      </w:r>
      <w:r>
        <w:rPr>
          <w:rFonts w:hint="cs"/>
          <w:sz w:val="20"/>
          <w:szCs w:val="20"/>
          <w:rtl/>
        </w:rPr>
        <w:br/>
        <w:t>ועוד, החוש מעיד שאפילו ב' או ג' ימים אינה יכולה להיות שופעת ולחיות.</w:t>
      </w:r>
      <w:r>
        <w:rPr>
          <w:sz w:val="20"/>
          <w:szCs w:val="20"/>
          <w:rtl/>
        </w:rPr>
        <w:br/>
      </w:r>
      <w:r>
        <w:rPr>
          <w:rFonts w:hint="cs"/>
          <w:sz w:val="20"/>
          <w:szCs w:val="20"/>
          <w:rtl/>
        </w:rPr>
        <w:t xml:space="preserve">אלא על כורחך יש לומר כהבנת </w:t>
      </w:r>
      <w:r w:rsidRPr="004278BA">
        <w:rPr>
          <w:rFonts w:hint="cs"/>
          <w:b/>
          <w:bCs/>
          <w:sz w:val="20"/>
          <w:szCs w:val="20"/>
          <w:rtl/>
        </w:rPr>
        <w:t>הב"ח</w:t>
      </w:r>
      <w:r>
        <w:rPr>
          <w:rFonts w:hint="cs"/>
          <w:sz w:val="20"/>
          <w:szCs w:val="20"/>
          <w:rtl/>
        </w:rPr>
        <w:t>, שופעת שפוסקת מעט הוי כראייה אחת.</w:t>
      </w:r>
    </w:p>
    <w:p w:rsidR="00620060"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DB5F53">
        <w:rPr>
          <w:rFonts w:hint="cs"/>
          <w:b/>
          <w:bCs/>
          <w:sz w:val="20"/>
          <w:szCs w:val="20"/>
          <w:rtl/>
        </w:rPr>
        <w:t>גמרא</w:t>
      </w:r>
      <w:r>
        <w:rPr>
          <w:rFonts w:hint="cs"/>
          <w:sz w:val="20"/>
          <w:szCs w:val="20"/>
          <w:rtl/>
        </w:rPr>
        <w:t xml:space="preserve">. תינוקת שופעת כל ז' </w:t>
      </w:r>
      <w:r>
        <w:rPr>
          <w:sz w:val="20"/>
          <w:szCs w:val="20"/>
          <w:rtl/>
        </w:rPr>
        <w:t>–</w:t>
      </w:r>
      <w:r>
        <w:rPr>
          <w:rFonts w:hint="cs"/>
          <w:sz w:val="20"/>
          <w:szCs w:val="20"/>
          <w:rtl/>
        </w:rPr>
        <w:t xml:space="preserve"> ראייה אחת. מדלפת </w:t>
      </w:r>
      <w:r>
        <w:rPr>
          <w:sz w:val="20"/>
          <w:szCs w:val="20"/>
          <w:rtl/>
        </w:rPr>
        <w:t>–</w:t>
      </w:r>
      <w:r>
        <w:rPr>
          <w:rFonts w:hint="cs"/>
          <w:sz w:val="20"/>
          <w:szCs w:val="20"/>
          <w:rtl/>
        </w:rPr>
        <w:t xml:space="preserve"> כשופעת, ראייה אחת.</w:t>
      </w:r>
      <w:r>
        <w:rPr>
          <w:sz w:val="20"/>
          <w:szCs w:val="20"/>
          <w:rtl/>
        </w:rPr>
        <w:br/>
      </w:r>
      <w:r>
        <w:rPr>
          <w:rFonts w:hint="cs"/>
          <w:sz w:val="20"/>
          <w:szCs w:val="20"/>
          <w:rtl/>
        </w:rPr>
        <w:t xml:space="preserve">2. </w:t>
      </w:r>
      <w:r w:rsidRPr="006636DA">
        <w:rPr>
          <w:rFonts w:hint="cs"/>
          <w:b/>
          <w:bCs/>
          <w:sz w:val="20"/>
          <w:szCs w:val="20"/>
          <w:rtl/>
        </w:rPr>
        <w:t>רשב"א</w:t>
      </w:r>
      <w:r>
        <w:rPr>
          <w:rFonts w:hint="cs"/>
          <w:sz w:val="20"/>
          <w:szCs w:val="20"/>
          <w:rtl/>
        </w:rPr>
        <w:t xml:space="preserve">. ראתה ופסקה ג"פ ביום אחד, כתמה טמא, וכ"פ </w:t>
      </w:r>
      <w:r w:rsidRPr="006636DA">
        <w:rPr>
          <w:rFonts w:hint="cs"/>
          <w:b/>
          <w:bCs/>
          <w:sz w:val="20"/>
          <w:szCs w:val="20"/>
          <w:rtl/>
        </w:rPr>
        <w:t>המחבר ורמ"א</w:t>
      </w:r>
      <w:r>
        <w:rPr>
          <w:rFonts w:hint="cs"/>
          <w:sz w:val="20"/>
          <w:szCs w:val="20"/>
          <w:rtl/>
        </w:rPr>
        <w:t xml:space="preserve">. </w:t>
      </w:r>
      <w:r w:rsidRPr="006636DA">
        <w:rPr>
          <w:rFonts w:hint="cs"/>
          <w:b/>
          <w:bCs/>
          <w:sz w:val="20"/>
          <w:szCs w:val="20"/>
          <w:rtl/>
        </w:rPr>
        <w:t>רמב"ם</w:t>
      </w:r>
      <w:r>
        <w:rPr>
          <w:rFonts w:hint="cs"/>
          <w:sz w:val="20"/>
          <w:szCs w:val="20"/>
          <w:rtl/>
        </w:rPr>
        <w:t>. רק אם ראתה ג' ווסתות.</w:t>
      </w:r>
      <w:r>
        <w:rPr>
          <w:sz w:val="20"/>
          <w:szCs w:val="20"/>
          <w:rtl/>
        </w:rPr>
        <w:br/>
      </w:r>
      <w:r>
        <w:rPr>
          <w:rFonts w:hint="cs"/>
          <w:sz w:val="20"/>
          <w:szCs w:val="20"/>
          <w:rtl/>
        </w:rPr>
        <w:t>3</w:t>
      </w:r>
      <w:r w:rsidRPr="004278BA">
        <w:rPr>
          <w:rFonts w:hint="cs"/>
          <w:sz w:val="20"/>
          <w:szCs w:val="20"/>
          <w:rtl/>
        </w:rPr>
        <w:t>. שופעת והפסיקה מעט בין ראיותיה</w:t>
      </w:r>
      <w:r>
        <w:rPr>
          <w:rFonts w:hint="cs"/>
          <w:sz w:val="20"/>
          <w:szCs w:val="20"/>
          <w:rtl/>
        </w:rPr>
        <w:t xml:space="preserve">. </w:t>
      </w:r>
      <w:r w:rsidRPr="00DB5F53">
        <w:rPr>
          <w:rFonts w:hint="cs"/>
          <w:b/>
          <w:bCs/>
          <w:sz w:val="20"/>
          <w:szCs w:val="20"/>
          <w:rtl/>
        </w:rPr>
        <w:t>ב"ח</w:t>
      </w:r>
      <w:r>
        <w:rPr>
          <w:rFonts w:hint="cs"/>
          <w:sz w:val="20"/>
          <w:szCs w:val="20"/>
          <w:rtl/>
        </w:rPr>
        <w:t xml:space="preserve"> </w:t>
      </w:r>
      <w:r w:rsidRPr="004278BA">
        <w:rPr>
          <w:rFonts w:hint="cs"/>
          <w:b/>
          <w:bCs/>
          <w:sz w:val="20"/>
          <w:szCs w:val="20"/>
          <w:rtl/>
        </w:rPr>
        <w:t>וש"ך</w:t>
      </w:r>
      <w:r>
        <w:rPr>
          <w:rFonts w:hint="cs"/>
          <w:sz w:val="20"/>
          <w:szCs w:val="20"/>
          <w:rtl/>
        </w:rPr>
        <w:t xml:space="preserve">. ראייה אחת. </w:t>
      </w:r>
      <w:r w:rsidRPr="00DB5F53">
        <w:rPr>
          <w:rFonts w:hint="cs"/>
          <w:b/>
          <w:bCs/>
          <w:sz w:val="20"/>
          <w:szCs w:val="20"/>
          <w:rtl/>
        </w:rPr>
        <w:t>ט"ז</w:t>
      </w:r>
      <w:r>
        <w:rPr>
          <w:rFonts w:hint="cs"/>
          <w:sz w:val="20"/>
          <w:szCs w:val="20"/>
          <w:rtl/>
        </w:rPr>
        <w:t xml:space="preserve">. ג' ראיות. </w:t>
      </w:r>
    </w:p>
    <w:p w:rsidR="00620060" w:rsidRDefault="00620060" w:rsidP="00620060">
      <w:pPr>
        <w:rPr>
          <w:rFonts w:cs="Arial"/>
          <w:sz w:val="20"/>
          <w:szCs w:val="20"/>
          <w:rtl/>
        </w:rPr>
      </w:pPr>
      <w:r>
        <w:rPr>
          <w:sz w:val="20"/>
          <w:szCs w:val="20"/>
          <w:rtl/>
        </w:rPr>
        <w:br/>
      </w:r>
      <w:r>
        <w:rPr>
          <w:rFonts w:hint="cs"/>
          <w:b/>
          <w:bCs/>
          <w:sz w:val="20"/>
          <w:szCs w:val="20"/>
          <w:rtl/>
        </w:rPr>
        <w:t xml:space="preserve">סעיף ד </w:t>
      </w:r>
      <w:r>
        <w:rPr>
          <w:b/>
          <w:bCs/>
          <w:sz w:val="20"/>
          <w:szCs w:val="20"/>
          <w:rtl/>
        </w:rPr>
        <w:t>–</w:t>
      </w:r>
      <w:r>
        <w:rPr>
          <w:rFonts w:hint="cs"/>
          <w:b/>
          <w:bCs/>
          <w:sz w:val="20"/>
          <w:szCs w:val="20"/>
          <w:rtl/>
        </w:rPr>
        <w:t xml:space="preserve"> תינוקת שפסקה לראות</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גמרא </w:t>
      </w:r>
      <w:r>
        <w:rPr>
          <w:rFonts w:hint="cs"/>
          <w:sz w:val="20"/>
          <w:szCs w:val="20"/>
          <w:rtl/>
        </w:rPr>
        <w:t>נידה (ט:) "</w:t>
      </w:r>
      <w:r w:rsidRPr="00C20D3A">
        <w:rPr>
          <w:rFonts w:cs="Arial"/>
          <w:sz w:val="20"/>
          <w:szCs w:val="20"/>
          <w:rtl/>
        </w:rPr>
        <w:t>ת</w:t>
      </w:r>
      <w:r>
        <w:rPr>
          <w:rFonts w:cs="Arial" w:hint="cs"/>
          <w:sz w:val="20"/>
          <w:szCs w:val="20"/>
          <w:rtl/>
        </w:rPr>
        <w:t xml:space="preserve">נו </w:t>
      </w:r>
      <w:r w:rsidRPr="00C20D3A">
        <w:rPr>
          <w:rFonts w:cs="Arial"/>
          <w:sz w:val="20"/>
          <w:szCs w:val="20"/>
          <w:rtl/>
        </w:rPr>
        <w:t>ר</w:t>
      </w:r>
      <w:r>
        <w:rPr>
          <w:rFonts w:cs="Arial" w:hint="cs"/>
          <w:sz w:val="20"/>
          <w:szCs w:val="20"/>
          <w:rtl/>
        </w:rPr>
        <w:t>בנן</w:t>
      </w:r>
      <w:r w:rsidRPr="00C20D3A">
        <w:rPr>
          <w:rFonts w:cs="Arial"/>
          <w:sz w:val="20"/>
          <w:szCs w:val="20"/>
          <w:rtl/>
        </w:rPr>
        <w:t>: ת</w:t>
      </w:r>
      <w:r>
        <w:rPr>
          <w:rFonts w:cs="Arial" w:hint="cs"/>
          <w:sz w:val="20"/>
          <w:szCs w:val="20"/>
          <w:rtl/>
        </w:rPr>
        <w:t>י</w:t>
      </w:r>
      <w:r w:rsidRPr="00C20D3A">
        <w:rPr>
          <w:rFonts w:cs="Arial"/>
          <w:sz w:val="20"/>
          <w:szCs w:val="20"/>
          <w:rtl/>
        </w:rPr>
        <w:t>נוקת שלא הגיע זמנה לראות וראתה, פעם ראשונה - דיה שעתה, שניה - דיה שעתה, שלישית - הרי היא ככל הנשים, ומטמאה מעת לעת ומפקידה לפקידה. עברו עליה שלש עונות וראתה - דיה שעתה, ועוד עברו עליה שלש עונות וראתה - דיה שעתה, ועוד עברו עליה שלש עונות וראתה - הרי היא ככל הנשים, ומטמאה מעת לעת ומפקידה לפקידה</w:t>
      </w:r>
      <w:r>
        <w:rPr>
          <w:rFonts w:cs="Arial" w:hint="cs"/>
          <w:sz w:val="20"/>
          <w:szCs w:val="20"/>
          <w:rtl/>
        </w:rPr>
        <w:t>"</w:t>
      </w:r>
      <w:r w:rsidRPr="00C20D3A">
        <w:rPr>
          <w:rFonts w:cs="Arial"/>
          <w:sz w:val="20"/>
          <w:szCs w:val="20"/>
          <w:rtl/>
        </w:rPr>
        <w:t>.</w:t>
      </w:r>
    </w:p>
    <w:p w:rsidR="00620060" w:rsidRDefault="00620060" w:rsidP="00620060">
      <w:pPr>
        <w:rPr>
          <w:sz w:val="20"/>
          <w:szCs w:val="20"/>
          <w:rtl/>
        </w:rPr>
      </w:pPr>
      <w:r>
        <w:rPr>
          <w:rFonts w:cs="Arial" w:hint="cs"/>
          <w:sz w:val="20"/>
          <w:szCs w:val="20"/>
          <w:u w:val="single"/>
          <w:rtl/>
        </w:rPr>
        <w:lastRenderedPageBreak/>
        <w:t>הסבר</w:t>
      </w:r>
      <w:r>
        <w:rPr>
          <w:rFonts w:cs="Arial"/>
          <w:sz w:val="20"/>
          <w:szCs w:val="20"/>
          <w:u w:val="single"/>
          <w:rtl/>
        </w:rPr>
        <w:br/>
      </w:r>
      <w:r w:rsidRPr="00C20D3A">
        <w:rPr>
          <w:rFonts w:cs="Arial" w:hint="cs"/>
          <w:b/>
          <w:bCs/>
          <w:sz w:val="20"/>
          <w:szCs w:val="20"/>
          <w:rtl/>
        </w:rPr>
        <w:t>רשב"א</w:t>
      </w:r>
      <w:r>
        <w:rPr>
          <w:rFonts w:cs="Arial" w:hint="cs"/>
          <w:sz w:val="20"/>
          <w:szCs w:val="20"/>
          <w:rtl/>
        </w:rPr>
        <w:t xml:space="preserve"> </w:t>
      </w:r>
      <w:r>
        <w:rPr>
          <w:rFonts w:cs="Arial"/>
          <w:sz w:val="20"/>
          <w:szCs w:val="20"/>
          <w:rtl/>
        </w:rPr>
        <w:t>–</w:t>
      </w:r>
      <w:r>
        <w:rPr>
          <w:rFonts w:cs="Arial" w:hint="cs"/>
          <w:sz w:val="20"/>
          <w:szCs w:val="20"/>
          <w:rtl/>
        </w:rPr>
        <w:t xml:space="preserve"> ברייתא זו שנויה לעניין 'דיה שעתה', אך הוא הדין שיש להסיק ממנה לגבי כתמים. </w:t>
      </w:r>
      <w:r>
        <w:rPr>
          <w:rFonts w:cs="Arial"/>
          <w:sz w:val="20"/>
          <w:szCs w:val="20"/>
          <w:rtl/>
        </w:rPr>
        <w:br/>
      </w:r>
      <w:r>
        <w:rPr>
          <w:rFonts w:cs="Arial" w:hint="cs"/>
          <w:sz w:val="20"/>
          <w:szCs w:val="20"/>
          <w:rtl/>
        </w:rPr>
        <w:t xml:space="preserve">כלומר </w:t>
      </w:r>
      <w:r>
        <w:rPr>
          <w:rFonts w:cs="Arial"/>
          <w:sz w:val="20"/>
          <w:szCs w:val="20"/>
          <w:rtl/>
        </w:rPr>
        <w:t>–</w:t>
      </w:r>
      <w:r>
        <w:rPr>
          <w:rFonts w:cs="Arial" w:hint="cs"/>
          <w:sz w:val="20"/>
          <w:szCs w:val="20"/>
          <w:rtl/>
        </w:rPr>
        <w:t xml:space="preserve"> תינוקת שנאמר לגבה 'דיה שעתה' הוא הדין שכתמה טהור. ולכן, תינוקת שלא הגיע זמנה לראות וראתה ג' פעמים וכתמה טמא כאמור לעיל, אם פסקה ג' עונות ולא ראתה </w:t>
      </w:r>
      <w:r>
        <w:rPr>
          <w:rFonts w:cs="Arial"/>
          <w:sz w:val="20"/>
          <w:szCs w:val="20"/>
          <w:rtl/>
        </w:rPr>
        <w:t>–</w:t>
      </w:r>
      <w:r>
        <w:rPr>
          <w:rFonts w:cs="Arial" w:hint="cs"/>
          <w:sz w:val="20"/>
          <w:szCs w:val="20"/>
          <w:rtl/>
        </w:rPr>
        <w:t xml:space="preserve"> כתמה טהור, שהרי דיה שעתה.</w:t>
      </w:r>
      <w:r w:rsidRPr="00C20D3A">
        <w:rPr>
          <w:rFonts w:cs="Arial"/>
          <w:sz w:val="20"/>
          <w:szCs w:val="20"/>
          <w:rtl/>
        </w:rPr>
        <w:t xml:space="preserve">  </w:t>
      </w:r>
      <w:r>
        <w:rPr>
          <w:rFonts w:hint="cs"/>
          <w:sz w:val="20"/>
          <w:szCs w:val="20"/>
          <w:rtl/>
        </w:rPr>
        <w:br/>
        <w:t>ואמנם, אם תחזור ותראה ג' פעמים הוחזקה בדמים וכתמה טמא.</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9D125B">
        <w:rPr>
          <w:rFonts w:cs="Arial"/>
          <w:sz w:val="20"/>
          <w:szCs w:val="20"/>
          <w:rtl/>
        </w:rPr>
        <w:t>תינוקת שלא הגיע זמנה לראות וראתה ג</w:t>
      </w:r>
      <w:r>
        <w:rPr>
          <w:rFonts w:cs="Arial" w:hint="cs"/>
          <w:sz w:val="20"/>
          <w:szCs w:val="20"/>
          <w:rtl/>
        </w:rPr>
        <w:t xml:space="preserve">' </w:t>
      </w:r>
      <w:r w:rsidRPr="009D125B">
        <w:rPr>
          <w:rFonts w:cs="Arial"/>
          <w:sz w:val="20"/>
          <w:szCs w:val="20"/>
          <w:rtl/>
        </w:rPr>
        <w:t>פ</w:t>
      </w:r>
      <w:r>
        <w:rPr>
          <w:rFonts w:cs="Arial" w:hint="cs"/>
          <w:sz w:val="20"/>
          <w:szCs w:val="20"/>
          <w:rtl/>
        </w:rPr>
        <w:t>עמים</w:t>
      </w:r>
      <w:r w:rsidRPr="009D125B">
        <w:rPr>
          <w:rFonts w:cs="Arial"/>
          <w:sz w:val="20"/>
          <w:szCs w:val="20"/>
          <w:rtl/>
        </w:rPr>
        <w:t>, ופסקה מלראות שיעור של</w:t>
      </w:r>
      <w:r>
        <w:rPr>
          <w:rFonts w:cs="Arial" w:hint="cs"/>
          <w:sz w:val="20"/>
          <w:szCs w:val="20"/>
          <w:rtl/>
        </w:rPr>
        <w:t>ו</w:t>
      </w:r>
      <w:r w:rsidRPr="009D125B">
        <w:rPr>
          <w:rFonts w:cs="Arial"/>
          <w:sz w:val="20"/>
          <w:szCs w:val="20"/>
          <w:rtl/>
        </w:rPr>
        <w:t>ש עונות, שהם צ' יום, חוזרת לקדמותה וכתמה טהור עד שתחזור ותראה של</w:t>
      </w:r>
      <w:r>
        <w:rPr>
          <w:rFonts w:cs="Arial" w:hint="cs"/>
          <w:sz w:val="20"/>
          <w:szCs w:val="20"/>
          <w:rtl/>
        </w:rPr>
        <w:t>ו</w:t>
      </w:r>
      <w:r w:rsidRPr="009D125B">
        <w:rPr>
          <w:rFonts w:cs="Arial"/>
          <w:sz w:val="20"/>
          <w:szCs w:val="20"/>
          <w:rtl/>
        </w:rPr>
        <w:t>ש פעמים</w:t>
      </w:r>
      <w:r>
        <w:rPr>
          <w:rFonts w:cs="Arial" w:hint="cs"/>
          <w:sz w:val="20"/>
          <w:szCs w:val="20"/>
          <w:rtl/>
        </w:rPr>
        <w:t>"</w:t>
      </w:r>
      <w:r w:rsidRPr="009D125B">
        <w:rPr>
          <w:rFonts w:cs="Arial"/>
          <w:sz w:val="20"/>
          <w:szCs w:val="20"/>
          <w:rtl/>
        </w:rPr>
        <w:t>.</w:t>
      </w:r>
      <w:r>
        <w:rPr>
          <w:sz w:val="20"/>
          <w:szCs w:val="20"/>
          <w:rtl/>
        </w:rPr>
        <w:br/>
      </w:r>
      <w:r w:rsidRPr="00CF10C8">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אפילו אם חזרה לראות בעונות שהיתה למודה להיות רואה בהן, כתמה טמא רק לאחר ג' ראיות.</w:t>
      </w:r>
    </w:p>
    <w:p w:rsidR="00620060" w:rsidRDefault="00620060" w:rsidP="00620060">
      <w:pPr>
        <w:rPr>
          <w:sz w:val="20"/>
          <w:szCs w:val="20"/>
          <w:rtl/>
        </w:rPr>
      </w:pPr>
      <w:r>
        <w:rPr>
          <w:rFonts w:hint="cs"/>
          <w:b/>
          <w:bCs/>
          <w:sz w:val="20"/>
          <w:szCs w:val="20"/>
          <w:rtl/>
        </w:rPr>
        <w:t xml:space="preserve">תינוקת שהגיע זמנה לראות </w:t>
      </w:r>
      <w:r w:rsidRPr="00E96908">
        <w:rPr>
          <w:rFonts w:hint="cs"/>
          <w:sz w:val="18"/>
          <w:szCs w:val="18"/>
          <w:rtl/>
        </w:rPr>
        <w:t>(בית יוסף)</w:t>
      </w:r>
      <w:r>
        <w:rPr>
          <w:rFonts w:hint="cs"/>
          <w:sz w:val="20"/>
          <w:szCs w:val="20"/>
          <w:rtl/>
        </w:rPr>
        <w:br/>
      </w:r>
      <w:r w:rsidRPr="0003335C">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תינוקת שהגיע זמנה לראות, אע"פ שלא ראתה כתמה טמא.</w:t>
      </w:r>
      <w:r>
        <w:rPr>
          <w:rStyle w:val="a5"/>
          <w:sz w:val="20"/>
          <w:szCs w:val="20"/>
          <w:rtl/>
        </w:rPr>
        <w:footnoteReference w:id="258"/>
      </w:r>
      <w:r>
        <w:rPr>
          <w:sz w:val="20"/>
          <w:szCs w:val="20"/>
          <w:rtl/>
        </w:rPr>
        <w:br/>
      </w:r>
      <w:r w:rsidRPr="0003335C">
        <w:rPr>
          <w:rFonts w:hint="cs"/>
          <w:b/>
          <w:bCs/>
          <w:sz w:val="20"/>
          <w:szCs w:val="20"/>
          <w:rtl/>
        </w:rPr>
        <w:t xml:space="preserve">ראיה </w:t>
      </w:r>
      <w:r>
        <w:rPr>
          <w:sz w:val="20"/>
          <w:szCs w:val="20"/>
          <w:rtl/>
        </w:rPr>
        <w:t>–</w:t>
      </w:r>
      <w:r>
        <w:rPr>
          <w:rFonts w:hint="cs"/>
          <w:sz w:val="20"/>
          <w:szCs w:val="20"/>
          <w:rtl/>
        </w:rPr>
        <w:t xml:space="preserve"> </w:t>
      </w:r>
      <w:r w:rsidRPr="00E96908">
        <w:rPr>
          <w:rFonts w:hint="cs"/>
          <w:b/>
          <w:bCs/>
          <w:sz w:val="20"/>
          <w:szCs w:val="20"/>
          <w:rtl/>
        </w:rPr>
        <w:t>גמרא</w:t>
      </w:r>
      <w:r>
        <w:rPr>
          <w:rFonts w:hint="cs"/>
          <w:sz w:val="20"/>
          <w:szCs w:val="20"/>
          <w:rtl/>
        </w:rPr>
        <w:t xml:space="preserve"> </w:t>
      </w:r>
      <w:r>
        <w:rPr>
          <w:rFonts w:cs="Arial" w:hint="cs"/>
          <w:sz w:val="20"/>
          <w:szCs w:val="20"/>
          <w:rtl/>
        </w:rPr>
        <w:t>נדה (ה.) "</w:t>
      </w:r>
      <w:r w:rsidRPr="00713AD5">
        <w:rPr>
          <w:rFonts w:cs="Arial"/>
          <w:sz w:val="20"/>
          <w:szCs w:val="20"/>
          <w:rtl/>
        </w:rPr>
        <w:t>רבי חנינא בן אנטיגנוס אומר: נשים שאמרו חכמים דיין שעתן - כתמן כראייתן. ותינוקת שהגיע זמנה לראות - יש לה כתם, ושלא הגיע זמנה לראות - אין לה כתם. ואימתי הגיע זמנה לראות - משהגיעו ימי הנעורים</w:t>
      </w:r>
      <w:r>
        <w:rPr>
          <w:rFonts w:cs="Arial" w:hint="cs"/>
          <w:sz w:val="20"/>
          <w:szCs w:val="20"/>
          <w:rtl/>
        </w:rPr>
        <w:t>"</w:t>
      </w:r>
      <w:r w:rsidRPr="00713AD5">
        <w:rPr>
          <w:rFonts w:cs="Arial"/>
          <w:sz w:val="20"/>
          <w:szCs w:val="20"/>
          <w:rtl/>
        </w:rPr>
        <w:t>.</w:t>
      </w:r>
      <w:r>
        <w:rPr>
          <w:rFonts w:cs="Arial" w:hint="cs"/>
          <w:sz w:val="20"/>
          <w:szCs w:val="20"/>
          <w:rtl/>
        </w:rPr>
        <w:br/>
        <w:t>מכך שרבי חנינא סתם ואמר שאם הגיע זמנה לראות יש לה כתם, משמע שכך הדין אפילו אם לא ראתה.</w:t>
      </w:r>
      <w:r>
        <w:rPr>
          <w:rFonts w:hint="cs"/>
          <w:sz w:val="20"/>
          <w:szCs w:val="20"/>
          <w:rtl/>
        </w:rPr>
        <w:br/>
        <w:t xml:space="preserve">ועוד </w:t>
      </w:r>
      <w:r>
        <w:rPr>
          <w:sz w:val="20"/>
          <w:szCs w:val="20"/>
          <w:rtl/>
        </w:rPr>
        <w:t>–</w:t>
      </w:r>
      <w:r>
        <w:rPr>
          <w:rFonts w:hint="cs"/>
          <w:sz w:val="20"/>
          <w:szCs w:val="20"/>
          <w:rtl/>
        </w:rPr>
        <w:t xml:space="preserve"> אם נאמר שרק אם ראתה והוחזקה בדם יש לה כתם, אם כן מה ההבדל בינה לבין תינוקת שלא הגיע זמנה לראות? אלא על כורחך אפילו לא ראתה כלל כתמה טמא.</w:t>
      </w:r>
    </w:p>
    <w:p w:rsidR="00620060"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895D32">
        <w:rPr>
          <w:rFonts w:hint="cs"/>
          <w:b/>
          <w:bCs/>
          <w:sz w:val="20"/>
          <w:szCs w:val="20"/>
          <w:rtl/>
        </w:rPr>
        <w:t>גמרא</w:t>
      </w:r>
      <w:r>
        <w:rPr>
          <w:rFonts w:hint="cs"/>
          <w:sz w:val="20"/>
          <w:szCs w:val="20"/>
          <w:rtl/>
        </w:rPr>
        <w:t>. תינוקת שלא הגיע זמנה לראות, וראתה ג"פ מטמאה מעל"ע. פסקה ג"פ וראתה, דיה שעתה.</w:t>
      </w:r>
      <w:r>
        <w:rPr>
          <w:sz w:val="20"/>
          <w:szCs w:val="20"/>
          <w:rtl/>
        </w:rPr>
        <w:br/>
      </w:r>
      <w:r>
        <w:rPr>
          <w:rFonts w:hint="cs"/>
          <w:sz w:val="20"/>
          <w:szCs w:val="20"/>
          <w:rtl/>
        </w:rPr>
        <w:t xml:space="preserve">2. </w:t>
      </w:r>
      <w:r w:rsidRPr="00895D32">
        <w:rPr>
          <w:rFonts w:hint="cs"/>
          <w:b/>
          <w:bCs/>
          <w:sz w:val="20"/>
          <w:szCs w:val="20"/>
          <w:rtl/>
        </w:rPr>
        <w:t>רשב"א</w:t>
      </w:r>
      <w:r>
        <w:rPr>
          <w:rFonts w:hint="cs"/>
          <w:sz w:val="20"/>
          <w:szCs w:val="20"/>
          <w:rtl/>
        </w:rPr>
        <w:t xml:space="preserve">. הוא הדין שיש ללמוד מהתם לעניין כתם. קרי </w:t>
      </w:r>
      <w:r>
        <w:rPr>
          <w:sz w:val="20"/>
          <w:szCs w:val="20"/>
          <w:rtl/>
        </w:rPr>
        <w:t>–</w:t>
      </w:r>
      <w:r>
        <w:rPr>
          <w:rFonts w:hint="cs"/>
          <w:sz w:val="20"/>
          <w:szCs w:val="20"/>
          <w:rtl/>
        </w:rPr>
        <w:t xml:space="preserve"> פסקה ג' עונות כתמה טהור.</w:t>
      </w:r>
      <w:r>
        <w:rPr>
          <w:sz w:val="20"/>
          <w:szCs w:val="20"/>
          <w:rtl/>
        </w:rPr>
        <w:br/>
      </w:r>
      <w:r>
        <w:rPr>
          <w:rFonts w:hint="cs"/>
          <w:sz w:val="20"/>
          <w:szCs w:val="20"/>
          <w:rtl/>
        </w:rPr>
        <w:t xml:space="preserve">3. </w:t>
      </w:r>
      <w:r w:rsidRPr="00895D32">
        <w:rPr>
          <w:rFonts w:hint="cs"/>
          <w:b/>
          <w:bCs/>
          <w:sz w:val="20"/>
          <w:szCs w:val="20"/>
          <w:rtl/>
        </w:rPr>
        <w:t>מחבר</w:t>
      </w:r>
      <w:r>
        <w:rPr>
          <w:rFonts w:hint="cs"/>
          <w:sz w:val="20"/>
          <w:szCs w:val="20"/>
          <w:rtl/>
        </w:rPr>
        <w:t xml:space="preserve">. תינוקת שהוחזקה בדם ופסקה ג' עונות </w:t>
      </w:r>
      <w:r>
        <w:rPr>
          <w:sz w:val="20"/>
          <w:szCs w:val="20"/>
          <w:rtl/>
        </w:rPr>
        <w:t>–</w:t>
      </w:r>
      <w:r>
        <w:rPr>
          <w:rFonts w:hint="cs"/>
          <w:sz w:val="20"/>
          <w:szCs w:val="20"/>
          <w:rtl/>
        </w:rPr>
        <w:t xml:space="preserve"> כתמה טהור. חזרה וראתה ג"פ </w:t>
      </w:r>
      <w:r>
        <w:rPr>
          <w:sz w:val="20"/>
          <w:szCs w:val="20"/>
          <w:rtl/>
        </w:rPr>
        <w:t>–</w:t>
      </w:r>
      <w:r>
        <w:rPr>
          <w:rFonts w:hint="cs"/>
          <w:sz w:val="20"/>
          <w:szCs w:val="20"/>
          <w:rtl/>
        </w:rPr>
        <w:t xml:space="preserve"> כתמה טמא.</w:t>
      </w:r>
      <w:r>
        <w:rPr>
          <w:sz w:val="20"/>
          <w:szCs w:val="20"/>
          <w:rtl/>
        </w:rPr>
        <w:br/>
      </w:r>
      <w:r>
        <w:rPr>
          <w:rFonts w:hint="cs"/>
          <w:sz w:val="20"/>
          <w:szCs w:val="20"/>
          <w:rtl/>
        </w:rPr>
        <w:t xml:space="preserve">4. </w:t>
      </w:r>
      <w:r w:rsidRPr="00895D32">
        <w:rPr>
          <w:rFonts w:hint="cs"/>
          <w:b/>
          <w:bCs/>
          <w:sz w:val="20"/>
          <w:szCs w:val="20"/>
          <w:rtl/>
        </w:rPr>
        <w:t>רשב"א</w:t>
      </w:r>
      <w:r>
        <w:rPr>
          <w:rFonts w:hint="cs"/>
          <w:sz w:val="20"/>
          <w:szCs w:val="20"/>
          <w:rtl/>
        </w:rPr>
        <w:t>. תינוקת שהגיע זמנה לראות, כתמה טמא אע"פ שלא ראתה.</w:t>
      </w:r>
    </w:p>
    <w:p w:rsidR="00620060" w:rsidRDefault="00620060" w:rsidP="00620060">
      <w:pPr>
        <w:rPr>
          <w:sz w:val="20"/>
          <w:szCs w:val="20"/>
          <w:rtl/>
        </w:rPr>
      </w:pPr>
      <w:r>
        <w:rPr>
          <w:sz w:val="20"/>
          <w:szCs w:val="20"/>
          <w:rtl/>
        </w:rPr>
        <w:br/>
      </w:r>
      <w:r>
        <w:rPr>
          <w:rFonts w:hint="cs"/>
          <w:b/>
          <w:bCs/>
          <w:sz w:val="20"/>
          <w:szCs w:val="20"/>
          <w:rtl/>
        </w:rPr>
        <w:t xml:space="preserve">סעיף ה </w:t>
      </w:r>
      <w:r>
        <w:rPr>
          <w:b/>
          <w:bCs/>
          <w:sz w:val="20"/>
          <w:szCs w:val="20"/>
          <w:rtl/>
        </w:rPr>
        <w:t>–</w:t>
      </w:r>
      <w:r>
        <w:rPr>
          <w:rFonts w:hint="cs"/>
          <w:b/>
          <w:bCs/>
          <w:sz w:val="20"/>
          <w:szCs w:val="20"/>
          <w:rtl/>
        </w:rPr>
        <w:t xml:space="preserve"> גודל הכתם המטמא</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משנה </w:t>
      </w:r>
      <w:r>
        <w:rPr>
          <w:rFonts w:hint="cs"/>
          <w:sz w:val="20"/>
          <w:szCs w:val="20"/>
          <w:rtl/>
        </w:rPr>
        <w:t>נידה (נח:) "</w:t>
      </w:r>
      <w:r w:rsidRPr="0008769B">
        <w:rPr>
          <w:rFonts w:cs="Arial"/>
          <w:sz w:val="20"/>
          <w:szCs w:val="20"/>
          <w:rtl/>
        </w:rPr>
        <w:t>הרגה מאכולת - הרי זו תולה בה. עד כמה תולה? רבי חנינא בן אנטיגנוס אומר: עד כגריס של פול</w:t>
      </w:r>
      <w:r>
        <w:rPr>
          <w:rStyle w:val="a5"/>
          <w:rFonts w:cs="Arial"/>
          <w:sz w:val="20"/>
          <w:szCs w:val="20"/>
          <w:rtl/>
        </w:rPr>
        <w:footnoteReference w:id="259"/>
      </w:r>
      <w:r w:rsidRPr="0008769B">
        <w:rPr>
          <w:rFonts w:cs="Arial"/>
          <w:sz w:val="20"/>
          <w:szCs w:val="20"/>
          <w:rtl/>
        </w:rPr>
        <w:t>, ואף ע</w:t>
      </w:r>
      <w:r>
        <w:rPr>
          <w:rFonts w:cs="Arial" w:hint="cs"/>
          <w:sz w:val="20"/>
          <w:szCs w:val="20"/>
          <w:rtl/>
        </w:rPr>
        <w:t xml:space="preserve">ל </w:t>
      </w:r>
      <w:r w:rsidRPr="0008769B">
        <w:rPr>
          <w:rFonts w:cs="Arial"/>
          <w:sz w:val="20"/>
          <w:szCs w:val="20"/>
          <w:rtl/>
        </w:rPr>
        <w:t>פ</w:t>
      </w:r>
      <w:r>
        <w:rPr>
          <w:rFonts w:cs="Arial" w:hint="cs"/>
          <w:sz w:val="20"/>
          <w:szCs w:val="20"/>
          <w:rtl/>
        </w:rPr>
        <w:t>י</w:t>
      </w:r>
      <w:r w:rsidRPr="0008769B">
        <w:rPr>
          <w:rFonts w:cs="Arial"/>
          <w:sz w:val="20"/>
          <w:szCs w:val="20"/>
          <w:rtl/>
        </w:rPr>
        <w:t xml:space="preserve"> שלא הרגה</w:t>
      </w:r>
      <w:r>
        <w:rPr>
          <w:rFonts w:cs="Arial" w:hint="cs"/>
          <w:sz w:val="20"/>
          <w:szCs w:val="20"/>
          <w:rtl/>
        </w:rPr>
        <w:t>".</w:t>
      </w:r>
      <w:r>
        <w:rPr>
          <w:rFonts w:hint="cs"/>
          <w:sz w:val="20"/>
          <w:szCs w:val="20"/>
          <w:rtl/>
        </w:rPr>
        <w:br/>
        <w:t xml:space="preserve">הסבר </w:t>
      </w:r>
      <w:r>
        <w:rPr>
          <w:sz w:val="20"/>
          <w:szCs w:val="20"/>
          <w:rtl/>
        </w:rPr>
        <w:t>–</w:t>
      </w:r>
      <w:r>
        <w:rPr>
          <w:rFonts w:hint="cs"/>
          <w:sz w:val="20"/>
          <w:szCs w:val="20"/>
          <w:rtl/>
        </w:rPr>
        <w:t xml:space="preserve"> ת"ק סובר שרק אם הרגה מאכולת תולה בה את הכתם, רבי חנינא חולק וסובר שאפילו אם לא הרגה תולה בה עד כגריס של פול. קיי"ל הלכה כרבי חנינא, משום שמשמע בגמרא כוותיה</w:t>
      </w:r>
      <w:r>
        <w:rPr>
          <w:rStyle w:val="a5"/>
          <w:sz w:val="20"/>
          <w:szCs w:val="20"/>
          <w:rtl/>
        </w:rPr>
        <w:footnoteReference w:id="260"/>
      </w:r>
      <w:r>
        <w:rPr>
          <w:rFonts w:hint="cs"/>
          <w:sz w:val="20"/>
          <w:szCs w:val="20"/>
          <w:rtl/>
        </w:rPr>
        <w:t>, וכן הסכימו הפוסקים.</w:t>
      </w:r>
    </w:p>
    <w:p w:rsidR="00620060" w:rsidRDefault="00620060" w:rsidP="00620060">
      <w:pPr>
        <w:rPr>
          <w:sz w:val="20"/>
          <w:szCs w:val="20"/>
          <w:rtl/>
        </w:rPr>
      </w:pPr>
      <w:r>
        <w:rPr>
          <w:rFonts w:hint="cs"/>
          <w:b/>
          <w:bCs/>
          <w:sz w:val="20"/>
          <w:szCs w:val="20"/>
          <w:rtl/>
        </w:rPr>
        <w:t>גריס עצמו טמא?</w:t>
      </w:r>
      <w:r>
        <w:rPr>
          <w:b/>
          <w:bCs/>
          <w:sz w:val="20"/>
          <w:szCs w:val="20"/>
          <w:rtl/>
        </w:rPr>
        <w:br/>
      </w:r>
      <w:r>
        <w:rPr>
          <w:rFonts w:hint="cs"/>
          <w:b/>
          <w:bCs/>
          <w:sz w:val="20"/>
          <w:szCs w:val="20"/>
          <w:rtl/>
        </w:rPr>
        <w:t xml:space="preserve">גמרא </w:t>
      </w:r>
      <w:r>
        <w:rPr>
          <w:rFonts w:hint="cs"/>
          <w:sz w:val="20"/>
          <w:szCs w:val="20"/>
          <w:rtl/>
        </w:rPr>
        <w:t>(שם) "</w:t>
      </w:r>
      <w:r w:rsidRPr="000003E2">
        <w:rPr>
          <w:rFonts w:cs="Arial"/>
          <w:sz w:val="20"/>
          <w:szCs w:val="20"/>
          <w:rtl/>
        </w:rPr>
        <w:t>אמר רב הונא: כגריס - אינה תולה, פחות מכגריס - תולה. ורב חסדא אמר: כגריס - תולה, יתר מכגריס - אינה תולה. לימא בעד ועד בכלל קא מיפלגי, דרב הונא סבר עד - ולא עד בכלל ורב חסדא סבר עד - ועד בכלל</w:t>
      </w:r>
      <w:r>
        <w:rPr>
          <w:rFonts w:cs="Arial" w:hint="cs"/>
          <w:sz w:val="20"/>
          <w:szCs w:val="20"/>
          <w:rtl/>
        </w:rPr>
        <w:t>?</w:t>
      </w:r>
      <w:r w:rsidRPr="000003E2">
        <w:rPr>
          <w:rFonts w:cs="Arial"/>
          <w:sz w:val="20"/>
          <w:szCs w:val="20"/>
          <w:rtl/>
        </w:rPr>
        <w:t xml:space="preserve"> אמר לך רב הונא: איכא עד ועד בכלל, ואיכא עד ולא עד בכלל, והכא לחומרא והכא לחומרא. ורב חסדא אמר לך: בעלמא אימא לך - לחומרא אמרינן, לקולא לא אמרינן. והכא - כדרבי אבהו, דא</w:t>
      </w:r>
      <w:r>
        <w:rPr>
          <w:rFonts w:cs="Arial" w:hint="cs"/>
          <w:sz w:val="20"/>
          <w:szCs w:val="20"/>
          <w:rtl/>
        </w:rPr>
        <w:t xml:space="preserve">מר </w:t>
      </w:r>
      <w:r w:rsidRPr="000003E2">
        <w:rPr>
          <w:rFonts w:cs="Arial"/>
          <w:sz w:val="20"/>
          <w:szCs w:val="20"/>
          <w:rtl/>
        </w:rPr>
        <w:t>ר</w:t>
      </w:r>
      <w:r>
        <w:rPr>
          <w:rFonts w:cs="Arial" w:hint="cs"/>
          <w:sz w:val="20"/>
          <w:szCs w:val="20"/>
          <w:rtl/>
        </w:rPr>
        <w:t>בי</w:t>
      </w:r>
      <w:r w:rsidRPr="000003E2">
        <w:rPr>
          <w:rFonts w:cs="Arial"/>
          <w:sz w:val="20"/>
          <w:szCs w:val="20"/>
          <w:rtl/>
        </w:rPr>
        <w:t xml:space="preserve"> אבהו: כל ש</w:t>
      </w:r>
      <w:r>
        <w:rPr>
          <w:rFonts w:cs="Arial" w:hint="cs"/>
          <w:sz w:val="20"/>
          <w:szCs w:val="20"/>
          <w:rtl/>
        </w:rPr>
        <w:t>י</w:t>
      </w:r>
      <w:r w:rsidRPr="000003E2">
        <w:rPr>
          <w:rFonts w:cs="Arial"/>
          <w:sz w:val="20"/>
          <w:szCs w:val="20"/>
          <w:rtl/>
        </w:rPr>
        <w:t>עורי חכמים - להח</w:t>
      </w:r>
      <w:r>
        <w:rPr>
          <w:rFonts w:cs="Arial"/>
          <w:sz w:val="20"/>
          <w:szCs w:val="20"/>
          <w:rtl/>
        </w:rPr>
        <w:t>מיר, חוץ מכגריס של כתמים – להקל</w:t>
      </w:r>
      <w:r>
        <w:rPr>
          <w:rFonts w:cs="Arial" w:hint="cs"/>
          <w:sz w:val="20"/>
          <w:szCs w:val="20"/>
          <w:rtl/>
        </w:rPr>
        <w:t>".</w:t>
      </w:r>
    </w:p>
    <w:p w:rsidR="00620060" w:rsidRDefault="00620060" w:rsidP="00620060">
      <w:pPr>
        <w:rPr>
          <w:sz w:val="20"/>
          <w:szCs w:val="20"/>
          <w:rtl/>
        </w:rPr>
      </w:pPr>
      <w:r>
        <w:rPr>
          <w:rFonts w:hint="cs"/>
          <w:sz w:val="20"/>
          <w:szCs w:val="20"/>
          <w:u w:val="single"/>
          <w:rtl/>
        </w:rPr>
        <w:t>שיטות הראשונים</w:t>
      </w:r>
      <w:r>
        <w:rPr>
          <w:sz w:val="20"/>
          <w:szCs w:val="20"/>
          <w:u w:val="single"/>
          <w:rtl/>
        </w:rPr>
        <w:br/>
      </w:r>
      <w:r>
        <w:rPr>
          <w:rFonts w:hint="cs"/>
          <w:sz w:val="20"/>
          <w:szCs w:val="20"/>
          <w:rtl/>
        </w:rPr>
        <w:t xml:space="preserve">א. </w:t>
      </w:r>
      <w:r w:rsidRPr="00B01729">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הלכה כרב חסדא, כגריס תולה, וכ"פ </w:t>
      </w:r>
      <w:r w:rsidRPr="000133AD">
        <w:rPr>
          <w:rFonts w:hint="cs"/>
          <w:b/>
          <w:bCs/>
          <w:sz w:val="20"/>
          <w:szCs w:val="20"/>
          <w:rtl/>
        </w:rPr>
        <w:t>המחבר</w:t>
      </w:r>
      <w:r>
        <w:rPr>
          <w:rFonts w:hint="cs"/>
          <w:sz w:val="20"/>
          <w:szCs w:val="20"/>
          <w:rtl/>
        </w:rPr>
        <w:t>.</w:t>
      </w:r>
      <w:r>
        <w:rPr>
          <w:sz w:val="20"/>
          <w:szCs w:val="20"/>
          <w:rtl/>
        </w:rPr>
        <w:br/>
      </w:r>
      <w:r w:rsidRPr="00B01729">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רבי יוחנן קאי כרב חסדא, ולכן אע"פ שהלכה כר"ה לגבי רב חסדא כיוון שהוא רבו, הכא שאני.</w:t>
      </w:r>
      <w:r>
        <w:rPr>
          <w:sz w:val="20"/>
          <w:szCs w:val="20"/>
          <w:rtl/>
        </w:rPr>
        <w:br/>
      </w:r>
      <w:r>
        <w:rPr>
          <w:rFonts w:hint="cs"/>
          <w:sz w:val="20"/>
          <w:szCs w:val="20"/>
          <w:rtl/>
        </w:rPr>
        <w:t xml:space="preserve">ועוד </w:t>
      </w:r>
      <w:r>
        <w:rPr>
          <w:sz w:val="20"/>
          <w:szCs w:val="20"/>
          <w:rtl/>
        </w:rPr>
        <w:t>–</w:t>
      </w:r>
      <w:r>
        <w:rPr>
          <w:rFonts w:hint="cs"/>
          <w:sz w:val="20"/>
          <w:szCs w:val="20"/>
          <w:rtl/>
        </w:rPr>
        <w:t xml:space="preserve"> נחלקו אמוראים בגריס ועוד ואותו ועוד רצופה בו מאכולת, משמע שבגריס טהורה.</w:t>
      </w:r>
      <w:r>
        <w:rPr>
          <w:rFonts w:hint="cs"/>
          <w:sz w:val="20"/>
          <w:szCs w:val="20"/>
          <w:rtl/>
        </w:rPr>
        <w:br/>
      </w:r>
      <w:r w:rsidRPr="000133AD">
        <w:rPr>
          <w:rFonts w:hint="cs"/>
          <w:b/>
          <w:bCs/>
          <w:sz w:val="20"/>
          <w:szCs w:val="20"/>
          <w:rtl/>
        </w:rPr>
        <w:t>סמ"ג</w:t>
      </w:r>
      <w:r>
        <w:rPr>
          <w:rFonts w:hint="cs"/>
          <w:sz w:val="20"/>
          <w:szCs w:val="20"/>
          <w:rtl/>
        </w:rPr>
        <w:t xml:space="preserve"> - יש להוכיח שהלכה כרב חסדא מהגמרא בפרק שני: "</w:t>
      </w:r>
      <w:r w:rsidRPr="007E5E28">
        <w:rPr>
          <w:rFonts w:cs="Arial"/>
          <w:sz w:val="20"/>
          <w:szCs w:val="20"/>
          <w:rtl/>
        </w:rPr>
        <w:t xml:space="preserve">אמר לו ר' חייא: אי אתה מודה שצריכה כגריס </w:t>
      </w:r>
      <w:r w:rsidRPr="007E5E28">
        <w:rPr>
          <w:rFonts w:cs="Arial"/>
          <w:sz w:val="20"/>
          <w:szCs w:val="20"/>
          <w:rtl/>
        </w:rPr>
        <w:lastRenderedPageBreak/>
        <w:t>ועוד</w:t>
      </w:r>
      <w:r>
        <w:rPr>
          <w:rFonts w:cs="Arial" w:hint="cs"/>
          <w:sz w:val="20"/>
          <w:szCs w:val="20"/>
          <w:rtl/>
        </w:rPr>
        <w:t>", והתם מיירי לעניין להוציאו מספק מאכולת ולטמא, משמע שבגריס עצמו טהורה.</w:t>
      </w:r>
      <w:r>
        <w:rPr>
          <w:rFonts w:hint="cs"/>
          <w:sz w:val="20"/>
          <w:szCs w:val="20"/>
          <w:rtl/>
        </w:rPr>
        <w:br/>
        <w:t xml:space="preserve">ב. </w:t>
      </w:r>
      <w:r w:rsidRPr="007A2150">
        <w:rPr>
          <w:rFonts w:hint="cs"/>
          <w:b/>
          <w:bCs/>
          <w:sz w:val="20"/>
          <w:szCs w:val="20"/>
          <w:rtl/>
        </w:rPr>
        <w:t>ספר התרומה</w:t>
      </w:r>
      <w:r>
        <w:rPr>
          <w:rFonts w:hint="cs"/>
          <w:sz w:val="20"/>
          <w:szCs w:val="20"/>
          <w:rtl/>
        </w:rPr>
        <w:t xml:space="preserve"> </w:t>
      </w:r>
      <w:r>
        <w:rPr>
          <w:sz w:val="20"/>
          <w:szCs w:val="20"/>
          <w:rtl/>
        </w:rPr>
        <w:t>–</w:t>
      </w:r>
      <w:r>
        <w:rPr>
          <w:rFonts w:hint="cs"/>
          <w:sz w:val="20"/>
          <w:szCs w:val="20"/>
          <w:rtl/>
        </w:rPr>
        <w:t xml:space="preserve"> הלכה כרב הונא, גריס עצמו טמא.</w:t>
      </w:r>
      <w:r>
        <w:rPr>
          <w:rStyle w:val="a5"/>
          <w:sz w:val="20"/>
          <w:szCs w:val="20"/>
          <w:rtl/>
        </w:rPr>
        <w:footnoteReference w:id="261"/>
      </w:r>
      <w:r>
        <w:rPr>
          <w:rFonts w:hint="cs"/>
          <w:sz w:val="20"/>
          <w:szCs w:val="20"/>
          <w:rtl/>
        </w:rPr>
        <w:t xml:space="preserve"> </w:t>
      </w:r>
    </w:p>
    <w:p w:rsidR="00620060" w:rsidRDefault="00620060" w:rsidP="00620060">
      <w:pPr>
        <w:rPr>
          <w:sz w:val="20"/>
          <w:szCs w:val="20"/>
          <w:rtl/>
        </w:rPr>
      </w:pPr>
      <w:r>
        <w:rPr>
          <w:rFonts w:hint="cs"/>
          <w:b/>
          <w:bCs/>
          <w:sz w:val="20"/>
          <w:szCs w:val="20"/>
          <w:rtl/>
        </w:rPr>
        <w:t xml:space="preserve"> מהו שיעור גריס</w:t>
      </w:r>
      <w:r>
        <w:rPr>
          <w:b/>
          <w:bCs/>
          <w:sz w:val="20"/>
          <w:szCs w:val="20"/>
          <w:rtl/>
        </w:rPr>
        <w:br/>
      </w:r>
      <w:r>
        <w:rPr>
          <w:rFonts w:hint="cs"/>
          <w:b/>
          <w:bCs/>
          <w:sz w:val="20"/>
          <w:szCs w:val="20"/>
          <w:rtl/>
        </w:rPr>
        <w:t xml:space="preserve">משנה </w:t>
      </w:r>
      <w:r>
        <w:rPr>
          <w:rFonts w:hint="cs"/>
          <w:sz w:val="20"/>
          <w:szCs w:val="20"/>
          <w:rtl/>
        </w:rPr>
        <w:t>נגעים (ו, א) "</w:t>
      </w:r>
      <w:r w:rsidRPr="006F017B">
        <w:rPr>
          <w:rFonts w:cs="Arial"/>
          <w:sz w:val="20"/>
          <w:szCs w:val="20"/>
          <w:rtl/>
        </w:rPr>
        <w:t>גופה של בהרת כגריס הקלקי מרובע</w:t>
      </w:r>
      <w:r>
        <w:rPr>
          <w:rFonts w:cs="Arial" w:hint="cs"/>
          <w:sz w:val="20"/>
          <w:szCs w:val="20"/>
          <w:rtl/>
        </w:rPr>
        <w:t>.</w:t>
      </w:r>
      <w:r w:rsidRPr="006F017B">
        <w:rPr>
          <w:rFonts w:cs="Arial"/>
          <w:sz w:val="20"/>
          <w:szCs w:val="20"/>
          <w:rtl/>
        </w:rPr>
        <w:t xml:space="preserve"> מקום הגריס תשע עדשות</w:t>
      </w:r>
      <w:r>
        <w:rPr>
          <w:rFonts w:cs="Arial" w:hint="cs"/>
          <w:sz w:val="20"/>
          <w:szCs w:val="20"/>
          <w:rtl/>
        </w:rPr>
        <w:t>.</w:t>
      </w:r>
      <w:r w:rsidRPr="006F017B">
        <w:rPr>
          <w:rFonts w:cs="Arial"/>
          <w:sz w:val="20"/>
          <w:szCs w:val="20"/>
          <w:rtl/>
        </w:rPr>
        <w:t xml:space="preserve"> מקום עדשה ארבעה שערות</w:t>
      </w:r>
      <w:r>
        <w:rPr>
          <w:rFonts w:cs="Arial" w:hint="cs"/>
          <w:sz w:val="20"/>
          <w:szCs w:val="20"/>
          <w:rtl/>
        </w:rPr>
        <w:t>,</w:t>
      </w:r>
      <w:r w:rsidRPr="006F017B">
        <w:rPr>
          <w:rFonts w:cs="Arial"/>
          <w:sz w:val="20"/>
          <w:szCs w:val="20"/>
          <w:rtl/>
        </w:rPr>
        <w:t xml:space="preserve"> נמצאו שלשים ושש שערות</w:t>
      </w:r>
      <w:r>
        <w:rPr>
          <w:rFonts w:cs="Arial" w:hint="cs"/>
          <w:sz w:val="20"/>
          <w:szCs w:val="20"/>
          <w:rtl/>
        </w:rPr>
        <w:t>".</w:t>
      </w:r>
    </w:p>
    <w:p w:rsidR="00620060" w:rsidRDefault="00620060" w:rsidP="00620060">
      <w:pPr>
        <w:rPr>
          <w:sz w:val="20"/>
          <w:szCs w:val="20"/>
          <w:rtl/>
        </w:rPr>
      </w:pPr>
      <w:r>
        <w:rPr>
          <w:rFonts w:hint="cs"/>
          <w:b/>
          <w:bCs/>
          <w:sz w:val="20"/>
          <w:szCs w:val="20"/>
          <w:rtl/>
        </w:rPr>
        <w:t>כתם ארוך</w:t>
      </w:r>
      <w:r>
        <w:rPr>
          <w:b/>
          <w:bCs/>
          <w:sz w:val="20"/>
          <w:szCs w:val="20"/>
          <w:rtl/>
        </w:rPr>
        <w:br/>
      </w:r>
      <w:r w:rsidRPr="0056626D">
        <w:rPr>
          <w:rFonts w:hint="cs"/>
          <w:b/>
          <w:bCs/>
          <w:sz w:val="20"/>
          <w:szCs w:val="20"/>
          <w:rtl/>
        </w:rPr>
        <w:t>גמרא</w:t>
      </w:r>
      <w:r>
        <w:rPr>
          <w:rFonts w:hint="cs"/>
          <w:sz w:val="20"/>
          <w:szCs w:val="20"/>
          <w:rtl/>
        </w:rPr>
        <w:t xml:space="preserve"> (שם, נט.) "</w:t>
      </w:r>
      <w:r w:rsidRPr="0056626D">
        <w:rPr>
          <w:rFonts w:cs="Arial"/>
          <w:sz w:val="20"/>
          <w:szCs w:val="20"/>
          <w:rtl/>
        </w:rPr>
        <w:t xml:space="preserve">כתם ארוך </w:t>
      </w:r>
      <w:r>
        <w:rPr>
          <w:rFonts w:cs="Arial"/>
          <w:sz w:val="20"/>
          <w:szCs w:val="20"/>
          <w:rtl/>
        </w:rPr>
        <w:t>–</w:t>
      </w:r>
      <w:r w:rsidRPr="0056626D">
        <w:rPr>
          <w:rFonts w:cs="Arial"/>
          <w:sz w:val="20"/>
          <w:szCs w:val="20"/>
          <w:rtl/>
        </w:rPr>
        <w:t xml:space="preserve"> מצטרף</w:t>
      </w:r>
      <w:r>
        <w:rPr>
          <w:rFonts w:cs="Arial" w:hint="cs"/>
          <w:sz w:val="20"/>
          <w:szCs w:val="20"/>
          <w:rtl/>
        </w:rPr>
        <w:t>".</w:t>
      </w:r>
    </w:p>
    <w:p w:rsidR="00620060" w:rsidRDefault="00620060" w:rsidP="00620060">
      <w:pPr>
        <w:rPr>
          <w:sz w:val="20"/>
          <w:szCs w:val="20"/>
          <w:rtl/>
        </w:rPr>
      </w:pPr>
      <w:r>
        <w:rPr>
          <w:rFonts w:hint="cs"/>
          <w:b/>
          <w:bCs/>
          <w:sz w:val="20"/>
          <w:szCs w:val="20"/>
          <w:rtl/>
        </w:rPr>
        <w:t>גריס גדול</w:t>
      </w:r>
      <w:r>
        <w:rPr>
          <w:b/>
          <w:bCs/>
          <w:sz w:val="20"/>
          <w:szCs w:val="20"/>
          <w:rtl/>
        </w:rPr>
        <w:br/>
      </w:r>
      <w:r>
        <w:rPr>
          <w:rFonts w:hint="cs"/>
          <w:b/>
          <w:bCs/>
          <w:sz w:val="20"/>
          <w:szCs w:val="20"/>
          <w:rtl/>
        </w:rPr>
        <w:t xml:space="preserve">ראב"ד </w:t>
      </w:r>
      <w:r>
        <w:rPr>
          <w:sz w:val="20"/>
          <w:szCs w:val="20"/>
          <w:rtl/>
        </w:rPr>
        <w:t>–</w:t>
      </w:r>
      <w:r>
        <w:rPr>
          <w:rFonts w:hint="cs"/>
          <w:sz w:val="20"/>
          <w:szCs w:val="20"/>
          <w:rtl/>
        </w:rPr>
        <w:t xml:space="preserve"> יש לשער בכל גריס שיזדמן, ואפילו אם נמצא גריס גדול מאוד יש לשער בו, וכ"פ </w:t>
      </w:r>
      <w:r w:rsidRPr="003B7801">
        <w:rPr>
          <w:rFonts w:hint="cs"/>
          <w:b/>
          <w:bCs/>
          <w:sz w:val="20"/>
          <w:szCs w:val="20"/>
          <w:rtl/>
        </w:rPr>
        <w:t>המחבר</w:t>
      </w:r>
      <w:r>
        <w:rPr>
          <w:rFonts w:hint="cs"/>
          <w:sz w:val="20"/>
          <w:szCs w:val="20"/>
          <w:rtl/>
        </w:rPr>
        <w:t>.</w:t>
      </w:r>
      <w:r>
        <w:rPr>
          <w:sz w:val="20"/>
          <w:szCs w:val="20"/>
          <w:rtl/>
        </w:rPr>
        <w:br/>
      </w:r>
      <w:r w:rsidRPr="00D14F51">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חכמים לא הורו שיש לשער ע"פ מקום פלוני, ובשיעור כתם יש להקל כפי שהורה רבי יוחנן.</w:t>
      </w:r>
    </w:p>
    <w:p w:rsidR="00620060" w:rsidRDefault="00620060" w:rsidP="00620060">
      <w:pPr>
        <w:rPr>
          <w:sz w:val="20"/>
          <w:szCs w:val="20"/>
          <w:rtl/>
        </w:rPr>
      </w:pPr>
      <w:r>
        <w:rPr>
          <w:rFonts w:hint="cs"/>
          <w:b/>
          <w:bCs/>
          <w:sz w:val="20"/>
          <w:szCs w:val="20"/>
          <w:rtl/>
        </w:rPr>
        <w:t>חומרה דרבי זירא</w:t>
      </w:r>
      <w:r>
        <w:rPr>
          <w:b/>
          <w:bCs/>
          <w:sz w:val="20"/>
          <w:szCs w:val="20"/>
          <w:rtl/>
        </w:rPr>
        <w:br/>
      </w:r>
      <w:r>
        <w:rPr>
          <w:rFonts w:hint="cs"/>
          <w:b/>
          <w:bCs/>
          <w:sz w:val="20"/>
          <w:szCs w:val="20"/>
          <w:rtl/>
        </w:rPr>
        <w:t xml:space="preserve">בית יוסף </w:t>
      </w:r>
      <w:r>
        <w:rPr>
          <w:sz w:val="20"/>
          <w:szCs w:val="20"/>
          <w:rtl/>
        </w:rPr>
        <w:t>–</w:t>
      </w:r>
      <w:r>
        <w:rPr>
          <w:rFonts w:hint="cs"/>
          <w:sz w:val="20"/>
          <w:szCs w:val="20"/>
          <w:rtl/>
        </w:rPr>
        <w:t xml:space="preserve"> אפילו לאחר חומרה דרבי זירא אין כתם מטמא בפחות מגריס.</w:t>
      </w:r>
      <w:r>
        <w:rPr>
          <w:sz w:val="20"/>
          <w:szCs w:val="20"/>
          <w:rtl/>
        </w:rPr>
        <w:br/>
      </w:r>
      <w:r w:rsidRPr="00172563">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חומרת רבי זירא נאמרה לגבי רואה דם מגופה לפי שטומאתה דאורייתא, אך בכתם לא החמירו.</w:t>
      </w:r>
    </w:p>
    <w:p w:rsidR="00620060" w:rsidRDefault="00620060" w:rsidP="00620060">
      <w:pPr>
        <w:rPr>
          <w:sz w:val="20"/>
          <w:szCs w:val="20"/>
          <w:rtl/>
        </w:rPr>
      </w:pPr>
      <w:r>
        <w:rPr>
          <w:rFonts w:hint="cs"/>
          <w:b/>
          <w:bCs/>
          <w:sz w:val="20"/>
          <w:szCs w:val="20"/>
          <w:rtl/>
        </w:rPr>
        <w:t xml:space="preserve">כתם משוך </w:t>
      </w:r>
      <w:r>
        <w:rPr>
          <w:sz w:val="20"/>
          <w:szCs w:val="20"/>
          <w:rtl/>
        </w:rPr>
        <w:br/>
      </w:r>
      <w:r w:rsidRPr="00853EAA">
        <w:rPr>
          <w:rFonts w:hint="cs"/>
          <w:b/>
          <w:bCs/>
          <w:sz w:val="20"/>
          <w:szCs w:val="20"/>
          <w:rtl/>
        </w:rPr>
        <w:t>משנה</w:t>
      </w:r>
      <w:r>
        <w:rPr>
          <w:rFonts w:hint="cs"/>
          <w:sz w:val="20"/>
          <w:szCs w:val="20"/>
          <w:rtl/>
        </w:rPr>
        <w:t xml:space="preserve"> (שם, נח:) "</w:t>
      </w:r>
      <w:r w:rsidRPr="00853EAA">
        <w:rPr>
          <w:rFonts w:cs="Arial"/>
          <w:sz w:val="20"/>
          <w:szCs w:val="20"/>
          <w:rtl/>
        </w:rPr>
        <w:t>עד שהוא נתון תחת הכר ונמצא עליו דם, עגול - טהור, משוך - טמא, דברי ר"א ברבי צדוק</w:t>
      </w:r>
      <w:r>
        <w:rPr>
          <w:rFonts w:cs="Arial" w:hint="cs"/>
          <w:sz w:val="20"/>
          <w:szCs w:val="20"/>
          <w:rtl/>
        </w:rPr>
        <w:t>".</w:t>
      </w:r>
      <w:r>
        <w:rPr>
          <w:rFonts w:hint="cs"/>
          <w:sz w:val="20"/>
          <w:szCs w:val="20"/>
          <w:rtl/>
        </w:rPr>
        <w:br/>
      </w:r>
      <w:r w:rsidRPr="008F54DB">
        <w:rPr>
          <w:rFonts w:hint="cs"/>
          <w:b/>
          <w:bCs/>
          <w:sz w:val="20"/>
          <w:szCs w:val="20"/>
          <w:rtl/>
        </w:rPr>
        <w:t>גמרא</w:t>
      </w:r>
      <w:r>
        <w:rPr>
          <w:rFonts w:hint="cs"/>
          <w:sz w:val="20"/>
          <w:szCs w:val="20"/>
          <w:rtl/>
        </w:rPr>
        <w:t xml:space="preserve"> (שם, נט.) "</w:t>
      </w:r>
      <w:r w:rsidRPr="00853EAA">
        <w:rPr>
          <w:rFonts w:cs="Arial"/>
          <w:sz w:val="20"/>
          <w:szCs w:val="20"/>
          <w:rtl/>
        </w:rPr>
        <w:t xml:space="preserve">כי אמר רבי אליעזר ברבי צדוק - בעד, אבל בכתם </w:t>
      </w:r>
      <w:r>
        <w:rPr>
          <w:rFonts w:cs="Arial"/>
          <w:sz w:val="20"/>
          <w:szCs w:val="20"/>
          <w:rtl/>
        </w:rPr>
        <w:t>–</w:t>
      </w:r>
      <w:r w:rsidRPr="00853EAA">
        <w:rPr>
          <w:rFonts w:cs="Arial"/>
          <w:sz w:val="20"/>
          <w:szCs w:val="20"/>
          <w:rtl/>
        </w:rPr>
        <w:t xml:space="preserve"> לא</w:t>
      </w:r>
      <w:r>
        <w:rPr>
          <w:rFonts w:cs="Arial" w:hint="cs"/>
          <w:sz w:val="20"/>
          <w:szCs w:val="20"/>
          <w:rtl/>
        </w:rPr>
        <w:t>".</w:t>
      </w:r>
      <w:r>
        <w:rPr>
          <w:rStyle w:val="a5"/>
          <w:rFonts w:cs="Arial"/>
          <w:sz w:val="20"/>
          <w:szCs w:val="20"/>
          <w:rtl/>
        </w:rPr>
        <w:footnoteReference w:id="262"/>
      </w:r>
    </w:p>
    <w:p w:rsidR="00620060" w:rsidRDefault="00620060" w:rsidP="00620060">
      <w:pPr>
        <w:rPr>
          <w:rFonts w:cs="Arial"/>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A862F7">
        <w:rPr>
          <w:rFonts w:cs="Arial"/>
          <w:sz w:val="20"/>
          <w:szCs w:val="20"/>
          <w:rtl/>
        </w:rPr>
        <w:t>לא גזרו על הכתם אלא אם כן יש בו כגריס ועו</w:t>
      </w:r>
      <w:r>
        <w:rPr>
          <w:rFonts w:cs="Arial"/>
          <w:sz w:val="20"/>
          <w:szCs w:val="20"/>
          <w:rtl/>
        </w:rPr>
        <w:t>ד, ושיעור הגריס הוא כט' עדשים</w:t>
      </w:r>
      <w:r w:rsidRPr="00E07D87">
        <w:rPr>
          <w:rFonts w:cs="Arial"/>
          <w:sz w:val="18"/>
          <w:szCs w:val="18"/>
          <w:rtl/>
        </w:rPr>
        <w:t xml:space="preserve"> (ג' על ג')</w:t>
      </w:r>
      <w:r w:rsidRPr="00A862F7">
        <w:rPr>
          <w:rFonts w:cs="Arial"/>
          <w:sz w:val="20"/>
          <w:szCs w:val="20"/>
          <w:rtl/>
        </w:rPr>
        <w:t xml:space="preserve">, ושיעור עדשה כד' שערות </w:t>
      </w:r>
      <w:r w:rsidRPr="00E07D87">
        <w:rPr>
          <w:rFonts w:cs="Arial"/>
          <w:sz w:val="18"/>
          <w:szCs w:val="18"/>
          <w:rtl/>
        </w:rPr>
        <w:t>(שהוא ל"ו שערות כמו שהן קבועות בגופו של אדם)</w:t>
      </w:r>
      <w:r w:rsidRPr="00A862F7">
        <w:rPr>
          <w:rFonts w:cs="Arial"/>
          <w:sz w:val="20"/>
          <w:szCs w:val="20"/>
          <w:rtl/>
        </w:rPr>
        <w:t>. וכל זמן שאין בו כזה השיעור</w:t>
      </w:r>
      <w:r>
        <w:rPr>
          <w:rFonts w:cs="Arial" w:hint="cs"/>
          <w:sz w:val="20"/>
          <w:szCs w:val="20"/>
          <w:rtl/>
        </w:rPr>
        <w:t xml:space="preserve"> </w:t>
      </w:r>
      <w:r w:rsidRPr="000C680E">
        <w:rPr>
          <w:rFonts w:cs="Arial" w:hint="cs"/>
          <w:sz w:val="16"/>
          <w:szCs w:val="16"/>
          <w:rtl/>
        </w:rPr>
        <w:t>(גריס ועוד</w:t>
      </w:r>
      <w:r>
        <w:rPr>
          <w:rFonts w:cs="Arial" w:hint="cs"/>
          <w:sz w:val="16"/>
          <w:szCs w:val="16"/>
          <w:rtl/>
        </w:rPr>
        <w:t>, ש"ך</w:t>
      </w:r>
      <w:r w:rsidRPr="000C680E">
        <w:rPr>
          <w:rFonts w:cs="Arial" w:hint="cs"/>
          <w:sz w:val="16"/>
          <w:szCs w:val="16"/>
          <w:rtl/>
        </w:rPr>
        <w:t>)</w:t>
      </w:r>
      <w:r w:rsidRPr="00A862F7">
        <w:rPr>
          <w:rFonts w:cs="Arial"/>
          <w:sz w:val="20"/>
          <w:szCs w:val="20"/>
          <w:rtl/>
        </w:rPr>
        <w:t xml:space="preserve"> אנו תולין לומר דם כנה הוא, אף על פי שלא הרגה כנה. אבל כשיש בו כזה השיעור אין תולין בכנה, בין אם הוא מרובע או אם הוא ארוך. ואם נזדמן לה גריס </w:t>
      </w:r>
      <w:r>
        <w:rPr>
          <w:rFonts w:cs="Arial"/>
          <w:sz w:val="20"/>
          <w:szCs w:val="20"/>
          <w:rtl/>
        </w:rPr>
        <w:t>יותר גדול מזה השיעור, משערין בו</w:t>
      </w:r>
      <w:r>
        <w:rPr>
          <w:rFonts w:cs="Arial" w:hint="cs"/>
          <w:sz w:val="20"/>
          <w:szCs w:val="20"/>
          <w:rtl/>
        </w:rPr>
        <w:t>".</w:t>
      </w:r>
    </w:p>
    <w:p w:rsidR="00620060" w:rsidRPr="00F31C0A" w:rsidRDefault="00620060" w:rsidP="00620060">
      <w:pPr>
        <w:rPr>
          <w:rFonts w:cs="Arial"/>
          <w:sz w:val="20"/>
          <w:szCs w:val="20"/>
          <w:rtl/>
        </w:rPr>
      </w:pPr>
      <w:r>
        <w:rPr>
          <w:rFonts w:cs="Arial" w:hint="cs"/>
          <w:sz w:val="20"/>
          <w:szCs w:val="20"/>
          <w:u w:val="single"/>
          <w:rtl/>
        </w:rPr>
        <w:t xml:space="preserve">שיעור גריס למעשה (טהרת הבית חלק א עמ' שפט </w:t>
      </w:r>
      <w:r>
        <w:rPr>
          <w:rFonts w:cs="Arial"/>
          <w:sz w:val="20"/>
          <w:szCs w:val="20"/>
          <w:u w:val="single"/>
          <w:rtl/>
        </w:rPr>
        <w:t>–</w:t>
      </w:r>
      <w:r>
        <w:rPr>
          <w:rFonts w:cs="Arial" w:hint="cs"/>
          <w:sz w:val="20"/>
          <w:szCs w:val="20"/>
          <w:u w:val="single"/>
          <w:rtl/>
        </w:rPr>
        <w:t xml:space="preserve"> שצ)</w:t>
      </w:r>
      <w:r>
        <w:rPr>
          <w:rFonts w:cs="Arial" w:hint="cs"/>
          <w:sz w:val="20"/>
          <w:szCs w:val="20"/>
          <w:u w:val="single"/>
          <w:rtl/>
        </w:rPr>
        <w:br/>
      </w:r>
      <w:r>
        <w:rPr>
          <w:rFonts w:cs="Arial" w:hint="cs"/>
          <w:sz w:val="20"/>
          <w:szCs w:val="20"/>
          <w:rtl/>
        </w:rPr>
        <w:t>נחלקו האחרונים מהו שיעור הגריס למעשה. יש מחמירים ומשערים אותו בעיגול שקוטרו ארבע עשרה מילימטר, ויש מקלים לשער בעיגול שקוטרו עשרים ואחת מילימטר, וכן יש דעות נוספות בין שני שיעורים אלו.</w:t>
      </w:r>
      <w:r>
        <w:rPr>
          <w:rFonts w:cs="Arial"/>
          <w:sz w:val="20"/>
          <w:szCs w:val="20"/>
          <w:rtl/>
        </w:rPr>
        <w:br/>
      </w:r>
      <w:r>
        <w:rPr>
          <w:rFonts w:cs="Arial" w:hint="cs"/>
          <w:sz w:val="20"/>
          <w:szCs w:val="20"/>
          <w:rtl/>
        </w:rPr>
        <w:t xml:space="preserve">ולמעשה, יש להקל ולשער בעיגול שקוטרו עשרים מילימטר </w:t>
      </w:r>
      <w:r w:rsidRPr="00F31C0A">
        <w:rPr>
          <w:rFonts w:cs="Arial" w:hint="cs"/>
          <w:sz w:val="18"/>
          <w:szCs w:val="18"/>
          <w:rtl/>
        </w:rPr>
        <w:t>(שני ס"מ)</w:t>
      </w:r>
      <w:r>
        <w:rPr>
          <w:rFonts w:cs="Arial" w:hint="cs"/>
          <w:sz w:val="20"/>
          <w:szCs w:val="20"/>
          <w:rtl/>
        </w:rPr>
        <w:t xml:space="preserve">, וכן פסק </w:t>
      </w:r>
      <w:r w:rsidRPr="00F31C0A">
        <w:rPr>
          <w:rFonts w:cs="Arial" w:hint="cs"/>
          <w:b/>
          <w:bCs/>
          <w:sz w:val="20"/>
          <w:szCs w:val="20"/>
          <w:rtl/>
        </w:rPr>
        <w:t>החת"ס והחזו"א</w:t>
      </w:r>
      <w:r>
        <w:rPr>
          <w:rFonts w:cs="Arial" w:hint="cs"/>
          <w:sz w:val="20"/>
          <w:szCs w:val="20"/>
          <w:rtl/>
        </w:rPr>
        <w:t>.</w:t>
      </w:r>
    </w:p>
    <w:p w:rsidR="00620060" w:rsidRDefault="00620060" w:rsidP="00620060">
      <w:pPr>
        <w:rPr>
          <w:sz w:val="20"/>
          <w:szCs w:val="20"/>
          <w:rtl/>
        </w:rPr>
      </w:pPr>
      <w:r>
        <w:rPr>
          <w:rFonts w:cs="Arial" w:hint="cs"/>
          <w:sz w:val="20"/>
          <w:szCs w:val="20"/>
          <w:u w:val="single"/>
          <w:rtl/>
        </w:rPr>
        <w:t>כתם עבה (פת"ש)</w:t>
      </w:r>
      <w:r>
        <w:rPr>
          <w:rFonts w:cs="Arial" w:hint="cs"/>
          <w:sz w:val="20"/>
          <w:szCs w:val="20"/>
          <w:u w:val="single"/>
          <w:rtl/>
        </w:rPr>
        <w:br/>
      </w:r>
      <w:r>
        <w:rPr>
          <w:rFonts w:cs="Arial" w:hint="cs"/>
          <w:sz w:val="20"/>
          <w:szCs w:val="20"/>
          <w:rtl/>
        </w:rPr>
        <w:t xml:space="preserve">א. </w:t>
      </w:r>
      <w:r w:rsidRPr="00632CEB">
        <w:rPr>
          <w:rFonts w:cs="Arial" w:hint="cs"/>
          <w:b/>
          <w:bCs/>
          <w:sz w:val="20"/>
          <w:szCs w:val="20"/>
          <w:rtl/>
        </w:rPr>
        <w:t>יראים</w:t>
      </w:r>
      <w:r>
        <w:rPr>
          <w:rFonts w:cs="Arial" w:hint="cs"/>
          <w:sz w:val="20"/>
          <w:szCs w:val="20"/>
          <w:rtl/>
        </w:rPr>
        <w:t xml:space="preserve"> </w:t>
      </w:r>
      <w:r>
        <w:rPr>
          <w:rFonts w:cs="Arial"/>
          <w:sz w:val="20"/>
          <w:szCs w:val="20"/>
          <w:rtl/>
        </w:rPr>
        <w:t>–</w:t>
      </w:r>
      <w:r>
        <w:rPr>
          <w:rFonts w:cs="Arial" w:hint="cs"/>
          <w:sz w:val="20"/>
          <w:szCs w:val="20"/>
          <w:rtl/>
        </w:rPr>
        <w:t xml:space="preserve"> איננו בקיאים בשיעור גריס, ולכן יש להיזהר בכתם ואם אין הוכחה שהוא דם מאכולת יש להחמיר.</w:t>
      </w:r>
      <w:r>
        <w:rPr>
          <w:rFonts w:hint="cs"/>
          <w:sz w:val="20"/>
          <w:szCs w:val="20"/>
          <w:rtl/>
        </w:rPr>
        <w:br/>
        <w:t xml:space="preserve">ב. </w:t>
      </w:r>
      <w:r w:rsidRPr="00632CEB">
        <w:rPr>
          <w:rFonts w:hint="cs"/>
          <w:b/>
          <w:bCs/>
          <w:sz w:val="20"/>
          <w:szCs w:val="20"/>
          <w:rtl/>
        </w:rPr>
        <w:t>בשמים ראש</w:t>
      </w:r>
      <w:r>
        <w:rPr>
          <w:rFonts w:hint="cs"/>
          <w:sz w:val="20"/>
          <w:szCs w:val="20"/>
          <w:rtl/>
        </w:rPr>
        <w:t xml:space="preserve"> </w:t>
      </w:r>
      <w:r>
        <w:rPr>
          <w:sz w:val="20"/>
          <w:szCs w:val="20"/>
          <w:rtl/>
        </w:rPr>
        <w:t>–</w:t>
      </w:r>
      <w:r>
        <w:rPr>
          <w:rFonts w:hint="cs"/>
          <w:sz w:val="20"/>
          <w:szCs w:val="20"/>
          <w:rtl/>
        </w:rPr>
        <w:t xml:space="preserve"> היראים החמיר משום ששיעור עובי הכתם</w:t>
      </w:r>
      <w:r w:rsidRPr="00C90E5F">
        <w:rPr>
          <w:rFonts w:hint="cs"/>
          <w:sz w:val="20"/>
          <w:szCs w:val="20"/>
          <w:rtl/>
        </w:rPr>
        <w:t xml:space="preserve"> </w:t>
      </w:r>
      <w:r>
        <w:rPr>
          <w:rFonts w:hint="cs"/>
          <w:sz w:val="20"/>
          <w:szCs w:val="20"/>
          <w:rtl/>
        </w:rPr>
        <w:t>לא התפרש, ולא מסתבר להקל בכתם עבה.</w:t>
      </w:r>
      <w:r>
        <w:rPr>
          <w:rFonts w:hint="cs"/>
          <w:sz w:val="20"/>
          <w:szCs w:val="20"/>
          <w:rtl/>
        </w:rPr>
        <w:br/>
        <w:t>אמנם, דעת הבשמים ראש עצמו שיש להקל בכל אופן ואין להתחשב בעובי הכתם, וכן ראה רבותיו נוהגים.</w:t>
      </w:r>
      <w:r>
        <w:rPr>
          <w:sz w:val="20"/>
          <w:szCs w:val="20"/>
          <w:rtl/>
        </w:rPr>
        <w:br/>
      </w:r>
      <w:r>
        <w:rPr>
          <w:rFonts w:hint="cs"/>
          <w:sz w:val="20"/>
          <w:szCs w:val="20"/>
          <w:rtl/>
        </w:rPr>
        <w:t xml:space="preserve">ג. </w:t>
      </w:r>
      <w:r w:rsidRPr="00D93FFD">
        <w:rPr>
          <w:rFonts w:hint="cs"/>
          <w:b/>
          <w:bCs/>
          <w:sz w:val="20"/>
          <w:szCs w:val="20"/>
          <w:rtl/>
        </w:rPr>
        <w:t>סדרי טהרה</w:t>
      </w:r>
      <w:r>
        <w:rPr>
          <w:rFonts w:hint="cs"/>
          <w:sz w:val="20"/>
          <w:szCs w:val="20"/>
          <w:rtl/>
        </w:rPr>
        <w:t xml:space="preserve"> </w:t>
      </w:r>
      <w:r>
        <w:rPr>
          <w:sz w:val="20"/>
          <w:szCs w:val="20"/>
          <w:rtl/>
        </w:rPr>
        <w:t>–</w:t>
      </w:r>
      <w:r>
        <w:rPr>
          <w:rFonts w:hint="cs"/>
          <w:sz w:val="20"/>
          <w:szCs w:val="20"/>
          <w:rtl/>
        </w:rPr>
        <w:t xml:space="preserve"> יש לשער את הכתם כפי שבא לפנינו. ואמנם, דין זה נאמר גם לחומרה. </w:t>
      </w:r>
      <w:r>
        <w:rPr>
          <w:sz w:val="20"/>
          <w:szCs w:val="20"/>
          <w:rtl/>
        </w:rPr>
        <w:br/>
      </w:r>
      <w:r>
        <w:rPr>
          <w:rFonts w:hint="cs"/>
          <w:sz w:val="20"/>
          <w:szCs w:val="20"/>
          <w:rtl/>
        </w:rPr>
        <w:t xml:space="preserve">כגון </w:t>
      </w:r>
      <w:r>
        <w:rPr>
          <w:sz w:val="20"/>
          <w:szCs w:val="20"/>
          <w:rtl/>
        </w:rPr>
        <w:t>–</w:t>
      </w:r>
      <w:r>
        <w:rPr>
          <w:rFonts w:hint="cs"/>
          <w:sz w:val="20"/>
          <w:szCs w:val="20"/>
          <w:rtl/>
        </w:rPr>
        <w:t xml:space="preserve"> כתם שגופו פחות מכגריס אך סביבו התפשט לכלוך הכתם ולכן נראה יותר מגריס </w:t>
      </w:r>
      <w:r>
        <w:rPr>
          <w:sz w:val="20"/>
          <w:szCs w:val="20"/>
          <w:rtl/>
        </w:rPr>
        <w:t>–</w:t>
      </w:r>
      <w:r>
        <w:rPr>
          <w:rFonts w:hint="cs"/>
          <w:sz w:val="20"/>
          <w:szCs w:val="20"/>
          <w:rtl/>
        </w:rPr>
        <w:t xml:space="preserve"> טמא.</w:t>
      </w:r>
      <w:r>
        <w:rPr>
          <w:sz w:val="20"/>
          <w:szCs w:val="20"/>
          <w:rtl/>
        </w:rPr>
        <w:br/>
      </w:r>
      <w:r>
        <w:rPr>
          <w:rFonts w:hint="cs"/>
          <w:sz w:val="20"/>
          <w:szCs w:val="20"/>
          <w:rtl/>
        </w:rPr>
        <w:t xml:space="preserve">ומכל מקום, הכול תלוי לפי ראות עיני המורה, ואם הכתם עבה מאוד </w:t>
      </w:r>
      <w:r>
        <w:rPr>
          <w:sz w:val="20"/>
          <w:szCs w:val="20"/>
          <w:rtl/>
        </w:rPr>
        <w:t>–</w:t>
      </w:r>
      <w:r>
        <w:rPr>
          <w:rFonts w:hint="cs"/>
          <w:sz w:val="20"/>
          <w:szCs w:val="20"/>
          <w:rtl/>
        </w:rPr>
        <w:t xml:space="preserve"> טמא.</w:t>
      </w:r>
      <w:r>
        <w:rPr>
          <w:sz w:val="20"/>
          <w:szCs w:val="20"/>
          <w:rtl/>
        </w:rPr>
        <w:br/>
      </w:r>
      <w:r>
        <w:rPr>
          <w:rFonts w:hint="cs"/>
          <w:sz w:val="20"/>
          <w:szCs w:val="20"/>
          <w:rtl/>
        </w:rPr>
        <w:br/>
        <w:t xml:space="preserve">הכרעת </w:t>
      </w:r>
      <w:r w:rsidRPr="00893F80">
        <w:rPr>
          <w:rFonts w:hint="cs"/>
          <w:b/>
          <w:bCs/>
          <w:sz w:val="20"/>
          <w:szCs w:val="20"/>
          <w:rtl/>
        </w:rPr>
        <w:t>טהרת הבית</w:t>
      </w:r>
      <w:r>
        <w:rPr>
          <w:rFonts w:hint="cs"/>
          <w:sz w:val="20"/>
          <w:szCs w:val="20"/>
          <w:rtl/>
        </w:rPr>
        <w:t xml:space="preserve"> </w:t>
      </w:r>
      <w:r>
        <w:rPr>
          <w:sz w:val="20"/>
          <w:szCs w:val="20"/>
          <w:rtl/>
        </w:rPr>
        <w:t>–</w:t>
      </w:r>
      <w:r>
        <w:rPr>
          <w:rFonts w:hint="cs"/>
          <w:sz w:val="20"/>
          <w:szCs w:val="20"/>
          <w:rtl/>
        </w:rPr>
        <w:t xml:space="preserve"> אין להתחשב בשיעור עובי הכתם.</w:t>
      </w:r>
      <w:r>
        <w:rPr>
          <w:sz w:val="20"/>
          <w:szCs w:val="20"/>
          <w:rtl/>
        </w:rPr>
        <w:br/>
      </w:r>
      <w:r w:rsidRPr="00893F80">
        <w:rPr>
          <w:rFonts w:hint="cs"/>
          <w:b/>
          <w:bCs/>
          <w:sz w:val="20"/>
          <w:szCs w:val="20"/>
          <w:rtl/>
        </w:rPr>
        <w:t xml:space="preserve">טעם </w:t>
      </w:r>
      <w:r>
        <w:rPr>
          <w:sz w:val="20"/>
          <w:szCs w:val="20"/>
          <w:rtl/>
        </w:rPr>
        <w:t>–</w:t>
      </w:r>
      <w:r>
        <w:rPr>
          <w:rFonts w:hint="cs"/>
          <w:sz w:val="20"/>
          <w:szCs w:val="20"/>
          <w:rtl/>
        </w:rPr>
        <w:t xml:space="preserve"> חכמים גזרו גזרה זאת, והם הורו לנו להתחשב בגודל הכתם, אך לא הורו להתחשב במדד נוסף.</w:t>
      </w:r>
      <w:r>
        <w:rPr>
          <w:rFonts w:hint="cs"/>
          <w:sz w:val="20"/>
          <w:szCs w:val="20"/>
          <w:rtl/>
        </w:rPr>
        <w:br/>
        <w:t>ועוד, חכמים לא נתנו את דבריהם לשיעורים.</w:t>
      </w:r>
    </w:p>
    <w:p w:rsidR="00620060" w:rsidRDefault="00620060" w:rsidP="00620060">
      <w:pPr>
        <w:rPr>
          <w:sz w:val="20"/>
          <w:szCs w:val="20"/>
          <w:rtl/>
        </w:rPr>
      </w:pPr>
      <w:r>
        <w:rPr>
          <w:rFonts w:hint="cs"/>
          <w:sz w:val="20"/>
          <w:szCs w:val="20"/>
          <w:u w:val="single"/>
          <w:rtl/>
        </w:rPr>
        <w:t>האם יש מאכולת ששיעור דמה כגריס? (פת"ש)</w:t>
      </w:r>
      <w:r>
        <w:rPr>
          <w:rFonts w:hint="cs"/>
          <w:sz w:val="20"/>
          <w:szCs w:val="20"/>
          <w:u w:val="single"/>
          <w:rtl/>
        </w:rPr>
        <w:br/>
      </w:r>
      <w:r w:rsidRPr="002D3A7C">
        <w:rPr>
          <w:rFonts w:hint="cs"/>
          <w:b/>
          <w:bCs/>
          <w:sz w:val="20"/>
          <w:szCs w:val="20"/>
          <w:rtl/>
        </w:rPr>
        <w:t>חתם סופר</w:t>
      </w:r>
      <w:r>
        <w:rPr>
          <w:rFonts w:hint="cs"/>
          <w:sz w:val="20"/>
          <w:szCs w:val="20"/>
          <w:rtl/>
        </w:rPr>
        <w:t xml:space="preserve"> </w:t>
      </w:r>
      <w:r>
        <w:rPr>
          <w:sz w:val="20"/>
          <w:szCs w:val="20"/>
          <w:rtl/>
        </w:rPr>
        <w:t>–</w:t>
      </w:r>
      <w:r>
        <w:rPr>
          <w:rFonts w:hint="cs"/>
          <w:sz w:val="20"/>
          <w:szCs w:val="20"/>
          <w:rtl/>
        </w:rPr>
        <w:t xml:space="preserve"> אע"פ שהיום אין מצויה מאכולת ששיעור דמה כגריס של פול, מכל מקום יש להקל עד גריס.</w:t>
      </w:r>
      <w:r>
        <w:rPr>
          <w:sz w:val="20"/>
          <w:szCs w:val="20"/>
          <w:rtl/>
        </w:rPr>
        <w:br/>
      </w:r>
      <w:r w:rsidRPr="002D3A7C">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תחילת גזרת כתמים היא מחמת טהרות, וכיוון שגזרו לטהרות החמירו לאסור גם לבעלה. ואע"פ שטעם הגזרה בטל, איננו יכולים לבטל את הגזרה משום שהיא נגזרה במניין. אך כיוון שכל האיסור הוא רק מחמת גזרת חכמים הראשונים, יש לטמא רק בשיעור כתם של זמנם שהיו מאכולות גדולות מצויות. </w:t>
      </w:r>
    </w:p>
    <w:p w:rsidR="00620060" w:rsidRDefault="00620060" w:rsidP="00620060">
      <w:pPr>
        <w:rPr>
          <w:sz w:val="20"/>
          <w:szCs w:val="20"/>
          <w:rtl/>
        </w:rPr>
      </w:pPr>
      <w:r>
        <w:rPr>
          <w:rFonts w:hint="cs"/>
          <w:sz w:val="20"/>
          <w:szCs w:val="20"/>
          <w:u w:val="single"/>
          <w:rtl/>
        </w:rPr>
        <w:lastRenderedPageBreak/>
        <w:t>באיזה שערות יש לשער (פת"ש)</w:t>
      </w:r>
      <w:r>
        <w:rPr>
          <w:rFonts w:hint="cs"/>
          <w:sz w:val="20"/>
          <w:szCs w:val="20"/>
          <w:u w:val="single"/>
          <w:rtl/>
        </w:rPr>
        <w:br/>
      </w:r>
      <w:r w:rsidRPr="002D3A7C">
        <w:rPr>
          <w:rFonts w:hint="cs"/>
          <w:b/>
          <w:bCs/>
          <w:sz w:val="20"/>
          <w:szCs w:val="20"/>
          <w:rtl/>
        </w:rPr>
        <w:t>מאיר נתיבים</w:t>
      </w:r>
      <w:r>
        <w:rPr>
          <w:rFonts w:hint="cs"/>
          <w:sz w:val="20"/>
          <w:szCs w:val="20"/>
          <w:rtl/>
        </w:rPr>
        <w:t xml:space="preserve"> </w:t>
      </w:r>
      <w:r>
        <w:rPr>
          <w:sz w:val="20"/>
          <w:szCs w:val="20"/>
          <w:rtl/>
        </w:rPr>
        <w:t>–</w:t>
      </w:r>
      <w:r>
        <w:rPr>
          <w:rFonts w:hint="cs"/>
          <w:sz w:val="20"/>
          <w:szCs w:val="20"/>
          <w:rtl/>
        </w:rPr>
        <w:t xml:space="preserve"> יש לשער בשערות שבגוף ולא בשערות שבראש.</w:t>
      </w:r>
      <w:r>
        <w:rPr>
          <w:rStyle w:val="a5"/>
          <w:sz w:val="20"/>
          <w:szCs w:val="20"/>
          <w:rtl/>
        </w:rPr>
        <w:footnoteReference w:id="263"/>
      </w:r>
      <w:r>
        <w:rPr>
          <w:rFonts w:hint="cs"/>
          <w:sz w:val="20"/>
          <w:szCs w:val="20"/>
          <w:rtl/>
        </w:rPr>
        <w:br/>
      </w:r>
      <w:r w:rsidRPr="002D3A7C">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יש לשער את השערות עם החלל שביניהן ולא כמו שהן דבוקות אחת אל אחת.</w:t>
      </w:r>
    </w:p>
    <w:p w:rsidR="00620060" w:rsidRDefault="00620060" w:rsidP="00620060">
      <w:pPr>
        <w:rPr>
          <w:sz w:val="20"/>
          <w:szCs w:val="20"/>
          <w:rtl/>
        </w:rPr>
      </w:pPr>
      <w:r>
        <w:rPr>
          <w:rFonts w:hint="cs"/>
          <w:sz w:val="20"/>
          <w:szCs w:val="20"/>
          <w:u w:val="single"/>
          <w:rtl/>
        </w:rPr>
        <w:t>כתם שחור (פת"ש)</w:t>
      </w:r>
      <w:r>
        <w:rPr>
          <w:rFonts w:hint="cs"/>
          <w:sz w:val="20"/>
          <w:szCs w:val="20"/>
          <w:u w:val="single"/>
          <w:rtl/>
        </w:rPr>
        <w:br/>
      </w:r>
      <w:r w:rsidRPr="008D0C52">
        <w:rPr>
          <w:rFonts w:hint="cs"/>
          <w:b/>
          <w:bCs/>
          <w:sz w:val="20"/>
          <w:szCs w:val="20"/>
          <w:rtl/>
        </w:rPr>
        <w:t>ראב"ד</w:t>
      </w:r>
      <w:r>
        <w:rPr>
          <w:rFonts w:hint="cs"/>
          <w:sz w:val="20"/>
          <w:szCs w:val="20"/>
          <w:rtl/>
        </w:rPr>
        <w:t xml:space="preserve"> </w:t>
      </w:r>
      <w:r>
        <w:rPr>
          <w:sz w:val="20"/>
          <w:szCs w:val="20"/>
          <w:rtl/>
        </w:rPr>
        <w:t>–</w:t>
      </w:r>
      <w:r>
        <w:rPr>
          <w:rFonts w:hint="cs"/>
          <w:sz w:val="20"/>
          <w:szCs w:val="20"/>
          <w:rtl/>
        </w:rPr>
        <w:t xml:space="preserve"> כתם שחור אין לתלות במאכולת, ולכן גם בכל שהוא טמא.</w:t>
      </w:r>
      <w:r>
        <w:rPr>
          <w:sz w:val="20"/>
          <w:szCs w:val="20"/>
          <w:rtl/>
        </w:rPr>
        <w:br/>
      </w:r>
      <w:r w:rsidRPr="008D0C52">
        <w:rPr>
          <w:rFonts w:hint="cs"/>
          <w:b/>
          <w:bCs/>
          <w:sz w:val="20"/>
          <w:szCs w:val="20"/>
          <w:rtl/>
        </w:rPr>
        <w:t xml:space="preserve">טעם </w:t>
      </w:r>
      <w:r>
        <w:rPr>
          <w:sz w:val="20"/>
          <w:szCs w:val="20"/>
          <w:rtl/>
        </w:rPr>
        <w:t>–</w:t>
      </w:r>
      <w:r>
        <w:rPr>
          <w:rFonts w:hint="cs"/>
          <w:sz w:val="20"/>
          <w:szCs w:val="20"/>
          <w:rtl/>
        </w:rPr>
        <w:t xml:space="preserve"> הדם של המאכולת אדום, כתם שחור בוודאי מגופה בא וטמאה.</w:t>
      </w:r>
      <w:r>
        <w:rPr>
          <w:sz w:val="20"/>
          <w:szCs w:val="20"/>
          <w:rtl/>
        </w:rPr>
        <w:br/>
      </w:r>
      <w:r>
        <w:rPr>
          <w:rFonts w:hint="cs"/>
          <w:sz w:val="20"/>
          <w:szCs w:val="20"/>
          <w:rtl/>
        </w:rPr>
        <w:t xml:space="preserve">ואמנם, אם מצויים באותו מקום פרעושים מלכלכים בצבע שחור, יש לתלות בהם וטהורה, והכל לפי ראות עיני המורה, </w:t>
      </w:r>
      <w:r w:rsidRPr="003D1D55">
        <w:rPr>
          <w:rFonts w:hint="cs"/>
          <w:b/>
          <w:bCs/>
          <w:sz w:val="20"/>
          <w:szCs w:val="20"/>
          <w:rtl/>
        </w:rPr>
        <w:t>סדרי טהרה</w:t>
      </w:r>
      <w:r>
        <w:rPr>
          <w:rFonts w:hint="cs"/>
          <w:sz w:val="20"/>
          <w:szCs w:val="20"/>
          <w:rtl/>
        </w:rPr>
        <w:t xml:space="preserve">. </w:t>
      </w:r>
      <w:r>
        <w:rPr>
          <w:rFonts w:hint="cs"/>
          <w:sz w:val="20"/>
          <w:szCs w:val="20"/>
          <w:rtl/>
        </w:rPr>
        <w:br/>
      </w:r>
      <w:r w:rsidRPr="004456DD">
        <w:rPr>
          <w:rFonts w:hint="cs"/>
          <w:b/>
          <w:bCs/>
          <w:sz w:val="20"/>
          <w:szCs w:val="20"/>
          <w:rtl/>
        </w:rPr>
        <w:t>ששבה"ל</w:t>
      </w:r>
      <w:r>
        <w:rPr>
          <w:rFonts w:hint="cs"/>
          <w:sz w:val="20"/>
          <w:szCs w:val="20"/>
          <w:rtl/>
        </w:rPr>
        <w:t xml:space="preserve"> </w:t>
      </w:r>
      <w:r w:rsidRPr="004456DD">
        <w:rPr>
          <w:rFonts w:hint="cs"/>
          <w:sz w:val="18"/>
          <w:szCs w:val="18"/>
          <w:rtl/>
        </w:rPr>
        <w:t xml:space="preserve">(עמ' קסד, אות ו) </w:t>
      </w:r>
      <w:r>
        <w:rPr>
          <w:sz w:val="20"/>
          <w:szCs w:val="20"/>
          <w:rtl/>
        </w:rPr>
        <w:t>–</w:t>
      </w:r>
      <w:r>
        <w:rPr>
          <w:rFonts w:hint="cs"/>
          <w:sz w:val="20"/>
          <w:szCs w:val="20"/>
          <w:rtl/>
        </w:rPr>
        <w:t xml:space="preserve"> במציאות, רוב הכתמים השחורים ניכרים שאינם כתמים כלל אלא צבע וכדומה, ולכן ברוב הפעמים אין לחוש. ועוד, בבדיקת כתמים אלו במים רובם נראים אדומים, ואם כן טהורים עד כגריס.</w:t>
      </w:r>
      <w:r>
        <w:rPr>
          <w:sz w:val="20"/>
          <w:szCs w:val="20"/>
          <w:rtl/>
        </w:rPr>
        <w:br/>
      </w:r>
      <w:r>
        <w:rPr>
          <w:rFonts w:hint="cs"/>
          <w:sz w:val="20"/>
          <w:szCs w:val="20"/>
          <w:rtl/>
        </w:rPr>
        <w:t>ואמנם, אם השחור נראה דם, יש להחמיר אף בפחות משיעור גריס.</w:t>
      </w:r>
    </w:p>
    <w:p w:rsidR="00620060" w:rsidRDefault="00620060" w:rsidP="00620060">
      <w:pPr>
        <w:rPr>
          <w:sz w:val="20"/>
          <w:szCs w:val="20"/>
          <w:rtl/>
        </w:rPr>
      </w:pPr>
      <w:r w:rsidRPr="001B21D2">
        <w:rPr>
          <w:rFonts w:hint="cs"/>
          <w:b/>
          <w:bCs/>
          <w:sz w:val="20"/>
          <w:szCs w:val="20"/>
          <w:rtl/>
        </w:rPr>
        <w:t>סיכום</w:t>
      </w:r>
      <w:r>
        <w:rPr>
          <w:sz w:val="20"/>
          <w:szCs w:val="20"/>
          <w:rtl/>
        </w:rPr>
        <w:br/>
      </w:r>
      <w:r>
        <w:rPr>
          <w:rFonts w:hint="cs"/>
          <w:sz w:val="20"/>
          <w:szCs w:val="20"/>
          <w:rtl/>
        </w:rPr>
        <w:t xml:space="preserve">1. </w:t>
      </w:r>
      <w:r w:rsidRPr="001B21D2">
        <w:rPr>
          <w:rFonts w:hint="cs"/>
          <w:b/>
          <w:bCs/>
          <w:sz w:val="20"/>
          <w:szCs w:val="20"/>
          <w:rtl/>
        </w:rPr>
        <w:t>משנה</w:t>
      </w:r>
      <w:r>
        <w:rPr>
          <w:rFonts w:hint="cs"/>
          <w:sz w:val="20"/>
          <w:szCs w:val="20"/>
          <w:rtl/>
        </w:rPr>
        <w:t xml:space="preserve">. </w:t>
      </w:r>
      <w:r w:rsidRPr="001B21D2">
        <w:rPr>
          <w:rFonts w:hint="cs"/>
          <w:sz w:val="20"/>
          <w:szCs w:val="20"/>
          <w:u w:val="single"/>
          <w:rtl/>
        </w:rPr>
        <w:t>ת"ק</w:t>
      </w:r>
      <w:r>
        <w:rPr>
          <w:rFonts w:hint="cs"/>
          <w:sz w:val="20"/>
          <w:szCs w:val="20"/>
          <w:rtl/>
        </w:rPr>
        <w:t xml:space="preserve">. הרגה מאכולת </w:t>
      </w:r>
      <w:r>
        <w:rPr>
          <w:sz w:val="20"/>
          <w:szCs w:val="20"/>
          <w:rtl/>
        </w:rPr>
        <w:t>–</w:t>
      </w:r>
      <w:r>
        <w:rPr>
          <w:rFonts w:hint="cs"/>
          <w:sz w:val="20"/>
          <w:szCs w:val="20"/>
          <w:rtl/>
        </w:rPr>
        <w:t xml:space="preserve"> תולה בה. </w:t>
      </w:r>
      <w:r w:rsidRPr="001B21D2">
        <w:rPr>
          <w:rFonts w:hint="cs"/>
          <w:sz w:val="20"/>
          <w:szCs w:val="20"/>
          <w:u w:val="single"/>
          <w:rtl/>
        </w:rPr>
        <w:t>רבי חנינא</w:t>
      </w:r>
      <w:r>
        <w:rPr>
          <w:rFonts w:hint="cs"/>
          <w:sz w:val="20"/>
          <w:szCs w:val="20"/>
          <w:rtl/>
        </w:rPr>
        <w:t>. אפילו לא הרגה תולה עד כגריס, וכן הלכה.</w:t>
      </w:r>
      <w:r>
        <w:rPr>
          <w:sz w:val="20"/>
          <w:szCs w:val="20"/>
          <w:rtl/>
        </w:rPr>
        <w:br/>
      </w:r>
      <w:r>
        <w:rPr>
          <w:rFonts w:hint="cs"/>
          <w:sz w:val="20"/>
          <w:szCs w:val="20"/>
          <w:rtl/>
        </w:rPr>
        <w:t xml:space="preserve">2. </w:t>
      </w:r>
      <w:r w:rsidRPr="001B21D2">
        <w:rPr>
          <w:rFonts w:hint="cs"/>
          <w:b/>
          <w:bCs/>
          <w:sz w:val="20"/>
          <w:szCs w:val="20"/>
          <w:rtl/>
        </w:rPr>
        <w:t>גמרא</w:t>
      </w:r>
      <w:r>
        <w:rPr>
          <w:rFonts w:hint="cs"/>
          <w:sz w:val="20"/>
          <w:szCs w:val="20"/>
          <w:rtl/>
        </w:rPr>
        <w:t xml:space="preserve">. </w:t>
      </w:r>
      <w:r w:rsidRPr="001B21D2">
        <w:rPr>
          <w:rFonts w:hint="cs"/>
          <w:sz w:val="20"/>
          <w:szCs w:val="20"/>
          <w:u w:val="single"/>
          <w:rtl/>
        </w:rPr>
        <w:t>רב הונא</w:t>
      </w:r>
      <w:r>
        <w:rPr>
          <w:rFonts w:hint="cs"/>
          <w:sz w:val="20"/>
          <w:szCs w:val="20"/>
          <w:rtl/>
        </w:rPr>
        <w:t xml:space="preserve">. פחות מגריס תולה, גריס אינה תולה. </w:t>
      </w:r>
      <w:r w:rsidRPr="001B21D2">
        <w:rPr>
          <w:rFonts w:hint="cs"/>
          <w:sz w:val="20"/>
          <w:szCs w:val="20"/>
          <w:u w:val="single"/>
          <w:rtl/>
        </w:rPr>
        <w:t>רב חסדא</w:t>
      </w:r>
      <w:r>
        <w:rPr>
          <w:rFonts w:hint="cs"/>
          <w:sz w:val="20"/>
          <w:szCs w:val="20"/>
          <w:rtl/>
        </w:rPr>
        <w:t>. כגריס תולה, יותר מגריס אינה תולה.</w:t>
      </w:r>
      <w:r>
        <w:rPr>
          <w:sz w:val="20"/>
          <w:szCs w:val="20"/>
          <w:rtl/>
        </w:rPr>
        <w:br/>
      </w:r>
      <w:r>
        <w:rPr>
          <w:rFonts w:hint="cs"/>
          <w:sz w:val="20"/>
          <w:szCs w:val="20"/>
          <w:rtl/>
        </w:rPr>
        <w:t xml:space="preserve">3. </w:t>
      </w:r>
      <w:r w:rsidRPr="001B21D2">
        <w:rPr>
          <w:rFonts w:hint="cs"/>
          <w:b/>
          <w:bCs/>
          <w:sz w:val="20"/>
          <w:szCs w:val="20"/>
          <w:rtl/>
        </w:rPr>
        <w:t>רשב"א</w:t>
      </w:r>
      <w:r>
        <w:rPr>
          <w:rFonts w:hint="cs"/>
          <w:sz w:val="20"/>
          <w:szCs w:val="20"/>
          <w:rtl/>
        </w:rPr>
        <w:t xml:space="preserve">. הלכה רב חסדא, כגריס תולה, וכ"פ </w:t>
      </w:r>
      <w:r w:rsidRPr="001B21D2">
        <w:rPr>
          <w:rFonts w:hint="cs"/>
          <w:b/>
          <w:bCs/>
          <w:sz w:val="20"/>
          <w:szCs w:val="20"/>
          <w:rtl/>
        </w:rPr>
        <w:t>המחבר</w:t>
      </w:r>
      <w:r>
        <w:rPr>
          <w:rFonts w:hint="cs"/>
          <w:sz w:val="20"/>
          <w:szCs w:val="20"/>
          <w:rtl/>
        </w:rPr>
        <w:t xml:space="preserve">. </w:t>
      </w:r>
      <w:r w:rsidRPr="001B21D2">
        <w:rPr>
          <w:rFonts w:hint="cs"/>
          <w:b/>
          <w:bCs/>
          <w:sz w:val="20"/>
          <w:szCs w:val="20"/>
          <w:rtl/>
        </w:rPr>
        <w:t>תרומה</w:t>
      </w:r>
      <w:r>
        <w:rPr>
          <w:rFonts w:hint="cs"/>
          <w:sz w:val="20"/>
          <w:szCs w:val="20"/>
          <w:rtl/>
        </w:rPr>
        <w:t>. הלכה כרב הונא, פחות מגריס תולה.</w:t>
      </w:r>
      <w:r>
        <w:rPr>
          <w:sz w:val="20"/>
          <w:szCs w:val="20"/>
          <w:rtl/>
        </w:rPr>
        <w:br/>
      </w:r>
      <w:r>
        <w:rPr>
          <w:rFonts w:hint="cs"/>
          <w:sz w:val="20"/>
          <w:szCs w:val="20"/>
          <w:rtl/>
        </w:rPr>
        <w:t xml:space="preserve">4. </w:t>
      </w:r>
      <w:r w:rsidRPr="001B21D2">
        <w:rPr>
          <w:rFonts w:hint="cs"/>
          <w:b/>
          <w:bCs/>
          <w:sz w:val="20"/>
          <w:szCs w:val="20"/>
          <w:rtl/>
        </w:rPr>
        <w:t>משנה</w:t>
      </w:r>
      <w:r>
        <w:rPr>
          <w:rFonts w:hint="cs"/>
          <w:sz w:val="20"/>
          <w:szCs w:val="20"/>
          <w:rtl/>
        </w:rPr>
        <w:t>. גריס הוא גודל תשע עדשות, עדשה היא ארבע שערות, גריס הוא שלושים ושש שערות.</w:t>
      </w:r>
      <w:r>
        <w:rPr>
          <w:sz w:val="20"/>
          <w:szCs w:val="20"/>
          <w:rtl/>
        </w:rPr>
        <w:br/>
      </w:r>
      <w:r>
        <w:rPr>
          <w:rFonts w:hint="cs"/>
          <w:sz w:val="20"/>
          <w:szCs w:val="20"/>
          <w:rtl/>
        </w:rPr>
        <w:t xml:space="preserve">5. </w:t>
      </w:r>
      <w:r w:rsidRPr="001B21D2">
        <w:rPr>
          <w:rFonts w:hint="cs"/>
          <w:b/>
          <w:bCs/>
          <w:sz w:val="20"/>
          <w:szCs w:val="20"/>
          <w:rtl/>
        </w:rPr>
        <w:t>גמרא</w:t>
      </w:r>
      <w:r>
        <w:rPr>
          <w:rFonts w:hint="cs"/>
          <w:sz w:val="20"/>
          <w:szCs w:val="20"/>
          <w:rtl/>
        </w:rPr>
        <w:t>. כתם ארוך מצטרף.</w:t>
      </w:r>
      <w:r>
        <w:rPr>
          <w:sz w:val="20"/>
          <w:szCs w:val="20"/>
          <w:rtl/>
        </w:rPr>
        <w:br/>
      </w:r>
      <w:r>
        <w:rPr>
          <w:rFonts w:hint="cs"/>
          <w:sz w:val="20"/>
          <w:szCs w:val="20"/>
          <w:rtl/>
        </w:rPr>
        <w:t xml:space="preserve">6. </w:t>
      </w:r>
      <w:r w:rsidRPr="001B21D2">
        <w:rPr>
          <w:rFonts w:hint="cs"/>
          <w:b/>
          <w:bCs/>
          <w:sz w:val="20"/>
          <w:szCs w:val="20"/>
          <w:rtl/>
        </w:rPr>
        <w:t>ראב"ד</w:t>
      </w:r>
      <w:r>
        <w:rPr>
          <w:rFonts w:hint="cs"/>
          <w:sz w:val="20"/>
          <w:szCs w:val="20"/>
          <w:rtl/>
        </w:rPr>
        <w:t xml:space="preserve">. אם יימצא גריס גדול יותר יש לשער בו, וכ"פ </w:t>
      </w:r>
      <w:r w:rsidRPr="001B21D2">
        <w:rPr>
          <w:rFonts w:hint="cs"/>
          <w:b/>
          <w:bCs/>
          <w:sz w:val="20"/>
          <w:szCs w:val="20"/>
          <w:rtl/>
        </w:rPr>
        <w:t>המחבר</w:t>
      </w:r>
      <w:r>
        <w:rPr>
          <w:rFonts w:hint="cs"/>
          <w:sz w:val="20"/>
          <w:szCs w:val="20"/>
          <w:rtl/>
        </w:rPr>
        <w:t>.</w:t>
      </w:r>
      <w:r>
        <w:rPr>
          <w:sz w:val="20"/>
          <w:szCs w:val="20"/>
          <w:rtl/>
        </w:rPr>
        <w:br/>
      </w:r>
      <w:r>
        <w:rPr>
          <w:rFonts w:hint="cs"/>
          <w:sz w:val="20"/>
          <w:szCs w:val="20"/>
          <w:rtl/>
        </w:rPr>
        <w:t xml:space="preserve">7. </w:t>
      </w:r>
      <w:r w:rsidRPr="001B21D2">
        <w:rPr>
          <w:rFonts w:hint="cs"/>
          <w:b/>
          <w:bCs/>
          <w:sz w:val="20"/>
          <w:szCs w:val="20"/>
          <w:rtl/>
        </w:rPr>
        <w:t>בית יוסף</w:t>
      </w:r>
      <w:r>
        <w:rPr>
          <w:rFonts w:hint="cs"/>
          <w:sz w:val="20"/>
          <w:szCs w:val="20"/>
          <w:rtl/>
        </w:rPr>
        <w:t>. אפילו לאחר חומרה דרבי זירא אין כתם מטמא בכל שהו</w:t>
      </w:r>
      <w:r>
        <w:rPr>
          <w:rFonts w:hint="eastAsia"/>
          <w:sz w:val="20"/>
          <w:szCs w:val="20"/>
          <w:rtl/>
        </w:rPr>
        <w:t>א</w:t>
      </w:r>
      <w:r>
        <w:rPr>
          <w:rFonts w:hint="cs"/>
          <w:sz w:val="20"/>
          <w:szCs w:val="20"/>
          <w:rtl/>
        </w:rPr>
        <w:t>.</w:t>
      </w:r>
      <w:r>
        <w:rPr>
          <w:sz w:val="20"/>
          <w:szCs w:val="20"/>
          <w:rtl/>
        </w:rPr>
        <w:br/>
      </w:r>
      <w:r>
        <w:rPr>
          <w:rFonts w:hint="cs"/>
          <w:sz w:val="20"/>
          <w:szCs w:val="20"/>
          <w:rtl/>
        </w:rPr>
        <w:t>8. כתם משוך על עד מטמא בכל שהוא, כתם שאינו על עד אינו מטמא בכל שהוא אפילו משוך.</w:t>
      </w:r>
      <w:r>
        <w:rPr>
          <w:sz w:val="20"/>
          <w:szCs w:val="20"/>
          <w:rtl/>
        </w:rPr>
        <w:br/>
      </w:r>
      <w:r>
        <w:rPr>
          <w:rFonts w:hint="cs"/>
          <w:sz w:val="20"/>
          <w:szCs w:val="20"/>
          <w:rtl/>
        </w:rPr>
        <w:t xml:space="preserve">9. </w:t>
      </w:r>
      <w:r w:rsidRPr="001B21D2">
        <w:rPr>
          <w:rFonts w:hint="cs"/>
          <w:b/>
          <w:bCs/>
          <w:sz w:val="20"/>
          <w:szCs w:val="20"/>
          <w:rtl/>
        </w:rPr>
        <w:t>מחבר</w:t>
      </w:r>
      <w:r>
        <w:rPr>
          <w:rFonts w:hint="cs"/>
          <w:sz w:val="20"/>
          <w:szCs w:val="20"/>
          <w:rtl/>
        </w:rPr>
        <w:t>. כתם טמא רק בשיעור גריס ועוד, לו' שערות, אם אין גודל זה תולים בכינה אע"פ שלא הרגה.</w:t>
      </w:r>
      <w:r>
        <w:rPr>
          <w:rFonts w:hint="cs"/>
          <w:sz w:val="20"/>
          <w:szCs w:val="20"/>
          <w:rtl/>
        </w:rPr>
        <w:br/>
        <w:t xml:space="preserve">10. שיעור גריס. </w:t>
      </w:r>
      <w:r w:rsidRPr="00F31C0A">
        <w:rPr>
          <w:rFonts w:hint="cs"/>
          <w:b/>
          <w:bCs/>
          <w:sz w:val="20"/>
          <w:szCs w:val="20"/>
          <w:rtl/>
        </w:rPr>
        <w:t>טה"ב</w:t>
      </w:r>
      <w:r>
        <w:rPr>
          <w:rFonts w:hint="cs"/>
          <w:sz w:val="20"/>
          <w:szCs w:val="20"/>
          <w:rtl/>
        </w:rPr>
        <w:t>. יש אומרים 14 מ"מ, יש אומרים 21 מ"מ, וכן עיקר לשער ב20 מ"מ.</w:t>
      </w:r>
      <w:r>
        <w:rPr>
          <w:sz w:val="20"/>
          <w:szCs w:val="20"/>
          <w:rtl/>
        </w:rPr>
        <w:br/>
      </w:r>
      <w:r>
        <w:rPr>
          <w:rFonts w:hint="cs"/>
          <w:sz w:val="20"/>
          <w:szCs w:val="20"/>
          <w:rtl/>
        </w:rPr>
        <w:t xml:space="preserve">11. </w:t>
      </w:r>
      <w:r w:rsidRPr="002D50EF">
        <w:rPr>
          <w:rFonts w:hint="cs"/>
          <w:sz w:val="20"/>
          <w:szCs w:val="20"/>
          <w:rtl/>
        </w:rPr>
        <w:t>כתם עבה.</w:t>
      </w:r>
      <w:r>
        <w:rPr>
          <w:rFonts w:hint="cs"/>
          <w:sz w:val="20"/>
          <w:szCs w:val="20"/>
          <w:rtl/>
        </w:rPr>
        <w:t xml:space="preserve"> </w:t>
      </w:r>
      <w:r w:rsidRPr="001B21D2">
        <w:rPr>
          <w:rFonts w:hint="cs"/>
          <w:b/>
          <w:bCs/>
          <w:sz w:val="20"/>
          <w:szCs w:val="20"/>
          <w:rtl/>
        </w:rPr>
        <w:t>יראים</w:t>
      </w:r>
      <w:r>
        <w:rPr>
          <w:rFonts w:hint="cs"/>
          <w:sz w:val="20"/>
          <w:szCs w:val="20"/>
          <w:rtl/>
        </w:rPr>
        <w:t xml:space="preserve">. איננו בקיאים בשיעור גריס ולכן יש להחמיר אם אין הוכחה נוספת. </w:t>
      </w:r>
      <w:r w:rsidRPr="001B21D2">
        <w:rPr>
          <w:rFonts w:hint="cs"/>
          <w:b/>
          <w:bCs/>
          <w:sz w:val="20"/>
          <w:szCs w:val="20"/>
          <w:rtl/>
        </w:rPr>
        <w:t>בשמים ראש</w:t>
      </w:r>
      <w:r>
        <w:rPr>
          <w:rFonts w:hint="cs"/>
          <w:sz w:val="20"/>
          <w:szCs w:val="20"/>
          <w:rtl/>
        </w:rPr>
        <w:t xml:space="preserve">. היראים החמיר כי שיעור עובי הכתם לא התפרש. </w:t>
      </w:r>
      <w:r w:rsidRPr="001B21D2">
        <w:rPr>
          <w:rFonts w:hint="cs"/>
          <w:b/>
          <w:bCs/>
          <w:sz w:val="20"/>
          <w:szCs w:val="20"/>
          <w:rtl/>
        </w:rPr>
        <w:t>סד"ט</w:t>
      </w:r>
      <w:r>
        <w:rPr>
          <w:rFonts w:hint="cs"/>
          <w:sz w:val="20"/>
          <w:szCs w:val="20"/>
          <w:rtl/>
        </w:rPr>
        <w:t xml:space="preserve">. יש לשער לפי מה שבא לפנינו. והכל לפי ראות עיני המורה. הכרעת </w:t>
      </w:r>
      <w:r w:rsidRPr="00327053">
        <w:rPr>
          <w:rFonts w:hint="cs"/>
          <w:b/>
          <w:bCs/>
          <w:sz w:val="20"/>
          <w:szCs w:val="20"/>
          <w:rtl/>
        </w:rPr>
        <w:t>טהרת הבית</w:t>
      </w:r>
      <w:r>
        <w:rPr>
          <w:rFonts w:hint="cs"/>
          <w:sz w:val="20"/>
          <w:szCs w:val="20"/>
          <w:rtl/>
        </w:rPr>
        <w:t>. אין להתחשב בשיעור עובי הכתם.</w:t>
      </w:r>
      <w:r>
        <w:rPr>
          <w:sz w:val="20"/>
          <w:szCs w:val="20"/>
          <w:rtl/>
        </w:rPr>
        <w:br/>
      </w:r>
      <w:r>
        <w:rPr>
          <w:rFonts w:hint="cs"/>
          <w:sz w:val="20"/>
          <w:szCs w:val="20"/>
          <w:rtl/>
        </w:rPr>
        <w:t xml:space="preserve">12. </w:t>
      </w:r>
      <w:r w:rsidRPr="00327053">
        <w:rPr>
          <w:rFonts w:hint="cs"/>
          <w:b/>
          <w:bCs/>
          <w:sz w:val="20"/>
          <w:szCs w:val="20"/>
          <w:rtl/>
        </w:rPr>
        <w:t>חת"ס</w:t>
      </w:r>
      <w:r>
        <w:rPr>
          <w:rFonts w:hint="cs"/>
          <w:sz w:val="20"/>
          <w:szCs w:val="20"/>
          <w:rtl/>
        </w:rPr>
        <w:t>. אע"פ שבימינו אין מאכולות ששיעור דמם כגריס, מכל מקום יש להקל ע"פ גודל מאכולת בזמן חז"ל.</w:t>
      </w:r>
      <w:r>
        <w:rPr>
          <w:sz w:val="20"/>
          <w:szCs w:val="20"/>
          <w:rtl/>
        </w:rPr>
        <w:br/>
      </w:r>
      <w:r>
        <w:rPr>
          <w:rFonts w:hint="cs"/>
          <w:sz w:val="20"/>
          <w:szCs w:val="20"/>
          <w:rtl/>
        </w:rPr>
        <w:t xml:space="preserve">13. </w:t>
      </w:r>
      <w:r w:rsidRPr="00327053">
        <w:rPr>
          <w:rFonts w:hint="cs"/>
          <w:b/>
          <w:bCs/>
          <w:sz w:val="20"/>
          <w:szCs w:val="20"/>
          <w:rtl/>
        </w:rPr>
        <w:t>מאיר נתיבים</w:t>
      </w:r>
      <w:r>
        <w:rPr>
          <w:rFonts w:hint="cs"/>
          <w:sz w:val="20"/>
          <w:szCs w:val="20"/>
          <w:rtl/>
        </w:rPr>
        <w:t xml:space="preserve">. יש לשער בשערות שבגוף ולא שבראש. </w:t>
      </w:r>
      <w:r w:rsidRPr="00327053">
        <w:rPr>
          <w:rFonts w:hint="cs"/>
          <w:b/>
          <w:bCs/>
          <w:sz w:val="20"/>
          <w:szCs w:val="20"/>
          <w:rtl/>
        </w:rPr>
        <w:t>ש"ך</w:t>
      </w:r>
      <w:r>
        <w:rPr>
          <w:rFonts w:hint="cs"/>
          <w:sz w:val="20"/>
          <w:szCs w:val="20"/>
          <w:rtl/>
        </w:rPr>
        <w:t>. יש לשער את השערות עם החלל ביניהן.</w:t>
      </w:r>
      <w:r>
        <w:rPr>
          <w:sz w:val="20"/>
          <w:szCs w:val="20"/>
          <w:rtl/>
        </w:rPr>
        <w:br/>
      </w:r>
      <w:r>
        <w:rPr>
          <w:rFonts w:hint="cs"/>
          <w:sz w:val="20"/>
          <w:szCs w:val="20"/>
          <w:rtl/>
        </w:rPr>
        <w:t xml:space="preserve">14. </w:t>
      </w:r>
      <w:r w:rsidRPr="00327053">
        <w:rPr>
          <w:rFonts w:hint="cs"/>
          <w:b/>
          <w:bCs/>
          <w:sz w:val="20"/>
          <w:szCs w:val="20"/>
          <w:rtl/>
        </w:rPr>
        <w:t>פת"ש</w:t>
      </w:r>
      <w:r>
        <w:rPr>
          <w:rFonts w:hint="cs"/>
          <w:sz w:val="20"/>
          <w:szCs w:val="20"/>
          <w:rtl/>
        </w:rPr>
        <w:t xml:space="preserve">. </w:t>
      </w:r>
      <w:r w:rsidRPr="00327053">
        <w:rPr>
          <w:rFonts w:hint="cs"/>
          <w:b/>
          <w:bCs/>
          <w:sz w:val="20"/>
          <w:szCs w:val="20"/>
          <w:rtl/>
        </w:rPr>
        <w:t>ראב"ד</w:t>
      </w:r>
      <w:r>
        <w:rPr>
          <w:rFonts w:hint="cs"/>
          <w:sz w:val="20"/>
          <w:szCs w:val="20"/>
          <w:rtl/>
        </w:rPr>
        <w:t xml:space="preserve">. כתם שחור טמא בכל שהוא. </w:t>
      </w:r>
      <w:r w:rsidRPr="00327053">
        <w:rPr>
          <w:rFonts w:hint="cs"/>
          <w:b/>
          <w:bCs/>
          <w:sz w:val="20"/>
          <w:szCs w:val="20"/>
          <w:rtl/>
        </w:rPr>
        <w:t>סד"ט</w:t>
      </w:r>
      <w:r>
        <w:rPr>
          <w:rFonts w:hint="cs"/>
          <w:sz w:val="20"/>
          <w:szCs w:val="20"/>
          <w:rtl/>
        </w:rPr>
        <w:t xml:space="preserve">. אם מצויים פרעושים מלכלכים בשחור </w:t>
      </w:r>
      <w:r>
        <w:rPr>
          <w:sz w:val="20"/>
          <w:szCs w:val="20"/>
          <w:rtl/>
        </w:rPr>
        <w:t>–</w:t>
      </w:r>
      <w:r>
        <w:rPr>
          <w:rFonts w:hint="cs"/>
          <w:sz w:val="20"/>
          <w:szCs w:val="20"/>
          <w:rtl/>
        </w:rPr>
        <w:t xml:space="preserve"> תולים בהם.</w:t>
      </w:r>
    </w:p>
    <w:p w:rsidR="00620060" w:rsidRDefault="00620060" w:rsidP="00620060">
      <w:pPr>
        <w:rPr>
          <w:sz w:val="20"/>
          <w:szCs w:val="20"/>
          <w:rtl/>
        </w:rPr>
      </w:pPr>
      <w:r>
        <w:rPr>
          <w:sz w:val="20"/>
          <w:szCs w:val="20"/>
          <w:rtl/>
        </w:rPr>
        <w:br/>
      </w:r>
      <w:r>
        <w:rPr>
          <w:rFonts w:hint="cs"/>
          <w:b/>
          <w:bCs/>
          <w:sz w:val="20"/>
          <w:szCs w:val="20"/>
          <w:rtl/>
        </w:rPr>
        <w:t xml:space="preserve">סעיף ו </w:t>
      </w:r>
      <w:r>
        <w:rPr>
          <w:b/>
          <w:bCs/>
          <w:sz w:val="20"/>
          <w:szCs w:val="20"/>
          <w:rtl/>
        </w:rPr>
        <w:t>–</w:t>
      </w:r>
      <w:r>
        <w:rPr>
          <w:rFonts w:hint="cs"/>
          <w:b/>
          <w:bCs/>
          <w:sz w:val="20"/>
          <w:szCs w:val="20"/>
          <w:rtl/>
        </w:rPr>
        <w:t xml:space="preserve"> כתם הנמצא על בשרה</w:t>
      </w:r>
      <w:r>
        <w:rPr>
          <w:b/>
          <w:bCs/>
          <w:sz w:val="20"/>
          <w:szCs w:val="20"/>
          <w:rtl/>
        </w:rPr>
        <w:br/>
      </w:r>
      <w:r>
        <w:rPr>
          <w:rFonts w:hint="cs"/>
          <w:b/>
          <w:bCs/>
          <w:sz w:val="20"/>
          <w:szCs w:val="20"/>
          <w:rtl/>
        </w:rPr>
        <w:t>שיטות הראשונים</w:t>
      </w:r>
      <w:r>
        <w:rPr>
          <w:b/>
          <w:bCs/>
          <w:sz w:val="20"/>
          <w:szCs w:val="20"/>
          <w:rtl/>
        </w:rPr>
        <w:br/>
      </w:r>
      <w:r>
        <w:rPr>
          <w:rFonts w:hint="cs"/>
          <w:sz w:val="20"/>
          <w:szCs w:val="20"/>
          <w:rtl/>
        </w:rPr>
        <w:t xml:space="preserve">א. </w:t>
      </w:r>
      <w:r w:rsidRPr="00E021D6">
        <w:rPr>
          <w:rFonts w:hint="cs"/>
          <w:b/>
          <w:bCs/>
          <w:sz w:val="20"/>
          <w:szCs w:val="20"/>
          <w:rtl/>
        </w:rPr>
        <w:t>ראב"ד</w:t>
      </w:r>
      <w:r>
        <w:rPr>
          <w:rFonts w:hint="cs"/>
          <w:sz w:val="20"/>
          <w:szCs w:val="20"/>
          <w:rtl/>
        </w:rPr>
        <w:t xml:space="preserve">, </w:t>
      </w:r>
      <w:r w:rsidRPr="00E021D6">
        <w:rPr>
          <w:rFonts w:hint="cs"/>
          <w:b/>
          <w:bCs/>
          <w:sz w:val="20"/>
          <w:szCs w:val="20"/>
          <w:rtl/>
        </w:rPr>
        <w:t>רמב"ן ורשב"א</w:t>
      </w:r>
      <w:r>
        <w:rPr>
          <w:rFonts w:hint="cs"/>
          <w:sz w:val="20"/>
          <w:szCs w:val="20"/>
          <w:rtl/>
        </w:rPr>
        <w:t xml:space="preserve"> </w:t>
      </w:r>
      <w:r>
        <w:rPr>
          <w:sz w:val="20"/>
          <w:szCs w:val="20"/>
          <w:rtl/>
        </w:rPr>
        <w:t>–</w:t>
      </w:r>
      <w:r>
        <w:rPr>
          <w:rFonts w:hint="cs"/>
          <w:sz w:val="20"/>
          <w:szCs w:val="20"/>
          <w:rtl/>
        </w:rPr>
        <w:t xml:space="preserve"> גם כתם הנמצא על בשרה טמא רק כשיש בו שיעור גריס ועוד, וכ"פ </w:t>
      </w:r>
      <w:r w:rsidRPr="0084053C">
        <w:rPr>
          <w:rFonts w:hint="cs"/>
          <w:b/>
          <w:bCs/>
          <w:sz w:val="20"/>
          <w:szCs w:val="20"/>
          <w:rtl/>
        </w:rPr>
        <w:t>המחבר</w:t>
      </w:r>
      <w:r>
        <w:rPr>
          <w:rFonts w:hint="cs"/>
          <w:sz w:val="20"/>
          <w:szCs w:val="20"/>
          <w:rtl/>
        </w:rPr>
        <w:t>.</w:t>
      </w:r>
      <w:r>
        <w:rPr>
          <w:sz w:val="20"/>
          <w:szCs w:val="20"/>
          <w:rtl/>
        </w:rPr>
        <w:br/>
      </w:r>
      <w:r>
        <w:rPr>
          <w:rFonts w:hint="cs"/>
          <w:sz w:val="20"/>
          <w:szCs w:val="20"/>
          <w:rtl/>
        </w:rPr>
        <w:t xml:space="preserve">ב. </w:t>
      </w:r>
      <w:r w:rsidRPr="00E021D6">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כתם על בשרה טמא אפילו כשיש בו רק כל שהוא.</w:t>
      </w:r>
    </w:p>
    <w:p w:rsidR="00620060" w:rsidRDefault="00620060" w:rsidP="00620060">
      <w:pPr>
        <w:rPr>
          <w:sz w:val="20"/>
          <w:szCs w:val="20"/>
          <w:rtl/>
        </w:rPr>
      </w:pPr>
      <w:r>
        <w:rPr>
          <w:rFonts w:hint="cs"/>
          <w:b/>
          <w:bCs/>
          <w:sz w:val="20"/>
          <w:szCs w:val="20"/>
          <w:rtl/>
        </w:rPr>
        <w:t>בירור שיטת הרמב"ם</w:t>
      </w:r>
      <w:r>
        <w:rPr>
          <w:b/>
          <w:bCs/>
          <w:sz w:val="20"/>
          <w:szCs w:val="20"/>
          <w:rtl/>
        </w:rPr>
        <w:br/>
      </w:r>
      <w:r w:rsidRPr="00E021D6">
        <w:rPr>
          <w:rFonts w:hint="cs"/>
          <w:sz w:val="20"/>
          <w:szCs w:val="20"/>
          <w:u w:val="single"/>
          <w:rtl/>
        </w:rPr>
        <w:t>טעם הדין</w:t>
      </w:r>
      <w:r>
        <w:rPr>
          <w:sz w:val="20"/>
          <w:szCs w:val="20"/>
          <w:rtl/>
        </w:rPr>
        <w:br/>
      </w:r>
      <w:r>
        <w:rPr>
          <w:rFonts w:hint="cs"/>
          <w:sz w:val="20"/>
          <w:szCs w:val="20"/>
          <w:rtl/>
        </w:rPr>
        <w:t xml:space="preserve">א. </w:t>
      </w:r>
      <w:r w:rsidRPr="00E021D6">
        <w:rPr>
          <w:rFonts w:hint="cs"/>
          <w:b/>
          <w:bCs/>
          <w:sz w:val="20"/>
          <w:szCs w:val="20"/>
          <w:rtl/>
        </w:rPr>
        <w:t>מגיד משנה</w:t>
      </w:r>
      <w:r>
        <w:rPr>
          <w:rFonts w:hint="cs"/>
          <w:sz w:val="20"/>
          <w:szCs w:val="20"/>
          <w:rtl/>
        </w:rPr>
        <w:t xml:space="preserve"> </w:t>
      </w:r>
      <w:r>
        <w:rPr>
          <w:sz w:val="20"/>
          <w:szCs w:val="20"/>
          <w:rtl/>
        </w:rPr>
        <w:t>–</w:t>
      </w:r>
      <w:r>
        <w:rPr>
          <w:rFonts w:hint="cs"/>
          <w:sz w:val="20"/>
          <w:szCs w:val="20"/>
          <w:rtl/>
        </w:rPr>
        <w:t xml:space="preserve"> טעמו של הרמב"ם הוא על פי הנאמר בברייתא בגמרא (נז:): "</w:t>
      </w:r>
      <w:r w:rsidRPr="00E021D6">
        <w:rPr>
          <w:rFonts w:cs="Arial"/>
          <w:sz w:val="20"/>
          <w:szCs w:val="20"/>
          <w:rtl/>
        </w:rPr>
        <w:t xml:space="preserve">על בשרה, ספק טמא ספק טהור </w:t>
      </w:r>
      <w:r>
        <w:rPr>
          <w:rFonts w:cs="Arial"/>
          <w:sz w:val="20"/>
          <w:szCs w:val="20"/>
          <w:rtl/>
        </w:rPr>
        <w:t>–</w:t>
      </w:r>
      <w:r w:rsidRPr="00E021D6">
        <w:rPr>
          <w:rFonts w:cs="Arial"/>
          <w:sz w:val="20"/>
          <w:szCs w:val="20"/>
          <w:rtl/>
        </w:rPr>
        <w:t xml:space="preserve"> טמא</w:t>
      </w:r>
      <w:r>
        <w:rPr>
          <w:rFonts w:cs="Arial" w:hint="cs"/>
          <w:sz w:val="20"/>
          <w:szCs w:val="20"/>
          <w:rtl/>
        </w:rPr>
        <w:t xml:space="preserve">". וסובר הרמב"ם שכל פחות מכשיעור ספקא הוא, וקמ"ל הברייתא </w:t>
      </w:r>
      <w:r>
        <w:rPr>
          <w:rFonts w:hint="cs"/>
          <w:sz w:val="20"/>
          <w:szCs w:val="20"/>
          <w:rtl/>
        </w:rPr>
        <w:t>שעל בשרה אפילו פחות מכשיעור טמא.</w:t>
      </w:r>
      <w:r>
        <w:rPr>
          <w:sz w:val="20"/>
          <w:szCs w:val="20"/>
          <w:rtl/>
        </w:rPr>
        <w:br/>
      </w:r>
      <w:r>
        <w:rPr>
          <w:rFonts w:hint="cs"/>
          <w:sz w:val="20"/>
          <w:szCs w:val="20"/>
          <w:rtl/>
        </w:rPr>
        <w:t xml:space="preserve">ב. </w:t>
      </w:r>
      <w:r w:rsidRPr="00E021D6">
        <w:rPr>
          <w:rFonts w:hint="cs"/>
          <w:b/>
          <w:bCs/>
          <w:sz w:val="20"/>
          <w:szCs w:val="20"/>
          <w:rtl/>
        </w:rPr>
        <w:t>הגהות מיימוני</w:t>
      </w:r>
      <w:r>
        <w:rPr>
          <w:rFonts w:hint="cs"/>
          <w:sz w:val="20"/>
          <w:szCs w:val="20"/>
          <w:rtl/>
        </w:rPr>
        <w:t xml:space="preserve"> </w:t>
      </w:r>
      <w:r>
        <w:rPr>
          <w:sz w:val="20"/>
          <w:szCs w:val="20"/>
          <w:rtl/>
        </w:rPr>
        <w:t>–</w:t>
      </w:r>
      <w:r>
        <w:rPr>
          <w:rFonts w:hint="cs"/>
          <w:sz w:val="20"/>
          <w:szCs w:val="20"/>
          <w:rtl/>
        </w:rPr>
        <w:t xml:space="preserve"> כל הגוף בדוק הוא אצל דם מאכולת, ולכן אין לתלות את הדם במאכולת אלא ודאי מגופה.</w:t>
      </w:r>
    </w:p>
    <w:p w:rsidR="00620060" w:rsidRDefault="00620060" w:rsidP="00620060">
      <w:pPr>
        <w:rPr>
          <w:sz w:val="20"/>
          <w:szCs w:val="20"/>
          <w:rtl/>
        </w:rPr>
      </w:pPr>
      <w:r>
        <w:rPr>
          <w:rFonts w:hint="cs"/>
          <w:sz w:val="20"/>
          <w:szCs w:val="20"/>
          <w:u w:val="single"/>
          <w:rtl/>
        </w:rPr>
        <w:t>קושייה על שיטת הרמב"ם</w:t>
      </w:r>
      <w:r>
        <w:rPr>
          <w:sz w:val="20"/>
          <w:szCs w:val="20"/>
          <w:u w:val="single"/>
          <w:rtl/>
        </w:rPr>
        <w:br/>
      </w:r>
      <w:r w:rsidRPr="00307310">
        <w:rPr>
          <w:rFonts w:hint="cs"/>
          <w:b/>
          <w:bCs/>
          <w:sz w:val="20"/>
          <w:szCs w:val="20"/>
          <w:rtl/>
        </w:rPr>
        <w:t>ראב"ד</w:t>
      </w:r>
      <w:r>
        <w:rPr>
          <w:rFonts w:hint="cs"/>
          <w:sz w:val="20"/>
          <w:szCs w:val="20"/>
          <w:rtl/>
        </w:rPr>
        <w:t xml:space="preserve"> </w:t>
      </w:r>
      <w:r>
        <w:rPr>
          <w:sz w:val="20"/>
          <w:szCs w:val="20"/>
          <w:rtl/>
        </w:rPr>
        <w:t>–</w:t>
      </w:r>
      <w:r>
        <w:rPr>
          <w:rFonts w:hint="cs"/>
          <w:sz w:val="20"/>
          <w:szCs w:val="20"/>
          <w:rtl/>
        </w:rPr>
        <w:t xml:space="preserve"> בגמרא הובאה בעיא של רבי ירמיה לגבי צורות שונות של כתמים הנמצאים על גופה: "</w:t>
      </w:r>
      <w:r w:rsidRPr="0001432C">
        <w:rPr>
          <w:rFonts w:cs="Arial"/>
          <w:sz w:val="20"/>
          <w:szCs w:val="20"/>
          <w:rtl/>
        </w:rPr>
        <w:t>בעי רבי ירמיה: כשיר מהו, כשורה מהו, טיפין טיפין מהו</w:t>
      </w:r>
      <w:r>
        <w:rPr>
          <w:rFonts w:hint="cs"/>
          <w:sz w:val="20"/>
          <w:szCs w:val="20"/>
          <w:rtl/>
        </w:rPr>
        <w:t>". משמע להדיא שאין כתם מטמא בכל שהוא, דאם כן מאי בעי רבי ירמיה? אלא על כורחך גם בבשרה יש שיעור לגודל הכתם ורבי ירמיה שאל האם צורות אלו מצטרפות!</w:t>
      </w:r>
    </w:p>
    <w:p w:rsidR="00620060" w:rsidRDefault="00620060" w:rsidP="00620060">
      <w:pPr>
        <w:rPr>
          <w:sz w:val="20"/>
          <w:szCs w:val="20"/>
          <w:rtl/>
        </w:rPr>
      </w:pPr>
      <w:r>
        <w:rPr>
          <w:rFonts w:hint="cs"/>
          <w:sz w:val="20"/>
          <w:szCs w:val="20"/>
          <w:u w:val="single"/>
          <w:rtl/>
        </w:rPr>
        <w:t>יישוב הקושייה</w:t>
      </w:r>
      <w:r>
        <w:rPr>
          <w:sz w:val="20"/>
          <w:szCs w:val="20"/>
          <w:u w:val="single"/>
          <w:rtl/>
        </w:rPr>
        <w:br/>
      </w:r>
      <w:r w:rsidRPr="0001432C">
        <w:rPr>
          <w:rFonts w:hint="cs"/>
          <w:b/>
          <w:bCs/>
          <w:sz w:val="20"/>
          <w:szCs w:val="20"/>
          <w:rtl/>
        </w:rPr>
        <w:t>מגיד משנה</w:t>
      </w:r>
      <w:r>
        <w:rPr>
          <w:rFonts w:hint="cs"/>
          <w:sz w:val="20"/>
          <w:szCs w:val="20"/>
          <w:rtl/>
        </w:rPr>
        <w:t xml:space="preserve"> </w:t>
      </w:r>
      <w:r>
        <w:rPr>
          <w:sz w:val="20"/>
          <w:szCs w:val="20"/>
          <w:rtl/>
        </w:rPr>
        <w:t>–</w:t>
      </w:r>
      <w:r>
        <w:rPr>
          <w:rFonts w:hint="cs"/>
          <w:sz w:val="20"/>
          <w:szCs w:val="20"/>
          <w:rtl/>
        </w:rPr>
        <w:t xml:space="preserve"> רבי ירמיה שאל האם צורת הכתם מוכיחה שהוא אינו מהמקור, אך השאלה לא היתה לעניין צירוף גודל הכתם, מכיוון שהוא על בשרה ומטמא אפילו בכל שהוא.</w:t>
      </w:r>
    </w:p>
    <w:p w:rsidR="00620060" w:rsidRDefault="00620060" w:rsidP="00620060">
      <w:pPr>
        <w:rPr>
          <w:sz w:val="20"/>
          <w:szCs w:val="20"/>
          <w:rtl/>
        </w:rPr>
      </w:pPr>
      <w:r>
        <w:rPr>
          <w:rFonts w:hint="cs"/>
          <w:b/>
          <w:bCs/>
          <w:sz w:val="20"/>
          <w:szCs w:val="20"/>
          <w:rtl/>
        </w:rPr>
        <w:lastRenderedPageBreak/>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84053C">
        <w:rPr>
          <w:rFonts w:cs="Arial"/>
          <w:sz w:val="20"/>
          <w:szCs w:val="20"/>
          <w:rtl/>
        </w:rPr>
        <w:t>הא דבעינן שיעורא, בין בכתם הנמצא על חלוקה בין בכתם הנמצא על בשרה. וי</w:t>
      </w:r>
      <w:r>
        <w:rPr>
          <w:rFonts w:cs="Arial" w:hint="cs"/>
          <w:sz w:val="20"/>
          <w:szCs w:val="20"/>
          <w:rtl/>
        </w:rPr>
        <w:t>ש אומרים</w:t>
      </w:r>
      <w:r w:rsidRPr="0084053C">
        <w:rPr>
          <w:rFonts w:cs="Arial"/>
          <w:sz w:val="20"/>
          <w:szCs w:val="20"/>
          <w:rtl/>
        </w:rPr>
        <w:t xml:space="preserve"> שלא אמרו אלא בכתם הנמצא על חלוקה, אבל כתם הנמצא על בשרה בלבד, במקומות שחוששין להם, אין לו שיעור</w:t>
      </w:r>
      <w:r>
        <w:rPr>
          <w:rFonts w:cs="Arial" w:hint="cs"/>
          <w:sz w:val="20"/>
          <w:szCs w:val="20"/>
          <w:rtl/>
        </w:rPr>
        <w:t>"</w:t>
      </w:r>
      <w:r w:rsidRPr="0084053C">
        <w:rPr>
          <w:rFonts w:cs="Arial"/>
          <w:sz w:val="20"/>
          <w:szCs w:val="20"/>
          <w:rtl/>
        </w:rPr>
        <w:t>.</w:t>
      </w:r>
    </w:p>
    <w:p w:rsidR="00620060" w:rsidRDefault="00620060" w:rsidP="00620060">
      <w:pPr>
        <w:rPr>
          <w:sz w:val="20"/>
          <w:szCs w:val="20"/>
          <w:rtl/>
        </w:rPr>
      </w:pPr>
      <w:r>
        <w:rPr>
          <w:rFonts w:hint="cs"/>
          <w:sz w:val="20"/>
          <w:szCs w:val="20"/>
          <w:u w:val="single"/>
          <w:rtl/>
        </w:rPr>
        <w:t>הכרעת האחרונים</w:t>
      </w:r>
      <w:r>
        <w:rPr>
          <w:sz w:val="20"/>
          <w:szCs w:val="20"/>
          <w:u w:val="single"/>
          <w:rtl/>
        </w:rPr>
        <w:br/>
      </w:r>
      <w:r>
        <w:rPr>
          <w:rFonts w:hint="cs"/>
          <w:sz w:val="20"/>
          <w:szCs w:val="20"/>
          <w:rtl/>
        </w:rPr>
        <w:t xml:space="preserve">א. </w:t>
      </w:r>
      <w:r w:rsidRPr="00EF227A">
        <w:rPr>
          <w:rFonts w:hint="cs"/>
          <w:b/>
          <w:bCs/>
          <w:sz w:val="20"/>
          <w:szCs w:val="20"/>
          <w:rtl/>
        </w:rPr>
        <w:t>ב"ח</w:t>
      </w:r>
      <w:r>
        <w:rPr>
          <w:rFonts w:hint="cs"/>
          <w:sz w:val="20"/>
          <w:szCs w:val="20"/>
          <w:rtl/>
        </w:rPr>
        <w:t xml:space="preserve"> </w:t>
      </w:r>
      <w:r>
        <w:rPr>
          <w:sz w:val="20"/>
          <w:szCs w:val="20"/>
          <w:rtl/>
        </w:rPr>
        <w:t>–</w:t>
      </w:r>
      <w:r>
        <w:rPr>
          <w:rFonts w:hint="cs"/>
          <w:sz w:val="20"/>
          <w:szCs w:val="20"/>
          <w:rtl/>
        </w:rPr>
        <w:t xml:space="preserve"> הלכה כרוב הראשונים להקל, וכן משמע מלשון המחבר שהביא את הרמב"ם בשם יש אומרים</w:t>
      </w:r>
      <w:r>
        <w:rPr>
          <w:rStyle w:val="a5"/>
          <w:sz w:val="20"/>
          <w:szCs w:val="20"/>
          <w:rtl/>
        </w:rPr>
        <w:footnoteReference w:id="264"/>
      </w:r>
      <w:r>
        <w:rPr>
          <w:rFonts w:hint="cs"/>
          <w:sz w:val="20"/>
          <w:szCs w:val="20"/>
          <w:rtl/>
        </w:rPr>
        <w:t>.</w:t>
      </w:r>
      <w:r>
        <w:rPr>
          <w:rFonts w:hint="cs"/>
          <w:sz w:val="20"/>
          <w:szCs w:val="20"/>
          <w:rtl/>
        </w:rPr>
        <w:br/>
        <w:t xml:space="preserve">ב. </w:t>
      </w:r>
      <w:r w:rsidRPr="00EF227A">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הלכה כרמב"ם, וכן מוכח בגמרא ועיין הערה.</w:t>
      </w:r>
      <w:r>
        <w:rPr>
          <w:rStyle w:val="a5"/>
          <w:sz w:val="20"/>
          <w:szCs w:val="20"/>
          <w:rtl/>
        </w:rPr>
        <w:footnoteReference w:id="265"/>
      </w:r>
    </w:p>
    <w:p w:rsidR="00620060" w:rsidRPr="006D4D77" w:rsidRDefault="00620060" w:rsidP="00620060">
      <w:pPr>
        <w:rPr>
          <w:sz w:val="20"/>
          <w:szCs w:val="20"/>
          <w:rtl/>
        </w:rPr>
      </w:pPr>
      <w:r>
        <w:rPr>
          <w:rFonts w:hint="cs"/>
          <w:sz w:val="20"/>
          <w:szCs w:val="20"/>
          <w:u w:val="single"/>
          <w:rtl/>
        </w:rPr>
        <w:t>הכרעת פוסקי זמנינו</w:t>
      </w:r>
      <w:r>
        <w:rPr>
          <w:sz w:val="20"/>
          <w:szCs w:val="20"/>
          <w:u w:val="single"/>
          <w:rtl/>
        </w:rPr>
        <w:br/>
      </w:r>
      <w:r>
        <w:rPr>
          <w:rFonts w:hint="cs"/>
          <w:sz w:val="20"/>
          <w:szCs w:val="20"/>
          <w:rtl/>
        </w:rPr>
        <w:t xml:space="preserve">א. </w:t>
      </w:r>
      <w:r w:rsidRPr="006D4D77">
        <w:rPr>
          <w:rFonts w:hint="cs"/>
          <w:b/>
          <w:bCs/>
          <w:sz w:val="20"/>
          <w:szCs w:val="20"/>
          <w:rtl/>
        </w:rPr>
        <w:t>שבט הלוי</w:t>
      </w:r>
      <w:r>
        <w:rPr>
          <w:rFonts w:hint="cs"/>
          <w:sz w:val="20"/>
          <w:szCs w:val="20"/>
          <w:rtl/>
        </w:rPr>
        <w:t xml:space="preserve"> </w:t>
      </w:r>
      <w:r>
        <w:rPr>
          <w:sz w:val="20"/>
          <w:szCs w:val="20"/>
          <w:rtl/>
        </w:rPr>
        <w:t>–</w:t>
      </w:r>
      <w:r>
        <w:rPr>
          <w:rFonts w:hint="cs"/>
          <w:sz w:val="20"/>
          <w:szCs w:val="20"/>
          <w:rtl/>
        </w:rPr>
        <w:t xml:space="preserve"> הלכה כרמב"ם, אך אם יש צירופים נוספים לקולא יש לסמוך על שאר הראשונים.</w:t>
      </w:r>
      <w:r>
        <w:rPr>
          <w:sz w:val="20"/>
          <w:szCs w:val="20"/>
          <w:rtl/>
        </w:rPr>
        <w:br/>
      </w:r>
      <w:r>
        <w:rPr>
          <w:rFonts w:hint="cs"/>
          <w:sz w:val="20"/>
          <w:szCs w:val="20"/>
          <w:rtl/>
        </w:rPr>
        <w:t xml:space="preserve">ב. </w:t>
      </w:r>
      <w:r w:rsidRPr="000C6372">
        <w:rPr>
          <w:rFonts w:hint="cs"/>
          <w:b/>
          <w:bCs/>
          <w:sz w:val="20"/>
          <w:szCs w:val="20"/>
          <w:rtl/>
        </w:rPr>
        <w:t>טהרת הבית</w:t>
      </w:r>
      <w:r>
        <w:rPr>
          <w:rFonts w:hint="cs"/>
          <w:sz w:val="20"/>
          <w:szCs w:val="20"/>
          <w:rtl/>
        </w:rPr>
        <w:t xml:space="preserve"> </w:t>
      </w:r>
      <w:r>
        <w:rPr>
          <w:sz w:val="20"/>
          <w:szCs w:val="20"/>
          <w:rtl/>
        </w:rPr>
        <w:t>–</w:t>
      </w:r>
      <w:r>
        <w:rPr>
          <w:rFonts w:hint="cs"/>
          <w:sz w:val="20"/>
          <w:szCs w:val="20"/>
          <w:rtl/>
        </w:rPr>
        <w:t xml:space="preserve"> הלכה כרוב הראשונים להקל.</w:t>
      </w:r>
    </w:p>
    <w:p w:rsidR="00620060" w:rsidRDefault="00620060" w:rsidP="00620060">
      <w:pPr>
        <w:rPr>
          <w:sz w:val="20"/>
          <w:szCs w:val="20"/>
          <w:rtl/>
        </w:rPr>
      </w:pPr>
      <w:r>
        <w:rPr>
          <w:rFonts w:hint="cs"/>
          <w:sz w:val="20"/>
          <w:szCs w:val="20"/>
          <w:u w:val="single"/>
          <w:rtl/>
        </w:rPr>
        <w:t>כתם שנמצא על בשרה וחלוקה כאחד לדעת הרמב"ם</w:t>
      </w:r>
      <w:r>
        <w:rPr>
          <w:sz w:val="20"/>
          <w:szCs w:val="20"/>
          <w:u w:val="single"/>
          <w:rtl/>
        </w:rPr>
        <w:br/>
      </w:r>
      <w:r>
        <w:rPr>
          <w:rFonts w:hint="cs"/>
          <w:sz w:val="20"/>
          <w:szCs w:val="20"/>
          <w:rtl/>
        </w:rPr>
        <w:t xml:space="preserve">א. </w:t>
      </w:r>
      <w:r w:rsidRPr="00E021D6">
        <w:rPr>
          <w:rFonts w:hint="cs"/>
          <w:b/>
          <w:bCs/>
          <w:sz w:val="20"/>
          <w:szCs w:val="20"/>
          <w:rtl/>
        </w:rPr>
        <w:t>בית יוסף</w:t>
      </w:r>
      <w:r>
        <w:rPr>
          <w:rFonts w:hint="cs"/>
          <w:sz w:val="20"/>
          <w:szCs w:val="20"/>
          <w:rtl/>
        </w:rPr>
        <w:t xml:space="preserve"> </w:t>
      </w:r>
      <w:r>
        <w:rPr>
          <w:sz w:val="20"/>
          <w:szCs w:val="20"/>
          <w:rtl/>
        </w:rPr>
        <w:t>–</w:t>
      </w:r>
      <w:r>
        <w:rPr>
          <w:rFonts w:hint="cs"/>
          <w:sz w:val="20"/>
          <w:szCs w:val="20"/>
          <w:rtl/>
        </w:rPr>
        <w:t xml:space="preserve"> חומרת הרמב"ם נאמרה רק בכתם שנמצא על בשרה בלבד, אך אם נמצא על בשרה וחלוקה כאחד </w:t>
      </w:r>
      <w:r>
        <w:rPr>
          <w:sz w:val="20"/>
          <w:szCs w:val="20"/>
          <w:rtl/>
        </w:rPr>
        <w:t>–</w:t>
      </w:r>
      <w:r>
        <w:rPr>
          <w:rFonts w:hint="cs"/>
          <w:sz w:val="20"/>
          <w:szCs w:val="20"/>
          <w:rtl/>
        </w:rPr>
        <w:t xml:space="preserve"> תולה בכל מה שיכולה לתלות.</w:t>
      </w:r>
      <w:r>
        <w:rPr>
          <w:sz w:val="20"/>
          <w:szCs w:val="20"/>
          <w:rtl/>
        </w:rPr>
        <w:br/>
      </w:r>
      <w:r>
        <w:rPr>
          <w:rFonts w:hint="cs"/>
          <w:sz w:val="20"/>
          <w:szCs w:val="20"/>
          <w:rtl/>
        </w:rPr>
        <w:t xml:space="preserve">ב. </w:t>
      </w:r>
      <w:r w:rsidRPr="00B44896">
        <w:rPr>
          <w:rFonts w:hint="cs"/>
          <w:b/>
          <w:bCs/>
          <w:sz w:val="20"/>
          <w:szCs w:val="20"/>
          <w:rtl/>
        </w:rPr>
        <w:t>חוות דעת</w:t>
      </w:r>
      <w:r>
        <w:rPr>
          <w:rFonts w:hint="cs"/>
          <w:sz w:val="20"/>
          <w:szCs w:val="20"/>
          <w:rtl/>
        </w:rPr>
        <w:t xml:space="preserve"> </w:t>
      </w:r>
      <w:r>
        <w:rPr>
          <w:sz w:val="20"/>
          <w:szCs w:val="20"/>
          <w:rtl/>
        </w:rPr>
        <w:t>–</w:t>
      </w:r>
      <w:r>
        <w:rPr>
          <w:rFonts w:hint="cs"/>
          <w:sz w:val="20"/>
          <w:szCs w:val="20"/>
          <w:rtl/>
        </w:rPr>
        <w:t xml:space="preserve"> חומרת הרמב"ם נאמרה אפילו בכתם שנמצא על חלוקה ובשרה כאחד.</w:t>
      </w:r>
    </w:p>
    <w:p w:rsidR="00620060"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1</w:t>
      </w:r>
      <w:r w:rsidRPr="00D20C96">
        <w:rPr>
          <w:rFonts w:hint="cs"/>
          <w:sz w:val="20"/>
          <w:szCs w:val="20"/>
          <w:rtl/>
        </w:rPr>
        <w:t xml:space="preserve">. כתם שנמצא על בשרה. </w:t>
      </w:r>
      <w:r w:rsidRPr="00D20C96">
        <w:rPr>
          <w:rFonts w:hint="cs"/>
          <w:b/>
          <w:bCs/>
          <w:sz w:val="20"/>
          <w:szCs w:val="20"/>
          <w:rtl/>
        </w:rPr>
        <w:t>ראב"ד</w:t>
      </w:r>
      <w:r w:rsidRPr="00D20C96">
        <w:rPr>
          <w:rFonts w:hint="cs"/>
          <w:sz w:val="20"/>
          <w:szCs w:val="20"/>
          <w:rtl/>
        </w:rPr>
        <w:t xml:space="preserve">. טמא בכגריס ועוד, ככל כתם. </w:t>
      </w:r>
      <w:r w:rsidRPr="00D20C96">
        <w:rPr>
          <w:rFonts w:hint="cs"/>
          <w:b/>
          <w:bCs/>
          <w:sz w:val="20"/>
          <w:szCs w:val="20"/>
          <w:rtl/>
        </w:rPr>
        <w:t>רמב"ם</w:t>
      </w:r>
      <w:r w:rsidRPr="00D20C96">
        <w:rPr>
          <w:rFonts w:hint="cs"/>
          <w:sz w:val="20"/>
          <w:szCs w:val="20"/>
          <w:rtl/>
        </w:rPr>
        <w:t>. טמא בכל שהוא.</w:t>
      </w:r>
      <w:r w:rsidRPr="00D20C96">
        <w:rPr>
          <w:sz w:val="20"/>
          <w:szCs w:val="20"/>
          <w:rtl/>
        </w:rPr>
        <w:br/>
      </w:r>
      <w:r w:rsidRPr="00D20C96">
        <w:rPr>
          <w:rFonts w:hint="cs"/>
          <w:sz w:val="20"/>
          <w:szCs w:val="20"/>
          <w:rtl/>
        </w:rPr>
        <w:t xml:space="preserve">2. טעם הרמב"ם. </w:t>
      </w:r>
      <w:r>
        <w:rPr>
          <w:rFonts w:hint="cs"/>
          <w:sz w:val="20"/>
          <w:szCs w:val="20"/>
          <w:rtl/>
        </w:rPr>
        <w:t xml:space="preserve">א. </w:t>
      </w:r>
      <w:r w:rsidRPr="00D20C96">
        <w:rPr>
          <w:rFonts w:hint="cs"/>
          <w:b/>
          <w:bCs/>
          <w:sz w:val="20"/>
          <w:szCs w:val="20"/>
          <w:rtl/>
        </w:rPr>
        <w:t>מגיד משנה</w:t>
      </w:r>
      <w:r w:rsidRPr="00D20C96">
        <w:rPr>
          <w:rFonts w:hint="cs"/>
          <w:sz w:val="20"/>
          <w:szCs w:val="20"/>
          <w:rtl/>
        </w:rPr>
        <w:t xml:space="preserve">. "על בשרה ספק טמא". </w:t>
      </w:r>
      <w:r>
        <w:rPr>
          <w:rFonts w:hint="cs"/>
          <w:sz w:val="20"/>
          <w:szCs w:val="20"/>
          <w:rtl/>
        </w:rPr>
        <w:t xml:space="preserve">ב. </w:t>
      </w:r>
      <w:r w:rsidRPr="00D20C96">
        <w:rPr>
          <w:rFonts w:hint="cs"/>
          <w:b/>
          <w:bCs/>
          <w:sz w:val="20"/>
          <w:szCs w:val="20"/>
          <w:rtl/>
        </w:rPr>
        <w:t>הגה"מ</w:t>
      </w:r>
      <w:r w:rsidRPr="00D20C96">
        <w:rPr>
          <w:rFonts w:hint="cs"/>
          <w:sz w:val="20"/>
          <w:szCs w:val="20"/>
          <w:rtl/>
        </w:rPr>
        <w:t>. הגוף בדוק מדם מאכולת.</w:t>
      </w:r>
      <w:r w:rsidRPr="00D20C96">
        <w:rPr>
          <w:sz w:val="20"/>
          <w:szCs w:val="20"/>
          <w:rtl/>
        </w:rPr>
        <w:br/>
      </w:r>
      <w:r w:rsidRPr="00D20C96">
        <w:rPr>
          <w:rFonts w:hint="cs"/>
          <w:sz w:val="20"/>
          <w:szCs w:val="20"/>
          <w:rtl/>
        </w:rPr>
        <w:t xml:space="preserve">3. </w:t>
      </w:r>
      <w:r w:rsidRPr="00D20C96">
        <w:rPr>
          <w:rFonts w:hint="cs"/>
          <w:b/>
          <w:bCs/>
          <w:sz w:val="20"/>
          <w:szCs w:val="20"/>
          <w:rtl/>
        </w:rPr>
        <w:t>ראב"ד</w:t>
      </w:r>
      <w:r w:rsidRPr="00D20C96">
        <w:rPr>
          <w:rFonts w:hint="cs"/>
          <w:sz w:val="20"/>
          <w:szCs w:val="20"/>
          <w:rtl/>
        </w:rPr>
        <w:t xml:space="preserve">. בבעיא של רבי ירמיה משמע שגם על בשרה צריך צירוף לטמא! </w:t>
      </w:r>
      <w:r w:rsidRPr="00D20C96">
        <w:rPr>
          <w:rFonts w:hint="cs"/>
          <w:b/>
          <w:bCs/>
          <w:sz w:val="20"/>
          <w:szCs w:val="20"/>
          <w:rtl/>
        </w:rPr>
        <w:t>מגיד משנה</w:t>
      </w:r>
      <w:r w:rsidRPr="00D20C96">
        <w:rPr>
          <w:rFonts w:hint="cs"/>
          <w:sz w:val="20"/>
          <w:szCs w:val="20"/>
          <w:rtl/>
        </w:rPr>
        <w:t>. הבעיא היתה האם צורת הכתם מוכיחה שהוא דם מקור.</w:t>
      </w:r>
      <w:r w:rsidRPr="00D20C96">
        <w:rPr>
          <w:sz w:val="20"/>
          <w:szCs w:val="20"/>
          <w:rtl/>
        </w:rPr>
        <w:br/>
      </w:r>
      <w:r w:rsidRPr="00D20C96">
        <w:rPr>
          <w:rFonts w:hint="cs"/>
          <w:sz w:val="20"/>
          <w:szCs w:val="20"/>
          <w:rtl/>
        </w:rPr>
        <w:t xml:space="preserve">4. </w:t>
      </w:r>
      <w:r w:rsidRPr="00D20C96">
        <w:rPr>
          <w:rFonts w:hint="cs"/>
          <w:b/>
          <w:bCs/>
          <w:sz w:val="20"/>
          <w:szCs w:val="20"/>
          <w:rtl/>
        </w:rPr>
        <w:t>מחבר</w:t>
      </w:r>
      <w:r w:rsidRPr="00D20C96">
        <w:rPr>
          <w:rFonts w:hint="cs"/>
          <w:sz w:val="20"/>
          <w:szCs w:val="20"/>
          <w:rtl/>
        </w:rPr>
        <w:t>. הביא את דעת הראשונים בסתם ואת הרמב"ם בשם יש אומרים.</w:t>
      </w:r>
      <w:r w:rsidRPr="00D20C96">
        <w:rPr>
          <w:sz w:val="20"/>
          <w:szCs w:val="20"/>
          <w:rtl/>
        </w:rPr>
        <w:br/>
      </w:r>
      <w:r w:rsidRPr="00D20C96">
        <w:rPr>
          <w:rFonts w:hint="cs"/>
          <w:sz w:val="20"/>
          <w:szCs w:val="20"/>
          <w:rtl/>
        </w:rPr>
        <w:t xml:space="preserve">5. </w:t>
      </w:r>
      <w:r w:rsidRPr="00D20C96">
        <w:rPr>
          <w:rFonts w:hint="cs"/>
          <w:b/>
          <w:bCs/>
          <w:sz w:val="20"/>
          <w:szCs w:val="20"/>
          <w:rtl/>
        </w:rPr>
        <w:t>ב"ח</w:t>
      </w:r>
      <w:r w:rsidRPr="00D20C96">
        <w:rPr>
          <w:rFonts w:hint="cs"/>
          <w:sz w:val="20"/>
          <w:szCs w:val="20"/>
          <w:rtl/>
        </w:rPr>
        <w:t xml:space="preserve">. הלכה כמקלים. </w:t>
      </w:r>
      <w:r w:rsidRPr="00D20C96">
        <w:rPr>
          <w:rFonts w:hint="cs"/>
          <w:b/>
          <w:bCs/>
          <w:sz w:val="20"/>
          <w:szCs w:val="20"/>
          <w:rtl/>
        </w:rPr>
        <w:t>ש"ך</w:t>
      </w:r>
      <w:r w:rsidRPr="00D20C96">
        <w:rPr>
          <w:rFonts w:hint="cs"/>
          <w:sz w:val="20"/>
          <w:szCs w:val="20"/>
          <w:rtl/>
        </w:rPr>
        <w:t>. הלכה כרמב"ם להחמיר.</w:t>
      </w:r>
      <w:r w:rsidRPr="00D20C96">
        <w:rPr>
          <w:sz w:val="20"/>
          <w:szCs w:val="20"/>
          <w:rtl/>
        </w:rPr>
        <w:br/>
      </w:r>
      <w:r w:rsidRPr="00D20C96">
        <w:rPr>
          <w:rFonts w:hint="cs"/>
          <w:sz w:val="20"/>
          <w:szCs w:val="20"/>
          <w:rtl/>
        </w:rPr>
        <w:t xml:space="preserve">6. </w:t>
      </w:r>
      <w:r w:rsidRPr="00D20C96">
        <w:rPr>
          <w:rFonts w:hint="cs"/>
          <w:b/>
          <w:bCs/>
          <w:sz w:val="20"/>
          <w:szCs w:val="20"/>
          <w:rtl/>
        </w:rPr>
        <w:t>ששבה"ל</w:t>
      </w:r>
      <w:r w:rsidRPr="00D20C96">
        <w:rPr>
          <w:rFonts w:hint="cs"/>
          <w:sz w:val="20"/>
          <w:szCs w:val="20"/>
          <w:rtl/>
        </w:rPr>
        <w:t xml:space="preserve">. הלכה כרמב"ם, ובמקום שיש סברה נוספת לקולא ניתן להקל. </w:t>
      </w:r>
      <w:r w:rsidRPr="00D20C96">
        <w:rPr>
          <w:rFonts w:hint="cs"/>
          <w:b/>
          <w:bCs/>
          <w:sz w:val="20"/>
          <w:szCs w:val="20"/>
          <w:rtl/>
        </w:rPr>
        <w:t>טה"ב</w:t>
      </w:r>
      <w:r w:rsidRPr="00D20C96">
        <w:rPr>
          <w:rFonts w:hint="cs"/>
          <w:sz w:val="20"/>
          <w:szCs w:val="20"/>
          <w:rtl/>
        </w:rPr>
        <w:t>. הלכה כשאר הראשונים.</w:t>
      </w:r>
      <w:r w:rsidRPr="00D20C96">
        <w:rPr>
          <w:sz w:val="20"/>
          <w:szCs w:val="20"/>
          <w:rtl/>
        </w:rPr>
        <w:br/>
      </w:r>
      <w:r w:rsidRPr="00D20C96">
        <w:rPr>
          <w:rFonts w:hint="cs"/>
          <w:sz w:val="20"/>
          <w:szCs w:val="20"/>
          <w:rtl/>
        </w:rPr>
        <w:t xml:space="preserve">7. כתם הנמצא על חלוקה ובשרה כאחד לרמב"ם. </w:t>
      </w:r>
      <w:r w:rsidRPr="00D20C96">
        <w:rPr>
          <w:rFonts w:hint="cs"/>
          <w:b/>
          <w:bCs/>
          <w:sz w:val="20"/>
          <w:szCs w:val="20"/>
          <w:rtl/>
        </w:rPr>
        <w:t>ב"י</w:t>
      </w:r>
      <w:r w:rsidRPr="00D20C96">
        <w:rPr>
          <w:rFonts w:hint="cs"/>
          <w:sz w:val="20"/>
          <w:szCs w:val="20"/>
          <w:rtl/>
        </w:rPr>
        <w:t xml:space="preserve">. טהור. </w:t>
      </w:r>
      <w:r w:rsidRPr="00D20C96">
        <w:rPr>
          <w:rFonts w:hint="cs"/>
          <w:b/>
          <w:bCs/>
          <w:sz w:val="20"/>
          <w:szCs w:val="20"/>
          <w:rtl/>
        </w:rPr>
        <w:t>חוו"ד</w:t>
      </w:r>
      <w:r w:rsidRPr="00D20C96">
        <w:rPr>
          <w:rFonts w:hint="cs"/>
          <w:sz w:val="20"/>
          <w:szCs w:val="20"/>
          <w:rtl/>
        </w:rPr>
        <w:t>. טמא.</w:t>
      </w:r>
    </w:p>
    <w:p w:rsidR="00620060" w:rsidRDefault="00620060" w:rsidP="00620060">
      <w:pPr>
        <w:rPr>
          <w:sz w:val="20"/>
          <w:szCs w:val="20"/>
          <w:rtl/>
        </w:rPr>
      </w:pPr>
      <w:r>
        <w:rPr>
          <w:sz w:val="20"/>
          <w:szCs w:val="20"/>
          <w:rtl/>
        </w:rPr>
        <w:br/>
      </w:r>
      <w:r>
        <w:rPr>
          <w:rFonts w:hint="cs"/>
          <w:b/>
          <w:bCs/>
          <w:sz w:val="20"/>
          <w:szCs w:val="20"/>
          <w:rtl/>
        </w:rPr>
        <w:t xml:space="preserve">סעיף ז </w:t>
      </w:r>
      <w:r>
        <w:rPr>
          <w:b/>
          <w:bCs/>
          <w:sz w:val="20"/>
          <w:szCs w:val="20"/>
          <w:rtl/>
        </w:rPr>
        <w:t>–</w:t>
      </w:r>
      <w:r>
        <w:rPr>
          <w:rFonts w:hint="cs"/>
          <w:b/>
          <w:bCs/>
          <w:sz w:val="20"/>
          <w:szCs w:val="20"/>
          <w:rtl/>
        </w:rPr>
        <w:t xml:space="preserve"> תליית כתם בפשפש</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גמרא </w:t>
      </w:r>
      <w:r>
        <w:rPr>
          <w:rFonts w:hint="cs"/>
          <w:sz w:val="20"/>
          <w:szCs w:val="20"/>
          <w:rtl/>
        </w:rPr>
        <w:t>נידה (נח:) "</w:t>
      </w:r>
      <w:r w:rsidRPr="00FB2FB1">
        <w:rPr>
          <w:rFonts w:cs="Arial"/>
          <w:sz w:val="20"/>
          <w:szCs w:val="20"/>
          <w:rtl/>
        </w:rPr>
        <w:t>תניא, הרגה. תולה, לא הרגה - אינה תולה - דברי רשב"ג, וחכ</w:t>
      </w:r>
      <w:r>
        <w:rPr>
          <w:rFonts w:cs="Arial" w:hint="cs"/>
          <w:sz w:val="20"/>
          <w:szCs w:val="20"/>
          <w:rtl/>
        </w:rPr>
        <w:t xml:space="preserve">מים </w:t>
      </w:r>
      <w:r w:rsidRPr="00FB2FB1">
        <w:rPr>
          <w:rFonts w:cs="Arial"/>
          <w:sz w:val="20"/>
          <w:szCs w:val="20"/>
          <w:rtl/>
        </w:rPr>
        <w:t>א</w:t>
      </w:r>
      <w:r>
        <w:rPr>
          <w:rFonts w:cs="Arial" w:hint="cs"/>
          <w:sz w:val="20"/>
          <w:szCs w:val="20"/>
          <w:rtl/>
        </w:rPr>
        <w:t>ומרים</w:t>
      </w:r>
      <w:r w:rsidRPr="00FB2FB1">
        <w:rPr>
          <w:rFonts w:cs="Arial"/>
          <w:sz w:val="20"/>
          <w:szCs w:val="20"/>
          <w:rtl/>
        </w:rPr>
        <w:t>: בין כך ובין כך - תולה. אמר רשב"ג: לדברי אין קץ, ולדברי חברי אין סוף. לדברי אין קץ - שאין לך אשה שטהורה לבעלה, שאין לך כל מטה ומטה שאין בה כמה טיפי דם מאכולת. לדברי חברי אין סוף - שאין לך אשה שאינה טהורה לבעלה, שאין לך כל סדין וסדין שאין בו כמה טיפי דם. אבל נראין דברי ר</w:t>
      </w:r>
      <w:r>
        <w:rPr>
          <w:rFonts w:cs="Arial" w:hint="cs"/>
          <w:sz w:val="20"/>
          <w:szCs w:val="20"/>
          <w:rtl/>
        </w:rPr>
        <w:t xml:space="preserve">בי </w:t>
      </w:r>
      <w:r w:rsidRPr="00FB2FB1">
        <w:rPr>
          <w:rFonts w:cs="Arial"/>
          <w:sz w:val="20"/>
          <w:szCs w:val="20"/>
          <w:rtl/>
        </w:rPr>
        <w:t>חנינא בן אנטיגנוס מדברי ומדבריהם, שהיה אומר: עד כמה היא תולה - עד כגריס של פול, ולדבריו אנו מודים. ולרבנן דאמרי תולה, עד כמה? אמר ר</w:t>
      </w:r>
      <w:r>
        <w:rPr>
          <w:rFonts w:cs="Arial" w:hint="cs"/>
          <w:sz w:val="20"/>
          <w:szCs w:val="20"/>
          <w:rtl/>
        </w:rPr>
        <w:t xml:space="preserve">ב </w:t>
      </w:r>
      <w:r w:rsidRPr="00FB2FB1">
        <w:rPr>
          <w:rFonts w:cs="Arial"/>
          <w:sz w:val="20"/>
          <w:szCs w:val="20"/>
          <w:rtl/>
        </w:rPr>
        <w:t>נ</w:t>
      </w:r>
      <w:r>
        <w:rPr>
          <w:rFonts w:cs="Arial" w:hint="cs"/>
          <w:sz w:val="20"/>
          <w:szCs w:val="20"/>
          <w:rtl/>
        </w:rPr>
        <w:t>חמן</w:t>
      </w:r>
      <w:r w:rsidRPr="00FB2FB1">
        <w:rPr>
          <w:rFonts w:cs="Arial"/>
          <w:sz w:val="20"/>
          <w:szCs w:val="20"/>
          <w:rtl/>
        </w:rPr>
        <w:t xml:space="preserve"> בר יצחק: תולה בפשפש - ועד כתורמוס</w:t>
      </w:r>
      <w:r>
        <w:rPr>
          <w:rFonts w:hint="cs"/>
          <w:sz w:val="20"/>
          <w:szCs w:val="20"/>
          <w:rtl/>
        </w:rPr>
        <w:t>".</w:t>
      </w:r>
    </w:p>
    <w:p w:rsidR="00620060" w:rsidRDefault="00620060" w:rsidP="00620060">
      <w:pPr>
        <w:rPr>
          <w:sz w:val="20"/>
          <w:szCs w:val="20"/>
          <w:rtl/>
        </w:rPr>
      </w:pPr>
      <w:r w:rsidRPr="00FB2FB1">
        <w:rPr>
          <w:rFonts w:hint="cs"/>
          <w:sz w:val="20"/>
          <w:szCs w:val="20"/>
          <w:u w:val="single"/>
          <w:rtl/>
        </w:rPr>
        <w:t>סיכום הדעות</w:t>
      </w:r>
      <w:r>
        <w:rPr>
          <w:rFonts w:hint="cs"/>
          <w:sz w:val="20"/>
          <w:szCs w:val="20"/>
          <w:u w:val="single"/>
          <w:rtl/>
        </w:rPr>
        <w:br/>
      </w:r>
      <w:r>
        <w:rPr>
          <w:rFonts w:hint="cs"/>
          <w:sz w:val="20"/>
          <w:szCs w:val="20"/>
          <w:rtl/>
        </w:rPr>
        <w:t xml:space="preserve">א. רשב"ג </w:t>
      </w:r>
      <w:r>
        <w:rPr>
          <w:sz w:val="20"/>
          <w:szCs w:val="20"/>
          <w:rtl/>
        </w:rPr>
        <w:t>–</w:t>
      </w:r>
      <w:r>
        <w:rPr>
          <w:rFonts w:hint="cs"/>
          <w:sz w:val="20"/>
          <w:szCs w:val="20"/>
          <w:rtl/>
        </w:rPr>
        <w:t xml:space="preserve"> הרגה </w:t>
      </w:r>
      <w:r>
        <w:rPr>
          <w:sz w:val="20"/>
          <w:szCs w:val="20"/>
          <w:rtl/>
        </w:rPr>
        <w:t>–</w:t>
      </w:r>
      <w:r>
        <w:rPr>
          <w:rFonts w:hint="cs"/>
          <w:sz w:val="20"/>
          <w:szCs w:val="20"/>
          <w:rtl/>
        </w:rPr>
        <w:t xml:space="preserve"> תולה, לא הרגה </w:t>
      </w:r>
      <w:r>
        <w:rPr>
          <w:sz w:val="20"/>
          <w:szCs w:val="20"/>
          <w:rtl/>
        </w:rPr>
        <w:t>–</w:t>
      </w:r>
      <w:r>
        <w:rPr>
          <w:rFonts w:hint="cs"/>
          <w:sz w:val="20"/>
          <w:szCs w:val="20"/>
          <w:rtl/>
        </w:rPr>
        <w:t xml:space="preserve"> אינה תולה וטמאה אפילו בטיפת דם כחרדל.</w:t>
      </w:r>
      <w:r>
        <w:rPr>
          <w:sz w:val="20"/>
          <w:szCs w:val="20"/>
          <w:rtl/>
        </w:rPr>
        <w:br/>
      </w:r>
      <w:r>
        <w:rPr>
          <w:rFonts w:hint="cs"/>
          <w:sz w:val="20"/>
          <w:szCs w:val="20"/>
          <w:rtl/>
        </w:rPr>
        <w:t xml:space="preserve">ב. חכמים </w:t>
      </w:r>
      <w:r>
        <w:rPr>
          <w:sz w:val="20"/>
          <w:szCs w:val="20"/>
          <w:rtl/>
        </w:rPr>
        <w:t>–</w:t>
      </w:r>
      <w:r>
        <w:rPr>
          <w:rFonts w:hint="cs"/>
          <w:sz w:val="20"/>
          <w:szCs w:val="20"/>
          <w:rtl/>
        </w:rPr>
        <w:t xml:space="preserve"> אפילו לא הרגה תולה עד כתורמוס.</w:t>
      </w:r>
      <w:r>
        <w:rPr>
          <w:sz w:val="20"/>
          <w:szCs w:val="20"/>
          <w:rtl/>
        </w:rPr>
        <w:br/>
      </w:r>
      <w:r>
        <w:rPr>
          <w:rFonts w:hint="cs"/>
          <w:sz w:val="20"/>
          <w:szCs w:val="20"/>
          <w:rtl/>
        </w:rPr>
        <w:t xml:space="preserve">ג. רבי חנינא </w:t>
      </w:r>
      <w:r>
        <w:rPr>
          <w:sz w:val="20"/>
          <w:szCs w:val="20"/>
          <w:rtl/>
        </w:rPr>
        <w:t>–</w:t>
      </w:r>
      <w:r>
        <w:rPr>
          <w:rFonts w:hint="cs"/>
          <w:sz w:val="20"/>
          <w:szCs w:val="20"/>
          <w:rtl/>
        </w:rPr>
        <w:t xml:space="preserve"> אפילו לא הרגה תולה עד כגריס, וכן הלכה.</w:t>
      </w:r>
    </w:p>
    <w:p w:rsidR="00620060" w:rsidRDefault="00620060" w:rsidP="00620060">
      <w:pPr>
        <w:rPr>
          <w:sz w:val="20"/>
          <w:szCs w:val="20"/>
          <w:rtl/>
        </w:rPr>
      </w:pPr>
      <w:r>
        <w:rPr>
          <w:rFonts w:hint="cs"/>
          <w:b/>
          <w:bCs/>
          <w:sz w:val="20"/>
          <w:szCs w:val="20"/>
          <w:rtl/>
        </w:rPr>
        <w:t>תלייה בפשפש - שיטות הראשונים</w:t>
      </w:r>
      <w:r>
        <w:rPr>
          <w:b/>
          <w:bCs/>
          <w:sz w:val="20"/>
          <w:szCs w:val="20"/>
          <w:rtl/>
        </w:rPr>
        <w:br/>
      </w:r>
      <w:r>
        <w:rPr>
          <w:rFonts w:hint="cs"/>
          <w:sz w:val="20"/>
          <w:szCs w:val="20"/>
          <w:rtl/>
        </w:rPr>
        <w:t xml:space="preserve">א. </w:t>
      </w:r>
      <w:r w:rsidRPr="00527E48">
        <w:rPr>
          <w:rFonts w:hint="cs"/>
          <w:b/>
          <w:bCs/>
          <w:sz w:val="20"/>
          <w:szCs w:val="20"/>
          <w:rtl/>
        </w:rPr>
        <w:t>רא"ש</w:t>
      </w:r>
      <w:r>
        <w:rPr>
          <w:rFonts w:hint="cs"/>
          <w:sz w:val="20"/>
          <w:szCs w:val="20"/>
          <w:rtl/>
        </w:rPr>
        <w:t xml:space="preserve"> </w:t>
      </w:r>
      <w:r>
        <w:rPr>
          <w:sz w:val="20"/>
          <w:szCs w:val="20"/>
          <w:rtl/>
        </w:rPr>
        <w:t>–</w:t>
      </w:r>
      <w:r>
        <w:rPr>
          <w:rFonts w:hint="cs"/>
          <w:sz w:val="20"/>
          <w:szCs w:val="20"/>
          <w:rtl/>
        </w:rPr>
        <w:t xml:space="preserve"> אע"פ שאין הלכה כחכמים, אם </w:t>
      </w:r>
      <w:r w:rsidRPr="00B26410">
        <w:rPr>
          <w:rFonts w:hint="cs"/>
          <w:sz w:val="20"/>
          <w:szCs w:val="20"/>
          <w:u w:val="single"/>
          <w:rtl/>
        </w:rPr>
        <w:t>הרגה</w:t>
      </w:r>
      <w:r>
        <w:rPr>
          <w:rFonts w:hint="cs"/>
          <w:sz w:val="20"/>
          <w:szCs w:val="20"/>
          <w:rtl/>
        </w:rPr>
        <w:t xml:space="preserve"> פשפש או </w:t>
      </w:r>
      <w:r w:rsidRPr="00B26410">
        <w:rPr>
          <w:rFonts w:hint="cs"/>
          <w:sz w:val="20"/>
          <w:szCs w:val="20"/>
          <w:u w:val="single"/>
          <w:rtl/>
        </w:rPr>
        <w:t>הריחה ריחו</w:t>
      </w:r>
      <w:r>
        <w:rPr>
          <w:rFonts w:hint="cs"/>
          <w:sz w:val="20"/>
          <w:szCs w:val="20"/>
          <w:rtl/>
        </w:rPr>
        <w:t xml:space="preserve"> תולה בו עד כתורמוס, וכ"פ </w:t>
      </w:r>
      <w:r w:rsidRPr="00A0080F">
        <w:rPr>
          <w:rFonts w:hint="cs"/>
          <w:b/>
          <w:bCs/>
          <w:sz w:val="20"/>
          <w:szCs w:val="20"/>
          <w:rtl/>
        </w:rPr>
        <w:lastRenderedPageBreak/>
        <w:t>המחבר</w:t>
      </w:r>
      <w:r>
        <w:rPr>
          <w:rFonts w:hint="cs"/>
          <w:sz w:val="20"/>
          <w:szCs w:val="20"/>
          <w:rtl/>
        </w:rPr>
        <w:t>.</w:t>
      </w:r>
      <w:r>
        <w:rPr>
          <w:rStyle w:val="a5"/>
          <w:sz w:val="20"/>
          <w:szCs w:val="20"/>
          <w:rtl/>
        </w:rPr>
        <w:footnoteReference w:id="266"/>
      </w:r>
      <w:r>
        <w:rPr>
          <w:rFonts w:hint="cs"/>
          <w:sz w:val="20"/>
          <w:szCs w:val="20"/>
          <w:rtl/>
        </w:rPr>
        <w:br/>
        <w:t xml:space="preserve">ב. </w:t>
      </w:r>
      <w:r w:rsidRPr="00527E48">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במקומות שהפשפש </w:t>
      </w:r>
      <w:r w:rsidRPr="00B26410">
        <w:rPr>
          <w:rFonts w:hint="cs"/>
          <w:sz w:val="20"/>
          <w:szCs w:val="20"/>
          <w:u w:val="single"/>
          <w:rtl/>
        </w:rPr>
        <w:t>מצוי</w:t>
      </w:r>
      <w:r>
        <w:rPr>
          <w:rFonts w:hint="cs"/>
          <w:sz w:val="20"/>
          <w:szCs w:val="20"/>
          <w:rtl/>
        </w:rPr>
        <w:t xml:space="preserve">, אפילו לא הרגה תולה בו את הכתם עד כתורמוס, וכ"פ </w:t>
      </w:r>
      <w:r w:rsidRPr="00A0080F">
        <w:rPr>
          <w:rFonts w:hint="cs"/>
          <w:b/>
          <w:bCs/>
          <w:sz w:val="20"/>
          <w:szCs w:val="20"/>
          <w:rtl/>
        </w:rPr>
        <w:t>הט"ז והש"ך</w:t>
      </w:r>
      <w:r>
        <w:rPr>
          <w:rFonts w:hint="cs"/>
          <w:sz w:val="20"/>
          <w:szCs w:val="20"/>
          <w:rtl/>
        </w:rPr>
        <w:t>.</w:t>
      </w:r>
      <w:r>
        <w:rPr>
          <w:rStyle w:val="a5"/>
          <w:sz w:val="20"/>
          <w:szCs w:val="20"/>
          <w:rtl/>
        </w:rPr>
        <w:footnoteReference w:id="267"/>
      </w:r>
      <w:r>
        <w:rPr>
          <w:sz w:val="20"/>
          <w:szCs w:val="20"/>
          <w:rtl/>
        </w:rPr>
        <w:br/>
      </w:r>
      <w:r>
        <w:rPr>
          <w:rFonts w:hint="cs"/>
          <w:sz w:val="20"/>
          <w:szCs w:val="20"/>
          <w:rtl/>
        </w:rPr>
        <w:t xml:space="preserve">ואמנם, </w:t>
      </w:r>
      <w:r w:rsidRPr="00B26410">
        <w:rPr>
          <w:rFonts w:hint="cs"/>
          <w:b/>
          <w:bCs/>
          <w:sz w:val="20"/>
          <w:szCs w:val="20"/>
          <w:rtl/>
        </w:rPr>
        <w:t>הבית יוסף</w:t>
      </w:r>
      <w:r>
        <w:rPr>
          <w:rFonts w:hint="cs"/>
          <w:sz w:val="20"/>
          <w:szCs w:val="20"/>
          <w:rtl/>
        </w:rPr>
        <w:t xml:space="preserve"> מסתפק ואומר שייתכן שגם הרא"ש מודה בכה"ג, ועיין הערה.</w:t>
      </w:r>
      <w:r>
        <w:rPr>
          <w:rStyle w:val="a5"/>
          <w:sz w:val="20"/>
          <w:szCs w:val="20"/>
          <w:rtl/>
        </w:rPr>
        <w:footnoteReference w:id="268"/>
      </w:r>
      <w:r>
        <w:rPr>
          <w:rFonts w:hint="cs"/>
          <w:sz w:val="20"/>
          <w:szCs w:val="20"/>
          <w:rtl/>
        </w:rPr>
        <w:br/>
        <w:t xml:space="preserve">ג. </w:t>
      </w:r>
      <w:r w:rsidRPr="00D85F1D">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לא הזכיר דין תלייה בפשפש.</w:t>
      </w:r>
      <w:r>
        <w:rPr>
          <w:sz w:val="20"/>
          <w:szCs w:val="20"/>
          <w:rtl/>
        </w:rPr>
        <w:br/>
      </w:r>
      <w:r>
        <w:rPr>
          <w:rFonts w:hint="cs"/>
          <w:sz w:val="20"/>
          <w:szCs w:val="20"/>
          <w:rtl/>
        </w:rPr>
        <w:t xml:space="preserve">טוען </w:t>
      </w:r>
      <w:r w:rsidRPr="00A84957">
        <w:rPr>
          <w:rFonts w:hint="cs"/>
          <w:b/>
          <w:bCs/>
          <w:sz w:val="20"/>
          <w:szCs w:val="20"/>
          <w:rtl/>
        </w:rPr>
        <w:t>הבית יוסף</w:t>
      </w:r>
      <w:r>
        <w:rPr>
          <w:rFonts w:hint="cs"/>
          <w:sz w:val="20"/>
          <w:szCs w:val="20"/>
          <w:rtl/>
        </w:rPr>
        <w:t xml:space="preserve"> </w:t>
      </w:r>
      <w:r>
        <w:rPr>
          <w:sz w:val="20"/>
          <w:szCs w:val="20"/>
          <w:rtl/>
        </w:rPr>
        <w:t>–</w:t>
      </w:r>
      <w:r>
        <w:rPr>
          <w:rFonts w:hint="cs"/>
          <w:sz w:val="20"/>
          <w:szCs w:val="20"/>
          <w:rtl/>
        </w:rPr>
        <w:t xml:space="preserve"> אם הרגה או הריחה ריחו, מודה הרמב"ם שתולה בו, והוא בכלל נתעסקה בכתמים.</w:t>
      </w:r>
      <w:r>
        <w:rPr>
          <w:rFonts w:hint="cs"/>
          <w:sz w:val="20"/>
          <w:szCs w:val="20"/>
          <w:rtl/>
        </w:rPr>
        <w:br/>
        <w:t xml:space="preserve">אך </w:t>
      </w:r>
      <w:r w:rsidRPr="007741EC">
        <w:rPr>
          <w:rFonts w:hint="cs"/>
          <w:b/>
          <w:bCs/>
          <w:sz w:val="20"/>
          <w:szCs w:val="20"/>
          <w:rtl/>
        </w:rPr>
        <w:t>המגיד משנה</w:t>
      </w:r>
      <w:r>
        <w:rPr>
          <w:rFonts w:hint="cs"/>
          <w:sz w:val="20"/>
          <w:szCs w:val="20"/>
          <w:rtl/>
        </w:rPr>
        <w:t xml:space="preserve"> טוען </w:t>
      </w:r>
      <w:r>
        <w:rPr>
          <w:sz w:val="20"/>
          <w:szCs w:val="20"/>
          <w:rtl/>
        </w:rPr>
        <w:t>–</w:t>
      </w:r>
      <w:r>
        <w:rPr>
          <w:rFonts w:hint="cs"/>
          <w:sz w:val="20"/>
          <w:szCs w:val="20"/>
          <w:rtl/>
        </w:rPr>
        <w:t xml:space="preserve"> הרמב"ם סובר שאין לתלות בפשפש, משום שאם היתה הורגתו היתה מריחה ריחו.</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sz w:val="20"/>
          <w:szCs w:val="20"/>
          <w:rtl/>
        </w:rPr>
        <w:t xml:space="preserve">א. </w:t>
      </w:r>
      <w:r>
        <w:rPr>
          <w:rFonts w:hint="cs"/>
          <w:b/>
          <w:bCs/>
          <w:sz w:val="20"/>
          <w:szCs w:val="20"/>
          <w:rtl/>
        </w:rPr>
        <w:t xml:space="preserve">שולחן ערוך </w:t>
      </w:r>
      <w:r>
        <w:rPr>
          <w:sz w:val="20"/>
          <w:szCs w:val="20"/>
          <w:rtl/>
        </w:rPr>
        <w:t>–</w:t>
      </w:r>
      <w:r>
        <w:rPr>
          <w:rFonts w:hint="cs"/>
          <w:sz w:val="20"/>
          <w:szCs w:val="20"/>
          <w:rtl/>
        </w:rPr>
        <w:t xml:space="preserve"> "</w:t>
      </w:r>
      <w:r w:rsidRPr="00B57C1C">
        <w:rPr>
          <w:rFonts w:cs="Arial"/>
          <w:sz w:val="20"/>
          <w:szCs w:val="20"/>
          <w:rtl/>
        </w:rPr>
        <w:t xml:space="preserve">אם הרגה פשפש או הריחה ריחו, תולה בו עד כתורמוס </w:t>
      </w:r>
      <w:r w:rsidRPr="00B57C1C">
        <w:rPr>
          <w:rFonts w:cs="Arial"/>
          <w:sz w:val="18"/>
          <w:szCs w:val="18"/>
          <w:rtl/>
        </w:rPr>
        <w:t>(פירוש מין ממיני הקטניות שהוא מר</w:t>
      </w:r>
      <w:r w:rsidRPr="00B57C1C">
        <w:rPr>
          <w:rFonts w:cs="Arial" w:hint="cs"/>
          <w:sz w:val="18"/>
          <w:szCs w:val="18"/>
          <w:rtl/>
        </w:rPr>
        <w:t>)</w:t>
      </w:r>
      <w:r>
        <w:rPr>
          <w:rFonts w:cs="Arial" w:hint="cs"/>
          <w:sz w:val="20"/>
          <w:szCs w:val="20"/>
          <w:rtl/>
        </w:rPr>
        <w:t>".</w:t>
      </w:r>
      <w:r>
        <w:rPr>
          <w:rFonts w:hint="cs"/>
          <w:sz w:val="20"/>
          <w:szCs w:val="20"/>
          <w:rtl/>
        </w:rPr>
        <w:br/>
        <w:t xml:space="preserve">וכן פסק </w:t>
      </w:r>
      <w:r w:rsidRPr="00471073">
        <w:rPr>
          <w:rFonts w:hint="cs"/>
          <w:b/>
          <w:bCs/>
          <w:sz w:val="20"/>
          <w:szCs w:val="20"/>
          <w:rtl/>
        </w:rPr>
        <w:t>הב"ח</w:t>
      </w:r>
      <w:r>
        <w:rPr>
          <w:rFonts w:hint="cs"/>
          <w:sz w:val="20"/>
          <w:szCs w:val="20"/>
          <w:rtl/>
        </w:rPr>
        <w:t>, שאין לתלות בפשפש אפילו במקום שהוא מצוי אלא אם כן הרגתו או הריחה ריחו.</w:t>
      </w:r>
      <w:r>
        <w:rPr>
          <w:sz w:val="20"/>
          <w:szCs w:val="20"/>
          <w:rtl/>
        </w:rPr>
        <w:br/>
      </w:r>
      <w:r>
        <w:rPr>
          <w:rFonts w:hint="cs"/>
          <w:sz w:val="20"/>
          <w:szCs w:val="20"/>
          <w:rtl/>
        </w:rPr>
        <w:t xml:space="preserve">ב. </w:t>
      </w:r>
      <w:r w:rsidRPr="00471073">
        <w:rPr>
          <w:rFonts w:hint="cs"/>
          <w:b/>
          <w:bCs/>
          <w:sz w:val="20"/>
          <w:szCs w:val="20"/>
          <w:rtl/>
        </w:rPr>
        <w:t xml:space="preserve">ט"ז וש"ך </w:t>
      </w:r>
      <w:r>
        <w:rPr>
          <w:sz w:val="20"/>
          <w:szCs w:val="20"/>
          <w:rtl/>
        </w:rPr>
        <w:t>–</w:t>
      </w:r>
      <w:r>
        <w:rPr>
          <w:rFonts w:hint="cs"/>
          <w:sz w:val="20"/>
          <w:szCs w:val="20"/>
          <w:rtl/>
        </w:rPr>
        <w:t xml:space="preserve"> במקום שהפשפש מצוי, יש לתלות בו את הכתם אפילו אם לא הרגתו ולא הריחה ריחו.</w:t>
      </w:r>
      <w:r>
        <w:rPr>
          <w:rFonts w:hint="cs"/>
          <w:sz w:val="20"/>
          <w:szCs w:val="20"/>
          <w:rtl/>
        </w:rPr>
        <w:br/>
      </w:r>
      <w:r w:rsidRPr="00471073">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כך כתב הרשב"א להדיא וכך הוא ההסבר הפשוט ברא"ש, וכן פסק רבינו ירוחם ודרכו לפסוק כרא"ש.</w:t>
      </w:r>
      <w:r>
        <w:rPr>
          <w:rFonts w:hint="cs"/>
          <w:sz w:val="20"/>
          <w:szCs w:val="20"/>
          <w:rtl/>
        </w:rPr>
        <w:br/>
        <w:t>ועוד, משום שכתמים דרבנן ושומעים למקלים.</w:t>
      </w:r>
    </w:p>
    <w:p w:rsidR="00620060" w:rsidRDefault="00620060" w:rsidP="00620060">
      <w:pPr>
        <w:rPr>
          <w:sz w:val="20"/>
          <w:szCs w:val="20"/>
          <w:u w:val="single"/>
          <w:rtl/>
        </w:rPr>
      </w:pPr>
      <w:r>
        <w:rPr>
          <w:rFonts w:hint="cs"/>
          <w:sz w:val="20"/>
          <w:szCs w:val="20"/>
          <w:u w:val="single"/>
          <w:rtl/>
        </w:rPr>
        <w:t>מצאה כתם כפשפש ועוד (פת"ש)</w:t>
      </w:r>
      <w:r>
        <w:rPr>
          <w:rFonts w:hint="cs"/>
          <w:sz w:val="20"/>
          <w:szCs w:val="20"/>
          <w:u w:val="single"/>
          <w:rtl/>
        </w:rPr>
        <w:br/>
      </w:r>
      <w:r w:rsidRPr="004D6C84">
        <w:rPr>
          <w:rFonts w:hint="cs"/>
          <w:b/>
          <w:bCs/>
          <w:sz w:val="20"/>
          <w:szCs w:val="20"/>
          <w:rtl/>
        </w:rPr>
        <w:t>סדרי טהרה</w:t>
      </w:r>
      <w:r>
        <w:rPr>
          <w:rFonts w:hint="cs"/>
          <w:sz w:val="20"/>
          <w:szCs w:val="20"/>
          <w:rtl/>
        </w:rPr>
        <w:t xml:space="preserve"> </w:t>
      </w:r>
      <w:r>
        <w:rPr>
          <w:sz w:val="20"/>
          <w:szCs w:val="20"/>
          <w:rtl/>
        </w:rPr>
        <w:t>–</w:t>
      </w:r>
      <w:r>
        <w:rPr>
          <w:rFonts w:hint="cs"/>
          <w:sz w:val="20"/>
          <w:szCs w:val="20"/>
          <w:rtl/>
        </w:rPr>
        <w:t xml:space="preserve"> לקמן בסעיף כו', נפסק שאם התעסקה בכגריס ונמצא עליה כתם בשיעור שני גריסים </w:t>
      </w:r>
      <w:r>
        <w:rPr>
          <w:sz w:val="20"/>
          <w:szCs w:val="20"/>
          <w:rtl/>
        </w:rPr>
        <w:t>–</w:t>
      </w:r>
      <w:r>
        <w:rPr>
          <w:rFonts w:hint="cs"/>
          <w:sz w:val="20"/>
          <w:szCs w:val="20"/>
          <w:rtl/>
        </w:rPr>
        <w:t xml:space="preserve"> טהורה. טעם הדין הוא, משום שגריס אחד תולה בהתעסקות וגריס שני במאכולת. </w:t>
      </w:r>
      <w:r>
        <w:rPr>
          <w:sz w:val="20"/>
          <w:szCs w:val="20"/>
          <w:rtl/>
        </w:rPr>
        <w:br/>
      </w:r>
      <w:r>
        <w:rPr>
          <w:rFonts w:hint="cs"/>
          <w:sz w:val="20"/>
          <w:szCs w:val="20"/>
          <w:rtl/>
        </w:rPr>
        <w:t>לפי"ז, צריך עיון כאן אם הרגה פשפש ונמצא עליה כתם כתורמוס ועוד, האם תולים את ה'ועוד' במאכולת.</w:t>
      </w:r>
    </w:p>
    <w:p w:rsidR="00620060" w:rsidRPr="00A0080F" w:rsidRDefault="00620060" w:rsidP="00620060">
      <w:pPr>
        <w:rPr>
          <w:sz w:val="20"/>
          <w:szCs w:val="20"/>
          <w:rtl/>
        </w:rPr>
      </w:pPr>
      <w:r>
        <w:rPr>
          <w:rFonts w:hint="cs"/>
          <w:sz w:val="20"/>
          <w:szCs w:val="20"/>
          <w:u w:val="single"/>
          <w:rtl/>
        </w:rPr>
        <w:t>צורת הכתם (בית יוסף)</w:t>
      </w:r>
      <w:r>
        <w:rPr>
          <w:rFonts w:hint="cs"/>
          <w:sz w:val="20"/>
          <w:szCs w:val="20"/>
          <w:u w:val="single"/>
          <w:rtl/>
        </w:rPr>
        <w:br/>
      </w:r>
      <w:r w:rsidRPr="00A0080F">
        <w:rPr>
          <w:rFonts w:hint="cs"/>
          <w:b/>
          <w:bCs/>
          <w:sz w:val="20"/>
          <w:szCs w:val="20"/>
          <w:rtl/>
        </w:rPr>
        <w:t xml:space="preserve">גמרא </w:t>
      </w:r>
      <w:r>
        <w:rPr>
          <w:rFonts w:hint="cs"/>
          <w:sz w:val="20"/>
          <w:szCs w:val="20"/>
          <w:rtl/>
        </w:rPr>
        <w:t>(שם) "</w:t>
      </w:r>
      <w:r w:rsidRPr="00A0080F">
        <w:rPr>
          <w:rFonts w:cs="Arial"/>
          <w:sz w:val="20"/>
          <w:szCs w:val="20"/>
          <w:rtl/>
        </w:rPr>
        <w:t>ת</w:t>
      </w:r>
      <w:r>
        <w:rPr>
          <w:rFonts w:cs="Arial" w:hint="cs"/>
          <w:sz w:val="20"/>
          <w:szCs w:val="20"/>
          <w:rtl/>
        </w:rPr>
        <w:t>נו רבנן</w:t>
      </w:r>
      <w:r>
        <w:rPr>
          <w:rFonts w:cs="Arial"/>
          <w:sz w:val="20"/>
          <w:szCs w:val="20"/>
          <w:rtl/>
        </w:rPr>
        <w:t>: פשפש זה, ארכו כר</w:t>
      </w:r>
      <w:r>
        <w:rPr>
          <w:rFonts w:cs="Arial" w:hint="cs"/>
          <w:sz w:val="20"/>
          <w:szCs w:val="20"/>
          <w:rtl/>
        </w:rPr>
        <w:t>ו</w:t>
      </w:r>
      <w:r>
        <w:rPr>
          <w:rFonts w:cs="Arial"/>
          <w:sz w:val="20"/>
          <w:szCs w:val="20"/>
          <w:rtl/>
        </w:rPr>
        <w:t>חבו</w:t>
      </w:r>
      <w:r>
        <w:rPr>
          <w:rFonts w:cs="Arial" w:hint="cs"/>
          <w:sz w:val="20"/>
          <w:szCs w:val="20"/>
          <w:rtl/>
        </w:rPr>
        <w:t>...</w:t>
      </w:r>
      <w:r w:rsidRPr="00A0080F">
        <w:rPr>
          <w:rFonts w:cs="Arial"/>
          <w:sz w:val="20"/>
          <w:szCs w:val="20"/>
          <w:rtl/>
        </w:rPr>
        <w:t xml:space="preserve"> - לענ</w:t>
      </w:r>
      <w:r>
        <w:rPr>
          <w:rFonts w:cs="Arial" w:hint="cs"/>
          <w:sz w:val="20"/>
          <w:szCs w:val="20"/>
          <w:rtl/>
        </w:rPr>
        <w:t>י</w:t>
      </w:r>
      <w:r w:rsidRPr="00A0080F">
        <w:rPr>
          <w:rFonts w:cs="Arial"/>
          <w:sz w:val="20"/>
          <w:szCs w:val="20"/>
          <w:rtl/>
        </w:rPr>
        <w:t>ין כתמים</w:t>
      </w:r>
      <w:r>
        <w:rPr>
          <w:rFonts w:cs="Arial" w:hint="cs"/>
          <w:sz w:val="20"/>
          <w:szCs w:val="20"/>
          <w:rtl/>
        </w:rPr>
        <w:t xml:space="preserve"> </w:t>
      </w:r>
      <w:r w:rsidRPr="00A0080F">
        <w:rPr>
          <w:rFonts w:cs="Arial" w:hint="cs"/>
          <w:sz w:val="18"/>
          <w:szCs w:val="18"/>
          <w:rtl/>
        </w:rPr>
        <w:t xml:space="preserve">(רש"י - </w:t>
      </w:r>
      <w:r w:rsidRPr="00A0080F">
        <w:rPr>
          <w:rFonts w:cs="Arial"/>
          <w:sz w:val="18"/>
          <w:szCs w:val="18"/>
          <w:rtl/>
        </w:rPr>
        <w:t>דאי הוה כתם ארכו כר</w:t>
      </w:r>
      <w:r>
        <w:rPr>
          <w:rFonts w:cs="Arial" w:hint="cs"/>
          <w:sz w:val="18"/>
          <w:szCs w:val="18"/>
          <w:rtl/>
        </w:rPr>
        <w:t>ו</w:t>
      </w:r>
      <w:r w:rsidRPr="00A0080F">
        <w:rPr>
          <w:rFonts w:cs="Arial"/>
          <w:sz w:val="18"/>
          <w:szCs w:val="18"/>
          <w:rtl/>
        </w:rPr>
        <w:t>חבו אפילו יותר מכגריס תלינן בפשפ</w:t>
      </w:r>
      <w:r w:rsidRPr="00A0080F">
        <w:rPr>
          <w:rFonts w:cs="Arial" w:hint="cs"/>
          <w:sz w:val="18"/>
          <w:szCs w:val="18"/>
          <w:rtl/>
        </w:rPr>
        <w:t>ש)</w:t>
      </w:r>
      <w:r>
        <w:rPr>
          <w:rFonts w:hint="cs"/>
          <w:sz w:val="20"/>
          <w:szCs w:val="20"/>
          <w:rtl/>
        </w:rPr>
        <w:t>".</w:t>
      </w:r>
      <w:r>
        <w:rPr>
          <w:rFonts w:hint="cs"/>
          <w:sz w:val="20"/>
          <w:szCs w:val="20"/>
          <w:rtl/>
        </w:rPr>
        <w:br/>
      </w:r>
      <w:r w:rsidRPr="00A0080F">
        <w:rPr>
          <w:rFonts w:hint="cs"/>
          <w:b/>
          <w:bCs/>
          <w:sz w:val="20"/>
          <w:szCs w:val="20"/>
          <w:rtl/>
        </w:rPr>
        <w:t>בית יוסף</w:t>
      </w:r>
      <w:r>
        <w:rPr>
          <w:rFonts w:hint="cs"/>
          <w:sz w:val="20"/>
          <w:szCs w:val="20"/>
          <w:rtl/>
        </w:rPr>
        <w:t xml:space="preserve"> </w:t>
      </w:r>
      <w:r>
        <w:rPr>
          <w:sz w:val="20"/>
          <w:szCs w:val="20"/>
          <w:rtl/>
        </w:rPr>
        <w:t>–</w:t>
      </w:r>
      <w:r>
        <w:rPr>
          <w:rFonts w:hint="cs"/>
          <w:sz w:val="20"/>
          <w:szCs w:val="20"/>
          <w:rtl/>
        </w:rPr>
        <w:t xml:space="preserve"> קשה מדוע הרשב"א התעלם מברייתא זו המחמירה בתלייה בפשפש?</w:t>
      </w:r>
      <w:r>
        <w:rPr>
          <w:rFonts w:hint="cs"/>
          <w:sz w:val="20"/>
          <w:szCs w:val="20"/>
          <w:rtl/>
        </w:rPr>
        <w:br/>
        <w:t xml:space="preserve">ויש לומר </w:t>
      </w:r>
      <w:r>
        <w:rPr>
          <w:sz w:val="20"/>
          <w:szCs w:val="20"/>
          <w:rtl/>
        </w:rPr>
        <w:t>–</w:t>
      </w:r>
      <w:r>
        <w:rPr>
          <w:rFonts w:hint="cs"/>
          <w:sz w:val="20"/>
          <w:szCs w:val="20"/>
          <w:rtl/>
        </w:rPr>
        <w:t xml:space="preserve"> הרשב"א סובר שברייתא זו נאמרה אליבא דחכמים המקלים בתלייה בפשפש, אך כיוון שקיי"ל כרבי חנינא אפילו אם הכתם בצורה שונה, תולים בו.</w:t>
      </w:r>
    </w:p>
    <w:p w:rsidR="00620060" w:rsidRDefault="00620060" w:rsidP="00620060">
      <w:pPr>
        <w:rPr>
          <w:sz w:val="20"/>
          <w:szCs w:val="20"/>
          <w:rtl/>
        </w:rPr>
      </w:pPr>
      <w:r w:rsidRPr="00F151FD">
        <w:rPr>
          <w:rFonts w:hint="cs"/>
          <w:b/>
          <w:bCs/>
          <w:sz w:val="20"/>
          <w:szCs w:val="20"/>
          <w:rtl/>
        </w:rPr>
        <w:t>סיכום</w:t>
      </w:r>
      <w:r>
        <w:rPr>
          <w:sz w:val="20"/>
          <w:szCs w:val="20"/>
          <w:rtl/>
        </w:rPr>
        <w:br/>
      </w:r>
      <w:r>
        <w:rPr>
          <w:rFonts w:hint="cs"/>
          <w:sz w:val="20"/>
          <w:szCs w:val="20"/>
          <w:rtl/>
        </w:rPr>
        <w:t xml:space="preserve">1. </w:t>
      </w:r>
      <w:r w:rsidRPr="00F151FD">
        <w:rPr>
          <w:rFonts w:hint="cs"/>
          <w:b/>
          <w:bCs/>
          <w:sz w:val="20"/>
          <w:szCs w:val="20"/>
          <w:rtl/>
        </w:rPr>
        <w:t>משנה</w:t>
      </w:r>
      <w:r>
        <w:rPr>
          <w:rFonts w:hint="cs"/>
          <w:sz w:val="20"/>
          <w:szCs w:val="20"/>
          <w:rtl/>
        </w:rPr>
        <w:t xml:space="preserve">. </w:t>
      </w:r>
      <w:r w:rsidRPr="00F151FD">
        <w:rPr>
          <w:rFonts w:hint="cs"/>
          <w:sz w:val="20"/>
          <w:szCs w:val="20"/>
          <w:u w:val="single"/>
          <w:rtl/>
        </w:rPr>
        <w:t>רשב"ג</w:t>
      </w:r>
      <w:r>
        <w:rPr>
          <w:rFonts w:hint="cs"/>
          <w:sz w:val="20"/>
          <w:szCs w:val="20"/>
          <w:rtl/>
        </w:rPr>
        <w:t xml:space="preserve">. הרגה </w:t>
      </w:r>
      <w:r>
        <w:rPr>
          <w:sz w:val="20"/>
          <w:szCs w:val="20"/>
          <w:rtl/>
        </w:rPr>
        <w:t>–</w:t>
      </w:r>
      <w:r>
        <w:rPr>
          <w:rFonts w:hint="cs"/>
          <w:sz w:val="20"/>
          <w:szCs w:val="20"/>
          <w:rtl/>
        </w:rPr>
        <w:t xml:space="preserve"> תולה, לא הרגה </w:t>
      </w:r>
      <w:r>
        <w:rPr>
          <w:sz w:val="20"/>
          <w:szCs w:val="20"/>
          <w:rtl/>
        </w:rPr>
        <w:t>–</w:t>
      </w:r>
      <w:r>
        <w:rPr>
          <w:rFonts w:hint="cs"/>
          <w:sz w:val="20"/>
          <w:szCs w:val="20"/>
          <w:rtl/>
        </w:rPr>
        <w:t xml:space="preserve"> אינה תולה. </w:t>
      </w:r>
      <w:r w:rsidRPr="00F151FD">
        <w:rPr>
          <w:rFonts w:hint="cs"/>
          <w:sz w:val="20"/>
          <w:szCs w:val="20"/>
          <w:u w:val="single"/>
          <w:rtl/>
        </w:rPr>
        <w:t>חכמים</w:t>
      </w:r>
      <w:r>
        <w:rPr>
          <w:rFonts w:hint="cs"/>
          <w:sz w:val="20"/>
          <w:szCs w:val="20"/>
          <w:rtl/>
        </w:rPr>
        <w:t xml:space="preserve"> </w:t>
      </w:r>
      <w:r>
        <w:rPr>
          <w:sz w:val="20"/>
          <w:szCs w:val="20"/>
          <w:rtl/>
        </w:rPr>
        <w:t>–</w:t>
      </w:r>
      <w:r>
        <w:rPr>
          <w:rFonts w:hint="cs"/>
          <w:sz w:val="20"/>
          <w:szCs w:val="20"/>
          <w:rtl/>
        </w:rPr>
        <w:t xml:space="preserve"> אפילו לא הרגה תולה עד כתורמוס. </w:t>
      </w:r>
      <w:r>
        <w:rPr>
          <w:sz w:val="20"/>
          <w:szCs w:val="20"/>
          <w:rtl/>
        </w:rPr>
        <w:br/>
      </w:r>
      <w:r w:rsidRPr="00F151FD">
        <w:rPr>
          <w:rFonts w:hint="cs"/>
          <w:sz w:val="20"/>
          <w:szCs w:val="20"/>
          <w:u w:val="single"/>
          <w:rtl/>
        </w:rPr>
        <w:t>רבי חנינא</w:t>
      </w:r>
      <w:r>
        <w:rPr>
          <w:rFonts w:hint="cs"/>
          <w:sz w:val="20"/>
          <w:szCs w:val="20"/>
          <w:rtl/>
        </w:rPr>
        <w:t>. אפילו לא הרגה תולה, אך רק עד כגריס, וכן הלכה.</w:t>
      </w:r>
      <w:r>
        <w:rPr>
          <w:sz w:val="20"/>
          <w:szCs w:val="20"/>
          <w:rtl/>
        </w:rPr>
        <w:br/>
      </w:r>
      <w:r>
        <w:rPr>
          <w:rFonts w:hint="cs"/>
          <w:sz w:val="20"/>
          <w:szCs w:val="20"/>
          <w:rtl/>
        </w:rPr>
        <w:t xml:space="preserve">2. </w:t>
      </w:r>
      <w:r w:rsidRPr="00F151FD">
        <w:rPr>
          <w:rFonts w:hint="cs"/>
          <w:b/>
          <w:bCs/>
          <w:sz w:val="20"/>
          <w:szCs w:val="20"/>
          <w:rtl/>
        </w:rPr>
        <w:t>רא"ש</w:t>
      </w:r>
      <w:r>
        <w:rPr>
          <w:rFonts w:hint="cs"/>
          <w:sz w:val="20"/>
          <w:szCs w:val="20"/>
          <w:rtl/>
        </w:rPr>
        <w:t xml:space="preserve">. אם הרגה פשפש או הריחה ריחו תולה בו עד כתורמוס, וכ"פ </w:t>
      </w:r>
      <w:r w:rsidRPr="00A0080F">
        <w:rPr>
          <w:rFonts w:hint="cs"/>
          <w:b/>
          <w:bCs/>
          <w:sz w:val="20"/>
          <w:szCs w:val="20"/>
          <w:rtl/>
        </w:rPr>
        <w:t>המחבר</w:t>
      </w:r>
      <w:r>
        <w:rPr>
          <w:rFonts w:hint="cs"/>
          <w:sz w:val="20"/>
          <w:szCs w:val="20"/>
          <w:rtl/>
        </w:rPr>
        <w:t xml:space="preserve">. </w:t>
      </w:r>
      <w:r w:rsidRPr="00F151FD">
        <w:rPr>
          <w:rFonts w:hint="cs"/>
          <w:b/>
          <w:bCs/>
          <w:sz w:val="20"/>
          <w:szCs w:val="20"/>
          <w:rtl/>
        </w:rPr>
        <w:t>רשב"א</w:t>
      </w:r>
      <w:r>
        <w:rPr>
          <w:rFonts w:hint="cs"/>
          <w:sz w:val="20"/>
          <w:szCs w:val="20"/>
          <w:rtl/>
        </w:rPr>
        <w:t xml:space="preserve">. במקום שהפשפש מצוי תולה בו אפילו לא הרגה, וכ"פ </w:t>
      </w:r>
      <w:r w:rsidRPr="00A0080F">
        <w:rPr>
          <w:rFonts w:hint="cs"/>
          <w:b/>
          <w:bCs/>
          <w:sz w:val="20"/>
          <w:szCs w:val="20"/>
          <w:rtl/>
        </w:rPr>
        <w:t>ט"ז וש"ך</w:t>
      </w:r>
      <w:r>
        <w:rPr>
          <w:rFonts w:hint="cs"/>
          <w:sz w:val="20"/>
          <w:szCs w:val="20"/>
          <w:rtl/>
        </w:rPr>
        <w:t xml:space="preserve">. </w:t>
      </w:r>
      <w:r w:rsidRPr="00F151FD">
        <w:rPr>
          <w:rFonts w:hint="cs"/>
          <w:b/>
          <w:bCs/>
          <w:sz w:val="20"/>
          <w:szCs w:val="20"/>
          <w:rtl/>
        </w:rPr>
        <w:t>רמב"ם</w:t>
      </w:r>
      <w:r>
        <w:rPr>
          <w:rFonts w:hint="cs"/>
          <w:sz w:val="20"/>
          <w:szCs w:val="20"/>
          <w:rtl/>
        </w:rPr>
        <w:t>. השמיט דין זה.</w:t>
      </w:r>
      <w:r>
        <w:rPr>
          <w:rFonts w:hint="cs"/>
          <w:sz w:val="20"/>
          <w:szCs w:val="20"/>
          <w:rtl/>
        </w:rPr>
        <w:br/>
        <w:t xml:space="preserve">3. </w:t>
      </w:r>
      <w:r w:rsidRPr="00F151FD">
        <w:rPr>
          <w:rFonts w:hint="cs"/>
          <w:b/>
          <w:bCs/>
          <w:sz w:val="20"/>
          <w:szCs w:val="20"/>
          <w:rtl/>
        </w:rPr>
        <w:t>מחבר</w:t>
      </w:r>
      <w:r>
        <w:rPr>
          <w:rFonts w:hint="cs"/>
          <w:sz w:val="20"/>
          <w:szCs w:val="20"/>
          <w:rtl/>
        </w:rPr>
        <w:t xml:space="preserve">. אם הרגה או הריחה ריחו תולה בו. </w:t>
      </w:r>
      <w:r w:rsidRPr="00F151FD">
        <w:rPr>
          <w:rFonts w:hint="cs"/>
          <w:b/>
          <w:bCs/>
          <w:sz w:val="20"/>
          <w:szCs w:val="20"/>
          <w:rtl/>
        </w:rPr>
        <w:t>ט"ז וש"ך</w:t>
      </w:r>
      <w:r>
        <w:rPr>
          <w:rFonts w:hint="cs"/>
          <w:sz w:val="20"/>
          <w:szCs w:val="20"/>
          <w:rtl/>
        </w:rPr>
        <w:t>. תולה בפשפש במקום שהוא מצוי אפילו לא הרגה.</w:t>
      </w:r>
      <w:r>
        <w:rPr>
          <w:sz w:val="20"/>
          <w:szCs w:val="20"/>
          <w:rtl/>
        </w:rPr>
        <w:br/>
      </w:r>
      <w:r>
        <w:rPr>
          <w:rFonts w:hint="cs"/>
          <w:sz w:val="20"/>
          <w:szCs w:val="20"/>
          <w:rtl/>
        </w:rPr>
        <w:t xml:space="preserve">4. </w:t>
      </w:r>
      <w:r w:rsidRPr="00F151FD">
        <w:rPr>
          <w:rFonts w:hint="cs"/>
          <w:b/>
          <w:bCs/>
          <w:sz w:val="20"/>
          <w:szCs w:val="20"/>
          <w:rtl/>
        </w:rPr>
        <w:t>סד"ט</w:t>
      </w:r>
      <w:r>
        <w:rPr>
          <w:rFonts w:hint="cs"/>
          <w:sz w:val="20"/>
          <w:szCs w:val="20"/>
          <w:rtl/>
        </w:rPr>
        <w:t>. הרגה פשפש ומצאה כתם כתורמוס ועוד, ספק האם תולה את ה'ועוד' במאכולת.</w:t>
      </w:r>
      <w:r>
        <w:rPr>
          <w:rFonts w:hint="cs"/>
          <w:sz w:val="20"/>
          <w:szCs w:val="20"/>
          <w:rtl/>
        </w:rPr>
        <w:br/>
        <w:t xml:space="preserve">5. </w:t>
      </w:r>
      <w:r w:rsidRPr="00A0080F">
        <w:rPr>
          <w:rFonts w:hint="cs"/>
          <w:b/>
          <w:bCs/>
          <w:sz w:val="20"/>
          <w:szCs w:val="20"/>
          <w:rtl/>
        </w:rPr>
        <w:t>גמרא</w:t>
      </w:r>
      <w:r>
        <w:rPr>
          <w:rFonts w:hint="cs"/>
          <w:sz w:val="20"/>
          <w:szCs w:val="20"/>
          <w:rtl/>
        </w:rPr>
        <w:t xml:space="preserve">. הריגת פשפש יוצרת צורה מיוחדת. </w:t>
      </w:r>
      <w:r w:rsidRPr="00A0080F">
        <w:rPr>
          <w:rFonts w:hint="cs"/>
          <w:b/>
          <w:bCs/>
          <w:sz w:val="20"/>
          <w:szCs w:val="20"/>
          <w:rtl/>
        </w:rPr>
        <w:t>ב"י</w:t>
      </w:r>
      <w:r>
        <w:rPr>
          <w:rFonts w:hint="cs"/>
          <w:sz w:val="20"/>
          <w:szCs w:val="20"/>
          <w:rtl/>
        </w:rPr>
        <w:t>. לא נפסק כך, משום שמחמירים בפשפש כר"ח.</w:t>
      </w:r>
    </w:p>
    <w:p w:rsidR="00620060" w:rsidRDefault="00620060" w:rsidP="00620060">
      <w:pPr>
        <w:rPr>
          <w:sz w:val="20"/>
          <w:szCs w:val="20"/>
          <w:rtl/>
        </w:rPr>
      </w:pPr>
      <w:r>
        <w:rPr>
          <w:sz w:val="20"/>
          <w:szCs w:val="20"/>
          <w:rtl/>
        </w:rPr>
        <w:br/>
      </w:r>
      <w:r>
        <w:rPr>
          <w:rFonts w:hint="cs"/>
          <w:b/>
          <w:bCs/>
          <w:sz w:val="20"/>
          <w:szCs w:val="20"/>
          <w:rtl/>
        </w:rPr>
        <w:t xml:space="preserve">סעיף ח </w:t>
      </w:r>
      <w:r>
        <w:rPr>
          <w:b/>
          <w:bCs/>
          <w:sz w:val="20"/>
          <w:szCs w:val="20"/>
          <w:rtl/>
        </w:rPr>
        <w:t>–</w:t>
      </w:r>
      <w:r>
        <w:rPr>
          <w:rFonts w:hint="cs"/>
          <w:b/>
          <w:bCs/>
          <w:sz w:val="20"/>
          <w:szCs w:val="20"/>
          <w:rtl/>
        </w:rPr>
        <w:t xml:space="preserve"> צירוף טיפות לשיעור גריס </w:t>
      </w:r>
      <w:r>
        <w:rPr>
          <w:rFonts w:hint="cs"/>
          <w:b/>
          <w:bCs/>
          <w:sz w:val="20"/>
          <w:szCs w:val="20"/>
          <w:rtl/>
        </w:rPr>
        <w:br/>
        <w:t>מקור הדין</w:t>
      </w:r>
      <w:r>
        <w:rPr>
          <w:b/>
          <w:bCs/>
          <w:sz w:val="20"/>
          <w:szCs w:val="20"/>
          <w:rtl/>
        </w:rPr>
        <w:br/>
      </w:r>
      <w:r>
        <w:rPr>
          <w:rFonts w:hint="cs"/>
          <w:b/>
          <w:bCs/>
          <w:sz w:val="20"/>
          <w:szCs w:val="20"/>
          <w:rtl/>
        </w:rPr>
        <w:t xml:space="preserve">גמרא </w:t>
      </w:r>
      <w:r>
        <w:rPr>
          <w:rFonts w:hint="cs"/>
          <w:sz w:val="20"/>
          <w:szCs w:val="20"/>
          <w:rtl/>
        </w:rPr>
        <w:t>נדה (נח.) "</w:t>
      </w:r>
      <w:r w:rsidRPr="00D81685">
        <w:rPr>
          <w:rFonts w:cs="Arial"/>
          <w:sz w:val="20"/>
          <w:szCs w:val="20"/>
          <w:rtl/>
        </w:rPr>
        <w:t>בעי רבי ירמיה: כשיר מהו, כשורה מהו, טיפ</w:t>
      </w:r>
      <w:r>
        <w:rPr>
          <w:rFonts w:cs="Arial"/>
          <w:sz w:val="20"/>
          <w:szCs w:val="20"/>
          <w:rtl/>
        </w:rPr>
        <w:t>ין טיפין מהו</w:t>
      </w:r>
      <w:r>
        <w:rPr>
          <w:rStyle w:val="a5"/>
          <w:rFonts w:cs="Arial"/>
          <w:sz w:val="20"/>
          <w:szCs w:val="20"/>
          <w:rtl/>
        </w:rPr>
        <w:footnoteReference w:id="269"/>
      </w:r>
      <w:r>
        <w:rPr>
          <w:rFonts w:cs="Arial"/>
          <w:sz w:val="20"/>
          <w:szCs w:val="20"/>
          <w:rtl/>
        </w:rPr>
        <w:t>, לרוחב ירכה מהו? ת</w:t>
      </w:r>
      <w:r>
        <w:rPr>
          <w:rFonts w:cs="Arial" w:hint="cs"/>
          <w:sz w:val="20"/>
          <w:szCs w:val="20"/>
          <w:rtl/>
        </w:rPr>
        <w:t xml:space="preserve">א </w:t>
      </w:r>
      <w:r w:rsidRPr="00D81685">
        <w:rPr>
          <w:rFonts w:cs="Arial"/>
          <w:sz w:val="20"/>
          <w:szCs w:val="20"/>
          <w:rtl/>
        </w:rPr>
        <w:t>ש</w:t>
      </w:r>
      <w:r>
        <w:rPr>
          <w:rFonts w:cs="Arial" w:hint="cs"/>
          <w:sz w:val="20"/>
          <w:szCs w:val="20"/>
          <w:rtl/>
        </w:rPr>
        <w:t>מע</w:t>
      </w:r>
      <w:r w:rsidRPr="00D81685">
        <w:rPr>
          <w:rFonts w:cs="Arial"/>
          <w:sz w:val="20"/>
          <w:szCs w:val="20"/>
          <w:rtl/>
        </w:rPr>
        <w:t>: על בשרה ספק טמא ספק טהור - טמא. על בשרה - מאי לאו כי ה</w:t>
      </w:r>
      <w:r>
        <w:rPr>
          <w:rFonts w:cs="Arial"/>
          <w:sz w:val="20"/>
          <w:szCs w:val="20"/>
          <w:rtl/>
        </w:rPr>
        <w:t>אי גוונא? לא, דלמא דעביד כרצועה</w:t>
      </w:r>
      <w:r>
        <w:rPr>
          <w:rFonts w:cs="Arial" w:hint="cs"/>
          <w:sz w:val="20"/>
          <w:szCs w:val="20"/>
          <w:rtl/>
        </w:rPr>
        <w:t>".</w:t>
      </w:r>
      <w:r>
        <w:rPr>
          <w:rFonts w:cs="Arial" w:hint="cs"/>
          <w:sz w:val="20"/>
          <w:szCs w:val="20"/>
          <w:rtl/>
        </w:rPr>
        <w:br/>
        <w:t xml:space="preserve">מעירים הראשונים </w:t>
      </w:r>
      <w:r>
        <w:rPr>
          <w:rFonts w:cs="Arial"/>
          <w:sz w:val="20"/>
          <w:szCs w:val="20"/>
          <w:rtl/>
        </w:rPr>
        <w:t>–</w:t>
      </w:r>
      <w:r>
        <w:rPr>
          <w:rFonts w:cs="Arial" w:hint="cs"/>
          <w:sz w:val="20"/>
          <w:szCs w:val="20"/>
          <w:rtl/>
        </w:rPr>
        <w:t xml:space="preserve"> דחיית הגמרא נאמרה בדרך של דיחוי בעלמא ואין בה ממש, אלא העיקר לדינא כפשט </w:t>
      </w:r>
      <w:r>
        <w:rPr>
          <w:rFonts w:cs="Arial" w:hint="cs"/>
          <w:sz w:val="20"/>
          <w:szCs w:val="20"/>
          <w:rtl/>
        </w:rPr>
        <w:lastRenderedPageBreak/>
        <w:t>הברייתא שהביאו ממנה ראיה לטמא בכה"ג.</w:t>
      </w:r>
      <w:r>
        <w:rPr>
          <w:rFonts w:cs="Arial"/>
          <w:sz w:val="20"/>
          <w:szCs w:val="20"/>
          <w:rtl/>
        </w:rPr>
        <w:br/>
      </w:r>
      <w:r>
        <w:rPr>
          <w:rFonts w:cs="Arial" w:hint="cs"/>
          <w:sz w:val="20"/>
          <w:szCs w:val="20"/>
          <w:rtl/>
        </w:rPr>
        <w:br/>
      </w:r>
      <w:r>
        <w:rPr>
          <w:rFonts w:cs="Arial" w:hint="cs"/>
          <w:sz w:val="20"/>
          <w:szCs w:val="20"/>
          <w:u w:val="single"/>
          <w:rtl/>
        </w:rPr>
        <w:t>קושייה על גמרא זו</w:t>
      </w:r>
      <w:r>
        <w:rPr>
          <w:rFonts w:cs="Arial"/>
          <w:sz w:val="20"/>
          <w:szCs w:val="20"/>
          <w:u w:val="single"/>
          <w:rtl/>
        </w:rPr>
        <w:br/>
      </w:r>
      <w:r>
        <w:rPr>
          <w:rFonts w:cs="Arial" w:hint="cs"/>
          <w:sz w:val="20"/>
          <w:szCs w:val="20"/>
          <w:rtl/>
        </w:rPr>
        <w:t xml:space="preserve">הראשונים שואלים </w:t>
      </w:r>
      <w:r>
        <w:rPr>
          <w:rFonts w:cs="Arial"/>
          <w:sz w:val="20"/>
          <w:szCs w:val="20"/>
          <w:rtl/>
        </w:rPr>
        <w:t>–</w:t>
      </w:r>
      <w:r>
        <w:rPr>
          <w:rFonts w:cs="Arial" w:hint="cs"/>
          <w:sz w:val="20"/>
          <w:szCs w:val="20"/>
          <w:rtl/>
        </w:rPr>
        <w:t xml:space="preserve"> מדוע הגמרא לא פשטה ספק זה מברייתא לקמן (נט.): "</w:t>
      </w:r>
      <w:r w:rsidRPr="00D81685">
        <w:rPr>
          <w:rFonts w:cs="Arial"/>
          <w:sz w:val="20"/>
          <w:szCs w:val="20"/>
          <w:rtl/>
        </w:rPr>
        <w:t>כתם ארוך - מצטרף, טפין טפין - אין מצטרפין</w:t>
      </w:r>
      <w:r>
        <w:rPr>
          <w:rFonts w:cs="Arial" w:hint="cs"/>
          <w:sz w:val="20"/>
          <w:szCs w:val="20"/>
          <w:rtl/>
        </w:rPr>
        <w:t>"</w:t>
      </w:r>
      <w:r w:rsidRPr="00D81685">
        <w:rPr>
          <w:rFonts w:cs="Arial"/>
          <w:sz w:val="20"/>
          <w:szCs w:val="20"/>
          <w:rtl/>
        </w:rPr>
        <w:t>.</w:t>
      </w:r>
      <w:r>
        <w:rPr>
          <w:rFonts w:cs="Arial" w:hint="cs"/>
          <w:sz w:val="20"/>
          <w:szCs w:val="20"/>
          <w:rtl/>
        </w:rPr>
        <w:t xml:space="preserve"> הרי מוכח בברייתא זו</w:t>
      </w:r>
      <w:r>
        <w:rPr>
          <w:rFonts w:hint="cs"/>
          <w:sz w:val="20"/>
          <w:szCs w:val="20"/>
          <w:rtl/>
        </w:rPr>
        <w:t xml:space="preserve"> שטיפות דם אינן מצטרפות לשיעור כתם!</w:t>
      </w:r>
    </w:p>
    <w:p w:rsidR="00620060" w:rsidRDefault="00620060" w:rsidP="00620060">
      <w:pPr>
        <w:rPr>
          <w:sz w:val="20"/>
          <w:szCs w:val="20"/>
          <w:rtl/>
        </w:rPr>
      </w:pPr>
      <w:r>
        <w:rPr>
          <w:rFonts w:hint="cs"/>
          <w:sz w:val="20"/>
          <w:szCs w:val="20"/>
          <w:u w:val="single"/>
          <w:rtl/>
        </w:rPr>
        <w:t>שיטות הראשונים ביישוב הקושייה</w:t>
      </w:r>
      <w:r>
        <w:rPr>
          <w:sz w:val="20"/>
          <w:szCs w:val="20"/>
          <w:u w:val="single"/>
          <w:rtl/>
        </w:rPr>
        <w:br/>
      </w:r>
      <w:r>
        <w:rPr>
          <w:rFonts w:hint="cs"/>
          <w:sz w:val="20"/>
          <w:szCs w:val="20"/>
          <w:rtl/>
        </w:rPr>
        <w:t xml:space="preserve">א. </w:t>
      </w:r>
      <w:r w:rsidRPr="001F1FD0">
        <w:rPr>
          <w:rFonts w:hint="cs"/>
          <w:b/>
          <w:bCs/>
          <w:sz w:val="20"/>
          <w:szCs w:val="20"/>
          <w:rtl/>
        </w:rPr>
        <w:t>תוספות וטור</w:t>
      </w:r>
      <w:r>
        <w:rPr>
          <w:rFonts w:hint="cs"/>
          <w:sz w:val="20"/>
          <w:szCs w:val="20"/>
          <w:rtl/>
        </w:rPr>
        <w:t xml:space="preserve"> </w:t>
      </w:r>
      <w:r>
        <w:rPr>
          <w:sz w:val="20"/>
          <w:szCs w:val="20"/>
          <w:rtl/>
        </w:rPr>
        <w:t>–</w:t>
      </w:r>
      <w:r>
        <w:rPr>
          <w:rFonts w:hint="cs"/>
          <w:sz w:val="20"/>
          <w:szCs w:val="20"/>
          <w:rtl/>
        </w:rPr>
        <w:t xml:space="preserve"> הבעיא של רבי ירמיה היתה לגבי טיפות דם הנמצאות בבשרה, אך הברייתא לקמן עוסקת בטיפות דם הנמצאות בחלוקה. טיפות דם על גוף האשה חמורות טפי ולכן רבי ירמיה מסופק בדינן למרות שהוא יודע שטיפות דם בחלוק אינן מצטרפות.</w:t>
      </w:r>
      <w:r>
        <w:rPr>
          <w:sz w:val="20"/>
          <w:szCs w:val="20"/>
          <w:rtl/>
        </w:rPr>
        <w:br/>
      </w:r>
      <w:r>
        <w:rPr>
          <w:rFonts w:hint="cs"/>
          <w:sz w:val="20"/>
          <w:szCs w:val="20"/>
          <w:rtl/>
        </w:rPr>
        <w:t xml:space="preserve">לדינא </w:t>
      </w:r>
      <w:r>
        <w:rPr>
          <w:sz w:val="20"/>
          <w:szCs w:val="20"/>
          <w:rtl/>
        </w:rPr>
        <w:t>–</w:t>
      </w:r>
      <w:r>
        <w:rPr>
          <w:rFonts w:hint="cs"/>
          <w:sz w:val="20"/>
          <w:szCs w:val="20"/>
          <w:rtl/>
        </w:rPr>
        <w:t xml:space="preserve"> טיפות דם על בשרה מצטרפות</w:t>
      </w:r>
      <w:r>
        <w:rPr>
          <w:rStyle w:val="a5"/>
          <w:sz w:val="20"/>
          <w:szCs w:val="20"/>
          <w:rtl/>
        </w:rPr>
        <w:footnoteReference w:id="270"/>
      </w:r>
      <w:r>
        <w:rPr>
          <w:rFonts w:hint="cs"/>
          <w:sz w:val="20"/>
          <w:szCs w:val="20"/>
          <w:rtl/>
        </w:rPr>
        <w:t xml:space="preserve">, טיפות דם על חלוקה אינן מצטרפות, וכ"פ </w:t>
      </w:r>
      <w:r w:rsidRPr="00B57D31">
        <w:rPr>
          <w:rFonts w:hint="cs"/>
          <w:b/>
          <w:bCs/>
          <w:sz w:val="20"/>
          <w:szCs w:val="20"/>
          <w:rtl/>
        </w:rPr>
        <w:t>הב"ח</w:t>
      </w:r>
      <w:r>
        <w:rPr>
          <w:rFonts w:hint="cs"/>
          <w:sz w:val="20"/>
          <w:szCs w:val="20"/>
          <w:rtl/>
        </w:rPr>
        <w:t>.</w:t>
      </w:r>
      <w:r>
        <w:rPr>
          <w:rFonts w:hint="cs"/>
          <w:sz w:val="20"/>
          <w:szCs w:val="20"/>
          <w:rtl/>
        </w:rPr>
        <w:br/>
        <w:t xml:space="preserve">ב. </w:t>
      </w:r>
      <w:r w:rsidRPr="00805B4F">
        <w:rPr>
          <w:rFonts w:hint="cs"/>
          <w:b/>
          <w:bCs/>
          <w:sz w:val="20"/>
          <w:szCs w:val="20"/>
          <w:rtl/>
        </w:rPr>
        <w:t>רשב"א</w:t>
      </w:r>
      <w:r w:rsidRPr="00213BA5">
        <w:rPr>
          <w:rStyle w:val="a5"/>
          <w:sz w:val="20"/>
          <w:szCs w:val="20"/>
          <w:rtl/>
        </w:rPr>
        <w:footnoteReference w:id="271"/>
      </w:r>
      <w:r w:rsidRPr="00213BA5">
        <w:rPr>
          <w:rFonts w:hint="cs"/>
          <w:sz w:val="20"/>
          <w:szCs w:val="20"/>
          <w:rtl/>
        </w:rPr>
        <w:t xml:space="preserve"> </w:t>
      </w:r>
      <w:r>
        <w:rPr>
          <w:sz w:val="20"/>
          <w:szCs w:val="20"/>
          <w:rtl/>
        </w:rPr>
        <w:t>–</w:t>
      </w:r>
      <w:r>
        <w:rPr>
          <w:rFonts w:hint="cs"/>
          <w:sz w:val="20"/>
          <w:szCs w:val="20"/>
          <w:rtl/>
        </w:rPr>
        <w:t xml:space="preserve"> הבעיא של רבי ירמיה לא נשאלה לגבי צירוף טיפות לשיעור גריס, ודאי שאינן מצטרפות אפילו לא כשהן על בשרה, כפשט הברייתא לקמן. אלא, הבעיא היא האם צורות דם משונות כאלו באו מהמקור, או שמא הצורה המשונה מוכיחה שהדם אינו דם מקור.</w:t>
      </w:r>
      <w:r>
        <w:rPr>
          <w:sz w:val="20"/>
          <w:szCs w:val="20"/>
          <w:rtl/>
        </w:rPr>
        <w:br/>
      </w:r>
      <w:r>
        <w:rPr>
          <w:rFonts w:hint="cs"/>
          <w:sz w:val="20"/>
          <w:szCs w:val="20"/>
          <w:rtl/>
        </w:rPr>
        <w:t>למעשה, מכיוון שבדחיית הגמרא אין ממש, יש לטמא בכל הצורות האלו כיוון שחזקה שהדם מהמקור.</w:t>
      </w:r>
      <w:r>
        <w:rPr>
          <w:sz w:val="20"/>
          <w:szCs w:val="20"/>
          <w:rtl/>
        </w:rPr>
        <w:br/>
      </w:r>
      <w:r>
        <w:rPr>
          <w:rFonts w:hint="cs"/>
          <w:sz w:val="20"/>
          <w:szCs w:val="20"/>
          <w:rtl/>
        </w:rPr>
        <w:t xml:space="preserve">לדינא </w:t>
      </w:r>
      <w:r>
        <w:rPr>
          <w:sz w:val="20"/>
          <w:szCs w:val="20"/>
          <w:rtl/>
        </w:rPr>
        <w:t>–</w:t>
      </w:r>
      <w:r>
        <w:rPr>
          <w:rFonts w:hint="cs"/>
          <w:sz w:val="20"/>
          <w:szCs w:val="20"/>
          <w:rtl/>
        </w:rPr>
        <w:t xml:space="preserve"> טיפות דם אינן מצטרפות לטמא בין בחלוקה ובין בבשרה, וכ"פ </w:t>
      </w:r>
      <w:r w:rsidRPr="00D05CE4">
        <w:rPr>
          <w:rFonts w:hint="cs"/>
          <w:b/>
          <w:bCs/>
          <w:sz w:val="20"/>
          <w:szCs w:val="20"/>
          <w:rtl/>
        </w:rPr>
        <w:t>המחבר</w:t>
      </w:r>
      <w:r>
        <w:rPr>
          <w:rFonts w:hint="cs"/>
          <w:sz w:val="20"/>
          <w:szCs w:val="20"/>
          <w:rtl/>
        </w:rPr>
        <w:t>; צורות דם משונות טמאות.</w:t>
      </w:r>
    </w:p>
    <w:p w:rsidR="00620060" w:rsidRDefault="00620060" w:rsidP="00620060">
      <w:pPr>
        <w:rPr>
          <w:sz w:val="20"/>
          <w:szCs w:val="20"/>
          <w:rtl/>
        </w:rPr>
      </w:pPr>
      <w:r>
        <w:rPr>
          <w:rFonts w:hint="cs"/>
          <w:b/>
          <w:bCs/>
          <w:sz w:val="20"/>
          <w:szCs w:val="20"/>
          <w:rtl/>
        </w:rPr>
        <w:t>פסיקת הלכה</w:t>
      </w:r>
      <w:r>
        <w:rPr>
          <w:b/>
          <w:bCs/>
          <w:sz w:val="20"/>
          <w:szCs w:val="20"/>
          <w:rtl/>
        </w:rPr>
        <w:br/>
      </w:r>
      <w:r w:rsidRPr="00B57D31">
        <w:rPr>
          <w:rFonts w:hint="cs"/>
          <w:sz w:val="20"/>
          <w:szCs w:val="20"/>
          <w:rtl/>
        </w:rPr>
        <w:t>א.</w:t>
      </w:r>
      <w:r>
        <w:rPr>
          <w:rFonts w:hint="cs"/>
          <w:b/>
          <w:bCs/>
          <w:sz w:val="20"/>
          <w:szCs w:val="20"/>
          <w:rtl/>
        </w:rPr>
        <w:t xml:space="preserve"> שולחן ערוך </w:t>
      </w:r>
      <w:r>
        <w:rPr>
          <w:sz w:val="20"/>
          <w:szCs w:val="20"/>
          <w:rtl/>
        </w:rPr>
        <w:t>–</w:t>
      </w:r>
      <w:r>
        <w:rPr>
          <w:rFonts w:hint="cs"/>
          <w:sz w:val="20"/>
          <w:szCs w:val="20"/>
          <w:rtl/>
        </w:rPr>
        <w:t xml:space="preserve"> "</w:t>
      </w:r>
      <w:r w:rsidRPr="007013BC">
        <w:rPr>
          <w:rFonts w:cs="Arial"/>
          <w:sz w:val="20"/>
          <w:szCs w:val="20"/>
          <w:rtl/>
        </w:rPr>
        <w:t xml:space="preserve">אם אין בכתם במקום אחד כגריס ועוד, אף על פי שיש שם טיפין הרבה סמוכין זה לזה עד שאם נצרפם יש בהם יותר מכגריס, טהורה, שאנו תולין כל טיפה וטיפה בכנה עד שיהא בו כגריס ועוד במקום אחד. </w:t>
      </w:r>
      <w:r>
        <w:rPr>
          <w:rFonts w:cs="Arial" w:hint="cs"/>
          <w:sz w:val="20"/>
          <w:szCs w:val="20"/>
          <w:rtl/>
        </w:rPr>
        <w:t>ויש אומרים</w:t>
      </w:r>
      <w:r w:rsidRPr="007013BC">
        <w:rPr>
          <w:rFonts w:cs="Arial"/>
          <w:sz w:val="20"/>
          <w:szCs w:val="20"/>
          <w:rtl/>
        </w:rPr>
        <w:t xml:space="preserve"> דהני מילי כשנמצאו על חלוקה, אבל אם נמצ</w:t>
      </w:r>
      <w:r>
        <w:rPr>
          <w:rFonts w:cs="Arial"/>
          <w:sz w:val="20"/>
          <w:szCs w:val="20"/>
          <w:rtl/>
        </w:rPr>
        <w:t>או על בשרה, מצטרפין לכגריס ועוד</w:t>
      </w:r>
      <w:r>
        <w:rPr>
          <w:rFonts w:cs="Arial" w:hint="cs"/>
          <w:sz w:val="20"/>
          <w:szCs w:val="20"/>
          <w:rtl/>
        </w:rPr>
        <w:t>".</w:t>
      </w:r>
      <w:r>
        <w:rPr>
          <w:rFonts w:hint="cs"/>
          <w:sz w:val="20"/>
          <w:szCs w:val="20"/>
          <w:rtl/>
        </w:rPr>
        <w:br/>
        <w:t xml:space="preserve">ב. </w:t>
      </w:r>
      <w:r w:rsidRPr="00B57D31">
        <w:rPr>
          <w:rFonts w:hint="cs"/>
          <w:b/>
          <w:bCs/>
          <w:sz w:val="20"/>
          <w:szCs w:val="20"/>
          <w:rtl/>
        </w:rPr>
        <w:t xml:space="preserve">ב"ח </w:t>
      </w:r>
      <w:r>
        <w:rPr>
          <w:sz w:val="20"/>
          <w:szCs w:val="20"/>
          <w:rtl/>
        </w:rPr>
        <w:t>–</w:t>
      </w:r>
      <w:r>
        <w:rPr>
          <w:rFonts w:hint="cs"/>
          <w:sz w:val="20"/>
          <w:szCs w:val="20"/>
          <w:rtl/>
        </w:rPr>
        <w:t xml:space="preserve"> הלכה כתוספות וטור, כתם על בשרה מצטרף לגריס אך כתם על חלוקה אינו מצטרף.</w:t>
      </w:r>
    </w:p>
    <w:p w:rsidR="00620060" w:rsidRDefault="00620060" w:rsidP="00620060">
      <w:pPr>
        <w:rPr>
          <w:sz w:val="20"/>
          <w:szCs w:val="20"/>
          <w:rtl/>
        </w:rPr>
      </w:pPr>
      <w:r w:rsidRPr="0018282C">
        <w:rPr>
          <w:rFonts w:hint="cs"/>
          <w:sz w:val="20"/>
          <w:szCs w:val="20"/>
          <w:u w:val="single"/>
          <w:rtl/>
        </w:rPr>
        <w:t>הסבר</w:t>
      </w:r>
      <w:r>
        <w:rPr>
          <w:sz w:val="20"/>
          <w:szCs w:val="20"/>
          <w:rtl/>
        </w:rPr>
        <w:br/>
      </w:r>
      <w:r>
        <w:rPr>
          <w:rFonts w:hint="cs"/>
          <w:sz w:val="20"/>
          <w:szCs w:val="20"/>
          <w:rtl/>
        </w:rPr>
        <w:t xml:space="preserve">המחבר פסק לעיקר הדין כשיטת הרשב"א, כלומר שטיפות דם אינן מצטרפות לטמא בכל עניין. </w:t>
      </w:r>
      <w:r>
        <w:rPr>
          <w:rFonts w:hint="cs"/>
          <w:sz w:val="20"/>
          <w:szCs w:val="20"/>
          <w:rtl/>
        </w:rPr>
        <w:br/>
        <w:t>הוסיף המחבר והביא את שיטת תוספות וטור, שהחמירו בכתם הנמצא בבשרה שטיפות דם מצטרפות.</w:t>
      </w:r>
    </w:p>
    <w:p w:rsidR="00620060" w:rsidRDefault="00620060" w:rsidP="00620060">
      <w:pPr>
        <w:rPr>
          <w:sz w:val="20"/>
          <w:szCs w:val="20"/>
          <w:rtl/>
        </w:rPr>
      </w:pPr>
      <w:r>
        <w:rPr>
          <w:rFonts w:hint="cs"/>
          <w:sz w:val="20"/>
          <w:szCs w:val="20"/>
          <w:u w:val="single"/>
          <w:rtl/>
        </w:rPr>
        <w:t>הערת הש"ך</w:t>
      </w:r>
      <w:r>
        <w:rPr>
          <w:sz w:val="20"/>
          <w:szCs w:val="20"/>
          <w:u w:val="single"/>
          <w:rtl/>
        </w:rPr>
        <w:br/>
      </w:r>
      <w:r>
        <w:rPr>
          <w:rFonts w:hint="cs"/>
          <w:sz w:val="20"/>
          <w:szCs w:val="20"/>
          <w:rtl/>
        </w:rPr>
        <w:t xml:space="preserve">לשיטת הרמב"ם, המובאת לעיל בסעיף ו' בשם יש אומרים, יש לטמא אפילו בטיפת דם בשיעור כל שהוא אם היא נמצאת על בשרה </w:t>
      </w:r>
      <w:r w:rsidRPr="00971523">
        <w:rPr>
          <w:rFonts w:hint="cs"/>
          <w:sz w:val="18"/>
          <w:szCs w:val="18"/>
          <w:rtl/>
        </w:rPr>
        <w:t xml:space="preserve">(וכן היא דעת הרא"ש, כפי שביאר אותה </w:t>
      </w:r>
      <w:r>
        <w:rPr>
          <w:rFonts w:hint="cs"/>
          <w:sz w:val="18"/>
          <w:szCs w:val="18"/>
          <w:rtl/>
        </w:rPr>
        <w:t>ה</w:t>
      </w:r>
      <w:r w:rsidRPr="00971523">
        <w:rPr>
          <w:rFonts w:hint="cs"/>
          <w:sz w:val="18"/>
          <w:szCs w:val="18"/>
          <w:rtl/>
        </w:rPr>
        <w:t>בית יוסף)</w:t>
      </w:r>
      <w:r>
        <w:rPr>
          <w:rFonts w:hint="cs"/>
          <w:sz w:val="20"/>
          <w:szCs w:val="20"/>
          <w:rtl/>
        </w:rPr>
        <w:t>.</w:t>
      </w:r>
    </w:p>
    <w:p w:rsidR="00620060" w:rsidRDefault="00620060" w:rsidP="00620060">
      <w:pPr>
        <w:rPr>
          <w:sz w:val="20"/>
          <w:szCs w:val="20"/>
          <w:rtl/>
        </w:rPr>
      </w:pPr>
      <w:r>
        <w:rPr>
          <w:rFonts w:hint="cs"/>
          <w:sz w:val="20"/>
          <w:szCs w:val="20"/>
          <w:u w:val="single"/>
          <w:rtl/>
        </w:rPr>
        <w:t>כתם הנמצא על בגד מקומט (פת"ש)</w:t>
      </w:r>
      <w:r>
        <w:rPr>
          <w:sz w:val="20"/>
          <w:szCs w:val="20"/>
          <w:u w:val="single"/>
          <w:rtl/>
        </w:rPr>
        <w:br/>
      </w:r>
      <w:r>
        <w:rPr>
          <w:rFonts w:hint="cs"/>
          <w:sz w:val="20"/>
          <w:szCs w:val="20"/>
          <w:rtl/>
        </w:rPr>
        <w:t>כתם הנמצא על קמטים של בגד ויש בו יותר משיעור גריס ועוד, אולם כשמותחים את הבגד והקמטים מתפשטים אין בו שיעור גריס ועוד במקום אחד, האם דינו כטיפות טיפות שאינן מצטרפות?</w:t>
      </w:r>
      <w:r>
        <w:rPr>
          <w:rFonts w:hint="cs"/>
          <w:sz w:val="20"/>
          <w:szCs w:val="20"/>
          <w:u w:val="single"/>
          <w:rtl/>
        </w:rPr>
        <w:br/>
      </w:r>
      <w:r>
        <w:rPr>
          <w:rFonts w:hint="cs"/>
          <w:sz w:val="20"/>
          <w:szCs w:val="20"/>
          <w:rtl/>
        </w:rPr>
        <w:t xml:space="preserve">א. </w:t>
      </w:r>
      <w:r w:rsidRPr="005C3EC6">
        <w:rPr>
          <w:rFonts w:hint="cs"/>
          <w:b/>
          <w:bCs/>
          <w:sz w:val="20"/>
          <w:szCs w:val="20"/>
          <w:rtl/>
        </w:rPr>
        <w:t>בינת אדם</w:t>
      </w:r>
      <w:r>
        <w:rPr>
          <w:rFonts w:hint="cs"/>
          <w:sz w:val="20"/>
          <w:szCs w:val="20"/>
          <w:rtl/>
        </w:rPr>
        <w:t xml:space="preserve"> </w:t>
      </w:r>
      <w:r>
        <w:rPr>
          <w:sz w:val="20"/>
          <w:szCs w:val="20"/>
          <w:rtl/>
        </w:rPr>
        <w:t>–</w:t>
      </w:r>
      <w:r>
        <w:rPr>
          <w:rFonts w:hint="cs"/>
          <w:sz w:val="20"/>
          <w:szCs w:val="20"/>
          <w:rtl/>
        </w:rPr>
        <w:t xml:space="preserve"> הכתם טהור. אולם, אם הבגד תפור צריך עיון מה דינו.</w:t>
      </w:r>
      <w:r>
        <w:rPr>
          <w:sz w:val="20"/>
          <w:szCs w:val="20"/>
          <w:rtl/>
        </w:rPr>
        <w:br/>
      </w:r>
      <w:r w:rsidRPr="00E41776">
        <w:rPr>
          <w:rFonts w:hint="cs"/>
          <w:b/>
          <w:bCs/>
          <w:sz w:val="20"/>
          <w:szCs w:val="20"/>
          <w:rtl/>
        </w:rPr>
        <w:t xml:space="preserve">טעם </w:t>
      </w:r>
      <w:r>
        <w:rPr>
          <w:sz w:val="20"/>
          <w:szCs w:val="20"/>
          <w:rtl/>
        </w:rPr>
        <w:t>–</w:t>
      </w:r>
      <w:r>
        <w:rPr>
          <w:rFonts w:hint="cs"/>
          <w:sz w:val="20"/>
          <w:szCs w:val="20"/>
          <w:rtl/>
        </w:rPr>
        <w:t xml:space="preserve"> כך פוסק הרמב"ם לגבי הלכות טומאת צרעת: "</w:t>
      </w:r>
      <w:r w:rsidRPr="00E41776">
        <w:rPr>
          <w:rFonts w:cs="Arial"/>
          <w:sz w:val="20"/>
          <w:szCs w:val="20"/>
          <w:rtl/>
        </w:rPr>
        <w:t>סדין המקומט מפשיטין את קמטיו ורואין את נגעו</w:t>
      </w:r>
      <w:r>
        <w:rPr>
          <w:rFonts w:hint="cs"/>
          <w:sz w:val="20"/>
          <w:szCs w:val="20"/>
          <w:rtl/>
        </w:rPr>
        <w:t>".</w:t>
      </w:r>
      <w:r>
        <w:rPr>
          <w:sz w:val="20"/>
          <w:szCs w:val="20"/>
          <w:rtl/>
        </w:rPr>
        <w:br/>
      </w:r>
      <w:r>
        <w:rPr>
          <w:rFonts w:hint="cs"/>
          <w:sz w:val="20"/>
          <w:szCs w:val="20"/>
          <w:rtl/>
        </w:rPr>
        <w:t xml:space="preserve">ב. </w:t>
      </w:r>
      <w:r w:rsidRPr="00E41776">
        <w:rPr>
          <w:rFonts w:hint="cs"/>
          <w:b/>
          <w:bCs/>
          <w:sz w:val="20"/>
          <w:szCs w:val="20"/>
          <w:rtl/>
        </w:rPr>
        <w:t>ערוך השולחן</w:t>
      </w:r>
      <w:r>
        <w:rPr>
          <w:rFonts w:hint="cs"/>
          <w:sz w:val="20"/>
          <w:szCs w:val="20"/>
          <w:rtl/>
        </w:rPr>
        <w:t xml:space="preserve">, </w:t>
      </w:r>
      <w:r w:rsidRPr="00E41776">
        <w:rPr>
          <w:rFonts w:hint="cs"/>
          <w:b/>
          <w:bCs/>
          <w:sz w:val="20"/>
          <w:szCs w:val="20"/>
          <w:rtl/>
        </w:rPr>
        <w:t>פתחא זוטא וטהרת הבית</w:t>
      </w:r>
      <w:r>
        <w:rPr>
          <w:rFonts w:hint="cs"/>
          <w:sz w:val="20"/>
          <w:szCs w:val="20"/>
          <w:rtl/>
        </w:rPr>
        <w:t xml:space="preserve"> </w:t>
      </w:r>
      <w:r>
        <w:rPr>
          <w:sz w:val="20"/>
          <w:szCs w:val="20"/>
          <w:rtl/>
        </w:rPr>
        <w:t>–</w:t>
      </w:r>
      <w:r>
        <w:rPr>
          <w:rFonts w:hint="cs"/>
          <w:sz w:val="20"/>
          <w:szCs w:val="20"/>
          <w:rtl/>
        </w:rPr>
        <w:t xml:space="preserve"> הכתם טמא.</w:t>
      </w:r>
      <w:r>
        <w:rPr>
          <w:sz w:val="20"/>
          <w:szCs w:val="20"/>
          <w:rtl/>
        </w:rPr>
        <w:br/>
      </w:r>
      <w:r w:rsidRPr="009F2C09">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בנגע צרעת זו גזרת הכתוב, אך הלכות כתמים הן גזרת חז"ל, והטעם שטיהרו פחות מכגריס משום שיש לתלות במאכולת, אך בכה"ג ברור שהכתם אינו ממאכולת אלא מגופה וטמאה.</w:t>
      </w:r>
    </w:p>
    <w:p w:rsidR="00620060" w:rsidRDefault="00620060" w:rsidP="00620060">
      <w:pPr>
        <w:rPr>
          <w:sz w:val="20"/>
          <w:szCs w:val="20"/>
          <w:rtl/>
        </w:rPr>
      </w:pPr>
      <w:r w:rsidRPr="00AB43E5">
        <w:rPr>
          <w:rFonts w:hint="cs"/>
          <w:b/>
          <w:bCs/>
          <w:sz w:val="20"/>
          <w:szCs w:val="20"/>
          <w:rtl/>
        </w:rPr>
        <w:t>סיכום</w:t>
      </w:r>
      <w:r>
        <w:rPr>
          <w:sz w:val="20"/>
          <w:szCs w:val="20"/>
          <w:rtl/>
        </w:rPr>
        <w:br/>
      </w:r>
      <w:r>
        <w:rPr>
          <w:rFonts w:hint="cs"/>
          <w:sz w:val="20"/>
          <w:szCs w:val="20"/>
          <w:rtl/>
        </w:rPr>
        <w:t xml:space="preserve">1. </w:t>
      </w:r>
      <w:r w:rsidRPr="00AB43E5">
        <w:rPr>
          <w:rFonts w:hint="cs"/>
          <w:b/>
          <w:bCs/>
          <w:sz w:val="20"/>
          <w:szCs w:val="20"/>
          <w:rtl/>
        </w:rPr>
        <w:t>גמרא</w:t>
      </w:r>
      <w:r>
        <w:rPr>
          <w:rFonts w:hint="cs"/>
          <w:sz w:val="20"/>
          <w:szCs w:val="20"/>
          <w:rtl/>
        </w:rPr>
        <w:t xml:space="preserve">. ספק האם כשיר, כשורה וטיפין טיפין טמאים. מסקנת הראשונים </w:t>
      </w:r>
      <w:r>
        <w:rPr>
          <w:sz w:val="20"/>
          <w:szCs w:val="20"/>
          <w:rtl/>
        </w:rPr>
        <w:t>–</w:t>
      </w:r>
      <w:r>
        <w:rPr>
          <w:rFonts w:hint="cs"/>
          <w:sz w:val="20"/>
          <w:szCs w:val="20"/>
          <w:rtl/>
        </w:rPr>
        <w:t xml:space="preserve"> טמאים.</w:t>
      </w:r>
      <w:r>
        <w:rPr>
          <w:sz w:val="20"/>
          <w:szCs w:val="20"/>
          <w:rtl/>
        </w:rPr>
        <w:br/>
      </w:r>
      <w:r>
        <w:rPr>
          <w:rFonts w:hint="cs"/>
          <w:sz w:val="20"/>
          <w:szCs w:val="20"/>
          <w:rtl/>
        </w:rPr>
        <w:t xml:space="preserve">2. קשה </w:t>
      </w:r>
      <w:r>
        <w:rPr>
          <w:sz w:val="20"/>
          <w:szCs w:val="20"/>
          <w:rtl/>
        </w:rPr>
        <w:t>–</w:t>
      </w:r>
      <w:r>
        <w:rPr>
          <w:rFonts w:hint="cs"/>
          <w:sz w:val="20"/>
          <w:szCs w:val="20"/>
          <w:rtl/>
        </w:rPr>
        <w:t xml:space="preserve"> מדוע לא פשטו מברייתא לקמן שטיפין טיפין אינן מצטרפין?</w:t>
      </w:r>
      <w:r>
        <w:rPr>
          <w:rFonts w:hint="cs"/>
          <w:sz w:val="20"/>
          <w:szCs w:val="20"/>
          <w:rtl/>
        </w:rPr>
        <w:br/>
        <w:t xml:space="preserve">3. </w:t>
      </w:r>
      <w:r w:rsidRPr="00AB43E5">
        <w:rPr>
          <w:rFonts w:hint="cs"/>
          <w:b/>
          <w:bCs/>
          <w:sz w:val="20"/>
          <w:szCs w:val="20"/>
          <w:rtl/>
        </w:rPr>
        <w:t>תוספות</w:t>
      </w:r>
      <w:r>
        <w:rPr>
          <w:rFonts w:hint="cs"/>
          <w:sz w:val="20"/>
          <w:szCs w:val="20"/>
          <w:rtl/>
        </w:rPr>
        <w:t xml:space="preserve">. בבגד אינו מצטרף, בבשרה בעיא ולדינא מצטרף. </w:t>
      </w:r>
      <w:r w:rsidRPr="00AB43E5">
        <w:rPr>
          <w:rFonts w:hint="cs"/>
          <w:b/>
          <w:bCs/>
          <w:sz w:val="20"/>
          <w:szCs w:val="20"/>
          <w:rtl/>
        </w:rPr>
        <w:t>רשב"א</w:t>
      </w:r>
      <w:r>
        <w:rPr>
          <w:rFonts w:hint="cs"/>
          <w:sz w:val="20"/>
          <w:szCs w:val="20"/>
          <w:rtl/>
        </w:rPr>
        <w:t xml:space="preserve">. בין בבגד ובין בבשרה אין מצטרף. רבי ירמיה שאל האם צורת הכתם משונה ולכן אינו דם מקור ולא יטמא, מסקנה </w:t>
      </w:r>
      <w:r>
        <w:rPr>
          <w:sz w:val="20"/>
          <w:szCs w:val="20"/>
          <w:rtl/>
        </w:rPr>
        <w:t>–</w:t>
      </w:r>
      <w:r>
        <w:rPr>
          <w:rFonts w:hint="cs"/>
          <w:sz w:val="20"/>
          <w:szCs w:val="20"/>
          <w:rtl/>
        </w:rPr>
        <w:t xml:space="preserve"> זה דם מקור וטמא.</w:t>
      </w:r>
      <w:r>
        <w:rPr>
          <w:sz w:val="20"/>
          <w:szCs w:val="20"/>
          <w:rtl/>
        </w:rPr>
        <w:br/>
      </w:r>
      <w:r>
        <w:rPr>
          <w:rFonts w:hint="cs"/>
          <w:sz w:val="20"/>
          <w:szCs w:val="20"/>
          <w:rtl/>
        </w:rPr>
        <w:t xml:space="preserve">4. </w:t>
      </w:r>
      <w:r w:rsidRPr="00AB43E5">
        <w:rPr>
          <w:rFonts w:hint="cs"/>
          <w:b/>
          <w:bCs/>
          <w:sz w:val="20"/>
          <w:szCs w:val="20"/>
          <w:rtl/>
        </w:rPr>
        <w:t>מחבר</w:t>
      </w:r>
      <w:r>
        <w:rPr>
          <w:rFonts w:hint="cs"/>
          <w:sz w:val="20"/>
          <w:szCs w:val="20"/>
          <w:rtl/>
        </w:rPr>
        <w:t xml:space="preserve">. טיפות אינן מצטרפות וטהורה. יש אומרים שבבשרה הטיפות מצטרפות וטמאה, וכ"פ </w:t>
      </w:r>
      <w:r w:rsidRPr="004650C1">
        <w:rPr>
          <w:rFonts w:hint="cs"/>
          <w:b/>
          <w:bCs/>
          <w:sz w:val="20"/>
          <w:szCs w:val="20"/>
          <w:rtl/>
        </w:rPr>
        <w:t>הב"ח</w:t>
      </w:r>
      <w:r>
        <w:rPr>
          <w:rFonts w:hint="cs"/>
          <w:sz w:val="20"/>
          <w:szCs w:val="20"/>
          <w:rtl/>
        </w:rPr>
        <w:t>.</w:t>
      </w:r>
      <w:r>
        <w:rPr>
          <w:sz w:val="20"/>
          <w:szCs w:val="20"/>
          <w:rtl/>
        </w:rPr>
        <w:br/>
      </w:r>
      <w:r>
        <w:rPr>
          <w:rFonts w:hint="cs"/>
          <w:sz w:val="20"/>
          <w:szCs w:val="20"/>
          <w:rtl/>
        </w:rPr>
        <w:t xml:space="preserve">5. </w:t>
      </w:r>
      <w:r w:rsidRPr="00AB43E5">
        <w:rPr>
          <w:rFonts w:hint="cs"/>
          <w:b/>
          <w:bCs/>
          <w:sz w:val="20"/>
          <w:szCs w:val="20"/>
          <w:rtl/>
        </w:rPr>
        <w:t>ש"ך</w:t>
      </w:r>
      <w:r>
        <w:rPr>
          <w:rFonts w:hint="cs"/>
          <w:sz w:val="20"/>
          <w:szCs w:val="20"/>
          <w:rtl/>
        </w:rPr>
        <w:t xml:space="preserve">. לרמב"ם, טיפת דם בבשרה מטמאת אפילו פחות משיעור גריס. </w:t>
      </w:r>
      <w:r w:rsidRPr="009456CF">
        <w:rPr>
          <w:rFonts w:hint="cs"/>
          <w:sz w:val="18"/>
          <w:szCs w:val="18"/>
          <w:rtl/>
        </w:rPr>
        <w:t xml:space="preserve">[לסיכום - ג' דעות בכתם שבבשרה. </w:t>
      </w:r>
      <w:r w:rsidRPr="009456CF">
        <w:rPr>
          <w:sz w:val="18"/>
          <w:szCs w:val="18"/>
          <w:rtl/>
        </w:rPr>
        <w:br/>
      </w:r>
      <w:r w:rsidRPr="009456CF">
        <w:rPr>
          <w:rFonts w:hint="cs"/>
          <w:sz w:val="18"/>
          <w:szCs w:val="18"/>
          <w:rtl/>
        </w:rPr>
        <w:t xml:space="preserve">א. </w:t>
      </w:r>
      <w:r w:rsidRPr="009456CF">
        <w:rPr>
          <w:rFonts w:hint="cs"/>
          <w:b/>
          <w:bCs/>
          <w:sz w:val="18"/>
          <w:szCs w:val="18"/>
          <w:rtl/>
        </w:rPr>
        <w:t>רמב"ם</w:t>
      </w:r>
      <w:r w:rsidRPr="009456CF">
        <w:rPr>
          <w:rFonts w:hint="cs"/>
          <w:sz w:val="18"/>
          <w:szCs w:val="18"/>
          <w:rtl/>
        </w:rPr>
        <w:t xml:space="preserve">. בכ"ש טמא. ב. </w:t>
      </w:r>
      <w:r w:rsidRPr="009456CF">
        <w:rPr>
          <w:rFonts w:hint="cs"/>
          <w:b/>
          <w:bCs/>
          <w:sz w:val="18"/>
          <w:szCs w:val="18"/>
          <w:rtl/>
        </w:rPr>
        <w:t>תוספות</w:t>
      </w:r>
      <w:r w:rsidRPr="009456CF">
        <w:rPr>
          <w:rFonts w:hint="cs"/>
          <w:sz w:val="18"/>
          <w:szCs w:val="18"/>
          <w:rtl/>
        </w:rPr>
        <w:t xml:space="preserve">. רק אם מצטרף לגריס טמא. ג. </w:t>
      </w:r>
      <w:r w:rsidRPr="009456CF">
        <w:rPr>
          <w:rFonts w:hint="cs"/>
          <w:b/>
          <w:bCs/>
          <w:sz w:val="18"/>
          <w:szCs w:val="18"/>
          <w:rtl/>
        </w:rPr>
        <w:t>רשב"א</w:t>
      </w:r>
      <w:r w:rsidRPr="009456CF">
        <w:rPr>
          <w:rFonts w:hint="cs"/>
          <w:sz w:val="18"/>
          <w:szCs w:val="18"/>
          <w:rtl/>
        </w:rPr>
        <w:t>. רק בגריס ממש טמא].</w:t>
      </w:r>
      <w:r>
        <w:rPr>
          <w:sz w:val="20"/>
          <w:szCs w:val="20"/>
          <w:rtl/>
        </w:rPr>
        <w:br/>
      </w:r>
      <w:r>
        <w:rPr>
          <w:rFonts w:hint="cs"/>
          <w:sz w:val="20"/>
          <w:szCs w:val="20"/>
          <w:rtl/>
        </w:rPr>
        <w:t xml:space="preserve">6. כתם הנמצא על בגד מקומט וע"י פשיטתו אין בו גריס, האם טמא? </w:t>
      </w:r>
      <w:r w:rsidRPr="00AB43E5">
        <w:rPr>
          <w:rFonts w:hint="cs"/>
          <w:b/>
          <w:bCs/>
          <w:sz w:val="20"/>
          <w:szCs w:val="20"/>
          <w:rtl/>
        </w:rPr>
        <w:t>בינ"א</w:t>
      </w:r>
      <w:r>
        <w:rPr>
          <w:rFonts w:hint="cs"/>
          <w:sz w:val="20"/>
          <w:szCs w:val="20"/>
          <w:rtl/>
        </w:rPr>
        <w:t xml:space="preserve">. לא. </w:t>
      </w:r>
      <w:r w:rsidRPr="00AB43E5">
        <w:rPr>
          <w:rFonts w:hint="cs"/>
          <w:b/>
          <w:bCs/>
          <w:sz w:val="20"/>
          <w:szCs w:val="20"/>
          <w:rtl/>
        </w:rPr>
        <w:t>ערוה"ש וטה"ב</w:t>
      </w:r>
      <w:r>
        <w:rPr>
          <w:rFonts w:hint="cs"/>
          <w:sz w:val="20"/>
          <w:szCs w:val="20"/>
          <w:rtl/>
        </w:rPr>
        <w:t>. כן.</w:t>
      </w:r>
    </w:p>
    <w:p w:rsidR="00620060" w:rsidRDefault="00620060" w:rsidP="00620060">
      <w:pPr>
        <w:rPr>
          <w:b/>
          <w:bCs/>
          <w:sz w:val="20"/>
          <w:szCs w:val="20"/>
          <w:rtl/>
        </w:rPr>
      </w:pPr>
      <w:r>
        <w:rPr>
          <w:sz w:val="20"/>
          <w:szCs w:val="20"/>
          <w:rtl/>
        </w:rPr>
        <w:lastRenderedPageBreak/>
        <w:br/>
      </w:r>
      <w:r>
        <w:rPr>
          <w:rFonts w:hint="cs"/>
          <w:b/>
          <w:bCs/>
          <w:sz w:val="20"/>
          <w:szCs w:val="20"/>
          <w:rtl/>
        </w:rPr>
        <w:t xml:space="preserve">סעיף ט </w:t>
      </w:r>
      <w:r>
        <w:rPr>
          <w:b/>
          <w:bCs/>
          <w:sz w:val="20"/>
          <w:szCs w:val="20"/>
          <w:rtl/>
        </w:rPr>
        <w:t>–</w:t>
      </w:r>
      <w:r>
        <w:rPr>
          <w:rFonts w:hint="cs"/>
          <w:b/>
          <w:bCs/>
          <w:sz w:val="20"/>
          <w:szCs w:val="20"/>
          <w:rtl/>
        </w:rPr>
        <w:t xml:space="preserve"> כתמים בצורות משונות</w:t>
      </w:r>
      <w:r>
        <w:rPr>
          <w:rFonts w:hint="cs"/>
          <w:b/>
          <w:bCs/>
          <w:sz w:val="20"/>
          <w:szCs w:val="20"/>
          <w:rtl/>
        </w:rPr>
        <w:br/>
        <w:t>פסיקת הלכה</w:t>
      </w:r>
      <w:r>
        <w:rPr>
          <w:b/>
          <w:bCs/>
          <w:sz w:val="20"/>
          <w:szCs w:val="20"/>
          <w:rtl/>
        </w:rPr>
        <w:br/>
      </w:r>
      <w:r>
        <w:rPr>
          <w:rFonts w:hint="cs"/>
          <w:b/>
          <w:bCs/>
          <w:sz w:val="20"/>
          <w:szCs w:val="20"/>
          <w:rtl/>
        </w:rPr>
        <w:t xml:space="preserve">שולחן ערוך </w:t>
      </w:r>
      <w:r w:rsidRPr="009F2C09">
        <w:rPr>
          <w:rFonts w:hint="cs"/>
          <w:sz w:val="18"/>
          <w:szCs w:val="18"/>
          <w:rtl/>
        </w:rPr>
        <w:t>(העתקת לשון הרמב"ם</w:t>
      </w:r>
      <w:r>
        <w:rPr>
          <w:rStyle w:val="a5"/>
          <w:sz w:val="18"/>
          <w:szCs w:val="18"/>
          <w:rtl/>
        </w:rPr>
        <w:footnoteReference w:id="272"/>
      </w:r>
      <w:r w:rsidRPr="009F2C09">
        <w:rPr>
          <w:rFonts w:hint="cs"/>
          <w:sz w:val="18"/>
          <w:szCs w:val="18"/>
          <w:rtl/>
        </w:rPr>
        <w:t xml:space="preserve">) </w:t>
      </w:r>
      <w:r>
        <w:rPr>
          <w:sz w:val="20"/>
          <w:szCs w:val="20"/>
          <w:rtl/>
        </w:rPr>
        <w:t>–</w:t>
      </w:r>
      <w:r>
        <w:rPr>
          <w:rFonts w:hint="cs"/>
          <w:sz w:val="20"/>
          <w:szCs w:val="20"/>
          <w:rtl/>
        </w:rPr>
        <w:t xml:space="preserve"> "</w:t>
      </w:r>
      <w:r w:rsidRPr="009F2C09">
        <w:rPr>
          <w:rFonts w:cs="Arial"/>
          <w:sz w:val="20"/>
          <w:szCs w:val="20"/>
          <w:rtl/>
        </w:rPr>
        <w:t>כתם הנמצא על בשרה, שהוא ארוך כרצועה או עגול, או שהיו טיפין טיפין, או שהיה אורך הכתם על רוחב יריכה, או שהיה נראה כאילו הוא ממטה למעלה, הואיל והוא כנגד בית תורפה טמאה, ואין אומרים אילו נטף מן הגוף לא היה כזה</w:t>
      </w:r>
      <w:r>
        <w:rPr>
          <w:rFonts w:cs="Arial" w:hint="cs"/>
          <w:sz w:val="20"/>
          <w:szCs w:val="20"/>
          <w:rtl/>
        </w:rPr>
        <w:t>"</w:t>
      </w:r>
      <w:r>
        <w:rPr>
          <w:rStyle w:val="a5"/>
          <w:rFonts w:cs="Arial"/>
          <w:sz w:val="20"/>
          <w:szCs w:val="20"/>
          <w:rtl/>
        </w:rPr>
        <w:footnoteReference w:id="273"/>
      </w:r>
      <w:r w:rsidRPr="009F2C09">
        <w:rPr>
          <w:rFonts w:cs="Arial"/>
          <w:sz w:val="20"/>
          <w:szCs w:val="20"/>
          <w:rtl/>
        </w:rPr>
        <w:t>.</w:t>
      </w:r>
    </w:p>
    <w:p w:rsidR="00620060" w:rsidRDefault="00620060" w:rsidP="00620060">
      <w:pPr>
        <w:rPr>
          <w:b/>
          <w:bCs/>
          <w:sz w:val="20"/>
          <w:szCs w:val="20"/>
          <w:rtl/>
        </w:rPr>
      </w:pPr>
      <w:r>
        <w:rPr>
          <w:b/>
          <w:bCs/>
          <w:sz w:val="20"/>
          <w:szCs w:val="20"/>
          <w:rtl/>
        </w:rPr>
        <w:br/>
      </w:r>
      <w:r>
        <w:rPr>
          <w:rFonts w:hint="cs"/>
          <w:b/>
          <w:bCs/>
          <w:sz w:val="20"/>
          <w:szCs w:val="20"/>
          <w:rtl/>
        </w:rPr>
        <w:t xml:space="preserve">סעיף י </w:t>
      </w:r>
      <w:r>
        <w:rPr>
          <w:b/>
          <w:bCs/>
          <w:sz w:val="20"/>
          <w:szCs w:val="20"/>
          <w:rtl/>
        </w:rPr>
        <w:t>–</w:t>
      </w:r>
      <w:r>
        <w:rPr>
          <w:rFonts w:hint="cs"/>
          <w:b/>
          <w:bCs/>
          <w:sz w:val="20"/>
          <w:szCs w:val="20"/>
          <w:rtl/>
        </w:rPr>
        <w:t xml:space="preserve"> כתם על דבר שאינו מקבל טומאה ועל בגד צבוע</w:t>
      </w:r>
      <w:r>
        <w:rPr>
          <w:b/>
          <w:bCs/>
          <w:sz w:val="20"/>
          <w:szCs w:val="20"/>
          <w:rtl/>
        </w:rPr>
        <w:br/>
      </w:r>
      <w:r>
        <w:rPr>
          <w:rFonts w:hint="cs"/>
          <w:b/>
          <w:bCs/>
          <w:sz w:val="20"/>
          <w:szCs w:val="20"/>
          <w:rtl/>
        </w:rPr>
        <w:t xml:space="preserve">כתם על דבר שאינו מקבל טומאה </w:t>
      </w:r>
      <w:r>
        <w:rPr>
          <w:b/>
          <w:bCs/>
          <w:sz w:val="20"/>
          <w:szCs w:val="20"/>
          <w:rtl/>
        </w:rPr>
        <w:t>–</w:t>
      </w:r>
      <w:r>
        <w:rPr>
          <w:rFonts w:hint="cs"/>
          <w:b/>
          <w:bCs/>
          <w:sz w:val="20"/>
          <w:szCs w:val="20"/>
          <w:rtl/>
        </w:rPr>
        <w:t xml:space="preserve"> מקורות הדין</w:t>
      </w:r>
      <w:r>
        <w:rPr>
          <w:b/>
          <w:bCs/>
          <w:sz w:val="20"/>
          <w:szCs w:val="20"/>
          <w:rtl/>
        </w:rPr>
        <w:br/>
      </w:r>
      <w:r>
        <w:rPr>
          <w:rFonts w:hint="cs"/>
          <w:sz w:val="20"/>
          <w:szCs w:val="20"/>
          <w:rtl/>
        </w:rPr>
        <w:t xml:space="preserve">א. </w:t>
      </w:r>
      <w:r>
        <w:rPr>
          <w:rFonts w:hint="cs"/>
          <w:b/>
          <w:bCs/>
          <w:sz w:val="20"/>
          <w:szCs w:val="20"/>
          <w:rtl/>
        </w:rPr>
        <w:t xml:space="preserve">משנה </w:t>
      </w:r>
      <w:r>
        <w:rPr>
          <w:rFonts w:hint="cs"/>
          <w:sz w:val="20"/>
          <w:szCs w:val="20"/>
          <w:rtl/>
        </w:rPr>
        <w:t>נדה (נט:) "</w:t>
      </w:r>
      <w:r w:rsidRPr="00AF25BF">
        <w:rPr>
          <w:rFonts w:cs="Arial"/>
          <w:sz w:val="20"/>
          <w:szCs w:val="20"/>
          <w:rtl/>
        </w:rPr>
        <w:t>ג' נשים שלבשו חלוק אחד, או שישבו על ספסל אחד ונמצא עליו דם - כולן טמאות. ישבו על ספסל של אבן, או על האיצטבא של מרחץ - רבי נחמיה מטהר, שהיה רבי נחמיה אומר: כל דבר שאי</w:t>
      </w:r>
      <w:r>
        <w:rPr>
          <w:rFonts w:cs="Arial"/>
          <w:sz w:val="20"/>
          <w:szCs w:val="20"/>
          <w:rtl/>
        </w:rPr>
        <w:t>נו מקבל טומאה - אינו מקבל כתמים</w:t>
      </w:r>
      <w:r>
        <w:rPr>
          <w:rFonts w:cs="Arial" w:hint="cs"/>
          <w:sz w:val="20"/>
          <w:szCs w:val="20"/>
          <w:rtl/>
        </w:rPr>
        <w:t>".</w:t>
      </w:r>
      <w:r>
        <w:rPr>
          <w:rFonts w:hint="cs"/>
          <w:b/>
          <w:bCs/>
          <w:sz w:val="20"/>
          <w:szCs w:val="20"/>
          <w:rtl/>
        </w:rPr>
        <w:br/>
        <w:t xml:space="preserve">גמרא </w:t>
      </w:r>
      <w:r>
        <w:rPr>
          <w:rFonts w:hint="cs"/>
          <w:sz w:val="20"/>
          <w:szCs w:val="20"/>
          <w:rtl/>
        </w:rPr>
        <w:t>(שם, ס:) "</w:t>
      </w:r>
      <w:r w:rsidRPr="00AF25BF">
        <w:rPr>
          <w:rFonts w:cs="Arial"/>
          <w:sz w:val="20"/>
          <w:szCs w:val="20"/>
          <w:rtl/>
        </w:rPr>
        <w:t>אמר רב מתנה: מ</w:t>
      </w:r>
      <w:r>
        <w:rPr>
          <w:rFonts w:cs="Arial" w:hint="cs"/>
          <w:sz w:val="20"/>
          <w:szCs w:val="20"/>
          <w:rtl/>
        </w:rPr>
        <w:t xml:space="preserve">אי </w:t>
      </w:r>
      <w:r w:rsidRPr="00AF25BF">
        <w:rPr>
          <w:rFonts w:cs="Arial"/>
          <w:sz w:val="20"/>
          <w:szCs w:val="20"/>
          <w:rtl/>
        </w:rPr>
        <w:t>ט</w:t>
      </w:r>
      <w:r>
        <w:rPr>
          <w:rFonts w:cs="Arial" w:hint="cs"/>
          <w:sz w:val="20"/>
          <w:szCs w:val="20"/>
          <w:rtl/>
        </w:rPr>
        <w:t>עמא</w:t>
      </w:r>
      <w:r w:rsidRPr="00AF25BF">
        <w:rPr>
          <w:rFonts w:cs="Arial"/>
          <w:sz w:val="20"/>
          <w:szCs w:val="20"/>
          <w:rtl/>
        </w:rPr>
        <w:t xml:space="preserve"> דר</w:t>
      </w:r>
      <w:r>
        <w:rPr>
          <w:rFonts w:cs="Arial" w:hint="cs"/>
          <w:sz w:val="20"/>
          <w:szCs w:val="20"/>
          <w:rtl/>
        </w:rPr>
        <w:t>בי</w:t>
      </w:r>
      <w:r w:rsidRPr="00AF25BF">
        <w:rPr>
          <w:rFonts w:cs="Arial"/>
          <w:sz w:val="20"/>
          <w:szCs w:val="20"/>
          <w:rtl/>
        </w:rPr>
        <w:t xml:space="preserve"> נחמיה - דכתיב ונקתה לא</w:t>
      </w:r>
      <w:r>
        <w:rPr>
          <w:rFonts w:cs="Arial"/>
          <w:sz w:val="20"/>
          <w:szCs w:val="20"/>
          <w:rtl/>
        </w:rPr>
        <w:t>רץ תשב, כיון שישבה לארץ - נקתה.</w:t>
      </w:r>
      <w:r>
        <w:rPr>
          <w:rFonts w:cs="Arial" w:hint="cs"/>
          <w:sz w:val="20"/>
          <w:szCs w:val="20"/>
          <w:rtl/>
        </w:rPr>
        <w:t xml:space="preserve">.. </w:t>
      </w:r>
      <w:r w:rsidRPr="00AF25BF">
        <w:rPr>
          <w:rFonts w:cs="Arial"/>
          <w:sz w:val="20"/>
          <w:szCs w:val="20"/>
          <w:rtl/>
        </w:rPr>
        <w:t>דרש רב חייא בר רב מתנה משמיה דרב: הלכה כר' נחמיה. אמר ליה רב נחמן: אבא תני מעשה בא לפני חכמים וט</w:t>
      </w:r>
      <w:r>
        <w:rPr>
          <w:rFonts w:cs="Arial"/>
          <w:sz w:val="20"/>
          <w:szCs w:val="20"/>
          <w:rtl/>
        </w:rPr>
        <w:t>מאום, ואת אמרת הלכה כרבי נחמיה?</w:t>
      </w:r>
      <w:r>
        <w:rPr>
          <w:rFonts w:cs="Arial" w:hint="cs"/>
          <w:sz w:val="20"/>
          <w:szCs w:val="20"/>
          <w:rtl/>
        </w:rPr>
        <w:t xml:space="preserve">... </w:t>
      </w:r>
      <w:r w:rsidRPr="00AF25BF">
        <w:rPr>
          <w:rFonts w:cs="Arial"/>
          <w:sz w:val="20"/>
          <w:szCs w:val="20"/>
          <w:rtl/>
        </w:rPr>
        <w:t>תנאי היא, דתניא: ר</w:t>
      </w:r>
      <w:r>
        <w:rPr>
          <w:rFonts w:cs="Arial" w:hint="cs"/>
          <w:sz w:val="20"/>
          <w:szCs w:val="20"/>
          <w:rtl/>
        </w:rPr>
        <w:t>בי</w:t>
      </w:r>
      <w:r w:rsidRPr="00AF25BF">
        <w:rPr>
          <w:rFonts w:cs="Arial"/>
          <w:sz w:val="20"/>
          <w:szCs w:val="20"/>
          <w:rtl/>
        </w:rPr>
        <w:t xml:space="preserve"> יעקב מטמא, ורבי נחמיה מטהר, והורו חכמים כרבי נחמיה</w:t>
      </w:r>
      <w:r>
        <w:rPr>
          <w:rFonts w:cs="Arial" w:hint="cs"/>
          <w:sz w:val="20"/>
          <w:szCs w:val="20"/>
          <w:rtl/>
        </w:rPr>
        <w:t>"</w:t>
      </w:r>
      <w:r w:rsidRPr="00AF25BF">
        <w:rPr>
          <w:rFonts w:cs="Arial"/>
          <w:sz w:val="20"/>
          <w:szCs w:val="20"/>
          <w:rtl/>
        </w:rPr>
        <w:t>.</w:t>
      </w:r>
    </w:p>
    <w:p w:rsidR="00620060" w:rsidRDefault="00620060" w:rsidP="00620060">
      <w:pPr>
        <w:rPr>
          <w:sz w:val="20"/>
          <w:szCs w:val="20"/>
          <w:rtl/>
        </w:rPr>
      </w:pPr>
      <w:r>
        <w:rPr>
          <w:rFonts w:hint="cs"/>
          <w:sz w:val="20"/>
          <w:szCs w:val="20"/>
          <w:rtl/>
        </w:rPr>
        <w:t xml:space="preserve">ב. </w:t>
      </w:r>
      <w:r w:rsidRPr="00CD15DE">
        <w:rPr>
          <w:rFonts w:hint="cs"/>
          <w:b/>
          <w:bCs/>
          <w:sz w:val="20"/>
          <w:szCs w:val="20"/>
          <w:rtl/>
        </w:rPr>
        <w:t>גמרא</w:t>
      </w:r>
      <w:r>
        <w:rPr>
          <w:rFonts w:hint="cs"/>
          <w:sz w:val="20"/>
          <w:szCs w:val="20"/>
          <w:rtl/>
        </w:rPr>
        <w:t xml:space="preserve"> (שם, נז: - נח.) "</w:t>
      </w:r>
      <w:r w:rsidRPr="00CD15DE">
        <w:rPr>
          <w:rFonts w:cs="Arial"/>
          <w:sz w:val="20"/>
          <w:szCs w:val="20"/>
          <w:rtl/>
        </w:rPr>
        <w:t>אמר שמואל: בדקה קרקע עולם וישבה עליה, ומצאה דם עליה - טהורה, שנאמר בבשרה - עד שתרגיש בבשרה.</w:t>
      </w:r>
      <w:r>
        <w:rPr>
          <w:rFonts w:cs="Arial" w:hint="cs"/>
          <w:sz w:val="20"/>
          <w:szCs w:val="20"/>
          <w:rtl/>
        </w:rPr>
        <w:t xml:space="preserve">.. </w:t>
      </w:r>
      <w:r w:rsidRPr="00CD15DE">
        <w:rPr>
          <w:rFonts w:cs="Arial"/>
          <w:sz w:val="20"/>
          <w:szCs w:val="20"/>
          <w:rtl/>
        </w:rPr>
        <w:t>רב אשי אמר: שמואל הוא דאמר כר</w:t>
      </w:r>
      <w:r>
        <w:rPr>
          <w:rFonts w:cs="Arial" w:hint="cs"/>
          <w:sz w:val="20"/>
          <w:szCs w:val="20"/>
          <w:rtl/>
        </w:rPr>
        <w:t>בי</w:t>
      </w:r>
      <w:r w:rsidRPr="00CD15DE">
        <w:rPr>
          <w:rFonts w:cs="Arial"/>
          <w:sz w:val="20"/>
          <w:szCs w:val="20"/>
          <w:rtl/>
        </w:rPr>
        <w:t xml:space="preserve"> נחמיה, דתנן - ר</w:t>
      </w:r>
      <w:r>
        <w:rPr>
          <w:rFonts w:cs="Arial" w:hint="cs"/>
          <w:sz w:val="20"/>
          <w:szCs w:val="20"/>
          <w:rtl/>
        </w:rPr>
        <w:t>בי</w:t>
      </w:r>
      <w:r w:rsidRPr="00CD15DE">
        <w:rPr>
          <w:rFonts w:cs="Arial"/>
          <w:sz w:val="20"/>
          <w:szCs w:val="20"/>
          <w:rtl/>
        </w:rPr>
        <w:t xml:space="preserve"> נחמיה אומר: כל דבר שאינו מקבל טומאה - אינו מקבל כתמים</w:t>
      </w:r>
      <w:r>
        <w:rPr>
          <w:rFonts w:cs="Arial" w:hint="cs"/>
          <w:sz w:val="20"/>
          <w:szCs w:val="20"/>
          <w:rtl/>
        </w:rPr>
        <w:t>".</w:t>
      </w:r>
    </w:p>
    <w:p w:rsidR="00620060" w:rsidRDefault="00620060" w:rsidP="00620060">
      <w:pPr>
        <w:rPr>
          <w:sz w:val="20"/>
          <w:szCs w:val="20"/>
          <w:rtl/>
        </w:rPr>
      </w:pPr>
      <w:r>
        <w:rPr>
          <w:rFonts w:hint="cs"/>
          <w:b/>
          <w:bCs/>
          <w:sz w:val="20"/>
          <w:szCs w:val="20"/>
          <w:rtl/>
        </w:rPr>
        <w:t>טעם הדין</w:t>
      </w:r>
      <w:r>
        <w:rPr>
          <w:rFonts w:hint="cs"/>
          <w:b/>
          <w:bCs/>
          <w:sz w:val="20"/>
          <w:szCs w:val="20"/>
          <w:rtl/>
        </w:rPr>
        <w:br/>
      </w:r>
      <w:r w:rsidRPr="00692D56">
        <w:rPr>
          <w:rFonts w:hint="cs"/>
          <w:sz w:val="20"/>
          <w:szCs w:val="20"/>
          <w:u w:val="single"/>
          <w:rtl/>
        </w:rPr>
        <w:t>הטעם בגמרא הוא אסמכתא בלבד</w:t>
      </w:r>
      <w:r>
        <w:rPr>
          <w:b/>
          <w:bCs/>
          <w:sz w:val="20"/>
          <w:szCs w:val="20"/>
          <w:rtl/>
        </w:rPr>
        <w:br/>
      </w:r>
      <w:r w:rsidRPr="00692D56">
        <w:rPr>
          <w:rFonts w:hint="cs"/>
          <w:b/>
          <w:bCs/>
          <w:sz w:val="20"/>
          <w:szCs w:val="20"/>
          <w:rtl/>
        </w:rPr>
        <w:t>ערוך לנר</w:t>
      </w:r>
      <w:r>
        <w:rPr>
          <w:rFonts w:hint="cs"/>
          <w:sz w:val="20"/>
          <w:szCs w:val="20"/>
          <w:rtl/>
        </w:rPr>
        <w:t xml:space="preserve"> </w:t>
      </w:r>
      <w:r>
        <w:rPr>
          <w:sz w:val="20"/>
          <w:szCs w:val="20"/>
          <w:rtl/>
        </w:rPr>
        <w:t>–</w:t>
      </w:r>
      <w:r>
        <w:rPr>
          <w:rFonts w:hint="cs"/>
          <w:sz w:val="20"/>
          <w:szCs w:val="20"/>
          <w:rtl/>
        </w:rPr>
        <w:t xml:space="preserve"> למרות שהגמרא אמרה שטעמו של רבי נחמיה הוא ע"פ מה שכתוב "ונקתה לארץ תשב", פשוט לראשונים שאין זה עיקר הטעם אלא זו דרשה בלבד.</w:t>
      </w:r>
      <w:r>
        <w:rPr>
          <w:sz w:val="20"/>
          <w:szCs w:val="20"/>
          <w:rtl/>
        </w:rPr>
        <w:br/>
      </w:r>
      <w:r>
        <w:rPr>
          <w:rFonts w:hint="cs"/>
          <w:sz w:val="20"/>
          <w:szCs w:val="20"/>
          <w:rtl/>
        </w:rPr>
        <w:t>הסיבה לכך היא, משום שכתמים טהורים מדאורייתא וחכמים גזרו עליהם, לכן לא ייתכן שהנביא יאמר שכתם באופן מסויים טהור, הרי בזמן הנביא לא היתה כלל גזרת כתם.</w:t>
      </w:r>
      <w:r>
        <w:rPr>
          <w:sz w:val="20"/>
          <w:szCs w:val="20"/>
          <w:rtl/>
        </w:rPr>
        <w:br/>
      </w:r>
      <w:r>
        <w:rPr>
          <w:rFonts w:hint="cs"/>
          <w:sz w:val="20"/>
          <w:szCs w:val="20"/>
          <w:rtl/>
        </w:rPr>
        <w:t>ועוד, אם מקור הלימוד הוא הפסוק, יש לטהר רק כתם הנמצא בקרקע, אך אין לטהר כל כתם הנמצא על דבר שאינו מקבל טומאה.</w:t>
      </w:r>
    </w:p>
    <w:p w:rsidR="00620060" w:rsidRDefault="00620060" w:rsidP="00620060">
      <w:pPr>
        <w:rPr>
          <w:sz w:val="20"/>
          <w:szCs w:val="20"/>
          <w:rtl/>
        </w:rPr>
      </w:pPr>
      <w:r>
        <w:rPr>
          <w:rFonts w:hint="cs"/>
          <w:sz w:val="20"/>
          <w:szCs w:val="20"/>
          <w:u w:val="single"/>
          <w:rtl/>
        </w:rPr>
        <w:t>טעם הראשונים לדין זה</w:t>
      </w:r>
      <w:r>
        <w:rPr>
          <w:sz w:val="20"/>
          <w:szCs w:val="20"/>
          <w:u w:val="single"/>
          <w:rtl/>
        </w:rPr>
        <w:br/>
      </w:r>
      <w:r>
        <w:rPr>
          <w:rFonts w:hint="cs"/>
          <w:sz w:val="20"/>
          <w:szCs w:val="20"/>
          <w:rtl/>
        </w:rPr>
        <w:t xml:space="preserve">א. </w:t>
      </w:r>
      <w:r w:rsidRPr="00692D56">
        <w:rPr>
          <w:rFonts w:hint="cs"/>
          <w:b/>
          <w:bCs/>
          <w:sz w:val="20"/>
          <w:szCs w:val="20"/>
          <w:rtl/>
        </w:rPr>
        <w:t xml:space="preserve">תוספות </w:t>
      </w:r>
      <w:r>
        <w:rPr>
          <w:sz w:val="20"/>
          <w:szCs w:val="20"/>
          <w:rtl/>
        </w:rPr>
        <w:t>–</w:t>
      </w:r>
      <w:r>
        <w:rPr>
          <w:rFonts w:hint="cs"/>
          <w:sz w:val="20"/>
          <w:szCs w:val="20"/>
          <w:rtl/>
        </w:rPr>
        <w:t xml:space="preserve"> כיוון שהכלי עליו נמצא הכתם טהור, לא רצו חכמים לחלק בין דין הכלי לבין דין האשה וטיהרוה.</w:t>
      </w:r>
      <w:r>
        <w:rPr>
          <w:rStyle w:val="a5"/>
          <w:sz w:val="20"/>
          <w:szCs w:val="20"/>
          <w:rtl/>
        </w:rPr>
        <w:footnoteReference w:id="274"/>
      </w:r>
      <w:r>
        <w:rPr>
          <w:sz w:val="20"/>
          <w:szCs w:val="20"/>
          <w:rtl/>
        </w:rPr>
        <w:br/>
      </w:r>
      <w:r>
        <w:rPr>
          <w:rFonts w:hint="cs"/>
          <w:sz w:val="20"/>
          <w:szCs w:val="20"/>
          <w:rtl/>
        </w:rPr>
        <w:t xml:space="preserve">ב. </w:t>
      </w:r>
      <w:r w:rsidRPr="00314A27">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גזרת כתמים נאמרה בדבר המצוי, ורוב הכתמים נמצאים על דבר המקבל טומאה, כגון בגדיה.</w:t>
      </w:r>
      <w:r>
        <w:rPr>
          <w:rFonts w:hint="cs"/>
          <w:sz w:val="20"/>
          <w:szCs w:val="20"/>
          <w:rtl/>
        </w:rPr>
        <w:br/>
        <w:t xml:space="preserve">ג. </w:t>
      </w:r>
      <w:r w:rsidRPr="006C1288">
        <w:rPr>
          <w:rFonts w:hint="cs"/>
          <w:b/>
          <w:bCs/>
          <w:sz w:val="20"/>
          <w:szCs w:val="20"/>
          <w:rtl/>
        </w:rPr>
        <w:t>ר"ן</w:t>
      </w:r>
      <w:r>
        <w:rPr>
          <w:rFonts w:hint="cs"/>
          <w:sz w:val="20"/>
          <w:szCs w:val="20"/>
          <w:rtl/>
        </w:rPr>
        <w:t xml:space="preserve"> </w:t>
      </w:r>
      <w:r>
        <w:rPr>
          <w:sz w:val="20"/>
          <w:szCs w:val="20"/>
          <w:rtl/>
        </w:rPr>
        <w:t>–</w:t>
      </w:r>
      <w:r>
        <w:rPr>
          <w:rFonts w:hint="cs"/>
          <w:sz w:val="20"/>
          <w:szCs w:val="20"/>
          <w:rtl/>
        </w:rPr>
        <w:t xml:space="preserve"> עיקר גזרת כתם נאמרה לעניין טהרות, ומכיוון שהכלי טמא טימאו גם את האשה, משום שאם יטהרו אותה יבואו גם לטהר את הבגד.</w:t>
      </w:r>
    </w:p>
    <w:p w:rsidR="00620060" w:rsidRDefault="00620060" w:rsidP="00620060">
      <w:pPr>
        <w:rPr>
          <w:b/>
          <w:bCs/>
          <w:sz w:val="20"/>
          <w:szCs w:val="20"/>
          <w:rtl/>
        </w:rPr>
      </w:pPr>
      <w:r>
        <w:rPr>
          <w:rFonts w:hint="cs"/>
          <w:b/>
          <w:bCs/>
          <w:sz w:val="20"/>
          <w:szCs w:val="20"/>
          <w:rtl/>
        </w:rPr>
        <w:t>האם הלכה כרבי נחמיה</w:t>
      </w:r>
      <w:r>
        <w:rPr>
          <w:sz w:val="20"/>
          <w:szCs w:val="20"/>
          <w:rtl/>
        </w:rPr>
        <w:br/>
      </w:r>
      <w:r>
        <w:rPr>
          <w:rFonts w:hint="cs"/>
          <w:sz w:val="20"/>
          <w:szCs w:val="20"/>
          <w:rtl/>
        </w:rPr>
        <w:t xml:space="preserve">א. </w:t>
      </w:r>
      <w:r w:rsidRPr="005508C6">
        <w:rPr>
          <w:rFonts w:hint="cs"/>
          <w:b/>
          <w:bCs/>
          <w:sz w:val="20"/>
          <w:szCs w:val="20"/>
          <w:rtl/>
        </w:rPr>
        <w:t>ראב"ד</w:t>
      </w:r>
      <w:r>
        <w:rPr>
          <w:rFonts w:hint="cs"/>
          <w:sz w:val="20"/>
          <w:szCs w:val="20"/>
          <w:rtl/>
        </w:rPr>
        <w:t xml:space="preserve"> </w:t>
      </w:r>
      <w:r>
        <w:rPr>
          <w:sz w:val="20"/>
          <w:szCs w:val="20"/>
          <w:rtl/>
        </w:rPr>
        <w:t>–</w:t>
      </w:r>
      <w:r>
        <w:rPr>
          <w:rFonts w:hint="cs"/>
          <w:sz w:val="20"/>
          <w:szCs w:val="20"/>
          <w:rtl/>
        </w:rPr>
        <w:t xml:space="preserve"> אין הלכה כרבי נחמיה, כתם מטמא גם על דבר שאינו מקבל טומאה.</w:t>
      </w:r>
      <w:r>
        <w:rPr>
          <w:sz w:val="20"/>
          <w:szCs w:val="20"/>
          <w:rtl/>
        </w:rPr>
        <w:br/>
      </w:r>
      <w:r>
        <w:rPr>
          <w:rFonts w:hint="cs"/>
          <w:b/>
          <w:bCs/>
          <w:sz w:val="20"/>
          <w:szCs w:val="20"/>
          <w:rtl/>
        </w:rPr>
        <w:t>ראיה</w:t>
      </w:r>
      <w:r>
        <w:rPr>
          <w:rFonts w:hint="cs"/>
          <w:sz w:val="20"/>
          <w:szCs w:val="20"/>
          <w:rtl/>
        </w:rPr>
        <w:t xml:space="preserve"> </w:t>
      </w:r>
      <w:r>
        <w:rPr>
          <w:sz w:val="20"/>
          <w:szCs w:val="20"/>
          <w:rtl/>
        </w:rPr>
        <w:t>–</w:t>
      </w:r>
      <w:r>
        <w:rPr>
          <w:rFonts w:hint="cs"/>
          <w:sz w:val="20"/>
          <w:szCs w:val="20"/>
          <w:rtl/>
        </w:rPr>
        <w:t xml:space="preserve"> בגמרא (נח.) מסופר כך: "</w:t>
      </w:r>
      <w:r w:rsidRPr="005508C6">
        <w:rPr>
          <w:rFonts w:cs="Arial"/>
          <w:sz w:val="20"/>
          <w:szCs w:val="20"/>
          <w:rtl/>
        </w:rPr>
        <w:t xml:space="preserve">ההיא איתתא דאשתכח לה דמא במשתיתא, אתאי לקמיה דרבי ינאי, אמר </w:t>
      </w:r>
      <w:r w:rsidRPr="005508C6">
        <w:rPr>
          <w:rFonts w:cs="Arial"/>
          <w:sz w:val="20"/>
          <w:szCs w:val="20"/>
          <w:rtl/>
        </w:rPr>
        <w:lastRenderedPageBreak/>
        <w:t>לה: תיזיל ותיתי</w:t>
      </w:r>
      <w:r>
        <w:rPr>
          <w:rFonts w:hint="cs"/>
          <w:sz w:val="20"/>
          <w:szCs w:val="20"/>
          <w:rtl/>
        </w:rPr>
        <w:t>".</w:t>
      </w:r>
      <w:r>
        <w:rPr>
          <w:rStyle w:val="a5"/>
          <w:sz w:val="20"/>
          <w:szCs w:val="20"/>
          <w:rtl/>
        </w:rPr>
        <w:footnoteReference w:id="275"/>
      </w:r>
      <w:r>
        <w:rPr>
          <w:sz w:val="20"/>
          <w:szCs w:val="20"/>
          <w:rtl/>
        </w:rPr>
        <w:br/>
      </w:r>
      <w:r>
        <w:rPr>
          <w:rFonts w:hint="cs"/>
          <w:sz w:val="20"/>
          <w:szCs w:val="20"/>
          <w:rtl/>
        </w:rPr>
        <w:t xml:space="preserve">טוען הראב"ד </w:t>
      </w:r>
      <w:r>
        <w:rPr>
          <w:sz w:val="20"/>
          <w:szCs w:val="20"/>
          <w:rtl/>
        </w:rPr>
        <w:t>–</w:t>
      </w:r>
      <w:r>
        <w:rPr>
          <w:rFonts w:hint="cs"/>
          <w:sz w:val="20"/>
          <w:szCs w:val="20"/>
          <w:rtl/>
        </w:rPr>
        <w:t xml:space="preserve"> משתיתא הוא פשוטי כלי עץ שאינו מקבל טומאה, ואפילו הכי האשה טמאה.</w:t>
      </w:r>
      <w:r>
        <w:rPr>
          <w:sz w:val="20"/>
          <w:szCs w:val="20"/>
          <w:rtl/>
        </w:rPr>
        <w:br/>
      </w:r>
      <w:r>
        <w:rPr>
          <w:rFonts w:hint="cs"/>
          <w:sz w:val="20"/>
          <w:szCs w:val="20"/>
          <w:rtl/>
        </w:rPr>
        <w:t>ב.</w:t>
      </w:r>
      <w:r w:rsidRPr="009811B7">
        <w:rPr>
          <w:rFonts w:hint="cs"/>
          <w:b/>
          <w:bCs/>
          <w:sz w:val="20"/>
          <w:szCs w:val="20"/>
          <w:rtl/>
        </w:rPr>
        <w:t xml:space="preserve"> רשב"א</w:t>
      </w:r>
      <w:r>
        <w:rPr>
          <w:rFonts w:hint="cs"/>
          <w:sz w:val="20"/>
          <w:szCs w:val="20"/>
          <w:rtl/>
        </w:rPr>
        <w:t xml:space="preserve"> </w:t>
      </w:r>
      <w:r>
        <w:rPr>
          <w:sz w:val="20"/>
          <w:szCs w:val="20"/>
          <w:rtl/>
        </w:rPr>
        <w:t>–</w:t>
      </w:r>
      <w:r>
        <w:rPr>
          <w:rFonts w:hint="cs"/>
          <w:sz w:val="20"/>
          <w:szCs w:val="20"/>
          <w:rtl/>
        </w:rPr>
        <w:t xml:space="preserve"> הלכה כרבי נחמיה, כתם על דבר שאינו מקבל טומאה אינו מטמא, וכ"פ </w:t>
      </w:r>
      <w:r w:rsidRPr="00D04A13">
        <w:rPr>
          <w:rFonts w:hint="cs"/>
          <w:b/>
          <w:bCs/>
          <w:sz w:val="20"/>
          <w:szCs w:val="20"/>
          <w:rtl/>
        </w:rPr>
        <w:t>המחבר</w:t>
      </w:r>
      <w:r>
        <w:rPr>
          <w:rFonts w:hint="cs"/>
          <w:sz w:val="20"/>
          <w:szCs w:val="20"/>
          <w:rtl/>
        </w:rPr>
        <w:t>.</w:t>
      </w:r>
      <w:r>
        <w:rPr>
          <w:sz w:val="20"/>
          <w:szCs w:val="20"/>
          <w:rtl/>
        </w:rPr>
        <w:br/>
      </w:r>
      <w:r w:rsidRPr="009811B7">
        <w:rPr>
          <w:rFonts w:hint="cs"/>
          <w:sz w:val="20"/>
          <w:szCs w:val="20"/>
          <w:u w:val="single"/>
          <w:rtl/>
        </w:rPr>
        <w:t>דחיית ראיית הראב"ד</w:t>
      </w:r>
      <w:r>
        <w:rPr>
          <w:rFonts w:hint="cs"/>
          <w:sz w:val="20"/>
          <w:szCs w:val="20"/>
          <w:rtl/>
        </w:rPr>
        <w:t xml:space="preserve"> </w:t>
      </w:r>
      <w:r>
        <w:rPr>
          <w:sz w:val="20"/>
          <w:szCs w:val="20"/>
          <w:rtl/>
        </w:rPr>
        <w:t>–</w:t>
      </w:r>
      <w:r>
        <w:rPr>
          <w:rFonts w:hint="cs"/>
          <w:sz w:val="20"/>
          <w:szCs w:val="20"/>
          <w:rtl/>
        </w:rPr>
        <w:t xml:space="preserve"> רב חייא משמיה דרב פסק להדיא הלכה הרבי נחמיה, וכיצד נדחה את דבריו מחמת דין משתיתא שאין ידוע לנו מה הוא משתיתא? ושפיר יש לומר שהוא כלי אורגים המקבל טומאה.</w:t>
      </w:r>
      <w:r>
        <w:rPr>
          <w:rFonts w:hint="cs"/>
          <w:sz w:val="20"/>
          <w:szCs w:val="20"/>
          <w:rtl/>
        </w:rPr>
        <w:br/>
        <w:t>ועוד, שמואל סובר כרבי נחמיה, שהרי טיהר אשה שמצאה כתם על הקרקע, כאמור לעיל.</w:t>
      </w:r>
      <w:r>
        <w:rPr>
          <w:sz w:val="20"/>
          <w:szCs w:val="20"/>
          <w:rtl/>
        </w:rPr>
        <w:br/>
      </w:r>
      <w:r>
        <w:rPr>
          <w:rFonts w:hint="cs"/>
          <w:sz w:val="20"/>
          <w:szCs w:val="20"/>
          <w:rtl/>
        </w:rPr>
        <w:t>ועוד, רב הונא ואביי מסבירים את דברי רבי נחמיה</w:t>
      </w:r>
      <w:r>
        <w:rPr>
          <w:rStyle w:val="a5"/>
          <w:sz w:val="20"/>
          <w:szCs w:val="20"/>
          <w:rtl/>
        </w:rPr>
        <w:footnoteReference w:id="276"/>
      </w:r>
      <w:r>
        <w:rPr>
          <w:rFonts w:hint="cs"/>
          <w:sz w:val="20"/>
          <w:szCs w:val="20"/>
          <w:rtl/>
        </w:rPr>
        <w:t>, משמע שסבירא להו כוותיה.</w:t>
      </w:r>
      <w:r>
        <w:rPr>
          <w:rFonts w:hint="cs"/>
          <w:sz w:val="20"/>
          <w:szCs w:val="20"/>
          <w:rtl/>
        </w:rPr>
        <w:br/>
      </w:r>
      <w:r>
        <w:rPr>
          <w:rFonts w:hint="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002BBD">
        <w:rPr>
          <w:rFonts w:cs="Arial"/>
          <w:sz w:val="20"/>
          <w:szCs w:val="20"/>
          <w:rtl/>
        </w:rPr>
        <w:t xml:space="preserve">כתם שנמצא על דבר שאינו מקבל טומאה, לא גזרו עליו. כיצד, בדקה קרקע עולם </w:t>
      </w:r>
      <w:r w:rsidRPr="00336AED">
        <w:rPr>
          <w:rFonts w:cs="Arial"/>
          <w:sz w:val="18"/>
          <w:szCs w:val="18"/>
          <w:rtl/>
        </w:rPr>
        <w:t>(או בית הכסא שאינו מקבל טומאה)</w:t>
      </w:r>
      <w:r w:rsidRPr="00002BBD">
        <w:rPr>
          <w:rFonts w:cs="Arial"/>
          <w:sz w:val="20"/>
          <w:szCs w:val="20"/>
          <w:rtl/>
        </w:rPr>
        <w:t>, או כל דבר שאינו מקבל טומאה, וישבה עליו ומצאה בו כתם</w:t>
      </w:r>
      <w:r>
        <w:rPr>
          <w:rFonts w:cs="Arial" w:hint="cs"/>
          <w:sz w:val="20"/>
          <w:szCs w:val="20"/>
          <w:rtl/>
        </w:rPr>
        <w:t>... טהורה".</w:t>
      </w:r>
      <w:r w:rsidRPr="00002BBD">
        <w:rPr>
          <w:rFonts w:cs="Arial"/>
          <w:sz w:val="20"/>
          <w:szCs w:val="20"/>
          <w:rtl/>
        </w:rPr>
        <w:t xml:space="preserve"> </w:t>
      </w:r>
    </w:p>
    <w:p w:rsidR="00620060" w:rsidRDefault="00620060" w:rsidP="00620060">
      <w:pPr>
        <w:rPr>
          <w:rFonts w:cs="Arial"/>
          <w:sz w:val="20"/>
          <w:szCs w:val="20"/>
          <w:rtl/>
        </w:rPr>
      </w:pPr>
      <w:r w:rsidRPr="00D24A46">
        <w:rPr>
          <w:rFonts w:hint="cs"/>
          <w:sz w:val="20"/>
          <w:szCs w:val="20"/>
          <w:u w:val="single"/>
          <w:rtl/>
        </w:rPr>
        <w:t>דבר שאינו מקבל טומאה מחמת שיעורו</w:t>
      </w:r>
      <w:r>
        <w:rPr>
          <w:sz w:val="20"/>
          <w:szCs w:val="20"/>
          <w:rtl/>
        </w:rPr>
        <w:br/>
      </w:r>
      <w:r w:rsidRPr="00D24A46">
        <w:rPr>
          <w:rFonts w:hint="cs"/>
          <w:b/>
          <w:bCs/>
          <w:sz w:val="20"/>
          <w:szCs w:val="20"/>
          <w:rtl/>
        </w:rPr>
        <w:t>ש"ך</w:t>
      </w:r>
      <w:r>
        <w:rPr>
          <w:rFonts w:hint="cs"/>
          <w:sz w:val="20"/>
          <w:szCs w:val="20"/>
          <w:rtl/>
        </w:rPr>
        <w:t xml:space="preserve"> - אפילו דבר שאינו מקבל טומאה רק מחמת ששיעורו גרם לו </w:t>
      </w:r>
      <w:r>
        <w:rPr>
          <w:sz w:val="20"/>
          <w:szCs w:val="20"/>
          <w:rtl/>
        </w:rPr>
        <w:t>–</w:t>
      </w:r>
      <w:r>
        <w:rPr>
          <w:rFonts w:hint="cs"/>
          <w:sz w:val="20"/>
          <w:szCs w:val="20"/>
          <w:rtl/>
        </w:rPr>
        <w:t xml:space="preserve"> הכתם טהור.</w:t>
      </w:r>
      <w:r>
        <w:rPr>
          <w:sz w:val="20"/>
          <w:szCs w:val="20"/>
          <w:rtl/>
        </w:rPr>
        <w:br/>
      </w:r>
      <w:r w:rsidRPr="00D24A46">
        <w:rPr>
          <w:rFonts w:hint="cs"/>
          <w:b/>
          <w:bCs/>
          <w:sz w:val="20"/>
          <w:szCs w:val="20"/>
          <w:rtl/>
        </w:rPr>
        <w:t>ראיה</w:t>
      </w:r>
      <w:r>
        <w:rPr>
          <w:rFonts w:hint="cs"/>
          <w:sz w:val="20"/>
          <w:szCs w:val="20"/>
          <w:rtl/>
        </w:rPr>
        <w:t xml:space="preserve"> </w:t>
      </w:r>
      <w:r>
        <w:rPr>
          <w:sz w:val="20"/>
          <w:szCs w:val="20"/>
          <w:rtl/>
        </w:rPr>
        <w:t>–</w:t>
      </w:r>
      <w:r>
        <w:rPr>
          <w:rFonts w:hint="cs"/>
          <w:sz w:val="20"/>
          <w:szCs w:val="20"/>
          <w:rtl/>
        </w:rPr>
        <w:t xml:space="preserve"> כך נאמר להדיא בגמרא</w:t>
      </w:r>
      <w:r>
        <w:rPr>
          <w:rFonts w:cs="Arial" w:hint="cs"/>
          <w:sz w:val="18"/>
          <w:szCs w:val="18"/>
          <w:rtl/>
        </w:rPr>
        <w:t xml:space="preserve"> (ס:)</w:t>
      </w:r>
      <w:r w:rsidRPr="00D24A46">
        <w:rPr>
          <w:rFonts w:cs="Arial"/>
          <w:sz w:val="18"/>
          <w:szCs w:val="18"/>
          <w:rtl/>
        </w:rPr>
        <w:t xml:space="preserve"> </w:t>
      </w:r>
      <w:r>
        <w:rPr>
          <w:rFonts w:cs="Arial" w:hint="cs"/>
          <w:sz w:val="18"/>
          <w:szCs w:val="18"/>
          <w:rtl/>
        </w:rPr>
        <w:t>"</w:t>
      </w:r>
      <w:r w:rsidRPr="00D24A46">
        <w:rPr>
          <w:rFonts w:cs="Arial"/>
          <w:sz w:val="20"/>
          <w:szCs w:val="20"/>
          <w:rtl/>
        </w:rPr>
        <w:t>אמר אביי: מטהר היה ר</w:t>
      </w:r>
      <w:r w:rsidRPr="00D24A46">
        <w:rPr>
          <w:rFonts w:cs="Arial" w:hint="cs"/>
          <w:sz w:val="20"/>
          <w:szCs w:val="20"/>
          <w:rtl/>
        </w:rPr>
        <w:t>בי</w:t>
      </w:r>
      <w:r w:rsidRPr="00D24A46">
        <w:rPr>
          <w:rFonts w:cs="Arial"/>
          <w:sz w:val="20"/>
          <w:szCs w:val="20"/>
          <w:rtl/>
        </w:rPr>
        <w:t xml:space="preserve"> נחמיה במטלניות שאין בהן שלש על שלש</w:t>
      </w:r>
      <w:r>
        <w:rPr>
          <w:rFonts w:cs="Arial" w:hint="cs"/>
          <w:sz w:val="20"/>
          <w:szCs w:val="20"/>
          <w:rtl/>
        </w:rPr>
        <w:t>".</w:t>
      </w:r>
    </w:p>
    <w:p w:rsidR="00620060" w:rsidRDefault="00620060" w:rsidP="00620060">
      <w:pPr>
        <w:rPr>
          <w:sz w:val="20"/>
          <w:szCs w:val="20"/>
          <w:rtl/>
        </w:rPr>
      </w:pPr>
      <w:r>
        <w:rPr>
          <w:rFonts w:cs="Arial" w:hint="cs"/>
          <w:sz w:val="20"/>
          <w:szCs w:val="20"/>
          <w:u w:val="single"/>
          <w:rtl/>
        </w:rPr>
        <w:t>כתם שנמצא על קיר הבית (ש"ך ופת"ש)</w:t>
      </w:r>
      <w:r>
        <w:rPr>
          <w:rFonts w:cs="Arial"/>
          <w:sz w:val="20"/>
          <w:szCs w:val="20"/>
          <w:u w:val="single"/>
          <w:rtl/>
        </w:rPr>
        <w:br/>
      </w:r>
      <w:r w:rsidRPr="00F05441">
        <w:rPr>
          <w:rFonts w:cs="Arial" w:hint="cs"/>
          <w:b/>
          <w:bCs/>
          <w:sz w:val="20"/>
          <w:szCs w:val="20"/>
          <w:rtl/>
        </w:rPr>
        <w:t>גמרא</w:t>
      </w:r>
      <w:r w:rsidRPr="00F05441">
        <w:rPr>
          <w:rFonts w:hint="cs"/>
          <w:b/>
          <w:bCs/>
          <w:sz w:val="20"/>
          <w:szCs w:val="20"/>
          <w:rtl/>
        </w:rPr>
        <w:t xml:space="preserve"> </w:t>
      </w:r>
      <w:r>
        <w:rPr>
          <w:rFonts w:hint="cs"/>
          <w:sz w:val="20"/>
          <w:szCs w:val="20"/>
          <w:rtl/>
        </w:rPr>
        <w:t>(נח.) "</w:t>
      </w:r>
      <w:r w:rsidRPr="005508C6">
        <w:rPr>
          <w:rFonts w:cs="Arial"/>
          <w:sz w:val="20"/>
          <w:szCs w:val="20"/>
          <w:rtl/>
        </w:rPr>
        <w:t>ההיא איתתא דאשתכח לה דמא במשתיתא, אתאי לקמיה דרבי ינאי, אמר לה: תיזיל ותיתי</w:t>
      </w:r>
      <w:r>
        <w:rPr>
          <w:rFonts w:hint="cs"/>
          <w:sz w:val="20"/>
          <w:szCs w:val="20"/>
          <w:rtl/>
        </w:rPr>
        <w:t>".</w:t>
      </w:r>
      <w:r>
        <w:rPr>
          <w:sz w:val="20"/>
          <w:szCs w:val="20"/>
          <w:rtl/>
        </w:rPr>
        <w:br/>
      </w:r>
      <w:r w:rsidRPr="00F05441">
        <w:rPr>
          <w:rFonts w:hint="cs"/>
          <w:b/>
          <w:bCs/>
          <w:sz w:val="20"/>
          <w:szCs w:val="20"/>
          <w:rtl/>
        </w:rPr>
        <w:t>תוספות</w:t>
      </w:r>
      <w:r>
        <w:rPr>
          <w:rFonts w:hint="cs"/>
          <w:sz w:val="20"/>
          <w:szCs w:val="20"/>
          <w:rtl/>
        </w:rPr>
        <w:t xml:space="preserve"> </w:t>
      </w:r>
      <w:r>
        <w:rPr>
          <w:sz w:val="20"/>
          <w:szCs w:val="20"/>
          <w:rtl/>
        </w:rPr>
        <w:t>–</w:t>
      </w:r>
      <w:r>
        <w:rPr>
          <w:rFonts w:hint="cs"/>
          <w:sz w:val="20"/>
          <w:szCs w:val="20"/>
          <w:rtl/>
        </w:rPr>
        <w:t xml:space="preserve"> קשה, הרי משתיתא אינה מקבלת טומאה ומדוע הכתם טמא?</w:t>
      </w:r>
      <w:r>
        <w:rPr>
          <w:rFonts w:hint="cs"/>
          <w:sz w:val="20"/>
          <w:szCs w:val="20"/>
          <w:rtl/>
        </w:rPr>
        <w:br/>
        <w:t xml:space="preserve">ויש לומר </w:t>
      </w:r>
      <w:r>
        <w:rPr>
          <w:sz w:val="20"/>
          <w:szCs w:val="20"/>
          <w:rtl/>
        </w:rPr>
        <w:t>–</w:t>
      </w:r>
      <w:r>
        <w:rPr>
          <w:rFonts w:hint="cs"/>
          <w:sz w:val="20"/>
          <w:szCs w:val="20"/>
          <w:rtl/>
        </w:rPr>
        <w:t xml:space="preserve"> כיוון שהיא מקבלת טומאת נגעים הכתם טמא.</w:t>
      </w:r>
      <w:r>
        <w:rPr>
          <w:rFonts w:cs="Arial"/>
          <w:sz w:val="20"/>
          <w:szCs w:val="20"/>
          <w:rtl/>
        </w:rPr>
        <w:br/>
      </w:r>
      <w:r>
        <w:rPr>
          <w:rFonts w:hint="cs"/>
          <w:sz w:val="20"/>
          <w:szCs w:val="20"/>
          <w:rtl/>
        </w:rPr>
        <w:t>ועל פי דברי תוספות האלו, כתב הש"ך שכל דבר המקבל טומאת נגעים</w:t>
      </w:r>
      <w:r>
        <w:rPr>
          <w:rFonts w:hint="cs"/>
          <w:b/>
          <w:bCs/>
          <w:sz w:val="20"/>
          <w:szCs w:val="20"/>
          <w:rtl/>
        </w:rPr>
        <w:t xml:space="preserve"> </w:t>
      </w:r>
      <w:r>
        <w:rPr>
          <w:rFonts w:hint="cs"/>
          <w:sz w:val="20"/>
          <w:szCs w:val="20"/>
          <w:rtl/>
        </w:rPr>
        <w:t>מקבל טומאת כתם.</w:t>
      </w:r>
      <w:r>
        <w:rPr>
          <w:rFonts w:hint="cs"/>
          <w:sz w:val="20"/>
          <w:szCs w:val="20"/>
          <w:rtl/>
        </w:rPr>
        <w:br/>
      </w:r>
      <w:r>
        <w:rPr>
          <w:sz w:val="20"/>
          <w:szCs w:val="20"/>
          <w:rtl/>
        </w:rPr>
        <w:br/>
      </w:r>
      <w:r>
        <w:rPr>
          <w:rFonts w:hint="cs"/>
          <w:sz w:val="20"/>
          <w:szCs w:val="20"/>
          <w:rtl/>
        </w:rPr>
        <w:t xml:space="preserve">ולפי"ז נחלקו האחרונים בכתם הנמצא בבית, כגון בקיר או ברצפה האם מקבל טומאה - </w:t>
      </w:r>
      <w:r>
        <w:rPr>
          <w:sz w:val="20"/>
          <w:szCs w:val="20"/>
          <w:rtl/>
        </w:rPr>
        <w:br/>
      </w:r>
      <w:r>
        <w:rPr>
          <w:rFonts w:hint="cs"/>
          <w:sz w:val="20"/>
          <w:szCs w:val="20"/>
          <w:rtl/>
        </w:rPr>
        <w:t xml:space="preserve">א. </w:t>
      </w:r>
      <w:r w:rsidRPr="00C86913">
        <w:rPr>
          <w:rFonts w:hint="cs"/>
          <w:b/>
          <w:bCs/>
          <w:sz w:val="20"/>
          <w:szCs w:val="20"/>
          <w:rtl/>
        </w:rPr>
        <w:t>תורת השלמים</w:t>
      </w:r>
      <w:r>
        <w:rPr>
          <w:rFonts w:hint="cs"/>
          <w:sz w:val="20"/>
          <w:szCs w:val="20"/>
          <w:rtl/>
        </w:rPr>
        <w:t xml:space="preserve"> </w:t>
      </w:r>
      <w:r>
        <w:rPr>
          <w:sz w:val="20"/>
          <w:szCs w:val="20"/>
          <w:rtl/>
        </w:rPr>
        <w:t>–</w:t>
      </w:r>
      <w:r>
        <w:rPr>
          <w:rFonts w:hint="cs"/>
          <w:sz w:val="20"/>
          <w:szCs w:val="20"/>
          <w:rtl/>
        </w:rPr>
        <w:t xml:space="preserve"> אפשר שכתם הנמצא בכה"ג בבית טמא.</w:t>
      </w:r>
      <w:r>
        <w:rPr>
          <w:sz w:val="20"/>
          <w:szCs w:val="20"/>
          <w:rtl/>
        </w:rPr>
        <w:br/>
      </w:r>
      <w:r>
        <w:rPr>
          <w:rFonts w:hint="cs"/>
          <w:sz w:val="20"/>
          <w:szCs w:val="20"/>
          <w:rtl/>
        </w:rPr>
        <w:t xml:space="preserve">ב. </w:t>
      </w:r>
      <w:r w:rsidRPr="00C86913">
        <w:rPr>
          <w:rFonts w:hint="cs"/>
          <w:b/>
          <w:bCs/>
          <w:sz w:val="20"/>
          <w:szCs w:val="20"/>
          <w:rtl/>
        </w:rPr>
        <w:t>סדרי טהרה וכרתי ופלתי</w:t>
      </w:r>
      <w:r>
        <w:rPr>
          <w:rFonts w:hint="cs"/>
          <w:sz w:val="20"/>
          <w:szCs w:val="20"/>
          <w:rtl/>
        </w:rPr>
        <w:t xml:space="preserve"> </w:t>
      </w:r>
      <w:r>
        <w:rPr>
          <w:sz w:val="20"/>
          <w:szCs w:val="20"/>
          <w:rtl/>
        </w:rPr>
        <w:t>–</w:t>
      </w:r>
      <w:r>
        <w:rPr>
          <w:rFonts w:hint="cs"/>
          <w:sz w:val="20"/>
          <w:szCs w:val="20"/>
          <w:rtl/>
        </w:rPr>
        <w:t xml:space="preserve"> הכתם אינו טמא, כוונת תוספות והש"ך לטמא רק בכלים שמקבלים טומאת נגעים אך לא בבניין, וכן משמע שהכריע </w:t>
      </w:r>
      <w:r w:rsidRPr="00C86913">
        <w:rPr>
          <w:rFonts w:hint="cs"/>
          <w:b/>
          <w:bCs/>
          <w:sz w:val="20"/>
          <w:szCs w:val="20"/>
          <w:rtl/>
        </w:rPr>
        <w:t>הפת"ש</w:t>
      </w:r>
      <w:r>
        <w:rPr>
          <w:rFonts w:hint="cs"/>
          <w:sz w:val="20"/>
          <w:szCs w:val="20"/>
          <w:rtl/>
        </w:rPr>
        <w:t xml:space="preserve"> לדינא.</w:t>
      </w:r>
    </w:p>
    <w:p w:rsidR="00620060" w:rsidRDefault="00620060" w:rsidP="00620060">
      <w:pPr>
        <w:rPr>
          <w:b/>
          <w:bCs/>
          <w:sz w:val="20"/>
          <w:szCs w:val="20"/>
          <w:rtl/>
        </w:rPr>
      </w:pPr>
      <w:r>
        <w:rPr>
          <w:rFonts w:hint="cs"/>
          <w:sz w:val="20"/>
          <w:szCs w:val="20"/>
          <w:u w:val="single"/>
          <w:rtl/>
        </w:rPr>
        <w:t>דבר המקבל טומאה מדרבנן (פת"ש)</w:t>
      </w:r>
      <w:r>
        <w:rPr>
          <w:rFonts w:hint="cs"/>
          <w:sz w:val="20"/>
          <w:szCs w:val="20"/>
          <w:u w:val="single"/>
          <w:rtl/>
        </w:rPr>
        <w:br/>
      </w:r>
      <w:r w:rsidRPr="00C86913">
        <w:rPr>
          <w:rFonts w:hint="cs"/>
          <w:b/>
          <w:bCs/>
          <w:sz w:val="20"/>
          <w:szCs w:val="20"/>
          <w:rtl/>
        </w:rPr>
        <w:t>נודע ביהודה</w:t>
      </w:r>
      <w:r>
        <w:rPr>
          <w:rFonts w:hint="cs"/>
          <w:sz w:val="20"/>
          <w:szCs w:val="20"/>
          <w:rtl/>
        </w:rPr>
        <w:t xml:space="preserve"> </w:t>
      </w:r>
      <w:r>
        <w:rPr>
          <w:sz w:val="20"/>
          <w:szCs w:val="20"/>
          <w:rtl/>
        </w:rPr>
        <w:t>–</w:t>
      </w:r>
      <w:r>
        <w:rPr>
          <w:rFonts w:hint="cs"/>
          <w:sz w:val="20"/>
          <w:szCs w:val="20"/>
          <w:rtl/>
        </w:rPr>
        <w:t xml:space="preserve"> גם כתם הנמצא על דבר שמקבל טומאה מדרבנן, טמא.</w:t>
      </w:r>
    </w:p>
    <w:p w:rsidR="00620060" w:rsidRPr="00B32FE4" w:rsidRDefault="00620060" w:rsidP="00620060">
      <w:pPr>
        <w:rPr>
          <w:sz w:val="20"/>
          <w:szCs w:val="20"/>
          <w:rtl/>
        </w:rPr>
      </w:pPr>
      <w:r>
        <w:rPr>
          <w:rFonts w:hint="cs"/>
          <w:sz w:val="20"/>
          <w:szCs w:val="20"/>
          <w:u w:val="single"/>
          <w:rtl/>
        </w:rPr>
        <w:t>האם נייר מקבל טומאה? (פת"ש)</w:t>
      </w:r>
      <w:r>
        <w:rPr>
          <w:rFonts w:hint="cs"/>
          <w:sz w:val="20"/>
          <w:szCs w:val="20"/>
          <w:u w:val="single"/>
          <w:rtl/>
        </w:rPr>
        <w:br/>
      </w:r>
      <w:r w:rsidRPr="00CA22B3">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נייר אינו מקבל טומאה.</w:t>
      </w:r>
      <w:r>
        <w:rPr>
          <w:sz w:val="20"/>
          <w:szCs w:val="20"/>
          <w:rtl/>
        </w:rPr>
        <w:br/>
      </w:r>
      <w:r>
        <w:rPr>
          <w:rFonts w:hint="cs"/>
          <w:sz w:val="20"/>
          <w:szCs w:val="20"/>
          <w:rtl/>
        </w:rPr>
        <w:br/>
        <w:t xml:space="preserve">שיטות האחרונים - </w:t>
      </w:r>
      <w:r>
        <w:rPr>
          <w:rFonts w:hint="cs"/>
          <w:sz w:val="20"/>
          <w:szCs w:val="20"/>
          <w:rtl/>
        </w:rPr>
        <w:br/>
        <w:t xml:space="preserve">א. </w:t>
      </w:r>
      <w:r>
        <w:rPr>
          <w:rFonts w:hint="cs"/>
          <w:b/>
          <w:bCs/>
          <w:sz w:val="20"/>
          <w:szCs w:val="20"/>
          <w:rtl/>
        </w:rPr>
        <w:t xml:space="preserve">חתם סופר </w:t>
      </w:r>
      <w:r>
        <w:rPr>
          <w:sz w:val="20"/>
          <w:szCs w:val="20"/>
          <w:rtl/>
        </w:rPr>
        <w:t>–</w:t>
      </w:r>
      <w:r>
        <w:rPr>
          <w:rFonts w:hint="cs"/>
          <w:sz w:val="20"/>
          <w:szCs w:val="20"/>
          <w:rtl/>
        </w:rPr>
        <w:t xml:space="preserve"> נייר אינו מקבל טומאה.</w:t>
      </w:r>
      <w:r>
        <w:rPr>
          <w:sz w:val="20"/>
          <w:szCs w:val="20"/>
          <w:rtl/>
        </w:rPr>
        <w:br/>
      </w:r>
      <w:r w:rsidRPr="00342098">
        <w:rPr>
          <w:rFonts w:hint="cs"/>
          <w:b/>
          <w:bCs/>
          <w:sz w:val="20"/>
          <w:szCs w:val="20"/>
          <w:rtl/>
        </w:rPr>
        <w:t xml:space="preserve">טעם </w:t>
      </w:r>
      <w:r>
        <w:rPr>
          <w:sz w:val="20"/>
          <w:szCs w:val="20"/>
          <w:rtl/>
        </w:rPr>
        <w:t>–</w:t>
      </w:r>
      <w:r>
        <w:rPr>
          <w:rFonts w:hint="cs"/>
          <w:sz w:val="20"/>
          <w:szCs w:val="20"/>
          <w:rtl/>
        </w:rPr>
        <w:t xml:space="preserve"> חומר הגלם ממנו עשוי הנייר נכתש היטב ונמס במים באופן שכעת פנים חדשות באו לכאן וטהור.</w:t>
      </w:r>
      <w:r>
        <w:rPr>
          <w:rFonts w:hint="cs"/>
          <w:b/>
          <w:bCs/>
          <w:sz w:val="20"/>
          <w:szCs w:val="20"/>
          <w:rtl/>
        </w:rPr>
        <w:br/>
        <w:t xml:space="preserve">אגרות משה </w:t>
      </w:r>
      <w:r>
        <w:rPr>
          <w:sz w:val="20"/>
          <w:szCs w:val="20"/>
          <w:rtl/>
        </w:rPr>
        <w:t>–</w:t>
      </w:r>
      <w:r>
        <w:rPr>
          <w:rFonts w:hint="cs"/>
          <w:sz w:val="20"/>
          <w:szCs w:val="20"/>
          <w:rtl/>
        </w:rPr>
        <w:t xml:space="preserve"> נייר שלנו אינו מקבל טומאה.</w:t>
      </w:r>
      <w:r>
        <w:rPr>
          <w:sz w:val="20"/>
          <w:szCs w:val="20"/>
          <w:rtl/>
        </w:rPr>
        <w:br/>
      </w:r>
      <w:r w:rsidRPr="00D51AD4">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הנייר שלנו דק ואינו ראוי לכבסו ולהשתמש בו שנית, וכמו שהוא מלוכלך בוודאי אינו ראוי לשימוש חוזר והוא כקרוע ומושחת משום תשמיש, וכל שכן נייר טואלט שהוא רך מאוד ואינו ראוי לשימוש חוזר.- </w:t>
      </w:r>
      <w:r>
        <w:rPr>
          <w:sz w:val="20"/>
          <w:szCs w:val="20"/>
          <w:rtl/>
        </w:rPr>
        <w:br/>
      </w:r>
      <w:r>
        <w:rPr>
          <w:rFonts w:hint="cs"/>
          <w:sz w:val="20"/>
          <w:szCs w:val="20"/>
          <w:rtl/>
        </w:rPr>
        <w:t xml:space="preserve">ב. </w:t>
      </w:r>
      <w:r w:rsidRPr="00CA22B3">
        <w:rPr>
          <w:rFonts w:hint="cs"/>
          <w:b/>
          <w:bCs/>
          <w:sz w:val="20"/>
          <w:szCs w:val="20"/>
          <w:rtl/>
        </w:rPr>
        <w:t>נודע ביהודה</w:t>
      </w:r>
      <w:r>
        <w:rPr>
          <w:rFonts w:hint="cs"/>
          <w:sz w:val="20"/>
          <w:szCs w:val="20"/>
          <w:rtl/>
        </w:rPr>
        <w:t xml:space="preserve"> </w:t>
      </w:r>
      <w:r>
        <w:rPr>
          <w:sz w:val="20"/>
          <w:szCs w:val="20"/>
          <w:rtl/>
        </w:rPr>
        <w:t>–</w:t>
      </w:r>
      <w:r>
        <w:rPr>
          <w:rFonts w:hint="cs"/>
          <w:sz w:val="20"/>
          <w:szCs w:val="20"/>
          <w:rtl/>
        </w:rPr>
        <w:t xml:space="preserve"> נייר מקבל טומאה, הן נייר העשוי מעשבים והן נייר העשוי מבלויי סחבות.</w:t>
      </w:r>
      <w:r>
        <w:rPr>
          <w:sz w:val="20"/>
          <w:szCs w:val="20"/>
          <w:rtl/>
        </w:rPr>
        <w:br/>
      </w:r>
      <w:r>
        <w:rPr>
          <w:rFonts w:hint="cs"/>
          <w:sz w:val="20"/>
          <w:szCs w:val="20"/>
          <w:rtl/>
        </w:rPr>
        <w:t xml:space="preserve">מיישב </w:t>
      </w:r>
      <w:r w:rsidRPr="00CA22B3">
        <w:rPr>
          <w:rFonts w:hint="cs"/>
          <w:b/>
          <w:bCs/>
          <w:sz w:val="20"/>
          <w:szCs w:val="20"/>
          <w:rtl/>
        </w:rPr>
        <w:t>השיבת ציון</w:t>
      </w:r>
      <w:r>
        <w:rPr>
          <w:rFonts w:hint="cs"/>
          <w:sz w:val="20"/>
          <w:szCs w:val="20"/>
          <w:rtl/>
        </w:rPr>
        <w:t xml:space="preserve"> את דברי </w:t>
      </w:r>
      <w:r w:rsidRPr="00CA22B3">
        <w:rPr>
          <w:rFonts w:hint="cs"/>
          <w:b/>
          <w:bCs/>
          <w:sz w:val="20"/>
          <w:szCs w:val="20"/>
          <w:rtl/>
        </w:rPr>
        <w:t>הנוב"י</w:t>
      </w:r>
      <w:r>
        <w:rPr>
          <w:rFonts w:hint="cs"/>
          <w:sz w:val="20"/>
          <w:szCs w:val="20"/>
          <w:rtl/>
        </w:rPr>
        <w:t xml:space="preserve"> </w:t>
      </w:r>
      <w:r>
        <w:rPr>
          <w:sz w:val="20"/>
          <w:szCs w:val="20"/>
          <w:rtl/>
        </w:rPr>
        <w:t>–</w:t>
      </w:r>
      <w:r>
        <w:rPr>
          <w:rFonts w:hint="cs"/>
          <w:sz w:val="20"/>
          <w:szCs w:val="20"/>
          <w:rtl/>
        </w:rPr>
        <w:t xml:space="preserve"> הרמב"ם מדבר בנייר העשוי מעלי אילנות וכדומה ולכן פסק שאינו מקבל טומאה, אך הנייר שעליו מדבר הנוב"י מקבל טומאה.</w:t>
      </w:r>
      <w:r>
        <w:rPr>
          <w:b/>
          <w:bCs/>
          <w:sz w:val="20"/>
          <w:szCs w:val="20"/>
          <w:rtl/>
        </w:rPr>
        <w:br/>
      </w:r>
      <w:r>
        <w:rPr>
          <w:sz w:val="20"/>
          <w:szCs w:val="20"/>
          <w:rtl/>
        </w:rPr>
        <w:br/>
      </w:r>
      <w:r>
        <w:rPr>
          <w:rFonts w:hint="cs"/>
          <w:sz w:val="20"/>
          <w:szCs w:val="20"/>
          <w:u w:val="single"/>
          <w:rtl/>
        </w:rPr>
        <w:t>מצאה כתם על דבר שאינו מקבל טומאה לאחר תשמיש (פת"ש וטהרת הבית עמ' תלא - תלב)</w:t>
      </w:r>
      <w:r>
        <w:rPr>
          <w:sz w:val="20"/>
          <w:szCs w:val="20"/>
          <w:u w:val="single"/>
          <w:rtl/>
        </w:rPr>
        <w:br/>
      </w:r>
      <w:r>
        <w:rPr>
          <w:rFonts w:hint="cs"/>
          <w:sz w:val="20"/>
          <w:szCs w:val="20"/>
          <w:rtl/>
        </w:rPr>
        <w:t xml:space="preserve">המקרה - שימשה ואח"כ מצאה כתם על דבר שאינו מק"ט </w:t>
      </w:r>
      <w:r w:rsidRPr="0041559B">
        <w:rPr>
          <w:rFonts w:hint="cs"/>
          <w:sz w:val="18"/>
          <w:szCs w:val="18"/>
          <w:rtl/>
        </w:rPr>
        <w:t>(</w:t>
      </w:r>
      <w:r>
        <w:rPr>
          <w:rFonts w:hint="cs"/>
          <w:sz w:val="18"/>
          <w:szCs w:val="18"/>
          <w:rtl/>
        </w:rPr>
        <w:t xml:space="preserve">וכן </w:t>
      </w:r>
      <w:r w:rsidRPr="0041559B">
        <w:rPr>
          <w:rFonts w:hint="cs"/>
          <w:sz w:val="18"/>
          <w:szCs w:val="18"/>
          <w:rtl/>
        </w:rPr>
        <w:t>על בגד צבוע שיבואר דינו בסמוך)</w:t>
      </w:r>
      <w:r>
        <w:rPr>
          <w:rFonts w:hint="cs"/>
          <w:sz w:val="20"/>
          <w:szCs w:val="20"/>
          <w:rtl/>
        </w:rPr>
        <w:t xml:space="preserve"> האם טמאה?</w:t>
      </w:r>
      <w:r>
        <w:rPr>
          <w:rFonts w:hint="cs"/>
          <w:sz w:val="20"/>
          <w:szCs w:val="20"/>
          <w:u w:val="single"/>
          <w:rtl/>
        </w:rPr>
        <w:br/>
      </w:r>
      <w:r>
        <w:rPr>
          <w:rFonts w:hint="cs"/>
          <w:sz w:val="20"/>
          <w:szCs w:val="20"/>
          <w:rtl/>
        </w:rPr>
        <w:t xml:space="preserve">א. </w:t>
      </w:r>
      <w:r w:rsidRPr="0041559B">
        <w:rPr>
          <w:rFonts w:hint="cs"/>
          <w:b/>
          <w:bCs/>
          <w:sz w:val="20"/>
          <w:szCs w:val="20"/>
          <w:rtl/>
        </w:rPr>
        <w:t>סד"ט</w:t>
      </w:r>
      <w:r>
        <w:rPr>
          <w:rFonts w:hint="cs"/>
          <w:sz w:val="20"/>
          <w:szCs w:val="20"/>
          <w:rtl/>
        </w:rPr>
        <w:t xml:space="preserve"> </w:t>
      </w:r>
      <w:r>
        <w:rPr>
          <w:sz w:val="20"/>
          <w:szCs w:val="20"/>
          <w:rtl/>
        </w:rPr>
        <w:t>–</w:t>
      </w:r>
      <w:r>
        <w:rPr>
          <w:rFonts w:hint="cs"/>
          <w:b/>
          <w:bCs/>
          <w:sz w:val="20"/>
          <w:szCs w:val="20"/>
          <w:rtl/>
        </w:rPr>
        <w:t xml:space="preserve"> </w:t>
      </w:r>
      <w:r>
        <w:rPr>
          <w:rFonts w:hint="cs"/>
          <w:sz w:val="20"/>
          <w:szCs w:val="20"/>
          <w:rtl/>
        </w:rPr>
        <w:t xml:space="preserve">כן, ומשמע שכן דעת </w:t>
      </w:r>
      <w:r w:rsidRPr="00F3094E">
        <w:rPr>
          <w:rFonts w:hint="cs"/>
          <w:b/>
          <w:bCs/>
          <w:sz w:val="20"/>
          <w:szCs w:val="20"/>
          <w:rtl/>
        </w:rPr>
        <w:t>הפת"ש</w:t>
      </w:r>
      <w:r>
        <w:rPr>
          <w:rFonts w:hint="cs"/>
          <w:sz w:val="20"/>
          <w:szCs w:val="20"/>
          <w:rtl/>
        </w:rPr>
        <w:t>.</w:t>
      </w:r>
      <w:r>
        <w:rPr>
          <w:b/>
          <w:bCs/>
          <w:sz w:val="20"/>
          <w:szCs w:val="20"/>
          <w:rtl/>
        </w:rPr>
        <w:br/>
      </w:r>
      <w:r w:rsidRPr="0041559B">
        <w:rPr>
          <w:rFonts w:hint="cs"/>
          <w:b/>
          <w:bCs/>
          <w:sz w:val="20"/>
          <w:szCs w:val="20"/>
          <w:rtl/>
        </w:rPr>
        <w:t xml:space="preserve">טעם </w:t>
      </w:r>
      <w:r>
        <w:rPr>
          <w:sz w:val="20"/>
          <w:szCs w:val="20"/>
          <w:rtl/>
        </w:rPr>
        <w:t>–</w:t>
      </w:r>
      <w:r>
        <w:rPr>
          <w:rFonts w:hint="cs"/>
          <w:sz w:val="20"/>
          <w:szCs w:val="20"/>
          <w:rtl/>
        </w:rPr>
        <w:t xml:space="preserve"> טומאת כתם היא מדרבנן שמא הרגישה ולא הבחינה בכך, אך בכה"ג יש לומר שהרגישה וסברה שזו הרגשת תשמיש, אם כן זהו ספק דאורייתא ואינו דין דרבנן בלבד שטיהרו בכתם הנמצא ע"ג דבר שאינו מק"ט.</w:t>
      </w:r>
      <w:r>
        <w:rPr>
          <w:b/>
          <w:bCs/>
          <w:sz w:val="20"/>
          <w:szCs w:val="20"/>
          <w:rtl/>
        </w:rPr>
        <w:br/>
      </w:r>
      <w:r>
        <w:rPr>
          <w:rFonts w:hint="cs"/>
          <w:sz w:val="20"/>
          <w:szCs w:val="20"/>
          <w:rtl/>
        </w:rPr>
        <w:lastRenderedPageBreak/>
        <w:t xml:space="preserve">ולפי"ז, הוא הדין אם מצאה כתם לאחר הטלת מי רגליה, שאע"פ שנמצא על דבר שאינו מק"ט </w:t>
      </w:r>
      <w:r>
        <w:rPr>
          <w:sz w:val="20"/>
          <w:szCs w:val="20"/>
          <w:rtl/>
        </w:rPr>
        <w:t>–</w:t>
      </w:r>
      <w:r>
        <w:rPr>
          <w:rFonts w:hint="cs"/>
          <w:sz w:val="20"/>
          <w:szCs w:val="20"/>
          <w:rtl/>
        </w:rPr>
        <w:t xml:space="preserve"> טמאה.</w:t>
      </w:r>
      <w:r>
        <w:rPr>
          <w:sz w:val="20"/>
          <w:szCs w:val="20"/>
          <w:rtl/>
        </w:rPr>
        <w:br/>
      </w:r>
      <w:r>
        <w:rPr>
          <w:rFonts w:hint="cs"/>
          <w:sz w:val="20"/>
          <w:szCs w:val="20"/>
          <w:rtl/>
        </w:rPr>
        <w:t xml:space="preserve">ב. </w:t>
      </w:r>
      <w:r w:rsidRPr="00C26773">
        <w:rPr>
          <w:rFonts w:hint="cs"/>
          <w:b/>
          <w:bCs/>
          <w:sz w:val="20"/>
          <w:szCs w:val="20"/>
          <w:rtl/>
        </w:rPr>
        <w:t>פרדס רימונים</w:t>
      </w:r>
      <w:r>
        <w:rPr>
          <w:rFonts w:hint="cs"/>
          <w:sz w:val="20"/>
          <w:szCs w:val="20"/>
          <w:rtl/>
        </w:rPr>
        <w:t xml:space="preserve"> </w:t>
      </w:r>
      <w:r>
        <w:rPr>
          <w:sz w:val="20"/>
          <w:szCs w:val="20"/>
          <w:rtl/>
        </w:rPr>
        <w:t>–</w:t>
      </w:r>
      <w:r>
        <w:rPr>
          <w:rFonts w:hint="cs"/>
          <w:sz w:val="20"/>
          <w:szCs w:val="20"/>
          <w:rtl/>
        </w:rPr>
        <w:t xml:space="preserve"> לא.</w:t>
      </w:r>
      <w:r>
        <w:rPr>
          <w:sz w:val="20"/>
          <w:szCs w:val="20"/>
          <w:rtl/>
        </w:rPr>
        <w:br/>
      </w:r>
      <w:r w:rsidRPr="00C26773">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תמוה מאוד לחדש כסד"ט, שהרי אם כן מדוע לא הוזכר זאת בתלמוד ובראשונים? </w:t>
      </w:r>
      <w:r>
        <w:rPr>
          <w:sz w:val="20"/>
          <w:szCs w:val="20"/>
          <w:rtl/>
        </w:rPr>
        <w:br/>
      </w:r>
      <w:r>
        <w:rPr>
          <w:rFonts w:hint="cs"/>
          <w:sz w:val="20"/>
          <w:szCs w:val="20"/>
          <w:rtl/>
        </w:rPr>
        <w:t>ולעניין ראייתו של הסד"ט, יש לומר שטעות בהרגשת העד ומי רגליים הוי מילתא דלא שכיחא, ורק מיעוט נשים טועות לההחליף בין הרגשות אלו להרגשת דם, ולמיעוט לא חוששים.</w:t>
      </w:r>
      <w:r>
        <w:rPr>
          <w:sz w:val="20"/>
          <w:szCs w:val="20"/>
          <w:rtl/>
        </w:rPr>
        <w:br/>
      </w:r>
      <w:r>
        <w:rPr>
          <w:rFonts w:hint="cs"/>
          <w:sz w:val="20"/>
          <w:szCs w:val="20"/>
          <w:rtl/>
        </w:rPr>
        <w:t>וכן יש להוכיח מדין משתיתא, שהראשונים התקשו מדוע טמאה והרי המשתיתא אינה מק"ט, ומדוע לא תירצו שהיה זה לאחר תשמיש או לאחר הטלת מ"ר?</w:t>
      </w:r>
      <w:r>
        <w:rPr>
          <w:rFonts w:hint="cs"/>
          <w:sz w:val="20"/>
          <w:szCs w:val="20"/>
          <w:rtl/>
        </w:rPr>
        <w:br/>
        <w:t xml:space="preserve">הכרעת </w:t>
      </w:r>
      <w:r w:rsidRPr="00C26773">
        <w:rPr>
          <w:rFonts w:hint="cs"/>
          <w:b/>
          <w:bCs/>
          <w:sz w:val="20"/>
          <w:szCs w:val="20"/>
          <w:rtl/>
        </w:rPr>
        <w:t>טהרת הבית</w:t>
      </w:r>
      <w:r>
        <w:rPr>
          <w:rFonts w:hint="cs"/>
          <w:sz w:val="20"/>
          <w:szCs w:val="20"/>
          <w:rtl/>
        </w:rPr>
        <w:t xml:space="preserve"> </w:t>
      </w:r>
      <w:r>
        <w:rPr>
          <w:sz w:val="20"/>
          <w:szCs w:val="20"/>
          <w:rtl/>
        </w:rPr>
        <w:t>–</w:t>
      </w:r>
      <w:r>
        <w:rPr>
          <w:rFonts w:hint="cs"/>
          <w:sz w:val="20"/>
          <w:szCs w:val="20"/>
          <w:rtl/>
        </w:rPr>
        <w:t xml:space="preserve"> יש להקל בדין זה, כיוון שכתם הוא דין דרבנן.</w:t>
      </w:r>
      <w:r>
        <w:rPr>
          <w:rStyle w:val="a5"/>
          <w:sz w:val="20"/>
          <w:szCs w:val="20"/>
          <w:rtl/>
        </w:rPr>
        <w:footnoteReference w:id="277"/>
      </w:r>
    </w:p>
    <w:p w:rsidR="00620060" w:rsidRDefault="00620060" w:rsidP="00620060">
      <w:pPr>
        <w:rPr>
          <w:b/>
          <w:bCs/>
          <w:sz w:val="20"/>
          <w:szCs w:val="20"/>
          <w:rtl/>
        </w:rPr>
      </w:pPr>
      <w:r>
        <w:rPr>
          <w:rFonts w:hint="cs"/>
          <w:sz w:val="20"/>
          <w:szCs w:val="20"/>
          <w:u w:val="single"/>
          <w:rtl/>
        </w:rPr>
        <w:t>טהרת כלי מלקבל טומאה (פת"ש)</w:t>
      </w:r>
      <w:r>
        <w:rPr>
          <w:rFonts w:hint="cs"/>
          <w:sz w:val="20"/>
          <w:szCs w:val="20"/>
          <w:u w:val="single"/>
          <w:rtl/>
        </w:rPr>
        <w:br/>
      </w:r>
      <w:r w:rsidRPr="008315EF">
        <w:rPr>
          <w:rFonts w:hint="cs"/>
          <w:b/>
          <w:bCs/>
          <w:sz w:val="20"/>
          <w:szCs w:val="20"/>
          <w:rtl/>
        </w:rPr>
        <w:t>נודע ביהודה</w:t>
      </w:r>
      <w:r>
        <w:rPr>
          <w:rFonts w:hint="cs"/>
          <w:sz w:val="20"/>
          <w:szCs w:val="20"/>
          <w:rtl/>
        </w:rPr>
        <w:t xml:space="preserve"> </w:t>
      </w:r>
      <w:r>
        <w:rPr>
          <w:sz w:val="20"/>
          <w:szCs w:val="20"/>
          <w:rtl/>
        </w:rPr>
        <w:t>–</w:t>
      </w:r>
      <w:r>
        <w:rPr>
          <w:rFonts w:hint="cs"/>
          <w:sz w:val="20"/>
          <w:szCs w:val="20"/>
          <w:rtl/>
        </w:rPr>
        <w:t xml:space="preserve"> מעשה באשה שישבה בבית הכסא שהיה עשוי ע"י דף ששימש לפני כן כלי, האם טמאה?</w:t>
      </w:r>
      <w:r>
        <w:rPr>
          <w:rFonts w:hint="cs"/>
          <w:sz w:val="20"/>
          <w:szCs w:val="20"/>
          <w:rtl/>
        </w:rPr>
        <w:br/>
        <w:t xml:space="preserve">תשובה </w:t>
      </w:r>
      <w:r>
        <w:rPr>
          <w:sz w:val="20"/>
          <w:szCs w:val="20"/>
          <w:rtl/>
        </w:rPr>
        <w:t>–</w:t>
      </w:r>
      <w:r>
        <w:rPr>
          <w:rFonts w:hint="cs"/>
          <w:sz w:val="20"/>
          <w:szCs w:val="20"/>
          <w:rtl/>
        </w:rPr>
        <w:t xml:space="preserve"> יש לטהר מחמת שני טעמים:</w:t>
      </w:r>
      <w:r>
        <w:rPr>
          <w:rFonts w:hint="cs"/>
          <w:sz w:val="20"/>
          <w:szCs w:val="20"/>
          <w:rtl/>
        </w:rPr>
        <w:br/>
        <w:t>א. קבעו את הכלי בקרקע ומעתה אינו מקבל טומאה.</w:t>
      </w:r>
      <w:r>
        <w:rPr>
          <w:sz w:val="20"/>
          <w:szCs w:val="20"/>
          <w:rtl/>
        </w:rPr>
        <w:br/>
      </w:r>
      <w:r>
        <w:rPr>
          <w:rFonts w:hint="cs"/>
          <w:sz w:val="20"/>
          <w:szCs w:val="20"/>
          <w:rtl/>
        </w:rPr>
        <w:t>ב. כיוון שעשו נקב בדף זה הוא אינו כלי ואינו מקבל טומאה.</w:t>
      </w:r>
    </w:p>
    <w:p w:rsidR="00620060" w:rsidRDefault="00620060" w:rsidP="00620060">
      <w:pPr>
        <w:rPr>
          <w:sz w:val="20"/>
          <w:szCs w:val="20"/>
          <w:rtl/>
        </w:rPr>
      </w:pPr>
      <w:r>
        <w:rPr>
          <w:rFonts w:hint="cs"/>
          <w:b/>
          <w:bCs/>
          <w:sz w:val="20"/>
          <w:szCs w:val="20"/>
          <w:rtl/>
        </w:rPr>
        <w:t xml:space="preserve">כתם על בגד צבוע </w:t>
      </w:r>
      <w:r>
        <w:rPr>
          <w:b/>
          <w:bCs/>
          <w:sz w:val="20"/>
          <w:szCs w:val="20"/>
          <w:rtl/>
        </w:rPr>
        <w:t>–</w:t>
      </w:r>
      <w:r>
        <w:rPr>
          <w:rFonts w:hint="cs"/>
          <w:b/>
          <w:bCs/>
          <w:sz w:val="20"/>
          <w:szCs w:val="20"/>
          <w:rtl/>
        </w:rPr>
        <w:t xml:space="preserve"> מקור הדין</w:t>
      </w:r>
      <w:r>
        <w:rPr>
          <w:b/>
          <w:bCs/>
          <w:sz w:val="20"/>
          <w:szCs w:val="20"/>
          <w:rtl/>
        </w:rPr>
        <w:br/>
      </w:r>
      <w:r w:rsidRPr="009F3935">
        <w:rPr>
          <w:rFonts w:hint="cs"/>
          <w:b/>
          <w:bCs/>
          <w:sz w:val="20"/>
          <w:szCs w:val="20"/>
          <w:rtl/>
        </w:rPr>
        <w:t>גמרא</w:t>
      </w:r>
      <w:r>
        <w:rPr>
          <w:rFonts w:hint="cs"/>
          <w:sz w:val="20"/>
          <w:szCs w:val="20"/>
          <w:rtl/>
        </w:rPr>
        <w:t xml:space="preserve"> (שם, סא:) "</w:t>
      </w:r>
      <w:r w:rsidRPr="00D04A13">
        <w:rPr>
          <w:rFonts w:cs="Arial"/>
          <w:sz w:val="20"/>
          <w:szCs w:val="20"/>
          <w:rtl/>
        </w:rPr>
        <w:t>ת</w:t>
      </w:r>
      <w:r>
        <w:rPr>
          <w:rFonts w:cs="Arial" w:hint="cs"/>
          <w:sz w:val="20"/>
          <w:szCs w:val="20"/>
          <w:rtl/>
        </w:rPr>
        <w:t xml:space="preserve">נו </w:t>
      </w:r>
      <w:r w:rsidRPr="00D04A13">
        <w:rPr>
          <w:rFonts w:cs="Arial"/>
          <w:sz w:val="20"/>
          <w:szCs w:val="20"/>
          <w:rtl/>
        </w:rPr>
        <w:t>ר</w:t>
      </w:r>
      <w:r>
        <w:rPr>
          <w:rFonts w:cs="Arial" w:hint="cs"/>
          <w:sz w:val="20"/>
          <w:szCs w:val="20"/>
          <w:rtl/>
        </w:rPr>
        <w:t>בנן</w:t>
      </w:r>
      <w:r w:rsidRPr="00D04A13">
        <w:rPr>
          <w:rFonts w:cs="Arial"/>
          <w:sz w:val="20"/>
          <w:szCs w:val="20"/>
          <w:rtl/>
        </w:rPr>
        <w:t>, בגד צבוע - מטמא משום כתם, רבי נתן בר יוסף אומר: אינו מטמא משום כתם, שלא תקנו בגדי צבעונין לאשה אלא להקל על כתמיהן. תקנו? מאי תקנינהו? אלא שלא הותרו בגדי צבעונין לאשה אלא להקל על כתמיהן. הותרו - מכלל דאסירי? אין, דתנן: בפולמוס של אספסינוס</w:t>
      </w:r>
      <w:r>
        <w:rPr>
          <w:rFonts w:cs="Arial" w:hint="cs"/>
          <w:sz w:val="20"/>
          <w:szCs w:val="20"/>
          <w:rtl/>
        </w:rPr>
        <w:t>..</w:t>
      </w:r>
      <w:r w:rsidRPr="00D04A13">
        <w:rPr>
          <w:rFonts w:cs="Arial"/>
          <w:sz w:val="20"/>
          <w:szCs w:val="20"/>
          <w:rtl/>
        </w:rPr>
        <w:t>. בקשו לגזור על בגדי צבעונין, אמרי: הא עדיפא - כדי להקל על כתמיהן</w:t>
      </w:r>
      <w:r>
        <w:rPr>
          <w:rFonts w:cs="Arial" w:hint="cs"/>
          <w:sz w:val="20"/>
          <w:szCs w:val="20"/>
          <w:rtl/>
        </w:rPr>
        <w:t>"</w:t>
      </w:r>
      <w:r w:rsidRPr="00D04A13">
        <w:rPr>
          <w:rFonts w:cs="Arial"/>
          <w:sz w:val="20"/>
          <w:szCs w:val="20"/>
          <w:rtl/>
        </w:rPr>
        <w:t>.</w:t>
      </w:r>
    </w:p>
    <w:p w:rsidR="00620060" w:rsidRPr="00AC334F" w:rsidRDefault="00620060" w:rsidP="00620060">
      <w:pPr>
        <w:rPr>
          <w:sz w:val="20"/>
          <w:szCs w:val="20"/>
          <w:rtl/>
        </w:rPr>
      </w:pPr>
      <w:r>
        <w:rPr>
          <w:rFonts w:hint="cs"/>
          <w:b/>
          <w:bCs/>
          <w:sz w:val="20"/>
          <w:szCs w:val="20"/>
          <w:rtl/>
        </w:rPr>
        <w:t>טעם הדין</w:t>
      </w:r>
      <w:r>
        <w:rPr>
          <w:b/>
          <w:bCs/>
          <w:sz w:val="20"/>
          <w:szCs w:val="20"/>
          <w:rtl/>
        </w:rPr>
        <w:br/>
      </w:r>
      <w:r>
        <w:rPr>
          <w:rFonts w:hint="cs"/>
          <w:b/>
          <w:bCs/>
          <w:sz w:val="20"/>
          <w:szCs w:val="20"/>
          <w:rtl/>
        </w:rPr>
        <w:t xml:space="preserve">רשי </w:t>
      </w:r>
      <w:r>
        <w:rPr>
          <w:sz w:val="20"/>
          <w:szCs w:val="20"/>
          <w:rtl/>
        </w:rPr>
        <w:t>–</w:t>
      </w:r>
      <w:r>
        <w:rPr>
          <w:rFonts w:hint="cs"/>
          <w:sz w:val="20"/>
          <w:szCs w:val="20"/>
          <w:rtl/>
        </w:rPr>
        <w:t xml:space="preserve"> "</w:t>
      </w:r>
      <w:r w:rsidRPr="00AC334F">
        <w:rPr>
          <w:rFonts w:cs="Arial"/>
          <w:sz w:val="20"/>
          <w:szCs w:val="20"/>
          <w:rtl/>
        </w:rPr>
        <w:t>שאין הכתם ניכר בו כמראה דם גמור</w:t>
      </w:r>
      <w:r>
        <w:rPr>
          <w:rFonts w:cs="Arial" w:hint="cs"/>
          <w:sz w:val="20"/>
          <w:szCs w:val="20"/>
          <w:rtl/>
        </w:rPr>
        <w:t>".</w:t>
      </w:r>
    </w:p>
    <w:p w:rsidR="00620060" w:rsidRDefault="00620060" w:rsidP="00620060">
      <w:pPr>
        <w:rPr>
          <w:b/>
          <w:bCs/>
          <w:sz w:val="20"/>
          <w:szCs w:val="20"/>
          <w:rtl/>
        </w:rPr>
      </w:pPr>
      <w:r w:rsidRPr="009B51DE">
        <w:rPr>
          <w:rFonts w:hint="cs"/>
          <w:b/>
          <w:bCs/>
          <w:sz w:val="20"/>
          <w:szCs w:val="20"/>
          <w:rtl/>
        </w:rPr>
        <w:t>שיטות הראשונים</w:t>
      </w:r>
      <w:r>
        <w:rPr>
          <w:rFonts w:hint="cs"/>
          <w:b/>
          <w:bCs/>
          <w:sz w:val="20"/>
          <w:szCs w:val="20"/>
          <w:rtl/>
        </w:rPr>
        <w:br/>
      </w:r>
      <w:r>
        <w:rPr>
          <w:rFonts w:hint="cs"/>
          <w:sz w:val="20"/>
          <w:szCs w:val="20"/>
          <w:rtl/>
        </w:rPr>
        <w:t>מה דין כתם הנמצא על בגד צבוע?</w:t>
      </w:r>
      <w:r>
        <w:rPr>
          <w:b/>
          <w:bCs/>
          <w:sz w:val="20"/>
          <w:szCs w:val="20"/>
          <w:rtl/>
        </w:rPr>
        <w:br/>
      </w:r>
      <w:r>
        <w:rPr>
          <w:rFonts w:hint="cs"/>
          <w:sz w:val="20"/>
          <w:szCs w:val="20"/>
          <w:rtl/>
        </w:rPr>
        <w:t xml:space="preserve">א. </w:t>
      </w:r>
      <w:r w:rsidRPr="00227BCA">
        <w:rPr>
          <w:rFonts w:hint="cs"/>
          <w:b/>
          <w:bCs/>
          <w:sz w:val="20"/>
          <w:szCs w:val="20"/>
          <w:rtl/>
        </w:rPr>
        <w:t>רמב"ן</w:t>
      </w:r>
      <w:r>
        <w:rPr>
          <w:rFonts w:hint="cs"/>
          <w:sz w:val="20"/>
          <w:szCs w:val="20"/>
          <w:rtl/>
        </w:rPr>
        <w:t xml:space="preserve"> </w:t>
      </w:r>
      <w:r>
        <w:rPr>
          <w:sz w:val="20"/>
          <w:szCs w:val="20"/>
          <w:rtl/>
        </w:rPr>
        <w:t>–</w:t>
      </w:r>
      <w:r>
        <w:rPr>
          <w:rFonts w:hint="cs"/>
          <w:sz w:val="20"/>
          <w:szCs w:val="20"/>
          <w:rtl/>
        </w:rPr>
        <w:t xml:space="preserve"> טמא.</w:t>
      </w:r>
      <w:r>
        <w:rPr>
          <w:sz w:val="20"/>
          <w:szCs w:val="20"/>
          <w:rtl/>
        </w:rPr>
        <w:br/>
      </w:r>
      <w:r>
        <w:rPr>
          <w:rFonts w:hint="cs"/>
          <w:sz w:val="20"/>
          <w:szCs w:val="20"/>
          <w:rtl/>
        </w:rPr>
        <w:t xml:space="preserve">ב. </w:t>
      </w:r>
      <w:r w:rsidRPr="00227BCA">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טהור.</w:t>
      </w:r>
      <w:r>
        <w:rPr>
          <w:rFonts w:hint="cs"/>
          <w:sz w:val="20"/>
          <w:szCs w:val="20"/>
          <w:rtl/>
        </w:rPr>
        <w:br/>
        <w:t xml:space="preserve">ג. </w:t>
      </w:r>
      <w:r w:rsidRPr="00E17518">
        <w:rPr>
          <w:rFonts w:hint="cs"/>
          <w:b/>
          <w:bCs/>
          <w:sz w:val="20"/>
          <w:szCs w:val="20"/>
          <w:rtl/>
        </w:rPr>
        <w:t>רבינו שמחה וראב"ן</w:t>
      </w:r>
      <w:r>
        <w:rPr>
          <w:rFonts w:hint="cs"/>
          <w:sz w:val="20"/>
          <w:szCs w:val="20"/>
          <w:rtl/>
        </w:rPr>
        <w:t xml:space="preserve"> </w:t>
      </w:r>
      <w:r>
        <w:rPr>
          <w:sz w:val="20"/>
          <w:szCs w:val="20"/>
          <w:rtl/>
        </w:rPr>
        <w:t>–</w:t>
      </w:r>
      <w:r>
        <w:rPr>
          <w:rFonts w:hint="cs"/>
          <w:sz w:val="20"/>
          <w:szCs w:val="20"/>
          <w:rtl/>
        </w:rPr>
        <w:t xml:space="preserve"> לטהרות טהור, לבעלה טמא.</w:t>
      </w:r>
      <w:r>
        <w:rPr>
          <w:sz w:val="20"/>
          <w:szCs w:val="20"/>
          <w:rtl/>
        </w:rPr>
        <w:br/>
      </w:r>
      <w:r>
        <w:rPr>
          <w:rFonts w:hint="cs"/>
          <w:sz w:val="20"/>
          <w:szCs w:val="20"/>
          <w:rtl/>
        </w:rPr>
        <w:t xml:space="preserve">הכרעת </w:t>
      </w:r>
      <w:r w:rsidRPr="00227BCA">
        <w:rPr>
          <w:rFonts w:hint="cs"/>
          <w:b/>
          <w:bCs/>
          <w:sz w:val="20"/>
          <w:szCs w:val="20"/>
          <w:rtl/>
        </w:rPr>
        <w:t>הרא"ש</w:t>
      </w:r>
      <w:r>
        <w:rPr>
          <w:rFonts w:hint="cs"/>
          <w:sz w:val="20"/>
          <w:szCs w:val="20"/>
          <w:rtl/>
        </w:rPr>
        <w:t xml:space="preserve"> </w:t>
      </w:r>
      <w:r>
        <w:rPr>
          <w:sz w:val="20"/>
          <w:szCs w:val="20"/>
          <w:rtl/>
        </w:rPr>
        <w:t>–</w:t>
      </w:r>
      <w:r>
        <w:rPr>
          <w:rFonts w:hint="cs"/>
          <w:sz w:val="20"/>
          <w:szCs w:val="20"/>
          <w:rtl/>
        </w:rPr>
        <w:t xml:space="preserve"> טהור, משום שבכתמים שומעים למקלים.</w:t>
      </w:r>
      <w:r>
        <w:rPr>
          <w:sz w:val="20"/>
          <w:szCs w:val="20"/>
          <w:rtl/>
        </w:rPr>
        <w:br/>
      </w:r>
      <w:r>
        <w:rPr>
          <w:rFonts w:hint="cs"/>
          <w:sz w:val="20"/>
          <w:szCs w:val="20"/>
          <w:rtl/>
        </w:rPr>
        <w:t xml:space="preserve">הסתייגות </w:t>
      </w:r>
      <w:r w:rsidRPr="00227BCA">
        <w:rPr>
          <w:rFonts w:hint="cs"/>
          <w:b/>
          <w:bCs/>
          <w:sz w:val="20"/>
          <w:szCs w:val="20"/>
          <w:rtl/>
        </w:rPr>
        <w:t>הרשב"א</w:t>
      </w:r>
      <w:r>
        <w:rPr>
          <w:rFonts w:hint="cs"/>
          <w:sz w:val="20"/>
          <w:szCs w:val="20"/>
          <w:rtl/>
        </w:rPr>
        <w:t xml:space="preserve"> </w:t>
      </w:r>
      <w:r>
        <w:rPr>
          <w:sz w:val="20"/>
          <w:szCs w:val="20"/>
          <w:rtl/>
        </w:rPr>
        <w:t>–</w:t>
      </w:r>
      <w:r>
        <w:rPr>
          <w:rFonts w:hint="cs"/>
          <w:sz w:val="20"/>
          <w:szCs w:val="20"/>
          <w:rtl/>
        </w:rPr>
        <w:t xml:space="preserve"> אע"פ שהלכה להקל, מכל מקום המחמיר תבוא עליו ברכה.</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b/>
          <w:bCs/>
          <w:sz w:val="20"/>
          <w:szCs w:val="20"/>
          <w:rtl/>
        </w:rPr>
        <w:t xml:space="preserve"> </w:t>
      </w:r>
      <w:r>
        <w:rPr>
          <w:rFonts w:hint="cs"/>
          <w:sz w:val="20"/>
          <w:szCs w:val="20"/>
          <w:rtl/>
        </w:rPr>
        <w:t>"</w:t>
      </w:r>
      <w:r w:rsidRPr="00002BBD">
        <w:rPr>
          <w:rFonts w:cs="Arial"/>
          <w:sz w:val="20"/>
          <w:szCs w:val="20"/>
          <w:rtl/>
        </w:rPr>
        <w:t>וכן כתם שנמצא על בגד צבוע, טהור</w:t>
      </w:r>
      <w:r>
        <w:rPr>
          <w:rFonts w:cs="Arial" w:hint="cs"/>
          <w:sz w:val="20"/>
          <w:szCs w:val="20"/>
          <w:rtl/>
        </w:rPr>
        <w:t>ה".</w:t>
      </w:r>
      <w:r>
        <w:rPr>
          <w:rStyle w:val="a5"/>
          <w:sz w:val="20"/>
          <w:szCs w:val="20"/>
          <w:rtl/>
        </w:rPr>
        <w:footnoteReference w:id="278"/>
      </w:r>
      <w:r>
        <w:rPr>
          <w:rFonts w:hint="cs"/>
          <w:sz w:val="20"/>
          <w:szCs w:val="20"/>
          <w:rtl/>
        </w:rPr>
        <w:t xml:space="preserve"> </w:t>
      </w:r>
      <w:r>
        <w:rPr>
          <w:rStyle w:val="a5"/>
          <w:sz w:val="20"/>
          <w:szCs w:val="20"/>
          <w:rtl/>
        </w:rPr>
        <w:footnoteReference w:id="279"/>
      </w:r>
    </w:p>
    <w:p w:rsidR="00620060" w:rsidRPr="00DC7580" w:rsidRDefault="00620060" w:rsidP="00620060">
      <w:pPr>
        <w:rPr>
          <w:sz w:val="20"/>
          <w:szCs w:val="20"/>
          <w:rtl/>
        </w:rPr>
      </w:pPr>
      <w:r>
        <w:rPr>
          <w:rFonts w:hint="cs"/>
          <w:sz w:val="20"/>
          <w:szCs w:val="20"/>
          <w:u w:val="single"/>
          <w:rtl/>
        </w:rPr>
        <w:t>כתם שנמצא על בגד מנומר (פת"ש)</w:t>
      </w:r>
      <w:r>
        <w:rPr>
          <w:rFonts w:hint="cs"/>
          <w:sz w:val="20"/>
          <w:szCs w:val="20"/>
          <w:u w:val="single"/>
          <w:rtl/>
        </w:rPr>
        <w:br/>
      </w:r>
      <w:r>
        <w:rPr>
          <w:rFonts w:hint="cs"/>
          <w:sz w:val="20"/>
          <w:szCs w:val="20"/>
          <w:rtl/>
        </w:rPr>
        <w:t xml:space="preserve">המקרה </w:t>
      </w:r>
      <w:r>
        <w:rPr>
          <w:sz w:val="20"/>
          <w:szCs w:val="20"/>
          <w:rtl/>
        </w:rPr>
        <w:t>–</w:t>
      </w:r>
      <w:r>
        <w:rPr>
          <w:rFonts w:hint="cs"/>
          <w:sz w:val="20"/>
          <w:szCs w:val="20"/>
          <w:rtl/>
        </w:rPr>
        <w:t xml:space="preserve"> כתם נמצא על בגד מנומר בגוונים שונים וגם בצבע לבן, האם הכתם טמא?</w:t>
      </w:r>
      <w:r>
        <w:rPr>
          <w:rFonts w:hint="cs"/>
          <w:sz w:val="20"/>
          <w:szCs w:val="20"/>
          <w:rtl/>
        </w:rPr>
        <w:br/>
        <w:t xml:space="preserve">א. </w:t>
      </w:r>
      <w:r w:rsidRPr="00177315">
        <w:rPr>
          <w:rFonts w:hint="cs"/>
          <w:b/>
          <w:bCs/>
          <w:sz w:val="20"/>
          <w:szCs w:val="20"/>
          <w:rtl/>
        </w:rPr>
        <w:t>מעיל צדקה</w:t>
      </w:r>
      <w:r>
        <w:rPr>
          <w:rFonts w:hint="cs"/>
          <w:sz w:val="20"/>
          <w:szCs w:val="20"/>
          <w:rtl/>
        </w:rPr>
        <w:t xml:space="preserve"> </w:t>
      </w:r>
      <w:r>
        <w:rPr>
          <w:rFonts w:hint="cs"/>
          <w:b/>
          <w:bCs/>
          <w:sz w:val="20"/>
          <w:szCs w:val="20"/>
          <w:rtl/>
        </w:rPr>
        <w:t>ו</w:t>
      </w:r>
      <w:r w:rsidRPr="007068A7">
        <w:rPr>
          <w:rFonts w:hint="cs"/>
          <w:b/>
          <w:bCs/>
          <w:sz w:val="20"/>
          <w:szCs w:val="20"/>
          <w:rtl/>
        </w:rPr>
        <w:t>טהרת הבית</w:t>
      </w:r>
      <w:r>
        <w:rPr>
          <w:rFonts w:hint="cs"/>
          <w:sz w:val="20"/>
          <w:szCs w:val="20"/>
          <w:rtl/>
        </w:rPr>
        <w:t xml:space="preserve"> </w:t>
      </w:r>
      <w:r>
        <w:rPr>
          <w:sz w:val="20"/>
          <w:szCs w:val="20"/>
          <w:rtl/>
        </w:rPr>
        <w:t>–</w:t>
      </w:r>
      <w:r>
        <w:rPr>
          <w:rFonts w:hint="cs"/>
          <w:sz w:val="20"/>
          <w:szCs w:val="20"/>
          <w:rtl/>
        </w:rPr>
        <w:t xml:space="preserve"> החלק </w:t>
      </w:r>
      <w:r w:rsidRPr="00177315">
        <w:rPr>
          <w:rFonts w:hint="cs"/>
          <w:sz w:val="20"/>
          <w:szCs w:val="20"/>
          <w:u w:val="single"/>
          <w:rtl/>
        </w:rPr>
        <w:t>הצבוע</w:t>
      </w:r>
      <w:r>
        <w:rPr>
          <w:rFonts w:hint="cs"/>
          <w:sz w:val="20"/>
          <w:szCs w:val="20"/>
          <w:rtl/>
        </w:rPr>
        <w:t xml:space="preserve"> עצמו אינו מצטרף לטמא, אך אם יש בחלקים </w:t>
      </w:r>
      <w:r w:rsidRPr="00177315">
        <w:rPr>
          <w:rFonts w:hint="cs"/>
          <w:sz w:val="20"/>
          <w:szCs w:val="20"/>
          <w:u w:val="single"/>
          <w:rtl/>
        </w:rPr>
        <w:t>הלבנים</w:t>
      </w:r>
      <w:r>
        <w:rPr>
          <w:rFonts w:hint="cs"/>
          <w:sz w:val="20"/>
          <w:szCs w:val="20"/>
          <w:rtl/>
        </w:rPr>
        <w:t xml:space="preserve"> שיעור גריס, אע"פ שבין החלקים יש הפסק של בגד צבוע </w:t>
      </w:r>
      <w:r>
        <w:rPr>
          <w:sz w:val="20"/>
          <w:szCs w:val="20"/>
          <w:rtl/>
        </w:rPr>
        <w:t>–</w:t>
      </w:r>
      <w:r>
        <w:rPr>
          <w:rFonts w:hint="cs"/>
          <w:sz w:val="20"/>
          <w:szCs w:val="20"/>
          <w:rtl/>
        </w:rPr>
        <w:t xml:space="preserve"> טמאה.</w:t>
      </w:r>
      <w:r>
        <w:rPr>
          <w:rFonts w:hint="cs"/>
          <w:sz w:val="20"/>
          <w:szCs w:val="20"/>
          <w:rtl/>
        </w:rPr>
        <w:br/>
        <w:t xml:space="preserve">ב. </w:t>
      </w:r>
      <w:r w:rsidRPr="00177315">
        <w:rPr>
          <w:rFonts w:hint="cs"/>
          <w:b/>
          <w:bCs/>
          <w:sz w:val="20"/>
          <w:szCs w:val="20"/>
          <w:rtl/>
        </w:rPr>
        <w:t>חוות דעת</w:t>
      </w:r>
      <w:r>
        <w:rPr>
          <w:rFonts w:hint="cs"/>
          <w:sz w:val="20"/>
          <w:szCs w:val="20"/>
          <w:rtl/>
        </w:rPr>
        <w:t xml:space="preserve"> </w:t>
      </w:r>
      <w:r>
        <w:rPr>
          <w:sz w:val="20"/>
          <w:szCs w:val="20"/>
          <w:rtl/>
        </w:rPr>
        <w:t>–</w:t>
      </w:r>
      <w:r>
        <w:rPr>
          <w:rFonts w:hint="cs"/>
          <w:sz w:val="20"/>
          <w:szCs w:val="20"/>
          <w:rtl/>
        </w:rPr>
        <w:t xml:space="preserve"> גם החלק הצבוע מצטרף לשיעור גריס לטמא.</w:t>
      </w:r>
      <w:r>
        <w:rPr>
          <w:sz w:val="20"/>
          <w:szCs w:val="20"/>
          <w:rtl/>
        </w:rPr>
        <w:br/>
      </w:r>
      <w:r w:rsidRPr="004B0C5A">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רואים בכתם שהוא אחד ואין לתלות במאכולת מכיוון שהוא גדול.</w:t>
      </w:r>
      <w:r>
        <w:rPr>
          <w:sz w:val="20"/>
          <w:szCs w:val="20"/>
          <w:rtl/>
        </w:rPr>
        <w:br/>
      </w:r>
      <w:r>
        <w:rPr>
          <w:b/>
          <w:bCs/>
          <w:sz w:val="20"/>
          <w:szCs w:val="20"/>
          <w:rtl/>
        </w:rPr>
        <w:br/>
      </w:r>
      <w:r>
        <w:rPr>
          <w:rFonts w:hint="cs"/>
          <w:b/>
          <w:bCs/>
          <w:sz w:val="20"/>
          <w:szCs w:val="20"/>
          <w:rtl/>
        </w:rPr>
        <w:t>לבישת בגד צבוע כדי להינצל מטומאת כתם</w:t>
      </w:r>
      <w:r>
        <w:rPr>
          <w:b/>
          <w:bCs/>
          <w:sz w:val="20"/>
          <w:szCs w:val="20"/>
          <w:rtl/>
        </w:rPr>
        <w:br/>
      </w:r>
      <w:r>
        <w:rPr>
          <w:rFonts w:hint="cs"/>
          <w:b/>
          <w:bCs/>
          <w:sz w:val="20"/>
          <w:szCs w:val="20"/>
          <w:rtl/>
        </w:rPr>
        <w:t xml:space="preserve">רמ"א </w:t>
      </w:r>
      <w:r w:rsidRPr="00336AED">
        <w:rPr>
          <w:rFonts w:hint="cs"/>
          <w:sz w:val="18"/>
          <w:szCs w:val="18"/>
          <w:rtl/>
        </w:rPr>
        <w:t>(</w:t>
      </w:r>
      <w:r>
        <w:rPr>
          <w:rFonts w:hint="cs"/>
          <w:sz w:val="18"/>
          <w:szCs w:val="18"/>
          <w:rtl/>
        </w:rPr>
        <w:t>ע"פ</w:t>
      </w:r>
      <w:r w:rsidRPr="00336AED">
        <w:rPr>
          <w:rFonts w:hint="cs"/>
          <w:sz w:val="18"/>
          <w:szCs w:val="18"/>
          <w:rtl/>
        </w:rPr>
        <w:t xml:space="preserve"> הרמב"ם) </w:t>
      </w:r>
      <w:r w:rsidRPr="00336AED">
        <w:rPr>
          <w:sz w:val="18"/>
          <w:szCs w:val="18"/>
          <w:rtl/>
        </w:rPr>
        <w:t>–</w:t>
      </w:r>
      <w:r w:rsidRPr="00336AED">
        <w:rPr>
          <w:rFonts w:hint="cs"/>
          <w:sz w:val="18"/>
          <w:szCs w:val="18"/>
          <w:rtl/>
        </w:rPr>
        <w:t xml:space="preserve"> "</w:t>
      </w:r>
      <w:r w:rsidRPr="00336AED">
        <w:rPr>
          <w:rFonts w:cs="Arial"/>
          <w:sz w:val="18"/>
          <w:szCs w:val="18"/>
          <w:rtl/>
        </w:rPr>
        <w:t>לפיכך, תלבש האשה בגדי צבעונין, כדי להצילה מכתמים</w:t>
      </w:r>
      <w:r w:rsidRPr="00336AED">
        <w:rPr>
          <w:rFonts w:hint="cs"/>
          <w:sz w:val="18"/>
          <w:szCs w:val="18"/>
          <w:rtl/>
        </w:rPr>
        <w:t>".</w:t>
      </w:r>
    </w:p>
    <w:p w:rsidR="00620060" w:rsidRDefault="00620060" w:rsidP="00620060">
      <w:pPr>
        <w:rPr>
          <w:sz w:val="20"/>
          <w:szCs w:val="20"/>
          <w:rtl/>
        </w:rPr>
      </w:pPr>
      <w:r w:rsidRPr="00336AED">
        <w:rPr>
          <w:rFonts w:hint="cs"/>
          <w:sz w:val="20"/>
          <w:szCs w:val="20"/>
          <w:u w:val="single"/>
          <w:rtl/>
        </w:rPr>
        <w:lastRenderedPageBreak/>
        <w:t>תמיהת הבית יוסף על הרמב"ם</w:t>
      </w:r>
      <w:r>
        <w:rPr>
          <w:rFonts w:hint="cs"/>
          <w:sz w:val="18"/>
          <w:szCs w:val="18"/>
          <w:rtl/>
        </w:rPr>
        <w:br/>
      </w:r>
      <w:r w:rsidRPr="00D7265A">
        <w:rPr>
          <w:rFonts w:hint="cs"/>
          <w:sz w:val="20"/>
          <w:szCs w:val="20"/>
          <w:rtl/>
        </w:rPr>
        <w:t xml:space="preserve">זו לשון הרמב"ם בדין זה </w:t>
      </w:r>
      <w:r w:rsidRPr="00D7265A">
        <w:rPr>
          <w:sz w:val="20"/>
          <w:szCs w:val="20"/>
          <w:rtl/>
        </w:rPr>
        <w:t>–</w:t>
      </w:r>
      <w:r w:rsidRPr="00D7265A">
        <w:rPr>
          <w:rFonts w:hint="cs"/>
          <w:sz w:val="20"/>
          <w:szCs w:val="20"/>
          <w:rtl/>
        </w:rPr>
        <w:t xml:space="preserve"> "</w:t>
      </w:r>
      <w:r w:rsidRPr="00D7265A">
        <w:rPr>
          <w:rFonts w:cs="Arial"/>
          <w:sz w:val="20"/>
          <w:szCs w:val="20"/>
          <w:rtl/>
        </w:rPr>
        <w:t xml:space="preserve">אבל כלי צבעונין אין חוששין לכתם הנמצא בהן, לפיכך </w:t>
      </w:r>
      <w:r w:rsidRPr="00D7265A">
        <w:rPr>
          <w:rFonts w:cs="Arial"/>
          <w:sz w:val="20"/>
          <w:szCs w:val="20"/>
          <w:u w:val="single"/>
          <w:rtl/>
        </w:rPr>
        <w:t>תקנו</w:t>
      </w:r>
      <w:r w:rsidRPr="00D7265A">
        <w:rPr>
          <w:rFonts w:cs="Arial"/>
          <w:sz w:val="20"/>
          <w:szCs w:val="20"/>
          <w:rtl/>
        </w:rPr>
        <w:t xml:space="preserve"> חכמים שתלבש האשה בגדי צבעונין כדי להצילה מדין הכתמי</w:t>
      </w:r>
      <w:r w:rsidRPr="00D7265A">
        <w:rPr>
          <w:rFonts w:cs="Arial" w:hint="cs"/>
          <w:sz w:val="20"/>
          <w:szCs w:val="20"/>
          <w:rtl/>
        </w:rPr>
        <w:t>ם".</w:t>
      </w:r>
      <w:r>
        <w:rPr>
          <w:sz w:val="18"/>
          <w:szCs w:val="18"/>
          <w:rtl/>
        </w:rPr>
        <w:br/>
      </w:r>
      <w:r w:rsidRPr="005027F8">
        <w:rPr>
          <w:rFonts w:hint="cs"/>
          <w:sz w:val="20"/>
          <w:szCs w:val="20"/>
          <w:rtl/>
        </w:rPr>
        <w:t>קשה, משום שמס</w:t>
      </w:r>
      <w:r w:rsidRPr="00336AED">
        <w:rPr>
          <w:rFonts w:hint="cs"/>
          <w:sz w:val="20"/>
          <w:szCs w:val="20"/>
          <w:rtl/>
        </w:rPr>
        <w:t xml:space="preserve">קנת הגמרא היא שבגד צבוע אינו </w:t>
      </w:r>
      <w:r w:rsidRPr="00336AED">
        <w:rPr>
          <w:rFonts w:hint="cs"/>
          <w:sz w:val="20"/>
          <w:szCs w:val="20"/>
          <w:u w:val="single"/>
          <w:rtl/>
        </w:rPr>
        <w:t>תקנה</w:t>
      </w:r>
      <w:r w:rsidRPr="00336AED">
        <w:rPr>
          <w:rFonts w:hint="cs"/>
          <w:sz w:val="20"/>
          <w:szCs w:val="20"/>
          <w:rtl/>
        </w:rPr>
        <w:t xml:space="preserve"> אלא זה </w:t>
      </w:r>
      <w:r w:rsidRPr="00336AED">
        <w:rPr>
          <w:rFonts w:hint="cs"/>
          <w:sz w:val="20"/>
          <w:szCs w:val="20"/>
          <w:u w:val="single"/>
          <w:rtl/>
        </w:rPr>
        <w:t>היתר</w:t>
      </w:r>
      <w:r w:rsidRPr="00336AED">
        <w:rPr>
          <w:rFonts w:hint="cs"/>
          <w:sz w:val="20"/>
          <w:szCs w:val="20"/>
          <w:rtl/>
        </w:rPr>
        <w:t xml:space="preserve"> בלבד!</w:t>
      </w:r>
      <w:r>
        <w:rPr>
          <w:rFonts w:hint="cs"/>
          <w:sz w:val="20"/>
          <w:szCs w:val="20"/>
          <w:rtl/>
        </w:rPr>
        <w:t xml:space="preserve"> </w:t>
      </w:r>
      <w:r w:rsidRPr="00704C35">
        <w:rPr>
          <w:rFonts w:hint="cs"/>
          <w:sz w:val="18"/>
          <w:szCs w:val="18"/>
          <w:rtl/>
        </w:rPr>
        <w:t>(ולכן הרמ"א השמיט תיבה זאת).</w:t>
      </w:r>
      <w:r w:rsidRPr="00336AED">
        <w:rPr>
          <w:sz w:val="20"/>
          <w:szCs w:val="20"/>
          <w:rtl/>
        </w:rPr>
        <w:br/>
      </w:r>
      <w:r>
        <w:rPr>
          <w:rFonts w:hint="cs"/>
          <w:sz w:val="20"/>
          <w:szCs w:val="20"/>
          <w:rtl/>
        </w:rPr>
        <w:t xml:space="preserve">מיישב </w:t>
      </w:r>
      <w:r>
        <w:rPr>
          <w:sz w:val="20"/>
          <w:szCs w:val="20"/>
          <w:rtl/>
        </w:rPr>
        <w:t>–</w:t>
      </w:r>
      <w:r>
        <w:rPr>
          <w:rFonts w:hint="cs"/>
          <w:sz w:val="20"/>
          <w:szCs w:val="20"/>
          <w:rtl/>
        </w:rPr>
        <w:t xml:space="preserve"> אפשר שהיתה לרמב"ם גירסה שונה בגמרא.</w:t>
      </w:r>
      <w:r>
        <w:rPr>
          <w:sz w:val="20"/>
          <w:szCs w:val="20"/>
          <w:rtl/>
        </w:rPr>
        <w:br/>
      </w:r>
      <w:r>
        <w:rPr>
          <w:rFonts w:hint="cs"/>
          <w:sz w:val="20"/>
          <w:szCs w:val="20"/>
          <w:rtl/>
        </w:rPr>
        <w:t>ועוד יש לומר, שכיוון שדחיית הגמרא היתה רק מכוח השאלה 'מאן תקנינהו', ולמסקנת הגמרא משיבים על שאלה זו, לכן יש לומר שפיר שזו תקנה.</w:t>
      </w:r>
      <w:r>
        <w:rPr>
          <w:rStyle w:val="a5"/>
          <w:sz w:val="20"/>
          <w:szCs w:val="20"/>
          <w:rtl/>
        </w:rPr>
        <w:footnoteReference w:id="280"/>
      </w:r>
    </w:p>
    <w:p w:rsidR="00620060" w:rsidRDefault="00620060" w:rsidP="00620060">
      <w:pPr>
        <w:rPr>
          <w:sz w:val="20"/>
          <w:szCs w:val="20"/>
          <w:rtl/>
        </w:rPr>
      </w:pPr>
      <w:r>
        <w:rPr>
          <w:rFonts w:hint="cs"/>
          <w:sz w:val="20"/>
          <w:szCs w:val="20"/>
          <w:u w:val="single"/>
          <w:rtl/>
        </w:rPr>
        <w:t>מתי אין ללבוש בגד צבוע (פת"ש וטהרת הבית עמ' תיז - תיט)</w:t>
      </w:r>
      <w:r>
        <w:rPr>
          <w:rFonts w:hint="cs"/>
          <w:sz w:val="20"/>
          <w:szCs w:val="20"/>
          <w:u w:val="single"/>
          <w:rtl/>
        </w:rPr>
        <w:br/>
      </w:r>
      <w:r>
        <w:rPr>
          <w:rFonts w:hint="cs"/>
          <w:sz w:val="20"/>
          <w:szCs w:val="20"/>
          <w:rtl/>
        </w:rPr>
        <w:t xml:space="preserve">א. </w:t>
      </w:r>
      <w:r w:rsidRPr="00691671">
        <w:rPr>
          <w:rFonts w:hint="cs"/>
          <w:b/>
          <w:bCs/>
          <w:sz w:val="20"/>
          <w:szCs w:val="20"/>
          <w:rtl/>
        </w:rPr>
        <w:t>עמודי כסף</w:t>
      </w:r>
      <w:r>
        <w:rPr>
          <w:rFonts w:hint="cs"/>
          <w:sz w:val="20"/>
          <w:szCs w:val="20"/>
          <w:rtl/>
        </w:rPr>
        <w:t xml:space="preserve"> </w:t>
      </w:r>
      <w:r>
        <w:rPr>
          <w:sz w:val="20"/>
          <w:szCs w:val="20"/>
          <w:rtl/>
        </w:rPr>
        <w:t>–</w:t>
      </w:r>
      <w:r>
        <w:rPr>
          <w:rFonts w:hint="cs"/>
          <w:sz w:val="20"/>
          <w:szCs w:val="20"/>
          <w:rtl/>
        </w:rPr>
        <w:t xml:space="preserve"> אף לפי דברי הרמ"א, אין ללבוש בגד צבוע בימי נידותה ובימי ליבונה.</w:t>
      </w:r>
      <w:r>
        <w:rPr>
          <w:rFonts w:hint="cs"/>
          <w:sz w:val="20"/>
          <w:szCs w:val="20"/>
          <w:rtl/>
        </w:rPr>
        <w:br/>
        <w:t xml:space="preserve">ב. </w:t>
      </w:r>
      <w:r w:rsidRPr="001B7CC6">
        <w:rPr>
          <w:rFonts w:hint="cs"/>
          <w:b/>
          <w:bCs/>
          <w:sz w:val="20"/>
          <w:szCs w:val="20"/>
          <w:rtl/>
        </w:rPr>
        <w:t>שו"ת ברית יעקב ושו"ת זכרון יעקב</w:t>
      </w:r>
      <w:r>
        <w:rPr>
          <w:rFonts w:hint="cs"/>
          <w:sz w:val="20"/>
          <w:szCs w:val="20"/>
          <w:rtl/>
        </w:rPr>
        <w:t xml:space="preserve"> </w:t>
      </w:r>
      <w:r>
        <w:rPr>
          <w:sz w:val="20"/>
          <w:szCs w:val="20"/>
          <w:rtl/>
        </w:rPr>
        <w:t>–</w:t>
      </w:r>
      <w:r>
        <w:rPr>
          <w:rFonts w:hint="cs"/>
          <w:sz w:val="20"/>
          <w:szCs w:val="20"/>
          <w:rtl/>
        </w:rPr>
        <w:t xml:space="preserve"> מותר ללבוש בגד צבוע גם בז' נקיים.</w:t>
      </w:r>
      <w:r>
        <w:rPr>
          <w:sz w:val="20"/>
          <w:szCs w:val="20"/>
          <w:rtl/>
        </w:rPr>
        <w:br/>
      </w:r>
      <w:r w:rsidRPr="001B7CC6">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חכמים לא גזרו על כתם בבגד צבוע, ואין לומר שבלבישתו היא מבטלת איסור לכתחילה, משום שהסיבה שאין לבטל איסור היא שמא יבוא לאכול את האיסור לבדו, משא"כ כאן שהכתם אינו אסור מעיקרא. ועוד, אין זה מבטל איסור לפי שאכתי אינו איסור, ובכה"ג מותר לבטל בידיים.</w:t>
      </w:r>
      <w:r>
        <w:rPr>
          <w:rFonts w:hint="cs"/>
          <w:sz w:val="20"/>
          <w:szCs w:val="20"/>
          <w:rtl/>
        </w:rPr>
        <w:br/>
        <w:t>ואף בשלושת הימים הראשונים לז' נקיים מותרת ללבוש בגד צבוע, ואינו דומה לדברי הרמ"א שכתב להחמיר ולא לתלות כתם בג' ימים הראשונים, משום שהתם יש כתם, אך כאן מעיקרא לא גזרו.</w:t>
      </w:r>
      <w:r>
        <w:rPr>
          <w:rFonts w:hint="cs"/>
          <w:sz w:val="20"/>
          <w:szCs w:val="20"/>
          <w:rtl/>
        </w:rPr>
        <w:br/>
        <w:t xml:space="preserve">הכרעת </w:t>
      </w:r>
      <w:r w:rsidRPr="00FD5102">
        <w:rPr>
          <w:rFonts w:hint="cs"/>
          <w:b/>
          <w:bCs/>
          <w:sz w:val="20"/>
          <w:szCs w:val="20"/>
          <w:rtl/>
        </w:rPr>
        <w:t>טהרת הבית</w:t>
      </w:r>
      <w:r>
        <w:rPr>
          <w:rFonts w:hint="cs"/>
          <w:sz w:val="20"/>
          <w:szCs w:val="20"/>
          <w:rtl/>
        </w:rPr>
        <w:t xml:space="preserve"> </w:t>
      </w:r>
      <w:r>
        <w:rPr>
          <w:sz w:val="20"/>
          <w:szCs w:val="20"/>
          <w:rtl/>
        </w:rPr>
        <w:t>–</w:t>
      </w:r>
      <w:r>
        <w:rPr>
          <w:rFonts w:hint="cs"/>
          <w:sz w:val="20"/>
          <w:szCs w:val="20"/>
          <w:rtl/>
        </w:rPr>
        <w:t xml:space="preserve"> אשה שרגילה לראות כתמים, תלבש תמיד בגד צבעוני אפילו בג' ימים הראשונים.</w:t>
      </w:r>
      <w:r>
        <w:rPr>
          <w:rStyle w:val="a5"/>
          <w:sz w:val="20"/>
          <w:szCs w:val="20"/>
          <w:rtl/>
        </w:rPr>
        <w:footnoteReference w:id="281"/>
      </w:r>
    </w:p>
    <w:p w:rsidR="00620060" w:rsidRDefault="00620060" w:rsidP="00620060">
      <w:pPr>
        <w:rPr>
          <w:sz w:val="20"/>
          <w:szCs w:val="20"/>
          <w:rtl/>
        </w:rPr>
      </w:pPr>
      <w:r w:rsidRPr="00930073">
        <w:rPr>
          <w:rFonts w:hint="cs"/>
          <w:b/>
          <w:bCs/>
          <w:sz w:val="20"/>
          <w:szCs w:val="20"/>
          <w:rtl/>
        </w:rPr>
        <w:t>סיכום</w:t>
      </w:r>
      <w:r>
        <w:rPr>
          <w:sz w:val="20"/>
          <w:szCs w:val="20"/>
          <w:rtl/>
        </w:rPr>
        <w:br/>
      </w:r>
      <w:r w:rsidRPr="00702A82">
        <w:rPr>
          <w:rFonts w:hint="cs"/>
          <w:sz w:val="20"/>
          <w:szCs w:val="20"/>
          <w:rtl/>
        </w:rPr>
        <w:t xml:space="preserve">1. </w:t>
      </w:r>
      <w:r w:rsidRPr="00702A82">
        <w:rPr>
          <w:rFonts w:hint="cs"/>
          <w:b/>
          <w:bCs/>
          <w:sz w:val="20"/>
          <w:szCs w:val="20"/>
          <w:rtl/>
        </w:rPr>
        <w:t>משנה</w:t>
      </w:r>
      <w:r w:rsidRPr="00702A82">
        <w:rPr>
          <w:rFonts w:hint="cs"/>
          <w:sz w:val="20"/>
          <w:szCs w:val="20"/>
          <w:rtl/>
        </w:rPr>
        <w:t xml:space="preserve">. רבי נחמיה סובר שכתם על דבר שאינו מק"ט </w:t>
      </w:r>
      <w:r w:rsidRPr="00702A82">
        <w:rPr>
          <w:sz w:val="20"/>
          <w:szCs w:val="20"/>
          <w:rtl/>
        </w:rPr>
        <w:t>–</w:t>
      </w:r>
      <w:r w:rsidRPr="00702A82">
        <w:rPr>
          <w:rFonts w:hint="cs"/>
          <w:sz w:val="20"/>
          <w:szCs w:val="20"/>
          <w:rtl/>
        </w:rPr>
        <w:t xml:space="preserve"> טהור, וכן סובר שמואל.</w:t>
      </w:r>
      <w:r w:rsidRPr="00702A82">
        <w:rPr>
          <w:sz w:val="20"/>
          <w:szCs w:val="20"/>
          <w:rtl/>
        </w:rPr>
        <w:br/>
      </w:r>
      <w:r w:rsidRPr="00702A82">
        <w:rPr>
          <w:rFonts w:hint="cs"/>
          <w:sz w:val="20"/>
          <w:szCs w:val="20"/>
          <w:rtl/>
        </w:rPr>
        <w:t xml:space="preserve">2. </w:t>
      </w:r>
      <w:r w:rsidRPr="00702A82">
        <w:rPr>
          <w:rFonts w:hint="cs"/>
          <w:b/>
          <w:bCs/>
          <w:sz w:val="20"/>
          <w:szCs w:val="20"/>
          <w:rtl/>
        </w:rPr>
        <w:t>טעם</w:t>
      </w:r>
      <w:r w:rsidRPr="00702A82">
        <w:rPr>
          <w:rFonts w:hint="cs"/>
          <w:sz w:val="20"/>
          <w:szCs w:val="20"/>
          <w:rtl/>
        </w:rPr>
        <w:t xml:space="preserve">. </w:t>
      </w:r>
      <w:r w:rsidRPr="00702A82">
        <w:rPr>
          <w:rFonts w:hint="cs"/>
          <w:b/>
          <w:bCs/>
          <w:sz w:val="20"/>
          <w:szCs w:val="20"/>
          <w:rtl/>
        </w:rPr>
        <w:t>גמרא</w:t>
      </w:r>
      <w:r w:rsidRPr="00702A82">
        <w:rPr>
          <w:rFonts w:hint="cs"/>
          <w:sz w:val="20"/>
          <w:szCs w:val="20"/>
          <w:rtl/>
        </w:rPr>
        <w:t xml:space="preserve">. "ונקתה לארץ תשב". </w:t>
      </w:r>
      <w:r w:rsidRPr="00702A82">
        <w:rPr>
          <w:rFonts w:hint="cs"/>
          <w:b/>
          <w:bCs/>
          <w:sz w:val="20"/>
          <w:szCs w:val="20"/>
          <w:rtl/>
        </w:rPr>
        <w:t>על"נ</w:t>
      </w:r>
      <w:r w:rsidRPr="00702A82">
        <w:rPr>
          <w:rFonts w:hint="cs"/>
          <w:sz w:val="20"/>
          <w:szCs w:val="20"/>
          <w:rtl/>
        </w:rPr>
        <w:t>. זו אסמכתא, שהרי מדאורייתא כתם טהור, וכן כי לפי הפסוק רק כתם בקרקע עצמה טהור.</w:t>
      </w:r>
      <w:r w:rsidRPr="00702A82">
        <w:rPr>
          <w:sz w:val="20"/>
          <w:szCs w:val="20"/>
          <w:rtl/>
        </w:rPr>
        <w:br/>
      </w:r>
      <w:r w:rsidRPr="00702A82">
        <w:rPr>
          <w:rFonts w:hint="cs"/>
          <w:sz w:val="20"/>
          <w:szCs w:val="20"/>
          <w:rtl/>
        </w:rPr>
        <w:t xml:space="preserve">3. טעם הראשונים. </w:t>
      </w:r>
      <w:r w:rsidRPr="00702A82">
        <w:rPr>
          <w:rFonts w:hint="cs"/>
          <w:b/>
          <w:bCs/>
          <w:sz w:val="20"/>
          <w:szCs w:val="20"/>
          <w:rtl/>
        </w:rPr>
        <w:t>תוספות</w:t>
      </w:r>
      <w:r w:rsidRPr="00702A82">
        <w:rPr>
          <w:rFonts w:hint="cs"/>
          <w:sz w:val="20"/>
          <w:szCs w:val="20"/>
          <w:rtl/>
        </w:rPr>
        <w:t xml:space="preserve">. לא לחלק בין דין הכלי שטהור לבין האשה. </w:t>
      </w:r>
      <w:r w:rsidRPr="00702A82">
        <w:rPr>
          <w:rFonts w:hint="cs"/>
          <w:b/>
          <w:bCs/>
          <w:sz w:val="20"/>
          <w:szCs w:val="20"/>
          <w:rtl/>
        </w:rPr>
        <w:t>רשב"א</w:t>
      </w:r>
      <w:r w:rsidRPr="00702A82">
        <w:rPr>
          <w:rFonts w:hint="cs"/>
          <w:sz w:val="20"/>
          <w:szCs w:val="20"/>
          <w:rtl/>
        </w:rPr>
        <w:t>. גזרו כתם בדבר המצוי.</w:t>
      </w:r>
      <w:r w:rsidRPr="00702A82">
        <w:rPr>
          <w:sz w:val="20"/>
          <w:szCs w:val="20"/>
          <w:rtl/>
        </w:rPr>
        <w:br/>
      </w:r>
      <w:r w:rsidRPr="00702A82">
        <w:rPr>
          <w:rFonts w:hint="cs"/>
          <w:sz w:val="20"/>
          <w:szCs w:val="20"/>
          <w:rtl/>
        </w:rPr>
        <w:t xml:space="preserve">4. </w:t>
      </w:r>
      <w:r w:rsidRPr="00702A82">
        <w:rPr>
          <w:rFonts w:hint="cs"/>
          <w:b/>
          <w:bCs/>
          <w:sz w:val="20"/>
          <w:szCs w:val="20"/>
          <w:rtl/>
        </w:rPr>
        <w:t>ראב"ד</w:t>
      </w:r>
      <w:r w:rsidRPr="00702A82">
        <w:rPr>
          <w:rFonts w:hint="cs"/>
          <w:sz w:val="20"/>
          <w:szCs w:val="20"/>
          <w:rtl/>
        </w:rPr>
        <w:t xml:space="preserve">. אין הלכה כרבי נחמיה. </w:t>
      </w:r>
      <w:r w:rsidRPr="00702A82">
        <w:rPr>
          <w:rFonts w:hint="cs"/>
          <w:b/>
          <w:bCs/>
          <w:sz w:val="20"/>
          <w:szCs w:val="20"/>
          <w:rtl/>
        </w:rPr>
        <w:t>ראיה</w:t>
      </w:r>
      <w:r w:rsidRPr="00702A82">
        <w:rPr>
          <w:rFonts w:hint="cs"/>
          <w:sz w:val="20"/>
          <w:szCs w:val="20"/>
          <w:rtl/>
        </w:rPr>
        <w:t>. משתיתא אינ</w:t>
      </w:r>
      <w:r>
        <w:rPr>
          <w:rFonts w:hint="cs"/>
          <w:sz w:val="20"/>
          <w:szCs w:val="20"/>
          <w:rtl/>
        </w:rPr>
        <w:t>ו</w:t>
      </w:r>
      <w:r w:rsidRPr="00702A82">
        <w:rPr>
          <w:rFonts w:hint="cs"/>
          <w:sz w:val="20"/>
          <w:szCs w:val="20"/>
          <w:rtl/>
        </w:rPr>
        <w:t xml:space="preserve"> מק"ט ואפ"ה טימאו את האשה. </w:t>
      </w:r>
      <w:r w:rsidRPr="00702A82">
        <w:rPr>
          <w:rFonts w:hint="cs"/>
          <w:b/>
          <w:bCs/>
          <w:sz w:val="20"/>
          <w:szCs w:val="20"/>
          <w:rtl/>
        </w:rPr>
        <w:t>רשב"א</w:t>
      </w:r>
      <w:r w:rsidRPr="00702A82">
        <w:rPr>
          <w:rFonts w:hint="cs"/>
          <w:sz w:val="20"/>
          <w:szCs w:val="20"/>
          <w:rtl/>
        </w:rPr>
        <w:t xml:space="preserve">. הלכה כרבי נחמיה. </w:t>
      </w:r>
      <w:r w:rsidRPr="00702A82">
        <w:rPr>
          <w:rFonts w:hint="cs"/>
          <w:b/>
          <w:bCs/>
          <w:sz w:val="20"/>
          <w:szCs w:val="20"/>
          <w:rtl/>
        </w:rPr>
        <w:t>טעם</w:t>
      </w:r>
      <w:r w:rsidRPr="00702A82">
        <w:rPr>
          <w:rFonts w:hint="cs"/>
          <w:sz w:val="20"/>
          <w:szCs w:val="20"/>
          <w:rtl/>
        </w:rPr>
        <w:t>. משתיתא ה</w:t>
      </w:r>
      <w:r>
        <w:rPr>
          <w:rFonts w:hint="cs"/>
          <w:sz w:val="20"/>
          <w:szCs w:val="20"/>
          <w:rtl/>
        </w:rPr>
        <w:t>ו</w:t>
      </w:r>
      <w:r w:rsidRPr="00702A82">
        <w:rPr>
          <w:rFonts w:hint="cs"/>
          <w:sz w:val="20"/>
          <w:szCs w:val="20"/>
          <w:rtl/>
        </w:rPr>
        <w:t>א כלי אורגים המק"ט. שמואל סובר כרבי נחמיה, וכן משמע מרב הונא ואביי.</w:t>
      </w:r>
      <w:r w:rsidRPr="00702A82">
        <w:rPr>
          <w:sz w:val="20"/>
          <w:szCs w:val="20"/>
          <w:rtl/>
        </w:rPr>
        <w:br/>
      </w:r>
      <w:r w:rsidRPr="00702A82">
        <w:rPr>
          <w:rFonts w:hint="cs"/>
          <w:sz w:val="20"/>
          <w:szCs w:val="20"/>
          <w:rtl/>
        </w:rPr>
        <w:t xml:space="preserve">5. </w:t>
      </w:r>
      <w:r w:rsidRPr="00702A82">
        <w:rPr>
          <w:rFonts w:hint="cs"/>
          <w:b/>
          <w:bCs/>
          <w:sz w:val="20"/>
          <w:szCs w:val="20"/>
          <w:rtl/>
        </w:rPr>
        <w:t>מחבר</w:t>
      </w:r>
      <w:r w:rsidRPr="00702A82">
        <w:rPr>
          <w:rFonts w:hint="cs"/>
          <w:sz w:val="20"/>
          <w:szCs w:val="20"/>
          <w:rtl/>
        </w:rPr>
        <w:t>. כתם הנמצא על דבר שאינו מק"ט, טהור.</w:t>
      </w:r>
      <w:r w:rsidRPr="00702A82">
        <w:rPr>
          <w:sz w:val="20"/>
          <w:szCs w:val="20"/>
          <w:rtl/>
        </w:rPr>
        <w:br/>
      </w:r>
      <w:r w:rsidRPr="00702A82">
        <w:rPr>
          <w:rFonts w:hint="cs"/>
          <w:sz w:val="20"/>
          <w:szCs w:val="20"/>
          <w:rtl/>
        </w:rPr>
        <w:t xml:space="preserve">6. </w:t>
      </w:r>
      <w:r w:rsidRPr="00702A82">
        <w:rPr>
          <w:rFonts w:hint="cs"/>
          <w:b/>
          <w:bCs/>
          <w:sz w:val="20"/>
          <w:szCs w:val="20"/>
          <w:rtl/>
        </w:rPr>
        <w:t>ש"ך</w:t>
      </w:r>
      <w:r w:rsidRPr="00702A82">
        <w:rPr>
          <w:rFonts w:hint="cs"/>
          <w:sz w:val="20"/>
          <w:szCs w:val="20"/>
          <w:rtl/>
        </w:rPr>
        <w:t xml:space="preserve">. אפילו דבר שאינו מק"ט מחמת שיעורו הקטן, טהור. </w:t>
      </w:r>
      <w:r w:rsidRPr="00702A82">
        <w:rPr>
          <w:sz w:val="20"/>
          <w:szCs w:val="20"/>
          <w:rtl/>
        </w:rPr>
        <w:br/>
      </w:r>
      <w:r w:rsidRPr="00702A82">
        <w:rPr>
          <w:rFonts w:hint="cs"/>
          <w:sz w:val="20"/>
          <w:szCs w:val="20"/>
          <w:rtl/>
        </w:rPr>
        <w:t xml:space="preserve">7. </w:t>
      </w:r>
      <w:r w:rsidRPr="00702A82">
        <w:rPr>
          <w:rFonts w:hint="cs"/>
          <w:b/>
          <w:bCs/>
          <w:sz w:val="20"/>
          <w:szCs w:val="20"/>
          <w:rtl/>
        </w:rPr>
        <w:t>תוספות</w:t>
      </w:r>
      <w:r w:rsidRPr="00702A82">
        <w:rPr>
          <w:rFonts w:hint="cs"/>
          <w:sz w:val="20"/>
          <w:szCs w:val="20"/>
          <w:rtl/>
        </w:rPr>
        <w:t xml:space="preserve">. כתם ע"ג דבר המק"ט נגעים, טמא. </w:t>
      </w:r>
      <w:r w:rsidRPr="00702A82">
        <w:rPr>
          <w:rFonts w:hint="cs"/>
          <w:b/>
          <w:bCs/>
          <w:sz w:val="20"/>
          <w:szCs w:val="20"/>
          <w:rtl/>
        </w:rPr>
        <w:t>תוה"ש</w:t>
      </w:r>
      <w:r w:rsidRPr="00702A82">
        <w:rPr>
          <w:rFonts w:hint="cs"/>
          <w:sz w:val="20"/>
          <w:szCs w:val="20"/>
          <w:rtl/>
        </w:rPr>
        <w:t xml:space="preserve">. לפי"ז, אפשר שכתם בקירות הבית טמא. </w:t>
      </w:r>
      <w:r w:rsidRPr="00702A82">
        <w:rPr>
          <w:b/>
          <w:bCs/>
          <w:sz w:val="20"/>
          <w:szCs w:val="20"/>
          <w:rtl/>
        </w:rPr>
        <w:br/>
      </w:r>
      <w:r w:rsidRPr="00702A82">
        <w:rPr>
          <w:rFonts w:hint="cs"/>
          <w:b/>
          <w:bCs/>
          <w:sz w:val="20"/>
          <w:szCs w:val="20"/>
          <w:rtl/>
        </w:rPr>
        <w:t>סד"ט וכו"פ</w:t>
      </w:r>
      <w:r w:rsidRPr="00702A82">
        <w:rPr>
          <w:rFonts w:hint="cs"/>
          <w:sz w:val="20"/>
          <w:szCs w:val="20"/>
          <w:rtl/>
        </w:rPr>
        <w:t xml:space="preserve">. כתם בקיר הבית טהור, כוונת תוספות לטמא רק כשנמצא על כלים, וכן משמע דעת </w:t>
      </w:r>
      <w:r w:rsidRPr="00702A82">
        <w:rPr>
          <w:rFonts w:hint="cs"/>
          <w:b/>
          <w:bCs/>
          <w:sz w:val="20"/>
          <w:szCs w:val="20"/>
          <w:rtl/>
        </w:rPr>
        <w:t>הפת"ש</w:t>
      </w:r>
      <w:r w:rsidRPr="00702A82">
        <w:rPr>
          <w:rFonts w:hint="cs"/>
          <w:sz w:val="20"/>
          <w:szCs w:val="20"/>
          <w:rtl/>
        </w:rPr>
        <w:t>.</w:t>
      </w:r>
      <w:r w:rsidRPr="00702A82">
        <w:rPr>
          <w:sz w:val="20"/>
          <w:szCs w:val="20"/>
          <w:rtl/>
        </w:rPr>
        <w:br/>
      </w:r>
      <w:r w:rsidRPr="00702A82">
        <w:rPr>
          <w:rFonts w:hint="cs"/>
          <w:sz w:val="20"/>
          <w:szCs w:val="20"/>
          <w:rtl/>
        </w:rPr>
        <w:t xml:space="preserve">8. </w:t>
      </w:r>
      <w:r w:rsidRPr="00702A82">
        <w:rPr>
          <w:rFonts w:hint="cs"/>
          <w:b/>
          <w:bCs/>
          <w:sz w:val="20"/>
          <w:szCs w:val="20"/>
          <w:rtl/>
        </w:rPr>
        <w:t>נודע ביהודה</w:t>
      </w:r>
      <w:r w:rsidRPr="00702A82">
        <w:rPr>
          <w:rFonts w:hint="cs"/>
          <w:sz w:val="20"/>
          <w:szCs w:val="20"/>
          <w:rtl/>
        </w:rPr>
        <w:t>. גם כתם הנמצא על דבר שמקבל טומאה מדרבנן, טמא.</w:t>
      </w:r>
      <w:r w:rsidRPr="00702A82">
        <w:rPr>
          <w:sz w:val="20"/>
          <w:szCs w:val="20"/>
          <w:rtl/>
        </w:rPr>
        <w:br/>
      </w:r>
      <w:r w:rsidRPr="00702A82">
        <w:rPr>
          <w:rFonts w:hint="cs"/>
          <w:sz w:val="20"/>
          <w:szCs w:val="20"/>
          <w:rtl/>
        </w:rPr>
        <w:t xml:space="preserve">9. דין נייר. </w:t>
      </w:r>
      <w:r w:rsidRPr="00702A82">
        <w:rPr>
          <w:rFonts w:hint="cs"/>
          <w:b/>
          <w:bCs/>
          <w:sz w:val="20"/>
          <w:szCs w:val="20"/>
          <w:rtl/>
        </w:rPr>
        <w:t>רמב"ם</w:t>
      </w:r>
      <w:r w:rsidRPr="00702A82">
        <w:rPr>
          <w:rFonts w:hint="cs"/>
          <w:sz w:val="20"/>
          <w:szCs w:val="20"/>
          <w:rtl/>
        </w:rPr>
        <w:t xml:space="preserve">. נייר אינו מק"ט. </w:t>
      </w:r>
      <w:r w:rsidRPr="00702A82">
        <w:rPr>
          <w:rFonts w:hint="cs"/>
          <w:b/>
          <w:bCs/>
          <w:sz w:val="20"/>
          <w:szCs w:val="20"/>
          <w:rtl/>
        </w:rPr>
        <w:t>חת"ס ואג"מ</w:t>
      </w:r>
      <w:r w:rsidRPr="00702A82">
        <w:rPr>
          <w:rFonts w:hint="cs"/>
          <w:sz w:val="20"/>
          <w:szCs w:val="20"/>
          <w:rtl/>
        </w:rPr>
        <w:t xml:space="preserve">. נייר אינו מק"ט. </w:t>
      </w:r>
      <w:r w:rsidRPr="00702A82">
        <w:rPr>
          <w:rFonts w:hint="cs"/>
          <w:b/>
          <w:bCs/>
          <w:sz w:val="20"/>
          <w:szCs w:val="20"/>
          <w:rtl/>
        </w:rPr>
        <w:t>טעם</w:t>
      </w:r>
      <w:r w:rsidRPr="00702A82">
        <w:rPr>
          <w:rFonts w:hint="cs"/>
          <w:sz w:val="20"/>
          <w:szCs w:val="20"/>
          <w:rtl/>
        </w:rPr>
        <w:t>. חומר הגלם נכתש ופנים חדשות באו לכאן, וכן משום שאינו ראוי לשימ</w:t>
      </w:r>
      <w:r>
        <w:rPr>
          <w:rFonts w:hint="cs"/>
          <w:sz w:val="20"/>
          <w:szCs w:val="20"/>
          <w:rtl/>
        </w:rPr>
        <w:t xml:space="preserve">וש חוזר ונשחת לגמרי מתשמיש. </w:t>
      </w:r>
      <w:r w:rsidRPr="00702A82">
        <w:rPr>
          <w:rFonts w:hint="cs"/>
          <w:b/>
          <w:bCs/>
          <w:sz w:val="20"/>
          <w:szCs w:val="20"/>
          <w:rtl/>
        </w:rPr>
        <w:t>נוב"י</w:t>
      </w:r>
      <w:r w:rsidRPr="00702A82">
        <w:rPr>
          <w:rFonts w:hint="cs"/>
          <w:sz w:val="20"/>
          <w:szCs w:val="20"/>
          <w:rtl/>
        </w:rPr>
        <w:t xml:space="preserve">. נייר מק"ט. מסביר </w:t>
      </w:r>
      <w:r w:rsidRPr="00702A82">
        <w:rPr>
          <w:rFonts w:hint="cs"/>
          <w:b/>
          <w:bCs/>
          <w:sz w:val="20"/>
          <w:szCs w:val="20"/>
          <w:rtl/>
        </w:rPr>
        <w:t>השיבת ציון</w:t>
      </w:r>
      <w:r w:rsidRPr="00702A82">
        <w:rPr>
          <w:rFonts w:hint="cs"/>
          <w:sz w:val="20"/>
          <w:szCs w:val="20"/>
          <w:rtl/>
        </w:rPr>
        <w:t xml:space="preserve">. הנייר בזמן הרמב"ם היה עשוי מעלי אילנות ולכן אינו מק"ט. </w:t>
      </w:r>
      <w:r w:rsidRPr="00702A82">
        <w:rPr>
          <w:rFonts w:hint="cs"/>
          <w:sz w:val="20"/>
          <w:szCs w:val="20"/>
          <w:rtl/>
        </w:rPr>
        <w:br/>
        <w:t>1</w:t>
      </w:r>
      <w:r>
        <w:rPr>
          <w:rFonts w:hint="cs"/>
          <w:sz w:val="20"/>
          <w:szCs w:val="20"/>
          <w:rtl/>
        </w:rPr>
        <w:t>0</w:t>
      </w:r>
      <w:r w:rsidRPr="00702A82">
        <w:rPr>
          <w:rFonts w:hint="cs"/>
          <w:sz w:val="20"/>
          <w:szCs w:val="20"/>
          <w:rtl/>
        </w:rPr>
        <w:t xml:space="preserve">. מצאה כתם על בגד שאינו מק"ט או על בגד צבוע לאחר תשמיש או לאחר הטלת מ"ר. </w:t>
      </w:r>
      <w:r w:rsidRPr="00702A82">
        <w:rPr>
          <w:rFonts w:hint="cs"/>
          <w:b/>
          <w:bCs/>
          <w:sz w:val="20"/>
          <w:szCs w:val="20"/>
          <w:rtl/>
        </w:rPr>
        <w:t>סד"ט</w:t>
      </w:r>
      <w:r w:rsidRPr="00702A82">
        <w:rPr>
          <w:rFonts w:hint="cs"/>
          <w:sz w:val="20"/>
          <w:szCs w:val="20"/>
          <w:rtl/>
        </w:rPr>
        <w:t xml:space="preserve">. טמאה. </w:t>
      </w:r>
      <w:r w:rsidRPr="00702A82">
        <w:rPr>
          <w:rFonts w:hint="cs"/>
          <w:b/>
          <w:bCs/>
          <w:sz w:val="20"/>
          <w:szCs w:val="20"/>
          <w:rtl/>
        </w:rPr>
        <w:t>טעם</w:t>
      </w:r>
      <w:r w:rsidRPr="00702A82">
        <w:rPr>
          <w:rFonts w:hint="cs"/>
          <w:sz w:val="20"/>
          <w:szCs w:val="20"/>
          <w:rtl/>
        </w:rPr>
        <w:t xml:space="preserve">. חשש שמא הרגישה וסברה שזו הרגשת תשמיש או מ"ר. </w:t>
      </w:r>
      <w:r w:rsidRPr="00702A82">
        <w:rPr>
          <w:rFonts w:hint="cs"/>
          <w:b/>
          <w:bCs/>
          <w:sz w:val="20"/>
          <w:szCs w:val="20"/>
          <w:rtl/>
        </w:rPr>
        <w:t>פרד"ר</w:t>
      </w:r>
      <w:r w:rsidRPr="00702A82">
        <w:rPr>
          <w:rFonts w:hint="cs"/>
          <w:sz w:val="20"/>
          <w:szCs w:val="20"/>
          <w:rtl/>
        </w:rPr>
        <w:t xml:space="preserve">. טהורה. </w:t>
      </w:r>
      <w:r w:rsidRPr="00702A82">
        <w:rPr>
          <w:rFonts w:hint="cs"/>
          <w:b/>
          <w:bCs/>
          <w:sz w:val="20"/>
          <w:szCs w:val="20"/>
          <w:rtl/>
        </w:rPr>
        <w:t>טעם</w:t>
      </w:r>
      <w:r w:rsidRPr="00702A82">
        <w:rPr>
          <w:rFonts w:hint="cs"/>
          <w:sz w:val="20"/>
          <w:szCs w:val="20"/>
          <w:rtl/>
        </w:rPr>
        <w:t xml:space="preserve">. דין זה לא הוזכר בראשונים, ואין לחוש שהרגישה וטעתה כיוון שרק מיעוט נשים טועות בכך, וכ"פ </w:t>
      </w:r>
      <w:r w:rsidRPr="00702A82">
        <w:rPr>
          <w:rFonts w:hint="cs"/>
          <w:b/>
          <w:bCs/>
          <w:sz w:val="20"/>
          <w:szCs w:val="20"/>
          <w:rtl/>
        </w:rPr>
        <w:t>טה"ב</w:t>
      </w:r>
      <w:r>
        <w:rPr>
          <w:rFonts w:hint="cs"/>
          <w:sz w:val="20"/>
          <w:szCs w:val="20"/>
          <w:rtl/>
        </w:rPr>
        <w:t>.</w:t>
      </w:r>
      <w:r w:rsidRPr="00702A82">
        <w:rPr>
          <w:sz w:val="20"/>
          <w:szCs w:val="20"/>
          <w:rtl/>
        </w:rPr>
        <w:br/>
      </w:r>
      <w:r w:rsidRPr="00702A82">
        <w:rPr>
          <w:rFonts w:hint="cs"/>
          <w:sz w:val="20"/>
          <w:szCs w:val="20"/>
          <w:rtl/>
        </w:rPr>
        <w:t>1</w:t>
      </w:r>
      <w:r>
        <w:rPr>
          <w:rFonts w:hint="cs"/>
          <w:sz w:val="20"/>
          <w:szCs w:val="20"/>
          <w:rtl/>
        </w:rPr>
        <w:t>1</w:t>
      </w:r>
      <w:r w:rsidRPr="00702A82">
        <w:rPr>
          <w:rFonts w:hint="cs"/>
          <w:sz w:val="20"/>
          <w:szCs w:val="20"/>
          <w:rtl/>
        </w:rPr>
        <w:t xml:space="preserve">. </w:t>
      </w:r>
      <w:r w:rsidRPr="00702A82">
        <w:rPr>
          <w:rFonts w:hint="cs"/>
          <w:b/>
          <w:bCs/>
          <w:sz w:val="20"/>
          <w:szCs w:val="20"/>
          <w:rtl/>
        </w:rPr>
        <w:t>נוב"י</w:t>
      </w:r>
      <w:r w:rsidRPr="00702A82">
        <w:rPr>
          <w:rFonts w:hint="cs"/>
          <w:sz w:val="20"/>
          <w:szCs w:val="20"/>
          <w:rtl/>
        </w:rPr>
        <w:t xml:space="preserve">. דף של בית הכיסא טהור. </w:t>
      </w:r>
      <w:r w:rsidRPr="00702A82">
        <w:rPr>
          <w:rFonts w:hint="cs"/>
          <w:b/>
          <w:bCs/>
          <w:sz w:val="20"/>
          <w:szCs w:val="20"/>
          <w:rtl/>
        </w:rPr>
        <w:t>טעם</w:t>
      </w:r>
      <w:r w:rsidRPr="00702A82">
        <w:rPr>
          <w:rFonts w:hint="cs"/>
          <w:sz w:val="20"/>
          <w:szCs w:val="20"/>
          <w:rtl/>
        </w:rPr>
        <w:t>. א. קבעוהו בקרקע. ב. יש בו נקב המטהרו.</w:t>
      </w:r>
      <w:r w:rsidRPr="00702A82">
        <w:rPr>
          <w:sz w:val="20"/>
          <w:szCs w:val="20"/>
          <w:rtl/>
        </w:rPr>
        <w:br/>
      </w:r>
      <w:r w:rsidRPr="00702A82">
        <w:rPr>
          <w:rFonts w:hint="cs"/>
          <w:sz w:val="20"/>
          <w:szCs w:val="20"/>
          <w:rtl/>
        </w:rPr>
        <w:t>1</w:t>
      </w:r>
      <w:r>
        <w:rPr>
          <w:rFonts w:hint="cs"/>
          <w:sz w:val="20"/>
          <w:szCs w:val="20"/>
          <w:rtl/>
        </w:rPr>
        <w:t>2</w:t>
      </w:r>
      <w:r w:rsidRPr="00702A82">
        <w:rPr>
          <w:rFonts w:hint="cs"/>
          <w:sz w:val="20"/>
          <w:szCs w:val="20"/>
          <w:rtl/>
        </w:rPr>
        <w:t xml:space="preserve">. כתם על בגד צבוע. </w:t>
      </w:r>
      <w:r w:rsidRPr="00702A82">
        <w:rPr>
          <w:rFonts w:hint="cs"/>
          <w:b/>
          <w:bCs/>
          <w:sz w:val="20"/>
          <w:szCs w:val="20"/>
          <w:rtl/>
        </w:rPr>
        <w:t>גמרא</w:t>
      </w:r>
      <w:r w:rsidRPr="00702A82">
        <w:rPr>
          <w:rFonts w:hint="cs"/>
          <w:sz w:val="20"/>
          <w:szCs w:val="20"/>
          <w:rtl/>
        </w:rPr>
        <w:t xml:space="preserve">. </w:t>
      </w:r>
      <w:r w:rsidRPr="00702A82">
        <w:rPr>
          <w:rFonts w:hint="cs"/>
          <w:sz w:val="20"/>
          <w:szCs w:val="20"/>
          <w:u w:val="single"/>
          <w:rtl/>
        </w:rPr>
        <w:t>ת"ק</w:t>
      </w:r>
      <w:r w:rsidRPr="00702A82">
        <w:rPr>
          <w:rFonts w:hint="cs"/>
          <w:sz w:val="20"/>
          <w:szCs w:val="20"/>
          <w:rtl/>
        </w:rPr>
        <w:t xml:space="preserve">. טמא. </w:t>
      </w:r>
      <w:r w:rsidRPr="00702A82">
        <w:rPr>
          <w:rFonts w:hint="cs"/>
          <w:sz w:val="20"/>
          <w:szCs w:val="20"/>
          <w:u w:val="single"/>
          <w:rtl/>
        </w:rPr>
        <w:t>רבי נתן</w:t>
      </w:r>
      <w:r w:rsidRPr="00702A82">
        <w:rPr>
          <w:rFonts w:hint="cs"/>
          <w:sz w:val="20"/>
          <w:szCs w:val="20"/>
          <w:rtl/>
        </w:rPr>
        <w:t>. טהור.</w:t>
      </w:r>
      <w:r w:rsidRPr="00702A82">
        <w:rPr>
          <w:sz w:val="20"/>
          <w:szCs w:val="20"/>
          <w:rtl/>
        </w:rPr>
        <w:br/>
      </w:r>
      <w:r w:rsidRPr="00702A82">
        <w:rPr>
          <w:rFonts w:hint="cs"/>
          <w:sz w:val="20"/>
          <w:szCs w:val="20"/>
          <w:rtl/>
        </w:rPr>
        <w:t>1</w:t>
      </w:r>
      <w:r>
        <w:rPr>
          <w:rFonts w:hint="cs"/>
          <w:sz w:val="20"/>
          <w:szCs w:val="20"/>
          <w:rtl/>
        </w:rPr>
        <w:t>3</w:t>
      </w:r>
      <w:r w:rsidRPr="00702A82">
        <w:rPr>
          <w:rFonts w:hint="cs"/>
          <w:sz w:val="20"/>
          <w:szCs w:val="20"/>
          <w:rtl/>
        </w:rPr>
        <w:t xml:space="preserve">. טעם הדין. </w:t>
      </w:r>
      <w:r w:rsidRPr="00702A82">
        <w:rPr>
          <w:rFonts w:hint="cs"/>
          <w:b/>
          <w:bCs/>
          <w:sz w:val="20"/>
          <w:szCs w:val="20"/>
          <w:rtl/>
        </w:rPr>
        <w:t>רש"י</w:t>
      </w:r>
      <w:r w:rsidRPr="00702A82">
        <w:rPr>
          <w:rFonts w:hint="cs"/>
          <w:sz w:val="20"/>
          <w:szCs w:val="20"/>
          <w:rtl/>
        </w:rPr>
        <w:t>. אין הכתם ניכר בו.</w:t>
      </w:r>
      <w:r w:rsidRPr="00702A82">
        <w:rPr>
          <w:sz w:val="20"/>
          <w:szCs w:val="20"/>
          <w:rtl/>
        </w:rPr>
        <w:br/>
      </w:r>
      <w:r w:rsidRPr="00702A82">
        <w:rPr>
          <w:rFonts w:hint="cs"/>
          <w:sz w:val="20"/>
          <w:szCs w:val="20"/>
          <w:rtl/>
        </w:rPr>
        <w:t>1</w:t>
      </w:r>
      <w:r>
        <w:rPr>
          <w:rFonts w:hint="cs"/>
          <w:sz w:val="20"/>
          <w:szCs w:val="20"/>
          <w:rtl/>
        </w:rPr>
        <w:t>4</w:t>
      </w:r>
      <w:r w:rsidRPr="00702A82">
        <w:rPr>
          <w:rFonts w:hint="cs"/>
          <w:sz w:val="20"/>
          <w:szCs w:val="20"/>
          <w:rtl/>
        </w:rPr>
        <w:t xml:space="preserve">. ראשונים. </w:t>
      </w:r>
      <w:r w:rsidRPr="00702A82">
        <w:rPr>
          <w:rFonts w:hint="cs"/>
          <w:b/>
          <w:bCs/>
          <w:sz w:val="20"/>
          <w:szCs w:val="20"/>
          <w:rtl/>
        </w:rPr>
        <w:t>רמב"ן</w:t>
      </w:r>
      <w:r w:rsidRPr="00702A82">
        <w:rPr>
          <w:rFonts w:hint="cs"/>
          <w:sz w:val="20"/>
          <w:szCs w:val="20"/>
          <w:rtl/>
        </w:rPr>
        <w:t xml:space="preserve">. טמאה. </w:t>
      </w:r>
      <w:r w:rsidRPr="00702A82">
        <w:rPr>
          <w:rFonts w:hint="cs"/>
          <w:b/>
          <w:bCs/>
          <w:sz w:val="20"/>
          <w:szCs w:val="20"/>
          <w:rtl/>
        </w:rPr>
        <w:t>רמב"ם</w:t>
      </w:r>
      <w:r w:rsidRPr="00702A82">
        <w:rPr>
          <w:rFonts w:hint="cs"/>
          <w:sz w:val="20"/>
          <w:szCs w:val="20"/>
          <w:rtl/>
        </w:rPr>
        <w:t xml:space="preserve">. טהורה, וכ"פ </w:t>
      </w:r>
      <w:r w:rsidRPr="00702A82">
        <w:rPr>
          <w:rFonts w:hint="cs"/>
          <w:b/>
          <w:bCs/>
          <w:sz w:val="20"/>
          <w:szCs w:val="20"/>
          <w:rtl/>
        </w:rPr>
        <w:t>המחבר</w:t>
      </w:r>
      <w:r w:rsidRPr="00702A82">
        <w:rPr>
          <w:rFonts w:hint="cs"/>
          <w:sz w:val="20"/>
          <w:szCs w:val="20"/>
          <w:rtl/>
        </w:rPr>
        <w:t>.</w:t>
      </w:r>
      <w:r w:rsidRPr="00702A82">
        <w:rPr>
          <w:rFonts w:hint="cs"/>
          <w:b/>
          <w:bCs/>
          <w:sz w:val="20"/>
          <w:szCs w:val="20"/>
          <w:rtl/>
        </w:rPr>
        <w:t xml:space="preserve"> ראב"ן</w:t>
      </w:r>
      <w:r w:rsidRPr="00702A82">
        <w:rPr>
          <w:rFonts w:hint="cs"/>
          <w:sz w:val="20"/>
          <w:szCs w:val="20"/>
          <w:rtl/>
        </w:rPr>
        <w:t xml:space="preserve">. לטהרות טהורה, לבעלה </w:t>
      </w:r>
      <w:r>
        <w:rPr>
          <w:rFonts w:hint="cs"/>
          <w:sz w:val="20"/>
          <w:szCs w:val="20"/>
          <w:rtl/>
        </w:rPr>
        <w:t>טמא</w:t>
      </w:r>
      <w:r w:rsidRPr="00702A82">
        <w:rPr>
          <w:rFonts w:hint="cs"/>
          <w:sz w:val="20"/>
          <w:szCs w:val="20"/>
          <w:rtl/>
        </w:rPr>
        <w:t>ה.</w:t>
      </w:r>
      <w:r w:rsidRPr="00702A82">
        <w:rPr>
          <w:sz w:val="20"/>
          <w:szCs w:val="20"/>
          <w:rtl/>
        </w:rPr>
        <w:br/>
      </w:r>
      <w:r w:rsidRPr="00702A82">
        <w:rPr>
          <w:rFonts w:hint="cs"/>
          <w:b/>
          <w:bCs/>
          <w:sz w:val="20"/>
          <w:szCs w:val="20"/>
          <w:rtl/>
        </w:rPr>
        <w:t>רא"ש</w:t>
      </w:r>
      <w:r w:rsidRPr="00702A82">
        <w:rPr>
          <w:rFonts w:hint="cs"/>
          <w:sz w:val="20"/>
          <w:szCs w:val="20"/>
          <w:rtl/>
        </w:rPr>
        <w:t xml:space="preserve">. הלכה </w:t>
      </w:r>
      <w:r w:rsidRPr="00702A82">
        <w:rPr>
          <w:rFonts w:hint="cs"/>
          <w:b/>
          <w:bCs/>
          <w:sz w:val="20"/>
          <w:szCs w:val="20"/>
          <w:rtl/>
        </w:rPr>
        <w:t>כרמב"ם</w:t>
      </w:r>
      <w:r w:rsidRPr="00702A82">
        <w:rPr>
          <w:rFonts w:hint="cs"/>
          <w:sz w:val="20"/>
          <w:szCs w:val="20"/>
          <w:rtl/>
        </w:rPr>
        <w:t xml:space="preserve">. </w:t>
      </w:r>
      <w:r w:rsidRPr="00702A82">
        <w:rPr>
          <w:rFonts w:hint="cs"/>
          <w:b/>
          <w:bCs/>
          <w:sz w:val="20"/>
          <w:szCs w:val="20"/>
          <w:rtl/>
        </w:rPr>
        <w:t>טעם</w:t>
      </w:r>
      <w:r w:rsidRPr="00702A82">
        <w:rPr>
          <w:rFonts w:hint="cs"/>
          <w:sz w:val="20"/>
          <w:szCs w:val="20"/>
          <w:rtl/>
        </w:rPr>
        <w:t xml:space="preserve">. בכתמים שומעים למקלים. </w:t>
      </w:r>
      <w:r w:rsidRPr="00702A82">
        <w:rPr>
          <w:rFonts w:hint="cs"/>
          <w:b/>
          <w:bCs/>
          <w:sz w:val="20"/>
          <w:szCs w:val="20"/>
          <w:rtl/>
        </w:rPr>
        <w:t>רשב"א</w:t>
      </w:r>
      <w:r w:rsidRPr="00702A82">
        <w:rPr>
          <w:rFonts w:hint="cs"/>
          <w:sz w:val="20"/>
          <w:szCs w:val="20"/>
          <w:rtl/>
        </w:rPr>
        <w:t>. המחמיר תבוא עליו ברכה.</w:t>
      </w:r>
      <w:r w:rsidRPr="00702A82">
        <w:rPr>
          <w:sz w:val="20"/>
          <w:szCs w:val="20"/>
          <w:rtl/>
        </w:rPr>
        <w:br/>
      </w:r>
      <w:r w:rsidRPr="00702A82">
        <w:rPr>
          <w:rFonts w:hint="cs"/>
          <w:sz w:val="20"/>
          <w:szCs w:val="20"/>
          <w:rtl/>
        </w:rPr>
        <w:t>1</w:t>
      </w:r>
      <w:r>
        <w:rPr>
          <w:rFonts w:hint="cs"/>
          <w:sz w:val="20"/>
          <w:szCs w:val="20"/>
          <w:rtl/>
        </w:rPr>
        <w:t>5</w:t>
      </w:r>
      <w:r w:rsidRPr="00702A82">
        <w:rPr>
          <w:rFonts w:hint="cs"/>
          <w:sz w:val="20"/>
          <w:szCs w:val="20"/>
          <w:rtl/>
        </w:rPr>
        <w:t xml:space="preserve">. כתם על בגד מנומר. </w:t>
      </w:r>
      <w:r w:rsidRPr="00702A82">
        <w:rPr>
          <w:rFonts w:hint="cs"/>
          <w:b/>
          <w:bCs/>
          <w:sz w:val="20"/>
          <w:szCs w:val="20"/>
          <w:rtl/>
        </w:rPr>
        <w:t>טה"ב</w:t>
      </w:r>
      <w:r w:rsidRPr="00702A82">
        <w:rPr>
          <w:rFonts w:hint="cs"/>
          <w:sz w:val="20"/>
          <w:szCs w:val="20"/>
          <w:rtl/>
        </w:rPr>
        <w:t xml:space="preserve">. החלקים הלבנים בלבד מצטרפים לכשיעור. </w:t>
      </w:r>
      <w:r w:rsidRPr="00702A82">
        <w:rPr>
          <w:rFonts w:hint="cs"/>
          <w:b/>
          <w:bCs/>
          <w:sz w:val="20"/>
          <w:szCs w:val="20"/>
          <w:rtl/>
        </w:rPr>
        <w:t>חוו"ד</w:t>
      </w:r>
      <w:r w:rsidRPr="00702A82">
        <w:rPr>
          <w:rFonts w:hint="cs"/>
          <w:sz w:val="20"/>
          <w:szCs w:val="20"/>
          <w:rtl/>
        </w:rPr>
        <w:t>. גם החלק הצבוע מצטרף.</w:t>
      </w:r>
      <w:r w:rsidRPr="00702A82">
        <w:rPr>
          <w:sz w:val="20"/>
          <w:szCs w:val="20"/>
          <w:rtl/>
        </w:rPr>
        <w:br/>
      </w:r>
      <w:r>
        <w:rPr>
          <w:rFonts w:hint="cs"/>
          <w:sz w:val="20"/>
          <w:szCs w:val="20"/>
          <w:rtl/>
        </w:rPr>
        <w:t>16</w:t>
      </w:r>
      <w:r w:rsidRPr="00702A82">
        <w:rPr>
          <w:rFonts w:hint="cs"/>
          <w:sz w:val="20"/>
          <w:szCs w:val="20"/>
          <w:rtl/>
        </w:rPr>
        <w:t xml:space="preserve">. </w:t>
      </w:r>
      <w:r w:rsidRPr="00702A82">
        <w:rPr>
          <w:rFonts w:hint="cs"/>
          <w:b/>
          <w:bCs/>
          <w:sz w:val="20"/>
          <w:szCs w:val="20"/>
          <w:rtl/>
        </w:rPr>
        <w:t>רמ"א</w:t>
      </w:r>
      <w:r w:rsidRPr="00702A82">
        <w:rPr>
          <w:rFonts w:hint="cs"/>
          <w:sz w:val="18"/>
          <w:szCs w:val="18"/>
          <w:rtl/>
        </w:rPr>
        <w:t xml:space="preserve">. </w:t>
      </w:r>
      <w:r w:rsidRPr="00702A82">
        <w:rPr>
          <w:rFonts w:hint="cs"/>
          <w:sz w:val="20"/>
          <w:szCs w:val="20"/>
          <w:rtl/>
        </w:rPr>
        <w:t>"</w:t>
      </w:r>
      <w:r w:rsidRPr="00702A82">
        <w:rPr>
          <w:rFonts w:cs="Arial"/>
          <w:sz w:val="20"/>
          <w:szCs w:val="20"/>
          <w:rtl/>
        </w:rPr>
        <w:t>לפיכך, תלבש האשה בגדי צבעונין, כדי להצילה מכתמים</w:t>
      </w:r>
      <w:r w:rsidRPr="00702A82">
        <w:rPr>
          <w:rFonts w:hint="cs"/>
          <w:sz w:val="20"/>
          <w:szCs w:val="20"/>
          <w:rtl/>
        </w:rPr>
        <w:t>".</w:t>
      </w:r>
      <w:r>
        <w:rPr>
          <w:rFonts w:hint="cs"/>
          <w:sz w:val="20"/>
          <w:szCs w:val="20"/>
          <w:rtl/>
        </w:rPr>
        <w:t xml:space="preserve"> </w:t>
      </w:r>
      <w:r w:rsidRPr="00BE1A7B">
        <w:rPr>
          <w:rFonts w:hint="cs"/>
          <w:b/>
          <w:bCs/>
          <w:sz w:val="20"/>
          <w:szCs w:val="20"/>
          <w:rtl/>
        </w:rPr>
        <w:t>רמב"ם</w:t>
      </w:r>
      <w:r>
        <w:rPr>
          <w:rFonts w:hint="cs"/>
          <w:sz w:val="20"/>
          <w:szCs w:val="20"/>
          <w:rtl/>
        </w:rPr>
        <w:t xml:space="preserve">. </w:t>
      </w:r>
      <w:r w:rsidRPr="00BE1A7B">
        <w:rPr>
          <w:rFonts w:hint="cs"/>
          <w:sz w:val="20"/>
          <w:szCs w:val="20"/>
          <w:u w:val="single"/>
          <w:rtl/>
        </w:rPr>
        <w:t>תקנו</w:t>
      </w:r>
      <w:r>
        <w:rPr>
          <w:rFonts w:hint="cs"/>
          <w:sz w:val="20"/>
          <w:szCs w:val="20"/>
          <w:rtl/>
        </w:rPr>
        <w:t xml:space="preserve"> לבישת צבעוני.</w:t>
      </w:r>
      <w:r w:rsidRPr="00702A82">
        <w:rPr>
          <w:sz w:val="20"/>
          <w:szCs w:val="20"/>
          <w:rtl/>
        </w:rPr>
        <w:br/>
      </w:r>
      <w:r>
        <w:rPr>
          <w:rFonts w:hint="cs"/>
          <w:sz w:val="20"/>
          <w:szCs w:val="20"/>
          <w:rtl/>
        </w:rPr>
        <w:t>17</w:t>
      </w:r>
      <w:r w:rsidRPr="00702A82">
        <w:rPr>
          <w:rFonts w:hint="cs"/>
          <w:sz w:val="20"/>
          <w:szCs w:val="20"/>
          <w:rtl/>
        </w:rPr>
        <w:t xml:space="preserve">. </w:t>
      </w:r>
      <w:r w:rsidRPr="00702A82">
        <w:rPr>
          <w:rFonts w:hint="cs"/>
          <w:b/>
          <w:bCs/>
          <w:sz w:val="20"/>
          <w:szCs w:val="20"/>
          <w:rtl/>
        </w:rPr>
        <w:t>בית יוסף</w:t>
      </w:r>
      <w:r w:rsidRPr="00702A82">
        <w:rPr>
          <w:rFonts w:hint="cs"/>
          <w:sz w:val="20"/>
          <w:szCs w:val="20"/>
          <w:rtl/>
        </w:rPr>
        <w:t>. קשה, שהרי בגמרא משמע שזו אינה תקנה אלא היתר! שמא היתה לרמב"ם גירסה שונה.</w:t>
      </w:r>
      <w:r w:rsidRPr="00702A82">
        <w:rPr>
          <w:sz w:val="20"/>
          <w:szCs w:val="20"/>
          <w:rtl/>
        </w:rPr>
        <w:br/>
      </w:r>
      <w:r>
        <w:rPr>
          <w:rFonts w:hint="cs"/>
          <w:sz w:val="20"/>
          <w:szCs w:val="20"/>
          <w:rtl/>
        </w:rPr>
        <w:t>18</w:t>
      </w:r>
      <w:r w:rsidRPr="00702A82">
        <w:rPr>
          <w:rFonts w:hint="cs"/>
          <w:sz w:val="20"/>
          <w:szCs w:val="20"/>
          <w:rtl/>
        </w:rPr>
        <w:t xml:space="preserve">. </w:t>
      </w:r>
      <w:r w:rsidRPr="00702A82">
        <w:rPr>
          <w:rFonts w:hint="cs"/>
          <w:b/>
          <w:bCs/>
          <w:sz w:val="20"/>
          <w:szCs w:val="20"/>
          <w:rtl/>
        </w:rPr>
        <w:t>עמודי כסף</w:t>
      </w:r>
      <w:r w:rsidRPr="00702A82">
        <w:rPr>
          <w:rFonts w:hint="cs"/>
          <w:sz w:val="20"/>
          <w:szCs w:val="20"/>
          <w:rtl/>
        </w:rPr>
        <w:t xml:space="preserve">. אין ללבוש צבעוני בימי נידותה וליבונה. </w:t>
      </w:r>
      <w:r w:rsidRPr="00702A82">
        <w:rPr>
          <w:rFonts w:hint="cs"/>
          <w:b/>
          <w:bCs/>
          <w:sz w:val="20"/>
          <w:szCs w:val="20"/>
          <w:rtl/>
        </w:rPr>
        <w:t>ברית יעקב</w:t>
      </w:r>
      <w:r w:rsidRPr="00702A82">
        <w:rPr>
          <w:rFonts w:hint="cs"/>
          <w:sz w:val="20"/>
          <w:szCs w:val="20"/>
          <w:rtl/>
        </w:rPr>
        <w:t xml:space="preserve">. מותר, ואין בכך ביטול איסור לכתחילה. </w:t>
      </w:r>
      <w:r w:rsidRPr="00702A82">
        <w:rPr>
          <w:rFonts w:hint="cs"/>
          <w:b/>
          <w:bCs/>
          <w:sz w:val="20"/>
          <w:szCs w:val="20"/>
          <w:rtl/>
        </w:rPr>
        <w:t>טה"ב</w:t>
      </w:r>
      <w:r w:rsidRPr="00702A82">
        <w:rPr>
          <w:rFonts w:hint="cs"/>
          <w:sz w:val="20"/>
          <w:szCs w:val="20"/>
          <w:rtl/>
        </w:rPr>
        <w:t>. אשה שרגילה לראות כתמים, תלבש בגד צבעוני להצילה מדין כתמים.</w:t>
      </w:r>
    </w:p>
    <w:p w:rsidR="00620060" w:rsidRDefault="00620060" w:rsidP="00620060">
      <w:pPr>
        <w:rPr>
          <w:rFonts w:cs="Arial"/>
          <w:sz w:val="20"/>
          <w:szCs w:val="20"/>
          <w:rtl/>
        </w:rPr>
      </w:pPr>
      <w:r>
        <w:rPr>
          <w:rFonts w:hint="cs"/>
          <w:b/>
          <w:bCs/>
          <w:sz w:val="20"/>
          <w:szCs w:val="20"/>
          <w:rtl/>
        </w:rPr>
        <w:lastRenderedPageBreak/>
        <w:t>הוספות</w:t>
      </w:r>
      <w:r>
        <w:rPr>
          <w:b/>
          <w:bCs/>
          <w:sz w:val="20"/>
          <w:szCs w:val="20"/>
          <w:rtl/>
        </w:rPr>
        <w:br/>
      </w:r>
      <w:r>
        <w:rPr>
          <w:rFonts w:cs="Arial" w:hint="cs"/>
          <w:sz w:val="20"/>
          <w:szCs w:val="20"/>
          <w:u w:val="single"/>
          <w:rtl/>
        </w:rPr>
        <w:t xml:space="preserve">כתם הנמצא על בגד תחתון המצוי כיום (טהרת הבית עמ' תכ </w:t>
      </w:r>
      <w:r>
        <w:rPr>
          <w:rFonts w:cs="Arial"/>
          <w:sz w:val="20"/>
          <w:szCs w:val="20"/>
          <w:u w:val="single"/>
          <w:rtl/>
        </w:rPr>
        <w:t>–</w:t>
      </w:r>
      <w:r>
        <w:rPr>
          <w:rFonts w:cs="Arial" w:hint="cs"/>
          <w:sz w:val="20"/>
          <w:szCs w:val="20"/>
          <w:u w:val="single"/>
          <w:rtl/>
        </w:rPr>
        <w:t xml:space="preserve"> תכא)</w:t>
      </w:r>
      <w:r>
        <w:rPr>
          <w:rFonts w:cs="Arial"/>
          <w:sz w:val="20"/>
          <w:szCs w:val="20"/>
          <w:u w:val="single"/>
          <w:rtl/>
        </w:rPr>
        <w:br/>
      </w:r>
      <w:r w:rsidRPr="00D03549">
        <w:rPr>
          <w:rFonts w:cs="Arial" w:hint="cs"/>
          <w:b/>
          <w:bCs/>
          <w:sz w:val="20"/>
          <w:szCs w:val="20"/>
          <w:rtl/>
        </w:rPr>
        <w:t>גמרא</w:t>
      </w:r>
      <w:r>
        <w:rPr>
          <w:rFonts w:cs="Arial" w:hint="cs"/>
          <w:sz w:val="20"/>
          <w:szCs w:val="20"/>
          <w:rtl/>
        </w:rPr>
        <w:t xml:space="preserve"> שבת (כו:) "</w:t>
      </w:r>
      <w:r w:rsidRPr="00D03549">
        <w:rPr>
          <w:rFonts w:cs="Arial"/>
          <w:sz w:val="20"/>
          <w:szCs w:val="20"/>
          <w:rtl/>
        </w:rPr>
        <w:t>דכולי עלמא מיהת שלש על שלש בצמר ופשתים מיטמא בנגעים</w:t>
      </w:r>
      <w:r>
        <w:rPr>
          <w:rFonts w:cs="Arial" w:hint="cs"/>
          <w:sz w:val="20"/>
          <w:szCs w:val="20"/>
          <w:rtl/>
        </w:rPr>
        <w:t xml:space="preserve">... </w:t>
      </w:r>
      <w:r>
        <w:rPr>
          <w:rFonts w:cs="Arial"/>
          <w:sz w:val="20"/>
          <w:szCs w:val="20"/>
          <w:rtl/>
        </w:rPr>
        <w:br/>
      </w:r>
      <w:r w:rsidRPr="00D03549">
        <w:rPr>
          <w:rFonts w:cs="Arial"/>
          <w:sz w:val="20"/>
          <w:szCs w:val="20"/>
          <w:rtl/>
        </w:rPr>
        <w:t>ואימא: לרבות של</w:t>
      </w:r>
      <w:r>
        <w:rPr>
          <w:rFonts w:cs="Arial" w:hint="cs"/>
          <w:sz w:val="20"/>
          <w:szCs w:val="20"/>
          <w:rtl/>
        </w:rPr>
        <w:t>ו</w:t>
      </w:r>
      <w:r w:rsidRPr="00D03549">
        <w:rPr>
          <w:rFonts w:cs="Arial"/>
          <w:sz w:val="20"/>
          <w:szCs w:val="20"/>
          <w:rtl/>
        </w:rPr>
        <w:t>שה על של</w:t>
      </w:r>
      <w:r>
        <w:rPr>
          <w:rFonts w:cs="Arial" w:hint="cs"/>
          <w:sz w:val="20"/>
          <w:szCs w:val="20"/>
          <w:rtl/>
        </w:rPr>
        <w:t>ו</w:t>
      </w:r>
      <w:r w:rsidRPr="00D03549">
        <w:rPr>
          <w:rFonts w:cs="Arial"/>
          <w:sz w:val="20"/>
          <w:szCs w:val="20"/>
          <w:rtl/>
        </w:rPr>
        <w:t>שה בשאר בגדים! אמר קרא בגד צמר ופשתים, בגד צמר ופשתים - אין, מידי אחריני - לא. ואימא: כי אימעוט - משל</w:t>
      </w:r>
      <w:r>
        <w:rPr>
          <w:rFonts w:cs="Arial" w:hint="cs"/>
          <w:sz w:val="20"/>
          <w:szCs w:val="20"/>
          <w:rtl/>
        </w:rPr>
        <w:t>ו</w:t>
      </w:r>
      <w:r w:rsidRPr="00D03549">
        <w:rPr>
          <w:rFonts w:cs="Arial"/>
          <w:sz w:val="20"/>
          <w:szCs w:val="20"/>
          <w:rtl/>
        </w:rPr>
        <w:t>ש על של</w:t>
      </w:r>
      <w:r>
        <w:rPr>
          <w:rFonts w:cs="Arial" w:hint="cs"/>
          <w:sz w:val="20"/>
          <w:szCs w:val="20"/>
          <w:rtl/>
        </w:rPr>
        <w:t>ו</w:t>
      </w:r>
      <w:r w:rsidRPr="00D03549">
        <w:rPr>
          <w:rFonts w:cs="Arial"/>
          <w:sz w:val="20"/>
          <w:szCs w:val="20"/>
          <w:rtl/>
        </w:rPr>
        <w:t>ש, אבל של</w:t>
      </w:r>
      <w:r>
        <w:rPr>
          <w:rFonts w:cs="Arial" w:hint="cs"/>
          <w:sz w:val="20"/>
          <w:szCs w:val="20"/>
          <w:rtl/>
        </w:rPr>
        <w:t>ו</w:t>
      </w:r>
      <w:r w:rsidRPr="00D03549">
        <w:rPr>
          <w:rFonts w:cs="Arial"/>
          <w:sz w:val="20"/>
          <w:szCs w:val="20"/>
          <w:rtl/>
        </w:rPr>
        <w:t>שה על של</w:t>
      </w:r>
      <w:r>
        <w:rPr>
          <w:rFonts w:cs="Arial" w:hint="cs"/>
          <w:sz w:val="20"/>
          <w:szCs w:val="20"/>
          <w:rtl/>
        </w:rPr>
        <w:t>ו</w:t>
      </w:r>
      <w:r w:rsidRPr="00D03549">
        <w:rPr>
          <w:rFonts w:cs="Arial"/>
          <w:sz w:val="20"/>
          <w:szCs w:val="20"/>
          <w:rtl/>
        </w:rPr>
        <w:t>שה - מיטמא! תרי מיעוטי כתיבי בגד צמר או בבגד פשתים, חד - למעוטי משלש על שלש, וחד - למעוטי משלשה על שלשה</w:t>
      </w:r>
      <w:r>
        <w:rPr>
          <w:rFonts w:cs="Arial" w:hint="cs"/>
          <w:sz w:val="20"/>
          <w:szCs w:val="20"/>
          <w:rtl/>
        </w:rPr>
        <w:t>"</w:t>
      </w:r>
      <w:r w:rsidRPr="00D03549">
        <w:rPr>
          <w:rFonts w:cs="Arial"/>
          <w:sz w:val="20"/>
          <w:szCs w:val="20"/>
          <w:rtl/>
        </w:rPr>
        <w:t>.</w:t>
      </w:r>
      <w:r>
        <w:rPr>
          <w:rFonts w:cs="Arial" w:hint="cs"/>
          <w:sz w:val="20"/>
          <w:szCs w:val="20"/>
          <w:rtl/>
        </w:rPr>
        <w:br/>
      </w:r>
      <w:r>
        <w:rPr>
          <w:rFonts w:cs="Arial"/>
          <w:sz w:val="20"/>
          <w:szCs w:val="20"/>
          <w:rtl/>
        </w:rPr>
        <w:br/>
      </w:r>
      <w:r>
        <w:rPr>
          <w:rFonts w:cs="Arial" w:hint="cs"/>
          <w:sz w:val="20"/>
          <w:szCs w:val="20"/>
          <w:rtl/>
        </w:rPr>
        <w:t>מסקנת הגמרא היא שבגד צמר ופשתים מטמא אפילו בשלוש על שלוש אצבעות, אך שאר בגדים מקבלים טומאה רק כשהם בגודל שלושה על שלושה טפחים.</w:t>
      </w:r>
      <w:r>
        <w:rPr>
          <w:rFonts w:cs="Arial"/>
          <w:sz w:val="20"/>
          <w:szCs w:val="20"/>
          <w:rtl/>
        </w:rPr>
        <w:br/>
      </w:r>
      <w:r>
        <w:rPr>
          <w:rFonts w:cs="Arial" w:hint="cs"/>
          <w:sz w:val="20"/>
          <w:szCs w:val="20"/>
          <w:rtl/>
        </w:rPr>
        <w:t xml:space="preserve">ועל פי זה יובנו דברי </w:t>
      </w:r>
      <w:r w:rsidRPr="00A8487A">
        <w:rPr>
          <w:rFonts w:cs="Arial" w:hint="cs"/>
          <w:b/>
          <w:bCs/>
          <w:sz w:val="20"/>
          <w:szCs w:val="20"/>
          <w:rtl/>
        </w:rPr>
        <w:t xml:space="preserve">הרמב"ם </w:t>
      </w:r>
      <w:r>
        <w:rPr>
          <w:rFonts w:cs="Arial" w:hint="cs"/>
          <w:sz w:val="20"/>
          <w:szCs w:val="20"/>
          <w:rtl/>
        </w:rPr>
        <w:t xml:space="preserve">בהלכות כלים </w:t>
      </w:r>
      <w:r>
        <w:rPr>
          <w:rFonts w:cs="Arial"/>
          <w:sz w:val="20"/>
          <w:szCs w:val="20"/>
          <w:rtl/>
        </w:rPr>
        <w:t>–</w:t>
      </w:r>
      <w:r>
        <w:rPr>
          <w:rFonts w:cs="Arial" w:hint="cs"/>
          <w:sz w:val="20"/>
          <w:szCs w:val="20"/>
          <w:rtl/>
        </w:rPr>
        <w:t xml:space="preserve"> "</w:t>
      </w:r>
      <w:r w:rsidRPr="00D03549">
        <w:rPr>
          <w:rFonts w:cs="Arial"/>
          <w:sz w:val="20"/>
          <w:szCs w:val="20"/>
          <w:rtl/>
        </w:rPr>
        <w:t>כמה שיעור הבגד להתטמא</w:t>
      </w:r>
      <w:r>
        <w:rPr>
          <w:rFonts w:cs="Arial" w:hint="cs"/>
          <w:sz w:val="20"/>
          <w:szCs w:val="20"/>
          <w:rtl/>
        </w:rPr>
        <w:t>?</w:t>
      </w:r>
      <w:r w:rsidRPr="00D03549">
        <w:rPr>
          <w:rFonts w:cs="Arial"/>
          <w:sz w:val="20"/>
          <w:szCs w:val="20"/>
          <w:rtl/>
        </w:rPr>
        <w:t xml:space="preserve"> שלשה טפחים על שלשה טפחים למדרס, ושלש אצבעות על שלש אצבעות מכוונות עם המלל לטומאת המת או לשאר טומאות</w:t>
      </w:r>
      <w:r>
        <w:rPr>
          <w:rFonts w:cs="Arial" w:hint="cs"/>
          <w:sz w:val="20"/>
          <w:szCs w:val="20"/>
          <w:rtl/>
        </w:rPr>
        <w:t>.</w:t>
      </w:r>
      <w:r>
        <w:rPr>
          <w:rFonts w:cs="Arial"/>
          <w:sz w:val="20"/>
          <w:szCs w:val="20"/>
          <w:rtl/>
        </w:rPr>
        <w:t xml:space="preserve"> ב</w:t>
      </w:r>
      <w:r>
        <w:rPr>
          <w:rFonts w:cs="Arial" w:hint="cs"/>
          <w:sz w:val="20"/>
          <w:szCs w:val="20"/>
          <w:rtl/>
        </w:rPr>
        <w:t xml:space="preserve">מה דברים </w:t>
      </w:r>
      <w:r w:rsidRPr="00D03549">
        <w:rPr>
          <w:rFonts w:cs="Arial"/>
          <w:sz w:val="20"/>
          <w:szCs w:val="20"/>
          <w:rtl/>
        </w:rPr>
        <w:t>א</w:t>
      </w:r>
      <w:r>
        <w:rPr>
          <w:rFonts w:cs="Arial" w:hint="cs"/>
          <w:sz w:val="20"/>
          <w:szCs w:val="20"/>
          <w:rtl/>
        </w:rPr>
        <w:t>מורים?</w:t>
      </w:r>
      <w:r w:rsidRPr="00D03549">
        <w:rPr>
          <w:rFonts w:cs="Arial"/>
          <w:sz w:val="20"/>
          <w:szCs w:val="20"/>
          <w:rtl/>
        </w:rPr>
        <w:t xml:space="preserve"> בבגדי </w:t>
      </w:r>
      <w:r w:rsidRPr="00D03549">
        <w:rPr>
          <w:rFonts w:cs="Arial"/>
          <w:sz w:val="20"/>
          <w:szCs w:val="20"/>
          <w:u w:val="single"/>
          <w:rtl/>
        </w:rPr>
        <w:t>צמ</w:t>
      </w:r>
      <w:r w:rsidRPr="00176C60">
        <w:rPr>
          <w:rFonts w:cs="Arial"/>
          <w:sz w:val="20"/>
          <w:szCs w:val="20"/>
          <w:u w:val="single"/>
          <w:rtl/>
        </w:rPr>
        <w:t>ר ופשתים, אבל</w:t>
      </w:r>
      <w:r w:rsidRPr="00D03549">
        <w:rPr>
          <w:rFonts w:cs="Arial"/>
          <w:sz w:val="20"/>
          <w:szCs w:val="20"/>
          <w:u w:val="single"/>
          <w:rtl/>
        </w:rPr>
        <w:t xml:space="preserve"> בגדים של שאר מינין אין מקבלין טומאה מכל הטומאות אלא אם כן היה בהן שלשה טפחים על שלשה טפחים או יתר</w:t>
      </w:r>
      <w:r>
        <w:rPr>
          <w:rFonts w:cs="Arial" w:hint="cs"/>
          <w:sz w:val="20"/>
          <w:szCs w:val="20"/>
          <w:rtl/>
        </w:rPr>
        <w:t>".</w:t>
      </w:r>
    </w:p>
    <w:p w:rsidR="00620060" w:rsidRPr="00D03549" w:rsidRDefault="00620060" w:rsidP="00620060">
      <w:pPr>
        <w:rPr>
          <w:rFonts w:cs="Arial"/>
          <w:sz w:val="20"/>
          <w:szCs w:val="20"/>
          <w:rtl/>
        </w:rPr>
      </w:pPr>
      <w:r w:rsidRPr="000C00C1">
        <w:rPr>
          <w:rFonts w:cs="Arial" w:hint="cs"/>
          <w:b/>
          <w:bCs/>
          <w:sz w:val="20"/>
          <w:szCs w:val="20"/>
          <w:rtl/>
        </w:rPr>
        <w:t>טהרת הבית</w:t>
      </w:r>
      <w:r>
        <w:rPr>
          <w:rFonts w:cs="Arial" w:hint="cs"/>
          <w:sz w:val="20"/>
          <w:szCs w:val="20"/>
          <w:rtl/>
        </w:rPr>
        <w:t xml:space="preserve"> </w:t>
      </w:r>
      <w:r>
        <w:rPr>
          <w:rFonts w:cs="Arial"/>
          <w:sz w:val="20"/>
          <w:szCs w:val="20"/>
          <w:rtl/>
        </w:rPr>
        <w:t>–</w:t>
      </w:r>
      <w:r>
        <w:rPr>
          <w:rFonts w:cs="Arial" w:hint="cs"/>
          <w:sz w:val="20"/>
          <w:szCs w:val="20"/>
          <w:rtl/>
        </w:rPr>
        <w:t xml:space="preserve"> מוכח מדברי </w:t>
      </w:r>
      <w:r w:rsidRPr="000C00C1">
        <w:rPr>
          <w:rFonts w:cs="Arial" w:hint="cs"/>
          <w:b/>
          <w:bCs/>
          <w:sz w:val="20"/>
          <w:szCs w:val="20"/>
          <w:rtl/>
        </w:rPr>
        <w:t xml:space="preserve">המחבר </w:t>
      </w:r>
      <w:r>
        <w:rPr>
          <w:rFonts w:cs="Arial" w:hint="cs"/>
          <w:sz w:val="20"/>
          <w:szCs w:val="20"/>
          <w:rtl/>
        </w:rPr>
        <w:t xml:space="preserve">שפוסק </w:t>
      </w:r>
      <w:r w:rsidRPr="000C00C1">
        <w:rPr>
          <w:rFonts w:cs="Arial" w:hint="cs"/>
          <w:b/>
          <w:bCs/>
          <w:sz w:val="20"/>
          <w:szCs w:val="20"/>
          <w:rtl/>
        </w:rPr>
        <w:t>כרמב"ם</w:t>
      </w:r>
      <w:r>
        <w:rPr>
          <w:rFonts w:cs="Arial" w:hint="cs"/>
          <w:sz w:val="20"/>
          <w:szCs w:val="20"/>
          <w:rtl/>
        </w:rPr>
        <w:t xml:space="preserve"> בדין זה </w:t>
      </w:r>
      <w:r w:rsidRPr="00983EAE">
        <w:rPr>
          <w:rFonts w:cs="Arial" w:hint="cs"/>
          <w:sz w:val="18"/>
          <w:szCs w:val="18"/>
          <w:rtl/>
        </w:rPr>
        <w:t>(עיין הרחבה על כך בהערה</w:t>
      </w:r>
      <w:r>
        <w:rPr>
          <w:rStyle w:val="a5"/>
          <w:rFonts w:cs="Arial"/>
          <w:sz w:val="18"/>
          <w:szCs w:val="18"/>
          <w:rtl/>
        </w:rPr>
        <w:footnoteReference w:id="282"/>
      </w:r>
      <w:r w:rsidRPr="00983EAE">
        <w:rPr>
          <w:rFonts w:cs="Arial" w:hint="cs"/>
          <w:sz w:val="18"/>
          <w:szCs w:val="18"/>
          <w:rtl/>
        </w:rPr>
        <w:t>)</w:t>
      </w:r>
      <w:r>
        <w:rPr>
          <w:rFonts w:cs="Arial" w:hint="cs"/>
          <w:sz w:val="20"/>
          <w:szCs w:val="20"/>
          <w:rtl/>
        </w:rPr>
        <w:t>, ולכן בגד משאר המינים שאינם צמר ופשתים, מקבל טומאה רק אם יש בו שלושה על שלושה טפחים.</w:t>
      </w:r>
      <w:r>
        <w:rPr>
          <w:rFonts w:cs="Arial"/>
          <w:sz w:val="20"/>
          <w:szCs w:val="20"/>
          <w:rtl/>
        </w:rPr>
        <w:br/>
      </w:r>
      <w:r>
        <w:rPr>
          <w:rFonts w:cs="Arial" w:hint="cs"/>
          <w:sz w:val="20"/>
          <w:szCs w:val="20"/>
          <w:rtl/>
        </w:rPr>
        <w:t>על פי זה, הבגד התחתון המצוי כיום אינו מקבל טומאה, משום שאין בו כדי לרבע שיעור זה, ועיין הערה</w:t>
      </w:r>
      <w:r>
        <w:rPr>
          <w:rStyle w:val="a5"/>
          <w:rFonts w:cs="Arial"/>
          <w:sz w:val="20"/>
          <w:szCs w:val="20"/>
          <w:rtl/>
        </w:rPr>
        <w:footnoteReference w:id="283"/>
      </w:r>
      <w:r>
        <w:rPr>
          <w:rFonts w:cs="Arial" w:hint="cs"/>
          <w:sz w:val="20"/>
          <w:szCs w:val="20"/>
          <w:rtl/>
        </w:rPr>
        <w:t xml:space="preserve">. </w:t>
      </w:r>
    </w:p>
    <w:p w:rsidR="00620060" w:rsidRPr="00360782" w:rsidRDefault="00620060" w:rsidP="00620060">
      <w:pPr>
        <w:rPr>
          <w:sz w:val="20"/>
          <w:szCs w:val="20"/>
          <w:rtl/>
        </w:rPr>
      </w:pPr>
      <w:r>
        <w:rPr>
          <w:rFonts w:hint="cs"/>
          <w:sz w:val="20"/>
          <w:szCs w:val="20"/>
          <w:u w:val="single"/>
          <w:rtl/>
        </w:rPr>
        <w:t>כתם שנמצא על נייר טואלט לאחר קינוח (טהרת הבית עמ' כט</w:t>
      </w:r>
      <w:r>
        <w:rPr>
          <w:rFonts w:hint="cs"/>
          <w:sz w:val="20"/>
          <w:szCs w:val="20"/>
          <w:rtl/>
        </w:rPr>
        <w:t>)</w:t>
      </w:r>
      <w:r>
        <w:rPr>
          <w:rFonts w:hint="cs"/>
          <w:sz w:val="20"/>
          <w:szCs w:val="20"/>
          <w:u w:val="single"/>
          <w:rtl/>
        </w:rPr>
        <w:br/>
      </w:r>
      <w:r>
        <w:rPr>
          <w:rFonts w:hint="cs"/>
          <w:sz w:val="20"/>
          <w:szCs w:val="20"/>
          <w:rtl/>
        </w:rPr>
        <w:t>מה דין אשה שמצאה דם על נייר טואלט לאחר קינוח?</w:t>
      </w:r>
      <w:r>
        <w:rPr>
          <w:rFonts w:hint="cs"/>
          <w:sz w:val="20"/>
          <w:szCs w:val="20"/>
          <w:rtl/>
        </w:rPr>
        <w:br/>
        <w:t xml:space="preserve">א. </w:t>
      </w:r>
      <w:r w:rsidRPr="00562139">
        <w:rPr>
          <w:rFonts w:hint="cs"/>
          <w:b/>
          <w:bCs/>
          <w:sz w:val="20"/>
          <w:szCs w:val="20"/>
          <w:rtl/>
        </w:rPr>
        <w:t>חשב האפוד</w:t>
      </w:r>
      <w:r>
        <w:rPr>
          <w:rFonts w:hint="cs"/>
          <w:sz w:val="20"/>
          <w:szCs w:val="20"/>
          <w:rtl/>
        </w:rPr>
        <w:t xml:space="preserve"> </w:t>
      </w:r>
      <w:r>
        <w:rPr>
          <w:sz w:val="20"/>
          <w:szCs w:val="20"/>
          <w:rtl/>
        </w:rPr>
        <w:t>–</w:t>
      </w:r>
      <w:r>
        <w:rPr>
          <w:rFonts w:hint="cs"/>
          <w:sz w:val="20"/>
          <w:szCs w:val="20"/>
          <w:rtl/>
        </w:rPr>
        <w:t xml:space="preserve"> טמאה.</w:t>
      </w:r>
      <w:r>
        <w:rPr>
          <w:sz w:val="20"/>
          <w:szCs w:val="20"/>
          <w:rtl/>
        </w:rPr>
        <w:br/>
      </w:r>
      <w:r w:rsidRPr="00562139">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הדם היה בתחילה מונח על בשרה, ולא מהני לה לטהר עצמה ע"י כך שהעבירה דם זה לנייר.</w:t>
      </w:r>
      <w:r>
        <w:rPr>
          <w:sz w:val="20"/>
          <w:szCs w:val="20"/>
          <w:u w:val="single"/>
          <w:rtl/>
        </w:rPr>
        <w:br/>
      </w:r>
      <w:r>
        <w:rPr>
          <w:rFonts w:hint="cs"/>
          <w:sz w:val="20"/>
          <w:szCs w:val="20"/>
          <w:rtl/>
        </w:rPr>
        <w:t xml:space="preserve">א. </w:t>
      </w:r>
      <w:r w:rsidRPr="00562139">
        <w:rPr>
          <w:rFonts w:hint="cs"/>
          <w:b/>
          <w:bCs/>
          <w:sz w:val="20"/>
          <w:szCs w:val="20"/>
          <w:rtl/>
        </w:rPr>
        <w:t>טהרת הבית</w:t>
      </w:r>
      <w:r>
        <w:rPr>
          <w:rFonts w:hint="cs"/>
          <w:sz w:val="20"/>
          <w:szCs w:val="20"/>
          <w:rtl/>
        </w:rPr>
        <w:t xml:space="preserve"> - טהורה.</w:t>
      </w:r>
      <w:r>
        <w:rPr>
          <w:sz w:val="20"/>
          <w:szCs w:val="20"/>
          <w:rtl/>
        </w:rPr>
        <w:br/>
      </w:r>
      <w:r w:rsidRPr="00562139">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נייר זה אינו מקבל טומאה, ואין להחשיב קינוח כבדיקה פנימית ולומר שהרגישה ולאו אדעתא.</w:t>
      </w:r>
      <w:r>
        <w:rPr>
          <w:sz w:val="20"/>
          <w:szCs w:val="20"/>
          <w:rtl/>
        </w:rPr>
        <w:br/>
      </w:r>
      <w:r>
        <w:rPr>
          <w:rFonts w:hint="cs"/>
          <w:sz w:val="20"/>
          <w:szCs w:val="20"/>
          <w:rtl/>
        </w:rPr>
        <w:t>ומכל מקום, גם לשיטת המחמירים פשוט שאין האשה צריכה להסתכל על נייר הקינוח ולבדקו.</w:t>
      </w:r>
    </w:p>
    <w:p w:rsidR="00620060" w:rsidRDefault="00620060" w:rsidP="00620060">
      <w:pPr>
        <w:rPr>
          <w:sz w:val="20"/>
          <w:szCs w:val="20"/>
          <w:rtl/>
        </w:rPr>
      </w:pPr>
      <w:r>
        <w:rPr>
          <w:rFonts w:hint="cs"/>
          <w:sz w:val="20"/>
          <w:szCs w:val="20"/>
          <w:u w:val="single"/>
          <w:rtl/>
        </w:rPr>
        <w:t>כתם שנמצא על תחבושת ופד שבאותו מקום (טהרת הבית עמ' תכה, ששבה"ל עמ' קצ)</w:t>
      </w:r>
      <w:r>
        <w:rPr>
          <w:rFonts w:hint="cs"/>
          <w:sz w:val="20"/>
          <w:szCs w:val="20"/>
          <w:u w:val="single"/>
          <w:rtl/>
        </w:rPr>
        <w:br/>
      </w:r>
      <w:r>
        <w:rPr>
          <w:rFonts w:hint="cs"/>
          <w:sz w:val="20"/>
          <w:szCs w:val="20"/>
          <w:rtl/>
        </w:rPr>
        <w:t xml:space="preserve">א. </w:t>
      </w:r>
      <w:r w:rsidRPr="003B3EA5">
        <w:rPr>
          <w:rFonts w:hint="cs"/>
          <w:b/>
          <w:bCs/>
          <w:sz w:val="20"/>
          <w:szCs w:val="20"/>
          <w:rtl/>
        </w:rPr>
        <w:t>טהרת הבית</w:t>
      </w:r>
      <w:r>
        <w:rPr>
          <w:rFonts w:hint="cs"/>
          <w:sz w:val="20"/>
          <w:szCs w:val="20"/>
          <w:rtl/>
        </w:rPr>
        <w:t xml:space="preserve"> </w:t>
      </w:r>
      <w:r>
        <w:rPr>
          <w:sz w:val="20"/>
          <w:szCs w:val="20"/>
          <w:rtl/>
        </w:rPr>
        <w:t>–</w:t>
      </w:r>
      <w:r>
        <w:rPr>
          <w:rFonts w:hint="cs"/>
          <w:sz w:val="20"/>
          <w:szCs w:val="20"/>
          <w:rtl/>
        </w:rPr>
        <w:t xml:space="preserve"> צמר גפן אינו מקבל טומאה, ולכן פד אינו מקבל טומא וכתם הנמצא עליו טהור.</w:t>
      </w:r>
      <w:r>
        <w:rPr>
          <w:rStyle w:val="a5"/>
          <w:sz w:val="20"/>
          <w:szCs w:val="20"/>
          <w:rtl/>
        </w:rPr>
        <w:footnoteReference w:id="284"/>
      </w:r>
      <w:r>
        <w:rPr>
          <w:rFonts w:hint="cs"/>
          <w:sz w:val="20"/>
          <w:szCs w:val="20"/>
          <w:rtl/>
        </w:rPr>
        <w:t xml:space="preserve"> </w:t>
      </w:r>
      <w:r>
        <w:rPr>
          <w:rStyle w:val="a5"/>
          <w:sz w:val="20"/>
          <w:szCs w:val="20"/>
          <w:rtl/>
        </w:rPr>
        <w:footnoteReference w:id="285"/>
      </w:r>
      <w:r>
        <w:rPr>
          <w:rFonts w:hint="cs"/>
          <w:sz w:val="20"/>
          <w:szCs w:val="20"/>
          <w:rtl/>
        </w:rPr>
        <w:t xml:space="preserve"> </w:t>
      </w:r>
      <w:r>
        <w:rPr>
          <w:rStyle w:val="a5"/>
          <w:sz w:val="20"/>
          <w:szCs w:val="20"/>
          <w:rtl/>
        </w:rPr>
        <w:footnoteReference w:id="286"/>
      </w:r>
      <w:r>
        <w:rPr>
          <w:rFonts w:hint="cs"/>
          <w:sz w:val="20"/>
          <w:szCs w:val="20"/>
          <w:rtl/>
        </w:rPr>
        <w:t xml:space="preserve"> </w:t>
      </w:r>
      <w:r>
        <w:rPr>
          <w:rFonts w:hint="cs"/>
          <w:sz w:val="20"/>
          <w:szCs w:val="20"/>
          <w:rtl/>
        </w:rPr>
        <w:br/>
      </w:r>
      <w:r>
        <w:rPr>
          <w:rFonts w:hint="cs"/>
          <w:sz w:val="20"/>
          <w:szCs w:val="20"/>
          <w:rtl/>
        </w:rPr>
        <w:lastRenderedPageBreak/>
        <w:t xml:space="preserve">ב. </w:t>
      </w:r>
      <w:r w:rsidRPr="003B3EA5">
        <w:rPr>
          <w:rFonts w:hint="cs"/>
          <w:b/>
          <w:bCs/>
          <w:sz w:val="20"/>
          <w:szCs w:val="20"/>
          <w:rtl/>
        </w:rPr>
        <w:t>שבט הלוי</w:t>
      </w:r>
      <w:r>
        <w:rPr>
          <w:rFonts w:hint="cs"/>
          <w:sz w:val="20"/>
          <w:szCs w:val="20"/>
          <w:rtl/>
        </w:rPr>
        <w:t xml:space="preserve"> </w:t>
      </w:r>
      <w:r>
        <w:rPr>
          <w:sz w:val="20"/>
          <w:szCs w:val="20"/>
          <w:rtl/>
        </w:rPr>
        <w:t>–</w:t>
      </w:r>
      <w:r>
        <w:rPr>
          <w:rFonts w:hint="cs"/>
          <w:sz w:val="20"/>
          <w:szCs w:val="20"/>
          <w:rtl/>
        </w:rPr>
        <w:t xml:space="preserve"> למרות שצמר גפן אינו מק"ט, מכל מקום יש להחמיר כשהניחה כנגד אותו מקום וטמאה.</w:t>
      </w:r>
      <w:r>
        <w:rPr>
          <w:rFonts w:hint="cs"/>
          <w:b/>
          <w:bCs/>
          <w:sz w:val="20"/>
          <w:szCs w:val="20"/>
          <w:rtl/>
        </w:rPr>
        <w:br/>
      </w:r>
      <w:r>
        <w:rPr>
          <w:rFonts w:hint="cs"/>
          <w:sz w:val="20"/>
          <w:szCs w:val="20"/>
          <w:rtl/>
        </w:rPr>
        <w:t xml:space="preserve">ג. </w:t>
      </w:r>
      <w:r w:rsidRPr="00972CE5">
        <w:rPr>
          <w:rFonts w:hint="cs"/>
          <w:b/>
          <w:bCs/>
          <w:sz w:val="20"/>
          <w:szCs w:val="20"/>
          <w:rtl/>
        </w:rPr>
        <w:t>הרב נויבירט</w:t>
      </w:r>
      <w:r>
        <w:rPr>
          <w:rFonts w:hint="cs"/>
          <w:sz w:val="20"/>
          <w:szCs w:val="20"/>
          <w:rtl/>
        </w:rPr>
        <w:t xml:space="preserve"> </w:t>
      </w:r>
      <w:r>
        <w:rPr>
          <w:sz w:val="20"/>
          <w:szCs w:val="20"/>
          <w:rtl/>
        </w:rPr>
        <w:t>–</w:t>
      </w:r>
      <w:r>
        <w:rPr>
          <w:rFonts w:hint="cs"/>
          <w:sz w:val="20"/>
          <w:szCs w:val="20"/>
          <w:rtl/>
        </w:rPr>
        <w:t xml:space="preserve"> האשה טמאה כיוון שהפד בטל לבגד התחתון שמקבל טומאה.</w:t>
      </w:r>
    </w:p>
    <w:p w:rsidR="00620060" w:rsidRDefault="00620060" w:rsidP="00620060">
      <w:pPr>
        <w:rPr>
          <w:rtl/>
        </w:rPr>
      </w:pPr>
      <w:r>
        <w:rPr>
          <w:rFonts w:hint="cs"/>
          <w:sz w:val="20"/>
          <w:szCs w:val="20"/>
          <w:u w:val="single"/>
          <w:rtl/>
        </w:rPr>
        <w:t xml:space="preserve">כתם שנמצא על בגד ניילון / סינטטי (טהרת הבית עמ' תכז </w:t>
      </w:r>
      <w:r>
        <w:rPr>
          <w:sz w:val="20"/>
          <w:szCs w:val="20"/>
          <w:u w:val="single"/>
          <w:rtl/>
        </w:rPr>
        <w:t>–</w:t>
      </w:r>
      <w:r>
        <w:rPr>
          <w:rFonts w:hint="cs"/>
          <w:sz w:val="20"/>
          <w:szCs w:val="20"/>
          <w:u w:val="single"/>
          <w:rtl/>
        </w:rPr>
        <w:t xml:space="preserve"> תכט)</w:t>
      </w:r>
      <w:r>
        <w:rPr>
          <w:sz w:val="20"/>
          <w:szCs w:val="20"/>
          <w:u w:val="single"/>
          <w:rtl/>
        </w:rPr>
        <w:br/>
      </w:r>
      <w:r>
        <w:rPr>
          <w:rFonts w:hint="cs"/>
          <w:sz w:val="20"/>
          <w:szCs w:val="20"/>
          <w:rtl/>
        </w:rPr>
        <w:t>האם כתם שנמצא על בגד ניילון טמא?</w:t>
      </w:r>
      <w:r>
        <w:rPr>
          <w:rFonts w:hint="cs"/>
          <w:sz w:val="20"/>
          <w:szCs w:val="20"/>
          <w:rtl/>
        </w:rPr>
        <w:br/>
        <w:t xml:space="preserve">א. </w:t>
      </w:r>
      <w:r>
        <w:rPr>
          <w:rFonts w:hint="cs"/>
          <w:b/>
          <w:bCs/>
          <w:sz w:val="20"/>
          <w:szCs w:val="20"/>
          <w:rtl/>
        </w:rPr>
        <w:t>אגרות משה ו</w:t>
      </w:r>
      <w:r w:rsidRPr="00D53FDD">
        <w:rPr>
          <w:rFonts w:hint="cs"/>
          <w:b/>
          <w:bCs/>
          <w:sz w:val="20"/>
          <w:szCs w:val="20"/>
          <w:rtl/>
        </w:rPr>
        <w:t>טהרת הבית</w:t>
      </w:r>
      <w:r>
        <w:rPr>
          <w:rFonts w:hint="cs"/>
          <w:sz w:val="20"/>
          <w:szCs w:val="20"/>
          <w:rtl/>
        </w:rPr>
        <w:t xml:space="preserve"> </w:t>
      </w:r>
      <w:r>
        <w:rPr>
          <w:sz w:val="20"/>
          <w:szCs w:val="20"/>
          <w:rtl/>
        </w:rPr>
        <w:t>–</w:t>
      </w:r>
      <w:r>
        <w:rPr>
          <w:rFonts w:hint="cs"/>
          <w:sz w:val="20"/>
          <w:szCs w:val="20"/>
          <w:rtl/>
        </w:rPr>
        <w:t xml:space="preserve"> לא.</w:t>
      </w:r>
      <w:r>
        <w:rPr>
          <w:sz w:val="20"/>
          <w:szCs w:val="20"/>
          <w:rtl/>
        </w:rPr>
        <w:br/>
      </w:r>
      <w:r w:rsidRPr="00D53FDD">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כך נאמר במשנה מסכת כלים(יז, יג): "כל שבים טהור" ומפרש התפארת ישראל, שגדל בים לאו דווקא אלא הוא הדין לכל מה שאינו גדל בארץ. לפי"ז, נראה פשוט שניילון אינו מקבל טומאה שהרי ייצורו מבארות נפט, וכיוון שאינו דומה לבגד העשוי מדבר הגדל בארץ </w:t>
      </w:r>
      <w:r>
        <w:rPr>
          <w:sz w:val="20"/>
          <w:szCs w:val="20"/>
          <w:rtl/>
        </w:rPr>
        <w:t>–</w:t>
      </w:r>
      <w:r>
        <w:rPr>
          <w:rFonts w:hint="cs"/>
          <w:sz w:val="20"/>
          <w:szCs w:val="20"/>
          <w:rtl/>
        </w:rPr>
        <w:t xml:space="preserve"> טהור.</w:t>
      </w:r>
      <w:r>
        <w:rPr>
          <w:rStyle w:val="a5"/>
          <w:sz w:val="20"/>
          <w:szCs w:val="20"/>
          <w:rtl/>
        </w:rPr>
        <w:footnoteReference w:id="287"/>
      </w:r>
      <w:r>
        <w:rPr>
          <w:rFonts w:hint="cs"/>
          <w:sz w:val="20"/>
          <w:szCs w:val="20"/>
          <w:rtl/>
        </w:rPr>
        <w:br/>
        <w:t xml:space="preserve">ב. </w:t>
      </w:r>
      <w:r w:rsidRPr="00493166">
        <w:rPr>
          <w:rFonts w:hint="cs"/>
          <w:b/>
          <w:bCs/>
          <w:sz w:val="20"/>
          <w:szCs w:val="20"/>
          <w:rtl/>
        </w:rPr>
        <w:t>מנחת יצחק וחזקת הטהרה</w:t>
      </w:r>
      <w:r>
        <w:rPr>
          <w:rFonts w:hint="cs"/>
          <w:sz w:val="20"/>
          <w:szCs w:val="20"/>
          <w:rtl/>
        </w:rPr>
        <w:t xml:space="preserve"> </w:t>
      </w:r>
      <w:r>
        <w:rPr>
          <w:sz w:val="20"/>
          <w:szCs w:val="20"/>
          <w:rtl/>
        </w:rPr>
        <w:t>–</w:t>
      </w:r>
      <w:r>
        <w:rPr>
          <w:rFonts w:hint="cs"/>
          <w:sz w:val="20"/>
          <w:szCs w:val="20"/>
          <w:rtl/>
        </w:rPr>
        <w:t xml:space="preserve"> כן.</w:t>
      </w:r>
      <w:r>
        <w:rPr>
          <w:sz w:val="20"/>
          <w:szCs w:val="20"/>
          <w:rtl/>
        </w:rPr>
        <w:br/>
      </w:r>
      <w:r w:rsidRPr="00493166">
        <w:rPr>
          <w:rFonts w:hint="cs"/>
          <w:b/>
          <w:bCs/>
          <w:sz w:val="20"/>
          <w:szCs w:val="20"/>
          <w:rtl/>
        </w:rPr>
        <w:t xml:space="preserve">טעם </w:t>
      </w:r>
      <w:r>
        <w:rPr>
          <w:sz w:val="20"/>
          <w:szCs w:val="20"/>
          <w:rtl/>
        </w:rPr>
        <w:t>–</w:t>
      </w:r>
      <w:r>
        <w:rPr>
          <w:rFonts w:hint="cs"/>
          <w:sz w:val="20"/>
          <w:szCs w:val="20"/>
          <w:rtl/>
        </w:rPr>
        <w:t xml:space="preserve"> כל בגד הראוי ללבישה מקבל טומאה, שהרי אפילו נייר שנחלקו בו האחרונים אם מק"ט, פשוט לכו"ע שאם נעשה ממנו בגד הוא מק"ט ויש בו דין כתמים ואין צריך שיהיה טווי ואריג.</w:t>
      </w:r>
      <w:r>
        <w:rPr>
          <w:rFonts w:hint="cs"/>
          <w:sz w:val="20"/>
          <w:szCs w:val="20"/>
          <w:rtl/>
        </w:rPr>
        <w:br/>
        <w:t>ומה שנאמר במשנה לטהר כל הגדל בים, היינו דווקא מה שגדל בים, שהרי משי אינו גדל בארץ אלא נעשה מתולעת ואפילו הכי מק"ט.</w:t>
      </w:r>
      <w:r>
        <w:rPr>
          <w:sz w:val="20"/>
          <w:szCs w:val="20"/>
          <w:rtl/>
        </w:rPr>
        <w:br/>
      </w:r>
      <w:r>
        <w:rPr>
          <w:rFonts w:hint="cs"/>
          <w:sz w:val="20"/>
          <w:szCs w:val="20"/>
          <w:rtl/>
        </w:rPr>
        <w:t xml:space="preserve">הכרעת </w:t>
      </w:r>
      <w:r w:rsidRPr="00493166">
        <w:rPr>
          <w:rFonts w:hint="cs"/>
          <w:b/>
          <w:bCs/>
          <w:sz w:val="20"/>
          <w:szCs w:val="20"/>
          <w:rtl/>
        </w:rPr>
        <w:t>טהרת הבית</w:t>
      </w:r>
      <w:r>
        <w:rPr>
          <w:rFonts w:hint="cs"/>
          <w:sz w:val="20"/>
          <w:szCs w:val="20"/>
          <w:rtl/>
        </w:rPr>
        <w:t xml:space="preserve"> </w:t>
      </w:r>
      <w:r>
        <w:rPr>
          <w:sz w:val="20"/>
          <w:szCs w:val="20"/>
          <w:rtl/>
        </w:rPr>
        <w:t>–</w:t>
      </w:r>
      <w:r>
        <w:rPr>
          <w:rFonts w:hint="cs"/>
          <w:sz w:val="20"/>
          <w:szCs w:val="20"/>
          <w:rtl/>
        </w:rPr>
        <w:t xml:space="preserve"> כיוון שכתם הוא דין דרבנן יש להקל, אלא אם כן תפר סביב הניילון בחוטי פשתן וכיוצא בזה שאז יש להחמיר, עיין הטעם בהערה.</w:t>
      </w:r>
      <w:r>
        <w:rPr>
          <w:rStyle w:val="a5"/>
          <w:sz w:val="20"/>
          <w:szCs w:val="20"/>
          <w:rtl/>
        </w:rPr>
        <w:footnoteReference w:id="288"/>
      </w:r>
      <w:r>
        <w:rPr>
          <w:rFonts w:hint="cs"/>
          <w:sz w:val="20"/>
          <w:szCs w:val="20"/>
          <w:rtl/>
        </w:rPr>
        <w:br/>
      </w:r>
      <w:r>
        <w:rPr>
          <w:sz w:val="20"/>
          <w:szCs w:val="20"/>
          <w:rtl/>
        </w:rPr>
        <w:br/>
      </w:r>
      <w:r>
        <w:rPr>
          <w:rFonts w:hint="cs"/>
          <w:sz w:val="20"/>
          <w:szCs w:val="20"/>
          <w:u w:val="single"/>
          <w:rtl/>
        </w:rPr>
        <w:t xml:space="preserve">כתם שנמצא על דבר שאינו מקבל טומאה המונח על דבר המקבל טומאה (טהרת הבית עמ' תכט </w:t>
      </w:r>
      <w:r>
        <w:rPr>
          <w:sz w:val="20"/>
          <w:szCs w:val="20"/>
          <w:u w:val="single"/>
          <w:rtl/>
        </w:rPr>
        <w:t>–</w:t>
      </w:r>
      <w:r>
        <w:rPr>
          <w:rFonts w:hint="cs"/>
          <w:sz w:val="20"/>
          <w:szCs w:val="20"/>
          <w:u w:val="single"/>
          <w:rtl/>
        </w:rPr>
        <w:t xml:space="preserve"> תלא)</w:t>
      </w:r>
      <w:r>
        <w:rPr>
          <w:rFonts w:hint="cs"/>
          <w:sz w:val="20"/>
          <w:szCs w:val="20"/>
          <w:u w:val="single"/>
          <w:rtl/>
        </w:rPr>
        <w:br/>
      </w:r>
      <w:r>
        <w:rPr>
          <w:rFonts w:hint="cs"/>
          <w:sz w:val="20"/>
          <w:szCs w:val="20"/>
          <w:rtl/>
        </w:rPr>
        <w:t>האם כתם שנמצא על דבר שאינו מקבל טומאה, המונח על דבר המקבל טומאה טמא?</w:t>
      </w:r>
      <w:r>
        <w:rPr>
          <w:rFonts w:hint="cs"/>
          <w:sz w:val="20"/>
          <w:szCs w:val="20"/>
          <w:rtl/>
        </w:rPr>
        <w:br/>
        <w:t xml:space="preserve">א. </w:t>
      </w:r>
      <w:r w:rsidRPr="00850DE1">
        <w:rPr>
          <w:rFonts w:hint="cs"/>
          <w:b/>
          <w:bCs/>
          <w:sz w:val="20"/>
          <w:szCs w:val="20"/>
          <w:rtl/>
        </w:rPr>
        <w:t>סדרי טהרה</w:t>
      </w:r>
      <w:r>
        <w:rPr>
          <w:rFonts w:hint="cs"/>
          <w:sz w:val="20"/>
          <w:szCs w:val="20"/>
          <w:rtl/>
        </w:rPr>
        <w:t xml:space="preserve"> </w:t>
      </w:r>
      <w:r>
        <w:rPr>
          <w:sz w:val="20"/>
          <w:szCs w:val="20"/>
          <w:rtl/>
        </w:rPr>
        <w:t>–</w:t>
      </w:r>
      <w:r>
        <w:rPr>
          <w:rFonts w:hint="cs"/>
          <w:sz w:val="20"/>
          <w:szCs w:val="20"/>
          <w:rtl/>
        </w:rPr>
        <w:t xml:space="preserve"> כן.</w:t>
      </w:r>
      <w:r>
        <w:rPr>
          <w:sz w:val="20"/>
          <w:szCs w:val="20"/>
          <w:rtl/>
        </w:rPr>
        <w:br/>
      </w:r>
      <w:r w:rsidRPr="00850DE1">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הר"ן כתב שטעם גזרת כתם הוא, משום שחכמים לא רצו לחלק בין האשה לבין הדבר שנמצא עליו הכתם, ומכיוון שהדבר עליו נמצא הכתם טמא, טימאו גם את האשה. לפי"ז, הוא הדין כאן, הדבר שאינו מק"ט מונח על דבר המק"ט ומטמא אותו בטומאת משא, ולכן יש לומר שגם האשה עצמה טמאה, שלא לחלק בינה לדבר שנטמא.</w:t>
      </w:r>
      <w:r>
        <w:rPr>
          <w:sz w:val="20"/>
          <w:szCs w:val="20"/>
          <w:rtl/>
        </w:rPr>
        <w:br/>
      </w:r>
      <w:r>
        <w:rPr>
          <w:rFonts w:hint="cs"/>
          <w:sz w:val="20"/>
          <w:szCs w:val="20"/>
          <w:rtl/>
        </w:rPr>
        <w:t>ולפי"ז, אף הסוברים שנייר או תחבושת הגיינית אינם מק"ט, מכל מקום למעשה האשה טמאה כשנמצא עליהם כתם, שהרי את נייר הקינוח אוחזת האשה בידה, וכן התחבושת מונחת על בגד תחתון שמק"ט.</w:t>
      </w:r>
      <w:r>
        <w:rPr>
          <w:rFonts w:hint="cs"/>
          <w:sz w:val="20"/>
          <w:szCs w:val="20"/>
          <w:rtl/>
        </w:rPr>
        <w:br/>
        <w:t xml:space="preserve">ב. </w:t>
      </w:r>
      <w:r w:rsidRPr="00073955">
        <w:rPr>
          <w:rFonts w:hint="cs"/>
          <w:b/>
          <w:bCs/>
          <w:sz w:val="20"/>
          <w:szCs w:val="20"/>
          <w:rtl/>
        </w:rPr>
        <w:t>פרי דעה</w:t>
      </w:r>
      <w:r>
        <w:rPr>
          <w:rFonts w:hint="cs"/>
          <w:sz w:val="20"/>
          <w:szCs w:val="20"/>
          <w:rtl/>
        </w:rPr>
        <w:t xml:space="preserve"> </w:t>
      </w:r>
      <w:r>
        <w:rPr>
          <w:sz w:val="20"/>
          <w:szCs w:val="20"/>
          <w:rtl/>
        </w:rPr>
        <w:t>–</w:t>
      </w:r>
      <w:r>
        <w:rPr>
          <w:rFonts w:hint="cs"/>
          <w:sz w:val="20"/>
          <w:szCs w:val="20"/>
          <w:rtl/>
        </w:rPr>
        <w:t xml:space="preserve"> לא.</w:t>
      </w:r>
      <w:r>
        <w:rPr>
          <w:sz w:val="20"/>
          <w:szCs w:val="20"/>
          <w:rtl/>
        </w:rPr>
        <w:br/>
      </w:r>
      <w:r w:rsidRPr="00073955">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אם דין זה היה נכון, הראשונים לא היו שותקים מלהודיענו זאת.</w:t>
      </w:r>
      <w:r>
        <w:rPr>
          <w:rFonts w:hint="cs"/>
          <w:sz w:val="20"/>
          <w:szCs w:val="20"/>
          <w:rtl/>
        </w:rPr>
        <w:br/>
        <w:t>ומלבד זאת, תוספות (נדה, נח.) מקשה מדוע כתם הנמצא על משתיתא טמאה, ומיישב שהיא מק"ט נגעים.</w:t>
      </w:r>
      <w:r>
        <w:rPr>
          <w:sz w:val="20"/>
          <w:szCs w:val="20"/>
          <w:rtl/>
        </w:rPr>
        <w:br/>
      </w:r>
      <w:r>
        <w:rPr>
          <w:rFonts w:hint="cs"/>
          <w:sz w:val="20"/>
          <w:szCs w:val="20"/>
          <w:rtl/>
        </w:rPr>
        <w:t>ואילו לסד"ט הנ"ל יש לתרץ בפשיטות, כגון שחוטי השתי פרוסים במסכת האורגים ולכן טמאה!</w:t>
      </w:r>
      <w:r>
        <w:rPr>
          <w:sz w:val="20"/>
          <w:szCs w:val="20"/>
          <w:rtl/>
        </w:rPr>
        <w:br/>
      </w:r>
      <w:r>
        <w:rPr>
          <w:rFonts w:hint="cs"/>
          <w:sz w:val="20"/>
          <w:szCs w:val="20"/>
          <w:rtl/>
        </w:rPr>
        <w:t>אלא ודאי דברי הסד"ט ליתא, ודברי הר"ן בטעם הגזרה הם על עצם הדבר שנמצא עליו הכתם ולא על דבר שהכתם מונח עליו.</w:t>
      </w:r>
      <w:r>
        <w:rPr>
          <w:sz w:val="20"/>
          <w:szCs w:val="20"/>
          <w:rtl/>
        </w:rPr>
        <w:br/>
      </w:r>
      <w:r>
        <w:rPr>
          <w:rFonts w:hint="cs"/>
          <w:sz w:val="20"/>
          <w:szCs w:val="20"/>
          <w:rtl/>
        </w:rPr>
        <w:t xml:space="preserve">הכרעת </w:t>
      </w:r>
      <w:r w:rsidRPr="00073955">
        <w:rPr>
          <w:rFonts w:hint="cs"/>
          <w:b/>
          <w:bCs/>
          <w:sz w:val="20"/>
          <w:szCs w:val="20"/>
          <w:rtl/>
        </w:rPr>
        <w:t>טהרת הבית</w:t>
      </w:r>
      <w:r>
        <w:rPr>
          <w:rFonts w:hint="cs"/>
          <w:sz w:val="20"/>
          <w:szCs w:val="20"/>
          <w:rtl/>
        </w:rPr>
        <w:t xml:space="preserve"> </w:t>
      </w:r>
      <w:r>
        <w:rPr>
          <w:sz w:val="20"/>
          <w:szCs w:val="20"/>
          <w:rtl/>
        </w:rPr>
        <w:t>–</w:t>
      </w:r>
      <w:r>
        <w:rPr>
          <w:rFonts w:hint="cs"/>
          <w:sz w:val="20"/>
          <w:szCs w:val="20"/>
          <w:rtl/>
        </w:rPr>
        <w:t xml:space="preserve"> מוכח מדברי רוב האחרונים להקל, ובכתמים שומעים להקל וכן יש להורות.</w:t>
      </w:r>
    </w:p>
    <w:p w:rsidR="00620060" w:rsidRDefault="00620060" w:rsidP="00620060">
      <w:pPr>
        <w:rPr>
          <w:sz w:val="20"/>
          <w:szCs w:val="20"/>
          <w:rtl/>
        </w:rPr>
      </w:pPr>
      <w:r>
        <w:rPr>
          <w:rFonts w:hint="cs"/>
          <w:sz w:val="20"/>
          <w:szCs w:val="20"/>
          <w:u w:val="single"/>
          <w:rtl/>
        </w:rPr>
        <w:t xml:space="preserve">כתם שנמצא על בגד צבוע תחתון (טהרת הבית עמ' תח </w:t>
      </w:r>
      <w:r>
        <w:rPr>
          <w:sz w:val="20"/>
          <w:szCs w:val="20"/>
          <w:u w:val="single"/>
          <w:rtl/>
        </w:rPr>
        <w:t>–</w:t>
      </w:r>
      <w:r>
        <w:rPr>
          <w:rFonts w:hint="cs"/>
          <w:sz w:val="20"/>
          <w:szCs w:val="20"/>
          <w:u w:val="single"/>
          <w:rtl/>
        </w:rPr>
        <w:t xml:space="preserve"> תט)</w:t>
      </w:r>
      <w:r>
        <w:rPr>
          <w:rFonts w:hint="cs"/>
          <w:sz w:val="20"/>
          <w:szCs w:val="20"/>
          <w:u w:val="single"/>
          <w:rtl/>
        </w:rPr>
        <w:br/>
      </w:r>
      <w:r>
        <w:rPr>
          <w:rFonts w:hint="cs"/>
          <w:sz w:val="20"/>
          <w:szCs w:val="20"/>
          <w:rtl/>
        </w:rPr>
        <w:t xml:space="preserve">א. </w:t>
      </w:r>
      <w:r w:rsidRPr="00524762">
        <w:rPr>
          <w:rFonts w:hint="cs"/>
          <w:b/>
          <w:bCs/>
          <w:sz w:val="20"/>
          <w:szCs w:val="20"/>
          <w:rtl/>
        </w:rPr>
        <w:t>חתם סופר</w:t>
      </w:r>
      <w:r>
        <w:rPr>
          <w:rFonts w:hint="cs"/>
          <w:sz w:val="20"/>
          <w:szCs w:val="20"/>
          <w:rtl/>
        </w:rPr>
        <w:t xml:space="preserve"> </w:t>
      </w:r>
      <w:r>
        <w:rPr>
          <w:sz w:val="20"/>
          <w:szCs w:val="20"/>
          <w:rtl/>
        </w:rPr>
        <w:t>–</w:t>
      </w:r>
      <w:r>
        <w:rPr>
          <w:rFonts w:hint="cs"/>
          <w:sz w:val="20"/>
          <w:szCs w:val="20"/>
          <w:rtl/>
        </w:rPr>
        <w:t xml:space="preserve"> בגד צבוע טהור מכתמים רק בבגד העליון, אך בגד תחתון צבוע טמא לכו"ע.</w:t>
      </w:r>
      <w:r>
        <w:rPr>
          <w:sz w:val="20"/>
          <w:szCs w:val="20"/>
          <w:rtl/>
        </w:rPr>
        <w:br/>
      </w:r>
      <w:r w:rsidRPr="00524762">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סוגיית הגמרא עוסקת בבגד עליון של האשה, שהרי רצו לגזור למעט בשמחה ובבגדים יפים, כלומר לאסור לבישת בגד יפה. ופשוט שאין טעם לגזור איסור על בגד תחתון שהרי אינו נראה, ולכן גם דברי הגמרא בהמשך הסוגייה שהניחו הדבר על מתכונתו והתירו לה ללבוש צבעוני כדי שתהיה טהורה נאמרו רק ביחס לבגד העליון, אך בגד תחתון טמא בכתם אפילו כשהוא צבוע.</w:t>
      </w:r>
      <w:r>
        <w:rPr>
          <w:rFonts w:hint="cs"/>
          <w:sz w:val="20"/>
          <w:szCs w:val="20"/>
          <w:rtl/>
        </w:rPr>
        <w:br/>
        <w:t xml:space="preserve">ב. </w:t>
      </w:r>
      <w:r w:rsidRPr="00D74F8B">
        <w:rPr>
          <w:rFonts w:hint="cs"/>
          <w:b/>
          <w:bCs/>
          <w:sz w:val="20"/>
          <w:szCs w:val="20"/>
          <w:rtl/>
        </w:rPr>
        <w:t xml:space="preserve">חזון אי"ש </w:t>
      </w:r>
      <w:r>
        <w:rPr>
          <w:rFonts w:hint="cs"/>
          <w:b/>
          <w:bCs/>
          <w:sz w:val="20"/>
          <w:szCs w:val="20"/>
          <w:rtl/>
        </w:rPr>
        <w:t>ו</w:t>
      </w:r>
      <w:r w:rsidRPr="00D74F8B">
        <w:rPr>
          <w:rFonts w:hint="cs"/>
          <w:b/>
          <w:bCs/>
          <w:sz w:val="20"/>
          <w:szCs w:val="20"/>
          <w:rtl/>
        </w:rPr>
        <w:t>טהרת הבית</w:t>
      </w:r>
      <w:r>
        <w:rPr>
          <w:rFonts w:hint="cs"/>
          <w:sz w:val="20"/>
          <w:szCs w:val="20"/>
          <w:rtl/>
        </w:rPr>
        <w:t xml:space="preserve"> </w:t>
      </w:r>
      <w:r>
        <w:rPr>
          <w:sz w:val="20"/>
          <w:szCs w:val="20"/>
          <w:rtl/>
        </w:rPr>
        <w:t>–</w:t>
      </w:r>
      <w:r>
        <w:rPr>
          <w:rFonts w:hint="cs"/>
          <w:sz w:val="20"/>
          <w:szCs w:val="20"/>
          <w:rtl/>
        </w:rPr>
        <w:t xml:space="preserve"> אין לחוש לחורת החתם סופר, גם בבגד תחתון צבוע אין דין כתם.</w:t>
      </w:r>
      <w:r>
        <w:rPr>
          <w:sz w:val="20"/>
          <w:szCs w:val="20"/>
          <w:rtl/>
        </w:rPr>
        <w:br/>
      </w:r>
      <w:r w:rsidRPr="00D74F8B">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טעמו של רש"י שמראה דם אינו ניכר בבגד נכון גם בבגד תחתון. ועוד, לא מסתבר שהראשונים היו </w:t>
      </w:r>
      <w:r>
        <w:rPr>
          <w:rFonts w:hint="cs"/>
          <w:sz w:val="20"/>
          <w:szCs w:val="20"/>
          <w:rtl/>
        </w:rPr>
        <w:lastRenderedPageBreak/>
        <w:t>שותקים מלפרש דין זה</w:t>
      </w:r>
      <w:r>
        <w:rPr>
          <w:rStyle w:val="a5"/>
          <w:sz w:val="20"/>
          <w:szCs w:val="20"/>
          <w:rtl/>
        </w:rPr>
        <w:footnoteReference w:id="289"/>
      </w:r>
      <w:r>
        <w:rPr>
          <w:rFonts w:hint="cs"/>
          <w:sz w:val="20"/>
          <w:szCs w:val="20"/>
          <w:rtl/>
        </w:rPr>
        <w:t>. ועוד, נאמר בש"ס להדיא שבכתמים שומעים להקל, ואילו החת"ס בא להחמיר מסברת עצמו נגד סתימת הראשונים.</w:t>
      </w:r>
    </w:p>
    <w:p w:rsidR="00620060" w:rsidRPr="00B24648" w:rsidRDefault="00620060" w:rsidP="00620060">
      <w:pPr>
        <w:rPr>
          <w:rtl/>
        </w:rPr>
      </w:pPr>
      <w:r>
        <w:rPr>
          <w:rFonts w:hint="cs"/>
          <w:sz w:val="20"/>
          <w:szCs w:val="20"/>
          <w:u w:val="single"/>
          <w:rtl/>
        </w:rPr>
        <w:t>כתם שנמצא על בגד צבוע הנוטה ללבן (טהרת הבית עמ' תי)</w:t>
      </w:r>
      <w:r>
        <w:rPr>
          <w:rFonts w:hint="cs"/>
          <w:sz w:val="20"/>
          <w:szCs w:val="20"/>
          <w:u w:val="single"/>
          <w:rtl/>
        </w:rPr>
        <w:br/>
      </w:r>
      <w:r>
        <w:rPr>
          <w:rFonts w:hint="cs"/>
          <w:sz w:val="20"/>
          <w:szCs w:val="20"/>
          <w:rtl/>
        </w:rPr>
        <w:t xml:space="preserve">א. </w:t>
      </w:r>
      <w:r w:rsidRPr="00CC56CC">
        <w:rPr>
          <w:rFonts w:hint="cs"/>
          <w:b/>
          <w:bCs/>
          <w:sz w:val="20"/>
          <w:szCs w:val="20"/>
          <w:rtl/>
        </w:rPr>
        <w:t>שבט הלוי</w:t>
      </w:r>
      <w:r>
        <w:rPr>
          <w:rFonts w:hint="cs"/>
          <w:sz w:val="20"/>
          <w:szCs w:val="20"/>
          <w:rtl/>
        </w:rPr>
        <w:t xml:space="preserve"> </w:t>
      </w:r>
      <w:r>
        <w:rPr>
          <w:sz w:val="20"/>
          <w:szCs w:val="20"/>
          <w:rtl/>
        </w:rPr>
        <w:t>–</w:t>
      </w:r>
      <w:r>
        <w:rPr>
          <w:rFonts w:hint="cs"/>
          <w:sz w:val="20"/>
          <w:szCs w:val="20"/>
          <w:rtl/>
        </w:rPr>
        <w:t xml:space="preserve"> כתם הנמצא על בגד צבוע הנוטה ללבן, כגון נמצא על בגד צהוב </w:t>
      </w:r>
      <w:r>
        <w:rPr>
          <w:sz w:val="20"/>
          <w:szCs w:val="20"/>
          <w:rtl/>
        </w:rPr>
        <w:t>–</w:t>
      </w:r>
      <w:r>
        <w:rPr>
          <w:rFonts w:hint="cs"/>
          <w:sz w:val="20"/>
          <w:szCs w:val="20"/>
          <w:rtl/>
        </w:rPr>
        <w:t xml:space="preserve"> טמאה.</w:t>
      </w:r>
      <w:r>
        <w:rPr>
          <w:sz w:val="20"/>
          <w:szCs w:val="20"/>
          <w:rtl/>
        </w:rPr>
        <w:br/>
      </w:r>
      <w:r w:rsidRPr="00CC56CC">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מראה הדם ניכר בו היטב.</w:t>
      </w:r>
      <w:r>
        <w:rPr>
          <w:sz w:val="20"/>
          <w:szCs w:val="20"/>
          <w:rtl/>
        </w:rPr>
        <w:br/>
      </w:r>
      <w:r>
        <w:rPr>
          <w:rFonts w:hint="cs"/>
          <w:sz w:val="20"/>
          <w:szCs w:val="20"/>
          <w:rtl/>
        </w:rPr>
        <w:t xml:space="preserve">ב. </w:t>
      </w:r>
      <w:r w:rsidRPr="00CC56CC">
        <w:rPr>
          <w:rFonts w:hint="cs"/>
          <w:b/>
          <w:bCs/>
          <w:sz w:val="20"/>
          <w:szCs w:val="20"/>
          <w:rtl/>
        </w:rPr>
        <w:t>טהרת הבית</w:t>
      </w:r>
      <w:r>
        <w:rPr>
          <w:rFonts w:hint="cs"/>
          <w:sz w:val="20"/>
          <w:szCs w:val="20"/>
          <w:rtl/>
        </w:rPr>
        <w:t xml:space="preserve"> </w:t>
      </w:r>
      <w:r>
        <w:rPr>
          <w:sz w:val="20"/>
          <w:szCs w:val="20"/>
          <w:rtl/>
        </w:rPr>
        <w:t>–</w:t>
      </w:r>
      <w:r>
        <w:rPr>
          <w:rFonts w:hint="cs"/>
          <w:sz w:val="20"/>
          <w:szCs w:val="20"/>
          <w:rtl/>
        </w:rPr>
        <w:t xml:space="preserve"> כתם על בגד צבוע טהור בכל עניין, אפילו אם נמצא על בגד צהוב.</w:t>
      </w:r>
      <w:r>
        <w:rPr>
          <w:sz w:val="20"/>
          <w:szCs w:val="20"/>
          <w:rtl/>
        </w:rPr>
        <w:br/>
      </w:r>
      <w:r w:rsidRPr="00CC56CC">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חכמים לא חילקו בדין זה.</w:t>
      </w:r>
    </w:p>
    <w:p w:rsidR="00620060" w:rsidRDefault="00620060" w:rsidP="00620060">
      <w:pPr>
        <w:rPr>
          <w:sz w:val="20"/>
          <w:szCs w:val="20"/>
          <w:rtl/>
        </w:rPr>
      </w:pPr>
      <w:r>
        <w:rPr>
          <w:sz w:val="20"/>
          <w:szCs w:val="20"/>
          <w:rtl/>
        </w:rPr>
        <w:br/>
      </w:r>
      <w:r>
        <w:rPr>
          <w:rFonts w:hint="cs"/>
          <w:b/>
          <w:bCs/>
          <w:sz w:val="20"/>
          <w:szCs w:val="20"/>
          <w:rtl/>
        </w:rPr>
        <w:t xml:space="preserve">סעיף יא </w:t>
      </w:r>
      <w:r>
        <w:rPr>
          <w:b/>
          <w:bCs/>
          <w:sz w:val="20"/>
          <w:szCs w:val="20"/>
          <w:rtl/>
        </w:rPr>
        <w:t>–</w:t>
      </w:r>
      <w:r>
        <w:rPr>
          <w:rFonts w:hint="cs"/>
          <w:b/>
          <w:bCs/>
          <w:sz w:val="20"/>
          <w:szCs w:val="20"/>
          <w:rtl/>
        </w:rPr>
        <w:t xml:space="preserve"> דין כתמים שנמצאים על גופה</w:t>
      </w:r>
      <w:r>
        <w:rPr>
          <w:b/>
          <w:bCs/>
          <w:sz w:val="20"/>
          <w:szCs w:val="20"/>
          <w:rtl/>
        </w:rPr>
        <w:br/>
      </w:r>
      <w:r w:rsidRPr="00414D69">
        <w:rPr>
          <w:rStyle w:val="10"/>
          <w:rFonts w:hint="cs"/>
          <w:sz w:val="24"/>
          <w:szCs w:val="24"/>
          <w:rtl/>
        </w:rPr>
        <w:t>א. על אילו מקומות בגופה עשוי הדם לבוא</w:t>
      </w:r>
      <w:r>
        <w:rPr>
          <w:b/>
          <w:bCs/>
          <w:sz w:val="20"/>
          <w:szCs w:val="20"/>
          <w:rtl/>
        </w:rPr>
        <w:br/>
      </w:r>
      <w:r>
        <w:rPr>
          <w:rFonts w:hint="cs"/>
          <w:b/>
          <w:bCs/>
          <w:sz w:val="20"/>
          <w:szCs w:val="20"/>
          <w:rtl/>
        </w:rPr>
        <w:t xml:space="preserve">משנה </w:t>
      </w:r>
      <w:r>
        <w:rPr>
          <w:rFonts w:hint="cs"/>
          <w:sz w:val="20"/>
          <w:szCs w:val="20"/>
          <w:rtl/>
        </w:rPr>
        <w:t>נדה (נז:) "</w:t>
      </w:r>
      <w:r w:rsidRPr="00DA0C91">
        <w:rPr>
          <w:rFonts w:cs="Arial"/>
          <w:sz w:val="20"/>
          <w:szCs w:val="20"/>
          <w:rtl/>
        </w:rPr>
        <w:t xml:space="preserve">הרואה </w:t>
      </w:r>
      <w:r>
        <w:rPr>
          <w:rFonts w:cs="Arial"/>
          <w:sz w:val="20"/>
          <w:szCs w:val="20"/>
          <w:rtl/>
        </w:rPr>
        <w:t xml:space="preserve">כתם על בשרה, כנגד בית התורפה - </w:t>
      </w:r>
      <w:r w:rsidRPr="00DA0C91">
        <w:rPr>
          <w:rFonts w:cs="Arial"/>
          <w:sz w:val="20"/>
          <w:szCs w:val="20"/>
          <w:rtl/>
        </w:rPr>
        <w:t>טמאה, ושלא כנגד בית התורפה - טהורה. על עקבה ועל ראש גודלה - טמאה. על שוקה ועל פרסותיה, מבפנים - טמאה, מבחוץ - טהורה</w:t>
      </w:r>
      <w:r>
        <w:rPr>
          <w:rFonts w:cs="Arial"/>
          <w:sz w:val="20"/>
          <w:szCs w:val="20"/>
          <w:rtl/>
        </w:rPr>
        <w:t>, ועל הצדדין מכאן ומכאן – טהורה</w:t>
      </w:r>
      <w:r>
        <w:rPr>
          <w:rFonts w:cs="Arial" w:hint="cs"/>
          <w:sz w:val="20"/>
          <w:szCs w:val="20"/>
          <w:rtl/>
        </w:rPr>
        <w:t>".</w:t>
      </w:r>
    </w:p>
    <w:p w:rsidR="00620060" w:rsidRDefault="00620060" w:rsidP="00620060">
      <w:pPr>
        <w:rPr>
          <w:rFonts w:cs="Arial"/>
          <w:sz w:val="20"/>
          <w:szCs w:val="20"/>
          <w:rtl/>
        </w:rPr>
      </w:pPr>
      <w:r>
        <w:rPr>
          <w:rFonts w:hint="cs"/>
          <w:b/>
          <w:bCs/>
          <w:sz w:val="20"/>
          <w:szCs w:val="20"/>
          <w:rtl/>
        </w:rPr>
        <w:t>הרחבה בדינים אלו</w:t>
      </w:r>
      <w:r>
        <w:rPr>
          <w:b/>
          <w:bCs/>
          <w:sz w:val="20"/>
          <w:szCs w:val="20"/>
          <w:rtl/>
        </w:rPr>
        <w:br/>
      </w:r>
      <w:r>
        <w:rPr>
          <w:rFonts w:hint="cs"/>
          <w:b/>
          <w:bCs/>
          <w:sz w:val="20"/>
          <w:szCs w:val="20"/>
          <w:rtl/>
        </w:rPr>
        <w:t xml:space="preserve">גמרא </w:t>
      </w:r>
      <w:r>
        <w:rPr>
          <w:rFonts w:hint="cs"/>
          <w:sz w:val="20"/>
          <w:szCs w:val="20"/>
          <w:rtl/>
        </w:rPr>
        <w:t>(שם, נח.) "</w:t>
      </w:r>
      <w:r w:rsidRPr="00F57C03">
        <w:rPr>
          <w:rFonts w:cs="Arial"/>
          <w:sz w:val="20"/>
          <w:szCs w:val="20"/>
          <w:rtl/>
        </w:rPr>
        <w:t>על עקבה ועל ראש גודלה טמאה וכו'. בשלמא עקבה - עביד דנגע באותו מקום</w:t>
      </w:r>
      <w:r>
        <w:rPr>
          <w:rStyle w:val="a5"/>
          <w:rFonts w:cs="Arial"/>
          <w:sz w:val="20"/>
          <w:szCs w:val="20"/>
          <w:rtl/>
        </w:rPr>
        <w:footnoteReference w:id="290"/>
      </w:r>
      <w:r w:rsidRPr="00F57C03">
        <w:rPr>
          <w:rFonts w:cs="Arial"/>
          <w:sz w:val="20"/>
          <w:szCs w:val="20"/>
          <w:rtl/>
        </w:rPr>
        <w:t>, אלא ראש גודלה מאי טעמא? וכי תימא: זימנין דנגע בעקבה, ומי מחזקינן טומאה ממקום למקום? והתניא: היתה לה מכה בצו</w:t>
      </w:r>
      <w:r>
        <w:rPr>
          <w:rFonts w:cs="Arial" w:hint="cs"/>
          <w:sz w:val="20"/>
          <w:szCs w:val="20"/>
          <w:rtl/>
        </w:rPr>
        <w:t>ו</w:t>
      </w:r>
      <w:r w:rsidRPr="00F57C03">
        <w:rPr>
          <w:rFonts w:cs="Arial"/>
          <w:sz w:val="20"/>
          <w:szCs w:val="20"/>
          <w:rtl/>
        </w:rPr>
        <w:t>ארה</w:t>
      </w:r>
      <w:r>
        <w:rPr>
          <w:rStyle w:val="a5"/>
          <w:rFonts w:cs="Arial"/>
          <w:sz w:val="20"/>
          <w:szCs w:val="20"/>
          <w:rtl/>
        </w:rPr>
        <w:footnoteReference w:id="291"/>
      </w:r>
      <w:r w:rsidRPr="00F57C03">
        <w:rPr>
          <w:rFonts w:cs="Arial"/>
          <w:sz w:val="20"/>
          <w:szCs w:val="20"/>
          <w:rtl/>
        </w:rPr>
        <w:t xml:space="preserve"> שתוכל לתלות - תולה, על כתפה שאינה יכולה לתלות - אינה תולה, ואין אומרים שמא בידה נטלתו והביאתו לשם! אלא: שאני ראש גודלה, דבהדי דפסעה עביד דמתרמי. ולא מחזקינן טומאה ממקום למקום? והתניא: נמצאת על קשרי אצבעותיה - טמאה, מפני שידים עסקניות הן. מאי טעמא - לאו משום דאמרינן בדקה בחד ידא ונגעה באידך ידא? ל</w:t>
      </w:r>
      <w:r>
        <w:rPr>
          <w:rFonts w:cs="Arial"/>
          <w:sz w:val="20"/>
          <w:szCs w:val="20"/>
          <w:rtl/>
        </w:rPr>
        <w:t>א, שאני ידה - דכולה עבידא דנגעה</w:t>
      </w:r>
      <w:r>
        <w:rPr>
          <w:rFonts w:cs="Arial" w:hint="cs"/>
          <w:sz w:val="20"/>
          <w:szCs w:val="20"/>
          <w:rtl/>
        </w:rPr>
        <w:t>".</w:t>
      </w:r>
    </w:p>
    <w:p w:rsidR="00620060" w:rsidRDefault="00620060" w:rsidP="00620060">
      <w:pPr>
        <w:rPr>
          <w:sz w:val="20"/>
          <w:szCs w:val="20"/>
          <w:rtl/>
        </w:rPr>
      </w:pPr>
      <w:r>
        <w:rPr>
          <w:rFonts w:cs="Arial" w:hint="cs"/>
          <w:sz w:val="20"/>
          <w:szCs w:val="20"/>
          <w:u w:val="single"/>
          <w:rtl/>
        </w:rPr>
        <w:t>דינים העולים מגמרא זו</w:t>
      </w:r>
      <w:r>
        <w:rPr>
          <w:rFonts w:cs="Arial"/>
          <w:sz w:val="20"/>
          <w:szCs w:val="20"/>
          <w:u w:val="single"/>
          <w:rtl/>
        </w:rPr>
        <w:br/>
      </w:r>
      <w:r>
        <w:rPr>
          <w:rFonts w:cs="Arial" w:hint="cs"/>
          <w:sz w:val="20"/>
          <w:szCs w:val="20"/>
          <w:rtl/>
        </w:rPr>
        <w:t>א. דם הנמצא על עקבה, טמא.</w:t>
      </w:r>
      <w:r>
        <w:rPr>
          <w:rFonts w:cs="Arial"/>
          <w:sz w:val="20"/>
          <w:szCs w:val="20"/>
          <w:rtl/>
        </w:rPr>
        <w:br/>
      </w:r>
      <w:r w:rsidRPr="002D2681">
        <w:rPr>
          <w:rFonts w:cs="Arial" w:hint="cs"/>
          <w:b/>
          <w:bCs/>
          <w:sz w:val="20"/>
          <w:szCs w:val="20"/>
          <w:rtl/>
        </w:rPr>
        <w:t>טעם</w:t>
      </w:r>
      <w:r>
        <w:rPr>
          <w:rFonts w:cs="Arial" w:hint="cs"/>
          <w:sz w:val="20"/>
          <w:szCs w:val="20"/>
          <w:rtl/>
        </w:rPr>
        <w:t xml:space="preserve"> </w:t>
      </w:r>
      <w:r>
        <w:rPr>
          <w:rFonts w:cs="Arial"/>
          <w:sz w:val="20"/>
          <w:szCs w:val="20"/>
          <w:rtl/>
        </w:rPr>
        <w:t>–</w:t>
      </w:r>
      <w:r>
        <w:rPr>
          <w:rFonts w:cs="Arial" w:hint="cs"/>
          <w:sz w:val="20"/>
          <w:szCs w:val="20"/>
          <w:rtl/>
        </w:rPr>
        <w:t xml:space="preserve"> ייתכן שבשעה שישבה נגע העקב באותו מקום, אם כן שמא הדם הוא דם מקור.</w:t>
      </w:r>
      <w:r>
        <w:rPr>
          <w:rFonts w:hint="cs"/>
          <w:sz w:val="20"/>
          <w:szCs w:val="20"/>
          <w:rtl/>
        </w:rPr>
        <w:br/>
        <w:t>ב. דם הנמצא על ראש אגודלה, טמא.</w:t>
      </w:r>
      <w:r>
        <w:rPr>
          <w:rFonts w:hint="cs"/>
          <w:sz w:val="20"/>
          <w:szCs w:val="20"/>
          <w:rtl/>
        </w:rPr>
        <w:br/>
      </w:r>
      <w:r w:rsidRPr="002D2681">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אע"פ שהאגודל אינו נוגע באותו מקום, מכל מקום ייתכן שבעת הליכתה נטף דם מקור על האגודל.</w:t>
      </w:r>
      <w:r>
        <w:rPr>
          <w:sz w:val="20"/>
          <w:szCs w:val="20"/>
          <w:rtl/>
        </w:rPr>
        <w:br/>
      </w:r>
      <w:r>
        <w:rPr>
          <w:rFonts w:hint="cs"/>
          <w:sz w:val="20"/>
          <w:szCs w:val="20"/>
          <w:rtl/>
        </w:rPr>
        <w:t xml:space="preserve">מוסיף </w:t>
      </w:r>
      <w:r>
        <w:rPr>
          <w:rFonts w:hint="cs"/>
          <w:b/>
          <w:bCs/>
          <w:sz w:val="20"/>
          <w:szCs w:val="20"/>
          <w:rtl/>
        </w:rPr>
        <w:t xml:space="preserve">הבית יוסף </w:t>
      </w:r>
      <w:r w:rsidRPr="005F4199">
        <w:rPr>
          <w:rFonts w:hint="cs"/>
          <w:sz w:val="18"/>
          <w:szCs w:val="18"/>
          <w:rtl/>
        </w:rPr>
        <w:t xml:space="preserve">(ע"פ הרשב"א) </w:t>
      </w:r>
      <w:r>
        <w:rPr>
          <w:sz w:val="20"/>
          <w:szCs w:val="20"/>
          <w:rtl/>
        </w:rPr>
        <w:t>–</w:t>
      </w:r>
      <w:r>
        <w:rPr>
          <w:rFonts w:hint="cs"/>
          <w:sz w:val="20"/>
          <w:szCs w:val="20"/>
          <w:rtl/>
        </w:rPr>
        <w:t xml:space="preserve"> כל שכן שיש לטמא דם הנמצא על שאר רגלה, ייתכן שהדם נטף עליה.</w:t>
      </w:r>
      <w:r>
        <w:rPr>
          <w:rFonts w:hint="cs"/>
          <w:sz w:val="20"/>
          <w:szCs w:val="20"/>
          <w:rtl/>
        </w:rPr>
        <w:br/>
        <w:t>ג. דם הנמצא במקום שאין דם מקור יכול להגיע לשם בצורה טבעית אלא רק אם תביא אותו לשם בידה, טהור.</w:t>
      </w:r>
      <w:r>
        <w:rPr>
          <w:sz w:val="20"/>
          <w:szCs w:val="20"/>
          <w:rtl/>
        </w:rPr>
        <w:br/>
      </w:r>
      <w:r w:rsidRPr="002D2681">
        <w:rPr>
          <w:rFonts w:hint="cs"/>
          <w:b/>
          <w:bCs/>
          <w:sz w:val="20"/>
          <w:szCs w:val="20"/>
          <w:rtl/>
        </w:rPr>
        <w:t xml:space="preserve">טעם </w:t>
      </w:r>
      <w:r>
        <w:rPr>
          <w:sz w:val="20"/>
          <w:szCs w:val="20"/>
          <w:rtl/>
        </w:rPr>
        <w:t>–</w:t>
      </w:r>
      <w:r>
        <w:rPr>
          <w:rFonts w:hint="cs"/>
          <w:sz w:val="20"/>
          <w:szCs w:val="20"/>
          <w:rtl/>
        </w:rPr>
        <w:t xml:space="preserve"> אין מחזיקים טומאה ממקום למקום. כלומר, אין חוששים שמא נגעה באותו מקום בידה ואחר כך נגעה במקום אחר והדם שנמצא עליה הוא בעצם דם מקור, אלא טהורה בכה"ג.</w:t>
      </w:r>
      <w:r>
        <w:rPr>
          <w:rFonts w:hint="cs"/>
          <w:sz w:val="20"/>
          <w:szCs w:val="20"/>
          <w:rtl/>
        </w:rPr>
        <w:br/>
        <w:t>ד. דם הנמצא על גב אצבעותיה</w:t>
      </w:r>
      <w:r>
        <w:rPr>
          <w:rStyle w:val="a5"/>
          <w:sz w:val="20"/>
          <w:szCs w:val="20"/>
          <w:rtl/>
        </w:rPr>
        <w:footnoteReference w:id="292"/>
      </w:r>
      <w:r>
        <w:rPr>
          <w:rFonts w:hint="cs"/>
          <w:sz w:val="20"/>
          <w:szCs w:val="20"/>
          <w:rtl/>
        </w:rPr>
        <w:t xml:space="preserve"> </w:t>
      </w:r>
      <w:r w:rsidRPr="00045CEB">
        <w:rPr>
          <w:rFonts w:hint="cs"/>
          <w:sz w:val="18"/>
          <w:szCs w:val="18"/>
          <w:rtl/>
        </w:rPr>
        <w:t>(זה הפירוש ל'קשרי אצבעותיה')</w:t>
      </w:r>
      <w:r>
        <w:rPr>
          <w:rFonts w:hint="cs"/>
          <w:sz w:val="20"/>
          <w:szCs w:val="20"/>
          <w:rtl/>
        </w:rPr>
        <w:t>, טמא.</w:t>
      </w:r>
      <w:r>
        <w:rPr>
          <w:sz w:val="20"/>
          <w:szCs w:val="20"/>
          <w:rtl/>
        </w:rPr>
        <w:br/>
      </w:r>
      <w:r w:rsidRPr="00045CEB">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ידיים עסקניות הן, ושמא בשעת בדיקה שחתה ונגעה באותו מקום בגב ידה.</w:t>
      </w:r>
    </w:p>
    <w:p w:rsidR="00620060" w:rsidRDefault="00620060" w:rsidP="00620060">
      <w:pPr>
        <w:rPr>
          <w:rFonts w:cs="Arial"/>
          <w:sz w:val="20"/>
          <w:szCs w:val="20"/>
          <w:rtl/>
        </w:rPr>
      </w:pPr>
      <w:r>
        <w:rPr>
          <w:rFonts w:hint="cs"/>
          <w:b/>
          <w:bCs/>
          <w:sz w:val="20"/>
          <w:szCs w:val="20"/>
          <w:rtl/>
        </w:rPr>
        <w:t>ביאור מהו שוקה, פרסותיה וצדדים</w:t>
      </w:r>
      <w:r>
        <w:rPr>
          <w:b/>
          <w:bCs/>
          <w:sz w:val="20"/>
          <w:szCs w:val="20"/>
          <w:rtl/>
        </w:rPr>
        <w:br/>
      </w:r>
      <w:r>
        <w:rPr>
          <w:rFonts w:hint="cs"/>
          <w:b/>
          <w:bCs/>
          <w:sz w:val="20"/>
          <w:szCs w:val="20"/>
          <w:rtl/>
        </w:rPr>
        <w:t xml:space="preserve">גמרא </w:t>
      </w:r>
      <w:r>
        <w:rPr>
          <w:rFonts w:hint="cs"/>
          <w:sz w:val="20"/>
          <w:szCs w:val="20"/>
          <w:rtl/>
        </w:rPr>
        <w:t>(שם) "</w:t>
      </w:r>
      <w:r w:rsidRPr="0074430C">
        <w:rPr>
          <w:rFonts w:cs="Arial"/>
          <w:sz w:val="20"/>
          <w:szCs w:val="20"/>
          <w:rtl/>
        </w:rPr>
        <w:t>מבפנים עד היכא? אמרי דבי רבי ינאי: עד מקום חבק. איבעיא להו: מקום חבק כלפנים או כלחוץ? ת</w:t>
      </w:r>
      <w:r>
        <w:rPr>
          <w:rFonts w:cs="Arial" w:hint="cs"/>
          <w:sz w:val="20"/>
          <w:szCs w:val="20"/>
          <w:rtl/>
        </w:rPr>
        <w:t xml:space="preserve">א </w:t>
      </w:r>
      <w:r w:rsidRPr="0074430C">
        <w:rPr>
          <w:rFonts w:cs="Arial"/>
          <w:sz w:val="20"/>
          <w:szCs w:val="20"/>
          <w:rtl/>
        </w:rPr>
        <w:t>ש</w:t>
      </w:r>
      <w:r>
        <w:rPr>
          <w:rFonts w:cs="Arial" w:hint="cs"/>
          <w:sz w:val="20"/>
          <w:szCs w:val="20"/>
          <w:rtl/>
        </w:rPr>
        <w:t>מע</w:t>
      </w:r>
      <w:r w:rsidRPr="0074430C">
        <w:rPr>
          <w:rFonts w:cs="Arial"/>
          <w:sz w:val="20"/>
          <w:szCs w:val="20"/>
          <w:rtl/>
        </w:rPr>
        <w:t>, דתני רב קטינא</w:t>
      </w:r>
      <w:r>
        <w:rPr>
          <w:rFonts w:cs="Arial"/>
          <w:sz w:val="20"/>
          <w:szCs w:val="20"/>
          <w:rtl/>
        </w:rPr>
        <w:t>: עד מקום חבק, וחבק עצמו כלפנים</w:t>
      </w:r>
      <w:r>
        <w:rPr>
          <w:rFonts w:cs="Arial" w:hint="cs"/>
          <w:sz w:val="20"/>
          <w:szCs w:val="20"/>
          <w:rtl/>
        </w:rPr>
        <w:t>".</w:t>
      </w:r>
    </w:p>
    <w:p w:rsidR="00620060" w:rsidRDefault="00620060" w:rsidP="00620060">
      <w:pPr>
        <w:rPr>
          <w:sz w:val="20"/>
          <w:szCs w:val="20"/>
          <w:rtl/>
        </w:rPr>
      </w:pPr>
      <w:r>
        <w:rPr>
          <w:rFonts w:cs="Arial" w:hint="cs"/>
          <w:sz w:val="20"/>
          <w:szCs w:val="20"/>
          <w:u w:val="single"/>
          <w:rtl/>
        </w:rPr>
        <w:t>שיטות הראשונים</w:t>
      </w:r>
      <w:r>
        <w:rPr>
          <w:rFonts w:cs="Arial"/>
          <w:sz w:val="20"/>
          <w:szCs w:val="20"/>
          <w:u w:val="single"/>
          <w:rtl/>
        </w:rPr>
        <w:br/>
      </w:r>
      <w:r>
        <w:rPr>
          <w:rFonts w:cs="Arial" w:hint="cs"/>
          <w:sz w:val="20"/>
          <w:szCs w:val="20"/>
          <w:rtl/>
        </w:rPr>
        <w:t xml:space="preserve">א. </w:t>
      </w:r>
      <w:r w:rsidRPr="0074430C">
        <w:rPr>
          <w:rFonts w:cs="Arial" w:hint="cs"/>
          <w:b/>
          <w:bCs/>
          <w:sz w:val="20"/>
          <w:szCs w:val="20"/>
          <w:rtl/>
        </w:rPr>
        <w:t>רש"י</w:t>
      </w:r>
      <w:r>
        <w:rPr>
          <w:rFonts w:cs="Arial" w:hint="cs"/>
          <w:sz w:val="20"/>
          <w:szCs w:val="20"/>
          <w:rtl/>
        </w:rPr>
        <w:t xml:space="preserve"> </w:t>
      </w:r>
      <w:r>
        <w:rPr>
          <w:rFonts w:cs="Arial"/>
          <w:sz w:val="20"/>
          <w:szCs w:val="20"/>
          <w:rtl/>
        </w:rPr>
        <w:t>–</w:t>
      </w:r>
      <w:r>
        <w:rPr>
          <w:rFonts w:cs="Arial" w:hint="cs"/>
          <w:sz w:val="20"/>
          <w:szCs w:val="20"/>
          <w:rtl/>
        </w:rPr>
        <w:t xml:space="preserve"> חבק הוא מקום החיבור בין הירך לשוק, דם הנמצא כנגד אותו מקום ולמטה עד פרסותיה טמאה.</w:t>
      </w:r>
      <w:r>
        <w:rPr>
          <w:rFonts w:hint="cs"/>
          <w:sz w:val="20"/>
          <w:szCs w:val="20"/>
          <w:rtl/>
        </w:rPr>
        <w:br/>
        <w:t xml:space="preserve">מעיר </w:t>
      </w:r>
      <w:r w:rsidRPr="003B0303">
        <w:rPr>
          <w:rFonts w:hint="cs"/>
          <w:b/>
          <w:bCs/>
          <w:sz w:val="20"/>
          <w:szCs w:val="20"/>
          <w:rtl/>
        </w:rPr>
        <w:t>הרא"ש</w:t>
      </w:r>
      <w:r>
        <w:rPr>
          <w:rFonts w:hint="cs"/>
          <w:sz w:val="20"/>
          <w:szCs w:val="20"/>
          <w:rtl/>
        </w:rPr>
        <w:t xml:space="preserve"> </w:t>
      </w:r>
      <w:r>
        <w:rPr>
          <w:sz w:val="20"/>
          <w:szCs w:val="20"/>
          <w:rtl/>
        </w:rPr>
        <w:t>–</w:t>
      </w:r>
      <w:r>
        <w:rPr>
          <w:rFonts w:hint="cs"/>
          <w:sz w:val="20"/>
          <w:szCs w:val="20"/>
          <w:rtl/>
        </w:rPr>
        <w:t xml:space="preserve"> לפירוש זה לא ברור מה הדין בחלק העליון של הירך.</w:t>
      </w:r>
      <w:r>
        <w:rPr>
          <w:sz w:val="20"/>
          <w:szCs w:val="20"/>
          <w:rtl/>
        </w:rPr>
        <w:br/>
      </w:r>
      <w:r>
        <w:rPr>
          <w:rFonts w:hint="cs"/>
          <w:sz w:val="20"/>
          <w:szCs w:val="20"/>
          <w:rtl/>
        </w:rPr>
        <w:t xml:space="preserve">ב. </w:t>
      </w:r>
      <w:r w:rsidRPr="003B0303">
        <w:rPr>
          <w:rFonts w:hint="cs"/>
          <w:b/>
          <w:bCs/>
          <w:sz w:val="20"/>
          <w:szCs w:val="20"/>
          <w:rtl/>
        </w:rPr>
        <w:t>ערוך</w:t>
      </w:r>
      <w:r>
        <w:rPr>
          <w:rFonts w:hint="cs"/>
          <w:sz w:val="20"/>
          <w:szCs w:val="20"/>
          <w:rtl/>
        </w:rPr>
        <w:t xml:space="preserve"> </w:t>
      </w:r>
      <w:r>
        <w:rPr>
          <w:sz w:val="20"/>
          <w:szCs w:val="20"/>
          <w:rtl/>
        </w:rPr>
        <w:t>–</w:t>
      </w:r>
      <w:r>
        <w:rPr>
          <w:rFonts w:hint="cs"/>
          <w:sz w:val="20"/>
          <w:szCs w:val="20"/>
          <w:rtl/>
        </w:rPr>
        <w:t xml:space="preserve"> כשנועלים את השוק בנעליים שיש להן לולאות, מקום חיבור הלולאות קרוי חבק וממנו למעלה טמא.</w:t>
      </w:r>
      <w:r>
        <w:rPr>
          <w:sz w:val="20"/>
          <w:szCs w:val="20"/>
          <w:rtl/>
        </w:rPr>
        <w:br/>
      </w:r>
      <w:r>
        <w:rPr>
          <w:rFonts w:hint="cs"/>
          <w:sz w:val="20"/>
          <w:szCs w:val="20"/>
          <w:rtl/>
        </w:rPr>
        <w:t xml:space="preserve">מעיר </w:t>
      </w:r>
      <w:r w:rsidRPr="003B0303">
        <w:rPr>
          <w:rFonts w:hint="cs"/>
          <w:b/>
          <w:bCs/>
          <w:sz w:val="20"/>
          <w:szCs w:val="20"/>
          <w:rtl/>
        </w:rPr>
        <w:t>הרא"ש</w:t>
      </w:r>
      <w:r>
        <w:rPr>
          <w:rFonts w:hint="cs"/>
          <w:sz w:val="20"/>
          <w:szCs w:val="20"/>
          <w:rtl/>
        </w:rPr>
        <w:t xml:space="preserve"> </w:t>
      </w:r>
      <w:r>
        <w:rPr>
          <w:sz w:val="20"/>
          <w:szCs w:val="20"/>
          <w:rtl/>
        </w:rPr>
        <w:t>–</w:t>
      </w:r>
      <w:r>
        <w:rPr>
          <w:rFonts w:hint="cs"/>
          <w:sz w:val="20"/>
          <w:szCs w:val="20"/>
          <w:rtl/>
        </w:rPr>
        <w:t xml:space="preserve"> לפירוש זה לא ברור מה הדין בחלק התחתון של השוק.</w:t>
      </w:r>
      <w:r>
        <w:rPr>
          <w:sz w:val="20"/>
          <w:szCs w:val="20"/>
          <w:rtl/>
        </w:rPr>
        <w:br/>
      </w:r>
      <w:r>
        <w:rPr>
          <w:rFonts w:hint="cs"/>
          <w:sz w:val="20"/>
          <w:szCs w:val="20"/>
          <w:rtl/>
        </w:rPr>
        <w:t>ואמנם, ניתן להסביר לרש"י ולערוך שמשערים כנגד מקומות אלו לאורך כל הרגל.</w:t>
      </w:r>
      <w:r>
        <w:rPr>
          <w:sz w:val="20"/>
          <w:szCs w:val="20"/>
          <w:rtl/>
        </w:rPr>
        <w:br/>
      </w:r>
      <w:r>
        <w:rPr>
          <w:rFonts w:hint="cs"/>
          <w:sz w:val="20"/>
          <w:szCs w:val="20"/>
          <w:rtl/>
        </w:rPr>
        <w:t xml:space="preserve">ג. </w:t>
      </w:r>
      <w:r w:rsidRPr="003B0303">
        <w:rPr>
          <w:rFonts w:hint="cs"/>
          <w:b/>
          <w:bCs/>
          <w:sz w:val="20"/>
          <w:szCs w:val="20"/>
          <w:rtl/>
        </w:rPr>
        <w:t>ערוך</w:t>
      </w:r>
      <w:r>
        <w:rPr>
          <w:rFonts w:hint="cs"/>
          <w:sz w:val="20"/>
          <w:szCs w:val="20"/>
          <w:rtl/>
        </w:rPr>
        <w:t xml:space="preserve"> </w:t>
      </w:r>
      <w:r>
        <w:rPr>
          <w:sz w:val="20"/>
          <w:szCs w:val="20"/>
          <w:rtl/>
        </w:rPr>
        <w:t>–</w:t>
      </w:r>
      <w:r>
        <w:rPr>
          <w:rFonts w:hint="cs"/>
          <w:sz w:val="20"/>
          <w:szCs w:val="20"/>
          <w:rtl/>
        </w:rPr>
        <w:t xml:space="preserve"> כשכופפת שוקה על ירכה, המקום המכוסה קרוי חבק.</w:t>
      </w:r>
      <w:r>
        <w:rPr>
          <w:sz w:val="20"/>
          <w:szCs w:val="20"/>
          <w:rtl/>
        </w:rPr>
        <w:br/>
      </w:r>
      <w:r>
        <w:rPr>
          <w:rFonts w:hint="cs"/>
          <w:sz w:val="20"/>
          <w:szCs w:val="20"/>
          <w:rtl/>
        </w:rPr>
        <w:t xml:space="preserve">מקשה </w:t>
      </w:r>
      <w:r w:rsidRPr="00E7613E">
        <w:rPr>
          <w:rFonts w:hint="cs"/>
          <w:b/>
          <w:bCs/>
          <w:sz w:val="20"/>
          <w:szCs w:val="20"/>
          <w:rtl/>
        </w:rPr>
        <w:t>הבית יוסף</w:t>
      </w:r>
      <w:r>
        <w:rPr>
          <w:rFonts w:hint="cs"/>
          <w:sz w:val="20"/>
          <w:szCs w:val="20"/>
          <w:rtl/>
        </w:rPr>
        <w:t xml:space="preserve"> </w:t>
      </w:r>
      <w:r>
        <w:rPr>
          <w:sz w:val="20"/>
          <w:szCs w:val="20"/>
          <w:rtl/>
        </w:rPr>
        <w:t>–</w:t>
      </w:r>
      <w:r>
        <w:rPr>
          <w:rFonts w:hint="cs"/>
          <w:sz w:val="20"/>
          <w:szCs w:val="20"/>
          <w:rtl/>
        </w:rPr>
        <w:t xml:space="preserve"> לפירוש זה לא מובן באיזה אופן מתקיים דין המשנה "</w:t>
      </w:r>
      <w:r>
        <w:rPr>
          <w:rFonts w:cs="Arial"/>
          <w:sz w:val="20"/>
          <w:szCs w:val="20"/>
          <w:rtl/>
        </w:rPr>
        <w:t>ועל הצדדין מכאן ומכאן – טהורה</w:t>
      </w:r>
      <w:r>
        <w:rPr>
          <w:rFonts w:cs="Arial" w:hint="cs"/>
          <w:sz w:val="20"/>
          <w:szCs w:val="20"/>
          <w:rtl/>
        </w:rPr>
        <w:t>".</w:t>
      </w:r>
      <w:r>
        <w:rPr>
          <w:rFonts w:hint="cs"/>
          <w:sz w:val="20"/>
          <w:szCs w:val="20"/>
          <w:rtl/>
        </w:rPr>
        <w:br/>
      </w:r>
      <w:r>
        <w:rPr>
          <w:rFonts w:hint="cs"/>
          <w:sz w:val="20"/>
          <w:szCs w:val="20"/>
          <w:rtl/>
        </w:rPr>
        <w:lastRenderedPageBreak/>
        <w:t xml:space="preserve">ד. </w:t>
      </w:r>
      <w:r w:rsidRPr="00E7613E">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דם הנמצא במקומות הנדבקים זה לזה ברגליה בשעה שעומדת, טמא, וכ"פ </w:t>
      </w:r>
      <w:r w:rsidRPr="006268BD">
        <w:rPr>
          <w:rFonts w:hint="cs"/>
          <w:b/>
          <w:bCs/>
          <w:sz w:val="20"/>
          <w:szCs w:val="20"/>
          <w:rtl/>
        </w:rPr>
        <w:t>המחבר</w:t>
      </w:r>
      <w:r>
        <w:rPr>
          <w:rFonts w:hint="cs"/>
          <w:sz w:val="20"/>
          <w:szCs w:val="20"/>
          <w:rtl/>
        </w:rPr>
        <w:t>.</w:t>
      </w:r>
      <w:r>
        <w:rPr>
          <w:sz w:val="20"/>
          <w:szCs w:val="20"/>
          <w:rtl/>
        </w:rPr>
        <w:br/>
      </w:r>
      <w:r>
        <w:rPr>
          <w:rFonts w:hint="cs"/>
          <w:sz w:val="20"/>
          <w:szCs w:val="20"/>
          <w:rtl/>
        </w:rPr>
        <w:t xml:space="preserve">מעיר </w:t>
      </w:r>
      <w:r w:rsidRPr="00271099">
        <w:rPr>
          <w:rFonts w:hint="cs"/>
          <w:b/>
          <w:bCs/>
          <w:sz w:val="20"/>
          <w:szCs w:val="20"/>
          <w:rtl/>
        </w:rPr>
        <w:t>הבית יוסף</w:t>
      </w:r>
      <w:r>
        <w:rPr>
          <w:rFonts w:hint="cs"/>
          <w:sz w:val="20"/>
          <w:szCs w:val="20"/>
          <w:rtl/>
        </w:rPr>
        <w:t xml:space="preserve"> </w:t>
      </w:r>
      <w:r>
        <w:rPr>
          <w:sz w:val="20"/>
          <w:szCs w:val="20"/>
          <w:rtl/>
        </w:rPr>
        <w:t>–</w:t>
      </w:r>
      <w:r>
        <w:rPr>
          <w:rFonts w:hint="cs"/>
          <w:sz w:val="20"/>
          <w:szCs w:val="20"/>
          <w:rtl/>
        </w:rPr>
        <w:t xml:space="preserve"> לא מובן ברמב"ם מהו מקום חבק ומהו חבק עצמו. ונראה לומר, שהמקומות המדובקים ממש הם מקום חבק, וחבק עצמו הוא מקום גבול הדיבוק משני הצדדים, ודם הנמצא שם טמא.</w:t>
      </w:r>
    </w:p>
    <w:p w:rsidR="00620060" w:rsidRDefault="00620060" w:rsidP="00620060">
      <w:pPr>
        <w:rPr>
          <w:sz w:val="20"/>
          <w:szCs w:val="20"/>
          <w:rtl/>
        </w:rPr>
      </w:pPr>
      <w:r>
        <w:rPr>
          <w:rFonts w:hint="cs"/>
          <w:b/>
          <w:bCs/>
          <w:sz w:val="20"/>
          <w:szCs w:val="20"/>
          <w:rtl/>
        </w:rPr>
        <w:t>דם הנמצא על קשרי אצבעותיה</w:t>
      </w:r>
      <w:r>
        <w:rPr>
          <w:b/>
          <w:bCs/>
          <w:sz w:val="20"/>
          <w:szCs w:val="20"/>
          <w:rtl/>
        </w:rPr>
        <w:br/>
      </w:r>
      <w:r>
        <w:rPr>
          <w:rFonts w:hint="cs"/>
          <w:b/>
          <w:bCs/>
          <w:sz w:val="20"/>
          <w:szCs w:val="20"/>
          <w:rtl/>
        </w:rPr>
        <w:t xml:space="preserve">גמרא </w:t>
      </w:r>
      <w:r>
        <w:rPr>
          <w:rFonts w:hint="cs"/>
          <w:sz w:val="20"/>
          <w:szCs w:val="20"/>
          <w:rtl/>
        </w:rPr>
        <w:t>(שם, נז</w:t>
      </w:r>
      <w:r>
        <w:rPr>
          <w:sz w:val="20"/>
          <w:szCs w:val="20"/>
        </w:rPr>
        <w:t>:</w:t>
      </w:r>
      <w:r>
        <w:rPr>
          <w:rFonts w:hint="cs"/>
          <w:sz w:val="20"/>
          <w:szCs w:val="20"/>
          <w:rtl/>
        </w:rPr>
        <w:t>) "</w:t>
      </w:r>
      <w:r w:rsidRPr="00F57C03">
        <w:rPr>
          <w:rFonts w:cs="Arial"/>
          <w:sz w:val="20"/>
          <w:szCs w:val="20"/>
          <w:rtl/>
        </w:rPr>
        <w:t>תניא: נמצאת על קשרי אצבעותיה - טמאה, מפני שידים עסקניות הן. מאי טעמא - לאו משום דאמרינן בדקה בחד ידא ונגעה באידך ידא? ל</w:t>
      </w:r>
      <w:r>
        <w:rPr>
          <w:rFonts w:cs="Arial"/>
          <w:sz w:val="20"/>
          <w:szCs w:val="20"/>
          <w:rtl/>
        </w:rPr>
        <w:t>א, שאני ידה - דכולה עבידא דנגעה</w:t>
      </w:r>
      <w:r>
        <w:rPr>
          <w:rFonts w:cs="Arial" w:hint="cs"/>
          <w:sz w:val="20"/>
          <w:szCs w:val="20"/>
          <w:rtl/>
        </w:rPr>
        <w:t>".</w:t>
      </w:r>
    </w:p>
    <w:p w:rsidR="00620060" w:rsidRDefault="00620060" w:rsidP="00620060">
      <w:pPr>
        <w:rPr>
          <w:sz w:val="20"/>
          <w:szCs w:val="20"/>
          <w:rtl/>
        </w:rPr>
      </w:pPr>
      <w:r>
        <w:rPr>
          <w:rFonts w:hint="cs"/>
          <w:sz w:val="20"/>
          <w:szCs w:val="20"/>
          <w:u w:val="single"/>
          <w:rtl/>
        </w:rPr>
        <w:t>שיטות הראשונים</w:t>
      </w:r>
      <w:r>
        <w:rPr>
          <w:sz w:val="20"/>
          <w:szCs w:val="20"/>
          <w:u w:val="single"/>
          <w:rtl/>
        </w:rPr>
        <w:br/>
      </w:r>
      <w:r>
        <w:rPr>
          <w:rFonts w:hint="cs"/>
          <w:sz w:val="20"/>
          <w:szCs w:val="20"/>
          <w:rtl/>
        </w:rPr>
        <w:t xml:space="preserve">א. </w:t>
      </w:r>
      <w:r w:rsidRPr="00966C58">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דם הנמצא על ידיה טמא רק אם בדקה עצמה ולא רחצה ידיה, אך סתם דם הנמצא בידיה טהורה.</w:t>
      </w:r>
      <w:r>
        <w:rPr>
          <w:sz w:val="20"/>
          <w:szCs w:val="20"/>
          <w:rtl/>
        </w:rPr>
        <w:br/>
      </w:r>
      <w:r w:rsidRPr="00966C58">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אשה נזהרת שלא לגעת באותו מקום משום שהוא מלוכלך, ולכן אין חשש שמא נגעה והדם הגיע משם.</w:t>
      </w:r>
      <w:r>
        <w:rPr>
          <w:sz w:val="20"/>
          <w:szCs w:val="20"/>
          <w:rtl/>
        </w:rPr>
        <w:br/>
      </w:r>
      <w:r>
        <w:rPr>
          <w:rFonts w:hint="cs"/>
          <w:sz w:val="20"/>
          <w:szCs w:val="20"/>
          <w:rtl/>
        </w:rPr>
        <w:t xml:space="preserve">ב. </w:t>
      </w:r>
      <w:r w:rsidRPr="00966C58">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העתיק את לשון הברייתא כמות שהיא, ומשמע מדבריו שבכל עניין טמאה, וכ"פ </w:t>
      </w:r>
      <w:r w:rsidRPr="00CA2670">
        <w:rPr>
          <w:rFonts w:hint="cs"/>
          <w:b/>
          <w:bCs/>
          <w:sz w:val="20"/>
          <w:szCs w:val="20"/>
          <w:rtl/>
        </w:rPr>
        <w:t>המחבר</w:t>
      </w:r>
      <w:r>
        <w:rPr>
          <w:rStyle w:val="a5"/>
          <w:sz w:val="20"/>
          <w:szCs w:val="20"/>
          <w:rtl/>
        </w:rPr>
        <w:footnoteReference w:id="293"/>
      </w:r>
      <w:r>
        <w:rPr>
          <w:rFonts w:hint="cs"/>
          <w:sz w:val="20"/>
          <w:szCs w:val="20"/>
          <w:rtl/>
        </w:rPr>
        <w:t>.</w:t>
      </w:r>
      <w:r>
        <w:rPr>
          <w:sz w:val="20"/>
          <w:szCs w:val="20"/>
          <w:rtl/>
        </w:rPr>
        <w:br/>
      </w:r>
      <w:r>
        <w:rPr>
          <w:rFonts w:hint="cs"/>
          <w:sz w:val="20"/>
          <w:szCs w:val="20"/>
          <w:rtl/>
        </w:rPr>
        <w:t xml:space="preserve">מסביר </w:t>
      </w:r>
      <w:r w:rsidRPr="00966C58">
        <w:rPr>
          <w:rFonts w:hint="cs"/>
          <w:b/>
          <w:bCs/>
          <w:sz w:val="20"/>
          <w:szCs w:val="20"/>
          <w:rtl/>
        </w:rPr>
        <w:t>המגיד משנה</w:t>
      </w:r>
      <w:r>
        <w:rPr>
          <w:rFonts w:hint="cs"/>
          <w:sz w:val="20"/>
          <w:szCs w:val="20"/>
          <w:rtl/>
        </w:rPr>
        <w:t xml:space="preserve"> </w:t>
      </w:r>
      <w:r>
        <w:rPr>
          <w:sz w:val="20"/>
          <w:szCs w:val="20"/>
          <w:rtl/>
        </w:rPr>
        <w:t>–</w:t>
      </w:r>
      <w:r>
        <w:rPr>
          <w:rFonts w:hint="cs"/>
          <w:sz w:val="20"/>
          <w:szCs w:val="20"/>
          <w:rtl/>
        </w:rPr>
        <w:t xml:space="preserve"> למרות שאינה נוגעת באותו מקום, מכל מקום יכולה היא לגעת במקום אחר שהדם ניתז עליה מאותו מקום.</w:t>
      </w:r>
      <w:r>
        <w:rPr>
          <w:sz w:val="20"/>
          <w:szCs w:val="20"/>
          <w:rtl/>
        </w:rPr>
        <w:br/>
      </w:r>
      <w:r>
        <w:rPr>
          <w:rFonts w:hint="cs"/>
          <w:sz w:val="20"/>
          <w:szCs w:val="20"/>
          <w:rtl/>
        </w:rPr>
        <w:t xml:space="preserve">מעיר </w:t>
      </w:r>
      <w:r w:rsidRPr="00966C58">
        <w:rPr>
          <w:rFonts w:hint="cs"/>
          <w:b/>
          <w:bCs/>
          <w:sz w:val="20"/>
          <w:szCs w:val="20"/>
          <w:rtl/>
        </w:rPr>
        <w:t>הבית יוסף</w:t>
      </w:r>
      <w:r>
        <w:rPr>
          <w:rFonts w:hint="cs"/>
          <w:sz w:val="20"/>
          <w:szCs w:val="20"/>
          <w:rtl/>
        </w:rPr>
        <w:t xml:space="preserve"> </w:t>
      </w:r>
      <w:r>
        <w:rPr>
          <w:sz w:val="20"/>
          <w:szCs w:val="20"/>
          <w:rtl/>
        </w:rPr>
        <w:t>–</w:t>
      </w:r>
      <w:r>
        <w:rPr>
          <w:rFonts w:hint="cs"/>
          <w:sz w:val="20"/>
          <w:szCs w:val="20"/>
          <w:rtl/>
        </w:rPr>
        <w:t xml:space="preserve"> אין להקשות על המגיד משנה שלכאורה מחזיק הוא טומאה ממקום למקום כנגד דברי הגמרא, כיוון שהוא חושש שמא בשעה שנגעה במקום אחר ניתז עליה דם מקור להדיא, ואין זו החזקת טומאה ממקום למקום.</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6268BD">
        <w:rPr>
          <w:rFonts w:cs="Arial"/>
          <w:sz w:val="20"/>
          <w:szCs w:val="20"/>
          <w:rtl/>
        </w:rPr>
        <w:t>לא בכל מקום שימצא שם כתם טמאה, אלא במקום שאפשר שבא שם מן המקור. כיצד, נמצא על עקבה, טמאה. וכן אם נמצא על כל אורך שוקה ופרסותיה מבפנים, והם המקומות הנדבקים זה בזה בעת שתעמוד ותדבק רגל ברגל ושוק בשוק, ו</w:t>
      </w:r>
      <w:r>
        <w:rPr>
          <w:rFonts w:cs="Arial"/>
          <w:sz w:val="20"/>
          <w:szCs w:val="20"/>
          <w:rtl/>
        </w:rPr>
        <w:t xml:space="preserve">כן אם נמצא על ראש גודל רגליה </w:t>
      </w:r>
      <w:r w:rsidRPr="006268BD">
        <w:rPr>
          <w:rFonts w:cs="Arial"/>
          <w:sz w:val="18"/>
          <w:szCs w:val="18"/>
          <w:rtl/>
        </w:rPr>
        <w:t>(וכ</w:t>
      </w:r>
      <w:r w:rsidRPr="006268BD">
        <w:rPr>
          <w:rFonts w:cs="Arial" w:hint="cs"/>
          <w:sz w:val="18"/>
          <w:szCs w:val="18"/>
          <w:rtl/>
        </w:rPr>
        <w:t xml:space="preserve">ל </w:t>
      </w:r>
      <w:r w:rsidRPr="006268BD">
        <w:rPr>
          <w:rFonts w:cs="Arial"/>
          <w:sz w:val="18"/>
          <w:szCs w:val="18"/>
          <w:rtl/>
        </w:rPr>
        <w:t>ש</w:t>
      </w:r>
      <w:r w:rsidRPr="006268BD">
        <w:rPr>
          <w:rFonts w:cs="Arial" w:hint="cs"/>
          <w:sz w:val="18"/>
          <w:szCs w:val="18"/>
          <w:rtl/>
        </w:rPr>
        <w:t>כן</w:t>
      </w:r>
      <w:r w:rsidRPr="006268BD">
        <w:rPr>
          <w:rFonts w:cs="Arial"/>
          <w:sz w:val="18"/>
          <w:szCs w:val="18"/>
          <w:rtl/>
        </w:rPr>
        <w:t xml:space="preserve"> על רגליה ממש)</w:t>
      </w:r>
      <w:r w:rsidRPr="006268BD">
        <w:rPr>
          <w:rFonts w:cs="Arial"/>
          <w:sz w:val="20"/>
          <w:szCs w:val="20"/>
          <w:rtl/>
        </w:rPr>
        <w:t>, וכן אם נמצא על ידיה, אפילו על קשרי אצבעותיה, שהידים עסקניות הן ושמא נגעו</w:t>
      </w:r>
      <w:r>
        <w:rPr>
          <w:rStyle w:val="a5"/>
          <w:rFonts w:cs="Arial"/>
          <w:sz w:val="20"/>
          <w:szCs w:val="20"/>
          <w:rtl/>
        </w:rPr>
        <w:footnoteReference w:id="294"/>
      </w:r>
      <w:r w:rsidRPr="006268BD">
        <w:rPr>
          <w:rFonts w:cs="Arial"/>
          <w:sz w:val="20"/>
          <w:szCs w:val="20"/>
          <w:rtl/>
        </w:rPr>
        <w:t xml:space="preserve"> באותו מקום. אבל אם נמצא על שוקיה ועל פרסותיה מצד חוץ, או אפילו מהצדדין, וא</w:t>
      </w:r>
      <w:r>
        <w:rPr>
          <w:rFonts w:cs="Arial" w:hint="cs"/>
          <w:sz w:val="20"/>
          <w:szCs w:val="20"/>
          <w:rtl/>
        </w:rPr>
        <w:t xml:space="preserve">ין צריך </w:t>
      </w:r>
      <w:r w:rsidRPr="006268BD">
        <w:rPr>
          <w:rFonts w:cs="Arial"/>
          <w:sz w:val="20"/>
          <w:szCs w:val="20"/>
          <w:rtl/>
        </w:rPr>
        <w:t>ל</w:t>
      </w:r>
      <w:r>
        <w:rPr>
          <w:rFonts w:cs="Arial" w:hint="cs"/>
          <w:sz w:val="20"/>
          <w:szCs w:val="20"/>
          <w:rtl/>
        </w:rPr>
        <w:t>ומר</w:t>
      </w:r>
      <w:r w:rsidRPr="006268BD">
        <w:rPr>
          <w:rFonts w:cs="Arial"/>
          <w:sz w:val="20"/>
          <w:szCs w:val="20"/>
          <w:rtl/>
        </w:rPr>
        <w:t xml:space="preserve"> למעלה מאותו מקום</w:t>
      </w:r>
      <w:r>
        <w:rPr>
          <w:rStyle w:val="a5"/>
          <w:rFonts w:cs="Arial"/>
          <w:sz w:val="20"/>
          <w:szCs w:val="20"/>
          <w:rtl/>
        </w:rPr>
        <w:footnoteReference w:id="295"/>
      </w:r>
      <w:r w:rsidRPr="006268BD">
        <w:rPr>
          <w:rFonts w:cs="Arial"/>
          <w:sz w:val="20"/>
          <w:szCs w:val="20"/>
          <w:rtl/>
        </w:rPr>
        <w:t>, טהורה</w:t>
      </w:r>
      <w:r>
        <w:rPr>
          <w:rFonts w:cs="Arial" w:hint="cs"/>
          <w:sz w:val="20"/>
          <w:szCs w:val="20"/>
          <w:rtl/>
        </w:rPr>
        <w:t>".</w:t>
      </w:r>
    </w:p>
    <w:p w:rsidR="00620060" w:rsidRDefault="00620060" w:rsidP="00620060">
      <w:pPr>
        <w:rPr>
          <w:sz w:val="20"/>
          <w:szCs w:val="20"/>
          <w:rtl/>
        </w:rPr>
      </w:pPr>
      <w:r>
        <w:rPr>
          <w:rFonts w:hint="cs"/>
          <w:sz w:val="20"/>
          <w:szCs w:val="20"/>
          <w:u w:val="single"/>
          <w:rtl/>
        </w:rPr>
        <w:t xml:space="preserve">דם הנמצא על גב רגלה ועל שאר אצבעות רגליה </w:t>
      </w:r>
      <w:r>
        <w:rPr>
          <w:rFonts w:hint="cs"/>
          <w:sz w:val="20"/>
          <w:szCs w:val="20"/>
          <w:u w:val="single"/>
          <w:rtl/>
        </w:rPr>
        <w:br/>
      </w:r>
      <w:r>
        <w:rPr>
          <w:rFonts w:hint="cs"/>
          <w:sz w:val="20"/>
          <w:szCs w:val="20"/>
          <w:rtl/>
        </w:rPr>
        <w:t>המקרה - כתם שנמצא על גב רגלה וכן על שאר אצבעות רגליה.</w:t>
      </w:r>
      <w:r>
        <w:rPr>
          <w:sz w:val="20"/>
          <w:szCs w:val="20"/>
          <w:u w:val="single"/>
          <w:rtl/>
        </w:rPr>
        <w:br/>
      </w:r>
      <w:r>
        <w:rPr>
          <w:rFonts w:hint="cs"/>
          <w:sz w:val="20"/>
          <w:szCs w:val="20"/>
          <w:rtl/>
        </w:rPr>
        <w:t xml:space="preserve">א. </w:t>
      </w:r>
      <w:r w:rsidRPr="004407C9">
        <w:rPr>
          <w:rFonts w:hint="cs"/>
          <w:b/>
          <w:bCs/>
          <w:sz w:val="20"/>
          <w:szCs w:val="20"/>
          <w:rtl/>
        </w:rPr>
        <w:t>בית יוסף</w:t>
      </w:r>
      <w:r>
        <w:rPr>
          <w:rFonts w:hint="cs"/>
          <w:sz w:val="20"/>
          <w:szCs w:val="20"/>
          <w:rtl/>
        </w:rPr>
        <w:t xml:space="preserve"> </w:t>
      </w:r>
      <w:r>
        <w:rPr>
          <w:sz w:val="20"/>
          <w:szCs w:val="20"/>
          <w:rtl/>
        </w:rPr>
        <w:t>–</w:t>
      </w:r>
      <w:r>
        <w:rPr>
          <w:rFonts w:hint="cs"/>
          <w:sz w:val="20"/>
          <w:szCs w:val="20"/>
          <w:rtl/>
        </w:rPr>
        <w:t xml:space="preserve"> טמאה.</w:t>
      </w:r>
      <w:r>
        <w:rPr>
          <w:sz w:val="20"/>
          <w:szCs w:val="20"/>
          <w:rtl/>
        </w:rPr>
        <w:br/>
      </w:r>
      <w:r w:rsidRPr="004407C9">
        <w:rPr>
          <w:rFonts w:hint="cs"/>
          <w:b/>
          <w:bCs/>
          <w:sz w:val="20"/>
          <w:szCs w:val="20"/>
          <w:rtl/>
        </w:rPr>
        <w:t>ראיה</w:t>
      </w:r>
      <w:r>
        <w:rPr>
          <w:rFonts w:hint="cs"/>
          <w:sz w:val="20"/>
          <w:szCs w:val="20"/>
          <w:rtl/>
        </w:rPr>
        <w:t xml:space="preserve"> </w:t>
      </w:r>
      <w:r>
        <w:rPr>
          <w:sz w:val="20"/>
          <w:szCs w:val="20"/>
          <w:rtl/>
        </w:rPr>
        <w:t>–</w:t>
      </w:r>
      <w:r>
        <w:rPr>
          <w:rFonts w:hint="cs"/>
          <w:sz w:val="20"/>
          <w:szCs w:val="20"/>
          <w:rtl/>
        </w:rPr>
        <w:t xml:space="preserve"> כך היא לשון הרשב"א בדין זה: "</w:t>
      </w:r>
      <w:r w:rsidRPr="005F4199">
        <w:rPr>
          <w:rFonts w:cs="Arial"/>
          <w:sz w:val="20"/>
          <w:szCs w:val="20"/>
          <w:rtl/>
        </w:rPr>
        <w:t xml:space="preserve">הרואה כתם על עקיבה ועל רגלה </w:t>
      </w:r>
      <w:r w:rsidRPr="005F4199">
        <w:rPr>
          <w:rFonts w:cs="Arial"/>
          <w:sz w:val="20"/>
          <w:szCs w:val="20"/>
          <w:u w:val="single"/>
          <w:rtl/>
        </w:rPr>
        <w:t>ואפילו</w:t>
      </w:r>
      <w:r w:rsidRPr="005F4199">
        <w:rPr>
          <w:rFonts w:cs="Arial"/>
          <w:sz w:val="20"/>
          <w:szCs w:val="20"/>
          <w:rtl/>
        </w:rPr>
        <w:t xml:space="preserve"> בראש גודלה טמאה</w:t>
      </w:r>
      <w:r>
        <w:rPr>
          <w:rFonts w:hint="cs"/>
          <w:sz w:val="20"/>
          <w:szCs w:val="20"/>
          <w:rtl/>
        </w:rPr>
        <w:t xml:space="preserve">... </w:t>
      </w:r>
      <w:r w:rsidRPr="00FC6389">
        <w:rPr>
          <w:rFonts w:cs="Arial"/>
          <w:sz w:val="20"/>
          <w:szCs w:val="20"/>
          <w:rtl/>
        </w:rPr>
        <w:t>ושמא נטף גם על רגלה או</w:t>
      </w:r>
      <w:r>
        <w:rPr>
          <w:rFonts w:cs="Arial"/>
          <w:sz w:val="20"/>
          <w:szCs w:val="20"/>
          <w:rtl/>
        </w:rPr>
        <w:t xml:space="preserve"> אפילו על גודלה בשעה שהיא מהלכת</w:t>
      </w:r>
      <w:r>
        <w:rPr>
          <w:rFonts w:hint="cs"/>
          <w:sz w:val="20"/>
          <w:szCs w:val="20"/>
          <w:rtl/>
        </w:rPr>
        <w:t>". ויש לדייק מדבריו שאפילו על ראש גודלה וכל שכן בגב רגלה ובשאר אצבעות רגליה.</w:t>
      </w:r>
      <w:r>
        <w:rPr>
          <w:rFonts w:hint="cs"/>
          <w:sz w:val="20"/>
          <w:szCs w:val="20"/>
          <w:rtl/>
        </w:rPr>
        <w:br/>
        <w:t xml:space="preserve">ב. </w:t>
      </w:r>
      <w:r w:rsidRPr="004407C9">
        <w:rPr>
          <w:rFonts w:hint="cs"/>
          <w:b/>
          <w:bCs/>
          <w:sz w:val="20"/>
          <w:szCs w:val="20"/>
          <w:rtl/>
        </w:rPr>
        <w:t>ב"ח</w:t>
      </w:r>
      <w:r>
        <w:rPr>
          <w:rFonts w:hint="cs"/>
          <w:sz w:val="20"/>
          <w:szCs w:val="20"/>
          <w:rtl/>
        </w:rPr>
        <w:t xml:space="preserve"> </w:t>
      </w:r>
      <w:r>
        <w:rPr>
          <w:sz w:val="20"/>
          <w:szCs w:val="20"/>
          <w:rtl/>
        </w:rPr>
        <w:t>–</w:t>
      </w:r>
      <w:r>
        <w:rPr>
          <w:rFonts w:hint="cs"/>
          <w:sz w:val="20"/>
          <w:szCs w:val="20"/>
          <w:rtl/>
        </w:rPr>
        <w:t xml:space="preserve"> טהורה, אך אם נמצא על גב רגלה שכנגד ראש גודלה, טמאה.</w:t>
      </w:r>
      <w:r>
        <w:rPr>
          <w:sz w:val="20"/>
          <w:szCs w:val="20"/>
          <w:rtl/>
        </w:rPr>
        <w:br/>
      </w:r>
      <w:r w:rsidRPr="004407C9">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ראש גודלה וגב הרגל שכנגד ראש גודלה מכוונים כנגד אותו מקום ובדרך הליכתה עלול הדם לנטוף שם, אך שאר גב הרגל והאצבעות אינם מכוונים כנגד אותו מקום ודם אותו מקום אינו יכול להגיע לשם.</w:t>
      </w:r>
    </w:p>
    <w:p w:rsidR="00620060" w:rsidRDefault="00620060" w:rsidP="00620060">
      <w:pPr>
        <w:rPr>
          <w:sz w:val="20"/>
          <w:szCs w:val="20"/>
          <w:rtl/>
        </w:rPr>
      </w:pPr>
      <w:r>
        <w:rPr>
          <w:rFonts w:hint="cs"/>
          <w:sz w:val="20"/>
          <w:szCs w:val="20"/>
          <w:u w:val="single"/>
          <w:rtl/>
        </w:rPr>
        <w:t>הכרעת האחרונים</w:t>
      </w:r>
      <w:r>
        <w:rPr>
          <w:rFonts w:hint="cs"/>
          <w:sz w:val="20"/>
          <w:szCs w:val="20"/>
          <w:rtl/>
        </w:rPr>
        <w:br/>
        <w:t>א.</w:t>
      </w:r>
      <w:r>
        <w:rPr>
          <w:rFonts w:hint="cs"/>
          <w:b/>
          <w:bCs/>
          <w:sz w:val="20"/>
          <w:szCs w:val="20"/>
          <w:rtl/>
        </w:rPr>
        <w:t xml:space="preserve"> </w:t>
      </w:r>
      <w:r w:rsidRPr="002C794C">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מסתבר לומר כב"ח, אך אין להקל כנגד הבית יוסף והרמ"א. ומכל מקום נראה שיש להקל בשאר אצבעות הרגל, וייתכן שגם הבית יוסף מודה משום שהן רחוקות מצד פנים הרגל.</w:t>
      </w:r>
      <w:r>
        <w:rPr>
          <w:rFonts w:hint="cs"/>
          <w:sz w:val="20"/>
          <w:szCs w:val="20"/>
          <w:rtl/>
        </w:rPr>
        <w:br/>
        <w:t xml:space="preserve">ב. </w:t>
      </w:r>
      <w:r w:rsidRPr="00185B26">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אין דברי הט"ז מוכרחים, והעיקר כבית יוסף ורמ"א לטמא בכל גב הרגל.</w:t>
      </w:r>
    </w:p>
    <w:p w:rsidR="00620060" w:rsidRPr="004E45E9" w:rsidRDefault="00620060" w:rsidP="00620060">
      <w:pPr>
        <w:rPr>
          <w:sz w:val="20"/>
          <w:szCs w:val="20"/>
          <w:rtl/>
        </w:rPr>
      </w:pPr>
      <w:r>
        <w:rPr>
          <w:rFonts w:hint="cs"/>
          <w:sz w:val="20"/>
          <w:szCs w:val="20"/>
          <w:u w:val="single"/>
          <w:rtl/>
        </w:rPr>
        <w:t>פרטים נוספים בדין דם הנמצא על ידה (פת"ש)</w:t>
      </w:r>
      <w:r>
        <w:rPr>
          <w:sz w:val="20"/>
          <w:szCs w:val="20"/>
          <w:u w:val="single"/>
          <w:rtl/>
        </w:rPr>
        <w:br/>
      </w:r>
      <w:r>
        <w:rPr>
          <w:rFonts w:hint="cs"/>
          <w:sz w:val="20"/>
          <w:szCs w:val="20"/>
          <w:rtl/>
        </w:rPr>
        <w:t xml:space="preserve">א. </w:t>
      </w:r>
      <w:r w:rsidRPr="004E45E9">
        <w:rPr>
          <w:rFonts w:hint="cs"/>
          <w:b/>
          <w:bCs/>
          <w:sz w:val="20"/>
          <w:szCs w:val="20"/>
          <w:rtl/>
        </w:rPr>
        <w:t>סדרי טהרה</w:t>
      </w:r>
      <w:r>
        <w:rPr>
          <w:rFonts w:hint="cs"/>
          <w:sz w:val="20"/>
          <w:szCs w:val="20"/>
          <w:rtl/>
        </w:rPr>
        <w:t xml:space="preserve"> </w:t>
      </w:r>
      <w:r>
        <w:rPr>
          <w:sz w:val="20"/>
          <w:szCs w:val="20"/>
          <w:rtl/>
        </w:rPr>
        <w:t>–</w:t>
      </w:r>
      <w:r>
        <w:rPr>
          <w:rFonts w:hint="cs"/>
          <w:sz w:val="20"/>
          <w:szCs w:val="20"/>
          <w:rtl/>
        </w:rPr>
        <w:t xml:space="preserve"> אשה שנמצא דם על ידיה אך טוענת שברי לה שלא נגעה במקומות שדם מקור עלול ליפול עליהם, טהורה, ואין אומרים שזו מילתא דלא רמיא עליה.</w:t>
      </w:r>
      <w:r>
        <w:rPr>
          <w:sz w:val="20"/>
          <w:szCs w:val="20"/>
          <w:rtl/>
        </w:rPr>
        <w:br/>
      </w:r>
      <w:r>
        <w:rPr>
          <w:rFonts w:hint="cs"/>
          <w:sz w:val="20"/>
          <w:szCs w:val="20"/>
          <w:rtl/>
        </w:rPr>
        <w:t xml:space="preserve">ב. אף לדעת המחמירים כרמב"ם לטמא בכל טיפת דם הנמצאת על בשרה, יש להקל בדם הנמצא על ידה שרק אם יש בו כשיעור טמאה. </w:t>
      </w:r>
      <w:r w:rsidRPr="00814C60">
        <w:rPr>
          <w:rFonts w:hint="cs"/>
          <w:sz w:val="18"/>
          <w:szCs w:val="18"/>
          <w:rtl/>
        </w:rPr>
        <w:t>(וסמך להקל בכך משום שבלאו הכי יש את דעת הרשב"א לעיל המחמיר רק אם יודעת שבדקה</w:t>
      </w:r>
      <w:r>
        <w:rPr>
          <w:rFonts w:hint="cs"/>
          <w:sz w:val="18"/>
          <w:szCs w:val="18"/>
          <w:rtl/>
        </w:rPr>
        <w:t xml:space="preserve"> ולא ניקתה ידיה</w:t>
      </w:r>
      <w:r w:rsidRPr="00814C60">
        <w:rPr>
          <w:rFonts w:hint="cs"/>
          <w:sz w:val="18"/>
          <w:szCs w:val="18"/>
          <w:rtl/>
        </w:rPr>
        <w:t>).</w:t>
      </w:r>
      <w:r>
        <w:rPr>
          <w:rFonts w:hint="cs"/>
          <w:sz w:val="20"/>
          <w:szCs w:val="20"/>
          <w:rtl/>
        </w:rPr>
        <w:br/>
      </w:r>
      <w:r>
        <w:rPr>
          <w:rFonts w:hint="cs"/>
          <w:sz w:val="20"/>
          <w:szCs w:val="20"/>
          <w:rtl/>
        </w:rPr>
        <w:lastRenderedPageBreak/>
        <w:t xml:space="preserve">ג. </w:t>
      </w:r>
      <w:r w:rsidRPr="00164990">
        <w:rPr>
          <w:rFonts w:hint="cs"/>
          <w:b/>
          <w:bCs/>
          <w:sz w:val="20"/>
          <w:szCs w:val="20"/>
          <w:rtl/>
        </w:rPr>
        <w:t>חכמת אדם</w:t>
      </w:r>
      <w:r>
        <w:rPr>
          <w:rFonts w:hint="cs"/>
          <w:sz w:val="20"/>
          <w:szCs w:val="20"/>
          <w:rtl/>
        </w:rPr>
        <w:t xml:space="preserve"> </w:t>
      </w:r>
      <w:r>
        <w:rPr>
          <w:sz w:val="20"/>
          <w:szCs w:val="20"/>
          <w:rtl/>
        </w:rPr>
        <w:t>–</w:t>
      </w:r>
      <w:r>
        <w:rPr>
          <w:rFonts w:hint="cs"/>
          <w:sz w:val="20"/>
          <w:szCs w:val="20"/>
          <w:rtl/>
        </w:rPr>
        <w:t xml:space="preserve"> אם נמצא דם על גב ידה למעלה מקשרי אצבעותיה, יש להקל בצירוף סברה נוספת.</w:t>
      </w:r>
      <w:r>
        <w:rPr>
          <w:sz w:val="20"/>
          <w:szCs w:val="20"/>
          <w:rtl/>
        </w:rPr>
        <w:br/>
      </w:r>
      <w:r w:rsidRPr="00164990">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כיוון שאפילו ע"י שחייה מרובה לא מסתבר שגב היד נגע באותו מקום.</w:t>
      </w:r>
    </w:p>
    <w:p w:rsidR="00620060" w:rsidRDefault="00620060" w:rsidP="00620060">
      <w:pPr>
        <w:rPr>
          <w:sz w:val="20"/>
          <w:szCs w:val="20"/>
          <w:rtl/>
        </w:rPr>
      </w:pPr>
      <w:r w:rsidRPr="00414D69">
        <w:rPr>
          <w:rStyle w:val="10"/>
          <w:rFonts w:hint="cs"/>
          <w:sz w:val="24"/>
          <w:szCs w:val="24"/>
          <w:rtl/>
        </w:rPr>
        <w:t>ב. הזדקרה ועברה בשוק של טבחים</w:t>
      </w:r>
      <w:r>
        <w:rPr>
          <w:b/>
          <w:bCs/>
          <w:sz w:val="20"/>
          <w:szCs w:val="20"/>
          <w:rtl/>
        </w:rPr>
        <w:br/>
      </w:r>
      <w:r>
        <w:rPr>
          <w:rFonts w:hint="cs"/>
          <w:b/>
          <w:bCs/>
          <w:sz w:val="20"/>
          <w:szCs w:val="20"/>
          <w:rtl/>
        </w:rPr>
        <w:t xml:space="preserve">גמרא </w:t>
      </w:r>
      <w:r>
        <w:rPr>
          <w:rFonts w:hint="cs"/>
          <w:sz w:val="20"/>
          <w:szCs w:val="20"/>
          <w:rtl/>
        </w:rPr>
        <w:t>(שם) "</w:t>
      </w:r>
      <w:r w:rsidRPr="00C20EF2">
        <w:rPr>
          <w:rFonts w:cs="Arial"/>
          <w:sz w:val="20"/>
          <w:szCs w:val="20"/>
          <w:rtl/>
        </w:rPr>
        <w:t xml:space="preserve">תא שמע, נמצאת אתה אומר, ג' ספקות באשה: על בשרה, ספק טמא ספק טהור - טמא; על </w:t>
      </w:r>
      <w:r>
        <w:rPr>
          <w:rFonts w:cs="Arial"/>
          <w:sz w:val="20"/>
          <w:szCs w:val="20"/>
          <w:rtl/>
        </w:rPr>
        <w:t>חלוקה, ספק טמא ספק טהור – טהור</w:t>
      </w:r>
      <w:r>
        <w:rPr>
          <w:rFonts w:cs="Arial" w:hint="cs"/>
          <w:sz w:val="20"/>
          <w:szCs w:val="20"/>
          <w:rtl/>
        </w:rPr>
        <w:t xml:space="preserve">... </w:t>
      </w:r>
      <w:r w:rsidRPr="00C20EF2">
        <w:rPr>
          <w:rFonts w:cs="Arial"/>
          <w:sz w:val="20"/>
          <w:szCs w:val="20"/>
          <w:rtl/>
        </w:rPr>
        <w:t>אמר מר: על בשרה, ספק טמא ספק טהור - טמא; על חלוקה, ספק טמא ספק טהור - טהור. ה</w:t>
      </w:r>
      <w:r>
        <w:rPr>
          <w:rFonts w:cs="Arial" w:hint="cs"/>
          <w:sz w:val="20"/>
          <w:szCs w:val="20"/>
          <w:rtl/>
        </w:rPr>
        <w:t xml:space="preserve">יכי </w:t>
      </w:r>
      <w:r w:rsidRPr="00C20EF2">
        <w:rPr>
          <w:rFonts w:cs="Arial"/>
          <w:sz w:val="20"/>
          <w:szCs w:val="20"/>
          <w:rtl/>
        </w:rPr>
        <w:t>ד</w:t>
      </w:r>
      <w:r>
        <w:rPr>
          <w:rFonts w:cs="Arial" w:hint="cs"/>
          <w:sz w:val="20"/>
          <w:szCs w:val="20"/>
          <w:rtl/>
        </w:rPr>
        <w:t>מי</w:t>
      </w:r>
      <w:r w:rsidRPr="00C20EF2">
        <w:rPr>
          <w:rFonts w:cs="Arial"/>
          <w:sz w:val="20"/>
          <w:szCs w:val="20"/>
          <w:rtl/>
        </w:rPr>
        <w:t>? אי מחגור ולמטה - על חלוקה אמאי טהור? והא תנן מן החגור ולמטה - טמא! ואי מחגור ולמעלה, על בשרה אמאי טמא? והתנן ראתה דם על בשרה שלא כנגד בית התורפה - טהורה א</w:t>
      </w:r>
      <w:r>
        <w:rPr>
          <w:rFonts w:cs="Arial" w:hint="cs"/>
          <w:sz w:val="20"/>
          <w:szCs w:val="20"/>
          <w:rtl/>
        </w:rPr>
        <w:t>י בעית אימא</w:t>
      </w:r>
      <w:r w:rsidRPr="00C20EF2">
        <w:rPr>
          <w:rFonts w:cs="Arial"/>
          <w:sz w:val="20"/>
          <w:szCs w:val="20"/>
          <w:rtl/>
        </w:rPr>
        <w:t>: מחגור ולמטה, וא</w:t>
      </w:r>
      <w:r>
        <w:rPr>
          <w:rFonts w:cs="Arial" w:hint="cs"/>
          <w:sz w:val="20"/>
          <w:szCs w:val="20"/>
          <w:rtl/>
        </w:rPr>
        <w:t>י בעית אימא</w:t>
      </w:r>
      <w:r w:rsidRPr="00C20EF2">
        <w:rPr>
          <w:rFonts w:cs="Arial"/>
          <w:sz w:val="20"/>
          <w:szCs w:val="20"/>
          <w:rtl/>
        </w:rPr>
        <w:t>: מחגור ולמעלה. אי בעית אימא מחגור ולמטה - כגון שעברה בשוק של טבחים, על בשרה - מגופה אתאי, דאי מעלמא אתאי - על חלוקה מיבעי ליה אשתכוחי. על חלוקה - מעלמא אתא דאי מגופה אתא - על בשרה מיבעי ליה אשתכוחי. ואיבעית אימא - מחגור ולמעלה - כגון דאזדקרה</w:t>
      </w:r>
      <w:r>
        <w:rPr>
          <w:rStyle w:val="a5"/>
          <w:rFonts w:cs="Arial"/>
          <w:sz w:val="20"/>
          <w:szCs w:val="20"/>
          <w:rtl/>
        </w:rPr>
        <w:footnoteReference w:id="296"/>
      </w:r>
      <w:r w:rsidRPr="00C20EF2">
        <w:rPr>
          <w:rFonts w:cs="Arial"/>
          <w:sz w:val="20"/>
          <w:szCs w:val="20"/>
          <w:rtl/>
        </w:rPr>
        <w:t>; על בשרה - ודאי מגופה אתאי, דאי מעלמא אתאי - על חלוקה איבעי ליה אשתכוחי, על חלוקה - מעלמא אתאי, דאי מגופה אתאי - על בשרה איבעי ליה אשתכוחי</w:t>
      </w:r>
      <w:r>
        <w:rPr>
          <w:rFonts w:cs="Arial" w:hint="cs"/>
          <w:sz w:val="20"/>
          <w:szCs w:val="20"/>
          <w:rtl/>
        </w:rPr>
        <w:t>"</w:t>
      </w:r>
      <w:r w:rsidRPr="00C20EF2">
        <w:rPr>
          <w:rFonts w:cs="Arial"/>
          <w:sz w:val="20"/>
          <w:szCs w:val="20"/>
          <w:rtl/>
        </w:rPr>
        <w:t>.</w:t>
      </w:r>
      <w:r>
        <w:rPr>
          <w:rStyle w:val="a5"/>
          <w:sz w:val="20"/>
          <w:szCs w:val="20"/>
          <w:rtl/>
        </w:rPr>
        <w:footnoteReference w:id="297"/>
      </w:r>
    </w:p>
    <w:p w:rsidR="00620060" w:rsidRDefault="00620060" w:rsidP="00620060">
      <w:pPr>
        <w:rPr>
          <w:sz w:val="20"/>
          <w:szCs w:val="20"/>
          <w:rtl/>
        </w:rPr>
      </w:pPr>
      <w:r>
        <w:rPr>
          <w:rFonts w:hint="cs"/>
          <w:b/>
          <w:bCs/>
          <w:sz w:val="20"/>
          <w:szCs w:val="20"/>
          <w:rtl/>
        </w:rPr>
        <w:t>שיטות הראשונים</w:t>
      </w:r>
      <w:r>
        <w:rPr>
          <w:b/>
          <w:bCs/>
          <w:sz w:val="20"/>
          <w:szCs w:val="20"/>
          <w:rtl/>
        </w:rPr>
        <w:br/>
      </w:r>
      <w:r>
        <w:rPr>
          <w:rFonts w:hint="cs"/>
          <w:sz w:val="20"/>
          <w:szCs w:val="20"/>
          <w:rtl/>
        </w:rPr>
        <w:t xml:space="preserve">א. </w:t>
      </w:r>
      <w:r w:rsidRPr="0062070E">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כוונת הגמרא בתירוץ הראשון היא, שכשהדם נמצא </w:t>
      </w:r>
      <w:r w:rsidRPr="002F52CD">
        <w:rPr>
          <w:rFonts w:hint="cs"/>
          <w:sz w:val="20"/>
          <w:szCs w:val="20"/>
          <w:u w:val="single"/>
          <w:rtl/>
        </w:rPr>
        <w:t>רק</w:t>
      </w:r>
      <w:r>
        <w:rPr>
          <w:rFonts w:hint="cs"/>
          <w:sz w:val="20"/>
          <w:szCs w:val="20"/>
          <w:rtl/>
        </w:rPr>
        <w:t xml:space="preserve"> על בשרה טמאה, אך אם נמצא על חלוקה וגם על בשרה </w:t>
      </w:r>
      <w:r>
        <w:rPr>
          <w:sz w:val="20"/>
          <w:szCs w:val="20"/>
          <w:rtl/>
        </w:rPr>
        <w:t>–</w:t>
      </w:r>
      <w:r>
        <w:rPr>
          <w:rFonts w:hint="cs"/>
          <w:sz w:val="20"/>
          <w:szCs w:val="20"/>
          <w:rtl/>
        </w:rPr>
        <w:t xml:space="preserve"> טהורה.</w:t>
      </w:r>
      <w:r>
        <w:rPr>
          <w:sz w:val="20"/>
          <w:szCs w:val="20"/>
          <w:rtl/>
        </w:rPr>
        <w:br/>
      </w:r>
      <w:r w:rsidRPr="0062070E">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באמת ייתכן שבעת הילוכה בשוק ניתז דם </w:t>
      </w:r>
      <w:r w:rsidRPr="0062070E">
        <w:rPr>
          <w:rFonts w:hint="cs"/>
          <w:sz w:val="20"/>
          <w:szCs w:val="20"/>
          <w:u w:val="single"/>
          <w:rtl/>
        </w:rPr>
        <w:t>רק</w:t>
      </w:r>
      <w:r>
        <w:rPr>
          <w:rFonts w:hint="cs"/>
          <w:sz w:val="20"/>
          <w:szCs w:val="20"/>
          <w:rtl/>
        </w:rPr>
        <w:t xml:space="preserve"> על בשרה, כגון שבגדיה התקפלו כלפי מעלה, אך כיוון שהדבר אינו מצוי מסתבר יותר שהדם מגופה, אך אם נמצא </w:t>
      </w:r>
      <w:r w:rsidRPr="0062070E">
        <w:rPr>
          <w:rFonts w:hint="cs"/>
          <w:sz w:val="20"/>
          <w:szCs w:val="20"/>
          <w:u w:val="single"/>
          <w:rtl/>
        </w:rPr>
        <w:t>גם</w:t>
      </w:r>
      <w:r>
        <w:rPr>
          <w:rFonts w:hint="cs"/>
          <w:sz w:val="20"/>
          <w:szCs w:val="20"/>
          <w:rtl/>
        </w:rPr>
        <w:t xml:space="preserve"> על חלוקה תולים את הדם בשוק וטהורה.</w:t>
      </w:r>
      <w:r>
        <w:rPr>
          <w:sz w:val="20"/>
          <w:szCs w:val="20"/>
          <w:rtl/>
        </w:rPr>
        <w:br/>
      </w:r>
      <w:r>
        <w:rPr>
          <w:sz w:val="20"/>
          <w:szCs w:val="20"/>
          <w:rtl/>
        </w:rPr>
        <w:br/>
      </w:r>
      <w:r>
        <w:rPr>
          <w:rFonts w:hint="cs"/>
          <w:sz w:val="20"/>
          <w:szCs w:val="20"/>
          <w:rtl/>
        </w:rPr>
        <w:t xml:space="preserve">כוונת הגמרא בתירוץ השני היא, שהזדקרה בלבד ולא עברה בשוק של טבחים. </w:t>
      </w:r>
      <w:r>
        <w:rPr>
          <w:sz w:val="20"/>
          <w:szCs w:val="20"/>
          <w:rtl/>
        </w:rPr>
        <w:br/>
      </w:r>
      <w:r>
        <w:rPr>
          <w:rFonts w:hint="cs"/>
          <w:sz w:val="20"/>
          <w:szCs w:val="20"/>
          <w:rtl/>
        </w:rPr>
        <w:t xml:space="preserve">ובאופן זה אפילו אם נמצא דם על בשרה </w:t>
      </w:r>
      <w:r w:rsidRPr="00651D29">
        <w:rPr>
          <w:rFonts w:hint="cs"/>
          <w:sz w:val="20"/>
          <w:szCs w:val="20"/>
          <w:u w:val="single"/>
          <w:rtl/>
        </w:rPr>
        <w:t>וגם</w:t>
      </w:r>
      <w:r>
        <w:rPr>
          <w:rFonts w:hint="cs"/>
          <w:sz w:val="20"/>
          <w:szCs w:val="20"/>
          <w:rtl/>
        </w:rPr>
        <w:t xml:space="preserve"> על חלוקה </w:t>
      </w:r>
      <w:r>
        <w:rPr>
          <w:sz w:val="20"/>
          <w:szCs w:val="20"/>
          <w:rtl/>
        </w:rPr>
        <w:t>–</w:t>
      </w:r>
      <w:r>
        <w:rPr>
          <w:rFonts w:hint="cs"/>
          <w:sz w:val="20"/>
          <w:szCs w:val="20"/>
          <w:rtl/>
        </w:rPr>
        <w:t xml:space="preserve"> טמאה, רק אם נמצא על חלוקה </w:t>
      </w:r>
      <w:r w:rsidRPr="00651D29">
        <w:rPr>
          <w:rFonts w:hint="cs"/>
          <w:sz w:val="20"/>
          <w:szCs w:val="20"/>
          <w:u w:val="single"/>
          <w:rtl/>
        </w:rPr>
        <w:t>בלבד</w:t>
      </w:r>
      <w:r>
        <w:rPr>
          <w:rFonts w:hint="cs"/>
          <w:sz w:val="20"/>
          <w:szCs w:val="20"/>
          <w:rtl/>
        </w:rPr>
        <w:t xml:space="preserve"> טהורה.</w:t>
      </w:r>
      <w:r>
        <w:rPr>
          <w:sz w:val="20"/>
          <w:szCs w:val="20"/>
          <w:rtl/>
        </w:rPr>
        <w:br/>
      </w:r>
      <w:r w:rsidRPr="00E1488B">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על חלוקה </w:t>
      </w:r>
      <w:r w:rsidRPr="0075345D">
        <w:rPr>
          <w:rFonts w:hint="cs"/>
          <w:sz w:val="18"/>
          <w:szCs w:val="18"/>
          <w:rtl/>
        </w:rPr>
        <w:t xml:space="preserve">(למעלה מהחגור) </w:t>
      </w:r>
      <w:r>
        <w:rPr>
          <w:rFonts w:hint="cs"/>
          <w:sz w:val="20"/>
          <w:szCs w:val="20"/>
          <w:rtl/>
        </w:rPr>
        <w:t xml:space="preserve">טהורה כיוון שאם הדם מגופה, היה נמצא גם על בשרה. </w:t>
      </w:r>
      <w:r>
        <w:rPr>
          <w:sz w:val="20"/>
          <w:szCs w:val="20"/>
          <w:rtl/>
        </w:rPr>
        <w:br/>
      </w:r>
      <w:r>
        <w:rPr>
          <w:sz w:val="20"/>
          <w:szCs w:val="20"/>
          <w:rtl/>
        </w:rPr>
        <w:br/>
      </w:r>
      <w:r>
        <w:rPr>
          <w:rFonts w:hint="cs"/>
          <w:sz w:val="20"/>
          <w:szCs w:val="20"/>
          <w:rtl/>
        </w:rPr>
        <w:t>ולכאורה דין זה קשה, שהרי כשלא הזדקרה ונמצא על חלוקה בלבד תחת החגור טמאה, ואם כן בהזדקרה שדין למעלה מהחגור כלמטה מהחגור צריכה להיות טמאה גם כשנמצא על חלוקה לבד</w:t>
      </w:r>
      <w:r w:rsidRPr="0075345D">
        <w:rPr>
          <w:rFonts w:hint="cs"/>
          <w:sz w:val="18"/>
          <w:szCs w:val="18"/>
          <w:rtl/>
        </w:rPr>
        <w:t>(למעלה מהחגור)</w:t>
      </w:r>
      <w:r>
        <w:rPr>
          <w:rFonts w:hint="cs"/>
          <w:sz w:val="20"/>
          <w:szCs w:val="20"/>
          <w:rtl/>
        </w:rPr>
        <w:t>!</w:t>
      </w:r>
      <w:r>
        <w:rPr>
          <w:sz w:val="20"/>
          <w:szCs w:val="20"/>
          <w:rtl/>
        </w:rPr>
        <w:br/>
      </w:r>
      <w:r>
        <w:rPr>
          <w:rFonts w:hint="cs"/>
          <w:sz w:val="20"/>
          <w:szCs w:val="20"/>
          <w:rtl/>
        </w:rPr>
        <w:t xml:space="preserve">ויש לומר </w:t>
      </w:r>
      <w:r>
        <w:rPr>
          <w:sz w:val="20"/>
          <w:szCs w:val="20"/>
          <w:rtl/>
        </w:rPr>
        <w:t>–</w:t>
      </w:r>
      <w:r>
        <w:rPr>
          <w:rFonts w:hint="cs"/>
          <w:sz w:val="20"/>
          <w:szCs w:val="20"/>
          <w:rtl/>
        </w:rPr>
        <w:t xml:space="preserve"> כשאשה מזדקרת דרך הדם להיות שותת ולזחול על גופה, ואחר כך כשעומדת הדם מלכלך גם את חלוקה, לכן אם הדם נמצא רק על חלוקה, טהורה. אך כאשר אשה הולכת כדרכה ייתכן שהדם יימצא על חלוקה בלבד ולכן טמאה. </w:t>
      </w:r>
      <w:r>
        <w:rPr>
          <w:rFonts w:hint="cs"/>
          <w:sz w:val="20"/>
          <w:szCs w:val="20"/>
          <w:rtl/>
        </w:rPr>
        <w:br/>
      </w:r>
      <w:r w:rsidRPr="00C904E6">
        <w:rPr>
          <w:rFonts w:hint="cs"/>
          <w:sz w:val="18"/>
          <w:szCs w:val="18"/>
          <w:rtl/>
        </w:rPr>
        <w:t xml:space="preserve">[החילוק בין התירוצים </w:t>
      </w:r>
      <w:r w:rsidRPr="00C904E6">
        <w:rPr>
          <w:sz w:val="18"/>
          <w:szCs w:val="18"/>
          <w:rtl/>
        </w:rPr>
        <w:t>–</w:t>
      </w:r>
      <w:r w:rsidRPr="00C904E6">
        <w:rPr>
          <w:rFonts w:hint="cs"/>
          <w:sz w:val="18"/>
          <w:szCs w:val="18"/>
          <w:rtl/>
        </w:rPr>
        <w:t xml:space="preserve"> נמצא על חלוקה ובשרה, לתירוץ א' </w:t>
      </w:r>
      <w:r w:rsidRPr="00C904E6">
        <w:rPr>
          <w:sz w:val="18"/>
          <w:szCs w:val="18"/>
          <w:rtl/>
        </w:rPr>
        <w:t>–</w:t>
      </w:r>
      <w:r w:rsidRPr="00C904E6">
        <w:rPr>
          <w:rFonts w:hint="cs"/>
          <w:sz w:val="18"/>
          <w:szCs w:val="18"/>
          <w:rtl/>
        </w:rPr>
        <w:t xml:space="preserve"> טהורה, לתירוץ ב </w:t>
      </w:r>
      <w:r w:rsidRPr="00C904E6">
        <w:rPr>
          <w:sz w:val="18"/>
          <w:szCs w:val="18"/>
          <w:rtl/>
        </w:rPr>
        <w:t>–</w:t>
      </w:r>
      <w:r w:rsidRPr="00C904E6">
        <w:rPr>
          <w:rFonts w:hint="cs"/>
          <w:sz w:val="18"/>
          <w:szCs w:val="18"/>
          <w:rtl/>
        </w:rPr>
        <w:t xml:space="preserve"> טמאה].</w:t>
      </w:r>
    </w:p>
    <w:p w:rsidR="00620060" w:rsidRDefault="00620060" w:rsidP="00620060">
      <w:pPr>
        <w:rPr>
          <w:sz w:val="20"/>
          <w:szCs w:val="20"/>
          <w:rtl/>
        </w:rPr>
      </w:pPr>
      <w:r>
        <w:rPr>
          <w:rFonts w:hint="cs"/>
          <w:sz w:val="20"/>
          <w:szCs w:val="20"/>
          <w:rtl/>
        </w:rPr>
        <w:t xml:space="preserve">אמנם, אם אשה הזדקרה ובנוסף לכך עברה בשוק ונמצא דם על חלוקה ועל בשרה </w:t>
      </w:r>
      <w:r>
        <w:rPr>
          <w:sz w:val="20"/>
          <w:szCs w:val="20"/>
          <w:rtl/>
        </w:rPr>
        <w:t>–</w:t>
      </w:r>
      <w:r>
        <w:rPr>
          <w:rFonts w:hint="cs"/>
          <w:sz w:val="20"/>
          <w:szCs w:val="20"/>
          <w:rtl/>
        </w:rPr>
        <w:t xml:space="preserve"> טהורה.</w:t>
      </w:r>
      <w:r>
        <w:rPr>
          <w:sz w:val="20"/>
          <w:szCs w:val="20"/>
          <w:rtl/>
        </w:rPr>
        <w:br/>
      </w:r>
      <w:r>
        <w:rPr>
          <w:rFonts w:hint="cs"/>
          <w:sz w:val="20"/>
          <w:szCs w:val="20"/>
          <w:rtl/>
        </w:rPr>
        <w:t xml:space="preserve">אך אם הדם נמצא רק על בשרה </w:t>
      </w:r>
      <w:r>
        <w:rPr>
          <w:sz w:val="20"/>
          <w:szCs w:val="20"/>
          <w:rtl/>
        </w:rPr>
        <w:t>–</w:t>
      </w:r>
      <w:r>
        <w:rPr>
          <w:rFonts w:hint="cs"/>
          <w:sz w:val="20"/>
          <w:szCs w:val="20"/>
          <w:rtl/>
        </w:rPr>
        <w:t xml:space="preserve"> טמאה.</w:t>
      </w:r>
      <w:r>
        <w:rPr>
          <w:sz w:val="20"/>
          <w:szCs w:val="20"/>
          <w:rtl/>
        </w:rPr>
        <w:br/>
      </w:r>
      <w:r>
        <w:rPr>
          <w:rFonts w:hint="cs"/>
          <w:sz w:val="20"/>
          <w:szCs w:val="20"/>
          <w:rtl/>
        </w:rPr>
        <w:t xml:space="preserve">קרי </w:t>
      </w:r>
      <w:r>
        <w:rPr>
          <w:sz w:val="20"/>
          <w:szCs w:val="20"/>
          <w:rtl/>
        </w:rPr>
        <w:t>–</w:t>
      </w:r>
      <w:r>
        <w:rPr>
          <w:rFonts w:hint="cs"/>
          <w:sz w:val="20"/>
          <w:szCs w:val="20"/>
          <w:rtl/>
        </w:rPr>
        <w:t xml:space="preserve"> עברה בשוק של טבחים דינו זהה, בין הזדקרה ובין לא הזדקרה.</w:t>
      </w:r>
    </w:p>
    <w:p w:rsidR="00620060" w:rsidRDefault="00620060" w:rsidP="00620060">
      <w:pPr>
        <w:rPr>
          <w:sz w:val="20"/>
          <w:szCs w:val="20"/>
          <w:rtl/>
        </w:rPr>
      </w:pPr>
      <w:r w:rsidRPr="0075345D">
        <w:rPr>
          <w:rFonts w:hint="cs"/>
          <w:sz w:val="20"/>
          <w:szCs w:val="20"/>
          <w:u w:val="single"/>
          <w:rtl/>
        </w:rPr>
        <w:t>סיכום שיטת הרשב"א</w:t>
      </w:r>
      <w:r>
        <w:rPr>
          <w:rStyle w:val="a5"/>
          <w:sz w:val="20"/>
          <w:szCs w:val="20"/>
          <w:rtl/>
        </w:rPr>
        <w:footnoteReference w:id="298"/>
      </w:r>
      <w:r>
        <w:rPr>
          <w:rFonts w:hint="cs"/>
          <w:sz w:val="20"/>
          <w:szCs w:val="20"/>
          <w:rtl/>
        </w:rPr>
        <w:t xml:space="preserve"> </w:t>
      </w:r>
      <w:r>
        <w:rPr>
          <w:rFonts w:hint="cs"/>
          <w:sz w:val="20"/>
          <w:szCs w:val="20"/>
          <w:rtl/>
        </w:rPr>
        <w:br/>
        <w:t xml:space="preserve">עברה בשוק של טבחים </w:t>
      </w:r>
      <w:r>
        <w:rPr>
          <w:sz w:val="20"/>
          <w:szCs w:val="20"/>
          <w:rtl/>
        </w:rPr>
        <w:t>–</w:t>
      </w:r>
      <w:r>
        <w:rPr>
          <w:rFonts w:hint="cs"/>
          <w:sz w:val="20"/>
          <w:szCs w:val="20"/>
          <w:rtl/>
        </w:rPr>
        <w:t xml:space="preserve"> אם נמצא על בשרה בלבד </w:t>
      </w:r>
      <w:r>
        <w:rPr>
          <w:sz w:val="20"/>
          <w:szCs w:val="20"/>
          <w:rtl/>
        </w:rPr>
        <w:t>–</w:t>
      </w:r>
      <w:r>
        <w:rPr>
          <w:rFonts w:hint="cs"/>
          <w:sz w:val="20"/>
          <w:szCs w:val="20"/>
          <w:rtl/>
        </w:rPr>
        <w:t xml:space="preserve"> טמאה; על חלוקה או על בשרה וחלוקה - טהורה.</w:t>
      </w:r>
      <w:r>
        <w:rPr>
          <w:rFonts w:hint="cs"/>
          <w:sz w:val="20"/>
          <w:szCs w:val="20"/>
          <w:rtl/>
        </w:rPr>
        <w:br/>
        <w:t xml:space="preserve">הזדקרה </w:t>
      </w:r>
      <w:r>
        <w:rPr>
          <w:sz w:val="20"/>
          <w:szCs w:val="20"/>
          <w:rtl/>
        </w:rPr>
        <w:t>–</w:t>
      </w:r>
      <w:r>
        <w:rPr>
          <w:rFonts w:hint="cs"/>
          <w:sz w:val="20"/>
          <w:szCs w:val="20"/>
          <w:rtl/>
        </w:rPr>
        <w:t xml:space="preserve"> אם נמצא על בשרה או על בשרה וחלוקה </w:t>
      </w:r>
      <w:r>
        <w:rPr>
          <w:sz w:val="20"/>
          <w:szCs w:val="20"/>
          <w:rtl/>
        </w:rPr>
        <w:t>–</w:t>
      </w:r>
      <w:r>
        <w:rPr>
          <w:rFonts w:hint="cs"/>
          <w:sz w:val="20"/>
          <w:szCs w:val="20"/>
          <w:rtl/>
        </w:rPr>
        <w:t xml:space="preserve"> טמאה; על חלוקה לבד </w:t>
      </w:r>
      <w:r>
        <w:rPr>
          <w:sz w:val="20"/>
          <w:szCs w:val="20"/>
          <w:rtl/>
        </w:rPr>
        <w:t>–</w:t>
      </w:r>
      <w:r>
        <w:rPr>
          <w:rFonts w:hint="cs"/>
          <w:sz w:val="20"/>
          <w:szCs w:val="20"/>
          <w:rtl/>
        </w:rPr>
        <w:t xml:space="preserve"> טהורה.</w:t>
      </w:r>
      <w:r>
        <w:rPr>
          <w:rStyle w:val="a5"/>
          <w:sz w:val="20"/>
          <w:szCs w:val="20"/>
          <w:rtl/>
        </w:rPr>
        <w:footnoteReference w:id="299"/>
      </w:r>
      <w:r>
        <w:rPr>
          <w:rFonts w:hint="cs"/>
          <w:sz w:val="20"/>
          <w:szCs w:val="20"/>
          <w:rtl/>
        </w:rPr>
        <w:br/>
        <w:t xml:space="preserve">הזדקרה ועברה בשוק </w:t>
      </w:r>
      <w:r>
        <w:rPr>
          <w:sz w:val="20"/>
          <w:szCs w:val="20"/>
          <w:rtl/>
        </w:rPr>
        <w:t>–</w:t>
      </w:r>
      <w:r>
        <w:rPr>
          <w:rFonts w:hint="cs"/>
          <w:sz w:val="20"/>
          <w:szCs w:val="20"/>
          <w:rtl/>
        </w:rPr>
        <w:t xml:space="preserve"> אם נמצא על בשרה בלבד </w:t>
      </w:r>
      <w:r>
        <w:rPr>
          <w:sz w:val="20"/>
          <w:szCs w:val="20"/>
          <w:rtl/>
        </w:rPr>
        <w:t>–</w:t>
      </w:r>
      <w:r>
        <w:rPr>
          <w:rFonts w:hint="cs"/>
          <w:sz w:val="20"/>
          <w:szCs w:val="20"/>
          <w:rtl/>
        </w:rPr>
        <w:t xml:space="preserve"> טמאה; על חלוקה או על בשרה וחלוקה </w:t>
      </w:r>
      <w:r>
        <w:rPr>
          <w:sz w:val="20"/>
          <w:szCs w:val="20"/>
          <w:rtl/>
        </w:rPr>
        <w:t>–</w:t>
      </w:r>
      <w:r>
        <w:rPr>
          <w:rFonts w:hint="cs"/>
          <w:sz w:val="20"/>
          <w:szCs w:val="20"/>
          <w:rtl/>
        </w:rPr>
        <w:t xml:space="preserve"> טהורה.</w:t>
      </w:r>
    </w:p>
    <w:p w:rsidR="00620060" w:rsidRDefault="00620060" w:rsidP="00620060">
      <w:pPr>
        <w:rPr>
          <w:sz w:val="20"/>
          <w:szCs w:val="20"/>
          <w:rtl/>
        </w:rPr>
      </w:pPr>
      <w:r>
        <w:rPr>
          <w:rFonts w:hint="cs"/>
          <w:sz w:val="20"/>
          <w:szCs w:val="20"/>
          <w:rtl/>
        </w:rPr>
        <w:lastRenderedPageBreak/>
        <w:t xml:space="preserve">ב. </w:t>
      </w:r>
      <w:r w:rsidRPr="00B436A6">
        <w:rPr>
          <w:rFonts w:hint="cs"/>
          <w:b/>
          <w:bCs/>
          <w:sz w:val="20"/>
          <w:szCs w:val="20"/>
          <w:rtl/>
        </w:rPr>
        <w:t>רמב"ם</w:t>
      </w:r>
      <w:r>
        <w:rPr>
          <w:rFonts w:hint="cs"/>
          <w:sz w:val="20"/>
          <w:szCs w:val="20"/>
          <w:rtl/>
        </w:rPr>
        <w:t xml:space="preserve"> </w:t>
      </w:r>
      <w:r w:rsidRPr="00B436A6">
        <w:rPr>
          <w:rFonts w:hint="cs"/>
          <w:sz w:val="18"/>
          <w:szCs w:val="18"/>
          <w:rtl/>
        </w:rPr>
        <w:t xml:space="preserve">(ע"פ </w:t>
      </w:r>
      <w:r w:rsidRPr="00BA0CEA">
        <w:rPr>
          <w:rFonts w:hint="cs"/>
          <w:b/>
          <w:bCs/>
          <w:sz w:val="18"/>
          <w:szCs w:val="18"/>
          <w:rtl/>
        </w:rPr>
        <w:t>הבית יוסף ומגיד משנה</w:t>
      </w:r>
      <w:r w:rsidRPr="00B436A6">
        <w:rPr>
          <w:rFonts w:hint="cs"/>
          <w:sz w:val="18"/>
          <w:szCs w:val="18"/>
          <w:rtl/>
        </w:rPr>
        <w:t xml:space="preserve">) </w:t>
      </w:r>
      <w:r>
        <w:rPr>
          <w:sz w:val="20"/>
          <w:szCs w:val="20"/>
          <w:rtl/>
        </w:rPr>
        <w:t>–</w:t>
      </w:r>
      <w:r>
        <w:rPr>
          <w:rFonts w:hint="cs"/>
          <w:sz w:val="20"/>
          <w:szCs w:val="20"/>
          <w:rtl/>
        </w:rPr>
        <w:t xml:space="preserve"> בתירוץ הראשון שיטתו זהה לרשב"א.</w:t>
      </w:r>
      <w:r>
        <w:rPr>
          <w:sz w:val="20"/>
          <w:szCs w:val="20"/>
          <w:rtl/>
        </w:rPr>
        <w:br/>
      </w:r>
      <w:r>
        <w:rPr>
          <w:rFonts w:hint="cs"/>
          <w:sz w:val="20"/>
          <w:szCs w:val="20"/>
          <w:rtl/>
        </w:rPr>
        <w:t xml:space="preserve">בתירוץ השני הוא חולק על הבנת הרשב"א, וסובר שמדובר בהזדקרה ועברה בשוק של טבחים. </w:t>
      </w:r>
      <w:r>
        <w:rPr>
          <w:sz w:val="20"/>
          <w:szCs w:val="20"/>
          <w:rtl/>
        </w:rPr>
        <w:br/>
      </w:r>
      <w:r>
        <w:rPr>
          <w:rFonts w:hint="cs"/>
          <w:sz w:val="20"/>
          <w:szCs w:val="20"/>
          <w:rtl/>
        </w:rPr>
        <w:t xml:space="preserve">לפי"ז, טעם הדין שבכתם הנמצא על חלוקה בלבד טהורה, הוא משום שעברה בשוק, אך אם לא עברה בשוק אלא הזדקרה בלבד ונמצא כתם על חלוקה בלבד </w:t>
      </w:r>
      <w:r>
        <w:rPr>
          <w:sz w:val="20"/>
          <w:szCs w:val="20"/>
          <w:rtl/>
        </w:rPr>
        <w:t>–</w:t>
      </w:r>
      <w:r>
        <w:rPr>
          <w:rFonts w:hint="cs"/>
          <w:sz w:val="20"/>
          <w:szCs w:val="20"/>
          <w:rtl/>
        </w:rPr>
        <w:t xml:space="preserve"> טמאה.</w:t>
      </w:r>
      <w:r>
        <w:rPr>
          <w:rStyle w:val="a5"/>
          <w:sz w:val="20"/>
          <w:szCs w:val="20"/>
          <w:rtl/>
        </w:rPr>
        <w:footnoteReference w:id="300"/>
      </w:r>
      <w:r>
        <w:rPr>
          <w:sz w:val="20"/>
          <w:szCs w:val="20"/>
          <w:rtl/>
        </w:rPr>
        <w:br/>
      </w:r>
      <w:r>
        <w:rPr>
          <w:rFonts w:hint="cs"/>
          <w:sz w:val="20"/>
          <w:szCs w:val="20"/>
          <w:rtl/>
        </w:rPr>
        <w:t xml:space="preserve">כלומר </w:t>
      </w:r>
      <w:r>
        <w:rPr>
          <w:sz w:val="20"/>
          <w:szCs w:val="20"/>
          <w:rtl/>
        </w:rPr>
        <w:t>–</w:t>
      </w:r>
      <w:r>
        <w:rPr>
          <w:rFonts w:hint="cs"/>
          <w:sz w:val="20"/>
          <w:szCs w:val="20"/>
          <w:rtl/>
        </w:rPr>
        <w:t xml:space="preserve"> כאשר הזדקרה, דין החלוק למעלה כדין החלוק למטה כשלא הזדקרה.</w:t>
      </w:r>
      <w:r>
        <w:rPr>
          <w:rStyle w:val="a5"/>
          <w:sz w:val="20"/>
          <w:szCs w:val="20"/>
          <w:rtl/>
        </w:rPr>
        <w:footnoteReference w:id="301"/>
      </w:r>
      <w:r>
        <w:rPr>
          <w:sz w:val="20"/>
          <w:szCs w:val="20"/>
          <w:rtl/>
        </w:rPr>
        <w:br/>
      </w:r>
      <w:r>
        <w:rPr>
          <w:rFonts w:hint="cs"/>
          <w:sz w:val="20"/>
          <w:szCs w:val="20"/>
          <w:rtl/>
        </w:rPr>
        <w:t xml:space="preserve">בנקודה זאת בלבד חולק הרמב"ם על הרשב"א, משום שלרשב"א בהזדקרה ונמצא כתם מחגור ולמעלה על החלוק בלבד </w:t>
      </w:r>
      <w:r>
        <w:rPr>
          <w:sz w:val="20"/>
          <w:szCs w:val="20"/>
          <w:rtl/>
        </w:rPr>
        <w:t>–</w:t>
      </w:r>
      <w:r>
        <w:rPr>
          <w:rFonts w:hint="cs"/>
          <w:sz w:val="20"/>
          <w:szCs w:val="20"/>
          <w:rtl/>
        </w:rPr>
        <w:t xml:space="preserve"> טהורה, משום שדרך דם מקור לזחול על בשרה, כאמור לעיל.</w:t>
      </w:r>
      <w:r>
        <w:rPr>
          <w:rStyle w:val="a5"/>
          <w:sz w:val="20"/>
          <w:szCs w:val="20"/>
          <w:rtl/>
        </w:rPr>
        <w:footnoteReference w:id="302"/>
      </w:r>
    </w:p>
    <w:p w:rsidR="00620060" w:rsidRDefault="00620060" w:rsidP="00620060">
      <w:pPr>
        <w:rPr>
          <w:sz w:val="20"/>
          <w:szCs w:val="20"/>
          <w:rtl/>
        </w:rPr>
      </w:pPr>
      <w:r>
        <w:rPr>
          <w:rFonts w:hint="cs"/>
          <w:sz w:val="20"/>
          <w:szCs w:val="20"/>
          <w:rtl/>
        </w:rPr>
        <w:t xml:space="preserve">ג. </w:t>
      </w:r>
      <w:r>
        <w:rPr>
          <w:rFonts w:hint="cs"/>
          <w:b/>
          <w:bCs/>
          <w:sz w:val="20"/>
          <w:szCs w:val="20"/>
          <w:rtl/>
        </w:rPr>
        <w:t xml:space="preserve">ראב"ד </w:t>
      </w:r>
      <w:r>
        <w:rPr>
          <w:sz w:val="20"/>
          <w:szCs w:val="20"/>
          <w:rtl/>
        </w:rPr>
        <w:t>–</w:t>
      </w:r>
      <w:r>
        <w:rPr>
          <w:rFonts w:hint="cs"/>
          <w:sz w:val="20"/>
          <w:szCs w:val="20"/>
          <w:rtl/>
        </w:rPr>
        <w:t xml:space="preserve"> אם עברה בשוק של טבחים, אפילו אם נמצא על בשרה לבד, טהורה.</w:t>
      </w:r>
      <w:r>
        <w:rPr>
          <w:sz w:val="20"/>
          <w:szCs w:val="20"/>
          <w:rtl/>
        </w:rPr>
        <w:br/>
      </w:r>
      <w:r w:rsidRPr="006C7B66">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כיוון שיש לה במה לתלות, תולה.</w:t>
      </w:r>
      <w:r>
        <w:rPr>
          <w:sz w:val="20"/>
          <w:szCs w:val="20"/>
          <w:rtl/>
        </w:rPr>
        <w:br/>
      </w:r>
      <w:r>
        <w:rPr>
          <w:rFonts w:hint="cs"/>
          <w:sz w:val="20"/>
          <w:szCs w:val="20"/>
          <w:rtl/>
        </w:rPr>
        <w:t xml:space="preserve">דוחה </w:t>
      </w:r>
      <w:r w:rsidRPr="006C7B66">
        <w:rPr>
          <w:rFonts w:hint="cs"/>
          <w:b/>
          <w:bCs/>
          <w:sz w:val="20"/>
          <w:szCs w:val="20"/>
          <w:rtl/>
        </w:rPr>
        <w:t>הרשב"א</w:t>
      </w:r>
      <w:r>
        <w:rPr>
          <w:rFonts w:hint="cs"/>
          <w:sz w:val="20"/>
          <w:szCs w:val="20"/>
          <w:rtl/>
        </w:rPr>
        <w:t xml:space="preserve"> </w:t>
      </w:r>
      <w:r>
        <w:rPr>
          <w:sz w:val="20"/>
          <w:szCs w:val="20"/>
          <w:rtl/>
        </w:rPr>
        <w:t>–</w:t>
      </w:r>
      <w:r>
        <w:rPr>
          <w:rFonts w:hint="cs"/>
          <w:sz w:val="20"/>
          <w:szCs w:val="20"/>
          <w:rtl/>
        </w:rPr>
        <w:t xml:space="preserve"> בתירוץ הראשון של הברייתא נאמר להדיא שאפילו אם יש לה במה לתלות אינה תולה כשנמצא רק על בשרה, ואע"פ שנאמר בגמרא תירוץ נוסף, מסתבר שהוא אינו חולק על התירוץ הראשון אלא מוסיף העמדה לברייתא ותו לא.</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"ו</w:t>
      </w:r>
      <w:r w:rsidRPr="001D42DF">
        <w:rPr>
          <w:rFonts w:cs="Arial"/>
          <w:sz w:val="20"/>
          <w:szCs w:val="20"/>
          <w:rtl/>
        </w:rPr>
        <w:t xml:space="preserve">אם יודעת שנזדקרה והגביהה רגליה למעלה, טמאה בכל מקום שתמצאנו, אפילו למעלה מהחגור, בין מלפניה בין מלאחריה, אפילו עברה בשוק של טבחים או נתעסקה בכתמים. </w:t>
      </w:r>
      <w:r>
        <w:rPr>
          <w:rFonts w:cs="Arial" w:hint="cs"/>
          <w:sz w:val="20"/>
          <w:szCs w:val="20"/>
          <w:rtl/>
        </w:rPr>
        <w:br/>
      </w:r>
      <w:r w:rsidRPr="001D42DF">
        <w:rPr>
          <w:rFonts w:cs="Arial"/>
          <w:sz w:val="20"/>
          <w:szCs w:val="20"/>
          <w:rtl/>
        </w:rPr>
        <w:t>ודוקא כשנמצא על בשרה לבד, אבל אם נמצא על בשרה וגם על חלוקה, אם עברה בשוק של טבחים או נתעסקה בכתמים, תולה בו בין שנמצא למטה מהחגור או שהגביהה רגליה ונמצא למעלה מהחגור</w:t>
      </w:r>
      <w:r>
        <w:rPr>
          <w:rFonts w:cs="Arial" w:hint="cs"/>
          <w:sz w:val="20"/>
          <w:szCs w:val="20"/>
          <w:rtl/>
        </w:rPr>
        <w:t>".</w:t>
      </w:r>
    </w:p>
    <w:p w:rsidR="00620060" w:rsidRDefault="00620060" w:rsidP="00620060">
      <w:pPr>
        <w:rPr>
          <w:sz w:val="20"/>
          <w:szCs w:val="20"/>
          <w:rtl/>
        </w:rPr>
      </w:pPr>
      <w:r>
        <w:rPr>
          <w:rFonts w:hint="cs"/>
          <w:sz w:val="20"/>
          <w:szCs w:val="20"/>
          <w:u w:val="single"/>
          <w:rtl/>
        </w:rPr>
        <w:t>הסבר</w:t>
      </w:r>
      <w:r>
        <w:rPr>
          <w:sz w:val="20"/>
          <w:szCs w:val="20"/>
          <w:u w:val="single"/>
          <w:rtl/>
        </w:rPr>
        <w:br/>
      </w:r>
      <w:r>
        <w:rPr>
          <w:rFonts w:hint="cs"/>
          <w:sz w:val="20"/>
          <w:szCs w:val="20"/>
          <w:rtl/>
        </w:rPr>
        <w:t xml:space="preserve">בסעיף זה </w:t>
      </w:r>
      <w:r w:rsidRPr="002371DF">
        <w:rPr>
          <w:rFonts w:hint="cs"/>
          <w:b/>
          <w:bCs/>
          <w:sz w:val="20"/>
          <w:szCs w:val="20"/>
          <w:rtl/>
        </w:rPr>
        <w:t>המחבר</w:t>
      </w:r>
      <w:r>
        <w:rPr>
          <w:rFonts w:hint="cs"/>
          <w:sz w:val="20"/>
          <w:szCs w:val="20"/>
          <w:rtl/>
        </w:rPr>
        <w:t xml:space="preserve"> פוסק כדעת </w:t>
      </w:r>
      <w:r w:rsidRPr="002371DF">
        <w:rPr>
          <w:rFonts w:hint="cs"/>
          <w:b/>
          <w:bCs/>
          <w:sz w:val="20"/>
          <w:szCs w:val="20"/>
          <w:rtl/>
        </w:rPr>
        <w:t>הרמב"ם והרשב"א</w:t>
      </w:r>
      <w:r>
        <w:rPr>
          <w:rFonts w:hint="cs"/>
          <w:sz w:val="20"/>
          <w:szCs w:val="20"/>
          <w:rtl/>
        </w:rPr>
        <w:t xml:space="preserve"> בהזדקרה.</w:t>
      </w:r>
      <w:r>
        <w:rPr>
          <w:rStyle w:val="a5"/>
          <w:sz w:val="20"/>
          <w:szCs w:val="20"/>
          <w:rtl/>
        </w:rPr>
        <w:footnoteReference w:id="303"/>
      </w:r>
      <w:r>
        <w:rPr>
          <w:sz w:val="20"/>
          <w:szCs w:val="20"/>
          <w:rtl/>
        </w:rPr>
        <w:br/>
      </w:r>
      <w:r>
        <w:rPr>
          <w:rFonts w:hint="cs"/>
          <w:sz w:val="20"/>
          <w:szCs w:val="20"/>
          <w:rtl/>
        </w:rPr>
        <w:t xml:space="preserve">הזדקרה ונמצא כתם על </w:t>
      </w:r>
      <w:r w:rsidRPr="00E70428">
        <w:rPr>
          <w:rFonts w:hint="cs"/>
          <w:sz w:val="20"/>
          <w:szCs w:val="20"/>
          <w:u w:val="single"/>
          <w:rtl/>
        </w:rPr>
        <w:t>בשרה בלבד</w:t>
      </w:r>
      <w:r>
        <w:rPr>
          <w:rFonts w:hint="cs"/>
          <w:sz w:val="20"/>
          <w:szCs w:val="20"/>
          <w:rtl/>
        </w:rPr>
        <w:t xml:space="preserve"> טמאה, אפילו אם עברה בשוק של טבחים.</w:t>
      </w:r>
      <w:r>
        <w:rPr>
          <w:sz w:val="20"/>
          <w:szCs w:val="20"/>
          <w:u w:val="single"/>
          <w:rtl/>
        </w:rPr>
        <w:br/>
      </w:r>
      <w:r>
        <w:rPr>
          <w:rFonts w:hint="cs"/>
          <w:sz w:val="20"/>
          <w:szCs w:val="20"/>
          <w:rtl/>
        </w:rPr>
        <w:t xml:space="preserve">אך אם עברה בשוק של טבחים והכתם נמצא </w:t>
      </w:r>
      <w:r w:rsidRPr="00E70428">
        <w:rPr>
          <w:rFonts w:hint="cs"/>
          <w:sz w:val="20"/>
          <w:szCs w:val="20"/>
          <w:u w:val="single"/>
          <w:rtl/>
        </w:rPr>
        <w:t>על בשרה ועל חלוקה</w:t>
      </w:r>
      <w:r>
        <w:rPr>
          <w:rFonts w:hint="cs"/>
          <w:sz w:val="20"/>
          <w:szCs w:val="20"/>
          <w:rtl/>
        </w:rPr>
        <w:t>, טהורה.</w:t>
      </w:r>
      <w:r>
        <w:rPr>
          <w:sz w:val="20"/>
          <w:szCs w:val="20"/>
          <w:rtl/>
        </w:rPr>
        <w:br/>
      </w:r>
      <w:r>
        <w:rPr>
          <w:rFonts w:hint="cs"/>
          <w:sz w:val="20"/>
          <w:szCs w:val="20"/>
          <w:rtl/>
        </w:rPr>
        <w:t>ובדינים אלו אין מחלוקת רמב"ם ורשב"א.</w:t>
      </w:r>
      <w:r>
        <w:rPr>
          <w:sz w:val="20"/>
          <w:szCs w:val="20"/>
          <w:rtl/>
        </w:rPr>
        <w:t xml:space="preserve"> </w:t>
      </w:r>
    </w:p>
    <w:p w:rsidR="00620060" w:rsidRDefault="00620060" w:rsidP="00620060">
      <w:pPr>
        <w:rPr>
          <w:rFonts w:cs="Arial"/>
          <w:sz w:val="20"/>
          <w:szCs w:val="20"/>
          <w:rtl/>
        </w:rPr>
      </w:pPr>
      <w:r w:rsidRPr="00414D69">
        <w:rPr>
          <w:rStyle w:val="10"/>
          <w:rFonts w:hint="cs"/>
          <w:sz w:val="24"/>
          <w:szCs w:val="24"/>
          <w:rtl/>
        </w:rPr>
        <w:t>ג. תליית הכתם במכה</w:t>
      </w:r>
      <w:r>
        <w:rPr>
          <w:b/>
          <w:bCs/>
          <w:sz w:val="20"/>
          <w:szCs w:val="20"/>
          <w:rtl/>
        </w:rPr>
        <w:br/>
      </w:r>
      <w:r>
        <w:rPr>
          <w:rFonts w:hint="cs"/>
          <w:b/>
          <w:bCs/>
          <w:sz w:val="20"/>
          <w:szCs w:val="20"/>
          <w:rtl/>
        </w:rPr>
        <w:t xml:space="preserve">גמרא </w:t>
      </w:r>
      <w:r>
        <w:rPr>
          <w:rFonts w:hint="cs"/>
          <w:sz w:val="20"/>
          <w:szCs w:val="20"/>
          <w:rtl/>
        </w:rPr>
        <w:t>(שם, נח.) "</w:t>
      </w:r>
      <w:r w:rsidRPr="00F57C03">
        <w:rPr>
          <w:rFonts w:cs="Arial"/>
          <w:sz w:val="20"/>
          <w:szCs w:val="20"/>
          <w:rtl/>
        </w:rPr>
        <w:t>על עקבה ועל ראש גודלה טמאה וכו'. בשלמא עקבה - עביד דנגע באותו מקום, אלא ראש גודלה מאי טעמא? וכי תימא: זימנין דנגע בעקבה, ומי מחזקינן טומאה ממקום למקום? והתניא: היתה לה מכה בצוארה שתוכל לתלות - תולה, על כתפה שאינה יכולה לתלות - אינה תולה, ואין אומרים שמא בידה נטלתו והביאתו לשם! אלא: שאני ראש</w:t>
      </w:r>
      <w:r>
        <w:rPr>
          <w:rFonts w:cs="Arial"/>
          <w:sz w:val="20"/>
          <w:szCs w:val="20"/>
          <w:rtl/>
        </w:rPr>
        <w:t xml:space="preserve"> גודלה, דבהדי דפסעה עביד דמתרמי</w:t>
      </w:r>
      <w:r>
        <w:rPr>
          <w:rFonts w:cs="Arial" w:hint="cs"/>
          <w:sz w:val="20"/>
          <w:szCs w:val="20"/>
          <w:rtl/>
        </w:rPr>
        <w:t>".</w:t>
      </w:r>
    </w:p>
    <w:p w:rsidR="00620060" w:rsidRDefault="00620060" w:rsidP="00620060">
      <w:pPr>
        <w:rPr>
          <w:sz w:val="20"/>
          <w:szCs w:val="20"/>
          <w:rtl/>
        </w:rPr>
      </w:pPr>
      <w:r>
        <w:rPr>
          <w:rFonts w:cs="Arial" w:hint="cs"/>
          <w:sz w:val="20"/>
          <w:szCs w:val="20"/>
          <w:u w:val="single"/>
          <w:rtl/>
        </w:rPr>
        <w:t xml:space="preserve">הסבר </w:t>
      </w:r>
      <w:r>
        <w:rPr>
          <w:rFonts w:cs="Arial" w:hint="cs"/>
          <w:sz w:val="20"/>
          <w:szCs w:val="20"/>
          <w:u w:val="single"/>
          <w:rtl/>
        </w:rPr>
        <w:br/>
      </w:r>
      <w:r w:rsidRPr="0006461A">
        <w:rPr>
          <w:rFonts w:cs="Arial" w:hint="cs"/>
          <w:b/>
          <w:bCs/>
          <w:sz w:val="20"/>
          <w:szCs w:val="20"/>
          <w:rtl/>
        </w:rPr>
        <w:t>בית יוסף</w:t>
      </w:r>
      <w:r>
        <w:rPr>
          <w:rFonts w:cs="Arial" w:hint="cs"/>
          <w:sz w:val="20"/>
          <w:szCs w:val="20"/>
          <w:rtl/>
        </w:rPr>
        <w:t xml:space="preserve"> - מגמרא זאת משמע שיש לתלות את הכתם בדם מכה אפילו כשהכתם נמצא על בשרה בלבד.</w:t>
      </w:r>
      <w:r>
        <w:rPr>
          <w:rFonts w:cs="Arial"/>
          <w:sz w:val="20"/>
          <w:szCs w:val="20"/>
          <w:rtl/>
        </w:rPr>
        <w:br/>
      </w:r>
      <w:r w:rsidRPr="0006461A">
        <w:rPr>
          <w:rFonts w:cs="Arial" w:hint="cs"/>
          <w:b/>
          <w:bCs/>
          <w:sz w:val="20"/>
          <w:szCs w:val="20"/>
          <w:rtl/>
        </w:rPr>
        <w:lastRenderedPageBreak/>
        <w:t>ראיה</w:t>
      </w:r>
      <w:r>
        <w:rPr>
          <w:rFonts w:cs="Arial" w:hint="cs"/>
          <w:sz w:val="20"/>
          <w:szCs w:val="20"/>
          <w:rtl/>
        </w:rPr>
        <w:t xml:space="preserve"> </w:t>
      </w:r>
      <w:r>
        <w:rPr>
          <w:rFonts w:cs="Arial"/>
          <w:sz w:val="20"/>
          <w:szCs w:val="20"/>
          <w:rtl/>
        </w:rPr>
        <w:t>–</w:t>
      </w:r>
      <w:r>
        <w:rPr>
          <w:rFonts w:cs="Arial" w:hint="cs"/>
          <w:sz w:val="20"/>
          <w:szCs w:val="20"/>
          <w:rtl/>
        </w:rPr>
        <w:t xml:space="preserve"> ברייתא זו מוסבת על הדין במשנה לגבי דם הנמצא על עקבה ועל ראש גודלה, בכה"ג ברור שהדם לא נמצא גם על חלוקה, ולכן גם במכה שבצווארה שתולה בה את הכתם מדובר שהדם נמצא רק על בשרה. </w:t>
      </w:r>
      <w:r>
        <w:rPr>
          <w:rFonts w:cs="Arial"/>
          <w:sz w:val="20"/>
          <w:szCs w:val="20"/>
          <w:rtl/>
        </w:rPr>
        <w:br/>
      </w:r>
      <w:r w:rsidRPr="0006461A">
        <w:rPr>
          <w:rFonts w:cs="Arial" w:hint="cs"/>
          <w:b/>
          <w:bCs/>
          <w:sz w:val="20"/>
          <w:szCs w:val="20"/>
          <w:rtl/>
        </w:rPr>
        <w:t>ראיה נוספת</w:t>
      </w:r>
      <w:r>
        <w:rPr>
          <w:rFonts w:cs="Arial" w:hint="cs"/>
          <w:sz w:val="20"/>
          <w:szCs w:val="20"/>
          <w:rtl/>
        </w:rPr>
        <w:t xml:space="preserve"> </w:t>
      </w:r>
      <w:r>
        <w:rPr>
          <w:rFonts w:cs="Arial"/>
          <w:sz w:val="20"/>
          <w:szCs w:val="20"/>
          <w:rtl/>
        </w:rPr>
        <w:t>–</w:t>
      </w:r>
      <w:r>
        <w:rPr>
          <w:rFonts w:cs="Arial" w:hint="cs"/>
          <w:sz w:val="20"/>
          <w:szCs w:val="20"/>
          <w:rtl/>
        </w:rPr>
        <w:t xml:space="preserve"> רק כשעברה בשוק של טבחים צריך שהדם יהיה גם על חלוקה כדי לטהר את הכתם, משום שאם הדם מעלמא הוא צריך להימצא גם על חלוקה, אך בדם מכה אין הוכחה לטמא אותה מחמת שלא נמצא גם על חלוקה, שהרי אין תולים את הדם בעלמא אלא בגופה.</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Pr>
          <w:rFonts w:cs="Arial" w:hint="cs"/>
          <w:sz w:val="20"/>
          <w:szCs w:val="20"/>
          <w:rtl/>
        </w:rPr>
        <w:t>במה דברים אמורים</w:t>
      </w:r>
      <w:r w:rsidRPr="00A86278">
        <w:rPr>
          <w:rFonts w:cs="Arial"/>
          <w:sz w:val="20"/>
          <w:szCs w:val="20"/>
          <w:rtl/>
        </w:rPr>
        <w:t xml:space="preserve"> שכשנמצא הכתם על בשרה בלבד אינה תולה, כשאין לה לתלות אלא בעסק הכתמים או בשוק של טבחים, אבל אם יש מכה בגופה שיכולה לתלות בה שאפשר שיבא הדם ממנה, תולה בה וטהורה. ואם המכה בכתפה</w:t>
      </w:r>
      <w:r>
        <w:rPr>
          <w:rFonts w:cs="Arial" w:hint="cs"/>
          <w:sz w:val="20"/>
          <w:szCs w:val="20"/>
          <w:rtl/>
        </w:rPr>
        <w:t xml:space="preserve"> </w:t>
      </w:r>
      <w:r w:rsidRPr="00A86278">
        <w:rPr>
          <w:rFonts w:cs="Arial"/>
          <w:sz w:val="20"/>
          <w:szCs w:val="20"/>
          <w:rtl/>
        </w:rPr>
        <w:t xml:space="preserve">והכתם על יריכה </w:t>
      </w:r>
      <w:r>
        <w:rPr>
          <w:rFonts w:cs="Arial"/>
          <w:sz w:val="20"/>
          <w:szCs w:val="20"/>
          <w:rtl/>
        </w:rPr>
        <w:t>במקום שאי אפשר לבא מהמכה, טמאה</w:t>
      </w:r>
      <w:r>
        <w:rPr>
          <w:rFonts w:cs="Arial" w:hint="cs"/>
          <w:sz w:val="20"/>
          <w:szCs w:val="20"/>
          <w:rtl/>
        </w:rPr>
        <w:t>".</w:t>
      </w:r>
    </w:p>
    <w:p w:rsidR="00620060" w:rsidRPr="00BD4E8A" w:rsidRDefault="00620060" w:rsidP="00620060">
      <w:pPr>
        <w:rPr>
          <w:sz w:val="20"/>
          <w:szCs w:val="20"/>
          <w:rtl/>
        </w:rPr>
      </w:pPr>
      <w:r>
        <w:rPr>
          <w:rFonts w:hint="cs"/>
          <w:sz w:val="20"/>
          <w:szCs w:val="20"/>
          <w:u w:val="single"/>
          <w:rtl/>
        </w:rPr>
        <w:t>התעסקה בכתמים בידה (ט"ז ופת"ש)</w:t>
      </w:r>
      <w:r>
        <w:rPr>
          <w:rFonts w:hint="cs"/>
          <w:sz w:val="20"/>
          <w:szCs w:val="20"/>
          <w:u w:val="single"/>
          <w:rtl/>
        </w:rPr>
        <w:br/>
      </w:r>
      <w:r>
        <w:rPr>
          <w:rFonts w:hint="cs"/>
          <w:sz w:val="20"/>
          <w:szCs w:val="20"/>
          <w:rtl/>
        </w:rPr>
        <w:t xml:space="preserve">א. </w:t>
      </w:r>
      <w:r w:rsidRPr="00457713">
        <w:rPr>
          <w:rFonts w:hint="cs"/>
          <w:b/>
          <w:bCs/>
          <w:sz w:val="20"/>
          <w:szCs w:val="20"/>
          <w:rtl/>
        </w:rPr>
        <w:t>ט"ז</w:t>
      </w:r>
      <w:r>
        <w:rPr>
          <w:rFonts w:hint="cs"/>
          <w:sz w:val="20"/>
          <w:szCs w:val="20"/>
          <w:rtl/>
        </w:rPr>
        <w:t xml:space="preserve"> בשם </w:t>
      </w:r>
      <w:r w:rsidRPr="00457713">
        <w:rPr>
          <w:rFonts w:hint="cs"/>
          <w:b/>
          <w:bCs/>
          <w:sz w:val="20"/>
          <w:szCs w:val="20"/>
          <w:rtl/>
        </w:rPr>
        <w:t>הרשב"א</w:t>
      </w:r>
      <w:r>
        <w:rPr>
          <w:rFonts w:hint="cs"/>
          <w:sz w:val="20"/>
          <w:szCs w:val="20"/>
          <w:rtl/>
        </w:rPr>
        <w:t xml:space="preserve"> </w:t>
      </w:r>
      <w:r>
        <w:rPr>
          <w:sz w:val="20"/>
          <w:szCs w:val="20"/>
          <w:rtl/>
        </w:rPr>
        <w:t>–</w:t>
      </w:r>
      <w:r>
        <w:rPr>
          <w:rFonts w:hint="cs"/>
          <w:sz w:val="20"/>
          <w:szCs w:val="20"/>
          <w:rtl/>
        </w:rPr>
        <w:t xml:space="preserve"> אם התעסקה בכתמים בידה, תולה את הדם שנמצא בידה בעסק הכתמים וטהורה.</w:t>
      </w:r>
      <w:r>
        <w:rPr>
          <w:sz w:val="20"/>
          <w:szCs w:val="20"/>
          <w:rtl/>
        </w:rPr>
        <w:br/>
      </w:r>
      <w:r>
        <w:rPr>
          <w:rFonts w:hint="cs"/>
          <w:b/>
          <w:bCs/>
          <w:sz w:val="20"/>
          <w:szCs w:val="20"/>
          <w:rtl/>
        </w:rPr>
        <w:t>פת"ש</w:t>
      </w:r>
      <w:r>
        <w:rPr>
          <w:rFonts w:hint="cs"/>
          <w:sz w:val="20"/>
          <w:szCs w:val="20"/>
          <w:rtl/>
        </w:rPr>
        <w:t xml:space="preserve"> </w:t>
      </w:r>
      <w:r>
        <w:rPr>
          <w:sz w:val="20"/>
          <w:szCs w:val="20"/>
          <w:rtl/>
        </w:rPr>
        <w:t>–</w:t>
      </w:r>
      <w:r>
        <w:rPr>
          <w:rFonts w:hint="cs"/>
          <w:sz w:val="20"/>
          <w:szCs w:val="20"/>
          <w:rtl/>
        </w:rPr>
        <w:t xml:space="preserve"> משמע </w:t>
      </w:r>
      <w:r w:rsidRPr="00457713">
        <w:rPr>
          <w:rFonts w:hint="cs"/>
          <w:b/>
          <w:bCs/>
          <w:sz w:val="20"/>
          <w:szCs w:val="20"/>
          <w:rtl/>
        </w:rPr>
        <w:t>בט"ז</w:t>
      </w:r>
      <w:r>
        <w:rPr>
          <w:rFonts w:hint="cs"/>
          <w:sz w:val="20"/>
          <w:szCs w:val="20"/>
          <w:rtl/>
        </w:rPr>
        <w:t xml:space="preserve"> שרק אם נמצא הדם על ידיה תולה, אך אם נמצא בשאר הגוף אינה תולה.</w:t>
      </w:r>
      <w:r>
        <w:rPr>
          <w:rFonts w:hint="cs"/>
          <w:sz w:val="20"/>
          <w:szCs w:val="20"/>
          <w:rtl/>
        </w:rPr>
        <w:br/>
        <w:t xml:space="preserve">ב. </w:t>
      </w:r>
      <w:r w:rsidRPr="00457713">
        <w:rPr>
          <w:rFonts w:hint="cs"/>
          <w:b/>
          <w:bCs/>
          <w:sz w:val="20"/>
          <w:szCs w:val="20"/>
          <w:rtl/>
        </w:rPr>
        <w:t>פרישה</w:t>
      </w:r>
      <w:r>
        <w:rPr>
          <w:rFonts w:hint="cs"/>
          <w:sz w:val="20"/>
          <w:szCs w:val="20"/>
          <w:rtl/>
        </w:rPr>
        <w:t xml:space="preserve"> </w:t>
      </w:r>
      <w:r>
        <w:rPr>
          <w:sz w:val="20"/>
          <w:szCs w:val="20"/>
          <w:rtl/>
        </w:rPr>
        <w:t>–</w:t>
      </w:r>
      <w:r>
        <w:rPr>
          <w:rFonts w:hint="cs"/>
          <w:sz w:val="20"/>
          <w:szCs w:val="20"/>
          <w:rtl/>
        </w:rPr>
        <w:t xml:space="preserve"> אפילו אם נמצא הדם על שאר גופה, תולה אותו בעסק שהתעסקה בידה וטהורה.</w:t>
      </w:r>
      <w:r>
        <w:rPr>
          <w:sz w:val="20"/>
          <w:szCs w:val="20"/>
          <w:rtl/>
        </w:rPr>
        <w:br/>
      </w:r>
      <w:r w:rsidRPr="00457713">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אע"פ שאין מחזיקים טומאה או טהרה ממקום למקום, זה דווקא כשאין ידוע אם נגעה במקום הדם או שנגעה ואינה יודעת אם ידה התלכלכה מהדם. אבל אם יודעת שנגעה במקום שיש בו דם וידה התלכלכה מכך, תולים את הדם שנמצא בגוף בידיים, משום שידיים עסקניות הן ובוודאי נגעו בגופה, וכ"פ </w:t>
      </w:r>
      <w:r w:rsidRPr="00457713">
        <w:rPr>
          <w:rFonts w:hint="cs"/>
          <w:b/>
          <w:bCs/>
          <w:sz w:val="20"/>
          <w:szCs w:val="20"/>
          <w:rtl/>
        </w:rPr>
        <w:t>הסד"ט</w:t>
      </w:r>
      <w:r>
        <w:rPr>
          <w:rFonts w:hint="cs"/>
          <w:sz w:val="20"/>
          <w:szCs w:val="20"/>
          <w:rtl/>
        </w:rPr>
        <w:t>.</w:t>
      </w:r>
      <w:r>
        <w:rPr>
          <w:rFonts w:hint="cs"/>
          <w:sz w:val="20"/>
          <w:szCs w:val="20"/>
          <w:rtl/>
        </w:rPr>
        <w:br/>
        <w:t xml:space="preserve">מוסיף </w:t>
      </w:r>
      <w:r w:rsidRPr="00DC0A0F">
        <w:rPr>
          <w:rFonts w:hint="cs"/>
          <w:b/>
          <w:bCs/>
          <w:sz w:val="20"/>
          <w:szCs w:val="20"/>
          <w:rtl/>
        </w:rPr>
        <w:t>החכמת אדם</w:t>
      </w:r>
      <w:r>
        <w:rPr>
          <w:rFonts w:hint="cs"/>
          <w:sz w:val="20"/>
          <w:szCs w:val="20"/>
          <w:rtl/>
        </w:rPr>
        <w:t xml:space="preserve"> </w:t>
      </w:r>
      <w:r>
        <w:rPr>
          <w:sz w:val="20"/>
          <w:szCs w:val="20"/>
          <w:rtl/>
        </w:rPr>
        <w:t>–</w:t>
      </w:r>
      <w:r>
        <w:rPr>
          <w:rFonts w:hint="cs"/>
          <w:sz w:val="20"/>
          <w:szCs w:val="20"/>
          <w:rtl/>
        </w:rPr>
        <w:t xml:space="preserve"> אם ידוע שהמכה מוציאה דם, וכן אם התעסקה בבשר ודגים שיש בהם דם, אע"פ שאינה יודעת בוודאות שידיה התלכלכו מחמת הדם, טהורה.</w:t>
      </w:r>
      <w:r>
        <w:rPr>
          <w:sz w:val="20"/>
          <w:szCs w:val="20"/>
          <w:rtl/>
        </w:rPr>
        <w:br/>
      </w:r>
      <w:r w:rsidRPr="00B570C9">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ברור שמי שנוגע בדם, הדם נדבק לו בידיים.</w:t>
      </w:r>
      <w:r>
        <w:rPr>
          <w:sz w:val="20"/>
          <w:szCs w:val="20"/>
          <w:rtl/>
        </w:rPr>
        <w:br/>
      </w:r>
    </w:p>
    <w:p w:rsidR="00620060" w:rsidRDefault="00620060" w:rsidP="00620060">
      <w:pPr>
        <w:rPr>
          <w:sz w:val="20"/>
          <w:szCs w:val="20"/>
          <w:rtl/>
        </w:rPr>
      </w:pPr>
      <w:r w:rsidRPr="00EE5791">
        <w:rPr>
          <w:rFonts w:hint="cs"/>
          <w:b/>
          <w:bCs/>
          <w:sz w:val="20"/>
          <w:szCs w:val="20"/>
          <w:rtl/>
        </w:rPr>
        <w:t>סיכום</w:t>
      </w:r>
      <w:r>
        <w:rPr>
          <w:sz w:val="20"/>
          <w:szCs w:val="20"/>
          <w:rtl/>
        </w:rPr>
        <w:br/>
      </w:r>
      <w:r w:rsidRPr="00D53D6D">
        <w:rPr>
          <w:rStyle w:val="10"/>
          <w:rFonts w:hint="cs"/>
          <w:rtl/>
        </w:rPr>
        <w:t>א. על אילו מקומות בגופה עשוי הדם לבוא</w:t>
      </w:r>
      <w:r w:rsidRPr="00D53D6D">
        <w:rPr>
          <w:rFonts w:hint="cs"/>
          <w:sz w:val="20"/>
          <w:szCs w:val="20"/>
          <w:rtl/>
        </w:rPr>
        <w:br/>
        <w:t xml:space="preserve">1. </w:t>
      </w:r>
      <w:r w:rsidRPr="00D53D6D">
        <w:rPr>
          <w:rFonts w:hint="cs"/>
          <w:b/>
          <w:bCs/>
          <w:sz w:val="20"/>
          <w:szCs w:val="20"/>
          <w:rtl/>
        </w:rPr>
        <w:t>משנה</w:t>
      </w:r>
      <w:r w:rsidRPr="00D53D6D">
        <w:rPr>
          <w:rFonts w:hint="cs"/>
          <w:sz w:val="20"/>
          <w:szCs w:val="20"/>
          <w:rtl/>
        </w:rPr>
        <w:t>. הרואה כתם כנגד בית התורפה, על עקבה, על ראש גודלה וכן על שוקה ופרסותיה מבפנים טמאה.</w:t>
      </w:r>
      <w:r w:rsidRPr="00D53D6D">
        <w:rPr>
          <w:sz w:val="20"/>
          <w:szCs w:val="20"/>
          <w:rtl/>
        </w:rPr>
        <w:br/>
      </w:r>
      <w:r w:rsidRPr="00D53D6D">
        <w:rPr>
          <w:rFonts w:hint="cs"/>
          <w:sz w:val="20"/>
          <w:szCs w:val="20"/>
          <w:rtl/>
        </w:rPr>
        <w:t xml:space="preserve">2. </w:t>
      </w:r>
      <w:r w:rsidRPr="00D53D6D">
        <w:rPr>
          <w:rFonts w:hint="cs"/>
          <w:b/>
          <w:bCs/>
          <w:sz w:val="20"/>
          <w:szCs w:val="20"/>
          <w:rtl/>
        </w:rPr>
        <w:t>גמרא</w:t>
      </w:r>
      <w:r w:rsidRPr="00D53D6D">
        <w:rPr>
          <w:rFonts w:hint="cs"/>
          <w:sz w:val="20"/>
          <w:szCs w:val="20"/>
          <w:rtl/>
        </w:rPr>
        <w:t xml:space="preserve">. עקבה. עשוי לגעת באותו מקום. ראש גודלה. הדם עלול לנטוף עליו בהליכתה. </w:t>
      </w:r>
      <w:r w:rsidRPr="00D53D6D">
        <w:rPr>
          <w:rFonts w:hint="cs"/>
          <w:sz w:val="20"/>
          <w:szCs w:val="20"/>
          <w:rtl/>
        </w:rPr>
        <w:br/>
        <w:t>3. אין מחזיקים טומאה ממקום למקום. כלומר, אין חוששים שמא נגעה ביד באותו מקום והעבירה למקום אחר.</w:t>
      </w:r>
      <w:r w:rsidRPr="00D53D6D">
        <w:rPr>
          <w:rFonts w:hint="cs"/>
          <w:sz w:val="20"/>
          <w:szCs w:val="20"/>
          <w:rtl/>
        </w:rPr>
        <w:br/>
        <w:t xml:space="preserve">4. </w:t>
      </w:r>
      <w:r w:rsidRPr="00D53D6D">
        <w:rPr>
          <w:rFonts w:hint="cs"/>
          <w:b/>
          <w:bCs/>
          <w:sz w:val="20"/>
          <w:szCs w:val="20"/>
          <w:rtl/>
        </w:rPr>
        <w:t>גמרא</w:t>
      </w:r>
      <w:r w:rsidRPr="00D53D6D">
        <w:rPr>
          <w:rFonts w:hint="cs"/>
          <w:sz w:val="20"/>
          <w:szCs w:val="20"/>
          <w:rtl/>
        </w:rPr>
        <w:t>. נמצא על שוקה ופרסותיה מבפנים טמאה, עד היכן? עד מקום חבק וחבק כלפנים.</w:t>
      </w:r>
      <w:r w:rsidRPr="00D53D6D">
        <w:rPr>
          <w:sz w:val="20"/>
          <w:szCs w:val="20"/>
          <w:rtl/>
        </w:rPr>
        <w:br/>
      </w:r>
      <w:r w:rsidRPr="00D53D6D">
        <w:rPr>
          <w:rFonts w:hint="cs"/>
          <w:sz w:val="20"/>
          <w:szCs w:val="20"/>
          <w:rtl/>
        </w:rPr>
        <w:t xml:space="preserve">5. מהו חבק? </w:t>
      </w:r>
      <w:r>
        <w:rPr>
          <w:rFonts w:hint="cs"/>
          <w:sz w:val="20"/>
          <w:szCs w:val="20"/>
          <w:rtl/>
        </w:rPr>
        <w:t xml:space="preserve">א. </w:t>
      </w:r>
      <w:r w:rsidRPr="00D53D6D">
        <w:rPr>
          <w:rFonts w:hint="cs"/>
          <w:b/>
          <w:bCs/>
          <w:sz w:val="20"/>
          <w:szCs w:val="20"/>
          <w:rtl/>
        </w:rPr>
        <w:t>רש"י</w:t>
      </w:r>
      <w:r w:rsidRPr="00D53D6D">
        <w:rPr>
          <w:rFonts w:hint="cs"/>
          <w:sz w:val="20"/>
          <w:szCs w:val="20"/>
          <w:rtl/>
        </w:rPr>
        <w:t xml:space="preserve">. מקום חיבור השוק לירך. </w:t>
      </w:r>
      <w:r>
        <w:rPr>
          <w:rFonts w:hint="cs"/>
          <w:sz w:val="20"/>
          <w:szCs w:val="20"/>
          <w:rtl/>
        </w:rPr>
        <w:t xml:space="preserve">ב. </w:t>
      </w:r>
      <w:r w:rsidRPr="00D53D6D">
        <w:rPr>
          <w:rFonts w:hint="cs"/>
          <w:b/>
          <w:bCs/>
          <w:sz w:val="20"/>
          <w:szCs w:val="20"/>
          <w:rtl/>
        </w:rPr>
        <w:t>ערוך</w:t>
      </w:r>
      <w:r w:rsidRPr="00D53D6D">
        <w:rPr>
          <w:rFonts w:hint="cs"/>
          <w:sz w:val="20"/>
          <w:szCs w:val="20"/>
          <w:rtl/>
        </w:rPr>
        <w:t>. מקום קשירת הלולאות של הנעל.</w:t>
      </w:r>
      <w:r>
        <w:rPr>
          <w:rFonts w:hint="cs"/>
          <w:sz w:val="20"/>
          <w:szCs w:val="20"/>
          <w:rtl/>
        </w:rPr>
        <w:t xml:space="preserve"> ג.</w:t>
      </w:r>
      <w:r w:rsidRPr="00D53D6D">
        <w:rPr>
          <w:rFonts w:hint="cs"/>
          <w:sz w:val="20"/>
          <w:szCs w:val="20"/>
          <w:rtl/>
        </w:rPr>
        <w:t xml:space="preserve"> </w:t>
      </w:r>
      <w:r w:rsidRPr="00D53D6D">
        <w:rPr>
          <w:rFonts w:hint="cs"/>
          <w:b/>
          <w:bCs/>
          <w:sz w:val="20"/>
          <w:szCs w:val="20"/>
          <w:rtl/>
        </w:rPr>
        <w:t>ערוך</w:t>
      </w:r>
      <w:r w:rsidRPr="00D53D6D">
        <w:rPr>
          <w:rFonts w:hint="cs"/>
          <w:sz w:val="20"/>
          <w:szCs w:val="20"/>
          <w:rtl/>
        </w:rPr>
        <w:t>. המקום המכוסה כשכופפת ירכה על שוקה.</w:t>
      </w:r>
      <w:r>
        <w:rPr>
          <w:rFonts w:hint="cs"/>
          <w:sz w:val="20"/>
          <w:szCs w:val="20"/>
          <w:rtl/>
        </w:rPr>
        <w:t xml:space="preserve"> ד.</w:t>
      </w:r>
      <w:r w:rsidRPr="00D53D6D">
        <w:rPr>
          <w:rFonts w:hint="cs"/>
          <w:sz w:val="20"/>
          <w:szCs w:val="20"/>
          <w:rtl/>
        </w:rPr>
        <w:t xml:space="preserve"> </w:t>
      </w:r>
      <w:r w:rsidRPr="00D53D6D">
        <w:rPr>
          <w:rFonts w:hint="cs"/>
          <w:b/>
          <w:bCs/>
          <w:sz w:val="20"/>
          <w:szCs w:val="20"/>
          <w:rtl/>
        </w:rPr>
        <w:t>רמב"ם</w:t>
      </w:r>
      <w:r w:rsidRPr="00D53D6D">
        <w:rPr>
          <w:rFonts w:hint="cs"/>
          <w:sz w:val="20"/>
          <w:szCs w:val="20"/>
          <w:rtl/>
        </w:rPr>
        <w:t xml:space="preserve">. מקום דיבוק הרגליים זו בזו בשעה שעומדת, וכ"פ </w:t>
      </w:r>
      <w:r w:rsidRPr="00D53D6D">
        <w:rPr>
          <w:rFonts w:hint="cs"/>
          <w:b/>
          <w:bCs/>
          <w:sz w:val="20"/>
          <w:szCs w:val="20"/>
          <w:rtl/>
        </w:rPr>
        <w:t>המחבר</w:t>
      </w:r>
      <w:r w:rsidRPr="00D53D6D">
        <w:rPr>
          <w:rFonts w:hint="cs"/>
          <w:sz w:val="20"/>
          <w:szCs w:val="20"/>
          <w:rtl/>
        </w:rPr>
        <w:t>.</w:t>
      </w:r>
      <w:r w:rsidRPr="00D53D6D">
        <w:rPr>
          <w:sz w:val="20"/>
          <w:szCs w:val="20"/>
          <w:rtl/>
        </w:rPr>
        <w:br/>
      </w:r>
      <w:r w:rsidRPr="00D53D6D">
        <w:rPr>
          <w:rFonts w:hint="cs"/>
          <w:sz w:val="20"/>
          <w:szCs w:val="20"/>
          <w:rtl/>
        </w:rPr>
        <w:t xml:space="preserve">6. </w:t>
      </w:r>
      <w:r w:rsidRPr="00D53D6D">
        <w:rPr>
          <w:rFonts w:hint="cs"/>
          <w:b/>
          <w:bCs/>
          <w:sz w:val="20"/>
          <w:szCs w:val="20"/>
          <w:rtl/>
        </w:rPr>
        <w:t>גמרא</w:t>
      </w:r>
      <w:r w:rsidRPr="00D53D6D">
        <w:rPr>
          <w:rFonts w:hint="cs"/>
          <w:sz w:val="20"/>
          <w:szCs w:val="20"/>
          <w:rtl/>
        </w:rPr>
        <w:t xml:space="preserve">. נמצא על ידיה טמאה אפילו בגב היד. </w:t>
      </w:r>
      <w:r w:rsidRPr="00D53D6D">
        <w:rPr>
          <w:rFonts w:hint="cs"/>
          <w:b/>
          <w:bCs/>
          <w:sz w:val="20"/>
          <w:szCs w:val="20"/>
          <w:rtl/>
        </w:rPr>
        <w:t>טעם</w:t>
      </w:r>
      <w:r w:rsidRPr="00D53D6D">
        <w:rPr>
          <w:rFonts w:hint="cs"/>
          <w:sz w:val="20"/>
          <w:szCs w:val="20"/>
          <w:rtl/>
        </w:rPr>
        <w:t>. כל היד עשויה לגעת באותו מקום.</w:t>
      </w:r>
      <w:r w:rsidRPr="00D53D6D">
        <w:rPr>
          <w:sz w:val="20"/>
          <w:szCs w:val="20"/>
          <w:rtl/>
        </w:rPr>
        <w:br/>
      </w:r>
      <w:r w:rsidRPr="00D53D6D">
        <w:rPr>
          <w:rFonts w:hint="cs"/>
          <w:sz w:val="20"/>
          <w:szCs w:val="20"/>
          <w:rtl/>
        </w:rPr>
        <w:t xml:space="preserve">7. </w:t>
      </w:r>
      <w:r w:rsidRPr="00D53D6D">
        <w:rPr>
          <w:rFonts w:hint="cs"/>
          <w:b/>
          <w:bCs/>
          <w:sz w:val="20"/>
          <w:szCs w:val="20"/>
          <w:rtl/>
        </w:rPr>
        <w:t>רשב"א</w:t>
      </w:r>
      <w:r w:rsidRPr="00D53D6D">
        <w:rPr>
          <w:rFonts w:hint="cs"/>
          <w:sz w:val="20"/>
          <w:szCs w:val="20"/>
          <w:rtl/>
        </w:rPr>
        <w:t xml:space="preserve">. דם על ידה טמא רק אם בדקה באותו מקום ולא שטפה ידיה, בסתמא אינו טמא, </w:t>
      </w:r>
      <w:r w:rsidRPr="00D53D6D">
        <w:rPr>
          <w:rFonts w:hint="cs"/>
          <w:b/>
          <w:bCs/>
          <w:sz w:val="20"/>
          <w:szCs w:val="20"/>
          <w:rtl/>
        </w:rPr>
        <w:t>טעם</w:t>
      </w:r>
      <w:r w:rsidRPr="00D53D6D">
        <w:rPr>
          <w:rFonts w:hint="cs"/>
          <w:sz w:val="20"/>
          <w:szCs w:val="20"/>
          <w:rtl/>
        </w:rPr>
        <w:t xml:space="preserve">. המקום מלוכלך וזהירה לא לגעת בו. </w:t>
      </w:r>
      <w:r w:rsidRPr="00D53D6D">
        <w:rPr>
          <w:rFonts w:hint="cs"/>
          <w:b/>
          <w:bCs/>
          <w:sz w:val="20"/>
          <w:szCs w:val="20"/>
          <w:rtl/>
        </w:rPr>
        <w:t>רמב"ם</w:t>
      </w:r>
      <w:r w:rsidRPr="00D53D6D">
        <w:rPr>
          <w:rFonts w:hint="cs"/>
          <w:sz w:val="20"/>
          <w:szCs w:val="20"/>
          <w:rtl/>
        </w:rPr>
        <w:t xml:space="preserve">. בכל עניין טמאה, וכ"פ </w:t>
      </w:r>
      <w:r w:rsidRPr="00D53D6D">
        <w:rPr>
          <w:rFonts w:hint="cs"/>
          <w:b/>
          <w:bCs/>
          <w:sz w:val="20"/>
          <w:szCs w:val="20"/>
          <w:rtl/>
        </w:rPr>
        <w:t>המחבר</w:t>
      </w:r>
      <w:r w:rsidRPr="00D53D6D">
        <w:rPr>
          <w:rFonts w:hint="cs"/>
          <w:sz w:val="20"/>
          <w:szCs w:val="20"/>
          <w:rtl/>
        </w:rPr>
        <w:t xml:space="preserve">. מבאר </w:t>
      </w:r>
      <w:r w:rsidRPr="00D53D6D">
        <w:rPr>
          <w:rFonts w:hint="cs"/>
          <w:b/>
          <w:bCs/>
          <w:sz w:val="20"/>
          <w:szCs w:val="20"/>
          <w:rtl/>
        </w:rPr>
        <w:t>המגיד משנה</w:t>
      </w:r>
      <w:r w:rsidRPr="00D53D6D">
        <w:rPr>
          <w:rFonts w:hint="cs"/>
          <w:sz w:val="20"/>
          <w:szCs w:val="20"/>
          <w:rtl/>
        </w:rPr>
        <w:t xml:space="preserve">. ייתכן שנגעה במקום אחר </w:t>
      </w:r>
      <w:r w:rsidRPr="00D53D6D">
        <w:rPr>
          <w:rFonts w:hint="cs"/>
          <w:sz w:val="20"/>
          <w:szCs w:val="20"/>
          <w:u w:val="single"/>
          <w:rtl/>
        </w:rPr>
        <w:t>וניתז</w:t>
      </w:r>
      <w:r w:rsidRPr="00D53D6D">
        <w:rPr>
          <w:rFonts w:hint="cs"/>
          <w:sz w:val="20"/>
          <w:szCs w:val="20"/>
          <w:rtl/>
        </w:rPr>
        <w:t xml:space="preserve"> דם על ידה מאותו מקום.</w:t>
      </w:r>
      <w:r w:rsidRPr="00D53D6D">
        <w:rPr>
          <w:rFonts w:hint="cs"/>
          <w:sz w:val="20"/>
          <w:szCs w:val="20"/>
          <w:rtl/>
        </w:rPr>
        <w:br/>
        <w:t xml:space="preserve">8. </w:t>
      </w:r>
      <w:r w:rsidRPr="00D53D6D">
        <w:rPr>
          <w:rFonts w:hint="cs"/>
          <w:b/>
          <w:bCs/>
          <w:sz w:val="20"/>
          <w:szCs w:val="20"/>
          <w:rtl/>
        </w:rPr>
        <w:t>מחבר</w:t>
      </w:r>
      <w:r w:rsidRPr="00D53D6D">
        <w:rPr>
          <w:rFonts w:hint="cs"/>
          <w:sz w:val="20"/>
          <w:szCs w:val="20"/>
          <w:rtl/>
        </w:rPr>
        <w:t xml:space="preserve">. דם הנמצא במקום שייתכן ומקורו במקור טמא. פירוט </w:t>
      </w:r>
      <w:r w:rsidRPr="00D53D6D">
        <w:rPr>
          <w:sz w:val="20"/>
          <w:szCs w:val="20"/>
          <w:rtl/>
        </w:rPr>
        <w:t>–</w:t>
      </w:r>
      <w:r w:rsidRPr="00D53D6D">
        <w:rPr>
          <w:rFonts w:hint="cs"/>
          <w:sz w:val="20"/>
          <w:szCs w:val="20"/>
          <w:rtl/>
        </w:rPr>
        <w:t xml:space="preserve"> עקבה, שוקה ופרסותיה מבפנים, ראש גודלה, גב ידה. נמצא על שוקה ופרסותיה מבחוץ, טהורה.</w:t>
      </w:r>
      <w:r w:rsidRPr="00D53D6D">
        <w:rPr>
          <w:sz w:val="20"/>
          <w:szCs w:val="20"/>
          <w:rtl/>
        </w:rPr>
        <w:br/>
      </w:r>
      <w:r w:rsidRPr="00D53D6D">
        <w:rPr>
          <w:rFonts w:hint="cs"/>
          <w:sz w:val="20"/>
          <w:szCs w:val="20"/>
          <w:rtl/>
        </w:rPr>
        <w:t xml:space="preserve">9. דם הנמצא על גב </w:t>
      </w:r>
      <w:r>
        <w:rPr>
          <w:rFonts w:hint="cs"/>
          <w:sz w:val="20"/>
          <w:szCs w:val="20"/>
          <w:rtl/>
        </w:rPr>
        <w:t>רגל</w:t>
      </w:r>
      <w:r w:rsidRPr="00D53D6D">
        <w:rPr>
          <w:rFonts w:hint="cs"/>
          <w:sz w:val="20"/>
          <w:szCs w:val="20"/>
          <w:rtl/>
        </w:rPr>
        <w:t xml:space="preserve">ה ועל שאר אצבעות רגליה. </w:t>
      </w:r>
      <w:r w:rsidRPr="00D53D6D">
        <w:rPr>
          <w:rFonts w:hint="cs"/>
          <w:b/>
          <w:bCs/>
          <w:sz w:val="20"/>
          <w:szCs w:val="20"/>
          <w:rtl/>
        </w:rPr>
        <w:t>ב"י</w:t>
      </w:r>
      <w:r w:rsidRPr="00D53D6D">
        <w:rPr>
          <w:rFonts w:hint="cs"/>
          <w:sz w:val="20"/>
          <w:szCs w:val="20"/>
          <w:rtl/>
        </w:rPr>
        <w:t xml:space="preserve">. טמא, וכ"פ </w:t>
      </w:r>
      <w:r w:rsidRPr="00D53D6D">
        <w:rPr>
          <w:rFonts w:hint="cs"/>
          <w:b/>
          <w:bCs/>
          <w:sz w:val="20"/>
          <w:szCs w:val="20"/>
          <w:rtl/>
        </w:rPr>
        <w:t>הרמ"א והש"ך</w:t>
      </w:r>
      <w:r w:rsidRPr="00D53D6D">
        <w:rPr>
          <w:rFonts w:hint="cs"/>
          <w:sz w:val="20"/>
          <w:szCs w:val="20"/>
          <w:rtl/>
        </w:rPr>
        <w:t xml:space="preserve">. </w:t>
      </w:r>
      <w:r w:rsidRPr="00D53D6D">
        <w:rPr>
          <w:rFonts w:hint="cs"/>
          <w:b/>
          <w:bCs/>
          <w:sz w:val="20"/>
          <w:szCs w:val="20"/>
          <w:rtl/>
        </w:rPr>
        <w:t>ב"ח</w:t>
      </w:r>
      <w:r w:rsidRPr="00D53D6D">
        <w:rPr>
          <w:rFonts w:hint="cs"/>
          <w:sz w:val="20"/>
          <w:szCs w:val="20"/>
          <w:rtl/>
        </w:rPr>
        <w:t xml:space="preserve">. טהור, אך נמצא בגב רגלה כנגד גודלה, טמאה. </w:t>
      </w:r>
      <w:r w:rsidRPr="00D53D6D">
        <w:rPr>
          <w:rFonts w:hint="cs"/>
          <w:b/>
          <w:bCs/>
          <w:sz w:val="20"/>
          <w:szCs w:val="20"/>
          <w:rtl/>
        </w:rPr>
        <w:t>ט"ז</w:t>
      </w:r>
      <w:r w:rsidRPr="00D53D6D">
        <w:rPr>
          <w:rFonts w:hint="cs"/>
          <w:sz w:val="20"/>
          <w:szCs w:val="20"/>
          <w:rtl/>
        </w:rPr>
        <w:t xml:space="preserve">. העיקר </w:t>
      </w:r>
      <w:r w:rsidRPr="00D53D6D">
        <w:rPr>
          <w:rFonts w:hint="cs"/>
          <w:b/>
          <w:bCs/>
          <w:sz w:val="20"/>
          <w:szCs w:val="20"/>
          <w:rtl/>
        </w:rPr>
        <w:t>כב"ח</w:t>
      </w:r>
      <w:r w:rsidRPr="00D53D6D">
        <w:rPr>
          <w:rFonts w:hint="cs"/>
          <w:sz w:val="20"/>
          <w:szCs w:val="20"/>
          <w:rtl/>
        </w:rPr>
        <w:t>, אך אין להקל נגד</w:t>
      </w:r>
      <w:r w:rsidRPr="00D53D6D">
        <w:rPr>
          <w:rFonts w:hint="cs"/>
          <w:b/>
          <w:bCs/>
          <w:sz w:val="20"/>
          <w:szCs w:val="20"/>
          <w:rtl/>
        </w:rPr>
        <w:t xml:space="preserve"> ב"י ורמ"א</w:t>
      </w:r>
      <w:r w:rsidRPr="00D53D6D">
        <w:rPr>
          <w:rFonts w:hint="cs"/>
          <w:sz w:val="20"/>
          <w:szCs w:val="20"/>
          <w:rtl/>
        </w:rPr>
        <w:t xml:space="preserve">, ובשאר האצבעות יש להקל. </w:t>
      </w:r>
      <w:r w:rsidRPr="00D53D6D">
        <w:rPr>
          <w:rFonts w:hint="cs"/>
          <w:sz w:val="20"/>
          <w:szCs w:val="20"/>
          <w:rtl/>
        </w:rPr>
        <w:br/>
        <w:t xml:space="preserve">10. פרטים בנמצא על ידה. </w:t>
      </w:r>
      <w:r w:rsidRPr="00D53D6D">
        <w:rPr>
          <w:rFonts w:hint="cs"/>
          <w:b/>
          <w:bCs/>
          <w:sz w:val="20"/>
          <w:szCs w:val="20"/>
          <w:rtl/>
        </w:rPr>
        <w:t>סד"ט</w:t>
      </w:r>
      <w:r w:rsidRPr="00D53D6D">
        <w:rPr>
          <w:rFonts w:hint="cs"/>
          <w:sz w:val="20"/>
          <w:szCs w:val="20"/>
          <w:rtl/>
        </w:rPr>
        <w:t xml:space="preserve">. אם ברי לה שלא נגעה באותו מקום, טהורה. אף לרמב"ם המטמא בגופה בכל שהוא, בידה מטמא רק בכשיעור. </w:t>
      </w:r>
      <w:r w:rsidRPr="00D53D6D">
        <w:rPr>
          <w:rFonts w:hint="cs"/>
          <w:b/>
          <w:bCs/>
          <w:sz w:val="20"/>
          <w:szCs w:val="20"/>
          <w:rtl/>
        </w:rPr>
        <w:t>חכמ"א</w:t>
      </w:r>
      <w:r w:rsidRPr="00D53D6D">
        <w:rPr>
          <w:rFonts w:hint="cs"/>
          <w:sz w:val="20"/>
          <w:szCs w:val="20"/>
          <w:rtl/>
        </w:rPr>
        <w:t>. נמצא על גב ידה למעלה מפרקי אצבעות מקלים בצירוף סברה.</w:t>
      </w:r>
      <w:r>
        <w:rPr>
          <w:rFonts w:hint="cs"/>
          <w:sz w:val="20"/>
          <w:szCs w:val="20"/>
          <w:rtl/>
        </w:rPr>
        <w:br/>
      </w:r>
      <w:r>
        <w:rPr>
          <w:sz w:val="20"/>
          <w:szCs w:val="20"/>
          <w:rtl/>
        </w:rPr>
        <w:br/>
      </w:r>
      <w:r w:rsidRPr="00A06FC3">
        <w:rPr>
          <w:rStyle w:val="10"/>
          <w:rFonts w:hint="cs"/>
          <w:rtl/>
        </w:rPr>
        <w:t>ב. הזדקרה ועברה בשוק של טבחים</w:t>
      </w:r>
      <w:r>
        <w:rPr>
          <w:b/>
          <w:bCs/>
          <w:sz w:val="20"/>
          <w:szCs w:val="20"/>
          <w:rtl/>
        </w:rPr>
        <w:br/>
      </w:r>
      <w:r>
        <w:rPr>
          <w:rFonts w:hint="cs"/>
          <w:sz w:val="20"/>
          <w:szCs w:val="20"/>
          <w:rtl/>
        </w:rPr>
        <w:t xml:space="preserve">11. </w:t>
      </w:r>
      <w:r w:rsidRPr="00EE5791">
        <w:rPr>
          <w:rFonts w:hint="cs"/>
          <w:b/>
          <w:bCs/>
          <w:sz w:val="20"/>
          <w:szCs w:val="20"/>
          <w:rtl/>
        </w:rPr>
        <w:t>גמרא</w:t>
      </w:r>
      <w:r>
        <w:rPr>
          <w:rFonts w:hint="cs"/>
          <w:sz w:val="20"/>
          <w:szCs w:val="20"/>
          <w:rtl/>
        </w:rPr>
        <w:t xml:space="preserve">. </w:t>
      </w:r>
      <w:r w:rsidRPr="00EE5791">
        <w:rPr>
          <w:rFonts w:hint="cs"/>
          <w:sz w:val="20"/>
          <w:szCs w:val="20"/>
          <w:u w:val="single"/>
          <w:rtl/>
        </w:rPr>
        <w:t>תירוץ א</w:t>
      </w:r>
      <w:r>
        <w:rPr>
          <w:rFonts w:hint="cs"/>
          <w:sz w:val="20"/>
          <w:szCs w:val="20"/>
          <w:rtl/>
        </w:rPr>
        <w:t xml:space="preserve"> - נמצא תחת החגור ועברה בשוק של טבחים, על בשרה טמא, על חלוקה טהור.</w:t>
      </w:r>
      <w:r>
        <w:rPr>
          <w:sz w:val="20"/>
          <w:szCs w:val="20"/>
          <w:rtl/>
        </w:rPr>
        <w:br/>
      </w:r>
      <w:r w:rsidRPr="00EE5791">
        <w:rPr>
          <w:rFonts w:hint="cs"/>
          <w:sz w:val="20"/>
          <w:szCs w:val="20"/>
          <w:u w:val="single"/>
          <w:rtl/>
        </w:rPr>
        <w:t>תירוץ ב</w:t>
      </w:r>
      <w:r>
        <w:rPr>
          <w:rFonts w:hint="cs"/>
          <w:sz w:val="20"/>
          <w:szCs w:val="20"/>
          <w:rtl/>
        </w:rPr>
        <w:t xml:space="preserve"> - נמצא מעל החגור והזדקרה, על בשרה טמא ועל חלוקה טהור.</w:t>
      </w:r>
      <w:r>
        <w:rPr>
          <w:sz w:val="20"/>
          <w:szCs w:val="20"/>
          <w:rtl/>
        </w:rPr>
        <w:br/>
      </w:r>
      <w:r>
        <w:rPr>
          <w:rFonts w:hint="cs"/>
          <w:sz w:val="20"/>
          <w:szCs w:val="20"/>
          <w:rtl/>
        </w:rPr>
        <w:t xml:space="preserve">12. </w:t>
      </w:r>
      <w:r w:rsidRPr="00EE5791">
        <w:rPr>
          <w:rFonts w:hint="cs"/>
          <w:b/>
          <w:bCs/>
          <w:sz w:val="20"/>
          <w:szCs w:val="20"/>
          <w:rtl/>
        </w:rPr>
        <w:t>רשב"א</w:t>
      </w:r>
      <w:r>
        <w:rPr>
          <w:rFonts w:hint="cs"/>
          <w:sz w:val="20"/>
          <w:szCs w:val="20"/>
          <w:rtl/>
        </w:rPr>
        <w:t xml:space="preserve">. בתירוץ א אם נמצא </w:t>
      </w:r>
      <w:r w:rsidRPr="004E1BA8">
        <w:rPr>
          <w:rFonts w:hint="cs"/>
          <w:sz w:val="20"/>
          <w:szCs w:val="20"/>
          <w:u w:val="single"/>
          <w:rtl/>
        </w:rPr>
        <w:t>רק</w:t>
      </w:r>
      <w:r>
        <w:rPr>
          <w:rFonts w:hint="cs"/>
          <w:sz w:val="20"/>
          <w:szCs w:val="20"/>
          <w:rtl/>
        </w:rPr>
        <w:t xml:space="preserve"> על בשרה טמא, אם נמצא </w:t>
      </w:r>
      <w:r w:rsidRPr="004E1BA8">
        <w:rPr>
          <w:rFonts w:hint="cs"/>
          <w:sz w:val="20"/>
          <w:szCs w:val="20"/>
          <w:u w:val="single"/>
          <w:rtl/>
        </w:rPr>
        <w:t>גם</w:t>
      </w:r>
      <w:r>
        <w:rPr>
          <w:rFonts w:hint="cs"/>
          <w:sz w:val="20"/>
          <w:szCs w:val="20"/>
          <w:rtl/>
        </w:rPr>
        <w:t xml:space="preserve"> על חלוקה טהור. בתירוץ ב לא עברה בשוק, ואם נמצא על בשרה </w:t>
      </w:r>
      <w:r w:rsidRPr="004E1BA8">
        <w:rPr>
          <w:rFonts w:hint="cs"/>
          <w:sz w:val="20"/>
          <w:szCs w:val="20"/>
          <w:u w:val="single"/>
          <w:rtl/>
        </w:rPr>
        <w:t>וגם</w:t>
      </w:r>
      <w:r>
        <w:rPr>
          <w:rFonts w:hint="cs"/>
          <w:sz w:val="20"/>
          <w:szCs w:val="20"/>
          <w:rtl/>
        </w:rPr>
        <w:t xml:space="preserve"> על חלוקה טמאה, רק אם נמצא על חלוקה </w:t>
      </w:r>
      <w:r w:rsidRPr="004E1BA8">
        <w:rPr>
          <w:rFonts w:hint="cs"/>
          <w:sz w:val="20"/>
          <w:szCs w:val="20"/>
          <w:u w:val="single"/>
          <w:rtl/>
        </w:rPr>
        <w:t>בלבד</w:t>
      </w:r>
      <w:r>
        <w:rPr>
          <w:rFonts w:hint="cs"/>
          <w:sz w:val="20"/>
          <w:szCs w:val="20"/>
          <w:rtl/>
        </w:rPr>
        <w:t xml:space="preserve"> טהורה. </w:t>
      </w:r>
      <w:r w:rsidRPr="004E1BA8">
        <w:rPr>
          <w:rFonts w:hint="cs"/>
          <w:sz w:val="18"/>
          <w:szCs w:val="18"/>
          <w:rtl/>
        </w:rPr>
        <w:t>(בניגוד לדין למטה מהחגור שאם נמצא על חלוקה בלבד טמאה).</w:t>
      </w:r>
      <w:r>
        <w:rPr>
          <w:rFonts w:hint="cs"/>
          <w:sz w:val="18"/>
          <w:szCs w:val="18"/>
          <w:rtl/>
        </w:rPr>
        <w:t xml:space="preserve"> </w:t>
      </w:r>
      <w:r>
        <w:rPr>
          <w:rFonts w:hint="cs"/>
          <w:sz w:val="20"/>
          <w:szCs w:val="20"/>
          <w:rtl/>
        </w:rPr>
        <w:t>ואם הזדקרה ועברה בשוק, על בשרה טמא, על חלוקה ובשרה טהור.</w:t>
      </w:r>
      <w:r>
        <w:rPr>
          <w:sz w:val="20"/>
          <w:szCs w:val="20"/>
          <w:rtl/>
        </w:rPr>
        <w:br/>
      </w:r>
      <w:r w:rsidRPr="00EE5791">
        <w:rPr>
          <w:rFonts w:hint="cs"/>
          <w:b/>
          <w:bCs/>
          <w:sz w:val="20"/>
          <w:szCs w:val="20"/>
          <w:rtl/>
        </w:rPr>
        <w:t>רמב"ם</w:t>
      </w:r>
      <w:r>
        <w:rPr>
          <w:rFonts w:hint="cs"/>
          <w:sz w:val="20"/>
          <w:szCs w:val="20"/>
          <w:rtl/>
        </w:rPr>
        <w:t xml:space="preserve">. בתירוץ א כרשב"א. בתירוץ ב חולק וסובר שהזדקרה ועברה בשוק, אך אם הזדקרה בלבד ונמצא על חלוקה בלבד טמאה, בניגוד לרשב"א שמטהר בכה"ג. </w:t>
      </w:r>
      <w:r w:rsidRPr="00EE5791">
        <w:rPr>
          <w:rFonts w:hint="cs"/>
          <w:b/>
          <w:bCs/>
          <w:sz w:val="20"/>
          <w:szCs w:val="20"/>
          <w:rtl/>
        </w:rPr>
        <w:t>ראב"ד</w:t>
      </w:r>
      <w:r>
        <w:rPr>
          <w:rFonts w:hint="cs"/>
          <w:sz w:val="20"/>
          <w:szCs w:val="20"/>
          <w:rtl/>
        </w:rPr>
        <w:t xml:space="preserve">. בתירוץ א חולק על הרשב"א, וסובר שאפילו אם נמצא על בשרה בלבד טהורה. </w:t>
      </w:r>
      <w:r w:rsidRPr="00C955AC">
        <w:rPr>
          <w:rFonts w:hint="cs"/>
          <w:b/>
          <w:bCs/>
          <w:sz w:val="20"/>
          <w:szCs w:val="20"/>
          <w:rtl/>
        </w:rPr>
        <w:t>טעם</w:t>
      </w:r>
      <w:r>
        <w:rPr>
          <w:rFonts w:hint="cs"/>
          <w:sz w:val="20"/>
          <w:szCs w:val="20"/>
          <w:rtl/>
        </w:rPr>
        <w:t>. כיוון שיש לה במה לתלות.</w:t>
      </w:r>
      <w:r>
        <w:rPr>
          <w:sz w:val="20"/>
          <w:szCs w:val="20"/>
          <w:rtl/>
        </w:rPr>
        <w:br/>
      </w:r>
      <w:r>
        <w:rPr>
          <w:rFonts w:hint="cs"/>
          <w:sz w:val="20"/>
          <w:szCs w:val="20"/>
          <w:rtl/>
        </w:rPr>
        <w:t xml:space="preserve">13. </w:t>
      </w:r>
      <w:r w:rsidRPr="00F842FE">
        <w:rPr>
          <w:rFonts w:hint="cs"/>
          <w:b/>
          <w:bCs/>
          <w:sz w:val="20"/>
          <w:szCs w:val="20"/>
          <w:rtl/>
        </w:rPr>
        <w:t>מחבר</w:t>
      </w:r>
      <w:r>
        <w:rPr>
          <w:rFonts w:hint="cs"/>
          <w:sz w:val="20"/>
          <w:szCs w:val="20"/>
          <w:rtl/>
        </w:rPr>
        <w:t xml:space="preserve">. עברה בשוק והזדקרה. נמצא על בשרה, טמאה. על חלוקה ובשרה, טהורה. </w:t>
      </w:r>
      <w:r w:rsidRPr="00F842FE">
        <w:rPr>
          <w:rFonts w:hint="cs"/>
          <w:b/>
          <w:bCs/>
          <w:sz w:val="20"/>
          <w:szCs w:val="20"/>
          <w:rtl/>
        </w:rPr>
        <w:t>כרשב"א ורמב"ם</w:t>
      </w:r>
      <w:r>
        <w:rPr>
          <w:rFonts w:hint="cs"/>
          <w:sz w:val="20"/>
          <w:szCs w:val="20"/>
          <w:rtl/>
        </w:rPr>
        <w:t>.</w:t>
      </w:r>
    </w:p>
    <w:p w:rsidR="00620060" w:rsidRDefault="00620060" w:rsidP="00620060">
      <w:pPr>
        <w:rPr>
          <w:sz w:val="20"/>
          <w:szCs w:val="20"/>
          <w:rtl/>
        </w:rPr>
      </w:pPr>
      <w:r w:rsidRPr="00F842FE">
        <w:rPr>
          <w:rStyle w:val="10"/>
          <w:rFonts w:hint="cs"/>
          <w:rtl/>
        </w:rPr>
        <w:lastRenderedPageBreak/>
        <w:t>ג. תליית הכתם במכה</w:t>
      </w:r>
      <w:r>
        <w:rPr>
          <w:rFonts w:hint="cs"/>
          <w:sz w:val="20"/>
          <w:szCs w:val="20"/>
          <w:rtl/>
        </w:rPr>
        <w:br/>
        <w:t xml:space="preserve">14. </w:t>
      </w:r>
      <w:r w:rsidRPr="00EE5791">
        <w:rPr>
          <w:rFonts w:hint="cs"/>
          <w:b/>
          <w:bCs/>
          <w:sz w:val="20"/>
          <w:szCs w:val="20"/>
          <w:rtl/>
        </w:rPr>
        <w:t>גמרא</w:t>
      </w:r>
      <w:r>
        <w:rPr>
          <w:rFonts w:hint="cs"/>
          <w:sz w:val="20"/>
          <w:szCs w:val="20"/>
          <w:rtl/>
        </w:rPr>
        <w:t>. היתה לה מכה בצווארה במקום שיכולה לתלות, תולה. אך אם יש מכה בכתפה אינה תולה.</w:t>
      </w:r>
      <w:r>
        <w:rPr>
          <w:sz w:val="20"/>
          <w:szCs w:val="20"/>
          <w:rtl/>
        </w:rPr>
        <w:br/>
      </w:r>
      <w:r>
        <w:rPr>
          <w:rFonts w:hint="cs"/>
          <w:sz w:val="20"/>
          <w:szCs w:val="20"/>
          <w:rtl/>
        </w:rPr>
        <w:t xml:space="preserve">15. </w:t>
      </w:r>
      <w:r w:rsidRPr="00EE5791">
        <w:rPr>
          <w:rFonts w:hint="cs"/>
          <w:b/>
          <w:bCs/>
          <w:sz w:val="20"/>
          <w:szCs w:val="20"/>
          <w:rtl/>
        </w:rPr>
        <w:t>בית יוסף</w:t>
      </w:r>
      <w:r>
        <w:rPr>
          <w:rFonts w:hint="cs"/>
          <w:sz w:val="20"/>
          <w:szCs w:val="20"/>
          <w:rtl/>
        </w:rPr>
        <w:t>. משמע בגמרא שיש לתלות את הדם במכה אפילו כשנמצא על בשרה בלבד.</w:t>
      </w:r>
      <w:r>
        <w:rPr>
          <w:rFonts w:hint="cs"/>
          <w:sz w:val="20"/>
          <w:szCs w:val="20"/>
          <w:rtl/>
        </w:rPr>
        <w:br/>
        <w:t xml:space="preserve">16. </w:t>
      </w:r>
      <w:r w:rsidRPr="00EE5791">
        <w:rPr>
          <w:rFonts w:hint="cs"/>
          <w:b/>
          <w:bCs/>
          <w:sz w:val="20"/>
          <w:szCs w:val="20"/>
          <w:rtl/>
        </w:rPr>
        <w:t>מחבר</w:t>
      </w:r>
      <w:r>
        <w:rPr>
          <w:rFonts w:hint="cs"/>
          <w:sz w:val="20"/>
          <w:szCs w:val="20"/>
          <w:rtl/>
        </w:rPr>
        <w:t>. אם יש לה מכה בגופה במקום שיכולה לתלות, אפילו אם הדם על בשרה בלבד תולה וטהורה.</w:t>
      </w:r>
      <w:r>
        <w:rPr>
          <w:sz w:val="20"/>
          <w:szCs w:val="20"/>
          <w:rtl/>
        </w:rPr>
        <w:br/>
      </w:r>
      <w:r>
        <w:rPr>
          <w:rFonts w:hint="cs"/>
          <w:sz w:val="20"/>
          <w:szCs w:val="20"/>
          <w:rtl/>
        </w:rPr>
        <w:t xml:space="preserve">17. </w:t>
      </w:r>
      <w:r w:rsidRPr="00B570C9">
        <w:rPr>
          <w:rFonts w:hint="cs"/>
          <w:b/>
          <w:bCs/>
          <w:sz w:val="20"/>
          <w:szCs w:val="20"/>
          <w:rtl/>
        </w:rPr>
        <w:t>ט"ז</w:t>
      </w:r>
      <w:r>
        <w:rPr>
          <w:rFonts w:hint="cs"/>
          <w:sz w:val="20"/>
          <w:szCs w:val="20"/>
          <w:rtl/>
        </w:rPr>
        <w:t xml:space="preserve">. התעסקה בידיה בכתם, תולה את הדם בעסק. </w:t>
      </w:r>
      <w:r w:rsidRPr="00B570C9">
        <w:rPr>
          <w:rFonts w:hint="cs"/>
          <w:b/>
          <w:bCs/>
          <w:sz w:val="20"/>
          <w:szCs w:val="20"/>
          <w:rtl/>
        </w:rPr>
        <w:t>סד"ט</w:t>
      </w:r>
      <w:r>
        <w:rPr>
          <w:rFonts w:hint="cs"/>
          <w:sz w:val="20"/>
          <w:szCs w:val="20"/>
          <w:rtl/>
        </w:rPr>
        <w:t xml:space="preserve">. משמע </w:t>
      </w:r>
      <w:r w:rsidRPr="00B570C9">
        <w:rPr>
          <w:rFonts w:hint="cs"/>
          <w:b/>
          <w:bCs/>
          <w:sz w:val="20"/>
          <w:szCs w:val="20"/>
          <w:rtl/>
        </w:rPr>
        <w:t>בט"ז</w:t>
      </w:r>
      <w:r>
        <w:rPr>
          <w:rFonts w:hint="cs"/>
          <w:sz w:val="20"/>
          <w:szCs w:val="20"/>
          <w:rtl/>
        </w:rPr>
        <w:t xml:space="preserve"> שאם נמצא על שאר גופה אינה תולה. </w:t>
      </w:r>
      <w:r w:rsidRPr="00B570C9">
        <w:rPr>
          <w:rFonts w:hint="cs"/>
          <w:b/>
          <w:bCs/>
          <w:sz w:val="20"/>
          <w:szCs w:val="20"/>
          <w:rtl/>
        </w:rPr>
        <w:t>פרישה</w:t>
      </w:r>
      <w:r>
        <w:rPr>
          <w:rFonts w:hint="cs"/>
          <w:sz w:val="20"/>
          <w:szCs w:val="20"/>
          <w:rtl/>
        </w:rPr>
        <w:t xml:space="preserve">. אפילו אם נמצא על שאר גופה תולה, וכ"פ </w:t>
      </w:r>
      <w:r w:rsidRPr="00B570C9">
        <w:rPr>
          <w:rFonts w:hint="cs"/>
          <w:b/>
          <w:bCs/>
          <w:sz w:val="20"/>
          <w:szCs w:val="20"/>
          <w:rtl/>
        </w:rPr>
        <w:t>הסד"ט</w:t>
      </w:r>
      <w:r>
        <w:rPr>
          <w:rFonts w:hint="cs"/>
          <w:sz w:val="20"/>
          <w:szCs w:val="20"/>
          <w:rtl/>
        </w:rPr>
        <w:t xml:space="preserve">. </w:t>
      </w:r>
      <w:r w:rsidRPr="00B570C9">
        <w:rPr>
          <w:rFonts w:hint="cs"/>
          <w:b/>
          <w:bCs/>
          <w:sz w:val="20"/>
          <w:szCs w:val="20"/>
          <w:rtl/>
        </w:rPr>
        <w:t>חכמ"א</w:t>
      </w:r>
      <w:r>
        <w:rPr>
          <w:rFonts w:hint="cs"/>
          <w:sz w:val="20"/>
          <w:szCs w:val="20"/>
          <w:rtl/>
        </w:rPr>
        <w:t xml:space="preserve">. אפילו אינה יודעת בבירור שידיה התלכלכו מהדם, תולה בעסק שהתעסקה. </w:t>
      </w:r>
    </w:p>
    <w:p w:rsidR="00620060" w:rsidRDefault="00620060" w:rsidP="00620060">
      <w:pPr>
        <w:rPr>
          <w:sz w:val="20"/>
          <w:szCs w:val="20"/>
          <w:rtl/>
        </w:rPr>
      </w:pPr>
      <w:r>
        <w:rPr>
          <w:sz w:val="20"/>
          <w:szCs w:val="20"/>
          <w:rtl/>
        </w:rPr>
        <w:br/>
      </w:r>
      <w:r>
        <w:rPr>
          <w:rFonts w:hint="cs"/>
          <w:b/>
          <w:bCs/>
          <w:sz w:val="20"/>
          <w:szCs w:val="20"/>
          <w:rtl/>
        </w:rPr>
        <w:t xml:space="preserve">סעיף יב </w:t>
      </w:r>
      <w:r>
        <w:rPr>
          <w:b/>
          <w:bCs/>
          <w:sz w:val="20"/>
          <w:szCs w:val="20"/>
          <w:rtl/>
        </w:rPr>
        <w:t>–</w:t>
      </w:r>
      <w:r>
        <w:rPr>
          <w:rFonts w:hint="cs"/>
          <w:b/>
          <w:bCs/>
          <w:sz w:val="20"/>
          <w:szCs w:val="20"/>
          <w:rtl/>
        </w:rPr>
        <w:t xml:space="preserve"> המשך דיני כתם הנמצא על חלוקה ובשרה</w:t>
      </w:r>
      <w:r>
        <w:rPr>
          <w:b/>
          <w:bCs/>
          <w:sz w:val="20"/>
          <w:szCs w:val="20"/>
          <w:rtl/>
        </w:rPr>
        <w:br/>
      </w:r>
      <w:r>
        <w:rPr>
          <w:rFonts w:hint="cs"/>
          <w:b/>
          <w:bCs/>
          <w:sz w:val="20"/>
          <w:szCs w:val="20"/>
          <w:rtl/>
        </w:rPr>
        <w:t>ראתה על חלוקה</w:t>
      </w:r>
      <w:r>
        <w:rPr>
          <w:b/>
          <w:bCs/>
          <w:sz w:val="20"/>
          <w:szCs w:val="20"/>
          <w:rtl/>
        </w:rPr>
        <w:br/>
      </w:r>
      <w:r>
        <w:rPr>
          <w:rFonts w:hint="cs"/>
          <w:b/>
          <w:bCs/>
          <w:sz w:val="20"/>
          <w:szCs w:val="20"/>
          <w:rtl/>
        </w:rPr>
        <w:t xml:space="preserve">משנה </w:t>
      </w:r>
      <w:r>
        <w:rPr>
          <w:rFonts w:hint="cs"/>
          <w:sz w:val="20"/>
          <w:szCs w:val="20"/>
          <w:rtl/>
        </w:rPr>
        <w:t>נדה (נז:) "</w:t>
      </w:r>
      <w:r w:rsidRPr="00112878">
        <w:rPr>
          <w:rFonts w:cs="Arial"/>
          <w:sz w:val="20"/>
          <w:szCs w:val="20"/>
          <w:rtl/>
        </w:rPr>
        <w:t xml:space="preserve">ראתה על חלוקה, מן החגור ולמטה </w:t>
      </w:r>
      <w:r>
        <w:rPr>
          <w:rFonts w:cs="Arial"/>
          <w:sz w:val="20"/>
          <w:szCs w:val="20"/>
          <w:rtl/>
        </w:rPr>
        <w:t>- טמאה, מן החגור ולמעלה – טהורה</w:t>
      </w:r>
      <w:r>
        <w:rPr>
          <w:rFonts w:cs="Arial" w:hint="cs"/>
          <w:sz w:val="20"/>
          <w:szCs w:val="20"/>
          <w:rtl/>
        </w:rPr>
        <w:t>".</w:t>
      </w:r>
    </w:p>
    <w:p w:rsidR="00620060" w:rsidRDefault="00620060" w:rsidP="00620060">
      <w:pPr>
        <w:rPr>
          <w:b/>
          <w:bCs/>
          <w:sz w:val="20"/>
          <w:szCs w:val="20"/>
          <w:rtl/>
        </w:rPr>
      </w:pPr>
      <w:r w:rsidRPr="006339B4">
        <w:rPr>
          <w:rFonts w:hint="cs"/>
          <w:b/>
          <w:bCs/>
          <w:sz w:val="20"/>
          <w:szCs w:val="20"/>
          <w:rtl/>
        </w:rPr>
        <w:t>נמצא לצד חוץ</w:t>
      </w:r>
      <w:r>
        <w:rPr>
          <w:sz w:val="20"/>
          <w:szCs w:val="20"/>
          <w:u w:val="single"/>
          <w:rtl/>
        </w:rPr>
        <w:br/>
      </w:r>
      <w:r w:rsidRPr="0041135F">
        <w:rPr>
          <w:rFonts w:hint="cs"/>
          <w:b/>
          <w:bCs/>
          <w:sz w:val="20"/>
          <w:szCs w:val="20"/>
          <w:rtl/>
        </w:rPr>
        <w:t>טור</w:t>
      </w:r>
      <w:r>
        <w:rPr>
          <w:rFonts w:hint="cs"/>
          <w:sz w:val="20"/>
          <w:szCs w:val="20"/>
          <w:rtl/>
        </w:rPr>
        <w:t xml:space="preserve"> </w:t>
      </w:r>
      <w:r>
        <w:rPr>
          <w:sz w:val="20"/>
          <w:szCs w:val="20"/>
          <w:rtl/>
        </w:rPr>
        <w:t>–</w:t>
      </w:r>
      <w:r>
        <w:rPr>
          <w:rFonts w:hint="cs"/>
          <w:sz w:val="20"/>
          <w:szCs w:val="20"/>
          <w:rtl/>
        </w:rPr>
        <w:t xml:space="preserve"> "נמצא מחגור ולמטה טמאה" אפילו אם נמצא לצד חוץ הבגד טמאה, וכ"פ </w:t>
      </w:r>
      <w:r w:rsidRPr="006339B4">
        <w:rPr>
          <w:rFonts w:hint="cs"/>
          <w:b/>
          <w:bCs/>
          <w:sz w:val="20"/>
          <w:szCs w:val="20"/>
          <w:rtl/>
        </w:rPr>
        <w:t>המחבר</w:t>
      </w:r>
      <w:r>
        <w:rPr>
          <w:rFonts w:hint="cs"/>
          <w:sz w:val="20"/>
          <w:szCs w:val="20"/>
          <w:rtl/>
        </w:rPr>
        <w:t>.</w:t>
      </w:r>
      <w:r>
        <w:rPr>
          <w:sz w:val="20"/>
          <w:szCs w:val="20"/>
          <w:rtl/>
        </w:rPr>
        <w:br/>
      </w:r>
      <w:r w:rsidRPr="00112878">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הבגד עשוי להתקפל כלפי פנים, ולכן למרות שכעת הכתם נמצא לצד חוץ ייתכן שהגיע מהמקור.</w:t>
      </w:r>
      <w:r>
        <w:rPr>
          <w:sz w:val="20"/>
          <w:szCs w:val="20"/>
          <w:rtl/>
        </w:rPr>
        <w:br/>
      </w:r>
      <w:r>
        <w:rPr>
          <w:rFonts w:hint="cs"/>
          <w:sz w:val="20"/>
          <w:szCs w:val="20"/>
          <w:rtl/>
        </w:rPr>
        <w:br/>
      </w:r>
      <w:r>
        <w:rPr>
          <w:rFonts w:hint="cs"/>
          <w:b/>
          <w:bCs/>
          <w:sz w:val="20"/>
          <w:szCs w:val="20"/>
          <w:rtl/>
        </w:rPr>
        <w:t>נמצא הכתם בחלק האחורי של החלוק</w:t>
      </w:r>
      <w:r>
        <w:rPr>
          <w:b/>
          <w:bCs/>
          <w:sz w:val="20"/>
          <w:szCs w:val="20"/>
          <w:rtl/>
        </w:rPr>
        <w:br/>
      </w:r>
      <w:r>
        <w:rPr>
          <w:rFonts w:hint="cs"/>
          <w:b/>
          <w:bCs/>
          <w:sz w:val="20"/>
          <w:szCs w:val="20"/>
          <w:rtl/>
        </w:rPr>
        <w:t xml:space="preserve">רשב"א </w:t>
      </w:r>
      <w:r>
        <w:rPr>
          <w:sz w:val="20"/>
          <w:szCs w:val="20"/>
          <w:rtl/>
        </w:rPr>
        <w:t>–</w:t>
      </w:r>
      <w:r>
        <w:rPr>
          <w:rFonts w:hint="cs"/>
          <w:sz w:val="20"/>
          <w:szCs w:val="20"/>
          <w:rtl/>
        </w:rPr>
        <w:t xml:space="preserve"> אפילו אם הכתם נמצא על החלוק בחלקו האחורי, טמא, וכ"פ </w:t>
      </w:r>
      <w:r w:rsidRPr="00D8018C">
        <w:rPr>
          <w:rFonts w:hint="cs"/>
          <w:b/>
          <w:bCs/>
          <w:sz w:val="20"/>
          <w:szCs w:val="20"/>
          <w:rtl/>
        </w:rPr>
        <w:t>הרמ"א</w:t>
      </w:r>
      <w:r>
        <w:rPr>
          <w:rFonts w:hint="cs"/>
          <w:sz w:val="20"/>
          <w:szCs w:val="20"/>
          <w:rtl/>
        </w:rPr>
        <w:t>.</w:t>
      </w:r>
      <w:r>
        <w:rPr>
          <w:sz w:val="20"/>
          <w:szCs w:val="20"/>
          <w:rtl/>
        </w:rPr>
        <w:br/>
      </w:r>
      <w:r w:rsidRPr="00D8018C">
        <w:rPr>
          <w:rFonts w:hint="cs"/>
          <w:b/>
          <w:bCs/>
          <w:sz w:val="20"/>
          <w:szCs w:val="20"/>
          <w:rtl/>
        </w:rPr>
        <w:t xml:space="preserve">טעם </w:t>
      </w:r>
      <w:r>
        <w:rPr>
          <w:sz w:val="20"/>
          <w:szCs w:val="20"/>
          <w:rtl/>
        </w:rPr>
        <w:t>–</w:t>
      </w:r>
      <w:r>
        <w:rPr>
          <w:rFonts w:hint="cs"/>
          <w:sz w:val="20"/>
          <w:szCs w:val="20"/>
          <w:rtl/>
        </w:rPr>
        <w:t xml:space="preserve"> החלוק עשוי להתהפך והחלק הקדמי מגיע לאחוריה של האשה.</w:t>
      </w:r>
    </w:p>
    <w:p w:rsidR="00620060" w:rsidRDefault="00620060" w:rsidP="00620060">
      <w:pPr>
        <w:rPr>
          <w:b/>
          <w:bCs/>
          <w:sz w:val="20"/>
          <w:szCs w:val="20"/>
          <w:rtl/>
        </w:rPr>
      </w:pPr>
      <w:r>
        <w:rPr>
          <w:rFonts w:hint="cs"/>
          <w:b/>
          <w:bCs/>
          <w:sz w:val="20"/>
          <w:szCs w:val="20"/>
          <w:rtl/>
        </w:rPr>
        <w:t>דין מקום החגור עצמו</w:t>
      </w:r>
      <w:r>
        <w:rPr>
          <w:rFonts w:hint="cs"/>
          <w:b/>
          <w:bCs/>
          <w:sz w:val="20"/>
          <w:szCs w:val="20"/>
          <w:rtl/>
        </w:rPr>
        <w:br/>
        <w:t xml:space="preserve">ראב"ד </w:t>
      </w:r>
      <w:r>
        <w:rPr>
          <w:sz w:val="20"/>
          <w:szCs w:val="20"/>
          <w:rtl/>
        </w:rPr>
        <w:t>–</w:t>
      </w:r>
      <w:r>
        <w:rPr>
          <w:rFonts w:hint="cs"/>
          <w:sz w:val="20"/>
          <w:szCs w:val="20"/>
          <w:rtl/>
        </w:rPr>
        <w:t xml:space="preserve"> מקום החגור עצמו נידון כלמטה מהחגור, וכ"פ </w:t>
      </w:r>
      <w:r w:rsidRPr="00CE46AE">
        <w:rPr>
          <w:rFonts w:hint="cs"/>
          <w:b/>
          <w:bCs/>
          <w:sz w:val="20"/>
          <w:szCs w:val="20"/>
          <w:rtl/>
        </w:rPr>
        <w:t>המחבר</w:t>
      </w:r>
      <w:r>
        <w:rPr>
          <w:rFonts w:hint="cs"/>
          <w:sz w:val="20"/>
          <w:szCs w:val="20"/>
          <w:rtl/>
        </w:rPr>
        <w:t>.</w:t>
      </w:r>
      <w:r>
        <w:rPr>
          <w:sz w:val="20"/>
          <w:szCs w:val="20"/>
          <w:rtl/>
        </w:rPr>
        <w:br/>
      </w:r>
      <w:r w:rsidRPr="008B09F8">
        <w:rPr>
          <w:rFonts w:hint="cs"/>
          <w:b/>
          <w:bCs/>
          <w:sz w:val="20"/>
          <w:szCs w:val="20"/>
          <w:rtl/>
        </w:rPr>
        <w:t xml:space="preserve">טעם </w:t>
      </w:r>
      <w:r>
        <w:rPr>
          <w:sz w:val="20"/>
          <w:szCs w:val="20"/>
          <w:rtl/>
        </w:rPr>
        <w:t>–</w:t>
      </w:r>
      <w:r>
        <w:rPr>
          <w:rFonts w:hint="cs"/>
          <w:sz w:val="20"/>
          <w:szCs w:val="20"/>
          <w:rtl/>
        </w:rPr>
        <w:t xml:space="preserve"> לפעמים האשה שוחה מעט ומקום החגור בא כנגד אותו מקום.</w:t>
      </w:r>
    </w:p>
    <w:p w:rsidR="00620060" w:rsidRDefault="00620060" w:rsidP="00620060">
      <w:pPr>
        <w:rPr>
          <w:b/>
          <w:bCs/>
          <w:sz w:val="20"/>
          <w:szCs w:val="20"/>
          <w:rtl/>
        </w:rPr>
      </w:pPr>
      <w:r>
        <w:rPr>
          <w:rFonts w:hint="cs"/>
          <w:b/>
          <w:bCs/>
          <w:sz w:val="20"/>
          <w:szCs w:val="20"/>
          <w:rtl/>
        </w:rPr>
        <w:t>עברה בשוק של טבחים</w:t>
      </w:r>
      <w:r>
        <w:rPr>
          <w:b/>
          <w:bCs/>
          <w:sz w:val="20"/>
          <w:szCs w:val="20"/>
          <w:rtl/>
        </w:rPr>
        <w:br/>
      </w:r>
      <w:r>
        <w:rPr>
          <w:rFonts w:hint="cs"/>
          <w:sz w:val="20"/>
          <w:szCs w:val="20"/>
          <w:rtl/>
        </w:rPr>
        <w:t xml:space="preserve">מבואר לעיל, ע"פ </w:t>
      </w:r>
      <w:r w:rsidRPr="00E248B7">
        <w:rPr>
          <w:rFonts w:hint="cs"/>
          <w:b/>
          <w:bCs/>
          <w:sz w:val="20"/>
          <w:szCs w:val="20"/>
          <w:rtl/>
        </w:rPr>
        <w:t>הרשב"א והרמב"ם</w:t>
      </w:r>
      <w:r>
        <w:rPr>
          <w:rFonts w:hint="cs"/>
          <w:sz w:val="20"/>
          <w:szCs w:val="20"/>
          <w:rtl/>
        </w:rPr>
        <w:t xml:space="preserve">, שאם עברה בשוק של טבחים ונמצא עליה כתם, אם נמצא רק על בשרה טמאה, אך אם נמצא על חלוקה או על בשרה וגם על חלוקה, טהורה, וכ"פ </w:t>
      </w:r>
      <w:r w:rsidRPr="002B1531">
        <w:rPr>
          <w:rFonts w:hint="cs"/>
          <w:b/>
          <w:bCs/>
          <w:sz w:val="20"/>
          <w:szCs w:val="20"/>
          <w:rtl/>
        </w:rPr>
        <w:t>המחבר</w:t>
      </w:r>
      <w:r>
        <w:rPr>
          <w:rFonts w:hint="cs"/>
          <w:sz w:val="20"/>
          <w:szCs w:val="20"/>
          <w:rtl/>
        </w:rPr>
        <w:t xml:space="preserve"> כאן.</w:t>
      </w:r>
      <w:r>
        <w:rPr>
          <w:rFonts w:hint="cs"/>
          <w:b/>
          <w:bCs/>
          <w:sz w:val="20"/>
          <w:szCs w:val="20"/>
          <w:rtl/>
        </w:rPr>
        <w:br/>
      </w:r>
      <w:r w:rsidRPr="001C3B9B">
        <w:rPr>
          <w:rFonts w:hint="cs"/>
          <w:sz w:val="20"/>
          <w:szCs w:val="20"/>
          <w:rtl/>
        </w:rPr>
        <w:t>מוסיף</w:t>
      </w:r>
      <w:r>
        <w:rPr>
          <w:rFonts w:hint="cs"/>
          <w:b/>
          <w:bCs/>
          <w:sz w:val="20"/>
          <w:szCs w:val="20"/>
          <w:rtl/>
        </w:rPr>
        <w:t xml:space="preserve"> הטור </w:t>
      </w:r>
      <w:r>
        <w:rPr>
          <w:sz w:val="20"/>
          <w:szCs w:val="20"/>
          <w:rtl/>
        </w:rPr>
        <w:t>–</w:t>
      </w:r>
      <w:r>
        <w:rPr>
          <w:rFonts w:hint="cs"/>
          <w:sz w:val="20"/>
          <w:szCs w:val="20"/>
          <w:rtl/>
        </w:rPr>
        <w:t xml:space="preserve"> אפילו אם הכתם נמצא על חלוקה לצד פנים בלבד, טהורה, וכ"פ </w:t>
      </w:r>
      <w:r w:rsidRPr="001C3B9B">
        <w:rPr>
          <w:rFonts w:hint="cs"/>
          <w:b/>
          <w:bCs/>
          <w:sz w:val="20"/>
          <w:szCs w:val="20"/>
          <w:rtl/>
        </w:rPr>
        <w:t>המחבר</w:t>
      </w:r>
      <w:r>
        <w:rPr>
          <w:rFonts w:hint="cs"/>
          <w:sz w:val="20"/>
          <w:szCs w:val="20"/>
          <w:rtl/>
        </w:rPr>
        <w:t>.</w:t>
      </w:r>
      <w:r>
        <w:rPr>
          <w:sz w:val="20"/>
          <w:szCs w:val="20"/>
          <w:rtl/>
        </w:rPr>
        <w:br/>
      </w:r>
      <w:r w:rsidRPr="001C3B9B">
        <w:rPr>
          <w:rFonts w:hint="cs"/>
          <w:b/>
          <w:bCs/>
          <w:sz w:val="20"/>
          <w:szCs w:val="20"/>
          <w:rtl/>
        </w:rPr>
        <w:t>טעם</w:t>
      </w:r>
      <w:r>
        <w:rPr>
          <w:rFonts w:hint="cs"/>
          <w:sz w:val="20"/>
          <w:szCs w:val="20"/>
          <w:rtl/>
        </w:rPr>
        <w:t xml:space="preserve"> </w:t>
      </w:r>
      <w:r w:rsidRPr="001C3B9B">
        <w:rPr>
          <w:rFonts w:hint="cs"/>
          <w:sz w:val="18"/>
          <w:szCs w:val="18"/>
          <w:rtl/>
        </w:rPr>
        <w:t>(</w:t>
      </w:r>
      <w:r w:rsidRPr="001C3B9B">
        <w:rPr>
          <w:rFonts w:hint="cs"/>
          <w:b/>
          <w:bCs/>
          <w:sz w:val="18"/>
          <w:szCs w:val="18"/>
          <w:rtl/>
        </w:rPr>
        <w:t>בית יוסף</w:t>
      </w:r>
      <w:r w:rsidRPr="001C3B9B">
        <w:rPr>
          <w:rFonts w:hint="cs"/>
          <w:sz w:val="18"/>
          <w:szCs w:val="18"/>
          <w:rtl/>
        </w:rPr>
        <w:t xml:space="preserve">) </w:t>
      </w:r>
      <w:r>
        <w:rPr>
          <w:sz w:val="20"/>
          <w:szCs w:val="20"/>
          <w:rtl/>
        </w:rPr>
        <w:t>–</w:t>
      </w:r>
      <w:r>
        <w:rPr>
          <w:rFonts w:hint="cs"/>
          <w:sz w:val="20"/>
          <w:szCs w:val="20"/>
          <w:rtl/>
        </w:rPr>
        <w:t xml:space="preserve"> ייתכן שהדם ניתז מבין רגליה כלפי פנים </w:t>
      </w:r>
      <w:r w:rsidRPr="000356B8">
        <w:rPr>
          <w:rFonts w:hint="cs"/>
          <w:sz w:val="18"/>
          <w:szCs w:val="18"/>
          <w:rtl/>
        </w:rPr>
        <w:t>(ואין לומר שאם מקור הדם מעלמא</w:t>
      </w:r>
      <w:r>
        <w:rPr>
          <w:rFonts w:hint="cs"/>
          <w:sz w:val="18"/>
          <w:szCs w:val="18"/>
          <w:rtl/>
        </w:rPr>
        <w:t>, הוא</w:t>
      </w:r>
      <w:r w:rsidRPr="000356B8">
        <w:rPr>
          <w:rFonts w:hint="cs"/>
          <w:sz w:val="18"/>
          <w:szCs w:val="18"/>
          <w:rtl/>
        </w:rPr>
        <w:t xml:space="preserve"> היה צריך להימצא בצד החיצוני של הבגד)</w:t>
      </w:r>
      <w:r>
        <w:rPr>
          <w:rFonts w:hint="cs"/>
          <w:sz w:val="20"/>
          <w:szCs w:val="20"/>
          <w:rtl/>
        </w:rPr>
        <w:t>.</w:t>
      </w:r>
    </w:p>
    <w:p w:rsidR="00620060" w:rsidRDefault="00620060" w:rsidP="00620060">
      <w:pPr>
        <w:rPr>
          <w:sz w:val="20"/>
          <w:szCs w:val="20"/>
          <w:rtl/>
        </w:rPr>
      </w:pPr>
      <w:r>
        <w:rPr>
          <w:rFonts w:hint="cs"/>
          <w:b/>
          <w:bCs/>
          <w:sz w:val="20"/>
          <w:szCs w:val="20"/>
          <w:rtl/>
        </w:rPr>
        <w:t>הזדקרה ונמצא דם מחגור ולמעלה</w:t>
      </w:r>
      <w:r>
        <w:rPr>
          <w:b/>
          <w:bCs/>
          <w:sz w:val="20"/>
          <w:szCs w:val="20"/>
          <w:rtl/>
        </w:rPr>
        <w:br/>
      </w:r>
      <w:r>
        <w:rPr>
          <w:rFonts w:hint="cs"/>
          <w:sz w:val="20"/>
          <w:szCs w:val="20"/>
          <w:rtl/>
        </w:rPr>
        <w:t xml:space="preserve">מבואר לעיל שנחלקו </w:t>
      </w:r>
      <w:r w:rsidRPr="006339B4">
        <w:rPr>
          <w:rFonts w:hint="cs"/>
          <w:b/>
          <w:bCs/>
          <w:sz w:val="20"/>
          <w:szCs w:val="20"/>
          <w:rtl/>
        </w:rPr>
        <w:t>הרמב"ם והרשב"א</w:t>
      </w:r>
      <w:r>
        <w:rPr>
          <w:rFonts w:hint="cs"/>
          <w:sz w:val="20"/>
          <w:szCs w:val="20"/>
          <w:rtl/>
        </w:rPr>
        <w:t xml:space="preserve"> בדין הזדקרה ונמצא כתם מחגור ולמעלה - </w:t>
      </w:r>
      <w:r>
        <w:rPr>
          <w:sz w:val="20"/>
          <w:szCs w:val="20"/>
          <w:rtl/>
        </w:rPr>
        <w:br/>
      </w:r>
      <w:r>
        <w:rPr>
          <w:rFonts w:hint="cs"/>
          <w:sz w:val="20"/>
          <w:szCs w:val="20"/>
          <w:rtl/>
        </w:rPr>
        <w:t xml:space="preserve">א. </w:t>
      </w:r>
      <w:r w:rsidRPr="001C3B9B">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טמאה, אלא אם כן עברה בשוק של טבחים שטהורה, וכ"פ </w:t>
      </w:r>
      <w:r w:rsidRPr="000356B8">
        <w:rPr>
          <w:rFonts w:hint="cs"/>
          <w:b/>
          <w:bCs/>
          <w:sz w:val="20"/>
          <w:szCs w:val="20"/>
          <w:rtl/>
        </w:rPr>
        <w:t>הב"ח</w:t>
      </w:r>
      <w:r>
        <w:rPr>
          <w:rFonts w:hint="cs"/>
          <w:sz w:val="20"/>
          <w:szCs w:val="20"/>
          <w:rtl/>
        </w:rPr>
        <w:t>.</w:t>
      </w:r>
      <w:r>
        <w:rPr>
          <w:rStyle w:val="a5"/>
          <w:sz w:val="20"/>
          <w:szCs w:val="20"/>
          <w:rtl/>
        </w:rPr>
        <w:footnoteReference w:id="304"/>
      </w:r>
      <w:r>
        <w:rPr>
          <w:sz w:val="20"/>
          <w:szCs w:val="20"/>
          <w:rtl/>
        </w:rPr>
        <w:br/>
      </w:r>
      <w:r w:rsidRPr="001C3B9B">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כשהזדקרה חוזר דין למעלה מהחגור להיות כדין למטה מהחגור.</w:t>
      </w:r>
      <w:r>
        <w:rPr>
          <w:rFonts w:hint="cs"/>
          <w:b/>
          <w:bCs/>
          <w:sz w:val="20"/>
          <w:szCs w:val="20"/>
          <w:rtl/>
        </w:rPr>
        <w:br/>
      </w:r>
      <w:r>
        <w:rPr>
          <w:rFonts w:hint="cs"/>
          <w:sz w:val="20"/>
          <w:szCs w:val="20"/>
          <w:rtl/>
        </w:rPr>
        <w:t xml:space="preserve">ב. </w:t>
      </w:r>
      <w:r w:rsidRPr="001C3B9B">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טהורה, אפילו לא עברה בשוק של טבחים, וכ"פ </w:t>
      </w:r>
      <w:r w:rsidRPr="000356B8">
        <w:rPr>
          <w:rFonts w:hint="cs"/>
          <w:b/>
          <w:bCs/>
          <w:sz w:val="20"/>
          <w:szCs w:val="20"/>
          <w:rtl/>
        </w:rPr>
        <w:t>המחבר</w:t>
      </w:r>
      <w:r>
        <w:rPr>
          <w:rFonts w:hint="cs"/>
          <w:sz w:val="20"/>
          <w:szCs w:val="20"/>
          <w:rtl/>
        </w:rPr>
        <w:t>.</w:t>
      </w:r>
      <w:r>
        <w:rPr>
          <w:sz w:val="20"/>
          <w:szCs w:val="20"/>
          <w:rtl/>
        </w:rPr>
        <w:br/>
      </w:r>
      <w:r w:rsidRPr="006339B4">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דרך הדם לזחול על הגוף כשהזדקרה, וכיוון שהדם נמצא על חלוקה בלבד טהורה.</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6339B4">
        <w:rPr>
          <w:rFonts w:cs="Arial"/>
          <w:sz w:val="20"/>
          <w:szCs w:val="20"/>
          <w:rtl/>
        </w:rPr>
        <w:t>נמצא הכתם על חלוקה למטה מהחגור או במקום החגור עצמו, טמאה</w:t>
      </w:r>
      <w:r>
        <w:rPr>
          <w:rFonts w:cs="Arial" w:hint="cs"/>
          <w:sz w:val="20"/>
          <w:szCs w:val="20"/>
          <w:rtl/>
        </w:rPr>
        <w:t>,</w:t>
      </w:r>
      <w:r w:rsidRPr="006339B4">
        <w:rPr>
          <w:rFonts w:cs="Arial"/>
          <w:sz w:val="20"/>
          <w:szCs w:val="20"/>
          <w:rtl/>
        </w:rPr>
        <w:t xml:space="preserve"> אפילו נמצא לצד חוץ </w:t>
      </w:r>
      <w:r w:rsidRPr="006339B4">
        <w:rPr>
          <w:rFonts w:cs="Arial"/>
          <w:sz w:val="18"/>
          <w:szCs w:val="18"/>
          <w:rtl/>
        </w:rPr>
        <w:t>(ואין חילוק בין נמצא בחלוק לפניה או מאחריה או מן הצדדין, מפני שהבגדים חוזרין הנה והנה)</w:t>
      </w:r>
      <w:r w:rsidRPr="006339B4">
        <w:rPr>
          <w:rFonts w:cs="Arial"/>
          <w:sz w:val="20"/>
          <w:szCs w:val="20"/>
          <w:rtl/>
        </w:rPr>
        <w:t>. ואם עברה בשוק של טבחים, טהורה, אפילו נמצא לצד פנים ו</w:t>
      </w:r>
      <w:r w:rsidRPr="000356B8">
        <w:rPr>
          <w:rFonts w:cs="Arial" w:hint="cs"/>
          <w:sz w:val="16"/>
          <w:szCs w:val="16"/>
          <w:rtl/>
        </w:rPr>
        <w:t xml:space="preserve">(גם) </w:t>
      </w:r>
      <w:r w:rsidRPr="006339B4">
        <w:rPr>
          <w:rFonts w:cs="Arial"/>
          <w:sz w:val="20"/>
          <w:szCs w:val="20"/>
          <w:rtl/>
        </w:rPr>
        <w:t>על בשרה. ואם נמצא על חלוקה בלבד, מהחגור ולמעלה, טהורה אפילו נזדקרה והגביהה רגליה, ואפילו לא עברה בשוק של טבחים, שאי</w:t>
      </w:r>
      <w:r>
        <w:rPr>
          <w:rFonts w:cs="Arial"/>
          <w:sz w:val="20"/>
          <w:szCs w:val="20"/>
          <w:rtl/>
        </w:rPr>
        <w:t>לו בא מן המקור היה נמצא על בשרה</w:t>
      </w:r>
      <w:r>
        <w:rPr>
          <w:rFonts w:cs="Arial" w:hint="cs"/>
          <w:sz w:val="20"/>
          <w:szCs w:val="20"/>
          <w:rtl/>
        </w:rPr>
        <w:t>".</w:t>
      </w:r>
    </w:p>
    <w:p w:rsidR="00620060" w:rsidRDefault="00620060" w:rsidP="00620060">
      <w:pPr>
        <w:rPr>
          <w:sz w:val="20"/>
          <w:szCs w:val="20"/>
          <w:rtl/>
        </w:rPr>
      </w:pPr>
      <w:r>
        <w:rPr>
          <w:rFonts w:hint="cs"/>
          <w:sz w:val="20"/>
          <w:szCs w:val="20"/>
          <w:u w:val="single"/>
          <w:rtl/>
        </w:rPr>
        <w:t>נמצא כתם על בגד העליון (פת"ש)</w:t>
      </w:r>
      <w:r>
        <w:rPr>
          <w:sz w:val="20"/>
          <w:szCs w:val="20"/>
          <w:u w:val="single"/>
          <w:rtl/>
        </w:rPr>
        <w:br/>
      </w:r>
      <w:r>
        <w:rPr>
          <w:rFonts w:hint="cs"/>
          <w:sz w:val="20"/>
          <w:szCs w:val="20"/>
          <w:rtl/>
        </w:rPr>
        <w:t xml:space="preserve">א. </w:t>
      </w:r>
      <w:r w:rsidRPr="006D7D15">
        <w:rPr>
          <w:rFonts w:hint="cs"/>
          <w:b/>
          <w:bCs/>
          <w:sz w:val="20"/>
          <w:szCs w:val="20"/>
          <w:rtl/>
        </w:rPr>
        <w:t>סדרי טהרה</w:t>
      </w:r>
      <w:r>
        <w:rPr>
          <w:rFonts w:hint="cs"/>
          <w:sz w:val="20"/>
          <w:szCs w:val="20"/>
          <w:rtl/>
        </w:rPr>
        <w:t xml:space="preserve"> </w:t>
      </w:r>
      <w:r>
        <w:rPr>
          <w:sz w:val="20"/>
          <w:szCs w:val="20"/>
          <w:rtl/>
        </w:rPr>
        <w:t>–</w:t>
      </w:r>
      <w:r>
        <w:rPr>
          <w:rFonts w:hint="cs"/>
          <w:sz w:val="20"/>
          <w:szCs w:val="20"/>
          <w:rtl/>
        </w:rPr>
        <w:t xml:space="preserve"> אע"פ שנאמר בגמרא שאם אין לה במה לתלות את הכתם אינה יכולה לתלות אפילו כשנמצא בחלוק העליון, כוונת הגמרא היא דווקא לכותנות תחתונות שבהן יש חשש שמא התקפלו מעט ובאו כנגד המקור, אך בבגד עליון שלובשות הנשים היום אינן חוששות לכתם הנמצא בהם בשום עניין.</w:t>
      </w:r>
      <w:r>
        <w:rPr>
          <w:sz w:val="20"/>
          <w:szCs w:val="20"/>
          <w:rtl/>
        </w:rPr>
        <w:br/>
      </w:r>
      <w:r w:rsidRPr="006D7D15">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אין אפשרות שדם אותו מקום יגיע לבגד.</w:t>
      </w:r>
      <w:r>
        <w:rPr>
          <w:sz w:val="20"/>
          <w:szCs w:val="20"/>
          <w:rtl/>
        </w:rPr>
        <w:br/>
      </w:r>
      <w:r>
        <w:rPr>
          <w:rFonts w:hint="cs"/>
          <w:sz w:val="20"/>
          <w:szCs w:val="20"/>
          <w:rtl/>
        </w:rPr>
        <w:t xml:space="preserve">ב. </w:t>
      </w:r>
      <w:r w:rsidRPr="00CA3C14">
        <w:rPr>
          <w:rFonts w:hint="cs"/>
          <w:b/>
          <w:bCs/>
          <w:sz w:val="20"/>
          <w:szCs w:val="20"/>
          <w:rtl/>
        </w:rPr>
        <w:t>פנים מאירות</w:t>
      </w:r>
      <w:r>
        <w:rPr>
          <w:rFonts w:hint="cs"/>
          <w:sz w:val="20"/>
          <w:szCs w:val="20"/>
          <w:rtl/>
        </w:rPr>
        <w:t xml:space="preserve"> </w:t>
      </w:r>
      <w:r>
        <w:rPr>
          <w:sz w:val="20"/>
          <w:szCs w:val="20"/>
          <w:rtl/>
        </w:rPr>
        <w:t>–</w:t>
      </w:r>
      <w:r>
        <w:rPr>
          <w:rFonts w:hint="cs"/>
          <w:sz w:val="20"/>
          <w:szCs w:val="20"/>
          <w:rtl/>
        </w:rPr>
        <w:t xml:space="preserve"> יש להקל בכך מחמת טעם נוסף, בעבר הלכו בבגד אחד ארוך מצוואר ועד כף רגל ולכן דם </w:t>
      </w:r>
      <w:r>
        <w:rPr>
          <w:rFonts w:hint="cs"/>
          <w:sz w:val="20"/>
          <w:szCs w:val="20"/>
          <w:rtl/>
        </w:rPr>
        <w:lastRenderedPageBreak/>
        <w:t>יכול להגיע לבגד החיצוני, אך כיום הנשים לובשות בגד תחתון והדם אינו יכול להגיע לבגד החיצוני ללא שיוכתם גם הפנימי.</w:t>
      </w:r>
    </w:p>
    <w:p w:rsidR="00620060" w:rsidRPr="00822402" w:rsidRDefault="00620060" w:rsidP="00620060">
      <w:pPr>
        <w:rPr>
          <w:sz w:val="20"/>
          <w:szCs w:val="20"/>
          <w:rtl/>
        </w:rPr>
      </w:pPr>
      <w:r>
        <w:rPr>
          <w:rFonts w:hint="cs"/>
          <w:sz w:val="20"/>
          <w:szCs w:val="20"/>
          <w:u w:val="single"/>
          <w:rtl/>
        </w:rPr>
        <w:t>נמצא למעלה מהחגור (פת"ש)</w:t>
      </w:r>
      <w:r>
        <w:rPr>
          <w:rFonts w:hint="cs"/>
          <w:sz w:val="20"/>
          <w:szCs w:val="20"/>
          <w:u w:val="single"/>
          <w:rtl/>
        </w:rPr>
        <w:br/>
      </w:r>
      <w:r>
        <w:rPr>
          <w:rFonts w:hint="cs"/>
          <w:sz w:val="20"/>
          <w:szCs w:val="20"/>
          <w:rtl/>
        </w:rPr>
        <w:t>כתם הנמצא על החלוק מחגור ולמעלה, אם המקום שבו נמצא הדם יכול להגיע כנגד אותו מקום אפילו רק ע"י שחייה מרובה, טמאה. אמנם, אם חוגרת עצמה בחגורה, אין אפשרות שהחלק העליון של הבגד יגיע כנגד אותו מקום וטהורה.</w:t>
      </w:r>
    </w:p>
    <w:p w:rsidR="00620060" w:rsidRDefault="00620060" w:rsidP="00620060">
      <w:pPr>
        <w:rPr>
          <w:sz w:val="20"/>
          <w:szCs w:val="20"/>
          <w:rtl/>
        </w:rPr>
      </w:pPr>
      <w:r w:rsidRPr="00BE2368">
        <w:rPr>
          <w:rFonts w:hint="cs"/>
          <w:b/>
          <w:bCs/>
          <w:sz w:val="20"/>
          <w:szCs w:val="20"/>
          <w:rtl/>
        </w:rPr>
        <w:t>סיכום</w:t>
      </w:r>
      <w:r>
        <w:rPr>
          <w:sz w:val="20"/>
          <w:szCs w:val="20"/>
          <w:rtl/>
        </w:rPr>
        <w:br/>
      </w:r>
      <w:r>
        <w:rPr>
          <w:rFonts w:hint="cs"/>
          <w:sz w:val="20"/>
          <w:szCs w:val="20"/>
          <w:rtl/>
        </w:rPr>
        <w:t xml:space="preserve">1. </w:t>
      </w:r>
      <w:r w:rsidRPr="00BE2368">
        <w:rPr>
          <w:rFonts w:hint="cs"/>
          <w:b/>
          <w:bCs/>
          <w:sz w:val="20"/>
          <w:szCs w:val="20"/>
          <w:rtl/>
        </w:rPr>
        <w:t>משנה</w:t>
      </w:r>
      <w:r>
        <w:rPr>
          <w:rFonts w:hint="cs"/>
          <w:sz w:val="20"/>
          <w:szCs w:val="20"/>
          <w:rtl/>
        </w:rPr>
        <w:t>. ראתה על חלוקה - מהחגור ולמטה טמאה, מהחגור ולמעלה טהורה.</w:t>
      </w:r>
      <w:r>
        <w:rPr>
          <w:rFonts w:hint="cs"/>
          <w:sz w:val="20"/>
          <w:szCs w:val="20"/>
          <w:rtl/>
        </w:rPr>
        <w:br/>
        <w:t xml:space="preserve">2. </w:t>
      </w:r>
      <w:r w:rsidRPr="00BE2368">
        <w:rPr>
          <w:rFonts w:hint="cs"/>
          <w:b/>
          <w:bCs/>
          <w:sz w:val="20"/>
          <w:szCs w:val="20"/>
          <w:rtl/>
        </w:rPr>
        <w:t>טור</w:t>
      </w:r>
      <w:r>
        <w:rPr>
          <w:rFonts w:hint="cs"/>
          <w:sz w:val="20"/>
          <w:szCs w:val="20"/>
          <w:rtl/>
        </w:rPr>
        <w:t xml:space="preserve">. מחגור ולמטה טמאה אפילו אם נמצא הכתם לצד חוץ, שמא התקפל פנימה, וכ"פ </w:t>
      </w:r>
      <w:r w:rsidRPr="00BE2368">
        <w:rPr>
          <w:rFonts w:hint="cs"/>
          <w:b/>
          <w:bCs/>
          <w:sz w:val="20"/>
          <w:szCs w:val="20"/>
          <w:rtl/>
        </w:rPr>
        <w:t>המחבר</w:t>
      </w:r>
      <w:r>
        <w:rPr>
          <w:rFonts w:hint="cs"/>
          <w:sz w:val="20"/>
          <w:szCs w:val="20"/>
          <w:rtl/>
        </w:rPr>
        <w:t>.</w:t>
      </w:r>
      <w:r>
        <w:rPr>
          <w:sz w:val="20"/>
          <w:szCs w:val="20"/>
          <w:rtl/>
        </w:rPr>
        <w:br/>
      </w:r>
      <w:r>
        <w:rPr>
          <w:rFonts w:hint="cs"/>
          <w:sz w:val="20"/>
          <w:szCs w:val="20"/>
          <w:rtl/>
        </w:rPr>
        <w:t xml:space="preserve">3. </w:t>
      </w:r>
      <w:r w:rsidRPr="00BE2368">
        <w:rPr>
          <w:rFonts w:hint="cs"/>
          <w:b/>
          <w:bCs/>
          <w:sz w:val="20"/>
          <w:szCs w:val="20"/>
          <w:rtl/>
        </w:rPr>
        <w:t>רשב"א</w:t>
      </w:r>
      <w:r>
        <w:rPr>
          <w:rFonts w:hint="cs"/>
          <w:sz w:val="20"/>
          <w:szCs w:val="20"/>
          <w:rtl/>
        </w:rPr>
        <w:t xml:space="preserve">. אפילו אם הכתם נמצא על חלקו האחורי של החלוק טמאה, עשוי להתהפך, וכ"פ </w:t>
      </w:r>
      <w:r w:rsidRPr="00BE2368">
        <w:rPr>
          <w:rFonts w:hint="cs"/>
          <w:b/>
          <w:bCs/>
          <w:sz w:val="20"/>
          <w:szCs w:val="20"/>
          <w:rtl/>
        </w:rPr>
        <w:t>הרמ"א</w:t>
      </w:r>
      <w:r>
        <w:rPr>
          <w:rFonts w:hint="cs"/>
          <w:sz w:val="20"/>
          <w:szCs w:val="20"/>
          <w:rtl/>
        </w:rPr>
        <w:t>.</w:t>
      </w:r>
      <w:r>
        <w:rPr>
          <w:rFonts w:hint="cs"/>
          <w:sz w:val="20"/>
          <w:szCs w:val="20"/>
          <w:rtl/>
        </w:rPr>
        <w:br/>
        <w:t xml:space="preserve">4. </w:t>
      </w:r>
      <w:r w:rsidRPr="00BE2368">
        <w:rPr>
          <w:rFonts w:hint="cs"/>
          <w:b/>
          <w:bCs/>
          <w:sz w:val="20"/>
          <w:szCs w:val="20"/>
          <w:rtl/>
        </w:rPr>
        <w:t>ראב"ד</w:t>
      </w:r>
      <w:r>
        <w:rPr>
          <w:rFonts w:hint="cs"/>
          <w:sz w:val="20"/>
          <w:szCs w:val="20"/>
          <w:rtl/>
        </w:rPr>
        <w:t xml:space="preserve">. מקום החגור נידון כלמטה מהחגור, וכ"פ </w:t>
      </w:r>
      <w:r w:rsidRPr="00BE2368">
        <w:rPr>
          <w:rFonts w:hint="cs"/>
          <w:b/>
          <w:bCs/>
          <w:sz w:val="20"/>
          <w:szCs w:val="20"/>
          <w:rtl/>
        </w:rPr>
        <w:t>המחבר</w:t>
      </w:r>
      <w:r>
        <w:rPr>
          <w:rFonts w:hint="cs"/>
          <w:sz w:val="20"/>
          <w:szCs w:val="20"/>
          <w:rtl/>
        </w:rPr>
        <w:t>.</w:t>
      </w:r>
      <w:r>
        <w:rPr>
          <w:sz w:val="20"/>
          <w:szCs w:val="20"/>
          <w:rtl/>
        </w:rPr>
        <w:br/>
      </w:r>
      <w:r>
        <w:rPr>
          <w:rFonts w:hint="cs"/>
          <w:sz w:val="20"/>
          <w:szCs w:val="20"/>
          <w:rtl/>
        </w:rPr>
        <w:t xml:space="preserve">5. </w:t>
      </w:r>
      <w:r w:rsidRPr="00834007">
        <w:rPr>
          <w:rFonts w:hint="cs"/>
          <w:b/>
          <w:bCs/>
          <w:sz w:val="20"/>
          <w:szCs w:val="20"/>
          <w:rtl/>
        </w:rPr>
        <w:t>טושו"ע</w:t>
      </w:r>
      <w:r>
        <w:rPr>
          <w:rFonts w:hint="cs"/>
          <w:sz w:val="20"/>
          <w:szCs w:val="20"/>
          <w:rtl/>
        </w:rPr>
        <w:t>. עברה בשוק ונמצא כתם על בשרה לבד טמאה, נמצא</w:t>
      </w:r>
      <w:r w:rsidRPr="00834007">
        <w:rPr>
          <w:rFonts w:hint="cs"/>
          <w:sz w:val="20"/>
          <w:szCs w:val="20"/>
          <w:rtl/>
        </w:rPr>
        <w:t xml:space="preserve"> </w:t>
      </w:r>
      <w:r w:rsidRPr="00834007">
        <w:rPr>
          <w:rFonts w:hint="cs"/>
          <w:sz w:val="20"/>
          <w:szCs w:val="20"/>
          <w:u w:val="single"/>
          <w:rtl/>
        </w:rPr>
        <w:t>גם</w:t>
      </w:r>
      <w:r>
        <w:rPr>
          <w:rFonts w:hint="cs"/>
          <w:sz w:val="20"/>
          <w:szCs w:val="20"/>
          <w:rtl/>
        </w:rPr>
        <w:t xml:space="preserve"> על חלוקה טהורה אפילו נמצא לצד פנים.</w:t>
      </w:r>
      <w:r>
        <w:rPr>
          <w:rFonts w:hint="cs"/>
          <w:sz w:val="20"/>
          <w:szCs w:val="20"/>
          <w:rtl/>
        </w:rPr>
        <w:br/>
        <w:t xml:space="preserve">6. הזדקרה ונמצא בחלוקה מחגור ולמעלה. </w:t>
      </w:r>
      <w:r w:rsidRPr="00BE2368">
        <w:rPr>
          <w:rFonts w:hint="cs"/>
          <w:b/>
          <w:bCs/>
          <w:sz w:val="20"/>
          <w:szCs w:val="20"/>
          <w:rtl/>
        </w:rPr>
        <w:t>רמב"ם</w:t>
      </w:r>
      <w:r>
        <w:rPr>
          <w:rFonts w:hint="cs"/>
          <w:sz w:val="20"/>
          <w:szCs w:val="20"/>
          <w:rtl/>
        </w:rPr>
        <w:t xml:space="preserve">. טמאה אא"כ עברה בשוק. </w:t>
      </w:r>
      <w:r w:rsidRPr="00452DF9">
        <w:rPr>
          <w:rFonts w:hint="cs"/>
          <w:b/>
          <w:bCs/>
          <w:sz w:val="20"/>
          <w:szCs w:val="20"/>
          <w:rtl/>
        </w:rPr>
        <w:t>רשב"א</w:t>
      </w:r>
      <w:r>
        <w:rPr>
          <w:rFonts w:hint="cs"/>
          <w:sz w:val="20"/>
          <w:szCs w:val="20"/>
          <w:rtl/>
        </w:rPr>
        <w:t xml:space="preserve">. טהורה, וכ"פ </w:t>
      </w:r>
      <w:r w:rsidRPr="00452DF9">
        <w:rPr>
          <w:rFonts w:hint="cs"/>
          <w:b/>
          <w:bCs/>
          <w:sz w:val="20"/>
          <w:szCs w:val="20"/>
          <w:rtl/>
        </w:rPr>
        <w:t>המחבר</w:t>
      </w:r>
      <w:r>
        <w:rPr>
          <w:rFonts w:hint="cs"/>
          <w:sz w:val="20"/>
          <w:szCs w:val="20"/>
          <w:rtl/>
        </w:rPr>
        <w:t>.</w:t>
      </w:r>
      <w:r>
        <w:rPr>
          <w:rFonts w:hint="cs"/>
          <w:sz w:val="20"/>
          <w:szCs w:val="20"/>
          <w:rtl/>
        </w:rPr>
        <w:br/>
        <w:t xml:space="preserve">7. </w:t>
      </w:r>
      <w:r w:rsidRPr="00DE3DFD">
        <w:rPr>
          <w:rFonts w:hint="cs"/>
          <w:b/>
          <w:bCs/>
          <w:sz w:val="20"/>
          <w:szCs w:val="20"/>
          <w:rtl/>
        </w:rPr>
        <w:t>סד"ט</w:t>
      </w:r>
      <w:r>
        <w:rPr>
          <w:rFonts w:hint="cs"/>
          <w:sz w:val="20"/>
          <w:szCs w:val="20"/>
          <w:rtl/>
        </w:rPr>
        <w:t xml:space="preserve">. אין לחוש לכתם הנמצא בבגד החיצוני. </w:t>
      </w:r>
      <w:r w:rsidRPr="004F35D5">
        <w:rPr>
          <w:rFonts w:hint="cs"/>
          <w:b/>
          <w:bCs/>
          <w:sz w:val="20"/>
          <w:szCs w:val="20"/>
          <w:rtl/>
        </w:rPr>
        <w:t>טעם</w:t>
      </w:r>
      <w:r>
        <w:rPr>
          <w:rFonts w:hint="cs"/>
          <w:sz w:val="20"/>
          <w:szCs w:val="20"/>
          <w:rtl/>
        </w:rPr>
        <w:t xml:space="preserve">. אין בו חשש שמא התקפל והגיע כנגד אותו מקום. </w:t>
      </w:r>
      <w:r>
        <w:rPr>
          <w:sz w:val="20"/>
          <w:szCs w:val="20"/>
          <w:rtl/>
        </w:rPr>
        <w:br/>
      </w:r>
      <w:r>
        <w:rPr>
          <w:rFonts w:hint="cs"/>
          <w:sz w:val="20"/>
          <w:szCs w:val="20"/>
          <w:rtl/>
        </w:rPr>
        <w:t xml:space="preserve">וכ"פ </w:t>
      </w:r>
      <w:r w:rsidRPr="008F4B77">
        <w:rPr>
          <w:rFonts w:hint="cs"/>
          <w:b/>
          <w:bCs/>
          <w:sz w:val="20"/>
          <w:szCs w:val="20"/>
          <w:rtl/>
        </w:rPr>
        <w:t>הפ"מ</w:t>
      </w:r>
      <w:r>
        <w:rPr>
          <w:rFonts w:hint="cs"/>
          <w:sz w:val="20"/>
          <w:szCs w:val="20"/>
          <w:rtl/>
        </w:rPr>
        <w:t xml:space="preserve"> מטעם שכיום הרגילות ללכת בתחתונים ואין חשש שדם אותו מקום יגיע לבגד החיצוני.</w:t>
      </w:r>
      <w:r>
        <w:rPr>
          <w:rFonts w:hint="cs"/>
          <w:sz w:val="20"/>
          <w:szCs w:val="20"/>
          <w:rtl/>
        </w:rPr>
        <w:br/>
        <w:t xml:space="preserve">8. </w:t>
      </w:r>
      <w:r w:rsidRPr="00C955AC">
        <w:rPr>
          <w:rFonts w:hint="cs"/>
          <w:b/>
          <w:bCs/>
          <w:sz w:val="20"/>
          <w:szCs w:val="20"/>
          <w:rtl/>
        </w:rPr>
        <w:t>פת"ש</w:t>
      </w:r>
      <w:r>
        <w:rPr>
          <w:rFonts w:hint="cs"/>
          <w:sz w:val="20"/>
          <w:szCs w:val="20"/>
          <w:rtl/>
        </w:rPr>
        <w:t>. כתם הנמצא מחגור ולמעלה טמא אפילו אם יכול להגיע כנגד אותו מקום רק בשחייה מרובה. אך אם חוגרת בחגורה, טהורה.</w:t>
      </w:r>
    </w:p>
    <w:p w:rsidR="00620060" w:rsidRDefault="00620060" w:rsidP="00620060">
      <w:pPr>
        <w:rPr>
          <w:rFonts w:cs="Arial"/>
          <w:sz w:val="20"/>
          <w:szCs w:val="20"/>
          <w:rtl/>
        </w:rPr>
      </w:pPr>
      <w:r>
        <w:rPr>
          <w:sz w:val="20"/>
          <w:szCs w:val="20"/>
          <w:rtl/>
        </w:rPr>
        <w:br/>
      </w:r>
      <w:r>
        <w:rPr>
          <w:rFonts w:hint="cs"/>
          <w:b/>
          <w:bCs/>
          <w:sz w:val="20"/>
          <w:szCs w:val="20"/>
          <w:rtl/>
        </w:rPr>
        <w:t xml:space="preserve">סעיף יג </w:t>
      </w:r>
      <w:r>
        <w:rPr>
          <w:b/>
          <w:bCs/>
          <w:sz w:val="20"/>
          <w:szCs w:val="20"/>
          <w:rtl/>
        </w:rPr>
        <w:t>–</w:t>
      </w:r>
      <w:r>
        <w:rPr>
          <w:rFonts w:hint="cs"/>
          <w:b/>
          <w:bCs/>
          <w:sz w:val="20"/>
          <w:szCs w:val="20"/>
          <w:rtl/>
        </w:rPr>
        <w:t xml:space="preserve"> כתם שנמצא על השרוול</w:t>
      </w:r>
      <w:r>
        <w:rPr>
          <w:rFonts w:hint="cs"/>
          <w:b/>
          <w:bCs/>
          <w:sz w:val="20"/>
          <w:szCs w:val="20"/>
          <w:rtl/>
        </w:rPr>
        <w:br/>
        <w:t>מקור הדין</w:t>
      </w:r>
      <w:r>
        <w:rPr>
          <w:b/>
          <w:bCs/>
          <w:sz w:val="20"/>
          <w:szCs w:val="20"/>
          <w:rtl/>
        </w:rPr>
        <w:br/>
      </w:r>
      <w:r>
        <w:rPr>
          <w:rFonts w:hint="cs"/>
          <w:b/>
          <w:bCs/>
          <w:sz w:val="20"/>
          <w:szCs w:val="20"/>
          <w:rtl/>
        </w:rPr>
        <w:t xml:space="preserve">משנה </w:t>
      </w:r>
      <w:r>
        <w:rPr>
          <w:rFonts w:hint="cs"/>
          <w:sz w:val="20"/>
          <w:szCs w:val="20"/>
          <w:rtl/>
        </w:rPr>
        <w:t xml:space="preserve">נדה (נז:) </w:t>
      </w:r>
      <w:r>
        <w:rPr>
          <w:rFonts w:cs="Arial" w:hint="cs"/>
          <w:sz w:val="20"/>
          <w:szCs w:val="20"/>
          <w:rtl/>
        </w:rPr>
        <w:t>"</w:t>
      </w:r>
      <w:r w:rsidRPr="00623D21">
        <w:rPr>
          <w:rFonts w:cs="Arial"/>
          <w:sz w:val="20"/>
          <w:szCs w:val="20"/>
          <w:rtl/>
        </w:rPr>
        <w:t xml:space="preserve">ראתה על בית יד של חלוק, אם מגיע כנגד בית התורפה - טמאה, ואם לאו </w:t>
      </w:r>
      <w:r>
        <w:rPr>
          <w:rFonts w:cs="Arial"/>
          <w:sz w:val="20"/>
          <w:szCs w:val="20"/>
          <w:rtl/>
        </w:rPr>
        <w:t>–</w:t>
      </w:r>
      <w:r w:rsidRPr="00623D21">
        <w:rPr>
          <w:rFonts w:cs="Arial"/>
          <w:sz w:val="20"/>
          <w:szCs w:val="20"/>
          <w:rtl/>
        </w:rPr>
        <w:t xml:space="preserve"> טהורה</w:t>
      </w:r>
      <w:r>
        <w:rPr>
          <w:rFonts w:cs="Arial" w:hint="cs"/>
          <w:sz w:val="20"/>
          <w:szCs w:val="20"/>
          <w:rtl/>
        </w:rPr>
        <w:t>".</w:t>
      </w:r>
      <w:r>
        <w:rPr>
          <w:rFonts w:cs="Arial"/>
          <w:sz w:val="20"/>
          <w:szCs w:val="20"/>
          <w:rtl/>
        </w:rPr>
        <w:br/>
      </w:r>
      <w:r w:rsidRPr="00623D21">
        <w:rPr>
          <w:rFonts w:cs="Arial" w:hint="cs"/>
          <w:b/>
          <w:bCs/>
          <w:sz w:val="20"/>
          <w:szCs w:val="20"/>
          <w:rtl/>
        </w:rPr>
        <w:t>רשב"א</w:t>
      </w:r>
      <w:r>
        <w:rPr>
          <w:rFonts w:cs="Arial" w:hint="cs"/>
          <w:sz w:val="20"/>
          <w:szCs w:val="20"/>
          <w:rtl/>
        </w:rPr>
        <w:t xml:space="preserve"> </w:t>
      </w:r>
      <w:r>
        <w:rPr>
          <w:rFonts w:cs="Arial"/>
          <w:sz w:val="20"/>
          <w:szCs w:val="20"/>
          <w:rtl/>
        </w:rPr>
        <w:t>–</w:t>
      </w:r>
      <w:r>
        <w:rPr>
          <w:rFonts w:cs="Arial" w:hint="cs"/>
          <w:sz w:val="20"/>
          <w:szCs w:val="20"/>
          <w:rtl/>
        </w:rPr>
        <w:t xml:space="preserve"> אפילו אם השרוול יכול להגיע כנגד אותו מקום רק אם תשחה הרבה, טמאה. </w:t>
      </w:r>
      <w:r>
        <w:rPr>
          <w:rFonts w:cs="Arial"/>
          <w:sz w:val="20"/>
          <w:szCs w:val="20"/>
          <w:rtl/>
        </w:rPr>
        <w:br/>
      </w:r>
      <w:r>
        <w:rPr>
          <w:rFonts w:cs="Arial" w:hint="cs"/>
          <w:sz w:val="20"/>
          <w:szCs w:val="20"/>
          <w:rtl/>
        </w:rPr>
        <w:t>ואמנם אם אינו יכול להגיע כנגד אותו מקום, טהורה, ואין חוששים שמא נגעה בידה באותו מקום ואחר כך בשרוול, כיוון שאין מחזיקים טומאה ממקום למקום.</w:t>
      </w:r>
      <w:r>
        <w:rPr>
          <w:rFonts w:cs="Arial"/>
          <w:sz w:val="20"/>
          <w:szCs w:val="20"/>
          <w:rtl/>
        </w:rPr>
        <w:br/>
      </w:r>
      <w:r>
        <w:rPr>
          <w:rFonts w:cs="Arial" w:hint="cs"/>
          <w:sz w:val="20"/>
          <w:szCs w:val="20"/>
          <w:rtl/>
        </w:rPr>
        <w:br/>
      </w:r>
      <w:r>
        <w:rPr>
          <w:rFonts w:cs="Arial" w:hint="cs"/>
          <w:b/>
          <w:bCs/>
          <w:sz w:val="20"/>
          <w:szCs w:val="20"/>
          <w:rtl/>
        </w:rPr>
        <w:t>פסיקת הלכה</w:t>
      </w:r>
      <w:r>
        <w:rPr>
          <w:rFonts w:cs="Arial"/>
          <w:b/>
          <w:bCs/>
          <w:sz w:val="20"/>
          <w:szCs w:val="20"/>
          <w:rtl/>
        </w:rPr>
        <w:br/>
      </w:r>
      <w:r>
        <w:rPr>
          <w:rFonts w:cs="Arial" w:hint="cs"/>
          <w:b/>
          <w:bCs/>
          <w:sz w:val="20"/>
          <w:szCs w:val="20"/>
          <w:rtl/>
        </w:rPr>
        <w:t xml:space="preserve">שולחן ערוך </w:t>
      </w:r>
      <w:r>
        <w:rPr>
          <w:rFonts w:cs="Arial"/>
          <w:sz w:val="20"/>
          <w:szCs w:val="20"/>
          <w:rtl/>
        </w:rPr>
        <w:t>–</w:t>
      </w:r>
      <w:r>
        <w:rPr>
          <w:rFonts w:cs="Arial" w:hint="cs"/>
          <w:sz w:val="20"/>
          <w:szCs w:val="20"/>
          <w:rtl/>
        </w:rPr>
        <w:t xml:space="preserve"> "</w:t>
      </w:r>
      <w:r w:rsidRPr="00623D21">
        <w:rPr>
          <w:rFonts w:cs="Arial"/>
          <w:sz w:val="20"/>
          <w:szCs w:val="20"/>
          <w:rtl/>
        </w:rPr>
        <w:t>נמצא על בית יד של חלוקה, אם המקום שנמצא בו הדם בבית יד מגיע עד בית תורפה, טמאה אפילו אינה יכולה להגיע שם אלא אם כן תשחה הרבה, וא</w:t>
      </w:r>
      <w:r>
        <w:rPr>
          <w:rFonts w:cs="Arial"/>
          <w:sz w:val="20"/>
          <w:szCs w:val="20"/>
          <w:rtl/>
        </w:rPr>
        <w:t>ם אינה יכולה ליגע שם כלל, טהורה</w:t>
      </w:r>
      <w:r>
        <w:rPr>
          <w:rFonts w:cs="Arial" w:hint="cs"/>
          <w:sz w:val="20"/>
          <w:szCs w:val="20"/>
          <w:rtl/>
        </w:rPr>
        <w:t>".</w:t>
      </w:r>
    </w:p>
    <w:p w:rsidR="00620060" w:rsidRDefault="00620060" w:rsidP="00620060">
      <w:pPr>
        <w:rPr>
          <w:rFonts w:cs="Arial"/>
          <w:sz w:val="20"/>
          <w:szCs w:val="20"/>
          <w:rtl/>
        </w:rPr>
      </w:pPr>
      <w:r>
        <w:rPr>
          <w:rFonts w:cs="Arial" w:hint="cs"/>
          <w:sz w:val="20"/>
          <w:szCs w:val="20"/>
          <w:u w:val="single"/>
          <w:rtl/>
        </w:rPr>
        <w:t>עד היכן מגיע הבית יד (פת"ש)</w:t>
      </w:r>
      <w:r>
        <w:rPr>
          <w:rFonts w:cs="Arial"/>
          <w:sz w:val="20"/>
          <w:szCs w:val="20"/>
          <w:u w:val="single"/>
          <w:rtl/>
        </w:rPr>
        <w:br/>
      </w:r>
      <w:r w:rsidRPr="0046257A">
        <w:rPr>
          <w:rFonts w:cs="Arial" w:hint="cs"/>
          <w:b/>
          <w:bCs/>
          <w:sz w:val="20"/>
          <w:szCs w:val="20"/>
          <w:rtl/>
        </w:rPr>
        <w:t>חכמת אדם</w:t>
      </w:r>
      <w:r>
        <w:rPr>
          <w:rFonts w:cs="Arial" w:hint="cs"/>
          <w:sz w:val="20"/>
          <w:szCs w:val="20"/>
          <w:rtl/>
        </w:rPr>
        <w:t xml:space="preserve"> </w:t>
      </w:r>
      <w:r>
        <w:rPr>
          <w:rFonts w:cs="Arial"/>
          <w:sz w:val="20"/>
          <w:szCs w:val="20"/>
          <w:rtl/>
        </w:rPr>
        <w:t>–</w:t>
      </w:r>
      <w:r>
        <w:rPr>
          <w:rFonts w:cs="Arial" w:hint="cs"/>
          <w:sz w:val="20"/>
          <w:szCs w:val="20"/>
          <w:rtl/>
        </w:rPr>
        <w:t xml:space="preserve"> "נראה לי </w:t>
      </w:r>
      <w:r w:rsidRPr="0046257A">
        <w:rPr>
          <w:rFonts w:cs="Arial"/>
          <w:sz w:val="20"/>
          <w:szCs w:val="20"/>
          <w:rtl/>
        </w:rPr>
        <w:t>שתשער האשה בעצמה שתשחה הרבה עד שתגע לפי הטבעת שכן דרכם לפעמים למשמש שם לקנח</w:t>
      </w:r>
      <w:r>
        <w:rPr>
          <w:rFonts w:cs="Arial" w:hint="cs"/>
          <w:sz w:val="20"/>
          <w:szCs w:val="20"/>
          <w:rtl/>
        </w:rPr>
        <w:t>,</w:t>
      </w:r>
      <w:r w:rsidRPr="0046257A">
        <w:rPr>
          <w:rFonts w:cs="Arial"/>
          <w:sz w:val="20"/>
          <w:szCs w:val="20"/>
          <w:rtl/>
        </w:rPr>
        <w:t xml:space="preserve"> ועד המקום שמגיע מבית ידה לשם חוששין ולא יותר</w:t>
      </w:r>
      <w:r>
        <w:rPr>
          <w:rFonts w:cs="Arial" w:hint="cs"/>
          <w:sz w:val="20"/>
          <w:szCs w:val="20"/>
          <w:rtl/>
        </w:rPr>
        <w:t>".</w:t>
      </w:r>
    </w:p>
    <w:p w:rsidR="00620060" w:rsidRDefault="00620060" w:rsidP="00620060">
      <w:pPr>
        <w:rPr>
          <w:rFonts w:cs="Arial"/>
          <w:sz w:val="20"/>
          <w:szCs w:val="20"/>
          <w:rtl/>
        </w:rPr>
      </w:pPr>
      <w:r>
        <w:rPr>
          <w:rFonts w:cs="Arial" w:hint="cs"/>
          <w:b/>
          <w:bCs/>
          <w:sz w:val="20"/>
          <w:szCs w:val="20"/>
          <w:rtl/>
        </w:rPr>
        <w:t>סיכום</w:t>
      </w:r>
      <w:r>
        <w:rPr>
          <w:rFonts w:cs="Arial"/>
          <w:b/>
          <w:bCs/>
          <w:sz w:val="20"/>
          <w:szCs w:val="20"/>
          <w:rtl/>
        </w:rPr>
        <w:br/>
      </w:r>
      <w:r>
        <w:rPr>
          <w:rFonts w:cs="Arial" w:hint="cs"/>
          <w:sz w:val="20"/>
          <w:szCs w:val="20"/>
          <w:rtl/>
        </w:rPr>
        <w:t xml:space="preserve">1. </w:t>
      </w:r>
      <w:r w:rsidRPr="0001060C">
        <w:rPr>
          <w:rFonts w:cs="Arial" w:hint="cs"/>
          <w:b/>
          <w:bCs/>
          <w:sz w:val="20"/>
          <w:szCs w:val="20"/>
          <w:rtl/>
        </w:rPr>
        <w:t>משנה</w:t>
      </w:r>
      <w:r>
        <w:rPr>
          <w:rFonts w:cs="Arial" w:hint="cs"/>
          <w:sz w:val="20"/>
          <w:szCs w:val="20"/>
          <w:rtl/>
        </w:rPr>
        <w:t xml:space="preserve">. נמצא כתם על בית יד של חלוקה, אם מגיע כנגד בית התורפה טמאה. </w:t>
      </w:r>
      <w:r w:rsidRPr="0001060C">
        <w:rPr>
          <w:rFonts w:cs="Arial" w:hint="cs"/>
          <w:b/>
          <w:bCs/>
          <w:sz w:val="20"/>
          <w:szCs w:val="20"/>
          <w:rtl/>
        </w:rPr>
        <w:t>רשב"א</w:t>
      </w:r>
      <w:r>
        <w:rPr>
          <w:rFonts w:cs="Arial" w:hint="cs"/>
          <w:sz w:val="20"/>
          <w:szCs w:val="20"/>
          <w:rtl/>
        </w:rPr>
        <w:t>. אפילו אם יגיע רק ע"י שתשחה הרבה, טמאה, אך אם אינה מגעת, טהורה, ואין חוששים שמא הגיע הדם ממקום אחר.</w:t>
      </w:r>
      <w:r>
        <w:rPr>
          <w:rFonts w:cs="Arial"/>
          <w:sz w:val="20"/>
          <w:szCs w:val="20"/>
          <w:rtl/>
        </w:rPr>
        <w:br/>
      </w:r>
      <w:r>
        <w:rPr>
          <w:rFonts w:cs="Arial" w:hint="cs"/>
          <w:sz w:val="20"/>
          <w:szCs w:val="20"/>
          <w:rtl/>
        </w:rPr>
        <w:t xml:space="preserve">2. </w:t>
      </w:r>
      <w:r w:rsidRPr="0001060C">
        <w:rPr>
          <w:rFonts w:cs="Arial" w:hint="cs"/>
          <w:b/>
          <w:bCs/>
          <w:sz w:val="20"/>
          <w:szCs w:val="20"/>
          <w:rtl/>
        </w:rPr>
        <w:t>חכמ"א</w:t>
      </w:r>
      <w:r>
        <w:rPr>
          <w:rFonts w:cs="Arial" w:hint="cs"/>
          <w:sz w:val="20"/>
          <w:szCs w:val="20"/>
          <w:rtl/>
        </w:rPr>
        <w:t>. יש לשער באופן ששוחה הרבה ומגעת לפי הטבעת.</w:t>
      </w:r>
    </w:p>
    <w:p w:rsidR="00620060" w:rsidRDefault="00620060" w:rsidP="00620060">
      <w:pPr>
        <w:rPr>
          <w:rFonts w:cs="Arial"/>
          <w:sz w:val="20"/>
          <w:szCs w:val="20"/>
          <w:rtl/>
        </w:rPr>
      </w:pPr>
      <w:r>
        <w:rPr>
          <w:rFonts w:cs="Arial"/>
          <w:sz w:val="20"/>
          <w:szCs w:val="20"/>
          <w:rtl/>
        </w:rPr>
        <w:br/>
      </w:r>
      <w:r>
        <w:rPr>
          <w:rFonts w:cs="Arial" w:hint="cs"/>
          <w:b/>
          <w:bCs/>
          <w:sz w:val="20"/>
          <w:szCs w:val="20"/>
          <w:rtl/>
        </w:rPr>
        <w:t>סעיף יד - כתם הנמצא בבגד שעשוי להתהפך</w:t>
      </w:r>
      <w:r>
        <w:rPr>
          <w:rFonts w:cs="Arial"/>
          <w:b/>
          <w:bCs/>
          <w:sz w:val="20"/>
          <w:szCs w:val="20"/>
          <w:rtl/>
        </w:rPr>
        <w:br/>
      </w:r>
      <w:r>
        <w:rPr>
          <w:rFonts w:cs="Arial" w:hint="cs"/>
          <w:b/>
          <w:bCs/>
          <w:sz w:val="20"/>
          <w:szCs w:val="20"/>
          <w:rtl/>
        </w:rPr>
        <w:t>מקור הדין</w:t>
      </w:r>
      <w:r>
        <w:rPr>
          <w:rFonts w:cs="Arial"/>
          <w:b/>
          <w:bCs/>
          <w:sz w:val="20"/>
          <w:szCs w:val="20"/>
          <w:rtl/>
        </w:rPr>
        <w:br/>
      </w:r>
      <w:r>
        <w:rPr>
          <w:rFonts w:cs="Arial" w:hint="cs"/>
          <w:b/>
          <w:bCs/>
          <w:sz w:val="20"/>
          <w:szCs w:val="20"/>
          <w:rtl/>
        </w:rPr>
        <w:t xml:space="preserve">משנה </w:t>
      </w:r>
      <w:r>
        <w:rPr>
          <w:rFonts w:cs="Arial" w:hint="cs"/>
          <w:sz w:val="20"/>
          <w:szCs w:val="20"/>
          <w:rtl/>
        </w:rPr>
        <w:t>(שם) "</w:t>
      </w:r>
      <w:r w:rsidRPr="00F34334">
        <w:rPr>
          <w:rFonts w:cs="Arial"/>
          <w:sz w:val="20"/>
          <w:szCs w:val="20"/>
          <w:rtl/>
        </w:rPr>
        <w:t>היתה פושטתו ומתכסה בו בלילה, כל מקום שנמצא בו כתם - טמא</w:t>
      </w:r>
      <w:r>
        <w:rPr>
          <w:rFonts w:cs="Arial"/>
          <w:sz w:val="20"/>
          <w:szCs w:val="20"/>
          <w:rtl/>
        </w:rPr>
        <w:t>ה, מפני שהוא חוזר. וכן בפוליוס</w:t>
      </w:r>
      <w:r>
        <w:rPr>
          <w:rFonts w:cs="Arial" w:hint="cs"/>
          <w:sz w:val="20"/>
          <w:szCs w:val="20"/>
          <w:rtl/>
        </w:rPr>
        <w:t>".</w:t>
      </w:r>
      <w:r>
        <w:rPr>
          <w:rFonts w:cs="Arial"/>
          <w:sz w:val="20"/>
          <w:szCs w:val="20"/>
          <w:rtl/>
        </w:rPr>
        <w:br/>
      </w:r>
      <w:r w:rsidRPr="00F848E6">
        <w:rPr>
          <w:rFonts w:cs="Arial" w:hint="cs"/>
          <w:b/>
          <w:bCs/>
          <w:sz w:val="20"/>
          <w:szCs w:val="20"/>
          <w:rtl/>
        </w:rPr>
        <w:t>רשב"א</w:t>
      </w:r>
      <w:r>
        <w:rPr>
          <w:rFonts w:cs="Arial" w:hint="cs"/>
          <w:sz w:val="20"/>
          <w:szCs w:val="20"/>
          <w:rtl/>
        </w:rPr>
        <w:t xml:space="preserve"> </w:t>
      </w:r>
      <w:r>
        <w:rPr>
          <w:rFonts w:cs="Arial"/>
          <w:sz w:val="20"/>
          <w:szCs w:val="20"/>
          <w:rtl/>
        </w:rPr>
        <w:t>–</w:t>
      </w:r>
      <w:r>
        <w:rPr>
          <w:rFonts w:cs="Arial" w:hint="cs"/>
          <w:sz w:val="20"/>
          <w:szCs w:val="20"/>
          <w:rtl/>
        </w:rPr>
        <w:t xml:space="preserve"> אפילו אם כסתה רק את ראשה בחלוק, טמאה, משום שהוא עשוי להתהפך ולהגיע כנגד אותו מקום.</w:t>
      </w:r>
      <w:r>
        <w:rPr>
          <w:rFonts w:cs="Arial"/>
          <w:sz w:val="20"/>
          <w:szCs w:val="20"/>
          <w:rtl/>
        </w:rPr>
        <w:br/>
      </w:r>
      <w:r w:rsidRPr="00F848E6">
        <w:rPr>
          <w:rFonts w:cs="Arial" w:hint="cs"/>
          <w:b/>
          <w:bCs/>
          <w:sz w:val="20"/>
          <w:szCs w:val="20"/>
          <w:rtl/>
        </w:rPr>
        <w:t>בית יוסף</w:t>
      </w:r>
      <w:r>
        <w:rPr>
          <w:rFonts w:cs="Arial" w:hint="cs"/>
          <w:sz w:val="20"/>
          <w:szCs w:val="20"/>
          <w:rtl/>
        </w:rPr>
        <w:t xml:space="preserve"> </w:t>
      </w:r>
      <w:r>
        <w:rPr>
          <w:rFonts w:cs="Arial"/>
          <w:sz w:val="20"/>
          <w:szCs w:val="20"/>
          <w:rtl/>
        </w:rPr>
        <w:t>–</w:t>
      </w:r>
      <w:r>
        <w:rPr>
          <w:rFonts w:cs="Arial" w:hint="cs"/>
          <w:sz w:val="20"/>
          <w:szCs w:val="20"/>
          <w:rtl/>
        </w:rPr>
        <w:t xml:space="preserve"> כוונת הרשב"א דווקא אם כיסוי הראש אינו מהודק יפה על ראשה, אך אם מהודק כראוי אינו יכול לבוא כנגד אותו מקום וכתם הנמצא עליו טהור.</w:t>
      </w:r>
    </w:p>
    <w:p w:rsidR="00620060" w:rsidRDefault="00620060" w:rsidP="00620060">
      <w:pPr>
        <w:rPr>
          <w:rFonts w:cs="Arial"/>
          <w:sz w:val="20"/>
          <w:szCs w:val="20"/>
          <w:rtl/>
        </w:rPr>
      </w:pPr>
      <w:r>
        <w:rPr>
          <w:rFonts w:cs="Arial" w:hint="cs"/>
          <w:sz w:val="20"/>
          <w:szCs w:val="20"/>
          <w:u w:val="single"/>
          <w:rtl/>
        </w:rPr>
        <w:t>מהו פוליוס</w:t>
      </w:r>
      <w:r>
        <w:rPr>
          <w:rFonts w:cs="Arial"/>
          <w:sz w:val="20"/>
          <w:szCs w:val="20"/>
          <w:u w:val="single"/>
          <w:rtl/>
        </w:rPr>
        <w:br/>
      </w:r>
      <w:r>
        <w:rPr>
          <w:rFonts w:cs="Arial" w:hint="cs"/>
          <w:sz w:val="20"/>
          <w:szCs w:val="20"/>
          <w:rtl/>
        </w:rPr>
        <w:t xml:space="preserve">א. </w:t>
      </w:r>
      <w:r w:rsidRPr="00F848E6">
        <w:rPr>
          <w:rFonts w:cs="Arial" w:hint="cs"/>
          <w:b/>
          <w:bCs/>
          <w:sz w:val="20"/>
          <w:szCs w:val="20"/>
          <w:rtl/>
        </w:rPr>
        <w:t>רשב"א</w:t>
      </w:r>
      <w:r>
        <w:rPr>
          <w:rFonts w:cs="Arial" w:hint="cs"/>
          <w:sz w:val="20"/>
          <w:szCs w:val="20"/>
          <w:rtl/>
        </w:rPr>
        <w:t xml:space="preserve"> </w:t>
      </w:r>
      <w:r>
        <w:rPr>
          <w:rFonts w:cs="Arial"/>
          <w:sz w:val="20"/>
          <w:szCs w:val="20"/>
          <w:rtl/>
        </w:rPr>
        <w:t>–</w:t>
      </w:r>
      <w:r>
        <w:rPr>
          <w:rFonts w:cs="Arial" w:hint="cs"/>
          <w:sz w:val="20"/>
          <w:szCs w:val="20"/>
          <w:rtl/>
        </w:rPr>
        <w:t xml:space="preserve"> מעפורת, כלומר מטפחת לעיטוף הראש או הצוואר.</w:t>
      </w:r>
      <w:r>
        <w:rPr>
          <w:rFonts w:cs="Arial" w:hint="cs"/>
          <w:sz w:val="20"/>
          <w:szCs w:val="20"/>
          <w:rtl/>
        </w:rPr>
        <w:br/>
        <w:t xml:space="preserve">ב. </w:t>
      </w:r>
      <w:r w:rsidRPr="00F848E6">
        <w:rPr>
          <w:rFonts w:cs="Arial" w:hint="cs"/>
          <w:b/>
          <w:bCs/>
          <w:sz w:val="20"/>
          <w:szCs w:val="20"/>
          <w:rtl/>
        </w:rPr>
        <w:t>רמב"ם</w:t>
      </w:r>
      <w:r>
        <w:rPr>
          <w:rFonts w:cs="Arial" w:hint="cs"/>
          <w:sz w:val="20"/>
          <w:szCs w:val="20"/>
          <w:rtl/>
        </w:rPr>
        <w:t xml:space="preserve"> </w:t>
      </w:r>
      <w:r>
        <w:rPr>
          <w:rFonts w:cs="Arial"/>
          <w:sz w:val="20"/>
          <w:szCs w:val="20"/>
          <w:rtl/>
        </w:rPr>
        <w:t>–</w:t>
      </w:r>
      <w:r>
        <w:rPr>
          <w:rFonts w:cs="Arial" w:hint="cs"/>
          <w:sz w:val="20"/>
          <w:szCs w:val="20"/>
          <w:rtl/>
        </w:rPr>
        <w:t xml:space="preserve"> אזור, חגורה.</w:t>
      </w:r>
    </w:p>
    <w:p w:rsidR="00620060" w:rsidRDefault="00620060" w:rsidP="00620060">
      <w:pPr>
        <w:rPr>
          <w:rFonts w:cs="Arial"/>
          <w:sz w:val="20"/>
          <w:szCs w:val="20"/>
          <w:rtl/>
        </w:rPr>
      </w:pPr>
      <w:r>
        <w:rPr>
          <w:rFonts w:cs="Arial" w:hint="cs"/>
          <w:b/>
          <w:bCs/>
          <w:sz w:val="20"/>
          <w:szCs w:val="20"/>
          <w:rtl/>
        </w:rPr>
        <w:lastRenderedPageBreak/>
        <w:t>פסיקת הלכה</w:t>
      </w:r>
      <w:r>
        <w:rPr>
          <w:rFonts w:cs="Arial"/>
          <w:b/>
          <w:bCs/>
          <w:sz w:val="20"/>
          <w:szCs w:val="20"/>
          <w:rtl/>
        </w:rPr>
        <w:br/>
      </w:r>
      <w:r>
        <w:rPr>
          <w:rFonts w:cs="Arial" w:hint="cs"/>
          <w:b/>
          <w:bCs/>
          <w:sz w:val="20"/>
          <w:szCs w:val="20"/>
          <w:rtl/>
        </w:rPr>
        <w:t xml:space="preserve">שולחן ערוך </w:t>
      </w:r>
      <w:r>
        <w:rPr>
          <w:rFonts w:cs="Arial"/>
          <w:sz w:val="20"/>
          <w:szCs w:val="20"/>
          <w:rtl/>
        </w:rPr>
        <w:t>–</w:t>
      </w:r>
      <w:r>
        <w:rPr>
          <w:rFonts w:cs="Arial" w:hint="cs"/>
          <w:sz w:val="20"/>
          <w:szCs w:val="20"/>
          <w:rtl/>
        </w:rPr>
        <w:t xml:space="preserve"> "</w:t>
      </w:r>
      <w:r w:rsidRPr="00F848E6">
        <w:rPr>
          <w:rFonts w:cs="Arial"/>
          <w:sz w:val="20"/>
          <w:szCs w:val="20"/>
          <w:rtl/>
        </w:rPr>
        <w:t xml:space="preserve">היתה פושטתו ומתכסה בו בלילה, בכל מקום שימצא בו, טמאה, מפני שהוא </w:t>
      </w:r>
      <w:r w:rsidRPr="00F848E6">
        <w:rPr>
          <w:rFonts w:cs="Arial"/>
          <w:sz w:val="18"/>
          <w:szCs w:val="18"/>
          <w:rtl/>
        </w:rPr>
        <w:t xml:space="preserve">(חוזר) </w:t>
      </w:r>
      <w:r w:rsidRPr="00F848E6">
        <w:rPr>
          <w:rFonts w:cs="Arial"/>
          <w:sz w:val="20"/>
          <w:szCs w:val="20"/>
          <w:rtl/>
        </w:rPr>
        <w:t>הילך והילך. וכן הדין אם נמצא במעפורת שמכסה ראשה או שחוגרת בו ואם קשרה בו ראשה היטב וכשנעורה ג</w:t>
      </w:r>
      <w:r>
        <w:rPr>
          <w:rFonts w:cs="Arial"/>
          <w:sz w:val="20"/>
          <w:szCs w:val="20"/>
          <w:rtl/>
        </w:rPr>
        <w:t>ם כן מצאתו קשור יפה, אינה חוששת</w:t>
      </w:r>
      <w:r>
        <w:rPr>
          <w:rFonts w:cs="Arial" w:hint="cs"/>
          <w:sz w:val="20"/>
          <w:szCs w:val="20"/>
          <w:rtl/>
        </w:rPr>
        <w:t>".</w:t>
      </w:r>
    </w:p>
    <w:p w:rsidR="00620060" w:rsidRDefault="00620060" w:rsidP="00620060">
      <w:pPr>
        <w:rPr>
          <w:rFonts w:cs="Arial"/>
          <w:sz w:val="20"/>
          <w:szCs w:val="20"/>
          <w:rtl/>
        </w:rPr>
      </w:pPr>
      <w:r>
        <w:rPr>
          <w:rFonts w:cs="Arial"/>
          <w:sz w:val="20"/>
          <w:szCs w:val="20"/>
          <w:rtl/>
        </w:rPr>
        <w:br/>
      </w:r>
      <w:r>
        <w:rPr>
          <w:rFonts w:cs="Arial" w:hint="cs"/>
          <w:b/>
          <w:bCs/>
          <w:sz w:val="20"/>
          <w:szCs w:val="20"/>
          <w:rtl/>
        </w:rPr>
        <w:t xml:space="preserve">סעיף טו </w:t>
      </w:r>
      <w:r>
        <w:rPr>
          <w:rFonts w:cs="Arial"/>
          <w:b/>
          <w:bCs/>
          <w:sz w:val="20"/>
          <w:szCs w:val="20"/>
          <w:rtl/>
        </w:rPr>
        <w:t>–</w:t>
      </w:r>
      <w:r>
        <w:rPr>
          <w:rFonts w:cs="Arial" w:hint="cs"/>
          <w:b/>
          <w:bCs/>
          <w:sz w:val="20"/>
          <w:szCs w:val="20"/>
          <w:rtl/>
        </w:rPr>
        <w:t xml:space="preserve"> שתי נשים שלבשו חלוק אחד</w:t>
      </w:r>
      <w:r>
        <w:rPr>
          <w:rFonts w:cs="Arial"/>
          <w:b/>
          <w:bCs/>
          <w:sz w:val="20"/>
          <w:szCs w:val="20"/>
          <w:rtl/>
        </w:rPr>
        <w:br/>
      </w:r>
      <w:r>
        <w:rPr>
          <w:rFonts w:cs="Arial" w:hint="cs"/>
          <w:b/>
          <w:bCs/>
          <w:sz w:val="20"/>
          <w:szCs w:val="20"/>
          <w:rtl/>
        </w:rPr>
        <w:t>פסיקת הלכה</w:t>
      </w:r>
      <w:r>
        <w:rPr>
          <w:rFonts w:cs="Arial"/>
          <w:b/>
          <w:bCs/>
          <w:sz w:val="20"/>
          <w:szCs w:val="20"/>
          <w:rtl/>
        </w:rPr>
        <w:br/>
      </w:r>
      <w:r>
        <w:rPr>
          <w:rFonts w:cs="Arial" w:hint="cs"/>
          <w:b/>
          <w:bCs/>
          <w:sz w:val="20"/>
          <w:szCs w:val="20"/>
          <w:rtl/>
        </w:rPr>
        <w:t xml:space="preserve">שולחן ערוך </w:t>
      </w:r>
      <w:r w:rsidRPr="00B0503A">
        <w:rPr>
          <w:rFonts w:cs="Arial" w:hint="cs"/>
          <w:sz w:val="18"/>
          <w:szCs w:val="18"/>
          <w:rtl/>
        </w:rPr>
        <w:t xml:space="preserve">(ע"פ רבינו ירוחם) </w:t>
      </w:r>
      <w:r>
        <w:rPr>
          <w:rFonts w:cs="Arial"/>
          <w:sz w:val="20"/>
          <w:szCs w:val="20"/>
          <w:rtl/>
        </w:rPr>
        <w:t>–</w:t>
      </w:r>
      <w:r>
        <w:rPr>
          <w:rFonts w:cs="Arial" w:hint="cs"/>
          <w:sz w:val="20"/>
          <w:szCs w:val="20"/>
          <w:rtl/>
        </w:rPr>
        <w:t xml:space="preserve"> "</w:t>
      </w:r>
      <w:r w:rsidRPr="00B0503A">
        <w:rPr>
          <w:rFonts w:cs="Arial"/>
          <w:sz w:val="20"/>
          <w:szCs w:val="20"/>
          <w:rtl/>
        </w:rPr>
        <w:t>שתי נשים שכיסו ראשן בחלוק א</w:t>
      </w:r>
      <w:r>
        <w:rPr>
          <w:rFonts w:cs="Arial" w:hint="cs"/>
          <w:sz w:val="20"/>
          <w:szCs w:val="20"/>
          <w:rtl/>
        </w:rPr>
        <w:t>חד</w:t>
      </w:r>
      <w:r w:rsidRPr="00B0503A">
        <w:rPr>
          <w:rFonts w:cs="Arial"/>
          <w:sz w:val="20"/>
          <w:szCs w:val="20"/>
          <w:rtl/>
        </w:rPr>
        <w:t>, שתיהן טמאות. ואם אחת כיסתה והאחרת לא כיסתה, אף על פי ששתיהן לבשו החלוק, ונמצא הכתם למעלה מהחגור, אותה שכיסתה טמאה, והאחרת טהורה</w:t>
      </w:r>
      <w:r>
        <w:rPr>
          <w:rFonts w:cs="Arial" w:hint="cs"/>
          <w:sz w:val="20"/>
          <w:szCs w:val="20"/>
          <w:rtl/>
        </w:rPr>
        <w:t>"</w:t>
      </w:r>
      <w:r w:rsidRPr="00B0503A">
        <w:rPr>
          <w:rFonts w:cs="Arial"/>
          <w:sz w:val="20"/>
          <w:szCs w:val="20"/>
          <w:rtl/>
        </w:rPr>
        <w:t>.</w:t>
      </w:r>
    </w:p>
    <w:p w:rsidR="00620060" w:rsidRDefault="00620060" w:rsidP="00620060">
      <w:pPr>
        <w:rPr>
          <w:rFonts w:cs="Arial"/>
          <w:sz w:val="20"/>
          <w:szCs w:val="20"/>
          <w:rtl/>
        </w:rPr>
      </w:pPr>
      <w:r>
        <w:rPr>
          <w:rFonts w:cs="Arial" w:hint="cs"/>
          <w:sz w:val="20"/>
          <w:szCs w:val="20"/>
          <w:u w:val="single"/>
          <w:rtl/>
        </w:rPr>
        <w:t>הסבר</w:t>
      </w:r>
      <w:r>
        <w:rPr>
          <w:rFonts w:cs="Arial"/>
          <w:sz w:val="20"/>
          <w:szCs w:val="20"/>
          <w:u w:val="single"/>
          <w:rtl/>
        </w:rPr>
        <w:br/>
      </w:r>
      <w:r>
        <w:rPr>
          <w:rFonts w:cs="Arial" w:hint="cs"/>
          <w:sz w:val="20"/>
          <w:szCs w:val="20"/>
          <w:rtl/>
        </w:rPr>
        <w:t>כתם הנמצא על כיסוי ראש, טמא, כאמור לעיל, ולכן שתי הנשים טמאות.</w:t>
      </w:r>
      <w:r>
        <w:rPr>
          <w:rFonts w:cs="Arial"/>
          <w:sz w:val="20"/>
          <w:szCs w:val="20"/>
          <w:rtl/>
        </w:rPr>
        <w:br/>
      </w:r>
      <w:r>
        <w:rPr>
          <w:rFonts w:cs="Arial" w:hint="cs"/>
          <w:sz w:val="20"/>
          <w:szCs w:val="20"/>
          <w:rtl/>
        </w:rPr>
        <w:t>ברם, אם אחת כיסתה את ראשה בחלוק וחברתה לא כיסתה את ראשה אלא לבשה אותו בדרך הרגילה והכתם נמצא למעלה מהחגור, זאת שכיסתה ראשה טמאה וחברתה טהורה.</w:t>
      </w:r>
    </w:p>
    <w:p w:rsidR="00620060" w:rsidRDefault="00620060" w:rsidP="00620060">
      <w:pPr>
        <w:rPr>
          <w:rFonts w:cs="Arial"/>
          <w:sz w:val="20"/>
          <w:szCs w:val="20"/>
          <w:rtl/>
        </w:rPr>
      </w:pPr>
      <w:r>
        <w:rPr>
          <w:rFonts w:cs="Arial"/>
          <w:sz w:val="20"/>
          <w:szCs w:val="20"/>
          <w:rtl/>
        </w:rPr>
        <w:br/>
      </w:r>
      <w:r>
        <w:rPr>
          <w:rFonts w:cs="Arial" w:hint="cs"/>
          <w:b/>
          <w:bCs/>
          <w:sz w:val="20"/>
          <w:szCs w:val="20"/>
          <w:rtl/>
        </w:rPr>
        <w:t xml:space="preserve">סעיף טז </w:t>
      </w:r>
      <w:r>
        <w:rPr>
          <w:rFonts w:cs="Arial"/>
          <w:b/>
          <w:bCs/>
          <w:sz w:val="20"/>
          <w:szCs w:val="20"/>
          <w:rtl/>
        </w:rPr>
        <w:t>–</w:t>
      </w:r>
      <w:r>
        <w:rPr>
          <w:rFonts w:cs="Arial" w:hint="cs"/>
          <w:b/>
          <w:bCs/>
          <w:sz w:val="20"/>
          <w:szCs w:val="20"/>
          <w:rtl/>
        </w:rPr>
        <w:t xml:space="preserve"> תלייה לקולא בחלוק שפושטת כשיש לה מכה</w:t>
      </w:r>
      <w:r>
        <w:rPr>
          <w:rFonts w:cs="Arial"/>
          <w:b/>
          <w:bCs/>
          <w:sz w:val="20"/>
          <w:szCs w:val="20"/>
          <w:rtl/>
        </w:rPr>
        <w:br/>
      </w:r>
      <w:r>
        <w:rPr>
          <w:rFonts w:cs="Arial" w:hint="cs"/>
          <w:b/>
          <w:bCs/>
          <w:sz w:val="20"/>
          <w:szCs w:val="20"/>
          <w:rtl/>
        </w:rPr>
        <w:t>פסיקת הלכה</w:t>
      </w:r>
      <w:r>
        <w:rPr>
          <w:rFonts w:cs="Arial"/>
          <w:b/>
          <w:bCs/>
          <w:sz w:val="20"/>
          <w:szCs w:val="20"/>
          <w:rtl/>
        </w:rPr>
        <w:br/>
      </w:r>
      <w:r>
        <w:rPr>
          <w:rFonts w:cs="Arial" w:hint="cs"/>
          <w:b/>
          <w:bCs/>
          <w:sz w:val="20"/>
          <w:szCs w:val="20"/>
          <w:rtl/>
        </w:rPr>
        <w:t>שולחן ערוך</w:t>
      </w:r>
      <w:r w:rsidRPr="00C76DD6">
        <w:rPr>
          <w:rFonts w:cs="Arial" w:hint="cs"/>
          <w:b/>
          <w:bCs/>
          <w:sz w:val="18"/>
          <w:szCs w:val="18"/>
          <w:rtl/>
        </w:rPr>
        <w:t xml:space="preserve"> </w:t>
      </w:r>
      <w:r w:rsidRPr="00C76DD6">
        <w:rPr>
          <w:rFonts w:cs="Arial" w:hint="cs"/>
          <w:sz w:val="18"/>
          <w:szCs w:val="18"/>
          <w:rtl/>
        </w:rPr>
        <w:t xml:space="preserve">(ע"פ הרשב"א) </w:t>
      </w:r>
      <w:r>
        <w:rPr>
          <w:rFonts w:cs="Arial"/>
          <w:sz w:val="20"/>
          <w:szCs w:val="20"/>
          <w:rtl/>
        </w:rPr>
        <w:t>–</w:t>
      </w:r>
      <w:r>
        <w:rPr>
          <w:rFonts w:cs="Arial" w:hint="cs"/>
          <w:sz w:val="20"/>
          <w:szCs w:val="20"/>
          <w:rtl/>
        </w:rPr>
        <w:t xml:space="preserve"> "</w:t>
      </w:r>
      <w:r w:rsidRPr="00C76DD6">
        <w:rPr>
          <w:rFonts w:cs="Arial"/>
          <w:sz w:val="20"/>
          <w:szCs w:val="20"/>
          <w:rtl/>
        </w:rPr>
        <w:t>אם יש לה מכה בצ</w:t>
      </w:r>
      <w:r>
        <w:rPr>
          <w:rFonts w:cs="Arial" w:hint="cs"/>
          <w:sz w:val="20"/>
          <w:szCs w:val="20"/>
          <w:rtl/>
        </w:rPr>
        <w:t>ו</w:t>
      </w:r>
      <w:r w:rsidRPr="00C76DD6">
        <w:rPr>
          <w:rFonts w:cs="Arial"/>
          <w:sz w:val="20"/>
          <w:szCs w:val="20"/>
          <w:rtl/>
        </w:rPr>
        <w:t>וארה ונמצא הכתם בחלוק אפילו למטה מהחגור שאי אפשר ליגע שם מהמכה, אם פושטתו ומתכסה בו תולה במכתה, שאני אומר נתהפך ובא לו שם</w:t>
      </w:r>
      <w:r>
        <w:rPr>
          <w:rFonts w:cs="Arial" w:hint="cs"/>
          <w:sz w:val="20"/>
          <w:szCs w:val="20"/>
          <w:rtl/>
        </w:rPr>
        <w:t>".</w:t>
      </w:r>
      <w:r>
        <w:rPr>
          <w:rFonts w:cs="Arial"/>
          <w:sz w:val="20"/>
          <w:szCs w:val="20"/>
          <w:rtl/>
        </w:rPr>
        <w:br/>
      </w:r>
      <w:r w:rsidRPr="00CF3AE0">
        <w:rPr>
          <w:rFonts w:cs="Arial" w:hint="cs"/>
          <w:sz w:val="18"/>
          <w:szCs w:val="18"/>
          <w:rtl/>
        </w:rPr>
        <w:t>[</w:t>
      </w:r>
      <w:r w:rsidRPr="00CF3AE0">
        <w:rPr>
          <w:rFonts w:cs="Arial" w:hint="cs"/>
          <w:b/>
          <w:bCs/>
          <w:sz w:val="18"/>
          <w:szCs w:val="18"/>
          <w:rtl/>
        </w:rPr>
        <w:t>ט"ז</w:t>
      </w:r>
      <w:r w:rsidRPr="00CF3AE0">
        <w:rPr>
          <w:rFonts w:cs="Arial" w:hint="cs"/>
          <w:sz w:val="18"/>
          <w:szCs w:val="18"/>
          <w:rtl/>
        </w:rPr>
        <w:t xml:space="preserve"> </w:t>
      </w:r>
      <w:r w:rsidRPr="00CF3AE0">
        <w:rPr>
          <w:rFonts w:cs="Arial"/>
          <w:sz w:val="18"/>
          <w:szCs w:val="18"/>
          <w:rtl/>
        </w:rPr>
        <w:t>–</w:t>
      </w:r>
      <w:r w:rsidRPr="00CF3AE0">
        <w:rPr>
          <w:rFonts w:cs="Arial" w:hint="cs"/>
          <w:sz w:val="18"/>
          <w:szCs w:val="18"/>
          <w:rtl/>
        </w:rPr>
        <w:t xml:space="preserve"> מדובר במכה בצדדי הצוואר, אך מכה שבאמצע הצוואר בלאו הכי תולה בה].</w:t>
      </w:r>
    </w:p>
    <w:p w:rsidR="00620060" w:rsidRDefault="00620060" w:rsidP="00620060">
      <w:pPr>
        <w:rPr>
          <w:rFonts w:cs="Arial"/>
          <w:sz w:val="20"/>
          <w:szCs w:val="20"/>
          <w:rtl/>
        </w:rPr>
      </w:pPr>
      <w:r>
        <w:rPr>
          <w:rFonts w:cs="Arial" w:hint="cs"/>
          <w:sz w:val="20"/>
          <w:szCs w:val="20"/>
          <w:u w:val="single"/>
          <w:rtl/>
        </w:rPr>
        <w:t>טעם הדין</w:t>
      </w:r>
      <w:r>
        <w:rPr>
          <w:rFonts w:cs="Arial"/>
          <w:sz w:val="20"/>
          <w:szCs w:val="20"/>
          <w:u w:val="single"/>
          <w:rtl/>
        </w:rPr>
        <w:br/>
      </w:r>
      <w:r w:rsidRPr="00C76DD6">
        <w:rPr>
          <w:rFonts w:cs="Arial" w:hint="cs"/>
          <w:b/>
          <w:bCs/>
          <w:sz w:val="20"/>
          <w:szCs w:val="20"/>
          <w:rtl/>
        </w:rPr>
        <w:t>רשב"א</w:t>
      </w:r>
      <w:r>
        <w:rPr>
          <w:rFonts w:cs="Arial" w:hint="cs"/>
          <w:sz w:val="20"/>
          <w:szCs w:val="20"/>
          <w:rtl/>
        </w:rPr>
        <w:t xml:space="preserve"> </w:t>
      </w:r>
      <w:r>
        <w:rPr>
          <w:rFonts w:cs="Arial"/>
          <w:sz w:val="20"/>
          <w:szCs w:val="20"/>
          <w:rtl/>
        </w:rPr>
        <w:t>–</w:t>
      </w:r>
      <w:r>
        <w:rPr>
          <w:rFonts w:cs="Arial" w:hint="cs"/>
          <w:sz w:val="20"/>
          <w:szCs w:val="20"/>
          <w:rtl/>
        </w:rPr>
        <w:t xml:space="preserve"> כשם שלעניין טומאה החמירו לטמא כל כתם בחלוקה אם היתה מתכסה בו, כך הדין לעניין טהרה שאם יש לה מכה ומתכסה בחלוק יש לטהר כתם בכל מקום שנמצא.</w:t>
      </w:r>
    </w:p>
    <w:p w:rsidR="00620060" w:rsidRDefault="00620060" w:rsidP="00620060">
      <w:pPr>
        <w:rPr>
          <w:rFonts w:cs="Arial"/>
          <w:sz w:val="20"/>
          <w:szCs w:val="20"/>
          <w:rtl/>
        </w:rPr>
      </w:pPr>
      <w:r>
        <w:rPr>
          <w:rFonts w:cs="Arial"/>
          <w:sz w:val="20"/>
          <w:szCs w:val="20"/>
          <w:rtl/>
        </w:rPr>
        <w:br/>
      </w:r>
      <w:r>
        <w:rPr>
          <w:rFonts w:cs="Arial" w:hint="cs"/>
          <w:b/>
          <w:bCs/>
          <w:sz w:val="20"/>
          <w:szCs w:val="20"/>
          <w:rtl/>
        </w:rPr>
        <w:t xml:space="preserve">סעיף יז </w:t>
      </w:r>
      <w:r>
        <w:rPr>
          <w:rFonts w:cs="Arial"/>
          <w:b/>
          <w:bCs/>
          <w:sz w:val="20"/>
          <w:szCs w:val="20"/>
          <w:rtl/>
        </w:rPr>
        <w:t>–</w:t>
      </w:r>
      <w:r>
        <w:rPr>
          <w:rFonts w:cs="Arial" w:hint="cs"/>
          <w:b/>
          <w:bCs/>
          <w:sz w:val="20"/>
          <w:szCs w:val="20"/>
          <w:rtl/>
        </w:rPr>
        <w:t xml:space="preserve"> כתם למעלה מהחגור וכתם למטה מהחגור</w:t>
      </w:r>
      <w:r>
        <w:rPr>
          <w:rFonts w:cs="Arial"/>
          <w:b/>
          <w:bCs/>
          <w:sz w:val="20"/>
          <w:szCs w:val="20"/>
          <w:rtl/>
        </w:rPr>
        <w:br/>
      </w:r>
      <w:r>
        <w:rPr>
          <w:rFonts w:cs="Arial" w:hint="cs"/>
          <w:b/>
          <w:bCs/>
          <w:sz w:val="20"/>
          <w:szCs w:val="20"/>
          <w:rtl/>
        </w:rPr>
        <w:t>מקור הדין</w:t>
      </w:r>
      <w:r>
        <w:rPr>
          <w:rFonts w:cs="Arial"/>
          <w:b/>
          <w:bCs/>
          <w:sz w:val="20"/>
          <w:szCs w:val="20"/>
          <w:rtl/>
        </w:rPr>
        <w:br/>
      </w:r>
      <w:r>
        <w:rPr>
          <w:rFonts w:cs="Arial" w:hint="cs"/>
          <w:b/>
          <w:bCs/>
          <w:sz w:val="20"/>
          <w:szCs w:val="20"/>
          <w:rtl/>
        </w:rPr>
        <w:t xml:space="preserve">גמרא </w:t>
      </w:r>
      <w:r>
        <w:rPr>
          <w:rFonts w:cs="Arial" w:hint="cs"/>
          <w:sz w:val="20"/>
          <w:szCs w:val="20"/>
          <w:rtl/>
        </w:rPr>
        <w:t>נדה (נט.) "</w:t>
      </w:r>
      <w:r w:rsidRPr="00770EAE">
        <w:rPr>
          <w:rFonts w:cs="Arial"/>
          <w:sz w:val="20"/>
          <w:szCs w:val="20"/>
          <w:rtl/>
        </w:rPr>
        <w:t>היו עליה טיפי דמים למטה, וטיפי דמים למעלה - תולה בעליון עד כגריס</w:t>
      </w:r>
      <w:r>
        <w:rPr>
          <w:rFonts w:cs="Arial" w:hint="cs"/>
          <w:sz w:val="20"/>
          <w:szCs w:val="20"/>
          <w:rtl/>
        </w:rPr>
        <w:t>".</w:t>
      </w:r>
      <w:r>
        <w:rPr>
          <w:rFonts w:cs="Arial"/>
          <w:sz w:val="20"/>
          <w:szCs w:val="20"/>
          <w:rtl/>
        </w:rPr>
        <w:br/>
      </w:r>
      <w:r>
        <w:rPr>
          <w:rFonts w:cs="Arial"/>
          <w:sz w:val="20"/>
          <w:szCs w:val="20"/>
          <w:rtl/>
        </w:rPr>
        <w:br/>
      </w:r>
      <w:r>
        <w:rPr>
          <w:rFonts w:cs="Arial" w:hint="cs"/>
          <w:sz w:val="20"/>
          <w:szCs w:val="20"/>
          <w:u w:val="single"/>
          <w:rtl/>
        </w:rPr>
        <w:t xml:space="preserve">הסבר </w:t>
      </w:r>
      <w:r>
        <w:rPr>
          <w:rFonts w:cs="Arial"/>
          <w:sz w:val="20"/>
          <w:szCs w:val="20"/>
          <w:u w:val="single"/>
          <w:rtl/>
        </w:rPr>
        <w:br/>
      </w:r>
      <w:r w:rsidRPr="00770EAE">
        <w:rPr>
          <w:rFonts w:cs="Arial" w:hint="cs"/>
          <w:b/>
          <w:bCs/>
          <w:sz w:val="20"/>
          <w:szCs w:val="20"/>
          <w:rtl/>
        </w:rPr>
        <w:t>תוספות ורא"ש</w:t>
      </w:r>
      <w:r>
        <w:rPr>
          <w:rFonts w:cs="Arial" w:hint="cs"/>
          <w:sz w:val="20"/>
          <w:szCs w:val="20"/>
          <w:rtl/>
        </w:rPr>
        <w:t xml:space="preserve"> </w:t>
      </w:r>
      <w:r>
        <w:rPr>
          <w:rFonts w:cs="Arial"/>
          <w:sz w:val="20"/>
          <w:szCs w:val="20"/>
          <w:rtl/>
        </w:rPr>
        <w:t>–</w:t>
      </w:r>
      <w:r>
        <w:rPr>
          <w:rFonts w:cs="Arial" w:hint="cs"/>
          <w:sz w:val="20"/>
          <w:szCs w:val="20"/>
          <w:rtl/>
        </w:rPr>
        <w:t xml:space="preserve"> כוונת הברייתא היא שאשה זו מוצאת כתם למעלה מהחגור ולמטה מהחגור, ואם העליון גדול כגריס </w:t>
      </w:r>
      <w:r w:rsidRPr="00770EAE">
        <w:rPr>
          <w:rFonts w:cs="Arial" w:hint="cs"/>
          <w:sz w:val="18"/>
          <w:szCs w:val="18"/>
          <w:rtl/>
        </w:rPr>
        <w:t xml:space="preserve">(וכל שכן אם גדול מגריס) </w:t>
      </w:r>
      <w:r>
        <w:rPr>
          <w:rFonts w:cs="Arial" w:hint="cs"/>
          <w:sz w:val="20"/>
          <w:szCs w:val="20"/>
          <w:rtl/>
        </w:rPr>
        <w:t>תולה בו גם את הכתם התחתון, שכפי שהעליון בא מעלמא כך גם התחתון.</w:t>
      </w:r>
      <w:r>
        <w:rPr>
          <w:rFonts w:cs="Arial"/>
          <w:sz w:val="20"/>
          <w:szCs w:val="20"/>
          <w:rtl/>
        </w:rPr>
        <w:br/>
      </w:r>
      <w:r>
        <w:rPr>
          <w:rFonts w:cs="Arial" w:hint="cs"/>
          <w:sz w:val="20"/>
          <w:szCs w:val="20"/>
          <w:rtl/>
        </w:rPr>
        <w:t>ואמנם, דין זה נאמר רק אם הכתם עליון גדול כגריס ועוד, אך אם הוא קטן משיעור זה שמא הוא דם מאכולת ואין לומר שממקום שבא העליון בא גם התחתון.</w:t>
      </w:r>
    </w:p>
    <w:p w:rsidR="00620060" w:rsidRDefault="00620060" w:rsidP="00620060">
      <w:pPr>
        <w:rPr>
          <w:rFonts w:cs="Arial"/>
          <w:sz w:val="20"/>
          <w:szCs w:val="20"/>
          <w:rtl/>
        </w:rPr>
      </w:pPr>
      <w:r>
        <w:rPr>
          <w:rFonts w:cs="Arial" w:hint="cs"/>
          <w:b/>
          <w:bCs/>
          <w:sz w:val="20"/>
          <w:szCs w:val="20"/>
          <w:rtl/>
        </w:rPr>
        <w:t>פסיקת הלכה</w:t>
      </w:r>
      <w:r>
        <w:rPr>
          <w:rFonts w:cs="Arial"/>
          <w:b/>
          <w:bCs/>
          <w:sz w:val="20"/>
          <w:szCs w:val="20"/>
          <w:rtl/>
        </w:rPr>
        <w:br/>
      </w:r>
      <w:r>
        <w:rPr>
          <w:rFonts w:cs="Arial" w:hint="cs"/>
          <w:b/>
          <w:bCs/>
          <w:sz w:val="20"/>
          <w:szCs w:val="20"/>
          <w:rtl/>
        </w:rPr>
        <w:t xml:space="preserve">שולחן ערוך </w:t>
      </w:r>
      <w:r>
        <w:rPr>
          <w:rFonts w:cs="Arial"/>
          <w:sz w:val="20"/>
          <w:szCs w:val="20"/>
          <w:rtl/>
        </w:rPr>
        <w:t>–</w:t>
      </w:r>
      <w:r>
        <w:rPr>
          <w:rFonts w:cs="Arial" w:hint="cs"/>
          <w:sz w:val="20"/>
          <w:szCs w:val="20"/>
          <w:rtl/>
        </w:rPr>
        <w:t xml:space="preserve"> "</w:t>
      </w:r>
      <w:r w:rsidRPr="00770EAE">
        <w:rPr>
          <w:rFonts w:cs="Arial"/>
          <w:sz w:val="20"/>
          <w:szCs w:val="20"/>
          <w:rtl/>
        </w:rPr>
        <w:t>מצאה כתם למעלה מהחגור וכתם למטה ממנו, ויודעת שלא נזדקרה, טהורה, שאני אומר כמו שהעליון בא מעלמא כך בא התחתון. ב</w:t>
      </w:r>
      <w:r>
        <w:rPr>
          <w:rFonts w:cs="Arial" w:hint="cs"/>
          <w:sz w:val="20"/>
          <w:szCs w:val="20"/>
          <w:rtl/>
        </w:rPr>
        <w:t xml:space="preserve">מה דברים אמורים </w:t>
      </w:r>
      <w:r w:rsidRPr="00770EAE">
        <w:rPr>
          <w:rFonts w:cs="Arial"/>
          <w:sz w:val="20"/>
          <w:szCs w:val="20"/>
          <w:rtl/>
        </w:rPr>
        <w:t>כשיש בעליון כגריס ועוד, או יותר, שודאי מעלמא בא, שהרי אין לתלותו בכנה. אבל אם אין בו כגריס ועוד אין תולין אותו מעלמא, דשמא דם כנה הוא</w:t>
      </w:r>
      <w:r>
        <w:rPr>
          <w:rFonts w:cs="Arial" w:hint="cs"/>
          <w:sz w:val="20"/>
          <w:szCs w:val="20"/>
          <w:rtl/>
        </w:rPr>
        <w:t>,</w:t>
      </w:r>
      <w:r w:rsidRPr="00770EAE">
        <w:rPr>
          <w:rFonts w:cs="Arial"/>
          <w:sz w:val="20"/>
          <w:szCs w:val="20"/>
          <w:rtl/>
        </w:rPr>
        <w:t xml:space="preserve"> ואם יש בתחתון כגריס ועוד שאין לתלות בכנה, טמאה</w:t>
      </w:r>
      <w:r>
        <w:rPr>
          <w:rFonts w:cs="Arial" w:hint="cs"/>
          <w:sz w:val="20"/>
          <w:szCs w:val="20"/>
          <w:rtl/>
        </w:rPr>
        <w:t>"</w:t>
      </w:r>
      <w:r w:rsidRPr="00770EAE">
        <w:rPr>
          <w:rFonts w:cs="Arial"/>
          <w:sz w:val="20"/>
          <w:szCs w:val="20"/>
          <w:rtl/>
        </w:rPr>
        <w:t>.</w:t>
      </w:r>
    </w:p>
    <w:p w:rsidR="00620060" w:rsidRDefault="00620060" w:rsidP="00620060">
      <w:pPr>
        <w:rPr>
          <w:rFonts w:cs="Arial"/>
          <w:sz w:val="20"/>
          <w:szCs w:val="20"/>
          <w:rtl/>
        </w:rPr>
      </w:pPr>
      <w:r>
        <w:rPr>
          <w:rFonts w:cs="Arial" w:hint="cs"/>
          <w:sz w:val="20"/>
          <w:szCs w:val="20"/>
          <w:u w:val="single"/>
          <w:rtl/>
        </w:rPr>
        <w:t>"יודעת שלא נזדקרה"</w:t>
      </w:r>
      <w:r>
        <w:rPr>
          <w:rFonts w:cs="Arial" w:hint="cs"/>
          <w:sz w:val="20"/>
          <w:szCs w:val="20"/>
          <w:u w:val="single"/>
          <w:rtl/>
        </w:rPr>
        <w:br/>
      </w:r>
      <w:r w:rsidRPr="001B4FE2">
        <w:rPr>
          <w:rFonts w:cs="Arial" w:hint="cs"/>
          <w:b/>
          <w:bCs/>
          <w:sz w:val="20"/>
          <w:szCs w:val="20"/>
          <w:rtl/>
        </w:rPr>
        <w:t>ש"ך</w:t>
      </w:r>
      <w:r>
        <w:rPr>
          <w:rFonts w:cs="Arial" w:hint="cs"/>
          <w:sz w:val="20"/>
          <w:szCs w:val="20"/>
          <w:rtl/>
        </w:rPr>
        <w:t xml:space="preserve"> </w:t>
      </w:r>
      <w:r>
        <w:rPr>
          <w:rFonts w:cs="Arial"/>
          <w:sz w:val="20"/>
          <w:szCs w:val="20"/>
          <w:rtl/>
        </w:rPr>
        <w:t>–</w:t>
      </w:r>
      <w:r>
        <w:rPr>
          <w:rFonts w:cs="Arial" w:hint="cs"/>
          <w:sz w:val="20"/>
          <w:szCs w:val="20"/>
          <w:rtl/>
        </w:rPr>
        <w:t xml:space="preserve"> המחבר הצריך כאן </w:t>
      </w:r>
      <w:r w:rsidRPr="001B4FE2">
        <w:rPr>
          <w:rFonts w:cs="Arial" w:hint="cs"/>
          <w:sz w:val="20"/>
          <w:szCs w:val="20"/>
          <w:u w:val="single"/>
          <w:rtl/>
        </w:rPr>
        <w:t>שתדע</w:t>
      </w:r>
      <w:r>
        <w:rPr>
          <w:rFonts w:cs="Arial" w:hint="cs"/>
          <w:sz w:val="20"/>
          <w:szCs w:val="20"/>
          <w:rtl/>
        </w:rPr>
        <w:t xml:space="preserve"> שלא הזדקרה ורק אז תולים לקולא, אך קשה משום שלעיל בסעיף יא' איתא </w:t>
      </w:r>
      <w:r w:rsidRPr="001B4FE2">
        <w:rPr>
          <w:rFonts w:cs="Arial" w:hint="cs"/>
          <w:sz w:val="20"/>
          <w:szCs w:val="20"/>
          <w:u w:val="single"/>
          <w:rtl/>
        </w:rPr>
        <w:t>שמסתמא</w:t>
      </w:r>
      <w:r>
        <w:rPr>
          <w:rFonts w:cs="Arial" w:hint="cs"/>
          <w:sz w:val="20"/>
          <w:szCs w:val="20"/>
          <w:rtl/>
        </w:rPr>
        <w:t xml:space="preserve"> אומרים שלא הזדקרה, ורק אם </w:t>
      </w:r>
      <w:r w:rsidRPr="001B4FE2">
        <w:rPr>
          <w:rFonts w:cs="Arial" w:hint="cs"/>
          <w:sz w:val="20"/>
          <w:szCs w:val="20"/>
          <w:u w:val="single"/>
          <w:rtl/>
        </w:rPr>
        <w:t>יודעת</w:t>
      </w:r>
      <w:r>
        <w:rPr>
          <w:rFonts w:cs="Arial" w:hint="cs"/>
          <w:sz w:val="20"/>
          <w:szCs w:val="20"/>
          <w:rtl/>
        </w:rPr>
        <w:t xml:space="preserve"> שהזדקרה חוששים ומאי שנא מכאן?</w:t>
      </w:r>
      <w:r>
        <w:rPr>
          <w:rFonts w:cs="Arial" w:hint="cs"/>
          <w:sz w:val="20"/>
          <w:szCs w:val="20"/>
          <w:rtl/>
        </w:rPr>
        <w:br/>
        <w:t xml:space="preserve">מיישב </w:t>
      </w:r>
      <w:r>
        <w:rPr>
          <w:rFonts w:cs="Arial"/>
          <w:sz w:val="20"/>
          <w:szCs w:val="20"/>
          <w:rtl/>
        </w:rPr>
        <w:t>–</w:t>
      </w:r>
      <w:r>
        <w:rPr>
          <w:rFonts w:cs="Arial" w:hint="cs"/>
          <w:sz w:val="20"/>
          <w:szCs w:val="20"/>
          <w:rtl/>
        </w:rPr>
        <w:t xml:space="preserve"> כאן יש ריעותא נוספת שנמצא כתם מחגור ולמטה, ואם נאמר שבוודאי לא הזדקרה ובנוסף נאמר שממקום שבא העליון בא גם התחתון אלו שתי סברות לקולא, וכולי האי אין להקל.</w:t>
      </w:r>
    </w:p>
    <w:p w:rsidR="00620060" w:rsidRPr="00BB08C0" w:rsidRDefault="00620060" w:rsidP="00620060">
      <w:pPr>
        <w:rPr>
          <w:rFonts w:cs="Arial"/>
          <w:sz w:val="20"/>
          <w:szCs w:val="20"/>
          <w:rtl/>
        </w:rPr>
      </w:pPr>
      <w:r>
        <w:rPr>
          <w:rFonts w:cs="Arial" w:hint="cs"/>
          <w:sz w:val="20"/>
          <w:szCs w:val="20"/>
          <w:u w:val="single"/>
          <w:rtl/>
        </w:rPr>
        <w:t>כתם על בשרה וכתם על חלוקה (פת"ש)</w:t>
      </w:r>
      <w:r>
        <w:rPr>
          <w:rFonts w:cs="Arial" w:hint="cs"/>
          <w:sz w:val="20"/>
          <w:szCs w:val="20"/>
          <w:u w:val="single"/>
          <w:rtl/>
        </w:rPr>
        <w:br/>
      </w:r>
      <w:r w:rsidRPr="00C65B79">
        <w:rPr>
          <w:rFonts w:cs="Arial" w:hint="cs"/>
          <w:b/>
          <w:bCs/>
          <w:sz w:val="20"/>
          <w:szCs w:val="20"/>
          <w:rtl/>
        </w:rPr>
        <w:t>סד"ט</w:t>
      </w:r>
      <w:r>
        <w:rPr>
          <w:rFonts w:cs="Arial" w:hint="cs"/>
          <w:sz w:val="20"/>
          <w:szCs w:val="20"/>
          <w:rtl/>
        </w:rPr>
        <w:t xml:space="preserve"> </w:t>
      </w:r>
      <w:r>
        <w:rPr>
          <w:rFonts w:cs="Arial"/>
          <w:sz w:val="20"/>
          <w:szCs w:val="20"/>
          <w:rtl/>
        </w:rPr>
        <w:t>–</w:t>
      </w:r>
      <w:r>
        <w:rPr>
          <w:rFonts w:cs="Arial" w:hint="cs"/>
          <w:sz w:val="20"/>
          <w:szCs w:val="20"/>
          <w:rtl/>
        </w:rPr>
        <w:t xml:space="preserve"> צ"ע כשנמצא כתם על </w:t>
      </w:r>
      <w:r w:rsidRPr="00357AA6">
        <w:rPr>
          <w:rFonts w:cs="Arial" w:hint="cs"/>
          <w:sz w:val="20"/>
          <w:szCs w:val="20"/>
          <w:u w:val="single"/>
          <w:rtl/>
        </w:rPr>
        <w:t>חלוקה</w:t>
      </w:r>
      <w:r>
        <w:rPr>
          <w:rFonts w:cs="Arial" w:hint="cs"/>
          <w:sz w:val="20"/>
          <w:szCs w:val="20"/>
          <w:rtl/>
        </w:rPr>
        <w:t xml:space="preserve"> למעלה מהחגור ועל </w:t>
      </w:r>
      <w:r w:rsidRPr="00357AA6">
        <w:rPr>
          <w:rFonts w:cs="Arial" w:hint="cs"/>
          <w:sz w:val="20"/>
          <w:szCs w:val="20"/>
          <w:u w:val="single"/>
          <w:rtl/>
        </w:rPr>
        <w:t>בשרה</w:t>
      </w:r>
      <w:r>
        <w:rPr>
          <w:rFonts w:cs="Arial" w:hint="cs"/>
          <w:sz w:val="20"/>
          <w:szCs w:val="20"/>
          <w:rtl/>
        </w:rPr>
        <w:t xml:space="preserve"> למטה מהחגור, האם תולה תחתון בעליון</w:t>
      </w:r>
      <w:r>
        <w:rPr>
          <w:rFonts w:cs="Arial"/>
          <w:sz w:val="20"/>
          <w:szCs w:val="20"/>
          <w:rtl/>
        </w:rPr>
        <w:br/>
      </w:r>
      <w:r>
        <w:rPr>
          <w:rFonts w:cs="Arial"/>
          <w:sz w:val="20"/>
          <w:szCs w:val="20"/>
          <w:u w:val="single"/>
          <w:rtl/>
        </w:rPr>
        <w:br/>
      </w:r>
      <w:r>
        <w:rPr>
          <w:rFonts w:cs="Arial" w:hint="cs"/>
          <w:sz w:val="20"/>
          <w:szCs w:val="20"/>
          <w:u w:val="single"/>
          <w:rtl/>
        </w:rPr>
        <w:lastRenderedPageBreak/>
        <w:t>צבע דם שונה (פת"ש)</w:t>
      </w:r>
      <w:r>
        <w:rPr>
          <w:rFonts w:cs="Arial" w:hint="cs"/>
          <w:sz w:val="20"/>
          <w:szCs w:val="20"/>
          <w:u w:val="single"/>
          <w:rtl/>
        </w:rPr>
        <w:br/>
      </w:r>
      <w:r w:rsidRPr="00BB08C0">
        <w:rPr>
          <w:rFonts w:cs="Arial" w:hint="cs"/>
          <w:b/>
          <w:bCs/>
          <w:sz w:val="20"/>
          <w:szCs w:val="20"/>
          <w:rtl/>
        </w:rPr>
        <w:t>סד"ט</w:t>
      </w:r>
      <w:r>
        <w:rPr>
          <w:rFonts w:cs="Arial" w:hint="cs"/>
          <w:sz w:val="20"/>
          <w:szCs w:val="20"/>
          <w:rtl/>
        </w:rPr>
        <w:t xml:space="preserve"> </w:t>
      </w:r>
      <w:r>
        <w:rPr>
          <w:rFonts w:cs="Arial"/>
          <w:sz w:val="20"/>
          <w:szCs w:val="20"/>
          <w:rtl/>
        </w:rPr>
        <w:t>–</w:t>
      </w:r>
      <w:r>
        <w:rPr>
          <w:rFonts w:cs="Arial" w:hint="cs"/>
          <w:sz w:val="20"/>
          <w:szCs w:val="20"/>
          <w:rtl/>
        </w:rPr>
        <w:t xml:space="preserve"> אם מצאה למעלה מהחגור כתם בצבע אחד ולמטה מהחגור כתם בצבע אחר, אינה תולה וטמאה.</w:t>
      </w:r>
    </w:p>
    <w:p w:rsidR="00620060" w:rsidRDefault="00620060" w:rsidP="00620060">
      <w:pPr>
        <w:rPr>
          <w:rFonts w:cs="Arial"/>
          <w:sz w:val="20"/>
          <w:szCs w:val="20"/>
          <w:rtl/>
        </w:rPr>
      </w:pPr>
      <w:r>
        <w:rPr>
          <w:rFonts w:cs="Arial"/>
          <w:sz w:val="20"/>
          <w:szCs w:val="20"/>
          <w:rtl/>
        </w:rPr>
        <w:br/>
      </w:r>
      <w:r>
        <w:rPr>
          <w:rFonts w:cs="Arial" w:hint="cs"/>
          <w:b/>
          <w:bCs/>
          <w:sz w:val="20"/>
          <w:szCs w:val="20"/>
          <w:rtl/>
        </w:rPr>
        <w:t xml:space="preserve">סעיף יח </w:t>
      </w:r>
      <w:r>
        <w:rPr>
          <w:rFonts w:cs="Arial"/>
          <w:b/>
          <w:bCs/>
          <w:sz w:val="20"/>
          <w:szCs w:val="20"/>
          <w:rtl/>
        </w:rPr>
        <w:t>–</w:t>
      </w:r>
      <w:r>
        <w:rPr>
          <w:rFonts w:cs="Arial" w:hint="cs"/>
          <w:b/>
          <w:bCs/>
          <w:sz w:val="20"/>
          <w:szCs w:val="20"/>
          <w:rtl/>
        </w:rPr>
        <w:t xml:space="preserve"> תלייה לקולא בכתמים</w:t>
      </w:r>
      <w:r>
        <w:rPr>
          <w:rFonts w:cs="Arial"/>
          <w:b/>
          <w:bCs/>
          <w:sz w:val="20"/>
          <w:szCs w:val="20"/>
          <w:rtl/>
        </w:rPr>
        <w:br/>
      </w:r>
      <w:r>
        <w:rPr>
          <w:rFonts w:cs="Arial" w:hint="cs"/>
          <w:b/>
          <w:bCs/>
          <w:sz w:val="20"/>
          <w:szCs w:val="20"/>
          <w:rtl/>
        </w:rPr>
        <w:t xml:space="preserve">התעסקה בדם ונמצא על </w:t>
      </w:r>
      <w:r w:rsidRPr="00EE1FB0">
        <w:rPr>
          <w:rFonts w:cs="Arial" w:hint="cs"/>
          <w:b/>
          <w:bCs/>
          <w:sz w:val="20"/>
          <w:szCs w:val="20"/>
          <w:u w:val="single"/>
          <w:rtl/>
        </w:rPr>
        <w:t>חלוקה</w:t>
      </w:r>
      <w:r>
        <w:rPr>
          <w:rFonts w:cs="Arial"/>
          <w:b/>
          <w:bCs/>
          <w:sz w:val="20"/>
          <w:szCs w:val="20"/>
          <w:rtl/>
        </w:rPr>
        <w:br/>
      </w:r>
      <w:r>
        <w:rPr>
          <w:rFonts w:cs="Arial" w:hint="cs"/>
          <w:sz w:val="20"/>
          <w:szCs w:val="20"/>
          <w:rtl/>
        </w:rPr>
        <w:t xml:space="preserve">א. </w:t>
      </w:r>
      <w:r>
        <w:rPr>
          <w:rFonts w:cs="Arial" w:hint="cs"/>
          <w:b/>
          <w:bCs/>
          <w:sz w:val="20"/>
          <w:szCs w:val="20"/>
          <w:rtl/>
        </w:rPr>
        <w:t xml:space="preserve">משנה </w:t>
      </w:r>
      <w:r>
        <w:rPr>
          <w:rFonts w:cs="Arial" w:hint="cs"/>
          <w:sz w:val="20"/>
          <w:szCs w:val="20"/>
          <w:rtl/>
        </w:rPr>
        <w:t>(שם, נח:) "</w:t>
      </w:r>
      <w:r w:rsidRPr="0053177B">
        <w:rPr>
          <w:rFonts w:cs="Arial"/>
          <w:sz w:val="20"/>
          <w:szCs w:val="20"/>
          <w:rtl/>
        </w:rPr>
        <w:t>ותולה בכל דבר שהיא יכולה לתלות; שחטה בהמה חיה ועוף, נתעסקה בכתמים, או שישבה בצד העסוקין בהן, הרגה מאכולת - הרי זו תולה בה</w:t>
      </w:r>
      <w:r>
        <w:rPr>
          <w:rFonts w:cs="Arial" w:hint="cs"/>
          <w:sz w:val="20"/>
          <w:szCs w:val="20"/>
          <w:rtl/>
        </w:rPr>
        <w:t>".</w:t>
      </w:r>
      <w:r>
        <w:rPr>
          <w:rFonts w:cs="Arial"/>
          <w:sz w:val="20"/>
          <w:szCs w:val="20"/>
          <w:rtl/>
        </w:rPr>
        <w:br/>
      </w:r>
      <w:r>
        <w:rPr>
          <w:rFonts w:cs="Arial" w:hint="cs"/>
          <w:sz w:val="20"/>
          <w:szCs w:val="20"/>
          <w:rtl/>
        </w:rPr>
        <w:t xml:space="preserve">ב. </w:t>
      </w:r>
      <w:r w:rsidRPr="0053177B">
        <w:rPr>
          <w:rFonts w:cs="Arial" w:hint="cs"/>
          <w:b/>
          <w:bCs/>
          <w:sz w:val="20"/>
          <w:szCs w:val="20"/>
          <w:rtl/>
        </w:rPr>
        <w:t>גמרא</w:t>
      </w:r>
      <w:r>
        <w:rPr>
          <w:rFonts w:cs="Arial" w:hint="cs"/>
          <w:sz w:val="20"/>
          <w:szCs w:val="20"/>
          <w:rtl/>
        </w:rPr>
        <w:t xml:space="preserve"> (שם) "</w:t>
      </w:r>
      <w:r w:rsidRPr="0053177B">
        <w:rPr>
          <w:rFonts w:cs="Arial"/>
          <w:sz w:val="20"/>
          <w:szCs w:val="20"/>
          <w:rtl/>
        </w:rPr>
        <w:t>ת</w:t>
      </w:r>
      <w:r>
        <w:rPr>
          <w:rFonts w:cs="Arial" w:hint="cs"/>
          <w:sz w:val="20"/>
          <w:szCs w:val="20"/>
          <w:rtl/>
        </w:rPr>
        <w:t xml:space="preserve">נו </w:t>
      </w:r>
      <w:r w:rsidRPr="0053177B">
        <w:rPr>
          <w:rFonts w:cs="Arial"/>
          <w:sz w:val="20"/>
          <w:szCs w:val="20"/>
          <w:rtl/>
        </w:rPr>
        <w:t>ר</w:t>
      </w:r>
      <w:r>
        <w:rPr>
          <w:rFonts w:cs="Arial" w:hint="cs"/>
          <w:sz w:val="20"/>
          <w:szCs w:val="20"/>
          <w:rtl/>
        </w:rPr>
        <w:t>בנן</w:t>
      </w:r>
      <w:r w:rsidRPr="0053177B">
        <w:rPr>
          <w:rFonts w:cs="Arial"/>
          <w:sz w:val="20"/>
          <w:szCs w:val="20"/>
          <w:rtl/>
        </w:rPr>
        <w:t>: לבשה של</w:t>
      </w:r>
      <w:r>
        <w:rPr>
          <w:rFonts w:cs="Arial" w:hint="cs"/>
          <w:sz w:val="20"/>
          <w:szCs w:val="20"/>
          <w:rtl/>
        </w:rPr>
        <w:t>ו</w:t>
      </w:r>
      <w:r w:rsidRPr="0053177B">
        <w:rPr>
          <w:rFonts w:cs="Arial"/>
          <w:sz w:val="20"/>
          <w:szCs w:val="20"/>
          <w:rtl/>
        </w:rPr>
        <w:t>שה חלוקות הבדוקין לה, אם יכולה לתלות - תולה, ואפילו בתחתון</w:t>
      </w:r>
      <w:r>
        <w:rPr>
          <w:rFonts w:cs="Arial" w:hint="cs"/>
          <w:sz w:val="20"/>
          <w:szCs w:val="20"/>
          <w:rtl/>
        </w:rPr>
        <w:t>".</w:t>
      </w:r>
    </w:p>
    <w:p w:rsidR="00620060" w:rsidRDefault="00620060" w:rsidP="00620060">
      <w:pPr>
        <w:rPr>
          <w:rFonts w:cs="Arial"/>
          <w:sz w:val="20"/>
          <w:szCs w:val="20"/>
          <w:rtl/>
        </w:rPr>
      </w:pPr>
      <w:r>
        <w:rPr>
          <w:rFonts w:cs="Arial" w:hint="cs"/>
          <w:b/>
          <w:bCs/>
          <w:sz w:val="20"/>
          <w:szCs w:val="20"/>
          <w:rtl/>
        </w:rPr>
        <w:t>פסיקת הלכה</w:t>
      </w:r>
      <w:r>
        <w:rPr>
          <w:rFonts w:cs="Arial"/>
          <w:b/>
          <w:bCs/>
          <w:sz w:val="20"/>
          <w:szCs w:val="20"/>
          <w:rtl/>
        </w:rPr>
        <w:br/>
      </w:r>
      <w:r>
        <w:rPr>
          <w:rFonts w:cs="Arial" w:hint="cs"/>
          <w:b/>
          <w:bCs/>
          <w:sz w:val="20"/>
          <w:szCs w:val="20"/>
          <w:rtl/>
        </w:rPr>
        <w:t>שולחן ערוך</w:t>
      </w:r>
      <w:r>
        <w:rPr>
          <w:rFonts w:cs="Arial" w:hint="cs"/>
          <w:sz w:val="20"/>
          <w:szCs w:val="20"/>
          <w:rtl/>
        </w:rPr>
        <w:t xml:space="preserve"> </w:t>
      </w:r>
      <w:r>
        <w:rPr>
          <w:rFonts w:cs="Arial"/>
          <w:sz w:val="20"/>
          <w:szCs w:val="20"/>
          <w:rtl/>
        </w:rPr>
        <w:t>–</w:t>
      </w:r>
      <w:r>
        <w:rPr>
          <w:rFonts w:cs="Arial" w:hint="cs"/>
          <w:sz w:val="20"/>
          <w:szCs w:val="20"/>
          <w:rtl/>
        </w:rPr>
        <w:t xml:space="preserve"> "</w:t>
      </w:r>
      <w:r w:rsidRPr="0053177B">
        <w:rPr>
          <w:rFonts w:cs="Arial"/>
          <w:sz w:val="20"/>
          <w:szCs w:val="20"/>
          <w:rtl/>
        </w:rPr>
        <w:t xml:space="preserve">כיון שכתמים דרבנן, מקילין </w:t>
      </w:r>
      <w:r>
        <w:rPr>
          <w:rFonts w:cs="Arial"/>
          <w:sz w:val="20"/>
          <w:szCs w:val="20"/>
          <w:rtl/>
        </w:rPr>
        <w:t>בהם ותולה בכל דבר שיכולה לתלות.</w:t>
      </w:r>
      <w:r>
        <w:rPr>
          <w:rFonts w:cs="Arial" w:hint="cs"/>
          <w:sz w:val="20"/>
          <w:szCs w:val="20"/>
          <w:rtl/>
        </w:rPr>
        <w:t xml:space="preserve"> </w:t>
      </w:r>
      <w:r w:rsidRPr="0053177B">
        <w:rPr>
          <w:rFonts w:cs="Arial"/>
          <w:sz w:val="20"/>
          <w:szCs w:val="20"/>
          <w:rtl/>
        </w:rPr>
        <w:t>כיצד, שחטה בהמה חיה או עוף, או נתעסקה בכתמים, או ישבה בצד המתעסקים בהם, או שעברה בשוק של טבחים ונמצא דם בבגדיה, תולה בה וטהורה. אפילו לובשת ג' חלוקים זה ע</w:t>
      </w:r>
      <w:r>
        <w:rPr>
          <w:rFonts w:cs="Arial"/>
          <w:sz w:val="20"/>
          <w:szCs w:val="20"/>
          <w:rtl/>
        </w:rPr>
        <w:t>ל זה, ונמצא אפילו בתחתון, טהורה</w:t>
      </w:r>
      <w:r>
        <w:rPr>
          <w:rFonts w:cs="Arial" w:hint="cs"/>
          <w:sz w:val="20"/>
          <w:szCs w:val="20"/>
          <w:rtl/>
        </w:rPr>
        <w:t>".</w:t>
      </w:r>
      <w:r>
        <w:rPr>
          <w:rFonts w:cs="Arial"/>
          <w:sz w:val="20"/>
          <w:szCs w:val="20"/>
          <w:rtl/>
        </w:rPr>
        <w:br/>
      </w:r>
      <w:r>
        <w:rPr>
          <w:rFonts w:cs="Arial" w:hint="cs"/>
          <w:sz w:val="20"/>
          <w:szCs w:val="20"/>
          <w:rtl/>
        </w:rPr>
        <w:t xml:space="preserve">וכבר נתבאר לעיל שאם נמצא כתם על </w:t>
      </w:r>
      <w:r w:rsidRPr="0053177B">
        <w:rPr>
          <w:rFonts w:cs="Arial" w:hint="cs"/>
          <w:sz w:val="20"/>
          <w:szCs w:val="20"/>
          <w:u w:val="single"/>
          <w:rtl/>
        </w:rPr>
        <w:t>בשרה</w:t>
      </w:r>
      <w:r>
        <w:rPr>
          <w:rFonts w:cs="Arial" w:hint="cs"/>
          <w:sz w:val="20"/>
          <w:szCs w:val="20"/>
          <w:rtl/>
        </w:rPr>
        <w:t>, אינה תולה בשוק של טבחים ובשאר דברים.</w:t>
      </w:r>
    </w:p>
    <w:p w:rsidR="00620060" w:rsidRDefault="00620060" w:rsidP="00620060">
      <w:pPr>
        <w:rPr>
          <w:rFonts w:cs="Arial"/>
          <w:sz w:val="20"/>
          <w:szCs w:val="20"/>
          <w:rtl/>
        </w:rPr>
      </w:pPr>
      <w:r>
        <w:rPr>
          <w:rFonts w:cs="Arial" w:hint="cs"/>
          <w:b/>
          <w:bCs/>
          <w:sz w:val="20"/>
          <w:szCs w:val="20"/>
          <w:rtl/>
        </w:rPr>
        <w:t>יש לה מכה ונמצא דם אפילו על בשרה</w:t>
      </w:r>
      <w:r>
        <w:rPr>
          <w:rFonts w:cs="Arial"/>
          <w:b/>
          <w:bCs/>
          <w:sz w:val="20"/>
          <w:szCs w:val="20"/>
          <w:rtl/>
        </w:rPr>
        <w:br/>
      </w:r>
      <w:r>
        <w:rPr>
          <w:rFonts w:cs="Arial" w:hint="cs"/>
          <w:b/>
          <w:bCs/>
          <w:sz w:val="20"/>
          <w:szCs w:val="20"/>
          <w:rtl/>
        </w:rPr>
        <w:t xml:space="preserve">משנה </w:t>
      </w:r>
      <w:r>
        <w:rPr>
          <w:rFonts w:cs="Arial" w:hint="cs"/>
          <w:sz w:val="20"/>
          <w:szCs w:val="20"/>
          <w:rtl/>
        </w:rPr>
        <w:t>(שם) "</w:t>
      </w:r>
      <w:r w:rsidRPr="0053177B">
        <w:rPr>
          <w:rFonts w:cs="Arial"/>
          <w:sz w:val="20"/>
          <w:szCs w:val="20"/>
          <w:rtl/>
        </w:rPr>
        <w:t>אם יש בה מכה, והיא יכולה להגלע ולהוציא דם - הרי זו תולה. מעשה באשה אחת שבאת לפני ר</w:t>
      </w:r>
      <w:r>
        <w:rPr>
          <w:rFonts w:cs="Arial" w:hint="cs"/>
          <w:sz w:val="20"/>
          <w:szCs w:val="20"/>
          <w:rtl/>
        </w:rPr>
        <w:t xml:space="preserve">בי </w:t>
      </w:r>
      <w:r w:rsidRPr="0053177B">
        <w:rPr>
          <w:rFonts w:cs="Arial"/>
          <w:sz w:val="20"/>
          <w:szCs w:val="20"/>
          <w:rtl/>
        </w:rPr>
        <w:t>ע</w:t>
      </w:r>
      <w:r>
        <w:rPr>
          <w:rFonts w:cs="Arial" w:hint="cs"/>
          <w:sz w:val="20"/>
          <w:szCs w:val="20"/>
          <w:rtl/>
        </w:rPr>
        <w:t>קיבא</w:t>
      </w:r>
      <w:r w:rsidRPr="0053177B">
        <w:rPr>
          <w:rFonts w:cs="Arial"/>
          <w:sz w:val="20"/>
          <w:szCs w:val="20"/>
          <w:rtl/>
        </w:rPr>
        <w:t>, אמרה לו: ראיתי כתם. אמר לה: שמא מכה היתה ביך? אמרה לו: הן, וחיתה. אמר לה: שמא יכולה להגלע ולהוציא דם? אמרה לו: הן. וטהרה ר</w:t>
      </w:r>
      <w:r>
        <w:rPr>
          <w:rFonts w:cs="Arial" w:hint="cs"/>
          <w:sz w:val="20"/>
          <w:szCs w:val="20"/>
          <w:rtl/>
        </w:rPr>
        <w:t xml:space="preserve">בי </w:t>
      </w:r>
      <w:r w:rsidRPr="0053177B">
        <w:rPr>
          <w:rFonts w:cs="Arial"/>
          <w:sz w:val="20"/>
          <w:szCs w:val="20"/>
          <w:rtl/>
        </w:rPr>
        <w:t>ע</w:t>
      </w:r>
      <w:r>
        <w:rPr>
          <w:rFonts w:cs="Arial" w:hint="cs"/>
          <w:sz w:val="20"/>
          <w:szCs w:val="20"/>
          <w:rtl/>
        </w:rPr>
        <w:t>קיבא</w:t>
      </w:r>
      <w:r w:rsidRPr="0053177B">
        <w:rPr>
          <w:rFonts w:cs="Arial"/>
          <w:sz w:val="20"/>
          <w:szCs w:val="20"/>
          <w:rtl/>
        </w:rPr>
        <w:t>. ראה תלמידיו מסתכלין זה בזה, אמר להם: מה הדבר קשה בעיניכם? שלא אמרו חכמים הדבר להחמיר - אלא להקל, שנאמר ואשה כי תהיה זבה</w:t>
      </w:r>
      <w:r>
        <w:rPr>
          <w:rFonts w:cs="Arial"/>
          <w:sz w:val="20"/>
          <w:szCs w:val="20"/>
          <w:rtl/>
        </w:rPr>
        <w:t xml:space="preserve"> דם יהיה זובה בבשרה, דם ולא כתם</w:t>
      </w:r>
      <w:r>
        <w:rPr>
          <w:rFonts w:cs="Arial" w:hint="cs"/>
          <w:sz w:val="20"/>
          <w:szCs w:val="20"/>
          <w:rtl/>
        </w:rPr>
        <w:t>".</w:t>
      </w:r>
      <w:r>
        <w:rPr>
          <w:rFonts w:cs="Arial"/>
          <w:sz w:val="20"/>
          <w:szCs w:val="20"/>
          <w:rtl/>
        </w:rPr>
        <w:br/>
      </w:r>
      <w:r w:rsidRPr="0053177B">
        <w:rPr>
          <w:rFonts w:cs="Arial" w:hint="cs"/>
          <w:b/>
          <w:bCs/>
          <w:sz w:val="20"/>
          <w:szCs w:val="20"/>
          <w:rtl/>
        </w:rPr>
        <w:t>רשב"א</w:t>
      </w:r>
      <w:r>
        <w:rPr>
          <w:rFonts w:cs="Arial" w:hint="cs"/>
          <w:sz w:val="20"/>
          <w:szCs w:val="20"/>
          <w:rtl/>
        </w:rPr>
        <w:t xml:space="preserve"> </w:t>
      </w:r>
      <w:r>
        <w:rPr>
          <w:rFonts w:cs="Arial"/>
          <w:sz w:val="20"/>
          <w:szCs w:val="20"/>
          <w:rtl/>
        </w:rPr>
        <w:t>–</w:t>
      </w:r>
      <w:r>
        <w:rPr>
          <w:rFonts w:cs="Arial" w:hint="cs"/>
          <w:sz w:val="20"/>
          <w:szCs w:val="20"/>
          <w:rtl/>
        </w:rPr>
        <w:t xml:space="preserve"> אפילו אם כעת יש על המכה קרום ואינה יכולה להוציא דם, מכל מקום תולה בה שמא לפני כן המכה נפתחה ויצא ממנה דם ולאו אדעתא.</w:t>
      </w:r>
    </w:p>
    <w:p w:rsidR="00620060" w:rsidRDefault="00620060" w:rsidP="00620060">
      <w:pPr>
        <w:rPr>
          <w:rFonts w:cs="Arial"/>
          <w:sz w:val="20"/>
          <w:szCs w:val="20"/>
          <w:rtl/>
        </w:rPr>
      </w:pPr>
      <w:r>
        <w:rPr>
          <w:rFonts w:cs="Arial" w:hint="cs"/>
          <w:b/>
          <w:bCs/>
          <w:sz w:val="20"/>
          <w:szCs w:val="20"/>
          <w:rtl/>
        </w:rPr>
        <w:t>פסיקת הלכה</w:t>
      </w:r>
      <w:r>
        <w:rPr>
          <w:rFonts w:cs="Arial"/>
          <w:b/>
          <w:bCs/>
          <w:sz w:val="20"/>
          <w:szCs w:val="20"/>
          <w:rtl/>
        </w:rPr>
        <w:br/>
      </w:r>
      <w:r>
        <w:rPr>
          <w:rFonts w:cs="Arial" w:hint="cs"/>
          <w:b/>
          <w:bCs/>
          <w:sz w:val="20"/>
          <w:szCs w:val="20"/>
          <w:rtl/>
        </w:rPr>
        <w:t>שולחן ערוך</w:t>
      </w:r>
      <w:r>
        <w:rPr>
          <w:rFonts w:cs="Arial" w:hint="cs"/>
          <w:sz w:val="20"/>
          <w:szCs w:val="20"/>
          <w:rtl/>
        </w:rPr>
        <w:t xml:space="preserve"> </w:t>
      </w:r>
      <w:r>
        <w:rPr>
          <w:rFonts w:cs="Arial"/>
          <w:sz w:val="20"/>
          <w:szCs w:val="20"/>
          <w:rtl/>
        </w:rPr>
        <w:t>–</w:t>
      </w:r>
      <w:r>
        <w:rPr>
          <w:rFonts w:cs="Arial" w:hint="cs"/>
          <w:sz w:val="20"/>
          <w:szCs w:val="20"/>
          <w:rtl/>
        </w:rPr>
        <w:t xml:space="preserve"> "</w:t>
      </w:r>
      <w:r w:rsidRPr="0053177B">
        <w:rPr>
          <w:rFonts w:cs="Arial"/>
          <w:sz w:val="20"/>
          <w:szCs w:val="20"/>
          <w:rtl/>
        </w:rPr>
        <w:t>אבל אם נמצא על בשרה, אינה תולה אלא א</w:t>
      </w:r>
      <w:r>
        <w:rPr>
          <w:rFonts w:cs="Arial" w:hint="cs"/>
          <w:sz w:val="20"/>
          <w:szCs w:val="20"/>
          <w:rtl/>
        </w:rPr>
        <w:t xml:space="preserve">ם </w:t>
      </w:r>
      <w:r w:rsidRPr="0053177B">
        <w:rPr>
          <w:rFonts w:cs="Arial"/>
          <w:sz w:val="20"/>
          <w:szCs w:val="20"/>
          <w:rtl/>
        </w:rPr>
        <w:t>כ</w:t>
      </w:r>
      <w:r>
        <w:rPr>
          <w:rFonts w:cs="Arial" w:hint="cs"/>
          <w:sz w:val="20"/>
          <w:szCs w:val="20"/>
          <w:rtl/>
        </w:rPr>
        <w:t>ן</w:t>
      </w:r>
      <w:r w:rsidRPr="0053177B">
        <w:rPr>
          <w:rFonts w:cs="Arial"/>
          <w:sz w:val="20"/>
          <w:szCs w:val="20"/>
          <w:rtl/>
        </w:rPr>
        <w:t xml:space="preserve"> יש לה מכה בגופה אז תולה בה, אפילו על בשרה אם הוא במקום שאפשר לדם לנטף משם. ואפילו נתרפאת, אם אפשר לה להתגלע ולהוציא דם ע</w:t>
      </w:r>
      <w:r>
        <w:rPr>
          <w:rFonts w:cs="Arial" w:hint="cs"/>
          <w:sz w:val="20"/>
          <w:szCs w:val="20"/>
          <w:rtl/>
        </w:rPr>
        <w:t xml:space="preserve">ל </w:t>
      </w:r>
      <w:r w:rsidRPr="0053177B">
        <w:rPr>
          <w:rFonts w:cs="Arial"/>
          <w:sz w:val="20"/>
          <w:szCs w:val="20"/>
          <w:rtl/>
        </w:rPr>
        <w:t>י</w:t>
      </w:r>
      <w:r>
        <w:rPr>
          <w:rFonts w:cs="Arial" w:hint="cs"/>
          <w:sz w:val="20"/>
          <w:szCs w:val="20"/>
          <w:rtl/>
        </w:rPr>
        <w:t>די</w:t>
      </w:r>
      <w:r w:rsidRPr="0053177B">
        <w:rPr>
          <w:rFonts w:cs="Arial"/>
          <w:sz w:val="20"/>
          <w:szCs w:val="20"/>
          <w:rtl/>
        </w:rPr>
        <w:t xml:space="preserve"> חיכוך, תולה בה, ואף על פי שעכשיו עלה עליה קרום ואינה מטפטפת</w:t>
      </w:r>
      <w:r>
        <w:rPr>
          <w:rFonts w:cs="Arial" w:hint="cs"/>
          <w:sz w:val="20"/>
          <w:szCs w:val="20"/>
          <w:rtl/>
        </w:rPr>
        <w:t>".</w:t>
      </w:r>
    </w:p>
    <w:p w:rsidR="00620060" w:rsidRPr="005059B9" w:rsidRDefault="00620060" w:rsidP="00620060">
      <w:pPr>
        <w:rPr>
          <w:rFonts w:cs="Arial"/>
          <w:sz w:val="20"/>
          <w:szCs w:val="20"/>
          <w:rtl/>
        </w:rPr>
      </w:pPr>
      <w:r>
        <w:rPr>
          <w:rFonts w:cs="Arial" w:hint="cs"/>
          <w:sz w:val="20"/>
          <w:szCs w:val="20"/>
          <w:u w:val="single"/>
          <w:rtl/>
        </w:rPr>
        <w:t>פרטים נוספים בדין זה (פת"ש)</w:t>
      </w:r>
      <w:r>
        <w:rPr>
          <w:rFonts w:cs="Arial" w:hint="cs"/>
          <w:sz w:val="20"/>
          <w:szCs w:val="20"/>
          <w:u w:val="single"/>
          <w:rtl/>
        </w:rPr>
        <w:br/>
      </w:r>
      <w:r w:rsidRPr="007674BC">
        <w:rPr>
          <w:rFonts w:cs="Arial" w:hint="cs"/>
          <w:b/>
          <w:bCs/>
          <w:sz w:val="20"/>
          <w:szCs w:val="20"/>
          <w:rtl/>
        </w:rPr>
        <w:t>הפת"ש</w:t>
      </w:r>
      <w:r>
        <w:rPr>
          <w:rFonts w:cs="Arial" w:hint="cs"/>
          <w:sz w:val="20"/>
          <w:szCs w:val="20"/>
          <w:rtl/>
        </w:rPr>
        <w:t xml:space="preserve"> מוסיף כמה דינים ע"פ הספר '</w:t>
      </w:r>
      <w:r w:rsidRPr="007674BC">
        <w:rPr>
          <w:rFonts w:cs="Arial" w:hint="cs"/>
          <w:b/>
          <w:bCs/>
          <w:sz w:val="20"/>
          <w:szCs w:val="20"/>
          <w:rtl/>
        </w:rPr>
        <w:t>חמודי</w:t>
      </w:r>
      <w:r>
        <w:rPr>
          <w:rFonts w:cs="Arial" w:hint="cs"/>
          <w:sz w:val="20"/>
          <w:szCs w:val="20"/>
          <w:rtl/>
        </w:rPr>
        <w:t xml:space="preserve"> </w:t>
      </w:r>
      <w:r w:rsidRPr="007674BC">
        <w:rPr>
          <w:rFonts w:cs="Arial" w:hint="cs"/>
          <w:b/>
          <w:bCs/>
          <w:sz w:val="20"/>
          <w:szCs w:val="20"/>
          <w:rtl/>
        </w:rPr>
        <w:t>דניאל</w:t>
      </w:r>
      <w:r>
        <w:rPr>
          <w:rFonts w:cs="Arial" w:hint="cs"/>
          <w:sz w:val="20"/>
          <w:szCs w:val="20"/>
          <w:rtl/>
        </w:rPr>
        <w:t>' וע"פ ה'</w:t>
      </w:r>
      <w:r w:rsidRPr="007674BC">
        <w:rPr>
          <w:rFonts w:cs="Arial" w:hint="cs"/>
          <w:b/>
          <w:bCs/>
          <w:sz w:val="20"/>
          <w:szCs w:val="20"/>
          <w:rtl/>
        </w:rPr>
        <w:t>סדרי</w:t>
      </w:r>
      <w:r>
        <w:rPr>
          <w:rFonts w:cs="Arial" w:hint="cs"/>
          <w:sz w:val="20"/>
          <w:szCs w:val="20"/>
          <w:rtl/>
        </w:rPr>
        <w:t xml:space="preserve"> </w:t>
      </w:r>
      <w:r w:rsidRPr="007674BC">
        <w:rPr>
          <w:rFonts w:cs="Arial" w:hint="cs"/>
          <w:b/>
          <w:bCs/>
          <w:sz w:val="20"/>
          <w:szCs w:val="20"/>
          <w:rtl/>
        </w:rPr>
        <w:t>טהרה</w:t>
      </w:r>
      <w:r>
        <w:rPr>
          <w:rFonts w:cs="Arial" w:hint="cs"/>
          <w:sz w:val="20"/>
          <w:szCs w:val="20"/>
          <w:rtl/>
        </w:rPr>
        <w:t xml:space="preserve">' - </w:t>
      </w:r>
      <w:r>
        <w:rPr>
          <w:rFonts w:cs="Arial"/>
          <w:sz w:val="20"/>
          <w:szCs w:val="20"/>
          <w:rtl/>
        </w:rPr>
        <w:br/>
      </w:r>
      <w:r>
        <w:rPr>
          <w:rFonts w:cs="Arial" w:hint="cs"/>
          <w:sz w:val="20"/>
          <w:szCs w:val="20"/>
          <w:rtl/>
        </w:rPr>
        <w:t>א. אשה שלפעמים יוצא דם מחוטמה ורוצה לתלות בו, אם דרכה שבהכאה מועטה יוצא דם, תולה.</w:t>
      </w:r>
      <w:r>
        <w:rPr>
          <w:rFonts w:cs="Arial"/>
          <w:sz w:val="20"/>
          <w:szCs w:val="20"/>
          <w:rtl/>
        </w:rPr>
        <w:br/>
      </w:r>
      <w:r>
        <w:rPr>
          <w:rFonts w:cs="Arial" w:hint="cs"/>
          <w:sz w:val="20"/>
          <w:szCs w:val="20"/>
          <w:rtl/>
        </w:rPr>
        <w:t>ב. נראה לכאורה שיש לתלות בצואת תרנגולים משום שלפעמים הם אדומים.</w:t>
      </w:r>
      <w:r>
        <w:rPr>
          <w:rFonts w:cs="Arial"/>
          <w:sz w:val="20"/>
          <w:szCs w:val="20"/>
          <w:rtl/>
        </w:rPr>
        <w:br/>
      </w:r>
      <w:r>
        <w:rPr>
          <w:rFonts w:cs="Arial" w:hint="cs"/>
          <w:sz w:val="20"/>
          <w:szCs w:val="20"/>
          <w:rtl/>
        </w:rPr>
        <w:t>ג. פעמים שלאחר עישון טבק נופל מעט ליחה אדומה מהחוטם, ולכן אם היא או בעלה שואפים טבק יש להקל.</w:t>
      </w:r>
      <w:r>
        <w:rPr>
          <w:rFonts w:cs="Arial"/>
          <w:sz w:val="20"/>
          <w:szCs w:val="20"/>
          <w:rtl/>
        </w:rPr>
        <w:br/>
      </w:r>
      <w:r>
        <w:rPr>
          <w:rFonts w:cs="Arial" w:hint="cs"/>
          <w:sz w:val="20"/>
          <w:szCs w:val="20"/>
          <w:rtl/>
        </w:rPr>
        <w:t>ד. לפעמים עוטפים את התינוק בבגד אדום ולאחר שהוא משתין הבגד מכתים את האשה באדום, ויש להקל.</w:t>
      </w:r>
      <w:r>
        <w:rPr>
          <w:rFonts w:cs="Arial"/>
          <w:sz w:val="20"/>
          <w:szCs w:val="20"/>
          <w:rtl/>
        </w:rPr>
        <w:br/>
      </w:r>
      <w:r>
        <w:rPr>
          <w:rFonts w:cs="Arial" w:hint="cs"/>
          <w:sz w:val="20"/>
          <w:szCs w:val="20"/>
          <w:rtl/>
        </w:rPr>
        <w:t>ה. כמו כן אם לובשת גרביים אדומות והזיעה בהן, ייתכן שחלוקה הוכתם מהן ויש להקל.</w:t>
      </w:r>
      <w:r>
        <w:rPr>
          <w:rFonts w:cs="Arial"/>
          <w:sz w:val="20"/>
          <w:szCs w:val="20"/>
          <w:rtl/>
        </w:rPr>
        <w:br/>
      </w:r>
      <w:r>
        <w:rPr>
          <w:rFonts w:cs="Arial" w:hint="cs"/>
          <w:sz w:val="20"/>
          <w:szCs w:val="20"/>
          <w:rtl/>
        </w:rPr>
        <w:t xml:space="preserve">ו. בכל האמור בסעיף זה שיש להקל, אפילו אם הדם אינו יכול להגיע להדיא למקום שנמצא הכתם, אלא שיודעת שנגעה במקום המלוכלך בדם, יש להקל. לכן כתמי נשי הקצבים טהורים, משום שרגילות לגעת בידיהן בדם </w:t>
      </w:r>
      <w:r>
        <w:rPr>
          <w:rFonts w:cs="Arial"/>
          <w:sz w:val="18"/>
          <w:szCs w:val="18"/>
          <w:rtl/>
        </w:rPr>
        <w:br/>
      </w:r>
      <w:r w:rsidRPr="007674BC">
        <w:rPr>
          <w:rFonts w:cs="Arial" w:hint="cs"/>
          <w:sz w:val="18"/>
          <w:szCs w:val="18"/>
          <w:rtl/>
        </w:rPr>
        <w:t>(וכן מבואר לעיל בס</w:t>
      </w:r>
      <w:r>
        <w:rPr>
          <w:rFonts w:cs="Arial" w:hint="cs"/>
          <w:sz w:val="18"/>
          <w:szCs w:val="18"/>
          <w:rtl/>
        </w:rPr>
        <w:t>וף ס</w:t>
      </w:r>
      <w:r w:rsidRPr="007674BC">
        <w:rPr>
          <w:rFonts w:cs="Arial" w:hint="cs"/>
          <w:sz w:val="18"/>
          <w:szCs w:val="18"/>
          <w:rtl/>
        </w:rPr>
        <w:t xml:space="preserve">עיף יא לעניין תלייה </w:t>
      </w:r>
      <w:r>
        <w:rPr>
          <w:rFonts w:cs="Arial" w:hint="cs"/>
          <w:sz w:val="18"/>
          <w:szCs w:val="18"/>
          <w:rtl/>
        </w:rPr>
        <w:t>בעסק הכתמים</w:t>
      </w:r>
      <w:r w:rsidRPr="007674BC">
        <w:rPr>
          <w:rFonts w:cs="Arial" w:hint="cs"/>
          <w:sz w:val="18"/>
          <w:szCs w:val="18"/>
          <w:rtl/>
        </w:rPr>
        <w:t xml:space="preserve">). </w:t>
      </w:r>
    </w:p>
    <w:p w:rsidR="00620060" w:rsidRDefault="00620060" w:rsidP="00620060">
      <w:pPr>
        <w:rPr>
          <w:rFonts w:cs="Arial"/>
          <w:sz w:val="20"/>
          <w:szCs w:val="20"/>
          <w:rtl/>
        </w:rPr>
      </w:pPr>
      <w:r>
        <w:rPr>
          <w:rFonts w:cs="Arial"/>
          <w:sz w:val="20"/>
          <w:szCs w:val="20"/>
          <w:rtl/>
        </w:rPr>
        <w:br/>
      </w:r>
      <w:r>
        <w:rPr>
          <w:rFonts w:cs="Arial" w:hint="cs"/>
          <w:b/>
          <w:bCs/>
          <w:sz w:val="20"/>
          <w:szCs w:val="20"/>
          <w:rtl/>
        </w:rPr>
        <w:t>סעיף יט - תליית הכתם בבנה ובבעלה</w:t>
      </w:r>
      <w:r>
        <w:rPr>
          <w:rFonts w:cs="Arial"/>
          <w:b/>
          <w:bCs/>
          <w:sz w:val="20"/>
          <w:szCs w:val="20"/>
          <w:rtl/>
        </w:rPr>
        <w:br/>
      </w:r>
      <w:r>
        <w:rPr>
          <w:rFonts w:cs="Arial" w:hint="cs"/>
          <w:b/>
          <w:bCs/>
          <w:sz w:val="20"/>
          <w:szCs w:val="20"/>
          <w:rtl/>
        </w:rPr>
        <w:t>מקור הדין</w:t>
      </w:r>
      <w:r>
        <w:rPr>
          <w:rFonts w:cs="Arial"/>
          <w:b/>
          <w:bCs/>
          <w:sz w:val="20"/>
          <w:szCs w:val="20"/>
          <w:rtl/>
        </w:rPr>
        <w:br/>
      </w:r>
      <w:r>
        <w:rPr>
          <w:rFonts w:cs="Arial" w:hint="cs"/>
          <w:b/>
          <w:bCs/>
          <w:sz w:val="20"/>
          <w:szCs w:val="20"/>
          <w:rtl/>
        </w:rPr>
        <w:t xml:space="preserve">משנה </w:t>
      </w:r>
      <w:r>
        <w:rPr>
          <w:rFonts w:cs="Arial" w:hint="cs"/>
          <w:sz w:val="20"/>
          <w:szCs w:val="20"/>
          <w:rtl/>
        </w:rPr>
        <w:t>(שם) "</w:t>
      </w:r>
      <w:r w:rsidRPr="00E60105">
        <w:rPr>
          <w:rFonts w:cs="Arial"/>
          <w:sz w:val="20"/>
          <w:szCs w:val="20"/>
          <w:rtl/>
        </w:rPr>
        <w:t>ותולה בבנה או בבעלה</w:t>
      </w:r>
      <w:r>
        <w:rPr>
          <w:rFonts w:cs="Arial" w:hint="cs"/>
          <w:sz w:val="20"/>
          <w:szCs w:val="20"/>
          <w:rtl/>
        </w:rPr>
        <w:t>"</w:t>
      </w:r>
      <w:r>
        <w:rPr>
          <w:rFonts w:cs="Arial"/>
          <w:sz w:val="20"/>
          <w:szCs w:val="20"/>
          <w:rtl/>
        </w:rPr>
        <w:br/>
      </w:r>
      <w:r w:rsidRPr="00E60105">
        <w:rPr>
          <w:rFonts w:cs="Arial" w:hint="cs"/>
          <w:b/>
          <w:bCs/>
          <w:sz w:val="20"/>
          <w:szCs w:val="20"/>
          <w:rtl/>
        </w:rPr>
        <w:t>רש</w:t>
      </w:r>
      <w:r>
        <w:rPr>
          <w:rFonts w:cs="Arial" w:hint="cs"/>
          <w:b/>
          <w:bCs/>
          <w:sz w:val="20"/>
          <w:szCs w:val="20"/>
          <w:rtl/>
        </w:rPr>
        <w:t xml:space="preserve">ב"א </w:t>
      </w:r>
      <w:r>
        <w:rPr>
          <w:rFonts w:cs="Arial"/>
          <w:sz w:val="20"/>
          <w:szCs w:val="20"/>
          <w:rtl/>
        </w:rPr>
        <w:t>–</w:t>
      </w:r>
      <w:r>
        <w:rPr>
          <w:rFonts w:cs="Arial" w:hint="cs"/>
          <w:sz w:val="20"/>
          <w:szCs w:val="20"/>
          <w:rtl/>
        </w:rPr>
        <w:t xml:space="preserve"> תולה בבנה ובבעלה אם התעסקו בדמים, וכן אם יש בהם מכה שראויה להתגלע ולהוציא דם.</w:t>
      </w:r>
      <w:r>
        <w:rPr>
          <w:rFonts w:cs="Arial"/>
          <w:sz w:val="20"/>
          <w:szCs w:val="20"/>
          <w:rtl/>
        </w:rPr>
        <w:br/>
      </w:r>
      <w:r>
        <w:rPr>
          <w:rFonts w:cs="Arial" w:hint="cs"/>
          <w:sz w:val="20"/>
          <w:szCs w:val="20"/>
          <w:rtl/>
        </w:rPr>
        <w:t xml:space="preserve">מסייג </w:t>
      </w:r>
      <w:r w:rsidRPr="006813F6">
        <w:rPr>
          <w:rFonts w:cs="Arial" w:hint="cs"/>
          <w:b/>
          <w:bCs/>
          <w:sz w:val="20"/>
          <w:szCs w:val="20"/>
          <w:rtl/>
        </w:rPr>
        <w:t>הרמב"ן</w:t>
      </w:r>
      <w:r>
        <w:rPr>
          <w:rFonts w:cs="Arial" w:hint="cs"/>
          <w:sz w:val="20"/>
          <w:szCs w:val="20"/>
          <w:rtl/>
        </w:rPr>
        <w:t xml:space="preserve"> </w:t>
      </w:r>
      <w:r>
        <w:rPr>
          <w:rFonts w:cs="Arial"/>
          <w:sz w:val="20"/>
          <w:szCs w:val="20"/>
          <w:rtl/>
        </w:rPr>
        <w:t>–</w:t>
      </w:r>
      <w:r>
        <w:rPr>
          <w:rFonts w:cs="Arial" w:hint="cs"/>
          <w:sz w:val="20"/>
          <w:szCs w:val="20"/>
          <w:rtl/>
        </w:rPr>
        <w:t xml:space="preserve"> אם התעסקו בדמים אך לא נמצא עליהם דם, אינה יכולה לתלות בהם, ופשוט.</w:t>
      </w:r>
      <w:r>
        <w:rPr>
          <w:rFonts w:cs="Arial"/>
          <w:sz w:val="20"/>
          <w:szCs w:val="20"/>
          <w:rtl/>
        </w:rPr>
        <w:br/>
      </w:r>
      <w:r>
        <w:rPr>
          <w:rFonts w:cs="Arial" w:hint="cs"/>
          <w:sz w:val="20"/>
          <w:szCs w:val="20"/>
          <w:rtl/>
        </w:rPr>
        <w:t>ואמנם, אם התעסקו בדבר שדרכו להתיז דם, אפילו אם לא נמצא עליהם דם תולה בהם שמא ניתז עליה.</w:t>
      </w:r>
    </w:p>
    <w:p w:rsidR="00620060" w:rsidRDefault="00620060" w:rsidP="00620060">
      <w:pPr>
        <w:rPr>
          <w:rFonts w:cs="Arial"/>
          <w:sz w:val="20"/>
          <w:szCs w:val="20"/>
          <w:rtl/>
        </w:rPr>
      </w:pPr>
      <w:r>
        <w:rPr>
          <w:rFonts w:cs="Arial" w:hint="cs"/>
          <w:b/>
          <w:bCs/>
          <w:sz w:val="20"/>
          <w:szCs w:val="20"/>
          <w:rtl/>
        </w:rPr>
        <w:t>פסיקת הלכה</w:t>
      </w:r>
      <w:r>
        <w:rPr>
          <w:rFonts w:cs="Arial"/>
          <w:b/>
          <w:bCs/>
          <w:sz w:val="20"/>
          <w:szCs w:val="20"/>
          <w:rtl/>
        </w:rPr>
        <w:br/>
      </w:r>
      <w:r>
        <w:rPr>
          <w:rFonts w:cs="Arial" w:hint="cs"/>
          <w:b/>
          <w:bCs/>
          <w:sz w:val="20"/>
          <w:szCs w:val="20"/>
          <w:rtl/>
        </w:rPr>
        <w:t>שולחן ערוך</w:t>
      </w:r>
      <w:r>
        <w:rPr>
          <w:rFonts w:cs="Arial" w:hint="cs"/>
          <w:sz w:val="20"/>
          <w:szCs w:val="20"/>
          <w:rtl/>
        </w:rPr>
        <w:t xml:space="preserve"> </w:t>
      </w:r>
      <w:r>
        <w:rPr>
          <w:rFonts w:cs="Arial"/>
          <w:sz w:val="20"/>
          <w:szCs w:val="20"/>
          <w:rtl/>
        </w:rPr>
        <w:t>–</w:t>
      </w:r>
      <w:r>
        <w:rPr>
          <w:rFonts w:cs="Arial" w:hint="cs"/>
          <w:sz w:val="20"/>
          <w:szCs w:val="20"/>
          <w:rtl/>
        </w:rPr>
        <w:t xml:space="preserve"> "</w:t>
      </w:r>
      <w:r w:rsidRPr="006813F6">
        <w:rPr>
          <w:rFonts w:cs="Arial"/>
          <w:sz w:val="20"/>
          <w:szCs w:val="20"/>
          <w:rtl/>
        </w:rPr>
        <w:t>כשם שתולה בה כך תולה בבנה ובבעלה אם נתעסקו בכתמים או אם יש בהם מכה, לפי שדרכם ליגע בה. אבל אם היו עסוקים בדם ולא נמצא בהם דם, אינה תולה בהם א</w:t>
      </w:r>
      <w:r>
        <w:rPr>
          <w:rFonts w:cs="Arial" w:hint="cs"/>
          <w:sz w:val="20"/>
          <w:szCs w:val="20"/>
          <w:rtl/>
        </w:rPr>
        <w:t xml:space="preserve">לא אם כן </w:t>
      </w:r>
      <w:r w:rsidRPr="006813F6">
        <w:rPr>
          <w:rFonts w:cs="Arial"/>
          <w:sz w:val="20"/>
          <w:szCs w:val="20"/>
          <w:rtl/>
        </w:rPr>
        <w:t>היו עסוקים בדבר שדרכו לינתז כגון שחיטה וכיוצא בה</w:t>
      </w:r>
      <w:r>
        <w:rPr>
          <w:rFonts w:cs="Arial" w:hint="cs"/>
          <w:sz w:val="20"/>
          <w:szCs w:val="20"/>
          <w:rtl/>
        </w:rPr>
        <w:t>"</w:t>
      </w:r>
      <w:r w:rsidRPr="006813F6">
        <w:rPr>
          <w:rFonts w:cs="Arial"/>
          <w:sz w:val="20"/>
          <w:szCs w:val="20"/>
          <w:rtl/>
        </w:rPr>
        <w:t>.</w:t>
      </w:r>
    </w:p>
    <w:p w:rsidR="00620060" w:rsidRDefault="00620060" w:rsidP="00620060">
      <w:pPr>
        <w:rPr>
          <w:rFonts w:cs="Arial"/>
          <w:sz w:val="18"/>
          <w:szCs w:val="18"/>
          <w:rtl/>
        </w:rPr>
      </w:pPr>
      <w:r>
        <w:rPr>
          <w:rFonts w:cs="Arial" w:hint="cs"/>
          <w:sz w:val="20"/>
          <w:szCs w:val="20"/>
          <w:u w:val="single"/>
          <w:rtl/>
        </w:rPr>
        <w:lastRenderedPageBreak/>
        <w:t>מתי תולה בבנה ובבעלה (פת"ש)</w:t>
      </w:r>
      <w:r>
        <w:rPr>
          <w:rFonts w:cs="Arial" w:hint="cs"/>
          <w:sz w:val="20"/>
          <w:szCs w:val="20"/>
          <w:u w:val="single"/>
          <w:rtl/>
        </w:rPr>
        <w:br/>
      </w:r>
      <w:r w:rsidRPr="004F35D5">
        <w:rPr>
          <w:rFonts w:cs="Arial" w:hint="cs"/>
          <w:b/>
          <w:bCs/>
          <w:sz w:val="20"/>
          <w:szCs w:val="20"/>
          <w:rtl/>
        </w:rPr>
        <w:t>סדרי טהרה</w:t>
      </w:r>
      <w:r w:rsidRPr="004F35D5">
        <w:rPr>
          <w:rFonts w:cs="Arial" w:hint="cs"/>
          <w:sz w:val="20"/>
          <w:szCs w:val="20"/>
          <w:rtl/>
        </w:rPr>
        <w:t xml:space="preserve"> </w:t>
      </w:r>
      <w:r w:rsidRPr="003A5B24">
        <w:rPr>
          <w:rFonts w:cs="Arial" w:hint="cs"/>
          <w:sz w:val="18"/>
          <w:szCs w:val="18"/>
          <w:rtl/>
        </w:rPr>
        <w:t xml:space="preserve">(בהסבר דברי </w:t>
      </w:r>
      <w:r w:rsidRPr="003A5B24">
        <w:rPr>
          <w:rFonts w:cs="Arial" w:hint="cs"/>
          <w:b/>
          <w:bCs/>
          <w:sz w:val="18"/>
          <w:szCs w:val="18"/>
          <w:rtl/>
        </w:rPr>
        <w:t>הפרישה</w:t>
      </w:r>
      <w:r w:rsidRPr="003A5B24">
        <w:rPr>
          <w:rFonts w:cs="Arial" w:hint="cs"/>
          <w:sz w:val="18"/>
          <w:szCs w:val="18"/>
          <w:rtl/>
        </w:rPr>
        <w:t xml:space="preserve">) </w:t>
      </w:r>
      <w:r w:rsidRPr="004F35D5">
        <w:rPr>
          <w:rFonts w:cs="Arial"/>
          <w:sz w:val="20"/>
          <w:szCs w:val="20"/>
          <w:rtl/>
        </w:rPr>
        <w:t>–</w:t>
      </w:r>
      <w:r w:rsidRPr="004F35D5">
        <w:rPr>
          <w:rFonts w:cs="Arial" w:hint="cs"/>
          <w:sz w:val="20"/>
          <w:szCs w:val="20"/>
          <w:rtl/>
        </w:rPr>
        <w:t xml:space="preserve"> כשבנה או בעלה התעסקו בכתמים תולה אפילו דם הנמצא </w:t>
      </w:r>
      <w:r w:rsidRPr="004F35D5">
        <w:rPr>
          <w:rFonts w:cs="Arial" w:hint="cs"/>
          <w:sz w:val="20"/>
          <w:szCs w:val="20"/>
          <w:u w:val="single"/>
          <w:rtl/>
        </w:rPr>
        <w:t>בבשרה</w:t>
      </w:r>
      <w:r w:rsidRPr="004F35D5">
        <w:rPr>
          <w:rStyle w:val="a5"/>
          <w:rFonts w:cs="Arial"/>
          <w:sz w:val="20"/>
          <w:szCs w:val="20"/>
          <w:rtl/>
        </w:rPr>
        <w:footnoteReference w:id="305"/>
      </w:r>
      <w:r w:rsidRPr="004F35D5">
        <w:rPr>
          <w:rFonts w:cs="Arial" w:hint="cs"/>
          <w:sz w:val="20"/>
          <w:szCs w:val="20"/>
          <w:rtl/>
        </w:rPr>
        <w:t xml:space="preserve">, </w:t>
      </w:r>
      <w:r>
        <w:rPr>
          <w:rFonts w:cs="Arial"/>
          <w:sz w:val="20"/>
          <w:szCs w:val="20"/>
          <w:rtl/>
        </w:rPr>
        <w:br/>
      </w:r>
      <w:r w:rsidRPr="004F35D5">
        <w:rPr>
          <w:rFonts w:cs="Arial" w:hint="cs"/>
          <w:sz w:val="20"/>
          <w:szCs w:val="20"/>
          <w:rtl/>
        </w:rPr>
        <w:t xml:space="preserve">אך בסיפא של הסעיף כשבנה או בעלה עסקו בדבר שדרכו להתיז דם, תולה רק אם הדם נמצא </w:t>
      </w:r>
      <w:r>
        <w:rPr>
          <w:rFonts w:cs="Arial" w:hint="cs"/>
          <w:sz w:val="20"/>
          <w:szCs w:val="20"/>
          <w:rtl/>
        </w:rPr>
        <w:t xml:space="preserve">גם </w:t>
      </w:r>
      <w:r w:rsidRPr="004F35D5">
        <w:rPr>
          <w:rFonts w:cs="Arial" w:hint="cs"/>
          <w:sz w:val="20"/>
          <w:szCs w:val="20"/>
          <w:u w:val="single"/>
          <w:rtl/>
        </w:rPr>
        <w:t>בחלוקה</w:t>
      </w:r>
      <w:r w:rsidRPr="004F35D5">
        <w:rPr>
          <w:rFonts w:cs="Arial" w:hint="cs"/>
          <w:sz w:val="20"/>
          <w:szCs w:val="20"/>
          <w:rtl/>
        </w:rPr>
        <w:t>.</w:t>
      </w:r>
      <w:r w:rsidRPr="004F35D5">
        <w:rPr>
          <w:rFonts w:cs="Arial"/>
          <w:sz w:val="20"/>
          <w:szCs w:val="20"/>
          <w:rtl/>
        </w:rPr>
        <w:br/>
      </w:r>
      <w:r w:rsidRPr="004F35D5">
        <w:rPr>
          <w:rFonts w:cs="Arial" w:hint="cs"/>
          <w:b/>
          <w:bCs/>
          <w:sz w:val="20"/>
          <w:szCs w:val="20"/>
          <w:rtl/>
        </w:rPr>
        <w:t>טעם</w:t>
      </w:r>
      <w:r w:rsidRPr="004F35D5">
        <w:rPr>
          <w:rFonts w:cs="Arial" w:hint="cs"/>
          <w:sz w:val="20"/>
          <w:szCs w:val="20"/>
          <w:rtl/>
        </w:rPr>
        <w:t xml:space="preserve"> </w:t>
      </w:r>
      <w:r w:rsidRPr="004F35D5">
        <w:rPr>
          <w:rFonts w:cs="Arial"/>
          <w:sz w:val="20"/>
          <w:szCs w:val="20"/>
          <w:rtl/>
        </w:rPr>
        <w:t>–</w:t>
      </w:r>
      <w:r w:rsidRPr="004F35D5">
        <w:rPr>
          <w:rFonts w:cs="Arial" w:hint="cs"/>
          <w:sz w:val="20"/>
          <w:szCs w:val="20"/>
          <w:rtl/>
        </w:rPr>
        <w:t xml:space="preserve"> דבר שדרכו להתיז דם לא עדיף משוק של טבחים, וכפי שבשוק </w:t>
      </w:r>
      <w:r>
        <w:rPr>
          <w:rFonts w:cs="Arial" w:hint="cs"/>
          <w:sz w:val="20"/>
          <w:szCs w:val="20"/>
          <w:rtl/>
        </w:rPr>
        <w:t>כתם</w:t>
      </w:r>
      <w:r w:rsidRPr="004F35D5">
        <w:rPr>
          <w:rFonts w:cs="Arial" w:hint="cs"/>
          <w:sz w:val="20"/>
          <w:szCs w:val="20"/>
          <w:rtl/>
        </w:rPr>
        <w:t xml:space="preserve"> על בשרה טמא, הוא הדין כאן.</w:t>
      </w:r>
    </w:p>
    <w:p w:rsidR="00620060" w:rsidRDefault="00620060" w:rsidP="00620060">
      <w:pPr>
        <w:rPr>
          <w:rFonts w:cs="Arial"/>
          <w:sz w:val="20"/>
          <w:szCs w:val="20"/>
          <w:rtl/>
        </w:rPr>
      </w:pPr>
      <w:r w:rsidRPr="006813F6">
        <w:rPr>
          <w:rFonts w:cs="Arial" w:hint="cs"/>
          <w:b/>
          <w:bCs/>
          <w:sz w:val="20"/>
          <w:szCs w:val="20"/>
          <w:rtl/>
        </w:rPr>
        <w:t>תליית הדם בנשים ששכבו עמה במיטה</w:t>
      </w:r>
      <w:r>
        <w:rPr>
          <w:rFonts w:cs="Arial"/>
          <w:sz w:val="18"/>
          <w:szCs w:val="18"/>
          <w:rtl/>
        </w:rPr>
        <w:br/>
      </w:r>
      <w:r w:rsidRPr="00FF1E4E">
        <w:rPr>
          <w:rFonts w:cs="Arial" w:hint="cs"/>
          <w:b/>
          <w:bCs/>
          <w:sz w:val="20"/>
          <w:szCs w:val="20"/>
          <w:rtl/>
        </w:rPr>
        <w:t>רמ"א</w:t>
      </w:r>
      <w:r w:rsidRPr="006813F6">
        <w:rPr>
          <w:rFonts w:cs="Arial" w:hint="cs"/>
          <w:sz w:val="20"/>
          <w:szCs w:val="20"/>
          <w:rtl/>
        </w:rPr>
        <w:t xml:space="preserve"> </w:t>
      </w:r>
      <w:r>
        <w:rPr>
          <w:rFonts w:cs="Arial" w:hint="cs"/>
          <w:sz w:val="18"/>
          <w:szCs w:val="18"/>
          <w:rtl/>
        </w:rPr>
        <w:t xml:space="preserve">(ע"פ </w:t>
      </w:r>
      <w:r w:rsidRPr="006813F6">
        <w:rPr>
          <w:rFonts w:cs="Arial" w:hint="cs"/>
          <w:b/>
          <w:bCs/>
          <w:sz w:val="18"/>
          <w:szCs w:val="18"/>
          <w:rtl/>
        </w:rPr>
        <w:t>המרדכי</w:t>
      </w:r>
      <w:r>
        <w:rPr>
          <w:rFonts w:cs="Arial" w:hint="cs"/>
          <w:sz w:val="18"/>
          <w:szCs w:val="18"/>
          <w:rtl/>
        </w:rPr>
        <w:t>) - "</w:t>
      </w:r>
      <w:r w:rsidRPr="006813F6">
        <w:rPr>
          <w:rFonts w:cs="Arial"/>
          <w:sz w:val="18"/>
          <w:szCs w:val="18"/>
          <w:rtl/>
        </w:rPr>
        <w:t>הגה: וה</w:t>
      </w:r>
      <w:r>
        <w:rPr>
          <w:rFonts w:cs="Arial" w:hint="cs"/>
          <w:sz w:val="18"/>
          <w:szCs w:val="18"/>
          <w:rtl/>
        </w:rPr>
        <w:t xml:space="preserve">וא </w:t>
      </w:r>
      <w:r w:rsidRPr="006813F6">
        <w:rPr>
          <w:rFonts w:cs="Arial"/>
          <w:sz w:val="18"/>
          <w:szCs w:val="18"/>
          <w:rtl/>
        </w:rPr>
        <w:t>ה</w:t>
      </w:r>
      <w:r>
        <w:rPr>
          <w:rFonts w:cs="Arial" w:hint="cs"/>
          <w:sz w:val="18"/>
          <w:szCs w:val="18"/>
          <w:rtl/>
        </w:rPr>
        <w:t>דין</w:t>
      </w:r>
      <w:r w:rsidRPr="006813F6">
        <w:rPr>
          <w:rFonts w:cs="Arial"/>
          <w:sz w:val="18"/>
          <w:szCs w:val="18"/>
          <w:rtl/>
        </w:rPr>
        <w:t xml:space="preserve"> אם שכבה במטה עם נשים שיש להם מכות בגופן, תולה בהן כמו בבנה ובעלה</w:t>
      </w:r>
      <w:r w:rsidRPr="006813F6">
        <w:rPr>
          <w:rFonts w:cs="Arial" w:hint="cs"/>
          <w:sz w:val="18"/>
          <w:szCs w:val="18"/>
          <w:rtl/>
        </w:rPr>
        <w:t>".</w:t>
      </w:r>
    </w:p>
    <w:p w:rsidR="00620060" w:rsidRDefault="00620060" w:rsidP="00620060">
      <w:pPr>
        <w:rPr>
          <w:rFonts w:cs="Arial"/>
          <w:sz w:val="20"/>
          <w:szCs w:val="20"/>
          <w:rtl/>
        </w:rPr>
      </w:pPr>
      <w:r>
        <w:rPr>
          <w:rFonts w:cs="Arial"/>
          <w:sz w:val="20"/>
          <w:szCs w:val="20"/>
          <w:rtl/>
        </w:rPr>
        <w:br/>
      </w:r>
      <w:r>
        <w:rPr>
          <w:rFonts w:cs="Arial" w:hint="cs"/>
          <w:b/>
          <w:bCs/>
          <w:sz w:val="20"/>
          <w:szCs w:val="20"/>
          <w:rtl/>
        </w:rPr>
        <w:t xml:space="preserve">סעיף כ </w:t>
      </w:r>
      <w:r>
        <w:rPr>
          <w:rFonts w:cs="Arial"/>
          <w:b/>
          <w:bCs/>
          <w:sz w:val="20"/>
          <w:szCs w:val="20"/>
          <w:rtl/>
        </w:rPr>
        <w:t>–</w:t>
      </w:r>
      <w:r>
        <w:rPr>
          <w:rFonts w:cs="Arial" w:hint="cs"/>
          <w:b/>
          <w:bCs/>
          <w:sz w:val="20"/>
          <w:szCs w:val="20"/>
          <w:rtl/>
        </w:rPr>
        <w:t xml:space="preserve"> מי שיוצא דם מפי אמתו</w:t>
      </w:r>
      <w:r>
        <w:rPr>
          <w:rFonts w:cs="Arial"/>
          <w:b/>
          <w:bCs/>
          <w:sz w:val="20"/>
          <w:szCs w:val="20"/>
          <w:rtl/>
        </w:rPr>
        <w:br/>
      </w:r>
      <w:r>
        <w:rPr>
          <w:rFonts w:cs="Arial" w:hint="cs"/>
          <w:b/>
          <w:bCs/>
          <w:sz w:val="20"/>
          <w:szCs w:val="20"/>
          <w:rtl/>
        </w:rPr>
        <w:t>פסיקת הלכה</w:t>
      </w:r>
      <w:r>
        <w:rPr>
          <w:rFonts w:cs="Arial"/>
          <w:b/>
          <w:bCs/>
          <w:sz w:val="20"/>
          <w:szCs w:val="20"/>
          <w:rtl/>
        </w:rPr>
        <w:br/>
      </w:r>
      <w:r>
        <w:rPr>
          <w:rFonts w:cs="Arial" w:hint="cs"/>
          <w:b/>
          <w:bCs/>
          <w:sz w:val="20"/>
          <w:szCs w:val="20"/>
          <w:rtl/>
        </w:rPr>
        <w:t xml:space="preserve">שולחן ערוך </w:t>
      </w:r>
      <w:r w:rsidRPr="00855A0C">
        <w:rPr>
          <w:rFonts w:cs="Arial" w:hint="cs"/>
          <w:sz w:val="18"/>
          <w:szCs w:val="18"/>
          <w:rtl/>
        </w:rPr>
        <w:t xml:space="preserve">(ע"פ </w:t>
      </w:r>
      <w:r>
        <w:rPr>
          <w:rFonts w:cs="Arial" w:hint="cs"/>
          <w:sz w:val="18"/>
          <w:szCs w:val="18"/>
          <w:rtl/>
        </w:rPr>
        <w:t xml:space="preserve">תשובת </w:t>
      </w:r>
      <w:r w:rsidRPr="00154EDC">
        <w:rPr>
          <w:rFonts w:cs="Arial" w:hint="cs"/>
          <w:b/>
          <w:bCs/>
          <w:sz w:val="18"/>
          <w:szCs w:val="18"/>
          <w:rtl/>
        </w:rPr>
        <w:t>הרשב"א</w:t>
      </w:r>
      <w:r w:rsidRPr="00855A0C">
        <w:rPr>
          <w:rFonts w:cs="Arial" w:hint="cs"/>
          <w:sz w:val="18"/>
          <w:szCs w:val="18"/>
          <w:rtl/>
        </w:rPr>
        <w:t xml:space="preserve">) </w:t>
      </w:r>
      <w:r>
        <w:rPr>
          <w:rFonts w:cs="Arial"/>
          <w:sz w:val="20"/>
          <w:szCs w:val="20"/>
          <w:rtl/>
        </w:rPr>
        <w:t>–</w:t>
      </w:r>
      <w:r>
        <w:rPr>
          <w:rFonts w:cs="Arial" w:hint="cs"/>
          <w:sz w:val="20"/>
          <w:szCs w:val="20"/>
          <w:rtl/>
        </w:rPr>
        <w:t xml:space="preserve"> "</w:t>
      </w:r>
      <w:r w:rsidRPr="00855A0C">
        <w:rPr>
          <w:rFonts w:cs="Arial"/>
          <w:sz w:val="20"/>
          <w:szCs w:val="20"/>
          <w:rtl/>
        </w:rPr>
        <w:t>מי שרגיל לצאת ממנו דם דרך פי האמה, ובשעת תשמ</w:t>
      </w:r>
      <w:r>
        <w:rPr>
          <w:rFonts w:cs="Arial"/>
          <w:sz w:val="20"/>
          <w:szCs w:val="20"/>
          <w:rtl/>
        </w:rPr>
        <w:t>יש נמצא בעד האשה דם, תולה בבעלה</w:t>
      </w:r>
      <w:r>
        <w:rPr>
          <w:rFonts w:cs="Arial" w:hint="cs"/>
          <w:sz w:val="20"/>
          <w:szCs w:val="20"/>
          <w:rtl/>
        </w:rPr>
        <w:t>".</w:t>
      </w:r>
    </w:p>
    <w:p w:rsidR="00620060" w:rsidRDefault="00620060" w:rsidP="00620060">
      <w:pPr>
        <w:rPr>
          <w:rFonts w:cs="Arial"/>
          <w:sz w:val="20"/>
          <w:szCs w:val="20"/>
          <w:rtl/>
        </w:rPr>
      </w:pPr>
      <w:r>
        <w:rPr>
          <w:rFonts w:cs="Arial" w:hint="cs"/>
          <w:sz w:val="20"/>
          <w:szCs w:val="20"/>
          <w:u w:val="single"/>
          <w:rtl/>
        </w:rPr>
        <w:t>נמצא דם רק בשעת הטלת מי רגליים (פת"ש)</w:t>
      </w:r>
      <w:r>
        <w:rPr>
          <w:rFonts w:cs="Arial" w:hint="cs"/>
          <w:sz w:val="20"/>
          <w:szCs w:val="20"/>
          <w:u w:val="single"/>
          <w:rtl/>
        </w:rPr>
        <w:br/>
      </w:r>
      <w:r w:rsidRPr="007A761E">
        <w:rPr>
          <w:rFonts w:cs="Arial" w:hint="cs"/>
          <w:b/>
          <w:bCs/>
          <w:sz w:val="20"/>
          <w:szCs w:val="20"/>
          <w:rtl/>
        </w:rPr>
        <w:t>נודע ביהודה</w:t>
      </w:r>
      <w:r>
        <w:rPr>
          <w:rFonts w:cs="Arial" w:hint="cs"/>
          <w:sz w:val="20"/>
          <w:szCs w:val="20"/>
          <w:rtl/>
        </w:rPr>
        <w:t xml:space="preserve"> </w:t>
      </w:r>
      <w:r>
        <w:rPr>
          <w:rFonts w:cs="Arial"/>
          <w:sz w:val="20"/>
          <w:szCs w:val="20"/>
          <w:rtl/>
        </w:rPr>
        <w:t>–</w:t>
      </w:r>
      <w:r>
        <w:rPr>
          <w:rFonts w:cs="Arial" w:hint="cs"/>
          <w:sz w:val="20"/>
          <w:szCs w:val="20"/>
          <w:rtl/>
        </w:rPr>
        <w:t xml:space="preserve"> מי שרגיל שיוצא ממנו דם </w:t>
      </w:r>
      <w:r w:rsidRPr="00855A0C">
        <w:rPr>
          <w:rFonts w:cs="Arial" w:hint="cs"/>
          <w:sz w:val="20"/>
          <w:szCs w:val="20"/>
          <w:u w:val="single"/>
          <w:rtl/>
        </w:rPr>
        <w:t>רק</w:t>
      </w:r>
      <w:r>
        <w:rPr>
          <w:rFonts w:cs="Arial" w:hint="cs"/>
          <w:sz w:val="20"/>
          <w:szCs w:val="20"/>
          <w:rtl/>
        </w:rPr>
        <w:t xml:space="preserve"> בשעת הטלת מי רגליים, לא מהני לטהר את האשה.</w:t>
      </w:r>
    </w:p>
    <w:p w:rsidR="00620060" w:rsidRDefault="00620060" w:rsidP="00620060">
      <w:pPr>
        <w:rPr>
          <w:rFonts w:cs="Arial"/>
          <w:sz w:val="20"/>
          <w:szCs w:val="20"/>
          <w:u w:val="single"/>
          <w:rtl/>
        </w:rPr>
      </w:pPr>
      <w:r>
        <w:rPr>
          <w:rFonts w:cs="Arial" w:hint="cs"/>
          <w:sz w:val="20"/>
          <w:szCs w:val="20"/>
          <w:u w:val="single"/>
          <w:rtl/>
        </w:rPr>
        <w:t>ראתה דם כמה ימים לאחר התשמיש (פת"ש)</w:t>
      </w:r>
      <w:r>
        <w:rPr>
          <w:rFonts w:cs="Arial"/>
          <w:sz w:val="20"/>
          <w:szCs w:val="20"/>
          <w:u w:val="single"/>
          <w:rtl/>
        </w:rPr>
        <w:br/>
      </w:r>
      <w:r w:rsidRPr="00855A0C">
        <w:rPr>
          <w:rFonts w:cs="Arial" w:hint="cs"/>
          <w:b/>
          <w:bCs/>
          <w:sz w:val="20"/>
          <w:szCs w:val="20"/>
          <w:rtl/>
        </w:rPr>
        <w:t>מהרי"ט</w:t>
      </w:r>
      <w:r>
        <w:rPr>
          <w:rFonts w:cs="Arial" w:hint="cs"/>
          <w:sz w:val="20"/>
          <w:szCs w:val="20"/>
          <w:rtl/>
        </w:rPr>
        <w:t xml:space="preserve"> </w:t>
      </w:r>
      <w:r>
        <w:rPr>
          <w:rFonts w:cs="Arial"/>
          <w:sz w:val="20"/>
          <w:szCs w:val="20"/>
          <w:rtl/>
        </w:rPr>
        <w:t>–</w:t>
      </w:r>
      <w:r>
        <w:rPr>
          <w:rFonts w:cs="Arial" w:hint="cs"/>
          <w:sz w:val="20"/>
          <w:szCs w:val="20"/>
          <w:rtl/>
        </w:rPr>
        <w:t xml:space="preserve"> הוא הדין שיש לטהר אשה ששימשה עם בעלה ולאחר כמה ימים בעת שיוצא השכבת זרע מגופה ראתה דם, שאף בכה"ג יש לתלות את הדם בבעלה.</w:t>
      </w:r>
    </w:p>
    <w:p w:rsidR="00620060" w:rsidRDefault="00620060" w:rsidP="00620060">
      <w:pPr>
        <w:rPr>
          <w:rFonts w:cs="Arial"/>
          <w:sz w:val="20"/>
          <w:szCs w:val="20"/>
          <w:rtl/>
        </w:rPr>
      </w:pPr>
      <w:r>
        <w:rPr>
          <w:rFonts w:cs="Arial"/>
          <w:sz w:val="20"/>
          <w:szCs w:val="20"/>
          <w:u w:val="single"/>
          <w:rtl/>
        </w:rPr>
        <w:br/>
      </w:r>
      <w:r>
        <w:rPr>
          <w:rFonts w:cs="Arial" w:hint="cs"/>
          <w:b/>
          <w:bCs/>
          <w:sz w:val="20"/>
          <w:szCs w:val="20"/>
          <w:rtl/>
        </w:rPr>
        <w:t xml:space="preserve">סעיף כא </w:t>
      </w:r>
      <w:r>
        <w:rPr>
          <w:rFonts w:cs="Arial"/>
          <w:b/>
          <w:bCs/>
          <w:sz w:val="20"/>
          <w:szCs w:val="20"/>
          <w:rtl/>
        </w:rPr>
        <w:t>–</w:t>
      </w:r>
      <w:r>
        <w:rPr>
          <w:rFonts w:cs="Arial" w:hint="cs"/>
          <w:b/>
          <w:bCs/>
          <w:sz w:val="20"/>
          <w:szCs w:val="20"/>
          <w:rtl/>
        </w:rPr>
        <w:t xml:space="preserve"> כתם מאחורה ומכה מקדימה</w:t>
      </w:r>
      <w:r>
        <w:rPr>
          <w:rFonts w:cs="Arial"/>
          <w:b/>
          <w:bCs/>
          <w:sz w:val="20"/>
          <w:szCs w:val="20"/>
          <w:rtl/>
        </w:rPr>
        <w:br/>
      </w:r>
      <w:r>
        <w:rPr>
          <w:rFonts w:cs="Arial" w:hint="cs"/>
          <w:b/>
          <w:bCs/>
          <w:sz w:val="20"/>
          <w:szCs w:val="20"/>
          <w:rtl/>
        </w:rPr>
        <w:t>פסיקת הלכה</w:t>
      </w:r>
      <w:r>
        <w:rPr>
          <w:rFonts w:cs="Arial"/>
          <w:b/>
          <w:bCs/>
          <w:sz w:val="20"/>
          <w:szCs w:val="20"/>
          <w:rtl/>
        </w:rPr>
        <w:br/>
      </w:r>
      <w:r>
        <w:rPr>
          <w:rFonts w:cs="Arial" w:hint="cs"/>
          <w:b/>
          <w:bCs/>
          <w:sz w:val="20"/>
          <w:szCs w:val="20"/>
          <w:rtl/>
        </w:rPr>
        <w:t xml:space="preserve">שולחן ערוך </w:t>
      </w:r>
      <w:r w:rsidRPr="00154EDC">
        <w:rPr>
          <w:rFonts w:cs="Arial" w:hint="cs"/>
          <w:sz w:val="18"/>
          <w:szCs w:val="18"/>
          <w:rtl/>
        </w:rPr>
        <w:t xml:space="preserve">(ע"פ </w:t>
      </w:r>
      <w:r w:rsidRPr="00154EDC">
        <w:rPr>
          <w:rFonts w:cs="Arial" w:hint="cs"/>
          <w:b/>
          <w:bCs/>
          <w:sz w:val="18"/>
          <w:szCs w:val="18"/>
          <w:rtl/>
        </w:rPr>
        <w:t>הראב"ד</w:t>
      </w:r>
      <w:r w:rsidRPr="00154EDC">
        <w:rPr>
          <w:rFonts w:cs="Arial" w:hint="cs"/>
          <w:sz w:val="18"/>
          <w:szCs w:val="18"/>
          <w:rtl/>
        </w:rPr>
        <w:t xml:space="preserve">) </w:t>
      </w:r>
      <w:r>
        <w:rPr>
          <w:rFonts w:cs="Arial"/>
          <w:sz w:val="20"/>
          <w:szCs w:val="20"/>
          <w:rtl/>
        </w:rPr>
        <w:t>–</w:t>
      </w:r>
      <w:r>
        <w:rPr>
          <w:rFonts w:cs="Arial" w:hint="cs"/>
          <w:sz w:val="20"/>
          <w:szCs w:val="20"/>
          <w:rtl/>
        </w:rPr>
        <w:t xml:space="preserve"> "</w:t>
      </w:r>
      <w:r w:rsidRPr="00154EDC">
        <w:rPr>
          <w:rFonts w:cs="Arial"/>
          <w:sz w:val="20"/>
          <w:szCs w:val="20"/>
          <w:rtl/>
        </w:rPr>
        <w:t>היכא דאישתכח כתם בשיפולה מאחורה, ומכה איכא מקמא, תליא בה, דאפשר אדיתבא, הך דבת</w:t>
      </w:r>
      <w:r>
        <w:rPr>
          <w:rFonts w:cs="Arial"/>
          <w:sz w:val="20"/>
          <w:szCs w:val="20"/>
          <w:rtl/>
        </w:rPr>
        <w:t>רא אתא לקמה ונטפה בה מההיא מכה</w:t>
      </w:r>
      <w:r>
        <w:rPr>
          <w:rFonts w:cs="Arial" w:hint="cs"/>
          <w:sz w:val="20"/>
          <w:szCs w:val="20"/>
          <w:rtl/>
        </w:rPr>
        <w:t xml:space="preserve">". </w:t>
      </w:r>
      <w:r>
        <w:rPr>
          <w:rFonts w:cs="Arial" w:hint="cs"/>
          <w:sz w:val="20"/>
          <w:szCs w:val="20"/>
          <w:rtl/>
        </w:rPr>
        <w:br/>
      </w:r>
      <w:r>
        <w:rPr>
          <w:rFonts w:cs="Arial"/>
          <w:sz w:val="20"/>
          <w:szCs w:val="20"/>
          <w:rtl/>
        </w:rPr>
        <w:br/>
      </w:r>
      <w:r>
        <w:rPr>
          <w:rFonts w:cs="Arial" w:hint="cs"/>
          <w:sz w:val="20"/>
          <w:szCs w:val="20"/>
          <w:u w:val="single"/>
          <w:rtl/>
        </w:rPr>
        <w:t>הסבר</w:t>
      </w:r>
      <w:r>
        <w:rPr>
          <w:rFonts w:cs="Arial"/>
          <w:sz w:val="20"/>
          <w:szCs w:val="20"/>
          <w:u w:val="single"/>
          <w:rtl/>
        </w:rPr>
        <w:br/>
      </w:r>
      <w:r>
        <w:rPr>
          <w:rFonts w:cs="Arial" w:hint="cs"/>
          <w:sz w:val="20"/>
          <w:szCs w:val="20"/>
          <w:rtl/>
        </w:rPr>
        <w:t>נמצא כתם מאחורה במקום שמטמא, אם יש לה מכה מקדימה תולה בה וטהורה.</w:t>
      </w:r>
      <w:r>
        <w:rPr>
          <w:rFonts w:cs="Arial"/>
          <w:sz w:val="20"/>
          <w:szCs w:val="20"/>
          <w:rtl/>
        </w:rPr>
        <w:br/>
      </w:r>
      <w:r w:rsidRPr="00154EDC">
        <w:rPr>
          <w:rFonts w:cs="Arial" w:hint="cs"/>
          <w:b/>
          <w:bCs/>
          <w:sz w:val="20"/>
          <w:szCs w:val="20"/>
          <w:rtl/>
        </w:rPr>
        <w:t>טעם</w:t>
      </w:r>
      <w:r>
        <w:rPr>
          <w:rFonts w:cs="Arial" w:hint="cs"/>
          <w:sz w:val="20"/>
          <w:szCs w:val="20"/>
          <w:rtl/>
        </w:rPr>
        <w:t xml:space="preserve"> </w:t>
      </w:r>
      <w:r>
        <w:rPr>
          <w:rFonts w:cs="Arial"/>
          <w:sz w:val="20"/>
          <w:szCs w:val="20"/>
          <w:rtl/>
        </w:rPr>
        <w:t>–</w:t>
      </w:r>
      <w:r>
        <w:rPr>
          <w:rFonts w:cs="Arial" w:hint="cs"/>
          <w:sz w:val="20"/>
          <w:szCs w:val="20"/>
          <w:rtl/>
        </w:rPr>
        <w:t xml:space="preserve"> ייתכן שהחלוק בא לפנים ודם המכה נטף עליו.</w:t>
      </w:r>
    </w:p>
    <w:p w:rsidR="00620060" w:rsidRDefault="00620060" w:rsidP="00620060">
      <w:pPr>
        <w:rPr>
          <w:rFonts w:cs="Arial"/>
          <w:sz w:val="20"/>
          <w:szCs w:val="20"/>
          <w:rtl/>
        </w:rPr>
      </w:pPr>
      <w:r w:rsidRPr="0034706B">
        <w:rPr>
          <w:rFonts w:hint="cs"/>
          <w:b/>
          <w:bCs/>
          <w:sz w:val="20"/>
          <w:szCs w:val="20"/>
          <w:rtl/>
        </w:rPr>
        <w:t>סיכום</w:t>
      </w:r>
      <w:r>
        <w:rPr>
          <w:rFonts w:hint="cs"/>
          <w:sz w:val="20"/>
          <w:szCs w:val="20"/>
          <w:rtl/>
        </w:rPr>
        <w:t xml:space="preserve"> </w:t>
      </w:r>
      <w:r w:rsidRPr="00BE3F0D">
        <w:rPr>
          <w:rFonts w:hint="cs"/>
          <w:sz w:val="18"/>
          <w:szCs w:val="18"/>
          <w:rtl/>
        </w:rPr>
        <w:t>(מסעיף יד')</w:t>
      </w:r>
      <w:r>
        <w:rPr>
          <w:sz w:val="20"/>
          <w:szCs w:val="20"/>
          <w:rtl/>
        </w:rPr>
        <w:br/>
      </w:r>
      <w:r>
        <w:rPr>
          <w:rFonts w:cs="Arial" w:hint="cs"/>
          <w:sz w:val="20"/>
          <w:szCs w:val="20"/>
          <w:rtl/>
        </w:rPr>
        <w:t>1. כתם שנמצא בשנתה על כיסוי ראש שאינו מונח יפה על ראשה, טמא, חשש שמא חזר ובא כנגד אותו מקום. אך אם מהודק היטב אין חשש.</w:t>
      </w:r>
      <w:r>
        <w:rPr>
          <w:rFonts w:cs="Arial"/>
          <w:sz w:val="20"/>
          <w:szCs w:val="20"/>
          <w:rtl/>
        </w:rPr>
        <w:br/>
      </w:r>
      <w:r>
        <w:rPr>
          <w:rFonts w:hint="cs"/>
          <w:sz w:val="20"/>
          <w:szCs w:val="20"/>
          <w:rtl/>
        </w:rPr>
        <w:t>2. שתי נשים שכיסו</w:t>
      </w:r>
      <w:r>
        <w:rPr>
          <w:rFonts w:cs="Arial" w:hint="cs"/>
          <w:sz w:val="20"/>
          <w:szCs w:val="20"/>
          <w:rtl/>
        </w:rPr>
        <w:t xml:space="preserve"> ראשן בחלוק אחד ונמצא כתם </w:t>
      </w:r>
      <w:r>
        <w:rPr>
          <w:rFonts w:cs="Arial"/>
          <w:sz w:val="20"/>
          <w:szCs w:val="20"/>
          <w:rtl/>
        </w:rPr>
        <w:t>–</w:t>
      </w:r>
      <w:r>
        <w:rPr>
          <w:rFonts w:cs="Arial" w:hint="cs"/>
          <w:sz w:val="20"/>
          <w:szCs w:val="20"/>
          <w:rtl/>
        </w:rPr>
        <w:t xml:space="preserve"> טמאות. אם רק אחת כיסתה </w:t>
      </w:r>
      <w:r w:rsidRPr="00BE3F0D">
        <w:rPr>
          <w:rFonts w:cs="Arial" w:hint="cs"/>
          <w:sz w:val="18"/>
          <w:szCs w:val="18"/>
          <w:rtl/>
        </w:rPr>
        <w:t xml:space="preserve">(והשנייה לבשה כרגיל ונמצא למעלה מהחגור) </w:t>
      </w:r>
      <w:r>
        <w:rPr>
          <w:rFonts w:cs="Arial"/>
          <w:sz w:val="20"/>
          <w:szCs w:val="20"/>
          <w:rtl/>
        </w:rPr>
        <w:t>–</w:t>
      </w:r>
      <w:r>
        <w:rPr>
          <w:rFonts w:cs="Arial" w:hint="cs"/>
          <w:sz w:val="20"/>
          <w:szCs w:val="20"/>
          <w:rtl/>
        </w:rPr>
        <w:t xml:space="preserve"> רק היא טמאה.</w:t>
      </w:r>
      <w:r>
        <w:rPr>
          <w:rFonts w:cs="Arial" w:hint="cs"/>
          <w:sz w:val="20"/>
          <w:szCs w:val="20"/>
          <w:rtl/>
        </w:rPr>
        <w:br/>
        <w:t xml:space="preserve">3. נמצא כתם מחגור ולמטה ויש לה מכה למעלה, אם מתכסה בו </w:t>
      </w:r>
      <w:r>
        <w:rPr>
          <w:rFonts w:cs="Arial"/>
          <w:sz w:val="20"/>
          <w:szCs w:val="20"/>
          <w:rtl/>
        </w:rPr>
        <w:t>–</w:t>
      </w:r>
      <w:r>
        <w:rPr>
          <w:rFonts w:cs="Arial" w:hint="cs"/>
          <w:sz w:val="20"/>
          <w:szCs w:val="20"/>
          <w:rtl/>
        </w:rPr>
        <w:t xml:space="preserve"> טהורה.</w:t>
      </w:r>
      <w:r>
        <w:rPr>
          <w:rFonts w:cs="Arial"/>
          <w:sz w:val="20"/>
          <w:szCs w:val="20"/>
          <w:rtl/>
        </w:rPr>
        <w:br/>
      </w:r>
      <w:r>
        <w:rPr>
          <w:rFonts w:cs="Arial" w:hint="cs"/>
          <w:sz w:val="20"/>
          <w:szCs w:val="20"/>
          <w:rtl/>
        </w:rPr>
        <w:t>4. כתם למעלה מהחגור גדול מגריס ועוד, תולה בו כתם שנמצא למטה מהחגור וטהורה, ובלבד שלא הזדקרה.</w:t>
      </w:r>
      <w:r>
        <w:rPr>
          <w:rFonts w:cs="Arial"/>
          <w:sz w:val="20"/>
          <w:szCs w:val="20"/>
          <w:rtl/>
        </w:rPr>
        <w:br/>
      </w:r>
      <w:r>
        <w:rPr>
          <w:rFonts w:cs="Arial" w:hint="cs"/>
          <w:sz w:val="20"/>
          <w:szCs w:val="20"/>
          <w:rtl/>
        </w:rPr>
        <w:t xml:space="preserve">5. </w:t>
      </w:r>
      <w:r w:rsidRPr="0034706B">
        <w:rPr>
          <w:rFonts w:cs="Arial" w:hint="cs"/>
          <w:b/>
          <w:bCs/>
          <w:sz w:val="20"/>
          <w:szCs w:val="20"/>
          <w:rtl/>
        </w:rPr>
        <w:t>ש"ך</w:t>
      </w:r>
      <w:r>
        <w:rPr>
          <w:rFonts w:cs="Arial" w:hint="cs"/>
          <w:sz w:val="20"/>
          <w:szCs w:val="20"/>
          <w:rtl/>
        </w:rPr>
        <w:t xml:space="preserve">. אם אינה יודעת האם הזדקרה טמאה, דאל"כ הו"ל ב' תליות לקולא </w:t>
      </w:r>
      <w:r w:rsidRPr="00BE3F0D">
        <w:rPr>
          <w:rFonts w:cs="Arial" w:hint="cs"/>
          <w:sz w:val="18"/>
          <w:szCs w:val="18"/>
          <w:rtl/>
        </w:rPr>
        <w:t>(</w:t>
      </w:r>
      <w:r>
        <w:rPr>
          <w:rFonts w:cs="Arial" w:hint="cs"/>
          <w:sz w:val="18"/>
          <w:szCs w:val="18"/>
          <w:rtl/>
        </w:rPr>
        <w:t>לומר ש</w:t>
      </w:r>
      <w:r w:rsidRPr="00BE3F0D">
        <w:rPr>
          <w:rFonts w:cs="Arial" w:hint="cs"/>
          <w:sz w:val="18"/>
          <w:szCs w:val="18"/>
          <w:rtl/>
        </w:rPr>
        <w:t>לא הזדקרה ו</w:t>
      </w:r>
      <w:r>
        <w:rPr>
          <w:rFonts w:cs="Arial" w:hint="cs"/>
          <w:sz w:val="18"/>
          <w:szCs w:val="18"/>
          <w:rtl/>
        </w:rPr>
        <w:t>לתלות</w:t>
      </w:r>
      <w:r w:rsidRPr="00BE3F0D">
        <w:rPr>
          <w:rFonts w:cs="Arial" w:hint="cs"/>
          <w:sz w:val="18"/>
          <w:szCs w:val="18"/>
          <w:rtl/>
        </w:rPr>
        <w:t xml:space="preserve"> בעליון)</w:t>
      </w:r>
      <w:r>
        <w:rPr>
          <w:rFonts w:cs="Arial" w:hint="cs"/>
          <w:sz w:val="20"/>
          <w:szCs w:val="20"/>
          <w:rtl/>
        </w:rPr>
        <w:t>.</w:t>
      </w:r>
      <w:r>
        <w:rPr>
          <w:rFonts w:cs="Arial" w:hint="cs"/>
          <w:sz w:val="20"/>
          <w:szCs w:val="20"/>
          <w:rtl/>
        </w:rPr>
        <w:br/>
        <w:t xml:space="preserve">6. </w:t>
      </w:r>
      <w:r w:rsidRPr="0034706B">
        <w:rPr>
          <w:rFonts w:cs="Arial" w:hint="cs"/>
          <w:b/>
          <w:bCs/>
          <w:sz w:val="20"/>
          <w:szCs w:val="20"/>
          <w:rtl/>
        </w:rPr>
        <w:t>סד"ט</w:t>
      </w:r>
      <w:r>
        <w:rPr>
          <w:rFonts w:cs="Arial" w:hint="cs"/>
          <w:sz w:val="20"/>
          <w:szCs w:val="20"/>
          <w:rtl/>
        </w:rPr>
        <w:t>. צ"ע מה הדין כשנמצא כתם כגריס ועוד למעלה מהחגור וכתם על בשרה, האם תולים בעליון בכה"ג.</w:t>
      </w:r>
      <w:r>
        <w:rPr>
          <w:rFonts w:cs="Arial"/>
          <w:sz w:val="20"/>
          <w:szCs w:val="20"/>
          <w:rtl/>
        </w:rPr>
        <w:br/>
      </w:r>
      <w:r>
        <w:rPr>
          <w:rFonts w:cs="Arial" w:hint="cs"/>
          <w:sz w:val="20"/>
          <w:szCs w:val="20"/>
          <w:rtl/>
        </w:rPr>
        <w:t xml:space="preserve">7. </w:t>
      </w:r>
      <w:r w:rsidRPr="0034706B">
        <w:rPr>
          <w:rFonts w:cs="Arial" w:hint="cs"/>
          <w:b/>
          <w:bCs/>
          <w:sz w:val="20"/>
          <w:szCs w:val="20"/>
          <w:rtl/>
        </w:rPr>
        <w:t>סד"ט</w:t>
      </w:r>
      <w:r>
        <w:rPr>
          <w:rFonts w:cs="Arial" w:hint="cs"/>
          <w:sz w:val="20"/>
          <w:szCs w:val="20"/>
          <w:rtl/>
        </w:rPr>
        <w:t>. אם מצאה למעלה מהחגור צבע אחד ולמטה מהחגור צבע אחר, אינה תולה.</w:t>
      </w:r>
      <w:r>
        <w:rPr>
          <w:rFonts w:cs="Arial"/>
          <w:sz w:val="20"/>
          <w:szCs w:val="20"/>
          <w:rtl/>
        </w:rPr>
        <w:br/>
      </w:r>
      <w:r>
        <w:rPr>
          <w:rFonts w:cs="Arial" w:hint="cs"/>
          <w:sz w:val="20"/>
          <w:szCs w:val="20"/>
          <w:rtl/>
        </w:rPr>
        <w:t xml:space="preserve">8. </w:t>
      </w:r>
      <w:r w:rsidRPr="0034706B">
        <w:rPr>
          <w:rFonts w:cs="Arial" w:hint="cs"/>
          <w:b/>
          <w:bCs/>
          <w:sz w:val="20"/>
          <w:szCs w:val="20"/>
          <w:rtl/>
        </w:rPr>
        <w:t>משנה וגמרא</w:t>
      </w:r>
      <w:r>
        <w:rPr>
          <w:rFonts w:cs="Arial" w:hint="cs"/>
          <w:sz w:val="20"/>
          <w:szCs w:val="20"/>
          <w:rtl/>
        </w:rPr>
        <w:t xml:space="preserve">. נמצא כתם על </w:t>
      </w:r>
      <w:r w:rsidRPr="00BE3F0D">
        <w:rPr>
          <w:rFonts w:cs="Arial" w:hint="cs"/>
          <w:sz w:val="20"/>
          <w:szCs w:val="20"/>
          <w:u w:val="single"/>
          <w:rtl/>
        </w:rPr>
        <w:t>חלוקה</w:t>
      </w:r>
      <w:r>
        <w:rPr>
          <w:rFonts w:cs="Arial" w:hint="cs"/>
          <w:sz w:val="20"/>
          <w:szCs w:val="20"/>
          <w:rtl/>
        </w:rPr>
        <w:t xml:space="preserve"> תולה בכל דבר שיכולה לתלות, אפילו אם נמצא הכתם בבגד התחתון. </w:t>
      </w:r>
      <w:r>
        <w:rPr>
          <w:rFonts w:cs="Arial" w:hint="cs"/>
          <w:sz w:val="20"/>
          <w:szCs w:val="20"/>
          <w:rtl/>
        </w:rPr>
        <w:br/>
        <w:t xml:space="preserve">9. </w:t>
      </w:r>
      <w:r w:rsidRPr="0034706B">
        <w:rPr>
          <w:rFonts w:cs="Arial" w:hint="cs"/>
          <w:b/>
          <w:bCs/>
          <w:sz w:val="20"/>
          <w:szCs w:val="20"/>
          <w:rtl/>
        </w:rPr>
        <w:t>משנה ורשב"א</w:t>
      </w:r>
      <w:r>
        <w:rPr>
          <w:rFonts w:cs="Arial" w:hint="cs"/>
          <w:sz w:val="20"/>
          <w:szCs w:val="20"/>
          <w:rtl/>
        </w:rPr>
        <w:t xml:space="preserve">. אם יש לה מכה בגופה, תולה בה אפילו כתם שנמצא על </w:t>
      </w:r>
      <w:r w:rsidRPr="00BE3F0D">
        <w:rPr>
          <w:rFonts w:cs="Arial" w:hint="cs"/>
          <w:sz w:val="20"/>
          <w:szCs w:val="20"/>
          <w:u w:val="single"/>
          <w:rtl/>
        </w:rPr>
        <w:t>בשרה</w:t>
      </w:r>
      <w:r>
        <w:rPr>
          <w:rFonts w:cs="Arial" w:hint="cs"/>
          <w:sz w:val="20"/>
          <w:szCs w:val="20"/>
          <w:rtl/>
        </w:rPr>
        <w:t>. אפילו אם העלתה קרום, אלא שיכולה להיגלע ולהוציא דם, תולה.</w:t>
      </w:r>
      <w:r>
        <w:rPr>
          <w:rFonts w:cs="Arial" w:hint="cs"/>
          <w:sz w:val="20"/>
          <w:szCs w:val="20"/>
          <w:rtl/>
        </w:rPr>
        <w:br/>
        <w:t>10. תולה בבנה ובבעלה אם התעסקו בדם, ובלבד שיש עליהם דם. ואם התעסקו בדבר שמתיז דם, תולה בהם אפילו אם לא נמצא עליהם דם.</w:t>
      </w:r>
      <w:r>
        <w:rPr>
          <w:rFonts w:cs="Arial" w:hint="cs"/>
          <w:sz w:val="20"/>
          <w:szCs w:val="20"/>
          <w:rtl/>
        </w:rPr>
        <w:br/>
        <w:t xml:space="preserve">11. </w:t>
      </w:r>
      <w:r w:rsidRPr="0034706B">
        <w:rPr>
          <w:rFonts w:cs="Arial" w:hint="cs"/>
          <w:b/>
          <w:bCs/>
          <w:sz w:val="20"/>
          <w:szCs w:val="20"/>
          <w:rtl/>
        </w:rPr>
        <w:t>סד"ט</w:t>
      </w:r>
      <w:r>
        <w:rPr>
          <w:rFonts w:cs="Arial" w:hint="cs"/>
          <w:sz w:val="20"/>
          <w:szCs w:val="20"/>
          <w:rtl/>
        </w:rPr>
        <w:t>. כשהתעסקו בדם ונמצא עליהם, תולה בהם אפילו נמצא על בשרה. התעסקו בדבר מתיז ואין עליהם דם, תולה רק בכתם על חלוקה, דלא עדיף משוק של טבחים.</w:t>
      </w:r>
      <w:r>
        <w:rPr>
          <w:rFonts w:cs="Arial"/>
          <w:sz w:val="20"/>
          <w:szCs w:val="20"/>
          <w:rtl/>
        </w:rPr>
        <w:br/>
      </w:r>
      <w:r>
        <w:rPr>
          <w:rFonts w:cs="Arial" w:hint="cs"/>
          <w:sz w:val="20"/>
          <w:szCs w:val="20"/>
          <w:rtl/>
        </w:rPr>
        <w:t xml:space="preserve">12. </w:t>
      </w:r>
      <w:r w:rsidRPr="0034706B">
        <w:rPr>
          <w:rFonts w:cs="Arial" w:hint="cs"/>
          <w:b/>
          <w:bCs/>
          <w:sz w:val="20"/>
          <w:szCs w:val="20"/>
          <w:rtl/>
        </w:rPr>
        <w:t>רמ"א</w:t>
      </w:r>
      <w:r>
        <w:rPr>
          <w:rFonts w:cs="Arial" w:hint="cs"/>
          <w:sz w:val="20"/>
          <w:szCs w:val="20"/>
          <w:rtl/>
        </w:rPr>
        <w:t>. הוא הדין שיש לתלות במכה של נשים השוכבות עמה במיטה.</w:t>
      </w:r>
      <w:r>
        <w:rPr>
          <w:rFonts w:cs="Arial"/>
          <w:sz w:val="20"/>
          <w:szCs w:val="20"/>
          <w:rtl/>
        </w:rPr>
        <w:br/>
      </w:r>
      <w:r>
        <w:rPr>
          <w:rFonts w:cs="Arial" w:hint="cs"/>
          <w:sz w:val="20"/>
          <w:szCs w:val="20"/>
          <w:rtl/>
        </w:rPr>
        <w:t xml:space="preserve">13. </w:t>
      </w:r>
      <w:r w:rsidRPr="0034706B">
        <w:rPr>
          <w:rFonts w:cs="Arial" w:hint="cs"/>
          <w:b/>
          <w:bCs/>
          <w:sz w:val="20"/>
          <w:szCs w:val="20"/>
          <w:rtl/>
        </w:rPr>
        <w:t>שו"ע</w:t>
      </w:r>
      <w:r>
        <w:rPr>
          <w:rFonts w:cs="Arial" w:hint="cs"/>
          <w:sz w:val="20"/>
          <w:szCs w:val="20"/>
          <w:rtl/>
        </w:rPr>
        <w:t>. מי שיוצא דם מפי אמתו ונמצא כתם על עד של האשה בשעת תשמיש, תולה בו.</w:t>
      </w:r>
      <w:r>
        <w:rPr>
          <w:rFonts w:cs="Arial"/>
          <w:sz w:val="20"/>
          <w:szCs w:val="20"/>
          <w:rtl/>
        </w:rPr>
        <w:br/>
      </w:r>
      <w:r>
        <w:rPr>
          <w:rFonts w:cs="Arial" w:hint="cs"/>
          <w:sz w:val="20"/>
          <w:szCs w:val="20"/>
          <w:rtl/>
        </w:rPr>
        <w:t xml:space="preserve">14. </w:t>
      </w:r>
      <w:r w:rsidRPr="0034706B">
        <w:rPr>
          <w:rFonts w:cs="Arial" w:hint="cs"/>
          <w:b/>
          <w:bCs/>
          <w:sz w:val="20"/>
          <w:szCs w:val="20"/>
          <w:rtl/>
        </w:rPr>
        <w:t>נוב"י</w:t>
      </w:r>
      <w:r>
        <w:rPr>
          <w:rFonts w:cs="Arial" w:hint="cs"/>
          <w:sz w:val="20"/>
          <w:szCs w:val="20"/>
          <w:rtl/>
        </w:rPr>
        <w:t>. אם רגיל לצאת ממנו דם רק בשעת הטלת מי רגליים, אינה תולה בו.</w:t>
      </w:r>
      <w:r>
        <w:rPr>
          <w:rFonts w:cs="Arial"/>
          <w:sz w:val="20"/>
          <w:szCs w:val="20"/>
          <w:rtl/>
        </w:rPr>
        <w:br/>
      </w:r>
      <w:r>
        <w:rPr>
          <w:rFonts w:cs="Arial" w:hint="cs"/>
          <w:sz w:val="20"/>
          <w:szCs w:val="20"/>
          <w:rtl/>
        </w:rPr>
        <w:lastRenderedPageBreak/>
        <w:t xml:space="preserve">15. </w:t>
      </w:r>
      <w:r w:rsidRPr="0034706B">
        <w:rPr>
          <w:rFonts w:cs="Arial" w:hint="cs"/>
          <w:b/>
          <w:bCs/>
          <w:sz w:val="20"/>
          <w:szCs w:val="20"/>
          <w:rtl/>
        </w:rPr>
        <w:t>מהרי"ט</w:t>
      </w:r>
      <w:r>
        <w:rPr>
          <w:rFonts w:cs="Arial" w:hint="cs"/>
          <w:sz w:val="20"/>
          <w:szCs w:val="20"/>
          <w:rtl/>
        </w:rPr>
        <w:t>. הוא הדין שיש לטהר אם פלטה דם כמה ימים לאחר התשמיש.</w:t>
      </w:r>
      <w:r>
        <w:rPr>
          <w:rFonts w:cs="Arial"/>
          <w:sz w:val="20"/>
          <w:szCs w:val="20"/>
          <w:rtl/>
        </w:rPr>
        <w:br/>
      </w:r>
      <w:r>
        <w:rPr>
          <w:rFonts w:cs="Arial" w:hint="cs"/>
          <w:sz w:val="20"/>
          <w:szCs w:val="20"/>
          <w:rtl/>
        </w:rPr>
        <w:t xml:space="preserve">16. </w:t>
      </w:r>
      <w:r w:rsidRPr="0034706B">
        <w:rPr>
          <w:rFonts w:cs="Arial" w:hint="cs"/>
          <w:b/>
          <w:bCs/>
          <w:sz w:val="20"/>
          <w:szCs w:val="20"/>
          <w:rtl/>
        </w:rPr>
        <w:t>שו"ע</w:t>
      </w:r>
      <w:r>
        <w:rPr>
          <w:rFonts w:cs="Arial" w:hint="cs"/>
          <w:sz w:val="20"/>
          <w:szCs w:val="20"/>
          <w:rtl/>
        </w:rPr>
        <w:t>. נמצא כתם מאחורה ויש לה מכה מקדימה, תולה בה.</w:t>
      </w:r>
    </w:p>
    <w:p w:rsidR="00620060" w:rsidRDefault="00620060" w:rsidP="00620060">
      <w:pPr>
        <w:rPr>
          <w:rFonts w:cs="Arial"/>
          <w:sz w:val="20"/>
          <w:szCs w:val="20"/>
          <w:rtl/>
        </w:rPr>
      </w:pPr>
      <w:r>
        <w:rPr>
          <w:rFonts w:cs="Arial"/>
          <w:sz w:val="20"/>
          <w:szCs w:val="20"/>
          <w:rtl/>
        </w:rPr>
        <w:br/>
      </w:r>
      <w:r>
        <w:rPr>
          <w:rFonts w:cs="Arial" w:hint="cs"/>
          <w:b/>
          <w:bCs/>
          <w:sz w:val="20"/>
          <w:szCs w:val="20"/>
          <w:rtl/>
        </w:rPr>
        <w:t xml:space="preserve">סעיף כב </w:t>
      </w:r>
      <w:r>
        <w:rPr>
          <w:rFonts w:cs="Arial"/>
          <w:b/>
          <w:bCs/>
          <w:sz w:val="20"/>
          <w:szCs w:val="20"/>
          <w:rtl/>
        </w:rPr>
        <w:t>–</w:t>
      </w:r>
      <w:r>
        <w:rPr>
          <w:rFonts w:cs="Arial" w:hint="cs"/>
          <w:b/>
          <w:bCs/>
          <w:sz w:val="20"/>
          <w:szCs w:val="20"/>
          <w:rtl/>
        </w:rPr>
        <w:t xml:space="preserve"> ספק עברה בשוק ודין עיר שמצויים בה חזירים</w:t>
      </w:r>
      <w:r>
        <w:rPr>
          <w:rFonts w:cs="Arial"/>
          <w:b/>
          <w:bCs/>
          <w:sz w:val="20"/>
          <w:szCs w:val="20"/>
          <w:rtl/>
        </w:rPr>
        <w:br/>
      </w:r>
      <w:r>
        <w:rPr>
          <w:rFonts w:cs="Arial" w:hint="cs"/>
          <w:b/>
          <w:bCs/>
          <w:sz w:val="20"/>
          <w:szCs w:val="20"/>
          <w:rtl/>
        </w:rPr>
        <w:t xml:space="preserve">ספק עברה בשוק </w:t>
      </w:r>
      <w:r>
        <w:rPr>
          <w:rFonts w:cs="Arial"/>
          <w:b/>
          <w:bCs/>
          <w:sz w:val="20"/>
          <w:szCs w:val="20"/>
          <w:rtl/>
        </w:rPr>
        <w:t>–</w:t>
      </w:r>
      <w:r>
        <w:rPr>
          <w:rFonts w:cs="Arial" w:hint="cs"/>
          <w:b/>
          <w:bCs/>
          <w:sz w:val="20"/>
          <w:szCs w:val="20"/>
          <w:rtl/>
        </w:rPr>
        <w:t xml:space="preserve"> מקור הדין</w:t>
      </w:r>
      <w:r>
        <w:rPr>
          <w:rFonts w:cs="Arial"/>
          <w:b/>
          <w:bCs/>
          <w:sz w:val="20"/>
          <w:szCs w:val="20"/>
          <w:rtl/>
        </w:rPr>
        <w:br/>
      </w:r>
      <w:r>
        <w:rPr>
          <w:rFonts w:cs="Arial" w:hint="cs"/>
          <w:b/>
          <w:bCs/>
          <w:sz w:val="20"/>
          <w:szCs w:val="20"/>
          <w:rtl/>
        </w:rPr>
        <w:t xml:space="preserve">גמרא </w:t>
      </w:r>
      <w:r>
        <w:rPr>
          <w:rFonts w:cs="Arial" w:hint="cs"/>
          <w:sz w:val="20"/>
          <w:szCs w:val="20"/>
          <w:rtl/>
        </w:rPr>
        <w:t xml:space="preserve">נדה (נח:) "תנו </w:t>
      </w:r>
      <w:r w:rsidRPr="00D4344C">
        <w:rPr>
          <w:rFonts w:cs="Arial"/>
          <w:sz w:val="20"/>
          <w:szCs w:val="20"/>
          <w:rtl/>
        </w:rPr>
        <w:t>ר</w:t>
      </w:r>
      <w:r>
        <w:rPr>
          <w:rFonts w:cs="Arial" w:hint="cs"/>
          <w:sz w:val="20"/>
          <w:szCs w:val="20"/>
          <w:rtl/>
        </w:rPr>
        <w:t>בנן</w:t>
      </w:r>
      <w:r w:rsidRPr="00D4344C">
        <w:rPr>
          <w:rFonts w:cs="Arial"/>
          <w:sz w:val="20"/>
          <w:szCs w:val="20"/>
          <w:rtl/>
        </w:rPr>
        <w:t xml:space="preserve">: עברה בשוק של טבחים, ספק ניתז עליה ספק לא ניתז עליה - תולה, ספק עברה ספק לא עברה </w:t>
      </w:r>
      <w:r>
        <w:rPr>
          <w:rFonts w:cs="Arial"/>
          <w:sz w:val="20"/>
          <w:szCs w:val="20"/>
          <w:rtl/>
        </w:rPr>
        <w:t>–</w:t>
      </w:r>
      <w:r w:rsidRPr="00D4344C">
        <w:rPr>
          <w:rFonts w:cs="Arial"/>
          <w:sz w:val="20"/>
          <w:szCs w:val="20"/>
          <w:rtl/>
        </w:rPr>
        <w:t xml:space="preserve"> טמאה</w:t>
      </w:r>
      <w:r>
        <w:rPr>
          <w:rFonts w:cs="Arial" w:hint="cs"/>
          <w:sz w:val="20"/>
          <w:szCs w:val="20"/>
          <w:rtl/>
        </w:rPr>
        <w:t>"</w:t>
      </w:r>
      <w:r>
        <w:rPr>
          <w:rStyle w:val="a5"/>
          <w:rFonts w:cs="Arial"/>
          <w:sz w:val="20"/>
          <w:szCs w:val="20"/>
          <w:rtl/>
        </w:rPr>
        <w:footnoteReference w:id="306"/>
      </w:r>
      <w:r>
        <w:rPr>
          <w:rFonts w:cs="Arial" w:hint="cs"/>
          <w:sz w:val="20"/>
          <w:szCs w:val="20"/>
          <w:rtl/>
        </w:rPr>
        <w:t>.</w:t>
      </w:r>
    </w:p>
    <w:p w:rsidR="00620060" w:rsidRDefault="00620060" w:rsidP="00620060">
      <w:pPr>
        <w:rPr>
          <w:rFonts w:cs="Arial"/>
          <w:sz w:val="20"/>
          <w:szCs w:val="20"/>
          <w:rtl/>
        </w:rPr>
      </w:pPr>
      <w:r>
        <w:rPr>
          <w:rFonts w:cs="Arial" w:hint="cs"/>
          <w:b/>
          <w:bCs/>
          <w:sz w:val="20"/>
          <w:szCs w:val="20"/>
          <w:rtl/>
        </w:rPr>
        <w:t>דין עיר שאין לטבחים מקום קבוע</w:t>
      </w:r>
      <w:r>
        <w:rPr>
          <w:rFonts w:cs="Arial"/>
          <w:b/>
          <w:bCs/>
          <w:sz w:val="20"/>
          <w:szCs w:val="20"/>
          <w:rtl/>
        </w:rPr>
        <w:br/>
      </w:r>
      <w:r>
        <w:rPr>
          <w:rFonts w:cs="Arial" w:hint="cs"/>
          <w:b/>
          <w:bCs/>
          <w:sz w:val="20"/>
          <w:szCs w:val="20"/>
          <w:rtl/>
        </w:rPr>
        <w:t xml:space="preserve">רשב"א </w:t>
      </w:r>
      <w:r>
        <w:rPr>
          <w:rFonts w:cs="Arial"/>
          <w:sz w:val="20"/>
          <w:szCs w:val="20"/>
          <w:rtl/>
        </w:rPr>
        <w:t>–</w:t>
      </w:r>
      <w:r>
        <w:rPr>
          <w:rFonts w:cs="Arial" w:hint="cs"/>
          <w:sz w:val="20"/>
          <w:szCs w:val="20"/>
          <w:rtl/>
        </w:rPr>
        <w:t xml:space="preserve"> במקום שאין לטבחים מקום קבוע, אלא מנהגם לשחוט בהמות בכל רחבי העיר, אפילו ספק לה אם עברה בקרבת הטבחים, טהורה.</w:t>
      </w:r>
      <w:r>
        <w:rPr>
          <w:rFonts w:cs="Arial"/>
          <w:sz w:val="20"/>
          <w:szCs w:val="20"/>
          <w:rtl/>
        </w:rPr>
        <w:br/>
      </w:r>
      <w:r>
        <w:rPr>
          <w:rFonts w:cs="Arial" w:hint="cs"/>
          <w:b/>
          <w:bCs/>
          <w:sz w:val="20"/>
          <w:szCs w:val="20"/>
          <w:rtl/>
        </w:rPr>
        <w:t xml:space="preserve">ראיה </w:t>
      </w:r>
      <w:r>
        <w:rPr>
          <w:rFonts w:cs="Arial" w:hint="cs"/>
          <w:sz w:val="20"/>
          <w:szCs w:val="20"/>
          <w:rtl/>
        </w:rPr>
        <w:t xml:space="preserve">- </w:t>
      </w:r>
      <w:r>
        <w:rPr>
          <w:rFonts w:cs="Arial" w:hint="cs"/>
          <w:b/>
          <w:bCs/>
          <w:sz w:val="20"/>
          <w:szCs w:val="20"/>
          <w:rtl/>
        </w:rPr>
        <w:t xml:space="preserve">גמרא </w:t>
      </w:r>
      <w:r>
        <w:rPr>
          <w:rFonts w:cs="Arial" w:hint="cs"/>
          <w:sz w:val="20"/>
          <w:szCs w:val="20"/>
          <w:rtl/>
        </w:rPr>
        <w:t>(שם) "</w:t>
      </w:r>
      <w:r w:rsidRPr="0032418C">
        <w:rPr>
          <w:rFonts w:cs="Arial"/>
          <w:sz w:val="20"/>
          <w:szCs w:val="20"/>
          <w:rtl/>
        </w:rPr>
        <w:t>אמר רב אשי: עיר שיש בה חזירים - אין חוששין לכתמים. אמר ר</w:t>
      </w:r>
      <w:r>
        <w:rPr>
          <w:rFonts w:cs="Arial" w:hint="cs"/>
          <w:sz w:val="20"/>
          <w:szCs w:val="20"/>
          <w:rtl/>
        </w:rPr>
        <w:t xml:space="preserve">ב </w:t>
      </w:r>
      <w:r w:rsidRPr="0032418C">
        <w:rPr>
          <w:rFonts w:cs="Arial"/>
          <w:sz w:val="20"/>
          <w:szCs w:val="20"/>
          <w:rtl/>
        </w:rPr>
        <w:t>נ</w:t>
      </w:r>
      <w:r>
        <w:rPr>
          <w:rFonts w:cs="Arial" w:hint="cs"/>
          <w:sz w:val="20"/>
          <w:szCs w:val="20"/>
          <w:rtl/>
        </w:rPr>
        <w:t>חמן</w:t>
      </w:r>
      <w:r w:rsidRPr="0032418C">
        <w:rPr>
          <w:rFonts w:cs="Arial"/>
          <w:sz w:val="20"/>
          <w:szCs w:val="20"/>
          <w:rtl/>
        </w:rPr>
        <w:t xml:space="preserve"> בר יצחק: והא</w:t>
      </w:r>
      <w:r>
        <w:rPr>
          <w:rFonts w:cs="Arial" w:hint="cs"/>
          <w:sz w:val="20"/>
          <w:szCs w:val="20"/>
          <w:rtl/>
        </w:rPr>
        <w:t>י</w:t>
      </w:r>
      <w:r w:rsidRPr="0032418C">
        <w:rPr>
          <w:rFonts w:cs="Arial"/>
          <w:sz w:val="20"/>
          <w:szCs w:val="20"/>
          <w:rtl/>
        </w:rPr>
        <w:t xml:space="preserve"> ד</w:t>
      </w:r>
      <w:r>
        <w:rPr>
          <w:rFonts w:cs="Arial" w:hint="cs"/>
          <w:sz w:val="20"/>
          <w:szCs w:val="20"/>
          <w:rtl/>
        </w:rPr>
        <w:t>ר</w:t>
      </w:r>
      <w:r>
        <w:rPr>
          <w:rFonts w:cs="Arial"/>
          <w:sz w:val="20"/>
          <w:szCs w:val="20"/>
          <w:rtl/>
        </w:rPr>
        <w:t>וקרת - כעיר שיש בה חזירים דמיא</w:t>
      </w:r>
      <w:r>
        <w:rPr>
          <w:rFonts w:cs="Arial" w:hint="cs"/>
          <w:sz w:val="20"/>
          <w:szCs w:val="20"/>
          <w:rtl/>
        </w:rPr>
        <w:t>".</w:t>
      </w:r>
      <w:r>
        <w:rPr>
          <w:rFonts w:cs="Arial" w:hint="cs"/>
          <w:sz w:val="20"/>
          <w:szCs w:val="20"/>
          <w:rtl/>
        </w:rPr>
        <w:br/>
      </w:r>
      <w:r w:rsidRPr="00426BB9">
        <w:rPr>
          <w:rFonts w:cs="Arial" w:hint="cs"/>
          <w:b/>
          <w:bCs/>
          <w:sz w:val="20"/>
          <w:szCs w:val="20"/>
          <w:rtl/>
        </w:rPr>
        <w:t>טעם הדין</w:t>
      </w:r>
      <w:r>
        <w:rPr>
          <w:rFonts w:cs="Arial" w:hint="cs"/>
          <w:sz w:val="20"/>
          <w:szCs w:val="20"/>
          <w:rtl/>
        </w:rPr>
        <w:t xml:space="preserve"> </w:t>
      </w:r>
      <w:r>
        <w:rPr>
          <w:rFonts w:cs="Arial"/>
          <w:sz w:val="20"/>
          <w:szCs w:val="20"/>
          <w:rtl/>
        </w:rPr>
        <w:t>–</w:t>
      </w:r>
      <w:r>
        <w:rPr>
          <w:rFonts w:cs="Arial" w:hint="cs"/>
          <w:sz w:val="20"/>
          <w:szCs w:val="20"/>
          <w:rtl/>
        </w:rPr>
        <w:t xml:space="preserve"> חזירים נוברים באשפה ומתלכלכים בדם נבלות, ומכיוון שהם מצויים בכל העיר תולים בהם.</w:t>
      </w:r>
      <w:r>
        <w:rPr>
          <w:rFonts w:cs="Arial" w:hint="cs"/>
          <w:sz w:val="20"/>
          <w:szCs w:val="20"/>
          <w:rtl/>
        </w:rPr>
        <w:br/>
        <w:t>רב נחמן מוסיף שעיר שהטבחים המצויים בה שוחטים בכל העיר, דינה כעיר שיש בה חזירים, משום שייתכן שעברה בשוק שבו שחטו בהמה ולאו אדעתא.</w:t>
      </w:r>
    </w:p>
    <w:p w:rsidR="00620060" w:rsidRDefault="00620060" w:rsidP="00620060">
      <w:pPr>
        <w:rPr>
          <w:rFonts w:cs="Arial"/>
          <w:sz w:val="20"/>
          <w:szCs w:val="20"/>
          <w:rtl/>
        </w:rPr>
      </w:pPr>
      <w:r>
        <w:rPr>
          <w:rFonts w:cs="Arial" w:hint="cs"/>
          <w:b/>
          <w:bCs/>
          <w:sz w:val="20"/>
          <w:szCs w:val="20"/>
          <w:rtl/>
        </w:rPr>
        <w:t>פסיקת הלכה</w:t>
      </w:r>
      <w:r>
        <w:rPr>
          <w:rFonts w:cs="Arial"/>
          <w:b/>
          <w:bCs/>
          <w:sz w:val="20"/>
          <w:szCs w:val="20"/>
          <w:rtl/>
        </w:rPr>
        <w:br/>
      </w:r>
      <w:r>
        <w:rPr>
          <w:rFonts w:cs="Arial" w:hint="cs"/>
          <w:b/>
          <w:bCs/>
          <w:sz w:val="20"/>
          <w:szCs w:val="20"/>
          <w:rtl/>
        </w:rPr>
        <w:t>שולחן ערוך</w:t>
      </w:r>
      <w:r>
        <w:rPr>
          <w:rFonts w:cs="Arial" w:hint="cs"/>
          <w:sz w:val="20"/>
          <w:szCs w:val="20"/>
          <w:rtl/>
        </w:rPr>
        <w:t xml:space="preserve"> </w:t>
      </w:r>
      <w:r>
        <w:rPr>
          <w:rFonts w:cs="Arial"/>
          <w:sz w:val="20"/>
          <w:szCs w:val="20"/>
          <w:rtl/>
        </w:rPr>
        <w:t>–</w:t>
      </w:r>
      <w:r>
        <w:rPr>
          <w:rFonts w:cs="Arial" w:hint="cs"/>
          <w:sz w:val="20"/>
          <w:szCs w:val="20"/>
          <w:rtl/>
        </w:rPr>
        <w:t xml:space="preserve"> "</w:t>
      </w:r>
      <w:r w:rsidRPr="0032418C">
        <w:rPr>
          <w:rFonts w:cs="Arial"/>
          <w:sz w:val="20"/>
          <w:szCs w:val="20"/>
          <w:rtl/>
        </w:rPr>
        <w:t>ספק אם עברה בשוק של טבחים או אם ישבה בצד המתעסקים בכתמים, אינה תולה בהם. במה דברים אמורים, בעיר שהטבחים או המתעסקים בכתמים יושבים במקום ידוע, אבל אם דרכם להתעסק כאן וכאן, תולין אפילו מספק, שמא נתעסקו במקום שעברה, ולא הרגישה</w:t>
      </w:r>
      <w:r>
        <w:rPr>
          <w:rFonts w:cs="Arial" w:hint="cs"/>
          <w:sz w:val="20"/>
          <w:szCs w:val="20"/>
          <w:rtl/>
        </w:rPr>
        <w:t>".</w:t>
      </w:r>
    </w:p>
    <w:p w:rsidR="00620060" w:rsidRDefault="00620060" w:rsidP="00620060">
      <w:pPr>
        <w:rPr>
          <w:rFonts w:cs="Arial"/>
          <w:sz w:val="20"/>
          <w:szCs w:val="20"/>
          <w:rtl/>
        </w:rPr>
      </w:pPr>
      <w:r>
        <w:rPr>
          <w:rFonts w:cs="Arial" w:hint="cs"/>
          <w:b/>
          <w:bCs/>
          <w:sz w:val="20"/>
          <w:szCs w:val="20"/>
          <w:rtl/>
        </w:rPr>
        <w:t xml:space="preserve">דין עיר שמצויים בה חזירים </w:t>
      </w:r>
      <w:r w:rsidRPr="00746144">
        <w:rPr>
          <w:rFonts w:cs="Arial" w:hint="cs"/>
          <w:sz w:val="18"/>
          <w:szCs w:val="18"/>
          <w:rtl/>
        </w:rPr>
        <w:t>(בית יוסף)</w:t>
      </w:r>
      <w:r>
        <w:rPr>
          <w:rFonts w:cs="Arial" w:hint="cs"/>
          <w:b/>
          <w:bCs/>
          <w:sz w:val="20"/>
          <w:szCs w:val="20"/>
          <w:rtl/>
        </w:rPr>
        <w:br/>
        <w:t>שיטות הראשונים</w:t>
      </w:r>
      <w:r>
        <w:rPr>
          <w:rFonts w:cs="Arial"/>
          <w:b/>
          <w:bCs/>
          <w:sz w:val="20"/>
          <w:szCs w:val="20"/>
          <w:rtl/>
        </w:rPr>
        <w:br/>
      </w:r>
      <w:r>
        <w:rPr>
          <w:rFonts w:cs="Arial" w:hint="cs"/>
          <w:sz w:val="20"/>
          <w:szCs w:val="20"/>
          <w:rtl/>
        </w:rPr>
        <w:t xml:space="preserve">א. </w:t>
      </w:r>
      <w:r w:rsidRPr="00426BB9">
        <w:rPr>
          <w:rFonts w:cs="Arial" w:hint="cs"/>
          <w:b/>
          <w:bCs/>
          <w:sz w:val="20"/>
          <w:szCs w:val="20"/>
          <w:rtl/>
        </w:rPr>
        <w:t>רמב"ם ורשב"א</w:t>
      </w:r>
      <w:r>
        <w:rPr>
          <w:rFonts w:cs="Arial" w:hint="cs"/>
          <w:sz w:val="20"/>
          <w:szCs w:val="20"/>
          <w:rtl/>
        </w:rPr>
        <w:t xml:space="preserve"> </w:t>
      </w:r>
      <w:r>
        <w:rPr>
          <w:rFonts w:cs="Arial"/>
          <w:sz w:val="20"/>
          <w:szCs w:val="20"/>
          <w:rtl/>
        </w:rPr>
        <w:t>–</w:t>
      </w:r>
      <w:r>
        <w:rPr>
          <w:rFonts w:cs="Arial" w:hint="cs"/>
          <w:sz w:val="20"/>
          <w:szCs w:val="20"/>
          <w:rtl/>
        </w:rPr>
        <w:t xml:space="preserve"> פסקו כמימרא זו ללא סייג, עיר שיש בה חזירים אין בה דין כתם.</w:t>
      </w:r>
      <w:r>
        <w:rPr>
          <w:rFonts w:cs="Arial" w:hint="cs"/>
          <w:sz w:val="20"/>
          <w:szCs w:val="20"/>
          <w:rtl/>
        </w:rPr>
        <w:br/>
      </w:r>
      <w:r w:rsidRPr="00426BB9">
        <w:rPr>
          <w:rFonts w:cs="Arial" w:hint="cs"/>
          <w:b/>
          <w:bCs/>
          <w:sz w:val="20"/>
          <w:szCs w:val="20"/>
          <w:rtl/>
        </w:rPr>
        <w:t>המגיד משנה</w:t>
      </w:r>
      <w:r w:rsidRPr="00426BB9">
        <w:rPr>
          <w:rFonts w:cs="Arial" w:hint="cs"/>
          <w:sz w:val="20"/>
          <w:szCs w:val="20"/>
          <w:rtl/>
        </w:rPr>
        <w:t xml:space="preserve"> </w:t>
      </w:r>
      <w:r>
        <w:rPr>
          <w:rFonts w:cs="Arial" w:hint="cs"/>
          <w:sz w:val="20"/>
          <w:szCs w:val="20"/>
          <w:rtl/>
        </w:rPr>
        <w:t xml:space="preserve">מעיר שתי הערות - </w:t>
      </w:r>
      <w:r>
        <w:rPr>
          <w:rFonts w:cs="Arial"/>
          <w:sz w:val="20"/>
          <w:szCs w:val="20"/>
          <w:rtl/>
        </w:rPr>
        <w:br/>
      </w:r>
      <w:r>
        <w:rPr>
          <w:rFonts w:cs="Arial" w:hint="cs"/>
          <w:sz w:val="20"/>
          <w:szCs w:val="20"/>
          <w:vertAlign w:val="superscript"/>
          <w:rtl/>
        </w:rPr>
        <w:t>1</w:t>
      </w:r>
      <w:r>
        <w:rPr>
          <w:rFonts w:cs="Arial" w:hint="cs"/>
          <w:sz w:val="20"/>
          <w:szCs w:val="20"/>
          <w:rtl/>
        </w:rPr>
        <w:t xml:space="preserve"> אם ברי לה שלא הלכה למקום שהחזיר מצוי שם, אינה תולה.</w:t>
      </w:r>
      <w:r>
        <w:rPr>
          <w:rFonts w:cs="Arial"/>
          <w:sz w:val="20"/>
          <w:szCs w:val="20"/>
          <w:rtl/>
        </w:rPr>
        <w:br/>
      </w:r>
      <w:r>
        <w:rPr>
          <w:rFonts w:cs="Arial" w:hint="cs"/>
          <w:sz w:val="20"/>
          <w:szCs w:val="20"/>
          <w:vertAlign w:val="superscript"/>
          <w:rtl/>
        </w:rPr>
        <w:t>2</w:t>
      </w:r>
      <w:r>
        <w:rPr>
          <w:rFonts w:cs="Arial" w:hint="cs"/>
          <w:sz w:val="20"/>
          <w:szCs w:val="20"/>
          <w:rtl/>
        </w:rPr>
        <w:t xml:space="preserve"> אם יש שכונה לישראל בפני עצמם, הרי היא כעיר מיוחדת ואינה תולה.</w:t>
      </w:r>
      <w:r>
        <w:rPr>
          <w:rFonts w:cs="Arial" w:hint="cs"/>
          <w:sz w:val="20"/>
          <w:szCs w:val="20"/>
          <w:rtl/>
        </w:rPr>
        <w:br/>
        <w:t xml:space="preserve">ב. </w:t>
      </w:r>
      <w:r w:rsidRPr="00426BB9">
        <w:rPr>
          <w:rFonts w:cs="Arial" w:hint="cs"/>
          <w:b/>
          <w:bCs/>
          <w:sz w:val="20"/>
          <w:szCs w:val="20"/>
          <w:rtl/>
        </w:rPr>
        <w:t>רא"ש</w:t>
      </w:r>
      <w:r>
        <w:rPr>
          <w:rFonts w:cs="Arial" w:hint="cs"/>
          <w:sz w:val="20"/>
          <w:szCs w:val="20"/>
          <w:rtl/>
        </w:rPr>
        <w:t xml:space="preserve"> </w:t>
      </w:r>
      <w:r>
        <w:rPr>
          <w:rFonts w:cs="Arial"/>
          <w:sz w:val="20"/>
          <w:szCs w:val="20"/>
          <w:rtl/>
        </w:rPr>
        <w:t>–</w:t>
      </w:r>
      <w:r>
        <w:rPr>
          <w:rFonts w:cs="Arial" w:hint="cs"/>
          <w:sz w:val="20"/>
          <w:szCs w:val="20"/>
          <w:rtl/>
        </w:rPr>
        <w:t xml:space="preserve"> בזמנם היו החזירים מתיזים דם מהאשפות אך היום אין דבר זה מצוי בינינו, אך הכל לפי העניין.</w:t>
      </w:r>
      <w:r>
        <w:rPr>
          <w:rFonts w:cs="Arial"/>
          <w:sz w:val="20"/>
          <w:szCs w:val="20"/>
          <w:rtl/>
        </w:rPr>
        <w:br/>
      </w:r>
      <w:r w:rsidRPr="00426BB9">
        <w:rPr>
          <w:rFonts w:cs="Arial" w:hint="cs"/>
          <w:b/>
          <w:bCs/>
          <w:sz w:val="20"/>
          <w:szCs w:val="20"/>
          <w:rtl/>
        </w:rPr>
        <w:t>ראיה</w:t>
      </w:r>
      <w:r>
        <w:rPr>
          <w:rFonts w:cs="Arial" w:hint="cs"/>
          <w:sz w:val="20"/>
          <w:szCs w:val="20"/>
          <w:rtl/>
        </w:rPr>
        <w:t xml:space="preserve"> </w:t>
      </w:r>
      <w:r>
        <w:rPr>
          <w:rFonts w:cs="Arial"/>
          <w:sz w:val="20"/>
          <w:szCs w:val="20"/>
          <w:rtl/>
        </w:rPr>
        <w:t>–</w:t>
      </w:r>
      <w:r>
        <w:rPr>
          <w:rFonts w:cs="Arial" w:hint="cs"/>
          <w:sz w:val="20"/>
          <w:szCs w:val="20"/>
          <w:rtl/>
        </w:rPr>
        <w:t xml:space="preserve"> רב נחמן הורה שבדרוקרת לא נוהג דין כתמים למרות שאין בה חזירים, משום שהיו מצויים בה הרבה טבחים וכן אשפות שיש בהם שקצים. אם כן, אין הדבר תלוי במציאות של החזיר בפועל אלא הדבר מסור לתלמידי חכמים לפסוק ע"פ המציאות שנראית להם בפועל.</w:t>
      </w:r>
      <w:r>
        <w:rPr>
          <w:rFonts w:cs="Arial"/>
          <w:sz w:val="20"/>
          <w:szCs w:val="20"/>
          <w:rtl/>
        </w:rPr>
        <w:br/>
      </w:r>
      <w:r>
        <w:rPr>
          <w:rFonts w:cs="Arial"/>
          <w:b/>
          <w:bCs/>
          <w:sz w:val="20"/>
          <w:szCs w:val="20"/>
          <w:rtl/>
        </w:rPr>
        <w:br/>
      </w:r>
      <w:r>
        <w:rPr>
          <w:rFonts w:cs="Arial" w:hint="cs"/>
          <w:b/>
          <w:bCs/>
          <w:sz w:val="20"/>
          <w:szCs w:val="20"/>
          <w:rtl/>
        </w:rPr>
        <w:t>סיכום</w:t>
      </w:r>
      <w:r>
        <w:rPr>
          <w:rFonts w:cs="Arial"/>
          <w:b/>
          <w:bCs/>
          <w:sz w:val="20"/>
          <w:szCs w:val="20"/>
          <w:rtl/>
        </w:rPr>
        <w:br/>
      </w:r>
      <w:r>
        <w:rPr>
          <w:rFonts w:cs="Arial" w:hint="cs"/>
          <w:sz w:val="20"/>
          <w:szCs w:val="20"/>
          <w:rtl/>
        </w:rPr>
        <w:t xml:space="preserve">1. </w:t>
      </w:r>
      <w:r w:rsidRPr="00741A88">
        <w:rPr>
          <w:rFonts w:cs="Arial" w:hint="cs"/>
          <w:b/>
          <w:bCs/>
          <w:sz w:val="20"/>
          <w:szCs w:val="20"/>
          <w:rtl/>
        </w:rPr>
        <w:t>גמרא</w:t>
      </w:r>
      <w:r>
        <w:rPr>
          <w:rFonts w:cs="Arial" w:hint="cs"/>
          <w:sz w:val="20"/>
          <w:szCs w:val="20"/>
          <w:rtl/>
        </w:rPr>
        <w:t xml:space="preserve">. עברה בשוק, ספק ניתז עליה </w:t>
      </w:r>
      <w:r>
        <w:rPr>
          <w:rFonts w:cs="Arial"/>
          <w:sz w:val="20"/>
          <w:szCs w:val="20"/>
          <w:rtl/>
        </w:rPr>
        <w:t>–</w:t>
      </w:r>
      <w:r>
        <w:rPr>
          <w:rFonts w:cs="Arial" w:hint="cs"/>
          <w:sz w:val="20"/>
          <w:szCs w:val="20"/>
          <w:rtl/>
        </w:rPr>
        <w:t xml:space="preserve"> תולה. ספק האם עברה בשוק </w:t>
      </w:r>
      <w:r>
        <w:rPr>
          <w:rFonts w:cs="Arial"/>
          <w:sz w:val="20"/>
          <w:szCs w:val="20"/>
          <w:rtl/>
        </w:rPr>
        <w:t>–</w:t>
      </w:r>
      <w:r>
        <w:rPr>
          <w:rFonts w:cs="Arial" w:hint="cs"/>
          <w:sz w:val="20"/>
          <w:szCs w:val="20"/>
          <w:rtl/>
        </w:rPr>
        <w:t xml:space="preserve"> אינה תולה.</w:t>
      </w:r>
      <w:r>
        <w:rPr>
          <w:rFonts w:cs="Arial"/>
          <w:sz w:val="20"/>
          <w:szCs w:val="20"/>
          <w:rtl/>
        </w:rPr>
        <w:br/>
      </w:r>
      <w:r>
        <w:rPr>
          <w:rFonts w:cs="Arial" w:hint="cs"/>
          <w:sz w:val="20"/>
          <w:szCs w:val="20"/>
          <w:rtl/>
        </w:rPr>
        <w:t xml:space="preserve">2. </w:t>
      </w:r>
      <w:r w:rsidRPr="00741A88">
        <w:rPr>
          <w:rFonts w:cs="Arial" w:hint="cs"/>
          <w:b/>
          <w:bCs/>
          <w:sz w:val="20"/>
          <w:szCs w:val="20"/>
          <w:rtl/>
        </w:rPr>
        <w:t>רשב"א</w:t>
      </w:r>
      <w:r>
        <w:rPr>
          <w:rFonts w:cs="Arial" w:hint="cs"/>
          <w:sz w:val="20"/>
          <w:szCs w:val="20"/>
          <w:rtl/>
        </w:rPr>
        <w:t xml:space="preserve">. אם אין לטבחים מקום קבוע אלא כל העיר מקומם, תולה בכל עניין, וכ"פ </w:t>
      </w:r>
      <w:r w:rsidRPr="00EC7E40">
        <w:rPr>
          <w:rFonts w:cs="Arial" w:hint="cs"/>
          <w:b/>
          <w:bCs/>
          <w:sz w:val="20"/>
          <w:szCs w:val="20"/>
          <w:rtl/>
        </w:rPr>
        <w:t>המחבר</w:t>
      </w:r>
      <w:r>
        <w:rPr>
          <w:rFonts w:cs="Arial" w:hint="cs"/>
          <w:sz w:val="20"/>
          <w:szCs w:val="20"/>
          <w:rtl/>
        </w:rPr>
        <w:t>.</w:t>
      </w:r>
      <w:r>
        <w:rPr>
          <w:rFonts w:cs="Arial"/>
          <w:sz w:val="20"/>
          <w:szCs w:val="20"/>
          <w:rtl/>
        </w:rPr>
        <w:br/>
      </w:r>
      <w:r>
        <w:rPr>
          <w:rFonts w:cs="Arial" w:hint="cs"/>
          <w:sz w:val="20"/>
          <w:szCs w:val="20"/>
          <w:rtl/>
        </w:rPr>
        <w:t xml:space="preserve">3. </w:t>
      </w:r>
      <w:r w:rsidRPr="00741A88">
        <w:rPr>
          <w:rFonts w:cs="Arial" w:hint="cs"/>
          <w:b/>
          <w:bCs/>
          <w:sz w:val="20"/>
          <w:szCs w:val="20"/>
          <w:rtl/>
        </w:rPr>
        <w:t>גמרא</w:t>
      </w:r>
      <w:r>
        <w:rPr>
          <w:rFonts w:cs="Arial" w:hint="cs"/>
          <w:sz w:val="20"/>
          <w:szCs w:val="20"/>
          <w:rtl/>
        </w:rPr>
        <w:t xml:space="preserve">. עיר שיש בה חזירים אין חוששים לכתמים. </w:t>
      </w:r>
      <w:r w:rsidRPr="00EC7E40">
        <w:rPr>
          <w:rFonts w:cs="Arial" w:hint="cs"/>
          <w:b/>
          <w:bCs/>
          <w:sz w:val="20"/>
          <w:szCs w:val="20"/>
          <w:rtl/>
        </w:rPr>
        <w:t>טעם</w:t>
      </w:r>
      <w:r>
        <w:rPr>
          <w:rFonts w:cs="Arial" w:hint="cs"/>
          <w:sz w:val="20"/>
          <w:szCs w:val="20"/>
          <w:rtl/>
        </w:rPr>
        <w:t>. החזירים מטנפים כל מקום בדם.</w:t>
      </w:r>
      <w:r>
        <w:rPr>
          <w:rFonts w:cs="Arial"/>
          <w:sz w:val="20"/>
          <w:szCs w:val="20"/>
          <w:rtl/>
        </w:rPr>
        <w:br/>
      </w:r>
      <w:r>
        <w:rPr>
          <w:rFonts w:cs="Arial" w:hint="cs"/>
          <w:sz w:val="20"/>
          <w:szCs w:val="20"/>
          <w:rtl/>
        </w:rPr>
        <w:t xml:space="preserve">4. </w:t>
      </w:r>
      <w:r w:rsidRPr="00741A88">
        <w:rPr>
          <w:rFonts w:cs="Arial" w:hint="cs"/>
          <w:b/>
          <w:bCs/>
          <w:sz w:val="20"/>
          <w:szCs w:val="20"/>
          <w:rtl/>
        </w:rPr>
        <w:t>רמב"ם ורשב"א</w:t>
      </w:r>
      <w:r>
        <w:rPr>
          <w:rFonts w:cs="Arial" w:hint="cs"/>
          <w:sz w:val="20"/>
          <w:szCs w:val="20"/>
          <w:rtl/>
        </w:rPr>
        <w:t xml:space="preserve">. כן הלכה. מעיר </w:t>
      </w:r>
      <w:r w:rsidRPr="00EC7E40">
        <w:rPr>
          <w:rFonts w:cs="Arial" w:hint="cs"/>
          <w:b/>
          <w:bCs/>
          <w:sz w:val="20"/>
          <w:szCs w:val="20"/>
          <w:rtl/>
        </w:rPr>
        <w:t>המגיד משנה</w:t>
      </w:r>
      <w:r>
        <w:rPr>
          <w:rFonts w:cs="Arial" w:hint="cs"/>
          <w:sz w:val="20"/>
          <w:szCs w:val="20"/>
          <w:rtl/>
        </w:rPr>
        <w:t xml:space="preserve">. א. בלבד שאינה אומרת ברי שלא הלכה למקום החזירים. ב. אם יש שכונה לישראל בפנ"ע אינה תולה. </w:t>
      </w:r>
      <w:r w:rsidRPr="00741A88">
        <w:rPr>
          <w:rFonts w:cs="Arial" w:hint="cs"/>
          <w:b/>
          <w:bCs/>
          <w:sz w:val="20"/>
          <w:szCs w:val="20"/>
          <w:rtl/>
        </w:rPr>
        <w:t>רא"ש</w:t>
      </w:r>
      <w:r>
        <w:rPr>
          <w:rFonts w:cs="Arial" w:hint="cs"/>
          <w:sz w:val="20"/>
          <w:szCs w:val="20"/>
          <w:rtl/>
        </w:rPr>
        <w:t>. כיום אין מצוי שחזיר יתיז דם, והכל לפי העניין.</w:t>
      </w:r>
      <w:r>
        <w:rPr>
          <w:rFonts w:cs="Arial" w:hint="cs"/>
          <w:sz w:val="20"/>
          <w:szCs w:val="20"/>
          <w:rtl/>
        </w:rPr>
        <w:br/>
      </w:r>
    </w:p>
    <w:p w:rsidR="00620060" w:rsidRDefault="00620060" w:rsidP="00620060">
      <w:pPr>
        <w:rPr>
          <w:rFonts w:cs="Arial"/>
          <w:sz w:val="20"/>
          <w:szCs w:val="20"/>
          <w:rtl/>
        </w:rPr>
      </w:pPr>
      <w:r>
        <w:rPr>
          <w:rFonts w:cs="Arial" w:hint="cs"/>
          <w:b/>
          <w:bCs/>
          <w:sz w:val="20"/>
          <w:szCs w:val="20"/>
          <w:rtl/>
        </w:rPr>
        <w:t xml:space="preserve">סעיף כג </w:t>
      </w:r>
      <w:r>
        <w:rPr>
          <w:rFonts w:cs="Arial"/>
          <w:b/>
          <w:bCs/>
          <w:sz w:val="20"/>
          <w:szCs w:val="20"/>
          <w:rtl/>
        </w:rPr>
        <w:t>–</w:t>
      </w:r>
      <w:r>
        <w:rPr>
          <w:rFonts w:cs="Arial" w:hint="cs"/>
          <w:b/>
          <w:bCs/>
          <w:sz w:val="20"/>
          <w:szCs w:val="20"/>
          <w:rtl/>
        </w:rPr>
        <w:t xml:space="preserve"> התעסקה במין אחד ונמצא עליה מין אחר</w:t>
      </w:r>
      <w:r>
        <w:rPr>
          <w:rFonts w:cs="Arial"/>
          <w:b/>
          <w:bCs/>
          <w:sz w:val="20"/>
          <w:szCs w:val="20"/>
          <w:rtl/>
        </w:rPr>
        <w:br/>
      </w:r>
      <w:r>
        <w:rPr>
          <w:rFonts w:cs="Arial" w:hint="cs"/>
          <w:b/>
          <w:bCs/>
          <w:sz w:val="20"/>
          <w:szCs w:val="20"/>
          <w:rtl/>
        </w:rPr>
        <w:t>מקור הדין</w:t>
      </w:r>
      <w:r>
        <w:rPr>
          <w:rFonts w:cs="Arial"/>
          <w:b/>
          <w:bCs/>
          <w:sz w:val="20"/>
          <w:szCs w:val="20"/>
          <w:rtl/>
        </w:rPr>
        <w:br/>
      </w:r>
      <w:r>
        <w:rPr>
          <w:rFonts w:cs="Arial" w:hint="cs"/>
          <w:b/>
          <w:bCs/>
          <w:sz w:val="20"/>
          <w:szCs w:val="20"/>
          <w:rtl/>
        </w:rPr>
        <w:t xml:space="preserve">גמרא </w:t>
      </w:r>
      <w:r>
        <w:rPr>
          <w:rFonts w:cs="Arial" w:hint="cs"/>
          <w:sz w:val="20"/>
          <w:szCs w:val="20"/>
          <w:rtl/>
        </w:rPr>
        <w:t>נדה (נט.) "</w:t>
      </w:r>
      <w:r w:rsidRPr="002E6CF0">
        <w:rPr>
          <w:rFonts w:cs="Arial"/>
          <w:sz w:val="20"/>
          <w:szCs w:val="20"/>
          <w:rtl/>
        </w:rPr>
        <w:t>אמר רבא: נמצא עליה מין אחד - תולה בו כמה מינין. מיתיבי: נתעסקה באדום - אין תולה בו שחור! נתעסקה שאני</w:t>
      </w:r>
      <w:r>
        <w:rPr>
          <w:rFonts w:cs="Arial" w:hint="cs"/>
          <w:sz w:val="20"/>
          <w:szCs w:val="20"/>
          <w:rtl/>
        </w:rPr>
        <w:t>".</w:t>
      </w:r>
      <w:r w:rsidRPr="00B16FBF">
        <w:rPr>
          <w:rStyle w:val="a5"/>
          <w:rFonts w:cs="Arial"/>
          <w:sz w:val="20"/>
          <w:szCs w:val="20"/>
          <w:rtl/>
        </w:rPr>
        <w:footnoteReference w:id="307"/>
      </w:r>
      <w:r>
        <w:rPr>
          <w:rFonts w:cs="Arial"/>
          <w:sz w:val="20"/>
          <w:szCs w:val="20"/>
          <w:rtl/>
        </w:rPr>
        <w:br/>
      </w:r>
      <w:r w:rsidRPr="002E6CF0">
        <w:rPr>
          <w:rFonts w:cs="Arial" w:hint="cs"/>
          <w:b/>
          <w:bCs/>
          <w:sz w:val="20"/>
          <w:szCs w:val="20"/>
          <w:rtl/>
        </w:rPr>
        <w:lastRenderedPageBreak/>
        <w:t>רש"י</w:t>
      </w:r>
      <w:r>
        <w:rPr>
          <w:rFonts w:cs="Arial" w:hint="cs"/>
          <w:sz w:val="20"/>
          <w:szCs w:val="20"/>
          <w:rtl/>
        </w:rPr>
        <w:t xml:space="preserve"> </w:t>
      </w:r>
      <w:r>
        <w:rPr>
          <w:rFonts w:cs="Arial"/>
          <w:sz w:val="20"/>
          <w:szCs w:val="20"/>
          <w:rtl/>
        </w:rPr>
        <w:t>–</w:t>
      </w:r>
      <w:r>
        <w:rPr>
          <w:rFonts w:cs="Arial" w:hint="cs"/>
          <w:sz w:val="20"/>
          <w:szCs w:val="20"/>
          <w:rtl/>
        </w:rPr>
        <w:t xml:space="preserve"> "</w:t>
      </w:r>
      <w:r w:rsidRPr="002E6CF0">
        <w:rPr>
          <w:rFonts w:cs="Arial"/>
          <w:sz w:val="20"/>
          <w:szCs w:val="20"/>
          <w:rtl/>
        </w:rPr>
        <w:t>דכיון דנתעסקה במין אדום היכי תלינן ביה כתם שחור</w:t>
      </w:r>
      <w:r>
        <w:rPr>
          <w:rFonts w:cs="Arial" w:hint="cs"/>
          <w:sz w:val="20"/>
          <w:szCs w:val="20"/>
          <w:rtl/>
        </w:rPr>
        <w:t>?!</w:t>
      </w:r>
      <w:r w:rsidRPr="002E6CF0">
        <w:rPr>
          <w:rFonts w:cs="Arial"/>
          <w:sz w:val="20"/>
          <w:szCs w:val="20"/>
          <w:rtl/>
        </w:rPr>
        <w:t xml:space="preserve"> אבל נמצא עליה מין אדום תולה בה כתם שחור</w:t>
      </w:r>
      <w:r>
        <w:rPr>
          <w:rFonts w:cs="Arial" w:hint="cs"/>
          <w:sz w:val="20"/>
          <w:szCs w:val="20"/>
          <w:rtl/>
        </w:rPr>
        <w:t>,</w:t>
      </w:r>
      <w:r w:rsidRPr="002E6CF0">
        <w:rPr>
          <w:rFonts w:cs="Arial"/>
          <w:sz w:val="20"/>
          <w:szCs w:val="20"/>
          <w:rtl/>
        </w:rPr>
        <w:t xml:space="preserve"> דאמרינן כי היכי דניתן עליה האי מין בדלא ידעה</w:t>
      </w:r>
      <w:r>
        <w:rPr>
          <w:rFonts w:cs="Arial" w:hint="cs"/>
          <w:sz w:val="20"/>
          <w:szCs w:val="20"/>
          <w:rtl/>
        </w:rPr>
        <w:t>,</w:t>
      </w:r>
      <w:r w:rsidRPr="002E6CF0">
        <w:rPr>
          <w:rFonts w:cs="Arial"/>
          <w:sz w:val="20"/>
          <w:szCs w:val="20"/>
          <w:rtl/>
        </w:rPr>
        <w:t xml:space="preserve"> הכי נ</w:t>
      </w:r>
      <w:r>
        <w:rPr>
          <w:rFonts w:cs="Arial"/>
          <w:sz w:val="20"/>
          <w:szCs w:val="20"/>
          <w:rtl/>
        </w:rPr>
        <w:t>מי הוה עלה מינא אחרינא ולא ידעה</w:t>
      </w:r>
      <w:r>
        <w:rPr>
          <w:rFonts w:cs="Arial" w:hint="cs"/>
          <w:sz w:val="20"/>
          <w:szCs w:val="20"/>
          <w:rtl/>
        </w:rPr>
        <w:t>".</w:t>
      </w:r>
      <w:r>
        <w:rPr>
          <w:rFonts w:cs="Arial" w:hint="cs"/>
          <w:b/>
          <w:bCs/>
          <w:sz w:val="20"/>
          <w:szCs w:val="20"/>
          <w:rtl/>
        </w:rPr>
        <w:br/>
      </w:r>
      <w:r>
        <w:rPr>
          <w:rFonts w:cs="Arial"/>
          <w:b/>
          <w:bCs/>
          <w:sz w:val="20"/>
          <w:szCs w:val="20"/>
          <w:rtl/>
        </w:rPr>
        <w:br/>
      </w:r>
      <w:r>
        <w:rPr>
          <w:rFonts w:cs="Arial" w:hint="cs"/>
          <w:b/>
          <w:bCs/>
          <w:sz w:val="20"/>
          <w:szCs w:val="20"/>
          <w:rtl/>
        </w:rPr>
        <w:t>האם הלכה כרבא</w:t>
      </w:r>
      <w:r>
        <w:rPr>
          <w:rFonts w:cs="Arial"/>
          <w:b/>
          <w:bCs/>
          <w:sz w:val="20"/>
          <w:szCs w:val="20"/>
          <w:rtl/>
        </w:rPr>
        <w:br/>
      </w:r>
      <w:r>
        <w:rPr>
          <w:rFonts w:cs="Arial" w:hint="cs"/>
          <w:sz w:val="20"/>
          <w:szCs w:val="20"/>
          <w:rtl/>
        </w:rPr>
        <w:t xml:space="preserve">א. </w:t>
      </w:r>
      <w:r>
        <w:rPr>
          <w:rFonts w:cs="Arial" w:hint="cs"/>
          <w:b/>
          <w:bCs/>
          <w:sz w:val="20"/>
          <w:szCs w:val="20"/>
          <w:rtl/>
        </w:rPr>
        <w:t>ר"ח</w:t>
      </w:r>
      <w:r>
        <w:rPr>
          <w:rFonts w:cs="Arial" w:hint="cs"/>
          <w:sz w:val="20"/>
          <w:szCs w:val="20"/>
          <w:rtl/>
        </w:rPr>
        <w:t xml:space="preserve">, </w:t>
      </w:r>
      <w:r w:rsidRPr="004F71BE">
        <w:rPr>
          <w:rFonts w:cs="Arial" w:hint="cs"/>
          <w:b/>
          <w:bCs/>
          <w:sz w:val="20"/>
          <w:szCs w:val="20"/>
          <w:rtl/>
        </w:rPr>
        <w:t>רמב"ם ורא"ש</w:t>
      </w:r>
      <w:r>
        <w:rPr>
          <w:rFonts w:cs="Arial" w:hint="cs"/>
          <w:b/>
          <w:bCs/>
          <w:sz w:val="20"/>
          <w:szCs w:val="20"/>
          <w:rtl/>
        </w:rPr>
        <w:t xml:space="preserve"> </w:t>
      </w:r>
      <w:r>
        <w:rPr>
          <w:rFonts w:cs="Arial"/>
          <w:sz w:val="20"/>
          <w:szCs w:val="20"/>
          <w:rtl/>
        </w:rPr>
        <w:t>–</w:t>
      </w:r>
      <w:r>
        <w:rPr>
          <w:rFonts w:cs="Arial" w:hint="cs"/>
          <w:sz w:val="20"/>
          <w:szCs w:val="20"/>
          <w:rtl/>
        </w:rPr>
        <w:t xml:space="preserve"> אין הלכה כרבא, וכ"פ</w:t>
      </w:r>
      <w:r w:rsidRPr="004F71BE">
        <w:rPr>
          <w:rFonts w:cs="Arial" w:hint="cs"/>
          <w:b/>
          <w:bCs/>
          <w:sz w:val="20"/>
          <w:szCs w:val="20"/>
          <w:rtl/>
        </w:rPr>
        <w:t xml:space="preserve"> המחבר</w:t>
      </w:r>
      <w:r>
        <w:rPr>
          <w:rFonts w:cs="Arial" w:hint="cs"/>
          <w:sz w:val="20"/>
          <w:szCs w:val="20"/>
          <w:rtl/>
        </w:rPr>
        <w:t xml:space="preserve">. </w:t>
      </w:r>
      <w:r>
        <w:rPr>
          <w:rFonts w:cs="Arial"/>
          <w:sz w:val="20"/>
          <w:szCs w:val="20"/>
          <w:rtl/>
        </w:rPr>
        <w:br/>
      </w:r>
      <w:r>
        <w:rPr>
          <w:rFonts w:cs="Arial" w:hint="cs"/>
          <w:sz w:val="20"/>
          <w:szCs w:val="20"/>
          <w:rtl/>
        </w:rPr>
        <w:t xml:space="preserve">ואע"פ שלמדנו לעיל שאם נמצא כתם בחלוק העליון תולה בו את הכתם שנמצא בחלוק התחתון, היינו רק כשמדובר במין אחד של דם, אך בשני מינים של דם </w:t>
      </w:r>
      <w:r>
        <w:rPr>
          <w:rFonts w:cs="Arial"/>
          <w:sz w:val="20"/>
          <w:szCs w:val="20"/>
          <w:rtl/>
        </w:rPr>
        <w:t>–</w:t>
      </w:r>
      <w:r>
        <w:rPr>
          <w:rFonts w:cs="Arial" w:hint="cs"/>
          <w:sz w:val="20"/>
          <w:szCs w:val="20"/>
          <w:rtl/>
        </w:rPr>
        <w:t xml:space="preserve"> אינה תולה.</w:t>
      </w:r>
      <w:r>
        <w:rPr>
          <w:rFonts w:cs="Arial"/>
          <w:sz w:val="20"/>
          <w:szCs w:val="20"/>
          <w:rtl/>
        </w:rPr>
        <w:br/>
      </w:r>
      <w:r w:rsidRPr="004F71BE">
        <w:rPr>
          <w:rFonts w:cs="Arial" w:hint="cs"/>
          <w:b/>
          <w:bCs/>
          <w:sz w:val="20"/>
          <w:szCs w:val="20"/>
          <w:rtl/>
        </w:rPr>
        <w:t xml:space="preserve">טעם </w:t>
      </w:r>
      <w:r>
        <w:rPr>
          <w:rFonts w:cs="Arial"/>
          <w:sz w:val="20"/>
          <w:szCs w:val="20"/>
          <w:rtl/>
        </w:rPr>
        <w:t>–</w:t>
      </w:r>
      <w:r>
        <w:rPr>
          <w:rFonts w:cs="Arial" w:hint="cs"/>
          <w:sz w:val="20"/>
          <w:szCs w:val="20"/>
          <w:rtl/>
        </w:rPr>
        <w:t xml:space="preserve"> הגמרא בסמוך מביאה איכא דאמרי שונה בדברי רבא, ומשמע לראשונים אלו שהלישנות פליגי ולפי לישנא בתרא אין דין לישנא קמא נכון ומעולם רבא לא הורה זאת </w:t>
      </w:r>
      <w:r w:rsidRPr="004F71BE">
        <w:rPr>
          <w:rFonts w:cs="Arial" w:hint="cs"/>
          <w:sz w:val="18"/>
          <w:szCs w:val="18"/>
          <w:rtl/>
        </w:rPr>
        <w:t>(</w:t>
      </w:r>
      <w:r w:rsidRPr="004F71BE">
        <w:rPr>
          <w:rFonts w:cs="Arial" w:hint="cs"/>
          <w:b/>
          <w:bCs/>
          <w:sz w:val="18"/>
          <w:szCs w:val="18"/>
          <w:rtl/>
        </w:rPr>
        <w:t>מגיד משנה</w:t>
      </w:r>
      <w:r w:rsidRPr="004F71BE">
        <w:rPr>
          <w:rFonts w:cs="Arial" w:hint="cs"/>
          <w:sz w:val="18"/>
          <w:szCs w:val="18"/>
          <w:rtl/>
        </w:rPr>
        <w:t>, וכתב זאת בלשון 'אפשר')</w:t>
      </w:r>
      <w:r>
        <w:rPr>
          <w:rFonts w:cs="Arial" w:hint="cs"/>
          <w:sz w:val="20"/>
          <w:szCs w:val="20"/>
          <w:rtl/>
        </w:rPr>
        <w:t>.</w:t>
      </w:r>
      <w:r>
        <w:rPr>
          <w:rFonts w:cs="Arial"/>
          <w:sz w:val="20"/>
          <w:szCs w:val="20"/>
          <w:rtl/>
        </w:rPr>
        <w:br/>
      </w:r>
      <w:r>
        <w:rPr>
          <w:rFonts w:cs="Arial" w:hint="cs"/>
          <w:sz w:val="20"/>
          <w:szCs w:val="20"/>
          <w:rtl/>
        </w:rPr>
        <w:t xml:space="preserve">ב. </w:t>
      </w:r>
      <w:r w:rsidRPr="004F71BE">
        <w:rPr>
          <w:rFonts w:cs="Arial" w:hint="cs"/>
          <w:b/>
          <w:bCs/>
          <w:sz w:val="20"/>
          <w:szCs w:val="20"/>
          <w:rtl/>
        </w:rPr>
        <w:t>רשב"א</w:t>
      </w:r>
      <w:r w:rsidRPr="0081055B">
        <w:rPr>
          <w:rStyle w:val="a5"/>
          <w:rFonts w:cs="Arial"/>
          <w:sz w:val="20"/>
          <w:szCs w:val="20"/>
          <w:rtl/>
        </w:rPr>
        <w:footnoteReference w:id="308"/>
      </w:r>
      <w:r>
        <w:rPr>
          <w:rFonts w:cs="Arial" w:hint="cs"/>
          <w:sz w:val="20"/>
          <w:szCs w:val="20"/>
          <w:rtl/>
        </w:rPr>
        <w:t xml:space="preserve">, </w:t>
      </w:r>
      <w:r w:rsidRPr="004F71BE">
        <w:rPr>
          <w:rFonts w:cs="Arial" w:hint="cs"/>
          <w:b/>
          <w:bCs/>
          <w:sz w:val="20"/>
          <w:szCs w:val="20"/>
          <w:rtl/>
        </w:rPr>
        <w:t>ראב"ד</w:t>
      </w:r>
      <w:r>
        <w:rPr>
          <w:rFonts w:cs="Arial" w:hint="cs"/>
          <w:sz w:val="20"/>
          <w:szCs w:val="20"/>
          <w:rtl/>
        </w:rPr>
        <w:t xml:space="preserve"> </w:t>
      </w:r>
      <w:r w:rsidRPr="006E25AF">
        <w:rPr>
          <w:rFonts w:cs="Arial" w:hint="cs"/>
          <w:b/>
          <w:bCs/>
          <w:sz w:val="20"/>
          <w:szCs w:val="20"/>
          <w:rtl/>
        </w:rPr>
        <w:t>וטור</w:t>
      </w:r>
      <w:r>
        <w:rPr>
          <w:rFonts w:cs="Arial" w:hint="cs"/>
          <w:sz w:val="20"/>
          <w:szCs w:val="20"/>
          <w:rtl/>
        </w:rPr>
        <w:t xml:space="preserve"> </w:t>
      </w:r>
      <w:r>
        <w:rPr>
          <w:rFonts w:cs="Arial"/>
          <w:sz w:val="20"/>
          <w:szCs w:val="20"/>
          <w:rtl/>
        </w:rPr>
        <w:t>–</w:t>
      </w:r>
      <w:r>
        <w:rPr>
          <w:rFonts w:cs="Arial" w:hint="cs"/>
          <w:sz w:val="20"/>
          <w:szCs w:val="20"/>
          <w:rtl/>
        </w:rPr>
        <w:t xml:space="preserve"> הלכה כדברי רבא.</w:t>
      </w:r>
      <w:r>
        <w:rPr>
          <w:rFonts w:cs="Arial"/>
          <w:sz w:val="20"/>
          <w:szCs w:val="20"/>
          <w:rtl/>
        </w:rPr>
        <w:br/>
      </w:r>
      <w:r w:rsidRPr="00B16FBF">
        <w:rPr>
          <w:rFonts w:cs="Arial" w:hint="cs"/>
          <w:b/>
          <w:bCs/>
          <w:sz w:val="20"/>
          <w:szCs w:val="20"/>
          <w:rtl/>
        </w:rPr>
        <w:t xml:space="preserve">טעם </w:t>
      </w:r>
      <w:r>
        <w:rPr>
          <w:rFonts w:cs="Arial"/>
          <w:sz w:val="20"/>
          <w:szCs w:val="20"/>
          <w:rtl/>
        </w:rPr>
        <w:t>–</w:t>
      </w:r>
      <w:r>
        <w:rPr>
          <w:rFonts w:cs="Arial" w:hint="cs"/>
          <w:sz w:val="20"/>
          <w:szCs w:val="20"/>
          <w:rtl/>
        </w:rPr>
        <w:t xml:space="preserve"> הרשב"א לא גורס במימרא השנייה "איכא דאמרי", ומשמע לו שלכו"ע רבא הורה את שתי המימרות.</w:t>
      </w:r>
      <w:r>
        <w:rPr>
          <w:rFonts w:cs="Arial" w:hint="cs"/>
          <w:sz w:val="20"/>
          <w:szCs w:val="20"/>
          <w:rtl/>
        </w:rPr>
        <w:br/>
      </w:r>
      <w:r>
        <w:rPr>
          <w:rFonts w:cs="Arial"/>
          <w:sz w:val="20"/>
          <w:szCs w:val="20"/>
          <w:rtl/>
        </w:rPr>
        <w:br/>
      </w:r>
      <w:r>
        <w:rPr>
          <w:rFonts w:cs="Arial" w:hint="cs"/>
          <w:b/>
          <w:bCs/>
          <w:sz w:val="20"/>
          <w:szCs w:val="20"/>
          <w:rtl/>
        </w:rPr>
        <w:t>התעסקה בדם - תלייה בצבע שונה מעט</w:t>
      </w:r>
      <w:r>
        <w:rPr>
          <w:rFonts w:cs="Arial"/>
          <w:b/>
          <w:bCs/>
          <w:sz w:val="20"/>
          <w:szCs w:val="20"/>
          <w:rtl/>
        </w:rPr>
        <w:br/>
      </w:r>
      <w:r>
        <w:rPr>
          <w:rFonts w:cs="Arial" w:hint="cs"/>
          <w:b/>
          <w:bCs/>
          <w:sz w:val="20"/>
          <w:szCs w:val="20"/>
          <w:rtl/>
        </w:rPr>
        <w:t xml:space="preserve">גמרא </w:t>
      </w:r>
      <w:r>
        <w:rPr>
          <w:rFonts w:cs="Arial" w:hint="cs"/>
          <w:sz w:val="20"/>
          <w:szCs w:val="20"/>
          <w:rtl/>
        </w:rPr>
        <w:t>(שם, נח:) "</w:t>
      </w:r>
      <w:r w:rsidRPr="002E6CF0">
        <w:rPr>
          <w:rFonts w:cs="Arial"/>
          <w:sz w:val="20"/>
          <w:szCs w:val="20"/>
          <w:rtl/>
        </w:rPr>
        <w:t>תנינא להא דת</w:t>
      </w:r>
      <w:r>
        <w:rPr>
          <w:rFonts w:cs="Arial" w:hint="cs"/>
          <w:sz w:val="20"/>
          <w:szCs w:val="20"/>
          <w:rtl/>
        </w:rPr>
        <w:t>נו רבנן</w:t>
      </w:r>
      <w:r w:rsidRPr="002E6CF0">
        <w:rPr>
          <w:rFonts w:cs="Arial"/>
          <w:sz w:val="20"/>
          <w:szCs w:val="20"/>
          <w:rtl/>
        </w:rPr>
        <w:t>: מעשה ותלה ר</w:t>
      </w:r>
      <w:r>
        <w:rPr>
          <w:rFonts w:cs="Arial" w:hint="cs"/>
          <w:sz w:val="20"/>
          <w:szCs w:val="20"/>
          <w:rtl/>
        </w:rPr>
        <w:t xml:space="preserve">בי </w:t>
      </w:r>
      <w:r w:rsidRPr="002E6CF0">
        <w:rPr>
          <w:rFonts w:cs="Arial"/>
          <w:sz w:val="20"/>
          <w:szCs w:val="20"/>
          <w:rtl/>
        </w:rPr>
        <w:t>מ</w:t>
      </w:r>
      <w:r>
        <w:rPr>
          <w:rFonts w:cs="Arial" w:hint="cs"/>
          <w:sz w:val="20"/>
          <w:szCs w:val="20"/>
          <w:rtl/>
        </w:rPr>
        <w:t>איר</w:t>
      </w:r>
      <w:r w:rsidRPr="002E6CF0">
        <w:rPr>
          <w:rFonts w:cs="Arial"/>
          <w:sz w:val="20"/>
          <w:szCs w:val="20"/>
          <w:rtl/>
        </w:rPr>
        <w:t xml:space="preserve"> בקילור, ורבי תלה בשרף שקמה</w:t>
      </w:r>
      <w:r>
        <w:rPr>
          <w:rFonts w:cs="Arial" w:hint="cs"/>
          <w:sz w:val="20"/>
          <w:szCs w:val="20"/>
          <w:rtl/>
        </w:rPr>
        <w:t>".</w:t>
      </w:r>
      <w:r>
        <w:rPr>
          <w:rFonts w:cs="Arial" w:hint="cs"/>
          <w:sz w:val="20"/>
          <w:szCs w:val="20"/>
          <w:rtl/>
        </w:rPr>
        <w:br/>
      </w:r>
      <w:r w:rsidRPr="00AF79D5">
        <w:rPr>
          <w:rFonts w:cs="Arial" w:hint="cs"/>
          <w:b/>
          <w:bCs/>
          <w:sz w:val="20"/>
          <w:szCs w:val="20"/>
          <w:rtl/>
        </w:rPr>
        <w:t>בית יוסף</w:t>
      </w:r>
      <w:r>
        <w:rPr>
          <w:rFonts w:cs="Arial" w:hint="cs"/>
          <w:sz w:val="20"/>
          <w:szCs w:val="20"/>
          <w:rtl/>
        </w:rPr>
        <w:t xml:space="preserve"> </w:t>
      </w:r>
      <w:r w:rsidRPr="00AF79D5">
        <w:rPr>
          <w:rFonts w:cs="Arial" w:hint="cs"/>
          <w:sz w:val="18"/>
          <w:szCs w:val="18"/>
          <w:rtl/>
        </w:rPr>
        <w:t>(בהסבר דברי</w:t>
      </w:r>
      <w:r w:rsidRPr="00AF79D5">
        <w:rPr>
          <w:rFonts w:cs="Arial" w:hint="cs"/>
          <w:b/>
          <w:bCs/>
          <w:sz w:val="18"/>
          <w:szCs w:val="18"/>
          <w:rtl/>
        </w:rPr>
        <w:t xml:space="preserve"> הטור</w:t>
      </w:r>
      <w:r w:rsidRPr="00AF79D5">
        <w:rPr>
          <w:rFonts w:cs="Arial" w:hint="cs"/>
          <w:sz w:val="18"/>
          <w:szCs w:val="18"/>
          <w:rtl/>
        </w:rPr>
        <w:t xml:space="preserve">) </w:t>
      </w:r>
      <w:r>
        <w:rPr>
          <w:rFonts w:cs="Arial"/>
          <w:sz w:val="20"/>
          <w:szCs w:val="20"/>
          <w:rtl/>
        </w:rPr>
        <w:t>–</w:t>
      </w:r>
      <w:r>
        <w:rPr>
          <w:rFonts w:cs="Arial" w:hint="cs"/>
          <w:sz w:val="20"/>
          <w:szCs w:val="20"/>
          <w:rtl/>
        </w:rPr>
        <w:t xml:space="preserve"> מוכח מגמרא זאת שיש לתלות אדום באדום וכן שחור בשחור אפילו כאשר הצבע אינו דומה לגמרי, שהרי לא נאמר בגמרא שרבי מאיר קירב את המראה לקילור כדי לדמות.</w:t>
      </w:r>
      <w:r>
        <w:rPr>
          <w:rFonts w:cs="Arial"/>
          <w:sz w:val="20"/>
          <w:szCs w:val="20"/>
          <w:rtl/>
        </w:rPr>
        <w:br/>
      </w:r>
      <w:r>
        <w:rPr>
          <w:rFonts w:cs="Arial" w:hint="cs"/>
          <w:sz w:val="20"/>
          <w:szCs w:val="20"/>
          <w:rtl/>
        </w:rPr>
        <w:t>ועוד, קילור אינו אדום כל כך, משום שמעורבים בו כמה מינים שאינם אדומים, אלא על כורחך שיש לתלות כתם אדום בדבר אדום שהתעסקה עמו אפילו כשהעסק האדום אינו אדום ממש.</w:t>
      </w:r>
      <w:r>
        <w:rPr>
          <w:rFonts w:cs="Arial"/>
          <w:sz w:val="20"/>
          <w:szCs w:val="20"/>
          <w:rtl/>
        </w:rPr>
        <w:br/>
      </w:r>
      <w:r>
        <w:rPr>
          <w:rFonts w:cs="Arial"/>
          <w:sz w:val="20"/>
          <w:szCs w:val="20"/>
          <w:rtl/>
        </w:rPr>
        <w:br/>
      </w:r>
      <w:r>
        <w:rPr>
          <w:rFonts w:cs="Arial" w:hint="cs"/>
          <w:b/>
          <w:bCs/>
          <w:sz w:val="20"/>
          <w:szCs w:val="20"/>
          <w:rtl/>
        </w:rPr>
        <w:t>פסיקת הלכה</w:t>
      </w:r>
      <w:r>
        <w:rPr>
          <w:rFonts w:cs="Arial"/>
          <w:b/>
          <w:bCs/>
          <w:sz w:val="20"/>
          <w:szCs w:val="20"/>
          <w:rtl/>
        </w:rPr>
        <w:br/>
      </w:r>
      <w:r>
        <w:rPr>
          <w:rFonts w:cs="Arial" w:hint="cs"/>
          <w:b/>
          <w:bCs/>
          <w:sz w:val="20"/>
          <w:szCs w:val="20"/>
          <w:rtl/>
        </w:rPr>
        <w:t>שולחן ערוך</w:t>
      </w:r>
      <w:r>
        <w:rPr>
          <w:rFonts w:cs="Arial" w:hint="cs"/>
          <w:sz w:val="20"/>
          <w:szCs w:val="20"/>
          <w:rtl/>
        </w:rPr>
        <w:t xml:space="preserve"> </w:t>
      </w:r>
      <w:r>
        <w:rPr>
          <w:rFonts w:cs="Arial"/>
          <w:sz w:val="20"/>
          <w:szCs w:val="20"/>
          <w:rtl/>
        </w:rPr>
        <w:t>–</w:t>
      </w:r>
      <w:r>
        <w:rPr>
          <w:rFonts w:cs="Arial" w:hint="cs"/>
          <w:sz w:val="20"/>
          <w:szCs w:val="20"/>
          <w:rtl/>
        </w:rPr>
        <w:t xml:space="preserve"> "</w:t>
      </w:r>
      <w:r w:rsidRPr="002E6CF0">
        <w:rPr>
          <w:rFonts w:cs="Arial"/>
          <w:sz w:val="20"/>
          <w:szCs w:val="20"/>
          <w:rtl/>
        </w:rPr>
        <w:t>נתעסקה בדבר אדום ונמצא עליה כתם שחור או איפכא, אין תולין בו. במה דברים אמורים, אדום בשחור ושחור באדום, אבל אדום באדום ושחור בשחור, אפילו אם אינו ניכר ממש שדומה לו, תולה בו, כגון שנתעסקה במי תלתן או במי בשר או</w:t>
      </w:r>
      <w:r>
        <w:rPr>
          <w:rFonts w:cs="Arial"/>
          <w:sz w:val="20"/>
          <w:szCs w:val="20"/>
          <w:rtl/>
        </w:rPr>
        <w:t xml:space="preserve"> בקילור אדום קצת, תולה בו האדום</w:t>
      </w:r>
      <w:r>
        <w:rPr>
          <w:rFonts w:cs="Arial" w:hint="cs"/>
          <w:sz w:val="20"/>
          <w:szCs w:val="20"/>
          <w:rtl/>
        </w:rPr>
        <w:t>".</w:t>
      </w:r>
    </w:p>
    <w:p w:rsidR="00620060" w:rsidRDefault="00620060" w:rsidP="00620060">
      <w:pPr>
        <w:rPr>
          <w:rFonts w:cs="Arial"/>
          <w:sz w:val="20"/>
          <w:szCs w:val="20"/>
          <w:rtl/>
        </w:rPr>
      </w:pPr>
      <w:r>
        <w:rPr>
          <w:rFonts w:cs="Arial" w:hint="cs"/>
          <w:b/>
          <w:bCs/>
          <w:sz w:val="20"/>
          <w:szCs w:val="20"/>
          <w:rtl/>
        </w:rPr>
        <w:t>סיכום</w:t>
      </w:r>
      <w:r>
        <w:rPr>
          <w:rFonts w:cs="Arial"/>
          <w:b/>
          <w:bCs/>
          <w:sz w:val="20"/>
          <w:szCs w:val="20"/>
          <w:rtl/>
        </w:rPr>
        <w:br/>
      </w:r>
      <w:r>
        <w:rPr>
          <w:rFonts w:cs="Arial" w:hint="cs"/>
          <w:sz w:val="20"/>
          <w:szCs w:val="20"/>
          <w:rtl/>
        </w:rPr>
        <w:t xml:space="preserve">1. </w:t>
      </w:r>
      <w:r w:rsidRPr="00CC7ECD">
        <w:rPr>
          <w:rFonts w:cs="Arial" w:hint="cs"/>
          <w:b/>
          <w:bCs/>
          <w:sz w:val="20"/>
          <w:szCs w:val="20"/>
          <w:rtl/>
        </w:rPr>
        <w:t>גמרא</w:t>
      </w:r>
      <w:r>
        <w:rPr>
          <w:rFonts w:cs="Arial" w:hint="cs"/>
          <w:sz w:val="20"/>
          <w:szCs w:val="20"/>
          <w:rtl/>
        </w:rPr>
        <w:t xml:space="preserve">. </w:t>
      </w:r>
      <w:r w:rsidRPr="00CC7ECD">
        <w:rPr>
          <w:rFonts w:cs="Arial" w:hint="cs"/>
          <w:sz w:val="20"/>
          <w:szCs w:val="20"/>
          <w:u w:val="single"/>
          <w:rtl/>
        </w:rPr>
        <w:t>רבא</w:t>
      </w:r>
      <w:r>
        <w:rPr>
          <w:rFonts w:cs="Arial" w:hint="cs"/>
          <w:sz w:val="20"/>
          <w:szCs w:val="20"/>
          <w:rtl/>
        </w:rPr>
        <w:t xml:space="preserve">. נמצא עליה מין אחד, תולה בו כמה מינים וטהורה. </w:t>
      </w:r>
      <w:r w:rsidRPr="00CC7ECD">
        <w:rPr>
          <w:rFonts w:cs="Arial" w:hint="cs"/>
          <w:sz w:val="20"/>
          <w:szCs w:val="20"/>
          <w:u w:val="single"/>
          <w:rtl/>
        </w:rPr>
        <w:t>ברייתא</w:t>
      </w:r>
      <w:r>
        <w:rPr>
          <w:rFonts w:cs="Arial" w:hint="cs"/>
          <w:sz w:val="20"/>
          <w:szCs w:val="20"/>
          <w:rtl/>
        </w:rPr>
        <w:t>. התעסקה, תולה רק כמראה העסק.</w:t>
      </w:r>
      <w:r>
        <w:rPr>
          <w:rFonts w:cs="Arial"/>
          <w:sz w:val="20"/>
          <w:szCs w:val="20"/>
          <w:rtl/>
        </w:rPr>
        <w:br/>
      </w:r>
      <w:r>
        <w:rPr>
          <w:rFonts w:cs="Arial" w:hint="cs"/>
          <w:sz w:val="20"/>
          <w:szCs w:val="20"/>
          <w:rtl/>
        </w:rPr>
        <w:t xml:space="preserve">2. </w:t>
      </w:r>
      <w:r w:rsidRPr="00CC7ECD">
        <w:rPr>
          <w:rFonts w:cs="Arial" w:hint="cs"/>
          <w:b/>
          <w:bCs/>
          <w:sz w:val="20"/>
          <w:szCs w:val="20"/>
          <w:rtl/>
        </w:rPr>
        <w:t>ר"ח</w:t>
      </w:r>
      <w:r>
        <w:rPr>
          <w:rFonts w:cs="Arial" w:hint="cs"/>
          <w:sz w:val="20"/>
          <w:szCs w:val="20"/>
          <w:rtl/>
        </w:rPr>
        <w:t xml:space="preserve">, </w:t>
      </w:r>
      <w:r w:rsidRPr="004F71BE">
        <w:rPr>
          <w:rFonts w:cs="Arial" w:hint="cs"/>
          <w:b/>
          <w:bCs/>
          <w:sz w:val="20"/>
          <w:szCs w:val="20"/>
          <w:rtl/>
        </w:rPr>
        <w:t>רמב"ם ורא"ש</w:t>
      </w:r>
      <w:r>
        <w:rPr>
          <w:rFonts w:cs="Arial" w:hint="cs"/>
          <w:sz w:val="20"/>
          <w:szCs w:val="20"/>
          <w:rtl/>
        </w:rPr>
        <w:t xml:space="preserve">. אין הלכה כרבא, וכ"פ </w:t>
      </w:r>
      <w:r w:rsidRPr="004F71BE">
        <w:rPr>
          <w:rFonts w:cs="Arial" w:hint="cs"/>
          <w:b/>
          <w:bCs/>
          <w:sz w:val="20"/>
          <w:szCs w:val="20"/>
          <w:rtl/>
        </w:rPr>
        <w:t>המחבר</w:t>
      </w:r>
      <w:r>
        <w:rPr>
          <w:rFonts w:cs="Arial" w:hint="cs"/>
          <w:sz w:val="20"/>
          <w:szCs w:val="20"/>
          <w:rtl/>
        </w:rPr>
        <w:t xml:space="preserve">. </w:t>
      </w:r>
      <w:r w:rsidRPr="004F71BE">
        <w:rPr>
          <w:rFonts w:cs="Arial" w:hint="cs"/>
          <w:b/>
          <w:bCs/>
          <w:sz w:val="20"/>
          <w:szCs w:val="20"/>
          <w:rtl/>
        </w:rPr>
        <w:t>רשב"א וראב"ד</w:t>
      </w:r>
      <w:r>
        <w:rPr>
          <w:rFonts w:cs="Arial" w:hint="cs"/>
          <w:sz w:val="20"/>
          <w:szCs w:val="20"/>
          <w:rtl/>
        </w:rPr>
        <w:t xml:space="preserve">. הלכה כרבא. </w:t>
      </w:r>
      <w:r>
        <w:rPr>
          <w:rFonts w:cs="Arial"/>
          <w:sz w:val="20"/>
          <w:szCs w:val="20"/>
          <w:rtl/>
        </w:rPr>
        <w:br/>
      </w:r>
      <w:r>
        <w:rPr>
          <w:rFonts w:cs="Arial" w:hint="cs"/>
          <w:sz w:val="20"/>
          <w:szCs w:val="20"/>
          <w:rtl/>
        </w:rPr>
        <w:t xml:space="preserve">3. </w:t>
      </w:r>
      <w:r w:rsidRPr="00CC7ECD">
        <w:rPr>
          <w:rFonts w:cs="Arial" w:hint="cs"/>
          <w:b/>
          <w:bCs/>
          <w:sz w:val="20"/>
          <w:szCs w:val="20"/>
          <w:rtl/>
        </w:rPr>
        <w:t>טור</w:t>
      </w:r>
      <w:r>
        <w:rPr>
          <w:rFonts w:cs="Arial" w:hint="cs"/>
          <w:sz w:val="20"/>
          <w:szCs w:val="20"/>
          <w:rtl/>
        </w:rPr>
        <w:t>. התעסקה במין אחד ונמצא עליה מין שונה מעט, תולה בו, וכ"פ</w:t>
      </w:r>
      <w:r w:rsidRPr="004F71BE">
        <w:rPr>
          <w:rFonts w:cs="Arial" w:hint="cs"/>
          <w:b/>
          <w:bCs/>
          <w:sz w:val="20"/>
          <w:szCs w:val="20"/>
          <w:rtl/>
        </w:rPr>
        <w:t xml:space="preserve"> המחבר</w:t>
      </w:r>
      <w:r>
        <w:rPr>
          <w:rFonts w:cs="Arial" w:hint="cs"/>
          <w:sz w:val="20"/>
          <w:szCs w:val="20"/>
          <w:rtl/>
        </w:rPr>
        <w:t>.</w:t>
      </w:r>
      <w:r>
        <w:rPr>
          <w:rFonts w:cs="Arial"/>
          <w:sz w:val="20"/>
          <w:szCs w:val="20"/>
          <w:rtl/>
        </w:rPr>
        <w:br/>
      </w:r>
      <w:r>
        <w:rPr>
          <w:rFonts w:cs="Arial" w:hint="cs"/>
          <w:sz w:val="20"/>
          <w:szCs w:val="20"/>
          <w:rtl/>
        </w:rPr>
        <w:t xml:space="preserve">4. </w:t>
      </w:r>
      <w:r w:rsidRPr="00CC7ECD">
        <w:rPr>
          <w:rFonts w:cs="Arial" w:hint="cs"/>
          <w:b/>
          <w:bCs/>
          <w:sz w:val="20"/>
          <w:szCs w:val="20"/>
          <w:rtl/>
        </w:rPr>
        <w:t>שו"ע</w:t>
      </w:r>
      <w:r>
        <w:rPr>
          <w:rFonts w:cs="Arial" w:hint="cs"/>
          <w:sz w:val="20"/>
          <w:szCs w:val="20"/>
          <w:rtl/>
        </w:rPr>
        <w:t>. התעסקה באדום ונמצא כתם שחור ולהיפך, טמאה. התעסקה באדום ונמצא צבע שונה מעט, טהורה.</w:t>
      </w:r>
    </w:p>
    <w:p w:rsidR="00620060" w:rsidRDefault="00620060" w:rsidP="00620060">
      <w:pPr>
        <w:rPr>
          <w:rFonts w:cs="Arial"/>
          <w:sz w:val="20"/>
          <w:szCs w:val="20"/>
          <w:rtl/>
        </w:rPr>
      </w:pPr>
      <w:r>
        <w:rPr>
          <w:rFonts w:cs="Arial"/>
          <w:sz w:val="20"/>
          <w:szCs w:val="20"/>
          <w:rtl/>
        </w:rPr>
        <w:br/>
      </w:r>
      <w:r>
        <w:rPr>
          <w:rFonts w:cs="Arial" w:hint="cs"/>
          <w:b/>
          <w:bCs/>
          <w:sz w:val="20"/>
          <w:szCs w:val="20"/>
          <w:rtl/>
        </w:rPr>
        <w:t xml:space="preserve">סעיף כד </w:t>
      </w:r>
      <w:r>
        <w:rPr>
          <w:rFonts w:cs="Arial"/>
          <w:b/>
          <w:bCs/>
          <w:sz w:val="20"/>
          <w:szCs w:val="20"/>
          <w:rtl/>
        </w:rPr>
        <w:t>–</w:t>
      </w:r>
      <w:r>
        <w:rPr>
          <w:rFonts w:cs="Arial" w:hint="cs"/>
          <w:b/>
          <w:bCs/>
          <w:sz w:val="20"/>
          <w:szCs w:val="20"/>
          <w:rtl/>
        </w:rPr>
        <w:t xml:space="preserve"> שחטה תרנגולת</w:t>
      </w:r>
      <w:r>
        <w:rPr>
          <w:rFonts w:cs="Arial"/>
          <w:b/>
          <w:bCs/>
          <w:sz w:val="20"/>
          <w:szCs w:val="20"/>
          <w:rtl/>
        </w:rPr>
        <w:br/>
      </w:r>
      <w:r>
        <w:rPr>
          <w:rFonts w:cs="Arial" w:hint="cs"/>
          <w:b/>
          <w:bCs/>
          <w:sz w:val="20"/>
          <w:szCs w:val="20"/>
          <w:rtl/>
        </w:rPr>
        <w:t>מקור הדין</w:t>
      </w:r>
      <w:r>
        <w:rPr>
          <w:rFonts w:cs="Arial"/>
          <w:b/>
          <w:bCs/>
          <w:sz w:val="20"/>
          <w:szCs w:val="20"/>
          <w:rtl/>
        </w:rPr>
        <w:br/>
      </w:r>
      <w:r>
        <w:rPr>
          <w:rFonts w:cs="Arial" w:hint="cs"/>
          <w:b/>
          <w:bCs/>
          <w:sz w:val="20"/>
          <w:szCs w:val="20"/>
          <w:rtl/>
        </w:rPr>
        <w:t xml:space="preserve">גמרא </w:t>
      </w:r>
      <w:r>
        <w:rPr>
          <w:rFonts w:cs="Arial" w:hint="cs"/>
          <w:sz w:val="20"/>
          <w:szCs w:val="20"/>
          <w:rtl/>
        </w:rPr>
        <w:t>נדה (נט.) "</w:t>
      </w:r>
      <w:r w:rsidRPr="006E25AF">
        <w:rPr>
          <w:rFonts w:cs="Arial"/>
          <w:sz w:val="20"/>
          <w:szCs w:val="20"/>
          <w:rtl/>
        </w:rPr>
        <w:t>איכא דאמרי, אמר רבא: נתעסקה במין אחד - תולה בו כמה מינין. מיתיבי: נתעסקה באדום - אין תולה בו שחור כי קאמר רבא - דאתעסקה בתרנגולת, דאית בה כמה מיני דמא</w:t>
      </w:r>
      <w:r>
        <w:rPr>
          <w:rFonts w:cs="Arial" w:hint="cs"/>
          <w:sz w:val="20"/>
          <w:szCs w:val="20"/>
          <w:rtl/>
        </w:rPr>
        <w:t>"</w:t>
      </w:r>
      <w:r w:rsidRPr="006E25AF">
        <w:rPr>
          <w:rFonts w:cs="Arial"/>
          <w:sz w:val="20"/>
          <w:szCs w:val="20"/>
          <w:rtl/>
        </w:rPr>
        <w:t>.</w:t>
      </w:r>
    </w:p>
    <w:p w:rsidR="00620060" w:rsidRDefault="00620060" w:rsidP="00620060">
      <w:pPr>
        <w:rPr>
          <w:rFonts w:cs="Arial"/>
          <w:sz w:val="20"/>
          <w:szCs w:val="20"/>
          <w:rtl/>
        </w:rPr>
      </w:pPr>
      <w:r>
        <w:rPr>
          <w:rFonts w:cs="Arial" w:hint="cs"/>
          <w:b/>
          <w:bCs/>
          <w:sz w:val="20"/>
          <w:szCs w:val="20"/>
          <w:rtl/>
        </w:rPr>
        <w:t>פסיקת הלכה</w:t>
      </w:r>
      <w:r>
        <w:rPr>
          <w:rFonts w:cs="Arial"/>
          <w:b/>
          <w:bCs/>
          <w:sz w:val="20"/>
          <w:szCs w:val="20"/>
          <w:rtl/>
        </w:rPr>
        <w:br/>
      </w:r>
      <w:r>
        <w:rPr>
          <w:rFonts w:cs="Arial" w:hint="cs"/>
          <w:b/>
          <w:bCs/>
          <w:sz w:val="20"/>
          <w:szCs w:val="20"/>
          <w:rtl/>
        </w:rPr>
        <w:t>שולחן ערוך</w:t>
      </w:r>
      <w:r>
        <w:rPr>
          <w:rFonts w:cs="Arial" w:hint="cs"/>
          <w:sz w:val="20"/>
          <w:szCs w:val="20"/>
          <w:rtl/>
        </w:rPr>
        <w:t xml:space="preserve"> </w:t>
      </w:r>
      <w:r>
        <w:rPr>
          <w:rFonts w:cs="Arial"/>
          <w:sz w:val="20"/>
          <w:szCs w:val="20"/>
          <w:rtl/>
        </w:rPr>
        <w:t>–</w:t>
      </w:r>
      <w:r>
        <w:rPr>
          <w:rFonts w:cs="Arial" w:hint="cs"/>
          <w:sz w:val="20"/>
          <w:szCs w:val="20"/>
          <w:rtl/>
        </w:rPr>
        <w:t xml:space="preserve"> "</w:t>
      </w:r>
      <w:r w:rsidRPr="006E25AF">
        <w:rPr>
          <w:rFonts w:cs="Arial"/>
          <w:sz w:val="20"/>
          <w:szCs w:val="20"/>
          <w:rtl/>
        </w:rPr>
        <w:t>נתעסקה בתרנגולת, תולה בו אדום ושחור וכרכומי, לפי שדם שחיטתה אדום, ודם איבריה שחור, ודם בני מעיה כרכומי</w:t>
      </w:r>
      <w:r>
        <w:rPr>
          <w:rFonts w:cs="Arial" w:hint="cs"/>
          <w:sz w:val="20"/>
          <w:szCs w:val="20"/>
          <w:rtl/>
        </w:rPr>
        <w:t>"</w:t>
      </w:r>
      <w:r w:rsidRPr="006E25AF">
        <w:rPr>
          <w:rFonts w:cs="Arial"/>
          <w:sz w:val="20"/>
          <w:szCs w:val="20"/>
          <w:rtl/>
        </w:rPr>
        <w:t>.</w:t>
      </w:r>
      <w:r>
        <w:rPr>
          <w:rFonts w:cs="Arial"/>
          <w:sz w:val="20"/>
          <w:szCs w:val="20"/>
          <w:rtl/>
        </w:rPr>
        <w:br/>
      </w:r>
      <w:r w:rsidRPr="00924181">
        <w:rPr>
          <w:rFonts w:cs="Arial" w:hint="cs"/>
          <w:b/>
          <w:bCs/>
          <w:sz w:val="20"/>
          <w:szCs w:val="20"/>
          <w:rtl/>
        </w:rPr>
        <w:t>גיליון מהרש"א</w:t>
      </w:r>
      <w:r>
        <w:rPr>
          <w:rFonts w:cs="Arial" w:hint="cs"/>
          <w:sz w:val="20"/>
          <w:szCs w:val="20"/>
          <w:rtl/>
        </w:rPr>
        <w:t xml:space="preserve"> </w:t>
      </w:r>
      <w:r>
        <w:rPr>
          <w:rFonts w:cs="Arial"/>
          <w:sz w:val="20"/>
          <w:szCs w:val="20"/>
          <w:rtl/>
        </w:rPr>
        <w:t>–</w:t>
      </w:r>
      <w:r>
        <w:rPr>
          <w:rFonts w:cs="Arial" w:hint="cs"/>
          <w:sz w:val="20"/>
          <w:szCs w:val="20"/>
          <w:rtl/>
        </w:rPr>
        <w:t xml:space="preserve"> מדובר שהתעסקה בכל ענייני תיקון התרנגולת, אך אם התעסקה בשחיטה לבד תולה בה רק מראה אדום.</w:t>
      </w:r>
      <w:r>
        <w:rPr>
          <w:rFonts w:cs="Arial"/>
          <w:b/>
          <w:bCs/>
          <w:sz w:val="20"/>
          <w:szCs w:val="20"/>
          <w:rtl/>
        </w:rPr>
        <w:br/>
      </w:r>
      <w:r>
        <w:rPr>
          <w:rFonts w:cs="Arial" w:hint="cs"/>
          <w:b/>
          <w:bCs/>
          <w:sz w:val="20"/>
          <w:szCs w:val="20"/>
          <w:rtl/>
        </w:rPr>
        <w:br/>
        <w:t>סיכום</w:t>
      </w:r>
      <w:r>
        <w:rPr>
          <w:rFonts w:cs="Arial"/>
          <w:b/>
          <w:bCs/>
          <w:sz w:val="20"/>
          <w:szCs w:val="20"/>
          <w:rtl/>
        </w:rPr>
        <w:br/>
      </w:r>
      <w:r>
        <w:rPr>
          <w:rFonts w:cs="Arial" w:hint="cs"/>
          <w:sz w:val="20"/>
          <w:szCs w:val="20"/>
          <w:rtl/>
        </w:rPr>
        <w:t xml:space="preserve">1. </w:t>
      </w:r>
      <w:r w:rsidRPr="00DA15C7">
        <w:rPr>
          <w:rFonts w:cs="Arial" w:hint="cs"/>
          <w:b/>
          <w:bCs/>
          <w:sz w:val="20"/>
          <w:szCs w:val="20"/>
          <w:rtl/>
        </w:rPr>
        <w:t>גמרא</w:t>
      </w:r>
      <w:r>
        <w:rPr>
          <w:rFonts w:cs="Arial" w:hint="cs"/>
          <w:sz w:val="20"/>
          <w:szCs w:val="20"/>
          <w:rtl/>
        </w:rPr>
        <w:t>. התעסקה בדם תרנגולת ונמצא עליה כמה מיני דמים, תולה את כולם בדם התרנגולת.</w:t>
      </w:r>
      <w:r>
        <w:rPr>
          <w:rFonts w:cs="Arial"/>
          <w:sz w:val="20"/>
          <w:szCs w:val="20"/>
          <w:rtl/>
        </w:rPr>
        <w:br/>
      </w:r>
      <w:r>
        <w:rPr>
          <w:rFonts w:cs="Arial" w:hint="cs"/>
          <w:sz w:val="20"/>
          <w:szCs w:val="20"/>
          <w:rtl/>
        </w:rPr>
        <w:t xml:space="preserve">2. </w:t>
      </w:r>
      <w:r w:rsidRPr="00DA15C7">
        <w:rPr>
          <w:rFonts w:cs="Arial" w:hint="cs"/>
          <w:b/>
          <w:bCs/>
          <w:sz w:val="20"/>
          <w:szCs w:val="20"/>
          <w:rtl/>
        </w:rPr>
        <w:t>מהרש"א</w:t>
      </w:r>
      <w:r>
        <w:rPr>
          <w:rFonts w:cs="Arial" w:hint="cs"/>
          <w:sz w:val="20"/>
          <w:szCs w:val="20"/>
          <w:rtl/>
        </w:rPr>
        <w:t>. מדובר שהתעסקה בכל תיקון התרנגולת ולא רק בשחיטה.</w:t>
      </w:r>
    </w:p>
    <w:p w:rsidR="00620060" w:rsidRDefault="00620060" w:rsidP="00620060">
      <w:pPr>
        <w:rPr>
          <w:rFonts w:cs="Arial"/>
          <w:sz w:val="20"/>
          <w:szCs w:val="20"/>
          <w:rtl/>
        </w:rPr>
      </w:pPr>
      <w:r>
        <w:rPr>
          <w:rFonts w:cs="Arial"/>
          <w:sz w:val="20"/>
          <w:szCs w:val="20"/>
          <w:rtl/>
        </w:rPr>
        <w:lastRenderedPageBreak/>
        <w:br/>
      </w:r>
      <w:r>
        <w:rPr>
          <w:rFonts w:cs="Arial" w:hint="cs"/>
          <w:b/>
          <w:bCs/>
          <w:sz w:val="20"/>
          <w:szCs w:val="20"/>
          <w:rtl/>
        </w:rPr>
        <w:t xml:space="preserve">סעיף כה </w:t>
      </w:r>
      <w:r>
        <w:rPr>
          <w:rFonts w:cs="Arial"/>
          <w:b/>
          <w:bCs/>
          <w:sz w:val="20"/>
          <w:szCs w:val="20"/>
          <w:rtl/>
        </w:rPr>
        <w:t>–</w:t>
      </w:r>
      <w:r>
        <w:rPr>
          <w:rFonts w:cs="Arial" w:hint="cs"/>
          <w:b/>
          <w:bCs/>
          <w:sz w:val="20"/>
          <w:szCs w:val="20"/>
          <w:rtl/>
        </w:rPr>
        <w:t xml:space="preserve"> שתי נשים שהתעסקו בציפור אחת</w:t>
      </w:r>
      <w:r>
        <w:rPr>
          <w:rFonts w:cs="Arial"/>
          <w:b/>
          <w:bCs/>
          <w:sz w:val="20"/>
          <w:szCs w:val="20"/>
          <w:rtl/>
        </w:rPr>
        <w:br/>
      </w:r>
      <w:r>
        <w:rPr>
          <w:rFonts w:cs="Arial" w:hint="cs"/>
          <w:b/>
          <w:bCs/>
          <w:sz w:val="20"/>
          <w:szCs w:val="20"/>
          <w:rtl/>
        </w:rPr>
        <w:t>מקור הדין</w:t>
      </w:r>
      <w:r>
        <w:rPr>
          <w:rFonts w:cs="Arial"/>
          <w:b/>
          <w:bCs/>
          <w:sz w:val="20"/>
          <w:szCs w:val="20"/>
          <w:rtl/>
        </w:rPr>
        <w:br/>
      </w:r>
      <w:r>
        <w:rPr>
          <w:rFonts w:cs="Arial" w:hint="cs"/>
          <w:b/>
          <w:bCs/>
          <w:sz w:val="20"/>
          <w:szCs w:val="20"/>
          <w:rtl/>
        </w:rPr>
        <w:t xml:space="preserve">גמרא </w:t>
      </w:r>
      <w:r>
        <w:rPr>
          <w:rFonts w:cs="Arial" w:hint="cs"/>
          <w:sz w:val="20"/>
          <w:szCs w:val="20"/>
          <w:rtl/>
        </w:rPr>
        <w:t>(נח:) "</w:t>
      </w:r>
      <w:r w:rsidRPr="00C615AD">
        <w:rPr>
          <w:rFonts w:cs="Arial"/>
          <w:sz w:val="20"/>
          <w:szCs w:val="20"/>
          <w:rtl/>
        </w:rPr>
        <w:t>תניא: שתי נשים שנתעסקו בצפור אחד, ואין בו אלא כסלע דם, ונמצא כסלע על זו וכסלע על זו - שתיהן טמאות</w:t>
      </w:r>
      <w:r>
        <w:rPr>
          <w:rFonts w:cs="Arial" w:hint="cs"/>
          <w:sz w:val="20"/>
          <w:szCs w:val="20"/>
          <w:rtl/>
        </w:rPr>
        <w:t>".</w:t>
      </w:r>
      <w:r>
        <w:rPr>
          <w:rFonts w:cs="Arial"/>
          <w:sz w:val="20"/>
          <w:szCs w:val="20"/>
          <w:rtl/>
        </w:rPr>
        <w:br/>
      </w:r>
      <w:r w:rsidRPr="00EC697A">
        <w:rPr>
          <w:rFonts w:cs="Arial" w:hint="cs"/>
          <w:b/>
          <w:bCs/>
          <w:sz w:val="20"/>
          <w:szCs w:val="20"/>
          <w:rtl/>
        </w:rPr>
        <w:t>טעם</w:t>
      </w:r>
      <w:r>
        <w:rPr>
          <w:rFonts w:cs="Arial" w:hint="cs"/>
          <w:sz w:val="20"/>
          <w:szCs w:val="20"/>
          <w:rtl/>
        </w:rPr>
        <w:t xml:space="preserve"> </w:t>
      </w:r>
      <w:r w:rsidRPr="00EC697A">
        <w:rPr>
          <w:rFonts w:cs="Arial" w:hint="cs"/>
          <w:sz w:val="18"/>
          <w:szCs w:val="18"/>
          <w:rtl/>
        </w:rPr>
        <w:t>(</w:t>
      </w:r>
      <w:r w:rsidRPr="00EC697A">
        <w:rPr>
          <w:rFonts w:cs="Arial" w:hint="cs"/>
          <w:b/>
          <w:bCs/>
          <w:sz w:val="18"/>
          <w:szCs w:val="18"/>
          <w:rtl/>
        </w:rPr>
        <w:t>רש"י</w:t>
      </w:r>
      <w:r w:rsidRPr="00EC697A">
        <w:rPr>
          <w:rFonts w:cs="Arial" w:hint="cs"/>
          <w:sz w:val="18"/>
          <w:szCs w:val="18"/>
          <w:rtl/>
        </w:rPr>
        <w:t xml:space="preserve">) </w:t>
      </w:r>
      <w:r>
        <w:rPr>
          <w:rFonts w:cs="Arial" w:hint="cs"/>
          <w:sz w:val="20"/>
          <w:szCs w:val="20"/>
          <w:rtl/>
        </w:rPr>
        <w:t>- אחת מהן טמאה בוודאי, וכיוון שאין לתלות באחת יותר מבחברתה, לכן שתיהן טמאות.</w:t>
      </w:r>
    </w:p>
    <w:p w:rsidR="00620060" w:rsidRDefault="00620060" w:rsidP="00620060">
      <w:pPr>
        <w:rPr>
          <w:rFonts w:cs="Arial"/>
          <w:sz w:val="20"/>
          <w:szCs w:val="20"/>
          <w:rtl/>
        </w:rPr>
      </w:pPr>
      <w:r>
        <w:rPr>
          <w:rFonts w:cs="Arial" w:hint="cs"/>
          <w:b/>
          <w:bCs/>
          <w:sz w:val="20"/>
          <w:szCs w:val="20"/>
          <w:rtl/>
        </w:rPr>
        <w:t>פסיקת הלכה</w:t>
      </w:r>
      <w:r>
        <w:rPr>
          <w:rFonts w:cs="Arial"/>
          <w:b/>
          <w:bCs/>
          <w:sz w:val="20"/>
          <w:szCs w:val="20"/>
          <w:rtl/>
        </w:rPr>
        <w:br/>
      </w:r>
      <w:r>
        <w:rPr>
          <w:rFonts w:cs="Arial" w:hint="cs"/>
          <w:b/>
          <w:bCs/>
          <w:sz w:val="20"/>
          <w:szCs w:val="20"/>
          <w:rtl/>
        </w:rPr>
        <w:t>שולחן ערוך</w:t>
      </w:r>
      <w:r>
        <w:rPr>
          <w:rFonts w:cs="Arial" w:hint="cs"/>
          <w:sz w:val="20"/>
          <w:szCs w:val="20"/>
          <w:rtl/>
        </w:rPr>
        <w:t xml:space="preserve"> </w:t>
      </w:r>
      <w:r>
        <w:rPr>
          <w:rFonts w:cs="Arial"/>
          <w:sz w:val="20"/>
          <w:szCs w:val="20"/>
          <w:rtl/>
        </w:rPr>
        <w:t>–</w:t>
      </w:r>
      <w:r>
        <w:rPr>
          <w:rFonts w:cs="Arial" w:hint="cs"/>
          <w:sz w:val="20"/>
          <w:szCs w:val="20"/>
          <w:rtl/>
        </w:rPr>
        <w:t xml:space="preserve"> "</w:t>
      </w:r>
      <w:r w:rsidRPr="00C615AD">
        <w:rPr>
          <w:rFonts w:cs="Arial"/>
          <w:sz w:val="20"/>
          <w:szCs w:val="20"/>
          <w:rtl/>
        </w:rPr>
        <w:t>שתי נשים שנתעסקו בצפור אחת שאין בו דם אלא כסלע, ונמצא על כל אחת כסלע, שתיהן טמאות</w:t>
      </w:r>
      <w:r>
        <w:rPr>
          <w:rFonts w:cs="Arial" w:hint="cs"/>
          <w:sz w:val="20"/>
          <w:szCs w:val="20"/>
          <w:rtl/>
        </w:rPr>
        <w:t>"</w:t>
      </w:r>
      <w:r w:rsidRPr="00C615AD">
        <w:rPr>
          <w:rFonts w:cs="Arial"/>
          <w:sz w:val="20"/>
          <w:szCs w:val="20"/>
          <w:rtl/>
        </w:rPr>
        <w:t>.</w:t>
      </w:r>
    </w:p>
    <w:p w:rsidR="00620060" w:rsidRDefault="00620060" w:rsidP="00620060">
      <w:pPr>
        <w:rPr>
          <w:rFonts w:cs="Arial"/>
          <w:sz w:val="20"/>
          <w:szCs w:val="20"/>
          <w:rtl/>
        </w:rPr>
      </w:pPr>
      <w:r w:rsidRPr="00721ECB">
        <w:rPr>
          <w:rFonts w:cs="Arial" w:hint="cs"/>
          <w:b/>
          <w:bCs/>
          <w:sz w:val="20"/>
          <w:szCs w:val="20"/>
          <w:rtl/>
        </w:rPr>
        <w:t xml:space="preserve">באו לשאול זו אחר זו </w:t>
      </w:r>
      <w:r w:rsidRPr="001E337B">
        <w:rPr>
          <w:rFonts w:cs="Arial" w:hint="cs"/>
          <w:sz w:val="18"/>
          <w:szCs w:val="18"/>
          <w:rtl/>
        </w:rPr>
        <w:t>(ב"ח וט"ז)</w:t>
      </w:r>
      <w:r>
        <w:rPr>
          <w:rFonts w:cs="Arial" w:hint="cs"/>
          <w:sz w:val="20"/>
          <w:szCs w:val="20"/>
          <w:u w:val="single"/>
          <w:rtl/>
        </w:rPr>
        <w:br/>
      </w:r>
      <w:r>
        <w:rPr>
          <w:rFonts w:cs="Arial" w:hint="cs"/>
          <w:sz w:val="20"/>
          <w:szCs w:val="20"/>
          <w:rtl/>
        </w:rPr>
        <w:t xml:space="preserve">א. </w:t>
      </w:r>
      <w:r w:rsidRPr="009265B1">
        <w:rPr>
          <w:rFonts w:cs="Arial" w:hint="cs"/>
          <w:b/>
          <w:bCs/>
          <w:sz w:val="20"/>
          <w:szCs w:val="20"/>
          <w:rtl/>
        </w:rPr>
        <w:t>ב"ח</w:t>
      </w:r>
      <w:r>
        <w:rPr>
          <w:rFonts w:cs="Arial" w:hint="cs"/>
          <w:sz w:val="20"/>
          <w:szCs w:val="20"/>
          <w:rtl/>
        </w:rPr>
        <w:t xml:space="preserve"> </w:t>
      </w:r>
      <w:r w:rsidRPr="00721ECB">
        <w:rPr>
          <w:rFonts w:cs="Arial" w:hint="cs"/>
          <w:b/>
          <w:bCs/>
          <w:sz w:val="20"/>
          <w:szCs w:val="20"/>
          <w:rtl/>
        </w:rPr>
        <w:t>וש"ך</w:t>
      </w:r>
      <w:r>
        <w:rPr>
          <w:rFonts w:cs="Arial" w:hint="cs"/>
          <w:sz w:val="20"/>
          <w:szCs w:val="20"/>
          <w:rtl/>
        </w:rPr>
        <w:t xml:space="preserve"> </w:t>
      </w:r>
      <w:r>
        <w:rPr>
          <w:rFonts w:cs="Arial"/>
          <w:sz w:val="20"/>
          <w:szCs w:val="20"/>
          <w:rtl/>
        </w:rPr>
        <w:t>–</w:t>
      </w:r>
      <w:r>
        <w:rPr>
          <w:rFonts w:cs="Arial" w:hint="cs"/>
          <w:sz w:val="20"/>
          <w:szCs w:val="20"/>
          <w:rtl/>
        </w:rPr>
        <w:t xml:space="preserve"> דין זה נכון כאשר באו שתי הנשים לשאול בבת אחת, אך אם באו לשאול זו אחר זו, טהורות.</w:t>
      </w:r>
      <w:r>
        <w:rPr>
          <w:rStyle w:val="a5"/>
          <w:rFonts w:cs="Arial"/>
          <w:sz w:val="20"/>
          <w:szCs w:val="20"/>
          <w:rtl/>
        </w:rPr>
        <w:footnoteReference w:id="309"/>
      </w:r>
      <w:r>
        <w:rPr>
          <w:rFonts w:cs="Arial"/>
          <w:sz w:val="20"/>
          <w:szCs w:val="20"/>
          <w:rtl/>
        </w:rPr>
        <w:br/>
      </w:r>
      <w:r w:rsidRPr="009265B1">
        <w:rPr>
          <w:rFonts w:cs="Arial" w:hint="cs"/>
          <w:b/>
          <w:bCs/>
          <w:sz w:val="20"/>
          <w:szCs w:val="20"/>
          <w:rtl/>
        </w:rPr>
        <w:t xml:space="preserve">טעם </w:t>
      </w:r>
      <w:r>
        <w:rPr>
          <w:rFonts w:cs="Arial"/>
          <w:sz w:val="20"/>
          <w:szCs w:val="20"/>
          <w:rtl/>
        </w:rPr>
        <w:t>–</w:t>
      </w:r>
      <w:r>
        <w:rPr>
          <w:rFonts w:cs="Arial" w:hint="cs"/>
          <w:sz w:val="20"/>
          <w:szCs w:val="20"/>
          <w:rtl/>
        </w:rPr>
        <w:t xml:space="preserve"> כדין שמופיע בתלמוד בכמה מקומות </w:t>
      </w:r>
      <w:r w:rsidRPr="00721ECB">
        <w:rPr>
          <w:rFonts w:cs="Arial" w:hint="cs"/>
          <w:sz w:val="18"/>
          <w:szCs w:val="18"/>
          <w:rtl/>
        </w:rPr>
        <w:t xml:space="preserve">(ומהם בפסחים י.) </w:t>
      </w:r>
      <w:r>
        <w:rPr>
          <w:rFonts w:cs="Arial" w:hint="cs"/>
          <w:sz w:val="20"/>
          <w:szCs w:val="20"/>
          <w:rtl/>
        </w:rPr>
        <w:t>"</w:t>
      </w:r>
      <w:r w:rsidRPr="009265B1">
        <w:rPr>
          <w:rFonts w:cs="Arial"/>
          <w:sz w:val="20"/>
          <w:szCs w:val="20"/>
          <w:rtl/>
        </w:rPr>
        <w:t xml:space="preserve">תנן: שני שבילין, אחד טמא ואחד טהור, והלך באחד מהן ועשה טהרות, ובא חבירו והלך בשני ועשה טהרות. רבי יהודה אומר: אם נשאלו זה בפני עצמו וזה בפני עצמו - טהורין, שניהן בבת אחת - טמאין. רבי יוסי אומר: בין כך ובין כך טמאין. אמר רבא ואיתימא רבי יוחנן: </w:t>
      </w:r>
      <w:r w:rsidRPr="009265B1">
        <w:rPr>
          <w:rFonts w:cs="Arial"/>
          <w:sz w:val="20"/>
          <w:szCs w:val="20"/>
          <w:u w:val="single"/>
          <w:rtl/>
        </w:rPr>
        <w:t>בבת אחת - דברי הכל טמאין, בזה אחר זה - דברי הכל טהורין</w:t>
      </w:r>
      <w:r>
        <w:rPr>
          <w:rFonts w:cs="Arial" w:hint="cs"/>
          <w:sz w:val="20"/>
          <w:szCs w:val="20"/>
          <w:u w:val="single"/>
          <w:rtl/>
        </w:rPr>
        <w:t>"</w:t>
      </w:r>
      <w:r w:rsidRPr="009265B1">
        <w:rPr>
          <w:rFonts w:cs="Arial"/>
          <w:sz w:val="20"/>
          <w:szCs w:val="20"/>
          <w:rtl/>
        </w:rPr>
        <w:t>.</w:t>
      </w:r>
      <w:r>
        <w:rPr>
          <w:rFonts w:cs="Arial" w:hint="cs"/>
          <w:sz w:val="20"/>
          <w:szCs w:val="20"/>
          <w:rtl/>
        </w:rPr>
        <w:br/>
        <w:t>וכמו כן יש לומר כאן, אם באו לשאול זו אחר זו שתיהן טהורות.</w:t>
      </w:r>
      <w:r>
        <w:rPr>
          <w:rFonts w:cs="Arial" w:hint="cs"/>
          <w:sz w:val="20"/>
          <w:szCs w:val="20"/>
          <w:rtl/>
        </w:rPr>
        <w:br/>
      </w:r>
      <w:r>
        <w:rPr>
          <w:rFonts w:cs="Arial"/>
          <w:sz w:val="20"/>
          <w:szCs w:val="20"/>
          <w:rtl/>
        </w:rPr>
        <w:br/>
      </w:r>
      <w:r>
        <w:rPr>
          <w:rFonts w:cs="Arial" w:hint="cs"/>
          <w:sz w:val="20"/>
          <w:szCs w:val="20"/>
          <w:rtl/>
        </w:rPr>
        <w:t xml:space="preserve">ב. </w:t>
      </w:r>
      <w:r w:rsidRPr="009265B1">
        <w:rPr>
          <w:rFonts w:cs="Arial" w:hint="cs"/>
          <w:b/>
          <w:bCs/>
          <w:sz w:val="20"/>
          <w:szCs w:val="20"/>
          <w:rtl/>
        </w:rPr>
        <w:t>ט"ז</w:t>
      </w:r>
      <w:r>
        <w:rPr>
          <w:rFonts w:cs="Arial" w:hint="cs"/>
          <w:sz w:val="20"/>
          <w:szCs w:val="20"/>
          <w:rtl/>
        </w:rPr>
        <w:t xml:space="preserve"> </w:t>
      </w:r>
      <w:r>
        <w:rPr>
          <w:rFonts w:cs="Arial"/>
          <w:sz w:val="20"/>
          <w:szCs w:val="20"/>
          <w:rtl/>
        </w:rPr>
        <w:t>–</w:t>
      </w:r>
      <w:r>
        <w:rPr>
          <w:rFonts w:cs="Arial" w:hint="cs"/>
          <w:sz w:val="20"/>
          <w:szCs w:val="20"/>
          <w:rtl/>
        </w:rPr>
        <w:t xml:space="preserve"> בכל אופן שתיהן טמאות, אפילו אם באו לשאול זו אחר זו.</w:t>
      </w:r>
      <w:r>
        <w:rPr>
          <w:rFonts w:cs="Arial"/>
          <w:sz w:val="20"/>
          <w:szCs w:val="20"/>
          <w:rtl/>
        </w:rPr>
        <w:br/>
      </w:r>
      <w:r w:rsidRPr="009265B1">
        <w:rPr>
          <w:rFonts w:cs="Arial" w:hint="cs"/>
          <w:b/>
          <w:bCs/>
          <w:sz w:val="20"/>
          <w:szCs w:val="20"/>
          <w:rtl/>
        </w:rPr>
        <w:t>טעם</w:t>
      </w:r>
      <w:r>
        <w:rPr>
          <w:rFonts w:cs="Arial" w:hint="cs"/>
          <w:sz w:val="20"/>
          <w:szCs w:val="20"/>
          <w:rtl/>
        </w:rPr>
        <w:t xml:space="preserve"> </w:t>
      </w:r>
      <w:r>
        <w:rPr>
          <w:rFonts w:cs="Arial"/>
          <w:sz w:val="20"/>
          <w:szCs w:val="20"/>
          <w:rtl/>
        </w:rPr>
        <w:t>–</w:t>
      </w:r>
      <w:r>
        <w:rPr>
          <w:rFonts w:cs="Arial" w:hint="cs"/>
          <w:sz w:val="20"/>
          <w:szCs w:val="20"/>
          <w:rtl/>
        </w:rPr>
        <w:t xml:space="preserve"> בדין שני שבילים מעיקר הדין כל אחד טהור משום שמעמידים אותו על חזקת טהרה, אלא שהחמירו חכמים לטמא כאשר באו לשאול בבת אחת, ולכן כאשר באו לשאול בזה אחר זה חוזר דינם למעיקרא וטהורים.</w:t>
      </w:r>
      <w:r>
        <w:rPr>
          <w:rFonts w:cs="Arial"/>
          <w:sz w:val="20"/>
          <w:szCs w:val="20"/>
          <w:rtl/>
        </w:rPr>
        <w:br/>
      </w:r>
      <w:r>
        <w:rPr>
          <w:rFonts w:cs="Arial" w:hint="cs"/>
          <w:sz w:val="20"/>
          <w:szCs w:val="20"/>
          <w:rtl/>
        </w:rPr>
        <w:t>ברם, בדין כתם מעיקר הדין טמאה ורק כאשר יש במה לתלות טהורה, ומכיוון שכאן יש סלע יתרה שאין ידוע במי משתיהן לתלות, שתיהן טמאות</w:t>
      </w:r>
      <w:r>
        <w:rPr>
          <w:rStyle w:val="a5"/>
          <w:rFonts w:cs="Arial"/>
          <w:sz w:val="20"/>
          <w:szCs w:val="20"/>
          <w:rtl/>
        </w:rPr>
        <w:footnoteReference w:id="310"/>
      </w:r>
      <w:r>
        <w:rPr>
          <w:rFonts w:cs="Arial" w:hint="cs"/>
          <w:sz w:val="20"/>
          <w:szCs w:val="20"/>
          <w:rtl/>
        </w:rPr>
        <w:t>.</w:t>
      </w:r>
    </w:p>
    <w:p w:rsidR="00620060" w:rsidRDefault="00620060" w:rsidP="00620060">
      <w:pPr>
        <w:rPr>
          <w:rFonts w:cs="Arial"/>
          <w:sz w:val="20"/>
          <w:szCs w:val="20"/>
          <w:rtl/>
        </w:rPr>
      </w:pPr>
      <w:r>
        <w:rPr>
          <w:rFonts w:cs="Arial" w:hint="cs"/>
          <w:b/>
          <w:bCs/>
          <w:sz w:val="20"/>
          <w:szCs w:val="20"/>
          <w:rtl/>
        </w:rPr>
        <w:t>סיכום</w:t>
      </w:r>
      <w:r>
        <w:rPr>
          <w:rFonts w:cs="Arial"/>
          <w:b/>
          <w:bCs/>
          <w:sz w:val="20"/>
          <w:szCs w:val="20"/>
          <w:rtl/>
        </w:rPr>
        <w:br/>
      </w:r>
      <w:r>
        <w:rPr>
          <w:rFonts w:cs="Arial" w:hint="cs"/>
          <w:sz w:val="20"/>
          <w:szCs w:val="20"/>
          <w:rtl/>
        </w:rPr>
        <w:t xml:space="preserve">1. </w:t>
      </w:r>
      <w:r w:rsidRPr="00EC697A">
        <w:rPr>
          <w:rFonts w:cs="Arial" w:hint="cs"/>
          <w:b/>
          <w:bCs/>
          <w:sz w:val="20"/>
          <w:szCs w:val="20"/>
          <w:rtl/>
        </w:rPr>
        <w:t>גמרא</w:t>
      </w:r>
      <w:r>
        <w:rPr>
          <w:rFonts w:cs="Arial" w:hint="cs"/>
          <w:sz w:val="20"/>
          <w:szCs w:val="20"/>
          <w:rtl/>
        </w:rPr>
        <w:t>. שתי נשים שהתעסקו בציפור שיש בה כסלע דם ונמצא על כל אחת סלע דם, שתיהן טמאות.</w:t>
      </w:r>
      <w:r>
        <w:rPr>
          <w:rFonts w:cs="Arial"/>
          <w:sz w:val="20"/>
          <w:szCs w:val="20"/>
          <w:rtl/>
        </w:rPr>
        <w:br/>
      </w:r>
      <w:r>
        <w:rPr>
          <w:rFonts w:cs="Arial" w:hint="cs"/>
          <w:sz w:val="20"/>
          <w:szCs w:val="20"/>
          <w:rtl/>
        </w:rPr>
        <w:t xml:space="preserve">2. </w:t>
      </w:r>
      <w:r w:rsidRPr="00EC697A">
        <w:rPr>
          <w:rFonts w:cs="Arial" w:hint="cs"/>
          <w:b/>
          <w:bCs/>
          <w:sz w:val="20"/>
          <w:szCs w:val="20"/>
          <w:rtl/>
        </w:rPr>
        <w:t>ב"ח</w:t>
      </w:r>
      <w:r>
        <w:rPr>
          <w:rFonts w:cs="Arial" w:hint="cs"/>
          <w:sz w:val="20"/>
          <w:szCs w:val="20"/>
          <w:rtl/>
        </w:rPr>
        <w:t xml:space="preserve">. אם באו שתיהן לשאול זו אחר זו, שתיהן טהורות. </w:t>
      </w:r>
      <w:r w:rsidRPr="00EC697A">
        <w:rPr>
          <w:rFonts w:cs="Arial" w:hint="cs"/>
          <w:b/>
          <w:bCs/>
          <w:sz w:val="20"/>
          <w:szCs w:val="20"/>
          <w:rtl/>
        </w:rPr>
        <w:t>ט"ז</w:t>
      </w:r>
      <w:r>
        <w:rPr>
          <w:rFonts w:cs="Arial" w:hint="cs"/>
          <w:sz w:val="20"/>
          <w:szCs w:val="20"/>
          <w:rtl/>
        </w:rPr>
        <w:t>. בכל אופן שתיהן טמאות.</w:t>
      </w:r>
    </w:p>
    <w:p w:rsidR="00620060" w:rsidRDefault="00620060" w:rsidP="00620060">
      <w:pPr>
        <w:rPr>
          <w:rFonts w:cs="Arial"/>
          <w:sz w:val="20"/>
          <w:szCs w:val="20"/>
          <w:rtl/>
        </w:rPr>
      </w:pPr>
      <w:r>
        <w:rPr>
          <w:rFonts w:cs="Arial"/>
          <w:sz w:val="20"/>
          <w:szCs w:val="20"/>
          <w:rtl/>
        </w:rPr>
        <w:br/>
      </w:r>
      <w:r>
        <w:rPr>
          <w:rFonts w:cs="Arial" w:hint="cs"/>
          <w:b/>
          <w:bCs/>
          <w:sz w:val="20"/>
          <w:szCs w:val="20"/>
          <w:rtl/>
        </w:rPr>
        <w:t xml:space="preserve">סעיף כו </w:t>
      </w:r>
      <w:r>
        <w:rPr>
          <w:rFonts w:cs="Arial"/>
          <w:b/>
          <w:bCs/>
          <w:sz w:val="20"/>
          <w:szCs w:val="20"/>
          <w:rtl/>
        </w:rPr>
        <w:t>–</w:t>
      </w:r>
      <w:r>
        <w:rPr>
          <w:rFonts w:cs="Arial" w:hint="cs"/>
          <w:b/>
          <w:bCs/>
          <w:sz w:val="20"/>
          <w:szCs w:val="20"/>
          <w:rtl/>
        </w:rPr>
        <w:t xml:space="preserve"> התעסקה במעט דם ונמצא עליה כתם גדול יותר</w:t>
      </w:r>
      <w:r>
        <w:rPr>
          <w:rFonts w:cs="Arial"/>
          <w:b/>
          <w:bCs/>
          <w:sz w:val="20"/>
          <w:szCs w:val="20"/>
          <w:rtl/>
        </w:rPr>
        <w:br/>
      </w:r>
      <w:r>
        <w:rPr>
          <w:rFonts w:cs="Arial" w:hint="cs"/>
          <w:b/>
          <w:bCs/>
          <w:sz w:val="20"/>
          <w:szCs w:val="20"/>
          <w:rtl/>
        </w:rPr>
        <w:t>מקור הדין</w:t>
      </w:r>
      <w:r>
        <w:rPr>
          <w:rFonts w:cs="Arial"/>
          <w:b/>
          <w:bCs/>
          <w:sz w:val="20"/>
          <w:szCs w:val="20"/>
          <w:rtl/>
        </w:rPr>
        <w:br/>
      </w:r>
      <w:r>
        <w:rPr>
          <w:rFonts w:cs="Arial" w:hint="cs"/>
          <w:b/>
          <w:bCs/>
          <w:sz w:val="20"/>
          <w:szCs w:val="20"/>
          <w:rtl/>
        </w:rPr>
        <w:t xml:space="preserve">גמרא </w:t>
      </w:r>
      <w:r>
        <w:rPr>
          <w:rFonts w:cs="Arial" w:hint="cs"/>
          <w:sz w:val="20"/>
          <w:szCs w:val="20"/>
          <w:rtl/>
        </w:rPr>
        <w:t>נדה (נט.) "</w:t>
      </w:r>
      <w:r w:rsidRPr="00E15C89">
        <w:rPr>
          <w:rFonts w:cs="Arial"/>
          <w:sz w:val="20"/>
          <w:szCs w:val="20"/>
          <w:rtl/>
        </w:rPr>
        <w:t>בעי רבי ירמיה: נתעסקה בכגר</w:t>
      </w:r>
      <w:r>
        <w:rPr>
          <w:rFonts w:cs="Arial"/>
          <w:sz w:val="20"/>
          <w:szCs w:val="20"/>
          <w:rtl/>
        </w:rPr>
        <w:t>יס, ונמצא עליה בכגריס ועוד מהו?</w:t>
      </w:r>
      <w:r>
        <w:rPr>
          <w:rFonts w:cs="Arial" w:hint="cs"/>
          <w:sz w:val="20"/>
          <w:szCs w:val="20"/>
          <w:rtl/>
        </w:rPr>
        <w:t xml:space="preserve">... </w:t>
      </w:r>
      <w:r>
        <w:rPr>
          <w:rFonts w:cs="Arial"/>
          <w:sz w:val="20"/>
          <w:szCs w:val="20"/>
          <w:rtl/>
        </w:rPr>
        <w:br/>
      </w:r>
      <w:r w:rsidRPr="00E15C89">
        <w:rPr>
          <w:rFonts w:cs="Arial"/>
          <w:sz w:val="20"/>
          <w:szCs w:val="20"/>
          <w:rtl/>
        </w:rPr>
        <w:t>תא שמע: נתעסקה באדום - אין תולה בה שחור, במועט - אין תולה בו מרובה. היכי דמי? לאו כי האי גוונא? לא, כגון דנתעסקה בכגריס, ונמצא עליה שני גריסין ועוד. אי הכי, מאי למימרא? מהו דתימא: שקול כגריס צפור - שדי בי מצעי, זיל הכא, ליכא שיעורא, זיל הכא - ליכא שיעורא, ק</w:t>
      </w:r>
      <w:r>
        <w:rPr>
          <w:rFonts w:cs="Arial" w:hint="cs"/>
          <w:sz w:val="20"/>
          <w:szCs w:val="20"/>
          <w:rtl/>
        </w:rPr>
        <w:t>א משמע לן".</w:t>
      </w:r>
    </w:p>
    <w:p w:rsidR="00620060" w:rsidRDefault="00620060" w:rsidP="00620060">
      <w:pPr>
        <w:rPr>
          <w:rFonts w:cs="Arial"/>
          <w:sz w:val="20"/>
          <w:szCs w:val="20"/>
          <w:rtl/>
        </w:rPr>
      </w:pPr>
      <w:r>
        <w:rPr>
          <w:rFonts w:cs="Arial" w:hint="cs"/>
          <w:b/>
          <w:bCs/>
          <w:sz w:val="20"/>
          <w:szCs w:val="20"/>
          <w:rtl/>
        </w:rPr>
        <w:t>שיטות הראשונים</w:t>
      </w:r>
      <w:r>
        <w:rPr>
          <w:rFonts w:cs="Arial"/>
          <w:b/>
          <w:bCs/>
          <w:sz w:val="20"/>
          <w:szCs w:val="20"/>
          <w:rtl/>
        </w:rPr>
        <w:br/>
      </w:r>
      <w:r>
        <w:rPr>
          <w:rFonts w:cs="Arial" w:hint="cs"/>
          <w:sz w:val="20"/>
          <w:szCs w:val="20"/>
          <w:rtl/>
        </w:rPr>
        <w:t xml:space="preserve">א. </w:t>
      </w:r>
      <w:r w:rsidRPr="00E15C89">
        <w:rPr>
          <w:rFonts w:cs="Arial" w:hint="cs"/>
          <w:b/>
          <w:bCs/>
          <w:sz w:val="20"/>
          <w:szCs w:val="20"/>
          <w:rtl/>
        </w:rPr>
        <w:t>רא"ש</w:t>
      </w:r>
      <w:r>
        <w:rPr>
          <w:rFonts w:cs="Arial" w:hint="cs"/>
          <w:sz w:val="20"/>
          <w:szCs w:val="20"/>
          <w:rtl/>
        </w:rPr>
        <w:t xml:space="preserve"> </w:t>
      </w:r>
      <w:r>
        <w:rPr>
          <w:rFonts w:cs="Arial"/>
          <w:sz w:val="20"/>
          <w:szCs w:val="20"/>
          <w:rtl/>
        </w:rPr>
        <w:t>–</w:t>
      </w:r>
      <w:r>
        <w:rPr>
          <w:rFonts w:cs="Arial" w:hint="cs"/>
          <w:sz w:val="20"/>
          <w:szCs w:val="20"/>
          <w:rtl/>
        </w:rPr>
        <w:t xml:space="preserve"> הלכה להחמיר.</w:t>
      </w:r>
      <w:r>
        <w:rPr>
          <w:rFonts w:cs="Arial"/>
          <w:sz w:val="20"/>
          <w:szCs w:val="20"/>
          <w:rtl/>
        </w:rPr>
        <w:br/>
      </w:r>
      <w:r w:rsidRPr="00E15C89">
        <w:rPr>
          <w:rFonts w:cs="Arial" w:hint="cs"/>
          <w:b/>
          <w:bCs/>
          <w:sz w:val="20"/>
          <w:szCs w:val="20"/>
          <w:rtl/>
        </w:rPr>
        <w:t>טעם</w:t>
      </w:r>
      <w:r>
        <w:rPr>
          <w:rFonts w:cs="Arial" w:hint="cs"/>
          <w:sz w:val="20"/>
          <w:szCs w:val="20"/>
          <w:rtl/>
        </w:rPr>
        <w:t xml:space="preserve"> </w:t>
      </w:r>
      <w:r>
        <w:rPr>
          <w:rFonts w:cs="Arial"/>
          <w:sz w:val="20"/>
          <w:szCs w:val="20"/>
          <w:rtl/>
        </w:rPr>
        <w:t>–</w:t>
      </w:r>
      <w:r>
        <w:rPr>
          <w:rFonts w:cs="Arial" w:hint="cs"/>
          <w:sz w:val="20"/>
          <w:szCs w:val="20"/>
          <w:rtl/>
        </w:rPr>
        <w:t xml:space="preserve"> כפשט הברייתא "</w:t>
      </w:r>
      <w:r w:rsidRPr="00E15C89">
        <w:rPr>
          <w:rFonts w:cs="Arial"/>
          <w:sz w:val="20"/>
          <w:szCs w:val="20"/>
          <w:rtl/>
        </w:rPr>
        <w:t>במועט - אין תולה בו מרובה</w:t>
      </w:r>
      <w:r>
        <w:rPr>
          <w:rFonts w:cs="Arial" w:hint="cs"/>
          <w:sz w:val="20"/>
          <w:szCs w:val="20"/>
          <w:rtl/>
        </w:rPr>
        <w:t>", ואע"פ שהגמרא דחתה ופירשה באופן שונה, פירוש זה דחוק הוא, שהרי דבר פשוט הוא שאין לומר שדם העסק יהיה באמצע וטהורה.</w:t>
      </w:r>
      <w:r>
        <w:rPr>
          <w:rFonts w:cs="Arial"/>
          <w:sz w:val="20"/>
          <w:szCs w:val="20"/>
          <w:rtl/>
        </w:rPr>
        <w:br/>
      </w:r>
      <w:r>
        <w:rPr>
          <w:rFonts w:cs="Arial" w:hint="cs"/>
          <w:sz w:val="20"/>
          <w:szCs w:val="20"/>
          <w:rtl/>
        </w:rPr>
        <w:t xml:space="preserve">מוסיף </w:t>
      </w:r>
      <w:r w:rsidRPr="00E15C89">
        <w:rPr>
          <w:rFonts w:cs="Arial" w:hint="cs"/>
          <w:b/>
          <w:bCs/>
          <w:sz w:val="20"/>
          <w:szCs w:val="20"/>
          <w:rtl/>
        </w:rPr>
        <w:t>הרא"ש</w:t>
      </w:r>
      <w:r>
        <w:rPr>
          <w:rFonts w:cs="Arial" w:hint="cs"/>
          <w:sz w:val="20"/>
          <w:szCs w:val="20"/>
          <w:rtl/>
        </w:rPr>
        <w:t xml:space="preserve"> </w:t>
      </w:r>
      <w:r>
        <w:rPr>
          <w:rFonts w:cs="Arial"/>
          <w:sz w:val="20"/>
          <w:szCs w:val="20"/>
          <w:rtl/>
        </w:rPr>
        <w:t>–</w:t>
      </w:r>
      <w:r>
        <w:rPr>
          <w:rFonts w:cs="Arial" w:hint="cs"/>
          <w:sz w:val="20"/>
          <w:szCs w:val="20"/>
          <w:rtl/>
        </w:rPr>
        <w:t xml:space="preserve"> דין זה נכון גם כאשר התעסקה בפחות מגריס ונמצא עליה כגריס ועוד, וכן אם התעסקה בכגריס ונמצא עליה שני גריסין </w:t>
      </w:r>
      <w:r w:rsidRPr="00E15C89">
        <w:rPr>
          <w:rFonts w:cs="Arial" w:hint="cs"/>
          <w:sz w:val="18"/>
          <w:szCs w:val="18"/>
          <w:rtl/>
        </w:rPr>
        <w:t>(אלא שהגמרא לא נקטה דוגמה זאת כדי לחדש שאפילו נמצא עליה כגריס ועוד רבי ירמיה מסופק).</w:t>
      </w:r>
      <w:r>
        <w:rPr>
          <w:rFonts w:cs="Arial"/>
          <w:sz w:val="20"/>
          <w:szCs w:val="20"/>
          <w:rtl/>
        </w:rPr>
        <w:br/>
      </w:r>
      <w:r>
        <w:rPr>
          <w:rFonts w:cs="Arial" w:hint="cs"/>
          <w:sz w:val="20"/>
          <w:szCs w:val="20"/>
          <w:rtl/>
        </w:rPr>
        <w:t xml:space="preserve">ב. </w:t>
      </w:r>
      <w:r w:rsidRPr="00E15C89">
        <w:rPr>
          <w:rFonts w:cs="Arial" w:hint="cs"/>
          <w:b/>
          <w:bCs/>
          <w:sz w:val="20"/>
          <w:szCs w:val="20"/>
          <w:rtl/>
        </w:rPr>
        <w:t>רמב"ם</w:t>
      </w:r>
      <w:r>
        <w:rPr>
          <w:rFonts w:cs="Arial" w:hint="cs"/>
          <w:sz w:val="20"/>
          <w:szCs w:val="20"/>
          <w:rtl/>
        </w:rPr>
        <w:t xml:space="preserve">, </w:t>
      </w:r>
      <w:r>
        <w:rPr>
          <w:rFonts w:cs="Arial" w:hint="cs"/>
          <w:b/>
          <w:bCs/>
          <w:sz w:val="20"/>
          <w:szCs w:val="20"/>
          <w:rtl/>
        </w:rPr>
        <w:t>רמב"ן</w:t>
      </w:r>
      <w:r>
        <w:rPr>
          <w:rFonts w:cs="Arial" w:hint="cs"/>
          <w:sz w:val="20"/>
          <w:szCs w:val="20"/>
          <w:rtl/>
        </w:rPr>
        <w:t xml:space="preserve"> </w:t>
      </w:r>
      <w:r>
        <w:rPr>
          <w:rFonts w:cs="Arial" w:hint="cs"/>
          <w:b/>
          <w:bCs/>
          <w:sz w:val="20"/>
          <w:szCs w:val="20"/>
          <w:rtl/>
        </w:rPr>
        <w:t xml:space="preserve">ורשב"א </w:t>
      </w:r>
      <w:r>
        <w:rPr>
          <w:rFonts w:cs="Arial"/>
          <w:sz w:val="20"/>
          <w:szCs w:val="20"/>
          <w:rtl/>
        </w:rPr>
        <w:t>–</w:t>
      </w:r>
      <w:r>
        <w:rPr>
          <w:rFonts w:cs="Arial" w:hint="cs"/>
          <w:sz w:val="20"/>
          <w:szCs w:val="20"/>
          <w:rtl/>
        </w:rPr>
        <w:t xml:space="preserve"> הלכה להקל, וכ"פ </w:t>
      </w:r>
      <w:r w:rsidRPr="00E54228">
        <w:rPr>
          <w:rFonts w:cs="Arial" w:hint="cs"/>
          <w:b/>
          <w:bCs/>
          <w:sz w:val="20"/>
          <w:szCs w:val="20"/>
          <w:rtl/>
        </w:rPr>
        <w:t xml:space="preserve">המחבר </w:t>
      </w:r>
      <w:r w:rsidRPr="00E54228">
        <w:rPr>
          <w:rFonts w:cs="Arial" w:hint="cs"/>
          <w:sz w:val="18"/>
          <w:szCs w:val="18"/>
          <w:rtl/>
        </w:rPr>
        <w:t>(</w:t>
      </w:r>
      <w:r>
        <w:rPr>
          <w:rFonts w:cs="Arial" w:hint="cs"/>
          <w:sz w:val="18"/>
          <w:szCs w:val="18"/>
          <w:rtl/>
        </w:rPr>
        <w:t>ובכתם כב' גריסים טמאה, לפי שתלייה בעסק לא מהני).</w:t>
      </w:r>
      <w:r>
        <w:rPr>
          <w:rFonts w:cs="Arial"/>
          <w:sz w:val="20"/>
          <w:szCs w:val="20"/>
          <w:rtl/>
        </w:rPr>
        <w:br/>
      </w:r>
      <w:r w:rsidRPr="00E15C89">
        <w:rPr>
          <w:rFonts w:cs="Arial" w:hint="cs"/>
          <w:b/>
          <w:bCs/>
          <w:sz w:val="20"/>
          <w:szCs w:val="20"/>
          <w:rtl/>
        </w:rPr>
        <w:t>טעם</w:t>
      </w:r>
      <w:r>
        <w:rPr>
          <w:rFonts w:cs="Arial" w:hint="cs"/>
          <w:sz w:val="20"/>
          <w:szCs w:val="20"/>
          <w:rtl/>
        </w:rPr>
        <w:t xml:space="preserve"> </w:t>
      </w:r>
      <w:r w:rsidRPr="00E15C89">
        <w:rPr>
          <w:rFonts w:cs="Arial" w:hint="cs"/>
          <w:sz w:val="18"/>
          <w:szCs w:val="18"/>
          <w:rtl/>
        </w:rPr>
        <w:t>(</w:t>
      </w:r>
      <w:r w:rsidRPr="00E15C89">
        <w:rPr>
          <w:rFonts w:cs="Arial" w:hint="cs"/>
          <w:b/>
          <w:bCs/>
          <w:sz w:val="18"/>
          <w:szCs w:val="18"/>
          <w:rtl/>
        </w:rPr>
        <w:t>מגיד</w:t>
      </w:r>
      <w:r w:rsidRPr="00E15C89">
        <w:rPr>
          <w:rFonts w:cs="Arial" w:hint="cs"/>
          <w:sz w:val="18"/>
          <w:szCs w:val="18"/>
          <w:rtl/>
        </w:rPr>
        <w:t xml:space="preserve"> </w:t>
      </w:r>
      <w:r w:rsidRPr="00E15C89">
        <w:rPr>
          <w:rFonts w:cs="Arial" w:hint="cs"/>
          <w:b/>
          <w:bCs/>
          <w:sz w:val="18"/>
          <w:szCs w:val="18"/>
          <w:rtl/>
        </w:rPr>
        <w:t>משנה</w:t>
      </w:r>
      <w:r w:rsidRPr="00E15C89">
        <w:rPr>
          <w:rFonts w:cs="Arial" w:hint="cs"/>
          <w:sz w:val="18"/>
          <w:szCs w:val="18"/>
          <w:rtl/>
        </w:rPr>
        <w:t xml:space="preserve">) </w:t>
      </w:r>
      <w:r>
        <w:rPr>
          <w:rFonts w:cs="Arial"/>
          <w:sz w:val="20"/>
          <w:szCs w:val="20"/>
          <w:rtl/>
        </w:rPr>
        <w:t>–</w:t>
      </w:r>
      <w:r>
        <w:rPr>
          <w:rFonts w:cs="Arial" w:hint="cs"/>
          <w:sz w:val="20"/>
          <w:szCs w:val="20"/>
          <w:rtl/>
        </w:rPr>
        <w:t xml:space="preserve"> הבעיא לא נפשטה, ולכן יש להכריע באופן המקובל </w:t>
      </w:r>
      <w:r>
        <w:rPr>
          <w:rFonts w:cs="Arial"/>
          <w:sz w:val="20"/>
          <w:szCs w:val="20"/>
          <w:rtl/>
        </w:rPr>
        <w:t>–</w:t>
      </w:r>
      <w:r>
        <w:rPr>
          <w:rFonts w:cs="Arial" w:hint="cs"/>
          <w:sz w:val="20"/>
          <w:szCs w:val="20"/>
          <w:rtl/>
        </w:rPr>
        <w:t xml:space="preserve"> ספק דרבנן לקולא.</w:t>
      </w:r>
    </w:p>
    <w:p w:rsidR="00620060" w:rsidRDefault="00620060" w:rsidP="00620060">
      <w:pPr>
        <w:rPr>
          <w:rFonts w:cs="Arial"/>
          <w:sz w:val="20"/>
          <w:szCs w:val="20"/>
          <w:rtl/>
        </w:rPr>
      </w:pPr>
      <w:r>
        <w:rPr>
          <w:rFonts w:cs="Arial" w:hint="cs"/>
          <w:b/>
          <w:bCs/>
          <w:sz w:val="20"/>
          <w:szCs w:val="20"/>
          <w:rtl/>
        </w:rPr>
        <w:lastRenderedPageBreak/>
        <w:t>פסיקת הלכה</w:t>
      </w:r>
      <w:r>
        <w:rPr>
          <w:rFonts w:cs="Arial"/>
          <w:b/>
          <w:bCs/>
          <w:sz w:val="20"/>
          <w:szCs w:val="20"/>
          <w:rtl/>
        </w:rPr>
        <w:br/>
      </w:r>
      <w:r>
        <w:rPr>
          <w:rFonts w:cs="Arial" w:hint="cs"/>
          <w:b/>
          <w:bCs/>
          <w:sz w:val="20"/>
          <w:szCs w:val="20"/>
          <w:rtl/>
        </w:rPr>
        <w:t xml:space="preserve">שולחן ערוך </w:t>
      </w:r>
      <w:r>
        <w:rPr>
          <w:rFonts w:cs="Arial"/>
          <w:sz w:val="20"/>
          <w:szCs w:val="20"/>
          <w:rtl/>
        </w:rPr>
        <w:t>–</w:t>
      </w:r>
      <w:r>
        <w:rPr>
          <w:rFonts w:cs="Arial" w:hint="cs"/>
          <w:sz w:val="20"/>
          <w:szCs w:val="20"/>
          <w:rtl/>
        </w:rPr>
        <w:t xml:space="preserve"> "</w:t>
      </w:r>
      <w:r w:rsidRPr="008D19F0">
        <w:rPr>
          <w:rFonts w:cs="Arial"/>
          <w:sz w:val="20"/>
          <w:szCs w:val="20"/>
          <w:rtl/>
        </w:rPr>
        <w:t>נתעסקה בדם שאי אפשר שיהיה ממנו כתם אלא כגריס, ונמצא עליה כשני גריסין, הרי זה תולה כגרי</w:t>
      </w:r>
      <w:r>
        <w:rPr>
          <w:rFonts w:cs="Arial"/>
          <w:sz w:val="20"/>
          <w:szCs w:val="20"/>
          <w:rtl/>
        </w:rPr>
        <w:t>ס בדם שנתעסקה בו וכגריס במאכולת</w:t>
      </w:r>
      <w:r>
        <w:rPr>
          <w:rFonts w:cs="Arial" w:hint="cs"/>
          <w:sz w:val="20"/>
          <w:szCs w:val="20"/>
          <w:rtl/>
        </w:rPr>
        <w:t xml:space="preserve"> </w:t>
      </w:r>
      <w:r w:rsidRPr="008D19F0">
        <w:rPr>
          <w:rFonts w:cs="Arial"/>
          <w:sz w:val="18"/>
          <w:szCs w:val="18"/>
          <w:rtl/>
        </w:rPr>
        <w:t>(</w:t>
      </w:r>
      <w:r w:rsidRPr="008D19F0">
        <w:rPr>
          <w:rFonts w:cs="Arial" w:hint="cs"/>
          <w:sz w:val="18"/>
          <w:szCs w:val="18"/>
          <w:rtl/>
        </w:rPr>
        <w:t>פירו</w:t>
      </w:r>
      <w:r w:rsidRPr="008D19F0">
        <w:rPr>
          <w:rFonts w:cs="Arial"/>
          <w:sz w:val="18"/>
          <w:szCs w:val="18"/>
          <w:rtl/>
        </w:rPr>
        <w:t>ש דם כינה)</w:t>
      </w:r>
      <w:r w:rsidRPr="008D19F0">
        <w:rPr>
          <w:rFonts w:cs="Arial"/>
          <w:sz w:val="20"/>
          <w:szCs w:val="20"/>
          <w:rtl/>
        </w:rPr>
        <w:t xml:space="preserve">. אבל אם נמצא הכתם יותר מכשני גריסין, טמאה. </w:t>
      </w:r>
      <w:r>
        <w:rPr>
          <w:rFonts w:cs="Arial" w:hint="cs"/>
          <w:sz w:val="18"/>
          <w:szCs w:val="18"/>
          <w:rtl/>
        </w:rPr>
        <w:t xml:space="preserve">הגה: </w:t>
      </w:r>
      <w:r w:rsidRPr="008D19F0">
        <w:rPr>
          <w:rFonts w:cs="Arial"/>
          <w:sz w:val="18"/>
          <w:szCs w:val="18"/>
          <w:rtl/>
        </w:rPr>
        <w:t>ויש מחמירין ומטמאין בכל זה. ומכל מקום נראה דיש לסמוך אמקילין, דבכתמים שומעין להקל</w:t>
      </w:r>
      <w:r>
        <w:rPr>
          <w:rFonts w:cs="Arial" w:hint="cs"/>
          <w:sz w:val="20"/>
          <w:szCs w:val="20"/>
          <w:rtl/>
        </w:rPr>
        <w:t>".</w:t>
      </w:r>
      <w:r>
        <w:rPr>
          <w:rFonts w:cs="Arial" w:hint="cs"/>
          <w:sz w:val="20"/>
          <w:szCs w:val="20"/>
          <w:rtl/>
        </w:rPr>
        <w:br/>
      </w:r>
      <w:r w:rsidRPr="00D71AE0">
        <w:rPr>
          <w:rFonts w:cs="Arial" w:hint="cs"/>
          <w:b/>
          <w:bCs/>
          <w:sz w:val="20"/>
          <w:szCs w:val="20"/>
          <w:rtl/>
        </w:rPr>
        <w:t>ש"ך</w:t>
      </w:r>
      <w:r>
        <w:rPr>
          <w:rFonts w:cs="Arial" w:hint="cs"/>
          <w:sz w:val="20"/>
          <w:szCs w:val="20"/>
          <w:rtl/>
        </w:rPr>
        <w:t xml:space="preserve"> </w:t>
      </w:r>
      <w:r>
        <w:rPr>
          <w:rFonts w:cs="Arial"/>
          <w:sz w:val="20"/>
          <w:szCs w:val="20"/>
          <w:rtl/>
        </w:rPr>
        <w:t>–</w:t>
      </w:r>
      <w:r>
        <w:rPr>
          <w:rFonts w:cs="Arial" w:hint="cs"/>
          <w:sz w:val="20"/>
          <w:szCs w:val="20"/>
          <w:rtl/>
        </w:rPr>
        <w:t xml:space="preserve"> לדעת הרא"ש שמחמיר בדין זה, הוא הדין שיש להחמיר אפילו אם התעסקה בכגריס ונמצא עליה כגריס ועוד בלבד.</w:t>
      </w:r>
    </w:p>
    <w:p w:rsidR="00620060" w:rsidRDefault="00620060" w:rsidP="00620060">
      <w:pPr>
        <w:rPr>
          <w:rFonts w:cs="Arial"/>
          <w:sz w:val="20"/>
          <w:szCs w:val="20"/>
          <w:rtl/>
        </w:rPr>
      </w:pPr>
      <w:r>
        <w:rPr>
          <w:rFonts w:cs="Arial" w:hint="cs"/>
          <w:b/>
          <w:bCs/>
          <w:sz w:val="20"/>
          <w:szCs w:val="20"/>
          <w:rtl/>
        </w:rPr>
        <w:t>סיכום</w:t>
      </w:r>
      <w:r>
        <w:rPr>
          <w:rFonts w:cs="Arial"/>
          <w:b/>
          <w:bCs/>
          <w:sz w:val="20"/>
          <w:szCs w:val="20"/>
          <w:rtl/>
        </w:rPr>
        <w:br/>
      </w:r>
      <w:r>
        <w:rPr>
          <w:rFonts w:cs="Arial" w:hint="cs"/>
          <w:sz w:val="20"/>
          <w:szCs w:val="20"/>
          <w:rtl/>
        </w:rPr>
        <w:t xml:space="preserve">1. </w:t>
      </w:r>
      <w:r w:rsidRPr="00D71AE0">
        <w:rPr>
          <w:rFonts w:cs="Arial" w:hint="cs"/>
          <w:b/>
          <w:bCs/>
          <w:sz w:val="20"/>
          <w:szCs w:val="20"/>
          <w:rtl/>
        </w:rPr>
        <w:t>גמרא</w:t>
      </w:r>
      <w:r>
        <w:rPr>
          <w:rFonts w:cs="Arial" w:hint="cs"/>
          <w:sz w:val="20"/>
          <w:szCs w:val="20"/>
          <w:rtl/>
        </w:rPr>
        <w:t xml:space="preserve">. בעי </w:t>
      </w:r>
      <w:r w:rsidRPr="00D71AE0">
        <w:rPr>
          <w:rFonts w:cs="Arial" w:hint="cs"/>
          <w:sz w:val="20"/>
          <w:szCs w:val="20"/>
          <w:u w:val="single"/>
          <w:rtl/>
        </w:rPr>
        <w:t>רבי ירמיה</w:t>
      </w:r>
      <w:r>
        <w:rPr>
          <w:rFonts w:cs="Arial" w:hint="cs"/>
          <w:sz w:val="20"/>
          <w:szCs w:val="20"/>
          <w:rtl/>
        </w:rPr>
        <w:t xml:space="preserve">, התעסקה בכגריס ונמצא עליה כגריס ועוד, מהו?. </w:t>
      </w:r>
      <w:r w:rsidRPr="00D71AE0">
        <w:rPr>
          <w:rFonts w:cs="Arial" w:hint="cs"/>
          <w:sz w:val="20"/>
          <w:szCs w:val="20"/>
          <w:u w:val="single"/>
          <w:rtl/>
        </w:rPr>
        <w:t>ברייתא</w:t>
      </w:r>
      <w:r>
        <w:rPr>
          <w:rFonts w:cs="Arial" w:hint="cs"/>
          <w:sz w:val="20"/>
          <w:szCs w:val="20"/>
          <w:rtl/>
        </w:rPr>
        <w:t xml:space="preserve">. התעסקה במועט אין תולה בו מרובה, משמע להחמיר. </w:t>
      </w:r>
      <w:r w:rsidRPr="00D71AE0">
        <w:rPr>
          <w:rFonts w:cs="Arial" w:hint="cs"/>
          <w:b/>
          <w:bCs/>
          <w:sz w:val="20"/>
          <w:szCs w:val="20"/>
          <w:rtl/>
        </w:rPr>
        <w:t>הגמרא</w:t>
      </w:r>
      <w:r>
        <w:rPr>
          <w:rFonts w:cs="Arial" w:hint="cs"/>
          <w:sz w:val="20"/>
          <w:szCs w:val="20"/>
          <w:rtl/>
        </w:rPr>
        <w:t xml:space="preserve"> דוחה </w:t>
      </w:r>
      <w:r>
        <w:rPr>
          <w:rFonts w:cs="Arial"/>
          <w:sz w:val="20"/>
          <w:szCs w:val="20"/>
          <w:rtl/>
        </w:rPr>
        <w:t>–</w:t>
      </w:r>
      <w:r>
        <w:rPr>
          <w:rFonts w:cs="Arial" w:hint="cs"/>
          <w:sz w:val="20"/>
          <w:szCs w:val="20"/>
          <w:rtl/>
        </w:rPr>
        <w:t xml:space="preserve"> מדובר שעסקה בכגריס ומצאה שני גריסים ועוד.</w:t>
      </w:r>
      <w:r>
        <w:rPr>
          <w:rFonts w:cs="Arial"/>
          <w:sz w:val="20"/>
          <w:szCs w:val="20"/>
          <w:rtl/>
        </w:rPr>
        <w:br/>
      </w:r>
      <w:r>
        <w:rPr>
          <w:rFonts w:cs="Arial" w:hint="cs"/>
          <w:sz w:val="20"/>
          <w:szCs w:val="20"/>
          <w:rtl/>
        </w:rPr>
        <w:t xml:space="preserve">2. </w:t>
      </w:r>
      <w:r w:rsidRPr="00D71AE0">
        <w:rPr>
          <w:rFonts w:cs="Arial" w:hint="cs"/>
          <w:b/>
          <w:bCs/>
          <w:sz w:val="20"/>
          <w:szCs w:val="20"/>
          <w:rtl/>
        </w:rPr>
        <w:t>רא"ש</w:t>
      </w:r>
      <w:r>
        <w:rPr>
          <w:rFonts w:cs="Arial" w:hint="cs"/>
          <w:sz w:val="20"/>
          <w:szCs w:val="20"/>
          <w:rtl/>
        </w:rPr>
        <w:t xml:space="preserve">. הלכה להחמיר, התעסקה בכגריס ומצאה גריס ועוד </w:t>
      </w:r>
      <w:r>
        <w:rPr>
          <w:rFonts w:cs="Arial"/>
          <w:sz w:val="20"/>
          <w:szCs w:val="20"/>
          <w:rtl/>
        </w:rPr>
        <w:t>–</w:t>
      </w:r>
      <w:r>
        <w:rPr>
          <w:rFonts w:cs="Arial" w:hint="cs"/>
          <w:sz w:val="20"/>
          <w:szCs w:val="20"/>
          <w:rtl/>
        </w:rPr>
        <w:t xml:space="preserve"> טמאה. </w:t>
      </w:r>
      <w:r w:rsidRPr="00D71AE0">
        <w:rPr>
          <w:rFonts w:cs="Arial" w:hint="cs"/>
          <w:b/>
          <w:bCs/>
          <w:sz w:val="20"/>
          <w:szCs w:val="20"/>
          <w:rtl/>
        </w:rPr>
        <w:t>טעם</w:t>
      </w:r>
      <w:r>
        <w:rPr>
          <w:rFonts w:cs="Arial" w:hint="cs"/>
          <w:sz w:val="20"/>
          <w:szCs w:val="20"/>
          <w:rtl/>
        </w:rPr>
        <w:t xml:space="preserve">. כפשט הברייתא, ואין ממש בדחיית הגמרא. </w:t>
      </w:r>
      <w:r w:rsidRPr="00D71AE0">
        <w:rPr>
          <w:rFonts w:cs="Arial" w:hint="cs"/>
          <w:b/>
          <w:bCs/>
          <w:sz w:val="20"/>
          <w:szCs w:val="20"/>
          <w:rtl/>
        </w:rPr>
        <w:t>רמב"ם</w:t>
      </w:r>
      <w:r>
        <w:rPr>
          <w:rFonts w:cs="Arial" w:hint="cs"/>
          <w:sz w:val="20"/>
          <w:szCs w:val="20"/>
          <w:rtl/>
        </w:rPr>
        <w:t xml:space="preserve">. הלכה להקל, וכ"פ </w:t>
      </w:r>
      <w:r w:rsidRPr="00D71AE0">
        <w:rPr>
          <w:rFonts w:cs="Arial" w:hint="cs"/>
          <w:b/>
          <w:bCs/>
          <w:sz w:val="20"/>
          <w:szCs w:val="20"/>
          <w:rtl/>
        </w:rPr>
        <w:t>המחבר</w:t>
      </w:r>
      <w:r>
        <w:rPr>
          <w:rFonts w:cs="Arial" w:hint="cs"/>
          <w:sz w:val="20"/>
          <w:szCs w:val="20"/>
          <w:rtl/>
        </w:rPr>
        <w:t xml:space="preserve">. </w:t>
      </w:r>
      <w:r w:rsidRPr="00D71AE0">
        <w:rPr>
          <w:rFonts w:cs="Arial" w:hint="cs"/>
          <w:b/>
          <w:bCs/>
          <w:sz w:val="20"/>
          <w:szCs w:val="20"/>
          <w:rtl/>
        </w:rPr>
        <w:t>טעם</w:t>
      </w:r>
      <w:r>
        <w:rPr>
          <w:rFonts w:cs="Arial" w:hint="cs"/>
          <w:sz w:val="20"/>
          <w:szCs w:val="20"/>
          <w:rtl/>
        </w:rPr>
        <w:t>. הבעיא לא נפשטה וספק דרבנן לקולא.</w:t>
      </w:r>
    </w:p>
    <w:p w:rsidR="00620060" w:rsidRDefault="00620060" w:rsidP="00620060">
      <w:pPr>
        <w:rPr>
          <w:rFonts w:cs="Arial"/>
          <w:b/>
          <w:bCs/>
          <w:sz w:val="20"/>
          <w:szCs w:val="20"/>
          <w:rtl/>
        </w:rPr>
      </w:pPr>
      <w:r>
        <w:rPr>
          <w:rFonts w:cs="Arial"/>
          <w:sz w:val="20"/>
          <w:szCs w:val="20"/>
          <w:rtl/>
        </w:rPr>
        <w:br/>
      </w:r>
      <w:r>
        <w:rPr>
          <w:rFonts w:cs="Arial" w:hint="cs"/>
          <w:b/>
          <w:bCs/>
          <w:sz w:val="20"/>
          <w:szCs w:val="20"/>
          <w:rtl/>
        </w:rPr>
        <w:t xml:space="preserve">סעיף כז </w:t>
      </w:r>
      <w:r>
        <w:rPr>
          <w:rFonts w:cs="Arial"/>
          <w:b/>
          <w:bCs/>
          <w:sz w:val="20"/>
          <w:szCs w:val="20"/>
          <w:rtl/>
        </w:rPr>
        <w:t>–</w:t>
      </w:r>
      <w:r>
        <w:rPr>
          <w:rFonts w:cs="Arial" w:hint="cs"/>
          <w:b/>
          <w:bCs/>
          <w:sz w:val="20"/>
          <w:szCs w:val="20"/>
          <w:rtl/>
        </w:rPr>
        <w:t xml:space="preserve"> המשך הדין הנ"ל</w:t>
      </w:r>
      <w:r>
        <w:rPr>
          <w:rFonts w:cs="Arial" w:hint="cs"/>
          <w:b/>
          <w:bCs/>
          <w:sz w:val="20"/>
          <w:szCs w:val="20"/>
          <w:rtl/>
        </w:rPr>
        <w:br/>
      </w:r>
      <w:r>
        <w:rPr>
          <w:rFonts w:cs="Arial" w:hint="cs"/>
          <w:sz w:val="20"/>
          <w:szCs w:val="20"/>
          <w:rtl/>
        </w:rPr>
        <w:t xml:space="preserve">א. </w:t>
      </w:r>
      <w:r w:rsidRPr="00502B30">
        <w:rPr>
          <w:rFonts w:cs="Arial" w:hint="cs"/>
          <w:b/>
          <w:bCs/>
          <w:sz w:val="20"/>
          <w:szCs w:val="20"/>
          <w:rtl/>
        </w:rPr>
        <w:t>התעסקה בפחות מגריס ומצאה גריס ועוד</w:t>
      </w:r>
      <w:r>
        <w:rPr>
          <w:rFonts w:cs="Arial"/>
          <w:sz w:val="20"/>
          <w:szCs w:val="20"/>
          <w:rtl/>
        </w:rPr>
        <w:br/>
      </w:r>
      <w:r>
        <w:rPr>
          <w:rFonts w:cs="Arial" w:hint="cs"/>
          <w:b/>
          <w:bCs/>
          <w:sz w:val="20"/>
          <w:szCs w:val="20"/>
          <w:rtl/>
        </w:rPr>
        <w:t>שיטות הראשונים</w:t>
      </w:r>
      <w:r>
        <w:rPr>
          <w:rFonts w:cs="Arial" w:hint="cs"/>
          <w:b/>
          <w:bCs/>
          <w:sz w:val="20"/>
          <w:szCs w:val="20"/>
          <w:rtl/>
        </w:rPr>
        <w:br/>
      </w:r>
      <w:r>
        <w:rPr>
          <w:rFonts w:cs="Arial" w:hint="cs"/>
          <w:sz w:val="20"/>
          <w:szCs w:val="20"/>
          <w:rtl/>
        </w:rPr>
        <w:t xml:space="preserve">המקרה </w:t>
      </w:r>
      <w:r>
        <w:rPr>
          <w:rFonts w:cs="Arial"/>
          <w:sz w:val="20"/>
          <w:szCs w:val="20"/>
          <w:rtl/>
        </w:rPr>
        <w:t>–</w:t>
      </w:r>
      <w:r>
        <w:rPr>
          <w:rFonts w:cs="Arial" w:hint="cs"/>
          <w:sz w:val="20"/>
          <w:szCs w:val="20"/>
          <w:rtl/>
        </w:rPr>
        <w:t xml:space="preserve"> התעסקה בפחות מגריס ומצאה בחלוקה כתם בגודל גריס ועוד.</w:t>
      </w:r>
      <w:r>
        <w:rPr>
          <w:rFonts w:cs="Arial"/>
          <w:sz w:val="20"/>
          <w:szCs w:val="20"/>
          <w:rtl/>
        </w:rPr>
        <w:br/>
      </w:r>
      <w:r>
        <w:rPr>
          <w:rFonts w:cs="Arial" w:hint="cs"/>
          <w:sz w:val="20"/>
          <w:szCs w:val="20"/>
          <w:rtl/>
        </w:rPr>
        <w:t xml:space="preserve">א. </w:t>
      </w:r>
      <w:r w:rsidRPr="001E12C1">
        <w:rPr>
          <w:rFonts w:cs="Arial" w:hint="cs"/>
          <w:b/>
          <w:bCs/>
          <w:sz w:val="20"/>
          <w:szCs w:val="20"/>
          <w:rtl/>
        </w:rPr>
        <w:t>רא"ש</w:t>
      </w:r>
      <w:r>
        <w:rPr>
          <w:rFonts w:cs="Arial" w:hint="cs"/>
          <w:sz w:val="20"/>
          <w:szCs w:val="20"/>
          <w:rtl/>
        </w:rPr>
        <w:t xml:space="preserve"> </w:t>
      </w:r>
      <w:r>
        <w:rPr>
          <w:rFonts w:cs="Arial"/>
          <w:sz w:val="20"/>
          <w:szCs w:val="20"/>
          <w:rtl/>
        </w:rPr>
        <w:t>–</w:t>
      </w:r>
      <w:r>
        <w:rPr>
          <w:rFonts w:cs="Arial" w:hint="cs"/>
          <w:sz w:val="20"/>
          <w:szCs w:val="20"/>
          <w:rtl/>
        </w:rPr>
        <w:t xml:space="preserve"> טמאה.</w:t>
      </w:r>
      <w:r>
        <w:rPr>
          <w:rFonts w:cs="Arial"/>
          <w:sz w:val="20"/>
          <w:szCs w:val="20"/>
          <w:rtl/>
        </w:rPr>
        <w:br/>
      </w:r>
      <w:r w:rsidRPr="001E12C1">
        <w:rPr>
          <w:rFonts w:cs="Arial" w:hint="cs"/>
          <w:b/>
          <w:bCs/>
          <w:sz w:val="20"/>
          <w:szCs w:val="20"/>
          <w:rtl/>
        </w:rPr>
        <w:t>טעם</w:t>
      </w:r>
      <w:r>
        <w:rPr>
          <w:rFonts w:cs="Arial" w:hint="cs"/>
          <w:sz w:val="20"/>
          <w:szCs w:val="20"/>
          <w:rtl/>
        </w:rPr>
        <w:t xml:space="preserve"> </w:t>
      </w:r>
      <w:r>
        <w:rPr>
          <w:rFonts w:cs="Arial"/>
          <w:sz w:val="20"/>
          <w:szCs w:val="20"/>
          <w:rtl/>
        </w:rPr>
        <w:t>–</w:t>
      </w:r>
      <w:r>
        <w:rPr>
          <w:rFonts w:cs="Arial" w:hint="cs"/>
          <w:sz w:val="20"/>
          <w:szCs w:val="20"/>
          <w:rtl/>
        </w:rPr>
        <w:t xml:space="preserve"> קל וחומר מהדין בסעיף הקודם שהתעסקה בכגריס ומצאה יותר מכגריס.</w:t>
      </w:r>
      <w:r>
        <w:rPr>
          <w:rFonts w:cs="Arial" w:hint="cs"/>
          <w:b/>
          <w:bCs/>
          <w:sz w:val="20"/>
          <w:szCs w:val="20"/>
          <w:rtl/>
        </w:rPr>
        <w:br/>
      </w:r>
      <w:r>
        <w:rPr>
          <w:rFonts w:cs="Arial" w:hint="cs"/>
          <w:sz w:val="20"/>
          <w:szCs w:val="20"/>
          <w:rtl/>
        </w:rPr>
        <w:t xml:space="preserve">ב. </w:t>
      </w:r>
      <w:r w:rsidRPr="001E12C1">
        <w:rPr>
          <w:rFonts w:cs="Arial" w:hint="cs"/>
          <w:b/>
          <w:bCs/>
          <w:sz w:val="20"/>
          <w:szCs w:val="20"/>
          <w:rtl/>
        </w:rPr>
        <w:t>רשב"א</w:t>
      </w:r>
      <w:r>
        <w:rPr>
          <w:rFonts w:cs="Arial" w:hint="cs"/>
          <w:sz w:val="20"/>
          <w:szCs w:val="20"/>
          <w:rtl/>
        </w:rPr>
        <w:t xml:space="preserve"> </w:t>
      </w:r>
      <w:r>
        <w:rPr>
          <w:rFonts w:cs="Arial"/>
          <w:sz w:val="20"/>
          <w:szCs w:val="20"/>
          <w:rtl/>
        </w:rPr>
        <w:t>–</w:t>
      </w:r>
      <w:r>
        <w:rPr>
          <w:rFonts w:cs="Arial" w:hint="cs"/>
          <w:sz w:val="20"/>
          <w:szCs w:val="20"/>
          <w:rtl/>
        </w:rPr>
        <w:t xml:space="preserve"> טהורה, וכ"פ </w:t>
      </w:r>
      <w:r w:rsidRPr="001E12C1">
        <w:rPr>
          <w:rFonts w:cs="Arial" w:hint="cs"/>
          <w:b/>
          <w:bCs/>
          <w:sz w:val="20"/>
          <w:szCs w:val="20"/>
          <w:rtl/>
        </w:rPr>
        <w:t>המחבר</w:t>
      </w:r>
      <w:r>
        <w:rPr>
          <w:rFonts w:cs="Arial" w:hint="cs"/>
          <w:sz w:val="20"/>
          <w:szCs w:val="20"/>
          <w:rtl/>
        </w:rPr>
        <w:t>.</w:t>
      </w:r>
      <w:r>
        <w:rPr>
          <w:rFonts w:cs="Arial"/>
          <w:sz w:val="20"/>
          <w:szCs w:val="20"/>
          <w:rtl/>
        </w:rPr>
        <w:br/>
      </w:r>
      <w:r w:rsidRPr="001E12C1">
        <w:rPr>
          <w:rFonts w:cs="Arial" w:hint="cs"/>
          <w:b/>
          <w:bCs/>
          <w:sz w:val="20"/>
          <w:szCs w:val="20"/>
          <w:rtl/>
        </w:rPr>
        <w:t>טעם</w:t>
      </w:r>
      <w:r>
        <w:rPr>
          <w:rFonts w:cs="Arial" w:hint="cs"/>
          <w:sz w:val="20"/>
          <w:szCs w:val="20"/>
          <w:rtl/>
        </w:rPr>
        <w:t xml:space="preserve"> </w:t>
      </w:r>
      <w:r>
        <w:rPr>
          <w:rFonts w:cs="Arial"/>
          <w:sz w:val="20"/>
          <w:szCs w:val="20"/>
          <w:rtl/>
        </w:rPr>
        <w:t>–</w:t>
      </w:r>
      <w:r>
        <w:rPr>
          <w:rFonts w:cs="Arial" w:hint="cs"/>
          <w:sz w:val="20"/>
          <w:szCs w:val="20"/>
          <w:rtl/>
        </w:rPr>
        <w:t xml:space="preserve"> יש לומר שמעיקרא היה כתם מחמת מאכולת, וכעת העסק שהתעסקה הצטרף לכתם זה.</w:t>
      </w:r>
    </w:p>
    <w:p w:rsidR="00620060" w:rsidRPr="00B85D46" w:rsidRDefault="00620060" w:rsidP="00620060">
      <w:pPr>
        <w:rPr>
          <w:rFonts w:cs="Arial"/>
          <w:sz w:val="20"/>
          <w:szCs w:val="20"/>
          <w:rtl/>
        </w:rPr>
      </w:pPr>
      <w:r>
        <w:rPr>
          <w:rFonts w:cs="Arial" w:hint="cs"/>
          <w:b/>
          <w:bCs/>
          <w:sz w:val="20"/>
          <w:szCs w:val="20"/>
          <w:rtl/>
        </w:rPr>
        <w:t>פסיקת הלכה</w:t>
      </w:r>
      <w:r>
        <w:rPr>
          <w:rFonts w:cs="Arial"/>
          <w:b/>
          <w:bCs/>
          <w:sz w:val="20"/>
          <w:szCs w:val="20"/>
          <w:rtl/>
        </w:rPr>
        <w:br/>
      </w:r>
      <w:r>
        <w:rPr>
          <w:rFonts w:cs="Arial" w:hint="cs"/>
          <w:b/>
          <w:bCs/>
          <w:sz w:val="20"/>
          <w:szCs w:val="20"/>
          <w:rtl/>
        </w:rPr>
        <w:t xml:space="preserve">שולחן ערוך </w:t>
      </w:r>
      <w:r>
        <w:rPr>
          <w:rFonts w:cs="Arial"/>
          <w:sz w:val="20"/>
          <w:szCs w:val="20"/>
          <w:rtl/>
        </w:rPr>
        <w:t>–</w:t>
      </w:r>
      <w:r>
        <w:rPr>
          <w:rFonts w:cs="Arial" w:hint="cs"/>
          <w:sz w:val="20"/>
          <w:szCs w:val="20"/>
          <w:rtl/>
        </w:rPr>
        <w:t xml:space="preserve"> "</w:t>
      </w:r>
      <w:r w:rsidRPr="00502B30">
        <w:rPr>
          <w:rFonts w:cs="Arial"/>
          <w:sz w:val="20"/>
          <w:szCs w:val="20"/>
          <w:rtl/>
        </w:rPr>
        <w:t xml:space="preserve">נתעסקה בפחות מכגריס, ונמצא עליה כגריס ועוד, טהורה. שאני אומר כתם זה מעסק הכתמים הוא וכבר היה שם דם מאכולת </w:t>
      </w:r>
      <w:r w:rsidRPr="001E12C1">
        <w:rPr>
          <w:rFonts w:cs="Arial"/>
          <w:sz w:val="18"/>
          <w:szCs w:val="18"/>
          <w:rtl/>
        </w:rPr>
        <w:t xml:space="preserve">(פירוש דם כינה) </w:t>
      </w:r>
      <w:r w:rsidRPr="00502B30">
        <w:rPr>
          <w:rFonts w:cs="Arial"/>
          <w:sz w:val="20"/>
          <w:szCs w:val="20"/>
          <w:rtl/>
        </w:rPr>
        <w:t>ש</w:t>
      </w:r>
      <w:r>
        <w:rPr>
          <w:rFonts w:cs="Arial"/>
          <w:sz w:val="20"/>
          <w:szCs w:val="20"/>
          <w:rtl/>
        </w:rPr>
        <w:t>נצטרף אליו עד שחזר ליותר מכגריס</w:t>
      </w:r>
      <w:r>
        <w:rPr>
          <w:rFonts w:cs="Arial" w:hint="cs"/>
          <w:sz w:val="20"/>
          <w:szCs w:val="20"/>
          <w:rtl/>
        </w:rPr>
        <w:t>".</w:t>
      </w:r>
      <w:r>
        <w:rPr>
          <w:rFonts w:cs="Arial"/>
          <w:b/>
          <w:bCs/>
          <w:sz w:val="20"/>
          <w:szCs w:val="20"/>
          <w:rtl/>
        </w:rPr>
        <w:br/>
      </w:r>
      <w:r>
        <w:rPr>
          <w:rFonts w:cs="Arial" w:hint="cs"/>
          <w:b/>
          <w:bCs/>
          <w:sz w:val="20"/>
          <w:szCs w:val="20"/>
          <w:rtl/>
        </w:rPr>
        <w:t xml:space="preserve">ש"ך </w:t>
      </w:r>
      <w:r>
        <w:rPr>
          <w:rFonts w:cs="Arial"/>
          <w:sz w:val="20"/>
          <w:szCs w:val="20"/>
          <w:rtl/>
        </w:rPr>
        <w:t>–</w:t>
      </w:r>
      <w:r>
        <w:rPr>
          <w:rFonts w:cs="Arial" w:hint="cs"/>
          <w:sz w:val="20"/>
          <w:szCs w:val="20"/>
          <w:rtl/>
        </w:rPr>
        <w:t xml:space="preserve"> מדובר שהעסק שהתעסקה בו גדול לפחות כשיעור ה'ועוד', ולכן נשאר רק כגריס וטהורה.</w:t>
      </w:r>
    </w:p>
    <w:p w:rsidR="00620060" w:rsidRDefault="00620060" w:rsidP="00620060">
      <w:pPr>
        <w:rPr>
          <w:rFonts w:cs="Arial"/>
          <w:sz w:val="20"/>
          <w:szCs w:val="20"/>
          <w:rtl/>
        </w:rPr>
      </w:pPr>
      <w:r>
        <w:rPr>
          <w:rFonts w:cs="Arial" w:hint="cs"/>
          <w:sz w:val="20"/>
          <w:szCs w:val="20"/>
          <w:rtl/>
        </w:rPr>
        <w:t xml:space="preserve">ב. </w:t>
      </w:r>
      <w:r w:rsidRPr="001E12C1">
        <w:rPr>
          <w:rFonts w:cs="Arial" w:hint="cs"/>
          <w:b/>
          <w:bCs/>
          <w:sz w:val="20"/>
          <w:szCs w:val="20"/>
          <w:rtl/>
        </w:rPr>
        <w:t>התעסקה בפחות מגריס ומצאה כשני גריסים</w:t>
      </w:r>
      <w:r>
        <w:rPr>
          <w:rFonts w:cs="Arial"/>
          <w:b/>
          <w:bCs/>
          <w:sz w:val="20"/>
          <w:szCs w:val="20"/>
          <w:rtl/>
        </w:rPr>
        <w:br/>
      </w:r>
      <w:r>
        <w:rPr>
          <w:rFonts w:cs="Arial" w:hint="cs"/>
          <w:b/>
          <w:bCs/>
          <w:sz w:val="20"/>
          <w:szCs w:val="20"/>
          <w:rtl/>
        </w:rPr>
        <w:t xml:space="preserve">טור </w:t>
      </w:r>
      <w:r>
        <w:rPr>
          <w:rFonts w:cs="Arial"/>
          <w:sz w:val="20"/>
          <w:szCs w:val="20"/>
          <w:rtl/>
        </w:rPr>
        <w:t>–</w:t>
      </w:r>
      <w:r>
        <w:rPr>
          <w:rFonts w:cs="Arial" w:hint="cs"/>
          <w:sz w:val="20"/>
          <w:szCs w:val="20"/>
          <w:rtl/>
        </w:rPr>
        <w:t xml:space="preserve"> התעסקה בפחות מגריס ומצאה עליה שני גריסים, לדעת </w:t>
      </w:r>
      <w:r w:rsidRPr="00791243">
        <w:rPr>
          <w:rFonts w:cs="Arial" w:hint="cs"/>
          <w:b/>
          <w:bCs/>
          <w:sz w:val="20"/>
          <w:szCs w:val="20"/>
          <w:rtl/>
        </w:rPr>
        <w:t>הרשב"א</w:t>
      </w:r>
      <w:r>
        <w:rPr>
          <w:rFonts w:cs="Arial" w:hint="cs"/>
          <w:sz w:val="20"/>
          <w:szCs w:val="20"/>
          <w:rtl/>
        </w:rPr>
        <w:t xml:space="preserve"> תולה וטהורה, וכ"פ </w:t>
      </w:r>
      <w:r w:rsidRPr="00502B30">
        <w:rPr>
          <w:rFonts w:cs="Arial" w:hint="cs"/>
          <w:b/>
          <w:bCs/>
          <w:sz w:val="20"/>
          <w:szCs w:val="20"/>
          <w:rtl/>
        </w:rPr>
        <w:t>המחבר</w:t>
      </w:r>
      <w:r>
        <w:rPr>
          <w:rFonts w:cs="Arial" w:hint="cs"/>
          <w:sz w:val="20"/>
          <w:szCs w:val="20"/>
          <w:rtl/>
        </w:rPr>
        <w:t>.</w:t>
      </w:r>
      <w:r>
        <w:rPr>
          <w:rFonts w:cs="Arial"/>
          <w:sz w:val="20"/>
          <w:szCs w:val="20"/>
          <w:rtl/>
        </w:rPr>
        <w:br/>
      </w:r>
      <w:r w:rsidRPr="001E12C1">
        <w:rPr>
          <w:rFonts w:cs="Arial" w:hint="cs"/>
          <w:b/>
          <w:bCs/>
          <w:sz w:val="20"/>
          <w:szCs w:val="20"/>
          <w:rtl/>
        </w:rPr>
        <w:t>טעם</w:t>
      </w:r>
      <w:r>
        <w:rPr>
          <w:rFonts w:cs="Arial" w:hint="cs"/>
          <w:sz w:val="20"/>
          <w:szCs w:val="20"/>
          <w:rtl/>
        </w:rPr>
        <w:t xml:space="preserve"> </w:t>
      </w:r>
      <w:r w:rsidRPr="001E12C1">
        <w:rPr>
          <w:rFonts w:cs="Arial" w:hint="cs"/>
          <w:sz w:val="18"/>
          <w:szCs w:val="18"/>
          <w:rtl/>
        </w:rPr>
        <w:t>(</w:t>
      </w:r>
      <w:r w:rsidRPr="001E12C1">
        <w:rPr>
          <w:rFonts w:cs="Arial" w:hint="cs"/>
          <w:b/>
          <w:bCs/>
          <w:sz w:val="18"/>
          <w:szCs w:val="18"/>
          <w:rtl/>
        </w:rPr>
        <w:t>בית יוסף</w:t>
      </w:r>
      <w:r w:rsidRPr="001E12C1">
        <w:rPr>
          <w:rFonts w:cs="Arial" w:hint="cs"/>
          <w:sz w:val="18"/>
          <w:szCs w:val="18"/>
          <w:rtl/>
        </w:rPr>
        <w:t>)</w:t>
      </w:r>
      <w:r w:rsidRPr="001E12C1">
        <w:rPr>
          <w:rFonts w:cs="Arial" w:hint="cs"/>
          <w:sz w:val="20"/>
          <w:szCs w:val="20"/>
          <w:rtl/>
        </w:rPr>
        <w:t xml:space="preserve"> </w:t>
      </w:r>
      <w:r>
        <w:rPr>
          <w:rFonts w:cs="Arial"/>
          <w:sz w:val="20"/>
          <w:szCs w:val="20"/>
          <w:rtl/>
        </w:rPr>
        <w:t>–</w:t>
      </w:r>
      <w:r>
        <w:rPr>
          <w:rFonts w:cs="Arial" w:hint="cs"/>
          <w:sz w:val="20"/>
          <w:szCs w:val="20"/>
          <w:rtl/>
        </w:rPr>
        <w:t xml:space="preserve"> בגמרא נאמר שאם התעסקה בגריס ומצאה שני גריסים ועוד, טמאה, משמע שאם נמצא כתם שגודלו פחות משני גריסים ועוד, תולה וטהורה. </w:t>
      </w:r>
      <w:r>
        <w:rPr>
          <w:rFonts w:cs="Arial"/>
          <w:sz w:val="20"/>
          <w:szCs w:val="20"/>
          <w:rtl/>
        </w:rPr>
        <w:br/>
      </w:r>
      <w:r>
        <w:rPr>
          <w:rFonts w:cs="Arial" w:hint="cs"/>
          <w:sz w:val="20"/>
          <w:szCs w:val="20"/>
          <w:rtl/>
        </w:rPr>
        <w:br/>
      </w:r>
      <w:r>
        <w:rPr>
          <w:rFonts w:cs="Arial" w:hint="cs"/>
          <w:b/>
          <w:bCs/>
          <w:sz w:val="20"/>
          <w:szCs w:val="20"/>
          <w:rtl/>
        </w:rPr>
        <w:t>פסיקת הלכה</w:t>
      </w:r>
      <w:r>
        <w:rPr>
          <w:rFonts w:cs="Arial"/>
          <w:b/>
          <w:bCs/>
          <w:sz w:val="20"/>
          <w:szCs w:val="20"/>
          <w:rtl/>
        </w:rPr>
        <w:br/>
      </w:r>
      <w:r>
        <w:rPr>
          <w:rFonts w:cs="Arial" w:hint="cs"/>
          <w:sz w:val="20"/>
          <w:szCs w:val="20"/>
          <w:rtl/>
        </w:rPr>
        <w:t xml:space="preserve">א. </w:t>
      </w:r>
      <w:r>
        <w:rPr>
          <w:rFonts w:cs="Arial" w:hint="cs"/>
          <w:b/>
          <w:bCs/>
          <w:sz w:val="20"/>
          <w:szCs w:val="20"/>
          <w:rtl/>
        </w:rPr>
        <w:t xml:space="preserve">שולחן ערוך </w:t>
      </w:r>
      <w:r>
        <w:rPr>
          <w:rFonts w:cs="Arial"/>
          <w:sz w:val="20"/>
          <w:szCs w:val="20"/>
          <w:rtl/>
        </w:rPr>
        <w:t>–</w:t>
      </w:r>
      <w:r>
        <w:rPr>
          <w:rFonts w:cs="Arial" w:hint="cs"/>
          <w:sz w:val="20"/>
          <w:szCs w:val="20"/>
          <w:rtl/>
        </w:rPr>
        <w:t xml:space="preserve"> "</w:t>
      </w:r>
      <w:r w:rsidRPr="00502B30">
        <w:rPr>
          <w:rFonts w:cs="Arial"/>
          <w:sz w:val="20"/>
          <w:szCs w:val="20"/>
          <w:rtl/>
        </w:rPr>
        <w:t xml:space="preserve">וכן אם נתעסקה בפחות מכגריס, ונמצא עליה כשני </w:t>
      </w:r>
      <w:r>
        <w:rPr>
          <w:rFonts w:cs="Arial"/>
          <w:sz w:val="20"/>
          <w:szCs w:val="20"/>
          <w:rtl/>
        </w:rPr>
        <w:t>גריסין, טהורה</w:t>
      </w:r>
      <w:r>
        <w:rPr>
          <w:rFonts w:cs="Arial" w:hint="cs"/>
          <w:sz w:val="20"/>
          <w:szCs w:val="20"/>
          <w:rtl/>
        </w:rPr>
        <w:t>".</w:t>
      </w:r>
      <w:r>
        <w:rPr>
          <w:rFonts w:cs="Arial"/>
          <w:sz w:val="20"/>
          <w:szCs w:val="20"/>
          <w:rtl/>
        </w:rPr>
        <w:br/>
      </w:r>
      <w:r>
        <w:rPr>
          <w:rFonts w:cs="Arial" w:hint="cs"/>
          <w:sz w:val="20"/>
          <w:szCs w:val="20"/>
          <w:rtl/>
        </w:rPr>
        <w:t xml:space="preserve">ב. </w:t>
      </w:r>
      <w:r w:rsidRPr="00957233">
        <w:rPr>
          <w:rFonts w:cs="Arial" w:hint="cs"/>
          <w:b/>
          <w:bCs/>
          <w:sz w:val="20"/>
          <w:szCs w:val="20"/>
          <w:rtl/>
        </w:rPr>
        <w:t>רמ"א</w:t>
      </w:r>
      <w:r>
        <w:rPr>
          <w:rFonts w:cs="Arial" w:hint="cs"/>
          <w:sz w:val="20"/>
          <w:szCs w:val="20"/>
          <w:rtl/>
        </w:rPr>
        <w:t xml:space="preserve"> </w:t>
      </w:r>
      <w:r>
        <w:rPr>
          <w:rFonts w:cs="Arial"/>
          <w:sz w:val="20"/>
          <w:szCs w:val="20"/>
          <w:rtl/>
        </w:rPr>
        <w:t>–</w:t>
      </w:r>
      <w:r w:rsidRPr="00AC5C4C">
        <w:rPr>
          <w:rFonts w:cs="Arial" w:hint="cs"/>
          <w:sz w:val="18"/>
          <w:szCs w:val="18"/>
          <w:rtl/>
        </w:rPr>
        <w:t xml:space="preserve"> "</w:t>
      </w:r>
      <w:r w:rsidRPr="00AC5C4C">
        <w:rPr>
          <w:rFonts w:cs="Arial"/>
          <w:sz w:val="18"/>
          <w:szCs w:val="18"/>
          <w:rtl/>
        </w:rPr>
        <w:t>ויש מחמירין ומטמאין</w:t>
      </w:r>
      <w:r w:rsidRPr="00AC5C4C">
        <w:rPr>
          <w:rFonts w:cs="Arial" w:hint="cs"/>
          <w:sz w:val="18"/>
          <w:szCs w:val="18"/>
          <w:rtl/>
        </w:rPr>
        <w:t>".</w:t>
      </w:r>
    </w:p>
    <w:p w:rsidR="00620060" w:rsidRDefault="00620060" w:rsidP="00620060">
      <w:pPr>
        <w:rPr>
          <w:rFonts w:cs="Arial"/>
          <w:sz w:val="20"/>
          <w:szCs w:val="20"/>
          <w:rtl/>
        </w:rPr>
      </w:pPr>
      <w:r>
        <w:rPr>
          <w:rFonts w:cs="Arial" w:hint="cs"/>
          <w:sz w:val="20"/>
          <w:szCs w:val="20"/>
          <w:u w:val="single"/>
          <w:rtl/>
        </w:rPr>
        <w:t>הכרעת האחרונים</w:t>
      </w:r>
      <w:r>
        <w:rPr>
          <w:rFonts w:cs="Arial" w:hint="cs"/>
          <w:sz w:val="20"/>
          <w:szCs w:val="20"/>
          <w:u w:val="single"/>
          <w:rtl/>
        </w:rPr>
        <w:br/>
      </w:r>
      <w:r w:rsidRPr="00770B2D">
        <w:rPr>
          <w:rFonts w:cs="Arial" w:hint="cs"/>
          <w:b/>
          <w:bCs/>
          <w:sz w:val="20"/>
          <w:szCs w:val="20"/>
          <w:rtl/>
        </w:rPr>
        <w:t>ב"ח</w:t>
      </w:r>
      <w:r>
        <w:rPr>
          <w:rFonts w:cs="Arial" w:hint="cs"/>
          <w:sz w:val="20"/>
          <w:szCs w:val="20"/>
          <w:rtl/>
        </w:rPr>
        <w:t xml:space="preserve">, </w:t>
      </w:r>
      <w:r w:rsidRPr="00770B2D">
        <w:rPr>
          <w:rFonts w:cs="Arial" w:hint="cs"/>
          <w:b/>
          <w:bCs/>
          <w:sz w:val="20"/>
          <w:szCs w:val="20"/>
          <w:rtl/>
        </w:rPr>
        <w:t>ט"ז</w:t>
      </w:r>
      <w:r>
        <w:rPr>
          <w:rFonts w:cs="Arial" w:hint="cs"/>
          <w:sz w:val="20"/>
          <w:szCs w:val="20"/>
          <w:rtl/>
        </w:rPr>
        <w:t xml:space="preserve">, </w:t>
      </w:r>
      <w:r w:rsidRPr="00770B2D">
        <w:rPr>
          <w:rFonts w:cs="Arial" w:hint="cs"/>
          <w:b/>
          <w:bCs/>
          <w:sz w:val="20"/>
          <w:szCs w:val="20"/>
          <w:rtl/>
        </w:rPr>
        <w:t>ש"ך</w:t>
      </w:r>
      <w:r>
        <w:rPr>
          <w:rFonts w:cs="Arial" w:hint="cs"/>
          <w:sz w:val="20"/>
          <w:szCs w:val="20"/>
          <w:rtl/>
        </w:rPr>
        <w:t xml:space="preserve">, </w:t>
      </w:r>
      <w:r w:rsidRPr="00770B2D">
        <w:rPr>
          <w:rFonts w:cs="Arial" w:hint="cs"/>
          <w:b/>
          <w:bCs/>
          <w:sz w:val="20"/>
          <w:szCs w:val="20"/>
          <w:rtl/>
        </w:rPr>
        <w:t>מעדני מלך וגר"א</w:t>
      </w:r>
      <w:r>
        <w:rPr>
          <w:rFonts w:cs="Arial" w:hint="cs"/>
          <w:sz w:val="20"/>
          <w:szCs w:val="20"/>
          <w:rtl/>
        </w:rPr>
        <w:t xml:space="preserve"> </w:t>
      </w:r>
      <w:r>
        <w:rPr>
          <w:rFonts w:cs="Arial"/>
          <w:sz w:val="20"/>
          <w:szCs w:val="20"/>
          <w:rtl/>
        </w:rPr>
        <w:t>–</w:t>
      </w:r>
      <w:r>
        <w:rPr>
          <w:rFonts w:cs="Arial" w:hint="cs"/>
          <w:sz w:val="20"/>
          <w:szCs w:val="20"/>
          <w:rtl/>
        </w:rPr>
        <w:t xml:space="preserve"> אין הלכה כדברי המחבר אלא כרמ"א, ונוסחה משובשת בדברי הטור הזדמנה לבית יוסף.</w:t>
      </w:r>
    </w:p>
    <w:p w:rsidR="00620060" w:rsidRDefault="00620060" w:rsidP="00620060">
      <w:pPr>
        <w:rPr>
          <w:rFonts w:cs="Arial"/>
          <w:sz w:val="20"/>
          <w:szCs w:val="20"/>
          <w:rtl/>
        </w:rPr>
      </w:pPr>
      <w:r>
        <w:rPr>
          <w:rFonts w:cs="Arial" w:hint="cs"/>
          <w:sz w:val="20"/>
          <w:szCs w:val="20"/>
          <w:u w:val="single"/>
          <w:rtl/>
        </w:rPr>
        <w:t>ביאור דחיית דברי המחבר</w:t>
      </w:r>
      <w:r>
        <w:rPr>
          <w:rFonts w:cs="Arial"/>
          <w:sz w:val="20"/>
          <w:szCs w:val="20"/>
          <w:u w:val="single"/>
          <w:rtl/>
        </w:rPr>
        <w:br/>
      </w:r>
      <w:r w:rsidRPr="00957233">
        <w:rPr>
          <w:rFonts w:cs="Arial" w:hint="cs"/>
          <w:b/>
          <w:bCs/>
          <w:sz w:val="20"/>
          <w:szCs w:val="20"/>
          <w:rtl/>
        </w:rPr>
        <w:t>ט"ז</w:t>
      </w:r>
      <w:r>
        <w:rPr>
          <w:rFonts w:cs="Arial" w:hint="cs"/>
          <w:sz w:val="20"/>
          <w:szCs w:val="20"/>
          <w:rtl/>
        </w:rPr>
        <w:t xml:space="preserve"> </w:t>
      </w:r>
      <w:r>
        <w:rPr>
          <w:rFonts w:cs="Arial"/>
          <w:sz w:val="20"/>
          <w:szCs w:val="20"/>
          <w:rtl/>
        </w:rPr>
        <w:t>–</w:t>
      </w:r>
      <w:r>
        <w:rPr>
          <w:rFonts w:cs="Arial" w:hint="cs"/>
          <w:sz w:val="20"/>
          <w:szCs w:val="20"/>
          <w:rtl/>
        </w:rPr>
        <w:t xml:space="preserve"> דברי </w:t>
      </w:r>
      <w:r w:rsidRPr="00957233">
        <w:rPr>
          <w:rFonts w:cs="Arial" w:hint="cs"/>
          <w:b/>
          <w:bCs/>
          <w:sz w:val="20"/>
          <w:szCs w:val="20"/>
          <w:rtl/>
        </w:rPr>
        <w:t>המחבר</w:t>
      </w:r>
      <w:r>
        <w:rPr>
          <w:rFonts w:cs="Arial" w:hint="cs"/>
          <w:sz w:val="20"/>
          <w:szCs w:val="20"/>
          <w:rtl/>
        </w:rPr>
        <w:t xml:space="preserve"> והטעם שכתב </w:t>
      </w:r>
      <w:r w:rsidRPr="00957233">
        <w:rPr>
          <w:rFonts w:cs="Arial" w:hint="cs"/>
          <w:b/>
          <w:bCs/>
          <w:sz w:val="20"/>
          <w:szCs w:val="20"/>
          <w:rtl/>
        </w:rPr>
        <w:t>בבית יוסף</w:t>
      </w:r>
      <w:r>
        <w:rPr>
          <w:rFonts w:cs="Arial" w:hint="cs"/>
          <w:sz w:val="20"/>
          <w:szCs w:val="20"/>
          <w:rtl/>
        </w:rPr>
        <w:t xml:space="preserve"> קשים, שהרי מה לי התעסקה בגריס ונמצא עליה שני גריסים ועוד שאינה תולה, ומה לי התעסקה בפחות מגריס ומצאה עליה שני גריסים? שני המקרים צריכים להיות זהים מבחינת הדין, וכפי שבגמרא נאמר שיש לטמא כשמצאה כשני גריסים ועוד, הוא הדין כשמצאה שני גריסים.</w:t>
      </w:r>
      <w:r>
        <w:rPr>
          <w:rFonts w:cs="Arial"/>
          <w:sz w:val="20"/>
          <w:szCs w:val="20"/>
          <w:rtl/>
        </w:rPr>
        <w:br/>
      </w:r>
      <w:r>
        <w:rPr>
          <w:rFonts w:cs="Arial"/>
          <w:sz w:val="20"/>
          <w:szCs w:val="20"/>
          <w:rtl/>
        </w:rPr>
        <w:br/>
      </w:r>
      <w:r>
        <w:rPr>
          <w:rFonts w:cs="Arial" w:hint="cs"/>
          <w:sz w:val="20"/>
          <w:szCs w:val="20"/>
          <w:rtl/>
        </w:rPr>
        <w:t xml:space="preserve">ומה שלמד זאת </w:t>
      </w:r>
      <w:r w:rsidRPr="00C9361F">
        <w:rPr>
          <w:rFonts w:cs="Arial" w:hint="cs"/>
          <w:b/>
          <w:bCs/>
          <w:sz w:val="20"/>
          <w:szCs w:val="20"/>
          <w:rtl/>
        </w:rPr>
        <w:t>הבית יוסף</w:t>
      </w:r>
      <w:r>
        <w:rPr>
          <w:rFonts w:cs="Arial" w:hint="cs"/>
          <w:sz w:val="20"/>
          <w:szCs w:val="20"/>
          <w:rtl/>
        </w:rPr>
        <w:t xml:space="preserve"> </w:t>
      </w:r>
      <w:r w:rsidRPr="00C9361F">
        <w:rPr>
          <w:rFonts w:cs="Arial" w:hint="cs"/>
          <w:b/>
          <w:bCs/>
          <w:sz w:val="20"/>
          <w:szCs w:val="20"/>
          <w:rtl/>
        </w:rPr>
        <w:t>מהטור</w:t>
      </w:r>
      <w:r>
        <w:rPr>
          <w:rFonts w:cs="Arial" w:hint="cs"/>
          <w:sz w:val="20"/>
          <w:szCs w:val="20"/>
          <w:rtl/>
        </w:rPr>
        <w:t xml:space="preserve"> אינו, אלא גרסה משובשת היא. והעיקר הוא כגירסה שונה </w:t>
      </w:r>
      <w:r w:rsidRPr="00C9361F">
        <w:rPr>
          <w:rFonts w:cs="Arial" w:hint="cs"/>
          <w:b/>
          <w:bCs/>
          <w:sz w:val="20"/>
          <w:szCs w:val="20"/>
          <w:rtl/>
        </w:rPr>
        <w:t xml:space="preserve">בטור </w:t>
      </w:r>
      <w:r>
        <w:rPr>
          <w:rFonts w:cs="Arial" w:hint="cs"/>
          <w:sz w:val="20"/>
          <w:szCs w:val="20"/>
          <w:rtl/>
        </w:rPr>
        <w:t xml:space="preserve">- </w:t>
      </w:r>
      <w:r>
        <w:rPr>
          <w:rFonts w:cs="Arial"/>
          <w:sz w:val="20"/>
          <w:szCs w:val="20"/>
          <w:rtl/>
        </w:rPr>
        <w:br/>
      </w:r>
      <w:r w:rsidRPr="00C9361F">
        <w:rPr>
          <w:rFonts w:cs="Arial" w:hint="cs"/>
          <w:b/>
          <w:bCs/>
          <w:sz w:val="20"/>
          <w:szCs w:val="20"/>
          <w:rtl/>
        </w:rPr>
        <w:t>הרמב"ן</w:t>
      </w:r>
      <w:r>
        <w:rPr>
          <w:rFonts w:cs="Arial" w:hint="cs"/>
          <w:sz w:val="20"/>
          <w:szCs w:val="20"/>
          <w:rtl/>
        </w:rPr>
        <w:t xml:space="preserve"> טיהר במקרה שהתעסקה בגריס ומצאה שני גריסים. ואע"פ שלכאורה הוא דין פשוט ונלמד מדין התעסקה בפחות מגריס ומצאה כגריס ועוד, מכל מקום יש בו חידוש. </w:t>
      </w:r>
      <w:r>
        <w:rPr>
          <w:rFonts w:cs="Arial"/>
          <w:sz w:val="20"/>
          <w:szCs w:val="20"/>
          <w:rtl/>
        </w:rPr>
        <w:br/>
      </w:r>
      <w:r w:rsidRPr="00C9361F">
        <w:rPr>
          <w:rFonts w:cs="Arial" w:hint="cs"/>
          <w:b/>
          <w:bCs/>
          <w:sz w:val="20"/>
          <w:szCs w:val="20"/>
          <w:rtl/>
        </w:rPr>
        <w:t xml:space="preserve">טעם </w:t>
      </w:r>
      <w:r>
        <w:rPr>
          <w:rFonts w:cs="Arial" w:hint="cs"/>
          <w:sz w:val="20"/>
          <w:szCs w:val="20"/>
          <w:rtl/>
        </w:rPr>
        <w:t>- היתה הו"א לומר שהתעסקה בגריס ומצאה שני גריסים טמאה, משום שכדי לטהרה צריך לומר שכל הגריס שהתעסקה בו הגיע למקום הכתם ולא נשאר מאומה במקום העסק עצמו, ואע"פ שזה דבר שכמעט אינו מצוי אפילו הכי טהורה.</w:t>
      </w:r>
    </w:p>
    <w:p w:rsidR="00620060" w:rsidRDefault="00620060" w:rsidP="00620060">
      <w:pPr>
        <w:rPr>
          <w:sz w:val="20"/>
          <w:szCs w:val="20"/>
          <w:rtl/>
        </w:rPr>
      </w:pPr>
      <w:r>
        <w:rPr>
          <w:rFonts w:cs="Arial" w:hint="cs"/>
          <w:sz w:val="20"/>
          <w:szCs w:val="20"/>
          <w:rtl/>
        </w:rPr>
        <w:lastRenderedPageBreak/>
        <w:t xml:space="preserve">ג. </w:t>
      </w:r>
      <w:r w:rsidRPr="00B85D46">
        <w:rPr>
          <w:rFonts w:cs="Arial" w:hint="cs"/>
          <w:b/>
          <w:bCs/>
          <w:sz w:val="20"/>
          <w:szCs w:val="20"/>
          <w:rtl/>
        </w:rPr>
        <w:t>התעסקה בדם ו</w:t>
      </w:r>
      <w:r>
        <w:rPr>
          <w:rFonts w:cs="Arial" w:hint="cs"/>
          <w:b/>
          <w:bCs/>
          <w:sz w:val="20"/>
          <w:szCs w:val="20"/>
          <w:rtl/>
        </w:rPr>
        <w:t>אי</w:t>
      </w:r>
      <w:r w:rsidRPr="00B85D46">
        <w:rPr>
          <w:rFonts w:cs="Arial" w:hint="cs"/>
          <w:b/>
          <w:bCs/>
          <w:sz w:val="20"/>
          <w:szCs w:val="20"/>
          <w:rtl/>
        </w:rPr>
        <w:t>נה יודעת בכמה</w:t>
      </w:r>
      <w:r>
        <w:rPr>
          <w:rFonts w:cs="Arial" w:hint="cs"/>
          <w:sz w:val="20"/>
          <w:szCs w:val="20"/>
          <w:rtl/>
        </w:rPr>
        <w:br/>
      </w:r>
      <w:r>
        <w:rPr>
          <w:rFonts w:cs="Arial" w:hint="cs"/>
          <w:b/>
          <w:bCs/>
          <w:sz w:val="20"/>
          <w:szCs w:val="20"/>
          <w:rtl/>
        </w:rPr>
        <w:t>פסיקת הלכה</w:t>
      </w:r>
      <w:r>
        <w:rPr>
          <w:rFonts w:cs="Arial"/>
          <w:b/>
          <w:bCs/>
          <w:sz w:val="20"/>
          <w:szCs w:val="20"/>
          <w:rtl/>
        </w:rPr>
        <w:br/>
      </w:r>
      <w:r w:rsidRPr="00B85D46">
        <w:rPr>
          <w:rFonts w:cs="Arial" w:hint="cs"/>
          <w:b/>
          <w:bCs/>
          <w:sz w:val="20"/>
          <w:szCs w:val="20"/>
          <w:rtl/>
        </w:rPr>
        <w:t>רמ"א</w:t>
      </w:r>
      <w:r>
        <w:rPr>
          <w:rFonts w:cs="Arial" w:hint="cs"/>
          <w:sz w:val="20"/>
          <w:szCs w:val="20"/>
          <w:rtl/>
        </w:rPr>
        <w:t xml:space="preserve"> </w:t>
      </w:r>
      <w:r w:rsidRPr="00B85D46">
        <w:rPr>
          <w:rFonts w:cs="Arial" w:hint="cs"/>
          <w:sz w:val="18"/>
          <w:szCs w:val="18"/>
          <w:rtl/>
        </w:rPr>
        <w:t xml:space="preserve">(ע"פ </w:t>
      </w:r>
      <w:r w:rsidRPr="00B85D46">
        <w:rPr>
          <w:rFonts w:cs="Arial" w:hint="cs"/>
          <w:b/>
          <w:bCs/>
          <w:sz w:val="18"/>
          <w:szCs w:val="18"/>
          <w:rtl/>
        </w:rPr>
        <w:t>הרשב"א</w:t>
      </w:r>
      <w:r w:rsidRPr="00B85D46">
        <w:rPr>
          <w:rFonts w:cs="Arial" w:hint="cs"/>
          <w:sz w:val="18"/>
          <w:szCs w:val="18"/>
          <w:rtl/>
        </w:rPr>
        <w:t xml:space="preserve">) </w:t>
      </w:r>
      <w:r w:rsidRPr="00B85D46">
        <w:rPr>
          <w:rFonts w:cs="Arial"/>
          <w:sz w:val="18"/>
          <w:szCs w:val="18"/>
          <w:rtl/>
        </w:rPr>
        <w:t>–</w:t>
      </w:r>
      <w:r w:rsidRPr="00B85D46">
        <w:rPr>
          <w:rFonts w:cs="Arial" w:hint="cs"/>
          <w:sz w:val="18"/>
          <w:szCs w:val="18"/>
          <w:rtl/>
        </w:rPr>
        <w:t xml:space="preserve"> "</w:t>
      </w:r>
      <w:r w:rsidRPr="00B85D46">
        <w:rPr>
          <w:rFonts w:cs="Arial"/>
          <w:sz w:val="18"/>
          <w:szCs w:val="18"/>
          <w:rtl/>
        </w:rPr>
        <w:t>ומכל מקום אם נתעסקה בדם ואינה יודעת בכמה, אזלינן לקולא ואמרינן שהיה בדם כשיעור הכתם</w:t>
      </w:r>
      <w:r w:rsidRPr="00B85D46">
        <w:rPr>
          <w:rFonts w:cs="Arial" w:hint="cs"/>
          <w:sz w:val="18"/>
          <w:szCs w:val="18"/>
          <w:rtl/>
        </w:rPr>
        <w:t>".</w:t>
      </w:r>
      <w:r>
        <w:rPr>
          <w:rFonts w:cs="Arial"/>
          <w:sz w:val="20"/>
          <w:szCs w:val="20"/>
          <w:rtl/>
        </w:rPr>
        <w:br/>
      </w:r>
      <w:r>
        <w:rPr>
          <w:rFonts w:cs="Arial"/>
          <w:sz w:val="20"/>
          <w:szCs w:val="20"/>
          <w:rtl/>
        </w:rPr>
        <w:br/>
      </w:r>
      <w:r w:rsidRPr="00E8752F">
        <w:rPr>
          <w:rFonts w:hint="cs"/>
          <w:b/>
          <w:bCs/>
          <w:sz w:val="20"/>
          <w:szCs w:val="20"/>
          <w:rtl/>
        </w:rPr>
        <w:t>סיכום</w:t>
      </w:r>
      <w:r>
        <w:rPr>
          <w:sz w:val="20"/>
          <w:szCs w:val="20"/>
          <w:rtl/>
        </w:rPr>
        <w:br/>
      </w:r>
      <w:r>
        <w:rPr>
          <w:rFonts w:hint="cs"/>
          <w:sz w:val="20"/>
          <w:szCs w:val="20"/>
          <w:rtl/>
        </w:rPr>
        <w:t>1</w:t>
      </w:r>
      <w:r w:rsidRPr="00181879">
        <w:rPr>
          <w:rFonts w:hint="cs"/>
          <w:sz w:val="20"/>
          <w:szCs w:val="20"/>
          <w:rtl/>
        </w:rPr>
        <w:t xml:space="preserve">. התעסקה בפחות מגריס ומצאה כגריס ועוד. </w:t>
      </w:r>
      <w:r w:rsidRPr="00181879">
        <w:rPr>
          <w:rFonts w:hint="cs"/>
          <w:b/>
          <w:bCs/>
          <w:sz w:val="20"/>
          <w:szCs w:val="20"/>
          <w:rtl/>
        </w:rPr>
        <w:t>רא"ש</w:t>
      </w:r>
      <w:r w:rsidRPr="00181879">
        <w:rPr>
          <w:rFonts w:hint="cs"/>
          <w:sz w:val="20"/>
          <w:szCs w:val="20"/>
          <w:rtl/>
        </w:rPr>
        <w:t xml:space="preserve">. טמאה. </w:t>
      </w:r>
      <w:r w:rsidRPr="00181879">
        <w:rPr>
          <w:rFonts w:hint="cs"/>
          <w:b/>
          <w:bCs/>
          <w:sz w:val="20"/>
          <w:szCs w:val="20"/>
          <w:rtl/>
        </w:rPr>
        <w:t>רשב"א</w:t>
      </w:r>
      <w:r w:rsidRPr="00181879">
        <w:rPr>
          <w:rFonts w:hint="cs"/>
          <w:sz w:val="20"/>
          <w:szCs w:val="20"/>
          <w:rtl/>
        </w:rPr>
        <w:t xml:space="preserve">. טהורה, וכ"פ </w:t>
      </w:r>
      <w:r w:rsidRPr="00181879">
        <w:rPr>
          <w:rFonts w:hint="cs"/>
          <w:b/>
          <w:bCs/>
          <w:sz w:val="20"/>
          <w:szCs w:val="20"/>
          <w:rtl/>
        </w:rPr>
        <w:t>המחבר</w:t>
      </w:r>
      <w:r w:rsidRPr="00181879">
        <w:rPr>
          <w:rFonts w:hint="cs"/>
          <w:sz w:val="20"/>
          <w:szCs w:val="20"/>
          <w:rtl/>
        </w:rPr>
        <w:t xml:space="preserve">. </w:t>
      </w:r>
      <w:r w:rsidRPr="00181879">
        <w:rPr>
          <w:rFonts w:hint="cs"/>
          <w:b/>
          <w:bCs/>
          <w:sz w:val="20"/>
          <w:szCs w:val="20"/>
          <w:rtl/>
        </w:rPr>
        <w:t>טעם</w:t>
      </w:r>
      <w:r w:rsidRPr="00181879">
        <w:rPr>
          <w:rFonts w:hint="cs"/>
          <w:sz w:val="20"/>
          <w:szCs w:val="20"/>
          <w:rtl/>
        </w:rPr>
        <w:t xml:space="preserve">. יש לומר שהעסק העכשווי הצטרף לכתם ישן של מאכולת. </w:t>
      </w:r>
      <w:r w:rsidRPr="00181879">
        <w:rPr>
          <w:rFonts w:hint="cs"/>
          <w:b/>
          <w:bCs/>
          <w:sz w:val="20"/>
          <w:szCs w:val="20"/>
          <w:rtl/>
        </w:rPr>
        <w:t>ש"ך</w:t>
      </w:r>
      <w:r w:rsidRPr="00181879">
        <w:rPr>
          <w:rFonts w:hint="cs"/>
          <w:sz w:val="20"/>
          <w:szCs w:val="20"/>
          <w:rtl/>
        </w:rPr>
        <w:t>. מדובר שיש בעסק לפחות כשיעור 'ועוד'.</w:t>
      </w:r>
      <w:r w:rsidRPr="00181879">
        <w:rPr>
          <w:sz w:val="20"/>
          <w:szCs w:val="20"/>
          <w:rtl/>
        </w:rPr>
        <w:br/>
      </w:r>
      <w:r w:rsidRPr="00181879">
        <w:rPr>
          <w:rFonts w:hint="cs"/>
          <w:sz w:val="20"/>
          <w:szCs w:val="20"/>
          <w:rtl/>
        </w:rPr>
        <w:t xml:space="preserve">2. התעסקה בפחות מגריס ומצאה כשני גריסים. </w:t>
      </w:r>
      <w:r w:rsidRPr="00181879">
        <w:rPr>
          <w:rFonts w:hint="cs"/>
          <w:b/>
          <w:bCs/>
          <w:sz w:val="20"/>
          <w:szCs w:val="20"/>
          <w:rtl/>
        </w:rPr>
        <w:t>בית יוסף</w:t>
      </w:r>
      <w:r w:rsidRPr="00181879">
        <w:rPr>
          <w:rFonts w:hint="cs"/>
          <w:sz w:val="20"/>
          <w:szCs w:val="20"/>
          <w:rtl/>
        </w:rPr>
        <w:t xml:space="preserve">. </w:t>
      </w:r>
      <w:r w:rsidRPr="00181879">
        <w:rPr>
          <w:rFonts w:hint="cs"/>
          <w:b/>
          <w:bCs/>
          <w:sz w:val="20"/>
          <w:szCs w:val="20"/>
          <w:rtl/>
        </w:rPr>
        <w:t>הר</w:t>
      </w:r>
      <w:r>
        <w:rPr>
          <w:rFonts w:hint="cs"/>
          <w:b/>
          <w:bCs/>
          <w:sz w:val="20"/>
          <w:szCs w:val="20"/>
          <w:rtl/>
        </w:rPr>
        <w:t xml:space="preserve">מב"ן </w:t>
      </w:r>
      <w:r w:rsidRPr="00181879">
        <w:rPr>
          <w:rFonts w:hint="cs"/>
          <w:sz w:val="20"/>
          <w:szCs w:val="20"/>
          <w:rtl/>
        </w:rPr>
        <w:t xml:space="preserve">מטהר. </w:t>
      </w:r>
      <w:r w:rsidRPr="00181879">
        <w:rPr>
          <w:rFonts w:hint="cs"/>
          <w:b/>
          <w:bCs/>
          <w:sz w:val="20"/>
          <w:szCs w:val="20"/>
          <w:rtl/>
        </w:rPr>
        <w:t>טעם</w:t>
      </w:r>
      <w:r w:rsidRPr="00181879">
        <w:rPr>
          <w:rFonts w:hint="cs"/>
          <w:sz w:val="20"/>
          <w:szCs w:val="20"/>
          <w:rtl/>
        </w:rPr>
        <w:t xml:space="preserve">. בגמרא טימאו רק כשמצאה כשני גריסים ועוד. </w:t>
      </w:r>
      <w:r w:rsidRPr="00181879">
        <w:rPr>
          <w:rFonts w:hint="cs"/>
          <w:b/>
          <w:bCs/>
          <w:sz w:val="20"/>
          <w:szCs w:val="20"/>
          <w:rtl/>
        </w:rPr>
        <w:t>רמ"א</w:t>
      </w:r>
      <w:r w:rsidRPr="00181879">
        <w:rPr>
          <w:rFonts w:hint="cs"/>
          <w:sz w:val="20"/>
          <w:szCs w:val="20"/>
          <w:rtl/>
        </w:rPr>
        <w:t>. טמאה, וכ"פ כל האחרונים</w:t>
      </w:r>
      <w:r>
        <w:rPr>
          <w:rFonts w:hint="cs"/>
          <w:sz w:val="20"/>
          <w:szCs w:val="20"/>
          <w:rtl/>
        </w:rPr>
        <w:t xml:space="preserve">. ודברי </w:t>
      </w:r>
      <w:r w:rsidRPr="004E4007">
        <w:rPr>
          <w:rFonts w:hint="cs"/>
          <w:b/>
          <w:bCs/>
          <w:sz w:val="20"/>
          <w:szCs w:val="20"/>
          <w:rtl/>
        </w:rPr>
        <w:t>הב"י</w:t>
      </w:r>
      <w:r>
        <w:rPr>
          <w:rFonts w:hint="cs"/>
          <w:sz w:val="20"/>
          <w:szCs w:val="20"/>
          <w:rtl/>
        </w:rPr>
        <w:t xml:space="preserve"> קשים דמה לי כשני גריסים ומה לי שני גריסים ועוד? </w:t>
      </w:r>
      <w:r w:rsidRPr="004E4007">
        <w:rPr>
          <w:rFonts w:hint="cs"/>
          <w:b/>
          <w:bCs/>
          <w:sz w:val="20"/>
          <w:szCs w:val="20"/>
          <w:rtl/>
        </w:rPr>
        <w:t>ט"ז</w:t>
      </w:r>
      <w:r>
        <w:rPr>
          <w:rFonts w:hint="cs"/>
          <w:sz w:val="20"/>
          <w:szCs w:val="20"/>
          <w:rtl/>
        </w:rPr>
        <w:t>. יש חידוש שונה. התעסקה בגריס ומצאה שני גריסים טהורה, קמ"ל שכל דם העסק בכתם.</w:t>
      </w:r>
      <w:r>
        <w:rPr>
          <w:rFonts w:hint="cs"/>
          <w:sz w:val="20"/>
          <w:szCs w:val="20"/>
          <w:rtl/>
        </w:rPr>
        <w:br/>
        <w:t xml:space="preserve">3. </w:t>
      </w:r>
      <w:r w:rsidRPr="004E4007">
        <w:rPr>
          <w:rFonts w:hint="cs"/>
          <w:b/>
          <w:bCs/>
          <w:sz w:val="20"/>
          <w:szCs w:val="20"/>
          <w:rtl/>
        </w:rPr>
        <w:t>רשב"א</w:t>
      </w:r>
      <w:r>
        <w:rPr>
          <w:rFonts w:hint="cs"/>
          <w:sz w:val="20"/>
          <w:szCs w:val="20"/>
          <w:rtl/>
        </w:rPr>
        <w:t xml:space="preserve">. התעסקה בדם ואינה יודעת בכמה, הולכים לקולא ותולים בו את הכתם, וכ"פ </w:t>
      </w:r>
      <w:r w:rsidRPr="004E4007">
        <w:rPr>
          <w:rFonts w:hint="cs"/>
          <w:b/>
          <w:bCs/>
          <w:sz w:val="20"/>
          <w:szCs w:val="20"/>
          <w:rtl/>
        </w:rPr>
        <w:t>הרמ"א</w:t>
      </w:r>
      <w:r>
        <w:rPr>
          <w:rFonts w:hint="cs"/>
          <w:sz w:val="20"/>
          <w:szCs w:val="20"/>
          <w:rtl/>
        </w:rPr>
        <w:t>.</w:t>
      </w:r>
    </w:p>
    <w:p w:rsidR="00620060" w:rsidRPr="00181879" w:rsidRDefault="00620060" w:rsidP="00620060">
      <w:pPr>
        <w:rPr>
          <w:sz w:val="18"/>
          <w:szCs w:val="18"/>
          <w:rtl/>
        </w:rPr>
      </w:pPr>
      <w:r w:rsidRPr="00181879">
        <w:rPr>
          <w:rFonts w:hint="cs"/>
          <w:sz w:val="18"/>
          <w:szCs w:val="18"/>
          <w:rtl/>
        </w:rPr>
        <w:t xml:space="preserve">סיכום שני הסעיפים </w:t>
      </w:r>
      <w:r w:rsidRPr="00181879">
        <w:rPr>
          <w:sz w:val="18"/>
          <w:szCs w:val="18"/>
          <w:rtl/>
        </w:rPr>
        <w:t>–</w:t>
      </w:r>
      <w:r w:rsidRPr="00181879">
        <w:rPr>
          <w:rFonts w:hint="cs"/>
          <w:sz w:val="18"/>
          <w:szCs w:val="18"/>
          <w:rtl/>
        </w:rPr>
        <w:t xml:space="preserve"> א. </w:t>
      </w:r>
      <w:r w:rsidRPr="00181879">
        <w:rPr>
          <w:rFonts w:hint="cs"/>
          <w:b/>
          <w:bCs/>
          <w:sz w:val="18"/>
          <w:szCs w:val="18"/>
          <w:rtl/>
        </w:rPr>
        <w:t>רא"ש</w:t>
      </w:r>
      <w:r w:rsidRPr="00181879">
        <w:rPr>
          <w:rFonts w:hint="cs"/>
          <w:sz w:val="18"/>
          <w:szCs w:val="18"/>
          <w:rtl/>
        </w:rPr>
        <w:t>. כל כתם גדול מהעסק, אפילו במעט, טמאה.</w:t>
      </w:r>
      <w:r w:rsidRPr="00181879">
        <w:rPr>
          <w:sz w:val="18"/>
          <w:szCs w:val="18"/>
          <w:rtl/>
        </w:rPr>
        <w:br/>
      </w:r>
      <w:r w:rsidRPr="00181879">
        <w:rPr>
          <w:rFonts w:hint="cs"/>
          <w:sz w:val="18"/>
          <w:szCs w:val="18"/>
          <w:rtl/>
        </w:rPr>
        <w:t xml:space="preserve">ב. </w:t>
      </w:r>
      <w:r w:rsidRPr="00181879">
        <w:rPr>
          <w:rFonts w:hint="cs"/>
          <w:b/>
          <w:bCs/>
          <w:sz w:val="18"/>
          <w:szCs w:val="18"/>
          <w:rtl/>
        </w:rPr>
        <w:t>רמב"ם</w:t>
      </w:r>
      <w:r w:rsidRPr="00181879">
        <w:rPr>
          <w:rFonts w:hint="cs"/>
          <w:sz w:val="18"/>
          <w:szCs w:val="18"/>
          <w:rtl/>
        </w:rPr>
        <w:t xml:space="preserve">. </w:t>
      </w:r>
      <w:r>
        <w:rPr>
          <w:rFonts w:hint="cs"/>
          <w:sz w:val="18"/>
          <w:szCs w:val="18"/>
          <w:rtl/>
        </w:rPr>
        <w:t>התעסקה בגריס רק אם נמצא כשני גריסים ועוד טמאה</w:t>
      </w:r>
      <w:r w:rsidRPr="00181879">
        <w:rPr>
          <w:rFonts w:hint="cs"/>
          <w:sz w:val="18"/>
          <w:szCs w:val="18"/>
          <w:rtl/>
        </w:rPr>
        <w:t xml:space="preserve">, וכ"פ </w:t>
      </w:r>
      <w:r w:rsidRPr="00181879">
        <w:rPr>
          <w:rFonts w:hint="cs"/>
          <w:b/>
          <w:bCs/>
          <w:sz w:val="18"/>
          <w:szCs w:val="18"/>
          <w:rtl/>
        </w:rPr>
        <w:t xml:space="preserve">הרמ"א </w:t>
      </w:r>
      <w:r w:rsidRPr="00181879">
        <w:rPr>
          <w:rFonts w:hint="cs"/>
          <w:sz w:val="18"/>
          <w:szCs w:val="18"/>
          <w:rtl/>
        </w:rPr>
        <w:t xml:space="preserve">(ומשמע </w:t>
      </w:r>
      <w:r w:rsidRPr="00181879">
        <w:rPr>
          <w:rFonts w:hint="cs"/>
          <w:b/>
          <w:bCs/>
          <w:sz w:val="18"/>
          <w:szCs w:val="18"/>
          <w:rtl/>
        </w:rPr>
        <w:t>שהט"ז והש"ך</w:t>
      </w:r>
      <w:r w:rsidRPr="00181879">
        <w:rPr>
          <w:rFonts w:hint="cs"/>
          <w:sz w:val="18"/>
          <w:szCs w:val="18"/>
          <w:rtl/>
        </w:rPr>
        <w:t xml:space="preserve"> מסכימים).</w:t>
      </w:r>
      <w:r>
        <w:rPr>
          <w:rFonts w:hint="cs"/>
          <w:sz w:val="18"/>
          <w:szCs w:val="18"/>
          <w:rtl/>
        </w:rPr>
        <w:br/>
        <w:t xml:space="preserve">ג. </w:t>
      </w:r>
      <w:r w:rsidRPr="00181879">
        <w:rPr>
          <w:rFonts w:hint="cs"/>
          <w:b/>
          <w:bCs/>
          <w:sz w:val="18"/>
          <w:szCs w:val="18"/>
          <w:rtl/>
        </w:rPr>
        <w:t>רמב"ן</w:t>
      </w:r>
      <w:r>
        <w:rPr>
          <w:rFonts w:hint="cs"/>
          <w:sz w:val="18"/>
          <w:szCs w:val="18"/>
          <w:rtl/>
        </w:rPr>
        <w:t xml:space="preserve"> (להבנת </w:t>
      </w:r>
      <w:r w:rsidRPr="00181879">
        <w:rPr>
          <w:rFonts w:hint="cs"/>
          <w:b/>
          <w:bCs/>
          <w:sz w:val="18"/>
          <w:szCs w:val="18"/>
          <w:rtl/>
        </w:rPr>
        <w:t>ב"י</w:t>
      </w:r>
      <w:r>
        <w:rPr>
          <w:rFonts w:hint="cs"/>
          <w:sz w:val="18"/>
          <w:szCs w:val="18"/>
          <w:rtl/>
        </w:rPr>
        <w:t>). התעסקה בפחות מגריס ונמצא שני גריסים, טהורה. נמצא יותר משני גריסים, טמאה.</w:t>
      </w:r>
      <w:r>
        <w:rPr>
          <w:sz w:val="18"/>
          <w:szCs w:val="18"/>
          <w:rtl/>
        </w:rPr>
        <w:br/>
      </w:r>
      <w:r>
        <w:rPr>
          <w:rFonts w:hint="cs"/>
          <w:sz w:val="18"/>
          <w:szCs w:val="18"/>
          <w:rtl/>
        </w:rPr>
        <w:t>האחרונים דחו וטימאו בכל עניין.</w:t>
      </w:r>
    </w:p>
    <w:p w:rsidR="00620060" w:rsidRDefault="00620060" w:rsidP="00620060">
      <w:pPr>
        <w:rPr>
          <w:sz w:val="20"/>
          <w:szCs w:val="20"/>
          <w:rtl/>
        </w:rPr>
      </w:pPr>
      <w:r>
        <w:rPr>
          <w:sz w:val="20"/>
          <w:szCs w:val="20"/>
          <w:rtl/>
        </w:rPr>
        <w:br/>
      </w:r>
      <w:r>
        <w:rPr>
          <w:rFonts w:hint="cs"/>
          <w:b/>
          <w:bCs/>
          <w:sz w:val="20"/>
          <w:szCs w:val="20"/>
          <w:rtl/>
        </w:rPr>
        <w:t xml:space="preserve">סעיף כח </w:t>
      </w:r>
      <w:r>
        <w:rPr>
          <w:b/>
          <w:bCs/>
          <w:sz w:val="20"/>
          <w:szCs w:val="20"/>
          <w:rtl/>
        </w:rPr>
        <w:t>–</w:t>
      </w:r>
      <w:r>
        <w:rPr>
          <w:rFonts w:hint="cs"/>
          <w:b/>
          <w:bCs/>
          <w:sz w:val="20"/>
          <w:szCs w:val="20"/>
          <w:rtl/>
        </w:rPr>
        <w:t xml:space="preserve"> כתם שמעוכה בו מאכולת</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גמרא </w:t>
      </w:r>
      <w:r>
        <w:rPr>
          <w:rFonts w:hint="cs"/>
          <w:sz w:val="20"/>
          <w:szCs w:val="20"/>
          <w:rtl/>
        </w:rPr>
        <w:t>נדה (נט.) "</w:t>
      </w:r>
      <w:r w:rsidRPr="00161A8D">
        <w:rPr>
          <w:rFonts w:cs="Arial"/>
          <w:sz w:val="20"/>
          <w:szCs w:val="20"/>
          <w:rtl/>
        </w:rPr>
        <w:t>איתמר, נמצא עליה כגריס ועוד, ואותו עוד - רצופה בו מאכולת, ר</w:t>
      </w:r>
      <w:r>
        <w:rPr>
          <w:rFonts w:cs="Arial" w:hint="cs"/>
          <w:sz w:val="20"/>
          <w:szCs w:val="20"/>
          <w:rtl/>
        </w:rPr>
        <w:t>בי</w:t>
      </w:r>
      <w:r w:rsidRPr="00161A8D">
        <w:rPr>
          <w:rFonts w:cs="Arial"/>
          <w:sz w:val="20"/>
          <w:szCs w:val="20"/>
          <w:rtl/>
        </w:rPr>
        <w:t xml:space="preserve"> חנינא אומר - טמאה, ר</w:t>
      </w:r>
      <w:r>
        <w:rPr>
          <w:rFonts w:cs="Arial" w:hint="cs"/>
          <w:sz w:val="20"/>
          <w:szCs w:val="20"/>
          <w:rtl/>
        </w:rPr>
        <w:t>בי</w:t>
      </w:r>
      <w:r w:rsidRPr="00161A8D">
        <w:rPr>
          <w:rFonts w:cs="Arial"/>
          <w:sz w:val="20"/>
          <w:szCs w:val="20"/>
          <w:rtl/>
        </w:rPr>
        <w:t xml:space="preserve"> ינאי אומר - טהורה. רבי חנינא אומר: טמאה, כי תליא - בכגריס, בכגריס ועוד - לא תליא. רבי ינאי אומר: טהורה, הני מילי - היכא דלא רצופה בו מאכולת, אבל היכא דרצופה בו מאכולת - מוכחא מילתא דהאי ועוד דם מאכולת הוא. פש ליה - כגריס, כיון דבעלמא תליא, הכא נמי תליא</w:t>
      </w:r>
      <w:r>
        <w:rPr>
          <w:rFonts w:hint="cs"/>
          <w:sz w:val="20"/>
          <w:szCs w:val="20"/>
          <w:rtl/>
        </w:rPr>
        <w:t>".</w:t>
      </w:r>
    </w:p>
    <w:p w:rsidR="00620060" w:rsidRDefault="00620060" w:rsidP="00620060">
      <w:pPr>
        <w:rPr>
          <w:sz w:val="20"/>
          <w:szCs w:val="20"/>
          <w:rtl/>
        </w:rPr>
      </w:pPr>
      <w:r>
        <w:rPr>
          <w:rFonts w:hint="cs"/>
          <w:b/>
          <w:bCs/>
          <w:sz w:val="20"/>
          <w:szCs w:val="20"/>
          <w:rtl/>
        </w:rPr>
        <w:t>שיטות הראשונים</w:t>
      </w:r>
      <w:r>
        <w:rPr>
          <w:b/>
          <w:bCs/>
          <w:sz w:val="20"/>
          <w:szCs w:val="20"/>
          <w:rtl/>
        </w:rPr>
        <w:br/>
      </w:r>
      <w:r>
        <w:rPr>
          <w:rFonts w:hint="cs"/>
          <w:sz w:val="20"/>
          <w:szCs w:val="20"/>
          <w:rtl/>
        </w:rPr>
        <w:t xml:space="preserve">א. </w:t>
      </w:r>
      <w:r w:rsidRPr="00D677B5">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הלכה להחמיר כרבי חנינא.</w:t>
      </w:r>
      <w:r>
        <w:rPr>
          <w:sz w:val="20"/>
          <w:szCs w:val="20"/>
          <w:rtl/>
        </w:rPr>
        <w:br/>
      </w:r>
      <w:r w:rsidRPr="00D677B5">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כך הוא פשט המשנה שעד גריס תולה אך יותר מכך אינה תולה.</w:t>
      </w:r>
      <w:r>
        <w:rPr>
          <w:rStyle w:val="a5"/>
          <w:sz w:val="20"/>
          <w:szCs w:val="20"/>
          <w:rtl/>
        </w:rPr>
        <w:footnoteReference w:id="311"/>
      </w:r>
      <w:r>
        <w:rPr>
          <w:rFonts w:hint="cs"/>
          <w:sz w:val="20"/>
          <w:szCs w:val="20"/>
          <w:rtl/>
        </w:rPr>
        <w:br/>
        <w:t xml:space="preserve">ב. </w:t>
      </w:r>
      <w:r w:rsidRPr="00D677B5">
        <w:rPr>
          <w:rFonts w:hint="cs"/>
          <w:b/>
          <w:bCs/>
          <w:sz w:val="20"/>
          <w:szCs w:val="20"/>
          <w:rtl/>
        </w:rPr>
        <w:t>רמב"ן</w:t>
      </w:r>
      <w:r>
        <w:rPr>
          <w:rFonts w:hint="cs"/>
          <w:sz w:val="20"/>
          <w:szCs w:val="20"/>
          <w:rtl/>
        </w:rPr>
        <w:t xml:space="preserve">, </w:t>
      </w:r>
      <w:r w:rsidRPr="00D677B5">
        <w:rPr>
          <w:rFonts w:hint="cs"/>
          <w:b/>
          <w:bCs/>
          <w:sz w:val="20"/>
          <w:szCs w:val="20"/>
          <w:rtl/>
        </w:rPr>
        <w:t>רשב"א ורא"ש</w:t>
      </w:r>
      <w:r>
        <w:rPr>
          <w:rFonts w:hint="cs"/>
          <w:sz w:val="20"/>
          <w:szCs w:val="20"/>
          <w:rtl/>
        </w:rPr>
        <w:t xml:space="preserve"> </w:t>
      </w:r>
      <w:r>
        <w:rPr>
          <w:sz w:val="20"/>
          <w:szCs w:val="20"/>
          <w:rtl/>
        </w:rPr>
        <w:t>–</w:t>
      </w:r>
      <w:r>
        <w:rPr>
          <w:rFonts w:hint="cs"/>
          <w:sz w:val="20"/>
          <w:szCs w:val="20"/>
          <w:rtl/>
        </w:rPr>
        <w:t xml:space="preserve"> הלכה להקל כרבי ינאי, וכ"פ </w:t>
      </w:r>
      <w:r w:rsidRPr="00242930">
        <w:rPr>
          <w:rFonts w:hint="cs"/>
          <w:b/>
          <w:bCs/>
          <w:sz w:val="20"/>
          <w:szCs w:val="20"/>
          <w:rtl/>
        </w:rPr>
        <w:t>המחבר</w:t>
      </w:r>
      <w:r>
        <w:rPr>
          <w:rFonts w:hint="cs"/>
          <w:sz w:val="20"/>
          <w:szCs w:val="20"/>
          <w:rtl/>
        </w:rPr>
        <w:t>.</w:t>
      </w:r>
      <w:r>
        <w:rPr>
          <w:sz w:val="20"/>
          <w:szCs w:val="20"/>
          <w:rtl/>
        </w:rPr>
        <w:br/>
      </w:r>
      <w:r w:rsidRPr="00D677B5">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בדין דרבנן יש ללכת כשיטת המקלים, ובייחוד שמדובר בכתם שדינו קל טפי.</w:t>
      </w:r>
    </w:p>
    <w:p w:rsidR="00620060" w:rsidRDefault="00620060" w:rsidP="00620060">
      <w:pPr>
        <w:rPr>
          <w:sz w:val="20"/>
          <w:szCs w:val="20"/>
          <w:rtl/>
        </w:rPr>
      </w:pPr>
      <w:r>
        <w:rPr>
          <w:rFonts w:hint="cs"/>
          <w:sz w:val="20"/>
          <w:szCs w:val="20"/>
          <w:u w:val="single"/>
          <w:rtl/>
        </w:rPr>
        <w:t>כתם כשני גריסים שמעוכה בו מאכולת</w:t>
      </w:r>
      <w:r>
        <w:rPr>
          <w:sz w:val="20"/>
          <w:szCs w:val="20"/>
          <w:u w:val="single"/>
          <w:rtl/>
        </w:rPr>
        <w:br/>
      </w:r>
      <w:r w:rsidRPr="00B674FA">
        <w:rPr>
          <w:rFonts w:hint="cs"/>
          <w:b/>
          <w:bCs/>
          <w:sz w:val="20"/>
          <w:szCs w:val="20"/>
          <w:rtl/>
        </w:rPr>
        <w:t>רא"ש</w:t>
      </w:r>
      <w:r>
        <w:rPr>
          <w:rFonts w:hint="cs"/>
          <w:sz w:val="20"/>
          <w:szCs w:val="20"/>
          <w:rtl/>
        </w:rPr>
        <w:t xml:space="preserve"> </w:t>
      </w:r>
      <w:r>
        <w:rPr>
          <w:sz w:val="20"/>
          <w:szCs w:val="20"/>
          <w:rtl/>
        </w:rPr>
        <w:t>–</w:t>
      </w:r>
      <w:r>
        <w:rPr>
          <w:rFonts w:hint="cs"/>
          <w:sz w:val="20"/>
          <w:szCs w:val="20"/>
          <w:rtl/>
        </w:rPr>
        <w:t xml:space="preserve"> הוא הדין לרבי ינאי שיש לטהר אם נמצא עליה כתם כשני גריסים ורצופה בו מאכולת, וכ"פ </w:t>
      </w:r>
      <w:r w:rsidRPr="00710296">
        <w:rPr>
          <w:rFonts w:hint="cs"/>
          <w:b/>
          <w:bCs/>
          <w:sz w:val="20"/>
          <w:szCs w:val="20"/>
          <w:rtl/>
        </w:rPr>
        <w:t>המחבר</w:t>
      </w:r>
      <w:r>
        <w:rPr>
          <w:rFonts w:hint="cs"/>
          <w:sz w:val="20"/>
          <w:szCs w:val="20"/>
          <w:rtl/>
        </w:rPr>
        <w:t>.</w:t>
      </w:r>
      <w:r>
        <w:rPr>
          <w:sz w:val="20"/>
          <w:szCs w:val="20"/>
          <w:rtl/>
        </w:rPr>
        <w:br/>
      </w:r>
      <w:r w:rsidRPr="00B674FA">
        <w:rPr>
          <w:rFonts w:hint="cs"/>
          <w:b/>
          <w:bCs/>
          <w:sz w:val="20"/>
          <w:szCs w:val="20"/>
          <w:rtl/>
        </w:rPr>
        <w:t xml:space="preserve">טעם </w:t>
      </w:r>
      <w:r>
        <w:rPr>
          <w:sz w:val="20"/>
          <w:szCs w:val="20"/>
          <w:rtl/>
        </w:rPr>
        <w:t>–</w:t>
      </w:r>
      <w:r>
        <w:rPr>
          <w:rFonts w:hint="cs"/>
          <w:sz w:val="20"/>
          <w:szCs w:val="20"/>
          <w:rtl/>
        </w:rPr>
        <w:t xml:space="preserve"> כיוון שלאחר שתחסיר את הגריס שמחמת המאכולת, נשאר כגריס בלבד שאינו מטמא.</w:t>
      </w:r>
      <w:r>
        <w:rPr>
          <w:rFonts w:hint="cs"/>
          <w:sz w:val="20"/>
          <w:szCs w:val="20"/>
          <w:rtl/>
        </w:rPr>
        <w:br/>
        <w:t>ואע"פ שבגמרא לא נקטו מקרה זה, היינו משום רבותא דרבי חנינא שמטמא אפילו בכגריס ועוד.</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710296">
        <w:rPr>
          <w:rFonts w:cs="Arial"/>
          <w:sz w:val="20"/>
          <w:szCs w:val="20"/>
          <w:rtl/>
        </w:rPr>
        <w:t>האשה שמצאה על חלוקה כשני גריסין וכינה מעוכה בו, טהורה. שהגריס הא</w:t>
      </w:r>
      <w:r>
        <w:rPr>
          <w:rFonts w:cs="Arial" w:hint="cs"/>
          <w:sz w:val="20"/>
          <w:szCs w:val="20"/>
          <w:rtl/>
        </w:rPr>
        <w:t>חד</w:t>
      </w:r>
      <w:r w:rsidRPr="00710296">
        <w:rPr>
          <w:rFonts w:cs="Arial"/>
          <w:sz w:val="20"/>
          <w:szCs w:val="20"/>
          <w:rtl/>
        </w:rPr>
        <w:t xml:space="preserve"> ודאי מכינה המעוכה בו, והגריס השני אנו תולין אותו בכינ</w:t>
      </w:r>
      <w:r>
        <w:rPr>
          <w:rFonts w:cs="Arial"/>
          <w:sz w:val="20"/>
          <w:szCs w:val="20"/>
          <w:rtl/>
        </w:rPr>
        <w:t>ה אחרת, כיון שאין בו כגריס ועוד</w:t>
      </w:r>
      <w:r>
        <w:rPr>
          <w:rFonts w:cs="Arial" w:hint="cs"/>
          <w:sz w:val="20"/>
          <w:szCs w:val="20"/>
          <w:rtl/>
        </w:rPr>
        <w:t>".</w:t>
      </w:r>
    </w:p>
    <w:p w:rsidR="00620060"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972444">
        <w:rPr>
          <w:rFonts w:hint="cs"/>
          <w:b/>
          <w:bCs/>
          <w:sz w:val="20"/>
          <w:szCs w:val="20"/>
          <w:rtl/>
        </w:rPr>
        <w:t>גמרא</w:t>
      </w:r>
      <w:r>
        <w:rPr>
          <w:rFonts w:hint="cs"/>
          <w:sz w:val="20"/>
          <w:szCs w:val="20"/>
          <w:rtl/>
        </w:rPr>
        <w:t xml:space="preserve">. נמצא עליה כתם כגריס ועוד ורצופה בו מאכולת. </w:t>
      </w:r>
      <w:r w:rsidRPr="00972444">
        <w:rPr>
          <w:rFonts w:hint="cs"/>
          <w:sz w:val="20"/>
          <w:szCs w:val="20"/>
          <w:u w:val="single"/>
          <w:rtl/>
        </w:rPr>
        <w:t>רבי חנינא</w:t>
      </w:r>
      <w:r>
        <w:rPr>
          <w:rFonts w:hint="cs"/>
          <w:sz w:val="20"/>
          <w:szCs w:val="20"/>
          <w:rtl/>
        </w:rPr>
        <w:t xml:space="preserve">. טמאה. </w:t>
      </w:r>
      <w:r w:rsidRPr="00972444">
        <w:rPr>
          <w:rFonts w:hint="cs"/>
          <w:sz w:val="20"/>
          <w:szCs w:val="20"/>
          <w:u w:val="single"/>
          <w:rtl/>
        </w:rPr>
        <w:t>רבי ינאי</w:t>
      </w:r>
      <w:r>
        <w:rPr>
          <w:rFonts w:hint="cs"/>
          <w:sz w:val="20"/>
          <w:szCs w:val="20"/>
          <w:rtl/>
        </w:rPr>
        <w:t>. טהורה.</w:t>
      </w:r>
      <w:r>
        <w:rPr>
          <w:sz w:val="20"/>
          <w:szCs w:val="20"/>
          <w:rtl/>
        </w:rPr>
        <w:br/>
      </w:r>
      <w:r>
        <w:rPr>
          <w:rFonts w:hint="cs"/>
          <w:sz w:val="20"/>
          <w:szCs w:val="20"/>
          <w:rtl/>
        </w:rPr>
        <w:t xml:space="preserve">2. </w:t>
      </w:r>
      <w:r w:rsidRPr="00972444">
        <w:rPr>
          <w:rFonts w:hint="cs"/>
          <w:b/>
          <w:bCs/>
          <w:sz w:val="20"/>
          <w:szCs w:val="20"/>
          <w:rtl/>
        </w:rPr>
        <w:t>רמב"ם</w:t>
      </w:r>
      <w:r>
        <w:rPr>
          <w:rFonts w:hint="cs"/>
          <w:sz w:val="20"/>
          <w:szCs w:val="20"/>
          <w:rtl/>
        </w:rPr>
        <w:t xml:space="preserve">. טמאה, כפשט המשנה שכתם כגריס ועוד טמאה. </w:t>
      </w:r>
      <w:r w:rsidRPr="00972444">
        <w:rPr>
          <w:rFonts w:hint="cs"/>
          <w:b/>
          <w:bCs/>
          <w:sz w:val="20"/>
          <w:szCs w:val="20"/>
          <w:rtl/>
        </w:rPr>
        <w:t>רא"ש</w:t>
      </w:r>
      <w:r>
        <w:rPr>
          <w:rFonts w:hint="cs"/>
          <w:sz w:val="20"/>
          <w:szCs w:val="20"/>
          <w:rtl/>
        </w:rPr>
        <w:t xml:space="preserve">. טהורה, ספק דרבנן לקולא, וכ"פ </w:t>
      </w:r>
      <w:r w:rsidRPr="00972444">
        <w:rPr>
          <w:rFonts w:hint="cs"/>
          <w:b/>
          <w:bCs/>
          <w:sz w:val="20"/>
          <w:szCs w:val="20"/>
          <w:rtl/>
        </w:rPr>
        <w:t>המחבר</w:t>
      </w:r>
      <w:r>
        <w:rPr>
          <w:rFonts w:hint="cs"/>
          <w:sz w:val="20"/>
          <w:szCs w:val="20"/>
          <w:rtl/>
        </w:rPr>
        <w:t>.</w:t>
      </w:r>
      <w:r>
        <w:rPr>
          <w:sz w:val="20"/>
          <w:szCs w:val="20"/>
          <w:rtl/>
        </w:rPr>
        <w:br/>
      </w:r>
      <w:r>
        <w:rPr>
          <w:rFonts w:hint="cs"/>
          <w:sz w:val="20"/>
          <w:szCs w:val="20"/>
          <w:rtl/>
        </w:rPr>
        <w:t xml:space="preserve">3. </w:t>
      </w:r>
      <w:r w:rsidRPr="00972444">
        <w:rPr>
          <w:rFonts w:hint="cs"/>
          <w:b/>
          <w:bCs/>
          <w:sz w:val="20"/>
          <w:szCs w:val="20"/>
          <w:rtl/>
        </w:rPr>
        <w:t>רא"ש</w:t>
      </w:r>
      <w:r>
        <w:rPr>
          <w:rFonts w:hint="cs"/>
          <w:sz w:val="20"/>
          <w:szCs w:val="20"/>
          <w:rtl/>
        </w:rPr>
        <w:t xml:space="preserve">. הוא הדין בכתם כשני גריסים ורצופה בו מאכולת, טהורה מטעם הנ"ל, וכ"פ </w:t>
      </w:r>
      <w:r w:rsidRPr="00972444">
        <w:rPr>
          <w:rFonts w:hint="cs"/>
          <w:b/>
          <w:bCs/>
          <w:sz w:val="20"/>
          <w:szCs w:val="20"/>
          <w:rtl/>
        </w:rPr>
        <w:t>המחבר</w:t>
      </w:r>
      <w:r>
        <w:rPr>
          <w:rFonts w:hint="cs"/>
          <w:sz w:val="20"/>
          <w:szCs w:val="20"/>
          <w:rtl/>
        </w:rPr>
        <w:t xml:space="preserve">. </w:t>
      </w:r>
    </w:p>
    <w:p w:rsidR="00620060" w:rsidRDefault="00620060" w:rsidP="00620060">
      <w:pPr>
        <w:rPr>
          <w:sz w:val="20"/>
          <w:szCs w:val="20"/>
          <w:rtl/>
        </w:rPr>
      </w:pPr>
      <w:r>
        <w:rPr>
          <w:rFonts w:hint="cs"/>
          <w:sz w:val="20"/>
          <w:szCs w:val="20"/>
          <w:rtl/>
        </w:rPr>
        <w:br/>
      </w:r>
      <w:r>
        <w:rPr>
          <w:rFonts w:hint="cs"/>
          <w:b/>
          <w:bCs/>
          <w:sz w:val="20"/>
          <w:szCs w:val="20"/>
          <w:rtl/>
        </w:rPr>
        <w:t xml:space="preserve">סעיף כט </w:t>
      </w:r>
      <w:r>
        <w:rPr>
          <w:b/>
          <w:bCs/>
          <w:sz w:val="20"/>
          <w:szCs w:val="20"/>
          <w:rtl/>
        </w:rPr>
        <w:t>–</w:t>
      </w:r>
      <w:r>
        <w:rPr>
          <w:rFonts w:hint="cs"/>
          <w:b/>
          <w:bCs/>
          <w:sz w:val="20"/>
          <w:szCs w:val="20"/>
          <w:rtl/>
        </w:rPr>
        <w:t xml:space="preserve"> הרגה פשפש</w:t>
      </w:r>
      <w:r>
        <w:rPr>
          <w:b/>
          <w:bCs/>
          <w:sz w:val="20"/>
          <w:szCs w:val="20"/>
          <w:rtl/>
        </w:rPr>
        <w:br/>
      </w:r>
      <w:r>
        <w:rPr>
          <w:rFonts w:hint="cs"/>
          <w:b/>
          <w:bCs/>
          <w:sz w:val="20"/>
          <w:szCs w:val="20"/>
          <w:rtl/>
        </w:rPr>
        <w:t>פסיקת הלכה</w:t>
      </w:r>
      <w:r>
        <w:rPr>
          <w:b/>
          <w:bCs/>
          <w:sz w:val="20"/>
          <w:szCs w:val="20"/>
          <w:rtl/>
        </w:rPr>
        <w:br/>
      </w:r>
      <w:r>
        <w:rPr>
          <w:rFonts w:hint="cs"/>
          <w:b/>
          <w:bCs/>
          <w:sz w:val="20"/>
          <w:szCs w:val="20"/>
          <w:rtl/>
        </w:rPr>
        <w:lastRenderedPageBreak/>
        <w:t xml:space="preserve">שולחן ערוך </w:t>
      </w:r>
      <w:r w:rsidRPr="003876AB">
        <w:rPr>
          <w:rFonts w:hint="cs"/>
          <w:sz w:val="18"/>
          <w:szCs w:val="18"/>
          <w:rtl/>
        </w:rPr>
        <w:t xml:space="preserve">(ע"פ </w:t>
      </w:r>
      <w:r w:rsidRPr="003876AB">
        <w:rPr>
          <w:rFonts w:hint="cs"/>
          <w:b/>
          <w:bCs/>
          <w:sz w:val="18"/>
          <w:szCs w:val="18"/>
          <w:rtl/>
        </w:rPr>
        <w:t>הרשב"א</w:t>
      </w:r>
      <w:r w:rsidRPr="003876AB">
        <w:rPr>
          <w:rFonts w:hint="cs"/>
          <w:sz w:val="18"/>
          <w:szCs w:val="18"/>
          <w:rtl/>
        </w:rPr>
        <w:t xml:space="preserve">) </w:t>
      </w:r>
      <w:r>
        <w:rPr>
          <w:sz w:val="20"/>
          <w:szCs w:val="20"/>
          <w:rtl/>
        </w:rPr>
        <w:t>–</w:t>
      </w:r>
      <w:r>
        <w:rPr>
          <w:rFonts w:hint="cs"/>
          <w:sz w:val="20"/>
          <w:szCs w:val="20"/>
          <w:rtl/>
        </w:rPr>
        <w:t xml:space="preserve"> </w:t>
      </w:r>
      <w:r>
        <w:rPr>
          <w:rFonts w:cs="Arial" w:hint="cs"/>
          <w:sz w:val="20"/>
          <w:szCs w:val="20"/>
          <w:rtl/>
        </w:rPr>
        <w:t>"</w:t>
      </w:r>
      <w:r w:rsidRPr="003876AB">
        <w:rPr>
          <w:rFonts w:cs="Arial"/>
          <w:sz w:val="20"/>
          <w:szCs w:val="20"/>
          <w:rtl/>
        </w:rPr>
        <w:t>הרגה פשפש שאנו תולין בו עד כתורמוס, חזר כתורמוס</w:t>
      </w:r>
      <w:r>
        <w:rPr>
          <w:rFonts w:cs="Arial"/>
          <w:sz w:val="20"/>
          <w:szCs w:val="20"/>
          <w:rtl/>
        </w:rPr>
        <w:t xml:space="preserve"> לשיעור הגריס לכל הדינים שאמרנו</w:t>
      </w:r>
      <w:r>
        <w:rPr>
          <w:rFonts w:cs="Arial" w:hint="cs"/>
          <w:sz w:val="20"/>
          <w:szCs w:val="20"/>
          <w:rtl/>
        </w:rPr>
        <w:t>"</w:t>
      </w:r>
      <w:r>
        <w:rPr>
          <w:rStyle w:val="a5"/>
          <w:rFonts w:cs="Arial"/>
          <w:sz w:val="20"/>
          <w:szCs w:val="20"/>
          <w:rtl/>
        </w:rPr>
        <w:footnoteReference w:id="312"/>
      </w:r>
      <w:r>
        <w:rPr>
          <w:rFonts w:cs="Arial" w:hint="cs"/>
          <w:sz w:val="20"/>
          <w:szCs w:val="20"/>
          <w:rtl/>
        </w:rPr>
        <w:t>.</w:t>
      </w:r>
    </w:p>
    <w:p w:rsidR="00620060" w:rsidRDefault="00620060" w:rsidP="00620060">
      <w:pPr>
        <w:rPr>
          <w:rFonts w:cs="Arial"/>
          <w:sz w:val="20"/>
          <w:szCs w:val="20"/>
          <w:rtl/>
        </w:rPr>
      </w:pPr>
      <w:r>
        <w:rPr>
          <w:sz w:val="20"/>
          <w:szCs w:val="20"/>
          <w:rtl/>
        </w:rPr>
        <w:br/>
      </w:r>
      <w:r>
        <w:rPr>
          <w:rFonts w:hint="cs"/>
          <w:b/>
          <w:bCs/>
          <w:sz w:val="20"/>
          <w:szCs w:val="20"/>
          <w:rtl/>
        </w:rPr>
        <w:t xml:space="preserve">סעיף ל </w:t>
      </w:r>
      <w:r>
        <w:rPr>
          <w:b/>
          <w:bCs/>
          <w:sz w:val="20"/>
          <w:szCs w:val="20"/>
          <w:rtl/>
        </w:rPr>
        <w:t>–</w:t>
      </w:r>
      <w:r>
        <w:rPr>
          <w:rFonts w:hint="cs"/>
          <w:b/>
          <w:bCs/>
          <w:sz w:val="20"/>
          <w:szCs w:val="20"/>
          <w:rtl/>
        </w:rPr>
        <w:t xml:space="preserve"> השוואה בין הכתם לדבר שתולה בו</w:t>
      </w:r>
      <w:r>
        <w:rPr>
          <w:b/>
          <w:bCs/>
          <w:sz w:val="20"/>
          <w:szCs w:val="20"/>
          <w:rtl/>
        </w:rPr>
        <w:br/>
      </w:r>
      <w:r>
        <w:rPr>
          <w:rFonts w:hint="cs"/>
          <w:b/>
          <w:bCs/>
          <w:sz w:val="20"/>
          <w:szCs w:val="20"/>
          <w:rtl/>
        </w:rPr>
        <w:t>שיטות הראשונים</w:t>
      </w:r>
      <w:r>
        <w:rPr>
          <w:b/>
          <w:bCs/>
          <w:sz w:val="20"/>
          <w:szCs w:val="20"/>
          <w:rtl/>
        </w:rPr>
        <w:br/>
      </w:r>
      <w:r>
        <w:rPr>
          <w:rFonts w:hint="cs"/>
          <w:sz w:val="20"/>
          <w:szCs w:val="20"/>
          <w:rtl/>
        </w:rPr>
        <w:t xml:space="preserve">א. </w:t>
      </w:r>
      <w:r w:rsidRPr="005313FC">
        <w:rPr>
          <w:rFonts w:hint="cs"/>
          <w:b/>
          <w:bCs/>
          <w:sz w:val="20"/>
          <w:szCs w:val="20"/>
          <w:rtl/>
        </w:rPr>
        <w:t>יש אומרים</w:t>
      </w:r>
      <w:r w:rsidRPr="005313FC">
        <w:rPr>
          <w:rFonts w:hint="cs"/>
          <w:sz w:val="18"/>
          <w:szCs w:val="18"/>
          <w:rtl/>
        </w:rPr>
        <w:t xml:space="preserve"> (הו"ד ברשב"א) </w:t>
      </w:r>
      <w:r>
        <w:rPr>
          <w:sz w:val="20"/>
          <w:szCs w:val="20"/>
          <w:rtl/>
        </w:rPr>
        <w:t>–</w:t>
      </w:r>
      <w:r>
        <w:rPr>
          <w:rFonts w:hint="cs"/>
          <w:sz w:val="20"/>
          <w:szCs w:val="20"/>
          <w:rtl/>
        </w:rPr>
        <w:t xml:space="preserve"> בזמנינו אין לתלות כלל כתם בעסק הדמים.</w:t>
      </w:r>
      <w:r>
        <w:rPr>
          <w:sz w:val="20"/>
          <w:szCs w:val="20"/>
          <w:rtl/>
        </w:rPr>
        <w:br/>
      </w:r>
      <w:r w:rsidRPr="005313FC">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איננו בקיאים במראות הדמים, ולכן ייתכן שדם העסק ודם הכתם אינם באותו צבע.</w:t>
      </w:r>
      <w:r>
        <w:rPr>
          <w:sz w:val="20"/>
          <w:szCs w:val="20"/>
          <w:rtl/>
        </w:rPr>
        <w:br/>
      </w:r>
      <w:r w:rsidRPr="005313FC">
        <w:rPr>
          <w:rFonts w:hint="cs"/>
          <w:b/>
          <w:bCs/>
          <w:sz w:val="20"/>
          <w:szCs w:val="20"/>
          <w:rtl/>
        </w:rPr>
        <w:t>ראיה</w:t>
      </w:r>
      <w:r>
        <w:rPr>
          <w:rFonts w:hint="cs"/>
          <w:sz w:val="20"/>
          <w:szCs w:val="20"/>
          <w:rtl/>
        </w:rPr>
        <w:t xml:space="preserve"> </w:t>
      </w:r>
      <w:r>
        <w:rPr>
          <w:sz w:val="20"/>
          <w:szCs w:val="20"/>
          <w:rtl/>
        </w:rPr>
        <w:t>–</w:t>
      </w:r>
      <w:r>
        <w:rPr>
          <w:rFonts w:hint="cs"/>
          <w:sz w:val="20"/>
          <w:szCs w:val="20"/>
          <w:rtl/>
        </w:rPr>
        <w:t xml:space="preserve"> </w:t>
      </w:r>
      <w:r>
        <w:rPr>
          <w:rFonts w:hint="cs"/>
          <w:b/>
          <w:bCs/>
          <w:sz w:val="20"/>
          <w:szCs w:val="20"/>
          <w:rtl/>
        </w:rPr>
        <w:t xml:space="preserve">גמרא </w:t>
      </w:r>
      <w:r>
        <w:rPr>
          <w:rFonts w:hint="cs"/>
          <w:sz w:val="20"/>
          <w:szCs w:val="20"/>
          <w:rtl/>
        </w:rPr>
        <w:t>נדה (יט:) "</w:t>
      </w:r>
      <w:r w:rsidRPr="005313FC">
        <w:rPr>
          <w:rFonts w:cs="Arial"/>
          <w:sz w:val="20"/>
          <w:szCs w:val="20"/>
          <w:rtl/>
        </w:rPr>
        <w:t>איזה</w:t>
      </w:r>
      <w:r>
        <w:rPr>
          <w:rFonts w:cs="Arial"/>
          <w:sz w:val="20"/>
          <w:szCs w:val="20"/>
          <w:rtl/>
        </w:rPr>
        <w:t>ו אדום</w:t>
      </w:r>
      <w:r>
        <w:rPr>
          <w:rFonts w:cs="Arial" w:hint="cs"/>
          <w:sz w:val="20"/>
          <w:szCs w:val="20"/>
          <w:rtl/>
        </w:rPr>
        <w:t>...</w:t>
      </w:r>
      <w:r>
        <w:rPr>
          <w:rFonts w:cs="Arial"/>
          <w:sz w:val="20"/>
          <w:szCs w:val="20"/>
          <w:rtl/>
        </w:rPr>
        <w:t xml:space="preserve"> אמי ורדינאה א</w:t>
      </w:r>
      <w:r>
        <w:rPr>
          <w:rFonts w:cs="Arial" w:hint="cs"/>
          <w:sz w:val="20"/>
          <w:szCs w:val="20"/>
          <w:rtl/>
        </w:rPr>
        <w:t xml:space="preserve">מר רבי </w:t>
      </w:r>
      <w:r w:rsidRPr="005313FC">
        <w:rPr>
          <w:rFonts w:cs="Arial"/>
          <w:sz w:val="20"/>
          <w:szCs w:val="20"/>
          <w:rtl/>
        </w:rPr>
        <w:t>אבהו: כדם אצבע קטנה של יד, שנגפה וחייתה וחזרה ונגפה, ולא של כל אדם אלא של בחור שלא נשא אשה, ועד כמה - עד בן עשרים. מיתיבי: תולה בבנה ובבעלה, בשלמא בבנה - משכחת לה, אלא בעלה - היכי משכחת לה? אמר ר</w:t>
      </w:r>
      <w:r>
        <w:rPr>
          <w:rFonts w:cs="Arial" w:hint="cs"/>
          <w:sz w:val="20"/>
          <w:szCs w:val="20"/>
          <w:rtl/>
        </w:rPr>
        <w:t xml:space="preserve">ב </w:t>
      </w:r>
      <w:r w:rsidRPr="005313FC">
        <w:rPr>
          <w:rFonts w:cs="Arial"/>
          <w:sz w:val="20"/>
          <w:szCs w:val="20"/>
          <w:rtl/>
        </w:rPr>
        <w:t>נ</w:t>
      </w:r>
      <w:r>
        <w:rPr>
          <w:rFonts w:cs="Arial" w:hint="cs"/>
          <w:sz w:val="20"/>
          <w:szCs w:val="20"/>
          <w:rtl/>
        </w:rPr>
        <w:t>חמן</w:t>
      </w:r>
      <w:r w:rsidRPr="005313FC">
        <w:rPr>
          <w:rFonts w:cs="Arial"/>
          <w:sz w:val="20"/>
          <w:szCs w:val="20"/>
          <w:rtl/>
        </w:rPr>
        <w:t xml:space="preserve"> בר יצחק: כגון שנכנסה לחופה ולא נבעלה</w:t>
      </w:r>
      <w:r>
        <w:rPr>
          <w:rFonts w:cs="Arial" w:hint="cs"/>
          <w:sz w:val="20"/>
          <w:szCs w:val="20"/>
          <w:rtl/>
        </w:rPr>
        <w:t>".</w:t>
      </w:r>
      <w:r>
        <w:rPr>
          <w:rFonts w:hint="cs"/>
          <w:sz w:val="20"/>
          <w:szCs w:val="20"/>
          <w:rtl/>
        </w:rPr>
        <w:br/>
      </w:r>
      <w:r w:rsidRPr="000548E9">
        <w:rPr>
          <w:rFonts w:hint="cs"/>
          <w:b/>
          <w:bCs/>
          <w:sz w:val="20"/>
          <w:szCs w:val="20"/>
          <w:rtl/>
        </w:rPr>
        <w:t>הסבר הראיה</w:t>
      </w:r>
      <w:r>
        <w:rPr>
          <w:rFonts w:hint="cs"/>
          <w:sz w:val="20"/>
          <w:szCs w:val="20"/>
          <w:rtl/>
        </w:rPr>
        <w:t xml:space="preserve"> </w:t>
      </w:r>
      <w:r>
        <w:rPr>
          <w:sz w:val="20"/>
          <w:szCs w:val="20"/>
          <w:rtl/>
        </w:rPr>
        <w:t>–</w:t>
      </w:r>
      <w:r>
        <w:rPr>
          <w:rFonts w:hint="cs"/>
          <w:sz w:val="20"/>
          <w:szCs w:val="20"/>
          <w:rtl/>
        </w:rPr>
        <w:t xml:space="preserve"> מוכח מגמרא זאת שתליית דם אדום במכה היא רק כשברור בדיוק מהו הצבע האדום שתולה בו, ולכן הגמרא מסייגת את התלייה בבעלה רק כשעדיין לא בעל. ומכיוון שבזמנינו איננו בקיאים במראות דמים, אין להקל ולתלות כלל בעסק הדמים.</w:t>
      </w:r>
      <w:r>
        <w:rPr>
          <w:sz w:val="20"/>
          <w:szCs w:val="20"/>
          <w:rtl/>
        </w:rPr>
        <w:br/>
      </w:r>
      <w:r>
        <w:rPr>
          <w:rFonts w:hint="cs"/>
          <w:sz w:val="20"/>
          <w:szCs w:val="20"/>
          <w:rtl/>
        </w:rPr>
        <w:t xml:space="preserve">ב. </w:t>
      </w:r>
      <w:r w:rsidRPr="000548E9">
        <w:rPr>
          <w:rFonts w:hint="cs"/>
          <w:b/>
          <w:bCs/>
          <w:sz w:val="20"/>
          <w:szCs w:val="20"/>
          <w:rtl/>
        </w:rPr>
        <w:t xml:space="preserve">רשב"א </w:t>
      </w:r>
      <w:r>
        <w:rPr>
          <w:sz w:val="20"/>
          <w:szCs w:val="20"/>
          <w:rtl/>
        </w:rPr>
        <w:t>–</w:t>
      </w:r>
      <w:r>
        <w:rPr>
          <w:rFonts w:hint="cs"/>
          <w:sz w:val="20"/>
          <w:szCs w:val="20"/>
          <w:rtl/>
        </w:rPr>
        <w:t xml:space="preserve"> גם כיום תולים כתם בעסק שהתעסקה בו, ואפילו אין צריך להשוות את המראה שעסקה בו לכתם שנמצא, ואמנם אם העסק בצבע אחד והכתם בצבע אחר, בכה"ג פשוט שאין תולים בו, וכ"פ </w:t>
      </w:r>
      <w:r w:rsidRPr="005F3C2D">
        <w:rPr>
          <w:rFonts w:hint="cs"/>
          <w:b/>
          <w:bCs/>
          <w:sz w:val="20"/>
          <w:szCs w:val="20"/>
          <w:rtl/>
        </w:rPr>
        <w:t>המחבר</w:t>
      </w:r>
      <w:r>
        <w:rPr>
          <w:rFonts w:hint="cs"/>
          <w:sz w:val="20"/>
          <w:szCs w:val="20"/>
          <w:rtl/>
        </w:rPr>
        <w:t>.</w:t>
      </w:r>
      <w:r>
        <w:rPr>
          <w:sz w:val="20"/>
          <w:szCs w:val="20"/>
          <w:rtl/>
        </w:rPr>
        <w:br/>
      </w:r>
      <w:r w:rsidRPr="000548E9">
        <w:rPr>
          <w:rFonts w:hint="cs"/>
          <w:b/>
          <w:bCs/>
          <w:sz w:val="20"/>
          <w:szCs w:val="20"/>
          <w:rtl/>
        </w:rPr>
        <w:t>ראיה</w:t>
      </w:r>
      <w:r>
        <w:rPr>
          <w:rFonts w:hint="cs"/>
          <w:sz w:val="20"/>
          <w:szCs w:val="20"/>
          <w:rtl/>
        </w:rPr>
        <w:t xml:space="preserve"> </w:t>
      </w:r>
      <w:r>
        <w:rPr>
          <w:sz w:val="20"/>
          <w:szCs w:val="20"/>
          <w:rtl/>
        </w:rPr>
        <w:t>–</w:t>
      </w:r>
      <w:r>
        <w:rPr>
          <w:rFonts w:hint="cs"/>
          <w:sz w:val="20"/>
          <w:szCs w:val="20"/>
          <w:rtl/>
        </w:rPr>
        <w:t xml:space="preserve"> </w:t>
      </w:r>
      <w:r w:rsidRPr="005F3C2D">
        <w:rPr>
          <w:rFonts w:hint="cs"/>
          <w:b/>
          <w:bCs/>
          <w:sz w:val="20"/>
          <w:szCs w:val="20"/>
          <w:rtl/>
        </w:rPr>
        <w:t>משנה</w:t>
      </w:r>
      <w:r>
        <w:rPr>
          <w:rFonts w:hint="cs"/>
          <w:sz w:val="20"/>
          <w:szCs w:val="20"/>
          <w:rtl/>
        </w:rPr>
        <w:t xml:space="preserve"> נדה (נח:) "</w:t>
      </w:r>
      <w:r w:rsidRPr="005313FC">
        <w:rPr>
          <w:rFonts w:cs="Arial"/>
          <w:sz w:val="20"/>
          <w:szCs w:val="20"/>
          <w:rtl/>
        </w:rPr>
        <w:t>מעשה באשה אחת שבאת לפני ר</w:t>
      </w:r>
      <w:r>
        <w:rPr>
          <w:rFonts w:cs="Arial" w:hint="cs"/>
          <w:sz w:val="20"/>
          <w:szCs w:val="20"/>
          <w:rtl/>
        </w:rPr>
        <w:t xml:space="preserve">בי </w:t>
      </w:r>
      <w:r w:rsidRPr="005313FC">
        <w:rPr>
          <w:rFonts w:cs="Arial"/>
          <w:sz w:val="20"/>
          <w:szCs w:val="20"/>
          <w:rtl/>
        </w:rPr>
        <w:t>ע</w:t>
      </w:r>
      <w:r>
        <w:rPr>
          <w:rFonts w:cs="Arial" w:hint="cs"/>
          <w:sz w:val="20"/>
          <w:szCs w:val="20"/>
          <w:rtl/>
        </w:rPr>
        <w:t>קיבא</w:t>
      </w:r>
      <w:r w:rsidRPr="005313FC">
        <w:rPr>
          <w:rFonts w:cs="Arial"/>
          <w:sz w:val="20"/>
          <w:szCs w:val="20"/>
          <w:rtl/>
        </w:rPr>
        <w:t>, אמרה לו: ראיתי כתם. אמר לה: שמא מכה היתה ביך? אמרה לו: הן, וחיתה. אמר לה: שמא יכולה להגלע ולהוציא דם? אמרה לו: הן. וטהרה ר</w:t>
      </w:r>
      <w:r>
        <w:rPr>
          <w:rFonts w:cs="Arial" w:hint="cs"/>
          <w:sz w:val="20"/>
          <w:szCs w:val="20"/>
          <w:rtl/>
        </w:rPr>
        <w:t xml:space="preserve">בי </w:t>
      </w:r>
      <w:r w:rsidRPr="005313FC">
        <w:rPr>
          <w:rFonts w:cs="Arial"/>
          <w:sz w:val="20"/>
          <w:szCs w:val="20"/>
          <w:rtl/>
        </w:rPr>
        <w:t>ע</w:t>
      </w:r>
      <w:r>
        <w:rPr>
          <w:rFonts w:cs="Arial" w:hint="cs"/>
          <w:sz w:val="20"/>
          <w:szCs w:val="20"/>
          <w:rtl/>
        </w:rPr>
        <w:t>קיבא"</w:t>
      </w:r>
      <w:r w:rsidRPr="005313FC">
        <w:rPr>
          <w:rFonts w:cs="Arial"/>
          <w:sz w:val="20"/>
          <w:szCs w:val="20"/>
          <w:rtl/>
        </w:rPr>
        <w:t>.</w:t>
      </w:r>
      <w:r>
        <w:rPr>
          <w:rFonts w:cs="Arial" w:hint="cs"/>
          <w:sz w:val="20"/>
          <w:szCs w:val="20"/>
          <w:rtl/>
        </w:rPr>
        <w:t xml:space="preserve"> ממשנה זאת מוכח שתולים בעסק הדם אפילו ללא קירוב הכתם לדם שתולים בו.</w:t>
      </w:r>
    </w:p>
    <w:p w:rsidR="00620060" w:rsidRDefault="00620060" w:rsidP="00620060">
      <w:pPr>
        <w:rPr>
          <w:sz w:val="20"/>
          <w:szCs w:val="20"/>
          <w:rtl/>
        </w:rPr>
      </w:pPr>
      <w:r>
        <w:rPr>
          <w:rFonts w:cs="Arial" w:hint="cs"/>
          <w:b/>
          <w:bCs/>
          <w:sz w:val="20"/>
          <w:szCs w:val="20"/>
          <w:rtl/>
        </w:rPr>
        <w:t>פסיקת הלכה</w:t>
      </w:r>
      <w:r>
        <w:rPr>
          <w:rFonts w:cs="Arial"/>
          <w:b/>
          <w:bCs/>
          <w:sz w:val="20"/>
          <w:szCs w:val="20"/>
          <w:rtl/>
        </w:rPr>
        <w:br/>
      </w:r>
      <w:r>
        <w:rPr>
          <w:rFonts w:cs="Arial" w:hint="cs"/>
          <w:b/>
          <w:bCs/>
          <w:sz w:val="20"/>
          <w:szCs w:val="20"/>
          <w:rtl/>
        </w:rPr>
        <w:t xml:space="preserve">שולחן ערוך </w:t>
      </w:r>
      <w:r>
        <w:rPr>
          <w:rFonts w:cs="Arial"/>
          <w:sz w:val="20"/>
          <w:szCs w:val="20"/>
          <w:rtl/>
        </w:rPr>
        <w:t>–</w:t>
      </w:r>
      <w:r>
        <w:rPr>
          <w:rFonts w:cs="Arial" w:hint="cs"/>
          <w:sz w:val="20"/>
          <w:szCs w:val="20"/>
          <w:rtl/>
        </w:rPr>
        <w:t xml:space="preserve"> "</w:t>
      </w:r>
      <w:r w:rsidRPr="000548E9">
        <w:rPr>
          <w:rFonts w:cs="Arial"/>
          <w:sz w:val="20"/>
          <w:szCs w:val="20"/>
          <w:rtl/>
        </w:rPr>
        <w:t xml:space="preserve">אינה צריכה להקיף </w:t>
      </w:r>
      <w:r>
        <w:rPr>
          <w:rFonts w:cs="Arial"/>
          <w:sz w:val="18"/>
          <w:szCs w:val="18"/>
          <w:rtl/>
        </w:rPr>
        <w:t>(פי</w:t>
      </w:r>
      <w:r>
        <w:rPr>
          <w:rFonts w:cs="Arial" w:hint="cs"/>
          <w:sz w:val="18"/>
          <w:szCs w:val="18"/>
          <w:rtl/>
        </w:rPr>
        <w:t xml:space="preserve">רוש </w:t>
      </w:r>
      <w:r w:rsidRPr="000548E9">
        <w:rPr>
          <w:rFonts w:cs="Arial"/>
          <w:sz w:val="18"/>
          <w:szCs w:val="18"/>
          <w:rtl/>
        </w:rPr>
        <w:t xml:space="preserve">ענין הקפה הוא לדמות דבר לדבר) </w:t>
      </w:r>
      <w:r w:rsidRPr="000548E9">
        <w:rPr>
          <w:rFonts w:cs="Arial"/>
          <w:sz w:val="20"/>
          <w:szCs w:val="20"/>
          <w:rtl/>
        </w:rPr>
        <w:t>הכתם לדבר שהיא תולה בו, אלא תולה מן</w:t>
      </w:r>
      <w:r>
        <w:rPr>
          <w:rFonts w:cs="Arial"/>
          <w:sz w:val="20"/>
          <w:szCs w:val="20"/>
          <w:rtl/>
        </w:rPr>
        <w:t xml:space="preserve"> הסתם עד שתדע שזה שחור וזה אדום</w:t>
      </w:r>
      <w:r>
        <w:rPr>
          <w:rFonts w:cs="Arial" w:hint="cs"/>
          <w:sz w:val="20"/>
          <w:szCs w:val="20"/>
          <w:rtl/>
        </w:rPr>
        <w:t>".</w:t>
      </w:r>
    </w:p>
    <w:p w:rsidR="00620060" w:rsidRDefault="00620060" w:rsidP="00620060">
      <w:pPr>
        <w:rPr>
          <w:sz w:val="20"/>
          <w:szCs w:val="20"/>
          <w:rtl/>
        </w:rPr>
      </w:pPr>
      <w:r w:rsidRPr="00F55B67">
        <w:rPr>
          <w:rFonts w:hint="cs"/>
          <w:b/>
          <w:bCs/>
          <w:sz w:val="20"/>
          <w:szCs w:val="20"/>
          <w:rtl/>
        </w:rPr>
        <w:t>סיכום</w:t>
      </w:r>
      <w:r>
        <w:rPr>
          <w:sz w:val="20"/>
          <w:szCs w:val="20"/>
          <w:rtl/>
        </w:rPr>
        <w:br/>
      </w:r>
      <w:r>
        <w:rPr>
          <w:rFonts w:hint="cs"/>
          <w:sz w:val="20"/>
          <w:szCs w:val="20"/>
          <w:rtl/>
        </w:rPr>
        <w:t xml:space="preserve">1. </w:t>
      </w:r>
      <w:r w:rsidRPr="00F55B67">
        <w:rPr>
          <w:rFonts w:hint="cs"/>
          <w:b/>
          <w:bCs/>
          <w:sz w:val="20"/>
          <w:szCs w:val="20"/>
          <w:rtl/>
        </w:rPr>
        <w:t>יש אומרים</w:t>
      </w:r>
      <w:r>
        <w:rPr>
          <w:rFonts w:hint="cs"/>
          <w:sz w:val="20"/>
          <w:szCs w:val="20"/>
          <w:rtl/>
        </w:rPr>
        <w:t xml:space="preserve">. אין תולים כלל בכתם בזמנינו. </w:t>
      </w:r>
      <w:r w:rsidRPr="005F3C2D">
        <w:rPr>
          <w:rFonts w:hint="cs"/>
          <w:b/>
          <w:bCs/>
          <w:sz w:val="20"/>
          <w:szCs w:val="20"/>
          <w:rtl/>
        </w:rPr>
        <w:t>טעם</w:t>
      </w:r>
      <w:r>
        <w:rPr>
          <w:rFonts w:hint="cs"/>
          <w:sz w:val="20"/>
          <w:szCs w:val="20"/>
          <w:rtl/>
        </w:rPr>
        <w:t>. איננו יודעים להשוות את הכתם לעסק.</w:t>
      </w:r>
      <w:r>
        <w:rPr>
          <w:sz w:val="20"/>
          <w:szCs w:val="20"/>
          <w:rtl/>
        </w:rPr>
        <w:br/>
      </w:r>
      <w:r>
        <w:rPr>
          <w:rFonts w:hint="cs"/>
          <w:sz w:val="20"/>
          <w:szCs w:val="20"/>
          <w:rtl/>
        </w:rPr>
        <w:t xml:space="preserve">2. </w:t>
      </w:r>
      <w:r w:rsidRPr="00F55B67">
        <w:rPr>
          <w:rFonts w:hint="cs"/>
          <w:b/>
          <w:bCs/>
          <w:sz w:val="20"/>
          <w:szCs w:val="20"/>
          <w:rtl/>
        </w:rPr>
        <w:t>רשב"א</w:t>
      </w:r>
      <w:r>
        <w:rPr>
          <w:rFonts w:hint="cs"/>
          <w:sz w:val="20"/>
          <w:szCs w:val="20"/>
          <w:rtl/>
        </w:rPr>
        <w:t xml:space="preserve">. גם כיום תולים, ואפילו אין צריך להשוות את הכתם לעסק, וכ"פ </w:t>
      </w:r>
      <w:r w:rsidRPr="00F55B67">
        <w:rPr>
          <w:rFonts w:hint="cs"/>
          <w:b/>
          <w:bCs/>
          <w:sz w:val="20"/>
          <w:szCs w:val="20"/>
          <w:rtl/>
        </w:rPr>
        <w:t>המחבר</w:t>
      </w:r>
      <w:r>
        <w:rPr>
          <w:rFonts w:hint="cs"/>
          <w:sz w:val="20"/>
          <w:szCs w:val="20"/>
          <w:rtl/>
        </w:rPr>
        <w:t xml:space="preserve">. </w:t>
      </w:r>
      <w:r>
        <w:rPr>
          <w:sz w:val="20"/>
          <w:szCs w:val="20"/>
          <w:rtl/>
        </w:rPr>
        <w:br/>
      </w:r>
      <w:r>
        <w:rPr>
          <w:rFonts w:hint="cs"/>
          <w:sz w:val="20"/>
          <w:szCs w:val="20"/>
          <w:rtl/>
        </w:rPr>
        <w:t xml:space="preserve">ואמנם, אם יודעת שהתעסקה בצבע אחד ומצאה צבע אחר, אינה תולה בו וטמאה. </w:t>
      </w:r>
    </w:p>
    <w:p w:rsidR="00620060" w:rsidRDefault="00620060" w:rsidP="00620060">
      <w:pPr>
        <w:rPr>
          <w:sz w:val="20"/>
          <w:szCs w:val="20"/>
          <w:rtl/>
        </w:rPr>
      </w:pPr>
      <w:r>
        <w:rPr>
          <w:sz w:val="20"/>
          <w:szCs w:val="20"/>
          <w:rtl/>
        </w:rPr>
        <w:br/>
      </w:r>
      <w:r>
        <w:rPr>
          <w:rFonts w:hint="cs"/>
          <w:b/>
          <w:bCs/>
          <w:sz w:val="20"/>
          <w:szCs w:val="20"/>
          <w:rtl/>
        </w:rPr>
        <w:t xml:space="preserve">סעיף לא </w:t>
      </w:r>
      <w:r>
        <w:rPr>
          <w:b/>
          <w:bCs/>
          <w:sz w:val="20"/>
          <w:szCs w:val="20"/>
          <w:rtl/>
        </w:rPr>
        <w:t>–</w:t>
      </w:r>
      <w:r>
        <w:rPr>
          <w:rFonts w:hint="cs"/>
          <w:b/>
          <w:bCs/>
          <w:sz w:val="20"/>
          <w:szCs w:val="20"/>
          <w:rtl/>
        </w:rPr>
        <w:t xml:space="preserve"> העברת סמנים על הבגד</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משנה </w:t>
      </w:r>
      <w:r>
        <w:rPr>
          <w:rFonts w:hint="cs"/>
          <w:sz w:val="20"/>
          <w:szCs w:val="20"/>
          <w:rtl/>
        </w:rPr>
        <w:t>נידה (סא:) "</w:t>
      </w:r>
      <w:r w:rsidRPr="006B4819">
        <w:rPr>
          <w:rFonts w:cs="Arial"/>
          <w:sz w:val="20"/>
          <w:szCs w:val="20"/>
          <w:rtl/>
        </w:rPr>
        <w:t>שבעה סמנין מעבירין על הכתם: רוק תפל, ומי גריסין, ומי רגלים, ונתר, ובורית,</w:t>
      </w:r>
      <w:r w:rsidRPr="006B4819">
        <w:rPr>
          <w:rtl/>
        </w:rPr>
        <w:t xml:space="preserve"> </w:t>
      </w:r>
      <w:r w:rsidRPr="006B4819">
        <w:rPr>
          <w:rFonts w:cs="Arial"/>
          <w:sz w:val="20"/>
          <w:szCs w:val="20"/>
          <w:rtl/>
        </w:rPr>
        <w:t>קמוניא, ואשלג</w:t>
      </w:r>
      <w:r>
        <w:rPr>
          <w:rFonts w:cs="Arial" w:hint="cs"/>
          <w:sz w:val="20"/>
          <w:szCs w:val="20"/>
          <w:rtl/>
        </w:rPr>
        <w:t>...</w:t>
      </w:r>
      <w:r w:rsidRPr="006B4819">
        <w:rPr>
          <w:rFonts w:cs="Arial"/>
          <w:sz w:val="20"/>
          <w:szCs w:val="20"/>
          <w:rtl/>
        </w:rPr>
        <w:t xml:space="preserve"> העביר עליו שבעה סמ</w:t>
      </w:r>
      <w:r>
        <w:rPr>
          <w:rFonts w:cs="Arial"/>
          <w:sz w:val="20"/>
          <w:szCs w:val="20"/>
          <w:rtl/>
        </w:rPr>
        <w:t>נין ולא עבר - הרי זה צבע</w:t>
      </w:r>
      <w:r>
        <w:rPr>
          <w:rFonts w:cs="Arial" w:hint="cs"/>
          <w:sz w:val="20"/>
          <w:szCs w:val="20"/>
          <w:rtl/>
        </w:rPr>
        <w:t>..</w:t>
      </w:r>
      <w:r w:rsidRPr="006B4819">
        <w:rPr>
          <w:rFonts w:cs="Arial"/>
          <w:sz w:val="20"/>
          <w:szCs w:val="20"/>
          <w:rtl/>
        </w:rPr>
        <w:t>. עבר או שדיהה - הרי זה כתם</w:t>
      </w:r>
      <w:r>
        <w:rPr>
          <w:rFonts w:cs="Arial" w:hint="cs"/>
          <w:sz w:val="20"/>
          <w:szCs w:val="20"/>
          <w:rtl/>
        </w:rPr>
        <w:t>..</w:t>
      </w:r>
      <w:r w:rsidRPr="006B4819">
        <w:rPr>
          <w:rFonts w:cs="Arial"/>
          <w:sz w:val="20"/>
          <w:szCs w:val="20"/>
          <w:rtl/>
        </w:rPr>
        <w:t>. איזהו רוק תפל - כל שלא טעם כלום. מי גריסין - לעיסת גריסין של פול חלוקת נפש. מי רגלים - שהחמיצו. וצריך לכסכס שלש פעמים לכל אחד ואחד. העבירן שלא כסדרן, או שהעביר שבעה סמנין כאחת - לא עשה ולא כלום</w:t>
      </w:r>
      <w:r>
        <w:rPr>
          <w:rFonts w:cs="Arial" w:hint="cs"/>
          <w:sz w:val="20"/>
          <w:szCs w:val="20"/>
          <w:rtl/>
        </w:rPr>
        <w:t>"</w:t>
      </w:r>
      <w:r w:rsidRPr="006B4819">
        <w:rPr>
          <w:rFonts w:cs="Arial"/>
          <w:sz w:val="20"/>
          <w:szCs w:val="20"/>
          <w:rtl/>
        </w:rPr>
        <w:t>.</w:t>
      </w:r>
    </w:p>
    <w:p w:rsidR="00620060" w:rsidRDefault="00620060" w:rsidP="00620060">
      <w:pPr>
        <w:rPr>
          <w:sz w:val="20"/>
          <w:szCs w:val="20"/>
          <w:rtl/>
        </w:rPr>
      </w:pPr>
      <w:r>
        <w:rPr>
          <w:rFonts w:hint="cs"/>
          <w:b/>
          <w:bCs/>
          <w:sz w:val="20"/>
          <w:szCs w:val="20"/>
          <w:rtl/>
        </w:rPr>
        <w:t>שיטות הראשונים</w:t>
      </w:r>
      <w:r>
        <w:rPr>
          <w:b/>
          <w:bCs/>
          <w:sz w:val="20"/>
          <w:szCs w:val="20"/>
          <w:rtl/>
        </w:rPr>
        <w:br/>
      </w:r>
      <w:r>
        <w:rPr>
          <w:rFonts w:hint="cs"/>
          <w:sz w:val="20"/>
          <w:szCs w:val="20"/>
          <w:rtl/>
        </w:rPr>
        <w:t xml:space="preserve">א. </w:t>
      </w:r>
      <w:r w:rsidRPr="006B4819">
        <w:rPr>
          <w:rFonts w:hint="cs"/>
          <w:b/>
          <w:bCs/>
          <w:sz w:val="20"/>
          <w:szCs w:val="20"/>
          <w:rtl/>
        </w:rPr>
        <w:t>רמב"ם ורשב"א</w:t>
      </w:r>
      <w:r>
        <w:rPr>
          <w:rFonts w:hint="cs"/>
          <w:sz w:val="20"/>
          <w:szCs w:val="20"/>
          <w:rtl/>
        </w:rPr>
        <w:t xml:space="preserve"> </w:t>
      </w:r>
      <w:r>
        <w:rPr>
          <w:sz w:val="20"/>
          <w:szCs w:val="20"/>
          <w:rtl/>
        </w:rPr>
        <w:t>–</w:t>
      </w:r>
      <w:r>
        <w:rPr>
          <w:rFonts w:hint="cs"/>
          <w:sz w:val="20"/>
          <w:szCs w:val="20"/>
          <w:rtl/>
        </w:rPr>
        <w:t xml:space="preserve"> בדיקה זו מועילה לעניין טהרות וגם להתירה לבעלה, וכ"פ </w:t>
      </w:r>
      <w:r w:rsidRPr="00F55B67">
        <w:rPr>
          <w:rFonts w:hint="cs"/>
          <w:b/>
          <w:bCs/>
          <w:sz w:val="20"/>
          <w:szCs w:val="20"/>
          <w:rtl/>
        </w:rPr>
        <w:t>המחבר</w:t>
      </w:r>
      <w:r>
        <w:rPr>
          <w:rFonts w:hint="cs"/>
          <w:sz w:val="20"/>
          <w:szCs w:val="20"/>
          <w:rtl/>
        </w:rPr>
        <w:t>.</w:t>
      </w:r>
      <w:r>
        <w:rPr>
          <w:sz w:val="20"/>
          <w:szCs w:val="20"/>
          <w:rtl/>
        </w:rPr>
        <w:br/>
      </w:r>
      <w:r>
        <w:rPr>
          <w:rFonts w:hint="cs"/>
          <w:sz w:val="20"/>
          <w:szCs w:val="20"/>
          <w:rtl/>
        </w:rPr>
        <w:t xml:space="preserve">ב. </w:t>
      </w:r>
      <w:r w:rsidRPr="006B4819">
        <w:rPr>
          <w:rFonts w:hint="cs"/>
          <w:b/>
          <w:bCs/>
          <w:sz w:val="20"/>
          <w:szCs w:val="20"/>
          <w:rtl/>
        </w:rPr>
        <w:t>רמב"ן</w:t>
      </w:r>
      <w:r>
        <w:rPr>
          <w:rFonts w:hint="cs"/>
          <w:sz w:val="20"/>
          <w:szCs w:val="20"/>
          <w:rtl/>
        </w:rPr>
        <w:t xml:space="preserve"> </w:t>
      </w:r>
      <w:r>
        <w:rPr>
          <w:sz w:val="20"/>
          <w:szCs w:val="20"/>
          <w:rtl/>
        </w:rPr>
        <w:t>–</w:t>
      </w:r>
      <w:r>
        <w:rPr>
          <w:rFonts w:hint="cs"/>
          <w:sz w:val="20"/>
          <w:szCs w:val="20"/>
          <w:rtl/>
        </w:rPr>
        <w:t xml:space="preserve"> בדיקה זו מועילה לטהרות בלבד, אך לבעלה אסורה אפילו ע"י בדיקה זו.</w:t>
      </w:r>
    </w:p>
    <w:p w:rsidR="00620060" w:rsidRDefault="00620060" w:rsidP="00620060">
      <w:pPr>
        <w:rPr>
          <w:sz w:val="20"/>
          <w:szCs w:val="20"/>
          <w:rtl/>
        </w:rPr>
      </w:pPr>
      <w:r>
        <w:rPr>
          <w:rFonts w:hint="cs"/>
          <w:sz w:val="20"/>
          <w:szCs w:val="20"/>
          <w:u w:val="single"/>
          <w:rtl/>
        </w:rPr>
        <w:t>לא העבירה סמנים (בית יוסף)</w:t>
      </w:r>
      <w:r>
        <w:rPr>
          <w:rFonts w:hint="cs"/>
          <w:sz w:val="20"/>
          <w:szCs w:val="20"/>
          <w:u w:val="single"/>
          <w:rtl/>
        </w:rPr>
        <w:br/>
      </w:r>
      <w:r>
        <w:rPr>
          <w:rFonts w:hint="cs"/>
          <w:sz w:val="20"/>
          <w:szCs w:val="20"/>
          <w:rtl/>
        </w:rPr>
        <w:t xml:space="preserve">לשון </w:t>
      </w:r>
      <w:r w:rsidRPr="006B4819">
        <w:rPr>
          <w:rFonts w:hint="cs"/>
          <w:b/>
          <w:bCs/>
          <w:sz w:val="20"/>
          <w:szCs w:val="20"/>
          <w:rtl/>
        </w:rPr>
        <w:t>הרמב"ם</w:t>
      </w:r>
      <w:r>
        <w:rPr>
          <w:rFonts w:hint="cs"/>
          <w:sz w:val="20"/>
          <w:szCs w:val="20"/>
          <w:rtl/>
        </w:rPr>
        <w:t xml:space="preserve"> </w:t>
      </w:r>
      <w:r>
        <w:rPr>
          <w:sz w:val="20"/>
          <w:szCs w:val="20"/>
          <w:rtl/>
        </w:rPr>
        <w:t>–</w:t>
      </w:r>
      <w:r>
        <w:rPr>
          <w:rFonts w:hint="cs"/>
          <w:sz w:val="20"/>
          <w:szCs w:val="20"/>
          <w:rtl/>
        </w:rPr>
        <w:t xml:space="preserve"> </w:t>
      </w:r>
      <w:r>
        <w:rPr>
          <w:rFonts w:cs="Arial" w:hint="cs"/>
          <w:sz w:val="20"/>
          <w:szCs w:val="20"/>
          <w:rtl/>
        </w:rPr>
        <w:t>"</w:t>
      </w:r>
      <w:r w:rsidRPr="006B4819">
        <w:rPr>
          <w:rFonts w:cs="Arial"/>
          <w:sz w:val="20"/>
          <w:szCs w:val="20"/>
          <w:rtl/>
        </w:rPr>
        <w:t>כל כתם שנמצא על הבגד שאין לה במה יתלה אינו מטמא עד שיודע שהוא דם</w:t>
      </w:r>
      <w:r>
        <w:rPr>
          <w:rFonts w:cs="Arial" w:hint="cs"/>
          <w:sz w:val="20"/>
          <w:szCs w:val="20"/>
          <w:rtl/>
        </w:rPr>
        <w:t>.</w:t>
      </w:r>
      <w:r w:rsidRPr="006B4819">
        <w:rPr>
          <w:rFonts w:cs="Arial"/>
          <w:sz w:val="20"/>
          <w:szCs w:val="20"/>
          <w:rtl/>
        </w:rPr>
        <w:t xml:space="preserve"> ואם נסתפק להם שמא הוא דם או צבע אדום</w:t>
      </w:r>
      <w:r>
        <w:rPr>
          <w:rFonts w:cs="Arial" w:hint="cs"/>
          <w:sz w:val="20"/>
          <w:szCs w:val="20"/>
          <w:rtl/>
        </w:rPr>
        <w:t>,</w:t>
      </w:r>
      <w:r w:rsidRPr="006B4819">
        <w:rPr>
          <w:rFonts w:cs="Arial"/>
          <w:sz w:val="20"/>
          <w:szCs w:val="20"/>
          <w:rtl/>
        </w:rPr>
        <w:t xml:space="preserve"> מעבירין עליו שבעה סמנין אלו על הסדר</w:t>
      </w:r>
      <w:r>
        <w:rPr>
          <w:rFonts w:cs="Arial" w:hint="cs"/>
          <w:sz w:val="20"/>
          <w:szCs w:val="20"/>
          <w:rtl/>
        </w:rPr>
        <w:t>".</w:t>
      </w:r>
    </w:p>
    <w:p w:rsidR="00620060" w:rsidRDefault="00620060" w:rsidP="00620060">
      <w:pPr>
        <w:rPr>
          <w:sz w:val="20"/>
          <w:szCs w:val="20"/>
          <w:rtl/>
        </w:rPr>
      </w:pPr>
      <w:r>
        <w:rPr>
          <w:rFonts w:hint="cs"/>
          <w:sz w:val="20"/>
          <w:szCs w:val="20"/>
          <w:u w:val="single"/>
          <w:rtl/>
        </w:rPr>
        <w:t>מחלוקת בהבנת דברי הרמב"ם</w:t>
      </w:r>
      <w:r>
        <w:rPr>
          <w:sz w:val="20"/>
          <w:szCs w:val="20"/>
          <w:u w:val="single"/>
          <w:rtl/>
        </w:rPr>
        <w:br/>
      </w:r>
      <w:r>
        <w:rPr>
          <w:rFonts w:hint="cs"/>
          <w:sz w:val="20"/>
          <w:szCs w:val="20"/>
          <w:rtl/>
        </w:rPr>
        <w:t xml:space="preserve">א. </w:t>
      </w:r>
      <w:r w:rsidRPr="006B4819">
        <w:rPr>
          <w:rFonts w:hint="cs"/>
          <w:b/>
          <w:bCs/>
          <w:sz w:val="20"/>
          <w:szCs w:val="20"/>
          <w:rtl/>
        </w:rPr>
        <w:t>ראב"ד</w:t>
      </w:r>
      <w:r>
        <w:rPr>
          <w:rFonts w:hint="cs"/>
          <w:sz w:val="20"/>
          <w:szCs w:val="20"/>
          <w:rtl/>
        </w:rPr>
        <w:t xml:space="preserve"> </w:t>
      </w:r>
      <w:r>
        <w:rPr>
          <w:sz w:val="20"/>
          <w:szCs w:val="20"/>
          <w:rtl/>
        </w:rPr>
        <w:t>–</w:t>
      </w:r>
      <w:r>
        <w:rPr>
          <w:rFonts w:hint="cs"/>
          <w:sz w:val="20"/>
          <w:szCs w:val="20"/>
          <w:rtl/>
        </w:rPr>
        <w:t xml:space="preserve"> כוונת הרמב"ם לטהר בספק, אלא אם כן בדקו והתברר שזה דם.</w:t>
      </w:r>
      <w:r>
        <w:rPr>
          <w:sz w:val="20"/>
          <w:szCs w:val="20"/>
          <w:rtl/>
        </w:rPr>
        <w:br/>
      </w:r>
      <w:r>
        <w:rPr>
          <w:rFonts w:hint="cs"/>
          <w:sz w:val="20"/>
          <w:szCs w:val="20"/>
          <w:rtl/>
        </w:rPr>
        <w:t xml:space="preserve">משיג </w:t>
      </w:r>
      <w:r w:rsidRPr="006B4819">
        <w:rPr>
          <w:rFonts w:hint="cs"/>
          <w:b/>
          <w:bCs/>
          <w:sz w:val="20"/>
          <w:szCs w:val="20"/>
          <w:rtl/>
        </w:rPr>
        <w:t>הראב"ד</w:t>
      </w:r>
      <w:r>
        <w:rPr>
          <w:rFonts w:hint="cs"/>
          <w:sz w:val="20"/>
          <w:szCs w:val="20"/>
          <w:rtl/>
        </w:rPr>
        <w:t xml:space="preserve"> </w:t>
      </w:r>
      <w:r>
        <w:rPr>
          <w:sz w:val="20"/>
          <w:szCs w:val="20"/>
          <w:rtl/>
        </w:rPr>
        <w:t>–</w:t>
      </w:r>
      <w:r>
        <w:rPr>
          <w:rFonts w:hint="cs"/>
          <w:sz w:val="20"/>
          <w:szCs w:val="20"/>
          <w:rtl/>
        </w:rPr>
        <w:t xml:space="preserve"> אף בספק טמאה, ואין הבדיקה כדי לטמא אלא כדי לטהר במקרה של ספק.</w:t>
      </w:r>
      <w:r>
        <w:rPr>
          <w:sz w:val="20"/>
          <w:szCs w:val="20"/>
          <w:rtl/>
        </w:rPr>
        <w:br/>
      </w:r>
      <w:r>
        <w:rPr>
          <w:rFonts w:hint="cs"/>
          <w:sz w:val="20"/>
          <w:szCs w:val="20"/>
          <w:rtl/>
        </w:rPr>
        <w:t xml:space="preserve">ב. </w:t>
      </w:r>
      <w:r w:rsidRPr="006B4819">
        <w:rPr>
          <w:rFonts w:hint="cs"/>
          <w:b/>
          <w:bCs/>
          <w:sz w:val="20"/>
          <w:szCs w:val="20"/>
          <w:rtl/>
        </w:rPr>
        <w:t>מגיד משנה</w:t>
      </w:r>
      <w:r>
        <w:rPr>
          <w:rFonts w:hint="cs"/>
          <w:sz w:val="20"/>
          <w:szCs w:val="20"/>
          <w:rtl/>
        </w:rPr>
        <w:t xml:space="preserve"> </w:t>
      </w:r>
      <w:r>
        <w:rPr>
          <w:sz w:val="20"/>
          <w:szCs w:val="20"/>
          <w:rtl/>
        </w:rPr>
        <w:t>–</w:t>
      </w:r>
      <w:r>
        <w:rPr>
          <w:rFonts w:hint="cs"/>
          <w:sz w:val="20"/>
          <w:szCs w:val="20"/>
          <w:rtl/>
        </w:rPr>
        <w:t xml:space="preserve"> גם כוונת הרמב"ם היא כדעת הראב"ד שבספק טמאה.</w:t>
      </w:r>
      <w:r>
        <w:rPr>
          <w:sz w:val="20"/>
          <w:szCs w:val="20"/>
          <w:rtl/>
        </w:rPr>
        <w:br/>
      </w:r>
      <w:r w:rsidRPr="006B4819">
        <w:rPr>
          <w:rFonts w:hint="cs"/>
          <w:b/>
          <w:bCs/>
          <w:sz w:val="20"/>
          <w:szCs w:val="20"/>
          <w:rtl/>
        </w:rPr>
        <w:t xml:space="preserve">טעם </w:t>
      </w:r>
      <w:r>
        <w:rPr>
          <w:sz w:val="20"/>
          <w:szCs w:val="20"/>
          <w:rtl/>
        </w:rPr>
        <w:t>–</w:t>
      </w:r>
      <w:r>
        <w:rPr>
          <w:rFonts w:hint="cs"/>
          <w:sz w:val="20"/>
          <w:szCs w:val="20"/>
          <w:rtl/>
        </w:rPr>
        <w:t xml:space="preserve"> לא ייתכן לטהר בספק, שהרי כל דבר שניתן לברר, כגון כאן, אינו ראוי להיקרא בשם ספק.</w:t>
      </w:r>
      <w:r>
        <w:rPr>
          <w:sz w:val="20"/>
          <w:szCs w:val="20"/>
          <w:rtl/>
        </w:rPr>
        <w:br/>
      </w:r>
      <w:r>
        <w:rPr>
          <w:rFonts w:hint="cs"/>
          <w:sz w:val="20"/>
          <w:szCs w:val="20"/>
          <w:rtl/>
        </w:rPr>
        <w:lastRenderedPageBreak/>
        <w:t>ומה שכתב הרמב"ם שאינו מטמא עד שיוודע שהוא דם, כוונתו שאינו מטמא בוודאי אלא בספק עד שיוודע בבירור שהוא דם, כלומר ע"י בדיקה.</w:t>
      </w:r>
      <w:r>
        <w:rPr>
          <w:sz w:val="20"/>
          <w:szCs w:val="20"/>
          <w:rtl/>
        </w:rPr>
        <w:br/>
      </w:r>
      <w:r>
        <w:rPr>
          <w:rFonts w:hint="cs"/>
          <w:sz w:val="20"/>
          <w:szCs w:val="20"/>
          <w:rtl/>
        </w:rPr>
        <w:t xml:space="preserve">מסקנת </w:t>
      </w:r>
      <w:r w:rsidRPr="006B4819">
        <w:rPr>
          <w:rFonts w:hint="cs"/>
          <w:b/>
          <w:bCs/>
          <w:sz w:val="20"/>
          <w:szCs w:val="20"/>
          <w:rtl/>
        </w:rPr>
        <w:t>הבית יוסף</w:t>
      </w:r>
      <w:r>
        <w:rPr>
          <w:rFonts w:hint="cs"/>
          <w:sz w:val="20"/>
          <w:szCs w:val="20"/>
          <w:rtl/>
        </w:rPr>
        <w:t xml:space="preserve"> </w:t>
      </w:r>
      <w:r>
        <w:rPr>
          <w:sz w:val="20"/>
          <w:szCs w:val="20"/>
          <w:rtl/>
        </w:rPr>
        <w:t>–</w:t>
      </w:r>
      <w:r>
        <w:rPr>
          <w:rFonts w:hint="cs"/>
          <w:sz w:val="20"/>
          <w:szCs w:val="20"/>
          <w:rtl/>
        </w:rPr>
        <w:t xml:space="preserve"> פירוש המגיד משנה הוא הנכון ברמב"ם, ולכן אין מחלוקת בין הפוסקים בדין זה שמן הסתם יש לטמא אלא אם כן בדקו ע"י סמנים אלו שאז יש לטהר.</w:t>
      </w:r>
    </w:p>
    <w:p w:rsidR="00620060" w:rsidRDefault="00620060" w:rsidP="00620060">
      <w:pPr>
        <w:rPr>
          <w:sz w:val="20"/>
          <w:szCs w:val="20"/>
          <w:rtl/>
        </w:rPr>
      </w:pPr>
      <w:r>
        <w:rPr>
          <w:rFonts w:hint="cs"/>
          <w:b/>
          <w:bCs/>
          <w:sz w:val="20"/>
          <w:szCs w:val="20"/>
          <w:rtl/>
        </w:rPr>
        <w:t>האם ניתן לסמוך על בדיקה זו כיום?</w:t>
      </w:r>
      <w:r>
        <w:rPr>
          <w:rFonts w:hint="cs"/>
          <w:b/>
          <w:bCs/>
          <w:sz w:val="20"/>
          <w:szCs w:val="20"/>
          <w:rtl/>
        </w:rPr>
        <w:br/>
      </w:r>
      <w:r w:rsidRPr="00F55B67">
        <w:rPr>
          <w:rFonts w:hint="cs"/>
          <w:b/>
          <w:bCs/>
          <w:sz w:val="20"/>
          <w:szCs w:val="20"/>
          <w:rtl/>
        </w:rPr>
        <w:t>בית יוסף</w:t>
      </w:r>
      <w:r>
        <w:rPr>
          <w:rFonts w:hint="cs"/>
          <w:sz w:val="20"/>
          <w:szCs w:val="20"/>
          <w:rtl/>
        </w:rPr>
        <w:t xml:space="preserve"> </w:t>
      </w:r>
      <w:r>
        <w:rPr>
          <w:sz w:val="20"/>
          <w:szCs w:val="20"/>
          <w:rtl/>
        </w:rPr>
        <w:t>–</w:t>
      </w:r>
      <w:r>
        <w:rPr>
          <w:rFonts w:hint="cs"/>
          <w:sz w:val="20"/>
          <w:szCs w:val="20"/>
          <w:rtl/>
        </w:rPr>
        <w:t xml:space="preserve"> קצת משמות הסמנים המוזכרים בגמרא אינם ידועים לנו, ולכן דין זה אינו נוהג.</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F55B67">
        <w:rPr>
          <w:rFonts w:cs="Arial"/>
          <w:sz w:val="20"/>
          <w:szCs w:val="20"/>
          <w:rtl/>
        </w:rPr>
        <w:t>מצאה כתם ואין לה במה לתלות, והדבר מסופק אם הוא דם או צבע, מעברת עליו ז' סמנים אם עמד בעיניו הרי זה צבע וטהורה, ואם אינה מעברת עליו, טמאה מספק. ועכשיו אין לנו העברת ז' סמנים, מ</w:t>
      </w:r>
      <w:r>
        <w:rPr>
          <w:rFonts w:cs="Arial"/>
          <w:sz w:val="20"/>
          <w:szCs w:val="20"/>
          <w:rtl/>
        </w:rPr>
        <w:t>פני שאין אנו בקיאים בקצת משמותם</w:t>
      </w:r>
      <w:r>
        <w:rPr>
          <w:rFonts w:cs="Arial" w:hint="cs"/>
          <w:sz w:val="20"/>
          <w:szCs w:val="20"/>
          <w:rtl/>
        </w:rPr>
        <w:t>".</w:t>
      </w:r>
    </w:p>
    <w:p w:rsidR="00620060"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DE7854">
        <w:rPr>
          <w:rFonts w:hint="cs"/>
          <w:b/>
          <w:bCs/>
          <w:sz w:val="20"/>
          <w:szCs w:val="20"/>
          <w:rtl/>
        </w:rPr>
        <w:t>משנה</w:t>
      </w:r>
      <w:r>
        <w:rPr>
          <w:rFonts w:hint="cs"/>
          <w:sz w:val="20"/>
          <w:szCs w:val="20"/>
          <w:rtl/>
        </w:rPr>
        <w:t xml:space="preserve">. המוצאת כתם בחלוקה, מעבירה ז' סמנים. עבר </w:t>
      </w:r>
      <w:r>
        <w:rPr>
          <w:sz w:val="20"/>
          <w:szCs w:val="20"/>
          <w:rtl/>
        </w:rPr>
        <w:t>–</w:t>
      </w:r>
      <w:r>
        <w:rPr>
          <w:rFonts w:hint="cs"/>
          <w:sz w:val="20"/>
          <w:szCs w:val="20"/>
          <w:rtl/>
        </w:rPr>
        <w:t xml:space="preserve"> דם וטמאה, לא עבר </w:t>
      </w:r>
      <w:r>
        <w:rPr>
          <w:sz w:val="20"/>
          <w:szCs w:val="20"/>
          <w:rtl/>
        </w:rPr>
        <w:t>–</w:t>
      </w:r>
      <w:r>
        <w:rPr>
          <w:rFonts w:hint="cs"/>
          <w:sz w:val="20"/>
          <w:szCs w:val="20"/>
          <w:rtl/>
        </w:rPr>
        <w:t xml:space="preserve"> צבע וטהורה.</w:t>
      </w:r>
      <w:r>
        <w:rPr>
          <w:sz w:val="20"/>
          <w:szCs w:val="20"/>
          <w:rtl/>
        </w:rPr>
        <w:br/>
      </w:r>
      <w:r>
        <w:rPr>
          <w:rFonts w:hint="cs"/>
          <w:sz w:val="20"/>
          <w:szCs w:val="20"/>
          <w:rtl/>
        </w:rPr>
        <w:t xml:space="preserve">2. </w:t>
      </w:r>
      <w:r w:rsidRPr="00F55B67">
        <w:rPr>
          <w:rFonts w:hint="cs"/>
          <w:b/>
          <w:bCs/>
          <w:sz w:val="20"/>
          <w:szCs w:val="20"/>
          <w:rtl/>
        </w:rPr>
        <w:t>רמב"ם ורשב"א</w:t>
      </w:r>
      <w:r>
        <w:rPr>
          <w:rFonts w:hint="cs"/>
          <w:sz w:val="20"/>
          <w:szCs w:val="20"/>
          <w:rtl/>
        </w:rPr>
        <w:t xml:space="preserve">. הבדיקה מועילה לטהרות ולבעלה, וכ"פ </w:t>
      </w:r>
      <w:r w:rsidRPr="00F55B67">
        <w:rPr>
          <w:rFonts w:hint="cs"/>
          <w:b/>
          <w:bCs/>
          <w:sz w:val="20"/>
          <w:szCs w:val="20"/>
          <w:rtl/>
        </w:rPr>
        <w:t>המחבר</w:t>
      </w:r>
      <w:r>
        <w:rPr>
          <w:rFonts w:hint="cs"/>
          <w:sz w:val="20"/>
          <w:szCs w:val="20"/>
          <w:rtl/>
        </w:rPr>
        <w:t xml:space="preserve">. </w:t>
      </w:r>
      <w:r w:rsidRPr="00F55B67">
        <w:rPr>
          <w:rFonts w:hint="cs"/>
          <w:b/>
          <w:bCs/>
          <w:sz w:val="20"/>
          <w:szCs w:val="20"/>
          <w:rtl/>
        </w:rPr>
        <w:t>רמב"ן</w:t>
      </w:r>
      <w:r>
        <w:rPr>
          <w:rFonts w:hint="cs"/>
          <w:sz w:val="20"/>
          <w:szCs w:val="20"/>
          <w:rtl/>
        </w:rPr>
        <w:t>. הבדיקה מועילה רק לטהרות.</w:t>
      </w:r>
      <w:r>
        <w:rPr>
          <w:rFonts w:hint="cs"/>
          <w:sz w:val="20"/>
          <w:szCs w:val="20"/>
          <w:rtl/>
        </w:rPr>
        <w:br/>
        <w:t xml:space="preserve">3. לא העבירה סמנים. </w:t>
      </w:r>
      <w:r w:rsidRPr="00F55B67">
        <w:rPr>
          <w:rFonts w:hint="cs"/>
          <w:b/>
          <w:bCs/>
          <w:sz w:val="20"/>
          <w:szCs w:val="20"/>
          <w:rtl/>
        </w:rPr>
        <w:t>ראב"ד</w:t>
      </w:r>
      <w:r>
        <w:rPr>
          <w:rFonts w:hint="cs"/>
          <w:sz w:val="20"/>
          <w:szCs w:val="20"/>
          <w:rtl/>
        </w:rPr>
        <w:t xml:space="preserve"> בהבנת הרמב"ם. טהורה, והעיקר לא כמותו וטמאה. </w:t>
      </w:r>
      <w:r w:rsidRPr="00F55B67">
        <w:rPr>
          <w:rFonts w:hint="cs"/>
          <w:b/>
          <w:bCs/>
          <w:sz w:val="20"/>
          <w:szCs w:val="20"/>
          <w:rtl/>
        </w:rPr>
        <w:t>מ"מ</w:t>
      </w:r>
      <w:r>
        <w:rPr>
          <w:rFonts w:hint="cs"/>
          <w:sz w:val="20"/>
          <w:szCs w:val="20"/>
          <w:rtl/>
        </w:rPr>
        <w:t>. גם לרמב"ם טמאה.</w:t>
      </w:r>
      <w:r>
        <w:rPr>
          <w:rFonts w:hint="cs"/>
          <w:sz w:val="20"/>
          <w:szCs w:val="20"/>
          <w:rtl/>
        </w:rPr>
        <w:br/>
        <w:t xml:space="preserve">4. </w:t>
      </w:r>
      <w:r w:rsidRPr="00F55B67">
        <w:rPr>
          <w:rFonts w:hint="cs"/>
          <w:b/>
          <w:bCs/>
          <w:sz w:val="20"/>
          <w:szCs w:val="20"/>
          <w:rtl/>
        </w:rPr>
        <w:t>בית יוסף</w:t>
      </w:r>
      <w:r>
        <w:rPr>
          <w:rFonts w:hint="cs"/>
          <w:sz w:val="20"/>
          <w:szCs w:val="20"/>
          <w:rtl/>
        </w:rPr>
        <w:t xml:space="preserve">. אין לסמוך על בדיקה זו כיום, משום שחלק מהסמנים לא התבררו לנו מה הם, וכ"פ </w:t>
      </w:r>
      <w:r w:rsidRPr="00EE5A59">
        <w:rPr>
          <w:rFonts w:hint="cs"/>
          <w:b/>
          <w:bCs/>
          <w:sz w:val="20"/>
          <w:szCs w:val="20"/>
          <w:rtl/>
        </w:rPr>
        <w:t>בשו"ע</w:t>
      </w:r>
      <w:r>
        <w:rPr>
          <w:rFonts w:hint="cs"/>
          <w:sz w:val="20"/>
          <w:szCs w:val="20"/>
          <w:rtl/>
        </w:rPr>
        <w:t>.</w:t>
      </w:r>
    </w:p>
    <w:p w:rsidR="00620060" w:rsidRDefault="00620060" w:rsidP="00620060">
      <w:pPr>
        <w:rPr>
          <w:sz w:val="20"/>
          <w:szCs w:val="20"/>
          <w:rtl/>
        </w:rPr>
      </w:pPr>
      <w:r>
        <w:rPr>
          <w:sz w:val="20"/>
          <w:szCs w:val="20"/>
          <w:rtl/>
        </w:rPr>
        <w:br/>
      </w:r>
      <w:r>
        <w:rPr>
          <w:rFonts w:hint="cs"/>
          <w:b/>
          <w:bCs/>
          <w:sz w:val="20"/>
          <w:szCs w:val="20"/>
          <w:rtl/>
        </w:rPr>
        <w:t xml:space="preserve">סעיף לב </w:t>
      </w:r>
      <w:r>
        <w:rPr>
          <w:b/>
          <w:bCs/>
          <w:sz w:val="20"/>
          <w:szCs w:val="20"/>
          <w:rtl/>
        </w:rPr>
        <w:t>–</w:t>
      </w:r>
      <w:r>
        <w:rPr>
          <w:rFonts w:hint="cs"/>
          <w:b/>
          <w:bCs/>
          <w:sz w:val="20"/>
          <w:szCs w:val="20"/>
          <w:rtl/>
        </w:rPr>
        <w:t xml:space="preserve"> נמצא דם על עסק מלאכתה</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גמרא </w:t>
      </w:r>
      <w:r>
        <w:rPr>
          <w:rFonts w:hint="cs"/>
          <w:sz w:val="20"/>
          <w:szCs w:val="20"/>
          <w:rtl/>
        </w:rPr>
        <w:t>נדה (נח.) "</w:t>
      </w:r>
      <w:r w:rsidRPr="00EE5A59">
        <w:rPr>
          <w:rFonts w:cs="Arial"/>
          <w:sz w:val="20"/>
          <w:szCs w:val="20"/>
          <w:rtl/>
        </w:rPr>
        <w:t xml:space="preserve">ההיא איתתא דאשתכח לה דמא במשתיתא, אתאי לקמיה </w:t>
      </w:r>
      <w:r>
        <w:rPr>
          <w:rFonts w:cs="Arial"/>
          <w:sz w:val="20"/>
          <w:szCs w:val="20"/>
          <w:rtl/>
        </w:rPr>
        <w:t>דרבי ינאי, אמר לה: תיזיל ותיתי</w:t>
      </w:r>
      <w:r>
        <w:rPr>
          <w:rFonts w:cs="Arial" w:hint="cs"/>
          <w:sz w:val="20"/>
          <w:szCs w:val="20"/>
          <w:rtl/>
        </w:rPr>
        <w:t>"</w:t>
      </w:r>
      <w:r>
        <w:rPr>
          <w:rStyle w:val="a5"/>
          <w:rFonts w:cs="Arial"/>
          <w:sz w:val="20"/>
          <w:szCs w:val="20"/>
          <w:rtl/>
        </w:rPr>
        <w:footnoteReference w:id="313"/>
      </w:r>
      <w:r>
        <w:rPr>
          <w:rFonts w:cs="Arial" w:hint="cs"/>
          <w:sz w:val="20"/>
          <w:szCs w:val="20"/>
          <w:rtl/>
        </w:rPr>
        <w:t>.</w:t>
      </w:r>
      <w:r>
        <w:rPr>
          <w:rFonts w:hint="cs"/>
          <w:sz w:val="20"/>
          <w:szCs w:val="20"/>
          <w:rtl/>
        </w:rPr>
        <w:br/>
      </w:r>
      <w:r>
        <w:rPr>
          <w:sz w:val="20"/>
          <w:szCs w:val="20"/>
          <w:u w:val="single"/>
          <w:rtl/>
        </w:rPr>
        <w:br/>
      </w:r>
      <w:r w:rsidRPr="00A1538D">
        <w:rPr>
          <w:rFonts w:hint="cs"/>
          <w:sz w:val="20"/>
          <w:szCs w:val="20"/>
          <w:u w:val="single"/>
          <w:rtl/>
        </w:rPr>
        <w:t>הסבר</w:t>
      </w:r>
      <w:r>
        <w:rPr>
          <w:rFonts w:hint="cs"/>
          <w:sz w:val="20"/>
          <w:szCs w:val="20"/>
          <w:rtl/>
        </w:rPr>
        <w:t xml:space="preserve"> </w:t>
      </w:r>
      <w:r>
        <w:rPr>
          <w:sz w:val="20"/>
          <w:szCs w:val="20"/>
          <w:rtl/>
        </w:rPr>
        <w:br/>
      </w:r>
      <w:r>
        <w:rPr>
          <w:rFonts w:hint="cs"/>
          <w:sz w:val="20"/>
          <w:szCs w:val="20"/>
          <w:rtl/>
        </w:rPr>
        <w:t xml:space="preserve">המקרה - אשה עסקה בטוויה ונמצא דם על החוטים, אך אין ידוע האם הדם הגיע ממנה או ממקום אחר. </w:t>
      </w:r>
      <w:r>
        <w:rPr>
          <w:sz w:val="20"/>
          <w:szCs w:val="20"/>
          <w:rtl/>
        </w:rPr>
        <w:br/>
      </w:r>
      <w:r>
        <w:rPr>
          <w:rFonts w:hint="cs"/>
          <w:sz w:val="20"/>
          <w:szCs w:val="20"/>
          <w:rtl/>
        </w:rPr>
        <w:t>הדין - רבי ינאי הורה לה לחזור על פעולת הטוויה, ואם יתברר שהחוטים באים כנגד אותו מקום, טמאה.</w:t>
      </w:r>
      <w:r>
        <w:rPr>
          <w:sz w:val="20"/>
          <w:szCs w:val="20"/>
          <w:rtl/>
        </w:rPr>
        <w:br/>
      </w:r>
      <w:r>
        <w:rPr>
          <w:rFonts w:hint="cs"/>
          <w:sz w:val="20"/>
          <w:szCs w:val="20"/>
          <w:rtl/>
        </w:rPr>
        <w:t>טעם - יש יסוד סביר להניח שמקור הדם ממנה.</w:t>
      </w:r>
    </w:p>
    <w:p w:rsidR="00620060" w:rsidRDefault="00620060" w:rsidP="00620060">
      <w:pPr>
        <w:rPr>
          <w:sz w:val="20"/>
          <w:szCs w:val="20"/>
          <w:rtl/>
        </w:rPr>
      </w:pPr>
      <w:r>
        <w:rPr>
          <w:rFonts w:hint="cs"/>
          <w:b/>
          <w:bCs/>
          <w:sz w:val="20"/>
          <w:szCs w:val="20"/>
          <w:rtl/>
        </w:rPr>
        <w:t>הערות בסוגייה</w:t>
      </w:r>
      <w:r>
        <w:rPr>
          <w:b/>
          <w:bCs/>
          <w:sz w:val="20"/>
          <w:szCs w:val="20"/>
          <w:rtl/>
        </w:rPr>
        <w:br/>
      </w:r>
      <w:r>
        <w:rPr>
          <w:rFonts w:hint="cs"/>
          <w:sz w:val="20"/>
          <w:szCs w:val="20"/>
          <w:rtl/>
        </w:rPr>
        <w:t xml:space="preserve">א. </w:t>
      </w:r>
      <w:r w:rsidRPr="00A1538D">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מדובר שהחוטים היו בדוקים לה לפני כן שאין בהם לכלוך.</w:t>
      </w:r>
      <w:r>
        <w:rPr>
          <w:sz w:val="20"/>
          <w:szCs w:val="20"/>
          <w:rtl/>
        </w:rPr>
        <w:br/>
      </w:r>
      <w:r>
        <w:rPr>
          <w:rFonts w:hint="cs"/>
          <w:sz w:val="20"/>
          <w:szCs w:val="20"/>
          <w:rtl/>
        </w:rPr>
        <w:t xml:space="preserve">ב. </w:t>
      </w:r>
      <w:r w:rsidRPr="00A1538D">
        <w:rPr>
          <w:rFonts w:hint="cs"/>
          <w:b/>
          <w:bCs/>
          <w:sz w:val="20"/>
          <w:szCs w:val="20"/>
          <w:rtl/>
        </w:rPr>
        <w:t>דרכי משה</w:t>
      </w:r>
      <w:r>
        <w:rPr>
          <w:rFonts w:hint="cs"/>
          <w:sz w:val="20"/>
          <w:szCs w:val="20"/>
          <w:rtl/>
        </w:rPr>
        <w:t xml:space="preserve"> </w:t>
      </w:r>
      <w:r>
        <w:rPr>
          <w:sz w:val="20"/>
          <w:szCs w:val="20"/>
          <w:rtl/>
        </w:rPr>
        <w:t>–</w:t>
      </w:r>
      <w:r>
        <w:rPr>
          <w:rFonts w:hint="cs"/>
          <w:sz w:val="20"/>
          <w:szCs w:val="20"/>
          <w:rtl/>
        </w:rPr>
        <w:t xml:space="preserve"> מדובר שהדם נמצא על דבר המקבל טומאה.</w:t>
      </w:r>
      <w:r>
        <w:rPr>
          <w:sz w:val="20"/>
          <w:szCs w:val="20"/>
          <w:rtl/>
        </w:rPr>
        <w:br/>
      </w:r>
      <w:r>
        <w:rPr>
          <w:rFonts w:hint="cs"/>
          <w:sz w:val="20"/>
          <w:szCs w:val="20"/>
          <w:rtl/>
        </w:rPr>
        <w:t xml:space="preserve">מבאר </w:t>
      </w:r>
      <w:r w:rsidRPr="00496911">
        <w:rPr>
          <w:rFonts w:hint="cs"/>
          <w:b/>
          <w:bCs/>
          <w:sz w:val="20"/>
          <w:szCs w:val="20"/>
          <w:rtl/>
        </w:rPr>
        <w:t>הש"ך</w:t>
      </w:r>
      <w:r>
        <w:rPr>
          <w:rFonts w:hint="cs"/>
          <w:sz w:val="20"/>
          <w:szCs w:val="20"/>
          <w:rtl/>
        </w:rPr>
        <w:t xml:space="preserve"> </w:t>
      </w:r>
      <w:r>
        <w:rPr>
          <w:sz w:val="20"/>
          <w:szCs w:val="20"/>
          <w:rtl/>
        </w:rPr>
        <w:t>–</w:t>
      </w:r>
      <w:r>
        <w:rPr>
          <w:rFonts w:hint="cs"/>
          <w:sz w:val="20"/>
          <w:szCs w:val="20"/>
          <w:rtl/>
        </w:rPr>
        <w:t xml:space="preserve"> אע"פ שכאן מדובר שמצאה </w:t>
      </w:r>
      <w:r w:rsidRPr="00496911">
        <w:rPr>
          <w:rFonts w:hint="cs"/>
          <w:sz w:val="20"/>
          <w:szCs w:val="20"/>
          <w:u w:val="single"/>
          <w:rtl/>
        </w:rPr>
        <w:t>דם</w:t>
      </w:r>
      <w:r>
        <w:rPr>
          <w:rFonts w:hint="cs"/>
          <w:sz w:val="20"/>
          <w:szCs w:val="20"/>
          <w:rtl/>
        </w:rPr>
        <w:t xml:space="preserve"> ממש ולא </w:t>
      </w:r>
      <w:r w:rsidRPr="00496911">
        <w:rPr>
          <w:rFonts w:hint="cs"/>
          <w:sz w:val="20"/>
          <w:szCs w:val="20"/>
          <w:u w:val="single"/>
          <w:rtl/>
        </w:rPr>
        <w:t>כתם</w:t>
      </w:r>
      <w:r>
        <w:rPr>
          <w:rFonts w:hint="cs"/>
          <w:sz w:val="20"/>
          <w:szCs w:val="20"/>
          <w:rtl/>
        </w:rPr>
        <w:t>, מכל מקום דינו כדין כתם שאם נמצא על דבר שאינו מק"ט, טהורה. טעם הדין הוא, משום שראתה את הדם ללא הרגשה ולכן מדאורייתא טהורה.</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EE5A59">
        <w:rPr>
          <w:rFonts w:cs="Arial"/>
          <w:sz w:val="20"/>
          <w:szCs w:val="20"/>
          <w:rtl/>
        </w:rPr>
        <w:t>האשה שהיתה עוסקת במלאכתה, ונמצא דם במקום שעבר</w:t>
      </w:r>
      <w:r>
        <w:rPr>
          <w:rFonts w:cs="Arial"/>
          <w:sz w:val="20"/>
          <w:szCs w:val="20"/>
          <w:rtl/>
        </w:rPr>
        <w:t xml:space="preserve">ה על דבר שהיה בדוק לה מתחילה  </w:t>
      </w:r>
      <w:r w:rsidRPr="00EE5A59">
        <w:rPr>
          <w:rFonts w:cs="Arial"/>
          <w:sz w:val="18"/>
          <w:szCs w:val="18"/>
          <w:rtl/>
        </w:rPr>
        <w:t>(והוא מקבל טומאה</w:t>
      </w:r>
      <w:r w:rsidRPr="00EE5A59">
        <w:rPr>
          <w:rFonts w:cs="Arial" w:hint="cs"/>
          <w:sz w:val="18"/>
          <w:szCs w:val="18"/>
          <w:rtl/>
        </w:rPr>
        <w:t>)</w:t>
      </w:r>
      <w:r w:rsidRPr="00EE5A59">
        <w:rPr>
          <w:rFonts w:cs="Arial"/>
          <w:sz w:val="18"/>
          <w:szCs w:val="18"/>
          <w:rtl/>
        </w:rPr>
        <w:t xml:space="preserve"> </w:t>
      </w:r>
      <w:r w:rsidRPr="00EE5A59">
        <w:rPr>
          <w:rFonts w:cs="Arial"/>
          <w:sz w:val="20"/>
          <w:szCs w:val="20"/>
          <w:rtl/>
        </w:rPr>
        <w:t>תחזור להתעסק כמו שעשתה, אם יזדמן שתעבור על המקום שנמ</w:t>
      </w:r>
      <w:r>
        <w:rPr>
          <w:rFonts w:cs="Arial"/>
          <w:sz w:val="20"/>
          <w:szCs w:val="20"/>
          <w:rtl/>
        </w:rPr>
        <w:t>צא בו הדם, טמאה. ואם לאו, טהורה</w:t>
      </w:r>
      <w:r>
        <w:rPr>
          <w:rFonts w:cs="Arial" w:hint="cs"/>
          <w:sz w:val="20"/>
          <w:szCs w:val="20"/>
          <w:rtl/>
        </w:rPr>
        <w:t>".</w:t>
      </w:r>
      <w:r>
        <w:rPr>
          <w:rFonts w:hint="cs"/>
          <w:sz w:val="20"/>
          <w:szCs w:val="20"/>
          <w:rtl/>
        </w:rPr>
        <w:t xml:space="preserve"> </w:t>
      </w:r>
    </w:p>
    <w:p w:rsidR="00620060" w:rsidRDefault="00620060" w:rsidP="00620060">
      <w:pPr>
        <w:rPr>
          <w:sz w:val="20"/>
          <w:szCs w:val="20"/>
          <w:rtl/>
        </w:rPr>
      </w:pPr>
      <w:r>
        <w:rPr>
          <w:sz w:val="20"/>
          <w:szCs w:val="20"/>
          <w:rtl/>
        </w:rPr>
        <w:br/>
      </w:r>
      <w:r>
        <w:rPr>
          <w:rFonts w:hint="cs"/>
          <w:b/>
          <w:bCs/>
          <w:sz w:val="20"/>
          <w:szCs w:val="20"/>
          <w:rtl/>
        </w:rPr>
        <w:t xml:space="preserve">סעיף לג </w:t>
      </w:r>
      <w:r>
        <w:rPr>
          <w:b/>
          <w:bCs/>
          <w:sz w:val="20"/>
          <w:szCs w:val="20"/>
          <w:rtl/>
        </w:rPr>
        <w:t>–</w:t>
      </w:r>
      <w:r>
        <w:rPr>
          <w:rFonts w:hint="cs"/>
          <w:b/>
          <w:bCs/>
          <w:sz w:val="20"/>
          <w:szCs w:val="20"/>
          <w:rtl/>
        </w:rPr>
        <w:t xml:space="preserve"> מצאה דם על עד הבדוק לה</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משנה </w:t>
      </w:r>
      <w:r>
        <w:rPr>
          <w:rFonts w:hint="cs"/>
          <w:sz w:val="20"/>
          <w:szCs w:val="20"/>
          <w:rtl/>
        </w:rPr>
        <w:t>נדה (יד.) "</w:t>
      </w:r>
      <w:r w:rsidRPr="00EF7C85">
        <w:rPr>
          <w:rFonts w:cs="Arial"/>
          <w:sz w:val="20"/>
          <w:szCs w:val="20"/>
          <w:rtl/>
        </w:rPr>
        <w:t>נמצא על שלו - טמאין וחייבין קרבן. נמצא על שלה, אותיום - טמאין וחייבין בקרבן, נמצא על שלה לאחר זמן</w:t>
      </w:r>
      <w:r>
        <w:rPr>
          <w:rFonts w:cs="Arial"/>
          <w:sz w:val="20"/>
          <w:szCs w:val="20"/>
          <w:rtl/>
        </w:rPr>
        <w:t xml:space="preserve"> - טמאין מספק, ופטורין מן הקרבן</w:t>
      </w:r>
      <w:r>
        <w:rPr>
          <w:rFonts w:cs="Arial" w:hint="cs"/>
          <w:sz w:val="20"/>
          <w:szCs w:val="20"/>
          <w:rtl/>
        </w:rPr>
        <w:t>".</w:t>
      </w:r>
      <w:r>
        <w:rPr>
          <w:rFonts w:cs="Arial"/>
          <w:sz w:val="20"/>
          <w:szCs w:val="20"/>
          <w:rtl/>
        </w:rPr>
        <w:br/>
      </w:r>
      <w:r>
        <w:rPr>
          <w:rFonts w:cs="Arial" w:hint="cs"/>
          <w:b/>
          <w:bCs/>
          <w:sz w:val="20"/>
          <w:szCs w:val="20"/>
          <w:rtl/>
        </w:rPr>
        <w:t xml:space="preserve">גמרא </w:t>
      </w:r>
      <w:r>
        <w:rPr>
          <w:rFonts w:cs="Arial" w:hint="cs"/>
          <w:sz w:val="20"/>
          <w:szCs w:val="20"/>
          <w:rtl/>
        </w:rPr>
        <w:t>(שם) "</w:t>
      </w:r>
      <w:r w:rsidRPr="00EF7C85">
        <w:rPr>
          <w:rFonts w:cs="Arial"/>
          <w:sz w:val="20"/>
          <w:szCs w:val="20"/>
          <w:rtl/>
        </w:rPr>
        <w:t>וניחוש דלמא דם מאכולת הוא! אמר רבי זירא: אותו מקום בדוק הוא אצל מאכולת</w:t>
      </w:r>
      <w:r>
        <w:rPr>
          <w:rFonts w:cs="Arial" w:hint="cs"/>
          <w:sz w:val="18"/>
          <w:szCs w:val="18"/>
          <w:rtl/>
        </w:rPr>
        <w:t xml:space="preserve"> (רש"י - </w:t>
      </w:r>
      <w:r w:rsidRPr="00EF7C85">
        <w:rPr>
          <w:rFonts w:cs="Arial"/>
          <w:sz w:val="18"/>
          <w:szCs w:val="18"/>
          <w:rtl/>
        </w:rPr>
        <w:t>דודאי אין שם מאכולת ודם ודאי מגופה אתיא</w:t>
      </w:r>
      <w:r>
        <w:rPr>
          <w:rFonts w:hint="cs"/>
          <w:sz w:val="18"/>
          <w:szCs w:val="18"/>
          <w:rtl/>
        </w:rPr>
        <w:t>)</w:t>
      </w:r>
      <w:r w:rsidRPr="00EF7C85">
        <w:rPr>
          <w:rFonts w:cs="Arial"/>
          <w:sz w:val="20"/>
          <w:szCs w:val="20"/>
          <w:rtl/>
        </w:rPr>
        <w:t>, ואיכא דאמרי: דחוק הוא אצל מאכולת</w:t>
      </w:r>
      <w:r>
        <w:rPr>
          <w:rFonts w:cs="Arial" w:hint="cs"/>
          <w:sz w:val="18"/>
          <w:szCs w:val="18"/>
          <w:rtl/>
        </w:rPr>
        <w:t xml:space="preserve"> (רש"י - </w:t>
      </w:r>
      <w:r w:rsidRPr="00EF7C85">
        <w:rPr>
          <w:rFonts w:cs="Arial"/>
          <w:sz w:val="18"/>
          <w:szCs w:val="18"/>
          <w:rtl/>
        </w:rPr>
        <w:t>שאין מאכולת יכולה ליכנס שם</w:t>
      </w:r>
      <w:r>
        <w:rPr>
          <w:rFonts w:hint="cs"/>
          <w:sz w:val="18"/>
          <w:szCs w:val="18"/>
          <w:rtl/>
        </w:rPr>
        <w:t>)</w:t>
      </w:r>
      <w:r w:rsidRPr="00EF7C85">
        <w:rPr>
          <w:rFonts w:cs="Arial"/>
          <w:sz w:val="20"/>
          <w:szCs w:val="20"/>
          <w:rtl/>
        </w:rPr>
        <w:t xml:space="preserve"> מאי בינייהו? איכא בינייהו - דאשתכח מאכולת רצופה, להך לישנא דאמר בדוק הוא - הא מעלמא אתאי, להך לישנא דאמר דחוק הוא - אימא שמש רצפה</w:t>
      </w:r>
      <w:r>
        <w:rPr>
          <w:rFonts w:cs="Arial" w:hint="cs"/>
          <w:sz w:val="20"/>
          <w:szCs w:val="20"/>
          <w:rtl/>
        </w:rPr>
        <w:t>"</w:t>
      </w:r>
      <w:r w:rsidRPr="00EF7C85">
        <w:rPr>
          <w:rFonts w:cs="Arial"/>
          <w:sz w:val="20"/>
          <w:szCs w:val="20"/>
          <w:rtl/>
        </w:rPr>
        <w:t>.</w:t>
      </w:r>
      <w:r>
        <w:rPr>
          <w:sz w:val="18"/>
          <w:szCs w:val="18"/>
          <w:rtl/>
        </w:rPr>
        <w:br/>
      </w:r>
      <w:r>
        <w:rPr>
          <w:sz w:val="20"/>
          <w:szCs w:val="20"/>
          <w:rtl/>
        </w:rPr>
        <w:br/>
      </w:r>
      <w:r w:rsidRPr="0095161B">
        <w:rPr>
          <w:rFonts w:hint="cs"/>
          <w:sz w:val="20"/>
          <w:szCs w:val="20"/>
          <w:u w:val="single"/>
          <w:rtl/>
        </w:rPr>
        <w:t>הסבר</w:t>
      </w:r>
      <w:r w:rsidRPr="00EF7C85">
        <w:rPr>
          <w:rFonts w:hint="cs"/>
          <w:sz w:val="20"/>
          <w:szCs w:val="20"/>
          <w:rtl/>
        </w:rPr>
        <w:t xml:space="preserve">  </w:t>
      </w:r>
      <w:r>
        <w:rPr>
          <w:sz w:val="20"/>
          <w:szCs w:val="20"/>
          <w:rtl/>
        </w:rPr>
        <w:br/>
      </w:r>
      <w:r w:rsidRPr="00EF7C85">
        <w:rPr>
          <w:rFonts w:hint="cs"/>
          <w:sz w:val="20"/>
          <w:szCs w:val="20"/>
          <w:rtl/>
        </w:rPr>
        <w:lastRenderedPageBreak/>
        <w:t>נפק"מ בין מ"ד 'בדוק' למ"ד 'דחוק' הוא במקרה שנמצאת מאכולת מעוכה על העד.</w:t>
      </w:r>
      <w:r>
        <w:rPr>
          <w:sz w:val="20"/>
          <w:szCs w:val="20"/>
          <w:rtl/>
        </w:rPr>
        <w:br/>
      </w:r>
      <w:r w:rsidRPr="0095161B">
        <w:rPr>
          <w:rFonts w:hint="cs"/>
          <w:sz w:val="20"/>
          <w:szCs w:val="20"/>
          <w:u w:val="single"/>
          <w:rtl/>
        </w:rPr>
        <w:t>מ"ד בדוק</w:t>
      </w:r>
      <w:r>
        <w:rPr>
          <w:rFonts w:hint="cs"/>
          <w:sz w:val="20"/>
          <w:szCs w:val="20"/>
          <w:rtl/>
        </w:rPr>
        <w:t xml:space="preserve"> </w:t>
      </w:r>
      <w:r>
        <w:rPr>
          <w:sz w:val="20"/>
          <w:szCs w:val="20"/>
          <w:rtl/>
        </w:rPr>
        <w:t>–</w:t>
      </w:r>
      <w:r>
        <w:rPr>
          <w:rFonts w:hint="cs"/>
          <w:sz w:val="20"/>
          <w:szCs w:val="20"/>
          <w:rtl/>
        </w:rPr>
        <w:t xml:space="preserve"> קים להו לרבנן שבאותו מקום אין מאכולת, ולכן ברור שהדם הגיע מגופה ואילו המאכולת הגיעה לאחר מכן וטמאה בוודאי.</w:t>
      </w:r>
      <w:r>
        <w:rPr>
          <w:sz w:val="20"/>
          <w:szCs w:val="20"/>
          <w:rtl/>
        </w:rPr>
        <w:br/>
      </w:r>
      <w:r w:rsidRPr="0095161B">
        <w:rPr>
          <w:rFonts w:hint="cs"/>
          <w:sz w:val="20"/>
          <w:szCs w:val="20"/>
          <w:u w:val="single"/>
          <w:rtl/>
        </w:rPr>
        <w:t>מ"ד דחוק</w:t>
      </w:r>
      <w:r>
        <w:rPr>
          <w:rFonts w:hint="cs"/>
          <w:sz w:val="20"/>
          <w:szCs w:val="20"/>
          <w:rtl/>
        </w:rPr>
        <w:t xml:space="preserve"> </w:t>
      </w:r>
      <w:r>
        <w:rPr>
          <w:sz w:val="20"/>
          <w:szCs w:val="20"/>
          <w:rtl/>
        </w:rPr>
        <w:t>–</w:t>
      </w:r>
      <w:r>
        <w:rPr>
          <w:rFonts w:hint="cs"/>
          <w:sz w:val="20"/>
          <w:szCs w:val="20"/>
          <w:rtl/>
        </w:rPr>
        <w:t xml:space="preserve"> בדרך כלל כינה אינה נכנסת לאותו מקום, אך ייתכן שתיכנס שם. ולכן, כאשר נמצא דם על העד ומאכולת מעוכה עליו, ייתכן שאבר התשמיש של הבעל מעך את הכינה בשעת התשמיש ולכן טמאים מספק.</w:t>
      </w:r>
    </w:p>
    <w:p w:rsidR="00620060" w:rsidRDefault="00620060" w:rsidP="00620060">
      <w:pPr>
        <w:rPr>
          <w:sz w:val="20"/>
          <w:szCs w:val="20"/>
          <w:rtl/>
        </w:rPr>
      </w:pPr>
      <w:r>
        <w:rPr>
          <w:rFonts w:hint="cs"/>
          <w:b/>
          <w:bCs/>
          <w:sz w:val="20"/>
          <w:szCs w:val="20"/>
          <w:rtl/>
        </w:rPr>
        <w:t>שיטות הראשונים</w:t>
      </w:r>
      <w:r w:rsidRPr="004877DE">
        <w:rPr>
          <w:rStyle w:val="a5"/>
          <w:sz w:val="20"/>
          <w:szCs w:val="20"/>
          <w:rtl/>
        </w:rPr>
        <w:footnoteReference w:id="314"/>
      </w:r>
      <w:r>
        <w:rPr>
          <w:b/>
          <w:bCs/>
          <w:sz w:val="20"/>
          <w:szCs w:val="20"/>
          <w:rtl/>
        </w:rPr>
        <w:br/>
      </w:r>
      <w:r>
        <w:rPr>
          <w:rFonts w:hint="cs"/>
          <w:sz w:val="20"/>
          <w:szCs w:val="20"/>
          <w:rtl/>
        </w:rPr>
        <w:t xml:space="preserve">א. </w:t>
      </w:r>
      <w:r w:rsidRPr="00F6188D">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הלכה כמ"ד 'בדוק', ולכן אפילו אם נמצאת מאכולת על העד, טמאה.</w:t>
      </w:r>
      <w:r>
        <w:rPr>
          <w:sz w:val="20"/>
          <w:szCs w:val="20"/>
          <w:rtl/>
        </w:rPr>
        <w:br/>
      </w:r>
      <w:r>
        <w:rPr>
          <w:rFonts w:hint="cs"/>
          <w:sz w:val="20"/>
          <w:szCs w:val="20"/>
          <w:rtl/>
        </w:rPr>
        <w:t xml:space="preserve">ב. </w:t>
      </w:r>
      <w:r w:rsidRPr="00F6188D">
        <w:rPr>
          <w:rFonts w:hint="cs"/>
          <w:b/>
          <w:bCs/>
          <w:sz w:val="20"/>
          <w:szCs w:val="20"/>
          <w:rtl/>
        </w:rPr>
        <w:t>רש"י</w:t>
      </w:r>
      <w:r>
        <w:rPr>
          <w:rFonts w:hint="cs"/>
          <w:sz w:val="20"/>
          <w:szCs w:val="20"/>
          <w:rtl/>
        </w:rPr>
        <w:t xml:space="preserve"> </w:t>
      </w:r>
      <w:r>
        <w:rPr>
          <w:sz w:val="20"/>
          <w:szCs w:val="20"/>
          <w:rtl/>
        </w:rPr>
        <w:t>–</w:t>
      </w:r>
      <w:r>
        <w:rPr>
          <w:rFonts w:hint="cs"/>
          <w:sz w:val="20"/>
          <w:szCs w:val="20"/>
          <w:rtl/>
        </w:rPr>
        <w:t xml:space="preserve"> הדיון בגמרא הוא רק לגבי שריפת תרומה, אך לגבי עצם הטומאה פשוט לכו"ע שטמאים מספק. </w:t>
      </w:r>
      <w:r>
        <w:rPr>
          <w:sz w:val="20"/>
          <w:szCs w:val="20"/>
          <w:rtl/>
        </w:rPr>
        <w:br/>
      </w:r>
      <w:r>
        <w:rPr>
          <w:rFonts w:hint="cs"/>
          <w:sz w:val="20"/>
          <w:szCs w:val="20"/>
          <w:rtl/>
        </w:rPr>
        <w:t>ולכן אין משמעות עבורנו כמי הלכה, משום שלבעלה בכל אופן טמאה.</w:t>
      </w:r>
    </w:p>
    <w:p w:rsidR="00620060" w:rsidRDefault="00620060" w:rsidP="00620060">
      <w:pPr>
        <w:rPr>
          <w:sz w:val="20"/>
          <w:szCs w:val="20"/>
          <w:rtl/>
        </w:rPr>
      </w:pPr>
      <w:r>
        <w:rPr>
          <w:rFonts w:hint="cs"/>
          <w:b/>
          <w:bCs/>
          <w:sz w:val="20"/>
          <w:szCs w:val="20"/>
          <w:rtl/>
        </w:rPr>
        <w:t>האם יש הבדל בין כתם משוך לכתם עגול</w:t>
      </w:r>
      <w:r>
        <w:rPr>
          <w:b/>
          <w:bCs/>
          <w:sz w:val="20"/>
          <w:szCs w:val="20"/>
          <w:rtl/>
        </w:rPr>
        <w:br/>
      </w:r>
      <w:r>
        <w:rPr>
          <w:rFonts w:hint="cs"/>
          <w:b/>
          <w:bCs/>
          <w:sz w:val="20"/>
          <w:szCs w:val="20"/>
          <w:rtl/>
        </w:rPr>
        <w:t xml:space="preserve">טור </w:t>
      </w:r>
      <w:r>
        <w:rPr>
          <w:sz w:val="20"/>
          <w:szCs w:val="20"/>
          <w:rtl/>
        </w:rPr>
        <w:t>–</w:t>
      </w:r>
      <w:r>
        <w:rPr>
          <w:rFonts w:hint="cs"/>
          <w:sz w:val="20"/>
          <w:szCs w:val="20"/>
          <w:rtl/>
        </w:rPr>
        <w:t xml:space="preserve"> לקמן בסעיפים הבאים יבואר שבאופנים מסוימים יש חילוק בין כתם משוך לכתם עגול, ברם בסעיף שלנו אין חילוק מהי צורת הכתם ומה גודלו, אלא בכל עניין טמאה, וכ"פ </w:t>
      </w:r>
      <w:r w:rsidRPr="005A69C0">
        <w:rPr>
          <w:rFonts w:hint="cs"/>
          <w:b/>
          <w:bCs/>
          <w:sz w:val="20"/>
          <w:szCs w:val="20"/>
          <w:rtl/>
        </w:rPr>
        <w:t>המחבר</w:t>
      </w:r>
      <w:r>
        <w:rPr>
          <w:rFonts w:hint="cs"/>
          <w:sz w:val="20"/>
          <w:szCs w:val="20"/>
          <w:rtl/>
        </w:rPr>
        <w:t>.</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8D5953">
        <w:rPr>
          <w:rFonts w:cs="Arial"/>
          <w:sz w:val="20"/>
          <w:szCs w:val="20"/>
          <w:rtl/>
        </w:rPr>
        <w:t xml:space="preserve">האשה שבדקה עצמה בעד </w:t>
      </w:r>
      <w:r w:rsidRPr="008D5953">
        <w:rPr>
          <w:rFonts w:cs="Arial"/>
          <w:sz w:val="18"/>
          <w:szCs w:val="18"/>
          <w:rtl/>
        </w:rPr>
        <w:t xml:space="preserve">(פירוש סמרטוט מענין וכבגד עדים כל צדקותינו) </w:t>
      </w:r>
      <w:r w:rsidRPr="008D5953">
        <w:rPr>
          <w:rFonts w:cs="Arial"/>
          <w:sz w:val="20"/>
          <w:szCs w:val="20"/>
          <w:rtl/>
        </w:rPr>
        <w:t>הבדוק לה, ונמצא עליו אפילו טיפה כחרדל, בין עגול בין משוך, טמאה. ולא עוד, אלא אפילו נמצא על הכתם מאכולת מעוכה, טמאה</w:t>
      </w:r>
      <w:r>
        <w:rPr>
          <w:rFonts w:cs="Arial" w:hint="cs"/>
          <w:sz w:val="20"/>
          <w:szCs w:val="20"/>
          <w:rtl/>
        </w:rPr>
        <w:t>".</w:t>
      </w:r>
    </w:p>
    <w:p w:rsidR="00620060" w:rsidRDefault="00620060" w:rsidP="00620060">
      <w:pPr>
        <w:rPr>
          <w:sz w:val="20"/>
          <w:szCs w:val="20"/>
          <w:rtl/>
        </w:rPr>
      </w:pPr>
      <w:r>
        <w:rPr>
          <w:rFonts w:hint="cs"/>
          <w:sz w:val="20"/>
          <w:szCs w:val="20"/>
          <w:u w:val="single"/>
          <w:rtl/>
        </w:rPr>
        <w:t>הסבר החילוק בין עד לחלוק</w:t>
      </w:r>
      <w:r>
        <w:rPr>
          <w:sz w:val="20"/>
          <w:szCs w:val="20"/>
          <w:u w:val="single"/>
          <w:rtl/>
        </w:rPr>
        <w:br/>
      </w:r>
      <w:r w:rsidRPr="00691146">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עד חמור מחלוק בכך שכתם בכל גודל מטמא.</w:t>
      </w:r>
      <w:r>
        <w:rPr>
          <w:sz w:val="20"/>
          <w:szCs w:val="20"/>
          <w:rtl/>
        </w:rPr>
        <w:br/>
      </w:r>
      <w:r>
        <w:rPr>
          <w:rFonts w:hint="cs"/>
          <w:sz w:val="20"/>
          <w:szCs w:val="20"/>
          <w:rtl/>
        </w:rPr>
        <w:t>טעם הדין הוא, משום שקים להו לחכמים שאותו מקום בדוק הוא ממאכולת ולכן אין לתלות בה את כתם הדם, אלא ודאי הדם מגופה וטמאה. לעומת זאת, בחלוק יש לתלות כל כתם עד גודל גריס שמא הוא ממאכולת.</w:t>
      </w:r>
    </w:p>
    <w:p w:rsidR="00620060" w:rsidRPr="00405388" w:rsidRDefault="00620060" w:rsidP="00620060">
      <w:pPr>
        <w:rPr>
          <w:sz w:val="20"/>
          <w:szCs w:val="20"/>
          <w:rtl/>
        </w:rPr>
      </w:pPr>
      <w:r>
        <w:rPr>
          <w:rFonts w:hint="cs"/>
          <w:b/>
          <w:bCs/>
          <w:sz w:val="20"/>
          <w:szCs w:val="20"/>
          <w:rtl/>
        </w:rPr>
        <w:t>הניחה את העד בקופסה</w:t>
      </w:r>
      <w:r>
        <w:rPr>
          <w:b/>
          <w:bCs/>
          <w:sz w:val="20"/>
          <w:szCs w:val="20"/>
          <w:rtl/>
        </w:rPr>
        <w:br/>
      </w:r>
      <w:r>
        <w:rPr>
          <w:rFonts w:hint="cs"/>
          <w:sz w:val="20"/>
          <w:szCs w:val="20"/>
          <w:rtl/>
        </w:rPr>
        <w:t>יבואר בסמוך שנחלקו אמוראים בגמרא בדין בדקה עצמה בעד שאינו בדוק והניחתו בקופסה.</w:t>
      </w:r>
      <w:r>
        <w:rPr>
          <w:sz w:val="20"/>
          <w:szCs w:val="20"/>
          <w:rtl/>
        </w:rPr>
        <w:br/>
      </w:r>
      <w:r>
        <w:rPr>
          <w:rFonts w:hint="cs"/>
          <w:sz w:val="20"/>
          <w:szCs w:val="20"/>
          <w:rtl/>
        </w:rPr>
        <w:t>ואמנם, בסעיף כאן אין חילוק בין דין הניחה בקופסה לבין לא הניחה בקופסה, ובכל עניין טמאה.</w:t>
      </w:r>
      <w:r>
        <w:rPr>
          <w:sz w:val="20"/>
          <w:szCs w:val="20"/>
          <w:rtl/>
        </w:rPr>
        <w:br/>
      </w:r>
      <w:r w:rsidRPr="00D12463">
        <w:rPr>
          <w:rFonts w:hint="cs"/>
          <w:sz w:val="18"/>
          <w:szCs w:val="18"/>
          <w:rtl/>
        </w:rPr>
        <w:t>(ואמנם דברי הטור בדין זה אינם ברורים די הצורך, ועיין הערה</w:t>
      </w:r>
      <w:r>
        <w:rPr>
          <w:rStyle w:val="a5"/>
          <w:sz w:val="18"/>
          <w:szCs w:val="18"/>
          <w:rtl/>
        </w:rPr>
        <w:footnoteReference w:id="315"/>
      </w:r>
      <w:r w:rsidRPr="00D12463">
        <w:rPr>
          <w:rFonts w:hint="cs"/>
          <w:sz w:val="18"/>
          <w:szCs w:val="18"/>
          <w:rtl/>
        </w:rPr>
        <w:t>).</w:t>
      </w:r>
    </w:p>
    <w:p w:rsidR="00620060" w:rsidRDefault="00620060" w:rsidP="00620060">
      <w:pPr>
        <w:rPr>
          <w:rFonts w:cs="Arial"/>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D12463">
        <w:rPr>
          <w:rFonts w:cs="Arial"/>
          <w:sz w:val="20"/>
          <w:szCs w:val="20"/>
          <w:rtl/>
        </w:rPr>
        <w:t>וכן הדין כשבדקה בו והניחתו בקופסא ואחר שעה בדקה אותו ומצאה עליו דם כ</w:t>
      </w:r>
      <w:r>
        <w:rPr>
          <w:rFonts w:cs="Arial"/>
          <w:sz w:val="20"/>
          <w:szCs w:val="20"/>
          <w:rtl/>
        </w:rPr>
        <w:t>ל שהוא, בין משוך בין עגול, טמאה</w:t>
      </w:r>
      <w:r>
        <w:rPr>
          <w:rFonts w:cs="Arial" w:hint="cs"/>
          <w:sz w:val="20"/>
          <w:szCs w:val="20"/>
          <w:rtl/>
        </w:rPr>
        <w:t>".</w:t>
      </w:r>
    </w:p>
    <w:p w:rsidR="00620060" w:rsidRDefault="00620060" w:rsidP="00620060">
      <w:pPr>
        <w:rPr>
          <w:rFonts w:cs="Arial"/>
          <w:sz w:val="20"/>
          <w:szCs w:val="20"/>
          <w:rtl/>
        </w:rPr>
      </w:pPr>
      <w:r>
        <w:rPr>
          <w:rFonts w:cs="Arial" w:hint="cs"/>
          <w:sz w:val="20"/>
          <w:szCs w:val="20"/>
          <w:u w:val="single"/>
          <w:rtl/>
        </w:rPr>
        <w:t>ט"ז</w:t>
      </w:r>
      <w:r>
        <w:rPr>
          <w:rFonts w:cs="Arial"/>
          <w:sz w:val="20"/>
          <w:szCs w:val="20"/>
          <w:u w:val="single"/>
          <w:rtl/>
        </w:rPr>
        <w:br/>
      </w:r>
      <w:r>
        <w:rPr>
          <w:rFonts w:cs="Arial" w:hint="cs"/>
          <w:sz w:val="20"/>
          <w:szCs w:val="20"/>
          <w:rtl/>
        </w:rPr>
        <w:t xml:space="preserve">דין זה מקורו </w:t>
      </w:r>
      <w:r w:rsidRPr="00FC5C36">
        <w:rPr>
          <w:rFonts w:cs="Arial" w:hint="cs"/>
          <w:b/>
          <w:bCs/>
          <w:sz w:val="20"/>
          <w:szCs w:val="20"/>
          <w:rtl/>
        </w:rPr>
        <w:t>ברשב"א</w:t>
      </w:r>
      <w:r>
        <w:rPr>
          <w:rFonts w:cs="Arial" w:hint="cs"/>
          <w:sz w:val="20"/>
          <w:szCs w:val="20"/>
          <w:rtl/>
        </w:rPr>
        <w:t>, וכוונתו לומר שדין הניחה בקופסה שונה מדין טחתו בירכה שבסעיף הסמוך.</w:t>
      </w:r>
    </w:p>
    <w:p w:rsidR="00620060" w:rsidRPr="002E1171" w:rsidRDefault="00620060" w:rsidP="00620060">
      <w:pPr>
        <w:rPr>
          <w:rFonts w:cs="Arial"/>
          <w:sz w:val="20"/>
          <w:szCs w:val="20"/>
          <w:rtl/>
        </w:rPr>
      </w:pPr>
      <w:r>
        <w:rPr>
          <w:rFonts w:cs="Arial" w:hint="cs"/>
          <w:sz w:val="20"/>
          <w:szCs w:val="20"/>
          <w:u w:val="single"/>
          <w:rtl/>
        </w:rPr>
        <w:t>בדקה בעד שחלקו בדוק וחלקו אינו בדוק (פת"ש)</w:t>
      </w:r>
      <w:r>
        <w:rPr>
          <w:rFonts w:cs="Arial" w:hint="cs"/>
          <w:sz w:val="20"/>
          <w:szCs w:val="20"/>
          <w:u w:val="single"/>
          <w:rtl/>
        </w:rPr>
        <w:br/>
      </w:r>
      <w:r>
        <w:rPr>
          <w:rFonts w:cs="Arial" w:hint="cs"/>
          <w:b/>
          <w:bCs/>
          <w:sz w:val="20"/>
          <w:szCs w:val="20"/>
          <w:rtl/>
        </w:rPr>
        <w:t xml:space="preserve">הרב דניאל </w:t>
      </w:r>
      <w:r>
        <w:rPr>
          <w:rFonts w:cs="Arial"/>
          <w:sz w:val="20"/>
          <w:szCs w:val="20"/>
          <w:rtl/>
        </w:rPr>
        <w:t>–</w:t>
      </w:r>
      <w:r>
        <w:rPr>
          <w:rFonts w:cs="Arial" w:hint="cs"/>
          <w:sz w:val="20"/>
          <w:szCs w:val="20"/>
          <w:rtl/>
        </w:rPr>
        <w:t xml:space="preserve"> אשה שבדקה עצמה בעד שמקצתו היה בדוק ומקצתו אינו בדוק ומצאה כתם, והקפידה לבדוק עצמה רק בחלק הבדוק, אך כעת מסתפקת שמא החלק שאינו בדוק ניתק מתוך ידה ונכנס גם הוא פנימה בשעת הבדיקה והכתם שמצאה על העד מקורו בחלק שאינו בדוק, אם הכתם פחות מגריס טהורה.</w:t>
      </w:r>
    </w:p>
    <w:p w:rsidR="00620060" w:rsidRDefault="00620060" w:rsidP="00620060">
      <w:pPr>
        <w:rPr>
          <w:sz w:val="20"/>
          <w:szCs w:val="20"/>
          <w:rtl/>
        </w:rPr>
      </w:pPr>
      <w:r w:rsidRPr="00F760F8">
        <w:rPr>
          <w:rFonts w:hint="cs"/>
          <w:b/>
          <w:bCs/>
          <w:sz w:val="20"/>
          <w:szCs w:val="20"/>
          <w:rtl/>
        </w:rPr>
        <w:t>סיכום</w:t>
      </w:r>
      <w:r>
        <w:rPr>
          <w:sz w:val="20"/>
          <w:szCs w:val="20"/>
          <w:rtl/>
        </w:rPr>
        <w:br/>
      </w:r>
      <w:r>
        <w:rPr>
          <w:rFonts w:hint="cs"/>
          <w:sz w:val="20"/>
          <w:szCs w:val="20"/>
          <w:rtl/>
        </w:rPr>
        <w:t xml:space="preserve">1. </w:t>
      </w:r>
      <w:r w:rsidRPr="00F760F8">
        <w:rPr>
          <w:rFonts w:hint="cs"/>
          <w:b/>
          <w:bCs/>
          <w:sz w:val="20"/>
          <w:szCs w:val="20"/>
          <w:rtl/>
        </w:rPr>
        <w:t>משנה</w:t>
      </w:r>
      <w:r>
        <w:rPr>
          <w:rFonts w:hint="cs"/>
          <w:sz w:val="20"/>
          <w:szCs w:val="20"/>
          <w:rtl/>
        </w:rPr>
        <w:t xml:space="preserve">. נמצא דם על העד, טמאים. </w:t>
      </w:r>
      <w:r w:rsidRPr="00F760F8">
        <w:rPr>
          <w:rFonts w:hint="cs"/>
          <w:b/>
          <w:bCs/>
          <w:sz w:val="20"/>
          <w:szCs w:val="20"/>
          <w:rtl/>
        </w:rPr>
        <w:t>גמרא</w:t>
      </w:r>
      <w:r>
        <w:rPr>
          <w:rFonts w:hint="cs"/>
          <w:sz w:val="20"/>
          <w:szCs w:val="20"/>
          <w:rtl/>
        </w:rPr>
        <w:t xml:space="preserve">. וניחוש דלמא דם מאכולת הוא? </w:t>
      </w:r>
      <w:r w:rsidRPr="00F760F8">
        <w:rPr>
          <w:rFonts w:hint="cs"/>
          <w:sz w:val="20"/>
          <w:szCs w:val="20"/>
          <w:u w:val="single"/>
          <w:rtl/>
        </w:rPr>
        <w:t>תשובה</w:t>
      </w:r>
      <w:r>
        <w:rPr>
          <w:rFonts w:hint="cs"/>
          <w:sz w:val="20"/>
          <w:szCs w:val="20"/>
          <w:rtl/>
        </w:rPr>
        <w:t xml:space="preserve">. אותו מקום בדוק או דחוק אצל מאכולת. </w:t>
      </w:r>
      <w:r w:rsidRPr="00F760F8">
        <w:rPr>
          <w:rFonts w:hint="cs"/>
          <w:sz w:val="20"/>
          <w:szCs w:val="20"/>
          <w:u w:val="single"/>
          <w:rtl/>
        </w:rPr>
        <w:t>נפק"מ</w:t>
      </w:r>
      <w:r>
        <w:rPr>
          <w:rFonts w:hint="cs"/>
          <w:sz w:val="20"/>
          <w:szCs w:val="20"/>
          <w:rtl/>
        </w:rPr>
        <w:t>. נמצאת מאכולת מעוכה באותו מקום, למ"ד בדוק טמאה, למ"ד דחוק טהורה.</w:t>
      </w:r>
      <w:r>
        <w:rPr>
          <w:rFonts w:hint="cs"/>
          <w:sz w:val="20"/>
          <w:szCs w:val="20"/>
          <w:rtl/>
        </w:rPr>
        <w:br/>
      </w:r>
      <w:r>
        <w:rPr>
          <w:rFonts w:hint="cs"/>
          <w:sz w:val="20"/>
          <w:szCs w:val="20"/>
          <w:rtl/>
        </w:rPr>
        <w:lastRenderedPageBreak/>
        <w:t xml:space="preserve">2. </w:t>
      </w:r>
      <w:r w:rsidRPr="00F760F8">
        <w:rPr>
          <w:rFonts w:hint="cs"/>
          <w:b/>
          <w:bCs/>
          <w:sz w:val="20"/>
          <w:szCs w:val="20"/>
          <w:rtl/>
        </w:rPr>
        <w:t>רשב"א</w:t>
      </w:r>
      <w:r>
        <w:rPr>
          <w:rFonts w:hint="cs"/>
          <w:sz w:val="20"/>
          <w:szCs w:val="20"/>
          <w:rtl/>
        </w:rPr>
        <w:t xml:space="preserve">. הלכה כמ"ד 'בדוק' ולכן טמאה. </w:t>
      </w:r>
      <w:r w:rsidRPr="004445D4">
        <w:rPr>
          <w:rFonts w:hint="cs"/>
          <w:b/>
          <w:bCs/>
          <w:sz w:val="20"/>
          <w:szCs w:val="20"/>
          <w:rtl/>
        </w:rPr>
        <w:t>רש"י</w:t>
      </w:r>
      <w:r>
        <w:rPr>
          <w:rFonts w:hint="cs"/>
          <w:sz w:val="20"/>
          <w:szCs w:val="20"/>
          <w:rtl/>
        </w:rPr>
        <w:t>. לשני המ"ד טמאה לבעלה, הדיון היה לגבי שרפת תרומה.</w:t>
      </w:r>
      <w:r>
        <w:rPr>
          <w:sz w:val="20"/>
          <w:szCs w:val="20"/>
          <w:rtl/>
        </w:rPr>
        <w:br/>
      </w:r>
      <w:r>
        <w:rPr>
          <w:rFonts w:hint="cs"/>
          <w:sz w:val="20"/>
          <w:szCs w:val="20"/>
          <w:rtl/>
        </w:rPr>
        <w:t xml:space="preserve">3. </w:t>
      </w:r>
      <w:r w:rsidRPr="00F760F8">
        <w:rPr>
          <w:rFonts w:hint="cs"/>
          <w:b/>
          <w:bCs/>
          <w:sz w:val="20"/>
          <w:szCs w:val="20"/>
          <w:rtl/>
        </w:rPr>
        <w:t>טור</w:t>
      </w:r>
      <w:r>
        <w:rPr>
          <w:rFonts w:hint="cs"/>
          <w:sz w:val="20"/>
          <w:szCs w:val="20"/>
          <w:rtl/>
        </w:rPr>
        <w:t xml:space="preserve">. אין חילוק בין כתם משוך לעגול וכן אין חילוק מהו גודל הכתם, בכל עניין טמאה, וכ"פ </w:t>
      </w:r>
      <w:r w:rsidRPr="00F760F8">
        <w:rPr>
          <w:rFonts w:hint="cs"/>
          <w:b/>
          <w:bCs/>
          <w:sz w:val="20"/>
          <w:szCs w:val="20"/>
          <w:rtl/>
        </w:rPr>
        <w:t>המחבר</w:t>
      </w:r>
      <w:r>
        <w:rPr>
          <w:rFonts w:hint="cs"/>
          <w:sz w:val="20"/>
          <w:szCs w:val="20"/>
          <w:rtl/>
        </w:rPr>
        <w:t>.</w:t>
      </w:r>
      <w:r>
        <w:rPr>
          <w:sz w:val="20"/>
          <w:szCs w:val="20"/>
          <w:rtl/>
        </w:rPr>
        <w:br/>
      </w:r>
      <w:r>
        <w:rPr>
          <w:rFonts w:hint="cs"/>
          <w:sz w:val="20"/>
          <w:szCs w:val="20"/>
          <w:rtl/>
        </w:rPr>
        <w:t xml:space="preserve">4. </w:t>
      </w:r>
      <w:r w:rsidRPr="00F760F8">
        <w:rPr>
          <w:rFonts w:hint="cs"/>
          <w:b/>
          <w:bCs/>
          <w:sz w:val="20"/>
          <w:szCs w:val="20"/>
          <w:rtl/>
        </w:rPr>
        <w:t>ט"ז</w:t>
      </w:r>
      <w:r>
        <w:rPr>
          <w:rFonts w:hint="cs"/>
          <w:sz w:val="20"/>
          <w:szCs w:val="20"/>
          <w:rtl/>
        </w:rPr>
        <w:t>. בחלוק מטהרים כתם פחות מגריס, תולים במאכולת, משא"כ בעד משום שאותו מקום בדוק.</w:t>
      </w:r>
      <w:r>
        <w:rPr>
          <w:sz w:val="20"/>
          <w:szCs w:val="20"/>
          <w:rtl/>
        </w:rPr>
        <w:br/>
      </w:r>
      <w:r>
        <w:rPr>
          <w:rFonts w:hint="cs"/>
          <w:sz w:val="20"/>
          <w:szCs w:val="20"/>
          <w:rtl/>
        </w:rPr>
        <w:t>5. אין חילוק בין הניחה את העד בקופסה ומצאה דם כעבור זמן, או שבדקה את העד מייד, בכל אופן טמאה.</w:t>
      </w:r>
      <w:r>
        <w:rPr>
          <w:sz w:val="20"/>
          <w:szCs w:val="20"/>
          <w:rtl/>
        </w:rPr>
        <w:br/>
      </w:r>
      <w:r>
        <w:rPr>
          <w:rFonts w:hint="cs"/>
          <w:sz w:val="20"/>
          <w:szCs w:val="20"/>
          <w:rtl/>
        </w:rPr>
        <w:t xml:space="preserve">6. </w:t>
      </w:r>
      <w:r w:rsidRPr="00F760F8">
        <w:rPr>
          <w:rFonts w:hint="cs"/>
          <w:b/>
          <w:bCs/>
          <w:sz w:val="20"/>
          <w:szCs w:val="20"/>
          <w:rtl/>
        </w:rPr>
        <w:t>מחבר</w:t>
      </w:r>
      <w:r>
        <w:rPr>
          <w:rFonts w:hint="cs"/>
          <w:sz w:val="20"/>
          <w:szCs w:val="20"/>
          <w:rtl/>
        </w:rPr>
        <w:t>. בדקה עצמה בעד הבדוק לה ומצאה עליו דם, טמאה. וכן הדין אם הניחה בקופסה ומצאה דם אח"כ.</w:t>
      </w:r>
    </w:p>
    <w:p w:rsidR="00620060" w:rsidRDefault="00620060" w:rsidP="00620060">
      <w:pPr>
        <w:rPr>
          <w:sz w:val="20"/>
          <w:szCs w:val="20"/>
          <w:rtl/>
        </w:rPr>
      </w:pPr>
      <w:r>
        <w:rPr>
          <w:sz w:val="20"/>
          <w:szCs w:val="20"/>
          <w:rtl/>
        </w:rPr>
        <w:br/>
      </w:r>
      <w:r>
        <w:rPr>
          <w:rFonts w:hint="cs"/>
          <w:b/>
          <w:bCs/>
          <w:sz w:val="20"/>
          <w:szCs w:val="20"/>
          <w:rtl/>
        </w:rPr>
        <w:t xml:space="preserve">סעיף לד </w:t>
      </w:r>
      <w:r>
        <w:rPr>
          <w:b/>
          <w:bCs/>
          <w:sz w:val="20"/>
          <w:szCs w:val="20"/>
          <w:rtl/>
        </w:rPr>
        <w:t>–</w:t>
      </w:r>
      <w:r>
        <w:rPr>
          <w:rFonts w:hint="cs"/>
          <w:b/>
          <w:bCs/>
          <w:sz w:val="20"/>
          <w:szCs w:val="20"/>
          <w:rtl/>
        </w:rPr>
        <w:t xml:space="preserve"> הניחה עד תחת הכר או הכסת</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משנה </w:t>
      </w:r>
      <w:r>
        <w:rPr>
          <w:rFonts w:hint="cs"/>
          <w:sz w:val="20"/>
          <w:szCs w:val="20"/>
          <w:rtl/>
        </w:rPr>
        <w:t>נדה (נח:) "</w:t>
      </w:r>
      <w:r w:rsidRPr="00915C06">
        <w:rPr>
          <w:rFonts w:cs="Arial"/>
          <w:sz w:val="20"/>
          <w:szCs w:val="20"/>
          <w:rtl/>
        </w:rPr>
        <w:t>עד שהוא נתון תחת הכר ונמצא עליו דם, עגול - טהור, משוך - טמא, דברי ר</w:t>
      </w:r>
      <w:r>
        <w:rPr>
          <w:rFonts w:cs="Arial" w:hint="cs"/>
          <w:sz w:val="20"/>
          <w:szCs w:val="20"/>
          <w:rtl/>
        </w:rPr>
        <w:t>בי אליעזר</w:t>
      </w:r>
      <w:r w:rsidRPr="00915C06">
        <w:rPr>
          <w:rFonts w:cs="Arial"/>
          <w:sz w:val="20"/>
          <w:szCs w:val="20"/>
          <w:rtl/>
        </w:rPr>
        <w:t xml:space="preserve"> ברבי צדוק</w:t>
      </w:r>
      <w:r>
        <w:rPr>
          <w:rFonts w:cs="Arial" w:hint="cs"/>
          <w:sz w:val="20"/>
          <w:szCs w:val="20"/>
          <w:rtl/>
        </w:rPr>
        <w:t>"</w:t>
      </w:r>
      <w:r w:rsidRPr="00915C06">
        <w:rPr>
          <w:rFonts w:cs="Arial"/>
          <w:sz w:val="20"/>
          <w:szCs w:val="20"/>
          <w:rtl/>
        </w:rPr>
        <w:t>.</w:t>
      </w:r>
      <w:r>
        <w:rPr>
          <w:rFonts w:cs="Arial"/>
          <w:sz w:val="20"/>
          <w:szCs w:val="20"/>
          <w:rtl/>
        </w:rPr>
        <w:br/>
      </w:r>
      <w:r w:rsidRPr="00915C06">
        <w:rPr>
          <w:rFonts w:cs="Arial" w:hint="cs"/>
          <w:b/>
          <w:bCs/>
          <w:sz w:val="20"/>
          <w:szCs w:val="20"/>
          <w:rtl/>
        </w:rPr>
        <w:t>גמרא</w:t>
      </w:r>
      <w:r>
        <w:rPr>
          <w:rFonts w:cs="Arial" w:hint="cs"/>
          <w:sz w:val="20"/>
          <w:szCs w:val="20"/>
          <w:rtl/>
        </w:rPr>
        <w:t xml:space="preserve"> (שם, נט.) "</w:t>
      </w:r>
      <w:r w:rsidRPr="00915C06">
        <w:rPr>
          <w:rFonts w:cs="Arial"/>
          <w:sz w:val="20"/>
          <w:szCs w:val="20"/>
          <w:rtl/>
        </w:rPr>
        <w:t>אמר רב יהודה אמר שמ</w:t>
      </w:r>
      <w:r>
        <w:rPr>
          <w:rFonts w:cs="Arial"/>
          <w:sz w:val="20"/>
          <w:szCs w:val="20"/>
          <w:rtl/>
        </w:rPr>
        <w:t>ואל: הלכה כרבי אליעזר ברבי צדוק</w:t>
      </w:r>
      <w:r>
        <w:rPr>
          <w:rFonts w:cs="Arial" w:hint="cs"/>
          <w:sz w:val="20"/>
          <w:szCs w:val="20"/>
          <w:rtl/>
        </w:rPr>
        <w:t>".</w:t>
      </w:r>
      <w:r>
        <w:rPr>
          <w:rFonts w:cs="Arial" w:hint="cs"/>
          <w:sz w:val="20"/>
          <w:szCs w:val="20"/>
          <w:rtl/>
        </w:rPr>
        <w:br/>
      </w:r>
      <w:r w:rsidRPr="00915C06">
        <w:rPr>
          <w:rFonts w:cs="Arial" w:hint="cs"/>
          <w:b/>
          <w:bCs/>
          <w:sz w:val="20"/>
          <w:szCs w:val="20"/>
          <w:rtl/>
        </w:rPr>
        <w:t>טעם הדין</w:t>
      </w:r>
      <w:r>
        <w:rPr>
          <w:rFonts w:cs="Arial" w:hint="cs"/>
          <w:sz w:val="20"/>
          <w:szCs w:val="20"/>
          <w:rtl/>
        </w:rPr>
        <w:t xml:space="preserve"> </w:t>
      </w:r>
      <w:r>
        <w:rPr>
          <w:rFonts w:cs="Arial"/>
          <w:sz w:val="20"/>
          <w:szCs w:val="20"/>
          <w:rtl/>
        </w:rPr>
        <w:t>–</w:t>
      </w:r>
      <w:r>
        <w:rPr>
          <w:rFonts w:cs="Arial" w:hint="cs"/>
          <w:sz w:val="20"/>
          <w:szCs w:val="20"/>
          <w:rtl/>
        </w:rPr>
        <w:t xml:space="preserve"> כתם עגול טהור משום שתולים בדם מאכולת. כתם משוך טמא מפני שהוא דם קינוח.</w:t>
      </w:r>
    </w:p>
    <w:p w:rsidR="00620060" w:rsidRPr="00C4139C" w:rsidRDefault="00620060" w:rsidP="00620060">
      <w:pPr>
        <w:rPr>
          <w:sz w:val="20"/>
          <w:szCs w:val="20"/>
        </w:rPr>
      </w:pPr>
      <w:r>
        <w:rPr>
          <w:rFonts w:hint="cs"/>
          <w:b/>
          <w:bCs/>
          <w:sz w:val="20"/>
          <w:szCs w:val="20"/>
          <w:rtl/>
        </w:rPr>
        <w:t>גודל הכתם המטמא</w:t>
      </w:r>
      <w:r>
        <w:rPr>
          <w:b/>
          <w:bCs/>
          <w:sz w:val="20"/>
          <w:szCs w:val="20"/>
          <w:rtl/>
        </w:rPr>
        <w:br/>
      </w:r>
      <w:r w:rsidRPr="00C4139C">
        <w:rPr>
          <w:rFonts w:hint="cs"/>
          <w:b/>
          <w:bCs/>
          <w:sz w:val="20"/>
          <w:szCs w:val="20"/>
          <w:rtl/>
        </w:rPr>
        <w:t>רא"ש</w:t>
      </w:r>
      <w:r>
        <w:rPr>
          <w:rFonts w:hint="cs"/>
          <w:sz w:val="20"/>
          <w:szCs w:val="20"/>
          <w:rtl/>
        </w:rPr>
        <w:t xml:space="preserve"> </w:t>
      </w:r>
      <w:r>
        <w:rPr>
          <w:sz w:val="20"/>
          <w:szCs w:val="20"/>
          <w:rtl/>
        </w:rPr>
        <w:t>–</w:t>
      </w:r>
      <w:r>
        <w:rPr>
          <w:rFonts w:hint="cs"/>
          <w:sz w:val="20"/>
          <w:szCs w:val="20"/>
          <w:rtl/>
        </w:rPr>
        <w:t xml:space="preserve"> כתם עגול טהור עד כגריס כשאר כתמים, כתם משוך טמא בכל שהוא מפני שהוא דם קינוח.</w:t>
      </w:r>
      <w:r>
        <w:rPr>
          <w:sz w:val="20"/>
          <w:szCs w:val="20"/>
          <w:rtl/>
        </w:rPr>
        <w:br/>
      </w:r>
      <w:r>
        <w:rPr>
          <w:rFonts w:hint="cs"/>
          <w:sz w:val="20"/>
          <w:szCs w:val="20"/>
          <w:rtl/>
        </w:rPr>
        <w:t xml:space="preserve">ואמנם, בכתם שאינו נמצא על עד בדיקה, מודה גם רבי אליעזר שאין חילוק בין עגול למשוך, וכ"פ </w:t>
      </w:r>
      <w:r w:rsidRPr="00B81E1A">
        <w:rPr>
          <w:rFonts w:hint="cs"/>
          <w:b/>
          <w:bCs/>
          <w:sz w:val="20"/>
          <w:szCs w:val="20"/>
          <w:rtl/>
        </w:rPr>
        <w:t>הש"ך</w:t>
      </w:r>
      <w:r>
        <w:rPr>
          <w:rFonts w:hint="cs"/>
          <w:sz w:val="20"/>
          <w:szCs w:val="20"/>
          <w:rtl/>
        </w:rPr>
        <w:t>.</w:t>
      </w:r>
    </w:p>
    <w:p w:rsidR="00620060" w:rsidRDefault="00620060" w:rsidP="00620060">
      <w:pPr>
        <w:rPr>
          <w:rFonts w:cs="Arial"/>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7A501F">
        <w:rPr>
          <w:rFonts w:cs="Arial"/>
          <w:sz w:val="20"/>
          <w:szCs w:val="20"/>
          <w:rtl/>
        </w:rPr>
        <w:t>בדקה עצמה בעד הבדוק לה והניחתו תחת הכר או תחת הכסת, ולמחר</w:t>
      </w:r>
      <w:r>
        <w:rPr>
          <w:rStyle w:val="a5"/>
          <w:rFonts w:cs="Arial"/>
          <w:sz w:val="20"/>
          <w:szCs w:val="20"/>
          <w:rtl/>
        </w:rPr>
        <w:footnoteReference w:id="316"/>
      </w:r>
      <w:r w:rsidRPr="007A501F">
        <w:rPr>
          <w:rFonts w:cs="Arial"/>
          <w:sz w:val="20"/>
          <w:szCs w:val="20"/>
          <w:rtl/>
        </w:rPr>
        <w:t xml:space="preserve"> נמצא עליו דם, אם משוך, טמאה, שחזקתו מהקינוח. ואם עגול, ואין בו כגריס ועוד, טהורה, שאין זה אלא דם מאכולת שנהרגה תחת הכר. </w:t>
      </w:r>
      <w:r w:rsidRPr="007A501F">
        <w:rPr>
          <w:rFonts w:cs="Arial"/>
          <w:sz w:val="18"/>
          <w:szCs w:val="18"/>
          <w:rtl/>
        </w:rPr>
        <w:t>הגה: וה</w:t>
      </w:r>
      <w:r w:rsidRPr="007A501F">
        <w:rPr>
          <w:rFonts w:cs="Arial" w:hint="cs"/>
          <w:sz w:val="18"/>
          <w:szCs w:val="18"/>
          <w:rtl/>
        </w:rPr>
        <w:t>וא הדין</w:t>
      </w:r>
      <w:r w:rsidRPr="007A501F">
        <w:rPr>
          <w:rFonts w:cs="Arial"/>
          <w:sz w:val="18"/>
          <w:szCs w:val="18"/>
          <w:rtl/>
        </w:rPr>
        <w:t xml:space="preserve"> אם הוא יותר מכגריס, ויש מקום לתלות בו, כמו שנתבאר לעיל באיזה דבר תלינן כתם</w:t>
      </w:r>
      <w:r w:rsidRPr="007A501F">
        <w:rPr>
          <w:rFonts w:cs="Arial" w:hint="cs"/>
          <w:sz w:val="18"/>
          <w:szCs w:val="18"/>
          <w:rtl/>
        </w:rPr>
        <w:t>".</w:t>
      </w:r>
    </w:p>
    <w:p w:rsidR="00620060" w:rsidRPr="003B409B" w:rsidRDefault="00620060" w:rsidP="00620060">
      <w:pPr>
        <w:rPr>
          <w:rFonts w:cs="Arial"/>
          <w:sz w:val="20"/>
          <w:szCs w:val="20"/>
          <w:rtl/>
        </w:rPr>
      </w:pPr>
      <w:r>
        <w:rPr>
          <w:rFonts w:cs="Arial" w:hint="cs"/>
          <w:sz w:val="20"/>
          <w:szCs w:val="20"/>
          <w:u w:val="single"/>
          <w:rtl/>
        </w:rPr>
        <w:t>כתם קטן מגריס בג' ימים הראשונים של ז' נקיים (פת"ש)</w:t>
      </w:r>
      <w:r>
        <w:rPr>
          <w:rFonts w:cs="Arial" w:hint="cs"/>
          <w:sz w:val="20"/>
          <w:szCs w:val="20"/>
          <w:u w:val="single"/>
          <w:rtl/>
        </w:rPr>
        <w:br/>
      </w:r>
      <w:r>
        <w:rPr>
          <w:rFonts w:cs="Arial" w:hint="cs"/>
          <w:sz w:val="20"/>
          <w:szCs w:val="20"/>
          <w:rtl/>
        </w:rPr>
        <w:t xml:space="preserve">קיי"ל </w:t>
      </w:r>
      <w:r w:rsidRPr="008A022D">
        <w:rPr>
          <w:rFonts w:cs="Arial" w:hint="cs"/>
          <w:sz w:val="18"/>
          <w:szCs w:val="18"/>
          <w:rtl/>
        </w:rPr>
        <w:t xml:space="preserve">(לקמן, קצו, י בהגה) </w:t>
      </w:r>
      <w:r>
        <w:rPr>
          <w:rFonts w:cs="Arial" w:hint="cs"/>
          <w:sz w:val="20"/>
          <w:szCs w:val="20"/>
          <w:rtl/>
        </w:rPr>
        <w:t xml:space="preserve">שבג' ימים הראשונים אין תולים כתם בדבר שהתעסקה בו, אלא אם כן הוא פחות מגריס, ולפי"ז נחלקו כאן האחרונים בביאור דברי </w:t>
      </w:r>
      <w:r w:rsidRPr="008A022D">
        <w:rPr>
          <w:rFonts w:cs="Arial" w:hint="cs"/>
          <w:b/>
          <w:bCs/>
          <w:sz w:val="20"/>
          <w:szCs w:val="20"/>
          <w:rtl/>
        </w:rPr>
        <w:t>הרמ"א</w:t>
      </w:r>
      <w:r>
        <w:rPr>
          <w:rFonts w:cs="Arial" w:hint="cs"/>
          <w:sz w:val="20"/>
          <w:szCs w:val="20"/>
          <w:rtl/>
        </w:rPr>
        <w:t>:</w:t>
      </w:r>
      <w:r>
        <w:rPr>
          <w:rFonts w:cs="Arial"/>
          <w:sz w:val="20"/>
          <w:szCs w:val="20"/>
          <w:rtl/>
        </w:rPr>
        <w:br/>
      </w:r>
      <w:r>
        <w:rPr>
          <w:rFonts w:cs="Arial" w:hint="cs"/>
          <w:sz w:val="20"/>
          <w:szCs w:val="20"/>
          <w:rtl/>
        </w:rPr>
        <w:t xml:space="preserve">א. </w:t>
      </w:r>
      <w:r w:rsidRPr="00777D0F">
        <w:rPr>
          <w:rFonts w:cs="Arial" w:hint="cs"/>
          <w:b/>
          <w:bCs/>
          <w:sz w:val="20"/>
          <w:szCs w:val="20"/>
          <w:rtl/>
        </w:rPr>
        <w:t>דגמ"ר</w:t>
      </w:r>
      <w:r>
        <w:rPr>
          <w:rFonts w:cs="Arial" w:hint="cs"/>
          <w:sz w:val="20"/>
          <w:szCs w:val="20"/>
          <w:rtl/>
        </w:rPr>
        <w:t xml:space="preserve"> </w:t>
      </w:r>
      <w:r>
        <w:rPr>
          <w:rFonts w:cs="Arial"/>
          <w:sz w:val="20"/>
          <w:szCs w:val="20"/>
          <w:rtl/>
        </w:rPr>
        <w:t>–</w:t>
      </w:r>
      <w:r>
        <w:rPr>
          <w:rFonts w:cs="Arial" w:hint="cs"/>
          <w:sz w:val="20"/>
          <w:szCs w:val="20"/>
          <w:rtl/>
        </w:rPr>
        <w:t xml:space="preserve"> כתם פחות מגריס שנמצא על עד בג' ימים הראשונים, אין תולים.</w:t>
      </w:r>
      <w:r>
        <w:rPr>
          <w:rFonts w:cs="Arial"/>
          <w:sz w:val="20"/>
          <w:szCs w:val="20"/>
          <w:rtl/>
        </w:rPr>
        <w:br/>
      </w:r>
      <w:r w:rsidRPr="00777D0F">
        <w:rPr>
          <w:rFonts w:cs="Arial" w:hint="cs"/>
          <w:b/>
          <w:bCs/>
          <w:sz w:val="20"/>
          <w:szCs w:val="20"/>
          <w:rtl/>
        </w:rPr>
        <w:t xml:space="preserve">טעם </w:t>
      </w:r>
      <w:r>
        <w:rPr>
          <w:rFonts w:cs="Arial"/>
          <w:sz w:val="20"/>
          <w:szCs w:val="20"/>
          <w:rtl/>
        </w:rPr>
        <w:t>–</w:t>
      </w:r>
      <w:r>
        <w:rPr>
          <w:rFonts w:cs="Arial" w:hint="cs"/>
          <w:sz w:val="20"/>
          <w:szCs w:val="20"/>
          <w:rtl/>
        </w:rPr>
        <w:t xml:space="preserve"> הקלו בכתם פחות מגריס משום שאם תחמיר גם בו אין לך אשה טהורה לבעלה לפי שאינה יכולה להיזהר מכתם כזה, אך כאן יכולה להיזהר ולשמור היטב את עד הבדיקה.</w:t>
      </w:r>
      <w:r>
        <w:rPr>
          <w:rFonts w:cs="Arial"/>
          <w:sz w:val="20"/>
          <w:szCs w:val="20"/>
          <w:rtl/>
        </w:rPr>
        <w:br/>
      </w:r>
      <w:r>
        <w:rPr>
          <w:rFonts w:cs="Arial" w:hint="cs"/>
          <w:sz w:val="20"/>
          <w:szCs w:val="20"/>
          <w:rtl/>
        </w:rPr>
        <w:t xml:space="preserve">ב. </w:t>
      </w:r>
      <w:r w:rsidRPr="008A022D">
        <w:rPr>
          <w:rFonts w:cs="Arial" w:hint="cs"/>
          <w:b/>
          <w:bCs/>
          <w:sz w:val="20"/>
          <w:szCs w:val="20"/>
          <w:rtl/>
        </w:rPr>
        <w:t>מעיל צדקה</w:t>
      </w:r>
      <w:r>
        <w:rPr>
          <w:rFonts w:cs="Arial" w:hint="cs"/>
          <w:sz w:val="20"/>
          <w:szCs w:val="20"/>
          <w:rtl/>
        </w:rPr>
        <w:t xml:space="preserve"> </w:t>
      </w:r>
      <w:r>
        <w:rPr>
          <w:rFonts w:cs="Arial"/>
          <w:sz w:val="20"/>
          <w:szCs w:val="20"/>
          <w:rtl/>
        </w:rPr>
        <w:t>–</w:t>
      </w:r>
      <w:r>
        <w:rPr>
          <w:rFonts w:cs="Arial" w:hint="cs"/>
          <w:sz w:val="20"/>
          <w:szCs w:val="20"/>
          <w:rtl/>
        </w:rPr>
        <w:t xml:space="preserve"> גם בג' ימים הראשונים תולים, כדין כל כתם פחות מגריס.</w:t>
      </w:r>
    </w:p>
    <w:p w:rsidR="00620060" w:rsidRPr="0045380E" w:rsidRDefault="00620060" w:rsidP="00620060">
      <w:pPr>
        <w:rPr>
          <w:rFonts w:cs="Arial"/>
          <w:sz w:val="20"/>
          <w:szCs w:val="20"/>
          <w:rtl/>
        </w:rPr>
      </w:pPr>
      <w:r>
        <w:rPr>
          <w:rFonts w:cs="Arial" w:hint="cs"/>
          <w:sz w:val="20"/>
          <w:szCs w:val="20"/>
          <w:u w:val="single"/>
          <w:rtl/>
        </w:rPr>
        <w:t>אשה שיש לה מכה במקום הוצאת הרעי</w:t>
      </w:r>
      <w:r>
        <w:rPr>
          <w:rFonts w:cs="Arial"/>
          <w:sz w:val="20"/>
          <w:szCs w:val="20"/>
          <w:u w:val="single"/>
          <w:rtl/>
        </w:rPr>
        <w:br/>
      </w:r>
      <w:r>
        <w:rPr>
          <w:rFonts w:cs="Arial" w:hint="cs"/>
          <w:sz w:val="20"/>
          <w:szCs w:val="20"/>
          <w:rtl/>
        </w:rPr>
        <w:t xml:space="preserve">א. </w:t>
      </w:r>
      <w:r w:rsidRPr="001F3FEC">
        <w:rPr>
          <w:rFonts w:cs="Arial" w:hint="cs"/>
          <w:b/>
          <w:bCs/>
          <w:sz w:val="20"/>
          <w:szCs w:val="20"/>
          <w:rtl/>
        </w:rPr>
        <w:t>ט"ז</w:t>
      </w:r>
      <w:r>
        <w:rPr>
          <w:rFonts w:cs="Arial" w:hint="cs"/>
          <w:sz w:val="20"/>
          <w:szCs w:val="20"/>
          <w:rtl/>
        </w:rPr>
        <w:t xml:space="preserve"> </w:t>
      </w:r>
      <w:r>
        <w:rPr>
          <w:rFonts w:cs="Arial"/>
          <w:sz w:val="20"/>
          <w:szCs w:val="20"/>
          <w:rtl/>
        </w:rPr>
        <w:t>–</w:t>
      </w:r>
      <w:r>
        <w:rPr>
          <w:rFonts w:cs="Arial" w:hint="cs"/>
          <w:sz w:val="20"/>
          <w:szCs w:val="20"/>
          <w:rtl/>
        </w:rPr>
        <w:t xml:space="preserve"> אשה שיש לה מכה, כגון טחורים, בבית הרעי ובדקה עצמה ונגעה גם במכה ומצאה דם, אפילו אם הוא משוך טהורה.</w:t>
      </w:r>
      <w:r>
        <w:rPr>
          <w:rFonts w:cs="Arial"/>
          <w:sz w:val="20"/>
          <w:szCs w:val="20"/>
          <w:rtl/>
        </w:rPr>
        <w:br/>
      </w:r>
      <w:r w:rsidRPr="00EC5896">
        <w:rPr>
          <w:rFonts w:cs="Arial" w:hint="cs"/>
          <w:b/>
          <w:bCs/>
          <w:sz w:val="20"/>
          <w:szCs w:val="20"/>
          <w:rtl/>
        </w:rPr>
        <w:t xml:space="preserve">טעם </w:t>
      </w:r>
      <w:r>
        <w:rPr>
          <w:rFonts w:cs="Arial"/>
          <w:sz w:val="20"/>
          <w:szCs w:val="20"/>
          <w:rtl/>
        </w:rPr>
        <w:t>–</w:t>
      </w:r>
      <w:r>
        <w:rPr>
          <w:rFonts w:cs="Arial" w:hint="cs"/>
          <w:sz w:val="20"/>
          <w:szCs w:val="20"/>
          <w:rtl/>
        </w:rPr>
        <w:t xml:space="preserve"> הרמ"א הקל אפילו בספק שאירע ע"י בדיקה. וכאן יש להקל אפילו במשוך משום שגם דם המכה משוך הוא מחמת הקינוח.</w:t>
      </w:r>
      <w:r>
        <w:rPr>
          <w:rFonts w:cs="Arial" w:hint="cs"/>
          <w:sz w:val="20"/>
          <w:szCs w:val="20"/>
          <w:rtl/>
        </w:rPr>
        <w:br/>
        <w:t xml:space="preserve">ואמנם, </w:t>
      </w:r>
      <w:r w:rsidRPr="00501C71">
        <w:rPr>
          <w:rFonts w:cs="Arial" w:hint="cs"/>
          <w:b/>
          <w:bCs/>
          <w:sz w:val="20"/>
          <w:szCs w:val="20"/>
          <w:rtl/>
        </w:rPr>
        <w:t>הט"ז</w:t>
      </w:r>
      <w:r>
        <w:rPr>
          <w:rFonts w:cs="Arial" w:hint="cs"/>
          <w:sz w:val="20"/>
          <w:szCs w:val="20"/>
          <w:rtl/>
        </w:rPr>
        <w:t xml:space="preserve"> מסייג את היתרו רק בשעה שאינה שעת ווסתה</w:t>
      </w:r>
      <w:r>
        <w:rPr>
          <w:rStyle w:val="a5"/>
          <w:rFonts w:cs="Arial"/>
          <w:sz w:val="20"/>
          <w:szCs w:val="20"/>
          <w:rtl/>
        </w:rPr>
        <w:footnoteReference w:id="317"/>
      </w:r>
      <w:r>
        <w:rPr>
          <w:rFonts w:cs="Arial" w:hint="cs"/>
          <w:sz w:val="20"/>
          <w:szCs w:val="20"/>
          <w:rtl/>
        </w:rPr>
        <w:t xml:space="preserve"> </w:t>
      </w:r>
      <w:r>
        <w:rPr>
          <w:rStyle w:val="a5"/>
          <w:rFonts w:cs="Arial"/>
          <w:sz w:val="20"/>
          <w:szCs w:val="20"/>
          <w:rtl/>
        </w:rPr>
        <w:footnoteReference w:id="318"/>
      </w:r>
      <w:r>
        <w:rPr>
          <w:rFonts w:cs="Arial" w:hint="cs"/>
          <w:sz w:val="20"/>
          <w:szCs w:val="20"/>
          <w:rtl/>
        </w:rPr>
        <w:t>, וטעמו משום שהוא ספק דרבנן.</w:t>
      </w:r>
      <w:r>
        <w:rPr>
          <w:rStyle w:val="a5"/>
          <w:rFonts w:cs="Arial"/>
          <w:sz w:val="20"/>
          <w:szCs w:val="20"/>
          <w:rtl/>
        </w:rPr>
        <w:footnoteReference w:id="319"/>
      </w:r>
      <w:r>
        <w:rPr>
          <w:rFonts w:cs="Arial" w:hint="cs"/>
          <w:sz w:val="20"/>
          <w:szCs w:val="20"/>
          <w:rtl/>
        </w:rPr>
        <w:br/>
        <w:t xml:space="preserve">ב. </w:t>
      </w:r>
      <w:r w:rsidRPr="007D6EEC">
        <w:rPr>
          <w:rFonts w:cs="Arial" w:hint="cs"/>
          <w:b/>
          <w:bCs/>
          <w:sz w:val="20"/>
          <w:szCs w:val="20"/>
          <w:rtl/>
        </w:rPr>
        <w:t>חוו"ד</w:t>
      </w:r>
      <w:r>
        <w:rPr>
          <w:rFonts w:cs="Arial" w:hint="cs"/>
          <w:sz w:val="20"/>
          <w:szCs w:val="20"/>
          <w:rtl/>
        </w:rPr>
        <w:t xml:space="preserve"> </w:t>
      </w:r>
      <w:r>
        <w:rPr>
          <w:rFonts w:cs="Arial"/>
          <w:sz w:val="20"/>
          <w:szCs w:val="20"/>
          <w:rtl/>
        </w:rPr>
        <w:t>–</w:t>
      </w:r>
      <w:r>
        <w:rPr>
          <w:rFonts w:cs="Arial" w:hint="cs"/>
          <w:sz w:val="20"/>
          <w:szCs w:val="20"/>
          <w:rtl/>
        </w:rPr>
        <w:t xml:space="preserve"> אפילו בשעת ווסתה יש להקל במקרה הנ"ל.</w:t>
      </w:r>
      <w:r>
        <w:rPr>
          <w:rFonts w:cs="Arial"/>
          <w:sz w:val="20"/>
          <w:szCs w:val="20"/>
          <w:rtl/>
        </w:rPr>
        <w:br/>
      </w:r>
      <w:r>
        <w:rPr>
          <w:rFonts w:cs="Arial" w:hint="cs"/>
          <w:sz w:val="20"/>
          <w:szCs w:val="20"/>
          <w:rtl/>
        </w:rPr>
        <w:t xml:space="preserve">ג. </w:t>
      </w:r>
      <w:r w:rsidRPr="007D6EEC">
        <w:rPr>
          <w:rFonts w:cs="Arial" w:hint="cs"/>
          <w:b/>
          <w:bCs/>
          <w:sz w:val="20"/>
          <w:szCs w:val="20"/>
          <w:rtl/>
        </w:rPr>
        <w:t>מאיר נתיבים</w:t>
      </w:r>
      <w:r>
        <w:rPr>
          <w:rFonts w:cs="Arial" w:hint="cs"/>
          <w:sz w:val="20"/>
          <w:szCs w:val="20"/>
          <w:rtl/>
        </w:rPr>
        <w:t xml:space="preserve"> </w:t>
      </w:r>
      <w:r>
        <w:rPr>
          <w:rFonts w:cs="Arial"/>
          <w:sz w:val="20"/>
          <w:szCs w:val="20"/>
          <w:rtl/>
        </w:rPr>
        <w:t>–</w:t>
      </w:r>
      <w:r>
        <w:rPr>
          <w:rFonts w:cs="Arial" w:hint="cs"/>
          <w:sz w:val="20"/>
          <w:szCs w:val="20"/>
          <w:rtl/>
        </w:rPr>
        <w:t xml:space="preserve"> גם בימי ליבונה תולה את הדם במכה.</w:t>
      </w:r>
      <w:r>
        <w:rPr>
          <w:rFonts w:cs="Arial" w:hint="cs"/>
          <w:sz w:val="20"/>
          <w:szCs w:val="20"/>
          <w:rtl/>
        </w:rPr>
        <w:br/>
        <w:t xml:space="preserve">הכרעת </w:t>
      </w:r>
      <w:r w:rsidRPr="00B31B25">
        <w:rPr>
          <w:rFonts w:cs="Arial" w:hint="cs"/>
          <w:b/>
          <w:bCs/>
          <w:sz w:val="20"/>
          <w:szCs w:val="20"/>
          <w:rtl/>
        </w:rPr>
        <w:t>טהרת הבית</w:t>
      </w:r>
      <w:r>
        <w:rPr>
          <w:rFonts w:cs="Arial" w:hint="cs"/>
          <w:sz w:val="20"/>
          <w:szCs w:val="20"/>
          <w:rtl/>
        </w:rPr>
        <w:t xml:space="preserve"> </w:t>
      </w:r>
      <w:r w:rsidRPr="00B31B25">
        <w:rPr>
          <w:rFonts w:cs="Arial" w:hint="cs"/>
          <w:sz w:val="18"/>
          <w:szCs w:val="18"/>
          <w:rtl/>
        </w:rPr>
        <w:t xml:space="preserve">(חלק א', עמ' רנה </w:t>
      </w:r>
      <w:r w:rsidRPr="00B31B25">
        <w:rPr>
          <w:rFonts w:cs="Arial"/>
          <w:sz w:val="18"/>
          <w:szCs w:val="18"/>
          <w:rtl/>
        </w:rPr>
        <w:t>–</w:t>
      </w:r>
      <w:r w:rsidRPr="00B31B25">
        <w:rPr>
          <w:rFonts w:cs="Arial" w:hint="cs"/>
          <w:sz w:val="18"/>
          <w:szCs w:val="18"/>
          <w:rtl/>
        </w:rPr>
        <w:t xml:space="preserve"> רנו) </w:t>
      </w:r>
      <w:r>
        <w:rPr>
          <w:rFonts w:cs="Arial"/>
          <w:sz w:val="20"/>
          <w:szCs w:val="20"/>
          <w:rtl/>
        </w:rPr>
        <w:t>–</w:t>
      </w:r>
      <w:r>
        <w:rPr>
          <w:rFonts w:cs="Arial" w:hint="cs"/>
          <w:sz w:val="20"/>
          <w:szCs w:val="20"/>
          <w:rtl/>
        </w:rPr>
        <w:t xml:space="preserve"> גם בימי ליבונה יש להקל ולטהר אשה שיש לה מכה, ובלבד שתעשה הפסק טהרה כדין. </w:t>
      </w:r>
    </w:p>
    <w:p w:rsidR="00620060" w:rsidRPr="00CE2D27" w:rsidRDefault="00620060" w:rsidP="00620060">
      <w:pPr>
        <w:rPr>
          <w:sz w:val="20"/>
          <w:szCs w:val="20"/>
        </w:rPr>
      </w:pPr>
      <w:r w:rsidRPr="00B22104">
        <w:rPr>
          <w:rFonts w:hint="cs"/>
          <w:b/>
          <w:bCs/>
          <w:sz w:val="20"/>
          <w:szCs w:val="20"/>
          <w:rtl/>
        </w:rPr>
        <w:t>סיכום</w:t>
      </w:r>
      <w:r>
        <w:rPr>
          <w:sz w:val="20"/>
          <w:szCs w:val="20"/>
          <w:rtl/>
        </w:rPr>
        <w:br/>
      </w:r>
      <w:r>
        <w:rPr>
          <w:rFonts w:hint="cs"/>
          <w:sz w:val="20"/>
          <w:szCs w:val="20"/>
          <w:rtl/>
        </w:rPr>
        <w:t xml:space="preserve">1. </w:t>
      </w:r>
      <w:r w:rsidRPr="00B22104">
        <w:rPr>
          <w:rFonts w:hint="cs"/>
          <w:b/>
          <w:bCs/>
          <w:sz w:val="20"/>
          <w:szCs w:val="20"/>
          <w:rtl/>
        </w:rPr>
        <w:t>משנה</w:t>
      </w:r>
      <w:r>
        <w:rPr>
          <w:rFonts w:hint="cs"/>
          <w:sz w:val="20"/>
          <w:szCs w:val="20"/>
          <w:rtl/>
        </w:rPr>
        <w:t xml:space="preserve">. עד שהוא נתון תחת הכר או הכסת ומצאה עליו דם - עגול טהור, משוך טמא. </w:t>
      </w:r>
      <w:r w:rsidRPr="00D565C7">
        <w:rPr>
          <w:rFonts w:hint="cs"/>
          <w:b/>
          <w:bCs/>
          <w:sz w:val="20"/>
          <w:szCs w:val="20"/>
          <w:rtl/>
        </w:rPr>
        <w:t>טעם</w:t>
      </w:r>
      <w:r>
        <w:rPr>
          <w:rFonts w:hint="cs"/>
          <w:sz w:val="20"/>
          <w:szCs w:val="20"/>
          <w:rtl/>
        </w:rPr>
        <w:t>. עגול תולים במאכולת, משוך הוא דם קינוח.</w:t>
      </w:r>
      <w:r>
        <w:rPr>
          <w:sz w:val="20"/>
          <w:szCs w:val="20"/>
          <w:rtl/>
        </w:rPr>
        <w:br/>
      </w:r>
      <w:r>
        <w:rPr>
          <w:rFonts w:hint="cs"/>
          <w:sz w:val="20"/>
          <w:szCs w:val="20"/>
          <w:rtl/>
        </w:rPr>
        <w:lastRenderedPageBreak/>
        <w:t xml:space="preserve">2. </w:t>
      </w:r>
      <w:r w:rsidRPr="00B22104">
        <w:rPr>
          <w:rFonts w:hint="cs"/>
          <w:b/>
          <w:bCs/>
          <w:sz w:val="20"/>
          <w:szCs w:val="20"/>
          <w:rtl/>
        </w:rPr>
        <w:t>רא"ש</w:t>
      </w:r>
      <w:r>
        <w:rPr>
          <w:rFonts w:hint="cs"/>
          <w:sz w:val="20"/>
          <w:szCs w:val="20"/>
          <w:rtl/>
        </w:rPr>
        <w:t>. עגול טהור עד כגריס, כדין שאר כתמים, משוך טמא בכל שהוא משום שהוא דם קינוח.</w:t>
      </w:r>
      <w:r>
        <w:rPr>
          <w:sz w:val="20"/>
          <w:szCs w:val="20"/>
          <w:rtl/>
        </w:rPr>
        <w:br/>
      </w:r>
      <w:r>
        <w:rPr>
          <w:rFonts w:hint="cs"/>
          <w:sz w:val="20"/>
          <w:szCs w:val="20"/>
          <w:rtl/>
        </w:rPr>
        <w:t xml:space="preserve">3. </w:t>
      </w:r>
      <w:r w:rsidRPr="00B22104">
        <w:rPr>
          <w:rFonts w:hint="cs"/>
          <w:b/>
          <w:bCs/>
          <w:sz w:val="20"/>
          <w:szCs w:val="20"/>
          <w:rtl/>
        </w:rPr>
        <w:t>רמ"א</w:t>
      </w:r>
      <w:r>
        <w:rPr>
          <w:rFonts w:hint="cs"/>
          <w:sz w:val="20"/>
          <w:szCs w:val="20"/>
          <w:rtl/>
        </w:rPr>
        <w:t>. אפילו כתם גדול מגריס תולה אם יש במה לתלות.</w:t>
      </w:r>
      <w:r>
        <w:rPr>
          <w:sz w:val="20"/>
          <w:szCs w:val="20"/>
          <w:rtl/>
        </w:rPr>
        <w:br/>
      </w:r>
      <w:r>
        <w:rPr>
          <w:rFonts w:hint="cs"/>
          <w:sz w:val="20"/>
          <w:szCs w:val="20"/>
          <w:rtl/>
        </w:rPr>
        <w:t xml:space="preserve">4. כתם פחות מגריס </w:t>
      </w:r>
      <w:r w:rsidRPr="00D565C7">
        <w:rPr>
          <w:rFonts w:hint="cs"/>
          <w:sz w:val="20"/>
          <w:szCs w:val="20"/>
          <w:rtl/>
        </w:rPr>
        <w:t>בג' ימים הראשונים</w:t>
      </w:r>
      <w:r>
        <w:rPr>
          <w:rFonts w:hint="cs"/>
          <w:sz w:val="20"/>
          <w:szCs w:val="20"/>
          <w:rtl/>
        </w:rPr>
        <w:t xml:space="preserve"> שנמצא על עד בדיקה. </w:t>
      </w:r>
      <w:r w:rsidRPr="00D565C7">
        <w:rPr>
          <w:rFonts w:hint="cs"/>
          <w:b/>
          <w:bCs/>
          <w:sz w:val="20"/>
          <w:szCs w:val="20"/>
          <w:rtl/>
        </w:rPr>
        <w:t>דגמ"ר</w:t>
      </w:r>
      <w:r>
        <w:rPr>
          <w:rFonts w:hint="cs"/>
          <w:sz w:val="20"/>
          <w:szCs w:val="20"/>
          <w:rtl/>
        </w:rPr>
        <w:t>. טמא</w:t>
      </w:r>
      <w:r w:rsidRPr="00D565C7">
        <w:rPr>
          <w:rFonts w:hint="cs"/>
          <w:sz w:val="20"/>
          <w:szCs w:val="20"/>
          <w:rtl/>
        </w:rPr>
        <w:t xml:space="preserve">. </w:t>
      </w:r>
      <w:r w:rsidRPr="00D565C7">
        <w:rPr>
          <w:rFonts w:hint="cs"/>
          <w:b/>
          <w:bCs/>
          <w:sz w:val="20"/>
          <w:szCs w:val="20"/>
          <w:rtl/>
        </w:rPr>
        <w:t>מע</w:t>
      </w:r>
      <w:r>
        <w:rPr>
          <w:rFonts w:hint="cs"/>
          <w:b/>
          <w:bCs/>
          <w:sz w:val="20"/>
          <w:szCs w:val="20"/>
          <w:rtl/>
        </w:rPr>
        <w:t xml:space="preserve">יל </w:t>
      </w:r>
      <w:r w:rsidRPr="00D565C7">
        <w:rPr>
          <w:rFonts w:hint="cs"/>
          <w:b/>
          <w:bCs/>
          <w:sz w:val="20"/>
          <w:szCs w:val="20"/>
          <w:rtl/>
        </w:rPr>
        <w:t>צ</w:t>
      </w:r>
      <w:r>
        <w:rPr>
          <w:rFonts w:hint="cs"/>
          <w:b/>
          <w:bCs/>
          <w:sz w:val="20"/>
          <w:szCs w:val="20"/>
          <w:rtl/>
        </w:rPr>
        <w:t>דקה</w:t>
      </w:r>
      <w:r w:rsidRPr="00D565C7">
        <w:rPr>
          <w:rFonts w:hint="cs"/>
          <w:sz w:val="20"/>
          <w:szCs w:val="20"/>
          <w:rtl/>
        </w:rPr>
        <w:t>. טהור.</w:t>
      </w:r>
      <w:r>
        <w:rPr>
          <w:sz w:val="20"/>
          <w:szCs w:val="20"/>
          <w:rtl/>
        </w:rPr>
        <w:br/>
      </w:r>
      <w:r>
        <w:rPr>
          <w:rFonts w:hint="cs"/>
          <w:sz w:val="20"/>
          <w:szCs w:val="20"/>
          <w:rtl/>
        </w:rPr>
        <w:t xml:space="preserve">5. </w:t>
      </w:r>
      <w:r w:rsidRPr="00D565C7">
        <w:rPr>
          <w:rFonts w:hint="cs"/>
          <w:sz w:val="20"/>
          <w:szCs w:val="20"/>
          <w:rtl/>
        </w:rPr>
        <w:t>אשה שיש לה מכה במקום הוצאת הרעי ומצאה דם על עד הקינוח.</w:t>
      </w:r>
      <w:r>
        <w:rPr>
          <w:rFonts w:hint="cs"/>
          <w:sz w:val="20"/>
          <w:szCs w:val="20"/>
          <w:rtl/>
        </w:rPr>
        <w:t xml:space="preserve"> </w:t>
      </w:r>
      <w:r w:rsidRPr="00B22104">
        <w:rPr>
          <w:rFonts w:hint="cs"/>
          <w:b/>
          <w:bCs/>
          <w:sz w:val="20"/>
          <w:szCs w:val="20"/>
          <w:rtl/>
        </w:rPr>
        <w:t>ט"ז</w:t>
      </w:r>
      <w:r>
        <w:rPr>
          <w:rFonts w:hint="cs"/>
          <w:sz w:val="20"/>
          <w:szCs w:val="20"/>
          <w:rtl/>
        </w:rPr>
        <w:t xml:space="preserve">. טהורה אפילו אם הדם משוך, ובלבד שאינו בשעת ווסתה. </w:t>
      </w:r>
      <w:r w:rsidRPr="00B22104">
        <w:rPr>
          <w:rFonts w:hint="cs"/>
          <w:b/>
          <w:bCs/>
          <w:sz w:val="20"/>
          <w:szCs w:val="20"/>
          <w:rtl/>
        </w:rPr>
        <w:t>חוו"ד</w:t>
      </w:r>
      <w:r>
        <w:rPr>
          <w:rFonts w:hint="cs"/>
          <w:sz w:val="20"/>
          <w:szCs w:val="20"/>
          <w:rtl/>
        </w:rPr>
        <w:t xml:space="preserve">. אף בשעת ווסתה טהורה. </w:t>
      </w:r>
      <w:r w:rsidRPr="00B22104">
        <w:rPr>
          <w:rFonts w:hint="cs"/>
          <w:b/>
          <w:bCs/>
          <w:sz w:val="20"/>
          <w:szCs w:val="20"/>
          <w:rtl/>
        </w:rPr>
        <w:t>מאיר נתיבים</w:t>
      </w:r>
      <w:r>
        <w:rPr>
          <w:rFonts w:hint="cs"/>
          <w:sz w:val="20"/>
          <w:szCs w:val="20"/>
          <w:rtl/>
        </w:rPr>
        <w:t>. גם בז"נ טהורה.</w:t>
      </w:r>
    </w:p>
    <w:p w:rsidR="00620060" w:rsidRDefault="00620060" w:rsidP="00620060">
      <w:pPr>
        <w:rPr>
          <w:rFonts w:cs="Arial"/>
          <w:sz w:val="20"/>
          <w:szCs w:val="20"/>
          <w:rtl/>
        </w:rPr>
      </w:pPr>
      <w:r>
        <w:rPr>
          <w:rFonts w:cs="Arial" w:hint="cs"/>
          <w:sz w:val="20"/>
          <w:szCs w:val="20"/>
          <w:rtl/>
        </w:rPr>
        <w:br/>
      </w:r>
      <w:r>
        <w:rPr>
          <w:rFonts w:cs="Arial" w:hint="cs"/>
          <w:b/>
          <w:bCs/>
          <w:sz w:val="20"/>
          <w:szCs w:val="20"/>
          <w:rtl/>
        </w:rPr>
        <w:t xml:space="preserve">סעיף לה </w:t>
      </w:r>
      <w:r>
        <w:rPr>
          <w:rFonts w:cs="Arial"/>
          <w:b/>
          <w:bCs/>
          <w:sz w:val="20"/>
          <w:szCs w:val="20"/>
          <w:rtl/>
        </w:rPr>
        <w:t>–</w:t>
      </w:r>
      <w:r>
        <w:rPr>
          <w:rFonts w:cs="Arial" w:hint="cs"/>
          <w:b/>
          <w:bCs/>
          <w:sz w:val="20"/>
          <w:szCs w:val="20"/>
          <w:rtl/>
        </w:rPr>
        <w:t xml:space="preserve"> בדקה וטחה בירכה</w:t>
      </w:r>
      <w:r>
        <w:rPr>
          <w:rFonts w:cs="Arial"/>
          <w:b/>
          <w:bCs/>
          <w:sz w:val="20"/>
          <w:szCs w:val="20"/>
          <w:rtl/>
        </w:rPr>
        <w:br/>
      </w:r>
      <w:r>
        <w:rPr>
          <w:rFonts w:cs="Arial" w:hint="cs"/>
          <w:b/>
          <w:bCs/>
          <w:sz w:val="20"/>
          <w:szCs w:val="20"/>
          <w:rtl/>
        </w:rPr>
        <w:t>מקור הדין</w:t>
      </w:r>
      <w:r>
        <w:rPr>
          <w:rFonts w:cs="Arial"/>
          <w:b/>
          <w:bCs/>
          <w:sz w:val="20"/>
          <w:szCs w:val="20"/>
          <w:rtl/>
        </w:rPr>
        <w:br/>
      </w:r>
      <w:r>
        <w:rPr>
          <w:rFonts w:cs="Arial" w:hint="cs"/>
          <w:b/>
          <w:bCs/>
          <w:sz w:val="20"/>
          <w:szCs w:val="20"/>
          <w:rtl/>
        </w:rPr>
        <w:t xml:space="preserve">גמרא </w:t>
      </w:r>
      <w:r>
        <w:rPr>
          <w:rFonts w:cs="Arial" w:hint="cs"/>
          <w:sz w:val="20"/>
          <w:szCs w:val="20"/>
          <w:rtl/>
        </w:rPr>
        <w:t>נדה (יד.) "אי</w:t>
      </w:r>
      <w:r w:rsidRPr="00693165">
        <w:rPr>
          <w:rFonts w:cs="Arial"/>
          <w:sz w:val="20"/>
          <w:szCs w:val="20"/>
          <w:rtl/>
        </w:rPr>
        <w:t>תמר, בדקה בעד הבדוק לה, וטחתו בירכה, ולמחר מצאה עליה דם, אמר רב: טמאה נדה</w:t>
      </w:r>
      <w:r>
        <w:rPr>
          <w:rFonts w:cs="Arial" w:hint="cs"/>
          <w:sz w:val="20"/>
          <w:szCs w:val="20"/>
          <w:rtl/>
        </w:rPr>
        <w:t>".</w:t>
      </w:r>
    </w:p>
    <w:p w:rsidR="00620060" w:rsidRDefault="00620060" w:rsidP="00620060">
      <w:pPr>
        <w:rPr>
          <w:rFonts w:cs="Arial"/>
          <w:sz w:val="20"/>
          <w:szCs w:val="20"/>
          <w:rtl/>
        </w:rPr>
      </w:pPr>
      <w:r>
        <w:rPr>
          <w:rFonts w:cs="Arial" w:hint="cs"/>
          <w:b/>
          <w:bCs/>
          <w:sz w:val="20"/>
          <w:szCs w:val="20"/>
          <w:rtl/>
        </w:rPr>
        <w:t>שיטות הראשונים</w:t>
      </w:r>
      <w:r>
        <w:rPr>
          <w:rFonts w:cs="Arial"/>
          <w:b/>
          <w:bCs/>
          <w:sz w:val="20"/>
          <w:szCs w:val="20"/>
          <w:rtl/>
        </w:rPr>
        <w:br/>
      </w:r>
      <w:r>
        <w:rPr>
          <w:rFonts w:cs="Arial" w:hint="cs"/>
          <w:sz w:val="20"/>
          <w:szCs w:val="20"/>
          <w:rtl/>
        </w:rPr>
        <w:t xml:space="preserve">א. </w:t>
      </w:r>
      <w:r w:rsidRPr="008D3749">
        <w:rPr>
          <w:rFonts w:cs="Arial" w:hint="cs"/>
          <w:b/>
          <w:bCs/>
          <w:sz w:val="20"/>
          <w:szCs w:val="20"/>
          <w:rtl/>
        </w:rPr>
        <w:t>רשב"א</w:t>
      </w:r>
      <w:r w:rsidRPr="008D3749">
        <w:rPr>
          <w:rFonts w:cs="Arial" w:hint="cs"/>
          <w:sz w:val="20"/>
          <w:szCs w:val="20"/>
          <w:rtl/>
        </w:rPr>
        <w:t xml:space="preserve"> </w:t>
      </w:r>
      <w:r>
        <w:rPr>
          <w:rFonts w:cs="Arial"/>
          <w:sz w:val="20"/>
          <w:szCs w:val="20"/>
          <w:rtl/>
        </w:rPr>
        <w:t>–</w:t>
      </w:r>
      <w:r>
        <w:rPr>
          <w:rFonts w:cs="Arial" w:hint="cs"/>
          <w:sz w:val="20"/>
          <w:szCs w:val="20"/>
          <w:rtl/>
        </w:rPr>
        <w:t xml:space="preserve"> משוך טמא בכל עניין, עגול טמא רק בכגריס ועוד, אך פחות מגריס טהור, וכ"פ </w:t>
      </w:r>
      <w:r w:rsidRPr="008D3749">
        <w:rPr>
          <w:rFonts w:cs="Arial" w:hint="cs"/>
          <w:b/>
          <w:bCs/>
          <w:sz w:val="20"/>
          <w:szCs w:val="20"/>
          <w:rtl/>
        </w:rPr>
        <w:t>המחבר</w:t>
      </w:r>
      <w:r>
        <w:rPr>
          <w:rFonts w:cs="Arial" w:hint="cs"/>
          <w:sz w:val="20"/>
          <w:szCs w:val="20"/>
          <w:rtl/>
        </w:rPr>
        <w:t>.</w:t>
      </w:r>
      <w:r>
        <w:rPr>
          <w:rFonts w:cs="Arial"/>
          <w:sz w:val="20"/>
          <w:szCs w:val="20"/>
          <w:rtl/>
        </w:rPr>
        <w:br/>
      </w:r>
      <w:r>
        <w:rPr>
          <w:rFonts w:cs="Arial" w:hint="cs"/>
          <w:sz w:val="20"/>
          <w:szCs w:val="20"/>
          <w:rtl/>
        </w:rPr>
        <w:t xml:space="preserve">ב. </w:t>
      </w:r>
      <w:r w:rsidRPr="008D50CF">
        <w:rPr>
          <w:rFonts w:cs="Arial" w:hint="cs"/>
          <w:b/>
          <w:bCs/>
          <w:sz w:val="20"/>
          <w:szCs w:val="20"/>
          <w:rtl/>
        </w:rPr>
        <w:t>רמב"ם</w:t>
      </w:r>
      <w:r>
        <w:rPr>
          <w:rFonts w:cs="Arial" w:hint="cs"/>
          <w:sz w:val="20"/>
          <w:szCs w:val="20"/>
          <w:rtl/>
        </w:rPr>
        <w:t xml:space="preserve"> </w:t>
      </w:r>
      <w:r w:rsidRPr="00FD27F8">
        <w:rPr>
          <w:rFonts w:cs="Arial" w:hint="cs"/>
          <w:sz w:val="18"/>
          <w:szCs w:val="18"/>
          <w:rtl/>
        </w:rPr>
        <w:t xml:space="preserve">(וכ"כ </w:t>
      </w:r>
      <w:r w:rsidRPr="00FD27F8">
        <w:rPr>
          <w:rFonts w:cs="Arial" w:hint="cs"/>
          <w:b/>
          <w:bCs/>
          <w:sz w:val="18"/>
          <w:szCs w:val="18"/>
          <w:rtl/>
        </w:rPr>
        <w:t xml:space="preserve">הטור </w:t>
      </w:r>
      <w:r w:rsidRPr="00FD27F8">
        <w:rPr>
          <w:rFonts w:cs="Arial" w:hint="cs"/>
          <w:sz w:val="18"/>
          <w:szCs w:val="18"/>
          <w:rtl/>
        </w:rPr>
        <w:t xml:space="preserve">בדעת </w:t>
      </w:r>
      <w:r w:rsidRPr="00FD27F8">
        <w:rPr>
          <w:rFonts w:cs="Arial" w:hint="cs"/>
          <w:b/>
          <w:bCs/>
          <w:sz w:val="18"/>
          <w:szCs w:val="18"/>
          <w:rtl/>
        </w:rPr>
        <w:t>הרא"ש</w:t>
      </w:r>
      <w:r w:rsidRPr="00A136A1">
        <w:rPr>
          <w:rStyle w:val="a5"/>
          <w:rFonts w:cs="Arial"/>
          <w:sz w:val="18"/>
          <w:szCs w:val="18"/>
          <w:rtl/>
        </w:rPr>
        <w:footnoteReference w:id="320"/>
      </w:r>
      <w:r w:rsidRPr="00FD27F8">
        <w:rPr>
          <w:rFonts w:cs="Arial" w:hint="cs"/>
          <w:sz w:val="18"/>
          <w:szCs w:val="18"/>
          <w:rtl/>
        </w:rPr>
        <w:t xml:space="preserve">) </w:t>
      </w:r>
      <w:r>
        <w:rPr>
          <w:rFonts w:cs="Arial"/>
          <w:sz w:val="20"/>
          <w:szCs w:val="20"/>
          <w:rtl/>
        </w:rPr>
        <w:t>–</w:t>
      </w:r>
      <w:r>
        <w:rPr>
          <w:rFonts w:cs="Arial" w:hint="cs"/>
          <w:sz w:val="20"/>
          <w:szCs w:val="20"/>
          <w:rtl/>
        </w:rPr>
        <w:t xml:space="preserve"> אפילו עגול פחות מגריס, טמאה, וכ"פ </w:t>
      </w:r>
      <w:r w:rsidRPr="008D3749">
        <w:rPr>
          <w:rFonts w:cs="Arial" w:hint="cs"/>
          <w:b/>
          <w:bCs/>
          <w:sz w:val="20"/>
          <w:szCs w:val="20"/>
          <w:rtl/>
        </w:rPr>
        <w:t>הרמ"א</w:t>
      </w:r>
      <w:r>
        <w:rPr>
          <w:rFonts w:cs="Arial" w:hint="cs"/>
          <w:sz w:val="20"/>
          <w:szCs w:val="20"/>
          <w:rtl/>
        </w:rPr>
        <w:t>.</w:t>
      </w:r>
    </w:p>
    <w:p w:rsidR="00620060" w:rsidRDefault="00620060" w:rsidP="00620060">
      <w:pPr>
        <w:rPr>
          <w:rFonts w:cs="Arial"/>
          <w:sz w:val="20"/>
          <w:szCs w:val="20"/>
          <w:rtl/>
        </w:rPr>
      </w:pPr>
      <w:r>
        <w:rPr>
          <w:rFonts w:cs="Arial" w:hint="cs"/>
          <w:b/>
          <w:bCs/>
          <w:sz w:val="20"/>
          <w:szCs w:val="20"/>
          <w:rtl/>
        </w:rPr>
        <w:t>פסיקת הלכה</w:t>
      </w:r>
      <w:r>
        <w:rPr>
          <w:rFonts w:cs="Arial"/>
          <w:b/>
          <w:bCs/>
          <w:sz w:val="20"/>
          <w:szCs w:val="20"/>
          <w:rtl/>
        </w:rPr>
        <w:br/>
      </w:r>
      <w:r>
        <w:rPr>
          <w:rFonts w:cs="Arial" w:hint="cs"/>
          <w:b/>
          <w:bCs/>
          <w:sz w:val="20"/>
          <w:szCs w:val="20"/>
          <w:rtl/>
        </w:rPr>
        <w:t xml:space="preserve">שולחן ערוך </w:t>
      </w:r>
      <w:r>
        <w:rPr>
          <w:rFonts w:cs="Arial"/>
          <w:sz w:val="20"/>
          <w:szCs w:val="20"/>
          <w:rtl/>
        </w:rPr>
        <w:t>–</w:t>
      </w:r>
      <w:r>
        <w:rPr>
          <w:rFonts w:cs="Arial" w:hint="cs"/>
          <w:sz w:val="20"/>
          <w:szCs w:val="20"/>
          <w:rtl/>
        </w:rPr>
        <w:t xml:space="preserve"> "</w:t>
      </w:r>
      <w:r w:rsidRPr="007612E8">
        <w:rPr>
          <w:rFonts w:cs="Arial"/>
          <w:sz w:val="20"/>
          <w:szCs w:val="20"/>
          <w:rtl/>
        </w:rPr>
        <w:t>בדקה עצמה בעד הבדוק לה וטחתו בירכה, ולמחר נמצא עליו דם, אם משוך, טמאה אפילו בכל שהוא, ואם עגול, טהורה, אם אין בו כגריס ועוד. ו</w:t>
      </w:r>
      <w:r>
        <w:rPr>
          <w:rFonts w:cs="Arial"/>
          <w:sz w:val="20"/>
          <w:szCs w:val="20"/>
          <w:rtl/>
        </w:rPr>
        <w:t>יש אומרים שאף עגול טמא בכל שהוא</w:t>
      </w:r>
      <w:r>
        <w:rPr>
          <w:rFonts w:cs="Arial" w:hint="cs"/>
          <w:sz w:val="20"/>
          <w:szCs w:val="20"/>
          <w:rtl/>
        </w:rPr>
        <w:t xml:space="preserve">. </w:t>
      </w:r>
      <w:r w:rsidRPr="00832FE0">
        <w:rPr>
          <w:rFonts w:cs="Arial" w:hint="cs"/>
          <w:sz w:val="18"/>
          <w:szCs w:val="18"/>
          <w:rtl/>
        </w:rPr>
        <w:t>הגה: וכן עיקר</w:t>
      </w:r>
      <w:r>
        <w:rPr>
          <w:rFonts w:cs="Arial" w:hint="cs"/>
          <w:sz w:val="20"/>
          <w:szCs w:val="20"/>
          <w:rtl/>
        </w:rPr>
        <w:t>".</w:t>
      </w:r>
    </w:p>
    <w:p w:rsidR="00620060" w:rsidRDefault="00620060" w:rsidP="00620060">
      <w:pPr>
        <w:rPr>
          <w:rFonts w:cs="Arial"/>
          <w:sz w:val="20"/>
          <w:szCs w:val="20"/>
          <w:rtl/>
        </w:rPr>
      </w:pPr>
      <w:r>
        <w:rPr>
          <w:rFonts w:cs="Arial" w:hint="cs"/>
          <w:sz w:val="20"/>
          <w:szCs w:val="20"/>
          <w:u w:val="single"/>
          <w:rtl/>
        </w:rPr>
        <w:t>ביאור דעת הרמב"ם</w:t>
      </w:r>
      <w:r>
        <w:rPr>
          <w:rFonts w:cs="Arial" w:hint="cs"/>
          <w:sz w:val="20"/>
          <w:szCs w:val="20"/>
          <w:u w:val="single"/>
          <w:rtl/>
        </w:rPr>
        <w:br/>
      </w:r>
      <w:r>
        <w:rPr>
          <w:rFonts w:cs="Arial" w:hint="cs"/>
          <w:sz w:val="20"/>
          <w:szCs w:val="20"/>
          <w:rtl/>
        </w:rPr>
        <w:t xml:space="preserve">א. </w:t>
      </w:r>
      <w:r w:rsidRPr="00AB093F">
        <w:rPr>
          <w:rFonts w:cs="Arial" w:hint="cs"/>
          <w:b/>
          <w:bCs/>
          <w:sz w:val="20"/>
          <w:szCs w:val="20"/>
          <w:rtl/>
        </w:rPr>
        <w:t>ט"ז</w:t>
      </w:r>
      <w:r>
        <w:rPr>
          <w:rFonts w:cs="Arial" w:hint="cs"/>
          <w:sz w:val="20"/>
          <w:szCs w:val="20"/>
          <w:rtl/>
        </w:rPr>
        <w:t xml:space="preserve"> </w:t>
      </w:r>
      <w:r>
        <w:rPr>
          <w:rFonts w:cs="Arial"/>
          <w:sz w:val="20"/>
          <w:szCs w:val="20"/>
          <w:rtl/>
        </w:rPr>
        <w:t>–</w:t>
      </w:r>
      <w:r>
        <w:rPr>
          <w:rFonts w:cs="Arial" w:hint="cs"/>
          <w:sz w:val="20"/>
          <w:szCs w:val="20"/>
          <w:rtl/>
        </w:rPr>
        <w:t xml:space="preserve"> הרמב"ם אזיל לטעמיה, שאם נמצא דם על גופה טמאה אפילו בכל שהוא ואין תולים במאכולת. </w:t>
      </w:r>
      <w:r>
        <w:rPr>
          <w:rFonts w:cs="Arial"/>
          <w:sz w:val="20"/>
          <w:szCs w:val="20"/>
          <w:rtl/>
        </w:rPr>
        <w:br/>
      </w:r>
      <w:r>
        <w:rPr>
          <w:rFonts w:cs="Arial" w:hint="cs"/>
          <w:sz w:val="20"/>
          <w:szCs w:val="20"/>
          <w:rtl/>
        </w:rPr>
        <w:t xml:space="preserve">ומעתה יש לטמא כאן ממה נפשך </w:t>
      </w:r>
      <w:r>
        <w:rPr>
          <w:rFonts w:cs="Arial"/>
          <w:sz w:val="20"/>
          <w:szCs w:val="20"/>
          <w:rtl/>
        </w:rPr>
        <w:t>–</w:t>
      </w:r>
      <w:r>
        <w:rPr>
          <w:rFonts w:cs="Arial" w:hint="cs"/>
          <w:sz w:val="20"/>
          <w:szCs w:val="20"/>
          <w:rtl/>
        </w:rPr>
        <w:t xml:space="preserve"> </w:t>
      </w:r>
      <w:r>
        <w:rPr>
          <w:rFonts w:cs="Arial"/>
          <w:sz w:val="20"/>
          <w:szCs w:val="20"/>
          <w:rtl/>
        </w:rPr>
        <w:br/>
      </w:r>
      <w:r>
        <w:rPr>
          <w:rFonts w:cs="Arial" w:hint="cs"/>
          <w:sz w:val="20"/>
          <w:szCs w:val="20"/>
          <w:rtl/>
        </w:rPr>
        <w:t>אם נמצא על הירך טמאה מטעם הנ"ל, ואם נמצא על העד ולא על הירך הוי הוכחה שהוא דם מקור.</w:t>
      </w:r>
      <w:r>
        <w:rPr>
          <w:rFonts w:cs="Arial"/>
          <w:sz w:val="20"/>
          <w:szCs w:val="20"/>
          <w:u w:val="single"/>
          <w:rtl/>
        </w:rPr>
        <w:br/>
      </w:r>
      <w:r>
        <w:rPr>
          <w:rFonts w:cs="Arial" w:hint="cs"/>
          <w:sz w:val="20"/>
          <w:szCs w:val="20"/>
          <w:rtl/>
        </w:rPr>
        <w:t xml:space="preserve">ב. </w:t>
      </w:r>
      <w:r w:rsidRPr="00832FE0">
        <w:rPr>
          <w:rFonts w:cs="Arial" w:hint="cs"/>
          <w:b/>
          <w:bCs/>
          <w:sz w:val="20"/>
          <w:szCs w:val="20"/>
          <w:rtl/>
        </w:rPr>
        <w:t>ש"ך</w:t>
      </w:r>
      <w:r>
        <w:rPr>
          <w:rFonts w:cs="Arial" w:hint="cs"/>
          <w:sz w:val="20"/>
          <w:szCs w:val="20"/>
          <w:rtl/>
        </w:rPr>
        <w:t xml:space="preserve"> </w:t>
      </w:r>
      <w:r>
        <w:rPr>
          <w:rFonts w:cs="Arial"/>
          <w:sz w:val="20"/>
          <w:szCs w:val="20"/>
          <w:rtl/>
        </w:rPr>
        <w:t>–</w:t>
      </w:r>
      <w:r>
        <w:rPr>
          <w:rFonts w:cs="Arial" w:hint="cs"/>
          <w:sz w:val="20"/>
          <w:szCs w:val="20"/>
          <w:rtl/>
        </w:rPr>
        <w:t xml:space="preserve"> תחת כר וכסת מצויה מאכולת ולכן הרמב"ם טיהר בפחות מגריס, בירך אין מאכולת מצויה וטמאה.</w:t>
      </w:r>
      <w:r>
        <w:rPr>
          <w:rFonts w:cs="Arial"/>
          <w:sz w:val="20"/>
          <w:szCs w:val="20"/>
          <w:rtl/>
        </w:rPr>
        <w:br/>
      </w:r>
      <w:r>
        <w:rPr>
          <w:rFonts w:cs="Arial"/>
          <w:b/>
          <w:bCs/>
          <w:sz w:val="20"/>
          <w:szCs w:val="20"/>
          <w:rtl/>
        </w:rPr>
        <w:br/>
      </w:r>
      <w:r>
        <w:rPr>
          <w:rFonts w:cs="Arial" w:hint="cs"/>
          <w:b/>
          <w:bCs/>
          <w:sz w:val="20"/>
          <w:szCs w:val="20"/>
          <w:rtl/>
        </w:rPr>
        <w:t>סיכום</w:t>
      </w:r>
      <w:r>
        <w:rPr>
          <w:rFonts w:cs="Arial"/>
          <w:b/>
          <w:bCs/>
          <w:sz w:val="20"/>
          <w:szCs w:val="20"/>
          <w:rtl/>
        </w:rPr>
        <w:br/>
      </w:r>
      <w:r>
        <w:rPr>
          <w:rFonts w:cs="Arial" w:hint="cs"/>
          <w:sz w:val="20"/>
          <w:szCs w:val="20"/>
          <w:rtl/>
        </w:rPr>
        <w:t xml:space="preserve">1. </w:t>
      </w:r>
      <w:r w:rsidRPr="00735511">
        <w:rPr>
          <w:rFonts w:cs="Arial" w:hint="cs"/>
          <w:b/>
          <w:bCs/>
          <w:sz w:val="20"/>
          <w:szCs w:val="20"/>
          <w:rtl/>
        </w:rPr>
        <w:t>גמרא</w:t>
      </w:r>
      <w:r>
        <w:rPr>
          <w:rFonts w:cs="Arial" w:hint="cs"/>
          <w:sz w:val="20"/>
          <w:szCs w:val="20"/>
          <w:rtl/>
        </w:rPr>
        <w:t>. בדקה בעד הבדוק לה וטחתו בירכה ומצאה דם, טמאה.</w:t>
      </w:r>
      <w:r>
        <w:rPr>
          <w:rFonts w:cs="Arial"/>
          <w:sz w:val="20"/>
          <w:szCs w:val="20"/>
          <w:rtl/>
        </w:rPr>
        <w:br/>
      </w:r>
      <w:r>
        <w:rPr>
          <w:rFonts w:cs="Arial" w:hint="cs"/>
          <w:sz w:val="20"/>
          <w:szCs w:val="20"/>
          <w:rtl/>
        </w:rPr>
        <w:t xml:space="preserve">2. </w:t>
      </w:r>
      <w:r w:rsidRPr="00735511">
        <w:rPr>
          <w:rFonts w:cs="Arial" w:hint="cs"/>
          <w:b/>
          <w:bCs/>
          <w:sz w:val="20"/>
          <w:szCs w:val="20"/>
          <w:rtl/>
        </w:rPr>
        <w:t>רש</w:t>
      </w:r>
      <w:r>
        <w:rPr>
          <w:rFonts w:cs="Arial" w:hint="cs"/>
          <w:b/>
          <w:bCs/>
          <w:sz w:val="20"/>
          <w:szCs w:val="20"/>
          <w:rtl/>
        </w:rPr>
        <w:t>ב"א</w:t>
      </w:r>
      <w:r>
        <w:rPr>
          <w:rFonts w:cs="Arial" w:hint="cs"/>
          <w:sz w:val="20"/>
          <w:szCs w:val="20"/>
          <w:rtl/>
        </w:rPr>
        <w:t xml:space="preserve">. בכתם משוך טמאה בכל שהוא, בכתם עגול טמאה רק בכגריס ועוד, וכ"פ </w:t>
      </w:r>
      <w:r w:rsidRPr="00735511">
        <w:rPr>
          <w:rFonts w:cs="Arial" w:hint="cs"/>
          <w:b/>
          <w:bCs/>
          <w:sz w:val="20"/>
          <w:szCs w:val="20"/>
          <w:rtl/>
        </w:rPr>
        <w:t>המחבר</w:t>
      </w:r>
      <w:r>
        <w:rPr>
          <w:rFonts w:cs="Arial" w:hint="cs"/>
          <w:sz w:val="20"/>
          <w:szCs w:val="20"/>
          <w:rtl/>
        </w:rPr>
        <w:t xml:space="preserve">. </w:t>
      </w:r>
      <w:r>
        <w:rPr>
          <w:rFonts w:cs="Arial"/>
          <w:b/>
          <w:bCs/>
          <w:sz w:val="20"/>
          <w:szCs w:val="20"/>
          <w:rtl/>
        </w:rPr>
        <w:br/>
      </w:r>
      <w:r w:rsidRPr="00735511">
        <w:rPr>
          <w:rFonts w:cs="Arial" w:hint="cs"/>
          <w:b/>
          <w:bCs/>
          <w:sz w:val="20"/>
          <w:szCs w:val="20"/>
          <w:rtl/>
        </w:rPr>
        <w:t>רמב"ם</w:t>
      </w:r>
      <w:r>
        <w:rPr>
          <w:rFonts w:cs="Arial" w:hint="cs"/>
          <w:sz w:val="20"/>
          <w:szCs w:val="20"/>
          <w:rtl/>
        </w:rPr>
        <w:t xml:space="preserve">. גם בכתם עגול טמאה בכל שהוא, וכ"פ </w:t>
      </w:r>
      <w:r w:rsidRPr="00735511">
        <w:rPr>
          <w:rFonts w:cs="Arial" w:hint="cs"/>
          <w:b/>
          <w:bCs/>
          <w:sz w:val="20"/>
          <w:szCs w:val="20"/>
          <w:rtl/>
        </w:rPr>
        <w:t>הרמ"א</w:t>
      </w:r>
      <w:r>
        <w:rPr>
          <w:rFonts w:cs="Arial" w:hint="cs"/>
          <w:sz w:val="20"/>
          <w:szCs w:val="20"/>
          <w:rtl/>
        </w:rPr>
        <w:t>.</w:t>
      </w:r>
      <w:r>
        <w:rPr>
          <w:rFonts w:cs="Arial" w:hint="cs"/>
          <w:sz w:val="20"/>
          <w:szCs w:val="20"/>
          <w:rtl/>
        </w:rPr>
        <w:br/>
        <w:t xml:space="preserve">3. </w:t>
      </w:r>
      <w:r w:rsidRPr="008D3749">
        <w:rPr>
          <w:rFonts w:cs="Arial" w:hint="cs"/>
          <w:sz w:val="20"/>
          <w:szCs w:val="20"/>
          <w:rtl/>
        </w:rPr>
        <w:t>ביאור הרמב"ם.</w:t>
      </w:r>
      <w:r>
        <w:rPr>
          <w:rFonts w:cs="Arial" w:hint="cs"/>
          <w:sz w:val="20"/>
          <w:szCs w:val="20"/>
          <w:rtl/>
        </w:rPr>
        <w:t xml:space="preserve"> </w:t>
      </w:r>
      <w:r w:rsidRPr="00735511">
        <w:rPr>
          <w:rFonts w:cs="Arial" w:hint="cs"/>
          <w:b/>
          <w:bCs/>
          <w:sz w:val="20"/>
          <w:szCs w:val="20"/>
          <w:rtl/>
        </w:rPr>
        <w:t>ט"ז</w:t>
      </w:r>
      <w:r>
        <w:rPr>
          <w:rFonts w:cs="Arial" w:hint="cs"/>
          <w:sz w:val="20"/>
          <w:szCs w:val="20"/>
          <w:rtl/>
        </w:rPr>
        <w:t xml:space="preserve">. ממ"נ טמאה בכל שהוא </w:t>
      </w:r>
      <w:r>
        <w:rPr>
          <w:rFonts w:cs="Arial"/>
          <w:sz w:val="20"/>
          <w:szCs w:val="20"/>
          <w:rtl/>
        </w:rPr>
        <w:t>–</w:t>
      </w:r>
      <w:r>
        <w:rPr>
          <w:rFonts w:cs="Arial" w:hint="cs"/>
          <w:sz w:val="20"/>
          <w:szCs w:val="20"/>
          <w:rtl/>
        </w:rPr>
        <w:t xml:space="preserve"> בירכה ס"ל לרמב"ם שאין תולים לעולם בכתם, ואם נמצא על העד בלבד הוי הוכחה שהדם מהמקור ולא מירכה. </w:t>
      </w:r>
      <w:r w:rsidRPr="00735511">
        <w:rPr>
          <w:rFonts w:cs="Arial" w:hint="cs"/>
          <w:b/>
          <w:bCs/>
          <w:sz w:val="20"/>
          <w:szCs w:val="20"/>
          <w:rtl/>
        </w:rPr>
        <w:t>ש"ך</w:t>
      </w:r>
      <w:r>
        <w:rPr>
          <w:rFonts w:cs="Arial" w:hint="cs"/>
          <w:sz w:val="20"/>
          <w:szCs w:val="20"/>
          <w:rtl/>
        </w:rPr>
        <w:t>. בהניחה תחת הכר טהורה, מאכולת מצויה.</w:t>
      </w:r>
    </w:p>
    <w:p w:rsidR="00620060" w:rsidRDefault="00620060" w:rsidP="00620060">
      <w:pPr>
        <w:rPr>
          <w:rFonts w:cs="Arial"/>
          <w:sz w:val="20"/>
          <w:szCs w:val="20"/>
          <w:rtl/>
        </w:rPr>
      </w:pPr>
      <w:r w:rsidRPr="004D0F57">
        <w:rPr>
          <w:rFonts w:cs="Arial" w:hint="cs"/>
          <w:b/>
          <w:bCs/>
          <w:sz w:val="18"/>
          <w:szCs w:val="18"/>
          <w:rtl/>
        </w:rPr>
        <w:t>סיכום דיני עד בדוק</w:t>
      </w:r>
      <w:r w:rsidRPr="004D0F57">
        <w:rPr>
          <w:rFonts w:cs="Arial" w:hint="cs"/>
          <w:sz w:val="18"/>
          <w:szCs w:val="18"/>
          <w:rtl/>
        </w:rPr>
        <w:t xml:space="preserve"> </w:t>
      </w:r>
      <w:r w:rsidRPr="004D0F57">
        <w:rPr>
          <w:rFonts w:cs="Arial" w:hint="cs"/>
          <w:sz w:val="16"/>
          <w:szCs w:val="16"/>
          <w:rtl/>
        </w:rPr>
        <w:t xml:space="preserve">(סעיפים לג </w:t>
      </w:r>
      <w:r w:rsidRPr="004D0F57">
        <w:rPr>
          <w:rFonts w:cs="Arial"/>
          <w:sz w:val="16"/>
          <w:szCs w:val="16"/>
          <w:rtl/>
        </w:rPr>
        <w:t>–</w:t>
      </w:r>
      <w:r w:rsidRPr="004D0F57">
        <w:rPr>
          <w:rFonts w:cs="Arial" w:hint="cs"/>
          <w:sz w:val="16"/>
          <w:szCs w:val="16"/>
          <w:rtl/>
        </w:rPr>
        <w:t xml:space="preserve"> לה)</w:t>
      </w:r>
      <w:r>
        <w:rPr>
          <w:rFonts w:cs="Arial"/>
          <w:sz w:val="20"/>
          <w:szCs w:val="20"/>
          <w:rtl/>
        </w:rPr>
        <w:br/>
      </w:r>
      <w:r w:rsidRPr="00C15BC3">
        <w:rPr>
          <w:rFonts w:cs="Arial" w:hint="cs"/>
          <w:sz w:val="18"/>
          <w:szCs w:val="18"/>
          <w:rtl/>
        </w:rPr>
        <w:t>1. בדקה ומצאה על</w:t>
      </w:r>
      <w:r>
        <w:rPr>
          <w:rFonts w:cs="Arial" w:hint="cs"/>
          <w:sz w:val="18"/>
          <w:szCs w:val="18"/>
          <w:rtl/>
        </w:rPr>
        <w:t xml:space="preserve"> העד</w:t>
      </w:r>
      <w:r w:rsidRPr="00C15BC3">
        <w:rPr>
          <w:rFonts w:cs="Arial" w:hint="cs"/>
          <w:sz w:val="18"/>
          <w:szCs w:val="18"/>
          <w:rtl/>
        </w:rPr>
        <w:t xml:space="preserve"> טיפת דם בין משוך ובין עגול, אפילו רצופה בו מאכולת טמאה. וכן הדין אם הניחתו בקופסה.</w:t>
      </w:r>
      <w:r>
        <w:rPr>
          <w:rFonts w:cs="Arial"/>
          <w:sz w:val="20"/>
          <w:szCs w:val="20"/>
          <w:rtl/>
        </w:rPr>
        <w:br/>
      </w:r>
      <w:r w:rsidRPr="004D0F57">
        <w:rPr>
          <w:rFonts w:cs="Arial" w:hint="cs"/>
          <w:sz w:val="18"/>
          <w:szCs w:val="18"/>
          <w:rtl/>
        </w:rPr>
        <w:t xml:space="preserve">2. בדקה והניחה תחת הכר, כתם משוך תמיד טמא, כתם עגול טמא רק בכגריס ועוד. </w:t>
      </w:r>
      <w:r w:rsidRPr="00352FF1">
        <w:rPr>
          <w:rFonts w:cs="Arial" w:hint="cs"/>
          <w:b/>
          <w:bCs/>
          <w:sz w:val="18"/>
          <w:szCs w:val="18"/>
          <w:rtl/>
        </w:rPr>
        <w:t>רמ"א</w:t>
      </w:r>
      <w:r>
        <w:rPr>
          <w:rFonts w:cs="Arial" w:hint="cs"/>
          <w:sz w:val="18"/>
          <w:szCs w:val="18"/>
          <w:rtl/>
        </w:rPr>
        <w:t xml:space="preserve">. </w:t>
      </w:r>
      <w:r w:rsidRPr="004D0F57">
        <w:rPr>
          <w:rFonts w:cs="Arial" w:hint="cs"/>
          <w:sz w:val="18"/>
          <w:szCs w:val="18"/>
          <w:rtl/>
        </w:rPr>
        <w:t>אם התעסקה בדמים תולה בהם</w:t>
      </w:r>
      <w:r>
        <w:rPr>
          <w:rFonts w:cs="Arial" w:hint="cs"/>
          <w:sz w:val="18"/>
          <w:szCs w:val="18"/>
          <w:rtl/>
        </w:rPr>
        <w:t xml:space="preserve"> אפילו כתם גדול מגריס שנמצא בעד</w:t>
      </w:r>
      <w:r w:rsidRPr="004D0F57">
        <w:rPr>
          <w:rFonts w:cs="Arial" w:hint="cs"/>
          <w:sz w:val="18"/>
          <w:szCs w:val="18"/>
          <w:rtl/>
        </w:rPr>
        <w:t xml:space="preserve">. </w:t>
      </w:r>
      <w:r w:rsidRPr="008D3749">
        <w:rPr>
          <w:rFonts w:cs="Arial" w:hint="cs"/>
          <w:b/>
          <w:bCs/>
          <w:sz w:val="18"/>
          <w:szCs w:val="18"/>
          <w:rtl/>
        </w:rPr>
        <w:t>ט"ז</w:t>
      </w:r>
      <w:r w:rsidRPr="004D0F57">
        <w:rPr>
          <w:rFonts w:cs="Arial" w:hint="cs"/>
          <w:sz w:val="18"/>
          <w:szCs w:val="18"/>
          <w:rtl/>
        </w:rPr>
        <w:t xml:space="preserve">. מכאן יש להסיק לגבי מכה בבית הרעי שתולה בה אפילו בעד. </w:t>
      </w:r>
      <w:r w:rsidRPr="004D0F57">
        <w:rPr>
          <w:rFonts w:cs="Arial"/>
          <w:sz w:val="18"/>
          <w:szCs w:val="18"/>
          <w:rtl/>
        </w:rPr>
        <w:br/>
      </w:r>
      <w:r w:rsidRPr="004D0F57">
        <w:rPr>
          <w:rFonts w:cs="Arial" w:hint="cs"/>
          <w:sz w:val="18"/>
          <w:szCs w:val="18"/>
          <w:rtl/>
        </w:rPr>
        <w:t xml:space="preserve">3. בדקה וטחתו בירכה. משוך טמא. עגול יותר מגריס טמא. פחות מגריס. </w:t>
      </w:r>
      <w:r w:rsidRPr="008D3749">
        <w:rPr>
          <w:rFonts w:cs="Arial" w:hint="cs"/>
          <w:b/>
          <w:bCs/>
          <w:sz w:val="18"/>
          <w:szCs w:val="18"/>
          <w:rtl/>
        </w:rPr>
        <w:t>רשב"א</w:t>
      </w:r>
      <w:r w:rsidRPr="004D0F57">
        <w:rPr>
          <w:rFonts w:cs="Arial" w:hint="cs"/>
          <w:sz w:val="18"/>
          <w:szCs w:val="18"/>
          <w:rtl/>
        </w:rPr>
        <w:t xml:space="preserve">. טהורה, וכ"פ </w:t>
      </w:r>
      <w:r w:rsidRPr="008D3749">
        <w:rPr>
          <w:rFonts w:cs="Arial" w:hint="cs"/>
          <w:b/>
          <w:bCs/>
          <w:sz w:val="18"/>
          <w:szCs w:val="18"/>
          <w:rtl/>
        </w:rPr>
        <w:t>המחבר</w:t>
      </w:r>
      <w:r w:rsidRPr="004D0F57">
        <w:rPr>
          <w:rFonts w:cs="Arial" w:hint="cs"/>
          <w:sz w:val="18"/>
          <w:szCs w:val="18"/>
          <w:rtl/>
        </w:rPr>
        <w:t xml:space="preserve">. </w:t>
      </w:r>
      <w:r w:rsidRPr="008D3749">
        <w:rPr>
          <w:rFonts w:cs="Arial" w:hint="cs"/>
          <w:b/>
          <w:bCs/>
          <w:sz w:val="18"/>
          <w:szCs w:val="18"/>
          <w:rtl/>
        </w:rPr>
        <w:t>רמב"ם</w:t>
      </w:r>
      <w:r w:rsidRPr="004D0F57">
        <w:rPr>
          <w:rFonts w:cs="Arial" w:hint="cs"/>
          <w:sz w:val="18"/>
          <w:szCs w:val="18"/>
          <w:rtl/>
        </w:rPr>
        <w:t xml:space="preserve">. טמאה, וכ"פ </w:t>
      </w:r>
      <w:r>
        <w:rPr>
          <w:rFonts w:cs="Arial" w:hint="cs"/>
          <w:b/>
          <w:bCs/>
          <w:sz w:val="18"/>
          <w:szCs w:val="18"/>
          <w:rtl/>
        </w:rPr>
        <w:t>ה</w:t>
      </w:r>
      <w:r w:rsidRPr="008D3749">
        <w:rPr>
          <w:rFonts w:cs="Arial" w:hint="cs"/>
          <w:b/>
          <w:bCs/>
          <w:sz w:val="18"/>
          <w:szCs w:val="18"/>
          <w:rtl/>
        </w:rPr>
        <w:t>רמ"א</w:t>
      </w:r>
      <w:r w:rsidRPr="004D0F57">
        <w:rPr>
          <w:rFonts w:cs="Arial" w:hint="cs"/>
          <w:sz w:val="18"/>
          <w:szCs w:val="18"/>
          <w:rtl/>
        </w:rPr>
        <w:t>.</w:t>
      </w:r>
    </w:p>
    <w:p w:rsidR="00620060" w:rsidRDefault="00620060" w:rsidP="00620060">
      <w:pPr>
        <w:rPr>
          <w:rFonts w:cs="Arial"/>
          <w:sz w:val="20"/>
          <w:szCs w:val="20"/>
          <w:rtl/>
        </w:rPr>
      </w:pPr>
      <w:r>
        <w:rPr>
          <w:rFonts w:cs="Arial"/>
          <w:sz w:val="20"/>
          <w:szCs w:val="20"/>
          <w:rtl/>
        </w:rPr>
        <w:br/>
      </w:r>
      <w:r>
        <w:rPr>
          <w:rFonts w:cs="Arial" w:hint="cs"/>
          <w:b/>
          <w:bCs/>
          <w:sz w:val="20"/>
          <w:szCs w:val="20"/>
          <w:rtl/>
        </w:rPr>
        <w:t xml:space="preserve">סעיף לו </w:t>
      </w:r>
      <w:r>
        <w:rPr>
          <w:rFonts w:cs="Arial"/>
          <w:b/>
          <w:bCs/>
          <w:sz w:val="20"/>
          <w:szCs w:val="20"/>
          <w:rtl/>
        </w:rPr>
        <w:t>–</w:t>
      </w:r>
      <w:r>
        <w:rPr>
          <w:rFonts w:cs="Arial" w:hint="cs"/>
          <w:b/>
          <w:bCs/>
          <w:sz w:val="20"/>
          <w:szCs w:val="20"/>
          <w:rtl/>
        </w:rPr>
        <w:t xml:space="preserve"> בדקה בעד שאינו בדוק לה</w:t>
      </w:r>
      <w:r w:rsidRPr="00A80B35">
        <w:rPr>
          <w:rStyle w:val="a5"/>
          <w:rFonts w:cs="Arial"/>
          <w:sz w:val="20"/>
          <w:szCs w:val="20"/>
          <w:rtl/>
        </w:rPr>
        <w:footnoteReference w:id="321"/>
      </w:r>
      <w:r>
        <w:rPr>
          <w:rFonts w:cs="Arial"/>
          <w:b/>
          <w:bCs/>
          <w:sz w:val="20"/>
          <w:szCs w:val="20"/>
          <w:rtl/>
        </w:rPr>
        <w:br/>
      </w:r>
      <w:r>
        <w:rPr>
          <w:rFonts w:cs="Arial" w:hint="cs"/>
          <w:b/>
          <w:bCs/>
          <w:sz w:val="20"/>
          <w:szCs w:val="20"/>
          <w:rtl/>
        </w:rPr>
        <w:t>מקור הדין</w:t>
      </w:r>
      <w:r>
        <w:rPr>
          <w:rFonts w:cs="Arial"/>
          <w:b/>
          <w:bCs/>
          <w:sz w:val="20"/>
          <w:szCs w:val="20"/>
          <w:rtl/>
        </w:rPr>
        <w:br/>
      </w:r>
      <w:r>
        <w:rPr>
          <w:rFonts w:cs="Arial" w:hint="cs"/>
          <w:b/>
          <w:bCs/>
          <w:sz w:val="20"/>
          <w:szCs w:val="20"/>
          <w:rtl/>
        </w:rPr>
        <w:t xml:space="preserve">גמרא </w:t>
      </w:r>
      <w:r>
        <w:rPr>
          <w:rFonts w:cs="Arial" w:hint="cs"/>
          <w:sz w:val="20"/>
          <w:szCs w:val="20"/>
          <w:rtl/>
        </w:rPr>
        <w:t xml:space="preserve">נדה (יד. </w:t>
      </w:r>
      <w:r>
        <w:rPr>
          <w:rFonts w:cs="Arial"/>
          <w:sz w:val="20"/>
          <w:szCs w:val="20"/>
          <w:rtl/>
        </w:rPr>
        <w:t>–</w:t>
      </w:r>
      <w:r>
        <w:rPr>
          <w:rFonts w:cs="Arial" w:hint="cs"/>
          <w:sz w:val="20"/>
          <w:szCs w:val="20"/>
          <w:rtl/>
        </w:rPr>
        <w:t xml:space="preserve"> יד:) "</w:t>
      </w:r>
      <w:r w:rsidRPr="00D50B53">
        <w:rPr>
          <w:rFonts w:cs="Arial"/>
          <w:sz w:val="20"/>
          <w:szCs w:val="20"/>
          <w:rtl/>
        </w:rPr>
        <w:t>תניא: בדקה בעד שאינו בדוק לה והניחתו בקופסא, ולמחר מצאה עליו דם, רבי אומר טמאה משום נדה, ורבי חייא אמר טמאה משום כתם</w:t>
      </w:r>
      <w:r>
        <w:rPr>
          <w:rFonts w:cs="Arial" w:hint="cs"/>
          <w:sz w:val="20"/>
          <w:szCs w:val="20"/>
          <w:rtl/>
        </w:rPr>
        <w:t xml:space="preserve"> </w:t>
      </w:r>
      <w:r w:rsidRPr="00D50B53">
        <w:rPr>
          <w:rFonts w:cs="Arial" w:hint="cs"/>
          <w:sz w:val="18"/>
          <w:szCs w:val="18"/>
          <w:rtl/>
        </w:rPr>
        <w:t>(טומאת ספק וניתן לתלות בגורמים שונים)</w:t>
      </w:r>
      <w:r>
        <w:rPr>
          <w:rFonts w:cs="Arial" w:hint="cs"/>
          <w:sz w:val="20"/>
          <w:szCs w:val="20"/>
          <w:rtl/>
        </w:rPr>
        <w:t>...</w:t>
      </w:r>
      <w:r>
        <w:rPr>
          <w:rFonts w:cs="Arial" w:hint="cs"/>
          <w:sz w:val="20"/>
          <w:szCs w:val="20"/>
          <w:rtl/>
        </w:rPr>
        <w:br/>
      </w:r>
      <w:r w:rsidRPr="008E3C27">
        <w:rPr>
          <w:rFonts w:cs="Arial"/>
          <w:sz w:val="20"/>
          <w:szCs w:val="20"/>
          <w:rtl/>
        </w:rPr>
        <w:t>אמר לו ר</w:t>
      </w:r>
      <w:r>
        <w:rPr>
          <w:rFonts w:cs="Arial" w:hint="cs"/>
          <w:sz w:val="20"/>
          <w:szCs w:val="20"/>
          <w:rtl/>
        </w:rPr>
        <w:t>בי</w:t>
      </w:r>
      <w:r w:rsidRPr="008E3C27">
        <w:rPr>
          <w:rFonts w:cs="Arial"/>
          <w:sz w:val="20"/>
          <w:szCs w:val="20"/>
          <w:rtl/>
        </w:rPr>
        <w:t xml:space="preserve"> חייא: אי אתה מודה שצריכה כגריס ועוד? א</w:t>
      </w:r>
      <w:r>
        <w:rPr>
          <w:rFonts w:cs="Arial" w:hint="cs"/>
          <w:sz w:val="20"/>
          <w:szCs w:val="20"/>
          <w:rtl/>
        </w:rPr>
        <w:t xml:space="preserve">מר </w:t>
      </w:r>
      <w:r w:rsidRPr="008E3C27">
        <w:rPr>
          <w:rFonts w:cs="Arial"/>
          <w:sz w:val="20"/>
          <w:szCs w:val="20"/>
          <w:rtl/>
        </w:rPr>
        <w:t>ל</w:t>
      </w:r>
      <w:r>
        <w:rPr>
          <w:rFonts w:cs="Arial" w:hint="cs"/>
          <w:sz w:val="20"/>
          <w:szCs w:val="20"/>
          <w:rtl/>
        </w:rPr>
        <w:t>ו</w:t>
      </w:r>
      <w:r w:rsidRPr="008E3C27">
        <w:rPr>
          <w:rFonts w:cs="Arial"/>
          <w:sz w:val="20"/>
          <w:szCs w:val="20"/>
          <w:rtl/>
        </w:rPr>
        <w:t>: אבל. אמר לו: א</w:t>
      </w:r>
      <w:r>
        <w:rPr>
          <w:rFonts w:cs="Arial" w:hint="cs"/>
          <w:sz w:val="20"/>
          <w:szCs w:val="20"/>
          <w:rtl/>
        </w:rPr>
        <w:t xml:space="preserve">ם </w:t>
      </w:r>
      <w:r w:rsidRPr="008E3C27">
        <w:rPr>
          <w:rFonts w:cs="Arial"/>
          <w:sz w:val="20"/>
          <w:szCs w:val="20"/>
          <w:rtl/>
        </w:rPr>
        <w:t>כ</w:t>
      </w:r>
      <w:r>
        <w:rPr>
          <w:rFonts w:cs="Arial" w:hint="cs"/>
          <w:sz w:val="20"/>
          <w:szCs w:val="20"/>
          <w:rtl/>
        </w:rPr>
        <w:t>ן</w:t>
      </w:r>
      <w:r w:rsidRPr="008E3C27">
        <w:rPr>
          <w:rFonts w:cs="Arial"/>
          <w:sz w:val="20"/>
          <w:szCs w:val="20"/>
          <w:rtl/>
        </w:rPr>
        <w:t>, אף אתה עשיתו כתם. ורבי סבר: בעינן כגריס ועוד - לאפוקי מדם מאכולת, וכיון דנפק לה מדם מאכולת - ודאי מגופה אתא.</w:t>
      </w:r>
      <w:r>
        <w:rPr>
          <w:rFonts w:cs="Arial" w:hint="cs"/>
          <w:sz w:val="20"/>
          <w:szCs w:val="20"/>
          <w:rtl/>
        </w:rPr>
        <w:t>..</w:t>
      </w:r>
      <w:r>
        <w:rPr>
          <w:rFonts w:cs="Arial"/>
          <w:sz w:val="20"/>
          <w:szCs w:val="20"/>
          <w:rtl/>
        </w:rPr>
        <w:br/>
      </w:r>
      <w:r w:rsidRPr="00D50B53">
        <w:rPr>
          <w:rFonts w:cs="Arial"/>
          <w:sz w:val="20"/>
          <w:szCs w:val="20"/>
          <w:rtl/>
        </w:rPr>
        <w:t>משתבח ליה רבי לרבי ישמעאל ברבי יוסי ברבי חמא בר ביסא דאדם גדול הוא, אמר לו: לכשיבא לידך הביאהו לידי. כי אתא, א</w:t>
      </w:r>
      <w:r>
        <w:rPr>
          <w:rFonts w:cs="Arial" w:hint="cs"/>
          <w:sz w:val="20"/>
          <w:szCs w:val="20"/>
          <w:rtl/>
        </w:rPr>
        <w:t xml:space="preserve">מר </w:t>
      </w:r>
      <w:r w:rsidRPr="00D50B53">
        <w:rPr>
          <w:rFonts w:cs="Arial"/>
          <w:sz w:val="20"/>
          <w:szCs w:val="20"/>
          <w:rtl/>
        </w:rPr>
        <w:t>ל</w:t>
      </w:r>
      <w:r>
        <w:rPr>
          <w:rFonts w:cs="Arial" w:hint="cs"/>
          <w:sz w:val="20"/>
          <w:szCs w:val="20"/>
          <w:rtl/>
        </w:rPr>
        <w:t>יה</w:t>
      </w:r>
      <w:r w:rsidRPr="00D50B53">
        <w:rPr>
          <w:rFonts w:cs="Arial"/>
          <w:sz w:val="20"/>
          <w:szCs w:val="20"/>
          <w:rtl/>
        </w:rPr>
        <w:t xml:space="preserve">: בעי מינאי מילתא, בעא מיניה: בדקה בעד שאינו בדוק לה, והניחתו בקופסא, ולמחר מצאה עליו דם, מהו? אמר לו: כדברי אבא אימא לך, או כדברי רבי אימא לך? </w:t>
      </w:r>
      <w:r>
        <w:rPr>
          <w:rFonts w:cs="Arial" w:hint="cs"/>
          <w:sz w:val="20"/>
          <w:szCs w:val="20"/>
          <w:rtl/>
        </w:rPr>
        <w:br/>
      </w:r>
      <w:r w:rsidRPr="00D50B53">
        <w:rPr>
          <w:rFonts w:cs="Arial"/>
          <w:sz w:val="20"/>
          <w:szCs w:val="20"/>
          <w:rtl/>
        </w:rPr>
        <w:lastRenderedPageBreak/>
        <w:t xml:space="preserve">מאי רבי ומאי רבי יוסי? אמר רב אדא בר מתנא: תנא רבי - מטמא, ורבי יוסי - מטהר. ואמר רבי זירא: כשטימא רבי </w:t>
      </w:r>
      <w:r>
        <w:rPr>
          <w:rFonts w:cs="Arial"/>
          <w:sz w:val="20"/>
          <w:szCs w:val="20"/>
          <w:rtl/>
        </w:rPr>
        <w:t>–</w:t>
      </w:r>
      <w:r w:rsidRPr="00D50B53">
        <w:rPr>
          <w:rFonts w:cs="Arial"/>
          <w:sz w:val="20"/>
          <w:szCs w:val="20"/>
          <w:rtl/>
        </w:rPr>
        <w:t xml:space="preserve"> כר</w:t>
      </w:r>
      <w:r>
        <w:rPr>
          <w:rFonts w:cs="Arial" w:hint="cs"/>
          <w:sz w:val="20"/>
          <w:szCs w:val="20"/>
          <w:rtl/>
        </w:rPr>
        <w:t xml:space="preserve">בי </w:t>
      </w:r>
      <w:r w:rsidRPr="00D50B53">
        <w:rPr>
          <w:rFonts w:cs="Arial"/>
          <w:sz w:val="20"/>
          <w:szCs w:val="20"/>
          <w:rtl/>
        </w:rPr>
        <w:t>מ</w:t>
      </w:r>
      <w:r>
        <w:rPr>
          <w:rFonts w:cs="Arial" w:hint="cs"/>
          <w:sz w:val="20"/>
          <w:szCs w:val="20"/>
          <w:rtl/>
        </w:rPr>
        <w:t>איר</w:t>
      </w:r>
      <w:r w:rsidRPr="00D50B53">
        <w:rPr>
          <w:rFonts w:cs="Arial"/>
          <w:sz w:val="20"/>
          <w:szCs w:val="20"/>
          <w:rtl/>
        </w:rPr>
        <w:t xml:space="preserve">, וכשטיהר רבי יוסי </w:t>
      </w:r>
      <w:r>
        <w:rPr>
          <w:rFonts w:cs="Arial"/>
          <w:sz w:val="20"/>
          <w:szCs w:val="20"/>
          <w:rtl/>
        </w:rPr>
        <w:t>–</w:t>
      </w:r>
      <w:r w:rsidRPr="00D50B53">
        <w:rPr>
          <w:rFonts w:cs="Arial"/>
          <w:sz w:val="20"/>
          <w:szCs w:val="20"/>
          <w:rtl/>
        </w:rPr>
        <w:t xml:space="preserve"> לעצמו</w:t>
      </w:r>
      <w:r>
        <w:rPr>
          <w:rFonts w:cs="Arial" w:hint="cs"/>
          <w:sz w:val="20"/>
          <w:szCs w:val="20"/>
          <w:rtl/>
        </w:rPr>
        <w:t xml:space="preserve"> </w:t>
      </w:r>
      <w:r w:rsidRPr="00D50B53">
        <w:rPr>
          <w:rFonts w:cs="Arial" w:hint="cs"/>
          <w:sz w:val="18"/>
          <w:szCs w:val="18"/>
          <w:rtl/>
        </w:rPr>
        <w:t>(לשיטתו)</w:t>
      </w:r>
      <w:r w:rsidRPr="00D50B53">
        <w:rPr>
          <w:rFonts w:cs="Arial"/>
          <w:sz w:val="18"/>
          <w:szCs w:val="18"/>
          <w:rtl/>
        </w:rPr>
        <w:t xml:space="preserve"> </w:t>
      </w:r>
      <w:r w:rsidRPr="00D50B53">
        <w:rPr>
          <w:rFonts w:cs="Arial"/>
          <w:sz w:val="20"/>
          <w:szCs w:val="20"/>
          <w:rtl/>
        </w:rPr>
        <w:t xml:space="preserve">טיהר. דתניא, האשה שהיתה עושה צרכיה וראתה דם ר"מ אומר: אם עומדת - טמאה, אם יושבת </w:t>
      </w:r>
      <w:r>
        <w:rPr>
          <w:rFonts w:cs="Arial"/>
          <w:sz w:val="20"/>
          <w:szCs w:val="20"/>
          <w:rtl/>
        </w:rPr>
        <w:t>–</w:t>
      </w:r>
      <w:r w:rsidRPr="00D50B53">
        <w:rPr>
          <w:rFonts w:cs="Arial"/>
          <w:sz w:val="20"/>
          <w:szCs w:val="20"/>
          <w:rtl/>
        </w:rPr>
        <w:t xml:space="preserve"> טהורה</w:t>
      </w:r>
      <w:r>
        <w:rPr>
          <w:rFonts w:cs="Arial" w:hint="cs"/>
          <w:sz w:val="20"/>
          <w:szCs w:val="20"/>
          <w:rtl/>
        </w:rPr>
        <w:t>"</w:t>
      </w:r>
      <w:r w:rsidRPr="00D50B53">
        <w:rPr>
          <w:rFonts w:cs="Arial"/>
          <w:sz w:val="20"/>
          <w:szCs w:val="20"/>
          <w:rtl/>
        </w:rPr>
        <w:t>.</w:t>
      </w:r>
    </w:p>
    <w:p w:rsidR="00620060" w:rsidRDefault="00620060" w:rsidP="00620060">
      <w:pPr>
        <w:rPr>
          <w:rFonts w:cs="Arial"/>
          <w:sz w:val="20"/>
          <w:szCs w:val="20"/>
          <w:rtl/>
        </w:rPr>
      </w:pPr>
      <w:r>
        <w:rPr>
          <w:rFonts w:cs="Arial" w:hint="cs"/>
          <w:b/>
          <w:bCs/>
          <w:sz w:val="20"/>
          <w:szCs w:val="20"/>
          <w:rtl/>
        </w:rPr>
        <w:t>שיטות הראשונים</w:t>
      </w:r>
      <w:r>
        <w:rPr>
          <w:rFonts w:cs="Arial"/>
          <w:b/>
          <w:bCs/>
          <w:sz w:val="20"/>
          <w:szCs w:val="20"/>
          <w:rtl/>
        </w:rPr>
        <w:br/>
      </w:r>
      <w:r>
        <w:rPr>
          <w:rFonts w:cs="Arial" w:hint="cs"/>
          <w:sz w:val="20"/>
          <w:szCs w:val="20"/>
          <w:rtl/>
        </w:rPr>
        <w:t xml:space="preserve">א. </w:t>
      </w:r>
      <w:r w:rsidRPr="00D50B53">
        <w:rPr>
          <w:rFonts w:cs="Arial" w:hint="cs"/>
          <w:b/>
          <w:bCs/>
          <w:sz w:val="20"/>
          <w:szCs w:val="20"/>
          <w:rtl/>
        </w:rPr>
        <w:t>רמב"ם</w:t>
      </w:r>
      <w:r>
        <w:rPr>
          <w:rFonts w:cs="Arial" w:hint="cs"/>
          <w:sz w:val="20"/>
          <w:szCs w:val="20"/>
          <w:rtl/>
        </w:rPr>
        <w:t xml:space="preserve"> </w:t>
      </w:r>
      <w:r>
        <w:rPr>
          <w:rFonts w:cs="Arial"/>
          <w:sz w:val="20"/>
          <w:szCs w:val="20"/>
          <w:rtl/>
        </w:rPr>
        <w:t>–</w:t>
      </w:r>
      <w:r>
        <w:rPr>
          <w:rFonts w:cs="Arial" w:hint="cs"/>
          <w:sz w:val="20"/>
          <w:szCs w:val="20"/>
          <w:rtl/>
        </w:rPr>
        <w:t xml:space="preserve"> טמאה מדאורייתא כרבי.</w:t>
      </w:r>
      <w:r>
        <w:rPr>
          <w:rStyle w:val="a5"/>
          <w:rFonts w:cs="Arial"/>
          <w:sz w:val="20"/>
          <w:szCs w:val="20"/>
          <w:rtl/>
        </w:rPr>
        <w:footnoteReference w:id="322"/>
      </w:r>
      <w:r>
        <w:rPr>
          <w:rFonts w:cs="Arial"/>
          <w:sz w:val="20"/>
          <w:szCs w:val="20"/>
          <w:rtl/>
        </w:rPr>
        <w:br/>
      </w:r>
      <w:r>
        <w:rPr>
          <w:rFonts w:cs="Arial" w:hint="cs"/>
          <w:sz w:val="20"/>
          <w:szCs w:val="20"/>
          <w:rtl/>
        </w:rPr>
        <w:t xml:space="preserve">ב. </w:t>
      </w:r>
      <w:r w:rsidRPr="00D50B53">
        <w:rPr>
          <w:rFonts w:cs="Arial" w:hint="cs"/>
          <w:b/>
          <w:bCs/>
          <w:sz w:val="20"/>
          <w:szCs w:val="20"/>
          <w:rtl/>
        </w:rPr>
        <w:t>ר"ח וראב"ד</w:t>
      </w:r>
      <w:r>
        <w:rPr>
          <w:rFonts w:cs="Arial" w:hint="cs"/>
          <w:sz w:val="20"/>
          <w:szCs w:val="20"/>
          <w:rtl/>
        </w:rPr>
        <w:t xml:space="preserve"> </w:t>
      </w:r>
      <w:r>
        <w:rPr>
          <w:rFonts w:cs="Arial"/>
          <w:sz w:val="20"/>
          <w:szCs w:val="20"/>
          <w:rtl/>
        </w:rPr>
        <w:t>–</w:t>
      </w:r>
      <w:r>
        <w:rPr>
          <w:rFonts w:cs="Arial" w:hint="cs"/>
          <w:sz w:val="20"/>
          <w:szCs w:val="20"/>
          <w:rtl/>
        </w:rPr>
        <w:t xml:space="preserve"> טמאה מדרבנן כרבי חייא.</w:t>
      </w:r>
      <w:r>
        <w:rPr>
          <w:rFonts w:cs="Arial"/>
          <w:sz w:val="20"/>
          <w:szCs w:val="20"/>
          <w:rtl/>
        </w:rPr>
        <w:br/>
      </w:r>
      <w:r w:rsidRPr="000C12E1">
        <w:rPr>
          <w:rFonts w:cs="Arial" w:hint="cs"/>
          <w:b/>
          <w:bCs/>
          <w:sz w:val="20"/>
          <w:szCs w:val="20"/>
          <w:rtl/>
        </w:rPr>
        <w:t>טעם</w:t>
      </w:r>
      <w:r>
        <w:rPr>
          <w:rFonts w:cs="Arial" w:hint="cs"/>
          <w:sz w:val="20"/>
          <w:szCs w:val="20"/>
          <w:rtl/>
        </w:rPr>
        <w:t xml:space="preserve"> </w:t>
      </w:r>
      <w:r>
        <w:rPr>
          <w:rFonts w:cs="Arial"/>
          <w:sz w:val="20"/>
          <w:szCs w:val="20"/>
          <w:rtl/>
        </w:rPr>
        <w:t>–</w:t>
      </w:r>
      <w:r>
        <w:rPr>
          <w:rFonts w:cs="Arial" w:hint="cs"/>
          <w:sz w:val="20"/>
          <w:szCs w:val="20"/>
          <w:rtl/>
        </w:rPr>
        <w:t xml:space="preserve"> רב ורבי חייא שווים שיש לטמא, וכן יש לפרש בדברי רבי יוסי שטיהר משום נידה אך טימא משום כתם. </w:t>
      </w:r>
      <w:r>
        <w:rPr>
          <w:rFonts w:cs="Arial" w:hint="cs"/>
          <w:sz w:val="20"/>
          <w:szCs w:val="20"/>
          <w:rtl/>
        </w:rPr>
        <w:br/>
        <w:t xml:space="preserve">ג. </w:t>
      </w:r>
      <w:r w:rsidRPr="008610C4">
        <w:rPr>
          <w:rFonts w:cs="Arial" w:hint="cs"/>
          <w:b/>
          <w:bCs/>
          <w:sz w:val="20"/>
          <w:szCs w:val="20"/>
          <w:rtl/>
        </w:rPr>
        <w:t>רשב"א ורמב"ן</w:t>
      </w:r>
      <w:r>
        <w:rPr>
          <w:rFonts w:cs="Arial" w:hint="cs"/>
          <w:sz w:val="20"/>
          <w:szCs w:val="20"/>
          <w:rtl/>
        </w:rPr>
        <w:t xml:space="preserve"> </w:t>
      </w:r>
      <w:r>
        <w:rPr>
          <w:rFonts w:cs="Arial"/>
          <w:sz w:val="20"/>
          <w:szCs w:val="20"/>
          <w:rtl/>
        </w:rPr>
        <w:t>–</w:t>
      </w:r>
      <w:r>
        <w:rPr>
          <w:rFonts w:cs="Arial" w:hint="cs"/>
          <w:sz w:val="20"/>
          <w:szCs w:val="20"/>
          <w:rtl/>
        </w:rPr>
        <w:t xml:space="preserve"> לעיקר הדין טהורה כרבי יוסי, אך המחמיר תע"ב, והפוסקים נקטו שדעתם להחמיר</w:t>
      </w:r>
      <w:r>
        <w:rPr>
          <w:rStyle w:val="a5"/>
          <w:rFonts w:cs="Arial"/>
          <w:sz w:val="20"/>
          <w:szCs w:val="20"/>
          <w:rtl/>
        </w:rPr>
        <w:footnoteReference w:id="323"/>
      </w:r>
      <w:r>
        <w:rPr>
          <w:rFonts w:cs="Arial" w:hint="cs"/>
          <w:sz w:val="20"/>
          <w:szCs w:val="20"/>
          <w:rtl/>
        </w:rPr>
        <w:t>.</w:t>
      </w:r>
      <w:r>
        <w:rPr>
          <w:rFonts w:cs="Arial" w:hint="cs"/>
          <w:sz w:val="20"/>
          <w:szCs w:val="20"/>
          <w:rtl/>
        </w:rPr>
        <w:br/>
      </w:r>
      <w:r w:rsidRPr="008F76F1">
        <w:rPr>
          <w:rFonts w:cs="Arial" w:hint="cs"/>
          <w:b/>
          <w:bCs/>
          <w:sz w:val="20"/>
          <w:szCs w:val="20"/>
          <w:rtl/>
        </w:rPr>
        <w:t>טעם</w:t>
      </w:r>
      <w:r>
        <w:rPr>
          <w:rFonts w:cs="Arial" w:hint="cs"/>
          <w:sz w:val="20"/>
          <w:szCs w:val="20"/>
          <w:rtl/>
        </w:rPr>
        <w:t xml:space="preserve"> </w:t>
      </w:r>
      <w:r>
        <w:rPr>
          <w:rFonts w:cs="Arial"/>
          <w:sz w:val="20"/>
          <w:szCs w:val="20"/>
          <w:rtl/>
        </w:rPr>
        <w:t>–</w:t>
      </w:r>
      <w:r>
        <w:rPr>
          <w:rFonts w:cs="Arial" w:hint="cs"/>
          <w:sz w:val="20"/>
          <w:szCs w:val="20"/>
          <w:rtl/>
        </w:rPr>
        <w:t xml:space="preserve"> הגמרא משווה בין המחלוקת בבדיקת עד שאינו בדוק להטלת מ"ר, ובהטלת מ"ר קיי"ל כרבי יוסי לטהר.</w:t>
      </w:r>
      <w:r>
        <w:rPr>
          <w:rFonts w:cs="Arial"/>
          <w:sz w:val="20"/>
          <w:szCs w:val="20"/>
          <w:rtl/>
        </w:rPr>
        <w:br/>
      </w:r>
      <w:r w:rsidRPr="000C12E1">
        <w:rPr>
          <w:rFonts w:cs="Arial" w:hint="cs"/>
          <w:sz w:val="18"/>
          <w:szCs w:val="18"/>
          <w:rtl/>
        </w:rPr>
        <w:t xml:space="preserve">[ואמנם, מוסכם בראשונים לטמא דווקא בכתם הגדול מכגריס, כפי שנאמר להדיא בגמרא, וכ"פ </w:t>
      </w:r>
      <w:r w:rsidRPr="000C12E1">
        <w:rPr>
          <w:rFonts w:cs="Arial" w:hint="cs"/>
          <w:b/>
          <w:bCs/>
          <w:sz w:val="18"/>
          <w:szCs w:val="18"/>
          <w:rtl/>
        </w:rPr>
        <w:t>המחבר</w:t>
      </w:r>
      <w:r w:rsidRPr="000C12E1">
        <w:rPr>
          <w:rFonts w:cs="Arial" w:hint="cs"/>
          <w:sz w:val="18"/>
          <w:szCs w:val="18"/>
          <w:rtl/>
        </w:rPr>
        <w:t>].</w:t>
      </w:r>
    </w:p>
    <w:p w:rsidR="00620060" w:rsidRDefault="00620060" w:rsidP="00620060">
      <w:pPr>
        <w:rPr>
          <w:rFonts w:cs="Arial"/>
          <w:sz w:val="20"/>
          <w:szCs w:val="20"/>
          <w:rtl/>
        </w:rPr>
      </w:pPr>
      <w:r>
        <w:rPr>
          <w:rFonts w:cs="Arial" w:hint="cs"/>
          <w:b/>
          <w:bCs/>
          <w:sz w:val="20"/>
          <w:szCs w:val="20"/>
          <w:rtl/>
        </w:rPr>
        <w:t>פסיקת הלכה</w:t>
      </w:r>
      <w:r>
        <w:rPr>
          <w:rFonts w:cs="Arial"/>
          <w:b/>
          <w:bCs/>
          <w:sz w:val="20"/>
          <w:szCs w:val="20"/>
          <w:rtl/>
        </w:rPr>
        <w:br/>
      </w:r>
      <w:r>
        <w:rPr>
          <w:rFonts w:cs="Arial" w:hint="cs"/>
          <w:b/>
          <w:bCs/>
          <w:sz w:val="20"/>
          <w:szCs w:val="20"/>
          <w:rtl/>
        </w:rPr>
        <w:t xml:space="preserve">שולחן ערוך </w:t>
      </w:r>
      <w:r>
        <w:rPr>
          <w:rFonts w:cs="Arial"/>
          <w:sz w:val="20"/>
          <w:szCs w:val="20"/>
          <w:rtl/>
        </w:rPr>
        <w:t>–</w:t>
      </w:r>
      <w:r>
        <w:rPr>
          <w:rFonts w:cs="Arial" w:hint="cs"/>
          <w:sz w:val="20"/>
          <w:szCs w:val="20"/>
          <w:rtl/>
        </w:rPr>
        <w:t xml:space="preserve"> "</w:t>
      </w:r>
      <w:r w:rsidRPr="0003762C">
        <w:rPr>
          <w:rFonts w:cs="Arial"/>
          <w:sz w:val="20"/>
          <w:szCs w:val="20"/>
          <w:rtl/>
        </w:rPr>
        <w:t>בדקה עצמה בעד שאינו בדוק לה, אפילו הניחתו שמור בתיבתה ומצאה עליו דם, טמאה אם יש בו כגריס ועוד</w:t>
      </w:r>
      <w:r>
        <w:rPr>
          <w:rFonts w:cs="Arial" w:hint="cs"/>
          <w:sz w:val="20"/>
          <w:szCs w:val="20"/>
          <w:rtl/>
        </w:rPr>
        <w:t>".</w:t>
      </w:r>
    </w:p>
    <w:p w:rsidR="00620060" w:rsidRDefault="00620060" w:rsidP="00620060">
      <w:pPr>
        <w:rPr>
          <w:rFonts w:cs="Arial"/>
          <w:sz w:val="20"/>
          <w:szCs w:val="20"/>
          <w:rtl/>
        </w:rPr>
      </w:pPr>
      <w:r>
        <w:rPr>
          <w:rFonts w:cs="Arial" w:hint="cs"/>
          <w:sz w:val="20"/>
          <w:szCs w:val="20"/>
          <w:u w:val="single"/>
          <w:rtl/>
        </w:rPr>
        <w:t>שיעור הכתם המטמא (פת"ש וטהרת הבית חלק א עמ' תסט)</w:t>
      </w:r>
      <w:r>
        <w:rPr>
          <w:rFonts w:cs="Arial"/>
          <w:sz w:val="20"/>
          <w:szCs w:val="20"/>
          <w:u w:val="single"/>
          <w:rtl/>
        </w:rPr>
        <w:br/>
      </w:r>
      <w:r>
        <w:rPr>
          <w:rFonts w:cs="Arial" w:hint="cs"/>
          <w:sz w:val="20"/>
          <w:szCs w:val="20"/>
          <w:rtl/>
        </w:rPr>
        <w:t xml:space="preserve">א. </w:t>
      </w:r>
      <w:r w:rsidRPr="007055A0">
        <w:rPr>
          <w:rFonts w:cs="Arial" w:hint="cs"/>
          <w:b/>
          <w:bCs/>
          <w:sz w:val="20"/>
          <w:szCs w:val="20"/>
          <w:rtl/>
        </w:rPr>
        <w:t>חתם סופר</w:t>
      </w:r>
      <w:r>
        <w:rPr>
          <w:rFonts w:cs="Arial" w:hint="cs"/>
          <w:sz w:val="20"/>
          <w:szCs w:val="20"/>
          <w:rtl/>
        </w:rPr>
        <w:t xml:space="preserve"> </w:t>
      </w:r>
      <w:r>
        <w:rPr>
          <w:rFonts w:cs="Arial"/>
          <w:sz w:val="20"/>
          <w:szCs w:val="20"/>
          <w:rtl/>
        </w:rPr>
        <w:t>–</w:t>
      </w:r>
      <w:r>
        <w:rPr>
          <w:rFonts w:cs="Arial" w:hint="cs"/>
          <w:sz w:val="20"/>
          <w:szCs w:val="20"/>
          <w:rtl/>
        </w:rPr>
        <w:t xml:space="preserve"> למרות שכתם רגיל טמא רק אם גודלו כמאכולת שהיתה בתקופת חז"ל אע"פ שכיום אין מאכולת בגודל כזה, מכל מקום כאן יש להחמיר ולטמא אם הכתם גדול מגודל מאכולת שיש בזמנינו, וכן הדין אם הרגישה זיבת דבר לח.</w:t>
      </w:r>
      <w:r>
        <w:rPr>
          <w:rFonts w:cs="Arial" w:hint="cs"/>
          <w:sz w:val="20"/>
          <w:szCs w:val="20"/>
          <w:rtl/>
        </w:rPr>
        <w:br/>
        <w:t xml:space="preserve">ב. </w:t>
      </w:r>
      <w:r w:rsidRPr="004C1721">
        <w:rPr>
          <w:rFonts w:cs="Arial" w:hint="cs"/>
          <w:b/>
          <w:bCs/>
          <w:sz w:val="20"/>
          <w:szCs w:val="20"/>
          <w:rtl/>
        </w:rPr>
        <w:t>טהרת הבית</w:t>
      </w:r>
      <w:r>
        <w:rPr>
          <w:rFonts w:cs="Arial" w:hint="cs"/>
          <w:sz w:val="20"/>
          <w:szCs w:val="20"/>
          <w:rtl/>
        </w:rPr>
        <w:t xml:space="preserve"> </w:t>
      </w:r>
      <w:r>
        <w:rPr>
          <w:rFonts w:cs="Arial"/>
          <w:sz w:val="20"/>
          <w:szCs w:val="20"/>
          <w:rtl/>
        </w:rPr>
        <w:t>–</w:t>
      </w:r>
      <w:r>
        <w:rPr>
          <w:rFonts w:cs="Arial" w:hint="cs"/>
          <w:sz w:val="20"/>
          <w:szCs w:val="20"/>
          <w:rtl/>
        </w:rPr>
        <w:t xml:space="preserve"> דין גודל הכתם כאן כשאר דיני כתמים, דהיינו בשיעור מאכולת שהיתה בזמן חכמי הגמרא.</w:t>
      </w:r>
      <w:r>
        <w:rPr>
          <w:rFonts w:cs="Arial" w:hint="cs"/>
          <w:sz w:val="20"/>
          <w:szCs w:val="20"/>
          <w:rtl/>
        </w:rPr>
        <w:br/>
      </w:r>
      <w:r w:rsidRPr="004C1721">
        <w:rPr>
          <w:rFonts w:cs="Arial" w:hint="cs"/>
          <w:b/>
          <w:bCs/>
          <w:sz w:val="20"/>
          <w:szCs w:val="20"/>
          <w:rtl/>
        </w:rPr>
        <w:t>טעם</w:t>
      </w:r>
      <w:r>
        <w:rPr>
          <w:rFonts w:cs="Arial" w:hint="cs"/>
          <w:sz w:val="20"/>
          <w:szCs w:val="20"/>
          <w:rtl/>
        </w:rPr>
        <w:t xml:space="preserve"> </w:t>
      </w:r>
      <w:r>
        <w:rPr>
          <w:rFonts w:cs="Arial"/>
          <w:sz w:val="20"/>
          <w:szCs w:val="20"/>
          <w:rtl/>
        </w:rPr>
        <w:t>–</w:t>
      </w:r>
      <w:r>
        <w:rPr>
          <w:rFonts w:cs="Arial" w:hint="cs"/>
          <w:sz w:val="20"/>
          <w:szCs w:val="20"/>
          <w:rtl/>
        </w:rPr>
        <w:t xml:space="preserve"> בכל מקום שניתן לתלות את הכתם בעלמא, שיעורו לטמא בכגריס ועוד כשיעור מאכולת של זמן חכמי הגמרא, וכן מוכח גם מדברי המחבר שלא חילק בדין זה.</w:t>
      </w:r>
    </w:p>
    <w:p w:rsidR="00620060" w:rsidRDefault="00620060" w:rsidP="00620060">
      <w:pPr>
        <w:rPr>
          <w:rFonts w:cs="Arial"/>
          <w:sz w:val="20"/>
          <w:szCs w:val="20"/>
          <w:rtl/>
        </w:rPr>
      </w:pPr>
      <w:r>
        <w:rPr>
          <w:rFonts w:cs="Arial" w:hint="cs"/>
          <w:b/>
          <w:bCs/>
          <w:sz w:val="20"/>
          <w:szCs w:val="20"/>
          <w:rtl/>
        </w:rPr>
        <w:t>הגדרת עד שאינו בדוק</w:t>
      </w:r>
      <w:r>
        <w:rPr>
          <w:rFonts w:cs="Arial"/>
          <w:b/>
          <w:bCs/>
          <w:sz w:val="20"/>
          <w:szCs w:val="20"/>
          <w:rtl/>
        </w:rPr>
        <w:br/>
      </w:r>
      <w:r>
        <w:rPr>
          <w:rFonts w:cs="Arial" w:hint="cs"/>
          <w:b/>
          <w:bCs/>
          <w:sz w:val="20"/>
          <w:szCs w:val="20"/>
          <w:rtl/>
        </w:rPr>
        <w:t xml:space="preserve">ריטב"א ורשב"א </w:t>
      </w:r>
      <w:r w:rsidRPr="00296C7D">
        <w:rPr>
          <w:rFonts w:cs="Arial" w:hint="cs"/>
          <w:sz w:val="18"/>
          <w:szCs w:val="18"/>
          <w:rtl/>
        </w:rPr>
        <w:t xml:space="preserve">(ע"פ </w:t>
      </w:r>
      <w:r w:rsidRPr="00296C7D">
        <w:rPr>
          <w:rFonts w:cs="Arial" w:hint="cs"/>
          <w:b/>
          <w:bCs/>
          <w:sz w:val="18"/>
          <w:szCs w:val="18"/>
          <w:rtl/>
        </w:rPr>
        <w:t>ששבה"ל</w:t>
      </w:r>
      <w:r w:rsidRPr="00296C7D">
        <w:rPr>
          <w:rFonts w:cs="Arial" w:hint="cs"/>
          <w:sz w:val="18"/>
          <w:szCs w:val="18"/>
          <w:rtl/>
        </w:rPr>
        <w:t>)</w:t>
      </w:r>
      <w:r w:rsidRPr="00296C7D">
        <w:rPr>
          <w:rFonts w:cs="Arial" w:hint="cs"/>
          <w:b/>
          <w:bCs/>
          <w:sz w:val="18"/>
          <w:szCs w:val="18"/>
          <w:rtl/>
        </w:rPr>
        <w:t xml:space="preserve"> </w:t>
      </w:r>
      <w:r>
        <w:rPr>
          <w:rFonts w:cs="Arial"/>
          <w:sz w:val="20"/>
          <w:szCs w:val="20"/>
          <w:rtl/>
        </w:rPr>
        <w:t>–</w:t>
      </w:r>
      <w:r>
        <w:rPr>
          <w:rFonts w:cs="Arial" w:hint="cs"/>
          <w:sz w:val="20"/>
          <w:szCs w:val="20"/>
          <w:rtl/>
        </w:rPr>
        <w:t xml:space="preserve"> יש להבחין בין שלושה סוגים של עדים - </w:t>
      </w:r>
      <w:r>
        <w:rPr>
          <w:rFonts w:cs="Arial"/>
          <w:sz w:val="20"/>
          <w:szCs w:val="20"/>
          <w:rtl/>
        </w:rPr>
        <w:br/>
      </w:r>
      <w:r>
        <w:rPr>
          <w:rFonts w:cs="Arial" w:hint="cs"/>
          <w:sz w:val="20"/>
          <w:szCs w:val="20"/>
          <w:rtl/>
        </w:rPr>
        <w:t xml:space="preserve">א. </w:t>
      </w:r>
      <w:r w:rsidRPr="00914406">
        <w:rPr>
          <w:rFonts w:cs="Arial" w:hint="cs"/>
          <w:sz w:val="20"/>
          <w:szCs w:val="20"/>
          <w:u w:val="single"/>
          <w:rtl/>
        </w:rPr>
        <w:t>עד בדוק</w:t>
      </w:r>
      <w:r>
        <w:rPr>
          <w:rFonts w:cs="Arial" w:hint="cs"/>
          <w:sz w:val="20"/>
          <w:szCs w:val="20"/>
          <w:rtl/>
        </w:rPr>
        <w:t xml:space="preserve"> </w:t>
      </w:r>
      <w:r>
        <w:rPr>
          <w:rFonts w:cs="Arial"/>
          <w:sz w:val="20"/>
          <w:szCs w:val="20"/>
          <w:rtl/>
        </w:rPr>
        <w:t>–</w:t>
      </w:r>
      <w:r>
        <w:rPr>
          <w:rFonts w:cs="Arial" w:hint="cs"/>
          <w:sz w:val="20"/>
          <w:szCs w:val="20"/>
          <w:rtl/>
        </w:rPr>
        <w:t xml:space="preserve"> עד שבדקה אותו בעבר והניחה אותו במקום המשומר מכל לכלוך.</w:t>
      </w:r>
      <w:r>
        <w:rPr>
          <w:rFonts w:cs="Arial"/>
          <w:sz w:val="20"/>
          <w:szCs w:val="20"/>
          <w:rtl/>
        </w:rPr>
        <w:br/>
      </w:r>
      <w:r w:rsidRPr="000725EF">
        <w:rPr>
          <w:rFonts w:cs="Arial" w:hint="cs"/>
          <w:b/>
          <w:bCs/>
          <w:sz w:val="20"/>
          <w:szCs w:val="20"/>
          <w:rtl/>
        </w:rPr>
        <w:t>דין</w:t>
      </w:r>
      <w:r>
        <w:rPr>
          <w:rFonts w:cs="Arial" w:hint="cs"/>
          <w:sz w:val="20"/>
          <w:szCs w:val="20"/>
          <w:rtl/>
        </w:rPr>
        <w:t xml:space="preserve"> </w:t>
      </w:r>
      <w:r>
        <w:rPr>
          <w:rFonts w:cs="Arial"/>
          <w:sz w:val="20"/>
          <w:szCs w:val="20"/>
          <w:rtl/>
        </w:rPr>
        <w:t>–</w:t>
      </w:r>
      <w:r>
        <w:rPr>
          <w:rFonts w:cs="Arial" w:hint="cs"/>
          <w:sz w:val="20"/>
          <w:szCs w:val="20"/>
          <w:rtl/>
        </w:rPr>
        <w:t xml:space="preserve"> למרות שלא בדקה אותו לפני שבדקה בו, טמאה.</w:t>
      </w:r>
      <w:r>
        <w:rPr>
          <w:rFonts w:cs="Arial"/>
          <w:sz w:val="20"/>
          <w:szCs w:val="20"/>
          <w:rtl/>
        </w:rPr>
        <w:br/>
      </w:r>
      <w:r>
        <w:rPr>
          <w:rFonts w:cs="Arial" w:hint="cs"/>
          <w:sz w:val="20"/>
          <w:szCs w:val="20"/>
          <w:rtl/>
        </w:rPr>
        <w:t xml:space="preserve">ב. </w:t>
      </w:r>
      <w:r w:rsidRPr="00914406">
        <w:rPr>
          <w:rFonts w:cs="Arial" w:hint="cs"/>
          <w:sz w:val="20"/>
          <w:szCs w:val="20"/>
          <w:u w:val="single"/>
          <w:rtl/>
        </w:rPr>
        <w:t>עד מלוכלך</w:t>
      </w:r>
      <w:r>
        <w:rPr>
          <w:rFonts w:cs="Arial" w:hint="cs"/>
          <w:sz w:val="20"/>
          <w:szCs w:val="20"/>
          <w:rtl/>
        </w:rPr>
        <w:t xml:space="preserve"> </w:t>
      </w:r>
      <w:r>
        <w:rPr>
          <w:rFonts w:cs="Arial"/>
          <w:sz w:val="20"/>
          <w:szCs w:val="20"/>
          <w:rtl/>
        </w:rPr>
        <w:t>–</w:t>
      </w:r>
      <w:r>
        <w:rPr>
          <w:rFonts w:cs="Arial" w:hint="cs"/>
          <w:sz w:val="20"/>
          <w:szCs w:val="20"/>
          <w:rtl/>
        </w:rPr>
        <w:t xml:space="preserve"> עד המונח באשפה או במקום התורפה </w:t>
      </w:r>
      <w:r w:rsidRPr="00E5318F">
        <w:rPr>
          <w:rFonts w:cs="Arial" w:hint="cs"/>
          <w:sz w:val="18"/>
          <w:szCs w:val="18"/>
          <w:rtl/>
        </w:rPr>
        <w:t>(דהיינו מקום שמועד ללכלוך)</w:t>
      </w:r>
      <w:r>
        <w:rPr>
          <w:rFonts w:cs="Arial" w:hint="cs"/>
          <w:sz w:val="20"/>
          <w:szCs w:val="20"/>
          <w:rtl/>
        </w:rPr>
        <w:t>.</w:t>
      </w:r>
      <w:r>
        <w:rPr>
          <w:rFonts w:cs="Arial"/>
          <w:sz w:val="20"/>
          <w:szCs w:val="20"/>
          <w:rtl/>
        </w:rPr>
        <w:br/>
      </w:r>
      <w:r w:rsidRPr="000725EF">
        <w:rPr>
          <w:rFonts w:cs="Arial" w:hint="cs"/>
          <w:b/>
          <w:bCs/>
          <w:sz w:val="20"/>
          <w:szCs w:val="20"/>
          <w:rtl/>
        </w:rPr>
        <w:t>דין</w:t>
      </w:r>
      <w:r>
        <w:rPr>
          <w:rFonts w:cs="Arial" w:hint="cs"/>
          <w:sz w:val="20"/>
          <w:szCs w:val="20"/>
          <w:rtl/>
        </w:rPr>
        <w:t xml:space="preserve"> </w:t>
      </w:r>
      <w:r>
        <w:rPr>
          <w:rFonts w:cs="Arial"/>
          <w:sz w:val="20"/>
          <w:szCs w:val="20"/>
          <w:rtl/>
        </w:rPr>
        <w:t>–</w:t>
      </w:r>
      <w:r>
        <w:rPr>
          <w:rFonts w:cs="Arial" w:hint="cs"/>
          <w:sz w:val="20"/>
          <w:szCs w:val="20"/>
          <w:rtl/>
        </w:rPr>
        <w:t xml:space="preserve"> הבדיקה בו אינה כלום, ולכו"ע טהורה.</w:t>
      </w:r>
      <w:r>
        <w:rPr>
          <w:rFonts w:cs="Arial"/>
          <w:sz w:val="20"/>
          <w:szCs w:val="20"/>
          <w:rtl/>
        </w:rPr>
        <w:br/>
      </w:r>
      <w:r>
        <w:rPr>
          <w:rFonts w:cs="Arial" w:hint="cs"/>
          <w:sz w:val="20"/>
          <w:szCs w:val="20"/>
          <w:rtl/>
        </w:rPr>
        <w:t xml:space="preserve">ג. </w:t>
      </w:r>
      <w:r w:rsidRPr="00914406">
        <w:rPr>
          <w:rFonts w:cs="Arial" w:hint="cs"/>
          <w:sz w:val="20"/>
          <w:szCs w:val="20"/>
          <w:u w:val="single"/>
          <w:rtl/>
        </w:rPr>
        <w:t xml:space="preserve">עד </w:t>
      </w:r>
      <w:r>
        <w:rPr>
          <w:rFonts w:cs="Arial" w:hint="cs"/>
          <w:sz w:val="20"/>
          <w:szCs w:val="20"/>
          <w:u w:val="single"/>
          <w:rtl/>
        </w:rPr>
        <w:t>בינוני</w:t>
      </w:r>
      <w:r>
        <w:rPr>
          <w:rFonts w:cs="Arial" w:hint="cs"/>
          <w:sz w:val="20"/>
          <w:szCs w:val="20"/>
          <w:rtl/>
        </w:rPr>
        <w:t xml:space="preserve"> </w:t>
      </w:r>
      <w:r>
        <w:rPr>
          <w:rFonts w:cs="Arial"/>
          <w:sz w:val="20"/>
          <w:szCs w:val="20"/>
          <w:rtl/>
        </w:rPr>
        <w:t>–</w:t>
      </w:r>
      <w:r>
        <w:rPr>
          <w:rFonts w:cs="Arial" w:hint="cs"/>
          <w:sz w:val="20"/>
          <w:szCs w:val="20"/>
          <w:rtl/>
        </w:rPr>
        <w:t xml:space="preserve"> הניחה אותו במקום מוצנע ונקי</w:t>
      </w:r>
      <w:r>
        <w:rPr>
          <w:rStyle w:val="a5"/>
          <w:rFonts w:cs="Arial"/>
          <w:sz w:val="20"/>
          <w:szCs w:val="20"/>
          <w:rtl/>
        </w:rPr>
        <w:footnoteReference w:id="324"/>
      </w:r>
      <w:r>
        <w:rPr>
          <w:rFonts w:cs="Arial" w:hint="cs"/>
          <w:sz w:val="20"/>
          <w:szCs w:val="20"/>
          <w:rtl/>
        </w:rPr>
        <w:t xml:space="preserve"> אך לא בדקה אותו מעולם,</w:t>
      </w:r>
      <w:r w:rsidRPr="00432B54">
        <w:rPr>
          <w:rFonts w:cs="Arial" w:hint="cs"/>
          <w:sz w:val="20"/>
          <w:szCs w:val="20"/>
          <w:rtl/>
        </w:rPr>
        <w:t xml:space="preserve"> </w:t>
      </w:r>
      <w:r>
        <w:rPr>
          <w:rFonts w:cs="Arial" w:hint="cs"/>
          <w:sz w:val="20"/>
          <w:szCs w:val="20"/>
          <w:rtl/>
        </w:rPr>
        <w:t>והוא העד עליו מדובר כאן.</w:t>
      </w:r>
    </w:p>
    <w:p w:rsidR="00620060" w:rsidRPr="0061236B" w:rsidRDefault="00620060" w:rsidP="00620060">
      <w:pPr>
        <w:rPr>
          <w:rFonts w:cs="Arial"/>
          <w:sz w:val="20"/>
          <w:szCs w:val="20"/>
          <w:rtl/>
        </w:rPr>
      </w:pPr>
      <w:r>
        <w:rPr>
          <w:rFonts w:cs="Arial" w:hint="cs"/>
          <w:b/>
          <w:bCs/>
          <w:sz w:val="20"/>
          <w:szCs w:val="20"/>
          <w:rtl/>
        </w:rPr>
        <w:t>פסיקת הלכה</w:t>
      </w:r>
      <w:r>
        <w:rPr>
          <w:rFonts w:cs="Arial"/>
          <w:b/>
          <w:bCs/>
          <w:sz w:val="20"/>
          <w:szCs w:val="20"/>
          <w:rtl/>
        </w:rPr>
        <w:br/>
      </w:r>
      <w:r w:rsidRPr="00661ABA">
        <w:rPr>
          <w:rFonts w:cs="Arial" w:hint="cs"/>
          <w:b/>
          <w:bCs/>
          <w:sz w:val="20"/>
          <w:szCs w:val="20"/>
          <w:rtl/>
        </w:rPr>
        <w:t>רמ"א</w:t>
      </w:r>
      <w:r>
        <w:rPr>
          <w:rFonts w:cs="Arial" w:hint="cs"/>
          <w:sz w:val="20"/>
          <w:szCs w:val="20"/>
          <w:rtl/>
        </w:rPr>
        <w:t xml:space="preserve"> </w:t>
      </w:r>
      <w:r>
        <w:rPr>
          <w:rFonts w:cs="Arial"/>
          <w:sz w:val="20"/>
          <w:szCs w:val="20"/>
          <w:rtl/>
        </w:rPr>
        <w:t>–</w:t>
      </w:r>
      <w:r>
        <w:rPr>
          <w:rFonts w:cs="Arial" w:hint="cs"/>
          <w:sz w:val="20"/>
          <w:szCs w:val="20"/>
          <w:rtl/>
        </w:rPr>
        <w:t xml:space="preserve"> </w:t>
      </w:r>
      <w:r w:rsidRPr="00661ABA">
        <w:rPr>
          <w:rFonts w:cs="Arial" w:hint="cs"/>
          <w:sz w:val="18"/>
          <w:szCs w:val="18"/>
          <w:rtl/>
        </w:rPr>
        <w:t>"</w:t>
      </w:r>
      <w:r w:rsidRPr="00661ABA">
        <w:rPr>
          <w:rFonts w:hint="cs"/>
          <w:sz w:val="18"/>
          <w:szCs w:val="18"/>
          <w:rtl/>
        </w:rPr>
        <w:t>ו</w:t>
      </w:r>
      <w:r w:rsidRPr="00661ABA">
        <w:rPr>
          <w:rFonts w:cs="Arial"/>
          <w:sz w:val="18"/>
          <w:szCs w:val="18"/>
          <w:rtl/>
        </w:rPr>
        <w:t>ד</w:t>
      </w:r>
      <w:r>
        <w:rPr>
          <w:rFonts w:cs="Arial" w:hint="cs"/>
          <w:sz w:val="18"/>
          <w:szCs w:val="18"/>
          <w:rtl/>
        </w:rPr>
        <w:t>ו</w:t>
      </w:r>
      <w:r w:rsidRPr="00661ABA">
        <w:rPr>
          <w:rFonts w:cs="Arial"/>
          <w:sz w:val="18"/>
          <w:szCs w:val="18"/>
          <w:rtl/>
        </w:rPr>
        <w:t>וקא בעד בינוני, דהיינו שאין חזקתו בדוק ולא מלוכלך, אבל אם בדקה עצמה בעד שחזקתו מלוכלך, כגון שלקחה עד ממקום שדמים מצויין שם, שחזקתו שכבר היו בו כתמים, ובדקה עצמה בו ונמצא עליו כתם, טהורה אפילו יותר מכגריס</w:t>
      </w:r>
      <w:r w:rsidRPr="00661ABA">
        <w:rPr>
          <w:rFonts w:cs="Arial" w:hint="cs"/>
          <w:sz w:val="18"/>
          <w:szCs w:val="18"/>
          <w:rtl/>
        </w:rPr>
        <w:t>".</w:t>
      </w:r>
    </w:p>
    <w:p w:rsidR="00620060" w:rsidRDefault="00620060" w:rsidP="00620060">
      <w:pPr>
        <w:rPr>
          <w:rFonts w:cs="Arial"/>
          <w:sz w:val="20"/>
          <w:szCs w:val="20"/>
          <w:rtl/>
        </w:rPr>
      </w:pPr>
      <w:r>
        <w:rPr>
          <w:rFonts w:cs="Arial" w:hint="cs"/>
          <w:b/>
          <w:bCs/>
          <w:sz w:val="20"/>
          <w:szCs w:val="20"/>
          <w:rtl/>
        </w:rPr>
        <w:t>סיכום</w:t>
      </w:r>
      <w:r>
        <w:rPr>
          <w:rFonts w:cs="Arial"/>
          <w:b/>
          <w:bCs/>
          <w:sz w:val="20"/>
          <w:szCs w:val="20"/>
          <w:rtl/>
        </w:rPr>
        <w:br/>
      </w:r>
      <w:r>
        <w:rPr>
          <w:rFonts w:cs="Arial" w:hint="cs"/>
          <w:sz w:val="20"/>
          <w:szCs w:val="20"/>
          <w:rtl/>
        </w:rPr>
        <w:t xml:space="preserve">1. </w:t>
      </w:r>
      <w:r w:rsidRPr="00BB5DFF">
        <w:rPr>
          <w:rFonts w:cs="Arial" w:hint="cs"/>
          <w:b/>
          <w:bCs/>
          <w:sz w:val="20"/>
          <w:szCs w:val="20"/>
          <w:rtl/>
        </w:rPr>
        <w:t>גמרא</w:t>
      </w:r>
      <w:r>
        <w:rPr>
          <w:rFonts w:cs="Arial" w:hint="cs"/>
          <w:sz w:val="20"/>
          <w:szCs w:val="20"/>
          <w:rtl/>
        </w:rPr>
        <w:t xml:space="preserve">. בדקה עצמה בעד שאינו בדוק. </w:t>
      </w:r>
      <w:r w:rsidRPr="00BB5DFF">
        <w:rPr>
          <w:rFonts w:cs="Arial" w:hint="cs"/>
          <w:sz w:val="20"/>
          <w:szCs w:val="20"/>
          <w:u w:val="single"/>
          <w:rtl/>
        </w:rPr>
        <w:t>רבי</w:t>
      </w:r>
      <w:r>
        <w:rPr>
          <w:rFonts w:cs="Arial" w:hint="cs"/>
          <w:sz w:val="20"/>
          <w:szCs w:val="20"/>
          <w:rtl/>
        </w:rPr>
        <w:t xml:space="preserve">. טמאה נידה. </w:t>
      </w:r>
      <w:r w:rsidRPr="00BB5DFF">
        <w:rPr>
          <w:rFonts w:cs="Arial" w:hint="cs"/>
          <w:sz w:val="20"/>
          <w:szCs w:val="20"/>
          <w:u w:val="single"/>
          <w:rtl/>
        </w:rPr>
        <w:t>רבי חייא</w:t>
      </w:r>
      <w:r>
        <w:rPr>
          <w:rFonts w:cs="Arial" w:hint="cs"/>
          <w:sz w:val="20"/>
          <w:szCs w:val="20"/>
          <w:rtl/>
        </w:rPr>
        <w:t xml:space="preserve">. טמאה משום כתם. </w:t>
      </w:r>
      <w:r w:rsidRPr="00BB5DFF">
        <w:rPr>
          <w:rFonts w:cs="Arial" w:hint="cs"/>
          <w:sz w:val="20"/>
          <w:szCs w:val="20"/>
          <w:u w:val="single"/>
          <w:rtl/>
        </w:rPr>
        <w:t>רבי יוסי</w:t>
      </w:r>
      <w:r>
        <w:rPr>
          <w:rFonts w:cs="Arial" w:hint="cs"/>
          <w:sz w:val="20"/>
          <w:szCs w:val="20"/>
          <w:rtl/>
        </w:rPr>
        <w:t>. טהורה.</w:t>
      </w:r>
      <w:r>
        <w:rPr>
          <w:rFonts w:cs="Arial"/>
          <w:sz w:val="20"/>
          <w:szCs w:val="20"/>
          <w:rtl/>
        </w:rPr>
        <w:br/>
      </w:r>
      <w:r>
        <w:rPr>
          <w:rFonts w:cs="Arial" w:hint="cs"/>
          <w:sz w:val="20"/>
          <w:szCs w:val="20"/>
          <w:rtl/>
        </w:rPr>
        <w:t xml:space="preserve">2. </w:t>
      </w:r>
      <w:r w:rsidRPr="00BB5DFF">
        <w:rPr>
          <w:rFonts w:cs="Arial" w:hint="cs"/>
          <w:b/>
          <w:bCs/>
          <w:sz w:val="20"/>
          <w:szCs w:val="20"/>
          <w:rtl/>
        </w:rPr>
        <w:t>רמב"ם</w:t>
      </w:r>
      <w:r>
        <w:rPr>
          <w:rFonts w:cs="Arial" w:hint="cs"/>
          <w:sz w:val="20"/>
          <w:szCs w:val="20"/>
          <w:rtl/>
        </w:rPr>
        <w:t xml:space="preserve">. טמאה מדאורייתא. </w:t>
      </w:r>
      <w:r w:rsidRPr="00BB5DFF">
        <w:rPr>
          <w:rFonts w:cs="Arial" w:hint="cs"/>
          <w:b/>
          <w:bCs/>
          <w:sz w:val="20"/>
          <w:szCs w:val="20"/>
          <w:rtl/>
        </w:rPr>
        <w:t>ר"ח וראב"ד</w:t>
      </w:r>
      <w:r>
        <w:rPr>
          <w:rFonts w:cs="Arial" w:hint="cs"/>
          <w:sz w:val="20"/>
          <w:szCs w:val="20"/>
          <w:rtl/>
        </w:rPr>
        <w:t xml:space="preserve">. טמאה מדרבנן. </w:t>
      </w:r>
      <w:r w:rsidRPr="00BB5DFF">
        <w:rPr>
          <w:rFonts w:cs="Arial" w:hint="cs"/>
          <w:b/>
          <w:bCs/>
          <w:sz w:val="20"/>
          <w:szCs w:val="20"/>
          <w:rtl/>
        </w:rPr>
        <w:t>רשב"א ורמב"ן</w:t>
      </w:r>
      <w:r>
        <w:rPr>
          <w:rFonts w:cs="Arial" w:hint="cs"/>
          <w:sz w:val="20"/>
          <w:szCs w:val="20"/>
          <w:rtl/>
        </w:rPr>
        <w:t>. לעיקה"ד טהורה, יש להחמיר.</w:t>
      </w:r>
      <w:r>
        <w:rPr>
          <w:rFonts w:cs="Arial"/>
          <w:sz w:val="20"/>
          <w:szCs w:val="20"/>
          <w:rtl/>
        </w:rPr>
        <w:br/>
      </w:r>
      <w:r>
        <w:rPr>
          <w:rFonts w:cs="Arial" w:hint="cs"/>
          <w:sz w:val="20"/>
          <w:szCs w:val="20"/>
          <w:rtl/>
        </w:rPr>
        <w:t xml:space="preserve">3. </w:t>
      </w:r>
      <w:r w:rsidRPr="00BB5DFF">
        <w:rPr>
          <w:rFonts w:cs="Arial" w:hint="cs"/>
          <w:b/>
          <w:bCs/>
          <w:sz w:val="20"/>
          <w:szCs w:val="20"/>
          <w:rtl/>
        </w:rPr>
        <w:t>מחבר</w:t>
      </w:r>
      <w:r>
        <w:rPr>
          <w:rFonts w:cs="Arial" w:hint="cs"/>
          <w:sz w:val="20"/>
          <w:szCs w:val="20"/>
          <w:rtl/>
        </w:rPr>
        <w:t>. טמאה, אך רק אם יש בו כשיעור גריס ועוד.</w:t>
      </w:r>
      <w:r>
        <w:rPr>
          <w:rFonts w:cs="Arial"/>
          <w:sz w:val="20"/>
          <w:szCs w:val="20"/>
          <w:rtl/>
        </w:rPr>
        <w:br/>
      </w:r>
      <w:r>
        <w:rPr>
          <w:rFonts w:cs="Arial" w:hint="cs"/>
          <w:sz w:val="20"/>
          <w:szCs w:val="20"/>
          <w:rtl/>
        </w:rPr>
        <w:t xml:space="preserve">4. </w:t>
      </w:r>
      <w:r w:rsidRPr="004C1721">
        <w:rPr>
          <w:rFonts w:cs="Arial" w:hint="cs"/>
          <w:sz w:val="20"/>
          <w:szCs w:val="20"/>
          <w:rtl/>
        </w:rPr>
        <w:t xml:space="preserve">האם יש להחמיר ולשער בשיעור מאכולת של ימינו? </w:t>
      </w:r>
      <w:r w:rsidRPr="004C1721">
        <w:rPr>
          <w:rFonts w:cs="Arial" w:hint="cs"/>
          <w:b/>
          <w:bCs/>
          <w:sz w:val="20"/>
          <w:szCs w:val="20"/>
          <w:rtl/>
        </w:rPr>
        <w:t>חת"ס</w:t>
      </w:r>
      <w:r w:rsidRPr="004C1721">
        <w:rPr>
          <w:rFonts w:cs="Arial" w:hint="cs"/>
          <w:sz w:val="20"/>
          <w:szCs w:val="20"/>
          <w:rtl/>
        </w:rPr>
        <w:t xml:space="preserve">. כן. </w:t>
      </w:r>
      <w:r w:rsidRPr="004C1721">
        <w:rPr>
          <w:rFonts w:cs="Arial" w:hint="cs"/>
          <w:b/>
          <w:bCs/>
          <w:sz w:val="20"/>
          <w:szCs w:val="20"/>
          <w:rtl/>
        </w:rPr>
        <w:t>טה"ב</w:t>
      </w:r>
      <w:r w:rsidRPr="004C1721">
        <w:rPr>
          <w:rFonts w:cs="Arial" w:hint="cs"/>
          <w:sz w:val="20"/>
          <w:szCs w:val="20"/>
          <w:rtl/>
        </w:rPr>
        <w:t xml:space="preserve">. לא. </w:t>
      </w:r>
      <w:r>
        <w:rPr>
          <w:rFonts w:cs="Arial"/>
          <w:sz w:val="20"/>
          <w:szCs w:val="20"/>
          <w:rtl/>
        </w:rPr>
        <w:br/>
      </w:r>
      <w:r>
        <w:rPr>
          <w:rFonts w:cs="Arial" w:hint="cs"/>
          <w:sz w:val="20"/>
          <w:szCs w:val="20"/>
          <w:rtl/>
        </w:rPr>
        <w:lastRenderedPageBreak/>
        <w:t xml:space="preserve">5. </w:t>
      </w:r>
      <w:r w:rsidRPr="00BB5DFF">
        <w:rPr>
          <w:rFonts w:cs="Arial" w:hint="cs"/>
          <w:sz w:val="20"/>
          <w:szCs w:val="20"/>
          <w:u w:val="single"/>
          <w:rtl/>
        </w:rPr>
        <w:t>הגדרות עדי בדיקה</w:t>
      </w:r>
      <w:r>
        <w:rPr>
          <w:rFonts w:cs="Arial" w:hint="cs"/>
          <w:sz w:val="20"/>
          <w:szCs w:val="20"/>
          <w:rtl/>
        </w:rPr>
        <w:t xml:space="preserve">. </w:t>
      </w:r>
      <w:r w:rsidRPr="00BB5DFF">
        <w:rPr>
          <w:rFonts w:cs="Arial" w:hint="cs"/>
          <w:sz w:val="20"/>
          <w:szCs w:val="20"/>
          <w:u w:val="single"/>
          <w:rtl/>
        </w:rPr>
        <w:t>בדוק</w:t>
      </w:r>
      <w:r>
        <w:rPr>
          <w:rFonts w:cs="Arial" w:hint="cs"/>
          <w:sz w:val="20"/>
          <w:szCs w:val="20"/>
          <w:rtl/>
        </w:rPr>
        <w:t xml:space="preserve">. בדקה בעבר והניחה במקום שמור, טמאה תמיד. </w:t>
      </w:r>
      <w:r w:rsidRPr="00BB5DFF">
        <w:rPr>
          <w:rFonts w:cs="Arial" w:hint="cs"/>
          <w:sz w:val="20"/>
          <w:szCs w:val="20"/>
          <w:u w:val="single"/>
          <w:rtl/>
        </w:rPr>
        <w:t>מלוכלך</w:t>
      </w:r>
      <w:r>
        <w:rPr>
          <w:rFonts w:cs="Arial" w:hint="cs"/>
          <w:sz w:val="20"/>
          <w:szCs w:val="20"/>
          <w:rtl/>
        </w:rPr>
        <w:t xml:space="preserve">. מונח באשפה, תמיד טהורה. </w:t>
      </w:r>
      <w:r w:rsidRPr="00BB5DFF">
        <w:rPr>
          <w:rFonts w:cs="Arial" w:hint="cs"/>
          <w:sz w:val="20"/>
          <w:szCs w:val="20"/>
          <w:u w:val="single"/>
          <w:rtl/>
        </w:rPr>
        <w:t>בינוני</w:t>
      </w:r>
      <w:r>
        <w:rPr>
          <w:rFonts w:cs="Arial" w:hint="cs"/>
          <w:sz w:val="20"/>
          <w:szCs w:val="20"/>
          <w:rtl/>
        </w:rPr>
        <w:t>. לא בדקתו מעולם אך הניחה במקום שמור. ועד בינוני הוא הנידון כאן.</w:t>
      </w:r>
    </w:p>
    <w:p w:rsidR="00620060" w:rsidRDefault="00620060" w:rsidP="00620060">
      <w:pPr>
        <w:rPr>
          <w:rFonts w:cs="Arial"/>
          <w:sz w:val="20"/>
          <w:szCs w:val="20"/>
          <w:rtl/>
        </w:rPr>
      </w:pPr>
      <w:r>
        <w:rPr>
          <w:rFonts w:cs="Arial"/>
          <w:sz w:val="20"/>
          <w:szCs w:val="20"/>
          <w:rtl/>
        </w:rPr>
        <w:br/>
      </w:r>
      <w:r>
        <w:rPr>
          <w:rFonts w:cs="Arial" w:hint="cs"/>
          <w:b/>
          <w:bCs/>
          <w:sz w:val="20"/>
          <w:szCs w:val="20"/>
          <w:rtl/>
        </w:rPr>
        <w:t xml:space="preserve">סעיף לז </w:t>
      </w:r>
      <w:r>
        <w:rPr>
          <w:rFonts w:cs="Arial"/>
          <w:b/>
          <w:bCs/>
          <w:sz w:val="20"/>
          <w:szCs w:val="20"/>
          <w:rtl/>
        </w:rPr>
        <w:t>–</w:t>
      </w:r>
      <w:r>
        <w:rPr>
          <w:rFonts w:cs="Arial" w:hint="cs"/>
          <w:b/>
          <w:bCs/>
          <w:sz w:val="20"/>
          <w:szCs w:val="20"/>
          <w:rtl/>
        </w:rPr>
        <w:t xml:space="preserve"> בדקה בעד שאינו בדוק וטחתו בירכה</w:t>
      </w:r>
      <w:r>
        <w:rPr>
          <w:rFonts w:cs="Arial"/>
          <w:b/>
          <w:bCs/>
          <w:sz w:val="20"/>
          <w:szCs w:val="20"/>
          <w:rtl/>
        </w:rPr>
        <w:br/>
      </w:r>
      <w:r>
        <w:rPr>
          <w:rFonts w:cs="Arial" w:hint="cs"/>
          <w:b/>
          <w:bCs/>
          <w:sz w:val="20"/>
          <w:szCs w:val="20"/>
          <w:rtl/>
        </w:rPr>
        <w:t>מקור הדין</w:t>
      </w:r>
      <w:r>
        <w:rPr>
          <w:rFonts w:cs="Arial"/>
          <w:b/>
          <w:bCs/>
          <w:sz w:val="20"/>
          <w:szCs w:val="20"/>
          <w:rtl/>
        </w:rPr>
        <w:br/>
      </w:r>
      <w:r>
        <w:rPr>
          <w:rFonts w:cs="Arial" w:hint="cs"/>
          <w:b/>
          <w:bCs/>
          <w:sz w:val="20"/>
          <w:szCs w:val="20"/>
          <w:rtl/>
        </w:rPr>
        <w:t xml:space="preserve">גמרא </w:t>
      </w:r>
      <w:r>
        <w:rPr>
          <w:rFonts w:cs="Arial" w:hint="cs"/>
          <w:sz w:val="20"/>
          <w:szCs w:val="20"/>
          <w:rtl/>
        </w:rPr>
        <w:t>נדה (יד.) "</w:t>
      </w:r>
      <w:r w:rsidRPr="00B2538B">
        <w:rPr>
          <w:rFonts w:cs="Arial"/>
          <w:sz w:val="20"/>
          <w:szCs w:val="20"/>
          <w:rtl/>
        </w:rPr>
        <w:t>אתמר, בדקה בעד שאינו בדוק לה והניחתו בקופסא</w:t>
      </w:r>
      <w:r>
        <w:rPr>
          <w:rFonts w:cs="Arial" w:hint="cs"/>
          <w:sz w:val="20"/>
          <w:szCs w:val="20"/>
          <w:rtl/>
        </w:rPr>
        <w:t>" וכו'.</w:t>
      </w:r>
      <w:r>
        <w:rPr>
          <w:rFonts w:cs="Arial"/>
          <w:sz w:val="20"/>
          <w:szCs w:val="20"/>
          <w:rtl/>
        </w:rPr>
        <w:br/>
      </w:r>
      <w:r w:rsidRPr="00CA1142">
        <w:rPr>
          <w:rFonts w:cs="Arial" w:hint="cs"/>
          <w:b/>
          <w:bCs/>
          <w:sz w:val="20"/>
          <w:szCs w:val="20"/>
          <w:rtl/>
        </w:rPr>
        <w:t>רש"י</w:t>
      </w:r>
      <w:r>
        <w:rPr>
          <w:rFonts w:cs="Arial" w:hint="cs"/>
          <w:sz w:val="20"/>
          <w:szCs w:val="20"/>
          <w:rtl/>
        </w:rPr>
        <w:t xml:space="preserve"> </w:t>
      </w:r>
      <w:r>
        <w:rPr>
          <w:rFonts w:cs="Arial"/>
          <w:sz w:val="20"/>
          <w:szCs w:val="20"/>
          <w:rtl/>
        </w:rPr>
        <w:t>–</w:t>
      </w:r>
      <w:r>
        <w:rPr>
          <w:rFonts w:cs="Arial" w:hint="cs"/>
          <w:sz w:val="20"/>
          <w:szCs w:val="20"/>
          <w:rtl/>
        </w:rPr>
        <w:t xml:space="preserve"> "</w:t>
      </w:r>
      <w:r w:rsidRPr="00B2538B">
        <w:rPr>
          <w:rFonts w:cs="Arial"/>
          <w:sz w:val="20"/>
          <w:szCs w:val="20"/>
          <w:rtl/>
        </w:rPr>
        <w:t>להכי לא נקט הכא טחתו בירכה</w:t>
      </w:r>
      <w:r>
        <w:rPr>
          <w:rFonts w:cs="Arial" w:hint="cs"/>
          <w:sz w:val="20"/>
          <w:szCs w:val="20"/>
          <w:rtl/>
        </w:rPr>
        <w:t>,</w:t>
      </w:r>
      <w:r>
        <w:rPr>
          <w:rFonts w:cs="Arial"/>
          <w:sz w:val="20"/>
          <w:szCs w:val="20"/>
          <w:rtl/>
        </w:rPr>
        <w:t xml:space="preserve"> דא</w:t>
      </w:r>
      <w:r>
        <w:rPr>
          <w:rFonts w:cs="Arial" w:hint="cs"/>
          <w:sz w:val="20"/>
          <w:szCs w:val="20"/>
          <w:rtl/>
        </w:rPr>
        <w:t xml:space="preserve">ם </w:t>
      </w:r>
      <w:r w:rsidRPr="00B2538B">
        <w:rPr>
          <w:rFonts w:cs="Arial"/>
          <w:sz w:val="20"/>
          <w:szCs w:val="20"/>
          <w:rtl/>
        </w:rPr>
        <w:t>כ</w:t>
      </w:r>
      <w:r>
        <w:rPr>
          <w:rFonts w:cs="Arial" w:hint="cs"/>
          <w:sz w:val="20"/>
          <w:szCs w:val="20"/>
          <w:rtl/>
        </w:rPr>
        <w:t>ן</w:t>
      </w:r>
      <w:r w:rsidRPr="00B2538B">
        <w:rPr>
          <w:rFonts w:cs="Arial"/>
          <w:sz w:val="20"/>
          <w:szCs w:val="20"/>
          <w:rtl/>
        </w:rPr>
        <w:t xml:space="preserve"> הוו להו תרי ספיקי לקולא</w:t>
      </w:r>
      <w:r>
        <w:rPr>
          <w:rFonts w:cs="Arial" w:hint="cs"/>
          <w:sz w:val="20"/>
          <w:szCs w:val="20"/>
          <w:rtl/>
        </w:rPr>
        <w:t>:</w:t>
      </w:r>
      <w:r w:rsidRPr="00B2538B">
        <w:rPr>
          <w:rFonts w:cs="Arial"/>
          <w:sz w:val="20"/>
          <w:szCs w:val="20"/>
          <w:rtl/>
        </w:rPr>
        <w:t xml:space="preserve"> חדא דלמא לאו מן העד הוטח על ירכה</w:t>
      </w:r>
      <w:r>
        <w:rPr>
          <w:rFonts w:cs="Arial" w:hint="cs"/>
          <w:sz w:val="20"/>
          <w:szCs w:val="20"/>
          <w:rtl/>
        </w:rPr>
        <w:t>,</w:t>
      </w:r>
      <w:r w:rsidRPr="00B2538B">
        <w:rPr>
          <w:rFonts w:cs="Arial"/>
          <w:sz w:val="20"/>
          <w:szCs w:val="20"/>
          <w:rtl/>
        </w:rPr>
        <w:t xml:space="preserve"> ואפילו א</w:t>
      </w:r>
      <w:r>
        <w:rPr>
          <w:rFonts w:cs="Arial" w:hint="cs"/>
          <w:sz w:val="20"/>
          <w:szCs w:val="20"/>
          <w:rtl/>
        </w:rPr>
        <w:t xml:space="preserve">ם תמצי לומר </w:t>
      </w:r>
      <w:r w:rsidRPr="00B2538B">
        <w:rPr>
          <w:rFonts w:cs="Arial"/>
          <w:sz w:val="20"/>
          <w:szCs w:val="20"/>
          <w:rtl/>
        </w:rPr>
        <w:t>מן העד אתא</w:t>
      </w:r>
      <w:r>
        <w:rPr>
          <w:rFonts w:cs="Arial" w:hint="cs"/>
          <w:sz w:val="20"/>
          <w:szCs w:val="20"/>
          <w:rtl/>
        </w:rPr>
        <w:t>,</w:t>
      </w:r>
      <w:r w:rsidRPr="00B2538B">
        <w:rPr>
          <w:rFonts w:cs="Arial"/>
          <w:sz w:val="20"/>
          <w:szCs w:val="20"/>
          <w:rtl/>
        </w:rPr>
        <w:t xml:space="preserve"> דל</w:t>
      </w:r>
      <w:r>
        <w:rPr>
          <w:rFonts w:cs="Arial"/>
          <w:sz w:val="20"/>
          <w:szCs w:val="20"/>
          <w:rtl/>
        </w:rPr>
        <w:t>מא כיון דאינו בדוק מקמי הכי הוה</w:t>
      </w:r>
      <w:r>
        <w:rPr>
          <w:rFonts w:cs="Arial" w:hint="cs"/>
          <w:sz w:val="20"/>
          <w:szCs w:val="20"/>
          <w:rtl/>
        </w:rPr>
        <w:t>".</w:t>
      </w:r>
    </w:p>
    <w:p w:rsidR="00620060" w:rsidRDefault="00620060" w:rsidP="00620060">
      <w:pPr>
        <w:rPr>
          <w:rFonts w:cs="Arial"/>
          <w:sz w:val="20"/>
          <w:szCs w:val="20"/>
          <w:rtl/>
        </w:rPr>
      </w:pPr>
      <w:r>
        <w:rPr>
          <w:rFonts w:cs="Arial" w:hint="cs"/>
          <w:b/>
          <w:bCs/>
          <w:sz w:val="20"/>
          <w:szCs w:val="20"/>
          <w:rtl/>
        </w:rPr>
        <w:t>פסיקת הלכה</w:t>
      </w:r>
      <w:r>
        <w:rPr>
          <w:rFonts w:cs="Arial"/>
          <w:b/>
          <w:bCs/>
          <w:sz w:val="20"/>
          <w:szCs w:val="20"/>
          <w:rtl/>
        </w:rPr>
        <w:br/>
      </w:r>
      <w:r>
        <w:rPr>
          <w:rFonts w:cs="Arial" w:hint="cs"/>
          <w:b/>
          <w:bCs/>
          <w:sz w:val="20"/>
          <w:szCs w:val="20"/>
          <w:rtl/>
        </w:rPr>
        <w:t xml:space="preserve">שולחן ערוך </w:t>
      </w:r>
      <w:r>
        <w:rPr>
          <w:rFonts w:cs="Arial"/>
          <w:sz w:val="20"/>
          <w:szCs w:val="20"/>
          <w:rtl/>
        </w:rPr>
        <w:t>–</w:t>
      </w:r>
      <w:r>
        <w:rPr>
          <w:rFonts w:cs="Arial" w:hint="cs"/>
          <w:sz w:val="20"/>
          <w:szCs w:val="20"/>
          <w:rtl/>
        </w:rPr>
        <w:t xml:space="preserve"> "</w:t>
      </w:r>
      <w:r w:rsidRPr="00B2538B">
        <w:rPr>
          <w:rFonts w:cs="Arial"/>
          <w:sz w:val="20"/>
          <w:szCs w:val="20"/>
          <w:rtl/>
        </w:rPr>
        <w:t>בדקה עצמה בעד שאינו בדוק לה, וטחתו בירכה, ואח</w:t>
      </w:r>
      <w:r>
        <w:rPr>
          <w:rFonts w:cs="Arial" w:hint="cs"/>
          <w:sz w:val="20"/>
          <w:szCs w:val="20"/>
          <w:rtl/>
        </w:rPr>
        <w:t xml:space="preserve">ר </w:t>
      </w:r>
      <w:r w:rsidRPr="00B2538B">
        <w:rPr>
          <w:rFonts w:cs="Arial"/>
          <w:sz w:val="20"/>
          <w:szCs w:val="20"/>
          <w:rtl/>
        </w:rPr>
        <w:t>כ</w:t>
      </w:r>
      <w:r>
        <w:rPr>
          <w:rFonts w:cs="Arial" w:hint="cs"/>
          <w:sz w:val="20"/>
          <w:szCs w:val="20"/>
          <w:rtl/>
        </w:rPr>
        <w:t>ך</w:t>
      </w:r>
      <w:r w:rsidRPr="00B2538B">
        <w:rPr>
          <w:rFonts w:cs="Arial"/>
          <w:sz w:val="20"/>
          <w:szCs w:val="20"/>
          <w:rtl/>
        </w:rPr>
        <w:t xml:space="preserve"> נמצא עליו דם, אפילו כגריס ועוד, טהורה</w:t>
      </w:r>
      <w:r>
        <w:rPr>
          <w:rFonts w:cs="Arial" w:hint="cs"/>
          <w:sz w:val="20"/>
          <w:szCs w:val="20"/>
          <w:rtl/>
        </w:rPr>
        <w:t>".</w:t>
      </w:r>
      <w:r>
        <w:rPr>
          <w:rFonts w:cs="Arial"/>
          <w:sz w:val="20"/>
          <w:szCs w:val="20"/>
          <w:rtl/>
        </w:rPr>
        <w:br/>
      </w:r>
      <w:r w:rsidRPr="00953077">
        <w:rPr>
          <w:rFonts w:cs="Arial" w:hint="cs"/>
          <w:b/>
          <w:bCs/>
          <w:sz w:val="20"/>
          <w:szCs w:val="20"/>
          <w:rtl/>
        </w:rPr>
        <w:t>ט"ז</w:t>
      </w:r>
      <w:r>
        <w:rPr>
          <w:rFonts w:cs="Arial" w:hint="cs"/>
          <w:sz w:val="20"/>
          <w:szCs w:val="20"/>
          <w:rtl/>
        </w:rPr>
        <w:t xml:space="preserve"> </w:t>
      </w:r>
      <w:r>
        <w:rPr>
          <w:rFonts w:cs="Arial"/>
          <w:sz w:val="20"/>
          <w:szCs w:val="20"/>
          <w:rtl/>
        </w:rPr>
        <w:t>–</w:t>
      </w:r>
      <w:r>
        <w:rPr>
          <w:rFonts w:cs="Arial" w:hint="cs"/>
          <w:sz w:val="20"/>
          <w:szCs w:val="20"/>
          <w:rtl/>
        </w:rPr>
        <w:t xml:space="preserve"> המחבר פוסק ע"פ דברי רש"י, שכיוון שזהו ספק ספקא טהורה.</w:t>
      </w:r>
    </w:p>
    <w:p w:rsidR="00620060" w:rsidRDefault="00620060" w:rsidP="00620060">
      <w:pPr>
        <w:rPr>
          <w:rFonts w:cs="Arial"/>
          <w:sz w:val="20"/>
          <w:szCs w:val="20"/>
          <w:rtl/>
        </w:rPr>
      </w:pPr>
      <w:r>
        <w:rPr>
          <w:rFonts w:cs="Arial" w:hint="cs"/>
          <w:sz w:val="20"/>
          <w:szCs w:val="20"/>
          <w:u w:val="single"/>
          <w:rtl/>
        </w:rPr>
        <w:t>קושיית הש"ך על פסק המחבר</w:t>
      </w:r>
      <w:r>
        <w:rPr>
          <w:rFonts w:cs="Arial"/>
          <w:sz w:val="20"/>
          <w:szCs w:val="20"/>
          <w:u w:val="single"/>
          <w:rtl/>
        </w:rPr>
        <w:br/>
      </w:r>
      <w:r w:rsidRPr="00953077">
        <w:rPr>
          <w:rFonts w:cs="Arial" w:hint="cs"/>
          <w:b/>
          <w:bCs/>
          <w:sz w:val="20"/>
          <w:szCs w:val="20"/>
          <w:rtl/>
        </w:rPr>
        <w:t>ש"ך</w:t>
      </w:r>
      <w:r>
        <w:rPr>
          <w:rFonts w:cs="Arial" w:hint="cs"/>
          <w:sz w:val="20"/>
          <w:szCs w:val="20"/>
          <w:rtl/>
        </w:rPr>
        <w:t xml:space="preserve"> </w:t>
      </w:r>
      <w:r>
        <w:rPr>
          <w:rFonts w:cs="Arial"/>
          <w:sz w:val="20"/>
          <w:szCs w:val="20"/>
          <w:rtl/>
        </w:rPr>
        <w:t>–</w:t>
      </w:r>
      <w:r>
        <w:rPr>
          <w:rFonts w:cs="Arial" w:hint="cs"/>
          <w:sz w:val="20"/>
          <w:szCs w:val="20"/>
          <w:rtl/>
        </w:rPr>
        <w:t xml:space="preserve"> דברי המחבר שפוסק כאן על פי רש"י הנ"ל אינם נכונים כלל ועיקר, אלו נימוקיו - </w:t>
      </w:r>
      <w:r>
        <w:rPr>
          <w:rFonts w:cs="Arial"/>
          <w:sz w:val="20"/>
          <w:szCs w:val="20"/>
          <w:rtl/>
        </w:rPr>
        <w:br/>
      </w:r>
      <w:r>
        <w:rPr>
          <w:rFonts w:cs="Arial" w:hint="cs"/>
          <w:sz w:val="20"/>
          <w:szCs w:val="20"/>
          <w:rtl/>
        </w:rPr>
        <w:t>ראשית, אין כוונת רש"י לטהר בכה"ג, אלא כוונתו לומר שאפילו רבי המטמא משום נידה, בכה"ג של עד שאינו בדוק וטחתו בירכה אינו מטמא משום נידה אלא משום כתם.</w:t>
      </w:r>
      <w:r>
        <w:rPr>
          <w:rFonts w:cs="Arial"/>
          <w:sz w:val="20"/>
          <w:szCs w:val="20"/>
          <w:rtl/>
        </w:rPr>
        <w:br/>
      </w:r>
      <w:r>
        <w:rPr>
          <w:rFonts w:cs="Arial" w:hint="cs"/>
          <w:sz w:val="20"/>
          <w:szCs w:val="20"/>
          <w:rtl/>
        </w:rPr>
        <w:t xml:space="preserve">ואפילו אם תאמר שכוונת רש"י לטהר לגמרי, שמא סבירא ליה כדעת הרשב"א </w:t>
      </w:r>
      <w:r w:rsidRPr="00AD1CBF">
        <w:rPr>
          <w:rFonts w:cs="Arial" w:hint="cs"/>
          <w:sz w:val="18"/>
          <w:szCs w:val="18"/>
          <w:rtl/>
        </w:rPr>
        <w:t xml:space="preserve">(הו"ד בסעיף הקודם) </w:t>
      </w:r>
      <w:r>
        <w:rPr>
          <w:rFonts w:cs="Arial" w:hint="cs"/>
          <w:sz w:val="20"/>
          <w:szCs w:val="20"/>
          <w:rtl/>
        </w:rPr>
        <w:t>שמטהר כתם כגריס ועוד בעד שאינו בדוק אפילו כשהניחתו בקופסה, אך לא קיי"ל כרשב"א.</w:t>
      </w:r>
      <w:r>
        <w:rPr>
          <w:rFonts w:cs="Arial" w:hint="cs"/>
          <w:sz w:val="20"/>
          <w:szCs w:val="20"/>
          <w:rtl/>
        </w:rPr>
        <w:br/>
        <w:t xml:space="preserve">ומלבד זאת, וכאן מגיעה עיקר קושיית </w:t>
      </w:r>
      <w:r w:rsidRPr="004E354A">
        <w:rPr>
          <w:rFonts w:cs="Arial" w:hint="cs"/>
          <w:b/>
          <w:bCs/>
          <w:sz w:val="20"/>
          <w:szCs w:val="20"/>
          <w:rtl/>
        </w:rPr>
        <w:t>הש"ך</w:t>
      </w:r>
      <w:r>
        <w:rPr>
          <w:rFonts w:cs="Arial" w:hint="cs"/>
          <w:sz w:val="20"/>
          <w:szCs w:val="20"/>
          <w:rtl/>
        </w:rPr>
        <w:t xml:space="preserve"> - רש"י דיבר על מקרה שבו נמצא הכתם על </w:t>
      </w:r>
      <w:r w:rsidRPr="00315D75">
        <w:rPr>
          <w:rFonts w:cs="Arial" w:hint="cs"/>
          <w:sz w:val="20"/>
          <w:szCs w:val="20"/>
          <w:u w:val="single"/>
          <w:rtl/>
        </w:rPr>
        <w:t>ירכה</w:t>
      </w:r>
      <w:r>
        <w:rPr>
          <w:rFonts w:cs="Arial" w:hint="cs"/>
          <w:sz w:val="20"/>
          <w:szCs w:val="20"/>
          <w:rtl/>
        </w:rPr>
        <w:t xml:space="preserve"> באופן שלא ייתכן שהגיע מהמקור </w:t>
      </w:r>
      <w:r w:rsidRPr="00EF50B8">
        <w:rPr>
          <w:rFonts w:cs="Arial" w:hint="cs"/>
          <w:sz w:val="18"/>
          <w:szCs w:val="18"/>
          <w:rtl/>
        </w:rPr>
        <w:t>(כך כתבו תוספות)</w:t>
      </w:r>
      <w:r>
        <w:rPr>
          <w:rFonts w:cs="Arial" w:hint="cs"/>
          <w:sz w:val="20"/>
          <w:szCs w:val="20"/>
          <w:rtl/>
        </w:rPr>
        <w:t xml:space="preserve">, ובכה"ג יש לומר ספק ספקא, ספק שמא הדם הגיע מהעד או מעלמא, ואפילו את"ל שהגיע מהעד שמא היה על העד לפני כן. </w:t>
      </w:r>
      <w:r>
        <w:rPr>
          <w:rFonts w:cs="Arial"/>
          <w:sz w:val="20"/>
          <w:szCs w:val="20"/>
          <w:rtl/>
        </w:rPr>
        <w:br/>
      </w:r>
      <w:r>
        <w:rPr>
          <w:rFonts w:cs="Arial" w:hint="cs"/>
          <w:sz w:val="20"/>
          <w:szCs w:val="20"/>
          <w:rtl/>
        </w:rPr>
        <w:t xml:space="preserve">לעומת זאת, המחבר מדבר על מקרה שבו נמצא הכתם על </w:t>
      </w:r>
      <w:r w:rsidRPr="00CA1142">
        <w:rPr>
          <w:rFonts w:cs="Arial" w:hint="cs"/>
          <w:sz w:val="20"/>
          <w:szCs w:val="20"/>
          <w:u w:val="single"/>
          <w:rtl/>
        </w:rPr>
        <w:t>העד</w:t>
      </w:r>
      <w:r>
        <w:rPr>
          <w:rFonts w:cs="Arial" w:hint="cs"/>
          <w:sz w:val="20"/>
          <w:szCs w:val="20"/>
          <w:rtl/>
        </w:rPr>
        <w:t xml:space="preserve"> עצמו, בכה"ג אין זה ספק ספקא.</w:t>
      </w:r>
      <w:r>
        <w:rPr>
          <w:rFonts w:cs="Arial" w:hint="cs"/>
          <w:sz w:val="20"/>
          <w:szCs w:val="20"/>
          <w:rtl/>
        </w:rPr>
        <w:br/>
        <w:t>ואע"פ שלכאורה גם כאן יש ספק ספקא, ספק שמא הדם על העד בא מהירך או אינו מהירך, ואפילו את"ל שהדם אינו מהירך אלא מהעד, שמא היה הדם על העד לפני כן, זה אינו ספק ספקא.</w:t>
      </w:r>
      <w:r>
        <w:rPr>
          <w:rFonts w:cs="Arial"/>
          <w:sz w:val="20"/>
          <w:szCs w:val="20"/>
          <w:rtl/>
        </w:rPr>
        <w:br/>
      </w:r>
      <w:r>
        <w:rPr>
          <w:rFonts w:cs="Arial" w:hint="cs"/>
          <w:sz w:val="20"/>
          <w:szCs w:val="20"/>
          <w:rtl/>
        </w:rPr>
        <w:t>כלומר, ניתן לומר מייד שמא דם מקור בא על העד, ולכן אין כאן אלא ספק אחד בלבד שמא הדם היה על העד לפני כן, ואם כן זהו ספק אחד בלבד וטמאה, וכל שכן בכתם הגדול מכגריס שיש לטמאה שהרי אין לתלותו כלל במאכולת.</w:t>
      </w:r>
    </w:p>
    <w:p w:rsidR="00620060" w:rsidRDefault="00620060" w:rsidP="00620060">
      <w:pPr>
        <w:rPr>
          <w:rFonts w:cs="Arial"/>
          <w:sz w:val="20"/>
          <w:szCs w:val="20"/>
          <w:rtl/>
        </w:rPr>
      </w:pPr>
      <w:r w:rsidRPr="00AD1CBF">
        <w:rPr>
          <w:rFonts w:cs="Arial" w:hint="cs"/>
          <w:b/>
          <w:bCs/>
          <w:sz w:val="20"/>
          <w:szCs w:val="20"/>
          <w:rtl/>
        </w:rPr>
        <w:t>מקום הנחת העד לאחר הבדיקה</w:t>
      </w:r>
      <w:r>
        <w:rPr>
          <w:rFonts w:cs="Arial"/>
          <w:sz w:val="18"/>
          <w:szCs w:val="18"/>
          <w:rtl/>
        </w:rPr>
        <w:br/>
      </w:r>
      <w:r w:rsidRPr="00AD1CBF">
        <w:rPr>
          <w:rFonts w:cs="Arial" w:hint="cs"/>
          <w:b/>
          <w:bCs/>
          <w:sz w:val="20"/>
          <w:szCs w:val="20"/>
          <w:rtl/>
        </w:rPr>
        <w:t>רמ"א</w:t>
      </w:r>
      <w:r w:rsidRPr="00AD1CBF">
        <w:rPr>
          <w:rFonts w:cs="Arial" w:hint="cs"/>
          <w:sz w:val="20"/>
          <w:szCs w:val="20"/>
          <w:rtl/>
        </w:rPr>
        <w:t xml:space="preserve"> </w:t>
      </w:r>
      <w:r>
        <w:rPr>
          <w:rFonts w:cs="Arial"/>
          <w:sz w:val="18"/>
          <w:szCs w:val="18"/>
          <w:rtl/>
        </w:rPr>
        <w:t>–</w:t>
      </w:r>
      <w:r w:rsidRPr="00CA1142">
        <w:rPr>
          <w:rFonts w:cs="Arial" w:hint="cs"/>
          <w:sz w:val="18"/>
          <w:szCs w:val="18"/>
          <w:rtl/>
        </w:rPr>
        <w:t xml:space="preserve"> </w:t>
      </w:r>
      <w:r>
        <w:rPr>
          <w:rFonts w:cs="Arial" w:hint="cs"/>
          <w:sz w:val="18"/>
          <w:szCs w:val="18"/>
          <w:rtl/>
        </w:rPr>
        <w:t>"</w:t>
      </w:r>
      <w:r w:rsidRPr="00CA1142">
        <w:rPr>
          <w:rFonts w:cs="Arial"/>
          <w:sz w:val="18"/>
          <w:szCs w:val="18"/>
          <w:rtl/>
        </w:rPr>
        <w:t>וכל שכן אם הניחתו אחר הבדיקה במקום שיש לתלות</w:t>
      </w:r>
      <w:r>
        <w:rPr>
          <w:rFonts w:cs="Arial"/>
          <w:sz w:val="18"/>
          <w:szCs w:val="18"/>
          <w:rtl/>
        </w:rPr>
        <w:t xml:space="preserve"> הכתם, דטהור אפילו ביותר מכגריס</w:t>
      </w:r>
      <w:r w:rsidRPr="00CA1142">
        <w:rPr>
          <w:rFonts w:cs="Arial"/>
          <w:sz w:val="18"/>
          <w:szCs w:val="18"/>
          <w:rtl/>
        </w:rPr>
        <w:t>, אבל הניחתו במקום שאין דם שכיח, טמאה, אם הוא יותר מכגריס</w:t>
      </w:r>
      <w:r>
        <w:rPr>
          <w:rFonts w:cs="Arial" w:hint="cs"/>
          <w:sz w:val="20"/>
          <w:szCs w:val="20"/>
          <w:rtl/>
        </w:rPr>
        <w:t>".</w:t>
      </w:r>
      <w:r>
        <w:rPr>
          <w:rFonts w:cs="Arial"/>
          <w:sz w:val="20"/>
          <w:szCs w:val="20"/>
          <w:rtl/>
        </w:rPr>
        <w:br/>
      </w:r>
      <w:r w:rsidRPr="00AD1CBF">
        <w:rPr>
          <w:rFonts w:cs="Arial" w:hint="cs"/>
          <w:b/>
          <w:bCs/>
          <w:sz w:val="20"/>
          <w:szCs w:val="20"/>
          <w:rtl/>
        </w:rPr>
        <w:t>ט"ז</w:t>
      </w:r>
      <w:r>
        <w:rPr>
          <w:rFonts w:cs="Arial" w:hint="cs"/>
          <w:sz w:val="20"/>
          <w:szCs w:val="20"/>
          <w:rtl/>
        </w:rPr>
        <w:t xml:space="preserve"> </w:t>
      </w:r>
      <w:r>
        <w:rPr>
          <w:rFonts w:cs="Arial"/>
          <w:sz w:val="20"/>
          <w:szCs w:val="20"/>
          <w:rtl/>
        </w:rPr>
        <w:t>–</w:t>
      </w:r>
      <w:r>
        <w:rPr>
          <w:rFonts w:cs="Arial" w:hint="cs"/>
          <w:sz w:val="20"/>
          <w:szCs w:val="20"/>
          <w:rtl/>
        </w:rPr>
        <w:t xml:space="preserve"> הרמ"א מדבר במקרה רגיל ולא במקרה שטחה את העד בירכה.</w:t>
      </w:r>
      <w:r>
        <w:rPr>
          <w:rFonts w:cs="Arial" w:hint="cs"/>
          <w:sz w:val="20"/>
          <w:szCs w:val="20"/>
          <w:rtl/>
        </w:rPr>
        <w:br/>
      </w:r>
      <w:r>
        <w:rPr>
          <w:rFonts w:cs="Arial"/>
          <w:b/>
          <w:bCs/>
          <w:sz w:val="20"/>
          <w:szCs w:val="20"/>
          <w:rtl/>
        </w:rPr>
        <w:br/>
      </w:r>
      <w:r>
        <w:rPr>
          <w:rFonts w:cs="Arial" w:hint="cs"/>
          <w:b/>
          <w:bCs/>
          <w:sz w:val="20"/>
          <w:szCs w:val="20"/>
          <w:rtl/>
        </w:rPr>
        <w:t>סיכום</w:t>
      </w:r>
      <w:r>
        <w:rPr>
          <w:rFonts w:cs="Arial"/>
          <w:b/>
          <w:bCs/>
          <w:sz w:val="20"/>
          <w:szCs w:val="20"/>
          <w:rtl/>
        </w:rPr>
        <w:br/>
      </w:r>
      <w:r>
        <w:rPr>
          <w:rFonts w:cs="Arial" w:hint="cs"/>
          <w:sz w:val="20"/>
          <w:szCs w:val="20"/>
          <w:rtl/>
        </w:rPr>
        <w:t xml:space="preserve">1. </w:t>
      </w:r>
      <w:r w:rsidRPr="00C17F85">
        <w:rPr>
          <w:rFonts w:cs="Arial" w:hint="cs"/>
          <w:b/>
          <w:bCs/>
          <w:sz w:val="20"/>
          <w:szCs w:val="20"/>
          <w:rtl/>
        </w:rPr>
        <w:t>גמרא</w:t>
      </w:r>
      <w:r>
        <w:rPr>
          <w:rFonts w:cs="Arial" w:hint="cs"/>
          <w:sz w:val="20"/>
          <w:szCs w:val="20"/>
          <w:rtl/>
        </w:rPr>
        <w:t xml:space="preserve">. בדקה בעד שאינו בדוק והניחה בקופסה וכו'. </w:t>
      </w:r>
      <w:r>
        <w:rPr>
          <w:rFonts w:cs="Arial"/>
          <w:sz w:val="20"/>
          <w:szCs w:val="20"/>
          <w:rtl/>
        </w:rPr>
        <w:br/>
      </w:r>
      <w:r>
        <w:rPr>
          <w:rFonts w:cs="Arial" w:hint="cs"/>
          <w:sz w:val="20"/>
          <w:szCs w:val="20"/>
          <w:rtl/>
        </w:rPr>
        <w:t xml:space="preserve">2. </w:t>
      </w:r>
      <w:r w:rsidRPr="00C17F85">
        <w:rPr>
          <w:rFonts w:cs="Arial" w:hint="cs"/>
          <w:b/>
          <w:bCs/>
          <w:sz w:val="20"/>
          <w:szCs w:val="20"/>
          <w:rtl/>
        </w:rPr>
        <w:t>רש"י</w:t>
      </w:r>
      <w:r>
        <w:rPr>
          <w:rFonts w:cs="Arial" w:hint="cs"/>
          <w:sz w:val="20"/>
          <w:szCs w:val="20"/>
          <w:rtl/>
        </w:rPr>
        <w:t>. הגמרא לא נקטה כאן טחתו בירכה, משום שהוא ספק ספקא וטהורה.</w:t>
      </w:r>
      <w:r>
        <w:rPr>
          <w:rFonts w:cs="Arial" w:hint="cs"/>
          <w:sz w:val="20"/>
          <w:szCs w:val="20"/>
          <w:rtl/>
        </w:rPr>
        <w:br/>
        <w:t xml:space="preserve">3. </w:t>
      </w:r>
      <w:r w:rsidRPr="00C17F85">
        <w:rPr>
          <w:rFonts w:cs="Arial" w:hint="cs"/>
          <w:b/>
          <w:bCs/>
          <w:sz w:val="20"/>
          <w:szCs w:val="20"/>
          <w:rtl/>
        </w:rPr>
        <w:t>מחבר</w:t>
      </w:r>
      <w:r>
        <w:rPr>
          <w:rFonts w:cs="Arial" w:hint="cs"/>
          <w:sz w:val="20"/>
          <w:szCs w:val="20"/>
          <w:rtl/>
        </w:rPr>
        <w:t xml:space="preserve">. בדקה בעד שאינו בדוק לה וטחתו בירכה ומצאה דם על העד, טהורה אפילו ביותר מכגריס. </w:t>
      </w:r>
      <w:r>
        <w:rPr>
          <w:rFonts w:cs="Arial"/>
          <w:sz w:val="20"/>
          <w:szCs w:val="20"/>
          <w:rtl/>
        </w:rPr>
        <w:br/>
      </w:r>
      <w:r>
        <w:rPr>
          <w:rFonts w:cs="Arial" w:hint="cs"/>
          <w:sz w:val="20"/>
          <w:szCs w:val="20"/>
          <w:rtl/>
        </w:rPr>
        <w:t xml:space="preserve">4. </w:t>
      </w:r>
      <w:r w:rsidRPr="00C17F85">
        <w:rPr>
          <w:rFonts w:cs="Arial" w:hint="cs"/>
          <w:b/>
          <w:bCs/>
          <w:sz w:val="20"/>
          <w:szCs w:val="20"/>
          <w:rtl/>
        </w:rPr>
        <w:t>ש"ך</w:t>
      </w:r>
      <w:r>
        <w:rPr>
          <w:rFonts w:cs="Arial" w:hint="cs"/>
          <w:sz w:val="20"/>
          <w:szCs w:val="20"/>
          <w:rtl/>
        </w:rPr>
        <w:t xml:space="preserve">. פסק המחבר קשה. א. רש"י לא התכוון לטהר לגמרי אלא רק משום נידה, אך טמאה משום כתם. </w:t>
      </w:r>
      <w:r>
        <w:rPr>
          <w:rFonts w:cs="Arial"/>
          <w:sz w:val="20"/>
          <w:szCs w:val="20"/>
          <w:rtl/>
        </w:rPr>
        <w:br/>
      </w:r>
      <w:r>
        <w:rPr>
          <w:rFonts w:cs="Arial" w:hint="cs"/>
          <w:sz w:val="20"/>
          <w:szCs w:val="20"/>
          <w:rtl/>
        </w:rPr>
        <w:t>ב. רש"י טיהר רק כשנמצא על ירכה, ואז הוי ספק שמא מהעד שמא מעלמא, ואת"ל מהעד שמא קודם לכן היה, ואין לומר שהוא ספק אחד שמא נטף דם מקור להדיא, משום שמדובר שאין דם מקור יכול לנטוף על הירך. ברם, המחבר טיהר אפילו שנמצא על העד, ובכה"ג אין ספק ספקא, יש לומר מייד שהדם בא מהמקור.</w:t>
      </w:r>
      <w:r>
        <w:rPr>
          <w:rFonts w:cs="Arial" w:hint="cs"/>
          <w:sz w:val="20"/>
          <w:szCs w:val="20"/>
          <w:rtl/>
        </w:rPr>
        <w:br/>
        <w:t xml:space="preserve">5. </w:t>
      </w:r>
      <w:r w:rsidRPr="00C17F85">
        <w:rPr>
          <w:rFonts w:cs="Arial" w:hint="cs"/>
          <w:b/>
          <w:bCs/>
          <w:sz w:val="20"/>
          <w:szCs w:val="20"/>
          <w:rtl/>
        </w:rPr>
        <w:t>רמ"א</w:t>
      </w:r>
      <w:r>
        <w:rPr>
          <w:rFonts w:cs="Arial" w:hint="cs"/>
          <w:sz w:val="20"/>
          <w:szCs w:val="20"/>
          <w:rtl/>
        </w:rPr>
        <w:t>. אם הניחה את העד לאחר הבדיקה במקום מלוכלך ונמצא כתם כגריס ועוד, טהורה.</w:t>
      </w:r>
    </w:p>
    <w:p w:rsidR="00620060" w:rsidRPr="007575B9" w:rsidRDefault="00620060" w:rsidP="00620060">
      <w:pPr>
        <w:rPr>
          <w:rFonts w:cs="Arial"/>
          <w:sz w:val="18"/>
          <w:szCs w:val="18"/>
          <w:rtl/>
        </w:rPr>
      </w:pPr>
      <w:r w:rsidRPr="007575B9">
        <w:rPr>
          <w:rFonts w:cs="Arial" w:hint="cs"/>
          <w:b/>
          <w:bCs/>
          <w:sz w:val="18"/>
          <w:szCs w:val="18"/>
          <w:rtl/>
        </w:rPr>
        <w:t>סיכום דיני עד שאינו בדוק</w:t>
      </w:r>
      <w:r w:rsidRPr="007575B9">
        <w:rPr>
          <w:rFonts w:cs="Arial" w:hint="cs"/>
          <w:sz w:val="18"/>
          <w:szCs w:val="18"/>
          <w:rtl/>
        </w:rPr>
        <w:t xml:space="preserve"> </w:t>
      </w:r>
      <w:r w:rsidRPr="007575B9">
        <w:rPr>
          <w:rFonts w:cs="Arial" w:hint="cs"/>
          <w:sz w:val="16"/>
          <w:szCs w:val="16"/>
          <w:rtl/>
        </w:rPr>
        <w:t xml:space="preserve">(סעיפים לו </w:t>
      </w:r>
      <w:r w:rsidRPr="007575B9">
        <w:rPr>
          <w:rFonts w:cs="Arial"/>
          <w:sz w:val="16"/>
          <w:szCs w:val="16"/>
          <w:rtl/>
        </w:rPr>
        <w:t>–</w:t>
      </w:r>
      <w:r w:rsidRPr="007575B9">
        <w:rPr>
          <w:rFonts w:cs="Arial" w:hint="cs"/>
          <w:sz w:val="16"/>
          <w:szCs w:val="16"/>
          <w:rtl/>
        </w:rPr>
        <w:t xml:space="preserve"> לז)</w:t>
      </w:r>
      <w:r w:rsidRPr="007575B9">
        <w:rPr>
          <w:rFonts w:cs="Arial" w:hint="cs"/>
          <w:sz w:val="18"/>
          <w:szCs w:val="18"/>
          <w:rtl/>
        </w:rPr>
        <w:br/>
        <w:t xml:space="preserve">1. בדקה בעד שאינו בדוק. רבי מטמא מדאורייתא, וכ"פ </w:t>
      </w:r>
      <w:r w:rsidRPr="007575B9">
        <w:rPr>
          <w:rFonts w:cs="Arial" w:hint="cs"/>
          <w:b/>
          <w:bCs/>
          <w:sz w:val="18"/>
          <w:szCs w:val="18"/>
          <w:rtl/>
        </w:rPr>
        <w:t>הרמב"ם</w:t>
      </w:r>
      <w:r w:rsidRPr="007575B9">
        <w:rPr>
          <w:rFonts w:cs="Arial" w:hint="cs"/>
          <w:sz w:val="18"/>
          <w:szCs w:val="18"/>
          <w:rtl/>
        </w:rPr>
        <w:t xml:space="preserve">. רבי חייא מטמא מדרבנן, וכ"פ </w:t>
      </w:r>
      <w:r w:rsidRPr="007575B9">
        <w:rPr>
          <w:rFonts w:cs="Arial" w:hint="cs"/>
          <w:b/>
          <w:bCs/>
          <w:sz w:val="18"/>
          <w:szCs w:val="18"/>
          <w:rtl/>
        </w:rPr>
        <w:t>ר"ח</w:t>
      </w:r>
      <w:r w:rsidRPr="007575B9">
        <w:rPr>
          <w:rFonts w:cs="Arial" w:hint="cs"/>
          <w:sz w:val="18"/>
          <w:szCs w:val="18"/>
          <w:rtl/>
        </w:rPr>
        <w:t xml:space="preserve">. רבי יוסי מטהר, וכ"פ </w:t>
      </w:r>
      <w:r w:rsidRPr="007575B9">
        <w:rPr>
          <w:rFonts w:cs="Arial" w:hint="cs"/>
          <w:b/>
          <w:bCs/>
          <w:sz w:val="18"/>
          <w:szCs w:val="18"/>
          <w:rtl/>
        </w:rPr>
        <w:t>הרשב"א</w:t>
      </w:r>
      <w:r w:rsidRPr="007575B9">
        <w:rPr>
          <w:rFonts w:cs="Arial" w:hint="cs"/>
          <w:sz w:val="18"/>
          <w:szCs w:val="18"/>
          <w:rtl/>
        </w:rPr>
        <w:t xml:space="preserve"> לעיקה"ד, אך לדינא החמיר. </w:t>
      </w:r>
      <w:r w:rsidRPr="007575B9">
        <w:rPr>
          <w:rFonts w:cs="Arial" w:hint="cs"/>
          <w:b/>
          <w:bCs/>
          <w:sz w:val="18"/>
          <w:szCs w:val="18"/>
          <w:rtl/>
        </w:rPr>
        <w:t>מחבר</w:t>
      </w:r>
      <w:r w:rsidRPr="007575B9">
        <w:rPr>
          <w:rFonts w:cs="Arial" w:hint="cs"/>
          <w:sz w:val="18"/>
          <w:szCs w:val="18"/>
          <w:rtl/>
        </w:rPr>
        <w:t>. טמאה. ולכו"ע</w:t>
      </w:r>
      <w:r>
        <w:rPr>
          <w:rFonts w:cs="Arial" w:hint="cs"/>
          <w:sz w:val="18"/>
          <w:szCs w:val="18"/>
          <w:rtl/>
        </w:rPr>
        <w:t xml:space="preserve"> טמאה</w:t>
      </w:r>
      <w:r w:rsidRPr="007575B9">
        <w:rPr>
          <w:rFonts w:cs="Arial" w:hint="cs"/>
          <w:sz w:val="18"/>
          <w:szCs w:val="18"/>
          <w:rtl/>
        </w:rPr>
        <w:t xml:space="preserve"> רק כשיש </w:t>
      </w:r>
      <w:r>
        <w:rPr>
          <w:rFonts w:cs="Arial" w:hint="cs"/>
          <w:sz w:val="18"/>
          <w:szCs w:val="18"/>
          <w:rtl/>
        </w:rPr>
        <w:t>כ</w:t>
      </w:r>
      <w:r w:rsidRPr="007575B9">
        <w:rPr>
          <w:rFonts w:cs="Arial" w:hint="cs"/>
          <w:sz w:val="18"/>
          <w:szCs w:val="18"/>
          <w:rtl/>
        </w:rPr>
        <w:t>גריס ועוד.</w:t>
      </w:r>
      <w:r w:rsidRPr="007575B9">
        <w:rPr>
          <w:rFonts w:cs="Arial"/>
          <w:sz w:val="18"/>
          <w:szCs w:val="18"/>
          <w:rtl/>
        </w:rPr>
        <w:br/>
      </w:r>
      <w:r w:rsidRPr="007575B9">
        <w:rPr>
          <w:rFonts w:cs="Arial" w:hint="cs"/>
          <w:sz w:val="18"/>
          <w:szCs w:val="18"/>
          <w:rtl/>
        </w:rPr>
        <w:t xml:space="preserve">2. בדקה בעד הנ"ל וטחה בירכה. </w:t>
      </w:r>
      <w:r w:rsidRPr="007575B9">
        <w:rPr>
          <w:rFonts w:cs="Arial" w:hint="cs"/>
          <w:b/>
          <w:bCs/>
          <w:sz w:val="18"/>
          <w:szCs w:val="18"/>
          <w:rtl/>
        </w:rPr>
        <w:t>רש"י</w:t>
      </w:r>
      <w:r w:rsidRPr="007575B9">
        <w:rPr>
          <w:rFonts w:cs="Arial" w:hint="cs"/>
          <w:sz w:val="18"/>
          <w:szCs w:val="18"/>
          <w:rtl/>
        </w:rPr>
        <w:t xml:space="preserve"> מטהר משום ס</w:t>
      </w:r>
      <w:r>
        <w:rPr>
          <w:rFonts w:cs="Arial" w:hint="cs"/>
          <w:sz w:val="18"/>
          <w:szCs w:val="18"/>
          <w:rtl/>
        </w:rPr>
        <w:t xml:space="preserve">פק </w:t>
      </w:r>
      <w:r w:rsidRPr="007575B9">
        <w:rPr>
          <w:rFonts w:cs="Arial" w:hint="cs"/>
          <w:sz w:val="18"/>
          <w:szCs w:val="18"/>
          <w:rtl/>
        </w:rPr>
        <w:t>ס</w:t>
      </w:r>
      <w:r>
        <w:rPr>
          <w:rFonts w:cs="Arial" w:hint="cs"/>
          <w:sz w:val="18"/>
          <w:szCs w:val="18"/>
          <w:rtl/>
        </w:rPr>
        <w:t>פקא</w:t>
      </w:r>
      <w:r w:rsidRPr="007575B9">
        <w:rPr>
          <w:rFonts w:cs="Arial" w:hint="cs"/>
          <w:sz w:val="18"/>
          <w:szCs w:val="18"/>
          <w:rtl/>
        </w:rPr>
        <w:t xml:space="preserve"> וכ"פ </w:t>
      </w:r>
      <w:r w:rsidRPr="007575B9">
        <w:rPr>
          <w:rFonts w:cs="Arial" w:hint="cs"/>
          <w:b/>
          <w:bCs/>
          <w:sz w:val="18"/>
          <w:szCs w:val="18"/>
          <w:rtl/>
        </w:rPr>
        <w:t>המחבר</w:t>
      </w:r>
      <w:r w:rsidRPr="007575B9">
        <w:rPr>
          <w:rFonts w:cs="Arial" w:hint="cs"/>
          <w:sz w:val="18"/>
          <w:szCs w:val="18"/>
          <w:rtl/>
        </w:rPr>
        <w:t xml:space="preserve"> אפילו כשנמצא הכתם על העד. </w:t>
      </w:r>
      <w:r w:rsidRPr="007575B9">
        <w:rPr>
          <w:rFonts w:cs="Arial" w:hint="cs"/>
          <w:b/>
          <w:bCs/>
          <w:sz w:val="18"/>
          <w:szCs w:val="18"/>
          <w:rtl/>
        </w:rPr>
        <w:t>ש"ך</w:t>
      </w:r>
      <w:r w:rsidRPr="007575B9">
        <w:rPr>
          <w:rFonts w:cs="Arial" w:hint="cs"/>
          <w:sz w:val="18"/>
          <w:szCs w:val="18"/>
          <w:rtl/>
        </w:rPr>
        <w:t xml:space="preserve">. דברי המחבר אינם נכונים, </w:t>
      </w:r>
      <w:r w:rsidRPr="007575B9">
        <w:rPr>
          <w:rFonts w:cs="Arial" w:hint="cs"/>
          <w:b/>
          <w:bCs/>
          <w:sz w:val="18"/>
          <w:szCs w:val="18"/>
          <w:rtl/>
        </w:rPr>
        <w:t>רש"י</w:t>
      </w:r>
      <w:r w:rsidRPr="007575B9">
        <w:rPr>
          <w:rFonts w:cs="Arial" w:hint="cs"/>
          <w:sz w:val="18"/>
          <w:szCs w:val="18"/>
          <w:rtl/>
        </w:rPr>
        <w:t xml:space="preserve"> טיהר רק כשהכתם נמצא על ירכה.</w:t>
      </w:r>
    </w:p>
    <w:p w:rsidR="00620060" w:rsidRDefault="00620060" w:rsidP="00620060">
      <w:pPr>
        <w:rPr>
          <w:rFonts w:cs="Arial"/>
          <w:sz w:val="20"/>
          <w:szCs w:val="20"/>
          <w:rtl/>
        </w:rPr>
      </w:pPr>
      <w:r>
        <w:rPr>
          <w:rFonts w:cs="Arial"/>
          <w:sz w:val="20"/>
          <w:szCs w:val="20"/>
          <w:rtl/>
        </w:rPr>
        <w:br/>
      </w:r>
      <w:r>
        <w:rPr>
          <w:rFonts w:cs="Arial" w:hint="cs"/>
          <w:b/>
          <w:bCs/>
          <w:sz w:val="20"/>
          <w:szCs w:val="20"/>
          <w:rtl/>
        </w:rPr>
        <w:t xml:space="preserve">סעיף לח </w:t>
      </w:r>
      <w:r>
        <w:rPr>
          <w:rFonts w:cs="Arial"/>
          <w:b/>
          <w:bCs/>
          <w:sz w:val="20"/>
          <w:szCs w:val="20"/>
          <w:rtl/>
        </w:rPr>
        <w:t>–</w:t>
      </w:r>
      <w:r>
        <w:rPr>
          <w:rFonts w:cs="Arial" w:hint="cs"/>
          <w:b/>
          <w:bCs/>
          <w:sz w:val="20"/>
          <w:szCs w:val="20"/>
          <w:rtl/>
        </w:rPr>
        <w:t xml:space="preserve"> הגדרת עד בדוק ועד שאינו בדוק</w:t>
      </w:r>
      <w:r>
        <w:rPr>
          <w:rFonts w:cs="Arial"/>
          <w:b/>
          <w:bCs/>
          <w:sz w:val="20"/>
          <w:szCs w:val="20"/>
          <w:rtl/>
        </w:rPr>
        <w:br/>
      </w:r>
      <w:r>
        <w:rPr>
          <w:rFonts w:cs="Arial" w:hint="cs"/>
          <w:b/>
          <w:bCs/>
          <w:sz w:val="20"/>
          <w:szCs w:val="20"/>
          <w:rtl/>
        </w:rPr>
        <w:lastRenderedPageBreak/>
        <w:t>קושיית הרשב"א</w:t>
      </w:r>
      <w:r>
        <w:rPr>
          <w:rFonts w:cs="Arial"/>
          <w:b/>
          <w:bCs/>
          <w:sz w:val="20"/>
          <w:szCs w:val="20"/>
          <w:rtl/>
        </w:rPr>
        <w:br/>
      </w:r>
      <w:r>
        <w:rPr>
          <w:rFonts w:cs="Arial" w:hint="cs"/>
          <w:b/>
          <w:bCs/>
          <w:sz w:val="20"/>
          <w:szCs w:val="20"/>
          <w:rtl/>
        </w:rPr>
        <w:t xml:space="preserve">משנה </w:t>
      </w:r>
      <w:r>
        <w:rPr>
          <w:rFonts w:cs="Arial" w:hint="cs"/>
          <w:sz w:val="20"/>
          <w:szCs w:val="20"/>
          <w:rtl/>
        </w:rPr>
        <w:t xml:space="preserve">נדה (נט:) "שלוש </w:t>
      </w:r>
      <w:r w:rsidRPr="007C49AE">
        <w:rPr>
          <w:rFonts w:cs="Arial"/>
          <w:sz w:val="20"/>
          <w:szCs w:val="20"/>
          <w:rtl/>
        </w:rPr>
        <w:t>נשים שלבשו חלוק אחד, ונמצא עליו דם - כולן טמאות</w:t>
      </w:r>
      <w:r>
        <w:rPr>
          <w:rFonts w:cs="Arial" w:hint="cs"/>
          <w:sz w:val="20"/>
          <w:szCs w:val="20"/>
          <w:rtl/>
        </w:rPr>
        <w:t>"</w:t>
      </w:r>
      <w:r w:rsidRPr="007C49AE">
        <w:rPr>
          <w:rFonts w:cs="Arial"/>
          <w:sz w:val="20"/>
          <w:szCs w:val="20"/>
          <w:rtl/>
        </w:rPr>
        <w:t>.</w:t>
      </w:r>
      <w:r>
        <w:rPr>
          <w:rFonts w:cs="Arial" w:hint="cs"/>
          <w:sz w:val="20"/>
          <w:szCs w:val="20"/>
          <w:rtl/>
        </w:rPr>
        <w:br/>
      </w:r>
      <w:r w:rsidRPr="00B137F2">
        <w:rPr>
          <w:rFonts w:cs="Arial" w:hint="cs"/>
          <w:b/>
          <w:bCs/>
          <w:sz w:val="20"/>
          <w:szCs w:val="20"/>
          <w:rtl/>
        </w:rPr>
        <w:t>רשב"א</w:t>
      </w:r>
      <w:r>
        <w:rPr>
          <w:rFonts w:cs="Arial" w:hint="cs"/>
          <w:sz w:val="20"/>
          <w:szCs w:val="20"/>
          <w:rtl/>
        </w:rPr>
        <w:t xml:space="preserve"> </w:t>
      </w:r>
      <w:r>
        <w:rPr>
          <w:rFonts w:cs="Arial"/>
          <w:sz w:val="20"/>
          <w:szCs w:val="20"/>
          <w:rtl/>
        </w:rPr>
        <w:t>–</w:t>
      </w:r>
      <w:r>
        <w:rPr>
          <w:rFonts w:cs="Arial" w:hint="cs"/>
          <w:sz w:val="20"/>
          <w:szCs w:val="20"/>
          <w:rtl/>
        </w:rPr>
        <w:t xml:space="preserve"> קשה, קיי"ל שכתם בעד שאינו בדוק טהור, ומדוע חלוק חמור מעד זה?</w:t>
      </w:r>
      <w:r>
        <w:rPr>
          <w:rStyle w:val="a5"/>
          <w:rFonts w:cs="Arial"/>
          <w:sz w:val="20"/>
          <w:szCs w:val="20"/>
          <w:rtl/>
        </w:rPr>
        <w:footnoteReference w:id="325"/>
      </w:r>
      <w:r>
        <w:rPr>
          <w:rFonts w:cs="Arial" w:hint="cs"/>
          <w:sz w:val="20"/>
          <w:szCs w:val="20"/>
          <w:rtl/>
        </w:rPr>
        <w:t xml:space="preserve"> </w:t>
      </w:r>
      <w:r>
        <w:rPr>
          <w:rStyle w:val="a5"/>
          <w:rFonts w:cs="Arial"/>
          <w:sz w:val="20"/>
          <w:szCs w:val="20"/>
          <w:rtl/>
        </w:rPr>
        <w:footnoteReference w:id="326"/>
      </w:r>
    </w:p>
    <w:p w:rsidR="00620060" w:rsidRDefault="00620060" w:rsidP="00620060">
      <w:pPr>
        <w:rPr>
          <w:rFonts w:cs="Arial"/>
          <w:sz w:val="20"/>
          <w:szCs w:val="20"/>
          <w:rtl/>
        </w:rPr>
      </w:pPr>
      <w:r>
        <w:rPr>
          <w:rFonts w:cs="Arial" w:hint="cs"/>
          <w:sz w:val="20"/>
          <w:szCs w:val="20"/>
          <w:u w:val="single"/>
          <w:rtl/>
        </w:rPr>
        <w:t xml:space="preserve">הגדרת חלוק בדוק ואינו בדוק </w:t>
      </w:r>
      <w:r>
        <w:rPr>
          <w:rFonts w:cs="Arial"/>
          <w:sz w:val="20"/>
          <w:szCs w:val="20"/>
          <w:u w:val="single"/>
          <w:rtl/>
        </w:rPr>
        <w:t>–</w:t>
      </w:r>
      <w:r>
        <w:rPr>
          <w:rFonts w:cs="Arial" w:hint="cs"/>
          <w:sz w:val="20"/>
          <w:szCs w:val="20"/>
          <w:u w:val="single"/>
          <w:rtl/>
        </w:rPr>
        <w:t xml:space="preserve"> שיטות הראשונים</w:t>
      </w:r>
      <w:r>
        <w:rPr>
          <w:rFonts w:cs="Arial"/>
          <w:sz w:val="20"/>
          <w:szCs w:val="20"/>
          <w:u w:val="single"/>
          <w:rtl/>
        </w:rPr>
        <w:br/>
      </w:r>
      <w:r>
        <w:rPr>
          <w:rFonts w:cs="Arial" w:hint="cs"/>
          <w:sz w:val="20"/>
          <w:szCs w:val="20"/>
          <w:rtl/>
        </w:rPr>
        <w:t xml:space="preserve">א. </w:t>
      </w:r>
      <w:r w:rsidRPr="00C21847">
        <w:rPr>
          <w:rFonts w:cs="Arial" w:hint="cs"/>
          <w:b/>
          <w:bCs/>
          <w:sz w:val="20"/>
          <w:szCs w:val="20"/>
          <w:rtl/>
        </w:rPr>
        <w:t>רמב"ן</w:t>
      </w:r>
      <w:r>
        <w:rPr>
          <w:rFonts w:cs="Arial" w:hint="cs"/>
          <w:sz w:val="20"/>
          <w:szCs w:val="20"/>
          <w:rtl/>
        </w:rPr>
        <w:t xml:space="preserve"> </w:t>
      </w:r>
      <w:r>
        <w:rPr>
          <w:rFonts w:cs="Arial"/>
          <w:sz w:val="20"/>
          <w:szCs w:val="20"/>
          <w:rtl/>
        </w:rPr>
        <w:br/>
      </w:r>
      <w:r>
        <w:rPr>
          <w:rFonts w:cs="Arial" w:hint="cs"/>
          <w:sz w:val="20"/>
          <w:szCs w:val="20"/>
          <w:rtl/>
        </w:rPr>
        <w:t>עד בדוק - בדקה אותו שהוא נקי, ומייד בדקה בו את עצמה.</w:t>
      </w:r>
      <w:r>
        <w:rPr>
          <w:rFonts w:cs="Arial"/>
          <w:sz w:val="20"/>
          <w:szCs w:val="20"/>
          <w:rtl/>
        </w:rPr>
        <w:br/>
      </w:r>
      <w:r>
        <w:rPr>
          <w:rFonts w:cs="Arial" w:hint="cs"/>
          <w:sz w:val="20"/>
          <w:szCs w:val="20"/>
          <w:rtl/>
        </w:rPr>
        <w:t xml:space="preserve">עד שאינו בדוק </w:t>
      </w:r>
      <w:r>
        <w:rPr>
          <w:rFonts w:cs="Arial"/>
          <w:sz w:val="20"/>
          <w:szCs w:val="20"/>
          <w:rtl/>
        </w:rPr>
        <w:t>–</w:t>
      </w:r>
      <w:r>
        <w:rPr>
          <w:rFonts w:cs="Arial" w:hint="cs"/>
          <w:sz w:val="20"/>
          <w:szCs w:val="20"/>
          <w:rtl/>
        </w:rPr>
        <w:t xml:space="preserve"> בדקה אותו שהוא נקי, אך בדקה בו את עצמה רק לאחר זמן.</w:t>
      </w:r>
      <w:r>
        <w:rPr>
          <w:rFonts w:cs="Arial"/>
          <w:sz w:val="20"/>
          <w:szCs w:val="20"/>
          <w:rtl/>
        </w:rPr>
        <w:br/>
      </w:r>
      <w:r>
        <w:rPr>
          <w:rFonts w:cs="Arial" w:hint="cs"/>
          <w:sz w:val="20"/>
          <w:szCs w:val="20"/>
          <w:rtl/>
        </w:rPr>
        <w:t xml:space="preserve">מקשה </w:t>
      </w:r>
      <w:r w:rsidRPr="00C21847">
        <w:rPr>
          <w:rFonts w:cs="Arial" w:hint="cs"/>
          <w:b/>
          <w:bCs/>
          <w:sz w:val="20"/>
          <w:szCs w:val="20"/>
          <w:rtl/>
        </w:rPr>
        <w:t>הרשב"א</w:t>
      </w:r>
      <w:r>
        <w:rPr>
          <w:rFonts w:cs="Arial" w:hint="cs"/>
          <w:sz w:val="20"/>
          <w:szCs w:val="20"/>
          <w:rtl/>
        </w:rPr>
        <w:t xml:space="preserve"> </w:t>
      </w:r>
      <w:r>
        <w:rPr>
          <w:rFonts w:cs="Arial"/>
          <w:sz w:val="20"/>
          <w:szCs w:val="20"/>
          <w:rtl/>
        </w:rPr>
        <w:t>–</w:t>
      </w:r>
      <w:r>
        <w:rPr>
          <w:rFonts w:cs="Arial" w:hint="cs"/>
          <w:sz w:val="20"/>
          <w:szCs w:val="20"/>
          <w:rtl/>
        </w:rPr>
        <w:t xml:space="preserve"> לפי"ז לא מובן מדוע בחלוק שלבשו שלוש נשים כולן טמאות ואילו בעד שאינו בדוק טהורה, הרי גם החלוק אינו בדוק בדיוק כמו העד, ואם כן בשני המקרים צריך להיות אותו דין.</w:t>
      </w:r>
      <w:r>
        <w:rPr>
          <w:rFonts w:cs="Arial"/>
          <w:sz w:val="20"/>
          <w:szCs w:val="20"/>
          <w:rtl/>
        </w:rPr>
        <w:br/>
      </w:r>
      <w:r>
        <w:rPr>
          <w:rFonts w:cs="Arial" w:hint="cs"/>
          <w:sz w:val="20"/>
          <w:szCs w:val="20"/>
          <w:rtl/>
        </w:rPr>
        <w:br/>
        <w:t xml:space="preserve">ב. </w:t>
      </w:r>
      <w:r>
        <w:rPr>
          <w:rFonts w:cs="Arial" w:hint="cs"/>
          <w:b/>
          <w:bCs/>
          <w:sz w:val="20"/>
          <w:szCs w:val="20"/>
          <w:rtl/>
        </w:rPr>
        <w:t>רשב"א</w:t>
      </w:r>
      <w:r>
        <w:rPr>
          <w:rFonts w:cs="Arial"/>
          <w:b/>
          <w:bCs/>
          <w:sz w:val="20"/>
          <w:szCs w:val="20"/>
          <w:rtl/>
        </w:rPr>
        <w:br/>
      </w:r>
      <w:r>
        <w:rPr>
          <w:rFonts w:cs="Arial" w:hint="cs"/>
          <w:sz w:val="20"/>
          <w:szCs w:val="20"/>
          <w:rtl/>
        </w:rPr>
        <w:t xml:space="preserve">עד בדוק </w:t>
      </w:r>
      <w:r>
        <w:rPr>
          <w:rFonts w:cs="Arial"/>
          <w:sz w:val="20"/>
          <w:szCs w:val="20"/>
          <w:rtl/>
        </w:rPr>
        <w:t>–</w:t>
      </w:r>
      <w:r>
        <w:rPr>
          <w:rFonts w:cs="Arial" w:hint="cs"/>
          <w:sz w:val="20"/>
          <w:szCs w:val="20"/>
          <w:rtl/>
        </w:rPr>
        <w:t xml:space="preserve"> עד שנבדק פעם אחת לעולם הוא בחזקת בדוק עד שייווד</w:t>
      </w:r>
      <w:r>
        <w:rPr>
          <w:rFonts w:cs="Arial" w:hint="eastAsia"/>
          <w:sz w:val="20"/>
          <w:szCs w:val="20"/>
          <w:rtl/>
        </w:rPr>
        <w:t>ע</w:t>
      </w:r>
      <w:r>
        <w:rPr>
          <w:rFonts w:cs="Arial" w:hint="cs"/>
          <w:sz w:val="20"/>
          <w:szCs w:val="20"/>
          <w:rtl/>
        </w:rPr>
        <w:t xml:space="preserve"> שנכתם, וכ"פ </w:t>
      </w:r>
      <w:r w:rsidRPr="00D6057E">
        <w:rPr>
          <w:rFonts w:cs="Arial" w:hint="cs"/>
          <w:b/>
          <w:bCs/>
          <w:sz w:val="20"/>
          <w:szCs w:val="20"/>
          <w:rtl/>
        </w:rPr>
        <w:t>המחבר</w:t>
      </w:r>
      <w:r>
        <w:rPr>
          <w:rFonts w:cs="Arial" w:hint="cs"/>
          <w:sz w:val="20"/>
          <w:szCs w:val="20"/>
          <w:rtl/>
        </w:rPr>
        <w:t>.</w:t>
      </w:r>
      <w:r>
        <w:rPr>
          <w:rFonts w:cs="Arial"/>
          <w:sz w:val="20"/>
          <w:szCs w:val="20"/>
          <w:rtl/>
        </w:rPr>
        <w:br/>
      </w:r>
      <w:r>
        <w:rPr>
          <w:rFonts w:cs="Arial" w:hint="cs"/>
          <w:sz w:val="20"/>
          <w:szCs w:val="20"/>
          <w:rtl/>
        </w:rPr>
        <w:t xml:space="preserve">עד שאינו בדוק </w:t>
      </w:r>
      <w:r>
        <w:rPr>
          <w:rFonts w:cs="Arial"/>
          <w:sz w:val="20"/>
          <w:szCs w:val="20"/>
          <w:rtl/>
        </w:rPr>
        <w:t>–</w:t>
      </w:r>
      <w:r>
        <w:rPr>
          <w:rFonts w:cs="Arial" w:hint="cs"/>
          <w:sz w:val="20"/>
          <w:szCs w:val="20"/>
          <w:rtl/>
        </w:rPr>
        <w:t xml:space="preserve"> לא בדקתו מעולם, אלא שהניחה אותו במקום נקי שרגילות הנשים להניח בו את עדיהן</w:t>
      </w:r>
      <w:r>
        <w:rPr>
          <w:rStyle w:val="a5"/>
          <w:rFonts w:cs="Arial"/>
          <w:sz w:val="20"/>
          <w:szCs w:val="20"/>
          <w:rtl/>
        </w:rPr>
        <w:footnoteReference w:id="327"/>
      </w:r>
      <w:r>
        <w:rPr>
          <w:rFonts w:cs="Arial" w:hint="cs"/>
          <w:sz w:val="20"/>
          <w:szCs w:val="20"/>
          <w:rtl/>
        </w:rPr>
        <w:t xml:space="preserve">. </w:t>
      </w:r>
      <w:r>
        <w:rPr>
          <w:rFonts w:cs="Arial"/>
          <w:sz w:val="20"/>
          <w:szCs w:val="20"/>
          <w:rtl/>
        </w:rPr>
        <w:br/>
      </w:r>
      <w:r>
        <w:rPr>
          <w:rFonts w:cs="Arial" w:hint="cs"/>
          <w:sz w:val="20"/>
          <w:szCs w:val="20"/>
          <w:rtl/>
        </w:rPr>
        <w:t xml:space="preserve">לפי"ז מיושבת הקושייה לעיל </w:t>
      </w:r>
      <w:r>
        <w:rPr>
          <w:rFonts w:cs="Arial"/>
          <w:sz w:val="20"/>
          <w:szCs w:val="20"/>
          <w:rtl/>
        </w:rPr>
        <w:t>–</w:t>
      </w:r>
      <w:r>
        <w:rPr>
          <w:rFonts w:cs="Arial" w:hint="cs"/>
          <w:sz w:val="20"/>
          <w:szCs w:val="20"/>
          <w:rtl/>
        </w:rPr>
        <w:t xml:space="preserve"> חלוק היה בדוק </w:t>
      </w:r>
      <w:r w:rsidRPr="00C21847">
        <w:rPr>
          <w:rFonts w:cs="Arial" w:hint="cs"/>
          <w:sz w:val="18"/>
          <w:szCs w:val="18"/>
          <w:rtl/>
        </w:rPr>
        <w:t xml:space="preserve">(כגון </w:t>
      </w:r>
      <w:r>
        <w:rPr>
          <w:rFonts w:cs="Arial" w:hint="cs"/>
          <w:sz w:val="18"/>
          <w:szCs w:val="18"/>
          <w:rtl/>
        </w:rPr>
        <w:t>שהתכבס</w:t>
      </w:r>
      <w:r w:rsidRPr="00C21847">
        <w:rPr>
          <w:rFonts w:cs="Arial" w:hint="cs"/>
          <w:sz w:val="18"/>
          <w:szCs w:val="18"/>
          <w:rtl/>
        </w:rPr>
        <w:t xml:space="preserve">) </w:t>
      </w:r>
      <w:r>
        <w:rPr>
          <w:rFonts w:cs="Arial" w:hint="cs"/>
          <w:sz w:val="20"/>
          <w:szCs w:val="20"/>
          <w:rtl/>
        </w:rPr>
        <w:t>ולכן שלוש הנשים טמאות, אך עד בדיקה אינו בדוק ולכן טהורה.</w:t>
      </w:r>
    </w:p>
    <w:p w:rsidR="00620060" w:rsidRDefault="00620060" w:rsidP="00620060">
      <w:pPr>
        <w:rPr>
          <w:rFonts w:cs="Arial"/>
          <w:sz w:val="20"/>
          <w:szCs w:val="20"/>
          <w:rtl/>
        </w:rPr>
      </w:pPr>
      <w:r>
        <w:rPr>
          <w:rFonts w:cs="Arial" w:hint="cs"/>
          <w:b/>
          <w:bCs/>
          <w:sz w:val="20"/>
          <w:szCs w:val="20"/>
          <w:rtl/>
        </w:rPr>
        <w:t>פסיקת הלכה</w:t>
      </w:r>
      <w:r>
        <w:rPr>
          <w:rFonts w:cs="Arial"/>
          <w:b/>
          <w:bCs/>
          <w:sz w:val="20"/>
          <w:szCs w:val="20"/>
          <w:rtl/>
        </w:rPr>
        <w:br/>
      </w:r>
      <w:r>
        <w:rPr>
          <w:rFonts w:cs="Arial" w:hint="cs"/>
          <w:b/>
          <w:bCs/>
          <w:sz w:val="20"/>
          <w:szCs w:val="20"/>
          <w:rtl/>
        </w:rPr>
        <w:t xml:space="preserve">שולחן ערוך </w:t>
      </w:r>
      <w:r>
        <w:rPr>
          <w:rFonts w:cs="Arial"/>
          <w:sz w:val="20"/>
          <w:szCs w:val="20"/>
          <w:rtl/>
        </w:rPr>
        <w:t>–</w:t>
      </w:r>
      <w:r>
        <w:rPr>
          <w:rFonts w:cs="Arial" w:hint="cs"/>
          <w:sz w:val="20"/>
          <w:szCs w:val="20"/>
          <w:rtl/>
        </w:rPr>
        <w:t xml:space="preserve"> "</w:t>
      </w:r>
      <w:r w:rsidRPr="00D6057E">
        <w:rPr>
          <w:rFonts w:cs="Arial"/>
          <w:sz w:val="20"/>
          <w:szCs w:val="20"/>
          <w:rtl/>
        </w:rPr>
        <w:t>איזהו עד הבדוק, כל שבדקתו, בין היא בין חברתה, ולא נודע שנכתם בו כתם, ולא העבירתו בשוק של טבחים, ולא בצד המת</w:t>
      </w:r>
      <w:r>
        <w:rPr>
          <w:rFonts w:cs="Arial"/>
          <w:sz w:val="20"/>
          <w:szCs w:val="20"/>
          <w:rtl/>
        </w:rPr>
        <w:t>עסקים בכתמים, הרי זה בחזקת בדוק</w:t>
      </w:r>
      <w:r>
        <w:rPr>
          <w:rFonts w:cs="Arial" w:hint="cs"/>
          <w:sz w:val="20"/>
          <w:szCs w:val="20"/>
          <w:rtl/>
        </w:rPr>
        <w:t>".</w:t>
      </w:r>
      <w:r>
        <w:rPr>
          <w:rFonts w:cs="Arial" w:hint="cs"/>
          <w:sz w:val="20"/>
          <w:szCs w:val="20"/>
          <w:rtl/>
        </w:rPr>
        <w:br/>
      </w:r>
      <w:r w:rsidRPr="00E533F2">
        <w:rPr>
          <w:rFonts w:cs="Arial" w:hint="cs"/>
          <w:b/>
          <w:bCs/>
          <w:sz w:val="20"/>
          <w:szCs w:val="20"/>
          <w:rtl/>
        </w:rPr>
        <w:t>טהרת הבית</w:t>
      </w:r>
      <w:r>
        <w:rPr>
          <w:rFonts w:cs="Arial" w:hint="cs"/>
          <w:sz w:val="20"/>
          <w:szCs w:val="20"/>
          <w:rtl/>
        </w:rPr>
        <w:t xml:space="preserve"> </w:t>
      </w:r>
      <w:r w:rsidRPr="00E533F2">
        <w:rPr>
          <w:rFonts w:cs="Arial" w:hint="cs"/>
          <w:sz w:val="18"/>
          <w:szCs w:val="18"/>
          <w:rtl/>
        </w:rPr>
        <w:t xml:space="preserve">(חלק א עמ' תמט) </w:t>
      </w:r>
      <w:r>
        <w:rPr>
          <w:rFonts w:cs="Arial"/>
          <w:sz w:val="20"/>
          <w:szCs w:val="20"/>
          <w:rtl/>
        </w:rPr>
        <w:t>–</w:t>
      </w:r>
      <w:r>
        <w:rPr>
          <w:rFonts w:cs="Arial" w:hint="cs"/>
          <w:sz w:val="20"/>
          <w:szCs w:val="20"/>
          <w:rtl/>
        </w:rPr>
        <w:t xml:space="preserve"> "ומכל מקום אם יש צירוף נוסף להקל, יש לסמוך על דברי הרמב"ן להקל".</w:t>
      </w:r>
      <w:r>
        <w:rPr>
          <w:rFonts w:cs="Arial"/>
          <w:sz w:val="20"/>
          <w:szCs w:val="20"/>
          <w:rtl/>
        </w:rPr>
        <w:br/>
      </w:r>
      <w:r>
        <w:rPr>
          <w:rFonts w:cs="Arial" w:hint="cs"/>
          <w:b/>
          <w:bCs/>
          <w:sz w:val="20"/>
          <w:szCs w:val="20"/>
          <w:rtl/>
        </w:rPr>
        <w:br/>
      </w:r>
      <w:r>
        <w:rPr>
          <w:rFonts w:cs="Arial" w:hint="cs"/>
          <w:sz w:val="20"/>
          <w:szCs w:val="20"/>
          <w:u w:val="single"/>
          <w:rtl/>
        </w:rPr>
        <w:t xml:space="preserve">למעשה </w:t>
      </w:r>
      <w:r>
        <w:rPr>
          <w:rFonts w:cs="Arial"/>
          <w:sz w:val="20"/>
          <w:szCs w:val="20"/>
          <w:u w:val="single"/>
          <w:rtl/>
        </w:rPr>
        <w:t>–</w:t>
      </w:r>
      <w:r>
        <w:rPr>
          <w:rFonts w:cs="Arial" w:hint="cs"/>
          <w:sz w:val="20"/>
          <w:szCs w:val="20"/>
          <w:u w:val="single"/>
          <w:rtl/>
        </w:rPr>
        <w:t xml:space="preserve"> מהו עד שאינו בדוק? (ששבה"ל)</w:t>
      </w:r>
      <w:r>
        <w:rPr>
          <w:rFonts w:cs="Arial" w:hint="cs"/>
          <w:sz w:val="20"/>
          <w:szCs w:val="20"/>
          <w:u w:val="single"/>
          <w:rtl/>
        </w:rPr>
        <w:br/>
      </w:r>
      <w:r>
        <w:rPr>
          <w:rFonts w:cs="Arial" w:hint="cs"/>
          <w:sz w:val="20"/>
          <w:szCs w:val="20"/>
          <w:rtl/>
        </w:rPr>
        <w:t xml:space="preserve">הכל לפי ראות עיני המורה באיזה מקום הונח העד ולמשך כמה זמן, ונראה לומר כך - </w:t>
      </w:r>
      <w:r>
        <w:rPr>
          <w:rFonts w:cs="Arial"/>
          <w:sz w:val="20"/>
          <w:szCs w:val="20"/>
          <w:rtl/>
        </w:rPr>
        <w:br/>
      </w:r>
      <w:r>
        <w:rPr>
          <w:rFonts w:cs="Arial" w:hint="cs"/>
          <w:sz w:val="20"/>
          <w:szCs w:val="20"/>
          <w:rtl/>
        </w:rPr>
        <w:t>במקום מלוכלך, כגון במטבח, מאבד חזקתו בזמן קצר ודינו כאינו בדוק.</w:t>
      </w:r>
      <w:r>
        <w:rPr>
          <w:rFonts w:cs="Arial"/>
          <w:sz w:val="20"/>
          <w:szCs w:val="20"/>
          <w:rtl/>
        </w:rPr>
        <w:br/>
      </w:r>
      <w:r>
        <w:rPr>
          <w:rFonts w:cs="Arial" w:hint="cs"/>
          <w:sz w:val="20"/>
          <w:szCs w:val="20"/>
          <w:rtl/>
        </w:rPr>
        <w:t>במקום בינוני שאינו נקי אך אינו מלוכלך, נראה שלאחר יב' שעות אינו מוחזק בדוק.</w:t>
      </w:r>
      <w:r>
        <w:rPr>
          <w:rFonts w:cs="Arial"/>
          <w:sz w:val="20"/>
          <w:szCs w:val="20"/>
          <w:rtl/>
        </w:rPr>
        <w:br/>
      </w:r>
      <w:r>
        <w:rPr>
          <w:rFonts w:cs="Arial" w:hint="cs"/>
          <w:sz w:val="20"/>
          <w:szCs w:val="20"/>
          <w:rtl/>
        </w:rPr>
        <w:t>ובמקום נקי ומשומר נשאר בחזקת בדוק אפילו לאחר זמן מרובה.</w:t>
      </w:r>
    </w:p>
    <w:p w:rsidR="00620060" w:rsidRPr="00353675" w:rsidRDefault="00620060" w:rsidP="00620060">
      <w:pPr>
        <w:rPr>
          <w:rFonts w:cs="Arial"/>
          <w:sz w:val="20"/>
          <w:szCs w:val="20"/>
          <w:rtl/>
        </w:rPr>
      </w:pPr>
      <w:r>
        <w:rPr>
          <w:rFonts w:cs="Arial" w:hint="cs"/>
          <w:sz w:val="20"/>
          <w:szCs w:val="20"/>
          <w:u w:val="single"/>
          <w:rtl/>
        </w:rPr>
        <w:t>דין עדי בדיקה המצויים כיום (ששבה"ל עמ' קפח אות ב)</w:t>
      </w:r>
      <w:r>
        <w:rPr>
          <w:rFonts w:cs="Arial" w:hint="cs"/>
          <w:sz w:val="20"/>
          <w:szCs w:val="20"/>
          <w:u w:val="single"/>
          <w:rtl/>
        </w:rPr>
        <w:br/>
      </w:r>
      <w:r>
        <w:rPr>
          <w:rFonts w:cs="Arial" w:hint="cs"/>
          <w:sz w:val="20"/>
          <w:szCs w:val="20"/>
          <w:rtl/>
        </w:rPr>
        <w:t>עדי בדיקה המצויים בזמנינו, דינם כבדוקים לגמרי.</w:t>
      </w:r>
    </w:p>
    <w:p w:rsidR="00620060" w:rsidRDefault="00620060" w:rsidP="00620060">
      <w:pPr>
        <w:rPr>
          <w:rFonts w:cs="Arial"/>
          <w:sz w:val="20"/>
          <w:szCs w:val="20"/>
          <w:rtl/>
        </w:rPr>
      </w:pPr>
      <w:r>
        <w:rPr>
          <w:rFonts w:cs="Arial" w:hint="cs"/>
          <w:sz w:val="20"/>
          <w:szCs w:val="20"/>
          <w:u w:val="single"/>
          <w:rtl/>
        </w:rPr>
        <w:t>בדקה בעד בדוק ומצאה עליו טיפות דם קטנות (טהרת הבית חלק א עמת ע)</w:t>
      </w:r>
      <w:r>
        <w:rPr>
          <w:rFonts w:cs="Arial"/>
          <w:sz w:val="20"/>
          <w:szCs w:val="20"/>
          <w:u w:val="single"/>
          <w:rtl/>
        </w:rPr>
        <w:br/>
      </w:r>
      <w:r>
        <w:rPr>
          <w:rFonts w:cs="Arial" w:hint="cs"/>
          <w:sz w:val="20"/>
          <w:szCs w:val="20"/>
          <w:rtl/>
        </w:rPr>
        <w:t xml:space="preserve">המקרה </w:t>
      </w:r>
      <w:r>
        <w:rPr>
          <w:rFonts w:cs="Arial"/>
          <w:sz w:val="20"/>
          <w:szCs w:val="20"/>
          <w:rtl/>
        </w:rPr>
        <w:t>–</w:t>
      </w:r>
      <w:r>
        <w:rPr>
          <w:rFonts w:cs="Arial" w:hint="cs"/>
          <w:sz w:val="20"/>
          <w:szCs w:val="20"/>
          <w:rtl/>
        </w:rPr>
        <w:t xml:space="preserve"> אשה בדקה עצמה בעד בדוק, ולאחר הבדיקה מצאה על העד טיפות דם קטנות שייתכן שהיו על העד לפני הבדיקה אך לא הבחינה בהן.</w:t>
      </w:r>
      <w:r>
        <w:rPr>
          <w:rFonts w:cs="Arial"/>
          <w:sz w:val="20"/>
          <w:szCs w:val="20"/>
          <w:rtl/>
        </w:rPr>
        <w:br/>
      </w:r>
      <w:r w:rsidRPr="00A80B35">
        <w:rPr>
          <w:rFonts w:cs="Arial" w:hint="cs"/>
          <w:b/>
          <w:bCs/>
          <w:sz w:val="20"/>
          <w:szCs w:val="20"/>
          <w:rtl/>
        </w:rPr>
        <w:t xml:space="preserve">הדין </w:t>
      </w:r>
      <w:r>
        <w:rPr>
          <w:rFonts w:cs="Arial"/>
          <w:sz w:val="20"/>
          <w:szCs w:val="20"/>
          <w:rtl/>
        </w:rPr>
        <w:t>–</w:t>
      </w:r>
      <w:r>
        <w:rPr>
          <w:rFonts w:cs="Arial" w:hint="cs"/>
          <w:sz w:val="20"/>
          <w:szCs w:val="20"/>
          <w:rtl/>
        </w:rPr>
        <w:t xml:space="preserve"> טהורה.</w:t>
      </w:r>
      <w:r>
        <w:rPr>
          <w:rFonts w:cs="Arial"/>
          <w:sz w:val="20"/>
          <w:szCs w:val="20"/>
          <w:rtl/>
        </w:rPr>
        <w:br/>
      </w:r>
      <w:r w:rsidRPr="00A80B35">
        <w:rPr>
          <w:rFonts w:cs="Arial" w:hint="cs"/>
          <w:b/>
          <w:bCs/>
          <w:sz w:val="20"/>
          <w:szCs w:val="20"/>
          <w:rtl/>
        </w:rPr>
        <w:t>טעם</w:t>
      </w:r>
      <w:r>
        <w:rPr>
          <w:rFonts w:cs="Arial" w:hint="cs"/>
          <w:sz w:val="20"/>
          <w:szCs w:val="20"/>
          <w:rtl/>
        </w:rPr>
        <w:t xml:space="preserve"> </w:t>
      </w:r>
      <w:r>
        <w:rPr>
          <w:rFonts w:cs="Arial"/>
          <w:sz w:val="20"/>
          <w:szCs w:val="20"/>
          <w:rtl/>
        </w:rPr>
        <w:t>–</w:t>
      </w:r>
      <w:r>
        <w:rPr>
          <w:rFonts w:cs="Arial" w:hint="cs"/>
          <w:sz w:val="20"/>
          <w:szCs w:val="20"/>
          <w:rtl/>
        </w:rPr>
        <w:t xml:space="preserve"> יש לומר שלרוב דקותן של הטיפות לא הבחינה בהן מעיקרא.</w:t>
      </w:r>
    </w:p>
    <w:p w:rsidR="00620060" w:rsidRDefault="00620060" w:rsidP="00620060">
      <w:pPr>
        <w:rPr>
          <w:rFonts w:cs="Arial"/>
          <w:sz w:val="20"/>
          <w:szCs w:val="20"/>
          <w:rtl/>
        </w:rPr>
      </w:pPr>
      <w:r w:rsidRPr="009C38CE">
        <w:rPr>
          <w:rFonts w:hint="cs"/>
          <w:b/>
          <w:bCs/>
          <w:sz w:val="20"/>
          <w:szCs w:val="20"/>
          <w:rtl/>
        </w:rPr>
        <w:t>סיכום</w:t>
      </w:r>
      <w:r>
        <w:rPr>
          <w:sz w:val="20"/>
          <w:szCs w:val="20"/>
          <w:rtl/>
        </w:rPr>
        <w:br/>
      </w:r>
      <w:r>
        <w:rPr>
          <w:rFonts w:hint="cs"/>
          <w:sz w:val="20"/>
          <w:szCs w:val="20"/>
          <w:rtl/>
        </w:rPr>
        <w:t xml:space="preserve">1. </w:t>
      </w:r>
      <w:r w:rsidRPr="009C38CE">
        <w:rPr>
          <w:rFonts w:hint="cs"/>
          <w:b/>
          <w:bCs/>
          <w:sz w:val="20"/>
          <w:szCs w:val="20"/>
          <w:rtl/>
        </w:rPr>
        <w:t>משנה</w:t>
      </w:r>
      <w:r>
        <w:rPr>
          <w:rFonts w:hint="cs"/>
          <w:sz w:val="20"/>
          <w:szCs w:val="20"/>
          <w:rtl/>
        </w:rPr>
        <w:t xml:space="preserve">. שלוש נשים שלבשו חלוק אחד ונמצא עליו דם, טמאות. </w:t>
      </w:r>
      <w:r w:rsidRPr="009C38CE">
        <w:rPr>
          <w:rFonts w:hint="cs"/>
          <w:b/>
          <w:bCs/>
          <w:sz w:val="20"/>
          <w:szCs w:val="20"/>
          <w:rtl/>
        </w:rPr>
        <w:t>רשב"א</w:t>
      </w:r>
      <w:r>
        <w:rPr>
          <w:rFonts w:hint="cs"/>
          <w:sz w:val="20"/>
          <w:szCs w:val="20"/>
          <w:rtl/>
        </w:rPr>
        <w:t>. מדוע אין דינו כחלוק שאינו בדוק?</w:t>
      </w:r>
      <w:r>
        <w:rPr>
          <w:rFonts w:hint="cs"/>
          <w:sz w:val="20"/>
          <w:szCs w:val="20"/>
          <w:rtl/>
        </w:rPr>
        <w:br/>
        <w:t>2</w:t>
      </w:r>
      <w:r w:rsidRPr="003718E0">
        <w:rPr>
          <w:rFonts w:hint="cs"/>
          <w:sz w:val="20"/>
          <w:szCs w:val="20"/>
          <w:rtl/>
        </w:rPr>
        <w:t>. הגדרות.</w:t>
      </w:r>
      <w:r>
        <w:rPr>
          <w:rFonts w:hint="cs"/>
          <w:sz w:val="20"/>
          <w:szCs w:val="20"/>
          <w:rtl/>
        </w:rPr>
        <w:t xml:space="preserve"> </w:t>
      </w:r>
      <w:r w:rsidRPr="009C38CE">
        <w:rPr>
          <w:rFonts w:hint="cs"/>
          <w:b/>
          <w:bCs/>
          <w:sz w:val="20"/>
          <w:szCs w:val="20"/>
          <w:rtl/>
        </w:rPr>
        <w:t>רמב"ן</w:t>
      </w:r>
      <w:r>
        <w:rPr>
          <w:rFonts w:hint="cs"/>
          <w:sz w:val="20"/>
          <w:szCs w:val="20"/>
          <w:rtl/>
        </w:rPr>
        <w:t xml:space="preserve">. בדוק. בדקה את העד ומייד בדקה את עצמה. אינו בדוק. בדקה עצמה זמן מה לאחר בדיקת העד. </w:t>
      </w:r>
      <w:r w:rsidRPr="009C38CE">
        <w:rPr>
          <w:rFonts w:hint="cs"/>
          <w:b/>
          <w:bCs/>
          <w:sz w:val="20"/>
          <w:szCs w:val="20"/>
          <w:rtl/>
        </w:rPr>
        <w:t>רשב"א</w:t>
      </w:r>
      <w:r>
        <w:rPr>
          <w:rFonts w:hint="cs"/>
          <w:sz w:val="20"/>
          <w:szCs w:val="20"/>
          <w:rtl/>
        </w:rPr>
        <w:t xml:space="preserve">. בדוק. נבדק פ"א לעולם בחזקת בדוק עד שייוודע שנכתם, וכ"פ </w:t>
      </w:r>
      <w:r w:rsidRPr="009C38CE">
        <w:rPr>
          <w:rFonts w:hint="cs"/>
          <w:b/>
          <w:bCs/>
          <w:sz w:val="20"/>
          <w:szCs w:val="20"/>
          <w:rtl/>
        </w:rPr>
        <w:t>המחבר</w:t>
      </w:r>
      <w:r>
        <w:rPr>
          <w:rFonts w:hint="cs"/>
          <w:sz w:val="20"/>
          <w:szCs w:val="20"/>
          <w:rtl/>
        </w:rPr>
        <w:t xml:space="preserve">. אינו בדוק. לא בדקתו מעולם, אלא שהניחתו במקום נקי. ולפי"ז א"ש דין חלוק, הוא היה בדוק </w:t>
      </w:r>
      <w:r w:rsidRPr="00EF2CCD">
        <w:rPr>
          <w:rFonts w:hint="cs"/>
          <w:sz w:val="18"/>
          <w:szCs w:val="18"/>
          <w:rtl/>
        </w:rPr>
        <w:t>(כגון שנבדק בשעת כיבוסו)</w:t>
      </w:r>
      <w:r>
        <w:rPr>
          <w:rFonts w:hint="cs"/>
          <w:sz w:val="20"/>
          <w:szCs w:val="20"/>
          <w:rtl/>
        </w:rPr>
        <w:t>.</w:t>
      </w:r>
      <w:r>
        <w:rPr>
          <w:rFonts w:hint="cs"/>
          <w:sz w:val="20"/>
          <w:szCs w:val="20"/>
          <w:rtl/>
        </w:rPr>
        <w:br/>
        <w:t xml:space="preserve">3. </w:t>
      </w:r>
      <w:r w:rsidRPr="009C38CE">
        <w:rPr>
          <w:rFonts w:hint="cs"/>
          <w:b/>
          <w:bCs/>
          <w:sz w:val="20"/>
          <w:szCs w:val="20"/>
          <w:rtl/>
        </w:rPr>
        <w:t>מחבר</w:t>
      </w:r>
      <w:r>
        <w:rPr>
          <w:rFonts w:hint="cs"/>
          <w:sz w:val="20"/>
          <w:szCs w:val="20"/>
          <w:rtl/>
        </w:rPr>
        <w:t xml:space="preserve">. עד בדוק הוא עד שבדקתו ואין ידוע שנכתם. </w:t>
      </w:r>
      <w:r w:rsidRPr="009C38CE">
        <w:rPr>
          <w:rFonts w:hint="cs"/>
          <w:b/>
          <w:bCs/>
          <w:sz w:val="20"/>
          <w:szCs w:val="20"/>
          <w:rtl/>
        </w:rPr>
        <w:t>טה"ב</w:t>
      </w:r>
      <w:r>
        <w:rPr>
          <w:rFonts w:hint="cs"/>
          <w:sz w:val="20"/>
          <w:szCs w:val="20"/>
          <w:rtl/>
        </w:rPr>
        <w:t xml:space="preserve">. יש להקל </w:t>
      </w:r>
      <w:r w:rsidRPr="009C38CE">
        <w:rPr>
          <w:rFonts w:hint="cs"/>
          <w:b/>
          <w:bCs/>
          <w:sz w:val="20"/>
          <w:szCs w:val="20"/>
          <w:rtl/>
        </w:rPr>
        <w:t>כרמב"ן</w:t>
      </w:r>
      <w:r>
        <w:rPr>
          <w:rFonts w:hint="cs"/>
          <w:sz w:val="20"/>
          <w:szCs w:val="20"/>
          <w:rtl/>
        </w:rPr>
        <w:t xml:space="preserve"> במקום שיש צד קולא נוסף.</w:t>
      </w:r>
      <w:r>
        <w:rPr>
          <w:sz w:val="20"/>
          <w:szCs w:val="20"/>
          <w:rtl/>
        </w:rPr>
        <w:br/>
      </w:r>
      <w:r>
        <w:rPr>
          <w:rFonts w:hint="cs"/>
          <w:sz w:val="20"/>
          <w:szCs w:val="20"/>
          <w:rtl/>
        </w:rPr>
        <w:t xml:space="preserve">4. </w:t>
      </w:r>
      <w:r w:rsidRPr="009C38CE">
        <w:rPr>
          <w:rFonts w:hint="cs"/>
          <w:b/>
          <w:bCs/>
          <w:sz w:val="20"/>
          <w:szCs w:val="20"/>
          <w:rtl/>
        </w:rPr>
        <w:t>ששבה"ל</w:t>
      </w:r>
      <w:r>
        <w:rPr>
          <w:rFonts w:hint="cs"/>
          <w:sz w:val="20"/>
          <w:szCs w:val="20"/>
          <w:rtl/>
        </w:rPr>
        <w:t>. למעשה, הכל לפי ראות עיני המורה, ועדי בדיקה המצויים כיום, בחזקת בדוקים.</w:t>
      </w:r>
      <w:r>
        <w:rPr>
          <w:rFonts w:hint="cs"/>
          <w:sz w:val="20"/>
          <w:szCs w:val="20"/>
          <w:rtl/>
        </w:rPr>
        <w:br/>
        <w:t xml:space="preserve">5. </w:t>
      </w:r>
      <w:r w:rsidRPr="009C38CE">
        <w:rPr>
          <w:rFonts w:hint="cs"/>
          <w:b/>
          <w:bCs/>
          <w:sz w:val="20"/>
          <w:szCs w:val="20"/>
          <w:rtl/>
        </w:rPr>
        <w:t>טה"ב</w:t>
      </w:r>
      <w:r>
        <w:rPr>
          <w:rFonts w:hint="cs"/>
          <w:sz w:val="20"/>
          <w:szCs w:val="20"/>
          <w:rtl/>
        </w:rPr>
        <w:t>. בדקה בעד בדוק ואחר כך מצאה עליו טיפות דם קטנות, טהורה, שמא היו לפני כן ולא הבחינה</w:t>
      </w:r>
      <w:r>
        <w:rPr>
          <w:rFonts w:cs="Arial" w:hint="cs"/>
          <w:sz w:val="20"/>
          <w:szCs w:val="20"/>
          <w:rtl/>
        </w:rPr>
        <w:t>.</w:t>
      </w:r>
    </w:p>
    <w:p w:rsidR="00620060" w:rsidRDefault="00620060" w:rsidP="00620060">
      <w:pPr>
        <w:rPr>
          <w:rFonts w:cs="Arial"/>
          <w:sz w:val="20"/>
          <w:szCs w:val="20"/>
          <w:rtl/>
        </w:rPr>
      </w:pPr>
      <w:r>
        <w:rPr>
          <w:rFonts w:cs="Arial"/>
          <w:sz w:val="20"/>
          <w:szCs w:val="20"/>
          <w:rtl/>
        </w:rPr>
        <w:lastRenderedPageBreak/>
        <w:br/>
      </w:r>
      <w:r>
        <w:rPr>
          <w:rFonts w:cs="Arial" w:hint="cs"/>
          <w:b/>
          <w:bCs/>
          <w:sz w:val="20"/>
          <w:szCs w:val="20"/>
          <w:rtl/>
        </w:rPr>
        <w:t xml:space="preserve">סעיף לט </w:t>
      </w:r>
      <w:r>
        <w:rPr>
          <w:rFonts w:cs="Arial"/>
          <w:b/>
          <w:bCs/>
          <w:sz w:val="20"/>
          <w:szCs w:val="20"/>
          <w:rtl/>
        </w:rPr>
        <w:t>–</w:t>
      </w:r>
      <w:r>
        <w:rPr>
          <w:rFonts w:cs="Arial" w:hint="cs"/>
          <w:b/>
          <w:bCs/>
          <w:sz w:val="20"/>
          <w:szCs w:val="20"/>
          <w:rtl/>
        </w:rPr>
        <w:t xml:space="preserve"> מצאה כתם בחלוק שאינו בדוק</w:t>
      </w:r>
      <w:r>
        <w:rPr>
          <w:rFonts w:cs="Arial" w:hint="cs"/>
          <w:b/>
          <w:bCs/>
          <w:sz w:val="20"/>
          <w:szCs w:val="20"/>
          <w:rtl/>
        </w:rPr>
        <w:br/>
        <w:t>פסיקת הלכה</w:t>
      </w:r>
      <w:r>
        <w:rPr>
          <w:rFonts w:cs="Arial"/>
          <w:b/>
          <w:bCs/>
          <w:sz w:val="20"/>
          <w:szCs w:val="20"/>
          <w:rtl/>
        </w:rPr>
        <w:br/>
      </w:r>
      <w:r>
        <w:rPr>
          <w:rFonts w:cs="Arial" w:hint="cs"/>
          <w:b/>
          <w:bCs/>
          <w:sz w:val="20"/>
          <w:szCs w:val="20"/>
          <w:rtl/>
        </w:rPr>
        <w:t xml:space="preserve">שולחן ערוך </w:t>
      </w:r>
      <w:r w:rsidRPr="00992329">
        <w:rPr>
          <w:rFonts w:cs="Arial" w:hint="cs"/>
          <w:sz w:val="18"/>
          <w:szCs w:val="18"/>
          <w:rtl/>
        </w:rPr>
        <w:t xml:space="preserve">(ע"פ </w:t>
      </w:r>
      <w:r w:rsidRPr="00992329">
        <w:rPr>
          <w:rFonts w:cs="Arial" w:hint="cs"/>
          <w:b/>
          <w:bCs/>
          <w:sz w:val="18"/>
          <w:szCs w:val="18"/>
          <w:rtl/>
        </w:rPr>
        <w:t>הרשב"א</w:t>
      </w:r>
      <w:r w:rsidRPr="00992329">
        <w:rPr>
          <w:rFonts w:cs="Arial" w:hint="cs"/>
          <w:sz w:val="18"/>
          <w:szCs w:val="18"/>
          <w:rtl/>
        </w:rPr>
        <w:t xml:space="preserve">) </w:t>
      </w:r>
      <w:r>
        <w:rPr>
          <w:rFonts w:cs="Arial"/>
          <w:sz w:val="20"/>
          <w:szCs w:val="20"/>
          <w:rtl/>
        </w:rPr>
        <w:t>–</w:t>
      </w:r>
      <w:r>
        <w:rPr>
          <w:rFonts w:cs="Arial" w:hint="cs"/>
          <w:sz w:val="20"/>
          <w:szCs w:val="20"/>
          <w:rtl/>
        </w:rPr>
        <w:t xml:space="preserve"> "</w:t>
      </w:r>
      <w:r w:rsidRPr="00992329">
        <w:rPr>
          <w:rFonts w:cs="Arial"/>
          <w:sz w:val="20"/>
          <w:szCs w:val="20"/>
          <w:rtl/>
        </w:rPr>
        <w:t>אין האשה טמאה משום כתם שמצאה בחלוקה, אלא אם כן היה בדוק לה קודם שלבשתו. אבל אם אינו בדוק קודם שלבשתו, ולבשת</w:t>
      </w:r>
      <w:r>
        <w:rPr>
          <w:rFonts w:cs="Arial"/>
          <w:sz w:val="20"/>
          <w:szCs w:val="20"/>
          <w:rtl/>
        </w:rPr>
        <w:t>ו בלא בדיקה ומצאה בו כתם, טהורה</w:t>
      </w:r>
      <w:r>
        <w:rPr>
          <w:rFonts w:cs="Arial" w:hint="cs"/>
          <w:sz w:val="20"/>
          <w:szCs w:val="20"/>
          <w:rtl/>
        </w:rPr>
        <w:t>".</w:t>
      </w:r>
      <w:r>
        <w:rPr>
          <w:rFonts w:cs="Arial"/>
          <w:sz w:val="20"/>
          <w:szCs w:val="20"/>
          <w:rtl/>
        </w:rPr>
        <w:br/>
      </w:r>
      <w:r w:rsidRPr="003F3909">
        <w:rPr>
          <w:rFonts w:cs="Arial" w:hint="cs"/>
          <w:b/>
          <w:bCs/>
          <w:sz w:val="20"/>
          <w:szCs w:val="20"/>
          <w:rtl/>
        </w:rPr>
        <w:t>ש"ך</w:t>
      </w:r>
      <w:r>
        <w:rPr>
          <w:rFonts w:cs="Arial" w:hint="cs"/>
          <w:sz w:val="20"/>
          <w:szCs w:val="20"/>
          <w:rtl/>
        </w:rPr>
        <w:t xml:space="preserve"> </w:t>
      </w:r>
      <w:r>
        <w:rPr>
          <w:rFonts w:cs="Arial"/>
          <w:sz w:val="20"/>
          <w:szCs w:val="20"/>
          <w:rtl/>
        </w:rPr>
        <w:t>–</w:t>
      </w:r>
      <w:r>
        <w:rPr>
          <w:rFonts w:cs="Arial" w:hint="cs"/>
          <w:sz w:val="20"/>
          <w:szCs w:val="20"/>
          <w:rtl/>
        </w:rPr>
        <w:t xml:space="preserve"> אפילו אם היא יודעת ממי לקחה את החלוק, אינה צריכה לברר האם הוא בדוק, אלא כיוון שהיא לא בדקה תולים להקל.</w:t>
      </w:r>
    </w:p>
    <w:p w:rsidR="00620060" w:rsidRDefault="00620060" w:rsidP="00620060">
      <w:pPr>
        <w:rPr>
          <w:rFonts w:cs="Arial"/>
          <w:sz w:val="20"/>
          <w:szCs w:val="20"/>
          <w:rtl/>
        </w:rPr>
      </w:pPr>
      <w:r w:rsidRPr="008B53A2">
        <w:rPr>
          <w:rFonts w:cs="Arial" w:hint="cs"/>
          <w:b/>
          <w:bCs/>
          <w:sz w:val="20"/>
          <w:szCs w:val="20"/>
          <w:rtl/>
        </w:rPr>
        <w:t>סתירה בדברי המחבר</w:t>
      </w:r>
      <w:r>
        <w:rPr>
          <w:rFonts w:cs="Arial" w:hint="cs"/>
          <w:sz w:val="20"/>
          <w:szCs w:val="20"/>
          <w:u w:val="single"/>
          <w:rtl/>
        </w:rPr>
        <w:br/>
      </w:r>
      <w:r>
        <w:rPr>
          <w:rFonts w:cs="Arial" w:hint="cs"/>
          <w:sz w:val="20"/>
          <w:szCs w:val="20"/>
          <w:rtl/>
        </w:rPr>
        <w:t xml:space="preserve">זו לשון </w:t>
      </w:r>
      <w:r w:rsidRPr="00B9208D">
        <w:rPr>
          <w:rFonts w:cs="Arial" w:hint="cs"/>
          <w:b/>
          <w:bCs/>
          <w:sz w:val="20"/>
          <w:szCs w:val="20"/>
          <w:rtl/>
        </w:rPr>
        <w:t>המחבר</w:t>
      </w:r>
      <w:r>
        <w:rPr>
          <w:rFonts w:cs="Arial" w:hint="cs"/>
          <w:sz w:val="20"/>
          <w:szCs w:val="20"/>
          <w:rtl/>
        </w:rPr>
        <w:t xml:space="preserve"> בסעיף לו' - </w:t>
      </w:r>
      <w:r w:rsidRPr="0003762C">
        <w:rPr>
          <w:rFonts w:cs="Arial"/>
          <w:sz w:val="20"/>
          <w:szCs w:val="20"/>
          <w:rtl/>
        </w:rPr>
        <w:t xml:space="preserve">בדקה עצמה </w:t>
      </w:r>
      <w:r w:rsidRPr="00B9208D">
        <w:rPr>
          <w:rFonts w:cs="Arial"/>
          <w:sz w:val="20"/>
          <w:szCs w:val="20"/>
          <w:u w:val="single"/>
          <w:rtl/>
        </w:rPr>
        <w:t>בעד שאינו בדוק לה</w:t>
      </w:r>
      <w:r w:rsidRPr="0003762C">
        <w:rPr>
          <w:rFonts w:cs="Arial"/>
          <w:sz w:val="20"/>
          <w:szCs w:val="20"/>
          <w:rtl/>
        </w:rPr>
        <w:t xml:space="preserve">, ומצאה עליו דם, </w:t>
      </w:r>
      <w:r w:rsidRPr="00B9208D">
        <w:rPr>
          <w:rFonts w:cs="Arial"/>
          <w:sz w:val="20"/>
          <w:szCs w:val="20"/>
          <w:u w:val="single"/>
          <w:rtl/>
        </w:rPr>
        <w:t>טמאה</w:t>
      </w:r>
      <w:r w:rsidRPr="0003762C">
        <w:rPr>
          <w:rFonts w:cs="Arial"/>
          <w:sz w:val="20"/>
          <w:szCs w:val="20"/>
          <w:rtl/>
        </w:rPr>
        <w:t xml:space="preserve"> אם יש בו כגריס ועוד</w:t>
      </w:r>
      <w:r>
        <w:rPr>
          <w:rFonts w:cs="Arial" w:hint="cs"/>
          <w:sz w:val="20"/>
          <w:szCs w:val="20"/>
          <w:rtl/>
        </w:rPr>
        <w:t>".</w:t>
      </w:r>
      <w:r>
        <w:rPr>
          <w:rFonts w:cs="Arial" w:hint="cs"/>
          <w:sz w:val="20"/>
          <w:szCs w:val="20"/>
          <w:u w:val="single"/>
          <w:rtl/>
        </w:rPr>
        <w:br/>
      </w:r>
      <w:r w:rsidRPr="00B9208D">
        <w:rPr>
          <w:rFonts w:cs="Arial" w:hint="cs"/>
          <w:sz w:val="20"/>
          <w:szCs w:val="20"/>
          <w:rtl/>
        </w:rPr>
        <w:t>קשה</w:t>
      </w:r>
      <w:r>
        <w:rPr>
          <w:rFonts w:cs="Arial" w:hint="cs"/>
          <w:sz w:val="20"/>
          <w:szCs w:val="20"/>
          <w:rtl/>
        </w:rPr>
        <w:t xml:space="preserve"> </w:t>
      </w:r>
      <w:r>
        <w:rPr>
          <w:rFonts w:cs="Arial"/>
          <w:sz w:val="20"/>
          <w:szCs w:val="20"/>
          <w:rtl/>
        </w:rPr>
        <w:t>–</w:t>
      </w:r>
      <w:r>
        <w:rPr>
          <w:rFonts w:cs="Arial" w:hint="cs"/>
          <w:sz w:val="20"/>
          <w:szCs w:val="20"/>
          <w:rtl/>
        </w:rPr>
        <w:t xml:space="preserve"> בסעיף לו' המחבר מטמא באינו בדוק ואילו כאן מטהר!</w:t>
      </w:r>
    </w:p>
    <w:p w:rsidR="00620060" w:rsidRDefault="00620060" w:rsidP="00620060">
      <w:pPr>
        <w:rPr>
          <w:rFonts w:cs="Arial"/>
          <w:sz w:val="20"/>
          <w:szCs w:val="20"/>
          <w:rtl/>
        </w:rPr>
      </w:pPr>
      <w:r>
        <w:rPr>
          <w:rFonts w:cs="Arial" w:hint="cs"/>
          <w:sz w:val="20"/>
          <w:szCs w:val="20"/>
          <w:u w:val="single"/>
          <w:rtl/>
        </w:rPr>
        <w:t>יישוב הסתירה</w:t>
      </w:r>
      <w:r w:rsidRPr="00B9208D">
        <w:rPr>
          <w:rFonts w:cs="Arial"/>
          <w:sz w:val="20"/>
          <w:szCs w:val="20"/>
          <w:rtl/>
        </w:rPr>
        <w:br/>
      </w:r>
      <w:r>
        <w:rPr>
          <w:rFonts w:cs="Arial" w:hint="cs"/>
          <w:sz w:val="20"/>
          <w:szCs w:val="20"/>
          <w:rtl/>
        </w:rPr>
        <w:t xml:space="preserve">א. </w:t>
      </w:r>
      <w:r w:rsidRPr="00992329">
        <w:rPr>
          <w:rFonts w:cs="Arial" w:hint="cs"/>
          <w:b/>
          <w:bCs/>
          <w:sz w:val="20"/>
          <w:szCs w:val="20"/>
          <w:rtl/>
        </w:rPr>
        <w:t>ט"ז</w:t>
      </w:r>
      <w:r>
        <w:rPr>
          <w:rFonts w:cs="Arial" w:hint="cs"/>
          <w:sz w:val="20"/>
          <w:szCs w:val="20"/>
          <w:rtl/>
        </w:rPr>
        <w:t xml:space="preserve"> </w:t>
      </w:r>
      <w:r>
        <w:rPr>
          <w:rFonts w:cs="Arial"/>
          <w:sz w:val="20"/>
          <w:szCs w:val="20"/>
          <w:rtl/>
        </w:rPr>
        <w:t>–</w:t>
      </w:r>
      <w:r>
        <w:rPr>
          <w:rFonts w:cs="Arial" w:hint="cs"/>
          <w:sz w:val="20"/>
          <w:szCs w:val="20"/>
          <w:rtl/>
        </w:rPr>
        <w:t xml:space="preserve"> יש לחלק מהו 'אינו בדוק' הנזכר בשני הסעיפים - </w:t>
      </w:r>
      <w:r>
        <w:rPr>
          <w:rFonts w:cs="Arial"/>
          <w:sz w:val="20"/>
          <w:szCs w:val="20"/>
          <w:rtl/>
        </w:rPr>
        <w:br/>
      </w:r>
      <w:r w:rsidRPr="00992329">
        <w:rPr>
          <w:rFonts w:cs="Arial" w:hint="cs"/>
          <w:sz w:val="20"/>
          <w:szCs w:val="20"/>
          <w:u w:val="single"/>
          <w:rtl/>
        </w:rPr>
        <w:t>עד</w:t>
      </w:r>
      <w:r>
        <w:rPr>
          <w:rFonts w:cs="Arial" w:hint="cs"/>
          <w:sz w:val="20"/>
          <w:szCs w:val="20"/>
          <w:rtl/>
        </w:rPr>
        <w:t xml:space="preserve"> שאינו בדוק </w:t>
      </w:r>
      <w:r>
        <w:rPr>
          <w:rFonts w:cs="Arial"/>
          <w:sz w:val="20"/>
          <w:szCs w:val="20"/>
          <w:rtl/>
        </w:rPr>
        <w:t>–</w:t>
      </w:r>
      <w:r>
        <w:rPr>
          <w:rFonts w:cs="Arial" w:hint="cs"/>
          <w:sz w:val="20"/>
          <w:szCs w:val="20"/>
          <w:rtl/>
        </w:rPr>
        <w:t xml:space="preserve"> הניחה אותו במקום מוצנע בחזקת נקי, ולכן טמאה כאשר נמצא עליו כגריס ועוד.</w:t>
      </w:r>
      <w:r>
        <w:rPr>
          <w:rFonts w:cs="Arial"/>
          <w:sz w:val="20"/>
          <w:szCs w:val="20"/>
          <w:rtl/>
        </w:rPr>
        <w:br/>
      </w:r>
      <w:r w:rsidRPr="00992329">
        <w:rPr>
          <w:rFonts w:cs="Arial" w:hint="cs"/>
          <w:sz w:val="20"/>
          <w:szCs w:val="20"/>
          <w:u w:val="single"/>
          <w:rtl/>
        </w:rPr>
        <w:t>חלוק</w:t>
      </w:r>
      <w:r>
        <w:rPr>
          <w:rFonts w:cs="Arial" w:hint="cs"/>
          <w:sz w:val="20"/>
          <w:szCs w:val="20"/>
          <w:rtl/>
        </w:rPr>
        <w:t xml:space="preserve"> שאינו בדוק </w:t>
      </w:r>
      <w:r>
        <w:rPr>
          <w:rFonts w:cs="Arial"/>
          <w:sz w:val="20"/>
          <w:szCs w:val="20"/>
          <w:rtl/>
        </w:rPr>
        <w:t>–</w:t>
      </w:r>
      <w:r>
        <w:rPr>
          <w:rFonts w:cs="Arial" w:hint="cs"/>
          <w:sz w:val="20"/>
          <w:szCs w:val="20"/>
          <w:rtl/>
        </w:rPr>
        <w:t xml:space="preserve"> אין לה שום ידיעה לגבי נקיות החלוק, כגון שלקחה אותו מהשוק וחזקתו מלוכלך, לכן טהורה אפילו בכגריס ועוד.</w:t>
      </w:r>
      <w:r>
        <w:rPr>
          <w:rStyle w:val="a5"/>
          <w:rFonts w:cs="Arial"/>
          <w:sz w:val="20"/>
          <w:szCs w:val="20"/>
          <w:rtl/>
        </w:rPr>
        <w:footnoteReference w:id="328"/>
      </w:r>
      <w:r>
        <w:rPr>
          <w:rFonts w:cs="Arial"/>
          <w:sz w:val="20"/>
          <w:szCs w:val="20"/>
          <w:rtl/>
        </w:rPr>
        <w:br/>
      </w:r>
      <w:r>
        <w:rPr>
          <w:rFonts w:cs="Arial" w:hint="cs"/>
          <w:sz w:val="20"/>
          <w:szCs w:val="20"/>
          <w:rtl/>
        </w:rPr>
        <w:t xml:space="preserve">ב. </w:t>
      </w:r>
      <w:r w:rsidRPr="006744E5">
        <w:rPr>
          <w:rFonts w:cs="Arial" w:hint="cs"/>
          <w:b/>
          <w:bCs/>
          <w:sz w:val="20"/>
          <w:szCs w:val="20"/>
          <w:rtl/>
        </w:rPr>
        <w:t>ב"ח</w:t>
      </w:r>
      <w:r>
        <w:rPr>
          <w:rFonts w:cs="Arial" w:hint="cs"/>
          <w:sz w:val="20"/>
          <w:szCs w:val="20"/>
          <w:rtl/>
        </w:rPr>
        <w:t xml:space="preserve"> </w:t>
      </w:r>
      <w:r>
        <w:rPr>
          <w:rFonts w:cs="Arial"/>
          <w:sz w:val="20"/>
          <w:szCs w:val="20"/>
          <w:rtl/>
        </w:rPr>
        <w:t>–</w:t>
      </w:r>
      <w:r>
        <w:rPr>
          <w:rFonts w:cs="Arial" w:hint="cs"/>
          <w:sz w:val="20"/>
          <w:szCs w:val="20"/>
          <w:rtl/>
        </w:rPr>
        <w:t xml:space="preserve"> יש לחלק בין עד לחלוק</w:t>
      </w:r>
      <w:r>
        <w:rPr>
          <w:rStyle w:val="a5"/>
          <w:rFonts w:cs="Arial"/>
          <w:sz w:val="20"/>
          <w:szCs w:val="20"/>
          <w:rtl/>
        </w:rPr>
        <w:footnoteReference w:id="329"/>
      </w:r>
      <w:r>
        <w:rPr>
          <w:rFonts w:cs="Arial" w:hint="cs"/>
          <w:sz w:val="20"/>
          <w:szCs w:val="20"/>
          <w:rtl/>
        </w:rPr>
        <w:t xml:space="preserve"> - </w:t>
      </w:r>
      <w:r>
        <w:rPr>
          <w:rFonts w:cs="Arial"/>
          <w:sz w:val="20"/>
          <w:szCs w:val="20"/>
          <w:rtl/>
        </w:rPr>
        <w:br/>
      </w:r>
      <w:r>
        <w:rPr>
          <w:rFonts w:cs="Arial" w:hint="cs"/>
          <w:sz w:val="20"/>
          <w:szCs w:val="20"/>
          <w:rtl/>
        </w:rPr>
        <w:t xml:space="preserve">עד </w:t>
      </w:r>
      <w:r>
        <w:rPr>
          <w:rFonts w:cs="Arial"/>
          <w:sz w:val="20"/>
          <w:szCs w:val="20"/>
          <w:rtl/>
        </w:rPr>
        <w:t>–</w:t>
      </w:r>
      <w:r>
        <w:rPr>
          <w:rFonts w:cs="Arial" w:hint="cs"/>
          <w:sz w:val="20"/>
          <w:szCs w:val="20"/>
          <w:rtl/>
        </w:rPr>
        <w:t xml:space="preserve"> קינחה עצמה ולכן חמיר טפי, ומכיוון שגודל הכתם כגריס ועוד אין לתלות במאכולת וטמאה.</w:t>
      </w:r>
      <w:r>
        <w:rPr>
          <w:rFonts w:cs="Arial"/>
          <w:sz w:val="20"/>
          <w:szCs w:val="20"/>
          <w:rtl/>
        </w:rPr>
        <w:br/>
      </w:r>
      <w:r>
        <w:rPr>
          <w:rFonts w:cs="Arial" w:hint="cs"/>
          <w:sz w:val="20"/>
          <w:szCs w:val="20"/>
          <w:rtl/>
        </w:rPr>
        <w:t xml:space="preserve">חלוק </w:t>
      </w:r>
      <w:r>
        <w:rPr>
          <w:rFonts w:cs="Arial"/>
          <w:sz w:val="20"/>
          <w:szCs w:val="20"/>
          <w:rtl/>
        </w:rPr>
        <w:t>–</w:t>
      </w:r>
      <w:r>
        <w:rPr>
          <w:rFonts w:cs="Arial" w:hint="cs"/>
          <w:sz w:val="20"/>
          <w:szCs w:val="20"/>
          <w:rtl/>
        </w:rPr>
        <w:t xml:space="preserve"> לא קינחה בו את עצמה ולכן תולים את הכתם במאכולת אפילו למעלה מכגריס ועוד.</w:t>
      </w:r>
      <w:r>
        <w:rPr>
          <w:rStyle w:val="a5"/>
          <w:rFonts w:cs="Arial"/>
          <w:sz w:val="20"/>
          <w:szCs w:val="20"/>
          <w:rtl/>
        </w:rPr>
        <w:footnoteReference w:id="330"/>
      </w:r>
    </w:p>
    <w:p w:rsidR="00620060" w:rsidRPr="00F9023A" w:rsidRDefault="00620060" w:rsidP="00620060">
      <w:pPr>
        <w:rPr>
          <w:rFonts w:cs="Arial"/>
          <w:sz w:val="20"/>
          <w:szCs w:val="20"/>
          <w:rtl/>
        </w:rPr>
      </w:pPr>
      <w:r w:rsidRPr="008B53A2">
        <w:rPr>
          <w:rFonts w:cs="Arial" w:hint="cs"/>
          <w:sz w:val="20"/>
          <w:szCs w:val="20"/>
          <w:u w:val="single"/>
          <w:rtl/>
        </w:rPr>
        <w:t>סתירה בין הדיוקים בסעיף כאן</w:t>
      </w:r>
      <w:r>
        <w:rPr>
          <w:rFonts w:cs="Arial"/>
          <w:sz w:val="20"/>
          <w:szCs w:val="20"/>
          <w:u w:val="single"/>
          <w:rtl/>
        </w:rPr>
        <w:br/>
      </w:r>
      <w:r w:rsidRPr="00D555B4">
        <w:rPr>
          <w:rFonts w:cs="Arial" w:hint="cs"/>
          <w:b/>
          <w:bCs/>
          <w:sz w:val="20"/>
          <w:szCs w:val="20"/>
          <w:rtl/>
        </w:rPr>
        <w:t>ט"ז</w:t>
      </w:r>
      <w:r>
        <w:rPr>
          <w:rFonts w:cs="Arial" w:hint="cs"/>
          <w:sz w:val="20"/>
          <w:szCs w:val="20"/>
          <w:rtl/>
        </w:rPr>
        <w:t xml:space="preserve"> </w:t>
      </w:r>
      <w:r>
        <w:rPr>
          <w:rFonts w:cs="Arial"/>
          <w:sz w:val="20"/>
          <w:szCs w:val="20"/>
          <w:rtl/>
        </w:rPr>
        <w:t>–</w:t>
      </w:r>
      <w:r>
        <w:rPr>
          <w:rFonts w:cs="Arial" w:hint="cs"/>
          <w:sz w:val="20"/>
          <w:szCs w:val="20"/>
          <w:rtl/>
        </w:rPr>
        <w:t xml:space="preserve"> לכאורה קשה בסעיף כאן הדיוק מרישא לסיפא - </w:t>
      </w:r>
      <w:r>
        <w:rPr>
          <w:rFonts w:cs="Arial"/>
          <w:sz w:val="20"/>
          <w:szCs w:val="20"/>
          <w:rtl/>
        </w:rPr>
        <w:br/>
      </w:r>
      <w:r>
        <w:rPr>
          <w:rFonts w:cs="Arial" w:hint="cs"/>
          <w:sz w:val="20"/>
          <w:szCs w:val="20"/>
          <w:rtl/>
        </w:rPr>
        <w:t xml:space="preserve">ברישא </w:t>
      </w:r>
      <w:r>
        <w:rPr>
          <w:rFonts w:cs="Arial"/>
          <w:sz w:val="20"/>
          <w:szCs w:val="20"/>
          <w:rtl/>
        </w:rPr>
        <w:t>–</w:t>
      </w:r>
      <w:r>
        <w:rPr>
          <w:rFonts w:cs="Arial" w:hint="cs"/>
          <w:sz w:val="20"/>
          <w:szCs w:val="20"/>
          <w:rtl/>
        </w:rPr>
        <w:t xml:space="preserve"> טמאה בחלוק בדוק, משמע שבחלוק בינוני </w:t>
      </w:r>
      <w:r w:rsidRPr="00F9023A">
        <w:rPr>
          <w:rFonts w:cs="Arial" w:hint="cs"/>
          <w:sz w:val="18"/>
          <w:szCs w:val="18"/>
          <w:rtl/>
        </w:rPr>
        <w:t xml:space="preserve">(המוזכר בסעיף לו') </w:t>
      </w:r>
      <w:r>
        <w:rPr>
          <w:rFonts w:cs="Arial" w:hint="cs"/>
          <w:sz w:val="20"/>
          <w:szCs w:val="20"/>
          <w:rtl/>
        </w:rPr>
        <w:t>טהורה.</w:t>
      </w:r>
      <w:r>
        <w:rPr>
          <w:rFonts w:cs="Arial"/>
          <w:sz w:val="20"/>
          <w:szCs w:val="20"/>
          <w:rtl/>
        </w:rPr>
        <w:br/>
      </w:r>
      <w:r>
        <w:rPr>
          <w:rFonts w:cs="Arial" w:hint="cs"/>
          <w:sz w:val="20"/>
          <w:szCs w:val="20"/>
          <w:rtl/>
        </w:rPr>
        <w:t xml:space="preserve">בסיפא </w:t>
      </w:r>
      <w:r>
        <w:rPr>
          <w:rFonts w:cs="Arial"/>
          <w:sz w:val="20"/>
          <w:szCs w:val="20"/>
          <w:rtl/>
        </w:rPr>
        <w:t>–</w:t>
      </w:r>
      <w:r>
        <w:rPr>
          <w:rFonts w:cs="Arial" w:hint="cs"/>
          <w:sz w:val="20"/>
          <w:szCs w:val="20"/>
          <w:rtl/>
        </w:rPr>
        <w:t xml:space="preserve"> טהורה בחלוק שאינו בדוק, משמע שבחלוק בינוני טמאה.</w:t>
      </w:r>
      <w:r>
        <w:rPr>
          <w:rFonts w:cs="Arial"/>
          <w:sz w:val="20"/>
          <w:szCs w:val="20"/>
          <w:rtl/>
        </w:rPr>
        <w:br/>
      </w:r>
      <w:r>
        <w:rPr>
          <w:rFonts w:cs="Arial" w:hint="cs"/>
          <w:sz w:val="20"/>
          <w:szCs w:val="20"/>
          <w:rtl/>
        </w:rPr>
        <w:t xml:space="preserve">מיישב </w:t>
      </w:r>
      <w:r w:rsidRPr="00E82630">
        <w:rPr>
          <w:rFonts w:cs="Arial" w:hint="cs"/>
          <w:b/>
          <w:bCs/>
          <w:sz w:val="20"/>
          <w:szCs w:val="20"/>
          <w:rtl/>
        </w:rPr>
        <w:t>הט"ז</w:t>
      </w:r>
      <w:r>
        <w:rPr>
          <w:rFonts w:cs="Arial" w:hint="cs"/>
          <w:sz w:val="20"/>
          <w:szCs w:val="20"/>
          <w:rtl/>
        </w:rPr>
        <w:t xml:space="preserve"> </w:t>
      </w:r>
      <w:r>
        <w:rPr>
          <w:rFonts w:cs="Arial"/>
          <w:sz w:val="20"/>
          <w:szCs w:val="20"/>
          <w:rtl/>
        </w:rPr>
        <w:t>–</w:t>
      </w:r>
      <w:r>
        <w:rPr>
          <w:rFonts w:cs="Arial" w:hint="cs"/>
          <w:sz w:val="20"/>
          <w:szCs w:val="20"/>
          <w:rtl/>
        </w:rPr>
        <w:t xml:space="preserve"> כוונת המחבר ברישא לטמא בחלוק בינוני, כאותו עד שטימא בסעיף לו'.</w:t>
      </w:r>
      <w:r>
        <w:rPr>
          <w:rFonts w:cs="Arial"/>
          <w:sz w:val="20"/>
          <w:szCs w:val="20"/>
          <w:rtl/>
        </w:rPr>
        <w:br/>
      </w:r>
      <w:r w:rsidRPr="00E82630">
        <w:rPr>
          <w:rFonts w:cs="Arial" w:hint="cs"/>
          <w:b/>
          <w:bCs/>
          <w:sz w:val="20"/>
          <w:szCs w:val="20"/>
          <w:rtl/>
        </w:rPr>
        <w:t>ראיה</w:t>
      </w:r>
      <w:r>
        <w:rPr>
          <w:rFonts w:cs="Arial" w:hint="cs"/>
          <w:sz w:val="20"/>
          <w:szCs w:val="20"/>
          <w:rtl/>
        </w:rPr>
        <w:t xml:space="preserve"> </w:t>
      </w:r>
      <w:r>
        <w:rPr>
          <w:rFonts w:cs="Arial"/>
          <w:sz w:val="20"/>
          <w:szCs w:val="20"/>
          <w:rtl/>
        </w:rPr>
        <w:t>–</w:t>
      </w:r>
      <w:r>
        <w:rPr>
          <w:rFonts w:cs="Arial" w:hint="cs"/>
          <w:sz w:val="20"/>
          <w:szCs w:val="20"/>
          <w:rtl/>
        </w:rPr>
        <w:t xml:space="preserve"> כך משמע מלשון המחבר שכתב: "</w:t>
      </w:r>
      <w:r w:rsidRPr="00992329">
        <w:rPr>
          <w:rFonts w:cs="Arial"/>
          <w:sz w:val="20"/>
          <w:szCs w:val="20"/>
          <w:rtl/>
        </w:rPr>
        <w:t>אלא אם כן היה בדוק לה קודם שלבשתו</w:t>
      </w:r>
      <w:r>
        <w:rPr>
          <w:rFonts w:cs="Arial" w:hint="cs"/>
          <w:sz w:val="20"/>
          <w:szCs w:val="20"/>
          <w:rtl/>
        </w:rPr>
        <w:t>" ולא כתב 'אלא אם כן בדקה אותו', משמע שלא בדקה אותו כעת אלא היה מונח לה בחזקת בדוק.</w:t>
      </w:r>
    </w:p>
    <w:p w:rsidR="00620060"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A30606">
        <w:rPr>
          <w:rFonts w:hint="cs"/>
          <w:b/>
          <w:bCs/>
          <w:sz w:val="20"/>
          <w:szCs w:val="20"/>
          <w:rtl/>
        </w:rPr>
        <w:t>מחבר</w:t>
      </w:r>
      <w:r>
        <w:rPr>
          <w:rFonts w:hint="cs"/>
          <w:sz w:val="20"/>
          <w:szCs w:val="20"/>
          <w:rtl/>
        </w:rPr>
        <w:t xml:space="preserve">. מצאה כתם על חלוקה. בדוק </w:t>
      </w:r>
      <w:r>
        <w:rPr>
          <w:sz w:val="20"/>
          <w:szCs w:val="20"/>
          <w:rtl/>
        </w:rPr>
        <w:t>–</w:t>
      </w:r>
      <w:r>
        <w:rPr>
          <w:rFonts w:hint="cs"/>
          <w:sz w:val="20"/>
          <w:szCs w:val="20"/>
          <w:rtl/>
        </w:rPr>
        <w:t xml:space="preserve"> טמאה; אינו בדוק </w:t>
      </w:r>
      <w:r>
        <w:rPr>
          <w:sz w:val="20"/>
          <w:szCs w:val="20"/>
          <w:rtl/>
        </w:rPr>
        <w:t>–</w:t>
      </w:r>
      <w:r>
        <w:rPr>
          <w:rFonts w:hint="cs"/>
          <w:sz w:val="20"/>
          <w:szCs w:val="20"/>
          <w:rtl/>
        </w:rPr>
        <w:t xml:space="preserve"> טהורה.</w:t>
      </w:r>
      <w:r>
        <w:rPr>
          <w:sz w:val="20"/>
          <w:szCs w:val="20"/>
          <w:rtl/>
        </w:rPr>
        <w:br/>
      </w:r>
      <w:r>
        <w:rPr>
          <w:rFonts w:hint="cs"/>
          <w:sz w:val="20"/>
          <w:szCs w:val="20"/>
          <w:rtl/>
        </w:rPr>
        <w:t xml:space="preserve">2. </w:t>
      </w:r>
      <w:r w:rsidRPr="00A30606">
        <w:rPr>
          <w:rFonts w:hint="cs"/>
          <w:b/>
          <w:bCs/>
          <w:sz w:val="20"/>
          <w:szCs w:val="20"/>
          <w:rtl/>
        </w:rPr>
        <w:t>ש"ך</w:t>
      </w:r>
      <w:r>
        <w:rPr>
          <w:rFonts w:hint="cs"/>
          <w:sz w:val="20"/>
          <w:szCs w:val="20"/>
          <w:rtl/>
        </w:rPr>
        <w:t>. אפילו אם יודעת ממי לקחה את החלוק אינה צריכה לברר האם הוא היה בדוק.</w:t>
      </w:r>
      <w:r>
        <w:rPr>
          <w:sz w:val="20"/>
          <w:szCs w:val="20"/>
          <w:rtl/>
        </w:rPr>
        <w:br/>
      </w:r>
      <w:r>
        <w:rPr>
          <w:rFonts w:hint="cs"/>
          <w:sz w:val="20"/>
          <w:szCs w:val="20"/>
          <w:rtl/>
        </w:rPr>
        <w:t>3</w:t>
      </w:r>
      <w:r w:rsidRPr="008B53A2">
        <w:rPr>
          <w:rFonts w:hint="cs"/>
          <w:sz w:val="20"/>
          <w:szCs w:val="20"/>
          <w:rtl/>
        </w:rPr>
        <w:t>. סתירה. בסעיף לו' המחבר מטמא כאשר בדקה עצמה בעד שאינו בדוק לה, מדוע כאן מטהר?</w:t>
      </w:r>
      <w:r w:rsidRPr="008B53A2">
        <w:rPr>
          <w:rFonts w:hint="cs"/>
          <w:sz w:val="20"/>
          <w:szCs w:val="20"/>
          <w:rtl/>
        </w:rPr>
        <w:br/>
        <w:t xml:space="preserve">4. </w:t>
      </w:r>
      <w:r w:rsidRPr="008B53A2">
        <w:rPr>
          <w:rFonts w:hint="cs"/>
          <w:b/>
          <w:bCs/>
          <w:sz w:val="20"/>
          <w:szCs w:val="20"/>
          <w:rtl/>
        </w:rPr>
        <w:t>ט"ז</w:t>
      </w:r>
      <w:r w:rsidRPr="008B53A2">
        <w:rPr>
          <w:rFonts w:hint="cs"/>
          <w:sz w:val="20"/>
          <w:szCs w:val="20"/>
          <w:rtl/>
        </w:rPr>
        <w:t>. בסעיף לו' הצניעה במקום שמור</w:t>
      </w:r>
      <w:r>
        <w:rPr>
          <w:rFonts w:hint="cs"/>
          <w:sz w:val="20"/>
          <w:szCs w:val="20"/>
          <w:rtl/>
        </w:rPr>
        <w:t>,</w:t>
      </w:r>
      <w:r w:rsidRPr="008B53A2">
        <w:rPr>
          <w:rFonts w:hint="cs"/>
          <w:sz w:val="20"/>
          <w:szCs w:val="20"/>
          <w:rtl/>
        </w:rPr>
        <w:t xml:space="preserve"> כאן אינה יודעת מאומה לגבי ניקיון החלוק. </w:t>
      </w:r>
      <w:r w:rsidRPr="008B53A2">
        <w:rPr>
          <w:rFonts w:hint="cs"/>
          <w:b/>
          <w:bCs/>
          <w:sz w:val="20"/>
          <w:szCs w:val="20"/>
          <w:rtl/>
        </w:rPr>
        <w:t>ב"ח</w:t>
      </w:r>
      <w:r w:rsidRPr="008B53A2">
        <w:rPr>
          <w:rFonts w:hint="cs"/>
          <w:sz w:val="20"/>
          <w:szCs w:val="20"/>
          <w:rtl/>
        </w:rPr>
        <w:t>. עד חמור מחלוק.</w:t>
      </w:r>
      <w:r w:rsidRPr="008B53A2">
        <w:rPr>
          <w:sz w:val="20"/>
          <w:szCs w:val="20"/>
          <w:rtl/>
        </w:rPr>
        <w:br/>
      </w:r>
      <w:r w:rsidRPr="008B53A2">
        <w:rPr>
          <w:rFonts w:hint="cs"/>
          <w:sz w:val="20"/>
          <w:szCs w:val="20"/>
          <w:rtl/>
        </w:rPr>
        <w:t xml:space="preserve">5. </w:t>
      </w:r>
      <w:r w:rsidRPr="008B53A2">
        <w:rPr>
          <w:rFonts w:hint="cs"/>
          <w:b/>
          <w:bCs/>
          <w:sz w:val="20"/>
          <w:szCs w:val="20"/>
          <w:rtl/>
        </w:rPr>
        <w:t>ט"ז</w:t>
      </w:r>
      <w:r w:rsidRPr="008B53A2">
        <w:rPr>
          <w:rFonts w:hint="cs"/>
          <w:sz w:val="20"/>
          <w:szCs w:val="20"/>
          <w:rtl/>
        </w:rPr>
        <w:t>. קשה כאן דיוק מרישא לסיפא האם בחלוק בינוני טהורה. יישוב. ברישא</w:t>
      </w:r>
      <w:r>
        <w:rPr>
          <w:rFonts w:hint="cs"/>
          <w:sz w:val="20"/>
          <w:szCs w:val="20"/>
          <w:rtl/>
        </w:rPr>
        <w:t xml:space="preserve"> מדובר בחלוק בינוני שטמאה בו כמו בסעיף לו'.</w:t>
      </w:r>
      <w:r w:rsidRPr="001C3B9B">
        <w:rPr>
          <w:sz w:val="20"/>
          <w:szCs w:val="20"/>
          <w:rtl/>
        </w:rPr>
        <w:br/>
      </w:r>
    </w:p>
    <w:p w:rsidR="00620060" w:rsidRDefault="00620060" w:rsidP="00620060">
      <w:pPr>
        <w:rPr>
          <w:sz w:val="20"/>
          <w:szCs w:val="20"/>
          <w:rtl/>
        </w:rPr>
      </w:pPr>
      <w:r>
        <w:rPr>
          <w:rFonts w:hint="cs"/>
          <w:b/>
          <w:bCs/>
          <w:sz w:val="20"/>
          <w:szCs w:val="20"/>
          <w:rtl/>
        </w:rPr>
        <w:t xml:space="preserve">סעיף מ </w:t>
      </w:r>
      <w:r>
        <w:rPr>
          <w:b/>
          <w:bCs/>
          <w:sz w:val="20"/>
          <w:szCs w:val="20"/>
          <w:rtl/>
        </w:rPr>
        <w:t>–</w:t>
      </w:r>
      <w:r>
        <w:rPr>
          <w:rFonts w:hint="cs"/>
          <w:b/>
          <w:bCs/>
          <w:sz w:val="20"/>
          <w:szCs w:val="20"/>
          <w:rtl/>
        </w:rPr>
        <w:t xml:space="preserve"> בדקה חלוקה והשאילה לחברתה</w:t>
      </w:r>
      <w:r>
        <w:rPr>
          <w:b/>
          <w:bCs/>
          <w:sz w:val="20"/>
          <w:szCs w:val="20"/>
          <w:rtl/>
        </w:rPr>
        <w:br/>
      </w:r>
      <w:r>
        <w:rPr>
          <w:rFonts w:hint="cs"/>
          <w:b/>
          <w:bCs/>
          <w:sz w:val="20"/>
          <w:szCs w:val="20"/>
          <w:rtl/>
        </w:rPr>
        <w:t>מקור הדין</w:t>
      </w:r>
      <w:r>
        <w:rPr>
          <w:b/>
          <w:bCs/>
          <w:sz w:val="20"/>
          <w:szCs w:val="20"/>
          <w:rtl/>
        </w:rPr>
        <w:br/>
      </w:r>
      <w:r>
        <w:rPr>
          <w:rFonts w:hint="cs"/>
          <w:b/>
          <w:bCs/>
          <w:sz w:val="20"/>
          <w:szCs w:val="20"/>
          <w:rtl/>
        </w:rPr>
        <w:lastRenderedPageBreak/>
        <w:t xml:space="preserve">גמרא </w:t>
      </w:r>
      <w:r>
        <w:rPr>
          <w:rFonts w:hint="cs"/>
          <w:sz w:val="20"/>
          <w:szCs w:val="20"/>
          <w:rtl/>
        </w:rPr>
        <w:t>נדה (נח.) "</w:t>
      </w:r>
      <w:r>
        <w:rPr>
          <w:rFonts w:cs="Arial"/>
          <w:sz w:val="20"/>
          <w:szCs w:val="20"/>
          <w:rtl/>
        </w:rPr>
        <w:t>תניא</w:t>
      </w:r>
      <w:r>
        <w:rPr>
          <w:rFonts w:cs="Arial" w:hint="cs"/>
          <w:sz w:val="20"/>
          <w:szCs w:val="20"/>
          <w:rtl/>
        </w:rPr>
        <w:t xml:space="preserve">: </w:t>
      </w:r>
      <w:r w:rsidRPr="00C01960">
        <w:rPr>
          <w:rFonts w:cs="Arial"/>
          <w:sz w:val="20"/>
          <w:szCs w:val="20"/>
          <w:rtl/>
        </w:rPr>
        <w:t>בדקה חלוקה והשאילתו לחבירתה, היא - טהורה, וחבירתה - תולה בה. אמר רב ששת: ולענין דינא תנן</w:t>
      </w:r>
      <w:r>
        <w:rPr>
          <w:rStyle w:val="a5"/>
          <w:rFonts w:cs="Arial"/>
          <w:sz w:val="20"/>
          <w:szCs w:val="20"/>
          <w:rtl/>
        </w:rPr>
        <w:footnoteReference w:id="331"/>
      </w:r>
      <w:r w:rsidRPr="00C01960">
        <w:rPr>
          <w:rFonts w:cs="Arial"/>
          <w:sz w:val="20"/>
          <w:szCs w:val="20"/>
          <w:rtl/>
        </w:rPr>
        <w:t>, אבל לענין טומאה</w:t>
      </w:r>
      <w:r>
        <w:rPr>
          <w:rFonts w:cs="Arial"/>
          <w:sz w:val="20"/>
          <w:szCs w:val="20"/>
          <w:rtl/>
        </w:rPr>
        <w:t xml:space="preserve"> - היא טהורה וחבירתה טמא</w:t>
      </w:r>
      <w:r>
        <w:rPr>
          <w:rFonts w:cs="Arial" w:hint="cs"/>
          <w:sz w:val="20"/>
          <w:szCs w:val="20"/>
          <w:rtl/>
        </w:rPr>
        <w:t>ה".</w:t>
      </w:r>
    </w:p>
    <w:p w:rsidR="00620060" w:rsidRDefault="00620060" w:rsidP="00620060">
      <w:pPr>
        <w:rPr>
          <w:sz w:val="20"/>
          <w:szCs w:val="20"/>
          <w:rtl/>
        </w:rPr>
      </w:pPr>
      <w:r>
        <w:rPr>
          <w:rFonts w:cs="Arial" w:hint="cs"/>
          <w:b/>
          <w:bCs/>
          <w:sz w:val="20"/>
          <w:szCs w:val="20"/>
          <w:rtl/>
        </w:rPr>
        <w:t>פסיקת הלכה</w:t>
      </w:r>
      <w:r>
        <w:rPr>
          <w:rFonts w:cs="Arial"/>
          <w:b/>
          <w:bCs/>
          <w:sz w:val="20"/>
          <w:szCs w:val="20"/>
          <w:rtl/>
        </w:rPr>
        <w:br/>
      </w:r>
      <w:r>
        <w:rPr>
          <w:rFonts w:cs="Arial" w:hint="cs"/>
          <w:b/>
          <w:bCs/>
          <w:sz w:val="20"/>
          <w:szCs w:val="20"/>
          <w:rtl/>
        </w:rPr>
        <w:t xml:space="preserve">שולחן ערוך </w:t>
      </w:r>
      <w:r w:rsidRPr="00992329">
        <w:rPr>
          <w:rFonts w:cs="Arial" w:hint="cs"/>
          <w:sz w:val="18"/>
          <w:szCs w:val="18"/>
          <w:rtl/>
        </w:rPr>
        <w:t xml:space="preserve">(ע"פ </w:t>
      </w:r>
      <w:r w:rsidRPr="00992329">
        <w:rPr>
          <w:rFonts w:cs="Arial" w:hint="cs"/>
          <w:b/>
          <w:bCs/>
          <w:sz w:val="18"/>
          <w:szCs w:val="18"/>
          <w:rtl/>
        </w:rPr>
        <w:t>הרשב"א</w:t>
      </w:r>
      <w:r w:rsidRPr="00992329">
        <w:rPr>
          <w:rFonts w:cs="Arial" w:hint="cs"/>
          <w:sz w:val="18"/>
          <w:szCs w:val="18"/>
          <w:rtl/>
        </w:rPr>
        <w:t>)</w:t>
      </w:r>
      <w:r>
        <w:rPr>
          <w:rFonts w:hint="cs"/>
          <w:sz w:val="20"/>
          <w:szCs w:val="20"/>
          <w:rtl/>
        </w:rPr>
        <w:t xml:space="preserve"> </w:t>
      </w:r>
      <w:r>
        <w:rPr>
          <w:sz w:val="20"/>
          <w:szCs w:val="20"/>
          <w:rtl/>
        </w:rPr>
        <w:t>–</w:t>
      </w:r>
      <w:r>
        <w:rPr>
          <w:rFonts w:hint="cs"/>
          <w:sz w:val="20"/>
          <w:szCs w:val="20"/>
          <w:rtl/>
        </w:rPr>
        <w:t xml:space="preserve"> "</w:t>
      </w:r>
      <w:r w:rsidRPr="00C01960">
        <w:rPr>
          <w:rFonts w:cs="Arial"/>
          <w:sz w:val="20"/>
          <w:szCs w:val="20"/>
          <w:rtl/>
        </w:rPr>
        <w:t xml:space="preserve">בדקה חלוקה ופשטתו ומצאה טהורה, והשאילה לחברתה, ולבשה, ומצאה בו </w:t>
      </w:r>
      <w:r>
        <w:rPr>
          <w:rFonts w:cs="Arial"/>
          <w:sz w:val="20"/>
          <w:szCs w:val="20"/>
          <w:rtl/>
        </w:rPr>
        <w:t>כתם, הראשונה טהורה, והשניה טמאה</w:t>
      </w:r>
      <w:r>
        <w:rPr>
          <w:rFonts w:cs="Arial" w:hint="cs"/>
          <w:sz w:val="20"/>
          <w:szCs w:val="20"/>
          <w:rtl/>
        </w:rPr>
        <w:t>".</w:t>
      </w:r>
    </w:p>
    <w:p w:rsidR="00620060" w:rsidRDefault="00620060" w:rsidP="00620060">
      <w:pPr>
        <w:rPr>
          <w:sz w:val="20"/>
          <w:szCs w:val="20"/>
          <w:rtl/>
        </w:rPr>
      </w:pPr>
      <w:r>
        <w:rPr>
          <w:rFonts w:hint="cs"/>
          <w:sz w:val="20"/>
          <w:szCs w:val="20"/>
          <w:u w:val="single"/>
          <w:rtl/>
        </w:rPr>
        <w:t>קושיית האחרונים</w:t>
      </w:r>
      <w:r>
        <w:rPr>
          <w:rFonts w:hint="cs"/>
          <w:sz w:val="20"/>
          <w:szCs w:val="20"/>
          <w:u w:val="single"/>
          <w:rtl/>
        </w:rPr>
        <w:br/>
      </w:r>
      <w:r>
        <w:rPr>
          <w:rFonts w:hint="cs"/>
          <w:sz w:val="20"/>
          <w:szCs w:val="20"/>
          <w:rtl/>
        </w:rPr>
        <w:t xml:space="preserve">האחרונים הקשו בדברי המחבר </w:t>
      </w:r>
      <w:r>
        <w:rPr>
          <w:sz w:val="20"/>
          <w:szCs w:val="20"/>
          <w:rtl/>
        </w:rPr>
        <w:t>–</w:t>
      </w:r>
      <w:r>
        <w:rPr>
          <w:rFonts w:hint="cs"/>
          <w:sz w:val="20"/>
          <w:szCs w:val="20"/>
          <w:rtl/>
        </w:rPr>
        <w:t xml:space="preserve"> מדוע כתב שבדקה את חלוקה בתחילה לפני שלבשה אותו, הרי כיוון שבדקה אותו לאחר שפשטה אותו ומצאה שהוא טהור, ממילא חברתה שתמצא כתם תהיה טמאה!</w:t>
      </w:r>
    </w:p>
    <w:p w:rsidR="00620060" w:rsidRDefault="00620060" w:rsidP="00620060">
      <w:pPr>
        <w:rPr>
          <w:sz w:val="20"/>
          <w:szCs w:val="20"/>
          <w:rtl/>
        </w:rPr>
      </w:pPr>
      <w:r>
        <w:rPr>
          <w:rFonts w:hint="cs"/>
          <w:sz w:val="20"/>
          <w:szCs w:val="20"/>
          <w:u w:val="single"/>
          <w:rtl/>
        </w:rPr>
        <w:t>תירוצים לקושייה</w:t>
      </w:r>
      <w:r>
        <w:rPr>
          <w:sz w:val="20"/>
          <w:szCs w:val="20"/>
          <w:u w:val="single"/>
          <w:rtl/>
        </w:rPr>
        <w:br/>
      </w:r>
      <w:r>
        <w:rPr>
          <w:rFonts w:hint="cs"/>
          <w:sz w:val="20"/>
          <w:szCs w:val="20"/>
          <w:rtl/>
        </w:rPr>
        <w:t xml:space="preserve">א. </w:t>
      </w:r>
      <w:r w:rsidRPr="00497554">
        <w:rPr>
          <w:rFonts w:hint="cs"/>
          <w:b/>
          <w:bCs/>
          <w:sz w:val="20"/>
          <w:szCs w:val="20"/>
          <w:rtl/>
        </w:rPr>
        <w:t>ב"ח</w:t>
      </w:r>
      <w:r>
        <w:rPr>
          <w:rFonts w:hint="cs"/>
          <w:sz w:val="20"/>
          <w:szCs w:val="20"/>
          <w:rtl/>
        </w:rPr>
        <w:t xml:space="preserve"> </w:t>
      </w:r>
      <w:r>
        <w:rPr>
          <w:sz w:val="20"/>
          <w:szCs w:val="20"/>
          <w:rtl/>
        </w:rPr>
        <w:t>–</w:t>
      </w:r>
      <w:r>
        <w:rPr>
          <w:rFonts w:hint="cs"/>
          <w:sz w:val="20"/>
          <w:szCs w:val="20"/>
          <w:rtl/>
        </w:rPr>
        <w:t xml:space="preserve"> כוונת הטור </w:t>
      </w:r>
      <w:r w:rsidRPr="00497554">
        <w:rPr>
          <w:rFonts w:hint="cs"/>
          <w:sz w:val="18"/>
          <w:szCs w:val="18"/>
          <w:rtl/>
        </w:rPr>
        <w:t xml:space="preserve">(שהתנסח גם כן בלשון זו) </w:t>
      </w:r>
      <w:r>
        <w:rPr>
          <w:rFonts w:hint="cs"/>
          <w:sz w:val="20"/>
          <w:szCs w:val="20"/>
          <w:rtl/>
        </w:rPr>
        <w:t>לדייק שאם לא בדקה את החלוק לאחר שפשטה אותו, לא מועיל לה מה שבדקה אותו תחילה לפני שלבשה, אלא שתיהן טמאות.</w:t>
      </w:r>
      <w:r>
        <w:rPr>
          <w:sz w:val="20"/>
          <w:szCs w:val="20"/>
          <w:rtl/>
        </w:rPr>
        <w:br/>
      </w:r>
      <w:r>
        <w:rPr>
          <w:rFonts w:hint="cs"/>
          <w:sz w:val="20"/>
          <w:szCs w:val="20"/>
          <w:rtl/>
        </w:rPr>
        <w:t xml:space="preserve">דוחה </w:t>
      </w:r>
      <w:r w:rsidRPr="00497554">
        <w:rPr>
          <w:rFonts w:hint="cs"/>
          <w:b/>
          <w:bCs/>
          <w:sz w:val="20"/>
          <w:szCs w:val="20"/>
          <w:rtl/>
        </w:rPr>
        <w:t>הט"ז</w:t>
      </w:r>
      <w:r>
        <w:rPr>
          <w:rFonts w:hint="cs"/>
          <w:sz w:val="20"/>
          <w:szCs w:val="20"/>
          <w:rtl/>
        </w:rPr>
        <w:t xml:space="preserve"> </w:t>
      </w:r>
      <w:r>
        <w:rPr>
          <w:sz w:val="20"/>
          <w:szCs w:val="20"/>
          <w:rtl/>
        </w:rPr>
        <w:t>–</w:t>
      </w:r>
      <w:r>
        <w:rPr>
          <w:rFonts w:hint="cs"/>
          <w:sz w:val="20"/>
          <w:szCs w:val="20"/>
          <w:rtl/>
        </w:rPr>
        <w:t xml:space="preserve"> בהמשך דבריו, הטור כותב דין זה בצורה מפורשת שאם שתיהן שוות שתיהן טמאות, ומדוע שכאו ירמוז דין זה?</w:t>
      </w:r>
      <w:r>
        <w:rPr>
          <w:rFonts w:hint="cs"/>
          <w:sz w:val="20"/>
          <w:szCs w:val="20"/>
          <w:rtl/>
        </w:rPr>
        <w:br/>
        <w:t xml:space="preserve">ב. </w:t>
      </w:r>
      <w:r w:rsidRPr="00385ACF">
        <w:rPr>
          <w:rFonts w:hint="cs"/>
          <w:b/>
          <w:bCs/>
          <w:sz w:val="20"/>
          <w:szCs w:val="20"/>
          <w:rtl/>
        </w:rPr>
        <w:t>פרישה</w:t>
      </w:r>
      <w:r>
        <w:rPr>
          <w:rFonts w:hint="cs"/>
          <w:sz w:val="20"/>
          <w:szCs w:val="20"/>
          <w:rtl/>
        </w:rPr>
        <w:t xml:space="preserve"> </w:t>
      </w:r>
      <w:r>
        <w:rPr>
          <w:sz w:val="20"/>
          <w:szCs w:val="20"/>
          <w:rtl/>
        </w:rPr>
        <w:t>–</w:t>
      </w:r>
      <w:r>
        <w:rPr>
          <w:rFonts w:hint="cs"/>
          <w:sz w:val="20"/>
          <w:szCs w:val="20"/>
          <w:rtl/>
        </w:rPr>
        <w:t xml:space="preserve"> "מצאה טהורה" קאי על האשה עצמה, כלומר שבדקה את עצמה ומצאה שהיא טהורה, וקמ"ל שאע"פ שגם השנייה בדקה את עצמה, מכל מקום היא טמאה משום שאומרים 'כאן נמצא כאן היה'.</w:t>
      </w:r>
      <w:r>
        <w:rPr>
          <w:sz w:val="20"/>
          <w:szCs w:val="20"/>
          <w:rtl/>
        </w:rPr>
        <w:br/>
      </w:r>
      <w:r>
        <w:rPr>
          <w:rFonts w:hint="cs"/>
          <w:sz w:val="20"/>
          <w:szCs w:val="20"/>
          <w:rtl/>
        </w:rPr>
        <w:t xml:space="preserve">דוחה </w:t>
      </w:r>
      <w:r w:rsidRPr="00385ACF">
        <w:rPr>
          <w:rFonts w:hint="cs"/>
          <w:b/>
          <w:bCs/>
          <w:sz w:val="20"/>
          <w:szCs w:val="20"/>
          <w:rtl/>
        </w:rPr>
        <w:t>הט"ז</w:t>
      </w:r>
      <w:r>
        <w:rPr>
          <w:rFonts w:hint="cs"/>
          <w:sz w:val="20"/>
          <w:szCs w:val="20"/>
          <w:rtl/>
        </w:rPr>
        <w:t xml:space="preserve"> </w:t>
      </w:r>
      <w:r>
        <w:rPr>
          <w:sz w:val="20"/>
          <w:szCs w:val="20"/>
          <w:rtl/>
        </w:rPr>
        <w:t>–</w:t>
      </w:r>
      <w:r>
        <w:rPr>
          <w:rFonts w:hint="cs"/>
          <w:sz w:val="20"/>
          <w:szCs w:val="20"/>
          <w:rtl/>
        </w:rPr>
        <w:t xml:space="preserve"> פשוט בכל הסימן שאם שתיהן שוות, אין אומרים את הכלל 'כאן נמצא כאן היה'.</w:t>
      </w:r>
      <w:r>
        <w:rPr>
          <w:sz w:val="20"/>
          <w:szCs w:val="20"/>
          <w:rtl/>
        </w:rPr>
        <w:br/>
      </w:r>
      <w:r>
        <w:rPr>
          <w:rFonts w:hint="cs"/>
          <w:sz w:val="20"/>
          <w:szCs w:val="20"/>
          <w:rtl/>
        </w:rPr>
        <w:t xml:space="preserve">ג. </w:t>
      </w:r>
      <w:r w:rsidRPr="00385ACF">
        <w:rPr>
          <w:rFonts w:hint="cs"/>
          <w:b/>
          <w:bCs/>
          <w:sz w:val="20"/>
          <w:szCs w:val="20"/>
          <w:rtl/>
        </w:rPr>
        <w:t>ט"ז</w:t>
      </w:r>
      <w:r>
        <w:rPr>
          <w:rFonts w:hint="cs"/>
          <w:sz w:val="20"/>
          <w:szCs w:val="20"/>
          <w:rtl/>
        </w:rPr>
        <w:t xml:space="preserve"> </w:t>
      </w:r>
      <w:r w:rsidRPr="00385ACF">
        <w:rPr>
          <w:rFonts w:hint="cs"/>
          <w:b/>
          <w:bCs/>
          <w:sz w:val="20"/>
          <w:szCs w:val="20"/>
          <w:rtl/>
        </w:rPr>
        <w:t>וש"ך</w:t>
      </w:r>
      <w:r w:rsidRPr="00385ACF">
        <w:rPr>
          <w:rStyle w:val="a5"/>
          <w:sz w:val="20"/>
          <w:szCs w:val="20"/>
          <w:rtl/>
        </w:rPr>
        <w:footnoteReference w:id="332"/>
      </w:r>
      <w:r w:rsidRPr="00385ACF">
        <w:rPr>
          <w:rFonts w:hint="cs"/>
          <w:sz w:val="20"/>
          <w:szCs w:val="20"/>
          <w:rtl/>
        </w:rPr>
        <w:t xml:space="preserve"> </w:t>
      </w:r>
      <w:r>
        <w:rPr>
          <w:sz w:val="20"/>
          <w:szCs w:val="20"/>
          <w:rtl/>
        </w:rPr>
        <w:t>–</w:t>
      </w:r>
      <w:r>
        <w:rPr>
          <w:rFonts w:hint="cs"/>
          <w:sz w:val="20"/>
          <w:szCs w:val="20"/>
          <w:rtl/>
        </w:rPr>
        <w:t xml:space="preserve"> אם לא בדקה את החלוק תחילה הוא חלוק שאינו בדוק, ולכן כתם שיימצא אחר כך טהור. </w:t>
      </w:r>
      <w:r>
        <w:rPr>
          <w:sz w:val="20"/>
          <w:szCs w:val="20"/>
          <w:rtl/>
        </w:rPr>
        <w:br/>
      </w:r>
      <w:r>
        <w:rPr>
          <w:rFonts w:hint="cs"/>
          <w:sz w:val="20"/>
          <w:szCs w:val="20"/>
          <w:rtl/>
        </w:rPr>
        <w:t xml:space="preserve">לכן המחבר כתב שבתחילה בדקה אותו ויש לחוש שהכתם ממנה, אך אעפ"כ טהורה. </w:t>
      </w:r>
    </w:p>
    <w:p w:rsidR="00620060"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2C4EF4">
        <w:rPr>
          <w:rFonts w:hint="cs"/>
          <w:b/>
          <w:bCs/>
          <w:sz w:val="20"/>
          <w:szCs w:val="20"/>
          <w:rtl/>
        </w:rPr>
        <w:t>גמרא</w:t>
      </w:r>
      <w:r>
        <w:rPr>
          <w:rFonts w:hint="cs"/>
          <w:sz w:val="20"/>
          <w:szCs w:val="20"/>
          <w:rtl/>
        </w:rPr>
        <w:t>. בדקה חלוקה והשאילה לחברתה ונמצא כתם, היא טהורה וחברתה טמאה, וכ"פ</w:t>
      </w:r>
      <w:r w:rsidRPr="002C4EF4">
        <w:rPr>
          <w:rFonts w:hint="cs"/>
          <w:b/>
          <w:bCs/>
          <w:sz w:val="20"/>
          <w:szCs w:val="20"/>
          <w:rtl/>
        </w:rPr>
        <w:t xml:space="preserve"> המחבר</w:t>
      </w:r>
      <w:r>
        <w:rPr>
          <w:rFonts w:hint="cs"/>
          <w:sz w:val="20"/>
          <w:szCs w:val="20"/>
          <w:rtl/>
        </w:rPr>
        <w:t>.</w:t>
      </w:r>
      <w:r>
        <w:rPr>
          <w:rFonts w:hint="cs"/>
          <w:sz w:val="20"/>
          <w:szCs w:val="20"/>
          <w:rtl/>
        </w:rPr>
        <w:br/>
        <w:t xml:space="preserve">2. </w:t>
      </w:r>
      <w:r w:rsidRPr="002C4EF4">
        <w:rPr>
          <w:rFonts w:hint="cs"/>
          <w:b/>
          <w:bCs/>
          <w:sz w:val="20"/>
          <w:szCs w:val="20"/>
          <w:rtl/>
        </w:rPr>
        <w:t>מחבר</w:t>
      </w:r>
      <w:r>
        <w:rPr>
          <w:rFonts w:hint="cs"/>
          <w:sz w:val="20"/>
          <w:szCs w:val="20"/>
          <w:rtl/>
        </w:rPr>
        <w:t xml:space="preserve">. </w:t>
      </w:r>
      <w:r>
        <w:rPr>
          <w:rFonts w:cs="Arial" w:hint="cs"/>
          <w:sz w:val="20"/>
          <w:szCs w:val="20"/>
          <w:rtl/>
        </w:rPr>
        <w:t>הוסיף שהראשונה בדקה לפני הלבישה וגם אחרי שפשטה אותו.</w:t>
      </w:r>
      <w:r>
        <w:rPr>
          <w:rFonts w:cs="Arial" w:hint="cs"/>
          <w:sz w:val="20"/>
          <w:szCs w:val="20"/>
          <w:rtl/>
        </w:rPr>
        <w:br/>
        <w:t>3. קשה, מדוע כתב שבדקה לפני שלבשה?</w:t>
      </w:r>
      <w:r>
        <w:rPr>
          <w:rFonts w:cs="Arial" w:hint="cs"/>
          <w:sz w:val="20"/>
          <w:szCs w:val="20"/>
          <w:rtl/>
        </w:rPr>
        <w:br/>
      </w:r>
      <w:r w:rsidRPr="00C305ED">
        <w:rPr>
          <w:rFonts w:cs="Arial" w:hint="cs"/>
          <w:b/>
          <w:bCs/>
          <w:sz w:val="20"/>
          <w:szCs w:val="20"/>
          <w:rtl/>
        </w:rPr>
        <w:t>ב"ח</w:t>
      </w:r>
      <w:r>
        <w:rPr>
          <w:rFonts w:cs="Arial" w:hint="cs"/>
          <w:sz w:val="20"/>
          <w:szCs w:val="20"/>
          <w:rtl/>
        </w:rPr>
        <w:t xml:space="preserve">. לדייק שאם לא בדקה לאחר הלבישה לא מהני בדיקה שלפני לבישה. </w:t>
      </w:r>
      <w:r w:rsidRPr="00C305ED">
        <w:rPr>
          <w:rFonts w:cs="Arial" w:hint="cs"/>
          <w:b/>
          <w:bCs/>
          <w:sz w:val="20"/>
          <w:szCs w:val="20"/>
          <w:rtl/>
        </w:rPr>
        <w:t>פרישה</w:t>
      </w:r>
      <w:r>
        <w:rPr>
          <w:rFonts w:cs="Arial" w:hint="cs"/>
          <w:sz w:val="20"/>
          <w:szCs w:val="20"/>
          <w:rtl/>
        </w:rPr>
        <w:t>. כוונת המחבר שבדקה את עצמה, ואע"פ שגם השנייה בדקה עצמה ומצאה טהורה, מכל מקום רק השנייה טמאה.</w:t>
      </w:r>
      <w:r>
        <w:rPr>
          <w:rFonts w:hint="cs"/>
          <w:sz w:val="20"/>
          <w:szCs w:val="20"/>
          <w:rtl/>
        </w:rPr>
        <w:t xml:space="preserve"> </w:t>
      </w:r>
      <w:r w:rsidRPr="00C305ED">
        <w:rPr>
          <w:rFonts w:hint="cs"/>
          <w:b/>
          <w:bCs/>
          <w:sz w:val="20"/>
          <w:szCs w:val="20"/>
          <w:rtl/>
        </w:rPr>
        <w:t>ט"ז</w:t>
      </w:r>
      <w:r>
        <w:rPr>
          <w:rFonts w:hint="cs"/>
          <w:sz w:val="20"/>
          <w:szCs w:val="20"/>
          <w:rtl/>
        </w:rPr>
        <w:t>. בדיקה לאחר פשיטה אינה כלום אם לא נבדק לפני הלבישה, שהרי אם לא נבדק לפני כן דינו כחלוק שאינו בדוק.</w:t>
      </w:r>
    </w:p>
    <w:p w:rsidR="00620060" w:rsidRDefault="00620060" w:rsidP="00620060">
      <w:pPr>
        <w:rPr>
          <w:sz w:val="20"/>
          <w:szCs w:val="20"/>
          <w:rtl/>
        </w:rPr>
      </w:pPr>
      <w:r>
        <w:rPr>
          <w:sz w:val="20"/>
          <w:szCs w:val="20"/>
          <w:rtl/>
        </w:rPr>
        <w:br/>
      </w:r>
      <w:r>
        <w:rPr>
          <w:rFonts w:hint="cs"/>
          <w:b/>
          <w:bCs/>
          <w:sz w:val="20"/>
          <w:szCs w:val="20"/>
          <w:rtl/>
        </w:rPr>
        <w:t xml:space="preserve">סעיף מא </w:t>
      </w:r>
      <w:r>
        <w:rPr>
          <w:b/>
          <w:bCs/>
          <w:sz w:val="20"/>
          <w:szCs w:val="20"/>
          <w:rtl/>
        </w:rPr>
        <w:t>–</w:t>
      </w:r>
      <w:r>
        <w:rPr>
          <w:rFonts w:hint="cs"/>
          <w:b/>
          <w:bCs/>
          <w:sz w:val="20"/>
          <w:szCs w:val="20"/>
          <w:rtl/>
        </w:rPr>
        <w:t xml:space="preserve"> השאילה חלוקה לגויה ולישראלית נידה</w:t>
      </w:r>
      <w:r>
        <w:rPr>
          <w:b/>
          <w:bCs/>
          <w:sz w:val="20"/>
          <w:szCs w:val="20"/>
          <w:rtl/>
        </w:rPr>
        <w:br/>
      </w:r>
      <w:r>
        <w:rPr>
          <w:rFonts w:hint="cs"/>
          <w:b/>
          <w:bCs/>
          <w:sz w:val="20"/>
          <w:szCs w:val="20"/>
          <w:rtl/>
        </w:rPr>
        <w:t>מקור הדין</w:t>
      </w:r>
      <w:r>
        <w:rPr>
          <w:b/>
          <w:bCs/>
          <w:sz w:val="20"/>
          <w:szCs w:val="20"/>
          <w:rtl/>
        </w:rPr>
        <w:br/>
      </w:r>
      <w:r w:rsidRPr="0048313D">
        <w:rPr>
          <w:rFonts w:hint="cs"/>
          <w:b/>
          <w:bCs/>
          <w:sz w:val="20"/>
          <w:szCs w:val="20"/>
          <w:rtl/>
        </w:rPr>
        <w:t xml:space="preserve">משנה </w:t>
      </w:r>
      <w:r>
        <w:rPr>
          <w:rFonts w:hint="cs"/>
          <w:sz w:val="20"/>
          <w:szCs w:val="20"/>
          <w:rtl/>
        </w:rPr>
        <w:t>נידה (נט:) "</w:t>
      </w:r>
      <w:r w:rsidRPr="0048313D">
        <w:rPr>
          <w:rFonts w:cs="Arial"/>
          <w:sz w:val="20"/>
          <w:szCs w:val="20"/>
          <w:rtl/>
        </w:rPr>
        <w:t>השאילה חלוקה לנכרית או לנדה - הרי זו תולה בה</w:t>
      </w:r>
      <w:r>
        <w:rPr>
          <w:rFonts w:cs="Arial" w:hint="cs"/>
          <w:sz w:val="20"/>
          <w:szCs w:val="20"/>
          <w:rtl/>
        </w:rPr>
        <w:t>...</w:t>
      </w:r>
      <w:r>
        <w:rPr>
          <w:rFonts w:cs="Arial"/>
          <w:sz w:val="20"/>
          <w:szCs w:val="20"/>
          <w:rtl/>
        </w:rPr>
        <w:br/>
      </w:r>
      <w:r w:rsidRPr="0048313D">
        <w:rPr>
          <w:rFonts w:cs="Arial" w:hint="cs"/>
          <w:b/>
          <w:bCs/>
          <w:sz w:val="20"/>
          <w:szCs w:val="20"/>
          <w:rtl/>
        </w:rPr>
        <w:t xml:space="preserve">גמרא </w:t>
      </w:r>
      <w:r>
        <w:rPr>
          <w:rFonts w:cs="Arial" w:hint="cs"/>
          <w:sz w:val="20"/>
          <w:szCs w:val="20"/>
          <w:rtl/>
        </w:rPr>
        <w:t>(</w:t>
      </w:r>
      <w:r>
        <w:rPr>
          <w:rFonts w:hint="cs"/>
          <w:sz w:val="20"/>
          <w:szCs w:val="20"/>
          <w:rtl/>
        </w:rPr>
        <w:t>נט: - ס.) "</w:t>
      </w:r>
      <w:r w:rsidRPr="0048313D">
        <w:rPr>
          <w:rFonts w:cs="Arial"/>
          <w:sz w:val="20"/>
          <w:szCs w:val="20"/>
          <w:rtl/>
        </w:rPr>
        <w:t>אמר רב: בנכרית</w:t>
      </w:r>
      <w:r>
        <w:rPr>
          <w:rFonts w:hint="cs"/>
          <w:sz w:val="20"/>
          <w:szCs w:val="20"/>
          <w:rtl/>
        </w:rPr>
        <w:t xml:space="preserve"> </w:t>
      </w:r>
      <w:r w:rsidRPr="0048313D">
        <w:rPr>
          <w:rFonts w:cs="Arial"/>
          <w:sz w:val="20"/>
          <w:szCs w:val="20"/>
          <w:rtl/>
        </w:rPr>
        <w:t>הרואה. ממאי - דומיא דנדה, מה נד</w:t>
      </w:r>
      <w:r>
        <w:rPr>
          <w:rFonts w:cs="Arial"/>
          <w:sz w:val="20"/>
          <w:szCs w:val="20"/>
          <w:rtl/>
        </w:rPr>
        <w:t>ה - דקחזיא, אף נכרית - דקא חזיא</w:t>
      </w:r>
      <w:r>
        <w:rPr>
          <w:rFonts w:cs="Arial" w:hint="cs"/>
          <w:sz w:val="20"/>
          <w:szCs w:val="20"/>
          <w:rtl/>
        </w:rPr>
        <w:t>".</w:t>
      </w:r>
    </w:p>
    <w:p w:rsidR="00620060" w:rsidRDefault="00620060" w:rsidP="00620060">
      <w:pPr>
        <w:rPr>
          <w:sz w:val="20"/>
          <w:szCs w:val="20"/>
          <w:rtl/>
        </w:rPr>
      </w:pPr>
      <w:r w:rsidRPr="00CE579D">
        <w:rPr>
          <w:rFonts w:hint="cs"/>
          <w:b/>
          <w:bCs/>
          <w:sz w:val="20"/>
          <w:szCs w:val="20"/>
          <w:rtl/>
        </w:rPr>
        <w:t>טעם הדין</w:t>
      </w:r>
      <w:r>
        <w:rPr>
          <w:sz w:val="20"/>
          <w:szCs w:val="20"/>
          <w:rtl/>
        </w:rPr>
        <w:br/>
      </w:r>
      <w:r>
        <w:rPr>
          <w:rFonts w:hint="cs"/>
          <w:sz w:val="20"/>
          <w:szCs w:val="20"/>
          <w:rtl/>
        </w:rPr>
        <w:t>בנדה וכן בגויה אין קלקול, אלא תולים את הקלקלה במקולקל, אך אין לתלות באשה טהורה מכיוון שע"י כך מקלקלים אותה, ואם כן מה ראית לקלקל את זו ולתקן את זו?</w:t>
      </w:r>
    </w:p>
    <w:p w:rsidR="00620060" w:rsidRDefault="00620060" w:rsidP="00620060">
      <w:pPr>
        <w:rPr>
          <w:sz w:val="20"/>
          <w:szCs w:val="20"/>
          <w:rtl/>
        </w:rPr>
      </w:pPr>
      <w:r>
        <w:rPr>
          <w:rFonts w:hint="cs"/>
          <w:b/>
          <w:bCs/>
          <w:sz w:val="20"/>
          <w:szCs w:val="20"/>
          <w:rtl/>
        </w:rPr>
        <w:t>שיטות הראשונים</w:t>
      </w:r>
      <w:r>
        <w:rPr>
          <w:rFonts w:hint="cs"/>
          <w:b/>
          <w:bCs/>
          <w:sz w:val="20"/>
          <w:szCs w:val="20"/>
          <w:rtl/>
        </w:rPr>
        <w:br/>
      </w:r>
      <w:r>
        <w:rPr>
          <w:rFonts w:hint="cs"/>
          <w:sz w:val="20"/>
          <w:szCs w:val="20"/>
          <w:rtl/>
        </w:rPr>
        <w:t>מהי כוונת רב "בנוכרית הרואה"?</w:t>
      </w:r>
      <w:r>
        <w:rPr>
          <w:b/>
          <w:bCs/>
          <w:sz w:val="20"/>
          <w:szCs w:val="20"/>
          <w:rtl/>
        </w:rPr>
        <w:br/>
      </w:r>
      <w:r>
        <w:rPr>
          <w:rFonts w:hint="cs"/>
          <w:sz w:val="20"/>
          <w:szCs w:val="20"/>
          <w:rtl/>
        </w:rPr>
        <w:t xml:space="preserve">א. </w:t>
      </w:r>
      <w:r w:rsidRPr="0048313D">
        <w:rPr>
          <w:rFonts w:hint="cs"/>
          <w:b/>
          <w:bCs/>
          <w:sz w:val="20"/>
          <w:szCs w:val="20"/>
          <w:rtl/>
        </w:rPr>
        <w:t>רש"י ורשב"א</w:t>
      </w:r>
      <w:r>
        <w:rPr>
          <w:rFonts w:hint="cs"/>
          <w:sz w:val="20"/>
          <w:szCs w:val="20"/>
          <w:rtl/>
        </w:rPr>
        <w:t xml:space="preserve"> </w:t>
      </w:r>
      <w:r>
        <w:rPr>
          <w:sz w:val="20"/>
          <w:szCs w:val="20"/>
          <w:rtl/>
        </w:rPr>
        <w:t>–</w:t>
      </w:r>
      <w:r>
        <w:rPr>
          <w:rFonts w:hint="cs"/>
          <w:sz w:val="20"/>
          <w:szCs w:val="20"/>
          <w:rtl/>
        </w:rPr>
        <w:t xml:space="preserve"> גויה גדולה שראויה לראות דם, וכן ראתה כבר דם בעבר, וכ"פ </w:t>
      </w:r>
      <w:r w:rsidRPr="00CE579D">
        <w:rPr>
          <w:rFonts w:hint="cs"/>
          <w:b/>
          <w:bCs/>
          <w:sz w:val="20"/>
          <w:szCs w:val="20"/>
          <w:rtl/>
        </w:rPr>
        <w:t>המחבר</w:t>
      </w:r>
      <w:r>
        <w:rPr>
          <w:rFonts w:hint="cs"/>
          <w:sz w:val="20"/>
          <w:szCs w:val="20"/>
          <w:rtl/>
        </w:rPr>
        <w:t>.</w:t>
      </w:r>
      <w:r>
        <w:rPr>
          <w:rFonts w:hint="cs"/>
          <w:sz w:val="20"/>
          <w:szCs w:val="20"/>
          <w:rtl/>
        </w:rPr>
        <w:br/>
        <w:t>ואע"פ שרב משווה גויה לנידה, אינו דמיון גמור, אלא דין גויה שכבר ראתה כדין נידה שרואה כעת.</w:t>
      </w:r>
      <w:r>
        <w:rPr>
          <w:sz w:val="20"/>
          <w:szCs w:val="20"/>
          <w:rtl/>
        </w:rPr>
        <w:br/>
      </w:r>
      <w:r>
        <w:rPr>
          <w:rFonts w:hint="cs"/>
          <w:sz w:val="20"/>
          <w:szCs w:val="20"/>
          <w:rtl/>
        </w:rPr>
        <w:t xml:space="preserve">ב. </w:t>
      </w:r>
      <w:r w:rsidRPr="0048313D">
        <w:rPr>
          <w:rFonts w:hint="cs"/>
          <w:b/>
          <w:bCs/>
          <w:sz w:val="20"/>
          <w:szCs w:val="20"/>
          <w:rtl/>
        </w:rPr>
        <w:t>רמב"ם</w:t>
      </w:r>
      <w:r>
        <w:rPr>
          <w:rFonts w:hint="cs"/>
          <w:sz w:val="20"/>
          <w:szCs w:val="20"/>
          <w:rtl/>
        </w:rPr>
        <w:t xml:space="preserve"> </w:t>
      </w:r>
      <w:r w:rsidRPr="0048313D">
        <w:rPr>
          <w:rFonts w:hint="cs"/>
          <w:sz w:val="18"/>
          <w:szCs w:val="18"/>
          <w:rtl/>
        </w:rPr>
        <w:t xml:space="preserve">(ע"פ </w:t>
      </w:r>
      <w:r w:rsidRPr="0048313D">
        <w:rPr>
          <w:rFonts w:hint="cs"/>
          <w:b/>
          <w:bCs/>
          <w:sz w:val="18"/>
          <w:szCs w:val="18"/>
          <w:rtl/>
        </w:rPr>
        <w:t>הבית יוסף</w:t>
      </w:r>
      <w:r w:rsidRPr="0048313D">
        <w:rPr>
          <w:rStyle w:val="a5"/>
          <w:sz w:val="18"/>
          <w:szCs w:val="18"/>
          <w:rtl/>
        </w:rPr>
        <w:footnoteReference w:id="333"/>
      </w:r>
      <w:r w:rsidRPr="0048313D">
        <w:rPr>
          <w:rFonts w:hint="cs"/>
          <w:sz w:val="18"/>
          <w:szCs w:val="18"/>
          <w:rtl/>
        </w:rPr>
        <w:t xml:space="preserve">) </w:t>
      </w:r>
      <w:r>
        <w:rPr>
          <w:sz w:val="20"/>
          <w:szCs w:val="20"/>
          <w:rtl/>
        </w:rPr>
        <w:t>–</w:t>
      </w:r>
      <w:r>
        <w:rPr>
          <w:rFonts w:hint="cs"/>
          <w:sz w:val="20"/>
          <w:szCs w:val="20"/>
          <w:rtl/>
        </w:rPr>
        <w:t xml:space="preserve"> גויה הרואה כעת, אך לא מהני מה שראתה בעבר אע"פ שהיא גדולה.</w:t>
      </w:r>
    </w:p>
    <w:p w:rsidR="00620060" w:rsidRPr="00CE579D" w:rsidRDefault="00620060" w:rsidP="00620060">
      <w:pPr>
        <w:rPr>
          <w:sz w:val="20"/>
          <w:szCs w:val="20"/>
          <w:rtl/>
        </w:rPr>
      </w:pPr>
      <w:r>
        <w:rPr>
          <w:rFonts w:hint="cs"/>
          <w:sz w:val="20"/>
          <w:szCs w:val="20"/>
          <w:u w:val="single"/>
          <w:rtl/>
        </w:rPr>
        <w:lastRenderedPageBreak/>
        <w:t>מתי ראויה לראות דם</w:t>
      </w:r>
      <w:r>
        <w:rPr>
          <w:sz w:val="20"/>
          <w:szCs w:val="20"/>
          <w:u w:val="single"/>
          <w:rtl/>
        </w:rPr>
        <w:br/>
      </w:r>
      <w:r w:rsidRPr="00CE579D">
        <w:rPr>
          <w:rFonts w:hint="cs"/>
          <w:b/>
          <w:bCs/>
          <w:sz w:val="20"/>
          <w:szCs w:val="20"/>
          <w:rtl/>
        </w:rPr>
        <w:t>ט"ז וש"ך</w:t>
      </w:r>
      <w:r>
        <w:rPr>
          <w:rFonts w:hint="cs"/>
          <w:sz w:val="20"/>
          <w:szCs w:val="20"/>
          <w:rtl/>
        </w:rPr>
        <w:t xml:space="preserve"> </w:t>
      </w:r>
      <w:r>
        <w:rPr>
          <w:sz w:val="20"/>
          <w:szCs w:val="20"/>
          <w:rtl/>
        </w:rPr>
        <w:t>–</w:t>
      </w:r>
      <w:r>
        <w:rPr>
          <w:rFonts w:hint="cs"/>
          <w:sz w:val="20"/>
          <w:szCs w:val="20"/>
          <w:rtl/>
        </w:rPr>
        <w:t xml:space="preserve"> בת יב' שנה ויום אחד הוא הזמן שבו ראויה לראות דם.</w:t>
      </w:r>
    </w:p>
    <w:p w:rsidR="00620060" w:rsidRDefault="00620060" w:rsidP="00620060">
      <w:pPr>
        <w:rPr>
          <w:sz w:val="20"/>
          <w:szCs w:val="20"/>
          <w:rtl/>
        </w:rPr>
      </w:pPr>
      <w:r>
        <w:rPr>
          <w:rFonts w:hint="cs"/>
          <w:b/>
          <w:bCs/>
          <w:sz w:val="20"/>
          <w:szCs w:val="20"/>
          <w:rtl/>
        </w:rPr>
        <w:t>מי תולה</w:t>
      </w:r>
      <w:r>
        <w:rPr>
          <w:b/>
          <w:bCs/>
          <w:sz w:val="20"/>
          <w:szCs w:val="20"/>
          <w:rtl/>
        </w:rPr>
        <w:br/>
      </w:r>
      <w:r>
        <w:rPr>
          <w:rFonts w:hint="cs"/>
          <w:b/>
          <w:bCs/>
          <w:sz w:val="20"/>
          <w:szCs w:val="20"/>
          <w:rtl/>
        </w:rPr>
        <w:t xml:space="preserve">בית יוסף </w:t>
      </w:r>
      <w:r>
        <w:rPr>
          <w:sz w:val="20"/>
          <w:szCs w:val="20"/>
          <w:rtl/>
        </w:rPr>
        <w:t>–</w:t>
      </w:r>
      <w:r>
        <w:rPr>
          <w:rFonts w:hint="cs"/>
          <w:sz w:val="20"/>
          <w:szCs w:val="20"/>
          <w:rtl/>
        </w:rPr>
        <w:t xml:space="preserve"> כל אשה יכולה לתלות כנ"ל, בין אם היא טהורה לגמרי ובין אם היא בספירת ז' נקיים.</w:t>
      </w:r>
      <w:r w:rsidRPr="001C3B9B">
        <w:rPr>
          <w:sz w:val="20"/>
          <w:szCs w:val="20"/>
          <w:rtl/>
        </w:rPr>
        <w:br/>
      </w:r>
      <w:r>
        <w:rPr>
          <w:rFonts w:hint="cs"/>
          <w:sz w:val="20"/>
          <w:szCs w:val="20"/>
          <w:rtl/>
        </w:rPr>
        <w:br/>
      </w:r>
      <w:r>
        <w:rPr>
          <w:rFonts w:cs="Arial" w:hint="cs"/>
          <w:b/>
          <w:bCs/>
          <w:sz w:val="20"/>
          <w:szCs w:val="20"/>
          <w:rtl/>
        </w:rPr>
        <w:t>פסיקת הלכה</w:t>
      </w:r>
      <w:r>
        <w:rPr>
          <w:rFonts w:cs="Arial"/>
          <w:b/>
          <w:bCs/>
          <w:sz w:val="20"/>
          <w:szCs w:val="20"/>
          <w:rtl/>
        </w:rPr>
        <w:br/>
      </w:r>
      <w:r>
        <w:rPr>
          <w:rFonts w:cs="Arial" w:hint="cs"/>
          <w:b/>
          <w:bCs/>
          <w:sz w:val="20"/>
          <w:szCs w:val="20"/>
          <w:rtl/>
        </w:rPr>
        <w:t xml:space="preserve">שולחן ערוך </w:t>
      </w:r>
      <w:r>
        <w:rPr>
          <w:rFonts w:cs="Arial"/>
          <w:sz w:val="20"/>
          <w:szCs w:val="20"/>
          <w:rtl/>
        </w:rPr>
        <w:t>–</w:t>
      </w:r>
      <w:r>
        <w:rPr>
          <w:rFonts w:cs="Arial" w:hint="cs"/>
          <w:sz w:val="20"/>
          <w:szCs w:val="20"/>
          <w:rtl/>
        </w:rPr>
        <w:t xml:space="preserve"> "</w:t>
      </w:r>
      <w:r w:rsidRPr="00CE579D">
        <w:rPr>
          <w:rFonts w:cs="Arial"/>
          <w:sz w:val="20"/>
          <w:szCs w:val="20"/>
          <w:rtl/>
        </w:rPr>
        <w:t>לבשה חלוקה הבדוק לה, ופשטתו, והשאילתו לישראלית נדה או לעובדת כוכבים שהגיע זמנה לראות וראתה פעם א</w:t>
      </w:r>
      <w:r>
        <w:rPr>
          <w:rFonts w:cs="Arial" w:hint="cs"/>
          <w:sz w:val="20"/>
          <w:szCs w:val="20"/>
          <w:rtl/>
        </w:rPr>
        <w:t>חת</w:t>
      </w:r>
      <w:r w:rsidRPr="00CE579D">
        <w:rPr>
          <w:rFonts w:cs="Arial"/>
          <w:sz w:val="20"/>
          <w:szCs w:val="20"/>
          <w:rtl/>
        </w:rPr>
        <w:t>, אף על פי שאינה רואה בימי השאלת החלוק, ואחר כך נמצא בו כתם, תולה בהן וטהורה. והוא הדין</w:t>
      </w:r>
      <w:r>
        <w:rPr>
          <w:rStyle w:val="a5"/>
          <w:rFonts w:cs="Arial"/>
          <w:sz w:val="20"/>
          <w:szCs w:val="20"/>
          <w:rtl/>
        </w:rPr>
        <w:footnoteReference w:id="334"/>
      </w:r>
      <w:r w:rsidRPr="00CE579D">
        <w:rPr>
          <w:rFonts w:cs="Arial"/>
          <w:sz w:val="20"/>
          <w:szCs w:val="20"/>
          <w:rtl/>
        </w:rPr>
        <w:t xml:space="preserve"> אם בדקתו והשאילתו להן, ואח</w:t>
      </w:r>
      <w:r>
        <w:rPr>
          <w:rFonts w:cs="Arial" w:hint="cs"/>
          <w:sz w:val="20"/>
          <w:szCs w:val="20"/>
          <w:rtl/>
        </w:rPr>
        <w:t xml:space="preserve">ר </w:t>
      </w:r>
      <w:r w:rsidRPr="00CE579D">
        <w:rPr>
          <w:rFonts w:cs="Arial"/>
          <w:sz w:val="20"/>
          <w:szCs w:val="20"/>
          <w:rtl/>
        </w:rPr>
        <w:t>כ</w:t>
      </w:r>
      <w:r>
        <w:rPr>
          <w:rFonts w:cs="Arial" w:hint="cs"/>
          <w:sz w:val="20"/>
          <w:szCs w:val="20"/>
          <w:rtl/>
        </w:rPr>
        <w:t>ך</w:t>
      </w:r>
      <w:r w:rsidRPr="00CE579D">
        <w:rPr>
          <w:rFonts w:cs="Arial"/>
          <w:sz w:val="20"/>
          <w:szCs w:val="20"/>
          <w:rtl/>
        </w:rPr>
        <w:t xml:space="preserve"> לבשתו היא ומצאה בו כתם, שתולה בהן ואפילו היא בספירת שבעה נקיים. </w:t>
      </w:r>
      <w:r w:rsidRPr="00CE579D">
        <w:rPr>
          <w:rFonts w:cs="Arial"/>
          <w:sz w:val="18"/>
          <w:szCs w:val="18"/>
          <w:rtl/>
        </w:rPr>
        <w:t>(וע</w:t>
      </w:r>
      <w:r>
        <w:rPr>
          <w:rFonts w:cs="Arial" w:hint="cs"/>
          <w:sz w:val="18"/>
          <w:szCs w:val="18"/>
          <w:rtl/>
        </w:rPr>
        <w:t>יין לקמן</w:t>
      </w:r>
      <w:r w:rsidRPr="00CE579D">
        <w:rPr>
          <w:rFonts w:cs="Arial"/>
          <w:sz w:val="18"/>
          <w:szCs w:val="18"/>
          <w:rtl/>
        </w:rPr>
        <w:t xml:space="preserve"> סי</w:t>
      </w:r>
      <w:r>
        <w:rPr>
          <w:rFonts w:cs="Arial" w:hint="cs"/>
          <w:sz w:val="18"/>
          <w:szCs w:val="18"/>
          <w:rtl/>
        </w:rPr>
        <w:t>מן</w:t>
      </w:r>
      <w:r w:rsidRPr="00CE579D">
        <w:rPr>
          <w:rFonts w:cs="Arial"/>
          <w:sz w:val="18"/>
          <w:szCs w:val="18"/>
          <w:rtl/>
        </w:rPr>
        <w:t xml:space="preserve"> קצ"ו, דבג' ימים הראשונים של ז' נקיים אין מקילין בכתמים לתלות בדבר אחר)</w:t>
      </w:r>
      <w:r>
        <w:rPr>
          <w:rFonts w:cs="Arial" w:hint="cs"/>
          <w:sz w:val="20"/>
          <w:szCs w:val="20"/>
          <w:rtl/>
        </w:rPr>
        <w:t>".</w:t>
      </w:r>
      <w:r>
        <w:rPr>
          <w:rFonts w:hint="cs"/>
          <w:sz w:val="20"/>
          <w:szCs w:val="20"/>
          <w:rtl/>
        </w:rPr>
        <w:br/>
      </w:r>
      <w:r w:rsidRPr="00590DD2">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כוונת הרמ"א להחמיר בכתם גדול מכגריס ועוד, אך בכתם קטן מכך אף הרמ"א מקל.</w:t>
      </w:r>
    </w:p>
    <w:p w:rsidR="00620060"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2D3C06">
        <w:rPr>
          <w:rFonts w:hint="cs"/>
          <w:b/>
          <w:bCs/>
          <w:sz w:val="20"/>
          <w:szCs w:val="20"/>
          <w:rtl/>
        </w:rPr>
        <w:t>משנה</w:t>
      </w:r>
      <w:r>
        <w:rPr>
          <w:rFonts w:hint="cs"/>
          <w:sz w:val="20"/>
          <w:szCs w:val="20"/>
          <w:rtl/>
        </w:rPr>
        <w:t xml:space="preserve">. השאילה חלוקה לגויה או לנידה, תולה בה. </w:t>
      </w:r>
      <w:r w:rsidRPr="002D3C06">
        <w:rPr>
          <w:rFonts w:hint="cs"/>
          <w:b/>
          <w:bCs/>
          <w:sz w:val="20"/>
          <w:szCs w:val="20"/>
          <w:rtl/>
        </w:rPr>
        <w:t>גמרא</w:t>
      </w:r>
      <w:r>
        <w:rPr>
          <w:rFonts w:hint="cs"/>
          <w:sz w:val="20"/>
          <w:szCs w:val="20"/>
          <w:rtl/>
        </w:rPr>
        <w:t xml:space="preserve">. </w:t>
      </w:r>
      <w:r w:rsidRPr="002D3C06">
        <w:rPr>
          <w:rFonts w:hint="cs"/>
          <w:sz w:val="20"/>
          <w:szCs w:val="20"/>
          <w:u w:val="single"/>
          <w:rtl/>
        </w:rPr>
        <w:t>רב</w:t>
      </w:r>
      <w:r>
        <w:rPr>
          <w:rFonts w:hint="cs"/>
          <w:sz w:val="20"/>
          <w:szCs w:val="20"/>
          <w:rtl/>
        </w:rPr>
        <w:t>. תולה דווקא בגויה שרואה דם.</w:t>
      </w:r>
      <w:r>
        <w:rPr>
          <w:sz w:val="20"/>
          <w:szCs w:val="20"/>
          <w:rtl/>
        </w:rPr>
        <w:br/>
      </w:r>
      <w:r>
        <w:rPr>
          <w:rFonts w:hint="cs"/>
          <w:sz w:val="20"/>
          <w:szCs w:val="20"/>
          <w:rtl/>
        </w:rPr>
        <w:t xml:space="preserve">2. מהי כוונת רב. </w:t>
      </w:r>
      <w:r w:rsidRPr="002D3C06">
        <w:rPr>
          <w:rFonts w:hint="cs"/>
          <w:b/>
          <w:bCs/>
          <w:sz w:val="20"/>
          <w:szCs w:val="20"/>
          <w:rtl/>
        </w:rPr>
        <w:t>רש"י ורשב"א</w:t>
      </w:r>
      <w:r>
        <w:rPr>
          <w:rFonts w:hint="cs"/>
          <w:sz w:val="20"/>
          <w:szCs w:val="20"/>
          <w:rtl/>
        </w:rPr>
        <w:t xml:space="preserve">. תולה בגויה שהגיעה ליב' שנה וראתה בעבר, וכ"פ </w:t>
      </w:r>
      <w:r w:rsidRPr="002D3C06">
        <w:rPr>
          <w:rFonts w:hint="cs"/>
          <w:b/>
          <w:bCs/>
          <w:sz w:val="20"/>
          <w:szCs w:val="20"/>
          <w:rtl/>
        </w:rPr>
        <w:t>המחבר</w:t>
      </w:r>
      <w:r>
        <w:rPr>
          <w:rFonts w:hint="cs"/>
          <w:sz w:val="20"/>
          <w:szCs w:val="20"/>
          <w:rtl/>
        </w:rPr>
        <w:t xml:space="preserve">. </w:t>
      </w:r>
      <w:r>
        <w:rPr>
          <w:sz w:val="20"/>
          <w:szCs w:val="20"/>
          <w:rtl/>
        </w:rPr>
        <w:br/>
      </w:r>
      <w:r w:rsidRPr="002D3C06">
        <w:rPr>
          <w:rFonts w:hint="cs"/>
          <w:b/>
          <w:bCs/>
          <w:sz w:val="20"/>
          <w:szCs w:val="20"/>
          <w:rtl/>
        </w:rPr>
        <w:t>רמב"ם</w:t>
      </w:r>
      <w:r>
        <w:rPr>
          <w:rFonts w:hint="cs"/>
          <w:sz w:val="20"/>
          <w:szCs w:val="20"/>
          <w:rtl/>
        </w:rPr>
        <w:t xml:space="preserve"> </w:t>
      </w:r>
      <w:r w:rsidRPr="00E85C74">
        <w:rPr>
          <w:rFonts w:hint="cs"/>
          <w:sz w:val="18"/>
          <w:szCs w:val="18"/>
          <w:rtl/>
        </w:rPr>
        <w:t xml:space="preserve">(להבנת </w:t>
      </w:r>
      <w:r w:rsidRPr="002D3C06">
        <w:rPr>
          <w:rFonts w:hint="cs"/>
          <w:b/>
          <w:bCs/>
          <w:sz w:val="18"/>
          <w:szCs w:val="18"/>
          <w:rtl/>
        </w:rPr>
        <w:t>ב"י</w:t>
      </w:r>
      <w:r w:rsidRPr="00E85C74">
        <w:rPr>
          <w:rFonts w:hint="cs"/>
          <w:sz w:val="18"/>
          <w:szCs w:val="18"/>
          <w:rtl/>
        </w:rPr>
        <w:t>)</w:t>
      </w:r>
      <w:r>
        <w:rPr>
          <w:rFonts w:hint="cs"/>
          <w:sz w:val="20"/>
          <w:szCs w:val="20"/>
          <w:rtl/>
        </w:rPr>
        <w:t xml:space="preserve">. תולה רק בגויה שרואה כעת </w:t>
      </w:r>
      <w:r w:rsidRPr="00E85C74">
        <w:rPr>
          <w:rFonts w:hint="cs"/>
          <w:sz w:val="18"/>
          <w:szCs w:val="18"/>
          <w:rtl/>
        </w:rPr>
        <w:t xml:space="preserve">(להבנת </w:t>
      </w:r>
      <w:r w:rsidRPr="002D3C06">
        <w:rPr>
          <w:rFonts w:hint="cs"/>
          <w:b/>
          <w:bCs/>
          <w:sz w:val="18"/>
          <w:szCs w:val="18"/>
          <w:rtl/>
        </w:rPr>
        <w:t>המגיד משנה</w:t>
      </w:r>
      <w:r w:rsidRPr="00E85C74">
        <w:rPr>
          <w:rFonts w:hint="cs"/>
          <w:sz w:val="18"/>
          <w:szCs w:val="18"/>
          <w:rtl/>
        </w:rPr>
        <w:t xml:space="preserve"> תולה בכל גויה שראתה ועדיין לא טבלה)</w:t>
      </w:r>
      <w:r>
        <w:rPr>
          <w:rFonts w:hint="cs"/>
          <w:sz w:val="20"/>
          <w:szCs w:val="20"/>
          <w:rtl/>
        </w:rPr>
        <w:t>.</w:t>
      </w:r>
      <w:r>
        <w:rPr>
          <w:rFonts w:hint="cs"/>
          <w:sz w:val="20"/>
          <w:szCs w:val="20"/>
          <w:rtl/>
        </w:rPr>
        <w:br/>
        <w:t xml:space="preserve">3. מי תולה. </w:t>
      </w:r>
      <w:r w:rsidRPr="002D3C06">
        <w:rPr>
          <w:rFonts w:hint="cs"/>
          <w:b/>
          <w:bCs/>
          <w:sz w:val="20"/>
          <w:szCs w:val="20"/>
          <w:rtl/>
        </w:rPr>
        <w:t>ב"י</w:t>
      </w:r>
      <w:r>
        <w:rPr>
          <w:rFonts w:hint="cs"/>
          <w:sz w:val="20"/>
          <w:szCs w:val="20"/>
          <w:rtl/>
        </w:rPr>
        <w:t>. בין כשהיא טהורה ובין כשהיא בספירת ז' נקיים, תולה.</w:t>
      </w:r>
      <w:r>
        <w:rPr>
          <w:sz w:val="20"/>
          <w:szCs w:val="20"/>
          <w:rtl/>
        </w:rPr>
        <w:br/>
      </w:r>
      <w:r>
        <w:rPr>
          <w:rFonts w:hint="cs"/>
          <w:sz w:val="20"/>
          <w:szCs w:val="20"/>
          <w:rtl/>
        </w:rPr>
        <w:t xml:space="preserve">4. </w:t>
      </w:r>
      <w:r w:rsidRPr="002D3C06">
        <w:rPr>
          <w:rFonts w:hint="cs"/>
          <w:b/>
          <w:bCs/>
          <w:sz w:val="20"/>
          <w:szCs w:val="20"/>
          <w:rtl/>
        </w:rPr>
        <w:t>מחבר</w:t>
      </w:r>
      <w:r>
        <w:rPr>
          <w:rFonts w:hint="cs"/>
          <w:sz w:val="20"/>
          <w:szCs w:val="20"/>
          <w:rtl/>
        </w:rPr>
        <w:t xml:space="preserve">. השאילה חלוקה לישראלית נידה או לגויה שראתה והגיעה לגיל שרואה, תולה בה, בין אם לבשה את החלוק לפניה ובין אם לבשתו אחריה. ואפילו בז' נקיים תולה. </w:t>
      </w:r>
      <w:r w:rsidRPr="002D3C06">
        <w:rPr>
          <w:rFonts w:hint="cs"/>
          <w:b/>
          <w:bCs/>
          <w:sz w:val="20"/>
          <w:szCs w:val="20"/>
          <w:rtl/>
        </w:rPr>
        <w:t>רמ"א</w:t>
      </w:r>
      <w:r>
        <w:rPr>
          <w:rFonts w:hint="cs"/>
          <w:sz w:val="20"/>
          <w:szCs w:val="20"/>
          <w:rtl/>
        </w:rPr>
        <w:t xml:space="preserve">. בג' הראשונים לז"נ אינה תולה. </w:t>
      </w:r>
      <w:r>
        <w:rPr>
          <w:b/>
          <w:bCs/>
          <w:sz w:val="20"/>
          <w:szCs w:val="20"/>
          <w:rtl/>
        </w:rPr>
        <w:br/>
      </w:r>
      <w:r w:rsidRPr="002D3C06">
        <w:rPr>
          <w:rFonts w:hint="cs"/>
          <w:b/>
          <w:bCs/>
          <w:sz w:val="20"/>
          <w:szCs w:val="20"/>
          <w:rtl/>
        </w:rPr>
        <w:t>ש"ך</w:t>
      </w:r>
      <w:r>
        <w:rPr>
          <w:rFonts w:hint="cs"/>
          <w:sz w:val="20"/>
          <w:szCs w:val="20"/>
          <w:rtl/>
        </w:rPr>
        <w:t>. בכתם קטן מגריס אף הרמ"א מקל.</w:t>
      </w:r>
    </w:p>
    <w:p w:rsidR="00620060" w:rsidRDefault="00620060" w:rsidP="00620060">
      <w:pPr>
        <w:rPr>
          <w:b/>
          <w:bCs/>
          <w:sz w:val="20"/>
          <w:szCs w:val="20"/>
          <w:rtl/>
        </w:rPr>
      </w:pPr>
      <w:r>
        <w:rPr>
          <w:sz w:val="20"/>
          <w:szCs w:val="20"/>
          <w:rtl/>
        </w:rPr>
        <w:br/>
      </w:r>
      <w:r>
        <w:rPr>
          <w:rFonts w:hint="cs"/>
          <w:b/>
          <w:bCs/>
          <w:sz w:val="20"/>
          <w:szCs w:val="20"/>
          <w:rtl/>
        </w:rPr>
        <w:t xml:space="preserve">סעיף מב </w:t>
      </w:r>
      <w:r>
        <w:rPr>
          <w:b/>
          <w:bCs/>
          <w:sz w:val="20"/>
          <w:szCs w:val="20"/>
          <w:rtl/>
        </w:rPr>
        <w:t>–</w:t>
      </w:r>
      <w:r>
        <w:rPr>
          <w:rFonts w:hint="cs"/>
          <w:b/>
          <w:bCs/>
          <w:sz w:val="20"/>
          <w:szCs w:val="20"/>
          <w:rtl/>
        </w:rPr>
        <w:t xml:space="preserve"> השאילה חלוקה לנשים נוספות</w:t>
      </w:r>
      <w:r>
        <w:rPr>
          <w:b/>
          <w:bCs/>
          <w:sz w:val="20"/>
          <w:szCs w:val="20"/>
          <w:rtl/>
        </w:rPr>
        <w:br/>
      </w:r>
      <w:r>
        <w:rPr>
          <w:rFonts w:hint="cs"/>
          <w:b/>
          <w:bCs/>
          <w:sz w:val="20"/>
          <w:szCs w:val="20"/>
          <w:rtl/>
        </w:rPr>
        <w:t xml:space="preserve">השאילה חלוקה לקטנה ונערה שנבעלו וליושבת על דם טוהר </w:t>
      </w:r>
      <w:r>
        <w:rPr>
          <w:b/>
          <w:bCs/>
          <w:sz w:val="20"/>
          <w:szCs w:val="20"/>
          <w:rtl/>
        </w:rPr>
        <w:t>–</w:t>
      </w:r>
      <w:r>
        <w:rPr>
          <w:rFonts w:hint="cs"/>
          <w:b/>
          <w:bCs/>
          <w:sz w:val="20"/>
          <w:szCs w:val="20"/>
          <w:rtl/>
        </w:rPr>
        <w:t xml:space="preserve"> מקור הדין</w:t>
      </w:r>
      <w:r>
        <w:rPr>
          <w:b/>
          <w:bCs/>
          <w:sz w:val="20"/>
          <w:szCs w:val="20"/>
          <w:rtl/>
        </w:rPr>
        <w:br/>
      </w:r>
      <w:r>
        <w:rPr>
          <w:rFonts w:hint="cs"/>
          <w:b/>
          <w:bCs/>
          <w:sz w:val="20"/>
          <w:szCs w:val="20"/>
          <w:rtl/>
        </w:rPr>
        <w:t xml:space="preserve">גמרא </w:t>
      </w:r>
      <w:r>
        <w:rPr>
          <w:rFonts w:hint="cs"/>
          <w:sz w:val="20"/>
          <w:szCs w:val="20"/>
          <w:rtl/>
        </w:rPr>
        <w:t xml:space="preserve">נידה (ס.) </w:t>
      </w:r>
      <w:r w:rsidRPr="006A441C">
        <w:rPr>
          <w:rFonts w:hint="cs"/>
          <w:sz w:val="20"/>
          <w:szCs w:val="20"/>
          <w:rtl/>
        </w:rPr>
        <w:t>"</w:t>
      </w:r>
      <w:r w:rsidRPr="006A441C">
        <w:rPr>
          <w:rFonts w:cs="Arial"/>
          <w:sz w:val="20"/>
          <w:szCs w:val="20"/>
          <w:rtl/>
        </w:rPr>
        <w:t>ושוין שתולה ביושבת על דם טוהר, ובבתולה שדמיה טהורין</w:t>
      </w:r>
      <w:r>
        <w:rPr>
          <w:rFonts w:cs="Arial" w:hint="cs"/>
          <w:sz w:val="20"/>
          <w:szCs w:val="20"/>
          <w:rtl/>
        </w:rPr>
        <w:t>"</w:t>
      </w:r>
      <w:r w:rsidRPr="006A441C">
        <w:rPr>
          <w:rFonts w:cs="Arial"/>
          <w:sz w:val="20"/>
          <w:szCs w:val="20"/>
          <w:rtl/>
        </w:rPr>
        <w:t>.</w:t>
      </w:r>
    </w:p>
    <w:p w:rsidR="00620060" w:rsidRDefault="00620060" w:rsidP="00620060">
      <w:pPr>
        <w:rPr>
          <w:sz w:val="20"/>
          <w:szCs w:val="20"/>
          <w:rtl/>
        </w:rPr>
      </w:pPr>
      <w:r>
        <w:rPr>
          <w:rFonts w:hint="cs"/>
          <w:sz w:val="20"/>
          <w:szCs w:val="20"/>
          <w:u w:val="single"/>
          <w:rtl/>
        </w:rPr>
        <w:t>הסבר</w:t>
      </w:r>
      <w:r>
        <w:rPr>
          <w:sz w:val="20"/>
          <w:szCs w:val="20"/>
          <w:u w:val="single"/>
          <w:rtl/>
        </w:rPr>
        <w:br/>
      </w:r>
      <w:r w:rsidRPr="0095403F">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כוונת הגמרא היא שיש לתלות את הכתם בקטנה שנבעלה עד שתחיה המכה, וכן יש לתלות את הכתם בנערה שנבעלה כל ארבע לילות שאחר הבעילה. </w:t>
      </w:r>
      <w:r>
        <w:rPr>
          <w:rFonts w:hint="cs"/>
          <w:sz w:val="20"/>
          <w:szCs w:val="20"/>
          <w:rtl/>
        </w:rPr>
        <w:br/>
      </w:r>
      <w:r w:rsidRPr="0007495E">
        <w:rPr>
          <w:rFonts w:hint="cs"/>
          <w:b/>
          <w:bCs/>
          <w:sz w:val="20"/>
          <w:szCs w:val="20"/>
          <w:rtl/>
        </w:rPr>
        <w:t>טעם</w:t>
      </w:r>
      <w:r>
        <w:rPr>
          <w:rFonts w:hint="cs"/>
          <w:sz w:val="20"/>
          <w:szCs w:val="20"/>
          <w:rtl/>
        </w:rPr>
        <w:t xml:space="preserve"> - באיסורי דרבנן אומרים את סברת 'שאני אומר', כלומר מקלים לומר שלא קיים כאן איסור, ומה שנדמה כאיסור שייך לדבר שממילא אין האיסור מזיק לו, ועיין הערה.</w:t>
      </w:r>
      <w:r>
        <w:rPr>
          <w:rStyle w:val="a5"/>
          <w:sz w:val="20"/>
          <w:szCs w:val="20"/>
          <w:rtl/>
        </w:rPr>
        <w:footnoteReference w:id="335"/>
      </w:r>
      <w:r>
        <w:rPr>
          <w:sz w:val="20"/>
          <w:szCs w:val="20"/>
          <w:rtl/>
        </w:rPr>
        <w:br/>
      </w:r>
      <w:r>
        <w:rPr>
          <w:rFonts w:hint="cs"/>
          <w:sz w:val="20"/>
          <w:szCs w:val="20"/>
          <w:rtl/>
        </w:rPr>
        <w:t>ואע"פ שכיום נוהגים להחמיר ולפרוש לאחר בעילת מצווה, מכל מקום לעניין הצלה על חברתה לא החמירו.</w:t>
      </w:r>
    </w:p>
    <w:p w:rsidR="00620060" w:rsidRDefault="00620060" w:rsidP="00620060">
      <w:pPr>
        <w:rPr>
          <w:sz w:val="20"/>
          <w:szCs w:val="20"/>
          <w:rtl/>
        </w:rPr>
      </w:pPr>
      <w:r w:rsidRPr="0007495E">
        <w:rPr>
          <w:rFonts w:hint="cs"/>
          <w:b/>
          <w:bCs/>
          <w:sz w:val="20"/>
          <w:szCs w:val="20"/>
          <w:rtl/>
        </w:rPr>
        <w:t xml:space="preserve">תלייה ביושבת על דם טוהר </w:t>
      </w:r>
      <w:r w:rsidRPr="0007495E">
        <w:rPr>
          <w:b/>
          <w:bCs/>
          <w:sz w:val="20"/>
          <w:szCs w:val="20"/>
          <w:rtl/>
        </w:rPr>
        <w:t>–</w:t>
      </w:r>
      <w:r w:rsidRPr="0007495E">
        <w:rPr>
          <w:rFonts w:hint="cs"/>
          <w:b/>
          <w:bCs/>
          <w:sz w:val="20"/>
          <w:szCs w:val="20"/>
          <w:rtl/>
        </w:rPr>
        <w:t xml:space="preserve"> שיטות הראשונים</w:t>
      </w:r>
      <w:r>
        <w:rPr>
          <w:rFonts w:hint="cs"/>
          <w:sz w:val="20"/>
          <w:szCs w:val="20"/>
          <w:u w:val="single"/>
          <w:rtl/>
        </w:rPr>
        <w:br/>
      </w:r>
      <w:r>
        <w:rPr>
          <w:rFonts w:hint="cs"/>
          <w:sz w:val="20"/>
          <w:szCs w:val="20"/>
          <w:rtl/>
        </w:rPr>
        <w:t>בזמנינו שאין נוהגים לבעול על דם טוהר, האם יש לתלות את הכתם ביושבת על דם טוהר?</w:t>
      </w:r>
      <w:r>
        <w:rPr>
          <w:b/>
          <w:bCs/>
          <w:sz w:val="20"/>
          <w:szCs w:val="20"/>
          <w:rtl/>
        </w:rPr>
        <w:br/>
      </w:r>
      <w:r>
        <w:rPr>
          <w:rFonts w:hint="cs"/>
          <w:sz w:val="20"/>
          <w:szCs w:val="20"/>
          <w:rtl/>
        </w:rPr>
        <w:t xml:space="preserve">א. </w:t>
      </w:r>
      <w:r w:rsidRPr="00760898">
        <w:rPr>
          <w:rFonts w:hint="cs"/>
          <w:b/>
          <w:bCs/>
          <w:sz w:val="20"/>
          <w:szCs w:val="20"/>
          <w:rtl/>
        </w:rPr>
        <w:t>ראב"ד</w:t>
      </w:r>
      <w:r>
        <w:rPr>
          <w:rFonts w:hint="cs"/>
          <w:sz w:val="20"/>
          <w:szCs w:val="20"/>
          <w:rtl/>
        </w:rPr>
        <w:t xml:space="preserve"> </w:t>
      </w:r>
      <w:r>
        <w:rPr>
          <w:sz w:val="20"/>
          <w:szCs w:val="20"/>
          <w:rtl/>
        </w:rPr>
        <w:t>–</w:t>
      </w:r>
      <w:r>
        <w:rPr>
          <w:rFonts w:hint="cs"/>
          <w:sz w:val="20"/>
          <w:szCs w:val="20"/>
          <w:rtl/>
        </w:rPr>
        <w:t xml:space="preserve"> כן.</w:t>
      </w:r>
      <w:r>
        <w:rPr>
          <w:sz w:val="20"/>
          <w:szCs w:val="20"/>
          <w:rtl/>
        </w:rPr>
        <w:br/>
      </w:r>
      <w:r w:rsidRPr="00760898">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בנות ישראל החמירו על עצמן בלבד, אך לא החמירו שלא יצילו על חברתן.</w:t>
      </w:r>
      <w:r>
        <w:rPr>
          <w:rFonts w:hint="cs"/>
          <w:sz w:val="20"/>
          <w:szCs w:val="20"/>
          <w:rtl/>
        </w:rPr>
        <w:br/>
        <w:t xml:space="preserve">ב. </w:t>
      </w:r>
      <w:r w:rsidRPr="00760898">
        <w:rPr>
          <w:rFonts w:hint="cs"/>
          <w:b/>
          <w:bCs/>
          <w:sz w:val="20"/>
          <w:szCs w:val="20"/>
          <w:rtl/>
        </w:rPr>
        <w:t>רמב"ן</w:t>
      </w:r>
      <w:r>
        <w:rPr>
          <w:rFonts w:hint="cs"/>
          <w:sz w:val="20"/>
          <w:szCs w:val="20"/>
          <w:rtl/>
        </w:rPr>
        <w:t xml:space="preserve"> </w:t>
      </w:r>
      <w:r>
        <w:rPr>
          <w:sz w:val="20"/>
          <w:szCs w:val="20"/>
          <w:rtl/>
        </w:rPr>
        <w:t>–</w:t>
      </w:r>
      <w:r>
        <w:rPr>
          <w:rFonts w:hint="cs"/>
          <w:sz w:val="20"/>
          <w:szCs w:val="20"/>
          <w:rtl/>
        </w:rPr>
        <w:t xml:space="preserve"> לא.</w:t>
      </w:r>
      <w:r>
        <w:rPr>
          <w:sz w:val="20"/>
          <w:szCs w:val="20"/>
          <w:rtl/>
        </w:rPr>
        <w:br/>
      </w:r>
      <w:r w:rsidRPr="00760898">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אסור לבעול על דם טוהר, ודינו כשאר דם.</w:t>
      </w:r>
      <w:r>
        <w:rPr>
          <w:rStyle w:val="a5"/>
          <w:sz w:val="20"/>
          <w:szCs w:val="20"/>
          <w:rtl/>
        </w:rPr>
        <w:footnoteReference w:id="336"/>
      </w:r>
      <w:r>
        <w:rPr>
          <w:rFonts w:hint="cs"/>
          <w:sz w:val="20"/>
          <w:szCs w:val="20"/>
          <w:rtl/>
        </w:rPr>
        <w:br/>
      </w:r>
      <w:r>
        <w:rPr>
          <w:rFonts w:cs="Arial"/>
          <w:b/>
          <w:bCs/>
          <w:sz w:val="20"/>
          <w:szCs w:val="20"/>
          <w:rtl/>
        </w:rPr>
        <w:br/>
      </w:r>
      <w:r>
        <w:rPr>
          <w:rFonts w:cs="Arial" w:hint="cs"/>
          <w:b/>
          <w:bCs/>
          <w:sz w:val="20"/>
          <w:szCs w:val="20"/>
          <w:rtl/>
        </w:rPr>
        <w:lastRenderedPageBreak/>
        <w:t>פסיקת הלכה</w:t>
      </w:r>
      <w:r>
        <w:rPr>
          <w:rFonts w:cs="Arial"/>
          <w:b/>
          <w:bCs/>
          <w:sz w:val="20"/>
          <w:szCs w:val="20"/>
          <w:rtl/>
        </w:rPr>
        <w:br/>
      </w:r>
      <w:r>
        <w:rPr>
          <w:rFonts w:cs="Arial" w:hint="cs"/>
          <w:b/>
          <w:bCs/>
          <w:sz w:val="20"/>
          <w:szCs w:val="20"/>
          <w:rtl/>
        </w:rPr>
        <w:t xml:space="preserve">שולחן ערוך </w:t>
      </w:r>
      <w:r>
        <w:rPr>
          <w:rFonts w:cs="Arial"/>
          <w:sz w:val="20"/>
          <w:szCs w:val="20"/>
          <w:rtl/>
        </w:rPr>
        <w:t>–</w:t>
      </w:r>
      <w:r>
        <w:rPr>
          <w:rFonts w:hint="cs"/>
          <w:sz w:val="20"/>
          <w:szCs w:val="20"/>
          <w:rtl/>
        </w:rPr>
        <w:t xml:space="preserve"> "</w:t>
      </w:r>
      <w:r w:rsidRPr="0095403F">
        <w:rPr>
          <w:rFonts w:cs="Arial"/>
          <w:sz w:val="20"/>
          <w:szCs w:val="20"/>
          <w:rtl/>
        </w:rPr>
        <w:t>השאילתו לקטנה, שלא ראתה מעולם</w:t>
      </w:r>
      <w:r>
        <w:rPr>
          <w:rStyle w:val="a5"/>
          <w:rFonts w:cs="Arial"/>
          <w:sz w:val="20"/>
          <w:szCs w:val="20"/>
          <w:rtl/>
        </w:rPr>
        <w:footnoteReference w:id="337"/>
      </w:r>
      <w:r w:rsidRPr="0095403F">
        <w:rPr>
          <w:rFonts w:cs="Arial"/>
          <w:sz w:val="20"/>
          <w:szCs w:val="20"/>
          <w:rtl/>
        </w:rPr>
        <w:t>, ולבשתו קטנה זו לאחר שנבעלה קודם שחיתה המכה, או שהשאילתו לנערה שלא ראתה, ולבשתו תוך ארבעה לילות לבעילתה, או שהשאילתו ליושבת על דם טוהר, תולה בהן ואפילו בזמן הזה</w:t>
      </w:r>
      <w:r>
        <w:rPr>
          <w:rFonts w:cs="Arial" w:hint="cs"/>
          <w:sz w:val="20"/>
          <w:szCs w:val="20"/>
          <w:rtl/>
        </w:rPr>
        <w:t>".</w:t>
      </w:r>
    </w:p>
    <w:p w:rsidR="00620060" w:rsidRDefault="00620060" w:rsidP="00620060">
      <w:pPr>
        <w:rPr>
          <w:rFonts w:cs="Arial"/>
          <w:sz w:val="20"/>
          <w:szCs w:val="20"/>
          <w:rtl/>
        </w:rPr>
      </w:pPr>
      <w:r>
        <w:rPr>
          <w:rFonts w:hint="cs"/>
          <w:b/>
          <w:bCs/>
          <w:sz w:val="20"/>
          <w:szCs w:val="20"/>
          <w:rtl/>
        </w:rPr>
        <w:t>השאילה חלוקה לסופרת ז' שלא טבלה</w:t>
      </w:r>
      <w:r>
        <w:rPr>
          <w:b/>
          <w:bCs/>
          <w:sz w:val="20"/>
          <w:szCs w:val="20"/>
          <w:rtl/>
        </w:rPr>
        <w:br/>
      </w:r>
      <w:r>
        <w:rPr>
          <w:rFonts w:hint="cs"/>
          <w:b/>
          <w:bCs/>
          <w:sz w:val="20"/>
          <w:szCs w:val="20"/>
          <w:rtl/>
        </w:rPr>
        <w:t xml:space="preserve">גמרא </w:t>
      </w:r>
      <w:r>
        <w:rPr>
          <w:rFonts w:hint="cs"/>
          <w:sz w:val="20"/>
          <w:szCs w:val="20"/>
          <w:rtl/>
        </w:rPr>
        <w:t>(שם) "</w:t>
      </w:r>
      <w:r>
        <w:rPr>
          <w:rFonts w:cs="Arial" w:hint="cs"/>
          <w:sz w:val="20"/>
          <w:szCs w:val="20"/>
          <w:rtl/>
        </w:rPr>
        <w:t>תנו רבנן:</w:t>
      </w:r>
      <w:r w:rsidRPr="00D45373">
        <w:rPr>
          <w:rFonts w:cs="Arial"/>
          <w:sz w:val="20"/>
          <w:szCs w:val="20"/>
          <w:rtl/>
        </w:rPr>
        <w:t xml:space="preserve"> תולה בשומרת יום כנגד יום בשני שלה, ובסופרת שבעה שלא טבלה. לפיכך היא - מתוקנת. וחברתה - מקולקלת, דברי </w:t>
      </w:r>
      <w:r>
        <w:rPr>
          <w:rFonts w:cs="Arial" w:hint="cs"/>
          <w:sz w:val="20"/>
          <w:szCs w:val="20"/>
          <w:rtl/>
        </w:rPr>
        <w:t>רבן שמעון בן גמליאל</w:t>
      </w:r>
      <w:r w:rsidRPr="00D45373">
        <w:rPr>
          <w:rFonts w:cs="Arial"/>
          <w:sz w:val="20"/>
          <w:szCs w:val="20"/>
          <w:rtl/>
        </w:rPr>
        <w:t>. רבי אומר: אינה תולה, לפיכך שתיהן מקולקלות</w:t>
      </w:r>
      <w:r>
        <w:rPr>
          <w:rFonts w:cs="Arial" w:hint="cs"/>
          <w:sz w:val="20"/>
          <w:szCs w:val="20"/>
          <w:rtl/>
        </w:rPr>
        <w:t>"</w:t>
      </w:r>
      <w:r w:rsidRPr="00D45373">
        <w:rPr>
          <w:rFonts w:cs="Arial"/>
          <w:sz w:val="20"/>
          <w:szCs w:val="20"/>
          <w:rtl/>
        </w:rPr>
        <w:t xml:space="preserve">.  </w:t>
      </w:r>
    </w:p>
    <w:p w:rsidR="00620060" w:rsidRDefault="00620060" w:rsidP="00620060">
      <w:pPr>
        <w:rPr>
          <w:sz w:val="20"/>
          <w:szCs w:val="20"/>
          <w:rtl/>
        </w:rPr>
      </w:pPr>
      <w:r>
        <w:rPr>
          <w:rFonts w:cs="Arial" w:hint="cs"/>
          <w:sz w:val="20"/>
          <w:szCs w:val="20"/>
          <w:u w:val="single"/>
          <w:rtl/>
        </w:rPr>
        <w:t>הסבר</w:t>
      </w:r>
      <w:r>
        <w:rPr>
          <w:rFonts w:cs="Arial"/>
          <w:sz w:val="20"/>
          <w:szCs w:val="20"/>
          <w:u w:val="single"/>
          <w:rtl/>
        </w:rPr>
        <w:br/>
      </w:r>
      <w:r w:rsidRPr="00D45373">
        <w:rPr>
          <w:rFonts w:cs="Arial" w:hint="cs"/>
          <w:sz w:val="20"/>
          <w:szCs w:val="20"/>
          <w:u w:val="single"/>
          <w:rtl/>
        </w:rPr>
        <w:t>רשב"ג</w:t>
      </w:r>
      <w:r>
        <w:rPr>
          <w:rFonts w:cs="Arial" w:hint="cs"/>
          <w:sz w:val="20"/>
          <w:szCs w:val="20"/>
          <w:rtl/>
        </w:rPr>
        <w:t xml:space="preserve"> </w:t>
      </w:r>
      <w:r>
        <w:rPr>
          <w:rFonts w:cs="Arial"/>
          <w:sz w:val="20"/>
          <w:szCs w:val="20"/>
          <w:rtl/>
        </w:rPr>
        <w:t>–</w:t>
      </w:r>
      <w:r>
        <w:rPr>
          <w:rFonts w:cs="Arial" w:hint="cs"/>
          <w:sz w:val="20"/>
          <w:szCs w:val="20"/>
          <w:rtl/>
        </w:rPr>
        <w:t xml:space="preserve"> תולים את הקלקלה במקולקל, ואע"פ שהיא נמצאת לאחר ז' ובידה לטבול, מכל מקום כל זמן שלא טבלה היא מחוסרת מעשה ותולים בה את הכתם, כמו שאר דיני דרבנן שאומרים בהם את סברת 'שאני אומר'.</w:t>
      </w:r>
      <w:r>
        <w:rPr>
          <w:sz w:val="20"/>
          <w:szCs w:val="20"/>
          <w:rtl/>
        </w:rPr>
        <w:br/>
      </w:r>
      <w:r w:rsidRPr="00D45373">
        <w:rPr>
          <w:rFonts w:hint="cs"/>
          <w:sz w:val="20"/>
          <w:szCs w:val="20"/>
          <w:u w:val="single"/>
          <w:rtl/>
        </w:rPr>
        <w:t>רבי</w:t>
      </w:r>
      <w:r>
        <w:rPr>
          <w:rFonts w:hint="cs"/>
          <w:sz w:val="20"/>
          <w:szCs w:val="20"/>
          <w:rtl/>
        </w:rPr>
        <w:t xml:space="preserve"> </w:t>
      </w:r>
      <w:r>
        <w:rPr>
          <w:sz w:val="20"/>
          <w:szCs w:val="20"/>
          <w:rtl/>
        </w:rPr>
        <w:t>–</w:t>
      </w:r>
      <w:r>
        <w:rPr>
          <w:rFonts w:hint="cs"/>
          <w:sz w:val="20"/>
          <w:szCs w:val="20"/>
          <w:rtl/>
        </w:rPr>
        <w:t xml:space="preserve"> כיוון שחברתה מתקלקלת ע"י שתולים בה, מה ראית לתלות בה יותר מבעלת החלוק? ולכן שתיהן מקולקלות. </w:t>
      </w:r>
    </w:p>
    <w:p w:rsidR="00620060" w:rsidRDefault="00620060" w:rsidP="00620060">
      <w:pPr>
        <w:rPr>
          <w:sz w:val="20"/>
          <w:szCs w:val="20"/>
          <w:rtl/>
        </w:rPr>
      </w:pPr>
      <w:r w:rsidRPr="005930EA">
        <w:rPr>
          <w:rFonts w:hint="cs"/>
          <w:b/>
          <w:bCs/>
          <w:sz w:val="20"/>
          <w:szCs w:val="20"/>
          <w:rtl/>
        </w:rPr>
        <w:t>שיטות הראשונים</w:t>
      </w:r>
      <w:r>
        <w:rPr>
          <w:sz w:val="20"/>
          <w:szCs w:val="20"/>
          <w:u w:val="single"/>
          <w:rtl/>
        </w:rPr>
        <w:br/>
      </w:r>
      <w:r>
        <w:rPr>
          <w:rFonts w:hint="cs"/>
          <w:sz w:val="20"/>
          <w:szCs w:val="20"/>
          <w:rtl/>
        </w:rPr>
        <w:t xml:space="preserve">א. </w:t>
      </w:r>
      <w:r w:rsidRPr="00EB6EB7">
        <w:rPr>
          <w:rFonts w:hint="cs"/>
          <w:b/>
          <w:bCs/>
          <w:sz w:val="20"/>
          <w:szCs w:val="20"/>
          <w:rtl/>
        </w:rPr>
        <w:t>רא"ש ורמב"ן</w:t>
      </w:r>
      <w:r>
        <w:rPr>
          <w:rFonts w:hint="cs"/>
          <w:sz w:val="20"/>
          <w:szCs w:val="20"/>
          <w:rtl/>
        </w:rPr>
        <w:t xml:space="preserve"> </w:t>
      </w:r>
      <w:r>
        <w:rPr>
          <w:sz w:val="20"/>
          <w:szCs w:val="20"/>
          <w:rtl/>
        </w:rPr>
        <w:t>–</w:t>
      </w:r>
      <w:r>
        <w:rPr>
          <w:rFonts w:hint="cs"/>
          <w:sz w:val="20"/>
          <w:szCs w:val="20"/>
          <w:rtl/>
        </w:rPr>
        <w:t xml:space="preserve"> היא מתוקנת וחברתה מקולקלת, כרשב"ג.</w:t>
      </w:r>
      <w:r>
        <w:rPr>
          <w:sz w:val="20"/>
          <w:szCs w:val="20"/>
          <w:rtl/>
        </w:rPr>
        <w:br/>
      </w:r>
      <w:r w:rsidRPr="00EB6EB7">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כתמים דרבנן ואזלינן לקולא.</w:t>
      </w:r>
      <w:r>
        <w:rPr>
          <w:sz w:val="20"/>
          <w:szCs w:val="20"/>
          <w:rtl/>
        </w:rPr>
        <w:br/>
      </w:r>
      <w:r>
        <w:rPr>
          <w:rFonts w:hint="cs"/>
          <w:sz w:val="20"/>
          <w:szCs w:val="20"/>
          <w:rtl/>
        </w:rPr>
        <w:t xml:space="preserve">ב. </w:t>
      </w:r>
      <w:r w:rsidRPr="00EB6EB7">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שתיהן מקולקלות, כרבי.</w:t>
      </w:r>
      <w:r>
        <w:rPr>
          <w:sz w:val="20"/>
          <w:szCs w:val="20"/>
          <w:rtl/>
        </w:rPr>
        <w:br/>
      </w:r>
      <w:r w:rsidRPr="00EB6EB7">
        <w:rPr>
          <w:rFonts w:hint="cs"/>
          <w:b/>
          <w:bCs/>
          <w:sz w:val="20"/>
          <w:szCs w:val="20"/>
          <w:rtl/>
        </w:rPr>
        <w:t xml:space="preserve">טעם </w:t>
      </w:r>
      <w:r>
        <w:rPr>
          <w:sz w:val="20"/>
          <w:szCs w:val="20"/>
          <w:rtl/>
        </w:rPr>
        <w:t>–</w:t>
      </w:r>
      <w:r>
        <w:rPr>
          <w:rFonts w:hint="cs"/>
          <w:sz w:val="20"/>
          <w:szCs w:val="20"/>
          <w:rtl/>
        </w:rPr>
        <w:t xml:space="preserve"> קיי"ל שהלכה כרבי מחברו.</w:t>
      </w:r>
    </w:p>
    <w:p w:rsidR="00620060" w:rsidRDefault="00620060" w:rsidP="00620060">
      <w:pPr>
        <w:rPr>
          <w:sz w:val="20"/>
          <w:szCs w:val="20"/>
          <w:rtl/>
        </w:rPr>
      </w:pPr>
      <w:r>
        <w:rPr>
          <w:rFonts w:cs="Arial" w:hint="cs"/>
          <w:b/>
          <w:bCs/>
          <w:sz w:val="20"/>
          <w:szCs w:val="20"/>
          <w:rtl/>
        </w:rPr>
        <w:t>פסיקת הלכה</w:t>
      </w:r>
      <w:r>
        <w:rPr>
          <w:rFonts w:cs="Arial"/>
          <w:b/>
          <w:bCs/>
          <w:sz w:val="20"/>
          <w:szCs w:val="20"/>
          <w:rtl/>
        </w:rPr>
        <w:br/>
      </w:r>
      <w:r>
        <w:rPr>
          <w:rFonts w:cs="Arial" w:hint="cs"/>
          <w:b/>
          <w:bCs/>
          <w:sz w:val="20"/>
          <w:szCs w:val="20"/>
          <w:rtl/>
        </w:rPr>
        <w:t xml:space="preserve">שולחן ערוך </w:t>
      </w:r>
      <w:r>
        <w:rPr>
          <w:rFonts w:cs="Arial"/>
          <w:sz w:val="20"/>
          <w:szCs w:val="20"/>
          <w:rtl/>
        </w:rPr>
        <w:t>–</w:t>
      </w:r>
      <w:r>
        <w:rPr>
          <w:rFonts w:hint="cs"/>
          <w:sz w:val="20"/>
          <w:szCs w:val="20"/>
          <w:rtl/>
        </w:rPr>
        <w:t xml:space="preserve"> "</w:t>
      </w:r>
      <w:r w:rsidRPr="00EB6EB7">
        <w:rPr>
          <w:rFonts w:cs="Arial"/>
          <w:sz w:val="20"/>
          <w:szCs w:val="20"/>
          <w:rtl/>
        </w:rPr>
        <w:t>וכן אם השאילתו לסופרת ז' שלא טבלה, תולה בה ובעלת החל</w:t>
      </w:r>
      <w:r>
        <w:rPr>
          <w:rFonts w:cs="Arial"/>
          <w:sz w:val="20"/>
          <w:szCs w:val="20"/>
          <w:rtl/>
        </w:rPr>
        <w:t>וק טהורה, וחברתה ששאלתו מקולקלת</w:t>
      </w:r>
      <w:r>
        <w:rPr>
          <w:rFonts w:cs="Arial" w:hint="cs"/>
          <w:sz w:val="20"/>
          <w:szCs w:val="20"/>
          <w:rtl/>
        </w:rPr>
        <w:t>".</w:t>
      </w:r>
      <w:r>
        <w:rPr>
          <w:sz w:val="20"/>
          <w:szCs w:val="20"/>
          <w:rtl/>
        </w:rPr>
        <w:br/>
      </w:r>
      <w:r w:rsidRPr="00F014A7">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"וחברתה מקולקלת", היינו שסותרת כל מה שספרה עד עכשיו.</w:t>
      </w:r>
    </w:p>
    <w:p w:rsidR="00620060" w:rsidRPr="00CE2622" w:rsidRDefault="00620060" w:rsidP="00620060">
      <w:pPr>
        <w:rPr>
          <w:sz w:val="20"/>
          <w:szCs w:val="20"/>
          <w:rtl/>
        </w:rPr>
      </w:pPr>
      <w:r>
        <w:rPr>
          <w:rFonts w:hint="cs"/>
          <w:sz w:val="20"/>
          <w:szCs w:val="20"/>
          <w:u w:val="single"/>
          <w:rtl/>
        </w:rPr>
        <w:t>תלייה במי שסיימה ז' נקיים אך לא טבלה (פת"ש)</w:t>
      </w:r>
      <w:r>
        <w:rPr>
          <w:sz w:val="20"/>
          <w:szCs w:val="20"/>
          <w:u w:val="single"/>
          <w:rtl/>
        </w:rPr>
        <w:br/>
      </w:r>
      <w:r w:rsidRPr="00CE2622">
        <w:rPr>
          <w:rFonts w:hint="cs"/>
          <w:b/>
          <w:bCs/>
          <w:sz w:val="20"/>
          <w:szCs w:val="20"/>
          <w:rtl/>
        </w:rPr>
        <w:t>משנה למלך</w:t>
      </w:r>
      <w:r>
        <w:rPr>
          <w:rFonts w:hint="cs"/>
          <w:sz w:val="20"/>
          <w:szCs w:val="20"/>
          <w:rtl/>
        </w:rPr>
        <w:t xml:space="preserve"> </w:t>
      </w:r>
      <w:r>
        <w:rPr>
          <w:sz w:val="20"/>
          <w:szCs w:val="20"/>
          <w:rtl/>
        </w:rPr>
        <w:t>–</w:t>
      </w:r>
      <w:r>
        <w:rPr>
          <w:rFonts w:hint="cs"/>
          <w:sz w:val="20"/>
          <w:szCs w:val="20"/>
          <w:rtl/>
        </w:rPr>
        <w:t xml:space="preserve"> אין תולים כתם במי שגמרה ספירת ז' נקיים ועדיין לא טבלה.</w:t>
      </w:r>
      <w:r>
        <w:rPr>
          <w:sz w:val="20"/>
          <w:szCs w:val="20"/>
          <w:rtl/>
        </w:rPr>
        <w:br/>
      </w:r>
      <w:r w:rsidRPr="00CE2622">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טומאתה הראשונה פקעה ממנה, אלא שגזרת הכתוב היא שצריכה לטבול, ואם תולים בה את הכתם הרי שמוסיפים עליה טומאה חדשה ומה ראית לתלות בה יותר מחברתה? ולכן שתיהן מקולקלות. </w:t>
      </w:r>
      <w:r>
        <w:rPr>
          <w:sz w:val="20"/>
          <w:szCs w:val="20"/>
          <w:rtl/>
        </w:rPr>
        <w:br/>
      </w:r>
      <w:r>
        <w:rPr>
          <w:rFonts w:hint="cs"/>
          <w:sz w:val="20"/>
          <w:szCs w:val="20"/>
          <w:rtl/>
        </w:rPr>
        <w:t xml:space="preserve">מעיר </w:t>
      </w:r>
      <w:r w:rsidRPr="00892C1C">
        <w:rPr>
          <w:rFonts w:hint="cs"/>
          <w:b/>
          <w:bCs/>
          <w:sz w:val="20"/>
          <w:szCs w:val="20"/>
          <w:rtl/>
        </w:rPr>
        <w:t>רעק"א</w:t>
      </w:r>
      <w:r>
        <w:rPr>
          <w:rFonts w:hint="cs"/>
          <w:sz w:val="20"/>
          <w:szCs w:val="20"/>
          <w:rtl/>
        </w:rPr>
        <w:t xml:space="preserve"> </w:t>
      </w:r>
      <w:r>
        <w:rPr>
          <w:sz w:val="20"/>
          <w:szCs w:val="20"/>
          <w:rtl/>
        </w:rPr>
        <w:t>–</w:t>
      </w:r>
      <w:r>
        <w:rPr>
          <w:rFonts w:hint="cs"/>
          <w:sz w:val="20"/>
          <w:szCs w:val="20"/>
          <w:rtl/>
        </w:rPr>
        <w:t xml:space="preserve"> למרות הנ"ל, יש לתלות בנערה פנויה אע"פ שייתכן שכבר כמה שבועות לא ראתה.</w:t>
      </w:r>
      <w:r>
        <w:rPr>
          <w:sz w:val="20"/>
          <w:szCs w:val="20"/>
          <w:rtl/>
        </w:rPr>
        <w:br/>
      </w:r>
      <w:r w:rsidRPr="00892C1C">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כיוון שלא ספרה לכוונת ז' נקיים ואין דעתה לטבול, ממילא תליית הכתם אינה מוסיפה לה טומאה.</w:t>
      </w:r>
    </w:p>
    <w:p w:rsidR="00620060" w:rsidRDefault="00620060" w:rsidP="00620060">
      <w:pPr>
        <w:rPr>
          <w:sz w:val="20"/>
          <w:szCs w:val="20"/>
          <w:rtl/>
        </w:rPr>
      </w:pPr>
      <w:r w:rsidRPr="002853D2">
        <w:rPr>
          <w:rFonts w:hint="cs"/>
          <w:b/>
          <w:bCs/>
          <w:sz w:val="20"/>
          <w:szCs w:val="20"/>
          <w:rtl/>
        </w:rPr>
        <w:t>סיכום</w:t>
      </w:r>
      <w:r>
        <w:rPr>
          <w:sz w:val="20"/>
          <w:szCs w:val="20"/>
          <w:rtl/>
        </w:rPr>
        <w:br/>
      </w:r>
      <w:r>
        <w:rPr>
          <w:rFonts w:hint="cs"/>
          <w:sz w:val="20"/>
          <w:szCs w:val="20"/>
          <w:rtl/>
        </w:rPr>
        <w:t xml:space="preserve">1. </w:t>
      </w:r>
      <w:r w:rsidRPr="002853D2">
        <w:rPr>
          <w:rFonts w:hint="cs"/>
          <w:b/>
          <w:bCs/>
          <w:sz w:val="20"/>
          <w:szCs w:val="20"/>
          <w:rtl/>
        </w:rPr>
        <w:t>גמרא</w:t>
      </w:r>
      <w:r>
        <w:rPr>
          <w:rFonts w:hint="cs"/>
          <w:sz w:val="20"/>
          <w:szCs w:val="20"/>
          <w:rtl/>
        </w:rPr>
        <w:t xml:space="preserve">. לכו"ע יש לתלות כתם ביושבת על דם טוהר ובבתולה שנבעלה ודמיה טהורים. </w:t>
      </w:r>
      <w:r>
        <w:rPr>
          <w:sz w:val="20"/>
          <w:szCs w:val="20"/>
          <w:rtl/>
        </w:rPr>
        <w:br/>
      </w:r>
      <w:r>
        <w:rPr>
          <w:rFonts w:hint="cs"/>
          <w:sz w:val="20"/>
          <w:szCs w:val="20"/>
          <w:rtl/>
        </w:rPr>
        <w:t xml:space="preserve">2. </w:t>
      </w:r>
      <w:r w:rsidRPr="007B6411">
        <w:rPr>
          <w:rFonts w:hint="cs"/>
          <w:b/>
          <w:bCs/>
          <w:sz w:val="20"/>
          <w:szCs w:val="20"/>
          <w:rtl/>
        </w:rPr>
        <w:t>רשב"א</w:t>
      </w:r>
      <w:r>
        <w:rPr>
          <w:rFonts w:hint="cs"/>
          <w:sz w:val="20"/>
          <w:szCs w:val="20"/>
          <w:rtl/>
        </w:rPr>
        <w:t xml:space="preserve">. בקטנה עד שתחיה המכה, בנערה עד ד' לילות. </w:t>
      </w:r>
      <w:r w:rsidRPr="009502C3">
        <w:rPr>
          <w:rFonts w:hint="cs"/>
          <w:b/>
          <w:bCs/>
          <w:sz w:val="20"/>
          <w:szCs w:val="20"/>
          <w:rtl/>
        </w:rPr>
        <w:t>טעם</w:t>
      </w:r>
      <w:r>
        <w:rPr>
          <w:rFonts w:hint="cs"/>
          <w:sz w:val="20"/>
          <w:szCs w:val="20"/>
          <w:rtl/>
        </w:rPr>
        <w:t>. יש להקל באיסורי דרבנן ולומר 'שאני אומר'. ואע"פ שהחמירו לפרוש לאחר בעילת מצווה, מכל מקום לא החמירו שלא תציל על חבתרה.</w:t>
      </w:r>
      <w:r>
        <w:rPr>
          <w:sz w:val="20"/>
          <w:szCs w:val="20"/>
          <w:rtl/>
        </w:rPr>
        <w:br/>
      </w:r>
      <w:r>
        <w:rPr>
          <w:rFonts w:hint="cs"/>
          <w:sz w:val="20"/>
          <w:szCs w:val="20"/>
          <w:rtl/>
        </w:rPr>
        <w:t>3</w:t>
      </w:r>
      <w:r w:rsidRPr="009502C3">
        <w:rPr>
          <w:rFonts w:hint="cs"/>
          <w:sz w:val="20"/>
          <w:szCs w:val="20"/>
          <w:rtl/>
        </w:rPr>
        <w:t xml:space="preserve">. האם תולים כיום ביושבת על דם טוהר? </w:t>
      </w:r>
      <w:r w:rsidRPr="009502C3">
        <w:rPr>
          <w:rFonts w:hint="cs"/>
          <w:b/>
          <w:bCs/>
          <w:sz w:val="20"/>
          <w:szCs w:val="20"/>
          <w:rtl/>
        </w:rPr>
        <w:t>ראב</w:t>
      </w:r>
      <w:r w:rsidRPr="002212A8">
        <w:rPr>
          <w:rFonts w:hint="cs"/>
          <w:b/>
          <w:bCs/>
          <w:sz w:val="20"/>
          <w:szCs w:val="20"/>
          <w:rtl/>
        </w:rPr>
        <w:t>"ד</w:t>
      </w:r>
      <w:r>
        <w:rPr>
          <w:rFonts w:hint="cs"/>
          <w:sz w:val="20"/>
          <w:szCs w:val="20"/>
          <w:rtl/>
        </w:rPr>
        <w:t xml:space="preserve">. כן, וכ"פ </w:t>
      </w:r>
      <w:r w:rsidRPr="002212A8">
        <w:rPr>
          <w:rFonts w:hint="cs"/>
          <w:b/>
          <w:bCs/>
          <w:sz w:val="20"/>
          <w:szCs w:val="20"/>
          <w:rtl/>
        </w:rPr>
        <w:t>המחבר</w:t>
      </w:r>
      <w:r>
        <w:rPr>
          <w:rFonts w:hint="cs"/>
          <w:sz w:val="20"/>
          <w:szCs w:val="20"/>
          <w:rtl/>
        </w:rPr>
        <w:t xml:space="preserve">. </w:t>
      </w:r>
      <w:r w:rsidRPr="002212A8">
        <w:rPr>
          <w:rFonts w:hint="cs"/>
          <w:b/>
          <w:bCs/>
          <w:sz w:val="20"/>
          <w:szCs w:val="20"/>
          <w:rtl/>
        </w:rPr>
        <w:t>טעם</w:t>
      </w:r>
      <w:r>
        <w:rPr>
          <w:rFonts w:hint="cs"/>
          <w:sz w:val="20"/>
          <w:szCs w:val="20"/>
          <w:rtl/>
        </w:rPr>
        <w:t xml:space="preserve">. לא החמירו שלא יצילו על חברתה. </w:t>
      </w:r>
      <w:r w:rsidRPr="002212A8">
        <w:rPr>
          <w:rFonts w:hint="cs"/>
          <w:b/>
          <w:bCs/>
          <w:sz w:val="20"/>
          <w:szCs w:val="20"/>
          <w:rtl/>
        </w:rPr>
        <w:t>רמב"ן</w:t>
      </w:r>
      <w:r>
        <w:rPr>
          <w:rFonts w:hint="cs"/>
          <w:sz w:val="20"/>
          <w:szCs w:val="20"/>
          <w:rtl/>
        </w:rPr>
        <w:t xml:space="preserve">. לא. </w:t>
      </w:r>
      <w:r w:rsidRPr="002212A8">
        <w:rPr>
          <w:rFonts w:hint="cs"/>
          <w:b/>
          <w:bCs/>
          <w:sz w:val="20"/>
          <w:szCs w:val="20"/>
          <w:rtl/>
        </w:rPr>
        <w:t>טעם</w:t>
      </w:r>
      <w:r>
        <w:rPr>
          <w:rFonts w:hint="cs"/>
          <w:sz w:val="20"/>
          <w:szCs w:val="20"/>
          <w:rtl/>
        </w:rPr>
        <w:t xml:space="preserve">. אסור לבעול על דם טוהר. </w:t>
      </w:r>
      <w:r w:rsidRPr="009502C3">
        <w:rPr>
          <w:rFonts w:hint="cs"/>
          <w:b/>
          <w:bCs/>
          <w:sz w:val="20"/>
          <w:szCs w:val="20"/>
          <w:rtl/>
        </w:rPr>
        <w:t>רמב"ם</w:t>
      </w:r>
      <w:r>
        <w:rPr>
          <w:rFonts w:hint="cs"/>
          <w:sz w:val="20"/>
          <w:szCs w:val="20"/>
          <w:rtl/>
        </w:rPr>
        <w:t xml:space="preserve"> </w:t>
      </w:r>
      <w:r w:rsidRPr="009502C3">
        <w:rPr>
          <w:rFonts w:hint="cs"/>
          <w:sz w:val="18"/>
          <w:szCs w:val="18"/>
          <w:rtl/>
        </w:rPr>
        <w:t xml:space="preserve">(ע"פ </w:t>
      </w:r>
      <w:r w:rsidRPr="009502C3">
        <w:rPr>
          <w:rFonts w:hint="cs"/>
          <w:b/>
          <w:bCs/>
          <w:sz w:val="18"/>
          <w:szCs w:val="18"/>
          <w:rtl/>
        </w:rPr>
        <w:t>הב"י</w:t>
      </w:r>
      <w:r w:rsidRPr="009502C3">
        <w:rPr>
          <w:rFonts w:hint="cs"/>
          <w:sz w:val="18"/>
          <w:szCs w:val="18"/>
          <w:rtl/>
        </w:rPr>
        <w:t>)</w:t>
      </w:r>
      <w:r>
        <w:rPr>
          <w:rFonts w:hint="cs"/>
          <w:sz w:val="20"/>
          <w:szCs w:val="20"/>
          <w:rtl/>
        </w:rPr>
        <w:t>. אף במקום שנהגו איסור, תולה בדם טוהר.</w:t>
      </w:r>
      <w:r>
        <w:rPr>
          <w:sz w:val="20"/>
          <w:szCs w:val="20"/>
          <w:rtl/>
        </w:rPr>
        <w:br/>
      </w:r>
      <w:r>
        <w:rPr>
          <w:rFonts w:hint="cs"/>
          <w:sz w:val="20"/>
          <w:szCs w:val="20"/>
          <w:rtl/>
        </w:rPr>
        <w:t xml:space="preserve">4. </w:t>
      </w:r>
      <w:r w:rsidRPr="002212A8">
        <w:rPr>
          <w:rFonts w:hint="cs"/>
          <w:b/>
          <w:bCs/>
          <w:sz w:val="20"/>
          <w:szCs w:val="20"/>
          <w:rtl/>
        </w:rPr>
        <w:t>מחבר</w:t>
      </w:r>
      <w:r>
        <w:rPr>
          <w:rFonts w:hint="cs"/>
          <w:sz w:val="20"/>
          <w:szCs w:val="20"/>
          <w:rtl/>
        </w:rPr>
        <w:t>. השאילה לקטנה או לנערה שנבעלו, תולה בהן, וכן תולה ביושבת על דם טוהר.</w:t>
      </w:r>
      <w:r>
        <w:rPr>
          <w:sz w:val="20"/>
          <w:szCs w:val="20"/>
          <w:rtl/>
        </w:rPr>
        <w:br/>
      </w:r>
      <w:r>
        <w:rPr>
          <w:rFonts w:hint="cs"/>
          <w:sz w:val="20"/>
          <w:szCs w:val="20"/>
          <w:rtl/>
        </w:rPr>
        <w:t xml:space="preserve">5. </w:t>
      </w:r>
      <w:r w:rsidRPr="002212A8">
        <w:rPr>
          <w:rFonts w:hint="cs"/>
          <w:b/>
          <w:bCs/>
          <w:sz w:val="20"/>
          <w:szCs w:val="20"/>
          <w:rtl/>
        </w:rPr>
        <w:t>גמרא</w:t>
      </w:r>
      <w:r>
        <w:rPr>
          <w:rFonts w:hint="cs"/>
          <w:sz w:val="20"/>
          <w:szCs w:val="20"/>
          <w:rtl/>
        </w:rPr>
        <w:t xml:space="preserve">. האם תולה בסופרת ז'? </w:t>
      </w:r>
      <w:r w:rsidRPr="002212A8">
        <w:rPr>
          <w:rFonts w:hint="cs"/>
          <w:sz w:val="20"/>
          <w:szCs w:val="20"/>
          <w:u w:val="single"/>
          <w:rtl/>
        </w:rPr>
        <w:t>רשב"ג</w:t>
      </w:r>
      <w:r>
        <w:rPr>
          <w:rFonts w:hint="cs"/>
          <w:sz w:val="20"/>
          <w:szCs w:val="20"/>
          <w:rtl/>
        </w:rPr>
        <w:t xml:space="preserve">. כן. </w:t>
      </w:r>
      <w:r w:rsidRPr="002212A8">
        <w:rPr>
          <w:rFonts w:hint="cs"/>
          <w:b/>
          <w:bCs/>
          <w:sz w:val="20"/>
          <w:szCs w:val="20"/>
          <w:rtl/>
        </w:rPr>
        <w:t>טעם</w:t>
      </w:r>
      <w:r>
        <w:rPr>
          <w:rFonts w:hint="cs"/>
          <w:sz w:val="20"/>
          <w:szCs w:val="20"/>
          <w:rtl/>
        </w:rPr>
        <w:t xml:space="preserve">. תולים את הקלקלה במקולקל, והרי היא טמאה. </w:t>
      </w:r>
      <w:r w:rsidRPr="002212A8">
        <w:rPr>
          <w:rFonts w:hint="cs"/>
          <w:sz w:val="20"/>
          <w:szCs w:val="20"/>
          <w:u w:val="single"/>
          <w:rtl/>
        </w:rPr>
        <w:t>רבי</w:t>
      </w:r>
      <w:r>
        <w:rPr>
          <w:rFonts w:hint="cs"/>
          <w:sz w:val="20"/>
          <w:szCs w:val="20"/>
          <w:rtl/>
        </w:rPr>
        <w:t xml:space="preserve">. לא. </w:t>
      </w:r>
      <w:r w:rsidRPr="002212A8">
        <w:rPr>
          <w:rFonts w:hint="cs"/>
          <w:b/>
          <w:bCs/>
          <w:sz w:val="20"/>
          <w:szCs w:val="20"/>
          <w:rtl/>
        </w:rPr>
        <w:t>טעם</w:t>
      </w:r>
      <w:r>
        <w:rPr>
          <w:rFonts w:hint="cs"/>
          <w:sz w:val="20"/>
          <w:szCs w:val="20"/>
          <w:rtl/>
        </w:rPr>
        <w:t>. ע"י התלייה מקלקלים אותה יותר.</w:t>
      </w:r>
      <w:r>
        <w:rPr>
          <w:sz w:val="20"/>
          <w:szCs w:val="20"/>
          <w:rtl/>
        </w:rPr>
        <w:br/>
      </w:r>
      <w:r>
        <w:rPr>
          <w:rFonts w:hint="cs"/>
          <w:sz w:val="20"/>
          <w:szCs w:val="20"/>
          <w:rtl/>
        </w:rPr>
        <w:t xml:space="preserve">6. </w:t>
      </w:r>
      <w:r w:rsidRPr="002853D2">
        <w:rPr>
          <w:rFonts w:hint="cs"/>
          <w:b/>
          <w:bCs/>
          <w:sz w:val="20"/>
          <w:szCs w:val="20"/>
          <w:rtl/>
        </w:rPr>
        <w:t>רא"ש</w:t>
      </w:r>
      <w:r>
        <w:rPr>
          <w:rFonts w:hint="cs"/>
          <w:sz w:val="20"/>
          <w:szCs w:val="20"/>
          <w:rtl/>
        </w:rPr>
        <w:t xml:space="preserve">. תולה, כרשב"ג, וכ"פ </w:t>
      </w:r>
      <w:r w:rsidRPr="002212A8">
        <w:rPr>
          <w:rFonts w:hint="cs"/>
          <w:b/>
          <w:bCs/>
          <w:sz w:val="20"/>
          <w:szCs w:val="20"/>
          <w:rtl/>
        </w:rPr>
        <w:t>המחבר</w:t>
      </w:r>
      <w:r>
        <w:rPr>
          <w:rFonts w:hint="cs"/>
          <w:sz w:val="20"/>
          <w:szCs w:val="20"/>
          <w:rtl/>
        </w:rPr>
        <w:t xml:space="preserve"> שחברתה סותרת כל ז'. </w:t>
      </w:r>
      <w:r w:rsidRPr="002853D2">
        <w:rPr>
          <w:rFonts w:hint="cs"/>
          <w:b/>
          <w:bCs/>
          <w:sz w:val="20"/>
          <w:szCs w:val="20"/>
          <w:rtl/>
        </w:rPr>
        <w:t>רמב"ם</w:t>
      </w:r>
      <w:r>
        <w:rPr>
          <w:rFonts w:hint="cs"/>
          <w:sz w:val="20"/>
          <w:szCs w:val="20"/>
          <w:rtl/>
        </w:rPr>
        <w:t>. אינה תולה, כרבי, ושתיהן מקולקלות.</w:t>
      </w:r>
      <w:r>
        <w:rPr>
          <w:sz w:val="20"/>
          <w:szCs w:val="20"/>
          <w:rtl/>
        </w:rPr>
        <w:br/>
      </w:r>
      <w:r>
        <w:rPr>
          <w:rFonts w:hint="cs"/>
          <w:sz w:val="20"/>
          <w:szCs w:val="20"/>
          <w:rtl/>
        </w:rPr>
        <w:t xml:space="preserve">7. </w:t>
      </w:r>
      <w:r w:rsidRPr="002212A8">
        <w:rPr>
          <w:rFonts w:hint="cs"/>
          <w:b/>
          <w:bCs/>
          <w:sz w:val="20"/>
          <w:szCs w:val="20"/>
          <w:rtl/>
        </w:rPr>
        <w:t>משנה למלך</w:t>
      </w:r>
      <w:r>
        <w:rPr>
          <w:rFonts w:hint="cs"/>
          <w:sz w:val="20"/>
          <w:szCs w:val="20"/>
          <w:rtl/>
        </w:rPr>
        <w:t xml:space="preserve">. אינה תולה במי שסיימה לספור ז' אך עדיין לא טבלה. </w:t>
      </w:r>
      <w:r w:rsidRPr="002853D2">
        <w:rPr>
          <w:rFonts w:hint="cs"/>
          <w:b/>
          <w:bCs/>
          <w:sz w:val="20"/>
          <w:szCs w:val="20"/>
          <w:rtl/>
        </w:rPr>
        <w:t>טעם</w:t>
      </w:r>
      <w:r>
        <w:rPr>
          <w:rFonts w:hint="cs"/>
          <w:sz w:val="20"/>
          <w:szCs w:val="20"/>
          <w:rtl/>
        </w:rPr>
        <w:t xml:space="preserve">. מעיקה"ד טהורה אלא שגזה"כ שצריכה לטבול. </w:t>
      </w:r>
      <w:r w:rsidRPr="002853D2">
        <w:rPr>
          <w:rFonts w:hint="cs"/>
          <w:b/>
          <w:bCs/>
          <w:sz w:val="20"/>
          <w:szCs w:val="20"/>
          <w:rtl/>
        </w:rPr>
        <w:t>רעק"א</w:t>
      </w:r>
      <w:r>
        <w:rPr>
          <w:rFonts w:hint="cs"/>
          <w:sz w:val="20"/>
          <w:szCs w:val="20"/>
          <w:rtl/>
        </w:rPr>
        <w:t xml:space="preserve">. למרות זאת, יש לתלות בפנויה אע"פ שזמן רב לא ראתה, כיוון שאין דעתה לטבול. </w:t>
      </w:r>
    </w:p>
    <w:p w:rsidR="00620060" w:rsidRPr="00CE5D13" w:rsidRDefault="00620060" w:rsidP="00620060">
      <w:pPr>
        <w:rPr>
          <w:sz w:val="18"/>
          <w:szCs w:val="18"/>
          <w:rtl/>
        </w:rPr>
      </w:pPr>
      <w:r>
        <w:rPr>
          <w:sz w:val="20"/>
          <w:szCs w:val="20"/>
          <w:rtl/>
        </w:rPr>
        <w:br/>
      </w:r>
      <w:r>
        <w:rPr>
          <w:rFonts w:hint="cs"/>
          <w:b/>
          <w:bCs/>
          <w:sz w:val="20"/>
          <w:szCs w:val="20"/>
          <w:rtl/>
        </w:rPr>
        <w:t xml:space="preserve">סעיף מג </w:t>
      </w:r>
      <w:r>
        <w:rPr>
          <w:b/>
          <w:bCs/>
          <w:sz w:val="20"/>
          <w:szCs w:val="20"/>
          <w:rtl/>
        </w:rPr>
        <w:t>–</w:t>
      </w:r>
      <w:r>
        <w:rPr>
          <w:rFonts w:hint="cs"/>
          <w:b/>
          <w:bCs/>
          <w:sz w:val="20"/>
          <w:szCs w:val="20"/>
          <w:rtl/>
        </w:rPr>
        <w:t xml:space="preserve"> השאילה חלוקה לבעלת הכתם</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גמרא </w:t>
      </w:r>
      <w:r>
        <w:rPr>
          <w:rFonts w:hint="cs"/>
          <w:sz w:val="20"/>
          <w:szCs w:val="20"/>
          <w:rtl/>
        </w:rPr>
        <w:t>נדה (ס.) "</w:t>
      </w:r>
      <w:r w:rsidRPr="00CE5D13">
        <w:rPr>
          <w:rFonts w:cs="Arial"/>
          <w:sz w:val="20"/>
          <w:szCs w:val="20"/>
          <w:rtl/>
        </w:rPr>
        <w:t>בעא מיניה ר</w:t>
      </w:r>
      <w:r>
        <w:rPr>
          <w:rFonts w:cs="Arial" w:hint="cs"/>
          <w:sz w:val="20"/>
          <w:szCs w:val="20"/>
          <w:rtl/>
        </w:rPr>
        <w:t>בי</w:t>
      </w:r>
      <w:r w:rsidRPr="00CE5D13">
        <w:rPr>
          <w:rFonts w:cs="Arial"/>
          <w:sz w:val="20"/>
          <w:szCs w:val="20"/>
          <w:rtl/>
        </w:rPr>
        <w:t xml:space="preserve"> יוחנן מרבי יהודה בר ליואי: מהו לתלות כתם בכתם</w:t>
      </w:r>
      <w:r>
        <w:rPr>
          <w:rFonts w:cs="Arial" w:hint="cs"/>
          <w:sz w:val="18"/>
          <w:szCs w:val="18"/>
          <w:rtl/>
        </w:rPr>
        <w:t xml:space="preserve"> (רש"י - </w:t>
      </w:r>
      <w:r w:rsidRPr="00CE5D13">
        <w:rPr>
          <w:rFonts w:cs="Arial"/>
          <w:sz w:val="18"/>
          <w:szCs w:val="18"/>
          <w:rtl/>
        </w:rPr>
        <w:t>השאילה חלוקה לבעלת הכתם ואח</w:t>
      </w:r>
      <w:r>
        <w:rPr>
          <w:rFonts w:cs="Arial" w:hint="cs"/>
          <w:sz w:val="18"/>
          <w:szCs w:val="18"/>
          <w:rtl/>
        </w:rPr>
        <w:t xml:space="preserve">ר </w:t>
      </w:r>
      <w:r w:rsidRPr="00CE5D13">
        <w:rPr>
          <w:rFonts w:cs="Arial"/>
          <w:sz w:val="18"/>
          <w:szCs w:val="18"/>
          <w:rtl/>
        </w:rPr>
        <w:t>כ</w:t>
      </w:r>
      <w:r>
        <w:rPr>
          <w:rFonts w:cs="Arial" w:hint="cs"/>
          <w:sz w:val="18"/>
          <w:szCs w:val="18"/>
          <w:rtl/>
        </w:rPr>
        <w:t>ך</w:t>
      </w:r>
      <w:r w:rsidRPr="00CE5D13">
        <w:rPr>
          <w:rFonts w:cs="Arial"/>
          <w:sz w:val="18"/>
          <w:szCs w:val="18"/>
          <w:rtl/>
        </w:rPr>
        <w:t xml:space="preserve"> לבשתה היא</w:t>
      </w:r>
      <w:r>
        <w:rPr>
          <w:rStyle w:val="a5"/>
          <w:rFonts w:cs="Arial"/>
          <w:sz w:val="18"/>
          <w:szCs w:val="18"/>
          <w:rtl/>
        </w:rPr>
        <w:footnoteReference w:id="338"/>
      </w:r>
      <w:r>
        <w:rPr>
          <w:rFonts w:cs="Arial" w:hint="cs"/>
          <w:sz w:val="18"/>
          <w:szCs w:val="18"/>
          <w:rtl/>
        </w:rPr>
        <w:t>,</w:t>
      </w:r>
      <w:r w:rsidRPr="00CE5D13">
        <w:rPr>
          <w:rFonts w:cs="Arial"/>
          <w:sz w:val="18"/>
          <w:szCs w:val="18"/>
          <w:rtl/>
        </w:rPr>
        <w:t xml:space="preserve"> מהו שתתלה בראשונה להיות היא טהורה</w:t>
      </w:r>
      <w:r>
        <w:rPr>
          <w:rFonts w:cs="Arial" w:hint="cs"/>
          <w:sz w:val="18"/>
          <w:szCs w:val="18"/>
          <w:rtl/>
        </w:rPr>
        <w:t>)</w:t>
      </w:r>
      <w:r w:rsidRPr="00CE5D13">
        <w:rPr>
          <w:rFonts w:cs="Arial"/>
          <w:sz w:val="20"/>
          <w:szCs w:val="20"/>
          <w:rtl/>
        </w:rPr>
        <w:t>? א</w:t>
      </w:r>
      <w:r>
        <w:rPr>
          <w:rFonts w:cs="Arial" w:hint="cs"/>
          <w:sz w:val="20"/>
          <w:szCs w:val="20"/>
          <w:rtl/>
        </w:rPr>
        <w:t xml:space="preserve">מר </w:t>
      </w:r>
      <w:r w:rsidRPr="00CE5D13">
        <w:rPr>
          <w:rFonts w:cs="Arial"/>
          <w:sz w:val="20"/>
          <w:szCs w:val="20"/>
          <w:rtl/>
        </w:rPr>
        <w:t>ל</w:t>
      </w:r>
      <w:r>
        <w:rPr>
          <w:rFonts w:cs="Arial" w:hint="cs"/>
          <w:sz w:val="20"/>
          <w:szCs w:val="20"/>
          <w:rtl/>
        </w:rPr>
        <w:t>יה</w:t>
      </w:r>
      <w:r w:rsidRPr="00CE5D13">
        <w:rPr>
          <w:rFonts w:cs="Arial"/>
          <w:sz w:val="20"/>
          <w:szCs w:val="20"/>
          <w:rtl/>
        </w:rPr>
        <w:t>: אין תולין.</w:t>
      </w:r>
      <w:r>
        <w:rPr>
          <w:rFonts w:cs="Arial" w:hint="cs"/>
          <w:sz w:val="20"/>
          <w:szCs w:val="20"/>
          <w:rtl/>
        </w:rPr>
        <w:t xml:space="preserve"> </w:t>
      </w:r>
      <w:r w:rsidRPr="00CE5D13">
        <w:rPr>
          <w:rFonts w:cs="Arial"/>
          <w:sz w:val="20"/>
          <w:szCs w:val="20"/>
          <w:rtl/>
        </w:rPr>
        <w:t xml:space="preserve">מה טעם? </w:t>
      </w:r>
      <w:r w:rsidRPr="00CE5D13">
        <w:rPr>
          <w:rFonts w:cs="Arial"/>
          <w:sz w:val="20"/>
          <w:szCs w:val="20"/>
          <w:rtl/>
        </w:rPr>
        <w:lastRenderedPageBreak/>
        <w:t>לפי שאין תולין.</w:t>
      </w:r>
      <w:r>
        <w:rPr>
          <w:rFonts w:hint="cs"/>
          <w:sz w:val="18"/>
          <w:szCs w:val="18"/>
          <w:rtl/>
        </w:rPr>
        <w:t xml:space="preserve"> (רש"י - </w:t>
      </w:r>
      <w:r w:rsidRPr="00CE5D13">
        <w:rPr>
          <w:rFonts w:cs="Arial"/>
          <w:sz w:val="18"/>
          <w:szCs w:val="18"/>
          <w:rtl/>
        </w:rPr>
        <w:t>דמעלמא אתי לה טומאת כתם קמא ולא בחזקת רואה היא</w:t>
      </w:r>
      <w:r>
        <w:rPr>
          <w:rFonts w:hint="cs"/>
          <w:sz w:val="18"/>
          <w:szCs w:val="18"/>
          <w:rtl/>
        </w:rPr>
        <w:t>)</w:t>
      </w:r>
      <w:r>
        <w:rPr>
          <w:rFonts w:hint="cs"/>
          <w:sz w:val="20"/>
          <w:szCs w:val="20"/>
          <w:rtl/>
        </w:rPr>
        <w:t>".</w:t>
      </w:r>
      <w:r>
        <w:rPr>
          <w:rFonts w:hint="cs"/>
          <w:sz w:val="18"/>
          <w:szCs w:val="18"/>
          <w:rtl/>
        </w:rPr>
        <w:br/>
      </w:r>
      <w:r>
        <w:rPr>
          <w:rFonts w:hint="cs"/>
          <w:b/>
          <w:bCs/>
          <w:sz w:val="20"/>
          <w:szCs w:val="20"/>
          <w:rtl/>
        </w:rPr>
        <w:t>רמב"ן</w:t>
      </w:r>
      <w:r w:rsidRPr="00CE5D13">
        <w:rPr>
          <w:rFonts w:hint="cs"/>
          <w:sz w:val="20"/>
          <w:szCs w:val="20"/>
          <w:rtl/>
        </w:rPr>
        <w:t xml:space="preserve"> </w:t>
      </w:r>
      <w:r w:rsidRPr="00CE5D13">
        <w:rPr>
          <w:sz w:val="20"/>
          <w:szCs w:val="20"/>
          <w:rtl/>
        </w:rPr>
        <w:t>–</w:t>
      </w:r>
      <w:r w:rsidRPr="00CE5D13">
        <w:rPr>
          <w:rFonts w:hint="cs"/>
          <w:sz w:val="20"/>
          <w:szCs w:val="20"/>
          <w:rtl/>
        </w:rPr>
        <w:t xml:space="preserve"> כל שכן אם השאילה חלוקה לאשה טהורה ואחר כך </w:t>
      </w:r>
      <w:r>
        <w:rPr>
          <w:rFonts w:hint="cs"/>
          <w:sz w:val="20"/>
          <w:szCs w:val="20"/>
          <w:rtl/>
        </w:rPr>
        <w:t>מצאה בו כתם</w:t>
      </w:r>
      <w:r w:rsidRPr="00CE5D13">
        <w:rPr>
          <w:rFonts w:hint="cs"/>
          <w:sz w:val="20"/>
          <w:szCs w:val="20"/>
          <w:rtl/>
        </w:rPr>
        <w:t>, ששתיהן חוששות וטמאות.</w:t>
      </w:r>
    </w:p>
    <w:p w:rsidR="00620060" w:rsidRDefault="00620060" w:rsidP="00620060">
      <w:pPr>
        <w:rPr>
          <w:sz w:val="20"/>
          <w:szCs w:val="20"/>
          <w:rtl/>
        </w:rPr>
      </w:pPr>
      <w:r>
        <w:rPr>
          <w:rFonts w:cs="Arial" w:hint="cs"/>
          <w:b/>
          <w:bCs/>
          <w:sz w:val="20"/>
          <w:szCs w:val="20"/>
          <w:rtl/>
        </w:rPr>
        <w:t>פסיקת הלכה</w:t>
      </w:r>
      <w:r>
        <w:rPr>
          <w:rFonts w:cs="Arial"/>
          <w:b/>
          <w:bCs/>
          <w:sz w:val="20"/>
          <w:szCs w:val="20"/>
          <w:rtl/>
        </w:rPr>
        <w:br/>
      </w:r>
      <w:r>
        <w:rPr>
          <w:rFonts w:cs="Arial" w:hint="cs"/>
          <w:b/>
          <w:bCs/>
          <w:sz w:val="20"/>
          <w:szCs w:val="20"/>
          <w:rtl/>
        </w:rPr>
        <w:t xml:space="preserve">שולחן ערוך </w:t>
      </w:r>
      <w:r>
        <w:rPr>
          <w:rFonts w:cs="Arial"/>
          <w:sz w:val="20"/>
          <w:szCs w:val="20"/>
          <w:rtl/>
        </w:rPr>
        <w:t>–</w:t>
      </w:r>
      <w:r>
        <w:rPr>
          <w:rFonts w:hint="cs"/>
          <w:sz w:val="20"/>
          <w:szCs w:val="20"/>
          <w:rtl/>
        </w:rPr>
        <w:t xml:space="preserve"> "</w:t>
      </w:r>
      <w:r w:rsidRPr="00CE5D13">
        <w:rPr>
          <w:rFonts w:cs="Arial"/>
          <w:sz w:val="20"/>
          <w:szCs w:val="20"/>
          <w:rtl/>
        </w:rPr>
        <w:t>השאילתו לבעלת הכתם, בין שהיתה יושבת כבר על הכתם קודם שאלה בין שראתה כתם בחלוק אחר לאחר ששאלה את זה</w:t>
      </w:r>
      <w:r>
        <w:rPr>
          <w:rStyle w:val="a5"/>
          <w:rFonts w:cs="Arial"/>
          <w:sz w:val="20"/>
          <w:szCs w:val="20"/>
          <w:rtl/>
        </w:rPr>
        <w:footnoteReference w:id="339"/>
      </w:r>
      <w:r w:rsidRPr="00CE5D13">
        <w:rPr>
          <w:rFonts w:cs="Arial"/>
          <w:sz w:val="20"/>
          <w:szCs w:val="20"/>
          <w:rtl/>
        </w:rPr>
        <w:t>, אין תולות זו בזו ולא זו בזו ושתיהן צריכות לחוש. וכל שכן אם השאילתו לטהורה, וחזרה ולבשתו, ששתיהן צריכות לחוש</w:t>
      </w:r>
      <w:r>
        <w:rPr>
          <w:rStyle w:val="a5"/>
          <w:rFonts w:cs="Arial"/>
          <w:sz w:val="20"/>
          <w:szCs w:val="20"/>
          <w:rtl/>
        </w:rPr>
        <w:footnoteReference w:id="340"/>
      </w:r>
      <w:r>
        <w:rPr>
          <w:rFonts w:hint="cs"/>
          <w:sz w:val="20"/>
          <w:szCs w:val="20"/>
          <w:rtl/>
        </w:rPr>
        <w:t>".</w:t>
      </w:r>
    </w:p>
    <w:p w:rsidR="00620060" w:rsidRDefault="00620060" w:rsidP="00620060">
      <w:pPr>
        <w:rPr>
          <w:sz w:val="20"/>
          <w:szCs w:val="20"/>
          <w:rtl/>
        </w:rPr>
      </w:pPr>
      <w:r>
        <w:rPr>
          <w:rFonts w:hint="cs"/>
          <w:sz w:val="20"/>
          <w:szCs w:val="20"/>
          <w:u w:val="single"/>
          <w:rtl/>
        </w:rPr>
        <w:t>הסבר</w:t>
      </w:r>
      <w:r>
        <w:rPr>
          <w:sz w:val="20"/>
          <w:szCs w:val="20"/>
          <w:u w:val="single"/>
          <w:rtl/>
        </w:rPr>
        <w:br/>
      </w:r>
      <w:r>
        <w:rPr>
          <w:rFonts w:hint="cs"/>
          <w:sz w:val="20"/>
          <w:szCs w:val="20"/>
          <w:rtl/>
        </w:rPr>
        <w:t>"וחזרה ולבשתו"</w:t>
      </w:r>
      <w:r>
        <w:rPr>
          <w:rFonts w:hint="cs"/>
          <w:sz w:val="20"/>
          <w:szCs w:val="20"/>
          <w:rtl/>
        </w:rPr>
        <w:br/>
      </w:r>
      <w:r w:rsidRPr="007750F4">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אם הראשונה לא בדקה את החלוק לפני ההשאלה, אפילו אם לא חזרה ולבשתו שתיהן טמאות. </w:t>
      </w:r>
      <w:r>
        <w:rPr>
          <w:sz w:val="18"/>
          <w:szCs w:val="18"/>
          <w:rtl/>
        </w:rPr>
        <w:br/>
      </w:r>
      <w:r w:rsidRPr="007750F4">
        <w:rPr>
          <w:rFonts w:hint="cs"/>
          <w:sz w:val="18"/>
          <w:szCs w:val="18"/>
          <w:rtl/>
        </w:rPr>
        <w:t>(ואם כן מדוע כתב המחבר שחזרה ולבשה? רצה לחדש שאע"פ שהחלוק אצל הראשונה, מכל מקום גם השנייה טמאה).</w:t>
      </w:r>
      <w:r>
        <w:rPr>
          <w:sz w:val="20"/>
          <w:szCs w:val="20"/>
          <w:rtl/>
        </w:rPr>
        <w:br/>
      </w:r>
      <w:r>
        <w:rPr>
          <w:rFonts w:hint="cs"/>
          <w:sz w:val="20"/>
          <w:szCs w:val="20"/>
          <w:rtl/>
        </w:rPr>
        <w:t>אמנם, אם בדקה את החלוק לפני ההשאלה, המשאילה טמאה מחמת הכתם רק אם חזרה ולבשה.</w:t>
      </w:r>
    </w:p>
    <w:p w:rsidR="00620060"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75487A">
        <w:rPr>
          <w:rFonts w:hint="cs"/>
          <w:b/>
          <w:bCs/>
          <w:sz w:val="20"/>
          <w:szCs w:val="20"/>
          <w:rtl/>
        </w:rPr>
        <w:t>גמרא</w:t>
      </w:r>
      <w:r>
        <w:rPr>
          <w:rFonts w:hint="cs"/>
          <w:sz w:val="20"/>
          <w:szCs w:val="20"/>
          <w:rtl/>
        </w:rPr>
        <w:t xml:space="preserve">. השאילה חלוקה לבעלת הכתם ומצאה בו כתם אחר כך, שתיהן טמאות. </w:t>
      </w:r>
      <w:r w:rsidRPr="00251470">
        <w:rPr>
          <w:rFonts w:hint="cs"/>
          <w:b/>
          <w:bCs/>
          <w:sz w:val="20"/>
          <w:szCs w:val="20"/>
          <w:rtl/>
        </w:rPr>
        <w:t>טעם</w:t>
      </w:r>
      <w:r>
        <w:rPr>
          <w:rFonts w:hint="cs"/>
          <w:sz w:val="20"/>
          <w:szCs w:val="20"/>
          <w:rtl/>
        </w:rPr>
        <w:t xml:space="preserve">. טומאת כתם היא בספק בלבד ולכן אין לתלות בה. </w:t>
      </w:r>
      <w:r w:rsidRPr="0075487A">
        <w:rPr>
          <w:rFonts w:hint="cs"/>
          <w:b/>
          <w:bCs/>
          <w:sz w:val="20"/>
          <w:szCs w:val="20"/>
          <w:rtl/>
        </w:rPr>
        <w:t>רמב"ן</w:t>
      </w:r>
      <w:r>
        <w:rPr>
          <w:rFonts w:hint="cs"/>
          <w:sz w:val="20"/>
          <w:szCs w:val="20"/>
          <w:rtl/>
        </w:rPr>
        <w:t>. כל שכן אם השאילה חלוקה לטהורה ומצאה כתם ששתיהן טמאות.</w:t>
      </w:r>
      <w:r>
        <w:rPr>
          <w:sz w:val="20"/>
          <w:szCs w:val="20"/>
          <w:rtl/>
        </w:rPr>
        <w:br/>
      </w:r>
      <w:r>
        <w:rPr>
          <w:rFonts w:hint="cs"/>
          <w:sz w:val="20"/>
          <w:szCs w:val="20"/>
          <w:rtl/>
        </w:rPr>
        <w:t xml:space="preserve">2. </w:t>
      </w:r>
      <w:r w:rsidRPr="0075487A">
        <w:rPr>
          <w:rFonts w:hint="cs"/>
          <w:b/>
          <w:bCs/>
          <w:sz w:val="20"/>
          <w:szCs w:val="20"/>
          <w:rtl/>
        </w:rPr>
        <w:t>מחבר</w:t>
      </w:r>
      <w:r>
        <w:rPr>
          <w:rFonts w:hint="cs"/>
          <w:sz w:val="20"/>
          <w:szCs w:val="20"/>
          <w:rtl/>
        </w:rPr>
        <w:t>. השאילה חלוקה לבעלת הכתם, בין שישבה מעיקרא על כתם ובין שיושבת לאחר ששאלה, שתיהן טמאות, וכל שכן שאין לתלות כתם בטהורה.</w:t>
      </w:r>
    </w:p>
    <w:p w:rsidR="00620060" w:rsidRDefault="00620060" w:rsidP="00620060">
      <w:pPr>
        <w:rPr>
          <w:sz w:val="20"/>
          <w:szCs w:val="20"/>
          <w:rtl/>
        </w:rPr>
      </w:pPr>
      <w:r>
        <w:rPr>
          <w:sz w:val="20"/>
          <w:szCs w:val="20"/>
          <w:rtl/>
        </w:rPr>
        <w:br/>
      </w:r>
      <w:r>
        <w:rPr>
          <w:rFonts w:hint="cs"/>
          <w:b/>
          <w:bCs/>
          <w:sz w:val="20"/>
          <w:szCs w:val="20"/>
          <w:rtl/>
        </w:rPr>
        <w:t xml:space="preserve">סעיף מד </w:t>
      </w:r>
      <w:r>
        <w:rPr>
          <w:b/>
          <w:bCs/>
          <w:sz w:val="20"/>
          <w:szCs w:val="20"/>
          <w:rtl/>
        </w:rPr>
        <w:t>–</w:t>
      </w:r>
      <w:r>
        <w:rPr>
          <w:rFonts w:hint="cs"/>
          <w:b/>
          <w:bCs/>
          <w:sz w:val="20"/>
          <w:szCs w:val="20"/>
          <w:rtl/>
        </w:rPr>
        <w:t xml:space="preserve"> תליית כתם בחלוק שלבשה בימי נידותה</w:t>
      </w:r>
      <w:r>
        <w:rPr>
          <w:b/>
          <w:bCs/>
          <w:sz w:val="20"/>
          <w:szCs w:val="20"/>
          <w:rtl/>
        </w:rPr>
        <w:br/>
      </w:r>
      <w:r>
        <w:rPr>
          <w:rFonts w:cs="Arial" w:hint="cs"/>
          <w:b/>
          <w:bCs/>
          <w:sz w:val="20"/>
          <w:szCs w:val="20"/>
          <w:rtl/>
        </w:rPr>
        <w:t>פסיקת הלכה</w:t>
      </w:r>
      <w:r>
        <w:rPr>
          <w:rFonts w:cs="Arial"/>
          <w:b/>
          <w:bCs/>
          <w:sz w:val="20"/>
          <w:szCs w:val="20"/>
          <w:rtl/>
        </w:rPr>
        <w:br/>
      </w:r>
      <w:r>
        <w:rPr>
          <w:rFonts w:cs="Arial" w:hint="cs"/>
          <w:b/>
          <w:bCs/>
          <w:sz w:val="20"/>
          <w:szCs w:val="20"/>
          <w:rtl/>
        </w:rPr>
        <w:t xml:space="preserve">שולחן ערוך </w:t>
      </w:r>
      <w:r w:rsidRPr="00D15E3F">
        <w:rPr>
          <w:rFonts w:cs="Arial" w:hint="cs"/>
          <w:sz w:val="18"/>
          <w:szCs w:val="18"/>
          <w:rtl/>
        </w:rPr>
        <w:t xml:space="preserve">(ע"פ הראשונים) </w:t>
      </w:r>
      <w:r>
        <w:rPr>
          <w:rFonts w:cs="Arial"/>
          <w:sz w:val="20"/>
          <w:szCs w:val="20"/>
          <w:rtl/>
        </w:rPr>
        <w:t>–</w:t>
      </w:r>
      <w:r>
        <w:rPr>
          <w:rFonts w:hint="cs"/>
          <w:sz w:val="20"/>
          <w:szCs w:val="20"/>
          <w:rtl/>
        </w:rPr>
        <w:t xml:space="preserve"> "</w:t>
      </w:r>
      <w:r w:rsidRPr="00D15E3F">
        <w:rPr>
          <w:rFonts w:cs="Arial"/>
          <w:sz w:val="20"/>
          <w:szCs w:val="20"/>
          <w:rtl/>
        </w:rPr>
        <w:t>לבשה חלוק בימי נדתה ולא בדקתו, ולבשתו בימי טהרתה ונמ</w:t>
      </w:r>
      <w:r>
        <w:rPr>
          <w:rFonts w:cs="Arial"/>
          <w:sz w:val="20"/>
          <w:szCs w:val="20"/>
          <w:rtl/>
        </w:rPr>
        <w:t>צא בו כתם, תולה שמימי נדותה הוא</w:t>
      </w:r>
      <w:r>
        <w:rPr>
          <w:rFonts w:cs="Arial" w:hint="cs"/>
          <w:sz w:val="20"/>
          <w:szCs w:val="20"/>
          <w:rtl/>
        </w:rPr>
        <w:t>".</w:t>
      </w:r>
      <w:r>
        <w:rPr>
          <w:b/>
          <w:bCs/>
          <w:sz w:val="20"/>
          <w:szCs w:val="20"/>
          <w:rtl/>
        </w:rPr>
        <w:br/>
      </w:r>
      <w:r>
        <w:rPr>
          <w:rFonts w:hint="cs"/>
          <w:b/>
          <w:bCs/>
          <w:sz w:val="20"/>
          <w:szCs w:val="20"/>
          <w:rtl/>
        </w:rPr>
        <w:t xml:space="preserve">ש"ך </w:t>
      </w:r>
      <w:r>
        <w:rPr>
          <w:sz w:val="20"/>
          <w:szCs w:val="20"/>
          <w:rtl/>
        </w:rPr>
        <w:t>–</w:t>
      </w:r>
      <w:r>
        <w:rPr>
          <w:rFonts w:hint="cs"/>
          <w:sz w:val="20"/>
          <w:szCs w:val="20"/>
          <w:rtl/>
        </w:rPr>
        <w:t xml:space="preserve"> אין מדובר בחלוק שלא נבדק כלל, שהרי אם כן אינה טמאה כלל מחמתו, כמבואר לעיל </w:t>
      </w:r>
      <w:r w:rsidRPr="00D15E3F">
        <w:rPr>
          <w:rFonts w:hint="cs"/>
          <w:sz w:val="18"/>
          <w:szCs w:val="18"/>
          <w:rtl/>
        </w:rPr>
        <w:t>(סעיף לט')</w:t>
      </w:r>
      <w:r>
        <w:rPr>
          <w:rFonts w:hint="cs"/>
          <w:sz w:val="20"/>
          <w:szCs w:val="20"/>
          <w:rtl/>
        </w:rPr>
        <w:t xml:space="preserve">, אלא מדובר שבדקתו לפני ימי נידותה. </w:t>
      </w:r>
    </w:p>
    <w:p w:rsidR="00620060" w:rsidRDefault="00620060" w:rsidP="00620060">
      <w:pPr>
        <w:rPr>
          <w:sz w:val="20"/>
          <w:szCs w:val="20"/>
          <w:rtl/>
        </w:rPr>
      </w:pPr>
      <w:r>
        <w:rPr>
          <w:rFonts w:hint="cs"/>
          <w:sz w:val="20"/>
          <w:szCs w:val="20"/>
          <w:u w:val="single"/>
          <w:rtl/>
        </w:rPr>
        <w:t xml:space="preserve">האם תולה גם בג' ימים הראשונים של ז' נקיים? (ש"ך ס"ק נא') </w:t>
      </w:r>
      <w:r>
        <w:rPr>
          <w:rFonts w:hint="cs"/>
          <w:sz w:val="20"/>
          <w:szCs w:val="20"/>
          <w:u w:val="single"/>
          <w:rtl/>
        </w:rPr>
        <w:br/>
      </w:r>
      <w:r>
        <w:rPr>
          <w:rFonts w:hint="cs"/>
          <w:sz w:val="20"/>
          <w:szCs w:val="20"/>
          <w:rtl/>
        </w:rPr>
        <w:t xml:space="preserve">א. </w:t>
      </w:r>
      <w:r w:rsidRPr="00DB4E9E">
        <w:rPr>
          <w:rFonts w:hint="cs"/>
          <w:b/>
          <w:bCs/>
          <w:sz w:val="20"/>
          <w:szCs w:val="20"/>
          <w:rtl/>
        </w:rPr>
        <w:t>רמ"א</w:t>
      </w:r>
      <w:r>
        <w:rPr>
          <w:rFonts w:hint="cs"/>
          <w:sz w:val="20"/>
          <w:szCs w:val="20"/>
          <w:rtl/>
        </w:rPr>
        <w:t xml:space="preserve"> </w:t>
      </w:r>
      <w:r>
        <w:rPr>
          <w:sz w:val="20"/>
          <w:szCs w:val="20"/>
          <w:rtl/>
        </w:rPr>
        <w:t>–</w:t>
      </w:r>
      <w:r>
        <w:rPr>
          <w:rFonts w:hint="cs"/>
          <w:sz w:val="20"/>
          <w:szCs w:val="20"/>
          <w:rtl/>
        </w:rPr>
        <w:t xml:space="preserve"> חומרת ג' ימים הראשונים היא דווקא בדבר חיצוני לגופה שאינה תולה, אך במכה שבגופה תולה אפילו בג' ימים הראשונים, והוא הדין שיכולה לתלות גם בימי נידותה, כמבואר כאן.</w:t>
      </w:r>
      <w:r>
        <w:rPr>
          <w:sz w:val="20"/>
          <w:szCs w:val="20"/>
          <w:rtl/>
        </w:rPr>
        <w:br/>
      </w:r>
      <w:r>
        <w:rPr>
          <w:rFonts w:hint="cs"/>
          <w:sz w:val="20"/>
          <w:szCs w:val="20"/>
          <w:rtl/>
        </w:rPr>
        <w:t xml:space="preserve">ב. </w:t>
      </w:r>
      <w:r w:rsidRPr="00DB4E9E">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בג' ימים הראשונים אינה תולה כלל, ואפילו לא במכה שבגופה. לפי"ז, הדין השנוי כאן מתקיים רק לאחר ג' ימים הראשונים.</w:t>
      </w:r>
    </w:p>
    <w:p w:rsidR="00620060"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7F1A33">
        <w:rPr>
          <w:rFonts w:hint="cs"/>
          <w:b/>
          <w:bCs/>
          <w:sz w:val="20"/>
          <w:szCs w:val="20"/>
          <w:rtl/>
        </w:rPr>
        <w:t>מחבר</w:t>
      </w:r>
      <w:r>
        <w:rPr>
          <w:rFonts w:hint="cs"/>
          <w:sz w:val="20"/>
          <w:szCs w:val="20"/>
          <w:rtl/>
        </w:rPr>
        <w:t xml:space="preserve">. לבשה חלוק בימי נידותה ובדקתו רק לפני הלבישה, ולבשתו גם בימי טהרתה ונמצא עליו כתם, תולה אותו בימי נידותה. </w:t>
      </w:r>
      <w:r>
        <w:rPr>
          <w:sz w:val="20"/>
          <w:szCs w:val="20"/>
          <w:rtl/>
        </w:rPr>
        <w:br/>
      </w:r>
      <w:r>
        <w:rPr>
          <w:rFonts w:hint="cs"/>
          <w:sz w:val="20"/>
          <w:szCs w:val="20"/>
          <w:rtl/>
        </w:rPr>
        <w:t>2</w:t>
      </w:r>
      <w:r w:rsidRPr="004E61E7">
        <w:rPr>
          <w:rFonts w:hint="cs"/>
          <w:sz w:val="20"/>
          <w:szCs w:val="20"/>
          <w:rtl/>
        </w:rPr>
        <w:t>. האם תולה אפילו בג' ימים הראשונים?</w:t>
      </w:r>
      <w:r>
        <w:rPr>
          <w:rFonts w:hint="cs"/>
          <w:sz w:val="20"/>
          <w:szCs w:val="20"/>
          <w:rtl/>
        </w:rPr>
        <w:t xml:space="preserve"> </w:t>
      </w:r>
      <w:r w:rsidRPr="007F1A33">
        <w:rPr>
          <w:rFonts w:hint="cs"/>
          <w:b/>
          <w:bCs/>
          <w:sz w:val="20"/>
          <w:szCs w:val="20"/>
          <w:rtl/>
        </w:rPr>
        <w:t>רמ"א</w:t>
      </w:r>
      <w:r>
        <w:rPr>
          <w:rFonts w:hint="cs"/>
          <w:sz w:val="20"/>
          <w:szCs w:val="20"/>
          <w:rtl/>
        </w:rPr>
        <w:t xml:space="preserve">. כן, בגופה תולה תמיד. </w:t>
      </w:r>
      <w:r w:rsidRPr="007F1A33">
        <w:rPr>
          <w:rFonts w:hint="cs"/>
          <w:b/>
          <w:bCs/>
          <w:sz w:val="20"/>
          <w:szCs w:val="20"/>
          <w:rtl/>
        </w:rPr>
        <w:t>ש"ך</w:t>
      </w:r>
      <w:r>
        <w:rPr>
          <w:rFonts w:hint="cs"/>
          <w:sz w:val="20"/>
          <w:szCs w:val="20"/>
          <w:rtl/>
        </w:rPr>
        <w:t>. לא, בג' ימים אלו אין תולים כלל.</w:t>
      </w:r>
    </w:p>
    <w:p w:rsidR="00620060" w:rsidRDefault="00620060" w:rsidP="00620060">
      <w:pPr>
        <w:rPr>
          <w:b/>
          <w:bCs/>
          <w:sz w:val="20"/>
          <w:szCs w:val="20"/>
          <w:rtl/>
        </w:rPr>
      </w:pPr>
      <w:r>
        <w:rPr>
          <w:sz w:val="20"/>
          <w:szCs w:val="20"/>
          <w:rtl/>
        </w:rPr>
        <w:br/>
      </w:r>
      <w:r>
        <w:rPr>
          <w:rFonts w:hint="cs"/>
          <w:b/>
          <w:bCs/>
          <w:sz w:val="20"/>
          <w:szCs w:val="20"/>
          <w:rtl/>
        </w:rPr>
        <w:t xml:space="preserve">סעיף מה </w:t>
      </w:r>
      <w:r>
        <w:rPr>
          <w:b/>
          <w:bCs/>
          <w:sz w:val="20"/>
          <w:szCs w:val="20"/>
          <w:rtl/>
        </w:rPr>
        <w:t>–</w:t>
      </w:r>
      <w:r>
        <w:rPr>
          <w:rFonts w:hint="cs"/>
          <w:b/>
          <w:bCs/>
          <w:sz w:val="20"/>
          <w:szCs w:val="20"/>
          <w:rtl/>
        </w:rPr>
        <w:t xml:space="preserve"> תליית כתם בחלוק שלבשה בזמן העיבור וההנקה</w:t>
      </w:r>
      <w:r>
        <w:rPr>
          <w:rFonts w:hint="cs"/>
          <w:b/>
          <w:bCs/>
          <w:sz w:val="20"/>
          <w:szCs w:val="20"/>
          <w:rtl/>
        </w:rPr>
        <w:br/>
      </w:r>
      <w:r>
        <w:rPr>
          <w:rFonts w:cs="Arial" w:hint="cs"/>
          <w:b/>
          <w:bCs/>
          <w:sz w:val="20"/>
          <w:szCs w:val="20"/>
          <w:rtl/>
        </w:rPr>
        <w:t>פסיקת הלכה</w:t>
      </w:r>
      <w:r>
        <w:rPr>
          <w:rFonts w:cs="Arial"/>
          <w:b/>
          <w:bCs/>
          <w:sz w:val="20"/>
          <w:szCs w:val="20"/>
          <w:rtl/>
        </w:rPr>
        <w:br/>
      </w:r>
      <w:r>
        <w:rPr>
          <w:rFonts w:cs="Arial" w:hint="cs"/>
          <w:b/>
          <w:bCs/>
          <w:sz w:val="20"/>
          <w:szCs w:val="20"/>
          <w:rtl/>
        </w:rPr>
        <w:t xml:space="preserve">שולחן ערוך </w:t>
      </w:r>
      <w:r w:rsidRPr="00D15E3F">
        <w:rPr>
          <w:rFonts w:cs="Arial" w:hint="cs"/>
          <w:sz w:val="18"/>
          <w:szCs w:val="18"/>
          <w:rtl/>
        </w:rPr>
        <w:t>(ע"פ הר</w:t>
      </w:r>
      <w:r>
        <w:rPr>
          <w:rFonts w:cs="Arial" w:hint="cs"/>
          <w:sz w:val="18"/>
          <w:szCs w:val="18"/>
          <w:rtl/>
        </w:rPr>
        <w:t>שב"א</w:t>
      </w:r>
      <w:r w:rsidRPr="00D15E3F">
        <w:rPr>
          <w:rFonts w:cs="Arial" w:hint="cs"/>
          <w:sz w:val="18"/>
          <w:szCs w:val="18"/>
          <w:rtl/>
        </w:rPr>
        <w:t xml:space="preserve">) </w:t>
      </w:r>
      <w:r>
        <w:rPr>
          <w:rFonts w:cs="Arial"/>
          <w:sz w:val="20"/>
          <w:szCs w:val="20"/>
          <w:rtl/>
        </w:rPr>
        <w:t>–</w:t>
      </w:r>
      <w:r>
        <w:rPr>
          <w:rFonts w:hint="cs"/>
          <w:sz w:val="20"/>
          <w:szCs w:val="20"/>
          <w:rtl/>
        </w:rPr>
        <w:t xml:space="preserve"> "</w:t>
      </w:r>
      <w:r w:rsidRPr="0095311D">
        <w:rPr>
          <w:rFonts w:cs="Arial"/>
          <w:sz w:val="20"/>
          <w:szCs w:val="20"/>
          <w:rtl/>
        </w:rPr>
        <w:t>לבשה חלוק קודם שהיתה מעוברת, ואחר שנתעברה לבשתו בלא בדיקה ומצאה עליו כתם, תולה בלבישת הימים שלא היתה מעוברת</w:t>
      </w:r>
      <w:r>
        <w:rPr>
          <w:rStyle w:val="a5"/>
          <w:rFonts w:cs="Arial"/>
          <w:sz w:val="20"/>
          <w:szCs w:val="20"/>
          <w:rtl/>
        </w:rPr>
        <w:footnoteReference w:id="341"/>
      </w:r>
      <w:r w:rsidRPr="0095311D">
        <w:rPr>
          <w:rFonts w:cs="Arial"/>
          <w:sz w:val="20"/>
          <w:szCs w:val="20"/>
          <w:rtl/>
        </w:rPr>
        <w:t xml:space="preserve">. וכן המניקה, תולה בעצמה כמו שתולה בחברתה. </w:t>
      </w:r>
      <w:r w:rsidRPr="0095311D">
        <w:rPr>
          <w:rFonts w:cs="Arial"/>
          <w:sz w:val="18"/>
          <w:szCs w:val="18"/>
          <w:rtl/>
        </w:rPr>
        <w:t>וכן זקנה תולה בעצמה בימים שלא היתה זקנה</w:t>
      </w:r>
      <w:r>
        <w:rPr>
          <w:rFonts w:cs="Arial" w:hint="cs"/>
          <w:sz w:val="20"/>
          <w:szCs w:val="20"/>
          <w:rtl/>
        </w:rPr>
        <w:t>".</w:t>
      </w:r>
    </w:p>
    <w:p w:rsidR="00620060" w:rsidRDefault="00620060" w:rsidP="00620060">
      <w:pPr>
        <w:rPr>
          <w:sz w:val="20"/>
          <w:szCs w:val="20"/>
          <w:rtl/>
        </w:rPr>
      </w:pPr>
      <w:r>
        <w:rPr>
          <w:b/>
          <w:bCs/>
          <w:sz w:val="20"/>
          <w:szCs w:val="20"/>
          <w:rtl/>
        </w:rPr>
        <w:br/>
      </w:r>
      <w:r>
        <w:rPr>
          <w:rFonts w:hint="cs"/>
          <w:b/>
          <w:bCs/>
          <w:sz w:val="20"/>
          <w:szCs w:val="20"/>
          <w:rtl/>
        </w:rPr>
        <w:t xml:space="preserve">סעיף מו </w:t>
      </w:r>
      <w:r>
        <w:rPr>
          <w:b/>
          <w:bCs/>
          <w:sz w:val="20"/>
          <w:szCs w:val="20"/>
          <w:rtl/>
        </w:rPr>
        <w:t>–</w:t>
      </w:r>
      <w:r>
        <w:rPr>
          <w:rFonts w:hint="cs"/>
          <w:b/>
          <w:bCs/>
          <w:sz w:val="20"/>
          <w:szCs w:val="20"/>
          <w:rtl/>
        </w:rPr>
        <w:t xml:space="preserve"> תלייה בכתם ישן לפני הכביסה</w:t>
      </w:r>
      <w:r>
        <w:rPr>
          <w:b/>
          <w:bCs/>
          <w:sz w:val="20"/>
          <w:szCs w:val="20"/>
          <w:rtl/>
        </w:rPr>
        <w:br/>
      </w:r>
      <w:r>
        <w:rPr>
          <w:rFonts w:hint="cs"/>
          <w:b/>
          <w:bCs/>
          <w:sz w:val="20"/>
          <w:szCs w:val="20"/>
          <w:rtl/>
        </w:rPr>
        <w:t>מקור הדין</w:t>
      </w:r>
      <w:r>
        <w:rPr>
          <w:b/>
          <w:bCs/>
          <w:sz w:val="20"/>
          <w:szCs w:val="20"/>
          <w:rtl/>
        </w:rPr>
        <w:br/>
      </w:r>
      <w:r>
        <w:rPr>
          <w:rFonts w:hint="cs"/>
          <w:b/>
          <w:bCs/>
          <w:sz w:val="20"/>
          <w:szCs w:val="20"/>
          <w:rtl/>
        </w:rPr>
        <w:lastRenderedPageBreak/>
        <w:t xml:space="preserve">משנה </w:t>
      </w:r>
      <w:r>
        <w:rPr>
          <w:rFonts w:hint="cs"/>
          <w:sz w:val="20"/>
          <w:szCs w:val="20"/>
          <w:rtl/>
        </w:rPr>
        <w:t>נדה (נו.) "</w:t>
      </w:r>
      <w:r w:rsidRPr="00302EC5">
        <w:rPr>
          <w:rFonts w:cs="Arial"/>
          <w:sz w:val="20"/>
          <w:szCs w:val="20"/>
          <w:rtl/>
        </w:rPr>
        <w:t>וכן כתם שנמצא בחלוק - מטמא למפרע, עד שיאמר בדקתי את החלוק הזה ולא היה בו כתם או עד שעת הכבוס</w:t>
      </w:r>
      <w:r>
        <w:rPr>
          <w:rFonts w:cs="Arial" w:hint="cs"/>
          <w:sz w:val="20"/>
          <w:szCs w:val="20"/>
          <w:rtl/>
        </w:rPr>
        <w:t>..</w:t>
      </w:r>
      <w:r w:rsidRPr="00302EC5">
        <w:rPr>
          <w:rFonts w:cs="Arial"/>
          <w:sz w:val="20"/>
          <w:szCs w:val="20"/>
          <w:rtl/>
        </w:rPr>
        <w:t>.</w:t>
      </w:r>
      <w:r>
        <w:rPr>
          <w:b/>
          <w:bCs/>
          <w:sz w:val="20"/>
          <w:szCs w:val="20"/>
          <w:rtl/>
        </w:rPr>
        <w:br/>
      </w:r>
      <w:r>
        <w:rPr>
          <w:rFonts w:hint="cs"/>
          <w:b/>
          <w:bCs/>
          <w:sz w:val="20"/>
          <w:szCs w:val="20"/>
          <w:rtl/>
        </w:rPr>
        <w:t xml:space="preserve">גמרא </w:t>
      </w:r>
      <w:r>
        <w:rPr>
          <w:rFonts w:hint="cs"/>
          <w:sz w:val="20"/>
          <w:szCs w:val="20"/>
          <w:rtl/>
        </w:rPr>
        <w:t>(שם, ע"ב) "</w:t>
      </w:r>
      <w:r w:rsidRPr="00302EC5">
        <w:rPr>
          <w:rFonts w:cs="Arial"/>
          <w:sz w:val="20"/>
          <w:szCs w:val="20"/>
          <w:rtl/>
        </w:rPr>
        <w:t xml:space="preserve">איבעיא להו: עד שעת כבוס חזקתו בדוק, או דלמא חזקתו מתכבס? למאי נפקא מינה - דאמר כיבס ולא בדק, אי אמרת חזקתו בדוק - הא לא בדק, אי אמרת חזקתו מתכבס - הא מתכבס. מאי? </w:t>
      </w:r>
      <w:r>
        <w:rPr>
          <w:rFonts w:cs="Arial" w:hint="cs"/>
          <w:sz w:val="20"/>
          <w:szCs w:val="20"/>
          <w:rtl/>
        </w:rPr>
        <w:br/>
      </w:r>
      <w:r w:rsidRPr="00302EC5">
        <w:rPr>
          <w:rFonts w:cs="Arial"/>
          <w:sz w:val="20"/>
          <w:szCs w:val="20"/>
          <w:rtl/>
        </w:rPr>
        <w:t xml:space="preserve">תא שמע, דתניא </w:t>
      </w:r>
      <w:r>
        <w:rPr>
          <w:rFonts w:cs="Arial" w:hint="cs"/>
          <w:sz w:val="20"/>
          <w:szCs w:val="20"/>
          <w:vertAlign w:val="superscript"/>
          <w:rtl/>
        </w:rPr>
        <w:t>1</w:t>
      </w:r>
      <w:r w:rsidRPr="00302EC5">
        <w:rPr>
          <w:rFonts w:cs="Arial"/>
          <w:sz w:val="20"/>
          <w:szCs w:val="20"/>
          <w:rtl/>
        </w:rPr>
        <w:t>א</w:t>
      </w:r>
      <w:r>
        <w:rPr>
          <w:rFonts w:cs="Arial" w:hint="cs"/>
          <w:sz w:val="20"/>
          <w:szCs w:val="20"/>
          <w:rtl/>
        </w:rPr>
        <w:t xml:space="preserve">מר </w:t>
      </w:r>
      <w:r w:rsidRPr="00302EC5">
        <w:rPr>
          <w:rFonts w:cs="Arial"/>
          <w:sz w:val="20"/>
          <w:szCs w:val="20"/>
          <w:rtl/>
        </w:rPr>
        <w:t>ר</w:t>
      </w:r>
      <w:r>
        <w:rPr>
          <w:rFonts w:cs="Arial" w:hint="cs"/>
          <w:sz w:val="20"/>
          <w:szCs w:val="20"/>
          <w:rtl/>
        </w:rPr>
        <w:t>בי</w:t>
      </w:r>
      <w:r w:rsidRPr="00302EC5">
        <w:rPr>
          <w:rFonts w:cs="Arial"/>
          <w:sz w:val="20"/>
          <w:szCs w:val="20"/>
          <w:rtl/>
        </w:rPr>
        <w:t xml:space="preserve"> מאיר: מפני מה אמרו כתם שנמצא בחלוק מטמא למפרע, עד שיאמר בדקתי את החלוק ולא היה בו כתם, או עד שעת הכ</w:t>
      </w:r>
      <w:r>
        <w:rPr>
          <w:rFonts w:cs="Arial" w:hint="cs"/>
          <w:sz w:val="20"/>
          <w:szCs w:val="20"/>
          <w:rtl/>
        </w:rPr>
        <w:t>י</w:t>
      </w:r>
      <w:r w:rsidRPr="00302EC5">
        <w:rPr>
          <w:rFonts w:cs="Arial"/>
          <w:sz w:val="20"/>
          <w:szCs w:val="20"/>
          <w:rtl/>
        </w:rPr>
        <w:t>בוס - מפני שחזקת בנות ישראל בודקות חלוקיהן בשעת כ</w:t>
      </w:r>
      <w:r>
        <w:rPr>
          <w:rFonts w:cs="Arial" w:hint="cs"/>
          <w:sz w:val="20"/>
          <w:szCs w:val="20"/>
          <w:rtl/>
        </w:rPr>
        <w:t>י</w:t>
      </w:r>
      <w:r w:rsidRPr="00302EC5">
        <w:rPr>
          <w:rFonts w:cs="Arial"/>
          <w:sz w:val="20"/>
          <w:szCs w:val="20"/>
          <w:rtl/>
        </w:rPr>
        <w:t xml:space="preserve">בוסיהן, ואם לא בדקו - הפסידו למפרע. </w:t>
      </w:r>
      <w:r>
        <w:rPr>
          <w:rFonts w:cs="Arial" w:hint="cs"/>
          <w:sz w:val="20"/>
          <w:szCs w:val="20"/>
          <w:vertAlign w:val="superscript"/>
          <w:rtl/>
        </w:rPr>
        <w:t>2</w:t>
      </w:r>
      <w:r w:rsidRPr="00302EC5">
        <w:rPr>
          <w:rFonts w:cs="Arial"/>
          <w:sz w:val="20"/>
          <w:szCs w:val="20"/>
          <w:rtl/>
        </w:rPr>
        <w:t>ר</w:t>
      </w:r>
      <w:r>
        <w:rPr>
          <w:rFonts w:cs="Arial" w:hint="cs"/>
          <w:sz w:val="20"/>
          <w:szCs w:val="20"/>
          <w:rtl/>
        </w:rPr>
        <w:t>בי</w:t>
      </w:r>
      <w:r w:rsidRPr="00302EC5">
        <w:rPr>
          <w:rFonts w:cs="Arial"/>
          <w:sz w:val="20"/>
          <w:szCs w:val="20"/>
          <w:rtl/>
        </w:rPr>
        <w:t xml:space="preserve"> אחא אמר: תחזור ותכבסנו, אם נדחה מראיתו - בידוע שלאחר כבוס, ואם לאו - בידוע שלפני הכבוס. </w:t>
      </w:r>
      <w:r>
        <w:rPr>
          <w:rFonts w:cs="Arial" w:hint="cs"/>
          <w:sz w:val="20"/>
          <w:szCs w:val="20"/>
          <w:vertAlign w:val="superscript"/>
          <w:rtl/>
        </w:rPr>
        <w:t>3</w:t>
      </w:r>
      <w:r w:rsidRPr="00302EC5">
        <w:rPr>
          <w:rFonts w:cs="Arial"/>
          <w:sz w:val="20"/>
          <w:szCs w:val="20"/>
          <w:rtl/>
        </w:rPr>
        <w:t>רבי אומר: אינו דומה כתם שלאחר הכ</w:t>
      </w:r>
      <w:r>
        <w:rPr>
          <w:rFonts w:cs="Arial" w:hint="cs"/>
          <w:sz w:val="20"/>
          <w:szCs w:val="20"/>
          <w:rtl/>
        </w:rPr>
        <w:t>י</w:t>
      </w:r>
      <w:r w:rsidRPr="00302EC5">
        <w:rPr>
          <w:rFonts w:cs="Arial"/>
          <w:sz w:val="20"/>
          <w:szCs w:val="20"/>
          <w:rtl/>
        </w:rPr>
        <w:t>בוס לכתם שלפני הכ</w:t>
      </w:r>
      <w:r>
        <w:rPr>
          <w:rFonts w:cs="Arial" w:hint="cs"/>
          <w:sz w:val="20"/>
          <w:szCs w:val="20"/>
          <w:rtl/>
        </w:rPr>
        <w:t>י</w:t>
      </w:r>
      <w:r w:rsidRPr="00302EC5">
        <w:rPr>
          <w:rFonts w:cs="Arial"/>
          <w:sz w:val="20"/>
          <w:szCs w:val="20"/>
          <w:rtl/>
        </w:rPr>
        <w:t>בוס, שזה מקדיר וזה מגליד. ש</w:t>
      </w:r>
      <w:r>
        <w:rPr>
          <w:rFonts w:cs="Arial" w:hint="cs"/>
          <w:sz w:val="20"/>
          <w:szCs w:val="20"/>
          <w:rtl/>
        </w:rPr>
        <w:t xml:space="preserve">מע </w:t>
      </w:r>
      <w:r w:rsidRPr="00302EC5">
        <w:rPr>
          <w:rFonts w:cs="Arial"/>
          <w:sz w:val="20"/>
          <w:szCs w:val="20"/>
          <w:rtl/>
        </w:rPr>
        <w:t>מ</w:t>
      </w:r>
      <w:r>
        <w:rPr>
          <w:rFonts w:cs="Arial" w:hint="cs"/>
          <w:sz w:val="20"/>
          <w:szCs w:val="20"/>
          <w:rtl/>
        </w:rPr>
        <w:t>ינה</w:t>
      </w:r>
      <w:r w:rsidRPr="00302EC5">
        <w:rPr>
          <w:rFonts w:cs="Arial"/>
          <w:sz w:val="20"/>
          <w:szCs w:val="20"/>
          <w:rtl/>
        </w:rPr>
        <w:t>: חזקתו בדוק, ש</w:t>
      </w:r>
      <w:r>
        <w:rPr>
          <w:rFonts w:cs="Arial" w:hint="cs"/>
          <w:sz w:val="20"/>
          <w:szCs w:val="20"/>
          <w:rtl/>
        </w:rPr>
        <w:t>מע מינה"</w:t>
      </w:r>
      <w:r w:rsidRPr="00302EC5">
        <w:rPr>
          <w:rFonts w:cs="Arial"/>
          <w:sz w:val="20"/>
          <w:szCs w:val="20"/>
          <w:rtl/>
        </w:rPr>
        <w:t>.</w:t>
      </w:r>
    </w:p>
    <w:p w:rsidR="00620060" w:rsidRDefault="00620060" w:rsidP="00620060">
      <w:pPr>
        <w:rPr>
          <w:sz w:val="20"/>
          <w:szCs w:val="20"/>
          <w:rtl/>
        </w:rPr>
      </w:pPr>
      <w:r>
        <w:rPr>
          <w:rFonts w:hint="cs"/>
          <w:sz w:val="20"/>
          <w:szCs w:val="20"/>
          <w:u w:val="single"/>
          <w:rtl/>
        </w:rPr>
        <w:t>הסבר</w:t>
      </w:r>
      <w:r>
        <w:rPr>
          <w:sz w:val="20"/>
          <w:szCs w:val="20"/>
          <w:u w:val="single"/>
          <w:rtl/>
        </w:rPr>
        <w:br/>
      </w:r>
      <w:r>
        <w:rPr>
          <w:rFonts w:hint="cs"/>
          <w:sz w:val="20"/>
          <w:szCs w:val="20"/>
          <w:rtl/>
        </w:rPr>
        <w:t xml:space="preserve">מדובר על חלוק שלבשה בימי נידותה, וכעת לובשת אותו בימי טהרתה לאחר שהתכבס. </w:t>
      </w:r>
      <w:r>
        <w:rPr>
          <w:sz w:val="20"/>
          <w:szCs w:val="20"/>
          <w:rtl/>
        </w:rPr>
        <w:br/>
      </w:r>
      <w:r>
        <w:rPr>
          <w:rFonts w:hint="cs"/>
          <w:sz w:val="20"/>
          <w:szCs w:val="20"/>
          <w:rtl/>
        </w:rPr>
        <w:t>במשנה נאמר שהכתם טמא למפרע עד שעת כיבוס, והגמרא מתלבטת האם כיבוס מעביר את הכתם, או שטעם הדין הוא משום שבשעת הכביסה בודקים את החלוק שיהיה נקי מכל כתמי הדם.</w:t>
      </w:r>
      <w:r>
        <w:rPr>
          <w:sz w:val="20"/>
          <w:szCs w:val="20"/>
          <w:rtl/>
        </w:rPr>
        <w:br/>
      </w:r>
      <w:r w:rsidRPr="00545772">
        <w:rPr>
          <w:rFonts w:hint="cs"/>
          <w:sz w:val="20"/>
          <w:szCs w:val="20"/>
          <w:rtl/>
        </w:rPr>
        <w:t>מסקנה</w:t>
      </w:r>
      <w:r>
        <w:rPr>
          <w:rFonts w:hint="cs"/>
          <w:sz w:val="20"/>
          <w:szCs w:val="20"/>
          <w:rtl/>
        </w:rPr>
        <w:t xml:space="preserve"> </w:t>
      </w:r>
      <w:r>
        <w:rPr>
          <w:sz w:val="20"/>
          <w:szCs w:val="20"/>
          <w:rtl/>
        </w:rPr>
        <w:t>–</w:t>
      </w:r>
      <w:r>
        <w:rPr>
          <w:rFonts w:hint="cs"/>
          <w:sz w:val="20"/>
          <w:szCs w:val="20"/>
          <w:rtl/>
        </w:rPr>
        <w:t xml:space="preserve"> שמע מינה מדברי רבי מאיר, שטעם הדין הוא משום שבשעת הכיבוס בודקת את החלוק, </w:t>
      </w:r>
      <w:r w:rsidRPr="00545772">
        <w:rPr>
          <w:rFonts w:hint="cs"/>
          <w:b/>
          <w:bCs/>
          <w:sz w:val="20"/>
          <w:szCs w:val="20"/>
          <w:rtl/>
        </w:rPr>
        <w:t>רשב"א</w:t>
      </w:r>
      <w:r>
        <w:rPr>
          <w:rFonts w:hint="cs"/>
          <w:sz w:val="20"/>
          <w:szCs w:val="20"/>
          <w:rtl/>
        </w:rPr>
        <w:t>.</w:t>
      </w:r>
    </w:p>
    <w:p w:rsidR="00620060" w:rsidRPr="00D41884" w:rsidRDefault="00620060" w:rsidP="00620060">
      <w:pPr>
        <w:rPr>
          <w:sz w:val="20"/>
          <w:szCs w:val="20"/>
          <w:rtl/>
        </w:rPr>
      </w:pPr>
      <w:r>
        <w:rPr>
          <w:rFonts w:hint="cs"/>
          <w:b/>
          <w:bCs/>
          <w:sz w:val="20"/>
          <w:szCs w:val="20"/>
          <w:rtl/>
        </w:rPr>
        <w:t>שיטות הראשונים</w:t>
      </w:r>
      <w:r>
        <w:rPr>
          <w:b/>
          <w:bCs/>
          <w:sz w:val="20"/>
          <w:szCs w:val="20"/>
          <w:rtl/>
        </w:rPr>
        <w:br/>
      </w:r>
      <w:r>
        <w:rPr>
          <w:rFonts w:hint="cs"/>
          <w:sz w:val="20"/>
          <w:szCs w:val="20"/>
          <w:rtl/>
        </w:rPr>
        <w:t xml:space="preserve">א. </w:t>
      </w:r>
      <w:r w:rsidRPr="00D41884">
        <w:rPr>
          <w:rFonts w:hint="cs"/>
          <w:b/>
          <w:bCs/>
          <w:sz w:val="20"/>
          <w:szCs w:val="20"/>
          <w:rtl/>
        </w:rPr>
        <w:t>רשב"א</w:t>
      </w:r>
      <w:r>
        <w:rPr>
          <w:rFonts w:hint="cs"/>
          <w:sz w:val="20"/>
          <w:szCs w:val="20"/>
          <w:rtl/>
        </w:rPr>
        <w:t xml:space="preserve"> - הלכה כרבי מאיר. כלומר, סתם ישראלית שמכבסת את החלוק בודקת אותו שיהיה נקי מכתמים, ולכן אין לתלות את הכתם שמא הוא לפני הכביסה. ואמנם, אם הישראלית נמצאת לפנינו יש לשאול אותה, ואם אומרת שלא בדקה את החלוק, יש לתלות שהוא ישן וטהורה.</w:t>
      </w:r>
      <w:r>
        <w:rPr>
          <w:sz w:val="20"/>
          <w:szCs w:val="20"/>
          <w:rtl/>
        </w:rPr>
        <w:br/>
      </w:r>
      <w:r>
        <w:rPr>
          <w:rFonts w:hint="cs"/>
          <w:sz w:val="20"/>
          <w:szCs w:val="20"/>
          <w:rtl/>
        </w:rPr>
        <w:t>ודין זה נאמר דווקא בכובסת ישראלית, אך שפחה ונוכרית אינן בודקות שהחלוק יהיה נקי מכל כתמי דם ולכן יש לתלות את הכתם שהוא לפני הכיבוס וטהורה.</w:t>
      </w:r>
      <w:r>
        <w:rPr>
          <w:sz w:val="20"/>
          <w:szCs w:val="20"/>
          <w:rtl/>
        </w:rPr>
        <w:br/>
      </w:r>
      <w:r>
        <w:rPr>
          <w:rFonts w:hint="cs"/>
          <w:sz w:val="20"/>
          <w:szCs w:val="20"/>
          <w:rtl/>
        </w:rPr>
        <w:t>ואמנם, אם אפשר לברר את הדבר ע"י בדיקת 'מקדיר או מגליד' יש לבדוק זאת</w:t>
      </w:r>
      <w:r>
        <w:rPr>
          <w:rStyle w:val="a5"/>
          <w:sz w:val="20"/>
          <w:szCs w:val="20"/>
          <w:rtl/>
        </w:rPr>
        <w:footnoteReference w:id="342"/>
      </w:r>
      <w:r>
        <w:rPr>
          <w:rFonts w:hint="cs"/>
          <w:sz w:val="20"/>
          <w:szCs w:val="20"/>
          <w:rtl/>
        </w:rPr>
        <w:t>.</w:t>
      </w:r>
      <w:r>
        <w:rPr>
          <w:rFonts w:hint="cs"/>
          <w:sz w:val="20"/>
          <w:szCs w:val="20"/>
          <w:rtl/>
        </w:rPr>
        <w:br/>
      </w:r>
      <w:r w:rsidRPr="000071EE">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כתמים דרבנן ושומעים למקל, אלא שאם אפשר לברר יש לברר זאת.</w:t>
      </w:r>
      <w:r>
        <w:rPr>
          <w:sz w:val="20"/>
          <w:szCs w:val="20"/>
          <w:rtl/>
        </w:rPr>
        <w:br/>
      </w:r>
      <w:r>
        <w:rPr>
          <w:rFonts w:hint="cs"/>
          <w:sz w:val="20"/>
          <w:szCs w:val="20"/>
          <w:rtl/>
        </w:rPr>
        <w:t xml:space="preserve">ב. </w:t>
      </w:r>
      <w:r w:rsidRPr="0054054F">
        <w:rPr>
          <w:rFonts w:hint="cs"/>
          <w:b/>
          <w:bCs/>
          <w:sz w:val="20"/>
          <w:szCs w:val="20"/>
          <w:rtl/>
        </w:rPr>
        <w:t>ראב"ד ורמב"ן</w:t>
      </w:r>
      <w:r>
        <w:rPr>
          <w:rFonts w:hint="cs"/>
          <w:sz w:val="20"/>
          <w:szCs w:val="20"/>
          <w:rtl/>
        </w:rPr>
        <w:t xml:space="preserve"> </w:t>
      </w:r>
      <w:r>
        <w:rPr>
          <w:sz w:val="20"/>
          <w:szCs w:val="20"/>
          <w:rtl/>
        </w:rPr>
        <w:t>–</w:t>
      </w:r>
      <w:r>
        <w:rPr>
          <w:rFonts w:hint="cs"/>
          <w:sz w:val="20"/>
          <w:szCs w:val="20"/>
          <w:rtl/>
        </w:rPr>
        <w:t xml:space="preserve"> הלכה כרבי שיש לבדוק ע"י 'מקדיר או מגליד', ואם אינם בקיאים בבדיקה זו טמאה.</w:t>
      </w:r>
      <w:r>
        <w:rPr>
          <w:sz w:val="20"/>
          <w:szCs w:val="20"/>
          <w:rtl/>
        </w:rPr>
        <w:br/>
      </w:r>
      <w:r w:rsidRPr="00780814">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אין זה ספק דרבנן, כיוון שזהו ספק שבא ממיעוט הכרה וידיעה.</w:t>
      </w:r>
      <w:r>
        <w:rPr>
          <w:rFonts w:hint="cs"/>
          <w:sz w:val="20"/>
          <w:szCs w:val="20"/>
          <w:rtl/>
        </w:rPr>
        <w:br/>
        <w:t xml:space="preserve">ג. </w:t>
      </w:r>
      <w:r w:rsidRPr="00273244">
        <w:rPr>
          <w:rFonts w:hint="cs"/>
          <w:b/>
          <w:bCs/>
          <w:sz w:val="20"/>
          <w:szCs w:val="20"/>
          <w:rtl/>
        </w:rPr>
        <w:t>רמב"ם</w:t>
      </w:r>
      <w:r w:rsidRPr="00CE35C7">
        <w:rPr>
          <w:rStyle w:val="a5"/>
          <w:sz w:val="20"/>
          <w:szCs w:val="20"/>
          <w:rtl/>
        </w:rPr>
        <w:footnoteReference w:id="343"/>
      </w:r>
      <w:r>
        <w:rPr>
          <w:rFonts w:hint="cs"/>
          <w:sz w:val="20"/>
          <w:szCs w:val="20"/>
          <w:rtl/>
        </w:rPr>
        <w:t xml:space="preserve"> </w:t>
      </w:r>
      <w:r>
        <w:rPr>
          <w:sz w:val="20"/>
          <w:szCs w:val="20"/>
          <w:rtl/>
        </w:rPr>
        <w:t>–</w:t>
      </w:r>
      <w:r>
        <w:rPr>
          <w:rFonts w:hint="cs"/>
          <w:sz w:val="20"/>
          <w:szCs w:val="20"/>
          <w:rtl/>
        </w:rPr>
        <w:t xml:space="preserve"> הלכה כרבי מאיר, הכיבוס אינו מעלה ומוריד אלא רק הבדיקה.</w:t>
      </w:r>
    </w:p>
    <w:p w:rsidR="00620060" w:rsidRDefault="00620060" w:rsidP="00620060">
      <w:pPr>
        <w:rPr>
          <w:sz w:val="20"/>
          <w:szCs w:val="20"/>
          <w:rtl/>
        </w:rPr>
      </w:pPr>
      <w:r>
        <w:rPr>
          <w:rFonts w:cs="Arial" w:hint="cs"/>
          <w:b/>
          <w:bCs/>
          <w:sz w:val="20"/>
          <w:szCs w:val="20"/>
          <w:rtl/>
        </w:rPr>
        <w:t>פסיקת הלכה</w:t>
      </w:r>
      <w:r>
        <w:rPr>
          <w:rFonts w:cs="Arial"/>
          <w:b/>
          <w:bCs/>
          <w:sz w:val="20"/>
          <w:szCs w:val="20"/>
          <w:rtl/>
        </w:rPr>
        <w:br/>
      </w:r>
      <w:r>
        <w:rPr>
          <w:rFonts w:cs="Arial" w:hint="cs"/>
          <w:b/>
          <w:bCs/>
          <w:sz w:val="20"/>
          <w:szCs w:val="20"/>
          <w:rtl/>
        </w:rPr>
        <w:t>שולחן ערוך</w:t>
      </w:r>
      <w:r>
        <w:rPr>
          <w:rFonts w:hint="cs"/>
          <w:sz w:val="20"/>
          <w:szCs w:val="20"/>
          <w:rtl/>
        </w:rPr>
        <w:t xml:space="preserve"> </w:t>
      </w:r>
      <w:r>
        <w:rPr>
          <w:sz w:val="20"/>
          <w:szCs w:val="20"/>
          <w:rtl/>
        </w:rPr>
        <w:t>–</w:t>
      </w:r>
      <w:r>
        <w:rPr>
          <w:rFonts w:hint="cs"/>
          <w:sz w:val="20"/>
          <w:szCs w:val="20"/>
          <w:rtl/>
        </w:rPr>
        <w:t xml:space="preserve"> "</w:t>
      </w:r>
      <w:r w:rsidRPr="00DF55C8">
        <w:rPr>
          <w:rFonts w:cs="Arial"/>
          <w:sz w:val="20"/>
          <w:szCs w:val="20"/>
          <w:rtl/>
        </w:rPr>
        <w:t xml:space="preserve">חלוק שלבשתו בימי נדתה ונתכבס, וחזרה ולבשתו בזמן שהיא טהורה בלא בדיקה, אם נתכבס על ידי ישראלית ואינה בפנינו לשאול, חזקה בדקתו בשעת כיבוס, ואינה תולה בו. ואם היא בפנינו ואומרת שלא בדקתו, תולה לומר שמתחילה היה ולא עבר על ידי הכיבוס. ואם נתכבס </w:t>
      </w:r>
      <w:r>
        <w:rPr>
          <w:rFonts w:cs="Arial" w:hint="cs"/>
          <w:sz w:val="20"/>
          <w:szCs w:val="20"/>
          <w:rtl/>
        </w:rPr>
        <w:t>על ידי</w:t>
      </w:r>
      <w:r w:rsidRPr="00DF55C8">
        <w:rPr>
          <w:rFonts w:cs="Arial"/>
          <w:sz w:val="20"/>
          <w:szCs w:val="20"/>
          <w:rtl/>
        </w:rPr>
        <w:t xml:space="preserve"> שפחה או עובדת כוכבים, אפילו אינה לפנינו, תולה לומר שמתחילה היה. ואם אפשר לעמוד על הבירור, כגון שמכרת במראיתו, אם מקדיר דהיינו שנכנס לתוך הבגד, בידוע שקודם כיבוס היה. ואם מגליד, דהיינו שאינו נכנס לתוך הבגד, בידוע שאחר כיבוס היה. ואם אינה בקיאה בכך, חוששת להחמיר</w:t>
      </w:r>
      <w:r>
        <w:rPr>
          <w:rFonts w:cs="Arial" w:hint="cs"/>
          <w:sz w:val="20"/>
          <w:szCs w:val="20"/>
          <w:rtl/>
        </w:rPr>
        <w:t>".</w:t>
      </w:r>
    </w:p>
    <w:p w:rsidR="00620060" w:rsidRPr="00DC3855" w:rsidRDefault="00620060" w:rsidP="00620060">
      <w:pPr>
        <w:rPr>
          <w:sz w:val="20"/>
          <w:szCs w:val="20"/>
          <w:rtl/>
        </w:rPr>
      </w:pPr>
      <w:r w:rsidRPr="00273244">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ברישא של הסעיף מדובר שהבגד אינו לפנינו, אך אם הבגד לפנינו אין חילוק בין כובסת גויה לכובסת ישראלית ובכל עניין יש לבדוק ע"י מקדיר או מגליד.</w:t>
      </w:r>
      <w:r>
        <w:rPr>
          <w:sz w:val="20"/>
          <w:szCs w:val="20"/>
          <w:rtl/>
        </w:rPr>
        <w:br/>
      </w:r>
      <w:r>
        <w:rPr>
          <w:rFonts w:hint="cs"/>
          <w:sz w:val="20"/>
          <w:szCs w:val="20"/>
          <w:rtl/>
        </w:rPr>
        <w:t xml:space="preserve">מדברי </w:t>
      </w:r>
      <w:r w:rsidRPr="00273244">
        <w:rPr>
          <w:rFonts w:hint="cs"/>
          <w:b/>
          <w:bCs/>
          <w:sz w:val="20"/>
          <w:szCs w:val="20"/>
          <w:rtl/>
        </w:rPr>
        <w:t>הש"ך</w:t>
      </w:r>
      <w:r>
        <w:rPr>
          <w:rFonts w:hint="cs"/>
          <w:sz w:val="20"/>
          <w:szCs w:val="20"/>
          <w:rtl/>
        </w:rPr>
        <w:t xml:space="preserve"> יוצא </w:t>
      </w:r>
      <w:r>
        <w:rPr>
          <w:sz w:val="20"/>
          <w:szCs w:val="20"/>
          <w:rtl/>
        </w:rPr>
        <w:t>–</w:t>
      </w:r>
      <w:r>
        <w:rPr>
          <w:rFonts w:hint="cs"/>
          <w:sz w:val="20"/>
          <w:szCs w:val="20"/>
          <w:rtl/>
        </w:rPr>
        <w:t xml:space="preserve"> א. כובסת ישראלית שלא נמצאת אך הבגד נמצא, אין מטמאים מכוח חזקה שהכובסת בודקת את הבגד בשעת הכיבוס, אלא יש לבדקו.</w:t>
      </w:r>
      <w:r>
        <w:rPr>
          <w:sz w:val="20"/>
          <w:szCs w:val="20"/>
          <w:rtl/>
        </w:rPr>
        <w:br/>
      </w:r>
      <w:r>
        <w:rPr>
          <w:rFonts w:hint="cs"/>
          <w:sz w:val="20"/>
          <w:szCs w:val="20"/>
          <w:rtl/>
        </w:rPr>
        <w:t xml:space="preserve">ב. הקולא בכובסת גויה נאמרה דווקא כשהבגד אינו כאן, דבכה"ג אין אפשרות לעמוד על בירור הדבר ולכן מקלים </w:t>
      </w:r>
      <w:r w:rsidRPr="00273244">
        <w:rPr>
          <w:rFonts w:hint="cs"/>
          <w:sz w:val="18"/>
          <w:szCs w:val="18"/>
          <w:rtl/>
        </w:rPr>
        <w:t>(כדין 'נשפך' בסימן צח')</w:t>
      </w:r>
      <w:r>
        <w:rPr>
          <w:rFonts w:hint="cs"/>
          <w:sz w:val="20"/>
          <w:szCs w:val="20"/>
          <w:rtl/>
        </w:rPr>
        <w:t>.</w:t>
      </w:r>
      <w:r>
        <w:rPr>
          <w:sz w:val="20"/>
          <w:szCs w:val="20"/>
          <w:rtl/>
        </w:rPr>
        <w:br/>
      </w:r>
      <w:r>
        <w:rPr>
          <w:sz w:val="20"/>
          <w:szCs w:val="20"/>
          <w:u w:val="single"/>
          <w:rtl/>
        </w:rPr>
        <w:br/>
      </w:r>
      <w:r>
        <w:rPr>
          <w:rFonts w:hint="cs"/>
          <w:sz w:val="20"/>
          <w:szCs w:val="20"/>
          <w:u w:val="single"/>
          <w:rtl/>
        </w:rPr>
        <w:t>גויה הטוענת שבדקה את החלוק</w:t>
      </w:r>
      <w:r>
        <w:rPr>
          <w:sz w:val="20"/>
          <w:szCs w:val="20"/>
          <w:u w:val="single"/>
          <w:rtl/>
        </w:rPr>
        <w:br/>
      </w:r>
      <w:r w:rsidRPr="00DC3855">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מלשון המחבר שכתב בכובסת גויה 'אפילו אינה לפנינו', משמע שגם כאשר היא לפנינו אינה נאמנת.</w:t>
      </w:r>
    </w:p>
    <w:p w:rsidR="00620060" w:rsidRDefault="00620060" w:rsidP="00620060">
      <w:pPr>
        <w:rPr>
          <w:sz w:val="20"/>
          <w:szCs w:val="20"/>
          <w:u w:val="single"/>
          <w:rtl/>
        </w:rPr>
      </w:pPr>
      <w:r>
        <w:rPr>
          <w:rFonts w:hint="cs"/>
          <w:sz w:val="20"/>
          <w:szCs w:val="20"/>
          <w:u w:val="single"/>
          <w:rtl/>
        </w:rPr>
        <w:lastRenderedPageBreak/>
        <w:t>הדין בזמן הש"ך</w:t>
      </w:r>
      <w:r>
        <w:rPr>
          <w:sz w:val="20"/>
          <w:szCs w:val="20"/>
          <w:u w:val="single"/>
          <w:rtl/>
        </w:rPr>
        <w:br/>
      </w:r>
      <w:r w:rsidRPr="003A5080">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בזמן הזה אנחנו רואים שכובסות אינן מקפידות להגיד לבעלות החלוק שיש כתם, ולכן יש להחמיר</w:t>
      </w:r>
      <w:r>
        <w:rPr>
          <w:rStyle w:val="a5"/>
          <w:sz w:val="20"/>
          <w:szCs w:val="20"/>
          <w:rtl/>
        </w:rPr>
        <w:footnoteReference w:id="344"/>
      </w:r>
      <w:r>
        <w:rPr>
          <w:rFonts w:hint="cs"/>
          <w:sz w:val="20"/>
          <w:szCs w:val="20"/>
          <w:rtl/>
        </w:rPr>
        <w:t>.</w:t>
      </w:r>
      <w:r>
        <w:rPr>
          <w:sz w:val="20"/>
          <w:szCs w:val="20"/>
          <w:rtl/>
        </w:rPr>
        <w:br/>
      </w:r>
      <w:r>
        <w:rPr>
          <w:rFonts w:hint="cs"/>
          <w:sz w:val="20"/>
          <w:szCs w:val="20"/>
          <w:rtl/>
        </w:rPr>
        <w:t xml:space="preserve">מסביר </w:t>
      </w:r>
      <w:r w:rsidRPr="003A5080">
        <w:rPr>
          <w:rFonts w:hint="cs"/>
          <w:b/>
          <w:bCs/>
          <w:sz w:val="20"/>
          <w:szCs w:val="20"/>
          <w:rtl/>
        </w:rPr>
        <w:t>ששבה"ל</w:t>
      </w:r>
      <w:r>
        <w:rPr>
          <w:rFonts w:hint="cs"/>
          <w:sz w:val="20"/>
          <w:szCs w:val="20"/>
          <w:rtl/>
        </w:rPr>
        <w:t xml:space="preserve"> </w:t>
      </w:r>
      <w:r>
        <w:rPr>
          <w:sz w:val="20"/>
          <w:szCs w:val="20"/>
          <w:rtl/>
        </w:rPr>
        <w:t>–</w:t>
      </w:r>
      <w:r>
        <w:rPr>
          <w:rFonts w:hint="cs"/>
          <w:sz w:val="20"/>
          <w:szCs w:val="20"/>
          <w:rtl/>
        </w:rPr>
        <w:t xml:space="preserve"> </w:t>
      </w:r>
      <w:r w:rsidRPr="003A5080">
        <w:rPr>
          <w:rFonts w:hint="cs"/>
          <w:b/>
          <w:bCs/>
          <w:sz w:val="20"/>
          <w:szCs w:val="20"/>
          <w:rtl/>
        </w:rPr>
        <w:t>הש"ך</w:t>
      </w:r>
      <w:r>
        <w:rPr>
          <w:rFonts w:hint="cs"/>
          <w:sz w:val="20"/>
          <w:szCs w:val="20"/>
          <w:rtl/>
        </w:rPr>
        <w:t xml:space="preserve"> הבין שהחזקה היא שאם יהיה כתם, הכובסת תגיד זאת לבעלת החלוק ולכן יש הבדל בין הזמנים. ברם, </w:t>
      </w:r>
      <w:r w:rsidRPr="00DC3855">
        <w:rPr>
          <w:rFonts w:hint="cs"/>
          <w:b/>
          <w:bCs/>
          <w:sz w:val="20"/>
          <w:szCs w:val="20"/>
          <w:rtl/>
        </w:rPr>
        <w:t>תוספות</w:t>
      </w:r>
      <w:r>
        <w:rPr>
          <w:rFonts w:hint="cs"/>
          <w:sz w:val="20"/>
          <w:szCs w:val="20"/>
          <w:rtl/>
        </w:rPr>
        <w:t xml:space="preserve"> הבינו שהחזקה היא שאם יש כתם היא תכבס אותו עד שיעבור, ולפי"ז אין הבדל בין הזמנים.</w:t>
      </w:r>
    </w:p>
    <w:p w:rsidR="00620060" w:rsidRDefault="00620060" w:rsidP="00620060">
      <w:pPr>
        <w:rPr>
          <w:sz w:val="20"/>
          <w:szCs w:val="20"/>
          <w:rtl/>
        </w:rPr>
      </w:pPr>
      <w:r w:rsidRPr="0015671A">
        <w:rPr>
          <w:rFonts w:hint="cs"/>
          <w:sz w:val="20"/>
          <w:szCs w:val="20"/>
          <w:u w:val="single"/>
          <w:rtl/>
        </w:rPr>
        <w:t>הדין בכביסה שלנו (ששבה"ל)</w:t>
      </w:r>
      <w:r>
        <w:rPr>
          <w:sz w:val="20"/>
          <w:szCs w:val="20"/>
          <w:u w:val="single"/>
          <w:rtl/>
        </w:rPr>
        <w:br/>
      </w:r>
      <w:r w:rsidRPr="0015671A">
        <w:rPr>
          <w:rFonts w:hint="cs"/>
          <w:b/>
          <w:bCs/>
          <w:sz w:val="20"/>
          <w:szCs w:val="20"/>
          <w:rtl/>
        </w:rPr>
        <w:t>שו"ע הרב</w:t>
      </w:r>
      <w:r>
        <w:rPr>
          <w:rFonts w:hint="cs"/>
          <w:sz w:val="20"/>
          <w:szCs w:val="20"/>
          <w:rtl/>
        </w:rPr>
        <w:t xml:space="preserve"> </w:t>
      </w:r>
      <w:r>
        <w:rPr>
          <w:sz w:val="20"/>
          <w:szCs w:val="20"/>
          <w:rtl/>
        </w:rPr>
        <w:t>–</w:t>
      </w:r>
      <w:r>
        <w:rPr>
          <w:rFonts w:hint="cs"/>
          <w:sz w:val="20"/>
          <w:szCs w:val="20"/>
          <w:rtl/>
        </w:rPr>
        <w:t xml:space="preserve"> בזמנינו מכבסים היטב את הבגדים, ואין זה ככיבוס הקל שהיה בזמנם, ולכן בכל עניין הכתם עובר בכביסה והכתם שמצאה מטמא.</w:t>
      </w:r>
    </w:p>
    <w:p w:rsidR="00620060" w:rsidRDefault="00620060" w:rsidP="00620060">
      <w:pPr>
        <w:rPr>
          <w:sz w:val="20"/>
          <w:szCs w:val="20"/>
          <w:rtl/>
        </w:rPr>
      </w:pPr>
      <w:r w:rsidRPr="000B1DA3">
        <w:rPr>
          <w:rFonts w:hint="cs"/>
          <w:b/>
          <w:bCs/>
          <w:sz w:val="20"/>
          <w:szCs w:val="20"/>
          <w:rtl/>
        </w:rPr>
        <w:t>סיכום</w:t>
      </w:r>
      <w:r>
        <w:rPr>
          <w:sz w:val="20"/>
          <w:szCs w:val="20"/>
          <w:rtl/>
        </w:rPr>
        <w:br/>
      </w:r>
      <w:r>
        <w:rPr>
          <w:rFonts w:hint="cs"/>
          <w:sz w:val="20"/>
          <w:szCs w:val="20"/>
          <w:rtl/>
        </w:rPr>
        <w:t xml:space="preserve">1. </w:t>
      </w:r>
      <w:r w:rsidRPr="000B1DA3">
        <w:rPr>
          <w:rFonts w:hint="cs"/>
          <w:b/>
          <w:bCs/>
          <w:sz w:val="20"/>
          <w:szCs w:val="20"/>
          <w:rtl/>
        </w:rPr>
        <w:t>משנה</w:t>
      </w:r>
      <w:r>
        <w:rPr>
          <w:rFonts w:hint="cs"/>
          <w:sz w:val="20"/>
          <w:szCs w:val="20"/>
          <w:rtl/>
        </w:rPr>
        <w:t xml:space="preserve">. כתם בחלוק מטמא למפרע עד שעת כביסה או בדיקה. </w:t>
      </w:r>
      <w:r w:rsidRPr="000B1DA3">
        <w:rPr>
          <w:rFonts w:hint="cs"/>
          <w:b/>
          <w:bCs/>
          <w:sz w:val="20"/>
          <w:szCs w:val="20"/>
          <w:rtl/>
        </w:rPr>
        <w:t>גמרא</w:t>
      </w:r>
      <w:r>
        <w:rPr>
          <w:rFonts w:hint="cs"/>
          <w:sz w:val="20"/>
          <w:szCs w:val="20"/>
          <w:rtl/>
        </w:rPr>
        <w:t>. חזקתו שנבדק בשעת הכביסה, אך אין חזקה שהכביסה מעבירה את הכתם.</w:t>
      </w:r>
      <w:r>
        <w:rPr>
          <w:rFonts w:hint="cs"/>
          <w:sz w:val="20"/>
          <w:szCs w:val="20"/>
          <w:rtl/>
        </w:rPr>
        <w:br/>
        <w:t xml:space="preserve">2. </w:t>
      </w:r>
      <w:r w:rsidRPr="000B1DA3">
        <w:rPr>
          <w:rFonts w:hint="cs"/>
          <w:b/>
          <w:bCs/>
          <w:sz w:val="20"/>
          <w:szCs w:val="20"/>
          <w:rtl/>
        </w:rPr>
        <w:t>גמרא</w:t>
      </w:r>
      <w:r>
        <w:rPr>
          <w:rFonts w:hint="cs"/>
          <w:sz w:val="20"/>
          <w:szCs w:val="20"/>
          <w:rtl/>
        </w:rPr>
        <w:t xml:space="preserve">. ג' דעות בכתם. </w:t>
      </w:r>
      <w:r w:rsidRPr="000B1DA3">
        <w:rPr>
          <w:rFonts w:hint="cs"/>
          <w:sz w:val="20"/>
          <w:szCs w:val="20"/>
          <w:u w:val="single"/>
          <w:rtl/>
        </w:rPr>
        <w:t>ר"מ</w:t>
      </w:r>
      <w:r>
        <w:rPr>
          <w:rFonts w:hint="cs"/>
          <w:sz w:val="20"/>
          <w:szCs w:val="20"/>
          <w:rtl/>
        </w:rPr>
        <w:t xml:space="preserve">. כובסת ישראלית בודקת את החלוק ולכן הכתם טמא. </w:t>
      </w:r>
      <w:r w:rsidRPr="000B1DA3">
        <w:rPr>
          <w:rFonts w:hint="cs"/>
          <w:sz w:val="20"/>
          <w:szCs w:val="20"/>
          <w:u w:val="single"/>
          <w:rtl/>
        </w:rPr>
        <w:t>רבי אחא</w:t>
      </w:r>
      <w:r>
        <w:rPr>
          <w:rFonts w:hint="cs"/>
          <w:sz w:val="20"/>
          <w:szCs w:val="20"/>
          <w:rtl/>
        </w:rPr>
        <w:t xml:space="preserve">. תכבס שנית, אם דהה ברור שהוא חדש וטמאה. </w:t>
      </w:r>
      <w:r w:rsidRPr="000B1DA3">
        <w:rPr>
          <w:rFonts w:hint="cs"/>
          <w:sz w:val="20"/>
          <w:szCs w:val="20"/>
          <w:u w:val="single"/>
          <w:rtl/>
        </w:rPr>
        <w:t>רבי</w:t>
      </w:r>
      <w:r>
        <w:rPr>
          <w:rFonts w:hint="cs"/>
          <w:sz w:val="20"/>
          <w:szCs w:val="20"/>
          <w:rtl/>
        </w:rPr>
        <w:t>. תבדוק אם הכתם מגליד טמאה, אם מקדיר טהורה.</w:t>
      </w:r>
      <w:r>
        <w:rPr>
          <w:sz w:val="20"/>
          <w:szCs w:val="20"/>
          <w:rtl/>
        </w:rPr>
        <w:br/>
      </w:r>
      <w:r>
        <w:rPr>
          <w:rFonts w:hint="cs"/>
          <w:sz w:val="20"/>
          <w:szCs w:val="20"/>
          <w:rtl/>
        </w:rPr>
        <w:t xml:space="preserve">3. </w:t>
      </w:r>
      <w:r w:rsidRPr="000B1DA3">
        <w:rPr>
          <w:rFonts w:hint="cs"/>
          <w:b/>
          <w:bCs/>
          <w:sz w:val="20"/>
          <w:szCs w:val="20"/>
          <w:rtl/>
        </w:rPr>
        <w:t>רשב"א</w:t>
      </w:r>
      <w:r>
        <w:rPr>
          <w:rFonts w:hint="cs"/>
          <w:sz w:val="20"/>
          <w:szCs w:val="20"/>
          <w:rtl/>
        </w:rPr>
        <w:t xml:space="preserve">. הלכה כר"מ, בכובסת ישראלית טמא אלא אם היא לפנינו ואומרת שלא בדקה, בכובסת גויה טהור, אלא שיש לבדוק ב'מקדיר או מגליד', ואם אין בקיאים אינו מעכב. </w:t>
      </w:r>
      <w:r w:rsidRPr="000B1DA3">
        <w:rPr>
          <w:rFonts w:hint="cs"/>
          <w:b/>
          <w:bCs/>
          <w:sz w:val="20"/>
          <w:szCs w:val="20"/>
          <w:rtl/>
        </w:rPr>
        <w:t>ראב"ד</w:t>
      </w:r>
      <w:r>
        <w:rPr>
          <w:rFonts w:hint="cs"/>
          <w:sz w:val="20"/>
          <w:szCs w:val="20"/>
          <w:rtl/>
        </w:rPr>
        <w:t xml:space="preserve">. יש לבדוק ב'מקדיר או מגליד'. </w:t>
      </w:r>
      <w:r w:rsidRPr="00273244">
        <w:rPr>
          <w:rFonts w:hint="cs"/>
          <w:b/>
          <w:bCs/>
          <w:sz w:val="20"/>
          <w:szCs w:val="20"/>
          <w:rtl/>
        </w:rPr>
        <w:t>רמב"ם</w:t>
      </w:r>
      <w:r>
        <w:rPr>
          <w:rFonts w:hint="cs"/>
          <w:sz w:val="20"/>
          <w:szCs w:val="20"/>
          <w:rtl/>
        </w:rPr>
        <w:t>. הלכה כרבי מאיר, הכל תלוי בבדיקה בשעת הכיבוס.</w:t>
      </w:r>
      <w:r>
        <w:rPr>
          <w:rFonts w:hint="cs"/>
          <w:sz w:val="20"/>
          <w:szCs w:val="20"/>
          <w:rtl/>
        </w:rPr>
        <w:br/>
        <w:t>4. מחבר. כשאפשר לברר ע"י מקדיר ומגליד יש לברר, ואם אינה בקיאה יש להחמיר. וכשהבגד אינו כאן יש להקל בכובסת ישראלית ולהקל בכובסת גויה.</w:t>
      </w:r>
      <w:r>
        <w:rPr>
          <w:sz w:val="20"/>
          <w:szCs w:val="20"/>
          <w:rtl/>
        </w:rPr>
        <w:br/>
      </w:r>
      <w:r>
        <w:rPr>
          <w:rFonts w:hint="cs"/>
          <w:sz w:val="20"/>
          <w:szCs w:val="20"/>
          <w:rtl/>
        </w:rPr>
        <w:t xml:space="preserve">5. </w:t>
      </w:r>
      <w:r w:rsidRPr="000B1DA3">
        <w:rPr>
          <w:rFonts w:hint="cs"/>
          <w:b/>
          <w:bCs/>
          <w:sz w:val="20"/>
          <w:szCs w:val="20"/>
          <w:rtl/>
        </w:rPr>
        <w:t>ש"ך</w:t>
      </w:r>
      <w:r>
        <w:rPr>
          <w:rFonts w:hint="cs"/>
          <w:sz w:val="20"/>
          <w:szCs w:val="20"/>
          <w:rtl/>
        </w:rPr>
        <w:t>. בדיקת 'מקדיר או מגליד' מהני לטהר כאשר הכובסת הישראלית אינה לפנינו.</w:t>
      </w:r>
      <w:r>
        <w:rPr>
          <w:rFonts w:hint="cs"/>
          <w:sz w:val="20"/>
          <w:szCs w:val="20"/>
          <w:rtl/>
        </w:rPr>
        <w:br/>
        <w:t xml:space="preserve">6. </w:t>
      </w:r>
      <w:r w:rsidRPr="000B1DA3">
        <w:rPr>
          <w:rFonts w:hint="cs"/>
          <w:b/>
          <w:bCs/>
          <w:sz w:val="20"/>
          <w:szCs w:val="20"/>
          <w:rtl/>
        </w:rPr>
        <w:t>ש"ך</w:t>
      </w:r>
      <w:r>
        <w:rPr>
          <w:rFonts w:hint="cs"/>
          <w:sz w:val="20"/>
          <w:szCs w:val="20"/>
          <w:rtl/>
        </w:rPr>
        <w:t>. הקולא בכובסת גויה נאמרה דווקא כשהבגד אינו כאן, אם הוא כאן יש לבדקו.</w:t>
      </w:r>
      <w:r>
        <w:rPr>
          <w:sz w:val="20"/>
          <w:szCs w:val="20"/>
          <w:rtl/>
        </w:rPr>
        <w:br/>
      </w:r>
      <w:r>
        <w:rPr>
          <w:rFonts w:hint="cs"/>
          <w:sz w:val="20"/>
          <w:szCs w:val="20"/>
          <w:rtl/>
        </w:rPr>
        <w:t xml:space="preserve">7. </w:t>
      </w:r>
      <w:r w:rsidRPr="000B1DA3">
        <w:rPr>
          <w:rFonts w:hint="cs"/>
          <w:b/>
          <w:bCs/>
          <w:sz w:val="20"/>
          <w:szCs w:val="20"/>
          <w:rtl/>
        </w:rPr>
        <w:t>ש"ך</w:t>
      </w:r>
      <w:r>
        <w:rPr>
          <w:rFonts w:hint="cs"/>
          <w:sz w:val="20"/>
          <w:szCs w:val="20"/>
          <w:rtl/>
        </w:rPr>
        <w:t>. גויה אינה נאמנת אפילו כשהיא לפנינו.</w:t>
      </w:r>
      <w:r>
        <w:rPr>
          <w:sz w:val="20"/>
          <w:szCs w:val="20"/>
          <w:rtl/>
        </w:rPr>
        <w:br/>
      </w:r>
      <w:r>
        <w:rPr>
          <w:rFonts w:hint="cs"/>
          <w:sz w:val="20"/>
          <w:szCs w:val="20"/>
          <w:rtl/>
        </w:rPr>
        <w:t xml:space="preserve">8. </w:t>
      </w:r>
      <w:r w:rsidRPr="000B1DA3">
        <w:rPr>
          <w:rFonts w:hint="cs"/>
          <w:b/>
          <w:bCs/>
          <w:sz w:val="20"/>
          <w:szCs w:val="20"/>
          <w:rtl/>
        </w:rPr>
        <w:t>ש"ך</w:t>
      </w:r>
      <w:r>
        <w:rPr>
          <w:rFonts w:hint="cs"/>
          <w:sz w:val="20"/>
          <w:szCs w:val="20"/>
          <w:rtl/>
        </w:rPr>
        <w:t xml:space="preserve">. בזמן הזה אין הכובסת אומרת שיש כתם ולכן יש להחמיר, וצ"ע בכוונתו. </w:t>
      </w:r>
      <w:r w:rsidRPr="000B1DA3">
        <w:rPr>
          <w:rFonts w:hint="cs"/>
          <w:b/>
          <w:bCs/>
          <w:sz w:val="20"/>
          <w:szCs w:val="20"/>
          <w:rtl/>
        </w:rPr>
        <w:t>ששבה"ל</w:t>
      </w:r>
      <w:r>
        <w:rPr>
          <w:rFonts w:hint="cs"/>
          <w:sz w:val="20"/>
          <w:szCs w:val="20"/>
          <w:rtl/>
        </w:rPr>
        <w:t>. לפי תוספות החזקה היא שאם יש כתם היא תכבס עד שיעבור, ולכן אין הבדל בין הזמנים.</w:t>
      </w:r>
      <w:r>
        <w:rPr>
          <w:sz w:val="20"/>
          <w:szCs w:val="20"/>
          <w:rtl/>
        </w:rPr>
        <w:br/>
      </w:r>
      <w:r>
        <w:rPr>
          <w:rFonts w:hint="cs"/>
          <w:sz w:val="20"/>
          <w:szCs w:val="20"/>
          <w:rtl/>
        </w:rPr>
        <w:t xml:space="preserve">9. </w:t>
      </w:r>
      <w:r w:rsidRPr="000B1DA3">
        <w:rPr>
          <w:rFonts w:hint="cs"/>
          <w:b/>
          <w:bCs/>
          <w:sz w:val="20"/>
          <w:szCs w:val="20"/>
          <w:rtl/>
        </w:rPr>
        <w:t>שו"ע הרב</w:t>
      </w:r>
      <w:r>
        <w:rPr>
          <w:rFonts w:hint="cs"/>
          <w:sz w:val="20"/>
          <w:szCs w:val="20"/>
          <w:rtl/>
        </w:rPr>
        <w:t xml:space="preserve">. כביסה שלנו היא חזקה ומעבירה כל כתם, לכן טמאה. </w:t>
      </w:r>
    </w:p>
    <w:p w:rsidR="00620060" w:rsidRDefault="00620060" w:rsidP="00620060">
      <w:pPr>
        <w:rPr>
          <w:rFonts w:cs="Arial"/>
          <w:sz w:val="20"/>
          <w:szCs w:val="20"/>
          <w:rtl/>
        </w:rPr>
      </w:pPr>
      <w:r>
        <w:rPr>
          <w:sz w:val="20"/>
          <w:szCs w:val="20"/>
          <w:rtl/>
        </w:rPr>
        <w:br/>
      </w:r>
      <w:r>
        <w:rPr>
          <w:rFonts w:hint="cs"/>
          <w:b/>
          <w:bCs/>
          <w:sz w:val="20"/>
          <w:szCs w:val="20"/>
          <w:rtl/>
        </w:rPr>
        <w:t xml:space="preserve">סעיף מז </w:t>
      </w:r>
      <w:r>
        <w:rPr>
          <w:b/>
          <w:bCs/>
          <w:sz w:val="20"/>
          <w:szCs w:val="20"/>
          <w:rtl/>
        </w:rPr>
        <w:t>–</w:t>
      </w:r>
      <w:r>
        <w:rPr>
          <w:rFonts w:hint="cs"/>
          <w:b/>
          <w:bCs/>
          <w:sz w:val="20"/>
          <w:szCs w:val="20"/>
          <w:rtl/>
        </w:rPr>
        <w:t xml:space="preserve"> מצאה כתם על חלוק שהשאילה לחברתה</w:t>
      </w:r>
      <w:r>
        <w:rPr>
          <w:rFonts w:hint="cs"/>
          <w:b/>
          <w:bCs/>
          <w:sz w:val="20"/>
          <w:szCs w:val="20"/>
          <w:rtl/>
        </w:rPr>
        <w:br/>
      </w:r>
      <w:r>
        <w:rPr>
          <w:rFonts w:cs="Arial" w:hint="cs"/>
          <w:b/>
          <w:bCs/>
          <w:sz w:val="20"/>
          <w:szCs w:val="20"/>
          <w:rtl/>
        </w:rPr>
        <w:t>פסיקת הלכה</w:t>
      </w:r>
      <w:r>
        <w:rPr>
          <w:rFonts w:cs="Arial"/>
          <w:b/>
          <w:bCs/>
          <w:sz w:val="20"/>
          <w:szCs w:val="20"/>
          <w:rtl/>
        </w:rPr>
        <w:br/>
      </w:r>
      <w:r>
        <w:rPr>
          <w:rFonts w:cs="Arial" w:hint="cs"/>
          <w:b/>
          <w:bCs/>
          <w:sz w:val="20"/>
          <w:szCs w:val="20"/>
          <w:rtl/>
        </w:rPr>
        <w:t>שולחן ערוך</w:t>
      </w:r>
      <w:r>
        <w:rPr>
          <w:rFonts w:hint="cs"/>
          <w:sz w:val="20"/>
          <w:szCs w:val="20"/>
          <w:rtl/>
        </w:rPr>
        <w:t xml:space="preserve"> </w:t>
      </w:r>
      <w:r w:rsidRPr="005D7978">
        <w:rPr>
          <w:rFonts w:hint="cs"/>
          <w:sz w:val="18"/>
          <w:szCs w:val="18"/>
          <w:rtl/>
        </w:rPr>
        <w:t xml:space="preserve">(ע"פ </w:t>
      </w:r>
      <w:r w:rsidRPr="005D7978">
        <w:rPr>
          <w:rFonts w:hint="cs"/>
          <w:b/>
          <w:bCs/>
          <w:sz w:val="18"/>
          <w:szCs w:val="18"/>
          <w:rtl/>
        </w:rPr>
        <w:t>הטור</w:t>
      </w:r>
      <w:r w:rsidRPr="005D7978">
        <w:rPr>
          <w:rFonts w:hint="cs"/>
          <w:sz w:val="18"/>
          <w:szCs w:val="18"/>
          <w:rtl/>
        </w:rPr>
        <w:t xml:space="preserve">) </w:t>
      </w:r>
      <w:r>
        <w:rPr>
          <w:sz w:val="20"/>
          <w:szCs w:val="20"/>
          <w:rtl/>
        </w:rPr>
        <w:t>–</w:t>
      </w:r>
      <w:r>
        <w:rPr>
          <w:rFonts w:hint="cs"/>
          <w:sz w:val="20"/>
          <w:szCs w:val="20"/>
          <w:rtl/>
        </w:rPr>
        <w:t xml:space="preserve"> "</w:t>
      </w:r>
      <w:r w:rsidRPr="005D7978">
        <w:rPr>
          <w:rFonts w:cs="Arial"/>
          <w:sz w:val="20"/>
          <w:szCs w:val="20"/>
          <w:rtl/>
        </w:rPr>
        <w:t>לבשה חלוק הבדוק לה, ופשטתו וכבסתו והשאילתו לחבירתה, ונמצא עליו כתם, אם מגליד, בידוע שמהשניה היא והיא טמאה והראשונה טהורה. ואם הוא מקדיר, בידוע שמהראש</w:t>
      </w:r>
      <w:r>
        <w:rPr>
          <w:rFonts w:cs="Arial"/>
          <w:sz w:val="20"/>
          <w:szCs w:val="20"/>
          <w:rtl/>
        </w:rPr>
        <w:t>ונה היא, והיא טמאה והשניה טהורה</w:t>
      </w:r>
      <w:r>
        <w:rPr>
          <w:rFonts w:cs="Arial" w:hint="cs"/>
          <w:sz w:val="20"/>
          <w:szCs w:val="20"/>
          <w:rtl/>
        </w:rPr>
        <w:t>".</w:t>
      </w:r>
    </w:p>
    <w:p w:rsidR="00620060" w:rsidRDefault="00620060" w:rsidP="00620060">
      <w:pPr>
        <w:rPr>
          <w:b/>
          <w:bCs/>
          <w:sz w:val="20"/>
          <w:szCs w:val="20"/>
          <w:rtl/>
        </w:rPr>
      </w:pPr>
      <w:r>
        <w:rPr>
          <w:rFonts w:cs="Arial" w:hint="cs"/>
          <w:sz w:val="20"/>
          <w:szCs w:val="20"/>
          <w:u w:val="single"/>
          <w:rtl/>
        </w:rPr>
        <w:t>אין יכולים לעמוד על בירור הדבר ואם הבגד אבד (ש"ך)</w:t>
      </w:r>
      <w:r>
        <w:rPr>
          <w:rFonts w:cs="Arial"/>
          <w:sz w:val="20"/>
          <w:szCs w:val="20"/>
          <w:u w:val="single"/>
          <w:rtl/>
        </w:rPr>
        <w:br/>
      </w:r>
      <w:r w:rsidRPr="005D7978">
        <w:rPr>
          <w:rFonts w:cs="Arial" w:hint="cs"/>
          <w:b/>
          <w:bCs/>
          <w:sz w:val="20"/>
          <w:szCs w:val="20"/>
          <w:rtl/>
        </w:rPr>
        <w:t xml:space="preserve">טור </w:t>
      </w:r>
      <w:r>
        <w:rPr>
          <w:rFonts w:cs="Arial"/>
          <w:sz w:val="20"/>
          <w:szCs w:val="20"/>
          <w:rtl/>
        </w:rPr>
        <w:t>–</w:t>
      </w:r>
      <w:r>
        <w:rPr>
          <w:rFonts w:cs="Arial" w:hint="cs"/>
          <w:sz w:val="20"/>
          <w:szCs w:val="20"/>
          <w:rtl/>
        </w:rPr>
        <w:t xml:space="preserve"> אם אין יכולים לעמוד על בירור הדבר, שתיהן טמאות.</w:t>
      </w:r>
      <w:r>
        <w:rPr>
          <w:rFonts w:cs="Arial"/>
          <w:sz w:val="20"/>
          <w:szCs w:val="20"/>
          <w:rtl/>
        </w:rPr>
        <w:br/>
      </w:r>
      <w:r>
        <w:rPr>
          <w:rFonts w:cs="Arial" w:hint="cs"/>
          <w:sz w:val="20"/>
          <w:szCs w:val="20"/>
          <w:rtl/>
        </w:rPr>
        <w:t xml:space="preserve">ונחלקו האחרונים בביאור דין זה - </w:t>
      </w:r>
      <w:r>
        <w:rPr>
          <w:rFonts w:cs="Arial" w:hint="cs"/>
          <w:sz w:val="20"/>
          <w:szCs w:val="20"/>
          <w:u w:val="single"/>
          <w:rtl/>
        </w:rPr>
        <w:br/>
      </w:r>
      <w:r>
        <w:rPr>
          <w:rFonts w:cs="Arial" w:hint="cs"/>
          <w:sz w:val="20"/>
          <w:szCs w:val="20"/>
          <w:rtl/>
        </w:rPr>
        <w:t xml:space="preserve">א. </w:t>
      </w:r>
      <w:r>
        <w:rPr>
          <w:rFonts w:cs="Arial" w:hint="cs"/>
          <w:b/>
          <w:bCs/>
          <w:sz w:val="20"/>
          <w:szCs w:val="20"/>
          <w:rtl/>
        </w:rPr>
        <w:t>לבוש</w:t>
      </w:r>
      <w:r>
        <w:rPr>
          <w:rFonts w:cs="Arial" w:hint="cs"/>
          <w:sz w:val="20"/>
          <w:szCs w:val="20"/>
          <w:rtl/>
        </w:rPr>
        <w:t xml:space="preserve"> </w:t>
      </w:r>
      <w:r>
        <w:rPr>
          <w:rFonts w:cs="Arial"/>
          <w:sz w:val="20"/>
          <w:szCs w:val="20"/>
          <w:rtl/>
        </w:rPr>
        <w:t>–</w:t>
      </w:r>
      <w:r>
        <w:rPr>
          <w:rFonts w:cs="Arial" w:hint="cs"/>
          <w:sz w:val="20"/>
          <w:szCs w:val="20"/>
          <w:rtl/>
        </w:rPr>
        <w:t xml:space="preserve"> טעם הדין הוא, משום שזה ספק הנובע מחוסר ידיעה.</w:t>
      </w:r>
      <w:r>
        <w:rPr>
          <w:rFonts w:cs="Arial"/>
          <w:sz w:val="20"/>
          <w:szCs w:val="20"/>
          <w:rtl/>
        </w:rPr>
        <w:br/>
      </w:r>
      <w:r>
        <w:rPr>
          <w:rFonts w:cs="Arial" w:hint="cs"/>
          <w:sz w:val="20"/>
          <w:szCs w:val="20"/>
          <w:rtl/>
        </w:rPr>
        <w:t>ולפי"ז, אם החלוק אבד שתיהן טהורות, משום שזהו ספק אמיתי.</w:t>
      </w:r>
      <w:r>
        <w:rPr>
          <w:rFonts w:cs="Arial"/>
          <w:sz w:val="20"/>
          <w:szCs w:val="20"/>
          <w:u w:val="single"/>
          <w:rtl/>
        </w:rPr>
        <w:br/>
      </w:r>
      <w:r>
        <w:rPr>
          <w:rFonts w:cs="Arial" w:hint="cs"/>
          <w:sz w:val="20"/>
          <w:szCs w:val="20"/>
          <w:rtl/>
        </w:rPr>
        <w:t xml:space="preserve">א. </w:t>
      </w:r>
      <w:r w:rsidRPr="005D7978">
        <w:rPr>
          <w:rFonts w:cs="Arial" w:hint="cs"/>
          <w:b/>
          <w:bCs/>
          <w:sz w:val="20"/>
          <w:szCs w:val="20"/>
          <w:rtl/>
        </w:rPr>
        <w:t>ש"ך</w:t>
      </w:r>
      <w:r>
        <w:rPr>
          <w:rFonts w:cs="Arial" w:hint="cs"/>
          <w:sz w:val="20"/>
          <w:szCs w:val="20"/>
          <w:rtl/>
        </w:rPr>
        <w:t xml:space="preserve"> </w:t>
      </w:r>
      <w:r>
        <w:rPr>
          <w:rFonts w:cs="Arial"/>
          <w:sz w:val="20"/>
          <w:szCs w:val="20"/>
          <w:rtl/>
        </w:rPr>
        <w:t>–</w:t>
      </w:r>
      <w:r>
        <w:rPr>
          <w:rFonts w:cs="Arial" w:hint="cs"/>
          <w:sz w:val="20"/>
          <w:szCs w:val="20"/>
          <w:rtl/>
        </w:rPr>
        <w:t xml:space="preserve"> טעם הדין הוא, משום ששתיהן טהורות ואין לתלות באחת יותר מבחברתה.</w:t>
      </w:r>
      <w:r>
        <w:rPr>
          <w:rFonts w:cs="Arial"/>
          <w:sz w:val="20"/>
          <w:szCs w:val="20"/>
          <w:rtl/>
        </w:rPr>
        <w:br/>
      </w:r>
      <w:r>
        <w:rPr>
          <w:rFonts w:cs="Arial" w:hint="cs"/>
          <w:sz w:val="20"/>
          <w:szCs w:val="20"/>
          <w:rtl/>
        </w:rPr>
        <w:t>ולפי"ז, אפילו אם החלוק אבד שתיהן טמאות.</w:t>
      </w:r>
    </w:p>
    <w:p w:rsidR="00620060"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5D7978">
        <w:rPr>
          <w:rFonts w:hint="cs"/>
          <w:b/>
          <w:bCs/>
          <w:sz w:val="20"/>
          <w:szCs w:val="20"/>
          <w:rtl/>
        </w:rPr>
        <w:t>שו"ע</w:t>
      </w:r>
      <w:r>
        <w:rPr>
          <w:rFonts w:hint="cs"/>
          <w:sz w:val="20"/>
          <w:szCs w:val="20"/>
          <w:rtl/>
        </w:rPr>
        <w:t>. השאילה חלוק ונמצא כתם אך אין ידוע מי טמאה. מגליד - שנייה טמאה; מקדיר - ראשונה טמאה.</w:t>
      </w:r>
      <w:r>
        <w:rPr>
          <w:rFonts w:hint="cs"/>
          <w:sz w:val="20"/>
          <w:szCs w:val="20"/>
          <w:rtl/>
        </w:rPr>
        <w:br/>
        <w:t xml:space="preserve">2. </w:t>
      </w:r>
      <w:r w:rsidRPr="005D7978">
        <w:rPr>
          <w:rFonts w:hint="cs"/>
          <w:b/>
          <w:bCs/>
          <w:sz w:val="20"/>
          <w:szCs w:val="20"/>
          <w:rtl/>
        </w:rPr>
        <w:t>טור</w:t>
      </w:r>
      <w:r>
        <w:rPr>
          <w:rFonts w:hint="cs"/>
          <w:sz w:val="20"/>
          <w:szCs w:val="20"/>
          <w:rtl/>
        </w:rPr>
        <w:t xml:space="preserve">. אם אין יכולים לעמוד על בירור הדבר שתיהן טמאות. </w:t>
      </w:r>
      <w:r w:rsidRPr="005D7978">
        <w:rPr>
          <w:rFonts w:hint="cs"/>
          <w:b/>
          <w:bCs/>
          <w:sz w:val="20"/>
          <w:szCs w:val="20"/>
          <w:rtl/>
        </w:rPr>
        <w:t>טעם</w:t>
      </w:r>
      <w:r>
        <w:rPr>
          <w:rFonts w:hint="cs"/>
          <w:sz w:val="20"/>
          <w:szCs w:val="20"/>
          <w:rtl/>
        </w:rPr>
        <w:t xml:space="preserve">. </w:t>
      </w:r>
      <w:r>
        <w:rPr>
          <w:rFonts w:hint="cs"/>
          <w:b/>
          <w:bCs/>
          <w:sz w:val="20"/>
          <w:szCs w:val="20"/>
          <w:rtl/>
        </w:rPr>
        <w:t>לבוש</w:t>
      </w:r>
      <w:r>
        <w:rPr>
          <w:rFonts w:hint="cs"/>
          <w:sz w:val="20"/>
          <w:szCs w:val="20"/>
          <w:rtl/>
        </w:rPr>
        <w:t xml:space="preserve">. זהו ספק מחמת חוסר ידיעה, ולפי"ז אם אבד טהורות. </w:t>
      </w:r>
      <w:r w:rsidRPr="005D7978">
        <w:rPr>
          <w:rFonts w:hint="cs"/>
          <w:b/>
          <w:bCs/>
          <w:sz w:val="20"/>
          <w:szCs w:val="20"/>
          <w:rtl/>
        </w:rPr>
        <w:t>ש"ך</w:t>
      </w:r>
      <w:r>
        <w:rPr>
          <w:rFonts w:hint="cs"/>
          <w:sz w:val="20"/>
          <w:szCs w:val="20"/>
          <w:rtl/>
        </w:rPr>
        <w:t>. שתיהן טהורות ואין לתלות באחת יותר מחברתה, ולפי"ז הוא הדין אם אבד.</w:t>
      </w:r>
    </w:p>
    <w:p w:rsidR="00620060" w:rsidRPr="00DC56A9" w:rsidRDefault="00620060" w:rsidP="00620060">
      <w:pPr>
        <w:rPr>
          <w:sz w:val="20"/>
          <w:szCs w:val="20"/>
        </w:rPr>
      </w:pPr>
      <w:r>
        <w:rPr>
          <w:sz w:val="20"/>
          <w:szCs w:val="20"/>
          <w:rtl/>
        </w:rPr>
        <w:br/>
      </w:r>
      <w:r>
        <w:rPr>
          <w:rFonts w:hint="cs"/>
          <w:b/>
          <w:bCs/>
          <w:sz w:val="20"/>
          <w:szCs w:val="20"/>
          <w:rtl/>
        </w:rPr>
        <w:t xml:space="preserve">סעיף מח </w:t>
      </w:r>
      <w:r>
        <w:rPr>
          <w:b/>
          <w:bCs/>
          <w:sz w:val="20"/>
          <w:szCs w:val="20"/>
          <w:rtl/>
        </w:rPr>
        <w:t>–</w:t>
      </w:r>
      <w:r>
        <w:rPr>
          <w:rFonts w:hint="cs"/>
          <w:b/>
          <w:bCs/>
          <w:sz w:val="20"/>
          <w:szCs w:val="20"/>
          <w:rtl/>
        </w:rPr>
        <w:t xml:space="preserve"> ארוכה שלבשה חלוק של קצרה ולהיפך</w:t>
      </w:r>
      <w:r>
        <w:rPr>
          <w:b/>
          <w:bCs/>
          <w:sz w:val="20"/>
          <w:szCs w:val="20"/>
          <w:rtl/>
        </w:rPr>
        <w:br/>
      </w:r>
      <w:r>
        <w:rPr>
          <w:rFonts w:hint="cs"/>
          <w:b/>
          <w:bCs/>
          <w:sz w:val="20"/>
          <w:szCs w:val="20"/>
          <w:rtl/>
        </w:rPr>
        <w:t>מקור הדין</w:t>
      </w:r>
      <w:r>
        <w:rPr>
          <w:b/>
          <w:bCs/>
          <w:sz w:val="20"/>
          <w:szCs w:val="20"/>
          <w:rtl/>
        </w:rPr>
        <w:br/>
      </w:r>
      <w:r>
        <w:rPr>
          <w:rFonts w:hint="cs"/>
          <w:b/>
          <w:bCs/>
          <w:sz w:val="20"/>
          <w:szCs w:val="20"/>
          <w:rtl/>
        </w:rPr>
        <w:lastRenderedPageBreak/>
        <w:t xml:space="preserve">גמרא </w:t>
      </w:r>
      <w:r>
        <w:rPr>
          <w:rFonts w:hint="cs"/>
          <w:sz w:val="20"/>
          <w:szCs w:val="20"/>
          <w:rtl/>
        </w:rPr>
        <w:t>נדה (נח.) "</w:t>
      </w:r>
      <w:r w:rsidRPr="00DC56A9">
        <w:rPr>
          <w:rFonts w:cs="Arial"/>
          <w:sz w:val="20"/>
          <w:szCs w:val="20"/>
          <w:rtl/>
        </w:rPr>
        <w:t>ת</w:t>
      </w:r>
      <w:r>
        <w:rPr>
          <w:rFonts w:cs="Arial" w:hint="cs"/>
          <w:sz w:val="20"/>
          <w:szCs w:val="20"/>
          <w:rtl/>
        </w:rPr>
        <w:t>נו רבנן</w:t>
      </w:r>
      <w:r w:rsidRPr="00DC56A9">
        <w:rPr>
          <w:rFonts w:cs="Arial"/>
          <w:sz w:val="20"/>
          <w:szCs w:val="20"/>
          <w:rtl/>
        </w:rPr>
        <w:t xml:space="preserve">: ארוכה שלבשה חלוקה של קצרה, וקצרה שלבשה חלוקה של ארוכה, אם מגיע כנגד בית התורפה של ארוכה - שתיהן טמאות: ואם לאו, ארוכה - טהורה, וקצרה </w:t>
      </w:r>
      <w:r>
        <w:rPr>
          <w:rFonts w:cs="Arial"/>
          <w:sz w:val="20"/>
          <w:szCs w:val="20"/>
          <w:rtl/>
        </w:rPr>
        <w:t>–</w:t>
      </w:r>
      <w:r w:rsidRPr="00DC56A9">
        <w:rPr>
          <w:rFonts w:cs="Arial"/>
          <w:sz w:val="20"/>
          <w:szCs w:val="20"/>
          <w:rtl/>
        </w:rPr>
        <w:t xml:space="preserve"> טמאה</w:t>
      </w:r>
      <w:r>
        <w:rPr>
          <w:rFonts w:cs="Arial" w:hint="cs"/>
          <w:sz w:val="20"/>
          <w:szCs w:val="20"/>
          <w:rtl/>
        </w:rPr>
        <w:t>"</w:t>
      </w:r>
      <w:r w:rsidRPr="00DC56A9">
        <w:rPr>
          <w:rFonts w:cs="Arial"/>
          <w:sz w:val="20"/>
          <w:szCs w:val="20"/>
          <w:rtl/>
        </w:rPr>
        <w:t>.</w:t>
      </w:r>
    </w:p>
    <w:p w:rsidR="00620060" w:rsidRDefault="00620060" w:rsidP="00620060">
      <w:pPr>
        <w:rPr>
          <w:sz w:val="20"/>
          <w:szCs w:val="20"/>
          <w:rtl/>
        </w:rPr>
      </w:pPr>
      <w:r>
        <w:rPr>
          <w:rFonts w:cs="Arial" w:hint="cs"/>
          <w:b/>
          <w:bCs/>
          <w:sz w:val="20"/>
          <w:szCs w:val="20"/>
          <w:rtl/>
        </w:rPr>
        <w:t>פסיקת הלכה</w:t>
      </w:r>
      <w:r>
        <w:rPr>
          <w:rFonts w:cs="Arial"/>
          <w:b/>
          <w:bCs/>
          <w:sz w:val="20"/>
          <w:szCs w:val="20"/>
          <w:rtl/>
        </w:rPr>
        <w:br/>
      </w:r>
      <w:r>
        <w:rPr>
          <w:rFonts w:cs="Arial" w:hint="cs"/>
          <w:b/>
          <w:bCs/>
          <w:sz w:val="20"/>
          <w:szCs w:val="20"/>
          <w:rtl/>
        </w:rPr>
        <w:t>שולחן ערוך</w:t>
      </w:r>
      <w:r>
        <w:rPr>
          <w:rFonts w:hint="cs"/>
          <w:sz w:val="20"/>
          <w:szCs w:val="20"/>
          <w:rtl/>
        </w:rPr>
        <w:t xml:space="preserve"> </w:t>
      </w:r>
      <w:r>
        <w:rPr>
          <w:sz w:val="20"/>
          <w:szCs w:val="20"/>
          <w:rtl/>
        </w:rPr>
        <w:t>–</w:t>
      </w:r>
      <w:r>
        <w:rPr>
          <w:rFonts w:hint="cs"/>
          <w:sz w:val="20"/>
          <w:szCs w:val="20"/>
          <w:rtl/>
        </w:rPr>
        <w:t xml:space="preserve"> "</w:t>
      </w:r>
      <w:r w:rsidRPr="00DC56A9">
        <w:rPr>
          <w:rFonts w:cs="Arial"/>
          <w:sz w:val="20"/>
          <w:szCs w:val="20"/>
          <w:rtl/>
        </w:rPr>
        <w:t xml:space="preserve">שתי נשים שלבשו חלוק אחד בדוק ונמצא בו כתם, אם הוא מהחגור ולמטה לשתיהן, שתיהן טמאות. ואם הוא למעלה מהחגור לשתיהן, שתיהן טהורות. היתה אחת ארוכה ואחת קצרה, אם הוא מהחגור ולמטה לארוכה </w:t>
      </w:r>
      <w:r>
        <w:rPr>
          <w:rFonts w:cs="Arial" w:hint="cs"/>
          <w:sz w:val="20"/>
          <w:szCs w:val="20"/>
          <w:rtl/>
        </w:rPr>
        <w:t>כל שכן</w:t>
      </w:r>
      <w:r w:rsidRPr="00DC56A9">
        <w:rPr>
          <w:rFonts w:cs="Arial"/>
          <w:sz w:val="20"/>
          <w:szCs w:val="20"/>
          <w:rtl/>
        </w:rPr>
        <w:t xml:space="preserve"> שהוא לקצרה, שתיהן טמאות. ואם הוא מהחגור ולמטה לקצרה, ולמעלה מהחגור לארוכה, קצרה טמאה, וארוכה טהורה</w:t>
      </w:r>
      <w:r>
        <w:rPr>
          <w:rFonts w:hint="cs"/>
          <w:sz w:val="20"/>
          <w:szCs w:val="20"/>
          <w:rtl/>
        </w:rPr>
        <w:t>".</w:t>
      </w:r>
    </w:p>
    <w:p w:rsidR="00620060" w:rsidRPr="00DC56A9" w:rsidRDefault="00620060" w:rsidP="00620060">
      <w:pPr>
        <w:rPr>
          <w:b/>
          <w:bCs/>
          <w:sz w:val="20"/>
          <w:szCs w:val="20"/>
          <w:rtl/>
        </w:rPr>
      </w:pPr>
      <w:r>
        <w:rPr>
          <w:rFonts w:hint="cs"/>
          <w:b/>
          <w:bCs/>
          <w:sz w:val="20"/>
          <w:szCs w:val="20"/>
          <w:rtl/>
        </w:rPr>
        <w:t>כיסו ראשן בחלוק בלילה</w:t>
      </w:r>
      <w:r>
        <w:rPr>
          <w:b/>
          <w:bCs/>
          <w:sz w:val="20"/>
          <w:szCs w:val="20"/>
          <w:rtl/>
        </w:rPr>
        <w:br/>
      </w:r>
      <w:r>
        <w:rPr>
          <w:rFonts w:cs="Arial" w:hint="cs"/>
          <w:b/>
          <w:bCs/>
          <w:sz w:val="20"/>
          <w:szCs w:val="20"/>
          <w:rtl/>
        </w:rPr>
        <w:t>פסיקת הלכה</w:t>
      </w:r>
      <w:r>
        <w:rPr>
          <w:rFonts w:cs="Arial"/>
          <w:b/>
          <w:bCs/>
          <w:sz w:val="20"/>
          <w:szCs w:val="20"/>
          <w:rtl/>
        </w:rPr>
        <w:br/>
      </w:r>
      <w:r>
        <w:rPr>
          <w:rFonts w:cs="Arial" w:hint="cs"/>
          <w:b/>
          <w:bCs/>
          <w:sz w:val="20"/>
          <w:szCs w:val="20"/>
          <w:rtl/>
        </w:rPr>
        <w:t>שולחן ערוך</w:t>
      </w:r>
      <w:r w:rsidRPr="00DC56A9">
        <w:rPr>
          <w:rStyle w:val="a5"/>
          <w:rFonts w:cs="Arial"/>
          <w:sz w:val="20"/>
          <w:szCs w:val="20"/>
          <w:rtl/>
        </w:rPr>
        <w:footnoteReference w:id="345"/>
      </w:r>
      <w:r>
        <w:rPr>
          <w:rFonts w:hint="cs"/>
          <w:sz w:val="20"/>
          <w:szCs w:val="20"/>
          <w:rtl/>
        </w:rPr>
        <w:t xml:space="preserve"> </w:t>
      </w:r>
      <w:r w:rsidRPr="00DC56A9">
        <w:rPr>
          <w:sz w:val="20"/>
          <w:szCs w:val="20"/>
          <w:rtl/>
        </w:rPr>
        <w:t>–</w:t>
      </w:r>
      <w:r w:rsidRPr="00DC56A9">
        <w:rPr>
          <w:rFonts w:hint="cs"/>
          <w:sz w:val="20"/>
          <w:szCs w:val="20"/>
          <w:rtl/>
        </w:rPr>
        <w:t xml:space="preserve"> "</w:t>
      </w:r>
      <w:r w:rsidRPr="00DC56A9">
        <w:rPr>
          <w:rFonts w:cs="Arial"/>
          <w:sz w:val="20"/>
          <w:szCs w:val="20"/>
          <w:rtl/>
        </w:rPr>
        <w:t>במה דברים אמורים, כשלא פשטו אותו בלילה לכסות בו את ראשן, אבל אם כיסו בו את ראשן, שתיהן טמאות. כיסתה אחת מהן את ראשה ולא השנ</w:t>
      </w:r>
      <w:r>
        <w:rPr>
          <w:rFonts w:cs="Arial" w:hint="cs"/>
          <w:sz w:val="20"/>
          <w:szCs w:val="20"/>
          <w:rtl/>
        </w:rPr>
        <w:t>י</w:t>
      </w:r>
      <w:r w:rsidRPr="00DC56A9">
        <w:rPr>
          <w:rFonts w:cs="Arial"/>
          <w:sz w:val="20"/>
          <w:szCs w:val="20"/>
          <w:rtl/>
        </w:rPr>
        <w:t>יה, אותה שכיסתה את ראשה טמאה, וחבירתה טהורה</w:t>
      </w:r>
      <w:r>
        <w:rPr>
          <w:rFonts w:cs="Arial" w:hint="cs"/>
          <w:sz w:val="20"/>
          <w:szCs w:val="20"/>
          <w:rtl/>
        </w:rPr>
        <w:t>"</w:t>
      </w:r>
      <w:r w:rsidRPr="00DC56A9">
        <w:rPr>
          <w:rFonts w:cs="Arial"/>
          <w:sz w:val="20"/>
          <w:szCs w:val="20"/>
          <w:rtl/>
        </w:rPr>
        <w:t>.</w:t>
      </w:r>
    </w:p>
    <w:p w:rsidR="00620060" w:rsidRDefault="00620060" w:rsidP="00620060">
      <w:pPr>
        <w:rPr>
          <w:sz w:val="20"/>
          <w:szCs w:val="20"/>
          <w:rtl/>
        </w:rPr>
      </w:pPr>
      <w:r>
        <w:rPr>
          <w:sz w:val="20"/>
          <w:szCs w:val="20"/>
          <w:rtl/>
        </w:rPr>
        <w:br/>
      </w:r>
      <w:r>
        <w:rPr>
          <w:rFonts w:hint="cs"/>
          <w:b/>
          <w:bCs/>
          <w:sz w:val="20"/>
          <w:szCs w:val="20"/>
          <w:rtl/>
        </w:rPr>
        <w:t xml:space="preserve">סעיף מט </w:t>
      </w:r>
      <w:r>
        <w:rPr>
          <w:b/>
          <w:bCs/>
          <w:sz w:val="20"/>
          <w:szCs w:val="20"/>
          <w:rtl/>
        </w:rPr>
        <w:t>–</w:t>
      </w:r>
      <w:r>
        <w:rPr>
          <w:rFonts w:hint="cs"/>
          <w:b/>
          <w:bCs/>
          <w:sz w:val="20"/>
          <w:szCs w:val="20"/>
          <w:rtl/>
        </w:rPr>
        <w:t xml:space="preserve"> שלוש נשים שלבשו חלוק אחד</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משנה </w:t>
      </w:r>
      <w:r>
        <w:rPr>
          <w:rFonts w:hint="cs"/>
          <w:sz w:val="20"/>
          <w:szCs w:val="20"/>
          <w:rtl/>
        </w:rPr>
        <w:t>נידה (נט:) "</w:t>
      </w:r>
      <w:r>
        <w:rPr>
          <w:rFonts w:cs="Arial" w:hint="cs"/>
          <w:sz w:val="20"/>
          <w:szCs w:val="20"/>
          <w:rtl/>
        </w:rPr>
        <w:t>שלוש</w:t>
      </w:r>
      <w:r w:rsidRPr="00FE1945">
        <w:rPr>
          <w:rFonts w:cs="Arial"/>
          <w:sz w:val="20"/>
          <w:szCs w:val="20"/>
          <w:rtl/>
        </w:rPr>
        <w:t xml:space="preserve"> נשים שלבשו חלוק אחד, או שישבו על ספסל</w:t>
      </w:r>
      <w:r>
        <w:rPr>
          <w:rFonts w:cs="Arial"/>
          <w:sz w:val="20"/>
          <w:szCs w:val="20"/>
          <w:rtl/>
        </w:rPr>
        <w:t xml:space="preserve"> אחד ונמצא עליו דם - כולן טמאות</w:t>
      </w:r>
      <w:r>
        <w:rPr>
          <w:rFonts w:cs="Arial" w:hint="cs"/>
          <w:sz w:val="20"/>
          <w:szCs w:val="20"/>
          <w:rtl/>
        </w:rPr>
        <w:t>".</w:t>
      </w:r>
      <w:r>
        <w:rPr>
          <w:sz w:val="20"/>
          <w:szCs w:val="20"/>
          <w:rtl/>
        </w:rPr>
        <w:br/>
      </w:r>
      <w:r w:rsidRPr="00401B45">
        <w:rPr>
          <w:rFonts w:hint="cs"/>
          <w:b/>
          <w:bCs/>
          <w:sz w:val="20"/>
          <w:szCs w:val="20"/>
          <w:rtl/>
        </w:rPr>
        <w:t>בית יוסף</w:t>
      </w:r>
      <w:r>
        <w:rPr>
          <w:rFonts w:hint="cs"/>
          <w:sz w:val="20"/>
          <w:szCs w:val="20"/>
          <w:rtl/>
        </w:rPr>
        <w:t xml:space="preserve"> </w:t>
      </w:r>
      <w:r>
        <w:rPr>
          <w:sz w:val="20"/>
          <w:szCs w:val="20"/>
          <w:rtl/>
        </w:rPr>
        <w:t>–</w:t>
      </w:r>
      <w:r>
        <w:rPr>
          <w:rFonts w:hint="cs"/>
          <w:sz w:val="20"/>
          <w:szCs w:val="20"/>
          <w:rtl/>
        </w:rPr>
        <w:t xml:space="preserve"> מדובר שלבשו אחת אחרי השנייה ולא בדקו בינתיים. כמו כן מדובר שכולן שוות, ואין סיבה לתלות את הדם באחת יותר מחברתה, יבואר בהמשך הסימן אי"ה. כמו כן, מדובר באופן שהחלוק או הספסל מקבלים טומאה.</w:t>
      </w:r>
    </w:p>
    <w:p w:rsidR="00620060" w:rsidRDefault="00620060" w:rsidP="00620060">
      <w:pPr>
        <w:rPr>
          <w:sz w:val="20"/>
          <w:szCs w:val="20"/>
          <w:rtl/>
        </w:rPr>
      </w:pPr>
      <w:r>
        <w:rPr>
          <w:rFonts w:cs="Arial" w:hint="cs"/>
          <w:b/>
          <w:bCs/>
          <w:sz w:val="20"/>
          <w:szCs w:val="20"/>
          <w:rtl/>
        </w:rPr>
        <w:t>פסיקת הלכה</w:t>
      </w:r>
      <w:r>
        <w:rPr>
          <w:rFonts w:cs="Arial"/>
          <w:b/>
          <w:bCs/>
          <w:sz w:val="20"/>
          <w:szCs w:val="20"/>
          <w:rtl/>
        </w:rPr>
        <w:br/>
      </w:r>
      <w:r>
        <w:rPr>
          <w:rFonts w:cs="Arial" w:hint="cs"/>
          <w:b/>
          <w:bCs/>
          <w:sz w:val="20"/>
          <w:szCs w:val="20"/>
          <w:rtl/>
        </w:rPr>
        <w:t>שולחן ערוך</w:t>
      </w:r>
      <w:r>
        <w:rPr>
          <w:rFonts w:hint="cs"/>
          <w:sz w:val="20"/>
          <w:szCs w:val="20"/>
          <w:rtl/>
        </w:rPr>
        <w:t xml:space="preserve"> </w:t>
      </w:r>
      <w:r>
        <w:rPr>
          <w:sz w:val="20"/>
          <w:szCs w:val="20"/>
          <w:rtl/>
        </w:rPr>
        <w:t>–</w:t>
      </w:r>
      <w:r>
        <w:rPr>
          <w:rFonts w:hint="cs"/>
          <w:sz w:val="20"/>
          <w:szCs w:val="20"/>
          <w:rtl/>
        </w:rPr>
        <w:t xml:space="preserve"> "</w:t>
      </w:r>
      <w:r w:rsidRPr="00FE1945">
        <w:rPr>
          <w:rFonts w:cs="Arial"/>
          <w:sz w:val="20"/>
          <w:szCs w:val="20"/>
          <w:rtl/>
        </w:rPr>
        <w:t>של</w:t>
      </w:r>
      <w:r>
        <w:rPr>
          <w:rFonts w:cs="Arial" w:hint="cs"/>
          <w:sz w:val="20"/>
          <w:szCs w:val="20"/>
          <w:rtl/>
        </w:rPr>
        <w:t>ו</w:t>
      </w:r>
      <w:r w:rsidRPr="00FE1945">
        <w:rPr>
          <w:rFonts w:cs="Arial"/>
          <w:sz w:val="20"/>
          <w:szCs w:val="20"/>
          <w:rtl/>
        </w:rPr>
        <w:t>ש נשים שלבשו חלוק אחד, או שישבו על ספסל אחד זו אחר זו, ואח</w:t>
      </w:r>
      <w:r>
        <w:rPr>
          <w:rFonts w:cs="Arial" w:hint="cs"/>
          <w:sz w:val="20"/>
          <w:szCs w:val="20"/>
          <w:rtl/>
        </w:rPr>
        <w:t xml:space="preserve">ר </w:t>
      </w:r>
      <w:r w:rsidRPr="00FE1945">
        <w:rPr>
          <w:rFonts w:cs="Arial"/>
          <w:sz w:val="20"/>
          <w:szCs w:val="20"/>
          <w:rtl/>
        </w:rPr>
        <w:t>כ</w:t>
      </w:r>
      <w:r>
        <w:rPr>
          <w:rFonts w:cs="Arial" w:hint="cs"/>
          <w:sz w:val="20"/>
          <w:szCs w:val="20"/>
          <w:rtl/>
        </w:rPr>
        <w:t>ך</w:t>
      </w:r>
      <w:r w:rsidRPr="00FE1945">
        <w:rPr>
          <w:rFonts w:cs="Arial"/>
          <w:sz w:val="20"/>
          <w:szCs w:val="20"/>
          <w:rtl/>
        </w:rPr>
        <w:t xml:space="preserve"> נמצא עליו כתם, כולן טמאות והוא שיהא הספסל מדבר המקבל טומאה. במה דברים אמורים, בזמן שכולן שוות. אבל אם היתה אחת מהן ראוייה לראות יותר מחברתה, כגון שהיא זקנה או מעוברת או מניקה או שלא ראתה דם מימיה אף על פי שנשואה, אותה </w:t>
      </w:r>
      <w:r>
        <w:rPr>
          <w:rFonts w:cs="Arial"/>
          <w:sz w:val="20"/>
          <w:szCs w:val="20"/>
          <w:rtl/>
        </w:rPr>
        <w:t>שאינה ראויה לראות תולה בראויה</w:t>
      </w:r>
      <w:r>
        <w:rPr>
          <w:rFonts w:cs="Arial" w:hint="cs"/>
          <w:sz w:val="20"/>
          <w:szCs w:val="20"/>
          <w:rtl/>
        </w:rPr>
        <w:t>".</w:t>
      </w:r>
    </w:p>
    <w:p w:rsidR="00620060"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8A1A98">
        <w:rPr>
          <w:rFonts w:hint="cs"/>
          <w:sz w:val="20"/>
          <w:szCs w:val="20"/>
          <w:u w:val="single"/>
          <w:rtl/>
        </w:rPr>
        <w:t>סעיף מח</w:t>
      </w:r>
      <w:r>
        <w:rPr>
          <w:rFonts w:hint="cs"/>
          <w:sz w:val="20"/>
          <w:szCs w:val="20"/>
          <w:rtl/>
        </w:rPr>
        <w:t>. שתי נשים שלבוש חלוק אחד, מי שעבורה הכתם מחגור ולמטה טמאה.</w:t>
      </w:r>
      <w:r>
        <w:rPr>
          <w:sz w:val="20"/>
          <w:szCs w:val="20"/>
          <w:rtl/>
        </w:rPr>
        <w:br/>
      </w:r>
      <w:r>
        <w:rPr>
          <w:rFonts w:hint="cs"/>
          <w:sz w:val="20"/>
          <w:szCs w:val="20"/>
          <w:rtl/>
        </w:rPr>
        <w:t>2. מי שעבורה הוא מחגור ולמעלה טהורה, ובלבד שלא כיסתה בו ראשה בלילה, בכיסוי ראש טמאה מספק.</w:t>
      </w:r>
      <w:r>
        <w:rPr>
          <w:sz w:val="20"/>
          <w:szCs w:val="20"/>
          <w:rtl/>
        </w:rPr>
        <w:br/>
      </w:r>
      <w:r>
        <w:rPr>
          <w:rFonts w:hint="cs"/>
          <w:sz w:val="20"/>
          <w:szCs w:val="20"/>
          <w:rtl/>
        </w:rPr>
        <w:t xml:space="preserve">3. </w:t>
      </w:r>
      <w:r w:rsidRPr="008A1A98">
        <w:rPr>
          <w:rFonts w:hint="cs"/>
          <w:sz w:val="20"/>
          <w:szCs w:val="20"/>
          <w:u w:val="single"/>
          <w:rtl/>
        </w:rPr>
        <w:t>סעיף מט</w:t>
      </w:r>
      <w:r>
        <w:rPr>
          <w:rFonts w:hint="cs"/>
          <w:sz w:val="20"/>
          <w:szCs w:val="20"/>
          <w:rtl/>
        </w:rPr>
        <w:t>. שלוש נשים שלבשו חלוק אחד ולא בדקו בינתיים ונמצא בו כתם, אם שלושתן שוות לראות במידה זהה, כולן טמאות. וכן הדין אם ישבו על ספסל שראוי לקבל טומאה.</w:t>
      </w:r>
      <w:r>
        <w:rPr>
          <w:sz w:val="20"/>
          <w:szCs w:val="20"/>
          <w:rtl/>
        </w:rPr>
        <w:br/>
      </w:r>
      <w:r>
        <w:rPr>
          <w:rFonts w:hint="cs"/>
          <w:sz w:val="20"/>
          <w:szCs w:val="20"/>
          <w:rtl/>
        </w:rPr>
        <w:br/>
      </w:r>
      <w:r>
        <w:rPr>
          <w:sz w:val="20"/>
          <w:szCs w:val="20"/>
          <w:rtl/>
        </w:rPr>
        <w:br/>
      </w:r>
      <w:r>
        <w:rPr>
          <w:rFonts w:hint="cs"/>
          <w:b/>
          <w:bCs/>
          <w:sz w:val="20"/>
          <w:szCs w:val="20"/>
          <w:rtl/>
        </w:rPr>
        <w:t xml:space="preserve">סעיף נ </w:t>
      </w:r>
      <w:r>
        <w:rPr>
          <w:b/>
          <w:bCs/>
          <w:sz w:val="20"/>
          <w:szCs w:val="20"/>
          <w:rtl/>
        </w:rPr>
        <w:t>–</w:t>
      </w:r>
      <w:r>
        <w:rPr>
          <w:rFonts w:hint="cs"/>
          <w:b/>
          <w:bCs/>
          <w:sz w:val="20"/>
          <w:szCs w:val="20"/>
          <w:rtl/>
        </w:rPr>
        <w:t xml:space="preserve"> שלוש נשים שישנות במיטה אחת</w:t>
      </w:r>
      <w:r>
        <w:rPr>
          <w:b/>
          <w:bCs/>
          <w:sz w:val="20"/>
          <w:szCs w:val="20"/>
          <w:rtl/>
        </w:rPr>
        <w:br/>
      </w:r>
      <w:r>
        <w:rPr>
          <w:rFonts w:hint="cs"/>
          <w:b/>
          <w:bCs/>
          <w:sz w:val="20"/>
          <w:szCs w:val="20"/>
          <w:rtl/>
        </w:rPr>
        <w:t>מקורות הדין</w:t>
      </w:r>
      <w:r>
        <w:rPr>
          <w:b/>
          <w:bCs/>
          <w:sz w:val="20"/>
          <w:szCs w:val="20"/>
          <w:rtl/>
        </w:rPr>
        <w:br/>
      </w:r>
      <w:r>
        <w:rPr>
          <w:rFonts w:hint="cs"/>
          <w:sz w:val="20"/>
          <w:szCs w:val="20"/>
          <w:rtl/>
        </w:rPr>
        <w:t xml:space="preserve">א. </w:t>
      </w:r>
      <w:r w:rsidRPr="00F42DD8">
        <w:rPr>
          <w:rFonts w:hint="cs"/>
          <w:b/>
          <w:bCs/>
          <w:sz w:val="20"/>
          <w:szCs w:val="20"/>
          <w:rtl/>
        </w:rPr>
        <w:t>משנה</w:t>
      </w:r>
      <w:r>
        <w:rPr>
          <w:rFonts w:hint="cs"/>
          <w:sz w:val="20"/>
          <w:szCs w:val="20"/>
          <w:rtl/>
        </w:rPr>
        <w:t xml:space="preserve"> נידה (ס:) "</w:t>
      </w:r>
      <w:r w:rsidRPr="00F42DD8">
        <w:rPr>
          <w:rFonts w:cs="Arial"/>
          <w:sz w:val="20"/>
          <w:szCs w:val="20"/>
          <w:rtl/>
        </w:rPr>
        <w:t>של</w:t>
      </w:r>
      <w:r>
        <w:rPr>
          <w:rFonts w:cs="Arial" w:hint="cs"/>
          <w:sz w:val="20"/>
          <w:szCs w:val="20"/>
          <w:rtl/>
        </w:rPr>
        <w:t>ו</w:t>
      </w:r>
      <w:r w:rsidRPr="00F42DD8">
        <w:rPr>
          <w:rFonts w:cs="Arial"/>
          <w:sz w:val="20"/>
          <w:szCs w:val="20"/>
          <w:rtl/>
        </w:rPr>
        <w:t>ש נשים שהיו ישנות במטה אחת, ונ</w:t>
      </w:r>
      <w:r>
        <w:rPr>
          <w:rFonts w:cs="Arial"/>
          <w:sz w:val="20"/>
          <w:szCs w:val="20"/>
          <w:rtl/>
        </w:rPr>
        <w:t>מצא דם תחת אחת מהן - כולן טמאות</w:t>
      </w:r>
      <w:r>
        <w:rPr>
          <w:rFonts w:cs="Arial" w:hint="cs"/>
          <w:sz w:val="20"/>
          <w:szCs w:val="20"/>
          <w:rtl/>
        </w:rPr>
        <w:t>".</w:t>
      </w:r>
      <w:r>
        <w:rPr>
          <w:sz w:val="20"/>
          <w:szCs w:val="20"/>
          <w:rtl/>
        </w:rPr>
        <w:br/>
      </w:r>
      <w:r>
        <w:rPr>
          <w:rFonts w:hint="cs"/>
          <w:sz w:val="20"/>
          <w:szCs w:val="20"/>
          <w:rtl/>
        </w:rPr>
        <w:t xml:space="preserve">ב. </w:t>
      </w:r>
      <w:r w:rsidRPr="0090697C">
        <w:rPr>
          <w:rFonts w:hint="cs"/>
          <w:b/>
          <w:bCs/>
          <w:sz w:val="20"/>
          <w:szCs w:val="20"/>
          <w:rtl/>
        </w:rPr>
        <w:t xml:space="preserve">משנה </w:t>
      </w:r>
      <w:r>
        <w:rPr>
          <w:rFonts w:hint="cs"/>
          <w:sz w:val="20"/>
          <w:szCs w:val="20"/>
          <w:rtl/>
        </w:rPr>
        <w:t>(שם, סא.) "</w:t>
      </w:r>
      <w:r w:rsidRPr="00F42DD8">
        <w:rPr>
          <w:rFonts w:cs="Arial"/>
          <w:sz w:val="20"/>
          <w:szCs w:val="20"/>
          <w:rtl/>
        </w:rPr>
        <w:t>של</w:t>
      </w:r>
      <w:r>
        <w:rPr>
          <w:rFonts w:cs="Arial" w:hint="cs"/>
          <w:sz w:val="20"/>
          <w:szCs w:val="20"/>
          <w:rtl/>
        </w:rPr>
        <w:t>ו</w:t>
      </w:r>
      <w:r w:rsidRPr="00F42DD8">
        <w:rPr>
          <w:rFonts w:cs="Arial"/>
          <w:sz w:val="20"/>
          <w:szCs w:val="20"/>
          <w:rtl/>
        </w:rPr>
        <w:t>ש נשים שהיו ישנות במטה אחת ונמצא דם, תחת האמצעית - כולן טמאות, תחת הפנימית - שתים הפנימיות טמאות והחיצונה טהורה, תחת החיצונה - שתים החיצונות טמאות והפנימית טהורה. אימתי - בזמן שעברו דרך מרגלות המטה, אבל אם עברו דרך עליה - כולן טמאות.</w:t>
      </w:r>
      <w:r>
        <w:rPr>
          <w:rFonts w:cs="Arial" w:hint="cs"/>
          <w:sz w:val="20"/>
          <w:szCs w:val="20"/>
          <w:rtl/>
        </w:rPr>
        <w:t>.."</w:t>
      </w:r>
      <w:r>
        <w:rPr>
          <w:rFonts w:cs="Arial" w:hint="cs"/>
          <w:sz w:val="20"/>
          <w:szCs w:val="20"/>
          <w:rtl/>
        </w:rPr>
        <w:br/>
        <w:t xml:space="preserve">ג. </w:t>
      </w:r>
      <w:r>
        <w:rPr>
          <w:rFonts w:cs="Arial" w:hint="cs"/>
          <w:b/>
          <w:bCs/>
          <w:sz w:val="20"/>
          <w:szCs w:val="20"/>
          <w:rtl/>
        </w:rPr>
        <w:t xml:space="preserve">גמרא </w:t>
      </w:r>
      <w:r>
        <w:rPr>
          <w:rFonts w:cs="Arial" w:hint="cs"/>
          <w:sz w:val="20"/>
          <w:szCs w:val="20"/>
          <w:rtl/>
        </w:rPr>
        <w:t>(שם)</w:t>
      </w:r>
      <w:r>
        <w:rPr>
          <w:rFonts w:cs="Arial" w:hint="cs"/>
          <w:b/>
          <w:bCs/>
          <w:sz w:val="20"/>
          <w:szCs w:val="20"/>
          <w:rtl/>
        </w:rPr>
        <w:t xml:space="preserve"> </w:t>
      </w:r>
      <w:r w:rsidRPr="00F42DD8">
        <w:rPr>
          <w:rFonts w:cs="Arial" w:hint="cs"/>
          <w:sz w:val="20"/>
          <w:szCs w:val="20"/>
          <w:rtl/>
        </w:rPr>
        <w:t>"</w:t>
      </w:r>
      <w:r w:rsidRPr="00F42DD8">
        <w:rPr>
          <w:rFonts w:cs="Arial"/>
          <w:sz w:val="20"/>
          <w:szCs w:val="20"/>
          <w:rtl/>
        </w:rPr>
        <w:t>מאי שנא רישא - דלא מפליג, ומאי שנא סיפא דקמפליג? אמר רבי אמי: במשולבות</w:t>
      </w:r>
      <w:r>
        <w:rPr>
          <w:rFonts w:cs="Arial" w:hint="cs"/>
          <w:sz w:val="20"/>
          <w:szCs w:val="20"/>
          <w:rtl/>
        </w:rPr>
        <w:t>"</w:t>
      </w:r>
      <w:r w:rsidRPr="00F42DD8">
        <w:rPr>
          <w:rFonts w:cs="Arial"/>
          <w:sz w:val="20"/>
          <w:szCs w:val="20"/>
          <w:rtl/>
        </w:rPr>
        <w:t>.</w:t>
      </w:r>
    </w:p>
    <w:p w:rsidR="00620060" w:rsidRDefault="00620060" w:rsidP="00620060">
      <w:pPr>
        <w:rPr>
          <w:sz w:val="20"/>
          <w:szCs w:val="20"/>
          <w:rtl/>
        </w:rPr>
      </w:pPr>
      <w:r>
        <w:rPr>
          <w:rFonts w:hint="cs"/>
          <w:sz w:val="20"/>
          <w:szCs w:val="20"/>
          <w:u w:val="single"/>
          <w:rtl/>
        </w:rPr>
        <w:t>הסבר</w:t>
      </w:r>
      <w:r>
        <w:rPr>
          <w:sz w:val="20"/>
          <w:szCs w:val="20"/>
          <w:u w:val="single"/>
          <w:rtl/>
        </w:rPr>
        <w:br/>
      </w:r>
      <w:r>
        <w:rPr>
          <w:rFonts w:hint="cs"/>
          <w:sz w:val="20"/>
          <w:szCs w:val="20"/>
          <w:rtl/>
        </w:rPr>
        <w:t>א. במשנה הראשונה נאמר ששלוש נשים שהיו ישנות במיטה אחת ונמצא דם תחת אחת מהן, כולן טמאות. מאידך, במשנה השנייה נאמר שרק זו שהדם תחתיה וחברתה הסמוכה לה טמאות, מדוע?</w:t>
      </w:r>
      <w:r>
        <w:rPr>
          <w:sz w:val="20"/>
          <w:szCs w:val="20"/>
          <w:rtl/>
        </w:rPr>
        <w:br/>
      </w:r>
      <w:r>
        <w:rPr>
          <w:rFonts w:hint="cs"/>
          <w:sz w:val="20"/>
          <w:szCs w:val="20"/>
          <w:rtl/>
        </w:rPr>
        <w:t xml:space="preserve">מיישב רבי אמי </w:t>
      </w:r>
      <w:r>
        <w:rPr>
          <w:sz w:val="20"/>
          <w:szCs w:val="20"/>
          <w:rtl/>
        </w:rPr>
        <w:t>–</w:t>
      </w:r>
      <w:r>
        <w:rPr>
          <w:rFonts w:hint="cs"/>
          <w:sz w:val="20"/>
          <w:szCs w:val="20"/>
          <w:rtl/>
        </w:rPr>
        <w:t xml:space="preserve"> ברישא כולן טמאות כי הן שוכבות דבוקות זו לזו ורגליהן מעורות אחת בחברתה, לכן יש להסתפק בכל אחת שמא הדם ממנה. </w:t>
      </w:r>
      <w:r>
        <w:rPr>
          <w:sz w:val="20"/>
          <w:szCs w:val="20"/>
          <w:rtl/>
        </w:rPr>
        <w:br/>
      </w:r>
      <w:r>
        <w:rPr>
          <w:rFonts w:hint="cs"/>
          <w:sz w:val="20"/>
          <w:szCs w:val="20"/>
          <w:rtl/>
        </w:rPr>
        <w:t xml:space="preserve">ב. במקרה שאינן משולבות, יש להבחין מהו אופן עלייתן למיטה - </w:t>
      </w:r>
      <w:r>
        <w:rPr>
          <w:sz w:val="20"/>
          <w:szCs w:val="20"/>
          <w:rtl/>
        </w:rPr>
        <w:br/>
      </w:r>
      <w:r>
        <w:rPr>
          <w:rFonts w:hint="cs"/>
          <w:sz w:val="20"/>
          <w:szCs w:val="20"/>
          <w:rtl/>
        </w:rPr>
        <w:t>עלו דרך מרגלות המיטה, טמאה זו שהדם תחתיה וחברתה הסמוכה לה.</w:t>
      </w:r>
      <w:r>
        <w:rPr>
          <w:sz w:val="20"/>
          <w:szCs w:val="20"/>
          <w:rtl/>
        </w:rPr>
        <w:br/>
      </w:r>
      <w:r>
        <w:rPr>
          <w:rFonts w:hint="cs"/>
          <w:sz w:val="20"/>
          <w:szCs w:val="20"/>
          <w:rtl/>
        </w:rPr>
        <w:lastRenderedPageBreak/>
        <w:t>אך אם עלו כולן דרך החיצונה, אם נמצא דם תחת החיצונה אף הפנימית טמאה, שמא בשעה שעלתה נטף ממנה דם על מקום החיצונה.</w:t>
      </w:r>
    </w:p>
    <w:p w:rsidR="00620060" w:rsidRDefault="00620060" w:rsidP="00620060">
      <w:pPr>
        <w:rPr>
          <w:sz w:val="20"/>
          <w:szCs w:val="20"/>
          <w:rtl/>
        </w:rPr>
      </w:pPr>
      <w:r>
        <w:rPr>
          <w:rFonts w:hint="cs"/>
          <w:b/>
          <w:bCs/>
          <w:sz w:val="20"/>
          <w:szCs w:val="20"/>
          <w:rtl/>
        </w:rPr>
        <w:t>נמצא דם על הסדין</w:t>
      </w:r>
      <w:r>
        <w:rPr>
          <w:b/>
          <w:bCs/>
          <w:sz w:val="20"/>
          <w:szCs w:val="20"/>
          <w:rtl/>
        </w:rPr>
        <w:br/>
      </w:r>
      <w:r>
        <w:rPr>
          <w:rFonts w:hint="cs"/>
          <w:sz w:val="20"/>
          <w:szCs w:val="20"/>
          <w:rtl/>
        </w:rPr>
        <w:t xml:space="preserve">א. </w:t>
      </w:r>
      <w:r w:rsidRPr="001C520D">
        <w:rPr>
          <w:rFonts w:hint="cs"/>
          <w:b/>
          <w:bCs/>
          <w:sz w:val="20"/>
          <w:szCs w:val="20"/>
          <w:rtl/>
        </w:rPr>
        <w:t>ראב"ד</w:t>
      </w:r>
      <w:r>
        <w:rPr>
          <w:rFonts w:hint="cs"/>
          <w:sz w:val="20"/>
          <w:szCs w:val="20"/>
          <w:rtl/>
        </w:rPr>
        <w:t xml:space="preserve"> </w:t>
      </w:r>
      <w:r>
        <w:rPr>
          <w:sz w:val="20"/>
          <w:szCs w:val="20"/>
          <w:rtl/>
        </w:rPr>
        <w:t>–</w:t>
      </w:r>
      <w:r>
        <w:rPr>
          <w:rFonts w:hint="cs"/>
          <w:sz w:val="20"/>
          <w:szCs w:val="20"/>
          <w:rtl/>
        </w:rPr>
        <w:t xml:space="preserve"> הדינים הנ"ל נאמרו כשנמצא דם על המיטה, אך אם הדם נמצא על הסדין כולן טמאות, וכ"פ </w:t>
      </w:r>
      <w:r w:rsidRPr="000B257E">
        <w:rPr>
          <w:rFonts w:hint="cs"/>
          <w:b/>
          <w:bCs/>
          <w:sz w:val="20"/>
          <w:szCs w:val="20"/>
          <w:rtl/>
        </w:rPr>
        <w:t>ב"ח</w:t>
      </w:r>
      <w:r>
        <w:rPr>
          <w:rFonts w:hint="cs"/>
          <w:sz w:val="20"/>
          <w:szCs w:val="20"/>
          <w:rtl/>
        </w:rPr>
        <w:t>.</w:t>
      </w:r>
      <w:r>
        <w:rPr>
          <w:sz w:val="20"/>
          <w:szCs w:val="20"/>
          <w:rtl/>
        </w:rPr>
        <w:br/>
      </w:r>
      <w:r w:rsidRPr="00E76EAB">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הסדין עשוי להתהפך אילך ואילך, ולכן הדם יכול להיות מכל אחת מהנשים. </w:t>
      </w:r>
      <w:r>
        <w:rPr>
          <w:sz w:val="20"/>
          <w:szCs w:val="20"/>
          <w:rtl/>
        </w:rPr>
        <w:br/>
      </w:r>
      <w:r>
        <w:rPr>
          <w:rFonts w:hint="cs"/>
          <w:sz w:val="20"/>
          <w:szCs w:val="20"/>
          <w:rtl/>
        </w:rPr>
        <w:t xml:space="preserve">ב. </w:t>
      </w:r>
      <w:r w:rsidRPr="00A4377E">
        <w:rPr>
          <w:rFonts w:hint="cs"/>
          <w:b/>
          <w:bCs/>
          <w:sz w:val="20"/>
          <w:szCs w:val="20"/>
          <w:rtl/>
        </w:rPr>
        <w:t>רא"ש</w:t>
      </w:r>
      <w:r>
        <w:rPr>
          <w:rFonts w:hint="cs"/>
          <w:sz w:val="20"/>
          <w:szCs w:val="20"/>
          <w:rtl/>
        </w:rPr>
        <w:t xml:space="preserve"> </w:t>
      </w:r>
      <w:r>
        <w:rPr>
          <w:sz w:val="20"/>
          <w:szCs w:val="20"/>
          <w:rtl/>
        </w:rPr>
        <w:t>–</w:t>
      </w:r>
      <w:r>
        <w:rPr>
          <w:rFonts w:hint="cs"/>
          <w:sz w:val="20"/>
          <w:szCs w:val="20"/>
          <w:rtl/>
        </w:rPr>
        <w:t xml:space="preserve"> דברי </w:t>
      </w:r>
      <w:r w:rsidRPr="00A4377E">
        <w:rPr>
          <w:rFonts w:hint="cs"/>
          <w:b/>
          <w:bCs/>
          <w:sz w:val="20"/>
          <w:szCs w:val="20"/>
          <w:rtl/>
        </w:rPr>
        <w:t>הראב"ד</w:t>
      </w:r>
      <w:r>
        <w:rPr>
          <w:rFonts w:hint="cs"/>
          <w:sz w:val="20"/>
          <w:szCs w:val="20"/>
          <w:rtl/>
        </w:rPr>
        <w:t xml:space="preserve"> נכונים לגבי הסדין העליון, אך הסדין התחתון אינו מתהפך, וכ"פ </w:t>
      </w:r>
      <w:r w:rsidRPr="0090697C">
        <w:rPr>
          <w:rFonts w:hint="cs"/>
          <w:b/>
          <w:bCs/>
          <w:sz w:val="20"/>
          <w:szCs w:val="20"/>
          <w:rtl/>
        </w:rPr>
        <w:t>המחבר</w:t>
      </w:r>
      <w:r>
        <w:rPr>
          <w:rFonts w:hint="cs"/>
          <w:sz w:val="20"/>
          <w:szCs w:val="20"/>
          <w:rtl/>
        </w:rPr>
        <w:t>.</w:t>
      </w:r>
      <w:r>
        <w:rPr>
          <w:sz w:val="20"/>
          <w:szCs w:val="20"/>
          <w:rtl/>
        </w:rPr>
        <w:br/>
      </w:r>
      <w:r>
        <w:rPr>
          <w:rFonts w:hint="cs"/>
          <w:sz w:val="20"/>
          <w:szCs w:val="20"/>
          <w:rtl/>
        </w:rPr>
        <w:t xml:space="preserve">מסביר </w:t>
      </w:r>
      <w:r w:rsidRPr="00E76EAB">
        <w:rPr>
          <w:rFonts w:hint="cs"/>
          <w:b/>
          <w:bCs/>
          <w:sz w:val="20"/>
          <w:szCs w:val="20"/>
          <w:rtl/>
        </w:rPr>
        <w:t>הפרישה</w:t>
      </w:r>
      <w:r>
        <w:rPr>
          <w:rFonts w:hint="cs"/>
          <w:sz w:val="20"/>
          <w:szCs w:val="20"/>
          <w:rtl/>
        </w:rPr>
        <w:t xml:space="preserve"> </w:t>
      </w:r>
      <w:r>
        <w:rPr>
          <w:sz w:val="20"/>
          <w:szCs w:val="20"/>
          <w:rtl/>
        </w:rPr>
        <w:t>–</w:t>
      </w:r>
      <w:r>
        <w:rPr>
          <w:rFonts w:hint="cs"/>
          <w:sz w:val="20"/>
          <w:szCs w:val="20"/>
          <w:rtl/>
        </w:rPr>
        <w:t xml:space="preserve"> יש שמתכסים בסדין תחתיהם וסדין מעליהם, כדי לא ללכלך את המיטה העליונה בזיעה.</w:t>
      </w:r>
      <w:r>
        <w:rPr>
          <w:rFonts w:hint="cs"/>
          <w:sz w:val="20"/>
          <w:szCs w:val="20"/>
          <w:rtl/>
        </w:rPr>
        <w:br/>
        <w:t xml:space="preserve">אך הביא את דברי </w:t>
      </w:r>
      <w:r w:rsidRPr="00FB3036">
        <w:rPr>
          <w:rFonts w:hint="cs"/>
          <w:b/>
          <w:bCs/>
          <w:sz w:val="20"/>
          <w:szCs w:val="20"/>
          <w:rtl/>
        </w:rPr>
        <w:t>מהרש"ל</w:t>
      </w:r>
      <w:r>
        <w:rPr>
          <w:rFonts w:hint="cs"/>
          <w:sz w:val="20"/>
          <w:szCs w:val="20"/>
          <w:rtl/>
        </w:rPr>
        <w:t xml:space="preserve"> שתמה על </w:t>
      </w:r>
      <w:r w:rsidRPr="00A4377E">
        <w:rPr>
          <w:rFonts w:hint="cs"/>
          <w:b/>
          <w:bCs/>
          <w:sz w:val="20"/>
          <w:szCs w:val="20"/>
          <w:rtl/>
        </w:rPr>
        <w:t>הרא"ש</w:t>
      </w:r>
      <w:r>
        <w:rPr>
          <w:rFonts w:hint="cs"/>
          <w:sz w:val="20"/>
          <w:szCs w:val="20"/>
          <w:rtl/>
        </w:rPr>
        <w:t xml:space="preserve"> </w:t>
      </w:r>
      <w:r>
        <w:rPr>
          <w:sz w:val="20"/>
          <w:szCs w:val="20"/>
          <w:rtl/>
        </w:rPr>
        <w:t>–</w:t>
      </w:r>
      <w:r>
        <w:rPr>
          <w:rFonts w:hint="cs"/>
          <w:sz w:val="20"/>
          <w:szCs w:val="20"/>
          <w:rtl/>
        </w:rPr>
        <w:t xml:space="preserve"> עינינו רואות שגם הסדין התחתון מתהפך.</w:t>
      </w:r>
      <w:r>
        <w:rPr>
          <w:sz w:val="20"/>
          <w:szCs w:val="20"/>
          <w:rtl/>
        </w:rPr>
        <w:br/>
      </w:r>
      <w:r>
        <w:rPr>
          <w:rFonts w:hint="cs"/>
          <w:sz w:val="20"/>
          <w:szCs w:val="20"/>
          <w:rtl/>
        </w:rPr>
        <w:t xml:space="preserve">ומכל מקום העיר </w:t>
      </w:r>
      <w:r w:rsidRPr="00AB5262">
        <w:rPr>
          <w:rFonts w:hint="cs"/>
          <w:b/>
          <w:bCs/>
          <w:sz w:val="20"/>
          <w:szCs w:val="20"/>
          <w:rtl/>
        </w:rPr>
        <w:t>הט"ז</w:t>
      </w:r>
      <w:r>
        <w:rPr>
          <w:rFonts w:hint="cs"/>
          <w:sz w:val="20"/>
          <w:szCs w:val="20"/>
          <w:rtl/>
        </w:rPr>
        <w:t xml:space="preserve"> </w:t>
      </w:r>
      <w:r>
        <w:rPr>
          <w:sz w:val="20"/>
          <w:szCs w:val="20"/>
          <w:rtl/>
        </w:rPr>
        <w:t>–</w:t>
      </w:r>
      <w:r>
        <w:rPr>
          <w:rFonts w:hint="cs"/>
          <w:sz w:val="20"/>
          <w:szCs w:val="20"/>
          <w:rtl/>
        </w:rPr>
        <w:t xml:space="preserve"> הכסת שתחת הסדין לכו"ע אינה מתהפכת.</w:t>
      </w:r>
      <w:r>
        <w:rPr>
          <w:sz w:val="20"/>
          <w:szCs w:val="20"/>
          <w:rtl/>
        </w:rPr>
        <w:br/>
      </w:r>
      <w:r>
        <w:rPr>
          <w:rFonts w:cs="Arial"/>
          <w:b/>
          <w:bCs/>
          <w:sz w:val="20"/>
          <w:szCs w:val="20"/>
          <w:rtl/>
        </w:rPr>
        <w:br/>
      </w:r>
      <w:r>
        <w:rPr>
          <w:rFonts w:cs="Arial" w:hint="cs"/>
          <w:b/>
          <w:bCs/>
          <w:sz w:val="20"/>
          <w:szCs w:val="20"/>
          <w:rtl/>
        </w:rPr>
        <w:t>פסיקת הלכה</w:t>
      </w:r>
      <w:r>
        <w:rPr>
          <w:rFonts w:cs="Arial"/>
          <w:b/>
          <w:bCs/>
          <w:sz w:val="20"/>
          <w:szCs w:val="20"/>
          <w:rtl/>
        </w:rPr>
        <w:br/>
      </w:r>
      <w:r>
        <w:rPr>
          <w:rFonts w:cs="Arial" w:hint="cs"/>
          <w:b/>
          <w:bCs/>
          <w:sz w:val="20"/>
          <w:szCs w:val="20"/>
          <w:rtl/>
        </w:rPr>
        <w:t>שולחן ערוך</w:t>
      </w:r>
      <w:r>
        <w:rPr>
          <w:rFonts w:hint="cs"/>
          <w:sz w:val="20"/>
          <w:szCs w:val="20"/>
          <w:rtl/>
        </w:rPr>
        <w:t xml:space="preserve"> </w:t>
      </w:r>
      <w:r>
        <w:rPr>
          <w:sz w:val="20"/>
          <w:szCs w:val="20"/>
          <w:rtl/>
        </w:rPr>
        <w:t>–</w:t>
      </w:r>
      <w:r>
        <w:rPr>
          <w:rFonts w:hint="cs"/>
          <w:sz w:val="20"/>
          <w:szCs w:val="20"/>
          <w:rtl/>
        </w:rPr>
        <w:t xml:space="preserve"> "</w:t>
      </w:r>
      <w:r w:rsidRPr="00E76EAB">
        <w:rPr>
          <w:rFonts w:cs="Arial"/>
          <w:sz w:val="20"/>
          <w:szCs w:val="20"/>
          <w:rtl/>
        </w:rPr>
        <w:t>של</w:t>
      </w:r>
      <w:r>
        <w:rPr>
          <w:rFonts w:cs="Arial" w:hint="cs"/>
          <w:sz w:val="20"/>
          <w:szCs w:val="20"/>
          <w:rtl/>
        </w:rPr>
        <w:t>ו</w:t>
      </w:r>
      <w:r w:rsidRPr="00E76EAB">
        <w:rPr>
          <w:rFonts w:cs="Arial"/>
          <w:sz w:val="20"/>
          <w:szCs w:val="20"/>
          <w:rtl/>
        </w:rPr>
        <w:t xml:space="preserve">ש נשים שישנות במטה אחת ומשולבות, </w:t>
      </w:r>
      <w:r w:rsidRPr="00E76EAB">
        <w:rPr>
          <w:rFonts w:cs="Arial"/>
          <w:sz w:val="18"/>
          <w:szCs w:val="18"/>
          <w:rtl/>
        </w:rPr>
        <w:t>(פי</w:t>
      </w:r>
      <w:r w:rsidRPr="00E76EAB">
        <w:rPr>
          <w:rFonts w:cs="Arial" w:hint="cs"/>
          <w:sz w:val="18"/>
          <w:szCs w:val="18"/>
          <w:rtl/>
        </w:rPr>
        <w:t>רוש</w:t>
      </w:r>
      <w:r w:rsidRPr="00E76EAB">
        <w:rPr>
          <w:rFonts w:cs="Arial"/>
          <w:sz w:val="18"/>
          <w:szCs w:val="18"/>
          <w:rtl/>
        </w:rPr>
        <w:t xml:space="preserve"> תכופות ודבוקות יחד כשליבות הסולם)</w:t>
      </w:r>
      <w:r w:rsidRPr="00E76EAB">
        <w:rPr>
          <w:rFonts w:cs="Arial"/>
          <w:sz w:val="20"/>
          <w:szCs w:val="20"/>
          <w:rtl/>
        </w:rPr>
        <w:t>, שרגליהן מעורות זו בזו ונמצא דם תחת אחת מהן, כולן טמאות. ואם אינן משולבות זו בזו ונמצא דם תחת האמצעית, כולן טמאות. נמצא תחת הפנימית, היא והאמצעית טמאה, והחיצונה טהורה. נמצא תחת החיצונה, היא והאמצעית טמאה, והפנימית טהורה. במה דברים אמורים, כשעלו דרך מרגלות המטה, אבל אם עלו דרך החיצונה, כולן טמאות, שאולי דרך עברתה נטף ממנה. והני מילי כשלא נמצא על סדין העליון, אבל אם נמצא בו, בין כך ובין כך כולם טמאות, מפני שהוא עשוי להתהפך אילך ואילך</w:t>
      </w:r>
      <w:r>
        <w:rPr>
          <w:rFonts w:cs="Arial" w:hint="cs"/>
          <w:sz w:val="20"/>
          <w:szCs w:val="20"/>
          <w:rtl/>
        </w:rPr>
        <w:t>"</w:t>
      </w:r>
      <w:r w:rsidRPr="00E76EAB">
        <w:rPr>
          <w:rFonts w:cs="Arial"/>
          <w:sz w:val="20"/>
          <w:szCs w:val="20"/>
          <w:rtl/>
        </w:rPr>
        <w:t>.</w:t>
      </w:r>
    </w:p>
    <w:p w:rsidR="00620060" w:rsidRDefault="00620060" w:rsidP="00620060">
      <w:pPr>
        <w:rPr>
          <w:sz w:val="20"/>
          <w:szCs w:val="20"/>
          <w:rtl/>
        </w:rPr>
      </w:pPr>
      <w:r>
        <w:rPr>
          <w:rFonts w:hint="cs"/>
          <w:sz w:val="20"/>
          <w:szCs w:val="20"/>
          <w:u w:val="single"/>
          <w:rtl/>
        </w:rPr>
        <w:t>חשש שמא השתלבו רגליהן תוך כדי השינה (בית יוסף)</w:t>
      </w:r>
      <w:r>
        <w:rPr>
          <w:rFonts w:hint="cs"/>
          <w:sz w:val="20"/>
          <w:szCs w:val="20"/>
          <w:u w:val="single"/>
          <w:rtl/>
        </w:rPr>
        <w:br/>
      </w:r>
      <w:r w:rsidRPr="004C5D07">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למרות שאם נמצא דם בסדין כולן טמאות משום שהסדין עשוי להתהפך, מכל מקום כאשר נמצא דם תחת אחת מהן אין אומרים לטמא את כולן משום חשש שמא השתלבו רגליהן תוך כדי שינה, וכ"פ </w:t>
      </w:r>
      <w:r w:rsidRPr="000B257E">
        <w:rPr>
          <w:rFonts w:hint="cs"/>
          <w:b/>
          <w:bCs/>
          <w:sz w:val="20"/>
          <w:szCs w:val="20"/>
          <w:rtl/>
        </w:rPr>
        <w:t>הש"ך</w:t>
      </w:r>
      <w:r>
        <w:rPr>
          <w:rFonts w:hint="cs"/>
          <w:sz w:val="20"/>
          <w:szCs w:val="20"/>
          <w:rtl/>
        </w:rPr>
        <w:t>.</w:t>
      </w:r>
      <w:r>
        <w:rPr>
          <w:sz w:val="20"/>
          <w:szCs w:val="20"/>
          <w:rtl/>
        </w:rPr>
        <w:br/>
      </w:r>
      <w:r w:rsidRPr="004C5D07">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כתמים דרבנן ולכן אין חוששים כל כך.</w:t>
      </w:r>
    </w:p>
    <w:p w:rsidR="00620060" w:rsidRDefault="00620060" w:rsidP="00620060">
      <w:pPr>
        <w:rPr>
          <w:sz w:val="20"/>
          <w:szCs w:val="20"/>
          <w:rtl/>
        </w:rPr>
      </w:pPr>
      <w:r>
        <w:rPr>
          <w:rFonts w:hint="cs"/>
          <w:sz w:val="20"/>
          <w:szCs w:val="20"/>
          <w:u w:val="single"/>
          <w:rtl/>
        </w:rPr>
        <w:t>דם במיטה של אשה אחת (בית יוסף)</w:t>
      </w:r>
      <w:r>
        <w:rPr>
          <w:rFonts w:hint="cs"/>
          <w:sz w:val="20"/>
          <w:szCs w:val="20"/>
          <w:u w:val="single"/>
          <w:rtl/>
        </w:rPr>
        <w:br/>
      </w:r>
      <w:r>
        <w:rPr>
          <w:rFonts w:hint="cs"/>
          <w:sz w:val="20"/>
          <w:szCs w:val="20"/>
          <w:rtl/>
        </w:rPr>
        <w:t xml:space="preserve">א. </w:t>
      </w:r>
      <w:r w:rsidRPr="004C5D07">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אשה שישנה לבד במיטה ומצאה דם, אפילו אין הדם תחת המקום שישנה </w:t>
      </w:r>
      <w:r>
        <w:rPr>
          <w:sz w:val="20"/>
          <w:szCs w:val="20"/>
          <w:rtl/>
        </w:rPr>
        <w:t>–</w:t>
      </w:r>
      <w:r>
        <w:rPr>
          <w:rFonts w:hint="cs"/>
          <w:sz w:val="20"/>
          <w:szCs w:val="20"/>
          <w:rtl/>
        </w:rPr>
        <w:t xml:space="preserve"> טמאה, וכ"פ </w:t>
      </w:r>
      <w:r w:rsidRPr="000B257E">
        <w:rPr>
          <w:rFonts w:hint="cs"/>
          <w:b/>
          <w:bCs/>
          <w:sz w:val="20"/>
          <w:szCs w:val="20"/>
          <w:rtl/>
        </w:rPr>
        <w:t>הש"ך</w:t>
      </w:r>
      <w:r>
        <w:rPr>
          <w:rFonts w:hint="cs"/>
          <w:sz w:val="20"/>
          <w:szCs w:val="20"/>
          <w:rtl/>
        </w:rPr>
        <w:t>.</w:t>
      </w:r>
      <w:r>
        <w:rPr>
          <w:sz w:val="20"/>
          <w:szCs w:val="20"/>
          <w:rtl/>
        </w:rPr>
        <w:br/>
      </w:r>
      <w:r w:rsidRPr="004C5D07">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אין מונע ממנה להתגלגל בכל המיטה ולכן יש חשש שכך אירע. ועוד, מהיכן דם זה בא אם לא ממנה?</w:t>
      </w:r>
      <w:r>
        <w:rPr>
          <w:sz w:val="20"/>
          <w:szCs w:val="20"/>
          <w:rtl/>
        </w:rPr>
        <w:br/>
      </w:r>
      <w:r>
        <w:rPr>
          <w:rFonts w:hint="cs"/>
          <w:sz w:val="20"/>
          <w:szCs w:val="20"/>
          <w:rtl/>
        </w:rPr>
        <w:t xml:space="preserve">ב. </w:t>
      </w:r>
      <w:r w:rsidRPr="00B71B18">
        <w:rPr>
          <w:rFonts w:hint="cs"/>
          <w:b/>
          <w:bCs/>
          <w:sz w:val="20"/>
          <w:szCs w:val="20"/>
          <w:rtl/>
        </w:rPr>
        <w:t xml:space="preserve">ששבה"ל </w:t>
      </w:r>
      <w:r>
        <w:rPr>
          <w:sz w:val="20"/>
          <w:szCs w:val="20"/>
          <w:rtl/>
        </w:rPr>
        <w:t>–</w:t>
      </w:r>
      <w:r>
        <w:rPr>
          <w:rFonts w:hint="cs"/>
          <w:sz w:val="20"/>
          <w:szCs w:val="20"/>
          <w:rtl/>
        </w:rPr>
        <w:t xml:space="preserve"> משמע שאפילו אם הדם נמצא בחלק העליון של המיטה טמאה משום שעשויה להתהפך.</w:t>
      </w:r>
      <w:r>
        <w:rPr>
          <w:sz w:val="20"/>
          <w:szCs w:val="20"/>
          <w:rtl/>
        </w:rPr>
        <w:br/>
      </w:r>
      <w:r>
        <w:rPr>
          <w:rFonts w:hint="cs"/>
          <w:sz w:val="20"/>
          <w:szCs w:val="20"/>
          <w:rtl/>
        </w:rPr>
        <w:t>ואמנם, במציאות היום אין רגילות להתהפך כל כך שיהיו הרגליים מונחות באזור הראש, ולכן אין לטמא כשמצאה שם דם. כמו כן, אין נראה לטמא כשמצאה דם בסוף המיטה, משום שלא מסתבר שהגיעה לשם.</w:t>
      </w:r>
      <w:r>
        <w:rPr>
          <w:sz w:val="20"/>
          <w:szCs w:val="20"/>
          <w:rtl/>
        </w:rPr>
        <w:br/>
      </w:r>
      <w:r>
        <w:rPr>
          <w:sz w:val="20"/>
          <w:szCs w:val="20"/>
          <w:rtl/>
        </w:rPr>
        <w:br/>
      </w:r>
      <w:r w:rsidRPr="00BF561A">
        <w:rPr>
          <w:rFonts w:hint="cs"/>
          <w:b/>
          <w:bCs/>
          <w:sz w:val="20"/>
          <w:szCs w:val="20"/>
          <w:rtl/>
        </w:rPr>
        <w:t>סיכום</w:t>
      </w:r>
      <w:r>
        <w:rPr>
          <w:sz w:val="20"/>
          <w:szCs w:val="20"/>
          <w:rtl/>
        </w:rPr>
        <w:br/>
      </w:r>
      <w:r>
        <w:rPr>
          <w:rFonts w:hint="cs"/>
          <w:sz w:val="20"/>
          <w:szCs w:val="20"/>
          <w:rtl/>
        </w:rPr>
        <w:t xml:space="preserve">1. </w:t>
      </w:r>
      <w:r w:rsidRPr="00BF561A">
        <w:rPr>
          <w:rFonts w:hint="cs"/>
          <w:b/>
          <w:bCs/>
          <w:sz w:val="20"/>
          <w:szCs w:val="20"/>
          <w:rtl/>
        </w:rPr>
        <w:t>משנה</w:t>
      </w:r>
      <w:r>
        <w:rPr>
          <w:rFonts w:hint="cs"/>
          <w:sz w:val="20"/>
          <w:szCs w:val="20"/>
          <w:rtl/>
        </w:rPr>
        <w:t>. שלוש נשים ישנות במיטה אחת והן משולבות זו בזו ונמצא דם תחת אחת מהן, כולן טמאות.</w:t>
      </w:r>
      <w:r>
        <w:rPr>
          <w:sz w:val="20"/>
          <w:szCs w:val="20"/>
          <w:rtl/>
        </w:rPr>
        <w:br/>
      </w:r>
      <w:r>
        <w:rPr>
          <w:rFonts w:hint="cs"/>
          <w:sz w:val="20"/>
          <w:szCs w:val="20"/>
          <w:rtl/>
        </w:rPr>
        <w:t xml:space="preserve">אינן משולבות, רק מי שנמצא הדם תחתיה וחברתה הסמוכה לה טמאות. ודין זה כשעלו דרך מרגלות המיטה, אך אם עלו דרך החיצונית ונמצא דם תחת החיצונית, אף הפנימית טמאה, וכ"פ </w:t>
      </w:r>
      <w:r w:rsidRPr="00BF561A">
        <w:rPr>
          <w:rFonts w:hint="cs"/>
          <w:b/>
          <w:bCs/>
          <w:sz w:val="20"/>
          <w:szCs w:val="20"/>
          <w:rtl/>
        </w:rPr>
        <w:t>המחבר</w:t>
      </w:r>
      <w:r>
        <w:rPr>
          <w:rFonts w:hint="cs"/>
          <w:sz w:val="20"/>
          <w:szCs w:val="20"/>
          <w:rtl/>
        </w:rPr>
        <w:t>.</w:t>
      </w:r>
      <w:r>
        <w:rPr>
          <w:rFonts w:hint="cs"/>
          <w:sz w:val="20"/>
          <w:szCs w:val="20"/>
          <w:rtl/>
        </w:rPr>
        <w:br/>
        <w:t>2</w:t>
      </w:r>
      <w:r w:rsidRPr="00883A18">
        <w:rPr>
          <w:rFonts w:hint="cs"/>
          <w:sz w:val="20"/>
          <w:szCs w:val="20"/>
          <w:rtl/>
        </w:rPr>
        <w:t xml:space="preserve">. נמצא דם על הסדין. </w:t>
      </w:r>
      <w:r w:rsidRPr="00883A18">
        <w:rPr>
          <w:rFonts w:hint="cs"/>
          <w:b/>
          <w:bCs/>
          <w:sz w:val="20"/>
          <w:szCs w:val="20"/>
          <w:rtl/>
        </w:rPr>
        <w:t>ראב</w:t>
      </w:r>
      <w:r w:rsidRPr="00BF561A">
        <w:rPr>
          <w:rFonts w:hint="cs"/>
          <w:b/>
          <w:bCs/>
          <w:sz w:val="20"/>
          <w:szCs w:val="20"/>
          <w:rtl/>
        </w:rPr>
        <w:t>"ד</w:t>
      </w:r>
      <w:r>
        <w:rPr>
          <w:rFonts w:hint="cs"/>
          <w:sz w:val="20"/>
          <w:szCs w:val="20"/>
          <w:rtl/>
        </w:rPr>
        <w:t xml:space="preserve">. כולן טמאות, וכ"פ </w:t>
      </w:r>
      <w:r w:rsidRPr="00BF561A">
        <w:rPr>
          <w:rFonts w:hint="cs"/>
          <w:b/>
          <w:bCs/>
          <w:sz w:val="20"/>
          <w:szCs w:val="20"/>
          <w:rtl/>
        </w:rPr>
        <w:t>הב"ח</w:t>
      </w:r>
      <w:r>
        <w:rPr>
          <w:rFonts w:hint="cs"/>
          <w:sz w:val="20"/>
          <w:szCs w:val="20"/>
          <w:rtl/>
        </w:rPr>
        <w:t xml:space="preserve">. </w:t>
      </w:r>
      <w:r w:rsidRPr="00BF561A">
        <w:rPr>
          <w:rFonts w:hint="cs"/>
          <w:b/>
          <w:bCs/>
          <w:sz w:val="20"/>
          <w:szCs w:val="20"/>
          <w:rtl/>
        </w:rPr>
        <w:t>טעם</w:t>
      </w:r>
      <w:r>
        <w:rPr>
          <w:rFonts w:hint="cs"/>
          <w:sz w:val="20"/>
          <w:szCs w:val="20"/>
          <w:rtl/>
        </w:rPr>
        <w:t xml:space="preserve">. הסדין עשוי להתהפך. </w:t>
      </w:r>
      <w:r w:rsidRPr="00BF561A">
        <w:rPr>
          <w:rFonts w:hint="cs"/>
          <w:b/>
          <w:bCs/>
          <w:sz w:val="20"/>
          <w:szCs w:val="20"/>
          <w:rtl/>
        </w:rPr>
        <w:t>רא"ש</w:t>
      </w:r>
      <w:r>
        <w:rPr>
          <w:rFonts w:hint="cs"/>
          <w:sz w:val="20"/>
          <w:szCs w:val="20"/>
          <w:rtl/>
        </w:rPr>
        <w:t xml:space="preserve">. סדין תחתון אינו מתהפך, וכ"פ </w:t>
      </w:r>
      <w:r w:rsidRPr="00BF561A">
        <w:rPr>
          <w:rFonts w:hint="cs"/>
          <w:b/>
          <w:bCs/>
          <w:sz w:val="20"/>
          <w:szCs w:val="20"/>
          <w:rtl/>
        </w:rPr>
        <w:t>המחבר</w:t>
      </w:r>
      <w:r>
        <w:rPr>
          <w:rFonts w:hint="cs"/>
          <w:sz w:val="20"/>
          <w:szCs w:val="20"/>
          <w:rtl/>
        </w:rPr>
        <w:t xml:space="preserve">. תמה </w:t>
      </w:r>
      <w:r w:rsidRPr="00BF561A">
        <w:rPr>
          <w:rFonts w:hint="cs"/>
          <w:b/>
          <w:bCs/>
          <w:sz w:val="20"/>
          <w:szCs w:val="20"/>
          <w:rtl/>
        </w:rPr>
        <w:t>מהרש"ל</w:t>
      </w:r>
      <w:r>
        <w:rPr>
          <w:rFonts w:hint="cs"/>
          <w:sz w:val="20"/>
          <w:szCs w:val="20"/>
          <w:rtl/>
        </w:rPr>
        <w:t>. עינינו רואות שגם הסדין התחתון מתהפך.</w:t>
      </w:r>
      <w:r>
        <w:rPr>
          <w:rFonts w:hint="cs"/>
          <w:sz w:val="20"/>
          <w:szCs w:val="20"/>
          <w:rtl/>
        </w:rPr>
        <w:br/>
        <w:t xml:space="preserve">3. </w:t>
      </w:r>
      <w:r w:rsidRPr="00BF561A">
        <w:rPr>
          <w:rFonts w:hint="cs"/>
          <w:b/>
          <w:bCs/>
          <w:sz w:val="20"/>
          <w:szCs w:val="20"/>
          <w:rtl/>
        </w:rPr>
        <w:t>רשב"א</w:t>
      </w:r>
      <w:r>
        <w:rPr>
          <w:rFonts w:hint="cs"/>
          <w:sz w:val="20"/>
          <w:szCs w:val="20"/>
          <w:rtl/>
        </w:rPr>
        <w:t xml:space="preserve">. כשישנות בנפרד, אין חוששים שמא תוך כדי השינה השתלבו רגליהן זו בזו, וכ"פ </w:t>
      </w:r>
      <w:r w:rsidRPr="00BF561A">
        <w:rPr>
          <w:rFonts w:hint="cs"/>
          <w:b/>
          <w:bCs/>
          <w:sz w:val="20"/>
          <w:szCs w:val="20"/>
          <w:rtl/>
        </w:rPr>
        <w:t>הש"ך</w:t>
      </w:r>
      <w:r>
        <w:rPr>
          <w:rFonts w:hint="cs"/>
          <w:sz w:val="20"/>
          <w:szCs w:val="20"/>
          <w:rtl/>
        </w:rPr>
        <w:t>.</w:t>
      </w:r>
      <w:r>
        <w:rPr>
          <w:sz w:val="20"/>
          <w:szCs w:val="20"/>
          <w:rtl/>
        </w:rPr>
        <w:br/>
      </w:r>
      <w:r>
        <w:rPr>
          <w:rFonts w:hint="cs"/>
          <w:sz w:val="20"/>
          <w:szCs w:val="20"/>
          <w:rtl/>
        </w:rPr>
        <w:t xml:space="preserve">4. </w:t>
      </w:r>
      <w:r w:rsidRPr="00BF561A">
        <w:rPr>
          <w:rFonts w:hint="cs"/>
          <w:b/>
          <w:bCs/>
          <w:sz w:val="20"/>
          <w:szCs w:val="20"/>
          <w:rtl/>
        </w:rPr>
        <w:t>רשב"א</w:t>
      </w:r>
      <w:r>
        <w:rPr>
          <w:rFonts w:hint="cs"/>
          <w:sz w:val="20"/>
          <w:szCs w:val="20"/>
          <w:rtl/>
        </w:rPr>
        <w:t xml:space="preserve">. אשה שישנה לבד במיטה, בכל מקום שיימצא דם טמאה. </w:t>
      </w:r>
      <w:r w:rsidRPr="00BF561A">
        <w:rPr>
          <w:rFonts w:hint="cs"/>
          <w:b/>
          <w:bCs/>
          <w:sz w:val="20"/>
          <w:szCs w:val="20"/>
          <w:rtl/>
        </w:rPr>
        <w:t>טעם</w:t>
      </w:r>
      <w:r>
        <w:rPr>
          <w:rFonts w:hint="cs"/>
          <w:sz w:val="20"/>
          <w:szCs w:val="20"/>
          <w:rtl/>
        </w:rPr>
        <w:t xml:space="preserve">. אין מונע שתתגלגל בכל המיטה, וכן מהיכן דם זה בא? </w:t>
      </w:r>
      <w:r w:rsidRPr="00BF561A">
        <w:rPr>
          <w:rFonts w:hint="cs"/>
          <w:b/>
          <w:bCs/>
          <w:sz w:val="20"/>
          <w:szCs w:val="20"/>
          <w:rtl/>
        </w:rPr>
        <w:t>ששבה"ל</w:t>
      </w:r>
      <w:r>
        <w:rPr>
          <w:rFonts w:hint="cs"/>
          <w:sz w:val="20"/>
          <w:szCs w:val="20"/>
          <w:rtl/>
        </w:rPr>
        <w:t>. הכל לפי העניין, ואין מצוי שרגליה יהיו על הכר, וכן כתם בסוף המיטה טהור.</w:t>
      </w:r>
    </w:p>
    <w:p w:rsidR="00620060" w:rsidRDefault="00620060" w:rsidP="00620060">
      <w:pPr>
        <w:rPr>
          <w:sz w:val="20"/>
          <w:szCs w:val="20"/>
          <w:rtl/>
        </w:rPr>
      </w:pPr>
      <w:r>
        <w:rPr>
          <w:sz w:val="20"/>
          <w:szCs w:val="20"/>
          <w:rtl/>
        </w:rPr>
        <w:br/>
      </w:r>
      <w:r>
        <w:rPr>
          <w:rFonts w:hint="cs"/>
          <w:b/>
          <w:bCs/>
          <w:sz w:val="20"/>
          <w:szCs w:val="20"/>
          <w:rtl/>
        </w:rPr>
        <w:t xml:space="preserve">סעיף נא </w:t>
      </w:r>
      <w:r>
        <w:rPr>
          <w:b/>
          <w:bCs/>
          <w:sz w:val="20"/>
          <w:szCs w:val="20"/>
          <w:rtl/>
        </w:rPr>
        <w:t>–</w:t>
      </w:r>
      <w:r>
        <w:rPr>
          <w:rFonts w:hint="cs"/>
          <w:b/>
          <w:bCs/>
          <w:sz w:val="20"/>
          <w:szCs w:val="20"/>
          <w:rtl/>
        </w:rPr>
        <w:t xml:space="preserve"> בדקה אחת מהן או שלושתן</w:t>
      </w:r>
      <w:r>
        <w:rPr>
          <w:b/>
          <w:bCs/>
          <w:sz w:val="20"/>
          <w:szCs w:val="20"/>
          <w:rtl/>
        </w:rPr>
        <w:br/>
      </w:r>
      <w:r>
        <w:rPr>
          <w:rFonts w:hint="cs"/>
          <w:b/>
          <w:bCs/>
          <w:sz w:val="20"/>
          <w:szCs w:val="20"/>
          <w:rtl/>
        </w:rPr>
        <w:t>מקורות הדין</w:t>
      </w:r>
      <w:r>
        <w:rPr>
          <w:b/>
          <w:bCs/>
          <w:sz w:val="20"/>
          <w:szCs w:val="20"/>
          <w:rtl/>
        </w:rPr>
        <w:br/>
      </w:r>
      <w:r>
        <w:rPr>
          <w:rFonts w:hint="cs"/>
          <w:sz w:val="20"/>
          <w:szCs w:val="20"/>
          <w:rtl/>
        </w:rPr>
        <w:t xml:space="preserve">א. </w:t>
      </w:r>
      <w:r>
        <w:rPr>
          <w:rFonts w:hint="cs"/>
          <w:b/>
          <w:bCs/>
          <w:sz w:val="20"/>
          <w:szCs w:val="20"/>
          <w:rtl/>
        </w:rPr>
        <w:t xml:space="preserve">משנה </w:t>
      </w:r>
      <w:r>
        <w:rPr>
          <w:rFonts w:hint="cs"/>
          <w:sz w:val="20"/>
          <w:szCs w:val="20"/>
          <w:rtl/>
        </w:rPr>
        <w:t>נדה (ס: - סא.) "</w:t>
      </w:r>
      <w:r w:rsidRPr="004E0A2C">
        <w:rPr>
          <w:rFonts w:cs="Arial"/>
          <w:sz w:val="20"/>
          <w:szCs w:val="20"/>
          <w:rtl/>
        </w:rPr>
        <w:t>של</w:t>
      </w:r>
      <w:r>
        <w:rPr>
          <w:rFonts w:cs="Arial" w:hint="cs"/>
          <w:sz w:val="20"/>
          <w:szCs w:val="20"/>
          <w:rtl/>
        </w:rPr>
        <w:t>ו</w:t>
      </w:r>
      <w:r w:rsidRPr="004E0A2C">
        <w:rPr>
          <w:rFonts w:cs="Arial"/>
          <w:sz w:val="20"/>
          <w:szCs w:val="20"/>
          <w:rtl/>
        </w:rPr>
        <w:t>ש נשים שהיו ישנות במטה אחת, ונמצא דם תחת אחת מהן - כולן טמאות. בדקה אחת מהן ונמצאת טמאה - היא טמאה ושתיהן טהורות.</w:t>
      </w:r>
      <w:r>
        <w:rPr>
          <w:rFonts w:cs="Arial" w:hint="cs"/>
          <w:sz w:val="20"/>
          <w:szCs w:val="20"/>
          <w:rtl/>
        </w:rPr>
        <w:t>..</w:t>
      </w:r>
      <w:r w:rsidRPr="004E0A2C">
        <w:rPr>
          <w:rtl/>
        </w:rPr>
        <w:t xml:space="preserve"> </w:t>
      </w:r>
      <w:r w:rsidRPr="004E0A2C">
        <w:rPr>
          <w:rFonts w:cs="Arial"/>
          <w:sz w:val="20"/>
          <w:szCs w:val="20"/>
          <w:rtl/>
        </w:rPr>
        <w:t xml:space="preserve">בדקה אחת מהן ונמצאת טהורה - היא טהורה, ושתים טמאות. בדקו שתים ומצאו טהורות - הן טהורות ושלישית טמאה. </w:t>
      </w:r>
      <w:r>
        <w:rPr>
          <w:rFonts w:cs="Arial"/>
          <w:sz w:val="20"/>
          <w:szCs w:val="20"/>
          <w:rtl/>
        </w:rPr>
        <w:t>שלשתן ומצאו טהורות - כולן טמאות</w:t>
      </w:r>
      <w:r>
        <w:rPr>
          <w:rFonts w:cs="Arial" w:hint="cs"/>
          <w:sz w:val="20"/>
          <w:szCs w:val="20"/>
          <w:rtl/>
        </w:rPr>
        <w:t>".</w:t>
      </w:r>
      <w:r>
        <w:rPr>
          <w:rFonts w:cs="Arial"/>
          <w:sz w:val="20"/>
          <w:szCs w:val="20"/>
          <w:rtl/>
        </w:rPr>
        <w:br/>
      </w:r>
      <w:r>
        <w:rPr>
          <w:rFonts w:hint="cs"/>
          <w:sz w:val="20"/>
          <w:szCs w:val="20"/>
          <w:rtl/>
        </w:rPr>
        <w:t xml:space="preserve">ב. </w:t>
      </w:r>
      <w:r w:rsidRPr="004E0A2C">
        <w:rPr>
          <w:rFonts w:hint="cs"/>
          <w:b/>
          <w:bCs/>
          <w:sz w:val="20"/>
          <w:szCs w:val="20"/>
          <w:rtl/>
        </w:rPr>
        <w:t>גמרא</w:t>
      </w:r>
      <w:r w:rsidRPr="00B630AD">
        <w:rPr>
          <w:rStyle w:val="a5"/>
          <w:sz w:val="20"/>
          <w:szCs w:val="20"/>
          <w:rtl/>
        </w:rPr>
        <w:footnoteReference w:id="346"/>
      </w:r>
      <w:r w:rsidRPr="00B630AD">
        <w:rPr>
          <w:rFonts w:hint="cs"/>
          <w:sz w:val="20"/>
          <w:szCs w:val="20"/>
          <w:rtl/>
        </w:rPr>
        <w:t xml:space="preserve"> </w:t>
      </w:r>
      <w:r>
        <w:rPr>
          <w:rFonts w:hint="cs"/>
          <w:sz w:val="20"/>
          <w:szCs w:val="20"/>
          <w:rtl/>
        </w:rPr>
        <w:t>נדה (ס:) "</w:t>
      </w:r>
      <w:r w:rsidRPr="004E0A2C">
        <w:rPr>
          <w:rFonts w:cs="Arial"/>
          <w:sz w:val="20"/>
          <w:szCs w:val="20"/>
          <w:rtl/>
        </w:rPr>
        <w:t>אמר רב יהודה אמר רב: והוא שבדקה עצמה בשיעור וסת. סבר לה כבר פדא, דאמר: כל שבעלה בחטאת - טהרותיה טמאות, בעלה באשם תלוי - טהרותיה תלויות, בעלה פטור - טהרותיה טהורות. ורבי אושעיא אמר: אפ</w:t>
      </w:r>
      <w:r>
        <w:rPr>
          <w:rFonts w:cs="Arial"/>
          <w:sz w:val="20"/>
          <w:szCs w:val="20"/>
          <w:rtl/>
        </w:rPr>
        <w:t>ילו בעלה בחטאת - טהרותיה תלויות</w:t>
      </w:r>
      <w:r>
        <w:rPr>
          <w:rFonts w:cs="Arial" w:hint="cs"/>
          <w:sz w:val="20"/>
          <w:szCs w:val="20"/>
          <w:rtl/>
        </w:rPr>
        <w:t>".</w:t>
      </w:r>
    </w:p>
    <w:p w:rsidR="00620060" w:rsidRPr="00266D1C" w:rsidRDefault="00620060" w:rsidP="00620060">
      <w:pPr>
        <w:rPr>
          <w:sz w:val="20"/>
          <w:szCs w:val="20"/>
        </w:rPr>
      </w:pPr>
      <w:r>
        <w:rPr>
          <w:rFonts w:hint="cs"/>
          <w:sz w:val="20"/>
          <w:szCs w:val="20"/>
          <w:u w:val="single"/>
          <w:rtl/>
        </w:rPr>
        <w:lastRenderedPageBreak/>
        <w:t>הסבר</w:t>
      </w:r>
      <w:r>
        <w:rPr>
          <w:sz w:val="20"/>
          <w:szCs w:val="20"/>
          <w:u w:val="single"/>
          <w:rtl/>
        </w:rPr>
        <w:br/>
      </w:r>
      <w:r w:rsidRPr="00D635C1">
        <w:rPr>
          <w:rFonts w:hint="cs"/>
          <w:b/>
          <w:bCs/>
          <w:sz w:val="20"/>
          <w:szCs w:val="20"/>
          <w:rtl/>
        </w:rPr>
        <w:t>רש"י</w:t>
      </w:r>
      <w:r>
        <w:rPr>
          <w:rFonts w:hint="cs"/>
          <w:sz w:val="20"/>
          <w:szCs w:val="20"/>
          <w:rtl/>
        </w:rPr>
        <w:t xml:space="preserve"> </w:t>
      </w:r>
      <w:r>
        <w:rPr>
          <w:sz w:val="20"/>
          <w:szCs w:val="20"/>
          <w:rtl/>
        </w:rPr>
        <w:t>–</w:t>
      </w:r>
      <w:r>
        <w:rPr>
          <w:rFonts w:hint="cs"/>
          <w:sz w:val="20"/>
          <w:szCs w:val="20"/>
          <w:rtl/>
        </w:rPr>
        <w:t xml:space="preserve"> לגבי טהרות סובר בר פדא שאם בדקה עצמה כשיעור ווסת ומצאה טמאה, טהרותיה טמאות. וכן הדין אם שימשה עם בעלה ובתוך שיעור ווסת מצאה טמאה, בעלה בחטאת. רבי אושעיא חולק וסובר שבדיקה המחייבת חטאת אינה עניין לטמא טהרות, אלא הטהרות תלויות.</w:t>
      </w:r>
      <w:r>
        <w:rPr>
          <w:sz w:val="20"/>
          <w:szCs w:val="20"/>
          <w:rtl/>
        </w:rPr>
        <w:br/>
      </w:r>
      <w:r>
        <w:rPr>
          <w:b/>
          <w:bCs/>
          <w:sz w:val="20"/>
          <w:szCs w:val="20"/>
          <w:rtl/>
        </w:rPr>
        <w:br/>
      </w:r>
      <w:r>
        <w:rPr>
          <w:rFonts w:hint="cs"/>
          <w:b/>
          <w:bCs/>
          <w:sz w:val="20"/>
          <w:szCs w:val="20"/>
          <w:rtl/>
        </w:rPr>
        <w:t>שיטות הראשונים</w:t>
      </w:r>
      <w:r>
        <w:rPr>
          <w:b/>
          <w:bCs/>
          <w:sz w:val="20"/>
          <w:szCs w:val="20"/>
          <w:rtl/>
        </w:rPr>
        <w:br/>
      </w:r>
      <w:r>
        <w:rPr>
          <w:rFonts w:hint="cs"/>
          <w:sz w:val="20"/>
          <w:szCs w:val="20"/>
          <w:rtl/>
        </w:rPr>
        <w:t xml:space="preserve">א. </w:t>
      </w:r>
      <w:r w:rsidRPr="002E2F2E">
        <w:rPr>
          <w:rFonts w:hint="cs"/>
          <w:b/>
          <w:bCs/>
          <w:sz w:val="20"/>
          <w:szCs w:val="20"/>
          <w:rtl/>
        </w:rPr>
        <w:t>רמב"ן ורשב"א</w:t>
      </w:r>
      <w:r>
        <w:rPr>
          <w:rFonts w:hint="cs"/>
          <w:sz w:val="20"/>
          <w:szCs w:val="20"/>
          <w:rtl/>
        </w:rPr>
        <w:t xml:space="preserve"> </w:t>
      </w:r>
      <w:r>
        <w:rPr>
          <w:sz w:val="20"/>
          <w:szCs w:val="20"/>
          <w:rtl/>
        </w:rPr>
        <w:t>–</w:t>
      </w:r>
      <w:r>
        <w:rPr>
          <w:rFonts w:hint="cs"/>
          <w:sz w:val="20"/>
          <w:szCs w:val="20"/>
          <w:rtl/>
        </w:rPr>
        <w:t xml:space="preserve"> מדובר שמצאה עצמה טהורה או טמאה בקינוח חיצוני אך לא בבדיקה פנימית, בדיקה פנימית אינה מעידה בבירור שאכן היא טהורה או טמאה ודינה כאילו לא בדקה כלל, וכ"פ </w:t>
      </w:r>
      <w:r w:rsidRPr="002116F9">
        <w:rPr>
          <w:rFonts w:hint="cs"/>
          <w:b/>
          <w:bCs/>
          <w:sz w:val="20"/>
          <w:szCs w:val="20"/>
          <w:rtl/>
        </w:rPr>
        <w:t>המחבר</w:t>
      </w:r>
      <w:r>
        <w:rPr>
          <w:rFonts w:hint="cs"/>
          <w:sz w:val="20"/>
          <w:szCs w:val="20"/>
          <w:rtl/>
        </w:rPr>
        <w:t>.</w:t>
      </w:r>
      <w:r>
        <w:rPr>
          <w:rFonts w:hint="cs"/>
          <w:sz w:val="20"/>
          <w:szCs w:val="20"/>
          <w:rtl/>
        </w:rPr>
        <w:br/>
      </w:r>
      <w:r w:rsidRPr="00FE29B1">
        <w:rPr>
          <w:rFonts w:hint="cs"/>
          <w:b/>
          <w:bCs/>
          <w:sz w:val="20"/>
          <w:szCs w:val="20"/>
          <w:rtl/>
        </w:rPr>
        <w:t>טעם</w:t>
      </w:r>
      <w:r>
        <w:rPr>
          <w:rFonts w:hint="cs"/>
          <w:sz w:val="20"/>
          <w:szCs w:val="20"/>
          <w:rtl/>
        </w:rPr>
        <w:t xml:space="preserve"> - הלכה כבר פדא משום שמשנתינו מדויקת כמותו. כלומר, המכנה המשותף למשנה ולבר פדא הוא, שיש לסמוך על בדיקה זו לחלוטין ואפילו לטהרות וכן לטהר את שאר הנשים לאחר שאחת מצאה טמאה</w:t>
      </w:r>
      <w:r>
        <w:rPr>
          <w:rStyle w:val="a5"/>
          <w:sz w:val="20"/>
          <w:szCs w:val="20"/>
          <w:rtl/>
        </w:rPr>
        <w:footnoteReference w:id="347"/>
      </w:r>
      <w:r>
        <w:rPr>
          <w:rFonts w:hint="cs"/>
          <w:sz w:val="20"/>
          <w:szCs w:val="20"/>
          <w:rtl/>
        </w:rPr>
        <w:t>.</w:t>
      </w:r>
      <w:r>
        <w:rPr>
          <w:sz w:val="20"/>
          <w:szCs w:val="20"/>
          <w:rtl/>
        </w:rPr>
        <w:br/>
      </w:r>
      <w:r>
        <w:rPr>
          <w:rFonts w:hint="cs"/>
          <w:sz w:val="20"/>
          <w:szCs w:val="20"/>
          <w:rtl/>
        </w:rPr>
        <w:t xml:space="preserve">ומהו שיעור ווסת? </w:t>
      </w:r>
      <w:r w:rsidRPr="00EA1EF7">
        <w:rPr>
          <w:rFonts w:hint="cs"/>
          <w:b/>
          <w:bCs/>
          <w:sz w:val="20"/>
          <w:szCs w:val="20"/>
          <w:rtl/>
        </w:rPr>
        <w:t>גמרא</w:t>
      </w:r>
      <w:r>
        <w:rPr>
          <w:rFonts w:hint="cs"/>
          <w:sz w:val="20"/>
          <w:szCs w:val="20"/>
          <w:rtl/>
        </w:rPr>
        <w:t xml:space="preserve"> (שם, יב.) "</w:t>
      </w:r>
      <w:r w:rsidRPr="00EA1EF7">
        <w:rPr>
          <w:rFonts w:cs="Arial"/>
          <w:sz w:val="20"/>
          <w:szCs w:val="20"/>
          <w:rtl/>
        </w:rPr>
        <w:t>תניא: איזהו שיעור וסת - משל לשמש ועד שעומדים בצד המשקוף, ביציאות השמש - נכנס עד, הוי: וסת שאמרו - לק</w:t>
      </w:r>
      <w:r>
        <w:rPr>
          <w:rFonts w:cs="Arial" w:hint="cs"/>
          <w:sz w:val="20"/>
          <w:szCs w:val="20"/>
          <w:rtl/>
        </w:rPr>
        <w:t>י</w:t>
      </w:r>
      <w:r w:rsidRPr="00EA1EF7">
        <w:rPr>
          <w:rFonts w:cs="Arial"/>
          <w:sz w:val="20"/>
          <w:szCs w:val="20"/>
          <w:rtl/>
        </w:rPr>
        <w:t>נוח ולא לבדיקה</w:t>
      </w:r>
      <w:r>
        <w:rPr>
          <w:rFonts w:cs="Arial" w:hint="cs"/>
          <w:sz w:val="20"/>
          <w:szCs w:val="20"/>
          <w:rtl/>
        </w:rPr>
        <w:t>".</w:t>
      </w:r>
      <w:r>
        <w:rPr>
          <w:rFonts w:hint="cs"/>
          <w:sz w:val="20"/>
          <w:szCs w:val="20"/>
          <w:rtl/>
        </w:rPr>
        <w:br/>
        <w:t>מבואר בברייתא ששיעור ווסת הוא קצר מאוד ואין בו די זמן כדי לעשות בדיקה פנימית, אלא קינוח בלבד.</w:t>
      </w:r>
      <w:r>
        <w:rPr>
          <w:rFonts w:hint="cs"/>
          <w:sz w:val="20"/>
          <w:szCs w:val="20"/>
          <w:rtl/>
        </w:rPr>
        <w:br/>
      </w:r>
      <w:r w:rsidRPr="00FE29B1">
        <w:rPr>
          <w:rFonts w:hint="cs"/>
          <w:sz w:val="20"/>
          <w:szCs w:val="20"/>
          <w:u w:val="single"/>
          <w:rtl/>
        </w:rPr>
        <w:t>סייג נוסף בדין זה</w:t>
      </w:r>
      <w:r>
        <w:rPr>
          <w:rFonts w:hint="cs"/>
          <w:sz w:val="20"/>
          <w:szCs w:val="20"/>
          <w:rtl/>
        </w:rPr>
        <w:t xml:space="preserve"> </w:t>
      </w:r>
      <w:r>
        <w:rPr>
          <w:sz w:val="20"/>
          <w:szCs w:val="20"/>
          <w:rtl/>
        </w:rPr>
        <w:t>–</w:t>
      </w:r>
      <w:r>
        <w:rPr>
          <w:rFonts w:hint="cs"/>
          <w:sz w:val="20"/>
          <w:szCs w:val="20"/>
          <w:rtl/>
        </w:rPr>
        <w:t xml:space="preserve"> מדובר שהנשים מצאו את הכתם בשעה ששוכבות במיטה או מייד כשקמו ממנה, אך אם מצאו את הכתם זמן מה לאחר שקמו מהמיטה, לא מהני בדיקה אלא כולן טמאות.</w:t>
      </w:r>
      <w:r>
        <w:rPr>
          <w:rFonts w:hint="cs"/>
          <w:sz w:val="20"/>
          <w:szCs w:val="20"/>
          <w:rtl/>
        </w:rPr>
        <w:br/>
      </w:r>
      <w:r>
        <w:rPr>
          <w:sz w:val="20"/>
          <w:szCs w:val="20"/>
          <w:rtl/>
        </w:rPr>
        <w:br/>
      </w:r>
      <w:r>
        <w:rPr>
          <w:rFonts w:hint="cs"/>
          <w:sz w:val="20"/>
          <w:szCs w:val="20"/>
          <w:rtl/>
        </w:rPr>
        <w:t xml:space="preserve">ב. </w:t>
      </w:r>
      <w:r w:rsidRPr="00D27CEE">
        <w:rPr>
          <w:rFonts w:hint="cs"/>
          <w:b/>
          <w:bCs/>
          <w:sz w:val="20"/>
          <w:szCs w:val="20"/>
          <w:rtl/>
        </w:rPr>
        <w:t>רא"ש</w:t>
      </w:r>
      <w:r>
        <w:rPr>
          <w:rFonts w:hint="cs"/>
          <w:sz w:val="20"/>
          <w:szCs w:val="20"/>
          <w:rtl/>
        </w:rPr>
        <w:t xml:space="preserve"> </w:t>
      </w:r>
      <w:r>
        <w:rPr>
          <w:sz w:val="20"/>
          <w:szCs w:val="20"/>
          <w:rtl/>
        </w:rPr>
        <w:t>–</w:t>
      </w:r>
      <w:r>
        <w:rPr>
          <w:rFonts w:hint="cs"/>
          <w:sz w:val="20"/>
          <w:szCs w:val="20"/>
          <w:rtl/>
        </w:rPr>
        <w:t xml:space="preserve"> אין הגבלת זמן על הבדיקה, אפילו אם בדקה לאחר זמן מרובה ומצאה טהורה או טמאה, מהני.</w:t>
      </w:r>
      <w:r>
        <w:rPr>
          <w:sz w:val="20"/>
          <w:szCs w:val="20"/>
          <w:rtl/>
        </w:rPr>
        <w:br/>
      </w:r>
      <w:r>
        <w:rPr>
          <w:rFonts w:hint="cs"/>
          <w:b/>
          <w:bCs/>
          <w:sz w:val="20"/>
          <w:szCs w:val="20"/>
          <w:rtl/>
        </w:rPr>
        <w:t xml:space="preserve">טעם </w:t>
      </w:r>
      <w:r>
        <w:rPr>
          <w:sz w:val="20"/>
          <w:szCs w:val="20"/>
          <w:rtl/>
        </w:rPr>
        <w:t>–</w:t>
      </w:r>
      <w:r>
        <w:rPr>
          <w:rFonts w:hint="cs"/>
          <w:sz w:val="20"/>
          <w:szCs w:val="20"/>
          <w:rtl/>
        </w:rPr>
        <w:t xml:space="preserve"> לדעת רבי אושעיא אין חילוק בין שיעור ווסת לאחר שיעור ווסת לגבי טהרות, ואם כן הוא הדין במשנתינו לדעת רבי אושעיא אין חילוק זה קיים. ומכיוון שזו מחלוקת בדין כתמים, יש לפסוק כדעת המקל.</w:t>
      </w:r>
      <w:r>
        <w:rPr>
          <w:sz w:val="20"/>
          <w:szCs w:val="20"/>
          <w:rtl/>
        </w:rPr>
        <w:br/>
      </w:r>
      <w:r>
        <w:rPr>
          <w:rFonts w:hint="cs"/>
          <w:sz w:val="20"/>
          <w:szCs w:val="20"/>
          <w:rtl/>
        </w:rPr>
        <w:t xml:space="preserve">ועוד, גם לבר פדא אין דמיון מוחלט בין דין טהרות לדין כאן. </w:t>
      </w:r>
      <w:r>
        <w:rPr>
          <w:sz w:val="20"/>
          <w:szCs w:val="20"/>
          <w:rtl/>
        </w:rPr>
        <w:br/>
      </w:r>
      <w:r>
        <w:rPr>
          <w:rFonts w:hint="cs"/>
          <w:sz w:val="20"/>
          <w:szCs w:val="20"/>
          <w:rtl/>
        </w:rPr>
        <w:t>כלומר, בשלמא בטהרות מייד שבדקה עצמה ומצאה טמאה יש לומר שהדם נעקר ממנה בזמן שעסקה בטהרות ולכן טהרותיה טמאות, אך כאן בודקת עצמה רק בשעה שמוצאת את הכתם, ובדיקה זו אינה אמינה מספיק משום שייתכן שהכתם נמצא כבר כמה שעות על המיטה, ואעפ"כ הקלו חכמים לטהר האחרות על סמך בדיקתה, על כורחנו שאין דמיון גמור בין כתם לטהרות והקלו כאן טפי, לכן יש לפסוק כרבי אושעיא.</w:t>
      </w:r>
      <w:r>
        <w:rPr>
          <w:rFonts w:hint="cs"/>
          <w:sz w:val="20"/>
          <w:szCs w:val="20"/>
          <w:rtl/>
        </w:rPr>
        <w:br/>
      </w:r>
      <w:r>
        <w:rPr>
          <w:sz w:val="20"/>
          <w:szCs w:val="20"/>
          <w:rtl/>
        </w:rPr>
        <w:br/>
      </w:r>
      <w:r>
        <w:rPr>
          <w:rFonts w:hint="cs"/>
          <w:sz w:val="20"/>
          <w:szCs w:val="20"/>
          <w:rtl/>
        </w:rPr>
        <w:t xml:space="preserve">ג. </w:t>
      </w:r>
      <w:r w:rsidRPr="00905DA1">
        <w:rPr>
          <w:rFonts w:hint="cs"/>
          <w:b/>
          <w:bCs/>
          <w:sz w:val="20"/>
          <w:szCs w:val="20"/>
          <w:rtl/>
        </w:rPr>
        <w:t>רז"ה</w:t>
      </w:r>
      <w:r>
        <w:rPr>
          <w:rFonts w:hint="cs"/>
          <w:sz w:val="20"/>
          <w:szCs w:val="20"/>
          <w:rtl/>
        </w:rPr>
        <w:t xml:space="preserve"> </w:t>
      </w:r>
      <w:r>
        <w:rPr>
          <w:sz w:val="20"/>
          <w:szCs w:val="20"/>
          <w:rtl/>
        </w:rPr>
        <w:t>–</w:t>
      </w:r>
      <w:r>
        <w:rPr>
          <w:rFonts w:hint="cs"/>
          <w:sz w:val="20"/>
          <w:szCs w:val="20"/>
          <w:rtl/>
        </w:rPr>
        <w:t xml:space="preserve"> בדקה ומצאה טמאה, מצילה על האחרות רק אם בדקה בשיעור ווסת. אך אם בדקה ומצאה טהורה, מצילה על עצמה אפילו אם בדקה לאחר זמן.</w:t>
      </w:r>
      <w:r>
        <w:rPr>
          <w:rStyle w:val="a5"/>
          <w:sz w:val="20"/>
          <w:szCs w:val="20"/>
          <w:rtl/>
        </w:rPr>
        <w:footnoteReference w:id="348"/>
      </w:r>
      <w:r>
        <w:rPr>
          <w:rFonts w:hint="cs"/>
          <w:sz w:val="20"/>
          <w:szCs w:val="20"/>
          <w:rtl/>
        </w:rPr>
        <w:br/>
      </w:r>
      <w:r w:rsidRPr="00B54643">
        <w:rPr>
          <w:rFonts w:hint="cs"/>
          <w:b/>
          <w:bCs/>
          <w:sz w:val="20"/>
          <w:szCs w:val="20"/>
          <w:rtl/>
        </w:rPr>
        <w:t>ראיה</w:t>
      </w:r>
      <w:r>
        <w:rPr>
          <w:rFonts w:hint="cs"/>
          <w:sz w:val="20"/>
          <w:szCs w:val="20"/>
          <w:rtl/>
        </w:rPr>
        <w:t xml:space="preserve"> </w:t>
      </w:r>
      <w:r>
        <w:rPr>
          <w:sz w:val="20"/>
          <w:szCs w:val="20"/>
          <w:rtl/>
        </w:rPr>
        <w:t>–</w:t>
      </w:r>
      <w:r>
        <w:rPr>
          <w:rFonts w:hint="cs"/>
          <w:sz w:val="20"/>
          <w:szCs w:val="20"/>
          <w:rtl/>
        </w:rPr>
        <w:t xml:space="preserve"> </w:t>
      </w:r>
      <w:r w:rsidRPr="00B54643">
        <w:rPr>
          <w:rFonts w:hint="cs"/>
          <w:b/>
          <w:bCs/>
          <w:sz w:val="20"/>
          <w:szCs w:val="20"/>
          <w:rtl/>
        </w:rPr>
        <w:t>גמרא</w:t>
      </w:r>
      <w:r>
        <w:rPr>
          <w:rFonts w:hint="cs"/>
          <w:sz w:val="20"/>
          <w:szCs w:val="20"/>
          <w:rtl/>
        </w:rPr>
        <w:t xml:space="preserve"> קידושין "</w:t>
      </w:r>
      <w:r w:rsidRPr="00B54643">
        <w:rPr>
          <w:rFonts w:cs="Arial"/>
          <w:sz w:val="20"/>
          <w:szCs w:val="20"/>
          <w:rtl/>
        </w:rPr>
        <w:t>אמר רב ח</w:t>
      </w:r>
      <w:r>
        <w:rPr>
          <w:rFonts w:cs="Arial"/>
          <w:sz w:val="20"/>
          <w:szCs w:val="20"/>
          <w:rtl/>
        </w:rPr>
        <w:t>סדא: שלשה נאמנים לאלתר, אלו הן:</w:t>
      </w:r>
      <w:r>
        <w:rPr>
          <w:rFonts w:cs="Arial" w:hint="cs"/>
          <w:sz w:val="20"/>
          <w:szCs w:val="20"/>
          <w:rtl/>
        </w:rPr>
        <w:t xml:space="preserve">... </w:t>
      </w:r>
      <w:r w:rsidRPr="00B54643">
        <w:rPr>
          <w:rFonts w:cs="Arial"/>
          <w:sz w:val="20"/>
          <w:szCs w:val="20"/>
          <w:u w:val="single"/>
          <w:rtl/>
        </w:rPr>
        <w:t>ופוטרת חברותיה</w:t>
      </w:r>
      <w:r>
        <w:rPr>
          <w:rFonts w:cs="Arial" w:hint="cs"/>
          <w:sz w:val="20"/>
          <w:szCs w:val="20"/>
          <w:rtl/>
        </w:rPr>
        <w:t>"</w:t>
      </w:r>
      <w:r w:rsidRPr="00B54643">
        <w:rPr>
          <w:rFonts w:cs="Arial"/>
          <w:sz w:val="20"/>
          <w:szCs w:val="20"/>
          <w:rtl/>
        </w:rPr>
        <w:t>.</w:t>
      </w:r>
      <w:r>
        <w:rPr>
          <w:rFonts w:hint="cs"/>
          <w:sz w:val="20"/>
          <w:szCs w:val="20"/>
          <w:rtl/>
        </w:rPr>
        <w:br/>
        <w:t>ואין ללמוד דין פוטרת עצמה מדין פוטרת חברותיה, משום שבפוטרת חברותיה האחרות לא נבדקו ולכן דינן חמור, אך פוטרת עצמה בדקה את עצמה ולכן יש להקל אפילו לאחר זמן.</w:t>
      </w:r>
    </w:p>
    <w:p w:rsidR="00620060" w:rsidRDefault="00620060" w:rsidP="00620060">
      <w:pPr>
        <w:rPr>
          <w:sz w:val="20"/>
          <w:szCs w:val="20"/>
          <w:rtl/>
        </w:rPr>
      </w:pPr>
      <w:r>
        <w:rPr>
          <w:rFonts w:cs="Arial" w:hint="cs"/>
          <w:b/>
          <w:bCs/>
          <w:sz w:val="20"/>
          <w:szCs w:val="20"/>
          <w:rtl/>
        </w:rPr>
        <w:t>פסיקת הלכה</w:t>
      </w:r>
      <w:r>
        <w:rPr>
          <w:rFonts w:cs="Arial"/>
          <w:b/>
          <w:bCs/>
          <w:sz w:val="20"/>
          <w:szCs w:val="20"/>
          <w:rtl/>
        </w:rPr>
        <w:br/>
      </w:r>
      <w:r>
        <w:rPr>
          <w:rFonts w:cs="Arial" w:hint="cs"/>
          <w:b/>
          <w:bCs/>
          <w:sz w:val="20"/>
          <w:szCs w:val="20"/>
          <w:rtl/>
        </w:rPr>
        <w:t>שולחן ערוך</w:t>
      </w:r>
      <w:r>
        <w:rPr>
          <w:rFonts w:hint="cs"/>
          <w:sz w:val="20"/>
          <w:szCs w:val="20"/>
          <w:rtl/>
        </w:rPr>
        <w:t xml:space="preserve"> </w:t>
      </w:r>
      <w:r>
        <w:rPr>
          <w:sz w:val="20"/>
          <w:szCs w:val="20"/>
          <w:rtl/>
        </w:rPr>
        <w:t>–</w:t>
      </w:r>
      <w:r>
        <w:rPr>
          <w:rFonts w:hint="cs"/>
          <w:sz w:val="20"/>
          <w:szCs w:val="20"/>
          <w:rtl/>
        </w:rPr>
        <w:t xml:space="preserve"> "</w:t>
      </w:r>
      <w:r w:rsidRPr="002116F9">
        <w:rPr>
          <w:rFonts w:cs="Arial"/>
          <w:sz w:val="20"/>
          <w:szCs w:val="20"/>
          <w:rtl/>
        </w:rPr>
        <w:t>כל זה מיירי שלא בדקה שום אחת מהן, או שבדקו שלשתן ומצאו טהורות, אבל אם בדקה אחת או שתי</w:t>
      </w:r>
      <w:r>
        <w:rPr>
          <w:rFonts w:cs="Arial" w:hint="cs"/>
          <w:sz w:val="20"/>
          <w:szCs w:val="20"/>
          <w:rtl/>
        </w:rPr>
        <w:t>י</w:t>
      </w:r>
      <w:r w:rsidRPr="002116F9">
        <w:rPr>
          <w:rFonts w:cs="Arial"/>
          <w:sz w:val="20"/>
          <w:szCs w:val="20"/>
          <w:rtl/>
        </w:rPr>
        <w:t>ם ומצאו טהורות, הן טהורות והאחרת שלא בדקה, טמאה. ואם בדקה גם השלישית ומצאה טהורה, כולן טמאות. ואם בדקה אחת ומצאה טמאה, האחרות שלא בדקו תולות בה, והן טהורות. בדקו שת</w:t>
      </w:r>
      <w:r>
        <w:rPr>
          <w:rFonts w:cs="Arial" w:hint="cs"/>
          <w:sz w:val="20"/>
          <w:szCs w:val="20"/>
          <w:rtl/>
        </w:rPr>
        <w:t>י</w:t>
      </w:r>
      <w:r w:rsidRPr="002116F9">
        <w:rPr>
          <w:rFonts w:cs="Arial"/>
          <w:sz w:val="20"/>
          <w:szCs w:val="20"/>
          <w:rtl/>
        </w:rPr>
        <w:t xml:space="preserve">ים ומצאו טמאות, הן טמאות והשלישית טהורה, מפני שתולה בהן. </w:t>
      </w:r>
      <w:r>
        <w:rPr>
          <w:rFonts w:cs="Arial" w:hint="cs"/>
          <w:sz w:val="20"/>
          <w:szCs w:val="20"/>
          <w:rtl/>
        </w:rPr>
        <w:br/>
      </w:r>
      <w:r w:rsidRPr="002116F9">
        <w:rPr>
          <w:rFonts w:cs="Arial"/>
          <w:sz w:val="20"/>
          <w:szCs w:val="20"/>
          <w:rtl/>
        </w:rPr>
        <w:t>והא דתלינן באותה שמצאה טמאה, לטהר האחרת, וכן הא דמטהרינן לאותה שמצאה טהורה, דו</w:t>
      </w:r>
      <w:r>
        <w:rPr>
          <w:rFonts w:cs="Arial" w:hint="cs"/>
          <w:sz w:val="20"/>
          <w:szCs w:val="20"/>
          <w:rtl/>
        </w:rPr>
        <w:t>ו</w:t>
      </w:r>
      <w:r w:rsidRPr="002116F9">
        <w:rPr>
          <w:rFonts w:cs="Arial"/>
          <w:sz w:val="20"/>
          <w:szCs w:val="20"/>
          <w:rtl/>
        </w:rPr>
        <w:t>קא שק</w:t>
      </w:r>
      <w:r>
        <w:rPr>
          <w:rFonts w:cs="Arial" w:hint="cs"/>
          <w:sz w:val="20"/>
          <w:szCs w:val="20"/>
          <w:rtl/>
        </w:rPr>
        <w:t>י</w:t>
      </w:r>
      <w:r w:rsidRPr="002116F9">
        <w:rPr>
          <w:rFonts w:cs="Arial"/>
          <w:sz w:val="20"/>
          <w:szCs w:val="20"/>
          <w:rtl/>
        </w:rPr>
        <w:t>נחה עצמה בעד שבידה מיד תיכף למציאת הדם, אבל אם שהתה כדי שיעור בדיקה, דהיינו כדי שתקנח בחורין ובסדקים, אין הבדיקה מועלת לטמאה ל</w:t>
      </w:r>
      <w:r>
        <w:rPr>
          <w:rFonts w:cs="Arial"/>
          <w:sz w:val="20"/>
          <w:szCs w:val="20"/>
          <w:rtl/>
        </w:rPr>
        <w:t>טהר האחרת, ולא לטהורה לטהר עצמה</w:t>
      </w:r>
      <w:r>
        <w:rPr>
          <w:rFonts w:cs="Arial" w:hint="cs"/>
          <w:sz w:val="20"/>
          <w:szCs w:val="20"/>
          <w:rtl/>
        </w:rPr>
        <w:t>".</w:t>
      </w:r>
      <w:r>
        <w:rPr>
          <w:sz w:val="20"/>
          <w:szCs w:val="20"/>
          <w:rtl/>
        </w:rPr>
        <w:br/>
      </w:r>
      <w:r w:rsidRPr="00533CEC">
        <w:rPr>
          <w:rFonts w:hint="cs"/>
          <w:b/>
          <w:bCs/>
          <w:sz w:val="20"/>
          <w:szCs w:val="20"/>
          <w:rtl/>
        </w:rPr>
        <w:t>ששבה"ל</w:t>
      </w:r>
      <w:r>
        <w:rPr>
          <w:rFonts w:hint="cs"/>
          <w:sz w:val="20"/>
          <w:szCs w:val="20"/>
          <w:rtl/>
        </w:rPr>
        <w:t xml:space="preserve"> </w:t>
      </w:r>
      <w:r>
        <w:rPr>
          <w:sz w:val="20"/>
          <w:szCs w:val="20"/>
          <w:rtl/>
        </w:rPr>
        <w:t>–</w:t>
      </w:r>
      <w:r>
        <w:rPr>
          <w:rFonts w:hint="cs"/>
          <w:sz w:val="20"/>
          <w:szCs w:val="20"/>
          <w:rtl/>
        </w:rPr>
        <w:t xml:space="preserve"> בזמנינו שהולכים עם בגדים צמודים לגוף </w:t>
      </w:r>
      <w:r w:rsidRPr="00533CEC">
        <w:rPr>
          <w:rFonts w:hint="cs"/>
          <w:sz w:val="18"/>
          <w:szCs w:val="18"/>
          <w:rtl/>
        </w:rPr>
        <w:t>(תחתונים)</w:t>
      </w:r>
      <w:r>
        <w:rPr>
          <w:rFonts w:hint="cs"/>
          <w:sz w:val="20"/>
          <w:szCs w:val="20"/>
          <w:rtl/>
        </w:rPr>
        <w:t>, הוי כדין בדקה עצמה מייד והתברר שהיא טהורה, משום שאי אפשר שיבוא דם על הסדין ולא ייצא כלל על הבגד הסמוך לגוף.</w:t>
      </w:r>
    </w:p>
    <w:p w:rsidR="00620060" w:rsidRPr="003C2908" w:rsidRDefault="00620060" w:rsidP="00620060">
      <w:pPr>
        <w:rPr>
          <w:sz w:val="20"/>
          <w:szCs w:val="20"/>
          <w:rtl/>
        </w:rPr>
      </w:pPr>
      <w:r>
        <w:rPr>
          <w:rFonts w:hint="cs"/>
          <w:b/>
          <w:bCs/>
          <w:sz w:val="20"/>
          <w:szCs w:val="20"/>
          <w:rtl/>
        </w:rPr>
        <w:t xml:space="preserve">האם יש הבדל בין מיטה לחלוק? </w:t>
      </w:r>
      <w:r w:rsidRPr="006B3F5C">
        <w:rPr>
          <w:rFonts w:hint="cs"/>
          <w:sz w:val="18"/>
          <w:szCs w:val="18"/>
          <w:rtl/>
        </w:rPr>
        <w:t>(בית יוסף)</w:t>
      </w:r>
      <w:r>
        <w:rPr>
          <w:rFonts w:hint="cs"/>
          <w:b/>
          <w:bCs/>
          <w:sz w:val="20"/>
          <w:szCs w:val="20"/>
          <w:rtl/>
        </w:rPr>
        <w:br/>
      </w:r>
      <w:r>
        <w:rPr>
          <w:rFonts w:hint="cs"/>
          <w:sz w:val="20"/>
          <w:szCs w:val="20"/>
          <w:rtl/>
        </w:rPr>
        <w:t xml:space="preserve">א. </w:t>
      </w:r>
      <w:r w:rsidRPr="003C2908">
        <w:rPr>
          <w:rFonts w:hint="cs"/>
          <w:b/>
          <w:bCs/>
          <w:sz w:val="20"/>
          <w:szCs w:val="20"/>
          <w:rtl/>
        </w:rPr>
        <w:t>רשב"א</w:t>
      </w:r>
      <w:r>
        <w:rPr>
          <w:rFonts w:hint="cs"/>
          <w:sz w:val="20"/>
          <w:szCs w:val="20"/>
          <w:rtl/>
        </w:rPr>
        <w:t xml:space="preserve"> - בדיקה של אחת או שתיים מצילה על האחרות רק במיטה אך לא בחלוק </w:t>
      </w:r>
      <w:r w:rsidRPr="00AD1B82">
        <w:rPr>
          <w:rFonts w:hint="cs"/>
          <w:sz w:val="18"/>
          <w:szCs w:val="18"/>
          <w:rtl/>
        </w:rPr>
        <w:t>(ודין ספסל כדין חלוק)</w:t>
      </w:r>
      <w:r>
        <w:rPr>
          <w:rFonts w:hint="cs"/>
          <w:sz w:val="20"/>
          <w:szCs w:val="20"/>
          <w:rtl/>
        </w:rPr>
        <w:t>.</w:t>
      </w:r>
      <w:r>
        <w:rPr>
          <w:sz w:val="20"/>
          <w:szCs w:val="20"/>
          <w:rtl/>
        </w:rPr>
        <w:br/>
      </w:r>
      <w:r w:rsidRPr="003C2908">
        <w:rPr>
          <w:rFonts w:hint="cs"/>
          <w:b/>
          <w:bCs/>
          <w:sz w:val="20"/>
          <w:szCs w:val="20"/>
          <w:rtl/>
        </w:rPr>
        <w:t xml:space="preserve">טעם </w:t>
      </w:r>
      <w:r>
        <w:rPr>
          <w:sz w:val="20"/>
          <w:szCs w:val="20"/>
          <w:rtl/>
        </w:rPr>
        <w:t>–</w:t>
      </w:r>
      <w:r>
        <w:rPr>
          <w:rFonts w:hint="cs"/>
          <w:sz w:val="20"/>
          <w:szCs w:val="20"/>
          <w:rtl/>
        </w:rPr>
        <w:t xml:space="preserve"> במיטה ניתן לבדוק מייד לאחר שמצאו את הכתם, אך בחלוק שלבשו שלוש נשים זו אחר זו לא מהני לאחרונה מה ששתי הראשונות בדקו עצמן ומצאו טמא, שהרי בדיקתן נעשתה לאחר שיעור ווסת משעה שפשטו את החלוק. ברם, השלישית שבדקה עצמה ומצאה עצמה טמאה מצילה את שתי הראשונות.</w:t>
      </w:r>
      <w:r>
        <w:rPr>
          <w:rFonts w:hint="cs"/>
          <w:sz w:val="20"/>
          <w:szCs w:val="20"/>
          <w:rtl/>
        </w:rPr>
        <w:br/>
        <w:t xml:space="preserve">ב. </w:t>
      </w:r>
      <w:r w:rsidRPr="00AD1B82">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אין הבדל בין חלוק למיטה.</w:t>
      </w:r>
    </w:p>
    <w:p w:rsidR="00620060" w:rsidRDefault="00620060" w:rsidP="00620060">
      <w:pPr>
        <w:rPr>
          <w:sz w:val="20"/>
          <w:szCs w:val="20"/>
          <w:rtl/>
        </w:rPr>
      </w:pPr>
      <w:r>
        <w:rPr>
          <w:rFonts w:hint="cs"/>
          <w:b/>
          <w:bCs/>
          <w:sz w:val="20"/>
          <w:szCs w:val="20"/>
          <w:rtl/>
        </w:rPr>
        <w:lastRenderedPageBreak/>
        <w:t>סיכום</w:t>
      </w:r>
      <w:r>
        <w:rPr>
          <w:b/>
          <w:bCs/>
          <w:sz w:val="20"/>
          <w:szCs w:val="20"/>
          <w:rtl/>
        </w:rPr>
        <w:br/>
      </w:r>
      <w:r>
        <w:rPr>
          <w:rFonts w:hint="cs"/>
          <w:sz w:val="20"/>
          <w:szCs w:val="20"/>
          <w:rtl/>
        </w:rPr>
        <w:t xml:space="preserve">1. </w:t>
      </w:r>
      <w:r w:rsidRPr="00204E2C">
        <w:rPr>
          <w:rFonts w:hint="cs"/>
          <w:b/>
          <w:bCs/>
          <w:sz w:val="20"/>
          <w:szCs w:val="20"/>
          <w:rtl/>
        </w:rPr>
        <w:t>משנה</w:t>
      </w:r>
      <w:r>
        <w:rPr>
          <w:rFonts w:hint="cs"/>
          <w:sz w:val="20"/>
          <w:szCs w:val="20"/>
          <w:rtl/>
        </w:rPr>
        <w:t>. שלוש נשים שישנו במיטה אחת ונמצא דם תחת אחת מהן, כולן טמאות. בדקה אחת ומצאה טהורה, היא טהורה והאחרות טמאות, אך אם שלושתן בדקו ומצאו טהורות, כולן טמאות. בדקה אחת ומצאה טמאה, היא טמאה והאחרות טהורות.</w:t>
      </w:r>
      <w:r>
        <w:rPr>
          <w:rFonts w:hint="cs"/>
          <w:sz w:val="20"/>
          <w:szCs w:val="20"/>
          <w:rtl/>
        </w:rPr>
        <w:br/>
        <w:t xml:space="preserve">2. </w:t>
      </w:r>
      <w:r w:rsidRPr="00204E2C">
        <w:rPr>
          <w:rFonts w:hint="cs"/>
          <w:b/>
          <w:bCs/>
          <w:sz w:val="20"/>
          <w:szCs w:val="20"/>
          <w:rtl/>
        </w:rPr>
        <w:t>גמרא</w:t>
      </w:r>
      <w:r>
        <w:rPr>
          <w:rFonts w:hint="cs"/>
          <w:sz w:val="20"/>
          <w:szCs w:val="20"/>
          <w:rtl/>
        </w:rPr>
        <w:t xml:space="preserve">. </w:t>
      </w:r>
      <w:r w:rsidRPr="00204E2C">
        <w:rPr>
          <w:rFonts w:hint="cs"/>
          <w:sz w:val="20"/>
          <w:szCs w:val="20"/>
          <w:u w:val="single"/>
          <w:rtl/>
        </w:rPr>
        <w:t>רב יהודה</w:t>
      </w:r>
      <w:r>
        <w:rPr>
          <w:rFonts w:hint="cs"/>
          <w:sz w:val="20"/>
          <w:szCs w:val="20"/>
          <w:rtl/>
        </w:rPr>
        <w:t xml:space="preserve">. והוא שבדקה עצמה כשיעור ווסת, וכן מוכח מדברי </w:t>
      </w:r>
      <w:r w:rsidRPr="00204E2C">
        <w:rPr>
          <w:rFonts w:hint="cs"/>
          <w:sz w:val="20"/>
          <w:szCs w:val="20"/>
          <w:u w:val="single"/>
          <w:rtl/>
        </w:rPr>
        <w:t>בר פדא</w:t>
      </w:r>
      <w:r>
        <w:rPr>
          <w:rFonts w:hint="cs"/>
          <w:sz w:val="20"/>
          <w:szCs w:val="20"/>
          <w:rtl/>
        </w:rPr>
        <w:t xml:space="preserve"> שבדיקה זו מועילה אף לטהרות. </w:t>
      </w:r>
      <w:r w:rsidRPr="00204E2C">
        <w:rPr>
          <w:rFonts w:hint="cs"/>
          <w:sz w:val="20"/>
          <w:szCs w:val="20"/>
          <w:u w:val="single"/>
          <w:rtl/>
        </w:rPr>
        <w:t>רבי אושעיא</w:t>
      </w:r>
      <w:r>
        <w:rPr>
          <w:rFonts w:hint="cs"/>
          <w:sz w:val="20"/>
          <w:szCs w:val="20"/>
          <w:rtl/>
        </w:rPr>
        <w:t>. בדיקה זו אינה מועילה לטהרות.</w:t>
      </w:r>
      <w:r>
        <w:rPr>
          <w:sz w:val="20"/>
          <w:szCs w:val="20"/>
          <w:rtl/>
        </w:rPr>
        <w:br/>
      </w:r>
      <w:r>
        <w:rPr>
          <w:rFonts w:hint="cs"/>
          <w:sz w:val="20"/>
          <w:szCs w:val="20"/>
          <w:rtl/>
        </w:rPr>
        <w:t xml:space="preserve">3. </w:t>
      </w:r>
      <w:r w:rsidRPr="00204E2C">
        <w:rPr>
          <w:rFonts w:hint="cs"/>
          <w:b/>
          <w:bCs/>
          <w:sz w:val="20"/>
          <w:szCs w:val="20"/>
          <w:rtl/>
        </w:rPr>
        <w:t>רמב"ן</w:t>
      </w:r>
      <w:r>
        <w:rPr>
          <w:rFonts w:hint="cs"/>
          <w:sz w:val="20"/>
          <w:szCs w:val="20"/>
          <w:rtl/>
        </w:rPr>
        <w:t xml:space="preserve">. הלכה כבר פדא, ושיעור ווסת נאמר לקינוח אך אין בו די זמן כדי לבצע בדיקה פנימית, וכ"פ </w:t>
      </w:r>
      <w:r w:rsidRPr="00204E2C">
        <w:rPr>
          <w:rFonts w:hint="cs"/>
          <w:b/>
          <w:bCs/>
          <w:sz w:val="20"/>
          <w:szCs w:val="20"/>
          <w:rtl/>
        </w:rPr>
        <w:t>המחבר</w:t>
      </w:r>
      <w:r>
        <w:rPr>
          <w:rFonts w:hint="cs"/>
          <w:sz w:val="20"/>
          <w:szCs w:val="20"/>
          <w:rtl/>
        </w:rPr>
        <w:t xml:space="preserve">. </w:t>
      </w:r>
      <w:r w:rsidRPr="005912EB">
        <w:rPr>
          <w:rFonts w:hint="cs"/>
          <w:sz w:val="18"/>
          <w:szCs w:val="18"/>
          <w:rtl/>
        </w:rPr>
        <w:t>[וכן, מדובר שמצאו את הכתם כששכבו במיטה או מייד כשקמו ממנה]</w:t>
      </w:r>
      <w:r>
        <w:rPr>
          <w:rFonts w:hint="cs"/>
          <w:sz w:val="20"/>
          <w:szCs w:val="20"/>
          <w:rtl/>
        </w:rPr>
        <w:t xml:space="preserve">. </w:t>
      </w:r>
      <w:r w:rsidRPr="00204E2C">
        <w:rPr>
          <w:rFonts w:hint="cs"/>
          <w:b/>
          <w:bCs/>
          <w:sz w:val="20"/>
          <w:szCs w:val="20"/>
          <w:rtl/>
        </w:rPr>
        <w:t>רא"ש</w:t>
      </w:r>
      <w:r>
        <w:rPr>
          <w:rFonts w:hint="cs"/>
          <w:sz w:val="20"/>
          <w:szCs w:val="20"/>
          <w:rtl/>
        </w:rPr>
        <w:t xml:space="preserve">. הלכה כרבי אושעיא, אין הגבלת זמן מתי נעשתה הבדיקה. </w:t>
      </w:r>
      <w:r w:rsidRPr="00204E2C">
        <w:rPr>
          <w:rFonts w:hint="cs"/>
          <w:b/>
          <w:bCs/>
          <w:sz w:val="20"/>
          <w:szCs w:val="20"/>
          <w:rtl/>
        </w:rPr>
        <w:t>רז"ה</w:t>
      </w:r>
      <w:r>
        <w:rPr>
          <w:rFonts w:hint="cs"/>
          <w:sz w:val="20"/>
          <w:szCs w:val="20"/>
          <w:rtl/>
        </w:rPr>
        <w:t>. יש לחלק, כשמצאה עצמה טמאה ומצילה את חברותיה מהני רק בשיעור ווסת, אך אם מצאה טהורה מהני אפילו לאחר זמן.</w:t>
      </w:r>
      <w:r>
        <w:rPr>
          <w:rFonts w:hint="cs"/>
          <w:sz w:val="20"/>
          <w:szCs w:val="20"/>
          <w:rtl/>
        </w:rPr>
        <w:br/>
        <w:t xml:space="preserve">4. </w:t>
      </w:r>
      <w:r w:rsidRPr="00533CEC">
        <w:rPr>
          <w:rFonts w:hint="cs"/>
          <w:b/>
          <w:bCs/>
          <w:sz w:val="20"/>
          <w:szCs w:val="20"/>
          <w:rtl/>
        </w:rPr>
        <w:t>ששבה"ל</w:t>
      </w:r>
      <w:r>
        <w:rPr>
          <w:rFonts w:hint="cs"/>
          <w:sz w:val="20"/>
          <w:szCs w:val="20"/>
          <w:rtl/>
        </w:rPr>
        <w:t>. בזמנינו הולכים עם בגד תחתון וזו בדיקה טובה לברר את טהרתה.</w:t>
      </w:r>
      <w:r>
        <w:rPr>
          <w:rFonts w:hint="cs"/>
          <w:sz w:val="20"/>
          <w:szCs w:val="20"/>
          <w:rtl/>
        </w:rPr>
        <w:br/>
        <w:t xml:space="preserve">5. </w:t>
      </w:r>
      <w:r w:rsidRPr="00AD1B82">
        <w:rPr>
          <w:rFonts w:hint="cs"/>
          <w:b/>
          <w:bCs/>
          <w:sz w:val="20"/>
          <w:szCs w:val="20"/>
          <w:rtl/>
        </w:rPr>
        <w:t>רשב"א</w:t>
      </w:r>
      <w:r>
        <w:rPr>
          <w:rFonts w:hint="cs"/>
          <w:sz w:val="20"/>
          <w:szCs w:val="20"/>
          <w:rtl/>
        </w:rPr>
        <w:t xml:space="preserve">. בדקה ומצאה טמאה לא מהני בשתי נשים הראשונות להציל את השלישית בחלוק. </w:t>
      </w:r>
      <w:r w:rsidRPr="009F5038">
        <w:rPr>
          <w:rFonts w:hint="cs"/>
          <w:b/>
          <w:bCs/>
          <w:sz w:val="20"/>
          <w:szCs w:val="20"/>
          <w:rtl/>
        </w:rPr>
        <w:t>טעם</w:t>
      </w:r>
      <w:r>
        <w:rPr>
          <w:rFonts w:hint="cs"/>
          <w:sz w:val="20"/>
          <w:szCs w:val="20"/>
          <w:rtl/>
        </w:rPr>
        <w:t xml:space="preserve">. הבדיקה נעשתה לאחר שיעור ווסת מפשיטת החלוק. </w:t>
      </w:r>
      <w:r w:rsidRPr="00AD1B82">
        <w:rPr>
          <w:rFonts w:hint="cs"/>
          <w:b/>
          <w:bCs/>
          <w:sz w:val="20"/>
          <w:szCs w:val="20"/>
          <w:rtl/>
        </w:rPr>
        <w:t>רמב"ם</w:t>
      </w:r>
      <w:r>
        <w:rPr>
          <w:rFonts w:hint="cs"/>
          <w:sz w:val="20"/>
          <w:szCs w:val="20"/>
          <w:rtl/>
        </w:rPr>
        <w:t>. אין הבדל בין חלוק למיטה.</w:t>
      </w:r>
    </w:p>
    <w:p w:rsidR="00620060" w:rsidRDefault="00620060" w:rsidP="00620060">
      <w:pPr>
        <w:rPr>
          <w:sz w:val="20"/>
          <w:szCs w:val="20"/>
          <w:rtl/>
        </w:rPr>
      </w:pPr>
      <w:r>
        <w:rPr>
          <w:sz w:val="20"/>
          <w:szCs w:val="20"/>
          <w:rtl/>
        </w:rPr>
        <w:br/>
      </w:r>
      <w:r>
        <w:rPr>
          <w:rFonts w:hint="cs"/>
          <w:b/>
          <w:bCs/>
          <w:sz w:val="20"/>
          <w:szCs w:val="20"/>
          <w:rtl/>
        </w:rPr>
        <w:t xml:space="preserve">סעיף נב </w:t>
      </w:r>
      <w:r>
        <w:rPr>
          <w:b/>
          <w:bCs/>
          <w:sz w:val="20"/>
          <w:szCs w:val="20"/>
          <w:rtl/>
        </w:rPr>
        <w:t>–</w:t>
      </w:r>
      <w:r>
        <w:rPr>
          <w:rFonts w:hint="cs"/>
          <w:b/>
          <w:bCs/>
          <w:sz w:val="20"/>
          <w:szCs w:val="20"/>
          <w:rtl/>
        </w:rPr>
        <w:t xml:space="preserve"> פרטים נוספים בדין הנ"ל</w:t>
      </w:r>
      <w:r>
        <w:rPr>
          <w:b/>
          <w:bCs/>
          <w:sz w:val="20"/>
          <w:szCs w:val="20"/>
          <w:rtl/>
        </w:rPr>
        <w:br/>
      </w:r>
      <w:r>
        <w:rPr>
          <w:rFonts w:hint="cs"/>
          <w:sz w:val="20"/>
          <w:szCs w:val="20"/>
          <w:rtl/>
        </w:rPr>
        <w:t xml:space="preserve">א. </w:t>
      </w:r>
      <w:r>
        <w:rPr>
          <w:rFonts w:hint="cs"/>
          <w:b/>
          <w:bCs/>
          <w:sz w:val="20"/>
          <w:szCs w:val="20"/>
          <w:rtl/>
        </w:rPr>
        <w:t>תליית מסולקת דמים בשאינה מסולקת דמים</w:t>
      </w:r>
      <w:r>
        <w:rPr>
          <w:b/>
          <w:bCs/>
          <w:sz w:val="20"/>
          <w:szCs w:val="20"/>
          <w:rtl/>
        </w:rPr>
        <w:br/>
      </w:r>
      <w:r>
        <w:rPr>
          <w:rFonts w:hint="cs"/>
          <w:b/>
          <w:bCs/>
          <w:sz w:val="20"/>
          <w:szCs w:val="20"/>
          <w:rtl/>
        </w:rPr>
        <w:t xml:space="preserve">משנה </w:t>
      </w:r>
      <w:r>
        <w:rPr>
          <w:rFonts w:hint="cs"/>
          <w:sz w:val="20"/>
          <w:szCs w:val="20"/>
          <w:rtl/>
        </w:rPr>
        <w:t>נידה (ס:) "</w:t>
      </w:r>
      <w:r w:rsidRPr="00384127">
        <w:rPr>
          <w:rFonts w:cs="Arial"/>
          <w:sz w:val="20"/>
          <w:szCs w:val="20"/>
          <w:rtl/>
        </w:rPr>
        <w:t>ותולות זו בזו</w:t>
      </w:r>
      <w:r w:rsidRPr="00384127">
        <w:rPr>
          <w:rFonts w:cs="Arial" w:hint="cs"/>
          <w:sz w:val="20"/>
          <w:szCs w:val="20"/>
          <w:rtl/>
        </w:rPr>
        <w:t>...</w:t>
      </w:r>
      <w:r>
        <w:rPr>
          <w:rFonts w:cs="Arial" w:hint="cs"/>
          <w:sz w:val="20"/>
          <w:szCs w:val="20"/>
          <w:rtl/>
        </w:rPr>
        <w:t>"</w:t>
      </w:r>
      <w:r w:rsidRPr="00384127">
        <w:rPr>
          <w:rFonts w:cs="Arial" w:hint="cs"/>
          <w:sz w:val="20"/>
          <w:szCs w:val="20"/>
          <w:rtl/>
        </w:rPr>
        <w:br/>
      </w:r>
      <w:r w:rsidRPr="00384127">
        <w:rPr>
          <w:rFonts w:cs="Arial" w:hint="cs"/>
          <w:b/>
          <w:bCs/>
          <w:sz w:val="20"/>
          <w:szCs w:val="20"/>
          <w:rtl/>
        </w:rPr>
        <w:t>גמרא</w:t>
      </w:r>
      <w:r w:rsidRPr="00384127">
        <w:rPr>
          <w:rFonts w:cs="Arial" w:hint="cs"/>
          <w:sz w:val="20"/>
          <w:szCs w:val="20"/>
          <w:rtl/>
        </w:rPr>
        <w:t xml:space="preserve"> "תנו </w:t>
      </w:r>
      <w:r w:rsidRPr="00384127">
        <w:rPr>
          <w:rFonts w:cs="Arial"/>
          <w:sz w:val="20"/>
          <w:szCs w:val="20"/>
          <w:rtl/>
        </w:rPr>
        <w:t>ר</w:t>
      </w:r>
      <w:r w:rsidRPr="00384127">
        <w:rPr>
          <w:rFonts w:cs="Arial" w:hint="cs"/>
          <w:sz w:val="20"/>
          <w:szCs w:val="20"/>
          <w:rtl/>
        </w:rPr>
        <w:t>בנן</w:t>
      </w:r>
      <w:r w:rsidRPr="00384127">
        <w:rPr>
          <w:rFonts w:cs="Arial"/>
          <w:sz w:val="20"/>
          <w:szCs w:val="20"/>
          <w:rtl/>
        </w:rPr>
        <w:t>: כיצד תולות זו בזו; עוברה ושאינה עוברה - תולה עוברה בשאינה עוברה, מניקה ושאינה מניקה - תולה מניקה בשאינה מניקה, זקנה ושאינה זקנה - תולה זקנה בשאינה זקנה, בתולה ושאינה בתולה - תולה בתולה בשאינה בתולה</w:t>
      </w:r>
      <w:r>
        <w:rPr>
          <w:rFonts w:cs="Arial" w:hint="cs"/>
          <w:sz w:val="20"/>
          <w:szCs w:val="20"/>
          <w:rtl/>
        </w:rPr>
        <w:t>"</w:t>
      </w:r>
      <w:r w:rsidRPr="00384127">
        <w:rPr>
          <w:rFonts w:cs="Arial"/>
          <w:sz w:val="20"/>
          <w:szCs w:val="20"/>
          <w:rtl/>
        </w:rPr>
        <w:t>.</w:t>
      </w:r>
    </w:p>
    <w:p w:rsidR="00620060" w:rsidRDefault="00620060" w:rsidP="00620060">
      <w:pPr>
        <w:rPr>
          <w:sz w:val="20"/>
          <w:szCs w:val="20"/>
          <w:rtl/>
        </w:rPr>
      </w:pPr>
      <w:r>
        <w:rPr>
          <w:rFonts w:cs="Arial" w:hint="cs"/>
          <w:b/>
          <w:bCs/>
          <w:sz w:val="20"/>
          <w:szCs w:val="20"/>
          <w:rtl/>
        </w:rPr>
        <w:t>פסיקת הלכה</w:t>
      </w:r>
      <w:r>
        <w:rPr>
          <w:rFonts w:cs="Arial"/>
          <w:b/>
          <w:bCs/>
          <w:sz w:val="20"/>
          <w:szCs w:val="20"/>
          <w:rtl/>
        </w:rPr>
        <w:br/>
      </w:r>
      <w:r>
        <w:rPr>
          <w:rFonts w:cs="Arial" w:hint="cs"/>
          <w:b/>
          <w:bCs/>
          <w:sz w:val="20"/>
          <w:szCs w:val="20"/>
          <w:rtl/>
        </w:rPr>
        <w:t>שולחן ערוך</w:t>
      </w:r>
      <w:r>
        <w:rPr>
          <w:rFonts w:hint="cs"/>
          <w:sz w:val="20"/>
          <w:szCs w:val="20"/>
          <w:rtl/>
        </w:rPr>
        <w:t xml:space="preserve"> </w:t>
      </w:r>
      <w:r>
        <w:rPr>
          <w:sz w:val="20"/>
          <w:szCs w:val="20"/>
          <w:rtl/>
        </w:rPr>
        <w:t>–</w:t>
      </w:r>
      <w:r>
        <w:rPr>
          <w:rFonts w:hint="cs"/>
          <w:sz w:val="20"/>
          <w:szCs w:val="20"/>
          <w:rtl/>
        </w:rPr>
        <w:t xml:space="preserve"> "</w:t>
      </w:r>
      <w:r w:rsidRPr="00384127">
        <w:rPr>
          <w:rFonts w:cs="Arial"/>
          <w:sz w:val="20"/>
          <w:szCs w:val="20"/>
          <w:rtl/>
        </w:rPr>
        <w:t xml:space="preserve">במה דברים אמורים, כשכולן שוות. אבל אם אחת ראויה לראות יותר מחבירתה, שאינה ראויה תולה בראויה. כיצד, </w:t>
      </w:r>
      <w:r>
        <w:rPr>
          <w:rFonts w:cs="Arial" w:hint="cs"/>
          <w:sz w:val="20"/>
          <w:szCs w:val="20"/>
          <w:vertAlign w:val="superscript"/>
          <w:rtl/>
        </w:rPr>
        <w:t>1</w:t>
      </w:r>
      <w:r w:rsidRPr="00384127">
        <w:rPr>
          <w:rFonts w:cs="Arial"/>
          <w:sz w:val="20"/>
          <w:szCs w:val="20"/>
          <w:rtl/>
        </w:rPr>
        <w:t>אחת זקנה שעברו עליה של</w:t>
      </w:r>
      <w:r>
        <w:rPr>
          <w:rFonts w:cs="Arial" w:hint="cs"/>
          <w:sz w:val="20"/>
          <w:szCs w:val="20"/>
          <w:rtl/>
        </w:rPr>
        <w:t>ו</w:t>
      </w:r>
      <w:r w:rsidRPr="00384127">
        <w:rPr>
          <w:rFonts w:cs="Arial"/>
          <w:sz w:val="20"/>
          <w:szCs w:val="20"/>
          <w:rtl/>
        </w:rPr>
        <w:t>שה עונות ולא ראתה, ואחת ילדה, זקנה טהורה וילדה טמאה</w:t>
      </w:r>
      <w:r>
        <w:rPr>
          <w:rStyle w:val="a5"/>
          <w:rFonts w:cs="Arial"/>
          <w:sz w:val="20"/>
          <w:szCs w:val="20"/>
          <w:rtl/>
        </w:rPr>
        <w:footnoteReference w:id="349"/>
      </w:r>
      <w:r w:rsidRPr="00384127">
        <w:rPr>
          <w:rFonts w:cs="Arial"/>
          <w:sz w:val="20"/>
          <w:szCs w:val="20"/>
          <w:rtl/>
        </w:rPr>
        <w:t xml:space="preserve">. </w:t>
      </w:r>
      <w:r>
        <w:rPr>
          <w:rFonts w:cs="Arial" w:hint="cs"/>
          <w:sz w:val="20"/>
          <w:szCs w:val="20"/>
          <w:vertAlign w:val="superscript"/>
          <w:rtl/>
        </w:rPr>
        <w:t>2</w:t>
      </w:r>
      <w:r w:rsidRPr="00384127">
        <w:rPr>
          <w:rFonts w:cs="Arial"/>
          <w:sz w:val="20"/>
          <w:szCs w:val="20"/>
          <w:rtl/>
        </w:rPr>
        <w:t xml:space="preserve">אחת מעוברת שהוכר עוברה, ואחת שאינה מעוברת, מעוברת טהורה, ושאינה מעוברת טמאה. </w:t>
      </w:r>
      <w:r>
        <w:rPr>
          <w:rFonts w:cs="Arial" w:hint="cs"/>
          <w:sz w:val="20"/>
          <w:szCs w:val="20"/>
          <w:rtl/>
        </w:rPr>
        <w:br/>
      </w:r>
      <w:r>
        <w:rPr>
          <w:rFonts w:cs="Arial" w:hint="cs"/>
          <w:sz w:val="20"/>
          <w:szCs w:val="20"/>
          <w:vertAlign w:val="superscript"/>
          <w:rtl/>
        </w:rPr>
        <w:t>3</w:t>
      </w:r>
      <w:r w:rsidRPr="00384127">
        <w:rPr>
          <w:rFonts w:cs="Arial"/>
          <w:sz w:val="20"/>
          <w:szCs w:val="20"/>
          <w:rtl/>
        </w:rPr>
        <w:t>אחת בתולת דמים שלא ראתה מעולם</w:t>
      </w:r>
      <w:r>
        <w:rPr>
          <w:rStyle w:val="a5"/>
          <w:rFonts w:cs="Arial"/>
          <w:sz w:val="20"/>
          <w:szCs w:val="20"/>
          <w:rtl/>
        </w:rPr>
        <w:footnoteReference w:id="350"/>
      </w:r>
      <w:r w:rsidRPr="00384127">
        <w:rPr>
          <w:rFonts w:cs="Arial"/>
          <w:sz w:val="20"/>
          <w:szCs w:val="20"/>
          <w:rtl/>
        </w:rPr>
        <w:t xml:space="preserve"> ואחת שראתה, שלא ראתה טהורה</w:t>
      </w:r>
      <w:r>
        <w:rPr>
          <w:rFonts w:cs="Arial" w:hint="cs"/>
          <w:sz w:val="20"/>
          <w:szCs w:val="20"/>
          <w:rtl/>
        </w:rPr>
        <w:t>,</w:t>
      </w:r>
      <w:r w:rsidRPr="00384127">
        <w:rPr>
          <w:rFonts w:cs="Arial"/>
          <w:sz w:val="20"/>
          <w:szCs w:val="20"/>
          <w:rtl/>
        </w:rPr>
        <w:t xml:space="preserve"> ושראתה טמאה. </w:t>
      </w:r>
      <w:r>
        <w:rPr>
          <w:rFonts w:cs="Arial" w:hint="cs"/>
          <w:sz w:val="20"/>
          <w:szCs w:val="20"/>
          <w:rtl/>
        </w:rPr>
        <w:br/>
      </w:r>
      <w:r>
        <w:rPr>
          <w:rFonts w:cs="Arial" w:hint="cs"/>
          <w:sz w:val="20"/>
          <w:szCs w:val="20"/>
          <w:vertAlign w:val="superscript"/>
          <w:rtl/>
        </w:rPr>
        <w:t>4</w:t>
      </w:r>
      <w:r w:rsidRPr="00384127">
        <w:rPr>
          <w:rFonts w:cs="Arial"/>
          <w:sz w:val="20"/>
          <w:szCs w:val="20"/>
          <w:rtl/>
        </w:rPr>
        <w:t>אחת מניקה ואחת שאינה מניקה, מניקה טהורה, ושאינה מניקה טמאה</w:t>
      </w:r>
      <w:r>
        <w:rPr>
          <w:rFonts w:cs="Arial" w:hint="cs"/>
          <w:sz w:val="20"/>
          <w:szCs w:val="20"/>
          <w:rtl/>
        </w:rPr>
        <w:t>"</w:t>
      </w:r>
      <w:r w:rsidRPr="00384127">
        <w:rPr>
          <w:rFonts w:cs="Arial"/>
          <w:sz w:val="20"/>
          <w:szCs w:val="20"/>
          <w:rtl/>
        </w:rPr>
        <w:t>.</w:t>
      </w:r>
    </w:p>
    <w:p w:rsidR="00620060" w:rsidRPr="00AC1D1F" w:rsidRDefault="00620060" w:rsidP="00620060">
      <w:pPr>
        <w:rPr>
          <w:sz w:val="20"/>
          <w:szCs w:val="20"/>
          <w:rtl/>
        </w:rPr>
      </w:pPr>
      <w:r>
        <w:rPr>
          <w:rFonts w:hint="cs"/>
          <w:sz w:val="20"/>
          <w:szCs w:val="20"/>
          <w:u w:val="single"/>
          <w:rtl/>
        </w:rPr>
        <w:t>אחת הגיע ווסתה וחברתה לא הגיע ווסתה</w:t>
      </w:r>
      <w:r>
        <w:rPr>
          <w:sz w:val="20"/>
          <w:szCs w:val="20"/>
          <w:u w:val="single"/>
          <w:rtl/>
        </w:rPr>
        <w:br/>
      </w:r>
      <w:r w:rsidRPr="00AC1D1F">
        <w:rPr>
          <w:rFonts w:hint="cs"/>
          <w:b/>
          <w:bCs/>
          <w:sz w:val="20"/>
          <w:szCs w:val="20"/>
          <w:rtl/>
        </w:rPr>
        <w:t>בית יוסף</w:t>
      </w:r>
      <w:r>
        <w:rPr>
          <w:rFonts w:hint="cs"/>
          <w:sz w:val="20"/>
          <w:szCs w:val="20"/>
          <w:rtl/>
        </w:rPr>
        <w:t xml:space="preserve"> </w:t>
      </w:r>
      <w:r>
        <w:rPr>
          <w:sz w:val="20"/>
          <w:szCs w:val="20"/>
          <w:rtl/>
        </w:rPr>
        <w:t>–</w:t>
      </w:r>
      <w:r>
        <w:rPr>
          <w:rFonts w:hint="cs"/>
          <w:sz w:val="20"/>
          <w:szCs w:val="20"/>
          <w:rtl/>
        </w:rPr>
        <w:t xml:space="preserve"> רק מסולקת דמים תולה בחברתה שאינה מסולקת דמים, אך בעלת ווסת קבוע שלא הגיע זמנה לראות אינה תולה בחברתה שהגיע זמנה לראות, וכן אינה תולה בחברתה שאינה בעלת ווסת קבוע</w:t>
      </w:r>
      <w:r>
        <w:rPr>
          <w:rStyle w:val="a5"/>
          <w:sz w:val="20"/>
          <w:szCs w:val="20"/>
          <w:rtl/>
        </w:rPr>
        <w:footnoteReference w:id="351"/>
      </w:r>
      <w:r>
        <w:rPr>
          <w:rFonts w:hint="cs"/>
          <w:sz w:val="20"/>
          <w:szCs w:val="20"/>
          <w:rtl/>
        </w:rPr>
        <w:t>.</w:t>
      </w:r>
    </w:p>
    <w:p w:rsidR="00620060" w:rsidRDefault="00620060" w:rsidP="00620060">
      <w:pPr>
        <w:rPr>
          <w:sz w:val="20"/>
          <w:szCs w:val="20"/>
          <w:rtl/>
        </w:rPr>
      </w:pPr>
      <w:r>
        <w:rPr>
          <w:rFonts w:cs="Arial" w:hint="cs"/>
          <w:sz w:val="20"/>
          <w:szCs w:val="20"/>
          <w:rtl/>
        </w:rPr>
        <w:t xml:space="preserve">ב. </w:t>
      </w:r>
      <w:r>
        <w:rPr>
          <w:rFonts w:cs="Arial" w:hint="cs"/>
          <w:b/>
          <w:bCs/>
          <w:sz w:val="20"/>
          <w:szCs w:val="20"/>
          <w:rtl/>
        </w:rPr>
        <w:t>מסולקת דמים שתולה את הכתם בזמן שלא היתה מסולקת דמים</w:t>
      </w:r>
      <w:r>
        <w:rPr>
          <w:rFonts w:cs="Arial"/>
          <w:b/>
          <w:bCs/>
          <w:sz w:val="20"/>
          <w:szCs w:val="20"/>
          <w:rtl/>
        </w:rPr>
        <w:br/>
      </w:r>
      <w:r>
        <w:rPr>
          <w:rFonts w:cs="Arial" w:hint="cs"/>
          <w:b/>
          <w:bCs/>
          <w:sz w:val="20"/>
          <w:szCs w:val="20"/>
          <w:rtl/>
        </w:rPr>
        <w:t>פסיקת הלכה</w:t>
      </w:r>
      <w:r w:rsidRPr="00384127">
        <w:rPr>
          <w:rStyle w:val="a5"/>
          <w:rFonts w:cs="Arial"/>
          <w:sz w:val="20"/>
          <w:szCs w:val="20"/>
          <w:rtl/>
        </w:rPr>
        <w:footnoteReference w:id="352"/>
      </w:r>
      <w:r>
        <w:rPr>
          <w:rFonts w:cs="Arial"/>
          <w:b/>
          <w:bCs/>
          <w:sz w:val="20"/>
          <w:szCs w:val="20"/>
          <w:rtl/>
        </w:rPr>
        <w:br/>
      </w:r>
      <w:r>
        <w:rPr>
          <w:rFonts w:cs="Arial" w:hint="cs"/>
          <w:b/>
          <w:bCs/>
          <w:sz w:val="20"/>
          <w:szCs w:val="20"/>
          <w:rtl/>
        </w:rPr>
        <w:t>שולחן ערוך</w:t>
      </w:r>
      <w:r>
        <w:rPr>
          <w:rFonts w:hint="cs"/>
          <w:sz w:val="20"/>
          <w:szCs w:val="20"/>
          <w:rtl/>
        </w:rPr>
        <w:t xml:space="preserve"> </w:t>
      </w:r>
      <w:r>
        <w:rPr>
          <w:sz w:val="20"/>
          <w:szCs w:val="20"/>
          <w:rtl/>
        </w:rPr>
        <w:t>–</w:t>
      </w:r>
      <w:r>
        <w:rPr>
          <w:rFonts w:hint="cs"/>
          <w:sz w:val="20"/>
          <w:szCs w:val="20"/>
          <w:rtl/>
        </w:rPr>
        <w:t xml:space="preserve"> "</w:t>
      </w:r>
      <w:r w:rsidRPr="00384127">
        <w:rPr>
          <w:rFonts w:cs="Arial"/>
          <w:sz w:val="20"/>
          <w:szCs w:val="20"/>
          <w:rtl/>
        </w:rPr>
        <w:t>וכשם שתולה בחברתה כך תולה בעצמה, שאם לבשה חלוק בזמן שאינה מעוברת, ואח</w:t>
      </w:r>
      <w:r>
        <w:rPr>
          <w:rFonts w:cs="Arial" w:hint="cs"/>
          <w:sz w:val="20"/>
          <w:szCs w:val="20"/>
          <w:rtl/>
        </w:rPr>
        <w:t>ר כך</w:t>
      </w:r>
      <w:r w:rsidRPr="00384127">
        <w:rPr>
          <w:rFonts w:cs="Arial"/>
          <w:sz w:val="20"/>
          <w:szCs w:val="20"/>
          <w:rtl/>
        </w:rPr>
        <w:t xml:space="preserve"> לבשתו בזמן שהיא מעוברת, ונמצא עליו דם, תולה בימים הראשונים שלא היתה מעוברת, וכן מניקה וזקנה, וטהורה</w:t>
      </w:r>
      <w:r>
        <w:rPr>
          <w:rFonts w:cs="Arial" w:hint="cs"/>
          <w:sz w:val="20"/>
          <w:szCs w:val="20"/>
          <w:rtl/>
        </w:rPr>
        <w:t>".</w:t>
      </w:r>
    </w:p>
    <w:p w:rsidR="00620060" w:rsidRDefault="00620060" w:rsidP="00620060">
      <w:pPr>
        <w:rPr>
          <w:b/>
          <w:bCs/>
          <w:sz w:val="20"/>
          <w:szCs w:val="20"/>
          <w:rtl/>
        </w:rPr>
      </w:pPr>
      <w:r>
        <w:rPr>
          <w:rFonts w:hint="cs"/>
          <w:sz w:val="20"/>
          <w:szCs w:val="20"/>
          <w:rtl/>
        </w:rPr>
        <w:t xml:space="preserve">ג. </w:t>
      </w:r>
      <w:r>
        <w:rPr>
          <w:rFonts w:hint="cs"/>
          <w:b/>
          <w:bCs/>
          <w:sz w:val="20"/>
          <w:szCs w:val="20"/>
          <w:rtl/>
        </w:rPr>
        <w:t>היו כולן שוות</w:t>
      </w:r>
      <w:r>
        <w:rPr>
          <w:b/>
          <w:bCs/>
          <w:sz w:val="20"/>
          <w:szCs w:val="20"/>
          <w:rtl/>
        </w:rPr>
        <w:br/>
      </w:r>
      <w:r>
        <w:rPr>
          <w:rFonts w:hint="cs"/>
          <w:b/>
          <w:bCs/>
          <w:sz w:val="20"/>
          <w:szCs w:val="20"/>
          <w:rtl/>
        </w:rPr>
        <w:t xml:space="preserve">משנה </w:t>
      </w:r>
      <w:r>
        <w:rPr>
          <w:rFonts w:hint="cs"/>
          <w:sz w:val="20"/>
          <w:szCs w:val="20"/>
          <w:rtl/>
        </w:rPr>
        <w:t>(שם) "</w:t>
      </w:r>
      <w:r w:rsidRPr="00770498">
        <w:rPr>
          <w:rFonts w:cs="Arial"/>
          <w:sz w:val="20"/>
          <w:szCs w:val="20"/>
          <w:rtl/>
        </w:rPr>
        <w:t>ואם לא היו ראוין לרא</w:t>
      </w:r>
      <w:r>
        <w:rPr>
          <w:rFonts w:cs="Arial"/>
          <w:sz w:val="20"/>
          <w:szCs w:val="20"/>
          <w:rtl/>
        </w:rPr>
        <w:t>ות - רואין אותן כאילו הן ראויות</w:t>
      </w:r>
      <w:r>
        <w:rPr>
          <w:rFonts w:cs="Arial" w:hint="cs"/>
          <w:sz w:val="20"/>
          <w:szCs w:val="20"/>
          <w:rtl/>
        </w:rPr>
        <w:t>".</w:t>
      </w:r>
      <w:r>
        <w:rPr>
          <w:b/>
          <w:bCs/>
          <w:sz w:val="20"/>
          <w:szCs w:val="20"/>
          <w:rtl/>
        </w:rPr>
        <w:br/>
      </w:r>
      <w:r>
        <w:rPr>
          <w:rFonts w:hint="cs"/>
          <w:b/>
          <w:bCs/>
          <w:sz w:val="20"/>
          <w:szCs w:val="20"/>
          <w:rtl/>
        </w:rPr>
        <w:t xml:space="preserve">גמרא </w:t>
      </w:r>
      <w:r>
        <w:rPr>
          <w:rFonts w:hint="cs"/>
          <w:sz w:val="20"/>
          <w:szCs w:val="20"/>
          <w:rtl/>
        </w:rPr>
        <w:t>"</w:t>
      </w:r>
      <w:r w:rsidRPr="00770498">
        <w:rPr>
          <w:rFonts w:cs="Arial"/>
          <w:sz w:val="20"/>
          <w:szCs w:val="20"/>
          <w:rtl/>
        </w:rPr>
        <w:t>היו שתיהן עוברות, שתיהן מניקות, שתיהן זקנות, שתיהן בתולות - זו היא ששנינו, לא היו ראויות לראות - רואין</w:t>
      </w:r>
      <w:r w:rsidRPr="00770498">
        <w:rPr>
          <w:rtl/>
        </w:rPr>
        <w:t xml:space="preserve"> </w:t>
      </w:r>
      <w:r w:rsidRPr="00770498">
        <w:rPr>
          <w:rFonts w:cs="Arial"/>
          <w:sz w:val="20"/>
          <w:szCs w:val="20"/>
          <w:rtl/>
        </w:rPr>
        <w:t>כאילו הן ראויות</w:t>
      </w:r>
      <w:r>
        <w:rPr>
          <w:rFonts w:cs="Arial" w:hint="cs"/>
          <w:sz w:val="20"/>
          <w:szCs w:val="20"/>
          <w:rtl/>
        </w:rPr>
        <w:t>".</w:t>
      </w:r>
      <w:r>
        <w:rPr>
          <w:rFonts w:cs="Arial"/>
          <w:sz w:val="20"/>
          <w:szCs w:val="20"/>
          <w:rtl/>
        </w:rPr>
        <w:br/>
      </w:r>
      <w:r w:rsidRPr="00770498">
        <w:rPr>
          <w:rFonts w:cs="Arial" w:hint="cs"/>
          <w:b/>
          <w:bCs/>
          <w:sz w:val="20"/>
          <w:szCs w:val="20"/>
          <w:rtl/>
        </w:rPr>
        <w:t>רש"י</w:t>
      </w:r>
      <w:r>
        <w:rPr>
          <w:rFonts w:cs="Arial" w:hint="cs"/>
          <w:sz w:val="20"/>
          <w:szCs w:val="20"/>
          <w:rtl/>
        </w:rPr>
        <w:t xml:space="preserve"> </w:t>
      </w:r>
      <w:r w:rsidRPr="00770498">
        <w:rPr>
          <w:rFonts w:cs="Arial" w:hint="cs"/>
          <w:sz w:val="18"/>
          <w:szCs w:val="18"/>
          <w:rtl/>
        </w:rPr>
        <w:t xml:space="preserve">(ד"ה </w:t>
      </w:r>
      <w:r w:rsidRPr="00770498">
        <w:rPr>
          <w:rFonts w:cs="Arial"/>
          <w:sz w:val="18"/>
          <w:szCs w:val="18"/>
          <w:rtl/>
        </w:rPr>
        <w:t>כאילו הן ראויות</w:t>
      </w:r>
      <w:r w:rsidRPr="00770498">
        <w:rPr>
          <w:rFonts w:cs="Arial" w:hint="cs"/>
          <w:sz w:val="18"/>
          <w:szCs w:val="18"/>
          <w:rtl/>
        </w:rPr>
        <w:t xml:space="preserve">) </w:t>
      </w:r>
      <w:r>
        <w:rPr>
          <w:rFonts w:cs="Arial"/>
          <w:sz w:val="20"/>
          <w:szCs w:val="20"/>
          <w:rtl/>
        </w:rPr>
        <w:t>–</w:t>
      </w:r>
      <w:r>
        <w:rPr>
          <w:rFonts w:cs="Arial" w:hint="cs"/>
          <w:sz w:val="20"/>
          <w:szCs w:val="20"/>
          <w:rtl/>
        </w:rPr>
        <w:t xml:space="preserve"> "</w:t>
      </w:r>
      <w:r w:rsidRPr="00770498">
        <w:rPr>
          <w:rFonts w:cs="Arial"/>
          <w:sz w:val="20"/>
          <w:szCs w:val="20"/>
          <w:rtl/>
        </w:rPr>
        <w:t>לראות</w:t>
      </w:r>
      <w:r>
        <w:rPr>
          <w:rFonts w:cs="Arial" w:hint="cs"/>
          <w:sz w:val="20"/>
          <w:szCs w:val="20"/>
          <w:rtl/>
        </w:rPr>
        <w:t>,</w:t>
      </w:r>
      <w:r w:rsidRPr="00770498">
        <w:rPr>
          <w:rFonts w:cs="Arial"/>
          <w:sz w:val="20"/>
          <w:szCs w:val="20"/>
          <w:rtl/>
        </w:rPr>
        <w:t xml:space="preserve"> ושתיהן טמאות דמכל מקום דם מבינייהו נפיק</w:t>
      </w:r>
      <w:r>
        <w:rPr>
          <w:rFonts w:cs="Arial" w:hint="cs"/>
          <w:sz w:val="20"/>
          <w:szCs w:val="20"/>
          <w:rtl/>
        </w:rPr>
        <w:t>"</w:t>
      </w:r>
      <w:r w:rsidRPr="00770498">
        <w:rPr>
          <w:rFonts w:cs="Arial"/>
          <w:sz w:val="20"/>
          <w:szCs w:val="20"/>
          <w:rtl/>
        </w:rPr>
        <w:t>.</w:t>
      </w:r>
      <w:r>
        <w:rPr>
          <w:b/>
          <w:bCs/>
          <w:sz w:val="20"/>
          <w:szCs w:val="20"/>
          <w:rtl/>
        </w:rPr>
        <w:br/>
      </w:r>
      <w:r>
        <w:rPr>
          <w:rFonts w:hint="cs"/>
          <w:b/>
          <w:bCs/>
          <w:sz w:val="20"/>
          <w:szCs w:val="20"/>
          <w:rtl/>
        </w:rPr>
        <w:br/>
      </w:r>
      <w:r>
        <w:rPr>
          <w:rFonts w:cs="Arial" w:hint="cs"/>
          <w:b/>
          <w:bCs/>
          <w:sz w:val="20"/>
          <w:szCs w:val="20"/>
          <w:rtl/>
        </w:rPr>
        <w:t>פסיקת הלכה</w:t>
      </w:r>
      <w:r>
        <w:rPr>
          <w:rFonts w:cs="Arial"/>
          <w:b/>
          <w:bCs/>
          <w:sz w:val="20"/>
          <w:szCs w:val="20"/>
          <w:rtl/>
        </w:rPr>
        <w:br/>
      </w:r>
      <w:r>
        <w:rPr>
          <w:rFonts w:cs="Arial" w:hint="cs"/>
          <w:b/>
          <w:bCs/>
          <w:sz w:val="20"/>
          <w:szCs w:val="20"/>
          <w:rtl/>
        </w:rPr>
        <w:t>שולחן ערוך</w:t>
      </w:r>
      <w:r>
        <w:rPr>
          <w:rFonts w:hint="cs"/>
          <w:sz w:val="20"/>
          <w:szCs w:val="20"/>
          <w:rtl/>
        </w:rPr>
        <w:t xml:space="preserve"> </w:t>
      </w:r>
      <w:r>
        <w:rPr>
          <w:sz w:val="20"/>
          <w:szCs w:val="20"/>
          <w:rtl/>
        </w:rPr>
        <w:t>–</w:t>
      </w:r>
      <w:r>
        <w:rPr>
          <w:rFonts w:hint="cs"/>
          <w:sz w:val="20"/>
          <w:szCs w:val="20"/>
          <w:rtl/>
        </w:rPr>
        <w:t xml:space="preserve"> "</w:t>
      </w:r>
      <w:r w:rsidRPr="00770498">
        <w:rPr>
          <w:rFonts w:cs="Arial"/>
          <w:sz w:val="20"/>
          <w:szCs w:val="20"/>
          <w:rtl/>
        </w:rPr>
        <w:t>ואם היו כולן שוות מניקות או זקנות או אחת זקנה ואחת מניקה, אין תולות זו בזו</w:t>
      </w:r>
      <w:r w:rsidRPr="00770498">
        <w:rPr>
          <w:rFonts w:cs="Arial" w:hint="cs"/>
          <w:sz w:val="20"/>
          <w:szCs w:val="20"/>
          <w:rtl/>
        </w:rPr>
        <w:t>".</w:t>
      </w:r>
    </w:p>
    <w:p w:rsidR="00620060" w:rsidRPr="00977F5F" w:rsidRDefault="00620060" w:rsidP="00620060">
      <w:pPr>
        <w:rPr>
          <w:sz w:val="20"/>
          <w:szCs w:val="20"/>
          <w:rtl/>
        </w:rPr>
      </w:pPr>
      <w:r>
        <w:rPr>
          <w:rFonts w:hint="cs"/>
          <w:sz w:val="20"/>
          <w:szCs w:val="20"/>
          <w:rtl/>
        </w:rPr>
        <w:lastRenderedPageBreak/>
        <w:t xml:space="preserve">ד. </w:t>
      </w:r>
      <w:r>
        <w:rPr>
          <w:rFonts w:hint="cs"/>
          <w:b/>
          <w:bCs/>
          <w:sz w:val="20"/>
          <w:szCs w:val="20"/>
          <w:rtl/>
        </w:rPr>
        <w:t>שוכבות ערות</w:t>
      </w:r>
      <w:r>
        <w:rPr>
          <w:rFonts w:hint="cs"/>
          <w:b/>
          <w:bCs/>
          <w:sz w:val="20"/>
          <w:szCs w:val="20"/>
          <w:rtl/>
        </w:rPr>
        <w:br/>
      </w:r>
      <w:r w:rsidRPr="00BC6935">
        <w:rPr>
          <w:rFonts w:hint="cs"/>
          <w:b/>
          <w:bCs/>
          <w:sz w:val="20"/>
          <w:szCs w:val="20"/>
          <w:rtl/>
        </w:rPr>
        <w:t>ראב"ד</w:t>
      </w:r>
      <w:r>
        <w:rPr>
          <w:rFonts w:hint="cs"/>
          <w:sz w:val="20"/>
          <w:szCs w:val="20"/>
          <w:rtl/>
        </w:rPr>
        <w:t xml:space="preserve"> </w:t>
      </w:r>
      <w:r>
        <w:rPr>
          <w:sz w:val="20"/>
          <w:szCs w:val="20"/>
          <w:rtl/>
        </w:rPr>
        <w:t>–</w:t>
      </w:r>
      <w:r>
        <w:rPr>
          <w:rFonts w:hint="cs"/>
          <w:sz w:val="20"/>
          <w:szCs w:val="20"/>
          <w:rtl/>
        </w:rPr>
        <w:t xml:space="preserve"> כל הדינים הנ"ל נאמרו רק כשהן </w:t>
      </w:r>
      <w:r w:rsidRPr="00BC6935">
        <w:rPr>
          <w:rFonts w:hint="cs"/>
          <w:sz w:val="20"/>
          <w:szCs w:val="20"/>
          <w:u w:val="single"/>
          <w:rtl/>
        </w:rPr>
        <w:t>ישנות</w:t>
      </w:r>
      <w:r>
        <w:rPr>
          <w:rFonts w:hint="cs"/>
          <w:sz w:val="20"/>
          <w:szCs w:val="20"/>
          <w:rtl/>
        </w:rPr>
        <w:t xml:space="preserve"> במיטה, אך אם אינן ישנות אלא </w:t>
      </w:r>
      <w:r w:rsidRPr="00BC6935">
        <w:rPr>
          <w:rFonts w:hint="cs"/>
          <w:sz w:val="20"/>
          <w:szCs w:val="20"/>
          <w:u w:val="single"/>
          <w:rtl/>
        </w:rPr>
        <w:t>ערות</w:t>
      </w:r>
      <w:r>
        <w:rPr>
          <w:rFonts w:hint="cs"/>
          <w:sz w:val="20"/>
          <w:szCs w:val="20"/>
          <w:rtl/>
        </w:rPr>
        <w:t>, אם אומרת ברי לי שלא באתי למקום חברתי שתחתיה נמצא הדם, כולן טהורות מלבד זו שהדם נמצא תחתיה.</w:t>
      </w:r>
      <w:r>
        <w:rPr>
          <w:sz w:val="20"/>
          <w:szCs w:val="20"/>
          <w:rtl/>
        </w:rPr>
        <w:br/>
      </w:r>
      <w:r>
        <w:rPr>
          <w:b/>
          <w:bCs/>
          <w:sz w:val="20"/>
          <w:szCs w:val="20"/>
          <w:rtl/>
        </w:rPr>
        <w:br/>
      </w:r>
      <w:r>
        <w:rPr>
          <w:rFonts w:cs="Arial" w:hint="cs"/>
          <w:b/>
          <w:bCs/>
          <w:sz w:val="20"/>
          <w:szCs w:val="20"/>
          <w:rtl/>
        </w:rPr>
        <w:t>פסיקת הלכה</w:t>
      </w:r>
      <w:r>
        <w:rPr>
          <w:rFonts w:cs="Arial"/>
          <w:b/>
          <w:bCs/>
          <w:sz w:val="20"/>
          <w:szCs w:val="20"/>
          <w:rtl/>
        </w:rPr>
        <w:br/>
      </w:r>
      <w:r>
        <w:rPr>
          <w:rFonts w:cs="Arial" w:hint="cs"/>
          <w:b/>
          <w:bCs/>
          <w:sz w:val="20"/>
          <w:szCs w:val="20"/>
          <w:rtl/>
        </w:rPr>
        <w:t>שולחן ערוך</w:t>
      </w:r>
      <w:r>
        <w:rPr>
          <w:rFonts w:hint="cs"/>
          <w:sz w:val="20"/>
          <w:szCs w:val="20"/>
          <w:rtl/>
        </w:rPr>
        <w:t xml:space="preserve"> </w:t>
      </w:r>
      <w:r>
        <w:rPr>
          <w:sz w:val="20"/>
          <w:szCs w:val="20"/>
          <w:rtl/>
        </w:rPr>
        <w:t>–</w:t>
      </w:r>
      <w:r>
        <w:rPr>
          <w:rFonts w:hint="cs"/>
          <w:sz w:val="20"/>
          <w:szCs w:val="20"/>
          <w:rtl/>
        </w:rPr>
        <w:t xml:space="preserve"> "</w:t>
      </w:r>
      <w:r w:rsidRPr="009F3ABA">
        <w:rPr>
          <w:rFonts w:cs="Arial"/>
          <w:sz w:val="20"/>
          <w:szCs w:val="20"/>
          <w:rtl/>
        </w:rPr>
        <w:t>היו שלשתן ערות ושוכבות על המטה או יושבות על הספסל כאחת, ונמצא דם תחת אחת מהן, אפילו תחת האמצעית, כיון שכל אחת מכרת מקומה אותה שתאמר: ברי לי שלא באתי למקום שנמצא הדם, טהורה</w:t>
      </w:r>
      <w:r w:rsidRPr="009F3ABA">
        <w:rPr>
          <w:rFonts w:cs="Arial" w:hint="cs"/>
          <w:sz w:val="20"/>
          <w:szCs w:val="20"/>
          <w:rtl/>
        </w:rPr>
        <w:t>".</w:t>
      </w:r>
    </w:p>
    <w:p w:rsidR="00620060" w:rsidRPr="00912147" w:rsidRDefault="00620060" w:rsidP="00620060">
      <w:pPr>
        <w:rPr>
          <w:sz w:val="20"/>
          <w:szCs w:val="20"/>
          <w:rtl/>
        </w:rPr>
      </w:pPr>
      <w:r>
        <w:rPr>
          <w:rFonts w:hint="cs"/>
          <w:sz w:val="20"/>
          <w:szCs w:val="20"/>
          <w:u w:val="single"/>
          <w:rtl/>
        </w:rPr>
        <w:t>מדוע נאמנת בטענת ברי?</w:t>
      </w:r>
      <w:r>
        <w:rPr>
          <w:rFonts w:hint="cs"/>
          <w:sz w:val="20"/>
          <w:szCs w:val="20"/>
          <w:u w:val="single"/>
          <w:rtl/>
        </w:rPr>
        <w:br/>
      </w:r>
      <w:r>
        <w:rPr>
          <w:rFonts w:hint="cs"/>
          <w:sz w:val="20"/>
          <w:szCs w:val="20"/>
          <w:rtl/>
        </w:rPr>
        <w:t xml:space="preserve">א. </w:t>
      </w:r>
      <w:r w:rsidRPr="00912147">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קשה, מדוע נאמנת האשה לומר שלא באה למקום חברתה, לכאורה הוי מילתא דלא רמיא עליה, כלומר אינה נותנת לב לדקדק האם באה למקום חברתה ואין לסמוך על דבריה!</w:t>
      </w:r>
      <w:r>
        <w:rPr>
          <w:rStyle w:val="a5"/>
          <w:sz w:val="20"/>
          <w:szCs w:val="20"/>
          <w:rtl/>
        </w:rPr>
        <w:footnoteReference w:id="353"/>
      </w:r>
      <w:r>
        <w:rPr>
          <w:sz w:val="20"/>
          <w:szCs w:val="20"/>
          <w:rtl/>
        </w:rPr>
        <w:br/>
      </w:r>
      <w:r>
        <w:rPr>
          <w:rFonts w:hint="cs"/>
          <w:sz w:val="20"/>
          <w:szCs w:val="20"/>
          <w:rtl/>
        </w:rPr>
        <w:t xml:space="preserve">מיישב </w:t>
      </w:r>
      <w:r>
        <w:rPr>
          <w:sz w:val="20"/>
          <w:szCs w:val="20"/>
          <w:rtl/>
        </w:rPr>
        <w:t>–</w:t>
      </w:r>
      <w:r>
        <w:rPr>
          <w:rFonts w:hint="cs"/>
          <w:sz w:val="20"/>
          <w:szCs w:val="20"/>
          <w:rtl/>
        </w:rPr>
        <w:t xml:space="preserve"> צריך לומר שנאמנת כאן רק אם הדם נמצא סמוך לשכיבתן במיטה, ובזמן קצר כזה יכולה לזכור שלא הגיעה למקום חברתה, אך אם הדם נמצא זמן רב לאחר ששכבו במיטה, אינה נאמנת.</w:t>
      </w:r>
      <w:r>
        <w:rPr>
          <w:sz w:val="20"/>
          <w:szCs w:val="20"/>
          <w:rtl/>
        </w:rPr>
        <w:br/>
      </w:r>
      <w:r>
        <w:rPr>
          <w:rFonts w:hint="cs"/>
          <w:sz w:val="20"/>
          <w:szCs w:val="20"/>
          <w:rtl/>
        </w:rPr>
        <w:t xml:space="preserve">ב. </w:t>
      </w:r>
      <w:r w:rsidRPr="0044563B">
        <w:rPr>
          <w:rFonts w:hint="cs"/>
          <w:b/>
          <w:bCs/>
          <w:sz w:val="20"/>
          <w:szCs w:val="20"/>
          <w:rtl/>
        </w:rPr>
        <w:t xml:space="preserve">נקה"כ </w:t>
      </w:r>
      <w:r>
        <w:rPr>
          <w:sz w:val="20"/>
          <w:szCs w:val="20"/>
          <w:rtl/>
        </w:rPr>
        <w:t>–</w:t>
      </w:r>
      <w:r>
        <w:rPr>
          <w:rFonts w:hint="cs"/>
          <w:sz w:val="20"/>
          <w:szCs w:val="20"/>
          <w:rtl/>
        </w:rPr>
        <w:t xml:space="preserve"> מכיוון שטוענת 'ברי' נאמנת אפילו לאחר זמן, ובכה"ג אין לומר 'מילתא דלא רמיא עליה', שהרי היא טוענת שכן רמיא עליה.</w:t>
      </w:r>
    </w:p>
    <w:p w:rsidR="00620060" w:rsidRPr="001C4D02" w:rsidRDefault="00620060" w:rsidP="00620060">
      <w:pPr>
        <w:rPr>
          <w:sz w:val="20"/>
          <w:szCs w:val="20"/>
          <w:rtl/>
        </w:rPr>
      </w:pPr>
      <w:r>
        <w:rPr>
          <w:rFonts w:hint="cs"/>
          <w:sz w:val="20"/>
          <w:szCs w:val="20"/>
          <w:rtl/>
        </w:rPr>
        <w:t xml:space="preserve">ה. </w:t>
      </w:r>
      <w:r>
        <w:rPr>
          <w:rFonts w:hint="cs"/>
          <w:b/>
          <w:bCs/>
          <w:sz w:val="20"/>
          <w:szCs w:val="20"/>
          <w:rtl/>
        </w:rPr>
        <w:t>חילוקים נוספים בדינים אלו</w:t>
      </w:r>
      <w:r>
        <w:rPr>
          <w:b/>
          <w:b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Pr>
          <w:rFonts w:hint="cs"/>
          <w:sz w:val="20"/>
          <w:szCs w:val="20"/>
          <w:vertAlign w:val="superscript"/>
          <w:rtl/>
        </w:rPr>
        <w:t>1</w:t>
      </w:r>
      <w:r w:rsidRPr="00D54328">
        <w:rPr>
          <w:rFonts w:cs="Arial"/>
          <w:sz w:val="20"/>
          <w:szCs w:val="20"/>
          <w:rtl/>
        </w:rPr>
        <w:t>ואם נמצא ביניהן</w:t>
      </w:r>
      <w:r>
        <w:rPr>
          <w:rStyle w:val="a5"/>
          <w:rFonts w:cs="Arial" w:hint="cs"/>
          <w:sz w:val="20"/>
          <w:szCs w:val="20"/>
          <w:rtl/>
        </w:rPr>
        <w:t>,</w:t>
      </w:r>
      <w:r w:rsidRPr="00D54328">
        <w:rPr>
          <w:rFonts w:cs="Arial"/>
          <w:sz w:val="20"/>
          <w:szCs w:val="20"/>
          <w:rtl/>
        </w:rPr>
        <w:t xml:space="preserve"> השת</w:t>
      </w:r>
      <w:r>
        <w:rPr>
          <w:rFonts w:cs="Arial" w:hint="cs"/>
          <w:sz w:val="20"/>
          <w:szCs w:val="20"/>
          <w:rtl/>
        </w:rPr>
        <w:t>י</w:t>
      </w:r>
      <w:r w:rsidRPr="00D54328">
        <w:rPr>
          <w:rFonts w:cs="Arial"/>
          <w:sz w:val="20"/>
          <w:szCs w:val="20"/>
          <w:rtl/>
        </w:rPr>
        <w:t xml:space="preserve">ים שנמצא ביניהן טמאות, והאחרת טהורה. </w:t>
      </w:r>
      <w:r>
        <w:rPr>
          <w:rFonts w:cs="Arial" w:hint="cs"/>
          <w:sz w:val="20"/>
          <w:szCs w:val="20"/>
          <w:vertAlign w:val="superscript"/>
          <w:rtl/>
        </w:rPr>
        <w:t>2</w:t>
      </w:r>
      <w:r w:rsidRPr="00D54328">
        <w:rPr>
          <w:rFonts w:cs="Arial"/>
          <w:sz w:val="20"/>
          <w:szCs w:val="20"/>
          <w:rtl/>
        </w:rPr>
        <w:t xml:space="preserve">ואם עלו דרך החיצונה ונמצא תחת החיצונה, כולן טמאות. </w:t>
      </w:r>
      <w:r>
        <w:rPr>
          <w:rFonts w:cs="Arial" w:hint="cs"/>
          <w:sz w:val="20"/>
          <w:szCs w:val="20"/>
          <w:vertAlign w:val="superscript"/>
          <w:rtl/>
        </w:rPr>
        <w:t>3</w:t>
      </w:r>
      <w:r w:rsidRPr="00D54328">
        <w:rPr>
          <w:rFonts w:cs="Arial"/>
          <w:sz w:val="20"/>
          <w:szCs w:val="20"/>
          <w:rtl/>
        </w:rPr>
        <w:t xml:space="preserve">תחת האמצעית, אמצעית ופנימית טמאות, והחיצונה טהורה. </w:t>
      </w:r>
      <w:r>
        <w:rPr>
          <w:rFonts w:cs="Arial" w:hint="cs"/>
          <w:sz w:val="20"/>
          <w:szCs w:val="20"/>
          <w:vertAlign w:val="superscript"/>
          <w:rtl/>
        </w:rPr>
        <w:t>4</w:t>
      </w:r>
      <w:r w:rsidRPr="00D54328">
        <w:rPr>
          <w:rFonts w:cs="Arial"/>
          <w:sz w:val="20"/>
          <w:szCs w:val="20"/>
          <w:rtl/>
        </w:rPr>
        <w:t>תחת הפנימית, היא ל</w:t>
      </w:r>
      <w:r>
        <w:rPr>
          <w:rFonts w:cs="Arial"/>
          <w:sz w:val="20"/>
          <w:szCs w:val="20"/>
          <w:rtl/>
        </w:rPr>
        <w:t>בדה טמאה, ושתי</w:t>
      </w:r>
      <w:r>
        <w:rPr>
          <w:rFonts w:cs="Arial" w:hint="cs"/>
          <w:sz w:val="20"/>
          <w:szCs w:val="20"/>
          <w:rtl/>
        </w:rPr>
        <w:t>י</w:t>
      </w:r>
      <w:r>
        <w:rPr>
          <w:rFonts w:cs="Arial"/>
          <w:sz w:val="20"/>
          <w:szCs w:val="20"/>
          <w:rtl/>
        </w:rPr>
        <w:t>ם החיצונות טהורות</w:t>
      </w:r>
      <w:r>
        <w:rPr>
          <w:rFonts w:cs="Arial" w:hint="cs"/>
          <w:sz w:val="20"/>
          <w:szCs w:val="20"/>
          <w:rtl/>
        </w:rPr>
        <w:t>".</w:t>
      </w:r>
      <w:r>
        <w:rPr>
          <w:rFonts w:hint="cs"/>
          <w:b/>
          <w:bCs/>
          <w:sz w:val="20"/>
          <w:szCs w:val="20"/>
          <w:rtl/>
        </w:rPr>
        <w:br/>
      </w:r>
      <w:r>
        <w:rPr>
          <w:sz w:val="20"/>
          <w:szCs w:val="20"/>
          <w:rtl/>
        </w:rPr>
        <w:br/>
      </w:r>
      <w:r>
        <w:rPr>
          <w:rFonts w:hint="cs"/>
          <w:sz w:val="20"/>
          <w:szCs w:val="20"/>
          <w:rtl/>
        </w:rPr>
        <w:t xml:space="preserve">יש להעיר </w:t>
      </w:r>
      <w:r>
        <w:rPr>
          <w:sz w:val="20"/>
          <w:szCs w:val="20"/>
          <w:rtl/>
        </w:rPr>
        <w:t>–</w:t>
      </w:r>
      <w:r>
        <w:rPr>
          <w:rFonts w:hint="cs"/>
          <w:sz w:val="20"/>
          <w:szCs w:val="20"/>
          <w:rtl/>
        </w:rPr>
        <w:t xml:space="preserve"> </w:t>
      </w:r>
      <w:r>
        <w:rPr>
          <w:sz w:val="20"/>
          <w:szCs w:val="20"/>
          <w:rtl/>
        </w:rPr>
        <w:br/>
      </w:r>
      <w:r w:rsidRPr="00A12861">
        <w:rPr>
          <w:rFonts w:hint="cs"/>
          <w:sz w:val="20"/>
          <w:szCs w:val="20"/>
          <w:rtl/>
        </w:rPr>
        <w:t xml:space="preserve">בניגוד לסעיף נ' שבו כאשר נמצא תחת אחת גם חברתה הסמוכה לה טמאה מחמתה, כאן הדין שונה ורק כשנמצא דם ביניהן שתיהן טמאות, אך אם נמצא תחת אחת בלבד אין חברתה טמאה. </w:t>
      </w:r>
      <w:r>
        <w:rPr>
          <w:sz w:val="20"/>
          <w:szCs w:val="20"/>
          <w:rtl/>
        </w:rPr>
        <w:br/>
      </w:r>
      <w:r>
        <w:rPr>
          <w:rFonts w:hint="cs"/>
          <w:sz w:val="20"/>
          <w:szCs w:val="20"/>
          <w:rtl/>
        </w:rPr>
        <w:t xml:space="preserve">טעם החילוק </w:t>
      </w:r>
      <w:r>
        <w:rPr>
          <w:sz w:val="20"/>
          <w:szCs w:val="20"/>
          <w:rtl/>
        </w:rPr>
        <w:t>–</w:t>
      </w:r>
      <w:r>
        <w:rPr>
          <w:rFonts w:hint="cs"/>
          <w:sz w:val="20"/>
          <w:szCs w:val="20"/>
          <w:rtl/>
        </w:rPr>
        <w:t xml:space="preserve"> כאן הן ערות ולכן אין חשש שמא אחת באה למקום חברתה.</w:t>
      </w:r>
    </w:p>
    <w:p w:rsidR="00620060" w:rsidRDefault="00620060" w:rsidP="00620060">
      <w:pPr>
        <w:rPr>
          <w:b/>
          <w:bCs/>
          <w:sz w:val="20"/>
          <w:szCs w:val="20"/>
          <w:rtl/>
        </w:rPr>
      </w:pPr>
      <w:r>
        <w:rPr>
          <w:rFonts w:hint="cs"/>
          <w:sz w:val="20"/>
          <w:szCs w:val="20"/>
          <w:rtl/>
        </w:rPr>
        <w:t xml:space="preserve">ו. </w:t>
      </w:r>
      <w:r>
        <w:rPr>
          <w:rFonts w:hint="cs"/>
          <w:b/>
          <w:bCs/>
          <w:sz w:val="20"/>
          <w:szCs w:val="20"/>
          <w:rtl/>
        </w:rPr>
        <w:t>התעסקו יחד ונמצא כתם</w:t>
      </w:r>
      <w:r>
        <w:rPr>
          <w:b/>
          <w:bCs/>
          <w:sz w:val="20"/>
          <w:szCs w:val="20"/>
          <w:rtl/>
        </w:rPr>
        <w:br/>
      </w:r>
      <w:r>
        <w:rPr>
          <w:rFonts w:hint="cs"/>
          <w:b/>
          <w:bCs/>
          <w:sz w:val="20"/>
          <w:szCs w:val="20"/>
          <w:rtl/>
        </w:rPr>
        <w:t xml:space="preserve">גמרא </w:t>
      </w:r>
      <w:r>
        <w:rPr>
          <w:rFonts w:hint="cs"/>
          <w:sz w:val="20"/>
          <w:szCs w:val="20"/>
          <w:rtl/>
        </w:rPr>
        <w:t>(שם) "</w:t>
      </w:r>
      <w:r w:rsidRPr="00714BF2">
        <w:rPr>
          <w:rFonts w:cs="Arial"/>
          <w:sz w:val="20"/>
          <w:szCs w:val="20"/>
          <w:rtl/>
        </w:rPr>
        <w:t>תניא: שתי נשים שהיו טוחנות ברחיים של יד, ונמצא דם תחת הפנימית - שתיהן טמאות, תחת החיצונה - החיצונה טמאה, והפנימית טהורה</w:t>
      </w:r>
      <w:r>
        <w:rPr>
          <w:rFonts w:cs="Arial" w:hint="cs"/>
          <w:sz w:val="20"/>
          <w:szCs w:val="20"/>
          <w:rtl/>
        </w:rPr>
        <w:t>".</w:t>
      </w:r>
      <w:r>
        <w:rPr>
          <w:rFonts w:hint="cs"/>
          <w:b/>
          <w:bCs/>
          <w:sz w:val="20"/>
          <w:szCs w:val="20"/>
          <w:rtl/>
        </w:rPr>
        <w:br/>
        <w:t xml:space="preserve">רש"י </w:t>
      </w:r>
      <w:r>
        <w:rPr>
          <w:sz w:val="20"/>
          <w:szCs w:val="20"/>
          <w:rtl/>
        </w:rPr>
        <w:t>–</w:t>
      </w:r>
      <w:r>
        <w:rPr>
          <w:rFonts w:hint="cs"/>
          <w:sz w:val="20"/>
          <w:szCs w:val="20"/>
          <w:rtl/>
        </w:rPr>
        <w:t xml:space="preserve"> החיצונה דוחקת עצמה להתקרב למקום מעמד הפנימית כדי לטחון יחד איתה, לכן אם נמצא דם תחת הפנימית שתיהן טמאות. לעומת זאת, הפנימית אינה יוצאת ממקום מעמדה, ולכן אם נמצא דם תחת החיצונית היא לבדה טמאה.</w:t>
      </w:r>
    </w:p>
    <w:p w:rsidR="00620060" w:rsidRPr="00714BF2"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714BF2">
        <w:rPr>
          <w:rFonts w:cs="Arial"/>
          <w:sz w:val="20"/>
          <w:szCs w:val="20"/>
          <w:rtl/>
        </w:rPr>
        <w:t>ואם היה להן עסק לצד פנים שדרכן לקרב לצד הפנימי, כגון שהן טוחנות ברח</w:t>
      </w:r>
      <w:r>
        <w:rPr>
          <w:rFonts w:cs="Arial" w:hint="cs"/>
          <w:sz w:val="20"/>
          <w:szCs w:val="20"/>
          <w:rtl/>
        </w:rPr>
        <w:t>י</w:t>
      </w:r>
      <w:r w:rsidRPr="00714BF2">
        <w:rPr>
          <w:rFonts w:cs="Arial"/>
          <w:sz w:val="20"/>
          <w:szCs w:val="20"/>
          <w:rtl/>
        </w:rPr>
        <w:t>ים, ונמצא דם תחת הפנימית, שתי</w:t>
      </w:r>
      <w:r>
        <w:rPr>
          <w:rFonts w:cs="Arial" w:hint="cs"/>
          <w:sz w:val="20"/>
          <w:szCs w:val="20"/>
          <w:rtl/>
        </w:rPr>
        <w:t>י</w:t>
      </w:r>
      <w:r w:rsidRPr="00714BF2">
        <w:rPr>
          <w:rFonts w:cs="Arial"/>
          <w:sz w:val="20"/>
          <w:szCs w:val="20"/>
          <w:rtl/>
        </w:rPr>
        <w:t>ם הפנימיות טמאות</w:t>
      </w:r>
      <w:r>
        <w:rPr>
          <w:rFonts w:cs="Arial" w:hint="cs"/>
          <w:sz w:val="20"/>
          <w:szCs w:val="20"/>
          <w:rtl/>
        </w:rPr>
        <w:t>.</w:t>
      </w:r>
      <w:r w:rsidRPr="00714BF2">
        <w:rPr>
          <w:rFonts w:cs="Arial"/>
          <w:sz w:val="20"/>
          <w:szCs w:val="20"/>
          <w:rtl/>
        </w:rPr>
        <w:t xml:space="preserve"> ואם נמצא תחת החיצונה, היא טמאה ופנימית טהורה, שאין פנימית דוחקת לבא לצד החיצונה</w:t>
      </w:r>
      <w:r>
        <w:rPr>
          <w:rFonts w:cs="Arial" w:hint="cs"/>
          <w:sz w:val="20"/>
          <w:szCs w:val="20"/>
          <w:rtl/>
        </w:rPr>
        <w:t>"</w:t>
      </w:r>
      <w:r w:rsidRPr="00714BF2">
        <w:rPr>
          <w:rFonts w:cs="Arial"/>
          <w:sz w:val="20"/>
          <w:szCs w:val="20"/>
          <w:rtl/>
        </w:rPr>
        <w:t xml:space="preserve">. </w:t>
      </w:r>
    </w:p>
    <w:p w:rsidR="00620060" w:rsidRDefault="00620060" w:rsidP="00620060">
      <w:pPr>
        <w:rPr>
          <w:sz w:val="20"/>
          <w:szCs w:val="20"/>
          <w:rtl/>
        </w:rPr>
      </w:pPr>
      <w:r w:rsidRPr="00353979">
        <w:rPr>
          <w:rFonts w:hint="cs"/>
          <w:b/>
          <w:bCs/>
          <w:sz w:val="20"/>
          <w:szCs w:val="20"/>
          <w:rtl/>
        </w:rPr>
        <w:t>סיכום</w:t>
      </w:r>
      <w:r>
        <w:rPr>
          <w:sz w:val="20"/>
          <w:szCs w:val="20"/>
          <w:rtl/>
        </w:rPr>
        <w:br/>
      </w:r>
      <w:r>
        <w:rPr>
          <w:rFonts w:hint="cs"/>
          <w:sz w:val="20"/>
          <w:szCs w:val="20"/>
          <w:rtl/>
        </w:rPr>
        <w:t xml:space="preserve">1. </w:t>
      </w:r>
      <w:r w:rsidRPr="00353979">
        <w:rPr>
          <w:rFonts w:hint="cs"/>
          <w:b/>
          <w:bCs/>
          <w:sz w:val="20"/>
          <w:szCs w:val="20"/>
          <w:rtl/>
        </w:rPr>
        <w:t>משנה</w:t>
      </w:r>
      <w:r>
        <w:rPr>
          <w:rFonts w:hint="cs"/>
          <w:sz w:val="20"/>
          <w:szCs w:val="20"/>
          <w:rtl/>
        </w:rPr>
        <w:t xml:space="preserve">. תולות זו בזו. </w:t>
      </w:r>
      <w:r w:rsidRPr="00353979">
        <w:rPr>
          <w:rFonts w:hint="cs"/>
          <w:b/>
          <w:bCs/>
          <w:sz w:val="20"/>
          <w:szCs w:val="20"/>
          <w:rtl/>
        </w:rPr>
        <w:t>גמרא</w:t>
      </w:r>
      <w:r>
        <w:rPr>
          <w:rFonts w:hint="cs"/>
          <w:sz w:val="20"/>
          <w:szCs w:val="20"/>
          <w:rtl/>
        </w:rPr>
        <w:t>. כיצד תולות? אחת מסולקת דמים וחברתה לא מסולקת, מסולקת דמים טהורה.</w:t>
      </w:r>
      <w:r>
        <w:rPr>
          <w:rFonts w:hint="cs"/>
          <w:sz w:val="20"/>
          <w:szCs w:val="20"/>
          <w:rtl/>
        </w:rPr>
        <w:br/>
        <w:t xml:space="preserve">2. </w:t>
      </w:r>
      <w:r w:rsidRPr="00353979">
        <w:rPr>
          <w:rFonts w:hint="cs"/>
          <w:b/>
          <w:bCs/>
          <w:sz w:val="20"/>
          <w:szCs w:val="20"/>
          <w:rtl/>
        </w:rPr>
        <w:t>גמ</w:t>
      </w:r>
      <w:r>
        <w:rPr>
          <w:rFonts w:hint="cs"/>
          <w:b/>
          <w:bCs/>
          <w:sz w:val="20"/>
          <w:szCs w:val="20"/>
          <w:rtl/>
        </w:rPr>
        <w:t>'</w:t>
      </w:r>
      <w:r w:rsidRPr="00353979">
        <w:rPr>
          <w:rFonts w:hint="cs"/>
          <w:b/>
          <w:bCs/>
          <w:sz w:val="20"/>
          <w:szCs w:val="20"/>
          <w:rtl/>
        </w:rPr>
        <w:t xml:space="preserve"> ומחבר</w:t>
      </w:r>
      <w:r>
        <w:rPr>
          <w:rFonts w:hint="cs"/>
          <w:sz w:val="20"/>
          <w:szCs w:val="20"/>
          <w:rtl/>
        </w:rPr>
        <w:t>. אלו הן מסולקות דמים: מעוברת, מניקה, זקנה ובתולם דמים, תולות הכתם באחרות וטהורות.</w:t>
      </w:r>
      <w:r>
        <w:rPr>
          <w:rFonts w:hint="cs"/>
          <w:sz w:val="20"/>
          <w:szCs w:val="20"/>
          <w:rtl/>
        </w:rPr>
        <w:br/>
        <w:t xml:space="preserve">3. </w:t>
      </w:r>
      <w:r w:rsidRPr="00353979">
        <w:rPr>
          <w:rFonts w:hint="cs"/>
          <w:b/>
          <w:bCs/>
          <w:sz w:val="20"/>
          <w:szCs w:val="20"/>
          <w:rtl/>
        </w:rPr>
        <w:t>ב</w:t>
      </w:r>
      <w:r>
        <w:rPr>
          <w:rFonts w:hint="cs"/>
          <w:b/>
          <w:bCs/>
          <w:sz w:val="20"/>
          <w:szCs w:val="20"/>
          <w:rtl/>
        </w:rPr>
        <w:t>"י</w:t>
      </w:r>
      <w:r>
        <w:rPr>
          <w:rFonts w:hint="cs"/>
          <w:sz w:val="20"/>
          <w:szCs w:val="20"/>
          <w:rtl/>
        </w:rPr>
        <w:t>. רק מסולקת דמים תולה, אך בעלת ווסת קבוע שלא הגיע זמנה אינה תולה בחברתה שהגיע זמנה.</w:t>
      </w:r>
      <w:r>
        <w:rPr>
          <w:rFonts w:hint="cs"/>
          <w:sz w:val="20"/>
          <w:szCs w:val="20"/>
          <w:rtl/>
        </w:rPr>
        <w:br/>
        <w:t>4.</w:t>
      </w:r>
      <w:r w:rsidRPr="00223775">
        <w:rPr>
          <w:rFonts w:hint="cs"/>
          <w:b/>
          <w:bCs/>
          <w:sz w:val="20"/>
          <w:szCs w:val="20"/>
          <w:rtl/>
        </w:rPr>
        <w:t xml:space="preserve"> מחבר</w:t>
      </w:r>
      <w:r>
        <w:rPr>
          <w:rFonts w:hint="cs"/>
          <w:sz w:val="20"/>
          <w:szCs w:val="20"/>
          <w:rtl/>
        </w:rPr>
        <w:t>. יכולה גם לתלות את הכתם בעצמה, כלומר שמקורו מעת היותה נידה.</w:t>
      </w:r>
      <w:r>
        <w:rPr>
          <w:sz w:val="20"/>
          <w:szCs w:val="20"/>
          <w:rtl/>
        </w:rPr>
        <w:br/>
      </w:r>
      <w:r>
        <w:rPr>
          <w:rFonts w:hint="cs"/>
          <w:sz w:val="20"/>
          <w:szCs w:val="20"/>
          <w:rtl/>
        </w:rPr>
        <w:t xml:space="preserve">5. </w:t>
      </w:r>
      <w:r w:rsidRPr="00223775">
        <w:rPr>
          <w:rFonts w:hint="cs"/>
          <w:b/>
          <w:bCs/>
          <w:sz w:val="20"/>
          <w:szCs w:val="20"/>
          <w:rtl/>
        </w:rPr>
        <w:t>גמרא ומחבר</w:t>
      </w:r>
      <w:r>
        <w:rPr>
          <w:rFonts w:hint="cs"/>
          <w:sz w:val="20"/>
          <w:szCs w:val="20"/>
          <w:rtl/>
        </w:rPr>
        <w:t xml:space="preserve">. היו כולן מסולקות דמים, כולן טמאות. </w:t>
      </w:r>
      <w:r w:rsidRPr="00223775">
        <w:rPr>
          <w:rFonts w:hint="cs"/>
          <w:b/>
          <w:bCs/>
          <w:sz w:val="20"/>
          <w:szCs w:val="20"/>
          <w:rtl/>
        </w:rPr>
        <w:t>טעם</w:t>
      </w:r>
      <w:r>
        <w:rPr>
          <w:rFonts w:hint="cs"/>
          <w:sz w:val="20"/>
          <w:szCs w:val="20"/>
          <w:rtl/>
        </w:rPr>
        <w:t>. סוף סוף יצא דם מביניהן.</w:t>
      </w:r>
      <w:r>
        <w:rPr>
          <w:rFonts w:hint="cs"/>
          <w:sz w:val="20"/>
          <w:szCs w:val="20"/>
          <w:rtl/>
        </w:rPr>
        <w:br/>
        <w:t xml:space="preserve">6. </w:t>
      </w:r>
      <w:r w:rsidRPr="00223775">
        <w:rPr>
          <w:rFonts w:hint="cs"/>
          <w:b/>
          <w:bCs/>
          <w:sz w:val="20"/>
          <w:szCs w:val="20"/>
          <w:rtl/>
        </w:rPr>
        <w:t>מחבר</w:t>
      </w:r>
      <w:r>
        <w:rPr>
          <w:rFonts w:hint="cs"/>
          <w:sz w:val="20"/>
          <w:szCs w:val="20"/>
          <w:rtl/>
        </w:rPr>
        <w:t>. היו ערות וטוענת ברי שלא הגיעה למקום חברתה, טהורה.</w:t>
      </w:r>
      <w:r>
        <w:rPr>
          <w:sz w:val="20"/>
          <w:szCs w:val="20"/>
          <w:rtl/>
        </w:rPr>
        <w:br/>
      </w:r>
      <w:r>
        <w:rPr>
          <w:rFonts w:hint="cs"/>
          <w:sz w:val="20"/>
          <w:szCs w:val="20"/>
          <w:rtl/>
        </w:rPr>
        <w:t xml:space="preserve">7. </w:t>
      </w:r>
      <w:r w:rsidRPr="00977F5F">
        <w:rPr>
          <w:rFonts w:hint="cs"/>
          <w:sz w:val="20"/>
          <w:szCs w:val="20"/>
          <w:rtl/>
        </w:rPr>
        <w:t xml:space="preserve">מדוע נאמנת? </w:t>
      </w:r>
      <w:r w:rsidRPr="00977F5F">
        <w:rPr>
          <w:rFonts w:hint="cs"/>
          <w:b/>
          <w:bCs/>
          <w:sz w:val="20"/>
          <w:szCs w:val="20"/>
          <w:rtl/>
        </w:rPr>
        <w:t>ט"ז</w:t>
      </w:r>
      <w:r w:rsidRPr="00977F5F">
        <w:rPr>
          <w:rFonts w:hint="cs"/>
          <w:sz w:val="20"/>
          <w:szCs w:val="20"/>
          <w:rtl/>
        </w:rPr>
        <w:t xml:space="preserve">. מצאה את הדם סמוך לשכיבה. </w:t>
      </w:r>
      <w:r w:rsidRPr="00977F5F">
        <w:rPr>
          <w:rFonts w:hint="cs"/>
          <w:b/>
          <w:bCs/>
          <w:sz w:val="20"/>
          <w:szCs w:val="20"/>
          <w:rtl/>
        </w:rPr>
        <w:t>נקה"כ</w:t>
      </w:r>
      <w:r w:rsidRPr="00977F5F">
        <w:rPr>
          <w:rFonts w:hint="cs"/>
          <w:sz w:val="20"/>
          <w:szCs w:val="20"/>
          <w:rtl/>
        </w:rPr>
        <w:t>. נאמנת מכוח טענת ברי ואפילו לאחר זמן רב.</w:t>
      </w:r>
      <w:r w:rsidRPr="00977F5F">
        <w:rPr>
          <w:sz w:val="20"/>
          <w:szCs w:val="20"/>
          <w:rtl/>
        </w:rPr>
        <w:br/>
      </w:r>
      <w:r w:rsidRPr="00977F5F">
        <w:rPr>
          <w:rFonts w:hint="cs"/>
          <w:sz w:val="20"/>
          <w:szCs w:val="20"/>
          <w:rtl/>
        </w:rPr>
        <w:t>8. חילוקים נוספים. אם נמצא דם בין שתיהן, שתיהן טמאות. עלו דרך החיצונה ונמצא תחתיה דם, כולן טמאות. נמצא תחת האמצעית, היא</w:t>
      </w:r>
      <w:r>
        <w:rPr>
          <w:rFonts w:hint="cs"/>
          <w:sz w:val="20"/>
          <w:szCs w:val="20"/>
          <w:rtl/>
        </w:rPr>
        <w:t xml:space="preserve"> ופנימית טמאות. נמצא תחת הפנימית, רק הפנימית טמאה.</w:t>
      </w:r>
      <w:r>
        <w:rPr>
          <w:rFonts w:hint="cs"/>
          <w:sz w:val="20"/>
          <w:szCs w:val="20"/>
          <w:rtl/>
        </w:rPr>
        <w:br/>
      </w:r>
      <w:r>
        <w:rPr>
          <w:rFonts w:hint="cs"/>
          <w:sz w:val="20"/>
          <w:szCs w:val="20"/>
          <w:rtl/>
        </w:rPr>
        <w:lastRenderedPageBreak/>
        <w:t xml:space="preserve">9. </w:t>
      </w:r>
      <w:r w:rsidRPr="00223775">
        <w:rPr>
          <w:rFonts w:hint="cs"/>
          <w:b/>
          <w:bCs/>
          <w:sz w:val="20"/>
          <w:szCs w:val="20"/>
          <w:rtl/>
        </w:rPr>
        <w:t>גמרא</w:t>
      </w:r>
      <w:r>
        <w:rPr>
          <w:rFonts w:hint="cs"/>
          <w:sz w:val="20"/>
          <w:szCs w:val="20"/>
          <w:rtl/>
        </w:rPr>
        <w:t xml:space="preserve">. שתי נשים טוחנות ברחיים ונמצא דם תחת הפנימית, שתיהן טמאות. נמצא תחת החיצונה, החיצונה לבד טמאה. </w:t>
      </w:r>
      <w:r w:rsidRPr="00223775">
        <w:rPr>
          <w:rFonts w:hint="cs"/>
          <w:b/>
          <w:bCs/>
          <w:sz w:val="20"/>
          <w:szCs w:val="20"/>
          <w:rtl/>
        </w:rPr>
        <w:t>טעם</w:t>
      </w:r>
      <w:r>
        <w:rPr>
          <w:rFonts w:hint="cs"/>
          <w:sz w:val="20"/>
          <w:szCs w:val="20"/>
          <w:rtl/>
        </w:rPr>
        <w:t>. החיצונה מתקרבת לפנימית לסייע, אך הפנימית אינה מתקרבת למקום החיצונה.</w:t>
      </w:r>
    </w:p>
    <w:p w:rsidR="00620060" w:rsidRDefault="00620060" w:rsidP="00620060">
      <w:pPr>
        <w:rPr>
          <w:sz w:val="20"/>
          <w:szCs w:val="20"/>
          <w:rtl/>
        </w:rPr>
      </w:pPr>
      <w:r>
        <w:rPr>
          <w:sz w:val="20"/>
          <w:szCs w:val="20"/>
          <w:rtl/>
        </w:rPr>
        <w:br/>
      </w:r>
      <w:r>
        <w:rPr>
          <w:rFonts w:hint="cs"/>
          <w:b/>
          <w:bCs/>
          <w:sz w:val="20"/>
          <w:szCs w:val="20"/>
          <w:rtl/>
        </w:rPr>
        <w:t xml:space="preserve">סעיף נג </w:t>
      </w:r>
      <w:r>
        <w:rPr>
          <w:b/>
          <w:bCs/>
          <w:sz w:val="20"/>
          <w:szCs w:val="20"/>
          <w:rtl/>
        </w:rPr>
        <w:t>–</w:t>
      </w:r>
      <w:r>
        <w:rPr>
          <w:rFonts w:hint="cs"/>
          <w:b/>
          <w:bCs/>
          <w:sz w:val="20"/>
          <w:szCs w:val="20"/>
          <w:rtl/>
        </w:rPr>
        <w:t xml:space="preserve"> תליית הכתם באחת שהתעסקה בכתמים</w:t>
      </w:r>
      <w:r>
        <w:rPr>
          <w:b/>
          <w:b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שולחן ערוך </w:t>
      </w:r>
      <w:r w:rsidRPr="00C16A98">
        <w:rPr>
          <w:rFonts w:hint="cs"/>
          <w:sz w:val="18"/>
          <w:szCs w:val="18"/>
          <w:rtl/>
        </w:rPr>
        <w:t xml:space="preserve">(ע"פ </w:t>
      </w:r>
      <w:r w:rsidRPr="00C16A98">
        <w:rPr>
          <w:rFonts w:hint="cs"/>
          <w:b/>
          <w:bCs/>
          <w:sz w:val="18"/>
          <w:szCs w:val="18"/>
          <w:rtl/>
        </w:rPr>
        <w:t>הרשב"א והראב"ד</w:t>
      </w:r>
      <w:r w:rsidRPr="00C16A98">
        <w:rPr>
          <w:rFonts w:hint="cs"/>
          <w:sz w:val="18"/>
          <w:szCs w:val="18"/>
          <w:rtl/>
        </w:rPr>
        <w:t xml:space="preserve">) </w:t>
      </w:r>
      <w:r>
        <w:rPr>
          <w:sz w:val="20"/>
          <w:szCs w:val="20"/>
          <w:rtl/>
        </w:rPr>
        <w:t>–</w:t>
      </w:r>
      <w:r>
        <w:rPr>
          <w:rFonts w:hint="cs"/>
          <w:sz w:val="20"/>
          <w:szCs w:val="20"/>
          <w:rtl/>
        </w:rPr>
        <w:t xml:space="preserve"> "</w:t>
      </w:r>
      <w:r w:rsidRPr="00C16A98">
        <w:rPr>
          <w:rFonts w:cs="Arial"/>
          <w:sz w:val="20"/>
          <w:szCs w:val="20"/>
          <w:rtl/>
        </w:rPr>
        <w:t xml:space="preserve">הא דאמרינן: נמצא דם בחלוק או מטה או ספסל כולן טמאות, אם נתעסקה אחת בכתמים, כולן טהורות, </w:t>
      </w:r>
      <w:r>
        <w:rPr>
          <w:rFonts w:cs="Arial"/>
          <w:sz w:val="20"/>
          <w:szCs w:val="20"/>
          <w:rtl/>
        </w:rPr>
        <w:t>שכולן תולות בה והיא תולה בכתמים</w:t>
      </w:r>
      <w:r>
        <w:rPr>
          <w:rFonts w:cs="Arial" w:hint="cs"/>
          <w:sz w:val="20"/>
          <w:szCs w:val="20"/>
          <w:rtl/>
        </w:rPr>
        <w:t>".</w:t>
      </w:r>
    </w:p>
    <w:p w:rsidR="00620060" w:rsidRDefault="00620060" w:rsidP="00620060">
      <w:pPr>
        <w:rPr>
          <w:sz w:val="20"/>
          <w:szCs w:val="20"/>
          <w:rtl/>
        </w:rPr>
      </w:pPr>
      <w:r>
        <w:rPr>
          <w:sz w:val="20"/>
          <w:szCs w:val="20"/>
          <w:rtl/>
        </w:rPr>
        <w:br/>
      </w:r>
      <w:r>
        <w:rPr>
          <w:rFonts w:hint="cs"/>
          <w:b/>
          <w:bCs/>
          <w:sz w:val="20"/>
          <w:szCs w:val="20"/>
          <w:rtl/>
        </w:rPr>
        <w:t xml:space="preserve">סעיף נד </w:t>
      </w:r>
      <w:r>
        <w:rPr>
          <w:b/>
          <w:bCs/>
          <w:sz w:val="20"/>
          <w:szCs w:val="20"/>
          <w:rtl/>
        </w:rPr>
        <w:t>–</w:t>
      </w:r>
      <w:r>
        <w:rPr>
          <w:rFonts w:hint="cs"/>
          <w:b/>
          <w:bCs/>
          <w:sz w:val="20"/>
          <w:szCs w:val="20"/>
          <w:rtl/>
        </w:rPr>
        <w:t xml:space="preserve"> קביעת ווסת על פי ראיית כתם</w:t>
      </w:r>
      <w:r>
        <w:rPr>
          <w:rFonts w:hint="cs"/>
          <w:b/>
          <w:bCs/>
          <w:sz w:val="20"/>
          <w:szCs w:val="20"/>
          <w:rtl/>
        </w:rPr>
        <w:br/>
        <w:t>פסיקת הלכה</w:t>
      </w:r>
      <w:r>
        <w:rPr>
          <w:b/>
          <w:bCs/>
          <w:sz w:val="20"/>
          <w:szCs w:val="20"/>
          <w:rtl/>
        </w:rPr>
        <w:br/>
      </w:r>
      <w:r>
        <w:rPr>
          <w:rFonts w:hint="cs"/>
          <w:b/>
          <w:bCs/>
          <w:sz w:val="20"/>
          <w:szCs w:val="20"/>
          <w:rtl/>
        </w:rPr>
        <w:t>שולחן ערוך</w:t>
      </w:r>
      <w:r w:rsidRPr="00922B53">
        <w:rPr>
          <w:rFonts w:hint="cs"/>
          <w:b/>
          <w:bCs/>
          <w:sz w:val="18"/>
          <w:szCs w:val="18"/>
          <w:rtl/>
        </w:rPr>
        <w:t xml:space="preserve"> </w:t>
      </w:r>
      <w:r w:rsidRPr="00922B53">
        <w:rPr>
          <w:rFonts w:hint="cs"/>
          <w:sz w:val="18"/>
          <w:szCs w:val="18"/>
          <w:rtl/>
        </w:rPr>
        <w:t xml:space="preserve">(ע"פ </w:t>
      </w:r>
      <w:r w:rsidRPr="00922B53">
        <w:rPr>
          <w:rFonts w:hint="cs"/>
          <w:b/>
          <w:bCs/>
          <w:sz w:val="18"/>
          <w:szCs w:val="18"/>
          <w:rtl/>
        </w:rPr>
        <w:t>הראב"ד וטור</w:t>
      </w:r>
      <w:r w:rsidRPr="00922B53">
        <w:rPr>
          <w:rFonts w:hint="cs"/>
          <w:sz w:val="18"/>
          <w:szCs w:val="18"/>
          <w:rtl/>
        </w:rPr>
        <w:t xml:space="preserve">) </w:t>
      </w:r>
      <w:r>
        <w:rPr>
          <w:sz w:val="20"/>
          <w:szCs w:val="20"/>
          <w:rtl/>
        </w:rPr>
        <w:t>–</w:t>
      </w:r>
      <w:r>
        <w:rPr>
          <w:rFonts w:hint="cs"/>
          <w:sz w:val="20"/>
          <w:szCs w:val="20"/>
          <w:rtl/>
        </w:rPr>
        <w:t xml:space="preserve"> "</w:t>
      </w:r>
      <w:r w:rsidRPr="00922B53">
        <w:rPr>
          <w:rFonts w:cs="Arial"/>
          <w:sz w:val="20"/>
          <w:szCs w:val="20"/>
          <w:rtl/>
        </w:rPr>
        <w:t>אין בכתמים משום וסת. כיצד, מצאה כתם בר</w:t>
      </w:r>
      <w:r>
        <w:rPr>
          <w:rFonts w:cs="Arial" w:hint="cs"/>
          <w:sz w:val="20"/>
          <w:szCs w:val="20"/>
          <w:rtl/>
        </w:rPr>
        <w:t xml:space="preserve">אש </w:t>
      </w:r>
      <w:r w:rsidRPr="00922B53">
        <w:rPr>
          <w:rFonts w:cs="Arial"/>
          <w:sz w:val="20"/>
          <w:szCs w:val="20"/>
          <w:rtl/>
        </w:rPr>
        <w:t>ח</w:t>
      </w:r>
      <w:r>
        <w:rPr>
          <w:rFonts w:cs="Arial" w:hint="cs"/>
          <w:sz w:val="20"/>
          <w:szCs w:val="20"/>
          <w:rtl/>
        </w:rPr>
        <w:t>ודש</w:t>
      </w:r>
      <w:r w:rsidRPr="00922B53">
        <w:rPr>
          <w:rFonts w:cs="Arial"/>
          <w:sz w:val="20"/>
          <w:szCs w:val="20"/>
          <w:rtl/>
        </w:rPr>
        <w:t>, אפילו של</w:t>
      </w:r>
      <w:r>
        <w:rPr>
          <w:rFonts w:cs="Arial" w:hint="cs"/>
          <w:sz w:val="20"/>
          <w:szCs w:val="20"/>
          <w:rtl/>
        </w:rPr>
        <w:t>ו</w:t>
      </w:r>
      <w:r w:rsidRPr="00922B53">
        <w:rPr>
          <w:rFonts w:cs="Arial"/>
          <w:sz w:val="20"/>
          <w:szCs w:val="20"/>
          <w:rtl/>
        </w:rPr>
        <w:t>ש פעמים, לא קבעתו ולא עוקרתו. חוץ מכתמי עד הבדוק לה, שהם מטמאים בכל שהן, והרי הן כראי</w:t>
      </w:r>
      <w:r>
        <w:rPr>
          <w:rFonts w:cs="Arial"/>
          <w:sz w:val="20"/>
          <w:szCs w:val="20"/>
          <w:rtl/>
        </w:rPr>
        <w:t>ות לכל דבר</w:t>
      </w:r>
      <w:r>
        <w:rPr>
          <w:rStyle w:val="a5"/>
          <w:rFonts w:cs="Arial"/>
          <w:sz w:val="20"/>
          <w:szCs w:val="20"/>
          <w:rtl/>
        </w:rPr>
        <w:footnoteReference w:id="354"/>
      </w:r>
      <w:r>
        <w:rPr>
          <w:rFonts w:cs="Arial" w:hint="cs"/>
          <w:sz w:val="20"/>
          <w:szCs w:val="20"/>
          <w:rtl/>
        </w:rPr>
        <w:t>".</w:t>
      </w:r>
      <w:r>
        <w:rPr>
          <w:rFonts w:hint="cs"/>
          <w:sz w:val="20"/>
          <w:szCs w:val="20"/>
          <w:rtl/>
        </w:rPr>
        <w:br/>
      </w:r>
      <w:r>
        <w:rPr>
          <w:b/>
          <w:bCs/>
          <w:sz w:val="20"/>
          <w:szCs w:val="20"/>
          <w:rtl/>
        </w:rPr>
        <w:br/>
      </w:r>
      <w:r>
        <w:rPr>
          <w:rFonts w:hint="cs"/>
          <w:sz w:val="20"/>
          <w:szCs w:val="20"/>
          <w:u w:val="single"/>
          <w:rtl/>
        </w:rPr>
        <w:t xml:space="preserve">בדקה עצמה בעד שאינו בדוק </w:t>
      </w:r>
      <w:r>
        <w:rPr>
          <w:sz w:val="20"/>
          <w:szCs w:val="20"/>
          <w:u w:val="single"/>
          <w:rtl/>
        </w:rPr>
        <w:t>–</w:t>
      </w:r>
      <w:r>
        <w:rPr>
          <w:rFonts w:hint="cs"/>
          <w:sz w:val="20"/>
          <w:szCs w:val="20"/>
          <w:u w:val="single"/>
          <w:rtl/>
        </w:rPr>
        <w:t xml:space="preserve"> האם קבעה ווסת?</w:t>
      </w:r>
      <w:r>
        <w:rPr>
          <w:rFonts w:hint="cs"/>
          <w:b/>
          <w:bCs/>
          <w:sz w:val="20"/>
          <w:szCs w:val="20"/>
          <w:rtl/>
        </w:rPr>
        <w:br/>
      </w:r>
      <w:r w:rsidRPr="008071A3">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דווקא אם בדקה עצמה בעד הבדוק דינו כראייה לעניין קביעת ווסת, אך אם בדקה עצמה בעד שאינו בדוק לה, אע"פ שטמאה </w:t>
      </w:r>
      <w:r w:rsidRPr="006A38AD">
        <w:rPr>
          <w:rFonts w:hint="cs"/>
          <w:sz w:val="18"/>
          <w:szCs w:val="18"/>
          <w:rtl/>
        </w:rPr>
        <w:t xml:space="preserve">(כשנמצא כגריס ועוד, לעיל סעיף לו') </w:t>
      </w:r>
      <w:r>
        <w:rPr>
          <w:rFonts w:hint="cs"/>
          <w:sz w:val="20"/>
          <w:szCs w:val="20"/>
          <w:rtl/>
        </w:rPr>
        <w:t>מכל מקום אין בכך משום קביעת ווסת.</w:t>
      </w:r>
      <w:r>
        <w:rPr>
          <w:sz w:val="20"/>
          <w:szCs w:val="20"/>
          <w:rtl/>
        </w:rPr>
        <w:br/>
      </w:r>
      <w:r w:rsidRPr="008071A3">
        <w:rPr>
          <w:rFonts w:hint="cs"/>
          <w:b/>
          <w:bCs/>
          <w:sz w:val="20"/>
          <w:szCs w:val="20"/>
          <w:rtl/>
        </w:rPr>
        <w:t xml:space="preserve">טעם </w:t>
      </w:r>
      <w:r>
        <w:rPr>
          <w:sz w:val="20"/>
          <w:szCs w:val="20"/>
          <w:rtl/>
        </w:rPr>
        <w:t>–</w:t>
      </w:r>
      <w:r>
        <w:rPr>
          <w:rFonts w:hint="cs"/>
          <w:sz w:val="20"/>
          <w:szCs w:val="20"/>
          <w:rtl/>
        </w:rPr>
        <w:t xml:space="preserve"> הט"ז מסביר שהדבר תואם לשיטתו לעיל </w:t>
      </w:r>
      <w:r w:rsidRPr="006A38AD">
        <w:rPr>
          <w:rFonts w:hint="cs"/>
          <w:sz w:val="18"/>
          <w:szCs w:val="18"/>
          <w:rtl/>
        </w:rPr>
        <w:t>(סעיף לט', ס"ק כט)</w:t>
      </w:r>
      <w:r>
        <w:rPr>
          <w:rFonts w:hint="cs"/>
          <w:sz w:val="20"/>
          <w:szCs w:val="20"/>
          <w:rtl/>
        </w:rPr>
        <w:t>, שכתם הנמצא על עד שאינו בדוק אפילו בהרגשה אינו מטמא מדאורייתא.</w:t>
      </w:r>
    </w:p>
    <w:p w:rsidR="00620060" w:rsidRDefault="00620060" w:rsidP="00620060">
      <w:pPr>
        <w:rPr>
          <w:sz w:val="20"/>
          <w:szCs w:val="20"/>
          <w:rtl/>
        </w:rPr>
      </w:pPr>
      <w:r>
        <w:rPr>
          <w:rFonts w:hint="cs"/>
          <w:sz w:val="20"/>
          <w:szCs w:val="20"/>
          <w:u w:val="single"/>
          <w:rtl/>
        </w:rPr>
        <w:t>דין כתמי אשה מוכת שחין (ט"ז)</w:t>
      </w:r>
      <w:r>
        <w:rPr>
          <w:rFonts w:hint="cs"/>
          <w:sz w:val="20"/>
          <w:szCs w:val="20"/>
          <w:u w:val="single"/>
          <w:rtl/>
        </w:rPr>
        <w:br/>
      </w:r>
      <w:r w:rsidRPr="00B67515">
        <w:rPr>
          <w:rFonts w:hint="cs"/>
          <w:b/>
          <w:bCs/>
          <w:sz w:val="20"/>
          <w:szCs w:val="20"/>
          <w:rtl/>
        </w:rPr>
        <w:t>מהר"ם</w:t>
      </w:r>
      <w:r>
        <w:rPr>
          <w:rFonts w:hint="cs"/>
          <w:sz w:val="20"/>
          <w:szCs w:val="20"/>
          <w:rtl/>
        </w:rPr>
        <w:t xml:space="preserve"> </w:t>
      </w:r>
      <w:r>
        <w:rPr>
          <w:sz w:val="20"/>
          <w:szCs w:val="20"/>
          <w:rtl/>
        </w:rPr>
        <w:t>–</w:t>
      </w:r>
      <w:r>
        <w:rPr>
          <w:rFonts w:hint="cs"/>
          <w:sz w:val="20"/>
          <w:szCs w:val="20"/>
          <w:rtl/>
        </w:rPr>
        <w:t xml:space="preserve"> אשה מוכת שחין שנמצא כתם על חלוקה, טהורה, וכל שכן בז' נקיים שתולים להקל </w:t>
      </w:r>
      <w:r w:rsidRPr="00B67515">
        <w:rPr>
          <w:rFonts w:hint="cs"/>
          <w:sz w:val="18"/>
          <w:szCs w:val="18"/>
          <w:rtl/>
        </w:rPr>
        <w:t xml:space="preserve">(ועיין </w:t>
      </w:r>
      <w:r>
        <w:rPr>
          <w:rFonts w:hint="cs"/>
          <w:sz w:val="18"/>
          <w:szCs w:val="18"/>
          <w:rtl/>
        </w:rPr>
        <w:t xml:space="preserve">קצו', </w:t>
      </w:r>
      <w:r w:rsidRPr="00B67515">
        <w:rPr>
          <w:rFonts w:hint="cs"/>
          <w:sz w:val="18"/>
          <w:szCs w:val="18"/>
          <w:rtl/>
        </w:rPr>
        <w:t>י').</w:t>
      </w:r>
    </w:p>
    <w:p w:rsidR="00620060" w:rsidRDefault="00620060" w:rsidP="00620060">
      <w:pPr>
        <w:rPr>
          <w:sz w:val="20"/>
          <w:szCs w:val="20"/>
          <w:rtl/>
        </w:rPr>
      </w:pPr>
      <w:r>
        <w:rPr>
          <w:rFonts w:hint="cs"/>
          <w:sz w:val="20"/>
          <w:szCs w:val="20"/>
          <w:u w:val="single"/>
          <w:rtl/>
        </w:rPr>
        <w:t>כתם בצבע טהור שמוקף בצבע טמא (ט"ז)</w:t>
      </w:r>
      <w:r>
        <w:rPr>
          <w:rFonts w:hint="cs"/>
          <w:sz w:val="20"/>
          <w:szCs w:val="20"/>
          <w:u w:val="single"/>
          <w:rtl/>
        </w:rPr>
        <w:br/>
      </w:r>
      <w:r>
        <w:rPr>
          <w:rFonts w:hint="cs"/>
          <w:sz w:val="20"/>
          <w:szCs w:val="20"/>
          <w:rtl/>
        </w:rPr>
        <w:t xml:space="preserve">המקרה </w:t>
      </w:r>
      <w:r>
        <w:rPr>
          <w:sz w:val="20"/>
          <w:szCs w:val="20"/>
          <w:rtl/>
        </w:rPr>
        <w:t>–</w:t>
      </w:r>
      <w:r>
        <w:rPr>
          <w:rFonts w:hint="cs"/>
          <w:sz w:val="20"/>
          <w:szCs w:val="20"/>
          <w:rtl/>
        </w:rPr>
        <w:t xml:space="preserve"> אשה שיש לה חטטים ומכות בגופה, ומצאה בחלוקה כתמים בצבע ירוק ולבן שאינם מטמאים. </w:t>
      </w:r>
      <w:r>
        <w:rPr>
          <w:sz w:val="20"/>
          <w:szCs w:val="20"/>
          <w:rtl/>
        </w:rPr>
        <w:br/>
      </w:r>
      <w:r>
        <w:rPr>
          <w:rFonts w:hint="cs"/>
          <w:sz w:val="20"/>
          <w:szCs w:val="20"/>
          <w:rtl/>
        </w:rPr>
        <w:t>ברם, סביב הכתם הטהור היה מוקף עיגול בצבע טמא באופן שנראה הכל ככתם אחד, האם היא טמאה?</w:t>
      </w:r>
      <w:r>
        <w:rPr>
          <w:rFonts w:hint="cs"/>
          <w:sz w:val="20"/>
          <w:szCs w:val="20"/>
          <w:rtl/>
        </w:rPr>
        <w:br/>
        <w:t xml:space="preserve">א. תשובת </w:t>
      </w:r>
      <w:r w:rsidRPr="00FB4D09">
        <w:rPr>
          <w:rFonts w:hint="cs"/>
          <w:b/>
          <w:bCs/>
          <w:sz w:val="20"/>
          <w:szCs w:val="20"/>
          <w:rtl/>
        </w:rPr>
        <w:t>הרמ"א</w:t>
      </w:r>
      <w:r>
        <w:rPr>
          <w:rFonts w:hint="cs"/>
          <w:sz w:val="20"/>
          <w:szCs w:val="20"/>
          <w:rtl/>
        </w:rPr>
        <w:t xml:space="preserve"> </w:t>
      </w:r>
      <w:r>
        <w:rPr>
          <w:sz w:val="20"/>
          <w:szCs w:val="20"/>
          <w:rtl/>
        </w:rPr>
        <w:t>–</w:t>
      </w:r>
      <w:r>
        <w:rPr>
          <w:rFonts w:hint="cs"/>
          <w:sz w:val="20"/>
          <w:szCs w:val="20"/>
          <w:rtl/>
        </w:rPr>
        <w:t xml:space="preserve"> טמאה.</w:t>
      </w:r>
      <w:r>
        <w:rPr>
          <w:sz w:val="20"/>
          <w:szCs w:val="20"/>
          <w:rtl/>
        </w:rPr>
        <w:br/>
      </w:r>
      <w:r w:rsidRPr="00FB4D09">
        <w:rPr>
          <w:rFonts w:hint="cs"/>
          <w:b/>
          <w:bCs/>
          <w:sz w:val="20"/>
          <w:szCs w:val="20"/>
          <w:rtl/>
        </w:rPr>
        <w:t>ראיה</w:t>
      </w:r>
      <w:r>
        <w:rPr>
          <w:rFonts w:hint="cs"/>
          <w:sz w:val="20"/>
          <w:szCs w:val="20"/>
          <w:rtl/>
        </w:rPr>
        <w:t xml:space="preserve"> </w:t>
      </w:r>
      <w:r>
        <w:rPr>
          <w:sz w:val="20"/>
          <w:szCs w:val="20"/>
          <w:rtl/>
        </w:rPr>
        <w:t>–</w:t>
      </w:r>
      <w:r>
        <w:rPr>
          <w:rFonts w:hint="cs"/>
          <w:sz w:val="20"/>
          <w:szCs w:val="20"/>
          <w:rtl/>
        </w:rPr>
        <w:t xml:space="preserve"> </w:t>
      </w:r>
      <w:r w:rsidRPr="00FB4D09">
        <w:rPr>
          <w:rFonts w:hint="cs"/>
          <w:b/>
          <w:bCs/>
          <w:sz w:val="20"/>
          <w:szCs w:val="20"/>
          <w:rtl/>
        </w:rPr>
        <w:t>גמרא</w:t>
      </w:r>
      <w:r>
        <w:rPr>
          <w:rFonts w:hint="cs"/>
          <w:sz w:val="20"/>
          <w:szCs w:val="20"/>
          <w:rtl/>
        </w:rPr>
        <w:t xml:space="preserve"> נדה (נט.) "</w:t>
      </w:r>
      <w:r w:rsidRPr="00C604B3">
        <w:rPr>
          <w:rFonts w:cs="Arial"/>
          <w:sz w:val="20"/>
          <w:szCs w:val="20"/>
          <w:rtl/>
        </w:rPr>
        <w:t>אמר רבא: נמצא עליה מין אחד - תולה בו כמה מינין. מיתיבי: נתעסקה באדום - אין תולה בו שחור! נתעסקה שאני. איכא דאמרי, אמר רבא: נתעסקה במין אחד - תולה בו כמה מינין. מיתיבי: נתעסקה באדום - אין תולה בו שחור כי קאמר רבא - דאתעסקה בתרנגולת, דאית בה כמה מיני דמא</w:t>
      </w:r>
      <w:r>
        <w:rPr>
          <w:rFonts w:cs="Arial" w:hint="cs"/>
          <w:sz w:val="20"/>
          <w:szCs w:val="20"/>
          <w:rtl/>
        </w:rPr>
        <w:t>"</w:t>
      </w:r>
      <w:r w:rsidRPr="00C604B3">
        <w:rPr>
          <w:rFonts w:cs="Arial"/>
          <w:sz w:val="20"/>
          <w:szCs w:val="20"/>
          <w:rtl/>
        </w:rPr>
        <w:t>.</w:t>
      </w:r>
      <w:r>
        <w:rPr>
          <w:sz w:val="20"/>
          <w:szCs w:val="20"/>
          <w:rtl/>
        </w:rPr>
        <w:br/>
      </w:r>
      <w:r>
        <w:rPr>
          <w:sz w:val="20"/>
          <w:szCs w:val="20"/>
          <w:rtl/>
        </w:rPr>
        <w:br/>
      </w:r>
      <w:r>
        <w:rPr>
          <w:rFonts w:hint="cs"/>
          <w:sz w:val="20"/>
          <w:szCs w:val="20"/>
          <w:rtl/>
        </w:rPr>
        <w:t xml:space="preserve">הסבר </w:t>
      </w:r>
      <w:r>
        <w:rPr>
          <w:sz w:val="20"/>
          <w:szCs w:val="20"/>
          <w:rtl/>
        </w:rPr>
        <w:t>–</w:t>
      </w:r>
      <w:r>
        <w:rPr>
          <w:rFonts w:hint="cs"/>
          <w:sz w:val="20"/>
          <w:szCs w:val="20"/>
          <w:rtl/>
        </w:rPr>
        <w:t xml:space="preserve"> מפורש </w:t>
      </w:r>
      <w:r w:rsidRPr="00FB4D09">
        <w:rPr>
          <w:rFonts w:hint="cs"/>
          <w:b/>
          <w:bCs/>
          <w:sz w:val="20"/>
          <w:szCs w:val="20"/>
          <w:rtl/>
        </w:rPr>
        <w:t>בתרומת הדשן</w:t>
      </w:r>
      <w:r>
        <w:rPr>
          <w:rFonts w:hint="cs"/>
          <w:sz w:val="20"/>
          <w:szCs w:val="20"/>
          <w:rtl/>
        </w:rPr>
        <w:t xml:space="preserve"> שגם כתם בצבע טהור מגיע מהמקור, ואם כן ידוע שנפתח המקור ויצאו ממנו מראות אלו, אלא שיש לדון האם גם הצבע הטמא הגיע מהמקור, וע"פ הגמרא הנ"ל מבואר שיש לטמא - </w:t>
      </w:r>
      <w:r>
        <w:rPr>
          <w:sz w:val="20"/>
          <w:szCs w:val="20"/>
          <w:rtl/>
        </w:rPr>
        <w:br/>
      </w:r>
      <w:r>
        <w:rPr>
          <w:rFonts w:hint="cs"/>
          <w:sz w:val="20"/>
          <w:szCs w:val="20"/>
          <w:rtl/>
        </w:rPr>
        <w:t>ללישנא קמא דרבא מבואר שהולכים לקולא ותולים את הכתם הטמא בחברו הטהור, דהיינו כשם שבא הכתם הטהור ללא ידיעתה כך בא הכתם הטמא ללא ידיעתה. ואם כן, כל שכן שיש לתלות לחומרה ולתלות מין אחד בחברו, שממקום שבא הטהור בא גם הטמא, דהיינו מהמקור.</w:t>
      </w:r>
      <w:r w:rsidRPr="00C604B3">
        <w:rPr>
          <w:rFonts w:hint="cs"/>
          <w:sz w:val="20"/>
          <w:szCs w:val="20"/>
          <w:rtl/>
        </w:rPr>
        <w:br/>
        <w:t xml:space="preserve"> </w:t>
      </w:r>
      <w:r>
        <w:rPr>
          <w:rFonts w:hint="cs"/>
          <w:sz w:val="20"/>
          <w:szCs w:val="20"/>
          <w:rtl/>
        </w:rPr>
        <w:t xml:space="preserve">כמו כן ללישנא בתרא שתולים את כל מיני הצבע בתרנגולת להקל, הוא הדין שבמקור יש כמה מיני דמים ולכן תולים בו את כל המראות להחמיר. </w:t>
      </w:r>
      <w:r>
        <w:rPr>
          <w:rFonts w:hint="cs"/>
          <w:sz w:val="20"/>
          <w:szCs w:val="20"/>
          <w:rtl/>
        </w:rPr>
        <w:br/>
      </w:r>
      <w:r>
        <w:rPr>
          <w:sz w:val="20"/>
          <w:szCs w:val="20"/>
          <w:rtl/>
        </w:rPr>
        <w:br/>
      </w:r>
      <w:r>
        <w:rPr>
          <w:rFonts w:hint="cs"/>
          <w:sz w:val="20"/>
          <w:szCs w:val="20"/>
          <w:rtl/>
        </w:rPr>
        <w:t xml:space="preserve">ב. </w:t>
      </w:r>
      <w:r w:rsidRPr="00E62A89">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טהורה.</w:t>
      </w:r>
      <w:r>
        <w:rPr>
          <w:sz w:val="20"/>
          <w:szCs w:val="20"/>
          <w:rtl/>
        </w:rPr>
        <w:br/>
      </w:r>
      <w:r>
        <w:rPr>
          <w:rFonts w:hint="cs"/>
          <w:sz w:val="20"/>
          <w:szCs w:val="20"/>
          <w:rtl/>
        </w:rPr>
        <w:t xml:space="preserve">ויש לדחות את ראיות </w:t>
      </w:r>
      <w:r w:rsidRPr="00E62A89">
        <w:rPr>
          <w:rFonts w:hint="cs"/>
          <w:b/>
          <w:bCs/>
          <w:sz w:val="20"/>
          <w:szCs w:val="20"/>
          <w:rtl/>
        </w:rPr>
        <w:t>הרמ"א</w:t>
      </w:r>
      <w:r>
        <w:rPr>
          <w:rFonts w:hint="cs"/>
          <w:sz w:val="20"/>
          <w:szCs w:val="20"/>
          <w:rtl/>
        </w:rPr>
        <w:t xml:space="preserve"> - </w:t>
      </w:r>
      <w:r>
        <w:rPr>
          <w:sz w:val="20"/>
          <w:szCs w:val="20"/>
          <w:rtl/>
        </w:rPr>
        <w:br/>
      </w:r>
      <w:r>
        <w:rPr>
          <w:rFonts w:hint="cs"/>
          <w:sz w:val="20"/>
          <w:szCs w:val="20"/>
          <w:rtl/>
        </w:rPr>
        <w:t xml:space="preserve">לדעת </w:t>
      </w:r>
      <w:r w:rsidRPr="00E62A89">
        <w:rPr>
          <w:rFonts w:hint="cs"/>
          <w:b/>
          <w:bCs/>
          <w:sz w:val="20"/>
          <w:szCs w:val="20"/>
          <w:rtl/>
        </w:rPr>
        <w:t>הרמ"א</w:t>
      </w:r>
      <w:r>
        <w:rPr>
          <w:rFonts w:hint="cs"/>
          <w:sz w:val="20"/>
          <w:szCs w:val="20"/>
          <w:rtl/>
        </w:rPr>
        <w:t>, יש לטמא אפילו אם הכתם הטמא נמצא רחוק מהכתם הטהור, כיוון שחוששים לכך שנפתח המקור והוא הגורם לכל מראות הדמים האלו</w:t>
      </w:r>
      <w:r>
        <w:rPr>
          <w:rStyle w:val="a5"/>
          <w:sz w:val="20"/>
          <w:szCs w:val="20"/>
          <w:rtl/>
        </w:rPr>
        <w:footnoteReference w:id="355"/>
      </w:r>
      <w:r>
        <w:rPr>
          <w:rFonts w:hint="cs"/>
          <w:sz w:val="20"/>
          <w:szCs w:val="20"/>
          <w:rtl/>
        </w:rPr>
        <w:t>. ולפי"ז, כל אשה שיוצא ממנה מראה טהור, אינה יכולה לתלות את המראה הטמא בגורם אחר, משום שיש לחשוש לכך שהמראה הטמא הגיע מהמקור, ולא שמענו פוסק שטוען כך.</w:t>
      </w:r>
      <w:r>
        <w:rPr>
          <w:rStyle w:val="a5"/>
          <w:sz w:val="20"/>
          <w:szCs w:val="20"/>
          <w:rtl/>
        </w:rPr>
        <w:footnoteReference w:id="356"/>
      </w:r>
      <w:r>
        <w:rPr>
          <w:rFonts w:hint="cs"/>
          <w:sz w:val="20"/>
          <w:szCs w:val="20"/>
          <w:rtl/>
        </w:rPr>
        <w:br/>
      </w:r>
      <w:r>
        <w:rPr>
          <w:rFonts w:hint="cs"/>
          <w:sz w:val="20"/>
          <w:szCs w:val="20"/>
          <w:rtl/>
        </w:rPr>
        <w:lastRenderedPageBreak/>
        <w:t>ולעניין הוכחת הרמ"א מדברי רבא שיש לתלות גם לחומרה, זה אינו, אלא תלייה נאמרה לקולא בלבד, כי כן היתה תקנת חכמים.</w:t>
      </w:r>
      <w:r>
        <w:rPr>
          <w:sz w:val="20"/>
          <w:szCs w:val="20"/>
          <w:rtl/>
        </w:rPr>
        <w:br/>
      </w:r>
      <w:r>
        <w:rPr>
          <w:rFonts w:hint="cs"/>
          <w:sz w:val="20"/>
          <w:szCs w:val="20"/>
          <w:rtl/>
        </w:rPr>
        <w:t>ועוד, דברי רבא שאם התעסקה בתרנגולת תולה בו כמה מיני דמים, היינו רק משום שיש בתרנגולת כמה מיני דם והתעסקה בכולם, אך כאן הוחזקה שיוצא ממנה מראה בצבע טהור בלבד ומדוע יש לתלות בה גם את המראות הטמאים?</w:t>
      </w:r>
    </w:p>
    <w:p w:rsidR="00620060" w:rsidRPr="00350DF3" w:rsidRDefault="00620060" w:rsidP="00620060">
      <w:pPr>
        <w:rPr>
          <w:sz w:val="20"/>
          <w:szCs w:val="20"/>
        </w:rPr>
      </w:pPr>
      <w:r w:rsidRPr="00FB4D09">
        <w:rPr>
          <w:rFonts w:hint="cs"/>
          <w:b/>
          <w:bCs/>
          <w:sz w:val="20"/>
          <w:szCs w:val="20"/>
          <w:rtl/>
        </w:rPr>
        <w:t>סיכום</w:t>
      </w:r>
      <w:r>
        <w:rPr>
          <w:sz w:val="20"/>
          <w:szCs w:val="20"/>
          <w:rtl/>
        </w:rPr>
        <w:br/>
      </w:r>
      <w:r>
        <w:rPr>
          <w:rFonts w:hint="cs"/>
          <w:sz w:val="20"/>
          <w:szCs w:val="20"/>
          <w:rtl/>
        </w:rPr>
        <w:t xml:space="preserve">1. </w:t>
      </w:r>
      <w:r w:rsidRPr="00FB4D09">
        <w:rPr>
          <w:rFonts w:hint="cs"/>
          <w:b/>
          <w:bCs/>
          <w:sz w:val="20"/>
          <w:szCs w:val="20"/>
          <w:rtl/>
        </w:rPr>
        <w:t>מחבר</w:t>
      </w:r>
      <w:r>
        <w:rPr>
          <w:rFonts w:hint="cs"/>
          <w:sz w:val="20"/>
          <w:szCs w:val="20"/>
          <w:rtl/>
        </w:rPr>
        <w:t>. כתם אינו קובע ווסת בג"פ וכן אינו עוקר ווסת, אך כתם ע"י עד בדוק קובע ווסת.</w:t>
      </w:r>
      <w:r>
        <w:rPr>
          <w:sz w:val="20"/>
          <w:szCs w:val="20"/>
          <w:rtl/>
        </w:rPr>
        <w:br/>
      </w:r>
      <w:r>
        <w:rPr>
          <w:rFonts w:hint="cs"/>
          <w:sz w:val="20"/>
          <w:szCs w:val="20"/>
          <w:rtl/>
        </w:rPr>
        <w:t xml:space="preserve">2. </w:t>
      </w:r>
      <w:r w:rsidRPr="00FB4D09">
        <w:rPr>
          <w:rFonts w:hint="cs"/>
          <w:b/>
          <w:bCs/>
          <w:sz w:val="20"/>
          <w:szCs w:val="20"/>
          <w:rtl/>
        </w:rPr>
        <w:t>ט"ז</w:t>
      </w:r>
      <w:r>
        <w:rPr>
          <w:rFonts w:hint="cs"/>
          <w:sz w:val="20"/>
          <w:szCs w:val="20"/>
          <w:rtl/>
        </w:rPr>
        <w:t>. כתם הנמצא בבדיקה על עד שאינו בדוק, אע"פ שטמאה מכל מקום אינו קובע ווסת.</w:t>
      </w:r>
      <w:r>
        <w:rPr>
          <w:sz w:val="20"/>
          <w:szCs w:val="20"/>
          <w:rtl/>
        </w:rPr>
        <w:br/>
      </w:r>
      <w:r>
        <w:rPr>
          <w:rFonts w:hint="cs"/>
          <w:sz w:val="20"/>
          <w:szCs w:val="20"/>
          <w:rtl/>
        </w:rPr>
        <w:t xml:space="preserve">3. </w:t>
      </w:r>
      <w:r w:rsidRPr="00FB4D09">
        <w:rPr>
          <w:rFonts w:hint="cs"/>
          <w:b/>
          <w:bCs/>
          <w:sz w:val="20"/>
          <w:szCs w:val="20"/>
          <w:rtl/>
        </w:rPr>
        <w:t>מהר"ם</w:t>
      </w:r>
      <w:r>
        <w:rPr>
          <w:rFonts w:hint="cs"/>
          <w:sz w:val="20"/>
          <w:szCs w:val="20"/>
          <w:rtl/>
        </w:rPr>
        <w:t>. אשה מוכת שחין שנמצא כתם על חלוקה, תולים להקל.</w:t>
      </w:r>
      <w:r>
        <w:rPr>
          <w:sz w:val="20"/>
          <w:szCs w:val="20"/>
          <w:rtl/>
        </w:rPr>
        <w:br/>
      </w:r>
      <w:r>
        <w:rPr>
          <w:rFonts w:hint="cs"/>
          <w:sz w:val="20"/>
          <w:szCs w:val="20"/>
          <w:rtl/>
        </w:rPr>
        <w:t>4</w:t>
      </w:r>
      <w:r w:rsidRPr="008A2691">
        <w:rPr>
          <w:rFonts w:hint="cs"/>
          <w:sz w:val="20"/>
          <w:szCs w:val="20"/>
          <w:rtl/>
        </w:rPr>
        <w:t>. אשה בעלת חטטים ומכות בגופה שמצאה כתם טהור המוקף מראה טמא, האם טמאה?</w:t>
      </w:r>
      <w:r>
        <w:rPr>
          <w:rFonts w:hint="cs"/>
          <w:sz w:val="20"/>
          <w:szCs w:val="20"/>
          <w:rtl/>
        </w:rPr>
        <w:t xml:space="preserve"> </w:t>
      </w:r>
      <w:r>
        <w:rPr>
          <w:b/>
          <w:bCs/>
          <w:sz w:val="20"/>
          <w:szCs w:val="20"/>
          <w:rtl/>
        </w:rPr>
        <w:br/>
      </w:r>
      <w:r w:rsidRPr="00FB4D09">
        <w:rPr>
          <w:rFonts w:hint="cs"/>
          <w:b/>
          <w:bCs/>
          <w:sz w:val="20"/>
          <w:szCs w:val="20"/>
          <w:rtl/>
        </w:rPr>
        <w:t>רמ"א</w:t>
      </w:r>
      <w:r>
        <w:rPr>
          <w:rFonts w:hint="cs"/>
          <w:sz w:val="20"/>
          <w:szCs w:val="20"/>
          <w:rtl/>
        </w:rPr>
        <w:t xml:space="preserve">. כן. </w:t>
      </w:r>
      <w:r w:rsidRPr="00FB4D09">
        <w:rPr>
          <w:rFonts w:hint="cs"/>
          <w:b/>
          <w:bCs/>
          <w:sz w:val="20"/>
          <w:szCs w:val="20"/>
          <w:rtl/>
        </w:rPr>
        <w:t>טעם</w:t>
      </w:r>
      <w:r>
        <w:rPr>
          <w:rFonts w:hint="cs"/>
          <w:sz w:val="20"/>
          <w:szCs w:val="20"/>
          <w:rtl/>
        </w:rPr>
        <w:t xml:space="preserve">. המראה הטהור מוכיח שהמקור נפתח, </w:t>
      </w:r>
      <w:r w:rsidRPr="008A2691">
        <w:rPr>
          <w:rFonts w:hint="cs"/>
          <w:sz w:val="20"/>
          <w:szCs w:val="20"/>
          <w:rtl/>
        </w:rPr>
        <w:t xml:space="preserve">וכיוון שנפתח תולים בו גם את המראה הטמא לחומרה. </w:t>
      </w:r>
      <w:r w:rsidRPr="008A2691">
        <w:rPr>
          <w:rFonts w:hint="cs"/>
          <w:b/>
          <w:bCs/>
          <w:sz w:val="20"/>
          <w:szCs w:val="20"/>
          <w:rtl/>
        </w:rPr>
        <w:t>ט"ז</w:t>
      </w:r>
      <w:r w:rsidRPr="008A2691">
        <w:rPr>
          <w:rFonts w:hint="cs"/>
          <w:sz w:val="20"/>
          <w:szCs w:val="20"/>
          <w:rtl/>
        </w:rPr>
        <w:t xml:space="preserve">. לא. </w:t>
      </w:r>
      <w:r w:rsidRPr="008A2691">
        <w:rPr>
          <w:rFonts w:hint="cs"/>
          <w:b/>
          <w:bCs/>
          <w:sz w:val="20"/>
          <w:szCs w:val="20"/>
          <w:rtl/>
        </w:rPr>
        <w:t>טעם</w:t>
      </w:r>
      <w:r w:rsidRPr="008A2691">
        <w:rPr>
          <w:rFonts w:hint="cs"/>
          <w:sz w:val="20"/>
          <w:szCs w:val="20"/>
          <w:rtl/>
        </w:rPr>
        <w:t>. לפי"ז אפילו אם נמצא הכתם הטמא רחוק מהטהור יש לטמא, כדין תלייה לטהר, ולא שמ</w:t>
      </w:r>
      <w:r>
        <w:rPr>
          <w:rFonts w:hint="cs"/>
          <w:sz w:val="20"/>
          <w:szCs w:val="20"/>
          <w:rtl/>
        </w:rPr>
        <w:t xml:space="preserve">ענו פוסק שיאמר כך. ועוד, תלייה </w:t>
      </w:r>
      <w:r w:rsidRPr="008A2691">
        <w:rPr>
          <w:rFonts w:hint="cs"/>
          <w:sz w:val="20"/>
          <w:szCs w:val="20"/>
          <w:rtl/>
        </w:rPr>
        <w:t xml:space="preserve">של כתם בכתם אחר </w:t>
      </w:r>
      <w:r>
        <w:rPr>
          <w:rFonts w:hint="cs"/>
          <w:sz w:val="20"/>
          <w:szCs w:val="20"/>
          <w:rtl/>
        </w:rPr>
        <w:t>נ</w:t>
      </w:r>
      <w:r w:rsidRPr="008A2691">
        <w:rPr>
          <w:rFonts w:hint="cs"/>
          <w:sz w:val="20"/>
          <w:szCs w:val="20"/>
          <w:rtl/>
        </w:rPr>
        <w:t>אמרה לקולא בלבד.</w:t>
      </w:r>
    </w:p>
    <w:p w:rsidR="00620060" w:rsidRPr="009057D3" w:rsidRDefault="00620060" w:rsidP="00620060">
      <w:pPr>
        <w:rPr>
          <w:sz w:val="20"/>
          <w:szCs w:val="20"/>
          <w:rtl/>
        </w:rPr>
      </w:pPr>
      <w:r>
        <w:rPr>
          <w:b/>
          <w:bCs/>
          <w:sz w:val="20"/>
          <w:szCs w:val="20"/>
          <w:rtl/>
        </w:rPr>
        <w:br/>
      </w:r>
      <w:r>
        <w:rPr>
          <w:rFonts w:hint="cs"/>
          <w:b/>
          <w:bCs/>
          <w:sz w:val="20"/>
          <w:szCs w:val="20"/>
          <w:rtl/>
        </w:rPr>
        <w:t>הוספות</w:t>
      </w:r>
      <w:r>
        <w:rPr>
          <w:b/>
          <w:bCs/>
          <w:sz w:val="20"/>
          <w:szCs w:val="20"/>
          <w:rtl/>
        </w:rPr>
        <w:br/>
      </w:r>
      <w:r>
        <w:rPr>
          <w:rFonts w:hint="cs"/>
          <w:sz w:val="20"/>
          <w:szCs w:val="20"/>
          <w:u w:val="single"/>
          <w:rtl/>
        </w:rPr>
        <w:t xml:space="preserve">האם יש לחשוש לעד הבדוק כדין ווסת שאינו קבוע? (טהרת הבית, חלק א עמ' תפח </w:t>
      </w:r>
      <w:r>
        <w:rPr>
          <w:sz w:val="20"/>
          <w:szCs w:val="20"/>
          <w:u w:val="single"/>
          <w:rtl/>
        </w:rPr>
        <w:t>–</w:t>
      </w:r>
      <w:r>
        <w:rPr>
          <w:rFonts w:hint="cs"/>
          <w:sz w:val="20"/>
          <w:szCs w:val="20"/>
          <w:u w:val="single"/>
          <w:rtl/>
        </w:rPr>
        <w:t xml:space="preserve"> תצ)</w:t>
      </w:r>
      <w:r>
        <w:rPr>
          <w:rFonts w:hint="cs"/>
          <w:sz w:val="20"/>
          <w:szCs w:val="20"/>
          <w:u w:val="single"/>
          <w:rtl/>
        </w:rPr>
        <w:br/>
      </w:r>
      <w:r>
        <w:rPr>
          <w:rFonts w:hint="cs"/>
          <w:sz w:val="20"/>
          <w:szCs w:val="20"/>
          <w:rtl/>
        </w:rPr>
        <w:t>בפשט דברי המחבר משמע, שדין עד בדוק כדין ווסת גמור, ולפי"ז יש לחשוש אפילו לאחר פעם אחת, כדין ווסת שאינו קבוע. אמנם, מנהג העולם שלא לחוש לכך, אלא רק אם בדקה בעד זה שלוש פעמים ומצאה דם חוששת כדין ווסת קבוע, אך אין חוששים לעד בדוק כדין ווסת שאינו קבוע.</w:t>
      </w:r>
    </w:p>
    <w:p w:rsidR="00620060" w:rsidRDefault="00620060" w:rsidP="00620060">
      <w:pPr>
        <w:rPr>
          <w:sz w:val="20"/>
          <w:szCs w:val="20"/>
          <w:u w:val="single"/>
          <w:rtl/>
        </w:rPr>
      </w:pPr>
      <w:r>
        <w:rPr>
          <w:rFonts w:hint="cs"/>
          <w:sz w:val="20"/>
          <w:szCs w:val="20"/>
          <w:u w:val="single"/>
          <w:rtl/>
        </w:rPr>
        <w:t>ראתה כתם תוך כדי שינה (תוה"ש סקנ"ח)</w:t>
      </w:r>
      <w:r>
        <w:rPr>
          <w:sz w:val="20"/>
          <w:szCs w:val="20"/>
          <w:u w:val="single"/>
          <w:rtl/>
        </w:rPr>
        <w:br/>
      </w:r>
      <w:r>
        <w:rPr>
          <w:rFonts w:hint="cs"/>
          <w:sz w:val="20"/>
          <w:szCs w:val="20"/>
          <w:rtl/>
        </w:rPr>
        <w:t>המקרה - אשה שמצאה כתם לאחר שישנה, האם חוששת שמא הראייה היתה בהרגשה וקובעת ווסת?</w:t>
      </w:r>
      <w:r>
        <w:rPr>
          <w:sz w:val="20"/>
          <w:szCs w:val="20"/>
          <w:u w:val="single"/>
          <w:rtl/>
        </w:rPr>
        <w:br/>
      </w:r>
      <w:r>
        <w:rPr>
          <w:rFonts w:hint="cs"/>
          <w:sz w:val="20"/>
          <w:szCs w:val="20"/>
          <w:rtl/>
        </w:rPr>
        <w:t xml:space="preserve">א. </w:t>
      </w:r>
      <w:r w:rsidRPr="00212A3F">
        <w:rPr>
          <w:rFonts w:hint="cs"/>
          <w:b/>
          <w:bCs/>
          <w:sz w:val="20"/>
          <w:szCs w:val="20"/>
          <w:rtl/>
        </w:rPr>
        <w:t>חוט השני</w:t>
      </w:r>
      <w:r>
        <w:rPr>
          <w:rFonts w:hint="cs"/>
          <w:sz w:val="20"/>
          <w:szCs w:val="20"/>
          <w:rtl/>
        </w:rPr>
        <w:t xml:space="preserve"> </w:t>
      </w:r>
      <w:r>
        <w:rPr>
          <w:sz w:val="20"/>
          <w:szCs w:val="20"/>
          <w:rtl/>
        </w:rPr>
        <w:t>–</w:t>
      </w:r>
      <w:r>
        <w:rPr>
          <w:rFonts w:hint="cs"/>
          <w:sz w:val="20"/>
          <w:szCs w:val="20"/>
          <w:rtl/>
        </w:rPr>
        <w:t xml:space="preserve"> חוששת שמא קובעת ווסת.</w:t>
      </w:r>
      <w:r>
        <w:rPr>
          <w:rFonts w:hint="cs"/>
          <w:sz w:val="20"/>
          <w:szCs w:val="20"/>
          <w:rtl/>
        </w:rPr>
        <w:br/>
      </w:r>
      <w:r w:rsidRPr="00212A3F">
        <w:rPr>
          <w:rFonts w:hint="cs"/>
          <w:b/>
          <w:bCs/>
          <w:sz w:val="20"/>
          <w:szCs w:val="20"/>
          <w:rtl/>
        </w:rPr>
        <w:t xml:space="preserve">טעם </w:t>
      </w:r>
      <w:r>
        <w:rPr>
          <w:sz w:val="20"/>
          <w:szCs w:val="20"/>
          <w:rtl/>
        </w:rPr>
        <w:t>–</w:t>
      </w:r>
      <w:r>
        <w:rPr>
          <w:rFonts w:hint="cs"/>
          <w:sz w:val="20"/>
          <w:szCs w:val="20"/>
          <w:rtl/>
        </w:rPr>
        <w:t xml:space="preserve"> שמא הרגישה ולא הבחינה בכך מחמת שינתה.</w:t>
      </w:r>
      <w:r>
        <w:rPr>
          <w:sz w:val="20"/>
          <w:szCs w:val="20"/>
          <w:rtl/>
        </w:rPr>
        <w:br/>
      </w:r>
      <w:r>
        <w:rPr>
          <w:rFonts w:hint="cs"/>
          <w:sz w:val="20"/>
          <w:szCs w:val="20"/>
          <w:rtl/>
        </w:rPr>
        <w:t xml:space="preserve">ב. </w:t>
      </w:r>
      <w:r w:rsidRPr="00212A3F">
        <w:rPr>
          <w:rFonts w:hint="cs"/>
          <w:b/>
          <w:bCs/>
          <w:sz w:val="20"/>
          <w:szCs w:val="20"/>
          <w:rtl/>
        </w:rPr>
        <w:t>תורת השלמים</w:t>
      </w:r>
      <w:r>
        <w:rPr>
          <w:rFonts w:hint="cs"/>
          <w:sz w:val="20"/>
          <w:szCs w:val="20"/>
          <w:rtl/>
        </w:rPr>
        <w:t xml:space="preserve"> </w:t>
      </w:r>
      <w:r>
        <w:rPr>
          <w:sz w:val="20"/>
          <w:szCs w:val="20"/>
          <w:rtl/>
        </w:rPr>
        <w:t>–</w:t>
      </w:r>
      <w:r>
        <w:rPr>
          <w:rFonts w:hint="cs"/>
          <w:sz w:val="20"/>
          <w:szCs w:val="20"/>
          <w:rtl/>
        </w:rPr>
        <w:t xml:space="preserve"> אינה חוששת, וכ"פ </w:t>
      </w:r>
      <w:r w:rsidRPr="002944BE">
        <w:rPr>
          <w:rFonts w:hint="cs"/>
          <w:b/>
          <w:bCs/>
          <w:sz w:val="20"/>
          <w:szCs w:val="20"/>
          <w:rtl/>
        </w:rPr>
        <w:t>טה"ב ושבה"ל</w:t>
      </w:r>
      <w:r>
        <w:rPr>
          <w:rFonts w:hint="cs"/>
          <w:sz w:val="20"/>
          <w:szCs w:val="20"/>
          <w:rtl/>
        </w:rPr>
        <w:t>.</w:t>
      </w:r>
      <w:r>
        <w:rPr>
          <w:sz w:val="20"/>
          <w:szCs w:val="20"/>
          <w:u w:val="single"/>
          <w:rtl/>
        </w:rPr>
        <w:br/>
      </w:r>
      <w:r w:rsidRPr="00212A3F">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אם היתה הרגשה, היא היתה מתעוררת.</w:t>
      </w:r>
      <w:r>
        <w:rPr>
          <w:sz w:val="20"/>
          <w:szCs w:val="20"/>
          <w:rtl/>
        </w:rPr>
        <w:br/>
      </w:r>
      <w:r w:rsidRPr="003E2729">
        <w:rPr>
          <w:rFonts w:hint="cs"/>
          <w:b/>
          <w:bCs/>
          <w:sz w:val="20"/>
          <w:szCs w:val="20"/>
          <w:rtl/>
        </w:rPr>
        <w:t>ראיה</w:t>
      </w:r>
      <w:r>
        <w:rPr>
          <w:rFonts w:hint="cs"/>
          <w:sz w:val="20"/>
          <w:szCs w:val="20"/>
          <w:rtl/>
        </w:rPr>
        <w:t xml:space="preserve"> </w:t>
      </w:r>
      <w:r>
        <w:rPr>
          <w:sz w:val="20"/>
          <w:szCs w:val="20"/>
          <w:rtl/>
        </w:rPr>
        <w:t>–</w:t>
      </w:r>
      <w:r>
        <w:rPr>
          <w:rFonts w:hint="cs"/>
          <w:sz w:val="20"/>
          <w:szCs w:val="20"/>
          <w:rtl/>
        </w:rPr>
        <w:t xml:space="preserve"> </w:t>
      </w:r>
      <w:r w:rsidRPr="003E2729">
        <w:rPr>
          <w:rFonts w:hint="cs"/>
          <w:b/>
          <w:bCs/>
          <w:sz w:val="20"/>
          <w:szCs w:val="20"/>
          <w:rtl/>
        </w:rPr>
        <w:t>גמרא</w:t>
      </w:r>
      <w:r>
        <w:rPr>
          <w:rFonts w:hint="cs"/>
          <w:sz w:val="20"/>
          <w:szCs w:val="20"/>
          <w:rtl/>
        </w:rPr>
        <w:t xml:space="preserve"> נדה (ג</w:t>
      </w:r>
      <w:r w:rsidRPr="003E2729">
        <w:rPr>
          <w:rFonts w:hint="cs"/>
          <w:sz w:val="20"/>
          <w:szCs w:val="20"/>
          <w:rtl/>
        </w:rPr>
        <w:t>.) "</w:t>
      </w:r>
      <w:r w:rsidRPr="003E2729">
        <w:rPr>
          <w:rFonts w:cs="Arial"/>
          <w:sz w:val="20"/>
          <w:szCs w:val="20"/>
          <w:rtl/>
        </w:rPr>
        <w:t>ישנה נמי, אגב צערה מיתערא, מידי דהוה אהרגשת מי רגלים</w:t>
      </w:r>
      <w:r>
        <w:rPr>
          <w:rFonts w:hint="cs"/>
          <w:sz w:val="20"/>
          <w:szCs w:val="20"/>
          <w:rtl/>
        </w:rPr>
        <w:t>".</w:t>
      </w:r>
    </w:p>
    <w:p w:rsidR="00620060" w:rsidRDefault="00620060" w:rsidP="00620060">
      <w:pPr>
        <w:rPr>
          <w:sz w:val="20"/>
          <w:szCs w:val="20"/>
          <w:u w:val="single"/>
          <w:rtl/>
        </w:rPr>
      </w:pPr>
      <w:r>
        <w:rPr>
          <w:rFonts w:hint="cs"/>
          <w:sz w:val="20"/>
          <w:szCs w:val="20"/>
          <w:u w:val="single"/>
          <w:rtl/>
        </w:rPr>
        <w:t>אשה שלוקחת כדורי שינה, האם חוששת לכתם משום קביעת ווסת? (טהרת הבית חלק א עמ' תפח)</w:t>
      </w:r>
      <w:r>
        <w:rPr>
          <w:rFonts w:hint="cs"/>
          <w:sz w:val="20"/>
          <w:szCs w:val="20"/>
          <w:u w:val="single"/>
          <w:rtl/>
        </w:rPr>
        <w:br/>
      </w:r>
      <w:r w:rsidRPr="002944BE">
        <w:rPr>
          <w:rFonts w:hint="cs"/>
          <w:b/>
          <w:bCs/>
          <w:sz w:val="20"/>
          <w:szCs w:val="20"/>
          <w:rtl/>
        </w:rPr>
        <w:t>שבה"ל וטה"ב</w:t>
      </w:r>
      <w:r>
        <w:rPr>
          <w:rFonts w:hint="cs"/>
          <w:sz w:val="20"/>
          <w:szCs w:val="20"/>
          <w:rtl/>
        </w:rPr>
        <w:t xml:space="preserve"> פסקו כדעת </w:t>
      </w:r>
      <w:r w:rsidRPr="002944BE">
        <w:rPr>
          <w:rFonts w:hint="cs"/>
          <w:b/>
          <w:bCs/>
          <w:sz w:val="20"/>
          <w:szCs w:val="20"/>
          <w:rtl/>
        </w:rPr>
        <w:t>תוה"ש</w:t>
      </w:r>
      <w:r>
        <w:rPr>
          <w:rFonts w:hint="cs"/>
          <w:sz w:val="20"/>
          <w:szCs w:val="20"/>
          <w:rtl/>
        </w:rPr>
        <w:t>, שאף אם ראתה כתם בשינתה, אין חוששים שמא הרגישה.</w:t>
      </w:r>
      <w:r>
        <w:rPr>
          <w:sz w:val="20"/>
          <w:szCs w:val="20"/>
          <w:rtl/>
        </w:rPr>
        <w:br/>
      </w:r>
      <w:r>
        <w:rPr>
          <w:rFonts w:hint="cs"/>
          <w:sz w:val="20"/>
          <w:szCs w:val="20"/>
          <w:rtl/>
        </w:rPr>
        <w:t>אמנם, נחלקו מה דין אשה שלוקחת כדורי שינה ושינתה חזקה יותר, האם חוששים לקביעת ווסת?</w:t>
      </w:r>
      <w:r>
        <w:rPr>
          <w:sz w:val="20"/>
          <w:szCs w:val="20"/>
          <w:rtl/>
        </w:rPr>
        <w:br/>
      </w:r>
      <w:r>
        <w:rPr>
          <w:rFonts w:hint="cs"/>
          <w:sz w:val="20"/>
          <w:szCs w:val="20"/>
          <w:rtl/>
        </w:rPr>
        <w:t xml:space="preserve">א. </w:t>
      </w:r>
      <w:r w:rsidRPr="002944BE">
        <w:rPr>
          <w:rFonts w:hint="cs"/>
          <w:b/>
          <w:bCs/>
          <w:sz w:val="20"/>
          <w:szCs w:val="20"/>
          <w:rtl/>
        </w:rPr>
        <w:t>שבט הלוי</w:t>
      </w:r>
      <w:r>
        <w:rPr>
          <w:rFonts w:hint="cs"/>
          <w:sz w:val="20"/>
          <w:szCs w:val="20"/>
          <w:rtl/>
        </w:rPr>
        <w:t xml:space="preserve"> </w:t>
      </w:r>
      <w:r>
        <w:rPr>
          <w:sz w:val="20"/>
          <w:szCs w:val="20"/>
          <w:rtl/>
        </w:rPr>
        <w:t>–</w:t>
      </w:r>
      <w:r>
        <w:rPr>
          <w:rFonts w:hint="cs"/>
          <w:sz w:val="20"/>
          <w:szCs w:val="20"/>
          <w:rtl/>
        </w:rPr>
        <w:t xml:space="preserve"> כן.</w:t>
      </w:r>
      <w:r>
        <w:rPr>
          <w:sz w:val="20"/>
          <w:szCs w:val="20"/>
          <w:rtl/>
        </w:rPr>
        <w:br/>
      </w:r>
      <w:r w:rsidRPr="002944BE">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שמא הרגישה ולא התעוררה מכך.</w:t>
      </w:r>
      <w:r>
        <w:rPr>
          <w:sz w:val="20"/>
          <w:szCs w:val="20"/>
          <w:rtl/>
        </w:rPr>
        <w:br/>
      </w:r>
      <w:r>
        <w:rPr>
          <w:rFonts w:hint="cs"/>
          <w:sz w:val="20"/>
          <w:szCs w:val="20"/>
          <w:rtl/>
        </w:rPr>
        <w:t xml:space="preserve">ב. </w:t>
      </w:r>
      <w:r w:rsidRPr="002944BE">
        <w:rPr>
          <w:rFonts w:hint="cs"/>
          <w:b/>
          <w:bCs/>
          <w:sz w:val="20"/>
          <w:szCs w:val="20"/>
          <w:rtl/>
        </w:rPr>
        <w:t>טהרת הבית</w:t>
      </w:r>
      <w:r>
        <w:rPr>
          <w:rFonts w:hint="cs"/>
          <w:sz w:val="20"/>
          <w:szCs w:val="20"/>
          <w:rtl/>
        </w:rPr>
        <w:t xml:space="preserve"> </w:t>
      </w:r>
      <w:r>
        <w:rPr>
          <w:sz w:val="20"/>
          <w:szCs w:val="20"/>
          <w:rtl/>
        </w:rPr>
        <w:t>–</w:t>
      </w:r>
      <w:r>
        <w:rPr>
          <w:rFonts w:hint="cs"/>
          <w:sz w:val="20"/>
          <w:szCs w:val="20"/>
          <w:rtl/>
        </w:rPr>
        <w:t xml:space="preserve"> לא.</w:t>
      </w:r>
      <w:r>
        <w:rPr>
          <w:sz w:val="20"/>
          <w:szCs w:val="20"/>
          <w:rtl/>
        </w:rPr>
        <w:br/>
      </w:r>
      <w:r w:rsidRPr="002944BE">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כפי שהיא מתעוררת להטיל מי רגליים, כך מתעוררת היא כשיוצא ממנה דם.</w:t>
      </w:r>
      <w:r>
        <w:rPr>
          <w:sz w:val="20"/>
          <w:szCs w:val="20"/>
          <w:rtl/>
        </w:rPr>
        <w:br/>
      </w:r>
      <w:r>
        <w:rPr>
          <w:rFonts w:hint="cs"/>
          <w:sz w:val="20"/>
          <w:szCs w:val="20"/>
          <w:rtl/>
        </w:rPr>
        <w:t>ואף אם תאמר שלא יצא הדבר מכלל ספק, הואיל ודין פרישה סמוך לווסת הוא מדרבנן יש להקל בספקו.</w:t>
      </w:r>
    </w:p>
    <w:p w:rsidR="00620060" w:rsidRPr="00F009A7" w:rsidRDefault="00620060" w:rsidP="00620060">
      <w:pPr>
        <w:rPr>
          <w:sz w:val="20"/>
          <w:szCs w:val="20"/>
          <w:rtl/>
        </w:rPr>
      </w:pPr>
      <w:r>
        <w:rPr>
          <w:b/>
          <w:bCs/>
          <w:sz w:val="20"/>
          <w:szCs w:val="20"/>
          <w:rtl/>
        </w:rPr>
        <w:br/>
      </w: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Pr="00F81E59" w:rsidRDefault="00620060" w:rsidP="00620060">
      <w:pPr>
        <w:rPr>
          <w:b/>
          <w:bCs/>
          <w:sz w:val="20"/>
          <w:szCs w:val="20"/>
          <w:rtl/>
        </w:rPr>
      </w:pPr>
      <w:r w:rsidRPr="00F81E59">
        <w:rPr>
          <w:rFonts w:hint="cs"/>
          <w:b/>
          <w:bCs/>
          <w:sz w:val="20"/>
          <w:szCs w:val="20"/>
          <w:rtl/>
        </w:rPr>
        <w:lastRenderedPageBreak/>
        <w:t>בעזרת ה' יתברך</w:t>
      </w:r>
    </w:p>
    <w:p w:rsidR="00620060" w:rsidRPr="00F81E59" w:rsidRDefault="00620060" w:rsidP="00620060">
      <w:pPr>
        <w:rPr>
          <w:b/>
          <w:bCs/>
          <w:sz w:val="20"/>
          <w:szCs w:val="20"/>
          <w:rtl/>
        </w:rPr>
      </w:pPr>
      <w:r w:rsidRPr="00F81E59">
        <w:rPr>
          <w:rFonts w:hint="cs"/>
          <w:b/>
          <w:bCs/>
          <w:sz w:val="20"/>
          <w:szCs w:val="20"/>
          <w:rtl/>
        </w:rPr>
        <w:t xml:space="preserve">סימן </w:t>
      </w:r>
      <w:r>
        <w:rPr>
          <w:rFonts w:hint="cs"/>
          <w:b/>
          <w:bCs/>
          <w:sz w:val="20"/>
          <w:szCs w:val="20"/>
          <w:rtl/>
        </w:rPr>
        <w:t>ק</w:t>
      </w:r>
      <w:r w:rsidRPr="00F81E59">
        <w:rPr>
          <w:rFonts w:hint="cs"/>
          <w:b/>
          <w:bCs/>
          <w:sz w:val="20"/>
          <w:szCs w:val="20"/>
          <w:rtl/>
        </w:rPr>
        <w:t xml:space="preserve">צא </w:t>
      </w:r>
      <w:r w:rsidRPr="00F81E59">
        <w:rPr>
          <w:b/>
          <w:bCs/>
          <w:sz w:val="20"/>
          <w:szCs w:val="20"/>
          <w:rtl/>
        </w:rPr>
        <w:t>–</w:t>
      </w:r>
      <w:r w:rsidRPr="00F81E59">
        <w:rPr>
          <w:rFonts w:hint="cs"/>
          <w:b/>
          <w:bCs/>
          <w:sz w:val="20"/>
          <w:szCs w:val="20"/>
          <w:rtl/>
        </w:rPr>
        <w:t xml:space="preserve"> ראתה דם במי רגליה</w:t>
      </w:r>
    </w:p>
    <w:p w:rsidR="00620060" w:rsidRDefault="00620060" w:rsidP="00620060">
      <w:pPr>
        <w:rPr>
          <w:sz w:val="20"/>
          <w:szCs w:val="20"/>
          <w:rtl/>
        </w:rPr>
      </w:pPr>
      <w:r w:rsidRPr="00F81E59">
        <w:rPr>
          <w:rFonts w:hint="cs"/>
          <w:b/>
          <w:bCs/>
          <w:sz w:val="20"/>
          <w:szCs w:val="20"/>
          <w:rtl/>
        </w:rPr>
        <w:t xml:space="preserve">סעיף א </w:t>
      </w:r>
      <w:r w:rsidRPr="00F81E59">
        <w:rPr>
          <w:b/>
          <w:bCs/>
          <w:sz w:val="20"/>
          <w:szCs w:val="20"/>
          <w:rtl/>
        </w:rPr>
        <w:t>–</w:t>
      </w:r>
      <w:r w:rsidRPr="00F81E59">
        <w:rPr>
          <w:rFonts w:hint="cs"/>
          <w:b/>
          <w:bCs/>
          <w:sz w:val="20"/>
          <w:szCs w:val="20"/>
          <w:rtl/>
        </w:rPr>
        <w:t xml:space="preserve"> דין דם היוצא עם מי רגליה</w:t>
      </w:r>
      <w:r w:rsidRPr="00F81E59">
        <w:rPr>
          <w:b/>
          <w:bCs/>
          <w:sz w:val="20"/>
          <w:szCs w:val="20"/>
          <w:rtl/>
        </w:rPr>
        <w:br/>
      </w:r>
      <w:r w:rsidRPr="00F81E59">
        <w:rPr>
          <w:rFonts w:hint="cs"/>
          <w:b/>
          <w:bCs/>
          <w:sz w:val="20"/>
          <w:szCs w:val="20"/>
          <w:rtl/>
        </w:rPr>
        <w:t>מקור הדין</w:t>
      </w:r>
      <w:r w:rsidRPr="00F81E59">
        <w:rPr>
          <w:b/>
          <w:bCs/>
          <w:sz w:val="20"/>
          <w:szCs w:val="20"/>
          <w:rtl/>
        </w:rPr>
        <w:br/>
      </w:r>
      <w:r w:rsidRPr="00F81E59">
        <w:rPr>
          <w:rFonts w:hint="cs"/>
          <w:b/>
          <w:bCs/>
          <w:sz w:val="20"/>
          <w:szCs w:val="20"/>
          <w:rtl/>
        </w:rPr>
        <w:t xml:space="preserve">משנה </w:t>
      </w:r>
      <w:r>
        <w:rPr>
          <w:rFonts w:hint="cs"/>
          <w:sz w:val="20"/>
          <w:szCs w:val="20"/>
          <w:rtl/>
        </w:rPr>
        <w:t>נידה (נט:) "</w:t>
      </w:r>
      <w:r w:rsidRPr="00631C14">
        <w:rPr>
          <w:rFonts w:cs="Arial" w:hint="cs"/>
          <w:sz w:val="20"/>
          <w:szCs w:val="20"/>
          <w:rtl/>
        </w:rPr>
        <w:t>האשה</w:t>
      </w:r>
      <w:r w:rsidRPr="00631C14">
        <w:rPr>
          <w:rFonts w:cs="Arial"/>
          <w:sz w:val="20"/>
          <w:szCs w:val="20"/>
          <w:rtl/>
        </w:rPr>
        <w:t xml:space="preserve"> </w:t>
      </w:r>
      <w:r w:rsidRPr="00631C14">
        <w:rPr>
          <w:rFonts w:cs="Arial" w:hint="cs"/>
          <w:sz w:val="20"/>
          <w:szCs w:val="20"/>
          <w:rtl/>
        </w:rPr>
        <w:t>שהיא</w:t>
      </w:r>
      <w:r w:rsidRPr="00631C14">
        <w:rPr>
          <w:rFonts w:cs="Arial"/>
          <w:sz w:val="20"/>
          <w:szCs w:val="20"/>
          <w:rtl/>
        </w:rPr>
        <w:t xml:space="preserve"> </w:t>
      </w:r>
      <w:r w:rsidRPr="00631C14">
        <w:rPr>
          <w:rFonts w:cs="Arial" w:hint="cs"/>
          <w:sz w:val="20"/>
          <w:szCs w:val="20"/>
          <w:rtl/>
        </w:rPr>
        <w:t>עושה</w:t>
      </w:r>
      <w:r w:rsidRPr="00631C14">
        <w:rPr>
          <w:rFonts w:cs="Arial"/>
          <w:sz w:val="20"/>
          <w:szCs w:val="20"/>
          <w:rtl/>
        </w:rPr>
        <w:t xml:space="preserve"> </w:t>
      </w:r>
      <w:r w:rsidRPr="00631C14">
        <w:rPr>
          <w:rFonts w:cs="Arial" w:hint="cs"/>
          <w:sz w:val="20"/>
          <w:szCs w:val="20"/>
          <w:rtl/>
        </w:rPr>
        <w:t>צרכיה</w:t>
      </w:r>
      <w:r w:rsidRPr="00631C14">
        <w:rPr>
          <w:rFonts w:cs="Arial"/>
          <w:sz w:val="20"/>
          <w:szCs w:val="20"/>
          <w:rtl/>
        </w:rPr>
        <w:t xml:space="preserve">, </w:t>
      </w:r>
      <w:r w:rsidRPr="00631C14">
        <w:rPr>
          <w:rFonts w:cs="Arial" w:hint="cs"/>
          <w:sz w:val="20"/>
          <w:szCs w:val="20"/>
          <w:rtl/>
        </w:rPr>
        <w:t>וראתה</w:t>
      </w:r>
      <w:r w:rsidRPr="00631C14">
        <w:rPr>
          <w:rFonts w:cs="Arial"/>
          <w:sz w:val="20"/>
          <w:szCs w:val="20"/>
          <w:rtl/>
        </w:rPr>
        <w:t xml:space="preserve"> </w:t>
      </w:r>
      <w:r w:rsidRPr="00631C14">
        <w:rPr>
          <w:rFonts w:cs="Arial" w:hint="cs"/>
          <w:sz w:val="20"/>
          <w:szCs w:val="20"/>
          <w:rtl/>
        </w:rPr>
        <w:t>דם</w:t>
      </w:r>
      <w:r w:rsidRPr="00631C14">
        <w:rPr>
          <w:rFonts w:cs="Arial"/>
          <w:sz w:val="20"/>
          <w:szCs w:val="20"/>
          <w:rtl/>
        </w:rPr>
        <w:t xml:space="preserve">. </w:t>
      </w:r>
      <w:r w:rsidRPr="00631C14">
        <w:rPr>
          <w:rFonts w:cs="Arial" w:hint="cs"/>
          <w:sz w:val="20"/>
          <w:szCs w:val="20"/>
          <w:rtl/>
        </w:rPr>
        <w:t>רבי</w:t>
      </w:r>
      <w:r w:rsidRPr="00631C14">
        <w:rPr>
          <w:rFonts w:cs="Arial"/>
          <w:sz w:val="20"/>
          <w:szCs w:val="20"/>
          <w:rtl/>
        </w:rPr>
        <w:t xml:space="preserve"> </w:t>
      </w:r>
      <w:r w:rsidRPr="00631C14">
        <w:rPr>
          <w:rFonts w:cs="Arial" w:hint="cs"/>
          <w:sz w:val="20"/>
          <w:szCs w:val="20"/>
          <w:rtl/>
        </w:rPr>
        <w:t>מאיר</w:t>
      </w:r>
      <w:r w:rsidRPr="00631C14">
        <w:rPr>
          <w:rFonts w:cs="Arial"/>
          <w:sz w:val="20"/>
          <w:szCs w:val="20"/>
          <w:rtl/>
        </w:rPr>
        <w:t xml:space="preserve"> </w:t>
      </w:r>
      <w:r w:rsidRPr="00631C14">
        <w:rPr>
          <w:rFonts w:cs="Arial" w:hint="cs"/>
          <w:sz w:val="20"/>
          <w:szCs w:val="20"/>
          <w:rtl/>
        </w:rPr>
        <w:t>אומר</w:t>
      </w:r>
      <w:r w:rsidRPr="00631C14">
        <w:rPr>
          <w:rFonts w:cs="Arial"/>
          <w:sz w:val="20"/>
          <w:szCs w:val="20"/>
          <w:rtl/>
        </w:rPr>
        <w:t xml:space="preserve">: </w:t>
      </w:r>
      <w:r w:rsidRPr="00631C14">
        <w:rPr>
          <w:rFonts w:cs="Arial" w:hint="cs"/>
          <w:sz w:val="20"/>
          <w:szCs w:val="20"/>
          <w:rtl/>
        </w:rPr>
        <w:t>אם</w:t>
      </w:r>
      <w:r w:rsidRPr="00631C14">
        <w:rPr>
          <w:rFonts w:cs="Arial"/>
          <w:sz w:val="20"/>
          <w:szCs w:val="20"/>
          <w:rtl/>
        </w:rPr>
        <w:t xml:space="preserve"> </w:t>
      </w:r>
      <w:r w:rsidRPr="00631C14">
        <w:rPr>
          <w:rFonts w:cs="Arial" w:hint="cs"/>
          <w:sz w:val="20"/>
          <w:szCs w:val="20"/>
          <w:rtl/>
        </w:rPr>
        <w:t>עומדת</w:t>
      </w:r>
      <w:r w:rsidRPr="00631C14">
        <w:rPr>
          <w:rFonts w:cs="Arial"/>
          <w:sz w:val="20"/>
          <w:szCs w:val="20"/>
          <w:rtl/>
        </w:rPr>
        <w:t xml:space="preserve"> - </w:t>
      </w:r>
      <w:r w:rsidRPr="00631C14">
        <w:rPr>
          <w:rFonts w:cs="Arial" w:hint="cs"/>
          <w:sz w:val="20"/>
          <w:szCs w:val="20"/>
          <w:rtl/>
        </w:rPr>
        <w:t>טמאה</w:t>
      </w:r>
      <w:r w:rsidRPr="00631C14">
        <w:rPr>
          <w:rFonts w:cs="Arial"/>
          <w:sz w:val="20"/>
          <w:szCs w:val="20"/>
          <w:rtl/>
        </w:rPr>
        <w:t xml:space="preserve">, </w:t>
      </w:r>
      <w:r w:rsidRPr="00631C14">
        <w:rPr>
          <w:rFonts w:cs="Arial" w:hint="cs"/>
          <w:sz w:val="20"/>
          <w:szCs w:val="20"/>
          <w:rtl/>
        </w:rPr>
        <w:t>ואם</w:t>
      </w:r>
      <w:r w:rsidRPr="00631C14">
        <w:rPr>
          <w:rFonts w:cs="Arial"/>
          <w:sz w:val="20"/>
          <w:szCs w:val="20"/>
          <w:rtl/>
        </w:rPr>
        <w:t xml:space="preserve"> </w:t>
      </w:r>
      <w:r w:rsidRPr="00631C14">
        <w:rPr>
          <w:rFonts w:cs="Arial" w:hint="cs"/>
          <w:sz w:val="20"/>
          <w:szCs w:val="20"/>
          <w:rtl/>
        </w:rPr>
        <w:t>יושבת</w:t>
      </w:r>
      <w:r w:rsidRPr="00631C14">
        <w:rPr>
          <w:rFonts w:cs="Arial"/>
          <w:sz w:val="20"/>
          <w:szCs w:val="20"/>
          <w:rtl/>
        </w:rPr>
        <w:t xml:space="preserve"> - </w:t>
      </w:r>
      <w:r w:rsidRPr="00631C14">
        <w:rPr>
          <w:rFonts w:cs="Arial" w:hint="cs"/>
          <w:sz w:val="20"/>
          <w:szCs w:val="20"/>
          <w:rtl/>
        </w:rPr>
        <w:t>טהורה</w:t>
      </w:r>
      <w:r w:rsidRPr="00631C14">
        <w:rPr>
          <w:rFonts w:cs="Arial"/>
          <w:sz w:val="20"/>
          <w:szCs w:val="20"/>
          <w:rtl/>
        </w:rPr>
        <w:t xml:space="preserve">. </w:t>
      </w:r>
      <w:r w:rsidRPr="00631C14">
        <w:rPr>
          <w:rFonts w:cs="Arial" w:hint="cs"/>
          <w:sz w:val="20"/>
          <w:szCs w:val="20"/>
          <w:rtl/>
        </w:rPr>
        <w:t>ר</w:t>
      </w:r>
      <w:r w:rsidRPr="00631C14">
        <w:rPr>
          <w:rFonts w:cs="Arial"/>
          <w:sz w:val="20"/>
          <w:szCs w:val="20"/>
          <w:rtl/>
        </w:rPr>
        <w:t xml:space="preserve">' </w:t>
      </w:r>
      <w:r w:rsidRPr="00631C14">
        <w:rPr>
          <w:rFonts w:cs="Arial" w:hint="cs"/>
          <w:sz w:val="20"/>
          <w:szCs w:val="20"/>
          <w:rtl/>
        </w:rPr>
        <w:t>יוסי</w:t>
      </w:r>
      <w:r w:rsidRPr="00631C14">
        <w:rPr>
          <w:rFonts w:cs="Arial"/>
          <w:sz w:val="20"/>
          <w:szCs w:val="20"/>
          <w:rtl/>
        </w:rPr>
        <w:t xml:space="preserve"> </w:t>
      </w:r>
      <w:r w:rsidRPr="00631C14">
        <w:rPr>
          <w:rFonts w:cs="Arial" w:hint="cs"/>
          <w:sz w:val="20"/>
          <w:szCs w:val="20"/>
          <w:rtl/>
        </w:rPr>
        <w:t>אומר</w:t>
      </w:r>
      <w:r w:rsidRPr="00631C14">
        <w:rPr>
          <w:rFonts w:cs="Arial"/>
          <w:sz w:val="20"/>
          <w:szCs w:val="20"/>
          <w:rtl/>
        </w:rPr>
        <w:t xml:space="preserve">: </w:t>
      </w:r>
      <w:r w:rsidRPr="00631C14">
        <w:rPr>
          <w:rFonts w:cs="Arial" w:hint="cs"/>
          <w:sz w:val="20"/>
          <w:szCs w:val="20"/>
          <w:rtl/>
        </w:rPr>
        <w:t>בין</w:t>
      </w:r>
      <w:r w:rsidRPr="00631C14">
        <w:rPr>
          <w:rFonts w:cs="Arial"/>
          <w:sz w:val="20"/>
          <w:szCs w:val="20"/>
          <w:rtl/>
        </w:rPr>
        <w:t xml:space="preserve"> </w:t>
      </w:r>
      <w:r w:rsidRPr="00631C14">
        <w:rPr>
          <w:rFonts w:cs="Arial" w:hint="cs"/>
          <w:sz w:val="20"/>
          <w:szCs w:val="20"/>
          <w:rtl/>
        </w:rPr>
        <w:t>כך</w:t>
      </w:r>
      <w:r w:rsidRPr="00631C14">
        <w:rPr>
          <w:rFonts w:cs="Arial"/>
          <w:sz w:val="20"/>
          <w:szCs w:val="20"/>
          <w:rtl/>
        </w:rPr>
        <w:t xml:space="preserve"> </w:t>
      </w:r>
      <w:r w:rsidRPr="00631C14">
        <w:rPr>
          <w:rFonts w:cs="Arial" w:hint="cs"/>
          <w:sz w:val="20"/>
          <w:szCs w:val="20"/>
          <w:rtl/>
        </w:rPr>
        <w:t>ובין</w:t>
      </w:r>
      <w:r w:rsidRPr="00631C14">
        <w:rPr>
          <w:rFonts w:cs="Arial"/>
          <w:sz w:val="20"/>
          <w:szCs w:val="20"/>
          <w:rtl/>
        </w:rPr>
        <w:t xml:space="preserve"> </w:t>
      </w:r>
      <w:r w:rsidRPr="00631C14">
        <w:rPr>
          <w:rFonts w:cs="Arial" w:hint="cs"/>
          <w:sz w:val="20"/>
          <w:szCs w:val="20"/>
          <w:rtl/>
        </w:rPr>
        <w:t>כך</w:t>
      </w:r>
      <w:r w:rsidRPr="00631C14">
        <w:rPr>
          <w:rFonts w:cs="Arial"/>
          <w:sz w:val="20"/>
          <w:szCs w:val="20"/>
          <w:rtl/>
        </w:rPr>
        <w:t xml:space="preserve"> </w:t>
      </w:r>
      <w:r>
        <w:rPr>
          <w:rFonts w:cs="Arial"/>
          <w:sz w:val="20"/>
          <w:szCs w:val="20"/>
          <w:rtl/>
        </w:rPr>
        <w:t>–</w:t>
      </w:r>
      <w:r w:rsidRPr="00631C14">
        <w:rPr>
          <w:rFonts w:cs="Arial"/>
          <w:sz w:val="20"/>
          <w:szCs w:val="20"/>
          <w:rtl/>
        </w:rPr>
        <w:t xml:space="preserve"> </w:t>
      </w:r>
      <w:r w:rsidRPr="00631C14">
        <w:rPr>
          <w:rFonts w:cs="Arial" w:hint="cs"/>
          <w:sz w:val="20"/>
          <w:szCs w:val="20"/>
          <w:rtl/>
        </w:rPr>
        <w:t>טהורה</w:t>
      </w:r>
      <w:r>
        <w:rPr>
          <w:rFonts w:cs="Arial" w:hint="cs"/>
          <w:sz w:val="20"/>
          <w:szCs w:val="20"/>
          <w:rtl/>
        </w:rPr>
        <w:t>".</w:t>
      </w:r>
      <w:r>
        <w:rPr>
          <w:rFonts w:cs="Arial"/>
          <w:sz w:val="20"/>
          <w:szCs w:val="20"/>
          <w:rtl/>
        </w:rPr>
        <w:t xml:space="preserve"> </w:t>
      </w:r>
      <w:r>
        <w:rPr>
          <w:rFonts w:cs="Arial"/>
          <w:sz w:val="20"/>
          <w:szCs w:val="20"/>
          <w:rtl/>
        </w:rPr>
        <w:br/>
      </w:r>
      <w:r>
        <w:rPr>
          <w:rFonts w:cs="Arial" w:hint="cs"/>
          <w:b/>
          <w:bCs/>
          <w:sz w:val="20"/>
          <w:szCs w:val="20"/>
          <w:rtl/>
        </w:rPr>
        <w:t xml:space="preserve">גמרא </w:t>
      </w:r>
      <w:r>
        <w:rPr>
          <w:rFonts w:cs="Arial" w:hint="cs"/>
          <w:sz w:val="20"/>
          <w:szCs w:val="20"/>
          <w:rtl/>
        </w:rPr>
        <w:t>(שם) "</w:t>
      </w:r>
      <w:r w:rsidRPr="00631C14">
        <w:rPr>
          <w:rFonts w:cs="Arial" w:hint="cs"/>
          <w:sz w:val="20"/>
          <w:szCs w:val="20"/>
          <w:rtl/>
        </w:rPr>
        <w:t>מאי</w:t>
      </w:r>
      <w:r w:rsidRPr="00631C14">
        <w:rPr>
          <w:rFonts w:cs="Arial"/>
          <w:sz w:val="20"/>
          <w:szCs w:val="20"/>
          <w:rtl/>
        </w:rPr>
        <w:t xml:space="preserve"> </w:t>
      </w:r>
      <w:r w:rsidRPr="00631C14">
        <w:rPr>
          <w:rFonts w:cs="Arial" w:hint="cs"/>
          <w:sz w:val="20"/>
          <w:szCs w:val="20"/>
          <w:rtl/>
        </w:rPr>
        <w:t>שנא</w:t>
      </w:r>
      <w:r w:rsidRPr="00631C14">
        <w:rPr>
          <w:rFonts w:cs="Arial"/>
          <w:sz w:val="20"/>
          <w:szCs w:val="20"/>
          <w:rtl/>
        </w:rPr>
        <w:t xml:space="preserve"> </w:t>
      </w:r>
      <w:r w:rsidRPr="00631C14">
        <w:rPr>
          <w:rFonts w:cs="Arial" w:hint="cs"/>
          <w:sz w:val="20"/>
          <w:szCs w:val="20"/>
          <w:rtl/>
        </w:rPr>
        <w:t>עומדת</w:t>
      </w:r>
      <w:r w:rsidRPr="00631C14">
        <w:rPr>
          <w:rFonts w:cs="Arial"/>
          <w:sz w:val="20"/>
          <w:szCs w:val="20"/>
          <w:rtl/>
        </w:rPr>
        <w:t xml:space="preserve"> - </w:t>
      </w:r>
      <w:r w:rsidRPr="00631C14">
        <w:rPr>
          <w:rFonts w:cs="Arial" w:hint="cs"/>
          <w:sz w:val="20"/>
          <w:szCs w:val="20"/>
          <w:rtl/>
        </w:rPr>
        <w:t>דאמרינן</w:t>
      </w:r>
      <w:r w:rsidRPr="00631C14">
        <w:rPr>
          <w:rFonts w:cs="Arial"/>
          <w:sz w:val="20"/>
          <w:szCs w:val="20"/>
          <w:rtl/>
        </w:rPr>
        <w:t xml:space="preserve"> </w:t>
      </w:r>
      <w:r w:rsidRPr="00631C14">
        <w:rPr>
          <w:rFonts w:cs="Arial" w:hint="cs"/>
          <w:sz w:val="20"/>
          <w:szCs w:val="20"/>
          <w:rtl/>
        </w:rPr>
        <w:t>מי</w:t>
      </w:r>
      <w:r w:rsidRPr="00631C14">
        <w:rPr>
          <w:rFonts w:cs="Arial"/>
          <w:sz w:val="20"/>
          <w:szCs w:val="20"/>
          <w:rtl/>
        </w:rPr>
        <w:t xml:space="preserve"> </w:t>
      </w:r>
      <w:r w:rsidRPr="00631C14">
        <w:rPr>
          <w:rFonts w:cs="Arial" w:hint="cs"/>
          <w:sz w:val="20"/>
          <w:szCs w:val="20"/>
          <w:rtl/>
        </w:rPr>
        <w:t>רגלים</w:t>
      </w:r>
      <w:r w:rsidRPr="00631C14">
        <w:rPr>
          <w:rFonts w:cs="Arial"/>
          <w:sz w:val="20"/>
          <w:szCs w:val="20"/>
          <w:rtl/>
        </w:rPr>
        <w:t xml:space="preserve"> </w:t>
      </w:r>
      <w:r w:rsidRPr="00631C14">
        <w:rPr>
          <w:rFonts w:cs="Arial" w:hint="cs"/>
          <w:sz w:val="20"/>
          <w:szCs w:val="20"/>
          <w:rtl/>
        </w:rPr>
        <w:t>הדור</w:t>
      </w:r>
      <w:r w:rsidRPr="00631C14">
        <w:rPr>
          <w:rFonts w:cs="Arial"/>
          <w:sz w:val="20"/>
          <w:szCs w:val="20"/>
          <w:rtl/>
        </w:rPr>
        <w:t xml:space="preserve"> </w:t>
      </w:r>
      <w:r w:rsidRPr="00631C14">
        <w:rPr>
          <w:rFonts w:cs="Arial" w:hint="cs"/>
          <w:sz w:val="20"/>
          <w:szCs w:val="20"/>
          <w:rtl/>
        </w:rPr>
        <w:t>למקור</w:t>
      </w:r>
      <w:r w:rsidRPr="00631C14">
        <w:rPr>
          <w:rFonts w:cs="Arial"/>
          <w:sz w:val="20"/>
          <w:szCs w:val="20"/>
          <w:rtl/>
        </w:rPr>
        <w:t xml:space="preserve"> </w:t>
      </w:r>
      <w:r w:rsidRPr="00631C14">
        <w:rPr>
          <w:rFonts w:cs="Arial" w:hint="cs"/>
          <w:sz w:val="20"/>
          <w:szCs w:val="20"/>
          <w:rtl/>
        </w:rPr>
        <w:t>ואייתי</w:t>
      </w:r>
      <w:r w:rsidRPr="00631C14">
        <w:rPr>
          <w:rFonts w:cs="Arial"/>
          <w:sz w:val="20"/>
          <w:szCs w:val="20"/>
          <w:rtl/>
        </w:rPr>
        <w:t xml:space="preserve"> </w:t>
      </w:r>
      <w:r w:rsidRPr="00631C14">
        <w:rPr>
          <w:rFonts w:cs="Arial" w:hint="cs"/>
          <w:sz w:val="20"/>
          <w:szCs w:val="20"/>
          <w:rtl/>
        </w:rPr>
        <w:t>דם</w:t>
      </w:r>
      <w:r w:rsidRPr="00631C14">
        <w:rPr>
          <w:rFonts w:cs="Arial"/>
          <w:sz w:val="20"/>
          <w:szCs w:val="20"/>
          <w:rtl/>
        </w:rPr>
        <w:t xml:space="preserve">, </w:t>
      </w:r>
      <w:r w:rsidRPr="00631C14">
        <w:rPr>
          <w:rFonts w:cs="Arial" w:hint="cs"/>
          <w:sz w:val="20"/>
          <w:szCs w:val="20"/>
          <w:rtl/>
        </w:rPr>
        <w:t>יושבת</w:t>
      </w:r>
      <w:r w:rsidRPr="00631C14">
        <w:rPr>
          <w:rFonts w:cs="Arial"/>
          <w:sz w:val="20"/>
          <w:szCs w:val="20"/>
          <w:rtl/>
        </w:rPr>
        <w:t xml:space="preserve"> </w:t>
      </w:r>
      <w:r w:rsidRPr="00631C14">
        <w:rPr>
          <w:rFonts w:cs="Arial" w:hint="cs"/>
          <w:sz w:val="20"/>
          <w:szCs w:val="20"/>
          <w:rtl/>
        </w:rPr>
        <w:t>נמי</w:t>
      </w:r>
      <w:r w:rsidRPr="00631C14">
        <w:rPr>
          <w:rFonts w:cs="Arial"/>
          <w:sz w:val="20"/>
          <w:szCs w:val="20"/>
          <w:rtl/>
        </w:rPr>
        <w:t xml:space="preserve"> </w:t>
      </w:r>
      <w:r w:rsidRPr="00631C14">
        <w:rPr>
          <w:rFonts w:cs="Arial" w:hint="cs"/>
          <w:sz w:val="20"/>
          <w:szCs w:val="20"/>
          <w:rtl/>
        </w:rPr>
        <w:t>נימא</w:t>
      </w:r>
      <w:r w:rsidRPr="00631C14">
        <w:rPr>
          <w:rFonts w:cs="Arial"/>
          <w:sz w:val="20"/>
          <w:szCs w:val="20"/>
          <w:rtl/>
        </w:rPr>
        <w:t xml:space="preserve"> </w:t>
      </w:r>
      <w:r w:rsidRPr="00631C14">
        <w:rPr>
          <w:rFonts w:cs="Arial" w:hint="cs"/>
          <w:sz w:val="20"/>
          <w:szCs w:val="20"/>
          <w:rtl/>
        </w:rPr>
        <w:t>מי</w:t>
      </w:r>
      <w:r w:rsidRPr="00631C14">
        <w:rPr>
          <w:rFonts w:cs="Arial"/>
          <w:sz w:val="20"/>
          <w:szCs w:val="20"/>
          <w:rtl/>
        </w:rPr>
        <w:t xml:space="preserve"> </w:t>
      </w:r>
      <w:r w:rsidRPr="00631C14">
        <w:rPr>
          <w:rFonts w:cs="Arial" w:hint="cs"/>
          <w:sz w:val="20"/>
          <w:szCs w:val="20"/>
          <w:rtl/>
        </w:rPr>
        <w:t>רגלים</w:t>
      </w:r>
      <w:r w:rsidRPr="00631C14">
        <w:rPr>
          <w:rFonts w:cs="Arial"/>
          <w:sz w:val="20"/>
          <w:szCs w:val="20"/>
          <w:rtl/>
        </w:rPr>
        <w:t xml:space="preserve"> </w:t>
      </w:r>
      <w:r w:rsidRPr="00631C14">
        <w:rPr>
          <w:rFonts w:cs="Arial" w:hint="cs"/>
          <w:sz w:val="20"/>
          <w:szCs w:val="20"/>
          <w:rtl/>
        </w:rPr>
        <w:t>הדור</w:t>
      </w:r>
      <w:r w:rsidRPr="00631C14">
        <w:rPr>
          <w:rFonts w:cs="Arial"/>
          <w:sz w:val="20"/>
          <w:szCs w:val="20"/>
          <w:rtl/>
        </w:rPr>
        <w:t xml:space="preserve"> </w:t>
      </w:r>
      <w:r w:rsidRPr="00631C14">
        <w:rPr>
          <w:rFonts w:cs="Arial" w:hint="cs"/>
          <w:sz w:val="20"/>
          <w:szCs w:val="20"/>
          <w:rtl/>
        </w:rPr>
        <w:t>למקור</w:t>
      </w:r>
      <w:r w:rsidRPr="00631C14">
        <w:rPr>
          <w:rFonts w:cs="Arial"/>
          <w:sz w:val="20"/>
          <w:szCs w:val="20"/>
          <w:rtl/>
        </w:rPr>
        <w:t xml:space="preserve"> </w:t>
      </w:r>
      <w:r w:rsidRPr="00631C14">
        <w:rPr>
          <w:rFonts w:cs="Arial" w:hint="cs"/>
          <w:sz w:val="20"/>
          <w:szCs w:val="20"/>
          <w:rtl/>
        </w:rPr>
        <w:t>ואייתי</w:t>
      </w:r>
      <w:r w:rsidRPr="00631C14">
        <w:rPr>
          <w:rFonts w:cs="Arial"/>
          <w:sz w:val="20"/>
          <w:szCs w:val="20"/>
          <w:rtl/>
        </w:rPr>
        <w:t xml:space="preserve"> </w:t>
      </w:r>
      <w:r w:rsidRPr="00631C14">
        <w:rPr>
          <w:rFonts w:cs="Arial" w:hint="cs"/>
          <w:sz w:val="20"/>
          <w:szCs w:val="20"/>
          <w:rtl/>
        </w:rPr>
        <w:t>דם</w:t>
      </w:r>
      <w:r w:rsidRPr="00631C14">
        <w:rPr>
          <w:rFonts w:cs="Arial"/>
          <w:sz w:val="20"/>
          <w:szCs w:val="20"/>
          <w:rtl/>
        </w:rPr>
        <w:t xml:space="preserve">! </w:t>
      </w:r>
      <w:r w:rsidRPr="00631C14">
        <w:rPr>
          <w:rFonts w:cs="Arial" w:hint="cs"/>
          <w:sz w:val="20"/>
          <w:szCs w:val="20"/>
          <w:rtl/>
        </w:rPr>
        <w:t>אמר</w:t>
      </w:r>
      <w:r w:rsidRPr="00631C14">
        <w:rPr>
          <w:rFonts w:cs="Arial"/>
          <w:sz w:val="20"/>
          <w:szCs w:val="20"/>
          <w:rtl/>
        </w:rPr>
        <w:t xml:space="preserve"> </w:t>
      </w:r>
      <w:r w:rsidRPr="00631C14">
        <w:rPr>
          <w:rFonts w:cs="Arial" w:hint="cs"/>
          <w:sz w:val="20"/>
          <w:szCs w:val="20"/>
          <w:rtl/>
        </w:rPr>
        <w:t>שמואל</w:t>
      </w:r>
      <w:r w:rsidRPr="00631C14">
        <w:rPr>
          <w:rFonts w:cs="Arial"/>
          <w:sz w:val="20"/>
          <w:szCs w:val="20"/>
          <w:rtl/>
        </w:rPr>
        <w:t xml:space="preserve">: </w:t>
      </w:r>
      <w:r w:rsidRPr="00631C14">
        <w:rPr>
          <w:rFonts w:cs="Arial" w:hint="cs"/>
          <w:sz w:val="20"/>
          <w:szCs w:val="20"/>
          <w:rtl/>
        </w:rPr>
        <w:t>במזנקת</w:t>
      </w:r>
      <w:r w:rsidRPr="00631C14">
        <w:rPr>
          <w:rFonts w:cs="Arial"/>
          <w:sz w:val="20"/>
          <w:szCs w:val="20"/>
          <w:rtl/>
        </w:rPr>
        <w:t xml:space="preserve">, </w:t>
      </w:r>
      <w:r w:rsidRPr="00631C14">
        <w:rPr>
          <w:rFonts w:cs="Arial" w:hint="cs"/>
          <w:sz w:val="20"/>
          <w:szCs w:val="20"/>
          <w:rtl/>
        </w:rPr>
        <w:t>מזנקת</w:t>
      </w:r>
      <w:r w:rsidRPr="00631C14">
        <w:rPr>
          <w:rFonts w:cs="Arial"/>
          <w:sz w:val="20"/>
          <w:szCs w:val="20"/>
          <w:rtl/>
        </w:rPr>
        <w:t xml:space="preserve"> </w:t>
      </w:r>
      <w:r w:rsidRPr="00631C14">
        <w:rPr>
          <w:rFonts w:cs="Arial" w:hint="cs"/>
          <w:sz w:val="20"/>
          <w:szCs w:val="20"/>
          <w:rtl/>
        </w:rPr>
        <w:t>נמי</w:t>
      </w:r>
      <w:r w:rsidRPr="00631C14">
        <w:rPr>
          <w:rFonts w:cs="Arial"/>
          <w:sz w:val="20"/>
          <w:szCs w:val="20"/>
          <w:rtl/>
        </w:rPr>
        <w:t xml:space="preserve">, </w:t>
      </w:r>
      <w:r w:rsidRPr="00631C14">
        <w:rPr>
          <w:rFonts w:cs="Arial" w:hint="cs"/>
          <w:sz w:val="20"/>
          <w:szCs w:val="20"/>
          <w:rtl/>
        </w:rPr>
        <w:t>דלמא</w:t>
      </w:r>
      <w:r w:rsidRPr="00631C14">
        <w:rPr>
          <w:rFonts w:cs="Arial"/>
          <w:sz w:val="20"/>
          <w:szCs w:val="20"/>
          <w:rtl/>
        </w:rPr>
        <w:t xml:space="preserve"> </w:t>
      </w:r>
      <w:r w:rsidRPr="00631C14">
        <w:rPr>
          <w:rFonts w:cs="Arial" w:hint="cs"/>
          <w:sz w:val="20"/>
          <w:szCs w:val="20"/>
          <w:rtl/>
        </w:rPr>
        <w:t>בתר</w:t>
      </w:r>
      <w:r w:rsidRPr="00631C14">
        <w:rPr>
          <w:rFonts w:cs="Arial"/>
          <w:sz w:val="20"/>
          <w:szCs w:val="20"/>
          <w:rtl/>
        </w:rPr>
        <w:t xml:space="preserve"> </w:t>
      </w:r>
      <w:r w:rsidRPr="00631C14">
        <w:rPr>
          <w:rFonts w:cs="Arial" w:hint="cs"/>
          <w:sz w:val="20"/>
          <w:szCs w:val="20"/>
          <w:rtl/>
        </w:rPr>
        <w:t>דתמו</w:t>
      </w:r>
      <w:r w:rsidRPr="00631C14">
        <w:rPr>
          <w:rFonts w:cs="Arial"/>
          <w:sz w:val="20"/>
          <w:szCs w:val="20"/>
          <w:rtl/>
        </w:rPr>
        <w:t xml:space="preserve"> </w:t>
      </w:r>
      <w:r w:rsidRPr="00631C14">
        <w:rPr>
          <w:rFonts w:cs="Arial" w:hint="cs"/>
          <w:sz w:val="20"/>
          <w:szCs w:val="20"/>
          <w:rtl/>
        </w:rPr>
        <w:t>מיא</w:t>
      </w:r>
      <w:r w:rsidRPr="00631C14">
        <w:rPr>
          <w:rFonts w:cs="Arial"/>
          <w:sz w:val="20"/>
          <w:szCs w:val="20"/>
          <w:rtl/>
        </w:rPr>
        <w:t xml:space="preserve"> </w:t>
      </w:r>
      <w:r w:rsidRPr="00631C14">
        <w:rPr>
          <w:rFonts w:cs="Arial" w:hint="cs"/>
          <w:sz w:val="20"/>
          <w:szCs w:val="20"/>
          <w:rtl/>
        </w:rPr>
        <w:t>אתא</w:t>
      </w:r>
      <w:r w:rsidRPr="00631C14">
        <w:rPr>
          <w:rFonts w:cs="Arial"/>
          <w:sz w:val="20"/>
          <w:szCs w:val="20"/>
          <w:rtl/>
        </w:rPr>
        <w:t xml:space="preserve"> </w:t>
      </w:r>
      <w:r w:rsidRPr="00631C14">
        <w:rPr>
          <w:rFonts w:cs="Arial" w:hint="cs"/>
          <w:sz w:val="20"/>
          <w:szCs w:val="20"/>
          <w:rtl/>
        </w:rPr>
        <w:t>דם</w:t>
      </w:r>
      <w:r w:rsidRPr="00631C14">
        <w:rPr>
          <w:rFonts w:cs="Arial"/>
          <w:sz w:val="20"/>
          <w:szCs w:val="20"/>
          <w:rtl/>
        </w:rPr>
        <w:t xml:space="preserve">? </w:t>
      </w:r>
      <w:r w:rsidRPr="00631C14">
        <w:rPr>
          <w:rFonts w:cs="Arial" w:hint="cs"/>
          <w:sz w:val="20"/>
          <w:szCs w:val="20"/>
          <w:rtl/>
        </w:rPr>
        <w:t>אמר</w:t>
      </w:r>
      <w:r w:rsidRPr="00631C14">
        <w:rPr>
          <w:rFonts w:cs="Arial"/>
          <w:sz w:val="20"/>
          <w:szCs w:val="20"/>
          <w:rtl/>
        </w:rPr>
        <w:t xml:space="preserve"> </w:t>
      </w:r>
      <w:r w:rsidRPr="00631C14">
        <w:rPr>
          <w:rFonts w:cs="Arial" w:hint="cs"/>
          <w:sz w:val="20"/>
          <w:szCs w:val="20"/>
          <w:rtl/>
        </w:rPr>
        <w:t>ר</w:t>
      </w:r>
      <w:r>
        <w:rPr>
          <w:rFonts w:cs="Arial" w:hint="cs"/>
          <w:sz w:val="20"/>
          <w:szCs w:val="20"/>
          <w:rtl/>
        </w:rPr>
        <w:t>בי</w:t>
      </w:r>
      <w:r w:rsidRPr="00631C14">
        <w:rPr>
          <w:rFonts w:cs="Arial"/>
          <w:sz w:val="20"/>
          <w:szCs w:val="20"/>
          <w:rtl/>
        </w:rPr>
        <w:t xml:space="preserve"> </w:t>
      </w:r>
      <w:r w:rsidRPr="00631C14">
        <w:rPr>
          <w:rFonts w:cs="Arial" w:hint="cs"/>
          <w:sz w:val="20"/>
          <w:szCs w:val="20"/>
          <w:rtl/>
        </w:rPr>
        <w:t>אבא</w:t>
      </w:r>
      <w:r w:rsidRPr="00631C14">
        <w:rPr>
          <w:rFonts w:cs="Arial"/>
          <w:sz w:val="20"/>
          <w:szCs w:val="20"/>
          <w:rtl/>
        </w:rPr>
        <w:t xml:space="preserve">: </w:t>
      </w:r>
      <w:r w:rsidRPr="00631C14">
        <w:rPr>
          <w:rFonts w:cs="Arial" w:hint="cs"/>
          <w:sz w:val="20"/>
          <w:szCs w:val="20"/>
          <w:rtl/>
        </w:rPr>
        <w:t>ביושבת</w:t>
      </w:r>
      <w:r w:rsidRPr="00631C14">
        <w:rPr>
          <w:rFonts w:cs="Arial"/>
          <w:sz w:val="20"/>
          <w:szCs w:val="20"/>
          <w:rtl/>
        </w:rPr>
        <w:t xml:space="preserve"> </w:t>
      </w:r>
      <w:r w:rsidRPr="00631C14">
        <w:rPr>
          <w:rFonts w:cs="Arial" w:hint="cs"/>
          <w:sz w:val="20"/>
          <w:szCs w:val="20"/>
          <w:rtl/>
        </w:rPr>
        <w:t>על</w:t>
      </w:r>
      <w:r w:rsidRPr="00631C14">
        <w:rPr>
          <w:rFonts w:cs="Arial"/>
          <w:sz w:val="20"/>
          <w:szCs w:val="20"/>
          <w:rtl/>
        </w:rPr>
        <w:t xml:space="preserve"> </w:t>
      </w:r>
      <w:r w:rsidRPr="00631C14">
        <w:rPr>
          <w:rFonts w:cs="Arial" w:hint="cs"/>
          <w:sz w:val="20"/>
          <w:szCs w:val="20"/>
          <w:rtl/>
        </w:rPr>
        <w:t>שפת</w:t>
      </w:r>
      <w:r w:rsidRPr="00631C14">
        <w:rPr>
          <w:rFonts w:cs="Arial"/>
          <w:sz w:val="20"/>
          <w:szCs w:val="20"/>
          <w:rtl/>
        </w:rPr>
        <w:t xml:space="preserve"> </w:t>
      </w:r>
      <w:r w:rsidRPr="00631C14">
        <w:rPr>
          <w:rFonts w:cs="Arial" w:hint="cs"/>
          <w:sz w:val="20"/>
          <w:szCs w:val="20"/>
          <w:rtl/>
        </w:rPr>
        <w:t>הספל</w:t>
      </w:r>
      <w:r w:rsidRPr="00631C14">
        <w:rPr>
          <w:rFonts w:cs="Arial"/>
          <w:sz w:val="20"/>
          <w:szCs w:val="20"/>
          <w:rtl/>
        </w:rPr>
        <w:t xml:space="preserve">, </w:t>
      </w:r>
      <w:r w:rsidRPr="00631C14">
        <w:rPr>
          <w:rFonts w:cs="Arial" w:hint="cs"/>
          <w:sz w:val="20"/>
          <w:szCs w:val="20"/>
          <w:rtl/>
        </w:rPr>
        <w:t>ומזנקת</w:t>
      </w:r>
      <w:r w:rsidRPr="00631C14">
        <w:rPr>
          <w:rFonts w:cs="Arial"/>
          <w:sz w:val="20"/>
          <w:szCs w:val="20"/>
          <w:rtl/>
        </w:rPr>
        <w:t xml:space="preserve"> </w:t>
      </w:r>
      <w:r w:rsidRPr="00631C14">
        <w:rPr>
          <w:rFonts w:cs="Arial" w:hint="cs"/>
          <w:sz w:val="20"/>
          <w:szCs w:val="20"/>
          <w:rtl/>
        </w:rPr>
        <w:t>בתוך</w:t>
      </w:r>
      <w:r w:rsidRPr="00631C14">
        <w:rPr>
          <w:rFonts w:cs="Arial"/>
          <w:sz w:val="20"/>
          <w:szCs w:val="20"/>
          <w:rtl/>
        </w:rPr>
        <w:t xml:space="preserve"> </w:t>
      </w:r>
      <w:r w:rsidRPr="00631C14">
        <w:rPr>
          <w:rFonts w:cs="Arial" w:hint="cs"/>
          <w:sz w:val="20"/>
          <w:szCs w:val="20"/>
          <w:rtl/>
        </w:rPr>
        <w:t>הספל</w:t>
      </w:r>
      <w:r w:rsidRPr="00631C14">
        <w:rPr>
          <w:rFonts w:cs="Arial"/>
          <w:sz w:val="20"/>
          <w:szCs w:val="20"/>
          <w:rtl/>
        </w:rPr>
        <w:t xml:space="preserve">, </w:t>
      </w:r>
      <w:r w:rsidRPr="00631C14">
        <w:rPr>
          <w:rFonts w:cs="Arial" w:hint="cs"/>
          <w:sz w:val="20"/>
          <w:szCs w:val="20"/>
          <w:rtl/>
        </w:rPr>
        <w:t>ונמצא</w:t>
      </w:r>
      <w:r w:rsidRPr="00631C14">
        <w:rPr>
          <w:rFonts w:cs="Arial"/>
          <w:sz w:val="20"/>
          <w:szCs w:val="20"/>
          <w:rtl/>
        </w:rPr>
        <w:t xml:space="preserve"> </w:t>
      </w:r>
      <w:r w:rsidRPr="00631C14">
        <w:rPr>
          <w:rFonts w:cs="Arial" w:hint="cs"/>
          <w:sz w:val="20"/>
          <w:szCs w:val="20"/>
          <w:rtl/>
        </w:rPr>
        <w:t>דם</w:t>
      </w:r>
      <w:r w:rsidRPr="00631C14">
        <w:rPr>
          <w:rFonts w:cs="Arial"/>
          <w:sz w:val="20"/>
          <w:szCs w:val="20"/>
          <w:rtl/>
        </w:rPr>
        <w:t xml:space="preserve"> </w:t>
      </w:r>
      <w:r w:rsidRPr="00631C14">
        <w:rPr>
          <w:rFonts w:cs="Arial" w:hint="cs"/>
          <w:sz w:val="20"/>
          <w:szCs w:val="20"/>
          <w:rtl/>
        </w:rPr>
        <w:t>בתוך</w:t>
      </w:r>
      <w:r w:rsidRPr="00631C14">
        <w:rPr>
          <w:rFonts w:cs="Arial"/>
          <w:sz w:val="20"/>
          <w:szCs w:val="20"/>
          <w:rtl/>
        </w:rPr>
        <w:t xml:space="preserve"> </w:t>
      </w:r>
      <w:r w:rsidRPr="00631C14">
        <w:rPr>
          <w:rFonts w:cs="Arial" w:hint="cs"/>
          <w:sz w:val="20"/>
          <w:szCs w:val="20"/>
          <w:rtl/>
        </w:rPr>
        <w:t>הספל</w:t>
      </w:r>
      <w:r w:rsidRPr="00631C14">
        <w:rPr>
          <w:rFonts w:cs="Arial"/>
          <w:sz w:val="20"/>
          <w:szCs w:val="20"/>
          <w:rtl/>
        </w:rPr>
        <w:t xml:space="preserve">. </w:t>
      </w:r>
      <w:r w:rsidRPr="00631C14">
        <w:rPr>
          <w:rFonts w:cs="Arial" w:hint="cs"/>
          <w:sz w:val="20"/>
          <w:szCs w:val="20"/>
          <w:rtl/>
        </w:rPr>
        <w:t>דאם</w:t>
      </w:r>
      <w:r w:rsidRPr="00631C14">
        <w:rPr>
          <w:rFonts w:cs="Arial"/>
          <w:sz w:val="20"/>
          <w:szCs w:val="20"/>
          <w:rtl/>
        </w:rPr>
        <w:t xml:space="preserve"> </w:t>
      </w:r>
      <w:r w:rsidRPr="00631C14">
        <w:rPr>
          <w:rFonts w:cs="Arial" w:hint="cs"/>
          <w:sz w:val="20"/>
          <w:szCs w:val="20"/>
          <w:rtl/>
        </w:rPr>
        <w:t>איתא</w:t>
      </w:r>
      <w:r w:rsidRPr="00631C14">
        <w:rPr>
          <w:rFonts w:cs="Arial"/>
          <w:sz w:val="20"/>
          <w:szCs w:val="20"/>
          <w:rtl/>
        </w:rPr>
        <w:t xml:space="preserve"> </w:t>
      </w:r>
      <w:r w:rsidRPr="00631C14">
        <w:rPr>
          <w:rFonts w:cs="Arial" w:hint="cs"/>
          <w:sz w:val="20"/>
          <w:szCs w:val="20"/>
          <w:rtl/>
        </w:rPr>
        <w:t>דבתר</w:t>
      </w:r>
      <w:r w:rsidRPr="00631C14">
        <w:rPr>
          <w:rFonts w:cs="Arial"/>
          <w:sz w:val="20"/>
          <w:szCs w:val="20"/>
          <w:rtl/>
        </w:rPr>
        <w:t xml:space="preserve"> </w:t>
      </w:r>
      <w:r w:rsidRPr="00631C14">
        <w:rPr>
          <w:rFonts w:cs="Arial" w:hint="cs"/>
          <w:sz w:val="20"/>
          <w:szCs w:val="20"/>
          <w:rtl/>
        </w:rPr>
        <w:t>דתמו</w:t>
      </w:r>
      <w:r w:rsidRPr="00631C14">
        <w:rPr>
          <w:rFonts w:cs="Arial"/>
          <w:sz w:val="20"/>
          <w:szCs w:val="20"/>
          <w:rtl/>
        </w:rPr>
        <w:t xml:space="preserve"> </w:t>
      </w:r>
      <w:r w:rsidRPr="00631C14">
        <w:rPr>
          <w:rFonts w:cs="Arial" w:hint="cs"/>
          <w:sz w:val="20"/>
          <w:szCs w:val="20"/>
          <w:rtl/>
        </w:rPr>
        <w:t>מיא</w:t>
      </w:r>
      <w:r w:rsidRPr="00631C14">
        <w:rPr>
          <w:rFonts w:cs="Arial"/>
          <w:sz w:val="20"/>
          <w:szCs w:val="20"/>
          <w:rtl/>
        </w:rPr>
        <w:t xml:space="preserve"> </w:t>
      </w:r>
      <w:r w:rsidRPr="00631C14">
        <w:rPr>
          <w:rFonts w:cs="Arial" w:hint="cs"/>
          <w:sz w:val="20"/>
          <w:szCs w:val="20"/>
          <w:rtl/>
        </w:rPr>
        <w:t>אתא</w:t>
      </w:r>
      <w:r w:rsidRPr="00631C14">
        <w:rPr>
          <w:rFonts w:cs="Arial"/>
          <w:sz w:val="20"/>
          <w:szCs w:val="20"/>
          <w:rtl/>
        </w:rPr>
        <w:t xml:space="preserve"> - </w:t>
      </w:r>
      <w:r w:rsidRPr="00631C14">
        <w:rPr>
          <w:rFonts w:cs="Arial" w:hint="cs"/>
          <w:sz w:val="20"/>
          <w:szCs w:val="20"/>
          <w:rtl/>
        </w:rPr>
        <w:t>על</w:t>
      </w:r>
      <w:r w:rsidRPr="00631C14">
        <w:rPr>
          <w:rFonts w:cs="Arial"/>
          <w:sz w:val="20"/>
          <w:szCs w:val="20"/>
          <w:rtl/>
        </w:rPr>
        <w:t xml:space="preserve"> </w:t>
      </w:r>
      <w:r w:rsidRPr="00631C14">
        <w:rPr>
          <w:rFonts w:cs="Arial" w:hint="cs"/>
          <w:sz w:val="20"/>
          <w:szCs w:val="20"/>
          <w:rtl/>
        </w:rPr>
        <w:t>שפת</w:t>
      </w:r>
      <w:r w:rsidRPr="00631C14">
        <w:rPr>
          <w:rFonts w:cs="Arial"/>
          <w:sz w:val="20"/>
          <w:szCs w:val="20"/>
          <w:rtl/>
        </w:rPr>
        <w:t xml:space="preserve"> </w:t>
      </w:r>
      <w:r w:rsidRPr="00631C14">
        <w:rPr>
          <w:rFonts w:cs="Arial" w:hint="cs"/>
          <w:sz w:val="20"/>
          <w:szCs w:val="20"/>
          <w:rtl/>
        </w:rPr>
        <w:t>הספל</w:t>
      </w:r>
      <w:r w:rsidRPr="00631C14">
        <w:rPr>
          <w:rFonts w:cs="Arial"/>
          <w:sz w:val="20"/>
          <w:szCs w:val="20"/>
          <w:rtl/>
        </w:rPr>
        <w:t xml:space="preserve"> </w:t>
      </w:r>
      <w:r w:rsidRPr="00631C14">
        <w:rPr>
          <w:rFonts w:cs="Arial" w:hint="cs"/>
          <w:sz w:val="20"/>
          <w:szCs w:val="20"/>
          <w:rtl/>
        </w:rPr>
        <w:t>איבעי</w:t>
      </w:r>
      <w:r w:rsidRPr="00631C14">
        <w:rPr>
          <w:rFonts w:cs="Arial"/>
          <w:sz w:val="20"/>
          <w:szCs w:val="20"/>
          <w:rtl/>
        </w:rPr>
        <w:t xml:space="preserve"> </w:t>
      </w:r>
      <w:r w:rsidRPr="00631C14">
        <w:rPr>
          <w:rFonts w:cs="Arial" w:hint="cs"/>
          <w:sz w:val="20"/>
          <w:szCs w:val="20"/>
          <w:rtl/>
        </w:rPr>
        <w:t>ליה</w:t>
      </w:r>
      <w:r w:rsidRPr="00631C14">
        <w:rPr>
          <w:rFonts w:cs="Arial"/>
          <w:sz w:val="20"/>
          <w:szCs w:val="20"/>
          <w:rtl/>
        </w:rPr>
        <w:t xml:space="preserve"> </w:t>
      </w:r>
      <w:r w:rsidRPr="00631C14">
        <w:rPr>
          <w:rFonts w:cs="Arial" w:hint="cs"/>
          <w:sz w:val="20"/>
          <w:szCs w:val="20"/>
          <w:rtl/>
        </w:rPr>
        <w:t>לאשתכוחי</w:t>
      </w:r>
      <w:r w:rsidRPr="00631C14">
        <w:rPr>
          <w:rFonts w:cs="Arial"/>
          <w:sz w:val="20"/>
          <w:szCs w:val="20"/>
          <w:rtl/>
        </w:rPr>
        <w:t xml:space="preserve">. </w:t>
      </w:r>
      <w:r w:rsidRPr="00631C14">
        <w:rPr>
          <w:rFonts w:cs="Arial" w:hint="cs"/>
          <w:sz w:val="20"/>
          <w:szCs w:val="20"/>
          <w:rtl/>
        </w:rPr>
        <w:t>אמר</w:t>
      </w:r>
      <w:r w:rsidRPr="00631C14">
        <w:rPr>
          <w:rFonts w:cs="Arial"/>
          <w:sz w:val="20"/>
          <w:szCs w:val="20"/>
          <w:rtl/>
        </w:rPr>
        <w:t xml:space="preserve"> </w:t>
      </w:r>
      <w:r w:rsidRPr="00631C14">
        <w:rPr>
          <w:rFonts w:cs="Arial" w:hint="cs"/>
          <w:sz w:val="20"/>
          <w:szCs w:val="20"/>
          <w:rtl/>
        </w:rPr>
        <w:t>שמואל</w:t>
      </w:r>
      <w:r w:rsidRPr="00631C14">
        <w:rPr>
          <w:rFonts w:cs="Arial"/>
          <w:sz w:val="20"/>
          <w:szCs w:val="20"/>
          <w:rtl/>
        </w:rPr>
        <w:t xml:space="preserve">, </w:t>
      </w:r>
      <w:r w:rsidRPr="00631C14">
        <w:rPr>
          <w:rFonts w:cs="Arial" w:hint="cs"/>
          <w:sz w:val="20"/>
          <w:szCs w:val="20"/>
          <w:rtl/>
        </w:rPr>
        <w:t>ואמרי</w:t>
      </w:r>
      <w:r w:rsidRPr="00631C14">
        <w:rPr>
          <w:rFonts w:cs="Arial"/>
          <w:sz w:val="20"/>
          <w:szCs w:val="20"/>
          <w:rtl/>
        </w:rPr>
        <w:t xml:space="preserve"> </w:t>
      </w:r>
      <w:r w:rsidRPr="00631C14">
        <w:rPr>
          <w:rFonts w:cs="Arial" w:hint="cs"/>
          <w:sz w:val="20"/>
          <w:szCs w:val="20"/>
          <w:rtl/>
        </w:rPr>
        <w:t>לה</w:t>
      </w:r>
      <w:r w:rsidRPr="00631C14">
        <w:rPr>
          <w:rFonts w:cs="Arial"/>
          <w:sz w:val="20"/>
          <w:szCs w:val="20"/>
          <w:rtl/>
        </w:rPr>
        <w:t xml:space="preserve"> </w:t>
      </w:r>
      <w:r w:rsidRPr="00631C14">
        <w:rPr>
          <w:rFonts w:cs="Arial" w:hint="cs"/>
          <w:sz w:val="20"/>
          <w:szCs w:val="20"/>
          <w:rtl/>
        </w:rPr>
        <w:t>אמר</w:t>
      </w:r>
      <w:r w:rsidRPr="00631C14">
        <w:rPr>
          <w:rFonts w:cs="Arial"/>
          <w:sz w:val="20"/>
          <w:szCs w:val="20"/>
          <w:rtl/>
        </w:rPr>
        <w:t xml:space="preserve"> </w:t>
      </w:r>
      <w:r w:rsidRPr="00631C14">
        <w:rPr>
          <w:rFonts w:cs="Arial" w:hint="cs"/>
          <w:sz w:val="20"/>
          <w:szCs w:val="20"/>
          <w:rtl/>
        </w:rPr>
        <w:t>רב</w:t>
      </w:r>
      <w:r w:rsidRPr="00631C14">
        <w:rPr>
          <w:rFonts w:cs="Arial"/>
          <w:sz w:val="20"/>
          <w:szCs w:val="20"/>
          <w:rtl/>
        </w:rPr>
        <w:t xml:space="preserve"> </w:t>
      </w:r>
      <w:r w:rsidRPr="00631C14">
        <w:rPr>
          <w:rFonts w:cs="Arial" w:hint="cs"/>
          <w:sz w:val="20"/>
          <w:szCs w:val="20"/>
          <w:rtl/>
        </w:rPr>
        <w:t>יהודה</w:t>
      </w:r>
      <w:r w:rsidRPr="00631C14">
        <w:rPr>
          <w:rFonts w:cs="Arial"/>
          <w:sz w:val="20"/>
          <w:szCs w:val="20"/>
          <w:rtl/>
        </w:rPr>
        <w:t xml:space="preserve"> </w:t>
      </w:r>
      <w:r w:rsidRPr="00631C14">
        <w:rPr>
          <w:rFonts w:cs="Arial" w:hint="cs"/>
          <w:sz w:val="20"/>
          <w:szCs w:val="20"/>
          <w:rtl/>
        </w:rPr>
        <w:t>אמר</w:t>
      </w:r>
      <w:r w:rsidRPr="00631C14">
        <w:rPr>
          <w:rFonts w:cs="Arial"/>
          <w:sz w:val="20"/>
          <w:szCs w:val="20"/>
          <w:rtl/>
        </w:rPr>
        <w:t xml:space="preserve"> </w:t>
      </w:r>
      <w:r w:rsidRPr="00631C14">
        <w:rPr>
          <w:rFonts w:cs="Arial" w:hint="cs"/>
          <w:sz w:val="20"/>
          <w:szCs w:val="20"/>
          <w:rtl/>
        </w:rPr>
        <w:t>שמואל</w:t>
      </w:r>
      <w:r w:rsidRPr="00631C14">
        <w:rPr>
          <w:rFonts w:cs="Arial"/>
          <w:sz w:val="20"/>
          <w:szCs w:val="20"/>
          <w:rtl/>
        </w:rPr>
        <w:t xml:space="preserve">: </w:t>
      </w:r>
      <w:r w:rsidRPr="00631C14">
        <w:rPr>
          <w:rFonts w:cs="Arial" w:hint="cs"/>
          <w:sz w:val="20"/>
          <w:szCs w:val="20"/>
          <w:rtl/>
        </w:rPr>
        <w:t>הלכה</w:t>
      </w:r>
      <w:r w:rsidRPr="00631C14">
        <w:rPr>
          <w:rFonts w:cs="Arial"/>
          <w:sz w:val="20"/>
          <w:szCs w:val="20"/>
          <w:rtl/>
        </w:rPr>
        <w:t xml:space="preserve"> </w:t>
      </w:r>
      <w:r w:rsidRPr="00631C14">
        <w:rPr>
          <w:rFonts w:cs="Arial" w:hint="cs"/>
          <w:sz w:val="20"/>
          <w:szCs w:val="20"/>
          <w:rtl/>
        </w:rPr>
        <w:t>כר</w:t>
      </w:r>
      <w:r>
        <w:rPr>
          <w:rFonts w:cs="Arial" w:hint="cs"/>
          <w:sz w:val="20"/>
          <w:szCs w:val="20"/>
          <w:rtl/>
        </w:rPr>
        <w:t>בי</w:t>
      </w:r>
      <w:r w:rsidRPr="00631C14">
        <w:rPr>
          <w:rFonts w:cs="Arial"/>
          <w:sz w:val="20"/>
          <w:szCs w:val="20"/>
          <w:rtl/>
        </w:rPr>
        <w:t xml:space="preserve"> </w:t>
      </w:r>
      <w:r w:rsidRPr="00631C14">
        <w:rPr>
          <w:rFonts w:cs="Arial" w:hint="cs"/>
          <w:sz w:val="20"/>
          <w:szCs w:val="20"/>
          <w:rtl/>
        </w:rPr>
        <w:t>יוסי</w:t>
      </w:r>
      <w:r w:rsidRPr="00631C14">
        <w:rPr>
          <w:rFonts w:cs="Arial"/>
          <w:sz w:val="20"/>
          <w:szCs w:val="20"/>
          <w:rtl/>
        </w:rPr>
        <w:t xml:space="preserve">. </w:t>
      </w:r>
      <w:r w:rsidRPr="00631C14">
        <w:rPr>
          <w:rFonts w:cs="Arial" w:hint="cs"/>
          <w:sz w:val="20"/>
          <w:szCs w:val="20"/>
          <w:rtl/>
        </w:rPr>
        <w:t>וכן</w:t>
      </w:r>
      <w:r w:rsidRPr="00631C14">
        <w:rPr>
          <w:rFonts w:cs="Arial"/>
          <w:sz w:val="20"/>
          <w:szCs w:val="20"/>
          <w:rtl/>
        </w:rPr>
        <w:t xml:space="preserve"> </w:t>
      </w:r>
      <w:r w:rsidRPr="00631C14">
        <w:rPr>
          <w:rFonts w:cs="Arial" w:hint="cs"/>
          <w:sz w:val="20"/>
          <w:szCs w:val="20"/>
          <w:rtl/>
        </w:rPr>
        <w:t>אורי</w:t>
      </w:r>
      <w:r w:rsidRPr="00631C14">
        <w:rPr>
          <w:rFonts w:cs="Arial"/>
          <w:sz w:val="20"/>
          <w:szCs w:val="20"/>
          <w:rtl/>
        </w:rPr>
        <w:t xml:space="preserve"> </w:t>
      </w:r>
      <w:r w:rsidRPr="00631C14">
        <w:rPr>
          <w:rFonts w:cs="Arial" w:hint="cs"/>
          <w:sz w:val="20"/>
          <w:szCs w:val="20"/>
          <w:rtl/>
        </w:rPr>
        <w:t>ליה</w:t>
      </w:r>
      <w:r w:rsidRPr="00631C14">
        <w:rPr>
          <w:rFonts w:cs="Arial"/>
          <w:sz w:val="20"/>
          <w:szCs w:val="20"/>
          <w:rtl/>
        </w:rPr>
        <w:t xml:space="preserve"> </w:t>
      </w:r>
      <w:r w:rsidRPr="00631C14">
        <w:rPr>
          <w:rFonts w:cs="Arial" w:hint="cs"/>
          <w:sz w:val="20"/>
          <w:szCs w:val="20"/>
          <w:rtl/>
        </w:rPr>
        <w:t>רבי</w:t>
      </w:r>
      <w:r w:rsidRPr="00631C14">
        <w:rPr>
          <w:rFonts w:cs="Arial"/>
          <w:sz w:val="20"/>
          <w:szCs w:val="20"/>
          <w:rtl/>
        </w:rPr>
        <w:t xml:space="preserve"> </w:t>
      </w:r>
      <w:r w:rsidRPr="00631C14">
        <w:rPr>
          <w:rFonts w:cs="Arial" w:hint="cs"/>
          <w:sz w:val="20"/>
          <w:szCs w:val="20"/>
          <w:rtl/>
        </w:rPr>
        <w:t>אבא</w:t>
      </w:r>
      <w:r w:rsidRPr="00631C14">
        <w:rPr>
          <w:rFonts w:cs="Arial"/>
          <w:sz w:val="20"/>
          <w:szCs w:val="20"/>
          <w:rtl/>
        </w:rPr>
        <w:t xml:space="preserve"> </w:t>
      </w:r>
      <w:r w:rsidRPr="00631C14">
        <w:rPr>
          <w:rFonts w:cs="Arial" w:hint="cs"/>
          <w:sz w:val="20"/>
          <w:szCs w:val="20"/>
          <w:rtl/>
        </w:rPr>
        <w:t>לקלא</w:t>
      </w:r>
      <w:r w:rsidRPr="00631C14">
        <w:rPr>
          <w:rFonts w:cs="Arial"/>
          <w:sz w:val="20"/>
          <w:szCs w:val="20"/>
          <w:rtl/>
        </w:rPr>
        <w:t xml:space="preserve">: </w:t>
      </w:r>
      <w:r w:rsidRPr="00631C14">
        <w:rPr>
          <w:rFonts w:cs="Arial" w:hint="cs"/>
          <w:sz w:val="20"/>
          <w:szCs w:val="20"/>
          <w:rtl/>
        </w:rPr>
        <w:t>הלכה</w:t>
      </w:r>
      <w:r w:rsidRPr="00631C14">
        <w:rPr>
          <w:rFonts w:cs="Arial"/>
          <w:sz w:val="20"/>
          <w:szCs w:val="20"/>
          <w:rtl/>
        </w:rPr>
        <w:t xml:space="preserve"> </w:t>
      </w:r>
      <w:r w:rsidRPr="00631C14">
        <w:rPr>
          <w:rFonts w:cs="Arial" w:hint="cs"/>
          <w:sz w:val="20"/>
          <w:szCs w:val="20"/>
          <w:rtl/>
        </w:rPr>
        <w:t>כרבי</w:t>
      </w:r>
      <w:r w:rsidRPr="00631C14">
        <w:rPr>
          <w:rFonts w:cs="Arial"/>
          <w:sz w:val="20"/>
          <w:szCs w:val="20"/>
          <w:rtl/>
        </w:rPr>
        <w:t xml:space="preserve"> </w:t>
      </w:r>
      <w:r w:rsidRPr="00631C14">
        <w:rPr>
          <w:rFonts w:cs="Arial" w:hint="cs"/>
          <w:sz w:val="20"/>
          <w:szCs w:val="20"/>
          <w:rtl/>
        </w:rPr>
        <w:t>יוסי</w:t>
      </w:r>
      <w:r>
        <w:rPr>
          <w:rFonts w:cs="Arial" w:hint="cs"/>
          <w:sz w:val="20"/>
          <w:szCs w:val="20"/>
          <w:rtl/>
        </w:rPr>
        <w:t>".</w:t>
      </w:r>
    </w:p>
    <w:p w:rsidR="00620060" w:rsidRDefault="00620060" w:rsidP="00620060">
      <w:pPr>
        <w:rPr>
          <w:sz w:val="20"/>
          <w:szCs w:val="20"/>
          <w:rtl/>
        </w:rPr>
      </w:pPr>
      <w:r w:rsidRPr="00100729">
        <w:rPr>
          <w:rFonts w:hint="cs"/>
          <w:b/>
          <w:bCs/>
          <w:sz w:val="20"/>
          <w:szCs w:val="20"/>
          <w:rtl/>
        </w:rPr>
        <w:t>שיטות הראשונים</w:t>
      </w:r>
      <w:r>
        <w:rPr>
          <w:rFonts w:hint="cs"/>
          <w:sz w:val="20"/>
          <w:szCs w:val="20"/>
          <w:u w:val="single"/>
          <w:rtl/>
        </w:rPr>
        <w:br/>
      </w:r>
      <w:r w:rsidRPr="002E6763">
        <w:rPr>
          <w:rStyle w:val="10"/>
          <w:rFonts w:hint="cs"/>
          <w:rtl/>
        </w:rPr>
        <w:t>א.</w:t>
      </w:r>
      <w:r w:rsidRPr="002E6763">
        <w:rPr>
          <w:rFonts w:hint="cs"/>
          <w:sz w:val="16"/>
          <w:szCs w:val="16"/>
          <w:rtl/>
        </w:rPr>
        <w:t xml:space="preserve"> </w:t>
      </w:r>
      <w:r>
        <w:rPr>
          <w:rFonts w:hint="cs"/>
          <w:sz w:val="20"/>
          <w:szCs w:val="20"/>
          <w:rtl/>
        </w:rPr>
        <w:t>מה דין אשה המטילה מי רגליים ומצאה דם?</w:t>
      </w:r>
      <w:r>
        <w:rPr>
          <w:sz w:val="20"/>
          <w:szCs w:val="20"/>
          <w:u w:val="single"/>
          <w:rtl/>
        </w:rPr>
        <w:br/>
      </w:r>
      <w:r>
        <w:rPr>
          <w:rFonts w:hint="cs"/>
          <w:sz w:val="20"/>
          <w:szCs w:val="20"/>
          <w:rtl/>
        </w:rPr>
        <w:t xml:space="preserve">א. </w:t>
      </w:r>
      <w:r w:rsidRPr="00631C14">
        <w:rPr>
          <w:rFonts w:hint="cs"/>
          <w:b/>
          <w:bCs/>
          <w:sz w:val="20"/>
          <w:szCs w:val="20"/>
          <w:rtl/>
        </w:rPr>
        <w:t xml:space="preserve">רש"י </w:t>
      </w:r>
      <w:r>
        <w:rPr>
          <w:rFonts w:hint="cs"/>
          <w:b/>
          <w:bCs/>
          <w:sz w:val="20"/>
          <w:szCs w:val="20"/>
          <w:rtl/>
        </w:rPr>
        <w:t>רשב"</w:t>
      </w:r>
      <w:r w:rsidRPr="001A39CB">
        <w:rPr>
          <w:rFonts w:hint="cs"/>
          <w:b/>
          <w:bCs/>
          <w:sz w:val="20"/>
          <w:szCs w:val="20"/>
          <w:rtl/>
        </w:rPr>
        <w:t>א</w:t>
      </w:r>
      <w:r>
        <w:rPr>
          <w:rFonts w:hint="cs"/>
          <w:sz w:val="20"/>
          <w:szCs w:val="20"/>
          <w:rtl/>
        </w:rPr>
        <w:t xml:space="preserve">, </w:t>
      </w:r>
      <w:r w:rsidRPr="001A39CB">
        <w:rPr>
          <w:rFonts w:hint="cs"/>
          <w:b/>
          <w:bCs/>
          <w:sz w:val="20"/>
          <w:szCs w:val="20"/>
          <w:rtl/>
        </w:rPr>
        <w:t>ורמב"</w:t>
      </w:r>
      <w:r w:rsidRPr="00631C14">
        <w:rPr>
          <w:rFonts w:hint="cs"/>
          <w:b/>
          <w:bCs/>
          <w:sz w:val="20"/>
          <w:szCs w:val="20"/>
          <w:rtl/>
        </w:rPr>
        <w:t>ם</w:t>
      </w:r>
      <w:r>
        <w:rPr>
          <w:rFonts w:hint="cs"/>
          <w:sz w:val="20"/>
          <w:szCs w:val="20"/>
          <w:rtl/>
        </w:rPr>
        <w:t xml:space="preserve"> </w:t>
      </w:r>
      <w:r>
        <w:rPr>
          <w:sz w:val="20"/>
          <w:szCs w:val="20"/>
          <w:rtl/>
        </w:rPr>
        <w:t>–</w:t>
      </w:r>
      <w:r>
        <w:rPr>
          <w:rFonts w:hint="cs"/>
          <w:sz w:val="20"/>
          <w:szCs w:val="20"/>
          <w:rtl/>
        </w:rPr>
        <w:t xml:space="preserve"> תמיד טהורה, וכ"פ </w:t>
      </w:r>
      <w:r w:rsidRPr="007B6855">
        <w:rPr>
          <w:rFonts w:hint="cs"/>
          <w:b/>
          <w:bCs/>
          <w:sz w:val="20"/>
          <w:szCs w:val="20"/>
          <w:rtl/>
        </w:rPr>
        <w:t>המחבר</w:t>
      </w:r>
      <w:r>
        <w:rPr>
          <w:rFonts w:hint="cs"/>
          <w:sz w:val="20"/>
          <w:szCs w:val="20"/>
          <w:rtl/>
        </w:rPr>
        <w:t>.</w:t>
      </w:r>
      <w:r>
        <w:rPr>
          <w:sz w:val="20"/>
          <w:szCs w:val="20"/>
          <w:rtl/>
        </w:rPr>
        <w:br/>
      </w:r>
      <w:r>
        <w:rPr>
          <w:rFonts w:hint="cs"/>
          <w:sz w:val="20"/>
          <w:szCs w:val="20"/>
          <w:rtl/>
        </w:rPr>
        <w:t xml:space="preserve">ב. </w:t>
      </w:r>
      <w:r w:rsidRPr="00631C14">
        <w:rPr>
          <w:rFonts w:hint="cs"/>
          <w:b/>
          <w:bCs/>
          <w:sz w:val="20"/>
          <w:szCs w:val="20"/>
          <w:rtl/>
        </w:rPr>
        <w:t>תוספות ורא"ש</w:t>
      </w:r>
      <w:r>
        <w:rPr>
          <w:rFonts w:hint="cs"/>
          <w:sz w:val="20"/>
          <w:szCs w:val="20"/>
          <w:rtl/>
        </w:rPr>
        <w:t xml:space="preserve"> </w:t>
      </w:r>
      <w:r>
        <w:rPr>
          <w:sz w:val="20"/>
          <w:szCs w:val="20"/>
          <w:rtl/>
        </w:rPr>
        <w:t>–</w:t>
      </w:r>
      <w:r>
        <w:rPr>
          <w:rFonts w:hint="cs"/>
          <w:sz w:val="20"/>
          <w:szCs w:val="20"/>
          <w:rtl/>
        </w:rPr>
        <w:t xml:space="preserve"> עומדת ושותתת טמאה, בשאר האופנים טהורה.</w:t>
      </w:r>
      <w:r>
        <w:rPr>
          <w:sz w:val="20"/>
          <w:szCs w:val="20"/>
          <w:rtl/>
        </w:rPr>
        <w:br/>
      </w:r>
      <w:r>
        <w:rPr>
          <w:rFonts w:hint="cs"/>
          <w:sz w:val="20"/>
          <w:szCs w:val="20"/>
          <w:rtl/>
        </w:rPr>
        <w:t xml:space="preserve">ג. </w:t>
      </w:r>
      <w:r w:rsidRPr="00B84946">
        <w:rPr>
          <w:rFonts w:hint="cs"/>
          <w:b/>
          <w:bCs/>
          <w:sz w:val="20"/>
          <w:szCs w:val="20"/>
          <w:rtl/>
        </w:rPr>
        <w:t>ר"</w:t>
      </w:r>
      <w:r>
        <w:rPr>
          <w:rFonts w:hint="cs"/>
          <w:b/>
          <w:bCs/>
          <w:sz w:val="20"/>
          <w:szCs w:val="20"/>
          <w:rtl/>
        </w:rPr>
        <w:t>ח</w:t>
      </w:r>
      <w:r>
        <w:rPr>
          <w:rFonts w:hint="cs"/>
          <w:sz w:val="20"/>
          <w:szCs w:val="20"/>
          <w:rtl/>
        </w:rPr>
        <w:t xml:space="preserve">, </w:t>
      </w:r>
      <w:r w:rsidRPr="00B84946">
        <w:rPr>
          <w:rFonts w:hint="cs"/>
          <w:b/>
          <w:bCs/>
          <w:sz w:val="20"/>
          <w:szCs w:val="20"/>
          <w:rtl/>
        </w:rPr>
        <w:t>מרדכי ומהר"ם</w:t>
      </w:r>
      <w:r>
        <w:rPr>
          <w:rFonts w:hint="cs"/>
          <w:sz w:val="20"/>
          <w:szCs w:val="20"/>
          <w:rtl/>
        </w:rPr>
        <w:t xml:space="preserve"> </w:t>
      </w:r>
      <w:r>
        <w:rPr>
          <w:sz w:val="20"/>
          <w:szCs w:val="20"/>
          <w:rtl/>
        </w:rPr>
        <w:t>–</w:t>
      </w:r>
      <w:r>
        <w:rPr>
          <w:rFonts w:hint="cs"/>
          <w:sz w:val="20"/>
          <w:szCs w:val="20"/>
          <w:rtl/>
        </w:rPr>
        <w:t xml:space="preserve"> עומדת טמאה בכל עניין. יושבת טהורה רק כשמזנקת ונמצא בתוך הספל, אך אם נמצא דם על שפת הספל </w:t>
      </w:r>
      <w:r>
        <w:rPr>
          <w:sz w:val="20"/>
          <w:szCs w:val="20"/>
          <w:rtl/>
        </w:rPr>
        <w:t>–</w:t>
      </w:r>
      <w:r>
        <w:rPr>
          <w:rFonts w:hint="cs"/>
          <w:sz w:val="20"/>
          <w:szCs w:val="20"/>
          <w:rtl/>
        </w:rPr>
        <w:t xml:space="preserve"> טמאה, וכ"פ </w:t>
      </w:r>
      <w:r w:rsidRPr="00B84946">
        <w:rPr>
          <w:rFonts w:hint="cs"/>
          <w:b/>
          <w:bCs/>
          <w:sz w:val="20"/>
          <w:szCs w:val="20"/>
          <w:rtl/>
        </w:rPr>
        <w:t>הרמ"א</w:t>
      </w:r>
      <w:r>
        <w:rPr>
          <w:rFonts w:hint="cs"/>
          <w:sz w:val="20"/>
          <w:szCs w:val="20"/>
          <w:rtl/>
        </w:rPr>
        <w:t>.</w:t>
      </w:r>
    </w:p>
    <w:p w:rsidR="00620060" w:rsidRDefault="00620060" w:rsidP="00620060">
      <w:pPr>
        <w:rPr>
          <w:sz w:val="20"/>
          <w:szCs w:val="20"/>
          <w:rtl/>
        </w:rPr>
      </w:pPr>
      <w:r>
        <w:rPr>
          <w:rFonts w:hint="cs"/>
          <w:sz w:val="20"/>
          <w:szCs w:val="20"/>
          <w:u w:val="single"/>
          <w:rtl/>
        </w:rPr>
        <w:t>ביאור שיטת רש"י, רשב"א ורמב"ם</w:t>
      </w:r>
      <w:r>
        <w:rPr>
          <w:rFonts w:hint="cs"/>
          <w:sz w:val="20"/>
          <w:szCs w:val="20"/>
          <w:u w:val="single"/>
          <w:rtl/>
        </w:rPr>
        <w:br/>
      </w:r>
      <w:r>
        <w:rPr>
          <w:rFonts w:hint="cs"/>
          <w:sz w:val="20"/>
          <w:szCs w:val="20"/>
          <w:rtl/>
        </w:rPr>
        <w:t xml:space="preserve">החילוק בין עומדת ליושבת הוא כך </w:t>
      </w:r>
      <w:r>
        <w:rPr>
          <w:sz w:val="20"/>
          <w:szCs w:val="20"/>
          <w:rtl/>
        </w:rPr>
        <w:t>–</w:t>
      </w:r>
      <w:r>
        <w:rPr>
          <w:rFonts w:hint="cs"/>
          <w:sz w:val="20"/>
          <w:szCs w:val="20"/>
          <w:rtl/>
        </w:rPr>
        <w:t xml:space="preserve"> אשה רגילה להטיל מי רגליים בישיבה ולא בעמידה. אשה שהטילה מ"ר בעמידה, זה משום שהיא התאפקה עד עתה, לכן יש חשש שמא מ"ר חזרו למקור והביאו דם, כיוון שהטלת מ"ר בעמידה אינם מזנקים </w:t>
      </w:r>
      <w:r w:rsidRPr="009E233A">
        <w:rPr>
          <w:rFonts w:hint="cs"/>
          <w:sz w:val="18"/>
          <w:szCs w:val="18"/>
          <w:rtl/>
        </w:rPr>
        <w:t>(כלומר</w:t>
      </w:r>
      <w:r>
        <w:rPr>
          <w:rFonts w:hint="cs"/>
          <w:sz w:val="18"/>
          <w:szCs w:val="18"/>
          <w:rtl/>
        </w:rPr>
        <w:t>,</w:t>
      </w:r>
      <w:r w:rsidRPr="009E233A">
        <w:rPr>
          <w:rFonts w:hint="cs"/>
          <w:sz w:val="18"/>
          <w:szCs w:val="18"/>
          <w:rtl/>
        </w:rPr>
        <w:t xml:space="preserve"> מקלח</w:t>
      </w:r>
      <w:r>
        <w:rPr>
          <w:rFonts w:hint="cs"/>
          <w:sz w:val="18"/>
          <w:szCs w:val="18"/>
          <w:rtl/>
        </w:rPr>
        <w:t>ים</w:t>
      </w:r>
      <w:r w:rsidRPr="009E233A">
        <w:rPr>
          <w:rFonts w:hint="cs"/>
          <w:sz w:val="18"/>
          <w:szCs w:val="18"/>
          <w:rtl/>
        </w:rPr>
        <w:t xml:space="preserve"> כדרכו בזרם אחיד)</w:t>
      </w:r>
      <w:r>
        <w:rPr>
          <w:rFonts w:hint="cs"/>
          <w:sz w:val="20"/>
          <w:szCs w:val="20"/>
          <w:rtl/>
        </w:rPr>
        <w:t xml:space="preserve"> אלא שותתים </w:t>
      </w:r>
      <w:r w:rsidRPr="009E233A">
        <w:rPr>
          <w:rFonts w:hint="cs"/>
          <w:sz w:val="18"/>
          <w:szCs w:val="18"/>
          <w:rtl/>
        </w:rPr>
        <w:t>(כלומר, יוצא בטפטוף שאינו אחיד)</w:t>
      </w:r>
      <w:r>
        <w:rPr>
          <w:rFonts w:hint="cs"/>
          <w:sz w:val="20"/>
          <w:szCs w:val="20"/>
          <w:rtl/>
        </w:rPr>
        <w:t xml:space="preserve">. </w:t>
      </w:r>
      <w:r>
        <w:rPr>
          <w:sz w:val="20"/>
          <w:szCs w:val="20"/>
          <w:rtl/>
        </w:rPr>
        <w:br/>
      </w:r>
      <w:r>
        <w:rPr>
          <w:rFonts w:hint="cs"/>
          <w:sz w:val="20"/>
          <w:szCs w:val="20"/>
          <w:rtl/>
        </w:rPr>
        <w:t>לעומת זאת, כאשר היא מטילה מ"ר בישיבה והמ"ר מזנקים אין חשש שהדם שראתה הגיע מהמקור, אלא כנראה הוא דם מכה. אך כאשר המ"ר שותתים כנראה שעד עתה התאפקה, לכן יש חשש שמא הדם שראתה הוא דם מקור ואינו דם מכה.</w:t>
      </w:r>
      <w:r>
        <w:rPr>
          <w:rFonts w:hint="cs"/>
          <w:sz w:val="20"/>
          <w:szCs w:val="20"/>
          <w:rtl/>
        </w:rPr>
        <w:br/>
        <w:t>הגמרא העמידה את דברי רבי מאיר ביושבת כשהיא מזנקת ולכן טהורה, אך דעת רבי יוסי שאין חילוק בין עומדת ליושבת ובין מזנקת לשותתת ובכל מקרה טהורה.</w:t>
      </w:r>
      <w:r>
        <w:rPr>
          <w:rStyle w:val="a5"/>
          <w:sz w:val="20"/>
          <w:szCs w:val="20"/>
          <w:rtl/>
        </w:rPr>
        <w:footnoteReference w:id="357"/>
      </w:r>
      <w:r>
        <w:rPr>
          <w:rFonts w:hint="cs"/>
          <w:sz w:val="20"/>
          <w:szCs w:val="20"/>
          <w:rtl/>
        </w:rPr>
        <w:t xml:space="preserve"> </w:t>
      </w:r>
      <w:r>
        <w:rPr>
          <w:sz w:val="20"/>
          <w:szCs w:val="20"/>
          <w:rtl/>
        </w:rPr>
        <w:br/>
      </w:r>
      <w:r>
        <w:rPr>
          <w:rFonts w:hint="cs"/>
          <w:sz w:val="20"/>
          <w:szCs w:val="20"/>
          <w:rtl/>
        </w:rPr>
        <w:t>בגמרא נפסק כרבי יוסי, ולכן בכל עניין טהורה.</w:t>
      </w:r>
    </w:p>
    <w:p w:rsidR="00620060" w:rsidRDefault="00620060" w:rsidP="00620060">
      <w:pPr>
        <w:rPr>
          <w:sz w:val="20"/>
          <w:szCs w:val="20"/>
          <w:rtl/>
        </w:rPr>
      </w:pPr>
      <w:r>
        <w:rPr>
          <w:rFonts w:hint="cs"/>
          <w:sz w:val="20"/>
          <w:szCs w:val="20"/>
          <w:u w:val="single"/>
          <w:rtl/>
        </w:rPr>
        <w:t>ביאור שיטת תוספות ורא"ש</w:t>
      </w:r>
      <w:r>
        <w:rPr>
          <w:rFonts w:hint="cs"/>
          <w:sz w:val="20"/>
          <w:szCs w:val="20"/>
          <w:u w:val="single"/>
          <w:rtl/>
        </w:rPr>
        <w:br/>
      </w:r>
      <w:r>
        <w:rPr>
          <w:rFonts w:hint="cs"/>
          <w:sz w:val="20"/>
          <w:szCs w:val="20"/>
          <w:rtl/>
        </w:rPr>
        <w:t>כל המשנה עוסקת במ"ר בזינוק</w:t>
      </w:r>
      <w:r>
        <w:rPr>
          <w:rStyle w:val="a5"/>
          <w:sz w:val="20"/>
          <w:szCs w:val="20"/>
          <w:rtl/>
        </w:rPr>
        <w:footnoteReference w:id="358"/>
      </w:r>
      <w:r>
        <w:rPr>
          <w:rFonts w:hint="cs"/>
          <w:sz w:val="20"/>
          <w:szCs w:val="20"/>
          <w:rtl/>
        </w:rPr>
        <w:t xml:space="preserve"> ואעפ"כ רבי מאיר מטמא בעומדת, כיוון שזה חדא לריעותא </w:t>
      </w:r>
      <w:r w:rsidRPr="00183CDF">
        <w:rPr>
          <w:rFonts w:hint="cs"/>
          <w:sz w:val="18"/>
          <w:szCs w:val="18"/>
          <w:rtl/>
        </w:rPr>
        <w:t xml:space="preserve">(עומדת </w:t>
      </w:r>
      <w:r>
        <w:rPr>
          <w:rFonts w:hint="cs"/>
          <w:sz w:val="18"/>
          <w:szCs w:val="18"/>
          <w:rtl/>
        </w:rPr>
        <w:t>זה</w:t>
      </w:r>
      <w:r w:rsidRPr="00183CDF">
        <w:rPr>
          <w:rFonts w:hint="cs"/>
          <w:sz w:val="18"/>
          <w:szCs w:val="18"/>
          <w:rtl/>
        </w:rPr>
        <w:t xml:space="preserve"> ריעותא)</w:t>
      </w:r>
      <w:r>
        <w:rPr>
          <w:rFonts w:hint="cs"/>
          <w:sz w:val="18"/>
          <w:szCs w:val="18"/>
          <w:rtl/>
        </w:rPr>
        <w:t>.</w:t>
      </w:r>
      <w:r>
        <w:rPr>
          <w:sz w:val="20"/>
          <w:szCs w:val="20"/>
          <w:rtl/>
        </w:rPr>
        <w:br/>
      </w:r>
      <w:r>
        <w:rPr>
          <w:rFonts w:hint="cs"/>
          <w:sz w:val="20"/>
          <w:szCs w:val="20"/>
          <w:rtl/>
        </w:rPr>
        <w:t xml:space="preserve">כלומר, רבי מאיר מטהר רק בתרי למעליותא </w:t>
      </w:r>
      <w:r>
        <w:rPr>
          <w:sz w:val="20"/>
          <w:szCs w:val="20"/>
          <w:rtl/>
        </w:rPr>
        <w:t>–</w:t>
      </w:r>
      <w:r>
        <w:rPr>
          <w:rFonts w:hint="cs"/>
          <w:sz w:val="20"/>
          <w:szCs w:val="20"/>
          <w:rtl/>
        </w:rPr>
        <w:t xml:space="preserve"> יושבת ומזנקת, אך יושבת ושותתת או עומדת ומזנקת </w:t>
      </w:r>
      <w:r>
        <w:rPr>
          <w:sz w:val="20"/>
          <w:szCs w:val="20"/>
          <w:rtl/>
        </w:rPr>
        <w:t>–</w:t>
      </w:r>
      <w:r>
        <w:rPr>
          <w:rFonts w:hint="cs"/>
          <w:sz w:val="20"/>
          <w:szCs w:val="20"/>
          <w:rtl/>
        </w:rPr>
        <w:t xml:space="preserve"> טמאה.</w:t>
      </w:r>
      <w:r>
        <w:rPr>
          <w:sz w:val="20"/>
          <w:szCs w:val="20"/>
          <w:rtl/>
        </w:rPr>
        <w:br/>
      </w:r>
      <w:r>
        <w:rPr>
          <w:rFonts w:hint="cs"/>
          <w:sz w:val="20"/>
          <w:szCs w:val="20"/>
          <w:rtl/>
        </w:rPr>
        <w:t xml:space="preserve">מעתה, רבי יוסי החולק על רבי מאיר ומטהר, מטהר רק בגווני שטימא רבי מאיר, קרי בחדא לריעותא, אך בתרי לריעותא, כלומר עומדת ושותתת </w:t>
      </w:r>
      <w:r>
        <w:rPr>
          <w:sz w:val="20"/>
          <w:szCs w:val="20"/>
          <w:rtl/>
        </w:rPr>
        <w:t>–</w:t>
      </w:r>
      <w:r>
        <w:rPr>
          <w:rFonts w:hint="cs"/>
          <w:sz w:val="20"/>
          <w:szCs w:val="20"/>
          <w:rtl/>
        </w:rPr>
        <w:t xml:space="preserve"> טמאה, שהרי רבי יוסי לא איירי בכה"ג.</w:t>
      </w:r>
      <w:r>
        <w:rPr>
          <w:sz w:val="20"/>
          <w:szCs w:val="20"/>
          <w:rtl/>
        </w:rPr>
        <w:br/>
      </w:r>
      <w:r>
        <w:rPr>
          <w:rFonts w:hint="cs"/>
          <w:sz w:val="20"/>
          <w:szCs w:val="20"/>
          <w:rtl/>
        </w:rPr>
        <w:t xml:space="preserve">בגמרא נפסק כרבי יוסי, לכן בחד למעליותא טהורה, אך בתרי לריעותא, כלומר עומדת ושותתת </w:t>
      </w:r>
      <w:r>
        <w:rPr>
          <w:sz w:val="20"/>
          <w:szCs w:val="20"/>
          <w:rtl/>
        </w:rPr>
        <w:t>–</w:t>
      </w:r>
      <w:r>
        <w:rPr>
          <w:rFonts w:hint="cs"/>
          <w:sz w:val="20"/>
          <w:szCs w:val="20"/>
          <w:rtl/>
        </w:rPr>
        <w:t xml:space="preserve"> טמאה.</w:t>
      </w:r>
    </w:p>
    <w:p w:rsidR="00620060" w:rsidRDefault="00620060" w:rsidP="00620060">
      <w:pPr>
        <w:rPr>
          <w:sz w:val="20"/>
          <w:szCs w:val="20"/>
          <w:rtl/>
        </w:rPr>
      </w:pPr>
      <w:r>
        <w:rPr>
          <w:rFonts w:hint="cs"/>
          <w:sz w:val="20"/>
          <w:szCs w:val="20"/>
          <w:u w:val="single"/>
          <w:rtl/>
        </w:rPr>
        <w:t>ביאור שיטת ר"ח, מרדכי ומהר"ם</w:t>
      </w:r>
      <w:r>
        <w:rPr>
          <w:sz w:val="20"/>
          <w:szCs w:val="20"/>
          <w:u w:val="single"/>
          <w:rtl/>
        </w:rPr>
        <w:br/>
      </w:r>
      <w:r>
        <w:rPr>
          <w:rFonts w:hint="cs"/>
          <w:sz w:val="20"/>
          <w:szCs w:val="20"/>
          <w:rtl/>
        </w:rPr>
        <w:t>רבי יוסי מטהר רק משום נידה, אך משום כתם מודה לרבי מאיר שטמאה.</w:t>
      </w:r>
      <w:r>
        <w:rPr>
          <w:sz w:val="20"/>
          <w:szCs w:val="20"/>
          <w:u w:val="single"/>
          <w:rtl/>
        </w:rPr>
        <w:br/>
      </w:r>
      <w:r w:rsidRPr="00450641">
        <w:rPr>
          <w:rFonts w:hint="cs"/>
          <w:sz w:val="20"/>
          <w:szCs w:val="20"/>
          <w:rtl/>
        </w:rPr>
        <w:t xml:space="preserve">אמנם, </w:t>
      </w:r>
      <w:r>
        <w:rPr>
          <w:rFonts w:hint="cs"/>
          <w:sz w:val="20"/>
          <w:szCs w:val="20"/>
          <w:rtl/>
        </w:rPr>
        <w:t>ב</w:t>
      </w:r>
      <w:r w:rsidRPr="00450641">
        <w:rPr>
          <w:rFonts w:hint="cs"/>
          <w:sz w:val="20"/>
          <w:szCs w:val="20"/>
          <w:rtl/>
        </w:rPr>
        <w:t>יושבת ומזנקת לתוך הספל</w:t>
      </w:r>
      <w:r>
        <w:rPr>
          <w:rFonts w:hint="cs"/>
          <w:sz w:val="20"/>
          <w:szCs w:val="20"/>
          <w:rtl/>
        </w:rPr>
        <w:t xml:space="preserve"> גם רבי מאיר מטהר, ולכן טהורה.</w:t>
      </w:r>
      <w:r>
        <w:rPr>
          <w:sz w:val="20"/>
          <w:szCs w:val="20"/>
          <w:rtl/>
        </w:rPr>
        <w:br/>
      </w:r>
      <w:r>
        <w:rPr>
          <w:rFonts w:hint="cs"/>
          <w:sz w:val="20"/>
          <w:szCs w:val="20"/>
          <w:rtl/>
        </w:rPr>
        <w:t xml:space="preserve">לדיון נרחב יותר בדעת </w:t>
      </w:r>
      <w:r w:rsidRPr="00450641">
        <w:rPr>
          <w:rFonts w:hint="cs"/>
          <w:b/>
          <w:bCs/>
          <w:sz w:val="20"/>
          <w:szCs w:val="20"/>
          <w:rtl/>
        </w:rPr>
        <w:t>ר"ח</w:t>
      </w:r>
      <w:r>
        <w:rPr>
          <w:rFonts w:hint="cs"/>
          <w:sz w:val="20"/>
          <w:szCs w:val="20"/>
          <w:rtl/>
        </w:rPr>
        <w:t>, עיין כאן בהערה</w:t>
      </w:r>
      <w:r w:rsidRPr="00450641">
        <w:rPr>
          <w:rFonts w:hint="cs"/>
          <w:sz w:val="20"/>
          <w:szCs w:val="20"/>
          <w:rtl/>
        </w:rPr>
        <w:t>.</w:t>
      </w:r>
      <w:r w:rsidRPr="00450641">
        <w:rPr>
          <w:rStyle w:val="a5"/>
          <w:sz w:val="20"/>
          <w:szCs w:val="20"/>
          <w:rtl/>
        </w:rPr>
        <w:footnoteReference w:id="359"/>
      </w:r>
      <w:r>
        <w:rPr>
          <w:sz w:val="20"/>
          <w:szCs w:val="20"/>
          <w:u w:val="single"/>
          <w:rtl/>
        </w:rPr>
        <w:br/>
      </w:r>
      <w:r>
        <w:rPr>
          <w:b/>
          <w:bCs/>
          <w:sz w:val="20"/>
          <w:szCs w:val="20"/>
          <w:rtl/>
        </w:rPr>
        <w:lastRenderedPageBreak/>
        <w:br/>
      </w:r>
      <w:r w:rsidRPr="00100729">
        <w:rPr>
          <w:rFonts w:hint="cs"/>
          <w:b/>
          <w:bCs/>
          <w:sz w:val="20"/>
          <w:szCs w:val="20"/>
          <w:rtl/>
        </w:rPr>
        <w:t>יושבת ונמצא דם על שפת הספל</w:t>
      </w:r>
      <w:r>
        <w:rPr>
          <w:b/>
          <w:bCs/>
          <w:sz w:val="20"/>
          <w:szCs w:val="20"/>
          <w:rtl/>
        </w:rPr>
        <w:br/>
      </w:r>
      <w:r>
        <w:rPr>
          <w:rFonts w:hint="cs"/>
          <w:sz w:val="20"/>
          <w:szCs w:val="20"/>
          <w:rtl/>
        </w:rPr>
        <w:t>נאמר בגמרא שאם נמצא דם על שפת הספל טמאה. נחלקו הראשונים האם העמדה זו היא אף לרבי יוסי?</w:t>
      </w:r>
      <w:r>
        <w:rPr>
          <w:rFonts w:hint="cs"/>
          <w:sz w:val="20"/>
          <w:szCs w:val="20"/>
          <w:rtl/>
        </w:rPr>
        <w:br/>
        <w:t xml:space="preserve">א. </w:t>
      </w:r>
      <w:r w:rsidRPr="004F27E3">
        <w:rPr>
          <w:rFonts w:hint="cs"/>
          <w:b/>
          <w:bCs/>
          <w:sz w:val="20"/>
          <w:szCs w:val="20"/>
          <w:rtl/>
        </w:rPr>
        <w:t>תוספות ורשב"א</w:t>
      </w:r>
      <w:r>
        <w:rPr>
          <w:rFonts w:hint="cs"/>
          <w:sz w:val="20"/>
          <w:szCs w:val="20"/>
          <w:rtl/>
        </w:rPr>
        <w:t xml:space="preserve"> </w:t>
      </w:r>
      <w:r>
        <w:rPr>
          <w:sz w:val="20"/>
          <w:szCs w:val="20"/>
          <w:rtl/>
        </w:rPr>
        <w:t>–</w:t>
      </w:r>
      <w:r>
        <w:rPr>
          <w:rFonts w:hint="cs"/>
          <w:sz w:val="20"/>
          <w:szCs w:val="20"/>
          <w:rtl/>
        </w:rPr>
        <w:t xml:space="preserve"> לא.</w:t>
      </w:r>
      <w:r>
        <w:rPr>
          <w:sz w:val="20"/>
          <w:szCs w:val="20"/>
          <w:rtl/>
        </w:rPr>
        <w:br/>
      </w:r>
      <w:r w:rsidRPr="004F27E3">
        <w:rPr>
          <w:rFonts w:hint="cs"/>
          <w:b/>
          <w:bCs/>
          <w:sz w:val="20"/>
          <w:szCs w:val="20"/>
          <w:rtl/>
        </w:rPr>
        <w:t>הסבר</w:t>
      </w:r>
      <w:r>
        <w:rPr>
          <w:rFonts w:hint="cs"/>
          <w:sz w:val="20"/>
          <w:szCs w:val="20"/>
          <w:rtl/>
        </w:rPr>
        <w:t xml:space="preserve"> </w:t>
      </w:r>
      <w:r>
        <w:rPr>
          <w:sz w:val="20"/>
          <w:szCs w:val="20"/>
          <w:rtl/>
        </w:rPr>
        <w:t>–</w:t>
      </w:r>
      <w:r>
        <w:rPr>
          <w:rFonts w:hint="cs"/>
          <w:sz w:val="20"/>
          <w:szCs w:val="20"/>
          <w:rtl/>
        </w:rPr>
        <w:t xml:space="preserve"> הגמרא העמידה כך רק אליבא דר"מ, אך רבי יוסי מטהר בכל עניין אפילו כשנמצא דם על שפת הספל.</w:t>
      </w:r>
      <w:r>
        <w:rPr>
          <w:sz w:val="20"/>
          <w:szCs w:val="20"/>
          <w:rtl/>
        </w:rPr>
        <w:br/>
      </w:r>
      <w:r>
        <w:rPr>
          <w:rFonts w:hint="cs"/>
          <w:sz w:val="20"/>
          <w:szCs w:val="20"/>
          <w:rtl/>
        </w:rPr>
        <w:t xml:space="preserve">ב. </w:t>
      </w:r>
      <w:r w:rsidRPr="004F27E3">
        <w:rPr>
          <w:rFonts w:hint="cs"/>
          <w:b/>
          <w:bCs/>
          <w:sz w:val="20"/>
          <w:szCs w:val="20"/>
          <w:rtl/>
        </w:rPr>
        <w:t>הגה"מ ור"ן</w:t>
      </w:r>
      <w:r>
        <w:rPr>
          <w:rFonts w:hint="cs"/>
          <w:sz w:val="20"/>
          <w:szCs w:val="20"/>
          <w:rtl/>
        </w:rPr>
        <w:t xml:space="preserve"> </w:t>
      </w:r>
      <w:r>
        <w:rPr>
          <w:sz w:val="20"/>
          <w:szCs w:val="20"/>
          <w:rtl/>
        </w:rPr>
        <w:t>–</w:t>
      </w:r>
      <w:r>
        <w:rPr>
          <w:rFonts w:hint="cs"/>
          <w:sz w:val="20"/>
          <w:szCs w:val="20"/>
          <w:rtl/>
        </w:rPr>
        <w:t xml:space="preserve"> כן.</w:t>
      </w:r>
      <w:r>
        <w:rPr>
          <w:sz w:val="20"/>
          <w:szCs w:val="20"/>
          <w:rtl/>
        </w:rPr>
        <w:br/>
      </w:r>
      <w:r w:rsidRPr="004F27E3">
        <w:rPr>
          <w:rFonts w:hint="cs"/>
          <w:b/>
          <w:bCs/>
          <w:sz w:val="20"/>
          <w:szCs w:val="20"/>
          <w:rtl/>
        </w:rPr>
        <w:t>הסבר</w:t>
      </w:r>
      <w:r>
        <w:rPr>
          <w:rFonts w:hint="cs"/>
          <w:sz w:val="20"/>
          <w:szCs w:val="20"/>
          <w:rtl/>
        </w:rPr>
        <w:t xml:space="preserve"> </w:t>
      </w:r>
      <w:r>
        <w:rPr>
          <w:sz w:val="20"/>
          <w:szCs w:val="20"/>
          <w:rtl/>
        </w:rPr>
        <w:t>–</w:t>
      </w:r>
      <w:r>
        <w:rPr>
          <w:rFonts w:hint="cs"/>
          <w:sz w:val="20"/>
          <w:szCs w:val="20"/>
          <w:rtl/>
        </w:rPr>
        <w:t xml:space="preserve"> כשנמצא דם על שפת הספל הוי רגליים לדבר שהוא יצא מהאשה לאחר שתמו מי הרגליים</w:t>
      </w:r>
      <w:r w:rsidRPr="00100729">
        <w:rPr>
          <w:rFonts w:hint="cs"/>
          <w:sz w:val="20"/>
          <w:szCs w:val="20"/>
          <w:rtl/>
        </w:rPr>
        <w:t>, משום שאם הוא היה יוצא עם המ"ר היה צריך להיות בתוך הספל ולא על שפתו.</w:t>
      </w:r>
      <w:r w:rsidRPr="00100729">
        <w:rPr>
          <w:sz w:val="20"/>
          <w:szCs w:val="20"/>
          <w:rtl/>
        </w:rPr>
        <w:br/>
      </w:r>
      <w:r w:rsidRPr="00100729">
        <w:rPr>
          <w:rFonts w:hint="cs"/>
          <w:sz w:val="18"/>
          <w:szCs w:val="18"/>
          <w:rtl/>
        </w:rPr>
        <w:t xml:space="preserve">[ואמנם, אם נמצא דם בתוך הספל וגם על שפתו, נחלקו רבי מאיר ורבי יוסי </w:t>
      </w:r>
      <w:r w:rsidRPr="00100729">
        <w:rPr>
          <w:sz w:val="18"/>
          <w:szCs w:val="18"/>
          <w:rtl/>
        </w:rPr>
        <w:t>–</w:t>
      </w:r>
      <w:r w:rsidRPr="00100729">
        <w:rPr>
          <w:rFonts w:hint="cs"/>
          <w:sz w:val="18"/>
          <w:szCs w:val="18"/>
          <w:rtl/>
        </w:rPr>
        <w:t xml:space="preserve"> רבי מאיר חושש למיעוט בכל מקום שאין מוכח אחרת, ולכן כאן מטמא משום שאין הוכחה שדם זה יצא עם המ"ר. רבי מאיר לעומתו מטהר, משום שאין הוכחה לכך שהדם לא יצא עם המ"ר, כיוון שדרך מ"ר להיות מזנקים בתחילה ושותתים בסוף, לכן ייתכן שדם זה יצא עם המ"ר בסופם כאשר היו שותתים ולכן נמצא על שפת הספל ולא בתוכו].</w:t>
      </w:r>
    </w:p>
    <w:p w:rsidR="00620060" w:rsidRDefault="00620060" w:rsidP="00620060">
      <w:pPr>
        <w:rPr>
          <w:sz w:val="18"/>
          <w:szCs w:val="18"/>
          <w:rtl/>
        </w:rPr>
      </w:pPr>
      <w:r>
        <w:rPr>
          <w:rFonts w:hint="cs"/>
          <w:sz w:val="20"/>
          <w:szCs w:val="20"/>
          <w:u w:val="single"/>
          <w:rtl/>
        </w:rPr>
        <w:t>הכרעה</w:t>
      </w:r>
      <w:r>
        <w:rPr>
          <w:sz w:val="20"/>
          <w:szCs w:val="20"/>
          <w:u w:val="single"/>
          <w:rtl/>
        </w:rPr>
        <w:br/>
      </w:r>
      <w:r w:rsidRPr="000E6533">
        <w:rPr>
          <w:rFonts w:hint="cs"/>
          <w:b/>
          <w:bCs/>
          <w:sz w:val="20"/>
          <w:szCs w:val="20"/>
          <w:rtl/>
        </w:rPr>
        <w:t>מחבר</w:t>
      </w:r>
      <w:r>
        <w:rPr>
          <w:rFonts w:hint="cs"/>
          <w:sz w:val="20"/>
          <w:szCs w:val="20"/>
          <w:rtl/>
        </w:rPr>
        <w:t xml:space="preserve"> </w:t>
      </w:r>
      <w:r>
        <w:rPr>
          <w:sz w:val="20"/>
          <w:szCs w:val="20"/>
          <w:rtl/>
        </w:rPr>
        <w:t>–</w:t>
      </w:r>
      <w:r>
        <w:rPr>
          <w:rFonts w:hint="cs"/>
          <w:sz w:val="20"/>
          <w:szCs w:val="20"/>
          <w:rtl/>
        </w:rPr>
        <w:t xml:space="preserve"> התעלם מדין זה וכנראה שהוא סובר כתוספות והרשב"א שרבי יוסי מטהר אפילו בכה"ג.</w:t>
      </w:r>
      <w:r>
        <w:rPr>
          <w:sz w:val="20"/>
          <w:szCs w:val="20"/>
          <w:rtl/>
        </w:rPr>
        <w:br/>
      </w:r>
      <w:r>
        <w:rPr>
          <w:rFonts w:hint="cs"/>
          <w:sz w:val="20"/>
          <w:szCs w:val="20"/>
          <w:u w:val="single"/>
          <w:rtl/>
        </w:rPr>
        <w:br/>
      </w:r>
      <w:r>
        <w:rPr>
          <w:rFonts w:hint="cs"/>
          <w:b/>
          <w:bCs/>
          <w:sz w:val="20"/>
          <w:szCs w:val="20"/>
          <w:rtl/>
        </w:rPr>
        <w:t>אשה שהרגישה בעת יציאת מי רגליה</w:t>
      </w:r>
      <w:r>
        <w:rPr>
          <w:b/>
          <w:bCs/>
          <w:sz w:val="20"/>
          <w:szCs w:val="20"/>
          <w:rtl/>
        </w:rPr>
        <w:br/>
      </w:r>
      <w:r>
        <w:rPr>
          <w:rFonts w:hint="cs"/>
          <w:sz w:val="20"/>
          <w:szCs w:val="20"/>
          <w:rtl/>
        </w:rPr>
        <w:t xml:space="preserve">כאמור לעיל, דעת הרמב"ם לטהר בכל עניין שראתה דם במי רגליה. </w:t>
      </w:r>
      <w:r w:rsidRPr="001A28AF">
        <w:rPr>
          <w:rFonts w:hint="cs"/>
          <w:b/>
          <w:bCs/>
          <w:sz w:val="20"/>
          <w:szCs w:val="20"/>
          <w:rtl/>
        </w:rPr>
        <w:t>הבית יוסף</w:t>
      </w:r>
      <w:r>
        <w:rPr>
          <w:rFonts w:hint="cs"/>
          <w:sz w:val="20"/>
          <w:szCs w:val="20"/>
          <w:rtl/>
        </w:rPr>
        <w:t xml:space="preserve"> מוסיף שאפילו אם הרגישה ביציאת מי רגליה וראתה דם </w:t>
      </w:r>
      <w:r>
        <w:rPr>
          <w:sz w:val="20"/>
          <w:szCs w:val="20"/>
          <w:rtl/>
        </w:rPr>
        <w:t>–</w:t>
      </w:r>
      <w:r>
        <w:rPr>
          <w:rFonts w:hint="cs"/>
          <w:sz w:val="20"/>
          <w:szCs w:val="20"/>
          <w:rtl/>
        </w:rPr>
        <w:t xml:space="preserve"> טהורה. דין זה מבוסס על הגמרא הבאה - </w:t>
      </w:r>
      <w:r>
        <w:rPr>
          <w:sz w:val="20"/>
          <w:szCs w:val="20"/>
          <w:rtl/>
        </w:rPr>
        <w:br/>
      </w:r>
      <w:r>
        <w:rPr>
          <w:rFonts w:hint="cs"/>
          <w:b/>
          <w:bCs/>
          <w:sz w:val="20"/>
          <w:szCs w:val="20"/>
          <w:rtl/>
        </w:rPr>
        <w:t xml:space="preserve">גמרא </w:t>
      </w:r>
      <w:r>
        <w:rPr>
          <w:rFonts w:hint="cs"/>
          <w:sz w:val="20"/>
          <w:szCs w:val="20"/>
          <w:rtl/>
        </w:rPr>
        <w:t>נידה (נז:) "</w:t>
      </w:r>
      <w:r w:rsidRPr="009A5C7F">
        <w:rPr>
          <w:rFonts w:cs="Arial" w:hint="cs"/>
          <w:sz w:val="20"/>
          <w:szCs w:val="20"/>
          <w:rtl/>
        </w:rPr>
        <w:t>האשה</w:t>
      </w:r>
      <w:r w:rsidRPr="009A5C7F">
        <w:rPr>
          <w:rFonts w:cs="Arial"/>
          <w:sz w:val="20"/>
          <w:szCs w:val="20"/>
          <w:rtl/>
        </w:rPr>
        <w:t xml:space="preserve"> </w:t>
      </w:r>
      <w:r w:rsidRPr="009A5C7F">
        <w:rPr>
          <w:rFonts w:cs="Arial" w:hint="cs"/>
          <w:sz w:val="20"/>
          <w:szCs w:val="20"/>
          <w:rtl/>
        </w:rPr>
        <w:t>שהיא</w:t>
      </w:r>
      <w:r w:rsidRPr="009A5C7F">
        <w:rPr>
          <w:rFonts w:cs="Arial"/>
          <w:sz w:val="20"/>
          <w:szCs w:val="20"/>
          <w:rtl/>
        </w:rPr>
        <w:t xml:space="preserve"> </w:t>
      </w:r>
      <w:r w:rsidRPr="009A5C7F">
        <w:rPr>
          <w:rFonts w:cs="Arial" w:hint="cs"/>
          <w:sz w:val="20"/>
          <w:szCs w:val="20"/>
          <w:rtl/>
        </w:rPr>
        <w:t>עושה</w:t>
      </w:r>
      <w:r w:rsidRPr="009A5C7F">
        <w:rPr>
          <w:rFonts w:cs="Arial"/>
          <w:sz w:val="20"/>
          <w:szCs w:val="20"/>
          <w:rtl/>
        </w:rPr>
        <w:t xml:space="preserve"> </w:t>
      </w:r>
      <w:r w:rsidRPr="009A5C7F">
        <w:rPr>
          <w:rFonts w:cs="Arial" w:hint="cs"/>
          <w:sz w:val="20"/>
          <w:szCs w:val="20"/>
          <w:rtl/>
        </w:rPr>
        <w:t>צרכיה</w:t>
      </w:r>
      <w:r w:rsidRPr="009A5C7F">
        <w:rPr>
          <w:rFonts w:cs="Arial"/>
          <w:sz w:val="20"/>
          <w:szCs w:val="20"/>
          <w:rtl/>
        </w:rPr>
        <w:t xml:space="preserve"> </w:t>
      </w:r>
      <w:r w:rsidRPr="009A5C7F">
        <w:rPr>
          <w:rFonts w:cs="Arial" w:hint="cs"/>
          <w:sz w:val="20"/>
          <w:szCs w:val="20"/>
          <w:rtl/>
        </w:rPr>
        <w:t>וראתה</w:t>
      </w:r>
      <w:r w:rsidRPr="009A5C7F">
        <w:rPr>
          <w:rFonts w:cs="Arial"/>
          <w:sz w:val="20"/>
          <w:szCs w:val="20"/>
          <w:rtl/>
        </w:rPr>
        <w:t xml:space="preserve"> </w:t>
      </w:r>
      <w:r w:rsidRPr="009A5C7F">
        <w:rPr>
          <w:rFonts w:cs="Arial" w:hint="cs"/>
          <w:sz w:val="20"/>
          <w:szCs w:val="20"/>
          <w:rtl/>
        </w:rPr>
        <w:t>דם</w:t>
      </w:r>
      <w:r w:rsidRPr="009A5C7F">
        <w:rPr>
          <w:rFonts w:cs="Arial"/>
          <w:sz w:val="20"/>
          <w:szCs w:val="20"/>
          <w:rtl/>
        </w:rPr>
        <w:t xml:space="preserve">, </w:t>
      </w:r>
      <w:r w:rsidRPr="009A5C7F">
        <w:rPr>
          <w:rFonts w:cs="Arial" w:hint="cs"/>
          <w:sz w:val="20"/>
          <w:szCs w:val="20"/>
          <w:rtl/>
        </w:rPr>
        <w:t>רבי</w:t>
      </w:r>
      <w:r w:rsidRPr="009A5C7F">
        <w:rPr>
          <w:rFonts w:cs="Arial"/>
          <w:sz w:val="20"/>
          <w:szCs w:val="20"/>
          <w:rtl/>
        </w:rPr>
        <w:t xml:space="preserve"> </w:t>
      </w:r>
      <w:r w:rsidRPr="009A5C7F">
        <w:rPr>
          <w:rFonts w:cs="Arial" w:hint="cs"/>
          <w:sz w:val="20"/>
          <w:szCs w:val="20"/>
          <w:rtl/>
        </w:rPr>
        <w:t>מאיר</w:t>
      </w:r>
      <w:r w:rsidRPr="009A5C7F">
        <w:rPr>
          <w:rFonts w:cs="Arial"/>
          <w:sz w:val="20"/>
          <w:szCs w:val="20"/>
          <w:rtl/>
        </w:rPr>
        <w:t xml:space="preserve"> </w:t>
      </w:r>
      <w:r w:rsidRPr="009A5C7F">
        <w:rPr>
          <w:rFonts w:cs="Arial" w:hint="cs"/>
          <w:sz w:val="20"/>
          <w:szCs w:val="20"/>
          <w:rtl/>
        </w:rPr>
        <w:t>אומר</w:t>
      </w:r>
      <w:r w:rsidRPr="009A5C7F">
        <w:rPr>
          <w:rFonts w:cs="Arial"/>
          <w:sz w:val="20"/>
          <w:szCs w:val="20"/>
          <w:rtl/>
        </w:rPr>
        <w:t xml:space="preserve">: </w:t>
      </w:r>
      <w:r w:rsidRPr="009A5C7F">
        <w:rPr>
          <w:rFonts w:cs="Arial" w:hint="cs"/>
          <w:sz w:val="20"/>
          <w:szCs w:val="20"/>
          <w:rtl/>
        </w:rPr>
        <w:t>אם</w:t>
      </w:r>
      <w:r w:rsidRPr="009A5C7F">
        <w:rPr>
          <w:rFonts w:cs="Arial"/>
          <w:sz w:val="20"/>
          <w:szCs w:val="20"/>
          <w:rtl/>
        </w:rPr>
        <w:t xml:space="preserve"> </w:t>
      </w:r>
      <w:r w:rsidRPr="009A5C7F">
        <w:rPr>
          <w:rFonts w:cs="Arial" w:hint="cs"/>
          <w:sz w:val="20"/>
          <w:szCs w:val="20"/>
          <w:rtl/>
        </w:rPr>
        <w:t>עומדת</w:t>
      </w:r>
      <w:r w:rsidRPr="009A5C7F">
        <w:rPr>
          <w:rFonts w:cs="Arial"/>
          <w:sz w:val="20"/>
          <w:szCs w:val="20"/>
          <w:rtl/>
        </w:rPr>
        <w:t xml:space="preserve"> - </w:t>
      </w:r>
      <w:r w:rsidRPr="009A5C7F">
        <w:rPr>
          <w:rFonts w:cs="Arial" w:hint="cs"/>
          <w:sz w:val="20"/>
          <w:szCs w:val="20"/>
          <w:rtl/>
        </w:rPr>
        <w:t>טמאה</w:t>
      </w:r>
      <w:r w:rsidRPr="009A5C7F">
        <w:rPr>
          <w:rFonts w:cs="Arial"/>
          <w:sz w:val="20"/>
          <w:szCs w:val="20"/>
          <w:rtl/>
        </w:rPr>
        <w:t xml:space="preserve">, </w:t>
      </w:r>
      <w:r w:rsidRPr="009A5C7F">
        <w:rPr>
          <w:rFonts w:cs="Arial" w:hint="cs"/>
          <w:sz w:val="20"/>
          <w:szCs w:val="20"/>
          <w:rtl/>
        </w:rPr>
        <w:t>ואם</w:t>
      </w:r>
      <w:r w:rsidRPr="009A5C7F">
        <w:rPr>
          <w:rFonts w:cs="Arial"/>
          <w:sz w:val="20"/>
          <w:szCs w:val="20"/>
          <w:rtl/>
        </w:rPr>
        <w:t xml:space="preserve"> </w:t>
      </w:r>
      <w:r w:rsidRPr="009A5C7F">
        <w:rPr>
          <w:rFonts w:cs="Arial" w:hint="cs"/>
          <w:sz w:val="20"/>
          <w:szCs w:val="20"/>
          <w:rtl/>
        </w:rPr>
        <w:t>יושבת</w:t>
      </w:r>
      <w:r w:rsidRPr="009A5C7F">
        <w:rPr>
          <w:rFonts w:cs="Arial"/>
          <w:sz w:val="20"/>
          <w:szCs w:val="20"/>
          <w:rtl/>
        </w:rPr>
        <w:t xml:space="preserve"> - </w:t>
      </w:r>
      <w:r w:rsidRPr="009A5C7F">
        <w:rPr>
          <w:rFonts w:cs="Arial" w:hint="cs"/>
          <w:sz w:val="20"/>
          <w:szCs w:val="20"/>
          <w:rtl/>
        </w:rPr>
        <w:t>טהורה</w:t>
      </w:r>
      <w:r w:rsidRPr="009A5C7F">
        <w:rPr>
          <w:rFonts w:cs="Arial"/>
          <w:sz w:val="20"/>
          <w:szCs w:val="20"/>
          <w:rtl/>
        </w:rPr>
        <w:t xml:space="preserve">. </w:t>
      </w:r>
      <w:r w:rsidRPr="009A5C7F">
        <w:rPr>
          <w:rFonts w:cs="Arial" w:hint="cs"/>
          <w:sz w:val="20"/>
          <w:szCs w:val="20"/>
          <w:rtl/>
        </w:rPr>
        <w:t>היכי</w:t>
      </w:r>
      <w:r w:rsidRPr="009A5C7F">
        <w:rPr>
          <w:rFonts w:cs="Arial"/>
          <w:sz w:val="20"/>
          <w:szCs w:val="20"/>
          <w:rtl/>
        </w:rPr>
        <w:t xml:space="preserve"> </w:t>
      </w:r>
      <w:r w:rsidRPr="009A5C7F">
        <w:rPr>
          <w:rFonts w:cs="Arial" w:hint="cs"/>
          <w:sz w:val="20"/>
          <w:szCs w:val="20"/>
          <w:rtl/>
        </w:rPr>
        <w:t>דמי</w:t>
      </w:r>
      <w:r w:rsidRPr="009A5C7F">
        <w:rPr>
          <w:rFonts w:cs="Arial"/>
          <w:sz w:val="20"/>
          <w:szCs w:val="20"/>
          <w:rtl/>
        </w:rPr>
        <w:t xml:space="preserve">? </w:t>
      </w:r>
      <w:r w:rsidRPr="009A5C7F">
        <w:rPr>
          <w:rFonts w:cs="Arial" w:hint="cs"/>
          <w:sz w:val="20"/>
          <w:szCs w:val="20"/>
          <w:rtl/>
        </w:rPr>
        <w:t>אי</w:t>
      </w:r>
      <w:r w:rsidRPr="009A5C7F">
        <w:rPr>
          <w:rFonts w:cs="Arial"/>
          <w:sz w:val="20"/>
          <w:szCs w:val="20"/>
          <w:rtl/>
        </w:rPr>
        <w:t xml:space="preserve"> </w:t>
      </w:r>
      <w:r w:rsidRPr="009A5C7F">
        <w:rPr>
          <w:rFonts w:cs="Arial" w:hint="cs"/>
          <w:sz w:val="20"/>
          <w:szCs w:val="20"/>
          <w:rtl/>
        </w:rPr>
        <w:t>דארגשה</w:t>
      </w:r>
      <w:r w:rsidRPr="009A5C7F">
        <w:rPr>
          <w:rFonts w:cs="Arial"/>
          <w:sz w:val="20"/>
          <w:szCs w:val="20"/>
          <w:rtl/>
        </w:rPr>
        <w:t xml:space="preserve"> - </w:t>
      </w:r>
      <w:r w:rsidRPr="009A5C7F">
        <w:rPr>
          <w:rFonts w:cs="Arial" w:hint="cs"/>
          <w:sz w:val="20"/>
          <w:szCs w:val="20"/>
          <w:rtl/>
        </w:rPr>
        <w:t>יושבת</w:t>
      </w:r>
      <w:r w:rsidRPr="009A5C7F">
        <w:rPr>
          <w:rFonts w:cs="Arial"/>
          <w:sz w:val="20"/>
          <w:szCs w:val="20"/>
          <w:rtl/>
        </w:rPr>
        <w:t xml:space="preserve"> </w:t>
      </w:r>
      <w:r w:rsidRPr="009A5C7F">
        <w:rPr>
          <w:rFonts w:cs="Arial" w:hint="cs"/>
          <w:sz w:val="20"/>
          <w:szCs w:val="20"/>
          <w:rtl/>
        </w:rPr>
        <w:t>אמאי</w:t>
      </w:r>
      <w:r w:rsidRPr="009A5C7F">
        <w:rPr>
          <w:rFonts w:cs="Arial"/>
          <w:sz w:val="20"/>
          <w:szCs w:val="20"/>
          <w:rtl/>
        </w:rPr>
        <w:t xml:space="preserve"> </w:t>
      </w:r>
      <w:r w:rsidRPr="009A5C7F">
        <w:rPr>
          <w:rFonts w:cs="Arial" w:hint="cs"/>
          <w:sz w:val="20"/>
          <w:szCs w:val="20"/>
          <w:rtl/>
        </w:rPr>
        <w:t>טהורה</w:t>
      </w:r>
      <w:r w:rsidRPr="009A5C7F">
        <w:rPr>
          <w:rFonts w:cs="Arial"/>
          <w:sz w:val="20"/>
          <w:szCs w:val="20"/>
          <w:rtl/>
        </w:rPr>
        <w:t xml:space="preserve">? </w:t>
      </w:r>
      <w:r w:rsidRPr="009A5C7F">
        <w:rPr>
          <w:rFonts w:cs="Arial" w:hint="cs"/>
          <w:sz w:val="20"/>
          <w:szCs w:val="20"/>
          <w:rtl/>
        </w:rPr>
        <w:t>אלא</w:t>
      </w:r>
      <w:r w:rsidRPr="009A5C7F">
        <w:rPr>
          <w:rFonts w:cs="Arial"/>
          <w:sz w:val="20"/>
          <w:szCs w:val="20"/>
          <w:rtl/>
        </w:rPr>
        <w:t xml:space="preserve"> </w:t>
      </w:r>
      <w:r w:rsidRPr="009A5C7F">
        <w:rPr>
          <w:rFonts w:cs="Arial" w:hint="cs"/>
          <w:sz w:val="20"/>
          <w:szCs w:val="20"/>
          <w:rtl/>
        </w:rPr>
        <w:t>לאו</w:t>
      </w:r>
      <w:r w:rsidRPr="009A5C7F">
        <w:rPr>
          <w:rFonts w:cs="Arial"/>
          <w:sz w:val="20"/>
          <w:szCs w:val="20"/>
          <w:rtl/>
        </w:rPr>
        <w:t xml:space="preserve"> - </w:t>
      </w:r>
      <w:r w:rsidRPr="009A5C7F">
        <w:rPr>
          <w:rFonts w:cs="Arial" w:hint="cs"/>
          <w:sz w:val="20"/>
          <w:szCs w:val="20"/>
          <w:rtl/>
        </w:rPr>
        <w:t>דלא</w:t>
      </w:r>
      <w:r w:rsidRPr="009A5C7F">
        <w:rPr>
          <w:rFonts w:cs="Arial"/>
          <w:sz w:val="20"/>
          <w:szCs w:val="20"/>
          <w:rtl/>
        </w:rPr>
        <w:t xml:space="preserve"> </w:t>
      </w:r>
      <w:r w:rsidRPr="009A5C7F">
        <w:rPr>
          <w:rFonts w:cs="Arial" w:hint="cs"/>
          <w:sz w:val="20"/>
          <w:szCs w:val="20"/>
          <w:rtl/>
        </w:rPr>
        <w:t>ארגשה</w:t>
      </w:r>
      <w:r w:rsidRPr="009A5C7F">
        <w:rPr>
          <w:rFonts w:cs="Arial"/>
          <w:sz w:val="20"/>
          <w:szCs w:val="20"/>
          <w:rtl/>
        </w:rPr>
        <w:t xml:space="preserve">, </w:t>
      </w:r>
      <w:r w:rsidRPr="009A5C7F">
        <w:rPr>
          <w:rFonts w:cs="Arial" w:hint="cs"/>
          <w:sz w:val="20"/>
          <w:szCs w:val="20"/>
          <w:rtl/>
        </w:rPr>
        <w:t>וקתני</w:t>
      </w:r>
      <w:r w:rsidRPr="009A5C7F">
        <w:rPr>
          <w:rFonts w:cs="Arial"/>
          <w:sz w:val="20"/>
          <w:szCs w:val="20"/>
          <w:rtl/>
        </w:rPr>
        <w:t xml:space="preserve"> </w:t>
      </w:r>
      <w:r w:rsidRPr="009A5C7F">
        <w:rPr>
          <w:rFonts w:cs="Arial" w:hint="cs"/>
          <w:sz w:val="20"/>
          <w:szCs w:val="20"/>
          <w:rtl/>
        </w:rPr>
        <w:t>עומדת</w:t>
      </w:r>
      <w:r w:rsidRPr="009A5C7F">
        <w:rPr>
          <w:rFonts w:cs="Arial"/>
          <w:sz w:val="20"/>
          <w:szCs w:val="20"/>
          <w:rtl/>
        </w:rPr>
        <w:t xml:space="preserve"> - </w:t>
      </w:r>
      <w:r w:rsidRPr="009A5C7F">
        <w:rPr>
          <w:rFonts w:cs="Arial" w:hint="cs"/>
          <w:sz w:val="20"/>
          <w:szCs w:val="20"/>
          <w:rtl/>
        </w:rPr>
        <w:t>טמאה</w:t>
      </w:r>
      <w:r w:rsidRPr="009A5C7F">
        <w:rPr>
          <w:rFonts w:cs="Arial"/>
          <w:sz w:val="20"/>
          <w:szCs w:val="20"/>
          <w:rtl/>
        </w:rPr>
        <w:t xml:space="preserve">! </w:t>
      </w:r>
      <w:r w:rsidRPr="009A5C7F">
        <w:rPr>
          <w:rFonts w:cs="Arial" w:hint="cs"/>
          <w:sz w:val="20"/>
          <w:szCs w:val="20"/>
          <w:u w:val="single"/>
          <w:rtl/>
        </w:rPr>
        <w:t>לעולם</w:t>
      </w:r>
      <w:r w:rsidRPr="009A5C7F">
        <w:rPr>
          <w:rFonts w:cs="Arial"/>
          <w:sz w:val="20"/>
          <w:szCs w:val="20"/>
          <w:u w:val="single"/>
          <w:rtl/>
        </w:rPr>
        <w:t xml:space="preserve"> - </w:t>
      </w:r>
      <w:r w:rsidRPr="009A5C7F">
        <w:rPr>
          <w:rFonts w:cs="Arial" w:hint="cs"/>
          <w:sz w:val="20"/>
          <w:szCs w:val="20"/>
          <w:u w:val="single"/>
          <w:rtl/>
        </w:rPr>
        <w:t>דארגשה</w:t>
      </w:r>
      <w:r w:rsidRPr="009A5C7F">
        <w:rPr>
          <w:rFonts w:cs="Arial"/>
          <w:sz w:val="20"/>
          <w:szCs w:val="20"/>
          <w:u w:val="single"/>
          <w:rtl/>
        </w:rPr>
        <w:t xml:space="preserve">, </w:t>
      </w:r>
      <w:r w:rsidRPr="009A5C7F">
        <w:rPr>
          <w:rFonts w:cs="Arial" w:hint="cs"/>
          <w:sz w:val="20"/>
          <w:szCs w:val="20"/>
          <w:u w:val="single"/>
          <w:rtl/>
        </w:rPr>
        <w:t>ואימור</w:t>
      </w:r>
      <w:r w:rsidRPr="009A5C7F">
        <w:rPr>
          <w:rFonts w:cs="Arial"/>
          <w:sz w:val="20"/>
          <w:szCs w:val="20"/>
          <w:u w:val="single"/>
          <w:rtl/>
        </w:rPr>
        <w:t xml:space="preserve"> </w:t>
      </w:r>
      <w:r w:rsidRPr="009A5C7F">
        <w:rPr>
          <w:rFonts w:cs="Arial" w:hint="cs"/>
          <w:sz w:val="20"/>
          <w:szCs w:val="20"/>
          <w:u w:val="single"/>
          <w:rtl/>
        </w:rPr>
        <w:t>הרגשת</w:t>
      </w:r>
      <w:r w:rsidRPr="009A5C7F">
        <w:rPr>
          <w:rFonts w:cs="Arial"/>
          <w:sz w:val="20"/>
          <w:szCs w:val="20"/>
          <w:u w:val="single"/>
          <w:rtl/>
        </w:rPr>
        <w:t xml:space="preserve"> </w:t>
      </w:r>
      <w:r w:rsidRPr="009A5C7F">
        <w:rPr>
          <w:rFonts w:cs="Arial" w:hint="cs"/>
          <w:sz w:val="20"/>
          <w:szCs w:val="20"/>
          <w:u w:val="single"/>
          <w:rtl/>
        </w:rPr>
        <w:t>מי</w:t>
      </w:r>
      <w:r w:rsidRPr="009A5C7F">
        <w:rPr>
          <w:rFonts w:cs="Arial"/>
          <w:sz w:val="20"/>
          <w:szCs w:val="20"/>
          <w:u w:val="single"/>
          <w:rtl/>
        </w:rPr>
        <w:t xml:space="preserve"> </w:t>
      </w:r>
      <w:r w:rsidRPr="009A5C7F">
        <w:rPr>
          <w:rFonts w:cs="Arial" w:hint="cs"/>
          <w:sz w:val="20"/>
          <w:szCs w:val="20"/>
          <w:u w:val="single"/>
          <w:rtl/>
        </w:rPr>
        <w:t>רגלים</w:t>
      </w:r>
      <w:r w:rsidRPr="009A5C7F">
        <w:rPr>
          <w:rFonts w:cs="Arial"/>
          <w:sz w:val="20"/>
          <w:szCs w:val="20"/>
          <w:u w:val="single"/>
          <w:rtl/>
        </w:rPr>
        <w:t xml:space="preserve"> </w:t>
      </w:r>
      <w:r w:rsidRPr="009A5C7F">
        <w:rPr>
          <w:rFonts w:cs="Arial" w:hint="cs"/>
          <w:sz w:val="20"/>
          <w:szCs w:val="20"/>
          <w:u w:val="single"/>
          <w:rtl/>
        </w:rPr>
        <w:t>הואי</w:t>
      </w:r>
      <w:r w:rsidRPr="009A5C7F">
        <w:rPr>
          <w:rFonts w:cs="Arial"/>
          <w:sz w:val="20"/>
          <w:szCs w:val="20"/>
          <w:rtl/>
        </w:rPr>
        <w:t xml:space="preserve">. </w:t>
      </w:r>
      <w:r w:rsidRPr="009A5C7F">
        <w:rPr>
          <w:rFonts w:cs="Arial" w:hint="cs"/>
          <w:sz w:val="20"/>
          <w:szCs w:val="20"/>
          <w:rtl/>
        </w:rPr>
        <w:t>עומדת</w:t>
      </w:r>
      <w:r w:rsidRPr="009A5C7F">
        <w:rPr>
          <w:rFonts w:cs="Arial"/>
          <w:sz w:val="20"/>
          <w:szCs w:val="20"/>
          <w:rtl/>
        </w:rPr>
        <w:t xml:space="preserve"> - </w:t>
      </w:r>
      <w:r w:rsidRPr="009A5C7F">
        <w:rPr>
          <w:rFonts w:cs="Arial" w:hint="cs"/>
          <w:sz w:val="20"/>
          <w:szCs w:val="20"/>
          <w:rtl/>
        </w:rPr>
        <w:t>הדור</w:t>
      </w:r>
      <w:r w:rsidRPr="009A5C7F">
        <w:rPr>
          <w:rFonts w:cs="Arial"/>
          <w:sz w:val="20"/>
          <w:szCs w:val="20"/>
          <w:rtl/>
        </w:rPr>
        <w:t xml:space="preserve"> </w:t>
      </w:r>
      <w:r w:rsidRPr="009A5C7F">
        <w:rPr>
          <w:rFonts w:cs="Arial" w:hint="cs"/>
          <w:sz w:val="20"/>
          <w:szCs w:val="20"/>
          <w:rtl/>
        </w:rPr>
        <w:t>מי</w:t>
      </w:r>
      <w:r w:rsidRPr="009A5C7F">
        <w:rPr>
          <w:rFonts w:cs="Arial"/>
          <w:sz w:val="20"/>
          <w:szCs w:val="20"/>
          <w:rtl/>
        </w:rPr>
        <w:t xml:space="preserve"> </w:t>
      </w:r>
      <w:r w:rsidRPr="009A5C7F">
        <w:rPr>
          <w:rFonts w:cs="Arial" w:hint="cs"/>
          <w:sz w:val="20"/>
          <w:szCs w:val="20"/>
          <w:rtl/>
        </w:rPr>
        <w:t>רגלים</w:t>
      </w:r>
      <w:r w:rsidRPr="009A5C7F">
        <w:rPr>
          <w:rFonts w:cs="Arial"/>
          <w:sz w:val="20"/>
          <w:szCs w:val="20"/>
          <w:rtl/>
        </w:rPr>
        <w:t xml:space="preserve"> </w:t>
      </w:r>
      <w:r w:rsidRPr="009A5C7F">
        <w:rPr>
          <w:rFonts w:cs="Arial" w:hint="cs"/>
          <w:sz w:val="20"/>
          <w:szCs w:val="20"/>
          <w:rtl/>
        </w:rPr>
        <w:t>למקור</w:t>
      </w:r>
      <w:r w:rsidRPr="009A5C7F">
        <w:rPr>
          <w:rFonts w:cs="Arial"/>
          <w:sz w:val="20"/>
          <w:szCs w:val="20"/>
          <w:rtl/>
        </w:rPr>
        <w:t xml:space="preserve"> </w:t>
      </w:r>
      <w:r w:rsidRPr="009A5C7F">
        <w:rPr>
          <w:rFonts w:cs="Arial" w:hint="cs"/>
          <w:sz w:val="20"/>
          <w:szCs w:val="20"/>
          <w:rtl/>
        </w:rPr>
        <w:t>ואייתי</w:t>
      </w:r>
      <w:r w:rsidRPr="009A5C7F">
        <w:rPr>
          <w:rFonts w:cs="Arial"/>
          <w:sz w:val="20"/>
          <w:szCs w:val="20"/>
          <w:rtl/>
        </w:rPr>
        <w:t xml:space="preserve"> </w:t>
      </w:r>
      <w:r w:rsidRPr="009A5C7F">
        <w:rPr>
          <w:rFonts w:cs="Arial" w:hint="cs"/>
          <w:sz w:val="20"/>
          <w:szCs w:val="20"/>
          <w:rtl/>
        </w:rPr>
        <w:t>דם</w:t>
      </w:r>
      <w:r w:rsidRPr="009A5C7F">
        <w:rPr>
          <w:rFonts w:cs="Arial"/>
          <w:sz w:val="20"/>
          <w:szCs w:val="20"/>
          <w:rtl/>
        </w:rPr>
        <w:t xml:space="preserve">, </w:t>
      </w:r>
      <w:r w:rsidRPr="009A5C7F">
        <w:rPr>
          <w:rFonts w:cs="Arial" w:hint="cs"/>
          <w:sz w:val="20"/>
          <w:szCs w:val="20"/>
          <w:rtl/>
        </w:rPr>
        <w:t>ויושבת</w:t>
      </w:r>
      <w:r w:rsidRPr="009A5C7F">
        <w:rPr>
          <w:rFonts w:cs="Arial"/>
          <w:sz w:val="20"/>
          <w:szCs w:val="20"/>
          <w:rtl/>
        </w:rPr>
        <w:t xml:space="preserve"> </w:t>
      </w:r>
      <w:r w:rsidRPr="009A5C7F">
        <w:rPr>
          <w:rFonts w:cs="Arial" w:hint="cs"/>
          <w:sz w:val="20"/>
          <w:szCs w:val="20"/>
          <w:rtl/>
        </w:rPr>
        <w:t>טהורה</w:t>
      </w:r>
      <w:r>
        <w:rPr>
          <w:rFonts w:cs="Arial" w:hint="cs"/>
          <w:sz w:val="20"/>
          <w:szCs w:val="20"/>
          <w:rtl/>
        </w:rPr>
        <w:t>"</w:t>
      </w:r>
      <w:r w:rsidRPr="009A5C7F">
        <w:rPr>
          <w:rFonts w:cs="Arial"/>
          <w:sz w:val="20"/>
          <w:szCs w:val="20"/>
          <w:rtl/>
        </w:rPr>
        <w:t>.</w:t>
      </w:r>
      <w:r>
        <w:rPr>
          <w:rFonts w:cs="Arial" w:hint="cs"/>
          <w:sz w:val="20"/>
          <w:szCs w:val="20"/>
          <w:rtl/>
        </w:rPr>
        <w:br/>
        <w:t xml:space="preserve">כלומר </w:t>
      </w:r>
      <w:r>
        <w:rPr>
          <w:rFonts w:cs="Arial"/>
          <w:sz w:val="20"/>
          <w:szCs w:val="20"/>
          <w:rtl/>
        </w:rPr>
        <w:t>–</w:t>
      </w:r>
      <w:r>
        <w:rPr>
          <w:rFonts w:cs="Arial" w:hint="cs"/>
          <w:sz w:val="20"/>
          <w:szCs w:val="20"/>
          <w:rtl/>
        </w:rPr>
        <w:t xml:space="preserve"> למרות שהרגישה ביציאת מ"ר, טהורה משום שכנראה הרגישה את יציאת מ"ר, וכ"פ </w:t>
      </w:r>
      <w:r w:rsidRPr="009A5C7F">
        <w:rPr>
          <w:rFonts w:cs="Arial" w:hint="cs"/>
          <w:b/>
          <w:bCs/>
          <w:sz w:val="20"/>
          <w:szCs w:val="20"/>
          <w:rtl/>
        </w:rPr>
        <w:t>המחבר</w:t>
      </w:r>
      <w:r>
        <w:rPr>
          <w:rFonts w:cs="Arial" w:hint="cs"/>
          <w:sz w:val="20"/>
          <w:szCs w:val="20"/>
          <w:rtl/>
        </w:rPr>
        <w:t>.</w:t>
      </w:r>
      <w:r>
        <w:rPr>
          <w:rFonts w:hint="cs"/>
          <w:b/>
          <w:bCs/>
          <w:sz w:val="20"/>
          <w:szCs w:val="20"/>
          <w:rtl/>
        </w:rPr>
        <w:br/>
      </w:r>
      <w:r>
        <w:rPr>
          <w:b/>
          <w:bCs/>
          <w:sz w:val="20"/>
          <w:szCs w:val="20"/>
          <w:rtl/>
        </w:rPr>
        <w:lastRenderedPageBreak/>
        <w:br/>
      </w:r>
      <w:r>
        <w:rPr>
          <w:rFonts w:hint="cs"/>
          <w:b/>
          <w:bCs/>
          <w:sz w:val="20"/>
          <w:szCs w:val="20"/>
          <w:rtl/>
        </w:rPr>
        <w:t>איש ואשה שהטילו צרכיהם לספל</w:t>
      </w:r>
      <w:r>
        <w:rPr>
          <w:rFonts w:hint="cs"/>
          <w:b/>
          <w:bCs/>
          <w:sz w:val="20"/>
          <w:szCs w:val="20"/>
          <w:rtl/>
        </w:rPr>
        <w:br/>
        <w:t xml:space="preserve">משנה </w:t>
      </w:r>
      <w:r>
        <w:rPr>
          <w:rFonts w:hint="cs"/>
          <w:sz w:val="20"/>
          <w:szCs w:val="20"/>
          <w:rtl/>
        </w:rPr>
        <w:t>(שם) "</w:t>
      </w:r>
      <w:r w:rsidRPr="00774AB3">
        <w:rPr>
          <w:rFonts w:cs="Arial" w:hint="cs"/>
          <w:sz w:val="20"/>
          <w:szCs w:val="20"/>
          <w:rtl/>
        </w:rPr>
        <w:t>איש</w:t>
      </w:r>
      <w:r w:rsidRPr="00774AB3">
        <w:rPr>
          <w:rFonts w:cs="Arial"/>
          <w:sz w:val="20"/>
          <w:szCs w:val="20"/>
          <w:rtl/>
        </w:rPr>
        <w:t xml:space="preserve"> </w:t>
      </w:r>
      <w:r w:rsidRPr="00774AB3">
        <w:rPr>
          <w:rFonts w:cs="Arial" w:hint="cs"/>
          <w:sz w:val="20"/>
          <w:szCs w:val="20"/>
          <w:rtl/>
        </w:rPr>
        <w:t>ואשה</w:t>
      </w:r>
      <w:r w:rsidRPr="00774AB3">
        <w:rPr>
          <w:rFonts w:cs="Arial"/>
          <w:sz w:val="20"/>
          <w:szCs w:val="20"/>
          <w:rtl/>
        </w:rPr>
        <w:t xml:space="preserve"> </w:t>
      </w:r>
      <w:r w:rsidRPr="00774AB3">
        <w:rPr>
          <w:rFonts w:cs="Arial" w:hint="cs"/>
          <w:sz w:val="20"/>
          <w:szCs w:val="20"/>
          <w:rtl/>
        </w:rPr>
        <w:t>שעשו</w:t>
      </w:r>
      <w:r w:rsidRPr="00774AB3">
        <w:rPr>
          <w:rFonts w:cs="Arial"/>
          <w:sz w:val="20"/>
          <w:szCs w:val="20"/>
          <w:rtl/>
        </w:rPr>
        <w:t xml:space="preserve"> </w:t>
      </w:r>
      <w:r w:rsidRPr="00774AB3">
        <w:rPr>
          <w:rFonts w:cs="Arial" w:hint="cs"/>
          <w:sz w:val="20"/>
          <w:szCs w:val="20"/>
          <w:rtl/>
        </w:rPr>
        <w:t>צרכיהן</w:t>
      </w:r>
      <w:r w:rsidRPr="00774AB3">
        <w:rPr>
          <w:rFonts w:cs="Arial"/>
          <w:sz w:val="20"/>
          <w:szCs w:val="20"/>
          <w:rtl/>
        </w:rPr>
        <w:t xml:space="preserve"> </w:t>
      </w:r>
      <w:r w:rsidRPr="00774AB3">
        <w:rPr>
          <w:rFonts w:cs="Arial" w:hint="cs"/>
          <w:sz w:val="20"/>
          <w:szCs w:val="20"/>
          <w:rtl/>
        </w:rPr>
        <w:t>לתוך</w:t>
      </w:r>
      <w:r w:rsidRPr="00774AB3">
        <w:rPr>
          <w:rFonts w:cs="Arial"/>
          <w:sz w:val="20"/>
          <w:szCs w:val="20"/>
          <w:rtl/>
        </w:rPr>
        <w:t xml:space="preserve"> </w:t>
      </w:r>
      <w:r w:rsidRPr="00774AB3">
        <w:rPr>
          <w:rFonts w:cs="Arial" w:hint="cs"/>
          <w:sz w:val="20"/>
          <w:szCs w:val="20"/>
          <w:rtl/>
        </w:rPr>
        <w:t>הספל</w:t>
      </w:r>
      <w:r w:rsidRPr="00774AB3">
        <w:rPr>
          <w:rFonts w:cs="Arial"/>
          <w:sz w:val="20"/>
          <w:szCs w:val="20"/>
          <w:rtl/>
        </w:rPr>
        <w:t xml:space="preserve">, </w:t>
      </w:r>
      <w:r w:rsidRPr="00774AB3">
        <w:rPr>
          <w:rFonts w:cs="Arial" w:hint="cs"/>
          <w:sz w:val="20"/>
          <w:szCs w:val="20"/>
          <w:rtl/>
        </w:rPr>
        <w:t>ונמצא</w:t>
      </w:r>
      <w:r w:rsidRPr="00774AB3">
        <w:rPr>
          <w:rFonts w:cs="Arial"/>
          <w:sz w:val="20"/>
          <w:szCs w:val="20"/>
          <w:rtl/>
        </w:rPr>
        <w:t xml:space="preserve"> </w:t>
      </w:r>
      <w:r w:rsidRPr="00774AB3">
        <w:rPr>
          <w:rFonts w:cs="Arial" w:hint="cs"/>
          <w:sz w:val="20"/>
          <w:szCs w:val="20"/>
          <w:rtl/>
        </w:rPr>
        <w:t>דם</w:t>
      </w:r>
      <w:r w:rsidRPr="00774AB3">
        <w:rPr>
          <w:rFonts w:cs="Arial"/>
          <w:sz w:val="20"/>
          <w:szCs w:val="20"/>
          <w:rtl/>
        </w:rPr>
        <w:t xml:space="preserve"> </w:t>
      </w:r>
      <w:r w:rsidRPr="00774AB3">
        <w:rPr>
          <w:rFonts w:cs="Arial" w:hint="cs"/>
          <w:sz w:val="20"/>
          <w:szCs w:val="20"/>
          <w:rtl/>
        </w:rPr>
        <w:t>על</w:t>
      </w:r>
      <w:r w:rsidRPr="00774AB3">
        <w:rPr>
          <w:rFonts w:cs="Arial"/>
          <w:sz w:val="20"/>
          <w:szCs w:val="20"/>
          <w:rtl/>
        </w:rPr>
        <w:t xml:space="preserve"> </w:t>
      </w:r>
      <w:r w:rsidRPr="00774AB3">
        <w:rPr>
          <w:rFonts w:cs="Arial" w:hint="cs"/>
          <w:sz w:val="20"/>
          <w:szCs w:val="20"/>
          <w:rtl/>
        </w:rPr>
        <w:t>המים</w:t>
      </w:r>
      <w:r w:rsidRPr="00774AB3">
        <w:rPr>
          <w:rFonts w:cs="Arial"/>
          <w:sz w:val="20"/>
          <w:szCs w:val="20"/>
          <w:rtl/>
        </w:rPr>
        <w:t xml:space="preserve">, </w:t>
      </w:r>
      <w:r w:rsidRPr="00774AB3">
        <w:rPr>
          <w:rFonts w:cs="Arial" w:hint="cs"/>
          <w:sz w:val="20"/>
          <w:szCs w:val="20"/>
          <w:rtl/>
        </w:rPr>
        <w:t>רבי</w:t>
      </w:r>
      <w:r w:rsidRPr="00774AB3">
        <w:rPr>
          <w:rFonts w:cs="Arial"/>
          <w:sz w:val="20"/>
          <w:szCs w:val="20"/>
          <w:rtl/>
        </w:rPr>
        <w:t xml:space="preserve"> </w:t>
      </w:r>
      <w:r w:rsidRPr="00774AB3">
        <w:rPr>
          <w:rFonts w:cs="Arial" w:hint="cs"/>
          <w:sz w:val="20"/>
          <w:szCs w:val="20"/>
          <w:rtl/>
        </w:rPr>
        <w:t>יוסי</w:t>
      </w:r>
      <w:r w:rsidRPr="00774AB3">
        <w:rPr>
          <w:rFonts w:cs="Arial"/>
          <w:sz w:val="20"/>
          <w:szCs w:val="20"/>
          <w:rtl/>
        </w:rPr>
        <w:t xml:space="preserve"> - </w:t>
      </w:r>
      <w:r w:rsidRPr="00774AB3">
        <w:rPr>
          <w:rFonts w:cs="Arial" w:hint="cs"/>
          <w:sz w:val="20"/>
          <w:szCs w:val="20"/>
          <w:rtl/>
        </w:rPr>
        <w:t>מטהר</w:t>
      </w:r>
      <w:r w:rsidRPr="00774AB3">
        <w:rPr>
          <w:rFonts w:cs="Arial"/>
          <w:sz w:val="20"/>
          <w:szCs w:val="20"/>
          <w:rtl/>
        </w:rPr>
        <w:t xml:space="preserve">, </w:t>
      </w:r>
      <w:r w:rsidRPr="00774AB3">
        <w:rPr>
          <w:rFonts w:cs="Arial" w:hint="cs"/>
          <w:sz w:val="20"/>
          <w:szCs w:val="20"/>
          <w:rtl/>
        </w:rPr>
        <w:t>ורבי</w:t>
      </w:r>
      <w:r w:rsidRPr="00774AB3">
        <w:rPr>
          <w:rFonts w:cs="Arial"/>
          <w:sz w:val="20"/>
          <w:szCs w:val="20"/>
          <w:rtl/>
        </w:rPr>
        <w:t xml:space="preserve"> </w:t>
      </w:r>
      <w:r w:rsidRPr="00774AB3">
        <w:rPr>
          <w:rFonts w:cs="Arial" w:hint="cs"/>
          <w:sz w:val="20"/>
          <w:szCs w:val="20"/>
          <w:rtl/>
        </w:rPr>
        <w:t>שמעון</w:t>
      </w:r>
      <w:r w:rsidRPr="00774AB3">
        <w:rPr>
          <w:rFonts w:cs="Arial"/>
          <w:sz w:val="20"/>
          <w:szCs w:val="20"/>
          <w:rtl/>
        </w:rPr>
        <w:t xml:space="preserve"> - </w:t>
      </w:r>
      <w:r w:rsidRPr="00774AB3">
        <w:rPr>
          <w:rFonts w:cs="Arial" w:hint="cs"/>
          <w:sz w:val="20"/>
          <w:szCs w:val="20"/>
          <w:rtl/>
        </w:rPr>
        <w:t>מטמא</w:t>
      </w:r>
      <w:r w:rsidRPr="00774AB3">
        <w:rPr>
          <w:rFonts w:cs="Arial"/>
          <w:sz w:val="20"/>
          <w:szCs w:val="20"/>
          <w:rtl/>
        </w:rPr>
        <w:t xml:space="preserve">, </w:t>
      </w:r>
      <w:r w:rsidRPr="00774AB3">
        <w:rPr>
          <w:rFonts w:cs="Arial" w:hint="cs"/>
          <w:sz w:val="20"/>
          <w:szCs w:val="20"/>
          <w:rtl/>
        </w:rPr>
        <w:t>שאין</w:t>
      </w:r>
      <w:r w:rsidRPr="00774AB3">
        <w:rPr>
          <w:rFonts w:cs="Arial"/>
          <w:sz w:val="20"/>
          <w:szCs w:val="20"/>
          <w:rtl/>
        </w:rPr>
        <w:t xml:space="preserve"> </w:t>
      </w:r>
      <w:r w:rsidRPr="00774AB3">
        <w:rPr>
          <w:rFonts w:cs="Arial" w:hint="cs"/>
          <w:sz w:val="20"/>
          <w:szCs w:val="20"/>
          <w:rtl/>
        </w:rPr>
        <w:t>דרך</w:t>
      </w:r>
      <w:r w:rsidRPr="00774AB3">
        <w:rPr>
          <w:rFonts w:cs="Arial"/>
          <w:sz w:val="20"/>
          <w:szCs w:val="20"/>
          <w:rtl/>
        </w:rPr>
        <w:t xml:space="preserve"> </w:t>
      </w:r>
      <w:r w:rsidRPr="00774AB3">
        <w:rPr>
          <w:rFonts w:cs="Arial" w:hint="cs"/>
          <w:sz w:val="20"/>
          <w:szCs w:val="20"/>
          <w:rtl/>
        </w:rPr>
        <w:t>האיש</w:t>
      </w:r>
      <w:r w:rsidRPr="00774AB3">
        <w:rPr>
          <w:rFonts w:cs="Arial"/>
          <w:sz w:val="20"/>
          <w:szCs w:val="20"/>
          <w:rtl/>
        </w:rPr>
        <w:t xml:space="preserve"> </w:t>
      </w:r>
      <w:r w:rsidRPr="00774AB3">
        <w:rPr>
          <w:rFonts w:cs="Arial" w:hint="cs"/>
          <w:sz w:val="20"/>
          <w:szCs w:val="20"/>
          <w:rtl/>
        </w:rPr>
        <w:t>להוציא</w:t>
      </w:r>
      <w:r w:rsidRPr="00774AB3">
        <w:rPr>
          <w:rFonts w:cs="Arial"/>
          <w:sz w:val="20"/>
          <w:szCs w:val="20"/>
          <w:rtl/>
        </w:rPr>
        <w:t xml:space="preserve"> </w:t>
      </w:r>
      <w:r w:rsidRPr="00774AB3">
        <w:rPr>
          <w:rFonts w:cs="Arial" w:hint="cs"/>
          <w:sz w:val="20"/>
          <w:szCs w:val="20"/>
          <w:rtl/>
        </w:rPr>
        <w:t>דם</w:t>
      </w:r>
      <w:r w:rsidRPr="00774AB3">
        <w:rPr>
          <w:rFonts w:cs="Arial"/>
          <w:sz w:val="20"/>
          <w:szCs w:val="20"/>
          <w:rtl/>
        </w:rPr>
        <w:t xml:space="preserve">, </w:t>
      </w:r>
      <w:r w:rsidRPr="00774AB3">
        <w:rPr>
          <w:rFonts w:cs="Arial" w:hint="cs"/>
          <w:sz w:val="20"/>
          <w:szCs w:val="20"/>
          <w:rtl/>
        </w:rPr>
        <w:t>אלא</w:t>
      </w:r>
      <w:r w:rsidRPr="00774AB3">
        <w:rPr>
          <w:rFonts w:cs="Arial"/>
          <w:sz w:val="20"/>
          <w:szCs w:val="20"/>
          <w:rtl/>
        </w:rPr>
        <w:t xml:space="preserve"> </w:t>
      </w:r>
      <w:r w:rsidRPr="00774AB3">
        <w:rPr>
          <w:rFonts w:cs="Arial" w:hint="cs"/>
          <w:sz w:val="20"/>
          <w:szCs w:val="20"/>
          <w:rtl/>
        </w:rPr>
        <w:t>שחזקת</w:t>
      </w:r>
      <w:r w:rsidRPr="00774AB3">
        <w:rPr>
          <w:rFonts w:cs="Arial"/>
          <w:sz w:val="20"/>
          <w:szCs w:val="20"/>
          <w:rtl/>
        </w:rPr>
        <w:t xml:space="preserve"> </w:t>
      </w:r>
      <w:r w:rsidRPr="00774AB3">
        <w:rPr>
          <w:rFonts w:cs="Arial" w:hint="cs"/>
          <w:sz w:val="20"/>
          <w:szCs w:val="20"/>
          <w:rtl/>
        </w:rPr>
        <w:t>דמים</w:t>
      </w:r>
      <w:r w:rsidRPr="00774AB3">
        <w:rPr>
          <w:rFonts w:cs="Arial"/>
          <w:sz w:val="20"/>
          <w:szCs w:val="20"/>
          <w:rtl/>
        </w:rPr>
        <w:t xml:space="preserve"> </w:t>
      </w:r>
      <w:r w:rsidRPr="00774AB3">
        <w:rPr>
          <w:rFonts w:cs="Arial" w:hint="cs"/>
          <w:sz w:val="20"/>
          <w:szCs w:val="20"/>
          <w:rtl/>
        </w:rPr>
        <w:t>מן</w:t>
      </w:r>
      <w:r w:rsidRPr="00774AB3">
        <w:rPr>
          <w:rFonts w:cs="Arial"/>
          <w:sz w:val="20"/>
          <w:szCs w:val="20"/>
          <w:rtl/>
        </w:rPr>
        <w:t xml:space="preserve"> </w:t>
      </w:r>
      <w:r w:rsidRPr="00774AB3">
        <w:rPr>
          <w:rFonts w:cs="Arial" w:hint="cs"/>
          <w:sz w:val="20"/>
          <w:szCs w:val="20"/>
          <w:rtl/>
        </w:rPr>
        <w:t>האשה</w:t>
      </w:r>
      <w:r>
        <w:rPr>
          <w:rFonts w:cs="Arial" w:hint="cs"/>
          <w:sz w:val="20"/>
          <w:szCs w:val="20"/>
          <w:rtl/>
        </w:rPr>
        <w:t>".</w:t>
      </w:r>
      <w:r>
        <w:rPr>
          <w:sz w:val="20"/>
          <w:szCs w:val="20"/>
          <w:rtl/>
        </w:rPr>
        <w:br/>
      </w:r>
      <w:r w:rsidRPr="00A6273F">
        <w:rPr>
          <w:rFonts w:hint="cs"/>
          <w:b/>
          <w:bCs/>
          <w:sz w:val="20"/>
          <w:szCs w:val="20"/>
          <w:rtl/>
        </w:rPr>
        <w:t>בית יוסף</w:t>
      </w:r>
      <w:r>
        <w:rPr>
          <w:rFonts w:hint="cs"/>
          <w:sz w:val="20"/>
          <w:szCs w:val="20"/>
          <w:rtl/>
        </w:rPr>
        <w:t xml:space="preserve"> </w:t>
      </w:r>
      <w:r>
        <w:rPr>
          <w:sz w:val="20"/>
          <w:szCs w:val="20"/>
          <w:rtl/>
        </w:rPr>
        <w:t>–</w:t>
      </w:r>
      <w:r>
        <w:rPr>
          <w:rFonts w:hint="cs"/>
          <w:sz w:val="20"/>
          <w:szCs w:val="20"/>
          <w:rtl/>
        </w:rPr>
        <w:t xml:space="preserve"> הלכה כרבי יוסי המטהר, וכפי שנאמר להדיא בגמרא שהלכה כמותו.</w:t>
      </w:r>
      <w:r>
        <w:rPr>
          <w:sz w:val="20"/>
          <w:szCs w:val="20"/>
          <w:rtl/>
        </w:rPr>
        <w:br/>
      </w:r>
      <w:r>
        <w:rPr>
          <w:rFonts w:hint="cs"/>
          <w:sz w:val="20"/>
          <w:szCs w:val="20"/>
          <w:rtl/>
        </w:rPr>
        <w:t xml:space="preserve">ואמנם, לדעת רש"י והרמב"ם דין זה נלמד בקל וחומר מהדין הקודם, שהרי אפילו בספק אחד טיהרו, כל שכן כאן שיש שני ספקות </w:t>
      </w:r>
      <w:r w:rsidRPr="00A6273F">
        <w:rPr>
          <w:rFonts w:hint="cs"/>
          <w:sz w:val="18"/>
          <w:szCs w:val="18"/>
          <w:rtl/>
        </w:rPr>
        <w:t>(שמא מהאיש, ואת"ל מהאשה שמא יש בה מכה)</w:t>
      </w:r>
      <w:r>
        <w:rPr>
          <w:rFonts w:hint="cs"/>
          <w:sz w:val="20"/>
          <w:szCs w:val="20"/>
          <w:rtl/>
        </w:rPr>
        <w:t>.</w:t>
      </w:r>
      <w:r>
        <w:rPr>
          <w:sz w:val="20"/>
          <w:szCs w:val="20"/>
          <w:rtl/>
        </w:rPr>
        <w:br/>
      </w:r>
      <w:r>
        <w:rPr>
          <w:rFonts w:hint="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01412F">
        <w:rPr>
          <w:rFonts w:cs="Arial" w:hint="cs"/>
          <w:sz w:val="20"/>
          <w:szCs w:val="20"/>
          <w:rtl/>
        </w:rPr>
        <w:t>האשה</w:t>
      </w:r>
      <w:r w:rsidRPr="0001412F">
        <w:rPr>
          <w:rFonts w:cs="Arial"/>
          <w:sz w:val="20"/>
          <w:szCs w:val="20"/>
          <w:rtl/>
        </w:rPr>
        <w:t xml:space="preserve"> </w:t>
      </w:r>
      <w:r w:rsidRPr="0001412F">
        <w:rPr>
          <w:rFonts w:cs="Arial" w:hint="cs"/>
          <w:sz w:val="20"/>
          <w:szCs w:val="20"/>
          <w:rtl/>
        </w:rPr>
        <w:t>שהשתינה</w:t>
      </w:r>
      <w:r w:rsidRPr="0001412F">
        <w:rPr>
          <w:rFonts w:cs="Arial"/>
          <w:sz w:val="20"/>
          <w:szCs w:val="20"/>
          <w:rtl/>
        </w:rPr>
        <w:t xml:space="preserve"> </w:t>
      </w:r>
      <w:r w:rsidRPr="0001412F">
        <w:rPr>
          <w:rFonts w:cs="Arial" w:hint="cs"/>
          <w:sz w:val="20"/>
          <w:szCs w:val="20"/>
          <w:rtl/>
        </w:rPr>
        <w:t>מים</w:t>
      </w:r>
      <w:r w:rsidRPr="0001412F">
        <w:rPr>
          <w:rFonts w:cs="Arial"/>
          <w:sz w:val="20"/>
          <w:szCs w:val="20"/>
          <w:rtl/>
        </w:rPr>
        <w:t xml:space="preserve"> </w:t>
      </w:r>
      <w:r w:rsidRPr="0001412F">
        <w:rPr>
          <w:rFonts w:cs="Arial" w:hint="cs"/>
          <w:sz w:val="20"/>
          <w:szCs w:val="20"/>
          <w:rtl/>
        </w:rPr>
        <w:t>ויצא</w:t>
      </w:r>
      <w:r w:rsidRPr="0001412F">
        <w:rPr>
          <w:rFonts w:cs="Arial"/>
          <w:sz w:val="20"/>
          <w:szCs w:val="20"/>
          <w:rtl/>
        </w:rPr>
        <w:t xml:space="preserve"> </w:t>
      </w:r>
      <w:r w:rsidRPr="0001412F">
        <w:rPr>
          <w:rFonts w:cs="Arial" w:hint="cs"/>
          <w:sz w:val="20"/>
          <w:szCs w:val="20"/>
          <w:rtl/>
        </w:rPr>
        <w:t>דם</w:t>
      </w:r>
      <w:r w:rsidRPr="0001412F">
        <w:rPr>
          <w:rFonts w:cs="Arial"/>
          <w:sz w:val="20"/>
          <w:szCs w:val="20"/>
          <w:rtl/>
        </w:rPr>
        <w:t xml:space="preserve"> </w:t>
      </w:r>
      <w:r w:rsidRPr="0001412F">
        <w:rPr>
          <w:rFonts w:cs="Arial" w:hint="cs"/>
          <w:sz w:val="20"/>
          <w:szCs w:val="20"/>
          <w:rtl/>
        </w:rPr>
        <w:t>עם</w:t>
      </w:r>
      <w:r w:rsidRPr="0001412F">
        <w:rPr>
          <w:rFonts w:cs="Arial"/>
          <w:sz w:val="20"/>
          <w:szCs w:val="20"/>
          <w:rtl/>
        </w:rPr>
        <w:t xml:space="preserve"> </w:t>
      </w:r>
      <w:r w:rsidRPr="0001412F">
        <w:rPr>
          <w:rFonts w:cs="Arial" w:hint="cs"/>
          <w:sz w:val="20"/>
          <w:szCs w:val="20"/>
          <w:rtl/>
        </w:rPr>
        <w:t>מי</w:t>
      </w:r>
      <w:r w:rsidRPr="0001412F">
        <w:rPr>
          <w:rFonts w:cs="Arial"/>
          <w:sz w:val="20"/>
          <w:szCs w:val="20"/>
          <w:rtl/>
        </w:rPr>
        <w:t xml:space="preserve"> </w:t>
      </w:r>
      <w:r w:rsidRPr="0001412F">
        <w:rPr>
          <w:rFonts w:cs="Arial" w:hint="cs"/>
          <w:sz w:val="20"/>
          <w:szCs w:val="20"/>
          <w:rtl/>
        </w:rPr>
        <w:t>רגליה</w:t>
      </w:r>
      <w:r w:rsidRPr="0001412F">
        <w:rPr>
          <w:rFonts w:cs="Arial"/>
          <w:sz w:val="20"/>
          <w:szCs w:val="20"/>
          <w:rtl/>
        </w:rPr>
        <w:t xml:space="preserve">, </w:t>
      </w:r>
      <w:r w:rsidRPr="0001412F">
        <w:rPr>
          <w:rFonts w:cs="Arial" w:hint="cs"/>
          <w:sz w:val="20"/>
          <w:szCs w:val="20"/>
          <w:rtl/>
        </w:rPr>
        <w:t>בין</w:t>
      </w:r>
      <w:r w:rsidRPr="0001412F">
        <w:rPr>
          <w:rFonts w:cs="Arial"/>
          <w:sz w:val="20"/>
          <w:szCs w:val="20"/>
          <w:rtl/>
        </w:rPr>
        <w:t xml:space="preserve"> </w:t>
      </w:r>
      <w:r w:rsidRPr="0001412F">
        <w:rPr>
          <w:rFonts w:cs="Arial" w:hint="cs"/>
          <w:sz w:val="20"/>
          <w:szCs w:val="20"/>
          <w:rtl/>
        </w:rPr>
        <w:t>שהשתינה</w:t>
      </w:r>
      <w:r w:rsidRPr="0001412F">
        <w:rPr>
          <w:rFonts w:cs="Arial"/>
          <w:sz w:val="20"/>
          <w:szCs w:val="20"/>
          <w:rtl/>
        </w:rPr>
        <w:t xml:space="preserve"> </w:t>
      </w:r>
      <w:r w:rsidRPr="0001412F">
        <w:rPr>
          <w:rFonts w:cs="Arial" w:hint="cs"/>
          <w:sz w:val="20"/>
          <w:szCs w:val="20"/>
          <w:rtl/>
        </w:rPr>
        <w:t>והיא</w:t>
      </w:r>
      <w:r w:rsidRPr="0001412F">
        <w:rPr>
          <w:rFonts w:cs="Arial"/>
          <w:sz w:val="20"/>
          <w:szCs w:val="20"/>
          <w:rtl/>
        </w:rPr>
        <w:t xml:space="preserve"> </w:t>
      </w:r>
      <w:r w:rsidRPr="0001412F">
        <w:rPr>
          <w:rFonts w:cs="Arial" w:hint="cs"/>
          <w:sz w:val="20"/>
          <w:szCs w:val="20"/>
          <w:rtl/>
        </w:rPr>
        <w:t>עומדת</w:t>
      </w:r>
      <w:r w:rsidRPr="0001412F">
        <w:rPr>
          <w:rFonts w:cs="Arial"/>
          <w:sz w:val="20"/>
          <w:szCs w:val="20"/>
          <w:rtl/>
        </w:rPr>
        <w:t xml:space="preserve">, </w:t>
      </w:r>
      <w:r w:rsidRPr="0001412F">
        <w:rPr>
          <w:rFonts w:cs="Arial" w:hint="cs"/>
          <w:sz w:val="20"/>
          <w:szCs w:val="20"/>
          <w:rtl/>
        </w:rPr>
        <w:t>בין</w:t>
      </w:r>
      <w:r w:rsidRPr="0001412F">
        <w:rPr>
          <w:rFonts w:cs="Arial"/>
          <w:sz w:val="20"/>
          <w:szCs w:val="20"/>
          <w:rtl/>
        </w:rPr>
        <w:t xml:space="preserve"> </w:t>
      </w:r>
      <w:r w:rsidRPr="0001412F">
        <w:rPr>
          <w:rFonts w:cs="Arial" w:hint="cs"/>
          <w:sz w:val="20"/>
          <w:szCs w:val="20"/>
          <w:rtl/>
        </w:rPr>
        <w:t>שהשתינה</w:t>
      </w:r>
      <w:r w:rsidRPr="0001412F">
        <w:rPr>
          <w:rFonts w:cs="Arial"/>
          <w:sz w:val="20"/>
          <w:szCs w:val="20"/>
          <w:rtl/>
        </w:rPr>
        <w:t xml:space="preserve"> </w:t>
      </w:r>
      <w:r w:rsidRPr="0001412F">
        <w:rPr>
          <w:rFonts w:cs="Arial" w:hint="cs"/>
          <w:sz w:val="20"/>
          <w:szCs w:val="20"/>
          <w:rtl/>
        </w:rPr>
        <w:t>והיא</w:t>
      </w:r>
      <w:r w:rsidRPr="0001412F">
        <w:rPr>
          <w:rFonts w:cs="Arial"/>
          <w:sz w:val="20"/>
          <w:szCs w:val="20"/>
          <w:rtl/>
        </w:rPr>
        <w:t xml:space="preserve"> </w:t>
      </w:r>
      <w:r w:rsidRPr="0001412F">
        <w:rPr>
          <w:rFonts w:cs="Arial" w:hint="cs"/>
          <w:sz w:val="20"/>
          <w:szCs w:val="20"/>
          <w:rtl/>
        </w:rPr>
        <w:t>יושבת</w:t>
      </w:r>
      <w:r w:rsidRPr="0001412F">
        <w:rPr>
          <w:rFonts w:cs="Arial"/>
          <w:sz w:val="20"/>
          <w:szCs w:val="20"/>
          <w:rtl/>
        </w:rPr>
        <w:t xml:space="preserve">, </w:t>
      </w:r>
      <w:r w:rsidRPr="0001412F">
        <w:rPr>
          <w:rFonts w:cs="Arial" w:hint="cs"/>
          <w:sz w:val="20"/>
          <w:szCs w:val="20"/>
          <w:rtl/>
        </w:rPr>
        <w:t>הרי</w:t>
      </w:r>
      <w:r w:rsidRPr="0001412F">
        <w:rPr>
          <w:rFonts w:cs="Arial"/>
          <w:sz w:val="20"/>
          <w:szCs w:val="20"/>
          <w:rtl/>
        </w:rPr>
        <w:t xml:space="preserve"> </w:t>
      </w:r>
      <w:r w:rsidRPr="0001412F">
        <w:rPr>
          <w:rFonts w:cs="Arial" w:hint="cs"/>
          <w:sz w:val="20"/>
          <w:szCs w:val="20"/>
          <w:rtl/>
        </w:rPr>
        <w:t>זו</w:t>
      </w:r>
      <w:r w:rsidRPr="0001412F">
        <w:rPr>
          <w:rFonts w:cs="Arial"/>
          <w:sz w:val="20"/>
          <w:szCs w:val="20"/>
          <w:rtl/>
        </w:rPr>
        <w:t xml:space="preserve"> </w:t>
      </w:r>
      <w:r w:rsidRPr="0001412F">
        <w:rPr>
          <w:rFonts w:cs="Arial" w:hint="cs"/>
          <w:sz w:val="20"/>
          <w:szCs w:val="20"/>
          <w:rtl/>
        </w:rPr>
        <w:t>טהורה</w:t>
      </w:r>
      <w:r w:rsidRPr="0001412F">
        <w:rPr>
          <w:rFonts w:cs="Arial"/>
          <w:sz w:val="20"/>
          <w:szCs w:val="20"/>
          <w:rtl/>
        </w:rPr>
        <w:t xml:space="preserve">. </w:t>
      </w:r>
      <w:r w:rsidRPr="0001412F">
        <w:rPr>
          <w:rFonts w:cs="Arial" w:hint="cs"/>
          <w:sz w:val="20"/>
          <w:szCs w:val="20"/>
          <w:rtl/>
        </w:rPr>
        <w:t>ואפילו</w:t>
      </w:r>
      <w:r w:rsidRPr="0001412F">
        <w:rPr>
          <w:rFonts w:cs="Arial"/>
          <w:sz w:val="20"/>
          <w:szCs w:val="20"/>
          <w:rtl/>
        </w:rPr>
        <w:t xml:space="preserve"> </w:t>
      </w:r>
      <w:r w:rsidRPr="0001412F">
        <w:rPr>
          <w:rFonts w:cs="Arial" w:hint="cs"/>
          <w:sz w:val="20"/>
          <w:szCs w:val="20"/>
          <w:rtl/>
        </w:rPr>
        <w:t>הרגישה</w:t>
      </w:r>
      <w:r w:rsidRPr="0001412F">
        <w:rPr>
          <w:rFonts w:cs="Arial"/>
          <w:sz w:val="20"/>
          <w:szCs w:val="20"/>
          <w:rtl/>
        </w:rPr>
        <w:t xml:space="preserve"> </w:t>
      </w:r>
      <w:r w:rsidRPr="0001412F">
        <w:rPr>
          <w:rFonts w:cs="Arial" w:hint="cs"/>
          <w:sz w:val="20"/>
          <w:szCs w:val="20"/>
          <w:rtl/>
        </w:rPr>
        <w:t>גופה</w:t>
      </w:r>
      <w:r w:rsidRPr="0001412F">
        <w:rPr>
          <w:rFonts w:cs="Arial"/>
          <w:sz w:val="20"/>
          <w:szCs w:val="20"/>
          <w:rtl/>
        </w:rPr>
        <w:t xml:space="preserve"> </w:t>
      </w:r>
      <w:r w:rsidRPr="0001412F">
        <w:rPr>
          <w:rFonts w:cs="Arial" w:hint="cs"/>
          <w:sz w:val="20"/>
          <w:szCs w:val="20"/>
          <w:rtl/>
        </w:rPr>
        <w:t>ונזדעזעה</w:t>
      </w:r>
      <w:r w:rsidRPr="0001412F">
        <w:rPr>
          <w:rFonts w:cs="Arial"/>
          <w:sz w:val="20"/>
          <w:szCs w:val="20"/>
          <w:rtl/>
        </w:rPr>
        <w:t xml:space="preserve">, </w:t>
      </w:r>
      <w:r w:rsidRPr="0001412F">
        <w:rPr>
          <w:rFonts w:cs="Arial" w:hint="cs"/>
          <w:sz w:val="20"/>
          <w:szCs w:val="20"/>
          <w:rtl/>
        </w:rPr>
        <w:t>אינה</w:t>
      </w:r>
      <w:r w:rsidRPr="0001412F">
        <w:rPr>
          <w:rFonts w:cs="Arial"/>
          <w:sz w:val="20"/>
          <w:szCs w:val="20"/>
          <w:rtl/>
        </w:rPr>
        <w:t xml:space="preserve"> </w:t>
      </w:r>
      <w:r w:rsidRPr="0001412F">
        <w:rPr>
          <w:rFonts w:cs="Arial" w:hint="cs"/>
          <w:sz w:val="20"/>
          <w:szCs w:val="20"/>
          <w:rtl/>
        </w:rPr>
        <w:t>חוששת</w:t>
      </w:r>
      <w:r w:rsidRPr="0001412F">
        <w:rPr>
          <w:rFonts w:cs="Arial"/>
          <w:sz w:val="20"/>
          <w:szCs w:val="20"/>
          <w:rtl/>
        </w:rPr>
        <w:t xml:space="preserve">, </w:t>
      </w:r>
      <w:r w:rsidRPr="0001412F">
        <w:rPr>
          <w:rFonts w:cs="Arial" w:hint="cs"/>
          <w:sz w:val="20"/>
          <w:szCs w:val="20"/>
          <w:rtl/>
        </w:rPr>
        <w:t>שהרגשת</w:t>
      </w:r>
      <w:r w:rsidRPr="0001412F">
        <w:rPr>
          <w:rFonts w:cs="Arial"/>
          <w:sz w:val="20"/>
          <w:szCs w:val="20"/>
          <w:rtl/>
        </w:rPr>
        <w:t xml:space="preserve"> </w:t>
      </w:r>
      <w:r w:rsidRPr="0001412F">
        <w:rPr>
          <w:rFonts w:cs="Arial" w:hint="cs"/>
          <w:sz w:val="20"/>
          <w:szCs w:val="20"/>
          <w:rtl/>
        </w:rPr>
        <w:t>מי</w:t>
      </w:r>
      <w:r w:rsidRPr="0001412F">
        <w:rPr>
          <w:rFonts w:cs="Arial"/>
          <w:sz w:val="20"/>
          <w:szCs w:val="20"/>
          <w:rtl/>
        </w:rPr>
        <w:t xml:space="preserve"> </w:t>
      </w:r>
      <w:r w:rsidRPr="0001412F">
        <w:rPr>
          <w:rFonts w:cs="Arial" w:hint="cs"/>
          <w:sz w:val="20"/>
          <w:szCs w:val="20"/>
          <w:rtl/>
        </w:rPr>
        <w:t>רגליה</w:t>
      </w:r>
      <w:r w:rsidRPr="0001412F">
        <w:rPr>
          <w:rFonts w:cs="Arial"/>
          <w:sz w:val="20"/>
          <w:szCs w:val="20"/>
          <w:rtl/>
        </w:rPr>
        <w:t xml:space="preserve"> </w:t>
      </w:r>
      <w:r w:rsidRPr="0001412F">
        <w:rPr>
          <w:rFonts w:cs="Arial" w:hint="cs"/>
          <w:sz w:val="20"/>
          <w:szCs w:val="20"/>
          <w:rtl/>
        </w:rPr>
        <w:t>היא</w:t>
      </w:r>
      <w:r w:rsidRPr="0001412F">
        <w:rPr>
          <w:rFonts w:cs="Arial"/>
          <w:sz w:val="20"/>
          <w:szCs w:val="20"/>
          <w:rtl/>
        </w:rPr>
        <w:t xml:space="preserve"> </w:t>
      </w:r>
      <w:r w:rsidRPr="0001412F">
        <w:rPr>
          <w:rFonts w:cs="Arial" w:hint="cs"/>
          <w:sz w:val="20"/>
          <w:szCs w:val="20"/>
          <w:rtl/>
        </w:rPr>
        <w:t>זו</w:t>
      </w:r>
      <w:r w:rsidRPr="0001412F">
        <w:rPr>
          <w:rFonts w:cs="Arial"/>
          <w:sz w:val="20"/>
          <w:szCs w:val="20"/>
          <w:rtl/>
        </w:rPr>
        <w:t xml:space="preserve"> </w:t>
      </w:r>
      <w:r w:rsidRPr="0001412F">
        <w:rPr>
          <w:rFonts w:cs="Arial" w:hint="cs"/>
          <w:sz w:val="20"/>
          <w:szCs w:val="20"/>
          <w:rtl/>
        </w:rPr>
        <w:t>שאין</w:t>
      </w:r>
      <w:r w:rsidRPr="0001412F">
        <w:rPr>
          <w:rFonts w:cs="Arial"/>
          <w:sz w:val="20"/>
          <w:szCs w:val="20"/>
          <w:rtl/>
        </w:rPr>
        <w:t xml:space="preserve"> </w:t>
      </w:r>
      <w:r w:rsidRPr="0001412F">
        <w:rPr>
          <w:rFonts w:cs="Arial" w:hint="cs"/>
          <w:sz w:val="20"/>
          <w:szCs w:val="20"/>
          <w:rtl/>
        </w:rPr>
        <w:t>מי</w:t>
      </w:r>
      <w:r w:rsidRPr="0001412F">
        <w:rPr>
          <w:rFonts w:cs="Arial"/>
          <w:sz w:val="20"/>
          <w:szCs w:val="20"/>
          <w:rtl/>
        </w:rPr>
        <w:t xml:space="preserve"> </w:t>
      </w:r>
      <w:r w:rsidRPr="0001412F">
        <w:rPr>
          <w:rFonts w:cs="Arial" w:hint="cs"/>
          <w:sz w:val="20"/>
          <w:szCs w:val="20"/>
          <w:rtl/>
        </w:rPr>
        <w:t>רגלים</w:t>
      </w:r>
      <w:r w:rsidRPr="0001412F">
        <w:rPr>
          <w:rFonts w:cs="Arial"/>
          <w:sz w:val="20"/>
          <w:szCs w:val="20"/>
          <w:rtl/>
        </w:rPr>
        <w:t xml:space="preserve"> </w:t>
      </w:r>
      <w:r w:rsidRPr="0001412F">
        <w:rPr>
          <w:rFonts w:cs="Arial" w:hint="cs"/>
          <w:sz w:val="20"/>
          <w:szCs w:val="20"/>
          <w:rtl/>
        </w:rPr>
        <w:t>מן</w:t>
      </w:r>
      <w:r w:rsidRPr="0001412F">
        <w:rPr>
          <w:rFonts w:cs="Arial"/>
          <w:sz w:val="20"/>
          <w:szCs w:val="20"/>
          <w:rtl/>
        </w:rPr>
        <w:t xml:space="preserve"> </w:t>
      </w:r>
      <w:r w:rsidRPr="0001412F">
        <w:rPr>
          <w:rFonts w:cs="Arial" w:hint="cs"/>
          <w:sz w:val="20"/>
          <w:szCs w:val="20"/>
          <w:rtl/>
        </w:rPr>
        <w:t>החדר</w:t>
      </w:r>
      <w:r w:rsidRPr="0001412F">
        <w:rPr>
          <w:rFonts w:cs="Arial"/>
          <w:sz w:val="20"/>
          <w:szCs w:val="20"/>
          <w:rtl/>
        </w:rPr>
        <w:t xml:space="preserve">, </w:t>
      </w:r>
      <w:r w:rsidRPr="0001412F">
        <w:rPr>
          <w:rFonts w:cs="Arial" w:hint="cs"/>
          <w:sz w:val="20"/>
          <w:szCs w:val="20"/>
          <w:rtl/>
        </w:rPr>
        <w:t>ודם</w:t>
      </w:r>
      <w:r w:rsidRPr="0001412F">
        <w:rPr>
          <w:rFonts w:cs="Arial"/>
          <w:sz w:val="20"/>
          <w:szCs w:val="20"/>
          <w:rtl/>
        </w:rPr>
        <w:t xml:space="preserve"> </w:t>
      </w:r>
      <w:r w:rsidRPr="0001412F">
        <w:rPr>
          <w:rFonts w:cs="Arial" w:hint="cs"/>
          <w:sz w:val="20"/>
          <w:szCs w:val="20"/>
          <w:rtl/>
        </w:rPr>
        <w:t>זה</w:t>
      </w:r>
      <w:r w:rsidRPr="0001412F">
        <w:rPr>
          <w:rFonts w:cs="Arial"/>
          <w:sz w:val="20"/>
          <w:szCs w:val="20"/>
          <w:rtl/>
        </w:rPr>
        <w:t xml:space="preserve"> </w:t>
      </w:r>
      <w:r w:rsidRPr="0001412F">
        <w:rPr>
          <w:rFonts w:cs="Arial" w:hint="cs"/>
          <w:sz w:val="20"/>
          <w:szCs w:val="20"/>
          <w:rtl/>
        </w:rPr>
        <w:t>דם</w:t>
      </w:r>
      <w:r w:rsidRPr="0001412F">
        <w:rPr>
          <w:rFonts w:cs="Arial"/>
          <w:sz w:val="20"/>
          <w:szCs w:val="20"/>
          <w:rtl/>
        </w:rPr>
        <w:t xml:space="preserve"> </w:t>
      </w:r>
      <w:r w:rsidRPr="0001412F">
        <w:rPr>
          <w:rFonts w:cs="Arial" w:hint="cs"/>
          <w:sz w:val="20"/>
          <w:szCs w:val="20"/>
          <w:rtl/>
        </w:rPr>
        <w:t>מכה</w:t>
      </w:r>
      <w:r w:rsidRPr="0001412F">
        <w:rPr>
          <w:rFonts w:cs="Arial"/>
          <w:sz w:val="20"/>
          <w:szCs w:val="20"/>
          <w:rtl/>
        </w:rPr>
        <w:t xml:space="preserve"> </w:t>
      </w:r>
      <w:r w:rsidRPr="0001412F">
        <w:rPr>
          <w:rFonts w:cs="Arial" w:hint="cs"/>
          <w:sz w:val="20"/>
          <w:szCs w:val="20"/>
          <w:rtl/>
        </w:rPr>
        <w:t>הוא</w:t>
      </w:r>
      <w:r w:rsidRPr="0001412F">
        <w:rPr>
          <w:rFonts w:cs="Arial"/>
          <w:sz w:val="20"/>
          <w:szCs w:val="20"/>
          <w:rtl/>
        </w:rPr>
        <w:t xml:space="preserve"> </w:t>
      </w:r>
      <w:r w:rsidRPr="0001412F">
        <w:rPr>
          <w:rFonts w:cs="Arial" w:hint="cs"/>
          <w:sz w:val="20"/>
          <w:szCs w:val="20"/>
          <w:rtl/>
        </w:rPr>
        <w:t>בחלחולת</w:t>
      </w:r>
      <w:r w:rsidRPr="0001412F">
        <w:rPr>
          <w:rFonts w:cs="Arial"/>
          <w:sz w:val="20"/>
          <w:szCs w:val="20"/>
          <w:rtl/>
        </w:rPr>
        <w:t xml:space="preserve"> </w:t>
      </w:r>
      <w:r w:rsidRPr="0001412F">
        <w:rPr>
          <w:rFonts w:cs="Arial" w:hint="cs"/>
          <w:sz w:val="20"/>
          <w:szCs w:val="20"/>
          <w:rtl/>
        </w:rPr>
        <w:t>או</w:t>
      </w:r>
      <w:r w:rsidRPr="0001412F">
        <w:rPr>
          <w:rFonts w:cs="Arial"/>
          <w:sz w:val="20"/>
          <w:szCs w:val="20"/>
          <w:rtl/>
        </w:rPr>
        <w:t xml:space="preserve"> </w:t>
      </w:r>
      <w:r w:rsidRPr="0001412F">
        <w:rPr>
          <w:rFonts w:cs="Arial" w:hint="cs"/>
          <w:sz w:val="20"/>
          <w:szCs w:val="20"/>
          <w:rtl/>
        </w:rPr>
        <w:t>בכוליא</w:t>
      </w:r>
      <w:r w:rsidRPr="0001412F">
        <w:rPr>
          <w:rFonts w:cs="Arial"/>
          <w:sz w:val="20"/>
          <w:szCs w:val="20"/>
          <w:rtl/>
        </w:rPr>
        <w:t xml:space="preserve">. </w:t>
      </w:r>
      <w:r>
        <w:rPr>
          <w:rFonts w:cs="Arial"/>
          <w:sz w:val="18"/>
          <w:szCs w:val="18"/>
          <w:rtl/>
        </w:rPr>
        <w:br/>
      </w:r>
      <w:r w:rsidRPr="0001412F">
        <w:rPr>
          <w:rFonts w:cs="Arial" w:hint="cs"/>
          <w:sz w:val="18"/>
          <w:szCs w:val="18"/>
          <w:rtl/>
        </w:rPr>
        <w:t>הגה</w:t>
      </w:r>
      <w:r w:rsidRPr="0001412F">
        <w:rPr>
          <w:rFonts w:cs="Arial"/>
          <w:sz w:val="18"/>
          <w:szCs w:val="18"/>
          <w:rtl/>
        </w:rPr>
        <w:t xml:space="preserve">: </w:t>
      </w:r>
      <w:r w:rsidRPr="0001412F">
        <w:rPr>
          <w:rFonts w:cs="Arial" w:hint="cs"/>
          <w:sz w:val="18"/>
          <w:szCs w:val="18"/>
          <w:rtl/>
        </w:rPr>
        <w:t>וי</w:t>
      </w:r>
      <w:r>
        <w:rPr>
          <w:rFonts w:cs="Arial" w:hint="cs"/>
          <w:sz w:val="18"/>
          <w:szCs w:val="18"/>
          <w:rtl/>
        </w:rPr>
        <w:t xml:space="preserve">ש </w:t>
      </w:r>
      <w:r w:rsidRPr="0001412F">
        <w:rPr>
          <w:rFonts w:cs="Arial" w:hint="cs"/>
          <w:sz w:val="18"/>
          <w:szCs w:val="18"/>
          <w:rtl/>
        </w:rPr>
        <w:t>א</w:t>
      </w:r>
      <w:r>
        <w:rPr>
          <w:rFonts w:cs="Arial" w:hint="cs"/>
          <w:sz w:val="18"/>
          <w:szCs w:val="18"/>
          <w:rtl/>
        </w:rPr>
        <w:t>ומרים</w:t>
      </w:r>
      <w:r w:rsidRPr="0001412F">
        <w:rPr>
          <w:rFonts w:cs="Arial"/>
          <w:sz w:val="18"/>
          <w:szCs w:val="18"/>
          <w:rtl/>
        </w:rPr>
        <w:t xml:space="preserve"> </w:t>
      </w:r>
      <w:r w:rsidRPr="0001412F">
        <w:rPr>
          <w:rFonts w:cs="Arial" w:hint="cs"/>
          <w:sz w:val="18"/>
          <w:szCs w:val="18"/>
          <w:rtl/>
        </w:rPr>
        <w:t>דאין</w:t>
      </w:r>
      <w:r w:rsidRPr="0001412F">
        <w:rPr>
          <w:rFonts w:cs="Arial"/>
          <w:sz w:val="18"/>
          <w:szCs w:val="18"/>
          <w:rtl/>
        </w:rPr>
        <w:t xml:space="preserve"> </w:t>
      </w:r>
      <w:r w:rsidRPr="0001412F">
        <w:rPr>
          <w:rFonts w:cs="Arial" w:hint="cs"/>
          <w:sz w:val="18"/>
          <w:szCs w:val="18"/>
          <w:rtl/>
        </w:rPr>
        <w:t>להתירה</w:t>
      </w:r>
      <w:r w:rsidRPr="0001412F">
        <w:rPr>
          <w:rFonts w:cs="Arial"/>
          <w:sz w:val="18"/>
          <w:szCs w:val="18"/>
          <w:rtl/>
        </w:rPr>
        <w:t xml:space="preserve"> </w:t>
      </w:r>
      <w:r w:rsidRPr="0001412F">
        <w:rPr>
          <w:rFonts w:cs="Arial" w:hint="cs"/>
          <w:sz w:val="18"/>
          <w:szCs w:val="18"/>
          <w:rtl/>
        </w:rPr>
        <w:t>אלא</w:t>
      </w:r>
      <w:r w:rsidRPr="0001412F">
        <w:rPr>
          <w:rFonts w:cs="Arial"/>
          <w:sz w:val="18"/>
          <w:szCs w:val="18"/>
          <w:rtl/>
        </w:rPr>
        <w:t xml:space="preserve"> </w:t>
      </w:r>
      <w:r w:rsidRPr="0001412F">
        <w:rPr>
          <w:rFonts w:cs="Arial" w:hint="cs"/>
          <w:sz w:val="18"/>
          <w:szCs w:val="18"/>
          <w:rtl/>
        </w:rPr>
        <w:t>ביושבת</w:t>
      </w:r>
      <w:r w:rsidRPr="0001412F">
        <w:rPr>
          <w:rFonts w:cs="Arial"/>
          <w:sz w:val="18"/>
          <w:szCs w:val="18"/>
          <w:rtl/>
        </w:rPr>
        <w:t xml:space="preserve"> </w:t>
      </w:r>
      <w:r w:rsidRPr="0001412F">
        <w:rPr>
          <w:rFonts w:cs="Arial" w:hint="cs"/>
          <w:sz w:val="18"/>
          <w:szCs w:val="18"/>
          <w:rtl/>
        </w:rPr>
        <w:t>והשתינה</w:t>
      </w:r>
      <w:r w:rsidRPr="0001412F">
        <w:rPr>
          <w:rFonts w:cs="Arial"/>
          <w:sz w:val="18"/>
          <w:szCs w:val="18"/>
          <w:rtl/>
        </w:rPr>
        <w:t xml:space="preserve">, </w:t>
      </w:r>
      <w:r w:rsidRPr="0001412F">
        <w:rPr>
          <w:rFonts w:cs="Arial" w:hint="cs"/>
          <w:sz w:val="18"/>
          <w:szCs w:val="18"/>
          <w:rtl/>
        </w:rPr>
        <w:t>אבל</w:t>
      </w:r>
      <w:r w:rsidRPr="0001412F">
        <w:rPr>
          <w:rFonts w:cs="Arial"/>
          <w:sz w:val="18"/>
          <w:szCs w:val="18"/>
          <w:rtl/>
        </w:rPr>
        <w:t xml:space="preserve"> </w:t>
      </w:r>
      <w:r w:rsidRPr="0001412F">
        <w:rPr>
          <w:rFonts w:cs="Arial" w:hint="cs"/>
          <w:sz w:val="18"/>
          <w:szCs w:val="18"/>
          <w:rtl/>
        </w:rPr>
        <w:t>בעומדת</w:t>
      </w:r>
      <w:r w:rsidRPr="0001412F">
        <w:rPr>
          <w:rFonts w:cs="Arial"/>
          <w:sz w:val="18"/>
          <w:szCs w:val="18"/>
          <w:rtl/>
        </w:rPr>
        <w:t xml:space="preserve">, </w:t>
      </w:r>
      <w:r w:rsidRPr="0001412F">
        <w:rPr>
          <w:rFonts w:cs="Arial" w:hint="cs"/>
          <w:sz w:val="18"/>
          <w:szCs w:val="18"/>
          <w:rtl/>
        </w:rPr>
        <w:t>אם</w:t>
      </w:r>
      <w:r w:rsidRPr="0001412F">
        <w:rPr>
          <w:rFonts w:cs="Arial"/>
          <w:sz w:val="18"/>
          <w:szCs w:val="18"/>
          <w:rtl/>
        </w:rPr>
        <w:t xml:space="preserve"> </w:t>
      </w:r>
      <w:r w:rsidRPr="0001412F">
        <w:rPr>
          <w:rFonts w:cs="Arial" w:hint="cs"/>
          <w:sz w:val="18"/>
          <w:szCs w:val="18"/>
          <w:rtl/>
        </w:rPr>
        <w:t>מקלחת</w:t>
      </w:r>
      <w:r w:rsidRPr="0001412F">
        <w:rPr>
          <w:rFonts w:cs="Arial"/>
          <w:sz w:val="18"/>
          <w:szCs w:val="18"/>
          <w:rtl/>
        </w:rPr>
        <w:t xml:space="preserve"> </w:t>
      </w:r>
      <w:r w:rsidRPr="0001412F">
        <w:rPr>
          <w:rFonts w:cs="Arial" w:hint="cs"/>
          <w:sz w:val="18"/>
          <w:szCs w:val="18"/>
          <w:rtl/>
        </w:rPr>
        <w:t>לתוך</w:t>
      </w:r>
      <w:r w:rsidRPr="0001412F">
        <w:rPr>
          <w:rFonts w:cs="Arial"/>
          <w:sz w:val="18"/>
          <w:szCs w:val="18"/>
          <w:rtl/>
        </w:rPr>
        <w:t xml:space="preserve"> </w:t>
      </w:r>
      <w:r w:rsidRPr="0001412F">
        <w:rPr>
          <w:rFonts w:cs="Arial" w:hint="cs"/>
          <w:sz w:val="18"/>
          <w:szCs w:val="18"/>
          <w:rtl/>
        </w:rPr>
        <w:t>הספל</w:t>
      </w:r>
      <w:r w:rsidRPr="0001412F">
        <w:rPr>
          <w:rFonts w:cs="Arial"/>
          <w:sz w:val="18"/>
          <w:szCs w:val="18"/>
          <w:rtl/>
        </w:rPr>
        <w:t xml:space="preserve"> </w:t>
      </w:r>
      <w:r w:rsidRPr="0001412F">
        <w:rPr>
          <w:rFonts w:cs="Arial" w:hint="cs"/>
          <w:sz w:val="18"/>
          <w:szCs w:val="18"/>
          <w:rtl/>
        </w:rPr>
        <w:t>ונמצא</w:t>
      </w:r>
      <w:r w:rsidRPr="0001412F">
        <w:rPr>
          <w:rFonts w:cs="Arial"/>
          <w:sz w:val="18"/>
          <w:szCs w:val="18"/>
          <w:rtl/>
        </w:rPr>
        <w:t xml:space="preserve"> </w:t>
      </w:r>
      <w:r w:rsidRPr="0001412F">
        <w:rPr>
          <w:rFonts w:cs="Arial" w:hint="cs"/>
          <w:sz w:val="18"/>
          <w:szCs w:val="18"/>
          <w:rtl/>
        </w:rPr>
        <w:t>שם</w:t>
      </w:r>
      <w:r w:rsidRPr="0001412F">
        <w:rPr>
          <w:rFonts w:cs="Arial"/>
          <w:sz w:val="18"/>
          <w:szCs w:val="18"/>
          <w:rtl/>
        </w:rPr>
        <w:t xml:space="preserve"> </w:t>
      </w:r>
      <w:r w:rsidRPr="0001412F">
        <w:rPr>
          <w:rFonts w:cs="Arial" w:hint="cs"/>
          <w:sz w:val="18"/>
          <w:szCs w:val="18"/>
          <w:rtl/>
        </w:rPr>
        <w:t>דם</w:t>
      </w:r>
      <w:r w:rsidRPr="0001412F">
        <w:rPr>
          <w:rFonts w:cs="Arial"/>
          <w:sz w:val="18"/>
          <w:szCs w:val="18"/>
          <w:rtl/>
        </w:rPr>
        <w:t xml:space="preserve">, </w:t>
      </w:r>
      <w:r w:rsidRPr="0001412F">
        <w:rPr>
          <w:rFonts w:cs="Arial" w:hint="cs"/>
          <w:sz w:val="18"/>
          <w:szCs w:val="18"/>
          <w:rtl/>
        </w:rPr>
        <w:t>טהורה</w:t>
      </w:r>
      <w:r w:rsidRPr="0001412F">
        <w:rPr>
          <w:rFonts w:cs="Arial"/>
          <w:sz w:val="18"/>
          <w:szCs w:val="18"/>
          <w:rtl/>
        </w:rPr>
        <w:t xml:space="preserve">. </w:t>
      </w:r>
      <w:r w:rsidRPr="0001412F">
        <w:rPr>
          <w:rFonts w:cs="Arial" w:hint="cs"/>
          <w:sz w:val="18"/>
          <w:szCs w:val="18"/>
          <w:rtl/>
        </w:rPr>
        <w:t>אבל</w:t>
      </w:r>
      <w:r w:rsidRPr="0001412F">
        <w:rPr>
          <w:rFonts w:cs="Arial"/>
          <w:sz w:val="18"/>
          <w:szCs w:val="18"/>
          <w:rtl/>
        </w:rPr>
        <w:t xml:space="preserve"> </w:t>
      </w:r>
      <w:r w:rsidRPr="0001412F">
        <w:rPr>
          <w:rFonts w:cs="Arial" w:hint="cs"/>
          <w:sz w:val="18"/>
          <w:szCs w:val="18"/>
          <w:rtl/>
        </w:rPr>
        <w:t>אם</w:t>
      </w:r>
      <w:r w:rsidRPr="0001412F">
        <w:rPr>
          <w:rFonts w:cs="Arial"/>
          <w:sz w:val="18"/>
          <w:szCs w:val="18"/>
          <w:rtl/>
        </w:rPr>
        <w:t xml:space="preserve"> </w:t>
      </w:r>
      <w:r w:rsidRPr="0001412F">
        <w:rPr>
          <w:rFonts w:cs="Arial" w:hint="cs"/>
          <w:sz w:val="18"/>
          <w:szCs w:val="18"/>
          <w:rtl/>
        </w:rPr>
        <w:t>שותתת</w:t>
      </w:r>
      <w:r w:rsidRPr="0001412F">
        <w:rPr>
          <w:rFonts w:cs="Arial"/>
          <w:sz w:val="18"/>
          <w:szCs w:val="18"/>
          <w:rtl/>
        </w:rPr>
        <w:t xml:space="preserve"> </w:t>
      </w:r>
      <w:r w:rsidRPr="0001412F">
        <w:rPr>
          <w:rFonts w:cs="Arial" w:hint="cs"/>
          <w:sz w:val="18"/>
          <w:szCs w:val="18"/>
          <w:rtl/>
        </w:rPr>
        <w:t>על</w:t>
      </w:r>
      <w:r w:rsidRPr="0001412F">
        <w:rPr>
          <w:rFonts w:cs="Arial"/>
          <w:sz w:val="18"/>
          <w:szCs w:val="18"/>
          <w:rtl/>
        </w:rPr>
        <w:t xml:space="preserve"> </w:t>
      </w:r>
      <w:r w:rsidRPr="0001412F">
        <w:rPr>
          <w:rFonts w:cs="Arial" w:hint="cs"/>
          <w:sz w:val="18"/>
          <w:szCs w:val="18"/>
          <w:rtl/>
        </w:rPr>
        <w:t>שפת</w:t>
      </w:r>
      <w:r w:rsidRPr="0001412F">
        <w:rPr>
          <w:rFonts w:cs="Arial"/>
          <w:sz w:val="18"/>
          <w:szCs w:val="18"/>
          <w:rtl/>
        </w:rPr>
        <w:t xml:space="preserve"> </w:t>
      </w:r>
      <w:r w:rsidRPr="0001412F">
        <w:rPr>
          <w:rFonts w:cs="Arial" w:hint="cs"/>
          <w:sz w:val="18"/>
          <w:szCs w:val="18"/>
          <w:rtl/>
        </w:rPr>
        <w:t>הספל</w:t>
      </w:r>
      <w:r w:rsidRPr="0001412F">
        <w:rPr>
          <w:rFonts w:cs="Arial"/>
          <w:sz w:val="18"/>
          <w:szCs w:val="18"/>
          <w:rtl/>
        </w:rPr>
        <w:t xml:space="preserve"> </w:t>
      </w:r>
      <w:r w:rsidRPr="0001412F">
        <w:rPr>
          <w:rFonts w:cs="Arial" w:hint="cs"/>
          <w:sz w:val="18"/>
          <w:szCs w:val="18"/>
          <w:rtl/>
        </w:rPr>
        <w:t>ונמצא</w:t>
      </w:r>
      <w:r w:rsidRPr="0001412F">
        <w:rPr>
          <w:rFonts w:cs="Arial"/>
          <w:sz w:val="18"/>
          <w:szCs w:val="18"/>
          <w:rtl/>
        </w:rPr>
        <w:t xml:space="preserve"> </w:t>
      </w:r>
      <w:r w:rsidRPr="0001412F">
        <w:rPr>
          <w:rFonts w:cs="Arial" w:hint="cs"/>
          <w:sz w:val="18"/>
          <w:szCs w:val="18"/>
          <w:rtl/>
        </w:rPr>
        <w:t>שם</w:t>
      </w:r>
      <w:r w:rsidRPr="0001412F">
        <w:rPr>
          <w:rFonts w:cs="Arial"/>
          <w:sz w:val="18"/>
          <w:szCs w:val="18"/>
          <w:rtl/>
        </w:rPr>
        <w:t xml:space="preserve"> </w:t>
      </w:r>
      <w:r w:rsidRPr="0001412F">
        <w:rPr>
          <w:rFonts w:cs="Arial" w:hint="cs"/>
          <w:sz w:val="18"/>
          <w:szCs w:val="18"/>
          <w:rtl/>
        </w:rPr>
        <w:t>דם</w:t>
      </w:r>
      <w:r w:rsidRPr="0001412F">
        <w:rPr>
          <w:rFonts w:cs="Arial"/>
          <w:sz w:val="18"/>
          <w:szCs w:val="18"/>
          <w:rtl/>
        </w:rPr>
        <w:t xml:space="preserve">, </w:t>
      </w:r>
      <w:r w:rsidRPr="0001412F">
        <w:rPr>
          <w:rFonts w:cs="Arial" w:hint="cs"/>
          <w:sz w:val="18"/>
          <w:szCs w:val="18"/>
          <w:rtl/>
        </w:rPr>
        <w:t>טמאה</w:t>
      </w:r>
      <w:r w:rsidRPr="0001412F">
        <w:rPr>
          <w:rFonts w:cs="Arial"/>
          <w:sz w:val="18"/>
          <w:szCs w:val="18"/>
          <w:rtl/>
        </w:rPr>
        <w:t xml:space="preserve">, </w:t>
      </w:r>
      <w:r w:rsidRPr="0001412F">
        <w:rPr>
          <w:rFonts w:cs="Arial" w:hint="cs"/>
          <w:sz w:val="18"/>
          <w:szCs w:val="18"/>
          <w:rtl/>
        </w:rPr>
        <w:t>דהואיל</w:t>
      </w:r>
      <w:r w:rsidRPr="0001412F">
        <w:rPr>
          <w:rFonts w:cs="Arial"/>
          <w:sz w:val="18"/>
          <w:szCs w:val="18"/>
          <w:rtl/>
        </w:rPr>
        <w:t xml:space="preserve"> </w:t>
      </w:r>
      <w:r w:rsidRPr="00A649C4">
        <w:rPr>
          <w:rFonts w:cs="Arial"/>
          <w:sz w:val="16"/>
          <w:szCs w:val="16"/>
          <w:rtl/>
        </w:rPr>
        <w:t>(</w:t>
      </w:r>
      <w:r w:rsidRPr="00A649C4">
        <w:rPr>
          <w:rFonts w:cs="Arial" w:hint="cs"/>
          <w:sz w:val="16"/>
          <w:szCs w:val="16"/>
          <w:rtl/>
        </w:rPr>
        <w:t>והמקום</w:t>
      </w:r>
      <w:r w:rsidRPr="00A649C4">
        <w:rPr>
          <w:rFonts w:cs="Arial"/>
          <w:sz w:val="16"/>
          <w:szCs w:val="16"/>
          <w:rtl/>
        </w:rPr>
        <w:t xml:space="preserve">) </w:t>
      </w:r>
      <w:r w:rsidRPr="0001412F">
        <w:rPr>
          <w:rFonts w:cs="Arial" w:hint="cs"/>
          <w:sz w:val="18"/>
          <w:szCs w:val="18"/>
          <w:rtl/>
        </w:rPr>
        <w:t>צר</w:t>
      </w:r>
      <w:r w:rsidRPr="0001412F">
        <w:rPr>
          <w:rFonts w:cs="Arial"/>
          <w:sz w:val="18"/>
          <w:szCs w:val="18"/>
          <w:rtl/>
        </w:rPr>
        <w:t xml:space="preserve"> </w:t>
      </w:r>
      <w:r w:rsidRPr="0001412F">
        <w:rPr>
          <w:rFonts w:cs="Arial" w:hint="cs"/>
          <w:sz w:val="18"/>
          <w:szCs w:val="18"/>
          <w:rtl/>
        </w:rPr>
        <w:t>חוזרין</w:t>
      </w:r>
      <w:r w:rsidRPr="0001412F">
        <w:rPr>
          <w:rFonts w:cs="Arial"/>
          <w:sz w:val="18"/>
          <w:szCs w:val="18"/>
          <w:rtl/>
        </w:rPr>
        <w:t xml:space="preserve"> </w:t>
      </w:r>
      <w:r w:rsidRPr="0001412F">
        <w:rPr>
          <w:rFonts w:cs="Arial" w:hint="cs"/>
          <w:sz w:val="18"/>
          <w:szCs w:val="18"/>
          <w:rtl/>
        </w:rPr>
        <w:t>למקור</w:t>
      </w:r>
      <w:r w:rsidRPr="0001412F">
        <w:rPr>
          <w:rFonts w:cs="Arial"/>
          <w:sz w:val="18"/>
          <w:szCs w:val="18"/>
          <w:rtl/>
        </w:rPr>
        <w:t xml:space="preserve"> </w:t>
      </w:r>
      <w:r w:rsidRPr="0001412F">
        <w:rPr>
          <w:rFonts w:cs="Arial" w:hint="cs"/>
          <w:sz w:val="18"/>
          <w:szCs w:val="18"/>
          <w:rtl/>
        </w:rPr>
        <w:t>ומביאים</w:t>
      </w:r>
      <w:r w:rsidRPr="0001412F">
        <w:rPr>
          <w:rFonts w:cs="Arial"/>
          <w:sz w:val="18"/>
          <w:szCs w:val="18"/>
          <w:rtl/>
        </w:rPr>
        <w:t xml:space="preserve"> </w:t>
      </w:r>
      <w:r w:rsidRPr="0001412F">
        <w:rPr>
          <w:rFonts w:cs="Arial" w:hint="cs"/>
          <w:sz w:val="18"/>
          <w:szCs w:val="18"/>
          <w:rtl/>
        </w:rPr>
        <w:t>דם</w:t>
      </w:r>
      <w:r w:rsidRPr="0001412F">
        <w:rPr>
          <w:rFonts w:cs="Arial"/>
          <w:sz w:val="18"/>
          <w:szCs w:val="18"/>
          <w:rtl/>
        </w:rPr>
        <w:t xml:space="preserve"> </w:t>
      </w:r>
      <w:r w:rsidRPr="0001412F">
        <w:rPr>
          <w:rFonts w:cs="Arial"/>
          <w:sz w:val="16"/>
          <w:szCs w:val="16"/>
          <w:rtl/>
        </w:rPr>
        <w:t>(</w:t>
      </w:r>
      <w:r w:rsidRPr="0001412F">
        <w:rPr>
          <w:rFonts w:cs="Arial" w:hint="cs"/>
          <w:sz w:val="16"/>
          <w:szCs w:val="16"/>
          <w:rtl/>
        </w:rPr>
        <w:t>רא</w:t>
      </w:r>
      <w:r w:rsidRPr="0001412F">
        <w:rPr>
          <w:rFonts w:cs="Arial"/>
          <w:sz w:val="16"/>
          <w:szCs w:val="16"/>
          <w:rtl/>
        </w:rPr>
        <w:t>"</w:t>
      </w:r>
      <w:r w:rsidRPr="0001412F">
        <w:rPr>
          <w:rFonts w:cs="Arial" w:hint="cs"/>
          <w:sz w:val="16"/>
          <w:szCs w:val="16"/>
          <w:rtl/>
        </w:rPr>
        <w:t>ש</w:t>
      </w:r>
      <w:r w:rsidRPr="0001412F">
        <w:rPr>
          <w:rFonts w:cs="Arial"/>
          <w:sz w:val="16"/>
          <w:szCs w:val="16"/>
          <w:rtl/>
        </w:rPr>
        <w:t>)</w:t>
      </w:r>
      <w:r w:rsidRPr="0001412F">
        <w:rPr>
          <w:rFonts w:cs="Arial"/>
          <w:sz w:val="18"/>
          <w:szCs w:val="18"/>
          <w:rtl/>
        </w:rPr>
        <w:t xml:space="preserve">. </w:t>
      </w:r>
      <w:r w:rsidRPr="0001412F">
        <w:rPr>
          <w:rFonts w:cs="Arial" w:hint="cs"/>
          <w:sz w:val="18"/>
          <w:szCs w:val="18"/>
          <w:rtl/>
        </w:rPr>
        <w:t>ו</w:t>
      </w:r>
      <w:r>
        <w:rPr>
          <w:rFonts w:cs="Arial" w:hint="cs"/>
          <w:sz w:val="18"/>
          <w:szCs w:val="18"/>
          <w:rtl/>
        </w:rPr>
        <w:t xml:space="preserve">יש </w:t>
      </w:r>
      <w:r w:rsidRPr="0001412F">
        <w:rPr>
          <w:rFonts w:cs="Arial" w:hint="cs"/>
          <w:sz w:val="18"/>
          <w:szCs w:val="18"/>
          <w:rtl/>
        </w:rPr>
        <w:t>א</w:t>
      </w:r>
      <w:r>
        <w:rPr>
          <w:rFonts w:cs="Arial" w:hint="cs"/>
          <w:sz w:val="18"/>
          <w:szCs w:val="18"/>
          <w:rtl/>
        </w:rPr>
        <w:t>ומרים</w:t>
      </w:r>
      <w:r w:rsidRPr="0001412F">
        <w:rPr>
          <w:rFonts w:cs="Arial"/>
          <w:sz w:val="18"/>
          <w:szCs w:val="18"/>
          <w:rtl/>
        </w:rPr>
        <w:t xml:space="preserve"> </w:t>
      </w:r>
      <w:r w:rsidRPr="0001412F">
        <w:rPr>
          <w:rFonts w:cs="Arial" w:hint="cs"/>
          <w:sz w:val="18"/>
          <w:szCs w:val="18"/>
          <w:rtl/>
        </w:rPr>
        <w:t>דאפילו</w:t>
      </w:r>
      <w:r w:rsidRPr="0001412F">
        <w:rPr>
          <w:rFonts w:cs="Arial"/>
          <w:sz w:val="18"/>
          <w:szCs w:val="18"/>
          <w:rtl/>
        </w:rPr>
        <w:t xml:space="preserve"> </w:t>
      </w:r>
      <w:r w:rsidRPr="0001412F">
        <w:rPr>
          <w:rFonts w:cs="Arial" w:hint="cs"/>
          <w:sz w:val="18"/>
          <w:szCs w:val="18"/>
          <w:rtl/>
        </w:rPr>
        <w:t>ביושבת</w:t>
      </w:r>
      <w:r w:rsidRPr="0001412F">
        <w:rPr>
          <w:rFonts w:cs="Arial"/>
          <w:sz w:val="18"/>
          <w:szCs w:val="18"/>
          <w:rtl/>
        </w:rPr>
        <w:t xml:space="preserve"> </w:t>
      </w:r>
      <w:r w:rsidRPr="0001412F">
        <w:rPr>
          <w:rFonts w:cs="Arial" w:hint="cs"/>
          <w:sz w:val="18"/>
          <w:szCs w:val="18"/>
          <w:rtl/>
        </w:rPr>
        <w:t>אין</w:t>
      </w:r>
      <w:r w:rsidRPr="0001412F">
        <w:rPr>
          <w:rFonts w:cs="Arial"/>
          <w:sz w:val="18"/>
          <w:szCs w:val="18"/>
          <w:rtl/>
        </w:rPr>
        <w:t xml:space="preserve"> </w:t>
      </w:r>
      <w:r w:rsidRPr="0001412F">
        <w:rPr>
          <w:rFonts w:cs="Arial" w:hint="cs"/>
          <w:sz w:val="18"/>
          <w:szCs w:val="18"/>
          <w:rtl/>
        </w:rPr>
        <w:t>להתיר</w:t>
      </w:r>
      <w:r w:rsidRPr="0001412F">
        <w:rPr>
          <w:rFonts w:cs="Arial"/>
          <w:sz w:val="18"/>
          <w:szCs w:val="18"/>
          <w:rtl/>
        </w:rPr>
        <w:t xml:space="preserve"> </w:t>
      </w:r>
      <w:r w:rsidRPr="0001412F">
        <w:rPr>
          <w:rFonts w:cs="Arial" w:hint="cs"/>
          <w:sz w:val="18"/>
          <w:szCs w:val="18"/>
          <w:rtl/>
        </w:rPr>
        <w:t>אלא</w:t>
      </w:r>
      <w:r w:rsidRPr="0001412F">
        <w:rPr>
          <w:rFonts w:cs="Arial"/>
          <w:sz w:val="18"/>
          <w:szCs w:val="18"/>
          <w:rtl/>
        </w:rPr>
        <w:t xml:space="preserve"> </w:t>
      </w:r>
      <w:r w:rsidRPr="0001412F">
        <w:rPr>
          <w:rFonts w:cs="Arial" w:hint="cs"/>
          <w:sz w:val="18"/>
          <w:szCs w:val="18"/>
          <w:rtl/>
        </w:rPr>
        <w:t>במקלחת</w:t>
      </w:r>
      <w:r w:rsidRPr="0001412F">
        <w:rPr>
          <w:rFonts w:cs="Arial"/>
          <w:sz w:val="18"/>
          <w:szCs w:val="18"/>
          <w:rtl/>
        </w:rPr>
        <w:t xml:space="preserve"> </w:t>
      </w:r>
      <w:r w:rsidRPr="0001412F">
        <w:rPr>
          <w:rFonts w:cs="Arial" w:hint="cs"/>
          <w:sz w:val="18"/>
          <w:szCs w:val="18"/>
          <w:rtl/>
        </w:rPr>
        <w:t>ונמצא</w:t>
      </w:r>
      <w:r w:rsidRPr="0001412F">
        <w:rPr>
          <w:rFonts w:cs="Arial"/>
          <w:sz w:val="18"/>
          <w:szCs w:val="18"/>
          <w:rtl/>
        </w:rPr>
        <w:t xml:space="preserve"> </w:t>
      </w:r>
      <w:r w:rsidRPr="0001412F">
        <w:rPr>
          <w:rFonts w:cs="Arial" w:hint="cs"/>
          <w:sz w:val="18"/>
          <w:szCs w:val="18"/>
          <w:rtl/>
        </w:rPr>
        <w:t>הדם</w:t>
      </w:r>
      <w:r w:rsidRPr="0001412F">
        <w:rPr>
          <w:rFonts w:cs="Arial"/>
          <w:sz w:val="18"/>
          <w:szCs w:val="18"/>
          <w:rtl/>
        </w:rPr>
        <w:t xml:space="preserve"> </w:t>
      </w:r>
      <w:r w:rsidRPr="0001412F">
        <w:rPr>
          <w:rFonts w:cs="Arial" w:hint="cs"/>
          <w:sz w:val="18"/>
          <w:szCs w:val="18"/>
          <w:rtl/>
        </w:rPr>
        <w:t>תוך</w:t>
      </w:r>
      <w:r w:rsidRPr="0001412F">
        <w:rPr>
          <w:rFonts w:cs="Arial"/>
          <w:sz w:val="18"/>
          <w:szCs w:val="18"/>
          <w:rtl/>
        </w:rPr>
        <w:t xml:space="preserve"> </w:t>
      </w:r>
      <w:r w:rsidRPr="0001412F">
        <w:rPr>
          <w:rFonts w:cs="Arial" w:hint="cs"/>
          <w:sz w:val="18"/>
          <w:szCs w:val="18"/>
          <w:rtl/>
        </w:rPr>
        <w:t>הספל</w:t>
      </w:r>
      <w:r w:rsidRPr="0001412F">
        <w:rPr>
          <w:rFonts w:cs="Arial"/>
          <w:sz w:val="18"/>
          <w:szCs w:val="18"/>
          <w:rtl/>
        </w:rPr>
        <w:t xml:space="preserve">, </w:t>
      </w:r>
      <w:r w:rsidRPr="0001412F">
        <w:rPr>
          <w:rFonts w:cs="Arial" w:hint="cs"/>
          <w:sz w:val="18"/>
          <w:szCs w:val="18"/>
          <w:rtl/>
        </w:rPr>
        <w:t>אבל</w:t>
      </w:r>
      <w:r w:rsidRPr="0001412F">
        <w:rPr>
          <w:rFonts w:cs="Arial"/>
          <w:sz w:val="18"/>
          <w:szCs w:val="18"/>
          <w:rtl/>
        </w:rPr>
        <w:t xml:space="preserve"> </w:t>
      </w:r>
      <w:r w:rsidRPr="0001412F">
        <w:rPr>
          <w:rFonts w:cs="Arial" w:hint="cs"/>
          <w:sz w:val="18"/>
          <w:szCs w:val="18"/>
          <w:rtl/>
        </w:rPr>
        <w:t>על</w:t>
      </w:r>
      <w:r w:rsidRPr="0001412F">
        <w:rPr>
          <w:rFonts w:cs="Arial"/>
          <w:sz w:val="18"/>
          <w:szCs w:val="18"/>
          <w:rtl/>
        </w:rPr>
        <w:t xml:space="preserve"> </w:t>
      </w:r>
      <w:r w:rsidRPr="0001412F">
        <w:rPr>
          <w:rFonts w:cs="Arial" w:hint="cs"/>
          <w:sz w:val="18"/>
          <w:szCs w:val="18"/>
          <w:rtl/>
        </w:rPr>
        <w:t>שפת</w:t>
      </w:r>
      <w:r w:rsidRPr="0001412F">
        <w:rPr>
          <w:rFonts w:cs="Arial"/>
          <w:sz w:val="18"/>
          <w:szCs w:val="18"/>
          <w:rtl/>
        </w:rPr>
        <w:t xml:space="preserve"> </w:t>
      </w:r>
      <w:r w:rsidRPr="0001412F">
        <w:rPr>
          <w:rFonts w:cs="Arial" w:hint="cs"/>
          <w:sz w:val="18"/>
          <w:szCs w:val="18"/>
          <w:rtl/>
        </w:rPr>
        <w:t>הספל</w:t>
      </w:r>
      <w:r w:rsidRPr="0001412F">
        <w:rPr>
          <w:rFonts w:cs="Arial"/>
          <w:sz w:val="18"/>
          <w:szCs w:val="18"/>
          <w:rtl/>
        </w:rPr>
        <w:t xml:space="preserve">, </w:t>
      </w:r>
      <w:r w:rsidRPr="0001412F">
        <w:rPr>
          <w:rFonts w:cs="Arial" w:hint="cs"/>
          <w:sz w:val="18"/>
          <w:szCs w:val="18"/>
          <w:rtl/>
        </w:rPr>
        <w:t>טמאה</w:t>
      </w:r>
      <w:r w:rsidRPr="0001412F">
        <w:rPr>
          <w:rFonts w:cs="Arial"/>
          <w:sz w:val="18"/>
          <w:szCs w:val="18"/>
          <w:rtl/>
        </w:rPr>
        <w:t xml:space="preserve">. </w:t>
      </w:r>
      <w:r w:rsidRPr="0001412F">
        <w:rPr>
          <w:rFonts w:cs="Arial" w:hint="cs"/>
          <w:sz w:val="18"/>
          <w:szCs w:val="18"/>
          <w:rtl/>
        </w:rPr>
        <w:t>ובעומדת</w:t>
      </w:r>
      <w:r w:rsidRPr="0001412F">
        <w:rPr>
          <w:rFonts w:cs="Arial"/>
          <w:sz w:val="18"/>
          <w:szCs w:val="18"/>
          <w:rtl/>
        </w:rPr>
        <w:t xml:space="preserve">, </w:t>
      </w:r>
      <w:r w:rsidRPr="0001412F">
        <w:rPr>
          <w:rFonts w:cs="Arial" w:hint="cs"/>
          <w:sz w:val="18"/>
          <w:szCs w:val="18"/>
          <w:rtl/>
        </w:rPr>
        <w:t>בכל</w:t>
      </w:r>
      <w:r w:rsidRPr="0001412F">
        <w:rPr>
          <w:rFonts w:cs="Arial"/>
          <w:sz w:val="18"/>
          <w:szCs w:val="18"/>
          <w:rtl/>
        </w:rPr>
        <w:t xml:space="preserve"> </w:t>
      </w:r>
      <w:r w:rsidRPr="0001412F">
        <w:rPr>
          <w:rFonts w:cs="Arial" w:hint="cs"/>
          <w:sz w:val="18"/>
          <w:szCs w:val="18"/>
          <w:rtl/>
        </w:rPr>
        <w:t>ענין</w:t>
      </w:r>
      <w:r w:rsidRPr="0001412F">
        <w:rPr>
          <w:rFonts w:cs="Arial"/>
          <w:sz w:val="18"/>
          <w:szCs w:val="18"/>
          <w:rtl/>
        </w:rPr>
        <w:t xml:space="preserve"> </w:t>
      </w:r>
      <w:r w:rsidRPr="0001412F">
        <w:rPr>
          <w:rFonts w:cs="Arial" w:hint="cs"/>
          <w:sz w:val="18"/>
          <w:szCs w:val="18"/>
          <w:rtl/>
        </w:rPr>
        <w:t>טמאה</w:t>
      </w:r>
      <w:r>
        <w:rPr>
          <w:rFonts w:cs="Arial" w:hint="cs"/>
          <w:sz w:val="18"/>
          <w:szCs w:val="18"/>
          <w:rtl/>
        </w:rPr>
        <w:t>,</w:t>
      </w:r>
      <w:r w:rsidRPr="0001412F">
        <w:rPr>
          <w:rFonts w:cs="Arial"/>
          <w:sz w:val="18"/>
          <w:szCs w:val="18"/>
          <w:rtl/>
        </w:rPr>
        <w:t xml:space="preserve"> </w:t>
      </w:r>
      <w:r w:rsidRPr="0001412F">
        <w:rPr>
          <w:rFonts w:cs="Arial"/>
          <w:sz w:val="16"/>
          <w:szCs w:val="16"/>
          <w:rtl/>
        </w:rPr>
        <w:t>(</w:t>
      </w:r>
      <w:r w:rsidRPr="0001412F">
        <w:rPr>
          <w:rFonts w:cs="Arial" w:hint="cs"/>
          <w:sz w:val="16"/>
          <w:szCs w:val="16"/>
          <w:rtl/>
        </w:rPr>
        <w:t>מרדכי</w:t>
      </w:r>
      <w:r w:rsidRPr="0001412F">
        <w:rPr>
          <w:rFonts w:cs="Arial"/>
          <w:sz w:val="16"/>
          <w:szCs w:val="16"/>
          <w:rtl/>
        </w:rPr>
        <w:t xml:space="preserve">) </w:t>
      </w:r>
      <w:r w:rsidRPr="0001412F">
        <w:rPr>
          <w:rFonts w:cs="Arial" w:hint="cs"/>
          <w:sz w:val="18"/>
          <w:szCs w:val="18"/>
          <w:rtl/>
        </w:rPr>
        <w:t>והכי</w:t>
      </w:r>
      <w:r w:rsidRPr="0001412F">
        <w:rPr>
          <w:rFonts w:cs="Arial"/>
          <w:sz w:val="18"/>
          <w:szCs w:val="18"/>
          <w:rtl/>
        </w:rPr>
        <w:t xml:space="preserve"> </w:t>
      </w:r>
      <w:r w:rsidRPr="0001412F">
        <w:rPr>
          <w:rFonts w:cs="Arial" w:hint="cs"/>
          <w:sz w:val="18"/>
          <w:szCs w:val="18"/>
          <w:rtl/>
        </w:rPr>
        <w:t>נהוג</w:t>
      </w:r>
      <w:r w:rsidRPr="0001412F">
        <w:rPr>
          <w:rFonts w:cs="Arial"/>
          <w:sz w:val="18"/>
          <w:szCs w:val="18"/>
          <w:rtl/>
        </w:rPr>
        <w:t xml:space="preserve">. </w:t>
      </w:r>
      <w:r w:rsidRPr="0001412F">
        <w:rPr>
          <w:rFonts w:cs="Arial" w:hint="cs"/>
          <w:sz w:val="18"/>
          <w:szCs w:val="18"/>
          <w:rtl/>
        </w:rPr>
        <w:t>ודוקא</w:t>
      </w:r>
      <w:r w:rsidRPr="0001412F">
        <w:rPr>
          <w:rFonts w:cs="Arial"/>
          <w:sz w:val="18"/>
          <w:szCs w:val="18"/>
          <w:rtl/>
        </w:rPr>
        <w:t xml:space="preserve"> </w:t>
      </w:r>
      <w:r w:rsidRPr="0001412F">
        <w:rPr>
          <w:rFonts w:cs="Arial" w:hint="cs"/>
          <w:sz w:val="18"/>
          <w:szCs w:val="18"/>
          <w:rtl/>
        </w:rPr>
        <w:t>כשנמצא</w:t>
      </w:r>
      <w:r w:rsidRPr="0001412F">
        <w:rPr>
          <w:rFonts w:cs="Arial"/>
          <w:sz w:val="18"/>
          <w:szCs w:val="18"/>
          <w:rtl/>
        </w:rPr>
        <w:t xml:space="preserve"> </w:t>
      </w:r>
      <w:r w:rsidRPr="0001412F">
        <w:rPr>
          <w:rFonts w:cs="Arial" w:hint="cs"/>
          <w:sz w:val="18"/>
          <w:szCs w:val="18"/>
          <w:rtl/>
        </w:rPr>
        <w:t>הדם</w:t>
      </w:r>
      <w:r w:rsidRPr="0001412F">
        <w:rPr>
          <w:rFonts w:cs="Arial"/>
          <w:sz w:val="18"/>
          <w:szCs w:val="18"/>
          <w:rtl/>
        </w:rPr>
        <w:t xml:space="preserve"> </w:t>
      </w:r>
      <w:r w:rsidRPr="0001412F">
        <w:rPr>
          <w:rFonts w:cs="Arial" w:hint="cs"/>
          <w:sz w:val="18"/>
          <w:szCs w:val="18"/>
          <w:rtl/>
        </w:rPr>
        <w:t>בספל</w:t>
      </w:r>
      <w:r w:rsidRPr="0001412F">
        <w:rPr>
          <w:rFonts w:cs="Arial"/>
          <w:sz w:val="18"/>
          <w:szCs w:val="18"/>
          <w:rtl/>
        </w:rPr>
        <w:t xml:space="preserve"> </w:t>
      </w:r>
      <w:r w:rsidRPr="0001412F">
        <w:rPr>
          <w:rFonts w:cs="Arial" w:hint="cs"/>
          <w:sz w:val="18"/>
          <w:szCs w:val="18"/>
          <w:rtl/>
        </w:rPr>
        <w:t>שהיא</w:t>
      </w:r>
      <w:r w:rsidRPr="0001412F">
        <w:rPr>
          <w:rFonts w:cs="Arial"/>
          <w:sz w:val="18"/>
          <w:szCs w:val="18"/>
          <w:rtl/>
        </w:rPr>
        <w:t xml:space="preserve"> </w:t>
      </w:r>
      <w:r w:rsidRPr="0001412F">
        <w:rPr>
          <w:rFonts w:cs="Arial" w:hint="cs"/>
          <w:sz w:val="18"/>
          <w:szCs w:val="18"/>
          <w:rtl/>
        </w:rPr>
        <w:t>משתנת</w:t>
      </w:r>
      <w:r w:rsidRPr="0001412F">
        <w:rPr>
          <w:rFonts w:cs="Arial"/>
          <w:sz w:val="18"/>
          <w:szCs w:val="18"/>
          <w:rtl/>
        </w:rPr>
        <w:t xml:space="preserve"> </w:t>
      </w:r>
      <w:r w:rsidRPr="0001412F">
        <w:rPr>
          <w:rFonts w:cs="Arial" w:hint="cs"/>
          <w:sz w:val="18"/>
          <w:szCs w:val="18"/>
          <w:rtl/>
        </w:rPr>
        <w:t>שם</w:t>
      </w:r>
      <w:r w:rsidRPr="0001412F">
        <w:rPr>
          <w:rFonts w:cs="Arial"/>
          <w:sz w:val="18"/>
          <w:szCs w:val="18"/>
          <w:rtl/>
        </w:rPr>
        <w:t xml:space="preserve"> </w:t>
      </w:r>
      <w:r w:rsidRPr="0001412F">
        <w:rPr>
          <w:rFonts w:cs="Arial" w:hint="cs"/>
          <w:sz w:val="18"/>
          <w:szCs w:val="18"/>
          <w:rtl/>
        </w:rPr>
        <w:t>לחוד</w:t>
      </w:r>
      <w:r w:rsidRPr="0001412F">
        <w:rPr>
          <w:rFonts w:cs="Arial"/>
          <w:sz w:val="18"/>
          <w:szCs w:val="18"/>
          <w:rtl/>
        </w:rPr>
        <w:t xml:space="preserve">, </w:t>
      </w:r>
      <w:r w:rsidRPr="0001412F">
        <w:rPr>
          <w:rFonts w:cs="Arial" w:hint="cs"/>
          <w:sz w:val="18"/>
          <w:szCs w:val="18"/>
          <w:rtl/>
        </w:rPr>
        <w:t>דידוע</w:t>
      </w:r>
      <w:r w:rsidRPr="0001412F">
        <w:rPr>
          <w:rFonts w:cs="Arial"/>
          <w:sz w:val="18"/>
          <w:szCs w:val="18"/>
          <w:rtl/>
        </w:rPr>
        <w:t xml:space="preserve"> </w:t>
      </w:r>
      <w:r w:rsidRPr="0001412F">
        <w:rPr>
          <w:rFonts w:cs="Arial" w:hint="cs"/>
          <w:sz w:val="18"/>
          <w:szCs w:val="18"/>
          <w:rtl/>
        </w:rPr>
        <w:t>שהוא</w:t>
      </w:r>
      <w:r w:rsidRPr="0001412F">
        <w:rPr>
          <w:rFonts w:cs="Arial"/>
          <w:sz w:val="18"/>
          <w:szCs w:val="18"/>
          <w:rtl/>
        </w:rPr>
        <w:t xml:space="preserve"> </w:t>
      </w:r>
      <w:r w:rsidRPr="0001412F">
        <w:rPr>
          <w:rFonts w:cs="Arial" w:hint="cs"/>
          <w:sz w:val="18"/>
          <w:szCs w:val="18"/>
          <w:rtl/>
        </w:rPr>
        <w:t>ממנה</w:t>
      </w:r>
      <w:r w:rsidRPr="0001412F">
        <w:rPr>
          <w:rFonts w:cs="Arial"/>
          <w:sz w:val="18"/>
          <w:szCs w:val="18"/>
          <w:rtl/>
        </w:rPr>
        <w:t xml:space="preserve">, </w:t>
      </w:r>
      <w:r w:rsidRPr="0001412F">
        <w:rPr>
          <w:rFonts w:cs="Arial" w:hint="cs"/>
          <w:sz w:val="18"/>
          <w:szCs w:val="18"/>
          <w:rtl/>
        </w:rPr>
        <w:t>אבל</w:t>
      </w:r>
      <w:r w:rsidRPr="0001412F">
        <w:rPr>
          <w:rFonts w:cs="Arial"/>
          <w:sz w:val="18"/>
          <w:szCs w:val="18"/>
          <w:rtl/>
        </w:rPr>
        <w:t xml:space="preserve"> </w:t>
      </w:r>
      <w:r w:rsidRPr="0001412F">
        <w:rPr>
          <w:rFonts w:cs="Arial" w:hint="cs"/>
          <w:sz w:val="18"/>
          <w:szCs w:val="18"/>
          <w:rtl/>
        </w:rPr>
        <w:t>אם</w:t>
      </w:r>
      <w:r w:rsidRPr="0001412F">
        <w:rPr>
          <w:rFonts w:cs="Arial"/>
          <w:sz w:val="18"/>
          <w:szCs w:val="18"/>
          <w:rtl/>
        </w:rPr>
        <w:t xml:space="preserve"> </w:t>
      </w:r>
      <w:r w:rsidRPr="0001412F">
        <w:rPr>
          <w:rFonts w:cs="Arial" w:hint="cs"/>
          <w:sz w:val="18"/>
          <w:szCs w:val="18"/>
          <w:rtl/>
        </w:rPr>
        <w:t>נמצא</w:t>
      </w:r>
      <w:r w:rsidRPr="0001412F">
        <w:rPr>
          <w:rFonts w:cs="Arial"/>
          <w:sz w:val="18"/>
          <w:szCs w:val="18"/>
          <w:rtl/>
        </w:rPr>
        <w:t xml:space="preserve"> </w:t>
      </w:r>
      <w:r w:rsidRPr="0001412F">
        <w:rPr>
          <w:rFonts w:cs="Arial" w:hint="cs"/>
          <w:sz w:val="18"/>
          <w:szCs w:val="18"/>
          <w:rtl/>
        </w:rPr>
        <w:t>בספל</w:t>
      </w:r>
      <w:r w:rsidRPr="0001412F">
        <w:rPr>
          <w:rFonts w:cs="Arial"/>
          <w:sz w:val="18"/>
          <w:szCs w:val="18"/>
          <w:rtl/>
        </w:rPr>
        <w:t xml:space="preserve"> </w:t>
      </w:r>
      <w:r w:rsidRPr="0001412F">
        <w:rPr>
          <w:rFonts w:cs="Arial" w:hint="cs"/>
          <w:sz w:val="18"/>
          <w:szCs w:val="18"/>
          <w:rtl/>
        </w:rPr>
        <w:t>שאיש</w:t>
      </w:r>
      <w:r w:rsidRPr="0001412F">
        <w:rPr>
          <w:rFonts w:cs="Arial"/>
          <w:sz w:val="18"/>
          <w:szCs w:val="18"/>
          <w:rtl/>
        </w:rPr>
        <w:t xml:space="preserve"> </w:t>
      </w:r>
      <w:r w:rsidRPr="0001412F">
        <w:rPr>
          <w:rFonts w:cs="Arial" w:hint="cs"/>
          <w:sz w:val="18"/>
          <w:szCs w:val="18"/>
          <w:rtl/>
        </w:rPr>
        <w:t>ואשה</w:t>
      </w:r>
      <w:r w:rsidRPr="0001412F">
        <w:rPr>
          <w:rFonts w:cs="Arial"/>
          <w:sz w:val="18"/>
          <w:szCs w:val="18"/>
          <w:rtl/>
        </w:rPr>
        <w:t xml:space="preserve"> </w:t>
      </w:r>
      <w:r w:rsidRPr="0001412F">
        <w:rPr>
          <w:rFonts w:cs="Arial" w:hint="cs"/>
          <w:sz w:val="18"/>
          <w:szCs w:val="18"/>
          <w:rtl/>
        </w:rPr>
        <w:t>מטילין</w:t>
      </w:r>
      <w:r w:rsidRPr="0001412F">
        <w:rPr>
          <w:rFonts w:cs="Arial"/>
          <w:sz w:val="18"/>
          <w:szCs w:val="18"/>
          <w:rtl/>
        </w:rPr>
        <w:t xml:space="preserve"> </w:t>
      </w:r>
      <w:r w:rsidRPr="0001412F">
        <w:rPr>
          <w:rFonts w:cs="Arial" w:hint="cs"/>
          <w:sz w:val="18"/>
          <w:szCs w:val="18"/>
          <w:rtl/>
        </w:rPr>
        <w:t>שם</w:t>
      </w:r>
      <w:r w:rsidRPr="0001412F">
        <w:rPr>
          <w:rFonts w:cs="Arial"/>
          <w:sz w:val="18"/>
          <w:szCs w:val="18"/>
          <w:rtl/>
        </w:rPr>
        <w:t xml:space="preserve"> </w:t>
      </w:r>
      <w:r w:rsidRPr="0001412F">
        <w:rPr>
          <w:rFonts w:cs="Arial" w:hint="cs"/>
          <w:sz w:val="18"/>
          <w:szCs w:val="18"/>
          <w:rtl/>
        </w:rPr>
        <w:t>מים</w:t>
      </w:r>
      <w:r w:rsidRPr="0001412F">
        <w:rPr>
          <w:rFonts w:cs="Arial"/>
          <w:sz w:val="18"/>
          <w:szCs w:val="18"/>
          <w:rtl/>
        </w:rPr>
        <w:t xml:space="preserve">, </w:t>
      </w:r>
      <w:r w:rsidRPr="0001412F">
        <w:rPr>
          <w:rFonts w:cs="Arial" w:hint="cs"/>
          <w:sz w:val="18"/>
          <w:szCs w:val="18"/>
          <w:rtl/>
        </w:rPr>
        <w:t>טהורה</w:t>
      </w:r>
      <w:r w:rsidRPr="0001412F">
        <w:rPr>
          <w:rFonts w:cs="Arial"/>
          <w:sz w:val="18"/>
          <w:szCs w:val="18"/>
          <w:rtl/>
        </w:rPr>
        <w:t xml:space="preserve"> </w:t>
      </w:r>
      <w:r w:rsidRPr="0001412F">
        <w:rPr>
          <w:rFonts w:cs="Arial" w:hint="cs"/>
          <w:sz w:val="18"/>
          <w:szCs w:val="18"/>
          <w:rtl/>
        </w:rPr>
        <w:t>בכל</w:t>
      </w:r>
      <w:r w:rsidRPr="0001412F">
        <w:rPr>
          <w:rFonts w:cs="Arial"/>
          <w:sz w:val="18"/>
          <w:szCs w:val="18"/>
          <w:rtl/>
        </w:rPr>
        <w:t xml:space="preserve"> </w:t>
      </w:r>
      <w:r w:rsidRPr="0001412F">
        <w:rPr>
          <w:rFonts w:cs="Arial" w:hint="cs"/>
          <w:sz w:val="18"/>
          <w:szCs w:val="18"/>
          <w:rtl/>
        </w:rPr>
        <w:t>ענין".</w:t>
      </w:r>
    </w:p>
    <w:p w:rsidR="00620060" w:rsidRDefault="00620060" w:rsidP="00620060">
      <w:pPr>
        <w:rPr>
          <w:sz w:val="20"/>
          <w:szCs w:val="20"/>
          <w:rtl/>
        </w:rPr>
      </w:pPr>
      <w:r>
        <w:rPr>
          <w:rFonts w:hint="cs"/>
          <w:sz w:val="20"/>
          <w:szCs w:val="20"/>
          <w:u w:val="single"/>
          <w:rtl/>
        </w:rPr>
        <w:t>הסבר</w:t>
      </w:r>
      <w:r>
        <w:rPr>
          <w:sz w:val="20"/>
          <w:szCs w:val="20"/>
          <w:u w:val="single"/>
          <w:rtl/>
        </w:rPr>
        <w:br/>
      </w:r>
      <w:r w:rsidRPr="0001412F">
        <w:rPr>
          <w:rFonts w:hint="cs"/>
          <w:b/>
          <w:bCs/>
          <w:sz w:val="20"/>
          <w:szCs w:val="20"/>
          <w:rtl/>
        </w:rPr>
        <w:t xml:space="preserve">מחבר </w:t>
      </w:r>
      <w:r>
        <w:rPr>
          <w:sz w:val="20"/>
          <w:szCs w:val="20"/>
          <w:rtl/>
        </w:rPr>
        <w:t>–</w:t>
      </w:r>
      <w:r>
        <w:rPr>
          <w:rFonts w:hint="cs"/>
          <w:sz w:val="20"/>
          <w:szCs w:val="20"/>
          <w:rtl/>
        </w:rPr>
        <w:t xml:space="preserve"> הלכה כרש"י, רמב"ם ורשב"א שטהורה בכל עניין, ואפילו אם המ"ר יצאו ממנה בהרגשה.</w:t>
      </w:r>
      <w:r>
        <w:rPr>
          <w:sz w:val="20"/>
          <w:szCs w:val="20"/>
          <w:rtl/>
        </w:rPr>
        <w:br/>
      </w:r>
      <w:r w:rsidRPr="0001412F">
        <w:rPr>
          <w:rFonts w:hint="cs"/>
          <w:b/>
          <w:bCs/>
          <w:sz w:val="20"/>
          <w:szCs w:val="20"/>
          <w:rtl/>
        </w:rPr>
        <w:t>רמ"א</w:t>
      </w:r>
      <w:r>
        <w:rPr>
          <w:rFonts w:hint="cs"/>
          <w:sz w:val="20"/>
          <w:szCs w:val="20"/>
          <w:rtl/>
        </w:rPr>
        <w:t xml:space="preserve"> </w:t>
      </w:r>
      <w:r>
        <w:rPr>
          <w:sz w:val="20"/>
          <w:szCs w:val="20"/>
          <w:rtl/>
        </w:rPr>
        <w:t>–</w:t>
      </w:r>
      <w:r>
        <w:rPr>
          <w:rFonts w:hint="cs"/>
          <w:sz w:val="20"/>
          <w:szCs w:val="20"/>
          <w:rtl/>
        </w:rPr>
        <w:t xml:space="preserve"> הביא את דעת הרא"ש, אך לדינא פסק כר"ח שבכל עניין טמאה, מלבד ביושבת ומזנקת ונמצא דם בתוך הספל ולא על שפתו </w:t>
      </w:r>
      <w:r w:rsidRPr="0001412F">
        <w:rPr>
          <w:rFonts w:hint="cs"/>
          <w:sz w:val="18"/>
          <w:szCs w:val="18"/>
          <w:rtl/>
        </w:rPr>
        <w:t xml:space="preserve">(כלומר </w:t>
      </w:r>
      <w:r w:rsidRPr="0001412F">
        <w:rPr>
          <w:sz w:val="18"/>
          <w:szCs w:val="18"/>
          <w:rtl/>
        </w:rPr>
        <w:t>–</w:t>
      </w:r>
      <w:r w:rsidRPr="0001412F">
        <w:rPr>
          <w:rFonts w:hint="cs"/>
          <w:sz w:val="18"/>
          <w:szCs w:val="18"/>
          <w:rtl/>
        </w:rPr>
        <w:t xml:space="preserve"> תלת למעליותא: יושבת, מזנקת, דם בתוך הספל)</w:t>
      </w:r>
      <w:r>
        <w:rPr>
          <w:rFonts w:hint="cs"/>
          <w:sz w:val="20"/>
          <w:szCs w:val="20"/>
          <w:rtl/>
        </w:rPr>
        <w:t>.</w:t>
      </w:r>
    </w:p>
    <w:p w:rsidR="00620060" w:rsidRDefault="00620060" w:rsidP="00620060">
      <w:pPr>
        <w:rPr>
          <w:sz w:val="18"/>
          <w:szCs w:val="18"/>
          <w:rtl/>
        </w:rPr>
      </w:pPr>
      <w:r w:rsidRPr="00FA4B19">
        <w:rPr>
          <w:rFonts w:hint="cs"/>
          <w:sz w:val="20"/>
          <w:szCs w:val="20"/>
          <w:u w:val="single"/>
          <w:rtl/>
        </w:rPr>
        <w:t>הסבר לשון הרמ"א</w:t>
      </w:r>
      <w:r>
        <w:rPr>
          <w:sz w:val="20"/>
          <w:szCs w:val="20"/>
          <w:u w:val="single"/>
          <w:rtl/>
        </w:rPr>
        <w:br/>
      </w:r>
      <w:r w:rsidRPr="00AC440E">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מדוע הרמ"א כתב "מקלחת </w:t>
      </w:r>
      <w:r w:rsidRPr="00FA4B19">
        <w:rPr>
          <w:rFonts w:hint="cs"/>
          <w:sz w:val="20"/>
          <w:szCs w:val="20"/>
          <w:u w:val="single"/>
          <w:rtl/>
        </w:rPr>
        <w:t>לתוך</w:t>
      </w:r>
      <w:r>
        <w:rPr>
          <w:rFonts w:hint="cs"/>
          <w:sz w:val="20"/>
          <w:szCs w:val="20"/>
          <w:rtl/>
        </w:rPr>
        <w:t xml:space="preserve"> הספל" ואחר כך שינה בלשונו וכתב "שותתין על </w:t>
      </w:r>
      <w:r w:rsidRPr="00FA4B19">
        <w:rPr>
          <w:rFonts w:hint="cs"/>
          <w:sz w:val="20"/>
          <w:szCs w:val="20"/>
          <w:u w:val="single"/>
          <w:rtl/>
        </w:rPr>
        <w:t>שפת</w:t>
      </w:r>
      <w:r>
        <w:rPr>
          <w:rFonts w:hint="cs"/>
          <w:sz w:val="20"/>
          <w:szCs w:val="20"/>
          <w:rtl/>
        </w:rPr>
        <w:t xml:space="preserve"> הספל"?</w:t>
      </w:r>
      <w:r>
        <w:rPr>
          <w:sz w:val="20"/>
          <w:szCs w:val="20"/>
          <w:rtl/>
        </w:rPr>
        <w:br/>
      </w:r>
      <w:r>
        <w:rPr>
          <w:rFonts w:hint="cs"/>
          <w:sz w:val="20"/>
          <w:szCs w:val="20"/>
          <w:rtl/>
        </w:rPr>
        <w:t xml:space="preserve">ויש לומר </w:t>
      </w:r>
      <w:r>
        <w:rPr>
          <w:sz w:val="20"/>
          <w:szCs w:val="20"/>
          <w:rtl/>
        </w:rPr>
        <w:t>–</w:t>
      </w:r>
      <w:r>
        <w:rPr>
          <w:rFonts w:hint="cs"/>
          <w:sz w:val="20"/>
          <w:szCs w:val="20"/>
          <w:rtl/>
        </w:rPr>
        <w:t xml:space="preserve"> אין בשינוי זה דין מהותי, אלא מדובר על הבדל טכני בלבד.</w:t>
      </w:r>
      <w:r>
        <w:rPr>
          <w:sz w:val="20"/>
          <w:szCs w:val="20"/>
          <w:rtl/>
        </w:rPr>
        <w:br/>
      </w:r>
      <w:r>
        <w:rPr>
          <w:rFonts w:hint="cs"/>
          <w:sz w:val="20"/>
          <w:szCs w:val="20"/>
          <w:rtl/>
        </w:rPr>
        <w:t xml:space="preserve">כלומר </w:t>
      </w:r>
      <w:r>
        <w:rPr>
          <w:sz w:val="20"/>
          <w:szCs w:val="20"/>
          <w:rtl/>
        </w:rPr>
        <w:t>–</w:t>
      </w:r>
      <w:r>
        <w:rPr>
          <w:rFonts w:hint="cs"/>
          <w:sz w:val="20"/>
          <w:szCs w:val="20"/>
          <w:rtl/>
        </w:rPr>
        <w:t xml:space="preserve"> כאשר היא מקלחת הדרך היא שמניחה את הכלי בין רגליה ומפסקת אותן, לכן המים מקלחים לתוך הכלי. לעומת זאת כאשר המים שותתים, הדרך היא שהיא מצמידה את רגליה זו לזו והכלי מונח לפניה, באופן כזה המים אינם שותתים לתוך הכלי אלא על שפתו וממנה לכלי. </w:t>
      </w:r>
      <w:r>
        <w:rPr>
          <w:rFonts w:hint="cs"/>
          <w:sz w:val="18"/>
          <w:szCs w:val="18"/>
          <w:rtl/>
        </w:rPr>
        <w:t>(</w:t>
      </w:r>
      <w:r w:rsidRPr="002864A1">
        <w:rPr>
          <w:rFonts w:hint="cs"/>
          <w:sz w:val="18"/>
          <w:szCs w:val="18"/>
          <w:rtl/>
        </w:rPr>
        <w:t>וכמובן שהעיקר הוא החילוק בין מקלחת לשותתת</w:t>
      </w:r>
      <w:r>
        <w:rPr>
          <w:rFonts w:hint="cs"/>
          <w:sz w:val="18"/>
          <w:szCs w:val="18"/>
          <w:rtl/>
        </w:rPr>
        <w:t>)</w:t>
      </w:r>
      <w:r w:rsidRPr="002864A1">
        <w:rPr>
          <w:rFonts w:hint="cs"/>
          <w:sz w:val="18"/>
          <w:szCs w:val="18"/>
          <w:rtl/>
        </w:rPr>
        <w:t>.</w:t>
      </w:r>
    </w:p>
    <w:p w:rsidR="00620060" w:rsidRPr="00520A1F" w:rsidRDefault="00620060" w:rsidP="00620060">
      <w:pPr>
        <w:rPr>
          <w:sz w:val="20"/>
          <w:szCs w:val="20"/>
          <w:rtl/>
        </w:rPr>
      </w:pPr>
      <w:r w:rsidRPr="00520A1F">
        <w:rPr>
          <w:rFonts w:hint="cs"/>
          <w:sz w:val="20"/>
          <w:szCs w:val="20"/>
          <w:u w:val="single"/>
          <w:rtl/>
        </w:rPr>
        <w:t>דעת הרמ"א בדם שנמצא על שפת אסלה שבזמנינו</w:t>
      </w:r>
      <w:r>
        <w:rPr>
          <w:sz w:val="20"/>
          <w:szCs w:val="20"/>
          <w:u w:val="single"/>
          <w:rtl/>
        </w:rPr>
        <w:br/>
      </w:r>
      <w:r w:rsidRPr="00520A1F">
        <w:rPr>
          <w:rFonts w:hint="cs"/>
          <w:b/>
          <w:bCs/>
          <w:sz w:val="20"/>
          <w:szCs w:val="20"/>
          <w:rtl/>
        </w:rPr>
        <w:t>שבט הלוי</w:t>
      </w:r>
      <w:r>
        <w:rPr>
          <w:rFonts w:hint="cs"/>
          <w:sz w:val="20"/>
          <w:szCs w:val="20"/>
          <w:rtl/>
        </w:rPr>
        <w:t xml:space="preserve"> </w:t>
      </w:r>
      <w:r>
        <w:rPr>
          <w:sz w:val="20"/>
          <w:szCs w:val="20"/>
          <w:rtl/>
        </w:rPr>
        <w:t>–</w:t>
      </w:r>
      <w:r>
        <w:rPr>
          <w:rFonts w:hint="cs"/>
          <w:sz w:val="20"/>
          <w:szCs w:val="20"/>
          <w:rtl/>
        </w:rPr>
        <w:t xml:space="preserve"> כתב </w:t>
      </w:r>
      <w:r w:rsidRPr="00520A1F">
        <w:rPr>
          <w:rFonts w:hint="cs"/>
          <w:b/>
          <w:bCs/>
          <w:sz w:val="20"/>
          <w:szCs w:val="20"/>
          <w:rtl/>
        </w:rPr>
        <w:t>החוו"ד</w:t>
      </w:r>
      <w:r>
        <w:rPr>
          <w:rFonts w:hint="cs"/>
          <w:sz w:val="20"/>
          <w:szCs w:val="20"/>
          <w:rtl/>
        </w:rPr>
        <w:t xml:space="preserve"> שכיוון שטומאה זו היא רק מחמת כתם, אם כן דווקא אם בדקה את הספל קודם טמאה, דהוי כעד הבדוק, אך אם לא בדקתו לפני כן </w:t>
      </w:r>
      <w:r>
        <w:rPr>
          <w:sz w:val="20"/>
          <w:szCs w:val="20"/>
          <w:rtl/>
        </w:rPr>
        <w:t>–</w:t>
      </w:r>
      <w:r>
        <w:rPr>
          <w:rFonts w:hint="cs"/>
          <w:sz w:val="20"/>
          <w:szCs w:val="20"/>
          <w:rtl/>
        </w:rPr>
        <w:t xml:space="preserve"> טהורה.</w:t>
      </w:r>
      <w:r>
        <w:rPr>
          <w:sz w:val="20"/>
          <w:szCs w:val="20"/>
          <w:rtl/>
        </w:rPr>
        <w:br/>
      </w:r>
      <w:r>
        <w:rPr>
          <w:rFonts w:hint="cs"/>
          <w:sz w:val="20"/>
          <w:szCs w:val="20"/>
          <w:rtl/>
        </w:rPr>
        <w:t xml:space="preserve">ולפי"ז, יש לומר שאם מצאה דם על שפת האסלה שבזמנינו </w:t>
      </w:r>
      <w:r>
        <w:rPr>
          <w:sz w:val="20"/>
          <w:szCs w:val="20"/>
          <w:rtl/>
        </w:rPr>
        <w:t>–</w:t>
      </w:r>
      <w:r>
        <w:rPr>
          <w:rFonts w:hint="cs"/>
          <w:sz w:val="20"/>
          <w:szCs w:val="20"/>
          <w:rtl/>
        </w:rPr>
        <w:t xml:space="preserve"> טהורה, משום שלרוב היא מלוכלכת.</w:t>
      </w:r>
      <w:r>
        <w:rPr>
          <w:sz w:val="20"/>
          <w:szCs w:val="20"/>
          <w:rtl/>
        </w:rPr>
        <w:br/>
      </w:r>
      <w:r>
        <w:rPr>
          <w:rFonts w:hint="cs"/>
          <w:sz w:val="20"/>
          <w:szCs w:val="20"/>
          <w:rtl/>
        </w:rPr>
        <w:t>אמנם, קולה זו נאמרה עד שיעור גריס, אך ביותר מגריס קשה להקל שהרי גם בעד שאינו בדוק טמאה בכה"ג.</w:t>
      </w:r>
    </w:p>
    <w:p w:rsidR="00620060" w:rsidRDefault="00620060" w:rsidP="00620060">
      <w:pPr>
        <w:rPr>
          <w:sz w:val="20"/>
          <w:szCs w:val="20"/>
          <w:rtl/>
        </w:rPr>
      </w:pPr>
      <w:r>
        <w:rPr>
          <w:rFonts w:hint="cs"/>
          <w:sz w:val="20"/>
          <w:szCs w:val="20"/>
          <w:u w:val="single"/>
          <w:rtl/>
        </w:rPr>
        <w:t>זקנה שראתה דם במי רגליה (פת"ש)</w:t>
      </w:r>
      <w:r>
        <w:rPr>
          <w:rFonts w:hint="cs"/>
          <w:sz w:val="20"/>
          <w:szCs w:val="20"/>
          <w:u w:val="single"/>
          <w:rtl/>
        </w:rPr>
        <w:br/>
      </w:r>
      <w:r>
        <w:rPr>
          <w:rFonts w:hint="cs"/>
          <w:sz w:val="20"/>
          <w:szCs w:val="20"/>
          <w:rtl/>
        </w:rPr>
        <w:t xml:space="preserve">המקרה </w:t>
      </w:r>
      <w:r>
        <w:rPr>
          <w:sz w:val="20"/>
          <w:szCs w:val="20"/>
          <w:rtl/>
        </w:rPr>
        <w:t>–</w:t>
      </w:r>
      <w:r>
        <w:rPr>
          <w:rFonts w:hint="cs"/>
          <w:sz w:val="20"/>
          <w:szCs w:val="20"/>
          <w:rtl/>
        </w:rPr>
        <w:t xml:space="preserve"> אשה זקנה הטילה מי רגליים ונמצא בהם דם, האם טמאה?</w:t>
      </w:r>
      <w:r>
        <w:rPr>
          <w:rFonts w:hint="cs"/>
          <w:sz w:val="20"/>
          <w:szCs w:val="20"/>
          <w:rtl/>
        </w:rPr>
        <w:br/>
        <w:t xml:space="preserve">א. </w:t>
      </w:r>
      <w:r w:rsidRPr="00450641">
        <w:rPr>
          <w:rFonts w:hint="cs"/>
          <w:b/>
          <w:bCs/>
          <w:sz w:val="20"/>
          <w:szCs w:val="20"/>
          <w:rtl/>
        </w:rPr>
        <w:t>פנים מאירות</w:t>
      </w:r>
      <w:r>
        <w:rPr>
          <w:rFonts w:hint="cs"/>
          <w:sz w:val="20"/>
          <w:szCs w:val="20"/>
          <w:rtl/>
        </w:rPr>
        <w:t xml:space="preserve"> </w:t>
      </w:r>
      <w:r>
        <w:rPr>
          <w:sz w:val="20"/>
          <w:szCs w:val="20"/>
          <w:rtl/>
        </w:rPr>
        <w:t>–</w:t>
      </w:r>
      <w:r>
        <w:rPr>
          <w:rFonts w:hint="cs"/>
          <w:sz w:val="20"/>
          <w:szCs w:val="20"/>
          <w:rtl/>
        </w:rPr>
        <w:t xml:space="preserve"> לא.</w:t>
      </w:r>
      <w:r>
        <w:rPr>
          <w:sz w:val="20"/>
          <w:szCs w:val="20"/>
          <w:rtl/>
        </w:rPr>
        <w:br/>
      </w:r>
      <w:r w:rsidRPr="00450641">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טעם החומרה כאן הוא משום כתם, ובזקנה מקלים בכתם, כל שכן כאן דקיל טפי. ועוד יש לצרף לכך את דעת רש"י, רמב"ם ורשב"א.</w:t>
      </w:r>
      <w:r>
        <w:rPr>
          <w:sz w:val="20"/>
          <w:szCs w:val="20"/>
          <w:rtl/>
        </w:rPr>
        <w:br/>
      </w:r>
      <w:r>
        <w:rPr>
          <w:rFonts w:hint="cs"/>
          <w:sz w:val="20"/>
          <w:szCs w:val="20"/>
          <w:rtl/>
        </w:rPr>
        <w:t xml:space="preserve">ב. </w:t>
      </w:r>
      <w:r w:rsidRPr="005773B6">
        <w:rPr>
          <w:rFonts w:hint="cs"/>
          <w:b/>
          <w:bCs/>
          <w:sz w:val="20"/>
          <w:szCs w:val="20"/>
          <w:rtl/>
        </w:rPr>
        <w:t>פת"ש</w:t>
      </w:r>
      <w:r>
        <w:rPr>
          <w:rFonts w:hint="cs"/>
          <w:sz w:val="20"/>
          <w:szCs w:val="20"/>
          <w:rtl/>
        </w:rPr>
        <w:t xml:space="preserve"> </w:t>
      </w:r>
      <w:r>
        <w:rPr>
          <w:sz w:val="20"/>
          <w:szCs w:val="20"/>
          <w:rtl/>
        </w:rPr>
        <w:t>–</w:t>
      </w:r>
      <w:r>
        <w:rPr>
          <w:rFonts w:hint="cs"/>
          <w:sz w:val="20"/>
          <w:szCs w:val="20"/>
          <w:rtl/>
        </w:rPr>
        <w:t xml:space="preserve"> כן.</w:t>
      </w:r>
      <w:r>
        <w:rPr>
          <w:sz w:val="20"/>
          <w:szCs w:val="20"/>
          <w:rtl/>
        </w:rPr>
        <w:br/>
      </w:r>
      <w:r w:rsidRPr="005773B6">
        <w:rPr>
          <w:rFonts w:hint="cs"/>
          <w:b/>
          <w:bCs/>
          <w:sz w:val="20"/>
          <w:szCs w:val="20"/>
          <w:rtl/>
        </w:rPr>
        <w:t xml:space="preserve">טעם </w:t>
      </w:r>
      <w:r>
        <w:rPr>
          <w:sz w:val="20"/>
          <w:szCs w:val="20"/>
          <w:rtl/>
        </w:rPr>
        <w:t>–</w:t>
      </w:r>
      <w:r>
        <w:rPr>
          <w:rFonts w:hint="cs"/>
          <w:sz w:val="20"/>
          <w:szCs w:val="20"/>
          <w:rtl/>
        </w:rPr>
        <w:t xml:space="preserve"> כתם טמא גם בזקנה ולא הקלו בה יותר, אדרבה, משמע בסימן קצ' שאף היא טמאה בכתם</w:t>
      </w:r>
      <w:r>
        <w:rPr>
          <w:rStyle w:val="a5"/>
          <w:sz w:val="20"/>
          <w:szCs w:val="20"/>
          <w:rtl/>
        </w:rPr>
        <w:footnoteReference w:id="360"/>
      </w:r>
      <w:r>
        <w:rPr>
          <w:rFonts w:hint="cs"/>
          <w:sz w:val="20"/>
          <w:szCs w:val="20"/>
          <w:rtl/>
        </w:rPr>
        <w:t>.</w:t>
      </w:r>
    </w:p>
    <w:p w:rsidR="00620060" w:rsidRDefault="00620060" w:rsidP="00620060">
      <w:pPr>
        <w:rPr>
          <w:sz w:val="20"/>
          <w:szCs w:val="20"/>
          <w:rtl/>
        </w:rPr>
      </w:pPr>
      <w:r w:rsidRPr="002E6763">
        <w:rPr>
          <w:rStyle w:val="10"/>
          <w:rFonts w:hint="cs"/>
          <w:rtl/>
        </w:rPr>
        <w:t>ב.</w:t>
      </w:r>
      <w:r w:rsidRPr="002E6763">
        <w:rPr>
          <w:rFonts w:hint="cs"/>
          <w:b/>
          <w:bCs/>
          <w:sz w:val="16"/>
          <w:szCs w:val="16"/>
          <w:rtl/>
        </w:rPr>
        <w:t xml:space="preserve"> </w:t>
      </w:r>
      <w:r>
        <w:rPr>
          <w:rFonts w:hint="cs"/>
          <w:b/>
          <w:bCs/>
          <w:sz w:val="20"/>
          <w:szCs w:val="20"/>
          <w:rtl/>
        </w:rPr>
        <w:t>אשה שמרגישה כאב בהטלת מי רגליים</w:t>
      </w:r>
      <w:r>
        <w:rPr>
          <w:b/>
          <w:bCs/>
          <w:sz w:val="20"/>
          <w:szCs w:val="20"/>
          <w:rtl/>
        </w:rPr>
        <w:br/>
      </w:r>
      <w:r>
        <w:rPr>
          <w:rFonts w:hint="cs"/>
          <w:sz w:val="20"/>
          <w:szCs w:val="20"/>
          <w:rtl/>
        </w:rPr>
        <w:t xml:space="preserve">המקרה </w:t>
      </w:r>
      <w:r>
        <w:rPr>
          <w:sz w:val="20"/>
          <w:szCs w:val="20"/>
          <w:rtl/>
        </w:rPr>
        <w:t>–</w:t>
      </w:r>
      <w:r>
        <w:rPr>
          <w:rFonts w:hint="cs"/>
          <w:sz w:val="20"/>
          <w:szCs w:val="20"/>
          <w:rtl/>
        </w:rPr>
        <w:t xml:space="preserve"> אשה שכואב לה בזמן שמשתינה, ובכל פעם שכואב מוצאת דם במ"ר ועל עד הבדיקה.</w:t>
      </w:r>
      <w:r>
        <w:rPr>
          <w:rFonts w:hint="cs"/>
          <w:sz w:val="20"/>
          <w:szCs w:val="20"/>
          <w:rtl/>
        </w:rPr>
        <w:br/>
        <w:t xml:space="preserve">א. </w:t>
      </w:r>
      <w:r w:rsidRPr="00A436F7">
        <w:rPr>
          <w:rFonts w:hint="cs"/>
          <w:b/>
          <w:bCs/>
          <w:sz w:val="20"/>
          <w:szCs w:val="20"/>
          <w:rtl/>
        </w:rPr>
        <w:t>מהר"י מולין</w:t>
      </w:r>
      <w:r>
        <w:rPr>
          <w:rFonts w:hint="cs"/>
          <w:sz w:val="20"/>
          <w:szCs w:val="20"/>
          <w:rtl/>
        </w:rPr>
        <w:t xml:space="preserve"> </w:t>
      </w:r>
      <w:r>
        <w:rPr>
          <w:sz w:val="20"/>
          <w:szCs w:val="20"/>
          <w:rtl/>
        </w:rPr>
        <w:t>–</w:t>
      </w:r>
      <w:r>
        <w:rPr>
          <w:rFonts w:hint="cs"/>
          <w:sz w:val="20"/>
          <w:szCs w:val="20"/>
          <w:rtl/>
        </w:rPr>
        <w:t xml:space="preserve"> טמאה, ואפילו אם אין הדם אדום לגמרי אלא דהוי.</w:t>
      </w:r>
      <w:r>
        <w:rPr>
          <w:sz w:val="20"/>
          <w:szCs w:val="20"/>
          <w:rtl/>
        </w:rPr>
        <w:br/>
      </w:r>
      <w:r>
        <w:rPr>
          <w:rFonts w:hint="cs"/>
          <w:sz w:val="20"/>
          <w:szCs w:val="20"/>
          <w:rtl/>
        </w:rPr>
        <w:t xml:space="preserve">ב. </w:t>
      </w:r>
      <w:r w:rsidRPr="00A436F7">
        <w:rPr>
          <w:rFonts w:hint="cs"/>
          <w:b/>
          <w:bCs/>
          <w:sz w:val="20"/>
          <w:szCs w:val="20"/>
          <w:rtl/>
        </w:rPr>
        <w:t>רבינו שלום והגהש"ד</w:t>
      </w:r>
      <w:r>
        <w:rPr>
          <w:rFonts w:hint="cs"/>
          <w:sz w:val="20"/>
          <w:szCs w:val="20"/>
          <w:rtl/>
        </w:rPr>
        <w:t xml:space="preserve"> </w:t>
      </w:r>
      <w:r>
        <w:rPr>
          <w:sz w:val="20"/>
          <w:szCs w:val="20"/>
          <w:rtl/>
        </w:rPr>
        <w:t>–</w:t>
      </w:r>
      <w:r>
        <w:rPr>
          <w:rFonts w:hint="cs"/>
          <w:sz w:val="20"/>
          <w:szCs w:val="20"/>
          <w:rtl/>
        </w:rPr>
        <w:t xml:space="preserve"> טהורה, וכ"פ </w:t>
      </w:r>
      <w:r w:rsidRPr="00A436F7">
        <w:rPr>
          <w:rFonts w:hint="cs"/>
          <w:b/>
          <w:bCs/>
          <w:sz w:val="20"/>
          <w:szCs w:val="20"/>
          <w:rtl/>
        </w:rPr>
        <w:t>הרמ"א</w:t>
      </w:r>
      <w:r>
        <w:rPr>
          <w:rFonts w:hint="cs"/>
          <w:sz w:val="20"/>
          <w:szCs w:val="20"/>
          <w:rtl/>
        </w:rPr>
        <w:t xml:space="preserve"> לעיקה"ד.</w:t>
      </w:r>
      <w:r>
        <w:rPr>
          <w:sz w:val="20"/>
          <w:szCs w:val="20"/>
          <w:rtl/>
        </w:rPr>
        <w:br/>
      </w:r>
      <w:r w:rsidRPr="00A436F7">
        <w:rPr>
          <w:rFonts w:hint="cs"/>
          <w:b/>
          <w:bCs/>
          <w:sz w:val="20"/>
          <w:szCs w:val="20"/>
          <w:rtl/>
        </w:rPr>
        <w:t xml:space="preserve">טעם </w:t>
      </w:r>
      <w:r>
        <w:rPr>
          <w:sz w:val="20"/>
          <w:szCs w:val="20"/>
          <w:rtl/>
        </w:rPr>
        <w:t>–</w:t>
      </w:r>
      <w:r>
        <w:rPr>
          <w:rFonts w:hint="cs"/>
          <w:sz w:val="20"/>
          <w:szCs w:val="20"/>
          <w:rtl/>
        </w:rPr>
        <w:t xml:space="preserve"> מכיוון שרואה תמיד ע"י כאב, יש לתלות את הדם במכה. </w:t>
      </w:r>
      <w:r>
        <w:rPr>
          <w:sz w:val="20"/>
          <w:szCs w:val="20"/>
          <w:rtl/>
        </w:rPr>
        <w:br/>
      </w:r>
      <w:r>
        <w:rPr>
          <w:rFonts w:hint="cs"/>
          <w:sz w:val="20"/>
          <w:szCs w:val="20"/>
          <w:rtl/>
        </w:rPr>
        <w:t xml:space="preserve">אמנם, אם ראתה דם בעת עשיית השתן ולא כאב לה </w:t>
      </w:r>
      <w:r>
        <w:rPr>
          <w:sz w:val="20"/>
          <w:szCs w:val="20"/>
          <w:rtl/>
        </w:rPr>
        <w:t>–</w:t>
      </w:r>
      <w:r>
        <w:rPr>
          <w:rFonts w:hint="cs"/>
          <w:sz w:val="20"/>
          <w:szCs w:val="20"/>
          <w:rtl/>
        </w:rPr>
        <w:t xml:space="preserve"> טמאה, שהרי אין לתלות במכה.</w:t>
      </w:r>
    </w:p>
    <w:p w:rsidR="00620060" w:rsidRDefault="00620060" w:rsidP="00620060">
      <w:pPr>
        <w:rPr>
          <w:sz w:val="20"/>
          <w:szCs w:val="20"/>
          <w:rtl/>
        </w:rPr>
      </w:pPr>
      <w:r>
        <w:rPr>
          <w:rFonts w:hint="cs"/>
          <w:b/>
          <w:bCs/>
          <w:sz w:val="20"/>
          <w:szCs w:val="20"/>
          <w:rtl/>
        </w:rPr>
        <w:lastRenderedPageBreak/>
        <w:t>פסיקת הלכה</w:t>
      </w:r>
      <w:r>
        <w:rPr>
          <w:b/>
          <w:bCs/>
          <w:sz w:val="20"/>
          <w:szCs w:val="20"/>
          <w:rtl/>
        </w:rPr>
        <w:br/>
      </w:r>
      <w:r>
        <w:rPr>
          <w:rFonts w:hint="cs"/>
          <w:b/>
          <w:bCs/>
          <w:sz w:val="20"/>
          <w:szCs w:val="20"/>
          <w:rtl/>
        </w:rPr>
        <w:t xml:space="preserve">רמ"א </w:t>
      </w:r>
      <w:r>
        <w:rPr>
          <w:sz w:val="20"/>
          <w:szCs w:val="20"/>
          <w:rtl/>
        </w:rPr>
        <w:t>–</w:t>
      </w:r>
      <w:r>
        <w:rPr>
          <w:rFonts w:hint="cs"/>
          <w:sz w:val="20"/>
          <w:szCs w:val="20"/>
          <w:rtl/>
        </w:rPr>
        <w:t xml:space="preserve"> </w:t>
      </w:r>
      <w:r w:rsidRPr="00A436F7">
        <w:rPr>
          <w:rFonts w:hint="cs"/>
          <w:sz w:val="18"/>
          <w:szCs w:val="18"/>
          <w:rtl/>
        </w:rPr>
        <w:t>"</w:t>
      </w:r>
      <w:r w:rsidRPr="00A436F7">
        <w:rPr>
          <w:rFonts w:cs="Arial" w:hint="cs"/>
          <w:sz w:val="18"/>
          <w:szCs w:val="18"/>
          <w:rtl/>
        </w:rPr>
        <w:t>וכל</w:t>
      </w:r>
      <w:r w:rsidRPr="00A436F7">
        <w:rPr>
          <w:rFonts w:cs="Arial"/>
          <w:sz w:val="18"/>
          <w:szCs w:val="18"/>
          <w:rtl/>
        </w:rPr>
        <w:t xml:space="preserve"> </w:t>
      </w:r>
      <w:r w:rsidRPr="00A436F7">
        <w:rPr>
          <w:rFonts w:cs="Arial" w:hint="cs"/>
          <w:sz w:val="18"/>
          <w:szCs w:val="18"/>
          <w:rtl/>
        </w:rPr>
        <w:t>זה</w:t>
      </w:r>
      <w:r w:rsidRPr="00A436F7">
        <w:rPr>
          <w:rFonts w:cs="Arial"/>
          <w:sz w:val="18"/>
          <w:szCs w:val="18"/>
          <w:rtl/>
        </w:rPr>
        <w:t xml:space="preserve"> </w:t>
      </w:r>
      <w:r w:rsidRPr="00A436F7">
        <w:rPr>
          <w:rFonts w:cs="Arial" w:hint="cs"/>
          <w:sz w:val="18"/>
          <w:szCs w:val="18"/>
          <w:rtl/>
        </w:rPr>
        <w:t>אם</w:t>
      </w:r>
      <w:r w:rsidRPr="00A436F7">
        <w:rPr>
          <w:rFonts w:cs="Arial"/>
          <w:sz w:val="18"/>
          <w:szCs w:val="18"/>
          <w:rtl/>
        </w:rPr>
        <w:t xml:space="preserve"> </w:t>
      </w:r>
      <w:r w:rsidRPr="00A436F7">
        <w:rPr>
          <w:rFonts w:cs="Arial" w:hint="cs"/>
          <w:sz w:val="18"/>
          <w:szCs w:val="18"/>
          <w:rtl/>
        </w:rPr>
        <w:t>נמצא</w:t>
      </w:r>
      <w:r w:rsidRPr="00A436F7">
        <w:rPr>
          <w:rFonts w:cs="Arial"/>
          <w:sz w:val="18"/>
          <w:szCs w:val="18"/>
          <w:rtl/>
        </w:rPr>
        <w:t xml:space="preserve"> </w:t>
      </w:r>
      <w:r w:rsidRPr="00A436F7">
        <w:rPr>
          <w:rFonts w:cs="Arial" w:hint="cs"/>
          <w:sz w:val="18"/>
          <w:szCs w:val="18"/>
          <w:rtl/>
        </w:rPr>
        <w:t>דם</w:t>
      </w:r>
      <w:r w:rsidRPr="00A436F7">
        <w:rPr>
          <w:rFonts w:cs="Arial"/>
          <w:sz w:val="18"/>
          <w:szCs w:val="18"/>
          <w:rtl/>
        </w:rPr>
        <w:t xml:space="preserve"> </w:t>
      </w:r>
      <w:r w:rsidRPr="00A436F7">
        <w:rPr>
          <w:rFonts w:cs="Arial" w:hint="cs"/>
          <w:sz w:val="18"/>
          <w:szCs w:val="18"/>
          <w:rtl/>
        </w:rPr>
        <w:t>במקרה</w:t>
      </w:r>
      <w:r w:rsidRPr="00A436F7">
        <w:rPr>
          <w:rFonts w:cs="Arial"/>
          <w:sz w:val="18"/>
          <w:szCs w:val="18"/>
          <w:rtl/>
        </w:rPr>
        <w:t xml:space="preserve">, </w:t>
      </w:r>
      <w:r w:rsidRPr="00A436F7">
        <w:rPr>
          <w:rFonts w:cs="Arial" w:hint="cs"/>
          <w:sz w:val="18"/>
          <w:szCs w:val="18"/>
          <w:rtl/>
        </w:rPr>
        <w:t>אבל</w:t>
      </w:r>
      <w:r w:rsidRPr="00A436F7">
        <w:rPr>
          <w:rFonts w:cs="Arial"/>
          <w:sz w:val="18"/>
          <w:szCs w:val="18"/>
          <w:rtl/>
        </w:rPr>
        <w:t xml:space="preserve"> </w:t>
      </w:r>
      <w:r w:rsidRPr="00A436F7">
        <w:rPr>
          <w:rFonts w:cs="Arial" w:hint="cs"/>
          <w:sz w:val="18"/>
          <w:szCs w:val="18"/>
          <w:rtl/>
        </w:rPr>
        <w:t>אשה</w:t>
      </w:r>
      <w:r w:rsidRPr="00A436F7">
        <w:rPr>
          <w:rFonts w:cs="Arial"/>
          <w:sz w:val="18"/>
          <w:szCs w:val="18"/>
          <w:rtl/>
        </w:rPr>
        <w:t xml:space="preserve"> </w:t>
      </w:r>
      <w:r w:rsidRPr="00A436F7">
        <w:rPr>
          <w:rFonts w:cs="Arial" w:hint="cs"/>
          <w:sz w:val="18"/>
          <w:szCs w:val="18"/>
          <w:rtl/>
        </w:rPr>
        <w:t>שרגילה</w:t>
      </w:r>
      <w:r w:rsidRPr="00A436F7">
        <w:rPr>
          <w:rFonts w:cs="Arial"/>
          <w:sz w:val="18"/>
          <w:szCs w:val="18"/>
          <w:rtl/>
        </w:rPr>
        <w:t xml:space="preserve"> </w:t>
      </w:r>
      <w:r w:rsidRPr="00A436F7">
        <w:rPr>
          <w:rFonts w:cs="Arial" w:hint="cs"/>
          <w:sz w:val="18"/>
          <w:szCs w:val="18"/>
          <w:rtl/>
        </w:rPr>
        <w:t>לראות</w:t>
      </w:r>
      <w:r w:rsidRPr="00A436F7">
        <w:rPr>
          <w:rFonts w:cs="Arial"/>
          <w:sz w:val="18"/>
          <w:szCs w:val="18"/>
          <w:rtl/>
        </w:rPr>
        <w:t xml:space="preserve"> </w:t>
      </w:r>
      <w:r w:rsidRPr="00A436F7">
        <w:rPr>
          <w:rFonts w:cs="Arial" w:hint="cs"/>
          <w:sz w:val="18"/>
          <w:szCs w:val="18"/>
          <w:rtl/>
        </w:rPr>
        <w:t>דם</w:t>
      </w:r>
      <w:r w:rsidRPr="00A436F7">
        <w:rPr>
          <w:rFonts w:cs="Arial"/>
          <w:sz w:val="18"/>
          <w:szCs w:val="18"/>
          <w:rtl/>
        </w:rPr>
        <w:t xml:space="preserve"> </w:t>
      </w:r>
      <w:r w:rsidRPr="00A436F7">
        <w:rPr>
          <w:rFonts w:cs="Arial" w:hint="cs"/>
          <w:sz w:val="18"/>
          <w:szCs w:val="18"/>
          <w:rtl/>
        </w:rPr>
        <w:t>במי</w:t>
      </w:r>
      <w:r w:rsidRPr="00A436F7">
        <w:rPr>
          <w:rFonts w:cs="Arial"/>
          <w:sz w:val="18"/>
          <w:szCs w:val="18"/>
          <w:rtl/>
        </w:rPr>
        <w:t xml:space="preserve"> </w:t>
      </w:r>
      <w:r w:rsidRPr="00A436F7">
        <w:rPr>
          <w:rFonts w:cs="Arial" w:hint="cs"/>
          <w:sz w:val="18"/>
          <w:szCs w:val="18"/>
          <w:rtl/>
        </w:rPr>
        <w:t>רגלים</w:t>
      </w:r>
      <w:r w:rsidRPr="00A436F7">
        <w:rPr>
          <w:rFonts w:cs="Arial"/>
          <w:sz w:val="18"/>
          <w:szCs w:val="18"/>
          <w:rtl/>
        </w:rPr>
        <w:t xml:space="preserve"> </w:t>
      </w:r>
      <w:r w:rsidRPr="00A436F7">
        <w:rPr>
          <w:rFonts w:cs="Arial" w:hint="cs"/>
          <w:sz w:val="18"/>
          <w:szCs w:val="18"/>
          <w:rtl/>
        </w:rPr>
        <w:t>ומרגשת</w:t>
      </w:r>
      <w:r w:rsidRPr="00A436F7">
        <w:rPr>
          <w:rFonts w:cs="Arial"/>
          <w:sz w:val="18"/>
          <w:szCs w:val="18"/>
          <w:rtl/>
        </w:rPr>
        <w:t xml:space="preserve"> </w:t>
      </w:r>
      <w:r w:rsidRPr="00A436F7">
        <w:rPr>
          <w:rFonts w:cs="Arial" w:hint="cs"/>
          <w:sz w:val="18"/>
          <w:szCs w:val="18"/>
          <w:rtl/>
        </w:rPr>
        <w:t>כאב</w:t>
      </w:r>
      <w:r w:rsidRPr="00A436F7">
        <w:rPr>
          <w:rFonts w:cs="Arial"/>
          <w:sz w:val="18"/>
          <w:szCs w:val="18"/>
          <w:rtl/>
        </w:rPr>
        <w:t xml:space="preserve"> </w:t>
      </w:r>
      <w:r w:rsidRPr="00A436F7">
        <w:rPr>
          <w:rFonts w:cs="Arial" w:hint="cs"/>
          <w:sz w:val="18"/>
          <w:szCs w:val="18"/>
          <w:rtl/>
        </w:rPr>
        <w:t>בשעה</w:t>
      </w:r>
      <w:r w:rsidRPr="00A436F7">
        <w:rPr>
          <w:rFonts w:cs="Arial"/>
          <w:sz w:val="18"/>
          <w:szCs w:val="18"/>
          <w:rtl/>
        </w:rPr>
        <w:t xml:space="preserve"> </w:t>
      </w:r>
      <w:r w:rsidRPr="00A436F7">
        <w:rPr>
          <w:rFonts w:cs="Arial" w:hint="cs"/>
          <w:sz w:val="18"/>
          <w:szCs w:val="18"/>
          <w:rtl/>
        </w:rPr>
        <w:t>שמטלת</w:t>
      </w:r>
      <w:r w:rsidRPr="00A436F7">
        <w:rPr>
          <w:rFonts w:cs="Arial"/>
          <w:sz w:val="18"/>
          <w:szCs w:val="18"/>
          <w:rtl/>
        </w:rPr>
        <w:t xml:space="preserve"> </w:t>
      </w:r>
      <w:r w:rsidRPr="00A436F7">
        <w:rPr>
          <w:rFonts w:cs="Arial" w:hint="cs"/>
          <w:sz w:val="18"/>
          <w:szCs w:val="18"/>
          <w:rtl/>
        </w:rPr>
        <w:t>מים, נראה</w:t>
      </w:r>
      <w:r w:rsidRPr="00A436F7">
        <w:rPr>
          <w:rFonts w:cs="Arial"/>
          <w:sz w:val="18"/>
          <w:szCs w:val="18"/>
          <w:rtl/>
        </w:rPr>
        <w:t xml:space="preserve"> </w:t>
      </w:r>
      <w:r w:rsidRPr="00A436F7">
        <w:rPr>
          <w:rFonts w:cs="Arial" w:hint="cs"/>
          <w:sz w:val="18"/>
          <w:szCs w:val="18"/>
          <w:rtl/>
        </w:rPr>
        <w:t>דיש</w:t>
      </w:r>
      <w:r w:rsidRPr="00A436F7">
        <w:rPr>
          <w:rFonts w:cs="Arial"/>
          <w:sz w:val="18"/>
          <w:szCs w:val="18"/>
          <w:rtl/>
        </w:rPr>
        <w:t xml:space="preserve"> </w:t>
      </w:r>
      <w:r w:rsidRPr="00A436F7">
        <w:rPr>
          <w:rFonts w:cs="Arial" w:hint="cs"/>
          <w:sz w:val="18"/>
          <w:szCs w:val="18"/>
          <w:rtl/>
        </w:rPr>
        <w:t>להתיר</w:t>
      </w:r>
      <w:r w:rsidRPr="00A436F7">
        <w:rPr>
          <w:rFonts w:cs="Arial"/>
          <w:sz w:val="18"/>
          <w:szCs w:val="18"/>
          <w:rtl/>
        </w:rPr>
        <w:t xml:space="preserve"> </w:t>
      </w:r>
      <w:r w:rsidRPr="00A436F7">
        <w:rPr>
          <w:rFonts w:cs="Arial" w:hint="cs"/>
          <w:sz w:val="18"/>
          <w:szCs w:val="18"/>
          <w:rtl/>
        </w:rPr>
        <w:t>בכל</w:t>
      </w:r>
      <w:r w:rsidRPr="00A436F7">
        <w:rPr>
          <w:rFonts w:cs="Arial"/>
          <w:sz w:val="18"/>
          <w:szCs w:val="18"/>
          <w:rtl/>
        </w:rPr>
        <w:t xml:space="preserve"> </w:t>
      </w:r>
      <w:r w:rsidRPr="00A436F7">
        <w:rPr>
          <w:rFonts w:cs="Arial" w:hint="cs"/>
          <w:sz w:val="18"/>
          <w:szCs w:val="18"/>
          <w:rtl/>
        </w:rPr>
        <w:t>ענין</w:t>
      </w:r>
      <w:r w:rsidRPr="00A436F7">
        <w:rPr>
          <w:rFonts w:cs="Arial"/>
          <w:sz w:val="18"/>
          <w:szCs w:val="18"/>
          <w:rtl/>
        </w:rPr>
        <w:t xml:space="preserve">, </w:t>
      </w:r>
      <w:r w:rsidRPr="00A436F7">
        <w:rPr>
          <w:rFonts w:cs="Arial" w:hint="cs"/>
          <w:sz w:val="18"/>
          <w:szCs w:val="18"/>
          <w:rtl/>
        </w:rPr>
        <w:t>דהא</w:t>
      </w:r>
      <w:r w:rsidRPr="00A436F7">
        <w:rPr>
          <w:rFonts w:cs="Arial"/>
          <w:sz w:val="18"/>
          <w:szCs w:val="18"/>
          <w:rtl/>
        </w:rPr>
        <w:t xml:space="preserve"> </w:t>
      </w:r>
      <w:r w:rsidRPr="00A436F7">
        <w:rPr>
          <w:rFonts w:cs="Arial" w:hint="cs"/>
          <w:sz w:val="18"/>
          <w:szCs w:val="18"/>
          <w:rtl/>
        </w:rPr>
        <w:t>איכא</w:t>
      </w:r>
      <w:r w:rsidRPr="00A436F7">
        <w:rPr>
          <w:rFonts w:cs="Arial"/>
          <w:sz w:val="18"/>
          <w:szCs w:val="18"/>
          <w:rtl/>
        </w:rPr>
        <w:t xml:space="preserve"> </w:t>
      </w:r>
      <w:r w:rsidRPr="00A436F7">
        <w:rPr>
          <w:rFonts w:cs="Arial" w:hint="cs"/>
          <w:sz w:val="18"/>
          <w:szCs w:val="18"/>
          <w:rtl/>
        </w:rPr>
        <w:t>ידים</w:t>
      </w:r>
      <w:r w:rsidRPr="00A436F7">
        <w:rPr>
          <w:rFonts w:cs="Arial"/>
          <w:sz w:val="18"/>
          <w:szCs w:val="18"/>
          <w:rtl/>
        </w:rPr>
        <w:t xml:space="preserve"> </w:t>
      </w:r>
      <w:r w:rsidRPr="00A436F7">
        <w:rPr>
          <w:rFonts w:cs="Arial" w:hint="cs"/>
          <w:sz w:val="18"/>
          <w:szCs w:val="18"/>
          <w:rtl/>
        </w:rPr>
        <w:t>מוכיחות</w:t>
      </w:r>
      <w:r w:rsidRPr="00A436F7">
        <w:rPr>
          <w:rFonts w:cs="Arial"/>
          <w:sz w:val="18"/>
          <w:szCs w:val="18"/>
          <w:rtl/>
        </w:rPr>
        <w:t xml:space="preserve"> </w:t>
      </w:r>
      <w:r w:rsidRPr="00A436F7">
        <w:rPr>
          <w:rFonts w:cs="Arial" w:hint="cs"/>
          <w:sz w:val="18"/>
          <w:szCs w:val="18"/>
          <w:rtl/>
        </w:rPr>
        <w:t>שיש</w:t>
      </w:r>
      <w:r w:rsidRPr="00A436F7">
        <w:rPr>
          <w:rFonts w:cs="Arial"/>
          <w:sz w:val="18"/>
          <w:szCs w:val="18"/>
          <w:rtl/>
        </w:rPr>
        <w:t xml:space="preserve"> </w:t>
      </w:r>
      <w:r w:rsidRPr="00A436F7">
        <w:rPr>
          <w:rFonts w:cs="Arial" w:hint="cs"/>
          <w:sz w:val="18"/>
          <w:szCs w:val="18"/>
          <w:rtl/>
        </w:rPr>
        <w:t>לה</w:t>
      </w:r>
      <w:r w:rsidRPr="00A436F7">
        <w:rPr>
          <w:rFonts w:cs="Arial"/>
          <w:sz w:val="18"/>
          <w:szCs w:val="18"/>
          <w:rtl/>
        </w:rPr>
        <w:t xml:space="preserve"> </w:t>
      </w:r>
      <w:r w:rsidRPr="00A436F7">
        <w:rPr>
          <w:rFonts w:cs="Arial" w:hint="cs"/>
          <w:sz w:val="18"/>
          <w:szCs w:val="18"/>
          <w:rtl/>
        </w:rPr>
        <w:t>מכה</w:t>
      </w:r>
      <w:r w:rsidRPr="00A436F7">
        <w:rPr>
          <w:rFonts w:cs="Arial"/>
          <w:sz w:val="18"/>
          <w:szCs w:val="18"/>
          <w:rtl/>
        </w:rPr>
        <w:t xml:space="preserve"> </w:t>
      </w:r>
      <w:r w:rsidRPr="00A436F7">
        <w:rPr>
          <w:rFonts w:cs="Arial" w:hint="cs"/>
          <w:sz w:val="18"/>
          <w:szCs w:val="18"/>
          <w:rtl/>
        </w:rPr>
        <w:t>המכאיב</w:t>
      </w:r>
      <w:r w:rsidRPr="00A436F7">
        <w:rPr>
          <w:rFonts w:cs="Arial"/>
          <w:sz w:val="18"/>
          <w:szCs w:val="18"/>
          <w:rtl/>
        </w:rPr>
        <w:t xml:space="preserve"> </w:t>
      </w:r>
      <w:r w:rsidRPr="00A436F7">
        <w:rPr>
          <w:rFonts w:cs="Arial" w:hint="cs"/>
          <w:sz w:val="18"/>
          <w:szCs w:val="18"/>
          <w:rtl/>
        </w:rPr>
        <w:t>אותה</w:t>
      </w:r>
      <w:r w:rsidRPr="00A436F7">
        <w:rPr>
          <w:rFonts w:cs="Arial"/>
          <w:sz w:val="18"/>
          <w:szCs w:val="18"/>
          <w:rtl/>
        </w:rPr>
        <w:t xml:space="preserve"> </w:t>
      </w:r>
      <w:r w:rsidRPr="00A436F7">
        <w:rPr>
          <w:rFonts w:cs="Arial" w:hint="cs"/>
          <w:sz w:val="18"/>
          <w:szCs w:val="18"/>
          <w:rtl/>
        </w:rPr>
        <w:t>בהטלת</w:t>
      </w:r>
      <w:r w:rsidRPr="00A436F7">
        <w:rPr>
          <w:rFonts w:cs="Arial"/>
          <w:sz w:val="18"/>
          <w:szCs w:val="18"/>
          <w:rtl/>
        </w:rPr>
        <w:t xml:space="preserve"> </w:t>
      </w:r>
      <w:r w:rsidRPr="00A436F7">
        <w:rPr>
          <w:rFonts w:cs="Arial" w:hint="cs"/>
          <w:sz w:val="18"/>
          <w:szCs w:val="18"/>
          <w:rtl/>
        </w:rPr>
        <w:t>מי</w:t>
      </w:r>
      <w:r w:rsidRPr="00A436F7">
        <w:rPr>
          <w:rFonts w:cs="Arial"/>
          <w:sz w:val="18"/>
          <w:szCs w:val="18"/>
          <w:rtl/>
        </w:rPr>
        <w:t xml:space="preserve"> </w:t>
      </w:r>
      <w:r w:rsidRPr="00A436F7">
        <w:rPr>
          <w:rFonts w:cs="Arial" w:hint="cs"/>
          <w:sz w:val="18"/>
          <w:szCs w:val="18"/>
          <w:rtl/>
        </w:rPr>
        <w:t>רגלים</w:t>
      </w:r>
      <w:r w:rsidRPr="00A436F7">
        <w:rPr>
          <w:rFonts w:cs="Arial"/>
          <w:sz w:val="18"/>
          <w:szCs w:val="18"/>
          <w:rtl/>
        </w:rPr>
        <w:t xml:space="preserve"> </w:t>
      </w:r>
      <w:r w:rsidRPr="00A436F7">
        <w:rPr>
          <w:rFonts w:cs="Arial" w:hint="cs"/>
          <w:sz w:val="18"/>
          <w:szCs w:val="18"/>
          <w:rtl/>
        </w:rPr>
        <w:t>וממנו</w:t>
      </w:r>
      <w:r w:rsidRPr="00A436F7">
        <w:rPr>
          <w:rFonts w:cs="Arial"/>
          <w:sz w:val="18"/>
          <w:szCs w:val="18"/>
          <w:rtl/>
        </w:rPr>
        <w:t xml:space="preserve"> </w:t>
      </w:r>
      <w:r w:rsidRPr="00A436F7">
        <w:rPr>
          <w:rFonts w:cs="Arial" w:hint="cs"/>
          <w:sz w:val="18"/>
          <w:szCs w:val="18"/>
          <w:rtl/>
        </w:rPr>
        <w:t>הדם</w:t>
      </w:r>
      <w:r w:rsidRPr="00A436F7">
        <w:rPr>
          <w:rFonts w:cs="Arial"/>
          <w:sz w:val="18"/>
          <w:szCs w:val="18"/>
          <w:rtl/>
        </w:rPr>
        <w:t xml:space="preserve"> </w:t>
      </w:r>
      <w:r w:rsidRPr="00A436F7">
        <w:rPr>
          <w:rFonts w:cs="Arial" w:hint="cs"/>
          <w:sz w:val="18"/>
          <w:szCs w:val="18"/>
          <w:rtl/>
        </w:rPr>
        <w:t>יוצא</w:t>
      </w:r>
      <w:r w:rsidRPr="00A436F7">
        <w:rPr>
          <w:rFonts w:cs="Arial"/>
          <w:sz w:val="18"/>
          <w:szCs w:val="18"/>
          <w:rtl/>
        </w:rPr>
        <w:t xml:space="preserve">. </w:t>
      </w:r>
      <w:r w:rsidRPr="00A436F7">
        <w:rPr>
          <w:rFonts w:cs="Arial" w:hint="cs"/>
          <w:sz w:val="18"/>
          <w:szCs w:val="18"/>
          <w:rtl/>
        </w:rPr>
        <w:t>ואפילו</w:t>
      </w:r>
      <w:r w:rsidRPr="00A436F7">
        <w:rPr>
          <w:rFonts w:cs="Arial"/>
          <w:sz w:val="18"/>
          <w:szCs w:val="18"/>
          <w:rtl/>
        </w:rPr>
        <w:t xml:space="preserve"> </w:t>
      </w:r>
      <w:r w:rsidRPr="00A436F7">
        <w:rPr>
          <w:rFonts w:cs="Arial" w:hint="cs"/>
          <w:sz w:val="18"/>
          <w:szCs w:val="18"/>
          <w:rtl/>
        </w:rPr>
        <w:t>אם</w:t>
      </w:r>
      <w:r w:rsidRPr="00A436F7">
        <w:rPr>
          <w:rFonts w:cs="Arial"/>
          <w:sz w:val="18"/>
          <w:szCs w:val="18"/>
          <w:rtl/>
        </w:rPr>
        <w:t xml:space="preserve"> </w:t>
      </w:r>
      <w:r w:rsidRPr="00A436F7">
        <w:rPr>
          <w:rFonts w:cs="Arial" w:hint="cs"/>
          <w:sz w:val="18"/>
          <w:szCs w:val="18"/>
          <w:rtl/>
        </w:rPr>
        <w:t>מצאה</w:t>
      </w:r>
      <w:r w:rsidRPr="00A436F7">
        <w:rPr>
          <w:rFonts w:cs="Arial"/>
          <w:sz w:val="18"/>
          <w:szCs w:val="18"/>
          <w:rtl/>
        </w:rPr>
        <w:t xml:space="preserve"> </w:t>
      </w:r>
      <w:r w:rsidRPr="00A436F7">
        <w:rPr>
          <w:rFonts w:cs="Arial" w:hint="cs"/>
          <w:sz w:val="18"/>
          <w:szCs w:val="18"/>
          <w:rtl/>
        </w:rPr>
        <w:t>דם</w:t>
      </w:r>
      <w:r w:rsidRPr="00A436F7">
        <w:rPr>
          <w:rFonts w:cs="Arial"/>
          <w:sz w:val="18"/>
          <w:szCs w:val="18"/>
          <w:rtl/>
        </w:rPr>
        <w:t xml:space="preserve"> </w:t>
      </w:r>
      <w:r w:rsidRPr="00A436F7">
        <w:rPr>
          <w:rFonts w:cs="Arial" w:hint="cs"/>
          <w:sz w:val="18"/>
          <w:szCs w:val="18"/>
          <w:rtl/>
        </w:rPr>
        <w:t>אחר</w:t>
      </w:r>
      <w:r w:rsidRPr="00A436F7">
        <w:rPr>
          <w:rFonts w:cs="Arial"/>
          <w:sz w:val="18"/>
          <w:szCs w:val="18"/>
          <w:rtl/>
        </w:rPr>
        <w:t xml:space="preserve"> </w:t>
      </w:r>
      <w:r w:rsidRPr="00A436F7">
        <w:rPr>
          <w:rFonts w:cs="Arial" w:hint="cs"/>
          <w:sz w:val="18"/>
          <w:szCs w:val="18"/>
          <w:rtl/>
        </w:rPr>
        <w:t>הטלת</w:t>
      </w:r>
      <w:r w:rsidRPr="00A436F7">
        <w:rPr>
          <w:rFonts w:cs="Arial"/>
          <w:sz w:val="18"/>
          <w:szCs w:val="18"/>
          <w:rtl/>
        </w:rPr>
        <w:t xml:space="preserve"> </w:t>
      </w:r>
      <w:r w:rsidRPr="00A436F7">
        <w:rPr>
          <w:rFonts w:cs="Arial" w:hint="cs"/>
          <w:sz w:val="18"/>
          <w:szCs w:val="18"/>
          <w:rtl/>
        </w:rPr>
        <w:t>מי</w:t>
      </w:r>
      <w:r w:rsidRPr="00A436F7">
        <w:rPr>
          <w:rFonts w:cs="Arial"/>
          <w:sz w:val="18"/>
          <w:szCs w:val="18"/>
          <w:rtl/>
        </w:rPr>
        <w:t xml:space="preserve"> </w:t>
      </w:r>
      <w:r w:rsidRPr="00A436F7">
        <w:rPr>
          <w:rFonts w:cs="Arial" w:hint="cs"/>
          <w:sz w:val="18"/>
          <w:szCs w:val="18"/>
          <w:rtl/>
        </w:rPr>
        <w:t>רגלים</w:t>
      </w:r>
      <w:r w:rsidRPr="00A436F7">
        <w:rPr>
          <w:rFonts w:cs="Arial"/>
          <w:sz w:val="18"/>
          <w:szCs w:val="18"/>
          <w:rtl/>
        </w:rPr>
        <w:t xml:space="preserve">, </w:t>
      </w:r>
      <w:r w:rsidRPr="00A436F7">
        <w:rPr>
          <w:rFonts w:cs="Arial" w:hint="cs"/>
          <w:sz w:val="18"/>
          <w:szCs w:val="18"/>
          <w:rtl/>
        </w:rPr>
        <w:t>כשמקנחת</w:t>
      </w:r>
      <w:r w:rsidRPr="00A436F7">
        <w:rPr>
          <w:rFonts w:cs="Arial"/>
          <w:sz w:val="18"/>
          <w:szCs w:val="18"/>
          <w:rtl/>
        </w:rPr>
        <w:t xml:space="preserve"> </w:t>
      </w:r>
      <w:r w:rsidRPr="00A436F7">
        <w:rPr>
          <w:rFonts w:cs="Arial" w:hint="cs"/>
          <w:sz w:val="18"/>
          <w:szCs w:val="18"/>
          <w:rtl/>
        </w:rPr>
        <w:t>עצמה</w:t>
      </w:r>
      <w:r w:rsidRPr="00A436F7">
        <w:rPr>
          <w:rFonts w:cs="Arial"/>
          <w:sz w:val="18"/>
          <w:szCs w:val="18"/>
          <w:rtl/>
        </w:rPr>
        <w:t xml:space="preserve">, </w:t>
      </w:r>
      <w:r w:rsidRPr="00A436F7">
        <w:rPr>
          <w:rFonts w:cs="Arial" w:hint="cs"/>
          <w:sz w:val="18"/>
          <w:szCs w:val="18"/>
          <w:rtl/>
        </w:rPr>
        <w:t>טהורה</w:t>
      </w:r>
      <w:r w:rsidRPr="00A436F7">
        <w:rPr>
          <w:rFonts w:cs="Arial"/>
          <w:sz w:val="18"/>
          <w:szCs w:val="18"/>
          <w:rtl/>
        </w:rPr>
        <w:t xml:space="preserve">, </w:t>
      </w:r>
      <w:r w:rsidRPr="00A436F7">
        <w:rPr>
          <w:rFonts w:cs="Arial" w:hint="cs"/>
          <w:sz w:val="18"/>
          <w:szCs w:val="18"/>
          <w:rtl/>
        </w:rPr>
        <w:t>דמאחר</w:t>
      </w:r>
      <w:r w:rsidRPr="00A436F7">
        <w:rPr>
          <w:rFonts w:cs="Arial"/>
          <w:sz w:val="18"/>
          <w:szCs w:val="18"/>
          <w:rtl/>
        </w:rPr>
        <w:t xml:space="preserve"> </w:t>
      </w:r>
      <w:r w:rsidRPr="00A436F7">
        <w:rPr>
          <w:rFonts w:cs="Arial" w:hint="cs"/>
          <w:sz w:val="18"/>
          <w:szCs w:val="18"/>
          <w:rtl/>
        </w:rPr>
        <w:t>דמרגשת</w:t>
      </w:r>
      <w:r w:rsidRPr="00A436F7">
        <w:rPr>
          <w:rFonts w:cs="Arial"/>
          <w:sz w:val="18"/>
          <w:szCs w:val="18"/>
          <w:rtl/>
        </w:rPr>
        <w:t xml:space="preserve"> </w:t>
      </w:r>
      <w:r w:rsidRPr="00A436F7">
        <w:rPr>
          <w:rFonts w:cs="Arial" w:hint="cs"/>
          <w:sz w:val="18"/>
          <w:szCs w:val="18"/>
          <w:rtl/>
        </w:rPr>
        <w:t>כאב</w:t>
      </w:r>
      <w:r w:rsidRPr="00A436F7">
        <w:rPr>
          <w:rFonts w:cs="Arial"/>
          <w:sz w:val="18"/>
          <w:szCs w:val="18"/>
          <w:rtl/>
        </w:rPr>
        <w:t xml:space="preserve"> </w:t>
      </w:r>
      <w:r w:rsidRPr="00A436F7">
        <w:rPr>
          <w:rFonts w:cs="Arial" w:hint="cs"/>
          <w:sz w:val="18"/>
          <w:szCs w:val="18"/>
          <w:rtl/>
        </w:rPr>
        <w:t>ואינה</w:t>
      </w:r>
      <w:r w:rsidRPr="00A436F7">
        <w:rPr>
          <w:rFonts w:cs="Arial"/>
          <w:sz w:val="18"/>
          <w:szCs w:val="18"/>
          <w:rtl/>
        </w:rPr>
        <w:t xml:space="preserve"> </w:t>
      </w:r>
      <w:r w:rsidRPr="00A436F7">
        <w:rPr>
          <w:rFonts w:cs="Arial" w:hint="cs"/>
          <w:sz w:val="18"/>
          <w:szCs w:val="18"/>
          <w:rtl/>
        </w:rPr>
        <w:t>מוצאה</w:t>
      </w:r>
      <w:r w:rsidRPr="00A436F7">
        <w:rPr>
          <w:rFonts w:cs="Arial"/>
          <w:sz w:val="18"/>
          <w:szCs w:val="18"/>
          <w:rtl/>
        </w:rPr>
        <w:t xml:space="preserve"> </w:t>
      </w:r>
      <w:r w:rsidRPr="00A436F7">
        <w:rPr>
          <w:rFonts w:cs="Arial" w:hint="cs"/>
          <w:sz w:val="18"/>
          <w:szCs w:val="18"/>
          <w:rtl/>
        </w:rPr>
        <w:t>דם</w:t>
      </w:r>
      <w:r w:rsidRPr="00A436F7">
        <w:rPr>
          <w:rFonts w:cs="Arial"/>
          <w:sz w:val="18"/>
          <w:szCs w:val="18"/>
          <w:rtl/>
        </w:rPr>
        <w:t xml:space="preserve"> </w:t>
      </w:r>
      <w:r w:rsidRPr="00A436F7">
        <w:rPr>
          <w:rFonts w:cs="Arial" w:hint="cs"/>
          <w:sz w:val="18"/>
          <w:szCs w:val="18"/>
          <w:rtl/>
        </w:rPr>
        <w:t>רק</w:t>
      </w:r>
      <w:r w:rsidRPr="00A436F7">
        <w:rPr>
          <w:rFonts w:cs="Arial"/>
          <w:sz w:val="18"/>
          <w:szCs w:val="18"/>
          <w:rtl/>
        </w:rPr>
        <w:t xml:space="preserve"> </w:t>
      </w:r>
      <w:r w:rsidRPr="00A436F7">
        <w:rPr>
          <w:rFonts w:cs="Arial" w:hint="cs"/>
          <w:sz w:val="18"/>
          <w:szCs w:val="18"/>
          <w:rtl/>
        </w:rPr>
        <w:t>אחר</w:t>
      </w:r>
      <w:r w:rsidRPr="00A436F7">
        <w:rPr>
          <w:rFonts w:cs="Arial"/>
          <w:sz w:val="18"/>
          <w:szCs w:val="18"/>
          <w:rtl/>
        </w:rPr>
        <w:t xml:space="preserve"> </w:t>
      </w:r>
      <w:r w:rsidRPr="00A436F7">
        <w:rPr>
          <w:rFonts w:cs="Arial" w:hint="cs"/>
          <w:sz w:val="18"/>
          <w:szCs w:val="18"/>
          <w:rtl/>
        </w:rPr>
        <w:t>הטלת</w:t>
      </w:r>
      <w:r w:rsidRPr="00A436F7">
        <w:rPr>
          <w:rFonts w:cs="Arial"/>
          <w:sz w:val="18"/>
          <w:szCs w:val="18"/>
          <w:rtl/>
        </w:rPr>
        <w:t xml:space="preserve"> </w:t>
      </w:r>
      <w:r w:rsidRPr="00A436F7">
        <w:rPr>
          <w:rFonts w:cs="Arial" w:hint="cs"/>
          <w:sz w:val="18"/>
          <w:szCs w:val="18"/>
          <w:rtl/>
        </w:rPr>
        <w:t>מי</w:t>
      </w:r>
      <w:r w:rsidRPr="00A436F7">
        <w:rPr>
          <w:rFonts w:cs="Arial"/>
          <w:sz w:val="18"/>
          <w:szCs w:val="18"/>
          <w:rtl/>
        </w:rPr>
        <w:t xml:space="preserve"> </w:t>
      </w:r>
      <w:r w:rsidRPr="00A436F7">
        <w:rPr>
          <w:rFonts w:cs="Arial" w:hint="cs"/>
          <w:sz w:val="18"/>
          <w:szCs w:val="18"/>
          <w:rtl/>
        </w:rPr>
        <w:t>רגלים</w:t>
      </w:r>
      <w:r w:rsidRPr="00A436F7">
        <w:rPr>
          <w:rFonts w:cs="Arial"/>
          <w:sz w:val="18"/>
          <w:szCs w:val="18"/>
          <w:rtl/>
        </w:rPr>
        <w:t xml:space="preserve">, </w:t>
      </w:r>
      <w:r w:rsidRPr="00A436F7">
        <w:rPr>
          <w:rFonts w:cs="Arial" w:hint="cs"/>
          <w:sz w:val="18"/>
          <w:szCs w:val="18"/>
          <w:rtl/>
        </w:rPr>
        <w:t>ודאי</w:t>
      </w:r>
      <w:r w:rsidRPr="00A436F7">
        <w:rPr>
          <w:rFonts w:cs="Arial"/>
          <w:sz w:val="18"/>
          <w:szCs w:val="18"/>
          <w:rtl/>
        </w:rPr>
        <w:t xml:space="preserve"> </w:t>
      </w:r>
      <w:r w:rsidRPr="00A436F7">
        <w:rPr>
          <w:rFonts w:cs="Arial" w:hint="cs"/>
          <w:sz w:val="18"/>
          <w:szCs w:val="18"/>
          <w:rtl/>
        </w:rPr>
        <w:t>דם</w:t>
      </w:r>
      <w:r w:rsidRPr="00A436F7">
        <w:rPr>
          <w:rFonts w:cs="Arial"/>
          <w:sz w:val="18"/>
          <w:szCs w:val="18"/>
          <w:rtl/>
        </w:rPr>
        <w:t xml:space="preserve"> </w:t>
      </w:r>
      <w:r w:rsidRPr="00A436F7">
        <w:rPr>
          <w:rFonts w:cs="Arial" w:hint="cs"/>
          <w:sz w:val="18"/>
          <w:szCs w:val="18"/>
          <w:rtl/>
        </w:rPr>
        <w:t>מכה</w:t>
      </w:r>
      <w:r w:rsidRPr="00A436F7">
        <w:rPr>
          <w:rFonts w:cs="Arial"/>
          <w:sz w:val="18"/>
          <w:szCs w:val="18"/>
          <w:rtl/>
        </w:rPr>
        <w:t xml:space="preserve"> </w:t>
      </w:r>
      <w:r w:rsidRPr="00A436F7">
        <w:rPr>
          <w:rFonts w:cs="Arial" w:hint="cs"/>
          <w:sz w:val="18"/>
          <w:szCs w:val="18"/>
          <w:rtl/>
        </w:rPr>
        <w:t>הוא".</w:t>
      </w:r>
    </w:p>
    <w:p w:rsidR="00620060" w:rsidRDefault="00620060" w:rsidP="00620060">
      <w:pPr>
        <w:rPr>
          <w:sz w:val="20"/>
          <w:szCs w:val="20"/>
          <w:rtl/>
        </w:rPr>
      </w:pPr>
      <w:r w:rsidRPr="002E6763">
        <w:rPr>
          <w:rStyle w:val="10"/>
          <w:rFonts w:hint="cs"/>
          <w:rtl/>
        </w:rPr>
        <w:t>ג.</w:t>
      </w:r>
      <w:r w:rsidRPr="002E6763">
        <w:rPr>
          <w:rFonts w:hint="cs"/>
          <w:b/>
          <w:bCs/>
          <w:sz w:val="16"/>
          <w:szCs w:val="16"/>
          <w:rtl/>
        </w:rPr>
        <w:t xml:space="preserve"> </w:t>
      </w:r>
      <w:r>
        <w:rPr>
          <w:rFonts w:hint="cs"/>
          <w:b/>
          <w:bCs/>
          <w:sz w:val="20"/>
          <w:szCs w:val="20"/>
          <w:rtl/>
        </w:rPr>
        <w:t>בדיקת מהרי"ל לאשה שרגילה לראות דם במי רגליה</w:t>
      </w:r>
      <w:r>
        <w:rPr>
          <w:b/>
          <w:b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רמ"א </w:t>
      </w:r>
      <w:r>
        <w:rPr>
          <w:sz w:val="20"/>
          <w:szCs w:val="20"/>
          <w:rtl/>
        </w:rPr>
        <w:t>–</w:t>
      </w:r>
      <w:r w:rsidRPr="00720ECC">
        <w:rPr>
          <w:rFonts w:hint="cs"/>
          <w:sz w:val="18"/>
          <w:szCs w:val="18"/>
          <w:rtl/>
        </w:rPr>
        <w:t xml:space="preserve"> "</w:t>
      </w:r>
      <w:r w:rsidRPr="00720ECC">
        <w:rPr>
          <w:rFonts w:cs="Arial" w:hint="cs"/>
          <w:sz w:val="18"/>
          <w:szCs w:val="18"/>
          <w:rtl/>
        </w:rPr>
        <w:t>אך</w:t>
      </w:r>
      <w:r w:rsidRPr="00720ECC">
        <w:rPr>
          <w:rFonts w:cs="Arial"/>
          <w:sz w:val="18"/>
          <w:szCs w:val="18"/>
          <w:rtl/>
        </w:rPr>
        <w:t xml:space="preserve"> </w:t>
      </w:r>
      <w:r w:rsidRPr="00720ECC">
        <w:rPr>
          <w:rFonts w:cs="Arial" w:hint="cs"/>
          <w:sz w:val="18"/>
          <w:szCs w:val="18"/>
          <w:rtl/>
        </w:rPr>
        <w:t>יש</w:t>
      </w:r>
      <w:r w:rsidRPr="00720ECC">
        <w:rPr>
          <w:rFonts w:cs="Arial"/>
          <w:sz w:val="18"/>
          <w:szCs w:val="18"/>
          <w:rtl/>
        </w:rPr>
        <w:t xml:space="preserve"> </w:t>
      </w:r>
      <w:r w:rsidRPr="00720ECC">
        <w:rPr>
          <w:rFonts w:cs="Arial" w:hint="cs"/>
          <w:sz w:val="18"/>
          <w:szCs w:val="18"/>
          <w:rtl/>
        </w:rPr>
        <w:t>מחמירין</w:t>
      </w:r>
      <w:r w:rsidRPr="00720ECC">
        <w:rPr>
          <w:rFonts w:cs="Arial"/>
          <w:sz w:val="18"/>
          <w:szCs w:val="18"/>
          <w:rtl/>
        </w:rPr>
        <w:t xml:space="preserve"> </w:t>
      </w:r>
      <w:r w:rsidRPr="00720ECC">
        <w:rPr>
          <w:rFonts w:cs="Arial" w:hint="cs"/>
          <w:sz w:val="18"/>
          <w:szCs w:val="18"/>
          <w:rtl/>
        </w:rPr>
        <w:t>שלא</w:t>
      </w:r>
      <w:r w:rsidRPr="00720ECC">
        <w:rPr>
          <w:rFonts w:cs="Arial"/>
          <w:sz w:val="18"/>
          <w:szCs w:val="18"/>
          <w:rtl/>
        </w:rPr>
        <w:t xml:space="preserve"> </w:t>
      </w:r>
      <w:r w:rsidRPr="00720ECC">
        <w:rPr>
          <w:rFonts w:cs="Arial" w:hint="cs"/>
          <w:sz w:val="18"/>
          <w:szCs w:val="18"/>
          <w:rtl/>
        </w:rPr>
        <w:t>להתיר</w:t>
      </w:r>
      <w:r w:rsidRPr="00720ECC">
        <w:rPr>
          <w:rFonts w:cs="Arial"/>
          <w:sz w:val="18"/>
          <w:szCs w:val="18"/>
          <w:rtl/>
        </w:rPr>
        <w:t xml:space="preserve"> </w:t>
      </w:r>
      <w:r w:rsidRPr="00720ECC">
        <w:rPr>
          <w:rFonts w:cs="Arial" w:hint="cs"/>
          <w:sz w:val="18"/>
          <w:szCs w:val="18"/>
          <w:rtl/>
        </w:rPr>
        <w:t>רק</w:t>
      </w:r>
      <w:r w:rsidRPr="00720ECC">
        <w:rPr>
          <w:rFonts w:cs="Arial"/>
          <w:sz w:val="18"/>
          <w:szCs w:val="18"/>
          <w:rtl/>
        </w:rPr>
        <w:t xml:space="preserve"> </w:t>
      </w:r>
      <w:r w:rsidRPr="00720ECC">
        <w:rPr>
          <w:rFonts w:cs="Arial" w:hint="cs"/>
          <w:sz w:val="18"/>
          <w:szCs w:val="18"/>
          <w:rtl/>
        </w:rPr>
        <w:t>באשה</w:t>
      </w:r>
      <w:r w:rsidRPr="00720ECC">
        <w:rPr>
          <w:rFonts w:cs="Arial"/>
          <w:sz w:val="18"/>
          <w:szCs w:val="18"/>
          <w:rtl/>
        </w:rPr>
        <w:t xml:space="preserve"> </w:t>
      </w:r>
      <w:r w:rsidRPr="00720ECC">
        <w:rPr>
          <w:rFonts w:cs="Arial" w:hint="cs"/>
          <w:sz w:val="18"/>
          <w:szCs w:val="18"/>
          <w:rtl/>
        </w:rPr>
        <w:t>שיש</w:t>
      </w:r>
      <w:r w:rsidRPr="00720ECC">
        <w:rPr>
          <w:rFonts w:cs="Arial"/>
          <w:sz w:val="18"/>
          <w:szCs w:val="18"/>
          <w:rtl/>
        </w:rPr>
        <w:t xml:space="preserve"> </w:t>
      </w:r>
      <w:r w:rsidRPr="00720ECC">
        <w:rPr>
          <w:rFonts w:cs="Arial" w:hint="cs"/>
          <w:sz w:val="18"/>
          <w:szCs w:val="18"/>
          <w:rtl/>
        </w:rPr>
        <w:t>לה</w:t>
      </w:r>
      <w:r w:rsidRPr="00720ECC">
        <w:rPr>
          <w:rFonts w:cs="Arial"/>
          <w:sz w:val="18"/>
          <w:szCs w:val="18"/>
          <w:rtl/>
        </w:rPr>
        <w:t xml:space="preserve"> </w:t>
      </w:r>
      <w:r w:rsidRPr="00720ECC">
        <w:rPr>
          <w:rFonts w:cs="Arial" w:hint="cs"/>
          <w:sz w:val="18"/>
          <w:szCs w:val="18"/>
          <w:rtl/>
        </w:rPr>
        <w:t>וסת</w:t>
      </w:r>
      <w:r w:rsidRPr="00720ECC">
        <w:rPr>
          <w:rFonts w:cs="Arial"/>
          <w:sz w:val="18"/>
          <w:szCs w:val="18"/>
          <w:rtl/>
        </w:rPr>
        <w:t xml:space="preserve"> </w:t>
      </w:r>
      <w:r>
        <w:rPr>
          <w:rFonts w:cs="Arial" w:hint="cs"/>
          <w:sz w:val="18"/>
          <w:szCs w:val="18"/>
          <w:rtl/>
        </w:rPr>
        <w:t>ו</w:t>
      </w:r>
      <w:r w:rsidRPr="00720ECC">
        <w:rPr>
          <w:rFonts w:cs="Arial" w:hint="cs"/>
          <w:sz w:val="18"/>
          <w:szCs w:val="18"/>
          <w:rtl/>
        </w:rPr>
        <w:t>להצריכה</w:t>
      </w:r>
      <w:r w:rsidRPr="00720ECC">
        <w:rPr>
          <w:rFonts w:cs="Arial"/>
          <w:sz w:val="18"/>
          <w:szCs w:val="18"/>
          <w:rtl/>
        </w:rPr>
        <w:t xml:space="preserve"> </w:t>
      </w:r>
      <w:r w:rsidRPr="00720ECC">
        <w:rPr>
          <w:rFonts w:cs="Arial" w:hint="cs"/>
          <w:sz w:val="18"/>
          <w:szCs w:val="18"/>
          <w:rtl/>
        </w:rPr>
        <w:t>בדיקה</w:t>
      </w:r>
      <w:r w:rsidRPr="00720ECC">
        <w:rPr>
          <w:rFonts w:cs="Arial"/>
          <w:sz w:val="18"/>
          <w:szCs w:val="18"/>
          <w:rtl/>
        </w:rPr>
        <w:t xml:space="preserve">, </w:t>
      </w:r>
      <w:r w:rsidRPr="00720ECC">
        <w:rPr>
          <w:rFonts w:cs="Arial" w:hint="cs"/>
          <w:sz w:val="18"/>
          <w:szCs w:val="18"/>
          <w:rtl/>
        </w:rPr>
        <w:t>דהיינו</w:t>
      </w:r>
      <w:r w:rsidRPr="00720ECC">
        <w:rPr>
          <w:rFonts w:cs="Arial"/>
          <w:sz w:val="18"/>
          <w:szCs w:val="18"/>
          <w:rtl/>
        </w:rPr>
        <w:t xml:space="preserve"> </w:t>
      </w:r>
      <w:r w:rsidRPr="00720ECC">
        <w:rPr>
          <w:rFonts w:cs="Arial" w:hint="cs"/>
          <w:sz w:val="18"/>
          <w:szCs w:val="18"/>
          <w:rtl/>
        </w:rPr>
        <w:t>קודם</w:t>
      </w:r>
      <w:r w:rsidRPr="00720ECC">
        <w:rPr>
          <w:rFonts w:cs="Arial"/>
          <w:sz w:val="18"/>
          <w:szCs w:val="18"/>
          <w:rtl/>
        </w:rPr>
        <w:t xml:space="preserve"> </w:t>
      </w:r>
      <w:r w:rsidRPr="00720ECC">
        <w:rPr>
          <w:rFonts w:cs="Arial" w:hint="cs"/>
          <w:sz w:val="18"/>
          <w:szCs w:val="18"/>
          <w:rtl/>
        </w:rPr>
        <w:t>שתשתין</w:t>
      </w:r>
      <w:r w:rsidRPr="00720ECC">
        <w:rPr>
          <w:rFonts w:cs="Arial"/>
          <w:sz w:val="18"/>
          <w:szCs w:val="18"/>
          <w:rtl/>
        </w:rPr>
        <w:t xml:space="preserve">, </w:t>
      </w:r>
      <w:r w:rsidRPr="00720ECC">
        <w:rPr>
          <w:rFonts w:cs="Arial" w:hint="cs"/>
          <w:sz w:val="18"/>
          <w:szCs w:val="18"/>
          <w:rtl/>
        </w:rPr>
        <w:t>תבדוק</w:t>
      </w:r>
      <w:r w:rsidRPr="00720ECC">
        <w:rPr>
          <w:rFonts w:cs="Arial"/>
          <w:sz w:val="18"/>
          <w:szCs w:val="18"/>
          <w:rtl/>
        </w:rPr>
        <w:t xml:space="preserve"> </w:t>
      </w:r>
      <w:r w:rsidRPr="00720ECC">
        <w:rPr>
          <w:rFonts w:cs="Arial" w:hint="cs"/>
          <w:sz w:val="18"/>
          <w:szCs w:val="18"/>
          <w:rtl/>
        </w:rPr>
        <w:t>עצמה</w:t>
      </w:r>
      <w:r w:rsidRPr="00720ECC">
        <w:rPr>
          <w:rFonts w:cs="Arial"/>
          <w:sz w:val="18"/>
          <w:szCs w:val="18"/>
          <w:rtl/>
        </w:rPr>
        <w:t xml:space="preserve"> </w:t>
      </w:r>
      <w:r w:rsidRPr="00720ECC">
        <w:rPr>
          <w:rFonts w:cs="Arial" w:hint="cs"/>
          <w:sz w:val="18"/>
          <w:szCs w:val="18"/>
          <w:rtl/>
        </w:rPr>
        <w:t>היטב</w:t>
      </w:r>
      <w:r w:rsidRPr="00720ECC">
        <w:rPr>
          <w:rFonts w:cs="Arial"/>
          <w:sz w:val="18"/>
          <w:szCs w:val="18"/>
          <w:rtl/>
        </w:rPr>
        <w:t xml:space="preserve"> </w:t>
      </w:r>
      <w:r w:rsidRPr="00720ECC">
        <w:rPr>
          <w:rFonts w:cs="Arial" w:hint="cs"/>
          <w:sz w:val="18"/>
          <w:szCs w:val="18"/>
          <w:rtl/>
        </w:rPr>
        <w:t>בחורין</w:t>
      </w:r>
      <w:r w:rsidRPr="00720ECC">
        <w:rPr>
          <w:rFonts w:cs="Arial"/>
          <w:sz w:val="18"/>
          <w:szCs w:val="18"/>
          <w:rtl/>
        </w:rPr>
        <w:t xml:space="preserve"> </w:t>
      </w:r>
      <w:r w:rsidRPr="00720ECC">
        <w:rPr>
          <w:rFonts w:cs="Arial" w:hint="cs"/>
          <w:sz w:val="18"/>
          <w:szCs w:val="18"/>
          <w:rtl/>
        </w:rPr>
        <w:t>ובסדקין</w:t>
      </w:r>
      <w:r w:rsidRPr="00720ECC">
        <w:rPr>
          <w:rFonts w:cs="Arial"/>
          <w:sz w:val="18"/>
          <w:szCs w:val="18"/>
          <w:rtl/>
        </w:rPr>
        <w:t xml:space="preserve"> </w:t>
      </w:r>
      <w:r w:rsidRPr="00720ECC">
        <w:rPr>
          <w:rFonts w:cs="Arial" w:hint="cs"/>
          <w:sz w:val="18"/>
          <w:szCs w:val="18"/>
          <w:rtl/>
        </w:rPr>
        <w:t>ואם</w:t>
      </w:r>
      <w:r w:rsidRPr="00720ECC">
        <w:rPr>
          <w:rFonts w:cs="Arial"/>
          <w:sz w:val="18"/>
          <w:szCs w:val="18"/>
          <w:rtl/>
        </w:rPr>
        <w:t xml:space="preserve"> </w:t>
      </w:r>
      <w:r w:rsidRPr="00720ECC">
        <w:rPr>
          <w:rFonts w:cs="Arial" w:hint="cs"/>
          <w:sz w:val="18"/>
          <w:szCs w:val="18"/>
          <w:rtl/>
        </w:rPr>
        <w:t>לא</w:t>
      </w:r>
      <w:r w:rsidRPr="00720ECC">
        <w:rPr>
          <w:rFonts w:cs="Arial"/>
          <w:sz w:val="18"/>
          <w:szCs w:val="18"/>
          <w:rtl/>
        </w:rPr>
        <w:t xml:space="preserve"> </w:t>
      </w:r>
      <w:r w:rsidRPr="00720ECC">
        <w:rPr>
          <w:rFonts w:cs="Arial" w:hint="cs"/>
          <w:sz w:val="18"/>
          <w:szCs w:val="18"/>
          <w:rtl/>
        </w:rPr>
        <w:t>תמצא</w:t>
      </w:r>
      <w:r w:rsidRPr="00720ECC">
        <w:rPr>
          <w:rFonts w:cs="Arial"/>
          <w:sz w:val="18"/>
          <w:szCs w:val="18"/>
          <w:rtl/>
        </w:rPr>
        <w:t xml:space="preserve"> </w:t>
      </w:r>
      <w:r w:rsidRPr="00720ECC">
        <w:rPr>
          <w:rFonts w:cs="Arial" w:hint="cs"/>
          <w:sz w:val="18"/>
          <w:szCs w:val="18"/>
          <w:rtl/>
        </w:rPr>
        <w:t>דם</w:t>
      </w:r>
      <w:r w:rsidRPr="00720ECC">
        <w:rPr>
          <w:rFonts w:cs="Arial"/>
          <w:sz w:val="18"/>
          <w:szCs w:val="18"/>
          <w:rtl/>
        </w:rPr>
        <w:t xml:space="preserve"> </w:t>
      </w:r>
      <w:r w:rsidRPr="00720ECC">
        <w:rPr>
          <w:rFonts w:cs="Arial" w:hint="cs"/>
          <w:sz w:val="18"/>
          <w:szCs w:val="18"/>
          <w:rtl/>
        </w:rPr>
        <w:t>תכניס</w:t>
      </w:r>
      <w:r w:rsidRPr="00720ECC">
        <w:rPr>
          <w:rFonts w:cs="Arial"/>
          <w:sz w:val="18"/>
          <w:szCs w:val="18"/>
          <w:rtl/>
        </w:rPr>
        <w:t xml:space="preserve"> </w:t>
      </w:r>
      <w:r w:rsidRPr="00720ECC">
        <w:rPr>
          <w:rFonts w:cs="Arial" w:hint="cs"/>
          <w:sz w:val="18"/>
          <w:szCs w:val="18"/>
          <w:rtl/>
        </w:rPr>
        <w:t>מוך</w:t>
      </w:r>
      <w:r w:rsidRPr="00720ECC">
        <w:rPr>
          <w:rFonts w:cs="Arial"/>
          <w:sz w:val="18"/>
          <w:szCs w:val="18"/>
          <w:rtl/>
        </w:rPr>
        <w:t xml:space="preserve"> </w:t>
      </w:r>
      <w:r w:rsidRPr="00720ECC">
        <w:rPr>
          <w:rFonts w:cs="Arial" w:hint="cs"/>
          <w:sz w:val="18"/>
          <w:szCs w:val="18"/>
          <w:rtl/>
        </w:rPr>
        <w:t>נקי</w:t>
      </w:r>
      <w:r w:rsidRPr="00720ECC">
        <w:rPr>
          <w:rFonts w:cs="Arial"/>
          <w:sz w:val="18"/>
          <w:szCs w:val="18"/>
          <w:rtl/>
        </w:rPr>
        <w:t xml:space="preserve"> </w:t>
      </w:r>
      <w:r w:rsidRPr="00720ECC">
        <w:rPr>
          <w:rFonts w:cs="Arial" w:hint="cs"/>
          <w:sz w:val="18"/>
          <w:szCs w:val="18"/>
          <w:rtl/>
        </w:rPr>
        <w:t>על</w:t>
      </w:r>
      <w:r w:rsidRPr="00720ECC">
        <w:rPr>
          <w:rFonts w:cs="Arial"/>
          <w:sz w:val="18"/>
          <w:szCs w:val="18"/>
          <w:rtl/>
        </w:rPr>
        <w:t xml:space="preserve"> </w:t>
      </w:r>
      <w:r w:rsidRPr="00720ECC">
        <w:rPr>
          <w:rFonts w:cs="Arial" w:hint="cs"/>
          <w:sz w:val="18"/>
          <w:szCs w:val="18"/>
          <w:rtl/>
        </w:rPr>
        <w:t>המקור</w:t>
      </w:r>
      <w:r w:rsidRPr="00720ECC">
        <w:rPr>
          <w:rFonts w:cs="Arial"/>
          <w:sz w:val="18"/>
          <w:szCs w:val="18"/>
          <w:rtl/>
        </w:rPr>
        <w:t xml:space="preserve"> </w:t>
      </w:r>
      <w:r w:rsidRPr="00720ECC">
        <w:rPr>
          <w:rFonts w:cs="Arial" w:hint="cs"/>
          <w:sz w:val="18"/>
          <w:szCs w:val="18"/>
          <w:rtl/>
        </w:rPr>
        <w:t>בפנים</w:t>
      </w:r>
      <w:r w:rsidRPr="00720ECC">
        <w:rPr>
          <w:rFonts w:cs="Arial"/>
          <w:sz w:val="18"/>
          <w:szCs w:val="18"/>
          <w:rtl/>
        </w:rPr>
        <w:t xml:space="preserve">, </w:t>
      </w:r>
      <w:r w:rsidRPr="00720ECC">
        <w:rPr>
          <w:rFonts w:cs="Arial" w:hint="cs"/>
          <w:sz w:val="18"/>
          <w:szCs w:val="18"/>
          <w:rtl/>
        </w:rPr>
        <w:t>ותשתין</w:t>
      </w:r>
      <w:r w:rsidRPr="00720ECC">
        <w:rPr>
          <w:rFonts w:cs="Arial"/>
          <w:sz w:val="18"/>
          <w:szCs w:val="18"/>
          <w:rtl/>
        </w:rPr>
        <w:t xml:space="preserve"> </w:t>
      </w:r>
      <w:r w:rsidRPr="00720ECC">
        <w:rPr>
          <w:rFonts w:cs="Arial" w:hint="cs"/>
          <w:sz w:val="18"/>
          <w:szCs w:val="18"/>
          <w:rtl/>
        </w:rPr>
        <w:t>ותקנח</w:t>
      </w:r>
      <w:r w:rsidRPr="00720ECC">
        <w:rPr>
          <w:rFonts w:cs="Arial"/>
          <w:sz w:val="18"/>
          <w:szCs w:val="18"/>
          <w:rtl/>
        </w:rPr>
        <w:t xml:space="preserve"> </w:t>
      </w:r>
      <w:r w:rsidRPr="00720ECC">
        <w:rPr>
          <w:rFonts w:cs="Arial" w:hint="cs"/>
          <w:sz w:val="18"/>
          <w:szCs w:val="18"/>
          <w:rtl/>
        </w:rPr>
        <w:t>עצמה</w:t>
      </w:r>
      <w:r w:rsidRPr="00720ECC">
        <w:rPr>
          <w:rFonts w:cs="Arial"/>
          <w:sz w:val="18"/>
          <w:szCs w:val="18"/>
          <w:rtl/>
        </w:rPr>
        <w:t xml:space="preserve"> </w:t>
      </w:r>
      <w:r w:rsidRPr="00720ECC">
        <w:rPr>
          <w:rFonts w:cs="Arial" w:hint="cs"/>
          <w:sz w:val="18"/>
          <w:szCs w:val="18"/>
          <w:rtl/>
        </w:rPr>
        <w:t>יפה</w:t>
      </w:r>
      <w:r w:rsidRPr="00720ECC">
        <w:rPr>
          <w:rFonts w:cs="Arial"/>
          <w:sz w:val="18"/>
          <w:szCs w:val="18"/>
          <w:rtl/>
        </w:rPr>
        <w:t xml:space="preserve"> </w:t>
      </w:r>
      <w:r w:rsidRPr="00720ECC">
        <w:rPr>
          <w:rFonts w:cs="Arial" w:hint="cs"/>
          <w:sz w:val="18"/>
          <w:szCs w:val="18"/>
          <w:rtl/>
        </w:rPr>
        <w:t>ממי</w:t>
      </w:r>
      <w:r w:rsidRPr="00720ECC">
        <w:rPr>
          <w:rFonts w:cs="Arial"/>
          <w:sz w:val="18"/>
          <w:szCs w:val="18"/>
          <w:rtl/>
        </w:rPr>
        <w:t xml:space="preserve"> </w:t>
      </w:r>
      <w:r w:rsidRPr="00720ECC">
        <w:rPr>
          <w:rFonts w:cs="Arial" w:hint="cs"/>
          <w:sz w:val="18"/>
          <w:szCs w:val="18"/>
          <w:rtl/>
        </w:rPr>
        <w:t>רגליה</w:t>
      </w:r>
      <w:r w:rsidRPr="00720ECC">
        <w:rPr>
          <w:rFonts w:cs="Arial"/>
          <w:sz w:val="18"/>
          <w:szCs w:val="18"/>
          <w:rtl/>
        </w:rPr>
        <w:t xml:space="preserve"> </w:t>
      </w:r>
      <w:r w:rsidRPr="00720ECC">
        <w:rPr>
          <w:rFonts w:cs="Arial" w:hint="cs"/>
          <w:sz w:val="18"/>
          <w:szCs w:val="18"/>
          <w:rtl/>
        </w:rPr>
        <w:t>ותוציא</w:t>
      </w:r>
      <w:r w:rsidRPr="00720ECC">
        <w:rPr>
          <w:rFonts w:cs="Arial"/>
          <w:sz w:val="18"/>
          <w:szCs w:val="18"/>
          <w:rtl/>
        </w:rPr>
        <w:t xml:space="preserve"> </w:t>
      </w:r>
      <w:r w:rsidRPr="00720ECC">
        <w:rPr>
          <w:rFonts w:cs="Arial" w:hint="cs"/>
          <w:sz w:val="18"/>
          <w:szCs w:val="18"/>
          <w:rtl/>
        </w:rPr>
        <w:t>המוך</w:t>
      </w:r>
      <w:r w:rsidRPr="00720ECC">
        <w:rPr>
          <w:rFonts w:cs="Arial"/>
          <w:sz w:val="18"/>
          <w:szCs w:val="18"/>
          <w:rtl/>
        </w:rPr>
        <w:t xml:space="preserve">, </w:t>
      </w:r>
      <w:r w:rsidRPr="00720ECC">
        <w:rPr>
          <w:rFonts w:cs="Arial" w:hint="cs"/>
          <w:sz w:val="18"/>
          <w:szCs w:val="18"/>
          <w:rtl/>
        </w:rPr>
        <w:t>אם</w:t>
      </w:r>
      <w:r w:rsidRPr="00720ECC">
        <w:rPr>
          <w:rFonts w:cs="Arial"/>
          <w:sz w:val="18"/>
          <w:szCs w:val="18"/>
          <w:rtl/>
        </w:rPr>
        <w:t xml:space="preserve"> </w:t>
      </w:r>
      <w:r w:rsidRPr="00720ECC">
        <w:rPr>
          <w:rFonts w:cs="Arial" w:hint="cs"/>
          <w:sz w:val="18"/>
          <w:szCs w:val="18"/>
          <w:rtl/>
        </w:rPr>
        <w:t>נקיה</w:t>
      </w:r>
      <w:r w:rsidRPr="00720ECC">
        <w:rPr>
          <w:rFonts w:cs="Arial"/>
          <w:sz w:val="18"/>
          <w:szCs w:val="18"/>
          <w:rtl/>
        </w:rPr>
        <w:t xml:space="preserve"> </w:t>
      </w:r>
      <w:r w:rsidRPr="00720ECC">
        <w:rPr>
          <w:rFonts w:cs="Arial" w:hint="cs"/>
          <w:sz w:val="18"/>
          <w:szCs w:val="18"/>
          <w:rtl/>
        </w:rPr>
        <w:t>היא</w:t>
      </w:r>
      <w:r w:rsidRPr="00720ECC">
        <w:rPr>
          <w:rFonts w:cs="Arial"/>
          <w:sz w:val="18"/>
          <w:szCs w:val="18"/>
          <w:rtl/>
        </w:rPr>
        <w:t xml:space="preserve"> </w:t>
      </w:r>
      <w:r w:rsidRPr="00720ECC">
        <w:rPr>
          <w:rFonts w:cs="Arial" w:hint="cs"/>
          <w:sz w:val="18"/>
          <w:szCs w:val="18"/>
          <w:rtl/>
        </w:rPr>
        <w:t>הוכחה</w:t>
      </w:r>
      <w:r w:rsidRPr="00720ECC">
        <w:rPr>
          <w:rFonts w:cs="Arial"/>
          <w:sz w:val="18"/>
          <w:szCs w:val="18"/>
          <w:rtl/>
        </w:rPr>
        <w:t xml:space="preserve"> </w:t>
      </w:r>
      <w:r w:rsidRPr="00720ECC">
        <w:rPr>
          <w:rFonts w:cs="Arial" w:hint="cs"/>
          <w:sz w:val="18"/>
          <w:szCs w:val="18"/>
          <w:rtl/>
        </w:rPr>
        <w:t>גדולה</w:t>
      </w:r>
      <w:r w:rsidRPr="00720ECC">
        <w:rPr>
          <w:rFonts w:cs="Arial"/>
          <w:sz w:val="18"/>
          <w:szCs w:val="18"/>
          <w:rtl/>
        </w:rPr>
        <w:t xml:space="preserve"> </w:t>
      </w:r>
      <w:r w:rsidRPr="00720ECC">
        <w:rPr>
          <w:rFonts w:cs="Arial" w:hint="cs"/>
          <w:sz w:val="18"/>
          <w:szCs w:val="18"/>
          <w:rtl/>
        </w:rPr>
        <w:t>דאין</w:t>
      </w:r>
      <w:r w:rsidRPr="00720ECC">
        <w:rPr>
          <w:rFonts w:cs="Arial"/>
          <w:sz w:val="18"/>
          <w:szCs w:val="18"/>
          <w:rtl/>
        </w:rPr>
        <w:t xml:space="preserve"> </w:t>
      </w:r>
      <w:r w:rsidRPr="00720ECC">
        <w:rPr>
          <w:rFonts w:cs="Arial" w:hint="cs"/>
          <w:sz w:val="18"/>
          <w:szCs w:val="18"/>
          <w:rtl/>
        </w:rPr>
        <w:t>הדם</w:t>
      </w:r>
      <w:r w:rsidRPr="00720ECC">
        <w:rPr>
          <w:rFonts w:cs="Arial"/>
          <w:sz w:val="18"/>
          <w:szCs w:val="18"/>
          <w:rtl/>
        </w:rPr>
        <w:t xml:space="preserve"> </w:t>
      </w:r>
      <w:r w:rsidRPr="00720ECC">
        <w:rPr>
          <w:rFonts w:cs="Arial" w:hint="cs"/>
          <w:sz w:val="18"/>
          <w:szCs w:val="18"/>
          <w:rtl/>
        </w:rPr>
        <w:t>מן</w:t>
      </w:r>
      <w:r w:rsidRPr="00720ECC">
        <w:rPr>
          <w:rFonts w:cs="Arial"/>
          <w:sz w:val="18"/>
          <w:szCs w:val="18"/>
          <w:rtl/>
        </w:rPr>
        <w:t xml:space="preserve"> </w:t>
      </w:r>
      <w:r w:rsidRPr="00720ECC">
        <w:rPr>
          <w:rFonts w:cs="Arial" w:hint="cs"/>
          <w:sz w:val="18"/>
          <w:szCs w:val="18"/>
          <w:rtl/>
        </w:rPr>
        <w:t>המקור</w:t>
      </w:r>
      <w:r>
        <w:rPr>
          <w:rFonts w:cs="Arial"/>
          <w:sz w:val="18"/>
          <w:szCs w:val="18"/>
          <w:rtl/>
        </w:rPr>
        <w:t>,</w:t>
      </w:r>
      <w:r w:rsidRPr="00720ECC">
        <w:rPr>
          <w:rFonts w:cs="Arial"/>
          <w:sz w:val="18"/>
          <w:szCs w:val="18"/>
          <w:rtl/>
        </w:rPr>
        <w:t xml:space="preserve"> </w:t>
      </w:r>
      <w:r w:rsidRPr="00720ECC">
        <w:rPr>
          <w:rFonts w:cs="Arial" w:hint="cs"/>
          <w:sz w:val="18"/>
          <w:szCs w:val="18"/>
          <w:rtl/>
        </w:rPr>
        <w:t>והכי</w:t>
      </w:r>
      <w:r w:rsidRPr="00720ECC">
        <w:rPr>
          <w:rFonts w:cs="Arial"/>
          <w:sz w:val="18"/>
          <w:szCs w:val="18"/>
          <w:rtl/>
        </w:rPr>
        <w:t xml:space="preserve"> </w:t>
      </w:r>
      <w:r w:rsidRPr="00720ECC">
        <w:rPr>
          <w:rFonts w:cs="Arial" w:hint="cs"/>
          <w:sz w:val="18"/>
          <w:szCs w:val="18"/>
          <w:rtl/>
        </w:rPr>
        <w:t>נהוג</w:t>
      </w:r>
      <w:r w:rsidRPr="00720ECC">
        <w:rPr>
          <w:rFonts w:cs="Arial"/>
          <w:sz w:val="18"/>
          <w:szCs w:val="18"/>
          <w:rtl/>
        </w:rPr>
        <w:t xml:space="preserve">. </w:t>
      </w:r>
      <w:r w:rsidRPr="00720ECC">
        <w:rPr>
          <w:rFonts w:cs="Arial" w:hint="cs"/>
          <w:sz w:val="18"/>
          <w:szCs w:val="18"/>
          <w:rtl/>
        </w:rPr>
        <w:t>ואם</w:t>
      </w:r>
      <w:r w:rsidRPr="00720ECC">
        <w:rPr>
          <w:rFonts w:cs="Arial"/>
          <w:sz w:val="18"/>
          <w:szCs w:val="18"/>
          <w:rtl/>
        </w:rPr>
        <w:t xml:space="preserve"> </w:t>
      </w:r>
      <w:r w:rsidRPr="00720ECC">
        <w:rPr>
          <w:rFonts w:cs="Arial" w:hint="cs"/>
          <w:sz w:val="18"/>
          <w:szCs w:val="18"/>
          <w:rtl/>
        </w:rPr>
        <w:t>בדקה</w:t>
      </w:r>
      <w:r w:rsidRPr="00720ECC">
        <w:rPr>
          <w:rFonts w:cs="Arial"/>
          <w:sz w:val="18"/>
          <w:szCs w:val="18"/>
          <w:rtl/>
        </w:rPr>
        <w:t xml:space="preserve"> </w:t>
      </w:r>
      <w:r w:rsidRPr="00720ECC">
        <w:rPr>
          <w:rFonts w:cs="Arial" w:hint="cs"/>
          <w:sz w:val="18"/>
          <w:szCs w:val="18"/>
          <w:rtl/>
        </w:rPr>
        <w:t>עצמה</w:t>
      </w:r>
      <w:r w:rsidRPr="00720ECC">
        <w:rPr>
          <w:rFonts w:cs="Arial"/>
          <w:sz w:val="18"/>
          <w:szCs w:val="18"/>
          <w:rtl/>
        </w:rPr>
        <w:t xml:space="preserve"> </w:t>
      </w:r>
      <w:r w:rsidRPr="00720ECC">
        <w:rPr>
          <w:rFonts w:cs="Arial" w:hint="cs"/>
          <w:sz w:val="18"/>
          <w:szCs w:val="18"/>
          <w:rtl/>
        </w:rPr>
        <w:t>ג</w:t>
      </w:r>
      <w:r w:rsidRPr="00720ECC">
        <w:rPr>
          <w:rFonts w:cs="Arial"/>
          <w:sz w:val="18"/>
          <w:szCs w:val="18"/>
          <w:rtl/>
        </w:rPr>
        <w:t xml:space="preserve">' </w:t>
      </w:r>
      <w:r w:rsidRPr="00720ECC">
        <w:rPr>
          <w:rFonts w:cs="Arial" w:hint="cs"/>
          <w:sz w:val="18"/>
          <w:szCs w:val="18"/>
          <w:rtl/>
        </w:rPr>
        <w:t>פעמים</w:t>
      </w:r>
      <w:r w:rsidRPr="00720ECC">
        <w:rPr>
          <w:rFonts w:cs="Arial"/>
          <w:sz w:val="18"/>
          <w:szCs w:val="18"/>
          <w:rtl/>
        </w:rPr>
        <w:t xml:space="preserve"> </w:t>
      </w:r>
      <w:r w:rsidRPr="00720ECC">
        <w:rPr>
          <w:rFonts w:cs="Arial" w:hint="cs"/>
          <w:sz w:val="18"/>
          <w:szCs w:val="18"/>
          <w:rtl/>
        </w:rPr>
        <w:t>בכהאי</w:t>
      </w:r>
      <w:r w:rsidRPr="00720ECC">
        <w:rPr>
          <w:rFonts w:cs="Arial"/>
          <w:sz w:val="18"/>
          <w:szCs w:val="18"/>
          <w:rtl/>
        </w:rPr>
        <w:t xml:space="preserve"> </w:t>
      </w:r>
      <w:r w:rsidRPr="00720ECC">
        <w:rPr>
          <w:rFonts w:cs="Arial" w:hint="cs"/>
          <w:sz w:val="18"/>
          <w:szCs w:val="18"/>
          <w:rtl/>
        </w:rPr>
        <w:t>גווני</w:t>
      </w:r>
      <w:r w:rsidRPr="00720ECC">
        <w:rPr>
          <w:rFonts w:cs="Arial"/>
          <w:sz w:val="18"/>
          <w:szCs w:val="18"/>
          <w:rtl/>
        </w:rPr>
        <w:t xml:space="preserve"> </w:t>
      </w:r>
      <w:r w:rsidRPr="00720ECC">
        <w:rPr>
          <w:rFonts w:cs="Arial" w:hint="cs"/>
          <w:sz w:val="18"/>
          <w:szCs w:val="18"/>
          <w:rtl/>
        </w:rPr>
        <w:t>ומצאה</w:t>
      </w:r>
      <w:r w:rsidRPr="00720ECC">
        <w:rPr>
          <w:rFonts w:cs="Arial"/>
          <w:sz w:val="18"/>
          <w:szCs w:val="18"/>
          <w:rtl/>
        </w:rPr>
        <w:t xml:space="preserve"> </w:t>
      </w:r>
      <w:r w:rsidRPr="00720ECC">
        <w:rPr>
          <w:rFonts w:cs="Arial" w:hint="cs"/>
          <w:sz w:val="18"/>
          <w:szCs w:val="18"/>
          <w:rtl/>
        </w:rPr>
        <w:t>המוך</w:t>
      </w:r>
      <w:r w:rsidRPr="00720ECC">
        <w:rPr>
          <w:rFonts w:cs="Arial"/>
          <w:sz w:val="18"/>
          <w:szCs w:val="18"/>
          <w:rtl/>
        </w:rPr>
        <w:t xml:space="preserve"> </w:t>
      </w:r>
      <w:r w:rsidRPr="00720ECC">
        <w:rPr>
          <w:rFonts w:cs="Arial" w:hint="cs"/>
          <w:sz w:val="18"/>
          <w:szCs w:val="18"/>
          <w:rtl/>
        </w:rPr>
        <w:t>נקי</w:t>
      </w:r>
      <w:r w:rsidRPr="00720ECC">
        <w:rPr>
          <w:rFonts w:cs="Arial"/>
          <w:sz w:val="18"/>
          <w:szCs w:val="18"/>
          <w:rtl/>
        </w:rPr>
        <w:t xml:space="preserve">, </w:t>
      </w:r>
      <w:r w:rsidRPr="00720ECC">
        <w:rPr>
          <w:rFonts w:cs="Arial" w:hint="cs"/>
          <w:sz w:val="18"/>
          <w:szCs w:val="18"/>
          <w:rtl/>
        </w:rPr>
        <w:t>מותרת</w:t>
      </w:r>
      <w:r w:rsidRPr="00720ECC">
        <w:rPr>
          <w:rFonts w:cs="Arial"/>
          <w:sz w:val="18"/>
          <w:szCs w:val="18"/>
          <w:rtl/>
        </w:rPr>
        <w:t xml:space="preserve"> </w:t>
      </w:r>
      <w:r w:rsidRPr="00720ECC">
        <w:rPr>
          <w:rFonts w:cs="Arial" w:hint="cs"/>
          <w:sz w:val="18"/>
          <w:szCs w:val="18"/>
          <w:rtl/>
        </w:rPr>
        <w:t>אחר</w:t>
      </w:r>
      <w:r w:rsidRPr="00720ECC">
        <w:rPr>
          <w:rFonts w:cs="Arial"/>
          <w:sz w:val="18"/>
          <w:szCs w:val="18"/>
          <w:rtl/>
        </w:rPr>
        <w:t xml:space="preserve"> </w:t>
      </w:r>
      <w:r w:rsidRPr="00720ECC">
        <w:rPr>
          <w:rFonts w:cs="Arial" w:hint="cs"/>
          <w:sz w:val="18"/>
          <w:szCs w:val="18"/>
          <w:rtl/>
        </w:rPr>
        <w:t>כך</w:t>
      </w:r>
      <w:r w:rsidRPr="00720ECC">
        <w:rPr>
          <w:rFonts w:cs="Arial"/>
          <w:sz w:val="18"/>
          <w:szCs w:val="18"/>
          <w:rtl/>
        </w:rPr>
        <w:t xml:space="preserve"> </w:t>
      </w:r>
      <w:r w:rsidRPr="00720ECC">
        <w:rPr>
          <w:rFonts w:cs="Arial" w:hint="cs"/>
          <w:sz w:val="18"/>
          <w:szCs w:val="18"/>
          <w:rtl/>
        </w:rPr>
        <w:t>בלא</w:t>
      </w:r>
      <w:r w:rsidRPr="00720ECC">
        <w:rPr>
          <w:rFonts w:cs="Arial"/>
          <w:sz w:val="18"/>
          <w:szCs w:val="18"/>
          <w:rtl/>
        </w:rPr>
        <w:t xml:space="preserve"> </w:t>
      </w:r>
      <w:r w:rsidRPr="00720ECC">
        <w:rPr>
          <w:rFonts w:cs="Arial" w:hint="cs"/>
          <w:sz w:val="18"/>
          <w:szCs w:val="18"/>
          <w:rtl/>
        </w:rPr>
        <w:t>בדיקה</w:t>
      </w:r>
      <w:r w:rsidRPr="00720ECC">
        <w:rPr>
          <w:rFonts w:cs="Arial"/>
          <w:sz w:val="18"/>
          <w:szCs w:val="18"/>
          <w:rtl/>
        </w:rPr>
        <w:t xml:space="preserve"> </w:t>
      </w:r>
      <w:r w:rsidRPr="00720ECC">
        <w:rPr>
          <w:rFonts w:cs="Arial" w:hint="cs"/>
          <w:sz w:val="18"/>
          <w:szCs w:val="18"/>
          <w:rtl/>
        </w:rPr>
        <w:t>שלא</w:t>
      </w:r>
      <w:r w:rsidRPr="00720ECC">
        <w:rPr>
          <w:rFonts w:cs="Arial"/>
          <w:sz w:val="18"/>
          <w:szCs w:val="18"/>
          <w:rtl/>
        </w:rPr>
        <w:t xml:space="preserve"> </w:t>
      </w:r>
      <w:r w:rsidRPr="00720ECC">
        <w:rPr>
          <w:rFonts w:cs="Arial" w:hint="cs"/>
          <w:sz w:val="18"/>
          <w:szCs w:val="18"/>
          <w:rtl/>
        </w:rPr>
        <w:t>בשעת</w:t>
      </w:r>
      <w:r w:rsidRPr="00720ECC">
        <w:rPr>
          <w:rFonts w:cs="Arial"/>
          <w:sz w:val="18"/>
          <w:szCs w:val="18"/>
          <w:rtl/>
        </w:rPr>
        <w:t xml:space="preserve"> </w:t>
      </w:r>
      <w:r w:rsidRPr="00720ECC">
        <w:rPr>
          <w:rFonts w:cs="Arial" w:hint="cs"/>
          <w:sz w:val="18"/>
          <w:szCs w:val="18"/>
          <w:rtl/>
        </w:rPr>
        <w:t>וסתה</w:t>
      </w:r>
      <w:r w:rsidRPr="00720ECC">
        <w:rPr>
          <w:rFonts w:cs="Arial"/>
          <w:sz w:val="18"/>
          <w:szCs w:val="18"/>
          <w:rtl/>
        </w:rPr>
        <w:t xml:space="preserve">, </w:t>
      </w:r>
      <w:r w:rsidRPr="00720ECC">
        <w:rPr>
          <w:rFonts w:cs="Arial" w:hint="cs"/>
          <w:sz w:val="18"/>
          <w:szCs w:val="18"/>
          <w:rtl/>
        </w:rPr>
        <w:t>דחזקה</w:t>
      </w:r>
      <w:r w:rsidRPr="00720ECC">
        <w:rPr>
          <w:rFonts w:cs="Arial"/>
          <w:sz w:val="18"/>
          <w:szCs w:val="18"/>
          <w:rtl/>
        </w:rPr>
        <w:t xml:space="preserve"> </w:t>
      </w:r>
      <w:r w:rsidRPr="00720ECC">
        <w:rPr>
          <w:rFonts w:cs="Arial" w:hint="cs"/>
          <w:sz w:val="18"/>
          <w:szCs w:val="18"/>
          <w:rtl/>
        </w:rPr>
        <w:t>דדם</w:t>
      </w:r>
      <w:r w:rsidRPr="00720ECC">
        <w:rPr>
          <w:rFonts w:cs="Arial"/>
          <w:sz w:val="18"/>
          <w:szCs w:val="18"/>
          <w:rtl/>
        </w:rPr>
        <w:t xml:space="preserve"> </w:t>
      </w:r>
      <w:r w:rsidRPr="00720ECC">
        <w:rPr>
          <w:rFonts w:cs="Arial" w:hint="cs"/>
          <w:sz w:val="18"/>
          <w:szCs w:val="18"/>
          <w:rtl/>
        </w:rPr>
        <w:t>מכה</w:t>
      </w:r>
      <w:r w:rsidRPr="00720ECC">
        <w:rPr>
          <w:rFonts w:cs="Arial"/>
          <w:sz w:val="18"/>
          <w:szCs w:val="18"/>
          <w:rtl/>
        </w:rPr>
        <w:t xml:space="preserve"> </w:t>
      </w:r>
      <w:r w:rsidRPr="00720ECC">
        <w:rPr>
          <w:rFonts w:cs="Arial" w:hint="cs"/>
          <w:sz w:val="18"/>
          <w:szCs w:val="18"/>
          <w:rtl/>
        </w:rPr>
        <w:t>הוא</w:t>
      </w:r>
      <w:r w:rsidRPr="00720ECC">
        <w:rPr>
          <w:rFonts w:cs="Arial"/>
          <w:sz w:val="18"/>
          <w:szCs w:val="18"/>
          <w:rtl/>
        </w:rPr>
        <w:t xml:space="preserve"> </w:t>
      </w:r>
      <w:r w:rsidRPr="00720ECC">
        <w:rPr>
          <w:rFonts w:cs="Arial" w:hint="cs"/>
          <w:sz w:val="18"/>
          <w:szCs w:val="18"/>
          <w:rtl/>
        </w:rPr>
        <w:t>מאחר</w:t>
      </w:r>
      <w:r w:rsidRPr="00720ECC">
        <w:rPr>
          <w:rFonts w:cs="Arial"/>
          <w:sz w:val="18"/>
          <w:szCs w:val="18"/>
          <w:rtl/>
        </w:rPr>
        <w:t xml:space="preserve"> </w:t>
      </w:r>
      <w:r w:rsidRPr="00720ECC">
        <w:rPr>
          <w:rFonts w:cs="Arial" w:hint="cs"/>
          <w:sz w:val="18"/>
          <w:szCs w:val="18"/>
          <w:rtl/>
        </w:rPr>
        <w:t>שאינה</w:t>
      </w:r>
      <w:r w:rsidRPr="00720ECC">
        <w:rPr>
          <w:rFonts w:cs="Arial"/>
          <w:sz w:val="18"/>
          <w:szCs w:val="18"/>
          <w:rtl/>
        </w:rPr>
        <w:t xml:space="preserve"> </w:t>
      </w:r>
      <w:r w:rsidRPr="00720ECC">
        <w:rPr>
          <w:rFonts w:cs="Arial" w:hint="cs"/>
          <w:sz w:val="18"/>
          <w:szCs w:val="18"/>
          <w:rtl/>
        </w:rPr>
        <w:t>מוצאה</w:t>
      </w:r>
      <w:r w:rsidRPr="00720ECC">
        <w:rPr>
          <w:rFonts w:cs="Arial"/>
          <w:sz w:val="18"/>
          <w:szCs w:val="18"/>
          <w:rtl/>
        </w:rPr>
        <w:t xml:space="preserve"> </w:t>
      </w:r>
      <w:r w:rsidRPr="00720ECC">
        <w:rPr>
          <w:rFonts w:cs="Arial" w:hint="cs"/>
          <w:sz w:val="18"/>
          <w:szCs w:val="18"/>
          <w:rtl/>
        </w:rPr>
        <w:t>אותו</w:t>
      </w:r>
      <w:r w:rsidRPr="00720ECC">
        <w:rPr>
          <w:rFonts w:cs="Arial"/>
          <w:sz w:val="18"/>
          <w:szCs w:val="18"/>
          <w:rtl/>
        </w:rPr>
        <w:t xml:space="preserve"> </w:t>
      </w:r>
      <w:r w:rsidRPr="00720ECC">
        <w:rPr>
          <w:rFonts w:cs="Arial" w:hint="cs"/>
          <w:sz w:val="18"/>
          <w:szCs w:val="18"/>
          <w:rtl/>
        </w:rPr>
        <w:t>רק</w:t>
      </w:r>
      <w:r w:rsidRPr="00720ECC">
        <w:rPr>
          <w:rFonts w:cs="Arial"/>
          <w:sz w:val="18"/>
          <w:szCs w:val="18"/>
          <w:rtl/>
        </w:rPr>
        <w:t xml:space="preserve"> </w:t>
      </w:r>
      <w:r w:rsidRPr="00720ECC">
        <w:rPr>
          <w:rFonts w:cs="Arial" w:hint="cs"/>
          <w:sz w:val="18"/>
          <w:szCs w:val="18"/>
          <w:rtl/>
        </w:rPr>
        <w:t>אחר</w:t>
      </w:r>
      <w:r w:rsidRPr="00720ECC">
        <w:rPr>
          <w:rFonts w:cs="Arial"/>
          <w:sz w:val="18"/>
          <w:szCs w:val="18"/>
          <w:rtl/>
        </w:rPr>
        <w:t xml:space="preserve"> </w:t>
      </w:r>
      <w:r w:rsidRPr="00720ECC">
        <w:rPr>
          <w:rFonts w:cs="Arial" w:hint="cs"/>
          <w:sz w:val="18"/>
          <w:szCs w:val="18"/>
          <w:rtl/>
        </w:rPr>
        <w:t>שהשתינה".</w:t>
      </w:r>
    </w:p>
    <w:p w:rsidR="00620060" w:rsidRDefault="00620060" w:rsidP="00620060">
      <w:pPr>
        <w:rPr>
          <w:sz w:val="20"/>
          <w:szCs w:val="20"/>
          <w:rtl/>
        </w:rPr>
      </w:pPr>
      <w:r>
        <w:rPr>
          <w:rFonts w:hint="cs"/>
          <w:sz w:val="20"/>
          <w:szCs w:val="20"/>
          <w:u w:val="single"/>
          <w:rtl/>
        </w:rPr>
        <w:t xml:space="preserve">"יש לה ווסת" </w:t>
      </w:r>
      <w:r>
        <w:rPr>
          <w:sz w:val="20"/>
          <w:szCs w:val="20"/>
          <w:u w:val="single"/>
          <w:rtl/>
        </w:rPr>
        <w:t>–</w:t>
      </w:r>
      <w:r>
        <w:rPr>
          <w:rFonts w:hint="cs"/>
          <w:sz w:val="20"/>
          <w:szCs w:val="20"/>
          <w:u w:val="single"/>
          <w:rtl/>
        </w:rPr>
        <w:t xml:space="preserve"> הסבר הש"ך</w:t>
      </w:r>
      <w:r>
        <w:rPr>
          <w:sz w:val="20"/>
          <w:szCs w:val="20"/>
          <w:u w:val="single"/>
          <w:rtl/>
        </w:rPr>
        <w:br/>
      </w:r>
      <w:r w:rsidRPr="00720ECC">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קשה, מדוע יש חילוק בין אשה שיש לה ווסת לאשה שאין לה ווסת, אם בדיקה זו טובה אז היא טובה עבור כל הנשים!</w:t>
      </w:r>
      <w:r>
        <w:rPr>
          <w:rFonts w:hint="cs"/>
          <w:sz w:val="20"/>
          <w:szCs w:val="20"/>
          <w:rtl/>
        </w:rPr>
        <w:br/>
        <w:t xml:space="preserve">ומיישב </w:t>
      </w:r>
      <w:r>
        <w:rPr>
          <w:sz w:val="20"/>
          <w:szCs w:val="20"/>
          <w:rtl/>
        </w:rPr>
        <w:t>–</w:t>
      </w:r>
      <w:r>
        <w:rPr>
          <w:rFonts w:hint="cs"/>
          <w:sz w:val="20"/>
          <w:szCs w:val="20"/>
          <w:rtl/>
        </w:rPr>
        <w:t xml:space="preserve"> כוונת הרמ"א להתיר בדיקה זו לכל אשה שרגילה לראות גם שלא בשעת עשיית צרכיה, וזו כוונתו במה שכתב "שיש לה ווסת", כלומר שרגילה לראות גם שלא בשעת עשיית צרכיה, משום שאם כל ראיותיה הן בעת עשיית הצרכים לעולם לא תהיה טמאה.</w:t>
      </w:r>
    </w:p>
    <w:p w:rsidR="00620060" w:rsidRDefault="00620060" w:rsidP="00620060">
      <w:pPr>
        <w:rPr>
          <w:sz w:val="20"/>
          <w:szCs w:val="20"/>
          <w:rtl/>
        </w:rPr>
      </w:pPr>
      <w:r w:rsidRPr="00A6273F">
        <w:rPr>
          <w:rStyle w:val="10"/>
          <w:rFonts w:hint="cs"/>
          <w:rtl/>
        </w:rPr>
        <w:t>ד.</w:t>
      </w:r>
      <w:r w:rsidRPr="00A6273F">
        <w:rPr>
          <w:rFonts w:hint="cs"/>
          <w:b/>
          <w:bCs/>
          <w:sz w:val="16"/>
          <w:szCs w:val="16"/>
          <w:rtl/>
        </w:rPr>
        <w:t xml:space="preserve"> </w:t>
      </w:r>
      <w:r w:rsidRPr="00582337">
        <w:rPr>
          <w:rFonts w:hint="cs"/>
          <w:b/>
          <w:bCs/>
          <w:sz w:val="20"/>
          <w:szCs w:val="20"/>
          <w:rtl/>
        </w:rPr>
        <w:t>דם שיוצא עם מי רגליים ללא כאב</w:t>
      </w:r>
      <w:r>
        <w:rPr>
          <w:rFonts w:hint="cs"/>
          <w:b/>
          <w:bCs/>
          <w:sz w:val="20"/>
          <w:szCs w:val="20"/>
          <w:rtl/>
        </w:rPr>
        <w:br/>
      </w:r>
      <w:r w:rsidRPr="00A6273F">
        <w:rPr>
          <w:rFonts w:hint="cs"/>
          <w:b/>
          <w:bCs/>
          <w:sz w:val="20"/>
          <w:szCs w:val="20"/>
          <w:rtl/>
        </w:rPr>
        <w:t>שיטות הראשונים</w:t>
      </w:r>
      <w:r>
        <w:rPr>
          <w:rFonts w:hint="cs"/>
          <w:sz w:val="20"/>
          <w:szCs w:val="20"/>
          <w:rtl/>
        </w:rPr>
        <w:br/>
        <w:t>אשה שהטילה מי רגליים ללא כאב ומצאה בהם דם, קינחה את עצמה ומצאה דם על העד, האם טמאה?</w:t>
      </w:r>
      <w:r>
        <w:rPr>
          <w:sz w:val="20"/>
          <w:szCs w:val="20"/>
          <w:rtl/>
        </w:rPr>
        <w:br/>
      </w:r>
      <w:r>
        <w:rPr>
          <w:rFonts w:hint="cs"/>
          <w:sz w:val="20"/>
          <w:szCs w:val="20"/>
          <w:rtl/>
        </w:rPr>
        <w:t xml:space="preserve">א. </w:t>
      </w:r>
      <w:r w:rsidRPr="00C32D1A">
        <w:rPr>
          <w:rFonts w:hint="cs"/>
          <w:b/>
          <w:bCs/>
          <w:sz w:val="20"/>
          <w:szCs w:val="20"/>
          <w:rtl/>
        </w:rPr>
        <w:t>מרדכי</w:t>
      </w:r>
      <w:r>
        <w:rPr>
          <w:rFonts w:hint="cs"/>
          <w:sz w:val="20"/>
          <w:szCs w:val="20"/>
          <w:rtl/>
        </w:rPr>
        <w:t xml:space="preserve"> </w:t>
      </w:r>
      <w:r>
        <w:rPr>
          <w:sz w:val="20"/>
          <w:szCs w:val="20"/>
          <w:rtl/>
        </w:rPr>
        <w:t>–</w:t>
      </w:r>
      <w:r>
        <w:rPr>
          <w:rFonts w:hint="cs"/>
          <w:sz w:val="20"/>
          <w:szCs w:val="20"/>
          <w:rtl/>
        </w:rPr>
        <w:t xml:space="preserve"> כן.</w:t>
      </w:r>
      <w:r>
        <w:rPr>
          <w:sz w:val="20"/>
          <w:szCs w:val="20"/>
          <w:rtl/>
        </w:rPr>
        <w:br/>
      </w:r>
      <w:r w:rsidRPr="00C32D1A">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רק דם שנמצא בספל עצמו יש לטהר, אך דם שנמצא בבדיקה לא בא ממש עם מ"ר ולכן טמאה.</w:t>
      </w:r>
      <w:r>
        <w:rPr>
          <w:sz w:val="20"/>
          <w:szCs w:val="20"/>
          <w:rtl/>
        </w:rPr>
        <w:br/>
      </w:r>
      <w:r>
        <w:rPr>
          <w:rFonts w:hint="cs"/>
          <w:sz w:val="20"/>
          <w:szCs w:val="20"/>
          <w:rtl/>
        </w:rPr>
        <w:t xml:space="preserve">ב. </w:t>
      </w:r>
      <w:r w:rsidRPr="00C32D1A">
        <w:rPr>
          <w:rFonts w:hint="cs"/>
          <w:b/>
          <w:bCs/>
          <w:sz w:val="20"/>
          <w:szCs w:val="20"/>
          <w:rtl/>
        </w:rPr>
        <w:t xml:space="preserve">רא"ש </w:t>
      </w:r>
      <w:r w:rsidRPr="00582337">
        <w:rPr>
          <w:rFonts w:hint="cs"/>
          <w:sz w:val="18"/>
          <w:szCs w:val="18"/>
          <w:rtl/>
        </w:rPr>
        <w:t xml:space="preserve">(ע"פ </w:t>
      </w:r>
      <w:r w:rsidRPr="00C32D1A">
        <w:rPr>
          <w:rFonts w:hint="cs"/>
          <w:b/>
          <w:bCs/>
          <w:sz w:val="18"/>
          <w:szCs w:val="18"/>
          <w:rtl/>
        </w:rPr>
        <w:t>הב"י</w:t>
      </w:r>
      <w:r w:rsidRPr="00582337">
        <w:rPr>
          <w:rFonts w:hint="cs"/>
          <w:sz w:val="18"/>
          <w:szCs w:val="18"/>
          <w:rtl/>
        </w:rPr>
        <w:t xml:space="preserve">) </w:t>
      </w:r>
      <w:r>
        <w:rPr>
          <w:sz w:val="20"/>
          <w:szCs w:val="20"/>
          <w:rtl/>
        </w:rPr>
        <w:t>–</w:t>
      </w:r>
      <w:r>
        <w:rPr>
          <w:rFonts w:hint="cs"/>
          <w:sz w:val="20"/>
          <w:szCs w:val="20"/>
          <w:rtl/>
        </w:rPr>
        <w:t xml:space="preserve"> לא.</w:t>
      </w:r>
      <w:r>
        <w:rPr>
          <w:sz w:val="20"/>
          <w:szCs w:val="20"/>
          <w:rtl/>
        </w:rPr>
        <w:br/>
      </w:r>
      <w:r w:rsidRPr="00C32D1A">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הדם שנמצא על העד אינו דם מקור עצמו, אלא תמצית הדם שיצא עם המי רגליים.</w:t>
      </w:r>
    </w:p>
    <w:p w:rsidR="00620060" w:rsidRDefault="00620060" w:rsidP="00620060">
      <w:pPr>
        <w:rPr>
          <w:sz w:val="20"/>
          <w:szCs w:val="20"/>
          <w:rtl/>
        </w:rPr>
      </w:pPr>
      <w:r w:rsidRPr="00E661D8">
        <w:rPr>
          <w:rFonts w:hint="cs"/>
          <w:b/>
          <w:bCs/>
          <w:sz w:val="20"/>
          <w:szCs w:val="20"/>
          <w:rtl/>
        </w:rPr>
        <w:t>דם שנמצא רק על עד הקינוח</w:t>
      </w:r>
      <w:r>
        <w:rPr>
          <w:rFonts w:hint="cs"/>
          <w:sz w:val="20"/>
          <w:szCs w:val="20"/>
          <w:rtl/>
        </w:rPr>
        <w:br/>
      </w:r>
      <w:r w:rsidRPr="001E138D">
        <w:rPr>
          <w:rFonts w:hint="cs"/>
          <w:b/>
          <w:bCs/>
          <w:sz w:val="20"/>
          <w:szCs w:val="20"/>
          <w:rtl/>
        </w:rPr>
        <w:t>בית יוסף</w:t>
      </w:r>
      <w:r>
        <w:rPr>
          <w:rFonts w:hint="cs"/>
          <w:sz w:val="20"/>
          <w:szCs w:val="20"/>
          <w:rtl/>
        </w:rPr>
        <w:t xml:space="preserve"> </w:t>
      </w:r>
      <w:r>
        <w:rPr>
          <w:sz w:val="20"/>
          <w:szCs w:val="20"/>
          <w:rtl/>
        </w:rPr>
        <w:t>–</w:t>
      </w:r>
      <w:r>
        <w:rPr>
          <w:rFonts w:hint="cs"/>
          <w:sz w:val="20"/>
          <w:szCs w:val="20"/>
          <w:rtl/>
        </w:rPr>
        <w:t xml:space="preserve"> דם שנמצא רק על עד הקינוח לאחר הטלת מי רגליים ולא נמצא כלל בשתן עצמו </w:t>
      </w:r>
      <w:r>
        <w:rPr>
          <w:sz w:val="20"/>
          <w:szCs w:val="20"/>
          <w:rtl/>
        </w:rPr>
        <w:t>–</w:t>
      </w:r>
      <w:r>
        <w:rPr>
          <w:rFonts w:hint="cs"/>
          <w:sz w:val="20"/>
          <w:szCs w:val="20"/>
          <w:rtl/>
        </w:rPr>
        <w:t xml:space="preserve"> טמאה לכו"ע.</w:t>
      </w:r>
      <w:r>
        <w:rPr>
          <w:sz w:val="20"/>
          <w:szCs w:val="20"/>
          <w:rtl/>
        </w:rPr>
        <w:br/>
      </w:r>
      <w:r w:rsidRPr="001E138D">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אין אפשרות לתלות את הדם במי רגליה, אלא הדבר ברור שאין קשר בין הדם למ"ר וטמאה.</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רמ"א </w:t>
      </w:r>
      <w:r>
        <w:rPr>
          <w:sz w:val="20"/>
          <w:szCs w:val="20"/>
          <w:rtl/>
        </w:rPr>
        <w:t>–</w:t>
      </w:r>
      <w:r w:rsidRPr="00612C04">
        <w:rPr>
          <w:rFonts w:hint="cs"/>
          <w:sz w:val="18"/>
          <w:szCs w:val="18"/>
          <w:rtl/>
        </w:rPr>
        <w:t xml:space="preserve"> "</w:t>
      </w:r>
      <w:r w:rsidRPr="00612C04">
        <w:rPr>
          <w:rFonts w:cs="Arial" w:hint="cs"/>
          <w:sz w:val="18"/>
          <w:szCs w:val="18"/>
          <w:rtl/>
        </w:rPr>
        <w:t>וכל</w:t>
      </w:r>
      <w:r w:rsidRPr="00612C04">
        <w:rPr>
          <w:rFonts w:cs="Arial"/>
          <w:sz w:val="18"/>
          <w:szCs w:val="18"/>
          <w:rtl/>
        </w:rPr>
        <w:t xml:space="preserve"> </w:t>
      </w:r>
      <w:r w:rsidRPr="00612C04">
        <w:rPr>
          <w:rFonts w:cs="Arial" w:hint="cs"/>
          <w:sz w:val="18"/>
          <w:szCs w:val="18"/>
          <w:rtl/>
        </w:rPr>
        <w:t>זה</w:t>
      </w:r>
      <w:r w:rsidRPr="00612C04">
        <w:rPr>
          <w:rFonts w:cs="Arial"/>
          <w:sz w:val="18"/>
          <w:szCs w:val="18"/>
          <w:rtl/>
        </w:rPr>
        <w:t xml:space="preserve"> </w:t>
      </w:r>
      <w:r w:rsidRPr="00612C04">
        <w:rPr>
          <w:rFonts w:cs="Arial" w:hint="cs"/>
          <w:sz w:val="18"/>
          <w:szCs w:val="18"/>
          <w:rtl/>
        </w:rPr>
        <w:t>דוקא</w:t>
      </w:r>
      <w:r w:rsidRPr="00612C04">
        <w:rPr>
          <w:rFonts w:cs="Arial"/>
          <w:sz w:val="18"/>
          <w:szCs w:val="18"/>
          <w:rtl/>
        </w:rPr>
        <w:t xml:space="preserve"> </w:t>
      </w:r>
      <w:r w:rsidRPr="00612C04">
        <w:rPr>
          <w:rFonts w:cs="Arial" w:hint="cs"/>
          <w:sz w:val="18"/>
          <w:szCs w:val="18"/>
          <w:rtl/>
        </w:rPr>
        <w:t>שמרגשת</w:t>
      </w:r>
      <w:r w:rsidRPr="00612C04">
        <w:rPr>
          <w:rFonts w:cs="Arial"/>
          <w:sz w:val="18"/>
          <w:szCs w:val="18"/>
          <w:rtl/>
        </w:rPr>
        <w:t xml:space="preserve"> </w:t>
      </w:r>
      <w:r w:rsidRPr="00612C04">
        <w:rPr>
          <w:rFonts w:cs="Arial" w:hint="cs"/>
          <w:sz w:val="18"/>
          <w:szCs w:val="18"/>
          <w:rtl/>
        </w:rPr>
        <w:t>כאב</w:t>
      </w:r>
      <w:r w:rsidRPr="00612C04">
        <w:rPr>
          <w:rFonts w:cs="Arial"/>
          <w:sz w:val="18"/>
          <w:szCs w:val="18"/>
          <w:rtl/>
        </w:rPr>
        <w:t xml:space="preserve"> </w:t>
      </w:r>
      <w:r w:rsidRPr="00612C04">
        <w:rPr>
          <w:rFonts w:cs="Arial" w:hint="cs"/>
          <w:sz w:val="18"/>
          <w:szCs w:val="18"/>
          <w:rtl/>
        </w:rPr>
        <w:t>עם</w:t>
      </w:r>
      <w:r w:rsidRPr="00612C04">
        <w:rPr>
          <w:rFonts w:cs="Arial"/>
          <w:sz w:val="18"/>
          <w:szCs w:val="18"/>
          <w:rtl/>
        </w:rPr>
        <w:t xml:space="preserve"> </w:t>
      </w:r>
      <w:r w:rsidRPr="00612C04">
        <w:rPr>
          <w:rFonts w:cs="Arial" w:hint="cs"/>
          <w:sz w:val="18"/>
          <w:szCs w:val="18"/>
          <w:rtl/>
        </w:rPr>
        <w:t>מי</w:t>
      </w:r>
      <w:r w:rsidRPr="00612C04">
        <w:rPr>
          <w:rFonts w:cs="Arial"/>
          <w:sz w:val="18"/>
          <w:szCs w:val="18"/>
          <w:rtl/>
        </w:rPr>
        <w:t xml:space="preserve"> </w:t>
      </w:r>
      <w:r w:rsidRPr="00612C04">
        <w:rPr>
          <w:rFonts w:cs="Arial" w:hint="cs"/>
          <w:sz w:val="18"/>
          <w:szCs w:val="18"/>
          <w:rtl/>
        </w:rPr>
        <w:t>רגליה</w:t>
      </w:r>
      <w:r w:rsidRPr="00612C04">
        <w:rPr>
          <w:rFonts w:cs="Arial"/>
          <w:sz w:val="18"/>
          <w:szCs w:val="18"/>
          <w:rtl/>
        </w:rPr>
        <w:t xml:space="preserve">, </w:t>
      </w:r>
      <w:r w:rsidRPr="00612C04">
        <w:rPr>
          <w:rFonts w:cs="Arial" w:hint="cs"/>
          <w:sz w:val="18"/>
          <w:szCs w:val="18"/>
          <w:rtl/>
        </w:rPr>
        <w:t>אבל</w:t>
      </w:r>
      <w:r w:rsidRPr="00612C04">
        <w:rPr>
          <w:rFonts w:cs="Arial"/>
          <w:sz w:val="18"/>
          <w:szCs w:val="18"/>
          <w:rtl/>
        </w:rPr>
        <w:t xml:space="preserve"> </w:t>
      </w:r>
      <w:r w:rsidRPr="00612C04">
        <w:rPr>
          <w:rFonts w:cs="Arial" w:hint="cs"/>
          <w:sz w:val="18"/>
          <w:szCs w:val="18"/>
          <w:rtl/>
        </w:rPr>
        <w:t>אם</w:t>
      </w:r>
      <w:r w:rsidRPr="00612C04">
        <w:rPr>
          <w:rFonts w:cs="Arial"/>
          <w:sz w:val="18"/>
          <w:szCs w:val="18"/>
          <w:rtl/>
        </w:rPr>
        <w:t xml:space="preserve"> </w:t>
      </w:r>
      <w:r w:rsidRPr="00612C04">
        <w:rPr>
          <w:rFonts w:cs="Arial" w:hint="cs"/>
          <w:sz w:val="18"/>
          <w:szCs w:val="18"/>
          <w:rtl/>
        </w:rPr>
        <w:t>אינה</w:t>
      </w:r>
      <w:r w:rsidRPr="00612C04">
        <w:rPr>
          <w:rFonts w:cs="Arial"/>
          <w:sz w:val="18"/>
          <w:szCs w:val="18"/>
          <w:rtl/>
        </w:rPr>
        <w:t xml:space="preserve"> </w:t>
      </w:r>
      <w:r w:rsidRPr="00612C04">
        <w:rPr>
          <w:rFonts w:cs="Arial" w:hint="cs"/>
          <w:sz w:val="18"/>
          <w:szCs w:val="18"/>
          <w:rtl/>
        </w:rPr>
        <w:t>מרגשת</w:t>
      </w:r>
      <w:r w:rsidRPr="00612C04">
        <w:rPr>
          <w:rFonts w:cs="Arial"/>
          <w:sz w:val="18"/>
          <w:szCs w:val="18"/>
          <w:rtl/>
        </w:rPr>
        <w:t xml:space="preserve"> </w:t>
      </w:r>
      <w:r w:rsidRPr="00612C04">
        <w:rPr>
          <w:rFonts w:cs="Arial" w:hint="cs"/>
          <w:sz w:val="18"/>
          <w:szCs w:val="18"/>
          <w:rtl/>
        </w:rPr>
        <w:t>כאב</w:t>
      </w:r>
      <w:r w:rsidRPr="00612C04">
        <w:rPr>
          <w:rFonts w:cs="Arial"/>
          <w:sz w:val="18"/>
          <w:szCs w:val="18"/>
          <w:rtl/>
        </w:rPr>
        <w:t xml:space="preserve"> </w:t>
      </w:r>
      <w:r w:rsidRPr="00612C04">
        <w:rPr>
          <w:rFonts w:cs="Arial" w:hint="cs"/>
          <w:sz w:val="18"/>
          <w:szCs w:val="18"/>
          <w:rtl/>
        </w:rPr>
        <w:t>ובודקת</w:t>
      </w:r>
      <w:r w:rsidRPr="00612C04">
        <w:rPr>
          <w:rFonts w:cs="Arial"/>
          <w:sz w:val="18"/>
          <w:szCs w:val="18"/>
          <w:rtl/>
        </w:rPr>
        <w:t xml:space="preserve"> </w:t>
      </w:r>
      <w:r w:rsidRPr="00612C04">
        <w:rPr>
          <w:rFonts w:cs="Arial" w:hint="cs"/>
          <w:sz w:val="18"/>
          <w:szCs w:val="18"/>
          <w:rtl/>
        </w:rPr>
        <w:t>עצמה</w:t>
      </w:r>
      <w:r w:rsidRPr="00612C04">
        <w:rPr>
          <w:rFonts w:cs="Arial"/>
          <w:sz w:val="18"/>
          <w:szCs w:val="18"/>
          <w:rtl/>
        </w:rPr>
        <w:t xml:space="preserve"> </w:t>
      </w:r>
      <w:r w:rsidRPr="00612C04">
        <w:rPr>
          <w:rFonts w:cs="Arial" w:hint="cs"/>
          <w:sz w:val="18"/>
          <w:szCs w:val="18"/>
          <w:rtl/>
        </w:rPr>
        <w:t>אחר</w:t>
      </w:r>
      <w:r w:rsidRPr="00612C04">
        <w:rPr>
          <w:rFonts w:cs="Arial"/>
          <w:sz w:val="18"/>
          <w:szCs w:val="18"/>
          <w:rtl/>
        </w:rPr>
        <w:t xml:space="preserve"> </w:t>
      </w:r>
      <w:r w:rsidRPr="00612C04">
        <w:rPr>
          <w:rFonts w:cs="Arial" w:hint="cs"/>
          <w:sz w:val="18"/>
          <w:szCs w:val="18"/>
          <w:rtl/>
        </w:rPr>
        <w:t>הטלת</w:t>
      </w:r>
      <w:r w:rsidRPr="00612C04">
        <w:rPr>
          <w:rFonts w:cs="Arial"/>
          <w:sz w:val="18"/>
          <w:szCs w:val="18"/>
          <w:rtl/>
        </w:rPr>
        <w:t xml:space="preserve"> </w:t>
      </w:r>
      <w:r w:rsidRPr="00612C04">
        <w:rPr>
          <w:rFonts w:cs="Arial" w:hint="cs"/>
          <w:sz w:val="18"/>
          <w:szCs w:val="18"/>
          <w:rtl/>
        </w:rPr>
        <w:t>מים</w:t>
      </w:r>
      <w:r w:rsidRPr="00612C04">
        <w:rPr>
          <w:rFonts w:cs="Arial"/>
          <w:sz w:val="18"/>
          <w:szCs w:val="18"/>
          <w:rtl/>
        </w:rPr>
        <w:t xml:space="preserve"> </w:t>
      </w:r>
      <w:r w:rsidRPr="00612C04">
        <w:rPr>
          <w:rFonts w:cs="Arial" w:hint="cs"/>
          <w:sz w:val="18"/>
          <w:szCs w:val="18"/>
          <w:rtl/>
        </w:rPr>
        <w:t>ומוצאה</w:t>
      </w:r>
      <w:r w:rsidRPr="00612C04">
        <w:rPr>
          <w:rFonts w:cs="Arial"/>
          <w:sz w:val="18"/>
          <w:szCs w:val="18"/>
          <w:rtl/>
        </w:rPr>
        <w:t xml:space="preserve"> </w:t>
      </w:r>
      <w:r w:rsidRPr="00612C04">
        <w:rPr>
          <w:rFonts w:cs="Arial" w:hint="cs"/>
          <w:sz w:val="18"/>
          <w:szCs w:val="18"/>
          <w:rtl/>
        </w:rPr>
        <w:t>דם</w:t>
      </w:r>
      <w:r w:rsidRPr="00612C04">
        <w:rPr>
          <w:rFonts w:cs="Arial"/>
          <w:sz w:val="18"/>
          <w:szCs w:val="18"/>
          <w:rtl/>
        </w:rPr>
        <w:t xml:space="preserve">, </w:t>
      </w:r>
      <w:r w:rsidRPr="00612C04">
        <w:rPr>
          <w:rFonts w:cs="Arial" w:hint="cs"/>
          <w:sz w:val="18"/>
          <w:szCs w:val="18"/>
          <w:rtl/>
        </w:rPr>
        <w:t>אם</w:t>
      </w:r>
      <w:r w:rsidRPr="00612C04">
        <w:rPr>
          <w:rFonts w:cs="Arial"/>
          <w:sz w:val="18"/>
          <w:szCs w:val="18"/>
          <w:rtl/>
        </w:rPr>
        <w:t xml:space="preserve"> </w:t>
      </w:r>
      <w:r w:rsidRPr="00612C04">
        <w:rPr>
          <w:rFonts w:cs="Arial" w:hint="cs"/>
          <w:sz w:val="18"/>
          <w:szCs w:val="18"/>
          <w:rtl/>
        </w:rPr>
        <w:t>לא</w:t>
      </w:r>
      <w:r w:rsidRPr="00612C04">
        <w:rPr>
          <w:rFonts w:cs="Arial"/>
          <w:sz w:val="18"/>
          <w:szCs w:val="18"/>
          <w:rtl/>
        </w:rPr>
        <w:t xml:space="preserve"> </w:t>
      </w:r>
      <w:r w:rsidRPr="00612C04">
        <w:rPr>
          <w:rFonts w:cs="Arial" w:hint="cs"/>
          <w:sz w:val="18"/>
          <w:szCs w:val="18"/>
          <w:rtl/>
        </w:rPr>
        <w:t>מצאה</w:t>
      </w:r>
      <w:r w:rsidRPr="00612C04">
        <w:rPr>
          <w:rFonts w:cs="Arial"/>
          <w:sz w:val="18"/>
          <w:szCs w:val="18"/>
          <w:rtl/>
        </w:rPr>
        <w:t xml:space="preserve"> </w:t>
      </w:r>
      <w:r w:rsidRPr="00612C04">
        <w:rPr>
          <w:rFonts w:cs="Arial" w:hint="cs"/>
          <w:sz w:val="18"/>
          <w:szCs w:val="18"/>
          <w:rtl/>
        </w:rPr>
        <w:t>דם</w:t>
      </w:r>
      <w:r w:rsidRPr="00612C04">
        <w:rPr>
          <w:rFonts w:cs="Arial"/>
          <w:sz w:val="18"/>
          <w:szCs w:val="18"/>
          <w:rtl/>
        </w:rPr>
        <w:t xml:space="preserve"> </w:t>
      </w:r>
      <w:r w:rsidRPr="00612C04">
        <w:rPr>
          <w:rFonts w:cs="Arial" w:hint="cs"/>
          <w:sz w:val="18"/>
          <w:szCs w:val="18"/>
          <w:rtl/>
        </w:rPr>
        <w:t>במי</w:t>
      </w:r>
      <w:r w:rsidRPr="00612C04">
        <w:rPr>
          <w:rFonts w:cs="Arial"/>
          <w:sz w:val="18"/>
          <w:szCs w:val="18"/>
          <w:rtl/>
        </w:rPr>
        <w:t xml:space="preserve"> </w:t>
      </w:r>
      <w:r w:rsidRPr="00612C04">
        <w:rPr>
          <w:rFonts w:cs="Arial" w:hint="cs"/>
          <w:sz w:val="18"/>
          <w:szCs w:val="18"/>
          <w:rtl/>
        </w:rPr>
        <w:t>רגליה</w:t>
      </w:r>
      <w:r w:rsidRPr="00612C04">
        <w:rPr>
          <w:rFonts w:cs="Arial"/>
          <w:sz w:val="18"/>
          <w:szCs w:val="18"/>
          <w:rtl/>
        </w:rPr>
        <w:t xml:space="preserve"> </w:t>
      </w:r>
      <w:r w:rsidRPr="00612C04">
        <w:rPr>
          <w:rFonts w:cs="Arial" w:hint="cs"/>
          <w:sz w:val="18"/>
          <w:szCs w:val="18"/>
          <w:rtl/>
        </w:rPr>
        <w:t>ודאי</w:t>
      </w:r>
      <w:r w:rsidRPr="00612C04">
        <w:rPr>
          <w:rFonts w:cs="Arial"/>
          <w:sz w:val="18"/>
          <w:szCs w:val="18"/>
          <w:rtl/>
        </w:rPr>
        <w:t xml:space="preserve"> </w:t>
      </w:r>
      <w:r w:rsidRPr="00612C04">
        <w:rPr>
          <w:rFonts w:cs="Arial" w:hint="cs"/>
          <w:sz w:val="18"/>
          <w:szCs w:val="18"/>
          <w:rtl/>
        </w:rPr>
        <w:t>טמאה</w:t>
      </w:r>
      <w:r>
        <w:rPr>
          <w:rFonts w:cs="Arial" w:hint="cs"/>
          <w:sz w:val="18"/>
          <w:szCs w:val="18"/>
          <w:rtl/>
        </w:rPr>
        <w:t xml:space="preserve"> </w:t>
      </w:r>
      <w:r w:rsidRPr="00C733B5">
        <w:rPr>
          <w:rFonts w:cs="Arial" w:hint="cs"/>
          <w:sz w:val="16"/>
          <w:szCs w:val="16"/>
          <w:rtl/>
        </w:rPr>
        <w:t>(דברי הב"י שלכו"ע טמאה)</w:t>
      </w:r>
      <w:r w:rsidRPr="00612C04">
        <w:rPr>
          <w:rFonts w:cs="Arial"/>
          <w:sz w:val="18"/>
          <w:szCs w:val="18"/>
          <w:rtl/>
        </w:rPr>
        <w:t xml:space="preserve">. </w:t>
      </w:r>
      <w:r w:rsidRPr="00612C04">
        <w:rPr>
          <w:rFonts w:cs="Arial" w:hint="cs"/>
          <w:sz w:val="18"/>
          <w:szCs w:val="18"/>
          <w:rtl/>
        </w:rPr>
        <w:t>אבל</w:t>
      </w:r>
      <w:r w:rsidRPr="00612C04">
        <w:rPr>
          <w:rFonts w:cs="Arial"/>
          <w:sz w:val="18"/>
          <w:szCs w:val="18"/>
          <w:rtl/>
        </w:rPr>
        <w:t xml:space="preserve"> </w:t>
      </w:r>
      <w:r w:rsidRPr="00612C04">
        <w:rPr>
          <w:rFonts w:cs="Arial" w:hint="cs"/>
          <w:sz w:val="18"/>
          <w:szCs w:val="18"/>
          <w:rtl/>
        </w:rPr>
        <w:t>אם</w:t>
      </w:r>
      <w:r w:rsidRPr="00612C04">
        <w:rPr>
          <w:rFonts w:cs="Arial"/>
          <w:sz w:val="18"/>
          <w:szCs w:val="18"/>
          <w:rtl/>
        </w:rPr>
        <w:t xml:space="preserve"> </w:t>
      </w:r>
      <w:r w:rsidRPr="00612C04">
        <w:rPr>
          <w:rFonts w:cs="Arial" w:hint="cs"/>
          <w:sz w:val="18"/>
          <w:szCs w:val="18"/>
          <w:rtl/>
        </w:rPr>
        <w:t>מצאה</w:t>
      </w:r>
      <w:r w:rsidRPr="00612C04">
        <w:rPr>
          <w:rFonts w:cs="Arial"/>
          <w:sz w:val="18"/>
          <w:szCs w:val="18"/>
          <w:rtl/>
        </w:rPr>
        <w:t xml:space="preserve"> </w:t>
      </w:r>
      <w:r w:rsidRPr="00612C04">
        <w:rPr>
          <w:rFonts w:cs="Arial" w:hint="cs"/>
          <w:sz w:val="18"/>
          <w:szCs w:val="18"/>
          <w:rtl/>
        </w:rPr>
        <w:t>דם</w:t>
      </w:r>
      <w:r w:rsidRPr="00612C04">
        <w:rPr>
          <w:rFonts w:cs="Arial"/>
          <w:sz w:val="18"/>
          <w:szCs w:val="18"/>
          <w:rtl/>
        </w:rPr>
        <w:t xml:space="preserve"> </w:t>
      </w:r>
      <w:r w:rsidRPr="00612C04">
        <w:rPr>
          <w:rFonts w:cs="Arial" w:hint="cs"/>
          <w:sz w:val="18"/>
          <w:szCs w:val="18"/>
          <w:rtl/>
        </w:rPr>
        <w:t>תוך</w:t>
      </w:r>
      <w:r w:rsidRPr="00612C04">
        <w:rPr>
          <w:rFonts w:cs="Arial"/>
          <w:sz w:val="18"/>
          <w:szCs w:val="18"/>
          <w:rtl/>
        </w:rPr>
        <w:t xml:space="preserve"> </w:t>
      </w:r>
      <w:r w:rsidRPr="00612C04">
        <w:rPr>
          <w:rFonts w:cs="Arial" w:hint="cs"/>
          <w:sz w:val="18"/>
          <w:szCs w:val="18"/>
          <w:rtl/>
        </w:rPr>
        <w:t>מי</w:t>
      </w:r>
      <w:r w:rsidRPr="00612C04">
        <w:rPr>
          <w:rFonts w:cs="Arial"/>
          <w:sz w:val="18"/>
          <w:szCs w:val="18"/>
          <w:rtl/>
        </w:rPr>
        <w:t xml:space="preserve"> </w:t>
      </w:r>
      <w:r w:rsidRPr="00612C04">
        <w:rPr>
          <w:rFonts w:cs="Arial" w:hint="cs"/>
          <w:sz w:val="18"/>
          <w:szCs w:val="18"/>
          <w:rtl/>
        </w:rPr>
        <w:t>רגליה</w:t>
      </w:r>
      <w:r w:rsidRPr="00612C04">
        <w:rPr>
          <w:rFonts w:cs="Arial"/>
          <w:sz w:val="18"/>
          <w:szCs w:val="18"/>
          <w:rtl/>
        </w:rPr>
        <w:t xml:space="preserve"> </w:t>
      </w:r>
      <w:r w:rsidRPr="00612C04">
        <w:rPr>
          <w:rFonts w:cs="Arial" w:hint="cs"/>
          <w:sz w:val="18"/>
          <w:szCs w:val="18"/>
          <w:rtl/>
        </w:rPr>
        <w:t>וגם</w:t>
      </w:r>
      <w:r w:rsidRPr="00612C04">
        <w:rPr>
          <w:rFonts w:cs="Arial"/>
          <w:sz w:val="18"/>
          <w:szCs w:val="18"/>
          <w:rtl/>
        </w:rPr>
        <w:t xml:space="preserve"> </w:t>
      </w:r>
      <w:r w:rsidRPr="00612C04">
        <w:rPr>
          <w:rFonts w:cs="Arial" w:hint="cs"/>
          <w:sz w:val="18"/>
          <w:szCs w:val="18"/>
          <w:rtl/>
        </w:rPr>
        <w:t>על</w:t>
      </w:r>
      <w:r w:rsidRPr="00612C04">
        <w:rPr>
          <w:rFonts w:cs="Arial"/>
          <w:sz w:val="18"/>
          <w:szCs w:val="18"/>
          <w:rtl/>
        </w:rPr>
        <w:t xml:space="preserve"> </w:t>
      </w:r>
      <w:r w:rsidRPr="00612C04">
        <w:rPr>
          <w:rFonts w:cs="Arial" w:hint="cs"/>
          <w:sz w:val="18"/>
          <w:szCs w:val="18"/>
          <w:rtl/>
        </w:rPr>
        <w:t>העד</w:t>
      </w:r>
      <w:r w:rsidRPr="00612C04">
        <w:rPr>
          <w:rFonts w:cs="Arial"/>
          <w:sz w:val="18"/>
          <w:szCs w:val="18"/>
          <w:rtl/>
        </w:rPr>
        <w:t xml:space="preserve"> </w:t>
      </w:r>
      <w:r w:rsidRPr="00612C04">
        <w:rPr>
          <w:rFonts w:cs="Arial" w:hint="cs"/>
          <w:sz w:val="18"/>
          <w:szCs w:val="18"/>
          <w:rtl/>
        </w:rPr>
        <w:t>שבדקה</w:t>
      </w:r>
      <w:r w:rsidRPr="00612C04">
        <w:rPr>
          <w:rFonts w:cs="Arial"/>
          <w:sz w:val="18"/>
          <w:szCs w:val="18"/>
          <w:rtl/>
        </w:rPr>
        <w:t xml:space="preserve"> </w:t>
      </w:r>
      <w:r w:rsidRPr="00612C04">
        <w:rPr>
          <w:rFonts w:cs="Arial" w:hint="cs"/>
          <w:sz w:val="18"/>
          <w:szCs w:val="18"/>
          <w:rtl/>
        </w:rPr>
        <w:t>עצמה</w:t>
      </w:r>
      <w:r w:rsidRPr="00612C04">
        <w:rPr>
          <w:rFonts w:cs="Arial"/>
          <w:sz w:val="18"/>
          <w:szCs w:val="18"/>
          <w:rtl/>
        </w:rPr>
        <w:t xml:space="preserve"> </w:t>
      </w:r>
      <w:r w:rsidRPr="00612C04">
        <w:rPr>
          <w:rFonts w:cs="Arial" w:hint="cs"/>
          <w:sz w:val="18"/>
          <w:szCs w:val="18"/>
          <w:rtl/>
        </w:rPr>
        <w:t>בו</w:t>
      </w:r>
      <w:r w:rsidRPr="00612C04">
        <w:rPr>
          <w:rFonts w:cs="Arial"/>
          <w:sz w:val="18"/>
          <w:szCs w:val="18"/>
          <w:rtl/>
        </w:rPr>
        <w:t xml:space="preserve">, </w:t>
      </w:r>
      <w:r w:rsidRPr="00612C04">
        <w:rPr>
          <w:rFonts w:cs="Arial" w:hint="cs"/>
          <w:sz w:val="18"/>
          <w:szCs w:val="18"/>
          <w:rtl/>
        </w:rPr>
        <w:t>יש</w:t>
      </w:r>
      <w:r w:rsidRPr="00612C04">
        <w:rPr>
          <w:rFonts w:cs="Arial"/>
          <w:sz w:val="18"/>
          <w:szCs w:val="18"/>
          <w:rtl/>
        </w:rPr>
        <w:t xml:space="preserve"> </w:t>
      </w:r>
      <w:r w:rsidRPr="00612C04">
        <w:rPr>
          <w:rFonts w:cs="Arial" w:hint="cs"/>
          <w:sz w:val="18"/>
          <w:szCs w:val="18"/>
          <w:rtl/>
        </w:rPr>
        <w:t>אומרים</w:t>
      </w:r>
      <w:r w:rsidRPr="00612C04">
        <w:rPr>
          <w:rFonts w:cs="Arial"/>
          <w:sz w:val="18"/>
          <w:szCs w:val="18"/>
          <w:rtl/>
        </w:rPr>
        <w:t xml:space="preserve"> </w:t>
      </w:r>
      <w:r w:rsidRPr="00612C04">
        <w:rPr>
          <w:rFonts w:cs="Arial" w:hint="cs"/>
          <w:sz w:val="18"/>
          <w:szCs w:val="18"/>
          <w:rtl/>
        </w:rPr>
        <w:t>דהיא</w:t>
      </w:r>
      <w:r w:rsidRPr="00612C04">
        <w:rPr>
          <w:rFonts w:cs="Arial"/>
          <w:sz w:val="18"/>
          <w:szCs w:val="18"/>
          <w:rtl/>
        </w:rPr>
        <w:t xml:space="preserve"> </w:t>
      </w:r>
      <w:r w:rsidRPr="00612C04">
        <w:rPr>
          <w:rFonts w:cs="Arial" w:hint="cs"/>
          <w:sz w:val="18"/>
          <w:szCs w:val="18"/>
          <w:rtl/>
        </w:rPr>
        <w:t>טמאה</w:t>
      </w:r>
      <w:r w:rsidRPr="00612C04">
        <w:rPr>
          <w:rFonts w:cs="Arial"/>
          <w:sz w:val="18"/>
          <w:szCs w:val="18"/>
          <w:rtl/>
        </w:rPr>
        <w:t xml:space="preserve">, </w:t>
      </w:r>
      <w:r w:rsidRPr="00612C04">
        <w:rPr>
          <w:rFonts w:cs="Arial" w:hint="cs"/>
          <w:sz w:val="18"/>
          <w:szCs w:val="18"/>
          <w:rtl/>
        </w:rPr>
        <w:t>דלא</w:t>
      </w:r>
      <w:r w:rsidRPr="00612C04">
        <w:rPr>
          <w:rFonts w:cs="Arial"/>
          <w:sz w:val="18"/>
          <w:szCs w:val="18"/>
          <w:rtl/>
        </w:rPr>
        <w:t xml:space="preserve"> </w:t>
      </w:r>
      <w:r w:rsidRPr="00612C04">
        <w:rPr>
          <w:rFonts w:cs="Arial" w:hint="cs"/>
          <w:sz w:val="18"/>
          <w:szCs w:val="18"/>
          <w:rtl/>
        </w:rPr>
        <w:t>התירו</w:t>
      </w:r>
      <w:r w:rsidRPr="00612C04">
        <w:rPr>
          <w:rFonts w:cs="Arial"/>
          <w:sz w:val="18"/>
          <w:szCs w:val="18"/>
          <w:rtl/>
        </w:rPr>
        <w:t xml:space="preserve"> </w:t>
      </w:r>
      <w:r w:rsidRPr="00612C04">
        <w:rPr>
          <w:rFonts w:cs="Arial" w:hint="cs"/>
          <w:sz w:val="18"/>
          <w:szCs w:val="18"/>
          <w:rtl/>
        </w:rPr>
        <w:t>רק</w:t>
      </w:r>
      <w:r w:rsidRPr="00612C04">
        <w:rPr>
          <w:rFonts w:cs="Arial"/>
          <w:sz w:val="18"/>
          <w:szCs w:val="18"/>
          <w:rtl/>
        </w:rPr>
        <w:t xml:space="preserve"> </w:t>
      </w:r>
      <w:r w:rsidRPr="00612C04">
        <w:rPr>
          <w:rFonts w:cs="Arial" w:hint="cs"/>
          <w:sz w:val="18"/>
          <w:szCs w:val="18"/>
          <w:rtl/>
        </w:rPr>
        <w:t>דם</w:t>
      </w:r>
      <w:r w:rsidRPr="00612C04">
        <w:rPr>
          <w:rFonts w:cs="Arial"/>
          <w:sz w:val="18"/>
          <w:szCs w:val="18"/>
          <w:rtl/>
        </w:rPr>
        <w:t xml:space="preserve"> </w:t>
      </w:r>
      <w:r w:rsidRPr="00612C04">
        <w:rPr>
          <w:rFonts w:cs="Arial" w:hint="cs"/>
          <w:sz w:val="18"/>
          <w:szCs w:val="18"/>
          <w:rtl/>
        </w:rPr>
        <w:t>שנמצא</w:t>
      </w:r>
      <w:r w:rsidRPr="00612C04">
        <w:rPr>
          <w:rFonts w:cs="Arial"/>
          <w:sz w:val="18"/>
          <w:szCs w:val="18"/>
          <w:rtl/>
        </w:rPr>
        <w:t xml:space="preserve"> </w:t>
      </w:r>
      <w:r w:rsidRPr="00612C04">
        <w:rPr>
          <w:rFonts w:cs="Arial" w:hint="cs"/>
          <w:sz w:val="18"/>
          <w:szCs w:val="18"/>
          <w:rtl/>
        </w:rPr>
        <w:t>תוך</w:t>
      </w:r>
      <w:r w:rsidRPr="00612C04">
        <w:rPr>
          <w:rFonts w:cs="Arial"/>
          <w:sz w:val="18"/>
          <w:szCs w:val="18"/>
          <w:rtl/>
        </w:rPr>
        <w:t xml:space="preserve"> </w:t>
      </w:r>
      <w:r w:rsidRPr="00612C04">
        <w:rPr>
          <w:rFonts w:cs="Arial" w:hint="cs"/>
          <w:sz w:val="18"/>
          <w:szCs w:val="18"/>
          <w:rtl/>
        </w:rPr>
        <w:t>מי</w:t>
      </w:r>
      <w:r w:rsidRPr="00612C04">
        <w:rPr>
          <w:rFonts w:cs="Arial"/>
          <w:sz w:val="18"/>
          <w:szCs w:val="18"/>
          <w:rtl/>
        </w:rPr>
        <w:t xml:space="preserve"> </w:t>
      </w:r>
      <w:r w:rsidRPr="00612C04">
        <w:rPr>
          <w:rFonts w:cs="Arial" w:hint="cs"/>
          <w:sz w:val="18"/>
          <w:szCs w:val="18"/>
          <w:rtl/>
        </w:rPr>
        <w:t>רגליה</w:t>
      </w:r>
      <w:r w:rsidRPr="00612C04">
        <w:rPr>
          <w:rFonts w:cs="Arial"/>
          <w:sz w:val="18"/>
          <w:szCs w:val="18"/>
          <w:rtl/>
        </w:rPr>
        <w:t xml:space="preserve"> </w:t>
      </w:r>
      <w:r w:rsidRPr="00C733B5">
        <w:rPr>
          <w:rFonts w:cs="Arial"/>
          <w:sz w:val="16"/>
          <w:szCs w:val="16"/>
          <w:rtl/>
        </w:rPr>
        <w:t>(</w:t>
      </w:r>
      <w:r w:rsidRPr="00C733B5">
        <w:rPr>
          <w:rFonts w:cs="Arial" w:hint="cs"/>
          <w:sz w:val="16"/>
          <w:szCs w:val="16"/>
          <w:rtl/>
        </w:rPr>
        <w:t>מרדכי</w:t>
      </w:r>
      <w:r w:rsidRPr="00C733B5">
        <w:rPr>
          <w:rFonts w:cs="Arial"/>
          <w:sz w:val="16"/>
          <w:szCs w:val="16"/>
          <w:rtl/>
        </w:rPr>
        <w:t>)</w:t>
      </w:r>
      <w:r w:rsidRPr="00612C04">
        <w:rPr>
          <w:rFonts w:cs="Arial"/>
          <w:sz w:val="18"/>
          <w:szCs w:val="18"/>
          <w:rtl/>
        </w:rPr>
        <w:t xml:space="preserve">. </w:t>
      </w:r>
      <w:r w:rsidRPr="00612C04">
        <w:rPr>
          <w:rFonts w:cs="Arial" w:hint="cs"/>
          <w:sz w:val="18"/>
          <w:szCs w:val="18"/>
          <w:rtl/>
        </w:rPr>
        <w:t>וי</w:t>
      </w:r>
      <w:r>
        <w:rPr>
          <w:rFonts w:cs="Arial" w:hint="cs"/>
          <w:sz w:val="18"/>
          <w:szCs w:val="18"/>
          <w:rtl/>
        </w:rPr>
        <w:t>ש אומרים</w:t>
      </w:r>
      <w:r w:rsidRPr="00612C04">
        <w:rPr>
          <w:rFonts w:cs="Arial"/>
          <w:sz w:val="18"/>
          <w:szCs w:val="18"/>
          <w:rtl/>
        </w:rPr>
        <w:t xml:space="preserve"> </w:t>
      </w:r>
      <w:r w:rsidRPr="00612C04">
        <w:rPr>
          <w:rFonts w:cs="Arial" w:hint="cs"/>
          <w:sz w:val="18"/>
          <w:szCs w:val="18"/>
          <w:rtl/>
        </w:rPr>
        <w:t>שהיא</w:t>
      </w:r>
      <w:r w:rsidRPr="00612C04">
        <w:rPr>
          <w:rFonts w:cs="Arial"/>
          <w:sz w:val="18"/>
          <w:szCs w:val="18"/>
          <w:rtl/>
        </w:rPr>
        <w:t xml:space="preserve"> </w:t>
      </w:r>
      <w:r w:rsidRPr="00612C04">
        <w:rPr>
          <w:rFonts w:cs="Arial" w:hint="cs"/>
          <w:sz w:val="18"/>
          <w:szCs w:val="18"/>
          <w:rtl/>
        </w:rPr>
        <w:t>טהורה</w:t>
      </w:r>
      <w:r w:rsidRPr="00612C04">
        <w:rPr>
          <w:rFonts w:cs="Arial"/>
          <w:sz w:val="18"/>
          <w:szCs w:val="18"/>
          <w:rtl/>
        </w:rPr>
        <w:t xml:space="preserve"> </w:t>
      </w:r>
      <w:r w:rsidRPr="00612C04">
        <w:rPr>
          <w:rFonts w:cs="Arial" w:hint="cs"/>
          <w:sz w:val="18"/>
          <w:szCs w:val="18"/>
          <w:rtl/>
        </w:rPr>
        <w:t>דדם</w:t>
      </w:r>
      <w:r w:rsidRPr="00612C04">
        <w:rPr>
          <w:rFonts w:cs="Arial"/>
          <w:sz w:val="18"/>
          <w:szCs w:val="18"/>
          <w:rtl/>
        </w:rPr>
        <w:t xml:space="preserve"> </w:t>
      </w:r>
      <w:r w:rsidRPr="00612C04">
        <w:rPr>
          <w:rFonts w:cs="Arial" w:hint="cs"/>
          <w:sz w:val="18"/>
          <w:szCs w:val="18"/>
          <w:rtl/>
        </w:rPr>
        <w:t>שנמצא</w:t>
      </w:r>
      <w:r w:rsidRPr="00612C04">
        <w:rPr>
          <w:rFonts w:cs="Arial"/>
          <w:sz w:val="18"/>
          <w:szCs w:val="18"/>
          <w:rtl/>
        </w:rPr>
        <w:t xml:space="preserve"> </w:t>
      </w:r>
      <w:r w:rsidRPr="00612C04">
        <w:rPr>
          <w:rFonts w:cs="Arial" w:hint="cs"/>
          <w:sz w:val="18"/>
          <w:szCs w:val="18"/>
          <w:rtl/>
        </w:rPr>
        <w:t>תולין</w:t>
      </w:r>
      <w:r w:rsidRPr="00612C04">
        <w:rPr>
          <w:rFonts w:cs="Arial"/>
          <w:sz w:val="18"/>
          <w:szCs w:val="18"/>
          <w:rtl/>
        </w:rPr>
        <w:t xml:space="preserve"> </w:t>
      </w:r>
      <w:r w:rsidRPr="00612C04">
        <w:rPr>
          <w:rFonts w:cs="Arial" w:hint="cs"/>
          <w:sz w:val="18"/>
          <w:szCs w:val="18"/>
          <w:rtl/>
        </w:rPr>
        <w:t>שעדיין</w:t>
      </w:r>
      <w:r w:rsidRPr="00612C04">
        <w:rPr>
          <w:rFonts w:cs="Arial"/>
          <w:sz w:val="18"/>
          <w:szCs w:val="18"/>
          <w:rtl/>
        </w:rPr>
        <w:t xml:space="preserve"> </w:t>
      </w:r>
      <w:r w:rsidRPr="00612C04">
        <w:rPr>
          <w:rFonts w:cs="Arial" w:hint="cs"/>
          <w:sz w:val="18"/>
          <w:szCs w:val="18"/>
          <w:rtl/>
        </w:rPr>
        <w:t>נשאר</w:t>
      </w:r>
      <w:r w:rsidRPr="00612C04">
        <w:rPr>
          <w:rFonts w:cs="Arial"/>
          <w:sz w:val="18"/>
          <w:szCs w:val="18"/>
          <w:rtl/>
        </w:rPr>
        <w:t xml:space="preserve"> </w:t>
      </w:r>
      <w:r w:rsidRPr="00612C04">
        <w:rPr>
          <w:rFonts w:cs="Arial" w:hint="cs"/>
          <w:sz w:val="18"/>
          <w:szCs w:val="18"/>
          <w:rtl/>
        </w:rPr>
        <w:t>מתמצית</w:t>
      </w:r>
      <w:r w:rsidRPr="00612C04">
        <w:rPr>
          <w:rFonts w:cs="Arial"/>
          <w:sz w:val="18"/>
          <w:szCs w:val="18"/>
          <w:rtl/>
        </w:rPr>
        <w:t xml:space="preserve"> </w:t>
      </w:r>
      <w:r w:rsidRPr="00612C04">
        <w:rPr>
          <w:rFonts w:cs="Arial" w:hint="cs"/>
          <w:sz w:val="18"/>
          <w:szCs w:val="18"/>
          <w:rtl/>
        </w:rPr>
        <w:t>מי</w:t>
      </w:r>
      <w:r w:rsidRPr="00612C04">
        <w:rPr>
          <w:rFonts w:cs="Arial"/>
          <w:sz w:val="18"/>
          <w:szCs w:val="18"/>
          <w:rtl/>
        </w:rPr>
        <w:t xml:space="preserve"> </w:t>
      </w:r>
      <w:r w:rsidRPr="00612C04">
        <w:rPr>
          <w:rFonts w:cs="Arial" w:hint="cs"/>
          <w:sz w:val="18"/>
          <w:szCs w:val="18"/>
          <w:rtl/>
        </w:rPr>
        <w:t>רגליה</w:t>
      </w:r>
      <w:r w:rsidRPr="00612C04">
        <w:rPr>
          <w:rFonts w:cs="Arial"/>
          <w:sz w:val="18"/>
          <w:szCs w:val="18"/>
          <w:rtl/>
        </w:rPr>
        <w:t xml:space="preserve"> </w:t>
      </w:r>
      <w:r w:rsidRPr="00C733B5">
        <w:rPr>
          <w:rFonts w:cs="Arial"/>
          <w:sz w:val="16"/>
          <w:szCs w:val="16"/>
          <w:rtl/>
        </w:rPr>
        <w:t>(</w:t>
      </w:r>
      <w:r w:rsidRPr="00C733B5">
        <w:rPr>
          <w:rFonts w:cs="Arial" w:hint="cs"/>
          <w:sz w:val="16"/>
          <w:szCs w:val="16"/>
          <w:rtl/>
        </w:rPr>
        <w:t>ב</w:t>
      </w:r>
      <w:r w:rsidRPr="00C733B5">
        <w:rPr>
          <w:rFonts w:cs="Arial"/>
          <w:sz w:val="16"/>
          <w:szCs w:val="16"/>
          <w:rtl/>
        </w:rPr>
        <w:t>"</w:t>
      </w:r>
      <w:r w:rsidRPr="00C733B5">
        <w:rPr>
          <w:rFonts w:cs="Arial" w:hint="cs"/>
          <w:sz w:val="16"/>
          <w:szCs w:val="16"/>
          <w:rtl/>
        </w:rPr>
        <w:t>י</w:t>
      </w:r>
      <w:r w:rsidRPr="00C733B5">
        <w:rPr>
          <w:rFonts w:cs="Arial"/>
          <w:sz w:val="16"/>
          <w:szCs w:val="16"/>
          <w:rtl/>
        </w:rPr>
        <w:t xml:space="preserve"> </w:t>
      </w:r>
      <w:r w:rsidRPr="00C733B5">
        <w:rPr>
          <w:rFonts w:cs="Arial" w:hint="cs"/>
          <w:sz w:val="16"/>
          <w:szCs w:val="16"/>
          <w:rtl/>
        </w:rPr>
        <w:t>ממשמעות</w:t>
      </w:r>
      <w:r w:rsidRPr="00C733B5">
        <w:rPr>
          <w:rFonts w:cs="Arial"/>
          <w:sz w:val="16"/>
          <w:szCs w:val="16"/>
          <w:rtl/>
        </w:rPr>
        <w:t xml:space="preserve"> </w:t>
      </w:r>
      <w:r w:rsidRPr="00C733B5">
        <w:rPr>
          <w:rFonts w:cs="Arial" w:hint="cs"/>
          <w:sz w:val="16"/>
          <w:szCs w:val="16"/>
          <w:rtl/>
        </w:rPr>
        <w:t>הרא</w:t>
      </w:r>
      <w:r w:rsidRPr="00C733B5">
        <w:rPr>
          <w:rFonts w:cs="Arial"/>
          <w:sz w:val="16"/>
          <w:szCs w:val="16"/>
          <w:rtl/>
        </w:rPr>
        <w:t>"</w:t>
      </w:r>
      <w:r w:rsidRPr="00C733B5">
        <w:rPr>
          <w:rFonts w:cs="Arial" w:hint="cs"/>
          <w:sz w:val="16"/>
          <w:szCs w:val="16"/>
          <w:rtl/>
        </w:rPr>
        <w:t>ש</w:t>
      </w:r>
      <w:r w:rsidRPr="00C733B5">
        <w:rPr>
          <w:rFonts w:cs="Arial"/>
          <w:sz w:val="16"/>
          <w:szCs w:val="16"/>
          <w:rtl/>
        </w:rPr>
        <w:t>)</w:t>
      </w:r>
      <w:r w:rsidRPr="00612C04">
        <w:rPr>
          <w:rFonts w:cs="Arial"/>
          <w:sz w:val="18"/>
          <w:szCs w:val="18"/>
          <w:rtl/>
        </w:rPr>
        <w:t xml:space="preserve">. </w:t>
      </w:r>
      <w:r w:rsidRPr="00612C04">
        <w:rPr>
          <w:rFonts w:cs="Arial" w:hint="cs"/>
          <w:sz w:val="18"/>
          <w:szCs w:val="18"/>
          <w:rtl/>
        </w:rPr>
        <w:t>ויש</w:t>
      </w:r>
      <w:r w:rsidRPr="00612C04">
        <w:rPr>
          <w:rFonts w:cs="Arial"/>
          <w:sz w:val="18"/>
          <w:szCs w:val="18"/>
          <w:rtl/>
        </w:rPr>
        <w:t xml:space="preserve"> </w:t>
      </w:r>
      <w:r w:rsidRPr="00612C04">
        <w:rPr>
          <w:rFonts w:cs="Arial" w:hint="cs"/>
          <w:sz w:val="18"/>
          <w:szCs w:val="18"/>
          <w:rtl/>
        </w:rPr>
        <w:t>להחמיר".</w:t>
      </w:r>
      <w:r>
        <w:rPr>
          <w:sz w:val="20"/>
          <w:szCs w:val="20"/>
          <w:rtl/>
        </w:rPr>
        <w:br/>
      </w:r>
      <w:r>
        <w:rPr>
          <w:rFonts w:hint="cs"/>
          <w:sz w:val="20"/>
          <w:szCs w:val="20"/>
          <w:rtl/>
        </w:rPr>
        <w:br/>
      </w:r>
      <w:r>
        <w:rPr>
          <w:rFonts w:hint="cs"/>
          <w:sz w:val="20"/>
          <w:szCs w:val="20"/>
          <w:u w:val="single"/>
          <w:rtl/>
        </w:rPr>
        <w:t>תמיהת הש"ך על דברי הרמ"א</w:t>
      </w:r>
      <w:r>
        <w:rPr>
          <w:sz w:val="20"/>
          <w:szCs w:val="20"/>
          <w:u w:val="single"/>
          <w:rtl/>
        </w:rPr>
        <w:br/>
      </w:r>
      <w:r w:rsidRPr="00B935CC">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דברי הרמ"א לגבי מצאה דם במי רגליה ועל העד, תמוהים.</w:t>
      </w:r>
      <w:r>
        <w:rPr>
          <w:sz w:val="20"/>
          <w:szCs w:val="20"/>
          <w:rtl/>
        </w:rPr>
        <w:br/>
      </w:r>
      <w:r w:rsidRPr="00B935CC">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הרמ"א פסק לעיל שדם הנמצא במי רגליה מטמא בכל עניין. ואפילו יושבת ומקלחת שטיהר, זה רק אם נמצא בתוך הספל אך על שפת הספל טמאה, ואם כן כל שכן שאם נמצא על העד טמאה, ולכן לא מובן מדוע הרמ"א חזר ושנה דין זה פעם נוספת.</w:t>
      </w:r>
      <w:r>
        <w:rPr>
          <w:sz w:val="20"/>
          <w:szCs w:val="20"/>
          <w:rtl/>
        </w:rPr>
        <w:br/>
      </w:r>
      <w:r>
        <w:rPr>
          <w:rFonts w:hint="cs"/>
          <w:sz w:val="20"/>
          <w:szCs w:val="20"/>
          <w:rtl/>
        </w:rPr>
        <w:t>וכן מה שכתב הרמ"א בסוף דבריו "ויש להחמיר" הוא תימה, משום שלעיל פסק הרמ"א בפשטות לטמא, ואם כן הוא הדין כאן.</w:t>
      </w:r>
      <w:r>
        <w:rPr>
          <w:rFonts w:hint="cs"/>
          <w:sz w:val="20"/>
          <w:szCs w:val="20"/>
          <w:rtl/>
        </w:rPr>
        <w:br/>
        <w:t xml:space="preserve">מסיים הש"ך </w:t>
      </w:r>
      <w:r>
        <w:rPr>
          <w:sz w:val="20"/>
          <w:szCs w:val="20"/>
          <w:rtl/>
        </w:rPr>
        <w:t>–</w:t>
      </w:r>
      <w:r>
        <w:rPr>
          <w:rFonts w:hint="cs"/>
          <w:sz w:val="20"/>
          <w:szCs w:val="20"/>
          <w:rtl/>
        </w:rPr>
        <w:t xml:space="preserve"> אין כאן חומרה כלל אלא כך הוא עיקר הדין, שיש לטמא בכה"ג.</w:t>
      </w:r>
    </w:p>
    <w:p w:rsidR="00620060" w:rsidRDefault="00620060" w:rsidP="00620060">
      <w:pPr>
        <w:rPr>
          <w:sz w:val="20"/>
          <w:szCs w:val="20"/>
          <w:rtl/>
        </w:rPr>
      </w:pPr>
      <w:r w:rsidRPr="00E661D8">
        <w:rPr>
          <w:rStyle w:val="10"/>
          <w:rFonts w:hint="cs"/>
          <w:rtl/>
        </w:rPr>
        <w:t>ה.</w:t>
      </w:r>
      <w:r w:rsidRPr="00E661D8">
        <w:rPr>
          <w:rFonts w:hint="cs"/>
          <w:b/>
          <w:bCs/>
          <w:sz w:val="16"/>
          <w:szCs w:val="16"/>
          <w:rtl/>
        </w:rPr>
        <w:t xml:space="preserve"> </w:t>
      </w:r>
      <w:r>
        <w:rPr>
          <w:rFonts w:hint="cs"/>
          <w:b/>
          <w:bCs/>
          <w:sz w:val="20"/>
          <w:szCs w:val="20"/>
          <w:rtl/>
        </w:rPr>
        <w:t>בדיקה בעד לאחר הטלת מי רגליים</w:t>
      </w:r>
      <w:r>
        <w:rPr>
          <w:b/>
          <w:b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רמ"א </w:t>
      </w:r>
      <w:r w:rsidRPr="00A3694A">
        <w:rPr>
          <w:rFonts w:hint="cs"/>
          <w:sz w:val="18"/>
          <w:szCs w:val="18"/>
          <w:rtl/>
        </w:rPr>
        <w:t xml:space="preserve">(ע"פ </w:t>
      </w:r>
      <w:r w:rsidRPr="00A3694A">
        <w:rPr>
          <w:rFonts w:hint="cs"/>
          <w:b/>
          <w:bCs/>
          <w:sz w:val="18"/>
          <w:szCs w:val="18"/>
          <w:rtl/>
        </w:rPr>
        <w:t>המרדכי</w:t>
      </w:r>
      <w:r w:rsidRPr="00A3694A">
        <w:rPr>
          <w:rFonts w:hint="cs"/>
          <w:sz w:val="18"/>
          <w:szCs w:val="18"/>
          <w:rtl/>
        </w:rPr>
        <w:t xml:space="preserve">) </w:t>
      </w:r>
      <w:r w:rsidRPr="00A3694A">
        <w:rPr>
          <w:sz w:val="18"/>
          <w:szCs w:val="18"/>
          <w:rtl/>
        </w:rPr>
        <w:t>–</w:t>
      </w:r>
      <w:r w:rsidRPr="00A3694A">
        <w:rPr>
          <w:rFonts w:hint="cs"/>
          <w:sz w:val="18"/>
          <w:szCs w:val="18"/>
          <w:rtl/>
        </w:rPr>
        <w:t xml:space="preserve"> "</w:t>
      </w:r>
      <w:r w:rsidRPr="00A3694A">
        <w:rPr>
          <w:rFonts w:cs="Arial" w:hint="cs"/>
          <w:sz w:val="18"/>
          <w:szCs w:val="18"/>
          <w:rtl/>
        </w:rPr>
        <w:t>מיהו</w:t>
      </w:r>
      <w:r w:rsidRPr="00A3694A">
        <w:rPr>
          <w:rFonts w:cs="Arial"/>
          <w:sz w:val="18"/>
          <w:szCs w:val="18"/>
          <w:rtl/>
        </w:rPr>
        <w:t xml:space="preserve"> </w:t>
      </w:r>
      <w:r w:rsidRPr="00A3694A">
        <w:rPr>
          <w:rFonts w:cs="Arial" w:hint="cs"/>
          <w:sz w:val="18"/>
          <w:szCs w:val="18"/>
          <w:rtl/>
        </w:rPr>
        <w:t>אינה</w:t>
      </w:r>
      <w:r w:rsidRPr="00A3694A">
        <w:rPr>
          <w:rFonts w:cs="Arial"/>
          <w:sz w:val="18"/>
          <w:szCs w:val="18"/>
          <w:rtl/>
        </w:rPr>
        <w:t xml:space="preserve"> </w:t>
      </w:r>
      <w:r w:rsidRPr="00A3694A">
        <w:rPr>
          <w:rFonts w:cs="Arial" w:hint="cs"/>
          <w:sz w:val="18"/>
          <w:szCs w:val="18"/>
          <w:rtl/>
        </w:rPr>
        <w:t>צריכה</w:t>
      </w:r>
      <w:r w:rsidRPr="00A3694A">
        <w:rPr>
          <w:rFonts w:cs="Arial"/>
          <w:sz w:val="18"/>
          <w:szCs w:val="18"/>
          <w:rtl/>
        </w:rPr>
        <w:t xml:space="preserve"> </w:t>
      </w:r>
      <w:r w:rsidRPr="00A3694A">
        <w:rPr>
          <w:rFonts w:cs="Arial" w:hint="cs"/>
          <w:sz w:val="18"/>
          <w:szCs w:val="18"/>
          <w:rtl/>
        </w:rPr>
        <w:t>לבדוק</w:t>
      </w:r>
      <w:r w:rsidRPr="00A3694A">
        <w:rPr>
          <w:rFonts w:cs="Arial"/>
          <w:sz w:val="18"/>
          <w:szCs w:val="18"/>
          <w:rtl/>
        </w:rPr>
        <w:t xml:space="preserve"> </w:t>
      </w:r>
      <w:r w:rsidRPr="00A3694A">
        <w:rPr>
          <w:rFonts w:cs="Arial" w:hint="cs"/>
          <w:sz w:val="18"/>
          <w:szCs w:val="18"/>
          <w:rtl/>
        </w:rPr>
        <w:t>אחר</w:t>
      </w:r>
      <w:r w:rsidRPr="00A3694A">
        <w:rPr>
          <w:rFonts w:cs="Arial"/>
          <w:sz w:val="18"/>
          <w:szCs w:val="18"/>
          <w:rtl/>
        </w:rPr>
        <w:t xml:space="preserve"> </w:t>
      </w:r>
      <w:r w:rsidRPr="00A3694A">
        <w:rPr>
          <w:rFonts w:cs="Arial" w:hint="cs"/>
          <w:sz w:val="18"/>
          <w:szCs w:val="18"/>
          <w:rtl/>
        </w:rPr>
        <w:t>זה</w:t>
      </w:r>
      <w:r w:rsidRPr="00A3694A">
        <w:rPr>
          <w:rFonts w:cs="Arial"/>
          <w:sz w:val="18"/>
          <w:szCs w:val="18"/>
          <w:rtl/>
        </w:rPr>
        <w:t>.</w:t>
      </w:r>
      <w:r>
        <w:rPr>
          <w:rFonts w:hint="cs"/>
          <w:sz w:val="20"/>
          <w:szCs w:val="20"/>
          <w:rtl/>
        </w:rPr>
        <w:t>"</w:t>
      </w:r>
    </w:p>
    <w:p w:rsidR="00620060" w:rsidRPr="00FB355E" w:rsidRDefault="00620060" w:rsidP="00620060">
      <w:pPr>
        <w:rPr>
          <w:sz w:val="18"/>
          <w:szCs w:val="18"/>
          <w:rtl/>
        </w:rPr>
      </w:pPr>
      <w:r>
        <w:rPr>
          <w:rFonts w:hint="cs"/>
          <w:sz w:val="20"/>
          <w:szCs w:val="20"/>
          <w:u w:val="single"/>
          <w:rtl/>
        </w:rPr>
        <w:t>הסבר</w:t>
      </w:r>
      <w:r>
        <w:rPr>
          <w:sz w:val="20"/>
          <w:szCs w:val="20"/>
          <w:u w:val="single"/>
          <w:rtl/>
        </w:rPr>
        <w:br/>
      </w:r>
      <w:r>
        <w:rPr>
          <w:rFonts w:hint="cs"/>
          <w:sz w:val="20"/>
          <w:szCs w:val="20"/>
          <w:rtl/>
        </w:rPr>
        <w:t xml:space="preserve">מדובר ביושבת ומקלחת לתוך הספל, שאע"פ שמצאה דם בספל </w:t>
      </w:r>
      <w:r>
        <w:rPr>
          <w:sz w:val="20"/>
          <w:szCs w:val="20"/>
          <w:rtl/>
        </w:rPr>
        <w:t>–</w:t>
      </w:r>
      <w:r>
        <w:rPr>
          <w:rFonts w:hint="cs"/>
          <w:sz w:val="20"/>
          <w:szCs w:val="20"/>
          <w:rtl/>
        </w:rPr>
        <w:t xml:space="preserve"> טהורה לרמ"א.</w:t>
      </w:r>
      <w:r>
        <w:rPr>
          <w:sz w:val="20"/>
          <w:szCs w:val="20"/>
          <w:rtl/>
        </w:rPr>
        <w:br/>
      </w:r>
      <w:r>
        <w:rPr>
          <w:rFonts w:hint="cs"/>
          <w:sz w:val="20"/>
          <w:szCs w:val="20"/>
          <w:rtl/>
        </w:rPr>
        <w:t xml:space="preserve">אמנם, אם תקנח ותמצא דם על העד, כתב הרמ"א </w:t>
      </w:r>
      <w:r w:rsidRPr="00EF2E09">
        <w:rPr>
          <w:rFonts w:hint="cs"/>
          <w:sz w:val="18"/>
          <w:szCs w:val="18"/>
          <w:rtl/>
        </w:rPr>
        <w:t xml:space="preserve">(לעיל בסמוך) </w:t>
      </w:r>
      <w:r>
        <w:rPr>
          <w:rFonts w:hint="cs"/>
          <w:sz w:val="20"/>
          <w:szCs w:val="20"/>
          <w:rtl/>
        </w:rPr>
        <w:t>שיש להחמיר.</w:t>
      </w:r>
      <w:r>
        <w:rPr>
          <w:rFonts w:hint="cs"/>
          <w:sz w:val="20"/>
          <w:szCs w:val="20"/>
          <w:rtl/>
        </w:rPr>
        <w:br/>
      </w:r>
      <w:r>
        <w:rPr>
          <w:rFonts w:hint="cs"/>
          <w:sz w:val="20"/>
          <w:szCs w:val="20"/>
          <w:rtl/>
        </w:rPr>
        <w:lastRenderedPageBreak/>
        <w:t>וכאן מחדש הרמ"א שאע"פ שיש להחמיר, מכל מקום אינה צריכה לבדוק עצמה אפילו כשמצאה דם בספל.</w:t>
      </w:r>
      <w:r>
        <w:rPr>
          <w:rFonts w:hint="cs"/>
          <w:sz w:val="20"/>
          <w:szCs w:val="20"/>
          <w:rtl/>
        </w:rPr>
        <w:br/>
      </w:r>
      <w:r w:rsidRPr="00363CB6">
        <w:rPr>
          <w:rFonts w:hint="cs"/>
          <w:b/>
          <w:bCs/>
          <w:sz w:val="20"/>
          <w:szCs w:val="20"/>
          <w:rtl/>
        </w:rPr>
        <w:t>שבט הלוי</w:t>
      </w:r>
      <w:r>
        <w:rPr>
          <w:rFonts w:hint="cs"/>
          <w:sz w:val="20"/>
          <w:szCs w:val="20"/>
          <w:rtl/>
        </w:rPr>
        <w:t xml:space="preserve"> </w:t>
      </w:r>
      <w:r w:rsidRPr="00F74031">
        <w:rPr>
          <w:rFonts w:hint="cs"/>
          <w:sz w:val="18"/>
          <w:szCs w:val="18"/>
          <w:rtl/>
        </w:rPr>
        <w:t xml:space="preserve">(כאן ובסימן קצ סעיף י סק"ג) </w:t>
      </w:r>
      <w:r>
        <w:rPr>
          <w:sz w:val="20"/>
          <w:szCs w:val="20"/>
          <w:rtl/>
        </w:rPr>
        <w:t>–</w:t>
      </w:r>
      <w:r>
        <w:rPr>
          <w:rFonts w:hint="cs"/>
          <w:sz w:val="20"/>
          <w:szCs w:val="20"/>
          <w:rtl/>
        </w:rPr>
        <w:t xml:space="preserve"> על פי זה יש לומר שאין לבדוק כלל את הנייר שבו מקנחת האשה, ואפילו בשבעה נקיים אין לבדוק זאת, אך אם בדקה ומצאה דם </w:t>
      </w:r>
      <w:r>
        <w:rPr>
          <w:sz w:val="20"/>
          <w:szCs w:val="20"/>
          <w:rtl/>
        </w:rPr>
        <w:t>–</w:t>
      </w:r>
      <w:r>
        <w:rPr>
          <w:rFonts w:hint="cs"/>
          <w:sz w:val="20"/>
          <w:szCs w:val="20"/>
          <w:rtl/>
        </w:rPr>
        <w:t xml:space="preserve"> דינו ככתם ואין להקל</w:t>
      </w:r>
      <w:r w:rsidRPr="00FB355E">
        <w:rPr>
          <w:rFonts w:hint="cs"/>
          <w:sz w:val="18"/>
          <w:szCs w:val="18"/>
          <w:rtl/>
        </w:rPr>
        <w:t>.</w:t>
      </w:r>
    </w:p>
    <w:p w:rsidR="00620060" w:rsidRDefault="00620060" w:rsidP="00620060">
      <w:pPr>
        <w:rPr>
          <w:sz w:val="20"/>
          <w:szCs w:val="20"/>
          <w:rtl/>
        </w:rPr>
      </w:pPr>
      <w:r w:rsidRPr="00E661D8">
        <w:rPr>
          <w:rStyle w:val="10"/>
          <w:rFonts w:hint="cs"/>
          <w:rtl/>
        </w:rPr>
        <w:t>ו.</w:t>
      </w:r>
      <w:r w:rsidRPr="00E661D8">
        <w:rPr>
          <w:rFonts w:hint="cs"/>
          <w:b/>
          <w:bCs/>
          <w:sz w:val="16"/>
          <w:szCs w:val="16"/>
          <w:rtl/>
        </w:rPr>
        <w:t xml:space="preserve"> </w:t>
      </w:r>
      <w:r>
        <w:rPr>
          <w:rFonts w:hint="cs"/>
          <w:b/>
          <w:bCs/>
          <w:sz w:val="20"/>
          <w:szCs w:val="20"/>
          <w:rtl/>
        </w:rPr>
        <w:t>קביעת ועקירת ווסת של ראיה בעת הטלת מי רגליים</w:t>
      </w:r>
      <w:r>
        <w:rPr>
          <w:b/>
          <w:b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רמ"א </w:t>
      </w:r>
      <w:r w:rsidRPr="002B63CF">
        <w:rPr>
          <w:rFonts w:hint="cs"/>
          <w:sz w:val="18"/>
          <w:szCs w:val="18"/>
          <w:rtl/>
        </w:rPr>
        <w:t xml:space="preserve">(ע"פ </w:t>
      </w:r>
      <w:r w:rsidRPr="00324CC8">
        <w:rPr>
          <w:rFonts w:hint="cs"/>
          <w:b/>
          <w:bCs/>
          <w:sz w:val="18"/>
          <w:szCs w:val="18"/>
          <w:rtl/>
        </w:rPr>
        <w:t>המרדכי</w:t>
      </w:r>
      <w:r w:rsidRPr="002B63CF">
        <w:rPr>
          <w:rFonts w:hint="cs"/>
          <w:sz w:val="18"/>
          <w:szCs w:val="18"/>
          <w:rtl/>
        </w:rPr>
        <w:t xml:space="preserve">) </w:t>
      </w:r>
      <w:r w:rsidRPr="002B63CF">
        <w:rPr>
          <w:sz w:val="18"/>
          <w:szCs w:val="18"/>
          <w:rtl/>
        </w:rPr>
        <w:t>–</w:t>
      </w:r>
      <w:r w:rsidRPr="002B63CF">
        <w:rPr>
          <w:rFonts w:hint="cs"/>
          <w:sz w:val="18"/>
          <w:szCs w:val="18"/>
          <w:rtl/>
        </w:rPr>
        <w:t xml:space="preserve"> "</w:t>
      </w:r>
      <w:r w:rsidRPr="002B63CF">
        <w:rPr>
          <w:rFonts w:cs="Arial" w:hint="cs"/>
          <w:sz w:val="18"/>
          <w:szCs w:val="18"/>
          <w:rtl/>
        </w:rPr>
        <w:t>ואפילו</w:t>
      </w:r>
      <w:r w:rsidRPr="002B63CF">
        <w:rPr>
          <w:rFonts w:cs="Arial"/>
          <w:sz w:val="18"/>
          <w:szCs w:val="18"/>
          <w:rtl/>
        </w:rPr>
        <w:t xml:space="preserve"> </w:t>
      </w:r>
      <w:r w:rsidRPr="002B63CF">
        <w:rPr>
          <w:rFonts w:cs="Arial" w:hint="cs"/>
          <w:sz w:val="18"/>
          <w:szCs w:val="18"/>
          <w:rtl/>
        </w:rPr>
        <w:t>אם</w:t>
      </w:r>
      <w:r w:rsidRPr="002B63CF">
        <w:rPr>
          <w:rFonts w:cs="Arial"/>
          <w:sz w:val="18"/>
          <w:szCs w:val="18"/>
          <w:rtl/>
        </w:rPr>
        <w:t xml:space="preserve"> </w:t>
      </w:r>
      <w:r w:rsidRPr="002B63CF">
        <w:rPr>
          <w:rFonts w:cs="Arial" w:hint="cs"/>
          <w:sz w:val="18"/>
          <w:szCs w:val="18"/>
          <w:rtl/>
        </w:rPr>
        <w:t>היתה</w:t>
      </w:r>
      <w:r w:rsidRPr="002B63CF">
        <w:rPr>
          <w:rFonts w:cs="Arial"/>
          <w:sz w:val="18"/>
          <w:szCs w:val="18"/>
          <w:rtl/>
        </w:rPr>
        <w:t xml:space="preserve"> </w:t>
      </w:r>
      <w:r w:rsidRPr="002B63CF">
        <w:rPr>
          <w:rFonts w:cs="Arial" w:hint="cs"/>
          <w:sz w:val="18"/>
          <w:szCs w:val="18"/>
          <w:rtl/>
        </w:rPr>
        <w:t>רגילה</w:t>
      </w:r>
      <w:r w:rsidRPr="002B63CF">
        <w:rPr>
          <w:rFonts w:cs="Arial"/>
          <w:sz w:val="18"/>
          <w:szCs w:val="18"/>
          <w:rtl/>
        </w:rPr>
        <w:t xml:space="preserve"> </w:t>
      </w:r>
      <w:r w:rsidRPr="002B63CF">
        <w:rPr>
          <w:rFonts w:cs="Arial" w:hint="cs"/>
          <w:sz w:val="18"/>
          <w:szCs w:val="18"/>
          <w:rtl/>
        </w:rPr>
        <w:t>לראות,</w:t>
      </w:r>
      <w:r w:rsidRPr="002B63CF">
        <w:rPr>
          <w:rFonts w:cs="Arial"/>
          <w:sz w:val="18"/>
          <w:szCs w:val="18"/>
          <w:rtl/>
        </w:rPr>
        <w:t xml:space="preserve"> </w:t>
      </w:r>
      <w:r w:rsidRPr="002B63CF">
        <w:rPr>
          <w:rFonts w:cs="Arial" w:hint="cs"/>
          <w:sz w:val="18"/>
          <w:szCs w:val="18"/>
          <w:rtl/>
        </w:rPr>
        <w:t>אם</w:t>
      </w:r>
      <w:r w:rsidRPr="002B63CF">
        <w:rPr>
          <w:rFonts w:cs="Arial"/>
          <w:sz w:val="18"/>
          <w:szCs w:val="18"/>
          <w:rtl/>
        </w:rPr>
        <w:t xml:space="preserve"> </w:t>
      </w:r>
      <w:r w:rsidRPr="002B63CF">
        <w:rPr>
          <w:rFonts w:cs="Arial" w:hint="cs"/>
          <w:sz w:val="18"/>
          <w:szCs w:val="18"/>
          <w:rtl/>
        </w:rPr>
        <w:t>בדקה</w:t>
      </w:r>
      <w:r w:rsidRPr="002B63CF">
        <w:rPr>
          <w:rFonts w:cs="Arial"/>
          <w:sz w:val="18"/>
          <w:szCs w:val="18"/>
          <w:rtl/>
        </w:rPr>
        <w:t xml:space="preserve"> </w:t>
      </w:r>
      <w:r w:rsidRPr="002B63CF">
        <w:rPr>
          <w:rFonts w:cs="Arial" w:hint="cs"/>
          <w:sz w:val="18"/>
          <w:szCs w:val="18"/>
          <w:rtl/>
        </w:rPr>
        <w:t>עצמה</w:t>
      </w:r>
      <w:r w:rsidRPr="002B63CF">
        <w:rPr>
          <w:rFonts w:cs="Arial"/>
          <w:sz w:val="18"/>
          <w:szCs w:val="18"/>
          <w:rtl/>
        </w:rPr>
        <w:t xml:space="preserve"> </w:t>
      </w:r>
      <w:r w:rsidRPr="002B63CF">
        <w:rPr>
          <w:rFonts w:cs="Arial" w:hint="cs"/>
          <w:sz w:val="18"/>
          <w:szCs w:val="18"/>
          <w:rtl/>
        </w:rPr>
        <w:t>שלש</w:t>
      </w:r>
      <w:r w:rsidRPr="002B63CF">
        <w:rPr>
          <w:rFonts w:cs="Arial"/>
          <w:sz w:val="18"/>
          <w:szCs w:val="18"/>
          <w:rtl/>
        </w:rPr>
        <w:t xml:space="preserve"> </w:t>
      </w:r>
      <w:r w:rsidRPr="002B63CF">
        <w:rPr>
          <w:rFonts w:cs="Arial" w:hint="cs"/>
          <w:sz w:val="18"/>
          <w:szCs w:val="18"/>
          <w:rtl/>
        </w:rPr>
        <w:t>פעמים</w:t>
      </w:r>
      <w:r w:rsidRPr="002B63CF">
        <w:rPr>
          <w:rFonts w:cs="Arial"/>
          <w:sz w:val="18"/>
          <w:szCs w:val="18"/>
          <w:rtl/>
        </w:rPr>
        <w:t xml:space="preserve"> </w:t>
      </w:r>
      <w:r w:rsidRPr="002B63CF">
        <w:rPr>
          <w:rFonts w:cs="Arial" w:hint="cs"/>
          <w:sz w:val="18"/>
          <w:szCs w:val="18"/>
          <w:rtl/>
        </w:rPr>
        <w:t>ומצאה</w:t>
      </w:r>
      <w:r w:rsidRPr="002B63CF">
        <w:rPr>
          <w:rFonts w:cs="Arial"/>
          <w:sz w:val="18"/>
          <w:szCs w:val="18"/>
          <w:rtl/>
        </w:rPr>
        <w:t xml:space="preserve"> </w:t>
      </w:r>
      <w:r w:rsidRPr="002B63CF">
        <w:rPr>
          <w:rFonts w:cs="Arial" w:hint="cs"/>
          <w:sz w:val="18"/>
          <w:szCs w:val="18"/>
          <w:rtl/>
        </w:rPr>
        <w:t>טהורה</w:t>
      </w:r>
      <w:r w:rsidRPr="002B63CF">
        <w:rPr>
          <w:rFonts w:cs="Arial"/>
          <w:sz w:val="18"/>
          <w:szCs w:val="18"/>
          <w:rtl/>
        </w:rPr>
        <w:t xml:space="preserve">, </w:t>
      </w:r>
      <w:r w:rsidRPr="002B63CF">
        <w:rPr>
          <w:rFonts w:cs="Arial" w:hint="cs"/>
          <w:sz w:val="18"/>
          <w:szCs w:val="18"/>
          <w:rtl/>
        </w:rPr>
        <w:t>שוב</w:t>
      </w:r>
      <w:r w:rsidRPr="002B63CF">
        <w:rPr>
          <w:rFonts w:cs="Arial"/>
          <w:sz w:val="18"/>
          <w:szCs w:val="18"/>
          <w:rtl/>
        </w:rPr>
        <w:t xml:space="preserve"> </w:t>
      </w:r>
      <w:r w:rsidRPr="002B63CF">
        <w:rPr>
          <w:rFonts w:cs="Arial" w:hint="cs"/>
          <w:sz w:val="18"/>
          <w:szCs w:val="18"/>
          <w:rtl/>
        </w:rPr>
        <w:t>אינה</w:t>
      </w:r>
      <w:r w:rsidRPr="002B63CF">
        <w:rPr>
          <w:rFonts w:cs="Arial"/>
          <w:sz w:val="18"/>
          <w:szCs w:val="18"/>
          <w:rtl/>
        </w:rPr>
        <w:t xml:space="preserve"> </w:t>
      </w:r>
      <w:r w:rsidRPr="002B63CF">
        <w:rPr>
          <w:rFonts w:cs="Arial" w:hint="cs"/>
          <w:sz w:val="18"/>
          <w:szCs w:val="18"/>
          <w:rtl/>
        </w:rPr>
        <w:t>צריכה</w:t>
      </w:r>
      <w:r w:rsidRPr="002B63CF">
        <w:rPr>
          <w:rFonts w:cs="Arial"/>
          <w:sz w:val="18"/>
          <w:szCs w:val="18"/>
          <w:rtl/>
        </w:rPr>
        <w:t xml:space="preserve"> </w:t>
      </w:r>
      <w:r w:rsidRPr="002B63CF">
        <w:rPr>
          <w:rFonts w:cs="Arial" w:hint="cs"/>
          <w:sz w:val="18"/>
          <w:szCs w:val="18"/>
          <w:rtl/>
        </w:rPr>
        <w:t>בדיקה</w:t>
      </w:r>
      <w:r>
        <w:rPr>
          <w:rFonts w:cs="Arial" w:hint="cs"/>
          <w:sz w:val="18"/>
          <w:szCs w:val="18"/>
          <w:rtl/>
        </w:rPr>
        <w:t xml:space="preserve">. </w:t>
      </w:r>
      <w:r w:rsidRPr="00324CC8">
        <w:rPr>
          <w:rFonts w:cs="Arial" w:hint="cs"/>
          <w:sz w:val="18"/>
          <w:szCs w:val="18"/>
          <w:rtl/>
        </w:rPr>
        <w:t>ואם</w:t>
      </w:r>
      <w:r w:rsidRPr="00324CC8">
        <w:rPr>
          <w:rFonts w:cs="Arial"/>
          <w:sz w:val="18"/>
          <w:szCs w:val="18"/>
          <w:rtl/>
        </w:rPr>
        <w:t xml:space="preserve"> </w:t>
      </w:r>
      <w:r w:rsidRPr="00324CC8">
        <w:rPr>
          <w:rFonts w:cs="Arial" w:hint="cs"/>
          <w:sz w:val="18"/>
          <w:szCs w:val="18"/>
          <w:rtl/>
        </w:rPr>
        <w:t>אינה</w:t>
      </w:r>
      <w:r w:rsidRPr="00324CC8">
        <w:rPr>
          <w:rFonts w:cs="Arial"/>
          <w:sz w:val="18"/>
          <w:szCs w:val="18"/>
          <w:rtl/>
        </w:rPr>
        <w:t xml:space="preserve"> </w:t>
      </w:r>
      <w:r w:rsidRPr="00324CC8">
        <w:rPr>
          <w:rFonts w:cs="Arial" w:hint="cs"/>
          <w:sz w:val="18"/>
          <w:szCs w:val="18"/>
          <w:rtl/>
        </w:rPr>
        <w:t>רגילה</w:t>
      </w:r>
      <w:r w:rsidRPr="00324CC8">
        <w:rPr>
          <w:rFonts w:cs="Arial"/>
          <w:sz w:val="18"/>
          <w:szCs w:val="18"/>
          <w:rtl/>
        </w:rPr>
        <w:t xml:space="preserve"> </w:t>
      </w:r>
      <w:r w:rsidRPr="00324CC8">
        <w:rPr>
          <w:rFonts w:cs="Arial" w:hint="cs"/>
          <w:sz w:val="18"/>
          <w:szCs w:val="18"/>
          <w:rtl/>
        </w:rPr>
        <w:t>לראות</w:t>
      </w:r>
      <w:r w:rsidRPr="00324CC8">
        <w:rPr>
          <w:rFonts w:cs="Arial"/>
          <w:sz w:val="18"/>
          <w:szCs w:val="18"/>
          <w:rtl/>
        </w:rPr>
        <w:t xml:space="preserve"> </w:t>
      </w:r>
      <w:r w:rsidRPr="00324CC8">
        <w:rPr>
          <w:rFonts w:cs="Arial" w:hint="cs"/>
          <w:sz w:val="18"/>
          <w:szCs w:val="18"/>
          <w:rtl/>
        </w:rPr>
        <w:t>רק</w:t>
      </w:r>
      <w:r w:rsidRPr="00324CC8">
        <w:rPr>
          <w:rFonts w:cs="Arial"/>
          <w:sz w:val="18"/>
          <w:szCs w:val="18"/>
          <w:rtl/>
        </w:rPr>
        <w:t xml:space="preserve"> </w:t>
      </w:r>
      <w:r w:rsidRPr="00324CC8">
        <w:rPr>
          <w:rFonts w:cs="Arial" w:hint="cs"/>
          <w:sz w:val="18"/>
          <w:szCs w:val="18"/>
          <w:rtl/>
        </w:rPr>
        <w:t>לפרקים</w:t>
      </w:r>
      <w:r w:rsidRPr="00324CC8">
        <w:rPr>
          <w:rFonts w:cs="Arial"/>
          <w:sz w:val="18"/>
          <w:szCs w:val="18"/>
          <w:rtl/>
        </w:rPr>
        <w:t xml:space="preserve">, </w:t>
      </w:r>
      <w:r w:rsidRPr="00324CC8">
        <w:rPr>
          <w:rFonts w:cs="Arial" w:hint="cs"/>
          <w:sz w:val="18"/>
          <w:szCs w:val="18"/>
          <w:rtl/>
        </w:rPr>
        <w:t>קובעת</w:t>
      </w:r>
      <w:r w:rsidRPr="00324CC8">
        <w:rPr>
          <w:rFonts w:cs="Arial"/>
          <w:sz w:val="18"/>
          <w:szCs w:val="18"/>
          <w:rtl/>
        </w:rPr>
        <w:t xml:space="preserve"> </w:t>
      </w:r>
      <w:r w:rsidRPr="00324CC8">
        <w:rPr>
          <w:rFonts w:cs="Arial" w:hint="cs"/>
          <w:sz w:val="18"/>
          <w:szCs w:val="18"/>
          <w:rtl/>
        </w:rPr>
        <w:t>לה</w:t>
      </w:r>
      <w:r w:rsidRPr="00324CC8">
        <w:rPr>
          <w:rFonts w:cs="Arial"/>
          <w:sz w:val="18"/>
          <w:szCs w:val="18"/>
          <w:rtl/>
        </w:rPr>
        <w:t xml:space="preserve"> </w:t>
      </w:r>
      <w:r w:rsidRPr="00324CC8">
        <w:rPr>
          <w:rFonts w:cs="Arial" w:hint="cs"/>
          <w:sz w:val="18"/>
          <w:szCs w:val="18"/>
          <w:rtl/>
        </w:rPr>
        <w:t>וסת</w:t>
      </w:r>
      <w:r w:rsidRPr="00324CC8">
        <w:rPr>
          <w:rFonts w:cs="Arial"/>
          <w:sz w:val="18"/>
          <w:szCs w:val="18"/>
          <w:rtl/>
        </w:rPr>
        <w:t xml:space="preserve"> </w:t>
      </w:r>
      <w:r w:rsidRPr="00324CC8">
        <w:rPr>
          <w:rFonts w:cs="Arial" w:hint="cs"/>
          <w:sz w:val="18"/>
          <w:szCs w:val="18"/>
          <w:rtl/>
        </w:rPr>
        <w:t>אם</w:t>
      </w:r>
      <w:r w:rsidRPr="00324CC8">
        <w:rPr>
          <w:rFonts w:cs="Arial"/>
          <w:sz w:val="18"/>
          <w:szCs w:val="18"/>
          <w:rtl/>
        </w:rPr>
        <w:t xml:space="preserve"> </w:t>
      </w:r>
      <w:r w:rsidRPr="00324CC8">
        <w:rPr>
          <w:rFonts w:cs="Arial" w:hint="cs"/>
          <w:sz w:val="18"/>
          <w:szCs w:val="18"/>
          <w:rtl/>
        </w:rPr>
        <w:t>הוא</w:t>
      </w:r>
      <w:r w:rsidRPr="00324CC8">
        <w:rPr>
          <w:rFonts w:cs="Arial"/>
          <w:sz w:val="18"/>
          <w:szCs w:val="18"/>
          <w:rtl/>
        </w:rPr>
        <w:t xml:space="preserve"> </w:t>
      </w:r>
      <w:r w:rsidRPr="00324CC8">
        <w:rPr>
          <w:rFonts w:cs="Arial" w:hint="cs"/>
          <w:sz w:val="18"/>
          <w:szCs w:val="18"/>
          <w:rtl/>
        </w:rPr>
        <w:t>בדרך</w:t>
      </w:r>
      <w:r w:rsidRPr="00324CC8">
        <w:rPr>
          <w:rFonts w:cs="Arial"/>
          <w:sz w:val="18"/>
          <w:szCs w:val="18"/>
          <w:rtl/>
        </w:rPr>
        <w:t xml:space="preserve"> </w:t>
      </w:r>
      <w:r w:rsidRPr="00324CC8">
        <w:rPr>
          <w:rFonts w:cs="Arial" w:hint="cs"/>
          <w:sz w:val="18"/>
          <w:szCs w:val="18"/>
          <w:rtl/>
        </w:rPr>
        <w:t>קבע</w:t>
      </w:r>
      <w:r w:rsidRPr="00324CC8">
        <w:rPr>
          <w:rFonts w:cs="Arial"/>
          <w:sz w:val="18"/>
          <w:szCs w:val="18"/>
          <w:rtl/>
        </w:rPr>
        <w:t xml:space="preserve">, </w:t>
      </w:r>
      <w:r w:rsidRPr="00324CC8">
        <w:rPr>
          <w:rFonts w:cs="Arial" w:hint="cs"/>
          <w:sz w:val="18"/>
          <w:szCs w:val="18"/>
          <w:rtl/>
        </w:rPr>
        <w:t>בין</w:t>
      </w:r>
      <w:r w:rsidRPr="00324CC8">
        <w:rPr>
          <w:rFonts w:cs="Arial"/>
          <w:sz w:val="18"/>
          <w:szCs w:val="18"/>
          <w:rtl/>
        </w:rPr>
        <w:t xml:space="preserve"> </w:t>
      </w:r>
      <w:r w:rsidRPr="00324CC8">
        <w:rPr>
          <w:rFonts w:cs="Arial" w:hint="cs"/>
          <w:sz w:val="18"/>
          <w:szCs w:val="18"/>
          <w:rtl/>
        </w:rPr>
        <w:t>וסת</w:t>
      </w:r>
      <w:r w:rsidRPr="00324CC8">
        <w:rPr>
          <w:rFonts w:cs="Arial"/>
          <w:sz w:val="18"/>
          <w:szCs w:val="18"/>
          <w:rtl/>
        </w:rPr>
        <w:t xml:space="preserve"> </w:t>
      </w:r>
      <w:r w:rsidRPr="00324CC8">
        <w:rPr>
          <w:rFonts w:cs="Arial" w:hint="cs"/>
          <w:sz w:val="18"/>
          <w:szCs w:val="18"/>
          <w:rtl/>
        </w:rPr>
        <w:t>שו</w:t>
      </w:r>
      <w:r>
        <w:rPr>
          <w:rFonts w:cs="Arial" w:hint="cs"/>
          <w:sz w:val="18"/>
          <w:szCs w:val="18"/>
          <w:rtl/>
        </w:rPr>
        <w:t>ו</w:t>
      </w:r>
      <w:r w:rsidRPr="00324CC8">
        <w:rPr>
          <w:rFonts w:cs="Arial" w:hint="cs"/>
          <w:sz w:val="18"/>
          <w:szCs w:val="18"/>
          <w:rtl/>
        </w:rPr>
        <w:t>ה</w:t>
      </w:r>
      <w:r w:rsidRPr="00324CC8">
        <w:rPr>
          <w:rFonts w:cs="Arial"/>
          <w:sz w:val="18"/>
          <w:szCs w:val="18"/>
          <w:rtl/>
        </w:rPr>
        <w:t xml:space="preserve"> </w:t>
      </w:r>
      <w:r w:rsidRPr="00324CC8">
        <w:rPr>
          <w:rFonts w:cs="Arial" w:hint="cs"/>
          <w:sz w:val="18"/>
          <w:szCs w:val="18"/>
          <w:rtl/>
        </w:rPr>
        <w:t>בין</w:t>
      </w:r>
      <w:r w:rsidRPr="00324CC8">
        <w:rPr>
          <w:rFonts w:cs="Arial"/>
          <w:sz w:val="18"/>
          <w:szCs w:val="18"/>
          <w:rtl/>
        </w:rPr>
        <w:t xml:space="preserve"> </w:t>
      </w:r>
      <w:r w:rsidRPr="00324CC8">
        <w:rPr>
          <w:rFonts w:cs="Arial" w:hint="cs"/>
          <w:sz w:val="18"/>
          <w:szCs w:val="18"/>
          <w:rtl/>
        </w:rPr>
        <w:t>וסת</w:t>
      </w:r>
      <w:r w:rsidRPr="00324CC8">
        <w:rPr>
          <w:rFonts w:cs="Arial"/>
          <w:sz w:val="18"/>
          <w:szCs w:val="18"/>
          <w:rtl/>
        </w:rPr>
        <w:t xml:space="preserve"> </w:t>
      </w:r>
      <w:r w:rsidRPr="00324CC8">
        <w:rPr>
          <w:rFonts w:cs="Arial" w:hint="cs"/>
          <w:sz w:val="18"/>
          <w:szCs w:val="18"/>
          <w:rtl/>
        </w:rPr>
        <w:t>דילוגין".</w:t>
      </w:r>
      <w:r>
        <w:rPr>
          <w:rFonts w:hint="cs"/>
          <w:sz w:val="20"/>
          <w:szCs w:val="20"/>
          <w:rtl/>
        </w:rPr>
        <w:br/>
      </w:r>
      <w:r>
        <w:rPr>
          <w:b/>
          <w:bCs/>
          <w:sz w:val="20"/>
          <w:szCs w:val="20"/>
          <w:rtl/>
        </w:rPr>
        <w:br/>
      </w:r>
      <w:r w:rsidRPr="002B63CF">
        <w:rPr>
          <w:rFonts w:hint="cs"/>
          <w:b/>
          <w:bCs/>
          <w:sz w:val="20"/>
          <w:szCs w:val="20"/>
          <w:rtl/>
        </w:rPr>
        <w:t>בדי השולחן</w:t>
      </w:r>
      <w:r>
        <w:rPr>
          <w:rFonts w:hint="cs"/>
          <w:sz w:val="20"/>
          <w:szCs w:val="20"/>
          <w:rtl/>
        </w:rPr>
        <w:t xml:space="preserve"> </w:t>
      </w:r>
      <w:r>
        <w:rPr>
          <w:sz w:val="20"/>
          <w:szCs w:val="20"/>
          <w:rtl/>
        </w:rPr>
        <w:t>–</w:t>
      </w:r>
      <w:r>
        <w:rPr>
          <w:rFonts w:hint="cs"/>
          <w:sz w:val="20"/>
          <w:szCs w:val="20"/>
          <w:rtl/>
        </w:rPr>
        <w:t xml:space="preserve"> הרמ"א מחדש שיש דין של ווסת לראייה בעת הטלת מי רגליים כשאר קביעת ווסת הגוף. </w:t>
      </w:r>
      <w:r>
        <w:rPr>
          <w:sz w:val="20"/>
          <w:szCs w:val="20"/>
          <w:rtl/>
        </w:rPr>
        <w:br/>
      </w:r>
      <w:r>
        <w:rPr>
          <w:rFonts w:hint="cs"/>
          <w:sz w:val="20"/>
          <w:szCs w:val="20"/>
          <w:rtl/>
        </w:rPr>
        <w:t>דהיינו שאם ג' פעמים רצופות אירע לה כן, קבעה ווסת להטלת מ"ר ולכן צריכה לבדוק עצמה לאחר כל פעם.</w:t>
      </w:r>
      <w:r>
        <w:rPr>
          <w:sz w:val="20"/>
          <w:szCs w:val="20"/>
          <w:rtl/>
        </w:rPr>
        <w:br/>
      </w:r>
      <w:r>
        <w:rPr>
          <w:rFonts w:hint="cs"/>
          <w:sz w:val="20"/>
          <w:szCs w:val="20"/>
          <w:rtl/>
        </w:rPr>
        <w:t xml:space="preserve">אמנם, אם בדקה עצמה ג' פעמים ומצאה טהורה </w:t>
      </w:r>
      <w:r>
        <w:rPr>
          <w:sz w:val="20"/>
          <w:szCs w:val="20"/>
          <w:rtl/>
        </w:rPr>
        <w:t>–</w:t>
      </w:r>
      <w:r>
        <w:rPr>
          <w:rFonts w:hint="cs"/>
          <w:sz w:val="20"/>
          <w:szCs w:val="20"/>
          <w:rtl/>
        </w:rPr>
        <w:t xml:space="preserve"> עקרה את הווסת.</w:t>
      </w:r>
    </w:p>
    <w:p w:rsidR="00620060" w:rsidRDefault="00620060" w:rsidP="00620060">
      <w:pPr>
        <w:rPr>
          <w:sz w:val="20"/>
          <w:szCs w:val="20"/>
          <w:rtl/>
        </w:rPr>
      </w:pPr>
      <w:r w:rsidRPr="008356D9">
        <w:rPr>
          <w:rStyle w:val="10"/>
          <w:rFonts w:hint="cs"/>
          <w:rtl/>
        </w:rPr>
        <w:t>ז.</w:t>
      </w:r>
      <w:r w:rsidRPr="008356D9">
        <w:rPr>
          <w:rFonts w:hint="cs"/>
          <w:b/>
          <w:bCs/>
          <w:sz w:val="16"/>
          <w:szCs w:val="16"/>
          <w:rtl/>
        </w:rPr>
        <w:t xml:space="preserve"> </w:t>
      </w:r>
      <w:r>
        <w:rPr>
          <w:rFonts w:hint="cs"/>
          <w:b/>
          <w:bCs/>
          <w:sz w:val="20"/>
          <w:szCs w:val="20"/>
          <w:rtl/>
        </w:rPr>
        <w:t>אשה שרואה כמין חצץ אדום במי רגליה</w:t>
      </w:r>
      <w:r>
        <w:rPr>
          <w:b/>
          <w:bCs/>
          <w:sz w:val="20"/>
          <w:szCs w:val="20"/>
          <w:rtl/>
        </w:rPr>
        <w:br/>
      </w:r>
      <w:r w:rsidRPr="00147923">
        <w:rPr>
          <w:rFonts w:hint="cs"/>
          <w:b/>
          <w:bCs/>
          <w:sz w:val="20"/>
          <w:szCs w:val="20"/>
          <w:rtl/>
        </w:rPr>
        <w:t>שו"ת הר"ן</w:t>
      </w:r>
      <w:r>
        <w:rPr>
          <w:rFonts w:hint="cs"/>
          <w:sz w:val="20"/>
          <w:szCs w:val="20"/>
          <w:rtl/>
        </w:rPr>
        <w:t xml:space="preserve"> </w:t>
      </w:r>
      <w:r>
        <w:rPr>
          <w:sz w:val="20"/>
          <w:szCs w:val="20"/>
          <w:rtl/>
        </w:rPr>
        <w:t>–</w:t>
      </w:r>
      <w:r>
        <w:rPr>
          <w:rFonts w:hint="cs"/>
          <w:sz w:val="20"/>
          <w:szCs w:val="20"/>
          <w:rtl/>
        </w:rPr>
        <w:t xml:space="preserve"> אשה שרגילה לראות כמין חצץ אדום במי רגליה ואף על עד הבדיקה </w:t>
      </w:r>
      <w:r>
        <w:rPr>
          <w:sz w:val="20"/>
          <w:szCs w:val="20"/>
          <w:rtl/>
        </w:rPr>
        <w:t>–</w:t>
      </w:r>
      <w:r>
        <w:rPr>
          <w:rFonts w:hint="cs"/>
          <w:sz w:val="20"/>
          <w:szCs w:val="20"/>
          <w:rtl/>
        </w:rPr>
        <w:t xml:space="preserve"> טהורה.</w:t>
      </w:r>
    </w:p>
    <w:p w:rsidR="00620060" w:rsidRDefault="00620060" w:rsidP="00620060">
      <w:pPr>
        <w:rPr>
          <w:sz w:val="20"/>
          <w:szCs w:val="20"/>
          <w:rtl/>
        </w:rPr>
      </w:pPr>
      <w:r>
        <w:rPr>
          <w:rFonts w:hint="cs"/>
          <w:sz w:val="20"/>
          <w:szCs w:val="20"/>
          <w:u w:val="single"/>
          <w:rtl/>
        </w:rPr>
        <w:t>נימוקי התשובה</w:t>
      </w:r>
      <w:r>
        <w:rPr>
          <w:sz w:val="20"/>
          <w:szCs w:val="20"/>
          <w:u w:val="single"/>
          <w:rtl/>
        </w:rPr>
        <w:br/>
      </w:r>
      <w:r>
        <w:rPr>
          <w:rFonts w:hint="cs"/>
          <w:sz w:val="20"/>
          <w:szCs w:val="20"/>
          <w:rtl/>
        </w:rPr>
        <w:t>א. לרבי יוסי יש לטהר, משום שמקרה זה הוא כמקרה שנמצא דם בתוך הספל ועל שפתו, שהרי גם כאן נמצא במי רגליה ועל העד. דעת רבי יוסי לטהר משום שאינו חושש למיעוט, אך רבי מאיר מטמא וקיי"ל כרבי יוסי.</w:t>
      </w:r>
      <w:r>
        <w:rPr>
          <w:rStyle w:val="a5"/>
          <w:sz w:val="20"/>
          <w:szCs w:val="20"/>
          <w:rtl/>
        </w:rPr>
        <w:footnoteReference w:id="361"/>
      </w:r>
      <w:r>
        <w:rPr>
          <w:rFonts w:hint="cs"/>
          <w:sz w:val="20"/>
          <w:szCs w:val="20"/>
          <w:rtl/>
        </w:rPr>
        <w:br/>
        <w:t xml:space="preserve">ב. עוד יש לומר שכאן גם רבי מאיר מטהר </w:t>
      </w:r>
      <w:r>
        <w:rPr>
          <w:sz w:val="20"/>
          <w:szCs w:val="20"/>
          <w:rtl/>
        </w:rPr>
        <w:t>–</w:t>
      </w:r>
      <w:r>
        <w:rPr>
          <w:rFonts w:hint="cs"/>
          <w:sz w:val="20"/>
          <w:szCs w:val="20"/>
          <w:rtl/>
        </w:rPr>
        <w:t xml:space="preserve"> רבי מאיר מטמא רק דם שנמצא בספל ודומה במראהו לדם שיוצא מהאישה בשעת ווסתה, אך כאן יוצא ממנה דם משונה שהרופאים מכירים בו ומפורסם אצלם שאינו דם מקור.</w:t>
      </w:r>
      <w:r>
        <w:rPr>
          <w:rFonts w:hint="cs"/>
          <w:sz w:val="20"/>
          <w:szCs w:val="20"/>
          <w:rtl/>
        </w:rPr>
        <w:br/>
        <w:t>ג. לגבי הרואה דם מחמת תשמיש יש דרך לבודקה האם זהו דם מקור או דם מכה, ואם כן בדיקה הוי דבר שניתן לסמוך עליו, ולכן גם בעניינינו יש לסמוך על כך שמפורסם אצל הרופאים שאין זה דם מקור.</w:t>
      </w:r>
      <w:r>
        <w:rPr>
          <w:sz w:val="20"/>
          <w:szCs w:val="20"/>
          <w:rtl/>
        </w:rPr>
        <w:br/>
      </w:r>
      <w:r>
        <w:rPr>
          <w:rFonts w:hint="cs"/>
          <w:sz w:val="20"/>
          <w:szCs w:val="20"/>
          <w:rtl/>
        </w:rPr>
        <w:t>ד. איתא בפרק תינוקת שאם יש לה מכה תולה במכתה, והוא הדין כאן.</w:t>
      </w:r>
      <w:r>
        <w:rPr>
          <w:rStyle w:val="a5"/>
          <w:sz w:val="20"/>
          <w:szCs w:val="20"/>
          <w:rtl/>
        </w:rPr>
        <w:footnoteReference w:id="362"/>
      </w:r>
      <w:r>
        <w:rPr>
          <w:rFonts w:hint="cs"/>
          <w:sz w:val="20"/>
          <w:szCs w:val="20"/>
          <w:rtl/>
        </w:rPr>
        <w:br/>
        <w:t xml:space="preserve">ה. נימוק נוסף שמעלה </w:t>
      </w:r>
      <w:r w:rsidRPr="003E557E">
        <w:rPr>
          <w:rFonts w:hint="cs"/>
          <w:b/>
          <w:bCs/>
          <w:sz w:val="20"/>
          <w:szCs w:val="20"/>
          <w:rtl/>
        </w:rPr>
        <w:t>הבית יוסף</w:t>
      </w:r>
      <w:r>
        <w:rPr>
          <w:rFonts w:hint="cs"/>
          <w:sz w:val="20"/>
          <w:szCs w:val="20"/>
          <w:rtl/>
        </w:rPr>
        <w:t xml:space="preserve"> </w:t>
      </w:r>
      <w:r>
        <w:rPr>
          <w:sz w:val="20"/>
          <w:szCs w:val="20"/>
          <w:rtl/>
        </w:rPr>
        <w:t>–</w:t>
      </w:r>
      <w:r w:rsidRPr="00BE36DB">
        <w:rPr>
          <w:rFonts w:hint="cs"/>
          <w:b/>
          <w:bCs/>
          <w:sz w:val="20"/>
          <w:szCs w:val="20"/>
          <w:rtl/>
        </w:rPr>
        <w:t xml:space="preserve"> גמרא</w:t>
      </w:r>
      <w:r>
        <w:rPr>
          <w:rFonts w:hint="cs"/>
          <w:sz w:val="20"/>
          <w:szCs w:val="20"/>
          <w:rtl/>
        </w:rPr>
        <w:t xml:space="preserve"> נידה (כב:) "</w:t>
      </w:r>
      <w:r w:rsidRPr="00223886">
        <w:rPr>
          <w:rFonts w:cs="Arial" w:hint="cs"/>
          <w:sz w:val="20"/>
          <w:szCs w:val="20"/>
          <w:rtl/>
        </w:rPr>
        <w:t>תניא</w:t>
      </w:r>
      <w:r w:rsidRPr="00223886">
        <w:rPr>
          <w:rFonts w:cs="Arial"/>
          <w:sz w:val="20"/>
          <w:szCs w:val="20"/>
          <w:rtl/>
        </w:rPr>
        <w:t xml:space="preserve">, </w:t>
      </w:r>
      <w:r w:rsidRPr="00223886">
        <w:rPr>
          <w:rFonts w:cs="Arial" w:hint="cs"/>
          <w:sz w:val="20"/>
          <w:szCs w:val="20"/>
          <w:rtl/>
        </w:rPr>
        <w:t>א</w:t>
      </w:r>
      <w:r>
        <w:rPr>
          <w:rFonts w:cs="Arial" w:hint="cs"/>
          <w:sz w:val="20"/>
          <w:szCs w:val="20"/>
          <w:rtl/>
        </w:rPr>
        <w:t xml:space="preserve">מר </w:t>
      </w:r>
      <w:r w:rsidRPr="00223886">
        <w:rPr>
          <w:rFonts w:cs="Arial" w:hint="cs"/>
          <w:sz w:val="20"/>
          <w:szCs w:val="20"/>
          <w:rtl/>
        </w:rPr>
        <w:t>ר</w:t>
      </w:r>
      <w:r>
        <w:rPr>
          <w:rFonts w:cs="Arial" w:hint="cs"/>
          <w:sz w:val="20"/>
          <w:szCs w:val="20"/>
          <w:rtl/>
        </w:rPr>
        <w:t>בי</w:t>
      </w:r>
      <w:r w:rsidRPr="00223886">
        <w:rPr>
          <w:rFonts w:cs="Arial"/>
          <w:sz w:val="20"/>
          <w:szCs w:val="20"/>
          <w:rtl/>
        </w:rPr>
        <w:t xml:space="preserve"> </w:t>
      </w:r>
      <w:r w:rsidRPr="00223886">
        <w:rPr>
          <w:rFonts w:cs="Arial" w:hint="cs"/>
          <w:sz w:val="20"/>
          <w:szCs w:val="20"/>
          <w:rtl/>
        </w:rPr>
        <w:t>אלעזר</w:t>
      </w:r>
      <w:r w:rsidRPr="00223886">
        <w:rPr>
          <w:rFonts w:cs="Arial"/>
          <w:sz w:val="20"/>
          <w:szCs w:val="20"/>
          <w:rtl/>
        </w:rPr>
        <w:t xml:space="preserve"> </w:t>
      </w:r>
      <w:r w:rsidRPr="00223886">
        <w:rPr>
          <w:rFonts w:cs="Arial" w:hint="cs"/>
          <w:sz w:val="20"/>
          <w:szCs w:val="20"/>
          <w:rtl/>
        </w:rPr>
        <w:t>בר</w:t>
      </w:r>
      <w:r>
        <w:rPr>
          <w:rFonts w:cs="Arial" w:hint="cs"/>
          <w:sz w:val="20"/>
          <w:szCs w:val="20"/>
          <w:rtl/>
        </w:rPr>
        <w:t>בי</w:t>
      </w:r>
      <w:r w:rsidRPr="00223886">
        <w:rPr>
          <w:rFonts w:cs="Arial"/>
          <w:sz w:val="20"/>
          <w:szCs w:val="20"/>
          <w:rtl/>
        </w:rPr>
        <w:t xml:space="preserve"> </w:t>
      </w:r>
      <w:r w:rsidRPr="00223886">
        <w:rPr>
          <w:rFonts w:cs="Arial" w:hint="cs"/>
          <w:sz w:val="20"/>
          <w:szCs w:val="20"/>
          <w:rtl/>
        </w:rPr>
        <w:t>צדוק</w:t>
      </w:r>
      <w:r w:rsidRPr="00223886">
        <w:rPr>
          <w:rFonts w:cs="Arial"/>
          <w:sz w:val="20"/>
          <w:szCs w:val="20"/>
          <w:rtl/>
        </w:rPr>
        <w:t xml:space="preserve">, </w:t>
      </w:r>
      <w:r w:rsidRPr="00223886">
        <w:rPr>
          <w:rFonts w:cs="Arial" w:hint="cs"/>
          <w:sz w:val="20"/>
          <w:szCs w:val="20"/>
          <w:rtl/>
        </w:rPr>
        <w:t>שני</w:t>
      </w:r>
      <w:r w:rsidRPr="00223886">
        <w:rPr>
          <w:rFonts w:cs="Arial"/>
          <w:sz w:val="20"/>
          <w:szCs w:val="20"/>
          <w:rtl/>
        </w:rPr>
        <w:t xml:space="preserve"> </w:t>
      </w:r>
      <w:r w:rsidRPr="00223886">
        <w:rPr>
          <w:rFonts w:cs="Arial" w:hint="cs"/>
          <w:sz w:val="20"/>
          <w:szCs w:val="20"/>
          <w:rtl/>
        </w:rPr>
        <w:t>מעשים</w:t>
      </w:r>
      <w:r w:rsidRPr="00223886">
        <w:rPr>
          <w:rFonts w:cs="Arial"/>
          <w:sz w:val="20"/>
          <w:szCs w:val="20"/>
          <w:rtl/>
        </w:rPr>
        <w:t xml:space="preserve"> </w:t>
      </w:r>
      <w:r w:rsidRPr="00223886">
        <w:rPr>
          <w:rFonts w:cs="Arial" w:hint="cs"/>
          <w:sz w:val="20"/>
          <w:szCs w:val="20"/>
          <w:rtl/>
        </w:rPr>
        <w:t>העלה</w:t>
      </w:r>
      <w:r w:rsidRPr="00223886">
        <w:rPr>
          <w:rFonts w:cs="Arial"/>
          <w:sz w:val="20"/>
          <w:szCs w:val="20"/>
          <w:rtl/>
        </w:rPr>
        <w:t xml:space="preserve"> </w:t>
      </w:r>
      <w:r w:rsidRPr="00223886">
        <w:rPr>
          <w:rFonts w:cs="Arial" w:hint="cs"/>
          <w:sz w:val="20"/>
          <w:szCs w:val="20"/>
          <w:rtl/>
        </w:rPr>
        <w:t>אבא</w:t>
      </w:r>
      <w:r w:rsidRPr="00223886">
        <w:rPr>
          <w:rFonts w:cs="Arial"/>
          <w:sz w:val="20"/>
          <w:szCs w:val="20"/>
          <w:rtl/>
        </w:rPr>
        <w:t xml:space="preserve"> </w:t>
      </w:r>
      <w:r w:rsidRPr="00223886">
        <w:rPr>
          <w:rFonts w:cs="Arial" w:hint="cs"/>
          <w:sz w:val="20"/>
          <w:szCs w:val="20"/>
          <w:rtl/>
        </w:rPr>
        <w:t>מטבעין</w:t>
      </w:r>
      <w:r w:rsidRPr="00223886">
        <w:rPr>
          <w:rFonts w:cs="Arial"/>
          <w:sz w:val="20"/>
          <w:szCs w:val="20"/>
          <w:rtl/>
        </w:rPr>
        <w:t xml:space="preserve"> </w:t>
      </w:r>
      <w:r w:rsidRPr="00223886">
        <w:rPr>
          <w:rFonts w:cs="Arial" w:hint="cs"/>
          <w:sz w:val="20"/>
          <w:szCs w:val="20"/>
          <w:rtl/>
        </w:rPr>
        <w:t>ליבנה</w:t>
      </w:r>
      <w:r w:rsidRPr="00223886">
        <w:rPr>
          <w:rFonts w:cs="Arial"/>
          <w:sz w:val="20"/>
          <w:szCs w:val="20"/>
          <w:rtl/>
        </w:rPr>
        <w:t xml:space="preserve">: </w:t>
      </w:r>
      <w:r w:rsidRPr="00223886">
        <w:rPr>
          <w:rFonts w:cs="Arial" w:hint="cs"/>
          <w:sz w:val="20"/>
          <w:szCs w:val="20"/>
          <w:rtl/>
        </w:rPr>
        <w:t>מעשה</w:t>
      </w:r>
      <w:r w:rsidRPr="00223886">
        <w:rPr>
          <w:rFonts w:cs="Arial"/>
          <w:sz w:val="20"/>
          <w:szCs w:val="20"/>
          <w:rtl/>
        </w:rPr>
        <w:t xml:space="preserve"> </w:t>
      </w:r>
      <w:r w:rsidRPr="00223886">
        <w:rPr>
          <w:rFonts w:cs="Arial" w:hint="cs"/>
          <w:sz w:val="20"/>
          <w:szCs w:val="20"/>
          <w:rtl/>
        </w:rPr>
        <w:t>באשה</w:t>
      </w:r>
      <w:r w:rsidRPr="00223886">
        <w:rPr>
          <w:rFonts w:cs="Arial"/>
          <w:sz w:val="20"/>
          <w:szCs w:val="20"/>
          <w:rtl/>
        </w:rPr>
        <w:t xml:space="preserve"> </w:t>
      </w:r>
      <w:r w:rsidRPr="00223886">
        <w:rPr>
          <w:rFonts w:cs="Arial" w:hint="cs"/>
          <w:sz w:val="20"/>
          <w:szCs w:val="20"/>
          <w:rtl/>
        </w:rPr>
        <w:t>שהיתה</w:t>
      </w:r>
      <w:r w:rsidRPr="00223886">
        <w:rPr>
          <w:rFonts w:cs="Arial"/>
          <w:sz w:val="20"/>
          <w:szCs w:val="20"/>
          <w:rtl/>
        </w:rPr>
        <w:t xml:space="preserve"> </w:t>
      </w:r>
      <w:r w:rsidRPr="00223886">
        <w:rPr>
          <w:rFonts w:cs="Arial" w:hint="cs"/>
          <w:sz w:val="20"/>
          <w:szCs w:val="20"/>
          <w:rtl/>
        </w:rPr>
        <w:t>מפלת</w:t>
      </w:r>
      <w:r w:rsidRPr="00223886">
        <w:rPr>
          <w:rFonts w:cs="Arial"/>
          <w:sz w:val="20"/>
          <w:szCs w:val="20"/>
          <w:rtl/>
        </w:rPr>
        <w:t xml:space="preserve"> </w:t>
      </w:r>
      <w:r w:rsidRPr="00223886">
        <w:rPr>
          <w:rFonts w:cs="Arial" w:hint="cs"/>
          <w:sz w:val="20"/>
          <w:szCs w:val="20"/>
          <w:rtl/>
        </w:rPr>
        <w:t>כמין</w:t>
      </w:r>
      <w:r w:rsidRPr="00223886">
        <w:rPr>
          <w:rFonts w:cs="Arial"/>
          <w:sz w:val="20"/>
          <w:szCs w:val="20"/>
          <w:rtl/>
        </w:rPr>
        <w:t xml:space="preserve"> </w:t>
      </w:r>
      <w:r w:rsidRPr="00223886">
        <w:rPr>
          <w:rFonts w:cs="Arial" w:hint="cs"/>
          <w:sz w:val="20"/>
          <w:szCs w:val="20"/>
          <w:rtl/>
        </w:rPr>
        <w:t>קליפות</w:t>
      </w:r>
      <w:r w:rsidRPr="00223886">
        <w:rPr>
          <w:rFonts w:cs="Arial"/>
          <w:sz w:val="20"/>
          <w:szCs w:val="20"/>
          <w:rtl/>
        </w:rPr>
        <w:t xml:space="preserve"> </w:t>
      </w:r>
      <w:r w:rsidRPr="00223886">
        <w:rPr>
          <w:rFonts w:cs="Arial" w:hint="cs"/>
          <w:sz w:val="20"/>
          <w:szCs w:val="20"/>
          <w:rtl/>
        </w:rPr>
        <w:t>אדומות</w:t>
      </w:r>
      <w:r w:rsidRPr="00223886">
        <w:rPr>
          <w:rFonts w:cs="Arial"/>
          <w:sz w:val="20"/>
          <w:szCs w:val="20"/>
          <w:rtl/>
        </w:rPr>
        <w:t xml:space="preserve">, </w:t>
      </w:r>
      <w:r w:rsidRPr="00223886">
        <w:rPr>
          <w:rFonts w:cs="Arial" w:hint="cs"/>
          <w:sz w:val="20"/>
          <w:szCs w:val="20"/>
          <w:rtl/>
        </w:rPr>
        <w:t>ובאו</w:t>
      </w:r>
      <w:r w:rsidRPr="00223886">
        <w:rPr>
          <w:rFonts w:cs="Arial"/>
          <w:sz w:val="20"/>
          <w:szCs w:val="20"/>
          <w:rtl/>
        </w:rPr>
        <w:t xml:space="preserve"> </w:t>
      </w:r>
      <w:r w:rsidRPr="00223886">
        <w:rPr>
          <w:rFonts w:cs="Arial" w:hint="cs"/>
          <w:sz w:val="20"/>
          <w:szCs w:val="20"/>
          <w:rtl/>
        </w:rPr>
        <w:t>ושאלו</w:t>
      </w:r>
      <w:r w:rsidRPr="00223886">
        <w:rPr>
          <w:rFonts w:cs="Arial"/>
          <w:sz w:val="20"/>
          <w:szCs w:val="20"/>
          <w:rtl/>
        </w:rPr>
        <w:t xml:space="preserve"> </w:t>
      </w:r>
      <w:r w:rsidRPr="00223886">
        <w:rPr>
          <w:rFonts w:cs="Arial" w:hint="cs"/>
          <w:sz w:val="20"/>
          <w:szCs w:val="20"/>
          <w:rtl/>
        </w:rPr>
        <w:t>את</w:t>
      </w:r>
      <w:r w:rsidRPr="00223886">
        <w:rPr>
          <w:rFonts w:cs="Arial"/>
          <w:sz w:val="20"/>
          <w:szCs w:val="20"/>
          <w:rtl/>
        </w:rPr>
        <w:t xml:space="preserve"> </w:t>
      </w:r>
      <w:r w:rsidRPr="00223886">
        <w:rPr>
          <w:rFonts w:cs="Arial" w:hint="cs"/>
          <w:sz w:val="20"/>
          <w:szCs w:val="20"/>
          <w:rtl/>
        </w:rPr>
        <w:t>אבא</w:t>
      </w:r>
      <w:r w:rsidRPr="00223886">
        <w:rPr>
          <w:rFonts w:cs="Arial"/>
          <w:sz w:val="20"/>
          <w:szCs w:val="20"/>
          <w:rtl/>
        </w:rPr>
        <w:t xml:space="preserve">, </w:t>
      </w:r>
      <w:r w:rsidRPr="00223886">
        <w:rPr>
          <w:rFonts w:cs="Arial" w:hint="cs"/>
          <w:sz w:val="20"/>
          <w:szCs w:val="20"/>
          <w:rtl/>
        </w:rPr>
        <w:t>ואבא</w:t>
      </w:r>
      <w:r w:rsidRPr="00223886">
        <w:rPr>
          <w:rFonts w:cs="Arial"/>
          <w:sz w:val="20"/>
          <w:szCs w:val="20"/>
          <w:rtl/>
        </w:rPr>
        <w:t xml:space="preserve"> </w:t>
      </w:r>
      <w:r w:rsidRPr="00223886">
        <w:rPr>
          <w:rFonts w:cs="Arial" w:hint="cs"/>
          <w:sz w:val="20"/>
          <w:szCs w:val="20"/>
          <w:rtl/>
        </w:rPr>
        <w:t>שאל</w:t>
      </w:r>
      <w:r w:rsidRPr="00223886">
        <w:rPr>
          <w:rFonts w:cs="Arial"/>
          <w:sz w:val="20"/>
          <w:szCs w:val="20"/>
          <w:rtl/>
        </w:rPr>
        <w:t xml:space="preserve"> </w:t>
      </w:r>
      <w:r w:rsidRPr="00223886">
        <w:rPr>
          <w:rFonts w:cs="Arial" w:hint="cs"/>
          <w:sz w:val="20"/>
          <w:szCs w:val="20"/>
          <w:rtl/>
        </w:rPr>
        <w:t>לחכמים</w:t>
      </w:r>
      <w:r w:rsidRPr="00223886">
        <w:rPr>
          <w:rFonts w:cs="Arial"/>
          <w:sz w:val="20"/>
          <w:szCs w:val="20"/>
          <w:rtl/>
        </w:rPr>
        <w:t xml:space="preserve">, </w:t>
      </w:r>
      <w:r w:rsidRPr="00223886">
        <w:rPr>
          <w:rFonts w:cs="Arial" w:hint="cs"/>
          <w:sz w:val="20"/>
          <w:szCs w:val="20"/>
          <w:rtl/>
        </w:rPr>
        <w:t>וחכמים</w:t>
      </w:r>
      <w:r w:rsidRPr="00223886">
        <w:rPr>
          <w:rFonts w:cs="Arial"/>
          <w:sz w:val="20"/>
          <w:szCs w:val="20"/>
          <w:rtl/>
        </w:rPr>
        <w:t xml:space="preserve"> </w:t>
      </w:r>
      <w:r w:rsidRPr="00223886">
        <w:rPr>
          <w:rFonts w:cs="Arial" w:hint="cs"/>
          <w:sz w:val="20"/>
          <w:szCs w:val="20"/>
          <w:rtl/>
        </w:rPr>
        <w:t>שאלו</w:t>
      </w:r>
      <w:r w:rsidRPr="00223886">
        <w:rPr>
          <w:rFonts w:cs="Arial"/>
          <w:sz w:val="20"/>
          <w:szCs w:val="20"/>
          <w:rtl/>
        </w:rPr>
        <w:t xml:space="preserve"> </w:t>
      </w:r>
      <w:r w:rsidRPr="00223886">
        <w:rPr>
          <w:rFonts w:cs="Arial" w:hint="cs"/>
          <w:sz w:val="20"/>
          <w:szCs w:val="20"/>
          <w:rtl/>
        </w:rPr>
        <w:t>לרופאים</w:t>
      </w:r>
      <w:r w:rsidRPr="00223886">
        <w:rPr>
          <w:rFonts w:cs="Arial"/>
          <w:sz w:val="20"/>
          <w:szCs w:val="20"/>
          <w:rtl/>
        </w:rPr>
        <w:t xml:space="preserve">, </w:t>
      </w:r>
      <w:r w:rsidRPr="00223886">
        <w:rPr>
          <w:rFonts w:cs="Arial" w:hint="cs"/>
          <w:sz w:val="20"/>
          <w:szCs w:val="20"/>
          <w:rtl/>
        </w:rPr>
        <w:t>ואמרו</w:t>
      </w:r>
      <w:r w:rsidRPr="00223886">
        <w:rPr>
          <w:rFonts w:cs="Arial"/>
          <w:sz w:val="20"/>
          <w:szCs w:val="20"/>
          <w:rtl/>
        </w:rPr>
        <w:t xml:space="preserve"> </w:t>
      </w:r>
      <w:r w:rsidRPr="00223886">
        <w:rPr>
          <w:rFonts w:cs="Arial" w:hint="cs"/>
          <w:sz w:val="20"/>
          <w:szCs w:val="20"/>
          <w:rtl/>
        </w:rPr>
        <w:t>להם</w:t>
      </w:r>
      <w:r w:rsidRPr="00223886">
        <w:rPr>
          <w:rFonts w:cs="Arial"/>
          <w:sz w:val="20"/>
          <w:szCs w:val="20"/>
          <w:rtl/>
        </w:rPr>
        <w:t xml:space="preserve">: </w:t>
      </w:r>
      <w:r w:rsidRPr="00223886">
        <w:rPr>
          <w:rFonts w:cs="Arial" w:hint="cs"/>
          <w:sz w:val="20"/>
          <w:szCs w:val="20"/>
          <w:rtl/>
        </w:rPr>
        <w:t>אשה</w:t>
      </w:r>
      <w:r w:rsidRPr="00223886">
        <w:rPr>
          <w:rFonts w:cs="Arial"/>
          <w:sz w:val="20"/>
          <w:szCs w:val="20"/>
          <w:rtl/>
        </w:rPr>
        <w:t xml:space="preserve"> </w:t>
      </w:r>
      <w:r w:rsidRPr="00223886">
        <w:rPr>
          <w:rFonts w:cs="Arial" w:hint="cs"/>
          <w:sz w:val="20"/>
          <w:szCs w:val="20"/>
          <w:rtl/>
        </w:rPr>
        <w:t>זו</w:t>
      </w:r>
      <w:r w:rsidRPr="00223886">
        <w:rPr>
          <w:rFonts w:cs="Arial"/>
          <w:sz w:val="20"/>
          <w:szCs w:val="20"/>
          <w:rtl/>
        </w:rPr>
        <w:t xml:space="preserve"> </w:t>
      </w:r>
      <w:r w:rsidRPr="00223886">
        <w:rPr>
          <w:rFonts w:cs="Arial" w:hint="cs"/>
          <w:sz w:val="20"/>
          <w:szCs w:val="20"/>
          <w:rtl/>
        </w:rPr>
        <w:t>מכה</w:t>
      </w:r>
      <w:r w:rsidRPr="00223886">
        <w:rPr>
          <w:rFonts w:cs="Arial"/>
          <w:sz w:val="20"/>
          <w:szCs w:val="20"/>
          <w:rtl/>
        </w:rPr>
        <w:t xml:space="preserve"> </w:t>
      </w:r>
      <w:r w:rsidRPr="00223886">
        <w:rPr>
          <w:rFonts w:cs="Arial" w:hint="cs"/>
          <w:sz w:val="20"/>
          <w:szCs w:val="20"/>
          <w:rtl/>
        </w:rPr>
        <w:t>יש</w:t>
      </w:r>
      <w:r w:rsidRPr="00223886">
        <w:rPr>
          <w:rFonts w:cs="Arial"/>
          <w:sz w:val="20"/>
          <w:szCs w:val="20"/>
          <w:rtl/>
        </w:rPr>
        <w:t xml:space="preserve"> </w:t>
      </w:r>
      <w:r w:rsidRPr="00223886">
        <w:rPr>
          <w:rFonts w:cs="Arial" w:hint="cs"/>
          <w:sz w:val="20"/>
          <w:szCs w:val="20"/>
          <w:rtl/>
        </w:rPr>
        <w:t>לה</w:t>
      </w:r>
      <w:r w:rsidRPr="00223886">
        <w:rPr>
          <w:rFonts w:cs="Arial"/>
          <w:sz w:val="20"/>
          <w:szCs w:val="20"/>
          <w:rtl/>
        </w:rPr>
        <w:t xml:space="preserve"> </w:t>
      </w:r>
      <w:r w:rsidRPr="00223886">
        <w:rPr>
          <w:rFonts w:cs="Arial" w:hint="cs"/>
          <w:sz w:val="20"/>
          <w:szCs w:val="20"/>
          <w:rtl/>
        </w:rPr>
        <w:t>בתוך</w:t>
      </w:r>
      <w:r w:rsidRPr="00223886">
        <w:rPr>
          <w:rFonts w:cs="Arial"/>
          <w:sz w:val="20"/>
          <w:szCs w:val="20"/>
          <w:rtl/>
        </w:rPr>
        <w:t xml:space="preserve"> </w:t>
      </w:r>
      <w:r w:rsidRPr="00223886">
        <w:rPr>
          <w:rFonts w:cs="Arial" w:hint="cs"/>
          <w:sz w:val="20"/>
          <w:szCs w:val="20"/>
          <w:rtl/>
        </w:rPr>
        <w:t>מעיה</w:t>
      </w:r>
      <w:r w:rsidRPr="00223886">
        <w:rPr>
          <w:rFonts w:cs="Arial"/>
          <w:sz w:val="20"/>
          <w:szCs w:val="20"/>
          <w:rtl/>
        </w:rPr>
        <w:t xml:space="preserve"> </w:t>
      </w:r>
      <w:r w:rsidRPr="00223886">
        <w:rPr>
          <w:rFonts w:cs="Arial" w:hint="cs"/>
          <w:sz w:val="20"/>
          <w:szCs w:val="20"/>
          <w:rtl/>
        </w:rPr>
        <w:t>שממנה</w:t>
      </w:r>
      <w:r w:rsidRPr="00223886">
        <w:rPr>
          <w:rFonts w:cs="Arial"/>
          <w:sz w:val="20"/>
          <w:szCs w:val="20"/>
          <w:rtl/>
        </w:rPr>
        <w:t xml:space="preserve"> </w:t>
      </w:r>
      <w:r w:rsidRPr="00223886">
        <w:rPr>
          <w:rFonts w:cs="Arial" w:hint="cs"/>
          <w:sz w:val="20"/>
          <w:szCs w:val="20"/>
          <w:rtl/>
        </w:rPr>
        <w:t>מפלת</w:t>
      </w:r>
      <w:r w:rsidRPr="00223886">
        <w:rPr>
          <w:rFonts w:cs="Arial"/>
          <w:sz w:val="20"/>
          <w:szCs w:val="20"/>
          <w:rtl/>
        </w:rPr>
        <w:t xml:space="preserve"> </w:t>
      </w:r>
      <w:r w:rsidRPr="00223886">
        <w:rPr>
          <w:rFonts w:cs="Arial" w:hint="cs"/>
          <w:sz w:val="20"/>
          <w:szCs w:val="20"/>
          <w:rtl/>
        </w:rPr>
        <w:t>כמין</w:t>
      </w:r>
      <w:r w:rsidRPr="00223886">
        <w:rPr>
          <w:rFonts w:cs="Arial"/>
          <w:sz w:val="20"/>
          <w:szCs w:val="20"/>
          <w:rtl/>
        </w:rPr>
        <w:t xml:space="preserve"> </w:t>
      </w:r>
      <w:r w:rsidRPr="00223886">
        <w:rPr>
          <w:rFonts w:cs="Arial" w:hint="cs"/>
          <w:sz w:val="20"/>
          <w:szCs w:val="20"/>
          <w:rtl/>
        </w:rPr>
        <w:t>קליפות</w:t>
      </w:r>
      <w:r w:rsidRPr="00223886">
        <w:rPr>
          <w:rFonts w:cs="Arial"/>
          <w:sz w:val="20"/>
          <w:szCs w:val="20"/>
          <w:rtl/>
        </w:rPr>
        <w:t xml:space="preserve">, </w:t>
      </w:r>
      <w:r w:rsidRPr="00223886">
        <w:rPr>
          <w:rFonts w:cs="Arial" w:hint="cs"/>
          <w:sz w:val="20"/>
          <w:szCs w:val="20"/>
          <w:rtl/>
        </w:rPr>
        <w:t>תטיל</w:t>
      </w:r>
      <w:r w:rsidRPr="00223886">
        <w:rPr>
          <w:rFonts w:cs="Arial"/>
          <w:sz w:val="20"/>
          <w:szCs w:val="20"/>
          <w:rtl/>
        </w:rPr>
        <w:t xml:space="preserve"> </w:t>
      </w:r>
      <w:r w:rsidRPr="00223886">
        <w:rPr>
          <w:rFonts w:cs="Arial" w:hint="cs"/>
          <w:sz w:val="20"/>
          <w:szCs w:val="20"/>
          <w:rtl/>
        </w:rPr>
        <w:t>למים</w:t>
      </w:r>
      <w:r w:rsidRPr="00223886">
        <w:rPr>
          <w:rFonts w:cs="Arial"/>
          <w:sz w:val="20"/>
          <w:szCs w:val="20"/>
          <w:rtl/>
        </w:rPr>
        <w:t xml:space="preserve">, </w:t>
      </w:r>
      <w:r w:rsidRPr="00223886">
        <w:rPr>
          <w:rFonts w:cs="Arial" w:hint="cs"/>
          <w:sz w:val="20"/>
          <w:szCs w:val="20"/>
          <w:rtl/>
        </w:rPr>
        <w:t>אם</w:t>
      </w:r>
      <w:r w:rsidRPr="00223886">
        <w:rPr>
          <w:rFonts w:cs="Arial"/>
          <w:sz w:val="20"/>
          <w:szCs w:val="20"/>
          <w:rtl/>
        </w:rPr>
        <w:t xml:space="preserve"> </w:t>
      </w:r>
      <w:r w:rsidRPr="00223886">
        <w:rPr>
          <w:rFonts w:cs="Arial" w:hint="cs"/>
          <w:sz w:val="20"/>
          <w:szCs w:val="20"/>
          <w:rtl/>
        </w:rPr>
        <w:t>נמוחו</w:t>
      </w:r>
      <w:r w:rsidRPr="00223886">
        <w:rPr>
          <w:rFonts w:cs="Arial"/>
          <w:sz w:val="20"/>
          <w:szCs w:val="20"/>
          <w:rtl/>
        </w:rPr>
        <w:t xml:space="preserve"> </w:t>
      </w:r>
      <w:r>
        <w:rPr>
          <w:rFonts w:cs="Arial"/>
          <w:sz w:val="20"/>
          <w:szCs w:val="20"/>
          <w:rtl/>
        </w:rPr>
        <w:t>–</w:t>
      </w:r>
      <w:r w:rsidRPr="00223886">
        <w:rPr>
          <w:rFonts w:cs="Arial"/>
          <w:sz w:val="20"/>
          <w:szCs w:val="20"/>
          <w:rtl/>
        </w:rPr>
        <w:t xml:space="preserve"> </w:t>
      </w:r>
      <w:r w:rsidRPr="00223886">
        <w:rPr>
          <w:rFonts w:cs="Arial" w:hint="cs"/>
          <w:sz w:val="20"/>
          <w:szCs w:val="20"/>
          <w:rtl/>
        </w:rPr>
        <w:t>טמאה</w:t>
      </w:r>
      <w:r>
        <w:rPr>
          <w:rFonts w:cs="Arial" w:hint="cs"/>
          <w:sz w:val="20"/>
          <w:szCs w:val="20"/>
          <w:rtl/>
        </w:rPr>
        <w:t>".</w:t>
      </w:r>
      <w:r>
        <w:rPr>
          <w:rFonts w:hint="cs"/>
          <w:sz w:val="20"/>
          <w:szCs w:val="20"/>
          <w:rtl/>
        </w:rPr>
        <w:br/>
        <w:t>טעמם של הרופאים הוא, משום שאין דרך אשה להפיל חתיכות משונות כאלו, ולכן פשוט להם שהחתיכות באות לה מחמת מכה, והוא הדין כאן.</w:t>
      </w:r>
      <w:r>
        <w:rPr>
          <w:rStyle w:val="a5"/>
          <w:sz w:val="20"/>
          <w:szCs w:val="20"/>
          <w:rtl/>
        </w:rPr>
        <w:footnoteReference w:id="363"/>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רמ"א</w:t>
      </w:r>
      <w:r w:rsidRPr="00683762">
        <w:rPr>
          <w:rFonts w:hint="cs"/>
          <w:b/>
          <w:bCs/>
          <w:sz w:val="18"/>
          <w:szCs w:val="18"/>
          <w:rtl/>
        </w:rPr>
        <w:t xml:space="preserve"> </w:t>
      </w:r>
      <w:r w:rsidRPr="00683762">
        <w:rPr>
          <w:sz w:val="18"/>
          <w:szCs w:val="18"/>
          <w:rtl/>
        </w:rPr>
        <w:t>–</w:t>
      </w:r>
      <w:r w:rsidRPr="00683762">
        <w:rPr>
          <w:rFonts w:hint="cs"/>
          <w:sz w:val="18"/>
          <w:szCs w:val="18"/>
          <w:rtl/>
        </w:rPr>
        <w:t xml:space="preserve"> "</w:t>
      </w:r>
      <w:r w:rsidRPr="00683762">
        <w:rPr>
          <w:rFonts w:cs="Arial" w:hint="cs"/>
          <w:sz w:val="18"/>
          <w:szCs w:val="18"/>
          <w:rtl/>
        </w:rPr>
        <w:t>ואם</w:t>
      </w:r>
      <w:r w:rsidRPr="00683762">
        <w:rPr>
          <w:rFonts w:cs="Arial"/>
          <w:sz w:val="18"/>
          <w:szCs w:val="18"/>
          <w:rtl/>
        </w:rPr>
        <w:t xml:space="preserve"> </w:t>
      </w:r>
      <w:r w:rsidRPr="00683762">
        <w:rPr>
          <w:rFonts w:cs="Arial" w:hint="cs"/>
          <w:sz w:val="18"/>
          <w:szCs w:val="18"/>
          <w:rtl/>
        </w:rPr>
        <w:t>אינה</w:t>
      </w:r>
      <w:r w:rsidRPr="00683762">
        <w:rPr>
          <w:rFonts w:cs="Arial"/>
          <w:sz w:val="18"/>
          <w:szCs w:val="18"/>
          <w:rtl/>
        </w:rPr>
        <w:t xml:space="preserve"> </w:t>
      </w:r>
      <w:r w:rsidRPr="00683762">
        <w:rPr>
          <w:rFonts w:cs="Arial" w:hint="cs"/>
          <w:sz w:val="18"/>
          <w:szCs w:val="18"/>
          <w:rtl/>
        </w:rPr>
        <w:t>מוצאה</w:t>
      </w:r>
      <w:r w:rsidRPr="00683762">
        <w:rPr>
          <w:rFonts w:cs="Arial"/>
          <w:sz w:val="18"/>
          <w:szCs w:val="18"/>
          <w:rtl/>
        </w:rPr>
        <w:t xml:space="preserve"> </w:t>
      </w:r>
      <w:r w:rsidRPr="00683762">
        <w:rPr>
          <w:rFonts w:cs="Arial" w:hint="cs"/>
          <w:sz w:val="18"/>
          <w:szCs w:val="18"/>
          <w:rtl/>
        </w:rPr>
        <w:t>דם</w:t>
      </w:r>
      <w:r w:rsidRPr="00683762">
        <w:rPr>
          <w:rFonts w:cs="Arial"/>
          <w:sz w:val="18"/>
          <w:szCs w:val="18"/>
          <w:rtl/>
        </w:rPr>
        <w:t xml:space="preserve"> </w:t>
      </w:r>
      <w:r w:rsidRPr="00683762">
        <w:rPr>
          <w:rFonts w:cs="Arial" w:hint="cs"/>
          <w:sz w:val="18"/>
          <w:szCs w:val="18"/>
          <w:rtl/>
        </w:rPr>
        <w:t>אח</w:t>
      </w:r>
      <w:r>
        <w:rPr>
          <w:rFonts w:cs="Arial" w:hint="cs"/>
          <w:sz w:val="18"/>
          <w:szCs w:val="18"/>
          <w:rtl/>
        </w:rPr>
        <w:t xml:space="preserve">ר </w:t>
      </w:r>
      <w:r w:rsidRPr="00683762">
        <w:rPr>
          <w:rFonts w:cs="Arial" w:hint="cs"/>
          <w:sz w:val="18"/>
          <w:szCs w:val="18"/>
          <w:rtl/>
        </w:rPr>
        <w:t>כ</w:t>
      </w:r>
      <w:r>
        <w:rPr>
          <w:rFonts w:cs="Arial" w:hint="cs"/>
          <w:sz w:val="18"/>
          <w:szCs w:val="18"/>
          <w:rtl/>
        </w:rPr>
        <w:t>ך</w:t>
      </w:r>
      <w:r w:rsidRPr="00683762">
        <w:rPr>
          <w:rFonts w:cs="Arial"/>
          <w:sz w:val="18"/>
          <w:szCs w:val="18"/>
          <w:rtl/>
        </w:rPr>
        <w:t xml:space="preserve"> </w:t>
      </w:r>
      <w:r w:rsidRPr="00683762">
        <w:rPr>
          <w:rFonts w:cs="Arial" w:hint="cs"/>
          <w:sz w:val="18"/>
          <w:szCs w:val="18"/>
          <w:rtl/>
        </w:rPr>
        <w:t>כשבודקת</w:t>
      </w:r>
      <w:r w:rsidRPr="00683762">
        <w:rPr>
          <w:rFonts w:cs="Arial"/>
          <w:sz w:val="18"/>
          <w:szCs w:val="18"/>
          <w:rtl/>
        </w:rPr>
        <w:t xml:space="preserve"> </w:t>
      </w:r>
      <w:r w:rsidRPr="00683762">
        <w:rPr>
          <w:rFonts w:cs="Arial" w:hint="cs"/>
          <w:sz w:val="18"/>
          <w:szCs w:val="18"/>
          <w:rtl/>
        </w:rPr>
        <w:t>עצמה</w:t>
      </w:r>
      <w:r w:rsidRPr="00683762">
        <w:rPr>
          <w:rFonts w:cs="Arial"/>
          <w:sz w:val="18"/>
          <w:szCs w:val="18"/>
          <w:rtl/>
        </w:rPr>
        <w:t xml:space="preserve">, </w:t>
      </w:r>
      <w:r w:rsidRPr="00683762">
        <w:rPr>
          <w:rFonts w:cs="Arial" w:hint="cs"/>
          <w:sz w:val="18"/>
          <w:szCs w:val="18"/>
          <w:rtl/>
        </w:rPr>
        <w:t>רק</w:t>
      </w:r>
      <w:r w:rsidRPr="00683762">
        <w:rPr>
          <w:rFonts w:cs="Arial"/>
          <w:sz w:val="18"/>
          <w:szCs w:val="18"/>
          <w:rtl/>
        </w:rPr>
        <w:t xml:space="preserve"> </w:t>
      </w:r>
      <w:r w:rsidRPr="00683762">
        <w:rPr>
          <w:rFonts w:cs="Arial" w:hint="cs"/>
          <w:sz w:val="18"/>
          <w:szCs w:val="18"/>
          <w:rtl/>
        </w:rPr>
        <w:t>קרטין</w:t>
      </w:r>
      <w:r w:rsidRPr="00683762">
        <w:rPr>
          <w:rFonts w:cs="Arial"/>
          <w:sz w:val="18"/>
          <w:szCs w:val="18"/>
          <w:rtl/>
        </w:rPr>
        <w:t xml:space="preserve"> </w:t>
      </w:r>
      <w:r w:rsidRPr="00683762">
        <w:rPr>
          <w:rFonts w:cs="Arial" w:hint="cs"/>
          <w:sz w:val="18"/>
          <w:szCs w:val="18"/>
          <w:rtl/>
        </w:rPr>
        <w:t>קרטין</w:t>
      </w:r>
      <w:r w:rsidRPr="00683762">
        <w:rPr>
          <w:rFonts w:cs="Arial"/>
          <w:sz w:val="18"/>
          <w:szCs w:val="18"/>
          <w:rtl/>
        </w:rPr>
        <w:t xml:space="preserve"> </w:t>
      </w:r>
      <w:r w:rsidRPr="00683762">
        <w:rPr>
          <w:rFonts w:cs="Arial" w:hint="cs"/>
          <w:sz w:val="18"/>
          <w:szCs w:val="18"/>
          <w:rtl/>
        </w:rPr>
        <w:t>כמו</w:t>
      </w:r>
      <w:r w:rsidRPr="00683762">
        <w:rPr>
          <w:rFonts w:cs="Arial"/>
          <w:sz w:val="18"/>
          <w:szCs w:val="18"/>
          <w:rtl/>
        </w:rPr>
        <w:t xml:space="preserve"> </w:t>
      </w:r>
      <w:r w:rsidRPr="00683762">
        <w:rPr>
          <w:rFonts w:cs="Arial" w:hint="cs"/>
          <w:sz w:val="18"/>
          <w:szCs w:val="18"/>
          <w:rtl/>
        </w:rPr>
        <w:t>חול</w:t>
      </w:r>
      <w:r w:rsidRPr="00683762">
        <w:rPr>
          <w:rFonts w:cs="Arial"/>
          <w:sz w:val="18"/>
          <w:szCs w:val="18"/>
          <w:rtl/>
        </w:rPr>
        <w:t xml:space="preserve"> </w:t>
      </w:r>
      <w:r w:rsidRPr="00683762">
        <w:rPr>
          <w:rFonts w:cs="Arial" w:hint="cs"/>
          <w:sz w:val="18"/>
          <w:szCs w:val="18"/>
          <w:rtl/>
        </w:rPr>
        <w:t>וחצץ</w:t>
      </w:r>
      <w:r w:rsidRPr="00683762">
        <w:rPr>
          <w:rFonts w:cs="Arial"/>
          <w:sz w:val="18"/>
          <w:szCs w:val="18"/>
          <w:rtl/>
        </w:rPr>
        <w:t xml:space="preserve"> </w:t>
      </w:r>
      <w:r w:rsidRPr="00683762">
        <w:rPr>
          <w:rFonts w:cs="Arial" w:hint="cs"/>
          <w:sz w:val="18"/>
          <w:szCs w:val="18"/>
          <w:rtl/>
        </w:rPr>
        <w:t>אדום</w:t>
      </w:r>
      <w:r w:rsidRPr="00683762">
        <w:rPr>
          <w:rFonts w:cs="Arial"/>
          <w:sz w:val="18"/>
          <w:szCs w:val="18"/>
          <w:rtl/>
        </w:rPr>
        <w:t xml:space="preserve">, </w:t>
      </w:r>
      <w:r w:rsidRPr="00683762">
        <w:rPr>
          <w:rFonts w:cs="Arial" w:hint="cs"/>
          <w:sz w:val="18"/>
          <w:szCs w:val="18"/>
          <w:rtl/>
        </w:rPr>
        <w:t>ונמצא</w:t>
      </w:r>
      <w:r w:rsidRPr="00683762">
        <w:rPr>
          <w:rFonts w:cs="Arial"/>
          <w:sz w:val="18"/>
          <w:szCs w:val="18"/>
          <w:rtl/>
        </w:rPr>
        <w:t xml:space="preserve"> </w:t>
      </w:r>
      <w:r w:rsidRPr="00683762">
        <w:rPr>
          <w:rFonts w:cs="Arial" w:hint="cs"/>
          <w:sz w:val="18"/>
          <w:szCs w:val="18"/>
          <w:rtl/>
        </w:rPr>
        <w:t>כזה</w:t>
      </w:r>
      <w:r w:rsidRPr="00683762">
        <w:rPr>
          <w:rFonts w:cs="Arial"/>
          <w:sz w:val="18"/>
          <w:szCs w:val="18"/>
          <w:rtl/>
        </w:rPr>
        <w:t xml:space="preserve"> </w:t>
      </w:r>
      <w:r w:rsidRPr="00683762">
        <w:rPr>
          <w:rFonts w:cs="Arial" w:hint="cs"/>
          <w:sz w:val="18"/>
          <w:szCs w:val="18"/>
          <w:rtl/>
        </w:rPr>
        <w:t>ג</w:t>
      </w:r>
      <w:r>
        <w:rPr>
          <w:rFonts w:cs="Arial" w:hint="cs"/>
          <w:sz w:val="18"/>
          <w:szCs w:val="18"/>
          <w:rtl/>
        </w:rPr>
        <w:t xml:space="preserve">ם </w:t>
      </w:r>
      <w:r w:rsidRPr="00683762">
        <w:rPr>
          <w:rFonts w:cs="Arial" w:hint="cs"/>
          <w:sz w:val="18"/>
          <w:szCs w:val="18"/>
          <w:rtl/>
        </w:rPr>
        <w:t>כ</w:t>
      </w:r>
      <w:r>
        <w:rPr>
          <w:rFonts w:cs="Arial" w:hint="cs"/>
          <w:sz w:val="18"/>
          <w:szCs w:val="18"/>
          <w:rtl/>
        </w:rPr>
        <w:t>ן</w:t>
      </w:r>
      <w:r w:rsidRPr="00683762">
        <w:rPr>
          <w:rFonts w:cs="Arial"/>
          <w:sz w:val="18"/>
          <w:szCs w:val="18"/>
          <w:rtl/>
        </w:rPr>
        <w:t xml:space="preserve"> </w:t>
      </w:r>
      <w:r w:rsidRPr="00683762">
        <w:rPr>
          <w:rFonts w:cs="Arial" w:hint="cs"/>
          <w:sz w:val="18"/>
          <w:szCs w:val="18"/>
          <w:rtl/>
        </w:rPr>
        <w:t>במי</w:t>
      </w:r>
      <w:r w:rsidRPr="00683762">
        <w:rPr>
          <w:rFonts w:cs="Arial"/>
          <w:sz w:val="18"/>
          <w:szCs w:val="18"/>
          <w:rtl/>
        </w:rPr>
        <w:t xml:space="preserve"> </w:t>
      </w:r>
      <w:r w:rsidRPr="00683762">
        <w:rPr>
          <w:rFonts w:cs="Arial" w:hint="cs"/>
          <w:sz w:val="18"/>
          <w:szCs w:val="18"/>
          <w:rtl/>
        </w:rPr>
        <w:t>רגליה</w:t>
      </w:r>
      <w:r>
        <w:rPr>
          <w:rFonts w:cs="Arial" w:hint="cs"/>
          <w:sz w:val="18"/>
          <w:szCs w:val="18"/>
          <w:rtl/>
        </w:rPr>
        <w:t xml:space="preserve">, </w:t>
      </w:r>
      <w:r w:rsidRPr="00683762">
        <w:rPr>
          <w:rFonts w:cs="Arial" w:hint="cs"/>
          <w:sz w:val="18"/>
          <w:szCs w:val="18"/>
          <w:rtl/>
        </w:rPr>
        <w:t>ובשעת</w:t>
      </w:r>
      <w:r w:rsidRPr="00683762">
        <w:rPr>
          <w:rFonts w:cs="Arial"/>
          <w:sz w:val="18"/>
          <w:szCs w:val="18"/>
          <w:rtl/>
        </w:rPr>
        <w:t xml:space="preserve"> </w:t>
      </w:r>
      <w:r w:rsidRPr="00683762">
        <w:rPr>
          <w:rFonts w:cs="Arial" w:hint="cs"/>
          <w:sz w:val="18"/>
          <w:szCs w:val="18"/>
          <w:rtl/>
        </w:rPr>
        <w:t>וסתה</w:t>
      </w:r>
      <w:r w:rsidRPr="00683762">
        <w:rPr>
          <w:rFonts w:cs="Arial"/>
          <w:sz w:val="18"/>
          <w:szCs w:val="18"/>
          <w:rtl/>
        </w:rPr>
        <w:t xml:space="preserve"> </w:t>
      </w:r>
      <w:r w:rsidRPr="00683762">
        <w:rPr>
          <w:rFonts w:cs="Arial" w:hint="cs"/>
          <w:sz w:val="18"/>
          <w:szCs w:val="18"/>
          <w:rtl/>
        </w:rPr>
        <w:t>או</w:t>
      </w:r>
      <w:r w:rsidRPr="00683762">
        <w:rPr>
          <w:rFonts w:cs="Arial"/>
          <w:sz w:val="18"/>
          <w:szCs w:val="18"/>
          <w:rtl/>
        </w:rPr>
        <w:t xml:space="preserve"> </w:t>
      </w:r>
      <w:r w:rsidRPr="00683762">
        <w:rPr>
          <w:rFonts w:cs="Arial" w:hint="cs"/>
          <w:sz w:val="18"/>
          <w:szCs w:val="18"/>
          <w:rtl/>
        </w:rPr>
        <w:t>לפעמים</w:t>
      </w:r>
      <w:r w:rsidRPr="00683762">
        <w:rPr>
          <w:rFonts w:cs="Arial"/>
          <w:sz w:val="18"/>
          <w:szCs w:val="18"/>
          <w:rtl/>
        </w:rPr>
        <w:t xml:space="preserve"> </w:t>
      </w:r>
      <w:r w:rsidRPr="00683762">
        <w:rPr>
          <w:rFonts w:cs="Arial" w:hint="cs"/>
          <w:sz w:val="18"/>
          <w:szCs w:val="18"/>
          <w:rtl/>
        </w:rPr>
        <w:t>אחרים</w:t>
      </w:r>
      <w:r w:rsidRPr="00683762">
        <w:rPr>
          <w:rFonts w:cs="Arial"/>
          <w:sz w:val="18"/>
          <w:szCs w:val="18"/>
          <w:rtl/>
        </w:rPr>
        <w:t xml:space="preserve"> </w:t>
      </w:r>
      <w:r w:rsidRPr="00683762">
        <w:rPr>
          <w:rFonts w:cs="Arial" w:hint="cs"/>
          <w:sz w:val="18"/>
          <w:szCs w:val="18"/>
          <w:rtl/>
        </w:rPr>
        <w:t>רואה</w:t>
      </w:r>
      <w:r w:rsidRPr="00683762">
        <w:rPr>
          <w:rFonts w:cs="Arial"/>
          <w:sz w:val="18"/>
          <w:szCs w:val="18"/>
          <w:rtl/>
        </w:rPr>
        <w:t xml:space="preserve"> </w:t>
      </w:r>
      <w:r w:rsidRPr="00683762">
        <w:rPr>
          <w:rFonts w:cs="Arial" w:hint="cs"/>
          <w:sz w:val="18"/>
          <w:szCs w:val="18"/>
          <w:rtl/>
        </w:rPr>
        <w:t>דם</w:t>
      </w:r>
      <w:r w:rsidRPr="00683762">
        <w:rPr>
          <w:rFonts w:cs="Arial"/>
          <w:sz w:val="18"/>
          <w:szCs w:val="18"/>
          <w:rtl/>
        </w:rPr>
        <w:t xml:space="preserve"> </w:t>
      </w:r>
      <w:r w:rsidRPr="00683762">
        <w:rPr>
          <w:rFonts w:cs="Arial" w:hint="cs"/>
          <w:sz w:val="18"/>
          <w:szCs w:val="18"/>
          <w:rtl/>
        </w:rPr>
        <w:t>ממש</w:t>
      </w:r>
      <w:r w:rsidRPr="00683762">
        <w:rPr>
          <w:rFonts w:cs="Arial"/>
          <w:sz w:val="18"/>
          <w:szCs w:val="18"/>
          <w:rtl/>
        </w:rPr>
        <w:t xml:space="preserve"> </w:t>
      </w:r>
      <w:r w:rsidRPr="00683762">
        <w:rPr>
          <w:rFonts w:cs="Arial" w:hint="cs"/>
          <w:sz w:val="18"/>
          <w:szCs w:val="18"/>
          <w:rtl/>
        </w:rPr>
        <w:t>כשאר</w:t>
      </w:r>
      <w:r w:rsidRPr="00683762">
        <w:rPr>
          <w:rFonts w:cs="Arial"/>
          <w:sz w:val="18"/>
          <w:szCs w:val="18"/>
          <w:rtl/>
        </w:rPr>
        <w:t xml:space="preserve"> </w:t>
      </w:r>
      <w:r w:rsidRPr="00683762">
        <w:rPr>
          <w:rFonts w:cs="Arial" w:hint="cs"/>
          <w:sz w:val="18"/>
          <w:szCs w:val="18"/>
          <w:rtl/>
        </w:rPr>
        <w:t>נשים</w:t>
      </w:r>
      <w:r w:rsidRPr="00683762">
        <w:rPr>
          <w:rFonts w:cs="Arial"/>
          <w:sz w:val="18"/>
          <w:szCs w:val="18"/>
          <w:rtl/>
        </w:rPr>
        <w:t xml:space="preserve">, </w:t>
      </w:r>
      <w:r w:rsidRPr="00683762">
        <w:rPr>
          <w:rFonts w:cs="Arial" w:hint="cs"/>
          <w:sz w:val="18"/>
          <w:szCs w:val="18"/>
          <w:rtl/>
        </w:rPr>
        <w:t>ואינה</w:t>
      </w:r>
      <w:r w:rsidRPr="00683762">
        <w:rPr>
          <w:rFonts w:cs="Arial"/>
          <w:sz w:val="18"/>
          <w:szCs w:val="18"/>
          <w:rtl/>
        </w:rPr>
        <w:t xml:space="preserve"> </w:t>
      </w:r>
      <w:r w:rsidRPr="00683762">
        <w:rPr>
          <w:rFonts w:cs="Arial" w:hint="cs"/>
          <w:sz w:val="18"/>
          <w:szCs w:val="18"/>
          <w:rtl/>
        </w:rPr>
        <w:t>מוצאת</w:t>
      </w:r>
      <w:r w:rsidRPr="00683762">
        <w:rPr>
          <w:rFonts w:cs="Arial"/>
          <w:sz w:val="18"/>
          <w:szCs w:val="18"/>
          <w:rtl/>
        </w:rPr>
        <w:t xml:space="preserve"> </w:t>
      </w:r>
      <w:r w:rsidRPr="00683762">
        <w:rPr>
          <w:rFonts w:cs="Arial" w:hint="cs"/>
          <w:sz w:val="18"/>
          <w:szCs w:val="18"/>
          <w:rtl/>
        </w:rPr>
        <w:t>אותו</w:t>
      </w:r>
      <w:r w:rsidRPr="00683762">
        <w:rPr>
          <w:rFonts w:cs="Arial"/>
          <w:sz w:val="18"/>
          <w:szCs w:val="18"/>
          <w:rtl/>
        </w:rPr>
        <w:t xml:space="preserve"> </w:t>
      </w:r>
      <w:r w:rsidRPr="00683762">
        <w:rPr>
          <w:rFonts w:cs="Arial" w:hint="cs"/>
          <w:sz w:val="18"/>
          <w:szCs w:val="18"/>
          <w:rtl/>
        </w:rPr>
        <w:t>חול</w:t>
      </w:r>
      <w:r w:rsidRPr="00683762">
        <w:rPr>
          <w:rFonts w:cs="Arial"/>
          <w:sz w:val="18"/>
          <w:szCs w:val="18"/>
          <w:rtl/>
        </w:rPr>
        <w:t xml:space="preserve"> </w:t>
      </w:r>
      <w:r w:rsidRPr="00683762">
        <w:rPr>
          <w:rFonts w:cs="Arial" w:hint="cs"/>
          <w:sz w:val="18"/>
          <w:szCs w:val="18"/>
          <w:rtl/>
        </w:rPr>
        <w:t>רק</w:t>
      </w:r>
      <w:r w:rsidRPr="00683762">
        <w:rPr>
          <w:rFonts w:cs="Arial"/>
          <w:sz w:val="18"/>
          <w:szCs w:val="18"/>
          <w:rtl/>
        </w:rPr>
        <w:t xml:space="preserve"> </w:t>
      </w:r>
      <w:r w:rsidRPr="00683762">
        <w:rPr>
          <w:rFonts w:cs="Arial" w:hint="cs"/>
          <w:sz w:val="18"/>
          <w:szCs w:val="18"/>
          <w:rtl/>
        </w:rPr>
        <w:t>אחר</w:t>
      </w:r>
      <w:r w:rsidRPr="00683762">
        <w:rPr>
          <w:rFonts w:cs="Arial"/>
          <w:sz w:val="18"/>
          <w:szCs w:val="18"/>
          <w:rtl/>
        </w:rPr>
        <w:t xml:space="preserve"> </w:t>
      </w:r>
      <w:r w:rsidRPr="00683762">
        <w:rPr>
          <w:rFonts w:cs="Arial" w:hint="cs"/>
          <w:sz w:val="18"/>
          <w:szCs w:val="18"/>
          <w:rtl/>
        </w:rPr>
        <w:t>מי</w:t>
      </w:r>
      <w:r w:rsidRPr="00683762">
        <w:rPr>
          <w:rFonts w:cs="Arial"/>
          <w:sz w:val="18"/>
          <w:szCs w:val="18"/>
          <w:rtl/>
        </w:rPr>
        <w:t xml:space="preserve"> </w:t>
      </w:r>
      <w:r w:rsidRPr="00683762">
        <w:rPr>
          <w:rFonts w:cs="Arial" w:hint="cs"/>
          <w:sz w:val="18"/>
          <w:szCs w:val="18"/>
          <w:rtl/>
        </w:rPr>
        <w:t>רגליה</w:t>
      </w:r>
      <w:r w:rsidRPr="00683762">
        <w:rPr>
          <w:rFonts w:cs="Arial"/>
          <w:sz w:val="18"/>
          <w:szCs w:val="18"/>
          <w:rtl/>
        </w:rPr>
        <w:t xml:space="preserve">, </w:t>
      </w:r>
      <w:r w:rsidRPr="00683762">
        <w:rPr>
          <w:rFonts w:cs="Arial" w:hint="cs"/>
          <w:sz w:val="18"/>
          <w:szCs w:val="18"/>
          <w:rtl/>
        </w:rPr>
        <w:t>טהורה</w:t>
      </w:r>
      <w:r w:rsidRPr="00683762">
        <w:rPr>
          <w:rFonts w:cs="Arial"/>
          <w:sz w:val="18"/>
          <w:szCs w:val="18"/>
          <w:rtl/>
        </w:rPr>
        <w:t xml:space="preserve">, </w:t>
      </w:r>
      <w:r w:rsidRPr="00683762">
        <w:rPr>
          <w:rFonts w:cs="Arial" w:hint="cs"/>
          <w:sz w:val="18"/>
          <w:szCs w:val="18"/>
          <w:rtl/>
        </w:rPr>
        <w:t>דאינו</w:t>
      </w:r>
      <w:r w:rsidRPr="00683762">
        <w:rPr>
          <w:rFonts w:cs="Arial"/>
          <w:sz w:val="18"/>
          <w:szCs w:val="18"/>
          <w:rtl/>
        </w:rPr>
        <w:t xml:space="preserve"> </w:t>
      </w:r>
      <w:r w:rsidRPr="00683762">
        <w:rPr>
          <w:rFonts w:cs="Arial" w:hint="cs"/>
          <w:sz w:val="18"/>
          <w:szCs w:val="18"/>
          <w:rtl/>
        </w:rPr>
        <w:t>דם</w:t>
      </w:r>
      <w:r w:rsidRPr="00683762">
        <w:rPr>
          <w:rFonts w:cs="Arial"/>
          <w:sz w:val="18"/>
          <w:szCs w:val="18"/>
          <w:rtl/>
        </w:rPr>
        <w:t xml:space="preserve"> </w:t>
      </w:r>
      <w:r w:rsidRPr="00683762">
        <w:rPr>
          <w:rFonts w:cs="Arial" w:hint="cs"/>
          <w:sz w:val="18"/>
          <w:szCs w:val="18"/>
          <w:rtl/>
        </w:rPr>
        <w:t>רק</w:t>
      </w:r>
      <w:r w:rsidRPr="00683762">
        <w:rPr>
          <w:rFonts w:cs="Arial"/>
          <w:sz w:val="18"/>
          <w:szCs w:val="18"/>
          <w:rtl/>
        </w:rPr>
        <w:t xml:space="preserve"> </w:t>
      </w:r>
      <w:r w:rsidRPr="00683762">
        <w:rPr>
          <w:rFonts w:cs="Arial" w:hint="cs"/>
          <w:sz w:val="18"/>
          <w:szCs w:val="18"/>
          <w:rtl/>
        </w:rPr>
        <w:t>חול</w:t>
      </w:r>
      <w:r w:rsidRPr="00683762">
        <w:rPr>
          <w:rFonts w:cs="Arial"/>
          <w:sz w:val="18"/>
          <w:szCs w:val="18"/>
          <w:rtl/>
        </w:rPr>
        <w:t xml:space="preserve"> </w:t>
      </w:r>
      <w:r w:rsidRPr="00683762">
        <w:rPr>
          <w:rFonts w:cs="Arial" w:hint="cs"/>
          <w:sz w:val="18"/>
          <w:szCs w:val="18"/>
          <w:rtl/>
        </w:rPr>
        <w:t>שדרכו</w:t>
      </w:r>
      <w:r w:rsidRPr="00683762">
        <w:rPr>
          <w:rFonts w:cs="Arial"/>
          <w:sz w:val="18"/>
          <w:szCs w:val="18"/>
          <w:rtl/>
        </w:rPr>
        <w:t xml:space="preserve"> </w:t>
      </w:r>
      <w:r w:rsidRPr="00683762">
        <w:rPr>
          <w:rFonts w:cs="Arial" w:hint="cs"/>
          <w:sz w:val="18"/>
          <w:szCs w:val="18"/>
          <w:rtl/>
        </w:rPr>
        <w:t>להיוולד</w:t>
      </w:r>
      <w:r w:rsidRPr="00683762">
        <w:rPr>
          <w:rFonts w:cs="Arial"/>
          <w:sz w:val="18"/>
          <w:szCs w:val="18"/>
          <w:rtl/>
        </w:rPr>
        <w:t xml:space="preserve"> </w:t>
      </w:r>
      <w:r w:rsidRPr="00683762">
        <w:rPr>
          <w:rFonts w:cs="Arial" w:hint="cs"/>
          <w:sz w:val="18"/>
          <w:szCs w:val="18"/>
          <w:rtl/>
        </w:rPr>
        <w:t>בכליות".</w:t>
      </w:r>
    </w:p>
    <w:p w:rsidR="00620060" w:rsidRDefault="00620060" w:rsidP="00620060">
      <w:pPr>
        <w:rPr>
          <w:sz w:val="20"/>
          <w:szCs w:val="20"/>
          <w:rtl/>
        </w:rPr>
      </w:pPr>
      <w:r>
        <w:rPr>
          <w:rFonts w:hint="cs"/>
          <w:sz w:val="20"/>
          <w:szCs w:val="20"/>
          <w:u w:val="single"/>
          <w:rtl/>
        </w:rPr>
        <w:t>שריית הקרטין במים פושרים</w:t>
      </w:r>
      <w:r>
        <w:rPr>
          <w:sz w:val="20"/>
          <w:szCs w:val="20"/>
          <w:u w:val="single"/>
          <w:rtl/>
        </w:rPr>
        <w:br/>
      </w:r>
      <w:r>
        <w:rPr>
          <w:rFonts w:hint="cs"/>
          <w:sz w:val="20"/>
          <w:szCs w:val="20"/>
          <w:rtl/>
        </w:rPr>
        <w:t xml:space="preserve">למדנו בסימן קפח' שחתיכות דם יבש היוצאות מאשה אינן מטמאות רק אם שרו אותם במים פושרים מעת לעת ולא נימוחו, אך אם נימוחו הרי הם דם וטמאה. </w:t>
      </w:r>
      <w:r>
        <w:rPr>
          <w:sz w:val="20"/>
          <w:szCs w:val="20"/>
          <w:rtl/>
        </w:rPr>
        <w:br/>
      </w:r>
      <w:r>
        <w:rPr>
          <w:rFonts w:hint="cs"/>
          <w:sz w:val="20"/>
          <w:szCs w:val="20"/>
          <w:rtl/>
        </w:rPr>
        <w:lastRenderedPageBreak/>
        <w:t>האם כאן צריך לשרות את הקרטין במים ולבדוק האם הם לא נימוחו כדי לטהר את האשה?</w:t>
      </w:r>
      <w:r>
        <w:rPr>
          <w:rFonts w:hint="cs"/>
          <w:sz w:val="20"/>
          <w:szCs w:val="20"/>
          <w:u w:val="single"/>
          <w:rtl/>
        </w:rPr>
        <w:br/>
      </w:r>
      <w:r>
        <w:rPr>
          <w:rFonts w:hint="cs"/>
          <w:sz w:val="20"/>
          <w:szCs w:val="20"/>
          <w:rtl/>
        </w:rPr>
        <w:t xml:space="preserve">א. </w:t>
      </w:r>
      <w:r w:rsidRPr="00744E12">
        <w:rPr>
          <w:rFonts w:hint="cs"/>
          <w:b/>
          <w:bCs/>
          <w:sz w:val="20"/>
          <w:szCs w:val="20"/>
          <w:rtl/>
        </w:rPr>
        <w:t>בית יוסף</w:t>
      </w:r>
      <w:r>
        <w:rPr>
          <w:rFonts w:hint="cs"/>
          <w:sz w:val="20"/>
          <w:szCs w:val="20"/>
          <w:rtl/>
        </w:rPr>
        <w:t xml:space="preserve"> </w:t>
      </w:r>
      <w:r w:rsidRPr="00744E12">
        <w:rPr>
          <w:rFonts w:hint="cs"/>
          <w:sz w:val="18"/>
          <w:szCs w:val="18"/>
          <w:rtl/>
        </w:rPr>
        <w:t xml:space="preserve">(בבדק הבית) </w:t>
      </w:r>
      <w:r>
        <w:rPr>
          <w:sz w:val="20"/>
          <w:szCs w:val="20"/>
          <w:rtl/>
        </w:rPr>
        <w:t>–</w:t>
      </w:r>
      <w:r>
        <w:rPr>
          <w:rFonts w:hint="cs"/>
          <w:sz w:val="20"/>
          <w:szCs w:val="20"/>
          <w:rtl/>
        </w:rPr>
        <w:t xml:space="preserve"> יש לבדוק את הקרטין במים פושרים.</w:t>
      </w:r>
      <w:r>
        <w:rPr>
          <w:sz w:val="20"/>
          <w:szCs w:val="20"/>
          <w:rtl/>
        </w:rPr>
        <w:br/>
      </w:r>
      <w:r>
        <w:rPr>
          <w:rFonts w:hint="cs"/>
          <w:sz w:val="20"/>
          <w:szCs w:val="20"/>
          <w:rtl/>
        </w:rPr>
        <w:t xml:space="preserve">ב. </w:t>
      </w:r>
      <w:r w:rsidRPr="00744E12">
        <w:rPr>
          <w:rFonts w:hint="cs"/>
          <w:b/>
          <w:bCs/>
          <w:sz w:val="20"/>
          <w:szCs w:val="20"/>
          <w:rtl/>
        </w:rPr>
        <w:t>דרכי משה</w:t>
      </w:r>
      <w:r>
        <w:rPr>
          <w:rFonts w:hint="cs"/>
          <w:sz w:val="20"/>
          <w:szCs w:val="20"/>
          <w:rtl/>
        </w:rPr>
        <w:t xml:space="preserve"> </w:t>
      </w:r>
      <w:r>
        <w:rPr>
          <w:sz w:val="20"/>
          <w:szCs w:val="20"/>
          <w:rtl/>
        </w:rPr>
        <w:t>–</w:t>
      </w:r>
      <w:r>
        <w:rPr>
          <w:rFonts w:hint="cs"/>
          <w:sz w:val="20"/>
          <w:szCs w:val="20"/>
          <w:rtl/>
        </w:rPr>
        <w:t xml:space="preserve"> אין צריך לבדוק את הקרטין כלל.</w:t>
      </w:r>
      <w:r>
        <w:rPr>
          <w:rStyle w:val="a5"/>
          <w:sz w:val="20"/>
          <w:szCs w:val="20"/>
          <w:rtl/>
        </w:rPr>
        <w:footnoteReference w:id="364"/>
      </w:r>
      <w:r>
        <w:rPr>
          <w:rFonts w:hint="cs"/>
          <w:sz w:val="20"/>
          <w:szCs w:val="20"/>
          <w:rtl/>
        </w:rPr>
        <w:br/>
        <w:t xml:space="preserve">הכרעת האחרונים </w:t>
      </w:r>
      <w:r>
        <w:rPr>
          <w:sz w:val="20"/>
          <w:szCs w:val="20"/>
          <w:rtl/>
        </w:rPr>
        <w:t>–</w:t>
      </w:r>
      <w:r>
        <w:rPr>
          <w:rFonts w:hint="cs"/>
          <w:b/>
          <w:bCs/>
          <w:sz w:val="20"/>
          <w:szCs w:val="20"/>
          <w:rtl/>
        </w:rPr>
        <w:t xml:space="preserve"> </w:t>
      </w:r>
      <w:r w:rsidRPr="000663A5">
        <w:rPr>
          <w:rFonts w:hint="cs"/>
          <w:b/>
          <w:bCs/>
          <w:sz w:val="20"/>
          <w:szCs w:val="20"/>
          <w:rtl/>
        </w:rPr>
        <w:t>ב"ח והט"ז</w:t>
      </w:r>
      <w:r>
        <w:rPr>
          <w:rFonts w:hint="cs"/>
          <w:sz w:val="20"/>
          <w:szCs w:val="20"/>
          <w:rtl/>
        </w:rPr>
        <w:t xml:space="preserve"> - אין צריך לבדוק את הקרטין, ואפילו אם בדקו ונימוחו </w:t>
      </w:r>
      <w:r>
        <w:rPr>
          <w:sz w:val="20"/>
          <w:szCs w:val="20"/>
          <w:rtl/>
        </w:rPr>
        <w:t>–</w:t>
      </w:r>
      <w:r>
        <w:rPr>
          <w:rFonts w:hint="cs"/>
          <w:sz w:val="20"/>
          <w:szCs w:val="20"/>
          <w:rtl/>
        </w:rPr>
        <w:t xml:space="preserve"> טהורה, משום שגם אם הקרטין הוא דם, מכל מקום הוא דם מחמת מכה שבכליות ואינו מטמא.</w:t>
      </w:r>
    </w:p>
    <w:p w:rsidR="00620060" w:rsidRPr="00180C7D" w:rsidRDefault="00620060" w:rsidP="00620060">
      <w:pPr>
        <w:rPr>
          <w:rtl/>
        </w:rPr>
      </w:pPr>
      <w:r w:rsidRPr="00180C7D">
        <w:rPr>
          <w:rFonts w:hint="cs"/>
          <w:sz w:val="20"/>
          <w:szCs w:val="20"/>
          <w:u w:val="single"/>
          <w:rtl/>
        </w:rPr>
        <w:t>אשה שרואה כמין חצץ אדום בבדיקה</w:t>
      </w:r>
      <w:r>
        <w:rPr>
          <w:sz w:val="18"/>
          <w:szCs w:val="18"/>
          <w:rtl/>
        </w:rPr>
        <w:br/>
      </w:r>
      <w:r>
        <w:rPr>
          <w:rFonts w:hint="cs"/>
          <w:sz w:val="20"/>
          <w:szCs w:val="20"/>
          <w:rtl/>
        </w:rPr>
        <w:t xml:space="preserve">המקרה - </w:t>
      </w:r>
      <w:r w:rsidRPr="00180C7D">
        <w:rPr>
          <w:rFonts w:hint="cs"/>
          <w:sz w:val="20"/>
          <w:szCs w:val="20"/>
          <w:rtl/>
        </w:rPr>
        <w:t>אשה שרגילה לראות מעט קרטין שלא בשעת ווסתה בזמן שבודקת עצמה</w:t>
      </w:r>
      <w:r>
        <w:rPr>
          <w:rFonts w:hint="cs"/>
          <w:sz w:val="20"/>
          <w:szCs w:val="20"/>
          <w:rtl/>
        </w:rPr>
        <w:t>, האם טהורה?</w:t>
      </w:r>
      <w:r w:rsidRPr="00180C7D">
        <w:rPr>
          <w:rFonts w:hint="cs"/>
          <w:sz w:val="20"/>
          <w:szCs w:val="20"/>
          <w:rtl/>
        </w:rPr>
        <w:br/>
      </w:r>
      <w:r>
        <w:rPr>
          <w:rFonts w:hint="cs"/>
          <w:sz w:val="20"/>
          <w:szCs w:val="20"/>
          <w:rtl/>
        </w:rPr>
        <w:t xml:space="preserve">א. </w:t>
      </w:r>
      <w:r w:rsidRPr="00180C7D">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כן.</w:t>
      </w:r>
      <w:r>
        <w:rPr>
          <w:sz w:val="20"/>
          <w:szCs w:val="20"/>
          <w:rtl/>
        </w:rPr>
        <w:br/>
      </w:r>
      <w:r w:rsidRPr="00180C7D">
        <w:rPr>
          <w:rFonts w:hint="cs"/>
          <w:b/>
          <w:bCs/>
          <w:sz w:val="20"/>
          <w:szCs w:val="20"/>
          <w:rtl/>
        </w:rPr>
        <w:t>טעם</w:t>
      </w:r>
      <w:r>
        <w:rPr>
          <w:rFonts w:hint="cs"/>
          <w:sz w:val="20"/>
          <w:szCs w:val="20"/>
          <w:rtl/>
        </w:rPr>
        <w:t xml:space="preserve"> -</w:t>
      </w:r>
      <w:r w:rsidRPr="00180C7D">
        <w:rPr>
          <w:rFonts w:hint="cs"/>
          <w:sz w:val="20"/>
          <w:szCs w:val="20"/>
          <w:rtl/>
        </w:rPr>
        <w:t xml:space="preserve"> </w:t>
      </w:r>
      <w:r>
        <w:rPr>
          <w:rFonts w:hint="cs"/>
          <w:sz w:val="20"/>
          <w:szCs w:val="20"/>
          <w:vertAlign w:val="superscript"/>
          <w:rtl/>
        </w:rPr>
        <w:t>1</w:t>
      </w:r>
      <w:r w:rsidRPr="00180C7D">
        <w:rPr>
          <w:rFonts w:hint="cs"/>
          <w:sz w:val="20"/>
          <w:szCs w:val="20"/>
          <w:rtl/>
        </w:rPr>
        <w:t xml:space="preserve">הקרטין עצמו אינו מטמא </w:t>
      </w:r>
      <w:r w:rsidRPr="00180C7D">
        <w:rPr>
          <w:rFonts w:hint="cs"/>
          <w:sz w:val="18"/>
          <w:szCs w:val="18"/>
          <w:rtl/>
        </w:rPr>
        <w:t>(ואין חילוק בין מראה חול למראה כעין חול וטהורה בכל עניין)</w:t>
      </w:r>
      <w:r w:rsidRPr="00180C7D">
        <w:rPr>
          <w:rFonts w:hint="cs"/>
          <w:sz w:val="20"/>
          <w:szCs w:val="20"/>
          <w:rtl/>
        </w:rPr>
        <w:t>.</w:t>
      </w:r>
      <w:r w:rsidRPr="00180C7D">
        <w:rPr>
          <w:sz w:val="24"/>
          <w:szCs w:val="24"/>
          <w:rtl/>
        </w:rPr>
        <w:br/>
      </w:r>
      <w:r>
        <w:rPr>
          <w:rFonts w:hint="cs"/>
          <w:sz w:val="20"/>
          <w:szCs w:val="20"/>
          <w:vertAlign w:val="superscript"/>
          <w:rtl/>
        </w:rPr>
        <w:t>2</w:t>
      </w:r>
      <w:r>
        <w:rPr>
          <w:rFonts w:hint="cs"/>
          <w:sz w:val="20"/>
          <w:szCs w:val="20"/>
          <w:rtl/>
        </w:rPr>
        <w:t>מדובר ב</w:t>
      </w:r>
      <w:r w:rsidRPr="00180C7D">
        <w:rPr>
          <w:rFonts w:hint="cs"/>
          <w:sz w:val="20"/>
          <w:szCs w:val="20"/>
          <w:rtl/>
        </w:rPr>
        <w:t xml:space="preserve">אשה </w:t>
      </w:r>
      <w:r>
        <w:rPr>
          <w:rFonts w:hint="cs"/>
          <w:sz w:val="20"/>
          <w:szCs w:val="20"/>
          <w:rtl/>
        </w:rPr>
        <w:t>ש</w:t>
      </w:r>
      <w:r w:rsidRPr="00180C7D">
        <w:rPr>
          <w:rFonts w:hint="cs"/>
          <w:sz w:val="20"/>
          <w:szCs w:val="20"/>
          <w:rtl/>
        </w:rPr>
        <w:t xml:space="preserve">הרגישה כאב בבטן זמן רב וכנראה שיש לה מכה באותו מקום והמכה היא </w:t>
      </w:r>
      <w:r>
        <w:rPr>
          <w:rFonts w:hint="cs"/>
          <w:sz w:val="20"/>
          <w:szCs w:val="20"/>
          <w:rtl/>
        </w:rPr>
        <w:t>מקור הקרטין</w:t>
      </w:r>
      <w:r>
        <w:rPr>
          <w:rStyle w:val="a5"/>
          <w:sz w:val="20"/>
          <w:szCs w:val="20"/>
          <w:rtl/>
        </w:rPr>
        <w:footnoteReference w:id="365"/>
      </w:r>
      <w:r w:rsidRPr="00180C7D">
        <w:rPr>
          <w:rFonts w:hint="cs"/>
          <w:sz w:val="18"/>
          <w:szCs w:val="18"/>
          <w:rtl/>
        </w:rPr>
        <w:t xml:space="preserve">. </w:t>
      </w:r>
      <w:r>
        <w:rPr>
          <w:sz w:val="18"/>
          <w:szCs w:val="18"/>
          <w:rtl/>
        </w:rPr>
        <w:br/>
      </w:r>
      <w:r w:rsidRPr="00180C7D">
        <w:rPr>
          <w:rFonts w:hint="cs"/>
          <w:sz w:val="20"/>
          <w:szCs w:val="20"/>
          <w:rtl/>
        </w:rPr>
        <w:t xml:space="preserve">ואע"פ </w:t>
      </w:r>
      <w:r w:rsidRPr="00180C7D">
        <w:rPr>
          <w:rFonts w:hint="cs"/>
          <w:b/>
          <w:bCs/>
          <w:sz w:val="20"/>
          <w:szCs w:val="20"/>
          <w:rtl/>
        </w:rPr>
        <w:t>שהרמ"א</w:t>
      </w:r>
      <w:r w:rsidRPr="00180C7D">
        <w:rPr>
          <w:rFonts w:hint="cs"/>
          <w:sz w:val="20"/>
          <w:szCs w:val="20"/>
          <w:rtl/>
        </w:rPr>
        <w:t xml:space="preserve"> פסק להתיר כשיש לה כאב רק אם בדקה עצמה בבדיקת מהרי"ל, הרמ"א מיירי באשה שמרגישה כאב רק בעת הטלת מ"ר</w:t>
      </w:r>
      <w:r>
        <w:rPr>
          <w:rFonts w:hint="cs"/>
          <w:sz w:val="20"/>
          <w:szCs w:val="20"/>
          <w:rtl/>
        </w:rPr>
        <w:t>.</w:t>
      </w:r>
      <w:r>
        <w:rPr>
          <w:sz w:val="20"/>
          <w:szCs w:val="20"/>
          <w:rtl/>
        </w:rPr>
        <w:br/>
      </w:r>
      <w:r w:rsidRPr="00180C7D">
        <w:rPr>
          <w:sz w:val="20"/>
          <w:szCs w:val="20"/>
          <w:rtl/>
        </w:rPr>
        <w:br/>
      </w:r>
      <w:r>
        <w:rPr>
          <w:rFonts w:hint="cs"/>
          <w:sz w:val="20"/>
          <w:szCs w:val="20"/>
          <w:rtl/>
        </w:rPr>
        <w:t xml:space="preserve">ב. </w:t>
      </w:r>
      <w:r w:rsidRPr="008A4B8A">
        <w:rPr>
          <w:rFonts w:hint="cs"/>
          <w:b/>
          <w:bCs/>
          <w:sz w:val="20"/>
          <w:szCs w:val="20"/>
          <w:rtl/>
        </w:rPr>
        <w:t>חכם צבי</w:t>
      </w:r>
      <w:r>
        <w:rPr>
          <w:rFonts w:hint="cs"/>
          <w:sz w:val="20"/>
          <w:szCs w:val="20"/>
          <w:rtl/>
        </w:rPr>
        <w:t xml:space="preserve"> </w:t>
      </w:r>
      <w:r>
        <w:rPr>
          <w:sz w:val="20"/>
          <w:szCs w:val="20"/>
          <w:rtl/>
        </w:rPr>
        <w:t>–</w:t>
      </w:r>
      <w:r>
        <w:rPr>
          <w:rFonts w:hint="cs"/>
          <w:sz w:val="20"/>
          <w:szCs w:val="20"/>
          <w:rtl/>
        </w:rPr>
        <w:t xml:space="preserve"> לא.</w:t>
      </w:r>
      <w:r>
        <w:rPr>
          <w:sz w:val="20"/>
          <w:szCs w:val="20"/>
          <w:rtl/>
        </w:rPr>
        <w:br/>
      </w:r>
      <w:r w:rsidRPr="008A4B8A">
        <w:rPr>
          <w:rFonts w:hint="cs"/>
          <w:sz w:val="20"/>
          <w:szCs w:val="20"/>
          <w:rtl/>
        </w:rPr>
        <w:t>מ</w:t>
      </w:r>
      <w:r>
        <w:rPr>
          <w:rFonts w:hint="cs"/>
          <w:sz w:val="20"/>
          <w:szCs w:val="20"/>
          <w:rtl/>
        </w:rPr>
        <w:t>וסיף</w:t>
      </w:r>
      <w:r>
        <w:rPr>
          <w:rFonts w:hint="cs"/>
          <w:b/>
          <w:bCs/>
          <w:sz w:val="20"/>
          <w:szCs w:val="20"/>
          <w:rtl/>
        </w:rPr>
        <w:t xml:space="preserve"> </w:t>
      </w:r>
      <w:r w:rsidRPr="00180C7D">
        <w:rPr>
          <w:rFonts w:hint="cs"/>
          <w:b/>
          <w:bCs/>
          <w:sz w:val="20"/>
          <w:szCs w:val="20"/>
          <w:rtl/>
        </w:rPr>
        <w:t>הפת"ש</w:t>
      </w:r>
      <w:r w:rsidRPr="00180C7D">
        <w:rPr>
          <w:rFonts w:hint="cs"/>
          <w:sz w:val="20"/>
          <w:szCs w:val="20"/>
          <w:rtl/>
        </w:rPr>
        <w:t xml:space="preserve"> </w:t>
      </w:r>
      <w:r>
        <w:rPr>
          <w:rFonts w:hint="cs"/>
          <w:sz w:val="20"/>
          <w:szCs w:val="20"/>
          <w:rtl/>
        </w:rPr>
        <w:t xml:space="preserve">- </w:t>
      </w:r>
      <w:r w:rsidRPr="00180C7D">
        <w:rPr>
          <w:rFonts w:hint="cs"/>
          <w:sz w:val="20"/>
          <w:szCs w:val="20"/>
          <w:rtl/>
        </w:rPr>
        <w:t>רק גדולי הדור מוסמכים לדון בשאלות כבדות כאלו.</w:t>
      </w:r>
    </w:p>
    <w:p w:rsidR="00620060" w:rsidRDefault="00620060" w:rsidP="00620060">
      <w:pPr>
        <w:rPr>
          <w:sz w:val="20"/>
          <w:szCs w:val="20"/>
          <w:rtl/>
        </w:rPr>
      </w:pPr>
      <w:r>
        <w:rPr>
          <w:rFonts w:hint="cs"/>
          <w:b/>
          <w:bCs/>
          <w:sz w:val="20"/>
          <w:szCs w:val="20"/>
          <w:rtl/>
        </w:rPr>
        <w:t>הכרעת פוסקי זמנינו בדם שנמצא במי רגליים</w:t>
      </w:r>
      <w:r>
        <w:rPr>
          <w:b/>
          <w:bCs/>
          <w:sz w:val="20"/>
          <w:szCs w:val="20"/>
          <w:rtl/>
        </w:rPr>
        <w:br/>
      </w:r>
      <w:r>
        <w:rPr>
          <w:rFonts w:hint="cs"/>
          <w:sz w:val="20"/>
          <w:szCs w:val="20"/>
          <w:rtl/>
        </w:rPr>
        <w:t xml:space="preserve">א. </w:t>
      </w:r>
      <w:r w:rsidRPr="00F51533">
        <w:rPr>
          <w:rFonts w:hint="cs"/>
          <w:b/>
          <w:bCs/>
          <w:sz w:val="20"/>
          <w:szCs w:val="20"/>
          <w:rtl/>
        </w:rPr>
        <w:t>יביע אומר</w:t>
      </w:r>
      <w:r>
        <w:rPr>
          <w:rFonts w:hint="cs"/>
          <w:sz w:val="20"/>
          <w:szCs w:val="20"/>
          <w:rtl/>
        </w:rPr>
        <w:t xml:space="preserve"> </w:t>
      </w:r>
      <w:r>
        <w:rPr>
          <w:sz w:val="20"/>
          <w:szCs w:val="20"/>
          <w:rtl/>
        </w:rPr>
        <w:t>–</w:t>
      </w:r>
      <w:r>
        <w:rPr>
          <w:rFonts w:hint="cs"/>
          <w:sz w:val="20"/>
          <w:szCs w:val="20"/>
          <w:rtl/>
        </w:rPr>
        <w:t xml:space="preserve"> יש לנהוג כמחבר, ולכן אשה שראתה דם במ"ר טהורה בכל עניין.</w:t>
      </w:r>
      <w:r>
        <w:rPr>
          <w:sz w:val="20"/>
          <w:szCs w:val="20"/>
          <w:rtl/>
        </w:rPr>
        <w:br/>
      </w:r>
      <w:r>
        <w:rPr>
          <w:rFonts w:hint="cs"/>
          <w:sz w:val="20"/>
          <w:szCs w:val="20"/>
          <w:rtl/>
        </w:rPr>
        <w:t xml:space="preserve">ב. </w:t>
      </w:r>
      <w:r w:rsidRPr="00F51533">
        <w:rPr>
          <w:rFonts w:hint="cs"/>
          <w:b/>
          <w:bCs/>
          <w:sz w:val="20"/>
          <w:szCs w:val="20"/>
          <w:rtl/>
        </w:rPr>
        <w:t>שבט הלוי</w:t>
      </w:r>
      <w:r>
        <w:rPr>
          <w:rFonts w:hint="cs"/>
          <w:sz w:val="20"/>
          <w:szCs w:val="20"/>
          <w:rtl/>
        </w:rPr>
        <w:t xml:space="preserve"> </w:t>
      </w:r>
      <w:r>
        <w:rPr>
          <w:sz w:val="20"/>
          <w:szCs w:val="20"/>
          <w:rtl/>
        </w:rPr>
        <w:t>–</w:t>
      </w:r>
      <w:r>
        <w:rPr>
          <w:rFonts w:hint="cs"/>
          <w:sz w:val="20"/>
          <w:szCs w:val="20"/>
          <w:rtl/>
        </w:rPr>
        <w:t xml:space="preserve"> בימינו ניתן לבדוק את השתן במעבדות ויש לסמוך על בדיקה זו אפילו בפעם אחת ואין צריך ג' פעמים. כמו כן, אין צריך דווקא שתן שיש בו כאב, אלא אפילו כשאין כאב מהני הבדיקה לטהר, כיוון שהיא הוכחה טובה יותר מהרגשת כאב.</w:t>
      </w:r>
    </w:p>
    <w:p w:rsidR="00620060" w:rsidRPr="00B049B5" w:rsidRDefault="00620060" w:rsidP="00620060">
      <w:pPr>
        <w:rPr>
          <w:sz w:val="20"/>
          <w:szCs w:val="20"/>
        </w:rPr>
      </w:pPr>
      <w:r w:rsidRPr="00A813B6">
        <w:rPr>
          <w:rFonts w:hint="cs"/>
          <w:b/>
          <w:bCs/>
          <w:sz w:val="20"/>
          <w:szCs w:val="20"/>
          <w:rtl/>
        </w:rPr>
        <w:t>סיכום</w:t>
      </w:r>
      <w:r>
        <w:rPr>
          <w:sz w:val="20"/>
          <w:szCs w:val="20"/>
          <w:rtl/>
        </w:rPr>
        <w:br/>
      </w:r>
      <w:r>
        <w:rPr>
          <w:rFonts w:hint="cs"/>
          <w:sz w:val="20"/>
          <w:szCs w:val="20"/>
          <w:rtl/>
        </w:rPr>
        <w:t xml:space="preserve">1. </w:t>
      </w:r>
      <w:r w:rsidRPr="00A63C40">
        <w:rPr>
          <w:rFonts w:hint="cs"/>
          <w:b/>
          <w:bCs/>
          <w:sz w:val="20"/>
          <w:szCs w:val="20"/>
          <w:rtl/>
        </w:rPr>
        <w:t>משנה</w:t>
      </w:r>
      <w:r>
        <w:rPr>
          <w:rFonts w:hint="cs"/>
          <w:sz w:val="20"/>
          <w:szCs w:val="20"/>
          <w:rtl/>
        </w:rPr>
        <w:t xml:space="preserve">. אשה שעושה צרכיה ורואה דם. </w:t>
      </w:r>
      <w:r w:rsidRPr="00A63C40">
        <w:rPr>
          <w:rFonts w:hint="cs"/>
          <w:sz w:val="20"/>
          <w:szCs w:val="20"/>
          <w:u w:val="single"/>
          <w:rtl/>
        </w:rPr>
        <w:t>רבי מאיר</w:t>
      </w:r>
      <w:r>
        <w:rPr>
          <w:rFonts w:hint="cs"/>
          <w:sz w:val="20"/>
          <w:szCs w:val="20"/>
          <w:rtl/>
        </w:rPr>
        <w:t xml:space="preserve">. עומדת טמאה, יושבת טהורה. </w:t>
      </w:r>
      <w:r w:rsidRPr="00A63C40">
        <w:rPr>
          <w:rFonts w:hint="cs"/>
          <w:sz w:val="20"/>
          <w:szCs w:val="20"/>
          <w:u w:val="single"/>
          <w:rtl/>
        </w:rPr>
        <w:t>רבי יוסי</w:t>
      </w:r>
      <w:r>
        <w:rPr>
          <w:rFonts w:hint="cs"/>
          <w:sz w:val="20"/>
          <w:szCs w:val="20"/>
          <w:rtl/>
        </w:rPr>
        <w:t xml:space="preserve"> </w:t>
      </w:r>
      <w:r>
        <w:rPr>
          <w:sz w:val="20"/>
          <w:szCs w:val="20"/>
          <w:rtl/>
        </w:rPr>
        <w:t>–</w:t>
      </w:r>
      <w:r>
        <w:rPr>
          <w:rFonts w:hint="cs"/>
          <w:sz w:val="20"/>
          <w:szCs w:val="20"/>
          <w:rtl/>
        </w:rPr>
        <w:t xml:space="preserve"> טהורה תמיד.</w:t>
      </w:r>
      <w:r>
        <w:rPr>
          <w:sz w:val="20"/>
          <w:szCs w:val="20"/>
          <w:rtl/>
        </w:rPr>
        <w:br/>
      </w:r>
      <w:r>
        <w:rPr>
          <w:rFonts w:hint="cs"/>
          <w:sz w:val="20"/>
          <w:szCs w:val="20"/>
          <w:rtl/>
        </w:rPr>
        <w:t xml:space="preserve">2. </w:t>
      </w:r>
      <w:r w:rsidRPr="00A63C40">
        <w:rPr>
          <w:rFonts w:hint="cs"/>
          <w:b/>
          <w:bCs/>
          <w:sz w:val="20"/>
          <w:szCs w:val="20"/>
          <w:rtl/>
        </w:rPr>
        <w:t>גמרא</w:t>
      </w:r>
      <w:r>
        <w:rPr>
          <w:rFonts w:hint="cs"/>
          <w:sz w:val="20"/>
          <w:szCs w:val="20"/>
          <w:rtl/>
        </w:rPr>
        <w:t xml:space="preserve">. מה החילוק בין עומדת ליושבת? תשובה </w:t>
      </w:r>
      <w:r>
        <w:rPr>
          <w:sz w:val="20"/>
          <w:szCs w:val="20"/>
          <w:rtl/>
        </w:rPr>
        <w:t>–</w:t>
      </w:r>
      <w:r>
        <w:rPr>
          <w:rFonts w:hint="cs"/>
          <w:sz w:val="20"/>
          <w:szCs w:val="20"/>
          <w:rtl/>
        </w:rPr>
        <w:t xml:space="preserve"> יושבת ומזנקת </w:t>
      </w:r>
      <w:r w:rsidRPr="00B049B5">
        <w:rPr>
          <w:rFonts w:hint="cs"/>
          <w:sz w:val="20"/>
          <w:szCs w:val="20"/>
          <w:u w:val="single"/>
          <w:rtl/>
        </w:rPr>
        <w:t>לתוך</w:t>
      </w:r>
      <w:r>
        <w:rPr>
          <w:rFonts w:hint="cs"/>
          <w:sz w:val="20"/>
          <w:szCs w:val="20"/>
          <w:rtl/>
        </w:rPr>
        <w:t xml:space="preserve"> הספל, ודאי הדם מחמת מ"ר.</w:t>
      </w:r>
      <w:r>
        <w:rPr>
          <w:rFonts w:hint="cs"/>
          <w:sz w:val="20"/>
          <w:szCs w:val="20"/>
          <w:rtl/>
        </w:rPr>
        <w:br/>
        <w:t xml:space="preserve">3. </w:t>
      </w:r>
      <w:r w:rsidRPr="00A63C40">
        <w:rPr>
          <w:rFonts w:hint="cs"/>
          <w:b/>
          <w:bCs/>
          <w:sz w:val="20"/>
          <w:szCs w:val="20"/>
          <w:rtl/>
        </w:rPr>
        <w:t>גמרא</w:t>
      </w:r>
      <w:r>
        <w:rPr>
          <w:rFonts w:hint="cs"/>
          <w:sz w:val="20"/>
          <w:szCs w:val="20"/>
          <w:rtl/>
        </w:rPr>
        <w:t>. הלכה כרבי יוסי.</w:t>
      </w:r>
      <w:r>
        <w:rPr>
          <w:sz w:val="20"/>
          <w:szCs w:val="20"/>
          <w:rtl/>
        </w:rPr>
        <w:br/>
      </w:r>
      <w:r>
        <w:rPr>
          <w:rFonts w:hint="cs"/>
          <w:sz w:val="20"/>
          <w:szCs w:val="20"/>
          <w:rtl/>
        </w:rPr>
        <w:t xml:space="preserve">4. שיטות הראשונים. א. </w:t>
      </w:r>
      <w:r w:rsidRPr="00BB64CA">
        <w:rPr>
          <w:rFonts w:hint="cs"/>
          <w:b/>
          <w:bCs/>
          <w:sz w:val="20"/>
          <w:szCs w:val="20"/>
          <w:rtl/>
        </w:rPr>
        <w:t>רש"י ורמב"ם</w:t>
      </w:r>
      <w:r>
        <w:rPr>
          <w:rFonts w:hint="cs"/>
          <w:sz w:val="20"/>
          <w:szCs w:val="20"/>
          <w:rtl/>
        </w:rPr>
        <w:t xml:space="preserve"> </w:t>
      </w:r>
      <w:r>
        <w:rPr>
          <w:sz w:val="20"/>
          <w:szCs w:val="20"/>
          <w:rtl/>
        </w:rPr>
        <w:t>–</w:t>
      </w:r>
      <w:r>
        <w:rPr>
          <w:rFonts w:hint="cs"/>
          <w:sz w:val="20"/>
          <w:szCs w:val="20"/>
          <w:rtl/>
        </w:rPr>
        <w:t xml:space="preserve"> תמיד טהורה, וכ"פ </w:t>
      </w:r>
      <w:r w:rsidRPr="00BB64CA">
        <w:rPr>
          <w:rFonts w:hint="cs"/>
          <w:b/>
          <w:bCs/>
          <w:sz w:val="20"/>
          <w:szCs w:val="20"/>
          <w:rtl/>
        </w:rPr>
        <w:t>המחבר</w:t>
      </w:r>
      <w:r>
        <w:rPr>
          <w:rFonts w:hint="cs"/>
          <w:sz w:val="20"/>
          <w:szCs w:val="20"/>
          <w:rtl/>
        </w:rPr>
        <w:t xml:space="preserve">. ב. </w:t>
      </w:r>
      <w:r w:rsidRPr="00BB64CA">
        <w:rPr>
          <w:rFonts w:hint="cs"/>
          <w:b/>
          <w:bCs/>
          <w:sz w:val="20"/>
          <w:szCs w:val="20"/>
          <w:rtl/>
        </w:rPr>
        <w:t>רא"ש</w:t>
      </w:r>
      <w:r>
        <w:rPr>
          <w:rFonts w:hint="cs"/>
          <w:sz w:val="20"/>
          <w:szCs w:val="20"/>
          <w:rtl/>
        </w:rPr>
        <w:t xml:space="preserve">. עומדת ושותתת טמאה, שאר האופנים טהורה. ג. </w:t>
      </w:r>
      <w:r w:rsidRPr="00BB64CA">
        <w:rPr>
          <w:rFonts w:hint="cs"/>
          <w:b/>
          <w:bCs/>
          <w:sz w:val="20"/>
          <w:szCs w:val="20"/>
          <w:rtl/>
        </w:rPr>
        <w:t>ר"ח</w:t>
      </w:r>
      <w:r>
        <w:rPr>
          <w:rFonts w:hint="cs"/>
          <w:sz w:val="20"/>
          <w:szCs w:val="20"/>
          <w:rtl/>
        </w:rPr>
        <w:t xml:space="preserve">. עומדת טמאה תמיד. יושבת טהורה כשמזנקת ונמצא בתוך הספל, וכ"פ </w:t>
      </w:r>
      <w:r w:rsidRPr="00BB64CA">
        <w:rPr>
          <w:rFonts w:hint="cs"/>
          <w:b/>
          <w:bCs/>
          <w:sz w:val="20"/>
          <w:szCs w:val="20"/>
          <w:rtl/>
        </w:rPr>
        <w:t>הרמ"א</w:t>
      </w:r>
      <w:r>
        <w:rPr>
          <w:rFonts w:hint="cs"/>
          <w:sz w:val="20"/>
          <w:szCs w:val="20"/>
          <w:rtl/>
        </w:rPr>
        <w:t>.</w:t>
      </w:r>
      <w:r>
        <w:rPr>
          <w:rFonts w:hint="cs"/>
          <w:sz w:val="20"/>
          <w:szCs w:val="20"/>
          <w:rtl/>
        </w:rPr>
        <w:br/>
        <w:t xml:space="preserve">5. </w:t>
      </w:r>
      <w:r w:rsidRPr="00180C7D">
        <w:rPr>
          <w:rFonts w:hint="cs"/>
          <w:b/>
          <w:bCs/>
          <w:sz w:val="20"/>
          <w:szCs w:val="20"/>
          <w:rtl/>
        </w:rPr>
        <w:t>טעמים</w:t>
      </w:r>
      <w:r w:rsidRPr="00180C7D">
        <w:rPr>
          <w:rFonts w:hint="cs"/>
          <w:sz w:val="20"/>
          <w:szCs w:val="20"/>
          <w:rtl/>
        </w:rPr>
        <w:t>.</w:t>
      </w:r>
      <w:r>
        <w:rPr>
          <w:rFonts w:hint="cs"/>
          <w:b/>
          <w:bCs/>
          <w:sz w:val="20"/>
          <w:szCs w:val="20"/>
          <w:rtl/>
        </w:rPr>
        <w:t xml:space="preserve"> </w:t>
      </w:r>
      <w:r w:rsidRPr="00A63C40">
        <w:rPr>
          <w:rFonts w:hint="cs"/>
          <w:b/>
          <w:bCs/>
          <w:sz w:val="20"/>
          <w:szCs w:val="20"/>
          <w:rtl/>
        </w:rPr>
        <w:t>רש"י</w:t>
      </w:r>
      <w:r>
        <w:rPr>
          <w:rFonts w:hint="cs"/>
          <w:sz w:val="20"/>
          <w:szCs w:val="20"/>
          <w:rtl/>
        </w:rPr>
        <w:t>. הגמרא העמידה את ר"מ ביושבת ומזנקת, אך רבי יוסי מטהר בכל עניין וכן הלכה.</w:t>
      </w:r>
      <w:r>
        <w:rPr>
          <w:sz w:val="20"/>
          <w:szCs w:val="20"/>
          <w:rtl/>
        </w:rPr>
        <w:br/>
      </w:r>
      <w:r w:rsidRPr="00A63C40">
        <w:rPr>
          <w:rFonts w:hint="cs"/>
          <w:b/>
          <w:bCs/>
          <w:sz w:val="20"/>
          <w:szCs w:val="20"/>
          <w:rtl/>
        </w:rPr>
        <w:t>רא"ש</w:t>
      </w:r>
      <w:r>
        <w:rPr>
          <w:rFonts w:hint="cs"/>
          <w:sz w:val="20"/>
          <w:szCs w:val="20"/>
          <w:rtl/>
        </w:rPr>
        <w:t>. כל המשנה במזנקת ור"מ טימא בחדא לריעותא, עומדת מזנקת. ר"י מטהר בחד ריעותא, בתרי טמאה.</w:t>
      </w:r>
      <w:r>
        <w:rPr>
          <w:rFonts w:hint="cs"/>
          <w:sz w:val="20"/>
          <w:szCs w:val="20"/>
          <w:rtl/>
        </w:rPr>
        <w:br/>
      </w:r>
      <w:r w:rsidRPr="00A63C40">
        <w:rPr>
          <w:rFonts w:hint="cs"/>
          <w:b/>
          <w:bCs/>
          <w:sz w:val="20"/>
          <w:szCs w:val="20"/>
          <w:rtl/>
        </w:rPr>
        <w:t>ר"ח</w:t>
      </w:r>
      <w:r>
        <w:rPr>
          <w:rFonts w:hint="cs"/>
          <w:sz w:val="20"/>
          <w:szCs w:val="20"/>
          <w:rtl/>
        </w:rPr>
        <w:t>. ר"י טיהר משום נידה, אך מכל מקום מטמא משום כתם. יושבת ומזנקת טהורה משום שגם ר"מ טיהר.</w:t>
      </w:r>
      <w:r>
        <w:rPr>
          <w:rFonts w:hint="cs"/>
          <w:sz w:val="20"/>
          <w:szCs w:val="20"/>
          <w:rtl/>
        </w:rPr>
        <w:br/>
        <w:t xml:space="preserve">6. </w:t>
      </w:r>
      <w:r w:rsidRPr="00A63C40">
        <w:rPr>
          <w:rFonts w:hint="cs"/>
          <w:b/>
          <w:bCs/>
          <w:sz w:val="20"/>
          <w:szCs w:val="20"/>
          <w:rtl/>
        </w:rPr>
        <w:t>בית יוסף</w:t>
      </w:r>
      <w:r>
        <w:rPr>
          <w:rFonts w:hint="cs"/>
          <w:sz w:val="20"/>
          <w:szCs w:val="20"/>
          <w:rtl/>
        </w:rPr>
        <w:t xml:space="preserve">. לדעת הרמב"ם אפילו אם הרגישה בעת יציאת מ"ר </w:t>
      </w:r>
      <w:r>
        <w:rPr>
          <w:sz w:val="20"/>
          <w:szCs w:val="20"/>
          <w:rtl/>
        </w:rPr>
        <w:t>–</w:t>
      </w:r>
      <w:r>
        <w:rPr>
          <w:rFonts w:hint="cs"/>
          <w:sz w:val="20"/>
          <w:szCs w:val="20"/>
          <w:rtl/>
        </w:rPr>
        <w:t xml:space="preserve"> טהורה, כנראה הרגישה את יציאת המ"ר.</w:t>
      </w:r>
      <w:r>
        <w:rPr>
          <w:sz w:val="20"/>
          <w:szCs w:val="20"/>
          <w:rtl/>
        </w:rPr>
        <w:br/>
      </w:r>
      <w:r>
        <w:rPr>
          <w:rFonts w:hint="cs"/>
          <w:sz w:val="20"/>
          <w:szCs w:val="20"/>
          <w:rtl/>
        </w:rPr>
        <w:t xml:space="preserve">7. </w:t>
      </w:r>
      <w:r w:rsidRPr="00A63C40">
        <w:rPr>
          <w:rFonts w:hint="cs"/>
          <w:b/>
          <w:bCs/>
          <w:sz w:val="20"/>
          <w:szCs w:val="20"/>
          <w:rtl/>
        </w:rPr>
        <w:t>מחבר</w:t>
      </w:r>
      <w:r>
        <w:rPr>
          <w:rFonts w:hint="cs"/>
          <w:sz w:val="20"/>
          <w:szCs w:val="20"/>
          <w:rtl/>
        </w:rPr>
        <w:t xml:space="preserve">. אשה שהשתינה ויצא דם עם השתן, אפילו אם הרגישה </w:t>
      </w:r>
      <w:r>
        <w:rPr>
          <w:sz w:val="20"/>
          <w:szCs w:val="20"/>
          <w:rtl/>
        </w:rPr>
        <w:t>–</w:t>
      </w:r>
      <w:r>
        <w:rPr>
          <w:rFonts w:hint="cs"/>
          <w:sz w:val="20"/>
          <w:szCs w:val="20"/>
          <w:rtl/>
        </w:rPr>
        <w:t xml:space="preserve"> טהורה בכל עניין.</w:t>
      </w:r>
      <w:r>
        <w:rPr>
          <w:rFonts w:hint="cs"/>
          <w:sz w:val="20"/>
          <w:szCs w:val="20"/>
          <w:rtl/>
        </w:rPr>
        <w:br/>
      </w:r>
      <w:r w:rsidRPr="00EA2D6F">
        <w:rPr>
          <w:rFonts w:hint="cs"/>
          <w:b/>
          <w:bCs/>
          <w:sz w:val="20"/>
          <w:szCs w:val="20"/>
          <w:rtl/>
        </w:rPr>
        <w:t>רמ"א</w:t>
      </w:r>
      <w:r>
        <w:rPr>
          <w:rFonts w:hint="cs"/>
          <w:sz w:val="20"/>
          <w:szCs w:val="20"/>
          <w:rtl/>
        </w:rPr>
        <w:t xml:space="preserve">. יש אומרים שעומדת ושותתת טמאה </w:t>
      </w:r>
      <w:r w:rsidRPr="00EA2D6F">
        <w:rPr>
          <w:rFonts w:hint="cs"/>
          <w:sz w:val="18"/>
          <w:szCs w:val="18"/>
          <w:rtl/>
        </w:rPr>
        <w:t>(רא"ש)</w:t>
      </w:r>
      <w:r>
        <w:rPr>
          <w:rFonts w:hint="cs"/>
          <w:sz w:val="20"/>
          <w:szCs w:val="20"/>
          <w:rtl/>
        </w:rPr>
        <w:t xml:space="preserve">. לדינא רק יושבת ומזנקת ונמצא בתוך הספל טהורה </w:t>
      </w:r>
      <w:r w:rsidRPr="00EA2D6F">
        <w:rPr>
          <w:rFonts w:hint="cs"/>
          <w:sz w:val="18"/>
          <w:szCs w:val="18"/>
          <w:rtl/>
        </w:rPr>
        <w:t>(ר"ח)</w:t>
      </w:r>
      <w:r>
        <w:rPr>
          <w:rFonts w:hint="cs"/>
          <w:sz w:val="20"/>
          <w:szCs w:val="20"/>
          <w:rtl/>
        </w:rPr>
        <w:t>.</w:t>
      </w:r>
      <w:r>
        <w:rPr>
          <w:rFonts w:hint="cs"/>
          <w:sz w:val="20"/>
          <w:szCs w:val="20"/>
          <w:rtl/>
        </w:rPr>
        <w:br/>
        <w:t xml:space="preserve">8. </w:t>
      </w:r>
      <w:r w:rsidRPr="00A63C40">
        <w:rPr>
          <w:rFonts w:hint="cs"/>
          <w:b/>
          <w:bCs/>
          <w:sz w:val="20"/>
          <w:szCs w:val="20"/>
          <w:rtl/>
        </w:rPr>
        <w:t>ששבה"ל</w:t>
      </w:r>
      <w:r>
        <w:rPr>
          <w:rFonts w:hint="cs"/>
          <w:sz w:val="20"/>
          <w:szCs w:val="20"/>
          <w:rtl/>
        </w:rPr>
        <w:t xml:space="preserve">. דם הנמצא על שפת האסלה שבימינו </w:t>
      </w:r>
      <w:r>
        <w:rPr>
          <w:sz w:val="20"/>
          <w:szCs w:val="20"/>
          <w:rtl/>
        </w:rPr>
        <w:t>–</w:t>
      </w:r>
      <w:r>
        <w:rPr>
          <w:rFonts w:hint="cs"/>
          <w:sz w:val="20"/>
          <w:szCs w:val="20"/>
          <w:rtl/>
        </w:rPr>
        <w:t xml:space="preserve"> טהורה עד כגריס, משום שהאסלה הוי כעד שאינו בדוק.</w:t>
      </w:r>
      <w:r>
        <w:rPr>
          <w:sz w:val="20"/>
          <w:szCs w:val="20"/>
          <w:rtl/>
        </w:rPr>
        <w:br/>
      </w:r>
      <w:r>
        <w:rPr>
          <w:rFonts w:hint="cs"/>
          <w:sz w:val="20"/>
          <w:szCs w:val="20"/>
          <w:rtl/>
        </w:rPr>
        <w:t>9</w:t>
      </w:r>
      <w:r w:rsidRPr="00180C7D">
        <w:rPr>
          <w:rFonts w:hint="cs"/>
          <w:sz w:val="20"/>
          <w:szCs w:val="20"/>
          <w:rtl/>
        </w:rPr>
        <w:t xml:space="preserve">. זקנה שראתה דם במ"ר. </w:t>
      </w:r>
      <w:r w:rsidRPr="00180C7D">
        <w:rPr>
          <w:rFonts w:hint="cs"/>
          <w:b/>
          <w:bCs/>
          <w:sz w:val="20"/>
          <w:szCs w:val="20"/>
          <w:rtl/>
        </w:rPr>
        <w:t>פ"מ</w:t>
      </w:r>
      <w:r w:rsidRPr="00180C7D">
        <w:rPr>
          <w:rFonts w:hint="cs"/>
          <w:sz w:val="20"/>
          <w:szCs w:val="20"/>
          <w:rtl/>
        </w:rPr>
        <w:t xml:space="preserve">. טהורה, מקלים בכתם בזקנה. </w:t>
      </w:r>
      <w:r w:rsidRPr="00180C7D">
        <w:rPr>
          <w:rFonts w:hint="cs"/>
          <w:b/>
          <w:bCs/>
          <w:sz w:val="20"/>
          <w:szCs w:val="20"/>
          <w:rtl/>
        </w:rPr>
        <w:t>פת"ש</w:t>
      </w:r>
      <w:r w:rsidRPr="00180C7D">
        <w:rPr>
          <w:rFonts w:hint="cs"/>
          <w:sz w:val="20"/>
          <w:szCs w:val="20"/>
          <w:rtl/>
        </w:rPr>
        <w:t>. טמאה, אין קולא בכתם של זקנה.</w:t>
      </w:r>
      <w:r w:rsidRPr="00180C7D">
        <w:rPr>
          <w:rFonts w:hint="cs"/>
          <w:sz w:val="20"/>
          <w:szCs w:val="20"/>
          <w:rtl/>
        </w:rPr>
        <w:br/>
        <w:t xml:space="preserve">10. בדעת הרמ"א </w:t>
      </w:r>
      <w:r w:rsidRPr="00180C7D">
        <w:rPr>
          <w:sz w:val="20"/>
          <w:szCs w:val="20"/>
          <w:rtl/>
        </w:rPr>
        <w:t>–</w:t>
      </w:r>
      <w:r w:rsidRPr="00180C7D">
        <w:rPr>
          <w:rFonts w:hint="cs"/>
          <w:sz w:val="20"/>
          <w:szCs w:val="20"/>
          <w:rtl/>
        </w:rPr>
        <w:t xml:space="preserve"> אשה שמרגישה כאב בעת הטלת מ"ר ומוצאת דם במ"ר ועל עד הבדיקה. </w:t>
      </w:r>
      <w:r w:rsidRPr="00180C7D">
        <w:rPr>
          <w:rFonts w:hint="cs"/>
          <w:b/>
          <w:bCs/>
          <w:sz w:val="20"/>
          <w:szCs w:val="20"/>
          <w:rtl/>
        </w:rPr>
        <w:t>מהר"י מולין</w:t>
      </w:r>
      <w:r w:rsidRPr="00180C7D">
        <w:rPr>
          <w:rFonts w:hint="cs"/>
          <w:sz w:val="20"/>
          <w:szCs w:val="20"/>
          <w:rtl/>
        </w:rPr>
        <w:t xml:space="preserve"> </w:t>
      </w:r>
      <w:r w:rsidRPr="00180C7D">
        <w:rPr>
          <w:sz w:val="20"/>
          <w:szCs w:val="20"/>
          <w:rtl/>
        </w:rPr>
        <w:t>–</w:t>
      </w:r>
      <w:r w:rsidRPr="00180C7D">
        <w:rPr>
          <w:rFonts w:hint="cs"/>
          <w:sz w:val="20"/>
          <w:szCs w:val="20"/>
          <w:rtl/>
        </w:rPr>
        <w:t xml:space="preserve"> טמאה. </w:t>
      </w:r>
      <w:r w:rsidRPr="00180C7D">
        <w:rPr>
          <w:rFonts w:hint="cs"/>
          <w:b/>
          <w:bCs/>
          <w:sz w:val="20"/>
          <w:szCs w:val="20"/>
          <w:rtl/>
        </w:rPr>
        <w:t>הגש"ד</w:t>
      </w:r>
      <w:r w:rsidRPr="00180C7D">
        <w:rPr>
          <w:rFonts w:hint="cs"/>
          <w:sz w:val="20"/>
          <w:szCs w:val="20"/>
          <w:rtl/>
        </w:rPr>
        <w:t xml:space="preserve">. טהורה, וכ"פ </w:t>
      </w:r>
      <w:r w:rsidRPr="00180C7D">
        <w:rPr>
          <w:rFonts w:hint="cs"/>
          <w:b/>
          <w:bCs/>
          <w:sz w:val="20"/>
          <w:szCs w:val="20"/>
          <w:rtl/>
        </w:rPr>
        <w:t>הרמ"א</w:t>
      </w:r>
      <w:r w:rsidRPr="00180C7D">
        <w:rPr>
          <w:rFonts w:hint="cs"/>
          <w:sz w:val="20"/>
          <w:szCs w:val="20"/>
          <w:rtl/>
        </w:rPr>
        <w:t xml:space="preserve">. </w:t>
      </w:r>
      <w:r w:rsidRPr="00180C7D">
        <w:rPr>
          <w:rFonts w:hint="cs"/>
          <w:b/>
          <w:bCs/>
          <w:sz w:val="20"/>
          <w:szCs w:val="20"/>
          <w:rtl/>
        </w:rPr>
        <w:t>טעם</w:t>
      </w:r>
      <w:r w:rsidRPr="00180C7D">
        <w:rPr>
          <w:rFonts w:hint="cs"/>
          <w:sz w:val="20"/>
          <w:szCs w:val="20"/>
          <w:rtl/>
        </w:rPr>
        <w:t xml:space="preserve">. ודאי זה דם מכה. אך אם ראתה דם גם כשלא כואב לה </w:t>
      </w:r>
      <w:r w:rsidRPr="00180C7D">
        <w:rPr>
          <w:sz w:val="20"/>
          <w:szCs w:val="20"/>
          <w:rtl/>
        </w:rPr>
        <w:t>–</w:t>
      </w:r>
      <w:r w:rsidRPr="00180C7D">
        <w:rPr>
          <w:rFonts w:hint="cs"/>
          <w:sz w:val="20"/>
          <w:szCs w:val="20"/>
          <w:rtl/>
        </w:rPr>
        <w:t xml:space="preserve"> טמאה.</w:t>
      </w:r>
      <w:r w:rsidRPr="00180C7D">
        <w:rPr>
          <w:rFonts w:hint="cs"/>
          <w:sz w:val="20"/>
          <w:szCs w:val="20"/>
          <w:rtl/>
        </w:rPr>
        <w:br/>
        <w:t xml:space="preserve">11. </w:t>
      </w:r>
      <w:r w:rsidRPr="00180C7D">
        <w:rPr>
          <w:rFonts w:hint="cs"/>
          <w:b/>
          <w:bCs/>
          <w:sz w:val="20"/>
          <w:szCs w:val="20"/>
          <w:rtl/>
        </w:rPr>
        <w:t>רמ"א</w:t>
      </w:r>
      <w:r w:rsidRPr="00180C7D">
        <w:rPr>
          <w:rFonts w:hint="cs"/>
          <w:sz w:val="20"/>
          <w:szCs w:val="20"/>
          <w:rtl/>
        </w:rPr>
        <w:t xml:space="preserve">. אע"פ שטהורה אם משתינה בכאב, החמיר </w:t>
      </w:r>
      <w:r w:rsidRPr="00180C7D">
        <w:rPr>
          <w:rFonts w:hint="cs"/>
          <w:b/>
          <w:bCs/>
          <w:sz w:val="20"/>
          <w:szCs w:val="20"/>
          <w:rtl/>
        </w:rPr>
        <w:t>מהרי"ל</w:t>
      </w:r>
      <w:r w:rsidRPr="00180C7D">
        <w:rPr>
          <w:rFonts w:hint="cs"/>
          <w:sz w:val="20"/>
          <w:szCs w:val="20"/>
          <w:rtl/>
        </w:rPr>
        <w:t xml:space="preserve"> לבדוק זאת ג"פ ע"י עד בדיקה שיהיה במקור ויוודא שהדם אינו מהמקור, וכן הלכה. </w:t>
      </w:r>
      <w:r w:rsidRPr="00180C7D">
        <w:rPr>
          <w:rFonts w:hint="cs"/>
          <w:b/>
          <w:bCs/>
          <w:sz w:val="20"/>
          <w:szCs w:val="20"/>
          <w:rtl/>
        </w:rPr>
        <w:t>ש"ך</w:t>
      </w:r>
      <w:r w:rsidRPr="00180C7D">
        <w:rPr>
          <w:rFonts w:hint="cs"/>
          <w:sz w:val="20"/>
          <w:szCs w:val="20"/>
          <w:rtl/>
        </w:rPr>
        <w:t>. הבדיקה מועילה רק באשה שרגילה לראות גם שלא בשעת השתן.</w:t>
      </w:r>
      <w:r w:rsidRPr="00180C7D">
        <w:rPr>
          <w:rFonts w:hint="cs"/>
          <w:sz w:val="20"/>
          <w:szCs w:val="20"/>
          <w:rtl/>
        </w:rPr>
        <w:br/>
        <w:t>12. דם שיוצא עם מ"ר ללא כאב ונמצא גם</w:t>
      </w:r>
      <w:r>
        <w:rPr>
          <w:rFonts w:hint="cs"/>
          <w:sz w:val="20"/>
          <w:szCs w:val="20"/>
          <w:rtl/>
        </w:rPr>
        <w:t xml:space="preserve"> על</w:t>
      </w:r>
      <w:r w:rsidRPr="00180C7D">
        <w:rPr>
          <w:rFonts w:hint="cs"/>
          <w:sz w:val="20"/>
          <w:szCs w:val="20"/>
          <w:rtl/>
        </w:rPr>
        <w:t xml:space="preserve"> העד. </w:t>
      </w:r>
      <w:r w:rsidRPr="00180C7D">
        <w:rPr>
          <w:rFonts w:hint="cs"/>
          <w:b/>
          <w:bCs/>
          <w:sz w:val="20"/>
          <w:szCs w:val="20"/>
          <w:rtl/>
        </w:rPr>
        <w:t>מרדכי</w:t>
      </w:r>
      <w:r>
        <w:rPr>
          <w:rFonts w:hint="cs"/>
          <w:sz w:val="20"/>
          <w:szCs w:val="20"/>
          <w:rtl/>
        </w:rPr>
        <w:t xml:space="preserve">. טמאה, רק דם בספל טהורה. </w:t>
      </w:r>
      <w:r w:rsidRPr="00A63C40">
        <w:rPr>
          <w:rFonts w:hint="cs"/>
          <w:b/>
          <w:bCs/>
          <w:sz w:val="20"/>
          <w:szCs w:val="20"/>
          <w:rtl/>
        </w:rPr>
        <w:t>רא"ש</w:t>
      </w:r>
      <w:r>
        <w:rPr>
          <w:rFonts w:hint="cs"/>
          <w:sz w:val="20"/>
          <w:szCs w:val="20"/>
          <w:rtl/>
        </w:rPr>
        <w:t xml:space="preserve">. טהורה, הדם על העד הגיע ממ"ר. </w:t>
      </w:r>
      <w:r w:rsidRPr="00A63C40">
        <w:rPr>
          <w:rFonts w:hint="cs"/>
          <w:b/>
          <w:bCs/>
          <w:sz w:val="20"/>
          <w:szCs w:val="20"/>
          <w:rtl/>
        </w:rPr>
        <w:t>ב"י</w:t>
      </w:r>
      <w:r>
        <w:rPr>
          <w:rFonts w:hint="cs"/>
          <w:sz w:val="20"/>
          <w:szCs w:val="20"/>
          <w:rtl/>
        </w:rPr>
        <w:t xml:space="preserve">. דם שנמצא רק על העד ולא במ"ר </w:t>
      </w:r>
      <w:r>
        <w:rPr>
          <w:sz w:val="20"/>
          <w:szCs w:val="20"/>
          <w:rtl/>
        </w:rPr>
        <w:t>–</w:t>
      </w:r>
      <w:r>
        <w:rPr>
          <w:rFonts w:hint="cs"/>
          <w:sz w:val="20"/>
          <w:szCs w:val="20"/>
          <w:rtl/>
        </w:rPr>
        <w:t xml:space="preserve"> טמאה לכו"ע, ברור שלא הגיע מחמת מ"ר.</w:t>
      </w:r>
      <w:r>
        <w:rPr>
          <w:rFonts w:hint="cs"/>
          <w:sz w:val="20"/>
          <w:szCs w:val="20"/>
          <w:rtl/>
        </w:rPr>
        <w:br/>
        <w:t xml:space="preserve">13. </w:t>
      </w:r>
      <w:r w:rsidRPr="00A63C40">
        <w:rPr>
          <w:rFonts w:hint="cs"/>
          <w:b/>
          <w:bCs/>
          <w:sz w:val="20"/>
          <w:szCs w:val="20"/>
          <w:rtl/>
        </w:rPr>
        <w:t>רמ"א</w:t>
      </w:r>
      <w:r>
        <w:rPr>
          <w:rFonts w:hint="cs"/>
          <w:sz w:val="20"/>
          <w:szCs w:val="20"/>
          <w:rtl/>
        </w:rPr>
        <w:t xml:space="preserve">. דם שיוצא ללא כאב ונמצא רק על העד טמאה, כב"י. נמצא גם במ"ר </w:t>
      </w:r>
      <w:r>
        <w:rPr>
          <w:sz w:val="20"/>
          <w:szCs w:val="20"/>
          <w:rtl/>
        </w:rPr>
        <w:t>–</w:t>
      </w:r>
      <w:r>
        <w:rPr>
          <w:rFonts w:hint="cs"/>
          <w:sz w:val="20"/>
          <w:szCs w:val="20"/>
          <w:rtl/>
        </w:rPr>
        <w:t xml:space="preserve"> יש להחמיר כמרדכי וטמאה.</w:t>
      </w:r>
      <w:r>
        <w:rPr>
          <w:rFonts w:hint="cs"/>
          <w:sz w:val="20"/>
          <w:szCs w:val="20"/>
          <w:rtl/>
        </w:rPr>
        <w:br/>
        <w:t xml:space="preserve">14. </w:t>
      </w:r>
      <w:r w:rsidRPr="00A63C40">
        <w:rPr>
          <w:rFonts w:hint="cs"/>
          <w:b/>
          <w:bCs/>
          <w:sz w:val="20"/>
          <w:szCs w:val="20"/>
          <w:rtl/>
        </w:rPr>
        <w:t>ש"ך</w:t>
      </w:r>
      <w:r>
        <w:rPr>
          <w:rFonts w:hint="cs"/>
          <w:sz w:val="20"/>
          <w:szCs w:val="20"/>
          <w:rtl/>
        </w:rPr>
        <w:t>. הרמ"א תמוה, מעיקר הדין יש לטמא כאן, שהרי לעיל טיהר רק יושבת מזנקת ונמצא בתוך הספל.</w:t>
      </w:r>
      <w:r>
        <w:rPr>
          <w:sz w:val="20"/>
          <w:szCs w:val="20"/>
          <w:rtl/>
        </w:rPr>
        <w:br/>
      </w:r>
      <w:r>
        <w:rPr>
          <w:rFonts w:hint="cs"/>
          <w:sz w:val="20"/>
          <w:szCs w:val="20"/>
          <w:rtl/>
        </w:rPr>
        <w:t xml:space="preserve">15. </w:t>
      </w:r>
      <w:r w:rsidRPr="00A63C40">
        <w:rPr>
          <w:rFonts w:hint="cs"/>
          <w:b/>
          <w:bCs/>
          <w:sz w:val="20"/>
          <w:szCs w:val="20"/>
          <w:rtl/>
        </w:rPr>
        <w:t>רמ"א</w:t>
      </w:r>
      <w:r>
        <w:rPr>
          <w:rFonts w:hint="cs"/>
          <w:sz w:val="20"/>
          <w:szCs w:val="20"/>
          <w:rtl/>
        </w:rPr>
        <w:t xml:space="preserve">. אע"פ שיושבת מקלחת ונמצא גם על העד טמאה, מכל מקום אינה צריכה לבדוק את עצמה. </w:t>
      </w:r>
      <w:r w:rsidRPr="00A63C40">
        <w:rPr>
          <w:rFonts w:hint="cs"/>
          <w:b/>
          <w:bCs/>
          <w:sz w:val="20"/>
          <w:szCs w:val="20"/>
          <w:rtl/>
        </w:rPr>
        <w:t>ששבה"ל</w:t>
      </w:r>
      <w:r>
        <w:rPr>
          <w:rFonts w:hint="cs"/>
          <w:sz w:val="20"/>
          <w:szCs w:val="20"/>
          <w:rtl/>
        </w:rPr>
        <w:t>. לפי"ז, אין צריך לבדוק את הנייר שבו מקנחת האשה את עצמה.</w:t>
      </w:r>
      <w:r>
        <w:rPr>
          <w:sz w:val="20"/>
          <w:szCs w:val="20"/>
          <w:rtl/>
        </w:rPr>
        <w:br/>
      </w:r>
      <w:r>
        <w:rPr>
          <w:rFonts w:hint="cs"/>
          <w:sz w:val="20"/>
          <w:szCs w:val="20"/>
          <w:rtl/>
        </w:rPr>
        <w:lastRenderedPageBreak/>
        <w:t xml:space="preserve">16. </w:t>
      </w:r>
      <w:r w:rsidRPr="00A63C40">
        <w:rPr>
          <w:rFonts w:hint="cs"/>
          <w:b/>
          <w:bCs/>
          <w:sz w:val="20"/>
          <w:szCs w:val="20"/>
          <w:rtl/>
        </w:rPr>
        <w:t>רמ"א</w:t>
      </w:r>
      <w:r>
        <w:rPr>
          <w:rFonts w:hint="cs"/>
          <w:sz w:val="20"/>
          <w:szCs w:val="20"/>
          <w:rtl/>
        </w:rPr>
        <w:t>. היתה רגילה לראות דם במ"ר וקבעה לה ווסת לכך, אם בדקה ג"פ ולא מצאה דם, עקרה את הווסת.</w:t>
      </w:r>
      <w:r>
        <w:rPr>
          <w:rFonts w:hint="cs"/>
          <w:sz w:val="20"/>
          <w:szCs w:val="20"/>
          <w:rtl/>
        </w:rPr>
        <w:br/>
        <w:t xml:space="preserve">17. </w:t>
      </w:r>
      <w:r w:rsidRPr="00A63C40">
        <w:rPr>
          <w:rFonts w:hint="cs"/>
          <w:b/>
          <w:bCs/>
          <w:sz w:val="20"/>
          <w:szCs w:val="20"/>
          <w:rtl/>
        </w:rPr>
        <w:t>ר"ן</w:t>
      </w:r>
      <w:r>
        <w:rPr>
          <w:rFonts w:hint="cs"/>
          <w:sz w:val="20"/>
          <w:szCs w:val="20"/>
          <w:rtl/>
        </w:rPr>
        <w:t xml:space="preserve">. אשה שרגילה לראות כמין חצץ אדום במ"ר ועל עד הבדיקה </w:t>
      </w:r>
      <w:r>
        <w:rPr>
          <w:sz w:val="20"/>
          <w:szCs w:val="20"/>
          <w:rtl/>
        </w:rPr>
        <w:t>–</w:t>
      </w:r>
      <w:r>
        <w:rPr>
          <w:rFonts w:hint="cs"/>
          <w:sz w:val="20"/>
          <w:szCs w:val="20"/>
          <w:rtl/>
        </w:rPr>
        <w:t xml:space="preserve"> טהורה, וכ"פ </w:t>
      </w:r>
      <w:r w:rsidRPr="00A63C40">
        <w:rPr>
          <w:rFonts w:hint="cs"/>
          <w:b/>
          <w:bCs/>
          <w:sz w:val="20"/>
          <w:szCs w:val="20"/>
          <w:rtl/>
        </w:rPr>
        <w:t>הרמ"א</w:t>
      </w:r>
      <w:r>
        <w:rPr>
          <w:rFonts w:hint="cs"/>
          <w:sz w:val="20"/>
          <w:szCs w:val="20"/>
          <w:rtl/>
        </w:rPr>
        <w:t>.</w:t>
      </w:r>
      <w:r>
        <w:rPr>
          <w:sz w:val="20"/>
          <w:szCs w:val="20"/>
          <w:rtl/>
        </w:rPr>
        <w:br/>
      </w:r>
      <w:r>
        <w:rPr>
          <w:rFonts w:hint="cs"/>
          <w:sz w:val="20"/>
          <w:szCs w:val="20"/>
          <w:rtl/>
        </w:rPr>
        <w:t xml:space="preserve">18. </w:t>
      </w:r>
      <w:r w:rsidRPr="00A63C40">
        <w:rPr>
          <w:rFonts w:hint="cs"/>
          <w:b/>
          <w:bCs/>
          <w:sz w:val="20"/>
          <w:szCs w:val="20"/>
          <w:rtl/>
        </w:rPr>
        <w:t>ב"י</w:t>
      </w:r>
      <w:r>
        <w:rPr>
          <w:rFonts w:hint="cs"/>
          <w:sz w:val="20"/>
          <w:szCs w:val="20"/>
          <w:rtl/>
        </w:rPr>
        <w:t xml:space="preserve">. יש לשרות את הקרטין במים, אם נימוחו טמאה. </w:t>
      </w:r>
      <w:r w:rsidRPr="00A63C40">
        <w:rPr>
          <w:rFonts w:hint="cs"/>
          <w:b/>
          <w:bCs/>
          <w:sz w:val="20"/>
          <w:szCs w:val="20"/>
          <w:rtl/>
        </w:rPr>
        <w:t>דרכ"מ</w:t>
      </w:r>
      <w:r>
        <w:rPr>
          <w:rFonts w:hint="cs"/>
          <w:sz w:val="20"/>
          <w:szCs w:val="20"/>
          <w:rtl/>
        </w:rPr>
        <w:t xml:space="preserve">. אין צריך לשרות וטהורה, וכ"פ </w:t>
      </w:r>
      <w:r w:rsidRPr="00A63C40">
        <w:rPr>
          <w:rFonts w:hint="cs"/>
          <w:b/>
          <w:bCs/>
          <w:sz w:val="20"/>
          <w:szCs w:val="20"/>
          <w:rtl/>
        </w:rPr>
        <w:t>ב"ח וט"ז</w:t>
      </w:r>
      <w:r>
        <w:rPr>
          <w:rFonts w:hint="cs"/>
          <w:sz w:val="20"/>
          <w:szCs w:val="20"/>
          <w:rtl/>
        </w:rPr>
        <w:t>.</w:t>
      </w:r>
      <w:r>
        <w:rPr>
          <w:sz w:val="20"/>
          <w:szCs w:val="20"/>
          <w:rtl/>
        </w:rPr>
        <w:br/>
      </w:r>
      <w:r>
        <w:rPr>
          <w:rFonts w:hint="cs"/>
          <w:sz w:val="20"/>
          <w:szCs w:val="20"/>
          <w:rtl/>
        </w:rPr>
        <w:t xml:space="preserve">19. קרטין הנמצא בבדיקה. </w:t>
      </w:r>
      <w:r w:rsidRPr="00895823">
        <w:rPr>
          <w:rFonts w:hint="cs"/>
          <w:b/>
          <w:bCs/>
          <w:sz w:val="20"/>
          <w:szCs w:val="20"/>
          <w:rtl/>
        </w:rPr>
        <w:t>ט"ז</w:t>
      </w:r>
      <w:r>
        <w:rPr>
          <w:rFonts w:hint="cs"/>
          <w:sz w:val="20"/>
          <w:szCs w:val="20"/>
          <w:rtl/>
        </w:rPr>
        <w:t xml:space="preserve">. טהורה. הקרטין אינו מטמא וכן משום שהרגישה כאב. </w:t>
      </w:r>
      <w:r w:rsidRPr="00895823">
        <w:rPr>
          <w:rFonts w:hint="cs"/>
          <w:b/>
          <w:bCs/>
          <w:sz w:val="20"/>
          <w:szCs w:val="20"/>
          <w:rtl/>
        </w:rPr>
        <w:t>חכ"צ</w:t>
      </w:r>
      <w:r>
        <w:rPr>
          <w:rFonts w:hint="cs"/>
          <w:sz w:val="20"/>
          <w:szCs w:val="20"/>
          <w:rtl/>
        </w:rPr>
        <w:t>. טמאה.</w:t>
      </w:r>
      <w:r>
        <w:rPr>
          <w:rFonts w:hint="cs"/>
          <w:sz w:val="20"/>
          <w:szCs w:val="20"/>
          <w:rtl/>
        </w:rPr>
        <w:br/>
        <w:t xml:space="preserve">19. </w:t>
      </w:r>
      <w:r w:rsidRPr="00654962">
        <w:rPr>
          <w:rFonts w:hint="cs"/>
          <w:b/>
          <w:bCs/>
          <w:sz w:val="20"/>
          <w:szCs w:val="20"/>
          <w:rtl/>
        </w:rPr>
        <w:t>יבי"א</w:t>
      </w:r>
      <w:r>
        <w:rPr>
          <w:rFonts w:hint="cs"/>
          <w:sz w:val="20"/>
          <w:szCs w:val="20"/>
          <w:rtl/>
        </w:rPr>
        <w:t xml:space="preserve">. דם הנמצא במ"ר טהור בכל עניין. </w:t>
      </w:r>
      <w:r w:rsidRPr="00654962">
        <w:rPr>
          <w:rFonts w:hint="cs"/>
          <w:b/>
          <w:bCs/>
          <w:sz w:val="20"/>
          <w:szCs w:val="20"/>
          <w:rtl/>
        </w:rPr>
        <w:t>ששבה"ל</w:t>
      </w:r>
      <w:r>
        <w:rPr>
          <w:rFonts w:hint="cs"/>
          <w:sz w:val="20"/>
          <w:szCs w:val="20"/>
          <w:rtl/>
        </w:rPr>
        <w:t>. יש לבדקו במעבדה ובבדיקה אחת סגי אף כשאין כאב.</w:t>
      </w: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Pr="00786C36" w:rsidRDefault="00620060" w:rsidP="00620060">
      <w:pPr>
        <w:rPr>
          <w:b/>
          <w:bCs/>
          <w:sz w:val="20"/>
          <w:szCs w:val="20"/>
          <w:rtl/>
        </w:rPr>
      </w:pPr>
      <w:r w:rsidRPr="00786C36">
        <w:rPr>
          <w:rFonts w:hint="cs"/>
          <w:b/>
          <w:bCs/>
          <w:sz w:val="20"/>
          <w:szCs w:val="20"/>
          <w:rtl/>
        </w:rPr>
        <w:lastRenderedPageBreak/>
        <w:t>בעזרת ה' יתברך</w:t>
      </w:r>
    </w:p>
    <w:p w:rsidR="00620060" w:rsidRPr="00786C36" w:rsidRDefault="00620060" w:rsidP="00620060">
      <w:pPr>
        <w:rPr>
          <w:b/>
          <w:bCs/>
          <w:sz w:val="20"/>
          <w:szCs w:val="20"/>
          <w:rtl/>
        </w:rPr>
      </w:pPr>
      <w:r w:rsidRPr="00786C36">
        <w:rPr>
          <w:rFonts w:hint="cs"/>
          <w:b/>
          <w:bCs/>
          <w:sz w:val="20"/>
          <w:szCs w:val="20"/>
          <w:rtl/>
        </w:rPr>
        <w:t xml:space="preserve">סימן קצב </w:t>
      </w:r>
      <w:r w:rsidRPr="00786C36">
        <w:rPr>
          <w:b/>
          <w:bCs/>
          <w:sz w:val="20"/>
          <w:szCs w:val="20"/>
          <w:rtl/>
        </w:rPr>
        <w:t>–</w:t>
      </w:r>
      <w:r w:rsidRPr="00786C36">
        <w:rPr>
          <w:rFonts w:hint="cs"/>
          <w:b/>
          <w:bCs/>
          <w:sz w:val="20"/>
          <w:szCs w:val="20"/>
          <w:rtl/>
        </w:rPr>
        <w:t xml:space="preserve"> דיני כלה הנכנסת לחופה</w:t>
      </w:r>
    </w:p>
    <w:p w:rsidR="00620060" w:rsidRDefault="00620060" w:rsidP="00620060">
      <w:pPr>
        <w:rPr>
          <w:sz w:val="20"/>
          <w:szCs w:val="20"/>
          <w:rtl/>
        </w:rPr>
      </w:pPr>
      <w:r w:rsidRPr="00786C36">
        <w:rPr>
          <w:rFonts w:hint="cs"/>
          <w:b/>
          <w:bCs/>
          <w:sz w:val="20"/>
          <w:szCs w:val="20"/>
          <w:rtl/>
        </w:rPr>
        <w:t xml:space="preserve">סעיף א </w:t>
      </w:r>
      <w:r>
        <w:rPr>
          <w:b/>
          <w:bCs/>
          <w:sz w:val="20"/>
          <w:szCs w:val="20"/>
          <w:rtl/>
        </w:rPr>
        <w:t>–</w:t>
      </w:r>
      <w:r w:rsidRPr="00786C36">
        <w:rPr>
          <w:rFonts w:hint="cs"/>
          <w:b/>
          <w:bCs/>
          <w:sz w:val="20"/>
          <w:szCs w:val="20"/>
          <w:rtl/>
        </w:rPr>
        <w:t xml:space="preserve"> </w:t>
      </w:r>
      <w:r>
        <w:rPr>
          <w:rFonts w:hint="cs"/>
          <w:b/>
          <w:bCs/>
          <w:sz w:val="20"/>
          <w:szCs w:val="20"/>
          <w:rtl/>
        </w:rPr>
        <w:t>דין ז' נקיים משעת התביעה להינשא</w:t>
      </w:r>
      <w:r w:rsidRPr="00786C36">
        <w:rPr>
          <w:b/>
          <w:bCs/>
          <w:sz w:val="20"/>
          <w:szCs w:val="20"/>
          <w:rtl/>
        </w:rPr>
        <w:br/>
      </w:r>
      <w:r w:rsidRPr="00786C36">
        <w:rPr>
          <w:rFonts w:hint="cs"/>
          <w:b/>
          <w:bCs/>
          <w:sz w:val="20"/>
          <w:szCs w:val="20"/>
          <w:rtl/>
        </w:rPr>
        <w:t>מקור הדין</w:t>
      </w:r>
      <w:r>
        <w:rPr>
          <w:b/>
          <w:bCs/>
          <w:sz w:val="20"/>
          <w:szCs w:val="20"/>
          <w:rtl/>
        </w:rPr>
        <w:br/>
      </w:r>
      <w:r>
        <w:rPr>
          <w:rFonts w:hint="cs"/>
          <w:b/>
          <w:bCs/>
          <w:sz w:val="20"/>
          <w:szCs w:val="20"/>
          <w:rtl/>
        </w:rPr>
        <w:t xml:space="preserve">גמרא </w:t>
      </w:r>
      <w:r>
        <w:rPr>
          <w:rFonts w:hint="cs"/>
          <w:sz w:val="20"/>
          <w:szCs w:val="20"/>
          <w:rtl/>
        </w:rPr>
        <w:t>נידה (סו.) "</w:t>
      </w:r>
      <w:r w:rsidRPr="00D1512C">
        <w:rPr>
          <w:rFonts w:cs="Arial" w:hint="cs"/>
          <w:sz w:val="20"/>
          <w:szCs w:val="20"/>
          <w:rtl/>
        </w:rPr>
        <w:t>אמר</w:t>
      </w:r>
      <w:r w:rsidRPr="00D1512C">
        <w:rPr>
          <w:rFonts w:cs="Arial"/>
          <w:sz w:val="20"/>
          <w:szCs w:val="20"/>
          <w:rtl/>
        </w:rPr>
        <w:t xml:space="preserve"> </w:t>
      </w:r>
      <w:r w:rsidRPr="00D1512C">
        <w:rPr>
          <w:rFonts w:cs="Arial" w:hint="cs"/>
          <w:sz w:val="20"/>
          <w:szCs w:val="20"/>
          <w:rtl/>
        </w:rPr>
        <w:t>רבא</w:t>
      </w:r>
      <w:r w:rsidRPr="00D1512C">
        <w:rPr>
          <w:rFonts w:cs="Arial"/>
          <w:sz w:val="20"/>
          <w:szCs w:val="20"/>
          <w:rtl/>
        </w:rPr>
        <w:t xml:space="preserve">: </w:t>
      </w:r>
      <w:r w:rsidRPr="00D1512C">
        <w:rPr>
          <w:rFonts w:cs="Arial" w:hint="cs"/>
          <w:sz w:val="20"/>
          <w:szCs w:val="20"/>
          <w:rtl/>
        </w:rPr>
        <w:t>תבעוה</w:t>
      </w:r>
      <w:r w:rsidRPr="00D1512C">
        <w:rPr>
          <w:rFonts w:cs="Arial"/>
          <w:sz w:val="20"/>
          <w:szCs w:val="20"/>
          <w:rtl/>
        </w:rPr>
        <w:t xml:space="preserve"> </w:t>
      </w:r>
      <w:r w:rsidRPr="00D1512C">
        <w:rPr>
          <w:rFonts w:cs="Arial" w:hint="cs"/>
          <w:sz w:val="20"/>
          <w:szCs w:val="20"/>
          <w:rtl/>
        </w:rPr>
        <w:t>לינשא</w:t>
      </w:r>
      <w:r w:rsidRPr="00D1512C">
        <w:rPr>
          <w:rFonts w:cs="Arial"/>
          <w:sz w:val="20"/>
          <w:szCs w:val="20"/>
          <w:rtl/>
        </w:rPr>
        <w:t xml:space="preserve"> </w:t>
      </w:r>
      <w:r w:rsidRPr="00D1512C">
        <w:rPr>
          <w:rFonts w:cs="Arial" w:hint="cs"/>
          <w:sz w:val="20"/>
          <w:szCs w:val="20"/>
          <w:rtl/>
        </w:rPr>
        <w:t>ונתפייסה</w:t>
      </w:r>
      <w:r w:rsidRPr="00D1512C">
        <w:rPr>
          <w:rFonts w:cs="Arial"/>
          <w:sz w:val="20"/>
          <w:szCs w:val="20"/>
          <w:rtl/>
        </w:rPr>
        <w:t xml:space="preserve"> - </w:t>
      </w:r>
      <w:r w:rsidRPr="00D1512C">
        <w:rPr>
          <w:rFonts w:cs="Arial" w:hint="cs"/>
          <w:sz w:val="20"/>
          <w:szCs w:val="20"/>
          <w:rtl/>
        </w:rPr>
        <w:t>צריכה</w:t>
      </w:r>
      <w:r w:rsidRPr="00D1512C">
        <w:rPr>
          <w:rFonts w:cs="Arial"/>
          <w:sz w:val="20"/>
          <w:szCs w:val="20"/>
          <w:rtl/>
        </w:rPr>
        <w:t xml:space="preserve"> </w:t>
      </w:r>
      <w:r w:rsidRPr="00D1512C">
        <w:rPr>
          <w:rFonts w:cs="Arial" w:hint="cs"/>
          <w:sz w:val="20"/>
          <w:szCs w:val="20"/>
          <w:rtl/>
        </w:rPr>
        <w:t>לישב</w:t>
      </w:r>
      <w:r w:rsidRPr="00D1512C">
        <w:rPr>
          <w:rFonts w:cs="Arial"/>
          <w:sz w:val="20"/>
          <w:szCs w:val="20"/>
          <w:rtl/>
        </w:rPr>
        <w:t xml:space="preserve"> </w:t>
      </w:r>
      <w:r w:rsidRPr="00D1512C">
        <w:rPr>
          <w:rFonts w:cs="Arial" w:hint="cs"/>
          <w:sz w:val="20"/>
          <w:szCs w:val="20"/>
          <w:rtl/>
        </w:rPr>
        <w:t>שבעה</w:t>
      </w:r>
      <w:r w:rsidRPr="00D1512C">
        <w:rPr>
          <w:rFonts w:cs="Arial"/>
          <w:sz w:val="20"/>
          <w:szCs w:val="20"/>
          <w:rtl/>
        </w:rPr>
        <w:t xml:space="preserve"> </w:t>
      </w:r>
      <w:r w:rsidRPr="00D1512C">
        <w:rPr>
          <w:rFonts w:cs="Arial" w:hint="cs"/>
          <w:sz w:val="20"/>
          <w:szCs w:val="20"/>
          <w:rtl/>
        </w:rPr>
        <w:t>נקיים</w:t>
      </w:r>
      <w:r>
        <w:rPr>
          <w:rFonts w:cs="Arial" w:hint="cs"/>
          <w:sz w:val="20"/>
          <w:szCs w:val="20"/>
          <w:rtl/>
        </w:rPr>
        <w:t xml:space="preserve">... </w:t>
      </w:r>
      <w:r w:rsidRPr="00D1512C">
        <w:rPr>
          <w:rFonts w:cs="Arial" w:hint="cs"/>
          <w:sz w:val="20"/>
          <w:szCs w:val="20"/>
          <w:rtl/>
        </w:rPr>
        <w:t>אמר</w:t>
      </w:r>
      <w:r w:rsidRPr="00D1512C">
        <w:rPr>
          <w:rFonts w:cs="Arial"/>
          <w:sz w:val="20"/>
          <w:szCs w:val="20"/>
          <w:rtl/>
        </w:rPr>
        <w:t xml:space="preserve"> </w:t>
      </w:r>
      <w:r w:rsidRPr="00D1512C">
        <w:rPr>
          <w:rFonts w:cs="Arial" w:hint="cs"/>
          <w:sz w:val="20"/>
          <w:szCs w:val="20"/>
          <w:rtl/>
        </w:rPr>
        <w:t>רבא</w:t>
      </w:r>
      <w:r w:rsidRPr="00D1512C">
        <w:rPr>
          <w:rFonts w:cs="Arial"/>
          <w:sz w:val="20"/>
          <w:szCs w:val="20"/>
          <w:rtl/>
        </w:rPr>
        <w:t xml:space="preserve"> </w:t>
      </w:r>
      <w:r w:rsidRPr="00D1512C">
        <w:rPr>
          <w:rFonts w:cs="Arial" w:hint="cs"/>
          <w:sz w:val="20"/>
          <w:szCs w:val="20"/>
          <w:rtl/>
        </w:rPr>
        <w:t>ל</w:t>
      </w:r>
      <w:r>
        <w:rPr>
          <w:rFonts w:cs="Arial" w:hint="cs"/>
          <w:sz w:val="20"/>
          <w:szCs w:val="20"/>
          <w:rtl/>
        </w:rPr>
        <w:t xml:space="preserve">א </w:t>
      </w:r>
      <w:r w:rsidRPr="00D1512C">
        <w:rPr>
          <w:rFonts w:cs="Arial" w:hint="cs"/>
          <w:sz w:val="20"/>
          <w:szCs w:val="20"/>
          <w:rtl/>
        </w:rPr>
        <w:t>ש</w:t>
      </w:r>
      <w:r>
        <w:rPr>
          <w:rFonts w:cs="Arial" w:hint="cs"/>
          <w:sz w:val="20"/>
          <w:szCs w:val="20"/>
          <w:rtl/>
        </w:rPr>
        <w:t>נא</w:t>
      </w:r>
      <w:r w:rsidRPr="00D1512C">
        <w:rPr>
          <w:rFonts w:cs="Arial"/>
          <w:sz w:val="20"/>
          <w:szCs w:val="20"/>
          <w:rtl/>
        </w:rPr>
        <w:t xml:space="preserve"> </w:t>
      </w:r>
      <w:r w:rsidRPr="00D1512C">
        <w:rPr>
          <w:rFonts w:cs="Arial" w:hint="cs"/>
          <w:sz w:val="20"/>
          <w:szCs w:val="20"/>
          <w:rtl/>
        </w:rPr>
        <w:t>גדולה</w:t>
      </w:r>
      <w:r w:rsidRPr="00D1512C">
        <w:rPr>
          <w:rFonts w:cs="Arial"/>
          <w:sz w:val="20"/>
          <w:szCs w:val="20"/>
          <w:rtl/>
        </w:rPr>
        <w:t xml:space="preserve"> </w:t>
      </w:r>
      <w:r w:rsidRPr="00D1512C">
        <w:rPr>
          <w:rFonts w:cs="Arial" w:hint="cs"/>
          <w:sz w:val="20"/>
          <w:szCs w:val="20"/>
          <w:rtl/>
        </w:rPr>
        <w:t>לא</w:t>
      </w:r>
      <w:r w:rsidRPr="00D1512C">
        <w:rPr>
          <w:rFonts w:cs="Arial"/>
          <w:sz w:val="20"/>
          <w:szCs w:val="20"/>
          <w:rtl/>
        </w:rPr>
        <w:t xml:space="preserve"> </w:t>
      </w:r>
      <w:r w:rsidRPr="00D1512C">
        <w:rPr>
          <w:rFonts w:cs="Arial" w:hint="cs"/>
          <w:sz w:val="20"/>
          <w:szCs w:val="20"/>
          <w:rtl/>
        </w:rPr>
        <w:t>שנא</w:t>
      </w:r>
      <w:r w:rsidRPr="00D1512C">
        <w:rPr>
          <w:rFonts w:cs="Arial"/>
          <w:sz w:val="20"/>
          <w:szCs w:val="20"/>
          <w:rtl/>
        </w:rPr>
        <w:t xml:space="preserve"> </w:t>
      </w:r>
      <w:r w:rsidRPr="00D1512C">
        <w:rPr>
          <w:rFonts w:cs="Arial" w:hint="cs"/>
          <w:sz w:val="20"/>
          <w:szCs w:val="20"/>
          <w:rtl/>
        </w:rPr>
        <w:t>קטנה</w:t>
      </w:r>
      <w:r w:rsidRPr="00D1512C">
        <w:rPr>
          <w:rFonts w:cs="Arial"/>
          <w:sz w:val="20"/>
          <w:szCs w:val="20"/>
          <w:rtl/>
        </w:rPr>
        <w:t xml:space="preserve">. </w:t>
      </w:r>
      <w:r w:rsidRPr="00D1512C">
        <w:rPr>
          <w:rFonts w:cs="Arial" w:hint="cs"/>
          <w:sz w:val="20"/>
          <w:szCs w:val="20"/>
          <w:rtl/>
        </w:rPr>
        <w:t>גדולה</w:t>
      </w:r>
      <w:r w:rsidRPr="00D1512C">
        <w:rPr>
          <w:rFonts w:cs="Arial"/>
          <w:sz w:val="20"/>
          <w:szCs w:val="20"/>
          <w:rtl/>
        </w:rPr>
        <w:t xml:space="preserve"> </w:t>
      </w:r>
      <w:r w:rsidRPr="00D1512C">
        <w:rPr>
          <w:rFonts w:cs="Arial" w:hint="cs"/>
          <w:sz w:val="20"/>
          <w:szCs w:val="20"/>
          <w:rtl/>
        </w:rPr>
        <w:t>טעמא</w:t>
      </w:r>
      <w:r w:rsidRPr="00D1512C">
        <w:rPr>
          <w:rFonts w:cs="Arial"/>
          <w:sz w:val="20"/>
          <w:szCs w:val="20"/>
          <w:rtl/>
        </w:rPr>
        <w:t xml:space="preserve"> </w:t>
      </w:r>
      <w:r w:rsidRPr="00D1512C">
        <w:rPr>
          <w:rFonts w:cs="Arial" w:hint="cs"/>
          <w:sz w:val="20"/>
          <w:szCs w:val="20"/>
          <w:rtl/>
        </w:rPr>
        <w:t>מאי</w:t>
      </w:r>
      <w:r w:rsidRPr="00D1512C">
        <w:rPr>
          <w:rFonts w:cs="Arial"/>
          <w:sz w:val="20"/>
          <w:szCs w:val="20"/>
          <w:rtl/>
        </w:rPr>
        <w:t xml:space="preserve"> - </w:t>
      </w:r>
      <w:r w:rsidRPr="00D1512C">
        <w:rPr>
          <w:rFonts w:cs="Arial" w:hint="cs"/>
          <w:sz w:val="20"/>
          <w:szCs w:val="20"/>
          <w:rtl/>
        </w:rPr>
        <w:t>משום</w:t>
      </w:r>
      <w:r w:rsidRPr="00D1512C">
        <w:rPr>
          <w:rFonts w:cs="Arial"/>
          <w:sz w:val="20"/>
          <w:szCs w:val="20"/>
          <w:rtl/>
        </w:rPr>
        <w:t xml:space="preserve"> </w:t>
      </w:r>
      <w:r w:rsidRPr="00D1512C">
        <w:rPr>
          <w:rFonts w:cs="Arial" w:hint="cs"/>
          <w:sz w:val="20"/>
          <w:szCs w:val="20"/>
          <w:rtl/>
        </w:rPr>
        <w:t>דמחמדא</w:t>
      </w:r>
      <w:r w:rsidRPr="00D1512C">
        <w:rPr>
          <w:rFonts w:cs="Arial"/>
          <w:sz w:val="20"/>
          <w:szCs w:val="20"/>
          <w:rtl/>
        </w:rPr>
        <w:t xml:space="preserve">, </w:t>
      </w:r>
      <w:r w:rsidRPr="00D1512C">
        <w:rPr>
          <w:rFonts w:cs="Arial" w:hint="cs"/>
          <w:sz w:val="20"/>
          <w:szCs w:val="20"/>
          <w:rtl/>
        </w:rPr>
        <w:t>קטנה</w:t>
      </w:r>
      <w:r w:rsidRPr="00D1512C">
        <w:rPr>
          <w:rFonts w:cs="Arial"/>
          <w:sz w:val="20"/>
          <w:szCs w:val="20"/>
          <w:rtl/>
        </w:rPr>
        <w:t xml:space="preserve"> </w:t>
      </w:r>
      <w:r w:rsidRPr="00D1512C">
        <w:rPr>
          <w:rFonts w:cs="Arial" w:hint="cs"/>
          <w:sz w:val="20"/>
          <w:szCs w:val="20"/>
          <w:rtl/>
        </w:rPr>
        <w:t>נמי</w:t>
      </w:r>
      <w:r w:rsidRPr="00D1512C">
        <w:rPr>
          <w:rFonts w:cs="Arial"/>
          <w:sz w:val="20"/>
          <w:szCs w:val="20"/>
          <w:rtl/>
        </w:rPr>
        <w:t xml:space="preserve"> </w:t>
      </w:r>
      <w:r w:rsidRPr="00D1512C">
        <w:rPr>
          <w:rFonts w:cs="Arial" w:hint="cs"/>
          <w:sz w:val="20"/>
          <w:szCs w:val="20"/>
          <w:rtl/>
        </w:rPr>
        <w:t>מחמדא</w:t>
      </w:r>
      <w:r>
        <w:rPr>
          <w:rFonts w:hint="cs"/>
          <w:sz w:val="20"/>
          <w:szCs w:val="20"/>
          <w:rtl/>
        </w:rPr>
        <w:t>".</w:t>
      </w:r>
      <w:r>
        <w:rPr>
          <w:sz w:val="20"/>
          <w:szCs w:val="20"/>
          <w:rtl/>
        </w:rPr>
        <w:br/>
      </w:r>
      <w:r w:rsidRPr="00682EDF">
        <w:rPr>
          <w:rFonts w:hint="cs"/>
          <w:b/>
          <w:bCs/>
          <w:sz w:val="20"/>
          <w:szCs w:val="20"/>
          <w:rtl/>
        </w:rPr>
        <w:t>רש"י</w:t>
      </w:r>
      <w:r>
        <w:rPr>
          <w:rFonts w:hint="cs"/>
          <w:sz w:val="20"/>
          <w:szCs w:val="20"/>
          <w:rtl/>
        </w:rPr>
        <w:t xml:space="preserve"> </w:t>
      </w:r>
      <w:r>
        <w:rPr>
          <w:sz w:val="20"/>
          <w:szCs w:val="20"/>
          <w:rtl/>
        </w:rPr>
        <w:t>–</w:t>
      </w:r>
      <w:r>
        <w:rPr>
          <w:rFonts w:hint="cs"/>
          <w:sz w:val="20"/>
          <w:szCs w:val="20"/>
          <w:rtl/>
        </w:rPr>
        <w:t xml:space="preserve"> טעם ההמתנה הוא שמא מחמת תאוות חימוד ראתה דם, ולכן אין חילוק בין קטנה לגדולה.</w:t>
      </w:r>
      <w:r>
        <w:rPr>
          <w:sz w:val="20"/>
          <w:szCs w:val="20"/>
          <w:rtl/>
        </w:rPr>
        <w:br/>
      </w:r>
      <w:r w:rsidRPr="00040CA5">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ז' ימים הם מלבד יום התביעה, וכך מוכח ממה שרבא אמר ז' נקיים, דאי יום התביעה עולה לה אין כל הז' נקיים.</w:t>
      </w:r>
    </w:p>
    <w:p w:rsidR="00620060" w:rsidRDefault="00620060" w:rsidP="00620060">
      <w:pPr>
        <w:rPr>
          <w:sz w:val="20"/>
          <w:szCs w:val="20"/>
          <w:rtl/>
        </w:rPr>
      </w:pPr>
      <w:r>
        <w:rPr>
          <w:rFonts w:hint="cs"/>
          <w:b/>
          <w:bCs/>
          <w:sz w:val="20"/>
          <w:szCs w:val="20"/>
          <w:rtl/>
        </w:rPr>
        <w:t>האם בדיקה בשעת תביעה מועילה</w:t>
      </w:r>
      <w:r>
        <w:rPr>
          <w:b/>
          <w:bCs/>
          <w:sz w:val="20"/>
          <w:szCs w:val="20"/>
          <w:rtl/>
        </w:rPr>
        <w:br/>
      </w:r>
      <w:r>
        <w:rPr>
          <w:rFonts w:hint="cs"/>
          <w:sz w:val="20"/>
          <w:szCs w:val="20"/>
          <w:rtl/>
        </w:rPr>
        <w:t xml:space="preserve">א. </w:t>
      </w:r>
      <w:r w:rsidRPr="00682EDF">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בדיקה בשעת התביעה אינה מועילה, וכ"פ </w:t>
      </w:r>
      <w:r w:rsidRPr="004005AA">
        <w:rPr>
          <w:rFonts w:hint="cs"/>
          <w:b/>
          <w:bCs/>
          <w:sz w:val="20"/>
          <w:szCs w:val="20"/>
          <w:rtl/>
        </w:rPr>
        <w:t>המחבר</w:t>
      </w:r>
      <w:r>
        <w:rPr>
          <w:rFonts w:hint="cs"/>
          <w:sz w:val="20"/>
          <w:szCs w:val="20"/>
          <w:rtl/>
        </w:rPr>
        <w:t>.</w:t>
      </w:r>
      <w:r>
        <w:rPr>
          <w:sz w:val="20"/>
          <w:szCs w:val="20"/>
          <w:rtl/>
        </w:rPr>
        <w:br/>
      </w:r>
      <w:r w:rsidRPr="00682EDF">
        <w:rPr>
          <w:rFonts w:hint="cs"/>
          <w:b/>
          <w:bCs/>
          <w:sz w:val="20"/>
          <w:szCs w:val="20"/>
          <w:rtl/>
        </w:rPr>
        <w:t xml:space="preserve">ראיה </w:t>
      </w:r>
      <w:r>
        <w:rPr>
          <w:sz w:val="20"/>
          <w:szCs w:val="20"/>
          <w:rtl/>
        </w:rPr>
        <w:t>–</w:t>
      </w:r>
      <w:r>
        <w:rPr>
          <w:rFonts w:hint="cs"/>
          <w:sz w:val="20"/>
          <w:szCs w:val="20"/>
          <w:rtl/>
        </w:rPr>
        <w:t xml:space="preserve"> מכך שרבא הורה באופן חד משמעי שיש להמתין ז' נקיים, משמע שאין תקנה אחרת. </w:t>
      </w:r>
      <w:r>
        <w:rPr>
          <w:sz w:val="20"/>
          <w:szCs w:val="20"/>
          <w:rtl/>
        </w:rPr>
        <w:br/>
      </w:r>
      <w:r>
        <w:rPr>
          <w:rFonts w:hint="cs"/>
          <w:sz w:val="20"/>
          <w:szCs w:val="20"/>
          <w:rtl/>
        </w:rPr>
        <w:t xml:space="preserve">ב. </w:t>
      </w:r>
      <w:r w:rsidRPr="004005AA">
        <w:rPr>
          <w:rFonts w:hint="cs"/>
          <w:b/>
          <w:bCs/>
          <w:sz w:val="20"/>
          <w:szCs w:val="20"/>
          <w:rtl/>
        </w:rPr>
        <w:t>ראבי"ה</w:t>
      </w:r>
      <w:r>
        <w:rPr>
          <w:rFonts w:hint="cs"/>
          <w:sz w:val="20"/>
          <w:szCs w:val="20"/>
          <w:rtl/>
        </w:rPr>
        <w:t xml:space="preserve"> </w:t>
      </w:r>
      <w:r>
        <w:rPr>
          <w:sz w:val="20"/>
          <w:szCs w:val="20"/>
          <w:rtl/>
        </w:rPr>
        <w:t>–</w:t>
      </w:r>
      <w:r>
        <w:rPr>
          <w:rFonts w:hint="cs"/>
          <w:sz w:val="20"/>
          <w:szCs w:val="20"/>
          <w:rtl/>
        </w:rPr>
        <w:t xml:space="preserve"> בדיקה בשעת תביעה מועילה.</w:t>
      </w:r>
      <w:r>
        <w:rPr>
          <w:sz w:val="20"/>
          <w:szCs w:val="20"/>
          <w:rtl/>
        </w:rPr>
        <w:br/>
      </w:r>
      <w:r w:rsidRPr="004749C5">
        <w:rPr>
          <w:rFonts w:hint="cs"/>
          <w:b/>
          <w:bCs/>
          <w:sz w:val="20"/>
          <w:szCs w:val="20"/>
          <w:rtl/>
        </w:rPr>
        <w:t xml:space="preserve">טעם </w:t>
      </w:r>
      <w:r>
        <w:rPr>
          <w:sz w:val="20"/>
          <w:szCs w:val="20"/>
          <w:rtl/>
        </w:rPr>
        <w:t>–</w:t>
      </w:r>
      <w:r>
        <w:rPr>
          <w:rFonts w:hint="cs"/>
          <w:sz w:val="20"/>
          <w:szCs w:val="20"/>
          <w:rtl/>
        </w:rPr>
        <w:t xml:space="preserve"> החשש בגמרא הוא שמא ראתה בשעת תביעה ולאו אדעתה, לכן אם בדקה עצמה בשעת התביעה אינה צריכה ז' נקיים.</w:t>
      </w:r>
      <w:r>
        <w:rPr>
          <w:rStyle w:val="a5"/>
          <w:sz w:val="20"/>
          <w:szCs w:val="20"/>
          <w:rtl/>
        </w:rPr>
        <w:footnoteReference w:id="366"/>
      </w:r>
      <w:r>
        <w:rPr>
          <w:rFonts w:hint="cs"/>
          <w:sz w:val="20"/>
          <w:szCs w:val="20"/>
          <w:rtl/>
        </w:rPr>
        <w:br/>
        <w:t>הכרעת</w:t>
      </w:r>
      <w:r w:rsidRPr="00663B39">
        <w:rPr>
          <w:rFonts w:hint="cs"/>
          <w:b/>
          <w:bCs/>
          <w:sz w:val="20"/>
          <w:szCs w:val="20"/>
          <w:rtl/>
        </w:rPr>
        <w:t xml:space="preserve"> הבית יוסף </w:t>
      </w:r>
      <w:r>
        <w:rPr>
          <w:sz w:val="20"/>
          <w:szCs w:val="20"/>
          <w:rtl/>
        </w:rPr>
        <w:t>–</w:t>
      </w:r>
      <w:r>
        <w:rPr>
          <w:rFonts w:hint="cs"/>
          <w:sz w:val="20"/>
          <w:szCs w:val="20"/>
          <w:rtl/>
        </w:rPr>
        <w:t xml:space="preserve"> כל הראשונים דחו את סברת ראבי"ה ואין הלכה כמותו.</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277553">
        <w:rPr>
          <w:rFonts w:cs="Arial" w:hint="cs"/>
          <w:sz w:val="20"/>
          <w:szCs w:val="20"/>
          <w:rtl/>
        </w:rPr>
        <w:t>תבעוה</w:t>
      </w:r>
      <w:r w:rsidRPr="00277553">
        <w:rPr>
          <w:rFonts w:cs="Arial"/>
          <w:sz w:val="20"/>
          <w:szCs w:val="20"/>
          <w:rtl/>
        </w:rPr>
        <w:t xml:space="preserve"> </w:t>
      </w:r>
      <w:r w:rsidRPr="00277553">
        <w:rPr>
          <w:rFonts w:cs="Arial" w:hint="cs"/>
          <w:sz w:val="20"/>
          <w:szCs w:val="20"/>
          <w:rtl/>
        </w:rPr>
        <w:t>לינשא</w:t>
      </w:r>
      <w:r w:rsidRPr="00277553">
        <w:rPr>
          <w:rFonts w:cs="Arial"/>
          <w:sz w:val="20"/>
          <w:szCs w:val="20"/>
          <w:rtl/>
        </w:rPr>
        <w:t xml:space="preserve"> </w:t>
      </w:r>
      <w:r w:rsidRPr="00277553">
        <w:rPr>
          <w:rFonts w:cs="Arial" w:hint="cs"/>
          <w:sz w:val="20"/>
          <w:szCs w:val="20"/>
          <w:rtl/>
        </w:rPr>
        <w:t>ונתפייסה</w:t>
      </w:r>
      <w:r w:rsidRPr="00277553">
        <w:rPr>
          <w:rFonts w:cs="Arial"/>
          <w:sz w:val="20"/>
          <w:szCs w:val="20"/>
          <w:rtl/>
        </w:rPr>
        <w:t xml:space="preserve">, </w:t>
      </w:r>
      <w:r w:rsidRPr="00277553">
        <w:rPr>
          <w:rFonts w:cs="Arial" w:hint="cs"/>
          <w:sz w:val="20"/>
          <w:szCs w:val="20"/>
          <w:rtl/>
        </w:rPr>
        <w:t>צריכה</w:t>
      </w:r>
      <w:r w:rsidRPr="00277553">
        <w:rPr>
          <w:rFonts w:cs="Arial"/>
          <w:sz w:val="20"/>
          <w:szCs w:val="20"/>
          <w:rtl/>
        </w:rPr>
        <w:t xml:space="preserve"> </w:t>
      </w:r>
      <w:r w:rsidRPr="00277553">
        <w:rPr>
          <w:rFonts w:cs="Arial" w:hint="cs"/>
          <w:sz w:val="20"/>
          <w:szCs w:val="20"/>
          <w:rtl/>
        </w:rPr>
        <w:t>לישב</w:t>
      </w:r>
      <w:r w:rsidRPr="00277553">
        <w:rPr>
          <w:rFonts w:cs="Arial"/>
          <w:sz w:val="20"/>
          <w:szCs w:val="20"/>
          <w:rtl/>
        </w:rPr>
        <w:t xml:space="preserve"> </w:t>
      </w:r>
      <w:r w:rsidRPr="00277553">
        <w:rPr>
          <w:rFonts w:cs="Arial" w:hint="cs"/>
          <w:sz w:val="20"/>
          <w:szCs w:val="20"/>
          <w:rtl/>
        </w:rPr>
        <w:t>שבעה</w:t>
      </w:r>
      <w:r w:rsidRPr="00277553">
        <w:rPr>
          <w:rFonts w:cs="Arial"/>
          <w:sz w:val="20"/>
          <w:szCs w:val="20"/>
          <w:rtl/>
        </w:rPr>
        <w:t xml:space="preserve"> </w:t>
      </w:r>
      <w:r w:rsidRPr="00277553">
        <w:rPr>
          <w:rFonts w:cs="Arial" w:hint="cs"/>
          <w:sz w:val="20"/>
          <w:szCs w:val="20"/>
          <w:rtl/>
        </w:rPr>
        <w:t>נקיים</w:t>
      </w:r>
      <w:r w:rsidRPr="00277553">
        <w:rPr>
          <w:rFonts w:cs="Arial"/>
          <w:sz w:val="20"/>
          <w:szCs w:val="20"/>
          <w:rtl/>
        </w:rPr>
        <w:t xml:space="preserve">, </w:t>
      </w:r>
      <w:r w:rsidRPr="00277553">
        <w:rPr>
          <w:rFonts w:cs="Arial" w:hint="cs"/>
          <w:sz w:val="20"/>
          <w:szCs w:val="20"/>
          <w:rtl/>
        </w:rPr>
        <w:t>בין</w:t>
      </w:r>
      <w:r w:rsidRPr="00277553">
        <w:rPr>
          <w:rFonts w:cs="Arial"/>
          <w:sz w:val="20"/>
          <w:szCs w:val="20"/>
          <w:rtl/>
        </w:rPr>
        <w:t xml:space="preserve"> </w:t>
      </w:r>
      <w:r w:rsidRPr="00277553">
        <w:rPr>
          <w:rFonts w:cs="Arial" w:hint="cs"/>
          <w:sz w:val="20"/>
          <w:szCs w:val="20"/>
          <w:rtl/>
        </w:rPr>
        <w:t>גדולה</w:t>
      </w:r>
      <w:r w:rsidRPr="00277553">
        <w:rPr>
          <w:rFonts w:cs="Arial"/>
          <w:sz w:val="20"/>
          <w:szCs w:val="20"/>
          <w:rtl/>
        </w:rPr>
        <w:t xml:space="preserve"> </w:t>
      </w:r>
      <w:r w:rsidRPr="00277553">
        <w:rPr>
          <w:rFonts w:cs="Arial" w:hint="cs"/>
          <w:sz w:val="20"/>
          <w:szCs w:val="20"/>
          <w:rtl/>
        </w:rPr>
        <w:t>בין</w:t>
      </w:r>
      <w:r w:rsidRPr="00277553">
        <w:rPr>
          <w:rFonts w:cs="Arial"/>
          <w:sz w:val="20"/>
          <w:szCs w:val="20"/>
          <w:rtl/>
        </w:rPr>
        <w:t xml:space="preserve"> </w:t>
      </w:r>
      <w:r w:rsidRPr="00277553">
        <w:rPr>
          <w:rFonts w:cs="Arial" w:hint="cs"/>
          <w:sz w:val="20"/>
          <w:szCs w:val="20"/>
          <w:rtl/>
        </w:rPr>
        <w:t>קטנה</w:t>
      </w:r>
      <w:r w:rsidRPr="00277553">
        <w:rPr>
          <w:rFonts w:cs="Arial"/>
          <w:sz w:val="20"/>
          <w:szCs w:val="20"/>
          <w:rtl/>
        </w:rPr>
        <w:t xml:space="preserve">, </w:t>
      </w:r>
      <w:r w:rsidRPr="00277553">
        <w:rPr>
          <w:rFonts w:cs="Arial" w:hint="cs"/>
          <w:sz w:val="20"/>
          <w:szCs w:val="20"/>
          <w:rtl/>
        </w:rPr>
        <w:t>ואפילו</w:t>
      </w:r>
      <w:r w:rsidRPr="00277553">
        <w:rPr>
          <w:rFonts w:cs="Arial"/>
          <w:sz w:val="20"/>
          <w:szCs w:val="20"/>
          <w:rtl/>
        </w:rPr>
        <w:t xml:space="preserve"> </w:t>
      </w:r>
      <w:r w:rsidRPr="00277553">
        <w:rPr>
          <w:rFonts w:cs="Arial" w:hint="cs"/>
          <w:sz w:val="20"/>
          <w:szCs w:val="20"/>
          <w:rtl/>
        </w:rPr>
        <w:t>בדקה</w:t>
      </w:r>
      <w:r w:rsidRPr="00277553">
        <w:rPr>
          <w:rFonts w:cs="Arial"/>
          <w:sz w:val="20"/>
          <w:szCs w:val="20"/>
          <w:rtl/>
        </w:rPr>
        <w:t xml:space="preserve"> </w:t>
      </w:r>
      <w:r w:rsidRPr="00277553">
        <w:rPr>
          <w:rFonts w:cs="Arial" w:hint="cs"/>
          <w:sz w:val="20"/>
          <w:szCs w:val="20"/>
          <w:rtl/>
        </w:rPr>
        <w:t>עצמה</w:t>
      </w:r>
      <w:r w:rsidRPr="00277553">
        <w:rPr>
          <w:rFonts w:cs="Arial"/>
          <w:sz w:val="20"/>
          <w:szCs w:val="20"/>
          <w:rtl/>
        </w:rPr>
        <w:t xml:space="preserve"> </w:t>
      </w:r>
      <w:r w:rsidRPr="00277553">
        <w:rPr>
          <w:rFonts w:cs="Arial" w:hint="cs"/>
          <w:sz w:val="20"/>
          <w:szCs w:val="20"/>
          <w:rtl/>
        </w:rPr>
        <w:t>בשעת</w:t>
      </w:r>
      <w:r w:rsidRPr="00277553">
        <w:rPr>
          <w:rFonts w:cs="Arial"/>
          <w:sz w:val="20"/>
          <w:szCs w:val="20"/>
          <w:rtl/>
        </w:rPr>
        <w:t xml:space="preserve"> </w:t>
      </w:r>
      <w:r w:rsidRPr="00277553">
        <w:rPr>
          <w:rFonts w:cs="Arial" w:hint="cs"/>
          <w:sz w:val="20"/>
          <w:szCs w:val="20"/>
          <w:rtl/>
        </w:rPr>
        <w:t>תביעה</w:t>
      </w:r>
      <w:r w:rsidRPr="00277553">
        <w:rPr>
          <w:rFonts w:cs="Arial"/>
          <w:sz w:val="20"/>
          <w:szCs w:val="20"/>
          <w:rtl/>
        </w:rPr>
        <w:t xml:space="preserve"> </w:t>
      </w:r>
      <w:r w:rsidRPr="00277553">
        <w:rPr>
          <w:rFonts w:cs="Arial" w:hint="cs"/>
          <w:sz w:val="20"/>
          <w:szCs w:val="20"/>
          <w:rtl/>
        </w:rPr>
        <w:t>ומצאה</w:t>
      </w:r>
      <w:r w:rsidRPr="00277553">
        <w:rPr>
          <w:rFonts w:cs="Arial"/>
          <w:sz w:val="20"/>
          <w:szCs w:val="20"/>
          <w:rtl/>
        </w:rPr>
        <w:t xml:space="preserve"> </w:t>
      </w:r>
      <w:r w:rsidRPr="00277553">
        <w:rPr>
          <w:rFonts w:cs="Arial" w:hint="cs"/>
          <w:sz w:val="20"/>
          <w:szCs w:val="20"/>
          <w:rtl/>
        </w:rPr>
        <w:t>טהורה</w:t>
      </w:r>
      <w:r w:rsidRPr="00277553">
        <w:rPr>
          <w:rFonts w:cs="Arial"/>
          <w:sz w:val="20"/>
          <w:szCs w:val="20"/>
          <w:rtl/>
        </w:rPr>
        <w:t xml:space="preserve">, </w:t>
      </w:r>
      <w:r w:rsidRPr="00277553">
        <w:rPr>
          <w:rFonts w:cs="Arial" w:hint="cs"/>
          <w:sz w:val="20"/>
          <w:szCs w:val="20"/>
          <w:rtl/>
        </w:rPr>
        <w:t>שמא</w:t>
      </w:r>
      <w:r w:rsidRPr="00277553">
        <w:rPr>
          <w:rFonts w:cs="Arial"/>
          <w:sz w:val="20"/>
          <w:szCs w:val="20"/>
          <w:rtl/>
        </w:rPr>
        <w:t xml:space="preserve"> </w:t>
      </w:r>
      <w:r w:rsidRPr="00277553">
        <w:rPr>
          <w:rFonts w:cs="Arial" w:hint="cs"/>
          <w:sz w:val="20"/>
          <w:szCs w:val="20"/>
          <w:rtl/>
        </w:rPr>
        <w:t>מחמת</w:t>
      </w:r>
      <w:r w:rsidRPr="00277553">
        <w:rPr>
          <w:rFonts w:cs="Arial"/>
          <w:sz w:val="20"/>
          <w:szCs w:val="20"/>
          <w:rtl/>
        </w:rPr>
        <w:t xml:space="preserve"> </w:t>
      </w:r>
      <w:r w:rsidRPr="00277553">
        <w:rPr>
          <w:rFonts w:cs="Arial" w:hint="cs"/>
          <w:sz w:val="20"/>
          <w:szCs w:val="20"/>
          <w:rtl/>
        </w:rPr>
        <w:t>חימוד</w:t>
      </w:r>
      <w:r w:rsidRPr="00277553">
        <w:rPr>
          <w:rFonts w:cs="Arial"/>
          <w:sz w:val="20"/>
          <w:szCs w:val="20"/>
          <w:rtl/>
        </w:rPr>
        <w:t xml:space="preserve"> </w:t>
      </w:r>
      <w:r w:rsidRPr="00277553">
        <w:rPr>
          <w:rFonts w:cs="Arial" w:hint="cs"/>
          <w:sz w:val="20"/>
          <w:szCs w:val="20"/>
          <w:rtl/>
        </w:rPr>
        <w:t>ראתה</w:t>
      </w:r>
      <w:r w:rsidRPr="00277553">
        <w:rPr>
          <w:rFonts w:cs="Arial"/>
          <w:sz w:val="20"/>
          <w:szCs w:val="20"/>
          <w:rtl/>
        </w:rPr>
        <w:t xml:space="preserve"> </w:t>
      </w:r>
      <w:r w:rsidRPr="00277553">
        <w:rPr>
          <w:rFonts w:cs="Arial" w:hint="cs"/>
          <w:sz w:val="20"/>
          <w:szCs w:val="20"/>
          <w:rtl/>
        </w:rPr>
        <w:t>טיפת</w:t>
      </w:r>
      <w:r w:rsidRPr="00277553">
        <w:rPr>
          <w:rFonts w:cs="Arial"/>
          <w:sz w:val="20"/>
          <w:szCs w:val="20"/>
          <w:rtl/>
        </w:rPr>
        <w:t xml:space="preserve"> </w:t>
      </w:r>
      <w:r w:rsidRPr="00277553">
        <w:rPr>
          <w:rFonts w:cs="Arial" w:hint="cs"/>
          <w:sz w:val="20"/>
          <w:szCs w:val="20"/>
          <w:rtl/>
        </w:rPr>
        <w:t>דם</w:t>
      </w:r>
      <w:r w:rsidRPr="00277553">
        <w:rPr>
          <w:rFonts w:cs="Arial"/>
          <w:sz w:val="20"/>
          <w:szCs w:val="20"/>
          <w:rtl/>
        </w:rPr>
        <w:t xml:space="preserve"> </w:t>
      </w:r>
      <w:r w:rsidRPr="00277553">
        <w:rPr>
          <w:rFonts w:cs="Arial" w:hint="cs"/>
          <w:sz w:val="20"/>
          <w:szCs w:val="20"/>
          <w:rtl/>
        </w:rPr>
        <w:t>כחרדל</w:t>
      </w:r>
      <w:r w:rsidRPr="00277553">
        <w:rPr>
          <w:rFonts w:cs="Arial"/>
          <w:sz w:val="20"/>
          <w:szCs w:val="20"/>
          <w:rtl/>
        </w:rPr>
        <w:t xml:space="preserve"> </w:t>
      </w:r>
      <w:r w:rsidRPr="00277553">
        <w:rPr>
          <w:rFonts w:cs="Arial" w:hint="cs"/>
          <w:sz w:val="20"/>
          <w:szCs w:val="20"/>
          <w:rtl/>
        </w:rPr>
        <w:t>ולא</w:t>
      </w:r>
      <w:r w:rsidRPr="00277553">
        <w:rPr>
          <w:rFonts w:cs="Arial"/>
          <w:sz w:val="20"/>
          <w:szCs w:val="20"/>
          <w:rtl/>
        </w:rPr>
        <w:t xml:space="preserve"> </w:t>
      </w:r>
      <w:r w:rsidRPr="00277553">
        <w:rPr>
          <w:rFonts w:cs="Arial" w:hint="cs"/>
          <w:sz w:val="20"/>
          <w:szCs w:val="20"/>
          <w:rtl/>
        </w:rPr>
        <w:t>הרגישה</w:t>
      </w:r>
      <w:r w:rsidRPr="00277553">
        <w:rPr>
          <w:rFonts w:cs="Arial"/>
          <w:sz w:val="20"/>
          <w:szCs w:val="20"/>
          <w:rtl/>
        </w:rPr>
        <w:t xml:space="preserve"> </w:t>
      </w:r>
      <w:r w:rsidRPr="00277553">
        <w:rPr>
          <w:rFonts w:cs="Arial" w:hint="cs"/>
          <w:sz w:val="20"/>
          <w:szCs w:val="20"/>
          <w:rtl/>
        </w:rPr>
        <w:t>בו</w:t>
      </w:r>
      <w:r w:rsidRPr="00277553">
        <w:rPr>
          <w:rFonts w:cs="Arial"/>
          <w:sz w:val="20"/>
          <w:szCs w:val="20"/>
          <w:rtl/>
        </w:rPr>
        <w:t xml:space="preserve">. </w:t>
      </w:r>
      <w:r w:rsidRPr="00277553">
        <w:rPr>
          <w:rFonts w:cs="Arial" w:hint="cs"/>
          <w:sz w:val="20"/>
          <w:szCs w:val="20"/>
          <w:rtl/>
        </w:rPr>
        <w:t>ומונה</w:t>
      </w:r>
      <w:r w:rsidRPr="00277553">
        <w:rPr>
          <w:rFonts w:cs="Arial"/>
          <w:sz w:val="20"/>
          <w:szCs w:val="20"/>
          <w:rtl/>
        </w:rPr>
        <w:t xml:space="preserve"> </w:t>
      </w:r>
      <w:r w:rsidRPr="00277553">
        <w:rPr>
          <w:rFonts w:cs="Arial" w:hint="cs"/>
          <w:sz w:val="20"/>
          <w:szCs w:val="20"/>
          <w:rtl/>
        </w:rPr>
        <w:t>ז</w:t>
      </w:r>
      <w:r w:rsidRPr="00277553">
        <w:rPr>
          <w:rFonts w:cs="Arial"/>
          <w:sz w:val="20"/>
          <w:szCs w:val="20"/>
          <w:rtl/>
        </w:rPr>
        <w:t xml:space="preserve">' </w:t>
      </w:r>
      <w:r w:rsidRPr="00277553">
        <w:rPr>
          <w:rFonts w:cs="Arial" w:hint="cs"/>
          <w:sz w:val="20"/>
          <w:szCs w:val="20"/>
          <w:rtl/>
        </w:rPr>
        <w:t>ממחרת</w:t>
      </w:r>
      <w:r w:rsidRPr="00277553">
        <w:rPr>
          <w:rFonts w:cs="Arial"/>
          <w:sz w:val="20"/>
          <w:szCs w:val="20"/>
          <w:rtl/>
        </w:rPr>
        <w:t xml:space="preserve"> </w:t>
      </w:r>
      <w:r w:rsidRPr="00277553">
        <w:rPr>
          <w:rFonts w:cs="Arial" w:hint="cs"/>
          <w:sz w:val="20"/>
          <w:szCs w:val="20"/>
          <w:rtl/>
        </w:rPr>
        <w:t>יום</w:t>
      </w:r>
      <w:r w:rsidRPr="00277553">
        <w:rPr>
          <w:rFonts w:cs="Arial"/>
          <w:sz w:val="20"/>
          <w:szCs w:val="20"/>
          <w:rtl/>
        </w:rPr>
        <w:t xml:space="preserve"> </w:t>
      </w:r>
      <w:r w:rsidRPr="00277553">
        <w:rPr>
          <w:rFonts w:cs="Arial" w:hint="cs"/>
          <w:sz w:val="20"/>
          <w:szCs w:val="20"/>
          <w:rtl/>
        </w:rPr>
        <w:t>התביעה</w:t>
      </w:r>
      <w:r>
        <w:rPr>
          <w:rFonts w:cs="Arial" w:hint="cs"/>
          <w:sz w:val="20"/>
          <w:szCs w:val="20"/>
          <w:rtl/>
        </w:rPr>
        <w:t>".</w:t>
      </w:r>
    </w:p>
    <w:p w:rsidR="00620060" w:rsidRDefault="00620060" w:rsidP="00620060">
      <w:pPr>
        <w:rPr>
          <w:sz w:val="20"/>
          <w:szCs w:val="20"/>
          <w:rtl/>
        </w:rPr>
      </w:pPr>
      <w:r>
        <w:rPr>
          <w:rFonts w:hint="cs"/>
          <w:b/>
          <w:bCs/>
          <w:sz w:val="20"/>
          <w:szCs w:val="20"/>
          <w:rtl/>
        </w:rPr>
        <w:t>הפסק טהרה ובדיקה תוך ז' נקיים</w:t>
      </w:r>
      <w:r>
        <w:rPr>
          <w:b/>
          <w:bCs/>
          <w:sz w:val="20"/>
          <w:szCs w:val="20"/>
          <w:rtl/>
        </w:rPr>
        <w:br/>
      </w:r>
      <w:r>
        <w:rPr>
          <w:rFonts w:hint="cs"/>
          <w:b/>
          <w:bCs/>
          <w:sz w:val="20"/>
          <w:szCs w:val="20"/>
          <w:rtl/>
        </w:rPr>
        <w:t xml:space="preserve">גמרא </w:t>
      </w:r>
      <w:r>
        <w:rPr>
          <w:rFonts w:hint="cs"/>
          <w:sz w:val="20"/>
          <w:szCs w:val="20"/>
          <w:rtl/>
        </w:rPr>
        <w:t>נידה (שם) "</w:t>
      </w:r>
      <w:r w:rsidRPr="00E8073D">
        <w:rPr>
          <w:rFonts w:cs="Arial" w:hint="cs"/>
          <w:sz w:val="20"/>
          <w:szCs w:val="20"/>
          <w:rtl/>
        </w:rPr>
        <w:t>רבינא</w:t>
      </w:r>
      <w:r w:rsidRPr="00E8073D">
        <w:rPr>
          <w:rFonts w:cs="Arial"/>
          <w:sz w:val="20"/>
          <w:szCs w:val="20"/>
          <w:rtl/>
        </w:rPr>
        <w:t xml:space="preserve"> </w:t>
      </w:r>
      <w:r w:rsidRPr="00E8073D">
        <w:rPr>
          <w:rFonts w:cs="Arial" w:hint="cs"/>
          <w:sz w:val="20"/>
          <w:szCs w:val="20"/>
          <w:rtl/>
        </w:rPr>
        <w:t>איעסק</w:t>
      </w:r>
      <w:r w:rsidRPr="00E8073D">
        <w:rPr>
          <w:rFonts w:cs="Arial"/>
          <w:sz w:val="20"/>
          <w:szCs w:val="20"/>
          <w:rtl/>
        </w:rPr>
        <w:t xml:space="preserve"> </w:t>
      </w:r>
      <w:r w:rsidRPr="00E8073D">
        <w:rPr>
          <w:rFonts w:cs="Arial" w:hint="cs"/>
          <w:sz w:val="20"/>
          <w:szCs w:val="20"/>
          <w:rtl/>
        </w:rPr>
        <w:t>ליה</w:t>
      </w:r>
      <w:r w:rsidRPr="00E8073D">
        <w:rPr>
          <w:rFonts w:cs="Arial"/>
          <w:sz w:val="20"/>
          <w:szCs w:val="20"/>
          <w:rtl/>
        </w:rPr>
        <w:t xml:space="preserve"> </w:t>
      </w:r>
      <w:r w:rsidRPr="00E8073D">
        <w:rPr>
          <w:rFonts w:cs="Arial" w:hint="cs"/>
          <w:sz w:val="20"/>
          <w:szCs w:val="20"/>
          <w:rtl/>
        </w:rPr>
        <w:t>לבריה</w:t>
      </w:r>
      <w:r w:rsidRPr="00E8073D">
        <w:rPr>
          <w:rFonts w:cs="Arial"/>
          <w:sz w:val="20"/>
          <w:szCs w:val="20"/>
          <w:rtl/>
        </w:rPr>
        <w:t xml:space="preserve"> </w:t>
      </w:r>
      <w:r w:rsidRPr="00E8073D">
        <w:rPr>
          <w:rFonts w:cs="Arial" w:hint="cs"/>
          <w:sz w:val="20"/>
          <w:szCs w:val="20"/>
          <w:rtl/>
        </w:rPr>
        <w:t>בי</w:t>
      </w:r>
      <w:r w:rsidRPr="00E8073D">
        <w:rPr>
          <w:rFonts w:cs="Arial"/>
          <w:sz w:val="20"/>
          <w:szCs w:val="20"/>
          <w:rtl/>
        </w:rPr>
        <w:t xml:space="preserve"> </w:t>
      </w:r>
      <w:r w:rsidRPr="00E8073D">
        <w:rPr>
          <w:rFonts w:cs="Arial" w:hint="cs"/>
          <w:sz w:val="20"/>
          <w:szCs w:val="20"/>
          <w:rtl/>
        </w:rPr>
        <w:t>רב</w:t>
      </w:r>
      <w:r w:rsidRPr="00E8073D">
        <w:rPr>
          <w:rFonts w:cs="Arial"/>
          <w:sz w:val="20"/>
          <w:szCs w:val="20"/>
          <w:rtl/>
        </w:rPr>
        <w:t xml:space="preserve"> </w:t>
      </w:r>
      <w:r w:rsidRPr="00E8073D">
        <w:rPr>
          <w:rFonts w:cs="Arial" w:hint="cs"/>
          <w:sz w:val="20"/>
          <w:szCs w:val="20"/>
          <w:rtl/>
        </w:rPr>
        <w:t>חנינא</w:t>
      </w:r>
      <w:r w:rsidRPr="00E8073D">
        <w:rPr>
          <w:rFonts w:cs="Arial"/>
          <w:sz w:val="20"/>
          <w:szCs w:val="20"/>
          <w:rtl/>
        </w:rPr>
        <w:t xml:space="preserve">, </w:t>
      </w:r>
      <w:r w:rsidRPr="00E8073D">
        <w:rPr>
          <w:rFonts w:cs="Arial" w:hint="cs"/>
          <w:sz w:val="20"/>
          <w:szCs w:val="20"/>
          <w:rtl/>
        </w:rPr>
        <w:t>א</w:t>
      </w:r>
      <w:r>
        <w:rPr>
          <w:rFonts w:cs="Arial" w:hint="cs"/>
          <w:sz w:val="20"/>
          <w:szCs w:val="20"/>
          <w:rtl/>
        </w:rPr>
        <w:t xml:space="preserve">מר </w:t>
      </w:r>
      <w:r w:rsidRPr="00E8073D">
        <w:rPr>
          <w:rFonts w:cs="Arial" w:hint="cs"/>
          <w:sz w:val="20"/>
          <w:szCs w:val="20"/>
          <w:rtl/>
        </w:rPr>
        <w:t>ל</w:t>
      </w:r>
      <w:r>
        <w:rPr>
          <w:rFonts w:cs="Arial" w:hint="cs"/>
          <w:sz w:val="20"/>
          <w:szCs w:val="20"/>
          <w:rtl/>
        </w:rPr>
        <w:t>יה</w:t>
      </w:r>
      <w:r w:rsidRPr="00E8073D">
        <w:rPr>
          <w:rFonts w:cs="Arial"/>
          <w:sz w:val="20"/>
          <w:szCs w:val="20"/>
          <w:rtl/>
        </w:rPr>
        <w:t xml:space="preserve">: </w:t>
      </w:r>
      <w:r w:rsidRPr="00E8073D">
        <w:rPr>
          <w:rFonts w:cs="Arial" w:hint="cs"/>
          <w:sz w:val="20"/>
          <w:szCs w:val="20"/>
          <w:rtl/>
        </w:rPr>
        <w:t>סבר</w:t>
      </w:r>
      <w:r w:rsidRPr="00E8073D">
        <w:rPr>
          <w:rFonts w:cs="Arial"/>
          <w:sz w:val="20"/>
          <w:szCs w:val="20"/>
          <w:rtl/>
        </w:rPr>
        <w:t xml:space="preserve"> </w:t>
      </w:r>
      <w:r w:rsidRPr="00E8073D">
        <w:rPr>
          <w:rFonts w:cs="Arial" w:hint="cs"/>
          <w:sz w:val="20"/>
          <w:szCs w:val="20"/>
          <w:rtl/>
        </w:rPr>
        <w:t>ליה</w:t>
      </w:r>
      <w:r w:rsidRPr="00E8073D">
        <w:rPr>
          <w:rFonts w:cs="Arial"/>
          <w:sz w:val="20"/>
          <w:szCs w:val="20"/>
          <w:rtl/>
        </w:rPr>
        <w:t xml:space="preserve"> </w:t>
      </w:r>
      <w:r w:rsidRPr="00E8073D">
        <w:rPr>
          <w:rFonts w:cs="Arial" w:hint="cs"/>
          <w:sz w:val="20"/>
          <w:szCs w:val="20"/>
          <w:rtl/>
        </w:rPr>
        <w:t>מר</w:t>
      </w:r>
      <w:r w:rsidRPr="00E8073D">
        <w:rPr>
          <w:rFonts w:cs="Arial"/>
          <w:sz w:val="20"/>
          <w:szCs w:val="20"/>
          <w:rtl/>
        </w:rPr>
        <w:t xml:space="preserve"> </w:t>
      </w:r>
      <w:r w:rsidRPr="00E8073D">
        <w:rPr>
          <w:rFonts w:cs="Arial" w:hint="cs"/>
          <w:sz w:val="20"/>
          <w:szCs w:val="20"/>
          <w:rtl/>
        </w:rPr>
        <w:t>למכתב</w:t>
      </w:r>
      <w:r w:rsidRPr="00E8073D">
        <w:rPr>
          <w:rFonts w:cs="Arial"/>
          <w:sz w:val="20"/>
          <w:szCs w:val="20"/>
          <w:rtl/>
        </w:rPr>
        <w:t xml:space="preserve"> </w:t>
      </w:r>
      <w:r w:rsidRPr="00E8073D">
        <w:rPr>
          <w:rFonts w:cs="Arial" w:hint="cs"/>
          <w:sz w:val="20"/>
          <w:szCs w:val="20"/>
          <w:rtl/>
        </w:rPr>
        <w:t>כתובה</w:t>
      </w:r>
      <w:r w:rsidRPr="00E8073D">
        <w:rPr>
          <w:rFonts w:cs="Arial"/>
          <w:sz w:val="20"/>
          <w:szCs w:val="20"/>
          <w:rtl/>
        </w:rPr>
        <w:t xml:space="preserve"> </w:t>
      </w:r>
      <w:r w:rsidRPr="00E8073D">
        <w:rPr>
          <w:rFonts w:cs="Arial" w:hint="cs"/>
          <w:sz w:val="20"/>
          <w:szCs w:val="20"/>
          <w:rtl/>
        </w:rPr>
        <w:t>לארבעה</w:t>
      </w:r>
      <w:r w:rsidRPr="00E8073D">
        <w:rPr>
          <w:rFonts w:cs="Arial"/>
          <w:sz w:val="20"/>
          <w:szCs w:val="20"/>
          <w:rtl/>
        </w:rPr>
        <w:t xml:space="preserve"> </w:t>
      </w:r>
      <w:r w:rsidRPr="00E8073D">
        <w:rPr>
          <w:rFonts w:cs="Arial" w:hint="cs"/>
          <w:sz w:val="20"/>
          <w:szCs w:val="20"/>
          <w:rtl/>
        </w:rPr>
        <w:t>יום</w:t>
      </w:r>
      <w:r w:rsidRPr="00E8073D">
        <w:rPr>
          <w:rFonts w:cs="Arial"/>
          <w:sz w:val="20"/>
          <w:szCs w:val="20"/>
          <w:rtl/>
        </w:rPr>
        <w:t xml:space="preserve">? </w:t>
      </w:r>
      <w:r w:rsidRPr="00E8073D">
        <w:rPr>
          <w:rFonts w:cs="Arial" w:hint="cs"/>
          <w:sz w:val="20"/>
          <w:szCs w:val="20"/>
          <w:rtl/>
        </w:rPr>
        <w:t>א</w:t>
      </w:r>
      <w:r>
        <w:rPr>
          <w:rFonts w:cs="Arial" w:hint="cs"/>
          <w:sz w:val="20"/>
          <w:szCs w:val="20"/>
          <w:rtl/>
        </w:rPr>
        <w:t xml:space="preserve">מר </w:t>
      </w:r>
      <w:r w:rsidRPr="00E8073D">
        <w:rPr>
          <w:rFonts w:cs="Arial" w:hint="cs"/>
          <w:sz w:val="20"/>
          <w:szCs w:val="20"/>
          <w:rtl/>
        </w:rPr>
        <w:t>ל</w:t>
      </w:r>
      <w:r>
        <w:rPr>
          <w:rFonts w:cs="Arial" w:hint="cs"/>
          <w:sz w:val="20"/>
          <w:szCs w:val="20"/>
          <w:rtl/>
        </w:rPr>
        <w:t>יה</w:t>
      </w:r>
      <w:r w:rsidRPr="00E8073D">
        <w:rPr>
          <w:rFonts w:cs="Arial"/>
          <w:sz w:val="20"/>
          <w:szCs w:val="20"/>
          <w:rtl/>
        </w:rPr>
        <w:t xml:space="preserve">: </w:t>
      </w:r>
      <w:r w:rsidRPr="00E8073D">
        <w:rPr>
          <w:rFonts w:cs="Arial" w:hint="cs"/>
          <w:sz w:val="20"/>
          <w:szCs w:val="20"/>
          <w:rtl/>
        </w:rPr>
        <w:t>אין</w:t>
      </w:r>
      <w:r w:rsidRPr="00E8073D">
        <w:rPr>
          <w:rFonts w:cs="Arial"/>
          <w:sz w:val="20"/>
          <w:szCs w:val="20"/>
          <w:rtl/>
        </w:rPr>
        <w:t xml:space="preserve">. </w:t>
      </w:r>
      <w:r w:rsidRPr="00E8073D">
        <w:rPr>
          <w:rFonts w:cs="Arial" w:hint="cs"/>
          <w:sz w:val="20"/>
          <w:szCs w:val="20"/>
          <w:rtl/>
        </w:rPr>
        <w:t>כי</w:t>
      </w:r>
      <w:r w:rsidRPr="00E8073D">
        <w:rPr>
          <w:rFonts w:cs="Arial"/>
          <w:sz w:val="20"/>
          <w:szCs w:val="20"/>
          <w:rtl/>
        </w:rPr>
        <w:t xml:space="preserve"> </w:t>
      </w:r>
      <w:r w:rsidRPr="00E8073D">
        <w:rPr>
          <w:rFonts w:cs="Arial" w:hint="cs"/>
          <w:sz w:val="20"/>
          <w:szCs w:val="20"/>
          <w:rtl/>
        </w:rPr>
        <w:t>מטא</w:t>
      </w:r>
      <w:r w:rsidRPr="00E8073D">
        <w:rPr>
          <w:rFonts w:cs="Arial"/>
          <w:sz w:val="20"/>
          <w:szCs w:val="20"/>
          <w:rtl/>
        </w:rPr>
        <w:t xml:space="preserve"> </w:t>
      </w:r>
      <w:r w:rsidRPr="00E8073D">
        <w:rPr>
          <w:rFonts w:cs="Arial" w:hint="cs"/>
          <w:sz w:val="20"/>
          <w:szCs w:val="20"/>
          <w:rtl/>
        </w:rPr>
        <w:t>לארבעה</w:t>
      </w:r>
      <w:r w:rsidRPr="00E8073D">
        <w:rPr>
          <w:rFonts w:cs="Arial"/>
          <w:sz w:val="20"/>
          <w:szCs w:val="20"/>
          <w:rtl/>
        </w:rPr>
        <w:t xml:space="preserve"> - </w:t>
      </w:r>
      <w:r w:rsidRPr="00E8073D">
        <w:rPr>
          <w:rFonts w:cs="Arial" w:hint="cs"/>
          <w:sz w:val="20"/>
          <w:szCs w:val="20"/>
          <w:rtl/>
        </w:rPr>
        <w:t>נטר</w:t>
      </w:r>
      <w:r w:rsidRPr="00E8073D">
        <w:rPr>
          <w:rFonts w:cs="Arial"/>
          <w:sz w:val="20"/>
          <w:szCs w:val="20"/>
          <w:rtl/>
        </w:rPr>
        <w:t xml:space="preserve"> </w:t>
      </w:r>
      <w:r w:rsidRPr="00E8073D">
        <w:rPr>
          <w:rFonts w:cs="Arial" w:hint="cs"/>
          <w:sz w:val="20"/>
          <w:szCs w:val="20"/>
          <w:rtl/>
        </w:rPr>
        <w:t>עד</w:t>
      </w:r>
      <w:r w:rsidRPr="00E8073D">
        <w:rPr>
          <w:rFonts w:cs="Arial"/>
          <w:sz w:val="20"/>
          <w:szCs w:val="20"/>
          <w:rtl/>
        </w:rPr>
        <w:t xml:space="preserve"> </w:t>
      </w:r>
      <w:r w:rsidRPr="00E8073D">
        <w:rPr>
          <w:rFonts w:cs="Arial" w:hint="cs"/>
          <w:sz w:val="20"/>
          <w:szCs w:val="20"/>
          <w:rtl/>
        </w:rPr>
        <w:t>ארבעה</w:t>
      </w:r>
      <w:r w:rsidRPr="00E8073D">
        <w:rPr>
          <w:rFonts w:cs="Arial"/>
          <w:sz w:val="20"/>
          <w:szCs w:val="20"/>
          <w:rtl/>
        </w:rPr>
        <w:t xml:space="preserve"> </w:t>
      </w:r>
      <w:r w:rsidRPr="00E8073D">
        <w:rPr>
          <w:rFonts w:cs="Arial" w:hint="cs"/>
          <w:sz w:val="20"/>
          <w:szCs w:val="20"/>
          <w:rtl/>
        </w:rPr>
        <w:t>אחרינא</w:t>
      </w:r>
      <w:r w:rsidRPr="00E8073D">
        <w:rPr>
          <w:rFonts w:cs="Arial"/>
          <w:sz w:val="20"/>
          <w:szCs w:val="20"/>
          <w:rtl/>
        </w:rPr>
        <w:t xml:space="preserve">, </w:t>
      </w:r>
      <w:r w:rsidRPr="00E8073D">
        <w:rPr>
          <w:rFonts w:cs="Arial" w:hint="cs"/>
          <w:sz w:val="20"/>
          <w:szCs w:val="20"/>
          <w:rtl/>
        </w:rPr>
        <w:t>איעכב</w:t>
      </w:r>
      <w:r w:rsidRPr="00E8073D">
        <w:rPr>
          <w:rFonts w:cs="Arial"/>
          <w:sz w:val="20"/>
          <w:szCs w:val="20"/>
          <w:rtl/>
        </w:rPr>
        <w:t xml:space="preserve"> </w:t>
      </w:r>
      <w:r w:rsidRPr="00E8073D">
        <w:rPr>
          <w:rFonts w:cs="Arial" w:hint="cs"/>
          <w:sz w:val="20"/>
          <w:szCs w:val="20"/>
          <w:rtl/>
        </w:rPr>
        <w:t>שבעה</w:t>
      </w:r>
      <w:r w:rsidRPr="00E8073D">
        <w:rPr>
          <w:rFonts w:cs="Arial"/>
          <w:sz w:val="20"/>
          <w:szCs w:val="20"/>
          <w:rtl/>
        </w:rPr>
        <w:t xml:space="preserve"> </w:t>
      </w:r>
      <w:r w:rsidRPr="00E8073D">
        <w:rPr>
          <w:rFonts w:cs="Arial" w:hint="cs"/>
          <w:sz w:val="20"/>
          <w:szCs w:val="20"/>
          <w:rtl/>
        </w:rPr>
        <w:t>יומי</w:t>
      </w:r>
      <w:r w:rsidRPr="00E8073D">
        <w:rPr>
          <w:rFonts w:cs="Arial"/>
          <w:sz w:val="20"/>
          <w:szCs w:val="20"/>
          <w:rtl/>
        </w:rPr>
        <w:t xml:space="preserve"> </w:t>
      </w:r>
      <w:r w:rsidRPr="00E8073D">
        <w:rPr>
          <w:rFonts w:cs="Arial" w:hint="cs"/>
          <w:sz w:val="20"/>
          <w:szCs w:val="20"/>
          <w:rtl/>
        </w:rPr>
        <w:t>בתר</w:t>
      </w:r>
      <w:r w:rsidRPr="00E8073D">
        <w:rPr>
          <w:rFonts w:cs="Arial"/>
          <w:sz w:val="20"/>
          <w:szCs w:val="20"/>
          <w:rtl/>
        </w:rPr>
        <w:t xml:space="preserve"> </w:t>
      </w:r>
      <w:r w:rsidRPr="00E8073D">
        <w:rPr>
          <w:rFonts w:cs="Arial" w:hint="cs"/>
          <w:sz w:val="20"/>
          <w:szCs w:val="20"/>
          <w:rtl/>
        </w:rPr>
        <w:t>ההוא</w:t>
      </w:r>
      <w:r w:rsidRPr="00E8073D">
        <w:rPr>
          <w:rFonts w:cs="Arial"/>
          <w:sz w:val="20"/>
          <w:szCs w:val="20"/>
          <w:rtl/>
        </w:rPr>
        <w:t xml:space="preserve"> </w:t>
      </w:r>
      <w:r w:rsidRPr="00E8073D">
        <w:rPr>
          <w:rFonts w:cs="Arial" w:hint="cs"/>
          <w:sz w:val="20"/>
          <w:szCs w:val="20"/>
          <w:rtl/>
        </w:rPr>
        <w:t>יומא</w:t>
      </w:r>
      <w:r>
        <w:rPr>
          <w:rFonts w:cs="Arial" w:hint="cs"/>
          <w:sz w:val="20"/>
          <w:szCs w:val="20"/>
          <w:rtl/>
        </w:rPr>
        <w:t xml:space="preserve"> </w:t>
      </w:r>
      <w:r w:rsidRPr="008C1CEA">
        <w:rPr>
          <w:rFonts w:cs="Arial" w:hint="cs"/>
          <w:sz w:val="18"/>
          <w:szCs w:val="18"/>
          <w:rtl/>
        </w:rPr>
        <w:t>(סך הכל</w:t>
      </w:r>
      <w:r>
        <w:rPr>
          <w:rFonts w:cs="Arial" w:hint="cs"/>
          <w:sz w:val="18"/>
          <w:szCs w:val="18"/>
          <w:rtl/>
        </w:rPr>
        <w:t xml:space="preserve"> מיום שהתפייסה</w:t>
      </w:r>
      <w:r w:rsidRPr="008C1CEA">
        <w:rPr>
          <w:rFonts w:cs="Arial" w:hint="cs"/>
          <w:sz w:val="18"/>
          <w:szCs w:val="18"/>
          <w:rtl/>
        </w:rPr>
        <w:t>)</w:t>
      </w:r>
      <w:r w:rsidRPr="00E8073D">
        <w:rPr>
          <w:rFonts w:cs="Arial"/>
          <w:sz w:val="20"/>
          <w:szCs w:val="20"/>
          <w:rtl/>
        </w:rPr>
        <w:t xml:space="preserve">. </w:t>
      </w:r>
      <w:r w:rsidRPr="00E8073D">
        <w:rPr>
          <w:rFonts w:cs="Arial" w:hint="cs"/>
          <w:sz w:val="20"/>
          <w:szCs w:val="20"/>
          <w:rtl/>
        </w:rPr>
        <w:t>א</w:t>
      </w:r>
      <w:r>
        <w:rPr>
          <w:rFonts w:cs="Arial" w:hint="cs"/>
          <w:sz w:val="20"/>
          <w:szCs w:val="20"/>
          <w:rtl/>
        </w:rPr>
        <w:t xml:space="preserve">מר </w:t>
      </w:r>
      <w:r w:rsidRPr="00E8073D">
        <w:rPr>
          <w:rFonts w:cs="Arial" w:hint="cs"/>
          <w:sz w:val="20"/>
          <w:szCs w:val="20"/>
          <w:rtl/>
        </w:rPr>
        <w:t>ל</w:t>
      </w:r>
      <w:r>
        <w:rPr>
          <w:rFonts w:cs="Arial" w:hint="cs"/>
          <w:sz w:val="20"/>
          <w:szCs w:val="20"/>
          <w:rtl/>
        </w:rPr>
        <w:t>יה</w:t>
      </w:r>
      <w:r w:rsidRPr="00E8073D">
        <w:rPr>
          <w:rFonts w:cs="Arial"/>
          <w:sz w:val="20"/>
          <w:szCs w:val="20"/>
          <w:rtl/>
        </w:rPr>
        <w:t xml:space="preserve">: </w:t>
      </w:r>
      <w:r w:rsidRPr="00E8073D">
        <w:rPr>
          <w:rFonts w:cs="Arial" w:hint="cs"/>
          <w:sz w:val="20"/>
          <w:szCs w:val="20"/>
          <w:rtl/>
        </w:rPr>
        <w:t>מאי</w:t>
      </w:r>
      <w:r w:rsidRPr="00E8073D">
        <w:rPr>
          <w:rFonts w:cs="Arial"/>
          <w:sz w:val="20"/>
          <w:szCs w:val="20"/>
          <w:rtl/>
        </w:rPr>
        <w:t xml:space="preserve"> </w:t>
      </w:r>
      <w:r w:rsidRPr="00E8073D">
        <w:rPr>
          <w:rFonts w:cs="Arial" w:hint="cs"/>
          <w:sz w:val="20"/>
          <w:szCs w:val="20"/>
          <w:rtl/>
        </w:rPr>
        <w:t>האי</w:t>
      </w:r>
      <w:r w:rsidRPr="00E8073D">
        <w:rPr>
          <w:rFonts w:cs="Arial"/>
          <w:sz w:val="20"/>
          <w:szCs w:val="20"/>
          <w:rtl/>
        </w:rPr>
        <w:t xml:space="preserve">? </w:t>
      </w:r>
      <w:r w:rsidRPr="00E8073D">
        <w:rPr>
          <w:rFonts w:cs="Arial" w:hint="cs"/>
          <w:sz w:val="20"/>
          <w:szCs w:val="20"/>
          <w:rtl/>
        </w:rPr>
        <w:t>א</w:t>
      </w:r>
      <w:r>
        <w:rPr>
          <w:rFonts w:cs="Arial" w:hint="cs"/>
          <w:sz w:val="20"/>
          <w:szCs w:val="20"/>
          <w:rtl/>
        </w:rPr>
        <w:t xml:space="preserve">מר </w:t>
      </w:r>
      <w:r w:rsidRPr="00E8073D">
        <w:rPr>
          <w:rFonts w:cs="Arial" w:hint="cs"/>
          <w:sz w:val="20"/>
          <w:szCs w:val="20"/>
          <w:rtl/>
        </w:rPr>
        <w:t>ל</w:t>
      </w:r>
      <w:r>
        <w:rPr>
          <w:rFonts w:cs="Arial" w:hint="cs"/>
          <w:sz w:val="20"/>
          <w:szCs w:val="20"/>
          <w:rtl/>
        </w:rPr>
        <w:t>יה</w:t>
      </w:r>
      <w:r w:rsidRPr="00E8073D">
        <w:rPr>
          <w:rFonts w:cs="Arial"/>
          <w:sz w:val="20"/>
          <w:szCs w:val="20"/>
          <w:rtl/>
        </w:rPr>
        <w:t xml:space="preserve">: </w:t>
      </w:r>
      <w:r w:rsidRPr="00E8073D">
        <w:rPr>
          <w:rFonts w:cs="Arial" w:hint="cs"/>
          <w:sz w:val="20"/>
          <w:szCs w:val="20"/>
          <w:rtl/>
        </w:rPr>
        <w:t>לא</w:t>
      </w:r>
      <w:r w:rsidRPr="00E8073D">
        <w:rPr>
          <w:rFonts w:cs="Arial"/>
          <w:sz w:val="20"/>
          <w:szCs w:val="20"/>
          <w:rtl/>
        </w:rPr>
        <w:t xml:space="preserve"> </w:t>
      </w:r>
      <w:r w:rsidRPr="00E8073D">
        <w:rPr>
          <w:rFonts w:cs="Arial" w:hint="cs"/>
          <w:sz w:val="20"/>
          <w:szCs w:val="20"/>
          <w:rtl/>
        </w:rPr>
        <w:t>סבר</w:t>
      </w:r>
      <w:r w:rsidRPr="00E8073D">
        <w:rPr>
          <w:rFonts w:cs="Arial"/>
          <w:sz w:val="20"/>
          <w:szCs w:val="20"/>
          <w:rtl/>
        </w:rPr>
        <w:t xml:space="preserve"> </w:t>
      </w:r>
      <w:r w:rsidRPr="00E8073D">
        <w:rPr>
          <w:rFonts w:cs="Arial" w:hint="cs"/>
          <w:sz w:val="20"/>
          <w:szCs w:val="20"/>
          <w:rtl/>
        </w:rPr>
        <w:t>לה</w:t>
      </w:r>
      <w:r w:rsidRPr="00E8073D">
        <w:rPr>
          <w:rFonts w:cs="Arial"/>
          <w:sz w:val="20"/>
          <w:szCs w:val="20"/>
          <w:rtl/>
        </w:rPr>
        <w:t xml:space="preserve"> </w:t>
      </w:r>
      <w:r w:rsidRPr="00E8073D">
        <w:rPr>
          <w:rFonts w:cs="Arial" w:hint="cs"/>
          <w:sz w:val="20"/>
          <w:szCs w:val="20"/>
          <w:rtl/>
        </w:rPr>
        <w:t>מר</w:t>
      </w:r>
      <w:r w:rsidRPr="00E8073D">
        <w:rPr>
          <w:rFonts w:cs="Arial"/>
          <w:sz w:val="20"/>
          <w:szCs w:val="20"/>
          <w:rtl/>
        </w:rPr>
        <w:t xml:space="preserve"> </w:t>
      </w:r>
      <w:r w:rsidRPr="00E8073D">
        <w:rPr>
          <w:rFonts w:cs="Arial" w:hint="cs"/>
          <w:sz w:val="20"/>
          <w:szCs w:val="20"/>
          <w:rtl/>
        </w:rPr>
        <w:t>להא</w:t>
      </w:r>
      <w:r w:rsidRPr="00E8073D">
        <w:rPr>
          <w:rFonts w:cs="Arial"/>
          <w:sz w:val="20"/>
          <w:szCs w:val="20"/>
          <w:rtl/>
        </w:rPr>
        <w:t xml:space="preserve"> </w:t>
      </w:r>
      <w:r w:rsidRPr="00E8073D">
        <w:rPr>
          <w:rFonts w:cs="Arial" w:hint="cs"/>
          <w:sz w:val="20"/>
          <w:szCs w:val="20"/>
          <w:rtl/>
        </w:rPr>
        <w:t>דרבא</w:t>
      </w:r>
      <w:r w:rsidRPr="00E8073D">
        <w:rPr>
          <w:rFonts w:cs="Arial"/>
          <w:sz w:val="20"/>
          <w:szCs w:val="20"/>
          <w:rtl/>
        </w:rPr>
        <w:t xml:space="preserve">, </w:t>
      </w:r>
      <w:r w:rsidRPr="00E8073D">
        <w:rPr>
          <w:rFonts w:cs="Arial" w:hint="cs"/>
          <w:sz w:val="20"/>
          <w:szCs w:val="20"/>
          <w:rtl/>
        </w:rPr>
        <w:t>דאמר</w:t>
      </w:r>
      <w:r w:rsidRPr="00E8073D">
        <w:rPr>
          <w:rFonts w:cs="Arial"/>
          <w:sz w:val="20"/>
          <w:szCs w:val="20"/>
          <w:rtl/>
        </w:rPr>
        <w:t xml:space="preserve"> </w:t>
      </w:r>
      <w:r w:rsidRPr="00E8073D">
        <w:rPr>
          <w:rFonts w:cs="Arial" w:hint="cs"/>
          <w:sz w:val="20"/>
          <w:szCs w:val="20"/>
          <w:rtl/>
        </w:rPr>
        <w:t>רבא</w:t>
      </w:r>
      <w:r w:rsidRPr="00E8073D">
        <w:rPr>
          <w:rFonts w:cs="Arial"/>
          <w:sz w:val="20"/>
          <w:szCs w:val="20"/>
          <w:rtl/>
        </w:rPr>
        <w:t xml:space="preserve">: </w:t>
      </w:r>
      <w:r w:rsidRPr="00E8073D">
        <w:rPr>
          <w:rFonts w:cs="Arial" w:hint="cs"/>
          <w:sz w:val="20"/>
          <w:szCs w:val="20"/>
          <w:rtl/>
        </w:rPr>
        <w:t>תבעוה</w:t>
      </w:r>
      <w:r w:rsidRPr="00E8073D">
        <w:rPr>
          <w:rFonts w:cs="Arial"/>
          <w:sz w:val="20"/>
          <w:szCs w:val="20"/>
          <w:rtl/>
        </w:rPr>
        <w:t xml:space="preserve"> </w:t>
      </w:r>
      <w:r w:rsidRPr="00E8073D">
        <w:rPr>
          <w:rFonts w:cs="Arial" w:hint="cs"/>
          <w:sz w:val="20"/>
          <w:szCs w:val="20"/>
          <w:rtl/>
        </w:rPr>
        <w:t>לינשא</w:t>
      </w:r>
      <w:r w:rsidRPr="00E8073D">
        <w:rPr>
          <w:rFonts w:cs="Arial"/>
          <w:sz w:val="20"/>
          <w:szCs w:val="20"/>
          <w:rtl/>
        </w:rPr>
        <w:t xml:space="preserve"> </w:t>
      </w:r>
      <w:r w:rsidRPr="00E8073D">
        <w:rPr>
          <w:rFonts w:cs="Arial" w:hint="cs"/>
          <w:sz w:val="20"/>
          <w:szCs w:val="20"/>
          <w:rtl/>
        </w:rPr>
        <w:t>ונתפייסה</w:t>
      </w:r>
      <w:r w:rsidRPr="00E8073D">
        <w:rPr>
          <w:rFonts w:cs="Arial"/>
          <w:sz w:val="20"/>
          <w:szCs w:val="20"/>
          <w:rtl/>
        </w:rPr>
        <w:t xml:space="preserve"> - </w:t>
      </w:r>
      <w:r w:rsidRPr="00E8073D">
        <w:rPr>
          <w:rFonts w:cs="Arial" w:hint="cs"/>
          <w:sz w:val="20"/>
          <w:szCs w:val="20"/>
          <w:rtl/>
        </w:rPr>
        <w:t>צריכה</w:t>
      </w:r>
      <w:r w:rsidRPr="00E8073D">
        <w:rPr>
          <w:rFonts w:cs="Arial"/>
          <w:sz w:val="20"/>
          <w:szCs w:val="20"/>
          <w:rtl/>
        </w:rPr>
        <w:t xml:space="preserve"> </w:t>
      </w:r>
      <w:r w:rsidRPr="00E8073D">
        <w:rPr>
          <w:rFonts w:cs="Arial" w:hint="cs"/>
          <w:sz w:val="20"/>
          <w:szCs w:val="20"/>
          <w:rtl/>
        </w:rPr>
        <w:t>לישב</w:t>
      </w:r>
      <w:r w:rsidRPr="00E8073D">
        <w:rPr>
          <w:rFonts w:cs="Arial"/>
          <w:sz w:val="20"/>
          <w:szCs w:val="20"/>
          <w:rtl/>
        </w:rPr>
        <w:t xml:space="preserve"> </w:t>
      </w:r>
      <w:r w:rsidRPr="00E8073D">
        <w:rPr>
          <w:rFonts w:cs="Arial" w:hint="cs"/>
          <w:sz w:val="20"/>
          <w:szCs w:val="20"/>
          <w:rtl/>
        </w:rPr>
        <w:t>שבעה</w:t>
      </w:r>
      <w:r w:rsidRPr="00E8073D">
        <w:rPr>
          <w:rFonts w:cs="Arial"/>
          <w:sz w:val="20"/>
          <w:szCs w:val="20"/>
          <w:rtl/>
        </w:rPr>
        <w:t xml:space="preserve"> </w:t>
      </w:r>
      <w:r w:rsidRPr="00E8073D">
        <w:rPr>
          <w:rFonts w:cs="Arial" w:hint="cs"/>
          <w:sz w:val="20"/>
          <w:szCs w:val="20"/>
          <w:rtl/>
        </w:rPr>
        <w:t>נקיים</w:t>
      </w:r>
      <w:r>
        <w:rPr>
          <w:rFonts w:cs="Arial" w:hint="cs"/>
          <w:sz w:val="20"/>
          <w:szCs w:val="20"/>
          <w:rtl/>
        </w:rPr>
        <w:t>?</w:t>
      </w:r>
      <w:r w:rsidRPr="00E8073D">
        <w:rPr>
          <w:rFonts w:cs="Arial"/>
          <w:sz w:val="20"/>
          <w:szCs w:val="20"/>
          <w:rtl/>
        </w:rPr>
        <w:t xml:space="preserve"> </w:t>
      </w:r>
      <w:r w:rsidRPr="00E8073D">
        <w:rPr>
          <w:rFonts w:cs="Arial" w:hint="cs"/>
          <w:sz w:val="20"/>
          <w:szCs w:val="20"/>
          <w:rtl/>
        </w:rPr>
        <w:t>א</w:t>
      </w:r>
      <w:r>
        <w:rPr>
          <w:rFonts w:cs="Arial" w:hint="cs"/>
          <w:sz w:val="20"/>
          <w:szCs w:val="20"/>
          <w:rtl/>
        </w:rPr>
        <w:t xml:space="preserve">מר </w:t>
      </w:r>
      <w:r w:rsidRPr="00E8073D">
        <w:rPr>
          <w:rFonts w:cs="Arial" w:hint="cs"/>
          <w:sz w:val="20"/>
          <w:szCs w:val="20"/>
          <w:rtl/>
        </w:rPr>
        <w:t>ל</w:t>
      </w:r>
      <w:r>
        <w:rPr>
          <w:rFonts w:cs="Arial" w:hint="cs"/>
          <w:sz w:val="20"/>
          <w:szCs w:val="20"/>
          <w:rtl/>
        </w:rPr>
        <w:t>יה</w:t>
      </w:r>
      <w:r w:rsidRPr="00E8073D">
        <w:rPr>
          <w:rFonts w:cs="Arial"/>
          <w:sz w:val="20"/>
          <w:szCs w:val="20"/>
          <w:rtl/>
        </w:rPr>
        <w:t xml:space="preserve">: </w:t>
      </w:r>
      <w:r w:rsidRPr="00E8073D">
        <w:rPr>
          <w:rFonts w:cs="Arial" w:hint="cs"/>
          <w:sz w:val="20"/>
          <w:szCs w:val="20"/>
          <w:rtl/>
        </w:rPr>
        <w:t>אימר</w:t>
      </w:r>
      <w:r w:rsidRPr="00E8073D">
        <w:rPr>
          <w:rFonts w:cs="Arial"/>
          <w:sz w:val="20"/>
          <w:szCs w:val="20"/>
          <w:rtl/>
        </w:rPr>
        <w:t xml:space="preserve"> </w:t>
      </w:r>
      <w:r w:rsidRPr="00E8073D">
        <w:rPr>
          <w:rFonts w:cs="Arial" w:hint="cs"/>
          <w:sz w:val="20"/>
          <w:szCs w:val="20"/>
          <w:rtl/>
        </w:rPr>
        <w:t>דאמר</w:t>
      </w:r>
      <w:r w:rsidRPr="00E8073D">
        <w:rPr>
          <w:rFonts w:cs="Arial"/>
          <w:sz w:val="20"/>
          <w:szCs w:val="20"/>
          <w:rtl/>
        </w:rPr>
        <w:t xml:space="preserve"> </w:t>
      </w:r>
      <w:r w:rsidRPr="00E8073D">
        <w:rPr>
          <w:rFonts w:cs="Arial" w:hint="cs"/>
          <w:sz w:val="20"/>
          <w:szCs w:val="20"/>
          <w:rtl/>
        </w:rPr>
        <w:t>רבא</w:t>
      </w:r>
      <w:r w:rsidRPr="00E8073D">
        <w:rPr>
          <w:rFonts w:cs="Arial"/>
          <w:sz w:val="20"/>
          <w:szCs w:val="20"/>
          <w:rtl/>
        </w:rPr>
        <w:t xml:space="preserve"> - </w:t>
      </w:r>
      <w:r w:rsidRPr="00E8073D">
        <w:rPr>
          <w:rFonts w:cs="Arial" w:hint="cs"/>
          <w:sz w:val="20"/>
          <w:szCs w:val="20"/>
          <w:rtl/>
        </w:rPr>
        <w:t>בגדולה</w:t>
      </w:r>
      <w:r w:rsidRPr="00E8073D">
        <w:rPr>
          <w:rFonts w:cs="Arial"/>
          <w:sz w:val="20"/>
          <w:szCs w:val="20"/>
          <w:rtl/>
        </w:rPr>
        <w:t xml:space="preserve"> </w:t>
      </w:r>
      <w:r w:rsidRPr="00E8073D">
        <w:rPr>
          <w:rFonts w:cs="Arial" w:hint="cs"/>
          <w:sz w:val="20"/>
          <w:szCs w:val="20"/>
          <w:rtl/>
        </w:rPr>
        <w:t>דקחזיא</w:t>
      </w:r>
      <w:r w:rsidRPr="00E8073D">
        <w:rPr>
          <w:rFonts w:cs="Arial"/>
          <w:sz w:val="20"/>
          <w:szCs w:val="20"/>
          <w:rtl/>
        </w:rPr>
        <w:t xml:space="preserve"> </w:t>
      </w:r>
      <w:r w:rsidRPr="00E8073D">
        <w:rPr>
          <w:rFonts w:cs="Arial" w:hint="cs"/>
          <w:sz w:val="20"/>
          <w:szCs w:val="20"/>
          <w:rtl/>
        </w:rPr>
        <w:t>דמא</w:t>
      </w:r>
      <w:r w:rsidRPr="00E8073D">
        <w:rPr>
          <w:rFonts w:cs="Arial"/>
          <w:sz w:val="20"/>
          <w:szCs w:val="20"/>
          <w:rtl/>
        </w:rPr>
        <w:t xml:space="preserve">, </w:t>
      </w:r>
      <w:r w:rsidRPr="00E8073D">
        <w:rPr>
          <w:rFonts w:cs="Arial" w:hint="cs"/>
          <w:sz w:val="20"/>
          <w:szCs w:val="20"/>
          <w:rtl/>
        </w:rPr>
        <w:t>אבל</w:t>
      </w:r>
      <w:r w:rsidRPr="00E8073D">
        <w:rPr>
          <w:rFonts w:cs="Arial"/>
          <w:sz w:val="20"/>
          <w:szCs w:val="20"/>
          <w:rtl/>
        </w:rPr>
        <w:t xml:space="preserve"> </w:t>
      </w:r>
      <w:r w:rsidRPr="00E8073D">
        <w:rPr>
          <w:rFonts w:cs="Arial" w:hint="cs"/>
          <w:sz w:val="20"/>
          <w:szCs w:val="20"/>
          <w:rtl/>
        </w:rPr>
        <w:t>בקטנה</w:t>
      </w:r>
      <w:r w:rsidRPr="00E8073D">
        <w:rPr>
          <w:rFonts w:cs="Arial"/>
          <w:sz w:val="20"/>
          <w:szCs w:val="20"/>
          <w:rtl/>
        </w:rPr>
        <w:t xml:space="preserve"> </w:t>
      </w:r>
      <w:r w:rsidRPr="00E8073D">
        <w:rPr>
          <w:rFonts w:cs="Arial" w:hint="cs"/>
          <w:sz w:val="20"/>
          <w:szCs w:val="20"/>
          <w:rtl/>
        </w:rPr>
        <w:t>דלא</w:t>
      </w:r>
      <w:r w:rsidRPr="00E8073D">
        <w:rPr>
          <w:rFonts w:cs="Arial"/>
          <w:sz w:val="20"/>
          <w:szCs w:val="20"/>
          <w:rtl/>
        </w:rPr>
        <w:t xml:space="preserve"> </w:t>
      </w:r>
      <w:r w:rsidRPr="00E8073D">
        <w:rPr>
          <w:rFonts w:cs="Arial" w:hint="cs"/>
          <w:sz w:val="20"/>
          <w:szCs w:val="20"/>
          <w:rtl/>
        </w:rPr>
        <w:t>חזיא</w:t>
      </w:r>
      <w:r w:rsidRPr="00E8073D">
        <w:rPr>
          <w:rFonts w:cs="Arial"/>
          <w:sz w:val="20"/>
          <w:szCs w:val="20"/>
          <w:rtl/>
        </w:rPr>
        <w:t xml:space="preserve"> </w:t>
      </w:r>
      <w:r w:rsidRPr="00E8073D">
        <w:rPr>
          <w:rFonts w:cs="Arial" w:hint="cs"/>
          <w:sz w:val="20"/>
          <w:szCs w:val="20"/>
          <w:rtl/>
        </w:rPr>
        <w:t>דמא</w:t>
      </w:r>
      <w:r w:rsidRPr="00E8073D">
        <w:rPr>
          <w:rFonts w:cs="Arial"/>
          <w:sz w:val="20"/>
          <w:szCs w:val="20"/>
          <w:rtl/>
        </w:rPr>
        <w:t xml:space="preserve"> - </w:t>
      </w:r>
      <w:r w:rsidRPr="00E8073D">
        <w:rPr>
          <w:rFonts w:cs="Arial" w:hint="cs"/>
          <w:sz w:val="20"/>
          <w:szCs w:val="20"/>
          <w:rtl/>
        </w:rPr>
        <w:t>מי</w:t>
      </w:r>
      <w:r w:rsidRPr="00E8073D">
        <w:rPr>
          <w:rFonts w:cs="Arial"/>
          <w:sz w:val="20"/>
          <w:szCs w:val="20"/>
          <w:rtl/>
        </w:rPr>
        <w:t xml:space="preserve"> </w:t>
      </w:r>
      <w:r w:rsidRPr="00E8073D">
        <w:rPr>
          <w:rFonts w:cs="Arial" w:hint="cs"/>
          <w:sz w:val="20"/>
          <w:szCs w:val="20"/>
          <w:rtl/>
        </w:rPr>
        <w:t>אמר</w:t>
      </w:r>
      <w:r w:rsidRPr="00E8073D">
        <w:rPr>
          <w:rFonts w:cs="Arial"/>
          <w:sz w:val="20"/>
          <w:szCs w:val="20"/>
          <w:rtl/>
        </w:rPr>
        <w:t xml:space="preserve">? </w:t>
      </w:r>
      <w:r w:rsidRPr="00E8073D">
        <w:rPr>
          <w:rFonts w:cs="Arial" w:hint="cs"/>
          <w:sz w:val="20"/>
          <w:szCs w:val="20"/>
          <w:rtl/>
        </w:rPr>
        <w:t>א</w:t>
      </w:r>
      <w:r>
        <w:rPr>
          <w:rFonts w:cs="Arial" w:hint="cs"/>
          <w:sz w:val="20"/>
          <w:szCs w:val="20"/>
          <w:rtl/>
        </w:rPr>
        <w:t xml:space="preserve">מר </w:t>
      </w:r>
      <w:r w:rsidRPr="00E8073D">
        <w:rPr>
          <w:rFonts w:cs="Arial" w:hint="cs"/>
          <w:sz w:val="20"/>
          <w:szCs w:val="20"/>
          <w:rtl/>
        </w:rPr>
        <w:t>ל</w:t>
      </w:r>
      <w:r>
        <w:rPr>
          <w:rFonts w:cs="Arial" w:hint="cs"/>
          <w:sz w:val="20"/>
          <w:szCs w:val="20"/>
          <w:rtl/>
        </w:rPr>
        <w:t>יה</w:t>
      </w:r>
      <w:r w:rsidRPr="00E8073D">
        <w:rPr>
          <w:rFonts w:cs="Arial"/>
          <w:sz w:val="20"/>
          <w:szCs w:val="20"/>
          <w:rtl/>
        </w:rPr>
        <w:t xml:space="preserve">: </w:t>
      </w:r>
      <w:r w:rsidRPr="00E8073D">
        <w:rPr>
          <w:rFonts w:cs="Arial" w:hint="cs"/>
          <w:sz w:val="20"/>
          <w:szCs w:val="20"/>
          <w:rtl/>
        </w:rPr>
        <w:t>בפירוש</w:t>
      </w:r>
      <w:r w:rsidRPr="00E8073D">
        <w:rPr>
          <w:rFonts w:cs="Arial"/>
          <w:sz w:val="20"/>
          <w:szCs w:val="20"/>
          <w:rtl/>
        </w:rPr>
        <w:t xml:space="preserve"> </w:t>
      </w:r>
      <w:r w:rsidRPr="00E8073D">
        <w:rPr>
          <w:rFonts w:cs="Arial" w:hint="cs"/>
          <w:sz w:val="20"/>
          <w:szCs w:val="20"/>
          <w:rtl/>
        </w:rPr>
        <w:t>אמר</w:t>
      </w:r>
      <w:r w:rsidRPr="00E8073D">
        <w:rPr>
          <w:rFonts w:cs="Arial"/>
          <w:sz w:val="20"/>
          <w:szCs w:val="20"/>
          <w:rtl/>
        </w:rPr>
        <w:t xml:space="preserve"> </w:t>
      </w:r>
      <w:r w:rsidRPr="00E8073D">
        <w:rPr>
          <w:rFonts w:cs="Arial" w:hint="cs"/>
          <w:sz w:val="20"/>
          <w:szCs w:val="20"/>
          <w:rtl/>
        </w:rPr>
        <w:t>רבא</w:t>
      </w:r>
      <w:r w:rsidRPr="00E8073D">
        <w:rPr>
          <w:rFonts w:cs="Arial"/>
          <w:sz w:val="20"/>
          <w:szCs w:val="20"/>
          <w:rtl/>
        </w:rPr>
        <w:t xml:space="preserve"> </w:t>
      </w:r>
      <w:r w:rsidRPr="00E8073D">
        <w:rPr>
          <w:rFonts w:cs="Arial" w:hint="cs"/>
          <w:sz w:val="20"/>
          <w:szCs w:val="20"/>
          <w:rtl/>
        </w:rPr>
        <w:t>ל</w:t>
      </w:r>
      <w:r>
        <w:rPr>
          <w:rFonts w:cs="Arial" w:hint="cs"/>
          <w:sz w:val="20"/>
          <w:szCs w:val="20"/>
          <w:rtl/>
        </w:rPr>
        <w:t xml:space="preserve">א </w:t>
      </w:r>
      <w:r w:rsidRPr="00E8073D">
        <w:rPr>
          <w:rFonts w:cs="Arial" w:hint="cs"/>
          <w:sz w:val="20"/>
          <w:szCs w:val="20"/>
          <w:rtl/>
        </w:rPr>
        <w:t>ש</w:t>
      </w:r>
      <w:r>
        <w:rPr>
          <w:rFonts w:cs="Arial" w:hint="cs"/>
          <w:sz w:val="20"/>
          <w:szCs w:val="20"/>
          <w:rtl/>
        </w:rPr>
        <w:t>נא</w:t>
      </w:r>
      <w:r w:rsidRPr="00E8073D">
        <w:rPr>
          <w:rFonts w:cs="Arial"/>
          <w:sz w:val="20"/>
          <w:szCs w:val="20"/>
          <w:rtl/>
        </w:rPr>
        <w:t xml:space="preserve"> </w:t>
      </w:r>
      <w:r w:rsidRPr="00E8073D">
        <w:rPr>
          <w:rFonts w:cs="Arial" w:hint="cs"/>
          <w:sz w:val="20"/>
          <w:szCs w:val="20"/>
          <w:rtl/>
        </w:rPr>
        <w:t>גדולה</w:t>
      </w:r>
      <w:r w:rsidRPr="00E8073D">
        <w:rPr>
          <w:rFonts w:cs="Arial"/>
          <w:sz w:val="20"/>
          <w:szCs w:val="20"/>
          <w:rtl/>
        </w:rPr>
        <w:t xml:space="preserve"> </w:t>
      </w:r>
      <w:r w:rsidRPr="00E8073D">
        <w:rPr>
          <w:rFonts w:cs="Arial" w:hint="cs"/>
          <w:sz w:val="20"/>
          <w:szCs w:val="20"/>
          <w:rtl/>
        </w:rPr>
        <w:t>לא</w:t>
      </w:r>
      <w:r w:rsidRPr="00E8073D">
        <w:rPr>
          <w:rFonts w:cs="Arial"/>
          <w:sz w:val="20"/>
          <w:szCs w:val="20"/>
          <w:rtl/>
        </w:rPr>
        <w:t xml:space="preserve"> </w:t>
      </w:r>
      <w:r w:rsidRPr="00E8073D">
        <w:rPr>
          <w:rFonts w:cs="Arial" w:hint="cs"/>
          <w:sz w:val="20"/>
          <w:szCs w:val="20"/>
          <w:rtl/>
        </w:rPr>
        <w:t>שנא</w:t>
      </w:r>
      <w:r w:rsidRPr="00E8073D">
        <w:rPr>
          <w:rFonts w:cs="Arial"/>
          <w:sz w:val="20"/>
          <w:szCs w:val="20"/>
          <w:rtl/>
        </w:rPr>
        <w:t xml:space="preserve"> </w:t>
      </w:r>
      <w:r w:rsidRPr="00E8073D">
        <w:rPr>
          <w:rFonts w:cs="Arial" w:hint="cs"/>
          <w:sz w:val="20"/>
          <w:szCs w:val="20"/>
          <w:rtl/>
        </w:rPr>
        <w:t>קטנה</w:t>
      </w:r>
      <w:r w:rsidRPr="00E8073D">
        <w:rPr>
          <w:rFonts w:cs="Arial"/>
          <w:sz w:val="20"/>
          <w:szCs w:val="20"/>
          <w:rtl/>
        </w:rPr>
        <w:t xml:space="preserve">. </w:t>
      </w:r>
      <w:r w:rsidRPr="00E8073D">
        <w:rPr>
          <w:rFonts w:cs="Arial" w:hint="cs"/>
          <w:sz w:val="20"/>
          <w:szCs w:val="20"/>
          <w:rtl/>
        </w:rPr>
        <w:t>גדולה</w:t>
      </w:r>
      <w:r w:rsidRPr="00E8073D">
        <w:rPr>
          <w:rFonts w:cs="Arial"/>
          <w:sz w:val="20"/>
          <w:szCs w:val="20"/>
          <w:rtl/>
        </w:rPr>
        <w:t xml:space="preserve"> </w:t>
      </w:r>
      <w:r w:rsidRPr="00E8073D">
        <w:rPr>
          <w:rFonts w:cs="Arial" w:hint="cs"/>
          <w:sz w:val="20"/>
          <w:szCs w:val="20"/>
          <w:rtl/>
        </w:rPr>
        <w:t>טעמא</w:t>
      </w:r>
      <w:r w:rsidRPr="00E8073D">
        <w:rPr>
          <w:rFonts w:cs="Arial"/>
          <w:sz w:val="20"/>
          <w:szCs w:val="20"/>
          <w:rtl/>
        </w:rPr>
        <w:t xml:space="preserve"> </w:t>
      </w:r>
      <w:r w:rsidRPr="00E8073D">
        <w:rPr>
          <w:rFonts w:cs="Arial" w:hint="cs"/>
          <w:sz w:val="20"/>
          <w:szCs w:val="20"/>
          <w:rtl/>
        </w:rPr>
        <w:t>מאי</w:t>
      </w:r>
      <w:r w:rsidRPr="00E8073D">
        <w:rPr>
          <w:rFonts w:cs="Arial"/>
          <w:sz w:val="20"/>
          <w:szCs w:val="20"/>
          <w:rtl/>
        </w:rPr>
        <w:t xml:space="preserve"> - </w:t>
      </w:r>
      <w:r w:rsidRPr="00E8073D">
        <w:rPr>
          <w:rFonts w:cs="Arial" w:hint="cs"/>
          <w:sz w:val="20"/>
          <w:szCs w:val="20"/>
          <w:rtl/>
        </w:rPr>
        <w:t>משום</w:t>
      </w:r>
      <w:r w:rsidRPr="00E8073D">
        <w:rPr>
          <w:rFonts w:cs="Arial"/>
          <w:sz w:val="20"/>
          <w:szCs w:val="20"/>
          <w:rtl/>
        </w:rPr>
        <w:t xml:space="preserve"> </w:t>
      </w:r>
      <w:r w:rsidRPr="00E8073D">
        <w:rPr>
          <w:rFonts w:cs="Arial" w:hint="cs"/>
          <w:sz w:val="20"/>
          <w:szCs w:val="20"/>
          <w:rtl/>
        </w:rPr>
        <w:t>דמחמדא</w:t>
      </w:r>
      <w:r w:rsidRPr="00E8073D">
        <w:rPr>
          <w:rFonts w:cs="Arial"/>
          <w:sz w:val="20"/>
          <w:szCs w:val="20"/>
          <w:rtl/>
        </w:rPr>
        <w:t xml:space="preserve">, </w:t>
      </w:r>
      <w:r w:rsidRPr="00E8073D">
        <w:rPr>
          <w:rFonts w:cs="Arial" w:hint="cs"/>
          <w:sz w:val="20"/>
          <w:szCs w:val="20"/>
          <w:rtl/>
        </w:rPr>
        <w:t>קטנה</w:t>
      </w:r>
      <w:r w:rsidRPr="00E8073D">
        <w:rPr>
          <w:rFonts w:cs="Arial"/>
          <w:sz w:val="20"/>
          <w:szCs w:val="20"/>
          <w:rtl/>
        </w:rPr>
        <w:t xml:space="preserve"> </w:t>
      </w:r>
      <w:r w:rsidRPr="00E8073D">
        <w:rPr>
          <w:rFonts w:cs="Arial" w:hint="cs"/>
          <w:sz w:val="20"/>
          <w:szCs w:val="20"/>
          <w:rtl/>
        </w:rPr>
        <w:t>נמי</w:t>
      </w:r>
      <w:r w:rsidRPr="00E8073D">
        <w:rPr>
          <w:rFonts w:cs="Arial"/>
          <w:sz w:val="20"/>
          <w:szCs w:val="20"/>
          <w:rtl/>
        </w:rPr>
        <w:t xml:space="preserve"> </w:t>
      </w:r>
      <w:r w:rsidRPr="00E8073D">
        <w:rPr>
          <w:rFonts w:cs="Arial" w:hint="cs"/>
          <w:sz w:val="20"/>
          <w:szCs w:val="20"/>
          <w:rtl/>
        </w:rPr>
        <w:t>מחמדא</w:t>
      </w:r>
      <w:r>
        <w:rPr>
          <w:rFonts w:cs="Arial" w:hint="cs"/>
          <w:sz w:val="20"/>
          <w:szCs w:val="20"/>
          <w:rtl/>
        </w:rPr>
        <w:t>".</w:t>
      </w:r>
    </w:p>
    <w:p w:rsidR="00620060" w:rsidRDefault="00620060" w:rsidP="00620060">
      <w:pPr>
        <w:rPr>
          <w:sz w:val="20"/>
          <w:szCs w:val="20"/>
          <w:rtl/>
        </w:rPr>
      </w:pPr>
      <w:r w:rsidRPr="00A6250F">
        <w:rPr>
          <w:rFonts w:hint="cs"/>
          <w:b/>
          <w:bCs/>
          <w:sz w:val="20"/>
          <w:szCs w:val="20"/>
          <w:rtl/>
        </w:rPr>
        <w:t>שיטות הראשונים</w:t>
      </w:r>
      <w:r>
        <w:rPr>
          <w:rFonts w:hint="cs"/>
          <w:sz w:val="20"/>
          <w:szCs w:val="20"/>
          <w:u w:val="single"/>
          <w:rtl/>
        </w:rPr>
        <w:br/>
      </w:r>
      <w:r>
        <w:rPr>
          <w:rFonts w:hint="cs"/>
          <w:sz w:val="20"/>
          <w:szCs w:val="20"/>
          <w:rtl/>
        </w:rPr>
        <w:t>האם צריכה לעשות הפסק טהרה ובדיקות בז' הנקיים?</w:t>
      </w:r>
      <w:r>
        <w:rPr>
          <w:sz w:val="20"/>
          <w:szCs w:val="20"/>
          <w:u w:val="single"/>
          <w:rtl/>
        </w:rPr>
        <w:br/>
      </w:r>
      <w:r>
        <w:rPr>
          <w:rFonts w:hint="cs"/>
          <w:sz w:val="20"/>
          <w:szCs w:val="20"/>
          <w:rtl/>
        </w:rPr>
        <w:t xml:space="preserve">א. </w:t>
      </w:r>
      <w:r w:rsidRPr="008C1CEA">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אינה צריכה הפסק טהרה ואף אינה צריכה בדיקה תוך ז' הימים, אלא סגי בכך שאינה רואה ממש.</w:t>
      </w:r>
      <w:r>
        <w:rPr>
          <w:sz w:val="20"/>
          <w:szCs w:val="20"/>
          <w:rtl/>
        </w:rPr>
        <w:br/>
      </w:r>
      <w:r w:rsidRPr="008C1CEA">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מדובר בחשש שמא ראתה, אך אין ודאות שראתה ולא הוחזק מעיינה פתוח. לכן די לנו לחוש שמא ראתה בשעה שהתפייסה ותו לא.</w:t>
      </w:r>
      <w:r>
        <w:rPr>
          <w:sz w:val="20"/>
          <w:szCs w:val="20"/>
          <w:rtl/>
        </w:rPr>
        <w:br/>
      </w:r>
      <w:r w:rsidRPr="00382D78">
        <w:rPr>
          <w:rFonts w:hint="cs"/>
          <w:b/>
          <w:bCs/>
          <w:sz w:val="20"/>
          <w:szCs w:val="20"/>
          <w:rtl/>
        </w:rPr>
        <w:t>ראיה</w:t>
      </w:r>
      <w:r>
        <w:rPr>
          <w:rFonts w:hint="cs"/>
          <w:sz w:val="20"/>
          <w:szCs w:val="20"/>
          <w:rtl/>
        </w:rPr>
        <w:t xml:space="preserve"> </w:t>
      </w:r>
      <w:r>
        <w:rPr>
          <w:sz w:val="20"/>
          <w:szCs w:val="20"/>
          <w:rtl/>
        </w:rPr>
        <w:t>–</w:t>
      </w:r>
      <w:r>
        <w:rPr>
          <w:rFonts w:hint="cs"/>
          <w:sz w:val="20"/>
          <w:szCs w:val="20"/>
          <w:rtl/>
        </w:rPr>
        <w:t xml:space="preserve"> רב חנינא חשב שאין צריך לשבת ז' נקיים בקטנה, ואם כן לא הפריש את בתו באופן מיוחד ואעפ"כ לא דחו את הנישואין מחמת זאת, על כרחך שאין צריך הפסק ובדיקה ולכן לא דחו את הנישואין.</w:t>
      </w:r>
      <w:r>
        <w:rPr>
          <w:rStyle w:val="a5"/>
          <w:sz w:val="20"/>
          <w:szCs w:val="20"/>
        </w:rPr>
        <w:footnoteReference w:id="367"/>
      </w:r>
      <w:r>
        <w:rPr>
          <w:sz w:val="20"/>
          <w:szCs w:val="20"/>
          <w:rtl/>
        </w:rPr>
        <w:br/>
      </w:r>
      <w:r>
        <w:rPr>
          <w:rFonts w:hint="cs"/>
          <w:sz w:val="20"/>
          <w:szCs w:val="20"/>
          <w:rtl/>
        </w:rPr>
        <w:lastRenderedPageBreak/>
        <w:t xml:space="preserve">ב. </w:t>
      </w:r>
      <w:r w:rsidRPr="00C25C4D">
        <w:rPr>
          <w:rFonts w:hint="cs"/>
          <w:b/>
          <w:bCs/>
          <w:sz w:val="20"/>
          <w:szCs w:val="20"/>
          <w:rtl/>
        </w:rPr>
        <w:t>ראב"ד ורמב"ן</w:t>
      </w:r>
      <w:r>
        <w:rPr>
          <w:rFonts w:hint="cs"/>
          <w:sz w:val="20"/>
          <w:szCs w:val="20"/>
          <w:rtl/>
        </w:rPr>
        <w:t xml:space="preserve"> </w:t>
      </w:r>
      <w:r>
        <w:rPr>
          <w:sz w:val="20"/>
          <w:szCs w:val="20"/>
          <w:rtl/>
        </w:rPr>
        <w:t>–</w:t>
      </w:r>
      <w:r>
        <w:rPr>
          <w:rFonts w:hint="cs"/>
          <w:sz w:val="20"/>
          <w:szCs w:val="20"/>
          <w:rtl/>
        </w:rPr>
        <w:t xml:space="preserve"> אינה צריכה הפסק טהרה, אך צריכה לבדוק פעם אחת בתוך הז' נקיים</w:t>
      </w:r>
      <w:r>
        <w:rPr>
          <w:rStyle w:val="a5"/>
          <w:sz w:val="20"/>
          <w:szCs w:val="20"/>
          <w:rtl/>
        </w:rPr>
        <w:footnoteReference w:id="368"/>
      </w:r>
      <w:r>
        <w:rPr>
          <w:rFonts w:hint="cs"/>
          <w:sz w:val="20"/>
          <w:szCs w:val="20"/>
          <w:rtl/>
        </w:rPr>
        <w:t xml:space="preserve">, וכ"פ </w:t>
      </w:r>
      <w:r w:rsidRPr="002521A5">
        <w:rPr>
          <w:rFonts w:hint="cs"/>
          <w:b/>
          <w:bCs/>
          <w:sz w:val="20"/>
          <w:szCs w:val="20"/>
          <w:rtl/>
        </w:rPr>
        <w:t>המחבר</w:t>
      </w:r>
      <w:r>
        <w:rPr>
          <w:rFonts w:hint="cs"/>
          <w:sz w:val="20"/>
          <w:szCs w:val="20"/>
          <w:rtl/>
        </w:rPr>
        <w:t xml:space="preserve"> </w:t>
      </w:r>
      <w:r>
        <w:rPr>
          <w:sz w:val="18"/>
          <w:szCs w:val="18"/>
          <w:rtl/>
        </w:rPr>
        <w:br/>
      </w:r>
      <w:r w:rsidRPr="00604541">
        <w:rPr>
          <w:rFonts w:hint="cs"/>
          <w:sz w:val="18"/>
          <w:szCs w:val="18"/>
          <w:rtl/>
        </w:rPr>
        <w:t>[</w:t>
      </w:r>
      <w:r w:rsidRPr="00C24057">
        <w:rPr>
          <w:rFonts w:hint="cs"/>
          <w:b/>
          <w:bCs/>
          <w:sz w:val="18"/>
          <w:szCs w:val="18"/>
          <w:rtl/>
        </w:rPr>
        <w:t>והר"ן</w:t>
      </w:r>
      <w:r w:rsidRPr="00604541">
        <w:rPr>
          <w:rFonts w:hint="cs"/>
          <w:sz w:val="18"/>
          <w:szCs w:val="18"/>
          <w:rtl/>
        </w:rPr>
        <w:t xml:space="preserve"> </w:t>
      </w:r>
      <w:r>
        <w:rPr>
          <w:rFonts w:hint="cs"/>
          <w:sz w:val="18"/>
          <w:szCs w:val="18"/>
          <w:rtl/>
        </w:rPr>
        <w:t>מב</w:t>
      </w:r>
      <w:r w:rsidRPr="00604541">
        <w:rPr>
          <w:rFonts w:hint="cs"/>
          <w:sz w:val="18"/>
          <w:szCs w:val="18"/>
          <w:rtl/>
        </w:rPr>
        <w:t xml:space="preserve">אר </w:t>
      </w:r>
      <w:r>
        <w:rPr>
          <w:rFonts w:hint="cs"/>
          <w:sz w:val="18"/>
          <w:szCs w:val="18"/>
          <w:rtl/>
        </w:rPr>
        <w:t xml:space="preserve">לשיטתם </w:t>
      </w:r>
      <w:r w:rsidRPr="00604541">
        <w:rPr>
          <w:rFonts w:hint="cs"/>
          <w:sz w:val="18"/>
          <w:szCs w:val="18"/>
          <w:rtl/>
        </w:rPr>
        <w:t>שיש לבדוק זאת בתחילה הז' או בסופם]</w:t>
      </w:r>
      <w:r w:rsidRPr="00C24057">
        <w:rPr>
          <w:rFonts w:hint="cs"/>
          <w:sz w:val="20"/>
          <w:szCs w:val="20"/>
          <w:rtl/>
        </w:rPr>
        <w:t>.</w:t>
      </w:r>
      <w:r>
        <w:rPr>
          <w:sz w:val="20"/>
          <w:szCs w:val="20"/>
          <w:rtl/>
        </w:rPr>
        <w:br/>
      </w:r>
      <w:r w:rsidRPr="00D021A9">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החשש הוא שמא תראה מעט דם מחמת חימוד, ובמעט דם אין צריך לעשות הפסק משום שוודאי פסק.</w:t>
      </w:r>
      <w:r>
        <w:rPr>
          <w:sz w:val="20"/>
          <w:szCs w:val="20"/>
          <w:rtl/>
        </w:rPr>
        <w:br/>
      </w:r>
      <w:r>
        <w:rPr>
          <w:rFonts w:hint="cs"/>
          <w:sz w:val="20"/>
          <w:szCs w:val="20"/>
          <w:rtl/>
        </w:rPr>
        <w:t xml:space="preserve">ג. </w:t>
      </w:r>
      <w:r w:rsidRPr="002071A3">
        <w:rPr>
          <w:rFonts w:hint="cs"/>
          <w:b/>
          <w:bCs/>
          <w:sz w:val="20"/>
          <w:szCs w:val="20"/>
          <w:rtl/>
        </w:rPr>
        <w:t>רא"ש</w:t>
      </w:r>
      <w:r>
        <w:rPr>
          <w:rFonts w:hint="cs"/>
          <w:sz w:val="20"/>
          <w:szCs w:val="20"/>
          <w:rtl/>
        </w:rPr>
        <w:t xml:space="preserve"> </w:t>
      </w:r>
      <w:r>
        <w:rPr>
          <w:sz w:val="20"/>
          <w:szCs w:val="20"/>
          <w:rtl/>
        </w:rPr>
        <w:t>–</w:t>
      </w:r>
      <w:r>
        <w:rPr>
          <w:rFonts w:hint="cs"/>
          <w:sz w:val="20"/>
          <w:szCs w:val="20"/>
          <w:rtl/>
        </w:rPr>
        <w:t xml:space="preserve"> אינה צריכה לעשות הפסק טהרה, אך צריכה לבדוק בכל יום מהז' נקיים, וכ"פ </w:t>
      </w:r>
      <w:r w:rsidRPr="00467577">
        <w:rPr>
          <w:rFonts w:hint="cs"/>
          <w:b/>
          <w:bCs/>
          <w:sz w:val="20"/>
          <w:szCs w:val="20"/>
          <w:rtl/>
        </w:rPr>
        <w:t>ה</w:t>
      </w:r>
      <w:r>
        <w:rPr>
          <w:rFonts w:hint="cs"/>
          <w:b/>
          <w:bCs/>
          <w:sz w:val="20"/>
          <w:szCs w:val="20"/>
          <w:rtl/>
        </w:rPr>
        <w:t>רמ"א</w:t>
      </w:r>
      <w:r>
        <w:rPr>
          <w:rFonts w:hint="cs"/>
          <w:sz w:val="20"/>
          <w:szCs w:val="20"/>
          <w:rtl/>
        </w:rPr>
        <w:t>.</w:t>
      </w:r>
      <w:r>
        <w:rPr>
          <w:sz w:val="20"/>
          <w:szCs w:val="20"/>
          <w:rtl/>
        </w:rPr>
        <w:br/>
      </w:r>
      <w:r w:rsidRPr="009D30A9">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ככל שמתקרב מועד הנישואין גוברת ההשתוקקות של האשה לבעלה ולכן עלולה לראות </w:t>
      </w:r>
      <w:r w:rsidRPr="009D30A9">
        <w:rPr>
          <w:rFonts w:hint="cs"/>
          <w:sz w:val="18"/>
          <w:szCs w:val="18"/>
          <w:rtl/>
        </w:rPr>
        <w:t>[אך אין טעם הנקיים משום חומרת רבי זירא ו</w:t>
      </w:r>
      <w:r>
        <w:rPr>
          <w:rFonts w:hint="cs"/>
          <w:sz w:val="18"/>
          <w:szCs w:val="18"/>
          <w:rtl/>
        </w:rPr>
        <w:t xml:space="preserve">מחשש </w:t>
      </w:r>
      <w:r w:rsidRPr="009D30A9">
        <w:rPr>
          <w:rFonts w:hint="cs"/>
          <w:sz w:val="18"/>
          <w:szCs w:val="18"/>
          <w:rtl/>
        </w:rPr>
        <w:t>שמא ראתה ביום התביעה, משום שבימי רבא לא פשטה חומרת רבי זירא, כפי שמוכיח הרא"ש, עיין בהערה</w:t>
      </w:r>
      <w:r>
        <w:rPr>
          <w:rStyle w:val="a5"/>
          <w:sz w:val="18"/>
          <w:szCs w:val="18"/>
          <w:rtl/>
        </w:rPr>
        <w:footnoteReference w:id="369"/>
      </w:r>
      <w:r w:rsidRPr="009D30A9">
        <w:rPr>
          <w:rFonts w:hint="cs"/>
          <w:sz w:val="18"/>
          <w:szCs w:val="18"/>
          <w:rtl/>
        </w:rPr>
        <w:t>]</w:t>
      </w:r>
      <w:r w:rsidRPr="009D30A9">
        <w:rPr>
          <w:rFonts w:hint="cs"/>
          <w:sz w:val="20"/>
          <w:szCs w:val="20"/>
          <w:rtl/>
        </w:rPr>
        <w:t>.</w:t>
      </w:r>
      <w:r>
        <w:rPr>
          <w:rFonts w:hint="cs"/>
          <w:sz w:val="20"/>
          <w:szCs w:val="20"/>
          <w:rtl/>
        </w:rPr>
        <w:br/>
        <w:t xml:space="preserve">אמנם </w:t>
      </w:r>
      <w:r>
        <w:rPr>
          <w:sz w:val="20"/>
          <w:szCs w:val="20"/>
          <w:rtl/>
        </w:rPr>
        <w:t>–</w:t>
      </w:r>
      <w:r>
        <w:rPr>
          <w:rFonts w:hint="cs"/>
          <w:sz w:val="20"/>
          <w:szCs w:val="20"/>
          <w:rtl/>
        </w:rPr>
        <w:t xml:space="preserve"> אם שכחה לבדוק בכל יום אינו מעכב בדיעבד ובלבד שבדקה לפחות יום אחד.</w:t>
      </w:r>
      <w:r>
        <w:rPr>
          <w:sz w:val="20"/>
          <w:szCs w:val="20"/>
          <w:rtl/>
        </w:rPr>
        <w:br/>
      </w:r>
      <w:r w:rsidRPr="00467577">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ככל נידה שבדיעבד סגי לה בבדיקה אחת </w:t>
      </w:r>
      <w:r w:rsidRPr="00467577">
        <w:rPr>
          <w:rFonts w:hint="cs"/>
          <w:sz w:val="18"/>
          <w:szCs w:val="18"/>
          <w:rtl/>
        </w:rPr>
        <w:t>[ואע"פ שלכאורה יש להחמיר כאן טפי שמא תראה בכל יום מחמת חימוד, לא מסתבר להחמיר בה יותר מרואה ודאית]</w:t>
      </w:r>
      <w:r>
        <w:rPr>
          <w:rFonts w:hint="cs"/>
          <w:sz w:val="20"/>
          <w:szCs w:val="20"/>
          <w:rtl/>
        </w:rPr>
        <w:t>.</w:t>
      </w:r>
      <w:r>
        <w:rPr>
          <w:sz w:val="20"/>
          <w:szCs w:val="20"/>
          <w:rtl/>
        </w:rPr>
        <w:br/>
      </w:r>
      <w:r>
        <w:rPr>
          <w:rFonts w:hint="cs"/>
          <w:sz w:val="20"/>
          <w:szCs w:val="20"/>
          <w:rtl/>
        </w:rPr>
        <w:t xml:space="preserve">ד. </w:t>
      </w:r>
      <w:r w:rsidRPr="00B83A55">
        <w:rPr>
          <w:rFonts w:hint="cs"/>
          <w:b/>
          <w:bCs/>
          <w:sz w:val="20"/>
          <w:szCs w:val="20"/>
          <w:rtl/>
        </w:rPr>
        <w:t>שיטה בר"ן</w:t>
      </w:r>
      <w:r>
        <w:rPr>
          <w:rFonts w:hint="cs"/>
          <w:sz w:val="20"/>
          <w:szCs w:val="20"/>
          <w:rtl/>
        </w:rPr>
        <w:t xml:space="preserve"> </w:t>
      </w:r>
      <w:r>
        <w:rPr>
          <w:sz w:val="20"/>
          <w:szCs w:val="20"/>
          <w:rtl/>
        </w:rPr>
        <w:t>–</w:t>
      </w:r>
      <w:r>
        <w:rPr>
          <w:rFonts w:hint="cs"/>
          <w:sz w:val="20"/>
          <w:szCs w:val="20"/>
          <w:rtl/>
        </w:rPr>
        <w:t xml:space="preserve"> צריכה לעשות הפסק, וכן צריכה לבדוק בכל יום מז' הנקיים.</w:t>
      </w:r>
      <w:r>
        <w:rPr>
          <w:sz w:val="20"/>
          <w:szCs w:val="20"/>
          <w:rtl/>
        </w:rPr>
        <w:br/>
      </w:r>
      <w:r w:rsidRPr="00B83A55">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ככל אשה שראתה דם.</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A16674">
        <w:rPr>
          <w:rFonts w:cs="Arial" w:hint="cs"/>
          <w:sz w:val="20"/>
          <w:szCs w:val="20"/>
          <w:rtl/>
        </w:rPr>
        <w:t>ואינה</w:t>
      </w:r>
      <w:r w:rsidRPr="00A16674">
        <w:rPr>
          <w:rFonts w:cs="Arial"/>
          <w:sz w:val="20"/>
          <w:szCs w:val="20"/>
          <w:rtl/>
        </w:rPr>
        <w:t xml:space="preserve"> </w:t>
      </w:r>
      <w:r w:rsidRPr="00A16674">
        <w:rPr>
          <w:rFonts w:cs="Arial" w:hint="cs"/>
          <w:sz w:val="20"/>
          <w:szCs w:val="20"/>
          <w:rtl/>
        </w:rPr>
        <w:t>צריכה</w:t>
      </w:r>
      <w:r w:rsidRPr="00A16674">
        <w:rPr>
          <w:rFonts w:cs="Arial"/>
          <w:sz w:val="20"/>
          <w:szCs w:val="20"/>
          <w:rtl/>
        </w:rPr>
        <w:t xml:space="preserve"> </w:t>
      </w:r>
      <w:r w:rsidRPr="00A16674">
        <w:rPr>
          <w:rFonts w:cs="Arial" w:hint="cs"/>
          <w:sz w:val="20"/>
          <w:szCs w:val="20"/>
          <w:rtl/>
        </w:rPr>
        <w:t>הפסק</w:t>
      </w:r>
      <w:r w:rsidRPr="00A16674">
        <w:rPr>
          <w:rFonts w:cs="Arial"/>
          <w:sz w:val="20"/>
          <w:szCs w:val="20"/>
          <w:rtl/>
        </w:rPr>
        <w:t xml:space="preserve"> </w:t>
      </w:r>
      <w:r w:rsidRPr="00A16674">
        <w:rPr>
          <w:rFonts w:cs="Arial" w:hint="cs"/>
          <w:sz w:val="20"/>
          <w:szCs w:val="20"/>
          <w:rtl/>
        </w:rPr>
        <w:t>טהרה</w:t>
      </w:r>
      <w:r w:rsidRPr="00A16674">
        <w:rPr>
          <w:rFonts w:cs="Arial"/>
          <w:sz w:val="20"/>
          <w:szCs w:val="20"/>
          <w:rtl/>
        </w:rPr>
        <w:t xml:space="preserve">, </w:t>
      </w:r>
      <w:r w:rsidRPr="00A16674">
        <w:rPr>
          <w:rFonts w:cs="Arial" w:hint="cs"/>
          <w:sz w:val="20"/>
          <w:szCs w:val="20"/>
          <w:rtl/>
        </w:rPr>
        <w:t>שאף</w:t>
      </w:r>
      <w:r w:rsidRPr="00A16674">
        <w:rPr>
          <w:rFonts w:cs="Arial"/>
          <w:sz w:val="20"/>
          <w:szCs w:val="20"/>
          <w:rtl/>
        </w:rPr>
        <w:t xml:space="preserve"> </w:t>
      </w:r>
      <w:r w:rsidRPr="00A16674">
        <w:rPr>
          <w:rFonts w:cs="Arial" w:hint="cs"/>
          <w:sz w:val="20"/>
          <w:szCs w:val="20"/>
          <w:rtl/>
        </w:rPr>
        <w:t>על</w:t>
      </w:r>
      <w:r w:rsidRPr="00A16674">
        <w:rPr>
          <w:rFonts w:cs="Arial"/>
          <w:sz w:val="20"/>
          <w:szCs w:val="20"/>
          <w:rtl/>
        </w:rPr>
        <w:t xml:space="preserve"> </w:t>
      </w:r>
      <w:r w:rsidRPr="00A16674">
        <w:rPr>
          <w:rFonts w:cs="Arial" w:hint="cs"/>
          <w:sz w:val="20"/>
          <w:szCs w:val="20"/>
          <w:rtl/>
        </w:rPr>
        <w:t>פי</w:t>
      </w:r>
      <w:r w:rsidRPr="00A16674">
        <w:rPr>
          <w:rFonts w:cs="Arial"/>
          <w:sz w:val="20"/>
          <w:szCs w:val="20"/>
          <w:rtl/>
        </w:rPr>
        <w:t xml:space="preserve"> </w:t>
      </w:r>
      <w:r w:rsidRPr="00A16674">
        <w:rPr>
          <w:rFonts w:cs="Arial" w:hint="cs"/>
          <w:sz w:val="20"/>
          <w:szCs w:val="20"/>
          <w:rtl/>
        </w:rPr>
        <w:t>שלא</w:t>
      </w:r>
      <w:r w:rsidRPr="00A16674">
        <w:rPr>
          <w:rFonts w:cs="Arial"/>
          <w:sz w:val="20"/>
          <w:szCs w:val="20"/>
          <w:rtl/>
        </w:rPr>
        <w:t xml:space="preserve"> </w:t>
      </w:r>
      <w:r w:rsidRPr="00A16674">
        <w:rPr>
          <w:rFonts w:cs="Arial" w:hint="cs"/>
          <w:sz w:val="20"/>
          <w:szCs w:val="20"/>
          <w:rtl/>
        </w:rPr>
        <w:t>בדקה</w:t>
      </w:r>
      <w:r w:rsidRPr="00A16674">
        <w:rPr>
          <w:rFonts w:cs="Arial"/>
          <w:sz w:val="20"/>
          <w:szCs w:val="20"/>
          <w:rtl/>
        </w:rPr>
        <w:t xml:space="preserve"> </w:t>
      </w:r>
      <w:r w:rsidRPr="00A16674">
        <w:rPr>
          <w:rFonts w:cs="Arial" w:hint="cs"/>
          <w:sz w:val="20"/>
          <w:szCs w:val="20"/>
          <w:rtl/>
        </w:rPr>
        <w:t>ביום</w:t>
      </w:r>
      <w:r w:rsidRPr="00A16674">
        <w:rPr>
          <w:rFonts w:cs="Arial"/>
          <w:sz w:val="20"/>
          <w:szCs w:val="20"/>
          <w:rtl/>
        </w:rPr>
        <w:t xml:space="preserve"> </w:t>
      </w:r>
      <w:r w:rsidRPr="00A16674">
        <w:rPr>
          <w:rFonts w:cs="Arial" w:hint="cs"/>
          <w:sz w:val="20"/>
          <w:szCs w:val="20"/>
          <w:rtl/>
        </w:rPr>
        <w:t>התביעה</w:t>
      </w:r>
      <w:r w:rsidRPr="00A16674">
        <w:rPr>
          <w:rFonts w:cs="Arial"/>
          <w:sz w:val="20"/>
          <w:szCs w:val="20"/>
          <w:rtl/>
        </w:rPr>
        <w:t xml:space="preserve"> </w:t>
      </w:r>
      <w:r w:rsidRPr="00A16674">
        <w:rPr>
          <w:rFonts w:cs="Arial" w:hint="cs"/>
          <w:sz w:val="20"/>
          <w:szCs w:val="20"/>
          <w:rtl/>
        </w:rPr>
        <w:t>להפסיק</w:t>
      </w:r>
      <w:r w:rsidRPr="00A16674">
        <w:rPr>
          <w:rFonts w:cs="Arial"/>
          <w:sz w:val="20"/>
          <w:szCs w:val="20"/>
          <w:rtl/>
        </w:rPr>
        <w:t xml:space="preserve"> </w:t>
      </w:r>
      <w:r w:rsidRPr="00A16674">
        <w:rPr>
          <w:rFonts w:cs="Arial" w:hint="cs"/>
          <w:sz w:val="20"/>
          <w:szCs w:val="20"/>
          <w:rtl/>
        </w:rPr>
        <w:t>בטהרה</w:t>
      </w:r>
      <w:r w:rsidRPr="00A16674">
        <w:rPr>
          <w:rFonts w:cs="Arial"/>
          <w:sz w:val="20"/>
          <w:szCs w:val="20"/>
          <w:rtl/>
        </w:rPr>
        <w:t xml:space="preserve">, </w:t>
      </w:r>
      <w:r w:rsidRPr="00A16674">
        <w:rPr>
          <w:rFonts w:cs="Arial" w:hint="cs"/>
          <w:sz w:val="20"/>
          <w:szCs w:val="20"/>
          <w:rtl/>
        </w:rPr>
        <w:t>מונה</w:t>
      </w:r>
      <w:r w:rsidRPr="00A16674">
        <w:rPr>
          <w:rFonts w:cs="Arial"/>
          <w:sz w:val="20"/>
          <w:szCs w:val="20"/>
          <w:rtl/>
        </w:rPr>
        <w:t xml:space="preserve"> </w:t>
      </w:r>
      <w:r w:rsidRPr="00A16674">
        <w:rPr>
          <w:rFonts w:cs="Arial" w:hint="cs"/>
          <w:sz w:val="20"/>
          <w:szCs w:val="20"/>
          <w:rtl/>
        </w:rPr>
        <w:t>מיום</w:t>
      </w:r>
      <w:r w:rsidRPr="00A16674">
        <w:rPr>
          <w:rFonts w:cs="Arial"/>
          <w:sz w:val="20"/>
          <w:szCs w:val="20"/>
          <w:rtl/>
        </w:rPr>
        <w:t xml:space="preserve"> </w:t>
      </w:r>
      <w:r w:rsidRPr="00A16674">
        <w:rPr>
          <w:rFonts w:cs="Arial" w:hint="cs"/>
          <w:sz w:val="20"/>
          <w:szCs w:val="20"/>
          <w:rtl/>
        </w:rPr>
        <w:t>המחרת</w:t>
      </w:r>
      <w:r w:rsidRPr="00A16674">
        <w:rPr>
          <w:rFonts w:cs="Arial"/>
          <w:sz w:val="20"/>
          <w:szCs w:val="20"/>
          <w:rtl/>
        </w:rPr>
        <w:t xml:space="preserve"> </w:t>
      </w:r>
      <w:r w:rsidRPr="00A16674">
        <w:rPr>
          <w:rFonts w:cs="Arial" w:hint="cs"/>
          <w:sz w:val="20"/>
          <w:szCs w:val="20"/>
          <w:rtl/>
        </w:rPr>
        <w:t>ז</w:t>
      </w:r>
      <w:r w:rsidRPr="00A16674">
        <w:rPr>
          <w:rFonts w:cs="Arial"/>
          <w:sz w:val="20"/>
          <w:szCs w:val="20"/>
          <w:rtl/>
        </w:rPr>
        <w:t xml:space="preserve">' </w:t>
      </w:r>
      <w:r w:rsidRPr="00A16674">
        <w:rPr>
          <w:rFonts w:cs="Arial" w:hint="cs"/>
          <w:sz w:val="20"/>
          <w:szCs w:val="20"/>
          <w:rtl/>
        </w:rPr>
        <w:t>נקיים</w:t>
      </w:r>
      <w:r w:rsidRPr="00A16674">
        <w:rPr>
          <w:rFonts w:cs="Arial"/>
          <w:sz w:val="20"/>
          <w:szCs w:val="20"/>
          <w:rtl/>
        </w:rPr>
        <w:t xml:space="preserve">. </w:t>
      </w:r>
      <w:r w:rsidRPr="00A16674">
        <w:rPr>
          <w:rFonts w:cs="Arial" w:hint="cs"/>
          <w:sz w:val="20"/>
          <w:szCs w:val="20"/>
          <w:rtl/>
        </w:rPr>
        <w:t>ומיהו</w:t>
      </w:r>
      <w:r w:rsidRPr="00A16674">
        <w:rPr>
          <w:rFonts w:cs="Arial"/>
          <w:sz w:val="20"/>
          <w:szCs w:val="20"/>
          <w:rtl/>
        </w:rPr>
        <w:t xml:space="preserve"> </w:t>
      </w:r>
      <w:r w:rsidRPr="00A16674">
        <w:rPr>
          <w:rFonts w:cs="Arial" w:hint="cs"/>
          <w:sz w:val="20"/>
          <w:szCs w:val="20"/>
          <w:rtl/>
        </w:rPr>
        <w:t>צריכה</w:t>
      </w:r>
      <w:r w:rsidRPr="00A16674">
        <w:rPr>
          <w:rFonts w:cs="Arial"/>
          <w:sz w:val="20"/>
          <w:szCs w:val="20"/>
          <w:rtl/>
        </w:rPr>
        <w:t xml:space="preserve"> </w:t>
      </w:r>
      <w:r w:rsidRPr="00A16674">
        <w:rPr>
          <w:rFonts w:cs="Arial" w:hint="cs"/>
          <w:sz w:val="20"/>
          <w:szCs w:val="20"/>
          <w:rtl/>
        </w:rPr>
        <w:t>בדיקה</w:t>
      </w:r>
      <w:r w:rsidRPr="00A16674">
        <w:rPr>
          <w:rFonts w:cs="Arial"/>
          <w:sz w:val="20"/>
          <w:szCs w:val="20"/>
          <w:rtl/>
        </w:rPr>
        <w:t xml:space="preserve"> </w:t>
      </w:r>
      <w:r w:rsidRPr="00A16674">
        <w:rPr>
          <w:rFonts w:cs="Arial" w:hint="cs"/>
          <w:sz w:val="20"/>
          <w:szCs w:val="20"/>
          <w:rtl/>
        </w:rPr>
        <w:t>תוך</w:t>
      </w:r>
      <w:r w:rsidRPr="00A16674">
        <w:rPr>
          <w:rFonts w:cs="Arial"/>
          <w:sz w:val="20"/>
          <w:szCs w:val="20"/>
          <w:rtl/>
        </w:rPr>
        <w:t xml:space="preserve"> </w:t>
      </w:r>
      <w:r w:rsidRPr="00A16674">
        <w:rPr>
          <w:rFonts w:cs="Arial" w:hint="cs"/>
          <w:sz w:val="20"/>
          <w:szCs w:val="20"/>
          <w:rtl/>
        </w:rPr>
        <w:t>ז</w:t>
      </w:r>
      <w:r>
        <w:rPr>
          <w:rFonts w:cs="Arial"/>
          <w:sz w:val="20"/>
          <w:szCs w:val="20"/>
          <w:rtl/>
        </w:rPr>
        <w:t>'</w:t>
      </w:r>
      <w:r>
        <w:rPr>
          <w:rFonts w:cs="Arial" w:hint="cs"/>
          <w:sz w:val="20"/>
          <w:szCs w:val="20"/>
          <w:rtl/>
        </w:rPr>
        <w:t xml:space="preserve">. </w:t>
      </w:r>
      <w:r w:rsidRPr="00A16674">
        <w:rPr>
          <w:rFonts w:cs="Arial" w:hint="cs"/>
          <w:sz w:val="18"/>
          <w:szCs w:val="18"/>
          <w:rtl/>
        </w:rPr>
        <w:t>הגה</w:t>
      </w:r>
      <w:r>
        <w:rPr>
          <w:rFonts w:cs="Arial" w:hint="cs"/>
          <w:sz w:val="18"/>
          <w:szCs w:val="18"/>
          <w:rtl/>
        </w:rPr>
        <w:t>:</w:t>
      </w:r>
      <w:r w:rsidRPr="00A16674">
        <w:rPr>
          <w:rFonts w:cs="Arial"/>
          <w:sz w:val="16"/>
          <w:szCs w:val="16"/>
          <w:rtl/>
        </w:rPr>
        <w:t xml:space="preserve"> </w:t>
      </w:r>
      <w:r w:rsidRPr="00A16674">
        <w:rPr>
          <w:rFonts w:cs="Arial" w:hint="cs"/>
          <w:sz w:val="18"/>
          <w:szCs w:val="18"/>
          <w:rtl/>
        </w:rPr>
        <w:t>כל</w:t>
      </w:r>
      <w:r w:rsidRPr="00A16674">
        <w:rPr>
          <w:rFonts w:cs="Arial"/>
          <w:sz w:val="18"/>
          <w:szCs w:val="18"/>
          <w:rtl/>
        </w:rPr>
        <w:t xml:space="preserve"> </w:t>
      </w:r>
      <w:r w:rsidRPr="00A16674">
        <w:rPr>
          <w:rFonts w:cs="Arial" w:hint="cs"/>
          <w:sz w:val="18"/>
          <w:szCs w:val="18"/>
          <w:rtl/>
        </w:rPr>
        <w:t>יום</w:t>
      </w:r>
      <w:r w:rsidRPr="00A16674">
        <w:rPr>
          <w:rFonts w:cs="Arial"/>
          <w:sz w:val="18"/>
          <w:szCs w:val="18"/>
          <w:rtl/>
        </w:rPr>
        <w:t xml:space="preserve"> </w:t>
      </w:r>
      <w:r w:rsidRPr="00A16674">
        <w:rPr>
          <w:rFonts w:cs="Arial" w:hint="cs"/>
          <w:sz w:val="18"/>
          <w:szCs w:val="18"/>
          <w:rtl/>
        </w:rPr>
        <w:t>לכתחלה</w:t>
      </w:r>
      <w:r w:rsidRPr="00A16674">
        <w:rPr>
          <w:rFonts w:cs="Arial"/>
          <w:sz w:val="18"/>
          <w:szCs w:val="18"/>
          <w:rtl/>
        </w:rPr>
        <w:t xml:space="preserve">, </w:t>
      </w:r>
      <w:r w:rsidRPr="00A16674">
        <w:rPr>
          <w:rFonts w:cs="Arial" w:hint="cs"/>
          <w:sz w:val="18"/>
          <w:szCs w:val="18"/>
          <w:rtl/>
        </w:rPr>
        <w:t>מיהו</w:t>
      </w:r>
      <w:r w:rsidRPr="00A16674">
        <w:rPr>
          <w:rFonts w:cs="Arial"/>
          <w:sz w:val="18"/>
          <w:szCs w:val="18"/>
          <w:rtl/>
        </w:rPr>
        <w:t xml:space="preserve"> </w:t>
      </w:r>
      <w:r w:rsidRPr="00A16674">
        <w:rPr>
          <w:rFonts w:cs="Arial" w:hint="cs"/>
          <w:sz w:val="18"/>
          <w:szCs w:val="18"/>
          <w:rtl/>
        </w:rPr>
        <w:t>בדיעבד</w:t>
      </w:r>
      <w:r w:rsidRPr="00A16674">
        <w:rPr>
          <w:rFonts w:cs="Arial"/>
          <w:sz w:val="18"/>
          <w:szCs w:val="18"/>
          <w:rtl/>
        </w:rPr>
        <w:t xml:space="preserve"> </w:t>
      </w:r>
      <w:r w:rsidRPr="00A16674">
        <w:rPr>
          <w:rFonts w:cs="Arial" w:hint="cs"/>
          <w:sz w:val="18"/>
          <w:szCs w:val="18"/>
          <w:rtl/>
        </w:rPr>
        <w:t>אם</w:t>
      </w:r>
      <w:r w:rsidRPr="00A16674">
        <w:rPr>
          <w:rFonts w:cs="Arial"/>
          <w:sz w:val="18"/>
          <w:szCs w:val="18"/>
          <w:rtl/>
        </w:rPr>
        <w:t xml:space="preserve"> </w:t>
      </w:r>
      <w:r w:rsidRPr="00A16674">
        <w:rPr>
          <w:rFonts w:cs="Arial" w:hint="cs"/>
          <w:sz w:val="18"/>
          <w:szCs w:val="18"/>
          <w:rtl/>
        </w:rPr>
        <w:t>לא</w:t>
      </w:r>
      <w:r w:rsidRPr="00A16674">
        <w:rPr>
          <w:rFonts w:cs="Arial"/>
          <w:sz w:val="18"/>
          <w:szCs w:val="18"/>
          <w:rtl/>
        </w:rPr>
        <w:t xml:space="preserve"> </w:t>
      </w:r>
      <w:r w:rsidRPr="00A16674">
        <w:rPr>
          <w:rFonts w:cs="Arial" w:hint="cs"/>
          <w:sz w:val="18"/>
          <w:szCs w:val="18"/>
          <w:rtl/>
        </w:rPr>
        <w:t>בדקה</w:t>
      </w:r>
      <w:r w:rsidRPr="00A16674">
        <w:rPr>
          <w:rFonts w:cs="Arial"/>
          <w:sz w:val="18"/>
          <w:szCs w:val="18"/>
          <w:rtl/>
        </w:rPr>
        <w:t xml:space="preserve"> </w:t>
      </w:r>
      <w:r w:rsidRPr="00A16674">
        <w:rPr>
          <w:rFonts w:cs="Arial" w:hint="cs"/>
          <w:sz w:val="18"/>
          <w:szCs w:val="18"/>
          <w:rtl/>
        </w:rPr>
        <w:t>עצמה</w:t>
      </w:r>
      <w:r w:rsidRPr="00A16674">
        <w:rPr>
          <w:rFonts w:cs="Arial"/>
          <w:sz w:val="18"/>
          <w:szCs w:val="18"/>
          <w:rtl/>
        </w:rPr>
        <w:t xml:space="preserve"> </w:t>
      </w:r>
      <w:r w:rsidRPr="00A16674">
        <w:rPr>
          <w:rFonts w:cs="Arial" w:hint="cs"/>
          <w:sz w:val="18"/>
          <w:szCs w:val="18"/>
          <w:rtl/>
        </w:rPr>
        <w:t>רק</w:t>
      </w:r>
      <w:r w:rsidRPr="00A16674">
        <w:rPr>
          <w:rFonts w:cs="Arial"/>
          <w:sz w:val="18"/>
          <w:szCs w:val="18"/>
          <w:rtl/>
        </w:rPr>
        <w:t xml:space="preserve"> </w:t>
      </w:r>
      <w:r w:rsidRPr="00A16674">
        <w:rPr>
          <w:rFonts w:cs="Arial" w:hint="cs"/>
          <w:sz w:val="18"/>
          <w:szCs w:val="18"/>
          <w:rtl/>
        </w:rPr>
        <w:t>פעם</w:t>
      </w:r>
      <w:r w:rsidRPr="00A16674">
        <w:rPr>
          <w:rFonts w:cs="Arial"/>
          <w:sz w:val="18"/>
          <w:szCs w:val="18"/>
          <w:rtl/>
        </w:rPr>
        <w:t xml:space="preserve"> </w:t>
      </w:r>
      <w:r w:rsidRPr="00A16674">
        <w:rPr>
          <w:rFonts w:cs="Arial" w:hint="cs"/>
          <w:sz w:val="18"/>
          <w:szCs w:val="18"/>
          <w:rtl/>
        </w:rPr>
        <w:t>אחת</w:t>
      </w:r>
      <w:r w:rsidRPr="00A16674">
        <w:rPr>
          <w:rFonts w:cs="Arial"/>
          <w:sz w:val="18"/>
          <w:szCs w:val="18"/>
          <w:rtl/>
        </w:rPr>
        <w:t xml:space="preserve"> </w:t>
      </w:r>
      <w:r w:rsidRPr="00A16674">
        <w:rPr>
          <w:rFonts w:cs="Arial" w:hint="cs"/>
          <w:sz w:val="18"/>
          <w:szCs w:val="18"/>
          <w:rtl/>
        </w:rPr>
        <w:t>תוך</w:t>
      </w:r>
      <w:r w:rsidRPr="00A16674">
        <w:rPr>
          <w:rFonts w:cs="Arial"/>
          <w:sz w:val="18"/>
          <w:szCs w:val="18"/>
          <w:rtl/>
        </w:rPr>
        <w:t xml:space="preserve"> </w:t>
      </w:r>
      <w:r w:rsidRPr="00A16674">
        <w:rPr>
          <w:rFonts w:cs="Arial" w:hint="cs"/>
          <w:sz w:val="18"/>
          <w:szCs w:val="18"/>
          <w:rtl/>
        </w:rPr>
        <w:t>ז</w:t>
      </w:r>
      <w:r w:rsidRPr="00A16674">
        <w:rPr>
          <w:rFonts w:cs="Arial"/>
          <w:sz w:val="18"/>
          <w:szCs w:val="18"/>
          <w:rtl/>
        </w:rPr>
        <w:t xml:space="preserve">' </w:t>
      </w:r>
      <w:r w:rsidRPr="00A16674">
        <w:rPr>
          <w:rFonts w:cs="Arial" w:hint="cs"/>
          <w:sz w:val="18"/>
          <w:szCs w:val="18"/>
          <w:rtl/>
        </w:rPr>
        <w:t>סגי</w:t>
      </w:r>
      <w:r>
        <w:rPr>
          <w:rFonts w:cs="Arial" w:hint="cs"/>
          <w:sz w:val="18"/>
          <w:szCs w:val="18"/>
          <w:rtl/>
        </w:rPr>
        <w:t>"</w:t>
      </w:r>
      <w:r w:rsidRPr="00A16674">
        <w:rPr>
          <w:rFonts w:cs="Arial"/>
          <w:sz w:val="18"/>
          <w:szCs w:val="18"/>
          <w:rtl/>
        </w:rPr>
        <w:t xml:space="preserve">. </w:t>
      </w:r>
    </w:p>
    <w:p w:rsidR="00620060" w:rsidRDefault="00620060" w:rsidP="00620060">
      <w:pPr>
        <w:rPr>
          <w:sz w:val="20"/>
          <w:szCs w:val="20"/>
          <w:rtl/>
        </w:rPr>
      </w:pPr>
      <w:r>
        <w:rPr>
          <w:rFonts w:hint="cs"/>
          <w:sz w:val="20"/>
          <w:szCs w:val="20"/>
          <w:u w:val="single"/>
          <w:rtl/>
        </w:rPr>
        <w:t>הפסק טהרה בימינו לפני הנישואין</w:t>
      </w:r>
      <w:r>
        <w:rPr>
          <w:rFonts w:hint="cs"/>
          <w:sz w:val="20"/>
          <w:szCs w:val="20"/>
          <w:u w:val="single"/>
          <w:rtl/>
        </w:rPr>
        <w:br/>
      </w:r>
      <w:r w:rsidRPr="0071210C">
        <w:rPr>
          <w:rFonts w:hint="cs"/>
          <w:b/>
          <w:bCs/>
          <w:sz w:val="20"/>
          <w:szCs w:val="20"/>
          <w:rtl/>
        </w:rPr>
        <w:t>ש"ך ותורת השלמים</w:t>
      </w:r>
      <w:r>
        <w:rPr>
          <w:rFonts w:hint="cs"/>
          <w:sz w:val="20"/>
          <w:szCs w:val="20"/>
          <w:rtl/>
        </w:rPr>
        <w:t xml:space="preserve"> </w:t>
      </w:r>
      <w:r>
        <w:rPr>
          <w:sz w:val="20"/>
          <w:szCs w:val="20"/>
          <w:rtl/>
        </w:rPr>
        <w:t>–</w:t>
      </w:r>
      <w:r>
        <w:rPr>
          <w:rFonts w:hint="cs"/>
          <w:sz w:val="20"/>
          <w:szCs w:val="20"/>
          <w:rtl/>
        </w:rPr>
        <w:t xml:space="preserve"> בזמנינו צריכה לעשות הפסק טהרה ולבדוק עצמה כשאר נידה לפני הנישואין.</w:t>
      </w:r>
      <w:r>
        <w:rPr>
          <w:rStyle w:val="a5"/>
          <w:sz w:val="20"/>
          <w:szCs w:val="20"/>
          <w:rtl/>
        </w:rPr>
        <w:footnoteReference w:id="370"/>
      </w:r>
      <w:r>
        <w:rPr>
          <w:sz w:val="20"/>
          <w:szCs w:val="20"/>
          <w:rtl/>
        </w:rPr>
        <w:br/>
      </w:r>
      <w:r w:rsidRPr="0071210C">
        <w:rPr>
          <w:rFonts w:hint="cs"/>
          <w:b/>
          <w:bCs/>
          <w:sz w:val="20"/>
          <w:szCs w:val="20"/>
          <w:rtl/>
        </w:rPr>
        <w:t xml:space="preserve">טעם </w:t>
      </w:r>
      <w:r>
        <w:rPr>
          <w:sz w:val="20"/>
          <w:szCs w:val="20"/>
          <w:rtl/>
        </w:rPr>
        <w:t>–</w:t>
      </w:r>
      <w:r>
        <w:rPr>
          <w:rFonts w:hint="cs"/>
          <w:sz w:val="20"/>
          <w:szCs w:val="20"/>
          <w:rtl/>
        </w:rPr>
        <w:t xml:space="preserve"> בגמרא ובראשונים מיירי בקטנה שלא ראתה והחשש היחיד שיש לגביה הוא דם חימוד, אך גדולה שראתה כבר כמה פעמים צריכה להיטהר ככל אשה נשואה.</w:t>
      </w:r>
      <w:r>
        <w:rPr>
          <w:rStyle w:val="a5"/>
          <w:sz w:val="20"/>
          <w:szCs w:val="20"/>
          <w:rtl/>
        </w:rPr>
        <w:footnoteReference w:id="371"/>
      </w:r>
      <w:r>
        <w:rPr>
          <w:rFonts w:hint="cs"/>
          <w:sz w:val="20"/>
          <w:szCs w:val="20"/>
          <w:rtl/>
        </w:rPr>
        <w:br/>
      </w:r>
      <w:r w:rsidRPr="00C13896">
        <w:rPr>
          <w:rFonts w:hint="cs"/>
          <w:sz w:val="18"/>
          <w:szCs w:val="18"/>
          <w:rtl/>
        </w:rPr>
        <w:t xml:space="preserve">[יש להעיר על זאת </w:t>
      </w:r>
      <w:r w:rsidRPr="00C13896">
        <w:rPr>
          <w:sz w:val="18"/>
          <w:szCs w:val="18"/>
          <w:rtl/>
        </w:rPr>
        <w:t>–</w:t>
      </w:r>
      <w:r w:rsidRPr="00C13896">
        <w:rPr>
          <w:rFonts w:hint="cs"/>
          <w:sz w:val="18"/>
          <w:szCs w:val="18"/>
          <w:rtl/>
        </w:rPr>
        <w:t xml:space="preserve"> גם בזמן </w:t>
      </w:r>
      <w:r w:rsidRPr="00C13896">
        <w:rPr>
          <w:rFonts w:hint="cs"/>
          <w:b/>
          <w:bCs/>
          <w:sz w:val="18"/>
          <w:szCs w:val="18"/>
          <w:rtl/>
        </w:rPr>
        <w:t xml:space="preserve">הרמ"א </w:t>
      </w:r>
      <w:r w:rsidRPr="00C13896">
        <w:rPr>
          <w:rFonts w:hint="cs"/>
          <w:sz w:val="18"/>
          <w:szCs w:val="18"/>
          <w:rtl/>
        </w:rPr>
        <w:t xml:space="preserve">נהגו לשאת נשים גדולות מיב' שנה, ואעפ"כ סתמו הפוסקים וכתבו שאינה צריכה לעשות הפסק טהרה. </w:t>
      </w:r>
      <w:r>
        <w:rPr>
          <w:sz w:val="18"/>
          <w:szCs w:val="18"/>
          <w:rtl/>
        </w:rPr>
        <w:br/>
      </w:r>
      <w:r w:rsidRPr="00C13896">
        <w:rPr>
          <w:rFonts w:hint="cs"/>
          <w:sz w:val="18"/>
          <w:szCs w:val="18"/>
          <w:rtl/>
        </w:rPr>
        <w:t xml:space="preserve">בנוסף, </w:t>
      </w:r>
      <w:r w:rsidRPr="00C13896">
        <w:rPr>
          <w:rFonts w:hint="cs"/>
          <w:b/>
          <w:bCs/>
          <w:sz w:val="18"/>
          <w:szCs w:val="18"/>
          <w:rtl/>
        </w:rPr>
        <w:t>הש"ך</w:t>
      </w:r>
      <w:r w:rsidRPr="00C13896">
        <w:rPr>
          <w:rFonts w:hint="cs"/>
          <w:sz w:val="18"/>
          <w:szCs w:val="18"/>
          <w:rtl/>
        </w:rPr>
        <w:t xml:space="preserve"> שכתב שיש לעשות הפסק טהרה בזמנינו לא כתב זאת בלשון של חיוב אלא כתב "</w:t>
      </w:r>
      <w:r w:rsidRPr="00C13896">
        <w:rPr>
          <w:rFonts w:hint="cs"/>
          <w:sz w:val="18"/>
          <w:szCs w:val="18"/>
          <w:u w:val="single"/>
          <w:rtl/>
        </w:rPr>
        <w:t>נהגו</w:t>
      </w:r>
      <w:r w:rsidRPr="00C13896">
        <w:rPr>
          <w:rFonts w:hint="cs"/>
          <w:sz w:val="18"/>
          <w:szCs w:val="18"/>
          <w:rtl/>
        </w:rPr>
        <w:t xml:space="preserve"> להפסיק בטהרה". </w:t>
      </w:r>
      <w:r w:rsidRPr="00C13896">
        <w:rPr>
          <w:sz w:val="18"/>
          <w:szCs w:val="18"/>
          <w:rtl/>
        </w:rPr>
        <w:br/>
      </w:r>
      <w:r w:rsidRPr="00C13896">
        <w:rPr>
          <w:rFonts w:hint="cs"/>
          <w:sz w:val="18"/>
          <w:szCs w:val="18"/>
          <w:rtl/>
        </w:rPr>
        <w:t xml:space="preserve">לדינא, כתב </w:t>
      </w:r>
      <w:r w:rsidRPr="00C13896">
        <w:rPr>
          <w:rFonts w:hint="cs"/>
          <w:b/>
          <w:bCs/>
          <w:sz w:val="18"/>
          <w:szCs w:val="18"/>
          <w:rtl/>
        </w:rPr>
        <w:t>ששבה"ל</w:t>
      </w:r>
      <w:r w:rsidRPr="00C13896">
        <w:rPr>
          <w:rFonts w:hint="cs"/>
          <w:sz w:val="18"/>
          <w:szCs w:val="18"/>
          <w:rtl/>
        </w:rPr>
        <w:t xml:space="preserve"> שאין להקל בכך, אלא בשעת הדחק גדולה וכשמדובר בכלה רחוקה מתורה ומצוות שראתה </w:t>
      </w:r>
      <w:r>
        <w:rPr>
          <w:rFonts w:hint="cs"/>
          <w:sz w:val="18"/>
          <w:szCs w:val="18"/>
          <w:rtl/>
        </w:rPr>
        <w:t>ז</w:t>
      </w:r>
      <w:r w:rsidRPr="00C13896">
        <w:rPr>
          <w:rFonts w:hint="cs"/>
          <w:sz w:val="18"/>
          <w:szCs w:val="18"/>
          <w:rtl/>
        </w:rPr>
        <w:t xml:space="preserve">מן רב קודם הז' נקיים, אך אם ראתה בסמוך לז' נקיים אין להקל ללא הפסק]. </w:t>
      </w:r>
    </w:p>
    <w:p w:rsidR="00620060" w:rsidRDefault="00620060" w:rsidP="00620060">
      <w:pPr>
        <w:rPr>
          <w:sz w:val="20"/>
          <w:szCs w:val="20"/>
          <w:rtl/>
        </w:rPr>
      </w:pPr>
      <w:r>
        <w:rPr>
          <w:rFonts w:hint="cs"/>
          <w:sz w:val="20"/>
          <w:szCs w:val="20"/>
          <w:u w:val="single"/>
          <w:rtl/>
        </w:rPr>
        <w:t>בדיקה אחת תוך ז' נקיים</w:t>
      </w:r>
      <w:r>
        <w:rPr>
          <w:sz w:val="20"/>
          <w:szCs w:val="20"/>
          <w:u w:val="single"/>
          <w:rtl/>
        </w:rPr>
        <w:br/>
      </w:r>
      <w:r w:rsidRPr="00830CE7">
        <w:rPr>
          <w:rFonts w:hint="cs"/>
          <w:b/>
          <w:bCs/>
          <w:sz w:val="20"/>
          <w:szCs w:val="20"/>
          <w:rtl/>
        </w:rPr>
        <w:t>רמ"א</w:t>
      </w:r>
      <w:r>
        <w:rPr>
          <w:rFonts w:hint="cs"/>
          <w:sz w:val="20"/>
          <w:szCs w:val="20"/>
          <w:rtl/>
        </w:rPr>
        <w:t xml:space="preserve"> </w:t>
      </w:r>
      <w:r>
        <w:rPr>
          <w:sz w:val="20"/>
          <w:szCs w:val="20"/>
          <w:rtl/>
        </w:rPr>
        <w:t>–</w:t>
      </w:r>
      <w:r>
        <w:rPr>
          <w:rFonts w:hint="cs"/>
          <w:sz w:val="20"/>
          <w:szCs w:val="20"/>
          <w:rtl/>
        </w:rPr>
        <w:t xml:space="preserve"> הקל בדיעבד אפילו אם בדקה עצמה רק פעם אחת בז' הנקיים.</w:t>
      </w:r>
      <w:r>
        <w:rPr>
          <w:sz w:val="20"/>
          <w:szCs w:val="20"/>
          <w:rtl/>
        </w:rPr>
        <w:br/>
      </w:r>
      <w:r w:rsidRPr="00830CE7">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קולא זו נאמרה ע"פ שיטת הרא"ש לקמן </w:t>
      </w:r>
      <w:r w:rsidRPr="00830CE7">
        <w:rPr>
          <w:rFonts w:hint="cs"/>
          <w:sz w:val="18"/>
          <w:szCs w:val="18"/>
          <w:rtl/>
        </w:rPr>
        <w:t>(סימן קצו</w:t>
      </w:r>
      <w:r>
        <w:rPr>
          <w:rFonts w:hint="cs"/>
          <w:sz w:val="18"/>
          <w:szCs w:val="18"/>
          <w:rtl/>
        </w:rPr>
        <w:t>'</w:t>
      </w:r>
      <w:r w:rsidRPr="00830CE7">
        <w:rPr>
          <w:rFonts w:hint="cs"/>
          <w:sz w:val="18"/>
          <w:szCs w:val="18"/>
          <w:rtl/>
        </w:rPr>
        <w:t xml:space="preserve">) </w:t>
      </w:r>
      <w:r>
        <w:rPr>
          <w:rFonts w:hint="cs"/>
          <w:sz w:val="20"/>
          <w:szCs w:val="20"/>
          <w:rtl/>
        </w:rPr>
        <w:t>שהקל גם בנידה גמורה בדיעבד בבדיקה אחת.</w:t>
      </w:r>
      <w:r>
        <w:rPr>
          <w:sz w:val="20"/>
          <w:szCs w:val="20"/>
          <w:rtl/>
        </w:rPr>
        <w:br/>
      </w:r>
      <w:r>
        <w:rPr>
          <w:rFonts w:hint="cs"/>
          <w:sz w:val="20"/>
          <w:szCs w:val="20"/>
          <w:rtl/>
        </w:rPr>
        <w:t>אמנם, מכיוון שלא קיי"ל כרא"ש לקמן אלא בעי לפחות בדיקה אחת ביום א' ואחת ביום ז', גם כאן אין להקל.</w:t>
      </w:r>
      <w:r>
        <w:rPr>
          <w:rFonts w:hint="cs"/>
          <w:sz w:val="20"/>
          <w:szCs w:val="20"/>
          <w:rtl/>
        </w:rPr>
        <w:br/>
        <w:t>ברם, הפוסקים לא כתבו זאת, ומשמע שהסכימו כרמ"א שיש להקל כאן כיוון שלא ודאי ראתה.</w:t>
      </w:r>
    </w:p>
    <w:p w:rsidR="00620060" w:rsidRDefault="00620060" w:rsidP="00620060">
      <w:pPr>
        <w:rPr>
          <w:sz w:val="20"/>
          <w:szCs w:val="20"/>
          <w:rtl/>
        </w:rPr>
      </w:pPr>
      <w:r>
        <w:rPr>
          <w:rFonts w:hint="cs"/>
          <w:sz w:val="20"/>
          <w:szCs w:val="20"/>
          <w:u w:val="single"/>
          <w:rtl/>
        </w:rPr>
        <w:t>זמן הגזרה ותוקפה (ט"ז)</w:t>
      </w:r>
      <w:r>
        <w:rPr>
          <w:rFonts w:hint="cs"/>
          <w:sz w:val="20"/>
          <w:szCs w:val="20"/>
          <w:u w:val="single"/>
          <w:rtl/>
        </w:rPr>
        <w:br/>
      </w:r>
      <w:r w:rsidRPr="00994F66">
        <w:rPr>
          <w:rFonts w:hint="cs"/>
          <w:b/>
          <w:bCs/>
          <w:sz w:val="20"/>
          <w:szCs w:val="20"/>
          <w:rtl/>
        </w:rPr>
        <w:t>מגיד משנה</w:t>
      </w:r>
      <w:r>
        <w:rPr>
          <w:rFonts w:hint="cs"/>
          <w:sz w:val="20"/>
          <w:szCs w:val="20"/>
          <w:rtl/>
        </w:rPr>
        <w:t xml:space="preserve"> </w:t>
      </w:r>
      <w:r>
        <w:rPr>
          <w:sz w:val="20"/>
          <w:szCs w:val="20"/>
          <w:rtl/>
        </w:rPr>
        <w:t>–</w:t>
      </w:r>
      <w:r>
        <w:rPr>
          <w:rFonts w:hint="cs"/>
          <w:sz w:val="20"/>
          <w:szCs w:val="20"/>
          <w:rtl/>
        </w:rPr>
        <w:t xml:space="preserve"> החשש לדם חימוד אינו מדאורייתא אלא מדרבנן.</w:t>
      </w:r>
      <w:r>
        <w:rPr>
          <w:sz w:val="20"/>
          <w:szCs w:val="20"/>
          <w:rtl/>
        </w:rPr>
        <w:br/>
      </w:r>
      <w:r w:rsidRPr="00994F66">
        <w:rPr>
          <w:rFonts w:hint="cs"/>
          <w:b/>
          <w:bCs/>
          <w:sz w:val="20"/>
          <w:szCs w:val="20"/>
          <w:rtl/>
        </w:rPr>
        <w:t>ראיה</w:t>
      </w:r>
      <w:r>
        <w:rPr>
          <w:rFonts w:hint="cs"/>
          <w:sz w:val="20"/>
          <w:szCs w:val="20"/>
          <w:rtl/>
        </w:rPr>
        <w:t xml:space="preserve"> </w:t>
      </w:r>
      <w:r>
        <w:rPr>
          <w:sz w:val="20"/>
          <w:szCs w:val="20"/>
          <w:rtl/>
        </w:rPr>
        <w:t>–</w:t>
      </w:r>
      <w:r>
        <w:rPr>
          <w:rFonts w:hint="cs"/>
          <w:sz w:val="20"/>
          <w:szCs w:val="20"/>
          <w:rtl/>
        </w:rPr>
        <w:t xml:space="preserve"> מדאורייתא מותרת אפילו כשראתה כתם ללא הרגשה, אלא על כרחך חשש זה דרבנן.</w:t>
      </w:r>
    </w:p>
    <w:p w:rsidR="00620060" w:rsidRDefault="00620060" w:rsidP="00620060">
      <w:pPr>
        <w:rPr>
          <w:sz w:val="20"/>
          <w:szCs w:val="20"/>
          <w:rtl/>
        </w:rPr>
      </w:pPr>
      <w:r w:rsidRPr="00994F66">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לפי דברי המגיד משנה אתי שפיר מעשה תמר ורות - </w:t>
      </w:r>
      <w:r>
        <w:rPr>
          <w:sz w:val="20"/>
          <w:szCs w:val="20"/>
          <w:rtl/>
        </w:rPr>
        <w:br/>
      </w:r>
      <w:r>
        <w:rPr>
          <w:rFonts w:hint="cs"/>
          <w:sz w:val="20"/>
          <w:szCs w:val="20"/>
          <w:rtl/>
        </w:rPr>
        <w:t xml:space="preserve">תמר </w:t>
      </w:r>
      <w:r>
        <w:rPr>
          <w:sz w:val="20"/>
          <w:szCs w:val="20"/>
          <w:rtl/>
        </w:rPr>
        <w:t>–</w:t>
      </w:r>
      <w:r>
        <w:rPr>
          <w:rFonts w:hint="cs"/>
          <w:sz w:val="20"/>
          <w:szCs w:val="20"/>
          <w:rtl/>
        </w:rPr>
        <w:t xml:space="preserve"> בגמרא סוטה (י.) נאמר כך: "</w:t>
      </w:r>
      <w:r w:rsidRPr="00D01958">
        <w:rPr>
          <w:rFonts w:cs="Arial" w:hint="cs"/>
          <w:sz w:val="20"/>
          <w:szCs w:val="20"/>
          <w:rtl/>
        </w:rPr>
        <w:t>כשתבעה</w:t>
      </w:r>
      <w:r>
        <w:rPr>
          <w:rFonts w:cs="Arial" w:hint="cs"/>
          <w:sz w:val="20"/>
          <w:szCs w:val="20"/>
          <w:rtl/>
        </w:rPr>
        <w:t xml:space="preserve"> </w:t>
      </w:r>
      <w:r w:rsidRPr="00D01958">
        <w:rPr>
          <w:rFonts w:cs="Arial" w:hint="cs"/>
          <w:sz w:val="18"/>
          <w:szCs w:val="18"/>
          <w:rtl/>
        </w:rPr>
        <w:t>(יהודה)</w:t>
      </w:r>
      <w:r w:rsidRPr="00D01958">
        <w:rPr>
          <w:rFonts w:cs="Arial"/>
          <w:sz w:val="20"/>
          <w:szCs w:val="20"/>
          <w:rtl/>
        </w:rPr>
        <w:t xml:space="preserve">, </w:t>
      </w:r>
      <w:r w:rsidRPr="00D01958">
        <w:rPr>
          <w:rFonts w:cs="Arial" w:hint="cs"/>
          <w:sz w:val="20"/>
          <w:szCs w:val="20"/>
          <w:rtl/>
        </w:rPr>
        <w:t>אמר</w:t>
      </w:r>
      <w:r w:rsidRPr="00D01958">
        <w:rPr>
          <w:rFonts w:cs="Arial"/>
          <w:sz w:val="20"/>
          <w:szCs w:val="20"/>
          <w:rtl/>
        </w:rPr>
        <w:t xml:space="preserve"> </w:t>
      </w:r>
      <w:r w:rsidRPr="00D01958">
        <w:rPr>
          <w:rFonts w:cs="Arial" w:hint="cs"/>
          <w:sz w:val="20"/>
          <w:szCs w:val="20"/>
          <w:rtl/>
        </w:rPr>
        <w:t>לה</w:t>
      </w:r>
      <w:r w:rsidRPr="00D01958">
        <w:rPr>
          <w:rFonts w:cs="Arial"/>
          <w:sz w:val="20"/>
          <w:szCs w:val="20"/>
          <w:rtl/>
        </w:rPr>
        <w:t xml:space="preserve">: </w:t>
      </w:r>
      <w:r w:rsidRPr="00D01958">
        <w:rPr>
          <w:rFonts w:cs="Arial" w:hint="cs"/>
          <w:sz w:val="20"/>
          <w:szCs w:val="20"/>
          <w:rtl/>
        </w:rPr>
        <w:t>שמא</w:t>
      </w:r>
      <w:r w:rsidRPr="00D01958">
        <w:rPr>
          <w:rFonts w:cs="Arial"/>
          <w:sz w:val="20"/>
          <w:szCs w:val="20"/>
          <w:rtl/>
        </w:rPr>
        <w:t xml:space="preserve"> </w:t>
      </w:r>
      <w:r w:rsidRPr="00D01958">
        <w:rPr>
          <w:rFonts w:cs="Arial" w:hint="cs"/>
          <w:sz w:val="20"/>
          <w:szCs w:val="20"/>
          <w:rtl/>
        </w:rPr>
        <w:t>נכרית</w:t>
      </w:r>
      <w:r w:rsidRPr="00D01958">
        <w:rPr>
          <w:rFonts w:cs="Arial"/>
          <w:sz w:val="20"/>
          <w:szCs w:val="20"/>
          <w:rtl/>
        </w:rPr>
        <w:t xml:space="preserve"> </w:t>
      </w:r>
      <w:r w:rsidRPr="00D01958">
        <w:rPr>
          <w:rFonts w:cs="Arial" w:hint="cs"/>
          <w:sz w:val="20"/>
          <w:szCs w:val="20"/>
          <w:rtl/>
        </w:rPr>
        <w:t>את</w:t>
      </w:r>
      <w:r w:rsidRPr="00D01958">
        <w:rPr>
          <w:rFonts w:cs="Arial"/>
          <w:sz w:val="20"/>
          <w:szCs w:val="20"/>
          <w:rtl/>
        </w:rPr>
        <w:t xml:space="preserve">? </w:t>
      </w:r>
      <w:r w:rsidRPr="00D01958">
        <w:rPr>
          <w:rFonts w:cs="Arial" w:hint="cs"/>
          <w:sz w:val="20"/>
          <w:szCs w:val="20"/>
          <w:rtl/>
        </w:rPr>
        <w:t>אמרה</w:t>
      </w:r>
      <w:r w:rsidRPr="00D01958">
        <w:rPr>
          <w:rFonts w:cs="Arial"/>
          <w:sz w:val="20"/>
          <w:szCs w:val="20"/>
          <w:rtl/>
        </w:rPr>
        <w:t xml:space="preserve"> </w:t>
      </w:r>
      <w:r w:rsidRPr="00D01958">
        <w:rPr>
          <w:rFonts w:cs="Arial" w:hint="cs"/>
          <w:sz w:val="20"/>
          <w:szCs w:val="20"/>
          <w:rtl/>
        </w:rPr>
        <w:t>ליה</w:t>
      </w:r>
      <w:r w:rsidRPr="00D01958">
        <w:rPr>
          <w:rFonts w:cs="Arial"/>
          <w:sz w:val="20"/>
          <w:szCs w:val="20"/>
          <w:rtl/>
        </w:rPr>
        <w:t xml:space="preserve">: </w:t>
      </w:r>
      <w:r w:rsidRPr="00D01958">
        <w:rPr>
          <w:rFonts w:cs="Arial" w:hint="cs"/>
          <w:sz w:val="20"/>
          <w:szCs w:val="20"/>
          <w:rtl/>
        </w:rPr>
        <w:t>גיורת</w:t>
      </w:r>
      <w:r w:rsidRPr="00D01958">
        <w:rPr>
          <w:rFonts w:cs="Arial"/>
          <w:sz w:val="20"/>
          <w:szCs w:val="20"/>
          <w:rtl/>
        </w:rPr>
        <w:t xml:space="preserve"> </w:t>
      </w:r>
      <w:r w:rsidRPr="00D01958">
        <w:rPr>
          <w:rFonts w:cs="Arial" w:hint="cs"/>
          <w:sz w:val="20"/>
          <w:szCs w:val="20"/>
          <w:rtl/>
        </w:rPr>
        <w:t>אני</w:t>
      </w:r>
      <w:r w:rsidRPr="00D01958">
        <w:rPr>
          <w:rFonts w:cs="Arial"/>
          <w:sz w:val="20"/>
          <w:szCs w:val="20"/>
          <w:rtl/>
        </w:rPr>
        <w:t xml:space="preserve">; </w:t>
      </w:r>
      <w:r w:rsidRPr="00D01958">
        <w:rPr>
          <w:rFonts w:cs="Arial" w:hint="cs"/>
          <w:sz w:val="20"/>
          <w:szCs w:val="20"/>
          <w:rtl/>
        </w:rPr>
        <w:t>שמא</w:t>
      </w:r>
      <w:r w:rsidRPr="00D01958">
        <w:rPr>
          <w:rFonts w:cs="Arial"/>
          <w:sz w:val="20"/>
          <w:szCs w:val="20"/>
          <w:rtl/>
        </w:rPr>
        <w:t xml:space="preserve"> </w:t>
      </w:r>
      <w:r w:rsidRPr="00D01958">
        <w:rPr>
          <w:rFonts w:cs="Arial" w:hint="cs"/>
          <w:sz w:val="20"/>
          <w:szCs w:val="20"/>
          <w:rtl/>
        </w:rPr>
        <w:t>אשת</w:t>
      </w:r>
      <w:r w:rsidRPr="00D01958">
        <w:rPr>
          <w:rFonts w:cs="Arial"/>
          <w:sz w:val="20"/>
          <w:szCs w:val="20"/>
          <w:rtl/>
        </w:rPr>
        <w:t xml:space="preserve"> </w:t>
      </w:r>
      <w:r w:rsidRPr="00D01958">
        <w:rPr>
          <w:rFonts w:cs="Arial" w:hint="cs"/>
          <w:sz w:val="20"/>
          <w:szCs w:val="20"/>
          <w:rtl/>
        </w:rPr>
        <w:t>איש</w:t>
      </w:r>
      <w:r w:rsidRPr="00D01958">
        <w:rPr>
          <w:rFonts w:cs="Arial"/>
          <w:sz w:val="20"/>
          <w:szCs w:val="20"/>
          <w:rtl/>
        </w:rPr>
        <w:t xml:space="preserve"> </w:t>
      </w:r>
      <w:r w:rsidRPr="00D01958">
        <w:rPr>
          <w:rFonts w:cs="Arial" w:hint="cs"/>
          <w:sz w:val="20"/>
          <w:szCs w:val="20"/>
          <w:rtl/>
        </w:rPr>
        <w:t>את</w:t>
      </w:r>
      <w:r w:rsidRPr="00D01958">
        <w:rPr>
          <w:rFonts w:cs="Arial"/>
          <w:sz w:val="20"/>
          <w:szCs w:val="20"/>
          <w:rtl/>
        </w:rPr>
        <w:t xml:space="preserve">? </w:t>
      </w:r>
      <w:r w:rsidRPr="00D01958">
        <w:rPr>
          <w:rFonts w:cs="Arial" w:hint="cs"/>
          <w:sz w:val="20"/>
          <w:szCs w:val="20"/>
          <w:rtl/>
        </w:rPr>
        <w:t>אמרה</w:t>
      </w:r>
      <w:r w:rsidRPr="00D01958">
        <w:rPr>
          <w:rFonts w:cs="Arial"/>
          <w:sz w:val="20"/>
          <w:szCs w:val="20"/>
          <w:rtl/>
        </w:rPr>
        <w:t xml:space="preserve"> </w:t>
      </w:r>
      <w:r w:rsidRPr="00D01958">
        <w:rPr>
          <w:rFonts w:cs="Arial" w:hint="cs"/>
          <w:sz w:val="20"/>
          <w:szCs w:val="20"/>
          <w:rtl/>
        </w:rPr>
        <w:t>ליה</w:t>
      </w:r>
      <w:r w:rsidRPr="00D01958">
        <w:rPr>
          <w:rFonts w:cs="Arial"/>
          <w:sz w:val="20"/>
          <w:szCs w:val="20"/>
          <w:rtl/>
        </w:rPr>
        <w:t xml:space="preserve">: </w:t>
      </w:r>
      <w:r w:rsidRPr="00D01958">
        <w:rPr>
          <w:rFonts w:cs="Arial" w:hint="cs"/>
          <w:sz w:val="20"/>
          <w:szCs w:val="20"/>
          <w:rtl/>
        </w:rPr>
        <w:t>פנויה</w:t>
      </w:r>
      <w:r w:rsidRPr="00D01958">
        <w:rPr>
          <w:rFonts w:cs="Arial"/>
          <w:sz w:val="20"/>
          <w:szCs w:val="20"/>
          <w:rtl/>
        </w:rPr>
        <w:t xml:space="preserve"> </w:t>
      </w:r>
      <w:r w:rsidRPr="00D01958">
        <w:rPr>
          <w:rFonts w:cs="Arial" w:hint="cs"/>
          <w:sz w:val="20"/>
          <w:szCs w:val="20"/>
          <w:rtl/>
        </w:rPr>
        <w:t>אני</w:t>
      </w:r>
      <w:r w:rsidRPr="00D01958">
        <w:rPr>
          <w:rFonts w:cs="Arial"/>
          <w:sz w:val="20"/>
          <w:szCs w:val="20"/>
          <w:rtl/>
        </w:rPr>
        <w:t xml:space="preserve">; </w:t>
      </w:r>
      <w:r w:rsidRPr="00D01958">
        <w:rPr>
          <w:rFonts w:cs="Arial" w:hint="cs"/>
          <w:sz w:val="20"/>
          <w:szCs w:val="20"/>
          <w:rtl/>
        </w:rPr>
        <w:t>שמא</w:t>
      </w:r>
      <w:r w:rsidRPr="00D01958">
        <w:rPr>
          <w:rFonts w:cs="Arial"/>
          <w:sz w:val="20"/>
          <w:szCs w:val="20"/>
          <w:rtl/>
        </w:rPr>
        <w:t xml:space="preserve"> </w:t>
      </w:r>
      <w:r w:rsidRPr="00D01958">
        <w:rPr>
          <w:rFonts w:cs="Arial" w:hint="cs"/>
          <w:sz w:val="20"/>
          <w:szCs w:val="20"/>
          <w:rtl/>
        </w:rPr>
        <w:t>קיבל</w:t>
      </w:r>
      <w:r w:rsidRPr="00D01958">
        <w:rPr>
          <w:rFonts w:cs="Arial"/>
          <w:sz w:val="20"/>
          <w:szCs w:val="20"/>
          <w:rtl/>
        </w:rPr>
        <w:t xml:space="preserve"> </w:t>
      </w:r>
      <w:r w:rsidRPr="00D01958">
        <w:rPr>
          <w:rFonts w:cs="Arial" w:hint="cs"/>
          <w:sz w:val="20"/>
          <w:szCs w:val="20"/>
          <w:rtl/>
        </w:rPr>
        <w:t>בך</w:t>
      </w:r>
      <w:r w:rsidRPr="00D01958">
        <w:rPr>
          <w:rFonts w:cs="Arial"/>
          <w:sz w:val="20"/>
          <w:szCs w:val="20"/>
          <w:rtl/>
        </w:rPr>
        <w:t xml:space="preserve"> </w:t>
      </w:r>
      <w:r w:rsidRPr="00D01958">
        <w:rPr>
          <w:rFonts w:cs="Arial" w:hint="cs"/>
          <w:sz w:val="20"/>
          <w:szCs w:val="20"/>
          <w:rtl/>
        </w:rPr>
        <w:t>אביך</w:t>
      </w:r>
      <w:r w:rsidRPr="00D01958">
        <w:rPr>
          <w:rFonts w:cs="Arial"/>
          <w:sz w:val="20"/>
          <w:szCs w:val="20"/>
          <w:rtl/>
        </w:rPr>
        <w:t xml:space="preserve"> </w:t>
      </w:r>
      <w:r w:rsidRPr="00D01958">
        <w:rPr>
          <w:rFonts w:cs="Arial" w:hint="cs"/>
          <w:sz w:val="20"/>
          <w:szCs w:val="20"/>
          <w:rtl/>
        </w:rPr>
        <w:t>קידושין</w:t>
      </w:r>
      <w:r w:rsidRPr="00D01958">
        <w:rPr>
          <w:rFonts w:cs="Arial"/>
          <w:sz w:val="20"/>
          <w:szCs w:val="20"/>
          <w:rtl/>
        </w:rPr>
        <w:t xml:space="preserve">? </w:t>
      </w:r>
      <w:r w:rsidRPr="00D01958">
        <w:rPr>
          <w:rFonts w:cs="Arial" w:hint="cs"/>
          <w:sz w:val="20"/>
          <w:szCs w:val="20"/>
          <w:rtl/>
        </w:rPr>
        <w:t>אמרה</w:t>
      </w:r>
      <w:r w:rsidRPr="00D01958">
        <w:rPr>
          <w:rFonts w:cs="Arial"/>
          <w:sz w:val="20"/>
          <w:szCs w:val="20"/>
          <w:rtl/>
        </w:rPr>
        <w:t xml:space="preserve"> </w:t>
      </w:r>
      <w:r w:rsidRPr="00D01958">
        <w:rPr>
          <w:rFonts w:cs="Arial" w:hint="cs"/>
          <w:sz w:val="20"/>
          <w:szCs w:val="20"/>
          <w:rtl/>
        </w:rPr>
        <w:t>ליה</w:t>
      </w:r>
      <w:r w:rsidRPr="00D01958">
        <w:rPr>
          <w:rFonts w:cs="Arial"/>
          <w:sz w:val="20"/>
          <w:szCs w:val="20"/>
          <w:rtl/>
        </w:rPr>
        <w:t xml:space="preserve">: </w:t>
      </w:r>
      <w:r w:rsidRPr="00D01958">
        <w:rPr>
          <w:rFonts w:cs="Arial" w:hint="cs"/>
          <w:sz w:val="20"/>
          <w:szCs w:val="20"/>
          <w:rtl/>
        </w:rPr>
        <w:t>יתומה</w:t>
      </w:r>
      <w:r w:rsidRPr="00D01958">
        <w:rPr>
          <w:rFonts w:cs="Arial"/>
          <w:sz w:val="20"/>
          <w:szCs w:val="20"/>
          <w:rtl/>
        </w:rPr>
        <w:t xml:space="preserve"> </w:t>
      </w:r>
      <w:r w:rsidRPr="00D01958">
        <w:rPr>
          <w:rFonts w:cs="Arial" w:hint="cs"/>
          <w:sz w:val="20"/>
          <w:szCs w:val="20"/>
          <w:rtl/>
        </w:rPr>
        <w:t>אני</w:t>
      </w:r>
      <w:r w:rsidRPr="00D01958">
        <w:rPr>
          <w:rFonts w:cs="Arial"/>
          <w:sz w:val="20"/>
          <w:szCs w:val="20"/>
          <w:rtl/>
        </w:rPr>
        <w:t xml:space="preserve">; </w:t>
      </w:r>
      <w:r w:rsidRPr="00D01958">
        <w:rPr>
          <w:rFonts w:cs="Arial" w:hint="cs"/>
          <w:sz w:val="20"/>
          <w:szCs w:val="20"/>
          <w:u w:val="single"/>
          <w:rtl/>
        </w:rPr>
        <w:t>שמא</w:t>
      </w:r>
      <w:r w:rsidRPr="00D01958">
        <w:rPr>
          <w:rFonts w:cs="Arial"/>
          <w:sz w:val="20"/>
          <w:szCs w:val="20"/>
          <w:u w:val="single"/>
          <w:rtl/>
        </w:rPr>
        <w:t xml:space="preserve"> </w:t>
      </w:r>
      <w:r w:rsidRPr="00D01958">
        <w:rPr>
          <w:rFonts w:cs="Arial" w:hint="cs"/>
          <w:sz w:val="20"/>
          <w:szCs w:val="20"/>
          <w:u w:val="single"/>
          <w:rtl/>
        </w:rPr>
        <w:t>טמאה</w:t>
      </w:r>
      <w:r w:rsidRPr="00D01958">
        <w:rPr>
          <w:rFonts w:cs="Arial"/>
          <w:sz w:val="20"/>
          <w:szCs w:val="20"/>
          <w:u w:val="single"/>
          <w:rtl/>
        </w:rPr>
        <w:t xml:space="preserve"> </w:t>
      </w:r>
      <w:r w:rsidRPr="00D01958">
        <w:rPr>
          <w:rFonts w:cs="Arial" w:hint="cs"/>
          <w:sz w:val="20"/>
          <w:szCs w:val="20"/>
          <w:u w:val="single"/>
          <w:rtl/>
        </w:rPr>
        <w:t>את</w:t>
      </w:r>
      <w:r w:rsidRPr="00D01958">
        <w:rPr>
          <w:rFonts w:cs="Arial"/>
          <w:sz w:val="20"/>
          <w:szCs w:val="20"/>
          <w:u w:val="single"/>
          <w:rtl/>
        </w:rPr>
        <w:t xml:space="preserve">? </w:t>
      </w:r>
      <w:r w:rsidRPr="00D01958">
        <w:rPr>
          <w:rFonts w:cs="Arial" w:hint="cs"/>
          <w:sz w:val="20"/>
          <w:szCs w:val="20"/>
          <w:u w:val="single"/>
          <w:rtl/>
        </w:rPr>
        <w:t>אמרה</w:t>
      </w:r>
      <w:r w:rsidRPr="00D01958">
        <w:rPr>
          <w:rFonts w:cs="Arial"/>
          <w:sz w:val="20"/>
          <w:szCs w:val="20"/>
          <w:u w:val="single"/>
          <w:rtl/>
        </w:rPr>
        <w:t xml:space="preserve"> </w:t>
      </w:r>
      <w:r w:rsidRPr="00D01958">
        <w:rPr>
          <w:rFonts w:cs="Arial" w:hint="cs"/>
          <w:sz w:val="20"/>
          <w:szCs w:val="20"/>
          <w:u w:val="single"/>
          <w:rtl/>
        </w:rPr>
        <w:t>ליה</w:t>
      </w:r>
      <w:r w:rsidRPr="00D01958">
        <w:rPr>
          <w:rFonts w:cs="Arial"/>
          <w:sz w:val="20"/>
          <w:szCs w:val="20"/>
          <w:u w:val="single"/>
          <w:rtl/>
        </w:rPr>
        <w:t xml:space="preserve">: </w:t>
      </w:r>
      <w:r w:rsidRPr="00D01958">
        <w:rPr>
          <w:rFonts w:cs="Arial" w:hint="cs"/>
          <w:sz w:val="20"/>
          <w:szCs w:val="20"/>
          <w:u w:val="single"/>
          <w:rtl/>
        </w:rPr>
        <w:t>טהורה</w:t>
      </w:r>
      <w:r w:rsidRPr="00D01958">
        <w:rPr>
          <w:rFonts w:cs="Arial"/>
          <w:sz w:val="20"/>
          <w:szCs w:val="20"/>
          <w:u w:val="single"/>
          <w:rtl/>
        </w:rPr>
        <w:t xml:space="preserve"> </w:t>
      </w:r>
      <w:r w:rsidRPr="00D01958">
        <w:rPr>
          <w:rFonts w:cs="Arial" w:hint="cs"/>
          <w:sz w:val="20"/>
          <w:szCs w:val="20"/>
          <w:u w:val="single"/>
          <w:rtl/>
        </w:rPr>
        <w:t>אני</w:t>
      </w:r>
      <w:r>
        <w:rPr>
          <w:rFonts w:cs="Arial"/>
          <w:sz w:val="20"/>
          <w:szCs w:val="20"/>
          <w:u w:val="single"/>
          <w:rtl/>
        </w:rPr>
        <w:t>".</w:t>
      </w:r>
      <w:r>
        <w:rPr>
          <w:rFonts w:hint="cs"/>
          <w:sz w:val="20"/>
          <w:szCs w:val="20"/>
          <w:rtl/>
        </w:rPr>
        <w:br/>
        <w:t>ולכאורה מה מהני שהיא טהורה, הרי צריכה להמתין ז' נקיים מחמת חימוד? אלא על כרחך זו גזרה דרבנן שלא נהגה בזמן יהודה ותמר.</w:t>
      </w:r>
    </w:p>
    <w:p w:rsidR="00620060" w:rsidRDefault="00620060" w:rsidP="00620060">
      <w:pPr>
        <w:rPr>
          <w:sz w:val="20"/>
          <w:szCs w:val="20"/>
          <w:rtl/>
        </w:rPr>
      </w:pPr>
      <w:r>
        <w:rPr>
          <w:rFonts w:hint="cs"/>
          <w:sz w:val="20"/>
          <w:szCs w:val="20"/>
          <w:rtl/>
        </w:rPr>
        <w:lastRenderedPageBreak/>
        <w:t xml:space="preserve">רות </w:t>
      </w:r>
      <w:r>
        <w:rPr>
          <w:sz w:val="20"/>
          <w:szCs w:val="20"/>
          <w:rtl/>
        </w:rPr>
        <w:t>–</w:t>
      </w:r>
      <w:r>
        <w:rPr>
          <w:rFonts w:hint="cs"/>
          <w:sz w:val="20"/>
          <w:szCs w:val="20"/>
          <w:rtl/>
        </w:rPr>
        <w:t xml:space="preserve"> נאמר שנכנסה למיטתו של בועז אחר שטבלה, וקשה שהרי לא מצאנו שהמתינה ז' נקיים? אלא על כרחך הטעם כנ"ל.</w:t>
      </w:r>
      <w:r>
        <w:rPr>
          <w:rStyle w:val="a5"/>
          <w:sz w:val="20"/>
          <w:szCs w:val="20"/>
          <w:rtl/>
        </w:rPr>
        <w:footnoteReference w:id="372"/>
      </w:r>
    </w:p>
    <w:p w:rsidR="00620060" w:rsidRDefault="00620060" w:rsidP="00620060">
      <w:pPr>
        <w:rPr>
          <w:sz w:val="20"/>
          <w:szCs w:val="20"/>
          <w:rtl/>
        </w:rPr>
      </w:pPr>
      <w:r>
        <w:rPr>
          <w:rFonts w:hint="cs"/>
          <w:sz w:val="20"/>
          <w:szCs w:val="20"/>
          <w:rtl/>
        </w:rPr>
        <w:t xml:space="preserve">אלא, שלפי"ז יקשה </w:t>
      </w:r>
      <w:r>
        <w:rPr>
          <w:sz w:val="20"/>
          <w:szCs w:val="20"/>
          <w:rtl/>
        </w:rPr>
        <w:t>–</w:t>
      </w:r>
      <w:r>
        <w:rPr>
          <w:rFonts w:hint="cs"/>
          <w:sz w:val="20"/>
          <w:szCs w:val="20"/>
          <w:rtl/>
        </w:rPr>
        <w:t xml:space="preserve"> היכן מצאנו שחידשו תקנה זו? ואין לומר שרבא חידש אותה, משום שהגמרא מספרת ביבמות (לז:) "</w:t>
      </w:r>
      <w:r w:rsidRPr="002A6373">
        <w:rPr>
          <w:rFonts w:cs="Arial" w:hint="cs"/>
          <w:sz w:val="20"/>
          <w:szCs w:val="20"/>
          <w:rtl/>
        </w:rPr>
        <w:t>רב</w:t>
      </w:r>
      <w:r w:rsidRPr="002A6373">
        <w:rPr>
          <w:rFonts w:cs="Arial"/>
          <w:sz w:val="20"/>
          <w:szCs w:val="20"/>
          <w:rtl/>
        </w:rPr>
        <w:t xml:space="preserve"> </w:t>
      </w:r>
      <w:r w:rsidRPr="002A6373">
        <w:rPr>
          <w:rFonts w:cs="Arial" w:hint="cs"/>
          <w:sz w:val="20"/>
          <w:szCs w:val="20"/>
          <w:rtl/>
        </w:rPr>
        <w:t>כי</w:t>
      </w:r>
      <w:r w:rsidRPr="002A6373">
        <w:rPr>
          <w:rFonts w:cs="Arial"/>
          <w:sz w:val="20"/>
          <w:szCs w:val="20"/>
          <w:rtl/>
        </w:rPr>
        <w:t xml:space="preserve"> </w:t>
      </w:r>
      <w:r w:rsidRPr="002A6373">
        <w:rPr>
          <w:rFonts w:cs="Arial" w:hint="cs"/>
          <w:sz w:val="20"/>
          <w:szCs w:val="20"/>
          <w:rtl/>
        </w:rPr>
        <w:t>איקלע</w:t>
      </w:r>
      <w:r w:rsidRPr="002A6373">
        <w:rPr>
          <w:rFonts w:cs="Arial"/>
          <w:sz w:val="20"/>
          <w:szCs w:val="20"/>
          <w:rtl/>
        </w:rPr>
        <w:t xml:space="preserve"> </w:t>
      </w:r>
      <w:r w:rsidRPr="002A6373">
        <w:rPr>
          <w:rFonts w:cs="Arial" w:hint="cs"/>
          <w:sz w:val="20"/>
          <w:szCs w:val="20"/>
          <w:rtl/>
        </w:rPr>
        <w:t>לדרדשיר</w:t>
      </w:r>
      <w:r>
        <w:rPr>
          <w:rFonts w:cs="Arial"/>
          <w:sz w:val="20"/>
          <w:szCs w:val="20"/>
          <w:rtl/>
        </w:rPr>
        <w:t xml:space="preserve">, </w:t>
      </w:r>
      <w:r w:rsidRPr="002A6373">
        <w:rPr>
          <w:rFonts w:cs="Arial" w:hint="cs"/>
          <w:sz w:val="20"/>
          <w:szCs w:val="20"/>
          <w:rtl/>
        </w:rPr>
        <w:t>מכריז</w:t>
      </w:r>
      <w:r w:rsidRPr="002A6373">
        <w:rPr>
          <w:rFonts w:cs="Arial"/>
          <w:sz w:val="20"/>
          <w:szCs w:val="20"/>
          <w:rtl/>
        </w:rPr>
        <w:t xml:space="preserve"> </w:t>
      </w:r>
      <w:r w:rsidRPr="002A6373">
        <w:rPr>
          <w:rFonts w:cs="Arial" w:hint="cs"/>
          <w:sz w:val="20"/>
          <w:szCs w:val="20"/>
          <w:rtl/>
        </w:rPr>
        <w:t>ואמר</w:t>
      </w:r>
      <w:r w:rsidRPr="002A6373">
        <w:rPr>
          <w:rFonts w:cs="Arial"/>
          <w:sz w:val="20"/>
          <w:szCs w:val="20"/>
          <w:rtl/>
        </w:rPr>
        <w:t xml:space="preserve">: </w:t>
      </w:r>
      <w:r w:rsidRPr="002A6373">
        <w:rPr>
          <w:rFonts w:cs="Arial" w:hint="cs"/>
          <w:sz w:val="20"/>
          <w:szCs w:val="20"/>
          <w:rtl/>
        </w:rPr>
        <w:t>מאן</w:t>
      </w:r>
      <w:r w:rsidRPr="002A6373">
        <w:rPr>
          <w:rFonts w:cs="Arial"/>
          <w:sz w:val="20"/>
          <w:szCs w:val="20"/>
          <w:rtl/>
        </w:rPr>
        <w:t xml:space="preserve"> </w:t>
      </w:r>
      <w:r w:rsidRPr="002A6373">
        <w:rPr>
          <w:rFonts w:cs="Arial" w:hint="cs"/>
          <w:sz w:val="20"/>
          <w:szCs w:val="20"/>
          <w:rtl/>
        </w:rPr>
        <w:t>הויא</w:t>
      </w:r>
      <w:r w:rsidRPr="002A6373">
        <w:rPr>
          <w:rFonts w:cs="Arial"/>
          <w:sz w:val="20"/>
          <w:szCs w:val="20"/>
          <w:rtl/>
        </w:rPr>
        <w:t xml:space="preserve"> </w:t>
      </w:r>
      <w:r w:rsidRPr="002A6373">
        <w:rPr>
          <w:rFonts w:cs="Arial" w:hint="cs"/>
          <w:sz w:val="20"/>
          <w:szCs w:val="20"/>
          <w:rtl/>
        </w:rPr>
        <w:t>ליומא</w:t>
      </w:r>
      <w:r>
        <w:rPr>
          <w:rFonts w:cs="Arial"/>
          <w:sz w:val="20"/>
          <w:szCs w:val="20"/>
          <w:rtl/>
        </w:rPr>
        <w:t>?</w:t>
      </w:r>
      <w:r>
        <w:rPr>
          <w:rFonts w:cs="Arial" w:hint="cs"/>
          <w:sz w:val="20"/>
          <w:szCs w:val="20"/>
          <w:rtl/>
        </w:rPr>
        <w:t xml:space="preserve">... </w:t>
      </w:r>
      <w:r w:rsidRPr="002A6373">
        <w:rPr>
          <w:rFonts w:cs="Arial" w:hint="cs"/>
          <w:sz w:val="20"/>
          <w:szCs w:val="20"/>
          <w:rtl/>
        </w:rPr>
        <w:t>והאמר</w:t>
      </w:r>
      <w:r w:rsidRPr="002A6373">
        <w:rPr>
          <w:rFonts w:cs="Arial"/>
          <w:sz w:val="20"/>
          <w:szCs w:val="20"/>
          <w:rtl/>
        </w:rPr>
        <w:t xml:space="preserve"> </w:t>
      </w:r>
      <w:r w:rsidRPr="002A6373">
        <w:rPr>
          <w:rFonts w:cs="Arial" w:hint="cs"/>
          <w:sz w:val="20"/>
          <w:szCs w:val="20"/>
          <w:rtl/>
        </w:rPr>
        <w:t>רבא</w:t>
      </w:r>
      <w:r w:rsidRPr="002A6373">
        <w:rPr>
          <w:rFonts w:cs="Arial"/>
          <w:sz w:val="20"/>
          <w:szCs w:val="20"/>
          <w:rtl/>
        </w:rPr>
        <w:t xml:space="preserve">: </w:t>
      </w:r>
      <w:r w:rsidRPr="002A6373">
        <w:rPr>
          <w:rFonts w:cs="Arial" w:hint="cs"/>
          <w:sz w:val="20"/>
          <w:szCs w:val="20"/>
          <w:rtl/>
        </w:rPr>
        <w:t>תבעוה</w:t>
      </w:r>
      <w:r w:rsidRPr="002A6373">
        <w:rPr>
          <w:rFonts w:cs="Arial"/>
          <w:sz w:val="20"/>
          <w:szCs w:val="20"/>
          <w:rtl/>
        </w:rPr>
        <w:t xml:space="preserve"> </w:t>
      </w:r>
      <w:r w:rsidRPr="002A6373">
        <w:rPr>
          <w:rFonts w:cs="Arial" w:hint="cs"/>
          <w:sz w:val="20"/>
          <w:szCs w:val="20"/>
          <w:rtl/>
        </w:rPr>
        <w:t>לינשא</w:t>
      </w:r>
      <w:r w:rsidRPr="002A6373">
        <w:rPr>
          <w:rFonts w:cs="Arial"/>
          <w:sz w:val="20"/>
          <w:szCs w:val="20"/>
          <w:rtl/>
        </w:rPr>
        <w:t xml:space="preserve"> </w:t>
      </w:r>
      <w:r w:rsidRPr="002A6373">
        <w:rPr>
          <w:rFonts w:cs="Arial" w:hint="cs"/>
          <w:sz w:val="20"/>
          <w:szCs w:val="20"/>
          <w:rtl/>
        </w:rPr>
        <w:t>ונתפייסה</w:t>
      </w:r>
      <w:r w:rsidRPr="002A6373">
        <w:rPr>
          <w:rFonts w:cs="Arial"/>
          <w:sz w:val="20"/>
          <w:szCs w:val="20"/>
          <w:rtl/>
        </w:rPr>
        <w:t xml:space="preserve"> - </w:t>
      </w:r>
      <w:r w:rsidRPr="002A6373">
        <w:rPr>
          <w:rFonts w:cs="Arial" w:hint="cs"/>
          <w:sz w:val="20"/>
          <w:szCs w:val="20"/>
          <w:rtl/>
        </w:rPr>
        <w:t>צריכה</w:t>
      </w:r>
      <w:r w:rsidRPr="002A6373">
        <w:rPr>
          <w:rFonts w:cs="Arial"/>
          <w:sz w:val="20"/>
          <w:szCs w:val="20"/>
          <w:rtl/>
        </w:rPr>
        <w:t xml:space="preserve"> </w:t>
      </w:r>
      <w:r w:rsidRPr="002A6373">
        <w:rPr>
          <w:rFonts w:cs="Arial" w:hint="cs"/>
          <w:sz w:val="20"/>
          <w:szCs w:val="20"/>
          <w:rtl/>
        </w:rPr>
        <w:t>לישב</w:t>
      </w:r>
      <w:r w:rsidRPr="002A6373">
        <w:rPr>
          <w:rFonts w:cs="Arial"/>
          <w:sz w:val="20"/>
          <w:szCs w:val="20"/>
          <w:rtl/>
        </w:rPr>
        <w:t xml:space="preserve"> </w:t>
      </w:r>
      <w:r w:rsidRPr="002A6373">
        <w:rPr>
          <w:rFonts w:cs="Arial" w:hint="cs"/>
          <w:sz w:val="20"/>
          <w:szCs w:val="20"/>
          <w:rtl/>
        </w:rPr>
        <w:t>שבעה</w:t>
      </w:r>
      <w:r w:rsidRPr="002A6373">
        <w:rPr>
          <w:rFonts w:cs="Arial"/>
          <w:sz w:val="20"/>
          <w:szCs w:val="20"/>
          <w:rtl/>
        </w:rPr>
        <w:t xml:space="preserve"> </w:t>
      </w:r>
      <w:r w:rsidRPr="002A6373">
        <w:rPr>
          <w:rFonts w:cs="Arial" w:hint="cs"/>
          <w:sz w:val="20"/>
          <w:szCs w:val="20"/>
          <w:rtl/>
        </w:rPr>
        <w:t>נקיים</w:t>
      </w:r>
      <w:r w:rsidRPr="002A6373">
        <w:rPr>
          <w:rFonts w:cs="Arial"/>
          <w:sz w:val="20"/>
          <w:szCs w:val="20"/>
          <w:rtl/>
        </w:rPr>
        <w:t>!</w:t>
      </w:r>
      <w:r>
        <w:rPr>
          <w:rFonts w:hint="cs"/>
          <w:sz w:val="20"/>
          <w:szCs w:val="20"/>
          <w:rtl/>
        </w:rPr>
        <w:t>"</w:t>
      </w:r>
      <w:r>
        <w:rPr>
          <w:rFonts w:hint="cs"/>
          <w:sz w:val="20"/>
          <w:szCs w:val="20"/>
          <w:rtl/>
        </w:rPr>
        <w:br/>
        <w:t>ולכאורה הקושייה אינה ברורה, שהרי אם רבא תיקן תקנה זו בימיו מדוע הקשו ממנה על רב שחי לפני רבא?</w:t>
      </w:r>
      <w:r>
        <w:rPr>
          <w:rFonts w:hint="cs"/>
          <w:sz w:val="20"/>
          <w:szCs w:val="20"/>
          <w:rtl/>
        </w:rPr>
        <w:br/>
      </w:r>
      <w:r>
        <w:rPr>
          <w:sz w:val="20"/>
          <w:szCs w:val="20"/>
          <w:rtl/>
        </w:rPr>
        <w:br/>
      </w:r>
      <w:r>
        <w:rPr>
          <w:rFonts w:hint="cs"/>
          <w:sz w:val="20"/>
          <w:szCs w:val="20"/>
          <w:rtl/>
        </w:rPr>
        <w:t xml:space="preserve">א. אלא יש לומר </w:t>
      </w:r>
      <w:r>
        <w:rPr>
          <w:sz w:val="20"/>
          <w:szCs w:val="20"/>
          <w:rtl/>
        </w:rPr>
        <w:t>–</w:t>
      </w:r>
      <w:r>
        <w:rPr>
          <w:rFonts w:hint="cs"/>
          <w:sz w:val="20"/>
          <w:szCs w:val="20"/>
          <w:rtl/>
        </w:rPr>
        <w:t xml:space="preserve"> התקנה התחדשה בשעה שגזרו על הכתמים טומאה אע"פ שלא הרגישה, גזרו גם בדם חימוד טומאה אע"פ שלא הרגישה.</w:t>
      </w:r>
    </w:p>
    <w:p w:rsidR="00620060" w:rsidRDefault="00620060" w:rsidP="00620060">
      <w:pPr>
        <w:rPr>
          <w:sz w:val="20"/>
          <w:szCs w:val="20"/>
          <w:rtl/>
        </w:rPr>
      </w:pPr>
      <w:r>
        <w:rPr>
          <w:rFonts w:hint="cs"/>
          <w:sz w:val="20"/>
          <w:szCs w:val="20"/>
          <w:rtl/>
        </w:rPr>
        <w:t xml:space="preserve">ב. עוד יש לומר </w:t>
      </w:r>
      <w:r>
        <w:rPr>
          <w:sz w:val="20"/>
          <w:szCs w:val="20"/>
          <w:rtl/>
        </w:rPr>
        <w:t>–</w:t>
      </w:r>
      <w:r>
        <w:rPr>
          <w:rFonts w:hint="cs"/>
          <w:sz w:val="20"/>
          <w:szCs w:val="20"/>
          <w:rtl/>
        </w:rPr>
        <w:t xml:space="preserve"> אפילו אם דין דם חימוד נהג בימי יהודה ובועז, מכל מקום לא היה שם חשש משום שמייד שהתפייסו היו עמהם במיטה, והרי זה כמי שיש לו פת בסלו ולכן לא היה דם חימוד.</w:t>
      </w:r>
      <w:r>
        <w:rPr>
          <w:sz w:val="20"/>
          <w:szCs w:val="20"/>
          <w:rtl/>
        </w:rPr>
        <w:br/>
      </w:r>
      <w:r>
        <w:rPr>
          <w:sz w:val="20"/>
          <w:szCs w:val="20"/>
          <w:rtl/>
        </w:rPr>
        <w:br/>
      </w:r>
      <w:r>
        <w:rPr>
          <w:rFonts w:hint="cs"/>
          <w:sz w:val="20"/>
          <w:szCs w:val="20"/>
          <w:rtl/>
        </w:rPr>
        <w:t xml:space="preserve">ג. אך </w:t>
      </w:r>
      <w:r w:rsidRPr="00B310C3">
        <w:rPr>
          <w:rFonts w:hint="cs"/>
          <w:b/>
          <w:bCs/>
          <w:sz w:val="20"/>
          <w:szCs w:val="20"/>
          <w:rtl/>
        </w:rPr>
        <w:t>החוו"ד</w:t>
      </w:r>
      <w:r>
        <w:rPr>
          <w:rFonts w:hint="cs"/>
          <w:sz w:val="20"/>
          <w:szCs w:val="20"/>
          <w:rtl/>
        </w:rPr>
        <w:t xml:space="preserve"> דוחה </w:t>
      </w:r>
      <w:r>
        <w:rPr>
          <w:sz w:val="20"/>
          <w:szCs w:val="20"/>
          <w:rtl/>
        </w:rPr>
        <w:t>–</w:t>
      </w:r>
      <w:r>
        <w:rPr>
          <w:rFonts w:hint="cs"/>
          <w:sz w:val="20"/>
          <w:szCs w:val="20"/>
          <w:rtl/>
        </w:rPr>
        <w:t xml:space="preserve"> הטעם שלא חששו לחימוד משום שלא היה זה נישואין אלא ביאה גרידא, ובביאה לבד אין חימוד, אלא עיקר החימוד הוא שייקרא עליה שם נשואה.</w:t>
      </w:r>
    </w:p>
    <w:p w:rsidR="00620060" w:rsidRDefault="00620060" w:rsidP="00620060">
      <w:pPr>
        <w:rPr>
          <w:sz w:val="20"/>
          <w:szCs w:val="20"/>
          <w:rtl/>
        </w:rPr>
      </w:pPr>
      <w:r>
        <w:rPr>
          <w:rFonts w:hint="cs"/>
          <w:sz w:val="20"/>
          <w:szCs w:val="20"/>
          <w:u w:val="single"/>
          <w:rtl/>
        </w:rPr>
        <w:t>ספירת ז' נקיים כשהמתינה לחליצה (פת"ש)</w:t>
      </w:r>
      <w:r>
        <w:rPr>
          <w:rFonts w:hint="cs"/>
          <w:sz w:val="20"/>
          <w:szCs w:val="20"/>
          <w:u w:val="single"/>
          <w:rtl/>
        </w:rPr>
        <w:br/>
      </w:r>
      <w:r w:rsidRPr="0044079B">
        <w:rPr>
          <w:rFonts w:hint="cs"/>
          <w:b/>
          <w:bCs/>
          <w:sz w:val="20"/>
          <w:szCs w:val="20"/>
          <w:rtl/>
        </w:rPr>
        <w:t>שו"ת שער אפרים</w:t>
      </w:r>
      <w:r>
        <w:rPr>
          <w:rFonts w:hint="cs"/>
          <w:sz w:val="20"/>
          <w:szCs w:val="20"/>
          <w:rtl/>
        </w:rPr>
        <w:t xml:space="preserve"> </w:t>
      </w:r>
      <w:r>
        <w:rPr>
          <w:sz w:val="20"/>
          <w:szCs w:val="20"/>
          <w:rtl/>
        </w:rPr>
        <w:t>–</w:t>
      </w:r>
      <w:r>
        <w:rPr>
          <w:rFonts w:hint="cs"/>
          <w:sz w:val="20"/>
          <w:szCs w:val="20"/>
          <w:rtl/>
        </w:rPr>
        <w:t xml:space="preserve"> מעשה באשה שהיתה צריכה חליצה אך היבם לא רצה לחלוץ לה, ולאחר זמן התפשרו וחלץ לה. בזמן שלפני הסכמתו לחלוץ לה הלכה היא והשתדכה עם אחר ומנתה ז' נקיים לפני החליצה, האם צריכה למנות ז' נקיים שנית?</w:t>
      </w:r>
      <w:r>
        <w:rPr>
          <w:rFonts w:hint="cs"/>
          <w:sz w:val="20"/>
          <w:szCs w:val="20"/>
          <w:rtl/>
        </w:rPr>
        <w:br/>
      </w:r>
      <w:r w:rsidRPr="0044079B">
        <w:rPr>
          <w:rFonts w:hint="cs"/>
          <w:b/>
          <w:bCs/>
          <w:sz w:val="20"/>
          <w:szCs w:val="20"/>
          <w:rtl/>
        </w:rPr>
        <w:t>תשובה</w:t>
      </w:r>
      <w:r>
        <w:rPr>
          <w:rFonts w:hint="cs"/>
          <w:sz w:val="20"/>
          <w:szCs w:val="20"/>
          <w:rtl/>
        </w:rPr>
        <w:t xml:space="preserve"> </w:t>
      </w:r>
      <w:r>
        <w:rPr>
          <w:sz w:val="20"/>
          <w:szCs w:val="20"/>
          <w:rtl/>
        </w:rPr>
        <w:t>–</w:t>
      </w:r>
      <w:r>
        <w:rPr>
          <w:rFonts w:hint="cs"/>
          <w:sz w:val="20"/>
          <w:szCs w:val="20"/>
          <w:rtl/>
        </w:rPr>
        <w:t xml:space="preserve"> ז' הנקיים הראשונים לא עלו לה וצריכה למנות שנית.</w:t>
      </w:r>
      <w:r>
        <w:rPr>
          <w:sz w:val="20"/>
          <w:szCs w:val="20"/>
          <w:rtl/>
        </w:rPr>
        <w:br/>
      </w:r>
      <w:r w:rsidRPr="0044079B">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לא מיבעיא במקום שהמנהג לייבם שאין מועיל לה ז' נקיים ראשונים, שהרי היא כאשת איש, אלא אפילו במקום שהמנהג לחלוץ אין מועיל לה, כיוון שלא סמכה דעתה שיחלוץ לה ולאחר החליצה מתעורר החימוד.</w:t>
      </w:r>
    </w:p>
    <w:p w:rsidR="00620060" w:rsidRDefault="00620060" w:rsidP="00620060">
      <w:pPr>
        <w:rPr>
          <w:sz w:val="20"/>
          <w:szCs w:val="20"/>
          <w:rtl/>
        </w:rPr>
      </w:pPr>
      <w:r>
        <w:rPr>
          <w:rFonts w:hint="cs"/>
          <w:sz w:val="20"/>
          <w:szCs w:val="20"/>
          <w:u w:val="single"/>
          <w:rtl/>
        </w:rPr>
        <w:t>שבעה נקיים לפני כתיבת התנאים (פת"ש)</w:t>
      </w:r>
      <w:r>
        <w:rPr>
          <w:rFonts w:hint="cs"/>
          <w:sz w:val="20"/>
          <w:szCs w:val="20"/>
          <w:u w:val="single"/>
          <w:rtl/>
        </w:rPr>
        <w:br/>
      </w:r>
      <w:r w:rsidRPr="00CC208A">
        <w:rPr>
          <w:rFonts w:hint="cs"/>
          <w:b/>
          <w:bCs/>
          <w:sz w:val="20"/>
          <w:szCs w:val="20"/>
          <w:rtl/>
        </w:rPr>
        <w:t>חמודי דניאל</w:t>
      </w:r>
      <w:r>
        <w:rPr>
          <w:rFonts w:hint="cs"/>
          <w:sz w:val="20"/>
          <w:szCs w:val="20"/>
          <w:rtl/>
        </w:rPr>
        <w:t xml:space="preserve"> </w:t>
      </w:r>
      <w:r>
        <w:rPr>
          <w:sz w:val="20"/>
          <w:szCs w:val="20"/>
          <w:rtl/>
        </w:rPr>
        <w:t>–</w:t>
      </w:r>
      <w:r>
        <w:rPr>
          <w:rFonts w:hint="cs"/>
          <w:sz w:val="20"/>
          <w:szCs w:val="20"/>
          <w:rtl/>
        </w:rPr>
        <w:t xml:space="preserve"> ז' נקיים שנעשו לפני כתיבת התנאים, אינם מועילים ועליה למנות שנית.</w:t>
      </w:r>
    </w:p>
    <w:p w:rsidR="00620060" w:rsidRDefault="00620060" w:rsidP="00620060">
      <w:pPr>
        <w:rPr>
          <w:sz w:val="20"/>
          <w:szCs w:val="20"/>
          <w:rtl/>
        </w:rPr>
      </w:pPr>
      <w:r>
        <w:rPr>
          <w:rFonts w:hint="cs"/>
          <w:sz w:val="20"/>
          <w:szCs w:val="20"/>
          <w:u w:val="single"/>
          <w:rtl/>
        </w:rPr>
        <w:t>שבעה נקיים שמנתה בעת שהיתה שוטה (פת"ש)</w:t>
      </w:r>
      <w:r>
        <w:rPr>
          <w:rFonts w:hint="cs"/>
          <w:sz w:val="20"/>
          <w:szCs w:val="20"/>
          <w:u w:val="single"/>
          <w:rtl/>
        </w:rPr>
        <w:br/>
      </w:r>
      <w:r w:rsidRPr="00D63D76">
        <w:rPr>
          <w:rFonts w:hint="cs"/>
          <w:b/>
          <w:bCs/>
          <w:sz w:val="20"/>
          <w:szCs w:val="20"/>
          <w:rtl/>
        </w:rPr>
        <w:t>בית שמואל</w:t>
      </w:r>
      <w:r>
        <w:rPr>
          <w:rFonts w:hint="cs"/>
          <w:sz w:val="20"/>
          <w:szCs w:val="20"/>
          <w:rtl/>
        </w:rPr>
        <w:t xml:space="preserve"> </w:t>
      </w:r>
      <w:r>
        <w:rPr>
          <w:sz w:val="20"/>
          <w:szCs w:val="20"/>
          <w:rtl/>
        </w:rPr>
        <w:t>–</w:t>
      </w:r>
      <w:r>
        <w:rPr>
          <w:rFonts w:hint="cs"/>
          <w:sz w:val="20"/>
          <w:szCs w:val="20"/>
          <w:rtl/>
        </w:rPr>
        <w:t xml:space="preserve"> אשה שמנתה ז' נקיים בעת שהיתה שוטה ע"י נשים שבדקו אותה, ספק האם לאחר שהחלימה והתפקחה צריכה למנות ז' נקיים שנית משום שהתעורר חימוד חדש, וצידד מעט להקל.</w:t>
      </w:r>
      <w:r>
        <w:rPr>
          <w:sz w:val="20"/>
          <w:szCs w:val="20"/>
          <w:rtl/>
        </w:rPr>
        <w:br/>
      </w:r>
      <w:r>
        <w:rPr>
          <w:sz w:val="20"/>
          <w:szCs w:val="20"/>
          <w:u w:val="single"/>
          <w:rtl/>
        </w:rPr>
        <w:br/>
      </w:r>
      <w:r>
        <w:rPr>
          <w:rFonts w:hint="cs"/>
          <w:sz w:val="20"/>
          <w:szCs w:val="20"/>
          <w:u w:val="single"/>
          <w:rtl/>
        </w:rPr>
        <w:t>שבעה נקיים לפני שראתה את החתן (פת"ש)</w:t>
      </w:r>
      <w:r>
        <w:rPr>
          <w:rFonts w:hint="cs"/>
          <w:sz w:val="20"/>
          <w:szCs w:val="20"/>
          <w:u w:val="single"/>
          <w:rtl/>
        </w:rPr>
        <w:br/>
      </w:r>
      <w:r w:rsidRPr="000D1C1A">
        <w:rPr>
          <w:rFonts w:hint="cs"/>
          <w:b/>
          <w:bCs/>
          <w:sz w:val="20"/>
          <w:szCs w:val="20"/>
          <w:rtl/>
        </w:rPr>
        <w:t>חתם סופר</w:t>
      </w:r>
      <w:r>
        <w:rPr>
          <w:rFonts w:hint="cs"/>
          <w:sz w:val="20"/>
          <w:szCs w:val="20"/>
          <w:rtl/>
        </w:rPr>
        <w:t xml:space="preserve"> </w:t>
      </w:r>
      <w:r>
        <w:rPr>
          <w:sz w:val="20"/>
          <w:szCs w:val="20"/>
          <w:rtl/>
        </w:rPr>
        <w:t>–</w:t>
      </w:r>
      <w:r>
        <w:rPr>
          <w:rFonts w:hint="cs"/>
          <w:sz w:val="20"/>
          <w:szCs w:val="20"/>
          <w:rtl/>
        </w:rPr>
        <w:t xml:space="preserve"> אשה שמנתה ז' נקיים לפני שראתה את החתן, אינה צריכה למנות שנית לאחר ראייתו.</w:t>
      </w:r>
      <w:r>
        <w:rPr>
          <w:sz w:val="20"/>
          <w:szCs w:val="20"/>
          <w:rtl/>
        </w:rPr>
        <w:br/>
      </w:r>
      <w:r w:rsidRPr="000D1C1A">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אין לומר שהתעורר חימוד לאחר ראייתו, אלא החימוד הוא מחמת ביאה סתם ולא חימוד על גוף מסויים.</w:t>
      </w:r>
    </w:p>
    <w:p w:rsidR="00620060" w:rsidRDefault="00620060" w:rsidP="00620060">
      <w:pPr>
        <w:rPr>
          <w:sz w:val="20"/>
          <w:szCs w:val="20"/>
          <w:rtl/>
        </w:rPr>
      </w:pPr>
      <w:r>
        <w:rPr>
          <w:rFonts w:hint="cs"/>
          <w:sz w:val="20"/>
          <w:szCs w:val="20"/>
          <w:u w:val="single"/>
          <w:rtl/>
        </w:rPr>
        <w:t>שבעה נקיים בזקנה (פת"ש)</w:t>
      </w:r>
      <w:r>
        <w:rPr>
          <w:rFonts w:hint="cs"/>
          <w:sz w:val="20"/>
          <w:szCs w:val="20"/>
          <w:u w:val="single"/>
          <w:rtl/>
        </w:rPr>
        <w:br/>
      </w:r>
      <w:r>
        <w:rPr>
          <w:rFonts w:hint="cs"/>
          <w:b/>
          <w:bCs/>
          <w:sz w:val="20"/>
          <w:szCs w:val="20"/>
          <w:rtl/>
        </w:rPr>
        <w:t xml:space="preserve">שו"ת </w:t>
      </w:r>
      <w:r w:rsidRPr="00492AC5">
        <w:rPr>
          <w:rFonts w:hint="cs"/>
          <w:b/>
          <w:bCs/>
          <w:sz w:val="20"/>
          <w:szCs w:val="20"/>
          <w:rtl/>
        </w:rPr>
        <w:t>גבעת שאול</w:t>
      </w:r>
      <w:r>
        <w:rPr>
          <w:rFonts w:hint="cs"/>
          <w:sz w:val="20"/>
          <w:szCs w:val="20"/>
          <w:rtl/>
        </w:rPr>
        <w:t xml:space="preserve"> </w:t>
      </w:r>
      <w:r>
        <w:rPr>
          <w:sz w:val="20"/>
          <w:szCs w:val="20"/>
          <w:rtl/>
        </w:rPr>
        <w:t>–</w:t>
      </w:r>
      <w:r>
        <w:rPr>
          <w:rFonts w:hint="cs"/>
          <w:sz w:val="20"/>
          <w:szCs w:val="20"/>
          <w:rtl/>
        </w:rPr>
        <w:t xml:space="preserve"> גם נשים מסולקות דמים, כגון זקנה, צריכות למנות ז' נקיים. </w:t>
      </w:r>
      <w:r w:rsidRPr="00492AC5">
        <w:rPr>
          <w:rFonts w:hint="cs"/>
          <w:sz w:val="18"/>
          <w:szCs w:val="18"/>
          <w:rtl/>
        </w:rPr>
        <w:t>[ולכאורה נראה שאינה צריכה הפסק טהרה לכו"ע, משום שאין מעיינה פתוח].</w:t>
      </w:r>
    </w:p>
    <w:p w:rsidR="00620060" w:rsidRDefault="00620060" w:rsidP="00620060">
      <w:pPr>
        <w:rPr>
          <w:sz w:val="20"/>
          <w:szCs w:val="20"/>
          <w:rtl/>
        </w:rPr>
      </w:pPr>
      <w:r>
        <w:rPr>
          <w:rFonts w:hint="cs"/>
          <w:sz w:val="20"/>
          <w:szCs w:val="20"/>
          <w:u w:val="single"/>
          <w:rtl/>
        </w:rPr>
        <w:t>שבעה נקיים בנואף ונואפת מעוברת (פת"ש)</w:t>
      </w:r>
      <w:r>
        <w:rPr>
          <w:rFonts w:hint="cs"/>
          <w:sz w:val="20"/>
          <w:szCs w:val="20"/>
          <w:u w:val="single"/>
          <w:rtl/>
        </w:rPr>
        <w:br/>
      </w:r>
      <w:r w:rsidRPr="00F67F32">
        <w:rPr>
          <w:rFonts w:hint="cs"/>
          <w:b/>
          <w:bCs/>
          <w:sz w:val="20"/>
          <w:szCs w:val="20"/>
          <w:rtl/>
        </w:rPr>
        <w:t>שו"ת מקום שמואל</w:t>
      </w:r>
      <w:r>
        <w:rPr>
          <w:rFonts w:hint="cs"/>
          <w:sz w:val="20"/>
          <w:szCs w:val="20"/>
          <w:rtl/>
        </w:rPr>
        <w:t xml:space="preserve"> </w:t>
      </w:r>
      <w:r>
        <w:rPr>
          <w:sz w:val="20"/>
          <w:szCs w:val="20"/>
          <w:rtl/>
        </w:rPr>
        <w:t>–</w:t>
      </w:r>
      <w:r>
        <w:rPr>
          <w:rFonts w:hint="cs"/>
          <w:sz w:val="20"/>
          <w:szCs w:val="20"/>
          <w:rtl/>
        </w:rPr>
        <w:t xml:space="preserve"> נואפת מעוברת שנישאת למי שנאף עמה, צריכה שבעה נקיים.</w:t>
      </w:r>
      <w:r>
        <w:rPr>
          <w:sz w:val="20"/>
          <w:szCs w:val="20"/>
          <w:rtl/>
        </w:rPr>
        <w:br/>
      </w:r>
      <w:r w:rsidRPr="00F67F32">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גם אשה מסולקת דמים צריכה ז' נקיים. </w:t>
      </w:r>
      <w:r w:rsidRPr="00F67F32">
        <w:rPr>
          <w:rFonts w:hint="cs"/>
          <w:sz w:val="18"/>
          <w:szCs w:val="18"/>
          <w:rtl/>
        </w:rPr>
        <w:t>[ואין להקשות שליכא חימוד משום שכבר שכב עמה, משום שהחימוד מחמת עצם הנישואין</w:t>
      </w:r>
      <w:r>
        <w:rPr>
          <w:rFonts w:hint="cs"/>
          <w:sz w:val="20"/>
          <w:szCs w:val="20"/>
          <w:rtl/>
        </w:rPr>
        <w:t>].</w:t>
      </w:r>
    </w:p>
    <w:p w:rsidR="00620060" w:rsidRPr="001A7E21" w:rsidRDefault="00620060" w:rsidP="00620060">
      <w:pPr>
        <w:rPr>
          <w:sz w:val="20"/>
          <w:szCs w:val="20"/>
          <w:rtl/>
        </w:rPr>
      </w:pPr>
      <w:r>
        <w:rPr>
          <w:rFonts w:hint="cs"/>
          <w:sz w:val="20"/>
          <w:szCs w:val="20"/>
          <w:u w:val="single"/>
          <w:rtl/>
        </w:rPr>
        <w:t>זהירות בבדיקה לבתולה</w:t>
      </w:r>
      <w:r>
        <w:rPr>
          <w:sz w:val="20"/>
          <w:szCs w:val="20"/>
          <w:u w:val="single"/>
          <w:rtl/>
        </w:rPr>
        <w:br/>
      </w:r>
      <w:r w:rsidRPr="001A7E21">
        <w:rPr>
          <w:rFonts w:hint="cs"/>
          <w:b/>
          <w:bCs/>
          <w:sz w:val="20"/>
          <w:szCs w:val="20"/>
          <w:rtl/>
        </w:rPr>
        <w:t>ששבה"ל</w:t>
      </w:r>
      <w:r w:rsidRPr="001A7E21">
        <w:rPr>
          <w:rFonts w:hint="cs"/>
          <w:sz w:val="20"/>
          <w:szCs w:val="20"/>
          <w:rtl/>
        </w:rPr>
        <w:t xml:space="preserve"> </w:t>
      </w:r>
      <w:r>
        <w:rPr>
          <w:sz w:val="20"/>
          <w:szCs w:val="20"/>
          <w:rtl/>
        </w:rPr>
        <w:t>–</w:t>
      </w:r>
      <w:r>
        <w:rPr>
          <w:rFonts w:hint="cs"/>
          <w:sz w:val="20"/>
          <w:szCs w:val="20"/>
          <w:rtl/>
        </w:rPr>
        <w:t xml:space="preserve"> בדיקת בתולה היא קשה כיוון שפתחה סתום וכמעט אי אפשר להיכנס, לכן תבדוק עד כמה שאפשר אך לא יותר מדי כדי שלא תפצע את עצמה.</w:t>
      </w:r>
    </w:p>
    <w:p w:rsidR="00620060" w:rsidRDefault="00620060" w:rsidP="00620060">
      <w:pPr>
        <w:rPr>
          <w:sz w:val="20"/>
          <w:szCs w:val="20"/>
          <w:rtl/>
        </w:rPr>
      </w:pPr>
      <w:r w:rsidRPr="009D504E">
        <w:rPr>
          <w:rFonts w:hint="cs"/>
          <w:b/>
          <w:bCs/>
          <w:sz w:val="20"/>
          <w:szCs w:val="20"/>
          <w:rtl/>
        </w:rPr>
        <w:t>סיכום</w:t>
      </w:r>
      <w:r>
        <w:rPr>
          <w:sz w:val="20"/>
          <w:szCs w:val="20"/>
          <w:rtl/>
        </w:rPr>
        <w:br/>
      </w:r>
      <w:r>
        <w:rPr>
          <w:rFonts w:hint="cs"/>
          <w:sz w:val="20"/>
          <w:szCs w:val="20"/>
          <w:rtl/>
        </w:rPr>
        <w:t xml:space="preserve">1. </w:t>
      </w:r>
      <w:r w:rsidRPr="00BA46C3">
        <w:rPr>
          <w:rFonts w:hint="cs"/>
          <w:b/>
          <w:bCs/>
          <w:sz w:val="20"/>
          <w:szCs w:val="20"/>
          <w:rtl/>
        </w:rPr>
        <w:t>גמרא</w:t>
      </w:r>
      <w:r>
        <w:rPr>
          <w:rFonts w:hint="cs"/>
          <w:sz w:val="20"/>
          <w:szCs w:val="20"/>
          <w:rtl/>
        </w:rPr>
        <w:t xml:space="preserve">. </w:t>
      </w:r>
      <w:r w:rsidRPr="00434902">
        <w:rPr>
          <w:rFonts w:hint="cs"/>
          <w:sz w:val="20"/>
          <w:szCs w:val="20"/>
          <w:u w:val="single"/>
          <w:rtl/>
        </w:rPr>
        <w:t>רבא</w:t>
      </w:r>
      <w:r>
        <w:rPr>
          <w:rFonts w:hint="cs"/>
          <w:sz w:val="20"/>
          <w:szCs w:val="20"/>
          <w:rtl/>
        </w:rPr>
        <w:t xml:space="preserve"> </w:t>
      </w:r>
      <w:r>
        <w:rPr>
          <w:sz w:val="20"/>
          <w:szCs w:val="20"/>
          <w:rtl/>
        </w:rPr>
        <w:t>–</w:t>
      </w:r>
      <w:r>
        <w:rPr>
          <w:rFonts w:hint="cs"/>
          <w:sz w:val="20"/>
          <w:szCs w:val="20"/>
          <w:rtl/>
        </w:rPr>
        <w:t xml:space="preserve"> אשה שתבעוה להינשא צריכה למנות ז' נקיים בין קטנה ובין גדולה שמא מחמת חימוד ראתה.</w:t>
      </w:r>
      <w:r>
        <w:rPr>
          <w:rFonts w:hint="cs"/>
          <w:sz w:val="20"/>
          <w:szCs w:val="20"/>
          <w:rtl/>
        </w:rPr>
        <w:br/>
      </w:r>
      <w:r w:rsidRPr="00F47012">
        <w:rPr>
          <w:rFonts w:hint="cs"/>
          <w:b/>
          <w:bCs/>
          <w:sz w:val="20"/>
          <w:szCs w:val="20"/>
          <w:rtl/>
        </w:rPr>
        <w:lastRenderedPageBreak/>
        <w:t>רשב"א</w:t>
      </w:r>
      <w:r>
        <w:rPr>
          <w:rFonts w:hint="cs"/>
          <w:sz w:val="20"/>
          <w:szCs w:val="20"/>
          <w:rtl/>
        </w:rPr>
        <w:t xml:space="preserve">. יום התביעה אינו עולה לה. </w:t>
      </w:r>
      <w:r w:rsidRPr="00F47012">
        <w:rPr>
          <w:rFonts w:hint="cs"/>
          <w:b/>
          <w:bCs/>
          <w:sz w:val="20"/>
          <w:szCs w:val="20"/>
          <w:rtl/>
        </w:rPr>
        <w:t>טעם</w:t>
      </w:r>
      <w:r>
        <w:rPr>
          <w:rFonts w:hint="cs"/>
          <w:sz w:val="20"/>
          <w:szCs w:val="20"/>
          <w:rtl/>
        </w:rPr>
        <w:t>. הוא עצמו אינו נקי.</w:t>
      </w:r>
      <w:r>
        <w:rPr>
          <w:sz w:val="20"/>
          <w:szCs w:val="20"/>
          <w:rtl/>
        </w:rPr>
        <w:br/>
      </w:r>
      <w:r>
        <w:rPr>
          <w:rFonts w:hint="cs"/>
          <w:sz w:val="20"/>
          <w:szCs w:val="20"/>
          <w:rtl/>
        </w:rPr>
        <w:t xml:space="preserve">2. </w:t>
      </w:r>
      <w:r w:rsidRPr="00434902">
        <w:rPr>
          <w:rFonts w:hint="cs"/>
          <w:sz w:val="20"/>
          <w:szCs w:val="20"/>
          <w:rtl/>
        </w:rPr>
        <w:t xml:space="preserve">האם בדיקה בשעת תביעה מועילה במקום </w:t>
      </w:r>
      <w:r>
        <w:rPr>
          <w:rFonts w:hint="cs"/>
          <w:sz w:val="20"/>
          <w:szCs w:val="20"/>
          <w:rtl/>
        </w:rPr>
        <w:t>ז</w:t>
      </w:r>
      <w:r w:rsidRPr="00434902">
        <w:rPr>
          <w:rFonts w:hint="cs"/>
          <w:sz w:val="20"/>
          <w:szCs w:val="20"/>
          <w:rtl/>
        </w:rPr>
        <w:t xml:space="preserve">' נקיים. </w:t>
      </w:r>
      <w:r w:rsidRPr="00434902">
        <w:rPr>
          <w:rFonts w:hint="cs"/>
          <w:b/>
          <w:bCs/>
          <w:sz w:val="20"/>
          <w:szCs w:val="20"/>
          <w:rtl/>
        </w:rPr>
        <w:t>רשב"א</w:t>
      </w:r>
      <w:r>
        <w:rPr>
          <w:rFonts w:hint="cs"/>
          <w:b/>
          <w:bCs/>
          <w:sz w:val="20"/>
          <w:szCs w:val="20"/>
          <w:rtl/>
        </w:rPr>
        <w:t xml:space="preserve"> </w:t>
      </w:r>
      <w:r>
        <w:rPr>
          <w:rFonts w:hint="cs"/>
          <w:sz w:val="20"/>
          <w:szCs w:val="20"/>
          <w:rtl/>
        </w:rPr>
        <w:t>ורוב הראשונים</w:t>
      </w:r>
      <w:r w:rsidRPr="00434902">
        <w:rPr>
          <w:rFonts w:hint="cs"/>
          <w:sz w:val="20"/>
          <w:szCs w:val="20"/>
          <w:rtl/>
        </w:rPr>
        <w:t xml:space="preserve">. לא, וכ"פ </w:t>
      </w:r>
      <w:r w:rsidRPr="00434902">
        <w:rPr>
          <w:rFonts w:hint="cs"/>
          <w:b/>
          <w:bCs/>
          <w:sz w:val="20"/>
          <w:szCs w:val="20"/>
          <w:rtl/>
        </w:rPr>
        <w:t>המחבר</w:t>
      </w:r>
      <w:r w:rsidRPr="00434902">
        <w:rPr>
          <w:rFonts w:hint="cs"/>
          <w:sz w:val="20"/>
          <w:szCs w:val="20"/>
          <w:rtl/>
        </w:rPr>
        <w:t xml:space="preserve">. </w:t>
      </w:r>
      <w:r w:rsidRPr="00434902">
        <w:rPr>
          <w:rFonts w:hint="cs"/>
          <w:b/>
          <w:bCs/>
          <w:sz w:val="20"/>
          <w:szCs w:val="20"/>
          <w:rtl/>
        </w:rPr>
        <w:t>ראבי"ה</w:t>
      </w:r>
      <w:r w:rsidRPr="00434902">
        <w:rPr>
          <w:rFonts w:hint="cs"/>
          <w:sz w:val="20"/>
          <w:szCs w:val="20"/>
          <w:rtl/>
        </w:rPr>
        <w:t>. כן.</w:t>
      </w:r>
      <w:r w:rsidRPr="00434902">
        <w:rPr>
          <w:rFonts w:hint="cs"/>
          <w:sz w:val="20"/>
          <w:szCs w:val="20"/>
          <w:rtl/>
        </w:rPr>
        <w:br/>
        <w:t xml:space="preserve">3. דין הפסק ובדיקות תוך ז'. </w:t>
      </w:r>
      <w:r w:rsidRPr="00434902">
        <w:rPr>
          <w:rFonts w:hint="cs"/>
          <w:b/>
          <w:bCs/>
          <w:sz w:val="20"/>
          <w:szCs w:val="20"/>
          <w:rtl/>
        </w:rPr>
        <w:t>רשב"א</w:t>
      </w:r>
      <w:r w:rsidRPr="00434902">
        <w:rPr>
          <w:rFonts w:hint="cs"/>
          <w:sz w:val="20"/>
          <w:szCs w:val="20"/>
          <w:rtl/>
        </w:rPr>
        <w:t xml:space="preserve">. אין צריך הפסק ובדיקות כלל. </w:t>
      </w:r>
      <w:r w:rsidRPr="00434902">
        <w:rPr>
          <w:rFonts w:hint="cs"/>
          <w:b/>
          <w:bCs/>
          <w:sz w:val="20"/>
          <w:szCs w:val="20"/>
          <w:rtl/>
        </w:rPr>
        <w:t>ראב"ד</w:t>
      </w:r>
      <w:r w:rsidRPr="00434902">
        <w:rPr>
          <w:rFonts w:hint="cs"/>
          <w:sz w:val="20"/>
          <w:szCs w:val="20"/>
          <w:rtl/>
        </w:rPr>
        <w:t xml:space="preserve">. אין צריך הפסק, אך צריך בדיקה אחת תוך ז', וכ"פ </w:t>
      </w:r>
      <w:r w:rsidRPr="00434902">
        <w:rPr>
          <w:rFonts w:hint="cs"/>
          <w:b/>
          <w:bCs/>
          <w:sz w:val="20"/>
          <w:szCs w:val="20"/>
          <w:rtl/>
        </w:rPr>
        <w:t>המחבר</w:t>
      </w:r>
      <w:r w:rsidRPr="00434902">
        <w:rPr>
          <w:rFonts w:hint="cs"/>
          <w:sz w:val="20"/>
          <w:szCs w:val="20"/>
          <w:rtl/>
        </w:rPr>
        <w:t xml:space="preserve">. </w:t>
      </w:r>
      <w:r w:rsidRPr="00434902">
        <w:rPr>
          <w:rFonts w:hint="cs"/>
          <w:b/>
          <w:bCs/>
          <w:sz w:val="20"/>
          <w:szCs w:val="20"/>
          <w:rtl/>
        </w:rPr>
        <w:t>רא"ש</w:t>
      </w:r>
      <w:r w:rsidRPr="00434902">
        <w:rPr>
          <w:rFonts w:hint="cs"/>
          <w:sz w:val="20"/>
          <w:szCs w:val="20"/>
          <w:rtl/>
        </w:rPr>
        <w:t xml:space="preserve">. אין צריך הפסק אך צריך בדיקות כל ז', וכ"פ </w:t>
      </w:r>
      <w:r w:rsidRPr="00434902">
        <w:rPr>
          <w:rFonts w:hint="cs"/>
          <w:b/>
          <w:bCs/>
          <w:sz w:val="20"/>
          <w:szCs w:val="20"/>
          <w:rtl/>
        </w:rPr>
        <w:t>הרמ"א</w:t>
      </w:r>
      <w:r w:rsidRPr="00434902">
        <w:rPr>
          <w:rFonts w:hint="cs"/>
          <w:sz w:val="20"/>
          <w:szCs w:val="20"/>
          <w:rtl/>
        </w:rPr>
        <w:t xml:space="preserve">. </w:t>
      </w:r>
      <w:r w:rsidRPr="00434902">
        <w:rPr>
          <w:rFonts w:hint="cs"/>
          <w:b/>
          <w:bCs/>
          <w:sz w:val="20"/>
          <w:szCs w:val="20"/>
          <w:rtl/>
        </w:rPr>
        <w:t>שיטה בר"ן</w:t>
      </w:r>
      <w:r w:rsidRPr="00434902">
        <w:rPr>
          <w:rFonts w:hint="cs"/>
          <w:sz w:val="20"/>
          <w:szCs w:val="20"/>
          <w:rtl/>
        </w:rPr>
        <w:t>. צריך הפסק ובדיקה בכל יום.</w:t>
      </w:r>
      <w:r w:rsidRPr="00434902">
        <w:rPr>
          <w:rFonts w:hint="cs"/>
          <w:sz w:val="20"/>
          <w:szCs w:val="20"/>
          <w:rtl/>
        </w:rPr>
        <w:br/>
        <w:t xml:space="preserve">4. </w:t>
      </w:r>
      <w:r w:rsidRPr="00434902">
        <w:rPr>
          <w:rFonts w:hint="cs"/>
          <w:b/>
          <w:bCs/>
          <w:sz w:val="20"/>
          <w:szCs w:val="20"/>
          <w:rtl/>
        </w:rPr>
        <w:t>מחבר</w:t>
      </w:r>
      <w:r w:rsidRPr="00434902">
        <w:rPr>
          <w:rFonts w:hint="cs"/>
          <w:sz w:val="20"/>
          <w:szCs w:val="20"/>
          <w:rtl/>
        </w:rPr>
        <w:t xml:space="preserve">. כל אשה תמתין ז' נקיים ממחרת יום התביעה, אינה צריכה הפסק אלא בבדיקה אחת תוך ז' סגי. </w:t>
      </w:r>
      <w:r w:rsidRPr="00434902">
        <w:rPr>
          <w:rFonts w:hint="cs"/>
          <w:b/>
          <w:bCs/>
          <w:sz w:val="20"/>
          <w:szCs w:val="20"/>
          <w:rtl/>
        </w:rPr>
        <w:t>רמ"א</w:t>
      </w:r>
      <w:r w:rsidRPr="00434902">
        <w:rPr>
          <w:rFonts w:hint="cs"/>
          <w:sz w:val="20"/>
          <w:szCs w:val="20"/>
          <w:rtl/>
        </w:rPr>
        <w:t xml:space="preserve">. לכתחילה תבדוק כל יום, בדיעבד סגי בדיקה אחת. </w:t>
      </w:r>
      <w:r w:rsidRPr="00434902">
        <w:rPr>
          <w:sz w:val="20"/>
          <w:szCs w:val="20"/>
          <w:rtl/>
        </w:rPr>
        <w:br/>
      </w:r>
      <w:r w:rsidRPr="00434902">
        <w:rPr>
          <w:rFonts w:hint="cs"/>
          <w:sz w:val="20"/>
          <w:szCs w:val="20"/>
          <w:rtl/>
        </w:rPr>
        <w:t>5. הפסק טהרה בימינו.</w:t>
      </w:r>
      <w:r>
        <w:rPr>
          <w:rFonts w:hint="cs"/>
          <w:sz w:val="20"/>
          <w:szCs w:val="20"/>
          <w:rtl/>
        </w:rPr>
        <w:t xml:space="preserve"> </w:t>
      </w:r>
      <w:r w:rsidRPr="00F47012">
        <w:rPr>
          <w:rFonts w:hint="cs"/>
          <w:b/>
          <w:bCs/>
          <w:sz w:val="20"/>
          <w:szCs w:val="20"/>
          <w:rtl/>
        </w:rPr>
        <w:t>ש"ך</w:t>
      </w:r>
      <w:r>
        <w:rPr>
          <w:rFonts w:hint="cs"/>
          <w:sz w:val="20"/>
          <w:szCs w:val="20"/>
          <w:rtl/>
        </w:rPr>
        <w:t>. צריך לעשות הפסק, כיוון שהיא נידה גמורה וליכא רק חשש חימוד.</w:t>
      </w:r>
      <w:r>
        <w:rPr>
          <w:sz w:val="20"/>
          <w:szCs w:val="20"/>
          <w:rtl/>
        </w:rPr>
        <w:br/>
      </w:r>
      <w:r>
        <w:rPr>
          <w:rFonts w:hint="cs"/>
          <w:sz w:val="20"/>
          <w:szCs w:val="20"/>
          <w:rtl/>
        </w:rPr>
        <w:t xml:space="preserve">6. </w:t>
      </w:r>
      <w:r w:rsidRPr="00F47012">
        <w:rPr>
          <w:rFonts w:hint="cs"/>
          <w:b/>
          <w:bCs/>
          <w:sz w:val="20"/>
          <w:szCs w:val="20"/>
          <w:rtl/>
        </w:rPr>
        <w:t>ש"ך</w:t>
      </w:r>
      <w:r>
        <w:rPr>
          <w:rFonts w:hint="cs"/>
          <w:sz w:val="20"/>
          <w:szCs w:val="20"/>
          <w:rtl/>
        </w:rPr>
        <w:t>. אע"פ שבנידה גמורה הקלו בדיעבד רק בב' בדיקות, כאן הקלו.</w:t>
      </w:r>
      <w:r>
        <w:rPr>
          <w:rFonts w:hint="cs"/>
          <w:sz w:val="20"/>
          <w:szCs w:val="20"/>
          <w:rtl/>
        </w:rPr>
        <w:br/>
        <w:t xml:space="preserve">7. </w:t>
      </w:r>
      <w:r w:rsidRPr="00F47012">
        <w:rPr>
          <w:rFonts w:hint="cs"/>
          <w:b/>
          <w:bCs/>
          <w:sz w:val="20"/>
          <w:szCs w:val="20"/>
          <w:rtl/>
        </w:rPr>
        <w:t>מגיד משנה</w:t>
      </w:r>
      <w:r>
        <w:rPr>
          <w:rFonts w:hint="cs"/>
          <w:sz w:val="20"/>
          <w:szCs w:val="20"/>
          <w:rtl/>
        </w:rPr>
        <w:t>. חשש דם חימוד אינו מדאורייתא, שהרי מותרת אפילו בכתם ללא הרגשה.</w:t>
      </w:r>
      <w:r>
        <w:rPr>
          <w:sz w:val="20"/>
          <w:szCs w:val="20"/>
          <w:rtl/>
        </w:rPr>
        <w:br/>
      </w:r>
      <w:r w:rsidRPr="00F47012">
        <w:rPr>
          <w:rFonts w:hint="cs"/>
          <w:b/>
          <w:bCs/>
          <w:sz w:val="20"/>
          <w:szCs w:val="20"/>
          <w:rtl/>
        </w:rPr>
        <w:t>ט"ז</w:t>
      </w:r>
      <w:r>
        <w:rPr>
          <w:rFonts w:hint="cs"/>
          <w:sz w:val="20"/>
          <w:szCs w:val="20"/>
          <w:rtl/>
        </w:rPr>
        <w:t xml:space="preserve">. לפי"ז א"ש תמר ורות שלא מנו ז' נקיים. א. ומקור הגזרה בגזרת כתם שטימאו אע"פ שלא הרגישה, הוא הדין כאן. ב. ועוד, כיוון שהיו עמהם במיטה ליכא חימוד. ג. </w:t>
      </w:r>
      <w:r w:rsidRPr="00F47012">
        <w:rPr>
          <w:rFonts w:hint="cs"/>
          <w:b/>
          <w:bCs/>
          <w:sz w:val="20"/>
          <w:szCs w:val="20"/>
          <w:rtl/>
        </w:rPr>
        <w:t>חוו"ד</w:t>
      </w:r>
      <w:r>
        <w:rPr>
          <w:rFonts w:hint="cs"/>
          <w:sz w:val="20"/>
          <w:szCs w:val="20"/>
          <w:rtl/>
        </w:rPr>
        <w:t>. ליכא חימוד בביאה ללא נישואין.</w:t>
      </w:r>
      <w:r>
        <w:rPr>
          <w:sz w:val="20"/>
          <w:szCs w:val="20"/>
          <w:rtl/>
        </w:rPr>
        <w:br/>
      </w:r>
      <w:r>
        <w:rPr>
          <w:rFonts w:hint="cs"/>
          <w:sz w:val="20"/>
          <w:szCs w:val="20"/>
          <w:rtl/>
        </w:rPr>
        <w:t xml:space="preserve">8. </w:t>
      </w:r>
      <w:r w:rsidRPr="00F47012">
        <w:rPr>
          <w:rFonts w:hint="cs"/>
          <w:b/>
          <w:bCs/>
          <w:sz w:val="20"/>
          <w:szCs w:val="20"/>
          <w:rtl/>
        </w:rPr>
        <w:t>פת"ש</w:t>
      </w:r>
      <w:r>
        <w:rPr>
          <w:rFonts w:hint="cs"/>
          <w:sz w:val="20"/>
          <w:szCs w:val="20"/>
          <w:rtl/>
        </w:rPr>
        <w:t xml:space="preserve">. ספירת ז' נקיים בעת שהמתינה לחליצה </w:t>
      </w:r>
      <w:r>
        <w:rPr>
          <w:sz w:val="20"/>
          <w:szCs w:val="20"/>
          <w:rtl/>
        </w:rPr>
        <w:t>–</w:t>
      </w:r>
      <w:r>
        <w:rPr>
          <w:rFonts w:hint="cs"/>
          <w:sz w:val="20"/>
          <w:szCs w:val="20"/>
          <w:rtl/>
        </w:rPr>
        <w:t xml:space="preserve"> אינם מועילים.</w:t>
      </w:r>
      <w:r>
        <w:rPr>
          <w:sz w:val="20"/>
          <w:szCs w:val="20"/>
          <w:rtl/>
        </w:rPr>
        <w:br/>
      </w:r>
      <w:r>
        <w:rPr>
          <w:rFonts w:hint="cs"/>
          <w:sz w:val="20"/>
          <w:szCs w:val="20"/>
          <w:rtl/>
        </w:rPr>
        <w:t xml:space="preserve">9. </w:t>
      </w:r>
      <w:r w:rsidRPr="00F47012">
        <w:rPr>
          <w:rFonts w:hint="cs"/>
          <w:b/>
          <w:bCs/>
          <w:sz w:val="20"/>
          <w:szCs w:val="20"/>
          <w:rtl/>
        </w:rPr>
        <w:t>פת"ש</w:t>
      </w:r>
      <w:r>
        <w:rPr>
          <w:rFonts w:hint="cs"/>
          <w:sz w:val="20"/>
          <w:szCs w:val="20"/>
          <w:rtl/>
        </w:rPr>
        <w:t xml:space="preserve">. ז' נקיים לפני כתיבת התנאים </w:t>
      </w:r>
      <w:r>
        <w:rPr>
          <w:sz w:val="20"/>
          <w:szCs w:val="20"/>
          <w:rtl/>
        </w:rPr>
        <w:t>–</w:t>
      </w:r>
      <w:r>
        <w:rPr>
          <w:rFonts w:hint="cs"/>
          <w:sz w:val="20"/>
          <w:szCs w:val="20"/>
          <w:rtl/>
        </w:rPr>
        <w:t xml:space="preserve"> אינם מועילים.</w:t>
      </w:r>
      <w:r>
        <w:rPr>
          <w:sz w:val="20"/>
          <w:szCs w:val="20"/>
          <w:rtl/>
        </w:rPr>
        <w:br/>
      </w:r>
      <w:r>
        <w:rPr>
          <w:rFonts w:hint="cs"/>
          <w:sz w:val="20"/>
          <w:szCs w:val="20"/>
          <w:rtl/>
        </w:rPr>
        <w:t xml:space="preserve">10. </w:t>
      </w:r>
      <w:r w:rsidRPr="00F47012">
        <w:rPr>
          <w:rFonts w:hint="cs"/>
          <w:b/>
          <w:bCs/>
          <w:sz w:val="20"/>
          <w:szCs w:val="20"/>
          <w:rtl/>
        </w:rPr>
        <w:t>פת"ש</w:t>
      </w:r>
      <w:r>
        <w:rPr>
          <w:rFonts w:hint="cs"/>
          <w:sz w:val="20"/>
          <w:szCs w:val="20"/>
          <w:rtl/>
        </w:rPr>
        <w:t>. ספק אם ז' נקיים בעת היותה שוטה מהני לה לזמן שהתפקחה.</w:t>
      </w:r>
      <w:r>
        <w:rPr>
          <w:sz w:val="20"/>
          <w:szCs w:val="20"/>
          <w:rtl/>
        </w:rPr>
        <w:br/>
      </w:r>
      <w:r>
        <w:rPr>
          <w:rFonts w:hint="cs"/>
          <w:sz w:val="20"/>
          <w:szCs w:val="20"/>
          <w:rtl/>
        </w:rPr>
        <w:t xml:space="preserve">11. </w:t>
      </w:r>
      <w:r w:rsidRPr="00F47012">
        <w:rPr>
          <w:rFonts w:hint="cs"/>
          <w:b/>
          <w:bCs/>
          <w:sz w:val="20"/>
          <w:szCs w:val="20"/>
          <w:rtl/>
        </w:rPr>
        <w:t>פת"ש</w:t>
      </w:r>
      <w:r>
        <w:rPr>
          <w:rFonts w:hint="cs"/>
          <w:sz w:val="20"/>
          <w:szCs w:val="20"/>
          <w:rtl/>
        </w:rPr>
        <w:t xml:space="preserve">. ז' נקיים לפני שראתה את החתן </w:t>
      </w:r>
      <w:r>
        <w:rPr>
          <w:sz w:val="20"/>
          <w:szCs w:val="20"/>
          <w:rtl/>
        </w:rPr>
        <w:t>–</w:t>
      </w:r>
      <w:r>
        <w:rPr>
          <w:rFonts w:hint="cs"/>
          <w:sz w:val="20"/>
          <w:szCs w:val="20"/>
          <w:rtl/>
        </w:rPr>
        <w:t xml:space="preserve"> מועילים.</w:t>
      </w:r>
      <w:r>
        <w:rPr>
          <w:sz w:val="20"/>
          <w:szCs w:val="20"/>
          <w:rtl/>
        </w:rPr>
        <w:br/>
      </w:r>
      <w:r>
        <w:rPr>
          <w:rFonts w:hint="cs"/>
          <w:sz w:val="20"/>
          <w:szCs w:val="20"/>
          <w:rtl/>
        </w:rPr>
        <w:t xml:space="preserve">12. </w:t>
      </w:r>
      <w:r w:rsidRPr="00F47012">
        <w:rPr>
          <w:rFonts w:hint="cs"/>
          <w:b/>
          <w:bCs/>
          <w:sz w:val="20"/>
          <w:szCs w:val="20"/>
          <w:rtl/>
        </w:rPr>
        <w:t>פת"ש</w:t>
      </w:r>
      <w:r>
        <w:rPr>
          <w:rFonts w:hint="cs"/>
          <w:sz w:val="20"/>
          <w:szCs w:val="20"/>
          <w:rtl/>
        </w:rPr>
        <w:t>. גם זקנה ושאר מסולקות דמים צריכות ז' נקיים.</w:t>
      </w:r>
      <w:r>
        <w:rPr>
          <w:sz w:val="20"/>
          <w:szCs w:val="20"/>
          <w:rtl/>
        </w:rPr>
        <w:br/>
      </w:r>
      <w:r>
        <w:rPr>
          <w:rFonts w:hint="cs"/>
          <w:sz w:val="20"/>
          <w:szCs w:val="20"/>
          <w:rtl/>
        </w:rPr>
        <w:t xml:space="preserve">13. </w:t>
      </w:r>
      <w:r w:rsidRPr="00F47012">
        <w:rPr>
          <w:rFonts w:hint="cs"/>
          <w:b/>
          <w:bCs/>
          <w:sz w:val="20"/>
          <w:szCs w:val="20"/>
          <w:rtl/>
        </w:rPr>
        <w:t>פת"ש</w:t>
      </w:r>
      <w:r>
        <w:rPr>
          <w:rFonts w:hint="cs"/>
          <w:sz w:val="20"/>
          <w:szCs w:val="20"/>
          <w:rtl/>
        </w:rPr>
        <w:t xml:space="preserve">. נואף ונואפת מעוברת שנישאים </w:t>
      </w:r>
      <w:r>
        <w:rPr>
          <w:sz w:val="20"/>
          <w:szCs w:val="20"/>
          <w:rtl/>
        </w:rPr>
        <w:t>–</w:t>
      </w:r>
      <w:r>
        <w:rPr>
          <w:rFonts w:hint="cs"/>
          <w:sz w:val="20"/>
          <w:szCs w:val="20"/>
          <w:rtl/>
        </w:rPr>
        <w:t xml:space="preserve"> צריכים ז' נקיים.</w:t>
      </w:r>
      <w:r>
        <w:rPr>
          <w:rFonts w:hint="cs"/>
          <w:sz w:val="20"/>
          <w:szCs w:val="20"/>
          <w:rtl/>
        </w:rPr>
        <w:br/>
        <w:t xml:space="preserve">14. </w:t>
      </w:r>
      <w:r w:rsidRPr="001A7E21">
        <w:rPr>
          <w:rFonts w:hint="cs"/>
          <w:b/>
          <w:bCs/>
          <w:sz w:val="20"/>
          <w:szCs w:val="20"/>
          <w:rtl/>
        </w:rPr>
        <w:t>ששבה"ל</w:t>
      </w:r>
      <w:r>
        <w:rPr>
          <w:rFonts w:hint="cs"/>
          <w:sz w:val="20"/>
          <w:szCs w:val="20"/>
          <w:rtl/>
        </w:rPr>
        <w:t>. בתולה תבדוק בזהירות שלא תכניס עמוק יותר מדי ותפצע את עצמה.</w:t>
      </w:r>
    </w:p>
    <w:p w:rsidR="00620060" w:rsidRDefault="00620060" w:rsidP="00620060">
      <w:pPr>
        <w:rPr>
          <w:sz w:val="20"/>
          <w:szCs w:val="20"/>
          <w:rtl/>
        </w:rPr>
      </w:pPr>
      <w:r>
        <w:rPr>
          <w:rFonts w:hint="cs"/>
          <w:b/>
          <w:bCs/>
          <w:sz w:val="20"/>
          <w:szCs w:val="20"/>
          <w:rtl/>
        </w:rPr>
        <w:t>הוספה</w:t>
      </w:r>
      <w:r>
        <w:rPr>
          <w:b/>
          <w:bCs/>
          <w:sz w:val="20"/>
          <w:szCs w:val="20"/>
          <w:rtl/>
        </w:rPr>
        <w:br/>
      </w:r>
      <w:r>
        <w:rPr>
          <w:rFonts w:hint="cs"/>
          <w:sz w:val="20"/>
          <w:szCs w:val="20"/>
          <w:u w:val="single"/>
          <w:rtl/>
        </w:rPr>
        <w:t>האם דם חימוד טמא מדאורייתא (ששבה"ל)</w:t>
      </w:r>
      <w:r>
        <w:rPr>
          <w:rFonts w:hint="cs"/>
          <w:sz w:val="20"/>
          <w:szCs w:val="20"/>
          <w:u w:val="single"/>
          <w:rtl/>
        </w:rPr>
        <w:br/>
      </w:r>
      <w:r w:rsidRPr="0027154D">
        <w:rPr>
          <w:rFonts w:hint="cs"/>
          <w:b/>
          <w:bCs/>
          <w:sz w:val="20"/>
          <w:szCs w:val="20"/>
          <w:rtl/>
        </w:rPr>
        <w:t xml:space="preserve">גמרא </w:t>
      </w:r>
      <w:r>
        <w:rPr>
          <w:rFonts w:hint="cs"/>
          <w:sz w:val="20"/>
          <w:szCs w:val="20"/>
          <w:rtl/>
        </w:rPr>
        <w:t>נידה (כ:) "</w:t>
      </w:r>
      <w:r w:rsidRPr="0027154D">
        <w:rPr>
          <w:rFonts w:cs="Arial" w:hint="cs"/>
          <w:sz w:val="20"/>
          <w:szCs w:val="20"/>
          <w:rtl/>
        </w:rPr>
        <w:t>ההיא</w:t>
      </w:r>
      <w:r w:rsidRPr="0027154D">
        <w:rPr>
          <w:rFonts w:cs="Arial"/>
          <w:sz w:val="20"/>
          <w:szCs w:val="20"/>
          <w:rtl/>
        </w:rPr>
        <w:t xml:space="preserve"> </w:t>
      </w:r>
      <w:r w:rsidRPr="0027154D">
        <w:rPr>
          <w:rFonts w:cs="Arial" w:hint="cs"/>
          <w:sz w:val="20"/>
          <w:szCs w:val="20"/>
          <w:rtl/>
        </w:rPr>
        <w:t>אתתא</w:t>
      </w:r>
      <w:r w:rsidRPr="0027154D">
        <w:rPr>
          <w:rFonts w:cs="Arial"/>
          <w:sz w:val="20"/>
          <w:szCs w:val="20"/>
          <w:rtl/>
        </w:rPr>
        <w:t xml:space="preserve"> </w:t>
      </w:r>
      <w:r w:rsidRPr="0027154D">
        <w:rPr>
          <w:rFonts w:cs="Arial" w:hint="cs"/>
          <w:sz w:val="20"/>
          <w:szCs w:val="20"/>
          <w:rtl/>
        </w:rPr>
        <w:t>דאייתא</w:t>
      </w:r>
      <w:r w:rsidRPr="0027154D">
        <w:rPr>
          <w:rFonts w:cs="Arial"/>
          <w:sz w:val="20"/>
          <w:szCs w:val="20"/>
          <w:rtl/>
        </w:rPr>
        <w:t xml:space="preserve"> </w:t>
      </w:r>
      <w:r w:rsidRPr="0027154D">
        <w:rPr>
          <w:rFonts w:cs="Arial" w:hint="cs"/>
          <w:sz w:val="20"/>
          <w:szCs w:val="20"/>
          <w:rtl/>
        </w:rPr>
        <w:t>דמא</w:t>
      </w:r>
      <w:r w:rsidRPr="0027154D">
        <w:rPr>
          <w:rFonts w:cs="Arial"/>
          <w:sz w:val="20"/>
          <w:szCs w:val="20"/>
          <w:rtl/>
        </w:rPr>
        <w:t xml:space="preserve"> </w:t>
      </w:r>
      <w:r w:rsidRPr="0027154D">
        <w:rPr>
          <w:rFonts w:cs="Arial" w:hint="cs"/>
          <w:sz w:val="20"/>
          <w:szCs w:val="20"/>
          <w:rtl/>
        </w:rPr>
        <w:t>לקמיה</w:t>
      </w:r>
      <w:r w:rsidRPr="0027154D">
        <w:rPr>
          <w:rFonts w:cs="Arial"/>
          <w:sz w:val="20"/>
          <w:szCs w:val="20"/>
          <w:rtl/>
        </w:rPr>
        <w:t xml:space="preserve"> </w:t>
      </w:r>
      <w:r w:rsidRPr="0027154D">
        <w:rPr>
          <w:rFonts w:cs="Arial" w:hint="cs"/>
          <w:sz w:val="20"/>
          <w:szCs w:val="20"/>
          <w:rtl/>
        </w:rPr>
        <w:t>דרבי</w:t>
      </w:r>
      <w:r w:rsidRPr="0027154D">
        <w:rPr>
          <w:rFonts w:cs="Arial"/>
          <w:sz w:val="20"/>
          <w:szCs w:val="20"/>
          <w:rtl/>
        </w:rPr>
        <w:t xml:space="preserve"> </w:t>
      </w:r>
      <w:r w:rsidRPr="0027154D">
        <w:rPr>
          <w:rFonts w:cs="Arial" w:hint="cs"/>
          <w:sz w:val="20"/>
          <w:szCs w:val="20"/>
          <w:rtl/>
        </w:rPr>
        <w:t>אלעזר</w:t>
      </w:r>
      <w:r w:rsidRPr="0027154D">
        <w:rPr>
          <w:rFonts w:cs="Arial"/>
          <w:sz w:val="20"/>
          <w:szCs w:val="20"/>
          <w:rtl/>
        </w:rPr>
        <w:t xml:space="preserve">, </w:t>
      </w:r>
      <w:r w:rsidRPr="0027154D">
        <w:rPr>
          <w:rFonts w:cs="Arial" w:hint="cs"/>
          <w:sz w:val="20"/>
          <w:szCs w:val="20"/>
          <w:rtl/>
        </w:rPr>
        <w:t>הוה</w:t>
      </w:r>
      <w:r w:rsidRPr="0027154D">
        <w:rPr>
          <w:rFonts w:cs="Arial"/>
          <w:sz w:val="20"/>
          <w:szCs w:val="20"/>
          <w:rtl/>
        </w:rPr>
        <w:t xml:space="preserve"> </w:t>
      </w:r>
      <w:r w:rsidRPr="0027154D">
        <w:rPr>
          <w:rFonts w:cs="Arial" w:hint="cs"/>
          <w:sz w:val="20"/>
          <w:szCs w:val="20"/>
          <w:rtl/>
        </w:rPr>
        <w:t>יתיב</w:t>
      </w:r>
      <w:r w:rsidRPr="0027154D">
        <w:rPr>
          <w:rFonts w:cs="Arial"/>
          <w:sz w:val="20"/>
          <w:szCs w:val="20"/>
          <w:rtl/>
        </w:rPr>
        <w:t xml:space="preserve"> </w:t>
      </w:r>
      <w:r w:rsidRPr="0027154D">
        <w:rPr>
          <w:rFonts w:cs="Arial" w:hint="cs"/>
          <w:sz w:val="20"/>
          <w:szCs w:val="20"/>
          <w:rtl/>
        </w:rPr>
        <w:t>רבי</w:t>
      </w:r>
      <w:r w:rsidRPr="0027154D">
        <w:rPr>
          <w:rFonts w:cs="Arial"/>
          <w:sz w:val="20"/>
          <w:szCs w:val="20"/>
          <w:rtl/>
        </w:rPr>
        <w:t xml:space="preserve"> </w:t>
      </w:r>
      <w:r w:rsidRPr="0027154D">
        <w:rPr>
          <w:rFonts w:cs="Arial" w:hint="cs"/>
          <w:sz w:val="20"/>
          <w:szCs w:val="20"/>
          <w:rtl/>
        </w:rPr>
        <w:t>אמי</w:t>
      </w:r>
      <w:r w:rsidRPr="0027154D">
        <w:rPr>
          <w:rFonts w:cs="Arial"/>
          <w:sz w:val="20"/>
          <w:szCs w:val="20"/>
          <w:rtl/>
        </w:rPr>
        <w:t xml:space="preserve"> </w:t>
      </w:r>
      <w:r w:rsidRPr="0027154D">
        <w:rPr>
          <w:rFonts w:cs="Arial" w:hint="cs"/>
          <w:sz w:val="20"/>
          <w:szCs w:val="20"/>
          <w:rtl/>
        </w:rPr>
        <w:t>קמיה</w:t>
      </w:r>
      <w:r w:rsidRPr="0027154D">
        <w:rPr>
          <w:rFonts w:cs="Arial"/>
          <w:sz w:val="20"/>
          <w:szCs w:val="20"/>
          <w:rtl/>
        </w:rPr>
        <w:t xml:space="preserve">, </w:t>
      </w:r>
      <w:r w:rsidRPr="0027154D">
        <w:rPr>
          <w:rFonts w:cs="Arial" w:hint="cs"/>
          <w:sz w:val="20"/>
          <w:szCs w:val="20"/>
          <w:rtl/>
        </w:rPr>
        <w:t>ארחיה</w:t>
      </w:r>
      <w:r w:rsidRPr="0027154D">
        <w:rPr>
          <w:rFonts w:cs="Arial"/>
          <w:sz w:val="20"/>
          <w:szCs w:val="20"/>
          <w:rtl/>
        </w:rPr>
        <w:t xml:space="preserve">, </w:t>
      </w:r>
      <w:r w:rsidRPr="0027154D">
        <w:rPr>
          <w:rFonts w:cs="Arial" w:hint="cs"/>
          <w:sz w:val="20"/>
          <w:szCs w:val="20"/>
          <w:rtl/>
        </w:rPr>
        <w:t>אמר</w:t>
      </w:r>
      <w:r w:rsidRPr="0027154D">
        <w:rPr>
          <w:rFonts w:cs="Arial"/>
          <w:sz w:val="20"/>
          <w:szCs w:val="20"/>
          <w:rtl/>
        </w:rPr>
        <w:t xml:space="preserve"> </w:t>
      </w:r>
      <w:r w:rsidRPr="0027154D">
        <w:rPr>
          <w:rFonts w:cs="Arial" w:hint="cs"/>
          <w:sz w:val="20"/>
          <w:szCs w:val="20"/>
          <w:rtl/>
        </w:rPr>
        <w:t>לה</w:t>
      </w:r>
      <w:r w:rsidRPr="0027154D">
        <w:rPr>
          <w:rFonts w:cs="Arial"/>
          <w:sz w:val="20"/>
          <w:szCs w:val="20"/>
          <w:rtl/>
        </w:rPr>
        <w:t xml:space="preserve">: </w:t>
      </w:r>
      <w:r w:rsidRPr="0027154D">
        <w:rPr>
          <w:rFonts w:cs="Arial" w:hint="cs"/>
          <w:sz w:val="20"/>
          <w:szCs w:val="20"/>
          <w:rtl/>
        </w:rPr>
        <w:t>האי</w:t>
      </w:r>
      <w:r w:rsidRPr="0027154D">
        <w:rPr>
          <w:rFonts w:cs="Arial"/>
          <w:sz w:val="20"/>
          <w:szCs w:val="20"/>
          <w:rtl/>
        </w:rPr>
        <w:t xml:space="preserve"> </w:t>
      </w:r>
      <w:r w:rsidRPr="0027154D">
        <w:rPr>
          <w:rFonts w:cs="Arial" w:hint="cs"/>
          <w:sz w:val="20"/>
          <w:szCs w:val="20"/>
          <w:rtl/>
        </w:rPr>
        <w:t>דם</w:t>
      </w:r>
      <w:r w:rsidRPr="0027154D">
        <w:rPr>
          <w:rFonts w:cs="Arial"/>
          <w:sz w:val="20"/>
          <w:szCs w:val="20"/>
          <w:rtl/>
        </w:rPr>
        <w:t xml:space="preserve"> </w:t>
      </w:r>
      <w:r w:rsidRPr="0027154D">
        <w:rPr>
          <w:rFonts w:cs="Arial" w:hint="cs"/>
          <w:sz w:val="20"/>
          <w:szCs w:val="20"/>
          <w:rtl/>
        </w:rPr>
        <w:t>חימוד</w:t>
      </w:r>
      <w:r w:rsidRPr="0027154D">
        <w:rPr>
          <w:rFonts w:cs="Arial"/>
          <w:sz w:val="20"/>
          <w:szCs w:val="20"/>
          <w:rtl/>
        </w:rPr>
        <w:t xml:space="preserve"> </w:t>
      </w:r>
      <w:r w:rsidRPr="0027154D">
        <w:rPr>
          <w:rFonts w:cs="Arial" w:hint="cs"/>
          <w:sz w:val="20"/>
          <w:szCs w:val="20"/>
          <w:rtl/>
        </w:rPr>
        <w:t>הוא</w:t>
      </w:r>
      <w:r>
        <w:rPr>
          <w:rFonts w:cs="Arial"/>
          <w:sz w:val="20"/>
          <w:szCs w:val="20"/>
          <w:rtl/>
        </w:rPr>
        <w:t>".</w:t>
      </w:r>
    </w:p>
    <w:p w:rsidR="00620060" w:rsidRDefault="00620060" w:rsidP="00620060">
      <w:pPr>
        <w:rPr>
          <w:sz w:val="20"/>
          <w:szCs w:val="20"/>
          <w:rtl/>
        </w:rPr>
      </w:pPr>
      <w:r>
        <w:rPr>
          <w:rFonts w:hint="cs"/>
          <w:sz w:val="20"/>
          <w:szCs w:val="20"/>
          <w:u w:val="single"/>
          <w:rtl/>
        </w:rPr>
        <w:t>שיטות הראשונים</w:t>
      </w:r>
      <w:r>
        <w:rPr>
          <w:sz w:val="20"/>
          <w:szCs w:val="20"/>
          <w:u w:val="single"/>
          <w:rtl/>
        </w:rPr>
        <w:br/>
      </w:r>
      <w:r>
        <w:rPr>
          <w:rFonts w:hint="cs"/>
          <w:sz w:val="20"/>
          <w:szCs w:val="20"/>
          <w:rtl/>
        </w:rPr>
        <w:t xml:space="preserve">א. </w:t>
      </w:r>
      <w:r w:rsidRPr="0027154D">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דם חימוד טמא מדאורייתא, ומה שאמר רבי אלעזר שדם זה הוא דם חימוד אינו מחמת שטהור, אלא הראה חכמתו וכוח חוש הריח שאפשר להבחין בין דם נידות לדם חימוד.</w:t>
      </w:r>
      <w:r>
        <w:rPr>
          <w:sz w:val="20"/>
          <w:szCs w:val="20"/>
          <w:rtl/>
        </w:rPr>
        <w:br/>
      </w:r>
      <w:r>
        <w:rPr>
          <w:rFonts w:hint="cs"/>
          <w:sz w:val="20"/>
          <w:szCs w:val="20"/>
          <w:rtl/>
        </w:rPr>
        <w:t xml:space="preserve">ב. </w:t>
      </w:r>
      <w:r w:rsidRPr="0027154D">
        <w:rPr>
          <w:rFonts w:hint="cs"/>
          <w:b/>
          <w:bCs/>
          <w:sz w:val="20"/>
          <w:szCs w:val="20"/>
          <w:rtl/>
        </w:rPr>
        <w:t>ר"ן ומאירי</w:t>
      </w:r>
      <w:r>
        <w:rPr>
          <w:rFonts w:hint="cs"/>
          <w:sz w:val="20"/>
          <w:szCs w:val="20"/>
          <w:rtl/>
        </w:rPr>
        <w:t xml:space="preserve"> </w:t>
      </w:r>
      <w:r>
        <w:rPr>
          <w:sz w:val="20"/>
          <w:szCs w:val="20"/>
          <w:rtl/>
        </w:rPr>
        <w:t>–</w:t>
      </w:r>
      <w:r>
        <w:rPr>
          <w:rFonts w:hint="cs"/>
          <w:sz w:val="20"/>
          <w:szCs w:val="20"/>
          <w:rtl/>
        </w:rPr>
        <w:t xml:space="preserve"> דם חימוד טהור אפילו מדרבנן, כפי שנראה מהוראתו של רבי אלעזר לעיל, אלא שחכמים טימאו מחשש שמא יצא עמו גם נידות.</w:t>
      </w:r>
      <w:r>
        <w:rPr>
          <w:rFonts w:hint="cs"/>
          <w:sz w:val="20"/>
          <w:szCs w:val="20"/>
          <w:rtl/>
        </w:rPr>
        <w:br/>
        <w:t xml:space="preserve">ג. </w:t>
      </w:r>
      <w:r>
        <w:rPr>
          <w:rFonts w:hint="cs"/>
          <w:b/>
          <w:bCs/>
          <w:sz w:val="20"/>
          <w:szCs w:val="20"/>
          <w:rtl/>
        </w:rPr>
        <w:t xml:space="preserve">רשב"ם </w:t>
      </w:r>
      <w:r w:rsidRPr="0027154D">
        <w:rPr>
          <w:rFonts w:hint="cs"/>
          <w:sz w:val="18"/>
          <w:szCs w:val="18"/>
          <w:rtl/>
        </w:rPr>
        <w:t xml:space="preserve">(הו"ד </w:t>
      </w:r>
      <w:r w:rsidRPr="0027154D">
        <w:rPr>
          <w:rFonts w:hint="cs"/>
          <w:b/>
          <w:bCs/>
          <w:sz w:val="18"/>
          <w:szCs w:val="18"/>
          <w:rtl/>
        </w:rPr>
        <w:t>באור זרוע</w:t>
      </w:r>
      <w:r w:rsidRPr="0027154D">
        <w:rPr>
          <w:rFonts w:hint="cs"/>
          <w:sz w:val="18"/>
          <w:szCs w:val="18"/>
          <w:rtl/>
        </w:rPr>
        <w:t xml:space="preserve">) </w:t>
      </w:r>
      <w:r>
        <w:rPr>
          <w:sz w:val="20"/>
          <w:szCs w:val="20"/>
          <w:rtl/>
        </w:rPr>
        <w:t>–</w:t>
      </w:r>
      <w:r>
        <w:rPr>
          <w:rFonts w:hint="cs"/>
          <w:sz w:val="20"/>
          <w:szCs w:val="20"/>
          <w:rtl/>
        </w:rPr>
        <w:t xml:space="preserve"> דם חימוד טהור, אבל חכמים גזרו עליו שיטמא.</w:t>
      </w:r>
    </w:p>
    <w:p w:rsidR="00620060" w:rsidRDefault="00620060" w:rsidP="00620060">
      <w:pPr>
        <w:rPr>
          <w:sz w:val="20"/>
          <w:szCs w:val="20"/>
          <w:rtl/>
        </w:rPr>
      </w:pPr>
      <w:r>
        <w:rPr>
          <w:sz w:val="20"/>
          <w:szCs w:val="20"/>
          <w:rtl/>
        </w:rPr>
        <w:br/>
      </w:r>
      <w:r>
        <w:rPr>
          <w:rFonts w:hint="cs"/>
          <w:b/>
          <w:bCs/>
          <w:sz w:val="20"/>
          <w:szCs w:val="20"/>
          <w:rtl/>
        </w:rPr>
        <w:t xml:space="preserve">סעיף ב </w:t>
      </w:r>
      <w:r>
        <w:rPr>
          <w:b/>
          <w:bCs/>
          <w:sz w:val="20"/>
          <w:szCs w:val="20"/>
          <w:rtl/>
        </w:rPr>
        <w:t>–</w:t>
      </w:r>
      <w:r>
        <w:rPr>
          <w:rFonts w:hint="cs"/>
          <w:b/>
          <w:bCs/>
          <w:sz w:val="20"/>
          <w:szCs w:val="20"/>
          <w:rtl/>
        </w:rPr>
        <w:t xml:space="preserve"> מתי מונים את ז' הנקיים</w:t>
      </w:r>
      <w:r>
        <w:rPr>
          <w:b/>
          <w:bCs/>
          <w:sz w:val="20"/>
          <w:szCs w:val="20"/>
          <w:rtl/>
        </w:rPr>
        <w:br/>
      </w:r>
      <w:r>
        <w:rPr>
          <w:rFonts w:hint="cs"/>
          <w:b/>
          <w:bCs/>
          <w:sz w:val="20"/>
          <w:szCs w:val="20"/>
          <w:rtl/>
        </w:rPr>
        <w:t>שיטות הראשונים</w:t>
      </w:r>
      <w:r>
        <w:rPr>
          <w:b/>
          <w:bCs/>
          <w:sz w:val="20"/>
          <w:szCs w:val="20"/>
          <w:rtl/>
        </w:rPr>
        <w:br/>
      </w:r>
      <w:r>
        <w:rPr>
          <w:rFonts w:hint="cs"/>
          <w:sz w:val="20"/>
          <w:szCs w:val="20"/>
          <w:rtl/>
        </w:rPr>
        <w:t xml:space="preserve">א. </w:t>
      </w:r>
      <w:r w:rsidRPr="000D7778">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ניתן למנות את ז' הנקיים משעה שמתחילים להכין את צרכי החופה, אך לא משעת תביעה למרות שהתקדשה כבר, וכ"פ </w:t>
      </w:r>
      <w:r w:rsidRPr="000D7778">
        <w:rPr>
          <w:rFonts w:hint="cs"/>
          <w:b/>
          <w:bCs/>
          <w:sz w:val="20"/>
          <w:szCs w:val="20"/>
          <w:rtl/>
        </w:rPr>
        <w:t>המחבר</w:t>
      </w:r>
      <w:r w:rsidRPr="004866EE">
        <w:rPr>
          <w:rStyle w:val="a5"/>
          <w:sz w:val="20"/>
          <w:szCs w:val="20"/>
          <w:rtl/>
        </w:rPr>
        <w:footnoteReference w:id="373"/>
      </w:r>
      <w:r>
        <w:rPr>
          <w:rFonts w:hint="cs"/>
          <w:sz w:val="20"/>
          <w:szCs w:val="20"/>
          <w:rtl/>
        </w:rPr>
        <w:t xml:space="preserve">. </w:t>
      </w:r>
      <w:r>
        <w:rPr>
          <w:sz w:val="20"/>
          <w:szCs w:val="20"/>
          <w:rtl/>
        </w:rPr>
        <w:br/>
      </w:r>
      <w:r w:rsidRPr="000D7778">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בשעת תביעה אין כל כך חימוד, ולכן לא מהני למנות אז ז' נקיים.</w:t>
      </w:r>
      <w:r>
        <w:rPr>
          <w:sz w:val="20"/>
          <w:szCs w:val="20"/>
          <w:rtl/>
        </w:rPr>
        <w:br/>
      </w:r>
      <w:r>
        <w:rPr>
          <w:rFonts w:hint="cs"/>
          <w:sz w:val="20"/>
          <w:szCs w:val="20"/>
          <w:rtl/>
        </w:rPr>
        <w:t xml:space="preserve">ב. </w:t>
      </w:r>
      <w:r w:rsidRPr="000D7778">
        <w:rPr>
          <w:rFonts w:hint="cs"/>
          <w:b/>
          <w:bCs/>
          <w:sz w:val="20"/>
          <w:szCs w:val="20"/>
          <w:rtl/>
        </w:rPr>
        <w:t>רשב"ם</w:t>
      </w:r>
      <w:r>
        <w:rPr>
          <w:rFonts w:hint="cs"/>
          <w:sz w:val="20"/>
          <w:szCs w:val="20"/>
          <w:rtl/>
        </w:rPr>
        <w:t xml:space="preserve"> </w:t>
      </w:r>
      <w:r>
        <w:rPr>
          <w:sz w:val="20"/>
          <w:szCs w:val="20"/>
          <w:rtl/>
        </w:rPr>
        <w:t>–</w:t>
      </w:r>
      <w:r>
        <w:rPr>
          <w:rFonts w:hint="cs"/>
          <w:sz w:val="20"/>
          <w:szCs w:val="20"/>
          <w:rtl/>
        </w:rPr>
        <w:t xml:space="preserve"> צריך למנות ז' נקיים סמוך לבעילת מצווה, וכ"פ </w:t>
      </w:r>
      <w:r w:rsidRPr="000D7778">
        <w:rPr>
          <w:rFonts w:hint="cs"/>
          <w:b/>
          <w:bCs/>
          <w:sz w:val="20"/>
          <w:szCs w:val="20"/>
          <w:rtl/>
        </w:rPr>
        <w:t>הרמ"א</w:t>
      </w:r>
      <w:r>
        <w:rPr>
          <w:rFonts w:hint="cs"/>
          <w:sz w:val="20"/>
          <w:szCs w:val="20"/>
          <w:rtl/>
        </w:rPr>
        <w:t>.</w:t>
      </w:r>
      <w:r>
        <w:rPr>
          <w:rFonts w:hint="cs"/>
          <w:sz w:val="20"/>
          <w:szCs w:val="20"/>
          <w:rtl/>
        </w:rPr>
        <w:br/>
        <w:t xml:space="preserve">מוסיף </w:t>
      </w:r>
      <w:r w:rsidRPr="000D7778">
        <w:rPr>
          <w:rFonts w:hint="cs"/>
          <w:b/>
          <w:bCs/>
          <w:sz w:val="20"/>
          <w:szCs w:val="20"/>
          <w:rtl/>
        </w:rPr>
        <w:t>הגה"מ</w:t>
      </w:r>
      <w:r>
        <w:rPr>
          <w:rFonts w:hint="cs"/>
          <w:sz w:val="20"/>
          <w:szCs w:val="20"/>
          <w:rtl/>
        </w:rPr>
        <w:t xml:space="preserve"> </w:t>
      </w:r>
      <w:r>
        <w:rPr>
          <w:sz w:val="20"/>
          <w:szCs w:val="20"/>
          <w:rtl/>
        </w:rPr>
        <w:t>–</w:t>
      </w:r>
      <w:r>
        <w:rPr>
          <w:rFonts w:hint="cs"/>
          <w:sz w:val="20"/>
          <w:szCs w:val="20"/>
          <w:rtl/>
        </w:rPr>
        <w:t xml:space="preserve"> אם לא נבעלה לאחר ז"נ, צריכה לבדוק עצמה בכל יום עד שתיבעל, וכ"פ </w:t>
      </w:r>
      <w:r w:rsidRPr="000D7778">
        <w:rPr>
          <w:rFonts w:hint="cs"/>
          <w:b/>
          <w:bCs/>
          <w:sz w:val="20"/>
          <w:szCs w:val="20"/>
          <w:rtl/>
        </w:rPr>
        <w:t>הרמ"א</w:t>
      </w:r>
      <w:r>
        <w:rPr>
          <w:rFonts w:hint="cs"/>
          <w:sz w:val="20"/>
          <w:szCs w:val="20"/>
          <w:rtl/>
        </w:rPr>
        <w:t xml:space="preserve"> לעיקר הדין.</w:t>
      </w:r>
      <w:r>
        <w:rPr>
          <w:sz w:val="20"/>
          <w:szCs w:val="20"/>
          <w:rtl/>
        </w:rPr>
        <w:br/>
      </w:r>
      <w:r w:rsidRPr="000D7778">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משעת התביעה עד הבעילה עצמה יש חימוד וחוששים שמא תראה באותם הימים.</w:t>
      </w:r>
      <w:r>
        <w:rPr>
          <w:rStyle w:val="a5"/>
          <w:sz w:val="20"/>
          <w:szCs w:val="20"/>
          <w:rtl/>
        </w:rPr>
        <w:footnoteReference w:id="374"/>
      </w:r>
    </w:p>
    <w:p w:rsidR="00620060" w:rsidRPr="00640BBD" w:rsidRDefault="00620060" w:rsidP="00620060">
      <w:pPr>
        <w:rPr>
          <w:sz w:val="20"/>
          <w:szCs w:val="20"/>
          <w:rtl/>
        </w:rPr>
      </w:pPr>
      <w:r>
        <w:rPr>
          <w:rFonts w:hint="cs"/>
          <w:b/>
          <w:bCs/>
          <w:sz w:val="20"/>
          <w:szCs w:val="20"/>
          <w:rtl/>
        </w:rPr>
        <w:lastRenderedPageBreak/>
        <w:t>מנהג שנהגו בדין זה</w:t>
      </w:r>
      <w:r>
        <w:rPr>
          <w:b/>
          <w:bCs/>
          <w:sz w:val="20"/>
          <w:szCs w:val="20"/>
          <w:rtl/>
        </w:rPr>
        <w:br/>
      </w:r>
      <w:r>
        <w:rPr>
          <w:rFonts w:hint="cs"/>
          <w:b/>
          <w:bCs/>
          <w:sz w:val="20"/>
          <w:szCs w:val="20"/>
          <w:rtl/>
        </w:rPr>
        <w:t xml:space="preserve">דרכי משה </w:t>
      </w:r>
      <w:r>
        <w:rPr>
          <w:sz w:val="20"/>
          <w:szCs w:val="20"/>
          <w:rtl/>
        </w:rPr>
        <w:t>–</w:t>
      </w:r>
      <w:r>
        <w:rPr>
          <w:rFonts w:hint="cs"/>
          <w:sz w:val="20"/>
          <w:szCs w:val="20"/>
          <w:rtl/>
        </w:rPr>
        <w:t xml:space="preserve"> נהגו שהכלה טובלת בליל ד' ונבעלת במוצ"ש, ואם לא נבעלה במוצ"ש יש לה להמשיך ולבדוק עצמה, וכ"כ </w:t>
      </w:r>
      <w:r w:rsidRPr="00C519F9">
        <w:rPr>
          <w:rFonts w:hint="cs"/>
          <w:b/>
          <w:bCs/>
          <w:sz w:val="20"/>
          <w:szCs w:val="20"/>
          <w:rtl/>
        </w:rPr>
        <w:t>בשו"ע</w:t>
      </w:r>
      <w:r>
        <w:rPr>
          <w:rFonts w:hint="cs"/>
          <w:sz w:val="20"/>
          <w:szCs w:val="20"/>
          <w:rtl/>
        </w:rPr>
        <w:t>.</w:t>
      </w:r>
      <w:r>
        <w:rPr>
          <w:rStyle w:val="a5"/>
          <w:sz w:val="20"/>
          <w:szCs w:val="20"/>
          <w:rtl/>
        </w:rPr>
        <w:footnoteReference w:id="375"/>
      </w:r>
      <w:r>
        <w:rPr>
          <w:sz w:val="20"/>
          <w:szCs w:val="20"/>
          <w:rtl/>
        </w:rPr>
        <w:br/>
      </w:r>
      <w:r>
        <w:rPr>
          <w:rFonts w:hint="cs"/>
          <w:sz w:val="20"/>
          <w:szCs w:val="20"/>
          <w:rtl/>
        </w:rPr>
        <w:t xml:space="preserve">טעם המנהג </w:t>
      </w:r>
      <w:r>
        <w:rPr>
          <w:sz w:val="20"/>
          <w:szCs w:val="20"/>
          <w:rtl/>
        </w:rPr>
        <w:t>–</w:t>
      </w:r>
      <w:r>
        <w:rPr>
          <w:rFonts w:hint="cs"/>
          <w:sz w:val="20"/>
          <w:szCs w:val="20"/>
          <w:rtl/>
        </w:rPr>
        <w:t xml:space="preserve"> בזמן התלמוד היו נושאים נשים ביום רביעי, ולכן השתרש המנהג לטבול בליל ד' סמוך לחופה.</w:t>
      </w:r>
    </w:p>
    <w:p w:rsidR="00620060" w:rsidRDefault="00620060" w:rsidP="00620060">
      <w:pPr>
        <w:rPr>
          <w:sz w:val="18"/>
          <w:szCs w:val="18"/>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9F5931">
        <w:rPr>
          <w:rFonts w:cs="Arial" w:hint="cs"/>
          <w:sz w:val="20"/>
          <w:szCs w:val="20"/>
          <w:rtl/>
        </w:rPr>
        <w:t>שבעת</w:t>
      </w:r>
      <w:r w:rsidRPr="009F5931">
        <w:rPr>
          <w:rFonts w:cs="Arial"/>
          <w:sz w:val="20"/>
          <w:szCs w:val="20"/>
          <w:rtl/>
        </w:rPr>
        <w:t xml:space="preserve"> </w:t>
      </w:r>
      <w:r w:rsidRPr="009F5931">
        <w:rPr>
          <w:rFonts w:cs="Arial" w:hint="cs"/>
          <w:sz w:val="20"/>
          <w:szCs w:val="20"/>
          <w:rtl/>
        </w:rPr>
        <w:t>ימים</w:t>
      </w:r>
      <w:r w:rsidRPr="009F5931">
        <w:rPr>
          <w:rFonts w:cs="Arial"/>
          <w:sz w:val="20"/>
          <w:szCs w:val="20"/>
          <w:rtl/>
        </w:rPr>
        <w:t xml:space="preserve"> </w:t>
      </w:r>
      <w:r w:rsidRPr="009F5931">
        <w:rPr>
          <w:rFonts w:cs="Arial" w:hint="cs"/>
          <w:sz w:val="20"/>
          <w:szCs w:val="20"/>
          <w:rtl/>
        </w:rPr>
        <w:t>הללו</w:t>
      </w:r>
      <w:r w:rsidRPr="009F5931">
        <w:rPr>
          <w:rFonts w:cs="Arial"/>
          <w:sz w:val="20"/>
          <w:szCs w:val="20"/>
          <w:rtl/>
        </w:rPr>
        <w:t xml:space="preserve"> </w:t>
      </w:r>
      <w:r w:rsidRPr="009F5931">
        <w:rPr>
          <w:rFonts w:cs="Arial" w:hint="cs"/>
          <w:sz w:val="20"/>
          <w:szCs w:val="20"/>
          <w:rtl/>
        </w:rPr>
        <w:t>מונים</w:t>
      </w:r>
      <w:r w:rsidRPr="009F5931">
        <w:rPr>
          <w:rFonts w:cs="Arial"/>
          <w:sz w:val="20"/>
          <w:szCs w:val="20"/>
          <w:rtl/>
        </w:rPr>
        <w:t xml:space="preserve"> </w:t>
      </w:r>
      <w:r w:rsidRPr="009F5931">
        <w:rPr>
          <w:rFonts w:cs="Arial" w:hint="cs"/>
          <w:sz w:val="20"/>
          <w:szCs w:val="20"/>
          <w:rtl/>
        </w:rPr>
        <w:t>אות</w:t>
      </w:r>
      <w:r>
        <w:rPr>
          <w:rFonts w:cs="Arial" w:hint="cs"/>
          <w:sz w:val="20"/>
          <w:szCs w:val="20"/>
          <w:rtl/>
        </w:rPr>
        <w:t>ם</w:t>
      </w:r>
      <w:r w:rsidRPr="009F5931">
        <w:rPr>
          <w:rFonts w:cs="Arial"/>
          <w:sz w:val="20"/>
          <w:szCs w:val="20"/>
          <w:rtl/>
        </w:rPr>
        <w:t xml:space="preserve"> </w:t>
      </w:r>
      <w:r w:rsidRPr="009F5931">
        <w:rPr>
          <w:rFonts w:cs="Arial" w:hint="cs"/>
          <w:sz w:val="20"/>
          <w:szCs w:val="20"/>
          <w:rtl/>
        </w:rPr>
        <w:t>משעה</w:t>
      </w:r>
      <w:r w:rsidRPr="009F5931">
        <w:rPr>
          <w:rFonts w:cs="Arial"/>
          <w:sz w:val="20"/>
          <w:szCs w:val="20"/>
          <w:rtl/>
        </w:rPr>
        <w:t xml:space="preserve"> </w:t>
      </w:r>
      <w:r w:rsidRPr="009F5931">
        <w:rPr>
          <w:rFonts w:cs="Arial" w:hint="cs"/>
          <w:sz w:val="20"/>
          <w:szCs w:val="20"/>
          <w:rtl/>
        </w:rPr>
        <w:t>שהיא</w:t>
      </w:r>
      <w:r w:rsidRPr="009F5931">
        <w:rPr>
          <w:rFonts w:cs="Arial"/>
          <w:sz w:val="20"/>
          <w:szCs w:val="20"/>
          <w:rtl/>
        </w:rPr>
        <w:t xml:space="preserve"> </w:t>
      </w:r>
      <w:r w:rsidRPr="009F5931">
        <w:rPr>
          <w:rFonts w:cs="Arial" w:hint="cs"/>
          <w:sz w:val="20"/>
          <w:szCs w:val="20"/>
          <w:rtl/>
        </w:rPr>
        <w:t>סומכת</w:t>
      </w:r>
      <w:r w:rsidRPr="009F5931">
        <w:rPr>
          <w:rFonts w:cs="Arial"/>
          <w:sz w:val="20"/>
          <w:szCs w:val="20"/>
          <w:rtl/>
        </w:rPr>
        <w:t xml:space="preserve"> </w:t>
      </w:r>
      <w:r w:rsidRPr="009F5931">
        <w:rPr>
          <w:rFonts w:cs="Arial" w:hint="cs"/>
          <w:sz w:val="20"/>
          <w:szCs w:val="20"/>
          <w:rtl/>
        </w:rPr>
        <w:t>בדעתה</w:t>
      </w:r>
      <w:r w:rsidRPr="009F5931">
        <w:rPr>
          <w:rFonts w:cs="Arial"/>
          <w:sz w:val="20"/>
          <w:szCs w:val="20"/>
          <w:rtl/>
        </w:rPr>
        <w:t xml:space="preserve"> </w:t>
      </w:r>
      <w:r w:rsidRPr="009F5931">
        <w:rPr>
          <w:rFonts w:cs="Arial" w:hint="cs"/>
          <w:sz w:val="20"/>
          <w:szCs w:val="20"/>
          <w:rtl/>
        </w:rPr>
        <w:t>ומכינה</w:t>
      </w:r>
      <w:r w:rsidRPr="009F5931">
        <w:rPr>
          <w:rFonts w:cs="Arial"/>
          <w:sz w:val="20"/>
          <w:szCs w:val="20"/>
          <w:rtl/>
        </w:rPr>
        <w:t xml:space="preserve"> </w:t>
      </w:r>
      <w:r w:rsidRPr="009F5931">
        <w:rPr>
          <w:rFonts w:cs="Arial" w:hint="cs"/>
          <w:sz w:val="20"/>
          <w:szCs w:val="20"/>
          <w:rtl/>
        </w:rPr>
        <w:t>עצמה</w:t>
      </w:r>
      <w:r w:rsidRPr="009F5931">
        <w:rPr>
          <w:rFonts w:cs="Arial"/>
          <w:sz w:val="20"/>
          <w:szCs w:val="20"/>
          <w:rtl/>
        </w:rPr>
        <w:t xml:space="preserve"> </w:t>
      </w:r>
      <w:r w:rsidRPr="009F5931">
        <w:rPr>
          <w:rFonts w:cs="Arial" w:hint="cs"/>
          <w:sz w:val="20"/>
          <w:szCs w:val="20"/>
          <w:rtl/>
        </w:rPr>
        <w:t>לחופה</w:t>
      </w:r>
      <w:r w:rsidRPr="009F5931">
        <w:rPr>
          <w:rFonts w:cs="Arial"/>
          <w:sz w:val="20"/>
          <w:szCs w:val="20"/>
          <w:rtl/>
        </w:rPr>
        <w:t xml:space="preserve">, </w:t>
      </w:r>
      <w:r w:rsidRPr="009F5931">
        <w:rPr>
          <w:rFonts w:cs="Arial" w:hint="cs"/>
          <w:sz w:val="20"/>
          <w:szCs w:val="20"/>
          <w:rtl/>
        </w:rPr>
        <w:t>אף</w:t>
      </w:r>
      <w:r w:rsidRPr="009F5931">
        <w:rPr>
          <w:rFonts w:cs="Arial"/>
          <w:sz w:val="20"/>
          <w:szCs w:val="20"/>
          <w:rtl/>
        </w:rPr>
        <w:t xml:space="preserve"> </w:t>
      </w:r>
      <w:r w:rsidRPr="009F5931">
        <w:rPr>
          <w:rFonts w:cs="Arial" w:hint="cs"/>
          <w:sz w:val="20"/>
          <w:szCs w:val="20"/>
          <w:rtl/>
        </w:rPr>
        <w:t>על</w:t>
      </w:r>
      <w:r w:rsidRPr="009F5931">
        <w:rPr>
          <w:rFonts w:cs="Arial"/>
          <w:sz w:val="20"/>
          <w:szCs w:val="20"/>
          <w:rtl/>
        </w:rPr>
        <w:t xml:space="preserve"> </w:t>
      </w:r>
      <w:r w:rsidRPr="009F5931">
        <w:rPr>
          <w:rFonts w:cs="Arial" w:hint="cs"/>
          <w:sz w:val="20"/>
          <w:szCs w:val="20"/>
          <w:rtl/>
        </w:rPr>
        <w:t>פי</w:t>
      </w:r>
      <w:r w:rsidRPr="009F5931">
        <w:rPr>
          <w:rFonts w:cs="Arial"/>
          <w:sz w:val="20"/>
          <w:szCs w:val="20"/>
          <w:rtl/>
        </w:rPr>
        <w:t xml:space="preserve"> </w:t>
      </w:r>
      <w:r w:rsidRPr="009F5931">
        <w:rPr>
          <w:rFonts w:cs="Arial" w:hint="cs"/>
          <w:sz w:val="20"/>
          <w:szCs w:val="20"/>
          <w:rtl/>
        </w:rPr>
        <w:t>שלא</w:t>
      </w:r>
      <w:r w:rsidRPr="009F5931">
        <w:rPr>
          <w:rFonts w:cs="Arial"/>
          <w:sz w:val="20"/>
          <w:szCs w:val="20"/>
          <w:rtl/>
        </w:rPr>
        <w:t xml:space="preserve"> </w:t>
      </w:r>
      <w:r w:rsidRPr="009F5931">
        <w:rPr>
          <w:rFonts w:cs="Arial" w:hint="cs"/>
          <w:sz w:val="20"/>
          <w:szCs w:val="20"/>
          <w:rtl/>
        </w:rPr>
        <w:t>נתקדשה</w:t>
      </w:r>
      <w:r w:rsidRPr="009F5931">
        <w:rPr>
          <w:rFonts w:cs="Arial"/>
          <w:sz w:val="20"/>
          <w:szCs w:val="20"/>
          <w:rtl/>
        </w:rPr>
        <w:t xml:space="preserve"> </w:t>
      </w:r>
      <w:r w:rsidRPr="009F5931">
        <w:rPr>
          <w:rFonts w:cs="Arial" w:hint="cs"/>
          <w:sz w:val="20"/>
          <w:szCs w:val="20"/>
          <w:rtl/>
        </w:rPr>
        <w:t>עדיין</w:t>
      </w:r>
      <w:r w:rsidRPr="009F5931">
        <w:rPr>
          <w:rFonts w:cs="Arial"/>
          <w:sz w:val="20"/>
          <w:szCs w:val="20"/>
          <w:rtl/>
        </w:rPr>
        <w:t xml:space="preserve">. </w:t>
      </w:r>
      <w:r w:rsidRPr="009F5931">
        <w:rPr>
          <w:rFonts w:cs="Arial" w:hint="cs"/>
          <w:sz w:val="18"/>
          <w:szCs w:val="18"/>
          <w:rtl/>
        </w:rPr>
        <w:t>הגה</w:t>
      </w:r>
      <w:r w:rsidRPr="009F5931">
        <w:rPr>
          <w:rFonts w:cs="Arial"/>
          <w:sz w:val="18"/>
          <w:szCs w:val="18"/>
          <w:rtl/>
        </w:rPr>
        <w:t xml:space="preserve">: </w:t>
      </w:r>
      <w:r w:rsidRPr="009F5931">
        <w:rPr>
          <w:rFonts w:cs="Arial" w:hint="cs"/>
          <w:sz w:val="18"/>
          <w:szCs w:val="18"/>
          <w:rtl/>
        </w:rPr>
        <w:t>ויש</w:t>
      </w:r>
      <w:r w:rsidRPr="009F5931">
        <w:rPr>
          <w:rFonts w:cs="Arial"/>
          <w:sz w:val="18"/>
          <w:szCs w:val="18"/>
          <w:rtl/>
        </w:rPr>
        <w:t xml:space="preserve"> </w:t>
      </w:r>
      <w:r w:rsidRPr="009F5931">
        <w:rPr>
          <w:rFonts w:cs="Arial" w:hint="cs"/>
          <w:sz w:val="18"/>
          <w:szCs w:val="18"/>
          <w:rtl/>
        </w:rPr>
        <w:t>לסמוך</w:t>
      </w:r>
      <w:r w:rsidRPr="009F5931">
        <w:rPr>
          <w:rFonts w:cs="Arial"/>
          <w:sz w:val="18"/>
          <w:szCs w:val="18"/>
          <w:rtl/>
        </w:rPr>
        <w:t xml:space="preserve"> </w:t>
      </w:r>
      <w:r w:rsidRPr="009F5931">
        <w:rPr>
          <w:rFonts w:cs="Arial" w:hint="cs"/>
          <w:sz w:val="18"/>
          <w:szCs w:val="18"/>
          <w:rtl/>
        </w:rPr>
        <w:t>הטבילה</w:t>
      </w:r>
      <w:r w:rsidRPr="009F5931">
        <w:rPr>
          <w:rFonts w:cs="Arial"/>
          <w:sz w:val="18"/>
          <w:szCs w:val="18"/>
          <w:rtl/>
        </w:rPr>
        <w:t xml:space="preserve"> </w:t>
      </w:r>
      <w:r w:rsidRPr="009F5931">
        <w:rPr>
          <w:rFonts w:cs="Arial" w:hint="cs"/>
          <w:sz w:val="18"/>
          <w:szCs w:val="18"/>
          <w:rtl/>
        </w:rPr>
        <w:t>סמוך</w:t>
      </w:r>
      <w:r w:rsidRPr="009F5931">
        <w:rPr>
          <w:rFonts w:cs="Arial"/>
          <w:sz w:val="18"/>
          <w:szCs w:val="18"/>
          <w:rtl/>
        </w:rPr>
        <w:t xml:space="preserve"> </w:t>
      </w:r>
      <w:r w:rsidRPr="009F5931">
        <w:rPr>
          <w:rFonts w:cs="Arial" w:hint="cs"/>
          <w:sz w:val="18"/>
          <w:szCs w:val="18"/>
          <w:rtl/>
        </w:rPr>
        <w:t>לבעילת</w:t>
      </w:r>
      <w:r w:rsidRPr="009F5931">
        <w:rPr>
          <w:rFonts w:cs="Arial"/>
          <w:sz w:val="18"/>
          <w:szCs w:val="18"/>
          <w:rtl/>
        </w:rPr>
        <w:t xml:space="preserve"> </w:t>
      </w:r>
      <w:r w:rsidRPr="009F5931">
        <w:rPr>
          <w:rFonts w:cs="Arial" w:hint="cs"/>
          <w:sz w:val="18"/>
          <w:szCs w:val="18"/>
          <w:rtl/>
        </w:rPr>
        <w:t>מצוה</w:t>
      </w:r>
      <w:r w:rsidRPr="009F5931">
        <w:rPr>
          <w:rFonts w:cs="Arial"/>
          <w:sz w:val="18"/>
          <w:szCs w:val="18"/>
          <w:rtl/>
        </w:rPr>
        <w:t xml:space="preserve"> </w:t>
      </w:r>
      <w:r w:rsidRPr="009F5931">
        <w:rPr>
          <w:rFonts w:cs="Arial" w:hint="cs"/>
          <w:sz w:val="18"/>
          <w:szCs w:val="18"/>
          <w:rtl/>
        </w:rPr>
        <w:t>בכל</w:t>
      </w:r>
      <w:r w:rsidRPr="009F5931">
        <w:rPr>
          <w:rFonts w:cs="Arial"/>
          <w:sz w:val="18"/>
          <w:szCs w:val="18"/>
          <w:rtl/>
        </w:rPr>
        <w:t xml:space="preserve"> </w:t>
      </w:r>
      <w:r w:rsidRPr="009F5931">
        <w:rPr>
          <w:rFonts w:cs="Arial" w:hint="cs"/>
          <w:sz w:val="18"/>
          <w:szCs w:val="18"/>
          <w:rtl/>
        </w:rPr>
        <w:t>מה</w:t>
      </w:r>
      <w:r w:rsidRPr="009F5931">
        <w:rPr>
          <w:rFonts w:cs="Arial"/>
          <w:sz w:val="18"/>
          <w:szCs w:val="18"/>
          <w:rtl/>
        </w:rPr>
        <w:t xml:space="preserve"> </w:t>
      </w:r>
      <w:r w:rsidRPr="009F5931">
        <w:rPr>
          <w:rFonts w:cs="Arial" w:hint="cs"/>
          <w:sz w:val="18"/>
          <w:szCs w:val="18"/>
          <w:rtl/>
        </w:rPr>
        <w:t>דאפשר</w:t>
      </w:r>
      <w:r w:rsidRPr="009F5931">
        <w:rPr>
          <w:rFonts w:cs="Arial"/>
          <w:sz w:val="18"/>
          <w:szCs w:val="18"/>
          <w:rtl/>
        </w:rPr>
        <w:t xml:space="preserve">, </w:t>
      </w:r>
      <w:r w:rsidRPr="009F5931">
        <w:rPr>
          <w:rFonts w:cs="Arial" w:hint="cs"/>
          <w:sz w:val="18"/>
          <w:szCs w:val="18"/>
          <w:rtl/>
        </w:rPr>
        <w:t>והמנהג</w:t>
      </w:r>
      <w:r w:rsidRPr="009F5931">
        <w:rPr>
          <w:rFonts w:cs="Arial"/>
          <w:sz w:val="18"/>
          <w:szCs w:val="18"/>
          <w:rtl/>
        </w:rPr>
        <w:t xml:space="preserve"> </w:t>
      </w:r>
      <w:r w:rsidRPr="009F5931">
        <w:rPr>
          <w:rFonts w:cs="Arial" w:hint="cs"/>
          <w:sz w:val="18"/>
          <w:szCs w:val="18"/>
          <w:rtl/>
        </w:rPr>
        <w:t>לטבול</w:t>
      </w:r>
      <w:r w:rsidRPr="009F5931">
        <w:rPr>
          <w:rFonts w:cs="Arial"/>
          <w:sz w:val="18"/>
          <w:szCs w:val="18"/>
          <w:rtl/>
        </w:rPr>
        <w:t xml:space="preserve"> </w:t>
      </w:r>
      <w:r w:rsidRPr="009F5931">
        <w:rPr>
          <w:rFonts w:cs="Arial" w:hint="cs"/>
          <w:sz w:val="18"/>
          <w:szCs w:val="18"/>
          <w:rtl/>
        </w:rPr>
        <w:t>הכלה</w:t>
      </w:r>
      <w:r w:rsidRPr="009F5931">
        <w:rPr>
          <w:rFonts w:cs="Arial"/>
          <w:sz w:val="18"/>
          <w:szCs w:val="18"/>
          <w:rtl/>
        </w:rPr>
        <w:t xml:space="preserve"> </w:t>
      </w:r>
      <w:r w:rsidRPr="009F5931">
        <w:rPr>
          <w:rFonts w:cs="Arial" w:hint="cs"/>
          <w:sz w:val="18"/>
          <w:szCs w:val="18"/>
          <w:rtl/>
        </w:rPr>
        <w:t>ליל</w:t>
      </w:r>
      <w:r w:rsidRPr="009F5931">
        <w:rPr>
          <w:rFonts w:cs="Arial"/>
          <w:sz w:val="18"/>
          <w:szCs w:val="18"/>
          <w:rtl/>
        </w:rPr>
        <w:t xml:space="preserve"> </w:t>
      </w:r>
      <w:r w:rsidRPr="009F5931">
        <w:rPr>
          <w:rFonts w:cs="Arial" w:hint="cs"/>
          <w:sz w:val="18"/>
          <w:szCs w:val="18"/>
          <w:rtl/>
        </w:rPr>
        <w:t>ד</w:t>
      </w:r>
      <w:r w:rsidRPr="009F5931">
        <w:rPr>
          <w:rFonts w:cs="Arial"/>
          <w:sz w:val="18"/>
          <w:szCs w:val="18"/>
          <w:rtl/>
        </w:rPr>
        <w:t xml:space="preserve">' </w:t>
      </w:r>
      <w:r w:rsidRPr="009F5931">
        <w:rPr>
          <w:rFonts w:cs="Arial" w:hint="cs"/>
          <w:sz w:val="18"/>
          <w:szCs w:val="18"/>
          <w:rtl/>
        </w:rPr>
        <w:t>אף</w:t>
      </w:r>
      <w:r w:rsidRPr="009F5931">
        <w:rPr>
          <w:rFonts w:cs="Arial"/>
          <w:sz w:val="18"/>
          <w:szCs w:val="18"/>
          <w:rtl/>
        </w:rPr>
        <w:t xml:space="preserve"> </w:t>
      </w:r>
      <w:r w:rsidRPr="009F5931">
        <w:rPr>
          <w:rFonts w:cs="Arial" w:hint="cs"/>
          <w:sz w:val="18"/>
          <w:szCs w:val="18"/>
          <w:rtl/>
        </w:rPr>
        <w:t>על</w:t>
      </w:r>
      <w:r w:rsidRPr="009F5931">
        <w:rPr>
          <w:rFonts w:cs="Arial"/>
          <w:sz w:val="18"/>
          <w:szCs w:val="18"/>
          <w:rtl/>
        </w:rPr>
        <w:t xml:space="preserve"> </w:t>
      </w:r>
      <w:r w:rsidRPr="009F5931">
        <w:rPr>
          <w:rFonts w:cs="Arial" w:hint="cs"/>
          <w:sz w:val="18"/>
          <w:szCs w:val="18"/>
          <w:rtl/>
        </w:rPr>
        <w:t>פי</w:t>
      </w:r>
      <w:r w:rsidRPr="009F5931">
        <w:rPr>
          <w:rFonts w:cs="Arial"/>
          <w:sz w:val="18"/>
          <w:szCs w:val="18"/>
          <w:rtl/>
        </w:rPr>
        <w:t xml:space="preserve"> </w:t>
      </w:r>
      <w:r w:rsidRPr="009F5931">
        <w:rPr>
          <w:rFonts w:cs="Arial" w:hint="cs"/>
          <w:sz w:val="18"/>
          <w:szCs w:val="18"/>
          <w:rtl/>
        </w:rPr>
        <w:t>שלא</w:t>
      </w:r>
      <w:r w:rsidRPr="009F5931">
        <w:rPr>
          <w:rFonts w:cs="Arial"/>
          <w:sz w:val="18"/>
          <w:szCs w:val="18"/>
          <w:rtl/>
        </w:rPr>
        <w:t xml:space="preserve"> </w:t>
      </w:r>
      <w:r w:rsidRPr="009F5931">
        <w:rPr>
          <w:rFonts w:cs="Arial" w:hint="cs"/>
          <w:sz w:val="18"/>
          <w:szCs w:val="18"/>
          <w:rtl/>
        </w:rPr>
        <w:t>תבעל</w:t>
      </w:r>
      <w:r w:rsidRPr="009F5931">
        <w:rPr>
          <w:rFonts w:cs="Arial"/>
          <w:sz w:val="18"/>
          <w:szCs w:val="18"/>
          <w:rtl/>
        </w:rPr>
        <w:t xml:space="preserve"> </w:t>
      </w:r>
      <w:r w:rsidRPr="009F5931">
        <w:rPr>
          <w:rFonts w:cs="Arial" w:hint="cs"/>
          <w:sz w:val="18"/>
          <w:szCs w:val="18"/>
          <w:rtl/>
        </w:rPr>
        <w:t>קודם</w:t>
      </w:r>
      <w:r w:rsidRPr="009F5931">
        <w:rPr>
          <w:rFonts w:cs="Arial"/>
          <w:sz w:val="18"/>
          <w:szCs w:val="18"/>
          <w:rtl/>
        </w:rPr>
        <w:t xml:space="preserve"> </w:t>
      </w:r>
      <w:r w:rsidRPr="009F5931">
        <w:rPr>
          <w:rFonts w:cs="Arial" w:hint="cs"/>
          <w:sz w:val="18"/>
          <w:szCs w:val="18"/>
          <w:rtl/>
        </w:rPr>
        <w:t>מוצאי</w:t>
      </w:r>
      <w:r w:rsidRPr="009F5931">
        <w:rPr>
          <w:rFonts w:cs="Arial"/>
          <w:sz w:val="18"/>
          <w:szCs w:val="18"/>
          <w:rtl/>
        </w:rPr>
        <w:t xml:space="preserve"> </w:t>
      </w:r>
      <w:r w:rsidRPr="009F5931">
        <w:rPr>
          <w:rFonts w:cs="Arial" w:hint="cs"/>
          <w:sz w:val="18"/>
          <w:szCs w:val="18"/>
          <w:rtl/>
        </w:rPr>
        <w:t>שבת</w:t>
      </w:r>
      <w:r w:rsidRPr="009F5931">
        <w:rPr>
          <w:rFonts w:cs="Arial"/>
          <w:sz w:val="18"/>
          <w:szCs w:val="18"/>
          <w:rtl/>
        </w:rPr>
        <w:t xml:space="preserve">, </w:t>
      </w:r>
      <w:r w:rsidRPr="009F5931">
        <w:rPr>
          <w:rFonts w:cs="Arial" w:hint="cs"/>
          <w:sz w:val="18"/>
          <w:szCs w:val="18"/>
          <w:rtl/>
        </w:rPr>
        <w:t>אבל</w:t>
      </w:r>
      <w:r w:rsidRPr="009F5931">
        <w:rPr>
          <w:rFonts w:cs="Arial"/>
          <w:sz w:val="18"/>
          <w:szCs w:val="18"/>
          <w:rtl/>
        </w:rPr>
        <w:t xml:space="preserve"> </w:t>
      </w:r>
      <w:r w:rsidRPr="009F5931">
        <w:rPr>
          <w:rFonts w:cs="Arial" w:hint="cs"/>
          <w:sz w:val="18"/>
          <w:szCs w:val="18"/>
          <w:rtl/>
        </w:rPr>
        <w:t>אין</w:t>
      </w:r>
      <w:r w:rsidRPr="009F5931">
        <w:rPr>
          <w:rFonts w:cs="Arial"/>
          <w:sz w:val="18"/>
          <w:szCs w:val="18"/>
          <w:rtl/>
        </w:rPr>
        <w:t xml:space="preserve"> </w:t>
      </w:r>
      <w:r w:rsidRPr="009F5931">
        <w:rPr>
          <w:rFonts w:cs="Arial" w:hint="cs"/>
          <w:sz w:val="18"/>
          <w:szCs w:val="18"/>
          <w:rtl/>
        </w:rPr>
        <w:t>להרחיק</w:t>
      </w:r>
      <w:r w:rsidRPr="009F5931">
        <w:rPr>
          <w:rFonts w:cs="Arial"/>
          <w:sz w:val="18"/>
          <w:szCs w:val="18"/>
          <w:rtl/>
        </w:rPr>
        <w:t xml:space="preserve"> </w:t>
      </w:r>
      <w:r w:rsidRPr="009F5931">
        <w:rPr>
          <w:rFonts w:cs="Arial" w:hint="cs"/>
          <w:sz w:val="18"/>
          <w:szCs w:val="18"/>
          <w:rtl/>
        </w:rPr>
        <w:t>הטבילה</w:t>
      </w:r>
      <w:r w:rsidRPr="009F5931">
        <w:rPr>
          <w:rFonts w:cs="Arial"/>
          <w:sz w:val="18"/>
          <w:szCs w:val="18"/>
          <w:rtl/>
        </w:rPr>
        <w:t xml:space="preserve"> </w:t>
      </w:r>
      <w:r w:rsidRPr="009F5931">
        <w:rPr>
          <w:rFonts w:cs="Arial" w:hint="cs"/>
          <w:sz w:val="18"/>
          <w:szCs w:val="18"/>
          <w:rtl/>
        </w:rPr>
        <w:t>מן</w:t>
      </w:r>
      <w:r w:rsidRPr="009F5931">
        <w:rPr>
          <w:rFonts w:cs="Arial"/>
          <w:sz w:val="18"/>
          <w:szCs w:val="18"/>
          <w:rtl/>
        </w:rPr>
        <w:t xml:space="preserve"> </w:t>
      </w:r>
      <w:r w:rsidRPr="009F5931">
        <w:rPr>
          <w:rFonts w:cs="Arial" w:hint="cs"/>
          <w:sz w:val="18"/>
          <w:szCs w:val="18"/>
          <w:rtl/>
        </w:rPr>
        <w:t>הבעילה</w:t>
      </w:r>
      <w:r w:rsidRPr="009F5931">
        <w:rPr>
          <w:rFonts w:cs="Arial"/>
          <w:sz w:val="18"/>
          <w:szCs w:val="18"/>
          <w:rtl/>
        </w:rPr>
        <w:t xml:space="preserve"> </w:t>
      </w:r>
      <w:r w:rsidRPr="009F5931">
        <w:rPr>
          <w:rFonts w:cs="Arial" w:hint="cs"/>
          <w:sz w:val="18"/>
          <w:szCs w:val="18"/>
          <w:rtl/>
        </w:rPr>
        <w:t>יותר</w:t>
      </w:r>
      <w:r w:rsidRPr="009F5931">
        <w:rPr>
          <w:rFonts w:cs="Arial"/>
          <w:sz w:val="18"/>
          <w:szCs w:val="18"/>
          <w:rtl/>
        </w:rPr>
        <w:t xml:space="preserve"> </w:t>
      </w:r>
      <w:r w:rsidRPr="009F5931">
        <w:rPr>
          <w:rFonts w:cs="Arial" w:hint="cs"/>
          <w:sz w:val="18"/>
          <w:szCs w:val="18"/>
          <w:rtl/>
        </w:rPr>
        <w:t>מזה</w:t>
      </w:r>
      <w:r w:rsidRPr="009F5931">
        <w:rPr>
          <w:rFonts w:cs="Arial"/>
          <w:sz w:val="18"/>
          <w:szCs w:val="18"/>
          <w:rtl/>
        </w:rPr>
        <w:t xml:space="preserve">. </w:t>
      </w:r>
      <w:r w:rsidRPr="009F5931">
        <w:rPr>
          <w:rFonts w:cs="Arial" w:hint="cs"/>
          <w:sz w:val="18"/>
          <w:szCs w:val="18"/>
          <w:rtl/>
        </w:rPr>
        <w:t>ואם</w:t>
      </w:r>
      <w:r w:rsidRPr="009F5931">
        <w:rPr>
          <w:rFonts w:cs="Arial"/>
          <w:sz w:val="18"/>
          <w:szCs w:val="18"/>
          <w:rtl/>
        </w:rPr>
        <w:t xml:space="preserve"> </w:t>
      </w:r>
      <w:r w:rsidRPr="009F5931">
        <w:rPr>
          <w:rFonts w:cs="Arial" w:hint="cs"/>
          <w:sz w:val="18"/>
          <w:szCs w:val="18"/>
          <w:rtl/>
        </w:rPr>
        <w:t>לא</w:t>
      </w:r>
      <w:r w:rsidRPr="009F5931">
        <w:rPr>
          <w:rFonts w:cs="Arial"/>
          <w:sz w:val="18"/>
          <w:szCs w:val="18"/>
          <w:rtl/>
        </w:rPr>
        <w:t xml:space="preserve"> </w:t>
      </w:r>
      <w:r w:rsidRPr="009F5931">
        <w:rPr>
          <w:rFonts w:cs="Arial" w:hint="cs"/>
          <w:sz w:val="18"/>
          <w:szCs w:val="18"/>
          <w:rtl/>
        </w:rPr>
        <w:t>ת</w:t>
      </w:r>
      <w:r>
        <w:rPr>
          <w:rFonts w:cs="Arial" w:hint="cs"/>
          <w:sz w:val="18"/>
          <w:szCs w:val="18"/>
          <w:rtl/>
        </w:rPr>
        <w:t>י</w:t>
      </w:r>
      <w:r w:rsidRPr="009F5931">
        <w:rPr>
          <w:rFonts w:cs="Arial" w:hint="cs"/>
          <w:sz w:val="18"/>
          <w:szCs w:val="18"/>
          <w:rtl/>
        </w:rPr>
        <w:t>בעל</w:t>
      </w:r>
      <w:r w:rsidRPr="009F5931">
        <w:rPr>
          <w:rFonts w:cs="Arial"/>
          <w:sz w:val="18"/>
          <w:szCs w:val="18"/>
          <w:rtl/>
        </w:rPr>
        <w:t xml:space="preserve"> </w:t>
      </w:r>
      <w:r w:rsidRPr="009F5931">
        <w:rPr>
          <w:rFonts w:cs="Arial" w:hint="cs"/>
          <w:sz w:val="18"/>
          <w:szCs w:val="18"/>
          <w:rtl/>
        </w:rPr>
        <w:t>במוצאי</w:t>
      </w:r>
      <w:r w:rsidRPr="009F5931">
        <w:rPr>
          <w:rFonts w:cs="Arial"/>
          <w:sz w:val="18"/>
          <w:szCs w:val="18"/>
          <w:rtl/>
        </w:rPr>
        <w:t xml:space="preserve"> </w:t>
      </w:r>
      <w:r w:rsidRPr="009F5931">
        <w:rPr>
          <w:rFonts w:cs="Arial" w:hint="cs"/>
          <w:sz w:val="18"/>
          <w:szCs w:val="18"/>
          <w:rtl/>
        </w:rPr>
        <w:t>שבת</w:t>
      </w:r>
      <w:r w:rsidRPr="009F5931">
        <w:rPr>
          <w:rFonts w:cs="Arial"/>
          <w:sz w:val="18"/>
          <w:szCs w:val="18"/>
          <w:rtl/>
        </w:rPr>
        <w:t xml:space="preserve">, </w:t>
      </w:r>
      <w:r w:rsidRPr="009F5931">
        <w:rPr>
          <w:rFonts w:cs="Arial" w:hint="cs"/>
          <w:sz w:val="18"/>
          <w:szCs w:val="18"/>
          <w:rtl/>
        </w:rPr>
        <w:t>יש</w:t>
      </w:r>
      <w:r w:rsidRPr="009F5931">
        <w:rPr>
          <w:rFonts w:cs="Arial"/>
          <w:sz w:val="18"/>
          <w:szCs w:val="18"/>
          <w:rtl/>
        </w:rPr>
        <w:t xml:space="preserve"> </w:t>
      </w:r>
      <w:r w:rsidRPr="009F5931">
        <w:rPr>
          <w:rFonts w:cs="Arial" w:hint="cs"/>
          <w:sz w:val="18"/>
          <w:szCs w:val="18"/>
          <w:rtl/>
        </w:rPr>
        <w:t>לה</w:t>
      </w:r>
      <w:r w:rsidRPr="009F5931">
        <w:rPr>
          <w:rFonts w:cs="Arial"/>
          <w:sz w:val="18"/>
          <w:szCs w:val="18"/>
          <w:rtl/>
        </w:rPr>
        <w:t xml:space="preserve"> </w:t>
      </w:r>
      <w:r w:rsidRPr="009F5931">
        <w:rPr>
          <w:rFonts w:cs="Arial" w:hint="cs"/>
          <w:sz w:val="18"/>
          <w:szCs w:val="18"/>
          <w:rtl/>
        </w:rPr>
        <w:t>לבדוק</w:t>
      </w:r>
      <w:r w:rsidRPr="009F5931">
        <w:rPr>
          <w:rFonts w:cs="Arial"/>
          <w:sz w:val="18"/>
          <w:szCs w:val="18"/>
          <w:rtl/>
        </w:rPr>
        <w:t xml:space="preserve"> </w:t>
      </w:r>
      <w:r w:rsidRPr="009F5931">
        <w:rPr>
          <w:rFonts w:cs="Arial" w:hint="cs"/>
          <w:sz w:val="18"/>
          <w:szCs w:val="18"/>
          <w:rtl/>
        </w:rPr>
        <w:t>עצמה</w:t>
      </w:r>
      <w:r w:rsidRPr="009F5931">
        <w:rPr>
          <w:rFonts w:cs="Arial"/>
          <w:sz w:val="18"/>
          <w:szCs w:val="18"/>
          <w:rtl/>
        </w:rPr>
        <w:t xml:space="preserve"> </w:t>
      </w:r>
      <w:r w:rsidRPr="009F5931">
        <w:rPr>
          <w:rFonts w:cs="Arial" w:hint="cs"/>
          <w:sz w:val="18"/>
          <w:szCs w:val="18"/>
          <w:rtl/>
        </w:rPr>
        <w:t>בכל</w:t>
      </w:r>
      <w:r w:rsidRPr="009F5931">
        <w:rPr>
          <w:rFonts w:cs="Arial"/>
          <w:sz w:val="18"/>
          <w:szCs w:val="18"/>
          <w:rtl/>
        </w:rPr>
        <w:t xml:space="preserve"> </w:t>
      </w:r>
      <w:r w:rsidRPr="009F5931">
        <w:rPr>
          <w:rFonts w:cs="Arial" w:hint="cs"/>
          <w:sz w:val="18"/>
          <w:szCs w:val="18"/>
          <w:rtl/>
        </w:rPr>
        <w:t>יום</w:t>
      </w:r>
      <w:r w:rsidRPr="009F5931">
        <w:rPr>
          <w:rFonts w:cs="Arial"/>
          <w:sz w:val="18"/>
          <w:szCs w:val="18"/>
          <w:rtl/>
        </w:rPr>
        <w:t xml:space="preserve"> </w:t>
      </w:r>
      <w:r w:rsidRPr="009F5931">
        <w:rPr>
          <w:rFonts w:cs="Arial" w:hint="cs"/>
          <w:sz w:val="18"/>
          <w:szCs w:val="18"/>
          <w:rtl/>
        </w:rPr>
        <w:t>עד</w:t>
      </w:r>
      <w:r w:rsidRPr="009F5931">
        <w:rPr>
          <w:rFonts w:cs="Arial"/>
          <w:sz w:val="18"/>
          <w:szCs w:val="18"/>
          <w:rtl/>
        </w:rPr>
        <w:t xml:space="preserve"> </w:t>
      </w:r>
      <w:r w:rsidRPr="009F5931">
        <w:rPr>
          <w:rFonts w:cs="Arial" w:hint="cs"/>
          <w:sz w:val="18"/>
          <w:szCs w:val="18"/>
          <w:rtl/>
        </w:rPr>
        <w:t>בעילת</w:t>
      </w:r>
      <w:r w:rsidRPr="009F5931">
        <w:rPr>
          <w:rFonts w:cs="Arial"/>
          <w:sz w:val="18"/>
          <w:szCs w:val="18"/>
          <w:rtl/>
        </w:rPr>
        <w:t xml:space="preserve"> </w:t>
      </w:r>
      <w:r w:rsidRPr="009F5931">
        <w:rPr>
          <w:rFonts w:cs="Arial" w:hint="cs"/>
          <w:sz w:val="18"/>
          <w:szCs w:val="18"/>
          <w:rtl/>
        </w:rPr>
        <w:t>מצוה</w:t>
      </w:r>
      <w:r w:rsidRPr="009F5931">
        <w:rPr>
          <w:rFonts w:cs="Arial"/>
          <w:sz w:val="18"/>
          <w:szCs w:val="18"/>
          <w:rtl/>
        </w:rPr>
        <w:t xml:space="preserve">, </w:t>
      </w:r>
      <w:r w:rsidRPr="009F5931">
        <w:rPr>
          <w:rFonts w:cs="Arial" w:hint="cs"/>
          <w:sz w:val="18"/>
          <w:szCs w:val="18"/>
          <w:rtl/>
        </w:rPr>
        <w:t>ודוקא</w:t>
      </w:r>
      <w:r w:rsidRPr="009F5931">
        <w:rPr>
          <w:rFonts w:cs="Arial"/>
          <w:sz w:val="18"/>
          <w:szCs w:val="18"/>
          <w:rtl/>
        </w:rPr>
        <w:t xml:space="preserve"> </w:t>
      </w:r>
      <w:r w:rsidRPr="009F5931">
        <w:rPr>
          <w:rFonts w:cs="Arial" w:hint="cs"/>
          <w:sz w:val="18"/>
          <w:szCs w:val="18"/>
          <w:rtl/>
        </w:rPr>
        <w:t>לכתח</w:t>
      </w:r>
      <w:r>
        <w:rPr>
          <w:rFonts w:cs="Arial" w:hint="cs"/>
          <w:sz w:val="18"/>
          <w:szCs w:val="18"/>
          <w:rtl/>
        </w:rPr>
        <w:t>י</w:t>
      </w:r>
      <w:r w:rsidRPr="009F5931">
        <w:rPr>
          <w:rFonts w:cs="Arial" w:hint="cs"/>
          <w:sz w:val="18"/>
          <w:szCs w:val="18"/>
          <w:rtl/>
        </w:rPr>
        <w:t>לה</w:t>
      </w:r>
      <w:r w:rsidRPr="009F5931">
        <w:rPr>
          <w:rFonts w:cs="Arial"/>
          <w:sz w:val="18"/>
          <w:szCs w:val="18"/>
          <w:rtl/>
        </w:rPr>
        <w:t xml:space="preserve">, </w:t>
      </w:r>
      <w:r w:rsidRPr="009F5931">
        <w:rPr>
          <w:rFonts w:cs="Arial" w:hint="cs"/>
          <w:sz w:val="18"/>
          <w:szCs w:val="18"/>
          <w:rtl/>
        </w:rPr>
        <w:t>אבל</w:t>
      </w:r>
      <w:r w:rsidRPr="009F5931">
        <w:rPr>
          <w:rFonts w:cs="Arial"/>
          <w:sz w:val="18"/>
          <w:szCs w:val="18"/>
          <w:rtl/>
        </w:rPr>
        <w:t xml:space="preserve"> </w:t>
      </w:r>
      <w:r w:rsidRPr="009F5931">
        <w:rPr>
          <w:rFonts w:cs="Arial" w:hint="cs"/>
          <w:sz w:val="18"/>
          <w:szCs w:val="18"/>
          <w:rtl/>
        </w:rPr>
        <w:t>בדיעבד</w:t>
      </w:r>
      <w:r w:rsidRPr="009F5931">
        <w:rPr>
          <w:rFonts w:cs="Arial"/>
          <w:sz w:val="18"/>
          <w:szCs w:val="18"/>
          <w:rtl/>
        </w:rPr>
        <w:t xml:space="preserve"> </w:t>
      </w:r>
      <w:r w:rsidRPr="009F5931">
        <w:rPr>
          <w:rFonts w:cs="Arial" w:hint="cs"/>
          <w:sz w:val="18"/>
          <w:szCs w:val="18"/>
          <w:rtl/>
        </w:rPr>
        <w:t>אין</w:t>
      </w:r>
      <w:r w:rsidRPr="009F5931">
        <w:rPr>
          <w:rFonts w:cs="Arial"/>
          <w:sz w:val="18"/>
          <w:szCs w:val="18"/>
          <w:rtl/>
        </w:rPr>
        <w:t xml:space="preserve"> </w:t>
      </w:r>
      <w:r w:rsidRPr="009F5931">
        <w:rPr>
          <w:rFonts w:cs="Arial" w:hint="cs"/>
          <w:sz w:val="18"/>
          <w:szCs w:val="18"/>
          <w:rtl/>
        </w:rPr>
        <w:t>להחמיר</w:t>
      </w:r>
      <w:r w:rsidRPr="009F5931">
        <w:rPr>
          <w:rFonts w:cs="Arial"/>
          <w:sz w:val="18"/>
          <w:szCs w:val="18"/>
          <w:rtl/>
        </w:rPr>
        <w:t xml:space="preserve"> </w:t>
      </w:r>
      <w:r w:rsidRPr="009F5931">
        <w:rPr>
          <w:rFonts w:cs="Arial" w:hint="cs"/>
          <w:sz w:val="18"/>
          <w:szCs w:val="18"/>
          <w:rtl/>
        </w:rPr>
        <w:t>אם</w:t>
      </w:r>
      <w:r w:rsidRPr="009F5931">
        <w:rPr>
          <w:rFonts w:cs="Arial"/>
          <w:sz w:val="18"/>
          <w:szCs w:val="18"/>
          <w:rtl/>
        </w:rPr>
        <w:t xml:space="preserve"> </w:t>
      </w:r>
      <w:r w:rsidRPr="009F5931">
        <w:rPr>
          <w:rFonts w:cs="Arial" w:hint="cs"/>
          <w:sz w:val="18"/>
          <w:szCs w:val="18"/>
          <w:rtl/>
        </w:rPr>
        <w:t>בדקה</w:t>
      </w:r>
      <w:r w:rsidRPr="009F5931">
        <w:rPr>
          <w:rFonts w:cs="Arial"/>
          <w:sz w:val="18"/>
          <w:szCs w:val="18"/>
          <w:rtl/>
        </w:rPr>
        <w:t xml:space="preserve"> </w:t>
      </w:r>
      <w:r w:rsidRPr="009F5931">
        <w:rPr>
          <w:rFonts w:cs="Arial" w:hint="cs"/>
          <w:sz w:val="18"/>
          <w:szCs w:val="18"/>
          <w:rtl/>
        </w:rPr>
        <w:t>רק</w:t>
      </w:r>
      <w:r w:rsidRPr="009F5931">
        <w:rPr>
          <w:rFonts w:cs="Arial"/>
          <w:sz w:val="18"/>
          <w:szCs w:val="18"/>
          <w:rtl/>
        </w:rPr>
        <w:t xml:space="preserve"> </w:t>
      </w:r>
      <w:r w:rsidRPr="009F5931">
        <w:rPr>
          <w:rFonts w:cs="Arial" w:hint="cs"/>
          <w:sz w:val="18"/>
          <w:szCs w:val="18"/>
          <w:rtl/>
        </w:rPr>
        <w:t>פעם</w:t>
      </w:r>
      <w:r w:rsidRPr="009F5931">
        <w:rPr>
          <w:rFonts w:cs="Arial"/>
          <w:sz w:val="18"/>
          <w:szCs w:val="18"/>
          <w:rtl/>
        </w:rPr>
        <w:t xml:space="preserve"> </w:t>
      </w:r>
      <w:r w:rsidRPr="009F5931">
        <w:rPr>
          <w:rFonts w:cs="Arial" w:hint="cs"/>
          <w:sz w:val="18"/>
          <w:szCs w:val="18"/>
          <w:rtl/>
        </w:rPr>
        <w:t>אחת</w:t>
      </w:r>
      <w:r w:rsidRPr="009F5931">
        <w:rPr>
          <w:rFonts w:cs="Arial"/>
          <w:sz w:val="18"/>
          <w:szCs w:val="18"/>
          <w:rtl/>
        </w:rPr>
        <w:t xml:space="preserve"> </w:t>
      </w:r>
      <w:r w:rsidRPr="009F5931">
        <w:rPr>
          <w:rFonts w:cs="Arial" w:hint="cs"/>
          <w:sz w:val="18"/>
          <w:szCs w:val="18"/>
          <w:rtl/>
        </w:rPr>
        <w:t>תוך</w:t>
      </w:r>
      <w:r w:rsidRPr="009F5931">
        <w:rPr>
          <w:rFonts w:cs="Arial"/>
          <w:sz w:val="18"/>
          <w:szCs w:val="18"/>
          <w:rtl/>
        </w:rPr>
        <w:t xml:space="preserve"> </w:t>
      </w:r>
      <w:r w:rsidRPr="009F5931">
        <w:rPr>
          <w:rFonts w:cs="Arial" w:hint="cs"/>
          <w:sz w:val="18"/>
          <w:szCs w:val="18"/>
          <w:rtl/>
        </w:rPr>
        <w:t>ז</w:t>
      </w:r>
      <w:r w:rsidRPr="009F5931">
        <w:rPr>
          <w:rFonts w:cs="Arial"/>
          <w:sz w:val="18"/>
          <w:szCs w:val="18"/>
          <w:rtl/>
        </w:rPr>
        <w:t>'</w:t>
      </w:r>
      <w:r>
        <w:rPr>
          <w:rFonts w:hint="cs"/>
          <w:sz w:val="18"/>
          <w:szCs w:val="18"/>
          <w:rtl/>
        </w:rPr>
        <w:t>".</w:t>
      </w:r>
    </w:p>
    <w:p w:rsidR="00620060" w:rsidRPr="00643734" w:rsidRDefault="00620060" w:rsidP="00620060">
      <w:pPr>
        <w:rPr>
          <w:sz w:val="20"/>
          <w:szCs w:val="20"/>
          <w:rtl/>
        </w:rPr>
      </w:pPr>
      <w:r>
        <w:rPr>
          <w:rFonts w:hint="cs"/>
          <w:sz w:val="20"/>
          <w:szCs w:val="20"/>
          <w:u w:val="single"/>
          <w:rtl/>
        </w:rPr>
        <w:t>חימוד לבעילה (בדה"ש סקכ"ט)</w:t>
      </w:r>
      <w:r>
        <w:rPr>
          <w:sz w:val="20"/>
          <w:szCs w:val="20"/>
          <w:u w:val="single"/>
          <w:rtl/>
        </w:rPr>
        <w:br/>
      </w:r>
      <w:r>
        <w:rPr>
          <w:rFonts w:hint="cs"/>
          <w:sz w:val="20"/>
          <w:szCs w:val="20"/>
          <w:rtl/>
        </w:rPr>
        <w:t xml:space="preserve">הרמ"א כתב שאם לא נבעלה יש לה לבדוק עצמה בכל יום עד הבעילה, ונחלקו האחרונים בכוונתו - </w:t>
      </w:r>
      <w:r>
        <w:rPr>
          <w:sz w:val="20"/>
          <w:szCs w:val="20"/>
          <w:rtl/>
        </w:rPr>
        <w:br/>
      </w:r>
      <w:r>
        <w:rPr>
          <w:rFonts w:hint="cs"/>
          <w:sz w:val="20"/>
          <w:szCs w:val="20"/>
          <w:rtl/>
        </w:rPr>
        <w:t xml:space="preserve">א. </w:t>
      </w:r>
      <w:r w:rsidRPr="00B730E9">
        <w:rPr>
          <w:rFonts w:hint="cs"/>
          <w:b/>
          <w:bCs/>
          <w:sz w:val="20"/>
          <w:szCs w:val="20"/>
          <w:rtl/>
        </w:rPr>
        <w:t>לחם ושמלה</w:t>
      </w:r>
      <w:r>
        <w:rPr>
          <w:rFonts w:hint="cs"/>
          <w:sz w:val="20"/>
          <w:szCs w:val="20"/>
          <w:rtl/>
        </w:rPr>
        <w:t xml:space="preserve"> </w:t>
      </w:r>
      <w:r>
        <w:rPr>
          <w:sz w:val="20"/>
          <w:szCs w:val="20"/>
          <w:rtl/>
        </w:rPr>
        <w:t>–</w:t>
      </w:r>
      <w:r>
        <w:rPr>
          <w:rFonts w:hint="cs"/>
          <w:sz w:val="20"/>
          <w:szCs w:val="20"/>
          <w:rtl/>
        </w:rPr>
        <w:t xml:space="preserve"> משמע ברמ"א שהחימוד הוא לבעילה, ולכן אע"פ שנישאה אכתי איכא חשש חימוד.</w:t>
      </w:r>
      <w:r>
        <w:rPr>
          <w:sz w:val="20"/>
          <w:szCs w:val="20"/>
          <w:rtl/>
        </w:rPr>
        <w:br/>
      </w:r>
      <w:r>
        <w:rPr>
          <w:rFonts w:hint="cs"/>
          <w:sz w:val="20"/>
          <w:szCs w:val="20"/>
          <w:rtl/>
        </w:rPr>
        <w:t xml:space="preserve">ב. </w:t>
      </w:r>
      <w:r w:rsidRPr="00B730E9">
        <w:rPr>
          <w:rFonts w:hint="cs"/>
          <w:b/>
          <w:bCs/>
          <w:sz w:val="20"/>
          <w:szCs w:val="20"/>
          <w:rtl/>
        </w:rPr>
        <w:t>חוו"ד</w:t>
      </w:r>
      <w:r>
        <w:rPr>
          <w:rFonts w:hint="cs"/>
          <w:sz w:val="20"/>
          <w:szCs w:val="20"/>
          <w:rtl/>
        </w:rPr>
        <w:t xml:space="preserve"> </w:t>
      </w:r>
      <w:r>
        <w:rPr>
          <w:sz w:val="20"/>
          <w:szCs w:val="20"/>
          <w:rtl/>
        </w:rPr>
        <w:t>–</w:t>
      </w:r>
      <w:r>
        <w:rPr>
          <w:rFonts w:hint="cs"/>
          <w:sz w:val="20"/>
          <w:szCs w:val="20"/>
          <w:rtl/>
        </w:rPr>
        <w:t xml:space="preserve"> החימוד אינו על הביאה אלא על שם נשואה שיש עליה, ולכן אם נישאת ולא נבעלה אינה צריכה בדיקה כלל, וכוונת הרמ"א שאם לא נישאה צריכה לבדוק עצמה עד הנישואין.</w:t>
      </w:r>
      <w:r>
        <w:rPr>
          <w:rStyle w:val="a5"/>
          <w:sz w:val="20"/>
          <w:szCs w:val="20"/>
          <w:rtl/>
        </w:rPr>
        <w:footnoteReference w:id="376"/>
      </w:r>
      <w:r>
        <w:rPr>
          <w:rFonts w:hint="cs"/>
          <w:sz w:val="20"/>
          <w:szCs w:val="20"/>
          <w:rtl/>
        </w:rPr>
        <w:br/>
        <w:t xml:space="preserve">הכרעת </w:t>
      </w:r>
      <w:r w:rsidRPr="00057367">
        <w:rPr>
          <w:rFonts w:hint="cs"/>
          <w:b/>
          <w:bCs/>
          <w:sz w:val="20"/>
          <w:szCs w:val="20"/>
          <w:rtl/>
        </w:rPr>
        <w:t>בדי השולחן</w:t>
      </w:r>
      <w:r>
        <w:rPr>
          <w:rFonts w:hint="cs"/>
          <w:sz w:val="20"/>
          <w:szCs w:val="20"/>
          <w:rtl/>
        </w:rPr>
        <w:t xml:space="preserve"> </w:t>
      </w:r>
      <w:r>
        <w:rPr>
          <w:sz w:val="20"/>
          <w:szCs w:val="20"/>
          <w:rtl/>
        </w:rPr>
        <w:t>–</w:t>
      </w:r>
      <w:r>
        <w:rPr>
          <w:rFonts w:hint="cs"/>
          <w:sz w:val="20"/>
          <w:szCs w:val="20"/>
          <w:rtl/>
        </w:rPr>
        <w:t xml:space="preserve"> יש להחמיר, ולכן אם אירע אונס ולא נבעלה ביום הנישואין צריכה לבדוק עד הבעילה.</w:t>
      </w:r>
    </w:p>
    <w:p w:rsidR="00620060" w:rsidRDefault="00620060" w:rsidP="00620060">
      <w:pPr>
        <w:rPr>
          <w:sz w:val="20"/>
          <w:szCs w:val="20"/>
          <w:rtl/>
        </w:rPr>
      </w:pPr>
      <w:r>
        <w:rPr>
          <w:rFonts w:hint="cs"/>
          <w:b/>
          <w:bCs/>
          <w:sz w:val="20"/>
          <w:szCs w:val="20"/>
          <w:rtl/>
        </w:rPr>
        <w:t>לשאול את הכלה אם שמרה ז' נקיים</w:t>
      </w:r>
      <w:r>
        <w:rPr>
          <w:b/>
          <w:bCs/>
          <w:sz w:val="20"/>
          <w:szCs w:val="20"/>
          <w:rtl/>
        </w:rPr>
        <w:br/>
      </w:r>
      <w:r>
        <w:rPr>
          <w:rFonts w:hint="cs"/>
          <w:b/>
          <w:bCs/>
          <w:sz w:val="20"/>
          <w:szCs w:val="20"/>
          <w:rtl/>
        </w:rPr>
        <w:t>פסיקת הלכה</w:t>
      </w:r>
      <w:r>
        <w:rPr>
          <w:b/>
          <w:bCs/>
          <w:sz w:val="20"/>
          <w:szCs w:val="20"/>
          <w:rtl/>
        </w:rPr>
        <w:br/>
      </w:r>
      <w:r>
        <w:rPr>
          <w:rFonts w:hint="cs"/>
          <w:b/>
          <w:bCs/>
          <w:sz w:val="20"/>
          <w:szCs w:val="20"/>
          <w:rtl/>
        </w:rPr>
        <w:t>רמ"א</w:t>
      </w:r>
      <w:r w:rsidRPr="00D907A4">
        <w:rPr>
          <w:rFonts w:hint="cs"/>
          <w:sz w:val="18"/>
          <w:szCs w:val="18"/>
          <w:rtl/>
        </w:rPr>
        <w:t xml:space="preserve"> (ע"פ </w:t>
      </w:r>
      <w:r w:rsidRPr="00D907A4">
        <w:rPr>
          <w:rFonts w:hint="cs"/>
          <w:b/>
          <w:bCs/>
          <w:sz w:val="18"/>
          <w:szCs w:val="18"/>
          <w:rtl/>
        </w:rPr>
        <w:t>הגהש"ד</w:t>
      </w:r>
      <w:r w:rsidRPr="00D907A4">
        <w:rPr>
          <w:rFonts w:hint="cs"/>
          <w:sz w:val="18"/>
          <w:szCs w:val="18"/>
          <w:rtl/>
        </w:rPr>
        <w:t xml:space="preserve">) </w:t>
      </w:r>
      <w:r w:rsidRPr="00D907A4">
        <w:rPr>
          <w:sz w:val="18"/>
          <w:szCs w:val="18"/>
          <w:rtl/>
        </w:rPr>
        <w:t>–</w:t>
      </w:r>
      <w:r w:rsidRPr="00D907A4">
        <w:rPr>
          <w:rFonts w:hint="cs"/>
          <w:sz w:val="18"/>
          <w:szCs w:val="18"/>
          <w:rtl/>
        </w:rPr>
        <w:t xml:space="preserve"> "</w:t>
      </w:r>
      <w:r w:rsidRPr="00D907A4">
        <w:rPr>
          <w:rFonts w:cs="Arial" w:hint="cs"/>
          <w:sz w:val="18"/>
          <w:szCs w:val="18"/>
          <w:rtl/>
        </w:rPr>
        <w:t>וכל</w:t>
      </w:r>
      <w:r w:rsidRPr="00D907A4">
        <w:rPr>
          <w:rFonts w:cs="Arial"/>
          <w:sz w:val="18"/>
          <w:szCs w:val="18"/>
          <w:rtl/>
        </w:rPr>
        <w:t xml:space="preserve"> </w:t>
      </w:r>
      <w:r w:rsidRPr="00D907A4">
        <w:rPr>
          <w:rFonts w:cs="Arial" w:hint="cs"/>
          <w:sz w:val="18"/>
          <w:szCs w:val="18"/>
          <w:rtl/>
        </w:rPr>
        <w:t>חתן</w:t>
      </w:r>
      <w:r w:rsidRPr="00D907A4">
        <w:rPr>
          <w:rFonts w:cs="Arial"/>
          <w:sz w:val="18"/>
          <w:szCs w:val="18"/>
          <w:rtl/>
        </w:rPr>
        <w:t xml:space="preserve"> </w:t>
      </w:r>
      <w:r w:rsidRPr="00D907A4">
        <w:rPr>
          <w:rFonts w:cs="Arial" w:hint="cs"/>
          <w:sz w:val="18"/>
          <w:szCs w:val="18"/>
          <w:rtl/>
        </w:rPr>
        <w:t>ישאל</w:t>
      </w:r>
      <w:r w:rsidRPr="00D907A4">
        <w:rPr>
          <w:rFonts w:cs="Arial"/>
          <w:sz w:val="18"/>
          <w:szCs w:val="18"/>
          <w:rtl/>
        </w:rPr>
        <w:t xml:space="preserve"> </w:t>
      </w:r>
      <w:r w:rsidRPr="00D907A4">
        <w:rPr>
          <w:rFonts w:cs="Arial" w:hint="cs"/>
          <w:sz w:val="18"/>
          <w:szCs w:val="18"/>
          <w:rtl/>
        </w:rPr>
        <w:t>לכלה</w:t>
      </w:r>
      <w:r w:rsidRPr="00D907A4">
        <w:rPr>
          <w:rFonts w:cs="Arial"/>
          <w:sz w:val="18"/>
          <w:szCs w:val="18"/>
          <w:rtl/>
        </w:rPr>
        <w:t xml:space="preserve"> </w:t>
      </w:r>
      <w:r w:rsidRPr="00D907A4">
        <w:rPr>
          <w:rFonts w:cs="Arial" w:hint="cs"/>
          <w:sz w:val="18"/>
          <w:szCs w:val="18"/>
          <w:rtl/>
        </w:rPr>
        <w:t>קודם</w:t>
      </w:r>
      <w:r w:rsidRPr="00D907A4">
        <w:rPr>
          <w:rFonts w:cs="Arial"/>
          <w:sz w:val="18"/>
          <w:szCs w:val="18"/>
          <w:rtl/>
        </w:rPr>
        <w:t xml:space="preserve"> </w:t>
      </w:r>
      <w:r w:rsidRPr="00D907A4">
        <w:rPr>
          <w:rFonts w:cs="Arial" w:hint="cs"/>
          <w:sz w:val="18"/>
          <w:szCs w:val="18"/>
          <w:rtl/>
        </w:rPr>
        <w:t>שיגע</w:t>
      </w:r>
      <w:r w:rsidRPr="00D907A4">
        <w:rPr>
          <w:rFonts w:cs="Arial"/>
          <w:sz w:val="18"/>
          <w:szCs w:val="18"/>
          <w:rtl/>
        </w:rPr>
        <w:t xml:space="preserve"> </w:t>
      </w:r>
      <w:r w:rsidRPr="00D907A4">
        <w:rPr>
          <w:rFonts w:cs="Arial" w:hint="cs"/>
          <w:sz w:val="18"/>
          <w:szCs w:val="18"/>
          <w:rtl/>
        </w:rPr>
        <w:t>בה</w:t>
      </w:r>
      <w:r w:rsidRPr="00D907A4">
        <w:rPr>
          <w:rFonts w:cs="Arial"/>
          <w:sz w:val="18"/>
          <w:szCs w:val="18"/>
          <w:rtl/>
        </w:rPr>
        <w:t xml:space="preserve">, </w:t>
      </w:r>
      <w:r w:rsidRPr="00D907A4">
        <w:rPr>
          <w:rFonts w:cs="Arial" w:hint="cs"/>
          <w:sz w:val="18"/>
          <w:szCs w:val="18"/>
          <w:rtl/>
        </w:rPr>
        <w:t>אם</w:t>
      </w:r>
      <w:r w:rsidRPr="00D907A4">
        <w:rPr>
          <w:rFonts w:cs="Arial"/>
          <w:sz w:val="18"/>
          <w:szCs w:val="18"/>
          <w:rtl/>
        </w:rPr>
        <w:t xml:space="preserve"> </w:t>
      </w:r>
      <w:r w:rsidRPr="00D907A4">
        <w:rPr>
          <w:rFonts w:cs="Arial" w:hint="cs"/>
          <w:sz w:val="18"/>
          <w:szCs w:val="18"/>
          <w:rtl/>
        </w:rPr>
        <w:t>שמרה</w:t>
      </w:r>
      <w:r w:rsidRPr="00D907A4">
        <w:rPr>
          <w:rFonts w:cs="Arial"/>
          <w:sz w:val="18"/>
          <w:szCs w:val="18"/>
          <w:rtl/>
        </w:rPr>
        <w:t xml:space="preserve"> </w:t>
      </w:r>
      <w:r w:rsidRPr="00D907A4">
        <w:rPr>
          <w:rFonts w:cs="Arial" w:hint="cs"/>
          <w:sz w:val="18"/>
          <w:szCs w:val="18"/>
          <w:rtl/>
        </w:rPr>
        <w:t>ז</w:t>
      </w:r>
      <w:r w:rsidRPr="00D907A4">
        <w:rPr>
          <w:rFonts w:cs="Arial"/>
          <w:sz w:val="18"/>
          <w:szCs w:val="18"/>
          <w:rtl/>
        </w:rPr>
        <w:t xml:space="preserve">' </w:t>
      </w:r>
      <w:r w:rsidRPr="00D907A4">
        <w:rPr>
          <w:rFonts w:cs="Arial" w:hint="cs"/>
          <w:sz w:val="18"/>
          <w:szCs w:val="18"/>
          <w:rtl/>
        </w:rPr>
        <w:t>נקיים".</w:t>
      </w:r>
      <w:r>
        <w:rPr>
          <w:sz w:val="20"/>
          <w:szCs w:val="20"/>
          <w:rtl/>
        </w:rPr>
        <w:br/>
      </w:r>
      <w:r w:rsidRPr="00D907A4">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לא נהגו היום לשאול זאת את הכלה, וסומכים על כך שאם הכלה טמאה היו מודיעים זאת לחתן.</w:t>
      </w:r>
    </w:p>
    <w:p w:rsidR="00620060" w:rsidRDefault="00620060" w:rsidP="00620060">
      <w:pPr>
        <w:rPr>
          <w:sz w:val="20"/>
          <w:szCs w:val="20"/>
          <w:rtl/>
        </w:rPr>
      </w:pPr>
      <w:r w:rsidRPr="0052317D">
        <w:rPr>
          <w:rFonts w:hint="cs"/>
          <w:b/>
          <w:bCs/>
          <w:sz w:val="20"/>
          <w:szCs w:val="20"/>
          <w:rtl/>
        </w:rPr>
        <w:t>סיכום</w:t>
      </w:r>
      <w:r>
        <w:rPr>
          <w:sz w:val="20"/>
          <w:szCs w:val="20"/>
          <w:rtl/>
        </w:rPr>
        <w:br/>
      </w:r>
      <w:r>
        <w:rPr>
          <w:rFonts w:hint="cs"/>
          <w:sz w:val="20"/>
          <w:szCs w:val="20"/>
          <w:rtl/>
        </w:rPr>
        <w:t xml:space="preserve">1. </w:t>
      </w:r>
      <w:r w:rsidRPr="0052317D">
        <w:rPr>
          <w:rFonts w:hint="cs"/>
          <w:b/>
          <w:bCs/>
          <w:sz w:val="20"/>
          <w:szCs w:val="20"/>
          <w:rtl/>
        </w:rPr>
        <w:t>רשב"א</w:t>
      </w:r>
      <w:r>
        <w:rPr>
          <w:rFonts w:hint="cs"/>
          <w:sz w:val="20"/>
          <w:szCs w:val="20"/>
          <w:rtl/>
        </w:rPr>
        <w:t xml:space="preserve">. יש למנות ז"נ משעה שמכינים צרכי החופה, לא משעת תביעה, וכ"פ </w:t>
      </w:r>
      <w:r w:rsidRPr="0052317D">
        <w:rPr>
          <w:rFonts w:hint="cs"/>
          <w:b/>
          <w:bCs/>
          <w:sz w:val="20"/>
          <w:szCs w:val="20"/>
          <w:rtl/>
        </w:rPr>
        <w:t>המחבר</w:t>
      </w:r>
      <w:r>
        <w:rPr>
          <w:rFonts w:hint="cs"/>
          <w:sz w:val="20"/>
          <w:szCs w:val="20"/>
          <w:rtl/>
        </w:rPr>
        <w:t xml:space="preserve">. </w:t>
      </w:r>
      <w:r w:rsidRPr="0052317D">
        <w:rPr>
          <w:rFonts w:hint="cs"/>
          <w:b/>
          <w:bCs/>
          <w:sz w:val="20"/>
          <w:szCs w:val="20"/>
          <w:rtl/>
        </w:rPr>
        <w:t>רשב"ם</w:t>
      </w:r>
      <w:r>
        <w:rPr>
          <w:rFonts w:hint="cs"/>
          <w:sz w:val="20"/>
          <w:szCs w:val="20"/>
          <w:rtl/>
        </w:rPr>
        <w:t xml:space="preserve">. יש למנות ז"נ סמוך לבעילה, וכ"פ </w:t>
      </w:r>
      <w:r w:rsidRPr="0052317D">
        <w:rPr>
          <w:rFonts w:hint="cs"/>
          <w:b/>
          <w:bCs/>
          <w:sz w:val="20"/>
          <w:szCs w:val="20"/>
          <w:rtl/>
        </w:rPr>
        <w:t>הרמ"א</w:t>
      </w:r>
      <w:r>
        <w:rPr>
          <w:rFonts w:hint="cs"/>
          <w:sz w:val="20"/>
          <w:szCs w:val="20"/>
          <w:rtl/>
        </w:rPr>
        <w:t xml:space="preserve">. </w:t>
      </w:r>
      <w:r w:rsidRPr="0052317D">
        <w:rPr>
          <w:rFonts w:hint="cs"/>
          <w:b/>
          <w:bCs/>
          <w:sz w:val="20"/>
          <w:szCs w:val="20"/>
          <w:rtl/>
        </w:rPr>
        <w:t>הגה"מ</w:t>
      </w:r>
      <w:r>
        <w:rPr>
          <w:rFonts w:hint="cs"/>
          <w:sz w:val="20"/>
          <w:szCs w:val="20"/>
          <w:rtl/>
        </w:rPr>
        <w:t xml:space="preserve">. אם לא נבעלה תמשיך לבדוק פעמיים ביום, וכ"פ </w:t>
      </w:r>
      <w:r w:rsidRPr="0052317D">
        <w:rPr>
          <w:rFonts w:hint="cs"/>
          <w:b/>
          <w:bCs/>
          <w:sz w:val="20"/>
          <w:szCs w:val="20"/>
          <w:rtl/>
        </w:rPr>
        <w:t>הרמ"א</w:t>
      </w:r>
      <w:r>
        <w:rPr>
          <w:rFonts w:hint="cs"/>
          <w:sz w:val="20"/>
          <w:szCs w:val="20"/>
          <w:rtl/>
        </w:rPr>
        <w:t xml:space="preserve"> לעיקה"ד.</w:t>
      </w:r>
      <w:r>
        <w:rPr>
          <w:sz w:val="20"/>
          <w:szCs w:val="20"/>
          <w:rtl/>
        </w:rPr>
        <w:br/>
      </w:r>
      <w:r>
        <w:rPr>
          <w:rFonts w:hint="cs"/>
          <w:sz w:val="20"/>
          <w:szCs w:val="20"/>
          <w:rtl/>
        </w:rPr>
        <w:t xml:space="preserve">2. </w:t>
      </w:r>
      <w:r w:rsidRPr="0052347B">
        <w:rPr>
          <w:rFonts w:hint="cs"/>
          <w:sz w:val="20"/>
          <w:szCs w:val="20"/>
          <w:rtl/>
        </w:rPr>
        <w:t>מנהג.</w:t>
      </w:r>
      <w:r>
        <w:rPr>
          <w:rFonts w:hint="cs"/>
          <w:sz w:val="20"/>
          <w:szCs w:val="20"/>
          <w:rtl/>
        </w:rPr>
        <w:t xml:space="preserve"> נהגו לטבול בליל ד' אע"פ שהבעילה במוצ"ש, אין להרחיק טפי, ואם הרחיקו צריכה לבדוק.</w:t>
      </w:r>
      <w:r>
        <w:rPr>
          <w:rFonts w:hint="cs"/>
          <w:sz w:val="20"/>
          <w:szCs w:val="20"/>
          <w:rtl/>
        </w:rPr>
        <w:br/>
      </w:r>
      <w:r w:rsidRPr="0052317D">
        <w:rPr>
          <w:rFonts w:hint="cs"/>
          <w:b/>
          <w:bCs/>
          <w:sz w:val="20"/>
          <w:szCs w:val="20"/>
          <w:rtl/>
        </w:rPr>
        <w:t>לחו"ש</w:t>
      </w:r>
      <w:r>
        <w:rPr>
          <w:rFonts w:hint="cs"/>
          <w:sz w:val="20"/>
          <w:szCs w:val="20"/>
          <w:rtl/>
        </w:rPr>
        <w:t xml:space="preserve">. אע"פ שנישאת צריכה לבדוק עצמה, חומדת ביאה. </w:t>
      </w:r>
      <w:r w:rsidRPr="0052317D">
        <w:rPr>
          <w:rFonts w:hint="cs"/>
          <w:b/>
          <w:bCs/>
          <w:sz w:val="20"/>
          <w:szCs w:val="20"/>
          <w:rtl/>
        </w:rPr>
        <w:t>חוו"ד</w:t>
      </w:r>
      <w:r>
        <w:rPr>
          <w:rFonts w:hint="cs"/>
          <w:sz w:val="20"/>
          <w:szCs w:val="20"/>
          <w:rtl/>
        </w:rPr>
        <w:t>. לאחר הנישואין ליכא חימוד.</w:t>
      </w:r>
      <w:r>
        <w:rPr>
          <w:rFonts w:hint="cs"/>
          <w:sz w:val="20"/>
          <w:szCs w:val="20"/>
          <w:rtl/>
        </w:rPr>
        <w:br/>
        <w:t xml:space="preserve">3. </w:t>
      </w:r>
      <w:r w:rsidRPr="0052317D">
        <w:rPr>
          <w:rFonts w:hint="cs"/>
          <w:b/>
          <w:bCs/>
          <w:sz w:val="20"/>
          <w:szCs w:val="20"/>
          <w:rtl/>
        </w:rPr>
        <w:t>רמ"א</w:t>
      </w:r>
      <w:r>
        <w:rPr>
          <w:rFonts w:hint="cs"/>
          <w:sz w:val="20"/>
          <w:szCs w:val="20"/>
          <w:rtl/>
        </w:rPr>
        <w:t>. יש לשאול את הכלה אם שמרה ז"נ</w:t>
      </w:r>
      <w:r w:rsidRPr="0052317D">
        <w:rPr>
          <w:rFonts w:hint="cs"/>
          <w:sz w:val="20"/>
          <w:szCs w:val="20"/>
          <w:rtl/>
        </w:rPr>
        <w:t>.</w:t>
      </w:r>
      <w:r w:rsidRPr="0052317D">
        <w:rPr>
          <w:rFonts w:hint="cs"/>
          <w:b/>
          <w:bCs/>
          <w:sz w:val="20"/>
          <w:szCs w:val="20"/>
          <w:rtl/>
        </w:rPr>
        <w:t xml:space="preserve"> ש"ך</w:t>
      </w:r>
      <w:r>
        <w:rPr>
          <w:rFonts w:hint="cs"/>
          <w:sz w:val="20"/>
          <w:szCs w:val="20"/>
          <w:rtl/>
        </w:rPr>
        <w:t>. לא נהגו לשאול, אם היא טמאה יודיעו לחתן.</w:t>
      </w:r>
      <w:r>
        <w:rPr>
          <w:rFonts w:hint="cs"/>
          <w:sz w:val="20"/>
          <w:szCs w:val="20"/>
          <w:rtl/>
        </w:rPr>
        <w:br/>
        <w:t xml:space="preserve">4. </w:t>
      </w:r>
      <w:r w:rsidRPr="000A0E9A">
        <w:rPr>
          <w:rFonts w:hint="cs"/>
          <w:b/>
          <w:bCs/>
          <w:sz w:val="20"/>
          <w:szCs w:val="20"/>
          <w:rtl/>
        </w:rPr>
        <w:t>ט"ז</w:t>
      </w:r>
      <w:r>
        <w:rPr>
          <w:rFonts w:hint="cs"/>
          <w:sz w:val="20"/>
          <w:szCs w:val="20"/>
          <w:rtl/>
        </w:rPr>
        <w:t xml:space="preserve">. מנתה ז"נ משעת תביעה והקדימו את הנישואין, לא מהני. מנתה מעת שהכינו את צרכי חופה והקדימו את הנישואין, מהני. </w:t>
      </w:r>
      <w:r w:rsidRPr="000A0E9A">
        <w:rPr>
          <w:rFonts w:hint="cs"/>
          <w:b/>
          <w:bCs/>
          <w:sz w:val="20"/>
          <w:szCs w:val="20"/>
          <w:rtl/>
        </w:rPr>
        <w:t>טעם</w:t>
      </w:r>
      <w:r>
        <w:rPr>
          <w:rFonts w:hint="cs"/>
          <w:sz w:val="20"/>
          <w:szCs w:val="20"/>
          <w:rtl/>
        </w:rPr>
        <w:t xml:space="preserve">. בשעת תביעה אין חימוד. </w:t>
      </w:r>
      <w:r>
        <w:rPr>
          <w:b/>
          <w:bCs/>
          <w:sz w:val="20"/>
          <w:szCs w:val="20"/>
          <w:rtl/>
        </w:rPr>
        <w:br/>
      </w:r>
      <w:r w:rsidRPr="000A0E9A">
        <w:rPr>
          <w:rFonts w:hint="cs"/>
          <w:b/>
          <w:bCs/>
          <w:sz w:val="20"/>
          <w:szCs w:val="20"/>
          <w:rtl/>
        </w:rPr>
        <w:t>דרישה</w:t>
      </w:r>
      <w:r>
        <w:rPr>
          <w:rFonts w:hint="cs"/>
          <w:sz w:val="20"/>
          <w:szCs w:val="20"/>
          <w:rtl/>
        </w:rPr>
        <w:t xml:space="preserve">. אפילו אם התחילה למנות ז"נ מעת שהתחילו את הכנת צרכי החופה, מהני רק אם היו סמוכים לחופה. </w:t>
      </w:r>
      <w:r>
        <w:rPr>
          <w:sz w:val="20"/>
          <w:szCs w:val="20"/>
          <w:rtl/>
        </w:rPr>
        <w:br/>
      </w:r>
      <w:r w:rsidRPr="000A0E9A">
        <w:rPr>
          <w:rFonts w:hint="cs"/>
          <w:b/>
          <w:bCs/>
          <w:sz w:val="20"/>
          <w:szCs w:val="20"/>
          <w:rtl/>
        </w:rPr>
        <w:t>ט"ז</w:t>
      </w:r>
      <w:r>
        <w:rPr>
          <w:rFonts w:hint="cs"/>
          <w:sz w:val="20"/>
          <w:szCs w:val="20"/>
          <w:rtl/>
        </w:rPr>
        <w:t xml:space="preserve">. אין צריך כן שהרי מנתה מעת שהתעורר החימוד, ומכל מקום נהגו לסמוך הז"נ לחתונה, </w:t>
      </w:r>
      <w:r w:rsidRPr="008B7082">
        <w:rPr>
          <w:rFonts w:hint="cs"/>
          <w:b/>
          <w:bCs/>
          <w:sz w:val="20"/>
          <w:szCs w:val="20"/>
          <w:rtl/>
        </w:rPr>
        <w:t>כרמ"א ודרישה</w:t>
      </w:r>
      <w:r>
        <w:rPr>
          <w:rFonts w:hint="cs"/>
          <w:sz w:val="20"/>
          <w:szCs w:val="20"/>
          <w:rtl/>
        </w:rPr>
        <w:t xml:space="preserve">.  </w:t>
      </w:r>
    </w:p>
    <w:p w:rsidR="00620060" w:rsidRDefault="00620060" w:rsidP="00620060">
      <w:pPr>
        <w:rPr>
          <w:sz w:val="20"/>
          <w:szCs w:val="20"/>
          <w:rtl/>
        </w:rPr>
      </w:pPr>
      <w:r>
        <w:rPr>
          <w:sz w:val="20"/>
          <w:szCs w:val="20"/>
          <w:rtl/>
        </w:rPr>
        <w:br/>
      </w:r>
      <w:r>
        <w:rPr>
          <w:rFonts w:hint="cs"/>
          <w:b/>
          <w:bCs/>
          <w:sz w:val="20"/>
          <w:szCs w:val="20"/>
          <w:rtl/>
        </w:rPr>
        <w:t>סעיף ג - התחילה למנות ז' נקיים ודחו את הנישואין</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מרדכי בשם מהר"ם </w:t>
      </w:r>
      <w:r>
        <w:rPr>
          <w:sz w:val="20"/>
          <w:szCs w:val="20"/>
          <w:rtl/>
        </w:rPr>
        <w:t>–</w:t>
      </w:r>
      <w:r>
        <w:rPr>
          <w:rFonts w:hint="cs"/>
          <w:sz w:val="20"/>
          <w:szCs w:val="20"/>
          <w:rtl/>
        </w:rPr>
        <w:t xml:space="preserve"> מוכח מדברי רשב"ם שאם התחילה למנות ז' נקיים אך הנישואין נדחו מחמת אי הסכמה של הצדדים ולאחר זמן התפייסו, צריכה למנות ז' נקיים פעם נוספת, וכ"פ </w:t>
      </w:r>
      <w:r w:rsidRPr="00AA0325">
        <w:rPr>
          <w:rFonts w:hint="cs"/>
          <w:b/>
          <w:bCs/>
          <w:sz w:val="20"/>
          <w:szCs w:val="20"/>
          <w:rtl/>
        </w:rPr>
        <w:t>המחבר</w:t>
      </w:r>
      <w:r>
        <w:rPr>
          <w:rFonts w:hint="cs"/>
          <w:sz w:val="20"/>
          <w:szCs w:val="20"/>
          <w:rtl/>
        </w:rPr>
        <w:t>.</w:t>
      </w:r>
      <w:r>
        <w:rPr>
          <w:sz w:val="20"/>
          <w:szCs w:val="20"/>
          <w:rtl/>
        </w:rPr>
        <w:t xml:space="preserve"> </w:t>
      </w:r>
      <w:r>
        <w:rPr>
          <w:sz w:val="20"/>
          <w:szCs w:val="20"/>
          <w:rtl/>
        </w:rPr>
        <w:br/>
      </w:r>
      <w:r>
        <w:rPr>
          <w:rFonts w:hint="cs"/>
          <w:sz w:val="20"/>
          <w:szCs w:val="20"/>
          <w:rtl/>
        </w:rPr>
        <w:br/>
      </w:r>
      <w:r>
        <w:rPr>
          <w:rFonts w:hint="cs"/>
          <w:b/>
          <w:bCs/>
          <w:sz w:val="20"/>
          <w:szCs w:val="20"/>
          <w:rtl/>
        </w:rPr>
        <w:t>מחלוקת בהבנת המרדכי</w:t>
      </w:r>
      <w:r>
        <w:rPr>
          <w:sz w:val="20"/>
          <w:szCs w:val="20"/>
          <w:rtl/>
        </w:rPr>
        <w:br/>
      </w:r>
      <w:r w:rsidRPr="00EF7F28">
        <w:rPr>
          <w:rFonts w:hint="cs"/>
          <w:b/>
          <w:bCs/>
          <w:sz w:val="20"/>
          <w:szCs w:val="20"/>
          <w:rtl/>
        </w:rPr>
        <w:t>מהרי"ק</w:t>
      </w:r>
      <w:r>
        <w:rPr>
          <w:rFonts w:hint="cs"/>
          <w:sz w:val="20"/>
          <w:szCs w:val="20"/>
          <w:rtl/>
        </w:rPr>
        <w:t xml:space="preserve"> </w:t>
      </w:r>
      <w:r>
        <w:rPr>
          <w:sz w:val="20"/>
          <w:szCs w:val="20"/>
          <w:rtl/>
        </w:rPr>
        <w:t>–</w:t>
      </w:r>
      <w:r>
        <w:rPr>
          <w:rFonts w:hint="cs"/>
          <w:sz w:val="20"/>
          <w:szCs w:val="20"/>
          <w:rtl/>
        </w:rPr>
        <w:t xml:space="preserve"> נחלקו הראשונים, ע"פ המרדכי, מה הדין כאשר הנישואין נדחו ביום או יומיים אך המשיכה לבדוק עצמה פעמיים ביום, האם בדיקות אלו מועילות או אינן מועילות?</w:t>
      </w:r>
      <w:r>
        <w:rPr>
          <w:rFonts w:hint="cs"/>
          <w:sz w:val="20"/>
          <w:szCs w:val="20"/>
          <w:rtl/>
        </w:rPr>
        <w:br/>
        <w:t xml:space="preserve">א. האוסרים </w:t>
      </w:r>
      <w:r>
        <w:rPr>
          <w:sz w:val="20"/>
          <w:szCs w:val="20"/>
          <w:rtl/>
        </w:rPr>
        <w:t>–</w:t>
      </w:r>
      <w:r>
        <w:rPr>
          <w:rFonts w:hint="cs"/>
          <w:sz w:val="20"/>
          <w:szCs w:val="20"/>
          <w:rtl/>
        </w:rPr>
        <w:t xml:space="preserve"> אין הבדיקות מועילות, וכ"פ </w:t>
      </w:r>
      <w:r w:rsidRPr="0098459A">
        <w:rPr>
          <w:rFonts w:hint="cs"/>
          <w:b/>
          <w:bCs/>
          <w:sz w:val="20"/>
          <w:szCs w:val="20"/>
          <w:rtl/>
        </w:rPr>
        <w:t>מהרי"ק</w:t>
      </w:r>
      <w:r>
        <w:rPr>
          <w:rFonts w:hint="cs"/>
          <w:b/>
          <w:bCs/>
          <w:sz w:val="20"/>
          <w:szCs w:val="20"/>
          <w:rtl/>
        </w:rPr>
        <w:t xml:space="preserve"> והרמ"א</w:t>
      </w:r>
      <w:r>
        <w:rPr>
          <w:rFonts w:hint="cs"/>
          <w:sz w:val="20"/>
          <w:szCs w:val="20"/>
          <w:rtl/>
        </w:rPr>
        <w:t>.</w:t>
      </w:r>
      <w:r>
        <w:rPr>
          <w:sz w:val="20"/>
          <w:szCs w:val="20"/>
          <w:rtl/>
        </w:rPr>
        <w:br/>
      </w:r>
      <w:r w:rsidRPr="0098459A">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ע"פ המרדכי הנ"ל, כל שנדחו הנישואים אינה נזהרת יפה לבדוק.</w:t>
      </w:r>
      <w:r>
        <w:rPr>
          <w:sz w:val="20"/>
          <w:szCs w:val="20"/>
          <w:rtl/>
        </w:rPr>
        <w:br/>
      </w:r>
      <w:r>
        <w:rPr>
          <w:rFonts w:hint="cs"/>
          <w:sz w:val="20"/>
          <w:szCs w:val="20"/>
          <w:rtl/>
        </w:rPr>
        <w:t xml:space="preserve">ב. המתירים </w:t>
      </w:r>
      <w:r>
        <w:rPr>
          <w:sz w:val="20"/>
          <w:szCs w:val="20"/>
          <w:rtl/>
        </w:rPr>
        <w:t>–</w:t>
      </w:r>
      <w:r>
        <w:rPr>
          <w:rFonts w:hint="cs"/>
          <w:sz w:val="20"/>
          <w:szCs w:val="20"/>
          <w:rtl/>
        </w:rPr>
        <w:t xml:space="preserve"> הבדיקות מועילות.</w:t>
      </w:r>
      <w:r>
        <w:rPr>
          <w:sz w:val="20"/>
          <w:szCs w:val="20"/>
          <w:rtl/>
        </w:rPr>
        <w:br/>
      </w:r>
      <w:r w:rsidRPr="0098459A">
        <w:rPr>
          <w:rFonts w:hint="cs"/>
          <w:b/>
          <w:bCs/>
          <w:sz w:val="20"/>
          <w:szCs w:val="20"/>
          <w:rtl/>
        </w:rPr>
        <w:lastRenderedPageBreak/>
        <w:t>טעם</w:t>
      </w:r>
      <w:r>
        <w:rPr>
          <w:rFonts w:hint="cs"/>
          <w:sz w:val="20"/>
          <w:szCs w:val="20"/>
          <w:rtl/>
        </w:rPr>
        <w:t xml:space="preserve"> </w:t>
      </w:r>
      <w:r>
        <w:rPr>
          <w:sz w:val="20"/>
          <w:szCs w:val="20"/>
          <w:rtl/>
        </w:rPr>
        <w:t>–</w:t>
      </w:r>
      <w:r>
        <w:rPr>
          <w:rFonts w:hint="cs"/>
          <w:sz w:val="20"/>
          <w:szCs w:val="20"/>
          <w:rtl/>
        </w:rPr>
        <w:t xml:space="preserve"> המרדכי דיבר באשה שהניחה לגמרי את הבדיקה ולא המשיכה לבדוק, בכה"ג אין הימים שבדקה עד עתה מועילים לה, אך אם המשיכה לבדוק עצמה מהני. </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98459A">
        <w:rPr>
          <w:rFonts w:cs="Arial" w:hint="cs"/>
          <w:sz w:val="20"/>
          <w:szCs w:val="20"/>
          <w:rtl/>
        </w:rPr>
        <w:t>אם</w:t>
      </w:r>
      <w:r w:rsidRPr="0098459A">
        <w:rPr>
          <w:rFonts w:cs="Arial"/>
          <w:sz w:val="20"/>
          <w:szCs w:val="20"/>
          <w:rtl/>
        </w:rPr>
        <w:t xml:space="preserve"> </w:t>
      </w:r>
      <w:r w:rsidRPr="0098459A">
        <w:rPr>
          <w:rFonts w:cs="Arial" w:hint="cs"/>
          <w:sz w:val="20"/>
          <w:szCs w:val="20"/>
          <w:rtl/>
        </w:rPr>
        <w:t>דחו</w:t>
      </w:r>
      <w:r w:rsidRPr="0098459A">
        <w:rPr>
          <w:rFonts w:cs="Arial"/>
          <w:sz w:val="20"/>
          <w:szCs w:val="20"/>
          <w:rtl/>
        </w:rPr>
        <w:t xml:space="preserve"> </w:t>
      </w:r>
      <w:r w:rsidRPr="0098459A">
        <w:rPr>
          <w:rFonts w:cs="Arial" w:hint="cs"/>
          <w:sz w:val="20"/>
          <w:szCs w:val="20"/>
          <w:rtl/>
        </w:rPr>
        <w:t>הנ</w:t>
      </w:r>
      <w:r>
        <w:rPr>
          <w:rFonts w:cs="Arial" w:hint="cs"/>
          <w:sz w:val="20"/>
          <w:szCs w:val="20"/>
          <w:rtl/>
        </w:rPr>
        <w:t>י</w:t>
      </w:r>
      <w:r w:rsidRPr="0098459A">
        <w:rPr>
          <w:rFonts w:cs="Arial" w:hint="cs"/>
          <w:sz w:val="20"/>
          <w:szCs w:val="20"/>
          <w:rtl/>
        </w:rPr>
        <w:t>שואין</w:t>
      </w:r>
      <w:r w:rsidRPr="0098459A">
        <w:rPr>
          <w:rFonts w:cs="Arial"/>
          <w:sz w:val="20"/>
          <w:szCs w:val="20"/>
          <w:rtl/>
        </w:rPr>
        <w:t xml:space="preserve"> </w:t>
      </w:r>
      <w:r w:rsidRPr="0098459A">
        <w:rPr>
          <w:rFonts w:cs="Arial" w:hint="cs"/>
          <w:sz w:val="20"/>
          <w:szCs w:val="20"/>
          <w:rtl/>
        </w:rPr>
        <w:t>מחמת</w:t>
      </w:r>
      <w:r w:rsidRPr="0098459A">
        <w:rPr>
          <w:rFonts w:cs="Arial"/>
          <w:sz w:val="20"/>
          <w:szCs w:val="20"/>
          <w:rtl/>
        </w:rPr>
        <w:t xml:space="preserve"> </w:t>
      </w:r>
      <w:r w:rsidRPr="0098459A">
        <w:rPr>
          <w:rFonts w:cs="Arial" w:hint="cs"/>
          <w:sz w:val="20"/>
          <w:szCs w:val="20"/>
          <w:rtl/>
        </w:rPr>
        <w:t>איזה</w:t>
      </w:r>
      <w:r w:rsidRPr="0098459A">
        <w:rPr>
          <w:rFonts w:cs="Arial"/>
          <w:sz w:val="20"/>
          <w:szCs w:val="20"/>
          <w:rtl/>
        </w:rPr>
        <w:t xml:space="preserve"> </w:t>
      </w:r>
      <w:r w:rsidRPr="0098459A">
        <w:rPr>
          <w:rFonts w:cs="Arial" w:hint="cs"/>
          <w:sz w:val="20"/>
          <w:szCs w:val="20"/>
          <w:rtl/>
        </w:rPr>
        <w:t>סבה</w:t>
      </w:r>
      <w:r w:rsidRPr="0098459A">
        <w:rPr>
          <w:rFonts w:cs="Arial"/>
          <w:sz w:val="20"/>
          <w:szCs w:val="20"/>
          <w:rtl/>
        </w:rPr>
        <w:t xml:space="preserve"> </w:t>
      </w:r>
      <w:r w:rsidRPr="0098459A">
        <w:rPr>
          <w:rFonts w:cs="Arial" w:hint="cs"/>
          <w:sz w:val="20"/>
          <w:szCs w:val="20"/>
          <w:rtl/>
        </w:rPr>
        <w:t>אף</w:t>
      </w:r>
      <w:r w:rsidRPr="0098459A">
        <w:rPr>
          <w:rFonts w:cs="Arial"/>
          <w:sz w:val="20"/>
          <w:szCs w:val="20"/>
          <w:rtl/>
        </w:rPr>
        <w:t xml:space="preserve"> </w:t>
      </w:r>
      <w:r w:rsidRPr="0098459A">
        <w:rPr>
          <w:rFonts w:cs="Arial" w:hint="cs"/>
          <w:sz w:val="20"/>
          <w:szCs w:val="20"/>
          <w:rtl/>
        </w:rPr>
        <w:t>על</w:t>
      </w:r>
      <w:r w:rsidRPr="0098459A">
        <w:rPr>
          <w:rFonts w:cs="Arial"/>
          <w:sz w:val="20"/>
          <w:szCs w:val="20"/>
          <w:rtl/>
        </w:rPr>
        <w:t xml:space="preserve"> </w:t>
      </w:r>
      <w:r w:rsidRPr="0098459A">
        <w:rPr>
          <w:rFonts w:cs="Arial" w:hint="cs"/>
          <w:sz w:val="20"/>
          <w:szCs w:val="20"/>
          <w:rtl/>
        </w:rPr>
        <w:t>פי</w:t>
      </w:r>
      <w:r w:rsidRPr="0098459A">
        <w:rPr>
          <w:rFonts w:cs="Arial"/>
          <w:sz w:val="20"/>
          <w:szCs w:val="20"/>
          <w:rtl/>
        </w:rPr>
        <w:t xml:space="preserve"> </w:t>
      </w:r>
      <w:r w:rsidRPr="0098459A">
        <w:rPr>
          <w:rFonts w:cs="Arial" w:hint="cs"/>
          <w:sz w:val="20"/>
          <w:szCs w:val="20"/>
          <w:rtl/>
        </w:rPr>
        <w:t>שישבה</w:t>
      </w:r>
      <w:r w:rsidRPr="0098459A">
        <w:rPr>
          <w:rFonts w:cs="Arial"/>
          <w:sz w:val="20"/>
          <w:szCs w:val="20"/>
          <w:rtl/>
        </w:rPr>
        <w:t xml:space="preserve"> </w:t>
      </w:r>
      <w:r w:rsidRPr="0098459A">
        <w:rPr>
          <w:rFonts w:cs="Arial" w:hint="cs"/>
          <w:sz w:val="20"/>
          <w:szCs w:val="20"/>
          <w:rtl/>
        </w:rPr>
        <w:t>ז</w:t>
      </w:r>
      <w:r w:rsidRPr="0098459A">
        <w:rPr>
          <w:rFonts w:cs="Arial"/>
          <w:sz w:val="20"/>
          <w:szCs w:val="20"/>
          <w:rtl/>
        </w:rPr>
        <w:t xml:space="preserve">' </w:t>
      </w:r>
      <w:r w:rsidRPr="0098459A">
        <w:rPr>
          <w:rFonts w:cs="Arial" w:hint="cs"/>
          <w:sz w:val="20"/>
          <w:szCs w:val="20"/>
          <w:rtl/>
        </w:rPr>
        <w:t>נקיים</w:t>
      </w:r>
      <w:r w:rsidRPr="0098459A">
        <w:rPr>
          <w:rFonts w:cs="Arial"/>
          <w:sz w:val="20"/>
          <w:szCs w:val="20"/>
          <w:rtl/>
        </w:rPr>
        <w:t xml:space="preserve"> </w:t>
      </w:r>
      <w:r w:rsidRPr="0098459A">
        <w:rPr>
          <w:rFonts w:cs="Arial" w:hint="cs"/>
          <w:sz w:val="20"/>
          <w:szCs w:val="20"/>
          <w:rtl/>
        </w:rPr>
        <w:t>צריכה</w:t>
      </w:r>
      <w:r w:rsidRPr="0098459A">
        <w:rPr>
          <w:rFonts w:cs="Arial"/>
          <w:sz w:val="20"/>
          <w:szCs w:val="20"/>
          <w:rtl/>
        </w:rPr>
        <w:t xml:space="preserve"> </w:t>
      </w:r>
      <w:r w:rsidRPr="0098459A">
        <w:rPr>
          <w:rFonts w:cs="Arial" w:hint="cs"/>
          <w:sz w:val="20"/>
          <w:szCs w:val="20"/>
          <w:rtl/>
        </w:rPr>
        <w:t>לחזור</w:t>
      </w:r>
      <w:r w:rsidRPr="0098459A">
        <w:rPr>
          <w:rFonts w:cs="Arial"/>
          <w:sz w:val="20"/>
          <w:szCs w:val="20"/>
          <w:rtl/>
        </w:rPr>
        <w:t xml:space="preserve"> </w:t>
      </w:r>
      <w:r w:rsidRPr="0098459A">
        <w:rPr>
          <w:rFonts w:cs="Arial" w:hint="cs"/>
          <w:sz w:val="20"/>
          <w:szCs w:val="20"/>
          <w:rtl/>
        </w:rPr>
        <w:t>ולישב</w:t>
      </w:r>
      <w:r w:rsidRPr="0098459A">
        <w:rPr>
          <w:rFonts w:cs="Arial"/>
          <w:sz w:val="20"/>
          <w:szCs w:val="20"/>
          <w:rtl/>
        </w:rPr>
        <w:t xml:space="preserve"> </w:t>
      </w:r>
      <w:r w:rsidRPr="0098459A">
        <w:rPr>
          <w:rFonts w:cs="Arial" w:hint="cs"/>
          <w:sz w:val="20"/>
          <w:szCs w:val="20"/>
          <w:rtl/>
        </w:rPr>
        <w:t>ז</w:t>
      </w:r>
      <w:r w:rsidRPr="0098459A">
        <w:rPr>
          <w:rFonts w:cs="Arial"/>
          <w:sz w:val="20"/>
          <w:szCs w:val="20"/>
          <w:rtl/>
        </w:rPr>
        <w:t xml:space="preserve">' </w:t>
      </w:r>
      <w:r w:rsidRPr="0098459A">
        <w:rPr>
          <w:rFonts w:cs="Arial" w:hint="cs"/>
          <w:sz w:val="20"/>
          <w:szCs w:val="20"/>
          <w:rtl/>
        </w:rPr>
        <w:t>נקיים</w:t>
      </w:r>
      <w:r w:rsidRPr="0098459A">
        <w:rPr>
          <w:rFonts w:cs="Arial"/>
          <w:sz w:val="20"/>
          <w:szCs w:val="20"/>
          <w:rtl/>
        </w:rPr>
        <w:t xml:space="preserve"> </w:t>
      </w:r>
      <w:r w:rsidRPr="00AA0325">
        <w:rPr>
          <w:rFonts w:cs="Arial"/>
          <w:sz w:val="18"/>
          <w:szCs w:val="18"/>
          <w:rtl/>
        </w:rPr>
        <w:t>(</w:t>
      </w:r>
      <w:r w:rsidRPr="00AA0325">
        <w:rPr>
          <w:rFonts w:cs="Arial" w:hint="cs"/>
          <w:sz w:val="18"/>
          <w:szCs w:val="18"/>
          <w:rtl/>
        </w:rPr>
        <w:t>ולטבול</w:t>
      </w:r>
      <w:r w:rsidRPr="00AA0325">
        <w:rPr>
          <w:rFonts w:cs="Arial"/>
          <w:sz w:val="18"/>
          <w:szCs w:val="18"/>
          <w:rtl/>
        </w:rPr>
        <w:t xml:space="preserve">) </w:t>
      </w:r>
      <w:r w:rsidRPr="0098459A">
        <w:rPr>
          <w:rFonts w:cs="Arial" w:hint="cs"/>
          <w:sz w:val="20"/>
          <w:szCs w:val="20"/>
          <w:rtl/>
        </w:rPr>
        <w:t>כשיתפשרו</w:t>
      </w:r>
      <w:r w:rsidRPr="0098459A">
        <w:rPr>
          <w:rFonts w:cs="Arial"/>
          <w:sz w:val="20"/>
          <w:szCs w:val="20"/>
          <w:rtl/>
        </w:rPr>
        <w:t xml:space="preserve"> </w:t>
      </w:r>
      <w:r w:rsidRPr="0098459A">
        <w:rPr>
          <w:rFonts w:cs="Arial" w:hint="cs"/>
          <w:sz w:val="20"/>
          <w:szCs w:val="20"/>
          <w:rtl/>
        </w:rPr>
        <w:t>לעשות</w:t>
      </w:r>
      <w:r w:rsidRPr="0098459A">
        <w:rPr>
          <w:rFonts w:cs="Arial"/>
          <w:sz w:val="20"/>
          <w:szCs w:val="20"/>
          <w:rtl/>
        </w:rPr>
        <w:t xml:space="preserve"> </w:t>
      </w:r>
      <w:r w:rsidRPr="0098459A">
        <w:rPr>
          <w:rFonts w:cs="Arial" w:hint="cs"/>
          <w:sz w:val="20"/>
          <w:szCs w:val="20"/>
          <w:rtl/>
        </w:rPr>
        <w:t>הנ</w:t>
      </w:r>
      <w:r>
        <w:rPr>
          <w:rFonts w:cs="Arial" w:hint="cs"/>
          <w:sz w:val="20"/>
          <w:szCs w:val="20"/>
          <w:rtl/>
        </w:rPr>
        <w:t>י</w:t>
      </w:r>
      <w:r w:rsidRPr="0098459A">
        <w:rPr>
          <w:rFonts w:cs="Arial" w:hint="cs"/>
          <w:sz w:val="20"/>
          <w:szCs w:val="20"/>
          <w:rtl/>
        </w:rPr>
        <w:t>שואין</w:t>
      </w:r>
      <w:r>
        <w:rPr>
          <w:rFonts w:cs="Arial" w:hint="cs"/>
          <w:sz w:val="20"/>
          <w:szCs w:val="20"/>
          <w:rtl/>
        </w:rPr>
        <w:t xml:space="preserve"> (</w:t>
      </w:r>
      <w:r w:rsidRPr="00AA0325">
        <w:rPr>
          <w:rFonts w:cs="Arial" w:hint="cs"/>
          <w:sz w:val="18"/>
          <w:szCs w:val="18"/>
          <w:rtl/>
        </w:rPr>
        <w:t>אף</w:t>
      </w:r>
      <w:r w:rsidRPr="00AA0325">
        <w:rPr>
          <w:rFonts w:cs="Arial"/>
          <w:sz w:val="18"/>
          <w:szCs w:val="18"/>
          <w:rtl/>
        </w:rPr>
        <w:t xml:space="preserve"> </w:t>
      </w:r>
      <w:r w:rsidRPr="00AA0325">
        <w:rPr>
          <w:rFonts w:cs="Arial" w:hint="cs"/>
          <w:sz w:val="18"/>
          <w:szCs w:val="18"/>
          <w:rtl/>
        </w:rPr>
        <w:t>על</w:t>
      </w:r>
      <w:r w:rsidRPr="00AA0325">
        <w:rPr>
          <w:rFonts w:cs="Arial"/>
          <w:sz w:val="18"/>
          <w:szCs w:val="18"/>
          <w:rtl/>
        </w:rPr>
        <w:t xml:space="preserve"> </w:t>
      </w:r>
      <w:r w:rsidRPr="00AA0325">
        <w:rPr>
          <w:rFonts w:cs="Arial" w:hint="cs"/>
          <w:sz w:val="18"/>
          <w:szCs w:val="18"/>
          <w:rtl/>
        </w:rPr>
        <w:t>פי</w:t>
      </w:r>
      <w:r w:rsidRPr="00AA0325">
        <w:rPr>
          <w:rFonts w:cs="Arial"/>
          <w:sz w:val="18"/>
          <w:szCs w:val="18"/>
          <w:rtl/>
        </w:rPr>
        <w:t xml:space="preserve"> </w:t>
      </w:r>
      <w:r w:rsidRPr="00AA0325">
        <w:rPr>
          <w:rFonts w:cs="Arial" w:hint="cs"/>
          <w:sz w:val="18"/>
          <w:szCs w:val="18"/>
          <w:rtl/>
        </w:rPr>
        <w:t>שבדקה</w:t>
      </w:r>
      <w:r w:rsidRPr="00AA0325">
        <w:rPr>
          <w:rFonts w:cs="Arial"/>
          <w:sz w:val="18"/>
          <w:szCs w:val="18"/>
          <w:rtl/>
        </w:rPr>
        <w:t xml:space="preserve"> </w:t>
      </w:r>
      <w:r w:rsidRPr="00AA0325">
        <w:rPr>
          <w:rFonts w:cs="Arial" w:hint="cs"/>
          <w:sz w:val="18"/>
          <w:szCs w:val="18"/>
          <w:rtl/>
        </w:rPr>
        <w:t>עצמה</w:t>
      </w:r>
      <w:r w:rsidRPr="00AA0325">
        <w:rPr>
          <w:rFonts w:cs="Arial"/>
          <w:sz w:val="18"/>
          <w:szCs w:val="18"/>
          <w:rtl/>
        </w:rPr>
        <w:t xml:space="preserve"> </w:t>
      </w:r>
      <w:r w:rsidRPr="00AA0325">
        <w:rPr>
          <w:rFonts w:cs="Arial" w:hint="cs"/>
          <w:sz w:val="18"/>
          <w:szCs w:val="18"/>
          <w:rtl/>
        </w:rPr>
        <w:t>תמיד</w:t>
      </w:r>
      <w:r w:rsidRPr="00AA0325">
        <w:rPr>
          <w:rFonts w:cs="Arial"/>
          <w:sz w:val="18"/>
          <w:szCs w:val="18"/>
          <w:rtl/>
        </w:rPr>
        <w:t xml:space="preserve"> </w:t>
      </w:r>
      <w:r w:rsidRPr="00AA0325">
        <w:rPr>
          <w:rFonts w:cs="Arial" w:hint="cs"/>
          <w:sz w:val="18"/>
          <w:szCs w:val="18"/>
          <w:rtl/>
        </w:rPr>
        <w:t>בימים</w:t>
      </w:r>
      <w:r w:rsidRPr="00AA0325">
        <w:rPr>
          <w:rFonts w:cs="Arial"/>
          <w:sz w:val="18"/>
          <w:szCs w:val="18"/>
          <w:rtl/>
        </w:rPr>
        <w:t xml:space="preserve"> </w:t>
      </w:r>
      <w:r w:rsidRPr="00AA0325">
        <w:rPr>
          <w:rFonts w:cs="Arial" w:hint="cs"/>
          <w:sz w:val="18"/>
          <w:szCs w:val="18"/>
          <w:rtl/>
        </w:rPr>
        <w:t>שבינתיים</w:t>
      </w:r>
      <w:r w:rsidRPr="00AA0325">
        <w:rPr>
          <w:rFonts w:cs="Arial"/>
          <w:sz w:val="18"/>
          <w:szCs w:val="18"/>
          <w:rtl/>
        </w:rPr>
        <w:t xml:space="preserve">, </w:t>
      </w:r>
      <w:r w:rsidRPr="00AA0325">
        <w:rPr>
          <w:rFonts w:cs="Arial" w:hint="cs"/>
          <w:sz w:val="18"/>
          <w:szCs w:val="18"/>
          <w:rtl/>
        </w:rPr>
        <w:t>לא</w:t>
      </w:r>
      <w:r w:rsidRPr="00AA0325">
        <w:rPr>
          <w:rFonts w:cs="Arial"/>
          <w:sz w:val="18"/>
          <w:szCs w:val="18"/>
          <w:rtl/>
        </w:rPr>
        <w:t xml:space="preserve"> </w:t>
      </w:r>
      <w:r w:rsidRPr="00AA0325">
        <w:rPr>
          <w:rFonts w:cs="Arial" w:hint="cs"/>
          <w:sz w:val="18"/>
          <w:szCs w:val="18"/>
          <w:rtl/>
        </w:rPr>
        <w:t>מהני</w:t>
      </w:r>
      <w:r w:rsidRPr="00AA0325">
        <w:rPr>
          <w:rFonts w:cs="Arial"/>
          <w:sz w:val="18"/>
          <w:szCs w:val="18"/>
          <w:rtl/>
        </w:rPr>
        <w:t>)</w:t>
      </w:r>
      <w:r>
        <w:rPr>
          <w:rFonts w:hint="cs"/>
          <w:sz w:val="20"/>
          <w:szCs w:val="20"/>
          <w:rtl/>
        </w:rPr>
        <w:t>".</w:t>
      </w:r>
    </w:p>
    <w:p w:rsidR="00620060" w:rsidRDefault="00620060" w:rsidP="00620060">
      <w:pPr>
        <w:rPr>
          <w:sz w:val="20"/>
          <w:szCs w:val="20"/>
          <w:u w:val="single"/>
          <w:rtl/>
        </w:rPr>
      </w:pPr>
      <w:r>
        <w:rPr>
          <w:rFonts w:hint="cs"/>
          <w:sz w:val="20"/>
          <w:szCs w:val="20"/>
          <w:u w:val="single"/>
          <w:rtl/>
        </w:rPr>
        <w:t>קבעו תאריך שונה או שצד אחד לא עזב את השידוך</w:t>
      </w:r>
      <w:r>
        <w:rPr>
          <w:rFonts w:hint="cs"/>
          <w:sz w:val="20"/>
          <w:szCs w:val="20"/>
          <w:u w:val="single"/>
          <w:rtl/>
        </w:rPr>
        <w:br/>
      </w:r>
      <w:r>
        <w:rPr>
          <w:rFonts w:hint="cs"/>
          <w:sz w:val="20"/>
          <w:szCs w:val="20"/>
          <w:rtl/>
        </w:rPr>
        <w:t xml:space="preserve">א. </w:t>
      </w:r>
      <w:r w:rsidRPr="00EF2E7A">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ז' נקיים שנית נדרשים רק בהצטרף שני התנאים הבאים:</w:t>
      </w:r>
      <w:r>
        <w:rPr>
          <w:rFonts w:hint="cs"/>
          <w:sz w:val="20"/>
          <w:szCs w:val="20"/>
          <w:rtl/>
        </w:rPr>
        <w:br/>
      </w:r>
      <w:r>
        <w:rPr>
          <w:rFonts w:hint="cs"/>
          <w:sz w:val="20"/>
          <w:szCs w:val="20"/>
          <w:vertAlign w:val="superscript"/>
          <w:rtl/>
        </w:rPr>
        <w:t>1</w:t>
      </w:r>
      <w:r>
        <w:rPr>
          <w:rFonts w:hint="cs"/>
          <w:sz w:val="20"/>
          <w:szCs w:val="20"/>
          <w:rtl/>
        </w:rPr>
        <w:t>שני הצדדים עזבו את השידוך.</w:t>
      </w:r>
      <w:r>
        <w:rPr>
          <w:sz w:val="20"/>
          <w:szCs w:val="20"/>
          <w:rtl/>
        </w:rPr>
        <w:br/>
      </w:r>
      <w:r>
        <w:rPr>
          <w:rFonts w:hint="cs"/>
          <w:sz w:val="20"/>
          <w:szCs w:val="20"/>
          <w:vertAlign w:val="superscript"/>
          <w:rtl/>
        </w:rPr>
        <w:t>2</w:t>
      </w:r>
      <w:r>
        <w:rPr>
          <w:rFonts w:hint="cs"/>
          <w:sz w:val="20"/>
          <w:szCs w:val="20"/>
          <w:rtl/>
        </w:rPr>
        <w:t>לא קבעו מועד אחר לנישואין לאחר המריבה שהיתה.</w:t>
      </w:r>
      <w:r>
        <w:rPr>
          <w:sz w:val="20"/>
          <w:szCs w:val="20"/>
          <w:rtl/>
        </w:rPr>
        <w:br/>
      </w:r>
      <w:r>
        <w:rPr>
          <w:rFonts w:hint="cs"/>
          <w:sz w:val="20"/>
          <w:szCs w:val="20"/>
          <w:rtl/>
        </w:rPr>
        <w:t xml:space="preserve">אבל אם צד אחד לא עזב את השידוך אלא רדף אחרי הצד השני שיתפייס לעשות את הנישואין, או אפילו אם שני הצדדים הסכימו לעזוב את השידוך אך לא נפרדו זה מזה לגמרי ובסוף קבעו מועד אחר לנישואין </w:t>
      </w:r>
      <w:r>
        <w:rPr>
          <w:sz w:val="20"/>
          <w:szCs w:val="20"/>
          <w:rtl/>
        </w:rPr>
        <w:t>–</w:t>
      </w:r>
      <w:r>
        <w:rPr>
          <w:rFonts w:hint="cs"/>
          <w:sz w:val="20"/>
          <w:szCs w:val="20"/>
          <w:rtl/>
        </w:rPr>
        <w:t xml:space="preserve"> אינה צריכה למנות ז' נקיים שנית.</w:t>
      </w:r>
      <w:r>
        <w:rPr>
          <w:rFonts w:hint="cs"/>
          <w:sz w:val="20"/>
          <w:szCs w:val="20"/>
          <w:u w:val="single"/>
          <w:rtl/>
        </w:rPr>
        <w:br/>
      </w:r>
      <w:r w:rsidRPr="00216D53">
        <w:rPr>
          <w:rFonts w:hint="cs"/>
          <w:sz w:val="20"/>
          <w:szCs w:val="20"/>
          <w:rtl/>
        </w:rPr>
        <w:t xml:space="preserve">מוסיף הט"ז </w:t>
      </w:r>
      <w:r w:rsidRPr="00216D53">
        <w:rPr>
          <w:sz w:val="20"/>
          <w:szCs w:val="20"/>
          <w:rtl/>
        </w:rPr>
        <w:t>–</w:t>
      </w:r>
      <w:r w:rsidRPr="00216D53">
        <w:rPr>
          <w:rFonts w:hint="cs"/>
          <w:sz w:val="20"/>
          <w:szCs w:val="20"/>
          <w:rtl/>
        </w:rPr>
        <w:t xml:space="preserve"> מעשים בכל יום שהנישואין מתעכבים כמה ימים מחמת אי הסכמה של הצדדים על עניינים כספיים, ואע"פ שהדבר נמשך יום או יומיים אין מורים לכלה למנות ז' נקיים שנית. ועל כרחך הטעם הוא</w:t>
      </w:r>
      <w:r>
        <w:rPr>
          <w:rFonts w:hint="cs"/>
          <w:sz w:val="20"/>
          <w:szCs w:val="20"/>
          <w:rtl/>
        </w:rPr>
        <w:t>,</w:t>
      </w:r>
      <w:r w:rsidRPr="00216D53">
        <w:rPr>
          <w:rFonts w:hint="cs"/>
          <w:sz w:val="20"/>
          <w:szCs w:val="20"/>
          <w:rtl/>
        </w:rPr>
        <w:t xml:space="preserve"> משום שכל שלא היה סילוק גמור של השידוך אין צריך למנות שוב ז' נקיים</w:t>
      </w:r>
      <w:r>
        <w:rPr>
          <w:rFonts w:hint="cs"/>
          <w:sz w:val="20"/>
          <w:szCs w:val="20"/>
          <w:rtl/>
        </w:rPr>
        <w:t>, כיון שהכלה סומכת בדעתה שהנישואין יתקיימו בהקדם</w:t>
      </w:r>
      <w:r w:rsidRPr="00216D53">
        <w:rPr>
          <w:rFonts w:hint="cs"/>
          <w:sz w:val="20"/>
          <w:szCs w:val="20"/>
          <w:rtl/>
        </w:rPr>
        <w:t>.</w:t>
      </w:r>
      <w:r>
        <w:rPr>
          <w:rFonts w:hint="cs"/>
          <w:sz w:val="20"/>
          <w:szCs w:val="20"/>
          <w:u w:val="single"/>
          <w:rtl/>
        </w:rPr>
        <w:br/>
      </w:r>
      <w:r>
        <w:rPr>
          <w:sz w:val="20"/>
          <w:szCs w:val="20"/>
          <w:rtl/>
        </w:rPr>
        <w:br/>
      </w:r>
      <w:r>
        <w:rPr>
          <w:rFonts w:hint="cs"/>
          <w:sz w:val="20"/>
          <w:szCs w:val="20"/>
          <w:rtl/>
        </w:rPr>
        <w:t xml:space="preserve">ב. </w:t>
      </w:r>
      <w:r w:rsidRPr="002938A0">
        <w:rPr>
          <w:rFonts w:hint="cs"/>
          <w:b/>
          <w:bCs/>
          <w:sz w:val="20"/>
          <w:szCs w:val="20"/>
          <w:rtl/>
        </w:rPr>
        <w:t>לבוש</w:t>
      </w:r>
      <w:r>
        <w:rPr>
          <w:rFonts w:hint="cs"/>
          <w:sz w:val="20"/>
          <w:szCs w:val="20"/>
          <w:rtl/>
        </w:rPr>
        <w:t xml:space="preserve"> </w:t>
      </w:r>
      <w:r>
        <w:rPr>
          <w:sz w:val="20"/>
          <w:szCs w:val="20"/>
          <w:rtl/>
        </w:rPr>
        <w:t>–</w:t>
      </w:r>
      <w:r>
        <w:rPr>
          <w:rFonts w:hint="cs"/>
          <w:sz w:val="20"/>
          <w:szCs w:val="20"/>
          <w:rtl/>
        </w:rPr>
        <w:t xml:space="preserve"> אפילו אם הצדדים דחו את הנישואין בהסכמה רק ביום אחד, צריכה למנות שוב ז' נקיים.</w:t>
      </w:r>
      <w:r>
        <w:rPr>
          <w:sz w:val="20"/>
          <w:szCs w:val="20"/>
          <w:rtl/>
        </w:rPr>
        <w:br/>
      </w:r>
      <w:r w:rsidRPr="002938A0">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כיוון שהסיחה דעתה מזמן הראשון, חוזר החימוד להתעורר פעם שנייה.</w:t>
      </w:r>
    </w:p>
    <w:p w:rsidR="00620060" w:rsidRPr="003511B3" w:rsidRDefault="00620060" w:rsidP="00620060">
      <w:pPr>
        <w:rPr>
          <w:sz w:val="20"/>
          <w:szCs w:val="20"/>
          <w:rtl/>
        </w:rPr>
      </w:pPr>
      <w:r>
        <w:rPr>
          <w:rFonts w:hint="cs"/>
          <w:sz w:val="20"/>
          <w:szCs w:val="20"/>
          <w:u w:val="single"/>
          <w:rtl/>
        </w:rPr>
        <w:t>שני הצדדים עזבו את השידוך אך התפייסו באותו יום (פת"ש)</w:t>
      </w:r>
      <w:r>
        <w:rPr>
          <w:rFonts w:hint="cs"/>
          <w:sz w:val="20"/>
          <w:szCs w:val="20"/>
          <w:u w:val="single"/>
          <w:rtl/>
        </w:rPr>
        <w:br/>
      </w:r>
      <w:r w:rsidRPr="003511B3">
        <w:rPr>
          <w:rFonts w:hint="cs"/>
          <w:b/>
          <w:bCs/>
          <w:sz w:val="20"/>
          <w:szCs w:val="20"/>
          <w:rtl/>
        </w:rPr>
        <w:t>ב"ח</w:t>
      </w:r>
      <w:r>
        <w:rPr>
          <w:rFonts w:hint="cs"/>
          <w:sz w:val="20"/>
          <w:szCs w:val="20"/>
          <w:rtl/>
        </w:rPr>
        <w:t xml:space="preserve"> </w:t>
      </w:r>
      <w:r>
        <w:rPr>
          <w:sz w:val="20"/>
          <w:szCs w:val="20"/>
          <w:rtl/>
        </w:rPr>
        <w:t>–</w:t>
      </w:r>
      <w:r>
        <w:rPr>
          <w:rFonts w:hint="cs"/>
          <w:sz w:val="20"/>
          <w:szCs w:val="20"/>
          <w:rtl/>
        </w:rPr>
        <w:t xml:space="preserve"> אפילו אם שני הצדדים עזבו את השידוך אך התפייסו באותו יום, אינה צריכה למנות שוב ז"נ.</w:t>
      </w:r>
      <w:r>
        <w:rPr>
          <w:sz w:val="20"/>
          <w:szCs w:val="20"/>
          <w:rtl/>
        </w:rPr>
        <w:br/>
      </w:r>
      <w:r w:rsidRPr="003511B3">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הבדיקות היו בשעה שידעה שהיא תינשא ולכן בדקה כראוי, רק אם עמדה יום או יומיים ללא קביעת תאריך אחר לנישואין אינה בודקת טוב וצריכה למנות שוב ז"נ </w:t>
      </w:r>
      <w:r w:rsidRPr="000D2E37">
        <w:rPr>
          <w:rFonts w:hint="cs"/>
          <w:sz w:val="18"/>
          <w:szCs w:val="18"/>
          <w:rtl/>
        </w:rPr>
        <w:t>(וכמובן שהלבוש הנ"ל אינו סובר כך)</w:t>
      </w:r>
      <w:r>
        <w:rPr>
          <w:rFonts w:hint="cs"/>
          <w:sz w:val="20"/>
          <w:szCs w:val="20"/>
          <w:rtl/>
        </w:rPr>
        <w:t>.</w:t>
      </w:r>
      <w:r>
        <w:rPr>
          <w:rFonts w:hint="cs"/>
          <w:sz w:val="20"/>
          <w:szCs w:val="20"/>
          <w:rtl/>
        </w:rPr>
        <w:br/>
      </w:r>
      <w:r w:rsidRPr="00367B25">
        <w:rPr>
          <w:rFonts w:hint="cs"/>
          <w:b/>
          <w:bCs/>
          <w:sz w:val="20"/>
          <w:szCs w:val="20"/>
          <w:rtl/>
        </w:rPr>
        <w:t>חוו"ד</w:t>
      </w:r>
      <w:r>
        <w:rPr>
          <w:rFonts w:hint="cs"/>
          <w:sz w:val="20"/>
          <w:szCs w:val="20"/>
          <w:rtl/>
        </w:rPr>
        <w:t xml:space="preserve"> </w:t>
      </w:r>
      <w:r>
        <w:rPr>
          <w:sz w:val="20"/>
          <w:szCs w:val="20"/>
          <w:rtl/>
        </w:rPr>
        <w:t>–</w:t>
      </w:r>
      <w:r>
        <w:rPr>
          <w:rFonts w:hint="cs"/>
          <w:sz w:val="20"/>
          <w:szCs w:val="20"/>
          <w:rtl/>
        </w:rPr>
        <w:t xml:space="preserve"> יש לסייג את דבי הב"ח דווקא אם קבעו את המועד החדש סמוך למועד הקודם באופן שלא היה צורך להכין מחדש את ענייני החתונה, אך אם צריך שוב להכין את צרכי החתונה </w:t>
      </w:r>
      <w:r>
        <w:rPr>
          <w:sz w:val="20"/>
          <w:szCs w:val="20"/>
          <w:rtl/>
        </w:rPr>
        <w:t>–</w:t>
      </w:r>
      <w:r>
        <w:rPr>
          <w:rFonts w:hint="cs"/>
          <w:sz w:val="20"/>
          <w:szCs w:val="20"/>
          <w:rtl/>
        </w:rPr>
        <w:t xml:space="preserve"> מונה שוב ז"נ.</w:t>
      </w:r>
    </w:p>
    <w:p w:rsidR="00620060" w:rsidRPr="00F652B4" w:rsidRDefault="00620060" w:rsidP="00620060">
      <w:pPr>
        <w:rPr>
          <w:sz w:val="20"/>
          <w:szCs w:val="20"/>
          <w:rtl/>
        </w:rPr>
      </w:pPr>
      <w:r>
        <w:rPr>
          <w:rFonts w:hint="cs"/>
          <w:sz w:val="20"/>
          <w:szCs w:val="20"/>
          <w:u w:val="single"/>
          <w:rtl/>
        </w:rPr>
        <w:t>חתן שהגיע באיחור של כמה ימים</w:t>
      </w:r>
      <w:r>
        <w:rPr>
          <w:sz w:val="20"/>
          <w:szCs w:val="20"/>
          <w:u w:val="single"/>
          <w:rtl/>
        </w:rPr>
        <w:br/>
      </w:r>
      <w:r>
        <w:rPr>
          <w:rFonts w:hint="cs"/>
          <w:sz w:val="20"/>
          <w:szCs w:val="20"/>
          <w:rtl/>
        </w:rPr>
        <w:t>זוג שקבעו זמן לנישואין אך החתן איחר והגיע כעבור כמה ימים האם צריכה למנות שוב ז' נקיים?</w:t>
      </w:r>
      <w:r>
        <w:rPr>
          <w:rFonts w:hint="cs"/>
          <w:sz w:val="20"/>
          <w:szCs w:val="20"/>
          <w:rtl/>
        </w:rPr>
        <w:br/>
        <w:t xml:space="preserve">א. </w:t>
      </w:r>
      <w:r w:rsidRPr="004F06D2">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כן.</w:t>
      </w:r>
      <w:r>
        <w:rPr>
          <w:sz w:val="20"/>
          <w:szCs w:val="20"/>
          <w:rtl/>
        </w:rPr>
        <w:br/>
      </w:r>
      <w:r w:rsidRPr="004F06D2">
        <w:rPr>
          <w:rFonts w:hint="cs"/>
          <w:b/>
          <w:bCs/>
          <w:sz w:val="20"/>
          <w:szCs w:val="20"/>
          <w:rtl/>
        </w:rPr>
        <w:t xml:space="preserve">טעם </w:t>
      </w:r>
      <w:r>
        <w:rPr>
          <w:sz w:val="20"/>
          <w:szCs w:val="20"/>
          <w:rtl/>
        </w:rPr>
        <w:t>–</w:t>
      </w:r>
      <w:r>
        <w:rPr>
          <w:rFonts w:hint="cs"/>
          <w:sz w:val="20"/>
          <w:szCs w:val="20"/>
          <w:rtl/>
        </w:rPr>
        <w:t xml:space="preserve"> כל הדרכים בחזקת סכנה, ולכן חוששת שמא לא יגיע כלל או שהתחרט, וכשהגיע התעורר החימוד שוב.</w:t>
      </w:r>
      <w:r>
        <w:rPr>
          <w:sz w:val="20"/>
          <w:szCs w:val="20"/>
          <w:rtl/>
        </w:rPr>
        <w:br/>
      </w:r>
      <w:r>
        <w:rPr>
          <w:rFonts w:hint="cs"/>
          <w:sz w:val="20"/>
          <w:szCs w:val="20"/>
          <w:rtl/>
        </w:rPr>
        <w:t xml:space="preserve">ב. </w:t>
      </w:r>
      <w:r w:rsidRPr="004F06D2">
        <w:rPr>
          <w:rFonts w:hint="cs"/>
          <w:b/>
          <w:bCs/>
          <w:sz w:val="20"/>
          <w:szCs w:val="20"/>
          <w:rtl/>
        </w:rPr>
        <w:t>משאת בנימין</w:t>
      </w:r>
      <w:r>
        <w:rPr>
          <w:rFonts w:hint="cs"/>
          <w:sz w:val="20"/>
          <w:szCs w:val="20"/>
          <w:rtl/>
        </w:rPr>
        <w:t xml:space="preserve"> </w:t>
      </w:r>
      <w:r w:rsidRPr="00F652B4">
        <w:rPr>
          <w:rFonts w:hint="cs"/>
          <w:b/>
          <w:bCs/>
          <w:sz w:val="20"/>
          <w:szCs w:val="20"/>
          <w:rtl/>
        </w:rPr>
        <w:t>וש"ך</w:t>
      </w:r>
      <w:r>
        <w:rPr>
          <w:rFonts w:hint="cs"/>
          <w:sz w:val="20"/>
          <w:szCs w:val="20"/>
          <w:rtl/>
        </w:rPr>
        <w:t xml:space="preserve"> </w:t>
      </w:r>
      <w:r>
        <w:rPr>
          <w:sz w:val="20"/>
          <w:szCs w:val="20"/>
          <w:rtl/>
        </w:rPr>
        <w:t>–</w:t>
      </w:r>
      <w:r>
        <w:rPr>
          <w:rFonts w:hint="cs"/>
          <w:sz w:val="20"/>
          <w:szCs w:val="20"/>
          <w:rtl/>
        </w:rPr>
        <w:t xml:space="preserve"> לא ואפילו אם לא בדקה עצמה, אלא אם כן התעכב יותר משבעה ימים.</w:t>
      </w:r>
      <w:r>
        <w:rPr>
          <w:rStyle w:val="a5"/>
          <w:sz w:val="20"/>
          <w:szCs w:val="20"/>
          <w:rtl/>
        </w:rPr>
        <w:footnoteReference w:id="377"/>
      </w:r>
      <w:r>
        <w:rPr>
          <w:sz w:val="20"/>
          <w:szCs w:val="20"/>
          <w:rtl/>
        </w:rPr>
        <w:br/>
      </w:r>
      <w:r w:rsidRPr="004F06D2">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הכלה מניחה שהבעל מתעכב מחמת איזה דבר שאירע בדרך ויבוא לאחר מכן. </w:t>
      </w:r>
      <w:r>
        <w:rPr>
          <w:sz w:val="20"/>
          <w:szCs w:val="20"/>
          <w:u w:val="single"/>
          <w:rtl/>
        </w:rPr>
        <w:br/>
      </w:r>
      <w:r>
        <w:rPr>
          <w:rFonts w:hint="cs"/>
          <w:sz w:val="20"/>
          <w:szCs w:val="20"/>
          <w:rtl/>
        </w:rPr>
        <w:t xml:space="preserve">מוסיף </w:t>
      </w:r>
      <w:r w:rsidRPr="00F87214">
        <w:rPr>
          <w:rFonts w:hint="cs"/>
          <w:b/>
          <w:bCs/>
          <w:sz w:val="20"/>
          <w:szCs w:val="20"/>
          <w:rtl/>
        </w:rPr>
        <w:t>הש"ך</w:t>
      </w:r>
      <w:r>
        <w:rPr>
          <w:rFonts w:hint="cs"/>
          <w:sz w:val="20"/>
          <w:szCs w:val="20"/>
          <w:rtl/>
        </w:rPr>
        <w:t xml:space="preserve"> </w:t>
      </w:r>
      <w:r>
        <w:rPr>
          <w:sz w:val="20"/>
          <w:szCs w:val="20"/>
          <w:rtl/>
        </w:rPr>
        <w:t>–</w:t>
      </w:r>
      <w:r>
        <w:rPr>
          <w:rFonts w:hint="cs"/>
          <w:sz w:val="20"/>
          <w:szCs w:val="20"/>
          <w:rtl/>
        </w:rPr>
        <w:t xml:space="preserve"> "</w:t>
      </w:r>
      <w:r w:rsidRPr="00DF0726">
        <w:rPr>
          <w:rFonts w:cs="Arial" w:hint="cs"/>
          <w:sz w:val="20"/>
          <w:szCs w:val="20"/>
          <w:rtl/>
        </w:rPr>
        <w:t>ובאמת</w:t>
      </w:r>
      <w:r w:rsidRPr="00DF0726">
        <w:rPr>
          <w:rFonts w:cs="Arial"/>
          <w:sz w:val="20"/>
          <w:szCs w:val="20"/>
          <w:rtl/>
        </w:rPr>
        <w:t xml:space="preserve"> </w:t>
      </w:r>
      <w:r w:rsidRPr="00DF0726">
        <w:rPr>
          <w:rFonts w:cs="Arial" w:hint="cs"/>
          <w:sz w:val="20"/>
          <w:szCs w:val="20"/>
          <w:rtl/>
        </w:rPr>
        <w:t>אין</w:t>
      </w:r>
      <w:r w:rsidRPr="00DF0726">
        <w:rPr>
          <w:rFonts w:cs="Arial"/>
          <w:sz w:val="20"/>
          <w:szCs w:val="20"/>
          <w:rtl/>
        </w:rPr>
        <w:t xml:space="preserve"> </w:t>
      </w:r>
      <w:r w:rsidRPr="00DF0726">
        <w:rPr>
          <w:rFonts w:cs="Arial" w:hint="cs"/>
          <w:sz w:val="20"/>
          <w:szCs w:val="20"/>
          <w:rtl/>
        </w:rPr>
        <w:t>להחמיר</w:t>
      </w:r>
      <w:r w:rsidRPr="00DF0726">
        <w:rPr>
          <w:rFonts w:cs="Arial"/>
          <w:sz w:val="20"/>
          <w:szCs w:val="20"/>
          <w:rtl/>
        </w:rPr>
        <w:t xml:space="preserve"> </w:t>
      </w:r>
      <w:r w:rsidRPr="00DF0726">
        <w:rPr>
          <w:rFonts w:cs="Arial" w:hint="cs"/>
          <w:sz w:val="20"/>
          <w:szCs w:val="20"/>
          <w:rtl/>
        </w:rPr>
        <w:t>בדינים</w:t>
      </w:r>
      <w:r w:rsidRPr="00DF0726">
        <w:rPr>
          <w:rFonts w:cs="Arial"/>
          <w:sz w:val="20"/>
          <w:szCs w:val="20"/>
          <w:rtl/>
        </w:rPr>
        <w:t xml:space="preserve"> </w:t>
      </w:r>
      <w:r w:rsidRPr="00DF0726">
        <w:rPr>
          <w:rFonts w:cs="Arial" w:hint="cs"/>
          <w:sz w:val="20"/>
          <w:szCs w:val="20"/>
          <w:rtl/>
        </w:rPr>
        <w:t>אלו</w:t>
      </w:r>
      <w:r>
        <w:rPr>
          <w:rFonts w:cs="Arial" w:hint="cs"/>
          <w:sz w:val="20"/>
          <w:szCs w:val="20"/>
          <w:rtl/>
        </w:rPr>
        <w:t>,</w:t>
      </w:r>
      <w:r w:rsidRPr="00DF0726">
        <w:rPr>
          <w:rFonts w:cs="Arial"/>
          <w:sz w:val="20"/>
          <w:szCs w:val="20"/>
          <w:rtl/>
        </w:rPr>
        <w:t xml:space="preserve"> </w:t>
      </w:r>
      <w:r w:rsidRPr="00DF0726">
        <w:rPr>
          <w:rFonts w:cs="Arial" w:hint="cs"/>
          <w:sz w:val="20"/>
          <w:szCs w:val="20"/>
          <w:rtl/>
        </w:rPr>
        <w:t>דבלאו</w:t>
      </w:r>
      <w:r w:rsidRPr="00DF0726">
        <w:rPr>
          <w:rFonts w:cs="Arial"/>
          <w:sz w:val="20"/>
          <w:szCs w:val="20"/>
          <w:rtl/>
        </w:rPr>
        <w:t xml:space="preserve"> </w:t>
      </w:r>
      <w:r w:rsidRPr="00DF0726">
        <w:rPr>
          <w:rFonts w:cs="Arial" w:hint="cs"/>
          <w:sz w:val="20"/>
          <w:szCs w:val="20"/>
          <w:rtl/>
        </w:rPr>
        <w:t>הכי</w:t>
      </w:r>
      <w:r w:rsidRPr="00DF0726">
        <w:rPr>
          <w:rFonts w:cs="Arial"/>
          <w:sz w:val="20"/>
          <w:szCs w:val="20"/>
          <w:rtl/>
        </w:rPr>
        <w:t xml:space="preserve"> </w:t>
      </w:r>
      <w:r w:rsidRPr="00DF0726">
        <w:rPr>
          <w:rFonts w:cs="Arial" w:hint="cs"/>
          <w:sz w:val="20"/>
          <w:szCs w:val="20"/>
          <w:rtl/>
        </w:rPr>
        <w:t>הרבה</w:t>
      </w:r>
      <w:r w:rsidRPr="00DF0726">
        <w:rPr>
          <w:rFonts w:cs="Arial"/>
          <w:sz w:val="20"/>
          <w:szCs w:val="20"/>
          <w:rtl/>
        </w:rPr>
        <w:t xml:space="preserve"> </w:t>
      </w:r>
      <w:r w:rsidRPr="00DF0726">
        <w:rPr>
          <w:rFonts w:cs="Arial" w:hint="cs"/>
          <w:sz w:val="20"/>
          <w:szCs w:val="20"/>
          <w:rtl/>
        </w:rPr>
        <w:t>פוסקים</w:t>
      </w:r>
      <w:r w:rsidRPr="00DF0726">
        <w:rPr>
          <w:rFonts w:cs="Arial"/>
          <w:sz w:val="20"/>
          <w:szCs w:val="20"/>
          <w:rtl/>
        </w:rPr>
        <w:t xml:space="preserve"> </w:t>
      </w:r>
      <w:r w:rsidRPr="00DF0726">
        <w:rPr>
          <w:rFonts w:cs="Arial" w:hint="cs"/>
          <w:sz w:val="20"/>
          <w:szCs w:val="20"/>
          <w:rtl/>
        </w:rPr>
        <w:t>סוברים</w:t>
      </w:r>
      <w:r w:rsidRPr="00DF0726">
        <w:rPr>
          <w:rFonts w:cs="Arial"/>
          <w:sz w:val="20"/>
          <w:szCs w:val="20"/>
          <w:rtl/>
        </w:rPr>
        <w:t xml:space="preserve"> </w:t>
      </w:r>
      <w:r w:rsidRPr="00DF0726">
        <w:rPr>
          <w:rFonts w:cs="Arial" w:hint="cs"/>
          <w:sz w:val="20"/>
          <w:szCs w:val="20"/>
          <w:rtl/>
        </w:rPr>
        <w:t>דא</w:t>
      </w:r>
      <w:r>
        <w:rPr>
          <w:rFonts w:cs="Arial" w:hint="cs"/>
          <w:sz w:val="20"/>
          <w:szCs w:val="20"/>
          <w:rtl/>
        </w:rPr>
        <w:t>ין צריך</w:t>
      </w:r>
      <w:r w:rsidRPr="00DF0726">
        <w:rPr>
          <w:rFonts w:cs="Arial"/>
          <w:sz w:val="20"/>
          <w:szCs w:val="20"/>
          <w:rtl/>
        </w:rPr>
        <w:t xml:space="preserve"> </w:t>
      </w:r>
      <w:r w:rsidRPr="00DF0726">
        <w:rPr>
          <w:rFonts w:cs="Arial" w:hint="cs"/>
          <w:sz w:val="20"/>
          <w:szCs w:val="20"/>
          <w:rtl/>
        </w:rPr>
        <w:t>ז</w:t>
      </w:r>
      <w:r w:rsidRPr="00DF0726">
        <w:rPr>
          <w:rFonts w:cs="Arial"/>
          <w:sz w:val="20"/>
          <w:szCs w:val="20"/>
          <w:rtl/>
        </w:rPr>
        <w:t xml:space="preserve">' </w:t>
      </w:r>
      <w:r w:rsidRPr="00DF0726">
        <w:rPr>
          <w:rFonts w:cs="Arial" w:hint="cs"/>
          <w:sz w:val="20"/>
          <w:szCs w:val="20"/>
          <w:rtl/>
        </w:rPr>
        <w:t>נקיים</w:t>
      </w:r>
      <w:r>
        <w:rPr>
          <w:rFonts w:cs="Arial" w:hint="cs"/>
          <w:sz w:val="20"/>
          <w:szCs w:val="20"/>
          <w:rtl/>
        </w:rPr>
        <w:t>,</w:t>
      </w:r>
      <w:r w:rsidRPr="00DF0726">
        <w:rPr>
          <w:rFonts w:cs="Arial"/>
          <w:sz w:val="20"/>
          <w:szCs w:val="20"/>
          <w:rtl/>
        </w:rPr>
        <w:t xml:space="preserve"> </w:t>
      </w:r>
      <w:r w:rsidRPr="00DF0726">
        <w:rPr>
          <w:rFonts w:cs="Arial" w:hint="cs"/>
          <w:sz w:val="20"/>
          <w:szCs w:val="20"/>
          <w:rtl/>
        </w:rPr>
        <w:t>וגם</w:t>
      </w:r>
      <w:r w:rsidRPr="00DF0726">
        <w:rPr>
          <w:rFonts w:cs="Arial"/>
          <w:sz w:val="20"/>
          <w:szCs w:val="20"/>
          <w:rtl/>
        </w:rPr>
        <w:t xml:space="preserve"> </w:t>
      </w:r>
      <w:r w:rsidRPr="00DF0726">
        <w:rPr>
          <w:rFonts w:cs="Arial" w:hint="cs"/>
          <w:sz w:val="20"/>
          <w:szCs w:val="20"/>
          <w:rtl/>
        </w:rPr>
        <w:t>בדיעבד</w:t>
      </w:r>
      <w:r w:rsidRPr="00DF0726">
        <w:rPr>
          <w:rFonts w:cs="Arial"/>
          <w:sz w:val="20"/>
          <w:szCs w:val="20"/>
          <w:rtl/>
        </w:rPr>
        <w:t xml:space="preserve"> </w:t>
      </w:r>
      <w:r w:rsidRPr="00DF0726">
        <w:rPr>
          <w:rFonts w:cs="Arial" w:hint="cs"/>
          <w:sz w:val="20"/>
          <w:szCs w:val="20"/>
          <w:rtl/>
        </w:rPr>
        <w:t>סגי</w:t>
      </w:r>
      <w:r w:rsidRPr="00DF0726">
        <w:rPr>
          <w:rFonts w:cs="Arial"/>
          <w:sz w:val="20"/>
          <w:szCs w:val="20"/>
          <w:rtl/>
        </w:rPr>
        <w:t xml:space="preserve"> </w:t>
      </w:r>
      <w:r w:rsidRPr="00DF0726">
        <w:rPr>
          <w:rFonts w:cs="Arial" w:hint="cs"/>
          <w:sz w:val="20"/>
          <w:szCs w:val="20"/>
          <w:rtl/>
        </w:rPr>
        <w:t>בבדיקה</w:t>
      </w:r>
      <w:r w:rsidRPr="00DF0726">
        <w:rPr>
          <w:rFonts w:cs="Arial"/>
          <w:sz w:val="20"/>
          <w:szCs w:val="20"/>
          <w:rtl/>
        </w:rPr>
        <w:t xml:space="preserve"> </w:t>
      </w:r>
      <w:r w:rsidRPr="00DF0726">
        <w:rPr>
          <w:rFonts w:cs="Arial" w:hint="cs"/>
          <w:sz w:val="20"/>
          <w:szCs w:val="20"/>
          <w:rtl/>
        </w:rPr>
        <w:t>א</w:t>
      </w:r>
      <w:r>
        <w:rPr>
          <w:rFonts w:cs="Arial" w:hint="cs"/>
          <w:sz w:val="20"/>
          <w:szCs w:val="20"/>
          <w:rtl/>
        </w:rPr>
        <w:t>חת</w:t>
      </w:r>
      <w:r w:rsidRPr="00DF0726">
        <w:rPr>
          <w:rFonts w:cs="Arial"/>
          <w:sz w:val="20"/>
          <w:szCs w:val="20"/>
          <w:rtl/>
        </w:rPr>
        <w:t xml:space="preserve"> </w:t>
      </w:r>
      <w:r w:rsidRPr="00DF0726">
        <w:rPr>
          <w:rFonts w:cs="Arial" w:hint="cs"/>
          <w:sz w:val="20"/>
          <w:szCs w:val="20"/>
          <w:rtl/>
        </w:rPr>
        <w:t>תוך</w:t>
      </w:r>
      <w:r w:rsidRPr="00DF0726">
        <w:rPr>
          <w:rFonts w:cs="Arial"/>
          <w:sz w:val="20"/>
          <w:szCs w:val="20"/>
          <w:rtl/>
        </w:rPr>
        <w:t xml:space="preserve"> </w:t>
      </w:r>
      <w:r w:rsidRPr="00DF0726">
        <w:rPr>
          <w:rFonts w:cs="Arial" w:hint="cs"/>
          <w:sz w:val="20"/>
          <w:szCs w:val="20"/>
          <w:rtl/>
        </w:rPr>
        <w:t>ז</w:t>
      </w:r>
      <w:r w:rsidRPr="00DF0726">
        <w:rPr>
          <w:rFonts w:cs="Arial"/>
          <w:sz w:val="20"/>
          <w:szCs w:val="20"/>
          <w:rtl/>
        </w:rPr>
        <w:t xml:space="preserve">' </w:t>
      </w:r>
      <w:r w:rsidRPr="00DF0726">
        <w:rPr>
          <w:rFonts w:cs="Arial" w:hint="cs"/>
          <w:sz w:val="20"/>
          <w:szCs w:val="20"/>
          <w:rtl/>
        </w:rPr>
        <w:t>לכ</w:t>
      </w:r>
      <w:r>
        <w:rPr>
          <w:rFonts w:cs="Arial" w:hint="cs"/>
          <w:sz w:val="20"/>
          <w:szCs w:val="20"/>
          <w:rtl/>
        </w:rPr>
        <w:t xml:space="preserve">ולי </w:t>
      </w:r>
      <w:r w:rsidRPr="00DF0726">
        <w:rPr>
          <w:rFonts w:cs="Arial" w:hint="cs"/>
          <w:sz w:val="20"/>
          <w:szCs w:val="20"/>
          <w:rtl/>
        </w:rPr>
        <w:t>ע</w:t>
      </w:r>
      <w:r>
        <w:rPr>
          <w:rFonts w:cs="Arial" w:hint="cs"/>
          <w:sz w:val="20"/>
          <w:szCs w:val="20"/>
          <w:rtl/>
        </w:rPr>
        <w:t>למא,</w:t>
      </w:r>
      <w:r w:rsidRPr="00DF0726">
        <w:rPr>
          <w:rFonts w:cs="Arial"/>
          <w:sz w:val="20"/>
          <w:szCs w:val="20"/>
          <w:rtl/>
        </w:rPr>
        <w:t xml:space="preserve"> </w:t>
      </w:r>
      <w:r w:rsidRPr="00DF0726">
        <w:rPr>
          <w:rFonts w:cs="Arial" w:hint="cs"/>
          <w:sz w:val="20"/>
          <w:szCs w:val="20"/>
          <w:rtl/>
        </w:rPr>
        <w:t>וגם</w:t>
      </w:r>
      <w:r w:rsidRPr="00DF0726">
        <w:rPr>
          <w:rFonts w:cs="Arial"/>
          <w:sz w:val="20"/>
          <w:szCs w:val="20"/>
          <w:rtl/>
        </w:rPr>
        <w:t xml:space="preserve"> </w:t>
      </w:r>
      <w:r w:rsidRPr="00DF0726">
        <w:rPr>
          <w:rFonts w:cs="Arial" w:hint="cs"/>
          <w:sz w:val="20"/>
          <w:szCs w:val="20"/>
          <w:rtl/>
        </w:rPr>
        <w:t>כל</w:t>
      </w:r>
      <w:r w:rsidRPr="00DF0726">
        <w:rPr>
          <w:rFonts w:cs="Arial"/>
          <w:sz w:val="20"/>
          <w:szCs w:val="20"/>
          <w:rtl/>
        </w:rPr>
        <w:t xml:space="preserve"> </w:t>
      </w:r>
      <w:r w:rsidRPr="00DF0726">
        <w:rPr>
          <w:rFonts w:cs="Arial" w:hint="cs"/>
          <w:sz w:val="20"/>
          <w:szCs w:val="20"/>
          <w:rtl/>
        </w:rPr>
        <w:t>עיקר</w:t>
      </w:r>
      <w:r w:rsidRPr="00DF0726">
        <w:rPr>
          <w:rFonts w:cs="Arial"/>
          <w:sz w:val="20"/>
          <w:szCs w:val="20"/>
          <w:rtl/>
        </w:rPr>
        <w:t xml:space="preserve"> </w:t>
      </w:r>
      <w:r w:rsidRPr="00DF0726">
        <w:rPr>
          <w:rFonts w:cs="Arial" w:hint="cs"/>
          <w:sz w:val="20"/>
          <w:szCs w:val="20"/>
          <w:rtl/>
        </w:rPr>
        <w:t>דין</w:t>
      </w:r>
      <w:r w:rsidRPr="00DF0726">
        <w:rPr>
          <w:rFonts w:cs="Arial"/>
          <w:sz w:val="20"/>
          <w:szCs w:val="20"/>
          <w:rtl/>
        </w:rPr>
        <w:t xml:space="preserve"> </w:t>
      </w:r>
      <w:r w:rsidRPr="00DF0726">
        <w:rPr>
          <w:rFonts w:cs="Arial" w:hint="cs"/>
          <w:sz w:val="20"/>
          <w:szCs w:val="20"/>
          <w:rtl/>
        </w:rPr>
        <w:t>זה</w:t>
      </w:r>
      <w:r w:rsidRPr="00DF0726">
        <w:rPr>
          <w:rFonts w:cs="Arial"/>
          <w:sz w:val="20"/>
          <w:szCs w:val="20"/>
          <w:rtl/>
        </w:rPr>
        <w:t xml:space="preserve"> </w:t>
      </w:r>
      <w:r w:rsidRPr="00DF0726">
        <w:rPr>
          <w:rFonts w:cs="Arial" w:hint="cs"/>
          <w:sz w:val="20"/>
          <w:szCs w:val="20"/>
          <w:rtl/>
        </w:rPr>
        <w:t>הוא</w:t>
      </w:r>
      <w:r w:rsidRPr="00DF0726">
        <w:rPr>
          <w:rFonts w:cs="Arial"/>
          <w:sz w:val="20"/>
          <w:szCs w:val="20"/>
          <w:rtl/>
        </w:rPr>
        <w:t xml:space="preserve"> </w:t>
      </w:r>
      <w:r w:rsidRPr="00DF0726">
        <w:rPr>
          <w:rFonts w:cs="Arial" w:hint="cs"/>
          <w:sz w:val="20"/>
          <w:szCs w:val="20"/>
          <w:rtl/>
        </w:rPr>
        <w:t>מדבריה</w:t>
      </w:r>
      <w:r>
        <w:rPr>
          <w:rFonts w:cs="Arial" w:hint="cs"/>
          <w:sz w:val="20"/>
          <w:szCs w:val="20"/>
          <w:rtl/>
        </w:rPr>
        <w:t>ם".</w:t>
      </w:r>
      <w:r>
        <w:rPr>
          <w:rFonts w:hint="cs"/>
          <w:sz w:val="20"/>
          <w:szCs w:val="20"/>
          <w:rtl/>
        </w:rPr>
        <w:br/>
      </w:r>
      <w:r>
        <w:rPr>
          <w:sz w:val="20"/>
          <w:szCs w:val="20"/>
          <w:rtl/>
        </w:rPr>
        <w:br/>
      </w:r>
      <w:r w:rsidRPr="00A657A9">
        <w:rPr>
          <w:rFonts w:hint="cs"/>
          <w:sz w:val="20"/>
          <w:szCs w:val="20"/>
          <w:rtl/>
        </w:rPr>
        <w:t xml:space="preserve">הכרעת </w:t>
      </w:r>
      <w:r w:rsidRPr="00A657A9">
        <w:rPr>
          <w:rFonts w:hint="cs"/>
          <w:b/>
          <w:bCs/>
          <w:sz w:val="20"/>
          <w:szCs w:val="20"/>
          <w:rtl/>
        </w:rPr>
        <w:t>שבט הלוי</w:t>
      </w:r>
      <w:r>
        <w:rPr>
          <w:rFonts w:hint="cs"/>
          <w:sz w:val="20"/>
          <w:szCs w:val="20"/>
          <w:rtl/>
        </w:rPr>
        <w:t xml:space="preserve"> </w:t>
      </w:r>
      <w:r>
        <w:rPr>
          <w:sz w:val="20"/>
          <w:szCs w:val="20"/>
          <w:rtl/>
        </w:rPr>
        <w:t>–</w:t>
      </w:r>
      <w:r>
        <w:rPr>
          <w:rFonts w:hint="cs"/>
          <w:sz w:val="20"/>
          <w:szCs w:val="20"/>
          <w:rtl/>
        </w:rPr>
        <w:t xml:space="preserve"> בזמנינו ניתן להודיע על איחור, ולכן אם החתן לא הודיע כנראה שדעתו לעזוב את השידוך ואם הגיע אחר כך צריכה למנות ז' נקיים שוב.</w:t>
      </w:r>
    </w:p>
    <w:p w:rsidR="00620060" w:rsidRDefault="00620060" w:rsidP="00620060">
      <w:pPr>
        <w:rPr>
          <w:sz w:val="20"/>
          <w:szCs w:val="20"/>
          <w:rtl/>
        </w:rPr>
      </w:pPr>
      <w:r>
        <w:rPr>
          <w:rFonts w:hint="cs"/>
          <w:sz w:val="20"/>
          <w:szCs w:val="20"/>
          <w:u w:val="single"/>
          <w:rtl/>
        </w:rPr>
        <w:t>שמרה ז' נקיים לחתן זה ונישאת לאחר (ט"ז)</w:t>
      </w:r>
      <w:r>
        <w:rPr>
          <w:sz w:val="20"/>
          <w:szCs w:val="20"/>
          <w:u w:val="single"/>
          <w:rtl/>
        </w:rPr>
        <w:br/>
      </w:r>
      <w:r w:rsidRPr="007A27E8">
        <w:rPr>
          <w:rFonts w:hint="cs"/>
          <w:b/>
          <w:bCs/>
          <w:sz w:val="20"/>
          <w:szCs w:val="20"/>
          <w:rtl/>
        </w:rPr>
        <w:t>לבוש</w:t>
      </w:r>
      <w:r>
        <w:rPr>
          <w:rFonts w:hint="cs"/>
          <w:sz w:val="20"/>
          <w:szCs w:val="20"/>
          <w:rtl/>
        </w:rPr>
        <w:t xml:space="preserve"> </w:t>
      </w:r>
      <w:r>
        <w:rPr>
          <w:sz w:val="20"/>
          <w:szCs w:val="20"/>
          <w:rtl/>
        </w:rPr>
        <w:t>–</w:t>
      </w:r>
      <w:r>
        <w:rPr>
          <w:rFonts w:hint="cs"/>
          <w:sz w:val="20"/>
          <w:szCs w:val="20"/>
          <w:rtl/>
        </w:rPr>
        <w:t xml:space="preserve"> אשה ששמרה ז' נקיים לחתן אחד ולבסוף נישאת לאחר </w:t>
      </w:r>
      <w:r>
        <w:rPr>
          <w:sz w:val="20"/>
          <w:szCs w:val="20"/>
          <w:rtl/>
        </w:rPr>
        <w:t>–</w:t>
      </w:r>
      <w:r>
        <w:rPr>
          <w:rFonts w:hint="cs"/>
          <w:sz w:val="20"/>
          <w:szCs w:val="20"/>
          <w:rtl/>
        </w:rPr>
        <w:t xml:space="preserve"> צריכה למנות שוב ז' נקיים.</w:t>
      </w:r>
      <w:r>
        <w:rPr>
          <w:sz w:val="20"/>
          <w:szCs w:val="20"/>
          <w:rtl/>
        </w:rPr>
        <w:br/>
      </w:r>
      <w:r w:rsidRPr="007A27E8">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התעורר חימוד חדש.</w:t>
      </w:r>
      <w:r>
        <w:rPr>
          <w:rStyle w:val="a5"/>
          <w:sz w:val="20"/>
          <w:szCs w:val="20"/>
          <w:rtl/>
        </w:rPr>
        <w:footnoteReference w:id="378"/>
      </w:r>
      <w:r>
        <w:rPr>
          <w:rFonts w:hint="cs"/>
          <w:sz w:val="20"/>
          <w:szCs w:val="20"/>
          <w:u w:val="single"/>
          <w:rtl/>
        </w:rPr>
        <w:br/>
      </w:r>
      <w:r>
        <w:rPr>
          <w:rFonts w:hint="cs"/>
          <w:sz w:val="20"/>
          <w:szCs w:val="20"/>
          <w:rtl/>
        </w:rPr>
        <w:t>וכן</w:t>
      </w:r>
      <w:r w:rsidRPr="007A27E8">
        <w:rPr>
          <w:rFonts w:hint="cs"/>
          <w:sz w:val="20"/>
          <w:szCs w:val="20"/>
          <w:rtl/>
        </w:rPr>
        <w:t xml:space="preserve"> אם לאחר מכן התפייס החתן הראשון לשאת אותה, צריכה למנות שוב ז' נקיים.</w:t>
      </w:r>
      <w:r>
        <w:rPr>
          <w:sz w:val="20"/>
          <w:szCs w:val="20"/>
          <w:u w:val="single"/>
          <w:rtl/>
        </w:rPr>
        <w:br/>
      </w:r>
      <w:r>
        <w:rPr>
          <w:sz w:val="20"/>
          <w:szCs w:val="20"/>
          <w:u w:val="single"/>
          <w:rtl/>
        </w:rPr>
        <w:br/>
      </w:r>
      <w:r w:rsidRPr="004D296A">
        <w:rPr>
          <w:rFonts w:hint="cs"/>
          <w:b/>
          <w:bCs/>
          <w:sz w:val="20"/>
          <w:szCs w:val="20"/>
          <w:rtl/>
        </w:rPr>
        <w:t>סיכום</w:t>
      </w:r>
      <w:r>
        <w:rPr>
          <w:sz w:val="20"/>
          <w:szCs w:val="20"/>
          <w:rtl/>
        </w:rPr>
        <w:br/>
      </w:r>
      <w:r>
        <w:rPr>
          <w:rFonts w:hint="cs"/>
          <w:sz w:val="20"/>
          <w:szCs w:val="20"/>
          <w:rtl/>
        </w:rPr>
        <w:t xml:space="preserve">1. </w:t>
      </w:r>
      <w:r w:rsidRPr="004D296A">
        <w:rPr>
          <w:rFonts w:hint="cs"/>
          <w:b/>
          <w:bCs/>
          <w:sz w:val="20"/>
          <w:szCs w:val="20"/>
          <w:rtl/>
        </w:rPr>
        <w:t>מהר"ם</w:t>
      </w:r>
      <w:r>
        <w:rPr>
          <w:rFonts w:hint="cs"/>
          <w:sz w:val="20"/>
          <w:szCs w:val="20"/>
          <w:rtl/>
        </w:rPr>
        <w:t xml:space="preserve">. אם הנישואין נדחו מחמת איזו סיבה, מונה שוב ז"נ, וכ"פ </w:t>
      </w:r>
      <w:r w:rsidRPr="004D296A">
        <w:rPr>
          <w:rFonts w:hint="cs"/>
          <w:b/>
          <w:bCs/>
          <w:sz w:val="20"/>
          <w:szCs w:val="20"/>
          <w:rtl/>
        </w:rPr>
        <w:t>המחבר</w:t>
      </w:r>
      <w:r>
        <w:rPr>
          <w:rFonts w:hint="cs"/>
          <w:sz w:val="20"/>
          <w:szCs w:val="20"/>
          <w:rtl/>
        </w:rPr>
        <w:t>.</w:t>
      </w:r>
      <w:r>
        <w:rPr>
          <w:sz w:val="20"/>
          <w:szCs w:val="20"/>
          <w:rtl/>
        </w:rPr>
        <w:br/>
      </w:r>
      <w:r>
        <w:rPr>
          <w:rFonts w:hint="cs"/>
          <w:sz w:val="20"/>
          <w:szCs w:val="20"/>
          <w:rtl/>
        </w:rPr>
        <w:t xml:space="preserve">2. </w:t>
      </w:r>
      <w:r w:rsidRPr="004D296A">
        <w:rPr>
          <w:rFonts w:hint="cs"/>
          <w:b/>
          <w:bCs/>
          <w:sz w:val="20"/>
          <w:szCs w:val="20"/>
          <w:rtl/>
        </w:rPr>
        <w:t>מהרי"ק</w:t>
      </w:r>
      <w:r>
        <w:rPr>
          <w:rFonts w:hint="cs"/>
          <w:sz w:val="20"/>
          <w:szCs w:val="20"/>
          <w:rtl/>
        </w:rPr>
        <w:t>. מחלוקת ראשונים כאשר הנישואין נדחו אך המשיכה לבדוק עצמה האם מהני.</w:t>
      </w:r>
      <w:r>
        <w:rPr>
          <w:rFonts w:hint="cs"/>
          <w:sz w:val="20"/>
          <w:szCs w:val="20"/>
          <w:rtl/>
        </w:rPr>
        <w:br/>
      </w:r>
      <w:r>
        <w:rPr>
          <w:rFonts w:hint="cs"/>
          <w:sz w:val="20"/>
          <w:szCs w:val="20"/>
          <w:rtl/>
        </w:rPr>
        <w:lastRenderedPageBreak/>
        <w:t>האוסרים. אינה נזהרת לבדוק יפה. המתירים. המרדכי מיירי רק באשה שהפסיקה לגמרי את הבדיקות.</w:t>
      </w:r>
      <w:r>
        <w:rPr>
          <w:rFonts w:hint="cs"/>
          <w:sz w:val="20"/>
          <w:szCs w:val="20"/>
          <w:rtl/>
        </w:rPr>
        <w:br/>
        <w:t xml:space="preserve">3. </w:t>
      </w:r>
      <w:r w:rsidRPr="004D296A">
        <w:rPr>
          <w:rFonts w:hint="cs"/>
          <w:b/>
          <w:bCs/>
          <w:sz w:val="20"/>
          <w:szCs w:val="20"/>
          <w:rtl/>
        </w:rPr>
        <w:t>מחבר</w:t>
      </w:r>
      <w:r>
        <w:rPr>
          <w:rFonts w:hint="cs"/>
          <w:sz w:val="20"/>
          <w:szCs w:val="20"/>
          <w:rtl/>
        </w:rPr>
        <w:t xml:space="preserve">. אם נדחו הנישואין מונה שוב ז"נ. </w:t>
      </w:r>
      <w:r w:rsidRPr="00A657A9">
        <w:rPr>
          <w:rFonts w:hint="cs"/>
          <w:b/>
          <w:bCs/>
          <w:sz w:val="20"/>
          <w:szCs w:val="20"/>
          <w:rtl/>
        </w:rPr>
        <w:t>רמ"א</w:t>
      </w:r>
      <w:r>
        <w:rPr>
          <w:rFonts w:hint="cs"/>
          <w:sz w:val="20"/>
          <w:szCs w:val="20"/>
          <w:rtl/>
        </w:rPr>
        <w:t xml:space="preserve">. אפילו אם המשיכה לבדוק עצמה, כדעת האוסרים. </w:t>
      </w:r>
      <w:r>
        <w:rPr>
          <w:rFonts w:hint="cs"/>
          <w:sz w:val="20"/>
          <w:szCs w:val="20"/>
          <w:rtl/>
        </w:rPr>
        <w:br/>
        <w:t xml:space="preserve">4. </w:t>
      </w:r>
      <w:r w:rsidRPr="004D296A">
        <w:rPr>
          <w:rFonts w:hint="cs"/>
          <w:b/>
          <w:bCs/>
          <w:sz w:val="20"/>
          <w:szCs w:val="20"/>
          <w:rtl/>
        </w:rPr>
        <w:t>ט"ז</w:t>
      </w:r>
      <w:r>
        <w:rPr>
          <w:rFonts w:hint="cs"/>
          <w:sz w:val="20"/>
          <w:szCs w:val="20"/>
          <w:rtl/>
        </w:rPr>
        <w:t xml:space="preserve">. רק אם שני הצדדים עזבו את השידוך ולא קבעו מועד אחר בעיא בדיקה, אך אם צד אחד לא עזב או שקבעו מייד תאריך אחר, א"צ שוב ז"נ. </w:t>
      </w:r>
      <w:r w:rsidRPr="004D296A">
        <w:rPr>
          <w:rFonts w:hint="cs"/>
          <w:b/>
          <w:bCs/>
          <w:sz w:val="20"/>
          <w:szCs w:val="20"/>
          <w:rtl/>
        </w:rPr>
        <w:t>לבוש</w:t>
      </w:r>
      <w:r>
        <w:rPr>
          <w:rFonts w:hint="cs"/>
          <w:sz w:val="20"/>
          <w:szCs w:val="20"/>
          <w:rtl/>
        </w:rPr>
        <w:t>. תמיד צריך, הסיחה דעתה והתעורר חימוד חדש.</w:t>
      </w:r>
      <w:r>
        <w:rPr>
          <w:sz w:val="20"/>
          <w:szCs w:val="20"/>
          <w:rtl/>
        </w:rPr>
        <w:br/>
      </w:r>
      <w:r>
        <w:rPr>
          <w:rFonts w:hint="cs"/>
          <w:sz w:val="20"/>
          <w:szCs w:val="20"/>
          <w:rtl/>
        </w:rPr>
        <w:t xml:space="preserve">5. </w:t>
      </w:r>
      <w:r w:rsidRPr="004D296A">
        <w:rPr>
          <w:rFonts w:hint="cs"/>
          <w:b/>
          <w:bCs/>
          <w:sz w:val="20"/>
          <w:szCs w:val="20"/>
          <w:rtl/>
        </w:rPr>
        <w:t>ב"ח</w:t>
      </w:r>
      <w:r>
        <w:rPr>
          <w:rFonts w:hint="cs"/>
          <w:sz w:val="20"/>
          <w:szCs w:val="20"/>
          <w:rtl/>
        </w:rPr>
        <w:t xml:space="preserve">. אפילו אם שני הצדדים עזבו לגמרי את השידוך אך התפייסו בו ביום </w:t>
      </w:r>
      <w:r>
        <w:rPr>
          <w:sz w:val="20"/>
          <w:szCs w:val="20"/>
          <w:rtl/>
        </w:rPr>
        <w:t>–</w:t>
      </w:r>
      <w:r>
        <w:rPr>
          <w:rFonts w:hint="cs"/>
          <w:sz w:val="20"/>
          <w:szCs w:val="20"/>
          <w:rtl/>
        </w:rPr>
        <w:t xml:space="preserve"> א"צ למנות שוב ז"נ. </w:t>
      </w:r>
      <w:r>
        <w:rPr>
          <w:sz w:val="20"/>
          <w:szCs w:val="20"/>
          <w:rtl/>
        </w:rPr>
        <w:br/>
      </w:r>
      <w:r w:rsidRPr="004D296A">
        <w:rPr>
          <w:rFonts w:hint="cs"/>
          <w:b/>
          <w:bCs/>
          <w:sz w:val="20"/>
          <w:szCs w:val="20"/>
          <w:rtl/>
        </w:rPr>
        <w:t>חוו"ד</w:t>
      </w:r>
      <w:r>
        <w:rPr>
          <w:rFonts w:hint="cs"/>
          <w:sz w:val="20"/>
          <w:szCs w:val="20"/>
          <w:rtl/>
        </w:rPr>
        <w:t xml:space="preserve">. דברי הב"ח נאמרו רק אם אין צורך </w:t>
      </w:r>
      <w:r w:rsidRPr="00A657A9">
        <w:rPr>
          <w:rFonts w:hint="cs"/>
          <w:sz w:val="20"/>
          <w:szCs w:val="20"/>
          <w:rtl/>
        </w:rPr>
        <w:t>להכין מחדש את ההכנות לחתונה.</w:t>
      </w:r>
      <w:r w:rsidRPr="00A657A9">
        <w:rPr>
          <w:sz w:val="20"/>
          <w:szCs w:val="20"/>
          <w:rtl/>
        </w:rPr>
        <w:br/>
      </w:r>
      <w:r w:rsidRPr="00A657A9">
        <w:rPr>
          <w:rFonts w:hint="cs"/>
          <w:sz w:val="20"/>
          <w:szCs w:val="20"/>
          <w:rtl/>
        </w:rPr>
        <w:t xml:space="preserve">6. חתן שאיחר, האם צריכה למנות שוב? </w:t>
      </w:r>
      <w:r w:rsidRPr="00A657A9">
        <w:rPr>
          <w:rFonts w:hint="cs"/>
          <w:b/>
          <w:bCs/>
          <w:sz w:val="20"/>
          <w:szCs w:val="20"/>
          <w:rtl/>
        </w:rPr>
        <w:t>ט</w:t>
      </w:r>
      <w:r w:rsidRPr="004D296A">
        <w:rPr>
          <w:rFonts w:hint="cs"/>
          <w:b/>
          <w:bCs/>
          <w:sz w:val="20"/>
          <w:szCs w:val="20"/>
          <w:rtl/>
        </w:rPr>
        <w:t>"ז</w:t>
      </w:r>
      <w:r>
        <w:rPr>
          <w:rFonts w:hint="cs"/>
          <w:sz w:val="20"/>
          <w:szCs w:val="20"/>
          <w:rtl/>
        </w:rPr>
        <w:t xml:space="preserve">. כן, חששה שמא לא יבוא. </w:t>
      </w:r>
      <w:r w:rsidRPr="004D296A">
        <w:rPr>
          <w:rFonts w:hint="cs"/>
          <w:b/>
          <w:bCs/>
          <w:sz w:val="20"/>
          <w:szCs w:val="20"/>
          <w:rtl/>
        </w:rPr>
        <w:t xml:space="preserve">מ"ב </w:t>
      </w:r>
      <w:r>
        <w:rPr>
          <w:rFonts w:hint="cs"/>
          <w:b/>
          <w:bCs/>
          <w:sz w:val="20"/>
          <w:szCs w:val="20"/>
          <w:rtl/>
        </w:rPr>
        <w:t>ו</w:t>
      </w:r>
      <w:r w:rsidRPr="004D296A">
        <w:rPr>
          <w:rFonts w:hint="cs"/>
          <w:b/>
          <w:bCs/>
          <w:sz w:val="20"/>
          <w:szCs w:val="20"/>
          <w:rtl/>
        </w:rPr>
        <w:t>ש"ך</w:t>
      </w:r>
      <w:r>
        <w:rPr>
          <w:rFonts w:hint="cs"/>
          <w:sz w:val="20"/>
          <w:szCs w:val="20"/>
          <w:rtl/>
        </w:rPr>
        <w:t>. לא, זהו עיכוב סביר.</w:t>
      </w:r>
      <w:r>
        <w:rPr>
          <w:sz w:val="20"/>
          <w:szCs w:val="20"/>
          <w:rtl/>
        </w:rPr>
        <w:br/>
      </w:r>
      <w:r>
        <w:rPr>
          <w:rFonts w:hint="cs"/>
          <w:sz w:val="20"/>
          <w:szCs w:val="20"/>
          <w:rtl/>
        </w:rPr>
        <w:t xml:space="preserve">7. </w:t>
      </w:r>
      <w:r w:rsidRPr="004D296A">
        <w:rPr>
          <w:rFonts w:hint="cs"/>
          <w:b/>
          <w:bCs/>
          <w:sz w:val="20"/>
          <w:szCs w:val="20"/>
          <w:rtl/>
        </w:rPr>
        <w:t>לבוש</w:t>
      </w:r>
      <w:r>
        <w:rPr>
          <w:rFonts w:hint="cs"/>
          <w:sz w:val="20"/>
          <w:szCs w:val="20"/>
          <w:rtl/>
        </w:rPr>
        <w:t xml:space="preserve">. שמרה ז"נ לחתן אחד ובסוף התחתנה עם אחר </w:t>
      </w:r>
      <w:r>
        <w:rPr>
          <w:sz w:val="20"/>
          <w:szCs w:val="20"/>
          <w:rtl/>
        </w:rPr>
        <w:t>–</w:t>
      </w:r>
      <w:r>
        <w:rPr>
          <w:rFonts w:hint="cs"/>
          <w:sz w:val="20"/>
          <w:szCs w:val="20"/>
          <w:rtl/>
        </w:rPr>
        <w:t xml:space="preserve"> מונה שוב. וה"ה אם אח"כ התפייס הראשון. </w:t>
      </w:r>
    </w:p>
    <w:p w:rsidR="00620060" w:rsidRDefault="00620060" w:rsidP="00620060">
      <w:pPr>
        <w:rPr>
          <w:sz w:val="20"/>
          <w:szCs w:val="20"/>
          <w:rtl/>
        </w:rPr>
      </w:pPr>
      <w:r>
        <w:rPr>
          <w:sz w:val="20"/>
          <w:szCs w:val="20"/>
          <w:rtl/>
        </w:rPr>
        <w:br/>
      </w:r>
      <w:r>
        <w:rPr>
          <w:rFonts w:hint="cs"/>
          <w:b/>
          <w:bCs/>
          <w:sz w:val="20"/>
          <w:szCs w:val="20"/>
          <w:rtl/>
        </w:rPr>
        <w:t xml:space="preserve">סעיף ד </w:t>
      </w:r>
      <w:r>
        <w:rPr>
          <w:b/>
          <w:bCs/>
          <w:sz w:val="20"/>
          <w:szCs w:val="20"/>
          <w:rtl/>
        </w:rPr>
        <w:t>–</w:t>
      </w:r>
      <w:r>
        <w:rPr>
          <w:rFonts w:hint="cs"/>
          <w:b/>
          <w:bCs/>
          <w:sz w:val="20"/>
          <w:szCs w:val="20"/>
          <w:rtl/>
        </w:rPr>
        <w:t xml:space="preserve"> עבר וכנס ללא ז' נקיים</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גמרא </w:t>
      </w:r>
      <w:r>
        <w:rPr>
          <w:rFonts w:hint="cs"/>
          <w:sz w:val="20"/>
          <w:szCs w:val="20"/>
          <w:rtl/>
        </w:rPr>
        <w:t>כתובות (ד:) "</w:t>
      </w:r>
      <w:r w:rsidRPr="00900D9D">
        <w:rPr>
          <w:rFonts w:cs="Arial" w:hint="cs"/>
          <w:sz w:val="20"/>
          <w:szCs w:val="20"/>
          <w:rtl/>
        </w:rPr>
        <w:t>וכן</w:t>
      </w:r>
      <w:r w:rsidRPr="00900D9D">
        <w:rPr>
          <w:rFonts w:cs="Arial"/>
          <w:sz w:val="20"/>
          <w:szCs w:val="20"/>
          <w:rtl/>
        </w:rPr>
        <w:t xml:space="preserve"> </w:t>
      </w:r>
      <w:r w:rsidRPr="00900D9D">
        <w:rPr>
          <w:rFonts w:cs="Arial" w:hint="cs"/>
          <w:sz w:val="20"/>
          <w:szCs w:val="20"/>
          <w:rtl/>
        </w:rPr>
        <w:t>מי</w:t>
      </w:r>
      <w:r w:rsidRPr="00900D9D">
        <w:rPr>
          <w:rFonts w:cs="Arial"/>
          <w:sz w:val="20"/>
          <w:szCs w:val="20"/>
          <w:rtl/>
        </w:rPr>
        <w:t xml:space="preserve"> </w:t>
      </w:r>
      <w:r w:rsidRPr="00900D9D">
        <w:rPr>
          <w:rFonts w:cs="Arial" w:hint="cs"/>
          <w:sz w:val="20"/>
          <w:szCs w:val="20"/>
          <w:rtl/>
        </w:rPr>
        <w:t>שפירסה</w:t>
      </w:r>
      <w:r w:rsidRPr="00900D9D">
        <w:rPr>
          <w:rFonts w:cs="Arial"/>
          <w:sz w:val="20"/>
          <w:szCs w:val="20"/>
          <w:rtl/>
        </w:rPr>
        <w:t xml:space="preserve"> </w:t>
      </w:r>
      <w:r w:rsidRPr="00900D9D">
        <w:rPr>
          <w:rFonts w:cs="Arial" w:hint="cs"/>
          <w:sz w:val="20"/>
          <w:szCs w:val="20"/>
          <w:rtl/>
        </w:rPr>
        <w:t>אשתו</w:t>
      </w:r>
      <w:r w:rsidRPr="00900D9D">
        <w:rPr>
          <w:rFonts w:cs="Arial"/>
          <w:sz w:val="20"/>
          <w:szCs w:val="20"/>
          <w:rtl/>
        </w:rPr>
        <w:t xml:space="preserve"> </w:t>
      </w:r>
      <w:r w:rsidRPr="00900D9D">
        <w:rPr>
          <w:rFonts w:cs="Arial" w:hint="cs"/>
          <w:sz w:val="20"/>
          <w:szCs w:val="20"/>
          <w:rtl/>
        </w:rPr>
        <w:t>נדה</w:t>
      </w:r>
      <w:r w:rsidRPr="00900D9D">
        <w:rPr>
          <w:rFonts w:cs="Arial"/>
          <w:sz w:val="20"/>
          <w:szCs w:val="20"/>
          <w:rtl/>
        </w:rPr>
        <w:t xml:space="preserve"> </w:t>
      </w:r>
      <w:r w:rsidRPr="00900D9D">
        <w:rPr>
          <w:rFonts w:cs="Arial" w:hint="cs"/>
          <w:sz w:val="20"/>
          <w:szCs w:val="20"/>
          <w:rtl/>
        </w:rPr>
        <w:t>ולא</w:t>
      </w:r>
      <w:r w:rsidRPr="00900D9D">
        <w:rPr>
          <w:rFonts w:cs="Arial"/>
          <w:sz w:val="20"/>
          <w:szCs w:val="20"/>
          <w:rtl/>
        </w:rPr>
        <w:t xml:space="preserve"> </w:t>
      </w:r>
      <w:r w:rsidRPr="00900D9D">
        <w:rPr>
          <w:rFonts w:cs="Arial" w:hint="cs"/>
          <w:sz w:val="20"/>
          <w:szCs w:val="20"/>
          <w:rtl/>
        </w:rPr>
        <w:t>בעל</w:t>
      </w:r>
      <w:r w:rsidRPr="00900D9D">
        <w:rPr>
          <w:rFonts w:cs="Arial"/>
          <w:sz w:val="20"/>
          <w:szCs w:val="20"/>
          <w:rtl/>
        </w:rPr>
        <w:t xml:space="preserve">, </w:t>
      </w:r>
      <w:r w:rsidRPr="00900D9D">
        <w:rPr>
          <w:rFonts w:cs="Arial" w:hint="cs"/>
          <w:sz w:val="20"/>
          <w:szCs w:val="20"/>
          <w:rtl/>
        </w:rPr>
        <w:t>הוא</w:t>
      </w:r>
      <w:r w:rsidRPr="00900D9D">
        <w:rPr>
          <w:rFonts w:cs="Arial"/>
          <w:sz w:val="20"/>
          <w:szCs w:val="20"/>
          <w:rtl/>
        </w:rPr>
        <w:t xml:space="preserve"> </w:t>
      </w:r>
      <w:r w:rsidRPr="00900D9D">
        <w:rPr>
          <w:rFonts w:cs="Arial" w:hint="cs"/>
          <w:sz w:val="20"/>
          <w:szCs w:val="20"/>
          <w:rtl/>
        </w:rPr>
        <w:t>ישן</w:t>
      </w:r>
      <w:r w:rsidRPr="00900D9D">
        <w:rPr>
          <w:rFonts w:cs="Arial"/>
          <w:sz w:val="20"/>
          <w:szCs w:val="20"/>
          <w:rtl/>
        </w:rPr>
        <w:t xml:space="preserve"> </w:t>
      </w:r>
      <w:r w:rsidRPr="00900D9D">
        <w:rPr>
          <w:rFonts w:cs="Arial" w:hint="cs"/>
          <w:sz w:val="20"/>
          <w:szCs w:val="20"/>
          <w:rtl/>
        </w:rPr>
        <w:t>בין</w:t>
      </w:r>
      <w:r w:rsidRPr="00900D9D">
        <w:rPr>
          <w:rFonts w:cs="Arial"/>
          <w:sz w:val="20"/>
          <w:szCs w:val="20"/>
          <w:rtl/>
        </w:rPr>
        <w:t xml:space="preserve"> </w:t>
      </w:r>
      <w:r w:rsidRPr="00900D9D">
        <w:rPr>
          <w:rFonts w:cs="Arial" w:hint="cs"/>
          <w:sz w:val="20"/>
          <w:szCs w:val="20"/>
          <w:rtl/>
        </w:rPr>
        <w:t>האנשים</w:t>
      </w:r>
      <w:r w:rsidRPr="00900D9D">
        <w:rPr>
          <w:rFonts w:cs="Arial"/>
          <w:sz w:val="20"/>
          <w:szCs w:val="20"/>
          <w:rtl/>
        </w:rPr>
        <w:t xml:space="preserve"> </w:t>
      </w:r>
      <w:r w:rsidRPr="00900D9D">
        <w:rPr>
          <w:rFonts w:cs="Arial" w:hint="cs"/>
          <w:sz w:val="20"/>
          <w:szCs w:val="20"/>
          <w:rtl/>
        </w:rPr>
        <w:t>ואשתו</w:t>
      </w:r>
      <w:r w:rsidRPr="00900D9D">
        <w:rPr>
          <w:rFonts w:cs="Arial"/>
          <w:sz w:val="20"/>
          <w:szCs w:val="20"/>
          <w:rtl/>
        </w:rPr>
        <w:t xml:space="preserve"> </w:t>
      </w:r>
      <w:r w:rsidRPr="00900D9D">
        <w:rPr>
          <w:rFonts w:cs="Arial" w:hint="cs"/>
          <w:sz w:val="20"/>
          <w:szCs w:val="20"/>
          <w:rtl/>
        </w:rPr>
        <w:t>ישנה</w:t>
      </w:r>
      <w:r w:rsidRPr="00900D9D">
        <w:rPr>
          <w:rFonts w:cs="Arial"/>
          <w:sz w:val="20"/>
          <w:szCs w:val="20"/>
          <w:rtl/>
        </w:rPr>
        <w:t xml:space="preserve"> </w:t>
      </w:r>
      <w:r w:rsidRPr="00900D9D">
        <w:rPr>
          <w:rFonts w:cs="Arial" w:hint="cs"/>
          <w:sz w:val="20"/>
          <w:szCs w:val="20"/>
          <w:rtl/>
        </w:rPr>
        <w:t>בין</w:t>
      </w:r>
      <w:r w:rsidRPr="00900D9D">
        <w:rPr>
          <w:rFonts w:cs="Arial"/>
          <w:sz w:val="20"/>
          <w:szCs w:val="20"/>
          <w:rtl/>
        </w:rPr>
        <w:t xml:space="preserve"> </w:t>
      </w:r>
      <w:r w:rsidRPr="00900D9D">
        <w:rPr>
          <w:rFonts w:cs="Arial" w:hint="cs"/>
          <w:sz w:val="20"/>
          <w:szCs w:val="20"/>
          <w:rtl/>
        </w:rPr>
        <w:t>הנשים</w:t>
      </w:r>
      <w:r>
        <w:rPr>
          <w:rFonts w:cs="Arial" w:hint="cs"/>
          <w:sz w:val="20"/>
          <w:szCs w:val="20"/>
          <w:rtl/>
        </w:rPr>
        <w:t>".</w:t>
      </w:r>
      <w:r>
        <w:rPr>
          <w:rFonts w:hint="cs"/>
          <w:sz w:val="20"/>
          <w:szCs w:val="20"/>
          <w:rtl/>
        </w:rPr>
        <w:br/>
        <w:t xml:space="preserve">הסבר </w:t>
      </w:r>
      <w:r>
        <w:rPr>
          <w:sz w:val="20"/>
          <w:szCs w:val="20"/>
          <w:rtl/>
        </w:rPr>
        <w:t>–</w:t>
      </w:r>
      <w:r>
        <w:rPr>
          <w:rFonts w:hint="cs"/>
          <w:sz w:val="20"/>
          <w:szCs w:val="20"/>
          <w:rtl/>
        </w:rPr>
        <w:t xml:space="preserve"> חתן שאשתו פירסה נידה לפני שבא עליה, אסור לו לישון עמה ביחד, אלא הוא ישן עם אנשים והיא ישנה עם נשים, אך אם בא עליה ופירסה נידה מותר לו לישון עמה ככל שאר הזוגות בזמן שאסורים.</w:t>
      </w:r>
      <w:r>
        <w:rPr>
          <w:sz w:val="20"/>
          <w:szCs w:val="20"/>
          <w:rtl/>
        </w:rPr>
        <w:br/>
      </w:r>
      <w:r w:rsidRPr="00900D9D">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הוא הדין לגבי מי שאשתו לא שמרה ז' נקיים לפני הנישואין שאסור לו לישון עמה יחד, וכ"פ </w:t>
      </w:r>
      <w:r w:rsidRPr="00F92038">
        <w:rPr>
          <w:rFonts w:hint="cs"/>
          <w:b/>
          <w:bCs/>
          <w:sz w:val="20"/>
          <w:szCs w:val="20"/>
          <w:rtl/>
        </w:rPr>
        <w:t>המחבר</w:t>
      </w:r>
      <w:r>
        <w:rPr>
          <w:rFonts w:hint="cs"/>
          <w:sz w:val="20"/>
          <w:szCs w:val="20"/>
          <w:rtl/>
        </w:rPr>
        <w:t>.</w:t>
      </w:r>
      <w:r>
        <w:rPr>
          <w:sz w:val="20"/>
          <w:szCs w:val="20"/>
          <w:rtl/>
        </w:rPr>
        <w:br/>
      </w:r>
      <w:r w:rsidRPr="00900D9D">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אע"פ שהיא אינה נידה ממש אלא רק חוששים שמא ראתה, מכל מקום אם היתה ישנה עמו בבית לא היה קיום לגזרת חכמים ונמצא שדבריהם בטלים.</w:t>
      </w:r>
    </w:p>
    <w:p w:rsidR="00620060" w:rsidRDefault="00620060" w:rsidP="00620060">
      <w:pPr>
        <w:rPr>
          <w:b/>
          <w:bCs/>
          <w:sz w:val="20"/>
          <w:szCs w:val="20"/>
          <w:rtl/>
        </w:rPr>
      </w:pPr>
      <w:r>
        <w:rPr>
          <w:rFonts w:hint="cs"/>
          <w:b/>
          <w:bCs/>
          <w:sz w:val="20"/>
          <w:szCs w:val="20"/>
          <w:rtl/>
        </w:rPr>
        <w:t>אופן ההרחקה</w:t>
      </w:r>
      <w:r w:rsidRPr="00CD1AC9">
        <w:rPr>
          <w:rStyle w:val="a5"/>
          <w:sz w:val="20"/>
          <w:szCs w:val="20"/>
          <w:rtl/>
        </w:rPr>
        <w:footnoteReference w:id="379"/>
      </w:r>
      <w:r>
        <w:rPr>
          <w:b/>
          <w:bCs/>
          <w:sz w:val="20"/>
          <w:szCs w:val="20"/>
          <w:rtl/>
        </w:rPr>
        <w:br/>
      </w:r>
      <w:r>
        <w:rPr>
          <w:rFonts w:hint="cs"/>
          <w:sz w:val="20"/>
          <w:szCs w:val="20"/>
          <w:rtl/>
        </w:rPr>
        <w:t xml:space="preserve">א. </w:t>
      </w:r>
      <w:r w:rsidRPr="001B6FA1">
        <w:rPr>
          <w:rFonts w:hint="cs"/>
          <w:b/>
          <w:bCs/>
          <w:sz w:val="20"/>
          <w:szCs w:val="20"/>
          <w:rtl/>
        </w:rPr>
        <w:t>ראב"ד</w:t>
      </w:r>
      <w:r>
        <w:rPr>
          <w:rFonts w:hint="cs"/>
          <w:sz w:val="20"/>
          <w:szCs w:val="20"/>
          <w:rtl/>
        </w:rPr>
        <w:t xml:space="preserve"> </w:t>
      </w:r>
      <w:r>
        <w:rPr>
          <w:sz w:val="20"/>
          <w:szCs w:val="20"/>
          <w:rtl/>
        </w:rPr>
        <w:t>–</w:t>
      </w:r>
      <w:r>
        <w:rPr>
          <w:rFonts w:hint="cs"/>
          <w:sz w:val="20"/>
          <w:szCs w:val="20"/>
          <w:rtl/>
        </w:rPr>
        <w:t xml:space="preserve"> בלילה, הוא ישן בין האנשים והיא ישנה בין הנשים, ולא סגי בכך שרק הוא ישן בין האנשים או שרק היא ישנה בין הנשים. ביום לעומת זאת, מותר להם להתייחד ואף מותר להם לחבק ולנשק.</w:t>
      </w:r>
      <w:r>
        <w:rPr>
          <w:sz w:val="20"/>
          <w:szCs w:val="20"/>
          <w:rtl/>
        </w:rPr>
        <w:t xml:space="preserve"> </w:t>
      </w:r>
      <w:r>
        <w:rPr>
          <w:sz w:val="20"/>
          <w:szCs w:val="20"/>
          <w:rtl/>
        </w:rPr>
        <w:br/>
      </w:r>
      <w:r w:rsidRPr="001B6FA1">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בלילה, אם רק אחד מהם יישן עם אנשים נוספים יש לחוש לכך שילך למי שישן בגפו וישמשו מיטתם, אך ביום אין חשש שישמשו מיטתם הואיל ובלאו הכי אסור לאדם לשמש מיטתו ביום.</w:t>
      </w:r>
      <w:r>
        <w:rPr>
          <w:rFonts w:hint="cs"/>
          <w:sz w:val="20"/>
          <w:szCs w:val="20"/>
          <w:rtl/>
        </w:rPr>
        <w:br/>
        <w:t xml:space="preserve">מוסיף </w:t>
      </w:r>
      <w:r w:rsidRPr="00D65D56">
        <w:rPr>
          <w:rFonts w:hint="cs"/>
          <w:b/>
          <w:bCs/>
          <w:sz w:val="20"/>
          <w:szCs w:val="20"/>
          <w:rtl/>
        </w:rPr>
        <w:t>הבית יוסף</w:t>
      </w:r>
      <w:r>
        <w:rPr>
          <w:rFonts w:hint="cs"/>
          <w:sz w:val="20"/>
          <w:szCs w:val="20"/>
          <w:rtl/>
        </w:rPr>
        <w:t xml:space="preserve"> בדעת </w:t>
      </w:r>
      <w:r w:rsidRPr="00D65D56">
        <w:rPr>
          <w:rFonts w:hint="cs"/>
          <w:b/>
          <w:bCs/>
          <w:sz w:val="20"/>
          <w:szCs w:val="20"/>
          <w:rtl/>
        </w:rPr>
        <w:t>הרשב"א</w:t>
      </w:r>
      <w:r>
        <w:rPr>
          <w:rFonts w:hint="cs"/>
          <w:sz w:val="20"/>
          <w:szCs w:val="20"/>
          <w:rtl/>
        </w:rPr>
        <w:t xml:space="preserve"> </w:t>
      </w:r>
      <w:r>
        <w:rPr>
          <w:sz w:val="20"/>
          <w:szCs w:val="20"/>
          <w:rtl/>
        </w:rPr>
        <w:t>–</w:t>
      </w:r>
      <w:r>
        <w:rPr>
          <w:rFonts w:hint="cs"/>
          <w:sz w:val="20"/>
          <w:szCs w:val="20"/>
          <w:rtl/>
        </w:rPr>
        <w:t xml:space="preserve"> אם ישנים בשני בתים נפרדים אינם צריכים שמירה כלל.</w:t>
      </w:r>
      <w:r>
        <w:rPr>
          <w:sz w:val="20"/>
          <w:szCs w:val="20"/>
          <w:rtl/>
        </w:rPr>
        <w:br/>
      </w:r>
      <w:r>
        <w:rPr>
          <w:rFonts w:hint="cs"/>
          <w:sz w:val="20"/>
          <w:szCs w:val="20"/>
          <w:rtl/>
        </w:rPr>
        <w:t xml:space="preserve">ב. </w:t>
      </w:r>
      <w:r w:rsidRPr="00516E93">
        <w:rPr>
          <w:rFonts w:hint="cs"/>
          <w:b/>
          <w:bCs/>
          <w:sz w:val="20"/>
          <w:szCs w:val="20"/>
          <w:rtl/>
        </w:rPr>
        <w:t>רא"ש</w:t>
      </w:r>
      <w:r>
        <w:rPr>
          <w:rFonts w:hint="cs"/>
          <w:sz w:val="20"/>
          <w:szCs w:val="20"/>
          <w:rtl/>
        </w:rPr>
        <w:t xml:space="preserve"> </w:t>
      </w:r>
      <w:r>
        <w:rPr>
          <w:sz w:val="20"/>
          <w:szCs w:val="20"/>
          <w:rtl/>
        </w:rPr>
        <w:t>–</w:t>
      </w:r>
      <w:r>
        <w:rPr>
          <w:rFonts w:hint="cs"/>
          <w:sz w:val="20"/>
          <w:szCs w:val="20"/>
          <w:rtl/>
        </w:rPr>
        <w:t xml:space="preserve"> בלילה אינם צריכים שתי שמירות, די בכך שהחתן ישן בין האנשים או שהכלה ישנה בין הנשים, אך ביום אסור להם להתייחד אך אינם צריכים לנהוג בשאר ענייני פרישות. </w:t>
      </w:r>
      <w:r>
        <w:rPr>
          <w:sz w:val="20"/>
          <w:szCs w:val="20"/>
          <w:rtl/>
        </w:rPr>
        <w:br/>
      </w:r>
      <w:r w:rsidRPr="00516E93">
        <w:rPr>
          <w:rFonts w:hint="cs"/>
          <w:b/>
          <w:bCs/>
          <w:sz w:val="20"/>
          <w:szCs w:val="20"/>
          <w:rtl/>
        </w:rPr>
        <w:t>טעם</w:t>
      </w:r>
      <w:r>
        <w:rPr>
          <w:rFonts w:hint="cs"/>
          <w:sz w:val="20"/>
          <w:szCs w:val="20"/>
          <w:rtl/>
        </w:rPr>
        <w:t xml:space="preserve"> - ההיגיון בדברי </w:t>
      </w:r>
      <w:r w:rsidRPr="001B6FA1">
        <w:rPr>
          <w:rFonts w:hint="cs"/>
          <w:b/>
          <w:bCs/>
          <w:sz w:val="20"/>
          <w:szCs w:val="20"/>
          <w:rtl/>
        </w:rPr>
        <w:t>הראב"ד</w:t>
      </w:r>
      <w:r>
        <w:rPr>
          <w:rFonts w:hint="cs"/>
          <w:sz w:val="20"/>
          <w:szCs w:val="20"/>
          <w:rtl/>
        </w:rPr>
        <w:t xml:space="preserve"> אינו נכון, אדרבה, למראית העין היצר מתגבר יותר ולכן יש להחמיר טפי דווקא ביום ולהקל בלילה.</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CD1AC9">
        <w:rPr>
          <w:rFonts w:cs="Arial" w:hint="cs"/>
          <w:sz w:val="20"/>
          <w:szCs w:val="20"/>
          <w:rtl/>
        </w:rPr>
        <w:t>עבר</w:t>
      </w:r>
      <w:r>
        <w:rPr>
          <w:rStyle w:val="a5"/>
          <w:rFonts w:cs="Arial"/>
          <w:sz w:val="20"/>
          <w:szCs w:val="20"/>
          <w:rtl/>
        </w:rPr>
        <w:footnoteReference w:id="380"/>
      </w:r>
      <w:r w:rsidRPr="00CD1AC9">
        <w:rPr>
          <w:rFonts w:cs="Arial"/>
          <w:sz w:val="20"/>
          <w:szCs w:val="20"/>
          <w:rtl/>
        </w:rPr>
        <w:t xml:space="preserve"> </w:t>
      </w:r>
      <w:r w:rsidRPr="00CD1AC9">
        <w:rPr>
          <w:rFonts w:cs="Arial" w:hint="cs"/>
          <w:sz w:val="20"/>
          <w:szCs w:val="20"/>
          <w:rtl/>
        </w:rPr>
        <w:t>וכנסה</w:t>
      </w:r>
      <w:r w:rsidRPr="00CD1AC9">
        <w:rPr>
          <w:rFonts w:cs="Arial"/>
          <w:sz w:val="20"/>
          <w:szCs w:val="20"/>
          <w:rtl/>
        </w:rPr>
        <w:t xml:space="preserve"> </w:t>
      </w:r>
      <w:r w:rsidRPr="00CD1AC9">
        <w:rPr>
          <w:rFonts w:cs="Arial" w:hint="cs"/>
          <w:sz w:val="20"/>
          <w:szCs w:val="20"/>
          <w:rtl/>
        </w:rPr>
        <w:t>תוך</w:t>
      </w:r>
      <w:r w:rsidRPr="00CD1AC9">
        <w:rPr>
          <w:rFonts w:cs="Arial"/>
          <w:sz w:val="20"/>
          <w:szCs w:val="20"/>
          <w:rtl/>
        </w:rPr>
        <w:t xml:space="preserve"> </w:t>
      </w:r>
      <w:r w:rsidRPr="00CD1AC9">
        <w:rPr>
          <w:rFonts w:cs="Arial" w:hint="cs"/>
          <w:sz w:val="20"/>
          <w:szCs w:val="20"/>
          <w:rtl/>
        </w:rPr>
        <w:t>זמן</w:t>
      </w:r>
      <w:r w:rsidRPr="00CD1AC9">
        <w:rPr>
          <w:rFonts w:cs="Arial"/>
          <w:sz w:val="20"/>
          <w:szCs w:val="20"/>
          <w:rtl/>
        </w:rPr>
        <w:t xml:space="preserve"> </w:t>
      </w:r>
      <w:r w:rsidRPr="00CD1AC9">
        <w:rPr>
          <w:rFonts w:cs="Arial" w:hint="cs"/>
          <w:sz w:val="20"/>
          <w:szCs w:val="20"/>
          <w:rtl/>
        </w:rPr>
        <w:t>זה</w:t>
      </w:r>
      <w:r w:rsidRPr="00CD1AC9">
        <w:rPr>
          <w:rFonts w:cs="Arial"/>
          <w:sz w:val="20"/>
          <w:szCs w:val="20"/>
          <w:rtl/>
        </w:rPr>
        <w:t xml:space="preserve">, </w:t>
      </w:r>
      <w:r w:rsidRPr="00CD1AC9">
        <w:rPr>
          <w:rFonts w:cs="Arial" w:hint="cs"/>
          <w:sz w:val="20"/>
          <w:szCs w:val="20"/>
          <w:rtl/>
        </w:rPr>
        <w:t>וכן</w:t>
      </w:r>
      <w:r w:rsidRPr="00CD1AC9">
        <w:rPr>
          <w:rFonts w:cs="Arial"/>
          <w:sz w:val="20"/>
          <w:szCs w:val="20"/>
          <w:rtl/>
        </w:rPr>
        <w:t xml:space="preserve"> </w:t>
      </w:r>
      <w:r w:rsidRPr="00CD1AC9">
        <w:rPr>
          <w:rFonts w:cs="Arial" w:hint="cs"/>
          <w:sz w:val="20"/>
          <w:szCs w:val="20"/>
          <w:rtl/>
        </w:rPr>
        <w:t>חתן</w:t>
      </w:r>
      <w:r w:rsidRPr="00CD1AC9">
        <w:rPr>
          <w:rFonts w:cs="Arial"/>
          <w:sz w:val="20"/>
          <w:szCs w:val="20"/>
          <w:rtl/>
        </w:rPr>
        <w:t xml:space="preserve"> </w:t>
      </w:r>
      <w:r w:rsidRPr="00CD1AC9">
        <w:rPr>
          <w:rFonts w:cs="Arial" w:hint="cs"/>
          <w:sz w:val="20"/>
          <w:szCs w:val="20"/>
          <w:rtl/>
        </w:rPr>
        <w:t>שפירסה</w:t>
      </w:r>
      <w:r w:rsidRPr="00CD1AC9">
        <w:rPr>
          <w:rFonts w:cs="Arial"/>
          <w:sz w:val="20"/>
          <w:szCs w:val="20"/>
          <w:rtl/>
        </w:rPr>
        <w:t xml:space="preserve"> </w:t>
      </w:r>
      <w:r w:rsidRPr="00CD1AC9">
        <w:rPr>
          <w:rFonts w:cs="Arial" w:hint="cs"/>
          <w:sz w:val="20"/>
          <w:szCs w:val="20"/>
          <w:rtl/>
        </w:rPr>
        <w:t>כלתו</w:t>
      </w:r>
      <w:r w:rsidRPr="00CD1AC9">
        <w:rPr>
          <w:rFonts w:cs="Arial"/>
          <w:sz w:val="20"/>
          <w:szCs w:val="20"/>
          <w:rtl/>
        </w:rPr>
        <w:t xml:space="preserve"> </w:t>
      </w:r>
      <w:r w:rsidRPr="00CD1AC9">
        <w:rPr>
          <w:rFonts w:cs="Arial" w:hint="cs"/>
          <w:sz w:val="20"/>
          <w:szCs w:val="20"/>
          <w:rtl/>
        </w:rPr>
        <w:t>נדה</w:t>
      </w:r>
      <w:r w:rsidRPr="00CD1AC9">
        <w:rPr>
          <w:rFonts w:cs="Arial"/>
          <w:sz w:val="20"/>
          <w:szCs w:val="20"/>
          <w:rtl/>
        </w:rPr>
        <w:t xml:space="preserve"> </w:t>
      </w:r>
      <w:r w:rsidRPr="00CD1AC9">
        <w:rPr>
          <w:rFonts w:cs="Arial" w:hint="cs"/>
          <w:sz w:val="20"/>
          <w:szCs w:val="20"/>
          <w:rtl/>
        </w:rPr>
        <w:t>קודם</w:t>
      </w:r>
      <w:r w:rsidRPr="00CD1AC9">
        <w:rPr>
          <w:rFonts w:cs="Arial"/>
          <w:sz w:val="20"/>
          <w:szCs w:val="20"/>
          <w:rtl/>
        </w:rPr>
        <w:t xml:space="preserve"> </w:t>
      </w:r>
      <w:r w:rsidRPr="00CD1AC9">
        <w:rPr>
          <w:rFonts w:cs="Arial" w:hint="cs"/>
          <w:sz w:val="20"/>
          <w:szCs w:val="20"/>
          <w:rtl/>
        </w:rPr>
        <w:t>שבא</w:t>
      </w:r>
      <w:r w:rsidRPr="00CD1AC9">
        <w:rPr>
          <w:rFonts w:cs="Arial"/>
          <w:sz w:val="20"/>
          <w:szCs w:val="20"/>
          <w:rtl/>
        </w:rPr>
        <w:t xml:space="preserve"> </w:t>
      </w:r>
      <w:r w:rsidRPr="00CD1AC9">
        <w:rPr>
          <w:rFonts w:cs="Arial" w:hint="cs"/>
          <w:sz w:val="20"/>
          <w:szCs w:val="20"/>
          <w:rtl/>
        </w:rPr>
        <w:t>עליה</w:t>
      </w:r>
      <w:r w:rsidRPr="00CD1AC9">
        <w:rPr>
          <w:rFonts w:cs="Arial"/>
          <w:sz w:val="20"/>
          <w:szCs w:val="20"/>
          <w:rtl/>
        </w:rPr>
        <w:t xml:space="preserve">, </w:t>
      </w:r>
      <w:r w:rsidRPr="00CD1AC9">
        <w:rPr>
          <w:rFonts w:cs="Arial" w:hint="cs"/>
          <w:sz w:val="20"/>
          <w:szCs w:val="20"/>
          <w:rtl/>
        </w:rPr>
        <w:t>לא</w:t>
      </w:r>
      <w:r w:rsidRPr="00CD1AC9">
        <w:rPr>
          <w:rFonts w:cs="Arial"/>
          <w:sz w:val="20"/>
          <w:szCs w:val="20"/>
          <w:rtl/>
        </w:rPr>
        <w:t xml:space="preserve"> </w:t>
      </w:r>
      <w:r w:rsidRPr="00CD1AC9">
        <w:rPr>
          <w:rFonts w:cs="Arial" w:hint="cs"/>
          <w:sz w:val="20"/>
          <w:szCs w:val="20"/>
          <w:rtl/>
        </w:rPr>
        <w:t>יתייחד</w:t>
      </w:r>
      <w:r w:rsidRPr="00CD1AC9">
        <w:rPr>
          <w:rFonts w:cs="Arial"/>
          <w:sz w:val="20"/>
          <w:szCs w:val="20"/>
          <w:rtl/>
        </w:rPr>
        <w:t xml:space="preserve"> </w:t>
      </w:r>
      <w:r w:rsidRPr="00CD1AC9">
        <w:rPr>
          <w:rFonts w:cs="Arial" w:hint="cs"/>
          <w:sz w:val="20"/>
          <w:szCs w:val="20"/>
          <w:rtl/>
        </w:rPr>
        <w:t>עמה</w:t>
      </w:r>
      <w:r w:rsidRPr="00CD1AC9">
        <w:rPr>
          <w:rFonts w:cs="Arial"/>
          <w:sz w:val="20"/>
          <w:szCs w:val="20"/>
          <w:rtl/>
        </w:rPr>
        <w:t xml:space="preserve">, </w:t>
      </w:r>
      <w:r w:rsidRPr="00CD1AC9">
        <w:rPr>
          <w:rFonts w:cs="Arial" w:hint="cs"/>
          <w:sz w:val="20"/>
          <w:szCs w:val="20"/>
          <w:rtl/>
        </w:rPr>
        <w:t>אלא</w:t>
      </w:r>
      <w:r w:rsidRPr="00CD1AC9">
        <w:rPr>
          <w:rFonts w:cs="Arial"/>
          <w:sz w:val="20"/>
          <w:szCs w:val="20"/>
          <w:rtl/>
        </w:rPr>
        <w:t xml:space="preserve"> </w:t>
      </w:r>
      <w:r w:rsidRPr="00CD1AC9">
        <w:rPr>
          <w:rFonts w:cs="Arial" w:hint="cs"/>
          <w:sz w:val="20"/>
          <w:szCs w:val="20"/>
          <w:rtl/>
        </w:rPr>
        <w:t>הוא</w:t>
      </w:r>
      <w:r w:rsidRPr="00CD1AC9">
        <w:rPr>
          <w:rFonts w:cs="Arial"/>
          <w:sz w:val="20"/>
          <w:szCs w:val="20"/>
          <w:rtl/>
        </w:rPr>
        <w:t xml:space="preserve"> </w:t>
      </w:r>
      <w:r w:rsidRPr="00CD1AC9">
        <w:rPr>
          <w:rFonts w:cs="Arial" w:hint="cs"/>
          <w:sz w:val="20"/>
          <w:szCs w:val="20"/>
          <w:rtl/>
        </w:rPr>
        <w:t>ישן</w:t>
      </w:r>
      <w:r w:rsidRPr="00CD1AC9">
        <w:rPr>
          <w:rFonts w:cs="Arial"/>
          <w:sz w:val="20"/>
          <w:szCs w:val="20"/>
          <w:rtl/>
        </w:rPr>
        <w:t xml:space="preserve"> </w:t>
      </w:r>
      <w:r w:rsidRPr="00CD1AC9">
        <w:rPr>
          <w:rFonts w:cs="Arial" w:hint="cs"/>
          <w:sz w:val="20"/>
          <w:szCs w:val="20"/>
          <w:rtl/>
        </w:rPr>
        <w:t>בין</w:t>
      </w:r>
      <w:r w:rsidRPr="00CD1AC9">
        <w:rPr>
          <w:rFonts w:cs="Arial"/>
          <w:sz w:val="20"/>
          <w:szCs w:val="20"/>
          <w:rtl/>
        </w:rPr>
        <w:t xml:space="preserve"> </w:t>
      </w:r>
      <w:r w:rsidRPr="00CD1AC9">
        <w:rPr>
          <w:rFonts w:cs="Arial" w:hint="cs"/>
          <w:sz w:val="20"/>
          <w:szCs w:val="20"/>
          <w:rtl/>
        </w:rPr>
        <w:t>האנשים</w:t>
      </w:r>
      <w:r w:rsidRPr="00CD1AC9">
        <w:rPr>
          <w:rFonts w:cs="Arial"/>
          <w:sz w:val="20"/>
          <w:szCs w:val="20"/>
          <w:rtl/>
        </w:rPr>
        <w:t xml:space="preserve"> </w:t>
      </w:r>
      <w:r w:rsidRPr="00CD1AC9">
        <w:rPr>
          <w:rFonts w:cs="Arial" w:hint="cs"/>
          <w:sz w:val="20"/>
          <w:szCs w:val="20"/>
          <w:rtl/>
        </w:rPr>
        <w:t>והיא</w:t>
      </w:r>
      <w:r w:rsidRPr="00CD1AC9">
        <w:rPr>
          <w:rFonts w:cs="Arial"/>
          <w:sz w:val="20"/>
          <w:szCs w:val="20"/>
          <w:rtl/>
        </w:rPr>
        <w:t xml:space="preserve"> </w:t>
      </w:r>
      <w:r w:rsidRPr="00CD1AC9">
        <w:rPr>
          <w:rFonts w:cs="Arial" w:hint="cs"/>
          <w:sz w:val="20"/>
          <w:szCs w:val="20"/>
          <w:rtl/>
        </w:rPr>
        <w:t>ישנה</w:t>
      </w:r>
      <w:r w:rsidRPr="00CD1AC9">
        <w:rPr>
          <w:rFonts w:cs="Arial"/>
          <w:sz w:val="20"/>
          <w:szCs w:val="20"/>
          <w:rtl/>
        </w:rPr>
        <w:t xml:space="preserve"> </w:t>
      </w:r>
      <w:r w:rsidRPr="00CD1AC9">
        <w:rPr>
          <w:rFonts w:cs="Arial" w:hint="cs"/>
          <w:sz w:val="20"/>
          <w:szCs w:val="20"/>
          <w:rtl/>
        </w:rPr>
        <w:t>בין</w:t>
      </w:r>
      <w:r w:rsidRPr="00CD1AC9">
        <w:rPr>
          <w:rFonts w:cs="Arial"/>
          <w:sz w:val="20"/>
          <w:szCs w:val="20"/>
          <w:rtl/>
        </w:rPr>
        <w:t xml:space="preserve"> </w:t>
      </w:r>
      <w:r w:rsidRPr="00CD1AC9">
        <w:rPr>
          <w:rFonts w:cs="Arial" w:hint="cs"/>
          <w:sz w:val="20"/>
          <w:szCs w:val="20"/>
          <w:rtl/>
        </w:rPr>
        <w:t>הנשים</w:t>
      </w:r>
      <w:r>
        <w:rPr>
          <w:rFonts w:cs="Arial"/>
          <w:sz w:val="20"/>
          <w:szCs w:val="20"/>
          <w:rtl/>
        </w:rPr>
        <w:t>.</w:t>
      </w:r>
      <w:r>
        <w:rPr>
          <w:rFonts w:cs="Arial" w:hint="cs"/>
          <w:sz w:val="20"/>
          <w:szCs w:val="20"/>
          <w:rtl/>
        </w:rPr>
        <w:t xml:space="preserve">.. </w:t>
      </w:r>
      <w:r>
        <w:rPr>
          <w:rFonts w:cs="Arial" w:hint="cs"/>
          <w:sz w:val="18"/>
          <w:szCs w:val="18"/>
          <w:rtl/>
        </w:rPr>
        <w:t xml:space="preserve">הגה: </w:t>
      </w:r>
      <w:r w:rsidRPr="00CD1AC9">
        <w:rPr>
          <w:rFonts w:cs="Arial" w:hint="cs"/>
          <w:sz w:val="18"/>
          <w:szCs w:val="18"/>
          <w:rtl/>
        </w:rPr>
        <w:t>יש אומרים</w:t>
      </w:r>
      <w:r w:rsidRPr="00CD1AC9">
        <w:rPr>
          <w:rFonts w:cs="Arial"/>
          <w:sz w:val="18"/>
          <w:szCs w:val="18"/>
          <w:rtl/>
        </w:rPr>
        <w:t xml:space="preserve"> </w:t>
      </w:r>
      <w:r w:rsidRPr="00CD1AC9">
        <w:rPr>
          <w:rFonts w:cs="Arial" w:hint="cs"/>
          <w:sz w:val="18"/>
          <w:szCs w:val="18"/>
          <w:rtl/>
        </w:rPr>
        <w:t>שאסורה</w:t>
      </w:r>
      <w:r w:rsidRPr="00CD1AC9">
        <w:rPr>
          <w:rFonts w:cs="Arial"/>
          <w:sz w:val="18"/>
          <w:szCs w:val="18"/>
          <w:rtl/>
        </w:rPr>
        <w:t xml:space="preserve"> </w:t>
      </w:r>
      <w:r w:rsidRPr="00CD1AC9">
        <w:rPr>
          <w:rFonts w:cs="Arial" w:hint="cs"/>
          <w:sz w:val="18"/>
          <w:szCs w:val="18"/>
          <w:rtl/>
        </w:rPr>
        <w:t>לייחד</w:t>
      </w:r>
      <w:r w:rsidRPr="00CD1AC9">
        <w:rPr>
          <w:rFonts w:cs="Arial"/>
          <w:sz w:val="18"/>
          <w:szCs w:val="18"/>
          <w:rtl/>
        </w:rPr>
        <w:t xml:space="preserve"> </w:t>
      </w:r>
      <w:r w:rsidRPr="00CD1AC9">
        <w:rPr>
          <w:rFonts w:cs="Arial" w:hint="cs"/>
          <w:sz w:val="18"/>
          <w:szCs w:val="18"/>
          <w:rtl/>
        </w:rPr>
        <w:t>עמו</w:t>
      </w:r>
      <w:r w:rsidRPr="00CD1AC9">
        <w:rPr>
          <w:rFonts w:cs="Arial"/>
          <w:sz w:val="18"/>
          <w:szCs w:val="18"/>
          <w:rtl/>
        </w:rPr>
        <w:t xml:space="preserve"> </w:t>
      </w:r>
      <w:r w:rsidRPr="00CD1AC9">
        <w:rPr>
          <w:rFonts w:cs="Arial" w:hint="cs"/>
          <w:sz w:val="18"/>
          <w:szCs w:val="18"/>
          <w:rtl/>
        </w:rPr>
        <w:t>ביום</w:t>
      </w:r>
      <w:r w:rsidRPr="00CD1AC9">
        <w:rPr>
          <w:rFonts w:cs="Arial"/>
          <w:sz w:val="18"/>
          <w:szCs w:val="18"/>
          <w:rtl/>
        </w:rPr>
        <w:t xml:space="preserve"> </w:t>
      </w:r>
      <w:r w:rsidRPr="00CD1AC9">
        <w:rPr>
          <w:rFonts w:cs="Arial" w:hint="cs"/>
          <w:sz w:val="18"/>
          <w:szCs w:val="18"/>
          <w:rtl/>
        </w:rPr>
        <w:t>כמו</w:t>
      </w:r>
      <w:r w:rsidRPr="00CD1AC9">
        <w:rPr>
          <w:rFonts w:cs="Arial"/>
          <w:sz w:val="18"/>
          <w:szCs w:val="18"/>
          <w:rtl/>
        </w:rPr>
        <w:t xml:space="preserve"> </w:t>
      </w:r>
      <w:r w:rsidRPr="00CD1AC9">
        <w:rPr>
          <w:rFonts w:cs="Arial" w:hint="cs"/>
          <w:sz w:val="18"/>
          <w:szCs w:val="18"/>
          <w:rtl/>
        </w:rPr>
        <w:t>בלילה</w:t>
      </w:r>
      <w:r w:rsidRPr="00CD1AC9">
        <w:rPr>
          <w:rFonts w:cs="Arial"/>
          <w:sz w:val="18"/>
          <w:szCs w:val="18"/>
          <w:rtl/>
        </w:rPr>
        <w:t xml:space="preserve">, </w:t>
      </w:r>
      <w:r w:rsidRPr="00CD1AC9">
        <w:rPr>
          <w:rFonts w:cs="Arial" w:hint="cs"/>
          <w:sz w:val="18"/>
          <w:szCs w:val="18"/>
          <w:rtl/>
        </w:rPr>
        <w:t>ואין צריך</w:t>
      </w:r>
      <w:r w:rsidRPr="00CD1AC9">
        <w:rPr>
          <w:rFonts w:cs="Arial"/>
          <w:sz w:val="18"/>
          <w:szCs w:val="18"/>
          <w:rtl/>
        </w:rPr>
        <w:t xml:space="preserve"> </w:t>
      </w:r>
      <w:r w:rsidRPr="00CD1AC9">
        <w:rPr>
          <w:rFonts w:cs="Arial" w:hint="cs"/>
          <w:sz w:val="18"/>
          <w:szCs w:val="18"/>
          <w:rtl/>
        </w:rPr>
        <w:t>להיות</w:t>
      </w:r>
      <w:r w:rsidRPr="00CD1AC9">
        <w:rPr>
          <w:rFonts w:cs="Arial"/>
          <w:sz w:val="18"/>
          <w:szCs w:val="18"/>
          <w:rtl/>
        </w:rPr>
        <w:t xml:space="preserve"> </w:t>
      </w:r>
      <w:r w:rsidRPr="00CD1AC9">
        <w:rPr>
          <w:rFonts w:cs="Arial" w:hint="cs"/>
          <w:sz w:val="18"/>
          <w:szCs w:val="18"/>
          <w:rtl/>
        </w:rPr>
        <w:t>שתי</w:t>
      </w:r>
      <w:r w:rsidRPr="00CD1AC9">
        <w:rPr>
          <w:rFonts w:cs="Arial"/>
          <w:sz w:val="18"/>
          <w:szCs w:val="18"/>
          <w:rtl/>
        </w:rPr>
        <w:t xml:space="preserve"> </w:t>
      </w:r>
      <w:r w:rsidRPr="00CD1AC9">
        <w:rPr>
          <w:rFonts w:cs="Arial" w:hint="cs"/>
          <w:sz w:val="18"/>
          <w:szCs w:val="18"/>
          <w:rtl/>
        </w:rPr>
        <w:t>שמירות</w:t>
      </w:r>
      <w:r w:rsidRPr="00CD1AC9">
        <w:rPr>
          <w:rFonts w:cs="Arial"/>
          <w:sz w:val="18"/>
          <w:szCs w:val="18"/>
          <w:rtl/>
        </w:rPr>
        <w:t xml:space="preserve">, </w:t>
      </w:r>
      <w:r w:rsidRPr="00CD1AC9">
        <w:rPr>
          <w:rFonts w:cs="Arial" w:hint="cs"/>
          <w:sz w:val="18"/>
          <w:szCs w:val="18"/>
          <w:rtl/>
        </w:rPr>
        <w:t>רק</w:t>
      </w:r>
      <w:r w:rsidRPr="00CD1AC9">
        <w:rPr>
          <w:rFonts w:cs="Arial"/>
          <w:sz w:val="18"/>
          <w:szCs w:val="18"/>
          <w:rtl/>
        </w:rPr>
        <w:t xml:space="preserve"> </w:t>
      </w:r>
      <w:r w:rsidRPr="00CD1AC9">
        <w:rPr>
          <w:rFonts w:cs="Arial" w:hint="cs"/>
          <w:sz w:val="18"/>
          <w:szCs w:val="18"/>
          <w:rtl/>
        </w:rPr>
        <w:t>הוא</w:t>
      </w:r>
      <w:r w:rsidRPr="00CD1AC9">
        <w:rPr>
          <w:rFonts w:cs="Arial"/>
          <w:sz w:val="18"/>
          <w:szCs w:val="18"/>
          <w:rtl/>
        </w:rPr>
        <w:t xml:space="preserve"> </w:t>
      </w:r>
      <w:r w:rsidRPr="00CD1AC9">
        <w:rPr>
          <w:rFonts w:cs="Arial" w:hint="cs"/>
          <w:sz w:val="18"/>
          <w:szCs w:val="18"/>
          <w:rtl/>
        </w:rPr>
        <w:t>בין</w:t>
      </w:r>
      <w:r w:rsidRPr="00CD1AC9">
        <w:rPr>
          <w:rFonts w:cs="Arial"/>
          <w:sz w:val="18"/>
          <w:szCs w:val="18"/>
          <w:rtl/>
        </w:rPr>
        <w:t xml:space="preserve"> </w:t>
      </w:r>
      <w:r w:rsidRPr="00CD1AC9">
        <w:rPr>
          <w:rFonts w:cs="Arial" w:hint="cs"/>
          <w:sz w:val="18"/>
          <w:szCs w:val="18"/>
          <w:rtl/>
        </w:rPr>
        <w:t>האנשים</w:t>
      </w:r>
      <w:r w:rsidRPr="00CD1AC9">
        <w:rPr>
          <w:rFonts w:cs="Arial"/>
          <w:sz w:val="18"/>
          <w:szCs w:val="18"/>
          <w:rtl/>
        </w:rPr>
        <w:t xml:space="preserve"> </w:t>
      </w:r>
      <w:r w:rsidRPr="00CD1AC9">
        <w:rPr>
          <w:rFonts w:cs="Arial" w:hint="cs"/>
          <w:sz w:val="18"/>
          <w:szCs w:val="18"/>
          <w:rtl/>
        </w:rPr>
        <w:t>או</w:t>
      </w:r>
      <w:r w:rsidRPr="00CD1AC9">
        <w:rPr>
          <w:rFonts w:cs="Arial"/>
          <w:sz w:val="18"/>
          <w:szCs w:val="18"/>
          <w:rtl/>
        </w:rPr>
        <w:t xml:space="preserve"> </w:t>
      </w:r>
      <w:r w:rsidRPr="00CD1AC9">
        <w:rPr>
          <w:rFonts w:cs="Arial" w:hint="cs"/>
          <w:sz w:val="18"/>
          <w:szCs w:val="18"/>
          <w:rtl/>
        </w:rPr>
        <w:t>היא</w:t>
      </w:r>
      <w:r w:rsidRPr="00CD1AC9">
        <w:rPr>
          <w:rFonts w:cs="Arial"/>
          <w:sz w:val="18"/>
          <w:szCs w:val="18"/>
          <w:rtl/>
        </w:rPr>
        <w:t xml:space="preserve"> </w:t>
      </w:r>
      <w:r w:rsidRPr="00CD1AC9">
        <w:rPr>
          <w:rFonts w:cs="Arial" w:hint="cs"/>
          <w:sz w:val="18"/>
          <w:szCs w:val="18"/>
          <w:rtl/>
        </w:rPr>
        <w:t>בין</w:t>
      </w:r>
      <w:r w:rsidRPr="00CD1AC9">
        <w:rPr>
          <w:rFonts w:cs="Arial"/>
          <w:sz w:val="18"/>
          <w:szCs w:val="18"/>
          <w:rtl/>
        </w:rPr>
        <w:t xml:space="preserve"> </w:t>
      </w:r>
      <w:r w:rsidRPr="00CD1AC9">
        <w:rPr>
          <w:rFonts w:cs="Arial" w:hint="cs"/>
          <w:sz w:val="18"/>
          <w:szCs w:val="18"/>
          <w:rtl/>
        </w:rPr>
        <w:t>הנשים</w:t>
      </w:r>
      <w:r w:rsidRPr="00CD1AC9">
        <w:rPr>
          <w:rFonts w:cs="Arial"/>
          <w:sz w:val="18"/>
          <w:szCs w:val="18"/>
          <w:rtl/>
        </w:rPr>
        <w:t xml:space="preserve"> (</w:t>
      </w:r>
      <w:r w:rsidRPr="00CD1AC9">
        <w:rPr>
          <w:rFonts w:cs="Arial" w:hint="cs"/>
          <w:sz w:val="18"/>
          <w:szCs w:val="18"/>
          <w:rtl/>
        </w:rPr>
        <w:t>רא</w:t>
      </w:r>
      <w:r w:rsidRPr="00CD1AC9">
        <w:rPr>
          <w:rFonts w:cs="Arial"/>
          <w:sz w:val="18"/>
          <w:szCs w:val="18"/>
          <w:rtl/>
        </w:rPr>
        <w:t>"</w:t>
      </w:r>
      <w:r w:rsidRPr="00CD1AC9">
        <w:rPr>
          <w:rFonts w:cs="Arial" w:hint="cs"/>
          <w:sz w:val="18"/>
          <w:szCs w:val="18"/>
          <w:rtl/>
        </w:rPr>
        <w:t>ש</w:t>
      </w:r>
      <w:r w:rsidRPr="00CD1AC9">
        <w:rPr>
          <w:rFonts w:cs="Arial"/>
          <w:sz w:val="18"/>
          <w:szCs w:val="18"/>
          <w:rtl/>
        </w:rPr>
        <w:t xml:space="preserve">). </w:t>
      </w:r>
      <w:r w:rsidRPr="00CD1AC9">
        <w:rPr>
          <w:rFonts w:cs="Arial" w:hint="cs"/>
          <w:sz w:val="18"/>
          <w:szCs w:val="18"/>
          <w:rtl/>
        </w:rPr>
        <w:t>ואם</w:t>
      </w:r>
      <w:r w:rsidRPr="00CD1AC9">
        <w:rPr>
          <w:rFonts w:cs="Arial"/>
          <w:sz w:val="18"/>
          <w:szCs w:val="18"/>
          <w:rtl/>
        </w:rPr>
        <w:t xml:space="preserve"> </w:t>
      </w:r>
      <w:r w:rsidRPr="00CD1AC9">
        <w:rPr>
          <w:rFonts w:cs="Arial" w:hint="cs"/>
          <w:sz w:val="18"/>
          <w:szCs w:val="18"/>
          <w:rtl/>
        </w:rPr>
        <w:t>אינם</w:t>
      </w:r>
      <w:r w:rsidRPr="00CD1AC9">
        <w:rPr>
          <w:rFonts w:cs="Arial"/>
          <w:sz w:val="18"/>
          <w:szCs w:val="18"/>
          <w:rtl/>
        </w:rPr>
        <w:t xml:space="preserve"> </w:t>
      </w:r>
      <w:r w:rsidRPr="00CD1AC9">
        <w:rPr>
          <w:rFonts w:cs="Arial" w:hint="cs"/>
          <w:sz w:val="18"/>
          <w:szCs w:val="18"/>
          <w:rtl/>
        </w:rPr>
        <w:t>ישנים</w:t>
      </w:r>
      <w:r w:rsidRPr="00CD1AC9">
        <w:rPr>
          <w:rFonts w:cs="Arial"/>
          <w:sz w:val="18"/>
          <w:szCs w:val="18"/>
          <w:rtl/>
        </w:rPr>
        <w:t xml:space="preserve"> </w:t>
      </w:r>
      <w:r w:rsidRPr="00CD1AC9">
        <w:rPr>
          <w:rFonts w:cs="Arial" w:hint="cs"/>
          <w:sz w:val="18"/>
          <w:szCs w:val="18"/>
          <w:rtl/>
        </w:rPr>
        <w:t>בחדר</w:t>
      </w:r>
      <w:r>
        <w:rPr>
          <w:rStyle w:val="a5"/>
          <w:rFonts w:cs="Arial"/>
          <w:sz w:val="18"/>
          <w:szCs w:val="18"/>
          <w:rtl/>
        </w:rPr>
        <w:footnoteReference w:id="381"/>
      </w:r>
      <w:r w:rsidRPr="00CD1AC9">
        <w:rPr>
          <w:rFonts w:cs="Arial"/>
          <w:sz w:val="18"/>
          <w:szCs w:val="18"/>
          <w:rtl/>
        </w:rPr>
        <w:t xml:space="preserve"> </w:t>
      </w:r>
      <w:r w:rsidRPr="00CD1AC9">
        <w:rPr>
          <w:rFonts w:cs="Arial" w:hint="cs"/>
          <w:sz w:val="18"/>
          <w:szCs w:val="18"/>
          <w:rtl/>
        </w:rPr>
        <w:t>א</w:t>
      </w:r>
      <w:r>
        <w:rPr>
          <w:rFonts w:cs="Arial" w:hint="cs"/>
          <w:sz w:val="18"/>
          <w:szCs w:val="18"/>
          <w:rtl/>
        </w:rPr>
        <w:t>חד</w:t>
      </w:r>
      <w:r w:rsidRPr="00CD1AC9">
        <w:rPr>
          <w:rFonts w:cs="Arial"/>
          <w:sz w:val="18"/>
          <w:szCs w:val="18"/>
          <w:rtl/>
        </w:rPr>
        <w:t xml:space="preserve"> </w:t>
      </w:r>
      <w:r w:rsidRPr="00CD1AC9">
        <w:rPr>
          <w:rFonts w:cs="Arial" w:hint="cs"/>
          <w:sz w:val="18"/>
          <w:szCs w:val="18"/>
          <w:rtl/>
        </w:rPr>
        <w:t>אינן</w:t>
      </w:r>
      <w:r w:rsidRPr="00CD1AC9">
        <w:rPr>
          <w:rFonts w:cs="Arial"/>
          <w:sz w:val="18"/>
          <w:szCs w:val="18"/>
          <w:rtl/>
        </w:rPr>
        <w:t xml:space="preserve"> </w:t>
      </w:r>
      <w:r w:rsidRPr="00CD1AC9">
        <w:rPr>
          <w:rFonts w:cs="Arial" w:hint="cs"/>
          <w:sz w:val="18"/>
          <w:szCs w:val="18"/>
          <w:rtl/>
        </w:rPr>
        <w:t>צריכים</w:t>
      </w:r>
      <w:r w:rsidRPr="00CD1AC9">
        <w:rPr>
          <w:rFonts w:cs="Arial"/>
          <w:sz w:val="18"/>
          <w:szCs w:val="18"/>
          <w:rtl/>
        </w:rPr>
        <w:t xml:space="preserve"> </w:t>
      </w:r>
      <w:r w:rsidRPr="00CD1AC9">
        <w:rPr>
          <w:rFonts w:cs="Arial" w:hint="cs"/>
          <w:sz w:val="18"/>
          <w:szCs w:val="18"/>
          <w:rtl/>
        </w:rPr>
        <w:t>שימור</w:t>
      </w:r>
      <w:r w:rsidRPr="00CD1AC9">
        <w:rPr>
          <w:rFonts w:cs="Arial"/>
          <w:sz w:val="18"/>
          <w:szCs w:val="18"/>
          <w:rtl/>
        </w:rPr>
        <w:t xml:space="preserve"> </w:t>
      </w:r>
      <w:r w:rsidRPr="00CD1AC9">
        <w:rPr>
          <w:rFonts w:cs="Arial" w:hint="cs"/>
          <w:sz w:val="18"/>
          <w:szCs w:val="18"/>
          <w:rtl/>
        </w:rPr>
        <w:t>כלל</w:t>
      </w:r>
      <w:r>
        <w:rPr>
          <w:rFonts w:cs="Arial" w:hint="cs"/>
          <w:sz w:val="18"/>
          <w:szCs w:val="18"/>
          <w:rtl/>
        </w:rPr>
        <w:t xml:space="preserve"> (ב"י בדעת הרשב"א)</w:t>
      </w:r>
      <w:r w:rsidRPr="00CD1AC9">
        <w:rPr>
          <w:rFonts w:cs="Arial"/>
          <w:sz w:val="18"/>
          <w:szCs w:val="18"/>
          <w:rtl/>
        </w:rPr>
        <w:t xml:space="preserve">. </w:t>
      </w:r>
      <w:r w:rsidRPr="00CD1AC9">
        <w:rPr>
          <w:rFonts w:cs="Arial" w:hint="cs"/>
          <w:sz w:val="18"/>
          <w:szCs w:val="18"/>
          <w:rtl/>
        </w:rPr>
        <w:t>ויש אומרים</w:t>
      </w:r>
      <w:r w:rsidRPr="00CD1AC9">
        <w:rPr>
          <w:rFonts w:cs="Arial"/>
          <w:sz w:val="18"/>
          <w:szCs w:val="18"/>
          <w:rtl/>
        </w:rPr>
        <w:t xml:space="preserve"> </w:t>
      </w:r>
      <w:r w:rsidRPr="00CD1AC9">
        <w:rPr>
          <w:rFonts w:cs="Arial" w:hint="cs"/>
          <w:sz w:val="18"/>
          <w:szCs w:val="18"/>
          <w:rtl/>
        </w:rPr>
        <w:t>דבלילה</w:t>
      </w:r>
      <w:r w:rsidRPr="00CD1AC9">
        <w:rPr>
          <w:rFonts w:cs="Arial"/>
          <w:sz w:val="18"/>
          <w:szCs w:val="18"/>
          <w:rtl/>
        </w:rPr>
        <w:t xml:space="preserve"> </w:t>
      </w:r>
      <w:r w:rsidRPr="00CD1AC9">
        <w:rPr>
          <w:rFonts w:cs="Arial" w:hint="cs"/>
          <w:sz w:val="18"/>
          <w:szCs w:val="18"/>
          <w:rtl/>
        </w:rPr>
        <w:t>צריך</w:t>
      </w:r>
      <w:r w:rsidRPr="00CD1AC9">
        <w:rPr>
          <w:rFonts w:cs="Arial"/>
          <w:sz w:val="18"/>
          <w:szCs w:val="18"/>
          <w:rtl/>
        </w:rPr>
        <w:t xml:space="preserve"> </w:t>
      </w:r>
      <w:r w:rsidRPr="00CD1AC9">
        <w:rPr>
          <w:rFonts w:cs="Arial" w:hint="cs"/>
          <w:sz w:val="18"/>
          <w:szCs w:val="18"/>
          <w:rtl/>
        </w:rPr>
        <w:t>שתי</w:t>
      </w:r>
      <w:r w:rsidRPr="00CD1AC9">
        <w:rPr>
          <w:rFonts w:cs="Arial"/>
          <w:sz w:val="18"/>
          <w:szCs w:val="18"/>
          <w:rtl/>
        </w:rPr>
        <w:t xml:space="preserve"> </w:t>
      </w:r>
      <w:r w:rsidRPr="00CD1AC9">
        <w:rPr>
          <w:rFonts w:cs="Arial" w:hint="cs"/>
          <w:sz w:val="18"/>
          <w:szCs w:val="18"/>
          <w:rtl/>
        </w:rPr>
        <w:t>שמירות</w:t>
      </w:r>
      <w:r w:rsidRPr="00CD1AC9">
        <w:rPr>
          <w:rFonts w:cs="Arial"/>
          <w:sz w:val="18"/>
          <w:szCs w:val="18"/>
          <w:rtl/>
        </w:rPr>
        <w:t xml:space="preserve">, </w:t>
      </w:r>
      <w:r w:rsidRPr="00CD1AC9">
        <w:rPr>
          <w:rFonts w:cs="Arial" w:hint="cs"/>
          <w:sz w:val="18"/>
          <w:szCs w:val="18"/>
          <w:rtl/>
        </w:rPr>
        <w:t>וביום</w:t>
      </w:r>
      <w:r w:rsidRPr="00CD1AC9">
        <w:rPr>
          <w:rFonts w:cs="Arial"/>
          <w:sz w:val="18"/>
          <w:szCs w:val="18"/>
          <w:rtl/>
        </w:rPr>
        <w:t xml:space="preserve"> </w:t>
      </w:r>
      <w:r w:rsidRPr="00CD1AC9">
        <w:rPr>
          <w:rFonts w:cs="Arial" w:hint="cs"/>
          <w:sz w:val="18"/>
          <w:szCs w:val="18"/>
          <w:rtl/>
        </w:rPr>
        <w:t>מותר</w:t>
      </w:r>
      <w:r w:rsidRPr="00CD1AC9">
        <w:rPr>
          <w:rFonts w:cs="Arial"/>
          <w:sz w:val="18"/>
          <w:szCs w:val="18"/>
          <w:rtl/>
        </w:rPr>
        <w:t xml:space="preserve"> </w:t>
      </w:r>
      <w:r w:rsidRPr="00CD1AC9">
        <w:rPr>
          <w:rFonts w:cs="Arial" w:hint="cs"/>
          <w:sz w:val="18"/>
          <w:szCs w:val="18"/>
          <w:rtl/>
        </w:rPr>
        <w:t>להתייחד</w:t>
      </w:r>
      <w:r>
        <w:rPr>
          <w:rFonts w:cs="Arial" w:hint="cs"/>
          <w:sz w:val="18"/>
          <w:szCs w:val="18"/>
          <w:rtl/>
        </w:rPr>
        <w:t xml:space="preserve"> (ראב"ד)</w:t>
      </w:r>
      <w:r w:rsidRPr="00CD1AC9">
        <w:rPr>
          <w:rFonts w:cs="Arial"/>
          <w:sz w:val="18"/>
          <w:szCs w:val="18"/>
          <w:rtl/>
        </w:rPr>
        <w:t xml:space="preserve">. </w:t>
      </w:r>
      <w:r w:rsidRPr="00CD1AC9">
        <w:rPr>
          <w:rFonts w:cs="Arial" w:hint="cs"/>
          <w:sz w:val="18"/>
          <w:szCs w:val="18"/>
          <w:rtl/>
        </w:rPr>
        <w:t>והמנהג</w:t>
      </w:r>
      <w:r w:rsidRPr="00CD1AC9">
        <w:rPr>
          <w:rFonts w:cs="Arial"/>
          <w:sz w:val="18"/>
          <w:szCs w:val="18"/>
          <w:rtl/>
        </w:rPr>
        <w:t xml:space="preserve"> </w:t>
      </w:r>
      <w:r w:rsidRPr="00CD1AC9">
        <w:rPr>
          <w:rFonts w:cs="Arial" w:hint="cs"/>
          <w:sz w:val="18"/>
          <w:szCs w:val="18"/>
          <w:rtl/>
        </w:rPr>
        <w:t>ליקח</w:t>
      </w:r>
      <w:r w:rsidRPr="00CD1AC9">
        <w:rPr>
          <w:rFonts w:cs="Arial"/>
          <w:sz w:val="18"/>
          <w:szCs w:val="18"/>
          <w:rtl/>
        </w:rPr>
        <w:t xml:space="preserve"> </w:t>
      </w:r>
      <w:r w:rsidRPr="00CD1AC9">
        <w:rPr>
          <w:rFonts w:cs="Arial" w:hint="cs"/>
          <w:sz w:val="18"/>
          <w:szCs w:val="18"/>
          <w:rtl/>
        </w:rPr>
        <w:t>קטן</w:t>
      </w:r>
      <w:r w:rsidRPr="00CD1AC9">
        <w:rPr>
          <w:rFonts w:cs="Arial"/>
          <w:sz w:val="18"/>
          <w:szCs w:val="18"/>
          <w:rtl/>
        </w:rPr>
        <w:t xml:space="preserve"> </w:t>
      </w:r>
      <w:r w:rsidRPr="00CD1AC9">
        <w:rPr>
          <w:rFonts w:cs="Arial" w:hint="cs"/>
          <w:sz w:val="18"/>
          <w:szCs w:val="18"/>
          <w:rtl/>
        </w:rPr>
        <w:t>אצל</w:t>
      </w:r>
      <w:r w:rsidRPr="00CD1AC9">
        <w:rPr>
          <w:rFonts w:cs="Arial"/>
          <w:sz w:val="18"/>
          <w:szCs w:val="18"/>
          <w:rtl/>
        </w:rPr>
        <w:t xml:space="preserve"> </w:t>
      </w:r>
      <w:r w:rsidRPr="00CD1AC9">
        <w:rPr>
          <w:rFonts w:cs="Arial" w:hint="cs"/>
          <w:sz w:val="18"/>
          <w:szCs w:val="18"/>
          <w:rtl/>
        </w:rPr>
        <w:t>החתן</w:t>
      </w:r>
      <w:r w:rsidRPr="00CD1AC9">
        <w:rPr>
          <w:rFonts w:cs="Arial"/>
          <w:sz w:val="18"/>
          <w:szCs w:val="18"/>
          <w:rtl/>
        </w:rPr>
        <w:t xml:space="preserve"> </w:t>
      </w:r>
      <w:r w:rsidRPr="00CD1AC9">
        <w:rPr>
          <w:rFonts w:cs="Arial" w:hint="cs"/>
          <w:sz w:val="18"/>
          <w:szCs w:val="18"/>
          <w:rtl/>
        </w:rPr>
        <w:t>וקטנה</w:t>
      </w:r>
      <w:r w:rsidRPr="00CD1AC9">
        <w:rPr>
          <w:rFonts w:cs="Arial"/>
          <w:sz w:val="18"/>
          <w:szCs w:val="18"/>
          <w:rtl/>
        </w:rPr>
        <w:t xml:space="preserve"> </w:t>
      </w:r>
      <w:r w:rsidRPr="00CD1AC9">
        <w:rPr>
          <w:rFonts w:cs="Arial" w:hint="cs"/>
          <w:sz w:val="18"/>
          <w:szCs w:val="18"/>
          <w:rtl/>
        </w:rPr>
        <w:t>אצל</w:t>
      </w:r>
      <w:r w:rsidRPr="00CD1AC9">
        <w:rPr>
          <w:rFonts w:cs="Arial"/>
          <w:sz w:val="18"/>
          <w:szCs w:val="18"/>
          <w:rtl/>
        </w:rPr>
        <w:t xml:space="preserve"> </w:t>
      </w:r>
      <w:r w:rsidRPr="00CD1AC9">
        <w:rPr>
          <w:rFonts w:cs="Arial" w:hint="cs"/>
          <w:sz w:val="18"/>
          <w:szCs w:val="18"/>
          <w:rtl/>
        </w:rPr>
        <w:t>הכלה</w:t>
      </w:r>
      <w:r w:rsidRPr="00CD1AC9">
        <w:rPr>
          <w:rFonts w:cs="Arial"/>
          <w:sz w:val="18"/>
          <w:szCs w:val="18"/>
          <w:rtl/>
        </w:rPr>
        <w:t xml:space="preserve">, </w:t>
      </w:r>
      <w:r w:rsidRPr="00CD1AC9">
        <w:rPr>
          <w:rFonts w:cs="Arial" w:hint="cs"/>
          <w:sz w:val="18"/>
          <w:szCs w:val="18"/>
          <w:rtl/>
        </w:rPr>
        <w:t>ואין</w:t>
      </w:r>
      <w:r w:rsidRPr="00CD1AC9">
        <w:rPr>
          <w:rFonts w:cs="Arial"/>
          <w:sz w:val="18"/>
          <w:szCs w:val="18"/>
          <w:rtl/>
        </w:rPr>
        <w:t xml:space="preserve"> </w:t>
      </w:r>
      <w:r w:rsidRPr="00CD1AC9">
        <w:rPr>
          <w:rFonts w:cs="Arial" w:hint="cs"/>
          <w:sz w:val="18"/>
          <w:szCs w:val="18"/>
          <w:rtl/>
        </w:rPr>
        <w:t>מתיחדין</w:t>
      </w:r>
      <w:r w:rsidRPr="00CD1AC9">
        <w:rPr>
          <w:rFonts w:cs="Arial"/>
          <w:sz w:val="18"/>
          <w:szCs w:val="18"/>
          <w:rtl/>
        </w:rPr>
        <w:t xml:space="preserve"> </w:t>
      </w:r>
      <w:r w:rsidRPr="00CD1AC9">
        <w:rPr>
          <w:rFonts w:cs="Arial" w:hint="cs"/>
          <w:sz w:val="18"/>
          <w:szCs w:val="18"/>
          <w:rtl/>
        </w:rPr>
        <w:t>ביום</w:t>
      </w:r>
      <w:r w:rsidRPr="00CD1AC9">
        <w:rPr>
          <w:rFonts w:cs="Arial"/>
          <w:sz w:val="18"/>
          <w:szCs w:val="18"/>
          <w:rtl/>
        </w:rPr>
        <w:t xml:space="preserve"> </w:t>
      </w:r>
      <w:r w:rsidRPr="00CD1AC9">
        <w:rPr>
          <w:rFonts w:cs="Arial" w:hint="cs"/>
          <w:sz w:val="18"/>
          <w:szCs w:val="18"/>
          <w:rtl/>
        </w:rPr>
        <w:t>בלא</w:t>
      </w:r>
      <w:r w:rsidRPr="00CD1AC9">
        <w:rPr>
          <w:rFonts w:cs="Arial"/>
          <w:sz w:val="18"/>
          <w:szCs w:val="18"/>
          <w:rtl/>
        </w:rPr>
        <w:t xml:space="preserve"> </w:t>
      </w:r>
      <w:r w:rsidRPr="00CD1AC9">
        <w:rPr>
          <w:rFonts w:cs="Arial" w:hint="cs"/>
          <w:sz w:val="18"/>
          <w:szCs w:val="18"/>
          <w:rtl/>
        </w:rPr>
        <w:t>קטן</w:t>
      </w:r>
      <w:r w:rsidRPr="00CD1AC9">
        <w:rPr>
          <w:rFonts w:cs="Arial"/>
          <w:sz w:val="18"/>
          <w:szCs w:val="18"/>
          <w:rtl/>
        </w:rPr>
        <w:t xml:space="preserve"> </w:t>
      </w:r>
      <w:r w:rsidRPr="00CD1AC9">
        <w:rPr>
          <w:rFonts w:cs="Arial" w:hint="cs"/>
          <w:sz w:val="18"/>
          <w:szCs w:val="18"/>
          <w:rtl/>
        </w:rPr>
        <w:t>או</w:t>
      </w:r>
      <w:r w:rsidRPr="00CD1AC9">
        <w:rPr>
          <w:rFonts w:cs="Arial"/>
          <w:sz w:val="18"/>
          <w:szCs w:val="18"/>
          <w:rtl/>
        </w:rPr>
        <w:t xml:space="preserve"> </w:t>
      </w:r>
      <w:r w:rsidRPr="00CD1AC9">
        <w:rPr>
          <w:rFonts w:cs="Arial" w:hint="cs"/>
          <w:sz w:val="18"/>
          <w:szCs w:val="18"/>
          <w:rtl/>
        </w:rPr>
        <w:t>קטנה</w:t>
      </w:r>
      <w:r>
        <w:rPr>
          <w:rFonts w:cs="Arial" w:hint="cs"/>
          <w:sz w:val="18"/>
          <w:szCs w:val="18"/>
          <w:rtl/>
        </w:rPr>
        <w:t>"</w:t>
      </w:r>
      <w:r w:rsidRPr="00CD1AC9">
        <w:rPr>
          <w:rFonts w:cs="Arial"/>
          <w:sz w:val="18"/>
          <w:szCs w:val="18"/>
          <w:rtl/>
        </w:rPr>
        <w:t>.</w:t>
      </w:r>
    </w:p>
    <w:p w:rsidR="00620060" w:rsidRDefault="00620060" w:rsidP="00620060">
      <w:pPr>
        <w:rPr>
          <w:sz w:val="20"/>
          <w:szCs w:val="20"/>
          <w:rtl/>
        </w:rPr>
      </w:pPr>
      <w:r>
        <w:rPr>
          <w:rFonts w:hint="cs"/>
          <w:sz w:val="20"/>
          <w:szCs w:val="20"/>
          <w:u w:val="single"/>
          <w:rtl/>
        </w:rPr>
        <w:t>הסבר</w:t>
      </w:r>
      <w:r>
        <w:rPr>
          <w:sz w:val="20"/>
          <w:szCs w:val="20"/>
          <w:u w:val="single"/>
          <w:rtl/>
        </w:rPr>
        <w:br/>
      </w:r>
      <w:r>
        <w:rPr>
          <w:rFonts w:hint="cs"/>
          <w:sz w:val="20"/>
          <w:szCs w:val="20"/>
          <w:rtl/>
        </w:rPr>
        <w:t xml:space="preserve">א. </w:t>
      </w:r>
      <w:r w:rsidRPr="00D65D56">
        <w:rPr>
          <w:rFonts w:hint="cs"/>
          <w:b/>
          <w:bCs/>
          <w:sz w:val="20"/>
          <w:szCs w:val="20"/>
          <w:rtl/>
        </w:rPr>
        <w:t xml:space="preserve">מחבר </w:t>
      </w:r>
      <w:r>
        <w:rPr>
          <w:sz w:val="20"/>
          <w:szCs w:val="20"/>
          <w:rtl/>
        </w:rPr>
        <w:t>–</w:t>
      </w:r>
      <w:r>
        <w:rPr>
          <w:rFonts w:hint="cs"/>
          <w:sz w:val="20"/>
          <w:szCs w:val="20"/>
          <w:rtl/>
        </w:rPr>
        <w:t xml:space="preserve"> פסק כראב"ד לגבי הלילה, אך לגבי היום לא ביאר מהי דעתו.</w:t>
      </w:r>
      <w:r>
        <w:rPr>
          <w:rFonts w:hint="cs"/>
          <w:sz w:val="20"/>
          <w:szCs w:val="20"/>
          <w:rtl/>
        </w:rPr>
        <w:br/>
        <w:t xml:space="preserve">ב. </w:t>
      </w:r>
      <w:r w:rsidRPr="00D65D56">
        <w:rPr>
          <w:rFonts w:hint="cs"/>
          <w:b/>
          <w:bCs/>
          <w:sz w:val="20"/>
          <w:szCs w:val="20"/>
          <w:rtl/>
        </w:rPr>
        <w:t>רמ"א</w:t>
      </w:r>
      <w:r>
        <w:rPr>
          <w:rFonts w:hint="cs"/>
          <w:sz w:val="20"/>
          <w:szCs w:val="20"/>
          <w:rtl/>
        </w:rPr>
        <w:t xml:space="preserve"> </w:t>
      </w:r>
      <w:r>
        <w:rPr>
          <w:sz w:val="20"/>
          <w:szCs w:val="20"/>
          <w:rtl/>
        </w:rPr>
        <w:t>–</w:t>
      </w:r>
      <w:r>
        <w:rPr>
          <w:rFonts w:hint="cs"/>
          <w:sz w:val="20"/>
          <w:szCs w:val="20"/>
          <w:rtl/>
        </w:rPr>
        <w:t xml:space="preserve"> הביא את דעת הרא"ש והראב"ד אך לא הכריע ביניהן, כמו כן הביא את ההיתר של הב"י בדעת הרשב"א שאם ישנים בשני בתים נפרדים אין צריך שימור כלל.</w:t>
      </w:r>
      <w:r>
        <w:rPr>
          <w:sz w:val="20"/>
          <w:szCs w:val="20"/>
          <w:rtl/>
        </w:rPr>
        <w:br/>
      </w:r>
      <w:r>
        <w:rPr>
          <w:rFonts w:hint="cs"/>
          <w:sz w:val="20"/>
          <w:szCs w:val="20"/>
          <w:rtl/>
        </w:rPr>
        <w:t xml:space="preserve">בסוף דבריו הביא את מנהג העולם לקחת בלילה קטן לחתן וקטנה לכלה, אך ביום הקל להתייחד עם קטן </w:t>
      </w:r>
      <w:r w:rsidRPr="00D65D56">
        <w:rPr>
          <w:rFonts w:hint="cs"/>
          <w:sz w:val="20"/>
          <w:szCs w:val="20"/>
          <w:u w:val="single"/>
          <w:rtl/>
        </w:rPr>
        <w:t>או</w:t>
      </w:r>
      <w:r>
        <w:rPr>
          <w:rFonts w:hint="cs"/>
          <w:sz w:val="20"/>
          <w:szCs w:val="20"/>
          <w:rtl/>
        </w:rPr>
        <w:t xml:space="preserve"> </w:t>
      </w:r>
      <w:r>
        <w:rPr>
          <w:rFonts w:hint="cs"/>
          <w:sz w:val="20"/>
          <w:szCs w:val="20"/>
          <w:rtl/>
        </w:rPr>
        <w:lastRenderedPageBreak/>
        <w:t xml:space="preserve">קטנה ואין צריך את שניהם </w:t>
      </w:r>
      <w:r w:rsidRPr="00BF504D">
        <w:rPr>
          <w:rFonts w:hint="cs"/>
          <w:sz w:val="18"/>
          <w:szCs w:val="18"/>
          <w:rtl/>
        </w:rPr>
        <w:t xml:space="preserve">(כך כתב </w:t>
      </w:r>
      <w:r w:rsidRPr="00BF504D">
        <w:rPr>
          <w:rFonts w:hint="cs"/>
          <w:b/>
          <w:bCs/>
          <w:sz w:val="18"/>
          <w:szCs w:val="18"/>
          <w:rtl/>
        </w:rPr>
        <w:t>בדה"ש</w:t>
      </w:r>
      <w:r w:rsidRPr="00BF504D">
        <w:rPr>
          <w:rFonts w:hint="cs"/>
          <w:sz w:val="18"/>
          <w:szCs w:val="18"/>
          <w:rtl/>
        </w:rPr>
        <w:t xml:space="preserve">, והטעם משום </w:t>
      </w:r>
      <w:r w:rsidRPr="00BF504D">
        <w:rPr>
          <w:rFonts w:hint="cs"/>
          <w:b/>
          <w:bCs/>
          <w:sz w:val="18"/>
          <w:szCs w:val="18"/>
          <w:rtl/>
        </w:rPr>
        <w:t>שהראב"ד</w:t>
      </w:r>
      <w:r w:rsidRPr="00BF504D">
        <w:rPr>
          <w:rFonts w:hint="cs"/>
          <w:sz w:val="18"/>
          <w:szCs w:val="18"/>
          <w:rtl/>
        </w:rPr>
        <w:t xml:space="preserve"> הקל שא</w:t>
      </w:r>
      <w:r>
        <w:rPr>
          <w:rFonts w:hint="cs"/>
          <w:sz w:val="18"/>
          <w:szCs w:val="18"/>
          <w:rtl/>
        </w:rPr>
        <w:t>ין צריך</w:t>
      </w:r>
      <w:r w:rsidRPr="00BF504D">
        <w:rPr>
          <w:rFonts w:hint="cs"/>
          <w:sz w:val="18"/>
          <w:szCs w:val="18"/>
          <w:rtl/>
        </w:rPr>
        <w:t xml:space="preserve"> שמירה כלל)</w:t>
      </w:r>
      <w:r>
        <w:rPr>
          <w:rFonts w:hint="cs"/>
          <w:sz w:val="20"/>
          <w:szCs w:val="20"/>
          <w:rtl/>
        </w:rPr>
        <w:t xml:space="preserve">. </w:t>
      </w:r>
      <w:r>
        <w:rPr>
          <w:rFonts w:hint="cs"/>
          <w:sz w:val="20"/>
          <w:szCs w:val="20"/>
          <w:rtl/>
        </w:rPr>
        <w:br/>
        <w:t xml:space="preserve">ובאיזה קטן מדובר? בקטן שיודע טעם ביאה ואינו מוסר עצמו לביאה, </w:t>
      </w:r>
      <w:r w:rsidRPr="005F1FA9">
        <w:rPr>
          <w:rFonts w:hint="cs"/>
          <w:b/>
          <w:bCs/>
          <w:sz w:val="20"/>
          <w:szCs w:val="20"/>
          <w:rtl/>
        </w:rPr>
        <w:t>ש"ך</w:t>
      </w:r>
      <w:r>
        <w:rPr>
          <w:rFonts w:hint="cs"/>
          <w:sz w:val="20"/>
          <w:szCs w:val="20"/>
          <w:rtl/>
        </w:rPr>
        <w:t>.</w:t>
      </w:r>
    </w:p>
    <w:p w:rsidR="00620060" w:rsidRDefault="00620060" w:rsidP="00620060">
      <w:pPr>
        <w:rPr>
          <w:sz w:val="20"/>
          <w:szCs w:val="20"/>
          <w:rtl/>
        </w:rPr>
      </w:pPr>
      <w:r w:rsidRPr="00EB2797">
        <w:rPr>
          <w:rFonts w:hint="cs"/>
          <w:b/>
          <w:bCs/>
          <w:sz w:val="20"/>
          <w:szCs w:val="20"/>
          <w:rtl/>
        </w:rPr>
        <w:t xml:space="preserve">האם יש חילוק בדין זה בין תלמיד חכם לשאר העולם? </w:t>
      </w:r>
      <w:r w:rsidRPr="004048AF">
        <w:rPr>
          <w:rFonts w:hint="cs"/>
          <w:sz w:val="18"/>
          <w:szCs w:val="18"/>
          <w:rtl/>
        </w:rPr>
        <w:t>(בית יוסף)</w:t>
      </w:r>
      <w:r>
        <w:rPr>
          <w:sz w:val="20"/>
          <w:szCs w:val="20"/>
          <w:u w:val="single"/>
          <w:rtl/>
        </w:rPr>
        <w:br/>
      </w:r>
      <w:r w:rsidRPr="00A24049">
        <w:rPr>
          <w:rFonts w:hint="cs"/>
          <w:sz w:val="20"/>
          <w:szCs w:val="20"/>
          <w:u w:val="single"/>
          <w:rtl/>
        </w:rPr>
        <w:t>מקור הדין</w:t>
      </w:r>
      <w:r>
        <w:rPr>
          <w:rFonts w:hint="cs"/>
          <w:sz w:val="20"/>
          <w:szCs w:val="20"/>
          <w:u w:val="single"/>
          <w:rtl/>
        </w:rPr>
        <w:br/>
      </w:r>
      <w:r w:rsidRPr="00A24049">
        <w:rPr>
          <w:rFonts w:hint="cs"/>
          <w:b/>
          <w:bCs/>
          <w:sz w:val="20"/>
          <w:szCs w:val="20"/>
          <w:rtl/>
        </w:rPr>
        <w:t xml:space="preserve">גמרא </w:t>
      </w:r>
      <w:r>
        <w:rPr>
          <w:rFonts w:hint="cs"/>
          <w:sz w:val="20"/>
          <w:szCs w:val="20"/>
          <w:rtl/>
        </w:rPr>
        <w:t>כתובות (לז:) "</w:t>
      </w:r>
      <w:r>
        <w:rPr>
          <w:rFonts w:cs="Arial" w:hint="cs"/>
          <w:sz w:val="20"/>
          <w:szCs w:val="20"/>
          <w:rtl/>
        </w:rPr>
        <w:t>א</w:t>
      </w:r>
      <w:r w:rsidRPr="00A24049">
        <w:rPr>
          <w:rFonts w:cs="Arial" w:hint="cs"/>
          <w:sz w:val="20"/>
          <w:szCs w:val="20"/>
          <w:rtl/>
        </w:rPr>
        <w:t>מר</w:t>
      </w:r>
      <w:r w:rsidRPr="00A24049">
        <w:rPr>
          <w:rFonts w:cs="Arial"/>
          <w:sz w:val="20"/>
          <w:szCs w:val="20"/>
          <w:rtl/>
        </w:rPr>
        <w:t xml:space="preserve"> </w:t>
      </w:r>
      <w:r w:rsidRPr="00A24049">
        <w:rPr>
          <w:rFonts w:cs="Arial" w:hint="cs"/>
          <w:sz w:val="20"/>
          <w:szCs w:val="20"/>
          <w:rtl/>
        </w:rPr>
        <w:t>ר</w:t>
      </w:r>
      <w:r>
        <w:rPr>
          <w:rFonts w:cs="Arial" w:hint="cs"/>
          <w:sz w:val="20"/>
          <w:szCs w:val="20"/>
          <w:rtl/>
        </w:rPr>
        <w:t>בי</w:t>
      </w:r>
      <w:r w:rsidRPr="00A24049">
        <w:rPr>
          <w:rFonts w:cs="Arial"/>
          <w:sz w:val="20"/>
          <w:szCs w:val="20"/>
          <w:rtl/>
        </w:rPr>
        <w:t xml:space="preserve"> </w:t>
      </w:r>
      <w:r w:rsidRPr="00A24049">
        <w:rPr>
          <w:rFonts w:cs="Arial" w:hint="cs"/>
          <w:sz w:val="20"/>
          <w:szCs w:val="20"/>
          <w:rtl/>
        </w:rPr>
        <w:t>אליעזר</w:t>
      </w:r>
      <w:r w:rsidRPr="00A24049">
        <w:rPr>
          <w:rFonts w:cs="Arial"/>
          <w:sz w:val="20"/>
          <w:szCs w:val="20"/>
          <w:rtl/>
        </w:rPr>
        <w:t xml:space="preserve"> </w:t>
      </w:r>
      <w:r w:rsidRPr="00A24049">
        <w:rPr>
          <w:rFonts w:cs="Arial" w:hint="cs"/>
          <w:sz w:val="20"/>
          <w:szCs w:val="20"/>
          <w:rtl/>
        </w:rPr>
        <w:t>בן</w:t>
      </w:r>
      <w:r w:rsidRPr="00A24049">
        <w:rPr>
          <w:rFonts w:cs="Arial"/>
          <w:sz w:val="20"/>
          <w:szCs w:val="20"/>
          <w:rtl/>
        </w:rPr>
        <w:t xml:space="preserve"> </w:t>
      </w:r>
      <w:r w:rsidRPr="00A24049">
        <w:rPr>
          <w:rFonts w:cs="Arial" w:hint="cs"/>
          <w:sz w:val="20"/>
          <w:szCs w:val="20"/>
          <w:rtl/>
        </w:rPr>
        <w:t>יעקב</w:t>
      </w:r>
      <w:r w:rsidRPr="00A24049">
        <w:rPr>
          <w:rFonts w:cs="Arial"/>
          <w:sz w:val="20"/>
          <w:szCs w:val="20"/>
          <w:rtl/>
        </w:rPr>
        <w:t xml:space="preserve">: </w:t>
      </w:r>
      <w:r w:rsidRPr="00A24049">
        <w:rPr>
          <w:rFonts w:cs="Arial" w:hint="cs"/>
          <w:sz w:val="20"/>
          <w:szCs w:val="20"/>
          <w:rtl/>
        </w:rPr>
        <w:t>לא</w:t>
      </w:r>
      <w:r w:rsidRPr="00A24049">
        <w:rPr>
          <w:rFonts w:cs="Arial"/>
          <w:sz w:val="20"/>
          <w:szCs w:val="20"/>
          <w:rtl/>
        </w:rPr>
        <w:t xml:space="preserve"> </w:t>
      </w:r>
      <w:r w:rsidRPr="00A24049">
        <w:rPr>
          <w:rFonts w:cs="Arial" w:hint="cs"/>
          <w:sz w:val="20"/>
          <w:szCs w:val="20"/>
          <w:rtl/>
        </w:rPr>
        <w:t>ישא</w:t>
      </w:r>
      <w:r w:rsidRPr="00A24049">
        <w:rPr>
          <w:rFonts w:cs="Arial"/>
          <w:sz w:val="20"/>
          <w:szCs w:val="20"/>
          <w:rtl/>
        </w:rPr>
        <w:t xml:space="preserve"> </w:t>
      </w:r>
      <w:r w:rsidRPr="00A24049">
        <w:rPr>
          <w:rFonts w:cs="Arial" w:hint="cs"/>
          <w:sz w:val="20"/>
          <w:szCs w:val="20"/>
          <w:rtl/>
        </w:rPr>
        <w:t>אדם</w:t>
      </w:r>
      <w:r w:rsidRPr="00A24049">
        <w:rPr>
          <w:rFonts w:cs="Arial"/>
          <w:sz w:val="20"/>
          <w:szCs w:val="20"/>
          <w:rtl/>
        </w:rPr>
        <w:t xml:space="preserve"> </w:t>
      </w:r>
      <w:r w:rsidRPr="00A24049">
        <w:rPr>
          <w:rFonts w:cs="Arial" w:hint="cs"/>
          <w:sz w:val="20"/>
          <w:szCs w:val="20"/>
          <w:rtl/>
        </w:rPr>
        <w:t>אשה</w:t>
      </w:r>
      <w:r w:rsidRPr="00A24049">
        <w:rPr>
          <w:rFonts w:cs="Arial"/>
          <w:sz w:val="20"/>
          <w:szCs w:val="20"/>
          <w:rtl/>
        </w:rPr>
        <w:t xml:space="preserve"> </w:t>
      </w:r>
      <w:r w:rsidRPr="00A24049">
        <w:rPr>
          <w:rFonts w:cs="Arial" w:hint="cs"/>
          <w:sz w:val="20"/>
          <w:szCs w:val="20"/>
          <w:rtl/>
        </w:rPr>
        <w:t>במדינה</w:t>
      </w:r>
      <w:r w:rsidRPr="00A24049">
        <w:rPr>
          <w:rFonts w:cs="Arial"/>
          <w:sz w:val="20"/>
          <w:szCs w:val="20"/>
          <w:rtl/>
        </w:rPr>
        <w:t xml:space="preserve"> </w:t>
      </w:r>
      <w:r w:rsidRPr="00A24049">
        <w:rPr>
          <w:rFonts w:cs="Arial" w:hint="cs"/>
          <w:sz w:val="20"/>
          <w:szCs w:val="20"/>
          <w:rtl/>
        </w:rPr>
        <w:t>זו</w:t>
      </w:r>
      <w:r w:rsidRPr="00A24049">
        <w:rPr>
          <w:rFonts w:cs="Arial"/>
          <w:sz w:val="20"/>
          <w:szCs w:val="20"/>
          <w:rtl/>
        </w:rPr>
        <w:t xml:space="preserve"> </w:t>
      </w:r>
      <w:r w:rsidRPr="00A24049">
        <w:rPr>
          <w:rFonts w:cs="Arial" w:hint="cs"/>
          <w:sz w:val="20"/>
          <w:szCs w:val="20"/>
          <w:rtl/>
        </w:rPr>
        <w:t>וילך</w:t>
      </w:r>
      <w:r w:rsidRPr="00A24049">
        <w:rPr>
          <w:rFonts w:cs="Arial"/>
          <w:sz w:val="20"/>
          <w:szCs w:val="20"/>
          <w:rtl/>
        </w:rPr>
        <w:t xml:space="preserve"> </w:t>
      </w:r>
      <w:r w:rsidRPr="00A24049">
        <w:rPr>
          <w:rFonts w:cs="Arial" w:hint="cs"/>
          <w:sz w:val="20"/>
          <w:szCs w:val="20"/>
          <w:rtl/>
        </w:rPr>
        <w:t>וישא</w:t>
      </w:r>
      <w:r w:rsidRPr="00A24049">
        <w:rPr>
          <w:rFonts w:cs="Arial"/>
          <w:sz w:val="20"/>
          <w:szCs w:val="20"/>
          <w:rtl/>
        </w:rPr>
        <w:t xml:space="preserve"> </w:t>
      </w:r>
      <w:r w:rsidRPr="00A24049">
        <w:rPr>
          <w:rFonts w:cs="Arial" w:hint="cs"/>
          <w:sz w:val="20"/>
          <w:szCs w:val="20"/>
          <w:rtl/>
        </w:rPr>
        <w:t>אשה</w:t>
      </w:r>
      <w:r w:rsidRPr="00A24049">
        <w:rPr>
          <w:rFonts w:cs="Arial"/>
          <w:sz w:val="20"/>
          <w:szCs w:val="20"/>
          <w:rtl/>
        </w:rPr>
        <w:t xml:space="preserve"> </w:t>
      </w:r>
      <w:r w:rsidRPr="00A24049">
        <w:rPr>
          <w:rFonts w:cs="Arial" w:hint="cs"/>
          <w:sz w:val="20"/>
          <w:szCs w:val="20"/>
          <w:rtl/>
        </w:rPr>
        <w:t>במדינה</w:t>
      </w:r>
      <w:r w:rsidRPr="00A24049">
        <w:rPr>
          <w:rFonts w:cs="Arial"/>
          <w:sz w:val="20"/>
          <w:szCs w:val="20"/>
          <w:rtl/>
        </w:rPr>
        <w:t xml:space="preserve"> </w:t>
      </w:r>
      <w:r w:rsidRPr="00A24049">
        <w:rPr>
          <w:rFonts w:cs="Arial" w:hint="cs"/>
          <w:sz w:val="20"/>
          <w:szCs w:val="20"/>
          <w:rtl/>
        </w:rPr>
        <w:t>אחרת</w:t>
      </w:r>
      <w:r w:rsidRPr="00A24049">
        <w:rPr>
          <w:rFonts w:cs="Arial"/>
          <w:sz w:val="20"/>
          <w:szCs w:val="20"/>
          <w:rtl/>
        </w:rPr>
        <w:t xml:space="preserve">, </w:t>
      </w:r>
      <w:r w:rsidRPr="00A24049">
        <w:rPr>
          <w:rFonts w:cs="Arial" w:hint="cs"/>
          <w:sz w:val="20"/>
          <w:szCs w:val="20"/>
          <w:rtl/>
        </w:rPr>
        <w:t>שמא</w:t>
      </w:r>
      <w:r w:rsidRPr="00A24049">
        <w:rPr>
          <w:rFonts w:cs="Arial"/>
          <w:sz w:val="20"/>
          <w:szCs w:val="20"/>
          <w:rtl/>
        </w:rPr>
        <w:t xml:space="preserve"> </w:t>
      </w:r>
      <w:r w:rsidRPr="00A24049">
        <w:rPr>
          <w:rFonts w:cs="Arial" w:hint="cs"/>
          <w:sz w:val="20"/>
          <w:szCs w:val="20"/>
          <w:rtl/>
        </w:rPr>
        <w:t>יזדווגו</w:t>
      </w:r>
      <w:r w:rsidRPr="00A24049">
        <w:rPr>
          <w:rFonts w:cs="Arial"/>
          <w:sz w:val="20"/>
          <w:szCs w:val="20"/>
          <w:rtl/>
        </w:rPr>
        <w:t xml:space="preserve"> </w:t>
      </w:r>
      <w:r w:rsidRPr="00A24049">
        <w:rPr>
          <w:rFonts w:cs="Arial" w:hint="cs"/>
          <w:sz w:val="20"/>
          <w:szCs w:val="20"/>
          <w:rtl/>
        </w:rPr>
        <w:t>זה</w:t>
      </w:r>
      <w:r w:rsidRPr="00A24049">
        <w:rPr>
          <w:rFonts w:cs="Arial"/>
          <w:sz w:val="20"/>
          <w:szCs w:val="20"/>
          <w:rtl/>
        </w:rPr>
        <w:t xml:space="preserve"> </w:t>
      </w:r>
      <w:r w:rsidRPr="00A24049">
        <w:rPr>
          <w:rFonts w:cs="Arial" w:hint="cs"/>
          <w:sz w:val="20"/>
          <w:szCs w:val="20"/>
          <w:rtl/>
        </w:rPr>
        <w:t>לזה</w:t>
      </w:r>
      <w:r w:rsidRPr="00A24049">
        <w:rPr>
          <w:rFonts w:cs="Arial"/>
          <w:sz w:val="20"/>
          <w:szCs w:val="20"/>
          <w:rtl/>
        </w:rPr>
        <w:t xml:space="preserve">, </w:t>
      </w:r>
      <w:r w:rsidRPr="00A24049">
        <w:rPr>
          <w:rFonts w:cs="Arial" w:hint="cs"/>
          <w:sz w:val="20"/>
          <w:szCs w:val="20"/>
          <w:rtl/>
        </w:rPr>
        <w:t>ונמצא</w:t>
      </w:r>
      <w:r w:rsidRPr="00A24049">
        <w:rPr>
          <w:rFonts w:cs="Arial"/>
          <w:sz w:val="20"/>
          <w:szCs w:val="20"/>
          <w:rtl/>
        </w:rPr>
        <w:t xml:space="preserve"> </w:t>
      </w:r>
      <w:r w:rsidRPr="00A24049">
        <w:rPr>
          <w:rFonts w:cs="Arial" w:hint="cs"/>
          <w:sz w:val="20"/>
          <w:szCs w:val="20"/>
          <w:rtl/>
        </w:rPr>
        <w:t>אח</w:t>
      </w:r>
      <w:r w:rsidRPr="00A24049">
        <w:rPr>
          <w:rFonts w:cs="Arial"/>
          <w:sz w:val="20"/>
          <w:szCs w:val="20"/>
          <w:rtl/>
        </w:rPr>
        <w:t xml:space="preserve"> </w:t>
      </w:r>
      <w:r w:rsidRPr="00A24049">
        <w:rPr>
          <w:rFonts w:cs="Arial" w:hint="cs"/>
          <w:sz w:val="20"/>
          <w:szCs w:val="20"/>
          <w:rtl/>
        </w:rPr>
        <w:t>נושא</w:t>
      </w:r>
      <w:r w:rsidRPr="00A24049">
        <w:rPr>
          <w:rFonts w:cs="Arial"/>
          <w:sz w:val="20"/>
          <w:szCs w:val="20"/>
          <w:rtl/>
        </w:rPr>
        <w:t xml:space="preserve"> </w:t>
      </w:r>
      <w:r w:rsidRPr="00A24049">
        <w:rPr>
          <w:rFonts w:cs="Arial" w:hint="cs"/>
          <w:sz w:val="20"/>
          <w:szCs w:val="20"/>
          <w:rtl/>
        </w:rPr>
        <w:t>את</w:t>
      </w:r>
      <w:r w:rsidRPr="00A24049">
        <w:rPr>
          <w:rFonts w:cs="Arial"/>
          <w:sz w:val="20"/>
          <w:szCs w:val="20"/>
          <w:rtl/>
        </w:rPr>
        <w:t xml:space="preserve"> </w:t>
      </w:r>
      <w:r w:rsidRPr="00A24049">
        <w:rPr>
          <w:rFonts w:cs="Arial" w:hint="cs"/>
          <w:sz w:val="20"/>
          <w:szCs w:val="20"/>
          <w:rtl/>
        </w:rPr>
        <w:t>אחותו</w:t>
      </w:r>
      <w:r w:rsidRPr="00A24049">
        <w:rPr>
          <w:rFonts w:cs="Arial"/>
          <w:sz w:val="20"/>
          <w:szCs w:val="20"/>
          <w:rtl/>
        </w:rPr>
        <w:t xml:space="preserve">. </w:t>
      </w:r>
      <w:r w:rsidRPr="00A24049">
        <w:rPr>
          <w:rFonts w:cs="Arial" w:hint="cs"/>
          <w:sz w:val="20"/>
          <w:szCs w:val="20"/>
          <w:rtl/>
        </w:rPr>
        <w:t>איני</w:t>
      </w:r>
      <w:r w:rsidRPr="00A24049">
        <w:rPr>
          <w:rFonts w:cs="Arial"/>
          <w:sz w:val="20"/>
          <w:szCs w:val="20"/>
          <w:rtl/>
        </w:rPr>
        <w:t xml:space="preserve">? </w:t>
      </w:r>
      <w:r w:rsidRPr="00A24049">
        <w:rPr>
          <w:rFonts w:cs="Arial" w:hint="cs"/>
          <w:sz w:val="20"/>
          <w:szCs w:val="20"/>
          <w:rtl/>
        </w:rPr>
        <w:t>והא</w:t>
      </w:r>
      <w:r w:rsidRPr="00A24049">
        <w:rPr>
          <w:rFonts w:cs="Arial"/>
          <w:sz w:val="20"/>
          <w:szCs w:val="20"/>
          <w:rtl/>
        </w:rPr>
        <w:t xml:space="preserve"> </w:t>
      </w:r>
      <w:r w:rsidRPr="00A24049">
        <w:rPr>
          <w:rFonts w:cs="Arial" w:hint="cs"/>
          <w:sz w:val="20"/>
          <w:szCs w:val="20"/>
          <w:rtl/>
        </w:rPr>
        <w:t>רב</w:t>
      </w:r>
      <w:r w:rsidRPr="00A24049">
        <w:rPr>
          <w:rFonts w:cs="Arial"/>
          <w:sz w:val="20"/>
          <w:szCs w:val="20"/>
          <w:rtl/>
        </w:rPr>
        <w:t xml:space="preserve"> </w:t>
      </w:r>
      <w:r w:rsidRPr="00A24049">
        <w:rPr>
          <w:rFonts w:cs="Arial" w:hint="cs"/>
          <w:sz w:val="20"/>
          <w:szCs w:val="20"/>
          <w:rtl/>
        </w:rPr>
        <w:t>כי</w:t>
      </w:r>
      <w:r w:rsidRPr="00A24049">
        <w:rPr>
          <w:rFonts w:cs="Arial"/>
          <w:sz w:val="20"/>
          <w:szCs w:val="20"/>
          <w:rtl/>
        </w:rPr>
        <w:t xml:space="preserve"> </w:t>
      </w:r>
      <w:r w:rsidRPr="00A24049">
        <w:rPr>
          <w:rFonts w:cs="Arial" w:hint="cs"/>
          <w:sz w:val="20"/>
          <w:szCs w:val="20"/>
          <w:rtl/>
        </w:rPr>
        <w:t>איקלע</w:t>
      </w:r>
      <w:r w:rsidRPr="00A24049">
        <w:rPr>
          <w:rFonts w:cs="Arial"/>
          <w:sz w:val="20"/>
          <w:szCs w:val="20"/>
          <w:rtl/>
        </w:rPr>
        <w:t xml:space="preserve"> </w:t>
      </w:r>
      <w:r w:rsidRPr="00A24049">
        <w:rPr>
          <w:rFonts w:cs="Arial" w:hint="cs"/>
          <w:sz w:val="20"/>
          <w:szCs w:val="20"/>
          <w:rtl/>
        </w:rPr>
        <w:t>לדרדשיר</w:t>
      </w:r>
      <w:r w:rsidRPr="00A24049">
        <w:rPr>
          <w:rFonts w:cs="Arial"/>
          <w:sz w:val="20"/>
          <w:szCs w:val="20"/>
          <w:rtl/>
        </w:rPr>
        <w:t xml:space="preserve">, </w:t>
      </w:r>
      <w:r w:rsidRPr="00A24049">
        <w:rPr>
          <w:rFonts w:cs="Arial" w:hint="cs"/>
          <w:sz w:val="20"/>
          <w:szCs w:val="20"/>
          <w:rtl/>
        </w:rPr>
        <w:t>מכריז</w:t>
      </w:r>
      <w:r w:rsidRPr="00A24049">
        <w:rPr>
          <w:rFonts w:cs="Arial"/>
          <w:sz w:val="20"/>
          <w:szCs w:val="20"/>
          <w:rtl/>
        </w:rPr>
        <w:t xml:space="preserve"> </w:t>
      </w:r>
      <w:r w:rsidRPr="00A24049">
        <w:rPr>
          <w:rFonts w:cs="Arial" w:hint="cs"/>
          <w:sz w:val="20"/>
          <w:szCs w:val="20"/>
          <w:rtl/>
        </w:rPr>
        <w:t>ואמר</w:t>
      </w:r>
      <w:r w:rsidRPr="00A24049">
        <w:rPr>
          <w:rFonts w:cs="Arial"/>
          <w:sz w:val="20"/>
          <w:szCs w:val="20"/>
          <w:rtl/>
        </w:rPr>
        <w:t xml:space="preserve">: </w:t>
      </w:r>
      <w:r w:rsidRPr="00A24049">
        <w:rPr>
          <w:rFonts w:cs="Arial" w:hint="cs"/>
          <w:sz w:val="20"/>
          <w:szCs w:val="20"/>
          <w:rtl/>
        </w:rPr>
        <w:t>מאן</w:t>
      </w:r>
      <w:r w:rsidRPr="00A24049">
        <w:rPr>
          <w:rFonts w:cs="Arial"/>
          <w:sz w:val="20"/>
          <w:szCs w:val="20"/>
          <w:rtl/>
        </w:rPr>
        <w:t xml:space="preserve"> </w:t>
      </w:r>
      <w:r w:rsidRPr="00A24049">
        <w:rPr>
          <w:rFonts w:cs="Arial" w:hint="cs"/>
          <w:sz w:val="20"/>
          <w:szCs w:val="20"/>
          <w:rtl/>
        </w:rPr>
        <w:t>הויא</w:t>
      </w:r>
      <w:r w:rsidRPr="00A24049">
        <w:rPr>
          <w:rFonts w:cs="Arial"/>
          <w:sz w:val="20"/>
          <w:szCs w:val="20"/>
          <w:rtl/>
        </w:rPr>
        <w:t xml:space="preserve"> </w:t>
      </w:r>
      <w:r w:rsidRPr="00A24049">
        <w:rPr>
          <w:rFonts w:cs="Arial" w:hint="cs"/>
          <w:sz w:val="20"/>
          <w:szCs w:val="20"/>
          <w:rtl/>
        </w:rPr>
        <w:t>ליומא</w:t>
      </w:r>
      <w:r w:rsidRPr="00A24049">
        <w:rPr>
          <w:rFonts w:cs="Arial"/>
          <w:sz w:val="20"/>
          <w:szCs w:val="20"/>
          <w:rtl/>
        </w:rPr>
        <w:t xml:space="preserve">? </w:t>
      </w:r>
      <w:r w:rsidRPr="00A24049">
        <w:rPr>
          <w:rFonts w:cs="Arial" w:hint="cs"/>
          <w:sz w:val="20"/>
          <w:szCs w:val="20"/>
          <w:rtl/>
        </w:rPr>
        <w:t>ורב</w:t>
      </w:r>
      <w:r w:rsidRPr="00A24049">
        <w:rPr>
          <w:rFonts w:cs="Arial"/>
          <w:sz w:val="20"/>
          <w:szCs w:val="20"/>
          <w:rtl/>
        </w:rPr>
        <w:t xml:space="preserve"> </w:t>
      </w:r>
      <w:r w:rsidRPr="00A24049">
        <w:rPr>
          <w:rFonts w:cs="Arial" w:hint="cs"/>
          <w:sz w:val="20"/>
          <w:szCs w:val="20"/>
          <w:rtl/>
        </w:rPr>
        <w:t>נחמן</w:t>
      </w:r>
      <w:r w:rsidRPr="00A24049">
        <w:rPr>
          <w:rFonts w:cs="Arial"/>
          <w:sz w:val="20"/>
          <w:szCs w:val="20"/>
          <w:rtl/>
        </w:rPr>
        <w:t xml:space="preserve"> </w:t>
      </w:r>
      <w:r w:rsidRPr="00A24049">
        <w:rPr>
          <w:rFonts w:cs="Arial" w:hint="cs"/>
          <w:sz w:val="20"/>
          <w:szCs w:val="20"/>
          <w:rtl/>
        </w:rPr>
        <w:t>כי</w:t>
      </w:r>
      <w:r w:rsidRPr="00A24049">
        <w:rPr>
          <w:rFonts w:cs="Arial"/>
          <w:sz w:val="20"/>
          <w:szCs w:val="20"/>
          <w:rtl/>
        </w:rPr>
        <w:t xml:space="preserve"> </w:t>
      </w:r>
      <w:r w:rsidRPr="00A24049">
        <w:rPr>
          <w:rFonts w:cs="Arial" w:hint="cs"/>
          <w:sz w:val="20"/>
          <w:szCs w:val="20"/>
          <w:rtl/>
        </w:rPr>
        <w:t>איקלע</w:t>
      </w:r>
      <w:r w:rsidRPr="00A24049">
        <w:rPr>
          <w:rFonts w:cs="Arial"/>
          <w:sz w:val="20"/>
          <w:szCs w:val="20"/>
          <w:rtl/>
        </w:rPr>
        <w:t xml:space="preserve"> </w:t>
      </w:r>
      <w:r w:rsidRPr="00A24049">
        <w:rPr>
          <w:rFonts w:cs="Arial" w:hint="cs"/>
          <w:sz w:val="20"/>
          <w:szCs w:val="20"/>
          <w:rtl/>
        </w:rPr>
        <w:t>לשכנציב</w:t>
      </w:r>
      <w:r>
        <w:rPr>
          <w:rFonts w:cs="Arial"/>
          <w:sz w:val="20"/>
          <w:szCs w:val="20"/>
          <w:rtl/>
        </w:rPr>
        <w:t xml:space="preserve">, </w:t>
      </w:r>
      <w:r w:rsidRPr="00A24049">
        <w:rPr>
          <w:rFonts w:cs="Arial" w:hint="cs"/>
          <w:sz w:val="20"/>
          <w:szCs w:val="20"/>
          <w:rtl/>
        </w:rPr>
        <w:t>מכריז</w:t>
      </w:r>
      <w:r w:rsidRPr="00A24049">
        <w:rPr>
          <w:rFonts w:cs="Arial"/>
          <w:sz w:val="20"/>
          <w:szCs w:val="20"/>
          <w:rtl/>
        </w:rPr>
        <w:t xml:space="preserve"> </w:t>
      </w:r>
      <w:r w:rsidRPr="00A24049">
        <w:rPr>
          <w:rFonts w:cs="Arial" w:hint="cs"/>
          <w:sz w:val="20"/>
          <w:szCs w:val="20"/>
          <w:rtl/>
        </w:rPr>
        <w:t>ואמר</w:t>
      </w:r>
      <w:r w:rsidRPr="00A24049">
        <w:rPr>
          <w:rFonts w:cs="Arial"/>
          <w:sz w:val="20"/>
          <w:szCs w:val="20"/>
          <w:rtl/>
        </w:rPr>
        <w:t xml:space="preserve">: </w:t>
      </w:r>
      <w:r w:rsidRPr="00A24049">
        <w:rPr>
          <w:rFonts w:cs="Arial" w:hint="cs"/>
          <w:sz w:val="20"/>
          <w:szCs w:val="20"/>
          <w:rtl/>
        </w:rPr>
        <w:t>מאן</w:t>
      </w:r>
      <w:r w:rsidRPr="00A24049">
        <w:rPr>
          <w:rFonts w:cs="Arial"/>
          <w:sz w:val="20"/>
          <w:szCs w:val="20"/>
          <w:rtl/>
        </w:rPr>
        <w:t xml:space="preserve"> </w:t>
      </w:r>
      <w:r w:rsidRPr="00A24049">
        <w:rPr>
          <w:rFonts w:cs="Arial" w:hint="cs"/>
          <w:sz w:val="20"/>
          <w:szCs w:val="20"/>
          <w:rtl/>
        </w:rPr>
        <w:t>הויא</w:t>
      </w:r>
      <w:r w:rsidRPr="00A24049">
        <w:rPr>
          <w:rFonts w:cs="Arial"/>
          <w:sz w:val="20"/>
          <w:szCs w:val="20"/>
          <w:rtl/>
        </w:rPr>
        <w:t xml:space="preserve"> </w:t>
      </w:r>
      <w:r w:rsidRPr="00A24049">
        <w:rPr>
          <w:rFonts w:cs="Arial" w:hint="cs"/>
          <w:sz w:val="20"/>
          <w:szCs w:val="20"/>
          <w:rtl/>
        </w:rPr>
        <w:t>ליומא</w:t>
      </w:r>
      <w:r w:rsidRPr="00A24049">
        <w:rPr>
          <w:rFonts w:cs="Arial"/>
          <w:sz w:val="20"/>
          <w:szCs w:val="20"/>
          <w:rtl/>
        </w:rPr>
        <w:t xml:space="preserve">? </w:t>
      </w:r>
      <w:r w:rsidRPr="00A24049">
        <w:rPr>
          <w:rFonts w:cs="Arial" w:hint="cs"/>
          <w:sz w:val="20"/>
          <w:szCs w:val="20"/>
          <w:rtl/>
        </w:rPr>
        <w:t>שאני</w:t>
      </w:r>
      <w:r w:rsidRPr="00A24049">
        <w:rPr>
          <w:rFonts w:cs="Arial"/>
          <w:sz w:val="20"/>
          <w:szCs w:val="20"/>
          <w:rtl/>
        </w:rPr>
        <w:t xml:space="preserve"> </w:t>
      </w:r>
      <w:r w:rsidRPr="00A24049">
        <w:rPr>
          <w:rFonts w:cs="Arial" w:hint="cs"/>
          <w:sz w:val="20"/>
          <w:szCs w:val="20"/>
          <w:rtl/>
        </w:rPr>
        <w:t>רבנן</w:t>
      </w:r>
      <w:r w:rsidRPr="00A24049">
        <w:rPr>
          <w:rFonts w:cs="Arial"/>
          <w:sz w:val="20"/>
          <w:szCs w:val="20"/>
          <w:rtl/>
        </w:rPr>
        <w:t xml:space="preserve">, </w:t>
      </w:r>
      <w:r w:rsidRPr="00A24049">
        <w:rPr>
          <w:rFonts w:cs="Arial" w:hint="cs"/>
          <w:sz w:val="20"/>
          <w:szCs w:val="20"/>
          <w:rtl/>
        </w:rPr>
        <w:t>דפקיע</w:t>
      </w:r>
      <w:r w:rsidRPr="00A24049">
        <w:rPr>
          <w:rFonts w:cs="Arial"/>
          <w:sz w:val="20"/>
          <w:szCs w:val="20"/>
          <w:rtl/>
        </w:rPr>
        <w:t xml:space="preserve"> </w:t>
      </w:r>
      <w:r w:rsidRPr="00A24049">
        <w:rPr>
          <w:rFonts w:cs="Arial" w:hint="cs"/>
          <w:sz w:val="20"/>
          <w:szCs w:val="20"/>
          <w:rtl/>
        </w:rPr>
        <w:t>שמייהו</w:t>
      </w:r>
      <w:r w:rsidRPr="00A24049">
        <w:rPr>
          <w:rFonts w:cs="Arial"/>
          <w:sz w:val="20"/>
          <w:szCs w:val="20"/>
          <w:rtl/>
        </w:rPr>
        <w:t xml:space="preserve">. </w:t>
      </w:r>
      <w:r w:rsidRPr="00A24049">
        <w:rPr>
          <w:rFonts w:cs="Arial" w:hint="cs"/>
          <w:sz w:val="20"/>
          <w:szCs w:val="20"/>
          <w:rtl/>
        </w:rPr>
        <w:t>והאמר</w:t>
      </w:r>
      <w:r w:rsidRPr="00A24049">
        <w:rPr>
          <w:rFonts w:cs="Arial"/>
          <w:sz w:val="20"/>
          <w:szCs w:val="20"/>
          <w:rtl/>
        </w:rPr>
        <w:t xml:space="preserve"> </w:t>
      </w:r>
      <w:r w:rsidRPr="00A24049">
        <w:rPr>
          <w:rFonts w:cs="Arial" w:hint="cs"/>
          <w:sz w:val="20"/>
          <w:szCs w:val="20"/>
          <w:rtl/>
        </w:rPr>
        <w:t>רבא</w:t>
      </w:r>
      <w:r w:rsidRPr="00A24049">
        <w:rPr>
          <w:rFonts w:cs="Arial"/>
          <w:sz w:val="20"/>
          <w:szCs w:val="20"/>
          <w:rtl/>
        </w:rPr>
        <w:t xml:space="preserve">: </w:t>
      </w:r>
      <w:r w:rsidRPr="00A24049">
        <w:rPr>
          <w:rFonts w:cs="Arial" w:hint="cs"/>
          <w:sz w:val="20"/>
          <w:szCs w:val="20"/>
          <w:rtl/>
        </w:rPr>
        <w:t>תבעוה</w:t>
      </w:r>
      <w:r w:rsidRPr="00A24049">
        <w:rPr>
          <w:rFonts w:cs="Arial"/>
          <w:sz w:val="20"/>
          <w:szCs w:val="20"/>
          <w:rtl/>
        </w:rPr>
        <w:t xml:space="preserve"> </w:t>
      </w:r>
      <w:r w:rsidRPr="00A24049">
        <w:rPr>
          <w:rFonts w:cs="Arial" w:hint="cs"/>
          <w:sz w:val="20"/>
          <w:szCs w:val="20"/>
          <w:rtl/>
        </w:rPr>
        <w:t>לינשא</w:t>
      </w:r>
      <w:r w:rsidRPr="00A24049">
        <w:rPr>
          <w:rFonts w:cs="Arial"/>
          <w:sz w:val="20"/>
          <w:szCs w:val="20"/>
          <w:rtl/>
        </w:rPr>
        <w:t xml:space="preserve"> </w:t>
      </w:r>
      <w:r w:rsidRPr="00A24049">
        <w:rPr>
          <w:rFonts w:cs="Arial" w:hint="cs"/>
          <w:sz w:val="20"/>
          <w:szCs w:val="20"/>
          <w:rtl/>
        </w:rPr>
        <w:t>ונתפייסה</w:t>
      </w:r>
      <w:r w:rsidRPr="00A24049">
        <w:rPr>
          <w:rFonts w:cs="Arial"/>
          <w:sz w:val="20"/>
          <w:szCs w:val="20"/>
          <w:rtl/>
        </w:rPr>
        <w:t xml:space="preserve"> - </w:t>
      </w:r>
      <w:r w:rsidRPr="00A24049">
        <w:rPr>
          <w:rFonts w:cs="Arial" w:hint="cs"/>
          <w:sz w:val="20"/>
          <w:szCs w:val="20"/>
          <w:rtl/>
        </w:rPr>
        <w:t>צריכה</w:t>
      </w:r>
      <w:r w:rsidRPr="00A24049">
        <w:rPr>
          <w:rFonts w:cs="Arial"/>
          <w:sz w:val="20"/>
          <w:szCs w:val="20"/>
          <w:rtl/>
        </w:rPr>
        <w:t xml:space="preserve"> </w:t>
      </w:r>
      <w:r w:rsidRPr="00A24049">
        <w:rPr>
          <w:rFonts w:cs="Arial" w:hint="cs"/>
          <w:sz w:val="20"/>
          <w:szCs w:val="20"/>
          <w:rtl/>
        </w:rPr>
        <w:t>לישב</w:t>
      </w:r>
      <w:r w:rsidRPr="00A24049">
        <w:rPr>
          <w:rFonts w:cs="Arial"/>
          <w:sz w:val="20"/>
          <w:szCs w:val="20"/>
          <w:rtl/>
        </w:rPr>
        <w:t xml:space="preserve"> </w:t>
      </w:r>
      <w:r w:rsidRPr="00A24049">
        <w:rPr>
          <w:rFonts w:cs="Arial" w:hint="cs"/>
          <w:sz w:val="20"/>
          <w:szCs w:val="20"/>
          <w:rtl/>
        </w:rPr>
        <w:t>שבעה</w:t>
      </w:r>
      <w:r w:rsidRPr="00A24049">
        <w:rPr>
          <w:rFonts w:cs="Arial"/>
          <w:sz w:val="20"/>
          <w:szCs w:val="20"/>
          <w:rtl/>
        </w:rPr>
        <w:t xml:space="preserve"> </w:t>
      </w:r>
      <w:r w:rsidRPr="00A24049">
        <w:rPr>
          <w:rFonts w:cs="Arial" w:hint="cs"/>
          <w:sz w:val="20"/>
          <w:szCs w:val="20"/>
          <w:rtl/>
        </w:rPr>
        <w:t>נקיים</w:t>
      </w:r>
      <w:r w:rsidRPr="00A24049">
        <w:rPr>
          <w:rFonts w:cs="Arial"/>
          <w:sz w:val="20"/>
          <w:szCs w:val="20"/>
          <w:rtl/>
        </w:rPr>
        <w:t xml:space="preserve">! </w:t>
      </w:r>
      <w:r w:rsidRPr="00A24049">
        <w:rPr>
          <w:rFonts w:cs="Arial" w:hint="cs"/>
          <w:sz w:val="20"/>
          <w:szCs w:val="20"/>
          <w:rtl/>
        </w:rPr>
        <w:t>רבנן</w:t>
      </w:r>
      <w:r w:rsidRPr="00A24049">
        <w:rPr>
          <w:rFonts w:cs="Arial"/>
          <w:sz w:val="20"/>
          <w:szCs w:val="20"/>
          <w:rtl/>
        </w:rPr>
        <w:t xml:space="preserve"> </w:t>
      </w:r>
      <w:r w:rsidRPr="00A24049">
        <w:rPr>
          <w:rFonts w:cs="Arial" w:hint="cs"/>
          <w:sz w:val="20"/>
          <w:szCs w:val="20"/>
          <w:rtl/>
        </w:rPr>
        <w:t>שלוחייהו</w:t>
      </w:r>
      <w:r w:rsidRPr="00A24049">
        <w:rPr>
          <w:rFonts w:cs="Arial"/>
          <w:sz w:val="20"/>
          <w:szCs w:val="20"/>
          <w:rtl/>
        </w:rPr>
        <w:t xml:space="preserve"> </w:t>
      </w:r>
      <w:r w:rsidRPr="00A24049">
        <w:rPr>
          <w:rFonts w:cs="Arial" w:hint="cs"/>
          <w:sz w:val="20"/>
          <w:szCs w:val="20"/>
          <w:rtl/>
        </w:rPr>
        <w:t>הוו</w:t>
      </w:r>
      <w:r w:rsidRPr="00A24049">
        <w:rPr>
          <w:rFonts w:cs="Arial"/>
          <w:sz w:val="20"/>
          <w:szCs w:val="20"/>
          <w:rtl/>
        </w:rPr>
        <w:t xml:space="preserve"> </w:t>
      </w:r>
      <w:r w:rsidRPr="00A24049">
        <w:rPr>
          <w:rFonts w:cs="Arial" w:hint="cs"/>
          <w:sz w:val="20"/>
          <w:szCs w:val="20"/>
          <w:rtl/>
        </w:rPr>
        <w:t>משדרי</w:t>
      </w:r>
      <w:r w:rsidRPr="00A24049">
        <w:rPr>
          <w:rFonts w:cs="Arial"/>
          <w:sz w:val="20"/>
          <w:szCs w:val="20"/>
          <w:rtl/>
        </w:rPr>
        <w:t xml:space="preserve"> </w:t>
      </w:r>
      <w:r w:rsidRPr="00A24049">
        <w:rPr>
          <w:rFonts w:cs="Arial" w:hint="cs"/>
          <w:sz w:val="20"/>
          <w:szCs w:val="20"/>
          <w:rtl/>
        </w:rPr>
        <w:t>ומודעי</w:t>
      </w:r>
      <w:r w:rsidRPr="00A24049">
        <w:rPr>
          <w:rFonts w:cs="Arial"/>
          <w:sz w:val="20"/>
          <w:szCs w:val="20"/>
          <w:rtl/>
        </w:rPr>
        <w:t xml:space="preserve"> </w:t>
      </w:r>
      <w:r w:rsidRPr="00A24049">
        <w:rPr>
          <w:rFonts w:cs="Arial" w:hint="cs"/>
          <w:sz w:val="20"/>
          <w:szCs w:val="20"/>
          <w:rtl/>
        </w:rPr>
        <w:t>להו</w:t>
      </w:r>
      <w:r w:rsidRPr="00A24049">
        <w:rPr>
          <w:rFonts w:cs="Arial"/>
          <w:sz w:val="20"/>
          <w:szCs w:val="20"/>
          <w:rtl/>
        </w:rPr>
        <w:t xml:space="preserve">. </w:t>
      </w:r>
      <w:r w:rsidRPr="00A24049">
        <w:rPr>
          <w:rFonts w:cs="Arial" w:hint="cs"/>
          <w:sz w:val="20"/>
          <w:szCs w:val="20"/>
          <w:rtl/>
        </w:rPr>
        <w:t>ואיבעית</w:t>
      </w:r>
      <w:r w:rsidRPr="00A24049">
        <w:rPr>
          <w:rFonts w:cs="Arial"/>
          <w:sz w:val="20"/>
          <w:szCs w:val="20"/>
          <w:rtl/>
        </w:rPr>
        <w:t xml:space="preserve"> </w:t>
      </w:r>
      <w:r w:rsidRPr="00A24049">
        <w:rPr>
          <w:rFonts w:cs="Arial" w:hint="cs"/>
          <w:sz w:val="20"/>
          <w:szCs w:val="20"/>
          <w:rtl/>
        </w:rPr>
        <w:t>אימא</w:t>
      </w:r>
      <w:r w:rsidRPr="00A24049">
        <w:rPr>
          <w:rFonts w:cs="Arial"/>
          <w:sz w:val="20"/>
          <w:szCs w:val="20"/>
          <w:rtl/>
        </w:rPr>
        <w:t xml:space="preserve">: </w:t>
      </w:r>
      <w:r w:rsidRPr="00A24049">
        <w:rPr>
          <w:rFonts w:cs="Arial" w:hint="cs"/>
          <w:sz w:val="20"/>
          <w:szCs w:val="20"/>
          <w:rtl/>
        </w:rPr>
        <w:t>לרבנן</w:t>
      </w:r>
      <w:r w:rsidRPr="00A24049">
        <w:rPr>
          <w:rFonts w:cs="Arial"/>
          <w:sz w:val="20"/>
          <w:szCs w:val="20"/>
          <w:rtl/>
        </w:rPr>
        <w:t xml:space="preserve"> </w:t>
      </w:r>
      <w:r w:rsidRPr="00A24049">
        <w:rPr>
          <w:rFonts w:cs="Arial" w:hint="cs"/>
          <w:sz w:val="20"/>
          <w:szCs w:val="20"/>
          <w:rtl/>
        </w:rPr>
        <w:t>יחודי</w:t>
      </w:r>
      <w:r w:rsidRPr="00A24049">
        <w:rPr>
          <w:rFonts w:cs="Arial"/>
          <w:sz w:val="20"/>
          <w:szCs w:val="20"/>
          <w:rtl/>
        </w:rPr>
        <w:t xml:space="preserve"> </w:t>
      </w:r>
      <w:r w:rsidRPr="00A24049">
        <w:rPr>
          <w:rFonts w:cs="Arial" w:hint="cs"/>
          <w:sz w:val="20"/>
          <w:szCs w:val="20"/>
          <w:rtl/>
        </w:rPr>
        <w:t>בעלמא</w:t>
      </w:r>
      <w:r w:rsidRPr="00A24049">
        <w:rPr>
          <w:rFonts w:cs="Arial"/>
          <w:sz w:val="20"/>
          <w:szCs w:val="20"/>
          <w:rtl/>
        </w:rPr>
        <w:t xml:space="preserve"> </w:t>
      </w:r>
      <w:r w:rsidRPr="00A24049">
        <w:rPr>
          <w:rFonts w:cs="Arial" w:hint="cs"/>
          <w:sz w:val="20"/>
          <w:szCs w:val="20"/>
          <w:rtl/>
        </w:rPr>
        <w:t>הוא</w:t>
      </w:r>
      <w:r w:rsidRPr="00A24049">
        <w:rPr>
          <w:rFonts w:cs="Arial"/>
          <w:sz w:val="20"/>
          <w:szCs w:val="20"/>
          <w:rtl/>
        </w:rPr>
        <w:t xml:space="preserve"> </w:t>
      </w:r>
      <w:r w:rsidRPr="00A24049">
        <w:rPr>
          <w:rFonts w:cs="Arial" w:hint="cs"/>
          <w:sz w:val="20"/>
          <w:szCs w:val="20"/>
          <w:rtl/>
        </w:rPr>
        <w:t>דמייחדי</w:t>
      </w:r>
      <w:r w:rsidRPr="00A24049">
        <w:rPr>
          <w:rFonts w:cs="Arial"/>
          <w:sz w:val="20"/>
          <w:szCs w:val="20"/>
          <w:rtl/>
        </w:rPr>
        <w:t xml:space="preserve"> </w:t>
      </w:r>
      <w:r w:rsidRPr="00A24049">
        <w:rPr>
          <w:rFonts w:cs="Arial" w:hint="cs"/>
          <w:sz w:val="20"/>
          <w:szCs w:val="20"/>
          <w:rtl/>
        </w:rPr>
        <w:t>להו</w:t>
      </w:r>
      <w:r w:rsidRPr="00A24049">
        <w:rPr>
          <w:rFonts w:cs="Arial"/>
          <w:sz w:val="20"/>
          <w:szCs w:val="20"/>
          <w:rtl/>
        </w:rPr>
        <w:t xml:space="preserve">, </w:t>
      </w:r>
      <w:r w:rsidRPr="00A24049">
        <w:rPr>
          <w:rFonts w:cs="Arial" w:hint="cs"/>
          <w:sz w:val="20"/>
          <w:szCs w:val="20"/>
          <w:rtl/>
        </w:rPr>
        <w:t>דאמר</w:t>
      </w:r>
      <w:r w:rsidRPr="00A24049">
        <w:rPr>
          <w:rFonts w:cs="Arial"/>
          <w:sz w:val="20"/>
          <w:szCs w:val="20"/>
          <w:rtl/>
        </w:rPr>
        <w:t xml:space="preserve"> </w:t>
      </w:r>
      <w:r w:rsidRPr="00A24049">
        <w:rPr>
          <w:rFonts w:cs="Arial" w:hint="cs"/>
          <w:sz w:val="20"/>
          <w:szCs w:val="20"/>
          <w:rtl/>
        </w:rPr>
        <w:t>מר</w:t>
      </w:r>
      <w:r w:rsidRPr="00A24049">
        <w:rPr>
          <w:rFonts w:cs="Arial"/>
          <w:sz w:val="20"/>
          <w:szCs w:val="20"/>
          <w:rtl/>
        </w:rPr>
        <w:t xml:space="preserve">: </w:t>
      </w:r>
      <w:r w:rsidRPr="00A24049">
        <w:rPr>
          <w:rFonts w:cs="Arial" w:hint="cs"/>
          <w:sz w:val="20"/>
          <w:szCs w:val="20"/>
          <w:rtl/>
        </w:rPr>
        <w:t>אינו</w:t>
      </w:r>
      <w:r w:rsidRPr="00A24049">
        <w:rPr>
          <w:rFonts w:cs="Arial"/>
          <w:sz w:val="20"/>
          <w:szCs w:val="20"/>
          <w:rtl/>
        </w:rPr>
        <w:t xml:space="preserve"> </w:t>
      </w:r>
      <w:r w:rsidRPr="00A24049">
        <w:rPr>
          <w:rFonts w:cs="Arial" w:hint="cs"/>
          <w:sz w:val="20"/>
          <w:szCs w:val="20"/>
          <w:rtl/>
        </w:rPr>
        <w:t>דומה</w:t>
      </w:r>
      <w:r w:rsidRPr="00A24049">
        <w:rPr>
          <w:rFonts w:cs="Arial"/>
          <w:sz w:val="20"/>
          <w:szCs w:val="20"/>
          <w:rtl/>
        </w:rPr>
        <w:t xml:space="preserve"> </w:t>
      </w:r>
      <w:r w:rsidRPr="00A24049">
        <w:rPr>
          <w:rFonts w:cs="Arial" w:hint="cs"/>
          <w:sz w:val="20"/>
          <w:szCs w:val="20"/>
          <w:rtl/>
        </w:rPr>
        <w:t>מי</w:t>
      </w:r>
      <w:r w:rsidRPr="00A24049">
        <w:rPr>
          <w:rFonts w:cs="Arial"/>
          <w:sz w:val="20"/>
          <w:szCs w:val="20"/>
          <w:rtl/>
        </w:rPr>
        <w:t xml:space="preserve"> </w:t>
      </w:r>
      <w:r w:rsidRPr="00A24049">
        <w:rPr>
          <w:rFonts w:cs="Arial" w:hint="cs"/>
          <w:sz w:val="20"/>
          <w:szCs w:val="20"/>
          <w:rtl/>
        </w:rPr>
        <w:t>שיש</w:t>
      </w:r>
      <w:r w:rsidRPr="00A24049">
        <w:rPr>
          <w:rFonts w:cs="Arial"/>
          <w:sz w:val="20"/>
          <w:szCs w:val="20"/>
          <w:rtl/>
        </w:rPr>
        <w:t xml:space="preserve"> </w:t>
      </w:r>
      <w:r w:rsidRPr="00A24049">
        <w:rPr>
          <w:rFonts w:cs="Arial" w:hint="cs"/>
          <w:sz w:val="20"/>
          <w:szCs w:val="20"/>
          <w:rtl/>
        </w:rPr>
        <w:t>לו</w:t>
      </w:r>
      <w:r w:rsidRPr="00A24049">
        <w:rPr>
          <w:rFonts w:cs="Arial"/>
          <w:sz w:val="20"/>
          <w:szCs w:val="20"/>
          <w:rtl/>
        </w:rPr>
        <w:t xml:space="preserve"> </w:t>
      </w:r>
      <w:r w:rsidRPr="00A24049">
        <w:rPr>
          <w:rFonts w:cs="Arial" w:hint="cs"/>
          <w:sz w:val="20"/>
          <w:szCs w:val="20"/>
          <w:rtl/>
        </w:rPr>
        <w:t>פת</w:t>
      </w:r>
      <w:r w:rsidRPr="00A24049">
        <w:rPr>
          <w:rFonts w:cs="Arial"/>
          <w:sz w:val="20"/>
          <w:szCs w:val="20"/>
          <w:rtl/>
        </w:rPr>
        <w:t xml:space="preserve"> </w:t>
      </w:r>
      <w:r w:rsidRPr="00A24049">
        <w:rPr>
          <w:rFonts w:cs="Arial" w:hint="cs"/>
          <w:sz w:val="20"/>
          <w:szCs w:val="20"/>
          <w:rtl/>
        </w:rPr>
        <w:t>בסלו</w:t>
      </w:r>
      <w:r w:rsidRPr="00A24049">
        <w:rPr>
          <w:rFonts w:cs="Arial"/>
          <w:sz w:val="20"/>
          <w:szCs w:val="20"/>
          <w:rtl/>
        </w:rPr>
        <w:t xml:space="preserve"> </w:t>
      </w:r>
      <w:r w:rsidRPr="00A24049">
        <w:rPr>
          <w:rFonts w:cs="Arial" w:hint="cs"/>
          <w:sz w:val="20"/>
          <w:szCs w:val="20"/>
          <w:rtl/>
        </w:rPr>
        <w:t>למי</w:t>
      </w:r>
      <w:r w:rsidRPr="00A24049">
        <w:rPr>
          <w:rFonts w:cs="Arial"/>
          <w:sz w:val="20"/>
          <w:szCs w:val="20"/>
          <w:rtl/>
        </w:rPr>
        <w:t xml:space="preserve"> </w:t>
      </w:r>
      <w:r w:rsidRPr="00A24049">
        <w:rPr>
          <w:rFonts w:cs="Arial" w:hint="cs"/>
          <w:sz w:val="20"/>
          <w:szCs w:val="20"/>
          <w:rtl/>
        </w:rPr>
        <w:t>שאין</w:t>
      </w:r>
      <w:r w:rsidRPr="00A24049">
        <w:rPr>
          <w:rFonts w:cs="Arial"/>
          <w:sz w:val="20"/>
          <w:szCs w:val="20"/>
          <w:rtl/>
        </w:rPr>
        <w:t xml:space="preserve"> </w:t>
      </w:r>
      <w:r w:rsidRPr="00A24049">
        <w:rPr>
          <w:rFonts w:cs="Arial" w:hint="cs"/>
          <w:sz w:val="20"/>
          <w:szCs w:val="20"/>
          <w:rtl/>
        </w:rPr>
        <w:t>לו</w:t>
      </w:r>
      <w:r w:rsidRPr="00A24049">
        <w:rPr>
          <w:rFonts w:cs="Arial"/>
          <w:sz w:val="20"/>
          <w:szCs w:val="20"/>
          <w:rtl/>
        </w:rPr>
        <w:t xml:space="preserve"> </w:t>
      </w:r>
      <w:r w:rsidRPr="00A24049">
        <w:rPr>
          <w:rFonts w:cs="Arial" w:hint="cs"/>
          <w:sz w:val="20"/>
          <w:szCs w:val="20"/>
          <w:rtl/>
        </w:rPr>
        <w:t>פת</w:t>
      </w:r>
      <w:r w:rsidRPr="00A24049">
        <w:rPr>
          <w:rFonts w:cs="Arial"/>
          <w:sz w:val="20"/>
          <w:szCs w:val="20"/>
          <w:rtl/>
        </w:rPr>
        <w:t xml:space="preserve"> </w:t>
      </w:r>
      <w:r w:rsidRPr="00A24049">
        <w:rPr>
          <w:rFonts w:cs="Arial" w:hint="cs"/>
          <w:sz w:val="20"/>
          <w:szCs w:val="20"/>
          <w:rtl/>
        </w:rPr>
        <w:t>בסלו</w:t>
      </w:r>
      <w:r>
        <w:rPr>
          <w:rFonts w:cs="Arial" w:hint="cs"/>
          <w:sz w:val="20"/>
          <w:szCs w:val="20"/>
          <w:rtl/>
        </w:rPr>
        <w:t>"</w:t>
      </w:r>
      <w:r w:rsidRPr="00A24049">
        <w:rPr>
          <w:rFonts w:cs="Arial"/>
          <w:sz w:val="20"/>
          <w:szCs w:val="20"/>
          <w:rtl/>
        </w:rPr>
        <w:t>.</w:t>
      </w:r>
    </w:p>
    <w:p w:rsidR="00620060" w:rsidRDefault="00620060" w:rsidP="00620060">
      <w:pPr>
        <w:rPr>
          <w:sz w:val="20"/>
          <w:szCs w:val="20"/>
          <w:rtl/>
        </w:rPr>
      </w:pPr>
      <w:r>
        <w:rPr>
          <w:rFonts w:hint="cs"/>
          <w:sz w:val="20"/>
          <w:szCs w:val="20"/>
          <w:u w:val="single"/>
          <w:rtl/>
        </w:rPr>
        <w:t>שיטות הראשונים</w:t>
      </w:r>
      <w:r>
        <w:rPr>
          <w:rFonts w:hint="cs"/>
          <w:sz w:val="20"/>
          <w:szCs w:val="20"/>
          <w:u w:val="single"/>
          <w:rtl/>
        </w:rPr>
        <w:br/>
      </w:r>
      <w:r>
        <w:rPr>
          <w:rFonts w:hint="cs"/>
          <w:sz w:val="20"/>
          <w:szCs w:val="20"/>
          <w:rtl/>
        </w:rPr>
        <w:t xml:space="preserve">א. </w:t>
      </w:r>
      <w:r w:rsidRPr="0001194F">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אין חילוק בין תלמיד חכם לשאר אדם, בכל אופן אין לשאת אשה שלא שמרה ז' נקיים.</w:t>
      </w:r>
      <w:r>
        <w:rPr>
          <w:sz w:val="20"/>
          <w:szCs w:val="20"/>
          <w:rtl/>
        </w:rPr>
        <w:br/>
      </w:r>
      <w:r>
        <w:rPr>
          <w:rFonts w:hint="cs"/>
          <w:sz w:val="20"/>
          <w:szCs w:val="20"/>
          <w:rtl/>
        </w:rPr>
        <w:t xml:space="preserve">ב. </w:t>
      </w:r>
      <w:r w:rsidRPr="0001194F">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תלמיד חכם מותר לשאת אשה אע"פ שלא שמרה ז' נקיים.</w:t>
      </w:r>
      <w:r>
        <w:rPr>
          <w:sz w:val="20"/>
          <w:szCs w:val="20"/>
          <w:rtl/>
        </w:rPr>
        <w:br/>
      </w:r>
      <w:r w:rsidRPr="0001194F">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תלמיד חכם יודע שאסור לו לבוא עליה.</w:t>
      </w:r>
    </w:p>
    <w:p w:rsidR="00620060" w:rsidRDefault="00620060" w:rsidP="00620060">
      <w:pPr>
        <w:rPr>
          <w:sz w:val="20"/>
          <w:szCs w:val="20"/>
          <w:rtl/>
        </w:rPr>
      </w:pPr>
      <w:r>
        <w:rPr>
          <w:rFonts w:hint="cs"/>
          <w:sz w:val="20"/>
          <w:szCs w:val="20"/>
          <w:u w:val="single"/>
          <w:rtl/>
        </w:rPr>
        <w:t>במה נחלקו הראשונים?</w:t>
      </w:r>
      <w:r>
        <w:rPr>
          <w:rFonts w:hint="cs"/>
          <w:sz w:val="20"/>
          <w:szCs w:val="20"/>
          <w:u w:val="single"/>
          <w:rtl/>
        </w:rPr>
        <w:br/>
      </w:r>
      <w:r w:rsidRPr="00B82DDF">
        <w:rPr>
          <w:rFonts w:hint="cs"/>
          <w:b/>
          <w:bCs/>
          <w:sz w:val="20"/>
          <w:szCs w:val="20"/>
          <w:rtl/>
        </w:rPr>
        <w:t>בית יוסף</w:t>
      </w:r>
      <w:r>
        <w:rPr>
          <w:rFonts w:hint="cs"/>
          <w:sz w:val="20"/>
          <w:szCs w:val="20"/>
          <w:rtl/>
        </w:rPr>
        <w:t xml:space="preserve"> </w:t>
      </w:r>
      <w:r>
        <w:rPr>
          <w:sz w:val="20"/>
          <w:szCs w:val="20"/>
          <w:rtl/>
        </w:rPr>
        <w:t>–</w:t>
      </w:r>
      <w:r>
        <w:rPr>
          <w:rFonts w:hint="cs"/>
          <w:sz w:val="20"/>
          <w:szCs w:val="20"/>
          <w:rtl/>
        </w:rPr>
        <w:t xml:space="preserve"> הראשונים הנ"ל נחלקו בהבנת תירוץ הגמרא באיבעית אימא:</w:t>
      </w:r>
      <w:r w:rsidRPr="00B82DDF">
        <w:rPr>
          <w:rFonts w:cs="Arial" w:hint="cs"/>
          <w:sz w:val="20"/>
          <w:szCs w:val="20"/>
          <w:rtl/>
        </w:rPr>
        <w:t xml:space="preserve"> </w:t>
      </w:r>
      <w:r>
        <w:rPr>
          <w:rFonts w:cs="Arial" w:hint="cs"/>
          <w:sz w:val="20"/>
          <w:szCs w:val="20"/>
          <w:rtl/>
        </w:rPr>
        <w:t>"</w:t>
      </w:r>
      <w:r w:rsidRPr="00A24049">
        <w:rPr>
          <w:rFonts w:cs="Arial" w:hint="cs"/>
          <w:sz w:val="20"/>
          <w:szCs w:val="20"/>
          <w:rtl/>
        </w:rPr>
        <w:t>יחודי</w:t>
      </w:r>
      <w:r w:rsidRPr="00A24049">
        <w:rPr>
          <w:rFonts w:cs="Arial"/>
          <w:sz w:val="20"/>
          <w:szCs w:val="20"/>
          <w:rtl/>
        </w:rPr>
        <w:t xml:space="preserve"> </w:t>
      </w:r>
      <w:r w:rsidRPr="00A24049">
        <w:rPr>
          <w:rFonts w:cs="Arial" w:hint="cs"/>
          <w:sz w:val="20"/>
          <w:szCs w:val="20"/>
          <w:rtl/>
        </w:rPr>
        <w:t>בעלמא</w:t>
      </w:r>
      <w:r w:rsidRPr="00A24049">
        <w:rPr>
          <w:rFonts w:cs="Arial"/>
          <w:sz w:val="20"/>
          <w:szCs w:val="20"/>
          <w:rtl/>
        </w:rPr>
        <w:t xml:space="preserve"> </w:t>
      </w:r>
      <w:r w:rsidRPr="00A24049">
        <w:rPr>
          <w:rFonts w:cs="Arial" w:hint="cs"/>
          <w:sz w:val="20"/>
          <w:szCs w:val="20"/>
          <w:rtl/>
        </w:rPr>
        <w:t>הוא</w:t>
      </w:r>
      <w:r w:rsidRPr="00A24049">
        <w:rPr>
          <w:rFonts w:cs="Arial"/>
          <w:sz w:val="20"/>
          <w:szCs w:val="20"/>
          <w:rtl/>
        </w:rPr>
        <w:t xml:space="preserve"> </w:t>
      </w:r>
      <w:r w:rsidRPr="00A24049">
        <w:rPr>
          <w:rFonts w:cs="Arial" w:hint="cs"/>
          <w:sz w:val="20"/>
          <w:szCs w:val="20"/>
          <w:rtl/>
        </w:rPr>
        <w:t>דמייחדי</w:t>
      </w:r>
      <w:r w:rsidRPr="00A24049">
        <w:rPr>
          <w:rFonts w:cs="Arial"/>
          <w:sz w:val="20"/>
          <w:szCs w:val="20"/>
          <w:rtl/>
        </w:rPr>
        <w:t xml:space="preserve"> </w:t>
      </w:r>
      <w:r w:rsidRPr="00A24049">
        <w:rPr>
          <w:rFonts w:cs="Arial" w:hint="cs"/>
          <w:sz w:val="20"/>
          <w:szCs w:val="20"/>
          <w:rtl/>
        </w:rPr>
        <w:t>להו</w:t>
      </w:r>
      <w:r>
        <w:rPr>
          <w:rFonts w:hint="cs"/>
          <w:sz w:val="20"/>
          <w:szCs w:val="20"/>
          <w:rtl/>
        </w:rPr>
        <w:t>".</w:t>
      </w:r>
      <w:r>
        <w:rPr>
          <w:sz w:val="20"/>
          <w:szCs w:val="20"/>
          <w:rtl/>
        </w:rPr>
        <w:br/>
      </w:r>
      <w:r>
        <w:rPr>
          <w:rFonts w:hint="cs"/>
          <w:sz w:val="20"/>
          <w:szCs w:val="20"/>
          <w:rtl/>
        </w:rPr>
        <w:t xml:space="preserve">א. </w:t>
      </w:r>
      <w:r w:rsidRPr="00B82DDF">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ייחדו את האשה לתלמיד חכם לשאת אותה לאחר שתמנה ז' נקיים.</w:t>
      </w:r>
      <w:r>
        <w:rPr>
          <w:sz w:val="20"/>
          <w:szCs w:val="20"/>
          <w:rtl/>
        </w:rPr>
        <w:br/>
      </w:r>
      <w:r>
        <w:rPr>
          <w:rFonts w:hint="cs"/>
          <w:sz w:val="20"/>
          <w:szCs w:val="20"/>
          <w:rtl/>
        </w:rPr>
        <w:t xml:space="preserve">ב. </w:t>
      </w:r>
      <w:r w:rsidRPr="00B82DDF">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ייחדו את האשה עם התלמיד חכם בבית אחד, ולכן מקרי שהיה לו פת בסלו, שהרי אם אינם מתייחדים ליכא פת בסלו.</w:t>
      </w:r>
    </w:p>
    <w:p w:rsidR="00620060" w:rsidRDefault="00620060" w:rsidP="00620060">
      <w:pPr>
        <w:rPr>
          <w:sz w:val="20"/>
          <w:szCs w:val="20"/>
          <w:rtl/>
        </w:rPr>
      </w:pPr>
      <w:r>
        <w:rPr>
          <w:rFonts w:hint="cs"/>
          <w:sz w:val="20"/>
          <w:szCs w:val="20"/>
          <w:u w:val="single"/>
          <w:rtl/>
        </w:rPr>
        <w:t>דיון בשיטת הרמב"ם</w:t>
      </w:r>
      <w:r>
        <w:rPr>
          <w:sz w:val="20"/>
          <w:szCs w:val="20"/>
          <w:u w:val="single"/>
          <w:rtl/>
        </w:rPr>
        <w:br/>
      </w:r>
      <w:r w:rsidRPr="00EA667F">
        <w:rPr>
          <w:rFonts w:hint="cs"/>
          <w:b/>
          <w:bCs/>
          <w:sz w:val="20"/>
          <w:szCs w:val="20"/>
          <w:rtl/>
        </w:rPr>
        <w:t>בית יוסף</w:t>
      </w:r>
      <w:r>
        <w:rPr>
          <w:rFonts w:hint="cs"/>
          <w:sz w:val="20"/>
          <w:szCs w:val="20"/>
          <w:rtl/>
        </w:rPr>
        <w:t xml:space="preserve"> </w:t>
      </w:r>
      <w:r>
        <w:rPr>
          <w:sz w:val="20"/>
          <w:szCs w:val="20"/>
          <w:rtl/>
        </w:rPr>
        <w:t>–</w:t>
      </w:r>
      <w:r>
        <w:rPr>
          <w:rFonts w:hint="cs"/>
          <w:sz w:val="20"/>
          <w:szCs w:val="20"/>
          <w:rtl/>
        </w:rPr>
        <w:t xml:space="preserve"> הרמב"ם כתב שת"ח יודע שאסור לו לבוא עליה, אך לפי"ז ניתן להודיע גם לשאר אדם שאסור לו לבוא עליה וכך יהיה מותר לו לשאת למרות שלא מנתה ז' נקיים?</w:t>
      </w:r>
      <w:r>
        <w:rPr>
          <w:rFonts w:hint="cs"/>
          <w:sz w:val="20"/>
          <w:szCs w:val="20"/>
          <w:rtl/>
        </w:rPr>
        <w:br/>
        <w:t xml:space="preserve">מיישב </w:t>
      </w:r>
      <w:r>
        <w:rPr>
          <w:sz w:val="20"/>
          <w:szCs w:val="20"/>
          <w:rtl/>
        </w:rPr>
        <w:t>–</w:t>
      </w:r>
      <w:r>
        <w:rPr>
          <w:rFonts w:hint="cs"/>
          <w:sz w:val="20"/>
          <w:szCs w:val="20"/>
          <w:rtl/>
        </w:rPr>
        <w:t xml:space="preserve"> תלמיד חכם רגיל בדברי חכמים וגזירותיהם ויפרוש ממנה אע"פ שיודע שלא ראתה, אך שאר אדם אינו רגיל בדברי חכמים ולכן עלול להיכשל מפני שיודע שהיא לא ראתה.</w:t>
      </w:r>
      <w:r>
        <w:rPr>
          <w:sz w:val="20"/>
          <w:szCs w:val="20"/>
          <w:rtl/>
        </w:rPr>
        <w:br/>
      </w:r>
      <w:r>
        <w:rPr>
          <w:rFonts w:hint="cs"/>
          <w:sz w:val="20"/>
          <w:szCs w:val="20"/>
          <w:rtl/>
        </w:rPr>
        <w:t xml:space="preserve">ועוד </w:t>
      </w:r>
      <w:r>
        <w:rPr>
          <w:sz w:val="20"/>
          <w:szCs w:val="20"/>
          <w:rtl/>
        </w:rPr>
        <w:t>–</w:t>
      </w:r>
      <w:r>
        <w:rPr>
          <w:rFonts w:hint="cs"/>
          <w:sz w:val="20"/>
          <w:szCs w:val="20"/>
          <w:rtl/>
        </w:rPr>
        <w:t xml:space="preserve"> חכמים לא חילקו בגזירתם, וכיוון שת"ח תמיד יודע התירו לו, שאר אדם לא תמיד יודע ואסרו לו.</w:t>
      </w:r>
    </w:p>
    <w:p w:rsidR="00620060" w:rsidRDefault="00620060" w:rsidP="00620060">
      <w:pPr>
        <w:rPr>
          <w:sz w:val="20"/>
          <w:szCs w:val="20"/>
          <w:rtl/>
        </w:rPr>
      </w:pPr>
      <w:r w:rsidRPr="00EA667F">
        <w:rPr>
          <w:rFonts w:hint="cs"/>
          <w:b/>
          <w:bCs/>
          <w:sz w:val="20"/>
          <w:szCs w:val="20"/>
          <w:rtl/>
        </w:rPr>
        <w:t>בית יוסף</w:t>
      </w:r>
      <w:r>
        <w:rPr>
          <w:rFonts w:hint="cs"/>
          <w:sz w:val="20"/>
          <w:szCs w:val="20"/>
          <w:rtl/>
        </w:rPr>
        <w:t xml:space="preserve"> </w:t>
      </w:r>
      <w:r>
        <w:rPr>
          <w:sz w:val="20"/>
          <w:szCs w:val="20"/>
          <w:rtl/>
        </w:rPr>
        <w:t>–</w:t>
      </w:r>
      <w:r>
        <w:rPr>
          <w:rFonts w:hint="cs"/>
          <w:sz w:val="20"/>
          <w:szCs w:val="20"/>
          <w:rtl/>
        </w:rPr>
        <w:t xml:space="preserve"> עוד קשה בדברי הרמב"ם, אם לת"ח מותר להתייחד עם כלה שלא שמרה ז' נקיים, נראה מכל שכן להתיר לו להתייחד עם כלה שפירסה נידה לפני שבא עליה, ומדוע הגמרא אינה מחלקת שלת"ח מותר?</w:t>
      </w:r>
      <w:r>
        <w:rPr>
          <w:rStyle w:val="a5"/>
          <w:sz w:val="20"/>
          <w:szCs w:val="20"/>
          <w:rtl/>
        </w:rPr>
        <w:footnoteReference w:id="382"/>
      </w:r>
      <w:r>
        <w:rPr>
          <w:rFonts w:hint="cs"/>
          <w:sz w:val="20"/>
          <w:szCs w:val="20"/>
          <w:rtl/>
        </w:rPr>
        <w:t xml:space="preserve"> </w:t>
      </w:r>
      <w:r>
        <w:rPr>
          <w:rFonts w:hint="cs"/>
          <w:sz w:val="20"/>
          <w:szCs w:val="20"/>
          <w:rtl/>
        </w:rPr>
        <w:br/>
        <w:t xml:space="preserve">מיישב </w:t>
      </w:r>
      <w:r>
        <w:rPr>
          <w:sz w:val="20"/>
          <w:szCs w:val="20"/>
          <w:rtl/>
        </w:rPr>
        <w:t>–</w:t>
      </w:r>
      <w:r>
        <w:rPr>
          <w:rFonts w:hint="cs"/>
          <w:sz w:val="20"/>
          <w:szCs w:val="20"/>
          <w:rtl/>
        </w:rPr>
        <w:t xml:space="preserve"> הראב"ד והמ"מ הבינו בדעת הרמב"ם שלת"ח מותר להתייחד עם כלה שלא שמרה ז' נקיים, ולכן יקשה מאי שנא מנידה גמורה. </w:t>
      </w:r>
      <w:r>
        <w:rPr>
          <w:sz w:val="20"/>
          <w:szCs w:val="20"/>
          <w:rtl/>
        </w:rPr>
        <w:br/>
      </w:r>
      <w:r>
        <w:rPr>
          <w:sz w:val="20"/>
          <w:szCs w:val="20"/>
          <w:rtl/>
        </w:rPr>
        <w:br/>
      </w:r>
      <w:r>
        <w:rPr>
          <w:rFonts w:hint="cs"/>
          <w:sz w:val="20"/>
          <w:szCs w:val="20"/>
          <w:rtl/>
        </w:rPr>
        <w:t xml:space="preserve">ברם, הבנה זו שגויה, הרמב"ם התיר רק </w:t>
      </w:r>
      <w:r w:rsidRPr="00893B5D">
        <w:rPr>
          <w:rFonts w:hint="cs"/>
          <w:sz w:val="20"/>
          <w:szCs w:val="20"/>
          <w:u w:val="single"/>
          <w:rtl/>
        </w:rPr>
        <w:t>לשאת</w:t>
      </w:r>
      <w:r>
        <w:rPr>
          <w:rFonts w:hint="cs"/>
          <w:sz w:val="20"/>
          <w:szCs w:val="20"/>
          <w:rtl/>
        </w:rPr>
        <w:t xml:space="preserve"> אשה שלא שמרה ז' נקיים, בניגוד לנידה גמורה שהרמב"ם סובר שאין לכונסה לחופה</w:t>
      </w:r>
      <w:r>
        <w:rPr>
          <w:rStyle w:val="a5"/>
          <w:sz w:val="20"/>
          <w:szCs w:val="20"/>
          <w:rtl/>
        </w:rPr>
        <w:footnoteReference w:id="383"/>
      </w:r>
      <w:r>
        <w:rPr>
          <w:rFonts w:hint="cs"/>
          <w:sz w:val="20"/>
          <w:szCs w:val="20"/>
          <w:rtl/>
        </w:rPr>
        <w:t xml:space="preserve">, אך אפילו באשה שלא שמרה ז' נקיים אסור להתייחד עמה עד שתטהר. </w:t>
      </w:r>
      <w:r>
        <w:rPr>
          <w:rFonts w:hint="cs"/>
          <w:sz w:val="20"/>
          <w:szCs w:val="20"/>
          <w:rtl/>
        </w:rPr>
        <w:br/>
        <w:t xml:space="preserve">טעם החילוק </w:t>
      </w:r>
      <w:r>
        <w:rPr>
          <w:sz w:val="20"/>
          <w:szCs w:val="20"/>
          <w:rtl/>
        </w:rPr>
        <w:t>–</w:t>
      </w:r>
      <w:r>
        <w:rPr>
          <w:rFonts w:hint="cs"/>
          <w:sz w:val="20"/>
          <w:szCs w:val="20"/>
          <w:rtl/>
        </w:rPr>
        <w:t xml:space="preserve"> הסיבה שאין לשאת נידה אפילו אם ירצו לישן ע"י שמירה בלילה, היא משום שחששו חכמים שהחתן יחפש שעה שאין המשמרות שמות לב ויבוא לחטוא. לעומת זאת, באשה שאינה נידה גמורה אלא חשש נידה, הקלו לת"ח ולא חששו שיבוא לחטוא שזמן שהשומרים אינם מבחינים בכך.</w:t>
      </w:r>
      <w:r>
        <w:rPr>
          <w:rFonts w:hint="cs"/>
          <w:sz w:val="20"/>
          <w:szCs w:val="20"/>
          <w:rtl/>
        </w:rPr>
        <w:br/>
      </w:r>
      <w:r w:rsidRPr="00E963C5">
        <w:rPr>
          <w:rFonts w:hint="cs"/>
          <w:sz w:val="20"/>
          <w:szCs w:val="20"/>
          <w:u w:val="single"/>
          <w:rtl/>
        </w:rPr>
        <w:t>סיכום</w:t>
      </w:r>
      <w:r>
        <w:rPr>
          <w:rFonts w:hint="cs"/>
          <w:sz w:val="20"/>
          <w:szCs w:val="20"/>
          <w:rtl/>
        </w:rPr>
        <w:t xml:space="preserve"> </w:t>
      </w:r>
      <w:r>
        <w:rPr>
          <w:sz w:val="20"/>
          <w:szCs w:val="20"/>
          <w:rtl/>
        </w:rPr>
        <w:t>–</w:t>
      </w:r>
      <w:r>
        <w:rPr>
          <w:rFonts w:hint="cs"/>
          <w:sz w:val="20"/>
          <w:szCs w:val="20"/>
          <w:rtl/>
        </w:rPr>
        <w:t xml:space="preserve"> הקולא היחידה שיש לת"ח היא, שמותר לו לשאת אשה שלא שמרה ז' נקיים, אך אין לו להתייחד עמה.</w:t>
      </w:r>
    </w:p>
    <w:p w:rsidR="00620060" w:rsidRPr="00915691" w:rsidRDefault="00620060" w:rsidP="00620060">
      <w:pPr>
        <w:rPr>
          <w:sz w:val="20"/>
          <w:szCs w:val="20"/>
          <w:rtl/>
        </w:rPr>
      </w:pPr>
      <w:r>
        <w:rPr>
          <w:rFonts w:hint="cs"/>
          <w:b/>
          <w:bCs/>
          <w:sz w:val="20"/>
          <w:szCs w:val="20"/>
          <w:rtl/>
        </w:rPr>
        <w:t xml:space="preserve">דין אלמן </w:t>
      </w:r>
      <w:r>
        <w:rPr>
          <w:b/>
          <w:bCs/>
          <w:sz w:val="20"/>
          <w:szCs w:val="20"/>
          <w:rtl/>
        </w:rPr>
        <w:br/>
      </w:r>
      <w:r>
        <w:rPr>
          <w:rFonts w:hint="cs"/>
          <w:b/>
          <w:bCs/>
          <w:sz w:val="20"/>
          <w:szCs w:val="20"/>
          <w:rtl/>
        </w:rPr>
        <w:t xml:space="preserve">רמ"א </w:t>
      </w:r>
      <w:r>
        <w:rPr>
          <w:sz w:val="20"/>
          <w:szCs w:val="20"/>
          <w:rtl/>
        </w:rPr>
        <w:t>–</w:t>
      </w:r>
      <w:r>
        <w:rPr>
          <w:rFonts w:hint="cs"/>
          <w:sz w:val="20"/>
          <w:szCs w:val="20"/>
          <w:rtl/>
        </w:rPr>
        <w:t xml:space="preserve"> "</w:t>
      </w:r>
      <w:r w:rsidRPr="00915691">
        <w:rPr>
          <w:rFonts w:cs="Arial" w:hint="cs"/>
          <w:sz w:val="18"/>
          <w:szCs w:val="18"/>
          <w:rtl/>
        </w:rPr>
        <w:t>ואין</w:t>
      </w:r>
      <w:r w:rsidRPr="00915691">
        <w:rPr>
          <w:rFonts w:cs="Arial"/>
          <w:sz w:val="18"/>
          <w:szCs w:val="18"/>
          <w:rtl/>
        </w:rPr>
        <w:t xml:space="preserve"> </w:t>
      </w:r>
      <w:r w:rsidRPr="00915691">
        <w:rPr>
          <w:rFonts w:cs="Arial" w:hint="cs"/>
          <w:sz w:val="18"/>
          <w:szCs w:val="18"/>
          <w:rtl/>
        </w:rPr>
        <w:t>לחלק</w:t>
      </w:r>
      <w:r w:rsidRPr="00915691">
        <w:rPr>
          <w:rFonts w:cs="Arial"/>
          <w:sz w:val="18"/>
          <w:szCs w:val="18"/>
          <w:rtl/>
        </w:rPr>
        <w:t xml:space="preserve"> </w:t>
      </w:r>
      <w:r w:rsidRPr="00915691">
        <w:rPr>
          <w:rFonts w:cs="Arial" w:hint="cs"/>
          <w:sz w:val="18"/>
          <w:szCs w:val="18"/>
          <w:rtl/>
        </w:rPr>
        <w:t>בזה</w:t>
      </w:r>
      <w:r w:rsidRPr="00915691">
        <w:rPr>
          <w:rFonts w:cs="Arial"/>
          <w:sz w:val="18"/>
          <w:szCs w:val="18"/>
          <w:rtl/>
        </w:rPr>
        <w:t xml:space="preserve"> </w:t>
      </w:r>
      <w:r w:rsidRPr="00915691">
        <w:rPr>
          <w:rFonts w:cs="Arial" w:hint="cs"/>
          <w:sz w:val="18"/>
          <w:szCs w:val="18"/>
          <w:rtl/>
        </w:rPr>
        <w:t>בין</w:t>
      </w:r>
      <w:r w:rsidRPr="00915691">
        <w:rPr>
          <w:rFonts w:cs="Arial"/>
          <w:sz w:val="18"/>
          <w:szCs w:val="18"/>
          <w:rtl/>
        </w:rPr>
        <w:t xml:space="preserve"> </w:t>
      </w:r>
      <w:r w:rsidRPr="00915691">
        <w:rPr>
          <w:rFonts w:cs="Arial" w:hint="cs"/>
          <w:sz w:val="18"/>
          <w:szCs w:val="18"/>
          <w:rtl/>
        </w:rPr>
        <w:t>בחור</w:t>
      </w:r>
      <w:r w:rsidRPr="00915691">
        <w:rPr>
          <w:rFonts w:cs="Arial"/>
          <w:sz w:val="18"/>
          <w:szCs w:val="18"/>
          <w:rtl/>
        </w:rPr>
        <w:t xml:space="preserve"> </w:t>
      </w:r>
      <w:r w:rsidRPr="00915691">
        <w:rPr>
          <w:rFonts w:cs="Arial" w:hint="cs"/>
          <w:sz w:val="18"/>
          <w:szCs w:val="18"/>
          <w:rtl/>
        </w:rPr>
        <w:t>לאלמן</w:t>
      </w:r>
      <w:r>
        <w:rPr>
          <w:rFonts w:cs="Arial" w:hint="cs"/>
          <w:sz w:val="18"/>
          <w:szCs w:val="18"/>
          <w:rtl/>
        </w:rPr>
        <w:t>".</w:t>
      </w:r>
      <w:r>
        <w:rPr>
          <w:sz w:val="20"/>
          <w:szCs w:val="20"/>
          <w:rtl/>
        </w:rPr>
        <w:br/>
      </w:r>
      <w:r>
        <w:rPr>
          <w:rFonts w:hint="cs"/>
          <w:sz w:val="20"/>
          <w:szCs w:val="20"/>
          <w:rtl/>
        </w:rPr>
        <w:br/>
      </w:r>
      <w:r>
        <w:rPr>
          <w:rFonts w:hint="cs"/>
          <w:sz w:val="20"/>
          <w:szCs w:val="20"/>
          <w:u w:val="single"/>
          <w:rtl/>
        </w:rPr>
        <w:t>הסבר</w:t>
      </w:r>
      <w:r>
        <w:rPr>
          <w:sz w:val="20"/>
          <w:szCs w:val="20"/>
          <w:u w:val="single"/>
          <w:rtl/>
        </w:rPr>
        <w:br/>
      </w:r>
      <w:r>
        <w:rPr>
          <w:rFonts w:hint="cs"/>
          <w:sz w:val="20"/>
          <w:szCs w:val="20"/>
          <w:rtl/>
        </w:rPr>
        <w:t xml:space="preserve">אין לחלק בין בחור לאלמן </w:t>
      </w:r>
      <w:r>
        <w:rPr>
          <w:sz w:val="20"/>
          <w:szCs w:val="20"/>
          <w:rtl/>
        </w:rPr>
        <w:t>–</w:t>
      </w:r>
      <w:r>
        <w:rPr>
          <w:rFonts w:hint="cs"/>
          <w:sz w:val="20"/>
          <w:szCs w:val="20"/>
          <w:rtl/>
        </w:rPr>
        <w:t xml:space="preserve"> שלא תאמר שבאלמן לא נוהג דין זה משום שלא תקיף יצריה ומותר להתייחד עמה למרות שפירסה נידה, קמ"ל.</w:t>
      </w:r>
      <w:r>
        <w:rPr>
          <w:sz w:val="20"/>
          <w:szCs w:val="20"/>
          <w:rtl/>
        </w:rPr>
        <w:br/>
      </w:r>
      <w:r>
        <w:rPr>
          <w:rFonts w:hint="cs"/>
          <w:sz w:val="20"/>
          <w:szCs w:val="20"/>
          <w:rtl/>
        </w:rPr>
        <w:br/>
      </w:r>
      <w:r>
        <w:rPr>
          <w:rFonts w:hint="cs"/>
          <w:b/>
          <w:bCs/>
          <w:sz w:val="20"/>
          <w:szCs w:val="20"/>
          <w:rtl/>
        </w:rPr>
        <w:t>דין בתולה</w:t>
      </w:r>
      <w:r>
        <w:rPr>
          <w:sz w:val="20"/>
          <w:szCs w:val="20"/>
          <w:rtl/>
        </w:rPr>
        <w:br/>
      </w:r>
      <w:r>
        <w:rPr>
          <w:rFonts w:hint="cs"/>
          <w:sz w:val="20"/>
          <w:szCs w:val="20"/>
          <w:u w:val="single"/>
          <w:rtl/>
        </w:rPr>
        <w:lastRenderedPageBreak/>
        <w:t>שיטות הראשונים</w:t>
      </w:r>
      <w:r>
        <w:rPr>
          <w:b/>
          <w:bCs/>
          <w:sz w:val="18"/>
          <w:szCs w:val="18"/>
          <w:rtl/>
        </w:rPr>
        <w:br/>
      </w:r>
      <w:r>
        <w:rPr>
          <w:rFonts w:hint="cs"/>
          <w:sz w:val="20"/>
          <w:szCs w:val="20"/>
          <w:rtl/>
        </w:rPr>
        <w:t xml:space="preserve">א. </w:t>
      </w:r>
      <w:r w:rsidRPr="0066556C">
        <w:rPr>
          <w:rFonts w:hint="cs"/>
          <w:b/>
          <w:bCs/>
          <w:sz w:val="20"/>
          <w:szCs w:val="20"/>
          <w:rtl/>
        </w:rPr>
        <w:t>רמ"ה</w:t>
      </w:r>
      <w:r w:rsidRPr="0066556C">
        <w:rPr>
          <w:rFonts w:hint="cs"/>
          <w:sz w:val="20"/>
          <w:szCs w:val="20"/>
          <w:rtl/>
        </w:rPr>
        <w:t xml:space="preserve"> </w:t>
      </w:r>
      <w:r w:rsidRPr="0066556C">
        <w:rPr>
          <w:sz w:val="20"/>
          <w:szCs w:val="20"/>
          <w:rtl/>
        </w:rPr>
        <w:t>–</w:t>
      </w:r>
      <w:r w:rsidRPr="0066556C">
        <w:rPr>
          <w:rFonts w:hint="cs"/>
          <w:sz w:val="20"/>
          <w:szCs w:val="20"/>
          <w:rtl/>
        </w:rPr>
        <w:t xml:space="preserve"> כל הבועל בתולה, אסור לו לישון עמה ביחד אלא הוא ישן בין האנשים והיא ישנה בין הנשים. </w:t>
      </w:r>
      <w:r w:rsidRPr="0066556C">
        <w:rPr>
          <w:sz w:val="20"/>
          <w:szCs w:val="20"/>
          <w:rtl/>
        </w:rPr>
        <w:br/>
      </w:r>
      <w:r w:rsidRPr="0066556C">
        <w:rPr>
          <w:rFonts w:hint="cs"/>
          <w:b/>
          <w:bCs/>
          <w:sz w:val="20"/>
          <w:szCs w:val="20"/>
          <w:rtl/>
        </w:rPr>
        <w:t>טעם</w:t>
      </w:r>
      <w:r w:rsidRPr="0066556C">
        <w:rPr>
          <w:rFonts w:hint="cs"/>
          <w:sz w:val="20"/>
          <w:szCs w:val="20"/>
          <w:rtl/>
        </w:rPr>
        <w:t xml:space="preserve"> </w:t>
      </w:r>
      <w:r w:rsidRPr="0066556C">
        <w:rPr>
          <w:sz w:val="20"/>
          <w:szCs w:val="20"/>
          <w:rtl/>
        </w:rPr>
        <w:t>–</w:t>
      </w:r>
      <w:r w:rsidRPr="0066556C">
        <w:rPr>
          <w:rFonts w:hint="cs"/>
          <w:sz w:val="20"/>
          <w:szCs w:val="20"/>
          <w:rtl/>
        </w:rPr>
        <w:t xml:space="preserve"> </w:t>
      </w:r>
      <w:r>
        <w:rPr>
          <w:rFonts w:hint="cs"/>
          <w:sz w:val="20"/>
          <w:szCs w:val="20"/>
          <w:rtl/>
        </w:rPr>
        <w:t>לאחר הביאה אסורה עליו מחמת דם בתולים, ו</w:t>
      </w:r>
      <w:r w:rsidRPr="0066556C">
        <w:rPr>
          <w:rFonts w:hint="cs"/>
          <w:sz w:val="20"/>
          <w:szCs w:val="20"/>
          <w:rtl/>
        </w:rPr>
        <w:t>מכיוון שה</w:t>
      </w:r>
      <w:r>
        <w:rPr>
          <w:rFonts w:hint="cs"/>
          <w:sz w:val="20"/>
          <w:szCs w:val="20"/>
          <w:rtl/>
        </w:rPr>
        <w:t>תירו</w:t>
      </w:r>
      <w:r w:rsidRPr="0066556C">
        <w:rPr>
          <w:rFonts w:hint="cs"/>
          <w:sz w:val="20"/>
          <w:szCs w:val="20"/>
          <w:rtl/>
        </w:rPr>
        <w:t xml:space="preserve"> לו חכמים לגמור את הביאה כדרכו באבר חי, חששו שמא יבוא לזלזל בדין זה ולכן החמירו עליו כנ"ל.</w:t>
      </w:r>
      <w:r w:rsidRPr="0066556C">
        <w:rPr>
          <w:sz w:val="20"/>
          <w:szCs w:val="20"/>
          <w:rtl/>
        </w:rPr>
        <w:br/>
      </w:r>
      <w:r>
        <w:rPr>
          <w:rFonts w:hint="cs"/>
          <w:sz w:val="20"/>
          <w:szCs w:val="20"/>
          <w:rtl/>
        </w:rPr>
        <w:t xml:space="preserve">ב. </w:t>
      </w:r>
      <w:r w:rsidRPr="0066556C">
        <w:rPr>
          <w:rFonts w:hint="cs"/>
          <w:b/>
          <w:bCs/>
          <w:sz w:val="20"/>
          <w:szCs w:val="20"/>
          <w:rtl/>
        </w:rPr>
        <w:t>רא"ש</w:t>
      </w:r>
      <w:r>
        <w:rPr>
          <w:rFonts w:hint="cs"/>
          <w:b/>
          <w:bCs/>
          <w:sz w:val="20"/>
          <w:szCs w:val="20"/>
          <w:rtl/>
        </w:rPr>
        <w:t xml:space="preserve"> </w:t>
      </w:r>
      <w:r w:rsidRPr="0066556C">
        <w:rPr>
          <w:rFonts w:hint="cs"/>
          <w:sz w:val="20"/>
          <w:szCs w:val="20"/>
          <w:rtl/>
        </w:rPr>
        <w:t xml:space="preserve">- אין מקום לדין זה, אלא מותר לו לישון עמה יחד לאחר שבא עליה, </w:t>
      </w:r>
      <w:r>
        <w:rPr>
          <w:rFonts w:hint="cs"/>
          <w:sz w:val="20"/>
          <w:szCs w:val="20"/>
          <w:rtl/>
        </w:rPr>
        <w:t xml:space="preserve">וכ"פ </w:t>
      </w:r>
      <w:r w:rsidRPr="0066556C">
        <w:rPr>
          <w:rFonts w:hint="cs"/>
          <w:b/>
          <w:bCs/>
          <w:sz w:val="20"/>
          <w:szCs w:val="20"/>
          <w:rtl/>
        </w:rPr>
        <w:t>הב"י והרמ"א</w:t>
      </w:r>
      <w:r w:rsidRPr="0066556C">
        <w:rPr>
          <w:rFonts w:hint="cs"/>
          <w:sz w:val="20"/>
          <w:szCs w:val="20"/>
          <w:rtl/>
        </w:rPr>
        <w:t>.</w:t>
      </w:r>
      <w:r>
        <w:rPr>
          <w:sz w:val="20"/>
          <w:szCs w:val="20"/>
          <w:rtl/>
        </w:rPr>
        <w:br/>
      </w:r>
      <w:r>
        <w:rPr>
          <w:rFonts w:hint="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רמ"א </w:t>
      </w:r>
      <w:r w:rsidRPr="003E4D10">
        <w:rPr>
          <w:sz w:val="18"/>
          <w:szCs w:val="18"/>
          <w:rtl/>
        </w:rPr>
        <w:t>–</w:t>
      </w:r>
      <w:r w:rsidRPr="003E4D10">
        <w:rPr>
          <w:rFonts w:hint="cs"/>
          <w:sz w:val="18"/>
          <w:szCs w:val="18"/>
          <w:rtl/>
        </w:rPr>
        <w:t xml:space="preserve"> "ואין לחלק בזה בין</w:t>
      </w:r>
      <w:r w:rsidRPr="003E4D10">
        <w:rPr>
          <w:rFonts w:cs="Arial"/>
          <w:sz w:val="18"/>
          <w:szCs w:val="18"/>
          <w:rtl/>
        </w:rPr>
        <w:t xml:space="preserve"> </w:t>
      </w:r>
      <w:r w:rsidRPr="003E4D10">
        <w:rPr>
          <w:rFonts w:cs="Arial" w:hint="cs"/>
          <w:sz w:val="18"/>
          <w:szCs w:val="18"/>
          <w:rtl/>
        </w:rPr>
        <w:t>בתולה</w:t>
      </w:r>
      <w:r w:rsidRPr="003E4D10">
        <w:rPr>
          <w:rFonts w:cs="Arial"/>
          <w:sz w:val="18"/>
          <w:szCs w:val="18"/>
          <w:rtl/>
        </w:rPr>
        <w:t xml:space="preserve"> </w:t>
      </w:r>
      <w:r w:rsidRPr="003E4D10">
        <w:rPr>
          <w:rFonts w:cs="Arial" w:hint="cs"/>
          <w:sz w:val="18"/>
          <w:szCs w:val="18"/>
          <w:rtl/>
        </w:rPr>
        <w:t>לאלמנה".</w:t>
      </w:r>
    </w:p>
    <w:p w:rsidR="00620060" w:rsidRDefault="00620060" w:rsidP="00620060">
      <w:pPr>
        <w:rPr>
          <w:b/>
          <w:bCs/>
          <w:sz w:val="20"/>
          <w:szCs w:val="20"/>
          <w:rtl/>
        </w:rPr>
      </w:pPr>
      <w:r w:rsidRPr="0066556C">
        <w:rPr>
          <w:rFonts w:hint="cs"/>
          <w:sz w:val="20"/>
          <w:szCs w:val="20"/>
          <w:u w:val="single"/>
          <w:rtl/>
        </w:rPr>
        <w:t>הסבר</w:t>
      </w:r>
      <w:r>
        <w:rPr>
          <w:rFonts w:hint="cs"/>
          <w:sz w:val="20"/>
          <w:szCs w:val="20"/>
          <w:rtl/>
        </w:rPr>
        <w:br/>
        <w:t xml:space="preserve">אין לחלק בין בתולה לאלמנה </w:t>
      </w:r>
      <w:r>
        <w:rPr>
          <w:sz w:val="20"/>
          <w:szCs w:val="20"/>
          <w:rtl/>
        </w:rPr>
        <w:t>–</w:t>
      </w:r>
      <w:r>
        <w:rPr>
          <w:rFonts w:hint="cs"/>
          <w:sz w:val="20"/>
          <w:szCs w:val="20"/>
          <w:rtl/>
        </w:rPr>
        <w:t xml:space="preserve"> כפי שבאלמנה מותר לייחד לאחר שבעל, כך מותר להתייחד עם בתולה לאחר שבעל ואין לומר שאסורים להתייחד מחמת דם בתולים שאוסר אותה עליו עד שתטבול.</w:t>
      </w:r>
    </w:p>
    <w:p w:rsidR="00620060" w:rsidRDefault="00620060" w:rsidP="00620060">
      <w:pPr>
        <w:rPr>
          <w:sz w:val="20"/>
          <w:szCs w:val="20"/>
          <w:rtl/>
        </w:rPr>
      </w:pPr>
      <w:r>
        <w:rPr>
          <w:rFonts w:hint="cs"/>
          <w:b/>
          <w:bCs/>
          <w:sz w:val="20"/>
          <w:szCs w:val="20"/>
          <w:rtl/>
        </w:rPr>
        <w:t>פירסה נידה לאחר כמה לילות שלא בא עליה</w:t>
      </w:r>
      <w:r>
        <w:rPr>
          <w:b/>
          <w:bCs/>
          <w:sz w:val="20"/>
          <w:szCs w:val="20"/>
          <w:rtl/>
        </w:rPr>
        <w:br/>
      </w:r>
      <w:r>
        <w:rPr>
          <w:rFonts w:hint="cs"/>
          <w:b/>
          <w:bCs/>
          <w:sz w:val="20"/>
          <w:szCs w:val="20"/>
          <w:rtl/>
        </w:rPr>
        <w:t xml:space="preserve">תרומת הדשן </w:t>
      </w:r>
      <w:r>
        <w:rPr>
          <w:sz w:val="20"/>
          <w:szCs w:val="20"/>
          <w:rtl/>
        </w:rPr>
        <w:t>–</w:t>
      </w:r>
      <w:r>
        <w:rPr>
          <w:rFonts w:hint="cs"/>
          <w:sz w:val="20"/>
          <w:szCs w:val="20"/>
          <w:rtl/>
        </w:rPr>
        <w:t xml:space="preserve"> שאלה: בחור כנס בתולה ולא בא עליה ולאחר כמה לילות פירסה נידה, האם מותרים להתייחד ללא שמירה?</w:t>
      </w:r>
      <w:r>
        <w:rPr>
          <w:rFonts w:hint="cs"/>
          <w:sz w:val="20"/>
          <w:szCs w:val="20"/>
          <w:rtl/>
        </w:rPr>
        <w:br/>
        <w:t>תשובה: א. יש מרבותינו שאסרו זאת.</w:t>
      </w:r>
      <w:r>
        <w:rPr>
          <w:sz w:val="20"/>
          <w:szCs w:val="20"/>
          <w:rtl/>
        </w:rPr>
        <w:br/>
      </w:r>
      <w:r w:rsidRPr="0065510C">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כך משמע בגמרא, שכל שלא בעל תקיף יצריה ואסור לו להתייחד עמה ללא שמירה.</w:t>
      </w:r>
      <w:r>
        <w:rPr>
          <w:sz w:val="20"/>
          <w:szCs w:val="20"/>
          <w:rtl/>
        </w:rPr>
        <w:br/>
      </w:r>
      <w:r>
        <w:rPr>
          <w:rFonts w:hint="cs"/>
          <w:sz w:val="20"/>
          <w:szCs w:val="20"/>
          <w:rtl/>
        </w:rPr>
        <w:t xml:space="preserve">ב. אמנם, יש מרבותינו שהתירו זאת וכן נראה לדינא, וכ"פ </w:t>
      </w:r>
      <w:r w:rsidRPr="0065510C">
        <w:rPr>
          <w:rFonts w:hint="cs"/>
          <w:b/>
          <w:bCs/>
          <w:sz w:val="20"/>
          <w:szCs w:val="20"/>
          <w:rtl/>
        </w:rPr>
        <w:t>הרמ"א</w:t>
      </w:r>
      <w:r>
        <w:rPr>
          <w:rFonts w:hint="cs"/>
          <w:sz w:val="20"/>
          <w:szCs w:val="20"/>
          <w:rtl/>
        </w:rPr>
        <w:t xml:space="preserve"> לעיקר הדין.</w:t>
      </w:r>
      <w:r>
        <w:rPr>
          <w:sz w:val="20"/>
          <w:szCs w:val="20"/>
          <w:rtl/>
        </w:rPr>
        <w:br/>
      </w:r>
      <w:r w:rsidRPr="0065510C">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הדין בגמרא נאמר לגבי מי שהיתה נידה בתחילה</w:t>
      </w:r>
      <w:r>
        <w:rPr>
          <w:rStyle w:val="a5"/>
          <w:sz w:val="20"/>
          <w:szCs w:val="20"/>
          <w:rtl/>
        </w:rPr>
        <w:footnoteReference w:id="384"/>
      </w:r>
      <w:r>
        <w:rPr>
          <w:rFonts w:hint="cs"/>
          <w:sz w:val="20"/>
          <w:szCs w:val="20"/>
          <w:rtl/>
        </w:rPr>
        <w:t xml:space="preserve"> ולכן חוששים שמא תקיף יצריה ועלול לחטוא, אך כאן חזינן שלא תקיף יצריה ועד עתה לא בעל, לכן מותר לו להתייחד עמה.</w:t>
      </w:r>
      <w:r>
        <w:rPr>
          <w:rFonts w:hint="cs"/>
          <w:sz w:val="20"/>
          <w:szCs w:val="20"/>
          <w:rtl/>
        </w:rPr>
        <w:br/>
      </w:r>
      <w:r w:rsidRPr="00E56026">
        <w:rPr>
          <w:rFonts w:hint="cs"/>
          <w:b/>
          <w:bCs/>
          <w:sz w:val="20"/>
          <w:szCs w:val="20"/>
          <w:rtl/>
        </w:rPr>
        <w:t xml:space="preserve">ראיה </w:t>
      </w:r>
      <w:r>
        <w:rPr>
          <w:sz w:val="20"/>
          <w:szCs w:val="20"/>
          <w:rtl/>
        </w:rPr>
        <w:t>–</w:t>
      </w:r>
      <w:r>
        <w:rPr>
          <w:rFonts w:hint="cs"/>
          <w:sz w:val="20"/>
          <w:szCs w:val="20"/>
          <w:rtl/>
        </w:rPr>
        <w:t xml:space="preserve"> שור נעשה מועד בג' פעמים שנגח, ואם לאחר מכן ראה שוורים ג' פעמים ולא נגח, חזר לתמותו.</w:t>
      </w:r>
      <w:r>
        <w:rPr>
          <w:sz w:val="20"/>
          <w:szCs w:val="20"/>
          <w:rtl/>
        </w:rPr>
        <w:br/>
      </w:r>
      <w:r>
        <w:rPr>
          <w:rFonts w:hint="cs"/>
          <w:sz w:val="20"/>
          <w:szCs w:val="20"/>
          <w:rtl/>
        </w:rPr>
        <w:t>טעם הדין הוא, משום שאע"פ שמעיקרא תקיף עליו יצרו, מכל מקום חזינן השתא שיצרו נח ואיננו אומרים שזו מנוחה זמנית ועלול להתעורר שוב יצר הנגיחה. הוא הדין כאן, לאחר שראינו שיצרו של החתן נח איננו אומרים שמא יתעורר ויתגבר עליו בהמשך.</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רמ"א </w:t>
      </w:r>
      <w:r w:rsidRPr="00F41630">
        <w:rPr>
          <w:sz w:val="18"/>
          <w:szCs w:val="18"/>
          <w:rtl/>
        </w:rPr>
        <w:t>–</w:t>
      </w:r>
      <w:r w:rsidRPr="00F41630">
        <w:rPr>
          <w:rFonts w:hint="cs"/>
          <w:sz w:val="18"/>
          <w:szCs w:val="18"/>
          <w:rtl/>
        </w:rPr>
        <w:t xml:space="preserve"> "</w:t>
      </w:r>
      <w:r w:rsidRPr="00F41630">
        <w:rPr>
          <w:rFonts w:cs="Arial" w:hint="cs"/>
          <w:sz w:val="18"/>
          <w:szCs w:val="18"/>
          <w:rtl/>
        </w:rPr>
        <w:t>יש</w:t>
      </w:r>
      <w:r w:rsidRPr="00F41630">
        <w:rPr>
          <w:rFonts w:cs="Arial"/>
          <w:sz w:val="18"/>
          <w:szCs w:val="18"/>
          <w:rtl/>
        </w:rPr>
        <w:t xml:space="preserve"> </w:t>
      </w:r>
      <w:r w:rsidRPr="00F41630">
        <w:rPr>
          <w:rFonts w:cs="Arial" w:hint="cs"/>
          <w:sz w:val="18"/>
          <w:szCs w:val="18"/>
          <w:rtl/>
        </w:rPr>
        <w:t>אומרים</w:t>
      </w:r>
      <w:r w:rsidRPr="00F41630">
        <w:rPr>
          <w:rFonts w:cs="Arial"/>
          <w:sz w:val="18"/>
          <w:szCs w:val="18"/>
          <w:rtl/>
        </w:rPr>
        <w:t xml:space="preserve"> </w:t>
      </w:r>
      <w:r w:rsidRPr="00F41630">
        <w:rPr>
          <w:rFonts w:cs="Arial" w:hint="cs"/>
          <w:sz w:val="18"/>
          <w:szCs w:val="18"/>
          <w:rtl/>
        </w:rPr>
        <w:t>אם</w:t>
      </w:r>
      <w:r w:rsidRPr="00F41630">
        <w:rPr>
          <w:rFonts w:cs="Arial"/>
          <w:sz w:val="18"/>
          <w:szCs w:val="18"/>
          <w:rtl/>
        </w:rPr>
        <w:t xml:space="preserve"> </w:t>
      </w:r>
      <w:r w:rsidRPr="00F41630">
        <w:rPr>
          <w:rFonts w:cs="Arial" w:hint="cs"/>
          <w:sz w:val="18"/>
          <w:szCs w:val="18"/>
          <w:rtl/>
        </w:rPr>
        <w:t>היתה</w:t>
      </w:r>
      <w:r w:rsidRPr="00F41630">
        <w:rPr>
          <w:rFonts w:cs="Arial"/>
          <w:sz w:val="18"/>
          <w:szCs w:val="18"/>
          <w:rtl/>
        </w:rPr>
        <w:t xml:space="preserve"> </w:t>
      </w:r>
      <w:r w:rsidRPr="00F41630">
        <w:rPr>
          <w:rFonts w:cs="Arial" w:hint="cs"/>
          <w:sz w:val="18"/>
          <w:szCs w:val="18"/>
          <w:rtl/>
        </w:rPr>
        <w:t>טהורה</w:t>
      </w:r>
      <w:r w:rsidRPr="00F41630">
        <w:rPr>
          <w:rFonts w:cs="Arial"/>
          <w:sz w:val="18"/>
          <w:szCs w:val="18"/>
          <w:rtl/>
        </w:rPr>
        <w:t xml:space="preserve"> </w:t>
      </w:r>
      <w:r w:rsidRPr="00F41630">
        <w:rPr>
          <w:rFonts w:cs="Arial" w:hint="cs"/>
          <w:sz w:val="18"/>
          <w:szCs w:val="18"/>
          <w:rtl/>
        </w:rPr>
        <w:t>כשנשאת</w:t>
      </w:r>
      <w:r w:rsidRPr="00F41630">
        <w:rPr>
          <w:rFonts w:cs="Arial"/>
          <w:sz w:val="18"/>
          <w:szCs w:val="18"/>
          <w:rtl/>
        </w:rPr>
        <w:t xml:space="preserve"> </w:t>
      </w:r>
      <w:r w:rsidRPr="00F41630">
        <w:rPr>
          <w:rFonts w:cs="Arial" w:hint="cs"/>
          <w:sz w:val="18"/>
          <w:szCs w:val="18"/>
          <w:rtl/>
        </w:rPr>
        <w:t>ולא</w:t>
      </w:r>
      <w:r w:rsidRPr="00F41630">
        <w:rPr>
          <w:rFonts w:cs="Arial"/>
          <w:sz w:val="18"/>
          <w:szCs w:val="18"/>
          <w:rtl/>
        </w:rPr>
        <w:t xml:space="preserve"> </w:t>
      </w:r>
      <w:r w:rsidRPr="00F41630">
        <w:rPr>
          <w:rFonts w:cs="Arial" w:hint="cs"/>
          <w:sz w:val="18"/>
          <w:szCs w:val="18"/>
          <w:rtl/>
        </w:rPr>
        <w:t>בא</w:t>
      </w:r>
      <w:r w:rsidRPr="00F41630">
        <w:rPr>
          <w:rFonts w:cs="Arial"/>
          <w:sz w:val="18"/>
          <w:szCs w:val="18"/>
          <w:rtl/>
        </w:rPr>
        <w:t xml:space="preserve"> </w:t>
      </w:r>
      <w:r w:rsidRPr="00F41630">
        <w:rPr>
          <w:rFonts w:cs="Arial" w:hint="cs"/>
          <w:sz w:val="18"/>
          <w:szCs w:val="18"/>
          <w:rtl/>
        </w:rPr>
        <w:t>עליה</w:t>
      </w:r>
      <w:r w:rsidRPr="00F41630">
        <w:rPr>
          <w:rFonts w:cs="Arial"/>
          <w:sz w:val="18"/>
          <w:szCs w:val="18"/>
          <w:rtl/>
        </w:rPr>
        <w:t xml:space="preserve">, </w:t>
      </w:r>
      <w:r w:rsidRPr="00F41630">
        <w:rPr>
          <w:rFonts w:cs="Arial" w:hint="cs"/>
          <w:sz w:val="18"/>
          <w:szCs w:val="18"/>
          <w:rtl/>
        </w:rPr>
        <w:t>ופירסה</w:t>
      </w:r>
      <w:r w:rsidRPr="00F41630">
        <w:rPr>
          <w:rFonts w:cs="Arial"/>
          <w:sz w:val="18"/>
          <w:szCs w:val="18"/>
          <w:rtl/>
        </w:rPr>
        <w:t xml:space="preserve"> </w:t>
      </w:r>
      <w:r w:rsidRPr="00F41630">
        <w:rPr>
          <w:rFonts w:cs="Arial" w:hint="cs"/>
          <w:sz w:val="18"/>
          <w:szCs w:val="18"/>
          <w:rtl/>
        </w:rPr>
        <w:t>נדה</w:t>
      </w:r>
      <w:r w:rsidRPr="00F41630">
        <w:rPr>
          <w:rFonts w:cs="Arial"/>
          <w:sz w:val="18"/>
          <w:szCs w:val="18"/>
          <w:rtl/>
        </w:rPr>
        <w:t xml:space="preserve"> </w:t>
      </w:r>
      <w:r w:rsidRPr="00F41630">
        <w:rPr>
          <w:rFonts w:cs="Arial" w:hint="cs"/>
          <w:sz w:val="18"/>
          <w:szCs w:val="18"/>
          <w:rtl/>
        </w:rPr>
        <w:t>אחר</w:t>
      </w:r>
      <w:r w:rsidRPr="00F41630">
        <w:rPr>
          <w:rFonts w:cs="Arial"/>
          <w:sz w:val="18"/>
          <w:szCs w:val="18"/>
          <w:rtl/>
        </w:rPr>
        <w:t xml:space="preserve"> </w:t>
      </w:r>
      <w:r w:rsidRPr="00F41630">
        <w:rPr>
          <w:rFonts w:cs="Arial" w:hint="cs"/>
          <w:sz w:val="18"/>
          <w:szCs w:val="18"/>
          <w:rtl/>
        </w:rPr>
        <w:t>כך</w:t>
      </w:r>
      <w:r w:rsidRPr="00F41630">
        <w:rPr>
          <w:rFonts w:cs="Arial"/>
          <w:sz w:val="18"/>
          <w:szCs w:val="18"/>
          <w:rtl/>
        </w:rPr>
        <w:t xml:space="preserve">, </w:t>
      </w:r>
      <w:r w:rsidRPr="00F41630">
        <w:rPr>
          <w:rFonts w:cs="Arial" w:hint="cs"/>
          <w:sz w:val="18"/>
          <w:szCs w:val="18"/>
          <w:rtl/>
        </w:rPr>
        <w:t>אינה צריכה</w:t>
      </w:r>
      <w:r w:rsidRPr="00F41630">
        <w:rPr>
          <w:rFonts w:cs="Arial"/>
          <w:sz w:val="18"/>
          <w:szCs w:val="18"/>
          <w:rtl/>
        </w:rPr>
        <w:t xml:space="preserve"> </w:t>
      </w:r>
      <w:r w:rsidRPr="00F41630">
        <w:rPr>
          <w:rFonts w:cs="Arial" w:hint="cs"/>
          <w:sz w:val="18"/>
          <w:szCs w:val="18"/>
          <w:rtl/>
        </w:rPr>
        <w:t>שימור</w:t>
      </w:r>
      <w:r w:rsidRPr="00F41630">
        <w:rPr>
          <w:rFonts w:cs="Arial"/>
          <w:sz w:val="18"/>
          <w:szCs w:val="18"/>
          <w:rtl/>
        </w:rPr>
        <w:t xml:space="preserve"> </w:t>
      </w:r>
      <w:r w:rsidRPr="00F41630">
        <w:rPr>
          <w:rFonts w:cs="Arial" w:hint="cs"/>
          <w:sz w:val="18"/>
          <w:szCs w:val="18"/>
          <w:rtl/>
        </w:rPr>
        <w:t>עוד</w:t>
      </w:r>
      <w:r w:rsidRPr="00F41630">
        <w:rPr>
          <w:rFonts w:cs="Arial"/>
          <w:sz w:val="18"/>
          <w:szCs w:val="18"/>
          <w:rtl/>
        </w:rPr>
        <w:t xml:space="preserve">, </w:t>
      </w:r>
      <w:r w:rsidRPr="00F41630">
        <w:rPr>
          <w:rFonts w:cs="Arial" w:hint="cs"/>
          <w:sz w:val="18"/>
          <w:szCs w:val="18"/>
          <w:rtl/>
        </w:rPr>
        <w:t>והמחמיר</w:t>
      </w:r>
      <w:r w:rsidRPr="00F41630">
        <w:rPr>
          <w:rFonts w:cs="Arial"/>
          <w:sz w:val="18"/>
          <w:szCs w:val="18"/>
          <w:rtl/>
        </w:rPr>
        <w:t xml:space="preserve"> </w:t>
      </w:r>
      <w:r w:rsidRPr="00F41630">
        <w:rPr>
          <w:rFonts w:cs="Arial" w:hint="cs"/>
          <w:sz w:val="18"/>
          <w:szCs w:val="18"/>
          <w:rtl/>
        </w:rPr>
        <w:t>תבוא עליו ברכה".</w:t>
      </w:r>
      <w:r>
        <w:rPr>
          <w:rFonts w:hint="cs"/>
          <w:sz w:val="20"/>
          <w:szCs w:val="20"/>
          <w:rtl/>
        </w:rPr>
        <w:br/>
      </w:r>
      <w:r w:rsidRPr="00FF3C54">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בימינו המנהג להמתין לאחר החופה ולבעול רק כעבור כמה ימים, לכן אם פירסה נידה צריכים שמירה, ואין לומר שהעמיד את עצמו עד עתה ואינו צריך שמירה, משום שהעמיד עצמו רק מחמת המנהג. </w:t>
      </w:r>
      <w:r w:rsidRPr="005C04BA">
        <w:rPr>
          <w:rFonts w:hint="cs"/>
          <w:sz w:val="18"/>
          <w:szCs w:val="18"/>
          <w:rtl/>
        </w:rPr>
        <w:t xml:space="preserve">(אמנם, הש"ך התרעם על מנהג זה ואומר שיש לבטלו משום שהוא מנהג של שטות ויש בו איסור מכמה טעמים). </w:t>
      </w:r>
      <w:r>
        <w:rPr>
          <w:sz w:val="20"/>
          <w:szCs w:val="20"/>
          <w:rtl/>
        </w:rPr>
        <w:br/>
      </w:r>
      <w:r>
        <w:rPr>
          <w:rFonts w:hint="cs"/>
          <w:sz w:val="20"/>
          <w:szCs w:val="20"/>
          <w:rtl/>
        </w:rPr>
        <w:br/>
      </w:r>
      <w:r>
        <w:rPr>
          <w:rFonts w:hint="cs"/>
          <w:sz w:val="20"/>
          <w:szCs w:val="20"/>
          <w:u w:val="single"/>
          <w:rtl/>
        </w:rPr>
        <w:t>דיון בדברי תרומת הדשן</w:t>
      </w:r>
      <w:r>
        <w:rPr>
          <w:sz w:val="20"/>
          <w:szCs w:val="20"/>
          <w:u w:val="single"/>
          <w:rtl/>
        </w:rPr>
        <w:br/>
      </w:r>
      <w:r>
        <w:rPr>
          <w:rFonts w:hint="cs"/>
          <w:sz w:val="20"/>
          <w:szCs w:val="20"/>
          <w:rtl/>
        </w:rPr>
        <w:t xml:space="preserve">א. </w:t>
      </w:r>
      <w:r w:rsidRPr="00DB1811">
        <w:rPr>
          <w:rFonts w:hint="cs"/>
          <w:b/>
          <w:bCs/>
          <w:sz w:val="20"/>
          <w:szCs w:val="20"/>
          <w:rtl/>
        </w:rPr>
        <w:t xml:space="preserve">ט"ז </w:t>
      </w:r>
      <w:r>
        <w:rPr>
          <w:sz w:val="20"/>
          <w:szCs w:val="20"/>
          <w:rtl/>
        </w:rPr>
        <w:t>–</w:t>
      </w:r>
      <w:r>
        <w:rPr>
          <w:rFonts w:hint="cs"/>
          <w:sz w:val="20"/>
          <w:szCs w:val="20"/>
          <w:rtl/>
        </w:rPr>
        <w:t xml:space="preserve"> דברי תרומת הדשן דחויים, ולכן אע"פ שלא בעל במשך כמה לילות אסור לו להתייחד עמה.</w:t>
      </w:r>
      <w:r>
        <w:rPr>
          <w:rFonts w:hint="cs"/>
          <w:sz w:val="20"/>
          <w:szCs w:val="20"/>
          <w:rtl/>
        </w:rPr>
        <w:br/>
        <w:t xml:space="preserve">ואת ראיית ת"ה משור המועד יש לדחות </w:t>
      </w:r>
      <w:r>
        <w:rPr>
          <w:sz w:val="20"/>
          <w:szCs w:val="20"/>
          <w:rtl/>
        </w:rPr>
        <w:t>–</w:t>
      </w:r>
      <w:r>
        <w:rPr>
          <w:rFonts w:hint="cs"/>
          <w:sz w:val="20"/>
          <w:szCs w:val="20"/>
          <w:rtl/>
        </w:rPr>
        <w:t xml:space="preserve"> קיי"ל שסתם שוורים בחזקת שימור קיימי, שור נגחן יצא מטבע השוורים. משום כך, לאחר שראינו ששינוי זה התבטל, חוזר לדינו הרגיל שהוא בחזקת שימור.</w:t>
      </w:r>
      <w:r>
        <w:rPr>
          <w:sz w:val="20"/>
          <w:szCs w:val="20"/>
          <w:rtl/>
        </w:rPr>
        <w:br/>
      </w:r>
      <w:r>
        <w:rPr>
          <w:rFonts w:hint="cs"/>
          <w:sz w:val="20"/>
          <w:szCs w:val="20"/>
          <w:rtl/>
        </w:rPr>
        <w:t>לעומת זאת, סתם אדם אינו מעמיד את עצמו לתשמיש אפילו שעה אחת ובועל</w:t>
      </w:r>
      <w:r>
        <w:rPr>
          <w:rStyle w:val="a5"/>
          <w:sz w:val="20"/>
          <w:szCs w:val="20"/>
          <w:rtl/>
        </w:rPr>
        <w:footnoteReference w:id="385"/>
      </w:r>
      <w:r>
        <w:rPr>
          <w:rFonts w:hint="cs"/>
          <w:sz w:val="20"/>
          <w:szCs w:val="20"/>
          <w:rtl/>
        </w:rPr>
        <w:t>, ואין לומר שמכיוון שעד עתה לא בעל לא יבעל בהמשך, משום שהעובדה שלא בעל היא שינוי וחידוש ואין לך בו אלא חידושו בלבד.</w:t>
      </w:r>
      <w:r>
        <w:rPr>
          <w:rFonts w:hint="cs"/>
          <w:sz w:val="20"/>
          <w:szCs w:val="20"/>
          <w:rtl/>
        </w:rPr>
        <w:br/>
      </w:r>
      <w:r w:rsidRPr="00345109">
        <w:rPr>
          <w:rFonts w:hint="cs"/>
          <w:b/>
          <w:bCs/>
          <w:sz w:val="20"/>
          <w:szCs w:val="20"/>
          <w:rtl/>
        </w:rPr>
        <w:t>ראיה</w:t>
      </w:r>
      <w:r>
        <w:rPr>
          <w:rFonts w:hint="cs"/>
          <w:sz w:val="20"/>
          <w:szCs w:val="20"/>
          <w:rtl/>
        </w:rPr>
        <w:t xml:space="preserve"> </w:t>
      </w:r>
      <w:r>
        <w:rPr>
          <w:sz w:val="20"/>
          <w:szCs w:val="20"/>
          <w:rtl/>
        </w:rPr>
        <w:t>–</w:t>
      </w:r>
      <w:r>
        <w:rPr>
          <w:rFonts w:hint="cs"/>
          <w:sz w:val="20"/>
          <w:szCs w:val="20"/>
          <w:rtl/>
        </w:rPr>
        <w:t xml:space="preserve"> יבמה נאמנת לומר עד ל' שהיבם לא בעל אותה אך לאחר ל' יום אינה נאמנת, ע"כ הטעם הוא משום שאע"פ שהעמיד עצמו ל' יום, מכל מקום אין לומר שמשום כך ימשיך להעמיד עצמו ולא לבעול. </w:t>
      </w:r>
      <w:r>
        <w:rPr>
          <w:rFonts w:hint="cs"/>
          <w:sz w:val="20"/>
          <w:szCs w:val="20"/>
          <w:rtl/>
        </w:rPr>
        <w:br/>
      </w:r>
      <w:r>
        <w:rPr>
          <w:sz w:val="20"/>
          <w:szCs w:val="20"/>
          <w:rtl/>
        </w:rPr>
        <w:br/>
      </w:r>
      <w:r>
        <w:rPr>
          <w:rFonts w:hint="cs"/>
          <w:sz w:val="20"/>
          <w:szCs w:val="20"/>
          <w:rtl/>
        </w:rPr>
        <w:t xml:space="preserve">ב. </w:t>
      </w:r>
      <w:r w:rsidRPr="009139DF">
        <w:rPr>
          <w:rFonts w:hint="cs"/>
          <w:b/>
          <w:bCs/>
          <w:sz w:val="20"/>
          <w:szCs w:val="20"/>
          <w:rtl/>
        </w:rPr>
        <w:t>נקודות הכסף</w:t>
      </w:r>
      <w:r>
        <w:rPr>
          <w:rFonts w:hint="cs"/>
          <w:sz w:val="20"/>
          <w:szCs w:val="20"/>
          <w:rtl/>
        </w:rPr>
        <w:t xml:space="preserve"> </w:t>
      </w:r>
      <w:r>
        <w:rPr>
          <w:sz w:val="20"/>
          <w:szCs w:val="20"/>
          <w:rtl/>
        </w:rPr>
        <w:t>–</w:t>
      </w:r>
      <w:r>
        <w:rPr>
          <w:rFonts w:hint="cs"/>
          <w:sz w:val="20"/>
          <w:szCs w:val="20"/>
          <w:rtl/>
        </w:rPr>
        <w:t xml:space="preserve"> דברי ת"ה מכוונים לדינא.</w:t>
      </w:r>
      <w:r>
        <w:rPr>
          <w:sz w:val="20"/>
          <w:szCs w:val="20"/>
          <w:rtl/>
        </w:rPr>
        <w:br/>
      </w:r>
      <w:r>
        <w:rPr>
          <w:rFonts w:hint="cs"/>
          <w:sz w:val="20"/>
          <w:szCs w:val="20"/>
          <w:rtl/>
        </w:rPr>
        <w:t xml:space="preserve">ולגבי הטיעון של הט"ז יש לומר </w:t>
      </w:r>
      <w:r>
        <w:rPr>
          <w:sz w:val="20"/>
          <w:szCs w:val="20"/>
          <w:rtl/>
        </w:rPr>
        <w:t>–</w:t>
      </w:r>
      <w:r>
        <w:rPr>
          <w:rFonts w:hint="cs"/>
          <w:sz w:val="20"/>
          <w:szCs w:val="20"/>
          <w:rtl/>
        </w:rPr>
        <w:t xml:space="preserve"> סתם בני אדם בחזקת כשרות קיימי, וכיוון שאסור לו לבעול לא יבעול. </w:t>
      </w:r>
      <w:r>
        <w:rPr>
          <w:sz w:val="20"/>
          <w:szCs w:val="20"/>
          <w:rtl/>
        </w:rPr>
        <w:br/>
      </w:r>
      <w:r>
        <w:rPr>
          <w:rFonts w:hint="cs"/>
          <w:sz w:val="20"/>
          <w:szCs w:val="20"/>
          <w:rtl/>
        </w:rPr>
        <w:t>לעומת זאת, בסוגייה ממנה מביא הט"ז ראיה מדובר על מנהג יהודה שמותר לבעול, וכן ביבם מותר לו לבעול ולכן אינו מעמיד את עצמו.</w:t>
      </w:r>
      <w:r>
        <w:rPr>
          <w:rFonts w:hint="cs"/>
          <w:sz w:val="20"/>
          <w:szCs w:val="20"/>
          <w:rtl/>
        </w:rPr>
        <w:br/>
      </w:r>
      <w:r>
        <w:rPr>
          <w:sz w:val="20"/>
          <w:szCs w:val="20"/>
          <w:u w:val="single"/>
          <w:rtl/>
        </w:rPr>
        <w:br/>
      </w:r>
      <w:r>
        <w:rPr>
          <w:rFonts w:hint="cs"/>
          <w:sz w:val="20"/>
          <w:szCs w:val="20"/>
          <w:u w:val="single"/>
          <w:rtl/>
        </w:rPr>
        <w:t>הכרעת האחרונים</w:t>
      </w:r>
      <w:r>
        <w:rPr>
          <w:sz w:val="20"/>
          <w:szCs w:val="20"/>
          <w:u w:val="single"/>
          <w:rtl/>
        </w:rPr>
        <w:br/>
      </w:r>
      <w:r w:rsidRPr="005B0967">
        <w:rPr>
          <w:rFonts w:hint="cs"/>
          <w:b/>
          <w:bCs/>
          <w:sz w:val="20"/>
          <w:szCs w:val="20"/>
          <w:rtl/>
        </w:rPr>
        <w:lastRenderedPageBreak/>
        <w:t>טהרת הבית</w:t>
      </w:r>
      <w:r>
        <w:rPr>
          <w:rFonts w:hint="cs"/>
          <w:sz w:val="20"/>
          <w:szCs w:val="20"/>
          <w:rtl/>
        </w:rPr>
        <w:t xml:space="preserve"> </w:t>
      </w:r>
      <w:r w:rsidRPr="005B0967">
        <w:rPr>
          <w:rFonts w:hint="cs"/>
          <w:sz w:val="18"/>
          <w:szCs w:val="18"/>
          <w:rtl/>
        </w:rPr>
        <w:t xml:space="preserve">(חלק א, תקיג </w:t>
      </w:r>
      <w:r w:rsidRPr="005B0967">
        <w:rPr>
          <w:sz w:val="18"/>
          <w:szCs w:val="18"/>
          <w:rtl/>
        </w:rPr>
        <w:t>–</w:t>
      </w:r>
      <w:r w:rsidRPr="005B0967">
        <w:rPr>
          <w:rFonts w:hint="cs"/>
          <w:sz w:val="18"/>
          <w:szCs w:val="18"/>
          <w:rtl/>
        </w:rPr>
        <w:t xml:space="preserve"> תקטו) </w:t>
      </w:r>
      <w:r>
        <w:rPr>
          <w:sz w:val="20"/>
          <w:szCs w:val="20"/>
          <w:rtl/>
        </w:rPr>
        <w:t>–</w:t>
      </w:r>
      <w:r>
        <w:rPr>
          <w:rFonts w:hint="cs"/>
          <w:sz w:val="20"/>
          <w:szCs w:val="20"/>
          <w:rtl/>
        </w:rPr>
        <w:t xml:space="preserve"> אם החתן עשה העראה בכלתו ופירסה נידה מותרים להתייחד.</w:t>
      </w:r>
      <w:r>
        <w:rPr>
          <w:rStyle w:val="a5"/>
          <w:sz w:val="20"/>
          <w:szCs w:val="20"/>
          <w:rtl/>
        </w:rPr>
        <w:footnoteReference w:id="386"/>
      </w:r>
      <w:r>
        <w:rPr>
          <w:sz w:val="20"/>
          <w:szCs w:val="20"/>
          <w:rtl/>
        </w:rPr>
        <w:br/>
      </w:r>
      <w:r w:rsidRPr="005B0967">
        <w:rPr>
          <w:rFonts w:hint="cs"/>
          <w:b/>
          <w:bCs/>
          <w:sz w:val="20"/>
          <w:szCs w:val="20"/>
          <w:rtl/>
        </w:rPr>
        <w:t xml:space="preserve">טעם </w:t>
      </w:r>
      <w:r>
        <w:rPr>
          <w:sz w:val="20"/>
          <w:szCs w:val="20"/>
          <w:rtl/>
        </w:rPr>
        <w:t>–</w:t>
      </w:r>
      <w:r>
        <w:rPr>
          <w:rFonts w:hint="cs"/>
          <w:sz w:val="20"/>
          <w:szCs w:val="20"/>
          <w:rtl/>
        </w:rPr>
        <w:t xml:space="preserve"> יש לומר שאיסור ייחוד הנ"ל נאמר רק כשלא בעל כלל, אך אם הערה הוי שפיר ביאה להתיר ייחוד.</w:t>
      </w:r>
      <w:r>
        <w:rPr>
          <w:sz w:val="20"/>
          <w:szCs w:val="20"/>
          <w:rtl/>
        </w:rPr>
        <w:br/>
      </w:r>
      <w:r>
        <w:rPr>
          <w:rFonts w:hint="cs"/>
          <w:sz w:val="20"/>
          <w:szCs w:val="20"/>
          <w:rtl/>
        </w:rPr>
        <w:t xml:space="preserve">ועוד יש לצרף את סברת ת"ה. ואע"פ שלכאורה יש לדחות שת"ה הקל רק במקום שראינו שאין יצרו תקפו, ואילו כאן יצרו תקפו שהרי בא עליה, מכל מקום איסור ייחוד זה מדרבנן </w:t>
      </w:r>
      <w:r w:rsidRPr="005B0967">
        <w:rPr>
          <w:rFonts w:hint="cs"/>
          <w:sz w:val="18"/>
          <w:szCs w:val="18"/>
          <w:rtl/>
        </w:rPr>
        <w:t xml:space="preserve">(לרוב האחרונים) </w:t>
      </w:r>
      <w:r>
        <w:rPr>
          <w:rFonts w:hint="cs"/>
          <w:sz w:val="20"/>
          <w:szCs w:val="20"/>
          <w:rtl/>
        </w:rPr>
        <w:t>ולכן יש להקל להחשיב העראה כביאה.</w:t>
      </w:r>
      <w:r>
        <w:rPr>
          <w:sz w:val="20"/>
          <w:szCs w:val="20"/>
          <w:u w:val="single"/>
          <w:rtl/>
        </w:rPr>
        <w:br/>
      </w:r>
      <w:r>
        <w:rPr>
          <w:b/>
          <w:bCs/>
          <w:sz w:val="20"/>
          <w:szCs w:val="20"/>
          <w:rtl/>
        </w:rPr>
        <w:br/>
      </w:r>
      <w:r w:rsidRPr="00233309">
        <w:rPr>
          <w:rFonts w:hint="cs"/>
          <w:b/>
          <w:bCs/>
          <w:sz w:val="20"/>
          <w:szCs w:val="20"/>
          <w:rtl/>
        </w:rPr>
        <w:t>סיכום</w:t>
      </w:r>
      <w:r>
        <w:rPr>
          <w:sz w:val="20"/>
          <w:szCs w:val="20"/>
          <w:rtl/>
        </w:rPr>
        <w:br/>
      </w:r>
      <w:r>
        <w:rPr>
          <w:rFonts w:hint="cs"/>
          <w:sz w:val="20"/>
          <w:szCs w:val="20"/>
          <w:rtl/>
        </w:rPr>
        <w:t xml:space="preserve">1. </w:t>
      </w:r>
      <w:r w:rsidRPr="00233309">
        <w:rPr>
          <w:rFonts w:hint="cs"/>
          <w:b/>
          <w:bCs/>
          <w:sz w:val="20"/>
          <w:szCs w:val="20"/>
          <w:rtl/>
        </w:rPr>
        <w:t>גמרא</w:t>
      </w:r>
      <w:r>
        <w:rPr>
          <w:rFonts w:hint="cs"/>
          <w:sz w:val="20"/>
          <w:szCs w:val="20"/>
          <w:rtl/>
        </w:rPr>
        <w:t xml:space="preserve">. חתן שפירסה אשתו נידה לפני שבא עליה, ישן בין אנשים ואשתו ישנה בין הנשים. </w:t>
      </w:r>
      <w:r>
        <w:rPr>
          <w:b/>
          <w:bCs/>
          <w:sz w:val="20"/>
          <w:szCs w:val="20"/>
          <w:rtl/>
        </w:rPr>
        <w:br/>
      </w:r>
      <w:r w:rsidRPr="00233309">
        <w:rPr>
          <w:rFonts w:hint="cs"/>
          <w:b/>
          <w:bCs/>
          <w:sz w:val="20"/>
          <w:szCs w:val="20"/>
          <w:rtl/>
        </w:rPr>
        <w:t>רשב"א</w:t>
      </w:r>
      <w:r>
        <w:rPr>
          <w:rFonts w:hint="cs"/>
          <w:sz w:val="20"/>
          <w:szCs w:val="20"/>
          <w:rtl/>
        </w:rPr>
        <w:t>. הוא הדין לאשה שלא שמרה ז"נ של דם חימוד.</w:t>
      </w:r>
      <w:r>
        <w:rPr>
          <w:rFonts w:hint="cs"/>
          <w:sz w:val="20"/>
          <w:szCs w:val="20"/>
          <w:rtl/>
        </w:rPr>
        <w:br/>
        <w:t>2</w:t>
      </w:r>
      <w:r w:rsidRPr="00EB2797">
        <w:rPr>
          <w:rFonts w:hint="cs"/>
          <w:sz w:val="20"/>
          <w:szCs w:val="20"/>
          <w:rtl/>
        </w:rPr>
        <w:t xml:space="preserve">. אופן ההרחקה. </w:t>
      </w:r>
      <w:r w:rsidRPr="00EB2797">
        <w:rPr>
          <w:rFonts w:hint="cs"/>
          <w:b/>
          <w:bCs/>
          <w:sz w:val="20"/>
          <w:szCs w:val="20"/>
          <w:rtl/>
        </w:rPr>
        <w:t>ראב"ד</w:t>
      </w:r>
      <w:r w:rsidRPr="00EB2797">
        <w:rPr>
          <w:rFonts w:hint="cs"/>
          <w:sz w:val="20"/>
          <w:szCs w:val="20"/>
          <w:rtl/>
        </w:rPr>
        <w:t xml:space="preserve">. בלילה הוא ישן ביו האנשים והיא בין הנשים, ביום מותר אף חבוק ונישוק. </w:t>
      </w:r>
      <w:r w:rsidRPr="00EB2797">
        <w:rPr>
          <w:b/>
          <w:bCs/>
          <w:sz w:val="20"/>
          <w:szCs w:val="20"/>
          <w:rtl/>
        </w:rPr>
        <w:br/>
      </w:r>
      <w:r w:rsidRPr="00EB2797">
        <w:rPr>
          <w:rFonts w:hint="cs"/>
          <w:b/>
          <w:bCs/>
          <w:sz w:val="20"/>
          <w:szCs w:val="20"/>
          <w:rtl/>
        </w:rPr>
        <w:t>רשב"א</w:t>
      </w:r>
      <w:r w:rsidRPr="00EB2797">
        <w:rPr>
          <w:rFonts w:hint="cs"/>
          <w:sz w:val="20"/>
          <w:szCs w:val="20"/>
          <w:rtl/>
        </w:rPr>
        <w:t xml:space="preserve">. אם ישנים בב' בתים נפרדים א"צ שמירה. </w:t>
      </w:r>
      <w:r w:rsidRPr="00EB2797">
        <w:rPr>
          <w:rFonts w:hint="cs"/>
          <w:b/>
          <w:bCs/>
          <w:sz w:val="20"/>
          <w:szCs w:val="20"/>
          <w:rtl/>
        </w:rPr>
        <w:t>רא"ש</w:t>
      </w:r>
      <w:r w:rsidRPr="00EB2797">
        <w:rPr>
          <w:rFonts w:hint="cs"/>
          <w:sz w:val="20"/>
          <w:szCs w:val="20"/>
          <w:rtl/>
        </w:rPr>
        <w:t>. בלילה די בשמירה אחת, ביום אסור להתייחד.</w:t>
      </w:r>
      <w:r w:rsidRPr="00EB2797">
        <w:rPr>
          <w:sz w:val="20"/>
          <w:szCs w:val="20"/>
          <w:rtl/>
        </w:rPr>
        <w:br/>
      </w:r>
      <w:r w:rsidRPr="00EB2797">
        <w:rPr>
          <w:rFonts w:hint="cs"/>
          <w:sz w:val="20"/>
          <w:szCs w:val="20"/>
          <w:rtl/>
        </w:rPr>
        <w:t xml:space="preserve">3. </w:t>
      </w:r>
      <w:r w:rsidRPr="00EB2797">
        <w:rPr>
          <w:rFonts w:hint="cs"/>
          <w:b/>
          <w:bCs/>
          <w:sz w:val="20"/>
          <w:szCs w:val="20"/>
          <w:rtl/>
        </w:rPr>
        <w:t>מחבר</w:t>
      </w:r>
      <w:r w:rsidRPr="00EB2797">
        <w:rPr>
          <w:rFonts w:hint="cs"/>
          <w:sz w:val="20"/>
          <w:szCs w:val="20"/>
          <w:rtl/>
        </w:rPr>
        <w:t xml:space="preserve">. עבר וכנס תוך ז"נ או פירסה נידה לפני בעילה, הוא ישן בין האנשים והיא בין הנשים, </w:t>
      </w:r>
      <w:r w:rsidRPr="00EB2797">
        <w:rPr>
          <w:rFonts w:hint="cs"/>
          <w:b/>
          <w:bCs/>
          <w:sz w:val="20"/>
          <w:szCs w:val="20"/>
          <w:rtl/>
        </w:rPr>
        <w:t>כראב"ד</w:t>
      </w:r>
      <w:r w:rsidRPr="00EB2797">
        <w:rPr>
          <w:rFonts w:hint="cs"/>
          <w:sz w:val="20"/>
          <w:szCs w:val="20"/>
          <w:rtl/>
        </w:rPr>
        <w:t xml:space="preserve">. </w:t>
      </w:r>
      <w:r w:rsidRPr="00EB2797">
        <w:rPr>
          <w:sz w:val="20"/>
          <w:szCs w:val="20"/>
          <w:rtl/>
        </w:rPr>
        <w:br/>
      </w:r>
      <w:r w:rsidRPr="00EB2797">
        <w:rPr>
          <w:rFonts w:hint="cs"/>
          <w:b/>
          <w:bCs/>
          <w:sz w:val="20"/>
          <w:szCs w:val="20"/>
          <w:rtl/>
        </w:rPr>
        <w:t>רמ"א</w:t>
      </w:r>
      <w:r w:rsidRPr="00EB2797">
        <w:rPr>
          <w:rFonts w:hint="cs"/>
          <w:sz w:val="20"/>
          <w:szCs w:val="20"/>
          <w:rtl/>
        </w:rPr>
        <w:t xml:space="preserve">. מחלוקת </w:t>
      </w:r>
      <w:r w:rsidRPr="00EB2797">
        <w:rPr>
          <w:rFonts w:hint="cs"/>
          <w:b/>
          <w:bCs/>
          <w:sz w:val="20"/>
          <w:szCs w:val="20"/>
          <w:rtl/>
        </w:rPr>
        <w:t>ראב"ד ורא"ש</w:t>
      </w:r>
      <w:r w:rsidRPr="00EB2797">
        <w:rPr>
          <w:rFonts w:hint="cs"/>
          <w:sz w:val="20"/>
          <w:szCs w:val="20"/>
          <w:rtl/>
        </w:rPr>
        <w:t xml:space="preserve"> האם מותר להתייחד ביום, מחלוקת האם די בלילה בשמירה אחת. </w:t>
      </w:r>
      <w:r w:rsidRPr="00EB2797">
        <w:rPr>
          <w:sz w:val="20"/>
          <w:szCs w:val="20"/>
          <w:rtl/>
        </w:rPr>
        <w:br/>
      </w:r>
      <w:r w:rsidRPr="00EB2797">
        <w:rPr>
          <w:rFonts w:hint="cs"/>
          <w:sz w:val="20"/>
          <w:szCs w:val="20"/>
          <w:rtl/>
        </w:rPr>
        <w:t xml:space="preserve">המנהג </w:t>
      </w:r>
      <w:r w:rsidRPr="00EB2797">
        <w:rPr>
          <w:sz w:val="20"/>
          <w:szCs w:val="20"/>
          <w:rtl/>
        </w:rPr>
        <w:t>–</w:t>
      </w:r>
      <w:r w:rsidRPr="00EB2797">
        <w:rPr>
          <w:rFonts w:hint="cs"/>
          <w:sz w:val="20"/>
          <w:szCs w:val="20"/>
          <w:rtl/>
        </w:rPr>
        <w:t xml:space="preserve"> לקחת קטן לחתן וקטנה לכלה, וביום מתייחדים ע"י שומר אחד קטן או קטנה. </w:t>
      </w:r>
      <w:r w:rsidRPr="00EB2797">
        <w:rPr>
          <w:sz w:val="20"/>
          <w:szCs w:val="20"/>
          <w:rtl/>
        </w:rPr>
        <w:br/>
      </w:r>
      <w:r w:rsidRPr="00EB2797">
        <w:rPr>
          <w:rFonts w:hint="cs"/>
          <w:b/>
          <w:bCs/>
          <w:sz w:val="20"/>
          <w:szCs w:val="20"/>
          <w:rtl/>
        </w:rPr>
        <w:t>ש"ך</w:t>
      </w:r>
      <w:r w:rsidRPr="00EB2797">
        <w:rPr>
          <w:rFonts w:hint="cs"/>
          <w:sz w:val="20"/>
          <w:szCs w:val="20"/>
          <w:rtl/>
        </w:rPr>
        <w:t>. קטן היודע טעם ביאה ואינו מוסר עצמו לביאה.</w:t>
      </w:r>
      <w:r w:rsidRPr="00EB2797">
        <w:rPr>
          <w:sz w:val="20"/>
          <w:szCs w:val="20"/>
          <w:rtl/>
        </w:rPr>
        <w:br/>
      </w:r>
      <w:r w:rsidRPr="00EB2797">
        <w:rPr>
          <w:rFonts w:hint="cs"/>
          <w:sz w:val="20"/>
          <w:szCs w:val="20"/>
          <w:rtl/>
        </w:rPr>
        <w:t xml:space="preserve">4. </w:t>
      </w:r>
      <w:r w:rsidRPr="00EB2797">
        <w:rPr>
          <w:rFonts w:hint="cs"/>
          <w:b/>
          <w:bCs/>
          <w:sz w:val="20"/>
          <w:szCs w:val="20"/>
          <w:rtl/>
        </w:rPr>
        <w:t>גמרא</w:t>
      </w:r>
      <w:r w:rsidRPr="00EB2797">
        <w:rPr>
          <w:rFonts w:hint="cs"/>
          <w:sz w:val="20"/>
          <w:szCs w:val="20"/>
          <w:rtl/>
        </w:rPr>
        <w:t xml:space="preserve">. מסופר על אמוראים שנשאו נשים בעיר שבאו אליה אע"פ שלא שמרו ז"נ. </w:t>
      </w:r>
      <w:r w:rsidRPr="00EB2797">
        <w:rPr>
          <w:rFonts w:hint="cs"/>
          <w:b/>
          <w:bCs/>
          <w:sz w:val="20"/>
          <w:szCs w:val="20"/>
          <w:rtl/>
        </w:rPr>
        <w:t>טעם</w:t>
      </w:r>
      <w:r w:rsidRPr="00EB2797">
        <w:rPr>
          <w:rFonts w:hint="cs"/>
          <w:sz w:val="20"/>
          <w:szCs w:val="20"/>
          <w:rtl/>
        </w:rPr>
        <w:t>. 'ייחודי מייחדי להו'.</w:t>
      </w:r>
      <w:r w:rsidRPr="00EB2797">
        <w:rPr>
          <w:sz w:val="20"/>
          <w:szCs w:val="20"/>
          <w:rtl/>
        </w:rPr>
        <w:br/>
      </w:r>
      <w:r w:rsidRPr="00EB2797">
        <w:rPr>
          <w:rFonts w:hint="cs"/>
          <w:sz w:val="20"/>
          <w:szCs w:val="20"/>
          <w:rtl/>
        </w:rPr>
        <w:t xml:space="preserve">5. </w:t>
      </w:r>
      <w:r w:rsidRPr="00EB2797">
        <w:rPr>
          <w:rFonts w:hint="cs"/>
          <w:b/>
          <w:bCs/>
          <w:sz w:val="20"/>
          <w:szCs w:val="20"/>
          <w:rtl/>
        </w:rPr>
        <w:t>רשב"א</w:t>
      </w:r>
      <w:r w:rsidRPr="00EB2797">
        <w:rPr>
          <w:rFonts w:hint="cs"/>
          <w:sz w:val="20"/>
          <w:szCs w:val="20"/>
          <w:rtl/>
        </w:rPr>
        <w:t xml:space="preserve">. אין הבדל בין ת"ח לשאר האנשים, אלא ייחדו את האשה לת"ח לשאת אותה לאחר ז"נ. </w:t>
      </w:r>
      <w:r w:rsidRPr="00EB2797">
        <w:rPr>
          <w:b/>
          <w:bCs/>
          <w:sz w:val="20"/>
          <w:szCs w:val="20"/>
          <w:rtl/>
        </w:rPr>
        <w:br/>
      </w:r>
      <w:r w:rsidRPr="00EB2797">
        <w:rPr>
          <w:rFonts w:hint="cs"/>
          <w:b/>
          <w:bCs/>
          <w:sz w:val="20"/>
          <w:szCs w:val="20"/>
          <w:rtl/>
        </w:rPr>
        <w:t>רמב"ם</w:t>
      </w:r>
      <w:r w:rsidRPr="00EB2797">
        <w:rPr>
          <w:rFonts w:hint="cs"/>
          <w:sz w:val="20"/>
          <w:szCs w:val="20"/>
          <w:rtl/>
        </w:rPr>
        <w:t>. לת"ח מותר לשאת אע"פ שלא שמרה ז"נ.</w:t>
      </w:r>
      <w:r w:rsidRPr="00EB2797">
        <w:rPr>
          <w:sz w:val="20"/>
          <w:szCs w:val="20"/>
          <w:rtl/>
        </w:rPr>
        <w:br/>
      </w:r>
      <w:r w:rsidRPr="00EB2797">
        <w:rPr>
          <w:rFonts w:hint="cs"/>
          <w:sz w:val="20"/>
          <w:szCs w:val="20"/>
          <w:rtl/>
        </w:rPr>
        <w:t xml:space="preserve">6. מסקנת </w:t>
      </w:r>
      <w:r w:rsidRPr="00EB2797">
        <w:rPr>
          <w:rFonts w:hint="cs"/>
          <w:b/>
          <w:bCs/>
          <w:sz w:val="20"/>
          <w:szCs w:val="20"/>
          <w:rtl/>
        </w:rPr>
        <w:t>הב"י ברמב"ם</w:t>
      </w:r>
      <w:r w:rsidRPr="00EB2797">
        <w:rPr>
          <w:rFonts w:hint="cs"/>
          <w:sz w:val="20"/>
          <w:szCs w:val="20"/>
          <w:rtl/>
        </w:rPr>
        <w:t xml:space="preserve">. התיר לת"ח רק לשאת אך לא לייחד או לבעול, ורק </w:t>
      </w:r>
      <w:r>
        <w:rPr>
          <w:rFonts w:hint="cs"/>
          <w:sz w:val="20"/>
          <w:szCs w:val="20"/>
          <w:rtl/>
        </w:rPr>
        <w:t>בדם חימוד הקלו אך לא בנידה</w:t>
      </w:r>
      <w:r w:rsidRPr="00EB2797">
        <w:rPr>
          <w:rFonts w:hint="cs"/>
          <w:sz w:val="20"/>
          <w:szCs w:val="20"/>
          <w:rtl/>
        </w:rPr>
        <w:t>.</w:t>
      </w:r>
      <w:r w:rsidRPr="00EB2797">
        <w:rPr>
          <w:sz w:val="20"/>
          <w:szCs w:val="20"/>
          <w:rtl/>
        </w:rPr>
        <w:br/>
      </w:r>
      <w:r w:rsidRPr="00EB2797">
        <w:rPr>
          <w:rFonts w:hint="cs"/>
          <w:sz w:val="20"/>
          <w:szCs w:val="20"/>
          <w:rtl/>
        </w:rPr>
        <w:t xml:space="preserve">7. </w:t>
      </w:r>
      <w:r w:rsidRPr="00EB2797">
        <w:rPr>
          <w:rFonts w:hint="cs"/>
          <w:b/>
          <w:bCs/>
          <w:sz w:val="20"/>
          <w:szCs w:val="20"/>
          <w:rtl/>
        </w:rPr>
        <w:t>רמ"א</w:t>
      </w:r>
      <w:r w:rsidRPr="00EB2797">
        <w:rPr>
          <w:rFonts w:hint="cs"/>
          <w:sz w:val="20"/>
          <w:szCs w:val="20"/>
          <w:rtl/>
        </w:rPr>
        <w:t>. גם אלמן שנשא אשה ופירסה נידה אסור לו להתייחד עמה.</w:t>
      </w:r>
      <w:r w:rsidRPr="00EB2797">
        <w:rPr>
          <w:sz w:val="20"/>
          <w:szCs w:val="20"/>
          <w:rtl/>
        </w:rPr>
        <w:br/>
      </w:r>
      <w:r w:rsidRPr="00EB2797">
        <w:rPr>
          <w:rFonts w:hint="cs"/>
          <w:sz w:val="20"/>
          <w:szCs w:val="20"/>
          <w:rtl/>
        </w:rPr>
        <w:t xml:space="preserve">8. </w:t>
      </w:r>
      <w:r w:rsidRPr="00EB2797">
        <w:rPr>
          <w:rFonts w:hint="cs"/>
          <w:b/>
          <w:bCs/>
          <w:sz w:val="20"/>
          <w:szCs w:val="20"/>
          <w:rtl/>
        </w:rPr>
        <w:t>רמ"ה</w:t>
      </w:r>
      <w:r w:rsidRPr="00EB2797">
        <w:rPr>
          <w:rFonts w:hint="cs"/>
          <w:sz w:val="20"/>
          <w:szCs w:val="20"/>
          <w:rtl/>
        </w:rPr>
        <w:t xml:space="preserve">. כל הבועל בתולה אין לו לישון עמה, חשש שיבוא להקל כיוון שהתירו לו לגמור את הביאה. </w:t>
      </w:r>
      <w:r w:rsidRPr="00EB2797">
        <w:rPr>
          <w:sz w:val="20"/>
          <w:szCs w:val="20"/>
          <w:rtl/>
        </w:rPr>
        <w:br/>
      </w:r>
      <w:r w:rsidRPr="00EB2797">
        <w:rPr>
          <w:rFonts w:hint="cs"/>
          <w:b/>
          <w:bCs/>
          <w:sz w:val="20"/>
          <w:szCs w:val="20"/>
          <w:rtl/>
        </w:rPr>
        <w:t>רא"ש</w:t>
      </w:r>
      <w:r w:rsidRPr="00EB2797">
        <w:rPr>
          <w:rFonts w:hint="cs"/>
          <w:sz w:val="20"/>
          <w:szCs w:val="20"/>
          <w:rtl/>
        </w:rPr>
        <w:t>. מותר לישון יחד</w:t>
      </w:r>
      <w:r>
        <w:rPr>
          <w:rFonts w:hint="cs"/>
          <w:sz w:val="20"/>
          <w:szCs w:val="20"/>
          <w:rtl/>
        </w:rPr>
        <w:t xml:space="preserve"> כדין נידה גמורה שמותרת לאחר בעילה</w:t>
      </w:r>
      <w:r w:rsidRPr="00EB2797">
        <w:rPr>
          <w:rFonts w:hint="cs"/>
          <w:sz w:val="20"/>
          <w:szCs w:val="20"/>
          <w:rtl/>
        </w:rPr>
        <w:t xml:space="preserve">, וכ"פ </w:t>
      </w:r>
      <w:r w:rsidRPr="00EB2797">
        <w:rPr>
          <w:rFonts w:hint="cs"/>
          <w:b/>
          <w:bCs/>
          <w:sz w:val="20"/>
          <w:szCs w:val="20"/>
          <w:rtl/>
        </w:rPr>
        <w:t>הב"י והרמ"א</w:t>
      </w:r>
      <w:r w:rsidRPr="00EB2797">
        <w:rPr>
          <w:rFonts w:hint="cs"/>
          <w:sz w:val="20"/>
          <w:szCs w:val="20"/>
          <w:rtl/>
        </w:rPr>
        <w:t>.</w:t>
      </w:r>
      <w:r w:rsidRPr="00EB2797">
        <w:rPr>
          <w:sz w:val="20"/>
          <w:szCs w:val="20"/>
          <w:rtl/>
        </w:rPr>
        <w:br/>
      </w:r>
      <w:r w:rsidRPr="00EB2797">
        <w:rPr>
          <w:rFonts w:hint="cs"/>
          <w:sz w:val="20"/>
          <w:szCs w:val="20"/>
          <w:rtl/>
        </w:rPr>
        <w:t xml:space="preserve">9. כנס ולא בעל כמה לילות ואח"כ פירסה נידה. </w:t>
      </w:r>
      <w:r w:rsidRPr="00EB2797">
        <w:rPr>
          <w:rFonts w:hint="cs"/>
          <w:b/>
          <w:bCs/>
          <w:sz w:val="20"/>
          <w:szCs w:val="20"/>
          <w:rtl/>
        </w:rPr>
        <w:t>ת</w:t>
      </w:r>
      <w:r w:rsidRPr="00233309">
        <w:rPr>
          <w:rFonts w:hint="cs"/>
          <w:b/>
          <w:bCs/>
          <w:sz w:val="20"/>
          <w:szCs w:val="20"/>
          <w:rtl/>
        </w:rPr>
        <w:t>"ה</w:t>
      </w:r>
      <w:r>
        <w:rPr>
          <w:rFonts w:hint="cs"/>
          <w:sz w:val="20"/>
          <w:szCs w:val="20"/>
          <w:rtl/>
        </w:rPr>
        <w:t xml:space="preserve">. מותר לישון עמה. </w:t>
      </w:r>
      <w:r w:rsidRPr="00233309">
        <w:rPr>
          <w:rFonts w:hint="cs"/>
          <w:b/>
          <w:bCs/>
          <w:sz w:val="20"/>
          <w:szCs w:val="20"/>
          <w:rtl/>
        </w:rPr>
        <w:t>טעם</w:t>
      </w:r>
      <w:r>
        <w:rPr>
          <w:rFonts w:hint="cs"/>
          <w:sz w:val="20"/>
          <w:szCs w:val="20"/>
          <w:rtl/>
        </w:rPr>
        <w:t xml:space="preserve">. חזינן שלא תקיף יצריה. </w:t>
      </w:r>
      <w:r>
        <w:rPr>
          <w:sz w:val="20"/>
          <w:szCs w:val="20"/>
          <w:rtl/>
        </w:rPr>
        <w:br/>
      </w:r>
      <w:r>
        <w:rPr>
          <w:rFonts w:hint="cs"/>
          <w:sz w:val="20"/>
          <w:szCs w:val="20"/>
          <w:rtl/>
        </w:rPr>
        <w:t xml:space="preserve">אמנם יש אוסרים ולא נראה כמותם. </w:t>
      </w:r>
      <w:r w:rsidRPr="00233309">
        <w:rPr>
          <w:rFonts w:hint="cs"/>
          <w:b/>
          <w:bCs/>
          <w:sz w:val="20"/>
          <w:szCs w:val="20"/>
          <w:rtl/>
        </w:rPr>
        <w:t>ראיה</w:t>
      </w:r>
      <w:r>
        <w:rPr>
          <w:rFonts w:hint="cs"/>
          <w:sz w:val="20"/>
          <w:szCs w:val="20"/>
          <w:rtl/>
        </w:rPr>
        <w:t>. שור המועד חוזר לתמותו לאחר ג"פ שלא נגח, ה"ה כאן שיצרו נח.</w:t>
      </w:r>
      <w:r>
        <w:rPr>
          <w:sz w:val="20"/>
          <w:szCs w:val="20"/>
          <w:rtl/>
        </w:rPr>
        <w:br/>
      </w:r>
      <w:r>
        <w:rPr>
          <w:rFonts w:hint="cs"/>
          <w:sz w:val="20"/>
          <w:szCs w:val="20"/>
          <w:rtl/>
        </w:rPr>
        <w:t xml:space="preserve">10. </w:t>
      </w:r>
      <w:r w:rsidRPr="00233309">
        <w:rPr>
          <w:rFonts w:hint="cs"/>
          <w:b/>
          <w:bCs/>
          <w:sz w:val="20"/>
          <w:szCs w:val="20"/>
          <w:rtl/>
        </w:rPr>
        <w:t>רמ"א</w:t>
      </w:r>
      <w:r>
        <w:rPr>
          <w:rFonts w:hint="cs"/>
          <w:sz w:val="20"/>
          <w:szCs w:val="20"/>
          <w:rtl/>
        </w:rPr>
        <w:t xml:space="preserve">. הלכה כת"ה, אך המחמיר תע"ב. </w:t>
      </w:r>
      <w:r w:rsidRPr="00233309">
        <w:rPr>
          <w:rFonts w:hint="cs"/>
          <w:b/>
          <w:bCs/>
          <w:sz w:val="20"/>
          <w:szCs w:val="20"/>
          <w:rtl/>
        </w:rPr>
        <w:t>ש"ך</w:t>
      </w:r>
      <w:r>
        <w:rPr>
          <w:rFonts w:hint="cs"/>
          <w:sz w:val="20"/>
          <w:szCs w:val="20"/>
          <w:rtl/>
        </w:rPr>
        <w:t>. במקום שנהגו להמתין מלבעול, אין ראיה שיצרו נח.</w:t>
      </w:r>
      <w:r>
        <w:rPr>
          <w:sz w:val="20"/>
          <w:szCs w:val="20"/>
          <w:rtl/>
        </w:rPr>
        <w:br/>
      </w:r>
      <w:r>
        <w:rPr>
          <w:rFonts w:hint="cs"/>
          <w:sz w:val="20"/>
          <w:szCs w:val="20"/>
          <w:rtl/>
        </w:rPr>
        <w:t xml:space="preserve">11. </w:t>
      </w:r>
      <w:r w:rsidRPr="00233309">
        <w:rPr>
          <w:rFonts w:hint="cs"/>
          <w:b/>
          <w:bCs/>
          <w:sz w:val="20"/>
          <w:szCs w:val="20"/>
          <w:rtl/>
        </w:rPr>
        <w:t>ט"ז</w:t>
      </w:r>
      <w:r>
        <w:rPr>
          <w:rFonts w:hint="cs"/>
          <w:sz w:val="20"/>
          <w:szCs w:val="20"/>
          <w:rtl/>
        </w:rPr>
        <w:t xml:space="preserve">. דברי </w:t>
      </w:r>
      <w:r w:rsidRPr="00233309">
        <w:rPr>
          <w:rFonts w:hint="cs"/>
          <w:b/>
          <w:bCs/>
          <w:sz w:val="20"/>
          <w:szCs w:val="20"/>
          <w:rtl/>
        </w:rPr>
        <w:t>ת"ה</w:t>
      </w:r>
      <w:r>
        <w:rPr>
          <w:rFonts w:hint="cs"/>
          <w:sz w:val="20"/>
          <w:szCs w:val="20"/>
          <w:rtl/>
        </w:rPr>
        <w:t xml:space="preserve"> דחויים. בשלמא בשור חזינן שחזר להרגלו הטבעי, אך סתם אדם אינו מעמיד עצמו מלבעול ולכן מסתמא יבעול. </w:t>
      </w:r>
      <w:r w:rsidRPr="00233309">
        <w:rPr>
          <w:rFonts w:hint="cs"/>
          <w:b/>
          <w:bCs/>
          <w:sz w:val="20"/>
          <w:szCs w:val="20"/>
          <w:rtl/>
        </w:rPr>
        <w:t>נקה"כ</w:t>
      </w:r>
      <w:r>
        <w:rPr>
          <w:rFonts w:hint="cs"/>
          <w:sz w:val="20"/>
          <w:szCs w:val="20"/>
          <w:rtl/>
        </w:rPr>
        <w:t>. הלכה כת"ה, ודחיית הט"ז אינה, סתם אדם אינו חוטא ולא יבעל באיסור.</w:t>
      </w:r>
      <w:r>
        <w:rPr>
          <w:sz w:val="20"/>
          <w:szCs w:val="20"/>
          <w:rtl/>
        </w:rPr>
        <w:br/>
      </w:r>
      <w:r>
        <w:rPr>
          <w:rFonts w:hint="cs"/>
          <w:sz w:val="20"/>
          <w:szCs w:val="20"/>
          <w:rtl/>
        </w:rPr>
        <w:t xml:space="preserve">הכרעת האחרונים. </w:t>
      </w:r>
      <w:r w:rsidRPr="00E1309F">
        <w:rPr>
          <w:rFonts w:hint="cs"/>
          <w:b/>
          <w:bCs/>
          <w:sz w:val="20"/>
          <w:szCs w:val="20"/>
          <w:rtl/>
        </w:rPr>
        <w:t>טה"ב</w:t>
      </w:r>
      <w:r>
        <w:rPr>
          <w:rFonts w:hint="cs"/>
          <w:sz w:val="20"/>
          <w:szCs w:val="20"/>
          <w:rtl/>
        </w:rPr>
        <w:t xml:space="preserve">. אם הערה בה מותר להתייחד עמה. </w:t>
      </w:r>
      <w:r w:rsidRPr="00E1309F">
        <w:rPr>
          <w:rFonts w:hint="cs"/>
          <w:b/>
          <w:bCs/>
          <w:sz w:val="20"/>
          <w:szCs w:val="20"/>
          <w:rtl/>
        </w:rPr>
        <w:t>ששבה"ל</w:t>
      </w:r>
      <w:r>
        <w:rPr>
          <w:rFonts w:hint="cs"/>
          <w:sz w:val="20"/>
          <w:szCs w:val="20"/>
          <w:rtl/>
        </w:rPr>
        <w:t xml:space="preserve">. יישנו בחדרים נפרדים והיא תנעל. </w:t>
      </w:r>
    </w:p>
    <w:p w:rsidR="00620060" w:rsidRDefault="00620060" w:rsidP="00620060">
      <w:pPr>
        <w:rPr>
          <w:sz w:val="20"/>
          <w:szCs w:val="20"/>
          <w:rtl/>
        </w:rPr>
      </w:pPr>
      <w:r>
        <w:rPr>
          <w:sz w:val="20"/>
          <w:szCs w:val="20"/>
          <w:rtl/>
        </w:rPr>
        <w:br/>
      </w:r>
      <w:r>
        <w:rPr>
          <w:rFonts w:hint="cs"/>
          <w:b/>
          <w:bCs/>
          <w:sz w:val="20"/>
          <w:szCs w:val="20"/>
          <w:rtl/>
        </w:rPr>
        <w:t xml:space="preserve">סעיף ה </w:t>
      </w:r>
      <w:r>
        <w:rPr>
          <w:b/>
          <w:bCs/>
          <w:sz w:val="20"/>
          <w:szCs w:val="20"/>
          <w:rtl/>
        </w:rPr>
        <w:t>–</w:t>
      </w:r>
      <w:r>
        <w:rPr>
          <w:rFonts w:hint="cs"/>
          <w:b/>
          <w:bCs/>
          <w:sz w:val="20"/>
          <w:szCs w:val="20"/>
          <w:rtl/>
        </w:rPr>
        <w:t xml:space="preserve"> מחזיר גרושתו</w:t>
      </w:r>
      <w:r>
        <w:rPr>
          <w:b/>
          <w:b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שולחן ערוך </w:t>
      </w:r>
      <w:r w:rsidRPr="000330D1">
        <w:rPr>
          <w:rFonts w:hint="cs"/>
          <w:sz w:val="18"/>
          <w:szCs w:val="18"/>
          <w:rtl/>
        </w:rPr>
        <w:t xml:space="preserve">(ע"פ </w:t>
      </w:r>
      <w:r>
        <w:rPr>
          <w:rFonts w:hint="cs"/>
          <w:sz w:val="18"/>
          <w:szCs w:val="18"/>
          <w:rtl/>
        </w:rPr>
        <w:t xml:space="preserve">תשובת </w:t>
      </w:r>
      <w:r w:rsidRPr="000330D1">
        <w:rPr>
          <w:rFonts w:hint="cs"/>
          <w:sz w:val="18"/>
          <w:szCs w:val="18"/>
          <w:rtl/>
        </w:rPr>
        <w:t>הרשב"</w:t>
      </w:r>
      <w:r>
        <w:rPr>
          <w:rFonts w:hint="cs"/>
          <w:sz w:val="18"/>
          <w:szCs w:val="18"/>
          <w:rtl/>
        </w:rPr>
        <w:t>ש</w:t>
      </w:r>
      <w:r w:rsidRPr="000330D1">
        <w:rPr>
          <w:rFonts w:hint="cs"/>
          <w:sz w:val="18"/>
          <w:szCs w:val="18"/>
          <w:rtl/>
        </w:rPr>
        <w:t xml:space="preserve">) </w:t>
      </w:r>
      <w:r>
        <w:rPr>
          <w:sz w:val="20"/>
          <w:szCs w:val="20"/>
          <w:rtl/>
        </w:rPr>
        <w:t>–</w:t>
      </w:r>
      <w:r>
        <w:rPr>
          <w:rFonts w:hint="cs"/>
          <w:sz w:val="20"/>
          <w:szCs w:val="20"/>
          <w:rtl/>
        </w:rPr>
        <w:t xml:space="preserve"> "</w:t>
      </w:r>
      <w:r w:rsidRPr="000330D1">
        <w:rPr>
          <w:rFonts w:cs="Arial" w:hint="cs"/>
          <w:sz w:val="20"/>
          <w:szCs w:val="20"/>
          <w:rtl/>
        </w:rPr>
        <w:t>מחזיר</w:t>
      </w:r>
      <w:r w:rsidRPr="000330D1">
        <w:rPr>
          <w:rFonts w:cs="Arial"/>
          <w:sz w:val="20"/>
          <w:szCs w:val="20"/>
          <w:rtl/>
        </w:rPr>
        <w:t xml:space="preserve"> </w:t>
      </w:r>
      <w:r w:rsidRPr="000330D1">
        <w:rPr>
          <w:rFonts w:cs="Arial" w:hint="cs"/>
          <w:sz w:val="20"/>
          <w:szCs w:val="20"/>
          <w:rtl/>
        </w:rPr>
        <w:t>גרושתו</w:t>
      </w:r>
      <w:r w:rsidRPr="000330D1">
        <w:rPr>
          <w:rFonts w:cs="Arial"/>
          <w:sz w:val="20"/>
          <w:szCs w:val="20"/>
          <w:rtl/>
        </w:rPr>
        <w:t xml:space="preserve"> </w:t>
      </w:r>
      <w:r w:rsidRPr="000330D1">
        <w:rPr>
          <w:rFonts w:cs="Arial" w:hint="cs"/>
          <w:sz w:val="20"/>
          <w:szCs w:val="20"/>
          <w:rtl/>
        </w:rPr>
        <w:t>צריכה</w:t>
      </w:r>
      <w:r w:rsidRPr="000330D1">
        <w:rPr>
          <w:rFonts w:cs="Arial"/>
          <w:sz w:val="20"/>
          <w:szCs w:val="20"/>
          <w:rtl/>
        </w:rPr>
        <w:t xml:space="preserve"> </w:t>
      </w:r>
      <w:r w:rsidRPr="000330D1">
        <w:rPr>
          <w:rFonts w:cs="Arial" w:hint="cs"/>
          <w:sz w:val="20"/>
          <w:szCs w:val="20"/>
          <w:rtl/>
        </w:rPr>
        <w:t>לישב</w:t>
      </w:r>
      <w:r w:rsidRPr="000330D1">
        <w:rPr>
          <w:rFonts w:cs="Arial"/>
          <w:sz w:val="20"/>
          <w:szCs w:val="20"/>
          <w:rtl/>
        </w:rPr>
        <w:t xml:space="preserve"> </w:t>
      </w:r>
      <w:r w:rsidRPr="000330D1">
        <w:rPr>
          <w:rFonts w:cs="Arial" w:hint="cs"/>
          <w:sz w:val="20"/>
          <w:szCs w:val="20"/>
          <w:rtl/>
        </w:rPr>
        <w:t>שבעה</w:t>
      </w:r>
      <w:r w:rsidRPr="000330D1">
        <w:rPr>
          <w:rFonts w:cs="Arial"/>
          <w:sz w:val="20"/>
          <w:szCs w:val="20"/>
          <w:rtl/>
        </w:rPr>
        <w:t xml:space="preserve"> </w:t>
      </w:r>
      <w:r w:rsidRPr="000330D1">
        <w:rPr>
          <w:rFonts w:cs="Arial" w:hint="cs"/>
          <w:sz w:val="20"/>
          <w:szCs w:val="20"/>
          <w:rtl/>
        </w:rPr>
        <w:t>נקיים</w:t>
      </w:r>
      <w:r>
        <w:rPr>
          <w:rFonts w:cs="Arial" w:hint="cs"/>
          <w:sz w:val="20"/>
          <w:szCs w:val="20"/>
          <w:rtl/>
        </w:rPr>
        <w:t>".</w:t>
      </w:r>
      <w:r>
        <w:rPr>
          <w:rFonts w:cs="Arial"/>
          <w:sz w:val="20"/>
          <w:szCs w:val="20"/>
          <w:rtl/>
        </w:rPr>
        <w:br/>
      </w:r>
      <w:r>
        <w:rPr>
          <w:rFonts w:cs="Arial"/>
          <w:sz w:val="20"/>
          <w:szCs w:val="20"/>
          <w:rtl/>
        </w:rPr>
        <w:br/>
      </w:r>
      <w:r>
        <w:rPr>
          <w:rFonts w:cs="Arial" w:hint="cs"/>
          <w:sz w:val="20"/>
          <w:szCs w:val="20"/>
          <w:u w:val="single"/>
          <w:rtl/>
        </w:rPr>
        <w:t>עבר וכנס תוך ז</w:t>
      </w:r>
      <w:r>
        <w:rPr>
          <w:rFonts w:cs="Arial" w:hint="cs"/>
          <w:sz w:val="20"/>
          <w:szCs w:val="20"/>
          <w:rtl/>
        </w:rPr>
        <w:t>'</w:t>
      </w:r>
      <w:r>
        <w:rPr>
          <w:rFonts w:cs="Arial" w:hint="cs"/>
          <w:sz w:val="20"/>
          <w:szCs w:val="20"/>
          <w:rtl/>
        </w:rPr>
        <w:br/>
      </w:r>
      <w:r w:rsidRPr="00E45B81">
        <w:rPr>
          <w:rFonts w:cs="Arial" w:hint="cs"/>
          <w:b/>
          <w:bCs/>
          <w:sz w:val="20"/>
          <w:szCs w:val="20"/>
          <w:rtl/>
        </w:rPr>
        <w:t>ט"ז</w:t>
      </w:r>
      <w:r>
        <w:rPr>
          <w:rFonts w:cs="Arial" w:hint="cs"/>
          <w:sz w:val="20"/>
          <w:szCs w:val="20"/>
          <w:rtl/>
        </w:rPr>
        <w:t xml:space="preserve"> </w:t>
      </w:r>
      <w:r>
        <w:rPr>
          <w:rFonts w:cs="Arial"/>
          <w:sz w:val="20"/>
          <w:szCs w:val="20"/>
          <w:rtl/>
        </w:rPr>
        <w:t>–</w:t>
      </w:r>
      <w:r>
        <w:rPr>
          <w:rFonts w:cs="Arial" w:hint="cs"/>
          <w:sz w:val="20"/>
          <w:szCs w:val="20"/>
          <w:rtl/>
        </w:rPr>
        <w:t xml:space="preserve"> נראה שאם עבר וכנס תוך ז' אינם צריכים שמירה.</w:t>
      </w:r>
      <w:r>
        <w:rPr>
          <w:rFonts w:cs="Arial"/>
          <w:sz w:val="20"/>
          <w:szCs w:val="20"/>
          <w:rtl/>
        </w:rPr>
        <w:br/>
      </w:r>
      <w:r w:rsidRPr="00E45B81">
        <w:rPr>
          <w:rFonts w:cs="Arial" w:hint="cs"/>
          <w:b/>
          <w:bCs/>
          <w:sz w:val="20"/>
          <w:szCs w:val="20"/>
          <w:rtl/>
        </w:rPr>
        <w:t>טעם</w:t>
      </w:r>
      <w:r>
        <w:rPr>
          <w:rFonts w:cs="Arial" w:hint="cs"/>
          <w:sz w:val="20"/>
          <w:szCs w:val="20"/>
          <w:rtl/>
        </w:rPr>
        <w:t xml:space="preserve"> </w:t>
      </w:r>
      <w:r>
        <w:rPr>
          <w:rFonts w:cs="Arial"/>
          <w:sz w:val="20"/>
          <w:szCs w:val="20"/>
          <w:rtl/>
        </w:rPr>
        <w:t>–</w:t>
      </w:r>
      <w:r>
        <w:rPr>
          <w:rFonts w:cs="Arial" w:hint="cs"/>
          <w:sz w:val="20"/>
          <w:szCs w:val="20"/>
          <w:rtl/>
        </w:rPr>
        <w:t xml:space="preserve"> כיוון שכבר בעל אותה בעבר לא תקיף יצריה כל כך.</w:t>
      </w:r>
    </w:p>
    <w:p w:rsidR="00620060" w:rsidRDefault="00620060" w:rsidP="00620060">
      <w:pPr>
        <w:rPr>
          <w:sz w:val="20"/>
          <w:szCs w:val="20"/>
          <w:rtl/>
        </w:rPr>
      </w:pPr>
      <w:r>
        <w:rPr>
          <w:rFonts w:hint="cs"/>
          <w:sz w:val="20"/>
          <w:szCs w:val="20"/>
          <w:u w:val="single"/>
          <w:rtl/>
        </w:rPr>
        <w:t>חתן שהקדים לבוא</w:t>
      </w:r>
      <w:r>
        <w:rPr>
          <w:sz w:val="20"/>
          <w:szCs w:val="20"/>
          <w:u w:val="single"/>
          <w:rtl/>
        </w:rPr>
        <w:br/>
      </w:r>
      <w:r w:rsidRPr="002631B3">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מעשה בחתן שקבע מועד לנישואיו, אך אמר לכלתו שייתכן והוא יקדים לבוא. הכלה שמרה ז' נקיים והחתן הקדים לבוא ובעל אותה.</w:t>
      </w:r>
      <w:r>
        <w:rPr>
          <w:sz w:val="20"/>
          <w:szCs w:val="20"/>
          <w:rtl/>
        </w:rPr>
        <w:br/>
      </w:r>
      <w:r>
        <w:rPr>
          <w:rFonts w:hint="cs"/>
          <w:sz w:val="20"/>
          <w:szCs w:val="20"/>
          <w:rtl/>
        </w:rPr>
        <w:t xml:space="preserve">הדין </w:t>
      </w:r>
      <w:r>
        <w:rPr>
          <w:sz w:val="20"/>
          <w:szCs w:val="20"/>
          <w:rtl/>
        </w:rPr>
        <w:t>–</w:t>
      </w:r>
      <w:r>
        <w:rPr>
          <w:rFonts w:hint="cs"/>
          <w:sz w:val="20"/>
          <w:szCs w:val="20"/>
          <w:rtl/>
        </w:rPr>
        <w:t xml:space="preserve"> הביאה היתה שלא כהוגן, כיוון שלא ידעה בבירור שיקדים לבוא, נמצא שכאשר הקדים התעורר החימוד וצריכה למנות מעתה ז' נקיים. אמנם, אין להפרישם מחמת זאת, והביא ראיה לדבריו, עיי"ש.</w:t>
      </w:r>
      <w:r>
        <w:rPr>
          <w:rStyle w:val="a5"/>
          <w:sz w:val="20"/>
          <w:szCs w:val="20"/>
          <w:rtl/>
        </w:rPr>
        <w:footnoteReference w:id="387"/>
      </w:r>
    </w:p>
    <w:p w:rsidR="00620060" w:rsidRPr="00B7043F" w:rsidRDefault="00620060" w:rsidP="00620060">
      <w:pPr>
        <w:rPr>
          <w:sz w:val="20"/>
          <w:szCs w:val="20"/>
          <w:rtl/>
        </w:rPr>
      </w:pPr>
      <w:r>
        <w:rPr>
          <w:rFonts w:hint="cs"/>
          <w:sz w:val="20"/>
          <w:szCs w:val="20"/>
          <w:u w:val="single"/>
          <w:rtl/>
        </w:rPr>
        <w:t>כלה שביקשה להקדים את הנישואין (פת"ש)</w:t>
      </w:r>
      <w:r>
        <w:rPr>
          <w:rFonts w:hint="cs"/>
          <w:sz w:val="20"/>
          <w:szCs w:val="20"/>
          <w:u w:val="single"/>
          <w:rtl/>
        </w:rPr>
        <w:br/>
      </w:r>
      <w:r w:rsidRPr="00890F27">
        <w:rPr>
          <w:rFonts w:hint="cs"/>
          <w:b/>
          <w:bCs/>
          <w:sz w:val="20"/>
          <w:szCs w:val="20"/>
          <w:rtl/>
        </w:rPr>
        <w:t>נודע ביהודה</w:t>
      </w:r>
      <w:r>
        <w:rPr>
          <w:rFonts w:hint="cs"/>
          <w:sz w:val="20"/>
          <w:szCs w:val="20"/>
          <w:rtl/>
        </w:rPr>
        <w:t xml:space="preserve"> </w:t>
      </w:r>
      <w:r>
        <w:rPr>
          <w:sz w:val="20"/>
          <w:szCs w:val="20"/>
          <w:rtl/>
        </w:rPr>
        <w:t>–</w:t>
      </w:r>
      <w:r>
        <w:rPr>
          <w:rFonts w:hint="cs"/>
          <w:sz w:val="20"/>
          <w:szCs w:val="20"/>
          <w:rtl/>
        </w:rPr>
        <w:t xml:space="preserve"> מעשה בכלה שביקשה מאבי החתן להקדים את מועד הנישואין, והסכים לכך אך אמר לכלה שצריך לשאול את אשתו </w:t>
      </w:r>
      <w:r w:rsidRPr="00B7043F">
        <w:rPr>
          <w:rFonts w:hint="cs"/>
          <w:sz w:val="18"/>
          <w:szCs w:val="18"/>
          <w:rtl/>
        </w:rPr>
        <w:t>(שאינה נמצאת כאן כעת)</w:t>
      </w:r>
      <w:r>
        <w:rPr>
          <w:rFonts w:hint="cs"/>
          <w:sz w:val="20"/>
          <w:szCs w:val="20"/>
          <w:rtl/>
        </w:rPr>
        <w:t xml:space="preserve">. הכלה התחילה למנות מייד ז' נקיים, ואחר כך הגיע שליח </w:t>
      </w:r>
      <w:r>
        <w:rPr>
          <w:rFonts w:hint="cs"/>
          <w:sz w:val="20"/>
          <w:szCs w:val="20"/>
          <w:rtl/>
        </w:rPr>
        <w:lastRenderedPageBreak/>
        <w:t>מאשתו שמסכימה להקדמת הנישואין.</w:t>
      </w:r>
      <w:r>
        <w:rPr>
          <w:sz w:val="20"/>
          <w:szCs w:val="20"/>
          <w:rtl/>
        </w:rPr>
        <w:br/>
      </w:r>
      <w:r>
        <w:rPr>
          <w:rFonts w:hint="cs"/>
          <w:sz w:val="20"/>
          <w:szCs w:val="20"/>
          <w:rtl/>
        </w:rPr>
        <w:t xml:space="preserve">הדין </w:t>
      </w:r>
      <w:r>
        <w:rPr>
          <w:sz w:val="20"/>
          <w:szCs w:val="20"/>
          <w:rtl/>
        </w:rPr>
        <w:t>–</w:t>
      </w:r>
      <w:r>
        <w:rPr>
          <w:rFonts w:hint="cs"/>
          <w:sz w:val="20"/>
          <w:szCs w:val="20"/>
          <w:rtl/>
        </w:rPr>
        <w:t xml:space="preserve"> צריכה למנות ז' נקיים שנית.</w:t>
      </w:r>
      <w:r>
        <w:rPr>
          <w:sz w:val="20"/>
          <w:szCs w:val="20"/>
          <w:rtl/>
        </w:rPr>
        <w:br/>
      </w:r>
      <w:r w:rsidRPr="00890F27">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כל זמן שלא הגיע השליח היה הדבר ספק אצלה האם הנישואין יוקדמו.</w:t>
      </w:r>
      <w:r>
        <w:rPr>
          <w:sz w:val="20"/>
          <w:szCs w:val="20"/>
          <w:rtl/>
        </w:rPr>
        <w:br/>
      </w:r>
      <w:r>
        <w:rPr>
          <w:rFonts w:hint="cs"/>
          <w:sz w:val="20"/>
          <w:szCs w:val="20"/>
          <w:rtl/>
        </w:rPr>
        <w:t>אמנם, אם אבי החתן אמר שזוגתו תסכים בוודאי להקדמת הנישואין, ייתכן שיש להקל, ועדיין הדבר צריך תלמוד כיוון שמכל מקום תלה בדעת אחרים.</w:t>
      </w:r>
    </w:p>
    <w:p w:rsidR="00620060" w:rsidRDefault="00620060" w:rsidP="00620060">
      <w:pPr>
        <w:rPr>
          <w:sz w:val="20"/>
          <w:szCs w:val="20"/>
          <w:rtl/>
        </w:rPr>
      </w:pPr>
      <w:r>
        <w:rPr>
          <w:rFonts w:hint="cs"/>
          <w:sz w:val="20"/>
          <w:szCs w:val="20"/>
          <w:u w:val="single"/>
          <w:rtl/>
        </w:rPr>
        <w:t>גירש מחמת שבועה (פת"ש)</w:t>
      </w:r>
      <w:r>
        <w:rPr>
          <w:sz w:val="20"/>
          <w:szCs w:val="20"/>
          <w:u w:val="single"/>
          <w:rtl/>
        </w:rPr>
        <w:br/>
      </w:r>
      <w:r w:rsidRPr="00940EAA">
        <w:rPr>
          <w:rFonts w:hint="cs"/>
          <w:b/>
          <w:bCs/>
          <w:sz w:val="20"/>
          <w:szCs w:val="20"/>
          <w:rtl/>
        </w:rPr>
        <w:t>רדב"ז</w:t>
      </w:r>
      <w:r>
        <w:rPr>
          <w:rFonts w:hint="cs"/>
          <w:sz w:val="20"/>
          <w:szCs w:val="20"/>
          <w:rtl/>
        </w:rPr>
        <w:t xml:space="preserve"> </w:t>
      </w:r>
      <w:r>
        <w:rPr>
          <w:sz w:val="20"/>
          <w:szCs w:val="20"/>
          <w:rtl/>
        </w:rPr>
        <w:t>–</w:t>
      </w:r>
      <w:r>
        <w:rPr>
          <w:rFonts w:hint="cs"/>
          <w:sz w:val="20"/>
          <w:szCs w:val="20"/>
          <w:rtl/>
        </w:rPr>
        <w:t xml:space="preserve"> המגרש את אשתו מחמת שבועה והיא יודעת שעתיד להחזירה מייד ואינה מחמדת כל כך, צ"ע האם צריכה להמתין ז' נקיים מחמת לא פלוג או שאינה צריכה להמתין ז' נקיים.</w:t>
      </w:r>
    </w:p>
    <w:p w:rsidR="00620060"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537E15">
        <w:rPr>
          <w:rFonts w:hint="cs"/>
          <w:b/>
          <w:bCs/>
          <w:sz w:val="20"/>
          <w:szCs w:val="20"/>
          <w:rtl/>
        </w:rPr>
        <w:t>מחבר</w:t>
      </w:r>
      <w:r>
        <w:rPr>
          <w:rFonts w:hint="cs"/>
          <w:sz w:val="20"/>
          <w:szCs w:val="20"/>
          <w:rtl/>
        </w:rPr>
        <w:t>. גם מחזיר גרושתו צריכה לישב שבעה נקיים.</w:t>
      </w:r>
      <w:r>
        <w:rPr>
          <w:sz w:val="20"/>
          <w:szCs w:val="20"/>
          <w:rtl/>
        </w:rPr>
        <w:br/>
      </w:r>
      <w:r>
        <w:rPr>
          <w:rFonts w:hint="cs"/>
          <w:sz w:val="20"/>
          <w:szCs w:val="20"/>
          <w:rtl/>
        </w:rPr>
        <w:t xml:space="preserve">2. </w:t>
      </w:r>
      <w:r w:rsidRPr="00537E15">
        <w:rPr>
          <w:rFonts w:hint="cs"/>
          <w:b/>
          <w:bCs/>
          <w:sz w:val="20"/>
          <w:szCs w:val="20"/>
          <w:rtl/>
        </w:rPr>
        <w:t>ט"ז</w:t>
      </w:r>
      <w:r>
        <w:rPr>
          <w:rFonts w:hint="cs"/>
          <w:sz w:val="20"/>
          <w:szCs w:val="20"/>
          <w:rtl/>
        </w:rPr>
        <w:t xml:space="preserve">. אם עבר וכנס תוך ז' אינם צריכים שמירה. </w:t>
      </w:r>
      <w:r w:rsidRPr="00E03901">
        <w:rPr>
          <w:rFonts w:hint="cs"/>
          <w:b/>
          <w:bCs/>
          <w:sz w:val="20"/>
          <w:szCs w:val="20"/>
          <w:rtl/>
        </w:rPr>
        <w:t>טעם</w:t>
      </w:r>
      <w:r>
        <w:rPr>
          <w:rFonts w:hint="cs"/>
          <w:sz w:val="20"/>
          <w:szCs w:val="20"/>
          <w:rtl/>
        </w:rPr>
        <w:t>. כיוון שכבר בעל לא תקיף יצריה.</w:t>
      </w:r>
      <w:r>
        <w:rPr>
          <w:sz w:val="20"/>
          <w:szCs w:val="20"/>
          <w:rtl/>
        </w:rPr>
        <w:br/>
      </w:r>
      <w:r>
        <w:rPr>
          <w:rFonts w:hint="cs"/>
          <w:sz w:val="20"/>
          <w:szCs w:val="20"/>
          <w:rtl/>
        </w:rPr>
        <w:t xml:space="preserve">3. </w:t>
      </w:r>
      <w:r w:rsidRPr="0020354D">
        <w:rPr>
          <w:rFonts w:hint="cs"/>
          <w:b/>
          <w:bCs/>
          <w:sz w:val="20"/>
          <w:szCs w:val="20"/>
          <w:rtl/>
        </w:rPr>
        <w:t>ט"ז</w:t>
      </w:r>
      <w:r>
        <w:rPr>
          <w:rFonts w:hint="cs"/>
          <w:sz w:val="20"/>
          <w:szCs w:val="20"/>
          <w:rtl/>
        </w:rPr>
        <w:t>. חתן שאמר שאולי יקדים לבוא, הכלה שמרה ז"נ והחתן הקדים - מונה שוב. ומכל מקום אם בעל אין מפרישים כדי להבחין בין זרע כשר לפסול.</w:t>
      </w:r>
      <w:r>
        <w:rPr>
          <w:sz w:val="20"/>
          <w:szCs w:val="20"/>
          <w:rtl/>
        </w:rPr>
        <w:br/>
      </w:r>
      <w:r>
        <w:rPr>
          <w:rFonts w:hint="cs"/>
          <w:sz w:val="20"/>
          <w:szCs w:val="20"/>
          <w:rtl/>
        </w:rPr>
        <w:t xml:space="preserve">4. </w:t>
      </w:r>
      <w:r w:rsidRPr="00537E15">
        <w:rPr>
          <w:rFonts w:hint="cs"/>
          <w:b/>
          <w:bCs/>
          <w:sz w:val="20"/>
          <w:szCs w:val="20"/>
          <w:rtl/>
        </w:rPr>
        <w:t>נוב"י</w:t>
      </w:r>
      <w:r>
        <w:rPr>
          <w:rFonts w:hint="cs"/>
          <w:sz w:val="20"/>
          <w:szCs w:val="20"/>
          <w:rtl/>
        </w:rPr>
        <w:t>. כלה שביקשה להקדים את הנישואין, ז"נ עולים לה רק מזמן שברור לה שבקשתה תיענה בחיוב.</w:t>
      </w:r>
      <w:r>
        <w:rPr>
          <w:sz w:val="20"/>
          <w:szCs w:val="20"/>
          <w:rtl/>
        </w:rPr>
        <w:br/>
      </w:r>
      <w:r>
        <w:rPr>
          <w:rFonts w:hint="cs"/>
          <w:sz w:val="20"/>
          <w:szCs w:val="20"/>
          <w:rtl/>
        </w:rPr>
        <w:t xml:space="preserve">5. </w:t>
      </w:r>
      <w:r w:rsidRPr="00537E15">
        <w:rPr>
          <w:rFonts w:hint="cs"/>
          <w:b/>
          <w:bCs/>
          <w:sz w:val="20"/>
          <w:szCs w:val="20"/>
          <w:rtl/>
        </w:rPr>
        <w:t>רדב"ז</w:t>
      </w:r>
      <w:r>
        <w:rPr>
          <w:rFonts w:hint="cs"/>
          <w:sz w:val="20"/>
          <w:szCs w:val="20"/>
          <w:rtl/>
        </w:rPr>
        <w:t>. צ"ע במי שגירש מחמת שבועה וברור לה שיחזירנה, האם צריכה למנות ז"נ.</w:t>
      </w:r>
    </w:p>
    <w:p w:rsidR="00620060" w:rsidRPr="00DB0BD5" w:rsidRDefault="00620060" w:rsidP="00620060">
      <w:pPr>
        <w:rPr>
          <w:sz w:val="18"/>
          <w:szCs w:val="18"/>
          <w:rtl/>
        </w:rPr>
      </w:pPr>
      <w:r>
        <w:rPr>
          <w:sz w:val="20"/>
          <w:szCs w:val="20"/>
          <w:rtl/>
        </w:rPr>
        <w:br/>
      </w:r>
      <w:r w:rsidRPr="00DB0BD5">
        <w:rPr>
          <w:rFonts w:hint="cs"/>
          <w:b/>
          <w:bCs/>
          <w:sz w:val="18"/>
          <w:szCs w:val="18"/>
          <w:rtl/>
        </w:rPr>
        <w:t xml:space="preserve">נספח </w:t>
      </w:r>
      <w:r w:rsidRPr="00DB0BD5">
        <w:rPr>
          <w:b/>
          <w:bCs/>
          <w:sz w:val="18"/>
          <w:szCs w:val="18"/>
          <w:rtl/>
        </w:rPr>
        <w:t>–</w:t>
      </w:r>
      <w:r w:rsidRPr="00DB0BD5">
        <w:rPr>
          <w:rFonts w:hint="cs"/>
          <w:b/>
          <w:bCs/>
          <w:sz w:val="18"/>
          <w:szCs w:val="18"/>
          <w:rtl/>
        </w:rPr>
        <w:t xml:space="preserve"> דין חופת נידה </w:t>
      </w:r>
      <w:r w:rsidRPr="00DB0BD5">
        <w:rPr>
          <w:rFonts w:hint="cs"/>
          <w:sz w:val="18"/>
          <w:szCs w:val="18"/>
          <w:rtl/>
        </w:rPr>
        <w:t>(מתוך הסיכומים בהלכות חופה וקידושין, אבן העזר סימן סא')</w:t>
      </w:r>
      <w:r w:rsidRPr="00DB0BD5">
        <w:rPr>
          <w:b/>
          <w:bCs/>
          <w:sz w:val="18"/>
          <w:szCs w:val="18"/>
          <w:rtl/>
        </w:rPr>
        <w:br/>
      </w:r>
      <w:r w:rsidRPr="00DB0BD5">
        <w:rPr>
          <w:rFonts w:hint="cs"/>
          <w:b/>
          <w:bCs/>
          <w:sz w:val="18"/>
          <w:szCs w:val="18"/>
          <w:rtl/>
        </w:rPr>
        <w:t>חופת נידה</w:t>
      </w:r>
      <w:r w:rsidRPr="00DB0BD5">
        <w:rPr>
          <w:b/>
          <w:bCs/>
          <w:sz w:val="18"/>
          <w:szCs w:val="18"/>
          <w:rtl/>
        </w:rPr>
        <w:br/>
      </w:r>
      <w:r w:rsidRPr="00DB0BD5">
        <w:rPr>
          <w:rFonts w:hint="cs"/>
          <w:b/>
          <w:bCs/>
          <w:sz w:val="18"/>
          <w:szCs w:val="18"/>
          <w:rtl/>
        </w:rPr>
        <w:t xml:space="preserve">גמרא </w:t>
      </w:r>
      <w:r w:rsidRPr="00DB0BD5">
        <w:rPr>
          <w:rFonts w:hint="cs"/>
          <w:sz w:val="18"/>
          <w:szCs w:val="18"/>
          <w:rtl/>
        </w:rPr>
        <w:t>כתובות (שם) "</w:t>
      </w:r>
      <w:r w:rsidRPr="00DB0BD5">
        <w:rPr>
          <w:rFonts w:cs="Arial" w:hint="cs"/>
          <w:sz w:val="18"/>
          <w:szCs w:val="18"/>
          <w:rtl/>
        </w:rPr>
        <w:t>בעי</w:t>
      </w:r>
      <w:r w:rsidRPr="00DB0BD5">
        <w:rPr>
          <w:rFonts w:cs="Arial"/>
          <w:sz w:val="18"/>
          <w:szCs w:val="18"/>
          <w:rtl/>
        </w:rPr>
        <w:t xml:space="preserve"> </w:t>
      </w:r>
      <w:r w:rsidRPr="00DB0BD5">
        <w:rPr>
          <w:rFonts w:cs="Arial" w:hint="cs"/>
          <w:sz w:val="18"/>
          <w:szCs w:val="18"/>
          <w:rtl/>
        </w:rPr>
        <w:t>רבין</w:t>
      </w:r>
      <w:r w:rsidRPr="00DB0BD5">
        <w:rPr>
          <w:rFonts w:cs="Arial"/>
          <w:sz w:val="18"/>
          <w:szCs w:val="18"/>
          <w:rtl/>
        </w:rPr>
        <w:t xml:space="preserve">: </w:t>
      </w:r>
      <w:r w:rsidRPr="00DB0BD5">
        <w:rPr>
          <w:rFonts w:cs="Arial" w:hint="cs"/>
          <w:sz w:val="18"/>
          <w:szCs w:val="18"/>
          <w:rtl/>
        </w:rPr>
        <w:t>נכנסה</w:t>
      </w:r>
      <w:r w:rsidRPr="00DB0BD5">
        <w:rPr>
          <w:rFonts w:cs="Arial"/>
          <w:sz w:val="18"/>
          <w:szCs w:val="18"/>
          <w:rtl/>
        </w:rPr>
        <w:t xml:space="preserve"> </w:t>
      </w:r>
      <w:r w:rsidRPr="00DB0BD5">
        <w:rPr>
          <w:rFonts w:cs="Arial" w:hint="cs"/>
          <w:sz w:val="18"/>
          <w:szCs w:val="18"/>
          <w:rtl/>
        </w:rPr>
        <w:t>לחופה</w:t>
      </w:r>
      <w:r w:rsidRPr="00DB0BD5">
        <w:rPr>
          <w:rFonts w:cs="Arial"/>
          <w:sz w:val="18"/>
          <w:szCs w:val="18"/>
          <w:rtl/>
        </w:rPr>
        <w:t xml:space="preserve"> </w:t>
      </w:r>
      <w:r w:rsidRPr="00DB0BD5">
        <w:rPr>
          <w:rFonts w:cs="Arial" w:hint="cs"/>
          <w:sz w:val="18"/>
          <w:szCs w:val="18"/>
          <w:rtl/>
        </w:rPr>
        <w:t>ולא</w:t>
      </w:r>
      <w:r w:rsidRPr="00DB0BD5">
        <w:rPr>
          <w:rFonts w:cs="Arial"/>
          <w:sz w:val="18"/>
          <w:szCs w:val="18"/>
          <w:rtl/>
        </w:rPr>
        <w:t xml:space="preserve"> </w:t>
      </w:r>
      <w:r w:rsidRPr="00DB0BD5">
        <w:rPr>
          <w:rFonts w:cs="Arial" w:hint="cs"/>
          <w:sz w:val="18"/>
          <w:szCs w:val="18"/>
          <w:rtl/>
        </w:rPr>
        <w:t>נבעלה</w:t>
      </w:r>
      <w:r w:rsidRPr="00DB0BD5">
        <w:rPr>
          <w:rFonts w:cs="Arial"/>
          <w:sz w:val="18"/>
          <w:szCs w:val="18"/>
          <w:rtl/>
        </w:rPr>
        <w:t xml:space="preserve">, </w:t>
      </w:r>
      <w:r w:rsidRPr="00DB0BD5">
        <w:rPr>
          <w:rFonts w:cs="Arial" w:hint="cs"/>
          <w:sz w:val="18"/>
          <w:szCs w:val="18"/>
          <w:rtl/>
        </w:rPr>
        <w:t>מהו</w:t>
      </w:r>
      <w:r w:rsidRPr="00DB0BD5">
        <w:rPr>
          <w:rFonts w:cs="Arial"/>
          <w:sz w:val="18"/>
          <w:szCs w:val="18"/>
          <w:rtl/>
        </w:rPr>
        <w:t xml:space="preserve">? </w:t>
      </w:r>
      <w:r w:rsidRPr="00DB0BD5">
        <w:rPr>
          <w:rFonts w:cs="Arial" w:hint="cs"/>
          <w:sz w:val="18"/>
          <w:szCs w:val="18"/>
          <w:rtl/>
        </w:rPr>
        <w:t>חיבת</w:t>
      </w:r>
      <w:r w:rsidRPr="00DB0BD5">
        <w:rPr>
          <w:rFonts w:cs="Arial"/>
          <w:sz w:val="18"/>
          <w:szCs w:val="18"/>
          <w:rtl/>
        </w:rPr>
        <w:t xml:space="preserve"> </w:t>
      </w:r>
      <w:r w:rsidRPr="00DB0BD5">
        <w:rPr>
          <w:rFonts w:cs="Arial" w:hint="cs"/>
          <w:sz w:val="18"/>
          <w:szCs w:val="18"/>
          <w:rtl/>
        </w:rPr>
        <w:t>חופה</w:t>
      </w:r>
      <w:r w:rsidRPr="00DB0BD5">
        <w:rPr>
          <w:rFonts w:cs="Arial"/>
          <w:sz w:val="18"/>
          <w:szCs w:val="18"/>
          <w:rtl/>
        </w:rPr>
        <w:t xml:space="preserve"> </w:t>
      </w:r>
      <w:r w:rsidRPr="00DB0BD5">
        <w:rPr>
          <w:rFonts w:cs="Arial" w:hint="cs"/>
          <w:sz w:val="18"/>
          <w:szCs w:val="18"/>
          <w:rtl/>
        </w:rPr>
        <w:t>קונה</w:t>
      </w:r>
      <w:r w:rsidRPr="00DB0BD5">
        <w:rPr>
          <w:rFonts w:cs="Arial"/>
          <w:sz w:val="18"/>
          <w:szCs w:val="18"/>
          <w:rtl/>
        </w:rPr>
        <w:t xml:space="preserve">, </w:t>
      </w:r>
      <w:r w:rsidRPr="00DB0BD5">
        <w:rPr>
          <w:rFonts w:cs="Arial" w:hint="cs"/>
          <w:sz w:val="18"/>
          <w:szCs w:val="18"/>
          <w:rtl/>
        </w:rPr>
        <w:t>או</w:t>
      </w:r>
      <w:r w:rsidRPr="00DB0BD5">
        <w:rPr>
          <w:rFonts w:cs="Arial"/>
          <w:sz w:val="18"/>
          <w:szCs w:val="18"/>
          <w:rtl/>
        </w:rPr>
        <w:t xml:space="preserve"> </w:t>
      </w:r>
      <w:r w:rsidRPr="00DB0BD5">
        <w:rPr>
          <w:rFonts w:cs="Arial" w:hint="cs"/>
          <w:sz w:val="18"/>
          <w:szCs w:val="18"/>
          <w:rtl/>
        </w:rPr>
        <w:t>חיבת</w:t>
      </w:r>
      <w:r w:rsidRPr="00DB0BD5">
        <w:rPr>
          <w:rFonts w:cs="Arial"/>
          <w:sz w:val="18"/>
          <w:szCs w:val="18"/>
          <w:rtl/>
        </w:rPr>
        <w:t xml:space="preserve"> </w:t>
      </w:r>
      <w:r w:rsidRPr="00DB0BD5">
        <w:rPr>
          <w:rFonts w:cs="Arial" w:hint="cs"/>
          <w:sz w:val="18"/>
          <w:szCs w:val="18"/>
          <w:rtl/>
        </w:rPr>
        <w:t>ביאה</w:t>
      </w:r>
      <w:r w:rsidRPr="00DB0BD5">
        <w:rPr>
          <w:rFonts w:cs="Arial"/>
          <w:sz w:val="18"/>
          <w:szCs w:val="18"/>
          <w:rtl/>
        </w:rPr>
        <w:t xml:space="preserve"> </w:t>
      </w:r>
      <w:r w:rsidRPr="00DB0BD5">
        <w:rPr>
          <w:rFonts w:cs="Arial" w:hint="cs"/>
          <w:sz w:val="18"/>
          <w:szCs w:val="18"/>
          <w:rtl/>
        </w:rPr>
        <w:t>קונה</w:t>
      </w:r>
      <w:r w:rsidRPr="00DB0BD5">
        <w:rPr>
          <w:rFonts w:cs="Arial"/>
          <w:sz w:val="18"/>
          <w:szCs w:val="18"/>
          <w:rtl/>
        </w:rPr>
        <w:t>?</w:t>
      </w:r>
      <w:r w:rsidRPr="00DB0BD5">
        <w:rPr>
          <w:rFonts w:cs="Arial" w:hint="cs"/>
          <w:sz w:val="18"/>
          <w:szCs w:val="18"/>
          <w:rtl/>
        </w:rPr>
        <w:t xml:space="preserve">... </w:t>
      </w:r>
      <w:r w:rsidRPr="00DB0BD5">
        <w:rPr>
          <w:rFonts w:cs="Arial"/>
          <w:sz w:val="18"/>
          <w:szCs w:val="18"/>
          <w:rtl/>
        </w:rPr>
        <w:br/>
      </w:r>
      <w:r w:rsidRPr="00DB0BD5">
        <w:rPr>
          <w:rFonts w:cs="Arial" w:hint="cs"/>
          <w:sz w:val="18"/>
          <w:szCs w:val="18"/>
          <w:rtl/>
        </w:rPr>
        <w:t>בעי</w:t>
      </w:r>
      <w:r w:rsidRPr="00DB0BD5">
        <w:rPr>
          <w:rFonts w:cs="Arial"/>
          <w:sz w:val="18"/>
          <w:szCs w:val="18"/>
          <w:rtl/>
        </w:rPr>
        <w:t xml:space="preserve"> </w:t>
      </w:r>
      <w:r w:rsidRPr="00DB0BD5">
        <w:rPr>
          <w:rFonts w:cs="Arial" w:hint="cs"/>
          <w:sz w:val="18"/>
          <w:szCs w:val="18"/>
          <w:rtl/>
        </w:rPr>
        <w:t>רב</w:t>
      </w:r>
      <w:r w:rsidRPr="00DB0BD5">
        <w:rPr>
          <w:rFonts w:cs="Arial"/>
          <w:sz w:val="18"/>
          <w:szCs w:val="18"/>
          <w:rtl/>
        </w:rPr>
        <w:t xml:space="preserve"> </w:t>
      </w:r>
      <w:r w:rsidRPr="00DB0BD5">
        <w:rPr>
          <w:rFonts w:cs="Arial" w:hint="cs"/>
          <w:sz w:val="18"/>
          <w:szCs w:val="18"/>
          <w:rtl/>
        </w:rPr>
        <w:t>אשי</w:t>
      </w:r>
      <w:r w:rsidRPr="00DB0BD5">
        <w:rPr>
          <w:rFonts w:cs="Arial"/>
          <w:sz w:val="18"/>
          <w:szCs w:val="18"/>
          <w:rtl/>
        </w:rPr>
        <w:t xml:space="preserve">: </w:t>
      </w:r>
      <w:r w:rsidRPr="00DB0BD5">
        <w:rPr>
          <w:rFonts w:cs="Arial" w:hint="cs"/>
          <w:sz w:val="18"/>
          <w:szCs w:val="18"/>
          <w:rtl/>
        </w:rPr>
        <w:t>נכנסה</w:t>
      </w:r>
      <w:r w:rsidRPr="00DB0BD5">
        <w:rPr>
          <w:rFonts w:cs="Arial"/>
          <w:sz w:val="18"/>
          <w:szCs w:val="18"/>
          <w:rtl/>
        </w:rPr>
        <w:t xml:space="preserve"> </w:t>
      </w:r>
      <w:r w:rsidRPr="00DB0BD5">
        <w:rPr>
          <w:rFonts w:cs="Arial" w:hint="cs"/>
          <w:sz w:val="18"/>
          <w:szCs w:val="18"/>
          <w:rtl/>
        </w:rPr>
        <w:t>לחופה</w:t>
      </w:r>
      <w:r w:rsidRPr="00DB0BD5">
        <w:rPr>
          <w:rFonts w:cs="Arial"/>
          <w:sz w:val="18"/>
          <w:szCs w:val="18"/>
          <w:rtl/>
        </w:rPr>
        <w:t xml:space="preserve"> </w:t>
      </w:r>
      <w:r w:rsidRPr="00DB0BD5">
        <w:rPr>
          <w:rFonts w:cs="Arial" w:hint="cs"/>
          <w:sz w:val="18"/>
          <w:szCs w:val="18"/>
          <w:rtl/>
        </w:rPr>
        <w:t>ופירסה</w:t>
      </w:r>
      <w:r w:rsidRPr="00DB0BD5">
        <w:rPr>
          <w:rFonts w:cs="Arial"/>
          <w:sz w:val="18"/>
          <w:szCs w:val="18"/>
          <w:rtl/>
        </w:rPr>
        <w:t xml:space="preserve"> </w:t>
      </w:r>
      <w:r w:rsidRPr="00DB0BD5">
        <w:rPr>
          <w:rFonts w:cs="Arial" w:hint="cs"/>
          <w:sz w:val="18"/>
          <w:szCs w:val="18"/>
          <w:rtl/>
        </w:rPr>
        <w:t>נידה</w:t>
      </w:r>
      <w:r w:rsidRPr="00DB0BD5">
        <w:rPr>
          <w:rFonts w:cs="Arial"/>
          <w:sz w:val="18"/>
          <w:szCs w:val="18"/>
          <w:rtl/>
        </w:rPr>
        <w:t xml:space="preserve">, </w:t>
      </w:r>
      <w:r w:rsidRPr="00DB0BD5">
        <w:rPr>
          <w:rFonts w:cs="Arial" w:hint="cs"/>
          <w:sz w:val="18"/>
          <w:szCs w:val="18"/>
          <w:rtl/>
        </w:rPr>
        <w:t>מהו</w:t>
      </w:r>
      <w:r w:rsidRPr="00DB0BD5">
        <w:rPr>
          <w:rFonts w:cs="Arial"/>
          <w:sz w:val="18"/>
          <w:szCs w:val="18"/>
          <w:rtl/>
        </w:rPr>
        <w:t xml:space="preserve">? </w:t>
      </w:r>
      <w:r w:rsidRPr="00DB0BD5">
        <w:rPr>
          <w:rFonts w:cs="Arial" w:hint="cs"/>
          <w:sz w:val="18"/>
          <w:szCs w:val="18"/>
          <w:rtl/>
        </w:rPr>
        <w:t>אם</w:t>
      </w:r>
      <w:r w:rsidRPr="00DB0BD5">
        <w:rPr>
          <w:rFonts w:cs="Arial"/>
          <w:sz w:val="18"/>
          <w:szCs w:val="18"/>
          <w:rtl/>
        </w:rPr>
        <w:t xml:space="preserve"> </w:t>
      </w:r>
      <w:r w:rsidRPr="00DB0BD5">
        <w:rPr>
          <w:rFonts w:cs="Arial" w:hint="cs"/>
          <w:sz w:val="18"/>
          <w:szCs w:val="18"/>
          <w:rtl/>
        </w:rPr>
        <w:t>תימצי</w:t>
      </w:r>
      <w:r w:rsidRPr="00DB0BD5">
        <w:rPr>
          <w:rFonts w:cs="Arial"/>
          <w:sz w:val="18"/>
          <w:szCs w:val="18"/>
          <w:rtl/>
        </w:rPr>
        <w:t xml:space="preserve"> </w:t>
      </w:r>
      <w:r w:rsidRPr="00DB0BD5">
        <w:rPr>
          <w:rFonts w:cs="Arial" w:hint="cs"/>
          <w:sz w:val="18"/>
          <w:szCs w:val="18"/>
          <w:rtl/>
        </w:rPr>
        <w:t>לומר</w:t>
      </w:r>
      <w:r w:rsidRPr="00DB0BD5">
        <w:rPr>
          <w:rFonts w:cs="Arial"/>
          <w:sz w:val="18"/>
          <w:szCs w:val="18"/>
          <w:rtl/>
        </w:rPr>
        <w:t xml:space="preserve"> </w:t>
      </w:r>
      <w:r w:rsidRPr="00DB0BD5">
        <w:rPr>
          <w:rFonts w:cs="Arial" w:hint="cs"/>
          <w:sz w:val="18"/>
          <w:szCs w:val="18"/>
          <w:rtl/>
        </w:rPr>
        <w:t>חיבת</w:t>
      </w:r>
      <w:r w:rsidRPr="00DB0BD5">
        <w:rPr>
          <w:rFonts w:cs="Arial"/>
          <w:sz w:val="18"/>
          <w:szCs w:val="18"/>
          <w:rtl/>
        </w:rPr>
        <w:t xml:space="preserve"> </w:t>
      </w:r>
      <w:r w:rsidRPr="00DB0BD5">
        <w:rPr>
          <w:rFonts w:cs="Arial" w:hint="cs"/>
          <w:sz w:val="18"/>
          <w:szCs w:val="18"/>
          <w:rtl/>
        </w:rPr>
        <w:t>חופה</w:t>
      </w:r>
      <w:r w:rsidRPr="00DB0BD5">
        <w:rPr>
          <w:rFonts w:cs="Arial"/>
          <w:sz w:val="18"/>
          <w:szCs w:val="18"/>
          <w:rtl/>
        </w:rPr>
        <w:t xml:space="preserve"> </w:t>
      </w:r>
      <w:r w:rsidRPr="00DB0BD5">
        <w:rPr>
          <w:rFonts w:cs="Arial" w:hint="cs"/>
          <w:sz w:val="18"/>
          <w:szCs w:val="18"/>
          <w:rtl/>
        </w:rPr>
        <w:t>קונה</w:t>
      </w:r>
      <w:r w:rsidRPr="00DB0BD5">
        <w:rPr>
          <w:rFonts w:cs="Arial"/>
          <w:sz w:val="18"/>
          <w:szCs w:val="18"/>
          <w:rtl/>
        </w:rPr>
        <w:t xml:space="preserve"> - </w:t>
      </w:r>
      <w:r w:rsidRPr="00DB0BD5">
        <w:rPr>
          <w:rFonts w:cs="Arial" w:hint="cs"/>
          <w:sz w:val="18"/>
          <w:szCs w:val="18"/>
          <w:rtl/>
        </w:rPr>
        <w:t>חופה</w:t>
      </w:r>
      <w:r w:rsidRPr="00DB0BD5">
        <w:rPr>
          <w:rFonts w:cs="Arial"/>
          <w:sz w:val="18"/>
          <w:szCs w:val="18"/>
          <w:rtl/>
        </w:rPr>
        <w:t xml:space="preserve"> </w:t>
      </w:r>
      <w:r w:rsidRPr="00DB0BD5">
        <w:rPr>
          <w:rFonts w:cs="Arial" w:hint="cs"/>
          <w:sz w:val="18"/>
          <w:szCs w:val="18"/>
          <w:rtl/>
        </w:rPr>
        <w:t>דחזיא</w:t>
      </w:r>
      <w:r w:rsidRPr="00DB0BD5">
        <w:rPr>
          <w:rFonts w:cs="Arial"/>
          <w:sz w:val="18"/>
          <w:szCs w:val="18"/>
          <w:rtl/>
        </w:rPr>
        <w:t xml:space="preserve"> </w:t>
      </w:r>
      <w:r w:rsidRPr="00DB0BD5">
        <w:rPr>
          <w:rFonts w:cs="Arial" w:hint="cs"/>
          <w:sz w:val="18"/>
          <w:szCs w:val="18"/>
          <w:rtl/>
        </w:rPr>
        <w:t>לביאה</w:t>
      </w:r>
      <w:r w:rsidRPr="00DB0BD5">
        <w:rPr>
          <w:rFonts w:cs="Arial"/>
          <w:sz w:val="18"/>
          <w:szCs w:val="18"/>
          <w:rtl/>
        </w:rPr>
        <w:t xml:space="preserve">, </w:t>
      </w:r>
      <w:r w:rsidRPr="00DB0BD5">
        <w:rPr>
          <w:rFonts w:cs="Arial" w:hint="cs"/>
          <w:sz w:val="18"/>
          <w:szCs w:val="18"/>
          <w:rtl/>
        </w:rPr>
        <w:t>אבל</w:t>
      </w:r>
      <w:r w:rsidRPr="00DB0BD5">
        <w:rPr>
          <w:rFonts w:cs="Arial"/>
          <w:sz w:val="18"/>
          <w:szCs w:val="18"/>
          <w:rtl/>
        </w:rPr>
        <w:t xml:space="preserve"> </w:t>
      </w:r>
      <w:r w:rsidRPr="00DB0BD5">
        <w:rPr>
          <w:rFonts w:cs="Arial" w:hint="cs"/>
          <w:sz w:val="18"/>
          <w:szCs w:val="18"/>
          <w:rtl/>
        </w:rPr>
        <w:t>חופה</w:t>
      </w:r>
      <w:r w:rsidRPr="00DB0BD5">
        <w:rPr>
          <w:rFonts w:cs="Arial"/>
          <w:sz w:val="18"/>
          <w:szCs w:val="18"/>
          <w:rtl/>
        </w:rPr>
        <w:t xml:space="preserve"> </w:t>
      </w:r>
      <w:r w:rsidRPr="00DB0BD5">
        <w:rPr>
          <w:rFonts w:cs="Arial" w:hint="cs"/>
          <w:sz w:val="18"/>
          <w:szCs w:val="18"/>
          <w:rtl/>
        </w:rPr>
        <w:t>דלא</w:t>
      </w:r>
      <w:r w:rsidRPr="00DB0BD5">
        <w:rPr>
          <w:rFonts w:cs="Arial"/>
          <w:sz w:val="18"/>
          <w:szCs w:val="18"/>
          <w:rtl/>
        </w:rPr>
        <w:t xml:space="preserve"> </w:t>
      </w:r>
      <w:r w:rsidRPr="00DB0BD5">
        <w:rPr>
          <w:rFonts w:cs="Arial" w:hint="cs"/>
          <w:sz w:val="18"/>
          <w:szCs w:val="18"/>
          <w:rtl/>
        </w:rPr>
        <w:t>חזיא</w:t>
      </w:r>
      <w:r w:rsidRPr="00DB0BD5">
        <w:rPr>
          <w:rFonts w:cs="Arial"/>
          <w:sz w:val="18"/>
          <w:szCs w:val="18"/>
          <w:rtl/>
        </w:rPr>
        <w:t xml:space="preserve"> </w:t>
      </w:r>
      <w:r w:rsidRPr="00DB0BD5">
        <w:rPr>
          <w:rFonts w:cs="Arial" w:hint="cs"/>
          <w:sz w:val="18"/>
          <w:szCs w:val="18"/>
          <w:rtl/>
        </w:rPr>
        <w:t>לביאה</w:t>
      </w:r>
      <w:r w:rsidRPr="00DB0BD5">
        <w:rPr>
          <w:rFonts w:cs="Arial"/>
          <w:sz w:val="18"/>
          <w:szCs w:val="18"/>
          <w:rtl/>
        </w:rPr>
        <w:t xml:space="preserve"> </w:t>
      </w:r>
      <w:r w:rsidRPr="00DB0BD5">
        <w:rPr>
          <w:rFonts w:cs="Arial" w:hint="cs"/>
          <w:sz w:val="18"/>
          <w:szCs w:val="18"/>
          <w:rtl/>
        </w:rPr>
        <w:t>לא</w:t>
      </w:r>
      <w:r w:rsidRPr="00DB0BD5">
        <w:rPr>
          <w:rFonts w:cs="Arial"/>
          <w:sz w:val="18"/>
          <w:szCs w:val="18"/>
          <w:rtl/>
        </w:rPr>
        <w:t xml:space="preserve">, </w:t>
      </w:r>
      <w:r w:rsidRPr="00DB0BD5">
        <w:rPr>
          <w:rFonts w:cs="Arial" w:hint="cs"/>
          <w:sz w:val="18"/>
          <w:szCs w:val="18"/>
          <w:rtl/>
        </w:rPr>
        <w:t>או</w:t>
      </w:r>
      <w:r w:rsidRPr="00DB0BD5">
        <w:rPr>
          <w:rFonts w:cs="Arial"/>
          <w:sz w:val="18"/>
          <w:szCs w:val="18"/>
          <w:rtl/>
        </w:rPr>
        <w:t xml:space="preserve"> </w:t>
      </w:r>
      <w:r w:rsidRPr="00DB0BD5">
        <w:rPr>
          <w:rFonts w:cs="Arial" w:hint="cs"/>
          <w:sz w:val="18"/>
          <w:szCs w:val="18"/>
          <w:rtl/>
        </w:rPr>
        <w:t>דלמא</w:t>
      </w:r>
      <w:r w:rsidRPr="00DB0BD5">
        <w:rPr>
          <w:rFonts w:cs="Arial"/>
          <w:sz w:val="18"/>
          <w:szCs w:val="18"/>
          <w:rtl/>
        </w:rPr>
        <w:t xml:space="preserve"> </w:t>
      </w:r>
      <w:r w:rsidRPr="00DB0BD5">
        <w:rPr>
          <w:rFonts w:cs="Arial" w:hint="cs"/>
          <w:sz w:val="18"/>
          <w:szCs w:val="18"/>
          <w:rtl/>
        </w:rPr>
        <w:t>לא</w:t>
      </w:r>
      <w:r w:rsidRPr="00DB0BD5">
        <w:rPr>
          <w:rFonts w:cs="Arial"/>
          <w:sz w:val="18"/>
          <w:szCs w:val="18"/>
          <w:rtl/>
        </w:rPr>
        <w:t xml:space="preserve"> </w:t>
      </w:r>
      <w:r w:rsidRPr="00DB0BD5">
        <w:rPr>
          <w:rFonts w:cs="Arial" w:hint="cs"/>
          <w:sz w:val="18"/>
          <w:szCs w:val="18"/>
          <w:rtl/>
        </w:rPr>
        <w:t>שנא</w:t>
      </w:r>
      <w:r w:rsidRPr="00DB0BD5">
        <w:rPr>
          <w:rFonts w:cs="Arial"/>
          <w:sz w:val="18"/>
          <w:szCs w:val="18"/>
          <w:rtl/>
        </w:rPr>
        <w:t xml:space="preserve">? </w:t>
      </w:r>
      <w:r w:rsidRPr="00DB0BD5">
        <w:rPr>
          <w:rFonts w:cs="Arial" w:hint="cs"/>
          <w:sz w:val="18"/>
          <w:szCs w:val="18"/>
          <w:rtl/>
        </w:rPr>
        <w:t>תיקו</w:t>
      </w:r>
      <w:r>
        <w:rPr>
          <w:rFonts w:cs="Arial"/>
          <w:sz w:val="18"/>
          <w:szCs w:val="18"/>
          <w:rtl/>
        </w:rPr>
        <w:t>".</w:t>
      </w:r>
    </w:p>
    <w:p w:rsidR="00620060" w:rsidRPr="00DB0BD5" w:rsidRDefault="00620060" w:rsidP="00620060">
      <w:pPr>
        <w:rPr>
          <w:sz w:val="18"/>
          <w:szCs w:val="18"/>
          <w:rtl/>
        </w:rPr>
      </w:pPr>
      <w:r w:rsidRPr="00DB0BD5">
        <w:rPr>
          <w:rFonts w:hint="cs"/>
          <w:sz w:val="18"/>
          <w:szCs w:val="18"/>
          <w:u w:val="single"/>
          <w:rtl/>
        </w:rPr>
        <w:t>שיטות הראשונים</w:t>
      </w:r>
      <w:r w:rsidRPr="00DB0BD5">
        <w:rPr>
          <w:rFonts w:hint="cs"/>
          <w:sz w:val="18"/>
          <w:szCs w:val="18"/>
          <w:rtl/>
        </w:rPr>
        <w:br/>
        <w:t xml:space="preserve">א. </w:t>
      </w:r>
      <w:r w:rsidRPr="00DB0BD5">
        <w:rPr>
          <w:rFonts w:hint="cs"/>
          <w:b/>
          <w:bCs/>
          <w:sz w:val="18"/>
          <w:szCs w:val="18"/>
          <w:rtl/>
        </w:rPr>
        <w:t>רא"ש</w:t>
      </w:r>
      <w:r w:rsidRPr="00DB0BD5">
        <w:rPr>
          <w:rFonts w:hint="cs"/>
          <w:sz w:val="18"/>
          <w:szCs w:val="18"/>
          <w:rtl/>
        </w:rPr>
        <w:t xml:space="preserve"> </w:t>
      </w:r>
      <w:r w:rsidRPr="00DB0BD5">
        <w:rPr>
          <w:sz w:val="18"/>
          <w:szCs w:val="18"/>
          <w:rtl/>
        </w:rPr>
        <w:t>–</w:t>
      </w:r>
      <w:r w:rsidRPr="00DB0BD5">
        <w:rPr>
          <w:rFonts w:hint="cs"/>
          <w:sz w:val="18"/>
          <w:szCs w:val="18"/>
          <w:rtl/>
        </w:rPr>
        <w:t xml:space="preserve"> חופת נידה קונה, אלא שאינה זוכה בתוספת כתובה, וכ"פ </w:t>
      </w:r>
      <w:r w:rsidRPr="00DB0BD5">
        <w:rPr>
          <w:rFonts w:hint="cs"/>
          <w:b/>
          <w:bCs/>
          <w:sz w:val="18"/>
          <w:szCs w:val="18"/>
          <w:rtl/>
        </w:rPr>
        <w:t>הדרכ"מ</w:t>
      </w:r>
      <w:r w:rsidRPr="00DB0BD5">
        <w:rPr>
          <w:rFonts w:hint="cs"/>
          <w:sz w:val="18"/>
          <w:szCs w:val="18"/>
          <w:rtl/>
        </w:rPr>
        <w:t>.</w:t>
      </w:r>
      <w:r w:rsidRPr="00DB0BD5">
        <w:rPr>
          <w:sz w:val="18"/>
          <w:szCs w:val="18"/>
          <w:rtl/>
        </w:rPr>
        <w:br/>
      </w:r>
      <w:r w:rsidRPr="00DB0BD5">
        <w:rPr>
          <w:rFonts w:hint="cs"/>
          <w:b/>
          <w:bCs/>
          <w:sz w:val="18"/>
          <w:szCs w:val="18"/>
          <w:rtl/>
        </w:rPr>
        <w:t>טעם</w:t>
      </w:r>
      <w:r w:rsidRPr="00DB0BD5">
        <w:rPr>
          <w:rFonts w:hint="cs"/>
          <w:sz w:val="18"/>
          <w:szCs w:val="18"/>
          <w:rtl/>
        </w:rPr>
        <w:t xml:space="preserve"> </w:t>
      </w:r>
      <w:r w:rsidRPr="00DB0BD5">
        <w:rPr>
          <w:sz w:val="18"/>
          <w:szCs w:val="18"/>
          <w:rtl/>
        </w:rPr>
        <w:t>–</w:t>
      </w:r>
      <w:r w:rsidRPr="00DB0BD5">
        <w:rPr>
          <w:rFonts w:hint="cs"/>
          <w:sz w:val="18"/>
          <w:szCs w:val="18"/>
          <w:rtl/>
        </w:rPr>
        <w:t xml:space="preserve"> ספק הגמרא היה רק לעניין קניין תוספת כתובה, אך לעניין נישואין פשוט שמהני חופת נידה.</w:t>
      </w:r>
      <w:r w:rsidRPr="00DB0BD5">
        <w:rPr>
          <w:rStyle w:val="a5"/>
          <w:sz w:val="18"/>
          <w:szCs w:val="18"/>
          <w:rtl/>
        </w:rPr>
        <w:footnoteReference w:id="388"/>
      </w:r>
      <w:r w:rsidRPr="00DB0BD5">
        <w:rPr>
          <w:rFonts w:hint="cs"/>
          <w:sz w:val="18"/>
          <w:szCs w:val="18"/>
          <w:rtl/>
        </w:rPr>
        <w:t xml:space="preserve"> ומשום שספק הגמרא עלה בתיקו, אין להוציא ממון מהבעל ללא ראיה. </w:t>
      </w:r>
      <w:r w:rsidRPr="00DB0BD5">
        <w:rPr>
          <w:rFonts w:hint="cs"/>
          <w:sz w:val="18"/>
          <w:szCs w:val="18"/>
          <w:rtl/>
        </w:rPr>
        <w:br/>
        <w:t xml:space="preserve">ב. </w:t>
      </w:r>
      <w:r w:rsidRPr="00DB0BD5">
        <w:rPr>
          <w:rFonts w:hint="cs"/>
          <w:b/>
          <w:bCs/>
          <w:sz w:val="18"/>
          <w:szCs w:val="18"/>
          <w:rtl/>
        </w:rPr>
        <w:t xml:space="preserve">רמב"ם </w:t>
      </w:r>
      <w:r w:rsidRPr="00DB0BD5">
        <w:rPr>
          <w:sz w:val="18"/>
          <w:szCs w:val="18"/>
          <w:rtl/>
        </w:rPr>
        <w:t>–</w:t>
      </w:r>
      <w:r w:rsidRPr="00DB0BD5">
        <w:rPr>
          <w:rFonts w:hint="cs"/>
          <w:sz w:val="18"/>
          <w:szCs w:val="18"/>
          <w:rtl/>
        </w:rPr>
        <w:t xml:space="preserve"> חופת נידה אינה קונה, ודין האשה כארוסה לכל דבר, וכ"פ </w:t>
      </w:r>
      <w:r w:rsidRPr="00DB0BD5">
        <w:rPr>
          <w:rFonts w:hint="cs"/>
          <w:b/>
          <w:bCs/>
          <w:sz w:val="18"/>
          <w:szCs w:val="18"/>
          <w:rtl/>
        </w:rPr>
        <w:t>המחבר</w:t>
      </w:r>
      <w:r w:rsidRPr="00DB0BD5">
        <w:rPr>
          <w:rFonts w:hint="cs"/>
          <w:sz w:val="18"/>
          <w:szCs w:val="18"/>
          <w:rtl/>
        </w:rPr>
        <w:t>.</w:t>
      </w:r>
      <w:r w:rsidRPr="00DB0BD5">
        <w:rPr>
          <w:rStyle w:val="a5"/>
          <w:sz w:val="18"/>
          <w:szCs w:val="18"/>
          <w:rtl/>
        </w:rPr>
        <w:footnoteReference w:id="389"/>
      </w:r>
      <w:r w:rsidRPr="00DB0BD5">
        <w:rPr>
          <w:sz w:val="18"/>
          <w:szCs w:val="18"/>
          <w:rtl/>
        </w:rPr>
        <w:br/>
      </w:r>
      <w:r w:rsidRPr="00DB0BD5">
        <w:rPr>
          <w:rFonts w:hint="cs"/>
          <w:b/>
          <w:bCs/>
          <w:sz w:val="18"/>
          <w:szCs w:val="18"/>
          <w:rtl/>
        </w:rPr>
        <w:t>טעם</w:t>
      </w:r>
      <w:r w:rsidRPr="00DB0BD5">
        <w:rPr>
          <w:rFonts w:hint="cs"/>
          <w:sz w:val="18"/>
          <w:szCs w:val="18"/>
          <w:rtl/>
        </w:rPr>
        <w:t xml:space="preserve"> </w:t>
      </w:r>
      <w:r w:rsidRPr="00DB0BD5">
        <w:rPr>
          <w:sz w:val="18"/>
          <w:szCs w:val="18"/>
          <w:rtl/>
        </w:rPr>
        <w:t>–</w:t>
      </w:r>
      <w:r w:rsidRPr="00DB0BD5">
        <w:rPr>
          <w:rFonts w:hint="cs"/>
          <w:sz w:val="18"/>
          <w:szCs w:val="18"/>
          <w:rtl/>
        </w:rPr>
        <w:t xml:space="preserve"> הספק בגמרא היה לגבי כל דיני אישות, וכיוון שעלה בתיקו, אין החופה קונה.</w:t>
      </w:r>
    </w:p>
    <w:p w:rsidR="00620060" w:rsidRPr="00DB0BD5" w:rsidRDefault="00620060" w:rsidP="00620060">
      <w:pPr>
        <w:rPr>
          <w:sz w:val="18"/>
          <w:szCs w:val="18"/>
          <w:rtl/>
        </w:rPr>
      </w:pPr>
      <w:r w:rsidRPr="00DB0BD5">
        <w:rPr>
          <w:rFonts w:hint="cs"/>
          <w:sz w:val="18"/>
          <w:szCs w:val="18"/>
          <w:u w:val="single"/>
          <w:rtl/>
        </w:rPr>
        <w:t>ראיות לשיטת הרמב"ם ודחייתן</w:t>
      </w:r>
      <w:r w:rsidRPr="00DB0BD5">
        <w:rPr>
          <w:sz w:val="18"/>
          <w:szCs w:val="18"/>
          <w:u w:val="single"/>
          <w:rtl/>
        </w:rPr>
        <w:br/>
      </w:r>
      <w:r w:rsidRPr="00DB0BD5">
        <w:rPr>
          <w:rFonts w:hint="cs"/>
          <w:sz w:val="18"/>
          <w:szCs w:val="18"/>
          <w:rtl/>
        </w:rPr>
        <w:t xml:space="preserve">א. </w:t>
      </w:r>
      <w:r w:rsidRPr="00DB0BD5">
        <w:rPr>
          <w:rFonts w:hint="cs"/>
          <w:b/>
          <w:bCs/>
          <w:sz w:val="18"/>
          <w:szCs w:val="18"/>
          <w:rtl/>
        </w:rPr>
        <w:t>גמרא</w:t>
      </w:r>
      <w:r w:rsidRPr="00DB0BD5">
        <w:rPr>
          <w:rFonts w:hint="cs"/>
          <w:sz w:val="18"/>
          <w:szCs w:val="18"/>
          <w:rtl/>
        </w:rPr>
        <w:t xml:space="preserve"> כתובות (ב.) "</w:t>
      </w:r>
      <w:r w:rsidRPr="00DB0BD5">
        <w:rPr>
          <w:rFonts w:cs="Arial" w:hint="cs"/>
          <w:sz w:val="18"/>
          <w:szCs w:val="18"/>
          <w:rtl/>
        </w:rPr>
        <w:t>לפיכך</w:t>
      </w:r>
      <w:r w:rsidRPr="00DB0BD5">
        <w:rPr>
          <w:rFonts w:cs="Arial"/>
          <w:sz w:val="18"/>
          <w:szCs w:val="18"/>
          <w:rtl/>
        </w:rPr>
        <w:t xml:space="preserve">, </w:t>
      </w:r>
      <w:r w:rsidRPr="00DB0BD5">
        <w:rPr>
          <w:rFonts w:cs="Arial" w:hint="cs"/>
          <w:sz w:val="18"/>
          <w:szCs w:val="18"/>
          <w:rtl/>
        </w:rPr>
        <w:t>חלה</w:t>
      </w:r>
      <w:r w:rsidRPr="00DB0BD5">
        <w:rPr>
          <w:rFonts w:cs="Arial"/>
          <w:sz w:val="18"/>
          <w:szCs w:val="18"/>
          <w:rtl/>
        </w:rPr>
        <w:t xml:space="preserve"> </w:t>
      </w:r>
      <w:r w:rsidRPr="00DB0BD5">
        <w:rPr>
          <w:rFonts w:cs="Arial" w:hint="cs"/>
          <w:sz w:val="18"/>
          <w:szCs w:val="18"/>
          <w:rtl/>
        </w:rPr>
        <w:t>הוא</w:t>
      </w:r>
      <w:r w:rsidRPr="00DB0BD5">
        <w:rPr>
          <w:rFonts w:cs="Arial"/>
          <w:sz w:val="18"/>
          <w:szCs w:val="18"/>
          <w:rtl/>
        </w:rPr>
        <w:t xml:space="preserve">, </w:t>
      </w:r>
      <w:r w:rsidRPr="00DB0BD5">
        <w:rPr>
          <w:rFonts w:cs="Arial" w:hint="cs"/>
          <w:sz w:val="18"/>
          <w:szCs w:val="18"/>
          <w:rtl/>
        </w:rPr>
        <w:t>או</w:t>
      </w:r>
      <w:r w:rsidRPr="00DB0BD5">
        <w:rPr>
          <w:rFonts w:cs="Arial"/>
          <w:sz w:val="18"/>
          <w:szCs w:val="18"/>
          <w:rtl/>
        </w:rPr>
        <w:t xml:space="preserve"> </w:t>
      </w:r>
      <w:r w:rsidRPr="00DB0BD5">
        <w:rPr>
          <w:rFonts w:cs="Arial" w:hint="cs"/>
          <w:sz w:val="18"/>
          <w:szCs w:val="18"/>
          <w:rtl/>
        </w:rPr>
        <w:t>שחלתה</w:t>
      </w:r>
      <w:r w:rsidRPr="00DB0BD5">
        <w:rPr>
          <w:rFonts w:cs="Arial"/>
          <w:sz w:val="18"/>
          <w:szCs w:val="18"/>
          <w:rtl/>
        </w:rPr>
        <w:t xml:space="preserve"> </w:t>
      </w:r>
      <w:r w:rsidRPr="00DB0BD5">
        <w:rPr>
          <w:rFonts w:cs="Arial" w:hint="cs"/>
          <w:sz w:val="18"/>
          <w:szCs w:val="18"/>
          <w:rtl/>
        </w:rPr>
        <w:t>היא</w:t>
      </w:r>
      <w:r w:rsidRPr="00DB0BD5">
        <w:rPr>
          <w:rFonts w:cs="Arial"/>
          <w:sz w:val="18"/>
          <w:szCs w:val="18"/>
          <w:rtl/>
        </w:rPr>
        <w:t xml:space="preserve">, </w:t>
      </w:r>
      <w:r w:rsidRPr="00DB0BD5">
        <w:rPr>
          <w:rFonts w:cs="Arial" w:hint="cs"/>
          <w:sz w:val="18"/>
          <w:szCs w:val="18"/>
          <w:rtl/>
        </w:rPr>
        <w:t>או</w:t>
      </w:r>
      <w:r w:rsidRPr="00DB0BD5">
        <w:rPr>
          <w:rFonts w:cs="Arial"/>
          <w:sz w:val="18"/>
          <w:szCs w:val="18"/>
          <w:rtl/>
        </w:rPr>
        <w:t xml:space="preserve"> </w:t>
      </w:r>
      <w:r w:rsidRPr="00DB0BD5">
        <w:rPr>
          <w:rFonts w:cs="Arial" w:hint="cs"/>
          <w:sz w:val="18"/>
          <w:szCs w:val="18"/>
          <w:rtl/>
        </w:rPr>
        <w:t>שפירסה</w:t>
      </w:r>
      <w:r w:rsidRPr="00DB0BD5">
        <w:rPr>
          <w:rFonts w:cs="Arial"/>
          <w:sz w:val="18"/>
          <w:szCs w:val="18"/>
          <w:rtl/>
        </w:rPr>
        <w:t xml:space="preserve"> </w:t>
      </w:r>
      <w:r w:rsidRPr="00DB0BD5">
        <w:rPr>
          <w:rFonts w:cs="Arial" w:hint="cs"/>
          <w:sz w:val="18"/>
          <w:szCs w:val="18"/>
          <w:rtl/>
        </w:rPr>
        <w:t>נדה</w:t>
      </w:r>
      <w:r w:rsidRPr="00DB0BD5">
        <w:rPr>
          <w:rFonts w:cs="Arial"/>
          <w:sz w:val="18"/>
          <w:szCs w:val="18"/>
          <w:rtl/>
        </w:rPr>
        <w:t xml:space="preserve"> - </w:t>
      </w:r>
      <w:r w:rsidRPr="00DB0BD5">
        <w:rPr>
          <w:rFonts w:cs="Arial" w:hint="cs"/>
          <w:sz w:val="18"/>
          <w:szCs w:val="18"/>
          <w:rtl/>
        </w:rPr>
        <w:t>אינו</w:t>
      </w:r>
      <w:r w:rsidRPr="00DB0BD5">
        <w:rPr>
          <w:rFonts w:cs="Arial"/>
          <w:sz w:val="18"/>
          <w:szCs w:val="18"/>
          <w:rtl/>
        </w:rPr>
        <w:t xml:space="preserve"> </w:t>
      </w:r>
      <w:r w:rsidRPr="00DB0BD5">
        <w:rPr>
          <w:rFonts w:cs="Arial" w:hint="cs"/>
          <w:sz w:val="18"/>
          <w:szCs w:val="18"/>
          <w:rtl/>
        </w:rPr>
        <w:t>מעלה</w:t>
      </w:r>
      <w:r w:rsidRPr="00DB0BD5">
        <w:rPr>
          <w:rFonts w:cs="Arial"/>
          <w:sz w:val="18"/>
          <w:szCs w:val="18"/>
          <w:rtl/>
        </w:rPr>
        <w:t xml:space="preserve"> </w:t>
      </w:r>
      <w:r w:rsidRPr="00DB0BD5">
        <w:rPr>
          <w:rFonts w:cs="Arial" w:hint="cs"/>
          <w:sz w:val="18"/>
          <w:szCs w:val="18"/>
          <w:rtl/>
        </w:rPr>
        <w:t>לה</w:t>
      </w:r>
      <w:r w:rsidRPr="00DB0BD5">
        <w:rPr>
          <w:rFonts w:cs="Arial"/>
          <w:sz w:val="18"/>
          <w:szCs w:val="18"/>
          <w:rtl/>
        </w:rPr>
        <w:t xml:space="preserve"> </w:t>
      </w:r>
      <w:r w:rsidRPr="00DB0BD5">
        <w:rPr>
          <w:rFonts w:cs="Arial" w:hint="cs"/>
          <w:sz w:val="18"/>
          <w:szCs w:val="18"/>
          <w:rtl/>
        </w:rPr>
        <w:t>מזונות</w:t>
      </w:r>
      <w:r>
        <w:rPr>
          <w:rFonts w:cs="Arial"/>
          <w:sz w:val="18"/>
          <w:szCs w:val="18"/>
          <w:rtl/>
        </w:rPr>
        <w:t>".</w:t>
      </w:r>
      <w:r w:rsidRPr="00DB0BD5">
        <w:rPr>
          <w:rFonts w:cs="Arial" w:hint="cs"/>
          <w:sz w:val="18"/>
          <w:szCs w:val="18"/>
          <w:rtl/>
        </w:rPr>
        <w:br/>
      </w:r>
      <w:r w:rsidRPr="00DB0BD5">
        <w:rPr>
          <w:rFonts w:cs="Arial" w:hint="cs"/>
          <w:sz w:val="18"/>
          <w:szCs w:val="18"/>
          <w:u w:val="single"/>
          <w:rtl/>
        </w:rPr>
        <w:t>פירוש</w:t>
      </w:r>
      <w:r w:rsidRPr="00DB0BD5">
        <w:rPr>
          <w:rFonts w:cs="Arial" w:hint="cs"/>
          <w:sz w:val="18"/>
          <w:szCs w:val="18"/>
          <w:rtl/>
        </w:rPr>
        <w:t xml:space="preserve"> </w:t>
      </w:r>
      <w:r w:rsidRPr="00DB0BD5">
        <w:rPr>
          <w:rFonts w:cs="Arial"/>
          <w:sz w:val="18"/>
          <w:szCs w:val="18"/>
          <w:rtl/>
        </w:rPr>
        <w:t>–</w:t>
      </w:r>
      <w:r w:rsidRPr="00DB0BD5">
        <w:rPr>
          <w:rFonts w:cs="Arial" w:hint="cs"/>
          <w:sz w:val="18"/>
          <w:szCs w:val="18"/>
          <w:rtl/>
        </w:rPr>
        <w:t xml:space="preserve"> אע"פ שהגיע זמן שעליו לכנסה, מכיוון שהיא נידה אינו יכול לכנוס ולכן פטור מלהעלות לה מזונות</w:t>
      </w:r>
      <w:r w:rsidRPr="00DB0BD5">
        <w:rPr>
          <w:rFonts w:hint="cs"/>
          <w:sz w:val="18"/>
          <w:szCs w:val="18"/>
          <w:rtl/>
        </w:rPr>
        <w:t>.</w:t>
      </w:r>
      <w:r w:rsidRPr="00DB0BD5">
        <w:rPr>
          <w:rFonts w:hint="cs"/>
          <w:sz w:val="18"/>
          <w:szCs w:val="18"/>
          <w:rtl/>
        </w:rPr>
        <w:br/>
        <w:t xml:space="preserve">ב. </w:t>
      </w:r>
      <w:r w:rsidRPr="00DB0BD5">
        <w:rPr>
          <w:rFonts w:hint="cs"/>
          <w:b/>
          <w:bCs/>
          <w:sz w:val="18"/>
          <w:szCs w:val="18"/>
          <w:rtl/>
        </w:rPr>
        <w:t>גמרא</w:t>
      </w:r>
      <w:r w:rsidRPr="00DB0BD5">
        <w:rPr>
          <w:rFonts w:hint="cs"/>
          <w:sz w:val="18"/>
          <w:szCs w:val="18"/>
          <w:rtl/>
        </w:rPr>
        <w:t xml:space="preserve"> נידה (סו.) "</w:t>
      </w:r>
      <w:r w:rsidRPr="00DB0BD5">
        <w:rPr>
          <w:rFonts w:cs="Arial" w:hint="cs"/>
          <w:sz w:val="18"/>
          <w:szCs w:val="18"/>
          <w:rtl/>
        </w:rPr>
        <w:t>רבינא</w:t>
      </w:r>
      <w:r w:rsidRPr="00DB0BD5">
        <w:rPr>
          <w:rFonts w:cs="Arial"/>
          <w:sz w:val="18"/>
          <w:szCs w:val="18"/>
          <w:rtl/>
        </w:rPr>
        <w:t xml:space="preserve"> </w:t>
      </w:r>
      <w:r w:rsidRPr="00DB0BD5">
        <w:rPr>
          <w:rFonts w:cs="Arial" w:hint="cs"/>
          <w:sz w:val="18"/>
          <w:szCs w:val="18"/>
          <w:rtl/>
        </w:rPr>
        <w:t>איעסק</w:t>
      </w:r>
      <w:r w:rsidRPr="00DB0BD5">
        <w:rPr>
          <w:rFonts w:cs="Arial"/>
          <w:sz w:val="18"/>
          <w:szCs w:val="18"/>
          <w:rtl/>
        </w:rPr>
        <w:t xml:space="preserve"> </w:t>
      </w:r>
      <w:r w:rsidRPr="00DB0BD5">
        <w:rPr>
          <w:rFonts w:cs="Arial" w:hint="cs"/>
          <w:sz w:val="18"/>
          <w:szCs w:val="18"/>
          <w:rtl/>
        </w:rPr>
        <w:t>ליה</w:t>
      </w:r>
      <w:r w:rsidRPr="00DB0BD5">
        <w:rPr>
          <w:rFonts w:cs="Arial"/>
          <w:sz w:val="18"/>
          <w:szCs w:val="18"/>
          <w:rtl/>
        </w:rPr>
        <w:t xml:space="preserve"> </w:t>
      </w:r>
      <w:r w:rsidRPr="00DB0BD5">
        <w:rPr>
          <w:rFonts w:cs="Arial" w:hint="cs"/>
          <w:sz w:val="18"/>
          <w:szCs w:val="18"/>
          <w:rtl/>
        </w:rPr>
        <w:t>לבריה</w:t>
      </w:r>
      <w:r w:rsidRPr="00DB0BD5">
        <w:rPr>
          <w:rFonts w:cs="Arial"/>
          <w:sz w:val="18"/>
          <w:szCs w:val="18"/>
          <w:rtl/>
        </w:rPr>
        <w:t xml:space="preserve"> </w:t>
      </w:r>
      <w:r w:rsidRPr="00DB0BD5">
        <w:rPr>
          <w:rFonts w:cs="Arial" w:hint="cs"/>
          <w:sz w:val="18"/>
          <w:szCs w:val="18"/>
          <w:rtl/>
        </w:rPr>
        <w:t>בי</w:t>
      </w:r>
      <w:r w:rsidRPr="00DB0BD5">
        <w:rPr>
          <w:rFonts w:cs="Arial"/>
          <w:sz w:val="18"/>
          <w:szCs w:val="18"/>
          <w:rtl/>
        </w:rPr>
        <w:t xml:space="preserve"> </w:t>
      </w:r>
      <w:r w:rsidRPr="00DB0BD5">
        <w:rPr>
          <w:rFonts w:cs="Arial" w:hint="cs"/>
          <w:sz w:val="18"/>
          <w:szCs w:val="18"/>
          <w:rtl/>
        </w:rPr>
        <w:t>רב</w:t>
      </w:r>
      <w:r w:rsidRPr="00DB0BD5">
        <w:rPr>
          <w:rFonts w:cs="Arial"/>
          <w:sz w:val="18"/>
          <w:szCs w:val="18"/>
          <w:rtl/>
        </w:rPr>
        <w:t xml:space="preserve"> </w:t>
      </w:r>
      <w:r w:rsidRPr="00DB0BD5">
        <w:rPr>
          <w:rFonts w:cs="Arial" w:hint="cs"/>
          <w:sz w:val="18"/>
          <w:szCs w:val="18"/>
          <w:rtl/>
        </w:rPr>
        <w:t>חנינא</w:t>
      </w:r>
      <w:r w:rsidRPr="00DB0BD5">
        <w:rPr>
          <w:rFonts w:cs="Arial"/>
          <w:sz w:val="18"/>
          <w:szCs w:val="18"/>
          <w:rtl/>
        </w:rPr>
        <w:t xml:space="preserve">, </w:t>
      </w:r>
      <w:r w:rsidRPr="00DB0BD5">
        <w:rPr>
          <w:rFonts w:cs="Arial" w:hint="cs"/>
          <w:sz w:val="18"/>
          <w:szCs w:val="18"/>
          <w:rtl/>
        </w:rPr>
        <w:t>א</w:t>
      </w:r>
      <w:r w:rsidRPr="00DB0BD5">
        <w:rPr>
          <w:rFonts w:cs="Arial"/>
          <w:sz w:val="18"/>
          <w:szCs w:val="18"/>
          <w:rtl/>
        </w:rPr>
        <w:t>"</w:t>
      </w:r>
      <w:r w:rsidRPr="00DB0BD5">
        <w:rPr>
          <w:rFonts w:cs="Arial" w:hint="cs"/>
          <w:sz w:val="18"/>
          <w:szCs w:val="18"/>
          <w:rtl/>
        </w:rPr>
        <w:t>ל</w:t>
      </w:r>
      <w:r w:rsidRPr="00DB0BD5">
        <w:rPr>
          <w:rFonts w:cs="Arial"/>
          <w:sz w:val="18"/>
          <w:szCs w:val="18"/>
          <w:rtl/>
        </w:rPr>
        <w:t xml:space="preserve">: </w:t>
      </w:r>
      <w:r w:rsidRPr="00DB0BD5">
        <w:rPr>
          <w:rFonts w:cs="Arial" w:hint="cs"/>
          <w:sz w:val="18"/>
          <w:szCs w:val="18"/>
          <w:rtl/>
        </w:rPr>
        <w:t>סבר</w:t>
      </w:r>
      <w:r w:rsidRPr="00DB0BD5">
        <w:rPr>
          <w:rFonts w:cs="Arial"/>
          <w:sz w:val="18"/>
          <w:szCs w:val="18"/>
          <w:rtl/>
        </w:rPr>
        <w:t xml:space="preserve"> </w:t>
      </w:r>
      <w:r w:rsidRPr="00DB0BD5">
        <w:rPr>
          <w:rFonts w:cs="Arial" w:hint="cs"/>
          <w:sz w:val="18"/>
          <w:szCs w:val="18"/>
          <w:rtl/>
        </w:rPr>
        <w:t>ליה</w:t>
      </w:r>
      <w:r w:rsidRPr="00DB0BD5">
        <w:rPr>
          <w:rFonts w:cs="Arial"/>
          <w:sz w:val="18"/>
          <w:szCs w:val="18"/>
          <w:rtl/>
        </w:rPr>
        <w:t xml:space="preserve"> </w:t>
      </w:r>
      <w:r w:rsidRPr="00DB0BD5">
        <w:rPr>
          <w:rFonts w:cs="Arial" w:hint="cs"/>
          <w:sz w:val="18"/>
          <w:szCs w:val="18"/>
          <w:rtl/>
        </w:rPr>
        <w:t>מר</w:t>
      </w:r>
      <w:r w:rsidRPr="00DB0BD5">
        <w:rPr>
          <w:rFonts w:cs="Arial"/>
          <w:sz w:val="18"/>
          <w:szCs w:val="18"/>
          <w:rtl/>
        </w:rPr>
        <w:t xml:space="preserve"> </w:t>
      </w:r>
      <w:r w:rsidRPr="00DB0BD5">
        <w:rPr>
          <w:rFonts w:cs="Arial" w:hint="cs"/>
          <w:sz w:val="18"/>
          <w:szCs w:val="18"/>
          <w:rtl/>
        </w:rPr>
        <w:t>למכתב</w:t>
      </w:r>
      <w:r w:rsidRPr="00DB0BD5">
        <w:rPr>
          <w:rFonts w:cs="Arial"/>
          <w:sz w:val="18"/>
          <w:szCs w:val="18"/>
          <w:rtl/>
        </w:rPr>
        <w:t xml:space="preserve"> </w:t>
      </w:r>
      <w:r w:rsidRPr="00DB0BD5">
        <w:rPr>
          <w:rFonts w:cs="Arial" w:hint="cs"/>
          <w:sz w:val="18"/>
          <w:szCs w:val="18"/>
          <w:rtl/>
        </w:rPr>
        <w:t>כתובה</w:t>
      </w:r>
      <w:r w:rsidRPr="00DB0BD5">
        <w:rPr>
          <w:rFonts w:cs="Arial"/>
          <w:sz w:val="18"/>
          <w:szCs w:val="18"/>
          <w:rtl/>
        </w:rPr>
        <w:t xml:space="preserve"> </w:t>
      </w:r>
      <w:r w:rsidRPr="00DB0BD5">
        <w:rPr>
          <w:rFonts w:cs="Arial" w:hint="cs"/>
          <w:sz w:val="18"/>
          <w:szCs w:val="18"/>
          <w:rtl/>
        </w:rPr>
        <w:t>לארבעה</w:t>
      </w:r>
      <w:r w:rsidRPr="00DB0BD5">
        <w:rPr>
          <w:rFonts w:cs="Arial"/>
          <w:sz w:val="18"/>
          <w:szCs w:val="18"/>
          <w:rtl/>
        </w:rPr>
        <w:t xml:space="preserve"> </w:t>
      </w:r>
      <w:r w:rsidRPr="00DB0BD5">
        <w:rPr>
          <w:rFonts w:cs="Arial" w:hint="cs"/>
          <w:sz w:val="18"/>
          <w:szCs w:val="18"/>
          <w:rtl/>
        </w:rPr>
        <w:t>יום</w:t>
      </w:r>
      <w:r w:rsidRPr="00DB0BD5">
        <w:rPr>
          <w:rFonts w:cs="Arial"/>
          <w:sz w:val="18"/>
          <w:szCs w:val="18"/>
          <w:rtl/>
        </w:rPr>
        <w:t xml:space="preserve">? </w:t>
      </w:r>
      <w:r w:rsidRPr="00DB0BD5">
        <w:rPr>
          <w:rFonts w:cs="Arial" w:hint="cs"/>
          <w:sz w:val="18"/>
          <w:szCs w:val="18"/>
          <w:rtl/>
        </w:rPr>
        <w:t>א</w:t>
      </w:r>
      <w:r w:rsidRPr="00DB0BD5">
        <w:rPr>
          <w:rFonts w:cs="Arial"/>
          <w:sz w:val="18"/>
          <w:szCs w:val="18"/>
          <w:rtl/>
        </w:rPr>
        <w:t>"</w:t>
      </w:r>
      <w:r w:rsidRPr="00DB0BD5">
        <w:rPr>
          <w:rFonts w:cs="Arial" w:hint="cs"/>
          <w:sz w:val="18"/>
          <w:szCs w:val="18"/>
          <w:rtl/>
        </w:rPr>
        <w:t>ל</w:t>
      </w:r>
      <w:r w:rsidRPr="00DB0BD5">
        <w:rPr>
          <w:rFonts w:cs="Arial"/>
          <w:sz w:val="18"/>
          <w:szCs w:val="18"/>
          <w:rtl/>
        </w:rPr>
        <w:t xml:space="preserve">: </w:t>
      </w:r>
      <w:r w:rsidRPr="00DB0BD5">
        <w:rPr>
          <w:rFonts w:cs="Arial" w:hint="cs"/>
          <w:sz w:val="18"/>
          <w:szCs w:val="18"/>
          <w:rtl/>
        </w:rPr>
        <w:t>אין</w:t>
      </w:r>
      <w:r w:rsidRPr="00DB0BD5">
        <w:rPr>
          <w:rFonts w:cs="Arial"/>
          <w:sz w:val="18"/>
          <w:szCs w:val="18"/>
          <w:rtl/>
        </w:rPr>
        <w:t xml:space="preserve">. </w:t>
      </w:r>
      <w:r w:rsidRPr="00DB0BD5">
        <w:rPr>
          <w:rFonts w:cs="Arial" w:hint="cs"/>
          <w:sz w:val="18"/>
          <w:szCs w:val="18"/>
          <w:rtl/>
        </w:rPr>
        <w:t>כי</w:t>
      </w:r>
      <w:r w:rsidRPr="00DB0BD5">
        <w:rPr>
          <w:rFonts w:cs="Arial"/>
          <w:sz w:val="18"/>
          <w:szCs w:val="18"/>
          <w:rtl/>
        </w:rPr>
        <w:t xml:space="preserve"> </w:t>
      </w:r>
      <w:r w:rsidRPr="00DB0BD5">
        <w:rPr>
          <w:rFonts w:cs="Arial" w:hint="cs"/>
          <w:sz w:val="18"/>
          <w:szCs w:val="18"/>
          <w:rtl/>
        </w:rPr>
        <w:t>מטא</w:t>
      </w:r>
      <w:r w:rsidRPr="00DB0BD5">
        <w:rPr>
          <w:rFonts w:cs="Arial"/>
          <w:sz w:val="18"/>
          <w:szCs w:val="18"/>
          <w:rtl/>
        </w:rPr>
        <w:t xml:space="preserve"> </w:t>
      </w:r>
      <w:r w:rsidRPr="00DB0BD5">
        <w:rPr>
          <w:rFonts w:cs="Arial" w:hint="cs"/>
          <w:sz w:val="18"/>
          <w:szCs w:val="18"/>
          <w:rtl/>
        </w:rPr>
        <w:t>לארבעה</w:t>
      </w:r>
      <w:r w:rsidRPr="00DB0BD5">
        <w:rPr>
          <w:rFonts w:cs="Arial"/>
          <w:sz w:val="18"/>
          <w:szCs w:val="18"/>
          <w:rtl/>
        </w:rPr>
        <w:t xml:space="preserve"> - </w:t>
      </w:r>
      <w:r w:rsidRPr="00DB0BD5">
        <w:rPr>
          <w:rFonts w:cs="Arial" w:hint="cs"/>
          <w:sz w:val="18"/>
          <w:szCs w:val="18"/>
          <w:rtl/>
        </w:rPr>
        <w:t>נטר</w:t>
      </w:r>
      <w:r w:rsidRPr="00DB0BD5">
        <w:rPr>
          <w:rFonts w:cs="Arial"/>
          <w:sz w:val="18"/>
          <w:szCs w:val="18"/>
          <w:rtl/>
        </w:rPr>
        <w:t xml:space="preserve"> </w:t>
      </w:r>
      <w:r w:rsidRPr="00DB0BD5">
        <w:rPr>
          <w:rFonts w:cs="Arial" w:hint="cs"/>
          <w:sz w:val="18"/>
          <w:szCs w:val="18"/>
          <w:rtl/>
        </w:rPr>
        <w:t>עד</w:t>
      </w:r>
      <w:r w:rsidRPr="00DB0BD5">
        <w:rPr>
          <w:rFonts w:cs="Arial"/>
          <w:sz w:val="18"/>
          <w:szCs w:val="18"/>
          <w:rtl/>
        </w:rPr>
        <w:t xml:space="preserve"> </w:t>
      </w:r>
      <w:r w:rsidRPr="00DB0BD5">
        <w:rPr>
          <w:rFonts w:cs="Arial" w:hint="cs"/>
          <w:sz w:val="18"/>
          <w:szCs w:val="18"/>
          <w:rtl/>
        </w:rPr>
        <w:t>ארבעה</w:t>
      </w:r>
      <w:r w:rsidRPr="00DB0BD5">
        <w:rPr>
          <w:rFonts w:cs="Arial"/>
          <w:sz w:val="18"/>
          <w:szCs w:val="18"/>
          <w:rtl/>
        </w:rPr>
        <w:t xml:space="preserve"> </w:t>
      </w:r>
      <w:r w:rsidRPr="00DB0BD5">
        <w:rPr>
          <w:rFonts w:cs="Arial" w:hint="cs"/>
          <w:sz w:val="18"/>
          <w:szCs w:val="18"/>
          <w:rtl/>
        </w:rPr>
        <w:t>אחרינא</w:t>
      </w:r>
      <w:r w:rsidRPr="00DB0BD5">
        <w:rPr>
          <w:rFonts w:cs="Arial"/>
          <w:sz w:val="18"/>
          <w:szCs w:val="18"/>
          <w:rtl/>
        </w:rPr>
        <w:t xml:space="preserve">, </w:t>
      </w:r>
      <w:r w:rsidRPr="00DB0BD5">
        <w:rPr>
          <w:rFonts w:cs="Arial" w:hint="cs"/>
          <w:sz w:val="18"/>
          <w:szCs w:val="18"/>
          <w:rtl/>
        </w:rPr>
        <w:t>איעכב</w:t>
      </w:r>
      <w:r w:rsidRPr="00DB0BD5">
        <w:rPr>
          <w:rFonts w:cs="Arial"/>
          <w:sz w:val="18"/>
          <w:szCs w:val="18"/>
          <w:rtl/>
        </w:rPr>
        <w:t xml:space="preserve"> </w:t>
      </w:r>
      <w:r w:rsidRPr="00DB0BD5">
        <w:rPr>
          <w:rFonts w:cs="Arial" w:hint="cs"/>
          <w:sz w:val="18"/>
          <w:szCs w:val="18"/>
          <w:rtl/>
        </w:rPr>
        <w:t>שבעה</w:t>
      </w:r>
      <w:r w:rsidRPr="00DB0BD5">
        <w:rPr>
          <w:rFonts w:cs="Arial"/>
          <w:sz w:val="18"/>
          <w:szCs w:val="18"/>
          <w:rtl/>
        </w:rPr>
        <w:t xml:space="preserve"> </w:t>
      </w:r>
      <w:r w:rsidRPr="00DB0BD5">
        <w:rPr>
          <w:rFonts w:cs="Arial" w:hint="cs"/>
          <w:sz w:val="18"/>
          <w:szCs w:val="18"/>
          <w:rtl/>
        </w:rPr>
        <w:t>יומי</w:t>
      </w:r>
      <w:r w:rsidRPr="00DB0BD5">
        <w:rPr>
          <w:rFonts w:cs="Arial"/>
          <w:sz w:val="18"/>
          <w:szCs w:val="18"/>
          <w:rtl/>
        </w:rPr>
        <w:t xml:space="preserve"> </w:t>
      </w:r>
      <w:r w:rsidRPr="00DB0BD5">
        <w:rPr>
          <w:rFonts w:cs="Arial" w:hint="cs"/>
          <w:sz w:val="18"/>
          <w:szCs w:val="18"/>
          <w:rtl/>
        </w:rPr>
        <w:t>בתר</w:t>
      </w:r>
      <w:r w:rsidRPr="00DB0BD5">
        <w:rPr>
          <w:rFonts w:cs="Arial"/>
          <w:sz w:val="18"/>
          <w:szCs w:val="18"/>
          <w:rtl/>
        </w:rPr>
        <w:t xml:space="preserve"> </w:t>
      </w:r>
      <w:r w:rsidRPr="00DB0BD5">
        <w:rPr>
          <w:rFonts w:cs="Arial" w:hint="cs"/>
          <w:sz w:val="18"/>
          <w:szCs w:val="18"/>
          <w:rtl/>
        </w:rPr>
        <w:t>ההוא</w:t>
      </w:r>
      <w:r w:rsidRPr="00DB0BD5">
        <w:rPr>
          <w:rFonts w:cs="Arial"/>
          <w:sz w:val="18"/>
          <w:szCs w:val="18"/>
          <w:rtl/>
        </w:rPr>
        <w:t xml:space="preserve"> </w:t>
      </w:r>
      <w:r w:rsidRPr="00DB0BD5">
        <w:rPr>
          <w:rFonts w:cs="Arial" w:hint="cs"/>
          <w:sz w:val="18"/>
          <w:szCs w:val="18"/>
          <w:rtl/>
        </w:rPr>
        <w:t>יומא</w:t>
      </w:r>
      <w:r w:rsidRPr="00DB0BD5">
        <w:rPr>
          <w:rFonts w:cs="Arial"/>
          <w:sz w:val="18"/>
          <w:szCs w:val="18"/>
          <w:rtl/>
        </w:rPr>
        <w:t xml:space="preserve">. </w:t>
      </w:r>
      <w:r w:rsidRPr="00DB0BD5">
        <w:rPr>
          <w:rFonts w:cs="Arial" w:hint="cs"/>
          <w:sz w:val="18"/>
          <w:szCs w:val="18"/>
          <w:rtl/>
        </w:rPr>
        <w:t>א</w:t>
      </w:r>
      <w:r w:rsidRPr="00DB0BD5">
        <w:rPr>
          <w:rFonts w:cs="Arial"/>
          <w:sz w:val="18"/>
          <w:szCs w:val="18"/>
          <w:rtl/>
        </w:rPr>
        <w:t>"</w:t>
      </w:r>
      <w:r w:rsidRPr="00DB0BD5">
        <w:rPr>
          <w:rFonts w:cs="Arial" w:hint="cs"/>
          <w:sz w:val="18"/>
          <w:szCs w:val="18"/>
          <w:rtl/>
        </w:rPr>
        <w:t>ל</w:t>
      </w:r>
      <w:r w:rsidRPr="00DB0BD5">
        <w:rPr>
          <w:rFonts w:cs="Arial"/>
          <w:sz w:val="18"/>
          <w:szCs w:val="18"/>
          <w:rtl/>
        </w:rPr>
        <w:t xml:space="preserve">: </w:t>
      </w:r>
      <w:r w:rsidRPr="00DB0BD5">
        <w:rPr>
          <w:rFonts w:cs="Arial" w:hint="cs"/>
          <w:sz w:val="18"/>
          <w:szCs w:val="18"/>
          <w:rtl/>
        </w:rPr>
        <w:t>מאי</w:t>
      </w:r>
      <w:r w:rsidRPr="00DB0BD5">
        <w:rPr>
          <w:rFonts w:cs="Arial"/>
          <w:sz w:val="18"/>
          <w:szCs w:val="18"/>
          <w:rtl/>
        </w:rPr>
        <w:t xml:space="preserve"> </w:t>
      </w:r>
      <w:r w:rsidRPr="00DB0BD5">
        <w:rPr>
          <w:rFonts w:cs="Arial" w:hint="cs"/>
          <w:sz w:val="18"/>
          <w:szCs w:val="18"/>
          <w:rtl/>
        </w:rPr>
        <w:t>האי</w:t>
      </w:r>
      <w:r w:rsidRPr="00DB0BD5">
        <w:rPr>
          <w:rFonts w:cs="Arial"/>
          <w:sz w:val="18"/>
          <w:szCs w:val="18"/>
          <w:rtl/>
        </w:rPr>
        <w:t xml:space="preserve">? </w:t>
      </w:r>
      <w:r w:rsidRPr="00DB0BD5">
        <w:rPr>
          <w:rFonts w:cs="Arial" w:hint="cs"/>
          <w:sz w:val="18"/>
          <w:szCs w:val="18"/>
          <w:rtl/>
        </w:rPr>
        <w:t>א</w:t>
      </w:r>
      <w:r w:rsidRPr="00DB0BD5">
        <w:rPr>
          <w:rFonts w:cs="Arial"/>
          <w:sz w:val="18"/>
          <w:szCs w:val="18"/>
          <w:rtl/>
        </w:rPr>
        <w:t>"</w:t>
      </w:r>
      <w:r w:rsidRPr="00DB0BD5">
        <w:rPr>
          <w:rFonts w:cs="Arial" w:hint="cs"/>
          <w:sz w:val="18"/>
          <w:szCs w:val="18"/>
          <w:rtl/>
        </w:rPr>
        <w:t>ל</w:t>
      </w:r>
      <w:r w:rsidRPr="00DB0BD5">
        <w:rPr>
          <w:rFonts w:cs="Arial"/>
          <w:sz w:val="18"/>
          <w:szCs w:val="18"/>
          <w:rtl/>
        </w:rPr>
        <w:t xml:space="preserve">: </w:t>
      </w:r>
      <w:r w:rsidRPr="00DB0BD5">
        <w:rPr>
          <w:rFonts w:cs="Arial" w:hint="cs"/>
          <w:sz w:val="18"/>
          <w:szCs w:val="18"/>
          <w:rtl/>
        </w:rPr>
        <w:t>לא</w:t>
      </w:r>
      <w:r w:rsidRPr="00DB0BD5">
        <w:rPr>
          <w:rFonts w:cs="Arial"/>
          <w:sz w:val="18"/>
          <w:szCs w:val="18"/>
          <w:rtl/>
        </w:rPr>
        <w:t xml:space="preserve"> </w:t>
      </w:r>
      <w:r w:rsidRPr="00DB0BD5">
        <w:rPr>
          <w:rFonts w:cs="Arial" w:hint="cs"/>
          <w:sz w:val="18"/>
          <w:szCs w:val="18"/>
          <w:rtl/>
        </w:rPr>
        <w:t>סבר</w:t>
      </w:r>
      <w:r w:rsidRPr="00DB0BD5">
        <w:rPr>
          <w:rFonts w:cs="Arial"/>
          <w:sz w:val="18"/>
          <w:szCs w:val="18"/>
          <w:rtl/>
        </w:rPr>
        <w:t xml:space="preserve"> </w:t>
      </w:r>
      <w:r w:rsidRPr="00DB0BD5">
        <w:rPr>
          <w:rFonts w:cs="Arial" w:hint="cs"/>
          <w:sz w:val="18"/>
          <w:szCs w:val="18"/>
          <w:rtl/>
        </w:rPr>
        <w:t>לה</w:t>
      </w:r>
      <w:r w:rsidRPr="00DB0BD5">
        <w:rPr>
          <w:rFonts w:cs="Arial"/>
          <w:sz w:val="18"/>
          <w:szCs w:val="18"/>
          <w:rtl/>
        </w:rPr>
        <w:t xml:space="preserve"> </w:t>
      </w:r>
      <w:r w:rsidRPr="00DB0BD5">
        <w:rPr>
          <w:rFonts w:cs="Arial" w:hint="cs"/>
          <w:sz w:val="18"/>
          <w:szCs w:val="18"/>
          <w:rtl/>
        </w:rPr>
        <w:t>מר</w:t>
      </w:r>
      <w:r w:rsidRPr="00DB0BD5">
        <w:rPr>
          <w:rFonts w:cs="Arial"/>
          <w:sz w:val="18"/>
          <w:szCs w:val="18"/>
          <w:rtl/>
        </w:rPr>
        <w:t xml:space="preserve"> </w:t>
      </w:r>
      <w:r w:rsidRPr="00DB0BD5">
        <w:rPr>
          <w:rFonts w:cs="Arial" w:hint="cs"/>
          <w:sz w:val="18"/>
          <w:szCs w:val="18"/>
          <w:rtl/>
        </w:rPr>
        <w:t>להא</w:t>
      </w:r>
      <w:r w:rsidRPr="00DB0BD5">
        <w:rPr>
          <w:rFonts w:cs="Arial"/>
          <w:sz w:val="18"/>
          <w:szCs w:val="18"/>
          <w:rtl/>
        </w:rPr>
        <w:t xml:space="preserve"> </w:t>
      </w:r>
      <w:r w:rsidRPr="00DB0BD5">
        <w:rPr>
          <w:rFonts w:cs="Arial" w:hint="cs"/>
          <w:sz w:val="18"/>
          <w:szCs w:val="18"/>
          <w:rtl/>
        </w:rPr>
        <w:t>דרבא</w:t>
      </w:r>
      <w:r w:rsidRPr="00DB0BD5">
        <w:rPr>
          <w:rFonts w:cs="Arial"/>
          <w:sz w:val="18"/>
          <w:szCs w:val="18"/>
          <w:rtl/>
        </w:rPr>
        <w:t xml:space="preserve">, </w:t>
      </w:r>
      <w:r w:rsidRPr="00DB0BD5">
        <w:rPr>
          <w:rFonts w:cs="Arial" w:hint="cs"/>
          <w:sz w:val="18"/>
          <w:szCs w:val="18"/>
          <w:rtl/>
        </w:rPr>
        <w:t>דאמר</w:t>
      </w:r>
      <w:r w:rsidRPr="00DB0BD5">
        <w:rPr>
          <w:rFonts w:cs="Arial"/>
          <w:sz w:val="18"/>
          <w:szCs w:val="18"/>
          <w:rtl/>
        </w:rPr>
        <w:t xml:space="preserve"> </w:t>
      </w:r>
      <w:r w:rsidRPr="00DB0BD5">
        <w:rPr>
          <w:rFonts w:cs="Arial" w:hint="cs"/>
          <w:sz w:val="18"/>
          <w:szCs w:val="18"/>
          <w:rtl/>
        </w:rPr>
        <w:t>רבא</w:t>
      </w:r>
      <w:r w:rsidRPr="00DB0BD5">
        <w:rPr>
          <w:rFonts w:cs="Arial"/>
          <w:sz w:val="18"/>
          <w:szCs w:val="18"/>
          <w:rtl/>
        </w:rPr>
        <w:t xml:space="preserve">: </w:t>
      </w:r>
      <w:r w:rsidRPr="00DB0BD5">
        <w:rPr>
          <w:rFonts w:cs="Arial" w:hint="cs"/>
          <w:sz w:val="18"/>
          <w:szCs w:val="18"/>
          <w:rtl/>
        </w:rPr>
        <w:t>תבעוה</w:t>
      </w:r>
      <w:r w:rsidRPr="00DB0BD5">
        <w:rPr>
          <w:rFonts w:cs="Arial"/>
          <w:sz w:val="18"/>
          <w:szCs w:val="18"/>
          <w:rtl/>
        </w:rPr>
        <w:t xml:space="preserve"> </w:t>
      </w:r>
      <w:r w:rsidRPr="00DB0BD5">
        <w:rPr>
          <w:rFonts w:cs="Arial" w:hint="cs"/>
          <w:sz w:val="18"/>
          <w:szCs w:val="18"/>
          <w:rtl/>
        </w:rPr>
        <w:t>לינשא</w:t>
      </w:r>
      <w:r w:rsidRPr="00DB0BD5">
        <w:rPr>
          <w:rFonts w:cs="Arial"/>
          <w:sz w:val="18"/>
          <w:szCs w:val="18"/>
          <w:rtl/>
        </w:rPr>
        <w:t xml:space="preserve"> </w:t>
      </w:r>
      <w:r w:rsidRPr="00DB0BD5">
        <w:rPr>
          <w:rFonts w:cs="Arial" w:hint="cs"/>
          <w:sz w:val="18"/>
          <w:szCs w:val="18"/>
          <w:rtl/>
        </w:rPr>
        <w:t>ונתפייסה</w:t>
      </w:r>
      <w:r w:rsidRPr="00DB0BD5">
        <w:rPr>
          <w:rFonts w:cs="Arial"/>
          <w:sz w:val="18"/>
          <w:szCs w:val="18"/>
          <w:rtl/>
        </w:rPr>
        <w:t xml:space="preserve"> - </w:t>
      </w:r>
      <w:r w:rsidRPr="00DB0BD5">
        <w:rPr>
          <w:rFonts w:cs="Arial" w:hint="cs"/>
          <w:sz w:val="18"/>
          <w:szCs w:val="18"/>
          <w:rtl/>
        </w:rPr>
        <w:t>צריכה</w:t>
      </w:r>
      <w:r w:rsidRPr="00DB0BD5">
        <w:rPr>
          <w:rFonts w:cs="Arial"/>
          <w:sz w:val="18"/>
          <w:szCs w:val="18"/>
          <w:rtl/>
        </w:rPr>
        <w:t xml:space="preserve"> </w:t>
      </w:r>
      <w:r w:rsidRPr="00DB0BD5">
        <w:rPr>
          <w:rFonts w:cs="Arial" w:hint="cs"/>
          <w:sz w:val="18"/>
          <w:szCs w:val="18"/>
          <w:rtl/>
        </w:rPr>
        <w:t>לישב</w:t>
      </w:r>
      <w:r w:rsidRPr="00DB0BD5">
        <w:rPr>
          <w:rFonts w:cs="Arial"/>
          <w:sz w:val="18"/>
          <w:szCs w:val="18"/>
          <w:rtl/>
        </w:rPr>
        <w:t xml:space="preserve"> </w:t>
      </w:r>
      <w:r w:rsidRPr="00DB0BD5">
        <w:rPr>
          <w:rFonts w:cs="Arial" w:hint="cs"/>
          <w:sz w:val="18"/>
          <w:szCs w:val="18"/>
          <w:rtl/>
        </w:rPr>
        <w:t>שבעה</w:t>
      </w:r>
      <w:r w:rsidRPr="00DB0BD5">
        <w:rPr>
          <w:rFonts w:cs="Arial"/>
          <w:sz w:val="18"/>
          <w:szCs w:val="18"/>
          <w:rtl/>
        </w:rPr>
        <w:t xml:space="preserve"> </w:t>
      </w:r>
      <w:r w:rsidRPr="00DB0BD5">
        <w:rPr>
          <w:rFonts w:cs="Arial" w:hint="cs"/>
          <w:sz w:val="18"/>
          <w:szCs w:val="18"/>
          <w:rtl/>
        </w:rPr>
        <w:t>נקיים</w:t>
      </w:r>
      <w:r>
        <w:rPr>
          <w:rFonts w:cs="Arial"/>
          <w:sz w:val="18"/>
          <w:szCs w:val="18"/>
          <w:rtl/>
        </w:rPr>
        <w:t>"</w:t>
      </w:r>
      <w:r>
        <w:rPr>
          <w:rFonts w:cs="Arial" w:hint="cs"/>
          <w:sz w:val="18"/>
          <w:szCs w:val="18"/>
          <w:rtl/>
        </w:rPr>
        <w:t>.</w:t>
      </w:r>
      <w:r w:rsidRPr="00DB0BD5">
        <w:rPr>
          <w:rFonts w:cs="Arial" w:hint="cs"/>
          <w:sz w:val="18"/>
          <w:szCs w:val="18"/>
          <w:rtl/>
        </w:rPr>
        <w:t xml:space="preserve"> </w:t>
      </w:r>
      <w:r w:rsidRPr="00DB0BD5">
        <w:rPr>
          <w:rFonts w:cs="Arial"/>
          <w:sz w:val="18"/>
          <w:szCs w:val="18"/>
          <w:rtl/>
        </w:rPr>
        <w:br/>
      </w:r>
      <w:r w:rsidRPr="00DB0BD5">
        <w:rPr>
          <w:rFonts w:cs="Arial" w:hint="cs"/>
          <w:sz w:val="18"/>
          <w:szCs w:val="18"/>
          <w:rtl/>
        </w:rPr>
        <w:t>למסקנת הגמרא צריכה לשבת שבעה נקיים משום דם חימוד, מוכח שאין לכנוס נידה!</w:t>
      </w:r>
      <w:r w:rsidRPr="00DB0BD5">
        <w:rPr>
          <w:rFonts w:hint="cs"/>
          <w:sz w:val="18"/>
          <w:szCs w:val="18"/>
          <w:rtl/>
        </w:rPr>
        <w:br/>
      </w:r>
      <w:r w:rsidRPr="00DB0BD5">
        <w:rPr>
          <w:rFonts w:hint="cs"/>
          <w:sz w:val="18"/>
          <w:szCs w:val="18"/>
          <w:u w:val="single"/>
          <w:rtl/>
        </w:rPr>
        <w:t xml:space="preserve">דחיית הרא"ש </w:t>
      </w:r>
      <w:r w:rsidRPr="00DB0BD5">
        <w:rPr>
          <w:sz w:val="18"/>
          <w:szCs w:val="18"/>
          <w:rtl/>
        </w:rPr>
        <w:t>–</w:t>
      </w:r>
      <w:r w:rsidRPr="00DB0BD5">
        <w:rPr>
          <w:rFonts w:hint="cs"/>
          <w:sz w:val="18"/>
          <w:szCs w:val="18"/>
          <w:rtl/>
        </w:rPr>
        <w:t xml:space="preserve"> בשני מקרים אלו מדובר שהבעל אינו רוצה לכנוס, או משום שאינו רוצה להתחייב במזונותיה או משום תוחלת ממושכה, אך ברור שחופת נידה הוי חופה.</w:t>
      </w:r>
    </w:p>
    <w:p w:rsidR="00620060" w:rsidRPr="00DB0BD5" w:rsidRDefault="00620060" w:rsidP="00620060">
      <w:pPr>
        <w:rPr>
          <w:sz w:val="18"/>
          <w:szCs w:val="18"/>
          <w:rtl/>
        </w:rPr>
      </w:pPr>
      <w:r w:rsidRPr="00DB0BD5">
        <w:rPr>
          <w:rFonts w:hint="cs"/>
          <w:sz w:val="18"/>
          <w:szCs w:val="18"/>
          <w:u w:val="single"/>
          <w:rtl/>
        </w:rPr>
        <w:t>ראיות לשיטת הרא"ש</w:t>
      </w:r>
      <w:r w:rsidRPr="00DB0BD5">
        <w:rPr>
          <w:sz w:val="18"/>
          <w:szCs w:val="18"/>
          <w:u w:val="single"/>
          <w:rtl/>
        </w:rPr>
        <w:br/>
      </w:r>
      <w:r w:rsidRPr="00DB0BD5">
        <w:rPr>
          <w:rFonts w:hint="cs"/>
          <w:sz w:val="18"/>
          <w:szCs w:val="18"/>
          <w:rtl/>
        </w:rPr>
        <w:t>א. אם השאלה בגמרא היא שאלה כללית האם חופת נידה הוי חופה, מדוע הגמרא שואלת זאת דווקא כאן? היה ניתן לשאול זאת בכל מקום שבו מדובר על חופה! אלא, יש לומר שהמיקום של בעיא זו כאן בא ללמד שספק הגמרא הוא רק לעניין תוספת כתובה, כמו בבעיא הקודמת.</w:t>
      </w:r>
      <w:r w:rsidRPr="00DB0BD5">
        <w:rPr>
          <w:rStyle w:val="a5"/>
          <w:sz w:val="16"/>
          <w:szCs w:val="16"/>
          <w:rtl/>
        </w:rPr>
        <w:footnoteReference w:id="390"/>
      </w:r>
      <w:r w:rsidRPr="00DB0BD5">
        <w:rPr>
          <w:rFonts w:hint="cs"/>
          <w:sz w:val="16"/>
          <w:szCs w:val="16"/>
          <w:rtl/>
        </w:rPr>
        <w:t xml:space="preserve"> </w:t>
      </w:r>
      <w:r w:rsidRPr="00DB0BD5">
        <w:rPr>
          <w:rFonts w:hint="cs"/>
          <w:sz w:val="18"/>
          <w:szCs w:val="18"/>
          <w:rtl/>
        </w:rPr>
        <w:br/>
      </w:r>
      <w:r w:rsidRPr="00DB0BD5">
        <w:rPr>
          <w:rFonts w:hint="cs"/>
          <w:sz w:val="18"/>
          <w:szCs w:val="18"/>
          <w:rtl/>
        </w:rPr>
        <w:lastRenderedPageBreak/>
        <w:t xml:space="preserve">ב. </w:t>
      </w:r>
      <w:r w:rsidRPr="00DB0BD5">
        <w:rPr>
          <w:rFonts w:hint="cs"/>
          <w:b/>
          <w:bCs/>
          <w:sz w:val="18"/>
          <w:szCs w:val="18"/>
          <w:rtl/>
        </w:rPr>
        <w:t xml:space="preserve">גמרא </w:t>
      </w:r>
      <w:r w:rsidRPr="00DB0BD5">
        <w:rPr>
          <w:rFonts w:hint="cs"/>
          <w:sz w:val="18"/>
          <w:szCs w:val="18"/>
          <w:rtl/>
        </w:rPr>
        <w:t>יבמות (נח.) "</w:t>
      </w:r>
      <w:r w:rsidRPr="00DB0BD5">
        <w:rPr>
          <w:rFonts w:cs="Arial" w:hint="cs"/>
          <w:sz w:val="18"/>
          <w:szCs w:val="18"/>
          <w:rtl/>
        </w:rPr>
        <w:t>אמר</w:t>
      </w:r>
      <w:r w:rsidRPr="00DB0BD5">
        <w:rPr>
          <w:rFonts w:cs="Arial"/>
          <w:sz w:val="18"/>
          <w:szCs w:val="18"/>
          <w:rtl/>
        </w:rPr>
        <w:t xml:space="preserve"> </w:t>
      </w:r>
      <w:r w:rsidRPr="00DB0BD5">
        <w:rPr>
          <w:rFonts w:cs="Arial" w:hint="cs"/>
          <w:sz w:val="18"/>
          <w:szCs w:val="18"/>
          <w:rtl/>
        </w:rPr>
        <w:t>רב</w:t>
      </w:r>
      <w:r w:rsidRPr="00DB0BD5">
        <w:rPr>
          <w:rFonts w:cs="Arial"/>
          <w:sz w:val="18"/>
          <w:szCs w:val="18"/>
          <w:rtl/>
        </w:rPr>
        <w:t xml:space="preserve"> </w:t>
      </w:r>
      <w:r w:rsidRPr="00DB0BD5">
        <w:rPr>
          <w:rFonts w:cs="Arial" w:hint="cs"/>
          <w:sz w:val="18"/>
          <w:szCs w:val="18"/>
          <w:rtl/>
        </w:rPr>
        <w:t>עמרם</w:t>
      </w:r>
      <w:r w:rsidRPr="00DB0BD5">
        <w:rPr>
          <w:rFonts w:cs="Arial"/>
          <w:sz w:val="18"/>
          <w:szCs w:val="18"/>
          <w:rtl/>
        </w:rPr>
        <w:t xml:space="preserve">: </w:t>
      </w:r>
      <w:r w:rsidRPr="00DB0BD5">
        <w:rPr>
          <w:rFonts w:cs="Arial" w:hint="cs"/>
          <w:sz w:val="18"/>
          <w:szCs w:val="18"/>
          <w:rtl/>
        </w:rPr>
        <w:t>הא</w:t>
      </w:r>
      <w:r w:rsidRPr="00DB0BD5">
        <w:rPr>
          <w:rFonts w:cs="Arial"/>
          <w:sz w:val="18"/>
          <w:szCs w:val="18"/>
          <w:rtl/>
        </w:rPr>
        <w:t xml:space="preserve"> </w:t>
      </w:r>
      <w:r w:rsidRPr="00DB0BD5">
        <w:rPr>
          <w:rFonts w:cs="Arial" w:hint="cs"/>
          <w:sz w:val="18"/>
          <w:szCs w:val="18"/>
          <w:rtl/>
        </w:rPr>
        <w:t>מילתא</w:t>
      </w:r>
      <w:r w:rsidRPr="00DB0BD5">
        <w:rPr>
          <w:rFonts w:cs="Arial"/>
          <w:sz w:val="18"/>
          <w:szCs w:val="18"/>
          <w:rtl/>
        </w:rPr>
        <w:t xml:space="preserve"> </w:t>
      </w:r>
      <w:r w:rsidRPr="00DB0BD5">
        <w:rPr>
          <w:rFonts w:cs="Arial" w:hint="cs"/>
          <w:sz w:val="18"/>
          <w:szCs w:val="18"/>
          <w:rtl/>
        </w:rPr>
        <w:t>אמר</w:t>
      </w:r>
      <w:r w:rsidRPr="00DB0BD5">
        <w:rPr>
          <w:rFonts w:cs="Arial"/>
          <w:sz w:val="18"/>
          <w:szCs w:val="18"/>
          <w:rtl/>
        </w:rPr>
        <w:t xml:space="preserve"> </w:t>
      </w:r>
      <w:r w:rsidRPr="00DB0BD5">
        <w:rPr>
          <w:rFonts w:cs="Arial" w:hint="cs"/>
          <w:sz w:val="18"/>
          <w:szCs w:val="18"/>
          <w:rtl/>
        </w:rPr>
        <w:t>לן</w:t>
      </w:r>
      <w:r w:rsidRPr="00DB0BD5">
        <w:rPr>
          <w:rFonts w:cs="Arial"/>
          <w:sz w:val="18"/>
          <w:szCs w:val="18"/>
          <w:rtl/>
        </w:rPr>
        <w:t xml:space="preserve"> </w:t>
      </w:r>
      <w:r w:rsidRPr="00DB0BD5">
        <w:rPr>
          <w:rFonts w:cs="Arial" w:hint="cs"/>
          <w:sz w:val="18"/>
          <w:szCs w:val="18"/>
          <w:rtl/>
        </w:rPr>
        <w:t>רב</w:t>
      </w:r>
      <w:r w:rsidRPr="00DB0BD5">
        <w:rPr>
          <w:rFonts w:cs="Arial"/>
          <w:sz w:val="18"/>
          <w:szCs w:val="18"/>
          <w:rtl/>
        </w:rPr>
        <w:t xml:space="preserve"> </w:t>
      </w:r>
      <w:r w:rsidRPr="00DB0BD5">
        <w:rPr>
          <w:rFonts w:cs="Arial" w:hint="cs"/>
          <w:sz w:val="18"/>
          <w:szCs w:val="18"/>
          <w:rtl/>
        </w:rPr>
        <w:t>ששת</w:t>
      </w:r>
      <w:r w:rsidRPr="00DB0BD5">
        <w:rPr>
          <w:rFonts w:cs="Arial"/>
          <w:sz w:val="18"/>
          <w:szCs w:val="18"/>
          <w:rtl/>
        </w:rPr>
        <w:t xml:space="preserve">, </w:t>
      </w:r>
      <w:r w:rsidRPr="00DB0BD5">
        <w:rPr>
          <w:rFonts w:cs="Arial" w:hint="cs"/>
          <w:sz w:val="18"/>
          <w:szCs w:val="18"/>
          <w:rtl/>
        </w:rPr>
        <w:t>ואנהרינהו</w:t>
      </w:r>
      <w:r w:rsidRPr="00DB0BD5">
        <w:rPr>
          <w:rFonts w:cs="Arial"/>
          <w:sz w:val="18"/>
          <w:szCs w:val="18"/>
          <w:rtl/>
        </w:rPr>
        <w:t xml:space="preserve"> </w:t>
      </w:r>
      <w:r w:rsidRPr="00DB0BD5">
        <w:rPr>
          <w:rFonts w:cs="Arial" w:hint="cs"/>
          <w:sz w:val="18"/>
          <w:szCs w:val="18"/>
          <w:rtl/>
        </w:rPr>
        <w:t>לעיינין</w:t>
      </w:r>
      <w:r w:rsidRPr="00DB0BD5">
        <w:rPr>
          <w:rFonts w:cs="Arial"/>
          <w:sz w:val="18"/>
          <w:szCs w:val="18"/>
          <w:rtl/>
        </w:rPr>
        <w:t xml:space="preserve"> </w:t>
      </w:r>
      <w:r w:rsidRPr="00DB0BD5">
        <w:rPr>
          <w:rFonts w:cs="Arial" w:hint="cs"/>
          <w:sz w:val="18"/>
          <w:szCs w:val="18"/>
          <w:rtl/>
        </w:rPr>
        <w:t>ממתניתין</w:t>
      </w:r>
      <w:r w:rsidRPr="00DB0BD5">
        <w:rPr>
          <w:rFonts w:cs="Arial"/>
          <w:sz w:val="18"/>
          <w:szCs w:val="18"/>
          <w:rtl/>
        </w:rPr>
        <w:t xml:space="preserve"> - </w:t>
      </w:r>
      <w:r w:rsidRPr="00DB0BD5">
        <w:rPr>
          <w:rFonts w:cs="Arial" w:hint="cs"/>
          <w:sz w:val="18"/>
          <w:szCs w:val="18"/>
          <w:rtl/>
        </w:rPr>
        <w:t>יש</w:t>
      </w:r>
      <w:r w:rsidRPr="00DB0BD5">
        <w:rPr>
          <w:rFonts w:cs="Arial"/>
          <w:sz w:val="18"/>
          <w:szCs w:val="18"/>
          <w:rtl/>
        </w:rPr>
        <w:t xml:space="preserve"> </w:t>
      </w:r>
      <w:r w:rsidRPr="00DB0BD5">
        <w:rPr>
          <w:rFonts w:cs="Arial" w:hint="cs"/>
          <w:sz w:val="18"/>
          <w:szCs w:val="18"/>
          <w:rtl/>
        </w:rPr>
        <w:t>חופה</w:t>
      </w:r>
      <w:r w:rsidRPr="00DB0BD5">
        <w:rPr>
          <w:rFonts w:cs="Arial"/>
          <w:sz w:val="18"/>
          <w:szCs w:val="18"/>
          <w:rtl/>
        </w:rPr>
        <w:t xml:space="preserve"> </w:t>
      </w:r>
      <w:r w:rsidRPr="00DB0BD5">
        <w:rPr>
          <w:rFonts w:cs="Arial" w:hint="cs"/>
          <w:sz w:val="18"/>
          <w:szCs w:val="18"/>
          <w:rtl/>
        </w:rPr>
        <w:t>לפסולות</w:t>
      </w:r>
      <w:r>
        <w:rPr>
          <w:rFonts w:cs="Arial"/>
          <w:sz w:val="18"/>
          <w:szCs w:val="18"/>
          <w:rtl/>
        </w:rPr>
        <w:t>"</w:t>
      </w:r>
      <w:r>
        <w:rPr>
          <w:rFonts w:cs="Arial" w:hint="cs"/>
          <w:sz w:val="18"/>
          <w:szCs w:val="18"/>
          <w:rtl/>
        </w:rPr>
        <w:t>.</w:t>
      </w:r>
      <w:r w:rsidRPr="00DB0BD5">
        <w:rPr>
          <w:rFonts w:cs="Arial"/>
          <w:sz w:val="18"/>
          <w:szCs w:val="18"/>
          <w:rtl/>
        </w:rPr>
        <w:br/>
      </w:r>
      <w:r w:rsidRPr="00DB0BD5">
        <w:rPr>
          <w:rFonts w:cs="Arial" w:hint="cs"/>
          <w:b/>
          <w:bCs/>
          <w:sz w:val="18"/>
          <w:szCs w:val="18"/>
          <w:rtl/>
        </w:rPr>
        <w:t>ר"ן</w:t>
      </w:r>
      <w:r w:rsidRPr="00DB0BD5">
        <w:rPr>
          <w:rFonts w:cs="Arial" w:hint="cs"/>
          <w:sz w:val="18"/>
          <w:szCs w:val="18"/>
          <w:rtl/>
        </w:rPr>
        <w:t xml:space="preserve"> - כפי שיש חופה לפסולה אע"פ שאינו יכול לבעול, כך גם יש חופת נידה למרות שאינו יכול לבעול</w:t>
      </w:r>
      <w:r w:rsidRPr="00DB0BD5">
        <w:rPr>
          <w:rStyle w:val="a5"/>
          <w:rFonts w:cs="Arial"/>
          <w:sz w:val="18"/>
          <w:szCs w:val="18"/>
          <w:rtl/>
        </w:rPr>
        <w:footnoteReference w:id="391"/>
      </w:r>
      <w:r w:rsidRPr="00DB0BD5">
        <w:rPr>
          <w:rFonts w:cs="Arial" w:hint="cs"/>
          <w:sz w:val="18"/>
          <w:szCs w:val="18"/>
          <w:rtl/>
        </w:rPr>
        <w:t>.</w:t>
      </w:r>
    </w:p>
    <w:p w:rsidR="00620060" w:rsidRPr="00DB0BD5" w:rsidRDefault="00620060" w:rsidP="00620060">
      <w:pPr>
        <w:rPr>
          <w:sz w:val="16"/>
          <w:szCs w:val="16"/>
          <w:rtl/>
        </w:rPr>
      </w:pPr>
      <w:r w:rsidRPr="00DB0BD5">
        <w:rPr>
          <w:rFonts w:hint="cs"/>
          <w:b/>
          <w:bCs/>
          <w:sz w:val="18"/>
          <w:szCs w:val="18"/>
          <w:rtl/>
        </w:rPr>
        <w:t>פסיקת הלכה</w:t>
      </w:r>
      <w:r w:rsidRPr="00DB0BD5">
        <w:rPr>
          <w:b/>
          <w:bCs/>
          <w:sz w:val="18"/>
          <w:szCs w:val="18"/>
          <w:rtl/>
        </w:rPr>
        <w:br/>
      </w:r>
      <w:r w:rsidRPr="00DB0BD5">
        <w:rPr>
          <w:rFonts w:hint="cs"/>
          <w:b/>
          <w:bCs/>
          <w:sz w:val="18"/>
          <w:szCs w:val="18"/>
          <w:rtl/>
        </w:rPr>
        <w:t xml:space="preserve">שולחן ערוך </w:t>
      </w:r>
      <w:r w:rsidRPr="00DB0BD5">
        <w:rPr>
          <w:sz w:val="18"/>
          <w:szCs w:val="18"/>
          <w:rtl/>
        </w:rPr>
        <w:t>–</w:t>
      </w:r>
      <w:r w:rsidRPr="00DB0BD5">
        <w:rPr>
          <w:rFonts w:hint="cs"/>
          <w:sz w:val="18"/>
          <w:szCs w:val="18"/>
          <w:rtl/>
        </w:rPr>
        <w:t xml:space="preserve"> "</w:t>
      </w:r>
      <w:r w:rsidRPr="00DB0BD5">
        <w:rPr>
          <w:rFonts w:cs="Arial" w:hint="cs"/>
          <w:sz w:val="18"/>
          <w:szCs w:val="18"/>
          <w:rtl/>
        </w:rPr>
        <w:t>במה</w:t>
      </w:r>
      <w:r w:rsidRPr="00DB0BD5">
        <w:rPr>
          <w:rFonts w:cs="Arial"/>
          <w:sz w:val="18"/>
          <w:szCs w:val="18"/>
          <w:rtl/>
        </w:rPr>
        <w:t xml:space="preserve"> </w:t>
      </w:r>
      <w:r w:rsidRPr="00DB0BD5">
        <w:rPr>
          <w:rFonts w:cs="Arial" w:hint="cs"/>
          <w:sz w:val="18"/>
          <w:szCs w:val="18"/>
          <w:rtl/>
        </w:rPr>
        <w:t>דברים</w:t>
      </w:r>
      <w:r w:rsidRPr="00DB0BD5">
        <w:rPr>
          <w:rFonts w:cs="Arial"/>
          <w:sz w:val="18"/>
          <w:szCs w:val="18"/>
          <w:rtl/>
        </w:rPr>
        <w:t xml:space="preserve"> </w:t>
      </w:r>
      <w:r w:rsidRPr="00DB0BD5">
        <w:rPr>
          <w:rFonts w:cs="Arial" w:hint="cs"/>
          <w:sz w:val="18"/>
          <w:szCs w:val="18"/>
          <w:rtl/>
        </w:rPr>
        <w:t>אמורים</w:t>
      </w:r>
      <w:r w:rsidRPr="00DB0BD5">
        <w:rPr>
          <w:rFonts w:cs="Arial"/>
          <w:sz w:val="18"/>
          <w:szCs w:val="18"/>
          <w:rtl/>
        </w:rPr>
        <w:t xml:space="preserve">, </w:t>
      </w:r>
      <w:r w:rsidRPr="00DB0BD5">
        <w:rPr>
          <w:rFonts w:cs="Arial" w:hint="cs"/>
          <w:sz w:val="18"/>
          <w:szCs w:val="18"/>
          <w:rtl/>
        </w:rPr>
        <w:t>כשראויה</w:t>
      </w:r>
      <w:r w:rsidRPr="00DB0BD5">
        <w:rPr>
          <w:rFonts w:cs="Arial"/>
          <w:sz w:val="18"/>
          <w:szCs w:val="18"/>
          <w:rtl/>
        </w:rPr>
        <w:t xml:space="preserve"> </w:t>
      </w:r>
      <w:r w:rsidRPr="00DB0BD5">
        <w:rPr>
          <w:rFonts w:cs="Arial" w:hint="cs"/>
          <w:sz w:val="18"/>
          <w:szCs w:val="18"/>
          <w:rtl/>
        </w:rPr>
        <w:t>לביאה</w:t>
      </w:r>
      <w:r w:rsidRPr="00DB0BD5">
        <w:rPr>
          <w:rFonts w:cs="Arial"/>
          <w:sz w:val="18"/>
          <w:szCs w:val="18"/>
          <w:rtl/>
        </w:rPr>
        <w:t xml:space="preserve">. </w:t>
      </w:r>
      <w:r w:rsidRPr="00DB0BD5">
        <w:rPr>
          <w:rFonts w:cs="Arial" w:hint="cs"/>
          <w:sz w:val="18"/>
          <w:szCs w:val="18"/>
          <w:rtl/>
        </w:rPr>
        <w:t>אבל</w:t>
      </w:r>
      <w:r w:rsidRPr="00DB0BD5">
        <w:rPr>
          <w:rFonts w:cs="Arial"/>
          <w:sz w:val="18"/>
          <w:szCs w:val="18"/>
          <w:rtl/>
        </w:rPr>
        <w:t xml:space="preserve"> </w:t>
      </w:r>
      <w:r w:rsidRPr="00DB0BD5">
        <w:rPr>
          <w:rFonts w:cs="Arial" w:hint="cs"/>
          <w:sz w:val="18"/>
          <w:szCs w:val="18"/>
          <w:rtl/>
        </w:rPr>
        <w:t>אם</w:t>
      </w:r>
      <w:r w:rsidRPr="00DB0BD5">
        <w:rPr>
          <w:rFonts w:cs="Arial"/>
          <w:sz w:val="18"/>
          <w:szCs w:val="18"/>
          <w:rtl/>
        </w:rPr>
        <w:t xml:space="preserve"> </w:t>
      </w:r>
      <w:r w:rsidRPr="00DB0BD5">
        <w:rPr>
          <w:rFonts w:cs="Arial" w:hint="cs"/>
          <w:sz w:val="18"/>
          <w:szCs w:val="18"/>
          <w:rtl/>
        </w:rPr>
        <w:t>היתה</w:t>
      </w:r>
      <w:r w:rsidRPr="00DB0BD5">
        <w:rPr>
          <w:rFonts w:cs="Arial"/>
          <w:sz w:val="18"/>
          <w:szCs w:val="18"/>
          <w:rtl/>
        </w:rPr>
        <w:t xml:space="preserve"> </w:t>
      </w:r>
      <w:r w:rsidRPr="00DB0BD5">
        <w:rPr>
          <w:rFonts w:cs="Arial" w:hint="cs"/>
          <w:sz w:val="18"/>
          <w:szCs w:val="18"/>
          <w:rtl/>
        </w:rPr>
        <w:t>נדה</w:t>
      </w:r>
      <w:r w:rsidRPr="00DB0BD5">
        <w:rPr>
          <w:rFonts w:cs="Arial"/>
          <w:sz w:val="18"/>
          <w:szCs w:val="18"/>
          <w:rtl/>
        </w:rPr>
        <w:t xml:space="preserve">, </w:t>
      </w:r>
      <w:r w:rsidRPr="00DB0BD5">
        <w:rPr>
          <w:rFonts w:cs="Arial" w:hint="cs"/>
          <w:sz w:val="18"/>
          <w:szCs w:val="18"/>
          <w:rtl/>
        </w:rPr>
        <w:t>ואחר</w:t>
      </w:r>
      <w:r w:rsidRPr="00DB0BD5">
        <w:rPr>
          <w:rFonts w:cs="Arial"/>
          <w:sz w:val="18"/>
          <w:szCs w:val="18"/>
          <w:rtl/>
        </w:rPr>
        <w:t xml:space="preserve"> </w:t>
      </w:r>
      <w:r w:rsidRPr="00DB0BD5">
        <w:rPr>
          <w:rFonts w:cs="Arial" w:hint="cs"/>
          <w:sz w:val="18"/>
          <w:szCs w:val="18"/>
          <w:rtl/>
        </w:rPr>
        <w:t>כך</w:t>
      </w:r>
      <w:r w:rsidRPr="00DB0BD5">
        <w:rPr>
          <w:rFonts w:cs="Arial"/>
          <w:sz w:val="18"/>
          <w:szCs w:val="18"/>
          <w:rtl/>
        </w:rPr>
        <w:t xml:space="preserve"> </w:t>
      </w:r>
      <w:r w:rsidRPr="00DB0BD5">
        <w:rPr>
          <w:rFonts w:cs="Arial" w:hint="cs"/>
          <w:sz w:val="18"/>
          <w:szCs w:val="18"/>
          <w:rtl/>
        </w:rPr>
        <w:t>כנסה</w:t>
      </w:r>
      <w:r w:rsidRPr="00DB0BD5">
        <w:rPr>
          <w:rFonts w:cs="Arial"/>
          <w:sz w:val="18"/>
          <w:szCs w:val="18"/>
          <w:rtl/>
        </w:rPr>
        <w:t xml:space="preserve"> </w:t>
      </w:r>
      <w:r w:rsidRPr="00DB0BD5">
        <w:rPr>
          <w:rFonts w:cs="Arial" w:hint="cs"/>
          <w:sz w:val="18"/>
          <w:szCs w:val="18"/>
          <w:rtl/>
        </w:rPr>
        <w:t>לחופה</w:t>
      </w:r>
      <w:r w:rsidRPr="00DB0BD5">
        <w:rPr>
          <w:rFonts w:cs="Arial"/>
          <w:sz w:val="18"/>
          <w:szCs w:val="18"/>
          <w:rtl/>
        </w:rPr>
        <w:t xml:space="preserve"> </w:t>
      </w:r>
      <w:r w:rsidRPr="00DB0BD5">
        <w:rPr>
          <w:rFonts w:cs="Arial" w:hint="cs"/>
          <w:sz w:val="18"/>
          <w:szCs w:val="18"/>
          <w:rtl/>
        </w:rPr>
        <w:t>ונתייחד</w:t>
      </w:r>
      <w:r w:rsidRPr="00DB0BD5">
        <w:rPr>
          <w:rFonts w:cs="Arial"/>
          <w:sz w:val="18"/>
          <w:szCs w:val="18"/>
          <w:rtl/>
        </w:rPr>
        <w:t xml:space="preserve"> </w:t>
      </w:r>
      <w:r w:rsidRPr="00DB0BD5">
        <w:rPr>
          <w:rFonts w:cs="Arial" w:hint="cs"/>
          <w:sz w:val="18"/>
          <w:szCs w:val="18"/>
          <w:rtl/>
        </w:rPr>
        <w:t>עמה</w:t>
      </w:r>
      <w:r w:rsidRPr="00DB0BD5">
        <w:rPr>
          <w:rFonts w:cs="Arial"/>
          <w:sz w:val="18"/>
          <w:szCs w:val="18"/>
          <w:rtl/>
        </w:rPr>
        <w:t xml:space="preserve">, </w:t>
      </w:r>
      <w:r w:rsidRPr="00DB0BD5">
        <w:rPr>
          <w:rFonts w:cs="Arial" w:hint="cs"/>
          <w:sz w:val="18"/>
          <w:szCs w:val="18"/>
          <w:rtl/>
        </w:rPr>
        <w:t>אינה</w:t>
      </w:r>
      <w:r w:rsidRPr="00DB0BD5">
        <w:rPr>
          <w:rFonts w:cs="Arial"/>
          <w:sz w:val="18"/>
          <w:szCs w:val="18"/>
          <w:rtl/>
        </w:rPr>
        <w:t xml:space="preserve"> </w:t>
      </w:r>
      <w:r w:rsidRPr="00DB0BD5">
        <w:rPr>
          <w:rFonts w:cs="Arial" w:hint="cs"/>
          <w:sz w:val="18"/>
          <w:szCs w:val="18"/>
          <w:rtl/>
        </w:rPr>
        <w:t>כאשתו</w:t>
      </w:r>
      <w:r w:rsidRPr="00DB0BD5">
        <w:rPr>
          <w:rFonts w:cs="Arial"/>
          <w:sz w:val="18"/>
          <w:szCs w:val="18"/>
          <w:rtl/>
        </w:rPr>
        <w:t xml:space="preserve">, </w:t>
      </w:r>
      <w:r w:rsidRPr="00DB0BD5">
        <w:rPr>
          <w:rFonts w:cs="Arial" w:hint="cs"/>
          <w:sz w:val="18"/>
          <w:szCs w:val="18"/>
          <w:rtl/>
        </w:rPr>
        <w:t>אלא</w:t>
      </w:r>
      <w:r w:rsidRPr="00DB0BD5">
        <w:rPr>
          <w:rFonts w:cs="Arial"/>
          <w:sz w:val="18"/>
          <w:szCs w:val="18"/>
          <w:rtl/>
        </w:rPr>
        <w:t xml:space="preserve"> </w:t>
      </w:r>
      <w:r w:rsidRPr="00DB0BD5">
        <w:rPr>
          <w:rFonts w:cs="Arial" w:hint="cs"/>
          <w:sz w:val="18"/>
          <w:szCs w:val="18"/>
          <w:rtl/>
        </w:rPr>
        <w:t>לכל</w:t>
      </w:r>
      <w:r w:rsidRPr="00DB0BD5">
        <w:rPr>
          <w:rFonts w:cs="Arial"/>
          <w:sz w:val="18"/>
          <w:szCs w:val="18"/>
          <w:rtl/>
        </w:rPr>
        <w:t xml:space="preserve"> </w:t>
      </w:r>
      <w:r w:rsidRPr="00DB0BD5">
        <w:rPr>
          <w:rFonts w:cs="Arial" w:hint="cs"/>
          <w:sz w:val="18"/>
          <w:szCs w:val="18"/>
          <w:rtl/>
        </w:rPr>
        <w:t>הדברים</w:t>
      </w:r>
      <w:r w:rsidRPr="00DB0BD5">
        <w:rPr>
          <w:rFonts w:cs="Arial"/>
          <w:sz w:val="18"/>
          <w:szCs w:val="18"/>
          <w:rtl/>
        </w:rPr>
        <w:t xml:space="preserve"> </w:t>
      </w:r>
      <w:r w:rsidRPr="00DB0BD5">
        <w:rPr>
          <w:rFonts w:cs="Arial" w:hint="cs"/>
          <w:sz w:val="18"/>
          <w:szCs w:val="18"/>
          <w:rtl/>
        </w:rPr>
        <w:t>היא</w:t>
      </w:r>
      <w:r w:rsidRPr="00DB0BD5">
        <w:rPr>
          <w:rFonts w:cs="Arial"/>
          <w:sz w:val="18"/>
          <w:szCs w:val="18"/>
          <w:rtl/>
        </w:rPr>
        <w:t xml:space="preserve"> </w:t>
      </w:r>
      <w:r w:rsidRPr="00DB0BD5">
        <w:rPr>
          <w:rFonts w:cs="Arial" w:hint="cs"/>
          <w:sz w:val="18"/>
          <w:szCs w:val="18"/>
          <w:rtl/>
        </w:rPr>
        <w:t>עדיין</w:t>
      </w:r>
      <w:r w:rsidRPr="00DB0BD5">
        <w:rPr>
          <w:rFonts w:cs="Arial"/>
          <w:sz w:val="18"/>
          <w:szCs w:val="18"/>
          <w:rtl/>
        </w:rPr>
        <w:t xml:space="preserve"> </w:t>
      </w:r>
      <w:r w:rsidRPr="00DB0BD5">
        <w:rPr>
          <w:rFonts w:cs="Arial" w:hint="cs"/>
          <w:sz w:val="18"/>
          <w:szCs w:val="18"/>
          <w:rtl/>
        </w:rPr>
        <w:t>כארוסה</w:t>
      </w:r>
      <w:r w:rsidRPr="00DB0BD5">
        <w:rPr>
          <w:rFonts w:cs="Arial"/>
          <w:sz w:val="18"/>
          <w:szCs w:val="18"/>
          <w:rtl/>
        </w:rPr>
        <w:t xml:space="preserve">, </w:t>
      </w:r>
      <w:r w:rsidRPr="00DB0BD5">
        <w:rPr>
          <w:rFonts w:cs="Arial" w:hint="cs"/>
          <w:sz w:val="18"/>
          <w:szCs w:val="18"/>
          <w:rtl/>
        </w:rPr>
        <w:t>מאחר</w:t>
      </w:r>
      <w:r w:rsidRPr="00DB0BD5">
        <w:rPr>
          <w:rFonts w:cs="Arial"/>
          <w:sz w:val="18"/>
          <w:szCs w:val="18"/>
          <w:rtl/>
        </w:rPr>
        <w:t xml:space="preserve"> </w:t>
      </w:r>
      <w:r w:rsidRPr="00DB0BD5">
        <w:rPr>
          <w:rFonts w:cs="Arial" w:hint="cs"/>
          <w:sz w:val="18"/>
          <w:szCs w:val="18"/>
          <w:rtl/>
        </w:rPr>
        <w:t>שהיתה</w:t>
      </w:r>
      <w:r w:rsidRPr="00DB0BD5">
        <w:rPr>
          <w:rFonts w:cs="Arial"/>
          <w:sz w:val="18"/>
          <w:szCs w:val="18"/>
          <w:rtl/>
        </w:rPr>
        <w:t xml:space="preserve"> </w:t>
      </w:r>
      <w:r w:rsidRPr="00DB0BD5">
        <w:rPr>
          <w:rFonts w:cs="Arial" w:hint="cs"/>
          <w:sz w:val="18"/>
          <w:szCs w:val="18"/>
          <w:rtl/>
        </w:rPr>
        <w:t>נדה</w:t>
      </w:r>
      <w:r w:rsidRPr="00DB0BD5">
        <w:rPr>
          <w:rFonts w:cs="Arial"/>
          <w:sz w:val="18"/>
          <w:szCs w:val="18"/>
          <w:rtl/>
        </w:rPr>
        <w:t xml:space="preserve">. </w:t>
      </w:r>
      <w:r w:rsidRPr="00DB0BD5">
        <w:rPr>
          <w:rFonts w:cs="Arial" w:hint="cs"/>
          <w:sz w:val="18"/>
          <w:szCs w:val="18"/>
          <w:rtl/>
        </w:rPr>
        <w:t>ויש אומרים</w:t>
      </w:r>
      <w:r w:rsidRPr="00DB0BD5">
        <w:rPr>
          <w:rFonts w:cs="Arial"/>
          <w:sz w:val="18"/>
          <w:szCs w:val="18"/>
          <w:rtl/>
        </w:rPr>
        <w:t xml:space="preserve"> </w:t>
      </w:r>
      <w:r w:rsidRPr="00DB0BD5">
        <w:rPr>
          <w:rFonts w:cs="Arial" w:hint="cs"/>
          <w:sz w:val="18"/>
          <w:szCs w:val="18"/>
          <w:rtl/>
        </w:rPr>
        <w:t>דדווקא</w:t>
      </w:r>
      <w:r w:rsidRPr="00DB0BD5">
        <w:rPr>
          <w:rFonts w:cs="Arial"/>
          <w:sz w:val="18"/>
          <w:szCs w:val="18"/>
          <w:rtl/>
        </w:rPr>
        <w:t xml:space="preserve"> </w:t>
      </w:r>
      <w:r w:rsidRPr="00DB0BD5">
        <w:rPr>
          <w:rFonts w:cs="Arial" w:hint="cs"/>
          <w:sz w:val="18"/>
          <w:szCs w:val="18"/>
          <w:rtl/>
        </w:rPr>
        <w:t>לענין</w:t>
      </w:r>
      <w:r w:rsidRPr="00DB0BD5">
        <w:rPr>
          <w:rFonts w:cs="Arial"/>
          <w:sz w:val="18"/>
          <w:szCs w:val="18"/>
          <w:rtl/>
        </w:rPr>
        <w:t xml:space="preserve"> </w:t>
      </w:r>
      <w:r w:rsidRPr="00DB0BD5">
        <w:rPr>
          <w:rFonts w:cs="Arial" w:hint="cs"/>
          <w:sz w:val="18"/>
          <w:szCs w:val="18"/>
          <w:rtl/>
        </w:rPr>
        <w:t>שלא</w:t>
      </w:r>
      <w:r w:rsidRPr="00DB0BD5">
        <w:rPr>
          <w:rFonts w:cs="Arial"/>
          <w:sz w:val="18"/>
          <w:szCs w:val="18"/>
          <w:rtl/>
        </w:rPr>
        <w:t xml:space="preserve"> </w:t>
      </w:r>
      <w:r w:rsidRPr="00DB0BD5">
        <w:rPr>
          <w:rFonts w:cs="Arial" w:hint="cs"/>
          <w:sz w:val="18"/>
          <w:szCs w:val="18"/>
          <w:rtl/>
        </w:rPr>
        <w:t>תגבה</w:t>
      </w:r>
      <w:r w:rsidRPr="00DB0BD5">
        <w:rPr>
          <w:rFonts w:cs="Arial"/>
          <w:sz w:val="18"/>
          <w:szCs w:val="18"/>
          <w:rtl/>
        </w:rPr>
        <w:t xml:space="preserve"> </w:t>
      </w:r>
      <w:r w:rsidRPr="00DB0BD5">
        <w:rPr>
          <w:rFonts w:cs="Arial" w:hint="cs"/>
          <w:sz w:val="18"/>
          <w:szCs w:val="18"/>
          <w:rtl/>
        </w:rPr>
        <w:t>התוספת</w:t>
      </w:r>
      <w:r w:rsidRPr="00DB0BD5">
        <w:rPr>
          <w:rFonts w:cs="Arial"/>
          <w:sz w:val="18"/>
          <w:szCs w:val="18"/>
          <w:rtl/>
        </w:rPr>
        <w:t xml:space="preserve"> </w:t>
      </w:r>
      <w:r w:rsidRPr="00DB0BD5">
        <w:rPr>
          <w:rFonts w:cs="Arial" w:hint="cs"/>
          <w:sz w:val="18"/>
          <w:szCs w:val="18"/>
          <w:rtl/>
        </w:rPr>
        <w:t>היא</w:t>
      </w:r>
      <w:r w:rsidRPr="00DB0BD5">
        <w:rPr>
          <w:rFonts w:cs="Arial"/>
          <w:sz w:val="18"/>
          <w:szCs w:val="18"/>
          <w:rtl/>
        </w:rPr>
        <w:t xml:space="preserve"> </w:t>
      </w:r>
      <w:r w:rsidRPr="00DB0BD5">
        <w:rPr>
          <w:rFonts w:cs="Arial" w:hint="cs"/>
          <w:sz w:val="18"/>
          <w:szCs w:val="18"/>
          <w:rtl/>
        </w:rPr>
        <w:t>עדיין</w:t>
      </w:r>
      <w:r w:rsidRPr="00DB0BD5">
        <w:rPr>
          <w:rFonts w:cs="Arial"/>
          <w:sz w:val="18"/>
          <w:szCs w:val="18"/>
          <w:rtl/>
        </w:rPr>
        <w:t xml:space="preserve"> </w:t>
      </w:r>
      <w:r w:rsidRPr="00DB0BD5">
        <w:rPr>
          <w:rFonts w:cs="Arial" w:hint="cs"/>
          <w:sz w:val="18"/>
          <w:szCs w:val="18"/>
          <w:rtl/>
        </w:rPr>
        <w:t>כארוסה</w:t>
      </w:r>
      <w:r w:rsidRPr="00DB0BD5">
        <w:rPr>
          <w:rFonts w:cs="Arial"/>
          <w:sz w:val="18"/>
          <w:szCs w:val="18"/>
          <w:rtl/>
        </w:rPr>
        <w:t xml:space="preserve">, </w:t>
      </w:r>
      <w:r w:rsidRPr="00DB0BD5">
        <w:rPr>
          <w:rFonts w:cs="Arial" w:hint="cs"/>
          <w:sz w:val="18"/>
          <w:szCs w:val="18"/>
          <w:rtl/>
        </w:rPr>
        <w:t>אבל</w:t>
      </w:r>
      <w:r w:rsidRPr="00DB0BD5">
        <w:rPr>
          <w:rFonts w:cs="Arial"/>
          <w:sz w:val="18"/>
          <w:szCs w:val="18"/>
          <w:rtl/>
        </w:rPr>
        <w:t xml:space="preserve"> </w:t>
      </w:r>
      <w:r w:rsidRPr="00DB0BD5">
        <w:rPr>
          <w:rFonts w:cs="Arial" w:hint="cs"/>
          <w:sz w:val="18"/>
          <w:szCs w:val="18"/>
          <w:rtl/>
        </w:rPr>
        <w:t>לכל</w:t>
      </w:r>
      <w:r w:rsidRPr="00DB0BD5">
        <w:rPr>
          <w:rFonts w:cs="Arial"/>
          <w:sz w:val="18"/>
          <w:szCs w:val="18"/>
          <w:rtl/>
        </w:rPr>
        <w:t xml:space="preserve"> </w:t>
      </w:r>
      <w:r w:rsidRPr="00DB0BD5">
        <w:rPr>
          <w:rFonts w:cs="Arial" w:hint="cs"/>
          <w:sz w:val="18"/>
          <w:szCs w:val="18"/>
          <w:rtl/>
        </w:rPr>
        <w:t>שאר</w:t>
      </w:r>
      <w:r w:rsidRPr="00DB0BD5">
        <w:rPr>
          <w:rFonts w:cs="Arial"/>
          <w:sz w:val="18"/>
          <w:szCs w:val="18"/>
          <w:rtl/>
        </w:rPr>
        <w:t xml:space="preserve"> </w:t>
      </w:r>
      <w:r w:rsidRPr="00DB0BD5">
        <w:rPr>
          <w:rFonts w:cs="Arial" w:hint="cs"/>
          <w:sz w:val="18"/>
          <w:szCs w:val="18"/>
          <w:rtl/>
        </w:rPr>
        <w:t>דברים</w:t>
      </w:r>
      <w:r w:rsidRPr="00DB0BD5">
        <w:rPr>
          <w:rFonts w:cs="Arial"/>
          <w:sz w:val="18"/>
          <w:szCs w:val="18"/>
          <w:rtl/>
        </w:rPr>
        <w:t xml:space="preserve"> </w:t>
      </w:r>
      <w:r w:rsidRPr="00DB0BD5">
        <w:rPr>
          <w:rFonts w:cs="Arial" w:hint="cs"/>
          <w:sz w:val="18"/>
          <w:szCs w:val="18"/>
          <w:rtl/>
        </w:rPr>
        <w:t>הרי</w:t>
      </w:r>
      <w:r w:rsidRPr="00DB0BD5">
        <w:rPr>
          <w:rFonts w:cs="Arial"/>
          <w:sz w:val="18"/>
          <w:szCs w:val="18"/>
          <w:rtl/>
        </w:rPr>
        <w:t xml:space="preserve"> </w:t>
      </w:r>
      <w:r w:rsidRPr="00DB0BD5">
        <w:rPr>
          <w:rFonts w:cs="Arial" w:hint="cs"/>
          <w:sz w:val="18"/>
          <w:szCs w:val="18"/>
          <w:rtl/>
        </w:rPr>
        <w:t>היא</w:t>
      </w:r>
      <w:r w:rsidRPr="00DB0BD5">
        <w:rPr>
          <w:rFonts w:cs="Arial"/>
          <w:sz w:val="18"/>
          <w:szCs w:val="18"/>
          <w:rtl/>
        </w:rPr>
        <w:t xml:space="preserve"> </w:t>
      </w:r>
      <w:r w:rsidRPr="00DB0BD5">
        <w:rPr>
          <w:rFonts w:cs="Arial" w:hint="cs"/>
          <w:sz w:val="18"/>
          <w:szCs w:val="18"/>
          <w:rtl/>
        </w:rPr>
        <w:t>כנשואה</w:t>
      </w:r>
      <w:r w:rsidRPr="00DB0BD5">
        <w:rPr>
          <w:rFonts w:cs="Arial"/>
          <w:sz w:val="18"/>
          <w:szCs w:val="18"/>
          <w:rtl/>
        </w:rPr>
        <w:t xml:space="preserve">. </w:t>
      </w:r>
      <w:r w:rsidRPr="00DB0BD5">
        <w:rPr>
          <w:rFonts w:cs="Arial" w:hint="cs"/>
          <w:sz w:val="16"/>
          <w:szCs w:val="16"/>
          <w:rtl/>
        </w:rPr>
        <w:t>הגה</w:t>
      </w:r>
      <w:r w:rsidRPr="00DB0BD5">
        <w:rPr>
          <w:rFonts w:cs="Arial"/>
          <w:sz w:val="16"/>
          <w:szCs w:val="16"/>
          <w:rtl/>
        </w:rPr>
        <w:t xml:space="preserve">: </w:t>
      </w:r>
      <w:r w:rsidRPr="00DB0BD5">
        <w:rPr>
          <w:rFonts w:cs="Arial" w:hint="cs"/>
          <w:sz w:val="16"/>
          <w:szCs w:val="16"/>
          <w:rtl/>
        </w:rPr>
        <w:t>ועיין</w:t>
      </w:r>
      <w:r w:rsidRPr="00DB0BD5">
        <w:rPr>
          <w:rFonts w:cs="Arial"/>
          <w:sz w:val="16"/>
          <w:szCs w:val="16"/>
          <w:rtl/>
        </w:rPr>
        <w:t xml:space="preserve"> </w:t>
      </w:r>
      <w:r w:rsidRPr="00DB0BD5">
        <w:rPr>
          <w:rFonts w:cs="Arial" w:hint="cs"/>
          <w:sz w:val="16"/>
          <w:szCs w:val="16"/>
          <w:rtl/>
        </w:rPr>
        <w:t>לעיל</w:t>
      </w:r>
      <w:r w:rsidRPr="00DB0BD5">
        <w:rPr>
          <w:rFonts w:cs="Arial"/>
          <w:sz w:val="16"/>
          <w:szCs w:val="16"/>
          <w:rtl/>
        </w:rPr>
        <w:t xml:space="preserve"> </w:t>
      </w:r>
      <w:r w:rsidRPr="00DB0BD5">
        <w:rPr>
          <w:rFonts w:cs="Arial" w:hint="cs"/>
          <w:sz w:val="16"/>
          <w:szCs w:val="16"/>
          <w:rtl/>
        </w:rPr>
        <w:t>ריש</w:t>
      </w:r>
      <w:r w:rsidRPr="00DB0BD5">
        <w:rPr>
          <w:rFonts w:cs="Arial"/>
          <w:sz w:val="16"/>
          <w:szCs w:val="16"/>
          <w:rtl/>
        </w:rPr>
        <w:t xml:space="preserve"> </w:t>
      </w:r>
      <w:r w:rsidRPr="00DB0BD5">
        <w:rPr>
          <w:rFonts w:cs="Arial" w:hint="cs"/>
          <w:sz w:val="16"/>
          <w:szCs w:val="16"/>
          <w:rtl/>
        </w:rPr>
        <w:t>סימן</w:t>
      </w:r>
      <w:r w:rsidRPr="00DB0BD5">
        <w:rPr>
          <w:rFonts w:cs="Arial"/>
          <w:sz w:val="16"/>
          <w:szCs w:val="16"/>
          <w:rtl/>
        </w:rPr>
        <w:t xml:space="preserve"> </w:t>
      </w:r>
      <w:r w:rsidRPr="00DB0BD5">
        <w:rPr>
          <w:rFonts w:cs="Arial" w:hint="cs"/>
          <w:sz w:val="16"/>
          <w:szCs w:val="16"/>
          <w:rtl/>
        </w:rPr>
        <w:t>נ</w:t>
      </w:r>
      <w:r w:rsidRPr="00DB0BD5">
        <w:rPr>
          <w:rFonts w:cs="Arial"/>
          <w:sz w:val="16"/>
          <w:szCs w:val="16"/>
          <w:rtl/>
        </w:rPr>
        <w:t>"</w:t>
      </w:r>
      <w:r w:rsidRPr="00DB0BD5">
        <w:rPr>
          <w:rFonts w:cs="Arial" w:hint="cs"/>
          <w:sz w:val="16"/>
          <w:szCs w:val="16"/>
          <w:rtl/>
        </w:rPr>
        <w:t>ה</w:t>
      </w:r>
      <w:r w:rsidRPr="00DB0BD5">
        <w:rPr>
          <w:rFonts w:cs="Arial"/>
          <w:sz w:val="16"/>
          <w:szCs w:val="16"/>
          <w:rtl/>
        </w:rPr>
        <w:t xml:space="preserve"> </w:t>
      </w:r>
      <w:r w:rsidRPr="00DB0BD5">
        <w:rPr>
          <w:rFonts w:cs="Arial" w:hint="cs"/>
          <w:sz w:val="16"/>
          <w:szCs w:val="16"/>
          <w:rtl/>
        </w:rPr>
        <w:t>מהו</w:t>
      </w:r>
      <w:r w:rsidRPr="00DB0BD5">
        <w:rPr>
          <w:rFonts w:cs="Arial"/>
          <w:sz w:val="16"/>
          <w:szCs w:val="16"/>
          <w:rtl/>
        </w:rPr>
        <w:t xml:space="preserve"> </w:t>
      </w:r>
      <w:r w:rsidRPr="00DB0BD5">
        <w:rPr>
          <w:rFonts w:cs="Arial" w:hint="cs"/>
          <w:sz w:val="16"/>
          <w:szCs w:val="16"/>
          <w:rtl/>
        </w:rPr>
        <w:t>נקרא</w:t>
      </w:r>
      <w:r w:rsidRPr="00DB0BD5">
        <w:rPr>
          <w:rFonts w:cs="Arial"/>
          <w:sz w:val="16"/>
          <w:szCs w:val="16"/>
          <w:rtl/>
        </w:rPr>
        <w:t xml:space="preserve"> </w:t>
      </w:r>
      <w:r w:rsidRPr="00DB0BD5">
        <w:rPr>
          <w:rFonts w:cs="Arial" w:hint="cs"/>
          <w:sz w:val="16"/>
          <w:szCs w:val="16"/>
          <w:rtl/>
        </w:rPr>
        <w:t>חופה</w:t>
      </w:r>
      <w:r>
        <w:rPr>
          <w:rFonts w:cs="Arial"/>
          <w:sz w:val="16"/>
          <w:szCs w:val="16"/>
          <w:rtl/>
        </w:rPr>
        <w:t>".</w:t>
      </w:r>
    </w:p>
    <w:p w:rsidR="00620060" w:rsidRPr="00DB0BD5" w:rsidRDefault="00620060" w:rsidP="00620060">
      <w:pPr>
        <w:rPr>
          <w:sz w:val="18"/>
          <w:szCs w:val="18"/>
          <w:rtl/>
        </w:rPr>
      </w:pPr>
    </w:p>
    <w:p w:rsidR="00620060" w:rsidRPr="002631B3" w:rsidRDefault="00620060" w:rsidP="00620060">
      <w:pPr>
        <w:rPr>
          <w:sz w:val="20"/>
          <w:szCs w:val="20"/>
          <w:rtl/>
        </w:rPr>
      </w:pPr>
    </w:p>
    <w:p w:rsidR="00620060" w:rsidRPr="00CA378B" w:rsidRDefault="00620060" w:rsidP="00620060">
      <w:pPr>
        <w:rPr>
          <w:sz w:val="20"/>
          <w:szCs w:val="20"/>
          <w:rtl/>
        </w:rPr>
      </w:pPr>
    </w:p>
    <w:p w:rsidR="00620060" w:rsidRPr="004D296A" w:rsidRDefault="00620060" w:rsidP="00620060">
      <w:pPr>
        <w:rPr>
          <w:sz w:val="20"/>
          <w:szCs w:val="20"/>
          <w:rtl/>
        </w:rPr>
      </w:pPr>
    </w:p>
    <w:p w:rsidR="00620060" w:rsidRPr="00D907A4" w:rsidRDefault="00620060" w:rsidP="00620060">
      <w:pPr>
        <w:rPr>
          <w:sz w:val="20"/>
          <w:szCs w:val="20"/>
          <w:rtl/>
        </w:rPr>
      </w:pPr>
    </w:p>
    <w:p w:rsidR="00620060" w:rsidRPr="009F5931" w:rsidRDefault="00620060" w:rsidP="00620060">
      <w:pPr>
        <w:rPr>
          <w:sz w:val="18"/>
          <w:szCs w:val="18"/>
        </w:rPr>
      </w:pPr>
    </w:p>
    <w:p w:rsidR="00620060" w:rsidRPr="00F67F32" w:rsidRDefault="00620060" w:rsidP="00620060">
      <w:pPr>
        <w:rPr>
          <w:sz w:val="20"/>
          <w:szCs w:val="20"/>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Pr="00967718" w:rsidRDefault="00620060" w:rsidP="00620060">
      <w:pPr>
        <w:rPr>
          <w:b/>
          <w:bCs/>
          <w:sz w:val="20"/>
          <w:szCs w:val="20"/>
          <w:rtl/>
        </w:rPr>
      </w:pPr>
      <w:r w:rsidRPr="00967718">
        <w:rPr>
          <w:rFonts w:hint="cs"/>
          <w:b/>
          <w:bCs/>
          <w:sz w:val="20"/>
          <w:szCs w:val="20"/>
          <w:rtl/>
        </w:rPr>
        <w:lastRenderedPageBreak/>
        <w:t>בעזרת ה' יתברך</w:t>
      </w:r>
    </w:p>
    <w:p w:rsidR="00620060" w:rsidRPr="00967718" w:rsidRDefault="00620060" w:rsidP="00620060">
      <w:pPr>
        <w:rPr>
          <w:b/>
          <w:bCs/>
          <w:sz w:val="20"/>
          <w:szCs w:val="20"/>
          <w:rtl/>
        </w:rPr>
      </w:pPr>
      <w:r w:rsidRPr="00967718">
        <w:rPr>
          <w:rFonts w:hint="cs"/>
          <w:b/>
          <w:bCs/>
          <w:sz w:val="20"/>
          <w:szCs w:val="20"/>
          <w:rtl/>
        </w:rPr>
        <w:t xml:space="preserve">סימן קצג </w:t>
      </w:r>
      <w:r w:rsidRPr="00967718">
        <w:rPr>
          <w:b/>
          <w:bCs/>
          <w:sz w:val="20"/>
          <w:szCs w:val="20"/>
          <w:rtl/>
        </w:rPr>
        <w:t>–</w:t>
      </w:r>
      <w:r w:rsidRPr="00967718">
        <w:rPr>
          <w:rFonts w:hint="cs"/>
          <w:b/>
          <w:bCs/>
          <w:sz w:val="20"/>
          <w:szCs w:val="20"/>
          <w:rtl/>
        </w:rPr>
        <w:t xml:space="preserve"> דיני  דם בתולים</w:t>
      </w:r>
    </w:p>
    <w:p w:rsidR="00620060" w:rsidRPr="00F525CE" w:rsidRDefault="00620060" w:rsidP="00620060">
      <w:pPr>
        <w:rPr>
          <w:sz w:val="20"/>
          <w:szCs w:val="20"/>
          <w:rtl/>
        </w:rPr>
      </w:pPr>
      <w:r w:rsidRPr="00967718">
        <w:rPr>
          <w:rFonts w:hint="cs"/>
          <w:b/>
          <w:bCs/>
          <w:sz w:val="20"/>
          <w:szCs w:val="20"/>
          <w:rtl/>
        </w:rPr>
        <w:t>סעיף א</w:t>
      </w:r>
      <w:r>
        <w:rPr>
          <w:rFonts w:hint="cs"/>
          <w:b/>
          <w:bCs/>
          <w:sz w:val="20"/>
          <w:szCs w:val="20"/>
          <w:rtl/>
        </w:rPr>
        <w:t xml:space="preserve"> </w:t>
      </w:r>
      <w:r>
        <w:rPr>
          <w:b/>
          <w:bCs/>
          <w:sz w:val="20"/>
          <w:szCs w:val="20"/>
          <w:rtl/>
        </w:rPr>
        <w:t>–</w:t>
      </w:r>
      <w:r>
        <w:rPr>
          <w:rFonts w:hint="cs"/>
          <w:b/>
          <w:bCs/>
          <w:sz w:val="20"/>
          <w:szCs w:val="20"/>
          <w:rtl/>
        </w:rPr>
        <w:t xml:space="preserve"> דין דם בתולים</w:t>
      </w:r>
      <w:r>
        <w:rPr>
          <w:b/>
          <w:bCs/>
          <w:sz w:val="20"/>
          <w:szCs w:val="20"/>
          <w:rtl/>
        </w:rPr>
        <w:br/>
      </w:r>
      <w:r>
        <w:rPr>
          <w:rFonts w:hint="cs"/>
          <w:b/>
          <w:bCs/>
          <w:sz w:val="20"/>
          <w:szCs w:val="20"/>
          <w:rtl/>
        </w:rPr>
        <w:t xml:space="preserve"> </w:t>
      </w:r>
      <w:r>
        <w:rPr>
          <w:rFonts w:hint="cs"/>
          <w:b/>
          <w:bCs/>
          <w:sz w:val="20"/>
          <w:szCs w:val="20"/>
          <w:rtl/>
        </w:rPr>
        <w:br/>
      </w:r>
      <w:r w:rsidRPr="0061562F">
        <w:rPr>
          <w:rStyle w:val="10"/>
          <w:rFonts w:hint="cs"/>
          <w:rtl/>
        </w:rPr>
        <w:t>א. דין פרישה לאחר הבעילה</w:t>
      </w:r>
      <w:r w:rsidRPr="00967718">
        <w:rPr>
          <w:b/>
          <w:bCs/>
          <w:sz w:val="20"/>
          <w:szCs w:val="20"/>
          <w:rtl/>
        </w:rPr>
        <w:br/>
      </w:r>
      <w:r w:rsidRPr="00967718">
        <w:rPr>
          <w:rFonts w:hint="cs"/>
          <w:b/>
          <w:bCs/>
          <w:sz w:val="20"/>
          <w:szCs w:val="20"/>
          <w:rtl/>
        </w:rPr>
        <w:t>מקור</w:t>
      </w:r>
      <w:r>
        <w:rPr>
          <w:rFonts w:hint="cs"/>
          <w:b/>
          <w:bCs/>
          <w:sz w:val="20"/>
          <w:szCs w:val="20"/>
          <w:rtl/>
        </w:rPr>
        <w:t>ות</w:t>
      </w:r>
      <w:r w:rsidRPr="00967718">
        <w:rPr>
          <w:rFonts w:hint="cs"/>
          <w:b/>
          <w:bCs/>
          <w:sz w:val="20"/>
          <w:szCs w:val="20"/>
          <w:rtl/>
        </w:rPr>
        <w:t xml:space="preserve"> הדין</w:t>
      </w:r>
      <w:r>
        <w:rPr>
          <w:rFonts w:hint="cs"/>
          <w:b/>
          <w:bCs/>
          <w:sz w:val="20"/>
          <w:szCs w:val="20"/>
          <w:rtl/>
        </w:rPr>
        <w:br/>
      </w:r>
      <w:r>
        <w:rPr>
          <w:rFonts w:hint="cs"/>
          <w:sz w:val="20"/>
          <w:szCs w:val="20"/>
          <w:rtl/>
        </w:rPr>
        <w:t xml:space="preserve">א. </w:t>
      </w:r>
      <w:r w:rsidRPr="00F525CE">
        <w:rPr>
          <w:rFonts w:hint="cs"/>
          <w:b/>
          <w:bCs/>
          <w:sz w:val="20"/>
          <w:szCs w:val="20"/>
          <w:rtl/>
        </w:rPr>
        <w:t>משנה</w:t>
      </w:r>
      <w:r w:rsidRPr="00F525CE">
        <w:rPr>
          <w:rFonts w:hint="cs"/>
          <w:sz w:val="20"/>
          <w:szCs w:val="20"/>
          <w:rtl/>
        </w:rPr>
        <w:t xml:space="preserve"> </w:t>
      </w:r>
      <w:r>
        <w:rPr>
          <w:rFonts w:hint="cs"/>
          <w:sz w:val="20"/>
          <w:szCs w:val="20"/>
          <w:rtl/>
        </w:rPr>
        <w:t>נידה (סד:) "</w:t>
      </w:r>
      <w:r>
        <w:rPr>
          <w:rFonts w:cs="Arial" w:hint="cs"/>
          <w:sz w:val="20"/>
          <w:szCs w:val="20"/>
          <w:vertAlign w:val="superscript"/>
          <w:rtl/>
        </w:rPr>
        <w:t>1</w:t>
      </w:r>
      <w:r w:rsidRPr="00F525CE">
        <w:rPr>
          <w:rFonts w:cs="Arial" w:hint="cs"/>
          <w:sz w:val="20"/>
          <w:szCs w:val="20"/>
          <w:rtl/>
        </w:rPr>
        <w:t>תינוקת</w:t>
      </w:r>
      <w:r w:rsidRPr="00F525CE">
        <w:rPr>
          <w:rFonts w:cs="Arial"/>
          <w:sz w:val="20"/>
          <w:szCs w:val="20"/>
          <w:rtl/>
        </w:rPr>
        <w:t xml:space="preserve"> </w:t>
      </w:r>
      <w:r w:rsidRPr="00F525CE">
        <w:rPr>
          <w:rFonts w:cs="Arial" w:hint="cs"/>
          <w:sz w:val="20"/>
          <w:szCs w:val="20"/>
          <w:rtl/>
        </w:rPr>
        <w:t>שלא</w:t>
      </w:r>
      <w:r w:rsidRPr="00F525CE">
        <w:rPr>
          <w:rFonts w:cs="Arial"/>
          <w:sz w:val="20"/>
          <w:szCs w:val="20"/>
          <w:rtl/>
        </w:rPr>
        <w:t xml:space="preserve"> </w:t>
      </w:r>
      <w:r w:rsidRPr="00F525CE">
        <w:rPr>
          <w:rFonts w:cs="Arial" w:hint="cs"/>
          <w:sz w:val="20"/>
          <w:szCs w:val="20"/>
          <w:rtl/>
        </w:rPr>
        <w:t>הגיע</w:t>
      </w:r>
      <w:r w:rsidRPr="00F525CE">
        <w:rPr>
          <w:rFonts w:cs="Arial"/>
          <w:sz w:val="20"/>
          <w:szCs w:val="20"/>
          <w:rtl/>
        </w:rPr>
        <w:t xml:space="preserve"> </w:t>
      </w:r>
      <w:r w:rsidRPr="00F525CE">
        <w:rPr>
          <w:rFonts w:cs="Arial" w:hint="cs"/>
          <w:sz w:val="20"/>
          <w:szCs w:val="20"/>
          <w:rtl/>
        </w:rPr>
        <w:t>זמנה</w:t>
      </w:r>
      <w:r w:rsidRPr="00F525CE">
        <w:rPr>
          <w:rFonts w:cs="Arial"/>
          <w:sz w:val="20"/>
          <w:szCs w:val="20"/>
          <w:rtl/>
        </w:rPr>
        <w:t xml:space="preserve"> </w:t>
      </w:r>
      <w:r w:rsidRPr="00F525CE">
        <w:rPr>
          <w:rFonts w:cs="Arial" w:hint="cs"/>
          <w:sz w:val="20"/>
          <w:szCs w:val="20"/>
          <w:rtl/>
        </w:rPr>
        <w:t>לראות</w:t>
      </w:r>
      <w:r w:rsidRPr="00F525CE">
        <w:rPr>
          <w:rFonts w:cs="Arial"/>
          <w:sz w:val="20"/>
          <w:szCs w:val="20"/>
          <w:rtl/>
        </w:rPr>
        <w:t xml:space="preserve">, </w:t>
      </w:r>
      <w:r w:rsidRPr="00F525CE">
        <w:rPr>
          <w:rFonts w:cs="Arial" w:hint="cs"/>
          <w:sz w:val="20"/>
          <w:szCs w:val="20"/>
          <w:rtl/>
        </w:rPr>
        <w:t>וניסת</w:t>
      </w:r>
      <w:r w:rsidRPr="00F525CE">
        <w:rPr>
          <w:rFonts w:cs="Arial"/>
          <w:sz w:val="20"/>
          <w:szCs w:val="20"/>
          <w:rtl/>
        </w:rPr>
        <w:t xml:space="preserve">, </w:t>
      </w:r>
      <w:r w:rsidRPr="00F525CE">
        <w:rPr>
          <w:rFonts w:cs="Arial" w:hint="cs"/>
          <w:sz w:val="20"/>
          <w:szCs w:val="20"/>
          <w:rtl/>
        </w:rPr>
        <w:t>ב</w:t>
      </w:r>
      <w:r>
        <w:rPr>
          <w:rFonts w:cs="Arial" w:hint="cs"/>
          <w:sz w:val="20"/>
          <w:szCs w:val="20"/>
          <w:rtl/>
        </w:rPr>
        <w:t xml:space="preserve">ית </w:t>
      </w:r>
      <w:r w:rsidRPr="00F525CE">
        <w:rPr>
          <w:rFonts w:cs="Arial" w:hint="cs"/>
          <w:sz w:val="20"/>
          <w:szCs w:val="20"/>
          <w:rtl/>
        </w:rPr>
        <w:t>ש</w:t>
      </w:r>
      <w:r>
        <w:rPr>
          <w:rFonts w:cs="Arial" w:hint="cs"/>
          <w:sz w:val="20"/>
          <w:szCs w:val="20"/>
          <w:rtl/>
        </w:rPr>
        <w:t>מאי</w:t>
      </w:r>
      <w:r w:rsidRPr="00F525CE">
        <w:rPr>
          <w:rFonts w:cs="Arial"/>
          <w:sz w:val="20"/>
          <w:szCs w:val="20"/>
          <w:rtl/>
        </w:rPr>
        <w:t xml:space="preserve"> </w:t>
      </w:r>
      <w:r w:rsidRPr="00F525CE">
        <w:rPr>
          <w:rFonts w:cs="Arial" w:hint="cs"/>
          <w:sz w:val="20"/>
          <w:szCs w:val="20"/>
          <w:rtl/>
        </w:rPr>
        <w:t>אומרים</w:t>
      </w:r>
      <w:r w:rsidRPr="00F525CE">
        <w:rPr>
          <w:rFonts w:cs="Arial"/>
          <w:sz w:val="20"/>
          <w:szCs w:val="20"/>
          <w:rtl/>
        </w:rPr>
        <w:t xml:space="preserve">: </w:t>
      </w:r>
      <w:r w:rsidRPr="00F525CE">
        <w:rPr>
          <w:rFonts w:cs="Arial" w:hint="cs"/>
          <w:sz w:val="20"/>
          <w:szCs w:val="20"/>
          <w:rtl/>
        </w:rPr>
        <w:t>נותנין</w:t>
      </w:r>
      <w:r w:rsidRPr="00F525CE">
        <w:rPr>
          <w:rFonts w:cs="Arial"/>
          <w:sz w:val="20"/>
          <w:szCs w:val="20"/>
          <w:rtl/>
        </w:rPr>
        <w:t xml:space="preserve"> </w:t>
      </w:r>
      <w:r w:rsidRPr="00F525CE">
        <w:rPr>
          <w:rFonts w:cs="Arial" w:hint="cs"/>
          <w:sz w:val="20"/>
          <w:szCs w:val="20"/>
          <w:rtl/>
        </w:rPr>
        <w:t>לה</w:t>
      </w:r>
      <w:r w:rsidRPr="00F525CE">
        <w:rPr>
          <w:rFonts w:cs="Arial"/>
          <w:sz w:val="20"/>
          <w:szCs w:val="20"/>
          <w:rtl/>
        </w:rPr>
        <w:t xml:space="preserve"> </w:t>
      </w:r>
      <w:r w:rsidRPr="00F525CE">
        <w:rPr>
          <w:rFonts w:cs="Arial" w:hint="cs"/>
          <w:sz w:val="20"/>
          <w:szCs w:val="20"/>
          <w:rtl/>
        </w:rPr>
        <w:t>ארבע</w:t>
      </w:r>
      <w:r w:rsidRPr="00F525CE">
        <w:rPr>
          <w:rFonts w:cs="Arial"/>
          <w:sz w:val="20"/>
          <w:szCs w:val="20"/>
          <w:rtl/>
        </w:rPr>
        <w:t xml:space="preserve"> </w:t>
      </w:r>
      <w:r w:rsidRPr="00F525CE">
        <w:rPr>
          <w:rFonts w:cs="Arial" w:hint="cs"/>
          <w:sz w:val="20"/>
          <w:szCs w:val="20"/>
          <w:rtl/>
        </w:rPr>
        <w:t>לילות</w:t>
      </w:r>
      <w:r w:rsidRPr="00F525CE">
        <w:rPr>
          <w:rFonts w:cs="Arial"/>
          <w:sz w:val="20"/>
          <w:szCs w:val="20"/>
          <w:rtl/>
        </w:rPr>
        <w:t xml:space="preserve">, </w:t>
      </w:r>
      <w:r w:rsidRPr="00F525CE">
        <w:rPr>
          <w:rFonts w:cs="Arial" w:hint="cs"/>
          <w:sz w:val="20"/>
          <w:szCs w:val="20"/>
          <w:rtl/>
        </w:rPr>
        <w:t>וב</w:t>
      </w:r>
      <w:r>
        <w:rPr>
          <w:rFonts w:cs="Arial" w:hint="cs"/>
          <w:sz w:val="20"/>
          <w:szCs w:val="20"/>
          <w:rtl/>
        </w:rPr>
        <w:t>ית הלל</w:t>
      </w:r>
      <w:r w:rsidRPr="00F525CE">
        <w:rPr>
          <w:rFonts w:cs="Arial"/>
          <w:sz w:val="20"/>
          <w:szCs w:val="20"/>
          <w:rtl/>
        </w:rPr>
        <w:t xml:space="preserve"> </w:t>
      </w:r>
      <w:r w:rsidRPr="00F525CE">
        <w:rPr>
          <w:rFonts w:cs="Arial" w:hint="cs"/>
          <w:sz w:val="20"/>
          <w:szCs w:val="20"/>
          <w:rtl/>
        </w:rPr>
        <w:t>אומרים</w:t>
      </w:r>
      <w:r w:rsidRPr="00F525CE">
        <w:rPr>
          <w:rFonts w:cs="Arial"/>
          <w:sz w:val="20"/>
          <w:szCs w:val="20"/>
          <w:rtl/>
        </w:rPr>
        <w:t xml:space="preserve">: </w:t>
      </w:r>
      <w:r w:rsidRPr="00F525CE">
        <w:rPr>
          <w:rFonts w:cs="Arial" w:hint="cs"/>
          <w:sz w:val="20"/>
          <w:szCs w:val="20"/>
          <w:rtl/>
        </w:rPr>
        <w:t>עד</w:t>
      </w:r>
      <w:r w:rsidRPr="00F525CE">
        <w:rPr>
          <w:rFonts w:cs="Arial"/>
          <w:sz w:val="20"/>
          <w:szCs w:val="20"/>
          <w:rtl/>
        </w:rPr>
        <w:t xml:space="preserve"> </w:t>
      </w:r>
      <w:r w:rsidRPr="00F525CE">
        <w:rPr>
          <w:rFonts w:cs="Arial" w:hint="cs"/>
          <w:sz w:val="20"/>
          <w:szCs w:val="20"/>
          <w:rtl/>
        </w:rPr>
        <w:t>שתחיה</w:t>
      </w:r>
      <w:r w:rsidRPr="00F525CE">
        <w:rPr>
          <w:rFonts w:cs="Arial"/>
          <w:sz w:val="20"/>
          <w:szCs w:val="20"/>
          <w:rtl/>
        </w:rPr>
        <w:t xml:space="preserve"> </w:t>
      </w:r>
      <w:r w:rsidRPr="00F525CE">
        <w:rPr>
          <w:rFonts w:cs="Arial" w:hint="cs"/>
          <w:sz w:val="20"/>
          <w:szCs w:val="20"/>
          <w:rtl/>
        </w:rPr>
        <w:t>המכה</w:t>
      </w:r>
      <w:r w:rsidRPr="00F525CE">
        <w:rPr>
          <w:rFonts w:cs="Arial"/>
          <w:sz w:val="20"/>
          <w:szCs w:val="20"/>
          <w:rtl/>
        </w:rPr>
        <w:t xml:space="preserve">. </w:t>
      </w:r>
      <w:r>
        <w:rPr>
          <w:rFonts w:cs="Arial" w:hint="cs"/>
          <w:sz w:val="20"/>
          <w:szCs w:val="20"/>
          <w:vertAlign w:val="superscript"/>
          <w:rtl/>
        </w:rPr>
        <w:t>2</w:t>
      </w:r>
      <w:r w:rsidRPr="00F525CE">
        <w:rPr>
          <w:rFonts w:cs="Arial" w:hint="cs"/>
          <w:sz w:val="20"/>
          <w:szCs w:val="20"/>
          <w:rtl/>
        </w:rPr>
        <w:t>הגיע</w:t>
      </w:r>
      <w:r w:rsidRPr="00F525CE">
        <w:rPr>
          <w:rFonts w:cs="Arial"/>
          <w:sz w:val="20"/>
          <w:szCs w:val="20"/>
          <w:rtl/>
        </w:rPr>
        <w:t xml:space="preserve"> </w:t>
      </w:r>
      <w:r w:rsidRPr="00F525CE">
        <w:rPr>
          <w:rFonts w:cs="Arial" w:hint="cs"/>
          <w:sz w:val="20"/>
          <w:szCs w:val="20"/>
          <w:rtl/>
        </w:rPr>
        <w:t>זמנה</w:t>
      </w:r>
      <w:r w:rsidRPr="00F525CE">
        <w:rPr>
          <w:rFonts w:cs="Arial"/>
          <w:sz w:val="20"/>
          <w:szCs w:val="20"/>
          <w:rtl/>
        </w:rPr>
        <w:t xml:space="preserve"> </w:t>
      </w:r>
      <w:r w:rsidRPr="00F525CE">
        <w:rPr>
          <w:rFonts w:cs="Arial" w:hint="cs"/>
          <w:sz w:val="20"/>
          <w:szCs w:val="20"/>
          <w:rtl/>
        </w:rPr>
        <w:t>לראות</w:t>
      </w:r>
      <w:r w:rsidRPr="00F525CE">
        <w:rPr>
          <w:rFonts w:cs="Arial"/>
          <w:sz w:val="20"/>
          <w:szCs w:val="20"/>
          <w:rtl/>
        </w:rPr>
        <w:t xml:space="preserve"> </w:t>
      </w:r>
      <w:r w:rsidRPr="00F525CE">
        <w:rPr>
          <w:rFonts w:cs="Arial" w:hint="cs"/>
          <w:sz w:val="20"/>
          <w:szCs w:val="20"/>
          <w:rtl/>
        </w:rPr>
        <w:t>וניסת</w:t>
      </w:r>
      <w:r w:rsidRPr="00F525CE">
        <w:rPr>
          <w:rFonts w:cs="Arial"/>
          <w:sz w:val="20"/>
          <w:szCs w:val="20"/>
          <w:rtl/>
        </w:rPr>
        <w:t xml:space="preserve">, </w:t>
      </w:r>
      <w:r w:rsidRPr="00F525CE">
        <w:rPr>
          <w:rFonts w:cs="Arial" w:hint="cs"/>
          <w:sz w:val="20"/>
          <w:szCs w:val="20"/>
          <w:rtl/>
        </w:rPr>
        <w:t>ב</w:t>
      </w:r>
      <w:r>
        <w:rPr>
          <w:rFonts w:cs="Arial" w:hint="cs"/>
          <w:sz w:val="20"/>
          <w:szCs w:val="20"/>
          <w:rtl/>
        </w:rPr>
        <w:t xml:space="preserve">ית </w:t>
      </w:r>
      <w:r w:rsidRPr="00F525CE">
        <w:rPr>
          <w:rFonts w:cs="Arial" w:hint="cs"/>
          <w:sz w:val="20"/>
          <w:szCs w:val="20"/>
          <w:rtl/>
        </w:rPr>
        <w:t>ש</w:t>
      </w:r>
      <w:r>
        <w:rPr>
          <w:rFonts w:cs="Arial" w:hint="cs"/>
          <w:sz w:val="20"/>
          <w:szCs w:val="20"/>
          <w:rtl/>
        </w:rPr>
        <w:t>מאי</w:t>
      </w:r>
      <w:r w:rsidRPr="00F525CE">
        <w:rPr>
          <w:rFonts w:cs="Arial"/>
          <w:sz w:val="20"/>
          <w:szCs w:val="20"/>
          <w:rtl/>
        </w:rPr>
        <w:t xml:space="preserve"> </w:t>
      </w:r>
      <w:r w:rsidRPr="00F525CE">
        <w:rPr>
          <w:rFonts w:cs="Arial" w:hint="cs"/>
          <w:sz w:val="20"/>
          <w:szCs w:val="20"/>
          <w:rtl/>
        </w:rPr>
        <w:t>אומרים</w:t>
      </w:r>
      <w:r w:rsidRPr="00F525CE">
        <w:rPr>
          <w:rFonts w:cs="Arial"/>
          <w:sz w:val="20"/>
          <w:szCs w:val="20"/>
          <w:rtl/>
        </w:rPr>
        <w:t xml:space="preserve">: </w:t>
      </w:r>
      <w:r w:rsidRPr="00F525CE">
        <w:rPr>
          <w:rFonts w:cs="Arial" w:hint="cs"/>
          <w:sz w:val="20"/>
          <w:szCs w:val="20"/>
          <w:rtl/>
        </w:rPr>
        <w:t>נותנין</w:t>
      </w:r>
      <w:r w:rsidRPr="00F525CE">
        <w:rPr>
          <w:rFonts w:cs="Arial"/>
          <w:sz w:val="20"/>
          <w:szCs w:val="20"/>
          <w:rtl/>
        </w:rPr>
        <w:t xml:space="preserve"> </w:t>
      </w:r>
      <w:r w:rsidRPr="00F525CE">
        <w:rPr>
          <w:rFonts w:cs="Arial" w:hint="cs"/>
          <w:sz w:val="20"/>
          <w:szCs w:val="20"/>
          <w:rtl/>
        </w:rPr>
        <w:t>לה</w:t>
      </w:r>
      <w:r w:rsidRPr="00F525CE">
        <w:rPr>
          <w:rFonts w:cs="Arial"/>
          <w:sz w:val="20"/>
          <w:szCs w:val="20"/>
          <w:rtl/>
        </w:rPr>
        <w:t xml:space="preserve"> </w:t>
      </w:r>
      <w:r w:rsidRPr="00F525CE">
        <w:rPr>
          <w:rFonts w:cs="Arial" w:hint="cs"/>
          <w:sz w:val="20"/>
          <w:szCs w:val="20"/>
          <w:rtl/>
        </w:rPr>
        <w:t>לילה</w:t>
      </w:r>
      <w:r w:rsidRPr="00F525CE">
        <w:rPr>
          <w:rFonts w:cs="Arial"/>
          <w:sz w:val="20"/>
          <w:szCs w:val="20"/>
          <w:rtl/>
        </w:rPr>
        <w:t xml:space="preserve"> </w:t>
      </w:r>
      <w:r w:rsidRPr="00F525CE">
        <w:rPr>
          <w:rFonts w:cs="Arial" w:hint="cs"/>
          <w:sz w:val="20"/>
          <w:szCs w:val="20"/>
          <w:rtl/>
        </w:rPr>
        <w:t>הראשון</w:t>
      </w:r>
      <w:r w:rsidRPr="00F525CE">
        <w:rPr>
          <w:rFonts w:cs="Arial"/>
          <w:sz w:val="20"/>
          <w:szCs w:val="20"/>
          <w:rtl/>
        </w:rPr>
        <w:t xml:space="preserve">, </w:t>
      </w:r>
      <w:r w:rsidRPr="00F525CE">
        <w:rPr>
          <w:rFonts w:cs="Arial" w:hint="cs"/>
          <w:sz w:val="20"/>
          <w:szCs w:val="20"/>
          <w:rtl/>
        </w:rPr>
        <w:t>וב</w:t>
      </w:r>
      <w:r>
        <w:rPr>
          <w:rFonts w:cs="Arial" w:hint="cs"/>
          <w:sz w:val="20"/>
          <w:szCs w:val="20"/>
          <w:rtl/>
        </w:rPr>
        <w:t>ית הלל</w:t>
      </w:r>
      <w:r w:rsidRPr="00F525CE">
        <w:rPr>
          <w:rFonts w:cs="Arial" w:hint="cs"/>
          <w:sz w:val="20"/>
          <w:szCs w:val="20"/>
          <w:rtl/>
        </w:rPr>
        <w:t xml:space="preserve"> אומרים</w:t>
      </w:r>
      <w:r w:rsidRPr="00F525CE">
        <w:rPr>
          <w:rFonts w:cs="Arial"/>
          <w:sz w:val="20"/>
          <w:szCs w:val="20"/>
          <w:rtl/>
        </w:rPr>
        <w:t xml:space="preserve">: </w:t>
      </w:r>
      <w:r w:rsidRPr="00F525CE">
        <w:rPr>
          <w:rFonts w:cs="Arial" w:hint="cs"/>
          <w:sz w:val="20"/>
          <w:szCs w:val="20"/>
          <w:rtl/>
        </w:rPr>
        <w:t>עד</w:t>
      </w:r>
      <w:r w:rsidRPr="00F525CE">
        <w:rPr>
          <w:rFonts w:cs="Arial"/>
          <w:sz w:val="20"/>
          <w:szCs w:val="20"/>
          <w:rtl/>
        </w:rPr>
        <w:t xml:space="preserve"> </w:t>
      </w:r>
      <w:r w:rsidRPr="00F525CE">
        <w:rPr>
          <w:rFonts w:cs="Arial" w:hint="cs"/>
          <w:sz w:val="20"/>
          <w:szCs w:val="20"/>
          <w:rtl/>
        </w:rPr>
        <w:t>מוצאי</w:t>
      </w:r>
      <w:r w:rsidRPr="00F525CE">
        <w:rPr>
          <w:rFonts w:cs="Arial"/>
          <w:sz w:val="20"/>
          <w:szCs w:val="20"/>
          <w:rtl/>
        </w:rPr>
        <w:t xml:space="preserve"> </w:t>
      </w:r>
      <w:r w:rsidRPr="00F525CE">
        <w:rPr>
          <w:rFonts w:cs="Arial" w:hint="cs"/>
          <w:sz w:val="20"/>
          <w:szCs w:val="20"/>
          <w:rtl/>
        </w:rPr>
        <w:t>שבת</w:t>
      </w:r>
      <w:r w:rsidRPr="00F525CE">
        <w:rPr>
          <w:rFonts w:cs="Arial"/>
          <w:sz w:val="20"/>
          <w:szCs w:val="20"/>
          <w:rtl/>
        </w:rPr>
        <w:t xml:space="preserve">, </w:t>
      </w:r>
      <w:r w:rsidRPr="00F525CE">
        <w:rPr>
          <w:rFonts w:cs="Arial" w:hint="cs"/>
          <w:sz w:val="20"/>
          <w:szCs w:val="20"/>
          <w:rtl/>
        </w:rPr>
        <w:t>ארבע</w:t>
      </w:r>
      <w:r w:rsidRPr="00F525CE">
        <w:rPr>
          <w:rFonts w:cs="Arial"/>
          <w:sz w:val="20"/>
          <w:szCs w:val="20"/>
          <w:rtl/>
        </w:rPr>
        <w:t xml:space="preserve"> </w:t>
      </w:r>
      <w:r w:rsidRPr="00F525CE">
        <w:rPr>
          <w:rFonts w:cs="Arial" w:hint="cs"/>
          <w:sz w:val="20"/>
          <w:szCs w:val="20"/>
          <w:rtl/>
        </w:rPr>
        <w:t>לילות</w:t>
      </w:r>
      <w:r w:rsidRPr="00F525CE">
        <w:rPr>
          <w:rFonts w:cs="Arial"/>
          <w:sz w:val="20"/>
          <w:szCs w:val="20"/>
          <w:rtl/>
        </w:rPr>
        <w:t xml:space="preserve">. </w:t>
      </w:r>
      <w:r>
        <w:rPr>
          <w:rFonts w:cs="Arial" w:hint="cs"/>
          <w:sz w:val="20"/>
          <w:szCs w:val="20"/>
          <w:vertAlign w:val="superscript"/>
          <w:rtl/>
        </w:rPr>
        <w:t>3</w:t>
      </w:r>
      <w:r w:rsidRPr="00F525CE">
        <w:rPr>
          <w:rFonts w:cs="Arial" w:hint="cs"/>
          <w:sz w:val="20"/>
          <w:szCs w:val="20"/>
          <w:rtl/>
        </w:rPr>
        <w:t>ראתה</w:t>
      </w:r>
      <w:r w:rsidRPr="00F525CE">
        <w:rPr>
          <w:rFonts w:cs="Arial"/>
          <w:sz w:val="20"/>
          <w:szCs w:val="20"/>
          <w:rtl/>
        </w:rPr>
        <w:t xml:space="preserve"> </w:t>
      </w:r>
      <w:r w:rsidRPr="00F525CE">
        <w:rPr>
          <w:rFonts w:cs="Arial" w:hint="cs"/>
          <w:sz w:val="20"/>
          <w:szCs w:val="20"/>
          <w:rtl/>
        </w:rPr>
        <w:t>ועודה</w:t>
      </w:r>
      <w:r w:rsidRPr="00F525CE">
        <w:rPr>
          <w:rFonts w:cs="Arial"/>
          <w:sz w:val="20"/>
          <w:szCs w:val="20"/>
          <w:rtl/>
        </w:rPr>
        <w:t xml:space="preserve"> </w:t>
      </w:r>
      <w:r w:rsidRPr="00F525CE">
        <w:rPr>
          <w:rFonts w:cs="Arial" w:hint="cs"/>
          <w:sz w:val="20"/>
          <w:szCs w:val="20"/>
          <w:rtl/>
        </w:rPr>
        <w:t>בבית</w:t>
      </w:r>
      <w:r w:rsidRPr="00F525CE">
        <w:rPr>
          <w:rFonts w:cs="Arial"/>
          <w:sz w:val="20"/>
          <w:szCs w:val="20"/>
          <w:rtl/>
        </w:rPr>
        <w:t xml:space="preserve"> </w:t>
      </w:r>
      <w:r w:rsidRPr="00F525CE">
        <w:rPr>
          <w:rFonts w:cs="Arial" w:hint="cs"/>
          <w:sz w:val="20"/>
          <w:szCs w:val="20"/>
          <w:rtl/>
        </w:rPr>
        <w:t>אביה</w:t>
      </w:r>
      <w:r w:rsidRPr="00F525CE">
        <w:rPr>
          <w:rFonts w:cs="Arial"/>
          <w:sz w:val="20"/>
          <w:szCs w:val="20"/>
          <w:rtl/>
        </w:rPr>
        <w:t xml:space="preserve">, </w:t>
      </w:r>
      <w:r w:rsidRPr="00F525CE">
        <w:rPr>
          <w:rFonts w:cs="Arial" w:hint="cs"/>
          <w:sz w:val="20"/>
          <w:szCs w:val="20"/>
          <w:rtl/>
        </w:rPr>
        <w:t>ב</w:t>
      </w:r>
      <w:r>
        <w:rPr>
          <w:rFonts w:cs="Arial" w:hint="cs"/>
          <w:sz w:val="20"/>
          <w:szCs w:val="20"/>
          <w:rtl/>
        </w:rPr>
        <w:t xml:space="preserve">ית </w:t>
      </w:r>
      <w:r w:rsidRPr="00F525CE">
        <w:rPr>
          <w:rFonts w:cs="Arial" w:hint="cs"/>
          <w:sz w:val="20"/>
          <w:szCs w:val="20"/>
          <w:rtl/>
        </w:rPr>
        <w:t>ש</w:t>
      </w:r>
      <w:r>
        <w:rPr>
          <w:rFonts w:cs="Arial" w:hint="cs"/>
          <w:sz w:val="20"/>
          <w:szCs w:val="20"/>
          <w:rtl/>
        </w:rPr>
        <w:t>מאי</w:t>
      </w:r>
      <w:r w:rsidRPr="00F525CE">
        <w:rPr>
          <w:rFonts w:cs="Arial"/>
          <w:sz w:val="20"/>
          <w:szCs w:val="20"/>
          <w:rtl/>
        </w:rPr>
        <w:t xml:space="preserve"> </w:t>
      </w:r>
      <w:r w:rsidRPr="00F525CE">
        <w:rPr>
          <w:rFonts w:cs="Arial" w:hint="cs"/>
          <w:sz w:val="20"/>
          <w:szCs w:val="20"/>
          <w:rtl/>
        </w:rPr>
        <w:t>אומרים</w:t>
      </w:r>
      <w:r w:rsidRPr="00F525CE">
        <w:rPr>
          <w:rFonts w:cs="Arial"/>
          <w:sz w:val="20"/>
          <w:szCs w:val="20"/>
          <w:rtl/>
        </w:rPr>
        <w:t xml:space="preserve">: </w:t>
      </w:r>
      <w:r w:rsidRPr="00F525CE">
        <w:rPr>
          <w:rFonts w:cs="Arial" w:hint="cs"/>
          <w:sz w:val="20"/>
          <w:szCs w:val="20"/>
          <w:rtl/>
        </w:rPr>
        <w:t>נותנין</w:t>
      </w:r>
      <w:r w:rsidRPr="00F525CE">
        <w:rPr>
          <w:rFonts w:cs="Arial"/>
          <w:sz w:val="20"/>
          <w:szCs w:val="20"/>
          <w:rtl/>
        </w:rPr>
        <w:t xml:space="preserve"> </w:t>
      </w:r>
      <w:r w:rsidRPr="00F525CE">
        <w:rPr>
          <w:rFonts w:cs="Arial" w:hint="cs"/>
          <w:sz w:val="20"/>
          <w:szCs w:val="20"/>
          <w:rtl/>
        </w:rPr>
        <w:t>לה</w:t>
      </w:r>
      <w:r w:rsidRPr="00F525CE">
        <w:rPr>
          <w:rFonts w:cs="Arial"/>
          <w:sz w:val="20"/>
          <w:szCs w:val="20"/>
          <w:rtl/>
        </w:rPr>
        <w:t xml:space="preserve"> </w:t>
      </w:r>
      <w:r w:rsidRPr="00F525CE">
        <w:rPr>
          <w:rFonts w:cs="Arial" w:hint="cs"/>
          <w:sz w:val="20"/>
          <w:szCs w:val="20"/>
          <w:rtl/>
        </w:rPr>
        <w:t>בעילת</w:t>
      </w:r>
      <w:r w:rsidRPr="00F525CE">
        <w:rPr>
          <w:rFonts w:cs="Arial"/>
          <w:sz w:val="20"/>
          <w:szCs w:val="20"/>
          <w:rtl/>
        </w:rPr>
        <w:t xml:space="preserve"> </w:t>
      </w:r>
      <w:r w:rsidRPr="00F525CE">
        <w:rPr>
          <w:rFonts w:cs="Arial" w:hint="cs"/>
          <w:sz w:val="20"/>
          <w:szCs w:val="20"/>
          <w:rtl/>
        </w:rPr>
        <w:t>מצוה</w:t>
      </w:r>
      <w:r w:rsidRPr="00F525CE">
        <w:rPr>
          <w:rFonts w:cs="Arial"/>
          <w:sz w:val="20"/>
          <w:szCs w:val="20"/>
          <w:rtl/>
        </w:rPr>
        <w:t xml:space="preserve">, </w:t>
      </w:r>
      <w:r w:rsidRPr="00F525CE">
        <w:rPr>
          <w:rFonts w:cs="Arial" w:hint="cs"/>
          <w:sz w:val="20"/>
          <w:szCs w:val="20"/>
          <w:rtl/>
        </w:rPr>
        <w:t>וב</w:t>
      </w:r>
      <w:r>
        <w:rPr>
          <w:rFonts w:cs="Arial" w:hint="cs"/>
          <w:sz w:val="20"/>
          <w:szCs w:val="20"/>
          <w:rtl/>
        </w:rPr>
        <w:t>ית הלל</w:t>
      </w:r>
      <w:r w:rsidRPr="00F525CE">
        <w:rPr>
          <w:rFonts w:cs="Arial"/>
          <w:sz w:val="20"/>
          <w:szCs w:val="20"/>
          <w:rtl/>
        </w:rPr>
        <w:t xml:space="preserve"> </w:t>
      </w:r>
      <w:r w:rsidRPr="00F525CE">
        <w:rPr>
          <w:rFonts w:cs="Arial" w:hint="cs"/>
          <w:sz w:val="20"/>
          <w:szCs w:val="20"/>
          <w:rtl/>
        </w:rPr>
        <w:t>אומרים</w:t>
      </w:r>
      <w:r w:rsidRPr="00F525CE">
        <w:rPr>
          <w:rFonts w:cs="Arial"/>
          <w:sz w:val="20"/>
          <w:szCs w:val="20"/>
          <w:rtl/>
        </w:rPr>
        <w:t xml:space="preserve">: </w:t>
      </w:r>
      <w:r w:rsidRPr="00F525CE">
        <w:rPr>
          <w:rFonts w:cs="Arial" w:hint="cs"/>
          <w:sz w:val="20"/>
          <w:szCs w:val="20"/>
          <w:rtl/>
        </w:rPr>
        <w:t>כל</w:t>
      </w:r>
      <w:r w:rsidRPr="00F525CE">
        <w:rPr>
          <w:rFonts w:cs="Arial"/>
          <w:sz w:val="20"/>
          <w:szCs w:val="20"/>
          <w:rtl/>
        </w:rPr>
        <w:t xml:space="preserve"> </w:t>
      </w:r>
      <w:r w:rsidRPr="00F525CE">
        <w:rPr>
          <w:rFonts w:cs="Arial" w:hint="cs"/>
          <w:sz w:val="20"/>
          <w:szCs w:val="20"/>
          <w:rtl/>
        </w:rPr>
        <w:t>הלילה</w:t>
      </w:r>
      <w:r w:rsidRPr="00F525CE">
        <w:rPr>
          <w:rFonts w:cs="Arial"/>
          <w:sz w:val="20"/>
          <w:szCs w:val="20"/>
          <w:rtl/>
        </w:rPr>
        <w:t xml:space="preserve"> </w:t>
      </w:r>
      <w:r w:rsidRPr="00F525CE">
        <w:rPr>
          <w:rFonts w:cs="Arial" w:hint="cs"/>
          <w:sz w:val="20"/>
          <w:szCs w:val="20"/>
          <w:rtl/>
        </w:rPr>
        <w:t>כולה</w:t>
      </w:r>
      <w:r>
        <w:rPr>
          <w:rFonts w:cs="Arial" w:hint="cs"/>
          <w:sz w:val="20"/>
          <w:szCs w:val="20"/>
          <w:rtl/>
        </w:rPr>
        <w:t>"</w:t>
      </w:r>
      <w:r w:rsidRPr="00F525CE">
        <w:rPr>
          <w:rFonts w:cs="Arial"/>
          <w:sz w:val="20"/>
          <w:szCs w:val="20"/>
          <w:rtl/>
        </w:rPr>
        <w:t xml:space="preserve">. </w:t>
      </w:r>
    </w:p>
    <w:p w:rsidR="00620060" w:rsidRDefault="00620060" w:rsidP="00620060">
      <w:pPr>
        <w:rPr>
          <w:sz w:val="20"/>
          <w:szCs w:val="20"/>
          <w:rtl/>
        </w:rPr>
      </w:pPr>
      <w:r>
        <w:rPr>
          <w:rFonts w:cs="Arial" w:hint="cs"/>
          <w:sz w:val="20"/>
          <w:szCs w:val="20"/>
          <w:rtl/>
        </w:rPr>
        <w:t xml:space="preserve">ב. </w:t>
      </w:r>
      <w:r w:rsidRPr="00F525CE">
        <w:rPr>
          <w:rFonts w:cs="Arial" w:hint="cs"/>
          <w:b/>
          <w:bCs/>
          <w:sz w:val="20"/>
          <w:szCs w:val="20"/>
          <w:rtl/>
        </w:rPr>
        <w:t>גמרא</w:t>
      </w:r>
      <w:r>
        <w:rPr>
          <w:rFonts w:cs="Arial" w:hint="cs"/>
          <w:sz w:val="20"/>
          <w:szCs w:val="20"/>
          <w:rtl/>
        </w:rPr>
        <w:t xml:space="preserve"> (שם) "</w:t>
      </w:r>
      <w:r w:rsidRPr="00F525CE">
        <w:rPr>
          <w:rFonts w:cs="Arial" w:hint="cs"/>
          <w:sz w:val="20"/>
          <w:szCs w:val="20"/>
          <w:rtl/>
        </w:rPr>
        <w:t>אמר</w:t>
      </w:r>
      <w:r w:rsidRPr="00F525CE">
        <w:rPr>
          <w:rFonts w:cs="Arial"/>
          <w:sz w:val="20"/>
          <w:szCs w:val="20"/>
          <w:rtl/>
        </w:rPr>
        <w:t xml:space="preserve"> </w:t>
      </w:r>
      <w:r w:rsidRPr="00F525CE">
        <w:rPr>
          <w:rFonts w:cs="Arial" w:hint="cs"/>
          <w:sz w:val="20"/>
          <w:szCs w:val="20"/>
          <w:rtl/>
        </w:rPr>
        <w:t>רב</w:t>
      </w:r>
      <w:r w:rsidRPr="00F525CE">
        <w:rPr>
          <w:rFonts w:cs="Arial"/>
          <w:sz w:val="20"/>
          <w:szCs w:val="20"/>
          <w:rtl/>
        </w:rPr>
        <w:t xml:space="preserve">: </w:t>
      </w:r>
      <w:r w:rsidRPr="00F525CE">
        <w:rPr>
          <w:rFonts w:cs="Arial" w:hint="cs"/>
          <w:sz w:val="20"/>
          <w:szCs w:val="20"/>
          <w:rtl/>
        </w:rPr>
        <w:t>בוגרת</w:t>
      </w:r>
      <w:r w:rsidRPr="00F525CE">
        <w:rPr>
          <w:rFonts w:cs="Arial"/>
          <w:sz w:val="20"/>
          <w:szCs w:val="20"/>
          <w:rtl/>
        </w:rPr>
        <w:t xml:space="preserve"> </w:t>
      </w:r>
      <w:r w:rsidRPr="00F525CE">
        <w:rPr>
          <w:rFonts w:cs="Arial" w:hint="cs"/>
          <w:sz w:val="20"/>
          <w:szCs w:val="20"/>
          <w:rtl/>
        </w:rPr>
        <w:t>נותנין</w:t>
      </w:r>
      <w:r w:rsidRPr="00F525CE">
        <w:rPr>
          <w:rFonts w:cs="Arial"/>
          <w:sz w:val="20"/>
          <w:szCs w:val="20"/>
          <w:rtl/>
        </w:rPr>
        <w:t xml:space="preserve"> </w:t>
      </w:r>
      <w:r w:rsidRPr="00F525CE">
        <w:rPr>
          <w:rFonts w:cs="Arial" w:hint="cs"/>
          <w:sz w:val="20"/>
          <w:szCs w:val="20"/>
          <w:rtl/>
        </w:rPr>
        <w:t>לה</w:t>
      </w:r>
      <w:r w:rsidRPr="00F525CE">
        <w:rPr>
          <w:rFonts w:cs="Arial"/>
          <w:sz w:val="20"/>
          <w:szCs w:val="20"/>
          <w:rtl/>
        </w:rPr>
        <w:t xml:space="preserve"> </w:t>
      </w:r>
      <w:r w:rsidRPr="00F525CE">
        <w:rPr>
          <w:rFonts w:cs="Arial" w:hint="cs"/>
          <w:sz w:val="20"/>
          <w:szCs w:val="20"/>
          <w:rtl/>
        </w:rPr>
        <w:t>לילה</w:t>
      </w:r>
      <w:r w:rsidRPr="00F525CE">
        <w:rPr>
          <w:rFonts w:cs="Arial"/>
          <w:sz w:val="20"/>
          <w:szCs w:val="20"/>
          <w:rtl/>
        </w:rPr>
        <w:t xml:space="preserve"> </w:t>
      </w:r>
      <w:r w:rsidRPr="00F525CE">
        <w:rPr>
          <w:rFonts w:cs="Arial" w:hint="cs"/>
          <w:sz w:val="20"/>
          <w:szCs w:val="20"/>
          <w:rtl/>
        </w:rPr>
        <w:t>הראשון</w:t>
      </w:r>
      <w:r w:rsidRPr="00F525CE">
        <w:rPr>
          <w:rFonts w:cs="Arial"/>
          <w:sz w:val="20"/>
          <w:szCs w:val="20"/>
          <w:rtl/>
        </w:rPr>
        <w:t xml:space="preserve">, </w:t>
      </w:r>
      <w:r w:rsidRPr="00F525CE">
        <w:rPr>
          <w:rFonts w:cs="Arial" w:hint="cs"/>
          <w:sz w:val="20"/>
          <w:szCs w:val="20"/>
          <w:rtl/>
        </w:rPr>
        <w:t>וה</w:t>
      </w:r>
      <w:r>
        <w:rPr>
          <w:rFonts w:cs="Arial" w:hint="cs"/>
          <w:sz w:val="20"/>
          <w:szCs w:val="20"/>
          <w:rtl/>
        </w:rPr>
        <w:t>ני מילי</w:t>
      </w:r>
      <w:r w:rsidRPr="00F525CE">
        <w:rPr>
          <w:rFonts w:cs="Arial"/>
          <w:sz w:val="20"/>
          <w:szCs w:val="20"/>
          <w:rtl/>
        </w:rPr>
        <w:t xml:space="preserve"> - </w:t>
      </w:r>
      <w:r w:rsidRPr="00F525CE">
        <w:rPr>
          <w:rFonts w:cs="Arial" w:hint="cs"/>
          <w:sz w:val="20"/>
          <w:szCs w:val="20"/>
          <w:rtl/>
        </w:rPr>
        <w:t>שלא</w:t>
      </w:r>
      <w:r w:rsidRPr="00F525CE">
        <w:rPr>
          <w:rFonts w:cs="Arial"/>
          <w:sz w:val="20"/>
          <w:szCs w:val="20"/>
          <w:rtl/>
        </w:rPr>
        <w:t xml:space="preserve"> </w:t>
      </w:r>
      <w:r w:rsidRPr="00F525CE">
        <w:rPr>
          <w:rFonts w:cs="Arial" w:hint="cs"/>
          <w:sz w:val="20"/>
          <w:szCs w:val="20"/>
          <w:rtl/>
        </w:rPr>
        <w:t>ראתה</w:t>
      </w:r>
      <w:r w:rsidRPr="00F525CE">
        <w:rPr>
          <w:rFonts w:cs="Arial"/>
          <w:sz w:val="20"/>
          <w:szCs w:val="20"/>
          <w:rtl/>
        </w:rPr>
        <w:t xml:space="preserve">, </w:t>
      </w:r>
      <w:r w:rsidRPr="00F525CE">
        <w:rPr>
          <w:rFonts w:cs="Arial" w:hint="cs"/>
          <w:sz w:val="20"/>
          <w:szCs w:val="20"/>
          <w:rtl/>
        </w:rPr>
        <w:t>אבל</w:t>
      </w:r>
      <w:r w:rsidRPr="00F525CE">
        <w:rPr>
          <w:rFonts w:cs="Arial"/>
          <w:sz w:val="20"/>
          <w:szCs w:val="20"/>
          <w:rtl/>
        </w:rPr>
        <w:t xml:space="preserve"> </w:t>
      </w:r>
      <w:r w:rsidRPr="00F525CE">
        <w:rPr>
          <w:rFonts w:cs="Arial" w:hint="cs"/>
          <w:sz w:val="20"/>
          <w:szCs w:val="20"/>
          <w:rtl/>
        </w:rPr>
        <w:t>ראתה</w:t>
      </w:r>
      <w:r w:rsidRPr="00F525CE">
        <w:rPr>
          <w:rFonts w:cs="Arial"/>
          <w:sz w:val="20"/>
          <w:szCs w:val="20"/>
          <w:rtl/>
        </w:rPr>
        <w:t xml:space="preserve"> - </w:t>
      </w:r>
      <w:r w:rsidRPr="00F525CE">
        <w:rPr>
          <w:rFonts w:cs="Arial" w:hint="cs"/>
          <w:sz w:val="20"/>
          <w:szCs w:val="20"/>
          <w:rtl/>
        </w:rPr>
        <w:t>אין</w:t>
      </w:r>
      <w:r w:rsidRPr="00F525CE">
        <w:rPr>
          <w:rFonts w:cs="Arial"/>
          <w:sz w:val="20"/>
          <w:szCs w:val="20"/>
          <w:rtl/>
        </w:rPr>
        <w:t xml:space="preserve"> </w:t>
      </w:r>
      <w:r w:rsidRPr="00F525CE">
        <w:rPr>
          <w:rFonts w:cs="Arial" w:hint="cs"/>
          <w:sz w:val="20"/>
          <w:szCs w:val="20"/>
          <w:rtl/>
        </w:rPr>
        <w:t>לה</w:t>
      </w:r>
      <w:r w:rsidRPr="00F525CE">
        <w:rPr>
          <w:rFonts w:cs="Arial"/>
          <w:sz w:val="20"/>
          <w:szCs w:val="20"/>
          <w:rtl/>
        </w:rPr>
        <w:t xml:space="preserve"> </w:t>
      </w:r>
      <w:r w:rsidRPr="00F525CE">
        <w:rPr>
          <w:rFonts w:cs="Arial" w:hint="cs"/>
          <w:sz w:val="20"/>
          <w:szCs w:val="20"/>
          <w:rtl/>
        </w:rPr>
        <w:t>אלא</w:t>
      </w:r>
      <w:r w:rsidRPr="00F525CE">
        <w:rPr>
          <w:rFonts w:cs="Arial"/>
          <w:sz w:val="20"/>
          <w:szCs w:val="20"/>
          <w:rtl/>
        </w:rPr>
        <w:t xml:space="preserve"> </w:t>
      </w:r>
      <w:r w:rsidRPr="00F525CE">
        <w:rPr>
          <w:rFonts w:cs="Arial" w:hint="cs"/>
          <w:sz w:val="20"/>
          <w:szCs w:val="20"/>
          <w:rtl/>
        </w:rPr>
        <w:t>בעילת</w:t>
      </w:r>
      <w:r w:rsidRPr="00F525CE">
        <w:rPr>
          <w:rFonts w:cs="Arial"/>
          <w:sz w:val="20"/>
          <w:szCs w:val="20"/>
          <w:rtl/>
        </w:rPr>
        <w:t xml:space="preserve"> </w:t>
      </w:r>
      <w:r w:rsidRPr="00F525CE">
        <w:rPr>
          <w:rFonts w:cs="Arial" w:hint="cs"/>
          <w:sz w:val="20"/>
          <w:szCs w:val="20"/>
          <w:rtl/>
        </w:rPr>
        <w:t>מצוה</w:t>
      </w:r>
      <w:r w:rsidRPr="00F525CE">
        <w:rPr>
          <w:rFonts w:cs="Arial"/>
          <w:sz w:val="20"/>
          <w:szCs w:val="20"/>
          <w:rtl/>
        </w:rPr>
        <w:t xml:space="preserve">, </w:t>
      </w:r>
      <w:r w:rsidRPr="00F525CE">
        <w:rPr>
          <w:rFonts w:cs="Arial" w:hint="cs"/>
          <w:sz w:val="20"/>
          <w:szCs w:val="20"/>
          <w:rtl/>
        </w:rPr>
        <w:t>ותו</w:t>
      </w:r>
      <w:r w:rsidRPr="00F525CE">
        <w:rPr>
          <w:rFonts w:cs="Arial"/>
          <w:sz w:val="20"/>
          <w:szCs w:val="20"/>
          <w:rtl/>
        </w:rPr>
        <w:t xml:space="preserve"> </w:t>
      </w:r>
      <w:r w:rsidRPr="00F525CE">
        <w:rPr>
          <w:rFonts w:cs="Arial" w:hint="cs"/>
          <w:sz w:val="20"/>
          <w:szCs w:val="20"/>
          <w:rtl/>
        </w:rPr>
        <w:t>לא</w:t>
      </w:r>
      <w:r>
        <w:rPr>
          <w:rFonts w:cs="Arial" w:hint="cs"/>
          <w:sz w:val="20"/>
          <w:szCs w:val="20"/>
          <w:rtl/>
        </w:rPr>
        <w:t>".</w:t>
      </w:r>
    </w:p>
    <w:p w:rsidR="00620060" w:rsidRDefault="00620060" w:rsidP="00620060">
      <w:pPr>
        <w:rPr>
          <w:sz w:val="20"/>
          <w:szCs w:val="20"/>
          <w:rtl/>
        </w:rPr>
      </w:pPr>
      <w:r>
        <w:rPr>
          <w:rFonts w:hint="cs"/>
          <w:sz w:val="20"/>
          <w:szCs w:val="20"/>
          <w:rtl/>
        </w:rPr>
        <w:t xml:space="preserve">ג. </w:t>
      </w:r>
      <w:r>
        <w:rPr>
          <w:rFonts w:hint="cs"/>
          <w:b/>
          <w:bCs/>
          <w:sz w:val="20"/>
          <w:szCs w:val="20"/>
          <w:rtl/>
        </w:rPr>
        <w:t xml:space="preserve">גמרא </w:t>
      </w:r>
      <w:r>
        <w:rPr>
          <w:rFonts w:hint="cs"/>
          <w:sz w:val="20"/>
          <w:szCs w:val="20"/>
          <w:rtl/>
        </w:rPr>
        <w:t>שם (סה:) "</w:t>
      </w:r>
      <w:r w:rsidRPr="00F525CE">
        <w:rPr>
          <w:rFonts w:cs="Arial" w:hint="cs"/>
          <w:sz w:val="20"/>
          <w:szCs w:val="20"/>
          <w:rtl/>
        </w:rPr>
        <w:t>ראתה</w:t>
      </w:r>
      <w:r w:rsidRPr="00F525CE">
        <w:rPr>
          <w:rFonts w:cs="Arial"/>
          <w:sz w:val="20"/>
          <w:szCs w:val="20"/>
          <w:rtl/>
        </w:rPr>
        <w:t xml:space="preserve"> </w:t>
      </w:r>
      <w:r w:rsidRPr="00F525CE">
        <w:rPr>
          <w:rFonts w:cs="Arial" w:hint="cs"/>
          <w:sz w:val="20"/>
          <w:szCs w:val="20"/>
          <w:rtl/>
        </w:rPr>
        <w:t>ועודה</w:t>
      </w:r>
      <w:r w:rsidRPr="00F525CE">
        <w:rPr>
          <w:rFonts w:cs="Arial"/>
          <w:sz w:val="20"/>
          <w:szCs w:val="20"/>
          <w:rtl/>
        </w:rPr>
        <w:t xml:space="preserve"> </w:t>
      </w:r>
      <w:r w:rsidRPr="00F525CE">
        <w:rPr>
          <w:rFonts w:cs="Arial" w:hint="cs"/>
          <w:sz w:val="20"/>
          <w:szCs w:val="20"/>
          <w:rtl/>
        </w:rPr>
        <w:t>בבית</w:t>
      </w:r>
      <w:r w:rsidRPr="00F525CE">
        <w:rPr>
          <w:rFonts w:cs="Arial"/>
          <w:sz w:val="20"/>
          <w:szCs w:val="20"/>
          <w:rtl/>
        </w:rPr>
        <w:t xml:space="preserve"> </w:t>
      </w:r>
      <w:r w:rsidRPr="00F525CE">
        <w:rPr>
          <w:rFonts w:cs="Arial" w:hint="cs"/>
          <w:sz w:val="20"/>
          <w:szCs w:val="20"/>
          <w:rtl/>
        </w:rPr>
        <w:t>אביה</w:t>
      </w:r>
      <w:r>
        <w:rPr>
          <w:rFonts w:cs="Arial" w:hint="cs"/>
          <w:sz w:val="20"/>
          <w:szCs w:val="20"/>
          <w:rtl/>
        </w:rPr>
        <w:t>...</w:t>
      </w:r>
      <w:r w:rsidRPr="00F525CE">
        <w:rPr>
          <w:rFonts w:cs="Arial" w:hint="cs"/>
          <w:sz w:val="20"/>
          <w:szCs w:val="20"/>
          <w:rtl/>
        </w:rPr>
        <w:t xml:space="preserve"> רב</w:t>
      </w:r>
      <w:r w:rsidRPr="00F525CE">
        <w:rPr>
          <w:rFonts w:cs="Arial"/>
          <w:sz w:val="20"/>
          <w:szCs w:val="20"/>
          <w:rtl/>
        </w:rPr>
        <w:t xml:space="preserve"> </w:t>
      </w:r>
      <w:r w:rsidRPr="00F525CE">
        <w:rPr>
          <w:rFonts w:cs="Arial" w:hint="cs"/>
          <w:sz w:val="20"/>
          <w:szCs w:val="20"/>
          <w:rtl/>
        </w:rPr>
        <w:t>ושמואל</w:t>
      </w:r>
      <w:r w:rsidRPr="00F525CE">
        <w:rPr>
          <w:rFonts w:cs="Arial"/>
          <w:sz w:val="20"/>
          <w:szCs w:val="20"/>
          <w:rtl/>
        </w:rPr>
        <w:t xml:space="preserve"> </w:t>
      </w:r>
      <w:r w:rsidRPr="00F525CE">
        <w:rPr>
          <w:rFonts w:cs="Arial" w:hint="cs"/>
          <w:sz w:val="20"/>
          <w:szCs w:val="20"/>
          <w:rtl/>
        </w:rPr>
        <w:t>דאמרי</w:t>
      </w:r>
      <w:r w:rsidRPr="00F525CE">
        <w:rPr>
          <w:rFonts w:cs="Arial"/>
          <w:sz w:val="20"/>
          <w:szCs w:val="20"/>
          <w:rtl/>
        </w:rPr>
        <w:t xml:space="preserve"> </w:t>
      </w:r>
      <w:r w:rsidRPr="00F525CE">
        <w:rPr>
          <w:rFonts w:cs="Arial" w:hint="cs"/>
          <w:sz w:val="20"/>
          <w:szCs w:val="20"/>
          <w:rtl/>
        </w:rPr>
        <w:t>תרוייהו</w:t>
      </w:r>
      <w:r w:rsidRPr="00F525CE">
        <w:rPr>
          <w:rFonts w:cs="Arial"/>
          <w:sz w:val="20"/>
          <w:szCs w:val="20"/>
          <w:rtl/>
        </w:rPr>
        <w:t xml:space="preserve">: </w:t>
      </w:r>
      <w:r w:rsidRPr="00F525CE">
        <w:rPr>
          <w:rFonts w:cs="Arial" w:hint="cs"/>
          <w:sz w:val="20"/>
          <w:szCs w:val="20"/>
          <w:rtl/>
        </w:rPr>
        <w:t>הלכה</w:t>
      </w:r>
      <w:r w:rsidRPr="00F525CE">
        <w:rPr>
          <w:rFonts w:cs="Arial"/>
          <w:sz w:val="20"/>
          <w:szCs w:val="20"/>
          <w:rtl/>
        </w:rPr>
        <w:t xml:space="preserve"> - </w:t>
      </w:r>
      <w:r w:rsidRPr="00F525CE">
        <w:rPr>
          <w:rFonts w:cs="Arial" w:hint="cs"/>
          <w:sz w:val="20"/>
          <w:szCs w:val="20"/>
          <w:rtl/>
        </w:rPr>
        <w:t>בועל</w:t>
      </w:r>
      <w:r w:rsidRPr="00F525CE">
        <w:rPr>
          <w:rFonts w:cs="Arial"/>
          <w:sz w:val="20"/>
          <w:szCs w:val="20"/>
          <w:rtl/>
        </w:rPr>
        <w:t xml:space="preserve"> </w:t>
      </w:r>
      <w:r w:rsidRPr="00F525CE">
        <w:rPr>
          <w:rFonts w:cs="Arial" w:hint="cs"/>
          <w:sz w:val="20"/>
          <w:szCs w:val="20"/>
          <w:rtl/>
        </w:rPr>
        <w:t>בעילת</w:t>
      </w:r>
      <w:r w:rsidRPr="00F525CE">
        <w:rPr>
          <w:rFonts w:cs="Arial"/>
          <w:sz w:val="20"/>
          <w:szCs w:val="20"/>
          <w:rtl/>
        </w:rPr>
        <w:t xml:space="preserve"> </w:t>
      </w:r>
      <w:r w:rsidRPr="00F525CE">
        <w:rPr>
          <w:rFonts w:cs="Arial" w:hint="cs"/>
          <w:sz w:val="20"/>
          <w:szCs w:val="20"/>
          <w:rtl/>
        </w:rPr>
        <w:t>מצוה</w:t>
      </w:r>
      <w:r w:rsidRPr="00F525CE">
        <w:rPr>
          <w:rFonts w:cs="Arial"/>
          <w:sz w:val="20"/>
          <w:szCs w:val="20"/>
          <w:rtl/>
        </w:rPr>
        <w:t xml:space="preserve"> </w:t>
      </w:r>
      <w:r w:rsidRPr="00F525CE">
        <w:rPr>
          <w:rFonts w:cs="Arial" w:hint="cs"/>
          <w:sz w:val="20"/>
          <w:szCs w:val="20"/>
          <w:rtl/>
        </w:rPr>
        <w:t>ופורש</w:t>
      </w:r>
      <w:r w:rsidRPr="00F525CE">
        <w:rPr>
          <w:rFonts w:cs="Arial"/>
          <w:sz w:val="20"/>
          <w:szCs w:val="20"/>
          <w:rtl/>
        </w:rPr>
        <w:t xml:space="preserve">. </w:t>
      </w:r>
      <w:r>
        <w:rPr>
          <w:rFonts w:cs="Arial"/>
          <w:sz w:val="20"/>
          <w:szCs w:val="20"/>
          <w:rtl/>
        </w:rPr>
        <w:br/>
      </w:r>
      <w:r w:rsidRPr="00F525CE">
        <w:rPr>
          <w:rFonts w:cs="Arial" w:hint="cs"/>
          <w:sz w:val="20"/>
          <w:szCs w:val="20"/>
          <w:rtl/>
        </w:rPr>
        <w:t>מתיב</w:t>
      </w:r>
      <w:r w:rsidRPr="00F525CE">
        <w:rPr>
          <w:rFonts w:cs="Arial"/>
          <w:sz w:val="20"/>
          <w:szCs w:val="20"/>
          <w:rtl/>
        </w:rPr>
        <w:t xml:space="preserve"> </w:t>
      </w:r>
      <w:r w:rsidRPr="00F525CE">
        <w:rPr>
          <w:rFonts w:cs="Arial" w:hint="cs"/>
          <w:sz w:val="20"/>
          <w:szCs w:val="20"/>
          <w:rtl/>
        </w:rPr>
        <w:t>רב</w:t>
      </w:r>
      <w:r w:rsidRPr="00F525CE">
        <w:rPr>
          <w:rFonts w:cs="Arial"/>
          <w:sz w:val="20"/>
          <w:szCs w:val="20"/>
          <w:rtl/>
        </w:rPr>
        <w:t xml:space="preserve"> </w:t>
      </w:r>
      <w:r w:rsidRPr="00F525CE">
        <w:rPr>
          <w:rFonts w:cs="Arial" w:hint="cs"/>
          <w:sz w:val="20"/>
          <w:szCs w:val="20"/>
          <w:rtl/>
        </w:rPr>
        <w:t>חסדא</w:t>
      </w:r>
      <w:r w:rsidRPr="00F525CE">
        <w:rPr>
          <w:rFonts w:cs="Arial"/>
          <w:sz w:val="20"/>
          <w:szCs w:val="20"/>
          <w:rtl/>
        </w:rPr>
        <w:t xml:space="preserve">: </w:t>
      </w:r>
      <w:r w:rsidRPr="00F525CE">
        <w:rPr>
          <w:rFonts w:cs="Arial" w:hint="cs"/>
          <w:sz w:val="20"/>
          <w:szCs w:val="20"/>
          <w:rtl/>
        </w:rPr>
        <w:t>מעשה</w:t>
      </w:r>
      <w:r w:rsidRPr="00F525CE">
        <w:rPr>
          <w:rFonts w:cs="Arial"/>
          <w:sz w:val="20"/>
          <w:szCs w:val="20"/>
          <w:rtl/>
        </w:rPr>
        <w:t xml:space="preserve"> </w:t>
      </w:r>
      <w:r w:rsidRPr="00F525CE">
        <w:rPr>
          <w:rFonts w:cs="Arial" w:hint="cs"/>
          <w:sz w:val="20"/>
          <w:szCs w:val="20"/>
          <w:rtl/>
        </w:rPr>
        <w:t>ונתן</w:t>
      </w:r>
      <w:r w:rsidRPr="00F525CE">
        <w:rPr>
          <w:rFonts w:cs="Arial"/>
          <w:sz w:val="20"/>
          <w:szCs w:val="20"/>
          <w:rtl/>
        </w:rPr>
        <w:t xml:space="preserve"> </w:t>
      </w:r>
      <w:r w:rsidRPr="00F525CE">
        <w:rPr>
          <w:rFonts w:cs="Arial" w:hint="cs"/>
          <w:sz w:val="20"/>
          <w:szCs w:val="20"/>
          <w:rtl/>
        </w:rPr>
        <w:t>לה</w:t>
      </w:r>
      <w:r w:rsidRPr="00F525CE">
        <w:rPr>
          <w:rFonts w:cs="Arial"/>
          <w:sz w:val="20"/>
          <w:szCs w:val="20"/>
          <w:rtl/>
        </w:rPr>
        <w:t xml:space="preserve"> </w:t>
      </w:r>
      <w:r w:rsidRPr="00F525CE">
        <w:rPr>
          <w:rFonts w:cs="Arial" w:hint="cs"/>
          <w:sz w:val="20"/>
          <w:szCs w:val="20"/>
          <w:rtl/>
        </w:rPr>
        <w:t>רבי</w:t>
      </w:r>
      <w:r w:rsidRPr="00F525CE">
        <w:rPr>
          <w:rFonts w:cs="Arial"/>
          <w:sz w:val="20"/>
          <w:szCs w:val="20"/>
          <w:rtl/>
        </w:rPr>
        <w:t xml:space="preserve"> </w:t>
      </w:r>
      <w:r w:rsidRPr="00F525CE">
        <w:rPr>
          <w:rFonts w:cs="Arial" w:hint="cs"/>
          <w:sz w:val="20"/>
          <w:szCs w:val="20"/>
          <w:rtl/>
        </w:rPr>
        <w:t>ד</w:t>
      </w:r>
      <w:r w:rsidRPr="00F525CE">
        <w:rPr>
          <w:rFonts w:cs="Arial"/>
          <w:sz w:val="20"/>
          <w:szCs w:val="20"/>
          <w:rtl/>
        </w:rPr>
        <w:t xml:space="preserve">' </w:t>
      </w:r>
      <w:r w:rsidRPr="00F525CE">
        <w:rPr>
          <w:rFonts w:cs="Arial" w:hint="cs"/>
          <w:sz w:val="20"/>
          <w:szCs w:val="20"/>
          <w:rtl/>
        </w:rPr>
        <w:t>לילות</w:t>
      </w:r>
      <w:r w:rsidRPr="00F525CE">
        <w:rPr>
          <w:rFonts w:cs="Arial"/>
          <w:sz w:val="20"/>
          <w:szCs w:val="20"/>
          <w:rtl/>
        </w:rPr>
        <w:t xml:space="preserve"> </w:t>
      </w:r>
      <w:r w:rsidRPr="00F525CE">
        <w:rPr>
          <w:rFonts w:cs="Arial" w:hint="cs"/>
          <w:sz w:val="20"/>
          <w:szCs w:val="20"/>
          <w:rtl/>
        </w:rPr>
        <w:t>מתוך</w:t>
      </w:r>
      <w:r w:rsidRPr="00F525CE">
        <w:rPr>
          <w:rFonts w:cs="Arial"/>
          <w:sz w:val="20"/>
          <w:szCs w:val="20"/>
          <w:rtl/>
        </w:rPr>
        <w:t xml:space="preserve"> </w:t>
      </w:r>
      <w:r w:rsidRPr="00F525CE">
        <w:rPr>
          <w:rFonts w:cs="Arial" w:hint="cs"/>
          <w:sz w:val="20"/>
          <w:szCs w:val="20"/>
          <w:rtl/>
        </w:rPr>
        <w:t>י</w:t>
      </w:r>
      <w:r w:rsidRPr="00F525CE">
        <w:rPr>
          <w:rFonts w:cs="Arial"/>
          <w:sz w:val="20"/>
          <w:szCs w:val="20"/>
          <w:rtl/>
        </w:rPr>
        <w:t>"</w:t>
      </w:r>
      <w:r w:rsidRPr="00F525CE">
        <w:rPr>
          <w:rFonts w:cs="Arial" w:hint="cs"/>
          <w:sz w:val="20"/>
          <w:szCs w:val="20"/>
          <w:rtl/>
        </w:rPr>
        <w:t>ב</w:t>
      </w:r>
      <w:r w:rsidRPr="00F525CE">
        <w:rPr>
          <w:rFonts w:cs="Arial"/>
          <w:sz w:val="20"/>
          <w:szCs w:val="20"/>
          <w:rtl/>
        </w:rPr>
        <w:t xml:space="preserve"> </w:t>
      </w:r>
      <w:r w:rsidRPr="00F525CE">
        <w:rPr>
          <w:rFonts w:cs="Arial" w:hint="cs"/>
          <w:sz w:val="20"/>
          <w:szCs w:val="20"/>
          <w:rtl/>
        </w:rPr>
        <w:t>חדש</w:t>
      </w:r>
      <w:r w:rsidRPr="00F525CE">
        <w:rPr>
          <w:rFonts w:cs="Arial"/>
          <w:sz w:val="20"/>
          <w:szCs w:val="20"/>
          <w:rtl/>
        </w:rPr>
        <w:t xml:space="preserve">! </w:t>
      </w:r>
      <w:r w:rsidRPr="00F525CE">
        <w:rPr>
          <w:rFonts w:cs="Arial" w:hint="cs"/>
          <w:sz w:val="20"/>
          <w:szCs w:val="20"/>
          <w:rtl/>
        </w:rPr>
        <w:t>א</w:t>
      </w:r>
      <w:r>
        <w:rPr>
          <w:rFonts w:cs="Arial" w:hint="cs"/>
          <w:sz w:val="20"/>
          <w:szCs w:val="20"/>
          <w:rtl/>
        </w:rPr>
        <w:t>מר ליה</w:t>
      </w:r>
      <w:r w:rsidRPr="00F525CE">
        <w:rPr>
          <w:rFonts w:cs="Arial"/>
          <w:sz w:val="20"/>
          <w:szCs w:val="20"/>
          <w:rtl/>
        </w:rPr>
        <w:t xml:space="preserve"> </w:t>
      </w:r>
      <w:r w:rsidRPr="00F525CE">
        <w:rPr>
          <w:rFonts w:cs="Arial" w:hint="cs"/>
          <w:sz w:val="20"/>
          <w:szCs w:val="20"/>
          <w:rtl/>
        </w:rPr>
        <w:t>רבא</w:t>
      </w:r>
      <w:r w:rsidRPr="00F525CE">
        <w:rPr>
          <w:rFonts w:cs="Arial"/>
          <w:sz w:val="20"/>
          <w:szCs w:val="20"/>
          <w:rtl/>
        </w:rPr>
        <w:t xml:space="preserve">: </w:t>
      </w:r>
      <w:r w:rsidRPr="00F525CE">
        <w:rPr>
          <w:rFonts w:cs="Arial" w:hint="cs"/>
          <w:sz w:val="20"/>
          <w:szCs w:val="20"/>
          <w:rtl/>
        </w:rPr>
        <w:t>הדורי</w:t>
      </w:r>
      <w:r w:rsidRPr="00F525CE">
        <w:rPr>
          <w:rFonts w:cs="Arial"/>
          <w:sz w:val="20"/>
          <w:szCs w:val="20"/>
          <w:rtl/>
        </w:rPr>
        <w:t xml:space="preserve"> </w:t>
      </w:r>
      <w:r w:rsidRPr="00F525CE">
        <w:rPr>
          <w:rFonts w:cs="Arial" w:hint="cs"/>
          <w:sz w:val="20"/>
          <w:szCs w:val="20"/>
          <w:rtl/>
        </w:rPr>
        <w:t>אפירכא</w:t>
      </w:r>
      <w:r w:rsidRPr="00F525CE">
        <w:rPr>
          <w:rFonts w:cs="Arial"/>
          <w:sz w:val="20"/>
          <w:szCs w:val="20"/>
          <w:rtl/>
        </w:rPr>
        <w:t xml:space="preserve"> </w:t>
      </w:r>
      <w:r w:rsidRPr="00F525CE">
        <w:rPr>
          <w:rFonts w:cs="Arial" w:hint="cs"/>
          <w:sz w:val="20"/>
          <w:szCs w:val="20"/>
          <w:rtl/>
        </w:rPr>
        <w:t>למה</w:t>
      </w:r>
      <w:r w:rsidRPr="00F525CE">
        <w:rPr>
          <w:rFonts w:cs="Arial"/>
          <w:sz w:val="20"/>
          <w:szCs w:val="20"/>
          <w:rtl/>
        </w:rPr>
        <w:t xml:space="preserve"> </w:t>
      </w:r>
      <w:r w:rsidRPr="00F525CE">
        <w:rPr>
          <w:rFonts w:cs="Arial" w:hint="cs"/>
          <w:sz w:val="20"/>
          <w:szCs w:val="20"/>
          <w:rtl/>
        </w:rPr>
        <w:t>לי</w:t>
      </w:r>
      <w:r w:rsidRPr="00F525CE">
        <w:rPr>
          <w:rFonts w:cs="Arial"/>
          <w:sz w:val="20"/>
          <w:szCs w:val="20"/>
          <w:rtl/>
        </w:rPr>
        <w:t xml:space="preserve">? </w:t>
      </w:r>
      <w:r w:rsidRPr="00F525CE">
        <w:rPr>
          <w:rFonts w:cs="Arial" w:hint="cs"/>
          <w:sz w:val="20"/>
          <w:szCs w:val="20"/>
          <w:rtl/>
        </w:rPr>
        <w:t>אותיב</w:t>
      </w:r>
      <w:r w:rsidRPr="00F525CE">
        <w:rPr>
          <w:rFonts w:cs="Arial"/>
          <w:sz w:val="20"/>
          <w:szCs w:val="20"/>
          <w:rtl/>
        </w:rPr>
        <w:t xml:space="preserve"> </w:t>
      </w:r>
      <w:r w:rsidRPr="00F525CE">
        <w:rPr>
          <w:rFonts w:cs="Arial" w:hint="cs"/>
          <w:sz w:val="20"/>
          <w:szCs w:val="20"/>
          <w:rtl/>
        </w:rPr>
        <w:t>ממתני</w:t>
      </w:r>
      <w:r>
        <w:rPr>
          <w:rFonts w:cs="Arial" w:hint="cs"/>
          <w:sz w:val="20"/>
          <w:szCs w:val="20"/>
          <w:rtl/>
        </w:rPr>
        <w:t>תין</w:t>
      </w:r>
      <w:r w:rsidRPr="00F525CE">
        <w:rPr>
          <w:rFonts w:cs="Arial"/>
          <w:sz w:val="20"/>
          <w:szCs w:val="20"/>
          <w:rtl/>
        </w:rPr>
        <w:t xml:space="preserve">! </w:t>
      </w:r>
      <w:r w:rsidRPr="00F525CE">
        <w:rPr>
          <w:rFonts w:cs="Arial" w:hint="cs"/>
          <w:sz w:val="20"/>
          <w:szCs w:val="20"/>
          <w:rtl/>
        </w:rPr>
        <w:t>הוא</w:t>
      </w:r>
      <w:r w:rsidRPr="00F525CE">
        <w:rPr>
          <w:rFonts w:cs="Arial"/>
          <w:sz w:val="20"/>
          <w:szCs w:val="20"/>
          <w:rtl/>
        </w:rPr>
        <w:t xml:space="preserve"> </w:t>
      </w:r>
      <w:r w:rsidRPr="00F525CE">
        <w:rPr>
          <w:rFonts w:cs="Arial" w:hint="cs"/>
          <w:sz w:val="20"/>
          <w:szCs w:val="20"/>
          <w:rtl/>
        </w:rPr>
        <w:t>סבר</w:t>
      </w:r>
      <w:r w:rsidRPr="00F525CE">
        <w:rPr>
          <w:rFonts w:cs="Arial"/>
          <w:sz w:val="20"/>
          <w:szCs w:val="20"/>
          <w:rtl/>
        </w:rPr>
        <w:t xml:space="preserve"> - </w:t>
      </w:r>
      <w:r w:rsidRPr="00F525CE">
        <w:rPr>
          <w:rFonts w:cs="Arial" w:hint="cs"/>
          <w:sz w:val="20"/>
          <w:szCs w:val="20"/>
          <w:rtl/>
        </w:rPr>
        <w:t>מעשה</w:t>
      </w:r>
      <w:r w:rsidRPr="00F525CE">
        <w:rPr>
          <w:rFonts w:cs="Arial"/>
          <w:sz w:val="20"/>
          <w:szCs w:val="20"/>
          <w:rtl/>
        </w:rPr>
        <w:t xml:space="preserve"> </w:t>
      </w:r>
      <w:r w:rsidRPr="00F525CE">
        <w:rPr>
          <w:rFonts w:cs="Arial" w:hint="cs"/>
          <w:sz w:val="20"/>
          <w:szCs w:val="20"/>
          <w:rtl/>
        </w:rPr>
        <w:t>רב</w:t>
      </w:r>
      <w:r w:rsidRPr="00F525CE">
        <w:rPr>
          <w:rFonts w:cs="Arial"/>
          <w:sz w:val="20"/>
          <w:szCs w:val="20"/>
          <w:rtl/>
        </w:rPr>
        <w:t xml:space="preserve">. </w:t>
      </w:r>
      <w:r w:rsidRPr="00F525CE">
        <w:rPr>
          <w:rFonts w:cs="Arial" w:hint="cs"/>
          <w:sz w:val="20"/>
          <w:szCs w:val="20"/>
          <w:rtl/>
        </w:rPr>
        <w:t>מ</w:t>
      </w:r>
      <w:r>
        <w:rPr>
          <w:rFonts w:cs="Arial" w:hint="cs"/>
          <w:sz w:val="20"/>
          <w:szCs w:val="20"/>
          <w:rtl/>
        </w:rPr>
        <w:t xml:space="preserve">כל </w:t>
      </w:r>
      <w:r w:rsidRPr="00F525CE">
        <w:rPr>
          <w:rFonts w:cs="Arial" w:hint="cs"/>
          <w:sz w:val="20"/>
          <w:szCs w:val="20"/>
          <w:rtl/>
        </w:rPr>
        <w:t>מ</w:t>
      </w:r>
      <w:r>
        <w:rPr>
          <w:rFonts w:cs="Arial" w:hint="cs"/>
          <w:sz w:val="20"/>
          <w:szCs w:val="20"/>
          <w:rtl/>
        </w:rPr>
        <w:t>קום</w:t>
      </w:r>
      <w:r w:rsidRPr="00F525CE">
        <w:rPr>
          <w:rFonts w:cs="Arial"/>
          <w:sz w:val="20"/>
          <w:szCs w:val="20"/>
          <w:rtl/>
        </w:rPr>
        <w:t xml:space="preserve"> </w:t>
      </w:r>
      <w:r w:rsidRPr="00F525CE">
        <w:rPr>
          <w:rFonts w:cs="Arial" w:hint="cs"/>
          <w:sz w:val="20"/>
          <w:szCs w:val="20"/>
          <w:rtl/>
        </w:rPr>
        <w:t>לרב</w:t>
      </w:r>
      <w:r w:rsidRPr="00F525CE">
        <w:rPr>
          <w:rFonts w:cs="Arial"/>
          <w:sz w:val="20"/>
          <w:szCs w:val="20"/>
          <w:rtl/>
        </w:rPr>
        <w:t xml:space="preserve"> </w:t>
      </w:r>
      <w:r w:rsidRPr="00F525CE">
        <w:rPr>
          <w:rFonts w:cs="Arial" w:hint="cs"/>
          <w:sz w:val="20"/>
          <w:szCs w:val="20"/>
          <w:rtl/>
        </w:rPr>
        <w:t>ושמואל</w:t>
      </w:r>
      <w:r w:rsidRPr="00F525CE">
        <w:rPr>
          <w:rFonts w:cs="Arial"/>
          <w:sz w:val="20"/>
          <w:szCs w:val="20"/>
          <w:rtl/>
        </w:rPr>
        <w:t xml:space="preserve"> </w:t>
      </w:r>
      <w:r w:rsidRPr="00F525CE">
        <w:rPr>
          <w:rFonts w:cs="Arial" w:hint="cs"/>
          <w:sz w:val="20"/>
          <w:szCs w:val="20"/>
          <w:rtl/>
        </w:rPr>
        <w:t>קשיא</w:t>
      </w:r>
      <w:r w:rsidRPr="00F525CE">
        <w:rPr>
          <w:rFonts w:cs="Arial"/>
          <w:sz w:val="20"/>
          <w:szCs w:val="20"/>
          <w:rtl/>
        </w:rPr>
        <w:t xml:space="preserve">. </w:t>
      </w:r>
      <w:r w:rsidRPr="00F525CE">
        <w:rPr>
          <w:rFonts w:cs="Arial" w:hint="cs"/>
          <w:sz w:val="20"/>
          <w:szCs w:val="20"/>
          <w:rtl/>
        </w:rPr>
        <w:t>אינהו</w:t>
      </w:r>
      <w:r w:rsidRPr="00F525CE">
        <w:rPr>
          <w:rFonts w:cs="Arial"/>
          <w:sz w:val="20"/>
          <w:szCs w:val="20"/>
          <w:rtl/>
        </w:rPr>
        <w:t xml:space="preserve"> </w:t>
      </w:r>
      <w:r w:rsidRPr="00F525CE">
        <w:rPr>
          <w:rFonts w:cs="Arial" w:hint="cs"/>
          <w:sz w:val="20"/>
          <w:szCs w:val="20"/>
          <w:rtl/>
        </w:rPr>
        <w:t>דעבדו</w:t>
      </w:r>
      <w:r w:rsidRPr="00F525CE">
        <w:rPr>
          <w:rFonts w:cs="Arial"/>
          <w:sz w:val="20"/>
          <w:szCs w:val="20"/>
          <w:rtl/>
        </w:rPr>
        <w:t xml:space="preserve"> - </w:t>
      </w:r>
      <w:r w:rsidRPr="00F525CE">
        <w:rPr>
          <w:rFonts w:cs="Arial" w:hint="cs"/>
          <w:sz w:val="20"/>
          <w:szCs w:val="20"/>
          <w:rtl/>
        </w:rPr>
        <w:t>כרבותינו</w:t>
      </w:r>
      <w:r w:rsidRPr="00F525CE">
        <w:rPr>
          <w:rFonts w:cs="Arial"/>
          <w:sz w:val="20"/>
          <w:szCs w:val="20"/>
          <w:rtl/>
        </w:rPr>
        <w:t xml:space="preserve">, </w:t>
      </w:r>
      <w:r w:rsidRPr="00F525CE">
        <w:rPr>
          <w:rFonts w:cs="Arial" w:hint="cs"/>
          <w:sz w:val="20"/>
          <w:szCs w:val="20"/>
          <w:rtl/>
        </w:rPr>
        <w:t>דתניא</w:t>
      </w:r>
      <w:r w:rsidRPr="00F525CE">
        <w:rPr>
          <w:rFonts w:cs="Arial"/>
          <w:sz w:val="20"/>
          <w:szCs w:val="20"/>
          <w:rtl/>
        </w:rPr>
        <w:t xml:space="preserve"> </w:t>
      </w:r>
      <w:r w:rsidRPr="00F525CE">
        <w:rPr>
          <w:rFonts w:cs="Arial" w:hint="cs"/>
          <w:sz w:val="20"/>
          <w:szCs w:val="20"/>
          <w:rtl/>
        </w:rPr>
        <w:t>רבותינו</w:t>
      </w:r>
      <w:r w:rsidRPr="00F525CE">
        <w:rPr>
          <w:rFonts w:cs="Arial"/>
          <w:sz w:val="20"/>
          <w:szCs w:val="20"/>
          <w:rtl/>
        </w:rPr>
        <w:t xml:space="preserve"> </w:t>
      </w:r>
      <w:r w:rsidRPr="00F525CE">
        <w:rPr>
          <w:rFonts w:cs="Arial" w:hint="cs"/>
          <w:sz w:val="20"/>
          <w:szCs w:val="20"/>
          <w:rtl/>
        </w:rPr>
        <w:t>חזרו</w:t>
      </w:r>
      <w:r w:rsidRPr="00F525CE">
        <w:rPr>
          <w:rFonts w:cs="Arial"/>
          <w:sz w:val="20"/>
          <w:szCs w:val="20"/>
          <w:rtl/>
        </w:rPr>
        <w:t xml:space="preserve"> </w:t>
      </w:r>
      <w:r w:rsidRPr="00F525CE">
        <w:rPr>
          <w:rFonts w:cs="Arial" w:hint="cs"/>
          <w:sz w:val="20"/>
          <w:szCs w:val="20"/>
          <w:rtl/>
        </w:rPr>
        <w:t>ונמנו</w:t>
      </w:r>
      <w:r w:rsidRPr="00F525CE">
        <w:rPr>
          <w:rFonts w:cs="Arial"/>
          <w:sz w:val="20"/>
          <w:szCs w:val="20"/>
          <w:rtl/>
        </w:rPr>
        <w:t xml:space="preserve">: </w:t>
      </w:r>
      <w:r w:rsidRPr="00F525CE">
        <w:rPr>
          <w:rFonts w:cs="Arial" w:hint="cs"/>
          <w:sz w:val="20"/>
          <w:szCs w:val="20"/>
          <w:rtl/>
        </w:rPr>
        <w:t>בועל</w:t>
      </w:r>
      <w:r w:rsidRPr="00F525CE">
        <w:rPr>
          <w:rFonts w:cs="Arial"/>
          <w:sz w:val="20"/>
          <w:szCs w:val="20"/>
          <w:rtl/>
        </w:rPr>
        <w:t xml:space="preserve"> </w:t>
      </w:r>
      <w:r w:rsidRPr="00F525CE">
        <w:rPr>
          <w:rFonts w:cs="Arial" w:hint="cs"/>
          <w:sz w:val="20"/>
          <w:szCs w:val="20"/>
          <w:rtl/>
        </w:rPr>
        <w:t>בעילת</w:t>
      </w:r>
      <w:r w:rsidRPr="00F525CE">
        <w:rPr>
          <w:rFonts w:cs="Arial"/>
          <w:sz w:val="20"/>
          <w:szCs w:val="20"/>
          <w:rtl/>
        </w:rPr>
        <w:t xml:space="preserve"> </w:t>
      </w:r>
      <w:r w:rsidRPr="00F525CE">
        <w:rPr>
          <w:rFonts w:cs="Arial" w:hint="cs"/>
          <w:sz w:val="20"/>
          <w:szCs w:val="20"/>
          <w:rtl/>
        </w:rPr>
        <w:t>מצוה</w:t>
      </w:r>
      <w:r w:rsidRPr="00F525CE">
        <w:rPr>
          <w:rFonts w:cs="Arial"/>
          <w:sz w:val="20"/>
          <w:szCs w:val="20"/>
          <w:rtl/>
        </w:rPr>
        <w:t xml:space="preserve"> </w:t>
      </w:r>
      <w:r w:rsidRPr="00F525CE">
        <w:rPr>
          <w:rFonts w:cs="Arial" w:hint="cs"/>
          <w:sz w:val="20"/>
          <w:szCs w:val="20"/>
          <w:rtl/>
        </w:rPr>
        <w:t>ופורש</w:t>
      </w:r>
      <w:r w:rsidRPr="00F525CE">
        <w:rPr>
          <w:rFonts w:cs="Arial"/>
          <w:sz w:val="20"/>
          <w:szCs w:val="20"/>
          <w:rtl/>
        </w:rPr>
        <w:t xml:space="preserve">. </w:t>
      </w:r>
      <w:r>
        <w:rPr>
          <w:rFonts w:cs="Arial" w:hint="cs"/>
          <w:sz w:val="20"/>
          <w:szCs w:val="20"/>
          <w:rtl/>
        </w:rPr>
        <w:br/>
      </w:r>
      <w:r w:rsidRPr="00F525CE">
        <w:rPr>
          <w:rFonts w:cs="Arial" w:hint="cs"/>
          <w:sz w:val="20"/>
          <w:szCs w:val="20"/>
          <w:rtl/>
        </w:rPr>
        <w:t>אמר</w:t>
      </w:r>
      <w:r w:rsidRPr="00F525CE">
        <w:rPr>
          <w:rFonts w:cs="Arial"/>
          <w:sz w:val="20"/>
          <w:szCs w:val="20"/>
          <w:rtl/>
        </w:rPr>
        <w:t xml:space="preserve"> </w:t>
      </w:r>
      <w:r w:rsidRPr="00F525CE">
        <w:rPr>
          <w:rFonts w:cs="Arial" w:hint="cs"/>
          <w:sz w:val="20"/>
          <w:szCs w:val="20"/>
          <w:rtl/>
        </w:rPr>
        <w:t>עולא</w:t>
      </w:r>
      <w:r w:rsidRPr="00F525CE">
        <w:rPr>
          <w:rFonts w:cs="Arial"/>
          <w:sz w:val="20"/>
          <w:szCs w:val="20"/>
          <w:rtl/>
        </w:rPr>
        <w:t xml:space="preserve">, </w:t>
      </w:r>
      <w:r w:rsidRPr="00F525CE">
        <w:rPr>
          <w:rFonts w:cs="Arial" w:hint="cs"/>
          <w:sz w:val="20"/>
          <w:szCs w:val="20"/>
          <w:rtl/>
        </w:rPr>
        <w:t>כי</w:t>
      </w:r>
      <w:r w:rsidRPr="00F525CE">
        <w:rPr>
          <w:rFonts w:cs="Arial"/>
          <w:sz w:val="20"/>
          <w:szCs w:val="20"/>
          <w:rtl/>
        </w:rPr>
        <w:t xml:space="preserve"> </w:t>
      </w:r>
      <w:r w:rsidRPr="00F525CE">
        <w:rPr>
          <w:rFonts w:cs="Arial" w:hint="cs"/>
          <w:sz w:val="20"/>
          <w:szCs w:val="20"/>
          <w:rtl/>
        </w:rPr>
        <w:t>הוו</w:t>
      </w:r>
      <w:r w:rsidRPr="00F525CE">
        <w:rPr>
          <w:rFonts w:cs="Arial"/>
          <w:sz w:val="20"/>
          <w:szCs w:val="20"/>
          <w:rtl/>
        </w:rPr>
        <w:t xml:space="preserve"> </w:t>
      </w:r>
      <w:r w:rsidRPr="00F525CE">
        <w:rPr>
          <w:rFonts w:cs="Arial" w:hint="cs"/>
          <w:sz w:val="20"/>
          <w:szCs w:val="20"/>
          <w:rtl/>
        </w:rPr>
        <w:t>בה</w:t>
      </w:r>
      <w:r w:rsidRPr="00F525CE">
        <w:rPr>
          <w:rFonts w:cs="Arial"/>
          <w:sz w:val="20"/>
          <w:szCs w:val="20"/>
          <w:rtl/>
        </w:rPr>
        <w:t xml:space="preserve"> </w:t>
      </w:r>
      <w:r w:rsidRPr="00F525CE">
        <w:rPr>
          <w:rFonts w:cs="Arial" w:hint="cs"/>
          <w:sz w:val="20"/>
          <w:szCs w:val="20"/>
          <w:rtl/>
        </w:rPr>
        <w:t>ר</w:t>
      </w:r>
      <w:r>
        <w:rPr>
          <w:rFonts w:cs="Arial" w:hint="cs"/>
          <w:sz w:val="20"/>
          <w:szCs w:val="20"/>
          <w:rtl/>
        </w:rPr>
        <w:t xml:space="preserve">בי </w:t>
      </w:r>
      <w:r w:rsidRPr="00F525CE">
        <w:rPr>
          <w:rFonts w:cs="Arial" w:hint="cs"/>
          <w:sz w:val="20"/>
          <w:szCs w:val="20"/>
          <w:rtl/>
        </w:rPr>
        <w:t>יוחנן</w:t>
      </w:r>
      <w:r w:rsidRPr="00F525CE">
        <w:rPr>
          <w:rFonts w:cs="Arial"/>
          <w:sz w:val="20"/>
          <w:szCs w:val="20"/>
          <w:rtl/>
        </w:rPr>
        <w:t xml:space="preserve"> </w:t>
      </w:r>
      <w:r w:rsidRPr="00F525CE">
        <w:rPr>
          <w:rFonts w:cs="Arial" w:hint="cs"/>
          <w:sz w:val="20"/>
          <w:szCs w:val="20"/>
          <w:rtl/>
        </w:rPr>
        <w:t>ור</w:t>
      </w:r>
      <w:r>
        <w:rPr>
          <w:rFonts w:cs="Arial" w:hint="cs"/>
          <w:sz w:val="20"/>
          <w:szCs w:val="20"/>
          <w:rtl/>
        </w:rPr>
        <w:t xml:space="preserve">יש </w:t>
      </w:r>
      <w:r w:rsidRPr="00F525CE">
        <w:rPr>
          <w:rFonts w:cs="Arial" w:hint="cs"/>
          <w:sz w:val="20"/>
          <w:szCs w:val="20"/>
          <w:rtl/>
        </w:rPr>
        <w:t>ל</w:t>
      </w:r>
      <w:r>
        <w:rPr>
          <w:rFonts w:cs="Arial" w:hint="cs"/>
          <w:sz w:val="20"/>
          <w:szCs w:val="20"/>
          <w:rtl/>
        </w:rPr>
        <w:t>קיש</w:t>
      </w:r>
      <w:r w:rsidRPr="00F525CE">
        <w:rPr>
          <w:rFonts w:cs="Arial"/>
          <w:sz w:val="20"/>
          <w:szCs w:val="20"/>
          <w:rtl/>
        </w:rPr>
        <w:t xml:space="preserve"> </w:t>
      </w:r>
      <w:r w:rsidRPr="00F525CE">
        <w:rPr>
          <w:rFonts w:cs="Arial" w:hint="cs"/>
          <w:sz w:val="20"/>
          <w:szCs w:val="20"/>
          <w:rtl/>
        </w:rPr>
        <w:t>בתינוקת</w:t>
      </w:r>
      <w:r w:rsidRPr="00F525CE">
        <w:rPr>
          <w:rFonts w:cs="Arial"/>
          <w:sz w:val="20"/>
          <w:szCs w:val="20"/>
          <w:rtl/>
        </w:rPr>
        <w:t xml:space="preserve"> </w:t>
      </w:r>
      <w:r w:rsidRPr="00F525CE">
        <w:rPr>
          <w:rFonts w:cs="Arial" w:hint="cs"/>
          <w:sz w:val="20"/>
          <w:szCs w:val="20"/>
          <w:rtl/>
        </w:rPr>
        <w:t>לא</w:t>
      </w:r>
      <w:r w:rsidRPr="00F525CE">
        <w:rPr>
          <w:rFonts w:cs="Arial"/>
          <w:sz w:val="20"/>
          <w:szCs w:val="20"/>
          <w:rtl/>
        </w:rPr>
        <w:t xml:space="preserve"> </w:t>
      </w:r>
      <w:r w:rsidRPr="00F525CE">
        <w:rPr>
          <w:rFonts w:cs="Arial" w:hint="cs"/>
          <w:sz w:val="20"/>
          <w:szCs w:val="20"/>
          <w:rtl/>
        </w:rPr>
        <w:t>הוו</w:t>
      </w:r>
      <w:r w:rsidRPr="00F525CE">
        <w:rPr>
          <w:rFonts w:cs="Arial"/>
          <w:sz w:val="20"/>
          <w:szCs w:val="20"/>
          <w:rtl/>
        </w:rPr>
        <w:t xml:space="preserve"> </w:t>
      </w:r>
      <w:r w:rsidRPr="00F525CE">
        <w:rPr>
          <w:rFonts w:cs="Arial" w:hint="cs"/>
          <w:sz w:val="20"/>
          <w:szCs w:val="20"/>
          <w:rtl/>
        </w:rPr>
        <w:t>מסקי</w:t>
      </w:r>
      <w:r w:rsidRPr="00F525CE">
        <w:rPr>
          <w:rFonts w:cs="Arial"/>
          <w:sz w:val="20"/>
          <w:szCs w:val="20"/>
          <w:rtl/>
        </w:rPr>
        <w:t xml:space="preserve"> </w:t>
      </w:r>
      <w:r w:rsidRPr="00F525CE">
        <w:rPr>
          <w:rFonts w:cs="Arial" w:hint="cs"/>
          <w:sz w:val="20"/>
          <w:szCs w:val="20"/>
          <w:rtl/>
        </w:rPr>
        <w:t>מינה</w:t>
      </w:r>
      <w:r w:rsidRPr="00F525CE">
        <w:rPr>
          <w:rFonts w:cs="Arial"/>
          <w:sz w:val="20"/>
          <w:szCs w:val="20"/>
          <w:rtl/>
        </w:rPr>
        <w:t xml:space="preserve"> </w:t>
      </w:r>
      <w:r w:rsidRPr="00F525CE">
        <w:rPr>
          <w:rFonts w:cs="Arial" w:hint="cs"/>
          <w:sz w:val="20"/>
          <w:szCs w:val="20"/>
          <w:rtl/>
        </w:rPr>
        <w:t>אלא</w:t>
      </w:r>
      <w:r w:rsidRPr="00F525CE">
        <w:rPr>
          <w:rFonts w:cs="Arial"/>
          <w:sz w:val="20"/>
          <w:szCs w:val="20"/>
          <w:rtl/>
        </w:rPr>
        <w:t xml:space="preserve"> </w:t>
      </w:r>
      <w:r w:rsidRPr="00F525CE">
        <w:rPr>
          <w:rFonts w:cs="Arial" w:hint="cs"/>
          <w:sz w:val="20"/>
          <w:szCs w:val="20"/>
          <w:rtl/>
        </w:rPr>
        <w:t>כדמסיק</w:t>
      </w:r>
      <w:r w:rsidRPr="00F525CE">
        <w:rPr>
          <w:rFonts w:cs="Arial"/>
          <w:sz w:val="20"/>
          <w:szCs w:val="20"/>
          <w:rtl/>
        </w:rPr>
        <w:t xml:space="preserve"> </w:t>
      </w:r>
      <w:r w:rsidRPr="00F525CE">
        <w:rPr>
          <w:rFonts w:cs="Arial" w:hint="cs"/>
          <w:sz w:val="20"/>
          <w:szCs w:val="20"/>
          <w:rtl/>
        </w:rPr>
        <w:t>תעלא</w:t>
      </w:r>
      <w:r w:rsidRPr="00F525CE">
        <w:rPr>
          <w:rFonts w:cs="Arial"/>
          <w:sz w:val="20"/>
          <w:szCs w:val="20"/>
          <w:rtl/>
        </w:rPr>
        <w:t xml:space="preserve"> </w:t>
      </w:r>
      <w:r w:rsidRPr="00F525CE">
        <w:rPr>
          <w:rFonts w:cs="Arial" w:hint="cs"/>
          <w:sz w:val="20"/>
          <w:szCs w:val="20"/>
          <w:rtl/>
        </w:rPr>
        <w:t>מבי</w:t>
      </w:r>
      <w:r w:rsidRPr="00F525CE">
        <w:rPr>
          <w:rFonts w:cs="Arial"/>
          <w:sz w:val="20"/>
          <w:szCs w:val="20"/>
          <w:rtl/>
        </w:rPr>
        <w:t xml:space="preserve"> </w:t>
      </w:r>
      <w:r w:rsidRPr="00F525CE">
        <w:rPr>
          <w:rFonts w:cs="Arial" w:hint="cs"/>
          <w:sz w:val="20"/>
          <w:szCs w:val="20"/>
          <w:rtl/>
        </w:rPr>
        <w:t>כרבא</w:t>
      </w:r>
      <w:r w:rsidRPr="00F525CE">
        <w:rPr>
          <w:rFonts w:cs="Arial"/>
          <w:sz w:val="20"/>
          <w:szCs w:val="20"/>
          <w:rtl/>
        </w:rPr>
        <w:t xml:space="preserve">, </w:t>
      </w:r>
      <w:r w:rsidRPr="00F525CE">
        <w:rPr>
          <w:rFonts w:cs="Arial" w:hint="cs"/>
          <w:sz w:val="20"/>
          <w:szCs w:val="20"/>
          <w:rtl/>
        </w:rPr>
        <w:t>ומסיימי</w:t>
      </w:r>
      <w:r w:rsidRPr="00F525CE">
        <w:rPr>
          <w:rFonts w:cs="Arial"/>
          <w:sz w:val="20"/>
          <w:szCs w:val="20"/>
          <w:rtl/>
        </w:rPr>
        <w:t xml:space="preserve"> </w:t>
      </w:r>
      <w:r w:rsidRPr="00F525CE">
        <w:rPr>
          <w:rFonts w:cs="Arial" w:hint="cs"/>
          <w:sz w:val="20"/>
          <w:szCs w:val="20"/>
          <w:rtl/>
        </w:rPr>
        <w:t>בה</w:t>
      </w:r>
      <w:r w:rsidRPr="00F525CE">
        <w:rPr>
          <w:rFonts w:cs="Arial"/>
          <w:sz w:val="20"/>
          <w:szCs w:val="20"/>
          <w:rtl/>
        </w:rPr>
        <w:t xml:space="preserve"> </w:t>
      </w:r>
      <w:r w:rsidRPr="00F525CE">
        <w:rPr>
          <w:rFonts w:cs="Arial" w:hint="cs"/>
          <w:sz w:val="20"/>
          <w:szCs w:val="20"/>
          <w:rtl/>
        </w:rPr>
        <w:t>הכי</w:t>
      </w:r>
      <w:r w:rsidRPr="00F525CE">
        <w:rPr>
          <w:rFonts w:cs="Arial"/>
          <w:sz w:val="20"/>
          <w:szCs w:val="20"/>
          <w:rtl/>
        </w:rPr>
        <w:t xml:space="preserve">: </w:t>
      </w:r>
      <w:r w:rsidRPr="00F525CE">
        <w:rPr>
          <w:rFonts w:cs="Arial" w:hint="cs"/>
          <w:sz w:val="20"/>
          <w:szCs w:val="20"/>
          <w:rtl/>
        </w:rPr>
        <w:t>בועל</w:t>
      </w:r>
      <w:r w:rsidRPr="00F525CE">
        <w:rPr>
          <w:rFonts w:cs="Arial"/>
          <w:sz w:val="20"/>
          <w:szCs w:val="20"/>
          <w:rtl/>
        </w:rPr>
        <w:t xml:space="preserve"> </w:t>
      </w:r>
      <w:r w:rsidRPr="00F525CE">
        <w:rPr>
          <w:rFonts w:cs="Arial" w:hint="cs"/>
          <w:sz w:val="20"/>
          <w:szCs w:val="20"/>
          <w:rtl/>
        </w:rPr>
        <w:t>בעילת</w:t>
      </w:r>
      <w:r w:rsidRPr="00F525CE">
        <w:rPr>
          <w:rFonts w:cs="Arial"/>
          <w:sz w:val="20"/>
          <w:szCs w:val="20"/>
          <w:rtl/>
        </w:rPr>
        <w:t xml:space="preserve"> </w:t>
      </w:r>
      <w:r w:rsidRPr="00F525CE">
        <w:rPr>
          <w:rFonts w:cs="Arial" w:hint="cs"/>
          <w:sz w:val="20"/>
          <w:szCs w:val="20"/>
          <w:rtl/>
        </w:rPr>
        <w:t>מצוה</w:t>
      </w:r>
      <w:r w:rsidRPr="00F525CE">
        <w:rPr>
          <w:rFonts w:cs="Arial"/>
          <w:sz w:val="20"/>
          <w:szCs w:val="20"/>
          <w:rtl/>
        </w:rPr>
        <w:t xml:space="preserve"> </w:t>
      </w:r>
      <w:r w:rsidRPr="00F525CE">
        <w:rPr>
          <w:rFonts w:cs="Arial" w:hint="cs"/>
          <w:sz w:val="20"/>
          <w:szCs w:val="20"/>
          <w:rtl/>
        </w:rPr>
        <w:t>ופורש</w:t>
      </w:r>
      <w:r w:rsidRPr="00F525CE">
        <w:rPr>
          <w:rFonts w:cs="Arial"/>
          <w:sz w:val="20"/>
          <w:szCs w:val="20"/>
          <w:rtl/>
        </w:rPr>
        <w:t xml:space="preserve">. </w:t>
      </w:r>
      <w:r>
        <w:rPr>
          <w:rFonts w:cs="Arial"/>
          <w:sz w:val="20"/>
          <w:szCs w:val="20"/>
          <w:rtl/>
        </w:rPr>
        <w:br/>
      </w:r>
      <w:r w:rsidRPr="00F525CE">
        <w:rPr>
          <w:rFonts w:cs="Arial" w:hint="cs"/>
          <w:sz w:val="20"/>
          <w:szCs w:val="20"/>
          <w:rtl/>
        </w:rPr>
        <w:t>א</w:t>
      </w:r>
      <w:r>
        <w:rPr>
          <w:rFonts w:cs="Arial" w:hint="cs"/>
          <w:sz w:val="20"/>
          <w:szCs w:val="20"/>
          <w:rtl/>
        </w:rPr>
        <w:t xml:space="preserve">מר </w:t>
      </w:r>
      <w:r w:rsidRPr="00F525CE">
        <w:rPr>
          <w:rFonts w:cs="Arial" w:hint="cs"/>
          <w:sz w:val="20"/>
          <w:szCs w:val="20"/>
          <w:rtl/>
        </w:rPr>
        <w:t>ל</w:t>
      </w:r>
      <w:r>
        <w:rPr>
          <w:rFonts w:cs="Arial" w:hint="cs"/>
          <w:sz w:val="20"/>
          <w:szCs w:val="20"/>
          <w:rtl/>
        </w:rPr>
        <w:t>יה</w:t>
      </w:r>
      <w:r w:rsidRPr="00F525CE">
        <w:rPr>
          <w:rFonts w:cs="Arial"/>
          <w:sz w:val="20"/>
          <w:szCs w:val="20"/>
          <w:rtl/>
        </w:rPr>
        <w:t xml:space="preserve"> </w:t>
      </w:r>
      <w:r w:rsidRPr="00F525CE">
        <w:rPr>
          <w:rFonts w:cs="Arial" w:hint="cs"/>
          <w:sz w:val="20"/>
          <w:szCs w:val="20"/>
          <w:rtl/>
        </w:rPr>
        <w:t>ר</w:t>
      </w:r>
      <w:r>
        <w:rPr>
          <w:rFonts w:cs="Arial" w:hint="cs"/>
          <w:sz w:val="20"/>
          <w:szCs w:val="20"/>
          <w:rtl/>
        </w:rPr>
        <w:t xml:space="preserve">בי </w:t>
      </w:r>
      <w:r w:rsidRPr="00F525CE">
        <w:rPr>
          <w:rFonts w:cs="Arial" w:hint="cs"/>
          <w:sz w:val="20"/>
          <w:szCs w:val="20"/>
          <w:rtl/>
        </w:rPr>
        <w:t>אבא</w:t>
      </w:r>
      <w:r w:rsidRPr="00F525CE">
        <w:rPr>
          <w:rFonts w:cs="Arial"/>
          <w:sz w:val="20"/>
          <w:szCs w:val="20"/>
          <w:rtl/>
        </w:rPr>
        <w:t xml:space="preserve"> </w:t>
      </w:r>
      <w:r w:rsidRPr="00F525CE">
        <w:rPr>
          <w:rFonts w:cs="Arial" w:hint="cs"/>
          <w:sz w:val="20"/>
          <w:szCs w:val="20"/>
          <w:rtl/>
        </w:rPr>
        <w:t>לרב</w:t>
      </w:r>
      <w:r w:rsidRPr="00F525CE">
        <w:rPr>
          <w:rFonts w:cs="Arial"/>
          <w:sz w:val="20"/>
          <w:szCs w:val="20"/>
          <w:rtl/>
        </w:rPr>
        <w:t xml:space="preserve"> </w:t>
      </w:r>
      <w:r w:rsidRPr="00F525CE">
        <w:rPr>
          <w:rFonts w:cs="Arial" w:hint="cs"/>
          <w:sz w:val="20"/>
          <w:szCs w:val="20"/>
          <w:rtl/>
        </w:rPr>
        <w:t>אשי</w:t>
      </w:r>
      <w:r w:rsidRPr="00F525CE">
        <w:rPr>
          <w:rFonts w:cs="Arial"/>
          <w:sz w:val="20"/>
          <w:szCs w:val="20"/>
          <w:rtl/>
        </w:rPr>
        <w:t xml:space="preserve">: </w:t>
      </w:r>
      <w:r w:rsidRPr="00F525CE">
        <w:rPr>
          <w:rFonts w:cs="Arial" w:hint="cs"/>
          <w:sz w:val="20"/>
          <w:szCs w:val="20"/>
          <w:rtl/>
        </w:rPr>
        <w:t>אלא</w:t>
      </w:r>
      <w:r w:rsidRPr="00F525CE">
        <w:rPr>
          <w:rFonts w:cs="Arial"/>
          <w:sz w:val="20"/>
          <w:szCs w:val="20"/>
          <w:rtl/>
        </w:rPr>
        <w:t xml:space="preserve"> </w:t>
      </w:r>
      <w:r w:rsidRPr="00F525CE">
        <w:rPr>
          <w:rFonts w:cs="Arial" w:hint="cs"/>
          <w:sz w:val="20"/>
          <w:szCs w:val="20"/>
          <w:rtl/>
        </w:rPr>
        <w:t>מעתה</w:t>
      </w:r>
      <w:r w:rsidRPr="00F525CE">
        <w:rPr>
          <w:rFonts w:cs="Arial"/>
          <w:sz w:val="20"/>
          <w:szCs w:val="20"/>
          <w:rtl/>
        </w:rPr>
        <w:t xml:space="preserve"> - </w:t>
      </w:r>
      <w:r w:rsidRPr="00F525CE">
        <w:rPr>
          <w:rFonts w:cs="Arial" w:hint="cs"/>
          <w:sz w:val="20"/>
          <w:szCs w:val="20"/>
          <w:rtl/>
        </w:rPr>
        <w:t>בעל</w:t>
      </w:r>
      <w:r w:rsidRPr="00F525CE">
        <w:rPr>
          <w:rFonts w:cs="Arial"/>
          <w:sz w:val="20"/>
          <w:szCs w:val="20"/>
          <w:rtl/>
        </w:rPr>
        <w:t xml:space="preserve"> </w:t>
      </w:r>
      <w:r w:rsidRPr="00F525CE">
        <w:rPr>
          <w:rFonts w:cs="Arial" w:hint="cs"/>
          <w:sz w:val="20"/>
          <w:szCs w:val="20"/>
          <w:rtl/>
        </w:rPr>
        <w:t>נפש</w:t>
      </w:r>
      <w:r w:rsidRPr="00F525CE">
        <w:rPr>
          <w:rFonts w:cs="Arial"/>
          <w:sz w:val="20"/>
          <w:szCs w:val="20"/>
          <w:rtl/>
        </w:rPr>
        <w:t xml:space="preserve"> </w:t>
      </w:r>
      <w:r w:rsidRPr="00F525CE">
        <w:rPr>
          <w:rFonts w:cs="Arial" w:hint="cs"/>
          <w:sz w:val="20"/>
          <w:szCs w:val="20"/>
          <w:rtl/>
        </w:rPr>
        <w:t>לא</w:t>
      </w:r>
      <w:r w:rsidRPr="00F525CE">
        <w:rPr>
          <w:rFonts w:cs="Arial"/>
          <w:sz w:val="20"/>
          <w:szCs w:val="20"/>
          <w:rtl/>
        </w:rPr>
        <w:t xml:space="preserve"> </w:t>
      </w:r>
      <w:r w:rsidRPr="00F525CE">
        <w:rPr>
          <w:rFonts w:cs="Arial" w:hint="cs"/>
          <w:sz w:val="20"/>
          <w:szCs w:val="20"/>
          <w:rtl/>
        </w:rPr>
        <w:t>יגמור</w:t>
      </w:r>
      <w:r w:rsidRPr="00F525CE">
        <w:rPr>
          <w:rFonts w:cs="Arial"/>
          <w:sz w:val="20"/>
          <w:szCs w:val="20"/>
          <w:rtl/>
        </w:rPr>
        <w:t xml:space="preserve"> </w:t>
      </w:r>
      <w:r w:rsidRPr="00F525CE">
        <w:rPr>
          <w:rFonts w:cs="Arial" w:hint="cs"/>
          <w:sz w:val="20"/>
          <w:szCs w:val="20"/>
          <w:rtl/>
        </w:rPr>
        <w:t>ביאתו</w:t>
      </w:r>
      <w:r w:rsidRPr="00F525CE">
        <w:rPr>
          <w:rFonts w:cs="Arial"/>
          <w:sz w:val="20"/>
          <w:szCs w:val="20"/>
          <w:rtl/>
        </w:rPr>
        <w:t xml:space="preserve">! </w:t>
      </w:r>
      <w:r w:rsidRPr="00F525CE">
        <w:rPr>
          <w:rFonts w:cs="Arial" w:hint="cs"/>
          <w:sz w:val="20"/>
          <w:szCs w:val="20"/>
          <w:rtl/>
        </w:rPr>
        <w:t>א</w:t>
      </w:r>
      <w:r>
        <w:rPr>
          <w:rFonts w:cs="Arial" w:hint="cs"/>
          <w:sz w:val="20"/>
          <w:szCs w:val="20"/>
          <w:rtl/>
        </w:rPr>
        <w:t>מר ליה</w:t>
      </w:r>
      <w:r w:rsidRPr="00F525CE">
        <w:rPr>
          <w:rFonts w:cs="Arial"/>
          <w:sz w:val="20"/>
          <w:szCs w:val="20"/>
          <w:rtl/>
        </w:rPr>
        <w:t xml:space="preserve">: </w:t>
      </w:r>
      <w:r w:rsidRPr="00F525CE">
        <w:rPr>
          <w:rFonts w:cs="Arial" w:hint="cs"/>
          <w:sz w:val="20"/>
          <w:szCs w:val="20"/>
          <w:rtl/>
        </w:rPr>
        <w:t>א</w:t>
      </w:r>
      <w:r>
        <w:rPr>
          <w:rFonts w:cs="Arial" w:hint="cs"/>
          <w:sz w:val="20"/>
          <w:szCs w:val="20"/>
          <w:rtl/>
        </w:rPr>
        <w:t>ם כן</w:t>
      </w:r>
      <w:r w:rsidRPr="00F525CE">
        <w:rPr>
          <w:rFonts w:cs="Arial"/>
          <w:sz w:val="20"/>
          <w:szCs w:val="20"/>
          <w:rtl/>
        </w:rPr>
        <w:t xml:space="preserve"> - </w:t>
      </w:r>
      <w:r w:rsidRPr="00F525CE">
        <w:rPr>
          <w:rFonts w:cs="Arial" w:hint="cs"/>
          <w:sz w:val="20"/>
          <w:szCs w:val="20"/>
          <w:rtl/>
        </w:rPr>
        <w:t>לבו</w:t>
      </w:r>
      <w:r w:rsidRPr="00F525CE">
        <w:rPr>
          <w:rFonts w:cs="Arial"/>
          <w:sz w:val="20"/>
          <w:szCs w:val="20"/>
          <w:rtl/>
        </w:rPr>
        <w:t xml:space="preserve"> </w:t>
      </w:r>
      <w:r w:rsidRPr="00F525CE">
        <w:rPr>
          <w:rFonts w:cs="Arial" w:hint="cs"/>
          <w:sz w:val="20"/>
          <w:szCs w:val="20"/>
          <w:rtl/>
        </w:rPr>
        <w:t>נוקפו</w:t>
      </w:r>
      <w:r w:rsidRPr="00F525CE">
        <w:rPr>
          <w:rFonts w:cs="Arial"/>
          <w:sz w:val="20"/>
          <w:szCs w:val="20"/>
          <w:rtl/>
        </w:rPr>
        <w:t xml:space="preserve"> </w:t>
      </w:r>
      <w:r w:rsidRPr="00F525CE">
        <w:rPr>
          <w:rFonts w:cs="Arial" w:hint="cs"/>
          <w:sz w:val="20"/>
          <w:szCs w:val="20"/>
          <w:rtl/>
        </w:rPr>
        <w:t>ופורש</w:t>
      </w:r>
      <w:r>
        <w:rPr>
          <w:rFonts w:cs="Arial" w:hint="cs"/>
          <w:sz w:val="20"/>
          <w:szCs w:val="20"/>
          <w:rtl/>
        </w:rPr>
        <w:t>"</w:t>
      </w:r>
      <w:r>
        <w:rPr>
          <w:rStyle w:val="a5"/>
          <w:rFonts w:cs="Arial"/>
          <w:sz w:val="20"/>
          <w:szCs w:val="20"/>
          <w:rtl/>
        </w:rPr>
        <w:footnoteReference w:id="392"/>
      </w:r>
      <w:r>
        <w:rPr>
          <w:rFonts w:cs="Arial" w:hint="cs"/>
          <w:sz w:val="20"/>
          <w:szCs w:val="20"/>
          <w:rtl/>
        </w:rPr>
        <w:t>.</w:t>
      </w:r>
    </w:p>
    <w:p w:rsidR="00620060" w:rsidRDefault="00620060" w:rsidP="00620060">
      <w:pPr>
        <w:rPr>
          <w:sz w:val="20"/>
          <w:szCs w:val="20"/>
          <w:rtl/>
        </w:rPr>
      </w:pPr>
      <w:r>
        <w:rPr>
          <w:rFonts w:hint="cs"/>
          <w:sz w:val="20"/>
          <w:szCs w:val="20"/>
          <w:rtl/>
        </w:rPr>
        <w:t xml:space="preserve">ד. </w:t>
      </w:r>
      <w:r>
        <w:rPr>
          <w:rFonts w:hint="cs"/>
          <w:b/>
          <w:bCs/>
          <w:sz w:val="20"/>
          <w:szCs w:val="20"/>
          <w:rtl/>
        </w:rPr>
        <w:t xml:space="preserve">תלמוד </w:t>
      </w:r>
      <w:r w:rsidRPr="00C80333">
        <w:rPr>
          <w:rFonts w:hint="cs"/>
          <w:b/>
          <w:bCs/>
          <w:sz w:val="20"/>
          <w:szCs w:val="20"/>
          <w:rtl/>
        </w:rPr>
        <w:t>ירושלמי</w:t>
      </w:r>
      <w:r>
        <w:rPr>
          <w:rFonts w:hint="cs"/>
          <w:sz w:val="20"/>
          <w:szCs w:val="20"/>
          <w:rtl/>
        </w:rPr>
        <w:t xml:space="preserve"> ברכות (ב, ו) "</w:t>
      </w:r>
      <w:r w:rsidRPr="008E2ECA">
        <w:rPr>
          <w:rFonts w:cs="Arial" w:hint="cs"/>
          <w:sz w:val="20"/>
          <w:szCs w:val="20"/>
          <w:rtl/>
        </w:rPr>
        <w:t>שמואל</w:t>
      </w:r>
      <w:r w:rsidRPr="008E2ECA">
        <w:rPr>
          <w:rFonts w:cs="Arial"/>
          <w:sz w:val="20"/>
          <w:szCs w:val="20"/>
          <w:rtl/>
        </w:rPr>
        <w:t xml:space="preserve"> </w:t>
      </w:r>
      <w:r w:rsidRPr="008E2ECA">
        <w:rPr>
          <w:rFonts w:cs="Arial" w:hint="cs"/>
          <w:sz w:val="20"/>
          <w:szCs w:val="20"/>
          <w:rtl/>
        </w:rPr>
        <w:t>אמר</w:t>
      </w:r>
      <w:r>
        <w:rPr>
          <w:rFonts w:cs="Arial" w:hint="cs"/>
          <w:sz w:val="20"/>
          <w:szCs w:val="20"/>
          <w:rtl/>
        </w:rPr>
        <w:t>:</w:t>
      </w:r>
      <w:r w:rsidRPr="008E2ECA">
        <w:rPr>
          <w:rFonts w:cs="Arial"/>
          <w:sz w:val="20"/>
          <w:szCs w:val="20"/>
          <w:rtl/>
        </w:rPr>
        <w:t xml:space="preserve"> </w:t>
      </w:r>
      <w:r w:rsidRPr="008E2ECA">
        <w:rPr>
          <w:rFonts w:cs="Arial" w:hint="cs"/>
          <w:sz w:val="20"/>
          <w:szCs w:val="20"/>
          <w:rtl/>
        </w:rPr>
        <w:t>כל</w:t>
      </w:r>
      <w:r w:rsidRPr="008E2ECA">
        <w:rPr>
          <w:rFonts w:cs="Arial"/>
          <w:sz w:val="20"/>
          <w:szCs w:val="20"/>
          <w:rtl/>
        </w:rPr>
        <w:t xml:space="preserve"> </w:t>
      </w:r>
      <w:r w:rsidRPr="008E2ECA">
        <w:rPr>
          <w:rFonts w:cs="Arial" w:hint="cs"/>
          <w:sz w:val="20"/>
          <w:szCs w:val="20"/>
          <w:rtl/>
        </w:rPr>
        <w:t>ההיא</w:t>
      </w:r>
      <w:r w:rsidRPr="008E2ECA">
        <w:rPr>
          <w:rFonts w:cs="Arial"/>
          <w:sz w:val="20"/>
          <w:szCs w:val="20"/>
          <w:rtl/>
        </w:rPr>
        <w:t xml:space="preserve"> </w:t>
      </w:r>
      <w:r w:rsidRPr="008E2ECA">
        <w:rPr>
          <w:rFonts w:cs="Arial" w:hint="cs"/>
          <w:sz w:val="20"/>
          <w:szCs w:val="20"/>
          <w:rtl/>
        </w:rPr>
        <w:t>הילכתא</w:t>
      </w:r>
      <w:r w:rsidRPr="008E2ECA">
        <w:rPr>
          <w:rFonts w:cs="Arial"/>
          <w:sz w:val="20"/>
          <w:szCs w:val="20"/>
          <w:rtl/>
        </w:rPr>
        <w:t xml:space="preserve"> </w:t>
      </w:r>
      <w:r w:rsidRPr="008E2ECA">
        <w:rPr>
          <w:rFonts w:cs="Arial" w:hint="cs"/>
          <w:sz w:val="20"/>
          <w:szCs w:val="20"/>
          <w:rtl/>
        </w:rPr>
        <w:t>דרישיה</w:t>
      </w:r>
      <w:r w:rsidRPr="008E2ECA">
        <w:rPr>
          <w:rFonts w:cs="Arial"/>
          <w:sz w:val="20"/>
          <w:szCs w:val="20"/>
          <w:rtl/>
        </w:rPr>
        <w:t xml:space="preserve"> </w:t>
      </w:r>
      <w:r w:rsidRPr="008E2ECA">
        <w:rPr>
          <w:rFonts w:cs="Arial" w:hint="cs"/>
          <w:sz w:val="20"/>
          <w:szCs w:val="20"/>
          <w:rtl/>
        </w:rPr>
        <w:t>דפירקא</w:t>
      </w:r>
      <w:r w:rsidRPr="008E2ECA">
        <w:rPr>
          <w:rFonts w:cs="Arial"/>
          <w:sz w:val="20"/>
          <w:szCs w:val="20"/>
          <w:rtl/>
        </w:rPr>
        <w:t xml:space="preserve"> </w:t>
      </w:r>
      <w:r w:rsidRPr="008E2ECA">
        <w:rPr>
          <w:rFonts w:cs="Arial" w:hint="cs"/>
          <w:sz w:val="20"/>
          <w:szCs w:val="20"/>
          <w:rtl/>
        </w:rPr>
        <w:t>אחרייא</w:t>
      </w:r>
      <w:r w:rsidRPr="008E2ECA">
        <w:rPr>
          <w:rFonts w:cs="Arial"/>
          <w:sz w:val="20"/>
          <w:szCs w:val="20"/>
          <w:rtl/>
        </w:rPr>
        <w:t xml:space="preserve"> </w:t>
      </w:r>
      <w:r w:rsidRPr="008E2ECA">
        <w:rPr>
          <w:rFonts w:cs="Arial" w:hint="cs"/>
          <w:sz w:val="20"/>
          <w:szCs w:val="20"/>
          <w:rtl/>
        </w:rPr>
        <w:t>דנידה</w:t>
      </w:r>
      <w:r w:rsidRPr="008E2ECA">
        <w:rPr>
          <w:rFonts w:cs="Arial"/>
          <w:sz w:val="20"/>
          <w:szCs w:val="20"/>
          <w:rtl/>
        </w:rPr>
        <w:t xml:space="preserve"> </w:t>
      </w:r>
      <w:r w:rsidRPr="008E2ECA">
        <w:rPr>
          <w:rFonts w:cs="Arial" w:hint="cs"/>
          <w:sz w:val="20"/>
          <w:szCs w:val="20"/>
          <w:rtl/>
        </w:rPr>
        <w:t>להלכה</w:t>
      </w:r>
      <w:r w:rsidRPr="008E2ECA">
        <w:rPr>
          <w:rFonts w:cs="Arial"/>
          <w:sz w:val="20"/>
          <w:szCs w:val="20"/>
          <w:rtl/>
        </w:rPr>
        <w:t xml:space="preserve"> </w:t>
      </w:r>
      <w:r w:rsidRPr="008E2ECA">
        <w:rPr>
          <w:rFonts w:cs="Arial" w:hint="cs"/>
          <w:sz w:val="20"/>
          <w:szCs w:val="20"/>
          <w:rtl/>
        </w:rPr>
        <w:t>אבל</w:t>
      </w:r>
      <w:r w:rsidRPr="008E2ECA">
        <w:rPr>
          <w:rFonts w:cs="Arial"/>
          <w:sz w:val="20"/>
          <w:szCs w:val="20"/>
          <w:rtl/>
        </w:rPr>
        <w:t xml:space="preserve"> </w:t>
      </w:r>
      <w:r w:rsidRPr="008E2ECA">
        <w:rPr>
          <w:rFonts w:cs="Arial" w:hint="cs"/>
          <w:sz w:val="20"/>
          <w:szCs w:val="20"/>
          <w:rtl/>
        </w:rPr>
        <w:t>לא</w:t>
      </w:r>
      <w:r w:rsidRPr="008E2ECA">
        <w:rPr>
          <w:rFonts w:cs="Arial"/>
          <w:sz w:val="20"/>
          <w:szCs w:val="20"/>
          <w:rtl/>
        </w:rPr>
        <w:t xml:space="preserve"> </w:t>
      </w:r>
      <w:r w:rsidRPr="008E2ECA">
        <w:rPr>
          <w:rFonts w:cs="Arial" w:hint="cs"/>
          <w:sz w:val="20"/>
          <w:szCs w:val="20"/>
          <w:rtl/>
        </w:rPr>
        <w:t>למעשה</w:t>
      </w:r>
      <w:r w:rsidRPr="008E2ECA">
        <w:rPr>
          <w:rFonts w:cs="Arial"/>
          <w:sz w:val="20"/>
          <w:szCs w:val="20"/>
          <w:rtl/>
        </w:rPr>
        <w:t xml:space="preserve">. </w:t>
      </w:r>
      <w:r w:rsidRPr="008E2ECA">
        <w:rPr>
          <w:rFonts w:cs="Arial" w:hint="cs"/>
          <w:sz w:val="20"/>
          <w:szCs w:val="20"/>
          <w:rtl/>
        </w:rPr>
        <w:t>ר</w:t>
      </w:r>
      <w:r w:rsidRPr="008E2ECA">
        <w:rPr>
          <w:rFonts w:cs="Arial"/>
          <w:sz w:val="20"/>
          <w:szCs w:val="20"/>
          <w:rtl/>
        </w:rPr>
        <w:t xml:space="preserve">' </w:t>
      </w:r>
      <w:r w:rsidRPr="008E2ECA">
        <w:rPr>
          <w:rFonts w:cs="Arial" w:hint="cs"/>
          <w:sz w:val="20"/>
          <w:szCs w:val="20"/>
          <w:rtl/>
        </w:rPr>
        <w:t>יניי</w:t>
      </w:r>
      <w:r w:rsidRPr="008E2ECA">
        <w:rPr>
          <w:rFonts w:cs="Arial"/>
          <w:sz w:val="20"/>
          <w:szCs w:val="20"/>
          <w:rtl/>
        </w:rPr>
        <w:t xml:space="preserve"> </w:t>
      </w:r>
      <w:r w:rsidRPr="008E2ECA">
        <w:rPr>
          <w:rFonts w:cs="Arial" w:hint="cs"/>
          <w:sz w:val="20"/>
          <w:szCs w:val="20"/>
          <w:rtl/>
        </w:rPr>
        <w:t>ערק</w:t>
      </w:r>
      <w:r w:rsidRPr="008E2ECA">
        <w:rPr>
          <w:rFonts w:cs="Arial"/>
          <w:sz w:val="20"/>
          <w:szCs w:val="20"/>
          <w:rtl/>
        </w:rPr>
        <w:t xml:space="preserve"> </w:t>
      </w:r>
      <w:r w:rsidRPr="008E2ECA">
        <w:rPr>
          <w:rFonts w:cs="Arial" w:hint="cs"/>
          <w:sz w:val="20"/>
          <w:szCs w:val="20"/>
          <w:rtl/>
        </w:rPr>
        <w:t>אפילו</w:t>
      </w:r>
      <w:r w:rsidRPr="008E2ECA">
        <w:rPr>
          <w:rFonts w:cs="Arial"/>
          <w:sz w:val="20"/>
          <w:szCs w:val="20"/>
          <w:rtl/>
        </w:rPr>
        <w:t xml:space="preserve"> </w:t>
      </w:r>
      <w:r w:rsidRPr="008E2ECA">
        <w:rPr>
          <w:rFonts w:cs="Arial" w:hint="cs"/>
          <w:sz w:val="20"/>
          <w:szCs w:val="20"/>
          <w:rtl/>
        </w:rPr>
        <w:t>מתינוקת</w:t>
      </w:r>
      <w:r w:rsidRPr="008E2ECA">
        <w:rPr>
          <w:rFonts w:cs="Arial"/>
          <w:sz w:val="20"/>
          <w:szCs w:val="20"/>
          <w:rtl/>
        </w:rPr>
        <w:t xml:space="preserve"> </w:t>
      </w:r>
      <w:r w:rsidRPr="008E2ECA">
        <w:rPr>
          <w:rFonts w:cs="Arial" w:hint="cs"/>
          <w:sz w:val="20"/>
          <w:szCs w:val="20"/>
          <w:rtl/>
        </w:rPr>
        <w:t>שלא</w:t>
      </w:r>
      <w:r w:rsidRPr="008E2ECA">
        <w:rPr>
          <w:rFonts w:cs="Arial"/>
          <w:sz w:val="20"/>
          <w:szCs w:val="20"/>
          <w:rtl/>
        </w:rPr>
        <w:t xml:space="preserve"> </w:t>
      </w:r>
      <w:r w:rsidRPr="008E2ECA">
        <w:rPr>
          <w:rFonts w:cs="Arial" w:hint="cs"/>
          <w:sz w:val="20"/>
          <w:szCs w:val="20"/>
          <w:rtl/>
        </w:rPr>
        <w:t>הגיע</w:t>
      </w:r>
      <w:r w:rsidRPr="008E2ECA">
        <w:rPr>
          <w:rFonts w:cs="Arial"/>
          <w:sz w:val="20"/>
          <w:szCs w:val="20"/>
          <w:rtl/>
        </w:rPr>
        <w:t xml:space="preserve"> </w:t>
      </w:r>
      <w:r w:rsidRPr="008E2ECA">
        <w:rPr>
          <w:rFonts w:cs="Arial" w:hint="cs"/>
          <w:sz w:val="20"/>
          <w:szCs w:val="20"/>
          <w:rtl/>
        </w:rPr>
        <w:t>זמנה</w:t>
      </w:r>
      <w:r w:rsidRPr="008E2ECA">
        <w:rPr>
          <w:rFonts w:cs="Arial"/>
          <w:sz w:val="20"/>
          <w:szCs w:val="20"/>
          <w:rtl/>
        </w:rPr>
        <w:t xml:space="preserve"> </w:t>
      </w:r>
      <w:r w:rsidRPr="008E2ECA">
        <w:rPr>
          <w:rFonts w:cs="Arial" w:hint="cs"/>
          <w:sz w:val="20"/>
          <w:szCs w:val="20"/>
          <w:rtl/>
        </w:rPr>
        <w:t>לראות</w:t>
      </w:r>
      <w:r w:rsidRPr="008E2ECA">
        <w:rPr>
          <w:rFonts w:cs="Arial"/>
          <w:sz w:val="20"/>
          <w:szCs w:val="20"/>
          <w:rtl/>
        </w:rPr>
        <w:t xml:space="preserve"> </w:t>
      </w:r>
      <w:r w:rsidRPr="008E2ECA">
        <w:rPr>
          <w:rFonts w:cs="Arial" w:hint="cs"/>
          <w:sz w:val="20"/>
          <w:szCs w:val="20"/>
          <w:rtl/>
        </w:rPr>
        <w:t>ונישאת</w:t>
      </w:r>
      <w:r>
        <w:rPr>
          <w:rFonts w:cs="Arial" w:hint="cs"/>
          <w:sz w:val="20"/>
          <w:szCs w:val="20"/>
          <w:rtl/>
        </w:rPr>
        <w:t>".</w:t>
      </w:r>
    </w:p>
    <w:p w:rsidR="00620060" w:rsidRPr="00B46BFB" w:rsidRDefault="00620060" w:rsidP="00620060">
      <w:pPr>
        <w:rPr>
          <w:b/>
          <w:bCs/>
          <w:sz w:val="18"/>
          <w:szCs w:val="18"/>
          <w:rtl/>
        </w:rPr>
      </w:pPr>
      <w:r>
        <w:rPr>
          <w:rFonts w:hint="cs"/>
          <w:b/>
          <w:bCs/>
          <w:sz w:val="20"/>
          <w:szCs w:val="20"/>
          <w:rtl/>
        </w:rPr>
        <w:t>מדוע אין תולים במכה?</w:t>
      </w:r>
      <w:r>
        <w:rPr>
          <w:rFonts w:hint="cs"/>
          <w:b/>
          <w:bCs/>
          <w:sz w:val="20"/>
          <w:szCs w:val="20"/>
          <w:rtl/>
        </w:rPr>
        <w:br/>
      </w:r>
      <w:r>
        <w:rPr>
          <w:rFonts w:hint="cs"/>
          <w:sz w:val="20"/>
          <w:szCs w:val="20"/>
          <w:rtl/>
        </w:rPr>
        <w:t xml:space="preserve">קיי"ל בסימן קפז' שאם יש לאשה מכה באותו מקום ורואה דם בשעת תשמיש, שתולים את הדם במכה ואין אוסרים אותה על בעלה מחמת הדם שרואה, ואף אין מחמירים לומר שמא דם נידה מעורב בדם מכה. </w:t>
      </w:r>
      <w:r>
        <w:rPr>
          <w:sz w:val="20"/>
          <w:szCs w:val="20"/>
          <w:rtl/>
        </w:rPr>
        <w:br/>
      </w:r>
      <w:r>
        <w:rPr>
          <w:rFonts w:hint="cs"/>
          <w:sz w:val="20"/>
          <w:szCs w:val="20"/>
          <w:rtl/>
        </w:rPr>
        <w:t>אם כן, מדוע כאן אין תולים את הדם בבתולים?</w:t>
      </w:r>
      <w:r>
        <w:rPr>
          <w:sz w:val="20"/>
          <w:szCs w:val="20"/>
          <w:rtl/>
        </w:rPr>
        <w:br/>
      </w:r>
      <w:r>
        <w:rPr>
          <w:rFonts w:hint="cs"/>
          <w:sz w:val="20"/>
          <w:szCs w:val="20"/>
          <w:rtl/>
        </w:rPr>
        <w:t xml:space="preserve">א. </w:t>
      </w:r>
      <w:r w:rsidRPr="00223320">
        <w:rPr>
          <w:rFonts w:hint="cs"/>
          <w:b/>
          <w:bCs/>
          <w:sz w:val="20"/>
          <w:szCs w:val="20"/>
          <w:rtl/>
        </w:rPr>
        <w:t>רשב"א</w:t>
      </w:r>
      <w:r>
        <w:rPr>
          <w:rFonts w:hint="cs"/>
          <w:sz w:val="20"/>
          <w:szCs w:val="20"/>
          <w:rtl/>
        </w:rPr>
        <w:t xml:space="preserve"> - חוששים שמא אירע לחתן כשמואל שאמר שהוא יכול לבעול בתולה ללא דם.</w:t>
      </w:r>
      <w:r>
        <w:rPr>
          <w:sz w:val="20"/>
          <w:szCs w:val="20"/>
          <w:rtl/>
        </w:rPr>
        <w:br/>
      </w:r>
      <w:r>
        <w:rPr>
          <w:rFonts w:hint="cs"/>
          <w:sz w:val="20"/>
          <w:szCs w:val="20"/>
          <w:rtl/>
        </w:rPr>
        <w:t xml:space="preserve">ב. </w:t>
      </w:r>
      <w:r w:rsidRPr="00223320">
        <w:rPr>
          <w:rFonts w:hint="cs"/>
          <w:b/>
          <w:bCs/>
          <w:sz w:val="20"/>
          <w:szCs w:val="20"/>
          <w:rtl/>
        </w:rPr>
        <w:t>רשב"א</w:t>
      </w:r>
      <w:r>
        <w:rPr>
          <w:rFonts w:hint="cs"/>
          <w:sz w:val="20"/>
          <w:szCs w:val="20"/>
          <w:rtl/>
        </w:rPr>
        <w:t xml:space="preserve"> - דווקא התם מקלים משום שאם נאמר שזה דם נידה, נמצא שאסורה על בעלה עולמית, משא"כ כאן שאסורה על בעלה רק לפי שעה אין מקלים לתלות את הדם בבתולים אלא חוששים שמא דם נידה מעורב בו.</w:t>
      </w:r>
      <w:r w:rsidRPr="00011E40">
        <w:rPr>
          <w:rStyle w:val="a5"/>
          <w:sz w:val="20"/>
          <w:szCs w:val="20"/>
          <w:rtl/>
        </w:rPr>
        <w:footnoteReference w:id="393"/>
      </w:r>
      <w:r>
        <w:rPr>
          <w:rFonts w:hint="cs"/>
          <w:sz w:val="20"/>
          <w:szCs w:val="20"/>
          <w:rtl/>
        </w:rPr>
        <w:br/>
        <w:t xml:space="preserve">ג. </w:t>
      </w:r>
      <w:r w:rsidRPr="001C7505">
        <w:rPr>
          <w:rFonts w:hint="cs"/>
          <w:b/>
          <w:bCs/>
          <w:sz w:val="20"/>
          <w:szCs w:val="20"/>
          <w:rtl/>
        </w:rPr>
        <w:t>רא"ש</w:t>
      </w:r>
      <w:r>
        <w:rPr>
          <w:rFonts w:hint="cs"/>
          <w:sz w:val="20"/>
          <w:szCs w:val="20"/>
          <w:rtl/>
        </w:rPr>
        <w:t xml:space="preserve"> - בעילת מצווה מסורה לכל, ואין הכל בקיאים בחילוקי הדינים ושמא יקלו גם בבוגרת שראתה.</w:t>
      </w:r>
      <w:r>
        <w:rPr>
          <w:rStyle w:val="a5"/>
          <w:sz w:val="20"/>
          <w:szCs w:val="20"/>
          <w:rtl/>
        </w:rPr>
        <w:footnoteReference w:id="394"/>
      </w:r>
      <w:r>
        <w:rPr>
          <w:sz w:val="20"/>
          <w:szCs w:val="20"/>
          <w:rtl/>
        </w:rPr>
        <w:br/>
      </w:r>
      <w:r>
        <w:rPr>
          <w:rFonts w:hint="cs"/>
          <w:sz w:val="20"/>
          <w:szCs w:val="20"/>
          <w:rtl/>
        </w:rPr>
        <w:t xml:space="preserve">ד. </w:t>
      </w:r>
      <w:r w:rsidRPr="001C7505">
        <w:rPr>
          <w:rFonts w:hint="cs"/>
          <w:b/>
          <w:bCs/>
          <w:sz w:val="20"/>
          <w:szCs w:val="20"/>
          <w:rtl/>
        </w:rPr>
        <w:t>רא"ש</w:t>
      </w:r>
      <w:r>
        <w:rPr>
          <w:rFonts w:hint="cs"/>
          <w:sz w:val="20"/>
          <w:szCs w:val="20"/>
          <w:rtl/>
        </w:rPr>
        <w:t xml:space="preserve"> - חתן יצרו תוקפו ולכן חששו בו יותר, ונתנו עליו דין החמור ביותר של בוגרת שראתה, כדברי רב.</w:t>
      </w:r>
      <w:r>
        <w:rPr>
          <w:sz w:val="20"/>
          <w:szCs w:val="20"/>
          <w:rtl/>
        </w:rPr>
        <w:br/>
      </w:r>
      <w:r>
        <w:rPr>
          <w:rFonts w:hint="cs"/>
          <w:sz w:val="20"/>
          <w:szCs w:val="20"/>
          <w:rtl/>
        </w:rPr>
        <w:t xml:space="preserve">ה. </w:t>
      </w:r>
      <w:r w:rsidRPr="00D921B9">
        <w:rPr>
          <w:rFonts w:hint="cs"/>
          <w:b/>
          <w:bCs/>
          <w:sz w:val="20"/>
          <w:szCs w:val="20"/>
          <w:rtl/>
        </w:rPr>
        <w:t>אשכול</w:t>
      </w:r>
      <w:r>
        <w:rPr>
          <w:rFonts w:hint="cs"/>
          <w:sz w:val="20"/>
          <w:szCs w:val="20"/>
          <w:rtl/>
        </w:rPr>
        <w:t xml:space="preserve"> </w:t>
      </w:r>
      <w:r>
        <w:rPr>
          <w:sz w:val="20"/>
          <w:szCs w:val="20"/>
          <w:rtl/>
        </w:rPr>
        <w:t>–</w:t>
      </w:r>
      <w:r>
        <w:rPr>
          <w:rFonts w:hint="cs"/>
          <w:sz w:val="20"/>
          <w:szCs w:val="20"/>
          <w:rtl/>
        </w:rPr>
        <w:t xml:space="preserve"> חששו שמא יצא דם חימוד יחד עם דם בתולים.</w:t>
      </w:r>
      <w:r>
        <w:rPr>
          <w:sz w:val="20"/>
          <w:szCs w:val="20"/>
          <w:rtl/>
        </w:rPr>
        <w:br/>
      </w:r>
      <w:r>
        <w:rPr>
          <w:rFonts w:hint="cs"/>
          <w:sz w:val="20"/>
          <w:szCs w:val="20"/>
          <w:rtl/>
        </w:rPr>
        <w:t xml:space="preserve">ו. </w:t>
      </w:r>
      <w:r w:rsidRPr="00D921B9">
        <w:rPr>
          <w:rFonts w:hint="cs"/>
          <w:b/>
          <w:bCs/>
          <w:sz w:val="20"/>
          <w:szCs w:val="20"/>
          <w:rtl/>
        </w:rPr>
        <w:t>לבוש</w:t>
      </w:r>
      <w:r>
        <w:rPr>
          <w:rFonts w:hint="cs"/>
          <w:sz w:val="20"/>
          <w:szCs w:val="20"/>
          <w:rtl/>
        </w:rPr>
        <w:t xml:space="preserve"> </w:t>
      </w:r>
      <w:r>
        <w:rPr>
          <w:sz w:val="20"/>
          <w:szCs w:val="20"/>
          <w:rtl/>
        </w:rPr>
        <w:t>–</w:t>
      </w:r>
      <w:r>
        <w:rPr>
          <w:rFonts w:hint="cs"/>
          <w:sz w:val="20"/>
          <w:szCs w:val="20"/>
          <w:rtl/>
        </w:rPr>
        <w:t xml:space="preserve"> חז"ל גזרו על דם בתולים שהוא עצמו טמא, אטו דם נידות.</w:t>
      </w:r>
      <w:r>
        <w:rPr>
          <w:rFonts w:hint="cs"/>
          <w:b/>
          <w:bCs/>
          <w:sz w:val="20"/>
          <w:szCs w:val="20"/>
          <w:rtl/>
        </w:rPr>
        <w:t xml:space="preserve"> </w:t>
      </w:r>
      <w:r>
        <w:rPr>
          <w:sz w:val="18"/>
          <w:szCs w:val="18"/>
          <w:rtl/>
        </w:rPr>
        <w:br/>
      </w:r>
      <w:r w:rsidRPr="00B46BFB">
        <w:rPr>
          <w:rFonts w:hint="cs"/>
          <w:sz w:val="18"/>
          <w:szCs w:val="18"/>
          <w:rtl/>
        </w:rPr>
        <w:t xml:space="preserve">(מבאר </w:t>
      </w:r>
      <w:r w:rsidRPr="00B46BFB">
        <w:rPr>
          <w:rFonts w:hint="cs"/>
          <w:b/>
          <w:bCs/>
          <w:sz w:val="18"/>
          <w:szCs w:val="18"/>
          <w:rtl/>
        </w:rPr>
        <w:t>בדה"ש</w:t>
      </w:r>
      <w:r w:rsidRPr="00B46BFB">
        <w:rPr>
          <w:rFonts w:hint="cs"/>
          <w:sz w:val="18"/>
          <w:szCs w:val="18"/>
          <w:rtl/>
        </w:rPr>
        <w:t xml:space="preserve"> </w:t>
      </w:r>
      <w:r w:rsidRPr="00B46BFB">
        <w:rPr>
          <w:sz w:val="18"/>
          <w:szCs w:val="18"/>
          <w:rtl/>
        </w:rPr>
        <w:t>–</w:t>
      </w:r>
      <w:r w:rsidRPr="00B46BFB">
        <w:rPr>
          <w:rFonts w:hint="cs"/>
          <w:sz w:val="18"/>
          <w:szCs w:val="18"/>
          <w:rtl/>
        </w:rPr>
        <w:t xml:space="preserve"> אפילו אם תיבדק ע"י שפופרת ויימצא שהדם מחמת בתולים בלבד, אפילו הכי טמאה).</w:t>
      </w:r>
    </w:p>
    <w:p w:rsidR="00620060" w:rsidRDefault="00620060" w:rsidP="00620060">
      <w:pPr>
        <w:rPr>
          <w:sz w:val="20"/>
          <w:szCs w:val="20"/>
          <w:rtl/>
        </w:rPr>
      </w:pPr>
      <w:r>
        <w:rPr>
          <w:rFonts w:hint="cs"/>
          <w:b/>
          <w:bCs/>
          <w:sz w:val="20"/>
          <w:szCs w:val="20"/>
          <w:rtl/>
        </w:rPr>
        <w:t xml:space="preserve">באילו נשים נוהגת חומרה זאת? </w:t>
      </w:r>
      <w:r>
        <w:rPr>
          <w:b/>
          <w:bCs/>
          <w:sz w:val="20"/>
          <w:szCs w:val="20"/>
          <w:rtl/>
        </w:rPr>
        <w:t>–</w:t>
      </w:r>
      <w:r>
        <w:rPr>
          <w:rFonts w:hint="cs"/>
          <w:b/>
          <w:bCs/>
          <w:sz w:val="20"/>
          <w:szCs w:val="20"/>
          <w:rtl/>
        </w:rPr>
        <w:t xml:space="preserve"> שיטות הראשונים</w:t>
      </w:r>
      <w:r>
        <w:rPr>
          <w:rFonts w:hint="cs"/>
          <w:b/>
          <w:bCs/>
          <w:sz w:val="20"/>
          <w:szCs w:val="20"/>
          <w:rtl/>
        </w:rPr>
        <w:br/>
      </w:r>
      <w:r>
        <w:rPr>
          <w:rFonts w:hint="cs"/>
          <w:sz w:val="20"/>
          <w:szCs w:val="20"/>
          <w:rtl/>
        </w:rPr>
        <w:t>א.</w:t>
      </w:r>
      <w:r>
        <w:rPr>
          <w:rFonts w:hint="cs"/>
          <w:b/>
          <w:bCs/>
          <w:sz w:val="20"/>
          <w:szCs w:val="20"/>
          <w:rtl/>
        </w:rPr>
        <w:t xml:space="preserve"> ראב"ד</w:t>
      </w:r>
      <w:r>
        <w:rPr>
          <w:rFonts w:hint="cs"/>
          <w:sz w:val="20"/>
          <w:szCs w:val="20"/>
          <w:rtl/>
        </w:rPr>
        <w:t xml:space="preserve">, </w:t>
      </w:r>
      <w:r>
        <w:rPr>
          <w:rFonts w:hint="cs"/>
          <w:b/>
          <w:bCs/>
          <w:sz w:val="20"/>
          <w:szCs w:val="20"/>
          <w:rtl/>
        </w:rPr>
        <w:t>רשב"א</w:t>
      </w:r>
      <w:r w:rsidRPr="003464EF">
        <w:rPr>
          <w:rFonts w:hint="cs"/>
          <w:b/>
          <w:bCs/>
          <w:sz w:val="20"/>
          <w:szCs w:val="20"/>
          <w:rtl/>
        </w:rPr>
        <w:t xml:space="preserve"> </w:t>
      </w:r>
      <w:r>
        <w:rPr>
          <w:rFonts w:hint="cs"/>
          <w:b/>
          <w:bCs/>
          <w:sz w:val="20"/>
          <w:szCs w:val="20"/>
          <w:rtl/>
        </w:rPr>
        <w:t xml:space="preserve">רא"ש </w:t>
      </w:r>
      <w:r w:rsidRPr="000F62B9">
        <w:rPr>
          <w:rFonts w:hint="cs"/>
          <w:b/>
          <w:bCs/>
          <w:sz w:val="20"/>
          <w:szCs w:val="20"/>
          <w:rtl/>
        </w:rPr>
        <w:t>ר"ן</w:t>
      </w:r>
      <w:r>
        <w:rPr>
          <w:rFonts w:hint="cs"/>
          <w:sz w:val="20"/>
          <w:szCs w:val="20"/>
          <w:rtl/>
        </w:rPr>
        <w:t xml:space="preserve"> </w:t>
      </w:r>
      <w:r>
        <w:rPr>
          <w:sz w:val="20"/>
          <w:szCs w:val="20"/>
          <w:rtl/>
        </w:rPr>
        <w:t>–</w:t>
      </w:r>
      <w:r>
        <w:rPr>
          <w:rFonts w:hint="cs"/>
          <w:sz w:val="20"/>
          <w:szCs w:val="20"/>
          <w:rtl/>
        </w:rPr>
        <w:t xml:space="preserve"> חומרה זאת נוהגת בכל הנשים, אפילו נשא תינוקת שלא הגיע זמנה לראות פורש לאחר בעילת מצווה.</w:t>
      </w:r>
      <w:r>
        <w:rPr>
          <w:sz w:val="20"/>
          <w:szCs w:val="20"/>
          <w:rtl/>
        </w:rPr>
        <w:br/>
      </w:r>
      <w:r>
        <w:rPr>
          <w:rFonts w:hint="cs"/>
          <w:sz w:val="20"/>
          <w:szCs w:val="20"/>
          <w:rtl/>
        </w:rPr>
        <w:t xml:space="preserve">ב. </w:t>
      </w:r>
      <w:r w:rsidRPr="00530221">
        <w:rPr>
          <w:rFonts w:hint="cs"/>
          <w:b/>
          <w:bCs/>
          <w:sz w:val="20"/>
          <w:szCs w:val="20"/>
          <w:rtl/>
        </w:rPr>
        <w:t>רי"ף ורמב"ם</w:t>
      </w:r>
      <w:r>
        <w:rPr>
          <w:rFonts w:hint="cs"/>
          <w:sz w:val="20"/>
          <w:szCs w:val="20"/>
          <w:rtl/>
        </w:rPr>
        <w:t xml:space="preserve"> </w:t>
      </w:r>
      <w:r>
        <w:rPr>
          <w:sz w:val="20"/>
          <w:szCs w:val="20"/>
          <w:rtl/>
        </w:rPr>
        <w:t>–</w:t>
      </w:r>
      <w:r>
        <w:rPr>
          <w:rFonts w:hint="cs"/>
          <w:sz w:val="20"/>
          <w:szCs w:val="20"/>
          <w:rtl/>
        </w:rPr>
        <w:t xml:space="preserve"> חומרה זו נוהגת רק בנערה שראתה, אך בתינוקת אפילו אם ראתה לא החמירו.</w:t>
      </w:r>
      <w:r>
        <w:rPr>
          <w:sz w:val="20"/>
          <w:szCs w:val="20"/>
          <w:rtl/>
        </w:rPr>
        <w:br/>
      </w:r>
      <w:r>
        <w:rPr>
          <w:rFonts w:hint="cs"/>
          <w:sz w:val="20"/>
          <w:szCs w:val="20"/>
          <w:rtl/>
        </w:rPr>
        <w:t xml:space="preserve">אמנם, </w:t>
      </w:r>
      <w:r w:rsidRPr="00433D65">
        <w:rPr>
          <w:rFonts w:hint="cs"/>
          <w:b/>
          <w:bCs/>
          <w:sz w:val="20"/>
          <w:szCs w:val="20"/>
          <w:rtl/>
        </w:rPr>
        <w:t>הרמב"ם</w:t>
      </w:r>
      <w:r>
        <w:rPr>
          <w:rFonts w:hint="cs"/>
          <w:sz w:val="20"/>
          <w:szCs w:val="20"/>
          <w:rtl/>
        </w:rPr>
        <w:t xml:space="preserve"> מוסיף ואומר שנהגו להחמיר בכל בתולה לפרוש מייד לאחר בעילת מצווה.</w:t>
      </w:r>
    </w:p>
    <w:p w:rsidR="00620060" w:rsidRDefault="00620060" w:rsidP="00620060">
      <w:pPr>
        <w:rPr>
          <w:sz w:val="20"/>
          <w:szCs w:val="20"/>
          <w:rtl/>
        </w:rPr>
      </w:pPr>
      <w:r>
        <w:rPr>
          <w:rFonts w:hint="cs"/>
          <w:b/>
          <w:bCs/>
          <w:sz w:val="20"/>
          <w:szCs w:val="20"/>
          <w:rtl/>
        </w:rPr>
        <w:lastRenderedPageBreak/>
        <w:t>ביאור השיטות</w:t>
      </w:r>
      <w:r>
        <w:rPr>
          <w:b/>
          <w:bCs/>
          <w:sz w:val="20"/>
          <w:szCs w:val="20"/>
          <w:rtl/>
        </w:rPr>
        <w:br/>
      </w:r>
      <w:r>
        <w:rPr>
          <w:rFonts w:hint="cs"/>
          <w:sz w:val="20"/>
          <w:szCs w:val="20"/>
          <w:u w:val="single"/>
          <w:rtl/>
        </w:rPr>
        <w:t>ביאור שיטת הר"ן</w:t>
      </w:r>
      <w:r>
        <w:rPr>
          <w:sz w:val="20"/>
          <w:szCs w:val="20"/>
          <w:u w:val="single"/>
          <w:rtl/>
        </w:rPr>
        <w:br/>
      </w:r>
      <w:r>
        <w:rPr>
          <w:rFonts w:hint="cs"/>
          <w:sz w:val="20"/>
          <w:szCs w:val="20"/>
          <w:rtl/>
        </w:rPr>
        <w:t>לכאורה היה נראה לומר שחומרה זאת נוהגת רק בנערה שהגיע זמנה לראות אך לא בתינוקת, כיוון שבעל הגמרא סידר את המימרא של רב ושמואל בפסקה של "הגיע זמנה לראות".</w:t>
      </w:r>
      <w:r>
        <w:rPr>
          <w:sz w:val="20"/>
          <w:szCs w:val="20"/>
          <w:rtl/>
        </w:rPr>
        <w:br/>
      </w:r>
      <w:r>
        <w:rPr>
          <w:rFonts w:hint="cs"/>
          <w:sz w:val="20"/>
          <w:szCs w:val="20"/>
          <w:rtl/>
        </w:rPr>
        <w:t xml:space="preserve">ברם, הסבר זה קשה </w:t>
      </w:r>
      <w:r>
        <w:rPr>
          <w:rFonts w:cs="Arial" w:hint="cs"/>
          <w:sz w:val="20"/>
          <w:szCs w:val="20"/>
          <w:rtl/>
        </w:rPr>
        <w:t>משום שהגמרא מקשה על רב ושמואל מדברי רבי שנתן לתינוקת</w:t>
      </w:r>
      <w:r>
        <w:rPr>
          <w:rStyle w:val="a5"/>
          <w:rFonts w:cs="Arial"/>
          <w:sz w:val="20"/>
          <w:szCs w:val="20"/>
          <w:rtl/>
        </w:rPr>
        <w:footnoteReference w:id="395"/>
      </w:r>
      <w:r>
        <w:rPr>
          <w:rFonts w:cs="Arial" w:hint="cs"/>
          <w:sz w:val="20"/>
          <w:szCs w:val="20"/>
          <w:rtl/>
        </w:rPr>
        <w:t xml:space="preserve"> ד' לילות,</w:t>
      </w:r>
      <w:r>
        <w:rPr>
          <w:rFonts w:cs="Arial"/>
          <w:sz w:val="20"/>
          <w:szCs w:val="20"/>
          <w:rtl/>
        </w:rPr>
        <w:br/>
      </w:r>
      <w:r>
        <w:rPr>
          <w:rFonts w:cs="Arial" w:hint="cs"/>
          <w:sz w:val="20"/>
          <w:szCs w:val="20"/>
          <w:rtl/>
        </w:rPr>
        <w:t xml:space="preserve">ויש להבין </w:t>
      </w:r>
      <w:r>
        <w:rPr>
          <w:rFonts w:cs="Arial"/>
          <w:sz w:val="20"/>
          <w:szCs w:val="20"/>
          <w:rtl/>
        </w:rPr>
        <w:t>–</w:t>
      </w:r>
      <w:r>
        <w:rPr>
          <w:rFonts w:cs="Arial" w:hint="cs"/>
          <w:sz w:val="20"/>
          <w:szCs w:val="20"/>
          <w:rtl/>
        </w:rPr>
        <w:t xml:space="preserve"> אם רב ושמואל החמירו רק בנערה שהגיע זמנה לראות, כיצד הקשו עליהם מדין</w:t>
      </w:r>
      <w:r>
        <w:rPr>
          <w:rFonts w:hint="cs"/>
          <w:sz w:val="20"/>
          <w:szCs w:val="20"/>
          <w:rtl/>
        </w:rPr>
        <w:t xml:space="preserve"> תינוקת? </w:t>
      </w:r>
      <w:r>
        <w:rPr>
          <w:sz w:val="20"/>
          <w:szCs w:val="20"/>
          <w:rtl/>
        </w:rPr>
        <w:br/>
      </w:r>
      <w:r>
        <w:rPr>
          <w:rFonts w:hint="cs"/>
          <w:sz w:val="20"/>
          <w:szCs w:val="20"/>
          <w:rtl/>
        </w:rPr>
        <w:t>אלא על כרחך הגמרא מבינה שרב ושמואל מחמירים בכל הנשים, ואפילו בתינוקת שלא הגיע זמנה לראות.</w:t>
      </w:r>
    </w:p>
    <w:p w:rsidR="00620060" w:rsidRDefault="00620060" w:rsidP="00620060">
      <w:pPr>
        <w:rPr>
          <w:sz w:val="20"/>
          <w:szCs w:val="20"/>
          <w:rtl/>
        </w:rPr>
      </w:pPr>
      <w:r>
        <w:rPr>
          <w:rFonts w:hint="cs"/>
          <w:sz w:val="20"/>
          <w:szCs w:val="20"/>
          <w:u w:val="single"/>
          <w:rtl/>
        </w:rPr>
        <w:t>ביאור שיטת הרי"ף והרמב"ם</w:t>
      </w:r>
      <w:r>
        <w:rPr>
          <w:sz w:val="20"/>
          <w:szCs w:val="20"/>
          <w:u w:val="single"/>
          <w:rtl/>
        </w:rPr>
        <w:br/>
      </w:r>
      <w:r>
        <w:rPr>
          <w:rFonts w:hint="cs"/>
          <w:sz w:val="20"/>
          <w:szCs w:val="20"/>
          <w:rtl/>
        </w:rPr>
        <w:t>מכך שהגמרא קבעה את המימרא של רב ושמואל על הפסקה של "ראתה ועודה בבית אביה" משמע שרק בה החמירו, אך בתינוקת לא החמירו.</w:t>
      </w:r>
      <w:r>
        <w:rPr>
          <w:rStyle w:val="a5"/>
          <w:sz w:val="20"/>
          <w:szCs w:val="20"/>
          <w:rtl/>
        </w:rPr>
        <w:footnoteReference w:id="396"/>
      </w:r>
      <w:r>
        <w:rPr>
          <w:rFonts w:hint="cs"/>
          <w:sz w:val="20"/>
          <w:szCs w:val="20"/>
          <w:rtl/>
        </w:rPr>
        <w:t xml:space="preserve"> </w:t>
      </w:r>
      <w:r>
        <w:rPr>
          <w:sz w:val="20"/>
          <w:szCs w:val="20"/>
          <w:rtl/>
        </w:rPr>
        <w:br/>
      </w:r>
      <w:r>
        <w:rPr>
          <w:rFonts w:hint="cs"/>
          <w:sz w:val="20"/>
          <w:szCs w:val="20"/>
          <w:rtl/>
        </w:rPr>
        <w:t xml:space="preserve">ואע"פ שהגמרא מקשה מהמקרה שרבי נתן לה ד' לילות ורבי מיירי בתינוקת, יש לומר שהקושייה כך </w:t>
      </w:r>
      <w:r>
        <w:rPr>
          <w:sz w:val="20"/>
          <w:szCs w:val="20"/>
          <w:rtl/>
        </w:rPr>
        <w:t>–</w:t>
      </w:r>
      <w:r>
        <w:rPr>
          <w:rFonts w:hint="cs"/>
          <w:sz w:val="20"/>
          <w:szCs w:val="20"/>
          <w:rtl/>
        </w:rPr>
        <w:t xml:space="preserve"> </w:t>
      </w:r>
      <w:r>
        <w:rPr>
          <w:sz w:val="20"/>
          <w:szCs w:val="20"/>
          <w:rtl/>
        </w:rPr>
        <w:br/>
      </w:r>
      <w:r>
        <w:rPr>
          <w:rFonts w:hint="cs"/>
          <w:sz w:val="20"/>
          <w:szCs w:val="20"/>
          <w:rtl/>
        </w:rPr>
        <w:t>אם החמרת בנערה כולי האי, לא היה לך להקל כל כך בתינוקת ולתת ד' לילות מתוך יב' חודש וסגי לך לתת ד' לילות רצופים ותו לא.</w:t>
      </w:r>
      <w:r>
        <w:rPr>
          <w:sz w:val="20"/>
          <w:szCs w:val="20"/>
          <w:rtl/>
        </w:rPr>
        <w:br/>
      </w:r>
      <w:r>
        <w:rPr>
          <w:rFonts w:hint="cs"/>
          <w:sz w:val="20"/>
          <w:szCs w:val="20"/>
          <w:rtl/>
        </w:rPr>
        <w:t xml:space="preserve">אי נמי יש לומר שהקושייה כך </w:t>
      </w:r>
      <w:r>
        <w:rPr>
          <w:sz w:val="20"/>
          <w:szCs w:val="20"/>
          <w:rtl/>
        </w:rPr>
        <w:t>–</w:t>
      </w:r>
      <w:r>
        <w:rPr>
          <w:rFonts w:hint="cs"/>
          <w:sz w:val="20"/>
          <w:szCs w:val="20"/>
          <w:rtl/>
        </w:rPr>
        <w:t xml:space="preserve"> חזינן במשנה שבית שמאי המחמירים לתת בעילת מצווה בלבד בנערה שהגיע זמנה, סוברים בתינוקת לילה אחד בלבד. ואם בדין נערה הלכה כב"ש, לא היה לרבי להקל כל כך בתינוקת לתת לה ד' לילות כדעת ב"ה.</w:t>
      </w:r>
      <w:r>
        <w:rPr>
          <w:sz w:val="20"/>
          <w:szCs w:val="20"/>
          <w:rtl/>
        </w:rPr>
        <w:br/>
      </w:r>
      <w:r>
        <w:rPr>
          <w:rFonts w:hint="cs"/>
          <w:sz w:val="20"/>
          <w:szCs w:val="20"/>
          <w:rtl/>
        </w:rPr>
        <w:t xml:space="preserve">מתרצת הגמרא </w:t>
      </w:r>
      <w:r>
        <w:rPr>
          <w:sz w:val="20"/>
          <w:szCs w:val="20"/>
          <w:rtl/>
        </w:rPr>
        <w:t>–</w:t>
      </w:r>
      <w:r>
        <w:rPr>
          <w:rFonts w:hint="cs"/>
          <w:sz w:val="20"/>
          <w:szCs w:val="20"/>
          <w:rtl/>
        </w:rPr>
        <w:t xml:space="preserve"> זו חומרה שגזרו אטו בוגרת שראתה שדינה לפרוש לאחר בעילת מצווה. ומכל מקום, לא החמירו בה כשלא ראתה אטו בוגרת שלא ראתה.</w:t>
      </w:r>
      <w:r>
        <w:rPr>
          <w:sz w:val="20"/>
          <w:szCs w:val="20"/>
          <w:rtl/>
        </w:rPr>
        <w:br/>
      </w:r>
      <w:r>
        <w:rPr>
          <w:rFonts w:hint="cs"/>
          <w:sz w:val="20"/>
          <w:szCs w:val="20"/>
          <w:rtl/>
        </w:rPr>
        <w:t xml:space="preserve">טעם שלא החמירו כשלא ראתה </w:t>
      </w:r>
      <w:r>
        <w:rPr>
          <w:sz w:val="20"/>
          <w:szCs w:val="20"/>
          <w:rtl/>
        </w:rPr>
        <w:t>–</w:t>
      </w:r>
      <w:r>
        <w:rPr>
          <w:rFonts w:hint="cs"/>
          <w:sz w:val="20"/>
          <w:szCs w:val="20"/>
          <w:rtl/>
        </w:rPr>
        <w:t xml:space="preserve"> דווקא כשראתה יש לגזור אטו בוגרת משום החשש שמא התערב דם נידה בדם בתולים, ואע"פ שטעם זה אינו עומד בפני עצמו משום שיש לתלות את הדם במכה, מכל מקום מצטרף טעם זה לגזרה אטו בוגרת.</w:t>
      </w:r>
      <w:r>
        <w:rPr>
          <w:rStyle w:val="a5"/>
          <w:sz w:val="20"/>
          <w:szCs w:val="20"/>
          <w:rtl/>
        </w:rPr>
        <w:footnoteReference w:id="397"/>
      </w:r>
    </w:p>
    <w:p w:rsidR="00620060" w:rsidRDefault="00620060" w:rsidP="00620060">
      <w:pPr>
        <w:rPr>
          <w:sz w:val="20"/>
          <w:szCs w:val="20"/>
          <w:rtl/>
        </w:rPr>
      </w:pPr>
      <w:r>
        <w:rPr>
          <w:rFonts w:hint="cs"/>
          <w:b/>
          <w:bCs/>
          <w:sz w:val="20"/>
          <w:szCs w:val="20"/>
          <w:rtl/>
        </w:rPr>
        <w:t>הכרעת הבית יוסף</w:t>
      </w:r>
      <w:r>
        <w:rPr>
          <w:rFonts w:hint="cs"/>
          <w:b/>
          <w:bCs/>
          <w:sz w:val="20"/>
          <w:szCs w:val="20"/>
          <w:rtl/>
        </w:rPr>
        <w:br/>
      </w:r>
      <w:r>
        <w:rPr>
          <w:rFonts w:hint="cs"/>
          <w:sz w:val="20"/>
          <w:szCs w:val="20"/>
          <w:rtl/>
        </w:rPr>
        <w:t xml:space="preserve">לאחר שהביא את שיטות הראשונים השונות, והסיק שלדעת הרי"ף והרמב"ם אין צריך לפרוש מדינא בבתולה שלא הגיע זמנה לראות, כתב הבית יוסף כך - </w:t>
      </w:r>
      <w:r>
        <w:rPr>
          <w:b/>
          <w:bCs/>
          <w:sz w:val="20"/>
          <w:szCs w:val="20"/>
          <w:rtl/>
        </w:rPr>
        <w:br/>
      </w:r>
      <w:r>
        <w:rPr>
          <w:rFonts w:cs="Arial" w:hint="cs"/>
          <w:sz w:val="20"/>
          <w:szCs w:val="20"/>
          <w:rtl/>
        </w:rPr>
        <w:t>"</w:t>
      </w:r>
      <w:r w:rsidRPr="00341F5C">
        <w:rPr>
          <w:rFonts w:cs="Arial" w:hint="cs"/>
          <w:sz w:val="20"/>
          <w:szCs w:val="20"/>
          <w:rtl/>
        </w:rPr>
        <w:t>מאחר</w:t>
      </w:r>
      <w:r w:rsidRPr="00341F5C">
        <w:rPr>
          <w:rFonts w:cs="Arial"/>
          <w:sz w:val="20"/>
          <w:szCs w:val="20"/>
          <w:rtl/>
        </w:rPr>
        <w:t xml:space="preserve"> </w:t>
      </w:r>
      <w:r w:rsidRPr="00341F5C">
        <w:rPr>
          <w:rFonts w:cs="Arial" w:hint="cs"/>
          <w:sz w:val="20"/>
          <w:szCs w:val="20"/>
          <w:rtl/>
        </w:rPr>
        <w:t>שבזמן</w:t>
      </w:r>
      <w:r w:rsidRPr="00341F5C">
        <w:rPr>
          <w:rFonts w:cs="Arial"/>
          <w:sz w:val="20"/>
          <w:szCs w:val="20"/>
          <w:rtl/>
        </w:rPr>
        <w:t xml:space="preserve"> </w:t>
      </w:r>
      <w:r w:rsidRPr="00341F5C">
        <w:rPr>
          <w:rFonts w:cs="Arial" w:hint="cs"/>
          <w:sz w:val="20"/>
          <w:szCs w:val="20"/>
          <w:rtl/>
        </w:rPr>
        <w:t>הזה</w:t>
      </w:r>
      <w:r w:rsidRPr="00341F5C">
        <w:rPr>
          <w:rFonts w:cs="Arial"/>
          <w:sz w:val="20"/>
          <w:szCs w:val="20"/>
          <w:rtl/>
        </w:rPr>
        <w:t xml:space="preserve"> </w:t>
      </w:r>
      <w:r w:rsidRPr="00341F5C">
        <w:rPr>
          <w:rFonts w:cs="Arial" w:hint="cs"/>
          <w:sz w:val="20"/>
          <w:szCs w:val="20"/>
          <w:rtl/>
        </w:rPr>
        <w:t>פשט</w:t>
      </w:r>
      <w:r w:rsidRPr="00341F5C">
        <w:rPr>
          <w:rFonts w:cs="Arial"/>
          <w:sz w:val="20"/>
          <w:szCs w:val="20"/>
          <w:rtl/>
        </w:rPr>
        <w:t xml:space="preserve"> </w:t>
      </w:r>
      <w:r w:rsidRPr="00341F5C">
        <w:rPr>
          <w:rFonts w:cs="Arial" w:hint="cs"/>
          <w:sz w:val="20"/>
          <w:szCs w:val="20"/>
          <w:rtl/>
        </w:rPr>
        <w:t>איסור</w:t>
      </w:r>
      <w:r w:rsidRPr="00341F5C">
        <w:rPr>
          <w:rFonts w:cs="Arial"/>
          <w:sz w:val="20"/>
          <w:szCs w:val="20"/>
          <w:rtl/>
        </w:rPr>
        <w:t xml:space="preserve"> </w:t>
      </w:r>
      <w:r w:rsidRPr="00341F5C">
        <w:rPr>
          <w:rFonts w:cs="Arial" w:hint="cs"/>
          <w:sz w:val="20"/>
          <w:szCs w:val="20"/>
          <w:rtl/>
        </w:rPr>
        <w:t>בדם</w:t>
      </w:r>
      <w:r w:rsidRPr="00341F5C">
        <w:rPr>
          <w:rFonts w:cs="Arial"/>
          <w:sz w:val="20"/>
          <w:szCs w:val="20"/>
          <w:rtl/>
        </w:rPr>
        <w:t xml:space="preserve"> </w:t>
      </w:r>
      <w:r w:rsidRPr="00341F5C">
        <w:rPr>
          <w:rFonts w:cs="Arial" w:hint="cs"/>
          <w:sz w:val="20"/>
          <w:szCs w:val="20"/>
          <w:rtl/>
        </w:rPr>
        <w:t>בתולים</w:t>
      </w:r>
      <w:r>
        <w:rPr>
          <w:rFonts w:cs="Arial" w:hint="cs"/>
          <w:sz w:val="20"/>
          <w:szCs w:val="20"/>
          <w:rtl/>
        </w:rPr>
        <w:t>,</w:t>
      </w:r>
      <w:r w:rsidRPr="00341F5C">
        <w:rPr>
          <w:rFonts w:cs="Arial"/>
          <w:sz w:val="20"/>
          <w:szCs w:val="20"/>
          <w:rtl/>
        </w:rPr>
        <w:t xml:space="preserve"> </w:t>
      </w:r>
      <w:r w:rsidRPr="00341F5C">
        <w:rPr>
          <w:rFonts w:cs="Arial" w:hint="cs"/>
          <w:sz w:val="20"/>
          <w:szCs w:val="20"/>
          <w:rtl/>
        </w:rPr>
        <w:t>דאפילו</w:t>
      </w:r>
      <w:r w:rsidRPr="00341F5C">
        <w:rPr>
          <w:rFonts w:cs="Arial"/>
          <w:sz w:val="20"/>
          <w:szCs w:val="20"/>
          <w:rtl/>
        </w:rPr>
        <w:t xml:space="preserve"> </w:t>
      </w:r>
      <w:r w:rsidRPr="00341F5C">
        <w:rPr>
          <w:rFonts w:cs="Arial" w:hint="cs"/>
          <w:sz w:val="20"/>
          <w:szCs w:val="20"/>
          <w:rtl/>
        </w:rPr>
        <w:t>תינוקת</w:t>
      </w:r>
      <w:r w:rsidRPr="00341F5C">
        <w:rPr>
          <w:rFonts w:cs="Arial"/>
          <w:sz w:val="20"/>
          <w:szCs w:val="20"/>
          <w:rtl/>
        </w:rPr>
        <w:t xml:space="preserve"> </w:t>
      </w:r>
      <w:r w:rsidRPr="00341F5C">
        <w:rPr>
          <w:rFonts w:cs="Arial" w:hint="cs"/>
          <w:sz w:val="20"/>
          <w:szCs w:val="20"/>
          <w:rtl/>
        </w:rPr>
        <w:t>קטנה</w:t>
      </w:r>
      <w:r w:rsidRPr="00341F5C">
        <w:rPr>
          <w:rFonts w:cs="Arial"/>
          <w:sz w:val="20"/>
          <w:szCs w:val="20"/>
          <w:rtl/>
        </w:rPr>
        <w:t xml:space="preserve"> </w:t>
      </w:r>
      <w:r w:rsidRPr="00341F5C">
        <w:rPr>
          <w:rFonts w:cs="Arial" w:hint="cs"/>
          <w:sz w:val="20"/>
          <w:szCs w:val="20"/>
          <w:rtl/>
        </w:rPr>
        <w:t>שלא</w:t>
      </w:r>
      <w:r w:rsidRPr="00341F5C">
        <w:rPr>
          <w:rFonts w:cs="Arial"/>
          <w:sz w:val="20"/>
          <w:szCs w:val="20"/>
          <w:rtl/>
        </w:rPr>
        <w:t xml:space="preserve"> </w:t>
      </w:r>
      <w:r w:rsidRPr="00341F5C">
        <w:rPr>
          <w:rFonts w:cs="Arial" w:hint="cs"/>
          <w:sz w:val="20"/>
          <w:szCs w:val="20"/>
          <w:rtl/>
        </w:rPr>
        <w:t>הגיע</w:t>
      </w:r>
      <w:r w:rsidRPr="00341F5C">
        <w:rPr>
          <w:rFonts w:cs="Arial"/>
          <w:sz w:val="20"/>
          <w:szCs w:val="20"/>
          <w:rtl/>
        </w:rPr>
        <w:t xml:space="preserve"> </w:t>
      </w:r>
      <w:r w:rsidRPr="00341F5C">
        <w:rPr>
          <w:rFonts w:cs="Arial" w:hint="cs"/>
          <w:sz w:val="20"/>
          <w:szCs w:val="20"/>
          <w:rtl/>
        </w:rPr>
        <w:t>זמנה</w:t>
      </w:r>
      <w:r w:rsidRPr="00341F5C">
        <w:rPr>
          <w:rFonts w:cs="Arial"/>
          <w:sz w:val="20"/>
          <w:szCs w:val="20"/>
          <w:rtl/>
        </w:rPr>
        <w:t xml:space="preserve"> </w:t>
      </w:r>
      <w:r w:rsidRPr="00341F5C">
        <w:rPr>
          <w:rFonts w:cs="Arial" w:hint="cs"/>
          <w:sz w:val="20"/>
          <w:szCs w:val="20"/>
          <w:rtl/>
        </w:rPr>
        <w:t>לראות</w:t>
      </w:r>
      <w:r w:rsidRPr="00341F5C">
        <w:rPr>
          <w:rFonts w:cs="Arial"/>
          <w:sz w:val="20"/>
          <w:szCs w:val="20"/>
          <w:rtl/>
        </w:rPr>
        <w:t xml:space="preserve"> </w:t>
      </w:r>
      <w:r w:rsidRPr="00341F5C">
        <w:rPr>
          <w:rFonts w:cs="Arial" w:hint="cs"/>
          <w:sz w:val="20"/>
          <w:szCs w:val="20"/>
          <w:rtl/>
        </w:rPr>
        <w:t>ולא</w:t>
      </w:r>
      <w:r w:rsidRPr="00341F5C">
        <w:rPr>
          <w:rFonts w:cs="Arial"/>
          <w:sz w:val="20"/>
          <w:szCs w:val="20"/>
          <w:rtl/>
        </w:rPr>
        <w:t xml:space="preserve"> </w:t>
      </w:r>
      <w:r w:rsidRPr="00341F5C">
        <w:rPr>
          <w:rFonts w:cs="Arial" w:hint="cs"/>
          <w:sz w:val="20"/>
          <w:szCs w:val="20"/>
          <w:rtl/>
        </w:rPr>
        <w:t>ראתה</w:t>
      </w:r>
      <w:r w:rsidRPr="00341F5C">
        <w:rPr>
          <w:rFonts w:cs="Arial"/>
          <w:sz w:val="20"/>
          <w:szCs w:val="20"/>
          <w:rtl/>
        </w:rPr>
        <w:t xml:space="preserve"> </w:t>
      </w:r>
      <w:r w:rsidRPr="00341F5C">
        <w:rPr>
          <w:rFonts w:cs="Arial" w:hint="cs"/>
          <w:sz w:val="20"/>
          <w:szCs w:val="20"/>
          <w:rtl/>
        </w:rPr>
        <w:t>בועל</w:t>
      </w:r>
      <w:r w:rsidRPr="00341F5C">
        <w:rPr>
          <w:rFonts w:cs="Arial"/>
          <w:sz w:val="20"/>
          <w:szCs w:val="20"/>
          <w:rtl/>
        </w:rPr>
        <w:t xml:space="preserve"> </w:t>
      </w:r>
      <w:r w:rsidRPr="00341F5C">
        <w:rPr>
          <w:rFonts w:cs="Arial" w:hint="cs"/>
          <w:sz w:val="20"/>
          <w:szCs w:val="20"/>
          <w:rtl/>
        </w:rPr>
        <w:t>בעילת</w:t>
      </w:r>
      <w:r w:rsidRPr="00341F5C">
        <w:rPr>
          <w:rFonts w:cs="Arial"/>
          <w:sz w:val="20"/>
          <w:szCs w:val="20"/>
          <w:rtl/>
        </w:rPr>
        <w:t xml:space="preserve"> </w:t>
      </w:r>
      <w:r w:rsidRPr="00341F5C">
        <w:rPr>
          <w:rFonts w:cs="Arial" w:hint="cs"/>
          <w:sz w:val="20"/>
          <w:szCs w:val="20"/>
          <w:rtl/>
        </w:rPr>
        <w:t>מצוה</w:t>
      </w:r>
      <w:r w:rsidRPr="00341F5C">
        <w:rPr>
          <w:rFonts w:cs="Arial"/>
          <w:sz w:val="20"/>
          <w:szCs w:val="20"/>
          <w:rtl/>
        </w:rPr>
        <w:t xml:space="preserve"> </w:t>
      </w:r>
      <w:r w:rsidRPr="00341F5C">
        <w:rPr>
          <w:rFonts w:cs="Arial" w:hint="cs"/>
          <w:sz w:val="20"/>
          <w:szCs w:val="20"/>
          <w:rtl/>
        </w:rPr>
        <w:t>ופורש</w:t>
      </w:r>
      <w:r>
        <w:rPr>
          <w:rFonts w:cs="Arial" w:hint="cs"/>
          <w:sz w:val="20"/>
          <w:szCs w:val="20"/>
          <w:rtl/>
        </w:rPr>
        <w:t>,</w:t>
      </w:r>
      <w:r w:rsidRPr="00341F5C">
        <w:rPr>
          <w:rFonts w:cs="Arial"/>
          <w:sz w:val="20"/>
          <w:szCs w:val="20"/>
          <w:rtl/>
        </w:rPr>
        <w:t xml:space="preserve"> </w:t>
      </w:r>
      <w:r w:rsidRPr="00341F5C">
        <w:rPr>
          <w:rFonts w:cs="Arial" w:hint="cs"/>
          <w:sz w:val="20"/>
          <w:szCs w:val="20"/>
          <w:rtl/>
        </w:rPr>
        <w:t>אסור</w:t>
      </w:r>
      <w:r w:rsidRPr="00341F5C">
        <w:rPr>
          <w:rFonts w:cs="Arial"/>
          <w:sz w:val="20"/>
          <w:szCs w:val="20"/>
          <w:rtl/>
        </w:rPr>
        <w:t xml:space="preserve"> </w:t>
      </w:r>
      <w:r w:rsidRPr="00341F5C">
        <w:rPr>
          <w:rFonts w:cs="Arial" w:hint="cs"/>
          <w:sz w:val="20"/>
          <w:szCs w:val="20"/>
          <w:rtl/>
        </w:rPr>
        <w:t>לפרוץ</w:t>
      </w:r>
      <w:r w:rsidRPr="00341F5C">
        <w:rPr>
          <w:rFonts w:cs="Arial"/>
          <w:sz w:val="20"/>
          <w:szCs w:val="20"/>
          <w:rtl/>
        </w:rPr>
        <w:t xml:space="preserve"> </w:t>
      </w:r>
      <w:r w:rsidRPr="00341F5C">
        <w:rPr>
          <w:rFonts w:cs="Arial" w:hint="cs"/>
          <w:sz w:val="20"/>
          <w:szCs w:val="20"/>
          <w:rtl/>
        </w:rPr>
        <w:t>גדרן</w:t>
      </w:r>
      <w:r w:rsidRPr="00341F5C">
        <w:rPr>
          <w:rFonts w:cs="Arial"/>
          <w:sz w:val="20"/>
          <w:szCs w:val="20"/>
          <w:rtl/>
        </w:rPr>
        <w:t xml:space="preserve"> </w:t>
      </w:r>
      <w:r w:rsidRPr="00341F5C">
        <w:rPr>
          <w:rFonts w:cs="Arial" w:hint="cs"/>
          <w:sz w:val="20"/>
          <w:szCs w:val="20"/>
          <w:rtl/>
        </w:rPr>
        <w:t>של</w:t>
      </w:r>
      <w:r w:rsidRPr="00341F5C">
        <w:rPr>
          <w:rFonts w:cs="Arial"/>
          <w:sz w:val="20"/>
          <w:szCs w:val="20"/>
          <w:rtl/>
        </w:rPr>
        <w:t xml:space="preserve"> </w:t>
      </w:r>
      <w:r w:rsidRPr="00341F5C">
        <w:rPr>
          <w:rFonts w:cs="Arial" w:hint="cs"/>
          <w:sz w:val="20"/>
          <w:szCs w:val="20"/>
          <w:rtl/>
        </w:rPr>
        <w:t>ראשונים</w:t>
      </w:r>
      <w:r w:rsidRPr="00341F5C">
        <w:rPr>
          <w:rFonts w:cs="Arial"/>
          <w:sz w:val="20"/>
          <w:szCs w:val="20"/>
          <w:rtl/>
        </w:rPr>
        <w:t xml:space="preserve"> </w:t>
      </w:r>
      <w:r w:rsidRPr="00341F5C">
        <w:rPr>
          <w:rFonts w:cs="Arial" w:hint="cs"/>
          <w:sz w:val="20"/>
          <w:szCs w:val="20"/>
          <w:rtl/>
        </w:rPr>
        <w:t>ולהקל</w:t>
      </w:r>
      <w:r w:rsidRPr="00341F5C">
        <w:rPr>
          <w:rFonts w:cs="Arial"/>
          <w:sz w:val="20"/>
          <w:szCs w:val="20"/>
          <w:rtl/>
        </w:rPr>
        <w:t xml:space="preserve"> </w:t>
      </w:r>
      <w:r w:rsidRPr="00341F5C">
        <w:rPr>
          <w:rFonts w:cs="Arial" w:hint="cs"/>
          <w:sz w:val="20"/>
          <w:szCs w:val="20"/>
          <w:rtl/>
        </w:rPr>
        <w:t>בו</w:t>
      </w:r>
      <w:r w:rsidRPr="00341F5C">
        <w:rPr>
          <w:rFonts w:cs="Arial"/>
          <w:sz w:val="20"/>
          <w:szCs w:val="20"/>
          <w:rtl/>
        </w:rPr>
        <w:t xml:space="preserve"> </w:t>
      </w:r>
      <w:r w:rsidRPr="00341F5C">
        <w:rPr>
          <w:rFonts w:cs="Arial" w:hint="cs"/>
          <w:sz w:val="20"/>
          <w:szCs w:val="20"/>
          <w:rtl/>
        </w:rPr>
        <w:t>אפילו</w:t>
      </w:r>
      <w:r w:rsidRPr="00341F5C">
        <w:rPr>
          <w:rFonts w:cs="Arial"/>
          <w:sz w:val="20"/>
          <w:szCs w:val="20"/>
          <w:rtl/>
        </w:rPr>
        <w:t xml:space="preserve"> </w:t>
      </w:r>
      <w:r w:rsidRPr="00341F5C">
        <w:rPr>
          <w:rFonts w:cs="Arial" w:hint="cs"/>
          <w:sz w:val="20"/>
          <w:szCs w:val="20"/>
          <w:rtl/>
        </w:rPr>
        <w:t>כחוט</w:t>
      </w:r>
      <w:r w:rsidRPr="00341F5C">
        <w:rPr>
          <w:rFonts w:cs="Arial"/>
          <w:sz w:val="20"/>
          <w:szCs w:val="20"/>
          <w:rtl/>
        </w:rPr>
        <w:t xml:space="preserve"> </w:t>
      </w:r>
      <w:r w:rsidRPr="00341F5C">
        <w:rPr>
          <w:rFonts w:cs="Arial" w:hint="cs"/>
          <w:sz w:val="20"/>
          <w:szCs w:val="20"/>
          <w:rtl/>
        </w:rPr>
        <w:t>השערה</w:t>
      </w:r>
      <w:r>
        <w:rPr>
          <w:rFonts w:cs="Arial" w:hint="cs"/>
          <w:sz w:val="20"/>
          <w:szCs w:val="20"/>
          <w:rtl/>
        </w:rPr>
        <w:t>.</w:t>
      </w:r>
      <w:r w:rsidRPr="00341F5C">
        <w:rPr>
          <w:rFonts w:cs="Arial"/>
          <w:sz w:val="20"/>
          <w:szCs w:val="20"/>
          <w:rtl/>
        </w:rPr>
        <w:t xml:space="preserve"> </w:t>
      </w:r>
      <w:r w:rsidRPr="00341F5C">
        <w:rPr>
          <w:rFonts w:cs="Arial" w:hint="cs"/>
          <w:sz w:val="20"/>
          <w:szCs w:val="20"/>
          <w:rtl/>
        </w:rPr>
        <w:t>ומי</w:t>
      </w:r>
      <w:r w:rsidRPr="00341F5C">
        <w:rPr>
          <w:rFonts w:cs="Arial"/>
          <w:sz w:val="20"/>
          <w:szCs w:val="20"/>
          <w:rtl/>
        </w:rPr>
        <w:t xml:space="preserve"> </w:t>
      </w:r>
      <w:r w:rsidRPr="00341F5C">
        <w:rPr>
          <w:rFonts w:cs="Arial" w:hint="cs"/>
          <w:sz w:val="20"/>
          <w:szCs w:val="20"/>
          <w:rtl/>
        </w:rPr>
        <w:t>שעושה</w:t>
      </w:r>
      <w:r w:rsidRPr="00341F5C">
        <w:rPr>
          <w:rFonts w:cs="Arial"/>
          <w:sz w:val="20"/>
          <w:szCs w:val="20"/>
          <w:rtl/>
        </w:rPr>
        <w:t xml:space="preserve"> </w:t>
      </w:r>
      <w:r w:rsidRPr="00341F5C">
        <w:rPr>
          <w:rFonts w:cs="Arial" w:hint="cs"/>
          <w:sz w:val="20"/>
          <w:szCs w:val="20"/>
          <w:rtl/>
        </w:rPr>
        <w:t>כן</w:t>
      </w:r>
      <w:r w:rsidRPr="00341F5C">
        <w:rPr>
          <w:rFonts w:cs="Arial"/>
          <w:sz w:val="20"/>
          <w:szCs w:val="20"/>
          <w:rtl/>
        </w:rPr>
        <w:t xml:space="preserve"> </w:t>
      </w:r>
      <w:r w:rsidRPr="00341F5C">
        <w:rPr>
          <w:rFonts w:cs="Arial" w:hint="cs"/>
          <w:sz w:val="20"/>
          <w:szCs w:val="20"/>
          <w:rtl/>
        </w:rPr>
        <w:t>הרי</w:t>
      </w:r>
      <w:r w:rsidRPr="00341F5C">
        <w:rPr>
          <w:rFonts w:cs="Arial"/>
          <w:sz w:val="20"/>
          <w:szCs w:val="20"/>
          <w:rtl/>
        </w:rPr>
        <w:t xml:space="preserve"> </w:t>
      </w:r>
      <w:r w:rsidRPr="00341F5C">
        <w:rPr>
          <w:rFonts w:cs="Arial" w:hint="cs"/>
          <w:sz w:val="20"/>
          <w:szCs w:val="20"/>
          <w:rtl/>
        </w:rPr>
        <w:t>הוא</w:t>
      </w:r>
      <w:r w:rsidRPr="00341F5C">
        <w:rPr>
          <w:rFonts w:cs="Arial"/>
          <w:sz w:val="20"/>
          <w:szCs w:val="20"/>
          <w:rtl/>
        </w:rPr>
        <w:t xml:space="preserve"> </w:t>
      </w:r>
      <w:r w:rsidRPr="00341F5C">
        <w:rPr>
          <w:rFonts w:cs="Arial" w:hint="cs"/>
          <w:sz w:val="20"/>
          <w:szCs w:val="20"/>
          <w:rtl/>
        </w:rPr>
        <w:t>פורץ</w:t>
      </w:r>
      <w:r w:rsidRPr="00341F5C">
        <w:rPr>
          <w:rFonts w:cs="Arial"/>
          <w:sz w:val="20"/>
          <w:szCs w:val="20"/>
          <w:rtl/>
        </w:rPr>
        <w:t xml:space="preserve"> </w:t>
      </w:r>
      <w:r w:rsidRPr="00341F5C">
        <w:rPr>
          <w:rFonts w:cs="Arial" w:hint="cs"/>
          <w:sz w:val="20"/>
          <w:szCs w:val="20"/>
          <w:rtl/>
        </w:rPr>
        <w:t>גדר</w:t>
      </w:r>
      <w:r w:rsidRPr="00341F5C">
        <w:rPr>
          <w:rFonts w:cs="Arial"/>
          <w:sz w:val="20"/>
          <w:szCs w:val="20"/>
          <w:rtl/>
        </w:rPr>
        <w:t xml:space="preserve"> </w:t>
      </w:r>
      <w:r w:rsidRPr="00341F5C">
        <w:rPr>
          <w:rFonts w:cs="Arial" w:hint="cs"/>
          <w:sz w:val="20"/>
          <w:szCs w:val="20"/>
          <w:rtl/>
        </w:rPr>
        <w:t>וישכנו</w:t>
      </w:r>
      <w:r w:rsidRPr="00341F5C">
        <w:rPr>
          <w:rFonts w:cs="Arial"/>
          <w:sz w:val="20"/>
          <w:szCs w:val="20"/>
          <w:rtl/>
        </w:rPr>
        <w:t xml:space="preserve"> </w:t>
      </w:r>
      <w:r w:rsidRPr="00341F5C">
        <w:rPr>
          <w:rFonts w:cs="Arial" w:hint="cs"/>
          <w:sz w:val="20"/>
          <w:szCs w:val="20"/>
          <w:rtl/>
        </w:rPr>
        <w:t>נחש</w:t>
      </w:r>
      <w:r>
        <w:rPr>
          <w:rFonts w:cs="Arial" w:hint="cs"/>
          <w:sz w:val="20"/>
          <w:szCs w:val="20"/>
          <w:rtl/>
        </w:rPr>
        <w:t>".</w:t>
      </w:r>
    </w:p>
    <w:p w:rsidR="00620060" w:rsidRDefault="00620060" w:rsidP="00620060">
      <w:pPr>
        <w:rPr>
          <w:sz w:val="20"/>
          <w:szCs w:val="20"/>
          <w:rtl/>
        </w:rPr>
      </w:pPr>
      <w:r>
        <w:rPr>
          <w:rFonts w:hint="cs"/>
          <w:b/>
          <w:bCs/>
          <w:sz w:val="20"/>
          <w:szCs w:val="20"/>
          <w:rtl/>
        </w:rPr>
        <w:t>האם צריך לפרוש באבר מת?</w:t>
      </w:r>
      <w:r>
        <w:rPr>
          <w:rFonts w:hint="cs"/>
          <w:b/>
          <w:bCs/>
          <w:sz w:val="20"/>
          <w:szCs w:val="20"/>
          <w:rtl/>
        </w:rPr>
        <w:br/>
      </w:r>
      <w:r>
        <w:rPr>
          <w:rFonts w:hint="cs"/>
          <w:sz w:val="20"/>
          <w:szCs w:val="20"/>
          <w:rtl/>
        </w:rPr>
        <w:t xml:space="preserve">א. </w:t>
      </w:r>
      <w:r w:rsidRPr="00AC6F6D">
        <w:rPr>
          <w:rFonts w:hint="cs"/>
          <w:b/>
          <w:bCs/>
          <w:sz w:val="20"/>
          <w:szCs w:val="20"/>
          <w:rtl/>
        </w:rPr>
        <w:t>ראב"ד</w:t>
      </w:r>
      <w:r>
        <w:rPr>
          <w:rFonts w:hint="cs"/>
          <w:sz w:val="20"/>
          <w:szCs w:val="20"/>
          <w:rtl/>
        </w:rPr>
        <w:t xml:space="preserve"> </w:t>
      </w:r>
      <w:r>
        <w:rPr>
          <w:sz w:val="20"/>
          <w:szCs w:val="20"/>
          <w:rtl/>
        </w:rPr>
        <w:t>–</w:t>
      </w:r>
      <w:r>
        <w:rPr>
          <w:rFonts w:hint="cs"/>
          <w:sz w:val="20"/>
          <w:szCs w:val="20"/>
          <w:rtl/>
        </w:rPr>
        <w:t xml:space="preserve"> יש לפרוש באבר מת, כדין המשמש עם הטהורה ואמרה לו נטמאתי.</w:t>
      </w:r>
      <w:r>
        <w:rPr>
          <w:rStyle w:val="a5"/>
          <w:sz w:val="20"/>
          <w:szCs w:val="20"/>
          <w:rtl/>
        </w:rPr>
        <w:footnoteReference w:id="398"/>
      </w:r>
      <w:r>
        <w:rPr>
          <w:rFonts w:hint="cs"/>
          <w:sz w:val="20"/>
          <w:szCs w:val="20"/>
          <w:rtl/>
        </w:rPr>
        <w:br/>
      </w:r>
      <w:r w:rsidRPr="00AC6F6D">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אם פורש באבר חי, נמצאת יציאתו הנאה לו כביאתו.</w:t>
      </w:r>
      <w:r>
        <w:rPr>
          <w:sz w:val="20"/>
          <w:szCs w:val="20"/>
          <w:rtl/>
        </w:rPr>
        <w:br/>
      </w:r>
      <w:r>
        <w:rPr>
          <w:rFonts w:hint="cs"/>
          <w:sz w:val="20"/>
          <w:szCs w:val="20"/>
          <w:rtl/>
        </w:rPr>
        <w:t xml:space="preserve">ב. </w:t>
      </w:r>
      <w:r w:rsidRPr="00AC6F6D">
        <w:rPr>
          <w:rFonts w:hint="cs"/>
          <w:b/>
          <w:bCs/>
          <w:sz w:val="20"/>
          <w:szCs w:val="20"/>
          <w:rtl/>
        </w:rPr>
        <w:t>רשב"א</w:t>
      </w:r>
      <w:r>
        <w:rPr>
          <w:rFonts w:hint="cs"/>
          <w:sz w:val="20"/>
          <w:szCs w:val="20"/>
          <w:rtl/>
        </w:rPr>
        <w:t xml:space="preserve">, </w:t>
      </w:r>
      <w:r w:rsidRPr="00AC6F6D">
        <w:rPr>
          <w:rFonts w:hint="cs"/>
          <w:b/>
          <w:bCs/>
          <w:sz w:val="20"/>
          <w:szCs w:val="20"/>
          <w:rtl/>
        </w:rPr>
        <w:t>רא"ש</w:t>
      </w:r>
      <w:r>
        <w:rPr>
          <w:rFonts w:hint="cs"/>
          <w:sz w:val="20"/>
          <w:szCs w:val="20"/>
          <w:rtl/>
        </w:rPr>
        <w:t xml:space="preserve">, </w:t>
      </w:r>
      <w:r w:rsidRPr="00AC6F6D">
        <w:rPr>
          <w:rFonts w:hint="cs"/>
          <w:b/>
          <w:bCs/>
          <w:sz w:val="20"/>
          <w:szCs w:val="20"/>
          <w:rtl/>
        </w:rPr>
        <w:t>מגיד משנה</w:t>
      </w:r>
      <w:r>
        <w:rPr>
          <w:rFonts w:hint="cs"/>
          <w:sz w:val="20"/>
          <w:szCs w:val="20"/>
          <w:rtl/>
        </w:rPr>
        <w:t xml:space="preserve"> ורוב הראשונים </w:t>
      </w:r>
      <w:r>
        <w:rPr>
          <w:sz w:val="20"/>
          <w:szCs w:val="20"/>
          <w:rtl/>
        </w:rPr>
        <w:t>–</w:t>
      </w:r>
      <w:r>
        <w:rPr>
          <w:rFonts w:hint="cs"/>
          <w:sz w:val="20"/>
          <w:szCs w:val="20"/>
          <w:rtl/>
        </w:rPr>
        <w:t xml:space="preserve"> אין צריך לפרוש באבר מת, וכ"פ </w:t>
      </w:r>
      <w:r w:rsidRPr="00B15706">
        <w:rPr>
          <w:rFonts w:hint="cs"/>
          <w:b/>
          <w:bCs/>
          <w:sz w:val="20"/>
          <w:szCs w:val="20"/>
          <w:rtl/>
        </w:rPr>
        <w:t>המחבר</w:t>
      </w:r>
      <w:r>
        <w:rPr>
          <w:rFonts w:hint="cs"/>
          <w:sz w:val="20"/>
          <w:szCs w:val="20"/>
          <w:rtl/>
        </w:rPr>
        <w:t>.</w:t>
      </w:r>
      <w:r>
        <w:rPr>
          <w:rFonts w:hint="cs"/>
          <w:sz w:val="20"/>
          <w:szCs w:val="20"/>
          <w:rtl/>
        </w:rPr>
        <w:br/>
      </w:r>
      <w:r w:rsidRPr="001F0489">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בגמרא נאמר שמותר לו לגמור ביאתו ומשמע אפילו הדם שותת, כל שכן שאינו צריך לפרוש באבר מת.</w:t>
      </w:r>
      <w:r>
        <w:rPr>
          <w:sz w:val="20"/>
          <w:szCs w:val="20"/>
          <w:rtl/>
        </w:rPr>
        <w:br/>
      </w:r>
      <w:r>
        <w:rPr>
          <w:rFonts w:hint="cs"/>
          <w:sz w:val="20"/>
          <w:szCs w:val="20"/>
          <w:rtl/>
        </w:rPr>
        <w:t xml:space="preserve">ועוד </w:t>
      </w:r>
      <w:r>
        <w:rPr>
          <w:sz w:val="20"/>
          <w:szCs w:val="20"/>
          <w:rtl/>
        </w:rPr>
        <w:t>–</w:t>
      </w:r>
      <w:r>
        <w:rPr>
          <w:rFonts w:hint="cs"/>
          <w:sz w:val="20"/>
          <w:szCs w:val="20"/>
          <w:rtl/>
        </w:rPr>
        <w:t xml:space="preserve"> אם תאמר לו לפרוש באבר מת, ליבו נוקפו ופורש, כאמור בגמרא.</w:t>
      </w:r>
      <w:r>
        <w:rPr>
          <w:sz w:val="20"/>
          <w:szCs w:val="20"/>
          <w:rtl/>
        </w:rPr>
        <w:br/>
      </w:r>
      <w:r>
        <w:rPr>
          <w:rFonts w:hint="cs"/>
          <w:sz w:val="20"/>
          <w:szCs w:val="20"/>
          <w:rtl/>
        </w:rPr>
        <w:lastRenderedPageBreak/>
        <w:br/>
      </w:r>
      <w:r>
        <w:rPr>
          <w:rFonts w:hint="cs"/>
          <w:b/>
          <w:bCs/>
          <w:sz w:val="20"/>
          <w:szCs w:val="20"/>
          <w:rtl/>
        </w:rPr>
        <w:t>בעל ולא מצא דם</w:t>
      </w:r>
      <w:r>
        <w:rPr>
          <w:rFonts w:hint="cs"/>
          <w:b/>
          <w:bCs/>
          <w:sz w:val="20"/>
          <w:szCs w:val="20"/>
          <w:rtl/>
        </w:rPr>
        <w:br/>
      </w:r>
      <w:r>
        <w:rPr>
          <w:rFonts w:hint="cs"/>
          <w:sz w:val="20"/>
          <w:szCs w:val="20"/>
          <w:rtl/>
        </w:rPr>
        <w:t>בעלה ולא מצא דם, האם אסורה?</w:t>
      </w:r>
      <w:r>
        <w:rPr>
          <w:b/>
          <w:bCs/>
          <w:sz w:val="20"/>
          <w:szCs w:val="20"/>
          <w:rtl/>
        </w:rPr>
        <w:br/>
      </w:r>
      <w:r>
        <w:rPr>
          <w:rFonts w:hint="cs"/>
          <w:sz w:val="20"/>
          <w:szCs w:val="20"/>
          <w:rtl/>
        </w:rPr>
        <w:t xml:space="preserve">א. </w:t>
      </w:r>
      <w:r w:rsidRPr="009A51E6">
        <w:rPr>
          <w:rFonts w:hint="cs"/>
          <w:b/>
          <w:bCs/>
          <w:sz w:val="20"/>
          <w:szCs w:val="20"/>
          <w:rtl/>
        </w:rPr>
        <w:t>רא"ש</w:t>
      </w:r>
      <w:r>
        <w:rPr>
          <w:rFonts w:hint="cs"/>
          <w:sz w:val="20"/>
          <w:szCs w:val="20"/>
          <w:rtl/>
        </w:rPr>
        <w:t xml:space="preserve">, </w:t>
      </w:r>
      <w:r w:rsidRPr="009A51E6">
        <w:rPr>
          <w:rFonts w:hint="cs"/>
          <w:b/>
          <w:bCs/>
          <w:sz w:val="20"/>
          <w:szCs w:val="20"/>
          <w:rtl/>
        </w:rPr>
        <w:t>רשב"א ור"ן</w:t>
      </w:r>
      <w:r>
        <w:rPr>
          <w:rFonts w:hint="cs"/>
          <w:sz w:val="20"/>
          <w:szCs w:val="20"/>
          <w:rtl/>
        </w:rPr>
        <w:t xml:space="preserve"> </w:t>
      </w:r>
      <w:r>
        <w:rPr>
          <w:sz w:val="20"/>
          <w:szCs w:val="20"/>
          <w:rtl/>
        </w:rPr>
        <w:t>–</w:t>
      </w:r>
      <w:r>
        <w:rPr>
          <w:rFonts w:hint="cs"/>
          <w:sz w:val="20"/>
          <w:szCs w:val="20"/>
          <w:rtl/>
        </w:rPr>
        <w:t xml:space="preserve"> אסורה, וכ"פ </w:t>
      </w:r>
      <w:r w:rsidRPr="00EC5239">
        <w:rPr>
          <w:rFonts w:hint="cs"/>
          <w:b/>
          <w:bCs/>
          <w:sz w:val="20"/>
          <w:szCs w:val="20"/>
          <w:rtl/>
        </w:rPr>
        <w:t>המחבר</w:t>
      </w:r>
      <w:r>
        <w:rPr>
          <w:rFonts w:hint="cs"/>
          <w:sz w:val="20"/>
          <w:szCs w:val="20"/>
          <w:rtl/>
        </w:rPr>
        <w:t>.</w:t>
      </w:r>
      <w:r>
        <w:rPr>
          <w:sz w:val="20"/>
          <w:szCs w:val="20"/>
          <w:rtl/>
        </w:rPr>
        <w:br/>
      </w:r>
      <w:r w:rsidRPr="00EC5239">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רוב נשים רואות דם בבעילה הראשונה, ולכן אע"פ שלא מצא ייתכן שהיה וחיפתו שכבת זרע.</w:t>
      </w:r>
      <w:r>
        <w:rPr>
          <w:sz w:val="20"/>
          <w:szCs w:val="20"/>
          <w:rtl/>
        </w:rPr>
        <w:br/>
      </w:r>
      <w:r>
        <w:rPr>
          <w:rFonts w:hint="cs"/>
          <w:sz w:val="20"/>
          <w:szCs w:val="20"/>
          <w:rtl/>
        </w:rPr>
        <w:t>ואין לתלות שבעל בהטיה ולכן לא מצא דם, כיוון שהטיה היא דבר שאינו מצוי.</w:t>
      </w:r>
      <w:r>
        <w:rPr>
          <w:sz w:val="20"/>
          <w:szCs w:val="20"/>
          <w:rtl/>
        </w:rPr>
        <w:br/>
      </w:r>
      <w:r>
        <w:rPr>
          <w:rFonts w:hint="cs"/>
          <w:sz w:val="20"/>
          <w:szCs w:val="20"/>
          <w:rtl/>
        </w:rPr>
        <w:t>ואפילו בבוגרת שאין לה טענת בתולים משום שמסתמא אין לה דם, ולכאורה כשלא נמצא דם יש לומר שמותרת, מכל מקום כיוון שיש בוגרת שיש לה דם לא חילקו חכמים בגזירתם.</w:t>
      </w:r>
      <w:r>
        <w:rPr>
          <w:rFonts w:hint="cs"/>
          <w:sz w:val="20"/>
          <w:szCs w:val="20"/>
          <w:rtl/>
        </w:rPr>
        <w:br/>
        <w:t xml:space="preserve">ב. </w:t>
      </w:r>
      <w:r w:rsidRPr="00FF24F7">
        <w:rPr>
          <w:rFonts w:hint="cs"/>
          <w:b/>
          <w:bCs/>
          <w:sz w:val="20"/>
          <w:szCs w:val="20"/>
          <w:rtl/>
        </w:rPr>
        <w:t>ראב"ד</w:t>
      </w:r>
      <w:r>
        <w:rPr>
          <w:rFonts w:hint="cs"/>
          <w:sz w:val="20"/>
          <w:szCs w:val="20"/>
          <w:rtl/>
        </w:rPr>
        <w:t xml:space="preserve"> </w:t>
      </w:r>
      <w:r>
        <w:rPr>
          <w:sz w:val="20"/>
          <w:szCs w:val="20"/>
          <w:rtl/>
        </w:rPr>
        <w:t>–</w:t>
      </w:r>
      <w:r>
        <w:rPr>
          <w:rFonts w:hint="cs"/>
          <w:sz w:val="20"/>
          <w:szCs w:val="20"/>
          <w:rtl/>
        </w:rPr>
        <w:t xml:space="preserve"> מותרת, וכ"פ </w:t>
      </w:r>
      <w:r w:rsidRPr="009F3F86">
        <w:rPr>
          <w:rFonts w:hint="cs"/>
          <w:b/>
          <w:bCs/>
          <w:sz w:val="20"/>
          <w:szCs w:val="20"/>
          <w:rtl/>
        </w:rPr>
        <w:t>הרמ"א</w:t>
      </w:r>
      <w:r>
        <w:rPr>
          <w:rFonts w:hint="cs"/>
          <w:sz w:val="20"/>
          <w:szCs w:val="20"/>
          <w:rtl/>
        </w:rPr>
        <w:t xml:space="preserve"> אלא שהקל רק בצירוף לכך שלא גמר ביאתו.</w:t>
      </w:r>
      <w:r>
        <w:rPr>
          <w:sz w:val="20"/>
          <w:szCs w:val="20"/>
          <w:rtl/>
        </w:rPr>
        <w:br/>
      </w:r>
      <w:r>
        <w:rPr>
          <w:rFonts w:hint="cs"/>
          <w:sz w:val="20"/>
          <w:szCs w:val="20"/>
          <w:rtl/>
        </w:rPr>
        <w:t xml:space="preserve">מסייג </w:t>
      </w:r>
      <w:r w:rsidRPr="00FF24F7">
        <w:rPr>
          <w:rFonts w:hint="cs"/>
          <w:b/>
          <w:bCs/>
          <w:sz w:val="20"/>
          <w:szCs w:val="20"/>
          <w:rtl/>
        </w:rPr>
        <w:t>הגה"מ</w:t>
      </w:r>
      <w:r>
        <w:rPr>
          <w:rFonts w:hint="cs"/>
          <w:sz w:val="20"/>
          <w:szCs w:val="20"/>
          <w:rtl/>
        </w:rPr>
        <w:t xml:space="preserve"> </w:t>
      </w:r>
      <w:r>
        <w:rPr>
          <w:sz w:val="20"/>
          <w:szCs w:val="20"/>
          <w:rtl/>
        </w:rPr>
        <w:t>–</w:t>
      </w:r>
      <w:r>
        <w:rPr>
          <w:rFonts w:hint="cs"/>
          <w:sz w:val="20"/>
          <w:szCs w:val="20"/>
          <w:rtl/>
        </w:rPr>
        <w:t xml:space="preserve"> אע"פ שאינה טמאה מחמת הבעילה, מכל מקום צריכה לבדוק עצמה במוך נקי.</w:t>
      </w:r>
      <w:r>
        <w:rPr>
          <w:sz w:val="20"/>
          <w:szCs w:val="20"/>
          <w:rtl/>
        </w:rPr>
        <w:br/>
      </w:r>
      <w:r>
        <w:rPr>
          <w:rFonts w:hint="cs"/>
          <w:sz w:val="20"/>
          <w:szCs w:val="20"/>
          <w:rtl/>
        </w:rPr>
        <w:br/>
        <w:t xml:space="preserve">הכרעת </w:t>
      </w:r>
      <w:r w:rsidRPr="00535D40">
        <w:rPr>
          <w:rFonts w:hint="cs"/>
          <w:b/>
          <w:bCs/>
          <w:sz w:val="20"/>
          <w:szCs w:val="20"/>
          <w:rtl/>
        </w:rPr>
        <w:t>הבית יוסף</w:t>
      </w:r>
      <w:r>
        <w:rPr>
          <w:rFonts w:hint="cs"/>
          <w:sz w:val="20"/>
          <w:szCs w:val="20"/>
          <w:rtl/>
        </w:rPr>
        <w:t xml:space="preserve"> </w:t>
      </w:r>
      <w:r>
        <w:rPr>
          <w:sz w:val="20"/>
          <w:szCs w:val="20"/>
          <w:rtl/>
        </w:rPr>
        <w:t>–</w:t>
      </w:r>
      <w:r>
        <w:rPr>
          <w:rFonts w:hint="cs"/>
          <w:sz w:val="20"/>
          <w:szCs w:val="20"/>
          <w:rtl/>
        </w:rPr>
        <w:t xml:space="preserve"> הלכה כרוב הראשונים שהחמירו בדין זה, משום שאי אפשר לחבורה בלא דם, אלא ודאי שכבת זרע חיפתה על הדם.</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 ערוך </w:t>
      </w:r>
      <w:r>
        <w:rPr>
          <w:sz w:val="20"/>
          <w:szCs w:val="20"/>
          <w:rtl/>
        </w:rPr>
        <w:t>–</w:t>
      </w:r>
      <w:r>
        <w:rPr>
          <w:rFonts w:hint="cs"/>
          <w:sz w:val="20"/>
          <w:szCs w:val="20"/>
          <w:rtl/>
        </w:rPr>
        <w:t xml:space="preserve"> "</w:t>
      </w:r>
      <w:r w:rsidRPr="00252A32">
        <w:rPr>
          <w:rFonts w:cs="Arial" w:hint="cs"/>
          <w:sz w:val="20"/>
          <w:szCs w:val="20"/>
          <w:rtl/>
        </w:rPr>
        <w:t>הכונס</w:t>
      </w:r>
      <w:r w:rsidRPr="00252A32">
        <w:rPr>
          <w:rFonts w:cs="Arial"/>
          <w:sz w:val="20"/>
          <w:szCs w:val="20"/>
          <w:rtl/>
        </w:rPr>
        <w:t xml:space="preserve"> </w:t>
      </w:r>
      <w:r w:rsidRPr="00252A32">
        <w:rPr>
          <w:rFonts w:cs="Arial" w:hint="cs"/>
          <w:sz w:val="20"/>
          <w:szCs w:val="20"/>
          <w:rtl/>
        </w:rPr>
        <w:t>את</w:t>
      </w:r>
      <w:r w:rsidRPr="00252A32">
        <w:rPr>
          <w:rFonts w:cs="Arial"/>
          <w:sz w:val="20"/>
          <w:szCs w:val="20"/>
          <w:rtl/>
        </w:rPr>
        <w:t xml:space="preserve"> </w:t>
      </w:r>
      <w:r w:rsidRPr="00252A32">
        <w:rPr>
          <w:rFonts w:cs="Arial" w:hint="cs"/>
          <w:sz w:val="20"/>
          <w:szCs w:val="20"/>
          <w:rtl/>
        </w:rPr>
        <w:t>הבתולה</w:t>
      </w:r>
      <w:r w:rsidRPr="00252A32">
        <w:rPr>
          <w:rFonts w:cs="Arial"/>
          <w:sz w:val="20"/>
          <w:szCs w:val="20"/>
          <w:rtl/>
        </w:rPr>
        <w:t xml:space="preserve">, </w:t>
      </w:r>
      <w:r w:rsidRPr="00252A32">
        <w:rPr>
          <w:rFonts w:cs="Arial" w:hint="cs"/>
          <w:sz w:val="20"/>
          <w:szCs w:val="20"/>
          <w:rtl/>
        </w:rPr>
        <w:t>בועל</w:t>
      </w:r>
      <w:r w:rsidRPr="00252A32">
        <w:rPr>
          <w:rFonts w:cs="Arial"/>
          <w:sz w:val="20"/>
          <w:szCs w:val="20"/>
          <w:rtl/>
        </w:rPr>
        <w:t xml:space="preserve"> </w:t>
      </w:r>
      <w:r w:rsidRPr="00252A32">
        <w:rPr>
          <w:rFonts w:cs="Arial" w:hint="cs"/>
          <w:sz w:val="20"/>
          <w:szCs w:val="20"/>
          <w:rtl/>
        </w:rPr>
        <w:t>בעילת</w:t>
      </w:r>
      <w:r w:rsidRPr="00252A32">
        <w:rPr>
          <w:rFonts w:cs="Arial"/>
          <w:sz w:val="20"/>
          <w:szCs w:val="20"/>
          <w:rtl/>
        </w:rPr>
        <w:t xml:space="preserve"> </w:t>
      </w:r>
      <w:r w:rsidRPr="00252A32">
        <w:rPr>
          <w:rFonts w:cs="Arial" w:hint="cs"/>
          <w:sz w:val="20"/>
          <w:szCs w:val="20"/>
          <w:rtl/>
        </w:rPr>
        <w:t>מצוה</w:t>
      </w:r>
      <w:r w:rsidRPr="00252A32">
        <w:rPr>
          <w:rFonts w:cs="Arial"/>
          <w:sz w:val="20"/>
          <w:szCs w:val="20"/>
          <w:rtl/>
        </w:rPr>
        <w:t xml:space="preserve"> </w:t>
      </w:r>
      <w:r w:rsidRPr="00252A32">
        <w:rPr>
          <w:rFonts w:cs="Arial" w:hint="cs"/>
          <w:sz w:val="20"/>
          <w:szCs w:val="20"/>
          <w:rtl/>
        </w:rPr>
        <w:t>וגומר</w:t>
      </w:r>
      <w:r w:rsidRPr="00252A32">
        <w:rPr>
          <w:rFonts w:cs="Arial"/>
          <w:sz w:val="20"/>
          <w:szCs w:val="20"/>
          <w:rtl/>
        </w:rPr>
        <w:t xml:space="preserve"> </w:t>
      </w:r>
      <w:r w:rsidRPr="00252A32">
        <w:rPr>
          <w:rFonts w:cs="Arial" w:hint="cs"/>
          <w:sz w:val="20"/>
          <w:szCs w:val="20"/>
          <w:rtl/>
        </w:rPr>
        <w:t>ביאתו</w:t>
      </w:r>
      <w:r w:rsidRPr="00252A32">
        <w:rPr>
          <w:rFonts w:cs="Arial"/>
          <w:sz w:val="20"/>
          <w:szCs w:val="20"/>
          <w:rtl/>
        </w:rPr>
        <w:t xml:space="preserve"> </w:t>
      </w:r>
      <w:r w:rsidRPr="00252A32">
        <w:rPr>
          <w:rFonts w:cs="Arial" w:hint="cs"/>
          <w:sz w:val="20"/>
          <w:szCs w:val="20"/>
          <w:rtl/>
        </w:rPr>
        <w:t>ופורש</w:t>
      </w:r>
      <w:r w:rsidRPr="00252A32">
        <w:rPr>
          <w:rFonts w:cs="Arial"/>
          <w:sz w:val="20"/>
          <w:szCs w:val="20"/>
          <w:rtl/>
        </w:rPr>
        <w:t xml:space="preserve"> </w:t>
      </w:r>
      <w:r w:rsidRPr="00252A32">
        <w:rPr>
          <w:rFonts w:cs="Arial" w:hint="cs"/>
          <w:sz w:val="20"/>
          <w:szCs w:val="20"/>
          <w:rtl/>
        </w:rPr>
        <w:t>מיד</w:t>
      </w:r>
      <w:r w:rsidRPr="00252A32">
        <w:rPr>
          <w:rFonts w:cs="Arial"/>
          <w:sz w:val="20"/>
          <w:szCs w:val="20"/>
          <w:rtl/>
        </w:rPr>
        <w:t xml:space="preserve">. </w:t>
      </w:r>
      <w:r w:rsidRPr="00252A32">
        <w:rPr>
          <w:rFonts w:cs="Arial" w:hint="cs"/>
          <w:sz w:val="20"/>
          <w:szCs w:val="20"/>
          <w:rtl/>
        </w:rPr>
        <w:t>אפילו</w:t>
      </w:r>
      <w:r w:rsidRPr="00252A32">
        <w:rPr>
          <w:rFonts w:cs="Arial"/>
          <w:sz w:val="20"/>
          <w:szCs w:val="20"/>
          <w:rtl/>
        </w:rPr>
        <w:t xml:space="preserve"> </w:t>
      </w:r>
      <w:r w:rsidRPr="00252A32">
        <w:rPr>
          <w:rFonts w:cs="Arial" w:hint="cs"/>
          <w:sz w:val="20"/>
          <w:szCs w:val="20"/>
          <w:rtl/>
        </w:rPr>
        <w:t>היא</w:t>
      </w:r>
      <w:r w:rsidRPr="00252A32">
        <w:rPr>
          <w:rFonts w:cs="Arial"/>
          <w:sz w:val="20"/>
          <w:szCs w:val="20"/>
          <w:rtl/>
        </w:rPr>
        <w:t xml:space="preserve"> </w:t>
      </w:r>
      <w:r w:rsidRPr="00252A32">
        <w:rPr>
          <w:rFonts w:cs="Arial" w:hint="cs"/>
          <w:sz w:val="20"/>
          <w:szCs w:val="20"/>
          <w:rtl/>
        </w:rPr>
        <w:t>קטנה</w:t>
      </w:r>
      <w:r w:rsidRPr="00252A32">
        <w:rPr>
          <w:rFonts w:cs="Arial"/>
          <w:sz w:val="20"/>
          <w:szCs w:val="20"/>
          <w:rtl/>
        </w:rPr>
        <w:t xml:space="preserve"> </w:t>
      </w:r>
      <w:r w:rsidRPr="00252A32">
        <w:rPr>
          <w:rFonts w:cs="Arial" w:hint="cs"/>
          <w:sz w:val="20"/>
          <w:szCs w:val="20"/>
          <w:rtl/>
        </w:rPr>
        <w:t>שלא</w:t>
      </w:r>
      <w:r w:rsidRPr="00252A32">
        <w:rPr>
          <w:rFonts w:cs="Arial"/>
          <w:sz w:val="20"/>
          <w:szCs w:val="20"/>
          <w:rtl/>
        </w:rPr>
        <w:t xml:space="preserve"> </w:t>
      </w:r>
      <w:r w:rsidRPr="00252A32">
        <w:rPr>
          <w:rFonts w:cs="Arial" w:hint="cs"/>
          <w:sz w:val="20"/>
          <w:szCs w:val="20"/>
          <w:rtl/>
        </w:rPr>
        <w:t>הגיע</w:t>
      </w:r>
      <w:r w:rsidRPr="00252A32">
        <w:rPr>
          <w:rFonts w:cs="Arial"/>
          <w:sz w:val="20"/>
          <w:szCs w:val="20"/>
          <w:rtl/>
        </w:rPr>
        <w:t xml:space="preserve"> </w:t>
      </w:r>
      <w:r w:rsidRPr="00252A32">
        <w:rPr>
          <w:rFonts w:cs="Arial" w:hint="cs"/>
          <w:sz w:val="20"/>
          <w:szCs w:val="20"/>
          <w:rtl/>
        </w:rPr>
        <w:t>זמנה</w:t>
      </w:r>
      <w:r w:rsidRPr="00252A32">
        <w:rPr>
          <w:rFonts w:cs="Arial"/>
          <w:sz w:val="20"/>
          <w:szCs w:val="20"/>
          <w:rtl/>
        </w:rPr>
        <w:t xml:space="preserve"> </w:t>
      </w:r>
      <w:r w:rsidRPr="00252A32">
        <w:rPr>
          <w:rFonts w:cs="Arial" w:hint="cs"/>
          <w:sz w:val="20"/>
          <w:szCs w:val="20"/>
          <w:rtl/>
        </w:rPr>
        <w:t>לראות</w:t>
      </w:r>
      <w:r w:rsidRPr="00252A32">
        <w:rPr>
          <w:rFonts w:cs="Arial"/>
          <w:sz w:val="20"/>
          <w:szCs w:val="20"/>
          <w:rtl/>
        </w:rPr>
        <w:t xml:space="preserve"> </w:t>
      </w:r>
      <w:r w:rsidRPr="00252A32">
        <w:rPr>
          <w:rFonts w:cs="Arial" w:hint="cs"/>
          <w:sz w:val="20"/>
          <w:szCs w:val="20"/>
          <w:rtl/>
        </w:rPr>
        <w:t>ולא</w:t>
      </w:r>
      <w:r w:rsidRPr="00252A32">
        <w:rPr>
          <w:rFonts w:cs="Arial"/>
          <w:sz w:val="20"/>
          <w:szCs w:val="20"/>
          <w:rtl/>
        </w:rPr>
        <w:t xml:space="preserve"> </w:t>
      </w:r>
      <w:r w:rsidRPr="00252A32">
        <w:rPr>
          <w:rFonts w:cs="Arial" w:hint="cs"/>
          <w:sz w:val="20"/>
          <w:szCs w:val="20"/>
          <w:rtl/>
        </w:rPr>
        <w:t>ראתה</w:t>
      </w:r>
      <w:r>
        <w:rPr>
          <w:rStyle w:val="a5"/>
          <w:rFonts w:cs="Arial"/>
          <w:sz w:val="20"/>
          <w:szCs w:val="20"/>
          <w:rtl/>
        </w:rPr>
        <w:footnoteReference w:id="399"/>
      </w:r>
      <w:r w:rsidRPr="00252A32">
        <w:rPr>
          <w:rFonts w:cs="Arial"/>
          <w:sz w:val="20"/>
          <w:szCs w:val="20"/>
          <w:rtl/>
        </w:rPr>
        <w:t xml:space="preserve">, </w:t>
      </w:r>
      <w:r w:rsidRPr="00252A32">
        <w:rPr>
          <w:rFonts w:cs="Arial" w:hint="cs"/>
          <w:sz w:val="20"/>
          <w:szCs w:val="20"/>
          <w:rtl/>
        </w:rPr>
        <w:t>ואפילו</w:t>
      </w:r>
      <w:r w:rsidRPr="00252A32">
        <w:rPr>
          <w:rFonts w:cs="Arial"/>
          <w:sz w:val="20"/>
          <w:szCs w:val="20"/>
          <w:rtl/>
        </w:rPr>
        <w:t xml:space="preserve"> </w:t>
      </w:r>
      <w:r w:rsidRPr="00252A32">
        <w:rPr>
          <w:rFonts w:cs="Arial" w:hint="cs"/>
          <w:sz w:val="20"/>
          <w:szCs w:val="20"/>
          <w:rtl/>
        </w:rPr>
        <w:t>בדקה</w:t>
      </w:r>
      <w:r w:rsidRPr="00252A32">
        <w:rPr>
          <w:rFonts w:cs="Arial"/>
          <w:sz w:val="20"/>
          <w:szCs w:val="20"/>
          <w:rtl/>
        </w:rPr>
        <w:t xml:space="preserve"> </w:t>
      </w:r>
      <w:r w:rsidRPr="00252A32">
        <w:rPr>
          <w:rFonts w:cs="Arial" w:hint="cs"/>
          <w:sz w:val="20"/>
          <w:szCs w:val="20"/>
          <w:rtl/>
        </w:rPr>
        <w:t>ולא</w:t>
      </w:r>
      <w:r w:rsidRPr="00252A32">
        <w:rPr>
          <w:rFonts w:cs="Arial"/>
          <w:sz w:val="20"/>
          <w:szCs w:val="20"/>
          <w:rtl/>
        </w:rPr>
        <w:t xml:space="preserve"> </w:t>
      </w:r>
      <w:r w:rsidRPr="00252A32">
        <w:rPr>
          <w:rFonts w:cs="Arial" w:hint="cs"/>
          <w:sz w:val="20"/>
          <w:szCs w:val="20"/>
          <w:rtl/>
        </w:rPr>
        <w:t>מצאה</w:t>
      </w:r>
      <w:r w:rsidRPr="00252A32">
        <w:rPr>
          <w:rFonts w:cs="Arial"/>
          <w:sz w:val="20"/>
          <w:szCs w:val="20"/>
          <w:rtl/>
        </w:rPr>
        <w:t xml:space="preserve"> </w:t>
      </w:r>
      <w:r w:rsidRPr="00252A32">
        <w:rPr>
          <w:rFonts w:cs="Arial" w:hint="cs"/>
          <w:sz w:val="20"/>
          <w:szCs w:val="20"/>
          <w:rtl/>
        </w:rPr>
        <w:t>דם</w:t>
      </w:r>
      <w:r w:rsidRPr="00252A32">
        <w:rPr>
          <w:rFonts w:cs="Arial"/>
          <w:sz w:val="20"/>
          <w:szCs w:val="20"/>
          <w:rtl/>
        </w:rPr>
        <w:t xml:space="preserve">, </w:t>
      </w:r>
      <w:r w:rsidRPr="00252A32">
        <w:rPr>
          <w:rFonts w:cs="Arial" w:hint="cs"/>
          <w:sz w:val="20"/>
          <w:szCs w:val="20"/>
          <w:rtl/>
        </w:rPr>
        <w:t>טמאה</w:t>
      </w:r>
      <w:r w:rsidRPr="00252A32">
        <w:rPr>
          <w:rFonts w:cs="Arial"/>
          <w:sz w:val="20"/>
          <w:szCs w:val="20"/>
          <w:rtl/>
        </w:rPr>
        <w:t xml:space="preserve"> </w:t>
      </w:r>
      <w:r w:rsidRPr="00252A32">
        <w:rPr>
          <w:rFonts w:cs="Arial" w:hint="cs"/>
          <w:sz w:val="20"/>
          <w:szCs w:val="20"/>
          <w:rtl/>
        </w:rPr>
        <w:t>שמא</w:t>
      </w:r>
      <w:r w:rsidRPr="00252A32">
        <w:rPr>
          <w:rFonts w:cs="Arial"/>
          <w:sz w:val="20"/>
          <w:szCs w:val="20"/>
          <w:rtl/>
        </w:rPr>
        <w:t xml:space="preserve"> </w:t>
      </w:r>
      <w:r w:rsidRPr="00252A32">
        <w:rPr>
          <w:rFonts w:cs="Arial" w:hint="cs"/>
          <w:sz w:val="20"/>
          <w:szCs w:val="20"/>
          <w:rtl/>
        </w:rPr>
        <w:t>ראתה</w:t>
      </w:r>
      <w:r w:rsidRPr="00252A32">
        <w:rPr>
          <w:rFonts w:cs="Arial"/>
          <w:sz w:val="20"/>
          <w:szCs w:val="20"/>
          <w:rtl/>
        </w:rPr>
        <w:t xml:space="preserve"> </w:t>
      </w:r>
      <w:r w:rsidRPr="00252A32">
        <w:rPr>
          <w:rFonts w:cs="Arial" w:hint="cs"/>
          <w:sz w:val="20"/>
          <w:szCs w:val="20"/>
          <w:rtl/>
        </w:rPr>
        <w:t>טיפת</w:t>
      </w:r>
      <w:r w:rsidRPr="00252A32">
        <w:rPr>
          <w:rFonts w:cs="Arial"/>
          <w:sz w:val="20"/>
          <w:szCs w:val="20"/>
          <w:rtl/>
        </w:rPr>
        <w:t xml:space="preserve"> </w:t>
      </w:r>
      <w:r w:rsidRPr="00252A32">
        <w:rPr>
          <w:rFonts w:cs="Arial" w:hint="cs"/>
          <w:sz w:val="20"/>
          <w:szCs w:val="20"/>
          <w:rtl/>
        </w:rPr>
        <w:t>דם</w:t>
      </w:r>
      <w:r w:rsidRPr="00252A32">
        <w:rPr>
          <w:rFonts w:cs="Arial"/>
          <w:sz w:val="20"/>
          <w:szCs w:val="20"/>
          <w:rtl/>
        </w:rPr>
        <w:t xml:space="preserve"> </w:t>
      </w:r>
      <w:r w:rsidRPr="00252A32">
        <w:rPr>
          <w:rFonts w:cs="Arial" w:hint="cs"/>
          <w:sz w:val="20"/>
          <w:szCs w:val="20"/>
          <w:rtl/>
        </w:rPr>
        <w:t>כחרדל</w:t>
      </w:r>
      <w:r w:rsidRPr="00252A32">
        <w:rPr>
          <w:rFonts w:cs="Arial"/>
          <w:sz w:val="20"/>
          <w:szCs w:val="20"/>
          <w:rtl/>
        </w:rPr>
        <w:t xml:space="preserve"> </w:t>
      </w:r>
      <w:r w:rsidRPr="00252A32">
        <w:rPr>
          <w:rFonts w:cs="Arial" w:hint="cs"/>
          <w:sz w:val="20"/>
          <w:szCs w:val="20"/>
          <w:rtl/>
        </w:rPr>
        <w:t>וחיפהו</w:t>
      </w:r>
      <w:r w:rsidRPr="00252A32">
        <w:rPr>
          <w:rFonts w:cs="Arial"/>
          <w:sz w:val="20"/>
          <w:szCs w:val="20"/>
          <w:rtl/>
        </w:rPr>
        <w:t xml:space="preserve"> </w:t>
      </w:r>
      <w:r w:rsidRPr="00252A32">
        <w:rPr>
          <w:rFonts w:cs="Arial" w:hint="cs"/>
          <w:sz w:val="20"/>
          <w:szCs w:val="20"/>
          <w:rtl/>
        </w:rPr>
        <w:t>שכבת</w:t>
      </w:r>
      <w:r w:rsidRPr="00252A32">
        <w:rPr>
          <w:rFonts w:cs="Arial"/>
          <w:sz w:val="20"/>
          <w:szCs w:val="20"/>
          <w:rtl/>
        </w:rPr>
        <w:t xml:space="preserve"> </w:t>
      </w:r>
      <w:r w:rsidRPr="00252A32">
        <w:rPr>
          <w:rFonts w:cs="Arial" w:hint="cs"/>
          <w:sz w:val="20"/>
          <w:szCs w:val="20"/>
          <w:rtl/>
        </w:rPr>
        <w:t>זרע</w:t>
      </w:r>
      <w:r w:rsidRPr="00252A32">
        <w:rPr>
          <w:rFonts w:cs="Arial"/>
          <w:sz w:val="20"/>
          <w:szCs w:val="20"/>
          <w:rtl/>
        </w:rPr>
        <w:t xml:space="preserve">. </w:t>
      </w:r>
      <w:r w:rsidRPr="00252A32">
        <w:rPr>
          <w:rFonts w:cs="Arial" w:hint="cs"/>
          <w:sz w:val="18"/>
          <w:szCs w:val="18"/>
          <w:rtl/>
        </w:rPr>
        <w:t>הגה</w:t>
      </w:r>
      <w:r w:rsidRPr="00252A32">
        <w:rPr>
          <w:rFonts w:cs="Arial"/>
          <w:sz w:val="18"/>
          <w:szCs w:val="18"/>
          <w:rtl/>
        </w:rPr>
        <w:t xml:space="preserve">: </w:t>
      </w:r>
      <w:r w:rsidRPr="00252A32">
        <w:rPr>
          <w:rFonts w:cs="Arial" w:hint="cs"/>
          <w:sz w:val="18"/>
          <w:szCs w:val="18"/>
          <w:rtl/>
        </w:rPr>
        <w:t>ויש</w:t>
      </w:r>
      <w:r w:rsidRPr="00252A32">
        <w:rPr>
          <w:rFonts w:cs="Arial"/>
          <w:sz w:val="18"/>
          <w:szCs w:val="18"/>
          <w:rtl/>
        </w:rPr>
        <w:t xml:space="preserve"> </w:t>
      </w:r>
      <w:r w:rsidRPr="00252A32">
        <w:rPr>
          <w:rFonts w:cs="Arial" w:hint="cs"/>
          <w:sz w:val="18"/>
          <w:szCs w:val="18"/>
          <w:rtl/>
        </w:rPr>
        <w:t>מקילין</w:t>
      </w:r>
      <w:r w:rsidRPr="00252A32">
        <w:rPr>
          <w:rFonts w:cs="Arial"/>
          <w:sz w:val="18"/>
          <w:szCs w:val="18"/>
          <w:rtl/>
        </w:rPr>
        <w:t xml:space="preserve"> </w:t>
      </w:r>
      <w:r w:rsidRPr="00252A32">
        <w:rPr>
          <w:rFonts w:cs="Arial" w:hint="cs"/>
          <w:sz w:val="18"/>
          <w:szCs w:val="18"/>
          <w:rtl/>
        </w:rPr>
        <w:t>אם</w:t>
      </w:r>
      <w:r w:rsidRPr="00252A32">
        <w:rPr>
          <w:rFonts w:cs="Arial"/>
          <w:sz w:val="18"/>
          <w:szCs w:val="18"/>
          <w:rtl/>
        </w:rPr>
        <w:t xml:space="preserve"> </w:t>
      </w:r>
      <w:r w:rsidRPr="00252A32">
        <w:rPr>
          <w:rFonts w:cs="Arial" w:hint="cs"/>
          <w:sz w:val="18"/>
          <w:szCs w:val="18"/>
          <w:rtl/>
        </w:rPr>
        <w:t>לא</w:t>
      </w:r>
      <w:r w:rsidRPr="00252A32">
        <w:rPr>
          <w:rFonts w:cs="Arial"/>
          <w:sz w:val="18"/>
          <w:szCs w:val="18"/>
          <w:rtl/>
        </w:rPr>
        <w:t xml:space="preserve"> </w:t>
      </w:r>
      <w:r w:rsidRPr="00252A32">
        <w:rPr>
          <w:rFonts w:cs="Arial" w:hint="cs"/>
          <w:sz w:val="18"/>
          <w:szCs w:val="18"/>
          <w:rtl/>
        </w:rPr>
        <w:t>ראתה</w:t>
      </w:r>
      <w:r w:rsidRPr="00252A32">
        <w:rPr>
          <w:rFonts w:cs="Arial"/>
          <w:sz w:val="18"/>
          <w:szCs w:val="18"/>
          <w:rtl/>
        </w:rPr>
        <w:t xml:space="preserve"> </w:t>
      </w:r>
      <w:r w:rsidRPr="00252A32">
        <w:rPr>
          <w:rFonts w:cs="Arial" w:hint="cs"/>
          <w:sz w:val="18"/>
          <w:szCs w:val="18"/>
          <w:rtl/>
        </w:rPr>
        <w:t>דם</w:t>
      </w:r>
      <w:r w:rsidRPr="00252A32">
        <w:rPr>
          <w:rFonts w:cs="Arial"/>
          <w:sz w:val="18"/>
          <w:szCs w:val="18"/>
          <w:rtl/>
        </w:rPr>
        <w:t xml:space="preserve">. </w:t>
      </w:r>
      <w:r w:rsidRPr="00252A32">
        <w:rPr>
          <w:rFonts w:cs="Arial" w:hint="cs"/>
          <w:sz w:val="18"/>
          <w:szCs w:val="18"/>
          <w:rtl/>
        </w:rPr>
        <w:t>ונהגו</w:t>
      </w:r>
      <w:r w:rsidRPr="00252A32">
        <w:rPr>
          <w:rFonts w:cs="Arial"/>
          <w:sz w:val="18"/>
          <w:szCs w:val="18"/>
          <w:rtl/>
        </w:rPr>
        <w:t xml:space="preserve"> </w:t>
      </w:r>
      <w:r w:rsidRPr="00252A32">
        <w:rPr>
          <w:rFonts w:cs="Arial" w:hint="cs"/>
          <w:sz w:val="18"/>
          <w:szCs w:val="18"/>
          <w:rtl/>
        </w:rPr>
        <w:t>להקל</w:t>
      </w:r>
      <w:r w:rsidRPr="00252A32">
        <w:rPr>
          <w:rFonts w:cs="Arial"/>
          <w:sz w:val="18"/>
          <w:szCs w:val="18"/>
          <w:rtl/>
        </w:rPr>
        <w:t xml:space="preserve"> </w:t>
      </w:r>
      <w:r w:rsidRPr="00252A32">
        <w:rPr>
          <w:rFonts w:cs="Arial" w:hint="cs"/>
          <w:sz w:val="18"/>
          <w:szCs w:val="18"/>
          <w:rtl/>
        </w:rPr>
        <w:t>אם</w:t>
      </w:r>
      <w:r w:rsidRPr="00252A32">
        <w:rPr>
          <w:rFonts w:cs="Arial"/>
          <w:sz w:val="18"/>
          <w:szCs w:val="18"/>
          <w:rtl/>
        </w:rPr>
        <w:t xml:space="preserve"> </w:t>
      </w:r>
      <w:r w:rsidRPr="00252A32">
        <w:rPr>
          <w:rFonts w:cs="Arial" w:hint="cs"/>
          <w:sz w:val="18"/>
          <w:szCs w:val="18"/>
          <w:rtl/>
        </w:rPr>
        <w:t>לא</w:t>
      </w:r>
      <w:r w:rsidRPr="00252A32">
        <w:rPr>
          <w:rFonts w:cs="Arial"/>
          <w:sz w:val="18"/>
          <w:szCs w:val="18"/>
          <w:rtl/>
        </w:rPr>
        <w:t xml:space="preserve"> </w:t>
      </w:r>
      <w:r w:rsidRPr="00252A32">
        <w:rPr>
          <w:rFonts w:cs="Arial" w:hint="cs"/>
          <w:sz w:val="18"/>
          <w:szCs w:val="18"/>
          <w:rtl/>
        </w:rPr>
        <w:t>גמר</w:t>
      </w:r>
      <w:r w:rsidRPr="00252A32">
        <w:rPr>
          <w:rFonts w:cs="Arial"/>
          <w:sz w:val="18"/>
          <w:szCs w:val="18"/>
          <w:rtl/>
        </w:rPr>
        <w:t xml:space="preserve"> </w:t>
      </w:r>
      <w:r w:rsidRPr="00252A32">
        <w:rPr>
          <w:rFonts w:cs="Arial" w:hint="cs"/>
          <w:sz w:val="18"/>
          <w:szCs w:val="18"/>
          <w:rtl/>
        </w:rPr>
        <w:t>ביאה</w:t>
      </w:r>
      <w:r w:rsidRPr="00252A32">
        <w:rPr>
          <w:rFonts w:cs="Arial"/>
          <w:sz w:val="18"/>
          <w:szCs w:val="18"/>
          <w:rtl/>
        </w:rPr>
        <w:t xml:space="preserve"> </w:t>
      </w:r>
      <w:r w:rsidRPr="00252A32">
        <w:rPr>
          <w:rFonts w:cs="Arial" w:hint="cs"/>
          <w:sz w:val="18"/>
          <w:szCs w:val="18"/>
          <w:rtl/>
        </w:rPr>
        <w:t>רק</w:t>
      </w:r>
      <w:r w:rsidRPr="00252A32">
        <w:rPr>
          <w:rFonts w:cs="Arial"/>
          <w:sz w:val="18"/>
          <w:szCs w:val="18"/>
          <w:rtl/>
        </w:rPr>
        <w:t xml:space="preserve"> </w:t>
      </w:r>
      <w:r w:rsidRPr="00252A32">
        <w:rPr>
          <w:rFonts w:cs="Arial" w:hint="cs"/>
          <w:sz w:val="18"/>
          <w:szCs w:val="18"/>
          <w:rtl/>
        </w:rPr>
        <w:t>הערה</w:t>
      </w:r>
      <w:r w:rsidRPr="00252A32">
        <w:rPr>
          <w:rFonts w:cs="Arial"/>
          <w:sz w:val="18"/>
          <w:szCs w:val="18"/>
          <w:rtl/>
        </w:rPr>
        <w:t xml:space="preserve"> </w:t>
      </w:r>
      <w:r w:rsidRPr="00252A32">
        <w:rPr>
          <w:rFonts w:cs="Arial" w:hint="cs"/>
          <w:sz w:val="18"/>
          <w:szCs w:val="18"/>
          <w:rtl/>
        </w:rPr>
        <w:t>בה</w:t>
      </w:r>
      <w:r w:rsidRPr="00252A32">
        <w:rPr>
          <w:rFonts w:cs="Arial"/>
          <w:sz w:val="18"/>
          <w:szCs w:val="18"/>
          <w:rtl/>
        </w:rPr>
        <w:t xml:space="preserve"> </w:t>
      </w:r>
      <w:r w:rsidRPr="00252A32">
        <w:rPr>
          <w:rFonts w:cs="Arial" w:hint="cs"/>
          <w:sz w:val="18"/>
          <w:szCs w:val="18"/>
          <w:rtl/>
        </w:rPr>
        <w:t>ולא</w:t>
      </w:r>
      <w:r w:rsidRPr="00252A32">
        <w:rPr>
          <w:rFonts w:cs="Arial"/>
          <w:sz w:val="18"/>
          <w:szCs w:val="18"/>
          <w:rtl/>
        </w:rPr>
        <w:t xml:space="preserve"> </w:t>
      </w:r>
      <w:r w:rsidRPr="00252A32">
        <w:rPr>
          <w:rFonts w:cs="Arial" w:hint="cs"/>
          <w:sz w:val="18"/>
          <w:szCs w:val="18"/>
          <w:rtl/>
        </w:rPr>
        <w:t>ראתה</w:t>
      </w:r>
      <w:r w:rsidRPr="00252A32">
        <w:rPr>
          <w:rFonts w:cs="Arial"/>
          <w:sz w:val="18"/>
          <w:szCs w:val="18"/>
          <w:rtl/>
        </w:rPr>
        <w:t xml:space="preserve"> </w:t>
      </w:r>
      <w:r w:rsidRPr="00252A32">
        <w:rPr>
          <w:rFonts w:cs="Arial" w:hint="cs"/>
          <w:sz w:val="18"/>
          <w:szCs w:val="18"/>
          <w:rtl/>
        </w:rPr>
        <w:t>דם</w:t>
      </w:r>
      <w:r w:rsidRPr="00252A32">
        <w:rPr>
          <w:rFonts w:cs="Arial"/>
          <w:sz w:val="18"/>
          <w:szCs w:val="18"/>
          <w:rtl/>
        </w:rPr>
        <w:t xml:space="preserve">; </w:t>
      </w:r>
      <w:r w:rsidRPr="00252A32">
        <w:rPr>
          <w:rFonts w:cs="Arial" w:hint="cs"/>
          <w:sz w:val="18"/>
          <w:szCs w:val="18"/>
          <w:rtl/>
        </w:rPr>
        <w:t>אבל</w:t>
      </w:r>
      <w:r w:rsidRPr="00252A32">
        <w:rPr>
          <w:rFonts w:cs="Arial"/>
          <w:sz w:val="18"/>
          <w:szCs w:val="18"/>
          <w:rtl/>
        </w:rPr>
        <w:t xml:space="preserve"> </w:t>
      </w:r>
      <w:r w:rsidRPr="00252A32">
        <w:rPr>
          <w:rFonts w:cs="Arial" w:hint="cs"/>
          <w:sz w:val="18"/>
          <w:szCs w:val="18"/>
          <w:rtl/>
        </w:rPr>
        <w:t>אם</w:t>
      </w:r>
      <w:r w:rsidRPr="00252A32">
        <w:rPr>
          <w:rFonts w:cs="Arial"/>
          <w:sz w:val="18"/>
          <w:szCs w:val="18"/>
          <w:rtl/>
        </w:rPr>
        <w:t xml:space="preserve"> </w:t>
      </w:r>
      <w:r w:rsidRPr="00252A32">
        <w:rPr>
          <w:rFonts w:cs="Arial" w:hint="cs"/>
          <w:sz w:val="18"/>
          <w:szCs w:val="18"/>
          <w:rtl/>
        </w:rPr>
        <w:t>בא</w:t>
      </w:r>
      <w:r w:rsidRPr="00252A32">
        <w:rPr>
          <w:rFonts w:cs="Arial"/>
          <w:sz w:val="18"/>
          <w:szCs w:val="18"/>
          <w:rtl/>
        </w:rPr>
        <w:t xml:space="preserve"> </w:t>
      </w:r>
      <w:r w:rsidRPr="00252A32">
        <w:rPr>
          <w:rFonts w:cs="Arial" w:hint="cs"/>
          <w:sz w:val="18"/>
          <w:szCs w:val="18"/>
          <w:rtl/>
        </w:rPr>
        <w:t>עליה</w:t>
      </w:r>
      <w:r w:rsidRPr="00252A32">
        <w:rPr>
          <w:rFonts w:cs="Arial"/>
          <w:sz w:val="18"/>
          <w:szCs w:val="18"/>
          <w:rtl/>
        </w:rPr>
        <w:t xml:space="preserve"> </w:t>
      </w:r>
      <w:r w:rsidRPr="00252A32">
        <w:rPr>
          <w:rFonts w:cs="Arial" w:hint="cs"/>
          <w:sz w:val="18"/>
          <w:szCs w:val="18"/>
          <w:rtl/>
        </w:rPr>
        <w:t>ביאה</w:t>
      </w:r>
      <w:r w:rsidRPr="00252A32">
        <w:rPr>
          <w:rFonts w:cs="Arial"/>
          <w:sz w:val="18"/>
          <w:szCs w:val="18"/>
          <w:rtl/>
        </w:rPr>
        <w:t xml:space="preserve"> </w:t>
      </w:r>
      <w:r w:rsidRPr="00252A32">
        <w:rPr>
          <w:rFonts w:cs="Arial" w:hint="cs"/>
          <w:sz w:val="18"/>
          <w:szCs w:val="18"/>
          <w:rtl/>
        </w:rPr>
        <w:t>ממש</w:t>
      </w:r>
      <w:r w:rsidRPr="00252A32">
        <w:rPr>
          <w:rFonts w:cs="Arial"/>
          <w:sz w:val="18"/>
          <w:szCs w:val="18"/>
          <w:rtl/>
        </w:rPr>
        <w:t xml:space="preserve">, </w:t>
      </w:r>
      <w:r w:rsidRPr="00252A32">
        <w:rPr>
          <w:rFonts w:cs="Arial" w:hint="cs"/>
          <w:sz w:val="18"/>
          <w:szCs w:val="18"/>
          <w:rtl/>
        </w:rPr>
        <w:t>צריך</w:t>
      </w:r>
      <w:r w:rsidRPr="00252A32">
        <w:rPr>
          <w:rFonts w:cs="Arial"/>
          <w:sz w:val="18"/>
          <w:szCs w:val="18"/>
          <w:rtl/>
        </w:rPr>
        <w:t xml:space="preserve"> </w:t>
      </w:r>
      <w:r w:rsidRPr="00252A32">
        <w:rPr>
          <w:rFonts w:cs="Arial" w:hint="cs"/>
          <w:sz w:val="18"/>
          <w:szCs w:val="18"/>
          <w:rtl/>
        </w:rPr>
        <w:t>לפרוש</w:t>
      </w:r>
      <w:r w:rsidRPr="00252A32">
        <w:rPr>
          <w:rFonts w:cs="Arial"/>
          <w:sz w:val="18"/>
          <w:szCs w:val="18"/>
          <w:rtl/>
        </w:rPr>
        <w:t xml:space="preserve"> </w:t>
      </w:r>
      <w:r w:rsidRPr="00252A32">
        <w:rPr>
          <w:rFonts w:cs="Arial" w:hint="cs"/>
          <w:sz w:val="18"/>
          <w:szCs w:val="18"/>
          <w:rtl/>
        </w:rPr>
        <w:t>ממנה</w:t>
      </w:r>
      <w:r w:rsidRPr="00252A32">
        <w:rPr>
          <w:rFonts w:cs="Arial"/>
          <w:sz w:val="18"/>
          <w:szCs w:val="18"/>
          <w:rtl/>
        </w:rPr>
        <w:t xml:space="preserve"> </w:t>
      </w:r>
      <w:r w:rsidRPr="00252A32">
        <w:rPr>
          <w:rFonts w:cs="Arial" w:hint="cs"/>
          <w:sz w:val="18"/>
          <w:szCs w:val="18"/>
          <w:rtl/>
        </w:rPr>
        <w:t>אף</w:t>
      </w:r>
      <w:r w:rsidRPr="00252A32">
        <w:rPr>
          <w:rFonts w:cs="Arial"/>
          <w:sz w:val="18"/>
          <w:szCs w:val="18"/>
          <w:rtl/>
        </w:rPr>
        <w:t xml:space="preserve"> </w:t>
      </w:r>
      <w:r w:rsidRPr="00252A32">
        <w:rPr>
          <w:rFonts w:cs="Arial" w:hint="cs"/>
          <w:sz w:val="18"/>
          <w:szCs w:val="18"/>
          <w:rtl/>
        </w:rPr>
        <w:t>על</w:t>
      </w:r>
      <w:r w:rsidRPr="00252A32">
        <w:rPr>
          <w:rFonts w:cs="Arial"/>
          <w:sz w:val="18"/>
          <w:szCs w:val="18"/>
          <w:rtl/>
        </w:rPr>
        <w:t xml:space="preserve"> </w:t>
      </w:r>
      <w:r w:rsidRPr="00252A32">
        <w:rPr>
          <w:rFonts w:cs="Arial" w:hint="cs"/>
          <w:sz w:val="18"/>
          <w:szCs w:val="18"/>
          <w:rtl/>
        </w:rPr>
        <w:t>פי</w:t>
      </w:r>
      <w:r w:rsidRPr="00252A32">
        <w:rPr>
          <w:rFonts w:cs="Arial"/>
          <w:sz w:val="18"/>
          <w:szCs w:val="18"/>
          <w:rtl/>
        </w:rPr>
        <w:t xml:space="preserve"> </w:t>
      </w:r>
      <w:r w:rsidRPr="00252A32">
        <w:rPr>
          <w:rFonts w:cs="Arial" w:hint="cs"/>
          <w:sz w:val="18"/>
          <w:szCs w:val="18"/>
          <w:rtl/>
        </w:rPr>
        <w:t>שלא</w:t>
      </w:r>
      <w:r w:rsidRPr="00252A32">
        <w:rPr>
          <w:rFonts w:cs="Arial"/>
          <w:sz w:val="18"/>
          <w:szCs w:val="18"/>
          <w:rtl/>
        </w:rPr>
        <w:t xml:space="preserve"> </w:t>
      </w:r>
      <w:r w:rsidRPr="00252A32">
        <w:rPr>
          <w:rFonts w:cs="Arial" w:hint="cs"/>
          <w:sz w:val="18"/>
          <w:szCs w:val="18"/>
          <w:rtl/>
        </w:rPr>
        <w:t>ראתה</w:t>
      </w:r>
      <w:r w:rsidRPr="00252A32">
        <w:rPr>
          <w:rFonts w:cs="Arial"/>
          <w:sz w:val="18"/>
          <w:szCs w:val="18"/>
          <w:rtl/>
        </w:rPr>
        <w:t xml:space="preserve"> </w:t>
      </w:r>
      <w:r w:rsidRPr="00252A32">
        <w:rPr>
          <w:rFonts w:cs="Arial" w:hint="cs"/>
          <w:sz w:val="18"/>
          <w:szCs w:val="18"/>
          <w:rtl/>
        </w:rPr>
        <w:t>דם</w:t>
      </w:r>
      <w:r w:rsidRPr="00252A32">
        <w:rPr>
          <w:rFonts w:cs="Arial"/>
          <w:sz w:val="18"/>
          <w:szCs w:val="18"/>
          <w:rtl/>
        </w:rPr>
        <w:t xml:space="preserve">. </w:t>
      </w:r>
      <w:r w:rsidRPr="00252A32">
        <w:rPr>
          <w:rFonts w:cs="Arial" w:hint="cs"/>
          <w:sz w:val="18"/>
          <w:szCs w:val="18"/>
          <w:rtl/>
        </w:rPr>
        <w:t>ובעל</w:t>
      </w:r>
      <w:r w:rsidRPr="00252A32">
        <w:rPr>
          <w:rFonts w:cs="Arial"/>
          <w:sz w:val="18"/>
          <w:szCs w:val="18"/>
          <w:rtl/>
        </w:rPr>
        <w:t xml:space="preserve"> </w:t>
      </w:r>
      <w:r w:rsidRPr="00252A32">
        <w:rPr>
          <w:rFonts w:cs="Arial" w:hint="cs"/>
          <w:sz w:val="18"/>
          <w:szCs w:val="18"/>
          <w:rtl/>
        </w:rPr>
        <w:t>נפש</w:t>
      </w:r>
      <w:r w:rsidRPr="00252A32">
        <w:rPr>
          <w:rFonts w:cs="Arial"/>
          <w:sz w:val="18"/>
          <w:szCs w:val="18"/>
          <w:rtl/>
        </w:rPr>
        <w:t xml:space="preserve"> </w:t>
      </w:r>
      <w:r w:rsidRPr="00252A32">
        <w:rPr>
          <w:rFonts w:cs="Arial" w:hint="cs"/>
          <w:sz w:val="18"/>
          <w:szCs w:val="18"/>
          <w:rtl/>
        </w:rPr>
        <w:t>יחוש</w:t>
      </w:r>
      <w:r w:rsidRPr="00252A32">
        <w:rPr>
          <w:rFonts w:cs="Arial"/>
          <w:sz w:val="18"/>
          <w:szCs w:val="18"/>
          <w:rtl/>
        </w:rPr>
        <w:t xml:space="preserve"> </w:t>
      </w:r>
      <w:r w:rsidRPr="00252A32">
        <w:rPr>
          <w:rFonts w:cs="Arial" w:hint="cs"/>
          <w:sz w:val="18"/>
          <w:szCs w:val="18"/>
          <w:rtl/>
        </w:rPr>
        <w:t>לעצמו</w:t>
      </w:r>
      <w:r w:rsidRPr="00252A32">
        <w:rPr>
          <w:rFonts w:cs="Arial"/>
          <w:sz w:val="18"/>
          <w:szCs w:val="18"/>
          <w:rtl/>
        </w:rPr>
        <w:t xml:space="preserve"> </w:t>
      </w:r>
      <w:r w:rsidRPr="00252A32">
        <w:rPr>
          <w:rFonts w:cs="Arial" w:hint="cs"/>
          <w:sz w:val="18"/>
          <w:szCs w:val="18"/>
          <w:rtl/>
        </w:rPr>
        <w:t>שלא</w:t>
      </w:r>
      <w:r w:rsidRPr="00252A32">
        <w:rPr>
          <w:rFonts w:cs="Arial"/>
          <w:sz w:val="18"/>
          <w:szCs w:val="18"/>
          <w:rtl/>
        </w:rPr>
        <w:t xml:space="preserve"> </w:t>
      </w:r>
      <w:r w:rsidRPr="00252A32">
        <w:rPr>
          <w:rFonts w:cs="Arial" w:hint="cs"/>
          <w:sz w:val="18"/>
          <w:szCs w:val="18"/>
          <w:rtl/>
        </w:rPr>
        <w:t>לשחוק</w:t>
      </w:r>
      <w:r w:rsidRPr="00252A32">
        <w:rPr>
          <w:rFonts w:cs="Arial"/>
          <w:sz w:val="18"/>
          <w:szCs w:val="18"/>
          <w:rtl/>
        </w:rPr>
        <w:t xml:space="preserve"> </w:t>
      </w:r>
      <w:r w:rsidRPr="00252A32">
        <w:rPr>
          <w:rFonts w:cs="Arial" w:hint="cs"/>
          <w:sz w:val="18"/>
          <w:szCs w:val="18"/>
          <w:rtl/>
        </w:rPr>
        <w:t>בתינוקות".</w:t>
      </w:r>
    </w:p>
    <w:p w:rsidR="00620060" w:rsidRDefault="00620060" w:rsidP="00620060">
      <w:pPr>
        <w:rPr>
          <w:sz w:val="20"/>
          <w:szCs w:val="20"/>
          <w:rtl/>
        </w:rPr>
      </w:pPr>
      <w:r>
        <w:rPr>
          <w:rFonts w:hint="cs"/>
          <w:sz w:val="20"/>
          <w:szCs w:val="20"/>
          <w:u w:val="single"/>
          <w:rtl/>
        </w:rPr>
        <w:t>פרטים והסבר בדברי המחבר</w:t>
      </w:r>
      <w:r>
        <w:rPr>
          <w:sz w:val="20"/>
          <w:szCs w:val="20"/>
          <w:u w:val="single"/>
          <w:rtl/>
        </w:rPr>
        <w:br/>
      </w:r>
      <w:r>
        <w:rPr>
          <w:rFonts w:hint="cs"/>
          <w:sz w:val="20"/>
          <w:szCs w:val="20"/>
          <w:rtl/>
        </w:rPr>
        <w:t xml:space="preserve">א. 'וגומר ביאתו' </w:t>
      </w:r>
      <w:r>
        <w:rPr>
          <w:sz w:val="20"/>
          <w:szCs w:val="20"/>
          <w:rtl/>
        </w:rPr>
        <w:t>–</w:t>
      </w:r>
      <w:r>
        <w:rPr>
          <w:rFonts w:hint="cs"/>
          <w:sz w:val="20"/>
          <w:szCs w:val="20"/>
          <w:rtl/>
        </w:rPr>
        <w:t xml:space="preserve"> אפילו אם הדם שותת ויורד, והוא הדין שרשאי לפרוש באבר חי וא"צ להמתין שימות, </w:t>
      </w:r>
      <w:r>
        <w:rPr>
          <w:rFonts w:hint="cs"/>
          <w:b/>
          <w:bCs/>
          <w:sz w:val="20"/>
          <w:szCs w:val="20"/>
          <w:rtl/>
        </w:rPr>
        <w:t>ש"ך</w:t>
      </w:r>
      <w:r>
        <w:rPr>
          <w:rFonts w:hint="cs"/>
          <w:sz w:val="20"/>
          <w:szCs w:val="20"/>
          <w:rtl/>
        </w:rPr>
        <w:t>.</w:t>
      </w:r>
      <w:r>
        <w:rPr>
          <w:sz w:val="20"/>
          <w:szCs w:val="20"/>
          <w:rtl/>
        </w:rPr>
        <w:br/>
      </w:r>
      <w:r>
        <w:rPr>
          <w:rFonts w:hint="cs"/>
          <w:sz w:val="20"/>
          <w:szCs w:val="20"/>
          <w:rtl/>
        </w:rPr>
        <w:t xml:space="preserve">ב. 'וחיפהו שכבת זרע' </w:t>
      </w:r>
      <w:r>
        <w:rPr>
          <w:sz w:val="20"/>
          <w:szCs w:val="20"/>
          <w:rtl/>
        </w:rPr>
        <w:t>–</w:t>
      </w:r>
      <w:r>
        <w:rPr>
          <w:rFonts w:hint="cs"/>
          <w:sz w:val="20"/>
          <w:szCs w:val="20"/>
          <w:rtl/>
        </w:rPr>
        <w:t xml:space="preserve"> לכאורה קשה מדוע הוצרך לומר טעם זה, לעיל בסימן קצב' לגבי דם חימוד כתב טעם אחר, זו לשונו: "</w:t>
      </w:r>
      <w:r w:rsidRPr="009A7754">
        <w:rPr>
          <w:rFonts w:cs="Arial" w:hint="cs"/>
          <w:sz w:val="20"/>
          <w:szCs w:val="20"/>
          <w:rtl/>
        </w:rPr>
        <w:t>ואפילו</w:t>
      </w:r>
      <w:r w:rsidRPr="009A7754">
        <w:rPr>
          <w:rFonts w:cs="Arial"/>
          <w:sz w:val="20"/>
          <w:szCs w:val="20"/>
          <w:rtl/>
        </w:rPr>
        <w:t xml:space="preserve"> </w:t>
      </w:r>
      <w:r w:rsidRPr="009A7754">
        <w:rPr>
          <w:rFonts w:cs="Arial" w:hint="cs"/>
          <w:sz w:val="20"/>
          <w:szCs w:val="20"/>
          <w:rtl/>
        </w:rPr>
        <w:t>בדקה</w:t>
      </w:r>
      <w:r w:rsidRPr="009A7754">
        <w:rPr>
          <w:rFonts w:cs="Arial"/>
          <w:sz w:val="20"/>
          <w:szCs w:val="20"/>
          <w:rtl/>
        </w:rPr>
        <w:t xml:space="preserve"> </w:t>
      </w:r>
      <w:r w:rsidRPr="009A7754">
        <w:rPr>
          <w:rFonts w:cs="Arial" w:hint="cs"/>
          <w:sz w:val="20"/>
          <w:szCs w:val="20"/>
          <w:rtl/>
        </w:rPr>
        <w:t>עצמה</w:t>
      </w:r>
      <w:r w:rsidRPr="009A7754">
        <w:rPr>
          <w:rFonts w:cs="Arial"/>
          <w:sz w:val="20"/>
          <w:szCs w:val="20"/>
          <w:rtl/>
        </w:rPr>
        <w:t xml:space="preserve"> </w:t>
      </w:r>
      <w:r w:rsidRPr="009A7754">
        <w:rPr>
          <w:rFonts w:cs="Arial" w:hint="cs"/>
          <w:sz w:val="20"/>
          <w:szCs w:val="20"/>
          <w:rtl/>
        </w:rPr>
        <w:t>בשעת</w:t>
      </w:r>
      <w:r w:rsidRPr="009A7754">
        <w:rPr>
          <w:rFonts w:cs="Arial"/>
          <w:sz w:val="20"/>
          <w:szCs w:val="20"/>
          <w:rtl/>
        </w:rPr>
        <w:t xml:space="preserve"> </w:t>
      </w:r>
      <w:r w:rsidRPr="009A7754">
        <w:rPr>
          <w:rFonts w:cs="Arial" w:hint="cs"/>
          <w:sz w:val="20"/>
          <w:szCs w:val="20"/>
          <w:rtl/>
        </w:rPr>
        <w:t>תביעה</w:t>
      </w:r>
      <w:r w:rsidRPr="009A7754">
        <w:rPr>
          <w:rFonts w:cs="Arial"/>
          <w:sz w:val="20"/>
          <w:szCs w:val="20"/>
          <w:rtl/>
        </w:rPr>
        <w:t xml:space="preserve"> </w:t>
      </w:r>
      <w:r w:rsidRPr="009A7754">
        <w:rPr>
          <w:rFonts w:cs="Arial" w:hint="cs"/>
          <w:sz w:val="20"/>
          <w:szCs w:val="20"/>
          <w:rtl/>
        </w:rPr>
        <w:t>ומצאה</w:t>
      </w:r>
      <w:r w:rsidRPr="009A7754">
        <w:rPr>
          <w:rFonts w:cs="Arial"/>
          <w:sz w:val="20"/>
          <w:szCs w:val="20"/>
          <w:rtl/>
        </w:rPr>
        <w:t xml:space="preserve"> </w:t>
      </w:r>
      <w:r w:rsidRPr="009A7754">
        <w:rPr>
          <w:rFonts w:cs="Arial" w:hint="cs"/>
          <w:sz w:val="20"/>
          <w:szCs w:val="20"/>
          <w:rtl/>
        </w:rPr>
        <w:t>טהורה</w:t>
      </w:r>
      <w:r w:rsidRPr="009A7754">
        <w:rPr>
          <w:rFonts w:cs="Arial"/>
          <w:sz w:val="20"/>
          <w:szCs w:val="20"/>
          <w:rtl/>
        </w:rPr>
        <w:t xml:space="preserve">, </w:t>
      </w:r>
      <w:r w:rsidRPr="009A7754">
        <w:rPr>
          <w:rFonts w:cs="Arial" w:hint="cs"/>
          <w:sz w:val="20"/>
          <w:szCs w:val="20"/>
          <w:rtl/>
        </w:rPr>
        <w:t>שמא</w:t>
      </w:r>
      <w:r w:rsidRPr="009A7754">
        <w:rPr>
          <w:rFonts w:cs="Arial"/>
          <w:sz w:val="20"/>
          <w:szCs w:val="20"/>
          <w:rtl/>
        </w:rPr>
        <w:t xml:space="preserve"> </w:t>
      </w:r>
      <w:r w:rsidRPr="009A7754">
        <w:rPr>
          <w:rFonts w:cs="Arial" w:hint="cs"/>
          <w:sz w:val="20"/>
          <w:szCs w:val="20"/>
          <w:rtl/>
        </w:rPr>
        <w:t>מחמת</w:t>
      </w:r>
      <w:r w:rsidRPr="009A7754">
        <w:rPr>
          <w:rFonts w:cs="Arial"/>
          <w:sz w:val="20"/>
          <w:szCs w:val="20"/>
          <w:rtl/>
        </w:rPr>
        <w:t xml:space="preserve"> </w:t>
      </w:r>
      <w:r w:rsidRPr="009A7754">
        <w:rPr>
          <w:rFonts w:cs="Arial" w:hint="cs"/>
          <w:sz w:val="20"/>
          <w:szCs w:val="20"/>
          <w:rtl/>
        </w:rPr>
        <w:t>חימוד</w:t>
      </w:r>
      <w:r w:rsidRPr="009A7754">
        <w:rPr>
          <w:rFonts w:cs="Arial"/>
          <w:sz w:val="20"/>
          <w:szCs w:val="20"/>
          <w:rtl/>
        </w:rPr>
        <w:t xml:space="preserve"> </w:t>
      </w:r>
      <w:r w:rsidRPr="009A7754">
        <w:rPr>
          <w:rFonts w:cs="Arial" w:hint="cs"/>
          <w:sz w:val="20"/>
          <w:szCs w:val="20"/>
          <w:rtl/>
        </w:rPr>
        <w:t>ראתה</w:t>
      </w:r>
      <w:r w:rsidRPr="009A7754">
        <w:rPr>
          <w:rFonts w:cs="Arial"/>
          <w:sz w:val="20"/>
          <w:szCs w:val="20"/>
          <w:rtl/>
        </w:rPr>
        <w:t xml:space="preserve"> </w:t>
      </w:r>
      <w:r w:rsidRPr="009A7754">
        <w:rPr>
          <w:rFonts w:cs="Arial" w:hint="cs"/>
          <w:sz w:val="20"/>
          <w:szCs w:val="20"/>
          <w:rtl/>
        </w:rPr>
        <w:t>טיפת</w:t>
      </w:r>
      <w:r w:rsidRPr="009A7754">
        <w:rPr>
          <w:rFonts w:cs="Arial"/>
          <w:sz w:val="20"/>
          <w:szCs w:val="20"/>
          <w:rtl/>
        </w:rPr>
        <w:t xml:space="preserve"> </w:t>
      </w:r>
      <w:r w:rsidRPr="009A7754">
        <w:rPr>
          <w:rFonts w:cs="Arial" w:hint="cs"/>
          <w:sz w:val="20"/>
          <w:szCs w:val="20"/>
          <w:rtl/>
        </w:rPr>
        <w:t>דם</w:t>
      </w:r>
      <w:r w:rsidRPr="009A7754">
        <w:rPr>
          <w:rFonts w:cs="Arial"/>
          <w:sz w:val="20"/>
          <w:szCs w:val="20"/>
          <w:rtl/>
        </w:rPr>
        <w:t xml:space="preserve"> </w:t>
      </w:r>
      <w:r w:rsidRPr="009A7754">
        <w:rPr>
          <w:rFonts w:cs="Arial" w:hint="cs"/>
          <w:sz w:val="20"/>
          <w:szCs w:val="20"/>
          <w:rtl/>
        </w:rPr>
        <w:t>כחרדל</w:t>
      </w:r>
      <w:r w:rsidRPr="009A7754">
        <w:rPr>
          <w:rFonts w:cs="Arial"/>
          <w:sz w:val="20"/>
          <w:szCs w:val="20"/>
          <w:rtl/>
        </w:rPr>
        <w:t xml:space="preserve"> </w:t>
      </w:r>
      <w:r w:rsidRPr="009A7754">
        <w:rPr>
          <w:rFonts w:cs="Arial" w:hint="cs"/>
          <w:sz w:val="20"/>
          <w:szCs w:val="20"/>
          <w:u w:val="single"/>
          <w:rtl/>
        </w:rPr>
        <w:t>ולא</w:t>
      </w:r>
      <w:r w:rsidRPr="009A7754">
        <w:rPr>
          <w:rFonts w:cs="Arial"/>
          <w:sz w:val="20"/>
          <w:szCs w:val="20"/>
          <w:u w:val="single"/>
          <w:rtl/>
        </w:rPr>
        <w:t xml:space="preserve"> </w:t>
      </w:r>
      <w:r w:rsidRPr="009A7754">
        <w:rPr>
          <w:rFonts w:cs="Arial" w:hint="cs"/>
          <w:sz w:val="20"/>
          <w:szCs w:val="20"/>
          <w:u w:val="single"/>
          <w:rtl/>
        </w:rPr>
        <w:t>הרגישה</w:t>
      </w:r>
      <w:r w:rsidRPr="009A7754">
        <w:rPr>
          <w:rFonts w:cs="Arial"/>
          <w:sz w:val="20"/>
          <w:szCs w:val="20"/>
          <w:u w:val="single"/>
          <w:rtl/>
        </w:rPr>
        <w:t xml:space="preserve"> </w:t>
      </w:r>
      <w:r w:rsidRPr="009A7754">
        <w:rPr>
          <w:rFonts w:cs="Arial" w:hint="cs"/>
          <w:sz w:val="20"/>
          <w:szCs w:val="20"/>
          <w:u w:val="single"/>
          <w:rtl/>
        </w:rPr>
        <w:t>בו</w:t>
      </w:r>
      <w:r>
        <w:rPr>
          <w:rFonts w:cs="Arial" w:hint="cs"/>
          <w:sz w:val="20"/>
          <w:szCs w:val="20"/>
          <w:rtl/>
        </w:rPr>
        <w:t>".</w:t>
      </w:r>
      <w:r>
        <w:rPr>
          <w:sz w:val="20"/>
          <w:szCs w:val="20"/>
          <w:rtl/>
        </w:rPr>
        <w:br/>
      </w:r>
      <w:r>
        <w:rPr>
          <w:rFonts w:hint="cs"/>
          <w:sz w:val="20"/>
          <w:szCs w:val="20"/>
          <w:rtl/>
        </w:rPr>
        <w:t xml:space="preserve">מיישב </w:t>
      </w:r>
      <w:r w:rsidRPr="008314A6">
        <w:rPr>
          <w:rFonts w:hint="cs"/>
          <w:b/>
          <w:bCs/>
          <w:sz w:val="20"/>
          <w:szCs w:val="20"/>
          <w:rtl/>
        </w:rPr>
        <w:t>הט"ז</w:t>
      </w:r>
      <w:r>
        <w:rPr>
          <w:rFonts w:hint="cs"/>
          <w:sz w:val="20"/>
          <w:szCs w:val="20"/>
          <w:rtl/>
        </w:rPr>
        <w:t xml:space="preserve"> </w:t>
      </w:r>
      <w:r>
        <w:rPr>
          <w:sz w:val="20"/>
          <w:szCs w:val="20"/>
          <w:rtl/>
        </w:rPr>
        <w:t>–</w:t>
      </w:r>
      <w:r>
        <w:rPr>
          <w:rFonts w:hint="cs"/>
          <w:sz w:val="20"/>
          <w:szCs w:val="20"/>
          <w:rtl/>
        </w:rPr>
        <w:t xml:space="preserve"> התם מדובר שהיא הולכת אנה ואנה ולכן ייתכן שראתה דם אך אין אפשרות לבדוק זאת, לעומת זאת כאן מדובר שהיא שוכבת במיטה ואם כן ניתן לבדוק במיטתה אם יש דם! לכן כתב האי טעמא.</w:t>
      </w:r>
    </w:p>
    <w:p w:rsidR="00620060" w:rsidRPr="006F1C7A" w:rsidRDefault="00620060" w:rsidP="00620060">
      <w:pPr>
        <w:rPr>
          <w:sz w:val="20"/>
          <w:szCs w:val="20"/>
        </w:rPr>
      </w:pPr>
      <w:r>
        <w:rPr>
          <w:rFonts w:hint="cs"/>
          <w:sz w:val="20"/>
          <w:szCs w:val="20"/>
          <w:u w:val="single"/>
          <w:rtl/>
        </w:rPr>
        <w:t>פרטים והסבר בדברי הרמ"א</w:t>
      </w:r>
      <w:r>
        <w:rPr>
          <w:sz w:val="20"/>
          <w:szCs w:val="20"/>
          <w:u w:val="single"/>
          <w:rtl/>
        </w:rPr>
        <w:br/>
      </w:r>
      <w:r>
        <w:rPr>
          <w:rFonts w:hint="cs"/>
          <w:sz w:val="20"/>
          <w:szCs w:val="20"/>
          <w:rtl/>
        </w:rPr>
        <w:t xml:space="preserve">העראה </w:t>
      </w:r>
      <w:r>
        <w:rPr>
          <w:sz w:val="20"/>
          <w:szCs w:val="20"/>
          <w:rtl/>
        </w:rPr>
        <w:t>–</w:t>
      </w:r>
      <w:r>
        <w:rPr>
          <w:rFonts w:hint="cs"/>
          <w:sz w:val="20"/>
          <w:szCs w:val="20"/>
          <w:rtl/>
        </w:rPr>
        <w:t xml:space="preserve"> לשון הרמב"ם (איסו"ב, א, י): "המכניס ראש העטרה בלבד הוא הנקרא מערה".</w:t>
      </w:r>
      <w:r>
        <w:rPr>
          <w:rStyle w:val="a5"/>
          <w:sz w:val="20"/>
          <w:szCs w:val="20"/>
          <w:rtl/>
        </w:rPr>
        <w:footnoteReference w:id="400"/>
      </w:r>
      <w:r>
        <w:rPr>
          <w:sz w:val="20"/>
          <w:szCs w:val="20"/>
          <w:rtl/>
        </w:rPr>
        <w:br/>
      </w:r>
      <w:r w:rsidRPr="00DF67BE">
        <w:rPr>
          <w:rFonts w:hint="cs"/>
          <w:b/>
          <w:bCs/>
          <w:sz w:val="20"/>
          <w:szCs w:val="20"/>
          <w:rtl/>
        </w:rPr>
        <w:t>בד</w:t>
      </w:r>
      <w:r>
        <w:rPr>
          <w:rFonts w:hint="cs"/>
          <w:b/>
          <w:bCs/>
          <w:sz w:val="20"/>
          <w:szCs w:val="20"/>
          <w:rtl/>
        </w:rPr>
        <w:t>י ה</w:t>
      </w:r>
      <w:r w:rsidRPr="00DF67BE">
        <w:rPr>
          <w:rFonts w:hint="cs"/>
          <w:b/>
          <w:bCs/>
          <w:sz w:val="20"/>
          <w:szCs w:val="20"/>
          <w:rtl/>
        </w:rPr>
        <w:t>ש</w:t>
      </w:r>
      <w:r>
        <w:rPr>
          <w:rFonts w:hint="cs"/>
          <w:b/>
          <w:bCs/>
          <w:sz w:val="20"/>
          <w:szCs w:val="20"/>
          <w:rtl/>
        </w:rPr>
        <w:t>ולחן</w:t>
      </w:r>
      <w:r>
        <w:rPr>
          <w:rFonts w:hint="cs"/>
          <w:sz w:val="20"/>
          <w:szCs w:val="20"/>
          <w:rtl/>
        </w:rPr>
        <w:t xml:space="preserve"> - אפילו אם הכניס יותר מקרי מערה, וביאה גמורה היא רק בהכנסת כל האבר. </w:t>
      </w:r>
      <w:r>
        <w:rPr>
          <w:sz w:val="20"/>
          <w:szCs w:val="20"/>
          <w:rtl/>
        </w:rPr>
        <w:br/>
      </w:r>
      <w:r>
        <w:rPr>
          <w:rFonts w:hint="cs"/>
          <w:sz w:val="20"/>
          <w:szCs w:val="20"/>
          <w:rtl/>
        </w:rPr>
        <w:t xml:space="preserve">ולכן </w:t>
      </w:r>
      <w:r>
        <w:rPr>
          <w:sz w:val="20"/>
          <w:szCs w:val="20"/>
          <w:rtl/>
        </w:rPr>
        <w:t>–</w:t>
      </w:r>
      <w:r>
        <w:rPr>
          <w:rFonts w:hint="cs"/>
          <w:sz w:val="20"/>
          <w:szCs w:val="20"/>
          <w:rtl/>
        </w:rPr>
        <w:t xml:space="preserve"> אם ברור לו שלא גמר ביאתו והיא לא מצאה דם, לא נאסרו.</w:t>
      </w:r>
      <w:r>
        <w:rPr>
          <w:rStyle w:val="a5"/>
          <w:sz w:val="20"/>
          <w:szCs w:val="20"/>
          <w:rtl/>
        </w:rPr>
        <w:footnoteReference w:id="401"/>
      </w:r>
      <w:r>
        <w:rPr>
          <w:sz w:val="20"/>
          <w:szCs w:val="20"/>
          <w:rtl/>
        </w:rPr>
        <w:br/>
      </w:r>
    </w:p>
    <w:p w:rsidR="00620060" w:rsidRDefault="00620060" w:rsidP="00620060">
      <w:pPr>
        <w:pStyle w:val="1"/>
        <w:rPr>
          <w:sz w:val="22"/>
          <w:szCs w:val="22"/>
          <w:rtl/>
        </w:rPr>
      </w:pPr>
      <w:r w:rsidRPr="0061562F">
        <w:rPr>
          <w:rFonts w:hint="cs"/>
          <w:sz w:val="22"/>
          <w:szCs w:val="22"/>
          <w:rtl/>
        </w:rPr>
        <w:t>ב. דין הטהרה לאחר הב</w:t>
      </w:r>
      <w:r>
        <w:rPr>
          <w:rFonts w:hint="cs"/>
          <w:sz w:val="22"/>
          <w:szCs w:val="22"/>
          <w:rtl/>
        </w:rPr>
        <w:t>יא</w:t>
      </w:r>
      <w:r w:rsidRPr="0061562F">
        <w:rPr>
          <w:rFonts w:hint="cs"/>
          <w:sz w:val="22"/>
          <w:szCs w:val="22"/>
          <w:rtl/>
        </w:rPr>
        <w:t>ה</w:t>
      </w:r>
    </w:p>
    <w:p w:rsidR="00620060" w:rsidRDefault="00620060" w:rsidP="00620060">
      <w:pPr>
        <w:rPr>
          <w:sz w:val="20"/>
          <w:szCs w:val="20"/>
          <w:rtl/>
        </w:rPr>
      </w:pPr>
      <w:r>
        <w:rPr>
          <w:rFonts w:hint="cs"/>
          <w:b/>
          <w:bCs/>
          <w:sz w:val="20"/>
          <w:szCs w:val="20"/>
          <w:rtl/>
        </w:rPr>
        <w:t xml:space="preserve">שיטות הראשונים </w:t>
      </w:r>
      <w:r>
        <w:rPr>
          <w:rFonts w:hint="cs"/>
          <w:b/>
          <w:bCs/>
          <w:sz w:val="20"/>
          <w:szCs w:val="20"/>
          <w:rtl/>
        </w:rPr>
        <w:br/>
      </w:r>
      <w:r>
        <w:rPr>
          <w:rFonts w:hint="cs"/>
          <w:sz w:val="20"/>
          <w:szCs w:val="20"/>
          <w:rtl/>
        </w:rPr>
        <w:t xml:space="preserve">א. </w:t>
      </w:r>
      <w:r w:rsidRPr="00D51173">
        <w:rPr>
          <w:rFonts w:hint="cs"/>
          <w:b/>
          <w:bCs/>
          <w:sz w:val="20"/>
          <w:szCs w:val="20"/>
          <w:rtl/>
        </w:rPr>
        <w:t>הגה"מ</w:t>
      </w:r>
      <w:r>
        <w:rPr>
          <w:rFonts w:hint="cs"/>
          <w:sz w:val="20"/>
          <w:szCs w:val="20"/>
          <w:rtl/>
        </w:rPr>
        <w:t xml:space="preserve"> </w:t>
      </w:r>
      <w:r w:rsidRPr="00D51173">
        <w:rPr>
          <w:rFonts w:hint="cs"/>
          <w:b/>
          <w:bCs/>
          <w:sz w:val="20"/>
          <w:szCs w:val="20"/>
          <w:rtl/>
        </w:rPr>
        <w:t>בדעת הרמב"ם</w:t>
      </w:r>
      <w:r w:rsidRPr="009C7455">
        <w:rPr>
          <w:rStyle w:val="a5"/>
          <w:sz w:val="20"/>
          <w:szCs w:val="20"/>
          <w:rtl/>
        </w:rPr>
        <w:footnoteReference w:id="402"/>
      </w:r>
      <w:r w:rsidRPr="009C7455">
        <w:rPr>
          <w:rFonts w:hint="cs"/>
          <w:sz w:val="20"/>
          <w:szCs w:val="20"/>
          <w:rtl/>
        </w:rPr>
        <w:t xml:space="preserve"> </w:t>
      </w:r>
      <w:r>
        <w:rPr>
          <w:sz w:val="20"/>
          <w:szCs w:val="20"/>
          <w:rtl/>
        </w:rPr>
        <w:t>–</w:t>
      </w:r>
      <w:r>
        <w:rPr>
          <w:rFonts w:hint="cs"/>
          <w:sz w:val="20"/>
          <w:szCs w:val="20"/>
          <w:rtl/>
        </w:rPr>
        <w:t xml:space="preserve"> מייד לאחר הביאה מונה ז' נקיים ואינה צריכה להמתין עד שתפלוט ש"ז.</w:t>
      </w:r>
      <w:r>
        <w:rPr>
          <w:sz w:val="20"/>
          <w:szCs w:val="20"/>
          <w:rtl/>
        </w:rPr>
        <w:br/>
      </w:r>
      <w:r>
        <w:rPr>
          <w:rFonts w:hint="cs"/>
          <w:sz w:val="20"/>
          <w:szCs w:val="20"/>
          <w:rtl/>
        </w:rPr>
        <w:lastRenderedPageBreak/>
        <w:t xml:space="preserve">ב. </w:t>
      </w:r>
      <w:r w:rsidRPr="00D51173">
        <w:rPr>
          <w:rFonts w:hint="cs"/>
          <w:b/>
          <w:bCs/>
          <w:sz w:val="20"/>
          <w:szCs w:val="20"/>
          <w:rtl/>
        </w:rPr>
        <w:t>תרומה</w:t>
      </w:r>
      <w:r>
        <w:rPr>
          <w:rFonts w:hint="cs"/>
          <w:sz w:val="20"/>
          <w:szCs w:val="20"/>
          <w:rtl/>
        </w:rPr>
        <w:t xml:space="preserve">, </w:t>
      </w:r>
      <w:r w:rsidRPr="00D51173">
        <w:rPr>
          <w:rFonts w:hint="cs"/>
          <w:b/>
          <w:bCs/>
          <w:sz w:val="20"/>
          <w:szCs w:val="20"/>
          <w:rtl/>
        </w:rPr>
        <w:t>סמ"ק</w:t>
      </w:r>
      <w:r>
        <w:rPr>
          <w:rFonts w:hint="cs"/>
          <w:sz w:val="20"/>
          <w:szCs w:val="20"/>
          <w:rtl/>
        </w:rPr>
        <w:t xml:space="preserve">, </w:t>
      </w:r>
      <w:r w:rsidRPr="00D51173">
        <w:rPr>
          <w:rFonts w:hint="cs"/>
          <w:b/>
          <w:bCs/>
          <w:sz w:val="20"/>
          <w:szCs w:val="20"/>
          <w:rtl/>
        </w:rPr>
        <w:t xml:space="preserve">סמ"ק וטור </w:t>
      </w:r>
      <w:r>
        <w:rPr>
          <w:sz w:val="20"/>
          <w:szCs w:val="20"/>
          <w:rtl/>
        </w:rPr>
        <w:t>–</w:t>
      </w:r>
      <w:r>
        <w:rPr>
          <w:rFonts w:hint="cs"/>
          <w:sz w:val="20"/>
          <w:szCs w:val="20"/>
          <w:rtl/>
        </w:rPr>
        <w:t xml:space="preserve"> מונה רק לאחר ארבעה ימים לשימושה </w:t>
      </w:r>
      <w:r w:rsidRPr="00D51173">
        <w:rPr>
          <w:rFonts w:hint="cs"/>
          <w:sz w:val="18"/>
          <w:szCs w:val="18"/>
          <w:rtl/>
        </w:rPr>
        <w:t xml:space="preserve">(יום ה' </w:t>
      </w:r>
      <w:r>
        <w:rPr>
          <w:rFonts w:hint="cs"/>
          <w:sz w:val="18"/>
          <w:szCs w:val="18"/>
          <w:rtl/>
        </w:rPr>
        <w:t>אחר ה</w:t>
      </w:r>
      <w:r w:rsidRPr="00D51173">
        <w:rPr>
          <w:rFonts w:hint="cs"/>
          <w:sz w:val="18"/>
          <w:szCs w:val="18"/>
          <w:rtl/>
        </w:rPr>
        <w:t>תשמיש הוא היום הראשון</w:t>
      </w:r>
      <w:r>
        <w:rPr>
          <w:rFonts w:hint="cs"/>
          <w:sz w:val="18"/>
          <w:szCs w:val="18"/>
          <w:rtl/>
        </w:rPr>
        <w:t xml:space="preserve"> לנקיים</w:t>
      </w:r>
      <w:r w:rsidRPr="00D51173">
        <w:rPr>
          <w:rFonts w:hint="cs"/>
          <w:sz w:val="18"/>
          <w:szCs w:val="18"/>
          <w:rtl/>
        </w:rPr>
        <w:t>)</w:t>
      </w:r>
      <w:r w:rsidRPr="00A729EB">
        <w:rPr>
          <w:rFonts w:hint="cs"/>
          <w:sz w:val="20"/>
          <w:szCs w:val="20"/>
          <w:rtl/>
        </w:rPr>
        <w:t xml:space="preserve">, וכ"פ </w:t>
      </w:r>
      <w:r w:rsidRPr="00A729EB">
        <w:rPr>
          <w:rFonts w:hint="cs"/>
          <w:b/>
          <w:bCs/>
          <w:sz w:val="20"/>
          <w:szCs w:val="20"/>
          <w:rtl/>
        </w:rPr>
        <w:t>המחבר</w:t>
      </w:r>
      <w:r w:rsidRPr="00A729EB">
        <w:rPr>
          <w:rFonts w:hint="cs"/>
          <w:sz w:val="20"/>
          <w:szCs w:val="20"/>
          <w:rtl/>
        </w:rPr>
        <w:t xml:space="preserve">. </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9C7455">
        <w:rPr>
          <w:rFonts w:cs="Arial" w:hint="cs"/>
          <w:sz w:val="20"/>
          <w:szCs w:val="20"/>
          <w:rtl/>
        </w:rPr>
        <w:t>וצריכה</w:t>
      </w:r>
      <w:r w:rsidRPr="009C7455">
        <w:rPr>
          <w:rFonts w:cs="Arial"/>
          <w:sz w:val="20"/>
          <w:szCs w:val="20"/>
          <w:rtl/>
        </w:rPr>
        <w:t xml:space="preserve"> </w:t>
      </w:r>
      <w:r w:rsidRPr="009C7455">
        <w:rPr>
          <w:rFonts w:cs="Arial" w:hint="cs"/>
          <w:sz w:val="20"/>
          <w:szCs w:val="20"/>
          <w:rtl/>
        </w:rPr>
        <w:t>שתפסוק</w:t>
      </w:r>
      <w:r w:rsidRPr="009C7455">
        <w:rPr>
          <w:rFonts w:cs="Arial"/>
          <w:sz w:val="20"/>
          <w:szCs w:val="20"/>
          <w:rtl/>
        </w:rPr>
        <w:t xml:space="preserve"> </w:t>
      </w:r>
      <w:r w:rsidRPr="009C7455">
        <w:rPr>
          <w:rFonts w:cs="Arial" w:hint="cs"/>
          <w:sz w:val="20"/>
          <w:szCs w:val="20"/>
          <w:rtl/>
        </w:rPr>
        <w:t>בטהרה</w:t>
      </w:r>
      <w:r w:rsidRPr="009C7455">
        <w:rPr>
          <w:rFonts w:cs="Arial"/>
          <w:sz w:val="20"/>
          <w:szCs w:val="20"/>
          <w:rtl/>
        </w:rPr>
        <w:t xml:space="preserve"> </w:t>
      </w:r>
      <w:r w:rsidRPr="009C7455">
        <w:rPr>
          <w:rFonts w:cs="Arial" w:hint="cs"/>
          <w:sz w:val="20"/>
          <w:szCs w:val="20"/>
          <w:rtl/>
        </w:rPr>
        <w:t>ותבדוק</w:t>
      </w:r>
      <w:r w:rsidRPr="009C7455">
        <w:rPr>
          <w:rFonts w:cs="Arial"/>
          <w:sz w:val="20"/>
          <w:szCs w:val="20"/>
          <w:rtl/>
        </w:rPr>
        <w:t xml:space="preserve"> </w:t>
      </w:r>
      <w:r w:rsidRPr="009C7455">
        <w:rPr>
          <w:rFonts w:cs="Arial" w:hint="cs"/>
          <w:sz w:val="20"/>
          <w:szCs w:val="20"/>
          <w:rtl/>
        </w:rPr>
        <w:t>כל</w:t>
      </w:r>
      <w:r w:rsidRPr="009C7455">
        <w:rPr>
          <w:rFonts w:cs="Arial"/>
          <w:sz w:val="20"/>
          <w:szCs w:val="20"/>
          <w:rtl/>
        </w:rPr>
        <w:t xml:space="preserve"> </w:t>
      </w:r>
      <w:r w:rsidRPr="009C7455">
        <w:rPr>
          <w:rFonts w:cs="Arial" w:hint="cs"/>
          <w:sz w:val="20"/>
          <w:szCs w:val="20"/>
          <w:rtl/>
        </w:rPr>
        <w:t>שבעה</w:t>
      </w:r>
      <w:r w:rsidRPr="009C7455">
        <w:rPr>
          <w:rFonts w:cs="Arial"/>
          <w:sz w:val="20"/>
          <w:szCs w:val="20"/>
          <w:rtl/>
        </w:rPr>
        <w:t xml:space="preserve">, </w:t>
      </w:r>
      <w:r w:rsidRPr="009C7455">
        <w:rPr>
          <w:rFonts w:cs="Arial" w:hint="cs"/>
          <w:sz w:val="20"/>
          <w:szCs w:val="20"/>
          <w:rtl/>
        </w:rPr>
        <w:t>ולא</w:t>
      </w:r>
      <w:r w:rsidRPr="009C7455">
        <w:rPr>
          <w:rFonts w:cs="Arial"/>
          <w:sz w:val="20"/>
          <w:szCs w:val="20"/>
          <w:rtl/>
        </w:rPr>
        <w:t xml:space="preserve"> </w:t>
      </w:r>
      <w:r w:rsidRPr="009C7455">
        <w:rPr>
          <w:rFonts w:cs="Arial" w:hint="cs"/>
          <w:sz w:val="20"/>
          <w:szCs w:val="20"/>
          <w:rtl/>
        </w:rPr>
        <w:t>תתחיל</w:t>
      </w:r>
      <w:r w:rsidRPr="009C7455">
        <w:rPr>
          <w:rFonts w:cs="Arial"/>
          <w:sz w:val="20"/>
          <w:szCs w:val="20"/>
          <w:rtl/>
        </w:rPr>
        <w:t xml:space="preserve"> </w:t>
      </w:r>
      <w:r w:rsidRPr="009C7455">
        <w:rPr>
          <w:rFonts w:cs="Arial" w:hint="cs"/>
          <w:sz w:val="20"/>
          <w:szCs w:val="20"/>
          <w:rtl/>
        </w:rPr>
        <w:t>למנות</w:t>
      </w:r>
      <w:r w:rsidRPr="009C7455">
        <w:rPr>
          <w:rFonts w:cs="Arial"/>
          <w:sz w:val="20"/>
          <w:szCs w:val="20"/>
          <w:rtl/>
        </w:rPr>
        <w:t xml:space="preserve"> </w:t>
      </w:r>
      <w:r w:rsidRPr="009C7455">
        <w:rPr>
          <w:rFonts w:cs="Arial" w:hint="cs"/>
          <w:sz w:val="20"/>
          <w:szCs w:val="20"/>
          <w:rtl/>
        </w:rPr>
        <w:t>עד</w:t>
      </w:r>
      <w:r w:rsidRPr="009C7455">
        <w:rPr>
          <w:rFonts w:cs="Arial"/>
          <w:sz w:val="20"/>
          <w:szCs w:val="20"/>
          <w:rtl/>
        </w:rPr>
        <w:t xml:space="preserve"> </w:t>
      </w:r>
      <w:r w:rsidRPr="009C7455">
        <w:rPr>
          <w:rFonts w:cs="Arial" w:hint="cs"/>
          <w:sz w:val="20"/>
          <w:szCs w:val="20"/>
          <w:rtl/>
        </w:rPr>
        <w:t>יום</w:t>
      </w:r>
      <w:r w:rsidRPr="009C7455">
        <w:rPr>
          <w:rFonts w:cs="Arial"/>
          <w:sz w:val="20"/>
          <w:szCs w:val="20"/>
          <w:rtl/>
        </w:rPr>
        <w:t xml:space="preserve"> </w:t>
      </w:r>
      <w:r w:rsidRPr="009C7455">
        <w:rPr>
          <w:rFonts w:cs="Arial" w:hint="cs"/>
          <w:sz w:val="20"/>
          <w:szCs w:val="20"/>
          <w:rtl/>
        </w:rPr>
        <w:t>ה</w:t>
      </w:r>
      <w:r w:rsidRPr="009C7455">
        <w:rPr>
          <w:rFonts w:cs="Arial"/>
          <w:sz w:val="20"/>
          <w:szCs w:val="20"/>
          <w:rtl/>
        </w:rPr>
        <w:t xml:space="preserve">' </w:t>
      </w:r>
      <w:r w:rsidRPr="009C7455">
        <w:rPr>
          <w:rFonts w:cs="Arial" w:hint="cs"/>
          <w:sz w:val="20"/>
          <w:szCs w:val="20"/>
          <w:rtl/>
        </w:rPr>
        <w:t>לשימושה</w:t>
      </w:r>
      <w:r>
        <w:rPr>
          <w:rFonts w:cs="Arial" w:hint="cs"/>
          <w:sz w:val="20"/>
          <w:szCs w:val="20"/>
          <w:rtl/>
        </w:rPr>
        <w:t>".</w:t>
      </w:r>
      <w:r>
        <w:rPr>
          <w:sz w:val="20"/>
          <w:szCs w:val="20"/>
          <w:rtl/>
        </w:rPr>
        <w:br/>
      </w:r>
      <w:r w:rsidRPr="007D42B9">
        <w:rPr>
          <w:rFonts w:hint="cs"/>
          <w:b/>
          <w:bCs/>
          <w:sz w:val="20"/>
          <w:szCs w:val="20"/>
          <w:rtl/>
        </w:rPr>
        <w:t>טהרת הבית</w:t>
      </w:r>
      <w:r>
        <w:rPr>
          <w:rFonts w:hint="cs"/>
          <w:sz w:val="20"/>
          <w:szCs w:val="20"/>
          <w:rtl/>
        </w:rPr>
        <w:t xml:space="preserve"> </w:t>
      </w:r>
      <w:r w:rsidRPr="007D42B9">
        <w:rPr>
          <w:rFonts w:hint="cs"/>
          <w:sz w:val="18"/>
          <w:szCs w:val="18"/>
          <w:rtl/>
        </w:rPr>
        <w:t xml:space="preserve">(סימן י, ג) </w:t>
      </w:r>
      <w:r>
        <w:rPr>
          <w:sz w:val="20"/>
          <w:szCs w:val="20"/>
          <w:rtl/>
        </w:rPr>
        <w:t>–</w:t>
      </w:r>
      <w:r>
        <w:rPr>
          <w:rFonts w:hint="cs"/>
          <w:sz w:val="20"/>
          <w:szCs w:val="20"/>
          <w:rtl/>
        </w:rPr>
        <w:t xml:space="preserve"> בדיעבד אם בדקה עצמה רק פעם אחת בז' נקיים, מהני.</w:t>
      </w:r>
    </w:p>
    <w:p w:rsidR="00620060" w:rsidRPr="00E11552" w:rsidRDefault="00620060" w:rsidP="00620060">
      <w:pPr>
        <w:rPr>
          <w:sz w:val="20"/>
          <w:szCs w:val="20"/>
          <w:rtl/>
        </w:rPr>
      </w:pPr>
      <w:r>
        <w:rPr>
          <w:rFonts w:hint="cs"/>
          <w:sz w:val="20"/>
          <w:szCs w:val="20"/>
          <w:u w:val="single"/>
          <w:rtl/>
        </w:rPr>
        <w:t>שיטת הרמ"א (ט"ז)</w:t>
      </w:r>
      <w:r>
        <w:rPr>
          <w:sz w:val="20"/>
          <w:szCs w:val="20"/>
          <w:u w:val="single"/>
          <w:rtl/>
        </w:rPr>
        <w:br/>
      </w:r>
      <w:r w:rsidRPr="00A15322">
        <w:rPr>
          <w:rFonts w:hint="cs"/>
          <w:b/>
          <w:bCs/>
          <w:sz w:val="20"/>
          <w:szCs w:val="20"/>
          <w:rtl/>
        </w:rPr>
        <w:t>מהר"ל</w:t>
      </w:r>
      <w:r>
        <w:rPr>
          <w:rFonts w:hint="cs"/>
          <w:sz w:val="20"/>
          <w:szCs w:val="20"/>
          <w:rtl/>
        </w:rPr>
        <w:t xml:space="preserve"> - אע"פ שהרמ"א מחמיר בנידה גמורה להתחיל למנות רק מיום ו' לשימושה, כאן מקל כמחבר.</w:t>
      </w:r>
      <w:r>
        <w:rPr>
          <w:sz w:val="20"/>
          <w:szCs w:val="20"/>
          <w:rtl/>
        </w:rPr>
        <w:br/>
      </w:r>
      <w:r>
        <w:rPr>
          <w:rFonts w:hint="cs"/>
          <w:sz w:val="20"/>
          <w:szCs w:val="20"/>
          <w:rtl/>
        </w:rPr>
        <w:t xml:space="preserve">מבאר ומסייג </w:t>
      </w:r>
      <w:r w:rsidRPr="001B2A0D">
        <w:rPr>
          <w:rFonts w:hint="cs"/>
          <w:b/>
          <w:bCs/>
          <w:sz w:val="20"/>
          <w:szCs w:val="20"/>
          <w:rtl/>
        </w:rPr>
        <w:t>הט"ז</w:t>
      </w:r>
      <w:r>
        <w:rPr>
          <w:rFonts w:hint="cs"/>
          <w:sz w:val="20"/>
          <w:szCs w:val="20"/>
          <w:rtl/>
        </w:rPr>
        <w:t xml:space="preserve"> </w:t>
      </w:r>
      <w:r>
        <w:rPr>
          <w:sz w:val="20"/>
          <w:szCs w:val="20"/>
          <w:rtl/>
        </w:rPr>
        <w:t>–</w:t>
      </w:r>
      <w:r>
        <w:rPr>
          <w:rFonts w:hint="cs"/>
          <w:sz w:val="20"/>
          <w:szCs w:val="20"/>
          <w:rtl/>
        </w:rPr>
        <w:t xml:space="preserve"> טעם החומרה של הרמ"א לקמן, הוא מחשש שמא תשמש בבין השמשות ותחשוב שהוא יום ובאמת הוא לילה, ולכן הוסיף יום. ואע"פ שהחמיר בנידה גמורה, מכל מקום בדם בתולים לא החמיר. ולמרות שלא החמיר בדם בתולים, מכל מקום אם כלה שימשה </w:t>
      </w:r>
      <w:r w:rsidRPr="001B2A0D">
        <w:rPr>
          <w:rFonts w:hint="cs"/>
          <w:sz w:val="20"/>
          <w:szCs w:val="20"/>
          <w:u w:val="single"/>
          <w:rtl/>
        </w:rPr>
        <w:t>בביה"ש</w:t>
      </w:r>
      <w:r>
        <w:rPr>
          <w:rFonts w:hint="cs"/>
          <w:sz w:val="20"/>
          <w:szCs w:val="20"/>
          <w:rtl/>
        </w:rPr>
        <w:t xml:space="preserve"> מונה רק מיום ו' לשימושה.</w:t>
      </w:r>
      <w:r>
        <w:rPr>
          <w:rStyle w:val="a5"/>
          <w:sz w:val="20"/>
          <w:szCs w:val="20"/>
          <w:rtl/>
        </w:rPr>
        <w:footnoteReference w:id="403"/>
      </w:r>
      <w:r>
        <w:rPr>
          <w:sz w:val="20"/>
          <w:szCs w:val="20"/>
          <w:u w:val="single"/>
          <w:rtl/>
        </w:rPr>
        <w:br/>
      </w:r>
    </w:p>
    <w:p w:rsidR="00620060" w:rsidRDefault="00620060" w:rsidP="00620060">
      <w:pPr>
        <w:pStyle w:val="1"/>
        <w:rPr>
          <w:sz w:val="22"/>
          <w:szCs w:val="22"/>
          <w:rtl/>
        </w:rPr>
      </w:pPr>
      <w:r w:rsidRPr="009C7455">
        <w:rPr>
          <w:rFonts w:hint="cs"/>
          <w:sz w:val="22"/>
          <w:szCs w:val="22"/>
          <w:rtl/>
        </w:rPr>
        <w:t>ג. קולא הנוהגת בזמן שאסורים</w:t>
      </w:r>
    </w:p>
    <w:p w:rsidR="00620060" w:rsidRDefault="00620060" w:rsidP="00620060">
      <w:pPr>
        <w:rPr>
          <w:sz w:val="20"/>
          <w:szCs w:val="20"/>
          <w:rtl/>
        </w:rPr>
      </w:pPr>
      <w:r>
        <w:rPr>
          <w:rFonts w:hint="cs"/>
          <w:b/>
          <w:bCs/>
          <w:sz w:val="20"/>
          <w:szCs w:val="20"/>
          <w:rtl/>
        </w:rPr>
        <w:t>ראב"ד</w:t>
      </w:r>
      <w:r>
        <w:rPr>
          <w:rFonts w:hint="cs"/>
          <w:sz w:val="20"/>
          <w:szCs w:val="20"/>
          <w:rtl/>
        </w:rPr>
        <w:t xml:space="preserve"> </w:t>
      </w:r>
      <w:r>
        <w:rPr>
          <w:sz w:val="20"/>
          <w:szCs w:val="20"/>
          <w:rtl/>
        </w:rPr>
        <w:t>–</w:t>
      </w:r>
      <w:r>
        <w:rPr>
          <w:rFonts w:hint="cs"/>
          <w:sz w:val="20"/>
          <w:szCs w:val="20"/>
          <w:rtl/>
        </w:rPr>
        <w:t xml:space="preserve"> כלה שנבעלה אסורה על בעלה כשאר נידה, אלא שיש בה קולא אחת שמותר לו לישון על מיטתה </w:t>
      </w:r>
      <w:r w:rsidRPr="001B4F0D">
        <w:rPr>
          <w:rFonts w:hint="cs"/>
          <w:sz w:val="18"/>
          <w:szCs w:val="18"/>
          <w:rtl/>
        </w:rPr>
        <w:t xml:space="preserve">(בשעה שהיא אינה ישנה שם) </w:t>
      </w:r>
      <w:r>
        <w:rPr>
          <w:rFonts w:hint="cs"/>
          <w:sz w:val="20"/>
          <w:szCs w:val="20"/>
          <w:rtl/>
        </w:rPr>
        <w:t xml:space="preserve">אפילו כאשר הסדין המלוכלך בדם מוצע עליה, וכ"פ </w:t>
      </w:r>
      <w:r w:rsidRPr="001B4F0D">
        <w:rPr>
          <w:rFonts w:hint="cs"/>
          <w:b/>
          <w:bCs/>
          <w:sz w:val="20"/>
          <w:szCs w:val="20"/>
          <w:rtl/>
        </w:rPr>
        <w:t>המחבר</w:t>
      </w:r>
      <w:r>
        <w:rPr>
          <w:rFonts w:hint="cs"/>
          <w:sz w:val="20"/>
          <w:szCs w:val="20"/>
          <w:rtl/>
        </w:rPr>
        <w:t>.</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1B4F0D">
        <w:rPr>
          <w:rFonts w:cs="Arial" w:hint="cs"/>
          <w:sz w:val="20"/>
          <w:szCs w:val="20"/>
          <w:rtl/>
        </w:rPr>
        <w:t>ונוהג</w:t>
      </w:r>
      <w:r w:rsidRPr="001B4F0D">
        <w:rPr>
          <w:rFonts w:cs="Arial"/>
          <w:sz w:val="20"/>
          <w:szCs w:val="20"/>
          <w:rtl/>
        </w:rPr>
        <w:t xml:space="preserve"> </w:t>
      </w:r>
      <w:r w:rsidRPr="001B4F0D">
        <w:rPr>
          <w:rFonts w:cs="Arial" w:hint="cs"/>
          <w:sz w:val="20"/>
          <w:szCs w:val="20"/>
          <w:rtl/>
        </w:rPr>
        <w:t>עמה</w:t>
      </w:r>
      <w:r w:rsidRPr="001B4F0D">
        <w:rPr>
          <w:rFonts w:cs="Arial"/>
          <w:sz w:val="20"/>
          <w:szCs w:val="20"/>
          <w:rtl/>
        </w:rPr>
        <w:t xml:space="preserve"> </w:t>
      </w:r>
      <w:r w:rsidRPr="001B4F0D">
        <w:rPr>
          <w:rFonts w:cs="Arial" w:hint="cs"/>
          <w:sz w:val="20"/>
          <w:szCs w:val="20"/>
          <w:rtl/>
        </w:rPr>
        <w:t>ככל</w:t>
      </w:r>
      <w:r w:rsidRPr="001B4F0D">
        <w:rPr>
          <w:rFonts w:cs="Arial"/>
          <w:sz w:val="20"/>
          <w:szCs w:val="20"/>
          <w:rtl/>
        </w:rPr>
        <w:t xml:space="preserve"> </w:t>
      </w:r>
      <w:r w:rsidRPr="001B4F0D">
        <w:rPr>
          <w:rFonts w:cs="Arial" w:hint="cs"/>
          <w:sz w:val="20"/>
          <w:szCs w:val="20"/>
          <w:rtl/>
        </w:rPr>
        <w:t>דיני</w:t>
      </w:r>
      <w:r w:rsidRPr="001B4F0D">
        <w:rPr>
          <w:rFonts w:cs="Arial"/>
          <w:sz w:val="20"/>
          <w:szCs w:val="20"/>
          <w:rtl/>
        </w:rPr>
        <w:t xml:space="preserve"> </w:t>
      </w:r>
      <w:r w:rsidRPr="001B4F0D">
        <w:rPr>
          <w:rFonts w:cs="Arial" w:hint="cs"/>
          <w:sz w:val="20"/>
          <w:szCs w:val="20"/>
          <w:rtl/>
        </w:rPr>
        <w:t>נדה</w:t>
      </w:r>
      <w:r w:rsidRPr="001B4F0D">
        <w:rPr>
          <w:rFonts w:cs="Arial"/>
          <w:sz w:val="20"/>
          <w:szCs w:val="20"/>
          <w:rtl/>
        </w:rPr>
        <w:t xml:space="preserve"> </w:t>
      </w:r>
      <w:r w:rsidRPr="001B4F0D">
        <w:rPr>
          <w:rFonts w:cs="Arial" w:hint="cs"/>
          <w:sz w:val="20"/>
          <w:szCs w:val="20"/>
          <w:rtl/>
        </w:rPr>
        <w:t>לענין</w:t>
      </w:r>
      <w:r w:rsidRPr="001B4F0D">
        <w:rPr>
          <w:rFonts w:cs="Arial"/>
          <w:sz w:val="20"/>
          <w:szCs w:val="20"/>
          <w:rtl/>
        </w:rPr>
        <w:t xml:space="preserve"> </w:t>
      </w:r>
      <w:r w:rsidRPr="001B4F0D">
        <w:rPr>
          <w:rFonts w:cs="Arial" w:hint="cs"/>
          <w:sz w:val="20"/>
          <w:szCs w:val="20"/>
          <w:rtl/>
        </w:rPr>
        <w:t>הרחקה</w:t>
      </w:r>
      <w:r w:rsidRPr="001B4F0D">
        <w:rPr>
          <w:rFonts w:cs="Arial"/>
          <w:sz w:val="20"/>
          <w:szCs w:val="20"/>
          <w:rtl/>
        </w:rPr>
        <w:t xml:space="preserve">; </w:t>
      </w:r>
      <w:r w:rsidRPr="001B4F0D">
        <w:rPr>
          <w:rFonts w:cs="Arial" w:hint="cs"/>
          <w:sz w:val="20"/>
          <w:szCs w:val="20"/>
          <w:rtl/>
        </w:rPr>
        <w:t>אלא</w:t>
      </w:r>
      <w:r w:rsidRPr="001B4F0D">
        <w:rPr>
          <w:rFonts w:cs="Arial"/>
          <w:sz w:val="20"/>
          <w:szCs w:val="20"/>
          <w:rtl/>
        </w:rPr>
        <w:t xml:space="preserve"> </w:t>
      </w:r>
      <w:r w:rsidRPr="001B4F0D">
        <w:rPr>
          <w:rFonts w:cs="Arial" w:hint="cs"/>
          <w:sz w:val="20"/>
          <w:szCs w:val="20"/>
          <w:rtl/>
        </w:rPr>
        <w:t>שנדה</w:t>
      </w:r>
      <w:r w:rsidRPr="001B4F0D">
        <w:rPr>
          <w:rFonts w:cs="Arial"/>
          <w:sz w:val="20"/>
          <w:szCs w:val="20"/>
          <w:rtl/>
        </w:rPr>
        <w:t xml:space="preserve"> </w:t>
      </w:r>
      <w:r w:rsidRPr="001B4F0D">
        <w:rPr>
          <w:rFonts w:cs="Arial" w:hint="cs"/>
          <w:sz w:val="20"/>
          <w:szCs w:val="20"/>
          <w:rtl/>
        </w:rPr>
        <w:t>גמורה</w:t>
      </w:r>
      <w:r w:rsidRPr="001B4F0D">
        <w:rPr>
          <w:rFonts w:cs="Arial"/>
          <w:sz w:val="20"/>
          <w:szCs w:val="20"/>
          <w:rtl/>
        </w:rPr>
        <w:t xml:space="preserve"> </w:t>
      </w:r>
      <w:r w:rsidRPr="001B4F0D">
        <w:rPr>
          <w:rFonts w:cs="Arial" w:hint="cs"/>
          <w:sz w:val="20"/>
          <w:szCs w:val="20"/>
          <w:rtl/>
        </w:rPr>
        <w:t>אסור</w:t>
      </w:r>
      <w:r w:rsidRPr="001B4F0D">
        <w:rPr>
          <w:rFonts w:cs="Arial"/>
          <w:sz w:val="20"/>
          <w:szCs w:val="20"/>
          <w:rtl/>
        </w:rPr>
        <w:t xml:space="preserve"> </w:t>
      </w:r>
      <w:r w:rsidRPr="001B4F0D">
        <w:rPr>
          <w:rFonts w:cs="Arial" w:hint="cs"/>
          <w:sz w:val="20"/>
          <w:szCs w:val="20"/>
          <w:rtl/>
        </w:rPr>
        <w:t>לו</w:t>
      </w:r>
      <w:r w:rsidRPr="001B4F0D">
        <w:rPr>
          <w:rFonts w:cs="Arial"/>
          <w:sz w:val="20"/>
          <w:szCs w:val="20"/>
          <w:rtl/>
        </w:rPr>
        <w:t xml:space="preserve"> </w:t>
      </w:r>
      <w:r w:rsidRPr="001B4F0D">
        <w:rPr>
          <w:rFonts w:cs="Arial" w:hint="cs"/>
          <w:sz w:val="20"/>
          <w:szCs w:val="20"/>
          <w:rtl/>
        </w:rPr>
        <w:t>לישן</w:t>
      </w:r>
      <w:r w:rsidRPr="001B4F0D">
        <w:rPr>
          <w:rFonts w:cs="Arial"/>
          <w:sz w:val="20"/>
          <w:szCs w:val="20"/>
          <w:rtl/>
        </w:rPr>
        <w:t xml:space="preserve"> </w:t>
      </w:r>
      <w:r w:rsidRPr="001B4F0D">
        <w:rPr>
          <w:rFonts w:cs="Arial" w:hint="cs"/>
          <w:sz w:val="20"/>
          <w:szCs w:val="20"/>
          <w:rtl/>
        </w:rPr>
        <w:t>על</w:t>
      </w:r>
      <w:r w:rsidRPr="001B4F0D">
        <w:rPr>
          <w:rFonts w:cs="Arial"/>
          <w:sz w:val="20"/>
          <w:szCs w:val="20"/>
          <w:rtl/>
        </w:rPr>
        <w:t xml:space="preserve"> </w:t>
      </w:r>
      <w:r w:rsidRPr="001B4F0D">
        <w:rPr>
          <w:rFonts w:cs="Arial" w:hint="cs"/>
          <w:sz w:val="20"/>
          <w:szCs w:val="20"/>
          <w:rtl/>
        </w:rPr>
        <w:t>מטתה</w:t>
      </w:r>
      <w:r w:rsidRPr="001B4F0D">
        <w:rPr>
          <w:rFonts w:cs="Arial"/>
          <w:sz w:val="20"/>
          <w:szCs w:val="20"/>
          <w:rtl/>
        </w:rPr>
        <w:t xml:space="preserve"> </w:t>
      </w:r>
      <w:r w:rsidRPr="001B4F0D">
        <w:rPr>
          <w:rFonts w:cs="Arial" w:hint="cs"/>
          <w:sz w:val="20"/>
          <w:szCs w:val="20"/>
          <w:rtl/>
        </w:rPr>
        <w:t>אפילו</w:t>
      </w:r>
      <w:r w:rsidRPr="001B4F0D">
        <w:rPr>
          <w:rFonts w:cs="Arial"/>
          <w:sz w:val="20"/>
          <w:szCs w:val="20"/>
          <w:rtl/>
        </w:rPr>
        <w:t xml:space="preserve"> </w:t>
      </w:r>
      <w:r w:rsidRPr="001B4F0D">
        <w:rPr>
          <w:rFonts w:cs="Arial" w:hint="cs"/>
          <w:sz w:val="20"/>
          <w:szCs w:val="20"/>
          <w:rtl/>
        </w:rPr>
        <w:t>כשאינה</w:t>
      </w:r>
      <w:r w:rsidRPr="001B4F0D">
        <w:rPr>
          <w:rFonts w:cs="Arial"/>
          <w:sz w:val="20"/>
          <w:szCs w:val="20"/>
          <w:rtl/>
        </w:rPr>
        <w:t xml:space="preserve"> </w:t>
      </w:r>
      <w:r w:rsidRPr="001B4F0D">
        <w:rPr>
          <w:rFonts w:cs="Arial" w:hint="cs"/>
          <w:sz w:val="20"/>
          <w:szCs w:val="20"/>
          <w:rtl/>
        </w:rPr>
        <w:t>במטה</w:t>
      </w:r>
      <w:r w:rsidRPr="001B4F0D">
        <w:rPr>
          <w:rFonts w:cs="Arial"/>
          <w:sz w:val="20"/>
          <w:szCs w:val="20"/>
          <w:rtl/>
        </w:rPr>
        <w:t xml:space="preserve">, </w:t>
      </w:r>
      <w:r w:rsidRPr="001B4F0D">
        <w:rPr>
          <w:rFonts w:cs="Arial" w:hint="cs"/>
          <w:sz w:val="20"/>
          <w:szCs w:val="20"/>
          <w:rtl/>
        </w:rPr>
        <w:t>וזו</w:t>
      </w:r>
      <w:r w:rsidRPr="001B4F0D">
        <w:rPr>
          <w:rFonts w:cs="Arial"/>
          <w:sz w:val="20"/>
          <w:szCs w:val="20"/>
          <w:rtl/>
        </w:rPr>
        <w:t xml:space="preserve"> </w:t>
      </w:r>
      <w:r w:rsidRPr="001B4F0D">
        <w:rPr>
          <w:rFonts w:cs="Arial" w:hint="cs"/>
          <w:sz w:val="20"/>
          <w:szCs w:val="20"/>
          <w:rtl/>
        </w:rPr>
        <w:t>מותר</w:t>
      </w:r>
      <w:r w:rsidRPr="001B4F0D">
        <w:rPr>
          <w:rFonts w:cs="Arial"/>
          <w:sz w:val="20"/>
          <w:szCs w:val="20"/>
          <w:rtl/>
        </w:rPr>
        <w:t xml:space="preserve"> </w:t>
      </w:r>
      <w:r w:rsidRPr="001B4F0D">
        <w:rPr>
          <w:rFonts w:cs="Arial" w:hint="cs"/>
          <w:sz w:val="20"/>
          <w:szCs w:val="20"/>
          <w:rtl/>
        </w:rPr>
        <w:t>לו</w:t>
      </w:r>
      <w:r w:rsidRPr="001B4F0D">
        <w:rPr>
          <w:rFonts w:cs="Arial"/>
          <w:sz w:val="20"/>
          <w:szCs w:val="20"/>
          <w:rtl/>
        </w:rPr>
        <w:t xml:space="preserve"> </w:t>
      </w:r>
      <w:r w:rsidRPr="001B4F0D">
        <w:rPr>
          <w:rFonts w:cs="Arial" w:hint="cs"/>
          <w:sz w:val="20"/>
          <w:szCs w:val="20"/>
          <w:rtl/>
        </w:rPr>
        <w:t>לישן</w:t>
      </w:r>
      <w:r w:rsidRPr="001B4F0D">
        <w:rPr>
          <w:rFonts w:cs="Arial"/>
          <w:sz w:val="20"/>
          <w:szCs w:val="20"/>
          <w:rtl/>
        </w:rPr>
        <w:t xml:space="preserve"> </w:t>
      </w:r>
      <w:r w:rsidRPr="001B4F0D">
        <w:rPr>
          <w:rFonts w:cs="Arial" w:hint="cs"/>
          <w:sz w:val="20"/>
          <w:szCs w:val="20"/>
          <w:rtl/>
        </w:rPr>
        <w:t>באותה</w:t>
      </w:r>
      <w:r w:rsidRPr="001B4F0D">
        <w:rPr>
          <w:rFonts w:cs="Arial"/>
          <w:sz w:val="20"/>
          <w:szCs w:val="20"/>
          <w:rtl/>
        </w:rPr>
        <w:t xml:space="preserve"> </w:t>
      </w:r>
      <w:r w:rsidRPr="001B4F0D">
        <w:rPr>
          <w:rFonts w:cs="Arial" w:hint="cs"/>
          <w:sz w:val="20"/>
          <w:szCs w:val="20"/>
          <w:rtl/>
        </w:rPr>
        <w:t>מטה</w:t>
      </w:r>
      <w:r w:rsidRPr="001B4F0D">
        <w:rPr>
          <w:rFonts w:cs="Arial"/>
          <w:sz w:val="20"/>
          <w:szCs w:val="20"/>
          <w:rtl/>
        </w:rPr>
        <w:t xml:space="preserve">, </w:t>
      </w:r>
      <w:r w:rsidRPr="001B4F0D">
        <w:rPr>
          <w:rFonts w:cs="Arial" w:hint="cs"/>
          <w:sz w:val="20"/>
          <w:szCs w:val="20"/>
          <w:rtl/>
        </w:rPr>
        <w:t>לאחר</w:t>
      </w:r>
      <w:r w:rsidRPr="001B4F0D">
        <w:rPr>
          <w:rFonts w:cs="Arial"/>
          <w:sz w:val="20"/>
          <w:szCs w:val="20"/>
          <w:rtl/>
        </w:rPr>
        <w:t xml:space="preserve"> </w:t>
      </w:r>
      <w:r w:rsidRPr="001B4F0D">
        <w:rPr>
          <w:rFonts w:cs="Arial" w:hint="cs"/>
          <w:sz w:val="20"/>
          <w:szCs w:val="20"/>
          <w:rtl/>
        </w:rPr>
        <w:t>שעמדה</w:t>
      </w:r>
      <w:r w:rsidRPr="001B4F0D">
        <w:rPr>
          <w:rFonts w:cs="Arial"/>
          <w:sz w:val="20"/>
          <w:szCs w:val="20"/>
          <w:rtl/>
        </w:rPr>
        <w:t xml:space="preserve"> </w:t>
      </w:r>
      <w:r w:rsidRPr="001B4F0D">
        <w:rPr>
          <w:rFonts w:cs="Arial" w:hint="cs"/>
          <w:sz w:val="20"/>
          <w:szCs w:val="20"/>
          <w:rtl/>
        </w:rPr>
        <w:t>מאצלו</w:t>
      </w:r>
      <w:r w:rsidRPr="001B4F0D">
        <w:rPr>
          <w:rFonts w:cs="Arial"/>
          <w:sz w:val="20"/>
          <w:szCs w:val="20"/>
          <w:rtl/>
        </w:rPr>
        <w:t xml:space="preserve">, </w:t>
      </w:r>
      <w:r w:rsidRPr="001B4F0D">
        <w:rPr>
          <w:rFonts w:cs="Arial" w:hint="cs"/>
          <w:sz w:val="20"/>
          <w:szCs w:val="20"/>
          <w:rtl/>
        </w:rPr>
        <w:t>ואפילו</w:t>
      </w:r>
      <w:r w:rsidRPr="001B4F0D">
        <w:rPr>
          <w:rFonts w:cs="Arial"/>
          <w:sz w:val="20"/>
          <w:szCs w:val="20"/>
          <w:rtl/>
        </w:rPr>
        <w:t xml:space="preserve"> </w:t>
      </w:r>
      <w:r w:rsidRPr="001B4F0D">
        <w:rPr>
          <w:rFonts w:cs="Arial" w:hint="cs"/>
          <w:sz w:val="20"/>
          <w:szCs w:val="20"/>
          <w:rtl/>
        </w:rPr>
        <w:t>בסדין</w:t>
      </w:r>
      <w:r w:rsidRPr="001B4F0D">
        <w:rPr>
          <w:rFonts w:cs="Arial"/>
          <w:sz w:val="20"/>
          <w:szCs w:val="20"/>
          <w:rtl/>
        </w:rPr>
        <w:t xml:space="preserve"> </w:t>
      </w:r>
      <w:r w:rsidRPr="001B4F0D">
        <w:rPr>
          <w:rFonts w:cs="Arial" w:hint="cs"/>
          <w:sz w:val="20"/>
          <w:szCs w:val="20"/>
          <w:rtl/>
        </w:rPr>
        <w:t>שהדם</w:t>
      </w:r>
      <w:r w:rsidRPr="001B4F0D">
        <w:rPr>
          <w:rFonts w:cs="Arial"/>
          <w:sz w:val="20"/>
          <w:szCs w:val="20"/>
          <w:rtl/>
        </w:rPr>
        <w:t xml:space="preserve"> </w:t>
      </w:r>
      <w:r w:rsidRPr="001B4F0D">
        <w:rPr>
          <w:rFonts w:cs="Arial" w:hint="cs"/>
          <w:sz w:val="20"/>
          <w:szCs w:val="20"/>
          <w:rtl/>
        </w:rPr>
        <w:t>עליו</w:t>
      </w:r>
      <w:r>
        <w:rPr>
          <w:rFonts w:cs="Arial" w:hint="cs"/>
          <w:sz w:val="20"/>
          <w:szCs w:val="20"/>
          <w:rtl/>
        </w:rPr>
        <w:t>".</w:t>
      </w:r>
      <w:r>
        <w:rPr>
          <w:rStyle w:val="a5"/>
          <w:sz w:val="20"/>
          <w:szCs w:val="20"/>
          <w:rtl/>
        </w:rPr>
        <w:footnoteReference w:id="404"/>
      </w:r>
    </w:p>
    <w:p w:rsidR="00620060" w:rsidRDefault="00620060" w:rsidP="00620060">
      <w:pPr>
        <w:rPr>
          <w:sz w:val="20"/>
          <w:szCs w:val="20"/>
          <w:rtl/>
        </w:rPr>
      </w:pPr>
      <w:r>
        <w:rPr>
          <w:rFonts w:hint="cs"/>
          <w:sz w:val="20"/>
          <w:szCs w:val="20"/>
          <w:u w:val="single"/>
          <w:rtl/>
        </w:rPr>
        <w:t>סיכום הקולות שיש בדם בתולים</w:t>
      </w:r>
      <w:r>
        <w:rPr>
          <w:rStyle w:val="a5"/>
          <w:sz w:val="20"/>
          <w:szCs w:val="20"/>
          <w:u w:val="single"/>
          <w:rtl/>
        </w:rPr>
        <w:footnoteReference w:id="405"/>
      </w:r>
      <w:r>
        <w:rPr>
          <w:rFonts w:hint="cs"/>
          <w:sz w:val="20"/>
          <w:szCs w:val="20"/>
          <w:u w:val="single"/>
          <w:rtl/>
        </w:rPr>
        <w:br/>
      </w:r>
      <w:r>
        <w:rPr>
          <w:rFonts w:hint="cs"/>
          <w:sz w:val="20"/>
          <w:szCs w:val="20"/>
          <w:rtl/>
        </w:rPr>
        <w:t>א. יכול לפרוש באבר חי, בניגוד לשאר אשה שנטמאה בשעת תשמיש.</w:t>
      </w:r>
      <w:r>
        <w:rPr>
          <w:rFonts w:hint="cs"/>
          <w:sz w:val="20"/>
          <w:szCs w:val="20"/>
          <w:rtl/>
        </w:rPr>
        <w:br/>
        <w:t>ב. אף לרמ"א עושה הפסק טהרה לאחר ארבעה ימים.</w:t>
      </w:r>
      <w:r>
        <w:rPr>
          <w:sz w:val="20"/>
          <w:szCs w:val="20"/>
          <w:rtl/>
        </w:rPr>
        <w:br/>
      </w:r>
      <w:r>
        <w:rPr>
          <w:rFonts w:hint="cs"/>
          <w:sz w:val="20"/>
          <w:szCs w:val="20"/>
          <w:rtl/>
        </w:rPr>
        <w:t xml:space="preserve">ג. מותר לו לישון על מיטת אשתו </w:t>
      </w:r>
      <w:r w:rsidRPr="007D42B9">
        <w:rPr>
          <w:rFonts w:hint="cs"/>
          <w:sz w:val="18"/>
          <w:szCs w:val="18"/>
          <w:rtl/>
        </w:rPr>
        <w:t>(כשהיא אינה במיטה)</w:t>
      </w:r>
      <w:r>
        <w:rPr>
          <w:rFonts w:hint="cs"/>
          <w:sz w:val="20"/>
          <w:szCs w:val="20"/>
          <w:rtl/>
        </w:rPr>
        <w:t>.</w:t>
      </w:r>
      <w:r>
        <w:rPr>
          <w:sz w:val="20"/>
          <w:szCs w:val="20"/>
          <w:rtl/>
        </w:rPr>
        <w:br/>
      </w:r>
      <w:r w:rsidRPr="009324E3">
        <w:rPr>
          <w:rFonts w:hint="cs"/>
          <w:sz w:val="18"/>
          <w:szCs w:val="18"/>
          <w:rtl/>
        </w:rPr>
        <w:t xml:space="preserve">[ד. בדיעבד מהני בדיקה אחת בז' הנקיים </w:t>
      </w:r>
      <w:r w:rsidRPr="009324E3">
        <w:rPr>
          <w:rFonts w:hint="cs"/>
          <w:sz w:val="16"/>
          <w:szCs w:val="16"/>
          <w:rtl/>
        </w:rPr>
        <w:t>(ע"פ טה"ב)</w:t>
      </w:r>
      <w:r w:rsidRPr="009324E3">
        <w:rPr>
          <w:rFonts w:hint="cs"/>
          <w:sz w:val="18"/>
          <w:szCs w:val="18"/>
          <w:rtl/>
        </w:rPr>
        <w:t>.</w:t>
      </w:r>
      <w:r w:rsidRPr="009324E3">
        <w:rPr>
          <w:rFonts w:hint="cs"/>
          <w:sz w:val="18"/>
          <w:szCs w:val="18"/>
          <w:rtl/>
        </w:rPr>
        <w:br/>
        <w:t>ה. אין חוששים לרואה מחמת תשמיש כל עוד מסופקים בדם בתולים].</w:t>
      </w:r>
    </w:p>
    <w:p w:rsidR="00620060" w:rsidRDefault="00620060" w:rsidP="00620060">
      <w:pPr>
        <w:rPr>
          <w:sz w:val="20"/>
          <w:szCs w:val="20"/>
          <w:u w:val="single"/>
          <w:rtl/>
        </w:rPr>
      </w:pPr>
      <w:r w:rsidRPr="0022652A">
        <w:rPr>
          <w:rFonts w:hint="cs"/>
          <w:b/>
          <w:bCs/>
          <w:sz w:val="20"/>
          <w:szCs w:val="20"/>
          <w:rtl/>
        </w:rPr>
        <w:t>סיכום</w:t>
      </w:r>
      <w:r>
        <w:rPr>
          <w:sz w:val="20"/>
          <w:szCs w:val="20"/>
          <w:rtl/>
        </w:rPr>
        <w:br/>
      </w:r>
      <w:r>
        <w:rPr>
          <w:rFonts w:hint="cs"/>
          <w:sz w:val="20"/>
          <w:szCs w:val="20"/>
          <w:rtl/>
        </w:rPr>
        <w:t xml:space="preserve">1. </w:t>
      </w:r>
      <w:r w:rsidRPr="0022652A">
        <w:rPr>
          <w:rFonts w:hint="cs"/>
          <w:b/>
          <w:bCs/>
          <w:sz w:val="20"/>
          <w:szCs w:val="20"/>
          <w:rtl/>
        </w:rPr>
        <w:t>משנה</w:t>
      </w:r>
      <w:r>
        <w:rPr>
          <w:rFonts w:hint="cs"/>
          <w:sz w:val="20"/>
          <w:szCs w:val="20"/>
          <w:rtl/>
        </w:rPr>
        <w:t xml:space="preserve">. </w:t>
      </w:r>
      <w:r>
        <w:rPr>
          <w:rFonts w:hint="cs"/>
          <w:sz w:val="20"/>
          <w:szCs w:val="20"/>
          <w:vertAlign w:val="superscript"/>
          <w:rtl/>
        </w:rPr>
        <w:t>1</w:t>
      </w:r>
      <w:r>
        <w:rPr>
          <w:rFonts w:hint="cs"/>
          <w:sz w:val="20"/>
          <w:szCs w:val="20"/>
          <w:rtl/>
        </w:rPr>
        <w:t xml:space="preserve">תינוקת שלא הגיע זמנה לראות. </w:t>
      </w:r>
      <w:r w:rsidRPr="0022652A">
        <w:rPr>
          <w:rFonts w:hint="cs"/>
          <w:sz w:val="20"/>
          <w:szCs w:val="20"/>
          <w:u w:val="single"/>
          <w:rtl/>
        </w:rPr>
        <w:t>ב"ש</w:t>
      </w:r>
      <w:r>
        <w:rPr>
          <w:rFonts w:hint="cs"/>
          <w:sz w:val="20"/>
          <w:szCs w:val="20"/>
          <w:rtl/>
        </w:rPr>
        <w:t xml:space="preserve">. ד' לילות; </w:t>
      </w:r>
      <w:r w:rsidRPr="0022652A">
        <w:rPr>
          <w:rFonts w:hint="cs"/>
          <w:sz w:val="20"/>
          <w:szCs w:val="20"/>
          <w:u w:val="single"/>
          <w:rtl/>
        </w:rPr>
        <w:t>ב"ה</w:t>
      </w:r>
      <w:r>
        <w:rPr>
          <w:rFonts w:hint="cs"/>
          <w:sz w:val="20"/>
          <w:szCs w:val="20"/>
          <w:rtl/>
        </w:rPr>
        <w:t xml:space="preserve">. עד שתחיה המכה. </w:t>
      </w:r>
      <w:r>
        <w:rPr>
          <w:rFonts w:hint="cs"/>
          <w:sz w:val="20"/>
          <w:szCs w:val="20"/>
          <w:vertAlign w:val="superscript"/>
          <w:rtl/>
        </w:rPr>
        <w:t>2</w:t>
      </w:r>
      <w:r>
        <w:rPr>
          <w:rFonts w:hint="cs"/>
          <w:sz w:val="20"/>
          <w:szCs w:val="20"/>
          <w:rtl/>
        </w:rPr>
        <w:t xml:space="preserve">הגיע זמנה לראות ולא ראתה. </w:t>
      </w:r>
      <w:r w:rsidRPr="0022652A">
        <w:rPr>
          <w:rFonts w:hint="cs"/>
          <w:sz w:val="20"/>
          <w:szCs w:val="20"/>
          <w:u w:val="single"/>
          <w:rtl/>
        </w:rPr>
        <w:t>ב"ש</w:t>
      </w:r>
      <w:r>
        <w:rPr>
          <w:rFonts w:hint="cs"/>
          <w:sz w:val="20"/>
          <w:szCs w:val="20"/>
          <w:rtl/>
        </w:rPr>
        <w:t xml:space="preserve">. לילה אחד; </w:t>
      </w:r>
      <w:r w:rsidRPr="0022652A">
        <w:rPr>
          <w:rFonts w:hint="cs"/>
          <w:sz w:val="20"/>
          <w:szCs w:val="20"/>
          <w:u w:val="single"/>
          <w:rtl/>
        </w:rPr>
        <w:t>ב"ה</w:t>
      </w:r>
      <w:r>
        <w:rPr>
          <w:rFonts w:hint="cs"/>
          <w:sz w:val="20"/>
          <w:szCs w:val="20"/>
          <w:rtl/>
        </w:rPr>
        <w:t xml:space="preserve">. ד' לילות. </w:t>
      </w:r>
      <w:r>
        <w:rPr>
          <w:rFonts w:hint="cs"/>
          <w:sz w:val="20"/>
          <w:szCs w:val="20"/>
          <w:vertAlign w:val="superscript"/>
          <w:rtl/>
        </w:rPr>
        <w:t>3</w:t>
      </w:r>
      <w:r>
        <w:rPr>
          <w:rFonts w:hint="cs"/>
          <w:sz w:val="20"/>
          <w:szCs w:val="20"/>
          <w:rtl/>
        </w:rPr>
        <w:t xml:space="preserve">ראתה. </w:t>
      </w:r>
      <w:r w:rsidRPr="0022652A">
        <w:rPr>
          <w:rFonts w:hint="cs"/>
          <w:sz w:val="20"/>
          <w:szCs w:val="20"/>
          <w:u w:val="single"/>
          <w:rtl/>
        </w:rPr>
        <w:t>ב"ש</w:t>
      </w:r>
      <w:r>
        <w:rPr>
          <w:rFonts w:hint="cs"/>
          <w:sz w:val="20"/>
          <w:szCs w:val="20"/>
          <w:rtl/>
        </w:rPr>
        <w:t xml:space="preserve">. בעילת מצווה; </w:t>
      </w:r>
      <w:r w:rsidRPr="0022652A">
        <w:rPr>
          <w:rFonts w:hint="cs"/>
          <w:sz w:val="20"/>
          <w:szCs w:val="20"/>
          <w:u w:val="single"/>
          <w:rtl/>
        </w:rPr>
        <w:t>ב"ה</w:t>
      </w:r>
      <w:r>
        <w:rPr>
          <w:rFonts w:hint="cs"/>
          <w:sz w:val="20"/>
          <w:szCs w:val="20"/>
          <w:rtl/>
        </w:rPr>
        <w:t>. לילה אחד.</w:t>
      </w:r>
      <w:r>
        <w:rPr>
          <w:sz w:val="20"/>
          <w:szCs w:val="20"/>
          <w:rtl/>
        </w:rPr>
        <w:br/>
      </w:r>
      <w:r>
        <w:rPr>
          <w:rFonts w:hint="cs"/>
          <w:sz w:val="20"/>
          <w:szCs w:val="20"/>
          <w:rtl/>
        </w:rPr>
        <w:t xml:space="preserve">2. </w:t>
      </w:r>
      <w:r w:rsidRPr="0022652A">
        <w:rPr>
          <w:rFonts w:hint="cs"/>
          <w:b/>
          <w:bCs/>
          <w:sz w:val="20"/>
          <w:szCs w:val="20"/>
          <w:rtl/>
        </w:rPr>
        <w:t>גמרא</w:t>
      </w:r>
      <w:r>
        <w:rPr>
          <w:rFonts w:hint="cs"/>
          <w:sz w:val="20"/>
          <w:szCs w:val="20"/>
          <w:rtl/>
        </w:rPr>
        <w:t xml:space="preserve">. </w:t>
      </w:r>
      <w:r w:rsidRPr="0022652A">
        <w:rPr>
          <w:rFonts w:hint="cs"/>
          <w:sz w:val="20"/>
          <w:szCs w:val="20"/>
          <w:u w:val="single"/>
          <w:rtl/>
        </w:rPr>
        <w:t>רב</w:t>
      </w:r>
      <w:r>
        <w:rPr>
          <w:rFonts w:hint="cs"/>
          <w:sz w:val="20"/>
          <w:szCs w:val="20"/>
          <w:rtl/>
        </w:rPr>
        <w:t xml:space="preserve">. בוגרת שלא ראתה </w:t>
      </w:r>
      <w:r>
        <w:rPr>
          <w:sz w:val="20"/>
          <w:szCs w:val="20"/>
          <w:rtl/>
        </w:rPr>
        <w:t>–</w:t>
      </w:r>
      <w:r>
        <w:rPr>
          <w:rFonts w:hint="cs"/>
          <w:sz w:val="20"/>
          <w:szCs w:val="20"/>
          <w:rtl/>
        </w:rPr>
        <w:t xml:space="preserve"> לילה אחד; ראתה </w:t>
      </w:r>
      <w:r>
        <w:rPr>
          <w:sz w:val="20"/>
          <w:szCs w:val="20"/>
          <w:rtl/>
        </w:rPr>
        <w:t>–</w:t>
      </w:r>
      <w:r>
        <w:rPr>
          <w:rFonts w:hint="cs"/>
          <w:sz w:val="20"/>
          <w:szCs w:val="20"/>
          <w:rtl/>
        </w:rPr>
        <w:t xml:space="preserve"> בעילת מצווה.</w:t>
      </w:r>
      <w:r>
        <w:rPr>
          <w:sz w:val="20"/>
          <w:szCs w:val="20"/>
          <w:rtl/>
        </w:rPr>
        <w:br/>
      </w:r>
      <w:r>
        <w:rPr>
          <w:rFonts w:hint="cs"/>
          <w:sz w:val="20"/>
          <w:szCs w:val="20"/>
          <w:rtl/>
        </w:rPr>
        <w:t xml:space="preserve">3. </w:t>
      </w:r>
      <w:r w:rsidRPr="0022652A">
        <w:rPr>
          <w:rFonts w:hint="cs"/>
          <w:b/>
          <w:bCs/>
          <w:sz w:val="20"/>
          <w:szCs w:val="20"/>
          <w:rtl/>
        </w:rPr>
        <w:t>גמרא</w:t>
      </w:r>
      <w:r>
        <w:rPr>
          <w:rFonts w:hint="cs"/>
          <w:sz w:val="20"/>
          <w:szCs w:val="20"/>
          <w:rtl/>
        </w:rPr>
        <w:t xml:space="preserve">. לדינא </w:t>
      </w:r>
      <w:r>
        <w:rPr>
          <w:sz w:val="20"/>
          <w:szCs w:val="20"/>
          <w:rtl/>
        </w:rPr>
        <w:t>–</w:t>
      </w:r>
      <w:r>
        <w:rPr>
          <w:rFonts w:hint="cs"/>
          <w:sz w:val="20"/>
          <w:szCs w:val="20"/>
          <w:rtl/>
        </w:rPr>
        <w:t xml:space="preserve"> בועל בעילת מצווה ופורש.</w:t>
      </w:r>
      <w:r>
        <w:rPr>
          <w:rFonts w:hint="cs"/>
          <w:sz w:val="20"/>
          <w:szCs w:val="20"/>
          <w:rtl/>
        </w:rPr>
        <w:br/>
      </w:r>
      <w:r w:rsidRPr="009324E3">
        <w:rPr>
          <w:rFonts w:hint="cs"/>
          <w:sz w:val="20"/>
          <w:szCs w:val="20"/>
          <w:rtl/>
        </w:rPr>
        <w:t xml:space="preserve">4. מדוע אין תולים במכה? א. </w:t>
      </w:r>
      <w:r w:rsidRPr="009324E3">
        <w:rPr>
          <w:rFonts w:hint="cs"/>
          <w:b/>
          <w:bCs/>
          <w:sz w:val="20"/>
          <w:szCs w:val="20"/>
          <w:rtl/>
        </w:rPr>
        <w:t>רשב"א</w:t>
      </w:r>
      <w:r w:rsidRPr="009324E3">
        <w:rPr>
          <w:rFonts w:hint="cs"/>
          <w:sz w:val="20"/>
          <w:szCs w:val="20"/>
          <w:rtl/>
        </w:rPr>
        <w:t xml:space="preserve">. שמא לא השיר את הבתולים. ב. </w:t>
      </w:r>
      <w:r w:rsidRPr="009324E3">
        <w:rPr>
          <w:rFonts w:hint="cs"/>
          <w:b/>
          <w:bCs/>
          <w:sz w:val="20"/>
          <w:szCs w:val="20"/>
          <w:rtl/>
        </w:rPr>
        <w:t>רשב"א</w:t>
      </w:r>
      <w:r w:rsidRPr="009324E3">
        <w:rPr>
          <w:rFonts w:hint="cs"/>
          <w:sz w:val="20"/>
          <w:szCs w:val="20"/>
          <w:rtl/>
        </w:rPr>
        <w:t xml:space="preserve">. אין זה איסור עולמי, ולכן חוששים לדם נידה. ג. </w:t>
      </w:r>
      <w:r w:rsidRPr="009324E3">
        <w:rPr>
          <w:rFonts w:hint="cs"/>
          <w:b/>
          <w:bCs/>
          <w:sz w:val="20"/>
          <w:szCs w:val="20"/>
          <w:rtl/>
        </w:rPr>
        <w:t>רא"ש</w:t>
      </w:r>
      <w:r w:rsidRPr="009324E3">
        <w:rPr>
          <w:rFonts w:hint="cs"/>
          <w:sz w:val="20"/>
          <w:szCs w:val="20"/>
          <w:rtl/>
        </w:rPr>
        <w:t xml:space="preserve">. בעילת מצווה מסורה לכל ושמא יקלו גם בבוגרת שראתה. ד. </w:t>
      </w:r>
      <w:r w:rsidRPr="009324E3">
        <w:rPr>
          <w:rFonts w:hint="cs"/>
          <w:b/>
          <w:bCs/>
          <w:sz w:val="20"/>
          <w:szCs w:val="20"/>
          <w:rtl/>
        </w:rPr>
        <w:t>רא"ש</w:t>
      </w:r>
      <w:r w:rsidRPr="009324E3">
        <w:rPr>
          <w:rFonts w:hint="cs"/>
          <w:sz w:val="20"/>
          <w:szCs w:val="20"/>
          <w:rtl/>
        </w:rPr>
        <w:t xml:space="preserve">. חתן יצרו תוקפו וחששו בו טפי. ה. </w:t>
      </w:r>
      <w:r w:rsidRPr="009324E3">
        <w:rPr>
          <w:rFonts w:hint="cs"/>
          <w:b/>
          <w:bCs/>
          <w:sz w:val="20"/>
          <w:szCs w:val="20"/>
          <w:rtl/>
        </w:rPr>
        <w:t>אשכול</w:t>
      </w:r>
      <w:r w:rsidRPr="009324E3">
        <w:rPr>
          <w:rFonts w:hint="cs"/>
          <w:sz w:val="20"/>
          <w:szCs w:val="20"/>
          <w:rtl/>
        </w:rPr>
        <w:t xml:space="preserve">. חשש לדם חימוד. ו. </w:t>
      </w:r>
      <w:r w:rsidRPr="009324E3">
        <w:rPr>
          <w:rFonts w:hint="cs"/>
          <w:b/>
          <w:bCs/>
          <w:sz w:val="20"/>
          <w:szCs w:val="20"/>
          <w:rtl/>
        </w:rPr>
        <w:t>לבוש</w:t>
      </w:r>
      <w:r w:rsidRPr="009324E3">
        <w:rPr>
          <w:rFonts w:hint="cs"/>
          <w:sz w:val="20"/>
          <w:szCs w:val="20"/>
          <w:rtl/>
        </w:rPr>
        <w:t>. גזרו על דם בתולים עצמו שיטמא.</w:t>
      </w:r>
      <w:r w:rsidRPr="009324E3">
        <w:rPr>
          <w:sz w:val="20"/>
          <w:szCs w:val="20"/>
          <w:rtl/>
        </w:rPr>
        <w:br/>
      </w:r>
      <w:r w:rsidRPr="009324E3">
        <w:rPr>
          <w:rFonts w:hint="cs"/>
          <w:sz w:val="20"/>
          <w:szCs w:val="20"/>
          <w:rtl/>
        </w:rPr>
        <w:t xml:space="preserve">5. באילו נשים נוהגת חומרה זאת? </w:t>
      </w:r>
      <w:r w:rsidRPr="009324E3">
        <w:rPr>
          <w:rFonts w:hint="cs"/>
          <w:b/>
          <w:bCs/>
          <w:sz w:val="20"/>
          <w:szCs w:val="20"/>
          <w:rtl/>
        </w:rPr>
        <w:t>רוב הראשונים</w:t>
      </w:r>
      <w:r w:rsidRPr="009324E3">
        <w:rPr>
          <w:rFonts w:hint="cs"/>
          <w:sz w:val="20"/>
          <w:szCs w:val="20"/>
          <w:rtl/>
        </w:rPr>
        <w:t xml:space="preserve">. אפילו תינוקת. </w:t>
      </w:r>
      <w:r w:rsidRPr="009324E3">
        <w:rPr>
          <w:rFonts w:hint="cs"/>
          <w:b/>
          <w:bCs/>
          <w:sz w:val="20"/>
          <w:szCs w:val="20"/>
          <w:rtl/>
        </w:rPr>
        <w:t>רי"ף ורמב"ם</w:t>
      </w:r>
      <w:r w:rsidRPr="009324E3">
        <w:rPr>
          <w:rFonts w:hint="cs"/>
          <w:sz w:val="20"/>
          <w:szCs w:val="20"/>
          <w:rtl/>
        </w:rPr>
        <w:t xml:space="preserve">. רק בנערה שראתה. </w:t>
      </w:r>
      <w:r w:rsidRPr="009324E3">
        <w:rPr>
          <w:sz w:val="20"/>
          <w:szCs w:val="20"/>
          <w:rtl/>
        </w:rPr>
        <w:br/>
      </w:r>
      <w:r w:rsidRPr="009324E3">
        <w:rPr>
          <w:rFonts w:hint="cs"/>
          <w:b/>
          <w:bCs/>
          <w:sz w:val="20"/>
          <w:szCs w:val="20"/>
          <w:rtl/>
        </w:rPr>
        <w:t>רמב"ם</w:t>
      </w:r>
      <w:r w:rsidRPr="009324E3">
        <w:rPr>
          <w:rFonts w:hint="cs"/>
          <w:sz w:val="20"/>
          <w:szCs w:val="20"/>
          <w:rtl/>
        </w:rPr>
        <w:t>. לדינא, נהגו לפרוש בכל בתולה.</w:t>
      </w:r>
      <w:r w:rsidRPr="009324E3">
        <w:rPr>
          <w:rFonts w:hint="cs"/>
          <w:sz w:val="20"/>
          <w:szCs w:val="20"/>
          <w:rtl/>
        </w:rPr>
        <w:br/>
        <w:t xml:space="preserve">6. ביאור השיטות. </w:t>
      </w:r>
      <w:r w:rsidRPr="009324E3">
        <w:rPr>
          <w:rFonts w:hint="cs"/>
          <w:b/>
          <w:bCs/>
          <w:sz w:val="20"/>
          <w:szCs w:val="20"/>
          <w:rtl/>
        </w:rPr>
        <w:t>ר"ן</w:t>
      </w:r>
      <w:r w:rsidRPr="009324E3">
        <w:rPr>
          <w:rFonts w:hint="cs"/>
          <w:sz w:val="20"/>
          <w:szCs w:val="20"/>
          <w:rtl/>
        </w:rPr>
        <w:t xml:space="preserve">. אע"פ שהמימרא של החומרה מסודרת על פסקת 'נערה שראתה', מוכח בגמרא שה"ה בשאר נשים. </w:t>
      </w:r>
      <w:r w:rsidRPr="009324E3">
        <w:rPr>
          <w:rFonts w:hint="cs"/>
          <w:b/>
          <w:bCs/>
          <w:sz w:val="20"/>
          <w:szCs w:val="20"/>
          <w:rtl/>
        </w:rPr>
        <w:t>רי"ף ורמב"ם</w:t>
      </w:r>
      <w:r w:rsidRPr="009324E3">
        <w:rPr>
          <w:rFonts w:hint="cs"/>
          <w:sz w:val="20"/>
          <w:szCs w:val="20"/>
          <w:rtl/>
        </w:rPr>
        <w:t>. המימרא של החומרה מסודרת על פסקת 'נ</w:t>
      </w:r>
      <w:r>
        <w:rPr>
          <w:rFonts w:hint="cs"/>
          <w:sz w:val="20"/>
          <w:szCs w:val="20"/>
          <w:rtl/>
        </w:rPr>
        <w:t xml:space="preserve">ערה שראתה' ודווקא בה גזרו משום </w:t>
      </w:r>
      <w:r w:rsidRPr="009324E3">
        <w:rPr>
          <w:rFonts w:hint="cs"/>
          <w:sz w:val="20"/>
          <w:szCs w:val="20"/>
          <w:rtl/>
        </w:rPr>
        <w:t>חשש שמא מעורב</w:t>
      </w:r>
      <w:r>
        <w:rPr>
          <w:rFonts w:hint="cs"/>
          <w:sz w:val="20"/>
          <w:szCs w:val="20"/>
          <w:rtl/>
        </w:rPr>
        <w:t xml:space="preserve"> בו</w:t>
      </w:r>
      <w:r w:rsidRPr="009324E3">
        <w:rPr>
          <w:rFonts w:hint="cs"/>
          <w:sz w:val="20"/>
          <w:szCs w:val="20"/>
          <w:rtl/>
        </w:rPr>
        <w:t xml:space="preserve"> דם נידות.</w:t>
      </w:r>
      <w:r w:rsidRPr="009324E3">
        <w:rPr>
          <w:sz w:val="20"/>
          <w:szCs w:val="20"/>
          <w:rtl/>
        </w:rPr>
        <w:br/>
      </w:r>
      <w:r w:rsidRPr="009324E3">
        <w:rPr>
          <w:rFonts w:hint="cs"/>
          <w:sz w:val="20"/>
          <w:szCs w:val="20"/>
          <w:rtl/>
        </w:rPr>
        <w:t xml:space="preserve">7. הכרעת </w:t>
      </w:r>
      <w:r w:rsidRPr="009324E3">
        <w:rPr>
          <w:rFonts w:hint="cs"/>
          <w:b/>
          <w:bCs/>
          <w:sz w:val="20"/>
          <w:szCs w:val="20"/>
          <w:rtl/>
        </w:rPr>
        <w:t>הבית יוסף</w:t>
      </w:r>
      <w:r w:rsidRPr="009324E3">
        <w:rPr>
          <w:rFonts w:hint="cs"/>
          <w:sz w:val="20"/>
          <w:szCs w:val="20"/>
          <w:rtl/>
        </w:rPr>
        <w:t xml:space="preserve"> </w:t>
      </w:r>
      <w:r w:rsidRPr="009324E3">
        <w:rPr>
          <w:sz w:val="20"/>
          <w:szCs w:val="20"/>
          <w:rtl/>
        </w:rPr>
        <w:t>–</w:t>
      </w:r>
      <w:r w:rsidRPr="009324E3">
        <w:rPr>
          <w:rFonts w:hint="cs"/>
          <w:sz w:val="20"/>
          <w:szCs w:val="20"/>
          <w:rtl/>
        </w:rPr>
        <w:t xml:space="preserve"> איסור זה פשט בכל ישראל בכל הנשים, ואין להקל כלל.</w:t>
      </w:r>
      <w:r w:rsidRPr="009324E3">
        <w:rPr>
          <w:sz w:val="20"/>
          <w:szCs w:val="20"/>
          <w:rtl/>
        </w:rPr>
        <w:br/>
      </w:r>
      <w:r w:rsidRPr="009324E3">
        <w:rPr>
          <w:rFonts w:hint="cs"/>
          <w:sz w:val="20"/>
          <w:szCs w:val="20"/>
          <w:rtl/>
        </w:rPr>
        <w:t xml:space="preserve">8. </w:t>
      </w:r>
      <w:r w:rsidRPr="009324E3">
        <w:rPr>
          <w:rFonts w:hint="cs"/>
          <w:b/>
          <w:bCs/>
          <w:sz w:val="20"/>
          <w:szCs w:val="20"/>
          <w:rtl/>
        </w:rPr>
        <w:t>ראב"ד</w:t>
      </w:r>
      <w:r w:rsidRPr="009324E3">
        <w:rPr>
          <w:rFonts w:hint="cs"/>
          <w:sz w:val="20"/>
          <w:szCs w:val="20"/>
          <w:rtl/>
        </w:rPr>
        <w:t xml:space="preserve">. צריך לפרוש באבר מת. </w:t>
      </w:r>
      <w:r w:rsidRPr="009324E3">
        <w:rPr>
          <w:rFonts w:hint="cs"/>
          <w:b/>
          <w:bCs/>
          <w:sz w:val="20"/>
          <w:szCs w:val="20"/>
          <w:rtl/>
        </w:rPr>
        <w:t>טעם</w:t>
      </w:r>
      <w:r w:rsidRPr="009324E3">
        <w:rPr>
          <w:rFonts w:hint="cs"/>
          <w:sz w:val="20"/>
          <w:szCs w:val="20"/>
          <w:rtl/>
        </w:rPr>
        <w:t xml:space="preserve">. כדין אשה שנטמאה בשעת תשמיש. </w:t>
      </w:r>
      <w:r w:rsidRPr="009324E3">
        <w:rPr>
          <w:rFonts w:hint="cs"/>
          <w:b/>
          <w:bCs/>
          <w:sz w:val="20"/>
          <w:szCs w:val="20"/>
          <w:rtl/>
        </w:rPr>
        <w:t>רוב הראשונים</w:t>
      </w:r>
      <w:r w:rsidRPr="009324E3">
        <w:rPr>
          <w:rFonts w:hint="cs"/>
          <w:sz w:val="20"/>
          <w:szCs w:val="20"/>
          <w:rtl/>
        </w:rPr>
        <w:t xml:space="preserve">. פורש אפילו באבר חי, וכ"פ </w:t>
      </w:r>
      <w:r w:rsidRPr="009324E3">
        <w:rPr>
          <w:rFonts w:hint="cs"/>
          <w:b/>
          <w:bCs/>
          <w:sz w:val="20"/>
          <w:szCs w:val="20"/>
          <w:rtl/>
        </w:rPr>
        <w:t>המחבר</w:t>
      </w:r>
      <w:r w:rsidRPr="009324E3">
        <w:rPr>
          <w:rFonts w:hint="cs"/>
          <w:sz w:val="20"/>
          <w:szCs w:val="20"/>
          <w:rtl/>
        </w:rPr>
        <w:t xml:space="preserve">. </w:t>
      </w:r>
      <w:r w:rsidRPr="009324E3">
        <w:rPr>
          <w:rFonts w:hint="cs"/>
          <w:b/>
          <w:bCs/>
          <w:sz w:val="20"/>
          <w:szCs w:val="20"/>
          <w:rtl/>
        </w:rPr>
        <w:t>טעם</w:t>
      </w:r>
      <w:r w:rsidRPr="009324E3">
        <w:rPr>
          <w:rFonts w:hint="cs"/>
          <w:sz w:val="20"/>
          <w:szCs w:val="20"/>
          <w:rtl/>
        </w:rPr>
        <w:t xml:space="preserve">. בגמרא נאמר שמותר לגמור ביאתו ומשמע אע"פ ששותתת דם, כ"ש שא"צ </w:t>
      </w:r>
      <w:r w:rsidRPr="009324E3">
        <w:rPr>
          <w:rFonts w:hint="cs"/>
          <w:sz w:val="20"/>
          <w:szCs w:val="20"/>
          <w:rtl/>
        </w:rPr>
        <w:lastRenderedPageBreak/>
        <w:t>לפרוש באבר מת. ועוד, כדי שלא יהיה ליבו נוקפו.</w:t>
      </w:r>
      <w:r w:rsidRPr="009324E3">
        <w:rPr>
          <w:rFonts w:hint="cs"/>
          <w:sz w:val="20"/>
          <w:szCs w:val="20"/>
          <w:rtl/>
        </w:rPr>
        <w:br/>
        <w:t xml:space="preserve">9. בעל ולא מצא דם. </w:t>
      </w:r>
      <w:r w:rsidRPr="009324E3">
        <w:rPr>
          <w:rFonts w:hint="cs"/>
          <w:b/>
          <w:bCs/>
          <w:sz w:val="20"/>
          <w:szCs w:val="20"/>
          <w:rtl/>
        </w:rPr>
        <w:t>רוב הראשונים</w:t>
      </w:r>
      <w:r w:rsidRPr="009324E3">
        <w:rPr>
          <w:rFonts w:hint="cs"/>
          <w:sz w:val="20"/>
          <w:szCs w:val="20"/>
          <w:rtl/>
        </w:rPr>
        <w:t xml:space="preserve">. טמאה, וכ"פ </w:t>
      </w:r>
      <w:r w:rsidRPr="009324E3">
        <w:rPr>
          <w:rFonts w:hint="cs"/>
          <w:b/>
          <w:bCs/>
          <w:sz w:val="20"/>
          <w:szCs w:val="20"/>
          <w:rtl/>
        </w:rPr>
        <w:t>המחבר</w:t>
      </w:r>
      <w:r w:rsidRPr="009324E3">
        <w:rPr>
          <w:rFonts w:hint="cs"/>
          <w:sz w:val="20"/>
          <w:szCs w:val="20"/>
          <w:rtl/>
        </w:rPr>
        <w:t xml:space="preserve">. </w:t>
      </w:r>
      <w:r w:rsidRPr="009324E3">
        <w:rPr>
          <w:rFonts w:hint="cs"/>
          <w:b/>
          <w:bCs/>
          <w:sz w:val="20"/>
          <w:szCs w:val="20"/>
          <w:rtl/>
        </w:rPr>
        <w:t>ראב"ד</w:t>
      </w:r>
      <w:r w:rsidRPr="009324E3">
        <w:rPr>
          <w:rFonts w:hint="cs"/>
          <w:sz w:val="20"/>
          <w:szCs w:val="20"/>
          <w:rtl/>
        </w:rPr>
        <w:t xml:space="preserve">. טהורה. </w:t>
      </w:r>
      <w:r w:rsidRPr="009324E3">
        <w:rPr>
          <w:rFonts w:hint="cs"/>
          <w:b/>
          <w:bCs/>
          <w:sz w:val="20"/>
          <w:szCs w:val="20"/>
          <w:rtl/>
        </w:rPr>
        <w:t>הגה"מ</w:t>
      </w:r>
      <w:r w:rsidRPr="009324E3">
        <w:rPr>
          <w:rFonts w:hint="cs"/>
          <w:sz w:val="20"/>
          <w:szCs w:val="20"/>
          <w:rtl/>
        </w:rPr>
        <w:t xml:space="preserve">. צריכה לבדוק עצמה. </w:t>
      </w:r>
      <w:r w:rsidRPr="009324E3">
        <w:rPr>
          <w:rFonts w:hint="cs"/>
          <w:sz w:val="20"/>
          <w:szCs w:val="20"/>
          <w:rtl/>
        </w:rPr>
        <w:br/>
        <w:t xml:space="preserve">10. </w:t>
      </w:r>
      <w:r w:rsidRPr="009324E3">
        <w:rPr>
          <w:rFonts w:hint="cs"/>
          <w:b/>
          <w:bCs/>
          <w:sz w:val="20"/>
          <w:szCs w:val="20"/>
          <w:rtl/>
        </w:rPr>
        <w:t>מחבר</w:t>
      </w:r>
      <w:r w:rsidRPr="009324E3">
        <w:rPr>
          <w:rFonts w:hint="cs"/>
          <w:sz w:val="20"/>
          <w:szCs w:val="20"/>
          <w:rtl/>
        </w:rPr>
        <w:t>. הכונס בתולה בועל ופורש מייד, אפילו היא תינוקת, ואפילו בדקה עצמה ולא מצאה דם, חשש שמא ראתה וחיפהו שכבת זרע. ומכל מקום גומר ביאתו באבר חי, ואף אם הדם שותת גומר ביאתו.</w:t>
      </w:r>
      <w:r w:rsidRPr="009324E3">
        <w:rPr>
          <w:rFonts w:hint="cs"/>
          <w:sz w:val="20"/>
          <w:szCs w:val="20"/>
          <w:rtl/>
        </w:rPr>
        <w:br/>
        <w:t xml:space="preserve">11. </w:t>
      </w:r>
      <w:r w:rsidRPr="009324E3">
        <w:rPr>
          <w:rFonts w:hint="cs"/>
          <w:b/>
          <w:bCs/>
          <w:sz w:val="20"/>
          <w:szCs w:val="20"/>
          <w:rtl/>
        </w:rPr>
        <w:t>רמ"א</w:t>
      </w:r>
      <w:r w:rsidRPr="009324E3">
        <w:rPr>
          <w:rFonts w:hint="cs"/>
          <w:sz w:val="20"/>
          <w:szCs w:val="20"/>
          <w:rtl/>
        </w:rPr>
        <w:t xml:space="preserve">. יש מקלים אם לא ראתה דם </w:t>
      </w:r>
      <w:r w:rsidRPr="009324E3">
        <w:rPr>
          <w:rFonts w:hint="cs"/>
          <w:sz w:val="18"/>
          <w:szCs w:val="18"/>
          <w:rtl/>
        </w:rPr>
        <w:t xml:space="preserve">(ראב"ד), </w:t>
      </w:r>
      <w:r w:rsidRPr="009324E3">
        <w:rPr>
          <w:rFonts w:hint="cs"/>
          <w:sz w:val="20"/>
          <w:szCs w:val="20"/>
          <w:rtl/>
        </w:rPr>
        <w:t xml:space="preserve">ויש להקל כמותם אם הערה בה בלבד ולא גמר ביאתו. </w:t>
      </w:r>
      <w:r w:rsidRPr="009324E3">
        <w:rPr>
          <w:rFonts w:hint="cs"/>
          <w:b/>
          <w:bCs/>
          <w:sz w:val="20"/>
          <w:szCs w:val="20"/>
          <w:rtl/>
        </w:rPr>
        <w:t>בדה"ש</w:t>
      </w:r>
      <w:r w:rsidRPr="009324E3">
        <w:rPr>
          <w:rFonts w:hint="cs"/>
          <w:sz w:val="20"/>
          <w:szCs w:val="20"/>
          <w:rtl/>
        </w:rPr>
        <w:t>. העראה היא הכנסת חלק מהאבר</w:t>
      </w:r>
      <w:r>
        <w:rPr>
          <w:rFonts w:hint="cs"/>
          <w:sz w:val="20"/>
          <w:szCs w:val="20"/>
          <w:rtl/>
        </w:rPr>
        <w:t>, הכנסת כל האבר הוי ביאה גמורה.</w:t>
      </w:r>
      <w:r w:rsidRPr="009324E3">
        <w:rPr>
          <w:sz w:val="20"/>
          <w:szCs w:val="20"/>
          <w:rtl/>
        </w:rPr>
        <w:br/>
      </w:r>
      <w:r w:rsidRPr="009324E3">
        <w:rPr>
          <w:rFonts w:hint="cs"/>
          <w:sz w:val="20"/>
          <w:szCs w:val="20"/>
          <w:rtl/>
        </w:rPr>
        <w:t>1</w:t>
      </w:r>
      <w:r>
        <w:rPr>
          <w:rFonts w:hint="cs"/>
          <w:sz w:val="20"/>
          <w:szCs w:val="20"/>
          <w:rtl/>
        </w:rPr>
        <w:t>2</w:t>
      </w:r>
      <w:r w:rsidRPr="009324E3">
        <w:rPr>
          <w:rFonts w:hint="cs"/>
          <w:sz w:val="20"/>
          <w:szCs w:val="20"/>
          <w:rtl/>
        </w:rPr>
        <w:t xml:space="preserve">. טהרה לאחר הביאה. </w:t>
      </w:r>
      <w:r w:rsidRPr="009324E3">
        <w:rPr>
          <w:rFonts w:hint="cs"/>
          <w:b/>
          <w:bCs/>
          <w:sz w:val="20"/>
          <w:szCs w:val="20"/>
          <w:rtl/>
        </w:rPr>
        <w:t>הגה"מ</w:t>
      </w:r>
      <w:r w:rsidRPr="009324E3">
        <w:rPr>
          <w:rFonts w:hint="cs"/>
          <w:sz w:val="20"/>
          <w:szCs w:val="20"/>
          <w:rtl/>
        </w:rPr>
        <w:t xml:space="preserve">. מונה מייד ז"נ. שאר הראשונים. מונה רק לאחר ד' ימים לשימושה, וכ"פ </w:t>
      </w:r>
      <w:r w:rsidRPr="009324E3">
        <w:rPr>
          <w:rFonts w:hint="cs"/>
          <w:b/>
          <w:bCs/>
          <w:sz w:val="20"/>
          <w:szCs w:val="20"/>
          <w:rtl/>
        </w:rPr>
        <w:t>המחבר</w:t>
      </w:r>
      <w:r w:rsidRPr="009324E3">
        <w:rPr>
          <w:rFonts w:hint="cs"/>
          <w:sz w:val="20"/>
          <w:szCs w:val="20"/>
          <w:rtl/>
        </w:rPr>
        <w:t xml:space="preserve">. </w:t>
      </w:r>
      <w:r w:rsidRPr="009324E3">
        <w:rPr>
          <w:rFonts w:hint="cs"/>
          <w:b/>
          <w:bCs/>
          <w:sz w:val="20"/>
          <w:szCs w:val="20"/>
          <w:rtl/>
        </w:rPr>
        <w:t>טה"ב</w:t>
      </w:r>
      <w:r w:rsidRPr="009324E3">
        <w:rPr>
          <w:rFonts w:hint="cs"/>
          <w:sz w:val="20"/>
          <w:szCs w:val="20"/>
          <w:rtl/>
        </w:rPr>
        <w:t xml:space="preserve">. יש להקל בדיעבד אם בדקה רק פעם אחת בז"נ. </w:t>
      </w:r>
      <w:r w:rsidRPr="009324E3">
        <w:rPr>
          <w:rFonts w:hint="cs"/>
          <w:sz w:val="18"/>
          <w:szCs w:val="18"/>
          <w:rtl/>
        </w:rPr>
        <w:t>(ובכל זה פשוט שעשתה הפסק כדין)</w:t>
      </w:r>
      <w:r w:rsidRPr="009324E3">
        <w:rPr>
          <w:rFonts w:hint="cs"/>
          <w:sz w:val="20"/>
          <w:szCs w:val="20"/>
          <w:rtl/>
        </w:rPr>
        <w:t>.</w:t>
      </w:r>
      <w:r w:rsidRPr="009324E3">
        <w:rPr>
          <w:rFonts w:hint="cs"/>
          <w:sz w:val="20"/>
          <w:szCs w:val="20"/>
          <w:rtl/>
        </w:rPr>
        <w:br/>
        <w:t>1</w:t>
      </w:r>
      <w:r>
        <w:rPr>
          <w:rFonts w:hint="cs"/>
          <w:sz w:val="20"/>
          <w:szCs w:val="20"/>
          <w:rtl/>
        </w:rPr>
        <w:t>3</w:t>
      </w:r>
      <w:r w:rsidRPr="009324E3">
        <w:rPr>
          <w:rFonts w:hint="cs"/>
          <w:sz w:val="20"/>
          <w:szCs w:val="20"/>
          <w:rtl/>
        </w:rPr>
        <w:t xml:space="preserve">. </w:t>
      </w:r>
      <w:r w:rsidRPr="009324E3">
        <w:rPr>
          <w:rFonts w:hint="cs"/>
          <w:b/>
          <w:bCs/>
          <w:sz w:val="20"/>
          <w:szCs w:val="20"/>
          <w:rtl/>
        </w:rPr>
        <w:t>ראב"ד</w:t>
      </w:r>
      <w:r w:rsidRPr="009324E3">
        <w:rPr>
          <w:rFonts w:hint="cs"/>
          <w:sz w:val="20"/>
          <w:szCs w:val="20"/>
          <w:rtl/>
        </w:rPr>
        <w:t xml:space="preserve">. אע"פ שכלה שנבעלה אסורה על בעלה כנ"ל, מכל מקום מותר לו לישון על מיטתה, וכ"פ </w:t>
      </w:r>
      <w:r w:rsidRPr="009324E3">
        <w:rPr>
          <w:rFonts w:hint="cs"/>
          <w:b/>
          <w:bCs/>
          <w:sz w:val="20"/>
          <w:szCs w:val="20"/>
          <w:rtl/>
        </w:rPr>
        <w:t>המחבר</w:t>
      </w:r>
      <w:r w:rsidRPr="009324E3">
        <w:rPr>
          <w:rFonts w:hint="cs"/>
          <w:sz w:val="20"/>
          <w:szCs w:val="20"/>
          <w:rtl/>
        </w:rPr>
        <w:t>.</w:t>
      </w:r>
      <w:r w:rsidRPr="009324E3">
        <w:rPr>
          <w:sz w:val="20"/>
          <w:szCs w:val="20"/>
          <w:rtl/>
        </w:rPr>
        <w:br/>
      </w:r>
      <w:r>
        <w:rPr>
          <w:rFonts w:hint="cs"/>
          <w:sz w:val="20"/>
          <w:szCs w:val="20"/>
          <w:rtl/>
        </w:rPr>
        <w:br/>
      </w:r>
      <w:r>
        <w:rPr>
          <w:rFonts w:hint="cs"/>
          <w:b/>
          <w:bCs/>
          <w:sz w:val="20"/>
          <w:szCs w:val="20"/>
          <w:rtl/>
        </w:rPr>
        <w:t>הוספות</w:t>
      </w:r>
      <w:r>
        <w:rPr>
          <w:b/>
          <w:bCs/>
          <w:sz w:val="20"/>
          <w:szCs w:val="20"/>
          <w:rtl/>
        </w:rPr>
        <w:br/>
      </w:r>
      <w:r>
        <w:rPr>
          <w:rFonts w:hint="cs"/>
          <w:sz w:val="20"/>
          <w:szCs w:val="20"/>
          <w:u w:val="single"/>
          <w:rtl/>
        </w:rPr>
        <w:t>פירסה נידה לאחר העראה</w:t>
      </w:r>
      <w:r>
        <w:rPr>
          <w:rFonts w:hint="cs"/>
          <w:sz w:val="20"/>
          <w:szCs w:val="20"/>
          <w:u w:val="single"/>
          <w:rtl/>
        </w:rPr>
        <w:br/>
      </w:r>
      <w:r w:rsidRPr="00DA6C0F">
        <w:rPr>
          <w:rFonts w:hint="cs"/>
          <w:b/>
          <w:bCs/>
          <w:sz w:val="20"/>
          <w:szCs w:val="20"/>
          <w:rtl/>
        </w:rPr>
        <w:t>שבט הלוי</w:t>
      </w:r>
      <w:r>
        <w:rPr>
          <w:rFonts w:hint="cs"/>
          <w:sz w:val="20"/>
          <w:szCs w:val="20"/>
          <w:rtl/>
        </w:rPr>
        <w:t xml:space="preserve"> </w:t>
      </w:r>
      <w:r>
        <w:rPr>
          <w:sz w:val="20"/>
          <w:szCs w:val="20"/>
          <w:rtl/>
        </w:rPr>
        <w:t>–</w:t>
      </w:r>
      <w:r>
        <w:rPr>
          <w:rFonts w:hint="cs"/>
          <w:sz w:val="20"/>
          <w:szCs w:val="20"/>
          <w:rtl/>
        </w:rPr>
        <w:t xml:space="preserve"> כלה שפירסה נידה לאחר שהחתן הערה בה, האם מותר להם לישון ללא שמירה?</w:t>
      </w:r>
      <w:r>
        <w:rPr>
          <w:rFonts w:hint="cs"/>
          <w:sz w:val="20"/>
          <w:szCs w:val="20"/>
          <w:rtl/>
        </w:rPr>
        <w:br/>
        <w:t xml:space="preserve">תשובה </w:t>
      </w:r>
      <w:r>
        <w:rPr>
          <w:sz w:val="20"/>
          <w:szCs w:val="20"/>
          <w:rtl/>
        </w:rPr>
        <w:t>–</w:t>
      </w:r>
      <w:r>
        <w:rPr>
          <w:rFonts w:hint="cs"/>
          <w:sz w:val="20"/>
          <w:szCs w:val="20"/>
          <w:rtl/>
        </w:rPr>
        <w:t xml:space="preserve"> לדברי הרמ"א כאן שהעראה אינה כגמר ביאה ואינה אוסרת, ממילא הרי זה כאילו לא בעל ואסורים לישון ללא שמירה. ומכל מקום כתב שיש להקל בדין זה ולהצריך שמירה אחת בלבד </w:t>
      </w:r>
      <w:r w:rsidRPr="00445862">
        <w:rPr>
          <w:rFonts w:hint="cs"/>
          <w:sz w:val="18"/>
          <w:szCs w:val="18"/>
          <w:rtl/>
        </w:rPr>
        <w:t>(ועיין לעיל בסימן קצב' שכתב להקל לישון ע"י שתנעל את עצמה בחדר ותו לא</w:t>
      </w:r>
      <w:r>
        <w:rPr>
          <w:rFonts w:hint="cs"/>
          <w:sz w:val="18"/>
          <w:szCs w:val="18"/>
          <w:rtl/>
        </w:rPr>
        <w:t xml:space="preserve">, אך עיי"ש </w:t>
      </w:r>
      <w:r w:rsidRPr="00360E79">
        <w:rPr>
          <w:rFonts w:hint="cs"/>
          <w:b/>
          <w:bCs/>
          <w:sz w:val="18"/>
          <w:szCs w:val="18"/>
          <w:rtl/>
        </w:rPr>
        <w:t>שטה"ב</w:t>
      </w:r>
      <w:r>
        <w:rPr>
          <w:rFonts w:hint="cs"/>
          <w:sz w:val="18"/>
          <w:szCs w:val="18"/>
          <w:rtl/>
        </w:rPr>
        <w:t xml:space="preserve"> הקל יותר</w:t>
      </w:r>
      <w:r w:rsidRPr="00445862">
        <w:rPr>
          <w:rFonts w:hint="cs"/>
          <w:sz w:val="18"/>
          <w:szCs w:val="18"/>
          <w:rtl/>
        </w:rPr>
        <w:t>)</w:t>
      </w:r>
      <w:r>
        <w:rPr>
          <w:rFonts w:hint="cs"/>
          <w:sz w:val="20"/>
          <w:szCs w:val="20"/>
          <w:rtl/>
        </w:rPr>
        <w:t>.</w:t>
      </w:r>
    </w:p>
    <w:p w:rsidR="00620060" w:rsidRDefault="00620060" w:rsidP="00620060">
      <w:pPr>
        <w:rPr>
          <w:sz w:val="20"/>
          <w:szCs w:val="20"/>
          <w:rtl/>
        </w:rPr>
      </w:pPr>
      <w:r>
        <w:rPr>
          <w:rFonts w:hint="cs"/>
          <w:sz w:val="20"/>
          <w:szCs w:val="20"/>
          <w:u w:val="single"/>
          <w:rtl/>
        </w:rPr>
        <w:t>דין אשה שברור שאין לה בתולים (בדי השולחן סקי"ד)</w:t>
      </w:r>
      <w:r>
        <w:rPr>
          <w:sz w:val="20"/>
          <w:szCs w:val="20"/>
          <w:u w:val="single"/>
          <w:rtl/>
        </w:rPr>
        <w:br/>
      </w:r>
      <w:r>
        <w:rPr>
          <w:rFonts w:hint="cs"/>
          <w:sz w:val="20"/>
          <w:szCs w:val="20"/>
          <w:rtl/>
        </w:rPr>
        <w:t>מה דין אשה מוכת עץ וכדומה, האם גם היא נאסרת לאחר הביאה הראשונה?</w:t>
      </w:r>
      <w:r>
        <w:rPr>
          <w:rFonts w:hint="cs"/>
          <w:sz w:val="20"/>
          <w:szCs w:val="20"/>
          <w:rtl/>
        </w:rPr>
        <w:br/>
        <w:t xml:space="preserve">א. </w:t>
      </w:r>
      <w:r>
        <w:rPr>
          <w:rFonts w:hint="cs"/>
          <w:b/>
          <w:bCs/>
          <w:sz w:val="20"/>
          <w:szCs w:val="20"/>
          <w:rtl/>
        </w:rPr>
        <w:t>זרע אמת</w:t>
      </w:r>
      <w:r>
        <w:rPr>
          <w:rFonts w:hint="cs"/>
          <w:sz w:val="20"/>
          <w:szCs w:val="20"/>
          <w:rtl/>
        </w:rPr>
        <w:t xml:space="preserve"> </w:t>
      </w:r>
      <w:r>
        <w:rPr>
          <w:sz w:val="20"/>
          <w:szCs w:val="20"/>
          <w:rtl/>
        </w:rPr>
        <w:t>–</w:t>
      </w:r>
      <w:r>
        <w:rPr>
          <w:rFonts w:hint="cs"/>
          <w:sz w:val="20"/>
          <w:szCs w:val="20"/>
          <w:rtl/>
        </w:rPr>
        <w:t xml:space="preserve"> כן.</w:t>
      </w:r>
      <w:r>
        <w:rPr>
          <w:rFonts w:hint="cs"/>
          <w:sz w:val="20"/>
          <w:szCs w:val="20"/>
          <w:u w:val="single"/>
          <w:rtl/>
        </w:rPr>
        <w:br/>
      </w:r>
      <w:r w:rsidRPr="000D6954">
        <w:rPr>
          <w:rFonts w:hint="cs"/>
          <w:b/>
          <w:bCs/>
          <w:sz w:val="20"/>
          <w:szCs w:val="20"/>
          <w:rtl/>
        </w:rPr>
        <w:t>טעם</w:t>
      </w:r>
      <w:r w:rsidRPr="000D6954">
        <w:rPr>
          <w:rFonts w:hint="cs"/>
          <w:sz w:val="20"/>
          <w:szCs w:val="20"/>
          <w:rtl/>
        </w:rPr>
        <w:t xml:space="preserve"> </w:t>
      </w:r>
      <w:r w:rsidRPr="000D6954">
        <w:rPr>
          <w:sz w:val="20"/>
          <w:szCs w:val="20"/>
          <w:rtl/>
        </w:rPr>
        <w:t>–</w:t>
      </w:r>
      <w:r w:rsidRPr="000D6954">
        <w:rPr>
          <w:rFonts w:hint="cs"/>
          <w:sz w:val="20"/>
          <w:szCs w:val="20"/>
          <w:rtl/>
        </w:rPr>
        <w:t xml:space="preserve"> חכמים לא חילקו בגזירתם וטימאו בכל עניין.</w:t>
      </w:r>
      <w:r>
        <w:rPr>
          <w:rFonts w:hint="cs"/>
          <w:sz w:val="20"/>
          <w:szCs w:val="20"/>
          <w:u w:val="single"/>
          <w:rtl/>
        </w:rPr>
        <w:br/>
      </w:r>
      <w:r>
        <w:rPr>
          <w:rFonts w:hint="cs"/>
          <w:sz w:val="20"/>
          <w:szCs w:val="20"/>
          <w:rtl/>
        </w:rPr>
        <w:t xml:space="preserve">ב. </w:t>
      </w:r>
      <w:r>
        <w:rPr>
          <w:rFonts w:hint="cs"/>
          <w:b/>
          <w:bCs/>
          <w:sz w:val="20"/>
          <w:szCs w:val="20"/>
          <w:rtl/>
        </w:rPr>
        <w:t>מהרש"א</w:t>
      </w:r>
      <w:r>
        <w:rPr>
          <w:rFonts w:hint="cs"/>
          <w:sz w:val="20"/>
          <w:szCs w:val="20"/>
          <w:rtl/>
        </w:rPr>
        <w:t xml:space="preserve"> </w:t>
      </w:r>
      <w:r>
        <w:rPr>
          <w:sz w:val="20"/>
          <w:szCs w:val="20"/>
          <w:rtl/>
        </w:rPr>
        <w:t>–</w:t>
      </w:r>
      <w:r>
        <w:rPr>
          <w:rFonts w:hint="cs"/>
          <w:sz w:val="20"/>
          <w:szCs w:val="20"/>
          <w:rtl/>
        </w:rPr>
        <w:t xml:space="preserve"> לא.</w:t>
      </w:r>
    </w:p>
    <w:p w:rsidR="00620060" w:rsidRDefault="00620060" w:rsidP="00620060">
      <w:pPr>
        <w:rPr>
          <w:sz w:val="20"/>
          <w:szCs w:val="20"/>
          <w:u w:val="single"/>
          <w:rtl/>
        </w:rPr>
      </w:pPr>
      <w:r>
        <w:rPr>
          <w:rFonts w:hint="cs"/>
          <w:sz w:val="20"/>
          <w:szCs w:val="20"/>
          <w:u w:val="single"/>
          <w:rtl/>
        </w:rPr>
        <w:t>הוצאת בתולים בטיפול רפואי</w:t>
      </w:r>
      <w:r>
        <w:rPr>
          <w:rFonts w:hint="cs"/>
          <w:sz w:val="20"/>
          <w:szCs w:val="20"/>
          <w:rtl/>
        </w:rPr>
        <w:br/>
        <w:t>אשה שהוציאו את בתוליה ע"י טיפול רפואי, האם מותרת לבעלה או צריכה לישב ז' נקיים?</w:t>
      </w:r>
      <w:r>
        <w:rPr>
          <w:sz w:val="20"/>
          <w:szCs w:val="20"/>
          <w:rtl/>
        </w:rPr>
        <w:br/>
      </w:r>
      <w:r>
        <w:rPr>
          <w:rFonts w:hint="cs"/>
          <w:sz w:val="20"/>
          <w:szCs w:val="20"/>
          <w:rtl/>
        </w:rPr>
        <w:t xml:space="preserve">א. </w:t>
      </w:r>
      <w:r w:rsidRPr="00B573A4">
        <w:rPr>
          <w:rFonts w:hint="cs"/>
          <w:b/>
          <w:bCs/>
          <w:sz w:val="20"/>
          <w:szCs w:val="20"/>
          <w:rtl/>
        </w:rPr>
        <w:t>אג"מ</w:t>
      </w:r>
      <w:r>
        <w:rPr>
          <w:rFonts w:hint="cs"/>
          <w:sz w:val="20"/>
          <w:szCs w:val="20"/>
          <w:rtl/>
        </w:rPr>
        <w:t xml:space="preserve"> - מותרת לבעלה מייד.</w:t>
      </w:r>
      <w:r>
        <w:rPr>
          <w:rFonts w:hint="cs"/>
          <w:sz w:val="20"/>
          <w:szCs w:val="20"/>
          <w:u w:val="single"/>
          <w:rtl/>
        </w:rPr>
        <w:br/>
      </w:r>
      <w:r w:rsidRPr="00B573A4">
        <w:rPr>
          <w:rFonts w:hint="cs"/>
          <w:b/>
          <w:bCs/>
          <w:sz w:val="20"/>
          <w:szCs w:val="20"/>
          <w:rtl/>
        </w:rPr>
        <w:t xml:space="preserve">טעם </w:t>
      </w:r>
      <w:r w:rsidRPr="00B573A4">
        <w:rPr>
          <w:sz w:val="20"/>
          <w:szCs w:val="20"/>
          <w:rtl/>
        </w:rPr>
        <w:t>–</w:t>
      </w:r>
      <w:r w:rsidRPr="00B573A4">
        <w:rPr>
          <w:rFonts w:hint="cs"/>
          <w:sz w:val="20"/>
          <w:szCs w:val="20"/>
          <w:rtl/>
        </w:rPr>
        <w:t xml:space="preserve"> דם בתולים אינו דם נידה אלא דם מכה, אך חכמים אסרוהו כשיצא ע"י ביאה.</w:t>
      </w:r>
      <w:r>
        <w:rPr>
          <w:rFonts w:hint="cs"/>
          <w:sz w:val="20"/>
          <w:szCs w:val="20"/>
          <w:u w:val="single"/>
          <w:rtl/>
        </w:rPr>
        <w:br/>
      </w:r>
      <w:r>
        <w:rPr>
          <w:rFonts w:hint="cs"/>
          <w:sz w:val="20"/>
          <w:szCs w:val="20"/>
          <w:rtl/>
        </w:rPr>
        <w:t xml:space="preserve">ב. </w:t>
      </w:r>
      <w:r w:rsidRPr="00B46BFB">
        <w:rPr>
          <w:rFonts w:hint="cs"/>
          <w:b/>
          <w:bCs/>
          <w:sz w:val="20"/>
          <w:szCs w:val="20"/>
          <w:rtl/>
        </w:rPr>
        <w:t>בדה"ש</w:t>
      </w:r>
      <w:r>
        <w:rPr>
          <w:rFonts w:hint="cs"/>
          <w:sz w:val="20"/>
          <w:szCs w:val="20"/>
          <w:rtl/>
        </w:rPr>
        <w:t xml:space="preserve"> </w:t>
      </w:r>
      <w:r>
        <w:rPr>
          <w:sz w:val="20"/>
          <w:szCs w:val="20"/>
          <w:rtl/>
        </w:rPr>
        <w:t>–</w:t>
      </w:r>
      <w:r>
        <w:rPr>
          <w:rFonts w:hint="cs"/>
          <w:sz w:val="20"/>
          <w:szCs w:val="20"/>
          <w:rtl/>
        </w:rPr>
        <w:t xml:space="preserve"> צריכה לישב ז' נקיים.</w:t>
      </w:r>
      <w:r>
        <w:rPr>
          <w:sz w:val="20"/>
          <w:szCs w:val="20"/>
          <w:rtl/>
        </w:rPr>
        <w:br/>
      </w:r>
      <w:r w:rsidRPr="00B46BFB">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טעמי החשש המבוארים לעיל בריש הסימן שייכים גם כאן.</w:t>
      </w:r>
      <w:r>
        <w:rPr>
          <w:sz w:val="20"/>
          <w:szCs w:val="20"/>
          <w:rtl/>
        </w:rPr>
        <w:br/>
      </w:r>
      <w:r>
        <w:rPr>
          <w:rFonts w:hint="cs"/>
          <w:sz w:val="20"/>
          <w:szCs w:val="20"/>
          <w:rtl/>
        </w:rPr>
        <w:t xml:space="preserve">כלומר </w:t>
      </w:r>
      <w:r>
        <w:rPr>
          <w:sz w:val="20"/>
          <w:szCs w:val="20"/>
          <w:rtl/>
        </w:rPr>
        <w:t>–</w:t>
      </w:r>
      <w:r>
        <w:rPr>
          <w:rFonts w:hint="cs"/>
          <w:sz w:val="20"/>
          <w:szCs w:val="20"/>
          <w:rtl/>
        </w:rPr>
        <w:t xml:space="preserve"> חשש שמא דם נידות מעורב בו; חשש משום שביאה לכל מסורה ויבואו להקל יותר; חשש משום שהחתן יצרו תוקפו יותר ויבוא להקל טפי.</w:t>
      </w:r>
      <w:r>
        <w:rPr>
          <w:rStyle w:val="a5"/>
          <w:sz w:val="20"/>
          <w:szCs w:val="20"/>
          <w:rtl/>
        </w:rPr>
        <w:footnoteReference w:id="406"/>
      </w:r>
    </w:p>
    <w:p w:rsidR="00620060" w:rsidRPr="00333660" w:rsidRDefault="00620060" w:rsidP="00620060">
      <w:pPr>
        <w:rPr>
          <w:b/>
          <w:bCs/>
          <w:sz w:val="20"/>
          <w:szCs w:val="20"/>
        </w:rPr>
      </w:pPr>
      <w:r>
        <w:rPr>
          <w:rFonts w:hint="cs"/>
          <w:sz w:val="20"/>
          <w:szCs w:val="20"/>
          <w:u w:val="single"/>
          <w:rtl/>
        </w:rPr>
        <w:t>ראתה דם בתולים בביאה שנייה</w:t>
      </w:r>
      <w:r>
        <w:rPr>
          <w:sz w:val="20"/>
          <w:szCs w:val="20"/>
          <w:u w:val="single"/>
          <w:rtl/>
        </w:rPr>
        <w:br/>
      </w:r>
      <w:r w:rsidRPr="004E2371">
        <w:rPr>
          <w:rFonts w:hint="cs"/>
          <w:b/>
          <w:bCs/>
          <w:sz w:val="20"/>
          <w:szCs w:val="20"/>
          <w:rtl/>
        </w:rPr>
        <w:t>ערוך השולחן</w:t>
      </w:r>
      <w:r>
        <w:rPr>
          <w:rFonts w:hint="cs"/>
          <w:sz w:val="20"/>
          <w:szCs w:val="20"/>
          <w:rtl/>
        </w:rPr>
        <w:t xml:space="preserve"> </w:t>
      </w:r>
      <w:r>
        <w:rPr>
          <w:sz w:val="20"/>
          <w:szCs w:val="20"/>
          <w:rtl/>
        </w:rPr>
        <w:t>–</w:t>
      </w:r>
      <w:r>
        <w:rPr>
          <w:rFonts w:hint="cs"/>
          <w:sz w:val="20"/>
          <w:szCs w:val="20"/>
          <w:rtl/>
        </w:rPr>
        <w:t xml:space="preserve"> "</w:t>
      </w:r>
      <w:r w:rsidRPr="00DC5B57">
        <w:rPr>
          <w:rFonts w:cs="Arial" w:hint="cs"/>
          <w:sz w:val="20"/>
          <w:szCs w:val="20"/>
          <w:rtl/>
        </w:rPr>
        <w:t>דבר</w:t>
      </w:r>
      <w:r w:rsidRPr="00DC5B57">
        <w:rPr>
          <w:rFonts w:cs="Arial"/>
          <w:sz w:val="20"/>
          <w:szCs w:val="20"/>
          <w:rtl/>
        </w:rPr>
        <w:t xml:space="preserve"> </w:t>
      </w:r>
      <w:r w:rsidRPr="00DC5B57">
        <w:rPr>
          <w:rFonts w:cs="Arial" w:hint="cs"/>
          <w:sz w:val="20"/>
          <w:szCs w:val="20"/>
          <w:rtl/>
        </w:rPr>
        <w:t>ידוע</w:t>
      </w:r>
      <w:r w:rsidRPr="00DC5B57">
        <w:rPr>
          <w:rFonts w:cs="Arial"/>
          <w:sz w:val="20"/>
          <w:szCs w:val="20"/>
          <w:rtl/>
        </w:rPr>
        <w:t xml:space="preserve"> </w:t>
      </w:r>
      <w:r w:rsidRPr="00DC5B57">
        <w:rPr>
          <w:rFonts w:cs="Arial" w:hint="cs"/>
          <w:sz w:val="20"/>
          <w:szCs w:val="20"/>
          <w:rtl/>
        </w:rPr>
        <w:t>ובדוק</w:t>
      </w:r>
      <w:r w:rsidRPr="00DC5B57">
        <w:rPr>
          <w:rFonts w:cs="Arial"/>
          <w:sz w:val="20"/>
          <w:szCs w:val="20"/>
          <w:rtl/>
        </w:rPr>
        <w:t xml:space="preserve"> </w:t>
      </w:r>
      <w:r w:rsidRPr="00DC5B57">
        <w:rPr>
          <w:rFonts w:cs="Arial" w:hint="cs"/>
          <w:sz w:val="20"/>
          <w:szCs w:val="20"/>
          <w:rtl/>
        </w:rPr>
        <w:t>ומנוסה</w:t>
      </w:r>
      <w:r w:rsidRPr="00DC5B57">
        <w:rPr>
          <w:rFonts w:cs="Arial"/>
          <w:sz w:val="20"/>
          <w:szCs w:val="20"/>
          <w:rtl/>
        </w:rPr>
        <w:t xml:space="preserve"> </w:t>
      </w:r>
      <w:r w:rsidRPr="00DC5B57">
        <w:rPr>
          <w:rFonts w:cs="Arial" w:hint="cs"/>
          <w:sz w:val="20"/>
          <w:szCs w:val="20"/>
          <w:rtl/>
        </w:rPr>
        <w:t>שלא</w:t>
      </w:r>
      <w:r w:rsidRPr="00DC5B57">
        <w:rPr>
          <w:rFonts w:cs="Arial"/>
          <w:sz w:val="20"/>
          <w:szCs w:val="20"/>
          <w:rtl/>
        </w:rPr>
        <w:t xml:space="preserve"> </w:t>
      </w:r>
      <w:r w:rsidRPr="00DC5B57">
        <w:rPr>
          <w:rFonts w:cs="Arial" w:hint="cs"/>
          <w:sz w:val="20"/>
          <w:szCs w:val="20"/>
          <w:rtl/>
        </w:rPr>
        <w:t>בביאה</w:t>
      </w:r>
      <w:r w:rsidRPr="00DC5B57">
        <w:rPr>
          <w:rFonts w:cs="Arial"/>
          <w:sz w:val="20"/>
          <w:szCs w:val="20"/>
          <w:rtl/>
        </w:rPr>
        <w:t xml:space="preserve"> </w:t>
      </w:r>
      <w:r w:rsidRPr="00DC5B57">
        <w:rPr>
          <w:rFonts w:cs="Arial" w:hint="cs"/>
          <w:sz w:val="20"/>
          <w:szCs w:val="20"/>
          <w:rtl/>
        </w:rPr>
        <w:t>אחת</w:t>
      </w:r>
      <w:r w:rsidRPr="00DC5B57">
        <w:rPr>
          <w:rFonts w:cs="Arial"/>
          <w:sz w:val="20"/>
          <w:szCs w:val="20"/>
          <w:rtl/>
        </w:rPr>
        <w:t xml:space="preserve"> </w:t>
      </w:r>
      <w:r w:rsidRPr="00DC5B57">
        <w:rPr>
          <w:rFonts w:cs="Arial" w:hint="cs"/>
          <w:sz w:val="20"/>
          <w:szCs w:val="20"/>
          <w:rtl/>
        </w:rPr>
        <w:t>כלו</w:t>
      </w:r>
      <w:r w:rsidRPr="00DC5B57">
        <w:rPr>
          <w:rFonts w:cs="Arial"/>
          <w:sz w:val="20"/>
          <w:szCs w:val="20"/>
          <w:rtl/>
        </w:rPr>
        <w:t xml:space="preserve"> </w:t>
      </w:r>
      <w:r w:rsidRPr="00DC5B57">
        <w:rPr>
          <w:rFonts w:cs="Arial" w:hint="cs"/>
          <w:sz w:val="20"/>
          <w:szCs w:val="20"/>
          <w:rtl/>
        </w:rPr>
        <w:t>הבתולים</w:t>
      </w:r>
      <w:r>
        <w:rPr>
          <w:rFonts w:cs="Arial" w:hint="cs"/>
          <w:sz w:val="20"/>
          <w:szCs w:val="20"/>
          <w:rtl/>
        </w:rPr>
        <w:t>,</w:t>
      </w:r>
      <w:r w:rsidRPr="00DC5B57">
        <w:rPr>
          <w:rFonts w:cs="Arial"/>
          <w:sz w:val="20"/>
          <w:szCs w:val="20"/>
          <w:rtl/>
        </w:rPr>
        <w:t xml:space="preserve"> </w:t>
      </w:r>
      <w:r w:rsidRPr="00DC5B57">
        <w:rPr>
          <w:rFonts w:cs="Arial" w:hint="cs"/>
          <w:sz w:val="20"/>
          <w:szCs w:val="20"/>
          <w:rtl/>
        </w:rPr>
        <w:t>והרבה</w:t>
      </w:r>
      <w:r w:rsidRPr="00DC5B57">
        <w:rPr>
          <w:rFonts w:cs="Arial"/>
          <w:sz w:val="20"/>
          <w:szCs w:val="20"/>
          <w:rtl/>
        </w:rPr>
        <w:t xml:space="preserve"> </w:t>
      </w:r>
      <w:r w:rsidRPr="00DC5B57">
        <w:rPr>
          <w:rFonts w:cs="Arial" w:hint="cs"/>
          <w:sz w:val="20"/>
          <w:szCs w:val="20"/>
          <w:rtl/>
        </w:rPr>
        <w:t>יש</w:t>
      </w:r>
      <w:r w:rsidRPr="00DC5B57">
        <w:rPr>
          <w:rFonts w:cs="Arial"/>
          <w:sz w:val="20"/>
          <w:szCs w:val="20"/>
          <w:rtl/>
        </w:rPr>
        <w:t xml:space="preserve"> </w:t>
      </w:r>
      <w:r w:rsidRPr="00DC5B57">
        <w:rPr>
          <w:rFonts w:cs="Arial" w:hint="cs"/>
          <w:sz w:val="20"/>
          <w:szCs w:val="20"/>
          <w:rtl/>
        </w:rPr>
        <w:t>שגם</w:t>
      </w:r>
      <w:r w:rsidRPr="00DC5B57">
        <w:rPr>
          <w:rFonts w:cs="Arial"/>
          <w:sz w:val="20"/>
          <w:szCs w:val="20"/>
          <w:rtl/>
        </w:rPr>
        <w:t xml:space="preserve"> </w:t>
      </w:r>
      <w:r w:rsidRPr="00DC5B57">
        <w:rPr>
          <w:rFonts w:cs="Arial" w:hint="cs"/>
          <w:sz w:val="20"/>
          <w:szCs w:val="20"/>
          <w:rtl/>
        </w:rPr>
        <w:t>אחרי</w:t>
      </w:r>
      <w:r w:rsidRPr="00DC5B57">
        <w:rPr>
          <w:rFonts w:cs="Arial"/>
          <w:sz w:val="20"/>
          <w:szCs w:val="20"/>
          <w:rtl/>
        </w:rPr>
        <w:t xml:space="preserve"> </w:t>
      </w:r>
      <w:r w:rsidRPr="00DC5B57">
        <w:rPr>
          <w:rFonts w:cs="Arial" w:hint="cs"/>
          <w:sz w:val="20"/>
          <w:szCs w:val="20"/>
          <w:rtl/>
        </w:rPr>
        <w:t>טהרתן</w:t>
      </w:r>
      <w:r w:rsidRPr="00DC5B57">
        <w:rPr>
          <w:rFonts w:cs="Arial"/>
          <w:sz w:val="20"/>
          <w:szCs w:val="20"/>
          <w:rtl/>
        </w:rPr>
        <w:t xml:space="preserve"> </w:t>
      </w:r>
      <w:r w:rsidRPr="00DC5B57">
        <w:rPr>
          <w:rFonts w:cs="Arial" w:hint="cs"/>
          <w:sz w:val="20"/>
          <w:szCs w:val="20"/>
          <w:rtl/>
        </w:rPr>
        <w:t>בביאה</w:t>
      </w:r>
      <w:r w:rsidRPr="00DC5B57">
        <w:rPr>
          <w:rFonts w:cs="Arial"/>
          <w:sz w:val="20"/>
          <w:szCs w:val="20"/>
          <w:rtl/>
        </w:rPr>
        <w:t xml:space="preserve"> </w:t>
      </w:r>
      <w:r w:rsidRPr="00DC5B57">
        <w:rPr>
          <w:rFonts w:cs="Arial" w:hint="cs"/>
          <w:sz w:val="20"/>
          <w:szCs w:val="20"/>
          <w:rtl/>
        </w:rPr>
        <w:t>שנייה</w:t>
      </w:r>
      <w:r w:rsidRPr="00DC5B57">
        <w:rPr>
          <w:rFonts w:cs="Arial"/>
          <w:sz w:val="20"/>
          <w:szCs w:val="20"/>
          <w:rtl/>
        </w:rPr>
        <w:t xml:space="preserve"> </w:t>
      </w:r>
      <w:r w:rsidRPr="00DC5B57">
        <w:rPr>
          <w:rFonts w:cs="Arial" w:hint="cs"/>
          <w:sz w:val="20"/>
          <w:szCs w:val="20"/>
          <w:rtl/>
        </w:rPr>
        <w:t>היא</w:t>
      </w:r>
      <w:r w:rsidRPr="00DC5B57">
        <w:rPr>
          <w:rFonts w:cs="Arial"/>
          <w:sz w:val="20"/>
          <w:szCs w:val="20"/>
          <w:rtl/>
        </w:rPr>
        <w:t xml:space="preserve"> </w:t>
      </w:r>
      <w:r w:rsidRPr="00DC5B57">
        <w:rPr>
          <w:rFonts w:cs="Arial" w:hint="cs"/>
          <w:sz w:val="20"/>
          <w:szCs w:val="20"/>
          <w:rtl/>
        </w:rPr>
        <w:t>רואה</w:t>
      </w:r>
      <w:r w:rsidRPr="00DC5B57">
        <w:rPr>
          <w:rFonts w:cs="Arial"/>
          <w:sz w:val="20"/>
          <w:szCs w:val="20"/>
          <w:rtl/>
        </w:rPr>
        <w:t xml:space="preserve"> </w:t>
      </w:r>
      <w:r w:rsidRPr="00DC5B57">
        <w:rPr>
          <w:rFonts w:cs="Arial" w:hint="cs"/>
          <w:sz w:val="20"/>
          <w:szCs w:val="20"/>
          <w:rtl/>
        </w:rPr>
        <w:t>בתולים</w:t>
      </w:r>
      <w:r>
        <w:rPr>
          <w:rFonts w:cs="Arial" w:hint="cs"/>
          <w:sz w:val="20"/>
          <w:szCs w:val="20"/>
          <w:rtl/>
        </w:rPr>
        <w:t>,</w:t>
      </w:r>
      <w:r w:rsidRPr="00DC5B57">
        <w:rPr>
          <w:rFonts w:cs="Arial"/>
          <w:sz w:val="20"/>
          <w:szCs w:val="20"/>
          <w:rtl/>
        </w:rPr>
        <w:t xml:space="preserve"> </w:t>
      </w:r>
      <w:r w:rsidRPr="00DC5B57">
        <w:rPr>
          <w:rFonts w:cs="Arial" w:hint="cs"/>
          <w:sz w:val="20"/>
          <w:szCs w:val="20"/>
          <w:rtl/>
        </w:rPr>
        <w:t>ולפעמים</w:t>
      </w:r>
      <w:r w:rsidRPr="00DC5B57">
        <w:rPr>
          <w:rFonts w:cs="Arial"/>
          <w:sz w:val="20"/>
          <w:szCs w:val="20"/>
          <w:rtl/>
        </w:rPr>
        <w:t xml:space="preserve"> </w:t>
      </w:r>
      <w:r w:rsidRPr="00DC5B57">
        <w:rPr>
          <w:rFonts w:cs="Arial" w:hint="cs"/>
          <w:sz w:val="20"/>
          <w:szCs w:val="20"/>
          <w:rtl/>
        </w:rPr>
        <w:t>גם</w:t>
      </w:r>
      <w:r w:rsidRPr="00DC5B57">
        <w:rPr>
          <w:rFonts w:cs="Arial"/>
          <w:sz w:val="20"/>
          <w:szCs w:val="20"/>
          <w:rtl/>
        </w:rPr>
        <w:t xml:space="preserve"> </w:t>
      </w:r>
      <w:r w:rsidRPr="00DC5B57">
        <w:rPr>
          <w:rFonts w:cs="Arial" w:hint="cs"/>
          <w:sz w:val="20"/>
          <w:szCs w:val="20"/>
          <w:rtl/>
        </w:rPr>
        <w:t>בשלישית</w:t>
      </w:r>
      <w:r>
        <w:rPr>
          <w:rFonts w:cs="Arial" w:hint="cs"/>
          <w:sz w:val="20"/>
          <w:szCs w:val="20"/>
          <w:rtl/>
        </w:rPr>
        <w:t>.</w:t>
      </w:r>
      <w:r w:rsidRPr="00DC5B57">
        <w:rPr>
          <w:rFonts w:cs="Arial"/>
          <w:sz w:val="20"/>
          <w:szCs w:val="20"/>
          <w:rtl/>
        </w:rPr>
        <w:t xml:space="preserve"> </w:t>
      </w:r>
      <w:r w:rsidRPr="00DC5B57">
        <w:rPr>
          <w:rFonts w:cs="Arial" w:hint="cs"/>
          <w:sz w:val="20"/>
          <w:szCs w:val="20"/>
          <w:rtl/>
        </w:rPr>
        <w:t>ולכן</w:t>
      </w:r>
      <w:r w:rsidRPr="00DC5B57">
        <w:rPr>
          <w:rFonts w:cs="Arial"/>
          <w:sz w:val="20"/>
          <w:szCs w:val="20"/>
          <w:rtl/>
        </w:rPr>
        <w:t xml:space="preserve"> </w:t>
      </w:r>
      <w:r w:rsidRPr="00DC5B57">
        <w:rPr>
          <w:rFonts w:cs="Arial" w:hint="cs"/>
          <w:sz w:val="20"/>
          <w:szCs w:val="20"/>
          <w:rtl/>
        </w:rPr>
        <w:t>צריכות</w:t>
      </w:r>
      <w:r w:rsidRPr="00DC5B57">
        <w:rPr>
          <w:rFonts w:cs="Arial"/>
          <w:sz w:val="20"/>
          <w:szCs w:val="20"/>
          <w:rtl/>
        </w:rPr>
        <w:t xml:space="preserve"> </w:t>
      </w:r>
      <w:r w:rsidRPr="00DC5B57">
        <w:rPr>
          <w:rFonts w:cs="Arial" w:hint="cs"/>
          <w:sz w:val="20"/>
          <w:szCs w:val="20"/>
          <w:rtl/>
        </w:rPr>
        <w:t>ליזהר</w:t>
      </w:r>
      <w:r w:rsidRPr="00DC5B57">
        <w:rPr>
          <w:rFonts w:cs="Arial"/>
          <w:sz w:val="20"/>
          <w:szCs w:val="20"/>
          <w:rtl/>
        </w:rPr>
        <w:t xml:space="preserve"> </w:t>
      </w:r>
      <w:r w:rsidRPr="00DC5B57">
        <w:rPr>
          <w:rFonts w:cs="Arial" w:hint="cs"/>
          <w:sz w:val="20"/>
          <w:szCs w:val="20"/>
          <w:rtl/>
        </w:rPr>
        <w:t>לראות</w:t>
      </w:r>
      <w:r w:rsidRPr="00DC5B57">
        <w:rPr>
          <w:rFonts w:cs="Arial"/>
          <w:sz w:val="20"/>
          <w:szCs w:val="20"/>
          <w:rtl/>
        </w:rPr>
        <w:t xml:space="preserve"> </w:t>
      </w:r>
      <w:r w:rsidRPr="00DC5B57">
        <w:rPr>
          <w:rFonts w:cs="Arial" w:hint="cs"/>
          <w:sz w:val="20"/>
          <w:szCs w:val="20"/>
          <w:rtl/>
        </w:rPr>
        <w:t>על</w:t>
      </w:r>
      <w:r w:rsidRPr="00DC5B57">
        <w:rPr>
          <w:rFonts w:cs="Arial"/>
          <w:sz w:val="20"/>
          <w:szCs w:val="20"/>
          <w:rtl/>
        </w:rPr>
        <w:t xml:space="preserve"> </w:t>
      </w:r>
      <w:r w:rsidRPr="00DC5B57">
        <w:rPr>
          <w:rFonts w:cs="Arial" w:hint="cs"/>
          <w:sz w:val="20"/>
          <w:szCs w:val="20"/>
          <w:rtl/>
        </w:rPr>
        <w:t>הסדין</w:t>
      </w:r>
      <w:r w:rsidRPr="00DC5B57">
        <w:rPr>
          <w:rFonts w:cs="Arial"/>
          <w:sz w:val="20"/>
          <w:szCs w:val="20"/>
          <w:rtl/>
        </w:rPr>
        <w:t xml:space="preserve"> </w:t>
      </w:r>
      <w:r w:rsidRPr="00DC5B57">
        <w:rPr>
          <w:rFonts w:cs="Arial" w:hint="cs"/>
          <w:sz w:val="20"/>
          <w:szCs w:val="20"/>
          <w:rtl/>
        </w:rPr>
        <w:t>גם</w:t>
      </w:r>
      <w:r w:rsidRPr="00DC5B57">
        <w:rPr>
          <w:rFonts w:cs="Arial"/>
          <w:sz w:val="20"/>
          <w:szCs w:val="20"/>
          <w:rtl/>
        </w:rPr>
        <w:t xml:space="preserve"> </w:t>
      </w:r>
      <w:r w:rsidRPr="00DC5B57">
        <w:rPr>
          <w:rFonts w:cs="Arial" w:hint="cs"/>
          <w:sz w:val="20"/>
          <w:szCs w:val="20"/>
          <w:rtl/>
        </w:rPr>
        <w:t>בפעם</w:t>
      </w:r>
      <w:r w:rsidRPr="00DC5B57">
        <w:rPr>
          <w:rFonts w:cs="Arial"/>
          <w:sz w:val="20"/>
          <w:szCs w:val="20"/>
          <w:rtl/>
        </w:rPr>
        <w:t xml:space="preserve"> </w:t>
      </w:r>
      <w:r w:rsidRPr="00DC5B57">
        <w:rPr>
          <w:rFonts w:cs="Arial" w:hint="cs"/>
          <w:sz w:val="20"/>
          <w:szCs w:val="20"/>
          <w:rtl/>
        </w:rPr>
        <w:t>שנייה</w:t>
      </w:r>
      <w:r w:rsidRPr="00DC5B57">
        <w:rPr>
          <w:rFonts w:cs="Arial"/>
          <w:sz w:val="20"/>
          <w:szCs w:val="20"/>
          <w:rtl/>
        </w:rPr>
        <w:t xml:space="preserve"> </w:t>
      </w:r>
      <w:r w:rsidRPr="00DC5B57">
        <w:rPr>
          <w:rFonts w:cs="Arial" w:hint="cs"/>
          <w:sz w:val="20"/>
          <w:szCs w:val="20"/>
          <w:rtl/>
        </w:rPr>
        <w:t>ושלישית</w:t>
      </w:r>
      <w:r>
        <w:rPr>
          <w:rFonts w:cs="Arial" w:hint="cs"/>
          <w:sz w:val="20"/>
          <w:szCs w:val="20"/>
          <w:rtl/>
        </w:rPr>
        <w:t xml:space="preserve">, </w:t>
      </w:r>
      <w:r w:rsidRPr="00DC5B57">
        <w:rPr>
          <w:rFonts w:cs="Arial" w:hint="cs"/>
          <w:sz w:val="20"/>
          <w:szCs w:val="20"/>
          <w:rtl/>
        </w:rPr>
        <w:t>אולי</w:t>
      </w:r>
      <w:r w:rsidRPr="00DC5B57">
        <w:rPr>
          <w:rFonts w:cs="Arial"/>
          <w:sz w:val="20"/>
          <w:szCs w:val="20"/>
          <w:rtl/>
        </w:rPr>
        <w:t xml:space="preserve"> </w:t>
      </w:r>
      <w:r w:rsidRPr="00DC5B57">
        <w:rPr>
          <w:rFonts w:cs="Arial" w:hint="cs"/>
          <w:sz w:val="20"/>
          <w:szCs w:val="20"/>
          <w:rtl/>
        </w:rPr>
        <w:t>יש</w:t>
      </w:r>
      <w:r w:rsidRPr="00DC5B57">
        <w:rPr>
          <w:rFonts w:cs="Arial"/>
          <w:sz w:val="20"/>
          <w:szCs w:val="20"/>
          <w:rtl/>
        </w:rPr>
        <w:t xml:space="preserve"> </w:t>
      </w:r>
      <w:r w:rsidRPr="00DC5B57">
        <w:rPr>
          <w:rFonts w:cs="Arial" w:hint="cs"/>
          <w:sz w:val="20"/>
          <w:szCs w:val="20"/>
          <w:rtl/>
        </w:rPr>
        <w:t>עודנה</w:t>
      </w:r>
      <w:r w:rsidRPr="00DC5B57">
        <w:rPr>
          <w:rFonts w:cs="Arial"/>
          <w:sz w:val="20"/>
          <w:szCs w:val="20"/>
          <w:rtl/>
        </w:rPr>
        <w:t xml:space="preserve"> </w:t>
      </w:r>
      <w:r w:rsidRPr="00DC5B57">
        <w:rPr>
          <w:rFonts w:cs="Arial" w:hint="cs"/>
          <w:sz w:val="20"/>
          <w:szCs w:val="20"/>
          <w:rtl/>
        </w:rPr>
        <w:t>דם</w:t>
      </w:r>
      <w:r w:rsidRPr="00DC5B57">
        <w:rPr>
          <w:rFonts w:cs="Arial"/>
          <w:sz w:val="20"/>
          <w:szCs w:val="20"/>
          <w:rtl/>
        </w:rPr>
        <w:t xml:space="preserve"> </w:t>
      </w:r>
      <w:r w:rsidRPr="00DC5B57">
        <w:rPr>
          <w:rFonts w:cs="Arial" w:hint="cs"/>
          <w:sz w:val="20"/>
          <w:szCs w:val="20"/>
          <w:rtl/>
        </w:rPr>
        <w:t>בתולים</w:t>
      </w:r>
      <w:r>
        <w:rPr>
          <w:rFonts w:cs="Arial" w:hint="cs"/>
          <w:sz w:val="20"/>
          <w:szCs w:val="20"/>
          <w:rtl/>
        </w:rPr>
        <w:t>.</w:t>
      </w:r>
      <w:r w:rsidRPr="00DC5B57">
        <w:rPr>
          <w:rFonts w:cs="Arial"/>
          <w:sz w:val="20"/>
          <w:szCs w:val="20"/>
          <w:rtl/>
        </w:rPr>
        <w:t xml:space="preserve"> </w:t>
      </w:r>
      <w:r w:rsidRPr="00DC5B57">
        <w:rPr>
          <w:rFonts w:cs="Arial" w:hint="cs"/>
          <w:sz w:val="20"/>
          <w:szCs w:val="20"/>
          <w:rtl/>
        </w:rPr>
        <w:t>ואף</w:t>
      </w:r>
      <w:r w:rsidRPr="00DC5B57">
        <w:rPr>
          <w:rFonts w:cs="Arial"/>
          <w:sz w:val="20"/>
          <w:szCs w:val="20"/>
          <w:rtl/>
        </w:rPr>
        <w:t xml:space="preserve"> </w:t>
      </w:r>
      <w:r w:rsidRPr="00DC5B57">
        <w:rPr>
          <w:rFonts w:cs="Arial" w:hint="cs"/>
          <w:sz w:val="20"/>
          <w:szCs w:val="20"/>
          <w:rtl/>
        </w:rPr>
        <w:t>אם</w:t>
      </w:r>
      <w:r w:rsidRPr="00DC5B57">
        <w:rPr>
          <w:rFonts w:cs="Arial"/>
          <w:sz w:val="20"/>
          <w:szCs w:val="20"/>
          <w:rtl/>
        </w:rPr>
        <w:t xml:space="preserve"> </w:t>
      </w:r>
      <w:r w:rsidRPr="00DC5B57">
        <w:rPr>
          <w:rFonts w:cs="Arial" w:hint="cs"/>
          <w:sz w:val="20"/>
          <w:szCs w:val="20"/>
          <w:rtl/>
        </w:rPr>
        <w:t>אינו</w:t>
      </w:r>
      <w:r w:rsidRPr="00DC5B57">
        <w:rPr>
          <w:rFonts w:cs="Arial"/>
          <w:sz w:val="20"/>
          <w:szCs w:val="20"/>
          <w:rtl/>
        </w:rPr>
        <w:t xml:space="preserve"> </w:t>
      </w:r>
      <w:r w:rsidRPr="00DC5B57">
        <w:rPr>
          <w:rFonts w:cs="Arial" w:hint="cs"/>
          <w:sz w:val="20"/>
          <w:szCs w:val="20"/>
          <w:rtl/>
        </w:rPr>
        <w:t>אדום</w:t>
      </w:r>
      <w:r w:rsidRPr="00DC5B57">
        <w:rPr>
          <w:rFonts w:cs="Arial"/>
          <w:sz w:val="20"/>
          <w:szCs w:val="20"/>
          <w:rtl/>
        </w:rPr>
        <w:t xml:space="preserve"> </w:t>
      </w:r>
      <w:r w:rsidRPr="00DC5B57">
        <w:rPr>
          <w:rFonts w:cs="Arial" w:hint="cs"/>
          <w:sz w:val="20"/>
          <w:szCs w:val="20"/>
          <w:rtl/>
        </w:rPr>
        <w:t>כל</w:t>
      </w:r>
      <w:r w:rsidRPr="00DC5B57">
        <w:rPr>
          <w:rFonts w:cs="Arial"/>
          <w:sz w:val="20"/>
          <w:szCs w:val="20"/>
          <w:rtl/>
        </w:rPr>
        <w:t xml:space="preserve"> </w:t>
      </w:r>
      <w:r w:rsidRPr="00DC5B57">
        <w:rPr>
          <w:rFonts w:cs="Arial" w:hint="cs"/>
          <w:sz w:val="20"/>
          <w:szCs w:val="20"/>
          <w:rtl/>
        </w:rPr>
        <w:t>כך</w:t>
      </w:r>
      <w:r>
        <w:rPr>
          <w:rFonts w:cs="Arial" w:hint="cs"/>
          <w:sz w:val="20"/>
          <w:szCs w:val="20"/>
          <w:rtl/>
        </w:rPr>
        <w:t>,</w:t>
      </w:r>
      <w:r w:rsidRPr="00DC5B57">
        <w:rPr>
          <w:rFonts w:cs="Arial"/>
          <w:sz w:val="20"/>
          <w:szCs w:val="20"/>
          <w:rtl/>
        </w:rPr>
        <w:t xml:space="preserve"> </w:t>
      </w:r>
      <w:r w:rsidRPr="00DC5B57">
        <w:rPr>
          <w:rFonts w:cs="Arial" w:hint="cs"/>
          <w:sz w:val="20"/>
          <w:szCs w:val="20"/>
          <w:rtl/>
        </w:rPr>
        <w:t>מ</w:t>
      </w:r>
      <w:r>
        <w:rPr>
          <w:rFonts w:cs="Arial" w:hint="cs"/>
          <w:sz w:val="20"/>
          <w:szCs w:val="20"/>
          <w:rtl/>
        </w:rPr>
        <w:t>כל מקום</w:t>
      </w:r>
      <w:r w:rsidRPr="00DC5B57">
        <w:rPr>
          <w:rFonts w:cs="Arial"/>
          <w:sz w:val="20"/>
          <w:szCs w:val="20"/>
          <w:rtl/>
        </w:rPr>
        <w:t xml:space="preserve"> </w:t>
      </w:r>
      <w:r w:rsidRPr="00DC5B57">
        <w:rPr>
          <w:rFonts w:cs="Arial" w:hint="cs"/>
          <w:sz w:val="20"/>
          <w:szCs w:val="20"/>
          <w:rtl/>
        </w:rPr>
        <w:t>יש</w:t>
      </w:r>
      <w:r w:rsidRPr="00DC5B57">
        <w:rPr>
          <w:rFonts w:cs="Arial"/>
          <w:sz w:val="20"/>
          <w:szCs w:val="20"/>
          <w:rtl/>
        </w:rPr>
        <w:t xml:space="preserve"> </w:t>
      </w:r>
      <w:r w:rsidRPr="00DC5B57">
        <w:rPr>
          <w:rFonts w:cs="Arial" w:hint="cs"/>
          <w:sz w:val="20"/>
          <w:szCs w:val="20"/>
          <w:rtl/>
        </w:rPr>
        <w:t>להחמיר</w:t>
      </w:r>
      <w:r w:rsidRPr="00DC5B57">
        <w:rPr>
          <w:rFonts w:cs="Arial"/>
          <w:sz w:val="20"/>
          <w:szCs w:val="20"/>
          <w:rtl/>
        </w:rPr>
        <w:t xml:space="preserve"> </w:t>
      </w:r>
      <w:r w:rsidRPr="00DC5B57">
        <w:rPr>
          <w:rFonts w:cs="Arial" w:hint="cs"/>
          <w:sz w:val="20"/>
          <w:szCs w:val="20"/>
          <w:rtl/>
        </w:rPr>
        <w:t>ולפרוש</w:t>
      </w:r>
      <w:r w:rsidRPr="00DC5B57">
        <w:rPr>
          <w:rFonts w:cs="Arial"/>
          <w:sz w:val="20"/>
          <w:szCs w:val="20"/>
          <w:rtl/>
        </w:rPr>
        <w:t xml:space="preserve"> </w:t>
      </w:r>
      <w:r w:rsidRPr="00DC5B57">
        <w:rPr>
          <w:rFonts w:cs="Arial" w:hint="cs"/>
          <w:sz w:val="20"/>
          <w:szCs w:val="20"/>
          <w:rtl/>
        </w:rPr>
        <w:t>הימנה</w:t>
      </w:r>
      <w:r w:rsidRPr="00DC5B57">
        <w:rPr>
          <w:rFonts w:cs="Arial"/>
          <w:sz w:val="20"/>
          <w:szCs w:val="20"/>
          <w:rtl/>
        </w:rPr>
        <w:t xml:space="preserve"> </w:t>
      </w:r>
      <w:r w:rsidRPr="00DC5B57">
        <w:rPr>
          <w:rFonts w:cs="Arial" w:hint="cs"/>
          <w:sz w:val="20"/>
          <w:szCs w:val="20"/>
          <w:rtl/>
        </w:rPr>
        <w:t>כבפעם</w:t>
      </w:r>
      <w:r w:rsidRPr="00DC5B57">
        <w:rPr>
          <w:rFonts w:cs="Arial"/>
          <w:sz w:val="20"/>
          <w:szCs w:val="20"/>
          <w:rtl/>
        </w:rPr>
        <w:t xml:space="preserve"> </w:t>
      </w:r>
      <w:r w:rsidRPr="00DC5B57">
        <w:rPr>
          <w:rFonts w:cs="Arial" w:hint="cs"/>
          <w:sz w:val="20"/>
          <w:szCs w:val="20"/>
          <w:rtl/>
        </w:rPr>
        <w:t>הראשון</w:t>
      </w:r>
      <w:r>
        <w:rPr>
          <w:rFonts w:cs="Arial" w:hint="cs"/>
          <w:sz w:val="20"/>
          <w:szCs w:val="20"/>
          <w:rtl/>
        </w:rPr>
        <w:t>.</w:t>
      </w:r>
      <w:r w:rsidRPr="00DC5B57">
        <w:rPr>
          <w:rFonts w:cs="Arial"/>
          <w:sz w:val="20"/>
          <w:szCs w:val="20"/>
          <w:rtl/>
        </w:rPr>
        <w:t xml:space="preserve"> </w:t>
      </w:r>
      <w:r w:rsidRPr="00DC5B57">
        <w:rPr>
          <w:rFonts w:cs="Arial" w:hint="cs"/>
          <w:sz w:val="20"/>
          <w:szCs w:val="20"/>
          <w:rtl/>
        </w:rPr>
        <w:t>אך</w:t>
      </w:r>
      <w:r w:rsidRPr="00DC5B57">
        <w:rPr>
          <w:rFonts w:cs="Arial"/>
          <w:sz w:val="20"/>
          <w:szCs w:val="20"/>
          <w:rtl/>
        </w:rPr>
        <w:t xml:space="preserve"> </w:t>
      </w:r>
      <w:r w:rsidRPr="00DC5B57">
        <w:rPr>
          <w:rFonts w:cs="Arial" w:hint="cs"/>
          <w:sz w:val="20"/>
          <w:szCs w:val="20"/>
          <w:rtl/>
        </w:rPr>
        <w:t>אם</w:t>
      </w:r>
      <w:r w:rsidRPr="00DC5B57">
        <w:rPr>
          <w:rFonts w:cs="Arial"/>
          <w:sz w:val="20"/>
          <w:szCs w:val="20"/>
          <w:rtl/>
        </w:rPr>
        <w:t xml:space="preserve"> </w:t>
      </w:r>
      <w:r w:rsidRPr="00DC5B57">
        <w:rPr>
          <w:rFonts w:cs="Arial" w:hint="cs"/>
          <w:sz w:val="20"/>
          <w:szCs w:val="20"/>
          <w:rtl/>
        </w:rPr>
        <w:t>הסדין</w:t>
      </w:r>
      <w:r w:rsidRPr="00DC5B57">
        <w:rPr>
          <w:rFonts w:cs="Arial"/>
          <w:sz w:val="20"/>
          <w:szCs w:val="20"/>
          <w:rtl/>
        </w:rPr>
        <w:t xml:space="preserve"> </w:t>
      </w:r>
      <w:r w:rsidRPr="00DC5B57">
        <w:rPr>
          <w:rFonts w:cs="Arial" w:hint="cs"/>
          <w:sz w:val="20"/>
          <w:szCs w:val="20"/>
          <w:rtl/>
        </w:rPr>
        <w:t>נקי</w:t>
      </w:r>
      <w:r w:rsidRPr="00DC5B57">
        <w:rPr>
          <w:rFonts w:cs="Arial"/>
          <w:sz w:val="20"/>
          <w:szCs w:val="20"/>
          <w:rtl/>
        </w:rPr>
        <w:t xml:space="preserve"> </w:t>
      </w:r>
      <w:r w:rsidRPr="00DC5B57">
        <w:rPr>
          <w:rFonts w:cs="Arial" w:hint="cs"/>
          <w:sz w:val="20"/>
          <w:szCs w:val="20"/>
          <w:rtl/>
        </w:rPr>
        <w:t>מדם</w:t>
      </w:r>
      <w:r w:rsidRPr="00DC5B57">
        <w:rPr>
          <w:rFonts w:cs="Arial"/>
          <w:sz w:val="20"/>
          <w:szCs w:val="20"/>
          <w:rtl/>
        </w:rPr>
        <w:t xml:space="preserve"> </w:t>
      </w:r>
      <w:r w:rsidRPr="00DC5B57">
        <w:rPr>
          <w:rFonts w:cs="Arial" w:hint="cs"/>
          <w:sz w:val="20"/>
          <w:szCs w:val="20"/>
          <w:rtl/>
        </w:rPr>
        <w:t>לא</w:t>
      </w:r>
      <w:r w:rsidRPr="00DC5B57">
        <w:rPr>
          <w:rFonts w:cs="Arial"/>
          <w:sz w:val="20"/>
          <w:szCs w:val="20"/>
          <w:rtl/>
        </w:rPr>
        <w:t xml:space="preserve"> </w:t>
      </w:r>
      <w:r w:rsidRPr="00DC5B57">
        <w:rPr>
          <w:rFonts w:cs="Arial" w:hint="cs"/>
          <w:sz w:val="20"/>
          <w:szCs w:val="20"/>
          <w:rtl/>
        </w:rPr>
        <w:t>חיישינן</w:t>
      </w:r>
      <w:r w:rsidRPr="00DC5B57">
        <w:rPr>
          <w:rFonts w:cs="Arial"/>
          <w:sz w:val="20"/>
          <w:szCs w:val="20"/>
          <w:rtl/>
        </w:rPr>
        <w:t xml:space="preserve"> </w:t>
      </w:r>
      <w:r w:rsidRPr="00DC5B57">
        <w:rPr>
          <w:rFonts w:cs="Arial" w:hint="cs"/>
          <w:sz w:val="20"/>
          <w:szCs w:val="20"/>
          <w:rtl/>
        </w:rPr>
        <w:t>לחיפוי</w:t>
      </w:r>
      <w:r w:rsidRPr="00DC5B57">
        <w:rPr>
          <w:rFonts w:cs="Arial"/>
          <w:sz w:val="20"/>
          <w:szCs w:val="20"/>
          <w:rtl/>
        </w:rPr>
        <w:t xml:space="preserve"> </w:t>
      </w:r>
      <w:r w:rsidRPr="00DC5B57">
        <w:rPr>
          <w:rFonts w:cs="Arial" w:hint="cs"/>
          <w:sz w:val="20"/>
          <w:szCs w:val="20"/>
          <w:rtl/>
        </w:rPr>
        <w:t>שכבת</w:t>
      </w:r>
      <w:r w:rsidRPr="00DC5B57">
        <w:rPr>
          <w:rFonts w:cs="Arial"/>
          <w:sz w:val="20"/>
          <w:szCs w:val="20"/>
          <w:rtl/>
        </w:rPr>
        <w:t xml:space="preserve"> </w:t>
      </w:r>
      <w:r w:rsidRPr="00DC5B57">
        <w:rPr>
          <w:rFonts w:cs="Arial" w:hint="cs"/>
          <w:sz w:val="20"/>
          <w:szCs w:val="20"/>
          <w:rtl/>
        </w:rPr>
        <w:t>זרע</w:t>
      </w:r>
      <w:r>
        <w:rPr>
          <w:rFonts w:cs="Arial" w:hint="cs"/>
          <w:sz w:val="20"/>
          <w:szCs w:val="20"/>
          <w:rtl/>
        </w:rPr>
        <w:t>,</w:t>
      </w:r>
      <w:r w:rsidRPr="00DC5B57">
        <w:rPr>
          <w:rFonts w:cs="Arial"/>
          <w:sz w:val="20"/>
          <w:szCs w:val="20"/>
          <w:rtl/>
        </w:rPr>
        <w:t xml:space="preserve"> </w:t>
      </w:r>
      <w:r w:rsidRPr="00DC5B57">
        <w:rPr>
          <w:rFonts w:cs="Arial" w:hint="cs"/>
          <w:sz w:val="20"/>
          <w:szCs w:val="20"/>
          <w:rtl/>
        </w:rPr>
        <w:t>רק</w:t>
      </w:r>
      <w:r w:rsidRPr="00DC5B57">
        <w:rPr>
          <w:rFonts w:cs="Arial"/>
          <w:sz w:val="20"/>
          <w:szCs w:val="20"/>
          <w:rtl/>
        </w:rPr>
        <w:t xml:space="preserve"> </w:t>
      </w:r>
      <w:r w:rsidRPr="00DC5B57">
        <w:rPr>
          <w:rFonts w:cs="Arial" w:hint="cs"/>
          <w:sz w:val="20"/>
          <w:szCs w:val="20"/>
          <w:rtl/>
        </w:rPr>
        <w:t>בפעם</w:t>
      </w:r>
      <w:r w:rsidRPr="00DC5B57">
        <w:rPr>
          <w:rFonts w:cs="Arial"/>
          <w:sz w:val="20"/>
          <w:szCs w:val="20"/>
          <w:rtl/>
        </w:rPr>
        <w:t xml:space="preserve"> </w:t>
      </w:r>
      <w:r w:rsidRPr="00DC5B57">
        <w:rPr>
          <w:rFonts w:cs="Arial" w:hint="cs"/>
          <w:sz w:val="20"/>
          <w:szCs w:val="20"/>
          <w:rtl/>
        </w:rPr>
        <w:t>הראשון</w:t>
      </w:r>
      <w:r>
        <w:rPr>
          <w:rFonts w:cs="Arial" w:hint="cs"/>
          <w:sz w:val="20"/>
          <w:szCs w:val="20"/>
          <w:rtl/>
        </w:rPr>
        <w:t>".</w:t>
      </w:r>
      <w:r>
        <w:rPr>
          <w:sz w:val="20"/>
          <w:szCs w:val="20"/>
          <w:u w:val="single"/>
          <w:rtl/>
        </w:rPr>
        <w:br/>
      </w:r>
    </w:p>
    <w:p w:rsidR="00620060" w:rsidRPr="00E7576B" w:rsidRDefault="00620060" w:rsidP="00620060">
      <w:pPr>
        <w:rPr>
          <w:sz w:val="20"/>
          <w:szCs w:val="20"/>
          <w:rtl/>
        </w:rPr>
      </w:pPr>
    </w:p>
    <w:p w:rsidR="00620060" w:rsidRPr="000E5A3D" w:rsidRDefault="00620060" w:rsidP="00620060">
      <w:pPr>
        <w:rPr>
          <w:sz w:val="20"/>
          <w:szCs w:val="20"/>
        </w:rPr>
      </w:pPr>
      <w:r>
        <w:rPr>
          <w:b/>
          <w:bCs/>
          <w:sz w:val="20"/>
          <w:szCs w:val="20"/>
          <w:rtl/>
        </w:rPr>
        <w:br/>
      </w: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rsidP="00620060">
      <w:pPr>
        <w:rPr>
          <w:b/>
          <w:bCs/>
          <w:sz w:val="20"/>
          <w:szCs w:val="20"/>
          <w:rtl/>
        </w:rPr>
      </w:pPr>
      <w:r>
        <w:rPr>
          <w:rFonts w:hint="cs"/>
          <w:b/>
          <w:bCs/>
          <w:sz w:val="20"/>
          <w:szCs w:val="20"/>
          <w:rtl/>
        </w:rPr>
        <w:lastRenderedPageBreak/>
        <w:t>בעזרת ה' יתברך</w:t>
      </w:r>
    </w:p>
    <w:p w:rsidR="00620060" w:rsidRDefault="00620060" w:rsidP="00620060">
      <w:pPr>
        <w:rPr>
          <w:b/>
          <w:bCs/>
          <w:sz w:val="20"/>
          <w:szCs w:val="20"/>
          <w:rtl/>
        </w:rPr>
      </w:pPr>
      <w:r>
        <w:rPr>
          <w:rFonts w:hint="cs"/>
          <w:b/>
          <w:bCs/>
          <w:sz w:val="20"/>
          <w:szCs w:val="20"/>
          <w:rtl/>
        </w:rPr>
        <w:t xml:space="preserve">סימן קצד </w:t>
      </w:r>
      <w:r>
        <w:rPr>
          <w:b/>
          <w:bCs/>
          <w:sz w:val="20"/>
          <w:szCs w:val="20"/>
          <w:rtl/>
        </w:rPr>
        <w:t>–</w:t>
      </w:r>
      <w:r>
        <w:rPr>
          <w:rFonts w:hint="cs"/>
          <w:b/>
          <w:bCs/>
          <w:sz w:val="20"/>
          <w:szCs w:val="20"/>
          <w:rtl/>
        </w:rPr>
        <w:t xml:space="preserve"> דין יולדת ומפלת</w:t>
      </w:r>
    </w:p>
    <w:p w:rsidR="00620060" w:rsidRDefault="00620060" w:rsidP="00620060">
      <w:pPr>
        <w:rPr>
          <w:sz w:val="20"/>
          <w:szCs w:val="20"/>
          <w:rtl/>
        </w:rPr>
      </w:pPr>
      <w:r>
        <w:rPr>
          <w:rFonts w:hint="cs"/>
          <w:b/>
          <w:bCs/>
          <w:sz w:val="20"/>
          <w:szCs w:val="20"/>
          <w:rtl/>
        </w:rPr>
        <w:t>סעיף א</w:t>
      </w:r>
      <w:r>
        <w:rPr>
          <w:rFonts w:hint="cs"/>
          <w:b/>
          <w:bCs/>
          <w:sz w:val="20"/>
          <w:szCs w:val="20"/>
          <w:rtl/>
        </w:rPr>
        <w:br/>
      </w:r>
      <w:r w:rsidRPr="00B1310D">
        <w:rPr>
          <w:rStyle w:val="10"/>
          <w:rFonts w:hint="cs"/>
          <w:rtl/>
        </w:rPr>
        <w:t>א. ימי טומאת יולדת</w:t>
      </w:r>
      <w:r>
        <w:rPr>
          <w:b/>
          <w:bCs/>
          <w:sz w:val="20"/>
          <w:szCs w:val="20"/>
          <w:rtl/>
        </w:rPr>
        <w:br/>
      </w:r>
      <w:r w:rsidRPr="00A34481">
        <w:rPr>
          <w:rFonts w:hint="cs"/>
          <w:b/>
          <w:bCs/>
          <w:sz w:val="20"/>
          <w:szCs w:val="20"/>
          <w:rtl/>
        </w:rPr>
        <w:t>ימי טומאה בלידת זכר ונקבה</w:t>
      </w:r>
      <w:r>
        <w:rPr>
          <w:sz w:val="20"/>
          <w:szCs w:val="20"/>
          <w:u w:val="single"/>
          <w:rtl/>
        </w:rPr>
        <w:br/>
      </w:r>
      <w:r>
        <w:rPr>
          <w:rFonts w:hint="cs"/>
          <w:sz w:val="20"/>
          <w:szCs w:val="20"/>
          <w:rtl/>
        </w:rPr>
        <w:t>תורה ספר ויקרא (פרק יב') "</w:t>
      </w:r>
      <w:r w:rsidRPr="009B7FC8">
        <w:rPr>
          <w:rFonts w:cs="Arial" w:hint="cs"/>
          <w:sz w:val="20"/>
          <w:szCs w:val="20"/>
          <w:rtl/>
        </w:rPr>
        <w:t>וַיְדַבֵּר</w:t>
      </w:r>
      <w:r w:rsidRPr="009B7FC8">
        <w:rPr>
          <w:rFonts w:cs="Arial"/>
          <w:sz w:val="20"/>
          <w:szCs w:val="20"/>
          <w:rtl/>
        </w:rPr>
        <w:t xml:space="preserve"> </w:t>
      </w:r>
      <w:r>
        <w:rPr>
          <w:rFonts w:cs="Arial" w:hint="cs"/>
          <w:sz w:val="20"/>
          <w:szCs w:val="20"/>
          <w:rtl/>
        </w:rPr>
        <w:t>ה'</w:t>
      </w:r>
      <w:r w:rsidRPr="009B7FC8">
        <w:rPr>
          <w:rFonts w:cs="Arial"/>
          <w:sz w:val="20"/>
          <w:szCs w:val="20"/>
          <w:rtl/>
        </w:rPr>
        <w:t xml:space="preserve"> </w:t>
      </w:r>
      <w:r w:rsidRPr="009B7FC8">
        <w:rPr>
          <w:rFonts w:cs="Arial" w:hint="cs"/>
          <w:sz w:val="20"/>
          <w:szCs w:val="20"/>
          <w:rtl/>
        </w:rPr>
        <w:t>אֶל</w:t>
      </w:r>
      <w:r w:rsidRPr="009B7FC8">
        <w:rPr>
          <w:rFonts w:cs="Arial"/>
          <w:sz w:val="20"/>
          <w:szCs w:val="20"/>
          <w:rtl/>
        </w:rPr>
        <w:t xml:space="preserve"> </w:t>
      </w:r>
      <w:r w:rsidRPr="009B7FC8">
        <w:rPr>
          <w:rFonts w:cs="Arial" w:hint="cs"/>
          <w:sz w:val="20"/>
          <w:szCs w:val="20"/>
          <w:rtl/>
        </w:rPr>
        <w:t>מֹשֶׁה</w:t>
      </w:r>
      <w:r w:rsidRPr="009B7FC8">
        <w:rPr>
          <w:rFonts w:cs="Arial"/>
          <w:sz w:val="20"/>
          <w:szCs w:val="20"/>
          <w:rtl/>
        </w:rPr>
        <w:t xml:space="preserve"> </w:t>
      </w:r>
      <w:r w:rsidRPr="009B7FC8">
        <w:rPr>
          <w:rFonts w:cs="Arial" w:hint="cs"/>
          <w:sz w:val="20"/>
          <w:szCs w:val="20"/>
          <w:rtl/>
        </w:rPr>
        <w:t>לֵּאמֹר</w:t>
      </w:r>
      <w:r w:rsidRPr="009B7FC8">
        <w:rPr>
          <w:rFonts w:cs="Arial"/>
          <w:sz w:val="20"/>
          <w:szCs w:val="20"/>
          <w:rtl/>
        </w:rPr>
        <w:t xml:space="preserve">:  </w:t>
      </w:r>
      <w:r w:rsidRPr="009B7FC8">
        <w:rPr>
          <w:rFonts w:cs="Arial" w:hint="cs"/>
          <w:sz w:val="20"/>
          <w:szCs w:val="20"/>
          <w:rtl/>
        </w:rPr>
        <w:t>דַּבֵּר</w:t>
      </w:r>
      <w:r w:rsidRPr="009B7FC8">
        <w:rPr>
          <w:rFonts w:cs="Arial"/>
          <w:sz w:val="20"/>
          <w:szCs w:val="20"/>
          <w:rtl/>
        </w:rPr>
        <w:t xml:space="preserve"> </w:t>
      </w:r>
      <w:r w:rsidRPr="009B7FC8">
        <w:rPr>
          <w:rFonts w:cs="Arial" w:hint="cs"/>
          <w:sz w:val="20"/>
          <w:szCs w:val="20"/>
          <w:rtl/>
        </w:rPr>
        <w:t>אֶל</w:t>
      </w:r>
      <w:r w:rsidRPr="009B7FC8">
        <w:rPr>
          <w:rFonts w:cs="Arial"/>
          <w:sz w:val="20"/>
          <w:szCs w:val="20"/>
          <w:rtl/>
        </w:rPr>
        <w:t xml:space="preserve"> </w:t>
      </w:r>
      <w:r w:rsidRPr="009B7FC8">
        <w:rPr>
          <w:rFonts w:cs="Arial" w:hint="cs"/>
          <w:sz w:val="20"/>
          <w:szCs w:val="20"/>
          <w:rtl/>
        </w:rPr>
        <w:t>בְּנֵי</w:t>
      </w:r>
      <w:r w:rsidRPr="009B7FC8">
        <w:rPr>
          <w:rFonts w:cs="Arial"/>
          <w:sz w:val="20"/>
          <w:szCs w:val="20"/>
          <w:rtl/>
        </w:rPr>
        <w:t xml:space="preserve"> </w:t>
      </w:r>
      <w:r w:rsidRPr="009B7FC8">
        <w:rPr>
          <w:rFonts w:cs="Arial" w:hint="cs"/>
          <w:sz w:val="20"/>
          <w:szCs w:val="20"/>
          <w:rtl/>
        </w:rPr>
        <w:t>יִשְׂרָאֵל</w:t>
      </w:r>
      <w:r w:rsidRPr="009B7FC8">
        <w:rPr>
          <w:rFonts w:cs="Arial"/>
          <w:sz w:val="20"/>
          <w:szCs w:val="20"/>
          <w:rtl/>
        </w:rPr>
        <w:t xml:space="preserve"> </w:t>
      </w:r>
      <w:r w:rsidRPr="009B7FC8">
        <w:rPr>
          <w:rFonts w:cs="Arial" w:hint="cs"/>
          <w:sz w:val="20"/>
          <w:szCs w:val="20"/>
          <w:rtl/>
        </w:rPr>
        <w:t>לֵאמֹר</w:t>
      </w:r>
      <w:r w:rsidRPr="009B7FC8">
        <w:rPr>
          <w:rFonts w:cs="Arial"/>
          <w:sz w:val="20"/>
          <w:szCs w:val="20"/>
          <w:rtl/>
        </w:rPr>
        <w:t xml:space="preserve"> </w:t>
      </w:r>
      <w:r w:rsidRPr="009B7FC8">
        <w:rPr>
          <w:rFonts w:cs="Arial" w:hint="cs"/>
          <w:sz w:val="20"/>
          <w:szCs w:val="20"/>
          <w:rtl/>
        </w:rPr>
        <w:t>אִשָּׁה</w:t>
      </w:r>
      <w:r w:rsidRPr="009B7FC8">
        <w:rPr>
          <w:rFonts w:cs="Arial"/>
          <w:sz w:val="20"/>
          <w:szCs w:val="20"/>
          <w:rtl/>
        </w:rPr>
        <w:t xml:space="preserve"> </w:t>
      </w:r>
      <w:r w:rsidRPr="009B7FC8">
        <w:rPr>
          <w:rFonts w:cs="Arial" w:hint="cs"/>
          <w:sz w:val="20"/>
          <w:szCs w:val="20"/>
          <w:rtl/>
        </w:rPr>
        <w:t>כִּי</w:t>
      </w:r>
      <w:r w:rsidRPr="009B7FC8">
        <w:rPr>
          <w:rFonts w:cs="Arial"/>
          <w:sz w:val="20"/>
          <w:szCs w:val="20"/>
          <w:rtl/>
        </w:rPr>
        <w:t xml:space="preserve"> </w:t>
      </w:r>
      <w:r w:rsidRPr="009B7FC8">
        <w:rPr>
          <w:rFonts w:cs="Arial" w:hint="cs"/>
          <w:sz w:val="20"/>
          <w:szCs w:val="20"/>
          <w:rtl/>
        </w:rPr>
        <w:t>תַזְרִיעַ</w:t>
      </w:r>
      <w:r w:rsidRPr="009B7FC8">
        <w:rPr>
          <w:rFonts w:cs="Arial"/>
          <w:sz w:val="20"/>
          <w:szCs w:val="20"/>
          <w:rtl/>
        </w:rPr>
        <w:t xml:space="preserve"> </w:t>
      </w:r>
      <w:r w:rsidRPr="009B7FC8">
        <w:rPr>
          <w:rFonts w:cs="Arial" w:hint="cs"/>
          <w:sz w:val="20"/>
          <w:szCs w:val="20"/>
          <w:rtl/>
        </w:rPr>
        <w:t>וְיָלְדָה</w:t>
      </w:r>
      <w:r w:rsidRPr="009B7FC8">
        <w:rPr>
          <w:rFonts w:cs="Arial"/>
          <w:sz w:val="20"/>
          <w:szCs w:val="20"/>
          <w:rtl/>
        </w:rPr>
        <w:t xml:space="preserve"> </w:t>
      </w:r>
      <w:r w:rsidRPr="009B7FC8">
        <w:rPr>
          <w:rFonts w:cs="Arial" w:hint="cs"/>
          <w:sz w:val="20"/>
          <w:szCs w:val="20"/>
          <w:rtl/>
        </w:rPr>
        <w:t>זָכָר</w:t>
      </w:r>
      <w:r w:rsidRPr="009B7FC8">
        <w:rPr>
          <w:rFonts w:cs="Arial"/>
          <w:sz w:val="20"/>
          <w:szCs w:val="20"/>
          <w:rtl/>
        </w:rPr>
        <w:t xml:space="preserve"> </w:t>
      </w:r>
      <w:r w:rsidRPr="009B7FC8">
        <w:rPr>
          <w:rFonts w:cs="Arial" w:hint="cs"/>
          <w:sz w:val="20"/>
          <w:szCs w:val="20"/>
          <w:rtl/>
        </w:rPr>
        <w:t>וְטָמְאָה</w:t>
      </w:r>
      <w:r w:rsidRPr="009B7FC8">
        <w:rPr>
          <w:rFonts w:cs="Arial"/>
          <w:sz w:val="20"/>
          <w:szCs w:val="20"/>
          <w:rtl/>
        </w:rPr>
        <w:t xml:space="preserve"> </w:t>
      </w:r>
      <w:r w:rsidRPr="009B7FC8">
        <w:rPr>
          <w:rFonts w:cs="Arial" w:hint="cs"/>
          <w:sz w:val="20"/>
          <w:szCs w:val="20"/>
          <w:rtl/>
        </w:rPr>
        <w:t>שִׁבְעַת</w:t>
      </w:r>
      <w:r w:rsidRPr="009B7FC8">
        <w:rPr>
          <w:rFonts w:cs="Arial"/>
          <w:sz w:val="20"/>
          <w:szCs w:val="20"/>
          <w:rtl/>
        </w:rPr>
        <w:t xml:space="preserve"> </w:t>
      </w:r>
      <w:r w:rsidRPr="009B7FC8">
        <w:rPr>
          <w:rFonts w:cs="Arial" w:hint="cs"/>
          <w:sz w:val="20"/>
          <w:szCs w:val="20"/>
          <w:rtl/>
        </w:rPr>
        <w:t>יָמִים</w:t>
      </w:r>
      <w:r w:rsidRPr="009B7FC8">
        <w:rPr>
          <w:rFonts w:cs="Arial"/>
          <w:sz w:val="20"/>
          <w:szCs w:val="20"/>
          <w:rtl/>
        </w:rPr>
        <w:t xml:space="preserve"> </w:t>
      </w:r>
      <w:r w:rsidRPr="009B7FC8">
        <w:rPr>
          <w:rFonts w:cs="Arial" w:hint="cs"/>
          <w:sz w:val="20"/>
          <w:szCs w:val="20"/>
          <w:rtl/>
        </w:rPr>
        <w:t>כִּימֵי</w:t>
      </w:r>
      <w:r w:rsidRPr="009B7FC8">
        <w:rPr>
          <w:rFonts w:cs="Arial"/>
          <w:sz w:val="20"/>
          <w:szCs w:val="20"/>
          <w:rtl/>
        </w:rPr>
        <w:t xml:space="preserve"> </w:t>
      </w:r>
      <w:r w:rsidRPr="009B7FC8">
        <w:rPr>
          <w:rFonts w:cs="Arial" w:hint="cs"/>
          <w:sz w:val="20"/>
          <w:szCs w:val="20"/>
          <w:rtl/>
        </w:rPr>
        <w:t>נִדַּת</w:t>
      </w:r>
      <w:r w:rsidRPr="009B7FC8">
        <w:rPr>
          <w:rFonts w:cs="Arial"/>
          <w:sz w:val="20"/>
          <w:szCs w:val="20"/>
          <w:rtl/>
        </w:rPr>
        <w:t xml:space="preserve"> </w:t>
      </w:r>
      <w:r w:rsidRPr="009B7FC8">
        <w:rPr>
          <w:rFonts w:cs="Arial" w:hint="cs"/>
          <w:sz w:val="20"/>
          <w:szCs w:val="20"/>
          <w:rtl/>
        </w:rPr>
        <w:t>דְּוֹתָהּ</w:t>
      </w:r>
      <w:r w:rsidRPr="009B7FC8">
        <w:rPr>
          <w:rFonts w:cs="Arial"/>
          <w:sz w:val="20"/>
          <w:szCs w:val="20"/>
          <w:rtl/>
        </w:rPr>
        <w:t xml:space="preserve"> </w:t>
      </w:r>
      <w:r w:rsidRPr="009B7FC8">
        <w:rPr>
          <w:rFonts w:cs="Arial" w:hint="cs"/>
          <w:sz w:val="20"/>
          <w:szCs w:val="20"/>
          <w:rtl/>
        </w:rPr>
        <w:t>תִּטְמָא</w:t>
      </w:r>
      <w:r>
        <w:rPr>
          <w:rFonts w:cs="Arial"/>
          <w:sz w:val="20"/>
          <w:szCs w:val="20"/>
          <w:rtl/>
        </w:rPr>
        <w:t>:</w:t>
      </w:r>
      <w:r>
        <w:rPr>
          <w:rFonts w:cs="Arial" w:hint="cs"/>
          <w:sz w:val="20"/>
          <w:szCs w:val="20"/>
          <w:rtl/>
        </w:rPr>
        <w:t xml:space="preserve">... </w:t>
      </w:r>
      <w:r w:rsidRPr="009B7FC8">
        <w:rPr>
          <w:rFonts w:cs="Arial" w:hint="cs"/>
          <w:sz w:val="20"/>
          <w:szCs w:val="20"/>
          <w:rtl/>
        </w:rPr>
        <w:t>וּשְׁלֹשִׁים</w:t>
      </w:r>
      <w:r w:rsidRPr="009B7FC8">
        <w:rPr>
          <w:rFonts w:cs="Arial"/>
          <w:sz w:val="20"/>
          <w:szCs w:val="20"/>
          <w:rtl/>
        </w:rPr>
        <w:t xml:space="preserve"> </w:t>
      </w:r>
      <w:r w:rsidRPr="009B7FC8">
        <w:rPr>
          <w:rFonts w:cs="Arial" w:hint="cs"/>
          <w:sz w:val="20"/>
          <w:szCs w:val="20"/>
          <w:rtl/>
        </w:rPr>
        <w:t>יוֹם</w:t>
      </w:r>
      <w:r w:rsidRPr="009B7FC8">
        <w:rPr>
          <w:rFonts w:cs="Arial"/>
          <w:sz w:val="20"/>
          <w:szCs w:val="20"/>
          <w:rtl/>
        </w:rPr>
        <w:t xml:space="preserve"> </w:t>
      </w:r>
      <w:r w:rsidRPr="009B7FC8">
        <w:rPr>
          <w:rFonts w:cs="Arial" w:hint="cs"/>
          <w:sz w:val="20"/>
          <w:szCs w:val="20"/>
          <w:rtl/>
        </w:rPr>
        <w:t>וּשְׁלֹשֶׁת</w:t>
      </w:r>
      <w:r w:rsidRPr="009B7FC8">
        <w:rPr>
          <w:rFonts w:cs="Arial"/>
          <w:sz w:val="20"/>
          <w:szCs w:val="20"/>
          <w:rtl/>
        </w:rPr>
        <w:t xml:space="preserve"> </w:t>
      </w:r>
      <w:r w:rsidRPr="009B7FC8">
        <w:rPr>
          <w:rFonts w:cs="Arial" w:hint="cs"/>
          <w:sz w:val="20"/>
          <w:szCs w:val="20"/>
          <w:rtl/>
        </w:rPr>
        <w:t>יָמִים</w:t>
      </w:r>
      <w:r w:rsidRPr="009B7FC8">
        <w:rPr>
          <w:rFonts w:cs="Arial"/>
          <w:sz w:val="20"/>
          <w:szCs w:val="20"/>
          <w:rtl/>
        </w:rPr>
        <w:t xml:space="preserve"> </w:t>
      </w:r>
      <w:r w:rsidRPr="009B7FC8">
        <w:rPr>
          <w:rFonts w:cs="Arial" w:hint="cs"/>
          <w:sz w:val="20"/>
          <w:szCs w:val="20"/>
          <w:rtl/>
        </w:rPr>
        <w:t>תֵּשֵׁב</w:t>
      </w:r>
      <w:r w:rsidRPr="009B7FC8">
        <w:rPr>
          <w:rFonts w:cs="Arial"/>
          <w:sz w:val="20"/>
          <w:szCs w:val="20"/>
          <w:rtl/>
        </w:rPr>
        <w:t xml:space="preserve"> </w:t>
      </w:r>
      <w:r w:rsidRPr="009B7FC8">
        <w:rPr>
          <w:rFonts w:cs="Arial" w:hint="cs"/>
          <w:sz w:val="20"/>
          <w:szCs w:val="20"/>
          <w:rtl/>
        </w:rPr>
        <w:t>בִּדְמֵי</w:t>
      </w:r>
      <w:r w:rsidRPr="009B7FC8">
        <w:rPr>
          <w:rFonts w:cs="Arial"/>
          <w:sz w:val="20"/>
          <w:szCs w:val="20"/>
          <w:rtl/>
        </w:rPr>
        <w:t xml:space="preserve"> </w:t>
      </w:r>
      <w:r w:rsidRPr="009B7FC8">
        <w:rPr>
          <w:rFonts w:cs="Arial" w:hint="cs"/>
          <w:sz w:val="20"/>
          <w:szCs w:val="20"/>
          <w:rtl/>
        </w:rPr>
        <w:t>טָהֳרָה</w:t>
      </w:r>
      <w:r>
        <w:rPr>
          <w:rFonts w:cs="Arial" w:hint="cs"/>
          <w:sz w:val="20"/>
          <w:szCs w:val="20"/>
          <w:rtl/>
        </w:rPr>
        <w:t>...</w:t>
      </w:r>
      <w:r w:rsidRPr="009B7FC8">
        <w:rPr>
          <w:rFonts w:cs="Arial"/>
          <w:sz w:val="20"/>
          <w:szCs w:val="20"/>
          <w:rtl/>
        </w:rPr>
        <w:t xml:space="preserve">  </w:t>
      </w:r>
      <w:r w:rsidRPr="009B7FC8">
        <w:rPr>
          <w:rFonts w:cs="Arial" w:hint="cs"/>
          <w:sz w:val="20"/>
          <w:szCs w:val="20"/>
          <w:rtl/>
        </w:rPr>
        <w:t>וְאִם</w:t>
      </w:r>
      <w:r w:rsidRPr="009B7FC8">
        <w:rPr>
          <w:rFonts w:cs="Arial"/>
          <w:sz w:val="20"/>
          <w:szCs w:val="20"/>
          <w:rtl/>
        </w:rPr>
        <w:t xml:space="preserve"> </w:t>
      </w:r>
      <w:r w:rsidRPr="009B7FC8">
        <w:rPr>
          <w:rFonts w:cs="Arial" w:hint="cs"/>
          <w:sz w:val="20"/>
          <w:szCs w:val="20"/>
          <w:rtl/>
        </w:rPr>
        <w:t>נְקֵבָה</w:t>
      </w:r>
      <w:r w:rsidRPr="009B7FC8">
        <w:rPr>
          <w:rFonts w:cs="Arial"/>
          <w:sz w:val="20"/>
          <w:szCs w:val="20"/>
          <w:rtl/>
        </w:rPr>
        <w:t xml:space="preserve"> </w:t>
      </w:r>
      <w:r w:rsidRPr="009B7FC8">
        <w:rPr>
          <w:rFonts w:cs="Arial" w:hint="cs"/>
          <w:sz w:val="20"/>
          <w:szCs w:val="20"/>
          <w:rtl/>
        </w:rPr>
        <w:t>תֵלֵד</w:t>
      </w:r>
      <w:r w:rsidRPr="009B7FC8">
        <w:rPr>
          <w:rFonts w:cs="Arial"/>
          <w:sz w:val="20"/>
          <w:szCs w:val="20"/>
          <w:rtl/>
        </w:rPr>
        <w:t xml:space="preserve"> </w:t>
      </w:r>
      <w:r w:rsidRPr="009B7FC8">
        <w:rPr>
          <w:rFonts w:cs="Arial" w:hint="cs"/>
          <w:sz w:val="20"/>
          <w:szCs w:val="20"/>
          <w:rtl/>
        </w:rPr>
        <w:t>וְטָמְאָה</w:t>
      </w:r>
      <w:r w:rsidRPr="009B7FC8">
        <w:rPr>
          <w:rFonts w:cs="Arial"/>
          <w:sz w:val="20"/>
          <w:szCs w:val="20"/>
          <w:rtl/>
        </w:rPr>
        <w:t xml:space="preserve"> </w:t>
      </w:r>
      <w:r w:rsidRPr="009B7FC8">
        <w:rPr>
          <w:rFonts w:cs="Arial" w:hint="cs"/>
          <w:sz w:val="20"/>
          <w:szCs w:val="20"/>
          <w:rtl/>
        </w:rPr>
        <w:t>שְׁבֻעַיִם</w:t>
      </w:r>
      <w:r w:rsidRPr="009B7FC8">
        <w:rPr>
          <w:rFonts w:cs="Arial"/>
          <w:sz w:val="20"/>
          <w:szCs w:val="20"/>
          <w:rtl/>
        </w:rPr>
        <w:t xml:space="preserve"> </w:t>
      </w:r>
      <w:r w:rsidRPr="009B7FC8">
        <w:rPr>
          <w:rFonts w:cs="Arial" w:hint="cs"/>
          <w:sz w:val="20"/>
          <w:szCs w:val="20"/>
          <w:rtl/>
        </w:rPr>
        <w:t>כְּנִדָּתָהּ</w:t>
      </w:r>
      <w:r w:rsidRPr="009B7FC8">
        <w:rPr>
          <w:rFonts w:cs="Arial"/>
          <w:sz w:val="20"/>
          <w:szCs w:val="20"/>
          <w:rtl/>
        </w:rPr>
        <w:t xml:space="preserve"> </w:t>
      </w:r>
      <w:r w:rsidRPr="009B7FC8">
        <w:rPr>
          <w:rFonts w:cs="Arial" w:hint="cs"/>
          <w:sz w:val="20"/>
          <w:szCs w:val="20"/>
          <w:rtl/>
        </w:rPr>
        <w:t>וְשִׁשִּׁים</w:t>
      </w:r>
      <w:r w:rsidRPr="009B7FC8">
        <w:rPr>
          <w:rFonts w:cs="Arial"/>
          <w:sz w:val="20"/>
          <w:szCs w:val="20"/>
          <w:rtl/>
        </w:rPr>
        <w:t xml:space="preserve"> </w:t>
      </w:r>
      <w:r w:rsidRPr="009B7FC8">
        <w:rPr>
          <w:rFonts w:cs="Arial" w:hint="cs"/>
          <w:sz w:val="20"/>
          <w:szCs w:val="20"/>
          <w:rtl/>
        </w:rPr>
        <w:t>יוֹם</w:t>
      </w:r>
      <w:r w:rsidRPr="009B7FC8">
        <w:rPr>
          <w:rFonts w:cs="Arial"/>
          <w:sz w:val="20"/>
          <w:szCs w:val="20"/>
          <w:rtl/>
        </w:rPr>
        <w:t xml:space="preserve"> </w:t>
      </w:r>
      <w:r w:rsidRPr="009B7FC8">
        <w:rPr>
          <w:rFonts w:cs="Arial" w:hint="cs"/>
          <w:sz w:val="20"/>
          <w:szCs w:val="20"/>
          <w:rtl/>
        </w:rPr>
        <w:t>וְשֵׁשֶׁת</w:t>
      </w:r>
      <w:r w:rsidRPr="009B7FC8">
        <w:rPr>
          <w:rFonts w:cs="Arial"/>
          <w:sz w:val="20"/>
          <w:szCs w:val="20"/>
          <w:rtl/>
        </w:rPr>
        <w:t xml:space="preserve"> </w:t>
      </w:r>
      <w:r w:rsidRPr="009B7FC8">
        <w:rPr>
          <w:rFonts w:cs="Arial" w:hint="cs"/>
          <w:sz w:val="20"/>
          <w:szCs w:val="20"/>
          <w:rtl/>
        </w:rPr>
        <w:t>יָמִים</w:t>
      </w:r>
      <w:r w:rsidRPr="009B7FC8">
        <w:rPr>
          <w:rFonts w:cs="Arial"/>
          <w:sz w:val="20"/>
          <w:szCs w:val="20"/>
          <w:rtl/>
        </w:rPr>
        <w:t xml:space="preserve"> </w:t>
      </w:r>
      <w:r w:rsidRPr="009B7FC8">
        <w:rPr>
          <w:rFonts w:cs="Arial" w:hint="cs"/>
          <w:sz w:val="20"/>
          <w:szCs w:val="20"/>
          <w:rtl/>
        </w:rPr>
        <w:t>תֵּשֵׁב</w:t>
      </w:r>
      <w:r w:rsidRPr="009B7FC8">
        <w:rPr>
          <w:rFonts w:cs="Arial"/>
          <w:sz w:val="20"/>
          <w:szCs w:val="20"/>
          <w:rtl/>
        </w:rPr>
        <w:t xml:space="preserve"> </w:t>
      </w:r>
      <w:r w:rsidRPr="009B7FC8">
        <w:rPr>
          <w:rFonts w:cs="Arial" w:hint="cs"/>
          <w:sz w:val="20"/>
          <w:szCs w:val="20"/>
          <w:rtl/>
        </w:rPr>
        <w:t>עַל</w:t>
      </w:r>
      <w:r w:rsidRPr="009B7FC8">
        <w:rPr>
          <w:rFonts w:cs="Arial"/>
          <w:sz w:val="20"/>
          <w:szCs w:val="20"/>
          <w:rtl/>
        </w:rPr>
        <w:t xml:space="preserve"> </w:t>
      </w:r>
      <w:r w:rsidRPr="009B7FC8">
        <w:rPr>
          <w:rFonts w:cs="Arial" w:hint="cs"/>
          <w:sz w:val="20"/>
          <w:szCs w:val="20"/>
          <w:rtl/>
        </w:rPr>
        <w:t>דְּמֵי</w:t>
      </w:r>
      <w:r w:rsidRPr="009B7FC8">
        <w:rPr>
          <w:rFonts w:cs="Arial"/>
          <w:sz w:val="20"/>
          <w:szCs w:val="20"/>
          <w:rtl/>
        </w:rPr>
        <w:t xml:space="preserve"> </w:t>
      </w:r>
      <w:r w:rsidRPr="009B7FC8">
        <w:rPr>
          <w:rFonts w:cs="Arial" w:hint="cs"/>
          <w:sz w:val="20"/>
          <w:szCs w:val="20"/>
          <w:rtl/>
        </w:rPr>
        <w:t>טָהֳרָה</w:t>
      </w:r>
      <w:r w:rsidRPr="009B7FC8">
        <w:rPr>
          <w:rFonts w:cs="Arial"/>
          <w:sz w:val="20"/>
          <w:szCs w:val="20"/>
          <w:rtl/>
        </w:rPr>
        <w:t>:</w:t>
      </w:r>
      <w:r>
        <w:rPr>
          <w:rFonts w:hint="cs"/>
          <w:sz w:val="20"/>
          <w:szCs w:val="20"/>
          <w:rtl/>
        </w:rPr>
        <w:t>"</w:t>
      </w:r>
    </w:p>
    <w:p w:rsidR="00620060" w:rsidRDefault="00620060" w:rsidP="00620060">
      <w:pPr>
        <w:rPr>
          <w:sz w:val="20"/>
          <w:szCs w:val="20"/>
          <w:rtl/>
        </w:rPr>
      </w:pPr>
      <w:r w:rsidRPr="009B7FC8">
        <w:rPr>
          <w:rFonts w:hint="cs"/>
          <w:sz w:val="20"/>
          <w:szCs w:val="20"/>
          <w:u w:val="single"/>
          <w:rtl/>
        </w:rPr>
        <w:t>הסבר</w:t>
      </w:r>
      <w:r>
        <w:rPr>
          <w:b/>
          <w:bCs/>
          <w:sz w:val="20"/>
          <w:szCs w:val="20"/>
          <w:u w:val="single"/>
          <w:rtl/>
        </w:rPr>
        <w:br/>
      </w:r>
      <w:r>
        <w:rPr>
          <w:rFonts w:hint="cs"/>
          <w:sz w:val="20"/>
          <w:szCs w:val="20"/>
          <w:rtl/>
        </w:rPr>
        <w:t xml:space="preserve">יולדת זכר </w:t>
      </w:r>
      <w:r>
        <w:rPr>
          <w:sz w:val="20"/>
          <w:szCs w:val="20"/>
          <w:rtl/>
        </w:rPr>
        <w:t>–</w:t>
      </w:r>
      <w:r>
        <w:rPr>
          <w:rFonts w:hint="cs"/>
          <w:sz w:val="20"/>
          <w:szCs w:val="20"/>
          <w:rtl/>
        </w:rPr>
        <w:t xml:space="preserve"> טמאה שבעה ימים, לאחר מכן טהורה במשך שלושים ושלושה ימים אפילו כשיוצא ממנה דם.</w:t>
      </w:r>
      <w:r>
        <w:rPr>
          <w:sz w:val="20"/>
          <w:szCs w:val="20"/>
          <w:rtl/>
        </w:rPr>
        <w:br/>
      </w:r>
      <w:r>
        <w:rPr>
          <w:rFonts w:hint="cs"/>
          <w:sz w:val="20"/>
          <w:szCs w:val="20"/>
          <w:rtl/>
        </w:rPr>
        <w:t xml:space="preserve">יולדת נקבה </w:t>
      </w:r>
      <w:r>
        <w:rPr>
          <w:sz w:val="20"/>
          <w:szCs w:val="20"/>
          <w:rtl/>
        </w:rPr>
        <w:t>–</w:t>
      </w:r>
      <w:r>
        <w:rPr>
          <w:rFonts w:hint="cs"/>
          <w:sz w:val="20"/>
          <w:szCs w:val="20"/>
          <w:rtl/>
        </w:rPr>
        <w:t xml:space="preserve"> טמאה שבועיים, לאחר מכן טהורה במשך שישים ושישה ימים אפילו כשיוצא ממנה דם.</w:t>
      </w:r>
      <w:r w:rsidRPr="009B7FC8">
        <w:rPr>
          <w:rFonts w:hint="cs"/>
          <w:b/>
          <w:bCs/>
          <w:sz w:val="20"/>
          <w:szCs w:val="20"/>
          <w:u w:val="single"/>
          <w:rtl/>
        </w:rPr>
        <w:br/>
      </w:r>
      <w:r w:rsidRPr="00A34481">
        <w:rPr>
          <w:rFonts w:hint="cs"/>
          <w:b/>
          <w:bCs/>
          <w:sz w:val="20"/>
          <w:szCs w:val="20"/>
          <w:rtl/>
        </w:rPr>
        <w:br/>
        <w:t>לידה יבשה</w:t>
      </w:r>
      <w:r>
        <w:rPr>
          <w:rFonts w:hint="cs"/>
          <w:sz w:val="20"/>
          <w:szCs w:val="20"/>
          <w:rtl/>
        </w:rPr>
        <w:br/>
        <w:t>נחלקו תנאים האם אפשר לפתיחת הקבר בלא דם, או שמא בכל פתיחת הקבר יוצא דם, עיין סימן קפח'.</w:t>
      </w:r>
      <w:r>
        <w:rPr>
          <w:sz w:val="20"/>
          <w:szCs w:val="20"/>
          <w:rtl/>
        </w:rPr>
        <w:br/>
      </w:r>
      <w:r>
        <w:rPr>
          <w:rFonts w:hint="cs"/>
          <w:sz w:val="20"/>
          <w:szCs w:val="20"/>
          <w:rtl/>
        </w:rPr>
        <w:t>ואמנם, גם הפוסקים כמ"ד 'אפשר לפתיחת הקבר ללא דם' מודים שאם היתה לידה גמורה, האשה טמאה.</w:t>
      </w:r>
      <w:r>
        <w:rPr>
          <w:rFonts w:hint="cs"/>
          <w:sz w:val="20"/>
          <w:szCs w:val="20"/>
          <w:rtl/>
        </w:rPr>
        <w:br/>
        <w:t>זו לשון הרמב"ם בדין זה: "</w:t>
      </w:r>
      <w:r w:rsidRPr="00171B83">
        <w:rPr>
          <w:rFonts w:cs="Arial" w:hint="cs"/>
          <w:sz w:val="20"/>
          <w:szCs w:val="20"/>
          <w:rtl/>
        </w:rPr>
        <w:t>כל</w:t>
      </w:r>
      <w:r w:rsidRPr="00171B83">
        <w:rPr>
          <w:rFonts w:cs="Arial"/>
          <w:sz w:val="20"/>
          <w:szCs w:val="20"/>
          <w:rtl/>
        </w:rPr>
        <w:t xml:space="preserve"> </w:t>
      </w:r>
      <w:r w:rsidRPr="00171B83">
        <w:rPr>
          <w:rFonts w:cs="Arial" w:hint="cs"/>
          <w:sz w:val="20"/>
          <w:szCs w:val="20"/>
          <w:rtl/>
        </w:rPr>
        <w:t>יולדת</w:t>
      </w:r>
      <w:r w:rsidRPr="00171B83">
        <w:rPr>
          <w:rFonts w:cs="Arial"/>
          <w:sz w:val="20"/>
          <w:szCs w:val="20"/>
          <w:rtl/>
        </w:rPr>
        <w:t xml:space="preserve"> </w:t>
      </w:r>
      <w:r w:rsidRPr="00171B83">
        <w:rPr>
          <w:rFonts w:cs="Arial" w:hint="cs"/>
          <w:sz w:val="20"/>
          <w:szCs w:val="20"/>
          <w:rtl/>
        </w:rPr>
        <w:t>טמאה</w:t>
      </w:r>
      <w:r w:rsidRPr="00171B83">
        <w:rPr>
          <w:rFonts w:cs="Arial"/>
          <w:sz w:val="20"/>
          <w:szCs w:val="20"/>
          <w:rtl/>
        </w:rPr>
        <w:t xml:space="preserve"> </w:t>
      </w:r>
      <w:r w:rsidRPr="00171B83">
        <w:rPr>
          <w:rFonts w:cs="Arial" w:hint="cs"/>
          <w:sz w:val="20"/>
          <w:szCs w:val="20"/>
          <w:rtl/>
        </w:rPr>
        <w:t>כנדה</w:t>
      </w:r>
      <w:r w:rsidRPr="00171B83">
        <w:rPr>
          <w:rFonts w:cs="Arial"/>
          <w:sz w:val="20"/>
          <w:szCs w:val="20"/>
          <w:rtl/>
        </w:rPr>
        <w:t xml:space="preserve"> </w:t>
      </w:r>
      <w:r w:rsidRPr="00171B83">
        <w:rPr>
          <w:rFonts w:cs="Arial" w:hint="cs"/>
          <w:sz w:val="20"/>
          <w:szCs w:val="20"/>
          <w:rtl/>
        </w:rPr>
        <w:t>ואף</w:t>
      </w:r>
      <w:r w:rsidRPr="00171B83">
        <w:rPr>
          <w:rFonts w:cs="Arial"/>
          <w:sz w:val="20"/>
          <w:szCs w:val="20"/>
          <w:rtl/>
        </w:rPr>
        <w:t xml:space="preserve"> </w:t>
      </w:r>
      <w:r w:rsidRPr="00171B83">
        <w:rPr>
          <w:rFonts w:cs="Arial" w:hint="cs"/>
          <w:sz w:val="20"/>
          <w:szCs w:val="20"/>
          <w:rtl/>
        </w:rPr>
        <w:t>על</w:t>
      </w:r>
      <w:r w:rsidRPr="00171B83">
        <w:rPr>
          <w:rFonts w:cs="Arial"/>
          <w:sz w:val="20"/>
          <w:szCs w:val="20"/>
          <w:rtl/>
        </w:rPr>
        <w:t xml:space="preserve"> </w:t>
      </w:r>
      <w:r w:rsidRPr="00171B83">
        <w:rPr>
          <w:rFonts w:cs="Arial" w:hint="cs"/>
          <w:sz w:val="20"/>
          <w:szCs w:val="20"/>
          <w:rtl/>
        </w:rPr>
        <w:t>פי</w:t>
      </w:r>
      <w:r w:rsidRPr="00171B83">
        <w:rPr>
          <w:rFonts w:cs="Arial"/>
          <w:sz w:val="20"/>
          <w:szCs w:val="20"/>
          <w:rtl/>
        </w:rPr>
        <w:t xml:space="preserve"> </w:t>
      </w:r>
      <w:r w:rsidRPr="00171B83">
        <w:rPr>
          <w:rFonts w:cs="Arial" w:hint="cs"/>
          <w:sz w:val="20"/>
          <w:szCs w:val="20"/>
          <w:rtl/>
        </w:rPr>
        <w:t>שלא</w:t>
      </w:r>
      <w:r w:rsidRPr="00171B83">
        <w:rPr>
          <w:rFonts w:cs="Arial"/>
          <w:sz w:val="20"/>
          <w:szCs w:val="20"/>
          <w:rtl/>
        </w:rPr>
        <w:t xml:space="preserve"> </w:t>
      </w:r>
      <w:r w:rsidRPr="00171B83">
        <w:rPr>
          <w:rFonts w:cs="Arial" w:hint="cs"/>
          <w:sz w:val="20"/>
          <w:szCs w:val="20"/>
          <w:rtl/>
        </w:rPr>
        <w:t>ראתה</w:t>
      </w:r>
      <w:r w:rsidRPr="00171B83">
        <w:rPr>
          <w:rFonts w:cs="Arial"/>
          <w:sz w:val="20"/>
          <w:szCs w:val="20"/>
          <w:rtl/>
        </w:rPr>
        <w:t xml:space="preserve"> </w:t>
      </w:r>
      <w:r w:rsidRPr="00171B83">
        <w:rPr>
          <w:rFonts w:cs="Arial" w:hint="cs"/>
          <w:sz w:val="20"/>
          <w:szCs w:val="20"/>
          <w:rtl/>
        </w:rPr>
        <w:t>דם</w:t>
      </w:r>
      <w:r>
        <w:rPr>
          <w:rFonts w:hint="cs"/>
          <w:sz w:val="20"/>
          <w:szCs w:val="20"/>
          <w:rtl/>
        </w:rPr>
        <w:t>", והרמב"ם פוסק כך למרות שס"ל כמ"ד 'אפשר לפתיחת הקבר בלא דם'.</w:t>
      </w:r>
      <w:r>
        <w:rPr>
          <w:sz w:val="20"/>
          <w:szCs w:val="20"/>
          <w:rtl/>
        </w:rPr>
        <w:br/>
      </w:r>
      <w:r>
        <w:rPr>
          <w:rFonts w:hint="cs"/>
          <w:sz w:val="20"/>
          <w:szCs w:val="20"/>
          <w:rtl/>
        </w:rPr>
        <w:t xml:space="preserve">ומבאר </w:t>
      </w:r>
      <w:r w:rsidRPr="003D1668">
        <w:rPr>
          <w:rFonts w:hint="cs"/>
          <w:b/>
          <w:bCs/>
          <w:sz w:val="20"/>
          <w:szCs w:val="20"/>
          <w:rtl/>
        </w:rPr>
        <w:t>הבית יוסף</w:t>
      </w:r>
      <w:r>
        <w:rPr>
          <w:rFonts w:hint="cs"/>
          <w:sz w:val="20"/>
          <w:szCs w:val="20"/>
          <w:rtl/>
        </w:rPr>
        <w:t xml:space="preserve"> </w:t>
      </w:r>
      <w:r w:rsidRPr="003D1668">
        <w:rPr>
          <w:rFonts w:hint="cs"/>
          <w:sz w:val="18"/>
          <w:szCs w:val="18"/>
          <w:rtl/>
        </w:rPr>
        <w:t xml:space="preserve">(בסימן קפח') </w:t>
      </w:r>
      <w:r>
        <w:rPr>
          <w:sz w:val="20"/>
          <w:szCs w:val="20"/>
          <w:rtl/>
        </w:rPr>
        <w:t>–</w:t>
      </w:r>
      <w:r>
        <w:rPr>
          <w:rFonts w:hint="cs"/>
          <w:sz w:val="20"/>
          <w:szCs w:val="20"/>
          <w:rtl/>
        </w:rPr>
        <w:t xml:space="preserve"> טעם הטומאה מחמת הלידה, והתורה טימאה אפילו כשלא ראתה דם.</w:t>
      </w:r>
    </w:p>
    <w:p w:rsidR="00620060" w:rsidRDefault="00620060" w:rsidP="00620060">
      <w:pPr>
        <w:rPr>
          <w:sz w:val="20"/>
          <w:szCs w:val="20"/>
          <w:rtl/>
        </w:rPr>
      </w:pPr>
      <w:r>
        <w:rPr>
          <w:rFonts w:hint="cs"/>
          <w:b/>
          <w:bCs/>
          <w:sz w:val="20"/>
          <w:szCs w:val="20"/>
          <w:rtl/>
        </w:rPr>
        <w:t>הפילה נפל</w:t>
      </w:r>
      <w:r>
        <w:rPr>
          <w:rFonts w:hint="cs"/>
          <w:b/>
          <w:bCs/>
          <w:sz w:val="20"/>
          <w:szCs w:val="20"/>
          <w:rtl/>
        </w:rPr>
        <w:br/>
        <w:t xml:space="preserve">משנה </w:t>
      </w:r>
      <w:r>
        <w:rPr>
          <w:rFonts w:hint="cs"/>
          <w:sz w:val="20"/>
          <w:szCs w:val="20"/>
          <w:rtl/>
        </w:rPr>
        <w:t>נידה (ל.) "</w:t>
      </w:r>
      <w:r w:rsidRPr="00770CC0">
        <w:rPr>
          <w:rFonts w:cs="Arial" w:hint="cs"/>
          <w:sz w:val="20"/>
          <w:szCs w:val="20"/>
          <w:rtl/>
        </w:rPr>
        <w:t>המפלת</w:t>
      </w:r>
      <w:r w:rsidRPr="00770CC0">
        <w:rPr>
          <w:rFonts w:cs="Arial"/>
          <w:sz w:val="20"/>
          <w:szCs w:val="20"/>
          <w:rtl/>
        </w:rPr>
        <w:t xml:space="preserve"> </w:t>
      </w:r>
      <w:r w:rsidRPr="00770CC0">
        <w:rPr>
          <w:rFonts w:cs="Arial" w:hint="cs"/>
          <w:sz w:val="20"/>
          <w:szCs w:val="20"/>
          <w:rtl/>
        </w:rPr>
        <w:t>ליום</w:t>
      </w:r>
      <w:r w:rsidRPr="00770CC0">
        <w:rPr>
          <w:rFonts w:cs="Arial"/>
          <w:sz w:val="20"/>
          <w:szCs w:val="20"/>
          <w:rtl/>
        </w:rPr>
        <w:t xml:space="preserve"> </w:t>
      </w:r>
      <w:r w:rsidRPr="00770CC0">
        <w:rPr>
          <w:rFonts w:cs="Arial" w:hint="cs"/>
          <w:sz w:val="20"/>
          <w:szCs w:val="20"/>
          <w:rtl/>
        </w:rPr>
        <w:t>מ</w:t>
      </w:r>
      <w:r w:rsidRPr="00770CC0">
        <w:rPr>
          <w:rFonts w:cs="Arial"/>
          <w:sz w:val="20"/>
          <w:szCs w:val="20"/>
          <w:rtl/>
        </w:rPr>
        <w:t xml:space="preserve">' - </w:t>
      </w:r>
      <w:r w:rsidRPr="00770CC0">
        <w:rPr>
          <w:rFonts w:cs="Arial" w:hint="cs"/>
          <w:sz w:val="20"/>
          <w:szCs w:val="20"/>
          <w:rtl/>
        </w:rPr>
        <w:t>אינה</w:t>
      </w:r>
      <w:r w:rsidRPr="00770CC0">
        <w:rPr>
          <w:rFonts w:cs="Arial"/>
          <w:sz w:val="20"/>
          <w:szCs w:val="20"/>
          <w:rtl/>
        </w:rPr>
        <w:t xml:space="preserve"> </w:t>
      </w:r>
      <w:r w:rsidRPr="00770CC0">
        <w:rPr>
          <w:rFonts w:cs="Arial" w:hint="cs"/>
          <w:sz w:val="20"/>
          <w:szCs w:val="20"/>
          <w:rtl/>
        </w:rPr>
        <w:t>חוששת</w:t>
      </w:r>
      <w:r w:rsidRPr="00770CC0">
        <w:rPr>
          <w:rFonts w:cs="Arial"/>
          <w:sz w:val="20"/>
          <w:szCs w:val="20"/>
          <w:rtl/>
        </w:rPr>
        <w:t xml:space="preserve"> </w:t>
      </w:r>
      <w:r w:rsidRPr="00770CC0">
        <w:rPr>
          <w:rFonts w:cs="Arial" w:hint="cs"/>
          <w:sz w:val="20"/>
          <w:szCs w:val="20"/>
          <w:rtl/>
        </w:rPr>
        <w:t>לולד</w:t>
      </w:r>
      <w:r w:rsidRPr="00770CC0">
        <w:rPr>
          <w:rFonts w:cs="Arial"/>
          <w:sz w:val="20"/>
          <w:szCs w:val="20"/>
          <w:rtl/>
        </w:rPr>
        <w:t xml:space="preserve">, </w:t>
      </w:r>
      <w:r w:rsidRPr="00770CC0">
        <w:rPr>
          <w:rFonts w:cs="Arial" w:hint="cs"/>
          <w:sz w:val="20"/>
          <w:szCs w:val="20"/>
          <w:rtl/>
        </w:rPr>
        <w:t>ליום</w:t>
      </w:r>
      <w:r w:rsidRPr="00770CC0">
        <w:rPr>
          <w:rFonts w:cs="Arial"/>
          <w:sz w:val="20"/>
          <w:szCs w:val="20"/>
          <w:rtl/>
        </w:rPr>
        <w:t xml:space="preserve"> </w:t>
      </w:r>
      <w:r w:rsidRPr="00770CC0">
        <w:rPr>
          <w:rFonts w:cs="Arial" w:hint="cs"/>
          <w:sz w:val="20"/>
          <w:szCs w:val="20"/>
          <w:rtl/>
        </w:rPr>
        <w:t>מ</w:t>
      </w:r>
      <w:r w:rsidRPr="00770CC0">
        <w:rPr>
          <w:rFonts w:cs="Arial"/>
          <w:sz w:val="20"/>
          <w:szCs w:val="20"/>
          <w:rtl/>
        </w:rPr>
        <w:t>"</w:t>
      </w:r>
      <w:r w:rsidRPr="00770CC0">
        <w:rPr>
          <w:rFonts w:cs="Arial" w:hint="cs"/>
          <w:sz w:val="20"/>
          <w:szCs w:val="20"/>
          <w:rtl/>
        </w:rPr>
        <w:t>א</w:t>
      </w:r>
      <w:r w:rsidRPr="00770CC0">
        <w:rPr>
          <w:rFonts w:cs="Arial"/>
          <w:sz w:val="20"/>
          <w:szCs w:val="20"/>
          <w:rtl/>
        </w:rPr>
        <w:t xml:space="preserve"> - </w:t>
      </w:r>
      <w:r w:rsidRPr="00770CC0">
        <w:rPr>
          <w:rFonts w:cs="Arial" w:hint="cs"/>
          <w:sz w:val="20"/>
          <w:szCs w:val="20"/>
          <w:rtl/>
        </w:rPr>
        <w:t>תשב</w:t>
      </w:r>
      <w:r w:rsidRPr="00770CC0">
        <w:rPr>
          <w:rFonts w:cs="Arial"/>
          <w:sz w:val="20"/>
          <w:szCs w:val="20"/>
          <w:rtl/>
        </w:rPr>
        <w:t xml:space="preserve"> </w:t>
      </w:r>
      <w:r w:rsidRPr="00770CC0">
        <w:rPr>
          <w:rFonts w:cs="Arial" w:hint="cs"/>
          <w:sz w:val="20"/>
          <w:szCs w:val="20"/>
          <w:rtl/>
        </w:rPr>
        <w:t>לזכר</w:t>
      </w:r>
      <w:r w:rsidRPr="00770CC0">
        <w:rPr>
          <w:rFonts w:cs="Arial"/>
          <w:sz w:val="20"/>
          <w:szCs w:val="20"/>
          <w:rtl/>
        </w:rPr>
        <w:t xml:space="preserve"> </w:t>
      </w:r>
      <w:r w:rsidRPr="00770CC0">
        <w:rPr>
          <w:rFonts w:cs="Arial" w:hint="cs"/>
          <w:sz w:val="20"/>
          <w:szCs w:val="20"/>
          <w:rtl/>
        </w:rPr>
        <w:t>ולנקבה</w:t>
      </w:r>
      <w:r w:rsidRPr="00770CC0">
        <w:rPr>
          <w:rFonts w:cs="Arial"/>
          <w:sz w:val="20"/>
          <w:szCs w:val="20"/>
          <w:rtl/>
        </w:rPr>
        <w:t xml:space="preserve"> </w:t>
      </w:r>
      <w:r w:rsidRPr="00770CC0">
        <w:rPr>
          <w:rFonts w:cs="Arial" w:hint="cs"/>
          <w:sz w:val="20"/>
          <w:szCs w:val="20"/>
          <w:rtl/>
        </w:rPr>
        <w:t>ולנדה</w:t>
      </w:r>
      <w:r>
        <w:rPr>
          <w:rFonts w:cs="Arial" w:hint="cs"/>
          <w:sz w:val="20"/>
          <w:szCs w:val="20"/>
          <w:rtl/>
        </w:rPr>
        <w:t xml:space="preserve">... </w:t>
      </w:r>
      <w:r w:rsidRPr="00853DB7">
        <w:rPr>
          <w:rFonts w:cs="Arial" w:hint="cs"/>
          <w:sz w:val="20"/>
          <w:szCs w:val="20"/>
          <w:rtl/>
        </w:rPr>
        <w:t>וחכ</w:t>
      </w:r>
      <w:r>
        <w:rPr>
          <w:rFonts w:cs="Arial" w:hint="cs"/>
          <w:sz w:val="20"/>
          <w:szCs w:val="20"/>
          <w:rtl/>
        </w:rPr>
        <w:t xml:space="preserve">מים </w:t>
      </w:r>
      <w:r w:rsidRPr="00853DB7">
        <w:rPr>
          <w:rFonts w:cs="Arial" w:hint="cs"/>
          <w:sz w:val="20"/>
          <w:szCs w:val="20"/>
          <w:rtl/>
        </w:rPr>
        <w:t>א</w:t>
      </w:r>
      <w:r>
        <w:rPr>
          <w:rFonts w:cs="Arial" w:hint="cs"/>
          <w:sz w:val="20"/>
          <w:szCs w:val="20"/>
          <w:rtl/>
        </w:rPr>
        <w:t>ומרים</w:t>
      </w:r>
      <w:r w:rsidRPr="00853DB7">
        <w:rPr>
          <w:rFonts w:cs="Arial"/>
          <w:sz w:val="20"/>
          <w:szCs w:val="20"/>
          <w:rtl/>
        </w:rPr>
        <w:t xml:space="preserve">: </w:t>
      </w:r>
      <w:r w:rsidRPr="00853DB7">
        <w:rPr>
          <w:rFonts w:cs="Arial" w:hint="cs"/>
          <w:sz w:val="20"/>
          <w:szCs w:val="20"/>
          <w:rtl/>
        </w:rPr>
        <w:t>אחד</w:t>
      </w:r>
      <w:r w:rsidRPr="00853DB7">
        <w:rPr>
          <w:rFonts w:cs="Arial"/>
          <w:sz w:val="20"/>
          <w:szCs w:val="20"/>
          <w:rtl/>
        </w:rPr>
        <w:t xml:space="preserve"> </w:t>
      </w:r>
      <w:r w:rsidRPr="00853DB7">
        <w:rPr>
          <w:rFonts w:cs="Arial" w:hint="cs"/>
          <w:sz w:val="20"/>
          <w:szCs w:val="20"/>
          <w:rtl/>
        </w:rPr>
        <w:t>בריית</w:t>
      </w:r>
      <w:r w:rsidRPr="00853DB7">
        <w:rPr>
          <w:rFonts w:cs="Arial"/>
          <w:sz w:val="20"/>
          <w:szCs w:val="20"/>
          <w:rtl/>
        </w:rPr>
        <w:t xml:space="preserve"> </w:t>
      </w:r>
      <w:r w:rsidRPr="00853DB7">
        <w:rPr>
          <w:rFonts w:cs="Arial" w:hint="cs"/>
          <w:sz w:val="20"/>
          <w:szCs w:val="20"/>
          <w:rtl/>
        </w:rPr>
        <w:t>הזכר</w:t>
      </w:r>
      <w:r w:rsidRPr="00853DB7">
        <w:rPr>
          <w:rFonts w:cs="Arial"/>
          <w:sz w:val="20"/>
          <w:szCs w:val="20"/>
          <w:rtl/>
        </w:rPr>
        <w:t xml:space="preserve"> </w:t>
      </w:r>
      <w:r w:rsidRPr="00853DB7">
        <w:rPr>
          <w:rFonts w:cs="Arial" w:hint="cs"/>
          <w:sz w:val="20"/>
          <w:szCs w:val="20"/>
          <w:rtl/>
        </w:rPr>
        <w:t>ואחד</w:t>
      </w:r>
      <w:r w:rsidRPr="00853DB7">
        <w:rPr>
          <w:rFonts w:cs="Arial"/>
          <w:sz w:val="20"/>
          <w:szCs w:val="20"/>
          <w:rtl/>
        </w:rPr>
        <w:t xml:space="preserve"> </w:t>
      </w:r>
      <w:r w:rsidRPr="00853DB7">
        <w:rPr>
          <w:rFonts w:cs="Arial" w:hint="cs"/>
          <w:sz w:val="20"/>
          <w:szCs w:val="20"/>
          <w:rtl/>
        </w:rPr>
        <w:t>בריית</w:t>
      </w:r>
      <w:r w:rsidRPr="00853DB7">
        <w:rPr>
          <w:rFonts w:cs="Arial"/>
          <w:sz w:val="20"/>
          <w:szCs w:val="20"/>
          <w:rtl/>
        </w:rPr>
        <w:t xml:space="preserve"> </w:t>
      </w:r>
      <w:r w:rsidRPr="00853DB7">
        <w:rPr>
          <w:rFonts w:cs="Arial" w:hint="cs"/>
          <w:sz w:val="20"/>
          <w:szCs w:val="20"/>
          <w:rtl/>
        </w:rPr>
        <w:t>הנקבה</w:t>
      </w:r>
      <w:r w:rsidRPr="00853DB7">
        <w:rPr>
          <w:rFonts w:cs="Arial"/>
          <w:sz w:val="20"/>
          <w:szCs w:val="20"/>
          <w:rtl/>
        </w:rPr>
        <w:t xml:space="preserve"> - </w:t>
      </w:r>
      <w:r w:rsidRPr="00853DB7">
        <w:rPr>
          <w:rFonts w:cs="Arial" w:hint="cs"/>
          <w:sz w:val="20"/>
          <w:szCs w:val="20"/>
          <w:rtl/>
        </w:rPr>
        <w:t>זה</w:t>
      </w:r>
      <w:r w:rsidRPr="00853DB7">
        <w:rPr>
          <w:rFonts w:cs="Arial"/>
          <w:sz w:val="20"/>
          <w:szCs w:val="20"/>
          <w:rtl/>
        </w:rPr>
        <w:t xml:space="preserve"> </w:t>
      </w:r>
      <w:r w:rsidRPr="00853DB7">
        <w:rPr>
          <w:rFonts w:cs="Arial" w:hint="cs"/>
          <w:sz w:val="20"/>
          <w:szCs w:val="20"/>
          <w:rtl/>
        </w:rPr>
        <w:t>וזה</w:t>
      </w:r>
      <w:r w:rsidRPr="00853DB7">
        <w:rPr>
          <w:rFonts w:cs="Arial"/>
          <w:sz w:val="20"/>
          <w:szCs w:val="20"/>
          <w:rtl/>
        </w:rPr>
        <w:t xml:space="preserve"> </w:t>
      </w:r>
      <w:r w:rsidRPr="00853DB7">
        <w:rPr>
          <w:rFonts w:cs="Arial" w:hint="cs"/>
          <w:sz w:val="20"/>
          <w:szCs w:val="20"/>
          <w:rtl/>
        </w:rPr>
        <w:t>מ</w:t>
      </w:r>
      <w:r w:rsidRPr="00853DB7">
        <w:rPr>
          <w:rFonts w:cs="Arial"/>
          <w:sz w:val="20"/>
          <w:szCs w:val="20"/>
          <w:rtl/>
        </w:rPr>
        <w:t>"</w:t>
      </w:r>
      <w:r w:rsidRPr="00853DB7">
        <w:rPr>
          <w:rFonts w:cs="Arial" w:hint="cs"/>
          <w:sz w:val="20"/>
          <w:szCs w:val="20"/>
          <w:rtl/>
        </w:rPr>
        <w:t>א</w:t>
      </w:r>
      <w:r>
        <w:rPr>
          <w:rFonts w:cs="Arial" w:hint="cs"/>
          <w:sz w:val="20"/>
          <w:szCs w:val="20"/>
          <w:rtl/>
        </w:rPr>
        <w:t>".</w:t>
      </w:r>
      <w:r>
        <w:rPr>
          <w:rFonts w:hint="cs"/>
          <w:sz w:val="20"/>
          <w:szCs w:val="20"/>
          <w:rtl/>
        </w:rPr>
        <w:br/>
      </w:r>
      <w:r>
        <w:rPr>
          <w:sz w:val="20"/>
          <w:szCs w:val="20"/>
          <w:rtl/>
        </w:rPr>
        <w:br/>
      </w:r>
      <w:r>
        <w:rPr>
          <w:rFonts w:hint="cs"/>
          <w:sz w:val="20"/>
          <w:szCs w:val="20"/>
          <w:u w:val="single"/>
          <w:rtl/>
        </w:rPr>
        <w:t xml:space="preserve">הסבר </w:t>
      </w:r>
      <w:r>
        <w:rPr>
          <w:sz w:val="20"/>
          <w:szCs w:val="20"/>
          <w:u w:val="single"/>
          <w:rtl/>
        </w:rPr>
        <w:br/>
      </w:r>
      <w:r>
        <w:rPr>
          <w:rFonts w:hint="cs"/>
          <w:sz w:val="20"/>
          <w:szCs w:val="20"/>
          <w:rtl/>
        </w:rPr>
        <w:t>גם מי שהפילה נפל יושבת ימי טומאה, ובלבד שהנפל בן מא' יום.</w:t>
      </w:r>
      <w:r>
        <w:rPr>
          <w:sz w:val="20"/>
          <w:szCs w:val="20"/>
          <w:rtl/>
        </w:rPr>
        <w:br/>
      </w:r>
      <w:r>
        <w:rPr>
          <w:rFonts w:hint="cs"/>
          <w:sz w:val="20"/>
          <w:szCs w:val="20"/>
          <w:rtl/>
        </w:rPr>
        <w:t xml:space="preserve">טעם הדין </w:t>
      </w:r>
      <w:r>
        <w:rPr>
          <w:sz w:val="20"/>
          <w:szCs w:val="20"/>
          <w:rtl/>
        </w:rPr>
        <w:t>–</w:t>
      </w:r>
      <w:r>
        <w:rPr>
          <w:rFonts w:hint="cs"/>
          <w:sz w:val="20"/>
          <w:szCs w:val="20"/>
          <w:rtl/>
        </w:rPr>
        <w:t xml:space="preserve"> יצירת הוולד נגמרת למא' יום, בין בזכר ובין בנקבה.</w:t>
      </w:r>
      <w:r>
        <w:rPr>
          <w:sz w:val="20"/>
          <w:szCs w:val="20"/>
          <w:rtl/>
        </w:rPr>
        <w:br/>
      </w:r>
      <w:r>
        <w:rPr>
          <w:rFonts w:hint="cs"/>
          <w:sz w:val="20"/>
          <w:szCs w:val="20"/>
          <w:rtl/>
        </w:rPr>
        <w:t xml:space="preserve">וכיוון שאין יודעים אם הפילה זכר או נקבה, החמירו עליה כדין שניהם - </w:t>
      </w:r>
      <w:r>
        <w:rPr>
          <w:sz w:val="20"/>
          <w:szCs w:val="20"/>
          <w:rtl/>
        </w:rPr>
        <w:br/>
      </w:r>
      <w:r>
        <w:rPr>
          <w:rFonts w:hint="cs"/>
          <w:sz w:val="20"/>
          <w:szCs w:val="20"/>
          <w:rtl/>
        </w:rPr>
        <w:t xml:space="preserve">מחד, טמאה שבועיים כדין יולדת נקבה. מאידך, ימי טהרתה אינם שישים ושש אלא עשרים ושישה. </w:t>
      </w:r>
      <w:r>
        <w:rPr>
          <w:sz w:val="18"/>
          <w:szCs w:val="18"/>
          <w:rtl/>
        </w:rPr>
        <w:br/>
      </w:r>
      <w:r w:rsidRPr="004A2737">
        <w:rPr>
          <w:rFonts w:hint="cs"/>
          <w:sz w:val="18"/>
          <w:szCs w:val="18"/>
          <w:rtl/>
        </w:rPr>
        <w:t>(ימי טהרה לזכר הם שלושים ושלוש</w:t>
      </w:r>
      <w:r>
        <w:rPr>
          <w:rFonts w:hint="cs"/>
          <w:sz w:val="18"/>
          <w:szCs w:val="18"/>
          <w:rtl/>
        </w:rPr>
        <w:t>ה</w:t>
      </w:r>
      <w:r w:rsidRPr="004A2737">
        <w:rPr>
          <w:rFonts w:hint="cs"/>
          <w:sz w:val="18"/>
          <w:szCs w:val="18"/>
          <w:rtl/>
        </w:rPr>
        <w:t>, כאן מורידים לה שבוע שישבה טמאה מספק שמא ילדה נקבה).</w:t>
      </w:r>
    </w:p>
    <w:p w:rsidR="00620060" w:rsidRPr="00B1310D" w:rsidRDefault="00620060" w:rsidP="00620060">
      <w:pPr>
        <w:rPr>
          <w:sz w:val="20"/>
          <w:szCs w:val="20"/>
          <w:rtl/>
        </w:rPr>
      </w:pPr>
      <w:r>
        <w:rPr>
          <w:rFonts w:hint="cs"/>
          <w:b/>
          <w:bCs/>
          <w:sz w:val="20"/>
          <w:szCs w:val="20"/>
          <w:rtl/>
        </w:rPr>
        <w:t>דין יולדת כיום</w:t>
      </w:r>
      <w:r>
        <w:rPr>
          <w:rFonts w:hint="cs"/>
          <w:b/>
          <w:bCs/>
          <w:sz w:val="20"/>
          <w:szCs w:val="20"/>
          <w:rtl/>
        </w:rPr>
        <w:br/>
        <w:t xml:space="preserve">טור </w:t>
      </w:r>
      <w:r>
        <w:rPr>
          <w:sz w:val="20"/>
          <w:szCs w:val="20"/>
          <w:rtl/>
        </w:rPr>
        <w:t>–</w:t>
      </w:r>
      <w:r>
        <w:rPr>
          <w:rFonts w:hint="cs"/>
          <w:sz w:val="20"/>
          <w:szCs w:val="20"/>
          <w:rtl/>
        </w:rPr>
        <w:t xml:space="preserve"> כל היולדות היום הן יולדות בזוב.</w:t>
      </w:r>
      <w:r>
        <w:rPr>
          <w:b/>
          <w:bCs/>
          <w:sz w:val="20"/>
          <w:szCs w:val="20"/>
          <w:rtl/>
        </w:rPr>
        <w:br/>
      </w:r>
      <w:r w:rsidRPr="00B1310D">
        <w:rPr>
          <w:rFonts w:hint="cs"/>
          <w:b/>
          <w:bCs/>
          <w:sz w:val="20"/>
          <w:szCs w:val="20"/>
          <w:rtl/>
        </w:rPr>
        <w:t>טעם</w:t>
      </w:r>
      <w:r>
        <w:rPr>
          <w:rFonts w:hint="cs"/>
          <w:sz w:val="20"/>
          <w:szCs w:val="20"/>
          <w:rtl/>
        </w:rPr>
        <w:t xml:space="preserve"> - קיי"ל שאי אפשר לפתיחת הקבר ללא דם, והחמירו בנות ישראל לשבת על כל טיפת דם כחרדל ז' נקיים.</w:t>
      </w:r>
    </w:p>
    <w:p w:rsidR="00620060" w:rsidRPr="00EF7912" w:rsidRDefault="00620060" w:rsidP="00620060">
      <w:pPr>
        <w:rPr>
          <w:sz w:val="20"/>
          <w:szCs w:val="20"/>
          <w:rtl/>
        </w:rPr>
      </w:pPr>
      <w:r>
        <w:rPr>
          <w:rFonts w:hint="cs"/>
          <w:b/>
          <w:bCs/>
          <w:sz w:val="20"/>
          <w:szCs w:val="20"/>
          <w:rtl/>
        </w:rPr>
        <w:t>פסיקת הלכה</w:t>
      </w:r>
      <w:r>
        <w:rPr>
          <w:b/>
          <w:bCs/>
          <w:sz w:val="20"/>
          <w:szCs w:val="20"/>
          <w:rtl/>
        </w:rPr>
        <w:br/>
      </w:r>
      <w:r w:rsidRPr="00EF7912">
        <w:rPr>
          <w:rFonts w:cs="Arial" w:hint="cs"/>
          <w:b/>
          <w:bCs/>
          <w:sz w:val="20"/>
          <w:szCs w:val="20"/>
          <w:rtl/>
        </w:rPr>
        <w:t>שולחן ערוך</w:t>
      </w:r>
      <w:r>
        <w:rPr>
          <w:rFonts w:cs="Arial" w:hint="cs"/>
          <w:sz w:val="20"/>
          <w:szCs w:val="20"/>
          <w:rtl/>
        </w:rPr>
        <w:t xml:space="preserve"> </w:t>
      </w:r>
      <w:r>
        <w:rPr>
          <w:rFonts w:cs="Arial"/>
          <w:sz w:val="20"/>
          <w:szCs w:val="20"/>
          <w:rtl/>
        </w:rPr>
        <w:t>–</w:t>
      </w:r>
      <w:r>
        <w:rPr>
          <w:rFonts w:cs="Arial" w:hint="cs"/>
          <w:sz w:val="20"/>
          <w:szCs w:val="20"/>
          <w:rtl/>
        </w:rPr>
        <w:t xml:space="preserve"> "</w:t>
      </w:r>
      <w:r w:rsidRPr="00EF7912">
        <w:rPr>
          <w:rFonts w:cs="Arial" w:hint="cs"/>
          <w:sz w:val="20"/>
          <w:szCs w:val="20"/>
          <w:rtl/>
        </w:rPr>
        <w:t>יולדת</w:t>
      </w:r>
      <w:r w:rsidRPr="00EF7912">
        <w:rPr>
          <w:rFonts w:cs="Arial"/>
          <w:sz w:val="20"/>
          <w:szCs w:val="20"/>
          <w:rtl/>
        </w:rPr>
        <w:t xml:space="preserve">, </w:t>
      </w:r>
      <w:r w:rsidRPr="00EF7912">
        <w:rPr>
          <w:rFonts w:cs="Arial" w:hint="cs"/>
          <w:sz w:val="20"/>
          <w:szCs w:val="20"/>
          <w:rtl/>
        </w:rPr>
        <w:t>אפילו</w:t>
      </w:r>
      <w:r w:rsidRPr="00EF7912">
        <w:rPr>
          <w:rFonts w:cs="Arial"/>
          <w:sz w:val="20"/>
          <w:szCs w:val="20"/>
          <w:rtl/>
        </w:rPr>
        <w:t xml:space="preserve"> </w:t>
      </w:r>
      <w:r w:rsidRPr="00EF7912">
        <w:rPr>
          <w:rFonts w:cs="Arial" w:hint="cs"/>
          <w:sz w:val="20"/>
          <w:szCs w:val="20"/>
          <w:rtl/>
        </w:rPr>
        <w:t>לא</w:t>
      </w:r>
      <w:r w:rsidRPr="00EF7912">
        <w:rPr>
          <w:rFonts w:cs="Arial"/>
          <w:sz w:val="20"/>
          <w:szCs w:val="20"/>
          <w:rtl/>
        </w:rPr>
        <w:t xml:space="preserve"> </w:t>
      </w:r>
      <w:r w:rsidRPr="00EF7912">
        <w:rPr>
          <w:rFonts w:cs="Arial" w:hint="cs"/>
          <w:sz w:val="20"/>
          <w:szCs w:val="20"/>
          <w:rtl/>
        </w:rPr>
        <w:t>ראתה</w:t>
      </w:r>
      <w:r w:rsidRPr="00EF7912">
        <w:rPr>
          <w:rFonts w:cs="Arial"/>
          <w:sz w:val="20"/>
          <w:szCs w:val="20"/>
          <w:rtl/>
        </w:rPr>
        <w:t xml:space="preserve"> </w:t>
      </w:r>
      <w:r w:rsidRPr="00EF7912">
        <w:rPr>
          <w:rFonts w:cs="Arial" w:hint="cs"/>
          <w:sz w:val="20"/>
          <w:szCs w:val="20"/>
          <w:rtl/>
        </w:rPr>
        <w:t>דם</w:t>
      </w:r>
      <w:r w:rsidRPr="00EF7912">
        <w:rPr>
          <w:rFonts w:cs="Arial"/>
          <w:sz w:val="20"/>
          <w:szCs w:val="20"/>
          <w:rtl/>
        </w:rPr>
        <w:t xml:space="preserve">, </w:t>
      </w:r>
      <w:r w:rsidRPr="00EF7912">
        <w:rPr>
          <w:rFonts w:cs="Arial" w:hint="cs"/>
          <w:sz w:val="20"/>
          <w:szCs w:val="20"/>
          <w:rtl/>
        </w:rPr>
        <w:t>טמאה</w:t>
      </w:r>
      <w:r w:rsidRPr="00EF7912">
        <w:rPr>
          <w:rFonts w:cs="Arial"/>
          <w:sz w:val="20"/>
          <w:szCs w:val="20"/>
          <w:rtl/>
        </w:rPr>
        <w:t xml:space="preserve"> </w:t>
      </w:r>
      <w:r w:rsidRPr="00EF7912">
        <w:rPr>
          <w:rFonts w:cs="Arial" w:hint="cs"/>
          <w:sz w:val="20"/>
          <w:szCs w:val="20"/>
          <w:rtl/>
        </w:rPr>
        <w:t>כנדה</w:t>
      </w:r>
      <w:r w:rsidRPr="00EF7912">
        <w:rPr>
          <w:rFonts w:cs="Arial"/>
          <w:sz w:val="20"/>
          <w:szCs w:val="20"/>
          <w:rtl/>
        </w:rPr>
        <w:t xml:space="preserve">; </w:t>
      </w:r>
      <w:r w:rsidRPr="00EF7912">
        <w:rPr>
          <w:rFonts w:cs="Arial" w:hint="cs"/>
          <w:sz w:val="20"/>
          <w:szCs w:val="20"/>
          <w:rtl/>
        </w:rPr>
        <w:t>בין</w:t>
      </w:r>
      <w:r w:rsidRPr="00EF7912">
        <w:rPr>
          <w:rFonts w:cs="Arial"/>
          <w:sz w:val="20"/>
          <w:szCs w:val="20"/>
          <w:rtl/>
        </w:rPr>
        <w:t xml:space="preserve"> </w:t>
      </w:r>
      <w:r w:rsidRPr="00EF7912">
        <w:rPr>
          <w:rFonts w:cs="Arial" w:hint="cs"/>
          <w:sz w:val="20"/>
          <w:szCs w:val="20"/>
          <w:rtl/>
        </w:rPr>
        <w:t>ילדה</w:t>
      </w:r>
      <w:r w:rsidRPr="00EF7912">
        <w:rPr>
          <w:rFonts w:cs="Arial"/>
          <w:sz w:val="20"/>
          <w:szCs w:val="20"/>
          <w:rtl/>
        </w:rPr>
        <w:t xml:space="preserve"> </w:t>
      </w:r>
      <w:r w:rsidRPr="00EF7912">
        <w:rPr>
          <w:rFonts w:cs="Arial" w:hint="cs"/>
          <w:sz w:val="20"/>
          <w:szCs w:val="20"/>
          <w:rtl/>
        </w:rPr>
        <w:t>חי</w:t>
      </w:r>
      <w:r w:rsidRPr="00EF7912">
        <w:rPr>
          <w:rFonts w:cs="Arial"/>
          <w:sz w:val="20"/>
          <w:szCs w:val="20"/>
          <w:rtl/>
        </w:rPr>
        <w:t xml:space="preserve">, </w:t>
      </w:r>
      <w:r w:rsidRPr="00EF7912">
        <w:rPr>
          <w:rFonts w:cs="Arial" w:hint="cs"/>
          <w:sz w:val="20"/>
          <w:szCs w:val="20"/>
          <w:rtl/>
        </w:rPr>
        <w:t>בין</w:t>
      </w:r>
      <w:r w:rsidRPr="00EF7912">
        <w:rPr>
          <w:rFonts w:cs="Arial"/>
          <w:sz w:val="20"/>
          <w:szCs w:val="20"/>
          <w:rtl/>
        </w:rPr>
        <w:t xml:space="preserve"> </w:t>
      </w:r>
      <w:r w:rsidRPr="00EF7912">
        <w:rPr>
          <w:rFonts w:cs="Arial" w:hint="cs"/>
          <w:sz w:val="20"/>
          <w:szCs w:val="20"/>
          <w:rtl/>
        </w:rPr>
        <w:t>ילדה</w:t>
      </w:r>
      <w:r w:rsidRPr="00EF7912">
        <w:rPr>
          <w:rFonts w:cs="Arial"/>
          <w:sz w:val="20"/>
          <w:szCs w:val="20"/>
          <w:rtl/>
        </w:rPr>
        <w:t xml:space="preserve"> </w:t>
      </w:r>
      <w:r w:rsidRPr="00EF7912">
        <w:rPr>
          <w:rFonts w:cs="Arial" w:hint="cs"/>
          <w:sz w:val="20"/>
          <w:szCs w:val="20"/>
          <w:rtl/>
        </w:rPr>
        <w:t>מת</w:t>
      </w:r>
      <w:r w:rsidRPr="00EF7912">
        <w:rPr>
          <w:rFonts w:cs="Arial"/>
          <w:sz w:val="20"/>
          <w:szCs w:val="20"/>
          <w:rtl/>
        </w:rPr>
        <w:t xml:space="preserve"> </w:t>
      </w:r>
      <w:r w:rsidRPr="00EF7912">
        <w:rPr>
          <w:rFonts w:cs="Arial" w:hint="cs"/>
          <w:sz w:val="20"/>
          <w:szCs w:val="20"/>
          <w:rtl/>
        </w:rPr>
        <w:t>ואפילו</w:t>
      </w:r>
      <w:r w:rsidRPr="00EF7912">
        <w:rPr>
          <w:rFonts w:cs="Arial"/>
          <w:sz w:val="20"/>
          <w:szCs w:val="20"/>
          <w:rtl/>
        </w:rPr>
        <w:t xml:space="preserve"> </w:t>
      </w:r>
      <w:r w:rsidRPr="00EF7912">
        <w:rPr>
          <w:rFonts w:cs="Arial" w:hint="cs"/>
          <w:sz w:val="20"/>
          <w:szCs w:val="20"/>
          <w:rtl/>
        </w:rPr>
        <w:t>נפל</w:t>
      </w:r>
      <w:r w:rsidRPr="00EF7912">
        <w:rPr>
          <w:rFonts w:cs="Arial"/>
          <w:sz w:val="20"/>
          <w:szCs w:val="20"/>
          <w:rtl/>
        </w:rPr>
        <w:t xml:space="preserve">. </w:t>
      </w:r>
      <w:r w:rsidRPr="00EF7912">
        <w:rPr>
          <w:rFonts w:cs="Arial" w:hint="cs"/>
          <w:sz w:val="20"/>
          <w:szCs w:val="20"/>
          <w:rtl/>
        </w:rPr>
        <w:t>וכמה</w:t>
      </w:r>
      <w:r w:rsidRPr="00EF7912">
        <w:rPr>
          <w:rFonts w:cs="Arial"/>
          <w:sz w:val="20"/>
          <w:szCs w:val="20"/>
          <w:rtl/>
        </w:rPr>
        <w:t xml:space="preserve"> </w:t>
      </w:r>
      <w:r w:rsidRPr="00EF7912">
        <w:rPr>
          <w:rFonts w:cs="Arial" w:hint="cs"/>
          <w:sz w:val="20"/>
          <w:szCs w:val="20"/>
          <w:rtl/>
        </w:rPr>
        <w:t>הם</w:t>
      </w:r>
      <w:r w:rsidRPr="00EF7912">
        <w:rPr>
          <w:rFonts w:cs="Arial"/>
          <w:sz w:val="20"/>
          <w:szCs w:val="20"/>
          <w:rtl/>
        </w:rPr>
        <w:t xml:space="preserve"> </w:t>
      </w:r>
      <w:r w:rsidRPr="00EF7912">
        <w:rPr>
          <w:rFonts w:cs="Arial" w:hint="cs"/>
          <w:sz w:val="20"/>
          <w:szCs w:val="20"/>
          <w:rtl/>
        </w:rPr>
        <w:t>ימי</w:t>
      </w:r>
      <w:r w:rsidRPr="00EF7912">
        <w:rPr>
          <w:rFonts w:cs="Arial"/>
          <w:sz w:val="20"/>
          <w:szCs w:val="20"/>
          <w:rtl/>
        </w:rPr>
        <w:t xml:space="preserve"> </w:t>
      </w:r>
      <w:r w:rsidRPr="00EF7912">
        <w:rPr>
          <w:rFonts w:cs="Arial" w:hint="cs"/>
          <w:sz w:val="20"/>
          <w:szCs w:val="20"/>
          <w:rtl/>
        </w:rPr>
        <w:t>טומאתה</w:t>
      </w:r>
      <w:r w:rsidRPr="00EF7912">
        <w:rPr>
          <w:rFonts w:cs="Arial"/>
          <w:sz w:val="20"/>
          <w:szCs w:val="20"/>
          <w:rtl/>
        </w:rPr>
        <w:t xml:space="preserve">, </w:t>
      </w:r>
      <w:r w:rsidRPr="00F4404A">
        <w:rPr>
          <w:rFonts w:cs="Arial" w:hint="cs"/>
          <w:sz w:val="20"/>
          <w:szCs w:val="20"/>
          <w:rtl/>
        </w:rPr>
        <w:t>עכשיו</w:t>
      </w:r>
      <w:r w:rsidRPr="00F4404A">
        <w:rPr>
          <w:rFonts w:cs="Arial"/>
          <w:sz w:val="20"/>
          <w:szCs w:val="20"/>
          <w:rtl/>
        </w:rPr>
        <w:t xml:space="preserve"> </w:t>
      </w:r>
      <w:r w:rsidRPr="00F4404A">
        <w:rPr>
          <w:rFonts w:cs="Arial" w:hint="cs"/>
          <w:sz w:val="20"/>
          <w:szCs w:val="20"/>
          <w:rtl/>
        </w:rPr>
        <w:t>בזמן</w:t>
      </w:r>
      <w:r w:rsidRPr="00F4404A">
        <w:rPr>
          <w:rFonts w:cs="Arial"/>
          <w:sz w:val="20"/>
          <w:szCs w:val="20"/>
          <w:rtl/>
        </w:rPr>
        <w:t xml:space="preserve"> </w:t>
      </w:r>
      <w:r w:rsidRPr="00F4404A">
        <w:rPr>
          <w:rFonts w:cs="Arial" w:hint="cs"/>
          <w:sz w:val="20"/>
          <w:szCs w:val="20"/>
          <w:rtl/>
        </w:rPr>
        <w:t>הזה</w:t>
      </w:r>
      <w:r w:rsidRPr="00F4404A">
        <w:rPr>
          <w:rFonts w:cs="Arial"/>
          <w:sz w:val="20"/>
          <w:szCs w:val="20"/>
          <w:rtl/>
        </w:rPr>
        <w:t xml:space="preserve"> </w:t>
      </w:r>
      <w:r w:rsidRPr="00F4404A">
        <w:rPr>
          <w:rFonts w:cs="Arial" w:hint="cs"/>
          <w:sz w:val="20"/>
          <w:szCs w:val="20"/>
          <w:rtl/>
        </w:rPr>
        <w:t>כל</w:t>
      </w:r>
      <w:r w:rsidRPr="00F4404A">
        <w:rPr>
          <w:rFonts w:cs="Arial"/>
          <w:sz w:val="20"/>
          <w:szCs w:val="20"/>
          <w:rtl/>
        </w:rPr>
        <w:t xml:space="preserve"> </w:t>
      </w:r>
      <w:r w:rsidRPr="00F4404A">
        <w:rPr>
          <w:rFonts w:cs="Arial" w:hint="cs"/>
          <w:sz w:val="20"/>
          <w:szCs w:val="20"/>
          <w:rtl/>
        </w:rPr>
        <w:t>היולדות</w:t>
      </w:r>
      <w:r w:rsidRPr="00F4404A">
        <w:rPr>
          <w:rFonts w:cs="Arial"/>
          <w:sz w:val="20"/>
          <w:szCs w:val="20"/>
          <w:rtl/>
        </w:rPr>
        <w:t xml:space="preserve"> </w:t>
      </w:r>
      <w:r w:rsidRPr="00F4404A">
        <w:rPr>
          <w:rFonts w:cs="Arial" w:hint="cs"/>
          <w:sz w:val="20"/>
          <w:szCs w:val="20"/>
          <w:rtl/>
        </w:rPr>
        <w:t>חשובות</w:t>
      </w:r>
      <w:r w:rsidRPr="00F4404A">
        <w:rPr>
          <w:rFonts w:cs="Arial"/>
          <w:sz w:val="20"/>
          <w:szCs w:val="20"/>
          <w:rtl/>
        </w:rPr>
        <w:t xml:space="preserve"> </w:t>
      </w:r>
      <w:r w:rsidRPr="00F4404A">
        <w:rPr>
          <w:rFonts w:cs="Arial" w:hint="cs"/>
          <w:sz w:val="20"/>
          <w:szCs w:val="20"/>
          <w:rtl/>
        </w:rPr>
        <w:t>יולדות</w:t>
      </w:r>
      <w:r w:rsidRPr="00F4404A">
        <w:rPr>
          <w:rFonts w:cs="Arial"/>
          <w:sz w:val="20"/>
          <w:szCs w:val="20"/>
          <w:rtl/>
        </w:rPr>
        <w:t xml:space="preserve"> </w:t>
      </w:r>
      <w:r w:rsidRPr="00F4404A">
        <w:rPr>
          <w:rFonts w:cs="Arial" w:hint="cs"/>
          <w:sz w:val="20"/>
          <w:szCs w:val="20"/>
          <w:rtl/>
        </w:rPr>
        <w:t>בזוב</w:t>
      </w:r>
      <w:r w:rsidRPr="00EF7912">
        <w:rPr>
          <w:rFonts w:cs="Arial"/>
          <w:sz w:val="20"/>
          <w:szCs w:val="20"/>
          <w:rtl/>
        </w:rPr>
        <w:t xml:space="preserve"> </w:t>
      </w:r>
      <w:r w:rsidRPr="00EF7912">
        <w:rPr>
          <w:rFonts w:cs="Arial" w:hint="cs"/>
          <w:sz w:val="20"/>
          <w:szCs w:val="20"/>
          <w:rtl/>
        </w:rPr>
        <w:t>וצריכות</w:t>
      </w:r>
      <w:r w:rsidRPr="00EF7912">
        <w:rPr>
          <w:rFonts w:cs="Arial"/>
          <w:sz w:val="20"/>
          <w:szCs w:val="20"/>
          <w:rtl/>
        </w:rPr>
        <w:t xml:space="preserve"> </w:t>
      </w:r>
      <w:r w:rsidRPr="00EF7912">
        <w:rPr>
          <w:rFonts w:cs="Arial" w:hint="cs"/>
          <w:sz w:val="20"/>
          <w:szCs w:val="20"/>
          <w:rtl/>
        </w:rPr>
        <w:t>לספור</w:t>
      </w:r>
      <w:r w:rsidRPr="00EF7912">
        <w:rPr>
          <w:rFonts w:cs="Arial"/>
          <w:sz w:val="20"/>
          <w:szCs w:val="20"/>
          <w:rtl/>
        </w:rPr>
        <w:t xml:space="preserve"> </w:t>
      </w:r>
      <w:r w:rsidRPr="00EF7912">
        <w:rPr>
          <w:rFonts w:cs="Arial" w:hint="cs"/>
          <w:sz w:val="20"/>
          <w:szCs w:val="20"/>
          <w:rtl/>
        </w:rPr>
        <w:t>שבעה</w:t>
      </w:r>
      <w:r w:rsidRPr="00EF7912">
        <w:rPr>
          <w:rFonts w:cs="Arial"/>
          <w:sz w:val="20"/>
          <w:szCs w:val="20"/>
          <w:rtl/>
        </w:rPr>
        <w:t xml:space="preserve"> </w:t>
      </w:r>
      <w:r w:rsidRPr="00EF7912">
        <w:rPr>
          <w:rFonts w:cs="Arial" w:hint="cs"/>
          <w:sz w:val="20"/>
          <w:szCs w:val="20"/>
          <w:rtl/>
        </w:rPr>
        <w:t>נקיים</w:t>
      </w:r>
      <w:r w:rsidRPr="00EF7912">
        <w:rPr>
          <w:rFonts w:cs="Arial"/>
          <w:sz w:val="20"/>
          <w:szCs w:val="20"/>
          <w:rtl/>
        </w:rPr>
        <w:t xml:space="preserve">; </w:t>
      </w:r>
      <w:r w:rsidRPr="00EF7912">
        <w:rPr>
          <w:rFonts w:cs="Arial" w:hint="cs"/>
          <w:sz w:val="20"/>
          <w:szCs w:val="20"/>
          <w:rtl/>
        </w:rPr>
        <w:t>נמצאת</w:t>
      </w:r>
      <w:r w:rsidRPr="00EF7912">
        <w:rPr>
          <w:rFonts w:cs="Arial"/>
          <w:sz w:val="20"/>
          <w:szCs w:val="20"/>
          <w:rtl/>
        </w:rPr>
        <w:t xml:space="preserve"> </w:t>
      </w:r>
      <w:r w:rsidRPr="00EF7912">
        <w:rPr>
          <w:rFonts w:cs="Arial" w:hint="cs"/>
          <w:sz w:val="20"/>
          <w:szCs w:val="20"/>
          <w:rtl/>
        </w:rPr>
        <w:t>אומר</w:t>
      </w:r>
      <w:r w:rsidRPr="00EF7912">
        <w:rPr>
          <w:rFonts w:cs="Arial"/>
          <w:sz w:val="20"/>
          <w:szCs w:val="20"/>
          <w:rtl/>
        </w:rPr>
        <w:t xml:space="preserve"> </w:t>
      </w:r>
      <w:r w:rsidRPr="00EF7912">
        <w:rPr>
          <w:rFonts w:cs="Arial" w:hint="cs"/>
          <w:sz w:val="20"/>
          <w:szCs w:val="20"/>
          <w:rtl/>
        </w:rPr>
        <w:t>שיולדת</w:t>
      </w:r>
      <w:r w:rsidRPr="00EF7912">
        <w:rPr>
          <w:rFonts w:cs="Arial"/>
          <w:sz w:val="20"/>
          <w:szCs w:val="20"/>
          <w:rtl/>
        </w:rPr>
        <w:t xml:space="preserve"> </w:t>
      </w:r>
      <w:r w:rsidRPr="00EF7912">
        <w:rPr>
          <w:rFonts w:cs="Arial" w:hint="cs"/>
          <w:sz w:val="20"/>
          <w:szCs w:val="20"/>
          <w:rtl/>
        </w:rPr>
        <w:t>זכר</w:t>
      </w:r>
      <w:r w:rsidRPr="00EF7912">
        <w:rPr>
          <w:rFonts w:cs="Arial"/>
          <w:sz w:val="20"/>
          <w:szCs w:val="20"/>
          <w:rtl/>
        </w:rPr>
        <w:t xml:space="preserve"> </w:t>
      </w:r>
      <w:r w:rsidRPr="00EF7912">
        <w:rPr>
          <w:rFonts w:cs="Arial" w:hint="cs"/>
          <w:sz w:val="20"/>
          <w:szCs w:val="20"/>
          <w:rtl/>
        </w:rPr>
        <w:t>יושבת</w:t>
      </w:r>
      <w:r w:rsidRPr="00EF7912">
        <w:rPr>
          <w:rFonts w:cs="Arial"/>
          <w:sz w:val="20"/>
          <w:szCs w:val="20"/>
          <w:rtl/>
        </w:rPr>
        <w:t xml:space="preserve"> </w:t>
      </w:r>
      <w:r w:rsidRPr="00EF7912">
        <w:rPr>
          <w:rFonts w:cs="Arial" w:hint="cs"/>
          <w:sz w:val="20"/>
          <w:szCs w:val="20"/>
          <w:rtl/>
        </w:rPr>
        <w:t>ז</w:t>
      </w:r>
      <w:r w:rsidRPr="00EF7912">
        <w:rPr>
          <w:rFonts w:cs="Arial"/>
          <w:sz w:val="20"/>
          <w:szCs w:val="20"/>
          <w:rtl/>
        </w:rPr>
        <w:t xml:space="preserve">' </w:t>
      </w:r>
      <w:r w:rsidRPr="00EF7912">
        <w:rPr>
          <w:rFonts w:cs="Arial" w:hint="cs"/>
          <w:sz w:val="20"/>
          <w:szCs w:val="20"/>
          <w:rtl/>
        </w:rPr>
        <w:t>ללידה</w:t>
      </w:r>
      <w:r w:rsidRPr="00EF7912">
        <w:rPr>
          <w:rFonts w:cs="Arial"/>
          <w:sz w:val="20"/>
          <w:szCs w:val="20"/>
          <w:rtl/>
        </w:rPr>
        <w:t xml:space="preserve"> </w:t>
      </w:r>
      <w:r w:rsidRPr="00EF7912">
        <w:rPr>
          <w:rFonts w:cs="Arial" w:hint="cs"/>
          <w:sz w:val="20"/>
          <w:szCs w:val="20"/>
          <w:rtl/>
        </w:rPr>
        <w:t>וז</w:t>
      </w:r>
      <w:r w:rsidRPr="00EF7912">
        <w:rPr>
          <w:rFonts w:cs="Arial"/>
          <w:sz w:val="20"/>
          <w:szCs w:val="20"/>
          <w:rtl/>
        </w:rPr>
        <w:t xml:space="preserve">' </w:t>
      </w:r>
      <w:r w:rsidRPr="00EF7912">
        <w:rPr>
          <w:rFonts w:cs="Arial" w:hint="cs"/>
          <w:sz w:val="20"/>
          <w:szCs w:val="20"/>
          <w:rtl/>
        </w:rPr>
        <w:t>לנקיים</w:t>
      </w:r>
      <w:r w:rsidRPr="00EF7912">
        <w:rPr>
          <w:rFonts w:cs="Arial"/>
          <w:sz w:val="20"/>
          <w:szCs w:val="20"/>
          <w:rtl/>
        </w:rPr>
        <w:t xml:space="preserve"> </w:t>
      </w:r>
      <w:r w:rsidRPr="00EF7912">
        <w:rPr>
          <w:rFonts w:cs="Arial" w:hint="cs"/>
          <w:sz w:val="20"/>
          <w:szCs w:val="20"/>
          <w:rtl/>
        </w:rPr>
        <w:t>לזיבה</w:t>
      </w:r>
      <w:r w:rsidRPr="00EF7912">
        <w:rPr>
          <w:rFonts w:cs="Arial"/>
          <w:sz w:val="20"/>
          <w:szCs w:val="20"/>
          <w:rtl/>
        </w:rPr>
        <w:t xml:space="preserve">, </w:t>
      </w:r>
      <w:r w:rsidRPr="00EF7912">
        <w:rPr>
          <w:rFonts w:cs="Arial" w:hint="cs"/>
          <w:sz w:val="20"/>
          <w:szCs w:val="20"/>
          <w:rtl/>
        </w:rPr>
        <w:t>והיולדת</w:t>
      </w:r>
      <w:r w:rsidRPr="00EF7912">
        <w:rPr>
          <w:rFonts w:cs="Arial"/>
          <w:sz w:val="20"/>
          <w:szCs w:val="20"/>
          <w:rtl/>
        </w:rPr>
        <w:t xml:space="preserve"> </w:t>
      </w:r>
      <w:r w:rsidRPr="00EF7912">
        <w:rPr>
          <w:rFonts w:cs="Arial" w:hint="cs"/>
          <w:sz w:val="20"/>
          <w:szCs w:val="20"/>
          <w:rtl/>
        </w:rPr>
        <w:t>נקבה</w:t>
      </w:r>
      <w:r w:rsidRPr="00EF7912">
        <w:rPr>
          <w:rFonts w:cs="Arial"/>
          <w:sz w:val="20"/>
          <w:szCs w:val="20"/>
          <w:rtl/>
        </w:rPr>
        <w:t xml:space="preserve"> </w:t>
      </w:r>
      <w:r w:rsidRPr="00EF7912">
        <w:rPr>
          <w:rFonts w:cs="Arial" w:hint="cs"/>
          <w:sz w:val="20"/>
          <w:szCs w:val="20"/>
          <w:rtl/>
        </w:rPr>
        <w:t>יושבת</w:t>
      </w:r>
      <w:r w:rsidRPr="00EF7912">
        <w:rPr>
          <w:rFonts w:cs="Arial"/>
          <w:sz w:val="20"/>
          <w:szCs w:val="20"/>
          <w:rtl/>
        </w:rPr>
        <w:t xml:space="preserve"> </w:t>
      </w:r>
      <w:r w:rsidRPr="00EF7912">
        <w:rPr>
          <w:rFonts w:cs="Arial" w:hint="cs"/>
          <w:sz w:val="20"/>
          <w:szCs w:val="20"/>
          <w:rtl/>
        </w:rPr>
        <w:t>שבוע</w:t>
      </w:r>
      <w:r>
        <w:rPr>
          <w:rFonts w:cs="Arial" w:hint="cs"/>
          <w:sz w:val="20"/>
          <w:szCs w:val="20"/>
          <w:rtl/>
        </w:rPr>
        <w:t>י</w:t>
      </w:r>
      <w:r w:rsidRPr="00EF7912">
        <w:rPr>
          <w:rFonts w:cs="Arial" w:hint="cs"/>
          <w:sz w:val="20"/>
          <w:szCs w:val="20"/>
          <w:rtl/>
        </w:rPr>
        <w:t>ים</w:t>
      </w:r>
      <w:r w:rsidRPr="00EF7912">
        <w:rPr>
          <w:rFonts w:cs="Arial"/>
          <w:sz w:val="20"/>
          <w:szCs w:val="20"/>
          <w:rtl/>
        </w:rPr>
        <w:t xml:space="preserve"> </w:t>
      </w:r>
      <w:r w:rsidRPr="00EF7912">
        <w:rPr>
          <w:rFonts w:cs="Arial" w:hint="cs"/>
          <w:sz w:val="20"/>
          <w:szCs w:val="20"/>
          <w:rtl/>
        </w:rPr>
        <w:t>ללידה</w:t>
      </w:r>
      <w:r w:rsidRPr="00EF7912">
        <w:rPr>
          <w:rFonts w:cs="Arial"/>
          <w:sz w:val="20"/>
          <w:szCs w:val="20"/>
          <w:rtl/>
        </w:rPr>
        <w:t xml:space="preserve"> </w:t>
      </w:r>
      <w:r w:rsidRPr="00EF7912">
        <w:rPr>
          <w:rFonts w:cs="Arial" w:hint="cs"/>
          <w:sz w:val="20"/>
          <w:szCs w:val="20"/>
          <w:rtl/>
        </w:rPr>
        <w:t>וז</w:t>
      </w:r>
      <w:r w:rsidRPr="00EF7912">
        <w:rPr>
          <w:rFonts w:cs="Arial"/>
          <w:sz w:val="20"/>
          <w:szCs w:val="20"/>
          <w:rtl/>
        </w:rPr>
        <w:t xml:space="preserve">' </w:t>
      </w:r>
      <w:r w:rsidRPr="00EF7912">
        <w:rPr>
          <w:rFonts w:cs="Arial" w:hint="cs"/>
          <w:sz w:val="20"/>
          <w:szCs w:val="20"/>
          <w:rtl/>
        </w:rPr>
        <w:t>נקיים</w:t>
      </w:r>
      <w:r w:rsidRPr="00EF7912">
        <w:rPr>
          <w:rFonts w:cs="Arial"/>
          <w:sz w:val="20"/>
          <w:szCs w:val="20"/>
          <w:rtl/>
        </w:rPr>
        <w:t xml:space="preserve"> </w:t>
      </w:r>
      <w:r w:rsidRPr="00EF7912">
        <w:rPr>
          <w:rFonts w:cs="Arial" w:hint="cs"/>
          <w:sz w:val="20"/>
          <w:szCs w:val="20"/>
          <w:rtl/>
        </w:rPr>
        <w:t>לזיבה</w:t>
      </w:r>
      <w:r>
        <w:rPr>
          <w:rFonts w:cs="Arial" w:hint="cs"/>
          <w:sz w:val="20"/>
          <w:szCs w:val="20"/>
          <w:rtl/>
        </w:rPr>
        <w:t>".</w:t>
      </w:r>
      <w:r>
        <w:rPr>
          <w:rFonts w:hint="cs"/>
          <w:sz w:val="20"/>
          <w:szCs w:val="20"/>
          <w:rtl/>
        </w:rPr>
        <w:br/>
      </w:r>
    </w:p>
    <w:p w:rsidR="00620060" w:rsidRDefault="00620060" w:rsidP="00620060">
      <w:pPr>
        <w:rPr>
          <w:sz w:val="20"/>
          <w:szCs w:val="20"/>
          <w:rtl/>
        </w:rPr>
      </w:pPr>
      <w:r w:rsidRPr="00B1310D">
        <w:rPr>
          <w:rStyle w:val="10"/>
          <w:rFonts w:hint="cs"/>
          <w:rtl/>
        </w:rPr>
        <w:t>ב. מניין ז' נקיים בימי טומאת לידה</w:t>
      </w:r>
      <w:r>
        <w:rPr>
          <w:b/>
          <w:bCs/>
          <w:sz w:val="20"/>
          <w:szCs w:val="20"/>
          <w:rtl/>
        </w:rPr>
        <w:br/>
      </w:r>
      <w:r>
        <w:rPr>
          <w:rFonts w:hint="cs"/>
          <w:b/>
          <w:bCs/>
          <w:sz w:val="20"/>
          <w:szCs w:val="20"/>
          <w:rtl/>
        </w:rPr>
        <w:t xml:space="preserve">גמרא </w:t>
      </w:r>
      <w:r>
        <w:rPr>
          <w:rFonts w:hint="cs"/>
          <w:sz w:val="20"/>
          <w:szCs w:val="20"/>
          <w:rtl/>
        </w:rPr>
        <w:t>נידה (לז.) "</w:t>
      </w:r>
      <w:r w:rsidRPr="00635A97">
        <w:rPr>
          <w:rFonts w:cs="Arial" w:hint="cs"/>
          <w:sz w:val="20"/>
          <w:szCs w:val="20"/>
          <w:rtl/>
        </w:rPr>
        <w:t>תניא</w:t>
      </w:r>
      <w:r w:rsidRPr="00635A97">
        <w:rPr>
          <w:rFonts w:cs="Arial"/>
          <w:sz w:val="20"/>
          <w:szCs w:val="20"/>
          <w:rtl/>
        </w:rPr>
        <w:t xml:space="preserve">, </w:t>
      </w:r>
      <w:r w:rsidRPr="00635A97">
        <w:rPr>
          <w:rFonts w:cs="Arial" w:hint="cs"/>
          <w:sz w:val="20"/>
          <w:szCs w:val="20"/>
          <w:rtl/>
        </w:rPr>
        <w:t>רבי</w:t>
      </w:r>
      <w:r w:rsidRPr="00635A97">
        <w:rPr>
          <w:rFonts w:cs="Arial"/>
          <w:sz w:val="20"/>
          <w:szCs w:val="20"/>
          <w:rtl/>
        </w:rPr>
        <w:t xml:space="preserve"> </w:t>
      </w:r>
      <w:r w:rsidRPr="00635A97">
        <w:rPr>
          <w:rFonts w:cs="Arial" w:hint="cs"/>
          <w:sz w:val="20"/>
          <w:szCs w:val="20"/>
          <w:rtl/>
        </w:rPr>
        <w:t>מרינוס</w:t>
      </w:r>
      <w:r w:rsidRPr="00635A97">
        <w:rPr>
          <w:rFonts w:cs="Arial"/>
          <w:sz w:val="20"/>
          <w:szCs w:val="20"/>
          <w:rtl/>
        </w:rPr>
        <w:t xml:space="preserve"> </w:t>
      </w:r>
      <w:r w:rsidRPr="00635A97">
        <w:rPr>
          <w:rFonts w:cs="Arial" w:hint="cs"/>
          <w:sz w:val="20"/>
          <w:szCs w:val="20"/>
          <w:rtl/>
        </w:rPr>
        <w:t>אומר</w:t>
      </w:r>
      <w:r w:rsidRPr="00635A97">
        <w:rPr>
          <w:rFonts w:cs="Arial"/>
          <w:sz w:val="20"/>
          <w:szCs w:val="20"/>
          <w:rtl/>
        </w:rPr>
        <w:t xml:space="preserve">: </w:t>
      </w:r>
      <w:r w:rsidRPr="00635A97">
        <w:rPr>
          <w:rFonts w:cs="Arial" w:hint="cs"/>
          <w:sz w:val="20"/>
          <w:szCs w:val="20"/>
          <w:rtl/>
        </w:rPr>
        <w:t>אין</w:t>
      </w:r>
      <w:r w:rsidRPr="00635A97">
        <w:rPr>
          <w:rFonts w:cs="Arial"/>
          <w:sz w:val="20"/>
          <w:szCs w:val="20"/>
          <w:rtl/>
        </w:rPr>
        <w:t xml:space="preserve"> </w:t>
      </w:r>
      <w:r w:rsidRPr="00635A97">
        <w:rPr>
          <w:rFonts w:cs="Arial" w:hint="cs"/>
          <w:sz w:val="20"/>
          <w:szCs w:val="20"/>
          <w:rtl/>
        </w:rPr>
        <w:t>לידה</w:t>
      </w:r>
      <w:r w:rsidRPr="00635A97">
        <w:rPr>
          <w:rFonts w:cs="Arial"/>
          <w:sz w:val="20"/>
          <w:szCs w:val="20"/>
          <w:rtl/>
        </w:rPr>
        <w:t xml:space="preserve"> </w:t>
      </w:r>
      <w:r w:rsidRPr="00635A97">
        <w:rPr>
          <w:rFonts w:cs="Arial" w:hint="cs"/>
          <w:sz w:val="20"/>
          <w:szCs w:val="20"/>
          <w:rtl/>
        </w:rPr>
        <w:t>סותרת</w:t>
      </w:r>
      <w:r w:rsidRPr="00635A97">
        <w:rPr>
          <w:rFonts w:cs="Arial"/>
          <w:sz w:val="20"/>
          <w:szCs w:val="20"/>
          <w:rtl/>
        </w:rPr>
        <w:t xml:space="preserve"> </w:t>
      </w:r>
      <w:r w:rsidRPr="00635A97">
        <w:rPr>
          <w:rFonts w:cs="Arial" w:hint="cs"/>
          <w:sz w:val="20"/>
          <w:szCs w:val="20"/>
          <w:rtl/>
        </w:rPr>
        <w:t>בזיבה</w:t>
      </w:r>
      <w:r w:rsidRPr="00635A97">
        <w:rPr>
          <w:rFonts w:cs="Arial"/>
          <w:sz w:val="20"/>
          <w:szCs w:val="20"/>
          <w:rtl/>
        </w:rPr>
        <w:t xml:space="preserve">. </w:t>
      </w:r>
      <w:r w:rsidRPr="00635A97">
        <w:rPr>
          <w:rFonts w:cs="Arial" w:hint="cs"/>
          <w:sz w:val="20"/>
          <w:szCs w:val="20"/>
          <w:rtl/>
        </w:rPr>
        <w:t>איבעיא</w:t>
      </w:r>
      <w:r w:rsidRPr="00635A97">
        <w:rPr>
          <w:rFonts w:cs="Arial"/>
          <w:sz w:val="20"/>
          <w:szCs w:val="20"/>
          <w:rtl/>
        </w:rPr>
        <w:t xml:space="preserve"> </w:t>
      </w:r>
      <w:r w:rsidRPr="00635A97">
        <w:rPr>
          <w:rFonts w:cs="Arial" w:hint="cs"/>
          <w:sz w:val="20"/>
          <w:szCs w:val="20"/>
          <w:rtl/>
        </w:rPr>
        <w:t>להו</w:t>
      </w:r>
      <w:r w:rsidRPr="00635A97">
        <w:rPr>
          <w:rFonts w:cs="Arial"/>
          <w:sz w:val="20"/>
          <w:szCs w:val="20"/>
          <w:rtl/>
        </w:rPr>
        <w:t xml:space="preserve">: </w:t>
      </w:r>
      <w:r w:rsidRPr="00635A97">
        <w:rPr>
          <w:rFonts w:cs="Arial" w:hint="cs"/>
          <w:sz w:val="20"/>
          <w:szCs w:val="20"/>
          <w:rtl/>
        </w:rPr>
        <w:t>מהו</w:t>
      </w:r>
      <w:r w:rsidRPr="00635A97">
        <w:rPr>
          <w:rFonts w:cs="Arial"/>
          <w:sz w:val="20"/>
          <w:szCs w:val="20"/>
          <w:rtl/>
        </w:rPr>
        <w:t xml:space="preserve"> </w:t>
      </w:r>
      <w:r w:rsidRPr="00635A97">
        <w:rPr>
          <w:rFonts w:cs="Arial" w:hint="cs"/>
          <w:sz w:val="20"/>
          <w:szCs w:val="20"/>
          <w:rtl/>
        </w:rPr>
        <w:t>שתעלה</w:t>
      </w:r>
      <w:r w:rsidRPr="00635A97">
        <w:rPr>
          <w:rFonts w:cs="Arial"/>
          <w:sz w:val="20"/>
          <w:szCs w:val="20"/>
          <w:rtl/>
        </w:rPr>
        <w:t xml:space="preserve">? </w:t>
      </w:r>
      <w:r w:rsidRPr="00635A97">
        <w:rPr>
          <w:rFonts w:cs="Arial" w:hint="cs"/>
          <w:sz w:val="20"/>
          <w:szCs w:val="20"/>
          <w:rtl/>
        </w:rPr>
        <w:t>אביי</w:t>
      </w:r>
      <w:r w:rsidRPr="00635A97">
        <w:rPr>
          <w:rFonts w:cs="Arial"/>
          <w:sz w:val="20"/>
          <w:szCs w:val="20"/>
          <w:rtl/>
        </w:rPr>
        <w:t xml:space="preserve"> </w:t>
      </w:r>
      <w:r w:rsidRPr="00635A97">
        <w:rPr>
          <w:rFonts w:cs="Arial" w:hint="cs"/>
          <w:sz w:val="20"/>
          <w:szCs w:val="20"/>
          <w:rtl/>
        </w:rPr>
        <w:t>אמר</w:t>
      </w:r>
      <w:r w:rsidRPr="00635A97">
        <w:rPr>
          <w:rFonts w:cs="Arial"/>
          <w:sz w:val="20"/>
          <w:szCs w:val="20"/>
          <w:rtl/>
        </w:rPr>
        <w:t xml:space="preserve">: </w:t>
      </w:r>
      <w:r w:rsidRPr="00635A97">
        <w:rPr>
          <w:rFonts w:cs="Arial" w:hint="cs"/>
          <w:sz w:val="20"/>
          <w:szCs w:val="20"/>
          <w:rtl/>
        </w:rPr>
        <w:t>אינה</w:t>
      </w:r>
      <w:r w:rsidRPr="00635A97">
        <w:rPr>
          <w:rFonts w:cs="Arial"/>
          <w:sz w:val="20"/>
          <w:szCs w:val="20"/>
          <w:rtl/>
        </w:rPr>
        <w:t xml:space="preserve"> </w:t>
      </w:r>
      <w:r w:rsidRPr="00635A97">
        <w:rPr>
          <w:rFonts w:cs="Arial" w:hint="cs"/>
          <w:sz w:val="20"/>
          <w:szCs w:val="20"/>
          <w:rtl/>
        </w:rPr>
        <w:t>סותרת</w:t>
      </w:r>
      <w:r w:rsidRPr="00635A97">
        <w:rPr>
          <w:rFonts w:cs="Arial"/>
          <w:sz w:val="20"/>
          <w:szCs w:val="20"/>
          <w:rtl/>
        </w:rPr>
        <w:t xml:space="preserve"> </w:t>
      </w:r>
      <w:r w:rsidRPr="00635A97">
        <w:rPr>
          <w:rFonts w:cs="Arial" w:hint="cs"/>
          <w:sz w:val="20"/>
          <w:szCs w:val="20"/>
          <w:rtl/>
        </w:rPr>
        <w:t>ואינה</w:t>
      </w:r>
      <w:r w:rsidRPr="00635A97">
        <w:rPr>
          <w:rFonts w:cs="Arial"/>
          <w:sz w:val="20"/>
          <w:szCs w:val="20"/>
          <w:rtl/>
        </w:rPr>
        <w:t xml:space="preserve"> </w:t>
      </w:r>
      <w:r w:rsidRPr="00635A97">
        <w:rPr>
          <w:rFonts w:cs="Arial" w:hint="cs"/>
          <w:sz w:val="20"/>
          <w:szCs w:val="20"/>
          <w:rtl/>
        </w:rPr>
        <w:t>עולה</w:t>
      </w:r>
      <w:r w:rsidRPr="00635A97">
        <w:rPr>
          <w:rFonts w:cs="Arial"/>
          <w:sz w:val="20"/>
          <w:szCs w:val="20"/>
          <w:rtl/>
        </w:rPr>
        <w:t xml:space="preserve">, </w:t>
      </w:r>
      <w:r w:rsidRPr="00635A97">
        <w:rPr>
          <w:rFonts w:cs="Arial" w:hint="cs"/>
          <w:sz w:val="20"/>
          <w:szCs w:val="20"/>
          <w:rtl/>
        </w:rPr>
        <w:t>רבא</w:t>
      </w:r>
      <w:r w:rsidRPr="00635A97">
        <w:rPr>
          <w:rFonts w:cs="Arial"/>
          <w:sz w:val="20"/>
          <w:szCs w:val="20"/>
          <w:rtl/>
        </w:rPr>
        <w:t xml:space="preserve"> </w:t>
      </w:r>
      <w:r w:rsidRPr="00635A97">
        <w:rPr>
          <w:rFonts w:cs="Arial" w:hint="cs"/>
          <w:sz w:val="20"/>
          <w:szCs w:val="20"/>
          <w:rtl/>
        </w:rPr>
        <w:t>אמר</w:t>
      </w:r>
      <w:r w:rsidRPr="00635A97">
        <w:rPr>
          <w:rFonts w:cs="Arial"/>
          <w:sz w:val="20"/>
          <w:szCs w:val="20"/>
          <w:rtl/>
        </w:rPr>
        <w:t xml:space="preserve">: </w:t>
      </w:r>
      <w:r w:rsidRPr="00635A97">
        <w:rPr>
          <w:rFonts w:cs="Arial" w:hint="cs"/>
          <w:sz w:val="20"/>
          <w:szCs w:val="20"/>
          <w:rtl/>
        </w:rPr>
        <w:t>אינה</w:t>
      </w:r>
      <w:r w:rsidRPr="00635A97">
        <w:rPr>
          <w:rFonts w:cs="Arial"/>
          <w:sz w:val="20"/>
          <w:szCs w:val="20"/>
          <w:rtl/>
        </w:rPr>
        <w:t xml:space="preserve"> </w:t>
      </w:r>
      <w:r w:rsidRPr="00635A97">
        <w:rPr>
          <w:rFonts w:cs="Arial" w:hint="cs"/>
          <w:sz w:val="20"/>
          <w:szCs w:val="20"/>
          <w:rtl/>
        </w:rPr>
        <w:t>סותרת</w:t>
      </w:r>
      <w:r w:rsidRPr="00635A97">
        <w:rPr>
          <w:rFonts w:cs="Arial"/>
          <w:sz w:val="20"/>
          <w:szCs w:val="20"/>
          <w:rtl/>
        </w:rPr>
        <w:t xml:space="preserve"> </w:t>
      </w:r>
      <w:r w:rsidRPr="00635A97">
        <w:rPr>
          <w:rFonts w:cs="Arial" w:hint="cs"/>
          <w:sz w:val="20"/>
          <w:szCs w:val="20"/>
          <w:rtl/>
        </w:rPr>
        <w:t>ועולה</w:t>
      </w:r>
      <w:r>
        <w:rPr>
          <w:rFonts w:cs="Arial" w:hint="cs"/>
          <w:sz w:val="20"/>
          <w:szCs w:val="20"/>
          <w:rtl/>
        </w:rPr>
        <w:t>".</w:t>
      </w:r>
    </w:p>
    <w:p w:rsidR="00620060" w:rsidRDefault="00620060" w:rsidP="00620060">
      <w:pPr>
        <w:rPr>
          <w:sz w:val="20"/>
          <w:szCs w:val="20"/>
          <w:rtl/>
        </w:rPr>
      </w:pPr>
      <w:r>
        <w:rPr>
          <w:rFonts w:hint="cs"/>
          <w:sz w:val="20"/>
          <w:szCs w:val="20"/>
          <w:u w:val="single"/>
          <w:rtl/>
        </w:rPr>
        <w:t>הסבר</w:t>
      </w:r>
      <w:r>
        <w:rPr>
          <w:sz w:val="20"/>
          <w:szCs w:val="20"/>
          <w:u w:val="single"/>
          <w:rtl/>
        </w:rPr>
        <w:br/>
      </w:r>
      <w:r>
        <w:rPr>
          <w:rFonts w:hint="cs"/>
          <w:sz w:val="20"/>
          <w:szCs w:val="20"/>
          <w:rtl/>
        </w:rPr>
        <w:t xml:space="preserve">רבי מרינוס </w:t>
      </w:r>
      <w:r>
        <w:rPr>
          <w:sz w:val="20"/>
          <w:szCs w:val="20"/>
          <w:rtl/>
        </w:rPr>
        <w:t>–</w:t>
      </w:r>
      <w:r>
        <w:rPr>
          <w:rFonts w:hint="cs"/>
          <w:sz w:val="20"/>
          <w:szCs w:val="20"/>
          <w:rtl/>
        </w:rPr>
        <w:t xml:space="preserve"> היולדת בתוך ז' נקיים, אין הלידה סותרת את מניין הנקיים, ועיין בהערה.</w:t>
      </w:r>
      <w:r>
        <w:rPr>
          <w:rStyle w:val="a5"/>
          <w:sz w:val="20"/>
          <w:szCs w:val="20"/>
          <w:rtl/>
        </w:rPr>
        <w:footnoteReference w:id="407"/>
      </w:r>
      <w:r>
        <w:rPr>
          <w:sz w:val="20"/>
          <w:szCs w:val="20"/>
          <w:rtl/>
        </w:rPr>
        <w:br/>
      </w:r>
      <w:r>
        <w:rPr>
          <w:rFonts w:hint="cs"/>
          <w:sz w:val="20"/>
          <w:szCs w:val="20"/>
          <w:rtl/>
        </w:rPr>
        <w:lastRenderedPageBreak/>
        <w:t xml:space="preserve">ע"פ דברי רבי מרינוס נחלקו האמוראים בדין יולדת שלא ראתה דם בימי טומאת לידתה - </w:t>
      </w:r>
      <w:r>
        <w:rPr>
          <w:sz w:val="20"/>
          <w:szCs w:val="20"/>
          <w:rtl/>
        </w:rPr>
        <w:br/>
      </w:r>
      <w:r>
        <w:rPr>
          <w:rFonts w:hint="cs"/>
          <w:sz w:val="20"/>
          <w:szCs w:val="20"/>
          <w:rtl/>
        </w:rPr>
        <w:t xml:space="preserve">אביי </w:t>
      </w:r>
      <w:r>
        <w:rPr>
          <w:sz w:val="20"/>
          <w:szCs w:val="20"/>
          <w:rtl/>
        </w:rPr>
        <w:t>–</w:t>
      </w:r>
      <w:r>
        <w:rPr>
          <w:rFonts w:hint="cs"/>
          <w:sz w:val="20"/>
          <w:szCs w:val="20"/>
          <w:rtl/>
        </w:rPr>
        <w:t xml:space="preserve"> ימי טומאת לידה אינם עולים למניין ז' נקיים, אלא לאחר ימי הטומאה תמשיך למנות ממקום שפסקה.</w:t>
      </w:r>
      <w:r>
        <w:rPr>
          <w:sz w:val="20"/>
          <w:szCs w:val="20"/>
          <w:rtl/>
        </w:rPr>
        <w:br/>
      </w:r>
      <w:r>
        <w:rPr>
          <w:rFonts w:hint="cs"/>
          <w:sz w:val="20"/>
          <w:szCs w:val="20"/>
          <w:rtl/>
        </w:rPr>
        <w:t xml:space="preserve">רבא </w:t>
      </w:r>
      <w:r>
        <w:rPr>
          <w:sz w:val="20"/>
          <w:szCs w:val="20"/>
          <w:rtl/>
        </w:rPr>
        <w:t>–</w:t>
      </w:r>
      <w:r>
        <w:rPr>
          <w:rFonts w:hint="cs"/>
          <w:sz w:val="20"/>
          <w:szCs w:val="20"/>
          <w:rtl/>
        </w:rPr>
        <w:t xml:space="preserve"> ימי טומאת לידה </w:t>
      </w:r>
      <w:r w:rsidRPr="00650727">
        <w:rPr>
          <w:rFonts w:hint="cs"/>
          <w:sz w:val="18"/>
          <w:szCs w:val="18"/>
          <w:rtl/>
        </w:rPr>
        <w:t xml:space="preserve">(שלא ראתה בהם דם) </w:t>
      </w:r>
      <w:r>
        <w:rPr>
          <w:rFonts w:hint="cs"/>
          <w:sz w:val="20"/>
          <w:szCs w:val="20"/>
          <w:rtl/>
        </w:rPr>
        <w:t>עולים למניין ז' נקיים.</w:t>
      </w:r>
    </w:p>
    <w:p w:rsidR="00620060" w:rsidRDefault="00620060" w:rsidP="00620060">
      <w:pPr>
        <w:rPr>
          <w:sz w:val="20"/>
          <w:szCs w:val="20"/>
          <w:rtl/>
        </w:rPr>
      </w:pPr>
      <w:r w:rsidRPr="007E0B85">
        <w:rPr>
          <w:rFonts w:hint="cs"/>
          <w:b/>
          <w:bCs/>
          <w:sz w:val="20"/>
          <w:szCs w:val="20"/>
          <w:rtl/>
        </w:rPr>
        <w:t>שיטות הראשונים</w:t>
      </w:r>
      <w:r>
        <w:rPr>
          <w:sz w:val="20"/>
          <w:szCs w:val="20"/>
          <w:rtl/>
        </w:rPr>
        <w:br/>
      </w:r>
      <w:r>
        <w:rPr>
          <w:rFonts w:hint="cs"/>
          <w:sz w:val="20"/>
          <w:szCs w:val="20"/>
          <w:rtl/>
        </w:rPr>
        <w:t xml:space="preserve">א. </w:t>
      </w:r>
      <w:r w:rsidRPr="003B4C07">
        <w:rPr>
          <w:rFonts w:hint="cs"/>
          <w:b/>
          <w:bCs/>
          <w:sz w:val="20"/>
          <w:szCs w:val="20"/>
          <w:rtl/>
        </w:rPr>
        <w:t>בה"ג</w:t>
      </w:r>
      <w:r>
        <w:rPr>
          <w:rFonts w:hint="cs"/>
          <w:sz w:val="20"/>
          <w:szCs w:val="20"/>
          <w:rtl/>
        </w:rPr>
        <w:t xml:space="preserve"> </w:t>
      </w:r>
      <w:r w:rsidRPr="009A1298">
        <w:rPr>
          <w:rFonts w:hint="cs"/>
          <w:sz w:val="18"/>
          <w:szCs w:val="18"/>
          <w:rtl/>
        </w:rPr>
        <w:t xml:space="preserve">(ורוב הראשונים) </w:t>
      </w:r>
      <w:r>
        <w:rPr>
          <w:sz w:val="20"/>
          <w:szCs w:val="20"/>
          <w:rtl/>
        </w:rPr>
        <w:t>–</w:t>
      </w:r>
      <w:r>
        <w:rPr>
          <w:rFonts w:hint="cs"/>
          <w:sz w:val="20"/>
          <w:szCs w:val="20"/>
          <w:rtl/>
        </w:rPr>
        <w:t xml:space="preserve"> הלכה כרבא, וכ"פ </w:t>
      </w:r>
      <w:r w:rsidRPr="006571A4">
        <w:rPr>
          <w:rFonts w:hint="cs"/>
          <w:b/>
          <w:bCs/>
          <w:sz w:val="20"/>
          <w:szCs w:val="20"/>
          <w:rtl/>
        </w:rPr>
        <w:t>המחבר</w:t>
      </w:r>
      <w:r>
        <w:rPr>
          <w:rFonts w:hint="cs"/>
          <w:sz w:val="20"/>
          <w:szCs w:val="20"/>
          <w:rtl/>
        </w:rPr>
        <w:t>.</w:t>
      </w:r>
      <w:r>
        <w:rPr>
          <w:sz w:val="20"/>
          <w:szCs w:val="20"/>
          <w:rtl/>
        </w:rPr>
        <w:br/>
      </w:r>
      <w:r>
        <w:rPr>
          <w:rFonts w:hint="cs"/>
          <w:sz w:val="20"/>
          <w:szCs w:val="20"/>
          <w:rtl/>
        </w:rPr>
        <w:t>לפי"ז, נשי דידן שהחמירו על עצמן לשבת על כל טיפת דם כזבה ולידתן תמיד בזיבה, יכולות למנות ז' נקיים מייד לאחר הלידה אע"פ שהן בתוך ימי טומאת לידה.</w:t>
      </w:r>
      <w:r>
        <w:rPr>
          <w:sz w:val="20"/>
          <w:szCs w:val="20"/>
          <w:rtl/>
        </w:rPr>
        <w:br/>
      </w:r>
      <w:r>
        <w:rPr>
          <w:rFonts w:hint="cs"/>
          <w:sz w:val="20"/>
          <w:szCs w:val="20"/>
          <w:rtl/>
        </w:rPr>
        <w:t xml:space="preserve">ב. </w:t>
      </w:r>
      <w:r w:rsidRPr="003B4C07">
        <w:rPr>
          <w:rFonts w:hint="cs"/>
          <w:b/>
          <w:bCs/>
          <w:sz w:val="20"/>
          <w:szCs w:val="20"/>
          <w:rtl/>
        </w:rPr>
        <w:t>ר"ת</w:t>
      </w:r>
      <w:r>
        <w:rPr>
          <w:rFonts w:hint="cs"/>
          <w:sz w:val="20"/>
          <w:szCs w:val="20"/>
          <w:rtl/>
        </w:rPr>
        <w:t xml:space="preserve"> </w:t>
      </w:r>
      <w:r>
        <w:rPr>
          <w:sz w:val="20"/>
          <w:szCs w:val="20"/>
          <w:rtl/>
        </w:rPr>
        <w:t>–</w:t>
      </w:r>
      <w:r>
        <w:rPr>
          <w:rFonts w:hint="cs"/>
          <w:sz w:val="20"/>
          <w:szCs w:val="20"/>
          <w:rtl/>
        </w:rPr>
        <w:t xml:space="preserve"> הלכה כאביי.</w:t>
      </w:r>
      <w:r>
        <w:rPr>
          <w:rStyle w:val="a5"/>
          <w:sz w:val="20"/>
          <w:szCs w:val="20"/>
          <w:rtl/>
        </w:rPr>
        <w:footnoteReference w:id="408"/>
      </w:r>
    </w:p>
    <w:p w:rsidR="00620060" w:rsidRDefault="00620060" w:rsidP="00620060">
      <w:pPr>
        <w:rPr>
          <w:sz w:val="20"/>
          <w:szCs w:val="20"/>
          <w:rtl/>
        </w:rPr>
      </w:pPr>
      <w:r>
        <w:rPr>
          <w:rFonts w:hint="cs"/>
          <w:b/>
          <w:bCs/>
          <w:sz w:val="20"/>
          <w:szCs w:val="20"/>
          <w:rtl/>
        </w:rPr>
        <w:t>אופן ספירת ז' נקיים לאחר לידת נקבה</w:t>
      </w:r>
      <w:r>
        <w:rPr>
          <w:b/>
          <w:bCs/>
          <w:sz w:val="20"/>
          <w:szCs w:val="20"/>
          <w:rtl/>
        </w:rPr>
        <w:br/>
      </w:r>
      <w:r>
        <w:rPr>
          <w:rFonts w:hint="cs"/>
          <w:sz w:val="20"/>
          <w:szCs w:val="20"/>
          <w:rtl/>
        </w:rPr>
        <w:t xml:space="preserve">לדעת הראשונים הפוסקים כרבא שניתן למנות ז"נ בימי טומאת לידה, נחלקו כדלהלן - </w:t>
      </w:r>
      <w:r>
        <w:rPr>
          <w:rFonts w:hint="cs"/>
          <w:b/>
          <w:bCs/>
          <w:sz w:val="20"/>
          <w:szCs w:val="20"/>
          <w:rtl/>
        </w:rPr>
        <w:br/>
      </w:r>
      <w:r>
        <w:rPr>
          <w:rFonts w:hint="cs"/>
          <w:sz w:val="20"/>
          <w:szCs w:val="20"/>
          <w:rtl/>
        </w:rPr>
        <w:t xml:space="preserve">המקרה - ספרה ז"נ לאחר לידת נקבה, אך ראתה דם לאחר מכן תוך יד' ימי טומאת לידה. </w:t>
      </w:r>
      <w:r>
        <w:rPr>
          <w:sz w:val="20"/>
          <w:szCs w:val="20"/>
          <w:rtl/>
        </w:rPr>
        <w:br/>
      </w:r>
      <w:r>
        <w:rPr>
          <w:rFonts w:hint="cs"/>
          <w:sz w:val="20"/>
          <w:szCs w:val="20"/>
          <w:rtl/>
        </w:rPr>
        <w:t xml:space="preserve">א. </w:t>
      </w:r>
      <w:r w:rsidRPr="00FB3D31">
        <w:rPr>
          <w:rFonts w:hint="cs"/>
          <w:b/>
          <w:bCs/>
          <w:sz w:val="20"/>
          <w:szCs w:val="20"/>
          <w:rtl/>
        </w:rPr>
        <w:t>רמב"ן</w:t>
      </w:r>
      <w:r>
        <w:rPr>
          <w:rFonts w:hint="cs"/>
          <w:sz w:val="20"/>
          <w:szCs w:val="20"/>
          <w:rtl/>
        </w:rPr>
        <w:t xml:space="preserve"> </w:t>
      </w:r>
      <w:r>
        <w:rPr>
          <w:sz w:val="20"/>
          <w:szCs w:val="20"/>
          <w:rtl/>
        </w:rPr>
        <w:t>–</w:t>
      </w:r>
      <w:r>
        <w:rPr>
          <w:rFonts w:hint="cs"/>
          <w:sz w:val="20"/>
          <w:szCs w:val="20"/>
          <w:rtl/>
        </w:rPr>
        <w:t xml:space="preserve"> סותרת את מניין ז"נ ומונה שנית.</w:t>
      </w:r>
      <w:r>
        <w:rPr>
          <w:b/>
          <w:bCs/>
          <w:sz w:val="20"/>
          <w:szCs w:val="20"/>
          <w:rtl/>
        </w:rPr>
        <w:br/>
      </w:r>
      <w:r>
        <w:rPr>
          <w:rFonts w:hint="cs"/>
          <w:sz w:val="20"/>
          <w:szCs w:val="20"/>
          <w:rtl/>
        </w:rPr>
        <w:t xml:space="preserve">ב. </w:t>
      </w:r>
      <w:r>
        <w:rPr>
          <w:rFonts w:hint="cs"/>
          <w:b/>
          <w:bCs/>
          <w:sz w:val="20"/>
          <w:szCs w:val="20"/>
          <w:rtl/>
        </w:rPr>
        <w:t xml:space="preserve">רא"ש </w:t>
      </w:r>
      <w:r>
        <w:rPr>
          <w:sz w:val="20"/>
          <w:szCs w:val="20"/>
          <w:rtl/>
        </w:rPr>
        <w:t>–</w:t>
      </w:r>
      <w:r>
        <w:rPr>
          <w:rFonts w:hint="cs"/>
          <w:sz w:val="20"/>
          <w:szCs w:val="20"/>
          <w:rtl/>
        </w:rPr>
        <w:t xml:space="preserve"> אינה סותרת את מניינה וטובלת מייד לאחר יד'.</w:t>
      </w:r>
      <w:r>
        <w:rPr>
          <w:b/>
          <w:bCs/>
          <w:sz w:val="20"/>
          <w:szCs w:val="20"/>
          <w:rtl/>
        </w:rPr>
        <w:br/>
      </w:r>
      <w:r w:rsidRPr="003B11C4">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אע"פ שימי טומאה שראתה בהם דם סותרים, הכא אין סותרים משום שספרה ז"נ.</w:t>
      </w:r>
      <w:r>
        <w:rPr>
          <w:rStyle w:val="a5"/>
          <w:sz w:val="20"/>
          <w:szCs w:val="20"/>
          <w:rtl/>
        </w:rPr>
        <w:footnoteReference w:id="409"/>
      </w:r>
      <w:r>
        <w:rPr>
          <w:rFonts w:hint="cs"/>
          <w:sz w:val="20"/>
          <w:szCs w:val="20"/>
          <w:rtl/>
        </w:rPr>
        <w:br/>
        <w:t xml:space="preserve">מוסיף הרא"ש </w:t>
      </w:r>
      <w:r>
        <w:rPr>
          <w:sz w:val="20"/>
          <w:szCs w:val="20"/>
          <w:rtl/>
        </w:rPr>
        <w:t>–</w:t>
      </w:r>
      <w:r>
        <w:rPr>
          <w:rFonts w:hint="cs"/>
          <w:sz w:val="20"/>
          <w:szCs w:val="20"/>
          <w:rtl/>
        </w:rPr>
        <w:t xml:space="preserve"> אפילו זבה שאינה יולדת שספרה ז"נ ולא טבלה ואחר כך ראתה דם, אינה צריכה למנות ז"נ שנית, אלא דינה כנידה שטובלת לסוף ז'.</w:t>
      </w:r>
      <w:r>
        <w:rPr>
          <w:rStyle w:val="a5"/>
          <w:sz w:val="20"/>
          <w:szCs w:val="20"/>
          <w:rtl/>
        </w:rPr>
        <w:footnoteReference w:id="410"/>
      </w:r>
      <w:r>
        <w:rPr>
          <w:rFonts w:hint="cs"/>
          <w:sz w:val="20"/>
          <w:szCs w:val="20"/>
          <w:rtl/>
        </w:rPr>
        <w:br/>
        <w:t>ואמנם, חותם הרא"ש ואומר שאין לנו נפק"מ בדין זה האחרון, משום שנהגו בנות ישראל להחמיר על עצמן לישב ז"נ על כל טיפת דם שרואות.</w:t>
      </w:r>
    </w:p>
    <w:p w:rsidR="00620060" w:rsidRDefault="00620060" w:rsidP="00620060">
      <w:pPr>
        <w:rPr>
          <w:sz w:val="20"/>
          <w:szCs w:val="20"/>
          <w:rtl/>
        </w:rPr>
      </w:pPr>
      <w:r>
        <w:rPr>
          <w:rFonts w:hint="cs"/>
          <w:sz w:val="20"/>
          <w:szCs w:val="20"/>
          <w:u w:val="single"/>
          <w:rtl/>
        </w:rPr>
        <w:t>האם יש לנו נפק"מ בדברי הרא"ש לגבי יולדת?</w:t>
      </w:r>
      <w:r>
        <w:rPr>
          <w:rFonts w:hint="cs"/>
          <w:sz w:val="20"/>
          <w:szCs w:val="20"/>
          <w:u w:val="single"/>
          <w:rtl/>
        </w:rPr>
        <w:br/>
      </w:r>
      <w:r w:rsidRPr="009D1A11">
        <w:rPr>
          <w:rFonts w:hint="cs"/>
          <w:b/>
          <w:bCs/>
          <w:sz w:val="20"/>
          <w:szCs w:val="20"/>
          <w:rtl/>
        </w:rPr>
        <w:t>הרא"ש</w:t>
      </w:r>
      <w:r>
        <w:rPr>
          <w:rFonts w:hint="cs"/>
          <w:sz w:val="20"/>
          <w:szCs w:val="20"/>
          <w:rtl/>
        </w:rPr>
        <w:t xml:space="preserve"> חידש שאם ראתה דם לאחר ז"נ בתוך יד' ימי טומאה </w:t>
      </w:r>
      <w:r>
        <w:rPr>
          <w:sz w:val="20"/>
          <w:szCs w:val="20"/>
          <w:rtl/>
        </w:rPr>
        <w:t>–</w:t>
      </w:r>
      <w:r>
        <w:rPr>
          <w:rFonts w:hint="cs"/>
          <w:sz w:val="20"/>
          <w:szCs w:val="20"/>
          <w:rtl/>
        </w:rPr>
        <w:t xml:space="preserve"> אינה סותרת את ז' הנקיים.</w:t>
      </w:r>
      <w:r>
        <w:rPr>
          <w:sz w:val="20"/>
          <w:szCs w:val="20"/>
          <w:rtl/>
        </w:rPr>
        <w:br/>
      </w:r>
      <w:r>
        <w:rPr>
          <w:rFonts w:hint="cs"/>
          <w:sz w:val="20"/>
          <w:szCs w:val="20"/>
          <w:rtl/>
        </w:rPr>
        <w:t xml:space="preserve">האחרונים נחלקו האם יש לנו נפק"מ בדין זה - </w:t>
      </w:r>
      <w:r>
        <w:rPr>
          <w:sz w:val="20"/>
          <w:szCs w:val="20"/>
          <w:rtl/>
        </w:rPr>
        <w:br/>
      </w:r>
      <w:r>
        <w:rPr>
          <w:rFonts w:hint="cs"/>
          <w:sz w:val="20"/>
          <w:szCs w:val="20"/>
          <w:rtl/>
        </w:rPr>
        <w:t xml:space="preserve">א. </w:t>
      </w:r>
      <w:r w:rsidRPr="000C14C3">
        <w:rPr>
          <w:rFonts w:hint="cs"/>
          <w:b/>
          <w:bCs/>
          <w:sz w:val="20"/>
          <w:szCs w:val="20"/>
          <w:rtl/>
        </w:rPr>
        <w:t>בית יוסף</w:t>
      </w:r>
      <w:r>
        <w:rPr>
          <w:rFonts w:hint="cs"/>
          <w:sz w:val="20"/>
          <w:szCs w:val="20"/>
          <w:rtl/>
        </w:rPr>
        <w:t xml:space="preserve"> </w:t>
      </w:r>
      <w:r w:rsidRPr="00D55A80">
        <w:rPr>
          <w:rFonts w:hint="cs"/>
          <w:b/>
          <w:bCs/>
          <w:sz w:val="20"/>
          <w:szCs w:val="20"/>
          <w:rtl/>
        </w:rPr>
        <w:t xml:space="preserve">וט"ז </w:t>
      </w:r>
      <w:r>
        <w:rPr>
          <w:sz w:val="20"/>
          <w:szCs w:val="20"/>
          <w:rtl/>
        </w:rPr>
        <w:t>–</w:t>
      </w:r>
      <w:r>
        <w:rPr>
          <w:rFonts w:hint="cs"/>
          <w:sz w:val="20"/>
          <w:szCs w:val="20"/>
          <w:rtl/>
        </w:rPr>
        <w:t xml:space="preserve"> אין לנו נפק"מ בדין זה.</w:t>
      </w:r>
      <w:r>
        <w:rPr>
          <w:sz w:val="20"/>
          <w:szCs w:val="20"/>
          <w:rtl/>
        </w:rPr>
        <w:br/>
      </w:r>
      <w:r w:rsidRPr="000C14C3">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רק לנוהגים לבעול על דם טוהר איכא נפק"מ, משום שמעיין אחד הוא ומייד בגמר יד' ימי טומאתה טובלת ומותרת אע"פ שרואה דם, משום שהוא דם טהור.</w:t>
      </w:r>
      <w:r>
        <w:rPr>
          <w:sz w:val="20"/>
          <w:szCs w:val="20"/>
          <w:rtl/>
        </w:rPr>
        <w:br/>
      </w:r>
      <w:r>
        <w:rPr>
          <w:rFonts w:hint="cs"/>
          <w:sz w:val="20"/>
          <w:szCs w:val="20"/>
          <w:rtl/>
        </w:rPr>
        <w:t>ברם, לדידן שאין בועלים על דם טוהר ומחמירים כרבי זירא, ממילא צריכה לשבת ז"נ שנית.</w:t>
      </w:r>
      <w:r>
        <w:rPr>
          <w:rStyle w:val="a5"/>
          <w:sz w:val="20"/>
          <w:szCs w:val="20"/>
          <w:rtl/>
        </w:rPr>
        <w:footnoteReference w:id="411"/>
      </w:r>
      <w:r>
        <w:rPr>
          <w:rFonts w:hint="cs"/>
          <w:sz w:val="20"/>
          <w:szCs w:val="20"/>
          <w:rtl/>
        </w:rPr>
        <w:br/>
        <w:t xml:space="preserve">ב. </w:t>
      </w:r>
      <w:r w:rsidRPr="00823D6B">
        <w:rPr>
          <w:rFonts w:hint="cs"/>
          <w:b/>
          <w:bCs/>
          <w:sz w:val="20"/>
          <w:szCs w:val="20"/>
          <w:rtl/>
        </w:rPr>
        <w:t>ב"ח</w:t>
      </w:r>
      <w:r>
        <w:rPr>
          <w:rFonts w:hint="cs"/>
          <w:sz w:val="20"/>
          <w:szCs w:val="20"/>
          <w:rtl/>
        </w:rPr>
        <w:t xml:space="preserve"> </w:t>
      </w:r>
      <w:r>
        <w:rPr>
          <w:sz w:val="20"/>
          <w:szCs w:val="20"/>
          <w:rtl/>
        </w:rPr>
        <w:t>–</w:t>
      </w:r>
      <w:r>
        <w:rPr>
          <w:rFonts w:hint="cs"/>
          <w:sz w:val="20"/>
          <w:szCs w:val="20"/>
          <w:rtl/>
        </w:rPr>
        <w:t xml:space="preserve"> גם לדידן יש נפק"מ בדין זה.</w:t>
      </w:r>
      <w:r>
        <w:rPr>
          <w:sz w:val="20"/>
          <w:szCs w:val="20"/>
          <w:rtl/>
        </w:rPr>
        <w:br/>
      </w:r>
      <w:r w:rsidRPr="00823D6B">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חומרת רבי זירא נאמרה רק לגבי דם שיכול לגרום לטומאת נידה או זבה, אך בדם שאינו יכול לגרום לטומאה לא החמירו.</w:t>
      </w:r>
      <w:r>
        <w:rPr>
          <w:rFonts w:hint="cs"/>
          <w:sz w:val="20"/>
          <w:szCs w:val="20"/>
          <w:rtl/>
        </w:rPr>
        <w:br/>
        <w:t xml:space="preserve">ולכן </w:t>
      </w:r>
      <w:r>
        <w:rPr>
          <w:sz w:val="20"/>
          <w:szCs w:val="20"/>
          <w:rtl/>
        </w:rPr>
        <w:t>–</w:t>
      </w:r>
      <w:r>
        <w:rPr>
          <w:rFonts w:hint="cs"/>
          <w:sz w:val="20"/>
          <w:szCs w:val="20"/>
          <w:rtl/>
        </w:rPr>
        <w:t xml:space="preserve"> אם ספרה ז"נ בתוך יד' ללידת נקבה, אע"פ שאחר כך ראתה דם טובלת לאחר יד'.</w:t>
      </w:r>
    </w:p>
    <w:p w:rsidR="00620060" w:rsidRPr="00F4404A"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EF7912">
        <w:rPr>
          <w:rFonts w:cs="Arial" w:hint="cs"/>
          <w:sz w:val="20"/>
          <w:szCs w:val="20"/>
          <w:rtl/>
        </w:rPr>
        <w:t>ימי</w:t>
      </w:r>
      <w:r w:rsidRPr="00EF7912">
        <w:rPr>
          <w:rFonts w:cs="Arial"/>
          <w:sz w:val="20"/>
          <w:szCs w:val="20"/>
          <w:rtl/>
        </w:rPr>
        <w:t xml:space="preserve"> </w:t>
      </w:r>
      <w:r w:rsidRPr="00EF7912">
        <w:rPr>
          <w:rFonts w:cs="Arial" w:hint="cs"/>
          <w:sz w:val="20"/>
          <w:szCs w:val="20"/>
          <w:rtl/>
        </w:rPr>
        <w:t>לידה</w:t>
      </w:r>
      <w:r w:rsidRPr="00EF7912">
        <w:rPr>
          <w:rFonts w:cs="Arial"/>
          <w:sz w:val="20"/>
          <w:szCs w:val="20"/>
          <w:rtl/>
        </w:rPr>
        <w:t xml:space="preserve">, </w:t>
      </w:r>
      <w:r w:rsidRPr="00EF7912">
        <w:rPr>
          <w:rFonts w:cs="Arial" w:hint="cs"/>
          <w:sz w:val="20"/>
          <w:szCs w:val="20"/>
          <w:rtl/>
        </w:rPr>
        <w:t>שהם</w:t>
      </w:r>
      <w:r w:rsidRPr="00EF7912">
        <w:rPr>
          <w:rFonts w:cs="Arial"/>
          <w:sz w:val="20"/>
          <w:szCs w:val="20"/>
          <w:rtl/>
        </w:rPr>
        <w:t xml:space="preserve"> </w:t>
      </w:r>
      <w:r w:rsidRPr="00EF7912">
        <w:rPr>
          <w:rFonts w:cs="Arial" w:hint="cs"/>
          <w:sz w:val="20"/>
          <w:szCs w:val="20"/>
          <w:rtl/>
        </w:rPr>
        <w:t>ז</w:t>
      </w:r>
      <w:r w:rsidRPr="00EF7912">
        <w:rPr>
          <w:rFonts w:cs="Arial"/>
          <w:sz w:val="20"/>
          <w:szCs w:val="20"/>
          <w:rtl/>
        </w:rPr>
        <w:t xml:space="preserve">' </w:t>
      </w:r>
      <w:r w:rsidRPr="00EF7912">
        <w:rPr>
          <w:rFonts w:cs="Arial" w:hint="cs"/>
          <w:sz w:val="20"/>
          <w:szCs w:val="20"/>
          <w:rtl/>
        </w:rPr>
        <w:t>לזכר</w:t>
      </w:r>
      <w:r w:rsidRPr="00EF7912">
        <w:rPr>
          <w:rFonts w:cs="Arial"/>
          <w:sz w:val="20"/>
          <w:szCs w:val="20"/>
          <w:rtl/>
        </w:rPr>
        <w:t xml:space="preserve"> </w:t>
      </w:r>
      <w:r w:rsidRPr="00EF7912">
        <w:rPr>
          <w:rFonts w:cs="Arial" w:hint="cs"/>
          <w:sz w:val="20"/>
          <w:szCs w:val="20"/>
          <w:rtl/>
        </w:rPr>
        <w:t>וי</w:t>
      </w:r>
      <w:r w:rsidRPr="00EF7912">
        <w:rPr>
          <w:rFonts w:cs="Arial"/>
          <w:sz w:val="20"/>
          <w:szCs w:val="20"/>
          <w:rtl/>
        </w:rPr>
        <w:t>"</w:t>
      </w:r>
      <w:r w:rsidRPr="00EF7912">
        <w:rPr>
          <w:rFonts w:cs="Arial" w:hint="cs"/>
          <w:sz w:val="20"/>
          <w:szCs w:val="20"/>
          <w:rtl/>
        </w:rPr>
        <w:t>ד</w:t>
      </w:r>
      <w:r w:rsidRPr="00EF7912">
        <w:rPr>
          <w:rFonts w:cs="Arial"/>
          <w:sz w:val="20"/>
          <w:szCs w:val="20"/>
          <w:rtl/>
        </w:rPr>
        <w:t xml:space="preserve"> </w:t>
      </w:r>
      <w:r w:rsidRPr="00EF7912">
        <w:rPr>
          <w:rFonts w:cs="Arial" w:hint="cs"/>
          <w:sz w:val="20"/>
          <w:szCs w:val="20"/>
          <w:rtl/>
        </w:rPr>
        <w:t>לנקבה</w:t>
      </w:r>
      <w:r w:rsidRPr="00EF7912">
        <w:rPr>
          <w:rFonts w:cs="Arial"/>
          <w:sz w:val="20"/>
          <w:szCs w:val="20"/>
          <w:rtl/>
        </w:rPr>
        <w:t xml:space="preserve">, </w:t>
      </w:r>
      <w:r w:rsidRPr="00EF7912">
        <w:rPr>
          <w:rFonts w:cs="Arial" w:hint="cs"/>
          <w:sz w:val="20"/>
          <w:szCs w:val="20"/>
          <w:rtl/>
        </w:rPr>
        <w:t>אם</w:t>
      </w:r>
      <w:r w:rsidRPr="00EF7912">
        <w:rPr>
          <w:rFonts w:cs="Arial"/>
          <w:sz w:val="20"/>
          <w:szCs w:val="20"/>
          <w:rtl/>
        </w:rPr>
        <w:t xml:space="preserve"> </w:t>
      </w:r>
      <w:r w:rsidRPr="00EF7912">
        <w:rPr>
          <w:rFonts w:cs="Arial" w:hint="cs"/>
          <w:sz w:val="20"/>
          <w:szCs w:val="20"/>
          <w:rtl/>
        </w:rPr>
        <w:t>לא</w:t>
      </w:r>
      <w:r w:rsidRPr="00EF7912">
        <w:rPr>
          <w:rFonts w:cs="Arial"/>
          <w:sz w:val="20"/>
          <w:szCs w:val="20"/>
          <w:rtl/>
        </w:rPr>
        <w:t xml:space="preserve"> </w:t>
      </w:r>
      <w:r w:rsidRPr="00EF7912">
        <w:rPr>
          <w:rFonts w:cs="Arial" w:hint="cs"/>
          <w:sz w:val="20"/>
          <w:szCs w:val="20"/>
          <w:rtl/>
        </w:rPr>
        <w:t>ראתה</w:t>
      </w:r>
      <w:r w:rsidRPr="00EF7912">
        <w:rPr>
          <w:rFonts w:cs="Arial"/>
          <w:sz w:val="20"/>
          <w:szCs w:val="20"/>
          <w:rtl/>
        </w:rPr>
        <w:t xml:space="preserve"> </w:t>
      </w:r>
      <w:r w:rsidRPr="00EF7912">
        <w:rPr>
          <w:rFonts w:cs="Arial" w:hint="cs"/>
          <w:sz w:val="20"/>
          <w:szCs w:val="20"/>
          <w:rtl/>
        </w:rPr>
        <w:t>בהן</w:t>
      </w:r>
      <w:r w:rsidRPr="00EF7912">
        <w:rPr>
          <w:rFonts w:cs="Arial"/>
          <w:sz w:val="20"/>
          <w:szCs w:val="20"/>
          <w:rtl/>
        </w:rPr>
        <w:t xml:space="preserve"> </w:t>
      </w:r>
      <w:r w:rsidRPr="00EF7912">
        <w:rPr>
          <w:rFonts w:cs="Arial" w:hint="cs"/>
          <w:sz w:val="20"/>
          <w:szCs w:val="20"/>
          <w:rtl/>
        </w:rPr>
        <w:t>עולים</w:t>
      </w:r>
      <w:r w:rsidRPr="00EF7912">
        <w:rPr>
          <w:rFonts w:cs="Arial"/>
          <w:sz w:val="20"/>
          <w:szCs w:val="20"/>
          <w:rtl/>
        </w:rPr>
        <w:t xml:space="preserve"> </w:t>
      </w:r>
      <w:r w:rsidRPr="00EF7912">
        <w:rPr>
          <w:rFonts w:cs="Arial" w:hint="cs"/>
          <w:sz w:val="20"/>
          <w:szCs w:val="20"/>
          <w:rtl/>
        </w:rPr>
        <w:t>לספירת</w:t>
      </w:r>
      <w:r w:rsidRPr="00EF7912">
        <w:rPr>
          <w:rFonts w:cs="Arial"/>
          <w:sz w:val="20"/>
          <w:szCs w:val="20"/>
          <w:rtl/>
        </w:rPr>
        <w:t xml:space="preserve"> </w:t>
      </w:r>
      <w:r w:rsidRPr="00EF7912">
        <w:rPr>
          <w:rFonts w:cs="Arial" w:hint="cs"/>
          <w:sz w:val="20"/>
          <w:szCs w:val="20"/>
          <w:rtl/>
        </w:rPr>
        <w:t>זיבתה</w:t>
      </w:r>
      <w:r w:rsidRPr="00EF7912">
        <w:rPr>
          <w:rFonts w:cs="Arial"/>
          <w:sz w:val="20"/>
          <w:szCs w:val="20"/>
          <w:rtl/>
        </w:rPr>
        <w:t xml:space="preserve">; </w:t>
      </w:r>
      <w:r w:rsidRPr="00EF7912">
        <w:rPr>
          <w:rFonts w:cs="Arial" w:hint="cs"/>
          <w:sz w:val="20"/>
          <w:szCs w:val="20"/>
          <w:rtl/>
        </w:rPr>
        <w:t>ואם</w:t>
      </w:r>
      <w:r w:rsidRPr="00EF7912">
        <w:rPr>
          <w:rFonts w:cs="Arial"/>
          <w:sz w:val="20"/>
          <w:szCs w:val="20"/>
          <w:rtl/>
        </w:rPr>
        <w:t xml:space="preserve"> </w:t>
      </w:r>
      <w:r w:rsidRPr="00EF7912">
        <w:rPr>
          <w:rFonts w:cs="Arial" w:hint="cs"/>
          <w:sz w:val="20"/>
          <w:szCs w:val="20"/>
          <w:rtl/>
        </w:rPr>
        <w:t>שלמו</w:t>
      </w:r>
      <w:r w:rsidRPr="00EF7912">
        <w:rPr>
          <w:rFonts w:cs="Arial"/>
          <w:sz w:val="20"/>
          <w:szCs w:val="20"/>
          <w:rtl/>
        </w:rPr>
        <w:t xml:space="preserve"> </w:t>
      </w:r>
      <w:r w:rsidRPr="00EF7912">
        <w:rPr>
          <w:rFonts w:cs="Arial" w:hint="cs"/>
          <w:sz w:val="20"/>
          <w:szCs w:val="20"/>
          <w:rtl/>
        </w:rPr>
        <w:t>ז</w:t>
      </w:r>
      <w:r w:rsidRPr="00EF7912">
        <w:rPr>
          <w:rFonts w:cs="Arial"/>
          <w:sz w:val="20"/>
          <w:szCs w:val="20"/>
          <w:rtl/>
        </w:rPr>
        <w:t xml:space="preserve">' </w:t>
      </w:r>
      <w:r w:rsidRPr="00EF7912">
        <w:rPr>
          <w:rFonts w:cs="Arial" w:hint="cs"/>
          <w:sz w:val="20"/>
          <w:szCs w:val="20"/>
          <w:rtl/>
        </w:rPr>
        <w:t>נקיים</w:t>
      </w:r>
      <w:r w:rsidRPr="00EF7912">
        <w:rPr>
          <w:rFonts w:cs="Arial"/>
          <w:sz w:val="20"/>
          <w:szCs w:val="20"/>
          <w:rtl/>
        </w:rPr>
        <w:t xml:space="preserve"> </w:t>
      </w:r>
      <w:r w:rsidRPr="00EF7912">
        <w:rPr>
          <w:rFonts w:cs="Arial" w:hint="cs"/>
          <w:sz w:val="20"/>
          <w:szCs w:val="20"/>
          <w:rtl/>
        </w:rPr>
        <w:t>בתוך</w:t>
      </w:r>
      <w:r w:rsidRPr="00EF7912">
        <w:rPr>
          <w:rFonts w:cs="Arial"/>
          <w:sz w:val="20"/>
          <w:szCs w:val="20"/>
          <w:rtl/>
        </w:rPr>
        <w:t xml:space="preserve"> </w:t>
      </w:r>
      <w:r w:rsidRPr="00EF7912">
        <w:rPr>
          <w:rFonts w:cs="Arial" w:hint="cs"/>
          <w:sz w:val="20"/>
          <w:szCs w:val="20"/>
          <w:rtl/>
        </w:rPr>
        <w:t>י</w:t>
      </w:r>
      <w:r w:rsidRPr="00EF7912">
        <w:rPr>
          <w:rFonts w:cs="Arial"/>
          <w:sz w:val="20"/>
          <w:szCs w:val="20"/>
          <w:rtl/>
        </w:rPr>
        <w:t>"</w:t>
      </w:r>
      <w:r w:rsidRPr="00EF7912">
        <w:rPr>
          <w:rFonts w:cs="Arial" w:hint="cs"/>
          <w:sz w:val="20"/>
          <w:szCs w:val="20"/>
          <w:rtl/>
        </w:rPr>
        <w:t>ד</w:t>
      </w:r>
      <w:r w:rsidRPr="00EF7912">
        <w:rPr>
          <w:rFonts w:cs="Arial"/>
          <w:sz w:val="20"/>
          <w:szCs w:val="20"/>
          <w:rtl/>
        </w:rPr>
        <w:t xml:space="preserve"> </w:t>
      </w:r>
      <w:r w:rsidRPr="00EF7912">
        <w:rPr>
          <w:rFonts w:cs="Arial" w:hint="cs"/>
          <w:sz w:val="20"/>
          <w:szCs w:val="20"/>
          <w:rtl/>
        </w:rPr>
        <w:t>לנקבה</w:t>
      </w:r>
      <w:r w:rsidRPr="00EF7912">
        <w:rPr>
          <w:rFonts w:cs="Arial"/>
          <w:sz w:val="20"/>
          <w:szCs w:val="20"/>
          <w:rtl/>
        </w:rPr>
        <w:t xml:space="preserve">, </w:t>
      </w:r>
      <w:r w:rsidRPr="00EF7912">
        <w:rPr>
          <w:rFonts w:cs="Arial" w:hint="cs"/>
          <w:sz w:val="20"/>
          <w:szCs w:val="20"/>
          <w:rtl/>
        </w:rPr>
        <w:t>הרי</w:t>
      </w:r>
      <w:r w:rsidRPr="00EF7912">
        <w:rPr>
          <w:rFonts w:cs="Arial"/>
          <w:sz w:val="20"/>
          <w:szCs w:val="20"/>
          <w:rtl/>
        </w:rPr>
        <w:t xml:space="preserve"> </w:t>
      </w:r>
      <w:r w:rsidRPr="00EF7912">
        <w:rPr>
          <w:rFonts w:cs="Arial" w:hint="cs"/>
          <w:sz w:val="20"/>
          <w:szCs w:val="20"/>
          <w:rtl/>
        </w:rPr>
        <w:t>זו</w:t>
      </w:r>
      <w:r w:rsidRPr="00EF7912">
        <w:rPr>
          <w:rFonts w:cs="Arial"/>
          <w:sz w:val="20"/>
          <w:szCs w:val="20"/>
          <w:rtl/>
        </w:rPr>
        <w:t xml:space="preserve"> </w:t>
      </w:r>
      <w:r w:rsidRPr="00EF7912">
        <w:rPr>
          <w:rFonts w:cs="Arial" w:hint="cs"/>
          <w:sz w:val="20"/>
          <w:szCs w:val="20"/>
          <w:rtl/>
        </w:rPr>
        <w:t>אסורה</w:t>
      </w:r>
      <w:r w:rsidRPr="00EF7912">
        <w:rPr>
          <w:rFonts w:cs="Arial"/>
          <w:sz w:val="20"/>
          <w:szCs w:val="20"/>
          <w:rtl/>
        </w:rPr>
        <w:t xml:space="preserve"> </w:t>
      </w:r>
      <w:r w:rsidRPr="00EF7912">
        <w:rPr>
          <w:rFonts w:cs="Arial" w:hint="cs"/>
          <w:sz w:val="20"/>
          <w:szCs w:val="20"/>
          <w:rtl/>
        </w:rPr>
        <w:t>עד</w:t>
      </w:r>
      <w:r w:rsidRPr="00EF7912">
        <w:rPr>
          <w:rFonts w:cs="Arial"/>
          <w:sz w:val="20"/>
          <w:szCs w:val="20"/>
          <w:rtl/>
        </w:rPr>
        <w:t xml:space="preserve"> </w:t>
      </w:r>
      <w:r w:rsidRPr="00EF7912">
        <w:rPr>
          <w:rFonts w:cs="Arial" w:hint="cs"/>
          <w:sz w:val="20"/>
          <w:szCs w:val="20"/>
          <w:rtl/>
        </w:rPr>
        <w:t>ליל</w:t>
      </w:r>
      <w:r w:rsidRPr="00EF7912">
        <w:rPr>
          <w:rFonts w:cs="Arial"/>
          <w:sz w:val="20"/>
          <w:szCs w:val="20"/>
          <w:rtl/>
        </w:rPr>
        <w:t xml:space="preserve"> </w:t>
      </w:r>
      <w:r w:rsidRPr="00EF7912">
        <w:rPr>
          <w:rFonts w:cs="Arial" w:hint="cs"/>
          <w:sz w:val="20"/>
          <w:szCs w:val="20"/>
          <w:rtl/>
        </w:rPr>
        <w:t>ט</w:t>
      </w:r>
      <w:r w:rsidRPr="00EF7912">
        <w:rPr>
          <w:rFonts w:cs="Arial"/>
          <w:sz w:val="20"/>
          <w:szCs w:val="20"/>
          <w:rtl/>
        </w:rPr>
        <w:t>"</w:t>
      </w:r>
      <w:r w:rsidRPr="00EF7912">
        <w:rPr>
          <w:rFonts w:cs="Arial" w:hint="cs"/>
          <w:sz w:val="20"/>
          <w:szCs w:val="20"/>
          <w:rtl/>
        </w:rPr>
        <w:t>ו</w:t>
      </w:r>
      <w:r w:rsidRPr="00EF7912">
        <w:rPr>
          <w:rFonts w:cs="Arial"/>
          <w:sz w:val="20"/>
          <w:szCs w:val="20"/>
          <w:rtl/>
        </w:rPr>
        <w:t xml:space="preserve">; </w:t>
      </w:r>
      <w:r w:rsidRPr="00EF7912">
        <w:rPr>
          <w:rFonts w:cs="Arial" w:hint="cs"/>
          <w:sz w:val="20"/>
          <w:szCs w:val="20"/>
          <w:rtl/>
        </w:rPr>
        <w:t>ואם</w:t>
      </w:r>
      <w:r w:rsidRPr="00EF7912">
        <w:rPr>
          <w:rFonts w:cs="Arial"/>
          <w:sz w:val="20"/>
          <w:szCs w:val="20"/>
          <w:rtl/>
        </w:rPr>
        <w:t xml:space="preserve"> </w:t>
      </w:r>
      <w:r w:rsidRPr="00EF7912">
        <w:rPr>
          <w:rFonts w:cs="Arial" w:hint="cs"/>
          <w:sz w:val="20"/>
          <w:szCs w:val="20"/>
          <w:rtl/>
        </w:rPr>
        <w:t>טבלה</w:t>
      </w:r>
      <w:r w:rsidRPr="00EF7912">
        <w:rPr>
          <w:rFonts w:cs="Arial"/>
          <w:sz w:val="20"/>
          <w:szCs w:val="20"/>
          <w:rtl/>
        </w:rPr>
        <w:t xml:space="preserve"> </w:t>
      </w:r>
      <w:r w:rsidRPr="00EF7912">
        <w:rPr>
          <w:rFonts w:cs="Arial" w:hint="cs"/>
          <w:sz w:val="20"/>
          <w:szCs w:val="20"/>
          <w:rtl/>
        </w:rPr>
        <w:t>קודם</w:t>
      </w:r>
      <w:r w:rsidRPr="00EF7912">
        <w:rPr>
          <w:rFonts w:cs="Arial"/>
          <w:sz w:val="20"/>
          <w:szCs w:val="20"/>
          <w:rtl/>
        </w:rPr>
        <w:t xml:space="preserve"> </w:t>
      </w:r>
      <w:r w:rsidRPr="00EF7912">
        <w:rPr>
          <w:rFonts w:cs="Arial" w:hint="cs"/>
          <w:sz w:val="20"/>
          <w:szCs w:val="20"/>
          <w:rtl/>
        </w:rPr>
        <w:t>לכן</w:t>
      </w:r>
      <w:r w:rsidRPr="00EF7912">
        <w:rPr>
          <w:rFonts w:cs="Arial"/>
          <w:sz w:val="20"/>
          <w:szCs w:val="20"/>
          <w:rtl/>
        </w:rPr>
        <w:t xml:space="preserve">, </w:t>
      </w:r>
      <w:r w:rsidRPr="00EF7912">
        <w:rPr>
          <w:rFonts w:cs="Arial" w:hint="cs"/>
          <w:sz w:val="20"/>
          <w:szCs w:val="20"/>
          <w:rtl/>
        </w:rPr>
        <w:t>לא</w:t>
      </w:r>
      <w:r w:rsidRPr="00EF7912">
        <w:rPr>
          <w:rFonts w:cs="Arial"/>
          <w:sz w:val="20"/>
          <w:szCs w:val="20"/>
          <w:rtl/>
        </w:rPr>
        <w:t xml:space="preserve"> </w:t>
      </w:r>
      <w:r w:rsidRPr="00EF7912">
        <w:rPr>
          <w:rFonts w:cs="Arial" w:hint="cs"/>
          <w:sz w:val="20"/>
          <w:szCs w:val="20"/>
          <w:rtl/>
        </w:rPr>
        <w:t>עלתה</w:t>
      </w:r>
      <w:r w:rsidRPr="00EF7912">
        <w:rPr>
          <w:rFonts w:cs="Arial"/>
          <w:sz w:val="20"/>
          <w:szCs w:val="20"/>
          <w:rtl/>
        </w:rPr>
        <w:t xml:space="preserve"> </w:t>
      </w:r>
      <w:r w:rsidRPr="00EF7912">
        <w:rPr>
          <w:rFonts w:cs="Arial" w:hint="cs"/>
          <w:sz w:val="20"/>
          <w:szCs w:val="20"/>
          <w:rtl/>
        </w:rPr>
        <w:t>לה</w:t>
      </w:r>
      <w:r w:rsidRPr="00EF7912">
        <w:rPr>
          <w:rFonts w:cs="Arial"/>
          <w:sz w:val="20"/>
          <w:szCs w:val="20"/>
          <w:rtl/>
        </w:rPr>
        <w:t xml:space="preserve"> </w:t>
      </w:r>
      <w:r w:rsidRPr="00EF7912">
        <w:rPr>
          <w:rFonts w:cs="Arial" w:hint="cs"/>
          <w:sz w:val="20"/>
          <w:szCs w:val="20"/>
          <w:rtl/>
        </w:rPr>
        <w:t>טבילה</w:t>
      </w:r>
      <w:r w:rsidRPr="003A4F75">
        <w:rPr>
          <w:rFonts w:cs="Arial" w:hint="cs"/>
          <w:sz w:val="18"/>
          <w:szCs w:val="18"/>
          <w:rtl/>
        </w:rPr>
        <w:t>"</w:t>
      </w:r>
      <w:r>
        <w:rPr>
          <w:rFonts w:cs="Arial" w:hint="cs"/>
          <w:sz w:val="18"/>
          <w:szCs w:val="18"/>
          <w:rtl/>
        </w:rPr>
        <w:t xml:space="preserve">. </w:t>
      </w:r>
      <w:r>
        <w:rPr>
          <w:rFonts w:cs="Arial"/>
          <w:sz w:val="18"/>
          <w:szCs w:val="18"/>
          <w:rtl/>
        </w:rPr>
        <w:br/>
      </w:r>
      <w:r w:rsidRPr="003A4F75">
        <w:rPr>
          <w:rFonts w:cs="Arial" w:hint="cs"/>
          <w:sz w:val="18"/>
          <w:szCs w:val="18"/>
          <w:rtl/>
        </w:rPr>
        <w:t>הגה</w:t>
      </w:r>
      <w:r w:rsidRPr="003A4F75">
        <w:rPr>
          <w:rFonts w:cs="Arial"/>
          <w:sz w:val="18"/>
          <w:szCs w:val="18"/>
          <w:rtl/>
        </w:rPr>
        <w:t xml:space="preserve">: </w:t>
      </w:r>
      <w:r w:rsidRPr="003A4F75">
        <w:rPr>
          <w:rFonts w:cs="Arial" w:hint="cs"/>
          <w:sz w:val="18"/>
          <w:szCs w:val="18"/>
          <w:rtl/>
        </w:rPr>
        <w:t>ולאחר</w:t>
      </w:r>
      <w:r w:rsidRPr="003A4F75">
        <w:rPr>
          <w:rFonts w:cs="Arial"/>
          <w:sz w:val="18"/>
          <w:szCs w:val="18"/>
          <w:rtl/>
        </w:rPr>
        <w:t xml:space="preserve"> </w:t>
      </w:r>
      <w:r w:rsidRPr="003A4F75">
        <w:rPr>
          <w:rFonts w:cs="Arial" w:hint="cs"/>
          <w:sz w:val="18"/>
          <w:szCs w:val="18"/>
          <w:rtl/>
        </w:rPr>
        <w:t>ז</w:t>
      </w:r>
      <w:r w:rsidRPr="003A4F75">
        <w:rPr>
          <w:rFonts w:cs="Arial"/>
          <w:sz w:val="18"/>
          <w:szCs w:val="18"/>
          <w:rtl/>
        </w:rPr>
        <w:t xml:space="preserve">' </w:t>
      </w:r>
      <w:r w:rsidRPr="003A4F75">
        <w:rPr>
          <w:rFonts w:cs="Arial" w:hint="cs"/>
          <w:sz w:val="18"/>
          <w:szCs w:val="18"/>
          <w:rtl/>
        </w:rPr>
        <w:t>לזכר</w:t>
      </w:r>
      <w:r w:rsidRPr="003A4F75">
        <w:rPr>
          <w:rFonts w:cs="Arial"/>
          <w:sz w:val="18"/>
          <w:szCs w:val="18"/>
          <w:rtl/>
        </w:rPr>
        <w:t xml:space="preserve"> </w:t>
      </w:r>
      <w:r w:rsidRPr="003A4F75">
        <w:rPr>
          <w:rFonts w:cs="Arial" w:hint="cs"/>
          <w:sz w:val="18"/>
          <w:szCs w:val="18"/>
          <w:rtl/>
        </w:rPr>
        <w:t>וי</w:t>
      </w:r>
      <w:r w:rsidRPr="003A4F75">
        <w:rPr>
          <w:rFonts w:cs="Arial"/>
          <w:sz w:val="18"/>
          <w:szCs w:val="18"/>
          <w:rtl/>
        </w:rPr>
        <w:t>"</w:t>
      </w:r>
      <w:r w:rsidRPr="003A4F75">
        <w:rPr>
          <w:rFonts w:cs="Arial" w:hint="cs"/>
          <w:sz w:val="18"/>
          <w:szCs w:val="18"/>
          <w:rtl/>
        </w:rPr>
        <w:t>ד</w:t>
      </w:r>
      <w:r w:rsidRPr="003A4F75">
        <w:rPr>
          <w:rFonts w:cs="Arial"/>
          <w:sz w:val="18"/>
          <w:szCs w:val="18"/>
          <w:rtl/>
        </w:rPr>
        <w:t xml:space="preserve"> </w:t>
      </w:r>
      <w:r w:rsidRPr="003A4F75">
        <w:rPr>
          <w:rFonts w:cs="Arial" w:hint="cs"/>
          <w:sz w:val="18"/>
          <w:szCs w:val="18"/>
          <w:rtl/>
        </w:rPr>
        <w:t>לנקבה</w:t>
      </w:r>
      <w:r w:rsidRPr="003A4F75">
        <w:rPr>
          <w:rFonts w:cs="Arial"/>
          <w:sz w:val="18"/>
          <w:szCs w:val="18"/>
          <w:rtl/>
        </w:rPr>
        <w:t xml:space="preserve">, </w:t>
      </w:r>
      <w:r w:rsidRPr="003A4F75">
        <w:rPr>
          <w:rFonts w:cs="Arial" w:hint="cs"/>
          <w:sz w:val="18"/>
          <w:szCs w:val="18"/>
          <w:rtl/>
        </w:rPr>
        <w:t>מותרת</w:t>
      </w:r>
      <w:r w:rsidRPr="003A4F75">
        <w:rPr>
          <w:rFonts w:cs="Arial"/>
          <w:sz w:val="18"/>
          <w:szCs w:val="18"/>
          <w:rtl/>
        </w:rPr>
        <w:t xml:space="preserve"> </w:t>
      </w:r>
      <w:r w:rsidRPr="003A4F75">
        <w:rPr>
          <w:rFonts w:cs="Arial" w:hint="cs"/>
          <w:sz w:val="18"/>
          <w:szCs w:val="18"/>
          <w:rtl/>
        </w:rPr>
        <w:t>לבעלה</w:t>
      </w:r>
      <w:r w:rsidRPr="003A4F75">
        <w:rPr>
          <w:rFonts w:cs="Arial"/>
          <w:sz w:val="18"/>
          <w:szCs w:val="18"/>
          <w:rtl/>
        </w:rPr>
        <w:t xml:space="preserve"> </w:t>
      </w:r>
      <w:r w:rsidRPr="003A4F75">
        <w:rPr>
          <w:rFonts w:cs="Arial" w:hint="cs"/>
          <w:sz w:val="18"/>
          <w:szCs w:val="18"/>
          <w:rtl/>
        </w:rPr>
        <w:t>מיד</w:t>
      </w:r>
      <w:r w:rsidRPr="003A4F75">
        <w:rPr>
          <w:rFonts w:cs="Arial"/>
          <w:sz w:val="18"/>
          <w:szCs w:val="18"/>
          <w:rtl/>
        </w:rPr>
        <w:t xml:space="preserve">, </w:t>
      </w:r>
      <w:r w:rsidRPr="003A4F75">
        <w:rPr>
          <w:rFonts w:cs="Arial" w:hint="cs"/>
          <w:sz w:val="18"/>
          <w:szCs w:val="18"/>
          <w:rtl/>
        </w:rPr>
        <w:t>מאחר</w:t>
      </w:r>
      <w:r w:rsidRPr="003A4F75">
        <w:rPr>
          <w:rFonts w:cs="Arial"/>
          <w:sz w:val="18"/>
          <w:szCs w:val="18"/>
          <w:rtl/>
        </w:rPr>
        <w:t xml:space="preserve"> </w:t>
      </w:r>
      <w:r w:rsidRPr="003A4F75">
        <w:rPr>
          <w:rFonts w:cs="Arial" w:hint="cs"/>
          <w:sz w:val="18"/>
          <w:szCs w:val="18"/>
          <w:rtl/>
        </w:rPr>
        <w:t>שספרה</w:t>
      </w:r>
      <w:r w:rsidRPr="003A4F75">
        <w:rPr>
          <w:rFonts w:cs="Arial"/>
          <w:sz w:val="18"/>
          <w:szCs w:val="18"/>
          <w:rtl/>
        </w:rPr>
        <w:t xml:space="preserve"> </w:t>
      </w:r>
      <w:r w:rsidRPr="003A4F75">
        <w:rPr>
          <w:rFonts w:cs="Arial" w:hint="cs"/>
          <w:sz w:val="18"/>
          <w:szCs w:val="18"/>
          <w:rtl/>
        </w:rPr>
        <w:t>ז</w:t>
      </w:r>
      <w:r w:rsidRPr="003A4F75">
        <w:rPr>
          <w:rFonts w:cs="Arial"/>
          <w:sz w:val="18"/>
          <w:szCs w:val="18"/>
          <w:rtl/>
        </w:rPr>
        <w:t xml:space="preserve">' </w:t>
      </w:r>
      <w:r w:rsidRPr="003A4F75">
        <w:rPr>
          <w:rFonts w:cs="Arial" w:hint="cs"/>
          <w:sz w:val="18"/>
          <w:szCs w:val="18"/>
          <w:rtl/>
        </w:rPr>
        <w:t>נקיים</w:t>
      </w:r>
      <w:r w:rsidRPr="003A4F75">
        <w:rPr>
          <w:rFonts w:cs="Arial"/>
          <w:sz w:val="18"/>
          <w:szCs w:val="18"/>
          <w:rtl/>
        </w:rPr>
        <w:t xml:space="preserve"> </w:t>
      </w:r>
      <w:r w:rsidRPr="003A4F75">
        <w:rPr>
          <w:rFonts w:cs="Arial" w:hint="cs"/>
          <w:sz w:val="18"/>
          <w:szCs w:val="18"/>
          <w:rtl/>
        </w:rPr>
        <w:t>ולא</w:t>
      </w:r>
      <w:r w:rsidRPr="003A4F75">
        <w:rPr>
          <w:rFonts w:cs="Arial"/>
          <w:sz w:val="18"/>
          <w:szCs w:val="18"/>
          <w:rtl/>
        </w:rPr>
        <w:t xml:space="preserve"> </w:t>
      </w:r>
      <w:r w:rsidRPr="003A4F75">
        <w:rPr>
          <w:rFonts w:cs="Arial" w:hint="cs"/>
          <w:sz w:val="18"/>
          <w:szCs w:val="18"/>
          <w:rtl/>
        </w:rPr>
        <w:t>חזרה</w:t>
      </w:r>
      <w:r w:rsidRPr="003A4F75">
        <w:rPr>
          <w:rFonts w:cs="Arial"/>
          <w:sz w:val="18"/>
          <w:szCs w:val="18"/>
          <w:rtl/>
        </w:rPr>
        <w:t xml:space="preserve"> </w:t>
      </w:r>
      <w:r w:rsidRPr="003A4F75">
        <w:rPr>
          <w:rFonts w:cs="Arial" w:hint="cs"/>
          <w:sz w:val="18"/>
          <w:szCs w:val="18"/>
          <w:rtl/>
        </w:rPr>
        <w:t>וראתה</w:t>
      </w:r>
      <w:r w:rsidRPr="003A4F75">
        <w:rPr>
          <w:rFonts w:cs="Arial"/>
          <w:sz w:val="18"/>
          <w:szCs w:val="18"/>
          <w:rtl/>
        </w:rPr>
        <w:t>.</w:t>
      </w:r>
      <w:r>
        <w:rPr>
          <w:rFonts w:cs="Arial" w:hint="cs"/>
          <w:sz w:val="20"/>
          <w:szCs w:val="20"/>
          <w:rtl/>
        </w:rPr>
        <w:t>"</w:t>
      </w:r>
      <w:r>
        <w:rPr>
          <w:sz w:val="20"/>
          <w:szCs w:val="20"/>
          <w:rtl/>
        </w:rPr>
        <w:br/>
      </w:r>
      <w:r w:rsidRPr="00D55A80">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כוונת המחבר היא שלאחר ז' נקיים לא ראתה עוד, אך אם ראתה אפילו בתוך ימי טומאתה, סותרת, כיוון שמנהגנו לא לבעול על דם טוהר, וכן פסק הרמ"א בתשובה.</w:t>
      </w:r>
      <w:r>
        <w:rPr>
          <w:rFonts w:hint="cs"/>
          <w:sz w:val="20"/>
          <w:szCs w:val="20"/>
          <w:rtl/>
        </w:rPr>
        <w:br/>
      </w:r>
    </w:p>
    <w:p w:rsidR="00620060" w:rsidRDefault="00620060" w:rsidP="00620060">
      <w:pPr>
        <w:rPr>
          <w:rFonts w:cs="Arial"/>
          <w:sz w:val="20"/>
          <w:szCs w:val="20"/>
          <w:rtl/>
        </w:rPr>
      </w:pPr>
      <w:r w:rsidRPr="00A928C0">
        <w:rPr>
          <w:rStyle w:val="10"/>
          <w:rFonts w:hint="cs"/>
          <w:rtl/>
        </w:rPr>
        <w:t>ג. דין דם טוהר</w:t>
      </w:r>
      <w:r>
        <w:rPr>
          <w:b/>
          <w:bCs/>
          <w:sz w:val="20"/>
          <w:szCs w:val="20"/>
          <w:rtl/>
        </w:rPr>
        <w:br/>
      </w:r>
      <w:r>
        <w:rPr>
          <w:rFonts w:hint="cs"/>
          <w:b/>
          <w:bCs/>
          <w:sz w:val="20"/>
          <w:szCs w:val="20"/>
          <w:rtl/>
        </w:rPr>
        <w:t>שופעת מימי טומאה לטהרה ומימי טהרה לטומאה</w:t>
      </w:r>
      <w:r>
        <w:rPr>
          <w:b/>
          <w:bCs/>
          <w:sz w:val="20"/>
          <w:szCs w:val="20"/>
          <w:rtl/>
        </w:rPr>
        <w:br/>
      </w:r>
      <w:r>
        <w:rPr>
          <w:rFonts w:hint="cs"/>
          <w:b/>
          <w:bCs/>
          <w:sz w:val="20"/>
          <w:szCs w:val="20"/>
          <w:rtl/>
        </w:rPr>
        <w:lastRenderedPageBreak/>
        <w:t xml:space="preserve">גמרא </w:t>
      </w:r>
      <w:r>
        <w:rPr>
          <w:rFonts w:hint="cs"/>
          <w:sz w:val="20"/>
          <w:szCs w:val="20"/>
          <w:rtl/>
        </w:rPr>
        <w:t>נידה (לה:) "</w:t>
      </w:r>
      <w:r w:rsidRPr="000377C5">
        <w:rPr>
          <w:rFonts w:cs="Arial" w:hint="cs"/>
          <w:sz w:val="20"/>
          <w:szCs w:val="20"/>
          <w:rtl/>
        </w:rPr>
        <w:t>איתמר</w:t>
      </w:r>
      <w:r w:rsidRPr="000377C5">
        <w:rPr>
          <w:rFonts w:cs="Arial"/>
          <w:sz w:val="20"/>
          <w:szCs w:val="20"/>
          <w:rtl/>
        </w:rPr>
        <w:t xml:space="preserve">, </w:t>
      </w:r>
      <w:r w:rsidRPr="000377C5">
        <w:rPr>
          <w:rFonts w:cs="Arial" w:hint="cs"/>
          <w:sz w:val="20"/>
          <w:szCs w:val="20"/>
          <w:rtl/>
        </w:rPr>
        <w:t>רב</w:t>
      </w:r>
      <w:r w:rsidRPr="000377C5">
        <w:rPr>
          <w:rFonts w:cs="Arial"/>
          <w:sz w:val="20"/>
          <w:szCs w:val="20"/>
          <w:rtl/>
        </w:rPr>
        <w:t xml:space="preserve"> </w:t>
      </w:r>
      <w:r w:rsidRPr="000377C5">
        <w:rPr>
          <w:rFonts w:cs="Arial" w:hint="cs"/>
          <w:sz w:val="20"/>
          <w:szCs w:val="20"/>
          <w:rtl/>
        </w:rPr>
        <w:t>אמר</w:t>
      </w:r>
      <w:r w:rsidRPr="000377C5">
        <w:rPr>
          <w:rFonts w:cs="Arial"/>
          <w:sz w:val="20"/>
          <w:szCs w:val="20"/>
          <w:rtl/>
        </w:rPr>
        <w:t xml:space="preserve">: </w:t>
      </w:r>
      <w:r w:rsidRPr="000377C5">
        <w:rPr>
          <w:rFonts w:cs="Arial" w:hint="cs"/>
          <w:sz w:val="20"/>
          <w:szCs w:val="20"/>
          <w:rtl/>
        </w:rPr>
        <w:t>מעין</w:t>
      </w:r>
      <w:r w:rsidRPr="000377C5">
        <w:rPr>
          <w:rFonts w:cs="Arial"/>
          <w:sz w:val="20"/>
          <w:szCs w:val="20"/>
          <w:rtl/>
        </w:rPr>
        <w:t xml:space="preserve"> </w:t>
      </w:r>
      <w:r w:rsidRPr="000377C5">
        <w:rPr>
          <w:rFonts w:cs="Arial" w:hint="cs"/>
          <w:sz w:val="20"/>
          <w:szCs w:val="20"/>
          <w:rtl/>
        </w:rPr>
        <w:t>אחד</w:t>
      </w:r>
      <w:r w:rsidRPr="000377C5">
        <w:rPr>
          <w:rFonts w:cs="Arial"/>
          <w:sz w:val="20"/>
          <w:szCs w:val="20"/>
          <w:rtl/>
        </w:rPr>
        <w:t xml:space="preserve"> </w:t>
      </w:r>
      <w:r w:rsidRPr="000377C5">
        <w:rPr>
          <w:rFonts w:cs="Arial" w:hint="cs"/>
          <w:sz w:val="20"/>
          <w:szCs w:val="20"/>
          <w:rtl/>
        </w:rPr>
        <w:t>הוא</w:t>
      </w:r>
      <w:r w:rsidRPr="000377C5">
        <w:rPr>
          <w:rFonts w:cs="Arial"/>
          <w:sz w:val="20"/>
          <w:szCs w:val="20"/>
          <w:rtl/>
        </w:rPr>
        <w:t xml:space="preserve">, </w:t>
      </w:r>
      <w:r w:rsidRPr="000377C5">
        <w:rPr>
          <w:rFonts w:cs="Arial" w:hint="cs"/>
          <w:sz w:val="20"/>
          <w:szCs w:val="20"/>
          <w:rtl/>
        </w:rPr>
        <w:t>התורה</w:t>
      </w:r>
      <w:r w:rsidRPr="000377C5">
        <w:rPr>
          <w:rFonts w:cs="Arial"/>
          <w:sz w:val="20"/>
          <w:szCs w:val="20"/>
          <w:rtl/>
        </w:rPr>
        <w:t xml:space="preserve"> </w:t>
      </w:r>
      <w:r w:rsidRPr="000377C5">
        <w:rPr>
          <w:rFonts w:cs="Arial" w:hint="cs"/>
          <w:sz w:val="20"/>
          <w:szCs w:val="20"/>
          <w:rtl/>
        </w:rPr>
        <w:t>טמאתו</w:t>
      </w:r>
      <w:r w:rsidRPr="000377C5">
        <w:rPr>
          <w:rFonts w:cs="Arial"/>
          <w:sz w:val="20"/>
          <w:szCs w:val="20"/>
          <w:rtl/>
        </w:rPr>
        <w:t xml:space="preserve"> </w:t>
      </w:r>
      <w:r w:rsidRPr="000377C5">
        <w:rPr>
          <w:rFonts w:cs="Arial" w:hint="cs"/>
          <w:sz w:val="20"/>
          <w:szCs w:val="20"/>
          <w:rtl/>
        </w:rPr>
        <w:t>והתורה</w:t>
      </w:r>
      <w:r w:rsidRPr="000377C5">
        <w:rPr>
          <w:rFonts w:cs="Arial"/>
          <w:sz w:val="20"/>
          <w:szCs w:val="20"/>
          <w:rtl/>
        </w:rPr>
        <w:t xml:space="preserve"> </w:t>
      </w:r>
      <w:r w:rsidRPr="000377C5">
        <w:rPr>
          <w:rFonts w:cs="Arial" w:hint="cs"/>
          <w:sz w:val="20"/>
          <w:szCs w:val="20"/>
          <w:rtl/>
        </w:rPr>
        <w:t>טהרתו</w:t>
      </w:r>
      <w:r w:rsidRPr="000377C5">
        <w:rPr>
          <w:rFonts w:cs="Arial"/>
          <w:sz w:val="20"/>
          <w:szCs w:val="20"/>
          <w:rtl/>
        </w:rPr>
        <w:t xml:space="preserve">. </w:t>
      </w:r>
      <w:r w:rsidRPr="000377C5">
        <w:rPr>
          <w:rFonts w:cs="Arial" w:hint="cs"/>
          <w:sz w:val="20"/>
          <w:szCs w:val="20"/>
          <w:rtl/>
        </w:rPr>
        <w:t>ולוי</w:t>
      </w:r>
      <w:r w:rsidRPr="000377C5">
        <w:rPr>
          <w:rFonts w:cs="Arial"/>
          <w:sz w:val="20"/>
          <w:szCs w:val="20"/>
          <w:rtl/>
        </w:rPr>
        <w:t xml:space="preserve"> </w:t>
      </w:r>
      <w:r w:rsidRPr="000377C5">
        <w:rPr>
          <w:rFonts w:cs="Arial" w:hint="cs"/>
          <w:sz w:val="20"/>
          <w:szCs w:val="20"/>
          <w:rtl/>
        </w:rPr>
        <w:t>אמר</w:t>
      </w:r>
      <w:r w:rsidRPr="000377C5">
        <w:rPr>
          <w:rFonts w:cs="Arial"/>
          <w:sz w:val="20"/>
          <w:szCs w:val="20"/>
          <w:rtl/>
        </w:rPr>
        <w:t xml:space="preserve">: </w:t>
      </w:r>
      <w:r w:rsidRPr="000377C5">
        <w:rPr>
          <w:rFonts w:cs="Arial" w:hint="cs"/>
          <w:sz w:val="20"/>
          <w:szCs w:val="20"/>
          <w:rtl/>
        </w:rPr>
        <w:t>שני</w:t>
      </w:r>
      <w:r w:rsidRPr="000377C5">
        <w:rPr>
          <w:rFonts w:cs="Arial"/>
          <w:sz w:val="20"/>
          <w:szCs w:val="20"/>
          <w:rtl/>
        </w:rPr>
        <w:t xml:space="preserve"> </w:t>
      </w:r>
      <w:r w:rsidRPr="000377C5">
        <w:rPr>
          <w:rFonts w:cs="Arial" w:hint="cs"/>
          <w:sz w:val="20"/>
          <w:szCs w:val="20"/>
          <w:rtl/>
        </w:rPr>
        <w:t>מעינות</w:t>
      </w:r>
      <w:r w:rsidRPr="000377C5">
        <w:rPr>
          <w:rFonts w:cs="Arial"/>
          <w:sz w:val="20"/>
          <w:szCs w:val="20"/>
          <w:rtl/>
        </w:rPr>
        <w:t xml:space="preserve"> </w:t>
      </w:r>
      <w:r w:rsidRPr="000377C5">
        <w:rPr>
          <w:rFonts w:cs="Arial" w:hint="cs"/>
          <w:sz w:val="20"/>
          <w:szCs w:val="20"/>
          <w:rtl/>
        </w:rPr>
        <w:t>הם</w:t>
      </w:r>
      <w:r w:rsidRPr="000377C5">
        <w:rPr>
          <w:rFonts w:cs="Arial"/>
          <w:sz w:val="20"/>
          <w:szCs w:val="20"/>
          <w:rtl/>
        </w:rPr>
        <w:t xml:space="preserve">, </w:t>
      </w:r>
      <w:r w:rsidRPr="000377C5">
        <w:rPr>
          <w:rFonts w:cs="Arial" w:hint="cs"/>
          <w:sz w:val="20"/>
          <w:szCs w:val="20"/>
          <w:rtl/>
        </w:rPr>
        <w:t>נסתם</w:t>
      </w:r>
      <w:r w:rsidRPr="000377C5">
        <w:rPr>
          <w:rFonts w:cs="Arial"/>
          <w:sz w:val="20"/>
          <w:szCs w:val="20"/>
          <w:rtl/>
        </w:rPr>
        <w:t xml:space="preserve"> </w:t>
      </w:r>
      <w:r w:rsidRPr="000377C5">
        <w:rPr>
          <w:rFonts w:cs="Arial" w:hint="cs"/>
          <w:sz w:val="20"/>
          <w:szCs w:val="20"/>
          <w:rtl/>
        </w:rPr>
        <w:t>הטמא</w:t>
      </w:r>
      <w:r w:rsidRPr="000377C5">
        <w:rPr>
          <w:rFonts w:cs="Arial"/>
          <w:sz w:val="20"/>
          <w:szCs w:val="20"/>
          <w:rtl/>
        </w:rPr>
        <w:t xml:space="preserve"> - </w:t>
      </w:r>
      <w:r w:rsidRPr="000377C5">
        <w:rPr>
          <w:rFonts w:cs="Arial" w:hint="cs"/>
          <w:sz w:val="20"/>
          <w:szCs w:val="20"/>
          <w:rtl/>
        </w:rPr>
        <w:t>נפתח</w:t>
      </w:r>
      <w:r w:rsidRPr="000377C5">
        <w:rPr>
          <w:rFonts w:cs="Arial"/>
          <w:sz w:val="20"/>
          <w:szCs w:val="20"/>
          <w:rtl/>
        </w:rPr>
        <w:t xml:space="preserve"> </w:t>
      </w:r>
      <w:r w:rsidRPr="000377C5">
        <w:rPr>
          <w:rFonts w:cs="Arial" w:hint="cs"/>
          <w:sz w:val="20"/>
          <w:szCs w:val="20"/>
          <w:rtl/>
        </w:rPr>
        <w:t>הטהור</w:t>
      </w:r>
      <w:r w:rsidRPr="000377C5">
        <w:rPr>
          <w:rFonts w:cs="Arial"/>
          <w:sz w:val="20"/>
          <w:szCs w:val="20"/>
          <w:rtl/>
        </w:rPr>
        <w:t xml:space="preserve">, </w:t>
      </w:r>
      <w:r w:rsidRPr="000377C5">
        <w:rPr>
          <w:rFonts w:cs="Arial" w:hint="cs"/>
          <w:sz w:val="20"/>
          <w:szCs w:val="20"/>
          <w:rtl/>
        </w:rPr>
        <w:t>נסתם</w:t>
      </w:r>
      <w:r w:rsidRPr="000377C5">
        <w:rPr>
          <w:rFonts w:cs="Arial"/>
          <w:sz w:val="20"/>
          <w:szCs w:val="20"/>
          <w:rtl/>
        </w:rPr>
        <w:t xml:space="preserve"> </w:t>
      </w:r>
      <w:r w:rsidRPr="000377C5">
        <w:rPr>
          <w:rFonts w:cs="Arial" w:hint="cs"/>
          <w:sz w:val="20"/>
          <w:szCs w:val="20"/>
          <w:rtl/>
        </w:rPr>
        <w:t>הטהור</w:t>
      </w:r>
      <w:r w:rsidRPr="000377C5">
        <w:rPr>
          <w:rFonts w:cs="Arial"/>
          <w:sz w:val="20"/>
          <w:szCs w:val="20"/>
          <w:rtl/>
        </w:rPr>
        <w:t xml:space="preserve"> - </w:t>
      </w:r>
      <w:r w:rsidRPr="000377C5">
        <w:rPr>
          <w:rFonts w:cs="Arial" w:hint="cs"/>
          <w:sz w:val="20"/>
          <w:szCs w:val="20"/>
          <w:rtl/>
        </w:rPr>
        <w:t>נפתח</w:t>
      </w:r>
      <w:r w:rsidRPr="000377C5">
        <w:rPr>
          <w:rFonts w:cs="Arial"/>
          <w:sz w:val="20"/>
          <w:szCs w:val="20"/>
          <w:rtl/>
        </w:rPr>
        <w:t xml:space="preserve"> </w:t>
      </w:r>
      <w:r w:rsidRPr="000377C5">
        <w:rPr>
          <w:rFonts w:cs="Arial" w:hint="cs"/>
          <w:sz w:val="20"/>
          <w:szCs w:val="20"/>
          <w:rtl/>
        </w:rPr>
        <w:t>הטמא</w:t>
      </w:r>
      <w:r w:rsidRPr="000377C5">
        <w:rPr>
          <w:rFonts w:cs="Arial"/>
          <w:sz w:val="20"/>
          <w:szCs w:val="20"/>
          <w:rtl/>
        </w:rPr>
        <w:t xml:space="preserve">. </w:t>
      </w:r>
      <w:r w:rsidRPr="000377C5">
        <w:rPr>
          <w:rFonts w:cs="Arial" w:hint="cs"/>
          <w:sz w:val="20"/>
          <w:szCs w:val="20"/>
          <w:rtl/>
        </w:rPr>
        <w:t>מאי</w:t>
      </w:r>
      <w:r w:rsidRPr="000377C5">
        <w:rPr>
          <w:rFonts w:cs="Arial"/>
          <w:sz w:val="20"/>
          <w:szCs w:val="20"/>
          <w:rtl/>
        </w:rPr>
        <w:t xml:space="preserve"> </w:t>
      </w:r>
      <w:r w:rsidRPr="000377C5">
        <w:rPr>
          <w:rFonts w:cs="Arial" w:hint="cs"/>
          <w:sz w:val="20"/>
          <w:szCs w:val="20"/>
          <w:rtl/>
        </w:rPr>
        <w:t>בינייהו</w:t>
      </w:r>
      <w:r w:rsidRPr="000377C5">
        <w:rPr>
          <w:rFonts w:cs="Arial"/>
          <w:sz w:val="20"/>
          <w:szCs w:val="20"/>
          <w:rtl/>
        </w:rPr>
        <w:t xml:space="preserve">? </w:t>
      </w:r>
      <w:r w:rsidRPr="000377C5">
        <w:rPr>
          <w:rFonts w:cs="Arial" w:hint="cs"/>
          <w:sz w:val="20"/>
          <w:szCs w:val="20"/>
          <w:rtl/>
        </w:rPr>
        <w:t>איכא</w:t>
      </w:r>
      <w:r w:rsidRPr="000377C5">
        <w:rPr>
          <w:rFonts w:cs="Arial"/>
          <w:sz w:val="20"/>
          <w:szCs w:val="20"/>
          <w:rtl/>
        </w:rPr>
        <w:t xml:space="preserve"> </w:t>
      </w:r>
      <w:r w:rsidRPr="000377C5">
        <w:rPr>
          <w:rFonts w:cs="Arial" w:hint="cs"/>
          <w:sz w:val="20"/>
          <w:szCs w:val="20"/>
          <w:rtl/>
        </w:rPr>
        <w:t>בינייהו</w:t>
      </w:r>
      <w:r w:rsidRPr="000377C5">
        <w:rPr>
          <w:rFonts w:cs="Arial"/>
          <w:sz w:val="20"/>
          <w:szCs w:val="20"/>
          <w:rtl/>
        </w:rPr>
        <w:t xml:space="preserve">: </w:t>
      </w:r>
      <w:r w:rsidRPr="000377C5">
        <w:rPr>
          <w:rFonts w:cs="Arial" w:hint="cs"/>
          <w:sz w:val="20"/>
          <w:szCs w:val="20"/>
          <w:rtl/>
        </w:rPr>
        <w:t>שופעת</w:t>
      </w:r>
      <w:r w:rsidRPr="000377C5">
        <w:rPr>
          <w:rFonts w:cs="Arial"/>
          <w:sz w:val="20"/>
          <w:szCs w:val="20"/>
          <w:rtl/>
        </w:rPr>
        <w:t xml:space="preserve"> </w:t>
      </w:r>
      <w:r w:rsidRPr="000377C5">
        <w:rPr>
          <w:rFonts w:cs="Arial" w:hint="cs"/>
          <w:sz w:val="20"/>
          <w:szCs w:val="20"/>
          <w:rtl/>
        </w:rPr>
        <w:t>מתוך</w:t>
      </w:r>
      <w:r w:rsidRPr="000377C5">
        <w:rPr>
          <w:rFonts w:cs="Arial"/>
          <w:sz w:val="20"/>
          <w:szCs w:val="20"/>
          <w:rtl/>
        </w:rPr>
        <w:t xml:space="preserve"> </w:t>
      </w:r>
      <w:r w:rsidRPr="000377C5">
        <w:rPr>
          <w:rFonts w:cs="Arial" w:hint="cs"/>
          <w:sz w:val="20"/>
          <w:szCs w:val="20"/>
          <w:rtl/>
        </w:rPr>
        <w:t>שבעה</w:t>
      </w:r>
      <w:r w:rsidRPr="000377C5">
        <w:rPr>
          <w:rFonts w:cs="Arial"/>
          <w:sz w:val="20"/>
          <w:szCs w:val="20"/>
          <w:rtl/>
        </w:rPr>
        <w:t xml:space="preserve"> </w:t>
      </w:r>
      <w:r w:rsidRPr="000377C5">
        <w:rPr>
          <w:rFonts w:cs="Arial" w:hint="cs"/>
          <w:sz w:val="20"/>
          <w:szCs w:val="20"/>
          <w:rtl/>
        </w:rPr>
        <w:t>לאחר</w:t>
      </w:r>
      <w:r w:rsidRPr="000377C5">
        <w:rPr>
          <w:rFonts w:cs="Arial"/>
          <w:sz w:val="20"/>
          <w:szCs w:val="20"/>
          <w:rtl/>
        </w:rPr>
        <w:t xml:space="preserve"> </w:t>
      </w:r>
      <w:r w:rsidRPr="000377C5">
        <w:rPr>
          <w:rFonts w:cs="Arial" w:hint="cs"/>
          <w:sz w:val="20"/>
          <w:szCs w:val="20"/>
          <w:rtl/>
        </w:rPr>
        <w:t>שבעה</w:t>
      </w:r>
      <w:r w:rsidRPr="000377C5">
        <w:rPr>
          <w:rFonts w:cs="Arial"/>
          <w:sz w:val="20"/>
          <w:szCs w:val="20"/>
          <w:rtl/>
        </w:rPr>
        <w:t xml:space="preserve">, </w:t>
      </w:r>
      <w:r w:rsidRPr="000377C5">
        <w:rPr>
          <w:rFonts w:cs="Arial" w:hint="cs"/>
          <w:sz w:val="20"/>
          <w:szCs w:val="20"/>
          <w:rtl/>
        </w:rPr>
        <w:t>ומתוך</w:t>
      </w:r>
      <w:r w:rsidRPr="000377C5">
        <w:rPr>
          <w:rFonts w:cs="Arial"/>
          <w:sz w:val="20"/>
          <w:szCs w:val="20"/>
          <w:rtl/>
        </w:rPr>
        <w:t xml:space="preserve"> </w:t>
      </w:r>
      <w:r w:rsidRPr="000377C5">
        <w:rPr>
          <w:rFonts w:cs="Arial" w:hint="cs"/>
          <w:sz w:val="20"/>
          <w:szCs w:val="20"/>
          <w:rtl/>
        </w:rPr>
        <w:t>ארבעה</w:t>
      </w:r>
      <w:r w:rsidRPr="000377C5">
        <w:rPr>
          <w:rFonts w:cs="Arial"/>
          <w:sz w:val="20"/>
          <w:szCs w:val="20"/>
          <w:rtl/>
        </w:rPr>
        <w:t xml:space="preserve"> </w:t>
      </w:r>
      <w:r w:rsidRPr="000377C5">
        <w:rPr>
          <w:rFonts w:cs="Arial" w:hint="cs"/>
          <w:sz w:val="20"/>
          <w:szCs w:val="20"/>
          <w:rtl/>
        </w:rPr>
        <w:t>עשר</w:t>
      </w:r>
      <w:r w:rsidRPr="000377C5">
        <w:rPr>
          <w:rFonts w:cs="Arial"/>
          <w:sz w:val="20"/>
          <w:szCs w:val="20"/>
          <w:rtl/>
        </w:rPr>
        <w:t xml:space="preserve"> </w:t>
      </w:r>
      <w:r w:rsidRPr="000377C5">
        <w:rPr>
          <w:rFonts w:cs="Arial" w:hint="cs"/>
          <w:sz w:val="20"/>
          <w:szCs w:val="20"/>
          <w:rtl/>
        </w:rPr>
        <w:t>לאחר</w:t>
      </w:r>
      <w:r w:rsidRPr="000377C5">
        <w:rPr>
          <w:rFonts w:cs="Arial"/>
          <w:sz w:val="20"/>
          <w:szCs w:val="20"/>
          <w:rtl/>
        </w:rPr>
        <w:t xml:space="preserve"> </w:t>
      </w:r>
      <w:r w:rsidRPr="000377C5">
        <w:rPr>
          <w:rFonts w:cs="Arial" w:hint="cs"/>
          <w:sz w:val="20"/>
          <w:szCs w:val="20"/>
          <w:rtl/>
        </w:rPr>
        <w:t>ארבעה</w:t>
      </w:r>
      <w:r w:rsidRPr="000377C5">
        <w:rPr>
          <w:rFonts w:cs="Arial"/>
          <w:sz w:val="20"/>
          <w:szCs w:val="20"/>
          <w:rtl/>
        </w:rPr>
        <w:t xml:space="preserve"> </w:t>
      </w:r>
      <w:r w:rsidRPr="000377C5">
        <w:rPr>
          <w:rFonts w:cs="Arial" w:hint="cs"/>
          <w:sz w:val="20"/>
          <w:szCs w:val="20"/>
          <w:rtl/>
        </w:rPr>
        <w:t>עשר</w:t>
      </w:r>
      <w:r w:rsidRPr="000377C5">
        <w:rPr>
          <w:rFonts w:cs="Arial"/>
          <w:sz w:val="20"/>
          <w:szCs w:val="20"/>
          <w:rtl/>
        </w:rPr>
        <w:t xml:space="preserve">, </w:t>
      </w:r>
      <w:r w:rsidRPr="000377C5">
        <w:rPr>
          <w:rFonts w:cs="Arial" w:hint="cs"/>
          <w:sz w:val="20"/>
          <w:szCs w:val="20"/>
          <w:rtl/>
        </w:rPr>
        <w:t>ומתוך</w:t>
      </w:r>
      <w:r w:rsidRPr="000377C5">
        <w:rPr>
          <w:rFonts w:cs="Arial"/>
          <w:sz w:val="20"/>
          <w:szCs w:val="20"/>
          <w:rtl/>
        </w:rPr>
        <w:t xml:space="preserve"> </w:t>
      </w:r>
      <w:r w:rsidRPr="000377C5">
        <w:rPr>
          <w:rFonts w:cs="Arial" w:hint="cs"/>
          <w:sz w:val="20"/>
          <w:szCs w:val="20"/>
          <w:rtl/>
        </w:rPr>
        <w:t>ארבעים</w:t>
      </w:r>
      <w:r w:rsidRPr="000377C5">
        <w:rPr>
          <w:rFonts w:cs="Arial"/>
          <w:sz w:val="20"/>
          <w:szCs w:val="20"/>
          <w:rtl/>
        </w:rPr>
        <w:t xml:space="preserve"> </w:t>
      </w:r>
      <w:r w:rsidRPr="000377C5">
        <w:rPr>
          <w:rFonts w:cs="Arial" w:hint="cs"/>
          <w:sz w:val="20"/>
          <w:szCs w:val="20"/>
          <w:rtl/>
        </w:rPr>
        <w:t>לאחר</w:t>
      </w:r>
      <w:r w:rsidRPr="000377C5">
        <w:rPr>
          <w:rFonts w:cs="Arial"/>
          <w:sz w:val="20"/>
          <w:szCs w:val="20"/>
          <w:rtl/>
        </w:rPr>
        <w:t xml:space="preserve"> </w:t>
      </w:r>
      <w:r w:rsidRPr="000377C5">
        <w:rPr>
          <w:rFonts w:cs="Arial" w:hint="cs"/>
          <w:sz w:val="20"/>
          <w:szCs w:val="20"/>
          <w:rtl/>
        </w:rPr>
        <w:t>ארבעים</w:t>
      </w:r>
      <w:r w:rsidRPr="000377C5">
        <w:rPr>
          <w:rFonts w:cs="Arial"/>
          <w:sz w:val="20"/>
          <w:szCs w:val="20"/>
          <w:rtl/>
        </w:rPr>
        <w:t xml:space="preserve">, </w:t>
      </w:r>
      <w:r w:rsidRPr="000377C5">
        <w:rPr>
          <w:rFonts w:cs="Arial" w:hint="cs"/>
          <w:sz w:val="20"/>
          <w:szCs w:val="20"/>
          <w:rtl/>
        </w:rPr>
        <w:t>ומתוך</w:t>
      </w:r>
      <w:r w:rsidRPr="000377C5">
        <w:rPr>
          <w:rFonts w:cs="Arial"/>
          <w:sz w:val="20"/>
          <w:szCs w:val="20"/>
          <w:rtl/>
        </w:rPr>
        <w:t xml:space="preserve"> </w:t>
      </w:r>
      <w:r w:rsidRPr="000377C5">
        <w:rPr>
          <w:rFonts w:cs="Arial" w:hint="cs"/>
          <w:sz w:val="20"/>
          <w:szCs w:val="20"/>
          <w:rtl/>
        </w:rPr>
        <w:t>שמנים</w:t>
      </w:r>
      <w:r w:rsidRPr="000377C5">
        <w:rPr>
          <w:rFonts w:cs="Arial"/>
          <w:sz w:val="20"/>
          <w:szCs w:val="20"/>
          <w:rtl/>
        </w:rPr>
        <w:t xml:space="preserve"> </w:t>
      </w:r>
      <w:r w:rsidRPr="000377C5">
        <w:rPr>
          <w:rFonts w:cs="Arial" w:hint="cs"/>
          <w:sz w:val="20"/>
          <w:szCs w:val="20"/>
          <w:rtl/>
        </w:rPr>
        <w:t>לאחר</w:t>
      </w:r>
      <w:r w:rsidRPr="000377C5">
        <w:rPr>
          <w:rFonts w:cs="Arial"/>
          <w:sz w:val="20"/>
          <w:szCs w:val="20"/>
          <w:rtl/>
        </w:rPr>
        <w:t xml:space="preserve"> </w:t>
      </w:r>
      <w:r w:rsidRPr="000377C5">
        <w:rPr>
          <w:rFonts w:cs="Arial" w:hint="cs"/>
          <w:sz w:val="20"/>
          <w:szCs w:val="20"/>
          <w:rtl/>
        </w:rPr>
        <w:t>שמנים</w:t>
      </w:r>
      <w:r w:rsidRPr="000377C5">
        <w:rPr>
          <w:rFonts w:cs="Arial"/>
          <w:sz w:val="20"/>
          <w:szCs w:val="20"/>
          <w:rtl/>
        </w:rPr>
        <w:t xml:space="preserve">, </w:t>
      </w:r>
      <w:r w:rsidRPr="000377C5">
        <w:rPr>
          <w:rFonts w:cs="Arial" w:hint="cs"/>
          <w:sz w:val="20"/>
          <w:szCs w:val="20"/>
          <w:rtl/>
        </w:rPr>
        <w:t>לרב</w:t>
      </w:r>
      <w:r w:rsidRPr="000377C5">
        <w:rPr>
          <w:rFonts w:cs="Arial"/>
          <w:sz w:val="20"/>
          <w:szCs w:val="20"/>
          <w:rtl/>
        </w:rPr>
        <w:t xml:space="preserve"> - </w:t>
      </w:r>
      <w:r w:rsidRPr="000377C5">
        <w:rPr>
          <w:rFonts w:cs="Arial" w:hint="cs"/>
          <w:sz w:val="20"/>
          <w:szCs w:val="20"/>
          <w:rtl/>
        </w:rPr>
        <w:t>רישא</w:t>
      </w:r>
      <w:r w:rsidRPr="000377C5">
        <w:rPr>
          <w:rFonts w:cs="Arial"/>
          <w:sz w:val="20"/>
          <w:szCs w:val="20"/>
          <w:rtl/>
        </w:rPr>
        <w:t xml:space="preserve"> </w:t>
      </w:r>
      <w:r w:rsidRPr="000377C5">
        <w:rPr>
          <w:rFonts w:cs="Arial" w:hint="cs"/>
          <w:sz w:val="20"/>
          <w:szCs w:val="20"/>
          <w:rtl/>
        </w:rPr>
        <w:t>לקולא</w:t>
      </w:r>
      <w:r w:rsidRPr="000377C5">
        <w:rPr>
          <w:rFonts w:cs="Arial"/>
          <w:sz w:val="20"/>
          <w:szCs w:val="20"/>
          <w:rtl/>
        </w:rPr>
        <w:t xml:space="preserve"> </w:t>
      </w:r>
      <w:r w:rsidRPr="000377C5">
        <w:rPr>
          <w:rFonts w:cs="Arial" w:hint="cs"/>
          <w:sz w:val="20"/>
          <w:szCs w:val="20"/>
          <w:rtl/>
        </w:rPr>
        <w:t>וסיפא</w:t>
      </w:r>
      <w:r w:rsidRPr="000377C5">
        <w:rPr>
          <w:rFonts w:cs="Arial"/>
          <w:sz w:val="20"/>
          <w:szCs w:val="20"/>
          <w:rtl/>
        </w:rPr>
        <w:t xml:space="preserve"> </w:t>
      </w:r>
      <w:r w:rsidRPr="000377C5">
        <w:rPr>
          <w:rFonts w:cs="Arial" w:hint="cs"/>
          <w:sz w:val="20"/>
          <w:szCs w:val="20"/>
          <w:rtl/>
        </w:rPr>
        <w:t>לחומרא</w:t>
      </w:r>
      <w:r w:rsidRPr="000377C5">
        <w:rPr>
          <w:rFonts w:cs="Arial"/>
          <w:sz w:val="20"/>
          <w:szCs w:val="20"/>
          <w:rtl/>
        </w:rPr>
        <w:t xml:space="preserve">, </w:t>
      </w:r>
      <w:r w:rsidRPr="000377C5">
        <w:rPr>
          <w:rFonts w:cs="Arial" w:hint="cs"/>
          <w:sz w:val="20"/>
          <w:szCs w:val="20"/>
          <w:rtl/>
        </w:rPr>
        <w:t>ללוי</w:t>
      </w:r>
      <w:r w:rsidRPr="000377C5">
        <w:rPr>
          <w:rFonts w:cs="Arial"/>
          <w:sz w:val="20"/>
          <w:szCs w:val="20"/>
          <w:rtl/>
        </w:rPr>
        <w:t xml:space="preserve"> - </w:t>
      </w:r>
      <w:r w:rsidRPr="000377C5">
        <w:rPr>
          <w:rFonts w:cs="Arial" w:hint="cs"/>
          <w:sz w:val="20"/>
          <w:szCs w:val="20"/>
          <w:rtl/>
        </w:rPr>
        <w:t>רישא</w:t>
      </w:r>
      <w:r w:rsidRPr="000377C5">
        <w:rPr>
          <w:rFonts w:cs="Arial"/>
          <w:sz w:val="20"/>
          <w:szCs w:val="20"/>
          <w:rtl/>
        </w:rPr>
        <w:t xml:space="preserve"> </w:t>
      </w:r>
      <w:r w:rsidRPr="000377C5">
        <w:rPr>
          <w:rFonts w:cs="Arial" w:hint="cs"/>
          <w:sz w:val="20"/>
          <w:szCs w:val="20"/>
          <w:rtl/>
        </w:rPr>
        <w:t>לחומרא</w:t>
      </w:r>
      <w:r w:rsidRPr="000377C5">
        <w:rPr>
          <w:rFonts w:cs="Arial"/>
          <w:sz w:val="20"/>
          <w:szCs w:val="20"/>
          <w:rtl/>
        </w:rPr>
        <w:t xml:space="preserve"> </w:t>
      </w:r>
      <w:r w:rsidRPr="000377C5">
        <w:rPr>
          <w:rFonts w:cs="Arial" w:hint="cs"/>
          <w:sz w:val="20"/>
          <w:szCs w:val="20"/>
          <w:rtl/>
        </w:rPr>
        <w:t>וסיפא</w:t>
      </w:r>
      <w:r w:rsidRPr="000377C5">
        <w:rPr>
          <w:rFonts w:cs="Arial"/>
          <w:sz w:val="20"/>
          <w:szCs w:val="20"/>
          <w:rtl/>
        </w:rPr>
        <w:t xml:space="preserve"> </w:t>
      </w:r>
      <w:r w:rsidRPr="000377C5">
        <w:rPr>
          <w:rFonts w:cs="Arial" w:hint="cs"/>
          <w:sz w:val="20"/>
          <w:szCs w:val="20"/>
          <w:rtl/>
        </w:rPr>
        <w:t>לקולא</w:t>
      </w:r>
      <w:r>
        <w:rPr>
          <w:rFonts w:cs="Arial" w:hint="cs"/>
          <w:sz w:val="20"/>
          <w:szCs w:val="20"/>
          <w:rtl/>
        </w:rPr>
        <w:t xml:space="preserve">... </w:t>
      </w:r>
      <w:r>
        <w:rPr>
          <w:rFonts w:cs="Arial"/>
          <w:sz w:val="20"/>
          <w:szCs w:val="20"/>
          <w:rtl/>
        </w:rPr>
        <w:br/>
      </w:r>
      <w:r w:rsidRPr="005C4FB9">
        <w:rPr>
          <w:rFonts w:cs="Arial" w:hint="cs"/>
          <w:sz w:val="20"/>
          <w:szCs w:val="20"/>
          <w:rtl/>
        </w:rPr>
        <w:t>דריש</w:t>
      </w:r>
      <w:r w:rsidRPr="005C4FB9">
        <w:rPr>
          <w:rFonts w:cs="Arial"/>
          <w:sz w:val="20"/>
          <w:szCs w:val="20"/>
          <w:rtl/>
        </w:rPr>
        <w:t xml:space="preserve"> </w:t>
      </w:r>
      <w:r w:rsidRPr="005C4FB9">
        <w:rPr>
          <w:rFonts w:cs="Arial" w:hint="cs"/>
          <w:sz w:val="20"/>
          <w:szCs w:val="20"/>
          <w:rtl/>
        </w:rPr>
        <w:t>מרימר</w:t>
      </w:r>
      <w:r w:rsidRPr="005C4FB9">
        <w:rPr>
          <w:rFonts w:cs="Arial"/>
          <w:sz w:val="20"/>
          <w:szCs w:val="20"/>
          <w:rtl/>
        </w:rPr>
        <w:t xml:space="preserve">: </w:t>
      </w:r>
      <w:r w:rsidRPr="005C4FB9">
        <w:rPr>
          <w:rFonts w:cs="Arial" w:hint="cs"/>
          <w:sz w:val="20"/>
          <w:szCs w:val="20"/>
          <w:rtl/>
        </w:rPr>
        <w:t>הלכתא</w:t>
      </w:r>
      <w:r w:rsidRPr="005C4FB9">
        <w:rPr>
          <w:rFonts w:cs="Arial"/>
          <w:sz w:val="20"/>
          <w:szCs w:val="20"/>
          <w:rtl/>
        </w:rPr>
        <w:t xml:space="preserve"> </w:t>
      </w:r>
      <w:r w:rsidRPr="005C4FB9">
        <w:rPr>
          <w:rFonts w:cs="Arial" w:hint="cs"/>
          <w:sz w:val="20"/>
          <w:szCs w:val="20"/>
          <w:rtl/>
        </w:rPr>
        <w:t>כוותיה</w:t>
      </w:r>
      <w:r w:rsidRPr="005C4FB9">
        <w:rPr>
          <w:rFonts w:cs="Arial"/>
          <w:sz w:val="20"/>
          <w:szCs w:val="20"/>
          <w:rtl/>
        </w:rPr>
        <w:t xml:space="preserve"> </w:t>
      </w:r>
      <w:r w:rsidRPr="005C4FB9">
        <w:rPr>
          <w:rFonts w:cs="Arial" w:hint="cs"/>
          <w:sz w:val="20"/>
          <w:szCs w:val="20"/>
          <w:rtl/>
        </w:rPr>
        <w:t>דרב</w:t>
      </w:r>
      <w:r w:rsidRPr="005C4FB9">
        <w:rPr>
          <w:rFonts w:cs="Arial"/>
          <w:sz w:val="20"/>
          <w:szCs w:val="20"/>
          <w:rtl/>
        </w:rPr>
        <w:t xml:space="preserve">, </w:t>
      </w:r>
      <w:r w:rsidRPr="005C4FB9">
        <w:rPr>
          <w:rFonts w:cs="Arial" w:hint="cs"/>
          <w:sz w:val="20"/>
          <w:szCs w:val="20"/>
          <w:rtl/>
        </w:rPr>
        <w:t>בין</w:t>
      </w:r>
      <w:r w:rsidRPr="005C4FB9">
        <w:rPr>
          <w:rFonts w:cs="Arial"/>
          <w:sz w:val="20"/>
          <w:szCs w:val="20"/>
          <w:rtl/>
        </w:rPr>
        <w:t xml:space="preserve"> </w:t>
      </w:r>
      <w:r w:rsidRPr="005C4FB9">
        <w:rPr>
          <w:rFonts w:cs="Arial" w:hint="cs"/>
          <w:sz w:val="20"/>
          <w:szCs w:val="20"/>
          <w:rtl/>
        </w:rPr>
        <w:t>לקולא</w:t>
      </w:r>
      <w:r w:rsidRPr="005C4FB9">
        <w:rPr>
          <w:rFonts w:cs="Arial"/>
          <w:sz w:val="20"/>
          <w:szCs w:val="20"/>
          <w:rtl/>
        </w:rPr>
        <w:t xml:space="preserve"> </w:t>
      </w:r>
      <w:r w:rsidRPr="005C4FB9">
        <w:rPr>
          <w:rFonts w:cs="Arial" w:hint="cs"/>
          <w:sz w:val="20"/>
          <w:szCs w:val="20"/>
          <w:rtl/>
        </w:rPr>
        <w:t>בין</w:t>
      </w:r>
      <w:r w:rsidRPr="005C4FB9">
        <w:rPr>
          <w:rFonts w:cs="Arial"/>
          <w:sz w:val="20"/>
          <w:szCs w:val="20"/>
          <w:rtl/>
        </w:rPr>
        <w:t xml:space="preserve"> </w:t>
      </w:r>
      <w:r w:rsidRPr="005C4FB9">
        <w:rPr>
          <w:rFonts w:cs="Arial" w:hint="cs"/>
          <w:sz w:val="20"/>
          <w:szCs w:val="20"/>
          <w:rtl/>
        </w:rPr>
        <w:t>לחומרא</w:t>
      </w:r>
      <w:r w:rsidRPr="005C4FB9">
        <w:rPr>
          <w:rFonts w:cs="Arial"/>
          <w:sz w:val="20"/>
          <w:szCs w:val="20"/>
          <w:rtl/>
        </w:rPr>
        <w:t xml:space="preserve">. </w:t>
      </w:r>
      <w:r w:rsidRPr="005C4FB9">
        <w:rPr>
          <w:rFonts w:cs="Arial" w:hint="cs"/>
          <w:sz w:val="20"/>
          <w:szCs w:val="20"/>
          <w:rtl/>
        </w:rPr>
        <w:t>והלכתא</w:t>
      </w:r>
      <w:r w:rsidRPr="005C4FB9">
        <w:rPr>
          <w:rFonts w:cs="Arial"/>
          <w:sz w:val="20"/>
          <w:szCs w:val="20"/>
          <w:rtl/>
        </w:rPr>
        <w:t xml:space="preserve"> </w:t>
      </w:r>
      <w:r w:rsidRPr="005C4FB9">
        <w:rPr>
          <w:rFonts w:cs="Arial" w:hint="cs"/>
          <w:sz w:val="20"/>
          <w:szCs w:val="20"/>
          <w:rtl/>
        </w:rPr>
        <w:t>כוותיה</w:t>
      </w:r>
      <w:r w:rsidRPr="005C4FB9">
        <w:rPr>
          <w:rFonts w:cs="Arial"/>
          <w:sz w:val="20"/>
          <w:szCs w:val="20"/>
          <w:rtl/>
        </w:rPr>
        <w:t xml:space="preserve"> </w:t>
      </w:r>
      <w:r w:rsidRPr="005C4FB9">
        <w:rPr>
          <w:rFonts w:cs="Arial" w:hint="cs"/>
          <w:sz w:val="20"/>
          <w:szCs w:val="20"/>
          <w:rtl/>
        </w:rPr>
        <w:t>דרב</w:t>
      </w:r>
      <w:r w:rsidRPr="005C4FB9">
        <w:rPr>
          <w:rFonts w:cs="Arial"/>
          <w:sz w:val="20"/>
          <w:szCs w:val="20"/>
          <w:rtl/>
        </w:rPr>
        <w:t xml:space="preserve"> </w:t>
      </w:r>
      <w:r w:rsidRPr="005C4FB9">
        <w:rPr>
          <w:rFonts w:cs="Arial" w:hint="cs"/>
          <w:sz w:val="20"/>
          <w:szCs w:val="20"/>
          <w:rtl/>
        </w:rPr>
        <w:t>בין</w:t>
      </w:r>
      <w:r w:rsidRPr="005C4FB9">
        <w:rPr>
          <w:rFonts w:cs="Arial"/>
          <w:sz w:val="20"/>
          <w:szCs w:val="20"/>
          <w:rtl/>
        </w:rPr>
        <w:t xml:space="preserve"> </w:t>
      </w:r>
      <w:r w:rsidRPr="005C4FB9">
        <w:rPr>
          <w:rFonts w:cs="Arial" w:hint="cs"/>
          <w:sz w:val="20"/>
          <w:szCs w:val="20"/>
          <w:rtl/>
        </w:rPr>
        <w:t>לקולא</w:t>
      </w:r>
      <w:r w:rsidRPr="005C4FB9">
        <w:rPr>
          <w:rFonts w:cs="Arial"/>
          <w:sz w:val="20"/>
          <w:szCs w:val="20"/>
          <w:rtl/>
        </w:rPr>
        <w:t xml:space="preserve"> </w:t>
      </w:r>
      <w:r w:rsidRPr="005C4FB9">
        <w:rPr>
          <w:rFonts w:cs="Arial" w:hint="cs"/>
          <w:sz w:val="20"/>
          <w:szCs w:val="20"/>
          <w:rtl/>
        </w:rPr>
        <w:t>בין</w:t>
      </w:r>
      <w:r w:rsidRPr="005C4FB9">
        <w:rPr>
          <w:rFonts w:cs="Arial"/>
          <w:sz w:val="20"/>
          <w:szCs w:val="20"/>
          <w:rtl/>
        </w:rPr>
        <w:t xml:space="preserve"> </w:t>
      </w:r>
      <w:r w:rsidRPr="005C4FB9">
        <w:rPr>
          <w:rFonts w:cs="Arial" w:hint="cs"/>
          <w:sz w:val="20"/>
          <w:szCs w:val="20"/>
          <w:rtl/>
        </w:rPr>
        <w:t>לחומרא</w:t>
      </w:r>
      <w:r>
        <w:rPr>
          <w:rFonts w:cs="Arial" w:hint="cs"/>
          <w:sz w:val="20"/>
          <w:szCs w:val="20"/>
          <w:rtl/>
        </w:rPr>
        <w:t>"</w:t>
      </w:r>
      <w:r w:rsidRPr="000377C5">
        <w:rPr>
          <w:rFonts w:cs="Arial"/>
          <w:sz w:val="20"/>
          <w:szCs w:val="20"/>
          <w:rtl/>
        </w:rPr>
        <w:t>.</w:t>
      </w:r>
    </w:p>
    <w:p w:rsidR="00620060" w:rsidRDefault="00620060" w:rsidP="00620060">
      <w:pPr>
        <w:rPr>
          <w:sz w:val="20"/>
          <w:szCs w:val="20"/>
          <w:rtl/>
        </w:rPr>
      </w:pPr>
      <w:r>
        <w:rPr>
          <w:rFonts w:cs="Arial" w:hint="cs"/>
          <w:sz w:val="20"/>
          <w:szCs w:val="20"/>
          <w:u w:val="single"/>
          <w:rtl/>
        </w:rPr>
        <w:t>הסבר</w:t>
      </w:r>
      <w:r>
        <w:rPr>
          <w:rFonts w:cs="Arial"/>
          <w:sz w:val="20"/>
          <w:szCs w:val="20"/>
          <w:u w:val="single"/>
          <w:rtl/>
        </w:rPr>
        <w:br/>
      </w:r>
      <w:r>
        <w:rPr>
          <w:rFonts w:cs="Arial" w:hint="cs"/>
          <w:sz w:val="20"/>
          <w:szCs w:val="20"/>
          <w:rtl/>
        </w:rPr>
        <w:t xml:space="preserve">רב </w:t>
      </w:r>
      <w:r>
        <w:rPr>
          <w:rFonts w:cs="Arial"/>
          <w:sz w:val="20"/>
          <w:szCs w:val="20"/>
          <w:rtl/>
        </w:rPr>
        <w:t>–</w:t>
      </w:r>
      <w:r>
        <w:rPr>
          <w:rFonts w:cs="Arial" w:hint="cs"/>
          <w:sz w:val="20"/>
          <w:szCs w:val="20"/>
          <w:rtl/>
        </w:rPr>
        <w:t xml:space="preserve"> הדמים היוצאים מהאישה בימי טהרה ובימי טומאה מקורם באותו מקום </w:t>
      </w:r>
      <w:r w:rsidRPr="000377C5">
        <w:rPr>
          <w:rFonts w:cs="Arial" w:hint="cs"/>
          <w:sz w:val="18"/>
          <w:szCs w:val="18"/>
          <w:rtl/>
        </w:rPr>
        <w:t>(מעיין אחד)</w:t>
      </w:r>
      <w:r>
        <w:rPr>
          <w:rFonts w:hint="cs"/>
          <w:sz w:val="20"/>
          <w:szCs w:val="20"/>
          <w:rtl/>
        </w:rPr>
        <w:t xml:space="preserve">, וגזירת הכתוב לטהר או לטמא. הלכך, השופעת דם מימי טומאה לימי טהרה </w:t>
      </w:r>
      <w:r>
        <w:rPr>
          <w:sz w:val="20"/>
          <w:szCs w:val="20"/>
          <w:rtl/>
        </w:rPr>
        <w:t>–</w:t>
      </w:r>
      <w:r>
        <w:rPr>
          <w:rFonts w:hint="cs"/>
          <w:sz w:val="20"/>
          <w:szCs w:val="20"/>
          <w:rtl/>
        </w:rPr>
        <w:t xml:space="preserve"> טהורה, שהרי מקור הדמים מאותו מעיין ואעפ"כ התורה טיהרתו. כמו כן, השופעת דם מימי טהרה לימי טומאה </w:t>
      </w:r>
      <w:r>
        <w:rPr>
          <w:sz w:val="20"/>
          <w:szCs w:val="20"/>
          <w:rtl/>
        </w:rPr>
        <w:t>–</w:t>
      </w:r>
      <w:r>
        <w:rPr>
          <w:rFonts w:hint="cs"/>
          <w:sz w:val="20"/>
          <w:szCs w:val="20"/>
          <w:rtl/>
        </w:rPr>
        <w:t xml:space="preserve"> טמאה, והטעם כנ"ל.</w:t>
      </w:r>
      <w:r>
        <w:rPr>
          <w:sz w:val="20"/>
          <w:szCs w:val="20"/>
          <w:rtl/>
        </w:rPr>
        <w:br/>
      </w:r>
      <w:r>
        <w:rPr>
          <w:rFonts w:hint="cs"/>
          <w:sz w:val="20"/>
          <w:szCs w:val="20"/>
          <w:rtl/>
        </w:rPr>
        <w:t xml:space="preserve">לוי </w:t>
      </w:r>
      <w:r>
        <w:rPr>
          <w:sz w:val="20"/>
          <w:szCs w:val="20"/>
          <w:rtl/>
        </w:rPr>
        <w:t>–</w:t>
      </w:r>
      <w:r>
        <w:rPr>
          <w:rFonts w:hint="cs"/>
          <w:sz w:val="20"/>
          <w:szCs w:val="20"/>
          <w:rtl/>
        </w:rPr>
        <w:t xml:space="preserve"> הדמים היוצאים מהאישה בימי טהרה ובימי טומאתה אינם מאותו מקום אלא משני מקומות שונים </w:t>
      </w:r>
      <w:r w:rsidRPr="000377C5">
        <w:rPr>
          <w:rFonts w:hint="cs"/>
          <w:sz w:val="18"/>
          <w:szCs w:val="18"/>
          <w:rtl/>
        </w:rPr>
        <w:t>(שני מעיינות)</w:t>
      </w:r>
      <w:r>
        <w:rPr>
          <w:rFonts w:hint="cs"/>
          <w:sz w:val="18"/>
          <w:szCs w:val="18"/>
          <w:rtl/>
        </w:rPr>
        <w:t xml:space="preserve">, </w:t>
      </w:r>
      <w:r w:rsidRPr="000377C5">
        <w:rPr>
          <w:rFonts w:hint="cs"/>
          <w:sz w:val="20"/>
          <w:szCs w:val="20"/>
          <w:rtl/>
        </w:rPr>
        <w:t>מעיין אחד טמא ואילו השני טהור.</w:t>
      </w:r>
      <w:r>
        <w:rPr>
          <w:rFonts w:hint="cs"/>
          <w:sz w:val="18"/>
          <w:szCs w:val="18"/>
          <w:rtl/>
        </w:rPr>
        <w:t xml:space="preserve"> </w:t>
      </w:r>
      <w:r w:rsidRPr="000377C5">
        <w:rPr>
          <w:rFonts w:hint="cs"/>
          <w:sz w:val="20"/>
          <w:szCs w:val="20"/>
          <w:rtl/>
        </w:rPr>
        <w:t xml:space="preserve">השופעת דם </w:t>
      </w:r>
      <w:r>
        <w:rPr>
          <w:rFonts w:hint="cs"/>
          <w:sz w:val="20"/>
          <w:szCs w:val="20"/>
          <w:rtl/>
        </w:rPr>
        <w:t xml:space="preserve">מימי טומאה לימי טהרה </w:t>
      </w:r>
      <w:r>
        <w:rPr>
          <w:sz w:val="20"/>
          <w:szCs w:val="20"/>
          <w:rtl/>
        </w:rPr>
        <w:t>–</w:t>
      </w:r>
      <w:r>
        <w:rPr>
          <w:rFonts w:hint="cs"/>
          <w:sz w:val="20"/>
          <w:szCs w:val="20"/>
          <w:rtl/>
        </w:rPr>
        <w:t xml:space="preserve"> טמאה, משום שעדיין לא פסק המעיין הטמא. כמו כן, השופעת דם מימי טהרה לימי טומאה </w:t>
      </w:r>
      <w:r>
        <w:rPr>
          <w:sz w:val="20"/>
          <w:szCs w:val="20"/>
          <w:rtl/>
        </w:rPr>
        <w:t>–</w:t>
      </w:r>
      <w:r>
        <w:rPr>
          <w:rFonts w:hint="cs"/>
          <w:sz w:val="20"/>
          <w:szCs w:val="20"/>
          <w:rtl/>
        </w:rPr>
        <w:t xml:space="preserve"> טהורה, משום שעדיין לא פסק המעיין הטהור.</w:t>
      </w:r>
    </w:p>
    <w:p w:rsidR="00620060" w:rsidRDefault="00620060" w:rsidP="00620060">
      <w:pPr>
        <w:rPr>
          <w:sz w:val="20"/>
          <w:szCs w:val="20"/>
          <w:rtl/>
        </w:rPr>
      </w:pPr>
      <w:r>
        <w:rPr>
          <w:rFonts w:hint="cs"/>
          <w:b/>
          <w:bCs/>
          <w:sz w:val="20"/>
          <w:szCs w:val="20"/>
          <w:rtl/>
        </w:rPr>
        <w:t>פרישה בליל מא' או פא'</w:t>
      </w:r>
      <w:r>
        <w:rPr>
          <w:b/>
          <w:bCs/>
          <w:sz w:val="20"/>
          <w:szCs w:val="20"/>
          <w:rtl/>
        </w:rPr>
        <w:br/>
      </w:r>
      <w:r>
        <w:rPr>
          <w:rFonts w:hint="cs"/>
          <w:b/>
          <w:bCs/>
          <w:sz w:val="20"/>
          <w:szCs w:val="20"/>
          <w:rtl/>
        </w:rPr>
        <w:t xml:space="preserve">גמרא </w:t>
      </w:r>
      <w:r>
        <w:rPr>
          <w:rFonts w:hint="cs"/>
          <w:sz w:val="20"/>
          <w:szCs w:val="20"/>
          <w:rtl/>
        </w:rPr>
        <w:t>פסחים (קיג:) "</w:t>
      </w:r>
      <w:r w:rsidRPr="00A02064">
        <w:rPr>
          <w:rFonts w:cs="Arial" w:hint="cs"/>
          <w:sz w:val="20"/>
          <w:szCs w:val="20"/>
          <w:rtl/>
        </w:rPr>
        <w:t>והיושבת</w:t>
      </w:r>
      <w:r w:rsidRPr="00A02064">
        <w:rPr>
          <w:rFonts w:cs="Arial"/>
          <w:sz w:val="20"/>
          <w:szCs w:val="20"/>
          <w:rtl/>
        </w:rPr>
        <w:t xml:space="preserve"> </w:t>
      </w:r>
      <w:r w:rsidRPr="00A02064">
        <w:rPr>
          <w:rFonts w:cs="Arial" w:hint="cs"/>
          <w:sz w:val="20"/>
          <w:szCs w:val="20"/>
          <w:rtl/>
        </w:rPr>
        <w:t>על</w:t>
      </w:r>
      <w:r w:rsidRPr="00A02064">
        <w:rPr>
          <w:rFonts w:cs="Arial"/>
          <w:sz w:val="20"/>
          <w:szCs w:val="20"/>
          <w:rtl/>
        </w:rPr>
        <w:t xml:space="preserve"> </w:t>
      </w:r>
      <w:r w:rsidRPr="00A02064">
        <w:rPr>
          <w:rFonts w:cs="Arial" w:hint="cs"/>
          <w:sz w:val="20"/>
          <w:szCs w:val="20"/>
          <w:rtl/>
        </w:rPr>
        <w:t>דם</w:t>
      </w:r>
      <w:r w:rsidRPr="00A02064">
        <w:rPr>
          <w:rFonts w:cs="Arial"/>
          <w:sz w:val="20"/>
          <w:szCs w:val="20"/>
          <w:rtl/>
        </w:rPr>
        <w:t xml:space="preserve"> </w:t>
      </w:r>
      <w:r w:rsidRPr="00A02064">
        <w:rPr>
          <w:rFonts w:cs="Arial" w:hint="cs"/>
          <w:sz w:val="20"/>
          <w:szCs w:val="20"/>
          <w:rtl/>
        </w:rPr>
        <w:t>טהור</w:t>
      </w:r>
      <w:r w:rsidRPr="00A02064">
        <w:rPr>
          <w:rFonts w:cs="Arial"/>
          <w:sz w:val="20"/>
          <w:szCs w:val="20"/>
          <w:rtl/>
        </w:rPr>
        <w:t xml:space="preserve"> - </w:t>
      </w:r>
      <w:r w:rsidRPr="00A02064">
        <w:rPr>
          <w:rFonts w:cs="Arial" w:hint="cs"/>
          <w:sz w:val="20"/>
          <w:szCs w:val="20"/>
          <w:rtl/>
        </w:rPr>
        <w:t>אסורה</w:t>
      </w:r>
      <w:r w:rsidRPr="00A02064">
        <w:rPr>
          <w:rFonts w:cs="Arial"/>
          <w:sz w:val="20"/>
          <w:szCs w:val="20"/>
          <w:rtl/>
        </w:rPr>
        <w:t xml:space="preserve"> </w:t>
      </w:r>
      <w:r w:rsidRPr="00A02064">
        <w:rPr>
          <w:rFonts w:cs="Arial" w:hint="cs"/>
          <w:sz w:val="20"/>
          <w:szCs w:val="20"/>
          <w:rtl/>
        </w:rPr>
        <w:t>לשמש</w:t>
      </w:r>
      <w:r w:rsidRPr="00A02064">
        <w:rPr>
          <w:rFonts w:cs="Arial"/>
          <w:sz w:val="20"/>
          <w:szCs w:val="20"/>
          <w:rtl/>
        </w:rPr>
        <w:t xml:space="preserve">. </w:t>
      </w:r>
      <w:r w:rsidRPr="00A02064">
        <w:rPr>
          <w:rFonts w:cs="Arial" w:hint="cs"/>
          <w:sz w:val="20"/>
          <w:szCs w:val="20"/>
          <w:rtl/>
        </w:rPr>
        <w:t>עד</w:t>
      </w:r>
      <w:r w:rsidRPr="00A02064">
        <w:rPr>
          <w:rFonts w:cs="Arial"/>
          <w:sz w:val="20"/>
          <w:szCs w:val="20"/>
          <w:rtl/>
        </w:rPr>
        <w:t xml:space="preserve"> </w:t>
      </w:r>
      <w:r w:rsidRPr="00A02064">
        <w:rPr>
          <w:rFonts w:cs="Arial" w:hint="cs"/>
          <w:sz w:val="20"/>
          <w:szCs w:val="20"/>
          <w:rtl/>
        </w:rPr>
        <w:t>כמה</w:t>
      </w:r>
      <w:r w:rsidRPr="00A02064">
        <w:rPr>
          <w:rFonts w:cs="Arial"/>
          <w:sz w:val="20"/>
          <w:szCs w:val="20"/>
          <w:rtl/>
        </w:rPr>
        <w:t xml:space="preserve">? </w:t>
      </w:r>
      <w:r w:rsidRPr="00A02064">
        <w:rPr>
          <w:rFonts w:cs="Arial" w:hint="cs"/>
          <w:sz w:val="20"/>
          <w:szCs w:val="20"/>
          <w:rtl/>
        </w:rPr>
        <w:t>אמר</w:t>
      </w:r>
      <w:r w:rsidRPr="00A02064">
        <w:rPr>
          <w:rFonts w:cs="Arial"/>
          <w:sz w:val="20"/>
          <w:szCs w:val="20"/>
          <w:rtl/>
        </w:rPr>
        <w:t xml:space="preserve"> </w:t>
      </w:r>
      <w:r w:rsidRPr="00A02064">
        <w:rPr>
          <w:rFonts w:cs="Arial" w:hint="cs"/>
          <w:sz w:val="20"/>
          <w:szCs w:val="20"/>
          <w:rtl/>
        </w:rPr>
        <w:t>רב</w:t>
      </w:r>
      <w:r w:rsidRPr="00A02064">
        <w:rPr>
          <w:rFonts w:cs="Arial"/>
          <w:sz w:val="20"/>
          <w:szCs w:val="20"/>
          <w:rtl/>
        </w:rPr>
        <w:t xml:space="preserve">: </w:t>
      </w:r>
      <w:r w:rsidRPr="00A02064">
        <w:rPr>
          <w:rFonts w:cs="Arial" w:hint="cs"/>
          <w:sz w:val="20"/>
          <w:szCs w:val="20"/>
          <w:rtl/>
        </w:rPr>
        <w:t>עונה</w:t>
      </w:r>
      <w:r>
        <w:rPr>
          <w:rStyle w:val="a5"/>
          <w:sz w:val="20"/>
          <w:szCs w:val="20"/>
          <w:rtl/>
        </w:rPr>
        <w:footnoteReference w:id="412"/>
      </w:r>
      <w:r>
        <w:rPr>
          <w:rFonts w:hint="cs"/>
          <w:sz w:val="20"/>
          <w:szCs w:val="20"/>
          <w:rtl/>
        </w:rPr>
        <w:t>".</w:t>
      </w:r>
    </w:p>
    <w:p w:rsidR="00620060" w:rsidRDefault="00620060" w:rsidP="00620060">
      <w:pPr>
        <w:rPr>
          <w:sz w:val="20"/>
          <w:szCs w:val="20"/>
          <w:rtl/>
        </w:rPr>
      </w:pPr>
      <w:r>
        <w:rPr>
          <w:rFonts w:hint="cs"/>
          <w:sz w:val="20"/>
          <w:szCs w:val="20"/>
          <w:u w:val="single"/>
          <w:rtl/>
        </w:rPr>
        <w:t>טעם הפרישה</w:t>
      </w:r>
      <w:r>
        <w:rPr>
          <w:sz w:val="20"/>
          <w:szCs w:val="20"/>
          <w:u w:val="single"/>
          <w:rtl/>
        </w:rPr>
        <w:br/>
      </w:r>
      <w:r>
        <w:rPr>
          <w:rFonts w:hint="cs"/>
          <w:sz w:val="20"/>
          <w:szCs w:val="20"/>
          <w:rtl/>
        </w:rPr>
        <w:t xml:space="preserve">א. </w:t>
      </w:r>
      <w:r w:rsidRPr="00A02064">
        <w:rPr>
          <w:rFonts w:hint="cs"/>
          <w:b/>
          <w:bCs/>
          <w:sz w:val="20"/>
          <w:szCs w:val="20"/>
          <w:rtl/>
        </w:rPr>
        <w:t>רא"ש</w:t>
      </w:r>
      <w:r>
        <w:rPr>
          <w:rFonts w:hint="cs"/>
          <w:sz w:val="20"/>
          <w:szCs w:val="20"/>
          <w:rtl/>
        </w:rPr>
        <w:t xml:space="preserve"> </w:t>
      </w:r>
      <w:r>
        <w:rPr>
          <w:sz w:val="20"/>
          <w:szCs w:val="20"/>
          <w:rtl/>
        </w:rPr>
        <w:t>–</w:t>
      </w:r>
      <w:r>
        <w:rPr>
          <w:rFonts w:hint="cs"/>
          <w:sz w:val="20"/>
          <w:szCs w:val="20"/>
          <w:rtl/>
        </w:rPr>
        <w:t xml:space="preserve"> מתוך שהורגלה לשמש כל ימי טוהר, חיישינן שמא תראה בלילה זה ותבוא לשמש כהרגלה. </w:t>
      </w:r>
      <w:r>
        <w:rPr>
          <w:sz w:val="20"/>
          <w:szCs w:val="20"/>
          <w:rtl/>
        </w:rPr>
        <w:br/>
      </w:r>
      <w:r>
        <w:rPr>
          <w:rFonts w:hint="cs"/>
          <w:sz w:val="20"/>
          <w:szCs w:val="20"/>
          <w:rtl/>
        </w:rPr>
        <w:t>הלכך, תפרוש לילה זה כדי להבדיל שמכאן ואילך דמיה טמאים.</w:t>
      </w:r>
      <w:r>
        <w:rPr>
          <w:sz w:val="20"/>
          <w:szCs w:val="20"/>
          <w:rtl/>
        </w:rPr>
        <w:br/>
      </w:r>
      <w:r>
        <w:rPr>
          <w:rFonts w:hint="cs"/>
          <w:sz w:val="20"/>
          <w:szCs w:val="20"/>
          <w:rtl/>
        </w:rPr>
        <w:t xml:space="preserve">ב. </w:t>
      </w:r>
      <w:r w:rsidRPr="00A02064">
        <w:rPr>
          <w:rFonts w:hint="cs"/>
          <w:b/>
          <w:bCs/>
          <w:sz w:val="20"/>
          <w:szCs w:val="20"/>
          <w:rtl/>
        </w:rPr>
        <w:t>בה"ג</w:t>
      </w:r>
      <w:r>
        <w:rPr>
          <w:rFonts w:hint="cs"/>
          <w:sz w:val="20"/>
          <w:szCs w:val="20"/>
          <w:rtl/>
        </w:rPr>
        <w:t xml:space="preserve"> </w:t>
      </w:r>
      <w:r>
        <w:rPr>
          <w:sz w:val="20"/>
          <w:szCs w:val="20"/>
          <w:rtl/>
        </w:rPr>
        <w:t>–</w:t>
      </w:r>
      <w:r>
        <w:rPr>
          <w:rFonts w:hint="cs"/>
          <w:sz w:val="20"/>
          <w:szCs w:val="20"/>
          <w:rtl/>
        </w:rPr>
        <w:t xml:space="preserve"> לאחר ימי טהרה הרי זה כמו שעת ווסתה.</w:t>
      </w:r>
      <w:r>
        <w:rPr>
          <w:sz w:val="20"/>
          <w:szCs w:val="20"/>
          <w:rtl/>
        </w:rPr>
        <w:br/>
      </w:r>
      <w:r>
        <w:rPr>
          <w:rFonts w:hint="cs"/>
          <w:sz w:val="20"/>
          <w:szCs w:val="20"/>
          <w:rtl/>
        </w:rPr>
        <w:t xml:space="preserve">נפקא מינה </w:t>
      </w:r>
      <w:r>
        <w:rPr>
          <w:sz w:val="20"/>
          <w:szCs w:val="20"/>
          <w:rtl/>
        </w:rPr>
        <w:t>–</w:t>
      </w:r>
      <w:r>
        <w:rPr>
          <w:rFonts w:hint="cs"/>
          <w:sz w:val="20"/>
          <w:szCs w:val="20"/>
          <w:rtl/>
        </w:rPr>
        <w:t xml:space="preserve"> במקום שנהגו לא לבעול על דם טוהר, לרא"ש אין צריך לפרוש, לבה"ג צריך לפרוש.</w:t>
      </w:r>
    </w:p>
    <w:p w:rsidR="00620060" w:rsidRDefault="00620060" w:rsidP="00620060">
      <w:pPr>
        <w:rPr>
          <w:sz w:val="20"/>
          <w:szCs w:val="20"/>
          <w:rtl/>
        </w:rPr>
      </w:pPr>
      <w:r>
        <w:rPr>
          <w:rFonts w:hint="cs"/>
          <w:sz w:val="20"/>
          <w:szCs w:val="20"/>
          <w:u w:val="single"/>
          <w:rtl/>
        </w:rPr>
        <w:t>דין הפרישה למעשה</w:t>
      </w:r>
      <w:r>
        <w:rPr>
          <w:rFonts w:hint="cs"/>
          <w:sz w:val="20"/>
          <w:szCs w:val="20"/>
          <w:rtl/>
        </w:rPr>
        <w:br/>
        <w:t xml:space="preserve">א. </w:t>
      </w:r>
      <w:r>
        <w:rPr>
          <w:rFonts w:hint="cs"/>
          <w:b/>
          <w:bCs/>
          <w:sz w:val="20"/>
          <w:szCs w:val="20"/>
          <w:rtl/>
        </w:rPr>
        <w:t>שו"ת הרמ"א ו</w:t>
      </w:r>
      <w:r w:rsidRPr="00514F9F">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טעמו של הרא"ש הוא הנכון לדינא, ומכיוון שנהגו לא לבעול על דם טוהר ממילא אין דין זה נוהג, ומטעם זה השמיטו המחבר.</w:t>
      </w:r>
      <w:r>
        <w:rPr>
          <w:rFonts w:hint="cs"/>
          <w:sz w:val="20"/>
          <w:szCs w:val="20"/>
          <w:rtl/>
        </w:rPr>
        <w:br/>
        <w:t xml:space="preserve">ב. </w:t>
      </w:r>
      <w:r w:rsidRPr="00C8565B">
        <w:rPr>
          <w:rFonts w:hint="cs"/>
          <w:b/>
          <w:bCs/>
          <w:sz w:val="20"/>
          <w:szCs w:val="20"/>
          <w:rtl/>
        </w:rPr>
        <w:t>ש"ך</w:t>
      </w:r>
      <w:r>
        <w:rPr>
          <w:rFonts w:hint="cs"/>
          <w:sz w:val="20"/>
          <w:szCs w:val="20"/>
          <w:rtl/>
        </w:rPr>
        <w:t xml:space="preserve"> </w:t>
      </w:r>
      <w:r w:rsidRPr="00C8565B">
        <w:rPr>
          <w:rFonts w:hint="cs"/>
          <w:sz w:val="18"/>
          <w:szCs w:val="18"/>
          <w:rtl/>
        </w:rPr>
        <w:t xml:space="preserve">(סק"ד) </w:t>
      </w:r>
      <w:r>
        <w:rPr>
          <w:sz w:val="20"/>
          <w:szCs w:val="20"/>
          <w:rtl/>
        </w:rPr>
        <w:t>–</w:t>
      </w:r>
      <w:r>
        <w:rPr>
          <w:rFonts w:hint="cs"/>
          <w:sz w:val="20"/>
          <w:szCs w:val="20"/>
          <w:rtl/>
        </w:rPr>
        <w:t xml:space="preserve"> יש לפרוש בליל מא' / פא'.</w:t>
      </w:r>
    </w:p>
    <w:p w:rsidR="00620060" w:rsidRDefault="00620060" w:rsidP="00620060">
      <w:pPr>
        <w:rPr>
          <w:sz w:val="20"/>
          <w:szCs w:val="20"/>
          <w:rtl/>
        </w:rPr>
      </w:pPr>
      <w:r w:rsidRPr="0093169F">
        <w:rPr>
          <w:rFonts w:hint="cs"/>
          <w:b/>
          <w:bCs/>
          <w:sz w:val="20"/>
          <w:szCs w:val="20"/>
          <w:rtl/>
        </w:rPr>
        <w:t xml:space="preserve">דין דם </w:t>
      </w:r>
      <w:r w:rsidRPr="0066746C">
        <w:rPr>
          <w:rFonts w:hint="cs"/>
          <w:b/>
          <w:bCs/>
          <w:sz w:val="20"/>
          <w:szCs w:val="20"/>
          <w:rtl/>
        </w:rPr>
        <w:t xml:space="preserve">טוהר בזמנינו </w:t>
      </w:r>
      <w:r>
        <w:rPr>
          <w:rFonts w:hint="cs"/>
          <w:b/>
          <w:bCs/>
          <w:sz w:val="20"/>
          <w:szCs w:val="20"/>
          <w:rtl/>
        </w:rPr>
        <w:t xml:space="preserve">- </w:t>
      </w:r>
      <w:r w:rsidRPr="0066746C">
        <w:rPr>
          <w:rFonts w:hint="cs"/>
          <w:b/>
          <w:bCs/>
          <w:sz w:val="20"/>
          <w:szCs w:val="20"/>
          <w:rtl/>
        </w:rPr>
        <w:t>שיטות הראשונים</w:t>
      </w:r>
      <w:r>
        <w:rPr>
          <w:rFonts w:hint="cs"/>
          <w:b/>
          <w:bCs/>
          <w:sz w:val="20"/>
          <w:szCs w:val="20"/>
          <w:rtl/>
        </w:rPr>
        <w:br/>
      </w:r>
      <w:r>
        <w:rPr>
          <w:rFonts w:hint="cs"/>
          <w:sz w:val="20"/>
          <w:szCs w:val="20"/>
          <w:rtl/>
        </w:rPr>
        <w:t>האם דין דם טוהר נוהג היום?</w:t>
      </w:r>
      <w:r>
        <w:rPr>
          <w:sz w:val="20"/>
          <w:szCs w:val="20"/>
          <w:u w:val="single"/>
          <w:rtl/>
        </w:rPr>
        <w:br/>
      </w:r>
      <w:r>
        <w:rPr>
          <w:rFonts w:hint="cs"/>
          <w:sz w:val="20"/>
          <w:szCs w:val="20"/>
          <w:rtl/>
        </w:rPr>
        <w:t xml:space="preserve">א. </w:t>
      </w:r>
      <w:r w:rsidRPr="00213D08">
        <w:rPr>
          <w:rFonts w:hint="cs"/>
          <w:b/>
          <w:bCs/>
          <w:sz w:val="20"/>
          <w:szCs w:val="20"/>
          <w:rtl/>
        </w:rPr>
        <w:t>בה"ג</w:t>
      </w:r>
      <w:r>
        <w:rPr>
          <w:rFonts w:hint="cs"/>
          <w:sz w:val="20"/>
          <w:szCs w:val="20"/>
          <w:rtl/>
        </w:rPr>
        <w:t xml:space="preserve"> </w:t>
      </w:r>
      <w:r>
        <w:rPr>
          <w:sz w:val="20"/>
          <w:szCs w:val="20"/>
          <w:rtl/>
        </w:rPr>
        <w:t>–</w:t>
      </w:r>
      <w:r>
        <w:rPr>
          <w:rFonts w:hint="cs"/>
          <w:sz w:val="20"/>
          <w:szCs w:val="20"/>
          <w:rtl/>
        </w:rPr>
        <w:t xml:space="preserve"> נוהג.</w:t>
      </w:r>
      <w:r>
        <w:rPr>
          <w:sz w:val="20"/>
          <w:szCs w:val="20"/>
          <w:rtl/>
        </w:rPr>
        <w:br/>
      </w:r>
      <w:r>
        <w:rPr>
          <w:rFonts w:hint="cs"/>
          <w:sz w:val="20"/>
          <w:szCs w:val="20"/>
          <w:rtl/>
        </w:rPr>
        <w:t xml:space="preserve">ב. </w:t>
      </w:r>
      <w:r w:rsidRPr="00213D08">
        <w:rPr>
          <w:rFonts w:hint="cs"/>
          <w:b/>
          <w:bCs/>
          <w:sz w:val="20"/>
          <w:szCs w:val="20"/>
          <w:rtl/>
        </w:rPr>
        <w:t>רמב"ן</w:t>
      </w:r>
      <w:r>
        <w:rPr>
          <w:rFonts w:hint="cs"/>
          <w:sz w:val="20"/>
          <w:szCs w:val="20"/>
          <w:rtl/>
        </w:rPr>
        <w:t xml:space="preserve"> </w:t>
      </w:r>
      <w:r>
        <w:rPr>
          <w:sz w:val="20"/>
          <w:szCs w:val="20"/>
          <w:rtl/>
        </w:rPr>
        <w:t>–</w:t>
      </w:r>
      <w:r>
        <w:rPr>
          <w:rFonts w:hint="cs"/>
          <w:sz w:val="20"/>
          <w:szCs w:val="20"/>
          <w:rtl/>
        </w:rPr>
        <w:t xml:space="preserve"> אינו נוהג.</w:t>
      </w:r>
      <w:r>
        <w:rPr>
          <w:sz w:val="20"/>
          <w:szCs w:val="20"/>
          <w:rtl/>
        </w:rPr>
        <w:br/>
      </w:r>
      <w:r>
        <w:rPr>
          <w:rFonts w:hint="cs"/>
          <w:sz w:val="20"/>
          <w:szCs w:val="20"/>
          <w:rtl/>
        </w:rPr>
        <w:t xml:space="preserve">ג. </w:t>
      </w:r>
      <w:r w:rsidRPr="00213D08">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תלוי במנהג, יש מקומות שהחמירו בו ויש מקומות שמתירים כדין תורה.</w:t>
      </w:r>
      <w:r>
        <w:rPr>
          <w:rFonts w:hint="cs"/>
          <w:sz w:val="20"/>
          <w:szCs w:val="20"/>
          <w:rtl/>
        </w:rPr>
        <w:br/>
        <w:t xml:space="preserve">הכרעת </w:t>
      </w:r>
      <w:r w:rsidRPr="0066746C">
        <w:rPr>
          <w:rFonts w:hint="cs"/>
          <w:b/>
          <w:bCs/>
          <w:sz w:val="20"/>
          <w:szCs w:val="20"/>
          <w:rtl/>
        </w:rPr>
        <w:t>הבית יוסף</w:t>
      </w:r>
      <w:r>
        <w:rPr>
          <w:rFonts w:hint="cs"/>
          <w:sz w:val="20"/>
          <w:szCs w:val="20"/>
          <w:rtl/>
        </w:rPr>
        <w:t xml:space="preserve"> </w:t>
      </w:r>
      <w:r>
        <w:rPr>
          <w:sz w:val="20"/>
          <w:szCs w:val="20"/>
          <w:rtl/>
        </w:rPr>
        <w:t>–</w:t>
      </w:r>
      <w:r>
        <w:rPr>
          <w:rFonts w:hint="cs"/>
          <w:sz w:val="20"/>
          <w:szCs w:val="20"/>
          <w:rtl/>
        </w:rPr>
        <w:t xml:space="preserve"> איסור זה פשט בכל ישראל.</w:t>
      </w:r>
    </w:p>
    <w:p w:rsidR="00620060" w:rsidRDefault="00620060" w:rsidP="00620060">
      <w:pPr>
        <w:rPr>
          <w:b/>
          <w:bCs/>
          <w:sz w:val="20"/>
          <w:szCs w:val="20"/>
          <w:rtl/>
        </w:rPr>
      </w:pPr>
      <w:r>
        <w:rPr>
          <w:rFonts w:hint="cs"/>
          <w:sz w:val="20"/>
          <w:szCs w:val="20"/>
          <w:u w:val="single"/>
          <w:rtl/>
        </w:rPr>
        <w:t>טעם החומרה בדם טוהר</w:t>
      </w:r>
      <w:r>
        <w:rPr>
          <w:sz w:val="20"/>
          <w:szCs w:val="20"/>
          <w:u w:val="single"/>
          <w:rtl/>
        </w:rPr>
        <w:br/>
      </w:r>
      <w:r>
        <w:rPr>
          <w:rFonts w:hint="cs"/>
          <w:sz w:val="20"/>
          <w:szCs w:val="20"/>
          <w:rtl/>
        </w:rPr>
        <w:t xml:space="preserve">א. </w:t>
      </w:r>
      <w:r w:rsidRPr="00213D08">
        <w:rPr>
          <w:rFonts w:hint="cs"/>
          <w:b/>
          <w:bCs/>
          <w:sz w:val="20"/>
          <w:szCs w:val="20"/>
          <w:rtl/>
        </w:rPr>
        <w:t>רמב"ן</w:t>
      </w:r>
      <w:r>
        <w:rPr>
          <w:rFonts w:hint="cs"/>
          <w:sz w:val="20"/>
          <w:szCs w:val="20"/>
          <w:rtl/>
        </w:rPr>
        <w:t xml:space="preserve"> </w:t>
      </w:r>
      <w:r>
        <w:rPr>
          <w:sz w:val="20"/>
          <w:szCs w:val="20"/>
          <w:rtl/>
        </w:rPr>
        <w:t>–</w:t>
      </w:r>
      <w:r>
        <w:rPr>
          <w:rFonts w:hint="cs"/>
          <w:sz w:val="20"/>
          <w:szCs w:val="20"/>
          <w:rtl/>
        </w:rPr>
        <w:t xml:space="preserve"> חומרה זו היא בכלל חומרת רבי זירא שיש לשבת ז"נ על כל טיפת דם כחרדל כדין זבה.</w:t>
      </w:r>
      <w:r>
        <w:rPr>
          <w:rFonts w:hint="cs"/>
          <w:sz w:val="20"/>
          <w:szCs w:val="20"/>
          <w:rtl/>
        </w:rPr>
        <w:br/>
        <w:t xml:space="preserve">כלומר </w:t>
      </w:r>
      <w:r>
        <w:rPr>
          <w:sz w:val="20"/>
          <w:szCs w:val="20"/>
          <w:rtl/>
        </w:rPr>
        <w:t>–</w:t>
      </w:r>
      <w:r>
        <w:rPr>
          <w:rFonts w:hint="cs"/>
          <w:sz w:val="20"/>
          <w:szCs w:val="20"/>
          <w:rtl/>
        </w:rPr>
        <w:t xml:space="preserve"> טעם החומרה של רבי זירא הוא משום טעות של הנשים וקושי לחלק בין נידה לזבה, כמו כן יש להחמיר בדם טוהר שלא יבוא הדבר לכלל טעות ותבוא לשמש גם לאחר כלות ימי טוהר.</w:t>
      </w:r>
      <w:r>
        <w:rPr>
          <w:rStyle w:val="a5"/>
          <w:sz w:val="20"/>
          <w:szCs w:val="20"/>
          <w:rtl/>
        </w:rPr>
        <w:footnoteReference w:id="413"/>
      </w:r>
      <w:r>
        <w:rPr>
          <w:rFonts w:hint="cs"/>
          <w:sz w:val="20"/>
          <w:szCs w:val="20"/>
          <w:rtl/>
        </w:rPr>
        <w:br/>
        <w:t xml:space="preserve">ב. </w:t>
      </w:r>
      <w:r w:rsidRPr="00EF6F2D">
        <w:rPr>
          <w:rFonts w:hint="cs"/>
          <w:b/>
          <w:bCs/>
          <w:sz w:val="20"/>
          <w:szCs w:val="20"/>
          <w:rtl/>
        </w:rPr>
        <w:t>בית יוסף</w:t>
      </w:r>
      <w:r>
        <w:rPr>
          <w:rFonts w:hint="cs"/>
          <w:sz w:val="20"/>
          <w:szCs w:val="20"/>
          <w:rtl/>
        </w:rPr>
        <w:t xml:space="preserve"> </w:t>
      </w:r>
      <w:r>
        <w:rPr>
          <w:sz w:val="20"/>
          <w:szCs w:val="20"/>
          <w:rtl/>
        </w:rPr>
        <w:t>–</w:t>
      </w:r>
      <w:r>
        <w:rPr>
          <w:rFonts w:hint="cs"/>
          <w:sz w:val="20"/>
          <w:szCs w:val="20"/>
          <w:rtl/>
        </w:rPr>
        <w:t xml:space="preserve"> חומרה זו היא מחמת חסרון בקיאות מהו הזמן המדויק שנולד הוולד. כלומר, ייתכן שהוציא ראשו לפני שקיעה וגמר הלידה היתה לאחר שקיעה, ויבואו להוסיף יום לטהרתה ע"י מניין שגוי מגמר הלידה.</w:t>
      </w:r>
      <w:r>
        <w:rPr>
          <w:rFonts w:hint="cs"/>
          <w:sz w:val="20"/>
          <w:szCs w:val="20"/>
          <w:rtl/>
        </w:rPr>
        <w:br/>
        <w:t xml:space="preserve">ג. </w:t>
      </w:r>
      <w:r w:rsidRPr="00EF6F2D">
        <w:rPr>
          <w:rFonts w:hint="cs"/>
          <w:b/>
          <w:bCs/>
          <w:sz w:val="20"/>
          <w:szCs w:val="20"/>
          <w:rtl/>
        </w:rPr>
        <w:t>ר"ן</w:t>
      </w:r>
      <w:r>
        <w:rPr>
          <w:rFonts w:hint="cs"/>
          <w:sz w:val="20"/>
          <w:szCs w:val="20"/>
          <w:rtl/>
        </w:rPr>
        <w:t xml:space="preserve"> </w:t>
      </w:r>
      <w:r>
        <w:rPr>
          <w:sz w:val="20"/>
          <w:szCs w:val="20"/>
          <w:rtl/>
        </w:rPr>
        <w:t>–</w:t>
      </w:r>
      <w:r>
        <w:rPr>
          <w:rFonts w:hint="cs"/>
          <w:sz w:val="20"/>
          <w:szCs w:val="20"/>
          <w:rtl/>
        </w:rPr>
        <w:t xml:space="preserve"> שמא ינהגו דם טוהר גם בוולדות שיושבים עליהם טומאת לידה מספק, והרי אין להם דין דם טוהר.</w:t>
      </w:r>
      <w:r w:rsidRPr="00C84A39">
        <w:rPr>
          <w:rFonts w:hint="cs"/>
          <w:b/>
          <w:bCs/>
          <w:sz w:val="20"/>
          <w:szCs w:val="20"/>
          <w:rtl/>
        </w:rPr>
        <w:t xml:space="preserve"> </w:t>
      </w:r>
    </w:p>
    <w:p w:rsidR="00620060" w:rsidRPr="00C76F3C"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רמ"א </w:t>
      </w:r>
      <w:r>
        <w:rPr>
          <w:sz w:val="20"/>
          <w:szCs w:val="20"/>
          <w:rtl/>
        </w:rPr>
        <w:t>–</w:t>
      </w:r>
      <w:r>
        <w:rPr>
          <w:rFonts w:hint="cs"/>
          <w:sz w:val="20"/>
          <w:szCs w:val="20"/>
          <w:rtl/>
        </w:rPr>
        <w:t xml:space="preserve"> "</w:t>
      </w:r>
      <w:r w:rsidRPr="003A4F75">
        <w:rPr>
          <w:rFonts w:cs="Arial" w:hint="cs"/>
          <w:sz w:val="18"/>
          <w:szCs w:val="18"/>
          <w:rtl/>
        </w:rPr>
        <w:t>אבל</w:t>
      </w:r>
      <w:r w:rsidRPr="003A4F75">
        <w:rPr>
          <w:rFonts w:cs="Arial"/>
          <w:sz w:val="18"/>
          <w:szCs w:val="18"/>
          <w:rtl/>
        </w:rPr>
        <w:t xml:space="preserve"> </w:t>
      </w:r>
      <w:r w:rsidRPr="003A4F75">
        <w:rPr>
          <w:rFonts w:cs="Arial" w:hint="cs"/>
          <w:sz w:val="18"/>
          <w:szCs w:val="18"/>
          <w:rtl/>
        </w:rPr>
        <w:t>אם</w:t>
      </w:r>
      <w:r w:rsidRPr="003A4F75">
        <w:rPr>
          <w:rFonts w:cs="Arial"/>
          <w:sz w:val="18"/>
          <w:szCs w:val="18"/>
          <w:rtl/>
        </w:rPr>
        <w:t xml:space="preserve"> </w:t>
      </w:r>
      <w:r w:rsidRPr="003A4F75">
        <w:rPr>
          <w:rFonts w:cs="Arial" w:hint="cs"/>
          <w:sz w:val="18"/>
          <w:szCs w:val="18"/>
          <w:rtl/>
        </w:rPr>
        <w:t>חזרה</w:t>
      </w:r>
      <w:r w:rsidRPr="003A4F75">
        <w:rPr>
          <w:rFonts w:cs="Arial"/>
          <w:sz w:val="18"/>
          <w:szCs w:val="18"/>
          <w:rtl/>
        </w:rPr>
        <w:t xml:space="preserve"> </w:t>
      </w:r>
      <w:r w:rsidRPr="003A4F75">
        <w:rPr>
          <w:rFonts w:cs="Arial" w:hint="cs"/>
          <w:sz w:val="18"/>
          <w:szCs w:val="18"/>
          <w:rtl/>
        </w:rPr>
        <w:t>וראתה</w:t>
      </w:r>
      <w:r w:rsidRPr="003A4F75">
        <w:rPr>
          <w:rFonts w:cs="Arial"/>
          <w:sz w:val="18"/>
          <w:szCs w:val="18"/>
          <w:rtl/>
        </w:rPr>
        <w:t xml:space="preserve">, </w:t>
      </w:r>
      <w:r w:rsidRPr="003A4F75">
        <w:rPr>
          <w:rFonts w:cs="Arial" w:hint="cs"/>
          <w:sz w:val="18"/>
          <w:szCs w:val="18"/>
          <w:rtl/>
        </w:rPr>
        <w:t>אפילו</w:t>
      </w:r>
      <w:r w:rsidRPr="003A4F75">
        <w:rPr>
          <w:rFonts w:cs="Arial"/>
          <w:sz w:val="18"/>
          <w:szCs w:val="18"/>
          <w:rtl/>
        </w:rPr>
        <w:t xml:space="preserve"> </w:t>
      </w:r>
      <w:r w:rsidRPr="003A4F75">
        <w:rPr>
          <w:rFonts w:cs="Arial" w:hint="cs"/>
          <w:sz w:val="18"/>
          <w:szCs w:val="18"/>
          <w:rtl/>
        </w:rPr>
        <w:t>טפת</w:t>
      </w:r>
      <w:r w:rsidRPr="003A4F75">
        <w:rPr>
          <w:rFonts w:cs="Arial"/>
          <w:sz w:val="18"/>
          <w:szCs w:val="18"/>
          <w:rtl/>
        </w:rPr>
        <w:t xml:space="preserve"> </w:t>
      </w:r>
      <w:r w:rsidRPr="003A4F75">
        <w:rPr>
          <w:rFonts w:cs="Arial" w:hint="cs"/>
          <w:sz w:val="18"/>
          <w:szCs w:val="18"/>
          <w:rtl/>
        </w:rPr>
        <w:t>דם</w:t>
      </w:r>
      <w:r w:rsidRPr="003A4F75">
        <w:rPr>
          <w:rFonts w:cs="Arial"/>
          <w:sz w:val="18"/>
          <w:szCs w:val="18"/>
          <w:rtl/>
        </w:rPr>
        <w:t xml:space="preserve"> </w:t>
      </w:r>
      <w:r w:rsidRPr="003A4F75">
        <w:rPr>
          <w:rFonts w:cs="Arial" w:hint="cs"/>
          <w:sz w:val="18"/>
          <w:szCs w:val="18"/>
          <w:rtl/>
        </w:rPr>
        <w:t>כחרדל</w:t>
      </w:r>
      <w:r w:rsidRPr="003A4F75">
        <w:rPr>
          <w:rFonts w:cs="Arial"/>
          <w:sz w:val="18"/>
          <w:szCs w:val="18"/>
          <w:rtl/>
        </w:rPr>
        <w:t xml:space="preserve">, </w:t>
      </w:r>
      <w:r w:rsidRPr="003A4F75">
        <w:rPr>
          <w:rFonts w:cs="Arial" w:hint="cs"/>
          <w:sz w:val="18"/>
          <w:szCs w:val="18"/>
          <w:rtl/>
        </w:rPr>
        <w:t>טמאה</w:t>
      </w:r>
      <w:r w:rsidRPr="003A4F75">
        <w:rPr>
          <w:rFonts w:cs="Arial"/>
          <w:sz w:val="18"/>
          <w:szCs w:val="18"/>
          <w:rtl/>
        </w:rPr>
        <w:t xml:space="preserve"> </w:t>
      </w:r>
      <w:r w:rsidRPr="003A4F75">
        <w:rPr>
          <w:rFonts w:cs="Arial" w:hint="cs"/>
          <w:sz w:val="18"/>
          <w:szCs w:val="18"/>
          <w:rtl/>
        </w:rPr>
        <w:t>אף</w:t>
      </w:r>
      <w:r w:rsidRPr="003A4F75">
        <w:rPr>
          <w:rFonts w:cs="Arial"/>
          <w:sz w:val="18"/>
          <w:szCs w:val="18"/>
          <w:rtl/>
        </w:rPr>
        <w:t xml:space="preserve"> </w:t>
      </w:r>
      <w:r w:rsidRPr="003A4F75">
        <w:rPr>
          <w:rFonts w:cs="Arial" w:hint="cs"/>
          <w:sz w:val="18"/>
          <w:szCs w:val="18"/>
          <w:rtl/>
        </w:rPr>
        <w:t>על</w:t>
      </w:r>
      <w:r w:rsidRPr="003A4F75">
        <w:rPr>
          <w:rFonts w:cs="Arial"/>
          <w:sz w:val="18"/>
          <w:szCs w:val="18"/>
          <w:rtl/>
        </w:rPr>
        <w:t xml:space="preserve"> </w:t>
      </w:r>
      <w:r w:rsidRPr="003A4F75">
        <w:rPr>
          <w:rFonts w:cs="Arial" w:hint="cs"/>
          <w:sz w:val="18"/>
          <w:szCs w:val="18"/>
          <w:rtl/>
        </w:rPr>
        <w:t>גב</w:t>
      </w:r>
      <w:r w:rsidRPr="003A4F75">
        <w:rPr>
          <w:rFonts w:cs="Arial"/>
          <w:sz w:val="18"/>
          <w:szCs w:val="18"/>
          <w:rtl/>
        </w:rPr>
        <w:t xml:space="preserve"> </w:t>
      </w:r>
      <w:r w:rsidRPr="003A4F75">
        <w:rPr>
          <w:rFonts w:cs="Arial" w:hint="cs"/>
          <w:sz w:val="18"/>
          <w:szCs w:val="18"/>
          <w:rtl/>
        </w:rPr>
        <w:t>דמדאורייתא</w:t>
      </w:r>
      <w:r w:rsidRPr="003A4F75">
        <w:rPr>
          <w:rFonts w:cs="Arial"/>
          <w:sz w:val="18"/>
          <w:szCs w:val="18"/>
          <w:rtl/>
        </w:rPr>
        <w:t xml:space="preserve"> </w:t>
      </w:r>
      <w:r w:rsidRPr="003A4F75">
        <w:rPr>
          <w:rFonts w:cs="Arial" w:hint="cs"/>
          <w:sz w:val="18"/>
          <w:szCs w:val="18"/>
          <w:rtl/>
        </w:rPr>
        <w:t>דם</w:t>
      </w:r>
      <w:r w:rsidRPr="003A4F75">
        <w:rPr>
          <w:rFonts w:cs="Arial"/>
          <w:sz w:val="18"/>
          <w:szCs w:val="18"/>
          <w:rtl/>
        </w:rPr>
        <w:t xml:space="preserve"> </w:t>
      </w:r>
      <w:r w:rsidRPr="003A4F75">
        <w:rPr>
          <w:rFonts w:cs="Arial" w:hint="cs"/>
          <w:sz w:val="18"/>
          <w:szCs w:val="18"/>
          <w:rtl/>
        </w:rPr>
        <w:t>טהור</w:t>
      </w:r>
      <w:r w:rsidRPr="003A4F75">
        <w:rPr>
          <w:rFonts w:cs="Arial"/>
          <w:sz w:val="18"/>
          <w:szCs w:val="18"/>
          <w:rtl/>
        </w:rPr>
        <w:t xml:space="preserve"> </w:t>
      </w:r>
      <w:r w:rsidRPr="003A4F75">
        <w:rPr>
          <w:rFonts w:cs="Arial" w:hint="cs"/>
          <w:sz w:val="18"/>
          <w:szCs w:val="18"/>
          <w:rtl/>
        </w:rPr>
        <w:t>הוא</w:t>
      </w:r>
      <w:r w:rsidRPr="003A4F75">
        <w:rPr>
          <w:rFonts w:cs="Arial"/>
          <w:sz w:val="18"/>
          <w:szCs w:val="18"/>
          <w:rtl/>
        </w:rPr>
        <w:t xml:space="preserve"> </w:t>
      </w:r>
      <w:r w:rsidRPr="003A4F75">
        <w:rPr>
          <w:rFonts w:cs="Arial" w:hint="cs"/>
          <w:sz w:val="18"/>
          <w:szCs w:val="18"/>
          <w:rtl/>
        </w:rPr>
        <w:t>כבר</w:t>
      </w:r>
      <w:r w:rsidRPr="003A4F75">
        <w:rPr>
          <w:rFonts w:cs="Arial"/>
          <w:sz w:val="18"/>
          <w:szCs w:val="18"/>
          <w:rtl/>
        </w:rPr>
        <w:t xml:space="preserve"> </w:t>
      </w:r>
      <w:r w:rsidRPr="003A4F75">
        <w:rPr>
          <w:rFonts w:cs="Arial" w:hint="cs"/>
          <w:sz w:val="18"/>
          <w:szCs w:val="18"/>
          <w:rtl/>
        </w:rPr>
        <w:t>פשט</w:t>
      </w:r>
      <w:r w:rsidRPr="003A4F75">
        <w:rPr>
          <w:rFonts w:cs="Arial"/>
          <w:sz w:val="18"/>
          <w:szCs w:val="18"/>
          <w:rtl/>
        </w:rPr>
        <w:t xml:space="preserve"> </w:t>
      </w:r>
      <w:r w:rsidRPr="003A4F75">
        <w:rPr>
          <w:rFonts w:cs="Arial" w:hint="cs"/>
          <w:sz w:val="18"/>
          <w:szCs w:val="18"/>
          <w:rtl/>
        </w:rPr>
        <w:t>המנהג</w:t>
      </w:r>
      <w:r w:rsidRPr="003A4F75">
        <w:rPr>
          <w:rFonts w:cs="Arial"/>
          <w:sz w:val="18"/>
          <w:szCs w:val="18"/>
          <w:rtl/>
        </w:rPr>
        <w:t xml:space="preserve"> </w:t>
      </w:r>
      <w:r w:rsidRPr="003A4F75">
        <w:rPr>
          <w:rFonts w:cs="Arial" w:hint="cs"/>
          <w:sz w:val="18"/>
          <w:szCs w:val="18"/>
          <w:rtl/>
        </w:rPr>
        <w:t>בכל</w:t>
      </w:r>
      <w:r w:rsidRPr="003A4F75">
        <w:rPr>
          <w:rFonts w:cs="Arial"/>
          <w:sz w:val="18"/>
          <w:szCs w:val="18"/>
          <w:rtl/>
        </w:rPr>
        <w:t xml:space="preserve"> </w:t>
      </w:r>
      <w:r w:rsidRPr="003A4F75">
        <w:rPr>
          <w:rFonts w:cs="Arial" w:hint="cs"/>
          <w:sz w:val="18"/>
          <w:szCs w:val="18"/>
          <w:rtl/>
        </w:rPr>
        <w:t>ישראל</w:t>
      </w:r>
      <w:r w:rsidRPr="003A4F75">
        <w:rPr>
          <w:rFonts w:cs="Arial"/>
          <w:sz w:val="18"/>
          <w:szCs w:val="18"/>
          <w:rtl/>
        </w:rPr>
        <w:t xml:space="preserve"> </w:t>
      </w:r>
      <w:r w:rsidRPr="003A4F75">
        <w:rPr>
          <w:rFonts w:cs="Arial" w:hint="cs"/>
          <w:sz w:val="18"/>
          <w:szCs w:val="18"/>
          <w:rtl/>
        </w:rPr>
        <w:t>שאין</w:t>
      </w:r>
      <w:r w:rsidRPr="003A4F75">
        <w:rPr>
          <w:rFonts w:cs="Arial"/>
          <w:sz w:val="18"/>
          <w:szCs w:val="18"/>
          <w:rtl/>
        </w:rPr>
        <w:t xml:space="preserve"> </w:t>
      </w:r>
      <w:r w:rsidRPr="003A4F75">
        <w:rPr>
          <w:rFonts w:cs="Arial" w:hint="cs"/>
          <w:sz w:val="18"/>
          <w:szCs w:val="18"/>
          <w:rtl/>
        </w:rPr>
        <w:t>בועלין</w:t>
      </w:r>
      <w:r w:rsidRPr="003A4F75">
        <w:rPr>
          <w:rFonts w:cs="Arial"/>
          <w:sz w:val="18"/>
          <w:szCs w:val="18"/>
          <w:rtl/>
        </w:rPr>
        <w:t xml:space="preserve"> </w:t>
      </w:r>
      <w:r w:rsidRPr="003A4F75">
        <w:rPr>
          <w:rFonts w:cs="Arial" w:hint="cs"/>
          <w:sz w:val="18"/>
          <w:szCs w:val="18"/>
          <w:rtl/>
        </w:rPr>
        <w:t>על</w:t>
      </w:r>
      <w:r w:rsidRPr="003A4F75">
        <w:rPr>
          <w:rFonts w:cs="Arial"/>
          <w:sz w:val="18"/>
          <w:szCs w:val="18"/>
          <w:rtl/>
        </w:rPr>
        <w:t xml:space="preserve"> </w:t>
      </w:r>
      <w:r w:rsidRPr="003A4F75">
        <w:rPr>
          <w:rFonts w:cs="Arial" w:hint="cs"/>
          <w:sz w:val="18"/>
          <w:szCs w:val="18"/>
          <w:rtl/>
        </w:rPr>
        <w:t>דם</w:t>
      </w:r>
      <w:r w:rsidRPr="003A4F75">
        <w:rPr>
          <w:rFonts w:cs="Arial"/>
          <w:sz w:val="18"/>
          <w:szCs w:val="18"/>
          <w:rtl/>
        </w:rPr>
        <w:t xml:space="preserve"> </w:t>
      </w:r>
      <w:r w:rsidRPr="003A4F75">
        <w:rPr>
          <w:rFonts w:cs="Arial" w:hint="cs"/>
          <w:sz w:val="18"/>
          <w:szCs w:val="18"/>
          <w:rtl/>
        </w:rPr>
        <w:t>טהור</w:t>
      </w:r>
      <w:r w:rsidRPr="003A4F75">
        <w:rPr>
          <w:rFonts w:cs="Arial"/>
          <w:sz w:val="18"/>
          <w:szCs w:val="18"/>
          <w:rtl/>
        </w:rPr>
        <w:t xml:space="preserve">, </w:t>
      </w:r>
      <w:r w:rsidRPr="003A4F75">
        <w:rPr>
          <w:rFonts w:cs="Arial" w:hint="cs"/>
          <w:sz w:val="18"/>
          <w:szCs w:val="18"/>
          <w:rtl/>
        </w:rPr>
        <w:t>ודינו</w:t>
      </w:r>
      <w:r w:rsidRPr="003A4F75">
        <w:rPr>
          <w:rFonts w:cs="Arial"/>
          <w:sz w:val="18"/>
          <w:szCs w:val="18"/>
          <w:rtl/>
        </w:rPr>
        <w:t xml:space="preserve"> </w:t>
      </w:r>
      <w:r w:rsidRPr="003A4F75">
        <w:rPr>
          <w:rFonts w:cs="Arial" w:hint="cs"/>
          <w:sz w:val="18"/>
          <w:szCs w:val="18"/>
          <w:rtl/>
        </w:rPr>
        <w:t>כשאר</w:t>
      </w:r>
      <w:r w:rsidRPr="003A4F75">
        <w:rPr>
          <w:rFonts w:cs="Arial"/>
          <w:sz w:val="18"/>
          <w:szCs w:val="18"/>
          <w:rtl/>
        </w:rPr>
        <w:t xml:space="preserve"> </w:t>
      </w:r>
      <w:r w:rsidRPr="003A4F75">
        <w:rPr>
          <w:rFonts w:cs="Arial" w:hint="cs"/>
          <w:sz w:val="18"/>
          <w:szCs w:val="18"/>
          <w:rtl/>
        </w:rPr>
        <w:t>דם</w:t>
      </w:r>
      <w:r w:rsidRPr="003A4F75">
        <w:rPr>
          <w:rFonts w:cs="Arial"/>
          <w:sz w:val="18"/>
          <w:szCs w:val="18"/>
          <w:rtl/>
        </w:rPr>
        <w:t xml:space="preserve"> </w:t>
      </w:r>
      <w:r w:rsidRPr="003A4F75">
        <w:rPr>
          <w:rFonts w:cs="Arial" w:hint="cs"/>
          <w:sz w:val="18"/>
          <w:szCs w:val="18"/>
          <w:rtl/>
        </w:rPr>
        <w:t>לכל</w:t>
      </w:r>
      <w:r w:rsidRPr="003A4F75">
        <w:rPr>
          <w:rFonts w:cs="Arial"/>
          <w:sz w:val="18"/>
          <w:szCs w:val="18"/>
          <w:rtl/>
        </w:rPr>
        <w:t xml:space="preserve"> </w:t>
      </w:r>
      <w:r w:rsidRPr="003A4F75">
        <w:rPr>
          <w:rFonts w:cs="Arial" w:hint="cs"/>
          <w:sz w:val="18"/>
          <w:szCs w:val="18"/>
          <w:rtl/>
        </w:rPr>
        <w:t>דבר".</w:t>
      </w:r>
      <w:r>
        <w:rPr>
          <w:rFonts w:hint="cs"/>
          <w:sz w:val="20"/>
          <w:szCs w:val="20"/>
          <w:rtl/>
        </w:rPr>
        <w:br/>
      </w:r>
      <w:r w:rsidRPr="0066746C">
        <w:rPr>
          <w:rFonts w:hint="cs"/>
          <w:b/>
          <w:bCs/>
          <w:sz w:val="20"/>
          <w:szCs w:val="20"/>
          <w:rtl/>
        </w:rPr>
        <w:lastRenderedPageBreak/>
        <w:t>טה"ב</w:t>
      </w:r>
      <w:r>
        <w:rPr>
          <w:rFonts w:hint="cs"/>
          <w:sz w:val="20"/>
          <w:szCs w:val="20"/>
          <w:rtl/>
        </w:rPr>
        <w:t xml:space="preserve"> </w:t>
      </w:r>
      <w:r>
        <w:rPr>
          <w:sz w:val="20"/>
          <w:szCs w:val="20"/>
          <w:rtl/>
        </w:rPr>
        <w:t>–</w:t>
      </w:r>
      <w:r>
        <w:rPr>
          <w:rFonts w:hint="cs"/>
          <w:sz w:val="20"/>
          <w:szCs w:val="20"/>
          <w:rtl/>
        </w:rPr>
        <w:t xml:space="preserve"> אם בדקה רק בראשון או שביעי יש להקל.</w:t>
      </w:r>
      <w:r>
        <w:rPr>
          <w:sz w:val="20"/>
          <w:szCs w:val="20"/>
          <w:rtl/>
        </w:rPr>
        <w:br/>
      </w:r>
      <w:r w:rsidRPr="0066746C">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כך הוא עיקר הדין בכל אשה, אלא שהב"י החמיר מחמת סרך איסור כרת, בכה"ג ליכא סרך כרת.</w:t>
      </w:r>
    </w:p>
    <w:p w:rsidR="00620060" w:rsidRDefault="00620060" w:rsidP="00620060">
      <w:pPr>
        <w:rPr>
          <w:sz w:val="20"/>
          <w:szCs w:val="20"/>
          <w:u w:val="single"/>
          <w:rtl/>
        </w:rPr>
      </w:pPr>
      <w:r>
        <w:rPr>
          <w:rFonts w:hint="cs"/>
          <w:sz w:val="20"/>
          <w:szCs w:val="20"/>
          <w:u w:val="single"/>
          <w:rtl/>
        </w:rPr>
        <w:t>נטמאה בשעת תשמיש (פת"ש)</w:t>
      </w:r>
      <w:r>
        <w:rPr>
          <w:rFonts w:hint="cs"/>
          <w:sz w:val="20"/>
          <w:szCs w:val="20"/>
          <w:u w:val="single"/>
          <w:rtl/>
        </w:rPr>
        <w:br/>
      </w:r>
      <w:r w:rsidRPr="000556D2">
        <w:rPr>
          <w:rFonts w:hint="cs"/>
          <w:b/>
          <w:bCs/>
          <w:sz w:val="20"/>
          <w:szCs w:val="20"/>
          <w:rtl/>
        </w:rPr>
        <w:t>נו</w:t>
      </w:r>
      <w:r>
        <w:rPr>
          <w:rFonts w:hint="cs"/>
          <w:b/>
          <w:bCs/>
          <w:sz w:val="20"/>
          <w:szCs w:val="20"/>
          <w:rtl/>
        </w:rPr>
        <w:t>דע ביהודה</w:t>
      </w:r>
      <w:r w:rsidRPr="000556D2">
        <w:rPr>
          <w:rFonts w:hint="cs"/>
          <w:sz w:val="20"/>
          <w:szCs w:val="20"/>
          <w:rtl/>
        </w:rPr>
        <w:t xml:space="preserve"> </w:t>
      </w:r>
      <w:r w:rsidRPr="000556D2">
        <w:rPr>
          <w:sz w:val="20"/>
          <w:szCs w:val="20"/>
          <w:rtl/>
        </w:rPr>
        <w:t>–</w:t>
      </w:r>
      <w:r w:rsidRPr="000556D2">
        <w:rPr>
          <w:rFonts w:hint="cs"/>
          <w:sz w:val="20"/>
          <w:szCs w:val="20"/>
          <w:rtl/>
        </w:rPr>
        <w:t xml:space="preserve"> אם באמצע תשמיש נטמאה אשתו, מותר לגמור ביאתו </w:t>
      </w:r>
      <w:r>
        <w:rPr>
          <w:rFonts w:hint="cs"/>
          <w:sz w:val="20"/>
          <w:szCs w:val="20"/>
          <w:rtl/>
        </w:rPr>
        <w:t xml:space="preserve">ולפרוש </w:t>
      </w:r>
      <w:r w:rsidRPr="000556D2">
        <w:rPr>
          <w:rFonts w:hint="cs"/>
          <w:sz w:val="20"/>
          <w:szCs w:val="20"/>
          <w:rtl/>
        </w:rPr>
        <w:t>באבר חי</w:t>
      </w:r>
      <w:r>
        <w:rPr>
          <w:rFonts w:hint="cs"/>
          <w:sz w:val="20"/>
          <w:szCs w:val="20"/>
          <w:rtl/>
        </w:rPr>
        <w:t>.</w:t>
      </w:r>
      <w:r w:rsidRPr="000556D2">
        <w:rPr>
          <w:sz w:val="20"/>
          <w:szCs w:val="20"/>
          <w:rtl/>
        </w:rPr>
        <w:br/>
      </w:r>
      <w:r w:rsidRPr="000556D2">
        <w:rPr>
          <w:rFonts w:hint="cs"/>
          <w:b/>
          <w:bCs/>
          <w:sz w:val="20"/>
          <w:szCs w:val="20"/>
          <w:rtl/>
        </w:rPr>
        <w:t>טעם</w:t>
      </w:r>
      <w:r w:rsidRPr="000556D2">
        <w:rPr>
          <w:rFonts w:hint="cs"/>
          <w:sz w:val="20"/>
          <w:szCs w:val="20"/>
          <w:rtl/>
        </w:rPr>
        <w:t xml:space="preserve"> </w:t>
      </w:r>
      <w:r w:rsidRPr="000556D2">
        <w:rPr>
          <w:sz w:val="20"/>
          <w:szCs w:val="20"/>
          <w:rtl/>
        </w:rPr>
        <w:t>–</w:t>
      </w:r>
      <w:r w:rsidRPr="000556D2">
        <w:rPr>
          <w:rFonts w:hint="cs"/>
          <w:sz w:val="20"/>
          <w:szCs w:val="20"/>
          <w:rtl/>
        </w:rPr>
        <w:t xml:space="preserve"> האיסור לבעול על דם טוהר הוא חידוש ואין לך בו אלא חידושו בלבד, שלא יבעל לאחר שראתה.</w:t>
      </w:r>
    </w:p>
    <w:p w:rsidR="00620060" w:rsidRDefault="00620060" w:rsidP="00620060">
      <w:pPr>
        <w:rPr>
          <w:rFonts w:cs="Arial"/>
          <w:sz w:val="20"/>
          <w:szCs w:val="20"/>
          <w:rtl/>
        </w:rPr>
      </w:pPr>
      <w:r w:rsidRPr="005D5C43">
        <w:rPr>
          <w:rFonts w:hint="cs"/>
          <w:sz w:val="20"/>
          <w:szCs w:val="20"/>
          <w:u w:val="single"/>
          <w:rtl/>
        </w:rPr>
        <w:t>ברכה על הטבילה (פת"ש)</w:t>
      </w:r>
      <w:r>
        <w:rPr>
          <w:sz w:val="20"/>
          <w:szCs w:val="20"/>
          <w:u w:val="single"/>
          <w:rtl/>
        </w:rPr>
        <w:br/>
      </w:r>
      <w:r>
        <w:rPr>
          <w:rFonts w:hint="cs"/>
          <w:sz w:val="20"/>
          <w:szCs w:val="20"/>
          <w:rtl/>
        </w:rPr>
        <w:t xml:space="preserve">א. </w:t>
      </w:r>
      <w:r w:rsidRPr="00981BF8">
        <w:rPr>
          <w:rFonts w:hint="cs"/>
          <w:b/>
          <w:bCs/>
          <w:sz w:val="20"/>
          <w:szCs w:val="20"/>
          <w:rtl/>
        </w:rPr>
        <w:t>שו"ת תשובה מאהבה</w:t>
      </w:r>
      <w:r>
        <w:rPr>
          <w:rFonts w:hint="cs"/>
          <w:sz w:val="20"/>
          <w:szCs w:val="20"/>
          <w:rtl/>
        </w:rPr>
        <w:t xml:space="preserve"> </w:t>
      </w:r>
      <w:r>
        <w:rPr>
          <w:sz w:val="20"/>
          <w:szCs w:val="20"/>
          <w:rtl/>
        </w:rPr>
        <w:t>–</w:t>
      </w:r>
      <w:r>
        <w:rPr>
          <w:rFonts w:hint="cs"/>
          <w:sz w:val="20"/>
          <w:szCs w:val="20"/>
          <w:rtl/>
        </w:rPr>
        <w:t xml:space="preserve"> ספק האם יש לברך על טבילה הנעשית מחמת ראיית דם טוהר.</w:t>
      </w:r>
      <w:r>
        <w:rPr>
          <w:sz w:val="20"/>
          <w:szCs w:val="20"/>
          <w:rtl/>
        </w:rPr>
        <w:br/>
      </w:r>
      <w:r w:rsidRPr="00981BF8">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מעיקר הדין הדם טהור אלא שנהגו להחמיר בו, ולכאורה נראה שאין מברכים על מנהג, כפי שאין מברכים על נטילת ערבה בהושענא רבה כיוון שהוא מנהג ואינו עיקר הדין. אמנם, מדברי הרמ"א שכתב </w:t>
      </w:r>
      <w:r w:rsidRPr="00330104">
        <w:rPr>
          <w:rFonts w:hint="cs"/>
          <w:sz w:val="20"/>
          <w:szCs w:val="20"/>
          <w:rtl/>
        </w:rPr>
        <w:t>"</w:t>
      </w:r>
      <w:r w:rsidRPr="00330104">
        <w:rPr>
          <w:rFonts w:cs="Arial" w:hint="cs"/>
          <w:sz w:val="20"/>
          <w:szCs w:val="20"/>
          <w:rtl/>
        </w:rPr>
        <w:t>ודינו</w:t>
      </w:r>
      <w:r w:rsidRPr="00330104">
        <w:rPr>
          <w:rFonts w:cs="Arial"/>
          <w:sz w:val="20"/>
          <w:szCs w:val="20"/>
          <w:rtl/>
        </w:rPr>
        <w:t xml:space="preserve"> </w:t>
      </w:r>
      <w:r w:rsidRPr="00330104">
        <w:rPr>
          <w:rFonts w:cs="Arial" w:hint="cs"/>
          <w:sz w:val="20"/>
          <w:szCs w:val="20"/>
          <w:rtl/>
        </w:rPr>
        <w:t>כשאר</w:t>
      </w:r>
      <w:r w:rsidRPr="00330104">
        <w:rPr>
          <w:rFonts w:cs="Arial"/>
          <w:sz w:val="20"/>
          <w:szCs w:val="20"/>
          <w:rtl/>
        </w:rPr>
        <w:t xml:space="preserve"> </w:t>
      </w:r>
      <w:r w:rsidRPr="00330104">
        <w:rPr>
          <w:rFonts w:cs="Arial" w:hint="cs"/>
          <w:sz w:val="20"/>
          <w:szCs w:val="20"/>
          <w:rtl/>
        </w:rPr>
        <w:t>דם</w:t>
      </w:r>
      <w:r w:rsidRPr="00330104">
        <w:rPr>
          <w:rFonts w:cs="Arial"/>
          <w:sz w:val="20"/>
          <w:szCs w:val="20"/>
          <w:rtl/>
        </w:rPr>
        <w:t xml:space="preserve"> </w:t>
      </w:r>
      <w:r w:rsidRPr="00330104">
        <w:rPr>
          <w:rFonts w:cs="Arial" w:hint="cs"/>
          <w:sz w:val="20"/>
          <w:szCs w:val="20"/>
          <w:rtl/>
        </w:rPr>
        <w:t>לכל</w:t>
      </w:r>
      <w:r w:rsidRPr="00330104">
        <w:rPr>
          <w:rFonts w:cs="Arial"/>
          <w:sz w:val="20"/>
          <w:szCs w:val="20"/>
          <w:rtl/>
        </w:rPr>
        <w:t xml:space="preserve"> </w:t>
      </w:r>
      <w:r w:rsidRPr="00330104">
        <w:rPr>
          <w:rFonts w:cs="Arial" w:hint="cs"/>
          <w:sz w:val="20"/>
          <w:szCs w:val="20"/>
          <w:rtl/>
        </w:rPr>
        <w:t>דבר</w:t>
      </w:r>
      <w:r>
        <w:rPr>
          <w:rFonts w:cs="Arial" w:hint="cs"/>
          <w:sz w:val="20"/>
          <w:szCs w:val="20"/>
          <w:rtl/>
        </w:rPr>
        <w:t>" משמע שיש לברך על הטבילה, וצ"ע.</w:t>
      </w:r>
      <w:r>
        <w:rPr>
          <w:rFonts w:cs="Arial"/>
          <w:sz w:val="20"/>
          <w:szCs w:val="20"/>
          <w:rtl/>
        </w:rPr>
        <w:br/>
      </w:r>
      <w:r>
        <w:rPr>
          <w:rFonts w:cs="Arial" w:hint="cs"/>
          <w:sz w:val="20"/>
          <w:szCs w:val="20"/>
          <w:rtl/>
        </w:rPr>
        <w:t xml:space="preserve">ב. </w:t>
      </w:r>
      <w:r w:rsidRPr="00981BF8">
        <w:rPr>
          <w:rFonts w:cs="Arial" w:hint="cs"/>
          <w:b/>
          <w:bCs/>
          <w:sz w:val="20"/>
          <w:szCs w:val="20"/>
          <w:rtl/>
        </w:rPr>
        <w:t>חתם סופר</w:t>
      </w:r>
      <w:r>
        <w:rPr>
          <w:rFonts w:cs="Arial" w:hint="cs"/>
          <w:sz w:val="20"/>
          <w:szCs w:val="20"/>
          <w:rtl/>
        </w:rPr>
        <w:t xml:space="preserve"> </w:t>
      </w:r>
      <w:r>
        <w:rPr>
          <w:rFonts w:cs="Arial"/>
          <w:sz w:val="20"/>
          <w:szCs w:val="20"/>
          <w:rtl/>
        </w:rPr>
        <w:t>–</w:t>
      </w:r>
      <w:r>
        <w:rPr>
          <w:rFonts w:cs="Arial" w:hint="cs"/>
          <w:sz w:val="20"/>
          <w:szCs w:val="20"/>
          <w:rtl/>
        </w:rPr>
        <w:t xml:space="preserve"> יש לברך על הטבילה.</w:t>
      </w:r>
      <w:r>
        <w:rPr>
          <w:rFonts w:cs="Arial"/>
          <w:sz w:val="20"/>
          <w:szCs w:val="20"/>
          <w:rtl/>
        </w:rPr>
        <w:br/>
      </w:r>
      <w:r w:rsidRPr="00981BF8">
        <w:rPr>
          <w:rFonts w:cs="Arial" w:hint="cs"/>
          <w:b/>
          <w:bCs/>
          <w:sz w:val="20"/>
          <w:szCs w:val="20"/>
          <w:rtl/>
        </w:rPr>
        <w:t>טעם</w:t>
      </w:r>
      <w:r>
        <w:rPr>
          <w:rFonts w:cs="Arial" w:hint="cs"/>
          <w:sz w:val="20"/>
          <w:szCs w:val="20"/>
          <w:rtl/>
        </w:rPr>
        <w:t xml:space="preserve"> </w:t>
      </w:r>
      <w:r>
        <w:rPr>
          <w:rFonts w:cs="Arial"/>
          <w:sz w:val="20"/>
          <w:szCs w:val="20"/>
          <w:rtl/>
        </w:rPr>
        <w:t>–</w:t>
      </w:r>
      <w:r>
        <w:rPr>
          <w:rFonts w:cs="Arial" w:hint="cs"/>
          <w:sz w:val="20"/>
          <w:szCs w:val="20"/>
          <w:rtl/>
        </w:rPr>
        <w:t xml:space="preserve"> קיי"ל שיש לברך גם על מנהג, ומטעם זה מברכים על קריאת ההלל, וכן על יו"ט ב' של גלויות, על אכילת מרור בזמן הזה ועל הדלקת נר ביו"ט ב' וביום הכיפורים, ולכן יש לברך גם טבילה לדם טוהר.</w:t>
      </w:r>
      <w:r>
        <w:rPr>
          <w:rFonts w:cs="Arial"/>
          <w:sz w:val="20"/>
          <w:szCs w:val="20"/>
          <w:rtl/>
        </w:rPr>
        <w:br/>
      </w:r>
      <w:r>
        <w:rPr>
          <w:rFonts w:cs="Arial" w:hint="cs"/>
          <w:sz w:val="20"/>
          <w:szCs w:val="20"/>
          <w:rtl/>
        </w:rPr>
        <w:t xml:space="preserve">ויש להביא ראיה נוספת </w:t>
      </w:r>
      <w:r>
        <w:rPr>
          <w:rFonts w:cs="Arial"/>
          <w:sz w:val="20"/>
          <w:szCs w:val="20"/>
          <w:rtl/>
        </w:rPr>
        <w:t>–</w:t>
      </w:r>
      <w:r>
        <w:rPr>
          <w:rFonts w:cs="Arial" w:hint="cs"/>
          <w:sz w:val="20"/>
          <w:szCs w:val="20"/>
          <w:rtl/>
        </w:rPr>
        <w:t xml:space="preserve"> בנות ישראל החמירו על עצמן לטבול אפילו על טיפת דם כחרדל, ופירשו תלמידי רבינו יונה שהדם עצמו כמראה החרדל ומדינא טהור אלא שנהגו לטמאו, ולא אישתמיט שום פוסק לומר שטבילה זו היא ללא ברכה, אלא על כרחך שגם על מנהג יש לברך.</w:t>
      </w:r>
      <w:r>
        <w:rPr>
          <w:rFonts w:cs="Arial"/>
          <w:sz w:val="20"/>
          <w:szCs w:val="20"/>
          <w:rtl/>
        </w:rPr>
        <w:br/>
      </w:r>
      <w:r>
        <w:rPr>
          <w:rFonts w:cs="Arial" w:hint="cs"/>
          <w:sz w:val="20"/>
          <w:szCs w:val="20"/>
          <w:rtl/>
        </w:rPr>
        <w:t>ואין להקשות מערבה שאין מברכים עליה, התם הוא מנהג בקום עשה, אך לבעול על דם טוהר הוא מנהג בשב ואל תעשה והעובר עליו עובר על "בל תיטוש תורת אמך" ולכן הטבילה היא מדינא ויש לברך עליה.</w:t>
      </w:r>
      <w:r>
        <w:rPr>
          <w:rFonts w:hint="cs"/>
          <w:b/>
          <w:bCs/>
          <w:sz w:val="20"/>
          <w:szCs w:val="20"/>
          <w:rtl/>
        </w:rPr>
        <w:br/>
      </w:r>
      <w:r>
        <w:rPr>
          <w:b/>
          <w:bCs/>
          <w:sz w:val="20"/>
          <w:szCs w:val="20"/>
          <w:rtl/>
        </w:rPr>
        <w:br/>
      </w:r>
      <w:r>
        <w:rPr>
          <w:rStyle w:val="10"/>
          <w:rtl/>
        </w:rPr>
        <w:br/>
      </w:r>
      <w:r w:rsidRPr="00D261F0">
        <w:rPr>
          <w:rStyle w:val="10"/>
          <w:rFonts w:hint="cs"/>
          <w:rtl/>
        </w:rPr>
        <w:t>ד. מנהג לא לטבול כל ימי טוהר</w:t>
      </w:r>
      <w:r>
        <w:rPr>
          <w:b/>
          <w:bCs/>
          <w:sz w:val="20"/>
          <w:szCs w:val="20"/>
          <w:rtl/>
        </w:rPr>
        <w:br/>
      </w:r>
      <w:r>
        <w:rPr>
          <w:rFonts w:hint="cs"/>
          <w:sz w:val="20"/>
          <w:szCs w:val="20"/>
          <w:rtl/>
        </w:rPr>
        <w:t xml:space="preserve">מוזכר בדברי הראשונים מנהג שלא לטבול כל ימי טוהר, דהיינו כל מ' לזכר ופ' לנקבה, נחלקו הפוסקים מהו טעם המנהג והאם יש לנהוג כך, יבואר מייד בסמוך. </w:t>
      </w:r>
      <w:r>
        <w:rPr>
          <w:sz w:val="20"/>
          <w:szCs w:val="20"/>
          <w:rtl/>
        </w:rPr>
        <w:br/>
      </w:r>
      <w:r>
        <w:rPr>
          <w:sz w:val="20"/>
          <w:szCs w:val="20"/>
          <w:rtl/>
        </w:rPr>
        <w:br/>
      </w:r>
      <w:r>
        <w:rPr>
          <w:rFonts w:hint="cs"/>
          <w:sz w:val="20"/>
          <w:szCs w:val="20"/>
          <w:u w:val="single"/>
          <w:rtl/>
        </w:rPr>
        <w:t>טעם המנהג</w:t>
      </w:r>
      <w:r>
        <w:rPr>
          <w:sz w:val="20"/>
          <w:szCs w:val="20"/>
          <w:u w:val="single"/>
          <w:rtl/>
        </w:rPr>
        <w:br/>
      </w:r>
      <w:r>
        <w:rPr>
          <w:rFonts w:hint="cs"/>
          <w:sz w:val="20"/>
          <w:szCs w:val="20"/>
          <w:rtl/>
        </w:rPr>
        <w:t xml:space="preserve">א. </w:t>
      </w:r>
      <w:r w:rsidRPr="0084285A">
        <w:rPr>
          <w:rFonts w:hint="cs"/>
          <w:b/>
          <w:bCs/>
          <w:sz w:val="20"/>
          <w:szCs w:val="20"/>
          <w:rtl/>
        </w:rPr>
        <w:t>מהרי"ק</w:t>
      </w:r>
      <w:r>
        <w:rPr>
          <w:rFonts w:hint="cs"/>
          <w:sz w:val="20"/>
          <w:szCs w:val="20"/>
          <w:rtl/>
        </w:rPr>
        <w:t xml:space="preserve"> </w:t>
      </w:r>
      <w:r>
        <w:rPr>
          <w:sz w:val="20"/>
          <w:szCs w:val="20"/>
          <w:rtl/>
        </w:rPr>
        <w:t>–</w:t>
      </w:r>
      <w:r>
        <w:rPr>
          <w:rFonts w:hint="cs"/>
          <w:sz w:val="20"/>
          <w:szCs w:val="20"/>
          <w:rtl/>
        </w:rPr>
        <w:t xml:space="preserve"> שמא יבואו להתיר גם יולדת שראתה דם, ואחר כך יבואו להתיר כל אשה שראתה דם.</w:t>
      </w:r>
      <w:r>
        <w:rPr>
          <w:sz w:val="20"/>
          <w:szCs w:val="20"/>
          <w:rtl/>
        </w:rPr>
        <w:br/>
      </w:r>
      <w:r>
        <w:rPr>
          <w:rFonts w:hint="cs"/>
          <w:sz w:val="20"/>
          <w:szCs w:val="20"/>
          <w:rtl/>
        </w:rPr>
        <w:t xml:space="preserve">ב. </w:t>
      </w:r>
      <w:r w:rsidRPr="0084285A">
        <w:rPr>
          <w:rFonts w:hint="cs"/>
          <w:b/>
          <w:bCs/>
          <w:sz w:val="20"/>
          <w:szCs w:val="20"/>
          <w:rtl/>
        </w:rPr>
        <w:t>ריב"ש</w:t>
      </w:r>
      <w:r>
        <w:rPr>
          <w:rFonts w:hint="cs"/>
          <w:sz w:val="20"/>
          <w:szCs w:val="20"/>
          <w:rtl/>
        </w:rPr>
        <w:t xml:space="preserve"> </w:t>
      </w:r>
      <w:r w:rsidRPr="00B06849">
        <w:rPr>
          <w:rFonts w:hint="cs"/>
          <w:sz w:val="18"/>
          <w:szCs w:val="18"/>
          <w:rtl/>
        </w:rPr>
        <w:t>(</w:t>
      </w:r>
      <w:r w:rsidRPr="00B06849">
        <w:rPr>
          <w:rFonts w:hint="cs"/>
          <w:b/>
          <w:bCs/>
          <w:sz w:val="18"/>
          <w:szCs w:val="18"/>
          <w:rtl/>
        </w:rPr>
        <w:t>ולבוש</w:t>
      </w:r>
      <w:r>
        <w:rPr>
          <w:rFonts w:hint="cs"/>
          <w:sz w:val="18"/>
          <w:szCs w:val="18"/>
          <w:rtl/>
        </w:rPr>
        <w:t xml:space="preserve">, </w:t>
      </w:r>
      <w:r w:rsidRPr="00B06849">
        <w:rPr>
          <w:rFonts w:hint="cs"/>
          <w:sz w:val="18"/>
          <w:szCs w:val="18"/>
          <w:rtl/>
        </w:rPr>
        <w:t xml:space="preserve">הו"ד </w:t>
      </w:r>
      <w:r w:rsidRPr="00B06849">
        <w:rPr>
          <w:rFonts w:hint="cs"/>
          <w:b/>
          <w:bCs/>
          <w:sz w:val="18"/>
          <w:szCs w:val="18"/>
          <w:rtl/>
        </w:rPr>
        <w:t>בש"ך</w:t>
      </w:r>
      <w:r w:rsidRPr="00B06849">
        <w:rPr>
          <w:rFonts w:hint="cs"/>
          <w:sz w:val="18"/>
          <w:szCs w:val="18"/>
          <w:rtl/>
        </w:rPr>
        <w:t xml:space="preserve">) </w:t>
      </w:r>
      <w:r>
        <w:rPr>
          <w:sz w:val="20"/>
          <w:szCs w:val="20"/>
          <w:rtl/>
        </w:rPr>
        <w:t>–</w:t>
      </w:r>
      <w:r>
        <w:rPr>
          <w:rFonts w:hint="cs"/>
          <w:sz w:val="20"/>
          <w:szCs w:val="20"/>
          <w:rtl/>
        </w:rPr>
        <w:t xml:space="preserve"> מפני שבימים אלו הדמים מצויים באשה, וחששו שמא תראה דם ולא תרגיש.</w:t>
      </w:r>
      <w:r>
        <w:rPr>
          <w:sz w:val="20"/>
          <w:szCs w:val="20"/>
          <w:rtl/>
        </w:rPr>
        <w:t xml:space="preserve"> </w:t>
      </w:r>
      <w:r>
        <w:rPr>
          <w:sz w:val="20"/>
          <w:szCs w:val="20"/>
          <w:rtl/>
        </w:rPr>
        <w:br/>
      </w:r>
      <w:r>
        <w:rPr>
          <w:rFonts w:cs="Arial" w:hint="cs"/>
          <w:sz w:val="20"/>
          <w:szCs w:val="20"/>
          <w:rtl/>
        </w:rPr>
        <w:t xml:space="preserve">ג. </w:t>
      </w:r>
      <w:r w:rsidRPr="00C84A39">
        <w:rPr>
          <w:rFonts w:cs="Arial" w:hint="cs"/>
          <w:b/>
          <w:bCs/>
          <w:sz w:val="20"/>
          <w:szCs w:val="20"/>
          <w:rtl/>
        </w:rPr>
        <w:t>דרכי משה</w:t>
      </w:r>
      <w:r>
        <w:rPr>
          <w:rFonts w:cs="Arial" w:hint="cs"/>
          <w:sz w:val="20"/>
          <w:szCs w:val="20"/>
          <w:rtl/>
        </w:rPr>
        <w:t xml:space="preserve"> </w:t>
      </w:r>
      <w:r>
        <w:rPr>
          <w:rFonts w:cs="Arial"/>
          <w:sz w:val="20"/>
          <w:szCs w:val="20"/>
          <w:rtl/>
        </w:rPr>
        <w:t>–</w:t>
      </w:r>
      <w:r>
        <w:rPr>
          <w:rFonts w:cs="Arial" w:hint="cs"/>
          <w:sz w:val="20"/>
          <w:szCs w:val="20"/>
          <w:rtl/>
        </w:rPr>
        <w:t xml:space="preserve"> מנהג זה מיוסד ע"פ דברי ר"ת שאין מונים ז"נ בתוך ימי טומאת לידה. </w:t>
      </w:r>
      <w:r>
        <w:rPr>
          <w:rFonts w:cs="Arial"/>
          <w:sz w:val="20"/>
          <w:szCs w:val="20"/>
          <w:rtl/>
        </w:rPr>
        <w:br/>
      </w:r>
      <w:r>
        <w:rPr>
          <w:rFonts w:cs="Arial" w:hint="cs"/>
          <w:sz w:val="20"/>
          <w:szCs w:val="20"/>
          <w:rtl/>
        </w:rPr>
        <w:t>לר"ת יש לטבול ב' טבילות</w:t>
      </w:r>
      <w:r>
        <w:rPr>
          <w:rStyle w:val="a5"/>
          <w:rFonts w:cs="Arial"/>
          <w:sz w:val="20"/>
          <w:szCs w:val="20"/>
          <w:rtl/>
        </w:rPr>
        <w:footnoteReference w:id="414"/>
      </w:r>
      <w:r>
        <w:rPr>
          <w:rFonts w:cs="Arial" w:hint="cs"/>
          <w:sz w:val="20"/>
          <w:szCs w:val="20"/>
          <w:rtl/>
        </w:rPr>
        <w:t>, וכיוון שאין נוהגים לטבול ב' טבילות, החמירו שלא למנות ז"נ עד לאחר ימי טהרה. ואע"פ שלר"ת אין לחלק בין ז"נ תוך ימי טהרה או לאחר ימי טהרה, שהרי עד שתטבול הרי היא בטומאת לידה, מכל מקום החמירו כמותו רק תוך עיקר ימי טומאתה, ואילו לאחר ימי טומאה לא החמירו וסגי בטבילה אחת.</w:t>
      </w:r>
      <w:r>
        <w:rPr>
          <w:sz w:val="20"/>
          <w:szCs w:val="20"/>
          <w:rtl/>
        </w:rPr>
        <w:br/>
      </w:r>
      <w:r>
        <w:rPr>
          <w:rFonts w:hint="cs"/>
          <w:sz w:val="20"/>
          <w:szCs w:val="20"/>
          <w:rtl/>
        </w:rPr>
        <w:t xml:space="preserve">ד. </w:t>
      </w:r>
      <w:r w:rsidRPr="00587212">
        <w:rPr>
          <w:rFonts w:hint="cs"/>
          <w:b/>
          <w:bCs/>
          <w:sz w:val="20"/>
          <w:szCs w:val="20"/>
          <w:rtl/>
        </w:rPr>
        <w:t>אגודה</w:t>
      </w:r>
      <w:r>
        <w:rPr>
          <w:rFonts w:hint="cs"/>
          <w:sz w:val="20"/>
          <w:szCs w:val="20"/>
          <w:rtl/>
        </w:rPr>
        <w:t xml:space="preserve"> </w:t>
      </w:r>
      <w:r w:rsidRPr="00587212">
        <w:rPr>
          <w:rFonts w:hint="cs"/>
          <w:sz w:val="18"/>
          <w:szCs w:val="18"/>
          <w:rtl/>
        </w:rPr>
        <w:t xml:space="preserve">(הו"ד </w:t>
      </w:r>
      <w:r w:rsidRPr="00587212">
        <w:rPr>
          <w:rFonts w:hint="cs"/>
          <w:b/>
          <w:bCs/>
          <w:sz w:val="18"/>
          <w:szCs w:val="18"/>
          <w:rtl/>
        </w:rPr>
        <w:t>בט"ז</w:t>
      </w:r>
      <w:r w:rsidRPr="00587212">
        <w:rPr>
          <w:rFonts w:hint="cs"/>
          <w:sz w:val="18"/>
          <w:szCs w:val="18"/>
          <w:rtl/>
        </w:rPr>
        <w:t>)</w:t>
      </w:r>
      <w:r>
        <w:rPr>
          <w:rFonts w:hint="cs"/>
          <w:sz w:val="20"/>
          <w:szCs w:val="20"/>
          <w:rtl/>
        </w:rPr>
        <w:t xml:space="preserve"> </w:t>
      </w:r>
      <w:r>
        <w:rPr>
          <w:sz w:val="20"/>
          <w:szCs w:val="20"/>
          <w:rtl/>
        </w:rPr>
        <w:t>–</w:t>
      </w:r>
      <w:r>
        <w:rPr>
          <w:rFonts w:hint="cs"/>
          <w:sz w:val="20"/>
          <w:szCs w:val="20"/>
          <w:rtl/>
        </w:rPr>
        <w:t xml:space="preserve"> נהגו לאסור כדי שלא יבואו לשמש ליל מא' / פא', שמדינא צריך לפרוש בו.</w:t>
      </w:r>
      <w:r>
        <w:rPr>
          <w:sz w:val="20"/>
          <w:szCs w:val="20"/>
          <w:rtl/>
        </w:rPr>
        <w:br/>
      </w:r>
      <w:r>
        <w:rPr>
          <w:sz w:val="20"/>
          <w:szCs w:val="20"/>
          <w:rtl/>
        </w:rPr>
        <w:br/>
      </w:r>
      <w:r>
        <w:rPr>
          <w:rFonts w:hint="cs"/>
          <w:sz w:val="20"/>
          <w:szCs w:val="20"/>
          <w:u w:val="single"/>
          <w:rtl/>
        </w:rPr>
        <w:t>דחיית טעמי המנהג</w:t>
      </w:r>
      <w:r>
        <w:rPr>
          <w:sz w:val="20"/>
          <w:szCs w:val="20"/>
          <w:rtl/>
        </w:rPr>
        <w:br/>
      </w:r>
      <w:r w:rsidRPr="00B06849">
        <w:rPr>
          <w:rFonts w:hint="cs"/>
          <w:b/>
          <w:bCs/>
          <w:sz w:val="20"/>
          <w:szCs w:val="20"/>
          <w:rtl/>
        </w:rPr>
        <w:t>הלבוש</w:t>
      </w:r>
      <w:r>
        <w:rPr>
          <w:rFonts w:hint="cs"/>
          <w:sz w:val="20"/>
          <w:szCs w:val="20"/>
          <w:rtl/>
        </w:rPr>
        <w:t xml:space="preserve"> דוחה את טעם </w:t>
      </w:r>
      <w:r w:rsidRPr="00B06849">
        <w:rPr>
          <w:rFonts w:hint="cs"/>
          <w:b/>
          <w:bCs/>
          <w:sz w:val="20"/>
          <w:szCs w:val="20"/>
          <w:rtl/>
        </w:rPr>
        <w:t>הריב"ש</w:t>
      </w:r>
      <w:r>
        <w:rPr>
          <w:rFonts w:hint="cs"/>
          <w:sz w:val="20"/>
          <w:szCs w:val="20"/>
          <w:rtl/>
        </w:rPr>
        <w:t xml:space="preserve"> - </w:t>
      </w:r>
      <w:r>
        <w:rPr>
          <w:sz w:val="20"/>
          <w:szCs w:val="20"/>
          <w:rtl/>
        </w:rPr>
        <w:br/>
      </w:r>
      <w:r>
        <w:rPr>
          <w:rFonts w:hint="cs"/>
          <w:sz w:val="20"/>
          <w:szCs w:val="20"/>
          <w:rtl/>
        </w:rPr>
        <w:t>אין לחוש שמא תראה דם ולא תרגיש, כיוון שמעיקר הדין דם זה טהור ולכן אין להחמיר בו כל כך.</w:t>
      </w:r>
      <w:r>
        <w:rPr>
          <w:rFonts w:hint="cs"/>
          <w:sz w:val="20"/>
          <w:szCs w:val="20"/>
          <w:rtl/>
        </w:rPr>
        <w:br/>
      </w:r>
      <w:r w:rsidRPr="002553F7">
        <w:rPr>
          <w:rFonts w:hint="cs"/>
          <w:b/>
          <w:bCs/>
          <w:sz w:val="20"/>
          <w:szCs w:val="20"/>
          <w:rtl/>
        </w:rPr>
        <w:t>הט"ז</w:t>
      </w:r>
      <w:r>
        <w:rPr>
          <w:rFonts w:hint="cs"/>
          <w:sz w:val="20"/>
          <w:szCs w:val="20"/>
          <w:rtl/>
        </w:rPr>
        <w:t xml:space="preserve"> דוחה את טעם </w:t>
      </w:r>
      <w:r w:rsidRPr="00B06849">
        <w:rPr>
          <w:rFonts w:hint="cs"/>
          <w:b/>
          <w:bCs/>
          <w:sz w:val="20"/>
          <w:szCs w:val="20"/>
          <w:rtl/>
        </w:rPr>
        <w:t>הדרכ"מ והאגודה</w:t>
      </w:r>
      <w:r>
        <w:rPr>
          <w:rFonts w:hint="cs"/>
          <w:sz w:val="20"/>
          <w:szCs w:val="20"/>
          <w:rtl/>
        </w:rPr>
        <w:t xml:space="preserve"> - </w:t>
      </w:r>
      <w:r>
        <w:rPr>
          <w:sz w:val="20"/>
          <w:szCs w:val="20"/>
          <w:rtl/>
        </w:rPr>
        <w:br/>
      </w:r>
      <w:r>
        <w:rPr>
          <w:rFonts w:hint="cs"/>
          <w:sz w:val="20"/>
          <w:szCs w:val="20"/>
          <w:rtl/>
        </w:rPr>
        <w:t xml:space="preserve">טעם </w:t>
      </w:r>
      <w:r w:rsidRPr="002553F7">
        <w:rPr>
          <w:rFonts w:hint="cs"/>
          <w:b/>
          <w:bCs/>
          <w:sz w:val="20"/>
          <w:szCs w:val="20"/>
          <w:rtl/>
        </w:rPr>
        <w:t>הדרכ"מ</w:t>
      </w:r>
      <w:r>
        <w:rPr>
          <w:rFonts w:hint="cs"/>
          <w:sz w:val="20"/>
          <w:szCs w:val="20"/>
          <w:rtl/>
        </w:rPr>
        <w:t xml:space="preserve"> </w:t>
      </w:r>
      <w:r>
        <w:rPr>
          <w:sz w:val="20"/>
          <w:szCs w:val="20"/>
          <w:rtl/>
        </w:rPr>
        <w:t>–</w:t>
      </w:r>
      <w:r>
        <w:rPr>
          <w:rFonts w:hint="cs"/>
          <w:sz w:val="20"/>
          <w:szCs w:val="20"/>
          <w:rtl/>
        </w:rPr>
        <w:t xml:space="preserve"> לא קיי"ל כר"ת הנ"ל. ועוד, גם לר"ת אין זה מתקן כלום שהרי אינה טובלת פעמיים.</w:t>
      </w:r>
      <w:r>
        <w:rPr>
          <w:sz w:val="20"/>
          <w:szCs w:val="20"/>
          <w:rtl/>
        </w:rPr>
        <w:br/>
      </w:r>
      <w:r>
        <w:rPr>
          <w:rFonts w:hint="cs"/>
          <w:sz w:val="20"/>
          <w:szCs w:val="20"/>
          <w:rtl/>
        </w:rPr>
        <w:t xml:space="preserve">טעם </w:t>
      </w:r>
      <w:r w:rsidRPr="002553F7">
        <w:rPr>
          <w:rFonts w:hint="cs"/>
          <w:b/>
          <w:bCs/>
          <w:sz w:val="20"/>
          <w:szCs w:val="20"/>
          <w:rtl/>
        </w:rPr>
        <w:t>האגודה</w:t>
      </w:r>
      <w:r>
        <w:rPr>
          <w:rFonts w:hint="cs"/>
          <w:sz w:val="20"/>
          <w:szCs w:val="20"/>
          <w:rtl/>
        </w:rPr>
        <w:t xml:space="preserve"> </w:t>
      </w:r>
      <w:r>
        <w:rPr>
          <w:sz w:val="20"/>
          <w:szCs w:val="20"/>
          <w:rtl/>
        </w:rPr>
        <w:t>–</w:t>
      </w:r>
      <w:r>
        <w:rPr>
          <w:rFonts w:hint="cs"/>
          <w:sz w:val="20"/>
          <w:szCs w:val="20"/>
          <w:rtl/>
        </w:rPr>
        <w:t xml:space="preserve"> קיי"ל שמותר לשמש בליל מא' / פא', כאמור לעיל, ולכן אין מקום למנהג זה.</w:t>
      </w:r>
      <w:r>
        <w:rPr>
          <w:rFonts w:hint="cs"/>
          <w:sz w:val="20"/>
          <w:szCs w:val="20"/>
          <w:rtl/>
        </w:rPr>
        <w:br/>
      </w:r>
      <w:r>
        <w:rPr>
          <w:sz w:val="20"/>
          <w:szCs w:val="20"/>
          <w:rtl/>
        </w:rPr>
        <w:br/>
      </w:r>
      <w:r>
        <w:rPr>
          <w:rFonts w:hint="cs"/>
          <w:sz w:val="20"/>
          <w:szCs w:val="20"/>
          <w:u w:val="single"/>
          <w:rtl/>
        </w:rPr>
        <w:t>היחס למנהג זה</w:t>
      </w:r>
      <w:r>
        <w:rPr>
          <w:sz w:val="20"/>
          <w:szCs w:val="20"/>
          <w:rtl/>
        </w:rPr>
        <w:br/>
      </w:r>
      <w:r>
        <w:rPr>
          <w:rFonts w:hint="cs"/>
          <w:sz w:val="20"/>
          <w:szCs w:val="20"/>
          <w:rtl/>
        </w:rPr>
        <w:t xml:space="preserve">א. </w:t>
      </w:r>
      <w:r w:rsidRPr="00B13754">
        <w:rPr>
          <w:rFonts w:hint="cs"/>
          <w:b/>
          <w:bCs/>
          <w:sz w:val="20"/>
          <w:szCs w:val="20"/>
          <w:rtl/>
        </w:rPr>
        <w:t xml:space="preserve">רמב"ם </w:t>
      </w:r>
      <w:r>
        <w:rPr>
          <w:sz w:val="20"/>
          <w:szCs w:val="20"/>
          <w:rtl/>
        </w:rPr>
        <w:t>–</w:t>
      </w:r>
      <w:r>
        <w:rPr>
          <w:rFonts w:hint="cs"/>
          <w:sz w:val="20"/>
          <w:szCs w:val="20"/>
          <w:rtl/>
        </w:rPr>
        <w:t xml:space="preserve"> "</w:t>
      </w:r>
      <w:r w:rsidRPr="00B13754">
        <w:rPr>
          <w:rFonts w:cs="Arial" w:hint="cs"/>
          <w:sz w:val="20"/>
          <w:szCs w:val="20"/>
          <w:rtl/>
        </w:rPr>
        <w:t>זה</w:t>
      </w:r>
      <w:r w:rsidRPr="00B13754">
        <w:rPr>
          <w:rFonts w:cs="Arial"/>
          <w:sz w:val="20"/>
          <w:szCs w:val="20"/>
          <w:rtl/>
        </w:rPr>
        <w:t xml:space="preserve"> </w:t>
      </w:r>
      <w:r w:rsidRPr="00B13754">
        <w:rPr>
          <w:rFonts w:cs="Arial" w:hint="cs"/>
          <w:sz w:val="20"/>
          <w:szCs w:val="20"/>
          <w:rtl/>
        </w:rPr>
        <w:t>שתמצא</w:t>
      </w:r>
      <w:r w:rsidRPr="00B13754">
        <w:rPr>
          <w:rFonts w:cs="Arial"/>
          <w:sz w:val="20"/>
          <w:szCs w:val="20"/>
          <w:rtl/>
        </w:rPr>
        <w:t xml:space="preserve"> </w:t>
      </w:r>
      <w:r w:rsidRPr="00B13754">
        <w:rPr>
          <w:rFonts w:cs="Arial" w:hint="cs"/>
          <w:sz w:val="20"/>
          <w:szCs w:val="20"/>
          <w:rtl/>
        </w:rPr>
        <w:t>במקצת</w:t>
      </w:r>
      <w:r w:rsidRPr="00B13754">
        <w:rPr>
          <w:rFonts w:cs="Arial"/>
          <w:sz w:val="20"/>
          <w:szCs w:val="20"/>
          <w:rtl/>
        </w:rPr>
        <w:t xml:space="preserve"> </w:t>
      </w:r>
      <w:r w:rsidRPr="00B13754">
        <w:rPr>
          <w:rFonts w:cs="Arial" w:hint="cs"/>
          <w:sz w:val="20"/>
          <w:szCs w:val="20"/>
          <w:rtl/>
        </w:rPr>
        <w:t>מקומות</w:t>
      </w:r>
      <w:r w:rsidRPr="00B13754">
        <w:rPr>
          <w:rFonts w:cs="Arial"/>
          <w:sz w:val="20"/>
          <w:szCs w:val="20"/>
          <w:rtl/>
        </w:rPr>
        <w:t xml:space="preserve"> </w:t>
      </w:r>
      <w:r w:rsidRPr="00B13754">
        <w:rPr>
          <w:rFonts w:cs="Arial" w:hint="cs"/>
          <w:sz w:val="20"/>
          <w:szCs w:val="20"/>
          <w:rtl/>
        </w:rPr>
        <w:t>ותמצא</w:t>
      </w:r>
      <w:r w:rsidRPr="00B13754">
        <w:rPr>
          <w:rFonts w:cs="Arial"/>
          <w:sz w:val="20"/>
          <w:szCs w:val="20"/>
          <w:rtl/>
        </w:rPr>
        <w:t xml:space="preserve"> </w:t>
      </w:r>
      <w:r w:rsidRPr="00B13754">
        <w:rPr>
          <w:rFonts w:cs="Arial" w:hint="cs"/>
          <w:sz w:val="20"/>
          <w:szCs w:val="20"/>
          <w:rtl/>
        </w:rPr>
        <w:t>תשובות</w:t>
      </w:r>
      <w:r w:rsidRPr="00B13754">
        <w:rPr>
          <w:rFonts w:cs="Arial"/>
          <w:sz w:val="20"/>
          <w:szCs w:val="20"/>
          <w:rtl/>
        </w:rPr>
        <w:t xml:space="preserve"> </w:t>
      </w:r>
      <w:r w:rsidRPr="00B13754">
        <w:rPr>
          <w:rFonts w:cs="Arial" w:hint="cs"/>
          <w:sz w:val="20"/>
          <w:szCs w:val="20"/>
          <w:rtl/>
        </w:rPr>
        <w:t>למקצת</w:t>
      </w:r>
      <w:r w:rsidRPr="00B13754">
        <w:rPr>
          <w:rFonts w:cs="Arial"/>
          <w:sz w:val="20"/>
          <w:szCs w:val="20"/>
          <w:rtl/>
        </w:rPr>
        <w:t xml:space="preserve"> </w:t>
      </w:r>
      <w:r w:rsidRPr="00B13754">
        <w:rPr>
          <w:rFonts w:cs="Arial" w:hint="cs"/>
          <w:sz w:val="20"/>
          <w:szCs w:val="20"/>
          <w:rtl/>
        </w:rPr>
        <w:t>הגאונים</w:t>
      </w:r>
      <w:r w:rsidRPr="00B13754">
        <w:rPr>
          <w:rFonts w:cs="Arial"/>
          <w:sz w:val="20"/>
          <w:szCs w:val="20"/>
          <w:rtl/>
        </w:rPr>
        <w:t xml:space="preserve"> </w:t>
      </w:r>
      <w:r w:rsidRPr="00B13754">
        <w:rPr>
          <w:rFonts w:cs="Arial" w:hint="cs"/>
          <w:sz w:val="20"/>
          <w:szCs w:val="20"/>
          <w:rtl/>
        </w:rPr>
        <w:t>שיולדת</w:t>
      </w:r>
      <w:r w:rsidRPr="00B13754">
        <w:rPr>
          <w:rFonts w:cs="Arial"/>
          <w:sz w:val="20"/>
          <w:szCs w:val="20"/>
          <w:rtl/>
        </w:rPr>
        <w:t xml:space="preserve"> </w:t>
      </w:r>
      <w:r w:rsidRPr="00B13754">
        <w:rPr>
          <w:rFonts w:cs="Arial" w:hint="cs"/>
          <w:sz w:val="20"/>
          <w:szCs w:val="20"/>
          <w:rtl/>
        </w:rPr>
        <w:t>זכר</w:t>
      </w:r>
      <w:r w:rsidRPr="00B13754">
        <w:rPr>
          <w:rFonts w:cs="Arial"/>
          <w:sz w:val="20"/>
          <w:szCs w:val="20"/>
          <w:rtl/>
        </w:rPr>
        <w:t xml:space="preserve"> </w:t>
      </w:r>
      <w:r w:rsidRPr="00B13754">
        <w:rPr>
          <w:rFonts w:cs="Arial" w:hint="cs"/>
          <w:sz w:val="20"/>
          <w:szCs w:val="20"/>
          <w:rtl/>
        </w:rPr>
        <w:t>לא</w:t>
      </w:r>
      <w:r w:rsidRPr="00B13754">
        <w:rPr>
          <w:rFonts w:cs="Arial"/>
          <w:sz w:val="20"/>
          <w:szCs w:val="20"/>
          <w:rtl/>
        </w:rPr>
        <w:t xml:space="preserve"> </w:t>
      </w:r>
      <w:r w:rsidRPr="00B13754">
        <w:rPr>
          <w:rFonts w:cs="Arial" w:hint="cs"/>
          <w:sz w:val="20"/>
          <w:szCs w:val="20"/>
          <w:rtl/>
        </w:rPr>
        <w:t>תשמש</w:t>
      </w:r>
      <w:r w:rsidRPr="00B13754">
        <w:rPr>
          <w:rFonts w:cs="Arial"/>
          <w:sz w:val="20"/>
          <w:szCs w:val="20"/>
          <w:rtl/>
        </w:rPr>
        <w:t xml:space="preserve"> </w:t>
      </w:r>
      <w:r w:rsidRPr="00B13754">
        <w:rPr>
          <w:rFonts w:cs="Arial" w:hint="cs"/>
          <w:sz w:val="20"/>
          <w:szCs w:val="20"/>
          <w:rtl/>
        </w:rPr>
        <w:t>מטתה</w:t>
      </w:r>
      <w:r w:rsidRPr="00B13754">
        <w:rPr>
          <w:rFonts w:cs="Arial"/>
          <w:sz w:val="20"/>
          <w:szCs w:val="20"/>
          <w:rtl/>
        </w:rPr>
        <w:t xml:space="preserve"> </w:t>
      </w:r>
      <w:r w:rsidRPr="00B13754">
        <w:rPr>
          <w:rFonts w:cs="Arial" w:hint="cs"/>
          <w:sz w:val="20"/>
          <w:szCs w:val="20"/>
          <w:rtl/>
        </w:rPr>
        <w:t>עד</w:t>
      </w:r>
      <w:r w:rsidRPr="00B13754">
        <w:rPr>
          <w:rFonts w:cs="Arial"/>
          <w:sz w:val="20"/>
          <w:szCs w:val="20"/>
          <w:rtl/>
        </w:rPr>
        <w:t xml:space="preserve"> </w:t>
      </w:r>
      <w:r w:rsidRPr="00B13754">
        <w:rPr>
          <w:rFonts w:cs="Arial" w:hint="cs"/>
          <w:sz w:val="20"/>
          <w:szCs w:val="20"/>
          <w:rtl/>
        </w:rPr>
        <w:t>סוף</w:t>
      </w:r>
      <w:r w:rsidRPr="00B13754">
        <w:rPr>
          <w:rFonts w:cs="Arial"/>
          <w:sz w:val="20"/>
          <w:szCs w:val="20"/>
          <w:rtl/>
        </w:rPr>
        <w:t xml:space="preserve"> </w:t>
      </w:r>
      <w:r w:rsidRPr="00B13754">
        <w:rPr>
          <w:rFonts w:cs="Arial" w:hint="cs"/>
          <w:sz w:val="20"/>
          <w:szCs w:val="20"/>
          <w:rtl/>
        </w:rPr>
        <w:t>ארבעים</w:t>
      </w:r>
      <w:r w:rsidRPr="00B13754">
        <w:rPr>
          <w:rFonts w:cs="Arial"/>
          <w:sz w:val="20"/>
          <w:szCs w:val="20"/>
          <w:rtl/>
        </w:rPr>
        <w:t xml:space="preserve">, </w:t>
      </w:r>
      <w:r w:rsidRPr="00B13754">
        <w:rPr>
          <w:rFonts w:cs="Arial" w:hint="cs"/>
          <w:sz w:val="20"/>
          <w:szCs w:val="20"/>
          <w:rtl/>
        </w:rPr>
        <w:t>ויולדת</w:t>
      </w:r>
      <w:r w:rsidRPr="00B13754">
        <w:rPr>
          <w:rFonts w:cs="Arial"/>
          <w:sz w:val="20"/>
          <w:szCs w:val="20"/>
          <w:rtl/>
        </w:rPr>
        <w:t xml:space="preserve"> </w:t>
      </w:r>
      <w:r w:rsidRPr="00B13754">
        <w:rPr>
          <w:rFonts w:cs="Arial" w:hint="cs"/>
          <w:sz w:val="20"/>
          <w:szCs w:val="20"/>
          <w:rtl/>
        </w:rPr>
        <w:t>נקבה</w:t>
      </w:r>
      <w:r w:rsidRPr="00B13754">
        <w:rPr>
          <w:rFonts w:cs="Arial"/>
          <w:sz w:val="20"/>
          <w:szCs w:val="20"/>
          <w:rtl/>
        </w:rPr>
        <w:t xml:space="preserve"> </w:t>
      </w:r>
      <w:r w:rsidRPr="00B13754">
        <w:rPr>
          <w:rFonts w:cs="Arial" w:hint="cs"/>
          <w:sz w:val="20"/>
          <w:szCs w:val="20"/>
          <w:rtl/>
        </w:rPr>
        <w:t>אחר</w:t>
      </w:r>
      <w:r w:rsidRPr="00B13754">
        <w:rPr>
          <w:rFonts w:cs="Arial"/>
          <w:sz w:val="20"/>
          <w:szCs w:val="20"/>
          <w:rtl/>
        </w:rPr>
        <w:t xml:space="preserve"> </w:t>
      </w:r>
      <w:r w:rsidRPr="00B13754">
        <w:rPr>
          <w:rFonts w:cs="Arial" w:hint="cs"/>
          <w:sz w:val="20"/>
          <w:szCs w:val="20"/>
          <w:rtl/>
        </w:rPr>
        <w:t>שמונים</w:t>
      </w:r>
      <w:r w:rsidRPr="00B13754">
        <w:rPr>
          <w:rFonts w:cs="Arial"/>
          <w:sz w:val="20"/>
          <w:szCs w:val="20"/>
          <w:rtl/>
        </w:rPr>
        <w:t xml:space="preserve">, </w:t>
      </w:r>
      <w:r w:rsidRPr="00B13754">
        <w:rPr>
          <w:rFonts w:cs="Arial" w:hint="cs"/>
          <w:sz w:val="20"/>
          <w:szCs w:val="20"/>
          <w:rtl/>
        </w:rPr>
        <w:t>ואף</w:t>
      </w:r>
      <w:r w:rsidRPr="00B13754">
        <w:rPr>
          <w:rFonts w:cs="Arial"/>
          <w:sz w:val="20"/>
          <w:szCs w:val="20"/>
          <w:rtl/>
        </w:rPr>
        <w:t xml:space="preserve"> </w:t>
      </w:r>
      <w:r w:rsidRPr="00B13754">
        <w:rPr>
          <w:rFonts w:cs="Arial" w:hint="cs"/>
          <w:sz w:val="20"/>
          <w:szCs w:val="20"/>
          <w:rtl/>
        </w:rPr>
        <w:t>על</w:t>
      </w:r>
      <w:r w:rsidRPr="00B13754">
        <w:rPr>
          <w:rFonts w:cs="Arial"/>
          <w:sz w:val="20"/>
          <w:szCs w:val="20"/>
          <w:rtl/>
        </w:rPr>
        <w:t xml:space="preserve"> </w:t>
      </w:r>
      <w:r w:rsidRPr="00B13754">
        <w:rPr>
          <w:rFonts w:cs="Arial" w:hint="cs"/>
          <w:sz w:val="20"/>
          <w:szCs w:val="20"/>
          <w:rtl/>
        </w:rPr>
        <w:t>פי</w:t>
      </w:r>
      <w:r w:rsidRPr="00B13754">
        <w:rPr>
          <w:rFonts w:cs="Arial"/>
          <w:sz w:val="20"/>
          <w:szCs w:val="20"/>
          <w:rtl/>
        </w:rPr>
        <w:t xml:space="preserve"> </w:t>
      </w:r>
      <w:r w:rsidRPr="00B13754">
        <w:rPr>
          <w:rFonts w:cs="Arial" w:hint="cs"/>
          <w:sz w:val="20"/>
          <w:szCs w:val="20"/>
          <w:rtl/>
        </w:rPr>
        <w:t>שלא</w:t>
      </w:r>
      <w:r w:rsidRPr="00B13754">
        <w:rPr>
          <w:rFonts w:cs="Arial"/>
          <w:sz w:val="20"/>
          <w:szCs w:val="20"/>
          <w:rtl/>
        </w:rPr>
        <w:t xml:space="preserve"> </w:t>
      </w:r>
      <w:r w:rsidRPr="00B13754">
        <w:rPr>
          <w:rFonts w:cs="Arial" w:hint="cs"/>
          <w:sz w:val="20"/>
          <w:szCs w:val="20"/>
          <w:rtl/>
        </w:rPr>
        <w:t>ראתה</w:t>
      </w:r>
      <w:r w:rsidRPr="00B13754">
        <w:rPr>
          <w:rFonts w:cs="Arial"/>
          <w:sz w:val="20"/>
          <w:szCs w:val="20"/>
          <w:rtl/>
        </w:rPr>
        <w:t xml:space="preserve"> </w:t>
      </w:r>
      <w:r w:rsidRPr="00B13754">
        <w:rPr>
          <w:rFonts w:cs="Arial" w:hint="cs"/>
          <w:sz w:val="20"/>
          <w:szCs w:val="20"/>
          <w:rtl/>
        </w:rPr>
        <w:t>דם</w:t>
      </w:r>
      <w:r w:rsidRPr="00B13754">
        <w:rPr>
          <w:rFonts w:cs="Arial"/>
          <w:sz w:val="20"/>
          <w:szCs w:val="20"/>
          <w:rtl/>
        </w:rPr>
        <w:t xml:space="preserve"> </w:t>
      </w:r>
      <w:r w:rsidRPr="00B13754">
        <w:rPr>
          <w:rFonts w:cs="Arial" w:hint="cs"/>
          <w:sz w:val="20"/>
          <w:szCs w:val="20"/>
          <w:rtl/>
        </w:rPr>
        <w:t>אלא</w:t>
      </w:r>
      <w:r w:rsidRPr="00B13754">
        <w:rPr>
          <w:rFonts w:cs="Arial"/>
          <w:sz w:val="20"/>
          <w:szCs w:val="20"/>
          <w:rtl/>
        </w:rPr>
        <w:t xml:space="preserve"> </w:t>
      </w:r>
      <w:r w:rsidRPr="00B13754">
        <w:rPr>
          <w:rFonts w:cs="Arial" w:hint="cs"/>
          <w:sz w:val="20"/>
          <w:szCs w:val="20"/>
          <w:rtl/>
        </w:rPr>
        <w:t>בתוך</w:t>
      </w:r>
      <w:r w:rsidRPr="00B13754">
        <w:rPr>
          <w:rFonts w:cs="Arial"/>
          <w:sz w:val="20"/>
          <w:szCs w:val="20"/>
          <w:rtl/>
        </w:rPr>
        <w:t xml:space="preserve"> </w:t>
      </w:r>
      <w:r w:rsidRPr="00B13754">
        <w:rPr>
          <w:rFonts w:cs="Arial" w:hint="cs"/>
          <w:sz w:val="20"/>
          <w:szCs w:val="20"/>
          <w:rtl/>
        </w:rPr>
        <w:t>השבעה</w:t>
      </w:r>
      <w:r w:rsidRPr="00B13754">
        <w:rPr>
          <w:rFonts w:cs="Arial"/>
          <w:sz w:val="20"/>
          <w:szCs w:val="20"/>
          <w:rtl/>
        </w:rPr>
        <w:t xml:space="preserve">, </w:t>
      </w:r>
      <w:r w:rsidRPr="00B13754">
        <w:rPr>
          <w:rFonts w:cs="Arial" w:hint="cs"/>
          <w:sz w:val="20"/>
          <w:szCs w:val="20"/>
          <w:u w:val="single"/>
          <w:rtl/>
        </w:rPr>
        <w:t>אין</w:t>
      </w:r>
      <w:r w:rsidRPr="00B13754">
        <w:rPr>
          <w:rFonts w:cs="Arial"/>
          <w:sz w:val="20"/>
          <w:szCs w:val="20"/>
          <w:u w:val="single"/>
          <w:rtl/>
        </w:rPr>
        <w:t xml:space="preserve"> </w:t>
      </w:r>
      <w:r w:rsidRPr="00B13754">
        <w:rPr>
          <w:rFonts w:cs="Arial" w:hint="cs"/>
          <w:sz w:val="20"/>
          <w:szCs w:val="20"/>
          <w:u w:val="single"/>
          <w:rtl/>
        </w:rPr>
        <w:t>זה</w:t>
      </w:r>
      <w:r w:rsidRPr="00B13754">
        <w:rPr>
          <w:rFonts w:cs="Arial"/>
          <w:sz w:val="20"/>
          <w:szCs w:val="20"/>
          <w:u w:val="single"/>
          <w:rtl/>
        </w:rPr>
        <w:t xml:space="preserve"> </w:t>
      </w:r>
      <w:r w:rsidRPr="00B13754">
        <w:rPr>
          <w:rFonts w:cs="Arial" w:hint="cs"/>
          <w:sz w:val="20"/>
          <w:szCs w:val="20"/>
          <w:u w:val="single"/>
          <w:rtl/>
        </w:rPr>
        <w:t>מנהג</w:t>
      </w:r>
      <w:r w:rsidRPr="00B13754">
        <w:rPr>
          <w:rFonts w:cs="Arial"/>
          <w:sz w:val="20"/>
          <w:szCs w:val="20"/>
          <w:u w:val="single"/>
          <w:rtl/>
        </w:rPr>
        <w:t xml:space="preserve"> </w:t>
      </w:r>
      <w:r w:rsidRPr="00B13754">
        <w:rPr>
          <w:rFonts w:cs="Arial" w:hint="cs"/>
          <w:sz w:val="20"/>
          <w:szCs w:val="20"/>
          <w:u w:val="single"/>
          <w:rtl/>
        </w:rPr>
        <w:t>אלא</w:t>
      </w:r>
      <w:r w:rsidRPr="00B13754">
        <w:rPr>
          <w:rFonts w:cs="Arial"/>
          <w:sz w:val="20"/>
          <w:szCs w:val="20"/>
          <w:u w:val="single"/>
          <w:rtl/>
        </w:rPr>
        <w:t xml:space="preserve"> </w:t>
      </w:r>
      <w:r w:rsidRPr="00B13754">
        <w:rPr>
          <w:rFonts w:cs="Arial" w:hint="cs"/>
          <w:sz w:val="20"/>
          <w:szCs w:val="20"/>
          <w:u w:val="single"/>
          <w:rtl/>
        </w:rPr>
        <w:t>טעות</w:t>
      </w:r>
      <w:r w:rsidRPr="00B13754">
        <w:rPr>
          <w:rFonts w:cs="Arial"/>
          <w:sz w:val="20"/>
          <w:szCs w:val="20"/>
          <w:u w:val="single"/>
          <w:rtl/>
        </w:rPr>
        <w:t xml:space="preserve"> </w:t>
      </w:r>
      <w:r w:rsidRPr="00B13754">
        <w:rPr>
          <w:rFonts w:cs="Arial" w:hint="cs"/>
          <w:sz w:val="20"/>
          <w:szCs w:val="20"/>
          <w:u w:val="single"/>
          <w:rtl/>
        </w:rPr>
        <w:t>הוא</w:t>
      </w:r>
      <w:r w:rsidRPr="00B13754">
        <w:rPr>
          <w:rFonts w:cs="Arial"/>
          <w:sz w:val="20"/>
          <w:szCs w:val="20"/>
          <w:u w:val="single"/>
          <w:rtl/>
        </w:rPr>
        <w:t xml:space="preserve"> </w:t>
      </w:r>
      <w:r w:rsidRPr="00B13754">
        <w:rPr>
          <w:rFonts w:cs="Arial" w:hint="cs"/>
          <w:sz w:val="20"/>
          <w:szCs w:val="20"/>
          <w:u w:val="single"/>
          <w:rtl/>
        </w:rPr>
        <w:t>באותן</w:t>
      </w:r>
      <w:r w:rsidRPr="00B13754">
        <w:rPr>
          <w:rFonts w:cs="Arial"/>
          <w:sz w:val="20"/>
          <w:szCs w:val="20"/>
          <w:u w:val="single"/>
          <w:rtl/>
        </w:rPr>
        <w:t xml:space="preserve"> </w:t>
      </w:r>
      <w:r w:rsidRPr="00B13754">
        <w:rPr>
          <w:rFonts w:cs="Arial" w:hint="cs"/>
          <w:sz w:val="20"/>
          <w:szCs w:val="20"/>
          <w:u w:val="single"/>
          <w:rtl/>
        </w:rPr>
        <w:t>התשובות</w:t>
      </w:r>
      <w:r w:rsidRPr="00B13754">
        <w:rPr>
          <w:rFonts w:cs="Arial"/>
          <w:sz w:val="20"/>
          <w:szCs w:val="20"/>
          <w:u w:val="single"/>
          <w:rtl/>
        </w:rPr>
        <w:t xml:space="preserve"> </w:t>
      </w:r>
      <w:r w:rsidRPr="00B13754">
        <w:rPr>
          <w:rFonts w:cs="Arial" w:hint="cs"/>
          <w:sz w:val="20"/>
          <w:szCs w:val="20"/>
          <w:u w:val="single"/>
          <w:rtl/>
        </w:rPr>
        <w:t>ודרך</w:t>
      </w:r>
      <w:r w:rsidRPr="00B13754">
        <w:rPr>
          <w:rFonts w:cs="Arial"/>
          <w:sz w:val="20"/>
          <w:szCs w:val="20"/>
          <w:u w:val="single"/>
          <w:rtl/>
        </w:rPr>
        <w:t xml:space="preserve"> </w:t>
      </w:r>
      <w:r w:rsidRPr="00B13754">
        <w:rPr>
          <w:rFonts w:cs="Arial" w:hint="cs"/>
          <w:sz w:val="20"/>
          <w:szCs w:val="20"/>
          <w:u w:val="single"/>
          <w:rtl/>
        </w:rPr>
        <w:t>אפיקורוסות</w:t>
      </w:r>
      <w:r w:rsidRPr="00B13754">
        <w:rPr>
          <w:rFonts w:cs="Arial"/>
          <w:sz w:val="20"/>
          <w:szCs w:val="20"/>
          <w:u w:val="single"/>
          <w:rtl/>
        </w:rPr>
        <w:t xml:space="preserve"> </w:t>
      </w:r>
      <w:r w:rsidRPr="00B13754">
        <w:rPr>
          <w:rFonts w:cs="Arial" w:hint="cs"/>
          <w:sz w:val="20"/>
          <w:szCs w:val="20"/>
          <w:u w:val="single"/>
          <w:rtl/>
        </w:rPr>
        <w:t>באותן</w:t>
      </w:r>
      <w:r w:rsidRPr="00B13754">
        <w:rPr>
          <w:rFonts w:cs="Arial"/>
          <w:sz w:val="20"/>
          <w:szCs w:val="20"/>
          <w:u w:val="single"/>
          <w:rtl/>
        </w:rPr>
        <w:t xml:space="preserve"> </w:t>
      </w:r>
      <w:r w:rsidRPr="00B13754">
        <w:rPr>
          <w:rFonts w:cs="Arial" w:hint="cs"/>
          <w:sz w:val="20"/>
          <w:szCs w:val="20"/>
          <w:u w:val="single"/>
          <w:rtl/>
        </w:rPr>
        <w:t>המקומות</w:t>
      </w:r>
      <w:r w:rsidRPr="00B13754">
        <w:rPr>
          <w:rFonts w:cs="Arial"/>
          <w:sz w:val="20"/>
          <w:szCs w:val="20"/>
          <w:u w:val="single"/>
          <w:rtl/>
        </w:rPr>
        <w:t xml:space="preserve"> </w:t>
      </w:r>
      <w:r w:rsidRPr="00B13754">
        <w:rPr>
          <w:rFonts w:cs="Arial" w:hint="cs"/>
          <w:sz w:val="20"/>
          <w:szCs w:val="20"/>
          <w:u w:val="single"/>
          <w:rtl/>
        </w:rPr>
        <w:t>ומן</w:t>
      </w:r>
      <w:r w:rsidRPr="00B13754">
        <w:rPr>
          <w:rFonts w:cs="Arial"/>
          <w:sz w:val="20"/>
          <w:szCs w:val="20"/>
          <w:u w:val="single"/>
          <w:rtl/>
        </w:rPr>
        <w:t xml:space="preserve"> </w:t>
      </w:r>
      <w:r w:rsidRPr="00B13754">
        <w:rPr>
          <w:rFonts w:cs="Arial" w:hint="cs"/>
          <w:sz w:val="20"/>
          <w:szCs w:val="20"/>
          <w:u w:val="single"/>
          <w:rtl/>
        </w:rPr>
        <w:t>הצדוקין</w:t>
      </w:r>
      <w:r w:rsidRPr="00B13754">
        <w:rPr>
          <w:rFonts w:cs="Arial"/>
          <w:sz w:val="20"/>
          <w:szCs w:val="20"/>
          <w:u w:val="single"/>
          <w:rtl/>
        </w:rPr>
        <w:t xml:space="preserve"> </w:t>
      </w:r>
      <w:r w:rsidRPr="00B13754">
        <w:rPr>
          <w:rFonts w:cs="Arial" w:hint="cs"/>
          <w:sz w:val="20"/>
          <w:szCs w:val="20"/>
          <w:u w:val="single"/>
          <w:rtl/>
        </w:rPr>
        <w:t>למדו</w:t>
      </w:r>
      <w:r w:rsidRPr="00B13754">
        <w:rPr>
          <w:rFonts w:cs="Arial"/>
          <w:sz w:val="20"/>
          <w:szCs w:val="20"/>
          <w:u w:val="single"/>
          <w:rtl/>
        </w:rPr>
        <w:t xml:space="preserve"> </w:t>
      </w:r>
      <w:r w:rsidRPr="00B13754">
        <w:rPr>
          <w:rFonts w:cs="Arial" w:hint="cs"/>
          <w:sz w:val="20"/>
          <w:szCs w:val="20"/>
          <w:u w:val="single"/>
          <w:rtl/>
        </w:rPr>
        <w:t>דבר</w:t>
      </w:r>
      <w:r w:rsidRPr="00B13754">
        <w:rPr>
          <w:rFonts w:cs="Arial"/>
          <w:sz w:val="20"/>
          <w:szCs w:val="20"/>
          <w:u w:val="single"/>
          <w:rtl/>
        </w:rPr>
        <w:t xml:space="preserve"> </w:t>
      </w:r>
      <w:r w:rsidRPr="00B13754">
        <w:rPr>
          <w:rFonts w:cs="Arial" w:hint="cs"/>
          <w:sz w:val="20"/>
          <w:szCs w:val="20"/>
          <w:u w:val="single"/>
          <w:rtl/>
        </w:rPr>
        <w:t>זה</w:t>
      </w:r>
      <w:r w:rsidRPr="00B13754">
        <w:rPr>
          <w:rFonts w:cs="Arial"/>
          <w:sz w:val="20"/>
          <w:szCs w:val="20"/>
          <w:u w:val="single"/>
          <w:rtl/>
        </w:rPr>
        <w:t xml:space="preserve">, </w:t>
      </w:r>
      <w:r w:rsidRPr="00B13754">
        <w:rPr>
          <w:rFonts w:cs="Arial" w:hint="cs"/>
          <w:sz w:val="20"/>
          <w:szCs w:val="20"/>
          <w:u w:val="single"/>
          <w:rtl/>
        </w:rPr>
        <w:t>ומצוה</w:t>
      </w:r>
      <w:r w:rsidRPr="00B13754">
        <w:rPr>
          <w:rFonts w:cs="Arial"/>
          <w:sz w:val="20"/>
          <w:szCs w:val="20"/>
          <w:u w:val="single"/>
          <w:rtl/>
        </w:rPr>
        <w:t xml:space="preserve"> </w:t>
      </w:r>
      <w:r w:rsidRPr="00B13754">
        <w:rPr>
          <w:rFonts w:cs="Arial" w:hint="cs"/>
          <w:sz w:val="20"/>
          <w:szCs w:val="20"/>
          <w:u w:val="single"/>
          <w:rtl/>
        </w:rPr>
        <w:t>לכופן</w:t>
      </w:r>
      <w:r w:rsidRPr="00B13754">
        <w:rPr>
          <w:rFonts w:cs="Arial"/>
          <w:sz w:val="20"/>
          <w:szCs w:val="20"/>
          <w:u w:val="single"/>
          <w:rtl/>
        </w:rPr>
        <w:t xml:space="preserve"> </w:t>
      </w:r>
      <w:r w:rsidRPr="00B13754">
        <w:rPr>
          <w:rFonts w:cs="Arial" w:hint="cs"/>
          <w:sz w:val="20"/>
          <w:szCs w:val="20"/>
          <w:u w:val="single"/>
          <w:rtl/>
        </w:rPr>
        <w:t>כדי</w:t>
      </w:r>
      <w:r w:rsidRPr="00B13754">
        <w:rPr>
          <w:rFonts w:cs="Arial"/>
          <w:sz w:val="20"/>
          <w:szCs w:val="20"/>
          <w:u w:val="single"/>
          <w:rtl/>
        </w:rPr>
        <w:t xml:space="preserve"> </w:t>
      </w:r>
      <w:r w:rsidRPr="00B13754">
        <w:rPr>
          <w:rFonts w:cs="Arial" w:hint="cs"/>
          <w:sz w:val="20"/>
          <w:szCs w:val="20"/>
          <w:u w:val="single"/>
          <w:rtl/>
        </w:rPr>
        <w:lastRenderedPageBreak/>
        <w:t>להוציא</w:t>
      </w:r>
      <w:r w:rsidRPr="00B13754">
        <w:rPr>
          <w:rFonts w:cs="Arial"/>
          <w:sz w:val="20"/>
          <w:szCs w:val="20"/>
          <w:u w:val="single"/>
          <w:rtl/>
        </w:rPr>
        <w:t xml:space="preserve"> </w:t>
      </w:r>
      <w:r w:rsidRPr="00B13754">
        <w:rPr>
          <w:rFonts w:cs="Arial" w:hint="cs"/>
          <w:sz w:val="20"/>
          <w:szCs w:val="20"/>
          <w:u w:val="single"/>
          <w:rtl/>
        </w:rPr>
        <w:t>מלבן</w:t>
      </w:r>
      <w:r w:rsidRPr="00B13754">
        <w:rPr>
          <w:rFonts w:cs="Arial"/>
          <w:sz w:val="20"/>
          <w:szCs w:val="20"/>
          <w:u w:val="single"/>
          <w:rtl/>
        </w:rPr>
        <w:t xml:space="preserve"> </w:t>
      </w:r>
      <w:r w:rsidRPr="00B13754">
        <w:rPr>
          <w:rFonts w:cs="Arial" w:hint="cs"/>
          <w:sz w:val="20"/>
          <w:szCs w:val="20"/>
          <w:u w:val="single"/>
          <w:rtl/>
        </w:rPr>
        <w:t>ולהחזירן</w:t>
      </w:r>
      <w:r w:rsidRPr="00B13754">
        <w:rPr>
          <w:rFonts w:cs="Arial"/>
          <w:sz w:val="20"/>
          <w:szCs w:val="20"/>
          <w:u w:val="single"/>
          <w:rtl/>
        </w:rPr>
        <w:t xml:space="preserve"> </w:t>
      </w:r>
      <w:r w:rsidRPr="00B13754">
        <w:rPr>
          <w:rFonts w:cs="Arial" w:hint="cs"/>
          <w:sz w:val="20"/>
          <w:szCs w:val="20"/>
          <w:u w:val="single"/>
          <w:rtl/>
        </w:rPr>
        <w:t>לדברי</w:t>
      </w:r>
      <w:r w:rsidRPr="00B13754">
        <w:rPr>
          <w:rFonts w:cs="Arial"/>
          <w:sz w:val="20"/>
          <w:szCs w:val="20"/>
          <w:u w:val="single"/>
          <w:rtl/>
        </w:rPr>
        <w:t xml:space="preserve"> </w:t>
      </w:r>
      <w:r w:rsidRPr="00B13754">
        <w:rPr>
          <w:rFonts w:cs="Arial" w:hint="cs"/>
          <w:sz w:val="20"/>
          <w:szCs w:val="20"/>
          <w:u w:val="single"/>
          <w:rtl/>
        </w:rPr>
        <w:t>חכמים</w:t>
      </w:r>
      <w:r w:rsidRPr="00B13754">
        <w:rPr>
          <w:rFonts w:cs="Arial"/>
          <w:sz w:val="20"/>
          <w:szCs w:val="20"/>
          <w:u w:val="single"/>
          <w:rtl/>
        </w:rPr>
        <w:t xml:space="preserve"> </w:t>
      </w:r>
      <w:r w:rsidRPr="00B13754">
        <w:rPr>
          <w:rFonts w:cs="Arial" w:hint="cs"/>
          <w:sz w:val="20"/>
          <w:szCs w:val="20"/>
          <w:u w:val="single"/>
          <w:rtl/>
        </w:rPr>
        <w:t>שתספור</w:t>
      </w:r>
      <w:r w:rsidRPr="00B13754">
        <w:rPr>
          <w:rFonts w:cs="Arial"/>
          <w:sz w:val="20"/>
          <w:szCs w:val="20"/>
          <w:u w:val="single"/>
          <w:rtl/>
        </w:rPr>
        <w:t xml:space="preserve"> </w:t>
      </w:r>
      <w:r w:rsidRPr="00B13754">
        <w:rPr>
          <w:rFonts w:cs="Arial" w:hint="cs"/>
          <w:sz w:val="20"/>
          <w:szCs w:val="20"/>
          <w:u w:val="single"/>
          <w:rtl/>
        </w:rPr>
        <w:t>ז</w:t>
      </w:r>
      <w:r w:rsidRPr="00B13754">
        <w:rPr>
          <w:rFonts w:cs="Arial"/>
          <w:sz w:val="20"/>
          <w:szCs w:val="20"/>
          <w:u w:val="single"/>
          <w:rtl/>
        </w:rPr>
        <w:t xml:space="preserve">' </w:t>
      </w:r>
      <w:r w:rsidRPr="00B13754">
        <w:rPr>
          <w:rFonts w:cs="Arial" w:hint="cs"/>
          <w:sz w:val="20"/>
          <w:szCs w:val="20"/>
          <w:u w:val="single"/>
          <w:rtl/>
        </w:rPr>
        <w:t>ימים</w:t>
      </w:r>
      <w:r w:rsidRPr="00B13754">
        <w:rPr>
          <w:rFonts w:cs="Arial"/>
          <w:sz w:val="20"/>
          <w:szCs w:val="20"/>
          <w:u w:val="single"/>
          <w:rtl/>
        </w:rPr>
        <w:t xml:space="preserve"> </w:t>
      </w:r>
      <w:r w:rsidRPr="00B13754">
        <w:rPr>
          <w:rFonts w:cs="Arial" w:hint="cs"/>
          <w:sz w:val="20"/>
          <w:szCs w:val="20"/>
          <w:u w:val="single"/>
          <w:rtl/>
        </w:rPr>
        <w:t>נקיים</w:t>
      </w:r>
      <w:r w:rsidRPr="00B13754">
        <w:rPr>
          <w:rFonts w:cs="Arial"/>
          <w:sz w:val="20"/>
          <w:szCs w:val="20"/>
          <w:u w:val="single"/>
          <w:rtl/>
        </w:rPr>
        <w:t xml:space="preserve"> </w:t>
      </w:r>
      <w:r w:rsidRPr="00B13754">
        <w:rPr>
          <w:rFonts w:cs="Arial" w:hint="cs"/>
          <w:sz w:val="20"/>
          <w:szCs w:val="20"/>
          <w:u w:val="single"/>
          <w:rtl/>
        </w:rPr>
        <w:t>בלבד</w:t>
      </w:r>
      <w:r>
        <w:rPr>
          <w:rFonts w:hint="cs"/>
          <w:sz w:val="20"/>
          <w:szCs w:val="20"/>
          <w:rtl/>
        </w:rPr>
        <w:t>".</w:t>
      </w:r>
      <w:r>
        <w:rPr>
          <w:rStyle w:val="a5"/>
          <w:sz w:val="20"/>
          <w:szCs w:val="20"/>
          <w:rtl/>
        </w:rPr>
        <w:footnoteReference w:id="415"/>
      </w:r>
      <w:r>
        <w:rPr>
          <w:rFonts w:hint="cs"/>
          <w:sz w:val="20"/>
          <w:szCs w:val="20"/>
          <w:rtl/>
        </w:rPr>
        <w:br/>
        <w:t xml:space="preserve">מסביר </w:t>
      </w:r>
      <w:r w:rsidRPr="00342379">
        <w:rPr>
          <w:rFonts w:hint="cs"/>
          <w:b/>
          <w:bCs/>
          <w:sz w:val="20"/>
          <w:szCs w:val="20"/>
          <w:rtl/>
        </w:rPr>
        <w:t>הבית יוסף</w:t>
      </w:r>
      <w:r>
        <w:rPr>
          <w:rFonts w:hint="cs"/>
          <w:sz w:val="20"/>
          <w:szCs w:val="20"/>
          <w:rtl/>
        </w:rPr>
        <w:t xml:space="preserve"> </w:t>
      </w:r>
      <w:r>
        <w:rPr>
          <w:sz w:val="20"/>
          <w:szCs w:val="20"/>
          <w:rtl/>
        </w:rPr>
        <w:t>–</w:t>
      </w:r>
      <w:r>
        <w:rPr>
          <w:rFonts w:hint="cs"/>
          <w:sz w:val="20"/>
          <w:szCs w:val="20"/>
          <w:rtl/>
        </w:rPr>
        <w:t xml:space="preserve"> מנהג זה הוא דרך מינות משום שהם מפרשים את הפסוק: "</w:t>
      </w:r>
      <w:r w:rsidRPr="003B22C8">
        <w:rPr>
          <w:rFonts w:cs="Arial" w:hint="cs"/>
          <w:sz w:val="20"/>
          <w:szCs w:val="20"/>
          <w:rtl/>
        </w:rPr>
        <w:t>וּשְׁלֹשִׁים</w:t>
      </w:r>
      <w:r w:rsidRPr="003B22C8">
        <w:rPr>
          <w:rFonts w:cs="Arial"/>
          <w:sz w:val="20"/>
          <w:szCs w:val="20"/>
          <w:rtl/>
        </w:rPr>
        <w:t xml:space="preserve"> </w:t>
      </w:r>
      <w:r w:rsidRPr="003B22C8">
        <w:rPr>
          <w:rFonts w:cs="Arial" w:hint="cs"/>
          <w:sz w:val="20"/>
          <w:szCs w:val="20"/>
          <w:rtl/>
        </w:rPr>
        <w:t>יוֹם</w:t>
      </w:r>
      <w:r w:rsidRPr="003B22C8">
        <w:rPr>
          <w:rFonts w:cs="Arial"/>
          <w:sz w:val="20"/>
          <w:szCs w:val="20"/>
          <w:rtl/>
        </w:rPr>
        <w:t xml:space="preserve"> </w:t>
      </w:r>
      <w:r w:rsidRPr="003B22C8">
        <w:rPr>
          <w:rFonts w:cs="Arial" w:hint="cs"/>
          <w:sz w:val="20"/>
          <w:szCs w:val="20"/>
          <w:rtl/>
        </w:rPr>
        <w:t>וּשְׁלֹשֶׁת</w:t>
      </w:r>
      <w:r w:rsidRPr="003B22C8">
        <w:rPr>
          <w:rFonts w:cs="Arial"/>
          <w:sz w:val="20"/>
          <w:szCs w:val="20"/>
          <w:rtl/>
        </w:rPr>
        <w:t xml:space="preserve"> </w:t>
      </w:r>
      <w:r w:rsidRPr="003B22C8">
        <w:rPr>
          <w:rFonts w:cs="Arial" w:hint="cs"/>
          <w:sz w:val="20"/>
          <w:szCs w:val="20"/>
          <w:rtl/>
        </w:rPr>
        <w:t>יָמִים</w:t>
      </w:r>
      <w:r w:rsidRPr="003B22C8">
        <w:rPr>
          <w:rFonts w:cs="Arial"/>
          <w:sz w:val="20"/>
          <w:szCs w:val="20"/>
          <w:rtl/>
        </w:rPr>
        <w:t xml:space="preserve"> </w:t>
      </w:r>
      <w:r w:rsidRPr="003B22C8">
        <w:rPr>
          <w:rFonts w:cs="Arial" w:hint="cs"/>
          <w:sz w:val="20"/>
          <w:szCs w:val="20"/>
          <w:rtl/>
        </w:rPr>
        <w:t>תֵּשֵׁב</w:t>
      </w:r>
      <w:r w:rsidRPr="003B22C8">
        <w:rPr>
          <w:rFonts w:cs="Arial"/>
          <w:sz w:val="20"/>
          <w:szCs w:val="20"/>
          <w:rtl/>
        </w:rPr>
        <w:t xml:space="preserve"> </w:t>
      </w:r>
      <w:r w:rsidRPr="003B22C8">
        <w:rPr>
          <w:rFonts w:cs="Arial" w:hint="cs"/>
          <w:sz w:val="20"/>
          <w:szCs w:val="20"/>
          <w:rtl/>
        </w:rPr>
        <w:t>בִּדְמֵי</w:t>
      </w:r>
      <w:r w:rsidRPr="003B22C8">
        <w:rPr>
          <w:rFonts w:cs="Arial"/>
          <w:sz w:val="20"/>
          <w:szCs w:val="20"/>
          <w:rtl/>
        </w:rPr>
        <w:t xml:space="preserve"> </w:t>
      </w:r>
      <w:r w:rsidRPr="003B22C8">
        <w:rPr>
          <w:rFonts w:cs="Arial" w:hint="cs"/>
          <w:sz w:val="20"/>
          <w:szCs w:val="20"/>
          <w:rtl/>
        </w:rPr>
        <w:t>טָהֳרָה</w:t>
      </w:r>
      <w:r w:rsidRPr="003B22C8">
        <w:rPr>
          <w:rFonts w:cs="Arial"/>
          <w:sz w:val="20"/>
          <w:szCs w:val="20"/>
          <w:rtl/>
        </w:rPr>
        <w:t xml:space="preserve"> </w:t>
      </w:r>
      <w:r w:rsidRPr="003B22C8">
        <w:rPr>
          <w:rFonts w:cs="Arial" w:hint="cs"/>
          <w:sz w:val="20"/>
          <w:szCs w:val="20"/>
          <w:rtl/>
        </w:rPr>
        <w:t>בְּכָל</w:t>
      </w:r>
      <w:r w:rsidRPr="003B22C8">
        <w:rPr>
          <w:rFonts w:cs="Arial"/>
          <w:sz w:val="20"/>
          <w:szCs w:val="20"/>
          <w:rtl/>
        </w:rPr>
        <w:t xml:space="preserve"> </w:t>
      </w:r>
      <w:r w:rsidRPr="003B22C8">
        <w:rPr>
          <w:rFonts w:cs="Arial" w:hint="cs"/>
          <w:sz w:val="20"/>
          <w:szCs w:val="20"/>
          <w:rtl/>
        </w:rPr>
        <w:t>קֹדֶשׁ</w:t>
      </w:r>
      <w:r w:rsidRPr="003B22C8">
        <w:rPr>
          <w:rFonts w:cs="Arial"/>
          <w:sz w:val="20"/>
          <w:szCs w:val="20"/>
          <w:rtl/>
        </w:rPr>
        <w:t xml:space="preserve"> </w:t>
      </w:r>
      <w:r w:rsidRPr="003B22C8">
        <w:rPr>
          <w:rFonts w:cs="Arial" w:hint="cs"/>
          <w:sz w:val="20"/>
          <w:szCs w:val="20"/>
          <w:rtl/>
        </w:rPr>
        <w:t>לֹא</w:t>
      </w:r>
      <w:r w:rsidRPr="003B22C8">
        <w:rPr>
          <w:rFonts w:cs="Arial"/>
          <w:sz w:val="20"/>
          <w:szCs w:val="20"/>
          <w:rtl/>
        </w:rPr>
        <w:t xml:space="preserve"> </w:t>
      </w:r>
      <w:r w:rsidRPr="003B22C8">
        <w:rPr>
          <w:rFonts w:cs="Arial" w:hint="cs"/>
          <w:sz w:val="20"/>
          <w:szCs w:val="20"/>
          <w:rtl/>
        </w:rPr>
        <w:t>תִגָּע</w:t>
      </w:r>
      <w:r w:rsidRPr="003B22C8">
        <w:rPr>
          <w:rFonts w:cs="Arial"/>
          <w:sz w:val="20"/>
          <w:szCs w:val="20"/>
          <w:rtl/>
        </w:rPr>
        <w:t xml:space="preserve"> </w:t>
      </w:r>
      <w:r w:rsidRPr="003B22C8">
        <w:rPr>
          <w:rFonts w:cs="Arial" w:hint="cs"/>
          <w:sz w:val="20"/>
          <w:szCs w:val="20"/>
          <w:rtl/>
        </w:rPr>
        <w:t>וְאֶל</w:t>
      </w:r>
      <w:r w:rsidRPr="003B22C8">
        <w:rPr>
          <w:rFonts w:cs="Arial"/>
          <w:sz w:val="20"/>
          <w:szCs w:val="20"/>
          <w:rtl/>
        </w:rPr>
        <w:t xml:space="preserve"> </w:t>
      </w:r>
      <w:r w:rsidRPr="003B22C8">
        <w:rPr>
          <w:rFonts w:cs="Arial" w:hint="cs"/>
          <w:sz w:val="20"/>
          <w:szCs w:val="20"/>
          <w:rtl/>
        </w:rPr>
        <w:t>הַמִּקְדָּשׁ</w:t>
      </w:r>
      <w:r w:rsidRPr="003B22C8">
        <w:rPr>
          <w:rFonts w:cs="Arial"/>
          <w:sz w:val="20"/>
          <w:szCs w:val="20"/>
          <w:rtl/>
        </w:rPr>
        <w:t xml:space="preserve"> </w:t>
      </w:r>
      <w:r w:rsidRPr="003B22C8">
        <w:rPr>
          <w:rFonts w:cs="Arial" w:hint="cs"/>
          <w:sz w:val="20"/>
          <w:szCs w:val="20"/>
          <w:rtl/>
        </w:rPr>
        <w:t>לֹא</w:t>
      </w:r>
      <w:r w:rsidRPr="003B22C8">
        <w:rPr>
          <w:rFonts w:cs="Arial"/>
          <w:sz w:val="20"/>
          <w:szCs w:val="20"/>
          <w:rtl/>
        </w:rPr>
        <w:t xml:space="preserve"> </w:t>
      </w:r>
      <w:r w:rsidRPr="003B22C8">
        <w:rPr>
          <w:rFonts w:cs="Arial" w:hint="cs"/>
          <w:sz w:val="20"/>
          <w:szCs w:val="20"/>
          <w:rtl/>
        </w:rPr>
        <w:t>תָבֹא</w:t>
      </w:r>
      <w:r w:rsidRPr="003B22C8">
        <w:rPr>
          <w:rFonts w:cs="Arial"/>
          <w:sz w:val="20"/>
          <w:szCs w:val="20"/>
          <w:rtl/>
        </w:rPr>
        <w:t xml:space="preserve"> </w:t>
      </w:r>
      <w:r w:rsidRPr="003B22C8">
        <w:rPr>
          <w:rFonts w:cs="Arial" w:hint="cs"/>
          <w:sz w:val="20"/>
          <w:szCs w:val="20"/>
          <w:rtl/>
        </w:rPr>
        <w:t>עַד</w:t>
      </w:r>
      <w:r w:rsidRPr="003B22C8">
        <w:rPr>
          <w:rFonts w:cs="Arial"/>
          <w:sz w:val="20"/>
          <w:szCs w:val="20"/>
          <w:rtl/>
        </w:rPr>
        <w:t xml:space="preserve">  </w:t>
      </w:r>
      <w:r w:rsidRPr="003B22C8">
        <w:rPr>
          <w:rFonts w:cs="Arial" w:hint="cs"/>
          <w:sz w:val="20"/>
          <w:szCs w:val="20"/>
          <w:rtl/>
        </w:rPr>
        <w:t>מְלֹאת</w:t>
      </w:r>
      <w:r w:rsidRPr="003B22C8">
        <w:rPr>
          <w:rFonts w:cs="Arial"/>
          <w:sz w:val="20"/>
          <w:szCs w:val="20"/>
          <w:rtl/>
        </w:rPr>
        <w:t xml:space="preserve"> </w:t>
      </w:r>
      <w:r w:rsidRPr="003B22C8">
        <w:rPr>
          <w:rFonts w:cs="Arial" w:hint="cs"/>
          <w:sz w:val="20"/>
          <w:szCs w:val="20"/>
          <w:rtl/>
        </w:rPr>
        <w:t>יְמֵי</w:t>
      </w:r>
      <w:r w:rsidRPr="003B22C8">
        <w:rPr>
          <w:rFonts w:cs="Arial"/>
          <w:sz w:val="20"/>
          <w:szCs w:val="20"/>
          <w:rtl/>
        </w:rPr>
        <w:t xml:space="preserve"> </w:t>
      </w:r>
      <w:r w:rsidRPr="003B22C8">
        <w:rPr>
          <w:rFonts w:cs="Arial" w:hint="cs"/>
          <w:sz w:val="20"/>
          <w:szCs w:val="20"/>
          <w:rtl/>
        </w:rPr>
        <w:t>טָהֳרָהּ</w:t>
      </w:r>
      <w:r>
        <w:rPr>
          <w:rFonts w:cs="Arial" w:hint="cs"/>
          <w:sz w:val="20"/>
          <w:szCs w:val="20"/>
          <w:rtl/>
        </w:rPr>
        <w:t xml:space="preserve">" כך - </w:t>
      </w:r>
      <w:r>
        <w:rPr>
          <w:rFonts w:cs="Arial"/>
          <w:sz w:val="20"/>
          <w:szCs w:val="20"/>
          <w:rtl/>
        </w:rPr>
        <w:br/>
      </w:r>
      <w:r>
        <w:rPr>
          <w:rFonts w:cs="Arial" w:hint="cs"/>
          <w:sz w:val="20"/>
          <w:szCs w:val="20"/>
          <w:rtl/>
        </w:rPr>
        <w:t xml:space="preserve">"תשב בדמי טהרה" </w:t>
      </w:r>
      <w:r>
        <w:rPr>
          <w:rFonts w:cs="Arial"/>
          <w:sz w:val="20"/>
          <w:szCs w:val="20"/>
          <w:rtl/>
        </w:rPr>
        <w:t>–</w:t>
      </w:r>
      <w:r>
        <w:rPr>
          <w:rFonts w:cs="Arial" w:hint="cs"/>
          <w:sz w:val="20"/>
          <w:szCs w:val="20"/>
          <w:rtl/>
        </w:rPr>
        <w:t xml:space="preserve"> אפילו אם אינה רואה דם טמאה, ולכן "בכל קודש לא תיגע".</w:t>
      </w:r>
      <w:r>
        <w:rPr>
          <w:rFonts w:cs="Arial" w:hint="cs"/>
          <w:sz w:val="20"/>
          <w:szCs w:val="20"/>
          <w:rtl/>
        </w:rPr>
        <w:br/>
        <w:t>ולימוד זה היפך דברי חכמים שפירשו "תשב בדמי טהרה" אפילו אם רואה דם טהורה, ואעפ"כ "בכל קודש לא תיגע" לפי שהיא טבולת יום ארוך.</w:t>
      </w:r>
      <w:r>
        <w:rPr>
          <w:rFonts w:cs="Arial" w:hint="cs"/>
          <w:sz w:val="20"/>
          <w:szCs w:val="20"/>
          <w:rtl/>
        </w:rPr>
        <w:br/>
        <w:t xml:space="preserve">ב. </w:t>
      </w:r>
      <w:r w:rsidRPr="00520561">
        <w:rPr>
          <w:rFonts w:cs="Arial" w:hint="cs"/>
          <w:b/>
          <w:bCs/>
          <w:sz w:val="20"/>
          <w:szCs w:val="20"/>
          <w:rtl/>
        </w:rPr>
        <w:t>ריב"ש</w:t>
      </w:r>
      <w:r>
        <w:rPr>
          <w:rFonts w:cs="Arial" w:hint="cs"/>
          <w:sz w:val="20"/>
          <w:szCs w:val="20"/>
          <w:rtl/>
        </w:rPr>
        <w:t xml:space="preserve"> </w:t>
      </w:r>
      <w:r>
        <w:rPr>
          <w:rFonts w:cs="Arial"/>
          <w:sz w:val="20"/>
          <w:szCs w:val="20"/>
          <w:rtl/>
        </w:rPr>
        <w:t>–</w:t>
      </w:r>
      <w:r>
        <w:rPr>
          <w:rFonts w:cs="Arial" w:hint="cs"/>
          <w:sz w:val="20"/>
          <w:szCs w:val="20"/>
          <w:rtl/>
        </w:rPr>
        <w:t xml:space="preserve"> אם נהגו מנהג זה לגדר ופרישה ויודעים שדם זה מותר, ראוי להניחם על מנהגם. אבל אם נהגו מנהג זה בטעות מפני שהם טועים לומר שאסור מן הדין, ראוי להודיעם שהם טועים ושמקור מנהגם בדברי הצדוקים, וכפי שכתב הרמב"ם.</w:t>
      </w:r>
      <w:r>
        <w:rPr>
          <w:rFonts w:cs="Arial" w:hint="cs"/>
          <w:sz w:val="20"/>
          <w:szCs w:val="20"/>
          <w:rtl/>
        </w:rPr>
        <w:br/>
        <w:t xml:space="preserve">ג. </w:t>
      </w:r>
      <w:r w:rsidRPr="00A837AA">
        <w:rPr>
          <w:rFonts w:cs="Arial" w:hint="cs"/>
          <w:b/>
          <w:bCs/>
          <w:sz w:val="20"/>
          <w:szCs w:val="20"/>
          <w:rtl/>
        </w:rPr>
        <w:t>מהרי"ל</w:t>
      </w:r>
      <w:r>
        <w:rPr>
          <w:rFonts w:cs="Arial" w:hint="cs"/>
          <w:sz w:val="20"/>
          <w:szCs w:val="20"/>
          <w:rtl/>
        </w:rPr>
        <w:t xml:space="preserve"> - יש לנהוג מנהג זה לכתחילה.</w:t>
      </w:r>
      <w:r>
        <w:rPr>
          <w:rFonts w:cs="Arial"/>
          <w:sz w:val="20"/>
          <w:szCs w:val="20"/>
          <w:rtl/>
        </w:rPr>
        <w:br/>
      </w:r>
      <w:r>
        <w:rPr>
          <w:rFonts w:cs="Arial"/>
          <w:b/>
          <w:bCs/>
          <w:sz w:val="20"/>
          <w:szCs w:val="20"/>
          <w:rtl/>
        </w:rPr>
        <w:br/>
      </w:r>
      <w:r>
        <w:rPr>
          <w:rFonts w:cs="Arial" w:hint="cs"/>
          <w:b/>
          <w:bCs/>
          <w:sz w:val="20"/>
          <w:szCs w:val="20"/>
          <w:rtl/>
        </w:rPr>
        <w:t>פסיקת הלכה</w:t>
      </w:r>
      <w:r>
        <w:rPr>
          <w:rFonts w:cs="Arial"/>
          <w:b/>
          <w:bCs/>
          <w:sz w:val="20"/>
          <w:szCs w:val="20"/>
          <w:rtl/>
        </w:rPr>
        <w:br/>
      </w:r>
      <w:r>
        <w:rPr>
          <w:rFonts w:cs="Arial" w:hint="cs"/>
          <w:sz w:val="20"/>
          <w:szCs w:val="20"/>
          <w:rtl/>
        </w:rPr>
        <w:t xml:space="preserve">א. </w:t>
      </w:r>
      <w:r>
        <w:rPr>
          <w:rFonts w:cs="Arial" w:hint="cs"/>
          <w:b/>
          <w:bCs/>
          <w:sz w:val="20"/>
          <w:szCs w:val="20"/>
          <w:rtl/>
        </w:rPr>
        <w:t xml:space="preserve">רמ"א </w:t>
      </w:r>
      <w:r>
        <w:rPr>
          <w:rFonts w:cs="Arial"/>
          <w:sz w:val="20"/>
          <w:szCs w:val="20"/>
          <w:rtl/>
        </w:rPr>
        <w:t>–</w:t>
      </w:r>
      <w:r>
        <w:rPr>
          <w:rFonts w:cs="Arial" w:hint="cs"/>
          <w:sz w:val="18"/>
          <w:szCs w:val="18"/>
          <w:rtl/>
        </w:rPr>
        <w:t xml:space="preserve"> "</w:t>
      </w:r>
      <w:r w:rsidRPr="003A4F75">
        <w:rPr>
          <w:rFonts w:cs="Arial" w:hint="cs"/>
          <w:sz w:val="18"/>
          <w:szCs w:val="18"/>
          <w:rtl/>
        </w:rPr>
        <w:t>מיהו</w:t>
      </w:r>
      <w:r w:rsidRPr="003A4F75">
        <w:rPr>
          <w:rFonts w:cs="Arial"/>
          <w:sz w:val="18"/>
          <w:szCs w:val="18"/>
          <w:rtl/>
        </w:rPr>
        <w:t xml:space="preserve"> </w:t>
      </w:r>
      <w:r w:rsidRPr="003A4F75">
        <w:rPr>
          <w:rFonts w:cs="Arial" w:hint="cs"/>
          <w:sz w:val="18"/>
          <w:szCs w:val="18"/>
          <w:rtl/>
        </w:rPr>
        <w:t>יש</w:t>
      </w:r>
      <w:r w:rsidRPr="003A4F75">
        <w:rPr>
          <w:rFonts w:cs="Arial"/>
          <w:sz w:val="18"/>
          <w:szCs w:val="18"/>
          <w:rtl/>
        </w:rPr>
        <w:t xml:space="preserve"> </w:t>
      </w:r>
      <w:r w:rsidRPr="003A4F75">
        <w:rPr>
          <w:rFonts w:cs="Arial" w:hint="cs"/>
          <w:sz w:val="18"/>
          <w:szCs w:val="18"/>
          <w:rtl/>
        </w:rPr>
        <w:t>מקומות</w:t>
      </w:r>
      <w:r w:rsidRPr="003A4F75">
        <w:rPr>
          <w:rFonts w:cs="Arial"/>
          <w:sz w:val="18"/>
          <w:szCs w:val="18"/>
          <w:rtl/>
        </w:rPr>
        <w:t xml:space="preserve"> </w:t>
      </w:r>
      <w:r w:rsidRPr="003A4F75">
        <w:rPr>
          <w:rFonts w:cs="Arial" w:hint="cs"/>
          <w:sz w:val="18"/>
          <w:szCs w:val="18"/>
          <w:rtl/>
        </w:rPr>
        <w:t>שנוהגין</w:t>
      </w:r>
      <w:r w:rsidRPr="003A4F75">
        <w:rPr>
          <w:rFonts w:cs="Arial"/>
          <w:sz w:val="18"/>
          <w:szCs w:val="18"/>
          <w:rtl/>
        </w:rPr>
        <w:t xml:space="preserve"> </w:t>
      </w:r>
      <w:r w:rsidRPr="003A4F75">
        <w:rPr>
          <w:rFonts w:cs="Arial" w:hint="cs"/>
          <w:sz w:val="18"/>
          <w:szCs w:val="18"/>
          <w:rtl/>
        </w:rPr>
        <w:t>שאין</w:t>
      </w:r>
      <w:r w:rsidRPr="003A4F75">
        <w:rPr>
          <w:rFonts w:cs="Arial"/>
          <w:sz w:val="18"/>
          <w:szCs w:val="18"/>
          <w:rtl/>
        </w:rPr>
        <w:t xml:space="preserve"> </w:t>
      </w:r>
      <w:r w:rsidRPr="003A4F75">
        <w:rPr>
          <w:rFonts w:cs="Arial" w:hint="cs"/>
          <w:sz w:val="18"/>
          <w:szCs w:val="18"/>
          <w:rtl/>
        </w:rPr>
        <w:t>טובלין</w:t>
      </w:r>
      <w:r w:rsidRPr="003A4F75">
        <w:rPr>
          <w:rFonts w:cs="Arial"/>
          <w:sz w:val="18"/>
          <w:szCs w:val="18"/>
          <w:rtl/>
        </w:rPr>
        <w:t xml:space="preserve"> </w:t>
      </w:r>
      <w:r w:rsidRPr="003A4F75">
        <w:rPr>
          <w:rFonts w:cs="Arial" w:hint="cs"/>
          <w:sz w:val="18"/>
          <w:szCs w:val="18"/>
          <w:rtl/>
        </w:rPr>
        <w:t>תוך</w:t>
      </w:r>
      <w:r w:rsidRPr="003A4F75">
        <w:rPr>
          <w:rFonts w:cs="Arial"/>
          <w:sz w:val="18"/>
          <w:szCs w:val="18"/>
          <w:rtl/>
        </w:rPr>
        <w:t xml:space="preserve"> </w:t>
      </w:r>
      <w:r w:rsidRPr="003A4F75">
        <w:rPr>
          <w:rFonts w:cs="Arial" w:hint="cs"/>
          <w:sz w:val="18"/>
          <w:szCs w:val="18"/>
          <w:rtl/>
        </w:rPr>
        <w:t>מ</w:t>
      </w:r>
      <w:r w:rsidRPr="003A4F75">
        <w:rPr>
          <w:rFonts w:cs="Arial"/>
          <w:sz w:val="18"/>
          <w:szCs w:val="18"/>
          <w:rtl/>
        </w:rPr>
        <w:t xml:space="preserve">' </w:t>
      </w:r>
      <w:r w:rsidRPr="003A4F75">
        <w:rPr>
          <w:rFonts w:cs="Arial" w:hint="cs"/>
          <w:sz w:val="18"/>
          <w:szCs w:val="18"/>
          <w:rtl/>
        </w:rPr>
        <w:t>לזכר</w:t>
      </w:r>
      <w:r w:rsidRPr="003A4F75">
        <w:rPr>
          <w:rFonts w:cs="Arial"/>
          <w:sz w:val="18"/>
          <w:szCs w:val="18"/>
          <w:rtl/>
        </w:rPr>
        <w:t xml:space="preserve"> </w:t>
      </w:r>
      <w:r w:rsidRPr="003A4F75">
        <w:rPr>
          <w:rFonts w:cs="Arial" w:hint="cs"/>
          <w:sz w:val="18"/>
          <w:szCs w:val="18"/>
          <w:rtl/>
        </w:rPr>
        <w:t>ושמונים</w:t>
      </w:r>
      <w:r w:rsidRPr="003A4F75">
        <w:rPr>
          <w:rFonts w:cs="Arial"/>
          <w:sz w:val="18"/>
          <w:szCs w:val="18"/>
          <w:rtl/>
        </w:rPr>
        <w:t xml:space="preserve"> </w:t>
      </w:r>
      <w:r w:rsidRPr="003A4F75">
        <w:rPr>
          <w:rFonts w:cs="Arial" w:hint="cs"/>
          <w:sz w:val="18"/>
          <w:szCs w:val="18"/>
          <w:rtl/>
        </w:rPr>
        <w:t>לנקבה</w:t>
      </w:r>
      <w:r>
        <w:rPr>
          <w:rFonts w:cs="Arial" w:hint="cs"/>
          <w:sz w:val="18"/>
          <w:szCs w:val="18"/>
          <w:rtl/>
        </w:rPr>
        <w:t xml:space="preserve">, </w:t>
      </w:r>
      <w:r w:rsidRPr="003A4F75">
        <w:rPr>
          <w:rFonts w:cs="Arial" w:hint="cs"/>
          <w:sz w:val="18"/>
          <w:szCs w:val="18"/>
          <w:rtl/>
        </w:rPr>
        <w:t>ואין</w:t>
      </w:r>
      <w:r w:rsidRPr="003A4F75">
        <w:rPr>
          <w:rFonts w:cs="Arial"/>
          <w:sz w:val="18"/>
          <w:szCs w:val="18"/>
          <w:rtl/>
        </w:rPr>
        <w:t xml:space="preserve"> </w:t>
      </w:r>
      <w:r w:rsidRPr="003A4F75">
        <w:rPr>
          <w:rFonts w:cs="Arial" w:hint="cs"/>
          <w:sz w:val="18"/>
          <w:szCs w:val="18"/>
          <w:rtl/>
        </w:rPr>
        <w:t>להתיר</w:t>
      </w:r>
      <w:r w:rsidRPr="003A4F75">
        <w:rPr>
          <w:rFonts w:cs="Arial"/>
          <w:sz w:val="18"/>
          <w:szCs w:val="18"/>
          <w:rtl/>
        </w:rPr>
        <w:t xml:space="preserve"> </w:t>
      </w:r>
      <w:r w:rsidRPr="003A4F75">
        <w:rPr>
          <w:rFonts w:cs="Arial" w:hint="cs"/>
          <w:sz w:val="18"/>
          <w:szCs w:val="18"/>
          <w:rtl/>
        </w:rPr>
        <w:t>במקום</w:t>
      </w:r>
      <w:r w:rsidRPr="003A4F75">
        <w:rPr>
          <w:rFonts w:cs="Arial"/>
          <w:sz w:val="18"/>
          <w:szCs w:val="18"/>
          <w:rtl/>
        </w:rPr>
        <w:t xml:space="preserve"> </w:t>
      </w:r>
      <w:r w:rsidRPr="003A4F75">
        <w:rPr>
          <w:rFonts w:cs="Arial" w:hint="cs"/>
          <w:sz w:val="18"/>
          <w:szCs w:val="18"/>
          <w:rtl/>
        </w:rPr>
        <w:t>שנהגו</w:t>
      </w:r>
      <w:r w:rsidRPr="003A4F75">
        <w:rPr>
          <w:rFonts w:cs="Arial"/>
          <w:sz w:val="18"/>
          <w:szCs w:val="18"/>
          <w:rtl/>
        </w:rPr>
        <w:t xml:space="preserve"> </w:t>
      </w:r>
      <w:r w:rsidRPr="003A4F75">
        <w:rPr>
          <w:rFonts w:cs="Arial" w:hint="cs"/>
          <w:sz w:val="18"/>
          <w:szCs w:val="18"/>
          <w:rtl/>
        </w:rPr>
        <w:t>להחמיר</w:t>
      </w:r>
      <w:r w:rsidRPr="003A4F75">
        <w:rPr>
          <w:rFonts w:cs="Arial"/>
          <w:sz w:val="18"/>
          <w:szCs w:val="18"/>
          <w:rtl/>
        </w:rPr>
        <w:t xml:space="preserve">; </w:t>
      </w:r>
      <w:r w:rsidRPr="003A4F75">
        <w:rPr>
          <w:rFonts w:cs="Arial" w:hint="cs"/>
          <w:sz w:val="18"/>
          <w:szCs w:val="18"/>
          <w:rtl/>
        </w:rPr>
        <w:t>אבל</w:t>
      </w:r>
      <w:r w:rsidRPr="003A4F75">
        <w:rPr>
          <w:rFonts w:cs="Arial"/>
          <w:sz w:val="18"/>
          <w:szCs w:val="18"/>
          <w:rtl/>
        </w:rPr>
        <w:t xml:space="preserve"> </w:t>
      </w:r>
      <w:r w:rsidRPr="003A4F75">
        <w:rPr>
          <w:rFonts w:cs="Arial" w:hint="cs"/>
          <w:sz w:val="18"/>
          <w:szCs w:val="18"/>
          <w:rtl/>
        </w:rPr>
        <w:t>במקום</w:t>
      </w:r>
      <w:r w:rsidRPr="003A4F75">
        <w:rPr>
          <w:rFonts w:cs="Arial"/>
          <w:sz w:val="18"/>
          <w:szCs w:val="18"/>
          <w:rtl/>
        </w:rPr>
        <w:t xml:space="preserve"> </w:t>
      </w:r>
      <w:r w:rsidRPr="003A4F75">
        <w:rPr>
          <w:rFonts w:cs="Arial" w:hint="cs"/>
          <w:sz w:val="18"/>
          <w:szCs w:val="18"/>
          <w:rtl/>
        </w:rPr>
        <w:t>שאין</w:t>
      </w:r>
      <w:r w:rsidRPr="003A4F75">
        <w:rPr>
          <w:rFonts w:cs="Arial"/>
          <w:sz w:val="18"/>
          <w:szCs w:val="18"/>
          <w:rtl/>
        </w:rPr>
        <w:t xml:space="preserve"> </w:t>
      </w:r>
      <w:r w:rsidRPr="003A4F75">
        <w:rPr>
          <w:rFonts w:cs="Arial" w:hint="cs"/>
          <w:sz w:val="18"/>
          <w:szCs w:val="18"/>
          <w:rtl/>
        </w:rPr>
        <w:t>מנהג</w:t>
      </w:r>
      <w:r w:rsidRPr="003A4F75">
        <w:rPr>
          <w:rFonts w:cs="Arial"/>
          <w:sz w:val="18"/>
          <w:szCs w:val="18"/>
          <w:rtl/>
        </w:rPr>
        <w:t xml:space="preserve">, </w:t>
      </w:r>
      <w:r w:rsidRPr="003A4F75">
        <w:rPr>
          <w:rFonts w:cs="Arial" w:hint="cs"/>
          <w:sz w:val="18"/>
          <w:szCs w:val="18"/>
          <w:rtl/>
        </w:rPr>
        <w:t>אין</w:t>
      </w:r>
      <w:r w:rsidRPr="003A4F75">
        <w:rPr>
          <w:rFonts w:cs="Arial"/>
          <w:sz w:val="18"/>
          <w:szCs w:val="18"/>
          <w:rtl/>
        </w:rPr>
        <w:t xml:space="preserve"> </w:t>
      </w:r>
      <w:r w:rsidRPr="003A4F75">
        <w:rPr>
          <w:rFonts w:cs="Arial" w:hint="cs"/>
          <w:sz w:val="18"/>
          <w:szCs w:val="18"/>
          <w:rtl/>
        </w:rPr>
        <w:t>להחמיר</w:t>
      </w:r>
      <w:r w:rsidRPr="003A4F75">
        <w:rPr>
          <w:rFonts w:cs="Arial"/>
          <w:sz w:val="18"/>
          <w:szCs w:val="18"/>
          <w:rtl/>
        </w:rPr>
        <w:t xml:space="preserve"> </w:t>
      </w:r>
      <w:r w:rsidRPr="003A4F75">
        <w:rPr>
          <w:rFonts w:cs="Arial" w:hint="cs"/>
          <w:sz w:val="18"/>
          <w:szCs w:val="18"/>
          <w:rtl/>
        </w:rPr>
        <w:t>כלל</w:t>
      </w:r>
      <w:r w:rsidRPr="003A4F75">
        <w:rPr>
          <w:rFonts w:cs="Arial"/>
          <w:sz w:val="18"/>
          <w:szCs w:val="18"/>
          <w:rtl/>
        </w:rPr>
        <w:t xml:space="preserve"> </w:t>
      </w:r>
      <w:r w:rsidRPr="003A4F75">
        <w:rPr>
          <w:rFonts w:cs="Arial" w:hint="cs"/>
          <w:sz w:val="18"/>
          <w:szCs w:val="18"/>
          <w:rtl/>
        </w:rPr>
        <w:t>רק</w:t>
      </w:r>
      <w:r w:rsidRPr="003A4F75">
        <w:rPr>
          <w:rFonts w:cs="Arial"/>
          <w:sz w:val="18"/>
          <w:szCs w:val="18"/>
          <w:rtl/>
        </w:rPr>
        <w:t xml:space="preserve"> </w:t>
      </w:r>
      <w:r w:rsidRPr="003A4F75">
        <w:rPr>
          <w:rFonts w:cs="Arial" w:hint="cs"/>
          <w:sz w:val="18"/>
          <w:szCs w:val="18"/>
          <w:rtl/>
        </w:rPr>
        <w:t>מיד</w:t>
      </w:r>
      <w:r w:rsidRPr="003A4F75">
        <w:rPr>
          <w:rFonts w:cs="Arial"/>
          <w:sz w:val="18"/>
          <w:szCs w:val="18"/>
          <w:rtl/>
        </w:rPr>
        <w:t xml:space="preserve"> </w:t>
      </w:r>
      <w:r w:rsidRPr="003A4F75">
        <w:rPr>
          <w:rFonts w:cs="Arial" w:hint="cs"/>
          <w:sz w:val="18"/>
          <w:szCs w:val="18"/>
          <w:rtl/>
        </w:rPr>
        <w:t>שלא</w:t>
      </w:r>
      <w:r w:rsidRPr="003A4F75">
        <w:rPr>
          <w:rFonts w:cs="Arial"/>
          <w:sz w:val="18"/>
          <w:szCs w:val="18"/>
          <w:rtl/>
        </w:rPr>
        <w:t xml:space="preserve"> </w:t>
      </w:r>
      <w:r w:rsidRPr="003A4F75">
        <w:rPr>
          <w:rFonts w:cs="Arial" w:hint="cs"/>
          <w:sz w:val="18"/>
          <w:szCs w:val="18"/>
          <w:rtl/>
        </w:rPr>
        <w:t>ראתה</w:t>
      </w:r>
      <w:r w:rsidRPr="003A4F75">
        <w:rPr>
          <w:rFonts w:cs="Arial"/>
          <w:sz w:val="18"/>
          <w:szCs w:val="18"/>
          <w:rtl/>
        </w:rPr>
        <w:t xml:space="preserve"> </w:t>
      </w:r>
      <w:r w:rsidRPr="003A4F75">
        <w:rPr>
          <w:rFonts w:cs="Arial" w:hint="cs"/>
          <w:sz w:val="18"/>
          <w:szCs w:val="18"/>
          <w:rtl/>
        </w:rPr>
        <w:t>דם</w:t>
      </w:r>
      <w:r w:rsidRPr="003A4F75">
        <w:rPr>
          <w:rFonts w:cs="Arial"/>
          <w:sz w:val="18"/>
          <w:szCs w:val="18"/>
          <w:rtl/>
        </w:rPr>
        <w:t xml:space="preserve"> </w:t>
      </w:r>
      <w:r w:rsidRPr="003A4F75">
        <w:rPr>
          <w:rFonts w:cs="Arial" w:hint="cs"/>
          <w:sz w:val="18"/>
          <w:szCs w:val="18"/>
          <w:rtl/>
        </w:rPr>
        <w:t>אחר</w:t>
      </w:r>
      <w:r w:rsidRPr="003A4F75">
        <w:rPr>
          <w:rFonts w:cs="Arial"/>
          <w:sz w:val="18"/>
          <w:szCs w:val="18"/>
          <w:rtl/>
        </w:rPr>
        <w:t xml:space="preserve"> </w:t>
      </w:r>
      <w:r w:rsidRPr="003A4F75">
        <w:rPr>
          <w:rFonts w:cs="Arial" w:hint="cs"/>
          <w:sz w:val="18"/>
          <w:szCs w:val="18"/>
          <w:rtl/>
        </w:rPr>
        <w:t>ז</w:t>
      </w:r>
      <w:r w:rsidRPr="003A4F75">
        <w:rPr>
          <w:rFonts w:cs="Arial"/>
          <w:sz w:val="18"/>
          <w:szCs w:val="18"/>
          <w:rtl/>
        </w:rPr>
        <w:t xml:space="preserve">' </w:t>
      </w:r>
      <w:r w:rsidRPr="003A4F75">
        <w:rPr>
          <w:rFonts w:cs="Arial" w:hint="cs"/>
          <w:sz w:val="18"/>
          <w:szCs w:val="18"/>
          <w:rtl/>
        </w:rPr>
        <w:t>לזכר</w:t>
      </w:r>
      <w:r w:rsidRPr="003A4F75">
        <w:rPr>
          <w:rFonts w:cs="Arial"/>
          <w:sz w:val="18"/>
          <w:szCs w:val="18"/>
          <w:rtl/>
        </w:rPr>
        <w:t xml:space="preserve"> </w:t>
      </w:r>
      <w:r w:rsidRPr="003A4F75">
        <w:rPr>
          <w:rFonts w:cs="Arial" w:hint="cs"/>
          <w:sz w:val="18"/>
          <w:szCs w:val="18"/>
          <w:rtl/>
        </w:rPr>
        <w:t>וי</w:t>
      </w:r>
      <w:r w:rsidRPr="003A4F75">
        <w:rPr>
          <w:rFonts w:cs="Arial"/>
          <w:sz w:val="18"/>
          <w:szCs w:val="18"/>
          <w:rtl/>
        </w:rPr>
        <w:t>"</w:t>
      </w:r>
      <w:r w:rsidRPr="003A4F75">
        <w:rPr>
          <w:rFonts w:cs="Arial" w:hint="cs"/>
          <w:sz w:val="18"/>
          <w:szCs w:val="18"/>
          <w:rtl/>
        </w:rPr>
        <w:t>ד</w:t>
      </w:r>
      <w:r w:rsidRPr="003A4F75">
        <w:rPr>
          <w:rFonts w:cs="Arial"/>
          <w:sz w:val="18"/>
          <w:szCs w:val="18"/>
          <w:rtl/>
        </w:rPr>
        <w:t xml:space="preserve"> </w:t>
      </w:r>
      <w:r w:rsidRPr="003A4F75">
        <w:rPr>
          <w:rFonts w:cs="Arial" w:hint="cs"/>
          <w:sz w:val="18"/>
          <w:szCs w:val="18"/>
          <w:rtl/>
        </w:rPr>
        <w:t>לנקבה</w:t>
      </w:r>
      <w:r w:rsidRPr="003A4F75">
        <w:rPr>
          <w:rFonts w:cs="Arial"/>
          <w:sz w:val="18"/>
          <w:szCs w:val="18"/>
          <w:rtl/>
        </w:rPr>
        <w:t xml:space="preserve"> </w:t>
      </w:r>
      <w:r w:rsidRPr="003A4F75">
        <w:rPr>
          <w:rFonts w:cs="Arial" w:hint="cs"/>
          <w:sz w:val="18"/>
          <w:szCs w:val="18"/>
          <w:rtl/>
        </w:rPr>
        <w:t>וספרה</w:t>
      </w:r>
      <w:r w:rsidRPr="003A4F75">
        <w:rPr>
          <w:rFonts w:cs="Arial"/>
          <w:sz w:val="18"/>
          <w:szCs w:val="18"/>
          <w:rtl/>
        </w:rPr>
        <w:t xml:space="preserve"> </w:t>
      </w:r>
      <w:r w:rsidRPr="003A4F75">
        <w:rPr>
          <w:rFonts w:cs="Arial" w:hint="cs"/>
          <w:sz w:val="18"/>
          <w:szCs w:val="18"/>
          <w:rtl/>
        </w:rPr>
        <w:t>ז</w:t>
      </w:r>
      <w:r w:rsidRPr="003A4F75">
        <w:rPr>
          <w:rFonts w:cs="Arial"/>
          <w:sz w:val="18"/>
          <w:szCs w:val="18"/>
          <w:rtl/>
        </w:rPr>
        <w:t xml:space="preserve">' </w:t>
      </w:r>
      <w:r w:rsidRPr="003A4F75">
        <w:rPr>
          <w:rFonts w:cs="Arial" w:hint="cs"/>
          <w:sz w:val="18"/>
          <w:szCs w:val="18"/>
          <w:rtl/>
        </w:rPr>
        <w:t>נקיים</w:t>
      </w:r>
      <w:r w:rsidRPr="003A4F75">
        <w:rPr>
          <w:rFonts w:cs="Arial"/>
          <w:sz w:val="18"/>
          <w:szCs w:val="18"/>
          <w:rtl/>
        </w:rPr>
        <w:t xml:space="preserve">, </w:t>
      </w:r>
      <w:r w:rsidRPr="003A4F75">
        <w:rPr>
          <w:rFonts w:cs="Arial" w:hint="cs"/>
          <w:sz w:val="18"/>
          <w:szCs w:val="18"/>
          <w:rtl/>
        </w:rPr>
        <w:t>מותרת</w:t>
      </w:r>
      <w:r w:rsidRPr="003A4F75">
        <w:rPr>
          <w:rFonts w:cs="Arial"/>
          <w:sz w:val="18"/>
          <w:szCs w:val="18"/>
          <w:rtl/>
        </w:rPr>
        <w:t xml:space="preserve"> </w:t>
      </w:r>
      <w:r w:rsidRPr="003A4F75">
        <w:rPr>
          <w:rFonts w:cs="Arial" w:hint="cs"/>
          <w:sz w:val="18"/>
          <w:szCs w:val="18"/>
          <w:rtl/>
        </w:rPr>
        <w:t>לבעלה</w:t>
      </w:r>
      <w:r>
        <w:rPr>
          <w:rFonts w:cs="Arial" w:hint="cs"/>
          <w:sz w:val="18"/>
          <w:szCs w:val="18"/>
          <w:rtl/>
        </w:rPr>
        <w:t>".</w:t>
      </w:r>
      <w:r>
        <w:rPr>
          <w:rFonts w:cs="Arial" w:hint="cs"/>
          <w:sz w:val="18"/>
          <w:szCs w:val="18"/>
          <w:rtl/>
        </w:rPr>
        <w:br/>
      </w:r>
      <w:r w:rsidRPr="00385A38">
        <w:rPr>
          <w:rFonts w:cs="Arial" w:hint="cs"/>
          <w:sz w:val="20"/>
          <w:szCs w:val="20"/>
          <w:rtl/>
        </w:rPr>
        <w:t xml:space="preserve">ב. </w:t>
      </w:r>
      <w:r w:rsidRPr="00385A38">
        <w:rPr>
          <w:rFonts w:cs="Arial" w:hint="cs"/>
          <w:b/>
          <w:bCs/>
          <w:sz w:val="20"/>
          <w:szCs w:val="20"/>
          <w:rtl/>
        </w:rPr>
        <w:t>ב"ח</w:t>
      </w:r>
      <w:r w:rsidRPr="00385A38">
        <w:rPr>
          <w:rFonts w:cs="Arial" w:hint="cs"/>
          <w:sz w:val="20"/>
          <w:szCs w:val="20"/>
          <w:rtl/>
        </w:rPr>
        <w:t xml:space="preserve"> </w:t>
      </w:r>
      <w:r w:rsidRPr="00385A38">
        <w:rPr>
          <w:rFonts w:cs="Arial"/>
          <w:sz w:val="20"/>
          <w:szCs w:val="20"/>
          <w:rtl/>
        </w:rPr>
        <w:t>–</w:t>
      </w:r>
      <w:r w:rsidRPr="00385A38">
        <w:rPr>
          <w:rFonts w:cs="Arial" w:hint="cs"/>
          <w:sz w:val="20"/>
          <w:szCs w:val="20"/>
          <w:rtl/>
        </w:rPr>
        <w:t xml:space="preserve"> "על</w:t>
      </w:r>
      <w:r w:rsidRPr="00385A38">
        <w:rPr>
          <w:rFonts w:cs="Arial"/>
          <w:sz w:val="20"/>
          <w:szCs w:val="20"/>
          <w:rtl/>
        </w:rPr>
        <w:t xml:space="preserve"> </w:t>
      </w:r>
      <w:r w:rsidRPr="00385A38">
        <w:rPr>
          <w:rFonts w:cs="Arial" w:hint="cs"/>
          <w:sz w:val="20"/>
          <w:szCs w:val="20"/>
          <w:rtl/>
        </w:rPr>
        <w:t>כן</w:t>
      </w:r>
      <w:r w:rsidRPr="00385A38">
        <w:rPr>
          <w:rFonts w:cs="Arial"/>
          <w:sz w:val="20"/>
          <w:szCs w:val="20"/>
          <w:rtl/>
        </w:rPr>
        <w:t xml:space="preserve"> </w:t>
      </w:r>
      <w:r w:rsidRPr="00385A38">
        <w:rPr>
          <w:rFonts w:cs="Arial" w:hint="cs"/>
          <w:sz w:val="20"/>
          <w:szCs w:val="20"/>
          <w:rtl/>
        </w:rPr>
        <w:t>נראה</w:t>
      </w:r>
      <w:r w:rsidRPr="00385A38">
        <w:rPr>
          <w:rFonts w:cs="Arial"/>
          <w:sz w:val="20"/>
          <w:szCs w:val="20"/>
          <w:rtl/>
        </w:rPr>
        <w:t xml:space="preserve"> </w:t>
      </w:r>
      <w:r w:rsidRPr="00385A38">
        <w:rPr>
          <w:rFonts w:cs="Arial" w:hint="cs"/>
          <w:sz w:val="20"/>
          <w:szCs w:val="20"/>
          <w:rtl/>
        </w:rPr>
        <w:t>ודאי</w:t>
      </w:r>
      <w:r w:rsidRPr="00385A38">
        <w:rPr>
          <w:rFonts w:cs="Arial"/>
          <w:sz w:val="20"/>
          <w:szCs w:val="20"/>
          <w:rtl/>
        </w:rPr>
        <w:t xml:space="preserve"> </w:t>
      </w:r>
      <w:r w:rsidRPr="00385A38">
        <w:rPr>
          <w:rFonts w:cs="Arial" w:hint="cs"/>
          <w:sz w:val="20"/>
          <w:szCs w:val="20"/>
          <w:rtl/>
        </w:rPr>
        <w:t>דאיסור</w:t>
      </w:r>
      <w:r w:rsidRPr="00385A38">
        <w:rPr>
          <w:rFonts w:cs="Arial"/>
          <w:sz w:val="20"/>
          <w:szCs w:val="20"/>
          <w:rtl/>
        </w:rPr>
        <w:t xml:space="preserve"> </w:t>
      </w:r>
      <w:r w:rsidRPr="00385A38">
        <w:rPr>
          <w:rFonts w:cs="Arial" w:hint="cs"/>
          <w:sz w:val="20"/>
          <w:szCs w:val="20"/>
          <w:rtl/>
        </w:rPr>
        <w:t>גדול</w:t>
      </w:r>
      <w:r w:rsidRPr="00385A38">
        <w:rPr>
          <w:rFonts w:cs="Arial"/>
          <w:sz w:val="20"/>
          <w:szCs w:val="20"/>
          <w:rtl/>
        </w:rPr>
        <w:t xml:space="preserve"> </w:t>
      </w:r>
      <w:r w:rsidRPr="00385A38">
        <w:rPr>
          <w:rFonts w:cs="Arial" w:hint="cs"/>
          <w:sz w:val="20"/>
          <w:szCs w:val="20"/>
          <w:rtl/>
        </w:rPr>
        <w:t>עושין</w:t>
      </w:r>
      <w:r w:rsidRPr="00385A38">
        <w:rPr>
          <w:rFonts w:cs="Arial"/>
          <w:sz w:val="20"/>
          <w:szCs w:val="20"/>
          <w:rtl/>
        </w:rPr>
        <w:t xml:space="preserve"> </w:t>
      </w:r>
      <w:r w:rsidRPr="00385A38">
        <w:rPr>
          <w:rFonts w:cs="Arial" w:hint="cs"/>
          <w:sz w:val="20"/>
          <w:szCs w:val="20"/>
          <w:rtl/>
        </w:rPr>
        <w:t>מקצת</w:t>
      </w:r>
      <w:r w:rsidRPr="00385A38">
        <w:rPr>
          <w:rFonts w:cs="Arial"/>
          <w:sz w:val="20"/>
          <w:szCs w:val="20"/>
          <w:rtl/>
        </w:rPr>
        <w:t xml:space="preserve"> </w:t>
      </w:r>
      <w:r w:rsidRPr="00385A38">
        <w:rPr>
          <w:rFonts w:cs="Arial" w:hint="cs"/>
          <w:sz w:val="20"/>
          <w:szCs w:val="20"/>
          <w:rtl/>
        </w:rPr>
        <w:t>בני</w:t>
      </w:r>
      <w:r w:rsidRPr="00385A38">
        <w:rPr>
          <w:rFonts w:cs="Arial"/>
          <w:sz w:val="20"/>
          <w:szCs w:val="20"/>
          <w:rtl/>
        </w:rPr>
        <w:t xml:space="preserve"> </w:t>
      </w:r>
      <w:r w:rsidRPr="00385A38">
        <w:rPr>
          <w:rFonts w:cs="Arial" w:hint="cs"/>
          <w:sz w:val="20"/>
          <w:szCs w:val="20"/>
          <w:rtl/>
        </w:rPr>
        <w:t>אדם</w:t>
      </w:r>
      <w:r w:rsidRPr="00385A38">
        <w:rPr>
          <w:rFonts w:cs="Arial"/>
          <w:sz w:val="20"/>
          <w:szCs w:val="20"/>
          <w:rtl/>
        </w:rPr>
        <w:t xml:space="preserve"> </w:t>
      </w:r>
      <w:r w:rsidRPr="00385A38">
        <w:rPr>
          <w:rFonts w:cs="Arial" w:hint="cs"/>
          <w:sz w:val="20"/>
          <w:szCs w:val="20"/>
          <w:rtl/>
        </w:rPr>
        <w:t>דמשנין</w:t>
      </w:r>
      <w:r w:rsidRPr="00385A38">
        <w:rPr>
          <w:rFonts w:cs="Arial"/>
          <w:sz w:val="20"/>
          <w:szCs w:val="20"/>
          <w:rtl/>
        </w:rPr>
        <w:t xml:space="preserve"> </w:t>
      </w:r>
      <w:r w:rsidRPr="00385A38">
        <w:rPr>
          <w:rFonts w:cs="Arial" w:hint="cs"/>
          <w:sz w:val="20"/>
          <w:szCs w:val="20"/>
          <w:rtl/>
        </w:rPr>
        <w:t>מנהג</w:t>
      </w:r>
      <w:r w:rsidRPr="00385A38">
        <w:rPr>
          <w:rFonts w:cs="Arial"/>
          <w:sz w:val="20"/>
          <w:szCs w:val="20"/>
          <w:rtl/>
        </w:rPr>
        <w:t xml:space="preserve"> </w:t>
      </w:r>
      <w:r w:rsidRPr="00385A38">
        <w:rPr>
          <w:rFonts w:cs="Arial" w:hint="cs"/>
          <w:sz w:val="20"/>
          <w:szCs w:val="20"/>
          <w:rtl/>
        </w:rPr>
        <w:t>אבותיהם</w:t>
      </w:r>
      <w:r w:rsidRPr="00385A38">
        <w:rPr>
          <w:rFonts w:cs="Arial"/>
          <w:sz w:val="20"/>
          <w:szCs w:val="20"/>
          <w:rtl/>
        </w:rPr>
        <w:t xml:space="preserve"> </w:t>
      </w:r>
      <w:r w:rsidRPr="00385A38">
        <w:rPr>
          <w:rFonts w:cs="Arial" w:hint="cs"/>
          <w:sz w:val="20"/>
          <w:szCs w:val="20"/>
          <w:rtl/>
        </w:rPr>
        <w:t>בדבר</w:t>
      </w:r>
      <w:r w:rsidRPr="00385A38">
        <w:rPr>
          <w:rFonts w:cs="Arial"/>
          <w:sz w:val="20"/>
          <w:szCs w:val="20"/>
          <w:rtl/>
        </w:rPr>
        <w:t xml:space="preserve"> </w:t>
      </w:r>
      <w:r w:rsidRPr="00385A38">
        <w:rPr>
          <w:rFonts w:cs="Arial" w:hint="cs"/>
          <w:sz w:val="20"/>
          <w:szCs w:val="20"/>
          <w:rtl/>
        </w:rPr>
        <w:t>זה</w:t>
      </w:r>
      <w:r w:rsidRPr="00385A38">
        <w:rPr>
          <w:rFonts w:cs="Arial"/>
          <w:sz w:val="20"/>
          <w:szCs w:val="20"/>
          <w:rtl/>
        </w:rPr>
        <w:t xml:space="preserve"> </w:t>
      </w:r>
      <w:r w:rsidRPr="00385A38">
        <w:rPr>
          <w:rFonts w:cs="Arial" w:hint="cs"/>
          <w:sz w:val="20"/>
          <w:szCs w:val="20"/>
          <w:rtl/>
        </w:rPr>
        <w:t>ומקילין</w:t>
      </w:r>
      <w:r w:rsidRPr="00385A38">
        <w:rPr>
          <w:rFonts w:cs="Arial"/>
          <w:sz w:val="20"/>
          <w:szCs w:val="20"/>
          <w:rtl/>
        </w:rPr>
        <w:t xml:space="preserve"> </w:t>
      </w:r>
      <w:r w:rsidRPr="00385A38">
        <w:rPr>
          <w:rFonts w:cs="Arial" w:hint="cs"/>
          <w:sz w:val="20"/>
          <w:szCs w:val="20"/>
          <w:rtl/>
        </w:rPr>
        <w:t>לטבול</w:t>
      </w:r>
      <w:r w:rsidRPr="00385A38">
        <w:rPr>
          <w:rFonts w:cs="Arial"/>
          <w:sz w:val="20"/>
          <w:szCs w:val="20"/>
          <w:rtl/>
        </w:rPr>
        <w:t xml:space="preserve"> </w:t>
      </w:r>
      <w:r w:rsidRPr="00385A38">
        <w:rPr>
          <w:rFonts w:cs="Arial" w:hint="cs"/>
          <w:sz w:val="20"/>
          <w:szCs w:val="20"/>
          <w:rtl/>
        </w:rPr>
        <w:t>תוך</w:t>
      </w:r>
      <w:r w:rsidRPr="00385A38">
        <w:rPr>
          <w:rFonts w:cs="Arial"/>
          <w:sz w:val="20"/>
          <w:szCs w:val="20"/>
          <w:rtl/>
        </w:rPr>
        <w:t xml:space="preserve"> </w:t>
      </w:r>
      <w:r w:rsidRPr="00385A38">
        <w:rPr>
          <w:rFonts w:cs="Arial" w:hint="cs"/>
          <w:sz w:val="20"/>
          <w:szCs w:val="20"/>
          <w:rtl/>
        </w:rPr>
        <w:t>מ</w:t>
      </w:r>
      <w:r w:rsidRPr="00385A38">
        <w:rPr>
          <w:rFonts w:cs="Arial"/>
          <w:sz w:val="20"/>
          <w:szCs w:val="20"/>
          <w:rtl/>
        </w:rPr>
        <w:t>"</w:t>
      </w:r>
      <w:r w:rsidRPr="00385A38">
        <w:rPr>
          <w:rFonts w:cs="Arial" w:hint="cs"/>
          <w:sz w:val="20"/>
          <w:szCs w:val="20"/>
          <w:rtl/>
        </w:rPr>
        <w:t>א</w:t>
      </w:r>
      <w:r w:rsidRPr="00385A38">
        <w:rPr>
          <w:rFonts w:cs="Arial"/>
          <w:sz w:val="20"/>
          <w:szCs w:val="20"/>
          <w:rtl/>
        </w:rPr>
        <w:t xml:space="preserve"> </w:t>
      </w:r>
      <w:r w:rsidRPr="00385A38">
        <w:rPr>
          <w:rFonts w:cs="Arial" w:hint="cs"/>
          <w:sz w:val="20"/>
          <w:szCs w:val="20"/>
          <w:rtl/>
        </w:rPr>
        <w:t>לזכר</w:t>
      </w:r>
      <w:r w:rsidRPr="00385A38">
        <w:rPr>
          <w:rFonts w:cs="Arial"/>
          <w:sz w:val="20"/>
          <w:szCs w:val="20"/>
          <w:rtl/>
        </w:rPr>
        <w:t xml:space="preserve"> </w:t>
      </w:r>
      <w:r w:rsidRPr="00385A38">
        <w:rPr>
          <w:rFonts w:cs="Arial" w:hint="cs"/>
          <w:sz w:val="20"/>
          <w:szCs w:val="20"/>
          <w:rtl/>
        </w:rPr>
        <w:t>ותוך</w:t>
      </w:r>
      <w:r w:rsidRPr="00385A38">
        <w:rPr>
          <w:rFonts w:cs="Arial"/>
          <w:sz w:val="20"/>
          <w:szCs w:val="20"/>
          <w:rtl/>
        </w:rPr>
        <w:t xml:space="preserve"> </w:t>
      </w:r>
      <w:r w:rsidRPr="00385A38">
        <w:rPr>
          <w:rFonts w:cs="Arial" w:hint="cs"/>
          <w:sz w:val="20"/>
          <w:szCs w:val="20"/>
          <w:rtl/>
        </w:rPr>
        <w:t>פ</w:t>
      </w:r>
      <w:r w:rsidRPr="00385A38">
        <w:rPr>
          <w:rFonts w:cs="Arial"/>
          <w:sz w:val="20"/>
          <w:szCs w:val="20"/>
          <w:rtl/>
        </w:rPr>
        <w:t>"</w:t>
      </w:r>
      <w:r w:rsidRPr="00385A38">
        <w:rPr>
          <w:rFonts w:cs="Arial" w:hint="cs"/>
          <w:sz w:val="20"/>
          <w:szCs w:val="20"/>
          <w:rtl/>
        </w:rPr>
        <w:t>א</w:t>
      </w:r>
      <w:r w:rsidRPr="00385A38">
        <w:rPr>
          <w:rFonts w:cs="Arial"/>
          <w:sz w:val="20"/>
          <w:szCs w:val="20"/>
          <w:rtl/>
        </w:rPr>
        <w:t xml:space="preserve"> </w:t>
      </w:r>
      <w:r w:rsidRPr="00385A38">
        <w:rPr>
          <w:rFonts w:cs="Arial" w:hint="cs"/>
          <w:sz w:val="20"/>
          <w:szCs w:val="20"/>
          <w:rtl/>
        </w:rPr>
        <w:t>לנקבה</w:t>
      </w:r>
      <w:r>
        <w:rPr>
          <w:rFonts w:cs="Arial" w:hint="cs"/>
          <w:sz w:val="20"/>
          <w:szCs w:val="20"/>
          <w:rtl/>
        </w:rPr>
        <w:t>,</w:t>
      </w:r>
      <w:r w:rsidRPr="00385A38">
        <w:rPr>
          <w:rFonts w:cs="Arial"/>
          <w:sz w:val="20"/>
          <w:szCs w:val="20"/>
          <w:rtl/>
        </w:rPr>
        <w:t xml:space="preserve"> </w:t>
      </w:r>
      <w:r w:rsidRPr="00385A38">
        <w:rPr>
          <w:rFonts w:cs="Arial" w:hint="cs"/>
          <w:sz w:val="20"/>
          <w:szCs w:val="20"/>
          <w:rtl/>
        </w:rPr>
        <w:t>ואין</w:t>
      </w:r>
      <w:r w:rsidRPr="00385A38">
        <w:rPr>
          <w:rFonts w:cs="Arial"/>
          <w:sz w:val="20"/>
          <w:szCs w:val="20"/>
          <w:rtl/>
        </w:rPr>
        <w:t xml:space="preserve"> </w:t>
      </w:r>
      <w:r w:rsidRPr="00385A38">
        <w:rPr>
          <w:rFonts w:cs="Arial" w:hint="cs"/>
          <w:sz w:val="20"/>
          <w:szCs w:val="20"/>
          <w:rtl/>
        </w:rPr>
        <w:t>ספק</w:t>
      </w:r>
      <w:r w:rsidRPr="00385A38">
        <w:rPr>
          <w:rFonts w:cs="Arial"/>
          <w:sz w:val="20"/>
          <w:szCs w:val="20"/>
          <w:rtl/>
        </w:rPr>
        <w:t xml:space="preserve"> </w:t>
      </w:r>
      <w:r w:rsidRPr="00385A38">
        <w:rPr>
          <w:rFonts w:cs="Arial" w:hint="cs"/>
          <w:sz w:val="20"/>
          <w:szCs w:val="20"/>
          <w:rtl/>
        </w:rPr>
        <w:t>דאין</w:t>
      </w:r>
      <w:r w:rsidRPr="00385A38">
        <w:rPr>
          <w:rFonts w:cs="Arial"/>
          <w:sz w:val="20"/>
          <w:szCs w:val="20"/>
          <w:rtl/>
        </w:rPr>
        <w:t xml:space="preserve"> </w:t>
      </w:r>
      <w:r w:rsidRPr="00385A38">
        <w:rPr>
          <w:rFonts w:cs="Arial" w:hint="cs"/>
          <w:sz w:val="20"/>
          <w:szCs w:val="20"/>
          <w:rtl/>
        </w:rPr>
        <w:t>פורשין</w:t>
      </w:r>
      <w:r w:rsidRPr="00385A38">
        <w:rPr>
          <w:rFonts w:cs="Arial"/>
          <w:sz w:val="20"/>
          <w:szCs w:val="20"/>
          <w:rtl/>
        </w:rPr>
        <w:t xml:space="preserve"> </w:t>
      </w:r>
      <w:r w:rsidRPr="00385A38">
        <w:rPr>
          <w:rFonts w:cs="Arial" w:hint="cs"/>
          <w:sz w:val="20"/>
          <w:szCs w:val="20"/>
          <w:rtl/>
        </w:rPr>
        <w:t>עצמן</w:t>
      </w:r>
      <w:r w:rsidRPr="00385A38">
        <w:rPr>
          <w:rFonts w:cs="Arial"/>
          <w:sz w:val="20"/>
          <w:szCs w:val="20"/>
          <w:rtl/>
        </w:rPr>
        <w:t xml:space="preserve"> </w:t>
      </w:r>
      <w:r w:rsidRPr="00385A38">
        <w:rPr>
          <w:rFonts w:cs="Arial" w:hint="cs"/>
          <w:sz w:val="20"/>
          <w:szCs w:val="20"/>
          <w:rtl/>
        </w:rPr>
        <w:t>עונה</w:t>
      </w:r>
      <w:r w:rsidRPr="00385A38">
        <w:rPr>
          <w:rFonts w:cs="Arial"/>
          <w:sz w:val="20"/>
          <w:szCs w:val="20"/>
          <w:rtl/>
        </w:rPr>
        <w:t xml:space="preserve"> </w:t>
      </w:r>
      <w:r w:rsidRPr="00385A38">
        <w:rPr>
          <w:rFonts w:cs="Arial" w:hint="cs"/>
          <w:sz w:val="20"/>
          <w:szCs w:val="20"/>
          <w:rtl/>
        </w:rPr>
        <w:t>דליל</w:t>
      </w:r>
      <w:r w:rsidRPr="00385A38">
        <w:rPr>
          <w:rFonts w:cs="Arial"/>
          <w:sz w:val="20"/>
          <w:szCs w:val="20"/>
          <w:rtl/>
        </w:rPr>
        <w:t xml:space="preserve"> </w:t>
      </w:r>
      <w:r w:rsidRPr="00385A38">
        <w:rPr>
          <w:rFonts w:cs="Arial" w:hint="cs"/>
          <w:sz w:val="20"/>
          <w:szCs w:val="20"/>
          <w:rtl/>
        </w:rPr>
        <w:t>מ</w:t>
      </w:r>
      <w:r w:rsidRPr="00385A38">
        <w:rPr>
          <w:rFonts w:cs="Arial"/>
          <w:sz w:val="20"/>
          <w:szCs w:val="20"/>
          <w:rtl/>
        </w:rPr>
        <w:t>"</w:t>
      </w:r>
      <w:r w:rsidRPr="00385A38">
        <w:rPr>
          <w:rFonts w:cs="Arial" w:hint="cs"/>
          <w:sz w:val="20"/>
          <w:szCs w:val="20"/>
          <w:rtl/>
        </w:rPr>
        <w:t>א</w:t>
      </w:r>
      <w:r w:rsidRPr="00385A38">
        <w:rPr>
          <w:rFonts w:cs="Arial"/>
          <w:sz w:val="20"/>
          <w:szCs w:val="20"/>
          <w:rtl/>
        </w:rPr>
        <w:t xml:space="preserve"> </w:t>
      </w:r>
      <w:r w:rsidRPr="00385A38">
        <w:rPr>
          <w:rFonts w:cs="Arial" w:hint="cs"/>
          <w:sz w:val="20"/>
          <w:szCs w:val="20"/>
          <w:rtl/>
        </w:rPr>
        <w:t>וליל</w:t>
      </w:r>
      <w:r w:rsidRPr="00385A38">
        <w:rPr>
          <w:rFonts w:cs="Arial"/>
          <w:sz w:val="20"/>
          <w:szCs w:val="20"/>
          <w:rtl/>
        </w:rPr>
        <w:t xml:space="preserve"> </w:t>
      </w:r>
      <w:r w:rsidRPr="00385A38">
        <w:rPr>
          <w:rFonts w:cs="Arial" w:hint="cs"/>
          <w:sz w:val="20"/>
          <w:szCs w:val="20"/>
          <w:rtl/>
        </w:rPr>
        <w:t>פ</w:t>
      </w:r>
      <w:r w:rsidRPr="00385A38">
        <w:rPr>
          <w:rFonts w:cs="Arial"/>
          <w:sz w:val="20"/>
          <w:szCs w:val="20"/>
          <w:rtl/>
        </w:rPr>
        <w:t>"</w:t>
      </w:r>
      <w:r w:rsidRPr="00385A38">
        <w:rPr>
          <w:rFonts w:cs="Arial" w:hint="cs"/>
          <w:sz w:val="20"/>
          <w:szCs w:val="20"/>
          <w:rtl/>
        </w:rPr>
        <w:t>א</w:t>
      </w:r>
      <w:r>
        <w:rPr>
          <w:rFonts w:cs="Arial" w:hint="cs"/>
          <w:sz w:val="20"/>
          <w:szCs w:val="20"/>
          <w:rtl/>
        </w:rPr>
        <w:t>,</w:t>
      </w:r>
      <w:r w:rsidRPr="00385A38">
        <w:rPr>
          <w:rFonts w:cs="Arial"/>
          <w:sz w:val="20"/>
          <w:szCs w:val="20"/>
          <w:rtl/>
        </w:rPr>
        <w:t xml:space="preserve"> </w:t>
      </w:r>
      <w:r w:rsidRPr="00385A38">
        <w:rPr>
          <w:rFonts w:cs="Arial" w:hint="cs"/>
          <w:sz w:val="20"/>
          <w:szCs w:val="20"/>
          <w:rtl/>
        </w:rPr>
        <w:t>ועוברין</w:t>
      </w:r>
      <w:r w:rsidRPr="00385A38">
        <w:rPr>
          <w:rFonts w:cs="Arial"/>
          <w:sz w:val="20"/>
          <w:szCs w:val="20"/>
          <w:rtl/>
        </w:rPr>
        <w:t xml:space="preserve"> </w:t>
      </w:r>
      <w:r w:rsidRPr="00385A38">
        <w:rPr>
          <w:rFonts w:cs="Arial" w:hint="cs"/>
          <w:sz w:val="20"/>
          <w:szCs w:val="20"/>
          <w:rtl/>
        </w:rPr>
        <w:t>על</w:t>
      </w:r>
      <w:r w:rsidRPr="00385A38">
        <w:rPr>
          <w:rFonts w:cs="Arial"/>
          <w:sz w:val="20"/>
          <w:szCs w:val="20"/>
          <w:rtl/>
        </w:rPr>
        <w:t xml:space="preserve"> </w:t>
      </w:r>
      <w:r w:rsidRPr="00385A38">
        <w:rPr>
          <w:rFonts w:cs="Arial" w:hint="cs"/>
          <w:sz w:val="20"/>
          <w:szCs w:val="20"/>
          <w:rtl/>
        </w:rPr>
        <w:t>אל</w:t>
      </w:r>
      <w:r w:rsidRPr="00385A38">
        <w:rPr>
          <w:rFonts w:cs="Arial"/>
          <w:sz w:val="20"/>
          <w:szCs w:val="20"/>
          <w:rtl/>
        </w:rPr>
        <w:t xml:space="preserve"> </w:t>
      </w:r>
      <w:r w:rsidRPr="00385A38">
        <w:rPr>
          <w:rFonts w:cs="Arial" w:hint="cs"/>
          <w:sz w:val="20"/>
          <w:szCs w:val="20"/>
          <w:rtl/>
        </w:rPr>
        <w:t>תטוש</w:t>
      </w:r>
      <w:r w:rsidRPr="00385A38">
        <w:rPr>
          <w:rFonts w:cs="Arial"/>
          <w:sz w:val="20"/>
          <w:szCs w:val="20"/>
          <w:rtl/>
        </w:rPr>
        <w:t xml:space="preserve"> </w:t>
      </w:r>
      <w:r w:rsidRPr="00385A38">
        <w:rPr>
          <w:rFonts w:cs="Arial" w:hint="cs"/>
          <w:sz w:val="20"/>
          <w:szCs w:val="20"/>
          <w:rtl/>
        </w:rPr>
        <w:t>תורת</w:t>
      </w:r>
      <w:r w:rsidRPr="00385A38">
        <w:rPr>
          <w:rFonts w:cs="Arial"/>
          <w:sz w:val="20"/>
          <w:szCs w:val="20"/>
          <w:rtl/>
        </w:rPr>
        <w:t xml:space="preserve"> </w:t>
      </w:r>
      <w:r w:rsidRPr="00385A38">
        <w:rPr>
          <w:rFonts w:cs="Arial" w:hint="cs"/>
          <w:sz w:val="20"/>
          <w:szCs w:val="20"/>
          <w:rtl/>
        </w:rPr>
        <w:t>אמך</w:t>
      </w:r>
      <w:r w:rsidRPr="00385A38">
        <w:rPr>
          <w:rFonts w:cs="Arial"/>
          <w:sz w:val="20"/>
          <w:szCs w:val="20"/>
          <w:rtl/>
        </w:rPr>
        <w:t xml:space="preserve"> </w:t>
      </w:r>
      <w:r w:rsidRPr="00385A38">
        <w:rPr>
          <w:rFonts w:cs="Arial" w:hint="cs"/>
          <w:sz w:val="20"/>
          <w:szCs w:val="20"/>
          <w:rtl/>
        </w:rPr>
        <w:t>ופורץ</w:t>
      </w:r>
      <w:r w:rsidRPr="00385A38">
        <w:rPr>
          <w:rFonts w:cs="Arial"/>
          <w:sz w:val="20"/>
          <w:szCs w:val="20"/>
          <w:rtl/>
        </w:rPr>
        <w:t xml:space="preserve"> </w:t>
      </w:r>
      <w:r w:rsidRPr="00385A38">
        <w:rPr>
          <w:rFonts w:cs="Arial" w:hint="cs"/>
          <w:sz w:val="20"/>
          <w:szCs w:val="20"/>
          <w:rtl/>
        </w:rPr>
        <w:t>גדר</w:t>
      </w:r>
      <w:r w:rsidRPr="00385A38">
        <w:rPr>
          <w:rFonts w:cs="Arial"/>
          <w:sz w:val="20"/>
          <w:szCs w:val="20"/>
          <w:rtl/>
        </w:rPr>
        <w:t xml:space="preserve"> </w:t>
      </w:r>
      <w:r w:rsidRPr="00385A38">
        <w:rPr>
          <w:rFonts w:cs="Arial" w:hint="cs"/>
          <w:sz w:val="20"/>
          <w:szCs w:val="20"/>
          <w:rtl/>
        </w:rPr>
        <w:t>ישכנו</w:t>
      </w:r>
      <w:r w:rsidRPr="00385A38">
        <w:rPr>
          <w:rFonts w:cs="Arial"/>
          <w:sz w:val="20"/>
          <w:szCs w:val="20"/>
          <w:rtl/>
        </w:rPr>
        <w:t xml:space="preserve"> </w:t>
      </w:r>
      <w:r w:rsidRPr="00385A38">
        <w:rPr>
          <w:rFonts w:cs="Arial" w:hint="cs"/>
          <w:sz w:val="20"/>
          <w:szCs w:val="20"/>
          <w:rtl/>
        </w:rPr>
        <w:t>נחש</w:t>
      </w:r>
      <w:r>
        <w:rPr>
          <w:rFonts w:cs="Arial" w:hint="cs"/>
          <w:sz w:val="20"/>
          <w:szCs w:val="20"/>
          <w:rtl/>
        </w:rPr>
        <w:t>".</w:t>
      </w:r>
      <w:r>
        <w:rPr>
          <w:rFonts w:cs="Arial"/>
          <w:sz w:val="20"/>
          <w:szCs w:val="20"/>
          <w:rtl/>
        </w:rPr>
        <w:br/>
      </w:r>
      <w:r>
        <w:rPr>
          <w:rFonts w:cs="Arial" w:hint="cs"/>
          <w:sz w:val="20"/>
          <w:szCs w:val="20"/>
          <w:rtl/>
        </w:rPr>
        <w:t xml:space="preserve">אמנם, </w:t>
      </w:r>
      <w:r w:rsidRPr="00385A38">
        <w:rPr>
          <w:rFonts w:cs="Arial" w:hint="cs"/>
          <w:b/>
          <w:bCs/>
          <w:sz w:val="20"/>
          <w:szCs w:val="20"/>
          <w:rtl/>
        </w:rPr>
        <w:t>הט"ז</w:t>
      </w:r>
      <w:r>
        <w:rPr>
          <w:rFonts w:cs="Arial" w:hint="cs"/>
          <w:sz w:val="20"/>
          <w:szCs w:val="20"/>
          <w:rtl/>
        </w:rPr>
        <w:t xml:space="preserve"> דחה את דברי </w:t>
      </w:r>
      <w:r w:rsidRPr="00385A38">
        <w:rPr>
          <w:rFonts w:cs="Arial" w:hint="cs"/>
          <w:b/>
          <w:bCs/>
          <w:sz w:val="20"/>
          <w:szCs w:val="20"/>
          <w:rtl/>
        </w:rPr>
        <w:t>הב"ח</w:t>
      </w:r>
      <w:r>
        <w:rPr>
          <w:rFonts w:cs="Arial" w:hint="cs"/>
          <w:sz w:val="20"/>
          <w:szCs w:val="20"/>
          <w:rtl/>
        </w:rPr>
        <w:t xml:space="preserve"> באופן מוחלט, וכן האריך הגרע"י </w:t>
      </w:r>
      <w:r w:rsidRPr="00385A38">
        <w:rPr>
          <w:rFonts w:cs="Arial" w:hint="cs"/>
          <w:b/>
          <w:bCs/>
          <w:sz w:val="20"/>
          <w:szCs w:val="20"/>
          <w:rtl/>
        </w:rPr>
        <w:t>בטהרת הבית</w:t>
      </w:r>
      <w:r>
        <w:rPr>
          <w:rFonts w:cs="Arial" w:hint="cs"/>
          <w:sz w:val="20"/>
          <w:szCs w:val="20"/>
          <w:rtl/>
        </w:rPr>
        <w:t xml:space="preserve"> לדחות מנהג זה.</w:t>
      </w:r>
    </w:p>
    <w:p w:rsidR="00620060" w:rsidRDefault="00620060" w:rsidP="00620060">
      <w:pPr>
        <w:rPr>
          <w:rFonts w:cs="Arial"/>
          <w:sz w:val="20"/>
          <w:szCs w:val="20"/>
          <w:rtl/>
        </w:rPr>
      </w:pPr>
      <w:r>
        <w:rPr>
          <w:rFonts w:cs="Arial" w:hint="cs"/>
          <w:sz w:val="20"/>
          <w:szCs w:val="20"/>
          <w:u w:val="single"/>
          <w:rtl/>
        </w:rPr>
        <w:t>דין מקום שנהגו במנהג זה (פת"ש)</w:t>
      </w:r>
      <w:r>
        <w:rPr>
          <w:rFonts w:cs="Arial" w:hint="cs"/>
          <w:sz w:val="20"/>
          <w:szCs w:val="20"/>
          <w:u w:val="single"/>
          <w:rtl/>
        </w:rPr>
        <w:br/>
      </w:r>
      <w:r w:rsidRPr="00591B7E">
        <w:rPr>
          <w:rFonts w:cs="Arial" w:hint="cs"/>
          <w:b/>
          <w:bCs/>
          <w:sz w:val="20"/>
          <w:szCs w:val="20"/>
          <w:rtl/>
        </w:rPr>
        <w:t>באר היטב</w:t>
      </w:r>
      <w:r>
        <w:rPr>
          <w:rFonts w:cs="Arial" w:hint="cs"/>
          <w:sz w:val="20"/>
          <w:szCs w:val="20"/>
          <w:rtl/>
        </w:rPr>
        <w:t xml:space="preserve"> </w:t>
      </w:r>
      <w:r>
        <w:rPr>
          <w:rFonts w:cs="Arial"/>
          <w:sz w:val="20"/>
          <w:szCs w:val="20"/>
          <w:rtl/>
        </w:rPr>
        <w:t>–</w:t>
      </w:r>
      <w:r>
        <w:rPr>
          <w:rFonts w:cs="Arial" w:hint="cs"/>
          <w:sz w:val="20"/>
          <w:szCs w:val="20"/>
          <w:rtl/>
        </w:rPr>
        <w:t xml:space="preserve"> משמע מדברי הט"ז שבמקום שנהגו מנהג זה אין להקל, והמקל פורץ גדר.</w:t>
      </w:r>
      <w:r>
        <w:rPr>
          <w:rFonts w:cs="Arial"/>
          <w:sz w:val="20"/>
          <w:szCs w:val="20"/>
          <w:rtl/>
        </w:rPr>
        <w:br/>
      </w:r>
      <w:r w:rsidRPr="00591B7E">
        <w:rPr>
          <w:rFonts w:cs="Arial" w:hint="cs"/>
          <w:b/>
          <w:bCs/>
          <w:sz w:val="20"/>
          <w:szCs w:val="20"/>
          <w:rtl/>
        </w:rPr>
        <w:t>נודע ביהודה</w:t>
      </w:r>
      <w:r>
        <w:rPr>
          <w:rFonts w:cs="Arial" w:hint="cs"/>
          <w:sz w:val="20"/>
          <w:szCs w:val="20"/>
          <w:rtl/>
        </w:rPr>
        <w:t xml:space="preserve"> </w:t>
      </w:r>
      <w:r>
        <w:rPr>
          <w:rFonts w:cs="Arial"/>
          <w:sz w:val="20"/>
          <w:szCs w:val="20"/>
          <w:rtl/>
        </w:rPr>
        <w:t>–</w:t>
      </w:r>
      <w:r>
        <w:rPr>
          <w:rFonts w:cs="Arial" w:hint="cs"/>
          <w:sz w:val="20"/>
          <w:szCs w:val="20"/>
          <w:rtl/>
        </w:rPr>
        <w:t xml:space="preserve"> דווקא אם ידוע שמנהג זה נוסד על ידי זקני הקהל, אך אם אין ידוע זאת יש לומר שהנשים נהגו זאת מדעתם ושייך בזה רק דין 'דברים המותרים ואחרים נהגו בהם איסור' שאין להתיר בפניהם. </w:t>
      </w:r>
      <w:r>
        <w:rPr>
          <w:rFonts w:cs="Arial"/>
          <w:sz w:val="20"/>
          <w:szCs w:val="20"/>
          <w:rtl/>
        </w:rPr>
        <w:br/>
      </w:r>
      <w:r>
        <w:rPr>
          <w:rFonts w:cs="Arial" w:hint="cs"/>
          <w:sz w:val="20"/>
          <w:szCs w:val="20"/>
          <w:rtl/>
        </w:rPr>
        <w:t>ואמנם, העיקר לדינא לבטל מנהג זה.</w:t>
      </w:r>
    </w:p>
    <w:p w:rsidR="00620060" w:rsidRDefault="00620060" w:rsidP="00620060">
      <w:pPr>
        <w:rPr>
          <w:sz w:val="20"/>
          <w:szCs w:val="20"/>
          <w:rtl/>
        </w:rPr>
      </w:pPr>
      <w:r w:rsidRPr="00461D28">
        <w:rPr>
          <w:rFonts w:hint="cs"/>
          <w:b/>
          <w:bCs/>
          <w:sz w:val="20"/>
          <w:szCs w:val="20"/>
          <w:rtl/>
        </w:rPr>
        <w:t>סיכום</w:t>
      </w:r>
      <w:r>
        <w:rPr>
          <w:sz w:val="20"/>
          <w:szCs w:val="20"/>
          <w:rtl/>
        </w:rPr>
        <w:br/>
      </w:r>
      <w:r>
        <w:rPr>
          <w:rFonts w:hint="cs"/>
          <w:sz w:val="20"/>
          <w:szCs w:val="20"/>
          <w:rtl/>
        </w:rPr>
        <w:t xml:space="preserve">1. </w:t>
      </w:r>
      <w:r w:rsidRPr="0005561E">
        <w:rPr>
          <w:rFonts w:hint="cs"/>
          <w:b/>
          <w:bCs/>
          <w:sz w:val="20"/>
          <w:szCs w:val="20"/>
          <w:rtl/>
        </w:rPr>
        <w:t>תורה</w:t>
      </w:r>
      <w:r>
        <w:rPr>
          <w:rFonts w:hint="cs"/>
          <w:sz w:val="20"/>
          <w:szCs w:val="20"/>
          <w:rtl/>
        </w:rPr>
        <w:t>. יולדת זכר טמאה שבוע ויש לה לג' ימי טהרה. יולדת נקבה טמאה שבועיים ויש לה סו' ימי טהרה.</w:t>
      </w:r>
      <w:r>
        <w:rPr>
          <w:rFonts w:hint="cs"/>
          <w:sz w:val="20"/>
          <w:szCs w:val="20"/>
          <w:rtl/>
        </w:rPr>
        <w:br/>
        <w:t xml:space="preserve">2. </w:t>
      </w:r>
      <w:r w:rsidRPr="0068562C">
        <w:rPr>
          <w:rFonts w:hint="cs"/>
          <w:b/>
          <w:bCs/>
          <w:sz w:val="20"/>
          <w:szCs w:val="20"/>
          <w:rtl/>
        </w:rPr>
        <w:t>ב"י</w:t>
      </w:r>
      <w:r>
        <w:rPr>
          <w:rFonts w:hint="cs"/>
          <w:sz w:val="20"/>
          <w:szCs w:val="20"/>
          <w:rtl/>
        </w:rPr>
        <w:t xml:space="preserve">. גם למ"ד 'אפשר לפתיה"ק בלא דם', אשה שילדה טמאה. </w:t>
      </w:r>
      <w:r w:rsidRPr="00E510C7">
        <w:rPr>
          <w:rFonts w:hint="cs"/>
          <w:b/>
          <w:bCs/>
          <w:sz w:val="20"/>
          <w:szCs w:val="20"/>
          <w:rtl/>
        </w:rPr>
        <w:t>טעם</w:t>
      </w:r>
      <w:r>
        <w:rPr>
          <w:rFonts w:hint="cs"/>
          <w:sz w:val="20"/>
          <w:szCs w:val="20"/>
          <w:rtl/>
        </w:rPr>
        <w:t>. טומאת לידה היא טומאה בפנ"ע.</w:t>
      </w:r>
      <w:r>
        <w:rPr>
          <w:sz w:val="20"/>
          <w:szCs w:val="20"/>
          <w:rtl/>
        </w:rPr>
        <w:br/>
      </w:r>
      <w:r>
        <w:rPr>
          <w:rFonts w:hint="cs"/>
          <w:sz w:val="20"/>
          <w:szCs w:val="20"/>
          <w:rtl/>
        </w:rPr>
        <w:t xml:space="preserve">3. </w:t>
      </w:r>
      <w:r w:rsidRPr="0068562C">
        <w:rPr>
          <w:rFonts w:hint="cs"/>
          <w:b/>
          <w:bCs/>
          <w:sz w:val="20"/>
          <w:szCs w:val="20"/>
          <w:rtl/>
        </w:rPr>
        <w:t>משנה</w:t>
      </w:r>
      <w:r>
        <w:rPr>
          <w:rFonts w:hint="cs"/>
          <w:sz w:val="20"/>
          <w:szCs w:val="20"/>
          <w:rtl/>
        </w:rPr>
        <w:t xml:space="preserve">. המפלת נפל ליום מא' תשב ימי טומאה לנקבה וימי טהרתה כו' בלבד </w:t>
      </w:r>
      <w:r w:rsidRPr="00E510C7">
        <w:rPr>
          <w:rFonts w:hint="cs"/>
          <w:sz w:val="18"/>
          <w:szCs w:val="18"/>
          <w:rtl/>
        </w:rPr>
        <w:t>(כיולדת זכר)</w:t>
      </w:r>
      <w:r>
        <w:rPr>
          <w:rFonts w:hint="cs"/>
          <w:sz w:val="20"/>
          <w:szCs w:val="20"/>
          <w:rtl/>
        </w:rPr>
        <w:t>.</w:t>
      </w:r>
      <w:r>
        <w:rPr>
          <w:rFonts w:hint="cs"/>
          <w:sz w:val="20"/>
          <w:szCs w:val="20"/>
          <w:rtl/>
        </w:rPr>
        <w:br/>
        <w:t xml:space="preserve">4. </w:t>
      </w:r>
      <w:r w:rsidRPr="0005561E">
        <w:rPr>
          <w:rFonts w:hint="cs"/>
          <w:b/>
          <w:bCs/>
          <w:sz w:val="20"/>
          <w:szCs w:val="20"/>
          <w:rtl/>
        </w:rPr>
        <w:t>טור</w:t>
      </w:r>
      <w:r>
        <w:rPr>
          <w:rFonts w:hint="cs"/>
          <w:sz w:val="20"/>
          <w:szCs w:val="20"/>
          <w:rtl/>
        </w:rPr>
        <w:t xml:space="preserve">. כל היולדות כיום יולדות בזוב. </w:t>
      </w:r>
      <w:r w:rsidRPr="0005561E">
        <w:rPr>
          <w:rFonts w:hint="cs"/>
          <w:b/>
          <w:bCs/>
          <w:sz w:val="20"/>
          <w:szCs w:val="20"/>
          <w:rtl/>
        </w:rPr>
        <w:t>טעם</w:t>
      </w:r>
      <w:r>
        <w:rPr>
          <w:rFonts w:hint="cs"/>
          <w:sz w:val="20"/>
          <w:szCs w:val="20"/>
          <w:rtl/>
        </w:rPr>
        <w:t>. קיי"ל שא"א לפתיה"ק בלא דם והחמירו כר"ז לשבת תמיד ז"נ.</w:t>
      </w:r>
      <w:r>
        <w:rPr>
          <w:sz w:val="20"/>
          <w:szCs w:val="20"/>
          <w:rtl/>
        </w:rPr>
        <w:br/>
      </w:r>
      <w:r>
        <w:rPr>
          <w:rFonts w:hint="cs"/>
          <w:sz w:val="20"/>
          <w:szCs w:val="20"/>
          <w:rtl/>
        </w:rPr>
        <w:t xml:space="preserve">5. </w:t>
      </w:r>
      <w:r w:rsidRPr="0068562C">
        <w:rPr>
          <w:rFonts w:hint="cs"/>
          <w:b/>
          <w:bCs/>
          <w:sz w:val="20"/>
          <w:szCs w:val="20"/>
          <w:rtl/>
        </w:rPr>
        <w:t>מחבר</w:t>
      </w:r>
      <w:r>
        <w:rPr>
          <w:rFonts w:hint="cs"/>
          <w:sz w:val="20"/>
          <w:szCs w:val="20"/>
          <w:rtl/>
        </w:rPr>
        <w:t>. יולדת טמאה אפילו אם לא ראתה דם, אפילו הפילה. ויושבת ז"נ כדין יולדת בזוב.</w:t>
      </w:r>
      <w:r>
        <w:rPr>
          <w:rFonts w:hint="cs"/>
          <w:sz w:val="20"/>
          <w:szCs w:val="20"/>
          <w:rtl/>
        </w:rPr>
        <w:br/>
        <w:t xml:space="preserve">6. </w:t>
      </w:r>
      <w:r w:rsidRPr="0068562C">
        <w:rPr>
          <w:rFonts w:hint="cs"/>
          <w:b/>
          <w:bCs/>
          <w:sz w:val="20"/>
          <w:szCs w:val="20"/>
          <w:rtl/>
        </w:rPr>
        <w:t>גמרא</w:t>
      </w:r>
      <w:r>
        <w:rPr>
          <w:rFonts w:hint="cs"/>
          <w:sz w:val="20"/>
          <w:szCs w:val="20"/>
          <w:rtl/>
        </w:rPr>
        <w:t xml:space="preserve">. </w:t>
      </w:r>
      <w:r w:rsidRPr="0068562C">
        <w:rPr>
          <w:rFonts w:hint="cs"/>
          <w:sz w:val="20"/>
          <w:szCs w:val="20"/>
          <w:u w:val="single"/>
          <w:rtl/>
        </w:rPr>
        <w:t>רבי מרינוס</w:t>
      </w:r>
      <w:r>
        <w:rPr>
          <w:rFonts w:hint="cs"/>
          <w:sz w:val="20"/>
          <w:szCs w:val="20"/>
          <w:rtl/>
        </w:rPr>
        <w:t xml:space="preserve">. לידה אינה סותרת ז"נ. האם ימי טומאת לידה שאינה רואה בהם עולים לה לז"נ? </w:t>
      </w:r>
      <w:r>
        <w:rPr>
          <w:sz w:val="20"/>
          <w:szCs w:val="20"/>
          <w:rtl/>
        </w:rPr>
        <w:br/>
      </w:r>
      <w:r w:rsidRPr="0068562C">
        <w:rPr>
          <w:rFonts w:hint="cs"/>
          <w:sz w:val="20"/>
          <w:szCs w:val="20"/>
          <w:u w:val="single"/>
          <w:rtl/>
        </w:rPr>
        <w:t>אביי</w:t>
      </w:r>
      <w:r>
        <w:rPr>
          <w:rFonts w:hint="cs"/>
          <w:sz w:val="20"/>
          <w:szCs w:val="20"/>
          <w:rtl/>
        </w:rPr>
        <w:t xml:space="preserve">. אינם עולים, וכ"פ </w:t>
      </w:r>
      <w:r w:rsidRPr="0068562C">
        <w:rPr>
          <w:rFonts w:hint="cs"/>
          <w:b/>
          <w:bCs/>
          <w:sz w:val="20"/>
          <w:szCs w:val="20"/>
          <w:rtl/>
        </w:rPr>
        <w:t>ר"ת</w:t>
      </w:r>
      <w:r>
        <w:rPr>
          <w:rFonts w:hint="cs"/>
          <w:sz w:val="20"/>
          <w:szCs w:val="20"/>
          <w:rtl/>
        </w:rPr>
        <w:t xml:space="preserve">. </w:t>
      </w:r>
      <w:r w:rsidRPr="0068562C">
        <w:rPr>
          <w:rFonts w:hint="cs"/>
          <w:sz w:val="20"/>
          <w:szCs w:val="20"/>
          <w:u w:val="single"/>
          <w:rtl/>
        </w:rPr>
        <w:t>רבא</w:t>
      </w:r>
      <w:r>
        <w:rPr>
          <w:rFonts w:hint="cs"/>
          <w:sz w:val="20"/>
          <w:szCs w:val="20"/>
          <w:rtl/>
        </w:rPr>
        <w:t xml:space="preserve">. עולים, וכ"פ </w:t>
      </w:r>
      <w:r w:rsidRPr="0068562C">
        <w:rPr>
          <w:rFonts w:hint="cs"/>
          <w:b/>
          <w:bCs/>
          <w:sz w:val="20"/>
          <w:szCs w:val="20"/>
          <w:rtl/>
        </w:rPr>
        <w:t>רוב הראשונים והמחבר</w:t>
      </w:r>
      <w:r>
        <w:rPr>
          <w:rFonts w:hint="cs"/>
          <w:sz w:val="20"/>
          <w:szCs w:val="20"/>
          <w:rtl/>
        </w:rPr>
        <w:t>.</w:t>
      </w:r>
      <w:r>
        <w:rPr>
          <w:rFonts w:hint="cs"/>
          <w:sz w:val="20"/>
          <w:szCs w:val="20"/>
          <w:rtl/>
        </w:rPr>
        <w:br/>
        <w:t xml:space="preserve">7. הפוסקים כרבא נחלקו </w:t>
      </w:r>
      <w:r>
        <w:rPr>
          <w:sz w:val="20"/>
          <w:szCs w:val="20"/>
          <w:rtl/>
        </w:rPr>
        <w:t>–</w:t>
      </w:r>
      <w:r>
        <w:rPr>
          <w:rFonts w:hint="cs"/>
          <w:sz w:val="20"/>
          <w:szCs w:val="20"/>
          <w:rtl/>
        </w:rPr>
        <w:t xml:space="preserve"> ספרה ז"נ לאחר לידת נקבה אך ראתה דם אח"כ בתוך יד', האם סותרת?</w:t>
      </w:r>
      <w:r>
        <w:rPr>
          <w:rFonts w:hint="cs"/>
          <w:sz w:val="20"/>
          <w:szCs w:val="20"/>
          <w:rtl/>
        </w:rPr>
        <w:br/>
      </w:r>
      <w:r w:rsidRPr="0068562C">
        <w:rPr>
          <w:rFonts w:hint="cs"/>
          <w:b/>
          <w:bCs/>
          <w:sz w:val="20"/>
          <w:szCs w:val="20"/>
          <w:rtl/>
        </w:rPr>
        <w:t>רמב"ן</w:t>
      </w:r>
      <w:r>
        <w:rPr>
          <w:rFonts w:hint="cs"/>
          <w:sz w:val="20"/>
          <w:szCs w:val="20"/>
          <w:rtl/>
        </w:rPr>
        <w:t xml:space="preserve">. סותרת. </w:t>
      </w:r>
      <w:r w:rsidRPr="0068562C">
        <w:rPr>
          <w:rFonts w:hint="cs"/>
          <w:b/>
          <w:bCs/>
          <w:sz w:val="20"/>
          <w:szCs w:val="20"/>
          <w:rtl/>
        </w:rPr>
        <w:t>רא"ש</w:t>
      </w:r>
      <w:r>
        <w:rPr>
          <w:rFonts w:hint="cs"/>
          <w:sz w:val="20"/>
          <w:szCs w:val="20"/>
          <w:rtl/>
        </w:rPr>
        <w:t>. אינה סותרת.</w:t>
      </w:r>
      <w:r>
        <w:rPr>
          <w:sz w:val="20"/>
          <w:szCs w:val="20"/>
          <w:rtl/>
        </w:rPr>
        <w:br/>
      </w:r>
      <w:r>
        <w:rPr>
          <w:rFonts w:hint="cs"/>
          <w:sz w:val="20"/>
          <w:szCs w:val="20"/>
          <w:rtl/>
        </w:rPr>
        <w:t xml:space="preserve">8. </w:t>
      </w:r>
      <w:r w:rsidRPr="00E510C7">
        <w:rPr>
          <w:rFonts w:hint="cs"/>
          <w:sz w:val="20"/>
          <w:szCs w:val="20"/>
          <w:rtl/>
        </w:rPr>
        <w:t>האם יש לנהוג כרא"ש?</w:t>
      </w:r>
      <w:r>
        <w:rPr>
          <w:rFonts w:hint="cs"/>
          <w:sz w:val="20"/>
          <w:szCs w:val="20"/>
          <w:rtl/>
        </w:rPr>
        <w:t xml:space="preserve"> </w:t>
      </w:r>
      <w:r w:rsidRPr="0068562C">
        <w:rPr>
          <w:rFonts w:hint="cs"/>
          <w:b/>
          <w:bCs/>
          <w:sz w:val="20"/>
          <w:szCs w:val="20"/>
          <w:rtl/>
        </w:rPr>
        <w:t>ב"י</w:t>
      </w:r>
      <w:r>
        <w:rPr>
          <w:rFonts w:hint="cs"/>
          <w:sz w:val="20"/>
          <w:szCs w:val="20"/>
          <w:rtl/>
        </w:rPr>
        <w:t xml:space="preserve">. לא. </w:t>
      </w:r>
      <w:r w:rsidRPr="0068562C">
        <w:rPr>
          <w:rFonts w:hint="cs"/>
          <w:b/>
          <w:bCs/>
          <w:sz w:val="20"/>
          <w:szCs w:val="20"/>
          <w:rtl/>
        </w:rPr>
        <w:t>טעם</w:t>
      </w:r>
      <w:r>
        <w:rPr>
          <w:rFonts w:hint="cs"/>
          <w:sz w:val="20"/>
          <w:szCs w:val="20"/>
          <w:rtl/>
        </w:rPr>
        <w:t xml:space="preserve">. החמירו שלא לבעול על דם טוהר ויושבת ז"נ שנית, וכ"פ </w:t>
      </w:r>
      <w:r>
        <w:rPr>
          <w:rFonts w:hint="cs"/>
          <w:b/>
          <w:bCs/>
          <w:sz w:val="20"/>
          <w:szCs w:val="20"/>
          <w:rtl/>
        </w:rPr>
        <w:t>הרמ"א</w:t>
      </w:r>
      <w:r w:rsidRPr="00FA7CF1">
        <w:rPr>
          <w:rtl/>
        </w:rPr>
        <w:t xml:space="preserve"> </w:t>
      </w:r>
      <w:r w:rsidRPr="00FA7CF1">
        <w:rPr>
          <w:rFonts w:cs="Arial"/>
          <w:b/>
          <w:bCs/>
          <w:sz w:val="20"/>
          <w:szCs w:val="20"/>
          <w:rtl/>
        </w:rPr>
        <w:t>וט"ז</w:t>
      </w:r>
      <w:r>
        <w:rPr>
          <w:rFonts w:hint="cs"/>
          <w:sz w:val="20"/>
          <w:szCs w:val="20"/>
          <w:rtl/>
        </w:rPr>
        <w:t xml:space="preserve">. </w:t>
      </w:r>
      <w:r w:rsidRPr="0068562C">
        <w:rPr>
          <w:rFonts w:hint="cs"/>
          <w:b/>
          <w:bCs/>
          <w:sz w:val="20"/>
          <w:szCs w:val="20"/>
          <w:rtl/>
        </w:rPr>
        <w:t>ב"ח</w:t>
      </w:r>
      <w:r>
        <w:rPr>
          <w:rFonts w:hint="cs"/>
          <w:sz w:val="20"/>
          <w:szCs w:val="20"/>
          <w:rtl/>
        </w:rPr>
        <w:t xml:space="preserve">. כן. </w:t>
      </w:r>
      <w:r w:rsidRPr="0068562C">
        <w:rPr>
          <w:rFonts w:hint="cs"/>
          <w:b/>
          <w:bCs/>
          <w:sz w:val="20"/>
          <w:szCs w:val="20"/>
          <w:rtl/>
        </w:rPr>
        <w:t>טעם</w:t>
      </w:r>
      <w:r>
        <w:rPr>
          <w:rFonts w:hint="cs"/>
          <w:sz w:val="20"/>
          <w:szCs w:val="20"/>
          <w:rtl/>
        </w:rPr>
        <w:t>. חומרת רבי זירא נאמרה רק בדם שיכול לטמא מחמת נידה או זבה.</w:t>
      </w:r>
      <w:r>
        <w:rPr>
          <w:sz w:val="20"/>
          <w:szCs w:val="20"/>
          <w:rtl/>
        </w:rPr>
        <w:br/>
      </w:r>
      <w:r>
        <w:rPr>
          <w:rFonts w:hint="cs"/>
          <w:sz w:val="20"/>
          <w:szCs w:val="20"/>
          <w:rtl/>
        </w:rPr>
        <w:t xml:space="preserve">9. </w:t>
      </w:r>
      <w:r w:rsidRPr="0068562C">
        <w:rPr>
          <w:rFonts w:hint="cs"/>
          <w:b/>
          <w:bCs/>
          <w:sz w:val="20"/>
          <w:szCs w:val="20"/>
          <w:rtl/>
        </w:rPr>
        <w:t>מחבר</w:t>
      </w:r>
      <w:r>
        <w:rPr>
          <w:rFonts w:hint="cs"/>
          <w:sz w:val="20"/>
          <w:szCs w:val="20"/>
          <w:rtl/>
        </w:rPr>
        <w:t>. יכולה למנות ז"נ בזמן טומאת לידה אך טובלת רק בסוף ימי הטומאה, וטבילה לפני כן לא מהני.</w:t>
      </w:r>
      <w:r>
        <w:rPr>
          <w:sz w:val="20"/>
          <w:szCs w:val="20"/>
          <w:rtl/>
        </w:rPr>
        <w:br/>
      </w:r>
      <w:r>
        <w:rPr>
          <w:rFonts w:hint="cs"/>
          <w:sz w:val="20"/>
          <w:szCs w:val="20"/>
          <w:rtl/>
        </w:rPr>
        <w:t xml:space="preserve">10. </w:t>
      </w:r>
      <w:r w:rsidRPr="0068562C">
        <w:rPr>
          <w:rFonts w:hint="cs"/>
          <w:b/>
          <w:bCs/>
          <w:sz w:val="20"/>
          <w:szCs w:val="20"/>
          <w:rtl/>
        </w:rPr>
        <w:t>רמ"א וט"ז</w:t>
      </w:r>
      <w:r>
        <w:rPr>
          <w:rFonts w:hint="cs"/>
          <w:sz w:val="20"/>
          <w:szCs w:val="20"/>
          <w:rtl/>
        </w:rPr>
        <w:t>. ילדה נקבה וספרה ז"נ ואח"כ ראתה דם לפני טבילה, סותרת ומונה ז"נ שנית.</w:t>
      </w:r>
      <w:r>
        <w:rPr>
          <w:sz w:val="20"/>
          <w:szCs w:val="20"/>
          <w:rtl/>
        </w:rPr>
        <w:br/>
      </w:r>
      <w:r>
        <w:rPr>
          <w:rFonts w:hint="cs"/>
          <w:sz w:val="20"/>
          <w:szCs w:val="20"/>
          <w:rtl/>
        </w:rPr>
        <w:t>11</w:t>
      </w:r>
      <w:r w:rsidRPr="00313CD1">
        <w:rPr>
          <w:rFonts w:hint="cs"/>
          <w:sz w:val="20"/>
          <w:szCs w:val="20"/>
          <w:rtl/>
        </w:rPr>
        <w:t>. דם טוהר.</w:t>
      </w:r>
      <w:r>
        <w:rPr>
          <w:rFonts w:hint="cs"/>
          <w:sz w:val="20"/>
          <w:szCs w:val="20"/>
          <w:rtl/>
        </w:rPr>
        <w:t xml:space="preserve"> </w:t>
      </w:r>
      <w:r w:rsidRPr="0068562C">
        <w:rPr>
          <w:rFonts w:hint="cs"/>
          <w:sz w:val="20"/>
          <w:szCs w:val="20"/>
          <w:u w:val="single"/>
          <w:rtl/>
        </w:rPr>
        <w:t>רב</w:t>
      </w:r>
      <w:r>
        <w:rPr>
          <w:rFonts w:hint="cs"/>
          <w:sz w:val="20"/>
          <w:szCs w:val="20"/>
          <w:rtl/>
        </w:rPr>
        <w:t xml:space="preserve">. מעיין אחד הוא, גזה"כ לטמא ולטהר. </w:t>
      </w:r>
      <w:r w:rsidRPr="0068562C">
        <w:rPr>
          <w:rFonts w:hint="cs"/>
          <w:sz w:val="20"/>
          <w:szCs w:val="20"/>
          <w:u w:val="single"/>
          <w:rtl/>
        </w:rPr>
        <w:t>לוי</w:t>
      </w:r>
      <w:r>
        <w:rPr>
          <w:rFonts w:hint="cs"/>
          <w:sz w:val="20"/>
          <w:szCs w:val="20"/>
          <w:rtl/>
        </w:rPr>
        <w:t>. שני מעיינות הם, נסתם הטמא ונפתח הטהור.</w:t>
      </w:r>
      <w:r>
        <w:rPr>
          <w:sz w:val="20"/>
          <w:szCs w:val="20"/>
          <w:rtl/>
        </w:rPr>
        <w:br/>
      </w:r>
      <w:r w:rsidRPr="002D54A7">
        <w:rPr>
          <w:rFonts w:hint="cs"/>
          <w:sz w:val="20"/>
          <w:szCs w:val="20"/>
          <w:rtl/>
        </w:rPr>
        <w:t>נפק"מ.</w:t>
      </w:r>
      <w:r>
        <w:rPr>
          <w:rFonts w:hint="cs"/>
          <w:sz w:val="20"/>
          <w:szCs w:val="20"/>
          <w:rtl/>
        </w:rPr>
        <w:t xml:space="preserve"> שופעת מטומאה לטהרה. רב מטהר, לוי מטמא. שופעת מטהרה לטומאה. רב מטמא, לוי מטהר.</w:t>
      </w:r>
      <w:r>
        <w:rPr>
          <w:sz w:val="20"/>
          <w:szCs w:val="20"/>
          <w:rtl/>
        </w:rPr>
        <w:br/>
      </w:r>
      <w:r>
        <w:rPr>
          <w:rFonts w:hint="cs"/>
          <w:sz w:val="20"/>
          <w:szCs w:val="20"/>
          <w:rtl/>
        </w:rPr>
        <w:t xml:space="preserve">12. </w:t>
      </w:r>
      <w:r w:rsidRPr="0068562C">
        <w:rPr>
          <w:rFonts w:hint="cs"/>
          <w:b/>
          <w:bCs/>
          <w:sz w:val="20"/>
          <w:szCs w:val="20"/>
          <w:rtl/>
        </w:rPr>
        <w:t>גמרא</w:t>
      </w:r>
      <w:r>
        <w:rPr>
          <w:rFonts w:hint="cs"/>
          <w:sz w:val="20"/>
          <w:szCs w:val="20"/>
          <w:rtl/>
        </w:rPr>
        <w:t xml:space="preserve">. היושבת על דם טוהר פורשים ליל מא' / פא'. </w:t>
      </w:r>
      <w:r w:rsidRPr="0068562C">
        <w:rPr>
          <w:rFonts w:hint="cs"/>
          <w:b/>
          <w:bCs/>
          <w:sz w:val="20"/>
          <w:szCs w:val="20"/>
          <w:rtl/>
        </w:rPr>
        <w:t>טעם</w:t>
      </w:r>
      <w:r>
        <w:rPr>
          <w:rFonts w:hint="cs"/>
          <w:sz w:val="20"/>
          <w:szCs w:val="20"/>
          <w:rtl/>
        </w:rPr>
        <w:t xml:space="preserve">. </w:t>
      </w:r>
      <w:r w:rsidRPr="0068562C">
        <w:rPr>
          <w:rFonts w:hint="cs"/>
          <w:b/>
          <w:bCs/>
          <w:sz w:val="20"/>
          <w:szCs w:val="20"/>
          <w:rtl/>
        </w:rPr>
        <w:t>רא"ש</w:t>
      </w:r>
      <w:r>
        <w:rPr>
          <w:rFonts w:hint="cs"/>
          <w:sz w:val="20"/>
          <w:szCs w:val="20"/>
          <w:rtl/>
        </w:rPr>
        <w:t xml:space="preserve">. שלא יקלו בדם טמא. </w:t>
      </w:r>
      <w:r w:rsidRPr="0068562C">
        <w:rPr>
          <w:rFonts w:hint="cs"/>
          <w:b/>
          <w:bCs/>
          <w:sz w:val="20"/>
          <w:szCs w:val="20"/>
          <w:rtl/>
        </w:rPr>
        <w:t>בה"ג</w:t>
      </w:r>
      <w:r>
        <w:rPr>
          <w:rFonts w:hint="cs"/>
          <w:sz w:val="20"/>
          <w:szCs w:val="20"/>
          <w:rtl/>
        </w:rPr>
        <w:t xml:space="preserve">. הוי שעת וסתה. </w:t>
      </w:r>
      <w:r w:rsidRPr="00097364">
        <w:rPr>
          <w:rFonts w:hint="cs"/>
          <w:sz w:val="20"/>
          <w:szCs w:val="20"/>
          <w:rtl/>
        </w:rPr>
        <w:t>נפק"מ.</w:t>
      </w:r>
      <w:r>
        <w:rPr>
          <w:rFonts w:hint="cs"/>
          <w:sz w:val="20"/>
          <w:szCs w:val="20"/>
          <w:rtl/>
        </w:rPr>
        <w:t xml:space="preserve"> מקום שנהגו לא לבעול על דם טוהר, </w:t>
      </w:r>
      <w:r w:rsidRPr="00CD3AF2">
        <w:rPr>
          <w:rFonts w:hint="cs"/>
          <w:b/>
          <w:bCs/>
          <w:sz w:val="20"/>
          <w:szCs w:val="20"/>
          <w:rtl/>
        </w:rPr>
        <w:t>לרא"ש</w:t>
      </w:r>
      <w:r>
        <w:rPr>
          <w:rFonts w:hint="cs"/>
          <w:sz w:val="20"/>
          <w:szCs w:val="20"/>
          <w:rtl/>
        </w:rPr>
        <w:t xml:space="preserve"> א"צ לפרוש, וכ"פ </w:t>
      </w:r>
      <w:r w:rsidRPr="00CD3AF2">
        <w:rPr>
          <w:rFonts w:hint="cs"/>
          <w:b/>
          <w:bCs/>
          <w:sz w:val="20"/>
          <w:szCs w:val="20"/>
          <w:rtl/>
        </w:rPr>
        <w:t>הט"ז</w:t>
      </w:r>
      <w:r>
        <w:rPr>
          <w:rFonts w:hint="cs"/>
          <w:sz w:val="20"/>
          <w:szCs w:val="20"/>
          <w:rtl/>
        </w:rPr>
        <w:t xml:space="preserve">. </w:t>
      </w:r>
      <w:r w:rsidRPr="00C8565B">
        <w:rPr>
          <w:rFonts w:hint="cs"/>
          <w:b/>
          <w:bCs/>
          <w:sz w:val="20"/>
          <w:szCs w:val="20"/>
          <w:rtl/>
        </w:rPr>
        <w:t>ש"ך</w:t>
      </w:r>
      <w:r>
        <w:rPr>
          <w:rFonts w:hint="cs"/>
          <w:sz w:val="20"/>
          <w:szCs w:val="20"/>
          <w:rtl/>
        </w:rPr>
        <w:t>. פורשים.</w:t>
      </w:r>
      <w:r>
        <w:rPr>
          <w:rFonts w:hint="cs"/>
          <w:sz w:val="20"/>
          <w:szCs w:val="20"/>
          <w:rtl/>
        </w:rPr>
        <w:br/>
        <w:t xml:space="preserve">13. </w:t>
      </w:r>
      <w:r w:rsidRPr="00097364">
        <w:rPr>
          <w:rFonts w:hint="cs"/>
          <w:sz w:val="20"/>
          <w:szCs w:val="20"/>
          <w:rtl/>
        </w:rPr>
        <w:t xml:space="preserve">האם דם טוהר נוהג בזמנינו? </w:t>
      </w:r>
      <w:r w:rsidRPr="00097364">
        <w:rPr>
          <w:rFonts w:hint="cs"/>
          <w:b/>
          <w:bCs/>
          <w:sz w:val="20"/>
          <w:szCs w:val="20"/>
          <w:rtl/>
        </w:rPr>
        <w:t>בה"ג</w:t>
      </w:r>
      <w:r w:rsidRPr="00097364">
        <w:rPr>
          <w:rFonts w:hint="cs"/>
          <w:sz w:val="20"/>
          <w:szCs w:val="20"/>
          <w:rtl/>
        </w:rPr>
        <w:t xml:space="preserve">. כן. </w:t>
      </w:r>
      <w:r w:rsidRPr="00097364">
        <w:rPr>
          <w:rFonts w:hint="cs"/>
          <w:b/>
          <w:bCs/>
          <w:sz w:val="20"/>
          <w:szCs w:val="20"/>
          <w:rtl/>
        </w:rPr>
        <w:t>רמב"ן</w:t>
      </w:r>
      <w:r w:rsidRPr="00097364">
        <w:rPr>
          <w:rFonts w:hint="cs"/>
          <w:sz w:val="20"/>
          <w:szCs w:val="20"/>
          <w:rtl/>
        </w:rPr>
        <w:t xml:space="preserve">. לא, וכ"פ </w:t>
      </w:r>
      <w:r>
        <w:rPr>
          <w:rFonts w:hint="cs"/>
          <w:b/>
          <w:bCs/>
          <w:sz w:val="20"/>
          <w:szCs w:val="20"/>
          <w:rtl/>
        </w:rPr>
        <w:t>הב"י ו</w:t>
      </w:r>
      <w:r w:rsidRPr="00097364">
        <w:rPr>
          <w:rFonts w:hint="cs"/>
          <w:b/>
          <w:bCs/>
          <w:sz w:val="20"/>
          <w:szCs w:val="20"/>
          <w:rtl/>
        </w:rPr>
        <w:t>הרמ"א</w:t>
      </w:r>
      <w:r w:rsidRPr="00097364">
        <w:rPr>
          <w:rFonts w:hint="cs"/>
          <w:sz w:val="20"/>
          <w:szCs w:val="20"/>
          <w:rtl/>
        </w:rPr>
        <w:t xml:space="preserve">. </w:t>
      </w:r>
      <w:r w:rsidRPr="00097364">
        <w:rPr>
          <w:rFonts w:hint="cs"/>
          <w:b/>
          <w:bCs/>
          <w:sz w:val="20"/>
          <w:szCs w:val="20"/>
          <w:rtl/>
        </w:rPr>
        <w:t>רמב"ם</w:t>
      </w:r>
      <w:r w:rsidRPr="00097364">
        <w:rPr>
          <w:rFonts w:hint="cs"/>
          <w:sz w:val="20"/>
          <w:szCs w:val="20"/>
          <w:rtl/>
        </w:rPr>
        <w:t>. תלוי במנהג המקום.</w:t>
      </w:r>
      <w:r w:rsidRPr="00097364">
        <w:rPr>
          <w:sz w:val="20"/>
          <w:szCs w:val="20"/>
          <w:rtl/>
        </w:rPr>
        <w:br/>
      </w:r>
      <w:r w:rsidRPr="00097364">
        <w:rPr>
          <w:rFonts w:hint="cs"/>
          <w:sz w:val="20"/>
          <w:szCs w:val="20"/>
          <w:rtl/>
        </w:rPr>
        <w:t xml:space="preserve">14. מדוע החמירו בדם טוהר? </w:t>
      </w:r>
      <w:r w:rsidRPr="00097364">
        <w:rPr>
          <w:rFonts w:hint="cs"/>
          <w:b/>
          <w:bCs/>
          <w:sz w:val="20"/>
          <w:szCs w:val="20"/>
          <w:rtl/>
        </w:rPr>
        <w:t>רמב</w:t>
      </w:r>
      <w:r w:rsidRPr="0068562C">
        <w:rPr>
          <w:rFonts w:hint="cs"/>
          <w:b/>
          <w:bCs/>
          <w:sz w:val="20"/>
          <w:szCs w:val="20"/>
          <w:rtl/>
        </w:rPr>
        <w:t>"ן</w:t>
      </w:r>
      <w:r>
        <w:rPr>
          <w:rFonts w:hint="cs"/>
          <w:sz w:val="20"/>
          <w:szCs w:val="20"/>
          <w:rtl/>
        </w:rPr>
        <w:t xml:space="preserve">. חלק מחומרת רבי זירא, שנשים לא יבואו לידי טעות. </w:t>
      </w:r>
      <w:r w:rsidRPr="0068562C">
        <w:rPr>
          <w:rFonts w:hint="cs"/>
          <w:b/>
          <w:bCs/>
          <w:sz w:val="20"/>
          <w:szCs w:val="20"/>
          <w:rtl/>
        </w:rPr>
        <w:t>ב"י</w:t>
      </w:r>
      <w:r>
        <w:rPr>
          <w:rFonts w:hint="cs"/>
          <w:sz w:val="20"/>
          <w:szCs w:val="20"/>
          <w:rtl/>
        </w:rPr>
        <w:t xml:space="preserve">. חוסר בקיאות מתי נולד הוולד, ושמא יוסיפו יום לטהרתה. </w:t>
      </w:r>
      <w:r w:rsidRPr="0068562C">
        <w:rPr>
          <w:rFonts w:hint="cs"/>
          <w:b/>
          <w:bCs/>
          <w:sz w:val="20"/>
          <w:szCs w:val="20"/>
          <w:rtl/>
        </w:rPr>
        <w:t>ר"ן</w:t>
      </w:r>
      <w:r>
        <w:rPr>
          <w:rFonts w:hint="cs"/>
          <w:sz w:val="20"/>
          <w:szCs w:val="20"/>
          <w:rtl/>
        </w:rPr>
        <w:t>. שמא ינהגו דם טוהר גם בספק וולד.</w:t>
      </w:r>
      <w:r>
        <w:rPr>
          <w:sz w:val="20"/>
          <w:szCs w:val="20"/>
          <w:rtl/>
        </w:rPr>
        <w:br/>
      </w:r>
      <w:r>
        <w:rPr>
          <w:rFonts w:hint="cs"/>
          <w:sz w:val="20"/>
          <w:szCs w:val="20"/>
          <w:rtl/>
        </w:rPr>
        <w:t xml:space="preserve">15. </w:t>
      </w:r>
      <w:r>
        <w:rPr>
          <w:rFonts w:hint="cs"/>
          <w:b/>
          <w:bCs/>
          <w:sz w:val="20"/>
          <w:szCs w:val="20"/>
          <w:rtl/>
        </w:rPr>
        <w:t xml:space="preserve">ב"י </w:t>
      </w:r>
      <w:r w:rsidRPr="0068562C">
        <w:rPr>
          <w:rFonts w:hint="cs"/>
          <w:b/>
          <w:bCs/>
          <w:sz w:val="20"/>
          <w:szCs w:val="20"/>
          <w:rtl/>
        </w:rPr>
        <w:t>רמ"א</w:t>
      </w:r>
      <w:r>
        <w:rPr>
          <w:rFonts w:hint="cs"/>
          <w:sz w:val="20"/>
          <w:szCs w:val="20"/>
          <w:rtl/>
        </w:rPr>
        <w:t>. פשט המנהג בכל ישראל לא לבעול על דם טוהר ודינו כשאר דם.</w:t>
      </w:r>
      <w:r>
        <w:rPr>
          <w:rFonts w:hint="cs"/>
          <w:sz w:val="20"/>
          <w:szCs w:val="20"/>
          <w:rtl/>
        </w:rPr>
        <w:br/>
        <w:t xml:space="preserve">16. </w:t>
      </w:r>
      <w:r w:rsidRPr="0068562C">
        <w:rPr>
          <w:rFonts w:hint="cs"/>
          <w:b/>
          <w:bCs/>
          <w:sz w:val="20"/>
          <w:szCs w:val="20"/>
          <w:rtl/>
        </w:rPr>
        <w:t>נוב"י</w:t>
      </w:r>
      <w:r>
        <w:rPr>
          <w:rFonts w:hint="cs"/>
          <w:sz w:val="20"/>
          <w:szCs w:val="20"/>
          <w:rtl/>
        </w:rPr>
        <w:t>. אם נטמאה בשעת תשמיש מותר לו לגמור ביאתו ולפרוש באבר חי, לא החמירו בכך בדם טוהר.</w:t>
      </w:r>
      <w:r>
        <w:rPr>
          <w:sz w:val="20"/>
          <w:szCs w:val="20"/>
          <w:rtl/>
        </w:rPr>
        <w:br/>
      </w:r>
      <w:r w:rsidRPr="00097364">
        <w:rPr>
          <w:rFonts w:hint="cs"/>
          <w:sz w:val="20"/>
          <w:szCs w:val="20"/>
          <w:rtl/>
        </w:rPr>
        <w:t xml:space="preserve">17. האם יש לברך על טבילה על דם טוהר? </w:t>
      </w:r>
      <w:r w:rsidRPr="00097364">
        <w:rPr>
          <w:rFonts w:hint="cs"/>
          <w:b/>
          <w:bCs/>
          <w:sz w:val="20"/>
          <w:szCs w:val="20"/>
          <w:rtl/>
        </w:rPr>
        <w:t>תשובה מאהבה</w:t>
      </w:r>
      <w:r w:rsidRPr="00097364">
        <w:rPr>
          <w:rFonts w:hint="cs"/>
          <w:sz w:val="20"/>
          <w:szCs w:val="20"/>
          <w:rtl/>
        </w:rPr>
        <w:t xml:space="preserve">. צ"ע. </w:t>
      </w:r>
      <w:r w:rsidRPr="00097364">
        <w:rPr>
          <w:rFonts w:hint="cs"/>
          <w:b/>
          <w:bCs/>
          <w:sz w:val="20"/>
          <w:szCs w:val="20"/>
          <w:rtl/>
        </w:rPr>
        <w:t>טעם</w:t>
      </w:r>
      <w:r w:rsidRPr="00097364">
        <w:rPr>
          <w:rFonts w:hint="cs"/>
          <w:sz w:val="20"/>
          <w:szCs w:val="20"/>
          <w:rtl/>
        </w:rPr>
        <w:t xml:space="preserve">. זה רק מנהג. </w:t>
      </w:r>
      <w:r w:rsidRPr="00097364">
        <w:rPr>
          <w:rFonts w:hint="cs"/>
          <w:b/>
          <w:bCs/>
          <w:sz w:val="20"/>
          <w:szCs w:val="20"/>
          <w:rtl/>
        </w:rPr>
        <w:t>חת"ס</w:t>
      </w:r>
      <w:r w:rsidRPr="00097364">
        <w:rPr>
          <w:rFonts w:hint="cs"/>
          <w:sz w:val="20"/>
          <w:szCs w:val="20"/>
          <w:rtl/>
        </w:rPr>
        <w:t xml:space="preserve">. יש לברך. </w:t>
      </w:r>
      <w:r>
        <w:rPr>
          <w:b/>
          <w:bCs/>
          <w:sz w:val="20"/>
          <w:szCs w:val="20"/>
          <w:rtl/>
        </w:rPr>
        <w:br/>
      </w:r>
      <w:r w:rsidRPr="00097364">
        <w:rPr>
          <w:rFonts w:hint="cs"/>
          <w:b/>
          <w:bCs/>
          <w:sz w:val="20"/>
          <w:szCs w:val="20"/>
          <w:rtl/>
        </w:rPr>
        <w:t>טעם</w:t>
      </w:r>
      <w:r w:rsidRPr="00097364">
        <w:rPr>
          <w:rFonts w:hint="cs"/>
          <w:sz w:val="20"/>
          <w:szCs w:val="20"/>
          <w:rtl/>
        </w:rPr>
        <w:t>. מברכים גם על מנהג.</w:t>
      </w:r>
      <w:r w:rsidRPr="00097364">
        <w:rPr>
          <w:sz w:val="20"/>
          <w:szCs w:val="20"/>
          <w:rtl/>
        </w:rPr>
        <w:br/>
      </w:r>
      <w:r w:rsidRPr="00097364">
        <w:rPr>
          <w:rFonts w:hint="cs"/>
          <w:sz w:val="20"/>
          <w:szCs w:val="20"/>
          <w:rtl/>
        </w:rPr>
        <w:lastRenderedPageBreak/>
        <w:t>1</w:t>
      </w:r>
      <w:r>
        <w:rPr>
          <w:rFonts w:hint="cs"/>
          <w:sz w:val="20"/>
          <w:szCs w:val="20"/>
          <w:rtl/>
        </w:rPr>
        <w:t>8</w:t>
      </w:r>
      <w:r w:rsidRPr="00097364">
        <w:rPr>
          <w:rFonts w:hint="cs"/>
          <w:sz w:val="20"/>
          <w:szCs w:val="20"/>
          <w:rtl/>
        </w:rPr>
        <w:t xml:space="preserve">. נהגו לא לטבול עד גמר ימי מלאת. </w:t>
      </w:r>
      <w:r w:rsidRPr="00097364">
        <w:rPr>
          <w:rFonts w:hint="cs"/>
          <w:b/>
          <w:bCs/>
          <w:sz w:val="20"/>
          <w:szCs w:val="20"/>
          <w:rtl/>
        </w:rPr>
        <w:t>טעם</w:t>
      </w:r>
      <w:r w:rsidRPr="00097364">
        <w:rPr>
          <w:rFonts w:hint="cs"/>
          <w:sz w:val="20"/>
          <w:szCs w:val="20"/>
          <w:rtl/>
        </w:rPr>
        <w:t xml:space="preserve">. </w:t>
      </w:r>
      <w:r w:rsidRPr="00097364">
        <w:rPr>
          <w:rFonts w:hint="cs"/>
          <w:b/>
          <w:bCs/>
          <w:sz w:val="20"/>
          <w:szCs w:val="20"/>
          <w:rtl/>
        </w:rPr>
        <w:t>מהרי"ק</w:t>
      </w:r>
      <w:r w:rsidRPr="00097364">
        <w:rPr>
          <w:rFonts w:hint="cs"/>
          <w:sz w:val="20"/>
          <w:szCs w:val="20"/>
          <w:rtl/>
        </w:rPr>
        <w:t xml:space="preserve">. שמא יתירו גם יולדת שראתה ואח"כ יתירו כל אשה שראתה. </w:t>
      </w:r>
      <w:r w:rsidRPr="00097364">
        <w:rPr>
          <w:rFonts w:hint="cs"/>
          <w:b/>
          <w:bCs/>
          <w:sz w:val="20"/>
          <w:szCs w:val="20"/>
          <w:rtl/>
        </w:rPr>
        <w:t>ריב"ש</w:t>
      </w:r>
      <w:r w:rsidRPr="00097364">
        <w:rPr>
          <w:rFonts w:hint="cs"/>
          <w:sz w:val="20"/>
          <w:szCs w:val="20"/>
          <w:rtl/>
        </w:rPr>
        <w:t xml:space="preserve">. דמים מצויים באותם ימים, שמא תראה ולא תרגיש. </w:t>
      </w:r>
      <w:r w:rsidRPr="00097364">
        <w:rPr>
          <w:rFonts w:hint="cs"/>
          <w:b/>
          <w:bCs/>
          <w:sz w:val="20"/>
          <w:szCs w:val="20"/>
          <w:rtl/>
        </w:rPr>
        <w:t>דרכ"מ</w:t>
      </w:r>
      <w:r w:rsidRPr="00097364">
        <w:rPr>
          <w:rFonts w:hint="cs"/>
          <w:sz w:val="20"/>
          <w:szCs w:val="20"/>
          <w:rtl/>
        </w:rPr>
        <w:t xml:space="preserve">. ע"פ </w:t>
      </w:r>
      <w:r w:rsidRPr="00097364">
        <w:rPr>
          <w:rFonts w:hint="cs"/>
          <w:b/>
          <w:bCs/>
          <w:sz w:val="20"/>
          <w:szCs w:val="20"/>
          <w:rtl/>
        </w:rPr>
        <w:t>ר"ת</w:t>
      </w:r>
      <w:r w:rsidRPr="00097364">
        <w:rPr>
          <w:rFonts w:hint="cs"/>
          <w:sz w:val="20"/>
          <w:szCs w:val="20"/>
          <w:rtl/>
        </w:rPr>
        <w:t xml:space="preserve"> יש לטבול ב' טבילות, ומכיוון שלא נהגו לטבול פעמיים החמירו כך. </w:t>
      </w:r>
      <w:r w:rsidRPr="00097364">
        <w:rPr>
          <w:rFonts w:hint="cs"/>
          <w:b/>
          <w:bCs/>
          <w:sz w:val="20"/>
          <w:szCs w:val="20"/>
          <w:rtl/>
        </w:rPr>
        <w:t>אגודה</w:t>
      </w:r>
      <w:r w:rsidRPr="00097364">
        <w:rPr>
          <w:rFonts w:hint="cs"/>
          <w:sz w:val="20"/>
          <w:szCs w:val="20"/>
          <w:rtl/>
        </w:rPr>
        <w:t>. שמא יבואו לשמש ליל מא' / פא'.</w:t>
      </w:r>
      <w:r w:rsidRPr="00097364">
        <w:rPr>
          <w:sz w:val="20"/>
          <w:szCs w:val="20"/>
          <w:rtl/>
        </w:rPr>
        <w:br/>
      </w:r>
      <w:r>
        <w:rPr>
          <w:rFonts w:hint="cs"/>
          <w:sz w:val="20"/>
          <w:szCs w:val="20"/>
          <w:rtl/>
        </w:rPr>
        <w:t>19</w:t>
      </w:r>
      <w:r w:rsidRPr="00097364">
        <w:rPr>
          <w:rFonts w:hint="cs"/>
          <w:sz w:val="20"/>
          <w:szCs w:val="20"/>
          <w:rtl/>
        </w:rPr>
        <w:t xml:space="preserve">. דחיית חלק מהטעמים. </w:t>
      </w:r>
      <w:r w:rsidRPr="00097364">
        <w:rPr>
          <w:rFonts w:hint="cs"/>
          <w:b/>
          <w:bCs/>
          <w:sz w:val="20"/>
          <w:szCs w:val="20"/>
          <w:rtl/>
        </w:rPr>
        <w:t>לבוש</w:t>
      </w:r>
      <w:r w:rsidRPr="00097364">
        <w:rPr>
          <w:rFonts w:hint="cs"/>
          <w:sz w:val="20"/>
          <w:szCs w:val="20"/>
          <w:rtl/>
        </w:rPr>
        <w:t xml:space="preserve">. אין לחוש </w:t>
      </w:r>
      <w:r w:rsidRPr="00097364">
        <w:rPr>
          <w:rFonts w:hint="cs"/>
          <w:b/>
          <w:bCs/>
          <w:sz w:val="20"/>
          <w:szCs w:val="20"/>
          <w:rtl/>
        </w:rPr>
        <w:t>לריב"ש</w:t>
      </w:r>
      <w:r w:rsidRPr="00097364">
        <w:rPr>
          <w:rFonts w:hint="cs"/>
          <w:sz w:val="20"/>
          <w:szCs w:val="20"/>
          <w:rtl/>
        </w:rPr>
        <w:t>, אפילו אם תראה זה</w:t>
      </w:r>
      <w:r>
        <w:rPr>
          <w:rFonts w:hint="cs"/>
          <w:sz w:val="20"/>
          <w:szCs w:val="20"/>
          <w:rtl/>
        </w:rPr>
        <w:t xml:space="preserve"> </w:t>
      </w:r>
      <w:r w:rsidRPr="00097364">
        <w:rPr>
          <w:rFonts w:hint="cs"/>
          <w:sz w:val="20"/>
          <w:szCs w:val="20"/>
          <w:rtl/>
        </w:rPr>
        <w:t xml:space="preserve">דם טהור מעיקה"ד. </w:t>
      </w:r>
      <w:r w:rsidRPr="00097364">
        <w:rPr>
          <w:rFonts w:hint="cs"/>
          <w:b/>
          <w:bCs/>
          <w:sz w:val="20"/>
          <w:szCs w:val="20"/>
          <w:rtl/>
        </w:rPr>
        <w:t>ט"ז</w:t>
      </w:r>
      <w:r w:rsidRPr="00097364">
        <w:rPr>
          <w:rFonts w:hint="cs"/>
          <w:sz w:val="20"/>
          <w:szCs w:val="20"/>
          <w:rtl/>
        </w:rPr>
        <w:t xml:space="preserve">. אין לחוש </w:t>
      </w:r>
      <w:r w:rsidRPr="00097364">
        <w:rPr>
          <w:rFonts w:hint="cs"/>
          <w:b/>
          <w:bCs/>
          <w:sz w:val="20"/>
          <w:szCs w:val="20"/>
          <w:rtl/>
        </w:rPr>
        <w:t>לד"מ</w:t>
      </w:r>
      <w:r w:rsidRPr="00097364">
        <w:rPr>
          <w:rFonts w:hint="cs"/>
          <w:sz w:val="20"/>
          <w:szCs w:val="20"/>
          <w:rtl/>
        </w:rPr>
        <w:t xml:space="preserve">, לא קיי"ל </w:t>
      </w:r>
      <w:r w:rsidRPr="00097364">
        <w:rPr>
          <w:rFonts w:hint="cs"/>
          <w:b/>
          <w:bCs/>
          <w:sz w:val="20"/>
          <w:szCs w:val="20"/>
          <w:rtl/>
        </w:rPr>
        <w:t>כר"ת</w:t>
      </w:r>
      <w:r w:rsidRPr="00097364">
        <w:rPr>
          <w:rFonts w:hint="cs"/>
          <w:sz w:val="20"/>
          <w:szCs w:val="20"/>
          <w:rtl/>
        </w:rPr>
        <w:t xml:space="preserve"> ואף </w:t>
      </w:r>
      <w:r w:rsidRPr="00097364">
        <w:rPr>
          <w:rFonts w:hint="cs"/>
          <w:b/>
          <w:bCs/>
          <w:sz w:val="20"/>
          <w:szCs w:val="20"/>
          <w:rtl/>
        </w:rPr>
        <w:t>לר"ת</w:t>
      </w:r>
      <w:r>
        <w:rPr>
          <w:rFonts w:hint="cs"/>
          <w:sz w:val="20"/>
          <w:szCs w:val="20"/>
          <w:rtl/>
        </w:rPr>
        <w:t xml:space="preserve"> לא מהני המנהג</w:t>
      </w:r>
      <w:r w:rsidRPr="00097364">
        <w:rPr>
          <w:rFonts w:hint="cs"/>
          <w:sz w:val="20"/>
          <w:szCs w:val="20"/>
          <w:rtl/>
        </w:rPr>
        <w:t xml:space="preserve">. אין לחוש </w:t>
      </w:r>
      <w:r w:rsidRPr="00097364">
        <w:rPr>
          <w:rFonts w:hint="cs"/>
          <w:b/>
          <w:bCs/>
          <w:sz w:val="20"/>
          <w:szCs w:val="20"/>
          <w:rtl/>
        </w:rPr>
        <w:t>לאגודה</w:t>
      </w:r>
      <w:r w:rsidRPr="00097364">
        <w:rPr>
          <w:rFonts w:hint="cs"/>
          <w:sz w:val="20"/>
          <w:szCs w:val="20"/>
          <w:rtl/>
        </w:rPr>
        <w:t>, קיי"ל שמותר לשמש ליל מא' / פא'.</w:t>
      </w:r>
      <w:r w:rsidRPr="00097364">
        <w:rPr>
          <w:rFonts w:hint="cs"/>
          <w:sz w:val="20"/>
          <w:szCs w:val="20"/>
          <w:rtl/>
        </w:rPr>
        <w:br/>
        <w:t>2</w:t>
      </w:r>
      <w:r>
        <w:rPr>
          <w:rFonts w:hint="cs"/>
          <w:sz w:val="20"/>
          <w:szCs w:val="20"/>
          <w:rtl/>
        </w:rPr>
        <w:t>0</w:t>
      </w:r>
      <w:r w:rsidRPr="00097364">
        <w:rPr>
          <w:rFonts w:hint="cs"/>
          <w:sz w:val="20"/>
          <w:szCs w:val="20"/>
          <w:rtl/>
        </w:rPr>
        <w:t xml:space="preserve">. היחס למנהג זה. </w:t>
      </w:r>
      <w:r w:rsidRPr="00097364">
        <w:rPr>
          <w:rFonts w:hint="cs"/>
          <w:b/>
          <w:bCs/>
          <w:sz w:val="20"/>
          <w:szCs w:val="20"/>
          <w:rtl/>
        </w:rPr>
        <w:t>רמב</w:t>
      </w:r>
      <w:r w:rsidRPr="0068562C">
        <w:rPr>
          <w:rFonts w:hint="cs"/>
          <w:b/>
          <w:bCs/>
          <w:sz w:val="20"/>
          <w:szCs w:val="20"/>
          <w:rtl/>
        </w:rPr>
        <w:t>"ם</w:t>
      </w:r>
      <w:r>
        <w:rPr>
          <w:rFonts w:hint="cs"/>
          <w:sz w:val="20"/>
          <w:szCs w:val="20"/>
          <w:rtl/>
        </w:rPr>
        <w:t xml:space="preserve">. מנהג מינות ויש לבטלו. </w:t>
      </w:r>
      <w:r w:rsidRPr="0068562C">
        <w:rPr>
          <w:rFonts w:hint="cs"/>
          <w:b/>
          <w:bCs/>
          <w:sz w:val="20"/>
          <w:szCs w:val="20"/>
          <w:rtl/>
        </w:rPr>
        <w:t>ריב"ש</w:t>
      </w:r>
      <w:r>
        <w:rPr>
          <w:rFonts w:hint="cs"/>
          <w:sz w:val="20"/>
          <w:szCs w:val="20"/>
          <w:rtl/>
        </w:rPr>
        <w:t xml:space="preserve">. אם נהגו כחומרה יש להמשיך, אך אם נהגו בטעות יש להודיעם שהוא מנהג מינות. </w:t>
      </w:r>
      <w:r w:rsidRPr="0068562C">
        <w:rPr>
          <w:rFonts w:hint="cs"/>
          <w:b/>
          <w:bCs/>
          <w:sz w:val="20"/>
          <w:szCs w:val="20"/>
          <w:rtl/>
        </w:rPr>
        <w:t>מהרי"ל</w:t>
      </w:r>
      <w:r>
        <w:rPr>
          <w:rFonts w:hint="cs"/>
          <w:sz w:val="20"/>
          <w:szCs w:val="20"/>
          <w:rtl/>
        </w:rPr>
        <w:t>. יש לנהוג כך לכתחילה.</w:t>
      </w:r>
      <w:r>
        <w:rPr>
          <w:sz w:val="20"/>
          <w:szCs w:val="20"/>
          <w:rtl/>
        </w:rPr>
        <w:br/>
      </w:r>
      <w:r>
        <w:rPr>
          <w:rFonts w:hint="cs"/>
          <w:sz w:val="20"/>
          <w:szCs w:val="20"/>
          <w:rtl/>
        </w:rPr>
        <w:t xml:space="preserve">21. </w:t>
      </w:r>
      <w:r w:rsidRPr="0068562C">
        <w:rPr>
          <w:rFonts w:hint="cs"/>
          <w:b/>
          <w:bCs/>
          <w:sz w:val="20"/>
          <w:szCs w:val="20"/>
          <w:rtl/>
        </w:rPr>
        <w:t>רמ"א</w:t>
      </w:r>
      <w:r>
        <w:rPr>
          <w:rFonts w:hint="cs"/>
          <w:sz w:val="20"/>
          <w:szCs w:val="20"/>
          <w:rtl/>
        </w:rPr>
        <w:t xml:space="preserve">. במקום שנהגו להחמיר אין להקל. </w:t>
      </w:r>
      <w:r w:rsidRPr="0068562C">
        <w:rPr>
          <w:rFonts w:hint="cs"/>
          <w:b/>
          <w:bCs/>
          <w:sz w:val="20"/>
          <w:szCs w:val="20"/>
          <w:rtl/>
        </w:rPr>
        <w:t>ב"ח</w:t>
      </w:r>
      <w:r>
        <w:rPr>
          <w:rFonts w:hint="cs"/>
          <w:sz w:val="20"/>
          <w:szCs w:val="20"/>
          <w:rtl/>
        </w:rPr>
        <w:t>. יש לנהוג מנהג זה.</w:t>
      </w:r>
      <w:r>
        <w:rPr>
          <w:sz w:val="20"/>
          <w:szCs w:val="20"/>
          <w:rtl/>
        </w:rPr>
        <w:br/>
      </w:r>
      <w:r>
        <w:rPr>
          <w:rFonts w:hint="cs"/>
          <w:sz w:val="20"/>
          <w:szCs w:val="20"/>
          <w:rtl/>
        </w:rPr>
        <w:t xml:space="preserve">22. </w:t>
      </w:r>
      <w:r w:rsidRPr="0068562C">
        <w:rPr>
          <w:rFonts w:hint="cs"/>
          <w:b/>
          <w:bCs/>
          <w:sz w:val="20"/>
          <w:szCs w:val="20"/>
          <w:rtl/>
        </w:rPr>
        <w:t>נוב"י</w:t>
      </w:r>
      <w:r>
        <w:rPr>
          <w:rFonts w:hint="cs"/>
          <w:sz w:val="20"/>
          <w:szCs w:val="20"/>
          <w:rtl/>
        </w:rPr>
        <w:t>. במקום שנהגו כן אין להתיר, אך דווקא אם נודע שנהגו כן ע"פ זקני הקהל.</w:t>
      </w:r>
    </w:p>
    <w:p w:rsidR="00620060" w:rsidRDefault="00620060" w:rsidP="00620060">
      <w:pPr>
        <w:rPr>
          <w:sz w:val="20"/>
          <w:szCs w:val="20"/>
          <w:rtl/>
        </w:rPr>
      </w:pPr>
      <w:r>
        <w:rPr>
          <w:sz w:val="20"/>
          <w:szCs w:val="20"/>
          <w:rtl/>
        </w:rPr>
        <w:br/>
      </w:r>
      <w:r>
        <w:rPr>
          <w:rFonts w:hint="cs"/>
          <w:b/>
          <w:bCs/>
          <w:sz w:val="20"/>
          <w:szCs w:val="20"/>
          <w:rtl/>
        </w:rPr>
        <w:t xml:space="preserve">סעיף ב </w:t>
      </w:r>
      <w:r>
        <w:rPr>
          <w:b/>
          <w:bCs/>
          <w:sz w:val="20"/>
          <w:szCs w:val="20"/>
          <w:rtl/>
        </w:rPr>
        <w:t>–</w:t>
      </w:r>
      <w:r>
        <w:rPr>
          <w:rFonts w:hint="cs"/>
          <w:b/>
          <w:bCs/>
          <w:sz w:val="20"/>
          <w:szCs w:val="20"/>
          <w:rtl/>
        </w:rPr>
        <w:t xml:space="preserve"> דין מפלת</w:t>
      </w:r>
      <w:r>
        <w:rPr>
          <w:b/>
          <w:bCs/>
          <w:sz w:val="20"/>
          <w:szCs w:val="20"/>
          <w:rtl/>
        </w:rPr>
        <w:br/>
      </w:r>
      <w:r>
        <w:rPr>
          <w:rFonts w:hint="cs"/>
          <w:b/>
          <w:bCs/>
          <w:sz w:val="20"/>
          <w:szCs w:val="20"/>
          <w:rtl/>
        </w:rPr>
        <w:t>הפילה נפל ליום מא'</w:t>
      </w:r>
      <w:r>
        <w:rPr>
          <w:b/>
          <w:bCs/>
          <w:sz w:val="20"/>
          <w:szCs w:val="20"/>
          <w:rtl/>
        </w:rPr>
        <w:br/>
      </w:r>
      <w:r>
        <w:rPr>
          <w:rFonts w:hint="cs"/>
          <w:b/>
          <w:bCs/>
          <w:sz w:val="20"/>
          <w:szCs w:val="20"/>
          <w:rtl/>
        </w:rPr>
        <w:t xml:space="preserve">משנה </w:t>
      </w:r>
      <w:r>
        <w:rPr>
          <w:rFonts w:hint="cs"/>
          <w:sz w:val="20"/>
          <w:szCs w:val="20"/>
          <w:rtl/>
        </w:rPr>
        <w:t>נידה (ל.) "</w:t>
      </w:r>
      <w:r w:rsidRPr="00886F6E">
        <w:rPr>
          <w:rFonts w:cs="Arial" w:hint="cs"/>
          <w:sz w:val="20"/>
          <w:szCs w:val="20"/>
          <w:rtl/>
        </w:rPr>
        <w:t>המפלת</w:t>
      </w:r>
      <w:r w:rsidRPr="00886F6E">
        <w:rPr>
          <w:rFonts w:cs="Arial"/>
          <w:sz w:val="20"/>
          <w:szCs w:val="20"/>
          <w:rtl/>
        </w:rPr>
        <w:t xml:space="preserve"> </w:t>
      </w:r>
      <w:r w:rsidRPr="00886F6E">
        <w:rPr>
          <w:rFonts w:cs="Arial" w:hint="cs"/>
          <w:sz w:val="20"/>
          <w:szCs w:val="20"/>
          <w:rtl/>
        </w:rPr>
        <w:t>ליום</w:t>
      </w:r>
      <w:r w:rsidRPr="00886F6E">
        <w:rPr>
          <w:rFonts w:cs="Arial"/>
          <w:sz w:val="20"/>
          <w:szCs w:val="20"/>
          <w:rtl/>
        </w:rPr>
        <w:t xml:space="preserve"> </w:t>
      </w:r>
      <w:r w:rsidRPr="00886F6E">
        <w:rPr>
          <w:rFonts w:cs="Arial" w:hint="cs"/>
          <w:sz w:val="20"/>
          <w:szCs w:val="20"/>
          <w:rtl/>
        </w:rPr>
        <w:t>מ</w:t>
      </w:r>
      <w:r w:rsidRPr="00886F6E">
        <w:rPr>
          <w:rFonts w:cs="Arial"/>
          <w:sz w:val="20"/>
          <w:szCs w:val="20"/>
          <w:rtl/>
        </w:rPr>
        <w:t xml:space="preserve">' - </w:t>
      </w:r>
      <w:r w:rsidRPr="00886F6E">
        <w:rPr>
          <w:rFonts w:cs="Arial" w:hint="cs"/>
          <w:sz w:val="20"/>
          <w:szCs w:val="20"/>
          <w:rtl/>
        </w:rPr>
        <w:t>אינה</w:t>
      </w:r>
      <w:r w:rsidRPr="00886F6E">
        <w:rPr>
          <w:rFonts w:cs="Arial"/>
          <w:sz w:val="20"/>
          <w:szCs w:val="20"/>
          <w:rtl/>
        </w:rPr>
        <w:t xml:space="preserve"> </w:t>
      </w:r>
      <w:r w:rsidRPr="00886F6E">
        <w:rPr>
          <w:rFonts w:cs="Arial" w:hint="cs"/>
          <w:sz w:val="20"/>
          <w:szCs w:val="20"/>
          <w:rtl/>
        </w:rPr>
        <w:t>חוששת</w:t>
      </w:r>
      <w:r w:rsidRPr="00886F6E">
        <w:rPr>
          <w:rFonts w:cs="Arial"/>
          <w:sz w:val="20"/>
          <w:szCs w:val="20"/>
          <w:rtl/>
        </w:rPr>
        <w:t xml:space="preserve"> </w:t>
      </w:r>
      <w:r w:rsidRPr="00886F6E">
        <w:rPr>
          <w:rFonts w:cs="Arial" w:hint="cs"/>
          <w:sz w:val="20"/>
          <w:szCs w:val="20"/>
          <w:rtl/>
        </w:rPr>
        <w:t>ל</w:t>
      </w:r>
      <w:r>
        <w:rPr>
          <w:rFonts w:cs="Arial" w:hint="cs"/>
          <w:sz w:val="20"/>
          <w:szCs w:val="20"/>
          <w:rtl/>
        </w:rPr>
        <w:t>ו</w:t>
      </w:r>
      <w:r w:rsidRPr="00886F6E">
        <w:rPr>
          <w:rFonts w:cs="Arial" w:hint="cs"/>
          <w:sz w:val="20"/>
          <w:szCs w:val="20"/>
          <w:rtl/>
        </w:rPr>
        <w:t>ולד</w:t>
      </w:r>
      <w:r w:rsidRPr="00886F6E">
        <w:rPr>
          <w:rFonts w:cs="Arial"/>
          <w:sz w:val="20"/>
          <w:szCs w:val="20"/>
          <w:rtl/>
        </w:rPr>
        <w:t xml:space="preserve">, </w:t>
      </w:r>
      <w:r w:rsidRPr="00886F6E">
        <w:rPr>
          <w:rFonts w:cs="Arial" w:hint="cs"/>
          <w:sz w:val="20"/>
          <w:szCs w:val="20"/>
          <w:rtl/>
        </w:rPr>
        <w:t>ליום</w:t>
      </w:r>
      <w:r w:rsidRPr="00886F6E">
        <w:rPr>
          <w:rFonts w:cs="Arial"/>
          <w:sz w:val="20"/>
          <w:szCs w:val="20"/>
          <w:rtl/>
        </w:rPr>
        <w:t xml:space="preserve"> </w:t>
      </w:r>
      <w:r w:rsidRPr="00886F6E">
        <w:rPr>
          <w:rFonts w:cs="Arial" w:hint="cs"/>
          <w:sz w:val="20"/>
          <w:szCs w:val="20"/>
          <w:rtl/>
        </w:rPr>
        <w:t>מ</w:t>
      </w:r>
      <w:r w:rsidRPr="00886F6E">
        <w:rPr>
          <w:rFonts w:cs="Arial"/>
          <w:sz w:val="20"/>
          <w:szCs w:val="20"/>
          <w:rtl/>
        </w:rPr>
        <w:t>"</w:t>
      </w:r>
      <w:r w:rsidRPr="00886F6E">
        <w:rPr>
          <w:rFonts w:cs="Arial" w:hint="cs"/>
          <w:sz w:val="20"/>
          <w:szCs w:val="20"/>
          <w:rtl/>
        </w:rPr>
        <w:t>א</w:t>
      </w:r>
      <w:r w:rsidRPr="00886F6E">
        <w:rPr>
          <w:rFonts w:cs="Arial"/>
          <w:sz w:val="20"/>
          <w:szCs w:val="20"/>
          <w:rtl/>
        </w:rPr>
        <w:t xml:space="preserve"> - </w:t>
      </w:r>
      <w:r w:rsidRPr="00886F6E">
        <w:rPr>
          <w:rFonts w:cs="Arial" w:hint="cs"/>
          <w:sz w:val="20"/>
          <w:szCs w:val="20"/>
          <w:rtl/>
        </w:rPr>
        <w:t>תשב</w:t>
      </w:r>
      <w:r w:rsidRPr="00886F6E">
        <w:rPr>
          <w:rFonts w:cs="Arial"/>
          <w:sz w:val="20"/>
          <w:szCs w:val="20"/>
          <w:rtl/>
        </w:rPr>
        <w:t xml:space="preserve"> </w:t>
      </w:r>
      <w:r w:rsidRPr="00886F6E">
        <w:rPr>
          <w:rFonts w:cs="Arial" w:hint="cs"/>
          <w:sz w:val="20"/>
          <w:szCs w:val="20"/>
          <w:rtl/>
        </w:rPr>
        <w:t>לזכר</w:t>
      </w:r>
      <w:r w:rsidRPr="00886F6E">
        <w:rPr>
          <w:rFonts w:cs="Arial"/>
          <w:sz w:val="20"/>
          <w:szCs w:val="20"/>
          <w:rtl/>
        </w:rPr>
        <w:t xml:space="preserve"> </w:t>
      </w:r>
      <w:r w:rsidRPr="00886F6E">
        <w:rPr>
          <w:rFonts w:cs="Arial" w:hint="cs"/>
          <w:sz w:val="20"/>
          <w:szCs w:val="20"/>
          <w:rtl/>
        </w:rPr>
        <w:t>ולנקבה</w:t>
      </w:r>
      <w:r w:rsidRPr="00886F6E">
        <w:rPr>
          <w:rFonts w:cs="Arial"/>
          <w:sz w:val="20"/>
          <w:szCs w:val="20"/>
          <w:rtl/>
        </w:rPr>
        <w:t xml:space="preserve"> </w:t>
      </w:r>
      <w:r w:rsidRPr="00886F6E">
        <w:rPr>
          <w:rFonts w:cs="Arial" w:hint="cs"/>
          <w:sz w:val="20"/>
          <w:szCs w:val="20"/>
          <w:rtl/>
        </w:rPr>
        <w:t>ולנדה</w:t>
      </w:r>
      <w:r>
        <w:rPr>
          <w:rFonts w:cs="Arial" w:hint="cs"/>
          <w:sz w:val="20"/>
          <w:szCs w:val="20"/>
          <w:rtl/>
        </w:rPr>
        <w:t xml:space="preserve"> </w:t>
      </w:r>
      <w:r w:rsidRPr="00886F6E">
        <w:rPr>
          <w:rFonts w:cs="Arial" w:hint="cs"/>
          <w:sz w:val="18"/>
          <w:szCs w:val="18"/>
          <w:rtl/>
        </w:rPr>
        <w:t>(לנקבה - ימי טומאת לידת נקבה, שבועיים</w:t>
      </w:r>
      <w:r>
        <w:rPr>
          <w:rFonts w:cs="Arial" w:hint="cs"/>
          <w:sz w:val="18"/>
          <w:szCs w:val="18"/>
          <w:rtl/>
        </w:rPr>
        <w:t>.</w:t>
      </w:r>
      <w:r w:rsidRPr="00886F6E">
        <w:rPr>
          <w:rFonts w:cs="Arial"/>
          <w:sz w:val="18"/>
          <w:szCs w:val="18"/>
        </w:rPr>
        <w:t xml:space="preserve"> </w:t>
      </w:r>
      <w:r w:rsidRPr="00886F6E">
        <w:rPr>
          <w:rFonts w:cs="Arial" w:hint="cs"/>
          <w:sz w:val="18"/>
          <w:szCs w:val="18"/>
          <w:rtl/>
        </w:rPr>
        <w:t>לנידה - וכן חוששת שמא אינו וולד כלל ולכן אין לה ימי טוהר</w:t>
      </w:r>
      <w:r>
        <w:rPr>
          <w:rStyle w:val="a5"/>
          <w:rFonts w:cs="Arial"/>
          <w:sz w:val="18"/>
          <w:szCs w:val="18"/>
          <w:rtl/>
        </w:rPr>
        <w:footnoteReference w:id="416"/>
      </w:r>
      <w:r w:rsidRPr="00886F6E">
        <w:rPr>
          <w:rFonts w:cs="Arial" w:hint="cs"/>
          <w:sz w:val="18"/>
          <w:szCs w:val="18"/>
          <w:rtl/>
        </w:rPr>
        <w:t>)</w:t>
      </w:r>
      <w:r w:rsidRPr="00886F6E">
        <w:rPr>
          <w:rFonts w:cs="Arial"/>
          <w:sz w:val="20"/>
          <w:szCs w:val="20"/>
          <w:rtl/>
        </w:rPr>
        <w:t xml:space="preserve">. </w:t>
      </w:r>
      <w:r w:rsidRPr="00886F6E">
        <w:rPr>
          <w:rFonts w:cs="Arial" w:hint="cs"/>
          <w:sz w:val="20"/>
          <w:szCs w:val="20"/>
          <w:rtl/>
        </w:rPr>
        <w:t>רבי</w:t>
      </w:r>
      <w:r w:rsidRPr="00886F6E">
        <w:rPr>
          <w:rFonts w:cs="Arial"/>
          <w:sz w:val="20"/>
          <w:szCs w:val="20"/>
          <w:rtl/>
        </w:rPr>
        <w:t xml:space="preserve"> </w:t>
      </w:r>
      <w:r w:rsidRPr="00886F6E">
        <w:rPr>
          <w:rFonts w:cs="Arial" w:hint="cs"/>
          <w:sz w:val="20"/>
          <w:szCs w:val="20"/>
          <w:rtl/>
        </w:rPr>
        <w:t>ישמעאל</w:t>
      </w:r>
      <w:r w:rsidRPr="00886F6E">
        <w:rPr>
          <w:rFonts w:cs="Arial"/>
          <w:sz w:val="20"/>
          <w:szCs w:val="20"/>
          <w:rtl/>
        </w:rPr>
        <w:t xml:space="preserve"> </w:t>
      </w:r>
      <w:r w:rsidRPr="00886F6E">
        <w:rPr>
          <w:rFonts w:cs="Arial" w:hint="cs"/>
          <w:sz w:val="20"/>
          <w:szCs w:val="20"/>
          <w:rtl/>
        </w:rPr>
        <w:t>אומר</w:t>
      </w:r>
      <w:r w:rsidRPr="00886F6E">
        <w:rPr>
          <w:rFonts w:cs="Arial"/>
          <w:sz w:val="20"/>
          <w:szCs w:val="20"/>
          <w:rtl/>
        </w:rPr>
        <w:t xml:space="preserve">: </w:t>
      </w:r>
      <w:r w:rsidRPr="00886F6E">
        <w:rPr>
          <w:rFonts w:cs="Arial" w:hint="cs"/>
          <w:sz w:val="20"/>
          <w:szCs w:val="20"/>
          <w:rtl/>
        </w:rPr>
        <w:t>יום</w:t>
      </w:r>
      <w:r w:rsidRPr="00886F6E">
        <w:rPr>
          <w:rFonts w:cs="Arial"/>
          <w:sz w:val="20"/>
          <w:szCs w:val="20"/>
          <w:rtl/>
        </w:rPr>
        <w:t xml:space="preserve"> </w:t>
      </w:r>
      <w:r w:rsidRPr="00886F6E">
        <w:rPr>
          <w:rFonts w:cs="Arial" w:hint="cs"/>
          <w:sz w:val="20"/>
          <w:szCs w:val="20"/>
          <w:rtl/>
        </w:rPr>
        <w:t>מ</w:t>
      </w:r>
      <w:r w:rsidRPr="00886F6E">
        <w:rPr>
          <w:rFonts w:cs="Arial"/>
          <w:sz w:val="20"/>
          <w:szCs w:val="20"/>
          <w:rtl/>
        </w:rPr>
        <w:t>"</w:t>
      </w:r>
      <w:r w:rsidRPr="00886F6E">
        <w:rPr>
          <w:rFonts w:cs="Arial" w:hint="cs"/>
          <w:sz w:val="20"/>
          <w:szCs w:val="20"/>
          <w:rtl/>
        </w:rPr>
        <w:t>א</w:t>
      </w:r>
      <w:r w:rsidRPr="00886F6E">
        <w:rPr>
          <w:rFonts w:cs="Arial"/>
          <w:sz w:val="20"/>
          <w:szCs w:val="20"/>
          <w:rtl/>
        </w:rPr>
        <w:t xml:space="preserve"> - </w:t>
      </w:r>
      <w:r w:rsidRPr="00886F6E">
        <w:rPr>
          <w:rFonts w:cs="Arial" w:hint="cs"/>
          <w:sz w:val="20"/>
          <w:szCs w:val="20"/>
          <w:rtl/>
        </w:rPr>
        <w:t>תשב</w:t>
      </w:r>
      <w:r w:rsidRPr="00886F6E">
        <w:rPr>
          <w:rFonts w:cs="Arial"/>
          <w:sz w:val="20"/>
          <w:szCs w:val="20"/>
          <w:rtl/>
        </w:rPr>
        <w:t xml:space="preserve"> </w:t>
      </w:r>
      <w:r w:rsidRPr="00886F6E">
        <w:rPr>
          <w:rFonts w:cs="Arial" w:hint="cs"/>
          <w:sz w:val="20"/>
          <w:szCs w:val="20"/>
          <w:rtl/>
        </w:rPr>
        <w:t>לזכר</w:t>
      </w:r>
      <w:r w:rsidRPr="00886F6E">
        <w:rPr>
          <w:rFonts w:cs="Arial"/>
          <w:sz w:val="20"/>
          <w:szCs w:val="20"/>
          <w:rtl/>
        </w:rPr>
        <w:t xml:space="preserve"> </w:t>
      </w:r>
      <w:r w:rsidRPr="00886F6E">
        <w:rPr>
          <w:rFonts w:cs="Arial" w:hint="cs"/>
          <w:sz w:val="20"/>
          <w:szCs w:val="20"/>
          <w:rtl/>
        </w:rPr>
        <w:t>ולנדה</w:t>
      </w:r>
      <w:r w:rsidRPr="00886F6E">
        <w:rPr>
          <w:rFonts w:cs="Arial"/>
          <w:sz w:val="20"/>
          <w:szCs w:val="20"/>
          <w:rtl/>
        </w:rPr>
        <w:t xml:space="preserve">, </w:t>
      </w:r>
      <w:r w:rsidRPr="00886F6E">
        <w:rPr>
          <w:rFonts w:cs="Arial" w:hint="cs"/>
          <w:sz w:val="20"/>
          <w:szCs w:val="20"/>
          <w:rtl/>
        </w:rPr>
        <w:t>יום</w:t>
      </w:r>
      <w:r w:rsidRPr="00886F6E">
        <w:rPr>
          <w:rFonts w:cs="Arial"/>
          <w:sz w:val="20"/>
          <w:szCs w:val="20"/>
          <w:rtl/>
        </w:rPr>
        <w:t xml:space="preserve"> </w:t>
      </w:r>
      <w:r w:rsidRPr="00886F6E">
        <w:rPr>
          <w:rFonts w:cs="Arial" w:hint="cs"/>
          <w:sz w:val="20"/>
          <w:szCs w:val="20"/>
          <w:rtl/>
        </w:rPr>
        <w:t>פ</w:t>
      </w:r>
      <w:r w:rsidRPr="00886F6E">
        <w:rPr>
          <w:rFonts w:cs="Arial"/>
          <w:sz w:val="20"/>
          <w:szCs w:val="20"/>
          <w:rtl/>
        </w:rPr>
        <w:t>"</w:t>
      </w:r>
      <w:r w:rsidRPr="00886F6E">
        <w:rPr>
          <w:rFonts w:cs="Arial" w:hint="cs"/>
          <w:sz w:val="20"/>
          <w:szCs w:val="20"/>
          <w:rtl/>
        </w:rPr>
        <w:t>א</w:t>
      </w:r>
      <w:r w:rsidRPr="00886F6E">
        <w:rPr>
          <w:rFonts w:cs="Arial"/>
          <w:sz w:val="20"/>
          <w:szCs w:val="20"/>
          <w:rtl/>
        </w:rPr>
        <w:t xml:space="preserve"> - </w:t>
      </w:r>
      <w:r w:rsidRPr="00886F6E">
        <w:rPr>
          <w:rFonts w:cs="Arial" w:hint="cs"/>
          <w:sz w:val="20"/>
          <w:szCs w:val="20"/>
          <w:rtl/>
        </w:rPr>
        <w:t>תשב</w:t>
      </w:r>
      <w:r w:rsidRPr="00886F6E">
        <w:rPr>
          <w:rFonts w:cs="Arial"/>
          <w:sz w:val="20"/>
          <w:szCs w:val="20"/>
          <w:rtl/>
        </w:rPr>
        <w:t xml:space="preserve"> </w:t>
      </w:r>
      <w:r w:rsidRPr="00886F6E">
        <w:rPr>
          <w:rFonts w:cs="Arial" w:hint="cs"/>
          <w:sz w:val="20"/>
          <w:szCs w:val="20"/>
          <w:rtl/>
        </w:rPr>
        <w:t>לזכר</w:t>
      </w:r>
      <w:r w:rsidRPr="00886F6E">
        <w:rPr>
          <w:rFonts w:cs="Arial"/>
          <w:sz w:val="20"/>
          <w:szCs w:val="20"/>
          <w:rtl/>
        </w:rPr>
        <w:t xml:space="preserve"> </w:t>
      </w:r>
      <w:r w:rsidRPr="00886F6E">
        <w:rPr>
          <w:rFonts w:cs="Arial" w:hint="cs"/>
          <w:sz w:val="20"/>
          <w:szCs w:val="20"/>
          <w:rtl/>
        </w:rPr>
        <w:t>ולנקבה</w:t>
      </w:r>
      <w:r w:rsidRPr="00886F6E">
        <w:rPr>
          <w:rFonts w:cs="Arial"/>
          <w:sz w:val="20"/>
          <w:szCs w:val="20"/>
          <w:rtl/>
        </w:rPr>
        <w:t xml:space="preserve"> </w:t>
      </w:r>
      <w:r w:rsidRPr="00886F6E">
        <w:rPr>
          <w:rFonts w:cs="Arial" w:hint="cs"/>
          <w:sz w:val="20"/>
          <w:szCs w:val="20"/>
          <w:rtl/>
        </w:rPr>
        <w:t>ולנדה</w:t>
      </w:r>
      <w:r w:rsidRPr="00886F6E">
        <w:rPr>
          <w:rFonts w:cs="Arial"/>
          <w:sz w:val="20"/>
          <w:szCs w:val="20"/>
          <w:rtl/>
        </w:rPr>
        <w:t xml:space="preserve">, </w:t>
      </w:r>
      <w:r w:rsidRPr="00886F6E">
        <w:rPr>
          <w:rFonts w:cs="Arial" w:hint="cs"/>
          <w:sz w:val="20"/>
          <w:szCs w:val="20"/>
          <w:rtl/>
        </w:rPr>
        <w:t>שהזכר</w:t>
      </w:r>
      <w:r w:rsidRPr="00886F6E">
        <w:rPr>
          <w:rFonts w:cs="Arial"/>
          <w:sz w:val="20"/>
          <w:szCs w:val="20"/>
          <w:rtl/>
        </w:rPr>
        <w:t xml:space="preserve"> </w:t>
      </w:r>
      <w:r w:rsidRPr="00886F6E">
        <w:rPr>
          <w:rFonts w:cs="Arial" w:hint="cs"/>
          <w:sz w:val="20"/>
          <w:szCs w:val="20"/>
          <w:rtl/>
        </w:rPr>
        <w:t>נגמר</w:t>
      </w:r>
      <w:r w:rsidRPr="00886F6E">
        <w:rPr>
          <w:rFonts w:cs="Arial"/>
          <w:sz w:val="20"/>
          <w:szCs w:val="20"/>
          <w:rtl/>
        </w:rPr>
        <w:t xml:space="preserve"> </w:t>
      </w:r>
      <w:r w:rsidRPr="00886F6E">
        <w:rPr>
          <w:rFonts w:cs="Arial" w:hint="cs"/>
          <w:sz w:val="20"/>
          <w:szCs w:val="20"/>
          <w:rtl/>
        </w:rPr>
        <w:t>למ</w:t>
      </w:r>
      <w:r w:rsidRPr="00886F6E">
        <w:rPr>
          <w:rFonts w:cs="Arial"/>
          <w:sz w:val="20"/>
          <w:szCs w:val="20"/>
          <w:rtl/>
        </w:rPr>
        <w:t>"</w:t>
      </w:r>
      <w:r w:rsidRPr="00886F6E">
        <w:rPr>
          <w:rFonts w:cs="Arial" w:hint="cs"/>
          <w:sz w:val="20"/>
          <w:szCs w:val="20"/>
          <w:rtl/>
        </w:rPr>
        <w:t>א</w:t>
      </w:r>
      <w:r w:rsidRPr="00886F6E">
        <w:rPr>
          <w:rFonts w:cs="Arial"/>
          <w:sz w:val="20"/>
          <w:szCs w:val="20"/>
          <w:rtl/>
        </w:rPr>
        <w:t xml:space="preserve"> </w:t>
      </w:r>
      <w:r w:rsidRPr="00886F6E">
        <w:rPr>
          <w:rFonts w:cs="Arial" w:hint="cs"/>
          <w:sz w:val="20"/>
          <w:szCs w:val="20"/>
          <w:rtl/>
        </w:rPr>
        <w:t>והנקבה</w:t>
      </w:r>
      <w:r w:rsidRPr="00886F6E">
        <w:rPr>
          <w:rFonts w:cs="Arial"/>
          <w:sz w:val="20"/>
          <w:szCs w:val="20"/>
          <w:rtl/>
        </w:rPr>
        <w:t xml:space="preserve"> </w:t>
      </w:r>
      <w:r w:rsidRPr="00886F6E">
        <w:rPr>
          <w:rFonts w:cs="Arial" w:hint="cs"/>
          <w:sz w:val="20"/>
          <w:szCs w:val="20"/>
          <w:rtl/>
        </w:rPr>
        <w:t>לפ</w:t>
      </w:r>
      <w:r w:rsidRPr="00886F6E">
        <w:rPr>
          <w:rFonts w:cs="Arial"/>
          <w:sz w:val="20"/>
          <w:szCs w:val="20"/>
          <w:rtl/>
        </w:rPr>
        <w:t>"</w:t>
      </w:r>
      <w:r w:rsidRPr="00886F6E">
        <w:rPr>
          <w:rFonts w:cs="Arial" w:hint="cs"/>
          <w:sz w:val="20"/>
          <w:szCs w:val="20"/>
          <w:rtl/>
        </w:rPr>
        <w:t>א</w:t>
      </w:r>
      <w:r w:rsidRPr="00886F6E">
        <w:rPr>
          <w:rFonts w:cs="Arial"/>
          <w:sz w:val="20"/>
          <w:szCs w:val="20"/>
          <w:rtl/>
        </w:rPr>
        <w:t xml:space="preserve">. </w:t>
      </w:r>
      <w:r w:rsidRPr="00886F6E">
        <w:rPr>
          <w:rFonts w:cs="Arial" w:hint="cs"/>
          <w:sz w:val="20"/>
          <w:szCs w:val="20"/>
          <w:rtl/>
        </w:rPr>
        <w:t>וחכ</w:t>
      </w:r>
      <w:r>
        <w:rPr>
          <w:rFonts w:cs="Arial" w:hint="cs"/>
          <w:sz w:val="20"/>
          <w:szCs w:val="20"/>
          <w:rtl/>
        </w:rPr>
        <w:t xml:space="preserve">מים </w:t>
      </w:r>
      <w:r w:rsidRPr="00886F6E">
        <w:rPr>
          <w:rFonts w:cs="Arial" w:hint="cs"/>
          <w:sz w:val="20"/>
          <w:szCs w:val="20"/>
          <w:rtl/>
        </w:rPr>
        <w:t>א</w:t>
      </w:r>
      <w:r>
        <w:rPr>
          <w:rFonts w:cs="Arial" w:hint="cs"/>
          <w:sz w:val="20"/>
          <w:szCs w:val="20"/>
          <w:rtl/>
        </w:rPr>
        <w:t>ומרים</w:t>
      </w:r>
      <w:r w:rsidRPr="00886F6E">
        <w:rPr>
          <w:rFonts w:cs="Arial"/>
          <w:sz w:val="20"/>
          <w:szCs w:val="20"/>
          <w:rtl/>
        </w:rPr>
        <w:t xml:space="preserve">: </w:t>
      </w:r>
      <w:r w:rsidRPr="00886F6E">
        <w:rPr>
          <w:rFonts w:cs="Arial" w:hint="cs"/>
          <w:sz w:val="20"/>
          <w:szCs w:val="20"/>
          <w:rtl/>
        </w:rPr>
        <w:t>אחד</w:t>
      </w:r>
      <w:r w:rsidRPr="00886F6E">
        <w:rPr>
          <w:rFonts w:cs="Arial"/>
          <w:sz w:val="20"/>
          <w:szCs w:val="20"/>
          <w:rtl/>
        </w:rPr>
        <w:t xml:space="preserve"> </w:t>
      </w:r>
      <w:r w:rsidRPr="00886F6E">
        <w:rPr>
          <w:rFonts w:cs="Arial" w:hint="cs"/>
          <w:sz w:val="20"/>
          <w:szCs w:val="20"/>
          <w:rtl/>
        </w:rPr>
        <w:t>בריית</w:t>
      </w:r>
      <w:r w:rsidRPr="00886F6E">
        <w:rPr>
          <w:rFonts w:cs="Arial"/>
          <w:sz w:val="20"/>
          <w:szCs w:val="20"/>
          <w:rtl/>
        </w:rPr>
        <w:t xml:space="preserve"> </w:t>
      </w:r>
      <w:r w:rsidRPr="00886F6E">
        <w:rPr>
          <w:rFonts w:cs="Arial" w:hint="cs"/>
          <w:sz w:val="20"/>
          <w:szCs w:val="20"/>
          <w:rtl/>
        </w:rPr>
        <w:t>הזכר</w:t>
      </w:r>
      <w:r w:rsidRPr="00886F6E">
        <w:rPr>
          <w:rFonts w:cs="Arial"/>
          <w:sz w:val="20"/>
          <w:szCs w:val="20"/>
          <w:rtl/>
        </w:rPr>
        <w:t xml:space="preserve"> </w:t>
      </w:r>
      <w:r w:rsidRPr="00886F6E">
        <w:rPr>
          <w:rFonts w:cs="Arial" w:hint="cs"/>
          <w:sz w:val="20"/>
          <w:szCs w:val="20"/>
          <w:rtl/>
        </w:rPr>
        <w:t>ואחד</w:t>
      </w:r>
      <w:r w:rsidRPr="00886F6E">
        <w:rPr>
          <w:rFonts w:cs="Arial"/>
          <w:sz w:val="20"/>
          <w:szCs w:val="20"/>
          <w:rtl/>
        </w:rPr>
        <w:t xml:space="preserve"> </w:t>
      </w:r>
      <w:r w:rsidRPr="00886F6E">
        <w:rPr>
          <w:rFonts w:cs="Arial" w:hint="cs"/>
          <w:sz w:val="20"/>
          <w:szCs w:val="20"/>
          <w:rtl/>
        </w:rPr>
        <w:t>בריית</w:t>
      </w:r>
      <w:r w:rsidRPr="00886F6E">
        <w:rPr>
          <w:rFonts w:cs="Arial"/>
          <w:sz w:val="20"/>
          <w:szCs w:val="20"/>
          <w:rtl/>
        </w:rPr>
        <w:t xml:space="preserve"> </w:t>
      </w:r>
      <w:r w:rsidRPr="00886F6E">
        <w:rPr>
          <w:rFonts w:cs="Arial" w:hint="cs"/>
          <w:sz w:val="20"/>
          <w:szCs w:val="20"/>
          <w:rtl/>
        </w:rPr>
        <w:t>הנקבה</w:t>
      </w:r>
      <w:r w:rsidRPr="00886F6E">
        <w:rPr>
          <w:rFonts w:cs="Arial"/>
          <w:sz w:val="20"/>
          <w:szCs w:val="20"/>
          <w:rtl/>
        </w:rPr>
        <w:t xml:space="preserve"> - </w:t>
      </w:r>
      <w:r w:rsidRPr="00886F6E">
        <w:rPr>
          <w:rFonts w:cs="Arial" w:hint="cs"/>
          <w:sz w:val="20"/>
          <w:szCs w:val="20"/>
          <w:rtl/>
        </w:rPr>
        <w:t>זה</w:t>
      </w:r>
      <w:r w:rsidRPr="00886F6E">
        <w:rPr>
          <w:rFonts w:cs="Arial"/>
          <w:sz w:val="20"/>
          <w:szCs w:val="20"/>
          <w:rtl/>
        </w:rPr>
        <w:t xml:space="preserve"> </w:t>
      </w:r>
      <w:r w:rsidRPr="00886F6E">
        <w:rPr>
          <w:rFonts w:cs="Arial" w:hint="cs"/>
          <w:sz w:val="20"/>
          <w:szCs w:val="20"/>
          <w:rtl/>
        </w:rPr>
        <w:t>וזה</w:t>
      </w:r>
      <w:r w:rsidRPr="00886F6E">
        <w:rPr>
          <w:rFonts w:cs="Arial"/>
          <w:sz w:val="20"/>
          <w:szCs w:val="20"/>
          <w:rtl/>
        </w:rPr>
        <w:t xml:space="preserve"> </w:t>
      </w:r>
      <w:r w:rsidRPr="00886F6E">
        <w:rPr>
          <w:rFonts w:cs="Arial" w:hint="cs"/>
          <w:sz w:val="20"/>
          <w:szCs w:val="20"/>
          <w:rtl/>
        </w:rPr>
        <w:t>מ</w:t>
      </w:r>
      <w:r w:rsidRPr="00886F6E">
        <w:rPr>
          <w:rFonts w:cs="Arial"/>
          <w:sz w:val="20"/>
          <w:szCs w:val="20"/>
          <w:rtl/>
        </w:rPr>
        <w:t>"</w:t>
      </w:r>
      <w:r w:rsidRPr="00886F6E">
        <w:rPr>
          <w:rFonts w:cs="Arial" w:hint="cs"/>
          <w:sz w:val="20"/>
          <w:szCs w:val="20"/>
          <w:rtl/>
        </w:rPr>
        <w:t>א</w:t>
      </w:r>
      <w:r>
        <w:rPr>
          <w:rFonts w:cs="Arial" w:hint="cs"/>
          <w:sz w:val="20"/>
          <w:szCs w:val="20"/>
          <w:rtl/>
        </w:rPr>
        <w:t>".</w:t>
      </w:r>
      <w:r>
        <w:rPr>
          <w:rFonts w:cs="Arial"/>
          <w:sz w:val="20"/>
          <w:szCs w:val="20"/>
          <w:rtl/>
        </w:rPr>
        <w:br/>
      </w:r>
      <w:r>
        <w:rPr>
          <w:rFonts w:cs="Arial" w:hint="cs"/>
          <w:b/>
          <w:bCs/>
          <w:sz w:val="20"/>
          <w:szCs w:val="20"/>
          <w:rtl/>
        </w:rPr>
        <w:t xml:space="preserve">גמרא </w:t>
      </w:r>
      <w:r>
        <w:rPr>
          <w:rFonts w:cs="Arial" w:hint="cs"/>
          <w:sz w:val="20"/>
          <w:szCs w:val="20"/>
          <w:rtl/>
        </w:rPr>
        <w:t>(שם, ע"ב) "</w:t>
      </w:r>
      <w:r w:rsidRPr="00886F6E">
        <w:rPr>
          <w:rFonts w:cs="Arial" w:hint="cs"/>
          <w:sz w:val="20"/>
          <w:szCs w:val="20"/>
          <w:rtl/>
        </w:rPr>
        <w:t>חכמים</w:t>
      </w:r>
      <w:r w:rsidRPr="00886F6E">
        <w:rPr>
          <w:rFonts w:cs="Arial"/>
          <w:sz w:val="20"/>
          <w:szCs w:val="20"/>
          <w:rtl/>
        </w:rPr>
        <w:t xml:space="preserve"> </w:t>
      </w:r>
      <w:r w:rsidRPr="00886F6E">
        <w:rPr>
          <w:rFonts w:cs="Arial" w:hint="cs"/>
          <w:sz w:val="20"/>
          <w:szCs w:val="20"/>
          <w:rtl/>
        </w:rPr>
        <w:t>היינו</w:t>
      </w:r>
      <w:r w:rsidRPr="00886F6E">
        <w:rPr>
          <w:rFonts w:cs="Arial"/>
          <w:sz w:val="20"/>
          <w:szCs w:val="20"/>
          <w:rtl/>
        </w:rPr>
        <w:t xml:space="preserve"> </w:t>
      </w:r>
      <w:r w:rsidRPr="00886F6E">
        <w:rPr>
          <w:rFonts w:cs="Arial" w:hint="cs"/>
          <w:sz w:val="20"/>
          <w:szCs w:val="20"/>
          <w:rtl/>
        </w:rPr>
        <w:t>ת</w:t>
      </w:r>
      <w:r w:rsidRPr="00886F6E">
        <w:rPr>
          <w:rFonts w:cs="Arial"/>
          <w:sz w:val="20"/>
          <w:szCs w:val="20"/>
          <w:rtl/>
        </w:rPr>
        <w:t>"</w:t>
      </w:r>
      <w:r w:rsidRPr="00886F6E">
        <w:rPr>
          <w:rFonts w:cs="Arial" w:hint="cs"/>
          <w:sz w:val="20"/>
          <w:szCs w:val="20"/>
          <w:rtl/>
        </w:rPr>
        <w:t>ק</w:t>
      </w:r>
      <w:r w:rsidRPr="00886F6E">
        <w:rPr>
          <w:rFonts w:cs="Arial"/>
          <w:sz w:val="20"/>
          <w:szCs w:val="20"/>
          <w:rtl/>
        </w:rPr>
        <w:t xml:space="preserve">! </w:t>
      </w:r>
      <w:r w:rsidRPr="00886F6E">
        <w:rPr>
          <w:rFonts w:cs="Arial" w:hint="cs"/>
          <w:sz w:val="20"/>
          <w:szCs w:val="20"/>
          <w:rtl/>
        </w:rPr>
        <w:t>וכי</w:t>
      </w:r>
      <w:r w:rsidRPr="00886F6E">
        <w:rPr>
          <w:rFonts w:cs="Arial"/>
          <w:sz w:val="20"/>
          <w:szCs w:val="20"/>
          <w:rtl/>
        </w:rPr>
        <w:t xml:space="preserve"> </w:t>
      </w:r>
      <w:r w:rsidRPr="00886F6E">
        <w:rPr>
          <w:rFonts w:cs="Arial" w:hint="cs"/>
          <w:sz w:val="20"/>
          <w:szCs w:val="20"/>
          <w:rtl/>
        </w:rPr>
        <w:t>תימא</w:t>
      </w:r>
      <w:r w:rsidRPr="00886F6E">
        <w:rPr>
          <w:rFonts w:cs="Arial"/>
          <w:sz w:val="20"/>
          <w:szCs w:val="20"/>
          <w:rtl/>
        </w:rPr>
        <w:t xml:space="preserve">: </w:t>
      </w:r>
      <w:r w:rsidRPr="00886F6E">
        <w:rPr>
          <w:rFonts w:cs="Arial" w:hint="cs"/>
          <w:sz w:val="20"/>
          <w:szCs w:val="20"/>
          <w:rtl/>
        </w:rPr>
        <w:t>למסתמא</w:t>
      </w:r>
      <w:r w:rsidRPr="00886F6E">
        <w:rPr>
          <w:rFonts w:cs="Arial"/>
          <w:sz w:val="20"/>
          <w:szCs w:val="20"/>
          <w:rtl/>
        </w:rPr>
        <w:t xml:space="preserve"> </w:t>
      </w:r>
      <w:r w:rsidRPr="00886F6E">
        <w:rPr>
          <w:rFonts w:cs="Arial" w:hint="cs"/>
          <w:sz w:val="20"/>
          <w:szCs w:val="20"/>
          <w:rtl/>
        </w:rPr>
        <w:t>רישא</w:t>
      </w:r>
      <w:r w:rsidRPr="00886F6E">
        <w:rPr>
          <w:rFonts w:cs="Arial"/>
          <w:sz w:val="20"/>
          <w:szCs w:val="20"/>
          <w:rtl/>
        </w:rPr>
        <w:t xml:space="preserve"> </w:t>
      </w:r>
      <w:r w:rsidRPr="00886F6E">
        <w:rPr>
          <w:rFonts w:cs="Arial" w:hint="cs"/>
          <w:sz w:val="20"/>
          <w:szCs w:val="20"/>
          <w:rtl/>
        </w:rPr>
        <w:t>כרבנן</w:t>
      </w:r>
      <w:r w:rsidRPr="00886F6E">
        <w:rPr>
          <w:rFonts w:cs="Arial"/>
          <w:sz w:val="20"/>
          <w:szCs w:val="20"/>
          <w:rtl/>
        </w:rPr>
        <w:t xml:space="preserve">, </w:t>
      </w:r>
      <w:r w:rsidRPr="00886F6E">
        <w:rPr>
          <w:rFonts w:cs="Arial" w:hint="cs"/>
          <w:sz w:val="20"/>
          <w:szCs w:val="20"/>
          <w:rtl/>
        </w:rPr>
        <w:t>ויחיד</w:t>
      </w:r>
      <w:r w:rsidRPr="00886F6E">
        <w:rPr>
          <w:rFonts w:cs="Arial"/>
          <w:sz w:val="20"/>
          <w:szCs w:val="20"/>
          <w:rtl/>
        </w:rPr>
        <w:t xml:space="preserve"> </w:t>
      </w:r>
      <w:r w:rsidRPr="00886F6E">
        <w:rPr>
          <w:rFonts w:cs="Arial" w:hint="cs"/>
          <w:sz w:val="20"/>
          <w:szCs w:val="20"/>
          <w:rtl/>
        </w:rPr>
        <w:t>ורבים</w:t>
      </w:r>
      <w:r w:rsidRPr="00886F6E">
        <w:rPr>
          <w:rFonts w:cs="Arial"/>
          <w:sz w:val="20"/>
          <w:szCs w:val="20"/>
          <w:rtl/>
        </w:rPr>
        <w:t xml:space="preserve"> </w:t>
      </w:r>
      <w:r w:rsidRPr="00886F6E">
        <w:rPr>
          <w:rFonts w:cs="Arial" w:hint="cs"/>
          <w:sz w:val="20"/>
          <w:szCs w:val="20"/>
          <w:rtl/>
        </w:rPr>
        <w:t>הלכה</w:t>
      </w:r>
      <w:r w:rsidRPr="00886F6E">
        <w:rPr>
          <w:rFonts w:cs="Arial"/>
          <w:sz w:val="20"/>
          <w:szCs w:val="20"/>
          <w:rtl/>
        </w:rPr>
        <w:t xml:space="preserve"> </w:t>
      </w:r>
      <w:r w:rsidRPr="00886F6E">
        <w:rPr>
          <w:rFonts w:cs="Arial" w:hint="cs"/>
          <w:sz w:val="20"/>
          <w:szCs w:val="20"/>
          <w:rtl/>
        </w:rPr>
        <w:t>כרבים</w:t>
      </w:r>
      <w:r w:rsidRPr="00886F6E">
        <w:rPr>
          <w:rFonts w:cs="Arial"/>
          <w:sz w:val="20"/>
          <w:szCs w:val="20"/>
          <w:rtl/>
        </w:rPr>
        <w:t xml:space="preserve">, </w:t>
      </w:r>
      <w:r w:rsidRPr="00886F6E">
        <w:rPr>
          <w:rFonts w:cs="Arial" w:hint="cs"/>
          <w:sz w:val="20"/>
          <w:szCs w:val="20"/>
          <w:rtl/>
        </w:rPr>
        <w:t>פשיטא</w:t>
      </w:r>
      <w:r w:rsidRPr="00886F6E">
        <w:rPr>
          <w:rFonts w:cs="Arial"/>
          <w:sz w:val="20"/>
          <w:szCs w:val="20"/>
          <w:rtl/>
        </w:rPr>
        <w:t xml:space="preserve">! </w:t>
      </w:r>
      <w:r w:rsidRPr="00886F6E">
        <w:rPr>
          <w:rFonts w:cs="Arial" w:hint="cs"/>
          <w:sz w:val="20"/>
          <w:szCs w:val="20"/>
          <w:rtl/>
        </w:rPr>
        <w:t>מהו</w:t>
      </w:r>
      <w:r w:rsidRPr="00886F6E">
        <w:rPr>
          <w:rFonts w:cs="Arial"/>
          <w:sz w:val="20"/>
          <w:szCs w:val="20"/>
          <w:rtl/>
        </w:rPr>
        <w:t xml:space="preserve"> </w:t>
      </w:r>
      <w:r w:rsidRPr="00886F6E">
        <w:rPr>
          <w:rFonts w:cs="Arial" w:hint="cs"/>
          <w:sz w:val="20"/>
          <w:szCs w:val="20"/>
          <w:rtl/>
        </w:rPr>
        <w:t>דתימא</w:t>
      </w:r>
      <w:r w:rsidRPr="00886F6E">
        <w:rPr>
          <w:rFonts w:cs="Arial"/>
          <w:sz w:val="20"/>
          <w:szCs w:val="20"/>
          <w:rtl/>
        </w:rPr>
        <w:t xml:space="preserve">: </w:t>
      </w:r>
      <w:r w:rsidRPr="00886F6E">
        <w:rPr>
          <w:rFonts w:cs="Arial" w:hint="cs"/>
          <w:sz w:val="20"/>
          <w:szCs w:val="20"/>
          <w:rtl/>
        </w:rPr>
        <w:t>מסתברא</w:t>
      </w:r>
      <w:r w:rsidRPr="00886F6E">
        <w:rPr>
          <w:rFonts w:cs="Arial"/>
          <w:sz w:val="20"/>
          <w:szCs w:val="20"/>
          <w:rtl/>
        </w:rPr>
        <w:t xml:space="preserve"> </w:t>
      </w:r>
      <w:r w:rsidRPr="00886F6E">
        <w:rPr>
          <w:rFonts w:cs="Arial" w:hint="cs"/>
          <w:sz w:val="20"/>
          <w:szCs w:val="20"/>
          <w:rtl/>
        </w:rPr>
        <w:t>טעמא</w:t>
      </w:r>
      <w:r w:rsidRPr="00886F6E">
        <w:rPr>
          <w:rFonts w:cs="Arial"/>
          <w:sz w:val="20"/>
          <w:szCs w:val="20"/>
          <w:rtl/>
        </w:rPr>
        <w:t xml:space="preserve"> </w:t>
      </w:r>
      <w:r w:rsidRPr="00886F6E">
        <w:rPr>
          <w:rFonts w:cs="Arial" w:hint="cs"/>
          <w:sz w:val="20"/>
          <w:szCs w:val="20"/>
          <w:rtl/>
        </w:rPr>
        <w:t>דרבי</w:t>
      </w:r>
      <w:r w:rsidRPr="00886F6E">
        <w:rPr>
          <w:rFonts w:cs="Arial"/>
          <w:sz w:val="20"/>
          <w:szCs w:val="20"/>
          <w:rtl/>
        </w:rPr>
        <w:t xml:space="preserve"> </w:t>
      </w:r>
      <w:r w:rsidRPr="00886F6E">
        <w:rPr>
          <w:rFonts w:cs="Arial" w:hint="cs"/>
          <w:sz w:val="20"/>
          <w:szCs w:val="20"/>
          <w:rtl/>
        </w:rPr>
        <w:t>ישמעאל</w:t>
      </w:r>
      <w:r w:rsidRPr="00886F6E">
        <w:rPr>
          <w:rFonts w:cs="Arial"/>
          <w:sz w:val="20"/>
          <w:szCs w:val="20"/>
          <w:rtl/>
        </w:rPr>
        <w:t xml:space="preserve">, </w:t>
      </w:r>
      <w:r w:rsidRPr="00886F6E">
        <w:rPr>
          <w:rFonts w:cs="Arial" w:hint="cs"/>
          <w:sz w:val="20"/>
          <w:szCs w:val="20"/>
          <w:rtl/>
        </w:rPr>
        <w:t>דקמסייע</w:t>
      </w:r>
      <w:r w:rsidRPr="00886F6E">
        <w:rPr>
          <w:rFonts w:cs="Arial"/>
          <w:sz w:val="20"/>
          <w:szCs w:val="20"/>
          <w:rtl/>
        </w:rPr>
        <w:t xml:space="preserve"> </w:t>
      </w:r>
      <w:r w:rsidRPr="00886F6E">
        <w:rPr>
          <w:rFonts w:cs="Arial" w:hint="cs"/>
          <w:sz w:val="20"/>
          <w:szCs w:val="20"/>
          <w:rtl/>
        </w:rPr>
        <w:t>ליה</w:t>
      </w:r>
      <w:r w:rsidRPr="00886F6E">
        <w:rPr>
          <w:rFonts w:cs="Arial"/>
          <w:sz w:val="20"/>
          <w:szCs w:val="20"/>
          <w:rtl/>
        </w:rPr>
        <w:t xml:space="preserve"> </w:t>
      </w:r>
      <w:r w:rsidRPr="00886F6E">
        <w:rPr>
          <w:rFonts w:cs="Arial" w:hint="cs"/>
          <w:sz w:val="20"/>
          <w:szCs w:val="20"/>
          <w:rtl/>
        </w:rPr>
        <w:t>קראי</w:t>
      </w:r>
      <w:r w:rsidRPr="00886F6E">
        <w:rPr>
          <w:rFonts w:cs="Arial"/>
          <w:sz w:val="20"/>
          <w:szCs w:val="20"/>
          <w:rtl/>
        </w:rPr>
        <w:t xml:space="preserve">, </w:t>
      </w:r>
      <w:r w:rsidRPr="00886F6E">
        <w:rPr>
          <w:rFonts w:cs="Arial" w:hint="cs"/>
          <w:sz w:val="20"/>
          <w:szCs w:val="20"/>
          <w:rtl/>
        </w:rPr>
        <w:t>ק</w:t>
      </w:r>
      <w:r>
        <w:rPr>
          <w:rFonts w:cs="Arial" w:hint="cs"/>
          <w:sz w:val="20"/>
          <w:szCs w:val="20"/>
          <w:rtl/>
        </w:rPr>
        <w:t>א משמע לן".</w:t>
      </w:r>
      <w:r>
        <w:rPr>
          <w:sz w:val="20"/>
          <w:szCs w:val="20"/>
          <w:rtl/>
        </w:rPr>
        <w:br/>
      </w:r>
      <w:r>
        <w:rPr>
          <w:rFonts w:hint="cs"/>
          <w:sz w:val="20"/>
          <w:szCs w:val="20"/>
          <w:rtl/>
        </w:rPr>
        <w:t>וכן פסקו הראשונים</w:t>
      </w:r>
      <w:r>
        <w:rPr>
          <w:rStyle w:val="a5"/>
          <w:sz w:val="20"/>
          <w:szCs w:val="20"/>
          <w:rtl/>
        </w:rPr>
        <w:footnoteReference w:id="417"/>
      </w:r>
      <w:r>
        <w:rPr>
          <w:rFonts w:hint="cs"/>
          <w:sz w:val="20"/>
          <w:szCs w:val="20"/>
          <w:rtl/>
        </w:rPr>
        <w:t xml:space="preserve"> שהלכה כחכמים, שאם הפילה ליום מא' תשב שבועיים לימי טומאת נקבה, ואין לה דם טוהר שמא אינו וולד.</w:t>
      </w:r>
    </w:p>
    <w:p w:rsidR="00620060" w:rsidRDefault="00620060" w:rsidP="00620060">
      <w:pPr>
        <w:rPr>
          <w:sz w:val="20"/>
          <w:szCs w:val="20"/>
          <w:rtl/>
        </w:rPr>
      </w:pPr>
      <w:r>
        <w:rPr>
          <w:rFonts w:hint="cs"/>
          <w:b/>
          <w:bCs/>
          <w:sz w:val="20"/>
          <w:szCs w:val="20"/>
          <w:rtl/>
        </w:rPr>
        <w:t>הפילה נפל בתוך מ' יום</w:t>
      </w:r>
      <w:r>
        <w:rPr>
          <w:rFonts w:hint="cs"/>
          <w:b/>
          <w:bCs/>
          <w:sz w:val="20"/>
          <w:szCs w:val="20"/>
          <w:rtl/>
        </w:rPr>
        <w:br/>
      </w:r>
      <w:r w:rsidRPr="00710F54">
        <w:rPr>
          <w:rFonts w:hint="cs"/>
          <w:b/>
          <w:bCs/>
          <w:sz w:val="20"/>
          <w:szCs w:val="20"/>
          <w:rtl/>
        </w:rPr>
        <w:t>שיטות הראשונים</w:t>
      </w:r>
      <w:r>
        <w:rPr>
          <w:rFonts w:hint="cs"/>
          <w:sz w:val="20"/>
          <w:szCs w:val="20"/>
          <w:rtl/>
        </w:rPr>
        <w:br/>
        <w:t>הפילה נפל בתוך מ' יום יום ולא ראתה דם, האם טמאה נידה?</w:t>
      </w:r>
      <w:r>
        <w:rPr>
          <w:sz w:val="20"/>
          <w:szCs w:val="20"/>
          <w:rtl/>
        </w:rPr>
        <w:br/>
      </w:r>
      <w:r>
        <w:rPr>
          <w:rFonts w:hint="cs"/>
          <w:sz w:val="20"/>
          <w:szCs w:val="20"/>
          <w:rtl/>
        </w:rPr>
        <w:t xml:space="preserve">א. </w:t>
      </w:r>
      <w:r w:rsidRPr="0062101F">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לא.</w:t>
      </w:r>
      <w:r>
        <w:rPr>
          <w:sz w:val="20"/>
          <w:szCs w:val="20"/>
          <w:rtl/>
        </w:rPr>
        <w:br/>
      </w:r>
      <w:r w:rsidRPr="0062101F">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פחות ממא' יום זה מים בלבד, ולכן אין לה כלל פתיה"ק </w:t>
      </w:r>
      <w:r w:rsidRPr="00AE292C">
        <w:rPr>
          <w:rFonts w:hint="cs"/>
          <w:sz w:val="18"/>
          <w:szCs w:val="18"/>
          <w:rtl/>
        </w:rPr>
        <w:t xml:space="preserve">(ואפילו מ"ד 'אי אפשר לפתיה"ק בלא דם </w:t>
      </w:r>
      <w:r w:rsidRPr="00AE292C">
        <w:rPr>
          <w:sz w:val="18"/>
          <w:szCs w:val="18"/>
          <w:rtl/>
        </w:rPr>
        <w:t>–</w:t>
      </w:r>
      <w:r w:rsidRPr="00AE292C">
        <w:rPr>
          <w:rFonts w:hint="cs"/>
          <w:sz w:val="18"/>
          <w:szCs w:val="18"/>
          <w:rtl/>
        </w:rPr>
        <w:t xml:space="preserve"> מודה)</w:t>
      </w:r>
      <w:r>
        <w:rPr>
          <w:rFonts w:hint="cs"/>
          <w:sz w:val="20"/>
          <w:szCs w:val="20"/>
          <w:rtl/>
        </w:rPr>
        <w:t>.</w:t>
      </w:r>
      <w:r>
        <w:rPr>
          <w:sz w:val="20"/>
          <w:szCs w:val="20"/>
          <w:rtl/>
        </w:rPr>
        <w:br/>
      </w:r>
      <w:r>
        <w:rPr>
          <w:rFonts w:hint="cs"/>
          <w:sz w:val="20"/>
          <w:szCs w:val="20"/>
          <w:rtl/>
        </w:rPr>
        <w:t xml:space="preserve">ב. </w:t>
      </w:r>
      <w:r w:rsidRPr="0062101F">
        <w:rPr>
          <w:rFonts w:hint="cs"/>
          <w:b/>
          <w:bCs/>
          <w:sz w:val="20"/>
          <w:szCs w:val="20"/>
          <w:rtl/>
        </w:rPr>
        <w:t>ראב"ד</w:t>
      </w:r>
      <w:r>
        <w:rPr>
          <w:rFonts w:hint="cs"/>
          <w:sz w:val="20"/>
          <w:szCs w:val="20"/>
          <w:rtl/>
        </w:rPr>
        <w:t xml:space="preserve"> </w:t>
      </w:r>
      <w:r>
        <w:rPr>
          <w:sz w:val="20"/>
          <w:szCs w:val="20"/>
          <w:rtl/>
        </w:rPr>
        <w:t>–</w:t>
      </w:r>
      <w:r>
        <w:rPr>
          <w:rFonts w:hint="cs"/>
          <w:sz w:val="20"/>
          <w:szCs w:val="20"/>
          <w:rtl/>
        </w:rPr>
        <w:t xml:space="preserve"> כן, וכ"פ </w:t>
      </w:r>
      <w:r w:rsidRPr="00DB7436">
        <w:rPr>
          <w:rFonts w:hint="cs"/>
          <w:b/>
          <w:bCs/>
          <w:sz w:val="20"/>
          <w:szCs w:val="20"/>
          <w:rtl/>
        </w:rPr>
        <w:t>המחבר</w:t>
      </w:r>
      <w:r>
        <w:rPr>
          <w:rFonts w:hint="cs"/>
          <w:sz w:val="20"/>
          <w:szCs w:val="20"/>
          <w:rtl/>
        </w:rPr>
        <w:t>.</w:t>
      </w:r>
      <w:r>
        <w:rPr>
          <w:rFonts w:hint="cs"/>
          <w:sz w:val="20"/>
          <w:szCs w:val="20"/>
          <w:rtl/>
        </w:rPr>
        <w:br/>
      </w:r>
      <w:r w:rsidRPr="00EF73AA">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לא גרע מחתיכה שמטמא רבי יהודה, משום שאי אפשר לפתיה"ק בלא דם.</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Pr>
          <w:rFonts w:cs="Arial" w:hint="cs"/>
          <w:sz w:val="20"/>
          <w:szCs w:val="20"/>
          <w:rtl/>
        </w:rPr>
        <w:t>ה</w:t>
      </w:r>
      <w:r w:rsidRPr="00EF73AA">
        <w:rPr>
          <w:rFonts w:cs="Arial" w:hint="cs"/>
          <w:sz w:val="20"/>
          <w:szCs w:val="20"/>
          <w:rtl/>
        </w:rPr>
        <w:t>מפלת</w:t>
      </w:r>
      <w:r w:rsidRPr="00EF73AA">
        <w:rPr>
          <w:rFonts w:cs="Arial"/>
          <w:sz w:val="20"/>
          <w:szCs w:val="20"/>
          <w:rtl/>
        </w:rPr>
        <w:t xml:space="preserve"> </w:t>
      </w:r>
      <w:r w:rsidRPr="00EF73AA">
        <w:rPr>
          <w:rFonts w:cs="Arial" w:hint="cs"/>
          <w:sz w:val="20"/>
          <w:szCs w:val="20"/>
          <w:rtl/>
        </w:rPr>
        <w:t>בתוך</w:t>
      </w:r>
      <w:r w:rsidRPr="00EF73AA">
        <w:rPr>
          <w:rFonts w:cs="Arial"/>
          <w:sz w:val="20"/>
          <w:szCs w:val="20"/>
          <w:rtl/>
        </w:rPr>
        <w:t xml:space="preserve"> </w:t>
      </w:r>
      <w:r w:rsidRPr="00EF73AA">
        <w:rPr>
          <w:rFonts w:cs="Arial" w:hint="cs"/>
          <w:sz w:val="20"/>
          <w:szCs w:val="20"/>
          <w:rtl/>
        </w:rPr>
        <w:t>מ</w:t>
      </w:r>
      <w:r w:rsidRPr="00EF73AA">
        <w:rPr>
          <w:rFonts w:cs="Arial"/>
          <w:sz w:val="20"/>
          <w:szCs w:val="20"/>
          <w:rtl/>
        </w:rPr>
        <w:t xml:space="preserve">' </w:t>
      </w:r>
      <w:r w:rsidRPr="00EF73AA">
        <w:rPr>
          <w:rFonts w:cs="Arial" w:hint="cs"/>
          <w:sz w:val="20"/>
          <w:szCs w:val="20"/>
          <w:rtl/>
        </w:rPr>
        <w:t>אינה</w:t>
      </w:r>
      <w:r w:rsidRPr="00EF73AA">
        <w:rPr>
          <w:rFonts w:cs="Arial"/>
          <w:sz w:val="20"/>
          <w:szCs w:val="20"/>
          <w:rtl/>
        </w:rPr>
        <w:t xml:space="preserve"> </w:t>
      </w:r>
      <w:r w:rsidRPr="00EF73AA">
        <w:rPr>
          <w:rFonts w:cs="Arial" w:hint="cs"/>
          <w:sz w:val="20"/>
          <w:szCs w:val="20"/>
          <w:rtl/>
        </w:rPr>
        <w:t>חוששת</w:t>
      </w:r>
      <w:r w:rsidRPr="00EF73AA">
        <w:rPr>
          <w:rFonts w:cs="Arial"/>
          <w:sz w:val="20"/>
          <w:szCs w:val="20"/>
          <w:rtl/>
        </w:rPr>
        <w:t xml:space="preserve"> </w:t>
      </w:r>
      <w:r w:rsidRPr="00EF73AA">
        <w:rPr>
          <w:rFonts w:cs="Arial" w:hint="cs"/>
          <w:sz w:val="20"/>
          <w:szCs w:val="20"/>
          <w:rtl/>
        </w:rPr>
        <w:t>ל</w:t>
      </w:r>
      <w:r>
        <w:rPr>
          <w:rFonts w:cs="Arial" w:hint="cs"/>
          <w:sz w:val="20"/>
          <w:szCs w:val="20"/>
          <w:rtl/>
        </w:rPr>
        <w:t>ו</w:t>
      </w:r>
      <w:r w:rsidRPr="00EF73AA">
        <w:rPr>
          <w:rFonts w:cs="Arial" w:hint="cs"/>
          <w:sz w:val="20"/>
          <w:szCs w:val="20"/>
          <w:rtl/>
        </w:rPr>
        <w:t>ולד</w:t>
      </w:r>
      <w:r w:rsidRPr="00EF73AA">
        <w:rPr>
          <w:rFonts w:cs="Arial"/>
          <w:sz w:val="20"/>
          <w:szCs w:val="20"/>
          <w:rtl/>
        </w:rPr>
        <w:t xml:space="preserve"> </w:t>
      </w:r>
      <w:r w:rsidRPr="00EF73AA">
        <w:rPr>
          <w:rFonts w:cs="Arial" w:hint="cs"/>
          <w:sz w:val="20"/>
          <w:szCs w:val="20"/>
          <w:rtl/>
        </w:rPr>
        <w:t>אבל</w:t>
      </w:r>
      <w:r w:rsidRPr="00EF73AA">
        <w:rPr>
          <w:rFonts w:cs="Arial"/>
          <w:sz w:val="20"/>
          <w:szCs w:val="20"/>
          <w:rtl/>
        </w:rPr>
        <w:t xml:space="preserve"> </w:t>
      </w:r>
      <w:r w:rsidRPr="00EF73AA">
        <w:rPr>
          <w:rFonts w:cs="Arial" w:hint="cs"/>
          <w:sz w:val="20"/>
          <w:szCs w:val="20"/>
          <w:rtl/>
        </w:rPr>
        <w:t>חוששת</w:t>
      </w:r>
      <w:r w:rsidRPr="00EF73AA">
        <w:rPr>
          <w:rFonts w:cs="Arial"/>
          <w:sz w:val="20"/>
          <w:szCs w:val="20"/>
          <w:rtl/>
        </w:rPr>
        <w:t xml:space="preserve"> </w:t>
      </w:r>
      <w:r w:rsidRPr="00EF73AA">
        <w:rPr>
          <w:rFonts w:cs="Arial" w:hint="cs"/>
          <w:sz w:val="20"/>
          <w:szCs w:val="20"/>
          <w:rtl/>
        </w:rPr>
        <w:t>משום</w:t>
      </w:r>
      <w:r w:rsidRPr="00EF73AA">
        <w:rPr>
          <w:rFonts w:cs="Arial"/>
          <w:sz w:val="20"/>
          <w:szCs w:val="20"/>
          <w:rtl/>
        </w:rPr>
        <w:t xml:space="preserve"> </w:t>
      </w:r>
      <w:r w:rsidRPr="00EF73AA">
        <w:rPr>
          <w:rFonts w:cs="Arial" w:hint="cs"/>
          <w:sz w:val="20"/>
          <w:szCs w:val="20"/>
          <w:rtl/>
        </w:rPr>
        <w:t>נדה</w:t>
      </w:r>
      <w:r w:rsidRPr="00EF73AA">
        <w:rPr>
          <w:rFonts w:cs="Arial"/>
          <w:sz w:val="20"/>
          <w:szCs w:val="20"/>
          <w:rtl/>
        </w:rPr>
        <w:t xml:space="preserve">, </w:t>
      </w:r>
      <w:r w:rsidRPr="00EF73AA">
        <w:rPr>
          <w:rFonts w:cs="Arial" w:hint="cs"/>
          <w:sz w:val="20"/>
          <w:szCs w:val="20"/>
          <w:rtl/>
        </w:rPr>
        <w:t>אפילו</w:t>
      </w:r>
      <w:r w:rsidRPr="00EF73AA">
        <w:rPr>
          <w:rFonts w:cs="Arial"/>
          <w:sz w:val="20"/>
          <w:szCs w:val="20"/>
          <w:rtl/>
        </w:rPr>
        <w:t xml:space="preserve"> </w:t>
      </w:r>
      <w:r w:rsidRPr="00EF73AA">
        <w:rPr>
          <w:rFonts w:cs="Arial" w:hint="cs"/>
          <w:sz w:val="20"/>
          <w:szCs w:val="20"/>
          <w:rtl/>
        </w:rPr>
        <w:t>לא</w:t>
      </w:r>
      <w:r w:rsidRPr="00EF73AA">
        <w:rPr>
          <w:rFonts w:cs="Arial"/>
          <w:sz w:val="20"/>
          <w:szCs w:val="20"/>
          <w:rtl/>
        </w:rPr>
        <w:t xml:space="preserve"> </w:t>
      </w:r>
      <w:r w:rsidRPr="00EF73AA">
        <w:rPr>
          <w:rFonts w:cs="Arial" w:hint="cs"/>
          <w:sz w:val="20"/>
          <w:szCs w:val="20"/>
          <w:rtl/>
        </w:rPr>
        <w:t>ראתה</w:t>
      </w:r>
      <w:r w:rsidRPr="00EF73AA">
        <w:rPr>
          <w:rFonts w:cs="Arial"/>
          <w:sz w:val="20"/>
          <w:szCs w:val="20"/>
          <w:rtl/>
        </w:rPr>
        <w:t xml:space="preserve">. </w:t>
      </w:r>
      <w:r>
        <w:rPr>
          <w:rFonts w:cs="Arial" w:hint="cs"/>
          <w:sz w:val="20"/>
          <w:szCs w:val="20"/>
          <w:rtl/>
        </w:rPr>
        <w:br/>
      </w:r>
      <w:r w:rsidRPr="00EF73AA">
        <w:rPr>
          <w:rFonts w:cs="Arial" w:hint="cs"/>
          <w:sz w:val="18"/>
          <w:szCs w:val="18"/>
          <w:rtl/>
        </w:rPr>
        <w:t>הגה</w:t>
      </w:r>
      <w:r w:rsidRPr="00EF73AA">
        <w:rPr>
          <w:rFonts w:cs="Arial"/>
          <w:sz w:val="18"/>
          <w:szCs w:val="18"/>
          <w:rtl/>
        </w:rPr>
        <w:t xml:space="preserve">: </w:t>
      </w:r>
      <w:r w:rsidRPr="00EF73AA">
        <w:rPr>
          <w:rFonts w:cs="Arial" w:hint="cs"/>
          <w:sz w:val="18"/>
          <w:szCs w:val="18"/>
          <w:rtl/>
        </w:rPr>
        <w:t>מפני</w:t>
      </w:r>
      <w:r w:rsidRPr="00EF73AA">
        <w:rPr>
          <w:rFonts w:cs="Arial"/>
          <w:sz w:val="18"/>
          <w:szCs w:val="18"/>
          <w:rtl/>
        </w:rPr>
        <w:t xml:space="preserve"> </w:t>
      </w:r>
      <w:r w:rsidRPr="00EF73AA">
        <w:rPr>
          <w:rFonts w:cs="Arial" w:hint="cs"/>
          <w:sz w:val="18"/>
          <w:szCs w:val="18"/>
          <w:rtl/>
        </w:rPr>
        <w:t>שא</w:t>
      </w:r>
      <w:r>
        <w:rPr>
          <w:rFonts w:cs="Arial" w:hint="cs"/>
          <w:sz w:val="18"/>
          <w:szCs w:val="18"/>
          <w:rtl/>
        </w:rPr>
        <w:t xml:space="preserve">י </w:t>
      </w:r>
      <w:r w:rsidRPr="00EF73AA">
        <w:rPr>
          <w:rFonts w:cs="Arial" w:hint="cs"/>
          <w:sz w:val="18"/>
          <w:szCs w:val="18"/>
          <w:rtl/>
        </w:rPr>
        <w:t>א</w:t>
      </w:r>
      <w:r>
        <w:rPr>
          <w:rFonts w:cs="Arial" w:hint="cs"/>
          <w:sz w:val="18"/>
          <w:szCs w:val="18"/>
          <w:rtl/>
        </w:rPr>
        <w:t>פשר</w:t>
      </w:r>
      <w:r w:rsidRPr="00EF73AA">
        <w:rPr>
          <w:rFonts w:cs="Arial"/>
          <w:sz w:val="18"/>
          <w:szCs w:val="18"/>
          <w:rtl/>
        </w:rPr>
        <w:t xml:space="preserve"> </w:t>
      </w:r>
      <w:r w:rsidRPr="00EF73AA">
        <w:rPr>
          <w:rFonts w:cs="Arial" w:hint="cs"/>
          <w:sz w:val="18"/>
          <w:szCs w:val="18"/>
          <w:rtl/>
        </w:rPr>
        <w:t>לפתיחת</w:t>
      </w:r>
      <w:r w:rsidRPr="00EF73AA">
        <w:rPr>
          <w:rFonts w:cs="Arial"/>
          <w:sz w:val="18"/>
          <w:szCs w:val="18"/>
          <w:rtl/>
        </w:rPr>
        <w:t xml:space="preserve"> </w:t>
      </w:r>
      <w:r w:rsidRPr="00EF73AA">
        <w:rPr>
          <w:rFonts w:cs="Arial" w:hint="cs"/>
          <w:sz w:val="18"/>
          <w:szCs w:val="18"/>
          <w:rtl/>
        </w:rPr>
        <w:t>הקבר</w:t>
      </w:r>
      <w:r w:rsidRPr="00EF73AA">
        <w:rPr>
          <w:rFonts w:cs="Arial"/>
          <w:sz w:val="18"/>
          <w:szCs w:val="18"/>
          <w:rtl/>
        </w:rPr>
        <w:t xml:space="preserve"> </w:t>
      </w:r>
      <w:r w:rsidRPr="00EF73AA">
        <w:rPr>
          <w:rFonts w:cs="Arial" w:hint="cs"/>
          <w:sz w:val="18"/>
          <w:szCs w:val="18"/>
          <w:rtl/>
        </w:rPr>
        <w:t>בלא</w:t>
      </w:r>
      <w:r w:rsidRPr="00EF73AA">
        <w:rPr>
          <w:rFonts w:cs="Arial"/>
          <w:sz w:val="18"/>
          <w:szCs w:val="18"/>
          <w:rtl/>
        </w:rPr>
        <w:t xml:space="preserve"> </w:t>
      </w:r>
      <w:r w:rsidRPr="00EF73AA">
        <w:rPr>
          <w:rFonts w:cs="Arial" w:hint="cs"/>
          <w:sz w:val="18"/>
          <w:szCs w:val="18"/>
          <w:rtl/>
        </w:rPr>
        <w:t>דם</w:t>
      </w:r>
      <w:r w:rsidRPr="00EF73AA">
        <w:rPr>
          <w:rFonts w:cs="Arial"/>
          <w:sz w:val="18"/>
          <w:szCs w:val="18"/>
          <w:rtl/>
        </w:rPr>
        <w:t xml:space="preserve">, </w:t>
      </w:r>
      <w:r w:rsidRPr="00EF73AA">
        <w:rPr>
          <w:rFonts w:cs="Arial" w:hint="cs"/>
          <w:sz w:val="18"/>
          <w:szCs w:val="18"/>
          <w:rtl/>
        </w:rPr>
        <w:t>ונפקא</w:t>
      </w:r>
      <w:r w:rsidRPr="00EF73AA">
        <w:rPr>
          <w:rFonts w:cs="Arial"/>
          <w:sz w:val="18"/>
          <w:szCs w:val="18"/>
          <w:rtl/>
        </w:rPr>
        <w:t xml:space="preserve"> </w:t>
      </w:r>
      <w:r w:rsidRPr="00EF73AA">
        <w:rPr>
          <w:rFonts w:cs="Arial" w:hint="cs"/>
          <w:sz w:val="18"/>
          <w:szCs w:val="18"/>
          <w:rtl/>
        </w:rPr>
        <w:t>מינה</w:t>
      </w:r>
      <w:r w:rsidRPr="00EF73AA">
        <w:rPr>
          <w:rFonts w:cs="Arial"/>
          <w:sz w:val="18"/>
          <w:szCs w:val="18"/>
          <w:rtl/>
        </w:rPr>
        <w:t xml:space="preserve"> </w:t>
      </w:r>
      <w:r w:rsidRPr="00EF73AA">
        <w:rPr>
          <w:rFonts w:cs="Arial" w:hint="cs"/>
          <w:sz w:val="18"/>
          <w:szCs w:val="18"/>
          <w:rtl/>
        </w:rPr>
        <w:t>דמ</w:t>
      </w:r>
      <w:r>
        <w:rPr>
          <w:rFonts w:cs="Arial" w:hint="cs"/>
          <w:sz w:val="18"/>
          <w:szCs w:val="18"/>
          <w:rtl/>
        </w:rPr>
        <w:t>י</w:t>
      </w:r>
      <w:r w:rsidRPr="00EF73AA">
        <w:rPr>
          <w:rFonts w:cs="Arial" w:hint="cs"/>
          <w:sz w:val="18"/>
          <w:szCs w:val="18"/>
          <w:rtl/>
        </w:rPr>
        <w:t>ד</w:t>
      </w:r>
      <w:r w:rsidRPr="00EF73AA">
        <w:rPr>
          <w:rFonts w:cs="Arial"/>
          <w:sz w:val="18"/>
          <w:szCs w:val="18"/>
          <w:rtl/>
        </w:rPr>
        <w:t xml:space="preserve"> </w:t>
      </w:r>
      <w:r w:rsidRPr="00EF73AA">
        <w:rPr>
          <w:rFonts w:cs="Arial" w:hint="cs"/>
          <w:sz w:val="18"/>
          <w:szCs w:val="18"/>
          <w:rtl/>
        </w:rPr>
        <w:t>לאחר</w:t>
      </w:r>
      <w:r w:rsidRPr="00EF73AA">
        <w:rPr>
          <w:rFonts w:cs="Arial"/>
          <w:sz w:val="18"/>
          <w:szCs w:val="18"/>
          <w:rtl/>
        </w:rPr>
        <w:t xml:space="preserve"> </w:t>
      </w:r>
      <w:r w:rsidRPr="00EF73AA">
        <w:rPr>
          <w:rFonts w:cs="Arial" w:hint="cs"/>
          <w:sz w:val="18"/>
          <w:szCs w:val="18"/>
          <w:rtl/>
        </w:rPr>
        <w:t>שספרה</w:t>
      </w:r>
      <w:r w:rsidRPr="00EF73AA">
        <w:rPr>
          <w:rFonts w:cs="Arial"/>
          <w:sz w:val="18"/>
          <w:szCs w:val="18"/>
          <w:rtl/>
        </w:rPr>
        <w:t xml:space="preserve"> </w:t>
      </w:r>
      <w:r w:rsidRPr="00EF73AA">
        <w:rPr>
          <w:rFonts w:cs="Arial" w:hint="cs"/>
          <w:sz w:val="18"/>
          <w:szCs w:val="18"/>
          <w:rtl/>
        </w:rPr>
        <w:t>ז</w:t>
      </w:r>
      <w:r w:rsidRPr="00EF73AA">
        <w:rPr>
          <w:rFonts w:cs="Arial"/>
          <w:sz w:val="18"/>
          <w:szCs w:val="18"/>
          <w:rtl/>
        </w:rPr>
        <w:t xml:space="preserve">' </w:t>
      </w:r>
      <w:r w:rsidRPr="00EF73AA">
        <w:rPr>
          <w:rFonts w:cs="Arial" w:hint="cs"/>
          <w:sz w:val="18"/>
          <w:szCs w:val="18"/>
          <w:rtl/>
        </w:rPr>
        <w:t>נקיים</w:t>
      </w:r>
      <w:r w:rsidRPr="00EF73AA">
        <w:rPr>
          <w:rFonts w:cs="Arial"/>
          <w:sz w:val="18"/>
          <w:szCs w:val="18"/>
          <w:rtl/>
        </w:rPr>
        <w:t xml:space="preserve"> </w:t>
      </w:r>
      <w:r w:rsidRPr="00EF73AA">
        <w:rPr>
          <w:rFonts w:cs="Arial" w:hint="cs"/>
          <w:sz w:val="18"/>
          <w:szCs w:val="18"/>
          <w:rtl/>
        </w:rPr>
        <w:t>מותרת</w:t>
      </w:r>
      <w:r w:rsidRPr="00EF73AA">
        <w:rPr>
          <w:rFonts w:cs="Arial"/>
          <w:sz w:val="18"/>
          <w:szCs w:val="18"/>
          <w:rtl/>
        </w:rPr>
        <w:t xml:space="preserve"> </w:t>
      </w:r>
      <w:r w:rsidRPr="00EF73AA">
        <w:rPr>
          <w:rFonts w:cs="Arial" w:hint="cs"/>
          <w:sz w:val="18"/>
          <w:szCs w:val="18"/>
          <w:rtl/>
        </w:rPr>
        <w:t>ואינה</w:t>
      </w:r>
      <w:r w:rsidRPr="00EF73AA">
        <w:rPr>
          <w:rFonts w:cs="Arial"/>
          <w:sz w:val="18"/>
          <w:szCs w:val="18"/>
          <w:rtl/>
        </w:rPr>
        <w:t xml:space="preserve"> </w:t>
      </w:r>
      <w:r w:rsidRPr="00EF73AA">
        <w:rPr>
          <w:rFonts w:cs="Arial" w:hint="cs"/>
          <w:sz w:val="18"/>
          <w:szCs w:val="18"/>
          <w:rtl/>
        </w:rPr>
        <w:t>חוששת</w:t>
      </w:r>
      <w:r w:rsidRPr="00EF73AA">
        <w:rPr>
          <w:rFonts w:cs="Arial"/>
          <w:sz w:val="18"/>
          <w:szCs w:val="18"/>
          <w:rtl/>
        </w:rPr>
        <w:t xml:space="preserve"> </w:t>
      </w:r>
      <w:r w:rsidRPr="00EF73AA">
        <w:rPr>
          <w:rFonts w:cs="Arial" w:hint="cs"/>
          <w:sz w:val="18"/>
          <w:szCs w:val="18"/>
          <w:rtl/>
        </w:rPr>
        <w:t>ל</w:t>
      </w:r>
      <w:r>
        <w:rPr>
          <w:rFonts w:cs="Arial" w:hint="cs"/>
          <w:sz w:val="18"/>
          <w:szCs w:val="18"/>
          <w:rtl/>
        </w:rPr>
        <w:t>ו</w:t>
      </w:r>
      <w:r w:rsidRPr="00EF73AA">
        <w:rPr>
          <w:rFonts w:cs="Arial" w:hint="cs"/>
          <w:sz w:val="18"/>
          <w:szCs w:val="18"/>
          <w:rtl/>
        </w:rPr>
        <w:t>ולד</w:t>
      </w:r>
      <w:r>
        <w:rPr>
          <w:rFonts w:cs="Arial" w:hint="cs"/>
          <w:sz w:val="18"/>
          <w:szCs w:val="18"/>
          <w:rtl/>
        </w:rPr>
        <w:t>".</w:t>
      </w:r>
    </w:p>
    <w:p w:rsidR="00620060" w:rsidRPr="00AE292C" w:rsidRDefault="00620060" w:rsidP="00620060">
      <w:pPr>
        <w:rPr>
          <w:sz w:val="20"/>
          <w:szCs w:val="20"/>
          <w:rtl/>
        </w:rPr>
      </w:pPr>
      <w:r>
        <w:rPr>
          <w:rFonts w:hint="cs"/>
          <w:sz w:val="20"/>
          <w:szCs w:val="20"/>
          <w:u w:val="single"/>
          <w:rtl/>
        </w:rPr>
        <w:t>פתיחת הקבר</w:t>
      </w:r>
      <w:r>
        <w:rPr>
          <w:sz w:val="20"/>
          <w:szCs w:val="20"/>
          <w:u w:val="single"/>
          <w:rtl/>
        </w:rPr>
        <w:br/>
      </w:r>
      <w:r>
        <w:rPr>
          <w:rFonts w:hint="cs"/>
          <w:sz w:val="20"/>
          <w:szCs w:val="20"/>
          <w:rtl/>
        </w:rPr>
        <w:t>עיין לעיל סימן קפח' סעיף ג' בפרטי דין זה.</w:t>
      </w:r>
    </w:p>
    <w:p w:rsidR="00620060" w:rsidRDefault="00620060" w:rsidP="00620060">
      <w:pPr>
        <w:rPr>
          <w:sz w:val="20"/>
          <w:szCs w:val="20"/>
          <w:rtl/>
        </w:rPr>
      </w:pPr>
      <w:r w:rsidRPr="00DB7436">
        <w:rPr>
          <w:rFonts w:hint="cs"/>
          <w:sz w:val="20"/>
          <w:szCs w:val="20"/>
          <w:u w:val="single"/>
          <w:rtl/>
        </w:rPr>
        <w:t>ממתי מונים מ' יום</w:t>
      </w:r>
      <w:r>
        <w:rPr>
          <w:rFonts w:hint="cs"/>
          <w:sz w:val="20"/>
          <w:szCs w:val="20"/>
          <w:u w:val="single"/>
          <w:rtl/>
        </w:rPr>
        <w:t xml:space="preserve"> (פת"ש)</w:t>
      </w:r>
      <w:r>
        <w:rPr>
          <w:rFonts w:hint="cs"/>
          <w:sz w:val="20"/>
          <w:szCs w:val="20"/>
          <w:u w:val="single"/>
          <w:rtl/>
        </w:rPr>
        <w:br/>
      </w:r>
      <w:r w:rsidRPr="002D67C1">
        <w:rPr>
          <w:rFonts w:hint="cs"/>
          <w:b/>
          <w:bCs/>
          <w:sz w:val="20"/>
          <w:szCs w:val="20"/>
          <w:rtl/>
        </w:rPr>
        <w:t>רש"י</w:t>
      </w:r>
      <w:r>
        <w:rPr>
          <w:rFonts w:hint="cs"/>
          <w:sz w:val="20"/>
          <w:szCs w:val="20"/>
          <w:rtl/>
        </w:rPr>
        <w:t xml:space="preserve"> </w:t>
      </w:r>
      <w:r>
        <w:rPr>
          <w:sz w:val="20"/>
          <w:szCs w:val="20"/>
          <w:rtl/>
        </w:rPr>
        <w:t>–</w:t>
      </w:r>
      <w:r>
        <w:rPr>
          <w:rFonts w:hint="cs"/>
          <w:sz w:val="20"/>
          <w:szCs w:val="20"/>
          <w:rtl/>
        </w:rPr>
        <w:t xml:space="preserve"> הימים נמנים מיום הטבילה.</w:t>
      </w:r>
      <w:r>
        <w:rPr>
          <w:rFonts w:hint="cs"/>
          <w:sz w:val="20"/>
          <w:szCs w:val="20"/>
          <w:rtl/>
        </w:rPr>
        <w:br/>
        <w:t xml:space="preserve">ועדיין יש לעיין בדבריו - </w:t>
      </w:r>
      <w:r>
        <w:rPr>
          <w:sz w:val="20"/>
          <w:szCs w:val="20"/>
          <w:rtl/>
        </w:rPr>
        <w:br/>
      </w:r>
      <w:r>
        <w:rPr>
          <w:rFonts w:hint="cs"/>
          <w:sz w:val="20"/>
          <w:szCs w:val="20"/>
          <w:rtl/>
        </w:rPr>
        <w:t xml:space="preserve">א. </w:t>
      </w:r>
      <w:r w:rsidRPr="005A687D">
        <w:rPr>
          <w:rFonts w:hint="cs"/>
          <w:b/>
          <w:bCs/>
          <w:sz w:val="20"/>
          <w:szCs w:val="20"/>
          <w:rtl/>
        </w:rPr>
        <w:t>עבודת הגרשוני</w:t>
      </w:r>
      <w:r>
        <w:rPr>
          <w:rFonts w:hint="cs"/>
          <w:sz w:val="20"/>
          <w:szCs w:val="20"/>
          <w:rtl/>
        </w:rPr>
        <w:t xml:space="preserve"> - מונה מ' יום מהטבילה לראייה האחרונה.</w:t>
      </w:r>
      <w:r>
        <w:rPr>
          <w:rStyle w:val="a5"/>
          <w:sz w:val="20"/>
          <w:szCs w:val="20"/>
          <w:rtl/>
        </w:rPr>
        <w:footnoteReference w:id="418"/>
      </w:r>
      <w:r>
        <w:rPr>
          <w:sz w:val="20"/>
          <w:szCs w:val="20"/>
          <w:rtl/>
        </w:rPr>
        <w:br/>
      </w:r>
      <w:r>
        <w:rPr>
          <w:rFonts w:hint="cs"/>
          <w:sz w:val="20"/>
          <w:szCs w:val="20"/>
          <w:rtl/>
        </w:rPr>
        <w:t xml:space="preserve">ג. </w:t>
      </w:r>
      <w:r w:rsidRPr="00423AE3">
        <w:rPr>
          <w:rFonts w:hint="cs"/>
          <w:b/>
          <w:bCs/>
          <w:sz w:val="20"/>
          <w:szCs w:val="20"/>
          <w:rtl/>
        </w:rPr>
        <w:t>חתם סופר</w:t>
      </w:r>
      <w:r>
        <w:rPr>
          <w:rFonts w:hint="cs"/>
          <w:sz w:val="20"/>
          <w:szCs w:val="20"/>
          <w:rtl/>
        </w:rPr>
        <w:t xml:space="preserve"> </w:t>
      </w:r>
      <w:r>
        <w:rPr>
          <w:sz w:val="20"/>
          <w:szCs w:val="20"/>
          <w:rtl/>
        </w:rPr>
        <w:t>–</w:t>
      </w:r>
      <w:r>
        <w:rPr>
          <w:rFonts w:hint="cs"/>
          <w:sz w:val="20"/>
          <w:szCs w:val="20"/>
          <w:rtl/>
        </w:rPr>
        <w:t xml:space="preserve"> מונה מ' יום מהטבילה שאחרי הלידה האחרונה.</w:t>
      </w:r>
      <w:r>
        <w:rPr>
          <w:sz w:val="20"/>
          <w:szCs w:val="20"/>
          <w:rtl/>
        </w:rPr>
        <w:br/>
      </w:r>
      <w:r w:rsidRPr="005A687D">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גם בעת הריונה עלולה לראות ואף קובעת ווסת בג' חודשים הראשונים להריונה, אם כן אין לומר שמ' יום נמנים מעת טבילתה האחרונה, שמא טבלה בשעה שהיתה מעוברת.</w:t>
      </w:r>
      <w:r>
        <w:rPr>
          <w:sz w:val="20"/>
          <w:szCs w:val="20"/>
          <w:rtl/>
        </w:rPr>
        <w:br/>
      </w:r>
      <w:r>
        <w:rPr>
          <w:sz w:val="20"/>
          <w:szCs w:val="20"/>
          <w:rtl/>
        </w:rPr>
        <w:br/>
      </w:r>
      <w:r>
        <w:rPr>
          <w:rFonts w:hint="cs"/>
          <w:sz w:val="20"/>
          <w:szCs w:val="20"/>
          <w:rtl/>
        </w:rPr>
        <w:t xml:space="preserve">הכרעת </w:t>
      </w:r>
      <w:r w:rsidRPr="008D2DC9">
        <w:rPr>
          <w:rFonts w:hint="cs"/>
          <w:b/>
          <w:bCs/>
          <w:sz w:val="20"/>
          <w:szCs w:val="20"/>
          <w:rtl/>
        </w:rPr>
        <w:t>ששבה"ל</w:t>
      </w:r>
      <w:r>
        <w:rPr>
          <w:rFonts w:hint="cs"/>
          <w:sz w:val="20"/>
          <w:szCs w:val="20"/>
          <w:rtl/>
        </w:rPr>
        <w:t xml:space="preserve"> </w:t>
      </w:r>
      <w:r>
        <w:rPr>
          <w:sz w:val="20"/>
          <w:szCs w:val="20"/>
          <w:rtl/>
        </w:rPr>
        <w:t>–</w:t>
      </w:r>
      <w:r>
        <w:rPr>
          <w:rFonts w:hint="cs"/>
          <w:sz w:val="20"/>
          <w:szCs w:val="20"/>
          <w:rtl/>
        </w:rPr>
        <w:t xml:space="preserve"> בימינו בב' </w:t>
      </w:r>
      <w:r>
        <w:rPr>
          <w:sz w:val="20"/>
          <w:szCs w:val="20"/>
          <w:rtl/>
        </w:rPr>
        <w:t>–</w:t>
      </w:r>
      <w:r>
        <w:rPr>
          <w:rFonts w:hint="cs"/>
          <w:sz w:val="20"/>
          <w:szCs w:val="20"/>
          <w:rtl/>
        </w:rPr>
        <w:t xml:space="preserve"> ג' חודשים הראשונים להיריון אין האשה רואה ווסת, ולכן אם ראתה בוודאי </w:t>
      </w:r>
      <w:r>
        <w:rPr>
          <w:rFonts w:hint="cs"/>
          <w:sz w:val="20"/>
          <w:szCs w:val="20"/>
          <w:rtl/>
        </w:rPr>
        <w:lastRenderedPageBreak/>
        <w:t xml:space="preserve">שאיננה מעוברת ואין לנהוג כחת"ס בכך. </w:t>
      </w:r>
      <w:r>
        <w:rPr>
          <w:sz w:val="20"/>
          <w:szCs w:val="20"/>
          <w:rtl/>
        </w:rPr>
        <w:br/>
      </w:r>
      <w:r>
        <w:rPr>
          <w:rFonts w:hint="cs"/>
          <w:sz w:val="20"/>
          <w:szCs w:val="20"/>
          <w:rtl/>
        </w:rPr>
        <w:t>אמנם, אם ראתה כתם או שהיתה ראייה חלשה וטבלה, יש למנות מהטבילה הקודמת.</w:t>
      </w:r>
    </w:p>
    <w:p w:rsidR="00620060"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6745C4">
        <w:rPr>
          <w:rFonts w:hint="cs"/>
          <w:b/>
          <w:bCs/>
          <w:sz w:val="20"/>
          <w:szCs w:val="20"/>
          <w:rtl/>
        </w:rPr>
        <w:t>משנה</w:t>
      </w:r>
      <w:r>
        <w:rPr>
          <w:rFonts w:hint="cs"/>
          <w:sz w:val="20"/>
          <w:szCs w:val="20"/>
          <w:rtl/>
        </w:rPr>
        <w:t xml:space="preserve">. הפילה בתוך מ' </w:t>
      </w:r>
      <w:r>
        <w:rPr>
          <w:sz w:val="20"/>
          <w:szCs w:val="20"/>
          <w:rtl/>
        </w:rPr>
        <w:t>–</w:t>
      </w:r>
      <w:r>
        <w:rPr>
          <w:rFonts w:hint="cs"/>
          <w:sz w:val="20"/>
          <w:szCs w:val="20"/>
          <w:rtl/>
        </w:rPr>
        <w:t xml:space="preserve"> אינה טמאה לידה. </w:t>
      </w:r>
      <w:r w:rsidRPr="006745C4">
        <w:rPr>
          <w:rFonts w:hint="cs"/>
          <w:sz w:val="20"/>
          <w:szCs w:val="20"/>
          <w:u w:val="single"/>
          <w:rtl/>
        </w:rPr>
        <w:t>חכמים</w:t>
      </w:r>
      <w:r>
        <w:rPr>
          <w:rFonts w:hint="cs"/>
          <w:sz w:val="20"/>
          <w:szCs w:val="20"/>
          <w:rtl/>
        </w:rPr>
        <w:t xml:space="preserve">. הפילה למא' יושבת לזכר ולנקבה, וכן הלכה. </w:t>
      </w:r>
      <w:r>
        <w:rPr>
          <w:sz w:val="20"/>
          <w:szCs w:val="20"/>
          <w:rtl/>
        </w:rPr>
        <w:br/>
      </w:r>
      <w:r w:rsidRPr="006745C4">
        <w:rPr>
          <w:rFonts w:hint="cs"/>
          <w:sz w:val="20"/>
          <w:szCs w:val="20"/>
          <w:u w:val="single"/>
          <w:rtl/>
        </w:rPr>
        <w:t>רבי ישמעאל</w:t>
      </w:r>
      <w:r>
        <w:rPr>
          <w:rFonts w:hint="cs"/>
          <w:sz w:val="20"/>
          <w:szCs w:val="20"/>
          <w:rtl/>
        </w:rPr>
        <w:t>. הפילה למא' תשב לזכר, הפילה לפא' תשב לנקבה.</w:t>
      </w:r>
      <w:r>
        <w:rPr>
          <w:rFonts w:hint="cs"/>
          <w:sz w:val="20"/>
          <w:szCs w:val="20"/>
          <w:rtl/>
        </w:rPr>
        <w:br/>
        <w:t>2</w:t>
      </w:r>
      <w:r w:rsidRPr="008D2DC9">
        <w:rPr>
          <w:rFonts w:hint="cs"/>
          <w:sz w:val="20"/>
          <w:szCs w:val="20"/>
          <w:rtl/>
        </w:rPr>
        <w:t xml:space="preserve">. הפילה בתוך מ' ולא ראתה דם, האם טמאה נידה? </w:t>
      </w:r>
      <w:r w:rsidRPr="008D2DC9">
        <w:rPr>
          <w:rFonts w:hint="cs"/>
          <w:b/>
          <w:bCs/>
          <w:sz w:val="20"/>
          <w:szCs w:val="20"/>
          <w:rtl/>
        </w:rPr>
        <w:t>רשב"א</w:t>
      </w:r>
      <w:r w:rsidRPr="008D2DC9">
        <w:rPr>
          <w:rFonts w:hint="cs"/>
          <w:sz w:val="20"/>
          <w:szCs w:val="20"/>
          <w:rtl/>
        </w:rPr>
        <w:t xml:space="preserve">. לא. </w:t>
      </w:r>
      <w:r w:rsidRPr="008D2DC9">
        <w:rPr>
          <w:rFonts w:hint="cs"/>
          <w:b/>
          <w:bCs/>
          <w:sz w:val="20"/>
          <w:szCs w:val="20"/>
          <w:rtl/>
        </w:rPr>
        <w:t>ראב"ד</w:t>
      </w:r>
      <w:r w:rsidRPr="008D2DC9">
        <w:rPr>
          <w:rFonts w:hint="cs"/>
          <w:sz w:val="20"/>
          <w:szCs w:val="20"/>
          <w:rtl/>
        </w:rPr>
        <w:t xml:space="preserve">. כן, וכ"פ </w:t>
      </w:r>
      <w:r w:rsidRPr="008D2DC9">
        <w:rPr>
          <w:rFonts w:hint="cs"/>
          <w:b/>
          <w:bCs/>
          <w:sz w:val="20"/>
          <w:szCs w:val="20"/>
          <w:rtl/>
        </w:rPr>
        <w:t>המחבר</w:t>
      </w:r>
      <w:r w:rsidRPr="008D2DC9">
        <w:rPr>
          <w:rFonts w:hint="cs"/>
          <w:sz w:val="20"/>
          <w:szCs w:val="20"/>
          <w:rtl/>
        </w:rPr>
        <w:t>.</w:t>
      </w:r>
      <w:r w:rsidRPr="008D2DC9">
        <w:rPr>
          <w:rFonts w:hint="cs"/>
          <w:sz w:val="20"/>
          <w:szCs w:val="20"/>
          <w:rtl/>
        </w:rPr>
        <w:br/>
        <w:t xml:space="preserve">3. ממתי מונים מ' יום. </w:t>
      </w:r>
      <w:r w:rsidRPr="008D2DC9">
        <w:rPr>
          <w:rFonts w:hint="cs"/>
          <w:b/>
          <w:bCs/>
          <w:sz w:val="20"/>
          <w:szCs w:val="20"/>
          <w:rtl/>
        </w:rPr>
        <w:t>רש"י</w:t>
      </w:r>
      <w:r w:rsidRPr="008D2DC9">
        <w:rPr>
          <w:rFonts w:hint="cs"/>
          <w:sz w:val="20"/>
          <w:szCs w:val="20"/>
          <w:rtl/>
        </w:rPr>
        <w:t xml:space="preserve">. משעת טבילה. </w:t>
      </w:r>
      <w:r w:rsidRPr="008D2DC9">
        <w:rPr>
          <w:rFonts w:hint="cs"/>
          <w:b/>
          <w:bCs/>
          <w:sz w:val="20"/>
          <w:szCs w:val="20"/>
          <w:rtl/>
        </w:rPr>
        <w:t>עה"ג</w:t>
      </w:r>
      <w:r w:rsidRPr="008D2DC9">
        <w:rPr>
          <w:rFonts w:hint="cs"/>
          <w:sz w:val="20"/>
          <w:szCs w:val="20"/>
          <w:rtl/>
        </w:rPr>
        <w:t>. מ</w:t>
      </w:r>
      <w:r>
        <w:rPr>
          <w:rFonts w:hint="cs"/>
          <w:sz w:val="20"/>
          <w:szCs w:val="20"/>
          <w:rtl/>
        </w:rPr>
        <w:t>טב</w:t>
      </w:r>
      <w:r w:rsidRPr="008D2DC9">
        <w:rPr>
          <w:rFonts w:hint="cs"/>
          <w:sz w:val="20"/>
          <w:szCs w:val="20"/>
          <w:rtl/>
        </w:rPr>
        <w:t xml:space="preserve">ילה האחרונה. </w:t>
      </w:r>
      <w:r w:rsidRPr="008D2DC9">
        <w:rPr>
          <w:rFonts w:hint="cs"/>
          <w:b/>
          <w:bCs/>
          <w:sz w:val="20"/>
          <w:szCs w:val="20"/>
          <w:rtl/>
        </w:rPr>
        <w:t>חת"ס</w:t>
      </w:r>
      <w:r w:rsidRPr="008D2DC9">
        <w:rPr>
          <w:rFonts w:hint="cs"/>
          <w:sz w:val="20"/>
          <w:szCs w:val="20"/>
          <w:rtl/>
        </w:rPr>
        <w:t xml:space="preserve">. מטבילה הראשונה שאחרי לידה האחרונה. </w:t>
      </w:r>
      <w:r w:rsidRPr="008D2DC9">
        <w:rPr>
          <w:rFonts w:hint="cs"/>
          <w:b/>
          <w:bCs/>
          <w:sz w:val="20"/>
          <w:szCs w:val="20"/>
          <w:rtl/>
        </w:rPr>
        <w:t>ששבה"ל</w:t>
      </w:r>
      <w:r w:rsidRPr="008D2DC9">
        <w:rPr>
          <w:rFonts w:hint="cs"/>
          <w:sz w:val="20"/>
          <w:szCs w:val="20"/>
          <w:rtl/>
        </w:rPr>
        <w:t>. אם ראתה ראייה גמורה בוודאי אינה מעוברת ומונה מטבילה זו.</w:t>
      </w:r>
      <w:r w:rsidRPr="008D2DC9">
        <w:rPr>
          <w:sz w:val="20"/>
          <w:szCs w:val="20"/>
          <w:rtl/>
        </w:rPr>
        <w:br/>
      </w:r>
      <w:r w:rsidRPr="008D2DC9">
        <w:rPr>
          <w:rFonts w:hint="cs"/>
          <w:sz w:val="20"/>
          <w:szCs w:val="20"/>
          <w:rtl/>
        </w:rPr>
        <w:t>4. טבלה לכתם אחרי שטבלה לראייה.</w:t>
      </w:r>
      <w:r>
        <w:rPr>
          <w:rFonts w:hint="cs"/>
          <w:sz w:val="20"/>
          <w:szCs w:val="20"/>
          <w:rtl/>
        </w:rPr>
        <w:t xml:space="preserve"> </w:t>
      </w:r>
      <w:r w:rsidRPr="002664D2">
        <w:rPr>
          <w:rFonts w:hint="cs"/>
          <w:b/>
          <w:bCs/>
          <w:sz w:val="20"/>
          <w:szCs w:val="20"/>
          <w:rtl/>
        </w:rPr>
        <w:t>עה"ג</w:t>
      </w:r>
      <w:r>
        <w:rPr>
          <w:rFonts w:hint="cs"/>
          <w:sz w:val="20"/>
          <w:szCs w:val="20"/>
          <w:rtl/>
        </w:rPr>
        <w:t xml:space="preserve"> </w:t>
      </w:r>
      <w:r>
        <w:rPr>
          <w:sz w:val="20"/>
          <w:szCs w:val="20"/>
          <w:rtl/>
        </w:rPr>
        <w:t>–</w:t>
      </w:r>
      <w:r>
        <w:rPr>
          <w:rFonts w:hint="cs"/>
          <w:sz w:val="20"/>
          <w:szCs w:val="20"/>
          <w:rtl/>
        </w:rPr>
        <w:t xml:space="preserve"> צ"ע. </w:t>
      </w:r>
      <w:r w:rsidRPr="002664D2">
        <w:rPr>
          <w:rFonts w:hint="cs"/>
          <w:b/>
          <w:bCs/>
          <w:sz w:val="20"/>
          <w:szCs w:val="20"/>
          <w:rtl/>
        </w:rPr>
        <w:t>תשובה מאהבה</w:t>
      </w:r>
      <w:r>
        <w:rPr>
          <w:rFonts w:hint="cs"/>
          <w:sz w:val="20"/>
          <w:szCs w:val="20"/>
          <w:rtl/>
        </w:rPr>
        <w:t>. מונה מטבילה לראייתה.</w:t>
      </w:r>
    </w:p>
    <w:p w:rsidR="00620060" w:rsidRPr="00C01A7D" w:rsidRDefault="00620060" w:rsidP="00620060">
      <w:pPr>
        <w:rPr>
          <w:b/>
          <w:bCs/>
          <w:sz w:val="20"/>
          <w:szCs w:val="20"/>
          <w:rtl/>
        </w:rPr>
      </w:pPr>
      <w:r>
        <w:rPr>
          <w:sz w:val="20"/>
          <w:szCs w:val="20"/>
          <w:rtl/>
        </w:rPr>
        <w:br/>
      </w:r>
      <w:r>
        <w:rPr>
          <w:rFonts w:hint="cs"/>
          <w:b/>
          <w:bCs/>
          <w:sz w:val="20"/>
          <w:szCs w:val="20"/>
          <w:rtl/>
        </w:rPr>
        <w:t xml:space="preserve">סעיף ג </w:t>
      </w:r>
      <w:r>
        <w:rPr>
          <w:b/>
          <w:bCs/>
          <w:sz w:val="20"/>
          <w:szCs w:val="20"/>
          <w:rtl/>
        </w:rPr>
        <w:t>–</w:t>
      </w:r>
      <w:r>
        <w:rPr>
          <w:rFonts w:hint="cs"/>
          <w:b/>
          <w:bCs/>
          <w:sz w:val="20"/>
          <w:szCs w:val="20"/>
          <w:rtl/>
        </w:rPr>
        <w:t xml:space="preserve"> הפילה צורות משונות</w:t>
      </w:r>
      <w:r>
        <w:rPr>
          <w:b/>
          <w:bCs/>
          <w:sz w:val="20"/>
          <w:szCs w:val="20"/>
          <w:rtl/>
        </w:rPr>
        <w:br/>
      </w:r>
      <w:r w:rsidRPr="00E24DF6">
        <w:rPr>
          <w:rStyle w:val="10"/>
          <w:rFonts w:hint="cs"/>
          <w:rtl/>
        </w:rPr>
        <w:t>א.</w:t>
      </w:r>
      <w:r w:rsidRPr="00E24DF6">
        <w:rPr>
          <w:rFonts w:hint="cs"/>
          <w:b/>
          <w:bCs/>
          <w:sz w:val="16"/>
          <w:szCs w:val="16"/>
          <w:rtl/>
        </w:rPr>
        <w:t xml:space="preserve"> </w:t>
      </w:r>
      <w:r>
        <w:rPr>
          <w:rFonts w:hint="cs"/>
          <w:b/>
          <w:bCs/>
          <w:sz w:val="20"/>
          <w:szCs w:val="20"/>
          <w:rtl/>
        </w:rPr>
        <w:t>פתיחת הקבר בלא דם</w:t>
      </w:r>
      <w:r>
        <w:rPr>
          <w:b/>
          <w:bCs/>
          <w:sz w:val="20"/>
          <w:szCs w:val="20"/>
          <w:rtl/>
        </w:rPr>
        <w:br/>
      </w:r>
      <w:r w:rsidRPr="00726896">
        <w:rPr>
          <w:rFonts w:hint="cs"/>
          <w:sz w:val="20"/>
          <w:szCs w:val="20"/>
          <w:u w:val="single"/>
          <w:rtl/>
        </w:rPr>
        <w:t>הפילה כמין דגים ושרצים</w:t>
      </w:r>
      <w:r>
        <w:rPr>
          <w:sz w:val="20"/>
          <w:szCs w:val="20"/>
          <w:rtl/>
        </w:rPr>
        <w:br/>
      </w:r>
      <w:r w:rsidRPr="00DA3537">
        <w:rPr>
          <w:rFonts w:hint="cs"/>
          <w:b/>
          <w:bCs/>
          <w:sz w:val="20"/>
          <w:szCs w:val="20"/>
          <w:rtl/>
        </w:rPr>
        <w:t>משנה</w:t>
      </w:r>
      <w:r>
        <w:rPr>
          <w:rFonts w:hint="cs"/>
          <w:sz w:val="20"/>
          <w:szCs w:val="20"/>
          <w:rtl/>
        </w:rPr>
        <w:t xml:space="preserve"> נידה (כא.) "</w:t>
      </w:r>
      <w:r w:rsidRPr="009E4893">
        <w:rPr>
          <w:rFonts w:cs="Arial" w:hint="cs"/>
          <w:sz w:val="20"/>
          <w:szCs w:val="20"/>
          <w:rtl/>
        </w:rPr>
        <w:t>המפלת</w:t>
      </w:r>
      <w:r w:rsidRPr="009E4893">
        <w:rPr>
          <w:rFonts w:cs="Arial"/>
          <w:sz w:val="20"/>
          <w:szCs w:val="20"/>
          <w:rtl/>
        </w:rPr>
        <w:t xml:space="preserve"> </w:t>
      </w:r>
      <w:r w:rsidRPr="009E4893">
        <w:rPr>
          <w:rFonts w:cs="Arial" w:hint="cs"/>
          <w:sz w:val="20"/>
          <w:szCs w:val="20"/>
          <w:rtl/>
        </w:rPr>
        <w:t>כמין</w:t>
      </w:r>
      <w:r w:rsidRPr="009E4893">
        <w:rPr>
          <w:rFonts w:cs="Arial"/>
          <w:sz w:val="20"/>
          <w:szCs w:val="20"/>
          <w:rtl/>
        </w:rPr>
        <w:t xml:space="preserve"> </w:t>
      </w:r>
      <w:r w:rsidRPr="009E4893">
        <w:rPr>
          <w:rFonts w:cs="Arial" w:hint="cs"/>
          <w:sz w:val="20"/>
          <w:szCs w:val="20"/>
          <w:rtl/>
        </w:rPr>
        <w:t>דגים</w:t>
      </w:r>
      <w:r w:rsidRPr="009E4893">
        <w:rPr>
          <w:rFonts w:cs="Arial"/>
          <w:sz w:val="20"/>
          <w:szCs w:val="20"/>
          <w:rtl/>
        </w:rPr>
        <w:t xml:space="preserve">, </w:t>
      </w:r>
      <w:r w:rsidRPr="009E4893">
        <w:rPr>
          <w:rFonts w:cs="Arial" w:hint="cs"/>
          <w:sz w:val="20"/>
          <w:szCs w:val="20"/>
          <w:rtl/>
        </w:rPr>
        <w:t>חגבים</w:t>
      </w:r>
      <w:r w:rsidRPr="009E4893">
        <w:rPr>
          <w:rFonts w:cs="Arial"/>
          <w:sz w:val="20"/>
          <w:szCs w:val="20"/>
          <w:rtl/>
        </w:rPr>
        <w:t xml:space="preserve">, </w:t>
      </w:r>
      <w:r w:rsidRPr="009E4893">
        <w:rPr>
          <w:rFonts w:cs="Arial" w:hint="cs"/>
          <w:sz w:val="20"/>
          <w:szCs w:val="20"/>
          <w:rtl/>
        </w:rPr>
        <w:t>שקצים</w:t>
      </w:r>
      <w:r w:rsidRPr="009E4893">
        <w:rPr>
          <w:rFonts w:cs="Arial"/>
          <w:sz w:val="20"/>
          <w:szCs w:val="20"/>
          <w:rtl/>
        </w:rPr>
        <w:t xml:space="preserve"> </w:t>
      </w:r>
      <w:r w:rsidRPr="009E4893">
        <w:rPr>
          <w:rFonts w:cs="Arial" w:hint="cs"/>
          <w:sz w:val="20"/>
          <w:szCs w:val="20"/>
          <w:rtl/>
        </w:rPr>
        <w:t>ורמשים</w:t>
      </w:r>
      <w:r w:rsidRPr="009E4893">
        <w:rPr>
          <w:rFonts w:cs="Arial"/>
          <w:sz w:val="20"/>
          <w:szCs w:val="20"/>
          <w:rtl/>
        </w:rPr>
        <w:t xml:space="preserve">, </w:t>
      </w:r>
      <w:r w:rsidRPr="009E4893">
        <w:rPr>
          <w:rFonts w:cs="Arial" w:hint="cs"/>
          <w:sz w:val="20"/>
          <w:szCs w:val="20"/>
          <w:rtl/>
        </w:rPr>
        <w:t>אם</w:t>
      </w:r>
      <w:r w:rsidRPr="009E4893">
        <w:rPr>
          <w:rFonts w:cs="Arial"/>
          <w:sz w:val="20"/>
          <w:szCs w:val="20"/>
          <w:rtl/>
        </w:rPr>
        <w:t xml:space="preserve"> </w:t>
      </w:r>
      <w:r w:rsidRPr="009E4893">
        <w:rPr>
          <w:rFonts w:cs="Arial" w:hint="cs"/>
          <w:sz w:val="20"/>
          <w:szCs w:val="20"/>
          <w:rtl/>
        </w:rPr>
        <w:t>יש</w:t>
      </w:r>
      <w:r w:rsidRPr="009E4893">
        <w:rPr>
          <w:rFonts w:cs="Arial"/>
          <w:sz w:val="20"/>
          <w:szCs w:val="20"/>
          <w:rtl/>
        </w:rPr>
        <w:t xml:space="preserve"> </w:t>
      </w:r>
      <w:r w:rsidRPr="009E4893">
        <w:rPr>
          <w:rFonts w:cs="Arial" w:hint="cs"/>
          <w:sz w:val="20"/>
          <w:szCs w:val="20"/>
          <w:rtl/>
        </w:rPr>
        <w:t>עמהם</w:t>
      </w:r>
      <w:r w:rsidRPr="009E4893">
        <w:rPr>
          <w:rFonts w:cs="Arial"/>
          <w:sz w:val="20"/>
          <w:szCs w:val="20"/>
          <w:rtl/>
        </w:rPr>
        <w:t xml:space="preserve"> </w:t>
      </w:r>
      <w:r w:rsidRPr="009E4893">
        <w:rPr>
          <w:rFonts w:cs="Arial" w:hint="cs"/>
          <w:sz w:val="20"/>
          <w:szCs w:val="20"/>
          <w:rtl/>
        </w:rPr>
        <w:t>דם</w:t>
      </w:r>
      <w:r w:rsidRPr="009E4893">
        <w:rPr>
          <w:rFonts w:cs="Arial"/>
          <w:sz w:val="20"/>
          <w:szCs w:val="20"/>
          <w:rtl/>
        </w:rPr>
        <w:t xml:space="preserve"> - </w:t>
      </w:r>
      <w:r w:rsidRPr="009E4893">
        <w:rPr>
          <w:rFonts w:cs="Arial" w:hint="cs"/>
          <w:sz w:val="20"/>
          <w:szCs w:val="20"/>
          <w:rtl/>
        </w:rPr>
        <w:t>טמאה</w:t>
      </w:r>
      <w:r w:rsidRPr="009E4893">
        <w:rPr>
          <w:rFonts w:cs="Arial"/>
          <w:sz w:val="20"/>
          <w:szCs w:val="20"/>
          <w:rtl/>
        </w:rPr>
        <w:t xml:space="preserve">, </w:t>
      </w:r>
      <w:r w:rsidRPr="009E4893">
        <w:rPr>
          <w:rFonts w:cs="Arial" w:hint="cs"/>
          <w:sz w:val="20"/>
          <w:szCs w:val="20"/>
          <w:rtl/>
        </w:rPr>
        <w:t>ואם</w:t>
      </w:r>
      <w:r w:rsidRPr="009E4893">
        <w:rPr>
          <w:rFonts w:cs="Arial"/>
          <w:sz w:val="20"/>
          <w:szCs w:val="20"/>
          <w:rtl/>
        </w:rPr>
        <w:t xml:space="preserve"> </w:t>
      </w:r>
      <w:r w:rsidRPr="009E4893">
        <w:rPr>
          <w:rFonts w:cs="Arial" w:hint="cs"/>
          <w:sz w:val="20"/>
          <w:szCs w:val="20"/>
          <w:rtl/>
        </w:rPr>
        <w:t>לאו</w:t>
      </w:r>
      <w:r w:rsidRPr="009E4893">
        <w:rPr>
          <w:rFonts w:cs="Arial"/>
          <w:sz w:val="20"/>
          <w:szCs w:val="20"/>
          <w:rtl/>
        </w:rPr>
        <w:t xml:space="preserve"> </w:t>
      </w:r>
      <w:r>
        <w:rPr>
          <w:rFonts w:cs="Arial"/>
          <w:sz w:val="20"/>
          <w:szCs w:val="20"/>
          <w:rtl/>
        </w:rPr>
        <w:t>–</w:t>
      </w:r>
      <w:r w:rsidRPr="009E4893">
        <w:rPr>
          <w:rFonts w:cs="Arial"/>
          <w:sz w:val="20"/>
          <w:szCs w:val="20"/>
          <w:rtl/>
        </w:rPr>
        <w:t xml:space="preserve"> </w:t>
      </w:r>
      <w:r w:rsidRPr="009E4893">
        <w:rPr>
          <w:rFonts w:cs="Arial" w:hint="cs"/>
          <w:sz w:val="20"/>
          <w:szCs w:val="20"/>
          <w:rtl/>
        </w:rPr>
        <w:t>טהורה</w:t>
      </w:r>
      <w:r>
        <w:rPr>
          <w:rFonts w:cs="Arial" w:hint="cs"/>
          <w:sz w:val="20"/>
          <w:szCs w:val="20"/>
          <w:rtl/>
        </w:rPr>
        <w:t>".</w:t>
      </w:r>
      <w:r>
        <w:rPr>
          <w:rFonts w:hint="cs"/>
          <w:sz w:val="20"/>
          <w:szCs w:val="20"/>
          <w:rtl/>
        </w:rPr>
        <w:br/>
      </w:r>
      <w:r w:rsidRPr="00DA3537">
        <w:rPr>
          <w:rFonts w:hint="cs"/>
          <w:b/>
          <w:bCs/>
          <w:sz w:val="20"/>
          <w:szCs w:val="20"/>
          <w:rtl/>
        </w:rPr>
        <w:t>גמרא</w:t>
      </w:r>
      <w:r>
        <w:rPr>
          <w:rFonts w:hint="cs"/>
          <w:sz w:val="20"/>
          <w:szCs w:val="20"/>
          <w:rtl/>
        </w:rPr>
        <w:t xml:space="preserve"> (שם, כב:) "</w:t>
      </w:r>
      <w:r w:rsidRPr="009E4893">
        <w:rPr>
          <w:rFonts w:cs="Arial" w:hint="cs"/>
          <w:sz w:val="20"/>
          <w:szCs w:val="20"/>
          <w:rtl/>
        </w:rPr>
        <w:t>וליפלוג</w:t>
      </w:r>
      <w:r w:rsidRPr="009E4893">
        <w:rPr>
          <w:rFonts w:cs="Arial"/>
          <w:sz w:val="20"/>
          <w:szCs w:val="20"/>
          <w:rtl/>
        </w:rPr>
        <w:t xml:space="preserve"> </w:t>
      </w:r>
      <w:r w:rsidRPr="009E4893">
        <w:rPr>
          <w:rFonts w:cs="Arial" w:hint="cs"/>
          <w:sz w:val="20"/>
          <w:szCs w:val="20"/>
          <w:rtl/>
        </w:rPr>
        <w:t>נמי</w:t>
      </w:r>
      <w:r w:rsidRPr="009E4893">
        <w:rPr>
          <w:rFonts w:cs="Arial"/>
          <w:sz w:val="20"/>
          <w:szCs w:val="20"/>
          <w:rtl/>
        </w:rPr>
        <w:t xml:space="preserve"> </w:t>
      </w:r>
      <w:r w:rsidRPr="009E4893">
        <w:rPr>
          <w:rFonts w:cs="Arial" w:hint="cs"/>
          <w:sz w:val="20"/>
          <w:szCs w:val="20"/>
          <w:rtl/>
        </w:rPr>
        <w:t>רבי</w:t>
      </w:r>
      <w:r w:rsidRPr="009E4893">
        <w:rPr>
          <w:rFonts w:cs="Arial"/>
          <w:sz w:val="20"/>
          <w:szCs w:val="20"/>
          <w:rtl/>
        </w:rPr>
        <w:t xml:space="preserve"> </w:t>
      </w:r>
      <w:r w:rsidRPr="009E4893">
        <w:rPr>
          <w:rFonts w:cs="Arial" w:hint="cs"/>
          <w:sz w:val="20"/>
          <w:szCs w:val="20"/>
          <w:rtl/>
        </w:rPr>
        <w:t>יהודה</w:t>
      </w:r>
      <w:r w:rsidRPr="009E4893">
        <w:rPr>
          <w:rFonts w:cs="Arial"/>
          <w:sz w:val="20"/>
          <w:szCs w:val="20"/>
          <w:rtl/>
        </w:rPr>
        <w:t xml:space="preserve"> </w:t>
      </w:r>
      <w:r w:rsidRPr="009E4893">
        <w:rPr>
          <w:rFonts w:cs="Arial" w:hint="cs"/>
          <w:sz w:val="20"/>
          <w:szCs w:val="20"/>
          <w:rtl/>
        </w:rPr>
        <w:t>בהא</w:t>
      </w:r>
      <w:r w:rsidRPr="009E4893">
        <w:rPr>
          <w:rFonts w:cs="Arial"/>
          <w:sz w:val="20"/>
          <w:szCs w:val="20"/>
          <w:rtl/>
        </w:rPr>
        <w:t xml:space="preserve">! </w:t>
      </w:r>
      <w:r w:rsidRPr="009E4893">
        <w:rPr>
          <w:rFonts w:cs="Arial" w:hint="cs"/>
          <w:sz w:val="20"/>
          <w:szCs w:val="20"/>
          <w:rtl/>
        </w:rPr>
        <w:t>אמר</w:t>
      </w:r>
      <w:r w:rsidRPr="009E4893">
        <w:rPr>
          <w:rFonts w:cs="Arial"/>
          <w:sz w:val="20"/>
          <w:szCs w:val="20"/>
          <w:rtl/>
        </w:rPr>
        <w:t xml:space="preserve"> </w:t>
      </w:r>
      <w:r w:rsidRPr="009E4893">
        <w:rPr>
          <w:rFonts w:cs="Arial" w:hint="cs"/>
          <w:sz w:val="20"/>
          <w:szCs w:val="20"/>
          <w:rtl/>
        </w:rPr>
        <w:t>ריש</w:t>
      </w:r>
      <w:r w:rsidRPr="009E4893">
        <w:rPr>
          <w:rFonts w:cs="Arial"/>
          <w:sz w:val="20"/>
          <w:szCs w:val="20"/>
          <w:rtl/>
        </w:rPr>
        <w:t xml:space="preserve"> </w:t>
      </w:r>
      <w:r w:rsidRPr="009E4893">
        <w:rPr>
          <w:rFonts w:cs="Arial" w:hint="cs"/>
          <w:sz w:val="20"/>
          <w:szCs w:val="20"/>
          <w:rtl/>
        </w:rPr>
        <w:t>לקיש</w:t>
      </w:r>
      <w:r w:rsidRPr="009E4893">
        <w:rPr>
          <w:rFonts w:cs="Arial"/>
          <w:sz w:val="20"/>
          <w:szCs w:val="20"/>
          <w:rtl/>
        </w:rPr>
        <w:t xml:space="preserve">: </w:t>
      </w:r>
      <w:r w:rsidRPr="009E4893">
        <w:rPr>
          <w:rFonts w:cs="Arial" w:hint="cs"/>
          <w:sz w:val="20"/>
          <w:szCs w:val="20"/>
          <w:rtl/>
        </w:rPr>
        <w:t>במחלוקת</w:t>
      </w:r>
      <w:r w:rsidRPr="009E4893">
        <w:rPr>
          <w:rFonts w:cs="Arial"/>
          <w:sz w:val="20"/>
          <w:szCs w:val="20"/>
          <w:rtl/>
        </w:rPr>
        <w:t xml:space="preserve"> </w:t>
      </w:r>
      <w:r w:rsidRPr="009E4893">
        <w:rPr>
          <w:rFonts w:cs="Arial" w:hint="cs"/>
          <w:sz w:val="20"/>
          <w:szCs w:val="20"/>
          <w:rtl/>
        </w:rPr>
        <w:t>שנויה</w:t>
      </w:r>
      <w:r w:rsidRPr="009E4893">
        <w:rPr>
          <w:rFonts w:cs="Arial"/>
          <w:sz w:val="20"/>
          <w:szCs w:val="20"/>
          <w:rtl/>
        </w:rPr>
        <w:t xml:space="preserve">, </w:t>
      </w:r>
      <w:r w:rsidRPr="009E4893">
        <w:rPr>
          <w:rFonts w:cs="Arial" w:hint="cs"/>
          <w:sz w:val="20"/>
          <w:szCs w:val="20"/>
          <w:rtl/>
        </w:rPr>
        <w:t>ורבנן</w:t>
      </w:r>
      <w:r w:rsidRPr="009E4893">
        <w:rPr>
          <w:rFonts w:cs="Arial"/>
          <w:sz w:val="20"/>
          <w:szCs w:val="20"/>
          <w:rtl/>
        </w:rPr>
        <w:t xml:space="preserve"> </w:t>
      </w:r>
      <w:r w:rsidRPr="009E4893">
        <w:rPr>
          <w:rFonts w:cs="Arial" w:hint="cs"/>
          <w:sz w:val="20"/>
          <w:szCs w:val="20"/>
          <w:rtl/>
        </w:rPr>
        <w:t>היא</w:t>
      </w:r>
      <w:r>
        <w:rPr>
          <w:rFonts w:cs="Arial" w:hint="cs"/>
          <w:sz w:val="20"/>
          <w:szCs w:val="20"/>
          <w:rtl/>
        </w:rPr>
        <w:t>"</w:t>
      </w:r>
      <w:r w:rsidRPr="009E4893">
        <w:rPr>
          <w:rFonts w:cs="Arial"/>
          <w:sz w:val="20"/>
          <w:szCs w:val="20"/>
          <w:rtl/>
        </w:rPr>
        <w:t>.</w:t>
      </w:r>
    </w:p>
    <w:p w:rsidR="00620060" w:rsidRDefault="00620060" w:rsidP="00620060">
      <w:pPr>
        <w:rPr>
          <w:sz w:val="20"/>
          <w:szCs w:val="20"/>
          <w:rtl/>
        </w:rPr>
      </w:pPr>
      <w:r>
        <w:rPr>
          <w:rFonts w:cs="Arial" w:hint="cs"/>
          <w:sz w:val="20"/>
          <w:szCs w:val="20"/>
          <w:u w:val="single"/>
          <w:rtl/>
        </w:rPr>
        <w:t>הסבר</w:t>
      </w:r>
      <w:r>
        <w:rPr>
          <w:rFonts w:cs="Arial"/>
          <w:sz w:val="20"/>
          <w:szCs w:val="20"/>
          <w:u w:val="single"/>
          <w:rtl/>
        </w:rPr>
        <w:br/>
      </w:r>
      <w:r>
        <w:rPr>
          <w:rFonts w:cs="Arial" w:hint="cs"/>
          <w:sz w:val="20"/>
          <w:szCs w:val="20"/>
          <w:rtl/>
        </w:rPr>
        <w:t xml:space="preserve">נחלקו חכמים ורבי יהודה האם אפשר לפתיחת הקבר בלא דם. </w:t>
      </w:r>
      <w:r>
        <w:rPr>
          <w:rFonts w:cs="Arial"/>
          <w:sz w:val="20"/>
          <w:szCs w:val="20"/>
          <w:rtl/>
        </w:rPr>
        <w:br/>
      </w:r>
      <w:r>
        <w:rPr>
          <w:rFonts w:cs="Arial" w:hint="cs"/>
          <w:sz w:val="20"/>
          <w:szCs w:val="20"/>
          <w:rtl/>
        </w:rPr>
        <w:t xml:space="preserve">חכמים סוברים </w:t>
      </w:r>
      <w:r>
        <w:rPr>
          <w:sz w:val="20"/>
          <w:szCs w:val="20"/>
          <w:rtl/>
        </w:rPr>
        <w:t>–</w:t>
      </w:r>
      <w:r>
        <w:rPr>
          <w:rFonts w:hint="cs"/>
          <w:sz w:val="20"/>
          <w:szCs w:val="20"/>
          <w:rtl/>
        </w:rPr>
        <w:t xml:space="preserve"> 'אפשר לפתיה"ק בלא דם', לכן רק אם יש דם עם הנפל טמאה נידה, אך אם אין דם טהורה.</w:t>
      </w:r>
      <w:r>
        <w:rPr>
          <w:rFonts w:hint="cs"/>
          <w:sz w:val="20"/>
          <w:szCs w:val="20"/>
          <w:rtl/>
        </w:rPr>
        <w:br/>
        <w:t xml:space="preserve">רבי יהודה סובר </w:t>
      </w:r>
      <w:r>
        <w:rPr>
          <w:sz w:val="20"/>
          <w:szCs w:val="20"/>
          <w:rtl/>
        </w:rPr>
        <w:t>–</w:t>
      </w:r>
      <w:r>
        <w:rPr>
          <w:rFonts w:hint="cs"/>
          <w:sz w:val="20"/>
          <w:szCs w:val="20"/>
          <w:rtl/>
        </w:rPr>
        <w:t xml:space="preserve"> 'אי אפשר לפתיה"ק בלא דם', לכן בכל צורה של נפל טמאה נידה.</w:t>
      </w:r>
      <w:r>
        <w:rPr>
          <w:sz w:val="20"/>
          <w:szCs w:val="20"/>
          <w:rtl/>
        </w:rPr>
        <w:br/>
      </w:r>
      <w:r>
        <w:rPr>
          <w:sz w:val="20"/>
          <w:szCs w:val="20"/>
          <w:u w:val="single"/>
          <w:rtl/>
        </w:rPr>
        <w:br/>
      </w:r>
      <w:r>
        <w:rPr>
          <w:rFonts w:hint="cs"/>
          <w:sz w:val="20"/>
          <w:szCs w:val="20"/>
          <w:u w:val="single"/>
          <w:rtl/>
        </w:rPr>
        <w:t>שיטות הראשונים</w:t>
      </w:r>
      <w:r>
        <w:rPr>
          <w:sz w:val="20"/>
          <w:szCs w:val="20"/>
          <w:u w:val="single"/>
          <w:rtl/>
        </w:rPr>
        <w:br/>
      </w:r>
      <w:r>
        <w:rPr>
          <w:rFonts w:hint="cs"/>
          <w:sz w:val="20"/>
          <w:szCs w:val="20"/>
          <w:rtl/>
        </w:rPr>
        <w:t xml:space="preserve">א. </w:t>
      </w:r>
      <w:r w:rsidRPr="00DC2168">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הלכה כחכמים, אפשר לפתיה"ק בלא דם.</w:t>
      </w:r>
      <w:r>
        <w:rPr>
          <w:rFonts w:hint="cs"/>
          <w:sz w:val="20"/>
          <w:szCs w:val="20"/>
          <w:u w:val="single"/>
          <w:rtl/>
        </w:rPr>
        <w:br/>
      </w:r>
      <w:r>
        <w:rPr>
          <w:rFonts w:hint="cs"/>
          <w:sz w:val="20"/>
          <w:szCs w:val="20"/>
          <w:rtl/>
        </w:rPr>
        <w:t xml:space="preserve">ב. </w:t>
      </w:r>
      <w:r w:rsidRPr="00DC2168">
        <w:rPr>
          <w:rFonts w:hint="cs"/>
          <w:b/>
          <w:bCs/>
          <w:sz w:val="20"/>
          <w:szCs w:val="20"/>
          <w:rtl/>
        </w:rPr>
        <w:t>רא"ש</w:t>
      </w:r>
      <w:r>
        <w:rPr>
          <w:rFonts w:hint="cs"/>
          <w:sz w:val="20"/>
          <w:szCs w:val="20"/>
          <w:rtl/>
        </w:rPr>
        <w:t xml:space="preserve"> ורוב הראשונים </w:t>
      </w:r>
      <w:r>
        <w:rPr>
          <w:sz w:val="20"/>
          <w:szCs w:val="20"/>
          <w:rtl/>
        </w:rPr>
        <w:t>–</w:t>
      </w:r>
      <w:r>
        <w:rPr>
          <w:rFonts w:hint="cs"/>
          <w:sz w:val="20"/>
          <w:szCs w:val="20"/>
          <w:rtl/>
        </w:rPr>
        <w:t xml:space="preserve"> הלכה כרבי יהודה, אי אפשר לפתיה"ק בלא דם, וכ"פ </w:t>
      </w:r>
      <w:r w:rsidRPr="00C1296C">
        <w:rPr>
          <w:rFonts w:hint="cs"/>
          <w:b/>
          <w:bCs/>
          <w:sz w:val="20"/>
          <w:szCs w:val="20"/>
          <w:rtl/>
        </w:rPr>
        <w:t>המחבר</w:t>
      </w:r>
      <w:r>
        <w:rPr>
          <w:rFonts w:hint="cs"/>
          <w:sz w:val="20"/>
          <w:szCs w:val="20"/>
          <w:rtl/>
        </w:rPr>
        <w:t>.</w:t>
      </w:r>
      <w:r>
        <w:rPr>
          <w:rFonts w:hint="cs"/>
          <w:sz w:val="20"/>
          <w:szCs w:val="20"/>
          <w:rtl/>
        </w:rPr>
        <w:br/>
        <w:t xml:space="preserve">לכן </w:t>
      </w:r>
      <w:r>
        <w:rPr>
          <w:sz w:val="20"/>
          <w:szCs w:val="20"/>
          <w:rtl/>
        </w:rPr>
        <w:t>–</w:t>
      </w:r>
      <w:r>
        <w:rPr>
          <w:rFonts w:hint="cs"/>
          <w:sz w:val="20"/>
          <w:szCs w:val="20"/>
          <w:rtl/>
        </w:rPr>
        <w:t xml:space="preserve"> אע"פ שהמפלת נפלים אלו אינה טמאה לידה, מכל מקום טמאה נידה.</w:t>
      </w:r>
    </w:p>
    <w:p w:rsidR="00620060" w:rsidRDefault="00620060" w:rsidP="00620060">
      <w:pPr>
        <w:rPr>
          <w:sz w:val="20"/>
          <w:szCs w:val="20"/>
          <w:rtl/>
        </w:rPr>
      </w:pPr>
      <w:r w:rsidRPr="00E37928">
        <w:rPr>
          <w:rStyle w:val="10"/>
          <w:rFonts w:hint="cs"/>
          <w:rtl/>
        </w:rPr>
        <w:t>ב.</w:t>
      </w:r>
      <w:r w:rsidRPr="00E37928">
        <w:rPr>
          <w:rFonts w:hint="cs"/>
          <w:b/>
          <w:bCs/>
          <w:sz w:val="16"/>
          <w:szCs w:val="16"/>
          <w:rtl/>
        </w:rPr>
        <w:t xml:space="preserve"> </w:t>
      </w:r>
      <w:r w:rsidRPr="00E37928">
        <w:rPr>
          <w:rFonts w:hint="cs"/>
          <w:b/>
          <w:bCs/>
          <w:sz w:val="20"/>
          <w:szCs w:val="20"/>
          <w:rtl/>
        </w:rPr>
        <w:t>נפלים המטמאים מחמת לידה</w:t>
      </w:r>
      <w:r>
        <w:rPr>
          <w:sz w:val="20"/>
          <w:szCs w:val="20"/>
          <w:u w:val="single"/>
          <w:rtl/>
        </w:rPr>
        <w:br/>
      </w:r>
      <w:r w:rsidRPr="00E37928">
        <w:rPr>
          <w:rFonts w:hint="cs"/>
          <w:sz w:val="20"/>
          <w:szCs w:val="20"/>
          <w:rtl/>
        </w:rPr>
        <w:t>א.</w:t>
      </w:r>
      <w:r>
        <w:rPr>
          <w:rFonts w:hint="cs"/>
          <w:sz w:val="20"/>
          <w:szCs w:val="20"/>
          <w:u w:val="single"/>
          <w:rtl/>
        </w:rPr>
        <w:t xml:space="preserve"> נפל שפניו דומות לאדם</w:t>
      </w:r>
      <w:r>
        <w:rPr>
          <w:sz w:val="20"/>
          <w:szCs w:val="20"/>
          <w:u w:val="single"/>
          <w:rtl/>
        </w:rPr>
        <w:br/>
      </w:r>
      <w:r w:rsidRPr="00726896">
        <w:rPr>
          <w:rFonts w:hint="cs"/>
          <w:b/>
          <w:bCs/>
          <w:sz w:val="20"/>
          <w:szCs w:val="20"/>
          <w:rtl/>
        </w:rPr>
        <w:t>משנה</w:t>
      </w:r>
      <w:r>
        <w:rPr>
          <w:rFonts w:hint="cs"/>
          <w:sz w:val="20"/>
          <w:szCs w:val="20"/>
          <w:rtl/>
        </w:rPr>
        <w:t xml:space="preserve"> (כא.) "</w:t>
      </w:r>
      <w:r w:rsidRPr="00726896">
        <w:rPr>
          <w:rFonts w:cs="Arial" w:hint="cs"/>
          <w:sz w:val="20"/>
          <w:szCs w:val="20"/>
          <w:rtl/>
        </w:rPr>
        <w:t>המפלת</w:t>
      </w:r>
      <w:r w:rsidRPr="00726896">
        <w:rPr>
          <w:rFonts w:cs="Arial"/>
          <w:sz w:val="20"/>
          <w:szCs w:val="20"/>
          <w:rtl/>
        </w:rPr>
        <w:t xml:space="preserve"> </w:t>
      </w:r>
      <w:r w:rsidRPr="00726896">
        <w:rPr>
          <w:rFonts w:cs="Arial" w:hint="cs"/>
          <w:sz w:val="20"/>
          <w:szCs w:val="20"/>
          <w:rtl/>
        </w:rPr>
        <w:t>מין</w:t>
      </w:r>
      <w:r w:rsidRPr="00726896">
        <w:rPr>
          <w:rFonts w:cs="Arial"/>
          <w:sz w:val="20"/>
          <w:szCs w:val="20"/>
          <w:rtl/>
        </w:rPr>
        <w:t xml:space="preserve"> </w:t>
      </w:r>
      <w:r w:rsidRPr="00726896">
        <w:rPr>
          <w:rFonts w:cs="Arial" w:hint="cs"/>
          <w:sz w:val="20"/>
          <w:szCs w:val="20"/>
          <w:rtl/>
        </w:rPr>
        <w:t>בהמה</w:t>
      </w:r>
      <w:r w:rsidRPr="00726896">
        <w:rPr>
          <w:rFonts w:cs="Arial"/>
          <w:sz w:val="20"/>
          <w:szCs w:val="20"/>
          <w:rtl/>
        </w:rPr>
        <w:t xml:space="preserve"> </w:t>
      </w:r>
      <w:r w:rsidRPr="00726896">
        <w:rPr>
          <w:rFonts w:cs="Arial" w:hint="cs"/>
          <w:sz w:val="20"/>
          <w:szCs w:val="20"/>
          <w:rtl/>
        </w:rPr>
        <w:t>חיה</w:t>
      </w:r>
      <w:r w:rsidRPr="00726896">
        <w:rPr>
          <w:rFonts w:cs="Arial"/>
          <w:sz w:val="20"/>
          <w:szCs w:val="20"/>
          <w:rtl/>
        </w:rPr>
        <w:t xml:space="preserve"> </w:t>
      </w:r>
      <w:r w:rsidRPr="00726896">
        <w:rPr>
          <w:rFonts w:cs="Arial" w:hint="cs"/>
          <w:sz w:val="20"/>
          <w:szCs w:val="20"/>
          <w:rtl/>
        </w:rPr>
        <w:t>ועוף</w:t>
      </w:r>
      <w:r w:rsidRPr="00726896">
        <w:rPr>
          <w:rFonts w:cs="Arial"/>
          <w:sz w:val="20"/>
          <w:szCs w:val="20"/>
          <w:rtl/>
        </w:rPr>
        <w:t xml:space="preserve">, </w:t>
      </w:r>
      <w:r w:rsidRPr="00726896">
        <w:rPr>
          <w:rFonts w:cs="Arial" w:hint="cs"/>
          <w:sz w:val="20"/>
          <w:szCs w:val="20"/>
          <w:rtl/>
        </w:rPr>
        <w:t>בין</w:t>
      </w:r>
      <w:r w:rsidRPr="00726896">
        <w:rPr>
          <w:rFonts w:cs="Arial"/>
          <w:sz w:val="20"/>
          <w:szCs w:val="20"/>
          <w:rtl/>
        </w:rPr>
        <w:t xml:space="preserve"> </w:t>
      </w:r>
      <w:r w:rsidRPr="00726896">
        <w:rPr>
          <w:rFonts w:cs="Arial" w:hint="cs"/>
          <w:sz w:val="20"/>
          <w:szCs w:val="20"/>
          <w:rtl/>
        </w:rPr>
        <w:t>טמאין</w:t>
      </w:r>
      <w:r w:rsidRPr="00726896">
        <w:rPr>
          <w:rFonts w:cs="Arial"/>
          <w:sz w:val="20"/>
          <w:szCs w:val="20"/>
          <w:rtl/>
        </w:rPr>
        <w:t xml:space="preserve"> </w:t>
      </w:r>
      <w:r w:rsidRPr="00726896">
        <w:rPr>
          <w:rFonts w:cs="Arial" w:hint="cs"/>
          <w:sz w:val="20"/>
          <w:szCs w:val="20"/>
          <w:rtl/>
        </w:rPr>
        <w:t>בין</w:t>
      </w:r>
      <w:r w:rsidRPr="00726896">
        <w:rPr>
          <w:rFonts w:cs="Arial"/>
          <w:sz w:val="20"/>
          <w:szCs w:val="20"/>
          <w:rtl/>
        </w:rPr>
        <w:t xml:space="preserve"> </w:t>
      </w:r>
      <w:r w:rsidRPr="00726896">
        <w:rPr>
          <w:rFonts w:cs="Arial" w:hint="cs"/>
          <w:sz w:val="20"/>
          <w:szCs w:val="20"/>
          <w:rtl/>
        </w:rPr>
        <w:t>טהורין</w:t>
      </w:r>
      <w:r w:rsidRPr="00726896">
        <w:rPr>
          <w:rFonts w:cs="Arial"/>
          <w:sz w:val="20"/>
          <w:szCs w:val="20"/>
          <w:rtl/>
        </w:rPr>
        <w:t xml:space="preserve">, </w:t>
      </w:r>
      <w:r w:rsidRPr="00726896">
        <w:rPr>
          <w:rFonts w:cs="Arial" w:hint="cs"/>
          <w:sz w:val="20"/>
          <w:szCs w:val="20"/>
          <w:rtl/>
        </w:rPr>
        <w:t>אם</w:t>
      </w:r>
      <w:r w:rsidRPr="00726896">
        <w:rPr>
          <w:rFonts w:cs="Arial"/>
          <w:sz w:val="20"/>
          <w:szCs w:val="20"/>
          <w:rtl/>
        </w:rPr>
        <w:t xml:space="preserve"> </w:t>
      </w:r>
      <w:r w:rsidRPr="00726896">
        <w:rPr>
          <w:rFonts w:cs="Arial" w:hint="cs"/>
          <w:sz w:val="20"/>
          <w:szCs w:val="20"/>
          <w:rtl/>
        </w:rPr>
        <w:t>זכר</w:t>
      </w:r>
      <w:r w:rsidRPr="00726896">
        <w:rPr>
          <w:rFonts w:cs="Arial"/>
          <w:sz w:val="20"/>
          <w:szCs w:val="20"/>
          <w:rtl/>
        </w:rPr>
        <w:t xml:space="preserve"> - </w:t>
      </w:r>
      <w:r w:rsidRPr="00726896">
        <w:rPr>
          <w:rFonts w:cs="Arial" w:hint="cs"/>
          <w:sz w:val="20"/>
          <w:szCs w:val="20"/>
          <w:rtl/>
        </w:rPr>
        <w:t>תשב</w:t>
      </w:r>
      <w:r w:rsidRPr="00726896">
        <w:rPr>
          <w:rFonts w:cs="Arial"/>
          <w:sz w:val="20"/>
          <w:szCs w:val="20"/>
          <w:rtl/>
        </w:rPr>
        <w:t xml:space="preserve"> </w:t>
      </w:r>
      <w:r w:rsidRPr="00726896">
        <w:rPr>
          <w:rFonts w:cs="Arial" w:hint="cs"/>
          <w:sz w:val="20"/>
          <w:szCs w:val="20"/>
          <w:rtl/>
        </w:rPr>
        <w:t>לזכר</w:t>
      </w:r>
      <w:r w:rsidRPr="00726896">
        <w:rPr>
          <w:rFonts w:cs="Arial"/>
          <w:sz w:val="20"/>
          <w:szCs w:val="20"/>
          <w:rtl/>
        </w:rPr>
        <w:t xml:space="preserve">, </w:t>
      </w:r>
      <w:r w:rsidRPr="00726896">
        <w:rPr>
          <w:rFonts w:cs="Arial" w:hint="cs"/>
          <w:sz w:val="20"/>
          <w:szCs w:val="20"/>
          <w:rtl/>
        </w:rPr>
        <w:t>ואם</w:t>
      </w:r>
      <w:r w:rsidRPr="00726896">
        <w:rPr>
          <w:rFonts w:cs="Arial"/>
          <w:sz w:val="20"/>
          <w:szCs w:val="20"/>
          <w:rtl/>
        </w:rPr>
        <w:t xml:space="preserve"> </w:t>
      </w:r>
      <w:r w:rsidRPr="00726896">
        <w:rPr>
          <w:rFonts w:cs="Arial" w:hint="cs"/>
          <w:sz w:val="20"/>
          <w:szCs w:val="20"/>
          <w:rtl/>
        </w:rPr>
        <w:t>נקבה</w:t>
      </w:r>
      <w:r w:rsidRPr="00726896">
        <w:rPr>
          <w:rFonts w:cs="Arial"/>
          <w:sz w:val="20"/>
          <w:szCs w:val="20"/>
          <w:rtl/>
        </w:rPr>
        <w:t xml:space="preserve"> - </w:t>
      </w:r>
      <w:r w:rsidRPr="00726896">
        <w:rPr>
          <w:rFonts w:cs="Arial" w:hint="cs"/>
          <w:sz w:val="20"/>
          <w:szCs w:val="20"/>
          <w:rtl/>
        </w:rPr>
        <w:t>תשב</w:t>
      </w:r>
      <w:r w:rsidRPr="00726896">
        <w:rPr>
          <w:rFonts w:cs="Arial"/>
          <w:sz w:val="20"/>
          <w:szCs w:val="20"/>
          <w:rtl/>
        </w:rPr>
        <w:t xml:space="preserve"> </w:t>
      </w:r>
      <w:r w:rsidRPr="00726896">
        <w:rPr>
          <w:rFonts w:cs="Arial" w:hint="cs"/>
          <w:sz w:val="20"/>
          <w:szCs w:val="20"/>
          <w:rtl/>
        </w:rPr>
        <w:t>לנקבה</w:t>
      </w:r>
      <w:r w:rsidRPr="00726896">
        <w:rPr>
          <w:rFonts w:cs="Arial"/>
          <w:sz w:val="20"/>
          <w:szCs w:val="20"/>
          <w:rtl/>
        </w:rPr>
        <w:t xml:space="preserve">, </w:t>
      </w:r>
      <w:r w:rsidRPr="00726896">
        <w:rPr>
          <w:rFonts w:cs="Arial" w:hint="cs"/>
          <w:sz w:val="20"/>
          <w:szCs w:val="20"/>
          <w:rtl/>
        </w:rPr>
        <w:t>ואם</w:t>
      </w:r>
      <w:r w:rsidRPr="00726896">
        <w:rPr>
          <w:rFonts w:cs="Arial"/>
          <w:sz w:val="20"/>
          <w:szCs w:val="20"/>
          <w:rtl/>
        </w:rPr>
        <w:t xml:space="preserve"> </w:t>
      </w:r>
      <w:r w:rsidRPr="00726896">
        <w:rPr>
          <w:rFonts w:cs="Arial" w:hint="cs"/>
          <w:sz w:val="20"/>
          <w:szCs w:val="20"/>
          <w:rtl/>
        </w:rPr>
        <w:t>אין</w:t>
      </w:r>
      <w:r w:rsidRPr="00726896">
        <w:rPr>
          <w:rFonts w:cs="Arial"/>
          <w:sz w:val="20"/>
          <w:szCs w:val="20"/>
          <w:rtl/>
        </w:rPr>
        <w:t xml:space="preserve"> </w:t>
      </w:r>
      <w:r w:rsidRPr="00726896">
        <w:rPr>
          <w:rFonts w:cs="Arial" w:hint="cs"/>
          <w:sz w:val="20"/>
          <w:szCs w:val="20"/>
          <w:rtl/>
        </w:rPr>
        <w:t>ידוע</w:t>
      </w:r>
      <w:r w:rsidRPr="00726896">
        <w:rPr>
          <w:rFonts w:cs="Arial"/>
          <w:sz w:val="20"/>
          <w:szCs w:val="20"/>
          <w:rtl/>
        </w:rPr>
        <w:t xml:space="preserve"> - </w:t>
      </w:r>
      <w:r w:rsidRPr="00726896">
        <w:rPr>
          <w:rFonts w:cs="Arial" w:hint="cs"/>
          <w:sz w:val="20"/>
          <w:szCs w:val="20"/>
          <w:rtl/>
        </w:rPr>
        <w:t>תשב</w:t>
      </w:r>
      <w:r w:rsidRPr="00726896">
        <w:rPr>
          <w:rFonts w:cs="Arial"/>
          <w:sz w:val="20"/>
          <w:szCs w:val="20"/>
          <w:rtl/>
        </w:rPr>
        <w:t xml:space="preserve"> </w:t>
      </w:r>
      <w:r w:rsidRPr="00726896">
        <w:rPr>
          <w:rFonts w:cs="Arial" w:hint="cs"/>
          <w:sz w:val="20"/>
          <w:szCs w:val="20"/>
          <w:rtl/>
        </w:rPr>
        <w:t>לזכר</w:t>
      </w:r>
      <w:r w:rsidRPr="00726896">
        <w:rPr>
          <w:rFonts w:cs="Arial"/>
          <w:sz w:val="20"/>
          <w:szCs w:val="20"/>
          <w:rtl/>
        </w:rPr>
        <w:t xml:space="preserve"> </w:t>
      </w:r>
      <w:r w:rsidRPr="00726896">
        <w:rPr>
          <w:rFonts w:cs="Arial" w:hint="cs"/>
          <w:sz w:val="20"/>
          <w:szCs w:val="20"/>
          <w:rtl/>
        </w:rPr>
        <w:t>ולנקבה</w:t>
      </w:r>
      <w:r w:rsidRPr="00726896">
        <w:rPr>
          <w:rFonts w:cs="Arial"/>
          <w:sz w:val="20"/>
          <w:szCs w:val="20"/>
          <w:rtl/>
        </w:rPr>
        <w:t xml:space="preserve"> - </w:t>
      </w:r>
      <w:r w:rsidRPr="00726896">
        <w:rPr>
          <w:rFonts w:cs="Arial" w:hint="cs"/>
          <w:sz w:val="20"/>
          <w:szCs w:val="20"/>
          <w:rtl/>
        </w:rPr>
        <w:t>דברי</w:t>
      </w:r>
      <w:r w:rsidRPr="00726896">
        <w:rPr>
          <w:rFonts w:cs="Arial"/>
          <w:sz w:val="20"/>
          <w:szCs w:val="20"/>
          <w:rtl/>
        </w:rPr>
        <w:t xml:space="preserve"> </w:t>
      </w:r>
      <w:r w:rsidRPr="00726896">
        <w:rPr>
          <w:rFonts w:cs="Arial" w:hint="cs"/>
          <w:sz w:val="20"/>
          <w:szCs w:val="20"/>
          <w:rtl/>
        </w:rPr>
        <w:t>רבי</w:t>
      </w:r>
      <w:r w:rsidRPr="00726896">
        <w:rPr>
          <w:rFonts w:cs="Arial"/>
          <w:sz w:val="20"/>
          <w:szCs w:val="20"/>
          <w:rtl/>
        </w:rPr>
        <w:t xml:space="preserve"> </w:t>
      </w:r>
      <w:r w:rsidRPr="00726896">
        <w:rPr>
          <w:rFonts w:cs="Arial" w:hint="cs"/>
          <w:sz w:val="20"/>
          <w:szCs w:val="20"/>
          <w:rtl/>
        </w:rPr>
        <w:t>מאיר</w:t>
      </w:r>
      <w:r w:rsidRPr="00726896">
        <w:rPr>
          <w:rFonts w:cs="Arial"/>
          <w:sz w:val="20"/>
          <w:szCs w:val="20"/>
          <w:rtl/>
        </w:rPr>
        <w:t xml:space="preserve">, </w:t>
      </w:r>
      <w:r w:rsidRPr="00726896">
        <w:rPr>
          <w:rFonts w:cs="Arial" w:hint="cs"/>
          <w:sz w:val="20"/>
          <w:szCs w:val="20"/>
          <w:rtl/>
        </w:rPr>
        <w:t>וחכמים</w:t>
      </w:r>
      <w:r w:rsidRPr="00726896">
        <w:rPr>
          <w:rFonts w:cs="Arial"/>
          <w:sz w:val="20"/>
          <w:szCs w:val="20"/>
          <w:rtl/>
        </w:rPr>
        <w:t xml:space="preserve"> </w:t>
      </w:r>
      <w:r w:rsidRPr="00726896">
        <w:rPr>
          <w:rFonts w:cs="Arial" w:hint="cs"/>
          <w:sz w:val="20"/>
          <w:szCs w:val="20"/>
          <w:rtl/>
        </w:rPr>
        <w:t>אומרים</w:t>
      </w:r>
      <w:r w:rsidRPr="00726896">
        <w:rPr>
          <w:rFonts w:cs="Arial"/>
          <w:sz w:val="20"/>
          <w:szCs w:val="20"/>
          <w:rtl/>
        </w:rPr>
        <w:t xml:space="preserve">: </w:t>
      </w:r>
      <w:r w:rsidRPr="00726896">
        <w:rPr>
          <w:rFonts w:cs="Arial" w:hint="cs"/>
          <w:sz w:val="20"/>
          <w:szCs w:val="20"/>
          <w:rtl/>
        </w:rPr>
        <w:t>כל</w:t>
      </w:r>
      <w:r w:rsidRPr="00726896">
        <w:rPr>
          <w:rFonts w:cs="Arial"/>
          <w:sz w:val="20"/>
          <w:szCs w:val="20"/>
          <w:rtl/>
        </w:rPr>
        <w:t xml:space="preserve"> </w:t>
      </w:r>
      <w:r w:rsidRPr="00726896">
        <w:rPr>
          <w:rFonts w:cs="Arial" w:hint="cs"/>
          <w:sz w:val="20"/>
          <w:szCs w:val="20"/>
          <w:rtl/>
        </w:rPr>
        <w:t>שאין</w:t>
      </w:r>
      <w:r w:rsidRPr="00726896">
        <w:rPr>
          <w:rFonts w:cs="Arial"/>
          <w:sz w:val="20"/>
          <w:szCs w:val="20"/>
          <w:rtl/>
        </w:rPr>
        <w:t xml:space="preserve"> </w:t>
      </w:r>
      <w:r w:rsidRPr="00726896">
        <w:rPr>
          <w:rFonts w:cs="Arial" w:hint="cs"/>
          <w:sz w:val="20"/>
          <w:szCs w:val="20"/>
          <w:rtl/>
        </w:rPr>
        <w:t>בו</w:t>
      </w:r>
      <w:r w:rsidRPr="00726896">
        <w:rPr>
          <w:rFonts w:cs="Arial"/>
          <w:sz w:val="20"/>
          <w:szCs w:val="20"/>
          <w:rtl/>
        </w:rPr>
        <w:t xml:space="preserve"> </w:t>
      </w:r>
      <w:r w:rsidRPr="00726896">
        <w:rPr>
          <w:rFonts w:cs="Arial" w:hint="cs"/>
          <w:sz w:val="20"/>
          <w:szCs w:val="20"/>
          <w:rtl/>
        </w:rPr>
        <w:t>מצורת</w:t>
      </w:r>
      <w:r w:rsidRPr="00726896">
        <w:rPr>
          <w:rFonts w:cs="Arial"/>
          <w:sz w:val="20"/>
          <w:szCs w:val="20"/>
          <w:rtl/>
        </w:rPr>
        <w:t xml:space="preserve"> </w:t>
      </w:r>
      <w:r w:rsidRPr="00726896">
        <w:rPr>
          <w:rFonts w:cs="Arial" w:hint="cs"/>
          <w:sz w:val="20"/>
          <w:szCs w:val="20"/>
          <w:rtl/>
        </w:rPr>
        <w:t>אדם</w:t>
      </w:r>
      <w:r w:rsidRPr="00726896">
        <w:rPr>
          <w:rFonts w:cs="Arial"/>
          <w:sz w:val="20"/>
          <w:szCs w:val="20"/>
          <w:rtl/>
        </w:rPr>
        <w:t xml:space="preserve"> - </w:t>
      </w:r>
      <w:r w:rsidRPr="00726896">
        <w:rPr>
          <w:rFonts w:cs="Arial" w:hint="cs"/>
          <w:sz w:val="20"/>
          <w:szCs w:val="20"/>
          <w:rtl/>
        </w:rPr>
        <w:t>אינו</w:t>
      </w:r>
      <w:r w:rsidRPr="00726896">
        <w:rPr>
          <w:rFonts w:cs="Arial"/>
          <w:sz w:val="20"/>
          <w:szCs w:val="20"/>
          <w:rtl/>
        </w:rPr>
        <w:t xml:space="preserve"> </w:t>
      </w:r>
      <w:r w:rsidRPr="00726896">
        <w:rPr>
          <w:rFonts w:cs="Arial" w:hint="cs"/>
          <w:sz w:val="20"/>
          <w:szCs w:val="20"/>
          <w:rtl/>
        </w:rPr>
        <w:t>ולד</w:t>
      </w:r>
      <w:r>
        <w:rPr>
          <w:rFonts w:cs="Arial" w:hint="cs"/>
          <w:sz w:val="20"/>
          <w:szCs w:val="20"/>
          <w:rtl/>
        </w:rPr>
        <w:t>".</w:t>
      </w:r>
      <w:r>
        <w:rPr>
          <w:rFonts w:hint="cs"/>
          <w:sz w:val="20"/>
          <w:szCs w:val="20"/>
          <w:rtl/>
        </w:rPr>
        <w:br/>
      </w:r>
      <w:r w:rsidRPr="00726896">
        <w:rPr>
          <w:rFonts w:hint="cs"/>
          <w:b/>
          <w:bCs/>
          <w:sz w:val="20"/>
          <w:szCs w:val="20"/>
          <w:rtl/>
        </w:rPr>
        <w:t xml:space="preserve">גמרא </w:t>
      </w:r>
      <w:r>
        <w:rPr>
          <w:rFonts w:hint="cs"/>
          <w:sz w:val="20"/>
          <w:szCs w:val="20"/>
          <w:rtl/>
        </w:rPr>
        <w:t>(שם, כג:) "</w:t>
      </w:r>
      <w:r w:rsidRPr="00726896">
        <w:rPr>
          <w:rFonts w:cs="Arial" w:hint="cs"/>
          <w:sz w:val="20"/>
          <w:szCs w:val="20"/>
          <w:rtl/>
        </w:rPr>
        <w:t>תניא</w:t>
      </w:r>
      <w:r w:rsidRPr="00726896">
        <w:rPr>
          <w:rFonts w:cs="Arial"/>
          <w:sz w:val="20"/>
          <w:szCs w:val="20"/>
          <w:rtl/>
        </w:rPr>
        <w:t xml:space="preserve">. </w:t>
      </w:r>
      <w:r w:rsidRPr="00726896">
        <w:rPr>
          <w:rFonts w:cs="Arial" w:hint="cs"/>
          <w:sz w:val="20"/>
          <w:szCs w:val="20"/>
          <w:rtl/>
        </w:rPr>
        <w:t>אמר</w:t>
      </w:r>
      <w:r w:rsidRPr="00726896">
        <w:rPr>
          <w:rFonts w:cs="Arial"/>
          <w:sz w:val="20"/>
          <w:szCs w:val="20"/>
          <w:rtl/>
        </w:rPr>
        <w:t xml:space="preserve"> </w:t>
      </w:r>
      <w:r w:rsidRPr="00726896">
        <w:rPr>
          <w:rFonts w:cs="Arial" w:hint="cs"/>
          <w:sz w:val="20"/>
          <w:szCs w:val="20"/>
          <w:rtl/>
        </w:rPr>
        <w:t>ר</w:t>
      </w:r>
      <w:r>
        <w:rPr>
          <w:rFonts w:cs="Arial" w:hint="cs"/>
          <w:sz w:val="20"/>
          <w:szCs w:val="20"/>
          <w:rtl/>
        </w:rPr>
        <w:t>בי</w:t>
      </w:r>
      <w:r w:rsidRPr="00726896">
        <w:rPr>
          <w:rFonts w:cs="Arial"/>
          <w:sz w:val="20"/>
          <w:szCs w:val="20"/>
          <w:rtl/>
        </w:rPr>
        <w:t xml:space="preserve"> </w:t>
      </w:r>
      <w:r w:rsidRPr="00726896">
        <w:rPr>
          <w:rFonts w:cs="Arial" w:hint="cs"/>
          <w:sz w:val="20"/>
          <w:szCs w:val="20"/>
          <w:rtl/>
        </w:rPr>
        <w:t>ירמיה</w:t>
      </w:r>
      <w:r w:rsidRPr="00726896">
        <w:rPr>
          <w:rFonts w:cs="Arial"/>
          <w:sz w:val="20"/>
          <w:szCs w:val="20"/>
          <w:rtl/>
        </w:rPr>
        <w:t xml:space="preserve"> </w:t>
      </w:r>
      <w:r w:rsidRPr="00726896">
        <w:rPr>
          <w:rFonts w:cs="Arial" w:hint="cs"/>
          <w:sz w:val="20"/>
          <w:szCs w:val="20"/>
          <w:rtl/>
        </w:rPr>
        <w:t>בר</w:t>
      </w:r>
      <w:r w:rsidRPr="00726896">
        <w:rPr>
          <w:rFonts w:cs="Arial"/>
          <w:sz w:val="20"/>
          <w:szCs w:val="20"/>
          <w:rtl/>
        </w:rPr>
        <w:t xml:space="preserve"> </w:t>
      </w:r>
      <w:r w:rsidRPr="00726896">
        <w:rPr>
          <w:rFonts w:cs="Arial" w:hint="cs"/>
          <w:sz w:val="20"/>
          <w:szCs w:val="20"/>
          <w:rtl/>
        </w:rPr>
        <w:t>אבא</w:t>
      </w:r>
      <w:r w:rsidRPr="00726896">
        <w:rPr>
          <w:rFonts w:cs="Arial"/>
          <w:sz w:val="20"/>
          <w:szCs w:val="20"/>
          <w:rtl/>
        </w:rPr>
        <w:t xml:space="preserve"> </w:t>
      </w:r>
      <w:r w:rsidRPr="00726896">
        <w:rPr>
          <w:rFonts w:cs="Arial" w:hint="cs"/>
          <w:sz w:val="20"/>
          <w:szCs w:val="20"/>
          <w:rtl/>
        </w:rPr>
        <w:t>אמר</w:t>
      </w:r>
      <w:r w:rsidRPr="00726896">
        <w:rPr>
          <w:rFonts w:cs="Arial"/>
          <w:sz w:val="20"/>
          <w:szCs w:val="20"/>
          <w:rtl/>
        </w:rPr>
        <w:t xml:space="preserve"> </w:t>
      </w:r>
      <w:r w:rsidRPr="00726896">
        <w:rPr>
          <w:rFonts w:cs="Arial" w:hint="cs"/>
          <w:sz w:val="20"/>
          <w:szCs w:val="20"/>
          <w:rtl/>
        </w:rPr>
        <w:t>רבי</w:t>
      </w:r>
      <w:r w:rsidRPr="00726896">
        <w:rPr>
          <w:rFonts w:cs="Arial"/>
          <w:sz w:val="20"/>
          <w:szCs w:val="20"/>
          <w:rtl/>
        </w:rPr>
        <w:t xml:space="preserve"> </w:t>
      </w:r>
      <w:r w:rsidRPr="00726896">
        <w:rPr>
          <w:rFonts w:cs="Arial" w:hint="cs"/>
          <w:sz w:val="20"/>
          <w:szCs w:val="20"/>
          <w:rtl/>
        </w:rPr>
        <w:t>יוחנן</w:t>
      </w:r>
      <w:r w:rsidRPr="00726896">
        <w:rPr>
          <w:rFonts w:cs="Arial"/>
          <w:sz w:val="20"/>
          <w:szCs w:val="20"/>
          <w:rtl/>
        </w:rPr>
        <w:t xml:space="preserve">: </w:t>
      </w:r>
      <w:r w:rsidRPr="00726896">
        <w:rPr>
          <w:rFonts w:cs="Arial" w:hint="cs"/>
          <w:sz w:val="20"/>
          <w:szCs w:val="20"/>
          <w:rtl/>
        </w:rPr>
        <w:t>מצח</w:t>
      </w:r>
      <w:r w:rsidRPr="00726896">
        <w:rPr>
          <w:rFonts w:cs="Arial"/>
          <w:sz w:val="20"/>
          <w:szCs w:val="20"/>
          <w:rtl/>
        </w:rPr>
        <w:t xml:space="preserve"> </w:t>
      </w:r>
      <w:r w:rsidRPr="00726896">
        <w:rPr>
          <w:rFonts w:cs="Arial" w:hint="cs"/>
          <w:sz w:val="20"/>
          <w:szCs w:val="20"/>
          <w:rtl/>
        </w:rPr>
        <w:t>והגבינים</w:t>
      </w:r>
      <w:r w:rsidRPr="00726896">
        <w:rPr>
          <w:rFonts w:cs="Arial"/>
          <w:sz w:val="20"/>
          <w:szCs w:val="20"/>
          <w:rtl/>
        </w:rPr>
        <w:t xml:space="preserve"> </w:t>
      </w:r>
      <w:r w:rsidRPr="00726896">
        <w:rPr>
          <w:rFonts w:cs="Arial" w:hint="cs"/>
          <w:sz w:val="20"/>
          <w:szCs w:val="20"/>
          <w:rtl/>
        </w:rPr>
        <w:t>והעיני</w:t>
      </w:r>
      <w:r>
        <w:rPr>
          <w:rFonts w:cs="Arial" w:hint="cs"/>
          <w:sz w:val="20"/>
          <w:szCs w:val="20"/>
          <w:rtl/>
        </w:rPr>
        <w:t>י</w:t>
      </w:r>
      <w:r w:rsidRPr="00726896">
        <w:rPr>
          <w:rFonts w:cs="Arial" w:hint="cs"/>
          <w:sz w:val="20"/>
          <w:szCs w:val="20"/>
          <w:rtl/>
        </w:rPr>
        <w:t>ם</w:t>
      </w:r>
      <w:r w:rsidRPr="00726896">
        <w:rPr>
          <w:rFonts w:cs="Arial"/>
          <w:sz w:val="20"/>
          <w:szCs w:val="20"/>
          <w:rtl/>
        </w:rPr>
        <w:t xml:space="preserve"> </w:t>
      </w:r>
      <w:r w:rsidRPr="00726896">
        <w:rPr>
          <w:rFonts w:cs="Arial" w:hint="cs"/>
          <w:sz w:val="20"/>
          <w:szCs w:val="20"/>
          <w:rtl/>
        </w:rPr>
        <w:t>והלסתות</w:t>
      </w:r>
      <w:r w:rsidRPr="00726896">
        <w:rPr>
          <w:rFonts w:cs="Arial"/>
          <w:sz w:val="20"/>
          <w:szCs w:val="20"/>
          <w:rtl/>
        </w:rPr>
        <w:t xml:space="preserve"> </w:t>
      </w:r>
      <w:r w:rsidRPr="00726896">
        <w:rPr>
          <w:rFonts w:cs="Arial" w:hint="cs"/>
          <w:sz w:val="20"/>
          <w:szCs w:val="20"/>
          <w:rtl/>
        </w:rPr>
        <w:t>וגבות</w:t>
      </w:r>
      <w:r w:rsidRPr="00726896">
        <w:rPr>
          <w:rFonts w:cs="Arial"/>
          <w:sz w:val="20"/>
          <w:szCs w:val="20"/>
          <w:rtl/>
        </w:rPr>
        <w:t xml:space="preserve"> </w:t>
      </w:r>
      <w:r w:rsidRPr="00726896">
        <w:rPr>
          <w:rFonts w:cs="Arial" w:hint="cs"/>
          <w:sz w:val="20"/>
          <w:szCs w:val="20"/>
          <w:rtl/>
        </w:rPr>
        <w:t>הזקן</w:t>
      </w:r>
      <w:r w:rsidRPr="00726896">
        <w:rPr>
          <w:rFonts w:cs="Arial"/>
          <w:sz w:val="20"/>
          <w:szCs w:val="20"/>
          <w:rtl/>
        </w:rPr>
        <w:t xml:space="preserve"> - </w:t>
      </w:r>
      <w:r w:rsidRPr="00726896">
        <w:rPr>
          <w:rFonts w:cs="Arial" w:hint="cs"/>
          <w:sz w:val="20"/>
          <w:szCs w:val="20"/>
          <w:rtl/>
        </w:rPr>
        <w:t>עד</w:t>
      </w:r>
      <w:r w:rsidRPr="00726896">
        <w:rPr>
          <w:rFonts w:cs="Arial"/>
          <w:sz w:val="20"/>
          <w:szCs w:val="20"/>
          <w:rtl/>
        </w:rPr>
        <w:t xml:space="preserve"> </w:t>
      </w:r>
      <w:r w:rsidRPr="00726896">
        <w:rPr>
          <w:rFonts w:cs="Arial" w:hint="cs"/>
          <w:sz w:val="20"/>
          <w:szCs w:val="20"/>
          <w:rtl/>
        </w:rPr>
        <w:t>שיהו</w:t>
      </w:r>
      <w:r w:rsidRPr="00726896">
        <w:rPr>
          <w:rFonts w:cs="Arial"/>
          <w:sz w:val="20"/>
          <w:szCs w:val="20"/>
          <w:rtl/>
        </w:rPr>
        <w:t xml:space="preserve"> </w:t>
      </w:r>
      <w:r w:rsidRPr="00726896">
        <w:rPr>
          <w:rFonts w:cs="Arial" w:hint="cs"/>
          <w:sz w:val="20"/>
          <w:szCs w:val="20"/>
          <w:rtl/>
        </w:rPr>
        <w:t>כולם</w:t>
      </w:r>
      <w:r w:rsidRPr="00726896">
        <w:rPr>
          <w:rFonts w:cs="Arial"/>
          <w:sz w:val="20"/>
          <w:szCs w:val="20"/>
          <w:rtl/>
        </w:rPr>
        <w:t xml:space="preserve"> </w:t>
      </w:r>
      <w:r w:rsidRPr="00726896">
        <w:rPr>
          <w:rFonts w:cs="Arial" w:hint="cs"/>
          <w:sz w:val="20"/>
          <w:szCs w:val="20"/>
          <w:rtl/>
        </w:rPr>
        <w:t>כאחד</w:t>
      </w:r>
      <w:r w:rsidRPr="00726896">
        <w:rPr>
          <w:rFonts w:cs="Arial"/>
          <w:sz w:val="20"/>
          <w:szCs w:val="20"/>
          <w:rtl/>
        </w:rPr>
        <w:t xml:space="preserve">. </w:t>
      </w:r>
      <w:r w:rsidRPr="00726896">
        <w:rPr>
          <w:rFonts w:cs="Arial" w:hint="cs"/>
          <w:sz w:val="20"/>
          <w:szCs w:val="20"/>
          <w:rtl/>
        </w:rPr>
        <w:t>רבא</w:t>
      </w:r>
      <w:r w:rsidRPr="00726896">
        <w:rPr>
          <w:rFonts w:cs="Arial"/>
          <w:sz w:val="20"/>
          <w:szCs w:val="20"/>
          <w:rtl/>
        </w:rPr>
        <w:t xml:space="preserve"> </w:t>
      </w:r>
      <w:r w:rsidRPr="00726896">
        <w:rPr>
          <w:rFonts w:cs="Arial" w:hint="cs"/>
          <w:sz w:val="20"/>
          <w:szCs w:val="20"/>
          <w:rtl/>
        </w:rPr>
        <w:t>אמר</w:t>
      </w:r>
      <w:r w:rsidRPr="00726896">
        <w:rPr>
          <w:rFonts w:cs="Arial"/>
          <w:sz w:val="20"/>
          <w:szCs w:val="20"/>
          <w:rtl/>
        </w:rPr>
        <w:t xml:space="preserve"> </w:t>
      </w:r>
      <w:r w:rsidRPr="00726896">
        <w:rPr>
          <w:rFonts w:cs="Arial" w:hint="cs"/>
          <w:sz w:val="20"/>
          <w:szCs w:val="20"/>
          <w:rtl/>
        </w:rPr>
        <w:t>חסא</w:t>
      </w:r>
      <w:r w:rsidRPr="00726896">
        <w:rPr>
          <w:rFonts w:cs="Arial"/>
          <w:sz w:val="20"/>
          <w:szCs w:val="20"/>
          <w:rtl/>
        </w:rPr>
        <w:t xml:space="preserve">: </w:t>
      </w:r>
      <w:r w:rsidRPr="00726896">
        <w:rPr>
          <w:rFonts w:cs="Arial" w:hint="cs"/>
          <w:sz w:val="20"/>
          <w:szCs w:val="20"/>
          <w:rtl/>
        </w:rPr>
        <w:t>מצח</w:t>
      </w:r>
      <w:r w:rsidRPr="00726896">
        <w:rPr>
          <w:rFonts w:cs="Arial"/>
          <w:sz w:val="20"/>
          <w:szCs w:val="20"/>
          <w:rtl/>
        </w:rPr>
        <w:t xml:space="preserve"> </w:t>
      </w:r>
      <w:r w:rsidRPr="00726896">
        <w:rPr>
          <w:rFonts w:cs="Arial" w:hint="cs"/>
          <w:sz w:val="20"/>
          <w:szCs w:val="20"/>
          <w:rtl/>
        </w:rPr>
        <w:t>והגב</w:t>
      </w:r>
      <w:r>
        <w:rPr>
          <w:rFonts w:cs="Arial" w:hint="cs"/>
          <w:sz w:val="20"/>
          <w:szCs w:val="20"/>
          <w:rtl/>
        </w:rPr>
        <w:t>י</w:t>
      </w:r>
      <w:r w:rsidRPr="00726896">
        <w:rPr>
          <w:rFonts w:cs="Arial" w:hint="cs"/>
          <w:sz w:val="20"/>
          <w:szCs w:val="20"/>
          <w:rtl/>
        </w:rPr>
        <w:t>ן</w:t>
      </w:r>
      <w:r w:rsidRPr="00726896">
        <w:rPr>
          <w:rFonts w:cs="Arial"/>
          <w:sz w:val="20"/>
          <w:szCs w:val="20"/>
          <w:rtl/>
        </w:rPr>
        <w:t xml:space="preserve"> </w:t>
      </w:r>
      <w:r w:rsidRPr="00726896">
        <w:rPr>
          <w:rFonts w:cs="Arial" w:hint="cs"/>
          <w:sz w:val="20"/>
          <w:szCs w:val="20"/>
          <w:rtl/>
        </w:rPr>
        <w:t>והעין</w:t>
      </w:r>
      <w:r w:rsidRPr="00726896">
        <w:rPr>
          <w:rFonts w:cs="Arial"/>
          <w:sz w:val="20"/>
          <w:szCs w:val="20"/>
          <w:rtl/>
        </w:rPr>
        <w:t xml:space="preserve"> </w:t>
      </w:r>
      <w:r w:rsidRPr="00726896">
        <w:rPr>
          <w:rFonts w:cs="Arial" w:hint="cs"/>
          <w:sz w:val="20"/>
          <w:szCs w:val="20"/>
          <w:rtl/>
        </w:rPr>
        <w:t>והלסת</w:t>
      </w:r>
      <w:r w:rsidRPr="00726896">
        <w:rPr>
          <w:rFonts w:cs="Arial"/>
          <w:sz w:val="20"/>
          <w:szCs w:val="20"/>
          <w:rtl/>
        </w:rPr>
        <w:t xml:space="preserve"> </w:t>
      </w:r>
      <w:r w:rsidRPr="00726896">
        <w:rPr>
          <w:rFonts w:cs="Arial" w:hint="cs"/>
          <w:sz w:val="20"/>
          <w:szCs w:val="20"/>
          <w:rtl/>
        </w:rPr>
        <w:t>וגבת</w:t>
      </w:r>
      <w:r w:rsidRPr="00726896">
        <w:rPr>
          <w:rFonts w:cs="Arial"/>
          <w:sz w:val="20"/>
          <w:szCs w:val="20"/>
          <w:rtl/>
        </w:rPr>
        <w:t xml:space="preserve"> </w:t>
      </w:r>
      <w:r w:rsidRPr="00726896">
        <w:rPr>
          <w:rFonts w:cs="Arial" w:hint="cs"/>
          <w:sz w:val="20"/>
          <w:szCs w:val="20"/>
          <w:rtl/>
        </w:rPr>
        <w:t>הזקן</w:t>
      </w:r>
      <w:r w:rsidRPr="00726896">
        <w:rPr>
          <w:rFonts w:cs="Arial"/>
          <w:sz w:val="20"/>
          <w:szCs w:val="20"/>
          <w:rtl/>
        </w:rPr>
        <w:t xml:space="preserve"> - </w:t>
      </w:r>
      <w:r w:rsidRPr="00726896">
        <w:rPr>
          <w:rFonts w:cs="Arial" w:hint="cs"/>
          <w:sz w:val="20"/>
          <w:szCs w:val="20"/>
          <w:rtl/>
        </w:rPr>
        <w:t>עד</w:t>
      </w:r>
      <w:r w:rsidRPr="00726896">
        <w:rPr>
          <w:rFonts w:cs="Arial"/>
          <w:sz w:val="20"/>
          <w:szCs w:val="20"/>
          <w:rtl/>
        </w:rPr>
        <w:t xml:space="preserve"> </w:t>
      </w:r>
      <w:r w:rsidRPr="00726896">
        <w:rPr>
          <w:rFonts w:cs="Arial" w:hint="cs"/>
          <w:sz w:val="20"/>
          <w:szCs w:val="20"/>
          <w:rtl/>
        </w:rPr>
        <w:t>שיהו</w:t>
      </w:r>
      <w:r w:rsidRPr="00726896">
        <w:rPr>
          <w:rFonts w:cs="Arial"/>
          <w:sz w:val="20"/>
          <w:szCs w:val="20"/>
          <w:rtl/>
        </w:rPr>
        <w:t xml:space="preserve"> </w:t>
      </w:r>
      <w:r w:rsidRPr="00726896">
        <w:rPr>
          <w:rFonts w:cs="Arial" w:hint="cs"/>
          <w:sz w:val="20"/>
          <w:szCs w:val="20"/>
          <w:rtl/>
        </w:rPr>
        <w:t>כולם</w:t>
      </w:r>
      <w:r w:rsidRPr="00726896">
        <w:rPr>
          <w:rFonts w:cs="Arial"/>
          <w:sz w:val="20"/>
          <w:szCs w:val="20"/>
          <w:rtl/>
        </w:rPr>
        <w:t xml:space="preserve"> </w:t>
      </w:r>
      <w:r w:rsidRPr="00726896">
        <w:rPr>
          <w:rFonts w:cs="Arial" w:hint="cs"/>
          <w:sz w:val="20"/>
          <w:szCs w:val="20"/>
          <w:rtl/>
        </w:rPr>
        <w:t>כאחת</w:t>
      </w:r>
      <w:r>
        <w:rPr>
          <w:rFonts w:cs="Arial" w:hint="cs"/>
          <w:sz w:val="20"/>
          <w:szCs w:val="20"/>
          <w:rtl/>
        </w:rPr>
        <w:t>".</w:t>
      </w:r>
    </w:p>
    <w:p w:rsidR="00620060" w:rsidRDefault="00620060" w:rsidP="00620060">
      <w:pPr>
        <w:rPr>
          <w:sz w:val="20"/>
          <w:szCs w:val="20"/>
          <w:rtl/>
        </w:rPr>
      </w:pPr>
      <w:r>
        <w:rPr>
          <w:rFonts w:hint="cs"/>
          <w:sz w:val="20"/>
          <w:szCs w:val="20"/>
          <w:u w:val="single"/>
          <w:rtl/>
        </w:rPr>
        <w:t>שיטות הראשונים</w:t>
      </w:r>
      <w:r>
        <w:rPr>
          <w:rFonts w:hint="cs"/>
          <w:sz w:val="20"/>
          <w:szCs w:val="20"/>
          <w:u w:val="single"/>
          <w:rtl/>
        </w:rPr>
        <w:br/>
      </w:r>
      <w:r>
        <w:rPr>
          <w:rFonts w:hint="cs"/>
          <w:sz w:val="20"/>
          <w:szCs w:val="20"/>
          <w:rtl/>
        </w:rPr>
        <w:t xml:space="preserve">א. </w:t>
      </w:r>
      <w:r w:rsidRPr="00437C63">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הלכה כרבי ירמיה.</w:t>
      </w:r>
      <w:r>
        <w:rPr>
          <w:sz w:val="20"/>
          <w:szCs w:val="20"/>
          <w:u w:val="single"/>
          <w:rtl/>
        </w:rPr>
        <w:br/>
      </w:r>
      <w:r>
        <w:rPr>
          <w:rFonts w:hint="cs"/>
          <w:sz w:val="20"/>
          <w:szCs w:val="20"/>
          <w:rtl/>
        </w:rPr>
        <w:t xml:space="preserve">ב. </w:t>
      </w:r>
      <w:r w:rsidRPr="00437C63">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הלכה כרבא.</w:t>
      </w:r>
      <w:r>
        <w:rPr>
          <w:rFonts w:hint="cs"/>
          <w:sz w:val="20"/>
          <w:szCs w:val="20"/>
          <w:rtl/>
        </w:rPr>
        <w:br/>
        <w:t xml:space="preserve">אמנם, בפה ואוזניים לכו"ע אין קפידא, ואפילו אם הם כמראה של בהמה </w:t>
      </w:r>
      <w:r>
        <w:rPr>
          <w:sz w:val="20"/>
          <w:szCs w:val="20"/>
          <w:rtl/>
        </w:rPr>
        <w:t>–</w:t>
      </w:r>
      <w:r>
        <w:rPr>
          <w:rFonts w:hint="cs"/>
          <w:sz w:val="20"/>
          <w:szCs w:val="20"/>
          <w:rtl/>
        </w:rPr>
        <w:t xml:space="preserve"> טמאה לידה.</w:t>
      </w:r>
    </w:p>
    <w:p w:rsidR="00620060" w:rsidRDefault="00620060" w:rsidP="00620060">
      <w:pPr>
        <w:rPr>
          <w:sz w:val="20"/>
          <w:szCs w:val="20"/>
          <w:rtl/>
        </w:rPr>
      </w:pPr>
      <w:r>
        <w:rPr>
          <w:rFonts w:hint="cs"/>
          <w:sz w:val="20"/>
          <w:szCs w:val="20"/>
          <w:rtl/>
        </w:rPr>
        <w:t xml:space="preserve">ב. </w:t>
      </w:r>
      <w:r>
        <w:rPr>
          <w:rFonts w:hint="cs"/>
          <w:sz w:val="20"/>
          <w:szCs w:val="20"/>
          <w:u w:val="single"/>
          <w:rtl/>
        </w:rPr>
        <w:t>נפל שפניו תיש וגופו אדם</w:t>
      </w:r>
      <w:r>
        <w:rPr>
          <w:sz w:val="20"/>
          <w:szCs w:val="20"/>
          <w:u w:val="single"/>
          <w:rtl/>
        </w:rPr>
        <w:br/>
      </w:r>
      <w:r w:rsidRPr="00C1530F">
        <w:rPr>
          <w:rFonts w:hint="cs"/>
          <w:b/>
          <w:bCs/>
          <w:sz w:val="20"/>
          <w:szCs w:val="20"/>
          <w:rtl/>
        </w:rPr>
        <w:t>גמרא</w:t>
      </w:r>
      <w:r w:rsidRPr="00C1530F">
        <w:rPr>
          <w:rFonts w:hint="cs"/>
          <w:sz w:val="20"/>
          <w:szCs w:val="20"/>
          <w:rtl/>
        </w:rPr>
        <w:t xml:space="preserve"> (שם, כג:) "</w:t>
      </w:r>
      <w:r w:rsidRPr="00C1530F">
        <w:rPr>
          <w:rFonts w:cs="Arial" w:hint="cs"/>
          <w:sz w:val="20"/>
          <w:szCs w:val="20"/>
          <w:rtl/>
        </w:rPr>
        <w:t>גופו</w:t>
      </w:r>
      <w:r w:rsidRPr="00C1530F">
        <w:rPr>
          <w:rFonts w:cs="Arial"/>
          <w:sz w:val="20"/>
          <w:szCs w:val="20"/>
          <w:rtl/>
        </w:rPr>
        <w:t xml:space="preserve"> </w:t>
      </w:r>
      <w:r w:rsidRPr="00C1530F">
        <w:rPr>
          <w:rFonts w:cs="Arial" w:hint="cs"/>
          <w:sz w:val="20"/>
          <w:szCs w:val="20"/>
          <w:rtl/>
        </w:rPr>
        <w:t>אדם</w:t>
      </w:r>
      <w:r w:rsidRPr="00C1530F">
        <w:rPr>
          <w:rFonts w:cs="Arial"/>
          <w:sz w:val="20"/>
          <w:szCs w:val="20"/>
          <w:rtl/>
        </w:rPr>
        <w:t xml:space="preserve"> </w:t>
      </w:r>
      <w:r w:rsidRPr="00C1530F">
        <w:rPr>
          <w:rFonts w:cs="Arial" w:hint="cs"/>
          <w:sz w:val="20"/>
          <w:szCs w:val="20"/>
          <w:rtl/>
        </w:rPr>
        <w:t>ופניו</w:t>
      </w:r>
      <w:r w:rsidRPr="00C1530F">
        <w:rPr>
          <w:rFonts w:cs="Arial"/>
          <w:sz w:val="20"/>
          <w:szCs w:val="20"/>
          <w:rtl/>
        </w:rPr>
        <w:t xml:space="preserve"> </w:t>
      </w:r>
      <w:r w:rsidRPr="00C1530F">
        <w:rPr>
          <w:rFonts w:cs="Arial" w:hint="cs"/>
          <w:sz w:val="20"/>
          <w:szCs w:val="20"/>
          <w:rtl/>
        </w:rPr>
        <w:t>תייש</w:t>
      </w:r>
      <w:r w:rsidRPr="00C1530F">
        <w:rPr>
          <w:rFonts w:cs="Arial"/>
          <w:sz w:val="20"/>
          <w:szCs w:val="20"/>
          <w:rtl/>
        </w:rPr>
        <w:t xml:space="preserve"> - </w:t>
      </w:r>
      <w:r w:rsidRPr="00C1530F">
        <w:rPr>
          <w:rFonts w:cs="Arial" w:hint="cs"/>
          <w:sz w:val="20"/>
          <w:szCs w:val="20"/>
          <w:rtl/>
        </w:rPr>
        <w:t>ולא</w:t>
      </w:r>
      <w:r w:rsidRPr="00C1530F">
        <w:rPr>
          <w:rFonts w:cs="Arial"/>
          <w:sz w:val="20"/>
          <w:szCs w:val="20"/>
          <w:rtl/>
        </w:rPr>
        <w:t xml:space="preserve"> </w:t>
      </w:r>
      <w:r w:rsidRPr="00C1530F">
        <w:rPr>
          <w:rFonts w:cs="Arial" w:hint="cs"/>
          <w:sz w:val="20"/>
          <w:szCs w:val="20"/>
          <w:rtl/>
        </w:rPr>
        <w:t>כלום".</w:t>
      </w:r>
    </w:p>
    <w:p w:rsidR="00620060" w:rsidRDefault="00620060" w:rsidP="00620060">
      <w:pPr>
        <w:rPr>
          <w:rFonts w:cs="Arial"/>
          <w:sz w:val="20"/>
          <w:szCs w:val="20"/>
          <w:rtl/>
        </w:rPr>
      </w:pPr>
      <w:r>
        <w:rPr>
          <w:rFonts w:hint="cs"/>
          <w:sz w:val="20"/>
          <w:szCs w:val="20"/>
          <w:rtl/>
        </w:rPr>
        <w:t xml:space="preserve">ג. </w:t>
      </w:r>
      <w:r>
        <w:rPr>
          <w:rFonts w:hint="cs"/>
          <w:sz w:val="20"/>
          <w:szCs w:val="20"/>
          <w:u w:val="single"/>
          <w:rtl/>
        </w:rPr>
        <w:t>נפל בדמות נחש</w:t>
      </w:r>
      <w:r>
        <w:rPr>
          <w:sz w:val="20"/>
          <w:szCs w:val="20"/>
          <w:u w:val="single"/>
          <w:rtl/>
        </w:rPr>
        <w:br/>
      </w:r>
      <w:r w:rsidRPr="0034684A">
        <w:rPr>
          <w:rFonts w:hint="cs"/>
          <w:b/>
          <w:bCs/>
          <w:sz w:val="20"/>
          <w:szCs w:val="20"/>
          <w:rtl/>
        </w:rPr>
        <w:t xml:space="preserve">גמרא </w:t>
      </w:r>
      <w:r>
        <w:rPr>
          <w:rFonts w:hint="cs"/>
          <w:sz w:val="20"/>
          <w:szCs w:val="20"/>
          <w:rtl/>
        </w:rPr>
        <w:t>נידה (כד:) "</w:t>
      </w:r>
      <w:r w:rsidRPr="00C01A7D">
        <w:rPr>
          <w:rFonts w:cs="Arial" w:hint="cs"/>
          <w:sz w:val="20"/>
          <w:szCs w:val="20"/>
          <w:rtl/>
        </w:rPr>
        <w:t>המפלת</w:t>
      </w:r>
      <w:r w:rsidRPr="00C01A7D">
        <w:rPr>
          <w:rFonts w:cs="Arial"/>
          <w:sz w:val="20"/>
          <w:szCs w:val="20"/>
          <w:rtl/>
        </w:rPr>
        <w:t xml:space="preserve"> </w:t>
      </w:r>
      <w:r w:rsidRPr="00C01A7D">
        <w:rPr>
          <w:rFonts w:cs="Arial" w:hint="cs"/>
          <w:sz w:val="20"/>
          <w:szCs w:val="20"/>
          <w:rtl/>
        </w:rPr>
        <w:t>דמות</w:t>
      </w:r>
      <w:r w:rsidRPr="00C01A7D">
        <w:rPr>
          <w:rFonts w:cs="Arial"/>
          <w:sz w:val="20"/>
          <w:szCs w:val="20"/>
          <w:rtl/>
        </w:rPr>
        <w:t xml:space="preserve"> </w:t>
      </w:r>
      <w:r w:rsidRPr="00C01A7D">
        <w:rPr>
          <w:rFonts w:cs="Arial" w:hint="cs"/>
          <w:sz w:val="20"/>
          <w:szCs w:val="20"/>
          <w:rtl/>
        </w:rPr>
        <w:t>נחש</w:t>
      </w:r>
      <w:r w:rsidRPr="00C01A7D">
        <w:rPr>
          <w:rFonts w:cs="Arial"/>
          <w:sz w:val="20"/>
          <w:szCs w:val="20"/>
          <w:rtl/>
        </w:rPr>
        <w:t xml:space="preserve">, </w:t>
      </w:r>
      <w:r w:rsidRPr="00C01A7D">
        <w:rPr>
          <w:rFonts w:cs="Arial" w:hint="cs"/>
          <w:sz w:val="20"/>
          <w:szCs w:val="20"/>
          <w:rtl/>
        </w:rPr>
        <w:t>הורה</w:t>
      </w:r>
      <w:r w:rsidRPr="00C01A7D">
        <w:rPr>
          <w:rFonts w:cs="Arial"/>
          <w:sz w:val="20"/>
          <w:szCs w:val="20"/>
          <w:rtl/>
        </w:rPr>
        <w:t xml:space="preserve"> </w:t>
      </w:r>
      <w:r w:rsidRPr="00C01A7D">
        <w:rPr>
          <w:rFonts w:cs="Arial" w:hint="cs"/>
          <w:sz w:val="20"/>
          <w:szCs w:val="20"/>
          <w:rtl/>
        </w:rPr>
        <w:t>חנינא</w:t>
      </w:r>
      <w:r w:rsidRPr="00C01A7D">
        <w:rPr>
          <w:rFonts w:cs="Arial"/>
          <w:sz w:val="20"/>
          <w:szCs w:val="20"/>
          <w:rtl/>
        </w:rPr>
        <w:t xml:space="preserve"> </w:t>
      </w:r>
      <w:r w:rsidRPr="00C01A7D">
        <w:rPr>
          <w:rFonts w:cs="Arial" w:hint="cs"/>
          <w:sz w:val="20"/>
          <w:szCs w:val="20"/>
          <w:rtl/>
        </w:rPr>
        <w:t>בן</w:t>
      </w:r>
      <w:r w:rsidRPr="00C01A7D">
        <w:rPr>
          <w:rFonts w:cs="Arial"/>
          <w:sz w:val="20"/>
          <w:szCs w:val="20"/>
          <w:rtl/>
        </w:rPr>
        <w:t xml:space="preserve"> </w:t>
      </w:r>
      <w:r w:rsidRPr="00C01A7D">
        <w:rPr>
          <w:rFonts w:cs="Arial" w:hint="cs"/>
          <w:sz w:val="20"/>
          <w:szCs w:val="20"/>
          <w:rtl/>
        </w:rPr>
        <w:t>אחיו</w:t>
      </w:r>
      <w:r w:rsidRPr="00C01A7D">
        <w:rPr>
          <w:rFonts w:cs="Arial"/>
          <w:sz w:val="20"/>
          <w:szCs w:val="20"/>
          <w:rtl/>
        </w:rPr>
        <w:t xml:space="preserve"> </w:t>
      </w:r>
      <w:r w:rsidRPr="00C01A7D">
        <w:rPr>
          <w:rFonts w:cs="Arial" w:hint="cs"/>
          <w:sz w:val="20"/>
          <w:szCs w:val="20"/>
          <w:rtl/>
        </w:rPr>
        <w:t>של</w:t>
      </w:r>
      <w:r w:rsidRPr="00C01A7D">
        <w:rPr>
          <w:rFonts w:cs="Arial"/>
          <w:sz w:val="20"/>
          <w:szCs w:val="20"/>
          <w:rtl/>
        </w:rPr>
        <w:t xml:space="preserve"> </w:t>
      </w:r>
      <w:r w:rsidRPr="00C01A7D">
        <w:rPr>
          <w:rFonts w:cs="Arial" w:hint="cs"/>
          <w:sz w:val="20"/>
          <w:szCs w:val="20"/>
          <w:rtl/>
        </w:rPr>
        <w:t>רבי</w:t>
      </w:r>
      <w:r w:rsidRPr="00C01A7D">
        <w:rPr>
          <w:rFonts w:cs="Arial"/>
          <w:sz w:val="20"/>
          <w:szCs w:val="20"/>
          <w:rtl/>
        </w:rPr>
        <w:t xml:space="preserve"> </w:t>
      </w:r>
      <w:r w:rsidRPr="00C01A7D">
        <w:rPr>
          <w:rFonts w:cs="Arial" w:hint="cs"/>
          <w:sz w:val="20"/>
          <w:szCs w:val="20"/>
          <w:rtl/>
        </w:rPr>
        <w:t>יהושע</w:t>
      </w:r>
      <w:r w:rsidRPr="00C01A7D">
        <w:rPr>
          <w:rFonts w:cs="Arial"/>
          <w:sz w:val="20"/>
          <w:szCs w:val="20"/>
          <w:rtl/>
        </w:rPr>
        <w:t xml:space="preserve">: </w:t>
      </w:r>
      <w:r w:rsidRPr="00C01A7D">
        <w:rPr>
          <w:rFonts w:cs="Arial" w:hint="cs"/>
          <w:sz w:val="20"/>
          <w:szCs w:val="20"/>
          <w:rtl/>
        </w:rPr>
        <w:t>אמו</w:t>
      </w:r>
      <w:r w:rsidRPr="00C01A7D">
        <w:rPr>
          <w:rFonts w:cs="Arial"/>
          <w:sz w:val="20"/>
          <w:szCs w:val="20"/>
          <w:rtl/>
        </w:rPr>
        <w:t xml:space="preserve"> </w:t>
      </w:r>
      <w:r w:rsidRPr="00C01A7D">
        <w:rPr>
          <w:rFonts w:cs="Arial" w:hint="cs"/>
          <w:sz w:val="20"/>
          <w:szCs w:val="20"/>
          <w:rtl/>
        </w:rPr>
        <w:t>טמאה</w:t>
      </w:r>
      <w:r w:rsidRPr="00C01A7D">
        <w:rPr>
          <w:rFonts w:cs="Arial"/>
          <w:sz w:val="20"/>
          <w:szCs w:val="20"/>
          <w:rtl/>
        </w:rPr>
        <w:t xml:space="preserve"> </w:t>
      </w:r>
      <w:r w:rsidRPr="00C01A7D">
        <w:rPr>
          <w:rFonts w:cs="Arial" w:hint="cs"/>
          <w:sz w:val="20"/>
          <w:szCs w:val="20"/>
          <w:rtl/>
        </w:rPr>
        <w:t>לידה</w:t>
      </w:r>
      <w:r w:rsidRPr="00C01A7D">
        <w:rPr>
          <w:rFonts w:cs="Arial"/>
          <w:sz w:val="20"/>
          <w:szCs w:val="20"/>
          <w:rtl/>
        </w:rPr>
        <w:t xml:space="preserve">. </w:t>
      </w:r>
      <w:r w:rsidRPr="00C01A7D">
        <w:rPr>
          <w:rFonts w:cs="Arial" w:hint="cs"/>
          <w:sz w:val="20"/>
          <w:szCs w:val="20"/>
          <w:rtl/>
        </w:rPr>
        <w:t>הלך</w:t>
      </w:r>
      <w:r w:rsidRPr="00C01A7D">
        <w:rPr>
          <w:rFonts w:cs="Arial"/>
          <w:sz w:val="20"/>
          <w:szCs w:val="20"/>
          <w:rtl/>
        </w:rPr>
        <w:t xml:space="preserve"> </w:t>
      </w:r>
      <w:r w:rsidRPr="00C01A7D">
        <w:rPr>
          <w:rFonts w:cs="Arial" w:hint="cs"/>
          <w:sz w:val="20"/>
          <w:szCs w:val="20"/>
          <w:rtl/>
        </w:rPr>
        <w:t>ר</w:t>
      </w:r>
      <w:r w:rsidRPr="00C01A7D">
        <w:rPr>
          <w:rFonts w:cs="Arial"/>
          <w:sz w:val="20"/>
          <w:szCs w:val="20"/>
          <w:rtl/>
        </w:rPr>
        <w:t xml:space="preserve">' </w:t>
      </w:r>
      <w:r w:rsidRPr="00C01A7D">
        <w:rPr>
          <w:rFonts w:cs="Arial" w:hint="cs"/>
          <w:sz w:val="20"/>
          <w:szCs w:val="20"/>
          <w:rtl/>
        </w:rPr>
        <w:t>יוסף</w:t>
      </w:r>
      <w:r w:rsidRPr="00C01A7D">
        <w:rPr>
          <w:rFonts w:cs="Arial"/>
          <w:sz w:val="20"/>
          <w:szCs w:val="20"/>
          <w:rtl/>
        </w:rPr>
        <w:t xml:space="preserve"> </w:t>
      </w:r>
      <w:r w:rsidRPr="00C01A7D">
        <w:rPr>
          <w:rFonts w:cs="Arial" w:hint="cs"/>
          <w:sz w:val="20"/>
          <w:szCs w:val="20"/>
          <w:rtl/>
        </w:rPr>
        <w:t>וספר</w:t>
      </w:r>
      <w:r w:rsidRPr="00C01A7D">
        <w:rPr>
          <w:rFonts w:cs="Arial"/>
          <w:sz w:val="20"/>
          <w:szCs w:val="20"/>
          <w:rtl/>
        </w:rPr>
        <w:t xml:space="preserve"> </w:t>
      </w:r>
      <w:r w:rsidRPr="00C01A7D">
        <w:rPr>
          <w:rFonts w:cs="Arial" w:hint="cs"/>
          <w:sz w:val="20"/>
          <w:szCs w:val="20"/>
          <w:rtl/>
        </w:rPr>
        <w:t>דברים</w:t>
      </w:r>
      <w:r w:rsidRPr="00C01A7D">
        <w:rPr>
          <w:rFonts w:cs="Arial"/>
          <w:sz w:val="20"/>
          <w:szCs w:val="20"/>
          <w:rtl/>
        </w:rPr>
        <w:t xml:space="preserve"> </w:t>
      </w:r>
      <w:r w:rsidRPr="00C01A7D">
        <w:rPr>
          <w:rFonts w:cs="Arial" w:hint="cs"/>
          <w:sz w:val="20"/>
          <w:szCs w:val="20"/>
          <w:rtl/>
        </w:rPr>
        <w:t>לפני</w:t>
      </w:r>
      <w:r w:rsidRPr="00C01A7D">
        <w:rPr>
          <w:rFonts w:cs="Arial"/>
          <w:sz w:val="20"/>
          <w:szCs w:val="20"/>
          <w:rtl/>
        </w:rPr>
        <w:t xml:space="preserve"> </w:t>
      </w:r>
      <w:r w:rsidRPr="00C01A7D">
        <w:rPr>
          <w:rFonts w:cs="Arial" w:hint="cs"/>
          <w:sz w:val="20"/>
          <w:szCs w:val="20"/>
          <w:rtl/>
        </w:rPr>
        <w:t>ר</w:t>
      </w:r>
      <w:r>
        <w:rPr>
          <w:rFonts w:cs="Arial" w:hint="cs"/>
          <w:sz w:val="20"/>
          <w:szCs w:val="20"/>
          <w:rtl/>
        </w:rPr>
        <w:t xml:space="preserve">בן </w:t>
      </w:r>
      <w:r w:rsidRPr="00C01A7D">
        <w:rPr>
          <w:rFonts w:cs="Arial" w:hint="cs"/>
          <w:sz w:val="20"/>
          <w:szCs w:val="20"/>
          <w:rtl/>
        </w:rPr>
        <w:t>ג</w:t>
      </w:r>
      <w:r>
        <w:rPr>
          <w:rFonts w:cs="Arial" w:hint="cs"/>
          <w:sz w:val="20"/>
          <w:szCs w:val="20"/>
          <w:rtl/>
        </w:rPr>
        <w:t>מליאל</w:t>
      </w:r>
      <w:r w:rsidRPr="00C01A7D">
        <w:rPr>
          <w:rFonts w:cs="Arial"/>
          <w:sz w:val="20"/>
          <w:szCs w:val="20"/>
          <w:rtl/>
        </w:rPr>
        <w:t xml:space="preserve">, </w:t>
      </w:r>
      <w:r w:rsidRPr="00C01A7D">
        <w:rPr>
          <w:rFonts w:cs="Arial" w:hint="cs"/>
          <w:sz w:val="20"/>
          <w:szCs w:val="20"/>
          <w:rtl/>
        </w:rPr>
        <w:t>שלח</w:t>
      </w:r>
      <w:r w:rsidRPr="00C01A7D">
        <w:rPr>
          <w:rFonts w:cs="Arial"/>
          <w:sz w:val="20"/>
          <w:szCs w:val="20"/>
          <w:rtl/>
        </w:rPr>
        <w:t xml:space="preserve"> </w:t>
      </w:r>
      <w:r w:rsidRPr="00C01A7D">
        <w:rPr>
          <w:rFonts w:cs="Arial" w:hint="cs"/>
          <w:sz w:val="20"/>
          <w:szCs w:val="20"/>
          <w:rtl/>
        </w:rPr>
        <w:t>לו</w:t>
      </w:r>
      <w:r w:rsidRPr="00C01A7D">
        <w:rPr>
          <w:rFonts w:cs="Arial"/>
          <w:sz w:val="20"/>
          <w:szCs w:val="20"/>
          <w:rtl/>
        </w:rPr>
        <w:t xml:space="preserve"> </w:t>
      </w:r>
      <w:r w:rsidRPr="00C01A7D">
        <w:rPr>
          <w:rFonts w:cs="Arial" w:hint="cs"/>
          <w:sz w:val="20"/>
          <w:szCs w:val="20"/>
          <w:rtl/>
        </w:rPr>
        <w:t>רבי</w:t>
      </w:r>
      <w:r w:rsidRPr="00C01A7D">
        <w:rPr>
          <w:rFonts w:cs="Arial"/>
          <w:sz w:val="20"/>
          <w:szCs w:val="20"/>
          <w:rtl/>
        </w:rPr>
        <w:t xml:space="preserve"> </w:t>
      </w:r>
      <w:r w:rsidRPr="00C01A7D">
        <w:rPr>
          <w:rFonts w:cs="Arial" w:hint="cs"/>
          <w:sz w:val="20"/>
          <w:szCs w:val="20"/>
          <w:rtl/>
        </w:rPr>
        <w:t>יהושע</w:t>
      </w:r>
      <w:r w:rsidRPr="00C01A7D">
        <w:rPr>
          <w:rFonts w:cs="Arial"/>
          <w:sz w:val="20"/>
          <w:szCs w:val="20"/>
          <w:rtl/>
        </w:rPr>
        <w:t xml:space="preserve">: </w:t>
      </w:r>
      <w:r w:rsidRPr="00C01A7D">
        <w:rPr>
          <w:rFonts w:cs="Arial" w:hint="cs"/>
          <w:sz w:val="20"/>
          <w:szCs w:val="20"/>
          <w:rtl/>
        </w:rPr>
        <w:t>הנהג</w:t>
      </w:r>
      <w:r w:rsidRPr="00C01A7D">
        <w:rPr>
          <w:rFonts w:cs="Arial"/>
          <w:sz w:val="20"/>
          <w:szCs w:val="20"/>
          <w:rtl/>
        </w:rPr>
        <w:t xml:space="preserve"> </w:t>
      </w:r>
      <w:r w:rsidRPr="00C01A7D">
        <w:rPr>
          <w:rFonts w:cs="Arial" w:hint="cs"/>
          <w:sz w:val="20"/>
          <w:szCs w:val="20"/>
          <w:rtl/>
        </w:rPr>
        <w:t>בן</w:t>
      </w:r>
      <w:r w:rsidRPr="00C01A7D">
        <w:rPr>
          <w:rFonts w:cs="Arial"/>
          <w:sz w:val="20"/>
          <w:szCs w:val="20"/>
          <w:rtl/>
        </w:rPr>
        <w:t xml:space="preserve"> </w:t>
      </w:r>
      <w:r w:rsidRPr="00C01A7D">
        <w:rPr>
          <w:rFonts w:cs="Arial" w:hint="cs"/>
          <w:sz w:val="20"/>
          <w:szCs w:val="20"/>
          <w:rtl/>
        </w:rPr>
        <w:t>אחיך</w:t>
      </w:r>
      <w:r w:rsidRPr="00C01A7D">
        <w:rPr>
          <w:rFonts w:cs="Arial"/>
          <w:sz w:val="20"/>
          <w:szCs w:val="20"/>
          <w:rtl/>
        </w:rPr>
        <w:t xml:space="preserve"> </w:t>
      </w:r>
      <w:r w:rsidRPr="00C01A7D">
        <w:rPr>
          <w:rFonts w:cs="Arial" w:hint="cs"/>
          <w:sz w:val="20"/>
          <w:szCs w:val="20"/>
          <w:rtl/>
        </w:rPr>
        <w:t>ובא</w:t>
      </w:r>
      <w:r w:rsidRPr="00C01A7D">
        <w:rPr>
          <w:rFonts w:cs="Arial"/>
          <w:sz w:val="20"/>
          <w:szCs w:val="20"/>
          <w:rtl/>
        </w:rPr>
        <w:t xml:space="preserve">. </w:t>
      </w:r>
      <w:r w:rsidRPr="00C01A7D">
        <w:rPr>
          <w:rFonts w:cs="Arial" w:hint="cs"/>
          <w:sz w:val="20"/>
          <w:szCs w:val="20"/>
          <w:rtl/>
        </w:rPr>
        <w:t>בהליכתן</w:t>
      </w:r>
      <w:r w:rsidRPr="00C01A7D">
        <w:rPr>
          <w:rFonts w:cs="Arial"/>
          <w:sz w:val="20"/>
          <w:szCs w:val="20"/>
          <w:rtl/>
        </w:rPr>
        <w:t xml:space="preserve"> </w:t>
      </w:r>
      <w:r w:rsidRPr="00C01A7D">
        <w:rPr>
          <w:rFonts w:cs="Arial" w:hint="cs"/>
          <w:sz w:val="20"/>
          <w:szCs w:val="20"/>
          <w:rtl/>
        </w:rPr>
        <w:t>יצתה</w:t>
      </w:r>
      <w:r w:rsidRPr="00C01A7D">
        <w:rPr>
          <w:rFonts w:cs="Arial"/>
          <w:sz w:val="20"/>
          <w:szCs w:val="20"/>
          <w:rtl/>
        </w:rPr>
        <w:t xml:space="preserve"> </w:t>
      </w:r>
      <w:r w:rsidRPr="00C01A7D">
        <w:rPr>
          <w:rFonts w:cs="Arial" w:hint="cs"/>
          <w:sz w:val="20"/>
          <w:szCs w:val="20"/>
          <w:rtl/>
        </w:rPr>
        <w:t>כלת</w:t>
      </w:r>
      <w:r w:rsidRPr="00C01A7D">
        <w:rPr>
          <w:rFonts w:cs="Arial"/>
          <w:sz w:val="20"/>
          <w:szCs w:val="20"/>
          <w:rtl/>
        </w:rPr>
        <w:t xml:space="preserve"> </w:t>
      </w:r>
      <w:r w:rsidRPr="00C01A7D">
        <w:rPr>
          <w:rFonts w:cs="Arial" w:hint="cs"/>
          <w:sz w:val="20"/>
          <w:szCs w:val="20"/>
          <w:rtl/>
        </w:rPr>
        <w:t>חנינא</w:t>
      </w:r>
      <w:r w:rsidRPr="00C01A7D">
        <w:rPr>
          <w:rFonts w:cs="Arial"/>
          <w:sz w:val="20"/>
          <w:szCs w:val="20"/>
          <w:rtl/>
        </w:rPr>
        <w:t xml:space="preserve"> </w:t>
      </w:r>
      <w:r w:rsidRPr="00C01A7D">
        <w:rPr>
          <w:rFonts w:cs="Arial" w:hint="cs"/>
          <w:sz w:val="20"/>
          <w:szCs w:val="20"/>
          <w:rtl/>
        </w:rPr>
        <w:t>לקראתו</w:t>
      </w:r>
      <w:r w:rsidRPr="00C01A7D">
        <w:rPr>
          <w:rFonts w:cs="Arial"/>
          <w:sz w:val="20"/>
          <w:szCs w:val="20"/>
          <w:rtl/>
        </w:rPr>
        <w:t xml:space="preserve">, </w:t>
      </w:r>
      <w:r w:rsidRPr="00C01A7D">
        <w:rPr>
          <w:rFonts w:cs="Arial" w:hint="cs"/>
          <w:sz w:val="20"/>
          <w:szCs w:val="20"/>
          <w:rtl/>
        </w:rPr>
        <w:t>אמרה</w:t>
      </w:r>
      <w:r w:rsidRPr="00C01A7D">
        <w:rPr>
          <w:rFonts w:cs="Arial"/>
          <w:sz w:val="20"/>
          <w:szCs w:val="20"/>
          <w:rtl/>
        </w:rPr>
        <w:t xml:space="preserve"> </w:t>
      </w:r>
      <w:r w:rsidRPr="00C01A7D">
        <w:rPr>
          <w:rFonts w:cs="Arial" w:hint="cs"/>
          <w:sz w:val="20"/>
          <w:szCs w:val="20"/>
          <w:rtl/>
        </w:rPr>
        <w:t>לו</w:t>
      </w:r>
      <w:r w:rsidRPr="00C01A7D">
        <w:rPr>
          <w:rFonts w:cs="Arial"/>
          <w:sz w:val="20"/>
          <w:szCs w:val="20"/>
          <w:rtl/>
        </w:rPr>
        <w:t xml:space="preserve">: </w:t>
      </w:r>
      <w:r w:rsidRPr="00C01A7D">
        <w:rPr>
          <w:rFonts w:cs="Arial" w:hint="cs"/>
          <w:sz w:val="20"/>
          <w:szCs w:val="20"/>
          <w:rtl/>
        </w:rPr>
        <w:t>רבי</w:t>
      </w:r>
      <w:r w:rsidRPr="00C01A7D">
        <w:rPr>
          <w:rFonts w:cs="Arial"/>
          <w:sz w:val="20"/>
          <w:szCs w:val="20"/>
          <w:rtl/>
        </w:rPr>
        <w:t xml:space="preserve">, </w:t>
      </w:r>
      <w:r w:rsidRPr="00C01A7D">
        <w:rPr>
          <w:rFonts w:cs="Arial" w:hint="cs"/>
          <w:sz w:val="20"/>
          <w:szCs w:val="20"/>
          <w:rtl/>
        </w:rPr>
        <w:t>המפלת</w:t>
      </w:r>
      <w:r w:rsidRPr="00C01A7D">
        <w:rPr>
          <w:rFonts w:cs="Arial"/>
          <w:sz w:val="20"/>
          <w:szCs w:val="20"/>
          <w:rtl/>
        </w:rPr>
        <w:t xml:space="preserve"> </w:t>
      </w:r>
      <w:r w:rsidRPr="00C01A7D">
        <w:rPr>
          <w:rFonts w:cs="Arial" w:hint="cs"/>
          <w:sz w:val="20"/>
          <w:szCs w:val="20"/>
          <w:rtl/>
        </w:rPr>
        <w:t>כמין</w:t>
      </w:r>
      <w:r w:rsidRPr="00C01A7D">
        <w:rPr>
          <w:rFonts w:cs="Arial"/>
          <w:sz w:val="20"/>
          <w:szCs w:val="20"/>
          <w:rtl/>
        </w:rPr>
        <w:t xml:space="preserve"> </w:t>
      </w:r>
      <w:r w:rsidRPr="00C01A7D">
        <w:rPr>
          <w:rFonts w:cs="Arial" w:hint="cs"/>
          <w:sz w:val="20"/>
          <w:szCs w:val="20"/>
          <w:rtl/>
        </w:rPr>
        <w:t>נחש</w:t>
      </w:r>
      <w:r w:rsidRPr="00C01A7D">
        <w:rPr>
          <w:rFonts w:cs="Arial"/>
          <w:sz w:val="20"/>
          <w:szCs w:val="20"/>
          <w:rtl/>
        </w:rPr>
        <w:t xml:space="preserve"> </w:t>
      </w:r>
      <w:r w:rsidRPr="00C01A7D">
        <w:rPr>
          <w:rFonts w:cs="Arial" w:hint="cs"/>
          <w:sz w:val="20"/>
          <w:szCs w:val="20"/>
          <w:rtl/>
        </w:rPr>
        <w:t>מהו</w:t>
      </w:r>
      <w:r w:rsidRPr="00C01A7D">
        <w:rPr>
          <w:rFonts w:cs="Arial"/>
          <w:sz w:val="20"/>
          <w:szCs w:val="20"/>
          <w:rtl/>
        </w:rPr>
        <w:t xml:space="preserve">? </w:t>
      </w:r>
      <w:r w:rsidRPr="00C01A7D">
        <w:rPr>
          <w:rFonts w:cs="Arial" w:hint="cs"/>
          <w:sz w:val="20"/>
          <w:szCs w:val="20"/>
          <w:rtl/>
        </w:rPr>
        <w:t>אמר</w:t>
      </w:r>
      <w:r w:rsidRPr="00C01A7D">
        <w:rPr>
          <w:rFonts w:cs="Arial"/>
          <w:sz w:val="20"/>
          <w:szCs w:val="20"/>
          <w:rtl/>
        </w:rPr>
        <w:t xml:space="preserve"> </w:t>
      </w:r>
      <w:r w:rsidRPr="00C01A7D">
        <w:rPr>
          <w:rFonts w:cs="Arial" w:hint="cs"/>
          <w:sz w:val="20"/>
          <w:szCs w:val="20"/>
          <w:rtl/>
        </w:rPr>
        <w:t>לה</w:t>
      </w:r>
      <w:r w:rsidRPr="00C01A7D">
        <w:rPr>
          <w:rFonts w:cs="Arial"/>
          <w:sz w:val="20"/>
          <w:szCs w:val="20"/>
          <w:rtl/>
        </w:rPr>
        <w:t xml:space="preserve">: </w:t>
      </w:r>
      <w:r w:rsidRPr="00C01A7D">
        <w:rPr>
          <w:rFonts w:cs="Arial" w:hint="cs"/>
          <w:sz w:val="20"/>
          <w:szCs w:val="20"/>
          <w:rtl/>
        </w:rPr>
        <w:t>אמו</w:t>
      </w:r>
      <w:r w:rsidRPr="00C01A7D">
        <w:rPr>
          <w:rFonts w:cs="Arial"/>
          <w:sz w:val="20"/>
          <w:szCs w:val="20"/>
          <w:rtl/>
        </w:rPr>
        <w:t xml:space="preserve"> </w:t>
      </w:r>
      <w:r w:rsidRPr="00C01A7D">
        <w:rPr>
          <w:rFonts w:cs="Arial" w:hint="cs"/>
          <w:sz w:val="20"/>
          <w:szCs w:val="20"/>
          <w:rtl/>
        </w:rPr>
        <w:t>טהורה</w:t>
      </w:r>
      <w:r w:rsidRPr="00C01A7D">
        <w:rPr>
          <w:rFonts w:cs="Arial"/>
          <w:sz w:val="20"/>
          <w:szCs w:val="20"/>
          <w:rtl/>
        </w:rPr>
        <w:t xml:space="preserve">. </w:t>
      </w:r>
      <w:r w:rsidRPr="00C01A7D">
        <w:rPr>
          <w:rFonts w:cs="Arial" w:hint="cs"/>
          <w:sz w:val="20"/>
          <w:szCs w:val="20"/>
          <w:rtl/>
        </w:rPr>
        <w:t>אמרה</w:t>
      </w:r>
      <w:r w:rsidRPr="00C01A7D">
        <w:rPr>
          <w:rFonts w:cs="Arial"/>
          <w:sz w:val="20"/>
          <w:szCs w:val="20"/>
          <w:rtl/>
        </w:rPr>
        <w:t xml:space="preserve"> </w:t>
      </w:r>
      <w:r w:rsidRPr="00C01A7D">
        <w:rPr>
          <w:rFonts w:cs="Arial" w:hint="cs"/>
          <w:sz w:val="20"/>
          <w:szCs w:val="20"/>
          <w:rtl/>
        </w:rPr>
        <w:t>לו</w:t>
      </w:r>
      <w:r w:rsidRPr="00C01A7D">
        <w:rPr>
          <w:rFonts w:cs="Arial"/>
          <w:sz w:val="20"/>
          <w:szCs w:val="20"/>
          <w:rtl/>
        </w:rPr>
        <w:t xml:space="preserve">: </w:t>
      </w:r>
      <w:r w:rsidRPr="00C01A7D">
        <w:rPr>
          <w:rFonts w:cs="Arial" w:hint="cs"/>
          <w:sz w:val="20"/>
          <w:szCs w:val="20"/>
          <w:rtl/>
        </w:rPr>
        <w:t>והלא</w:t>
      </w:r>
      <w:r w:rsidRPr="00C01A7D">
        <w:rPr>
          <w:rFonts w:cs="Arial"/>
          <w:sz w:val="20"/>
          <w:szCs w:val="20"/>
          <w:rtl/>
        </w:rPr>
        <w:t xml:space="preserve"> </w:t>
      </w:r>
      <w:r w:rsidRPr="00C01A7D">
        <w:rPr>
          <w:rFonts w:cs="Arial" w:hint="cs"/>
          <w:sz w:val="20"/>
          <w:szCs w:val="20"/>
          <w:rtl/>
        </w:rPr>
        <w:t>משמך</w:t>
      </w:r>
      <w:r w:rsidRPr="00C01A7D">
        <w:rPr>
          <w:rFonts w:cs="Arial"/>
          <w:sz w:val="20"/>
          <w:szCs w:val="20"/>
          <w:rtl/>
        </w:rPr>
        <w:t xml:space="preserve"> </w:t>
      </w:r>
      <w:r w:rsidRPr="00C01A7D">
        <w:rPr>
          <w:rFonts w:cs="Arial" w:hint="cs"/>
          <w:sz w:val="20"/>
          <w:szCs w:val="20"/>
          <w:rtl/>
        </w:rPr>
        <w:t>אמרה</w:t>
      </w:r>
      <w:r w:rsidRPr="00C01A7D">
        <w:rPr>
          <w:rFonts w:cs="Arial"/>
          <w:sz w:val="20"/>
          <w:szCs w:val="20"/>
          <w:rtl/>
        </w:rPr>
        <w:t xml:space="preserve"> </w:t>
      </w:r>
      <w:r w:rsidRPr="00C01A7D">
        <w:rPr>
          <w:rFonts w:cs="Arial" w:hint="cs"/>
          <w:sz w:val="20"/>
          <w:szCs w:val="20"/>
          <w:rtl/>
        </w:rPr>
        <w:t>לי</w:t>
      </w:r>
      <w:r w:rsidRPr="00C01A7D">
        <w:rPr>
          <w:rFonts w:cs="Arial"/>
          <w:sz w:val="20"/>
          <w:szCs w:val="20"/>
          <w:rtl/>
        </w:rPr>
        <w:t xml:space="preserve"> </w:t>
      </w:r>
      <w:r w:rsidRPr="00C01A7D">
        <w:rPr>
          <w:rFonts w:cs="Arial" w:hint="cs"/>
          <w:sz w:val="20"/>
          <w:szCs w:val="20"/>
          <w:rtl/>
        </w:rPr>
        <w:t>חמותי</w:t>
      </w:r>
      <w:r w:rsidRPr="00C01A7D">
        <w:rPr>
          <w:rFonts w:cs="Arial"/>
          <w:sz w:val="20"/>
          <w:szCs w:val="20"/>
          <w:rtl/>
        </w:rPr>
        <w:t xml:space="preserve"> </w:t>
      </w:r>
      <w:r w:rsidRPr="00C01A7D">
        <w:rPr>
          <w:rFonts w:cs="Arial" w:hint="cs"/>
          <w:sz w:val="20"/>
          <w:szCs w:val="20"/>
          <w:rtl/>
        </w:rPr>
        <w:t>אמו</w:t>
      </w:r>
      <w:r w:rsidRPr="00C01A7D">
        <w:rPr>
          <w:rFonts w:cs="Arial"/>
          <w:sz w:val="20"/>
          <w:szCs w:val="20"/>
          <w:rtl/>
        </w:rPr>
        <w:t xml:space="preserve"> </w:t>
      </w:r>
      <w:r w:rsidRPr="00C01A7D">
        <w:rPr>
          <w:rFonts w:cs="Arial" w:hint="cs"/>
          <w:sz w:val="20"/>
          <w:szCs w:val="20"/>
          <w:rtl/>
        </w:rPr>
        <w:t>טמאה</w:t>
      </w:r>
      <w:r w:rsidRPr="00C01A7D">
        <w:rPr>
          <w:rFonts w:cs="Arial"/>
          <w:sz w:val="20"/>
          <w:szCs w:val="20"/>
          <w:rtl/>
        </w:rPr>
        <w:t xml:space="preserve">? </w:t>
      </w:r>
      <w:r w:rsidRPr="00C01A7D">
        <w:rPr>
          <w:rFonts w:cs="Arial" w:hint="cs"/>
          <w:sz w:val="20"/>
          <w:szCs w:val="20"/>
          <w:rtl/>
        </w:rPr>
        <w:t>ואמר</w:t>
      </w:r>
      <w:r w:rsidRPr="00C01A7D">
        <w:rPr>
          <w:rFonts w:cs="Arial"/>
          <w:sz w:val="20"/>
          <w:szCs w:val="20"/>
          <w:rtl/>
        </w:rPr>
        <w:t xml:space="preserve"> </w:t>
      </w:r>
      <w:r w:rsidRPr="00C01A7D">
        <w:rPr>
          <w:rFonts w:cs="Arial" w:hint="cs"/>
          <w:sz w:val="20"/>
          <w:szCs w:val="20"/>
          <w:rtl/>
        </w:rPr>
        <w:t>לה</w:t>
      </w:r>
      <w:r w:rsidRPr="00C01A7D">
        <w:rPr>
          <w:rFonts w:cs="Arial"/>
          <w:sz w:val="20"/>
          <w:szCs w:val="20"/>
          <w:rtl/>
        </w:rPr>
        <w:t xml:space="preserve"> </w:t>
      </w:r>
      <w:r w:rsidRPr="00C01A7D">
        <w:rPr>
          <w:rFonts w:cs="Arial" w:hint="cs"/>
          <w:sz w:val="20"/>
          <w:szCs w:val="20"/>
          <w:rtl/>
        </w:rPr>
        <w:t>מאיזה</w:t>
      </w:r>
      <w:r w:rsidRPr="00C01A7D">
        <w:rPr>
          <w:rFonts w:cs="Arial"/>
          <w:sz w:val="20"/>
          <w:szCs w:val="20"/>
          <w:rtl/>
        </w:rPr>
        <w:t xml:space="preserve"> </w:t>
      </w:r>
      <w:r w:rsidRPr="00C01A7D">
        <w:rPr>
          <w:rFonts w:cs="Arial" w:hint="cs"/>
          <w:sz w:val="20"/>
          <w:szCs w:val="20"/>
          <w:rtl/>
        </w:rPr>
        <w:t>טעם</w:t>
      </w:r>
      <w:r w:rsidRPr="00C01A7D">
        <w:rPr>
          <w:rFonts w:cs="Arial"/>
          <w:sz w:val="20"/>
          <w:szCs w:val="20"/>
          <w:rtl/>
        </w:rPr>
        <w:t xml:space="preserve"> - </w:t>
      </w:r>
      <w:r w:rsidRPr="00C01A7D">
        <w:rPr>
          <w:rFonts w:cs="Arial" w:hint="cs"/>
          <w:sz w:val="20"/>
          <w:szCs w:val="20"/>
          <w:rtl/>
        </w:rPr>
        <w:t>הואיל</w:t>
      </w:r>
      <w:r w:rsidRPr="00C01A7D">
        <w:rPr>
          <w:rFonts w:cs="Arial"/>
          <w:sz w:val="20"/>
          <w:szCs w:val="20"/>
          <w:rtl/>
        </w:rPr>
        <w:t xml:space="preserve"> </w:t>
      </w:r>
      <w:r w:rsidRPr="00C01A7D">
        <w:rPr>
          <w:rFonts w:cs="Arial" w:hint="cs"/>
          <w:sz w:val="20"/>
          <w:szCs w:val="20"/>
          <w:rtl/>
        </w:rPr>
        <w:t>וגלגל</w:t>
      </w:r>
      <w:r w:rsidRPr="00C01A7D">
        <w:rPr>
          <w:rFonts w:cs="Arial"/>
          <w:sz w:val="20"/>
          <w:szCs w:val="20"/>
          <w:rtl/>
        </w:rPr>
        <w:t xml:space="preserve"> </w:t>
      </w:r>
      <w:r w:rsidRPr="00C01A7D">
        <w:rPr>
          <w:rFonts w:cs="Arial" w:hint="cs"/>
          <w:sz w:val="20"/>
          <w:szCs w:val="20"/>
          <w:rtl/>
        </w:rPr>
        <w:t>עינו</w:t>
      </w:r>
      <w:r w:rsidRPr="00C01A7D">
        <w:rPr>
          <w:rFonts w:cs="Arial"/>
          <w:sz w:val="20"/>
          <w:szCs w:val="20"/>
          <w:rtl/>
        </w:rPr>
        <w:t xml:space="preserve"> </w:t>
      </w:r>
      <w:r w:rsidRPr="00C01A7D">
        <w:rPr>
          <w:rFonts w:cs="Arial" w:hint="cs"/>
          <w:sz w:val="20"/>
          <w:szCs w:val="20"/>
          <w:rtl/>
        </w:rPr>
        <w:t>עגול</w:t>
      </w:r>
      <w:r w:rsidRPr="00C01A7D">
        <w:rPr>
          <w:rFonts w:cs="Arial"/>
          <w:sz w:val="20"/>
          <w:szCs w:val="20"/>
          <w:rtl/>
        </w:rPr>
        <w:t xml:space="preserve"> </w:t>
      </w:r>
      <w:r w:rsidRPr="00C01A7D">
        <w:rPr>
          <w:rFonts w:cs="Arial" w:hint="cs"/>
          <w:sz w:val="20"/>
          <w:szCs w:val="20"/>
          <w:rtl/>
        </w:rPr>
        <w:t>כשל</w:t>
      </w:r>
      <w:r w:rsidRPr="00C01A7D">
        <w:rPr>
          <w:rFonts w:cs="Arial"/>
          <w:sz w:val="20"/>
          <w:szCs w:val="20"/>
          <w:rtl/>
        </w:rPr>
        <w:t xml:space="preserve"> </w:t>
      </w:r>
      <w:r w:rsidRPr="00C01A7D">
        <w:rPr>
          <w:rFonts w:cs="Arial" w:hint="cs"/>
          <w:sz w:val="20"/>
          <w:szCs w:val="20"/>
          <w:rtl/>
        </w:rPr>
        <w:t>אדם</w:t>
      </w:r>
      <w:r w:rsidRPr="00C01A7D">
        <w:rPr>
          <w:rFonts w:cs="Arial"/>
          <w:sz w:val="20"/>
          <w:szCs w:val="20"/>
          <w:rtl/>
        </w:rPr>
        <w:t xml:space="preserve">! </w:t>
      </w:r>
      <w:r w:rsidRPr="00C01A7D">
        <w:rPr>
          <w:rFonts w:cs="Arial" w:hint="cs"/>
          <w:sz w:val="20"/>
          <w:szCs w:val="20"/>
          <w:rtl/>
        </w:rPr>
        <w:t>מתוך</w:t>
      </w:r>
      <w:r w:rsidRPr="00C01A7D">
        <w:rPr>
          <w:rFonts w:cs="Arial"/>
          <w:sz w:val="20"/>
          <w:szCs w:val="20"/>
          <w:rtl/>
        </w:rPr>
        <w:t xml:space="preserve"> </w:t>
      </w:r>
      <w:r w:rsidRPr="00C01A7D">
        <w:rPr>
          <w:rFonts w:cs="Arial" w:hint="cs"/>
          <w:sz w:val="20"/>
          <w:szCs w:val="20"/>
          <w:rtl/>
        </w:rPr>
        <w:t>דבריה</w:t>
      </w:r>
      <w:r w:rsidRPr="00C01A7D">
        <w:rPr>
          <w:rFonts w:cs="Arial"/>
          <w:sz w:val="20"/>
          <w:szCs w:val="20"/>
          <w:rtl/>
        </w:rPr>
        <w:t xml:space="preserve"> </w:t>
      </w:r>
      <w:r w:rsidRPr="00C01A7D">
        <w:rPr>
          <w:rFonts w:cs="Arial" w:hint="cs"/>
          <w:sz w:val="20"/>
          <w:szCs w:val="20"/>
          <w:rtl/>
        </w:rPr>
        <w:t>נזכר</w:t>
      </w:r>
      <w:r w:rsidRPr="00C01A7D">
        <w:rPr>
          <w:rFonts w:cs="Arial"/>
          <w:sz w:val="20"/>
          <w:szCs w:val="20"/>
          <w:rtl/>
        </w:rPr>
        <w:t xml:space="preserve"> </w:t>
      </w:r>
      <w:r w:rsidRPr="00C01A7D">
        <w:rPr>
          <w:rFonts w:cs="Arial" w:hint="cs"/>
          <w:sz w:val="20"/>
          <w:szCs w:val="20"/>
          <w:rtl/>
        </w:rPr>
        <w:t>רבי</w:t>
      </w:r>
      <w:r w:rsidRPr="00C01A7D">
        <w:rPr>
          <w:rFonts w:cs="Arial"/>
          <w:sz w:val="20"/>
          <w:szCs w:val="20"/>
          <w:rtl/>
        </w:rPr>
        <w:t xml:space="preserve"> </w:t>
      </w:r>
      <w:r w:rsidRPr="00C01A7D">
        <w:rPr>
          <w:rFonts w:cs="Arial" w:hint="cs"/>
          <w:sz w:val="20"/>
          <w:szCs w:val="20"/>
          <w:rtl/>
        </w:rPr>
        <w:t>יהושע</w:t>
      </w:r>
      <w:r w:rsidRPr="00C01A7D">
        <w:rPr>
          <w:rFonts w:cs="Arial"/>
          <w:sz w:val="20"/>
          <w:szCs w:val="20"/>
          <w:rtl/>
        </w:rPr>
        <w:t xml:space="preserve">, </w:t>
      </w:r>
      <w:r w:rsidRPr="00C01A7D">
        <w:rPr>
          <w:rFonts w:cs="Arial" w:hint="cs"/>
          <w:sz w:val="20"/>
          <w:szCs w:val="20"/>
          <w:rtl/>
        </w:rPr>
        <w:t>שלח</w:t>
      </w:r>
      <w:r w:rsidRPr="00C01A7D">
        <w:rPr>
          <w:rFonts w:cs="Arial"/>
          <w:sz w:val="20"/>
          <w:szCs w:val="20"/>
          <w:rtl/>
        </w:rPr>
        <w:t xml:space="preserve"> </w:t>
      </w:r>
      <w:r w:rsidRPr="00C01A7D">
        <w:rPr>
          <w:rFonts w:cs="Arial" w:hint="cs"/>
          <w:sz w:val="20"/>
          <w:szCs w:val="20"/>
          <w:rtl/>
        </w:rPr>
        <w:t>לו</w:t>
      </w:r>
      <w:r w:rsidRPr="00C01A7D">
        <w:rPr>
          <w:rFonts w:cs="Arial"/>
          <w:sz w:val="20"/>
          <w:szCs w:val="20"/>
          <w:rtl/>
        </w:rPr>
        <w:t xml:space="preserve"> </w:t>
      </w:r>
      <w:r w:rsidRPr="00C01A7D">
        <w:rPr>
          <w:rFonts w:cs="Arial" w:hint="cs"/>
          <w:sz w:val="20"/>
          <w:szCs w:val="20"/>
          <w:rtl/>
        </w:rPr>
        <w:t>לרבן</w:t>
      </w:r>
      <w:r w:rsidRPr="00C01A7D">
        <w:rPr>
          <w:rFonts w:cs="Arial"/>
          <w:sz w:val="20"/>
          <w:szCs w:val="20"/>
          <w:rtl/>
        </w:rPr>
        <w:t xml:space="preserve"> </w:t>
      </w:r>
      <w:r w:rsidRPr="00C01A7D">
        <w:rPr>
          <w:rFonts w:cs="Arial" w:hint="cs"/>
          <w:sz w:val="20"/>
          <w:szCs w:val="20"/>
          <w:rtl/>
        </w:rPr>
        <w:t>גמליאל</w:t>
      </w:r>
      <w:r w:rsidRPr="00C01A7D">
        <w:rPr>
          <w:rFonts w:cs="Arial"/>
          <w:sz w:val="20"/>
          <w:szCs w:val="20"/>
          <w:rtl/>
        </w:rPr>
        <w:t xml:space="preserve">: </w:t>
      </w:r>
      <w:r w:rsidRPr="00C01A7D">
        <w:rPr>
          <w:rFonts w:cs="Arial" w:hint="cs"/>
          <w:sz w:val="20"/>
          <w:szCs w:val="20"/>
          <w:rtl/>
        </w:rPr>
        <w:t>מפי</w:t>
      </w:r>
      <w:r w:rsidRPr="00C01A7D">
        <w:rPr>
          <w:rFonts w:cs="Arial"/>
          <w:sz w:val="20"/>
          <w:szCs w:val="20"/>
          <w:rtl/>
        </w:rPr>
        <w:t xml:space="preserve"> </w:t>
      </w:r>
      <w:r w:rsidRPr="00C01A7D">
        <w:rPr>
          <w:rFonts w:cs="Arial" w:hint="cs"/>
          <w:sz w:val="20"/>
          <w:szCs w:val="20"/>
          <w:rtl/>
        </w:rPr>
        <w:t>הורה</w:t>
      </w:r>
      <w:r w:rsidRPr="00C01A7D">
        <w:rPr>
          <w:rFonts w:cs="Arial"/>
          <w:sz w:val="20"/>
          <w:szCs w:val="20"/>
          <w:rtl/>
        </w:rPr>
        <w:t xml:space="preserve"> </w:t>
      </w:r>
      <w:r w:rsidRPr="00C01A7D">
        <w:rPr>
          <w:rFonts w:cs="Arial" w:hint="cs"/>
          <w:sz w:val="20"/>
          <w:szCs w:val="20"/>
          <w:rtl/>
        </w:rPr>
        <w:t>חנינא</w:t>
      </w:r>
      <w:r>
        <w:rPr>
          <w:rFonts w:cs="Arial" w:hint="cs"/>
          <w:sz w:val="20"/>
          <w:szCs w:val="20"/>
          <w:rtl/>
        </w:rPr>
        <w:t>".</w:t>
      </w:r>
    </w:p>
    <w:p w:rsidR="00620060" w:rsidRDefault="00620060" w:rsidP="00620060">
      <w:pPr>
        <w:rPr>
          <w:sz w:val="20"/>
          <w:szCs w:val="20"/>
          <w:rtl/>
        </w:rPr>
      </w:pPr>
      <w:r>
        <w:rPr>
          <w:rFonts w:cs="Arial" w:hint="cs"/>
          <w:sz w:val="20"/>
          <w:szCs w:val="20"/>
          <w:u w:val="single"/>
          <w:rtl/>
        </w:rPr>
        <w:t>הסבר</w:t>
      </w:r>
      <w:r>
        <w:rPr>
          <w:rFonts w:cs="Arial"/>
          <w:sz w:val="20"/>
          <w:szCs w:val="20"/>
          <w:u w:val="single"/>
          <w:rtl/>
        </w:rPr>
        <w:br/>
      </w:r>
      <w:r w:rsidRPr="00904523">
        <w:rPr>
          <w:rFonts w:cs="Arial" w:hint="cs"/>
          <w:b/>
          <w:bCs/>
          <w:sz w:val="20"/>
          <w:szCs w:val="20"/>
          <w:rtl/>
        </w:rPr>
        <w:t>דין</w:t>
      </w:r>
      <w:r>
        <w:rPr>
          <w:rFonts w:cs="Arial" w:hint="cs"/>
          <w:sz w:val="20"/>
          <w:szCs w:val="20"/>
          <w:rtl/>
        </w:rPr>
        <w:t xml:space="preserve"> - המפלת דמות נחש טמאה לידה.</w:t>
      </w:r>
      <w:r>
        <w:rPr>
          <w:rFonts w:hint="cs"/>
          <w:sz w:val="20"/>
          <w:szCs w:val="20"/>
          <w:rtl/>
        </w:rPr>
        <w:br/>
      </w:r>
      <w:r w:rsidRPr="00904523">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גלגל עינו דומה לגלגל עינו של אדם.</w:t>
      </w:r>
    </w:p>
    <w:p w:rsidR="00620060" w:rsidRDefault="00620060" w:rsidP="00620060">
      <w:pPr>
        <w:rPr>
          <w:sz w:val="20"/>
          <w:szCs w:val="20"/>
          <w:rtl/>
        </w:rPr>
      </w:pPr>
      <w:r>
        <w:rPr>
          <w:rFonts w:hint="cs"/>
          <w:sz w:val="20"/>
          <w:szCs w:val="20"/>
          <w:u w:val="single"/>
          <w:rtl/>
        </w:rPr>
        <w:lastRenderedPageBreak/>
        <w:t>שיטות הראשונים</w:t>
      </w:r>
      <w:r>
        <w:rPr>
          <w:sz w:val="20"/>
          <w:szCs w:val="20"/>
          <w:u w:val="single"/>
          <w:rtl/>
        </w:rPr>
        <w:br/>
      </w:r>
      <w:r>
        <w:rPr>
          <w:rFonts w:hint="cs"/>
          <w:sz w:val="20"/>
          <w:szCs w:val="20"/>
          <w:rtl/>
        </w:rPr>
        <w:t xml:space="preserve">א. </w:t>
      </w:r>
      <w:r w:rsidRPr="00904523">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הלכה כסוגיה זאת, המפלת דמות נחש טמאה לידה.</w:t>
      </w:r>
      <w:r>
        <w:rPr>
          <w:rFonts w:hint="cs"/>
          <w:sz w:val="20"/>
          <w:szCs w:val="20"/>
          <w:rtl/>
        </w:rPr>
        <w:br/>
        <w:t xml:space="preserve">ב. </w:t>
      </w:r>
      <w:r w:rsidRPr="003D1496">
        <w:rPr>
          <w:rFonts w:hint="cs"/>
          <w:b/>
          <w:bCs/>
          <w:sz w:val="20"/>
          <w:szCs w:val="20"/>
          <w:rtl/>
        </w:rPr>
        <w:t>ראב"ד</w:t>
      </w:r>
      <w:r>
        <w:rPr>
          <w:rFonts w:hint="cs"/>
          <w:sz w:val="20"/>
          <w:szCs w:val="20"/>
          <w:rtl/>
        </w:rPr>
        <w:t xml:space="preserve"> </w:t>
      </w:r>
      <w:r>
        <w:rPr>
          <w:sz w:val="20"/>
          <w:szCs w:val="20"/>
          <w:rtl/>
        </w:rPr>
        <w:t>–</w:t>
      </w:r>
      <w:r>
        <w:rPr>
          <w:rFonts w:hint="cs"/>
          <w:sz w:val="20"/>
          <w:szCs w:val="20"/>
          <w:rtl/>
        </w:rPr>
        <w:t xml:space="preserve"> המפלת דמות נחש אינה טמאה לידה, ודברי הרמב"ם קשים.</w:t>
      </w:r>
      <w:r>
        <w:rPr>
          <w:sz w:val="20"/>
          <w:szCs w:val="20"/>
          <w:rtl/>
        </w:rPr>
        <w:br/>
      </w:r>
      <w:r w:rsidRPr="003D1496">
        <w:rPr>
          <w:rFonts w:hint="cs"/>
          <w:b/>
          <w:bCs/>
          <w:sz w:val="20"/>
          <w:szCs w:val="20"/>
          <w:rtl/>
        </w:rPr>
        <w:t>טעם</w:t>
      </w:r>
      <w:r>
        <w:rPr>
          <w:rFonts w:hint="cs"/>
          <w:sz w:val="20"/>
          <w:szCs w:val="20"/>
          <w:rtl/>
        </w:rPr>
        <w:t xml:space="preserve"> - קיי"ל כסוגיה השנויה על מחלוקת חכמים ורבי מאיר, שהמפלת טמאה לידה רק כשרוב פניו דומים לאדם ולא מועיל מה שגלגל עינו דומה לשל אדם, ולכן דברי הרמב"ם צ"ע וכ"כ </w:t>
      </w:r>
      <w:r w:rsidRPr="003D1496">
        <w:rPr>
          <w:rFonts w:hint="cs"/>
          <w:b/>
          <w:bCs/>
          <w:sz w:val="20"/>
          <w:szCs w:val="20"/>
          <w:rtl/>
        </w:rPr>
        <w:t>המגיד משנה</w:t>
      </w:r>
      <w:r>
        <w:rPr>
          <w:rFonts w:hint="cs"/>
          <w:sz w:val="20"/>
          <w:szCs w:val="20"/>
          <w:rtl/>
        </w:rPr>
        <w:t>.</w:t>
      </w:r>
      <w:r>
        <w:rPr>
          <w:rFonts w:hint="cs"/>
          <w:sz w:val="20"/>
          <w:szCs w:val="20"/>
          <w:rtl/>
        </w:rPr>
        <w:br/>
      </w:r>
      <w:r>
        <w:rPr>
          <w:sz w:val="20"/>
          <w:szCs w:val="20"/>
          <w:rtl/>
        </w:rPr>
        <w:br/>
      </w:r>
      <w:r>
        <w:rPr>
          <w:rFonts w:hint="cs"/>
          <w:sz w:val="20"/>
          <w:szCs w:val="20"/>
          <w:u w:val="single"/>
          <w:rtl/>
        </w:rPr>
        <w:t>יישוב שיטת הרמב"ם</w:t>
      </w:r>
      <w:r>
        <w:rPr>
          <w:rFonts w:hint="cs"/>
          <w:sz w:val="20"/>
          <w:szCs w:val="20"/>
          <w:rtl/>
        </w:rPr>
        <w:br/>
      </w:r>
      <w:r w:rsidRPr="00DC1D5F">
        <w:rPr>
          <w:rFonts w:hint="cs"/>
          <w:b/>
          <w:bCs/>
          <w:sz w:val="20"/>
          <w:szCs w:val="20"/>
          <w:rtl/>
        </w:rPr>
        <w:t>בית יוסף</w:t>
      </w:r>
      <w:r>
        <w:rPr>
          <w:rFonts w:hint="cs"/>
          <w:sz w:val="20"/>
          <w:szCs w:val="20"/>
          <w:rtl/>
        </w:rPr>
        <w:t xml:space="preserve"> - כיוון שגלגל עינו של נחש דומה לשל אדם לכן חשיב וולד, משא"כ בשאר חיה ועוף שאין שום אבר בהם דומה לאיברי האדם, לכן בעי דווקא רוב צורת הפנים דומה לשל אדם.</w:t>
      </w:r>
      <w:r>
        <w:rPr>
          <w:sz w:val="20"/>
          <w:szCs w:val="20"/>
          <w:rtl/>
        </w:rPr>
        <w:br/>
      </w:r>
      <w:r>
        <w:rPr>
          <w:rFonts w:hint="cs"/>
          <w:sz w:val="20"/>
          <w:szCs w:val="20"/>
          <w:rtl/>
        </w:rPr>
        <w:t xml:space="preserve">ויש להוכיח זאת </w:t>
      </w:r>
      <w:r>
        <w:rPr>
          <w:sz w:val="20"/>
          <w:szCs w:val="20"/>
          <w:rtl/>
        </w:rPr>
        <w:t>–</w:t>
      </w:r>
      <w:r>
        <w:rPr>
          <w:rFonts w:hint="cs"/>
          <w:sz w:val="20"/>
          <w:szCs w:val="20"/>
          <w:rtl/>
        </w:rPr>
        <w:t xml:space="preserve"> במשנה אין שום תנא הסובר כרבי מאיר, ומשמע שגם רבי יהושע מכלל החולקים. </w:t>
      </w:r>
      <w:r>
        <w:rPr>
          <w:sz w:val="20"/>
          <w:szCs w:val="20"/>
          <w:rtl/>
        </w:rPr>
        <w:br/>
      </w:r>
      <w:r>
        <w:rPr>
          <w:rFonts w:hint="cs"/>
          <w:sz w:val="20"/>
          <w:szCs w:val="20"/>
          <w:rtl/>
        </w:rPr>
        <w:t>אעפ"כ רבי יהושע מטמא נפל הדומה לנחש, כמסופר בגמרא, אלא על כרחך יש לחלק כנ"ל בין גלגל עין של נחש הדומה טפי לשל אדם דבהכי לכו"ע טמאה.</w:t>
      </w:r>
    </w:p>
    <w:p w:rsidR="00620060" w:rsidRDefault="00620060" w:rsidP="00620060">
      <w:pPr>
        <w:rPr>
          <w:sz w:val="20"/>
          <w:szCs w:val="20"/>
          <w:rtl/>
        </w:rPr>
      </w:pPr>
      <w:r>
        <w:rPr>
          <w:rFonts w:hint="cs"/>
          <w:b/>
          <w:bCs/>
          <w:sz w:val="20"/>
          <w:szCs w:val="20"/>
          <w:rtl/>
        </w:rPr>
        <w:t>האם דינים אלו נוהגים כיום?</w:t>
      </w:r>
      <w:r>
        <w:rPr>
          <w:rFonts w:hint="cs"/>
          <w:b/>
          <w:bCs/>
          <w:sz w:val="20"/>
          <w:szCs w:val="20"/>
          <w:rtl/>
        </w:rPr>
        <w:br/>
      </w:r>
      <w:r w:rsidRPr="000F4A3B">
        <w:rPr>
          <w:rFonts w:hint="cs"/>
          <w:sz w:val="20"/>
          <w:szCs w:val="20"/>
          <w:u w:val="single"/>
          <w:rtl/>
        </w:rPr>
        <w:t>שיטות הראשונים</w:t>
      </w:r>
      <w:r>
        <w:rPr>
          <w:rFonts w:hint="cs"/>
          <w:sz w:val="20"/>
          <w:szCs w:val="20"/>
          <w:rtl/>
        </w:rPr>
        <w:br/>
        <w:t xml:space="preserve">א. </w:t>
      </w:r>
      <w:r w:rsidRPr="000F4A3B">
        <w:rPr>
          <w:rFonts w:hint="cs"/>
          <w:b/>
          <w:bCs/>
          <w:sz w:val="20"/>
          <w:szCs w:val="20"/>
          <w:rtl/>
        </w:rPr>
        <w:t>ראב"ד</w:t>
      </w:r>
      <w:r>
        <w:rPr>
          <w:rFonts w:hint="cs"/>
          <w:sz w:val="20"/>
          <w:szCs w:val="20"/>
          <w:rtl/>
        </w:rPr>
        <w:t xml:space="preserve">, </w:t>
      </w:r>
      <w:r w:rsidRPr="000F4A3B">
        <w:rPr>
          <w:rFonts w:hint="cs"/>
          <w:b/>
          <w:bCs/>
          <w:sz w:val="20"/>
          <w:szCs w:val="20"/>
          <w:rtl/>
        </w:rPr>
        <w:t>רמב"ן ורשב"א</w:t>
      </w:r>
      <w:r>
        <w:rPr>
          <w:rFonts w:hint="cs"/>
          <w:sz w:val="20"/>
          <w:szCs w:val="20"/>
          <w:rtl/>
        </w:rPr>
        <w:t xml:space="preserve"> </w:t>
      </w:r>
      <w:r>
        <w:rPr>
          <w:sz w:val="20"/>
          <w:szCs w:val="20"/>
          <w:rtl/>
        </w:rPr>
        <w:t>–</w:t>
      </w:r>
      <w:r>
        <w:rPr>
          <w:rFonts w:hint="cs"/>
          <w:sz w:val="20"/>
          <w:szCs w:val="20"/>
          <w:rtl/>
        </w:rPr>
        <w:t xml:space="preserve"> דינים אלו אינם נוהגים כיום, כל המפילה נפל טמאה לידה, אם הפילה זכר טמאה שבוע ואם הפילה נקבה טמאה שבועיים.</w:t>
      </w:r>
      <w:r>
        <w:rPr>
          <w:rFonts w:hint="cs"/>
          <w:sz w:val="20"/>
          <w:szCs w:val="20"/>
          <w:rtl/>
        </w:rPr>
        <w:br/>
      </w:r>
      <w:r w:rsidRPr="000F4A3B">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איננו בקיאים בחילוקי הצורות המוזכרות בגמרא, ולכן יש לטמא מספק.</w:t>
      </w:r>
      <w:r>
        <w:rPr>
          <w:sz w:val="20"/>
          <w:szCs w:val="20"/>
          <w:rtl/>
        </w:rPr>
        <w:br/>
      </w:r>
      <w:r>
        <w:rPr>
          <w:rFonts w:hint="cs"/>
          <w:sz w:val="20"/>
          <w:szCs w:val="20"/>
          <w:rtl/>
        </w:rPr>
        <w:t xml:space="preserve">ב. </w:t>
      </w:r>
      <w:r w:rsidRPr="000F4A3B">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כל חילוקי דינים אלו נוהגים גם בזמנינו.</w:t>
      </w:r>
    </w:p>
    <w:p w:rsidR="00620060" w:rsidRDefault="00620060" w:rsidP="00620060">
      <w:pPr>
        <w:rPr>
          <w:sz w:val="20"/>
          <w:szCs w:val="20"/>
          <w:rtl/>
        </w:rPr>
      </w:pPr>
      <w:r>
        <w:rPr>
          <w:rFonts w:hint="cs"/>
          <w:sz w:val="20"/>
          <w:szCs w:val="20"/>
          <w:u w:val="single"/>
          <w:rtl/>
        </w:rPr>
        <w:t xml:space="preserve">דיון בשיטת הרמב"ם </w:t>
      </w:r>
      <w:r>
        <w:rPr>
          <w:sz w:val="20"/>
          <w:szCs w:val="20"/>
          <w:u w:val="single"/>
          <w:rtl/>
        </w:rPr>
        <w:br/>
      </w:r>
      <w:r>
        <w:rPr>
          <w:rFonts w:hint="cs"/>
          <w:sz w:val="20"/>
          <w:szCs w:val="20"/>
          <w:rtl/>
        </w:rPr>
        <w:t xml:space="preserve">א. </w:t>
      </w:r>
      <w:r w:rsidRPr="00656D6C">
        <w:rPr>
          <w:rFonts w:hint="cs"/>
          <w:b/>
          <w:bCs/>
          <w:sz w:val="20"/>
          <w:szCs w:val="20"/>
          <w:rtl/>
        </w:rPr>
        <w:t>ראב"ד</w:t>
      </w:r>
      <w:r>
        <w:rPr>
          <w:rFonts w:hint="cs"/>
          <w:sz w:val="20"/>
          <w:szCs w:val="20"/>
          <w:rtl/>
        </w:rPr>
        <w:t xml:space="preserve"> </w:t>
      </w:r>
      <w:r>
        <w:rPr>
          <w:sz w:val="20"/>
          <w:szCs w:val="20"/>
          <w:rtl/>
        </w:rPr>
        <w:t>–</w:t>
      </w:r>
      <w:r>
        <w:rPr>
          <w:rFonts w:hint="cs"/>
          <w:sz w:val="20"/>
          <w:szCs w:val="20"/>
          <w:rtl/>
        </w:rPr>
        <w:t xml:space="preserve"> "איני אומר כן, שהרי בצורת הפנים אמו טמאה, ומי יכיר בצורות ויטהר?"</w:t>
      </w:r>
      <w:r>
        <w:rPr>
          <w:sz w:val="20"/>
          <w:szCs w:val="20"/>
          <w:rtl/>
        </w:rPr>
        <w:br/>
      </w:r>
      <w:r>
        <w:rPr>
          <w:rFonts w:hint="cs"/>
          <w:sz w:val="20"/>
          <w:szCs w:val="20"/>
          <w:rtl/>
        </w:rPr>
        <w:t xml:space="preserve">ב. </w:t>
      </w:r>
      <w:r w:rsidRPr="00656D6C">
        <w:rPr>
          <w:rFonts w:hint="cs"/>
          <w:b/>
          <w:bCs/>
          <w:sz w:val="20"/>
          <w:szCs w:val="20"/>
          <w:rtl/>
        </w:rPr>
        <w:t>מגיד משנה</w:t>
      </w:r>
      <w:r>
        <w:rPr>
          <w:rFonts w:hint="cs"/>
          <w:sz w:val="20"/>
          <w:szCs w:val="20"/>
          <w:rtl/>
        </w:rPr>
        <w:t xml:space="preserve"> </w:t>
      </w:r>
      <w:r>
        <w:rPr>
          <w:sz w:val="20"/>
          <w:szCs w:val="20"/>
          <w:rtl/>
        </w:rPr>
        <w:t>–</w:t>
      </w:r>
      <w:r>
        <w:rPr>
          <w:rFonts w:hint="cs"/>
          <w:sz w:val="20"/>
          <w:szCs w:val="20"/>
          <w:rtl/>
        </w:rPr>
        <w:t xml:space="preserve"> לדברי הראב"ד אין סמך בגמרא, ולכן דברי הרמב"ם נכונים.</w:t>
      </w:r>
    </w:p>
    <w:p w:rsidR="00620060" w:rsidRDefault="00620060" w:rsidP="00620060">
      <w:pPr>
        <w:rPr>
          <w:sz w:val="20"/>
          <w:szCs w:val="20"/>
          <w:rtl/>
        </w:rPr>
      </w:pPr>
      <w:r>
        <w:rPr>
          <w:rFonts w:hint="cs"/>
          <w:sz w:val="20"/>
          <w:szCs w:val="20"/>
          <w:u w:val="single"/>
          <w:rtl/>
        </w:rPr>
        <w:t xml:space="preserve">הסבר הבית יוסף </w:t>
      </w:r>
      <w:r>
        <w:rPr>
          <w:sz w:val="20"/>
          <w:szCs w:val="20"/>
          <w:u w:val="single"/>
          <w:rtl/>
        </w:rPr>
        <w:br/>
      </w:r>
      <w:r>
        <w:rPr>
          <w:rFonts w:hint="cs"/>
          <w:sz w:val="20"/>
          <w:szCs w:val="20"/>
          <w:rtl/>
        </w:rPr>
        <w:t xml:space="preserve">דברי </w:t>
      </w:r>
      <w:r w:rsidRPr="00656D6C">
        <w:rPr>
          <w:rFonts w:hint="cs"/>
          <w:b/>
          <w:bCs/>
          <w:sz w:val="20"/>
          <w:szCs w:val="20"/>
          <w:rtl/>
        </w:rPr>
        <w:t>המגיד משנה</w:t>
      </w:r>
      <w:r>
        <w:rPr>
          <w:rFonts w:hint="cs"/>
          <w:sz w:val="20"/>
          <w:szCs w:val="20"/>
          <w:rtl/>
        </w:rPr>
        <w:t xml:space="preserve"> אינם מובנים, משום </w:t>
      </w:r>
      <w:r w:rsidRPr="00656D6C">
        <w:rPr>
          <w:rFonts w:hint="cs"/>
          <w:b/>
          <w:bCs/>
          <w:sz w:val="20"/>
          <w:szCs w:val="20"/>
          <w:rtl/>
        </w:rPr>
        <w:t>שהראב"ד</w:t>
      </w:r>
      <w:r>
        <w:rPr>
          <w:rFonts w:hint="cs"/>
          <w:sz w:val="20"/>
          <w:szCs w:val="20"/>
          <w:rtl/>
        </w:rPr>
        <w:t xml:space="preserve"> לא סמך עצמו על הגמרא, אלא ס"ל שאיננו בקיאים כיום בצורת הפנים ולכן בזמנינו יש לטמא בכל עניין.</w:t>
      </w:r>
      <w:r>
        <w:rPr>
          <w:sz w:val="20"/>
          <w:szCs w:val="20"/>
          <w:rtl/>
        </w:rPr>
        <w:br/>
      </w:r>
      <w:r>
        <w:rPr>
          <w:rFonts w:hint="cs"/>
          <w:sz w:val="20"/>
          <w:szCs w:val="20"/>
          <w:rtl/>
        </w:rPr>
        <w:t xml:space="preserve">ונראה שלמעשה אין מחלוקת בין </w:t>
      </w:r>
      <w:r w:rsidRPr="00656D6C">
        <w:rPr>
          <w:rFonts w:hint="cs"/>
          <w:b/>
          <w:bCs/>
          <w:sz w:val="20"/>
          <w:szCs w:val="20"/>
          <w:rtl/>
        </w:rPr>
        <w:t>הרמב"ם</w:t>
      </w:r>
      <w:r>
        <w:rPr>
          <w:rFonts w:hint="cs"/>
          <w:sz w:val="20"/>
          <w:szCs w:val="20"/>
          <w:rtl/>
        </w:rPr>
        <w:t xml:space="preserve"> לשאר הראשונים, אלא ההסבר כך - </w:t>
      </w:r>
      <w:r>
        <w:rPr>
          <w:sz w:val="20"/>
          <w:szCs w:val="20"/>
          <w:rtl/>
        </w:rPr>
        <w:br/>
      </w:r>
      <w:r w:rsidRPr="00656D6C">
        <w:rPr>
          <w:rFonts w:hint="cs"/>
          <w:b/>
          <w:bCs/>
          <w:sz w:val="20"/>
          <w:szCs w:val="20"/>
          <w:rtl/>
        </w:rPr>
        <w:t>הראב"ד</w:t>
      </w:r>
      <w:r>
        <w:rPr>
          <w:rFonts w:hint="cs"/>
          <w:sz w:val="20"/>
          <w:szCs w:val="20"/>
          <w:rtl/>
        </w:rPr>
        <w:t xml:space="preserve"> וסיעתו הכירו בעצמם שאינם יודעים להבחין בצורת הפנים, וידעו שאין בדורם מי שבקי לדעת זאת ולכן טימאו בכל עניין. לעומתם, </w:t>
      </w:r>
      <w:r w:rsidRPr="00656D6C">
        <w:rPr>
          <w:rFonts w:hint="cs"/>
          <w:b/>
          <w:bCs/>
          <w:sz w:val="20"/>
          <w:szCs w:val="20"/>
          <w:rtl/>
        </w:rPr>
        <w:t>הרמב"ם</w:t>
      </w:r>
      <w:r>
        <w:rPr>
          <w:rFonts w:hint="cs"/>
          <w:sz w:val="20"/>
          <w:szCs w:val="20"/>
          <w:rtl/>
        </w:rPr>
        <w:t xml:space="preserve"> הכיר בעצמו שהוא בקי או הכיר בדורו מי שבקי בחילוקים אלו ולכן פסק כדברי הגמרא. </w:t>
      </w:r>
      <w:r w:rsidRPr="00197FD3">
        <w:rPr>
          <w:rFonts w:hint="cs"/>
          <w:sz w:val="18"/>
          <w:szCs w:val="18"/>
          <w:rtl/>
        </w:rPr>
        <w:t>(כמו כן</w:t>
      </w:r>
      <w:r>
        <w:rPr>
          <w:rFonts w:hint="cs"/>
          <w:sz w:val="18"/>
          <w:szCs w:val="18"/>
          <w:rtl/>
        </w:rPr>
        <w:t>,</w:t>
      </w:r>
      <w:r w:rsidRPr="00197FD3">
        <w:rPr>
          <w:rFonts w:hint="cs"/>
          <w:sz w:val="18"/>
          <w:szCs w:val="18"/>
          <w:rtl/>
        </w:rPr>
        <w:t xml:space="preserve"> ייתכן שהרמב"ם רק העתיק את הדינים שנאמרו בגמרא, וידע שממילא לא יבוא אדם ויסמוך על עצמו לפסוק על פי זה, משום שאין מי שבקי בכך).</w:t>
      </w:r>
    </w:p>
    <w:p w:rsidR="00620060" w:rsidRPr="004D4C9D" w:rsidRDefault="00620060" w:rsidP="00620060">
      <w:pPr>
        <w:rPr>
          <w:sz w:val="18"/>
          <w:szCs w:val="18"/>
          <w:rtl/>
        </w:rPr>
      </w:pPr>
      <w:r>
        <w:rPr>
          <w:rStyle w:val="10"/>
          <w:rFonts w:hint="cs"/>
          <w:rtl/>
        </w:rPr>
        <w:t>ג</w:t>
      </w:r>
      <w:r w:rsidRPr="00E24DF6">
        <w:rPr>
          <w:rStyle w:val="10"/>
          <w:rFonts w:hint="cs"/>
          <w:rtl/>
        </w:rPr>
        <w:t>.</w:t>
      </w:r>
      <w:r w:rsidRPr="00E24DF6">
        <w:rPr>
          <w:rFonts w:hint="cs"/>
          <w:b/>
          <w:bCs/>
          <w:sz w:val="16"/>
          <w:szCs w:val="16"/>
          <w:rtl/>
        </w:rPr>
        <w:t xml:space="preserve"> </w:t>
      </w:r>
      <w:r>
        <w:rPr>
          <w:rFonts w:hint="cs"/>
          <w:b/>
          <w:bCs/>
          <w:sz w:val="20"/>
          <w:szCs w:val="20"/>
          <w:rtl/>
        </w:rPr>
        <w:t>הפילה נפלים שמדין הגמרא יושבת ימי טומאת נקבה</w:t>
      </w:r>
      <w:r>
        <w:rPr>
          <w:b/>
          <w:bCs/>
          <w:sz w:val="20"/>
          <w:szCs w:val="20"/>
          <w:rtl/>
        </w:rPr>
        <w:br/>
      </w:r>
      <w:r>
        <w:rPr>
          <w:rFonts w:hint="cs"/>
          <w:sz w:val="20"/>
          <w:szCs w:val="20"/>
          <w:rtl/>
        </w:rPr>
        <w:t xml:space="preserve">א. </w:t>
      </w:r>
      <w:r>
        <w:rPr>
          <w:rFonts w:hint="cs"/>
          <w:sz w:val="20"/>
          <w:szCs w:val="20"/>
          <w:u w:val="single"/>
          <w:rtl/>
        </w:rPr>
        <w:t>הפילה חתיכה לבנה</w:t>
      </w:r>
      <w:r>
        <w:rPr>
          <w:sz w:val="20"/>
          <w:szCs w:val="20"/>
          <w:u w:val="single"/>
          <w:rtl/>
        </w:rPr>
        <w:br/>
      </w:r>
      <w:r w:rsidRPr="0034684A">
        <w:rPr>
          <w:rFonts w:hint="cs"/>
          <w:b/>
          <w:bCs/>
          <w:sz w:val="20"/>
          <w:szCs w:val="20"/>
          <w:rtl/>
        </w:rPr>
        <w:t>גמרא</w:t>
      </w:r>
      <w:r>
        <w:rPr>
          <w:rFonts w:hint="cs"/>
          <w:sz w:val="20"/>
          <w:szCs w:val="20"/>
          <w:rtl/>
        </w:rPr>
        <w:t xml:space="preserve"> נידה (כא:) "</w:t>
      </w:r>
      <w:r w:rsidRPr="00DA3537">
        <w:rPr>
          <w:rFonts w:cs="Arial" w:hint="cs"/>
          <w:sz w:val="20"/>
          <w:szCs w:val="20"/>
          <w:rtl/>
        </w:rPr>
        <w:t>תניא</w:t>
      </w:r>
      <w:r>
        <w:rPr>
          <w:rFonts w:cs="Arial" w:hint="cs"/>
          <w:sz w:val="20"/>
          <w:szCs w:val="20"/>
          <w:rtl/>
        </w:rPr>
        <w:t>:</w:t>
      </w:r>
      <w:r w:rsidRPr="00DA3537">
        <w:rPr>
          <w:rFonts w:cs="Arial"/>
          <w:sz w:val="20"/>
          <w:szCs w:val="20"/>
          <w:rtl/>
        </w:rPr>
        <w:t xml:space="preserve"> </w:t>
      </w:r>
      <w:r w:rsidRPr="00DA3537">
        <w:rPr>
          <w:rFonts w:cs="Arial" w:hint="cs"/>
          <w:sz w:val="20"/>
          <w:szCs w:val="20"/>
          <w:rtl/>
        </w:rPr>
        <w:t>המפלת</w:t>
      </w:r>
      <w:r w:rsidRPr="00DA3537">
        <w:rPr>
          <w:rFonts w:cs="Arial"/>
          <w:sz w:val="20"/>
          <w:szCs w:val="20"/>
          <w:rtl/>
        </w:rPr>
        <w:t xml:space="preserve"> </w:t>
      </w:r>
      <w:r w:rsidRPr="00DA3537">
        <w:rPr>
          <w:rFonts w:cs="Arial" w:hint="cs"/>
          <w:sz w:val="20"/>
          <w:szCs w:val="20"/>
          <w:rtl/>
        </w:rPr>
        <w:t>חתיכה</w:t>
      </w:r>
      <w:r w:rsidRPr="00DA3537">
        <w:rPr>
          <w:rFonts w:cs="Arial"/>
          <w:sz w:val="20"/>
          <w:szCs w:val="20"/>
          <w:rtl/>
        </w:rPr>
        <w:t xml:space="preserve">, </w:t>
      </w:r>
      <w:r w:rsidRPr="00DA3537">
        <w:rPr>
          <w:rFonts w:cs="Arial" w:hint="cs"/>
          <w:sz w:val="20"/>
          <w:szCs w:val="20"/>
          <w:rtl/>
        </w:rPr>
        <w:t>רבי</w:t>
      </w:r>
      <w:r w:rsidRPr="00DA3537">
        <w:rPr>
          <w:rFonts w:cs="Arial"/>
          <w:sz w:val="20"/>
          <w:szCs w:val="20"/>
          <w:rtl/>
        </w:rPr>
        <w:t xml:space="preserve"> </w:t>
      </w:r>
      <w:r w:rsidRPr="00DA3537">
        <w:rPr>
          <w:rFonts w:cs="Arial" w:hint="cs"/>
          <w:sz w:val="20"/>
          <w:szCs w:val="20"/>
          <w:rtl/>
        </w:rPr>
        <w:t>בנימין</w:t>
      </w:r>
      <w:r w:rsidRPr="00DA3537">
        <w:rPr>
          <w:rFonts w:cs="Arial"/>
          <w:sz w:val="20"/>
          <w:szCs w:val="20"/>
          <w:rtl/>
        </w:rPr>
        <w:t xml:space="preserve"> </w:t>
      </w:r>
      <w:r w:rsidRPr="00DA3537">
        <w:rPr>
          <w:rFonts w:cs="Arial" w:hint="cs"/>
          <w:sz w:val="20"/>
          <w:szCs w:val="20"/>
          <w:rtl/>
        </w:rPr>
        <w:t>אומר</w:t>
      </w:r>
      <w:r w:rsidRPr="00DA3537">
        <w:rPr>
          <w:rFonts w:cs="Arial"/>
          <w:sz w:val="20"/>
          <w:szCs w:val="20"/>
          <w:rtl/>
        </w:rPr>
        <w:t xml:space="preserve">: </w:t>
      </w:r>
      <w:r w:rsidRPr="00DA3537">
        <w:rPr>
          <w:rFonts w:cs="Arial" w:hint="cs"/>
          <w:sz w:val="20"/>
          <w:szCs w:val="20"/>
          <w:rtl/>
        </w:rPr>
        <w:t>קורעה</w:t>
      </w:r>
      <w:r w:rsidRPr="00DA3537">
        <w:rPr>
          <w:rFonts w:cs="Arial"/>
          <w:sz w:val="20"/>
          <w:szCs w:val="20"/>
          <w:rtl/>
        </w:rPr>
        <w:t xml:space="preserve">, </w:t>
      </w:r>
      <w:r w:rsidRPr="00DA3537">
        <w:rPr>
          <w:rFonts w:cs="Arial" w:hint="cs"/>
          <w:sz w:val="20"/>
          <w:szCs w:val="20"/>
          <w:rtl/>
        </w:rPr>
        <w:t>אם</w:t>
      </w:r>
      <w:r w:rsidRPr="00DA3537">
        <w:rPr>
          <w:rFonts w:cs="Arial"/>
          <w:sz w:val="20"/>
          <w:szCs w:val="20"/>
          <w:rtl/>
        </w:rPr>
        <w:t xml:space="preserve"> </w:t>
      </w:r>
      <w:r w:rsidRPr="00DA3537">
        <w:rPr>
          <w:rFonts w:cs="Arial" w:hint="cs"/>
          <w:sz w:val="20"/>
          <w:szCs w:val="20"/>
          <w:rtl/>
        </w:rPr>
        <w:t>יש</w:t>
      </w:r>
      <w:r w:rsidRPr="00DA3537">
        <w:rPr>
          <w:rFonts w:cs="Arial"/>
          <w:sz w:val="20"/>
          <w:szCs w:val="20"/>
          <w:rtl/>
        </w:rPr>
        <w:t xml:space="preserve"> </w:t>
      </w:r>
      <w:r w:rsidRPr="00DA3537">
        <w:rPr>
          <w:rFonts w:cs="Arial" w:hint="cs"/>
          <w:sz w:val="20"/>
          <w:szCs w:val="20"/>
          <w:rtl/>
        </w:rPr>
        <w:t>בה</w:t>
      </w:r>
      <w:r w:rsidRPr="00DA3537">
        <w:rPr>
          <w:rFonts w:cs="Arial"/>
          <w:sz w:val="20"/>
          <w:szCs w:val="20"/>
          <w:rtl/>
        </w:rPr>
        <w:t xml:space="preserve"> </w:t>
      </w:r>
      <w:r w:rsidRPr="00DA3537">
        <w:rPr>
          <w:rFonts w:cs="Arial" w:hint="cs"/>
          <w:sz w:val="20"/>
          <w:szCs w:val="20"/>
          <w:rtl/>
        </w:rPr>
        <w:t>עצם</w:t>
      </w:r>
      <w:r w:rsidRPr="00DA3537">
        <w:rPr>
          <w:rFonts w:cs="Arial"/>
          <w:sz w:val="20"/>
          <w:szCs w:val="20"/>
          <w:rtl/>
        </w:rPr>
        <w:t xml:space="preserve"> - </w:t>
      </w:r>
      <w:r w:rsidRPr="00DA3537">
        <w:rPr>
          <w:rFonts w:cs="Arial" w:hint="cs"/>
          <w:sz w:val="20"/>
          <w:szCs w:val="20"/>
          <w:rtl/>
        </w:rPr>
        <w:t>אמו</w:t>
      </w:r>
      <w:r w:rsidRPr="00DA3537">
        <w:rPr>
          <w:rFonts w:cs="Arial"/>
          <w:sz w:val="20"/>
          <w:szCs w:val="20"/>
          <w:rtl/>
        </w:rPr>
        <w:t xml:space="preserve"> </w:t>
      </w:r>
      <w:r w:rsidRPr="00DA3537">
        <w:rPr>
          <w:rFonts w:cs="Arial" w:hint="cs"/>
          <w:sz w:val="20"/>
          <w:szCs w:val="20"/>
          <w:rtl/>
        </w:rPr>
        <w:t>טמאה</w:t>
      </w:r>
      <w:r w:rsidRPr="00DA3537">
        <w:rPr>
          <w:rFonts w:cs="Arial"/>
          <w:sz w:val="20"/>
          <w:szCs w:val="20"/>
          <w:rtl/>
        </w:rPr>
        <w:t xml:space="preserve"> </w:t>
      </w:r>
      <w:r w:rsidRPr="00DA3537">
        <w:rPr>
          <w:rFonts w:cs="Arial" w:hint="cs"/>
          <w:sz w:val="20"/>
          <w:szCs w:val="20"/>
          <w:rtl/>
        </w:rPr>
        <w:t>לידה</w:t>
      </w:r>
      <w:r w:rsidRPr="00DA3537">
        <w:rPr>
          <w:rFonts w:cs="Arial"/>
          <w:sz w:val="20"/>
          <w:szCs w:val="20"/>
          <w:rtl/>
        </w:rPr>
        <w:t xml:space="preserve">. </w:t>
      </w:r>
      <w:r w:rsidRPr="00DA3537">
        <w:rPr>
          <w:rFonts w:cs="Arial" w:hint="cs"/>
          <w:sz w:val="20"/>
          <w:szCs w:val="20"/>
          <w:rtl/>
        </w:rPr>
        <w:t>אמר</w:t>
      </w:r>
      <w:r w:rsidRPr="00DA3537">
        <w:rPr>
          <w:rFonts w:cs="Arial"/>
          <w:sz w:val="20"/>
          <w:szCs w:val="20"/>
          <w:rtl/>
        </w:rPr>
        <w:t xml:space="preserve"> </w:t>
      </w:r>
      <w:r w:rsidRPr="00DA3537">
        <w:rPr>
          <w:rFonts w:cs="Arial" w:hint="cs"/>
          <w:sz w:val="20"/>
          <w:szCs w:val="20"/>
          <w:rtl/>
        </w:rPr>
        <w:t>רב</w:t>
      </w:r>
      <w:r w:rsidRPr="00DA3537">
        <w:rPr>
          <w:rFonts w:cs="Arial"/>
          <w:sz w:val="20"/>
          <w:szCs w:val="20"/>
          <w:rtl/>
        </w:rPr>
        <w:t xml:space="preserve"> </w:t>
      </w:r>
      <w:r w:rsidRPr="00DA3537">
        <w:rPr>
          <w:rFonts w:cs="Arial" w:hint="cs"/>
          <w:sz w:val="20"/>
          <w:szCs w:val="20"/>
          <w:rtl/>
        </w:rPr>
        <w:t>חסדא</w:t>
      </w:r>
      <w:r w:rsidRPr="00DA3537">
        <w:rPr>
          <w:rFonts w:cs="Arial"/>
          <w:sz w:val="20"/>
          <w:szCs w:val="20"/>
          <w:rtl/>
        </w:rPr>
        <w:t xml:space="preserve">: </w:t>
      </w:r>
      <w:r w:rsidRPr="00DA3537">
        <w:rPr>
          <w:rFonts w:cs="Arial" w:hint="cs"/>
          <w:sz w:val="20"/>
          <w:szCs w:val="20"/>
          <w:rtl/>
        </w:rPr>
        <w:t>ובחתיכה</w:t>
      </w:r>
      <w:r w:rsidRPr="00DA3537">
        <w:rPr>
          <w:rFonts w:cs="Arial"/>
          <w:sz w:val="20"/>
          <w:szCs w:val="20"/>
          <w:rtl/>
        </w:rPr>
        <w:t xml:space="preserve"> </w:t>
      </w:r>
      <w:r w:rsidRPr="00DA3537">
        <w:rPr>
          <w:rFonts w:cs="Arial" w:hint="cs"/>
          <w:sz w:val="20"/>
          <w:szCs w:val="20"/>
          <w:rtl/>
        </w:rPr>
        <w:t>לבנה</w:t>
      </w:r>
      <w:r w:rsidRPr="00DA3537">
        <w:rPr>
          <w:rFonts w:cs="Arial"/>
          <w:sz w:val="20"/>
          <w:szCs w:val="20"/>
          <w:rtl/>
        </w:rPr>
        <w:t xml:space="preserve">. </w:t>
      </w:r>
      <w:r w:rsidRPr="00DA3537">
        <w:rPr>
          <w:rFonts w:cs="Arial" w:hint="cs"/>
          <w:sz w:val="20"/>
          <w:szCs w:val="20"/>
          <w:rtl/>
        </w:rPr>
        <w:t>וכן</w:t>
      </w:r>
      <w:r w:rsidRPr="00DA3537">
        <w:rPr>
          <w:rFonts w:cs="Arial"/>
          <w:sz w:val="20"/>
          <w:szCs w:val="20"/>
          <w:rtl/>
        </w:rPr>
        <w:t xml:space="preserve"> </w:t>
      </w:r>
      <w:r w:rsidRPr="00DA3537">
        <w:rPr>
          <w:rFonts w:cs="Arial" w:hint="cs"/>
          <w:sz w:val="20"/>
          <w:szCs w:val="20"/>
          <w:rtl/>
        </w:rPr>
        <w:t>כי</w:t>
      </w:r>
      <w:r w:rsidRPr="00DA3537">
        <w:rPr>
          <w:rFonts w:cs="Arial"/>
          <w:sz w:val="20"/>
          <w:szCs w:val="20"/>
          <w:rtl/>
        </w:rPr>
        <w:t xml:space="preserve"> </w:t>
      </w:r>
      <w:r w:rsidRPr="00DA3537">
        <w:rPr>
          <w:rFonts w:cs="Arial" w:hint="cs"/>
          <w:sz w:val="20"/>
          <w:szCs w:val="20"/>
          <w:rtl/>
        </w:rPr>
        <w:t>אתא</w:t>
      </w:r>
      <w:r w:rsidRPr="00DA3537">
        <w:rPr>
          <w:rFonts w:cs="Arial"/>
          <w:sz w:val="20"/>
          <w:szCs w:val="20"/>
          <w:rtl/>
        </w:rPr>
        <w:t xml:space="preserve"> </w:t>
      </w:r>
      <w:r w:rsidRPr="00DA3537">
        <w:rPr>
          <w:rFonts w:cs="Arial" w:hint="cs"/>
          <w:sz w:val="20"/>
          <w:szCs w:val="20"/>
          <w:rtl/>
        </w:rPr>
        <w:t>זוגא</w:t>
      </w:r>
      <w:r w:rsidRPr="00DA3537">
        <w:rPr>
          <w:rFonts w:cs="Arial"/>
          <w:sz w:val="20"/>
          <w:szCs w:val="20"/>
          <w:rtl/>
        </w:rPr>
        <w:t xml:space="preserve"> </w:t>
      </w:r>
      <w:r w:rsidRPr="00DA3537">
        <w:rPr>
          <w:rFonts w:cs="Arial" w:hint="cs"/>
          <w:sz w:val="20"/>
          <w:szCs w:val="20"/>
          <w:rtl/>
        </w:rPr>
        <w:t>דמן</w:t>
      </w:r>
      <w:r w:rsidRPr="00DA3537">
        <w:rPr>
          <w:rFonts w:cs="Arial"/>
          <w:sz w:val="20"/>
          <w:szCs w:val="20"/>
          <w:rtl/>
        </w:rPr>
        <w:t xml:space="preserve"> </w:t>
      </w:r>
      <w:r w:rsidRPr="00DA3537">
        <w:rPr>
          <w:rFonts w:cs="Arial" w:hint="cs"/>
          <w:sz w:val="20"/>
          <w:szCs w:val="20"/>
          <w:rtl/>
        </w:rPr>
        <w:t>חדייב</w:t>
      </w:r>
      <w:r w:rsidRPr="00DA3537">
        <w:rPr>
          <w:rFonts w:cs="Arial"/>
          <w:sz w:val="20"/>
          <w:szCs w:val="20"/>
          <w:rtl/>
        </w:rPr>
        <w:t xml:space="preserve">, </w:t>
      </w:r>
      <w:r w:rsidRPr="00DA3537">
        <w:rPr>
          <w:rFonts w:cs="Arial" w:hint="cs"/>
          <w:sz w:val="20"/>
          <w:szCs w:val="20"/>
          <w:rtl/>
        </w:rPr>
        <w:t>אתא</w:t>
      </w:r>
      <w:r w:rsidRPr="00DA3537">
        <w:rPr>
          <w:rFonts w:cs="Arial"/>
          <w:sz w:val="20"/>
          <w:szCs w:val="20"/>
          <w:rtl/>
        </w:rPr>
        <w:t xml:space="preserve"> </w:t>
      </w:r>
      <w:r w:rsidRPr="00DA3537">
        <w:rPr>
          <w:rFonts w:cs="Arial" w:hint="cs"/>
          <w:sz w:val="20"/>
          <w:szCs w:val="20"/>
          <w:rtl/>
        </w:rPr>
        <w:t>ואייתי</w:t>
      </w:r>
      <w:r w:rsidRPr="00DA3537">
        <w:rPr>
          <w:rFonts w:cs="Arial"/>
          <w:sz w:val="20"/>
          <w:szCs w:val="20"/>
          <w:rtl/>
        </w:rPr>
        <w:t xml:space="preserve"> </w:t>
      </w:r>
      <w:r w:rsidRPr="00DA3537">
        <w:rPr>
          <w:rFonts w:cs="Arial" w:hint="cs"/>
          <w:sz w:val="20"/>
          <w:szCs w:val="20"/>
          <w:rtl/>
        </w:rPr>
        <w:t>מתניתא</w:t>
      </w:r>
      <w:r w:rsidRPr="00DA3537">
        <w:rPr>
          <w:rFonts w:cs="Arial"/>
          <w:sz w:val="20"/>
          <w:szCs w:val="20"/>
          <w:rtl/>
        </w:rPr>
        <w:t xml:space="preserve"> </w:t>
      </w:r>
      <w:r w:rsidRPr="00DA3537">
        <w:rPr>
          <w:rFonts w:cs="Arial" w:hint="cs"/>
          <w:sz w:val="20"/>
          <w:szCs w:val="20"/>
          <w:rtl/>
        </w:rPr>
        <w:t>בידיה</w:t>
      </w:r>
      <w:r w:rsidRPr="00DA3537">
        <w:rPr>
          <w:rFonts w:cs="Arial"/>
          <w:sz w:val="20"/>
          <w:szCs w:val="20"/>
          <w:rtl/>
        </w:rPr>
        <w:t xml:space="preserve">: </w:t>
      </w:r>
      <w:r w:rsidRPr="00DA3537">
        <w:rPr>
          <w:rFonts w:cs="Arial" w:hint="cs"/>
          <w:sz w:val="20"/>
          <w:szCs w:val="20"/>
          <w:rtl/>
        </w:rPr>
        <w:t>המפלת</w:t>
      </w:r>
      <w:r w:rsidRPr="00DA3537">
        <w:rPr>
          <w:rFonts w:cs="Arial"/>
          <w:sz w:val="20"/>
          <w:szCs w:val="20"/>
          <w:rtl/>
        </w:rPr>
        <w:t xml:space="preserve"> </w:t>
      </w:r>
      <w:r w:rsidRPr="00DA3537">
        <w:rPr>
          <w:rFonts w:cs="Arial" w:hint="cs"/>
          <w:sz w:val="20"/>
          <w:szCs w:val="20"/>
          <w:rtl/>
        </w:rPr>
        <w:t>חתיכה</w:t>
      </w:r>
      <w:r w:rsidRPr="00DA3537">
        <w:rPr>
          <w:rFonts w:cs="Arial"/>
          <w:sz w:val="20"/>
          <w:szCs w:val="20"/>
          <w:rtl/>
        </w:rPr>
        <w:t xml:space="preserve"> </w:t>
      </w:r>
      <w:r w:rsidRPr="00DA3537">
        <w:rPr>
          <w:rFonts w:cs="Arial" w:hint="cs"/>
          <w:sz w:val="20"/>
          <w:szCs w:val="20"/>
          <w:rtl/>
        </w:rPr>
        <w:t>לבנה</w:t>
      </w:r>
      <w:r w:rsidRPr="00DA3537">
        <w:rPr>
          <w:rFonts w:cs="Arial"/>
          <w:sz w:val="20"/>
          <w:szCs w:val="20"/>
          <w:rtl/>
        </w:rPr>
        <w:t xml:space="preserve"> - </w:t>
      </w:r>
      <w:r w:rsidRPr="00DA3537">
        <w:rPr>
          <w:rFonts w:cs="Arial" w:hint="cs"/>
          <w:sz w:val="20"/>
          <w:szCs w:val="20"/>
          <w:rtl/>
        </w:rPr>
        <w:t>קורעה</w:t>
      </w:r>
      <w:r w:rsidRPr="00DA3537">
        <w:rPr>
          <w:rFonts w:cs="Arial"/>
          <w:sz w:val="20"/>
          <w:szCs w:val="20"/>
          <w:rtl/>
        </w:rPr>
        <w:t xml:space="preserve">, </w:t>
      </w:r>
      <w:r w:rsidRPr="00DA3537">
        <w:rPr>
          <w:rFonts w:cs="Arial" w:hint="cs"/>
          <w:sz w:val="20"/>
          <w:szCs w:val="20"/>
          <w:rtl/>
        </w:rPr>
        <w:t>אם</w:t>
      </w:r>
      <w:r w:rsidRPr="00DA3537">
        <w:rPr>
          <w:rFonts w:cs="Arial"/>
          <w:sz w:val="20"/>
          <w:szCs w:val="20"/>
          <w:rtl/>
        </w:rPr>
        <w:t xml:space="preserve"> </w:t>
      </w:r>
      <w:r w:rsidRPr="00DA3537">
        <w:rPr>
          <w:rFonts w:cs="Arial" w:hint="cs"/>
          <w:sz w:val="20"/>
          <w:szCs w:val="20"/>
          <w:rtl/>
        </w:rPr>
        <w:t>יש</w:t>
      </w:r>
      <w:r w:rsidRPr="00DA3537">
        <w:rPr>
          <w:rFonts w:cs="Arial"/>
          <w:sz w:val="20"/>
          <w:szCs w:val="20"/>
          <w:rtl/>
        </w:rPr>
        <w:t xml:space="preserve"> </w:t>
      </w:r>
      <w:r w:rsidRPr="00DA3537">
        <w:rPr>
          <w:rFonts w:cs="Arial" w:hint="cs"/>
          <w:sz w:val="20"/>
          <w:szCs w:val="20"/>
          <w:rtl/>
        </w:rPr>
        <w:t>בה</w:t>
      </w:r>
      <w:r w:rsidRPr="00DA3537">
        <w:rPr>
          <w:rFonts w:cs="Arial"/>
          <w:sz w:val="20"/>
          <w:szCs w:val="20"/>
          <w:rtl/>
        </w:rPr>
        <w:t xml:space="preserve"> </w:t>
      </w:r>
      <w:r w:rsidRPr="00DA3537">
        <w:rPr>
          <w:rFonts w:cs="Arial" w:hint="cs"/>
          <w:sz w:val="20"/>
          <w:szCs w:val="20"/>
          <w:rtl/>
        </w:rPr>
        <w:t>עצם</w:t>
      </w:r>
      <w:r w:rsidRPr="00DA3537">
        <w:rPr>
          <w:rFonts w:cs="Arial"/>
          <w:sz w:val="20"/>
          <w:szCs w:val="20"/>
          <w:rtl/>
        </w:rPr>
        <w:t xml:space="preserve"> - </w:t>
      </w:r>
      <w:r w:rsidRPr="00DA3537">
        <w:rPr>
          <w:rFonts w:cs="Arial" w:hint="cs"/>
          <w:sz w:val="20"/>
          <w:szCs w:val="20"/>
          <w:rtl/>
        </w:rPr>
        <w:t>אמו</w:t>
      </w:r>
      <w:r w:rsidRPr="00DA3537">
        <w:rPr>
          <w:rFonts w:cs="Arial"/>
          <w:sz w:val="20"/>
          <w:szCs w:val="20"/>
          <w:rtl/>
        </w:rPr>
        <w:t xml:space="preserve"> </w:t>
      </w:r>
      <w:r w:rsidRPr="00DA3537">
        <w:rPr>
          <w:rFonts w:cs="Arial" w:hint="cs"/>
          <w:sz w:val="20"/>
          <w:szCs w:val="20"/>
          <w:rtl/>
        </w:rPr>
        <w:t>טמאה</w:t>
      </w:r>
      <w:r w:rsidRPr="00DA3537">
        <w:rPr>
          <w:rFonts w:cs="Arial"/>
          <w:sz w:val="20"/>
          <w:szCs w:val="20"/>
          <w:rtl/>
        </w:rPr>
        <w:t xml:space="preserve"> </w:t>
      </w:r>
      <w:r w:rsidRPr="00DA3537">
        <w:rPr>
          <w:rFonts w:cs="Arial" w:hint="cs"/>
          <w:sz w:val="20"/>
          <w:szCs w:val="20"/>
          <w:rtl/>
        </w:rPr>
        <w:t>לידה</w:t>
      </w:r>
      <w:r>
        <w:rPr>
          <w:rFonts w:cs="Arial" w:hint="cs"/>
          <w:sz w:val="20"/>
          <w:szCs w:val="20"/>
          <w:rtl/>
        </w:rPr>
        <w:t xml:space="preserve"> </w:t>
      </w:r>
      <w:r w:rsidRPr="004D4C9D">
        <w:rPr>
          <w:rFonts w:cs="Arial" w:hint="cs"/>
          <w:sz w:val="18"/>
          <w:szCs w:val="18"/>
          <w:rtl/>
        </w:rPr>
        <w:t>(רש"י - ויש</w:t>
      </w:r>
      <w:r w:rsidRPr="004D4C9D">
        <w:rPr>
          <w:rFonts w:cs="Arial"/>
          <w:sz w:val="18"/>
          <w:szCs w:val="18"/>
          <w:rtl/>
        </w:rPr>
        <w:t xml:space="preserve"> </w:t>
      </w:r>
      <w:r w:rsidRPr="004D4C9D">
        <w:rPr>
          <w:rFonts w:cs="Arial" w:hint="cs"/>
          <w:sz w:val="18"/>
          <w:szCs w:val="18"/>
          <w:rtl/>
        </w:rPr>
        <w:t>לה</w:t>
      </w:r>
      <w:r w:rsidRPr="004D4C9D">
        <w:rPr>
          <w:rFonts w:cs="Arial"/>
          <w:sz w:val="18"/>
          <w:szCs w:val="18"/>
          <w:rtl/>
        </w:rPr>
        <w:t xml:space="preserve"> </w:t>
      </w:r>
      <w:r w:rsidRPr="004D4C9D">
        <w:rPr>
          <w:rFonts w:cs="Arial" w:hint="cs"/>
          <w:sz w:val="18"/>
          <w:szCs w:val="18"/>
          <w:rtl/>
        </w:rPr>
        <w:t>ימי</w:t>
      </w:r>
      <w:r w:rsidRPr="004D4C9D">
        <w:rPr>
          <w:rFonts w:cs="Arial"/>
          <w:sz w:val="18"/>
          <w:szCs w:val="18"/>
          <w:rtl/>
        </w:rPr>
        <w:t xml:space="preserve"> </w:t>
      </w:r>
      <w:r w:rsidRPr="004D4C9D">
        <w:rPr>
          <w:rFonts w:cs="Arial" w:hint="cs"/>
          <w:sz w:val="18"/>
          <w:szCs w:val="18"/>
          <w:rtl/>
        </w:rPr>
        <w:t>טוהר</w:t>
      </w:r>
      <w:r>
        <w:rPr>
          <w:rFonts w:cs="Arial" w:hint="cs"/>
          <w:sz w:val="18"/>
          <w:szCs w:val="18"/>
          <w:rtl/>
        </w:rPr>
        <w:t xml:space="preserve"> </w:t>
      </w:r>
      <w:r w:rsidRPr="004D4C9D">
        <w:rPr>
          <w:rFonts w:cs="Arial" w:hint="cs"/>
          <w:sz w:val="18"/>
          <w:szCs w:val="18"/>
          <w:rtl/>
        </w:rPr>
        <w:t>ותשב</w:t>
      </w:r>
      <w:r w:rsidRPr="004D4C9D">
        <w:rPr>
          <w:rFonts w:cs="Arial"/>
          <w:sz w:val="18"/>
          <w:szCs w:val="18"/>
          <w:rtl/>
        </w:rPr>
        <w:t xml:space="preserve"> </w:t>
      </w:r>
      <w:r w:rsidRPr="004D4C9D">
        <w:rPr>
          <w:rFonts w:cs="Arial" w:hint="cs"/>
          <w:sz w:val="18"/>
          <w:szCs w:val="18"/>
          <w:rtl/>
        </w:rPr>
        <w:t>לזכר</w:t>
      </w:r>
      <w:r w:rsidRPr="004D4C9D">
        <w:rPr>
          <w:rFonts w:cs="Arial"/>
          <w:sz w:val="18"/>
          <w:szCs w:val="18"/>
          <w:rtl/>
        </w:rPr>
        <w:t xml:space="preserve"> </w:t>
      </w:r>
      <w:r w:rsidRPr="004D4C9D">
        <w:rPr>
          <w:rFonts w:cs="Arial" w:hint="cs"/>
          <w:sz w:val="18"/>
          <w:szCs w:val="18"/>
          <w:rtl/>
        </w:rPr>
        <w:t>ולנקבה</w:t>
      </w:r>
      <w:r>
        <w:rPr>
          <w:rFonts w:cs="Arial" w:hint="cs"/>
          <w:sz w:val="18"/>
          <w:szCs w:val="18"/>
          <w:rtl/>
        </w:rPr>
        <w:t>,</w:t>
      </w:r>
      <w:r w:rsidRPr="004D4C9D">
        <w:rPr>
          <w:rFonts w:cs="Arial"/>
          <w:sz w:val="18"/>
          <w:szCs w:val="18"/>
          <w:rtl/>
        </w:rPr>
        <w:t xml:space="preserve"> </w:t>
      </w:r>
      <w:r w:rsidRPr="004D4C9D">
        <w:rPr>
          <w:rFonts w:cs="Arial" w:hint="cs"/>
          <w:sz w:val="18"/>
          <w:szCs w:val="18"/>
          <w:rtl/>
        </w:rPr>
        <w:t>ימי</w:t>
      </w:r>
      <w:r w:rsidRPr="004D4C9D">
        <w:rPr>
          <w:rFonts w:cs="Arial"/>
          <w:sz w:val="18"/>
          <w:szCs w:val="18"/>
          <w:rtl/>
        </w:rPr>
        <w:t xml:space="preserve"> </w:t>
      </w:r>
      <w:r w:rsidRPr="004D4C9D">
        <w:rPr>
          <w:rFonts w:cs="Arial" w:hint="cs"/>
          <w:sz w:val="18"/>
          <w:szCs w:val="18"/>
          <w:rtl/>
        </w:rPr>
        <w:t>טומאה</w:t>
      </w:r>
      <w:r w:rsidRPr="004D4C9D">
        <w:rPr>
          <w:rFonts w:cs="Arial"/>
          <w:sz w:val="18"/>
          <w:szCs w:val="18"/>
          <w:rtl/>
        </w:rPr>
        <w:t xml:space="preserve"> </w:t>
      </w:r>
      <w:r w:rsidRPr="004D4C9D">
        <w:rPr>
          <w:rFonts w:cs="Arial" w:hint="cs"/>
          <w:sz w:val="18"/>
          <w:szCs w:val="18"/>
          <w:rtl/>
        </w:rPr>
        <w:t>דנקבה</w:t>
      </w:r>
      <w:r w:rsidRPr="004D4C9D">
        <w:rPr>
          <w:rFonts w:cs="Arial"/>
          <w:sz w:val="18"/>
          <w:szCs w:val="18"/>
          <w:rtl/>
        </w:rPr>
        <w:t xml:space="preserve"> </w:t>
      </w:r>
      <w:r w:rsidRPr="004D4C9D">
        <w:rPr>
          <w:rFonts w:cs="Arial" w:hint="cs"/>
          <w:sz w:val="18"/>
          <w:szCs w:val="18"/>
          <w:rtl/>
        </w:rPr>
        <w:t>וימי</w:t>
      </w:r>
      <w:r w:rsidRPr="004D4C9D">
        <w:rPr>
          <w:rFonts w:cs="Arial"/>
          <w:sz w:val="18"/>
          <w:szCs w:val="18"/>
          <w:rtl/>
        </w:rPr>
        <w:t xml:space="preserve"> </w:t>
      </w:r>
      <w:r w:rsidRPr="004D4C9D">
        <w:rPr>
          <w:rFonts w:cs="Arial" w:hint="cs"/>
          <w:sz w:val="18"/>
          <w:szCs w:val="18"/>
          <w:rtl/>
        </w:rPr>
        <w:t>טוהר</w:t>
      </w:r>
      <w:r w:rsidRPr="004D4C9D">
        <w:rPr>
          <w:rFonts w:cs="Arial"/>
          <w:sz w:val="18"/>
          <w:szCs w:val="18"/>
          <w:rtl/>
        </w:rPr>
        <w:t xml:space="preserve"> </w:t>
      </w:r>
      <w:r w:rsidRPr="004D4C9D">
        <w:rPr>
          <w:rFonts w:cs="Arial" w:hint="cs"/>
          <w:sz w:val="18"/>
          <w:szCs w:val="18"/>
          <w:rtl/>
        </w:rPr>
        <w:t>דזכר)</w:t>
      </w:r>
      <w:r w:rsidRPr="004D4C9D">
        <w:rPr>
          <w:rFonts w:cs="Arial" w:hint="cs"/>
          <w:sz w:val="20"/>
          <w:szCs w:val="20"/>
          <w:rtl/>
        </w:rPr>
        <w:t>".</w:t>
      </w:r>
    </w:p>
    <w:p w:rsidR="00620060" w:rsidRDefault="00620060" w:rsidP="00620060">
      <w:pPr>
        <w:rPr>
          <w:sz w:val="20"/>
          <w:szCs w:val="20"/>
          <w:rtl/>
        </w:rPr>
      </w:pPr>
      <w:r>
        <w:rPr>
          <w:rFonts w:hint="cs"/>
          <w:sz w:val="20"/>
          <w:szCs w:val="20"/>
          <w:u w:val="single"/>
          <w:rtl/>
        </w:rPr>
        <w:t>מדוע דווקא חתיכה לבנה</w:t>
      </w:r>
      <w:r>
        <w:rPr>
          <w:sz w:val="20"/>
          <w:szCs w:val="20"/>
          <w:u w:val="single"/>
          <w:rtl/>
        </w:rPr>
        <w:br/>
      </w:r>
      <w:r w:rsidRPr="004959E8">
        <w:rPr>
          <w:rFonts w:hint="cs"/>
          <w:b/>
          <w:bCs/>
          <w:sz w:val="20"/>
          <w:szCs w:val="20"/>
          <w:rtl/>
        </w:rPr>
        <w:t>רש"י</w:t>
      </w:r>
      <w:r>
        <w:rPr>
          <w:rFonts w:hint="cs"/>
          <w:sz w:val="20"/>
          <w:szCs w:val="20"/>
          <w:rtl/>
        </w:rPr>
        <w:t xml:space="preserve"> </w:t>
      </w:r>
      <w:r>
        <w:rPr>
          <w:sz w:val="20"/>
          <w:szCs w:val="20"/>
          <w:rtl/>
        </w:rPr>
        <w:t>–</w:t>
      </w:r>
      <w:r>
        <w:rPr>
          <w:rFonts w:hint="cs"/>
          <w:sz w:val="20"/>
          <w:szCs w:val="20"/>
          <w:rtl/>
        </w:rPr>
        <w:t xml:space="preserve"> "</w:t>
      </w:r>
      <w:r w:rsidRPr="00DA3537">
        <w:rPr>
          <w:rFonts w:cs="Arial" w:hint="cs"/>
          <w:sz w:val="20"/>
          <w:szCs w:val="20"/>
          <w:rtl/>
        </w:rPr>
        <w:t>דהוא</w:t>
      </w:r>
      <w:r w:rsidRPr="00DA3537">
        <w:rPr>
          <w:rFonts w:cs="Arial"/>
          <w:sz w:val="20"/>
          <w:szCs w:val="20"/>
          <w:rtl/>
        </w:rPr>
        <w:t xml:space="preserve"> </w:t>
      </w:r>
      <w:r w:rsidRPr="00DA3537">
        <w:rPr>
          <w:rFonts w:cs="Arial" w:hint="cs"/>
          <w:sz w:val="20"/>
          <w:szCs w:val="20"/>
          <w:rtl/>
        </w:rPr>
        <w:t>מין</w:t>
      </w:r>
      <w:r w:rsidRPr="00DA3537">
        <w:rPr>
          <w:rFonts w:cs="Arial"/>
          <w:sz w:val="20"/>
          <w:szCs w:val="20"/>
          <w:rtl/>
        </w:rPr>
        <w:t xml:space="preserve"> </w:t>
      </w:r>
      <w:r w:rsidRPr="00DA3537">
        <w:rPr>
          <w:rFonts w:cs="Arial" w:hint="cs"/>
          <w:sz w:val="20"/>
          <w:szCs w:val="20"/>
          <w:rtl/>
        </w:rPr>
        <w:t>בשר</w:t>
      </w:r>
      <w:r>
        <w:rPr>
          <w:rFonts w:cs="Arial" w:hint="cs"/>
          <w:sz w:val="20"/>
          <w:szCs w:val="20"/>
          <w:rtl/>
        </w:rPr>
        <w:t>."</w:t>
      </w:r>
      <w:r>
        <w:rPr>
          <w:rFonts w:cs="Arial"/>
          <w:sz w:val="20"/>
          <w:szCs w:val="20"/>
          <w:rtl/>
        </w:rPr>
        <w:br/>
      </w:r>
      <w:r>
        <w:rPr>
          <w:rFonts w:cs="Arial" w:hint="cs"/>
          <w:sz w:val="20"/>
          <w:szCs w:val="20"/>
          <w:rtl/>
        </w:rPr>
        <w:t xml:space="preserve">מסביר </w:t>
      </w:r>
      <w:r w:rsidRPr="004959E8">
        <w:rPr>
          <w:rFonts w:cs="Arial" w:hint="cs"/>
          <w:b/>
          <w:bCs/>
          <w:sz w:val="20"/>
          <w:szCs w:val="20"/>
          <w:rtl/>
        </w:rPr>
        <w:t>הבית יוסף</w:t>
      </w:r>
      <w:r>
        <w:rPr>
          <w:rFonts w:cs="Arial" w:hint="cs"/>
          <w:sz w:val="20"/>
          <w:szCs w:val="20"/>
          <w:rtl/>
        </w:rPr>
        <w:t xml:space="preserve"> </w:t>
      </w:r>
      <w:r>
        <w:rPr>
          <w:rFonts w:cs="Arial"/>
          <w:sz w:val="20"/>
          <w:szCs w:val="20"/>
          <w:rtl/>
        </w:rPr>
        <w:t>–</w:t>
      </w:r>
      <w:r>
        <w:rPr>
          <w:rFonts w:cs="Arial" w:hint="cs"/>
          <w:sz w:val="20"/>
          <w:szCs w:val="20"/>
          <w:rtl/>
        </w:rPr>
        <w:t xml:space="preserve"> </w:t>
      </w:r>
      <w:r>
        <w:rPr>
          <w:rFonts w:hint="cs"/>
          <w:sz w:val="20"/>
          <w:szCs w:val="20"/>
          <w:rtl/>
        </w:rPr>
        <w:t>כשהיא לבנה ניכר שהיא של וולד, אך כשהיא של שאר מראות ייתכן שאינה של וולד אע"פ שיש בה עצם, אלא היא בכלל שאר חתיכה שנחלקו בה חכמים ורבי יהודה האם אפשר לפתיה"ק בלא דם.</w:t>
      </w:r>
    </w:p>
    <w:p w:rsidR="00620060" w:rsidRDefault="00620060" w:rsidP="00620060">
      <w:pPr>
        <w:rPr>
          <w:sz w:val="20"/>
          <w:szCs w:val="20"/>
          <w:rtl/>
        </w:rPr>
      </w:pPr>
      <w:r>
        <w:rPr>
          <w:rFonts w:hint="cs"/>
          <w:sz w:val="20"/>
          <w:szCs w:val="20"/>
          <w:u w:val="single"/>
          <w:rtl/>
        </w:rPr>
        <w:t>הדין בזמנינו</w:t>
      </w:r>
      <w:r>
        <w:rPr>
          <w:sz w:val="20"/>
          <w:szCs w:val="20"/>
          <w:u w:val="single"/>
          <w:rtl/>
        </w:rPr>
        <w:br/>
      </w:r>
      <w:r>
        <w:rPr>
          <w:rFonts w:hint="cs"/>
          <w:sz w:val="20"/>
          <w:szCs w:val="20"/>
          <w:rtl/>
        </w:rPr>
        <w:t xml:space="preserve">א. </w:t>
      </w:r>
      <w:r w:rsidRPr="00E223E9">
        <w:rPr>
          <w:rFonts w:hint="cs"/>
          <w:b/>
          <w:bCs/>
          <w:sz w:val="20"/>
          <w:szCs w:val="20"/>
          <w:rtl/>
        </w:rPr>
        <w:t>רשב"א וטור</w:t>
      </w:r>
      <w:r>
        <w:rPr>
          <w:rFonts w:hint="cs"/>
          <w:sz w:val="20"/>
          <w:szCs w:val="20"/>
          <w:rtl/>
        </w:rPr>
        <w:t xml:space="preserve"> </w:t>
      </w:r>
      <w:r>
        <w:rPr>
          <w:sz w:val="20"/>
          <w:szCs w:val="20"/>
          <w:rtl/>
        </w:rPr>
        <w:t>–</w:t>
      </w:r>
      <w:r>
        <w:rPr>
          <w:rFonts w:hint="cs"/>
          <w:sz w:val="20"/>
          <w:szCs w:val="20"/>
          <w:rtl/>
        </w:rPr>
        <w:t xml:space="preserve"> גם אם החתיכה היא של שאר מיני צבעים, טמאה לידה.</w:t>
      </w:r>
      <w:r>
        <w:rPr>
          <w:sz w:val="20"/>
          <w:szCs w:val="20"/>
          <w:rtl/>
        </w:rPr>
        <w:br/>
      </w:r>
      <w:r w:rsidRPr="00E223E9">
        <w:rPr>
          <w:rFonts w:hint="cs"/>
          <w:b/>
          <w:bCs/>
          <w:sz w:val="20"/>
          <w:szCs w:val="20"/>
          <w:rtl/>
        </w:rPr>
        <w:t xml:space="preserve">טעם </w:t>
      </w:r>
      <w:r>
        <w:rPr>
          <w:sz w:val="20"/>
          <w:szCs w:val="20"/>
          <w:rtl/>
        </w:rPr>
        <w:t>–</w:t>
      </w:r>
      <w:r>
        <w:rPr>
          <w:rFonts w:hint="cs"/>
          <w:sz w:val="20"/>
          <w:szCs w:val="20"/>
          <w:rtl/>
        </w:rPr>
        <w:t xml:space="preserve"> איננו בקיאים לדעת מהו בדיוק מראה לבן שעליו הגמרא דיברה.</w:t>
      </w:r>
      <w:r>
        <w:rPr>
          <w:rFonts w:hint="cs"/>
          <w:sz w:val="20"/>
          <w:szCs w:val="20"/>
          <w:rtl/>
        </w:rPr>
        <w:br/>
        <w:t xml:space="preserve">ב. </w:t>
      </w:r>
      <w:r w:rsidRPr="00A24F30">
        <w:rPr>
          <w:rFonts w:hint="cs"/>
          <w:b/>
          <w:bCs/>
          <w:sz w:val="20"/>
          <w:szCs w:val="20"/>
          <w:rtl/>
        </w:rPr>
        <w:t>מגיד משנה</w:t>
      </w:r>
      <w:r>
        <w:rPr>
          <w:rFonts w:hint="cs"/>
          <w:sz w:val="20"/>
          <w:szCs w:val="20"/>
          <w:rtl/>
        </w:rPr>
        <w:t xml:space="preserve"> </w:t>
      </w:r>
      <w:r>
        <w:rPr>
          <w:sz w:val="20"/>
          <w:szCs w:val="20"/>
          <w:rtl/>
        </w:rPr>
        <w:t>–</w:t>
      </w:r>
      <w:r>
        <w:rPr>
          <w:rFonts w:hint="cs"/>
          <w:sz w:val="20"/>
          <w:szCs w:val="20"/>
          <w:rtl/>
        </w:rPr>
        <w:t xml:space="preserve"> דברי הרשב"א הם חומרה יתרה בלא טעם.</w:t>
      </w:r>
      <w:r>
        <w:rPr>
          <w:sz w:val="20"/>
          <w:szCs w:val="20"/>
          <w:rtl/>
        </w:rPr>
        <w:br/>
      </w:r>
      <w:r>
        <w:rPr>
          <w:rFonts w:hint="cs"/>
          <w:sz w:val="20"/>
          <w:szCs w:val="20"/>
          <w:rtl/>
        </w:rPr>
        <w:t xml:space="preserve">אמנם, </w:t>
      </w:r>
      <w:r w:rsidRPr="00A56907">
        <w:rPr>
          <w:rFonts w:hint="cs"/>
          <w:b/>
          <w:bCs/>
          <w:sz w:val="20"/>
          <w:szCs w:val="20"/>
          <w:rtl/>
        </w:rPr>
        <w:t>הבית יוסף</w:t>
      </w:r>
      <w:r>
        <w:rPr>
          <w:rFonts w:hint="cs"/>
          <w:sz w:val="20"/>
          <w:szCs w:val="20"/>
          <w:rtl/>
        </w:rPr>
        <w:t xml:space="preserve"> מעיר שיש ליישב את </w:t>
      </w:r>
      <w:r w:rsidRPr="00A56907">
        <w:rPr>
          <w:rFonts w:hint="cs"/>
          <w:b/>
          <w:bCs/>
          <w:sz w:val="20"/>
          <w:szCs w:val="20"/>
          <w:rtl/>
        </w:rPr>
        <w:t>הרשב"א</w:t>
      </w:r>
      <w:r>
        <w:rPr>
          <w:rFonts w:hint="cs"/>
          <w:sz w:val="20"/>
          <w:szCs w:val="20"/>
          <w:rtl/>
        </w:rPr>
        <w:t xml:space="preserve"> כיישוב דלעיל, כלומר שיש להחמיר מחמת חוסר הבקיאות.</w:t>
      </w:r>
    </w:p>
    <w:p w:rsidR="00620060" w:rsidRDefault="00620060" w:rsidP="00620060">
      <w:pPr>
        <w:rPr>
          <w:sz w:val="20"/>
          <w:szCs w:val="20"/>
          <w:u w:val="single"/>
          <w:rtl/>
        </w:rPr>
      </w:pPr>
      <w:r w:rsidRPr="00D1636F">
        <w:rPr>
          <w:rFonts w:hint="cs"/>
          <w:sz w:val="20"/>
          <w:szCs w:val="20"/>
          <w:rtl/>
        </w:rPr>
        <w:lastRenderedPageBreak/>
        <w:t>ב.</w:t>
      </w:r>
      <w:r>
        <w:rPr>
          <w:rFonts w:hint="cs"/>
          <w:sz w:val="20"/>
          <w:szCs w:val="20"/>
          <w:u w:val="single"/>
          <w:rtl/>
        </w:rPr>
        <w:t xml:space="preserve"> הפילה יד או רגל</w:t>
      </w:r>
      <w:r>
        <w:rPr>
          <w:sz w:val="20"/>
          <w:szCs w:val="20"/>
          <w:rtl/>
        </w:rPr>
        <w:br/>
      </w:r>
      <w:r w:rsidRPr="00EF0F27">
        <w:rPr>
          <w:rFonts w:hint="cs"/>
          <w:b/>
          <w:bCs/>
          <w:sz w:val="20"/>
          <w:szCs w:val="20"/>
          <w:rtl/>
        </w:rPr>
        <w:t xml:space="preserve">גמרא </w:t>
      </w:r>
      <w:r>
        <w:rPr>
          <w:rFonts w:hint="cs"/>
          <w:sz w:val="20"/>
          <w:szCs w:val="20"/>
          <w:rtl/>
        </w:rPr>
        <w:t>נידה (כד.) "</w:t>
      </w:r>
      <w:r w:rsidRPr="00EF0F27">
        <w:rPr>
          <w:rFonts w:cs="Arial" w:hint="cs"/>
          <w:sz w:val="20"/>
          <w:szCs w:val="20"/>
          <w:rtl/>
        </w:rPr>
        <w:t>המפלת</w:t>
      </w:r>
      <w:r w:rsidRPr="00EF0F27">
        <w:rPr>
          <w:rFonts w:cs="Arial"/>
          <w:sz w:val="20"/>
          <w:szCs w:val="20"/>
          <w:rtl/>
        </w:rPr>
        <w:t xml:space="preserve"> </w:t>
      </w:r>
      <w:r w:rsidRPr="00EF0F27">
        <w:rPr>
          <w:rFonts w:cs="Arial" w:hint="cs"/>
          <w:sz w:val="20"/>
          <w:szCs w:val="20"/>
          <w:rtl/>
        </w:rPr>
        <w:t>יד</w:t>
      </w:r>
      <w:r w:rsidRPr="00EF0F27">
        <w:rPr>
          <w:rFonts w:cs="Arial"/>
          <w:sz w:val="20"/>
          <w:szCs w:val="20"/>
          <w:rtl/>
        </w:rPr>
        <w:t xml:space="preserve"> </w:t>
      </w:r>
      <w:r w:rsidRPr="00EF0F27">
        <w:rPr>
          <w:rFonts w:cs="Arial" w:hint="cs"/>
          <w:sz w:val="20"/>
          <w:szCs w:val="20"/>
          <w:rtl/>
        </w:rPr>
        <w:t>חתוכה</w:t>
      </w:r>
      <w:r w:rsidRPr="00EF0F27">
        <w:rPr>
          <w:rFonts w:cs="Arial"/>
          <w:sz w:val="20"/>
          <w:szCs w:val="20"/>
          <w:rtl/>
        </w:rPr>
        <w:t xml:space="preserve"> </w:t>
      </w:r>
      <w:r w:rsidRPr="00EF0F27">
        <w:rPr>
          <w:rFonts w:cs="Arial" w:hint="cs"/>
          <w:sz w:val="20"/>
          <w:szCs w:val="20"/>
          <w:rtl/>
        </w:rPr>
        <w:t>ורגל</w:t>
      </w:r>
      <w:r w:rsidRPr="00EF0F27">
        <w:rPr>
          <w:rFonts w:cs="Arial"/>
          <w:sz w:val="20"/>
          <w:szCs w:val="20"/>
          <w:rtl/>
        </w:rPr>
        <w:t xml:space="preserve"> </w:t>
      </w:r>
      <w:r w:rsidRPr="00EF0F27">
        <w:rPr>
          <w:rFonts w:cs="Arial" w:hint="cs"/>
          <w:sz w:val="20"/>
          <w:szCs w:val="20"/>
          <w:rtl/>
        </w:rPr>
        <w:t>חתוכה</w:t>
      </w:r>
      <w:r w:rsidRPr="00EF0F27">
        <w:rPr>
          <w:rFonts w:cs="Arial"/>
          <w:sz w:val="20"/>
          <w:szCs w:val="20"/>
          <w:rtl/>
        </w:rPr>
        <w:t xml:space="preserve"> - </w:t>
      </w:r>
      <w:r w:rsidRPr="00EF0F27">
        <w:rPr>
          <w:rFonts w:cs="Arial" w:hint="cs"/>
          <w:sz w:val="20"/>
          <w:szCs w:val="20"/>
          <w:rtl/>
        </w:rPr>
        <w:t>אמו</w:t>
      </w:r>
      <w:r w:rsidRPr="00EF0F27">
        <w:rPr>
          <w:rFonts w:cs="Arial"/>
          <w:sz w:val="20"/>
          <w:szCs w:val="20"/>
          <w:rtl/>
        </w:rPr>
        <w:t xml:space="preserve"> </w:t>
      </w:r>
      <w:r w:rsidRPr="00EF0F27">
        <w:rPr>
          <w:rFonts w:cs="Arial" w:hint="cs"/>
          <w:sz w:val="20"/>
          <w:szCs w:val="20"/>
          <w:rtl/>
        </w:rPr>
        <w:t>טמאה</w:t>
      </w:r>
      <w:r w:rsidRPr="00EF0F27">
        <w:rPr>
          <w:rFonts w:cs="Arial"/>
          <w:sz w:val="20"/>
          <w:szCs w:val="20"/>
          <w:rtl/>
        </w:rPr>
        <w:t xml:space="preserve"> </w:t>
      </w:r>
      <w:r w:rsidRPr="00EF0F27">
        <w:rPr>
          <w:rFonts w:cs="Arial" w:hint="cs"/>
          <w:sz w:val="20"/>
          <w:szCs w:val="20"/>
          <w:rtl/>
        </w:rPr>
        <w:t>לידה</w:t>
      </w:r>
      <w:r w:rsidRPr="00EF0F27">
        <w:rPr>
          <w:rFonts w:cs="Arial"/>
          <w:sz w:val="20"/>
          <w:szCs w:val="20"/>
          <w:rtl/>
        </w:rPr>
        <w:t xml:space="preserve">, </w:t>
      </w:r>
      <w:r w:rsidRPr="00EF0F27">
        <w:rPr>
          <w:rFonts w:cs="Arial" w:hint="cs"/>
          <w:sz w:val="20"/>
          <w:szCs w:val="20"/>
          <w:rtl/>
        </w:rPr>
        <w:t>ואין</w:t>
      </w:r>
      <w:r w:rsidRPr="00EF0F27">
        <w:rPr>
          <w:rFonts w:cs="Arial"/>
          <w:sz w:val="20"/>
          <w:szCs w:val="20"/>
          <w:rtl/>
        </w:rPr>
        <w:t xml:space="preserve"> </w:t>
      </w:r>
      <w:r w:rsidRPr="00EF0F27">
        <w:rPr>
          <w:rFonts w:cs="Arial" w:hint="cs"/>
          <w:sz w:val="20"/>
          <w:szCs w:val="20"/>
          <w:rtl/>
        </w:rPr>
        <w:t>חוששין</w:t>
      </w:r>
      <w:r w:rsidRPr="00EF0F27">
        <w:rPr>
          <w:rFonts w:cs="Arial"/>
          <w:sz w:val="20"/>
          <w:szCs w:val="20"/>
          <w:rtl/>
        </w:rPr>
        <w:t xml:space="preserve"> </w:t>
      </w:r>
      <w:r w:rsidRPr="00EF0F27">
        <w:rPr>
          <w:rFonts w:cs="Arial" w:hint="cs"/>
          <w:sz w:val="20"/>
          <w:szCs w:val="20"/>
          <w:rtl/>
        </w:rPr>
        <w:t>שמא</w:t>
      </w:r>
      <w:r w:rsidRPr="00EF0F27">
        <w:rPr>
          <w:rFonts w:cs="Arial"/>
          <w:sz w:val="20"/>
          <w:szCs w:val="20"/>
          <w:rtl/>
        </w:rPr>
        <w:t xml:space="preserve"> </w:t>
      </w:r>
      <w:r w:rsidRPr="00EF0F27">
        <w:rPr>
          <w:rFonts w:cs="Arial" w:hint="cs"/>
          <w:sz w:val="20"/>
          <w:szCs w:val="20"/>
          <w:rtl/>
        </w:rPr>
        <w:t>מגוף</w:t>
      </w:r>
      <w:r w:rsidRPr="00EF0F27">
        <w:rPr>
          <w:rFonts w:cs="Arial"/>
          <w:sz w:val="20"/>
          <w:szCs w:val="20"/>
          <w:rtl/>
        </w:rPr>
        <w:t xml:space="preserve"> </w:t>
      </w:r>
      <w:r w:rsidRPr="00EF0F27">
        <w:rPr>
          <w:rFonts w:cs="Arial" w:hint="cs"/>
          <w:sz w:val="20"/>
          <w:szCs w:val="20"/>
          <w:rtl/>
        </w:rPr>
        <w:t>אטום</w:t>
      </w:r>
      <w:r w:rsidRPr="00EF0F27">
        <w:rPr>
          <w:rFonts w:cs="Arial"/>
          <w:sz w:val="20"/>
          <w:szCs w:val="20"/>
          <w:rtl/>
        </w:rPr>
        <w:t xml:space="preserve"> </w:t>
      </w:r>
      <w:r w:rsidRPr="00EF0F27">
        <w:rPr>
          <w:rFonts w:cs="Arial" w:hint="cs"/>
          <w:sz w:val="20"/>
          <w:szCs w:val="20"/>
          <w:rtl/>
        </w:rPr>
        <w:t>באתה</w:t>
      </w:r>
      <w:r>
        <w:rPr>
          <w:rStyle w:val="a5"/>
          <w:rFonts w:cs="Arial"/>
          <w:sz w:val="20"/>
          <w:szCs w:val="20"/>
          <w:rtl/>
        </w:rPr>
        <w:footnoteReference w:id="419"/>
      </w:r>
      <w:r>
        <w:rPr>
          <w:rFonts w:cs="Arial" w:hint="cs"/>
          <w:sz w:val="20"/>
          <w:szCs w:val="20"/>
          <w:rtl/>
        </w:rPr>
        <w:t>".</w:t>
      </w:r>
    </w:p>
    <w:p w:rsidR="00620060" w:rsidRDefault="00620060" w:rsidP="00620060">
      <w:pPr>
        <w:rPr>
          <w:sz w:val="20"/>
          <w:szCs w:val="20"/>
          <w:u w:val="single"/>
          <w:rtl/>
        </w:rPr>
      </w:pPr>
      <w:r>
        <w:rPr>
          <w:rFonts w:hint="cs"/>
          <w:sz w:val="20"/>
          <w:szCs w:val="20"/>
          <w:u w:val="single"/>
          <w:rtl/>
        </w:rPr>
        <w:t>ביאור דין זה</w:t>
      </w:r>
      <w:r>
        <w:rPr>
          <w:sz w:val="20"/>
          <w:szCs w:val="20"/>
          <w:u w:val="single"/>
          <w:rtl/>
        </w:rPr>
        <w:br/>
      </w:r>
      <w:r>
        <w:rPr>
          <w:rFonts w:hint="cs"/>
          <w:sz w:val="20"/>
          <w:szCs w:val="20"/>
          <w:rtl/>
        </w:rPr>
        <w:t xml:space="preserve">שאלה על דין זה </w:t>
      </w:r>
      <w:r>
        <w:rPr>
          <w:sz w:val="20"/>
          <w:szCs w:val="20"/>
          <w:rtl/>
        </w:rPr>
        <w:t>–</w:t>
      </w:r>
      <w:r>
        <w:rPr>
          <w:rFonts w:hint="cs"/>
          <w:sz w:val="20"/>
          <w:szCs w:val="20"/>
          <w:rtl/>
        </w:rPr>
        <w:t xml:space="preserve"> מדוע אמו טמאה לידה רק כשיש חיתוך האצבעות, הרי איתא לעיל שאפילו אם הפילה חתיכה שיש בה עצם בלבד אע"פ שאין בה חיתוך אצבעות </w:t>
      </w:r>
      <w:r>
        <w:rPr>
          <w:sz w:val="20"/>
          <w:szCs w:val="20"/>
          <w:rtl/>
        </w:rPr>
        <w:t>–</w:t>
      </w:r>
      <w:r>
        <w:rPr>
          <w:rFonts w:hint="cs"/>
          <w:sz w:val="20"/>
          <w:szCs w:val="20"/>
          <w:rtl/>
        </w:rPr>
        <w:t xml:space="preserve"> טמאה!</w:t>
      </w:r>
      <w:r>
        <w:rPr>
          <w:rFonts w:hint="cs"/>
          <w:sz w:val="20"/>
          <w:szCs w:val="20"/>
          <w:rtl/>
        </w:rPr>
        <w:br/>
        <w:t xml:space="preserve">א. </w:t>
      </w:r>
      <w:r w:rsidRPr="0086102D">
        <w:rPr>
          <w:rFonts w:hint="cs"/>
          <w:b/>
          <w:bCs/>
          <w:sz w:val="20"/>
          <w:szCs w:val="20"/>
          <w:rtl/>
        </w:rPr>
        <w:t>ראב"ד וטור</w:t>
      </w:r>
      <w:r>
        <w:rPr>
          <w:rFonts w:hint="cs"/>
          <w:sz w:val="20"/>
          <w:szCs w:val="20"/>
          <w:rtl/>
        </w:rPr>
        <w:t xml:space="preserve"> </w:t>
      </w:r>
      <w:r>
        <w:rPr>
          <w:sz w:val="20"/>
          <w:szCs w:val="20"/>
          <w:rtl/>
        </w:rPr>
        <w:t>–</w:t>
      </w:r>
      <w:r>
        <w:rPr>
          <w:rFonts w:hint="cs"/>
          <w:sz w:val="20"/>
          <w:szCs w:val="20"/>
          <w:rtl/>
        </w:rPr>
        <w:t xml:space="preserve"> הדין כאן נאמר לגבי חיוב קרבן, אך לגבי טומאת לידה טמאה אפילו כשאינה מחותכת.</w:t>
      </w:r>
      <w:r>
        <w:rPr>
          <w:sz w:val="20"/>
          <w:szCs w:val="20"/>
          <w:rtl/>
        </w:rPr>
        <w:br/>
      </w:r>
      <w:r>
        <w:rPr>
          <w:rFonts w:hint="cs"/>
          <w:sz w:val="20"/>
          <w:szCs w:val="20"/>
          <w:rtl/>
        </w:rPr>
        <w:t xml:space="preserve">ב. </w:t>
      </w:r>
      <w:r w:rsidRPr="0086102D">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כשהפילה צורת יד ורגל שאינם מחותכים, הדבר מוכיח שהפילה מגוף אטום, אבל אם הפילה חתיכה סתם שאינה בצורת יד או רגל אין הוכחה שהיא מגוף אטום ולכן אם יש בה עצם טמאה.</w:t>
      </w:r>
    </w:p>
    <w:p w:rsidR="00620060" w:rsidRDefault="00620060" w:rsidP="00620060">
      <w:pPr>
        <w:rPr>
          <w:sz w:val="20"/>
          <w:szCs w:val="20"/>
          <w:u w:val="single"/>
          <w:rtl/>
        </w:rPr>
      </w:pPr>
      <w:r>
        <w:rPr>
          <w:rStyle w:val="10"/>
          <w:rFonts w:hint="cs"/>
          <w:rtl/>
        </w:rPr>
        <w:t>ד</w:t>
      </w:r>
      <w:r w:rsidRPr="00E24DF6">
        <w:rPr>
          <w:rStyle w:val="10"/>
          <w:rFonts w:hint="cs"/>
          <w:rtl/>
        </w:rPr>
        <w:t>.</w:t>
      </w:r>
      <w:r w:rsidRPr="00E24DF6">
        <w:rPr>
          <w:rFonts w:hint="cs"/>
          <w:b/>
          <w:bCs/>
          <w:sz w:val="16"/>
          <w:szCs w:val="16"/>
          <w:rtl/>
        </w:rPr>
        <w:t xml:space="preserve"> </w:t>
      </w:r>
      <w:r>
        <w:rPr>
          <w:rFonts w:hint="cs"/>
          <w:b/>
          <w:bCs/>
          <w:sz w:val="20"/>
          <w:szCs w:val="20"/>
          <w:rtl/>
        </w:rPr>
        <w:t>הפילה שפיר ושליה</w:t>
      </w:r>
      <w:r>
        <w:rPr>
          <w:sz w:val="20"/>
          <w:szCs w:val="20"/>
          <w:rtl/>
        </w:rPr>
        <w:br/>
      </w:r>
      <w:r>
        <w:rPr>
          <w:rFonts w:hint="cs"/>
          <w:sz w:val="20"/>
          <w:szCs w:val="20"/>
          <w:rtl/>
        </w:rPr>
        <w:t>א</w:t>
      </w:r>
      <w:r w:rsidRPr="0092795F">
        <w:rPr>
          <w:rFonts w:hint="cs"/>
          <w:sz w:val="20"/>
          <w:szCs w:val="20"/>
          <w:rtl/>
        </w:rPr>
        <w:t>.</w:t>
      </w:r>
      <w:r>
        <w:rPr>
          <w:rFonts w:hint="cs"/>
          <w:sz w:val="20"/>
          <w:szCs w:val="20"/>
          <w:u w:val="single"/>
          <w:rtl/>
        </w:rPr>
        <w:t xml:space="preserve"> הפילה שפיר</w:t>
      </w:r>
      <w:r>
        <w:rPr>
          <w:rFonts w:hint="cs"/>
          <w:sz w:val="20"/>
          <w:szCs w:val="20"/>
          <w:u w:val="single"/>
          <w:rtl/>
        </w:rPr>
        <w:br/>
      </w:r>
      <w:r>
        <w:rPr>
          <w:rFonts w:hint="cs"/>
          <w:sz w:val="20"/>
          <w:szCs w:val="20"/>
          <w:rtl/>
        </w:rPr>
        <w:t xml:space="preserve">א. </w:t>
      </w:r>
      <w:r w:rsidRPr="0092795F">
        <w:rPr>
          <w:rFonts w:hint="cs"/>
          <w:b/>
          <w:bCs/>
          <w:sz w:val="20"/>
          <w:szCs w:val="20"/>
          <w:rtl/>
        </w:rPr>
        <w:t>משנה</w:t>
      </w:r>
      <w:r>
        <w:rPr>
          <w:rFonts w:hint="cs"/>
          <w:sz w:val="20"/>
          <w:szCs w:val="20"/>
          <w:rtl/>
        </w:rPr>
        <w:t xml:space="preserve"> (שם, כד:) "</w:t>
      </w:r>
      <w:r w:rsidRPr="0092795F">
        <w:rPr>
          <w:rFonts w:cs="Arial" w:hint="cs"/>
          <w:sz w:val="20"/>
          <w:szCs w:val="20"/>
          <w:rtl/>
        </w:rPr>
        <w:t>המפלת</w:t>
      </w:r>
      <w:r w:rsidRPr="0092795F">
        <w:rPr>
          <w:rFonts w:cs="Arial"/>
          <w:sz w:val="20"/>
          <w:szCs w:val="20"/>
          <w:rtl/>
        </w:rPr>
        <w:t xml:space="preserve"> </w:t>
      </w:r>
      <w:r w:rsidRPr="0092795F">
        <w:rPr>
          <w:rFonts w:cs="Arial" w:hint="cs"/>
          <w:sz w:val="20"/>
          <w:szCs w:val="20"/>
          <w:rtl/>
        </w:rPr>
        <w:t>שפיר</w:t>
      </w:r>
      <w:r w:rsidRPr="0092795F">
        <w:rPr>
          <w:rFonts w:cs="Arial"/>
          <w:sz w:val="20"/>
          <w:szCs w:val="20"/>
          <w:rtl/>
        </w:rPr>
        <w:t xml:space="preserve"> </w:t>
      </w:r>
      <w:r w:rsidRPr="0092795F">
        <w:rPr>
          <w:rFonts w:cs="Arial" w:hint="cs"/>
          <w:sz w:val="20"/>
          <w:szCs w:val="20"/>
          <w:rtl/>
        </w:rPr>
        <w:t>מלא</w:t>
      </w:r>
      <w:r w:rsidRPr="0092795F">
        <w:rPr>
          <w:rFonts w:cs="Arial"/>
          <w:sz w:val="20"/>
          <w:szCs w:val="20"/>
          <w:rtl/>
        </w:rPr>
        <w:t xml:space="preserve"> </w:t>
      </w:r>
      <w:r w:rsidRPr="0092795F">
        <w:rPr>
          <w:rFonts w:cs="Arial" w:hint="cs"/>
          <w:sz w:val="20"/>
          <w:szCs w:val="20"/>
          <w:rtl/>
        </w:rPr>
        <w:t>מים</w:t>
      </w:r>
      <w:r w:rsidRPr="0092795F">
        <w:rPr>
          <w:rFonts w:cs="Arial"/>
          <w:sz w:val="20"/>
          <w:szCs w:val="20"/>
          <w:rtl/>
        </w:rPr>
        <w:t xml:space="preserve"> </w:t>
      </w:r>
      <w:r w:rsidRPr="0092795F">
        <w:rPr>
          <w:rFonts w:cs="Arial" w:hint="cs"/>
          <w:sz w:val="20"/>
          <w:szCs w:val="20"/>
          <w:rtl/>
        </w:rPr>
        <w:t>מלא</w:t>
      </w:r>
      <w:r w:rsidRPr="0092795F">
        <w:rPr>
          <w:rFonts w:cs="Arial"/>
          <w:sz w:val="20"/>
          <w:szCs w:val="20"/>
          <w:rtl/>
        </w:rPr>
        <w:t xml:space="preserve"> </w:t>
      </w:r>
      <w:r w:rsidRPr="0092795F">
        <w:rPr>
          <w:rFonts w:cs="Arial" w:hint="cs"/>
          <w:sz w:val="20"/>
          <w:szCs w:val="20"/>
          <w:rtl/>
        </w:rPr>
        <w:t>דם</w:t>
      </w:r>
      <w:r w:rsidRPr="0092795F">
        <w:rPr>
          <w:rFonts w:cs="Arial"/>
          <w:sz w:val="20"/>
          <w:szCs w:val="20"/>
          <w:rtl/>
        </w:rPr>
        <w:t xml:space="preserve">, </w:t>
      </w:r>
      <w:r w:rsidRPr="0092795F">
        <w:rPr>
          <w:rFonts w:cs="Arial" w:hint="cs"/>
          <w:sz w:val="20"/>
          <w:szCs w:val="20"/>
          <w:rtl/>
        </w:rPr>
        <w:t>מלא</w:t>
      </w:r>
      <w:r w:rsidRPr="0092795F">
        <w:rPr>
          <w:rFonts w:cs="Arial"/>
          <w:sz w:val="20"/>
          <w:szCs w:val="20"/>
          <w:rtl/>
        </w:rPr>
        <w:t xml:space="preserve"> </w:t>
      </w:r>
      <w:r w:rsidRPr="0092795F">
        <w:rPr>
          <w:rFonts w:cs="Arial" w:hint="cs"/>
          <w:sz w:val="20"/>
          <w:szCs w:val="20"/>
          <w:rtl/>
        </w:rPr>
        <w:t>גנונים</w:t>
      </w:r>
      <w:r w:rsidRPr="0092795F">
        <w:rPr>
          <w:rFonts w:cs="Arial"/>
          <w:sz w:val="20"/>
          <w:szCs w:val="20"/>
          <w:rtl/>
        </w:rPr>
        <w:t xml:space="preserve"> - </w:t>
      </w:r>
      <w:r w:rsidRPr="0092795F">
        <w:rPr>
          <w:rFonts w:cs="Arial" w:hint="cs"/>
          <w:sz w:val="20"/>
          <w:szCs w:val="20"/>
          <w:rtl/>
        </w:rPr>
        <w:t>אינה</w:t>
      </w:r>
      <w:r w:rsidRPr="0092795F">
        <w:rPr>
          <w:rFonts w:cs="Arial"/>
          <w:sz w:val="20"/>
          <w:szCs w:val="20"/>
          <w:rtl/>
        </w:rPr>
        <w:t xml:space="preserve"> </w:t>
      </w:r>
      <w:r w:rsidRPr="0092795F">
        <w:rPr>
          <w:rFonts w:cs="Arial" w:hint="cs"/>
          <w:sz w:val="20"/>
          <w:szCs w:val="20"/>
          <w:rtl/>
        </w:rPr>
        <w:t>חוששת</w:t>
      </w:r>
      <w:r w:rsidRPr="0092795F">
        <w:rPr>
          <w:rFonts w:cs="Arial"/>
          <w:sz w:val="20"/>
          <w:szCs w:val="20"/>
          <w:rtl/>
        </w:rPr>
        <w:t xml:space="preserve"> </w:t>
      </w:r>
      <w:r w:rsidRPr="0092795F">
        <w:rPr>
          <w:rFonts w:cs="Arial" w:hint="cs"/>
          <w:sz w:val="20"/>
          <w:szCs w:val="20"/>
          <w:rtl/>
        </w:rPr>
        <w:t>לולד</w:t>
      </w:r>
      <w:r w:rsidRPr="0092795F">
        <w:rPr>
          <w:rFonts w:cs="Arial"/>
          <w:sz w:val="20"/>
          <w:szCs w:val="20"/>
          <w:rtl/>
        </w:rPr>
        <w:t xml:space="preserve">, </w:t>
      </w:r>
      <w:r w:rsidRPr="0092795F">
        <w:rPr>
          <w:rFonts w:cs="Arial" w:hint="cs"/>
          <w:sz w:val="20"/>
          <w:szCs w:val="20"/>
          <w:rtl/>
        </w:rPr>
        <w:t>ואם</w:t>
      </w:r>
      <w:r w:rsidRPr="0092795F">
        <w:rPr>
          <w:rFonts w:cs="Arial"/>
          <w:sz w:val="20"/>
          <w:szCs w:val="20"/>
          <w:rtl/>
        </w:rPr>
        <w:t xml:space="preserve"> </w:t>
      </w:r>
      <w:r w:rsidRPr="0092795F">
        <w:rPr>
          <w:rFonts w:cs="Arial" w:hint="cs"/>
          <w:sz w:val="20"/>
          <w:szCs w:val="20"/>
          <w:rtl/>
        </w:rPr>
        <w:t>היה</w:t>
      </w:r>
      <w:r w:rsidRPr="0092795F">
        <w:rPr>
          <w:rFonts w:cs="Arial"/>
          <w:sz w:val="20"/>
          <w:szCs w:val="20"/>
          <w:rtl/>
        </w:rPr>
        <w:t xml:space="preserve"> </w:t>
      </w:r>
      <w:r w:rsidRPr="0092795F">
        <w:rPr>
          <w:rFonts w:cs="Arial" w:hint="cs"/>
          <w:sz w:val="20"/>
          <w:szCs w:val="20"/>
          <w:rtl/>
        </w:rPr>
        <w:t>מרוקם</w:t>
      </w:r>
      <w:r w:rsidRPr="0092795F">
        <w:rPr>
          <w:rFonts w:cs="Arial"/>
          <w:sz w:val="20"/>
          <w:szCs w:val="20"/>
          <w:rtl/>
        </w:rPr>
        <w:t xml:space="preserve"> - </w:t>
      </w:r>
      <w:r w:rsidRPr="0092795F">
        <w:rPr>
          <w:rFonts w:cs="Arial" w:hint="cs"/>
          <w:sz w:val="20"/>
          <w:szCs w:val="20"/>
          <w:rtl/>
        </w:rPr>
        <w:t>תשב</w:t>
      </w:r>
      <w:r w:rsidRPr="0092795F">
        <w:rPr>
          <w:rFonts w:cs="Arial"/>
          <w:sz w:val="20"/>
          <w:szCs w:val="20"/>
          <w:rtl/>
        </w:rPr>
        <w:t xml:space="preserve"> </w:t>
      </w:r>
      <w:r w:rsidRPr="0092795F">
        <w:rPr>
          <w:rFonts w:cs="Arial" w:hint="cs"/>
          <w:sz w:val="20"/>
          <w:szCs w:val="20"/>
          <w:rtl/>
        </w:rPr>
        <w:t>לזכר</w:t>
      </w:r>
      <w:r w:rsidRPr="0092795F">
        <w:rPr>
          <w:rFonts w:cs="Arial"/>
          <w:sz w:val="20"/>
          <w:szCs w:val="20"/>
          <w:rtl/>
        </w:rPr>
        <w:t xml:space="preserve"> </w:t>
      </w:r>
      <w:r w:rsidRPr="0092795F">
        <w:rPr>
          <w:rFonts w:cs="Arial" w:hint="cs"/>
          <w:sz w:val="20"/>
          <w:szCs w:val="20"/>
          <w:rtl/>
        </w:rPr>
        <w:t>ולנקבה</w:t>
      </w:r>
      <w:r>
        <w:rPr>
          <w:rFonts w:cs="Arial" w:hint="cs"/>
          <w:sz w:val="20"/>
          <w:szCs w:val="20"/>
          <w:rtl/>
        </w:rPr>
        <w:t>".</w:t>
      </w:r>
      <w:r>
        <w:rPr>
          <w:sz w:val="20"/>
          <w:szCs w:val="20"/>
          <w:u w:val="single"/>
          <w:rtl/>
        </w:rPr>
        <w:br/>
      </w:r>
      <w:r w:rsidRPr="00606DF0">
        <w:rPr>
          <w:rFonts w:hint="cs"/>
          <w:b/>
          <w:bCs/>
          <w:sz w:val="20"/>
          <w:szCs w:val="20"/>
          <w:rtl/>
        </w:rPr>
        <w:t>גמרא</w:t>
      </w:r>
      <w:r>
        <w:rPr>
          <w:rFonts w:hint="cs"/>
          <w:sz w:val="20"/>
          <w:szCs w:val="20"/>
          <w:rtl/>
        </w:rPr>
        <w:t xml:space="preserve"> (שם) "</w:t>
      </w:r>
      <w:r w:rsidRPr="00606DF0">
        <w:rPr>
          <w:rFonts w:cs="Arial" w:hint="cs"/>
          <w:sz w:val="20"/>
          <w:szCs w:val="20"/>
          <w:rtl/>
        </w:rPr>
        <w:t>בשלמא</w:t>
      </w:r>
      <w:r w:rsidRPr="00606DF0">
        <w:rPr>
          <w:rFonts w:cs="Arial"/>
          <w:sz w:val="20"/>
          <w:szCs w:val="20"/>
          <w:rtl/>
        </w:rPr>
        <w:t xml:space="preserve"> </w:t>
      </w:r>
      <w:r w:rsidRPr="00606DF0">
        <w:rPr>
          <w:rFonts w:cs="Arial" w:hint="cs"/>
          <w:sz w:val="20"/>
          <w:szCs w:val="20"/>
          <w:rtl/>
        </w:rPr>
        <w:t>דם</w:t>
      </w:r>
      <w:r w:rsidRPr="00606DF0">
        <w:rPr>
          <w:rFonts w:cs="Arial"/>
          <w:sz w:val="20"/>
          <w:szCs w:val="20"/>
          <w:rtl/>
        </w:rPr>
        <w:t xml:space="preserve"> </w:t>
      </w:r>
      <w:r w:rsidRPr="00606DF0">
        <w:rPr>
          <w:rFonts w:cs="Arial" w:hint="cs"/>
          <w:sz w:val="20"/>
          <w:szCs w:val="20"/>
          <w:rtl/>
        </w:rPr>
        <w:t>ומים</w:t>
      </w:r>
      <w:r w:rsidRPr="00606DF0">
        <w:rPr>
          <w:rFonts w:cs="Arial"/>
          <w:sz w:val="20"/>
          <w:szCs w:val="20"/>
          <w:rtl/>
        </w:rPr>
        <w:t xml:space="preserve"> - </w:t>
      </w:r>
      <w:r w:rsidRPr="00606DF0">
        <w:rPr>
          <w:rFonts w:cs="Arial" w:hint="cs"/>
          <w:sz w:val="20"/>
          <w:szCs w:val="20"/>
          <w:rtl/>
        </w:rPr>
        <w:t>לא</w:t>
      </w:r>
      <w:r w:rsidRPr="00606DF0">
        <w:rPr>
          <w:rFonts w:cs="Arial"/>
          <w:sz w:val="20"/>
          <w:szCs w:val="20"/>
          <w:rtl/>
        </w:rPr>
        <w:t xml:space="preserve"> </w:t>
      </w:r>
      <w:r w:rsidRPr="00606DF0">
        <w:rPr>
          <w:rFonts w:cs="Arial" w:hint="cs"/>
          <w:sz w:val="20"/>
          <w:szCs w:val="20"/>
          <w:rtl/>
        </w:rPr>
        <w:t>כלום</w:t>
      </w:r>
      <w:r w:rsidRPr="00606DF0">
        <w:rPr>
          <w:rFonts w:cs="Arial"/>
          <w:sz w:val="20"/>
          <w:szCs w:val="20"/>
          <w:rtl/>
        </w:rPr>
        <w:t xml:space="preserve"> </w:t>
      </w:r>
      <w:r w:rsidRPr="00606DF0">
        <w:rPr>
          <w:rFonts w:cs="Arial" w:hint="cs"/>
          <w:sz w:val="20"/>
          <w:szCs w:val="20"/>
          <w:rtl/>
        </w:rPr>
        <w:t>היא</w:t>
      </w:r>
      <w:r w:rsidRPr="00606DF0">
        <w:rPr>
          <w:rFonts w:cs="Arial"/>
          <w:sz w:val="20"/>
          <w:szCs w:val="20"/>
          <w:rtl/>
        </w:rPr>
        <w:t xml:space="preserve">, </w:t>
      </w:r>
      <w:r w:rsidRPr="00606DF0">
        <w:rPr>
          <w:rFonts w:cs="Arial" w:hint="cs"/>
          <w:sz w:val="20"/>
          <w:szCs w:val="20"/>
          <w:rtl/>
        </w:rPr>
        <w:t>אלא</w:t>
      </w:r>
      <w:r w:rsidRPr="00606DF0">
        <w:rPr>
          <w:rFonts w:cs="Arial"/>
          <w:sz w:val="20"/>
          <w:szCs w:val="20"/>
          <w:rtl/>
        </w:rPr>
        <w:t xml:space="preserve"> </w:t>
      </w:r>
      <w:r w:rsidRPr="00606DF0">
        <w:rPr>
          <w:rFonts w:cs="Arial" w:hint="cs"/>
          <w:sz w:val="20"/>
          <w:szCs w:val="20"/>
          <w:rtl/>
        </w:rPr>
        <w:t>גנונים</w:t>
      </w:r>
      <w:r w:rsidRPr="00606DF0">
        <w:rPr>
          <w:rFonts w:cs="Arial"/>
          <w:sz w:val="20"/>
          <w:szCs w:val="20"/>
          <w:rtl/>
        </w:rPr>
        <w:t xml:space="preserve"> - </w:t>
      </w:r>
      <w:r w:rsidRPr="00606DF0">
        <w:rPr>
          <w:rFonts w:cs="Arial" w:hint="cs"/>
          <w:sz w:val="20"/>
          <w:szCs w:val="20"/>
          <w:rtl/>
        </w:rPr>
        <w:t>ניחוש</w:t>
      </w:r>
      <w:r w:rsidRPr="00606DF0">
        <w:rPr>
          <w:rFonts w:cs="Arial"/>
          <w:sz w:val="20"/>
          <w:szCs w:val="20"/>
          <w:rtl/>
        </w:rPr>
        <w:t xml:space="preserve"> </w:t>
      </w:r>
      <w:r w:rsidRPr="00606DF0">
        <w:rPr>
          <w:rFonts w:cs="Arial" w:hint="cs"/>
          <w:sz w:val="20"/>
          <w:szCs w:val="20"/>
          <w:rtl/>
        </w:rPr>
        <w:t>שמא</w:t>
      </w:r>
      <w:r w:rsidRPr="00606DF0">
        <w:rPr>
          <w:rFonts w:cs="Arial"/>
          <w:sz w:val="20"/>
          <w:szCs w:val="20"/>
          <w:rtl/>
        </w:rPr>
        <w:t xml:space="preserve"> </w:t>
      </w:r>
      <w:r w:rsidRPr="00606DF0">
        <w:rPr>
          <w:rFonts w:cs="Arial" w:hint="cs"/>
          <w:sz w:val="20"/>
          <w:szCs w:val="20"/>
          <w:rtl/>
        </w:rPr>
        <w:t>ולד</w:t>
      </w:r>
      <w:r w:rsidRPr="00606DF0">
        <w:rPr>
          <w:rFonts w:cs="Arial"/>
          <w:sz w:val="20"/>
          <w:szCs w:val="20"/>
          <w:rtl/>
        </w:rPr>
        <w:t xml:space="preserve"> </w:t>
      </w:r>
      <w:r w:rsidRPr="00606DF0">
        <w:rPr>
          <w:rFonts w:cs="Arial" w:hint="cs"/>
          <w:sz w:val="20"/>
          <w:szCs w:val="20"/>
          <w:rtl/>
        </w:rPr>
        <w:t>הוה</w:t>
      </w:r>
      <w:r w:rsidRPr="00606DF0">
        <w:rPr>
          <w:rFonts w:cs="Arial"/>
          <w:sz w:val="20"/>
          <w:szCs w:val="20"/>
          <w:rtl/>
        </w:rPr>
        <w:t xml:space="preserve"> </w:t>
      </w:r>
      <w:r w:rsidRPr="00606DF0">
        <w:rPr>
          <w:rFonts w:cs="Arial" w:hint="cs"/>
          <w:sz w:val="20"/>
          <w:szCs w:val="20"/>
          <w:rtl/>
        </w:rPr>
        <w:t>ונימוח</w:t>
      </w:r>
      <w:r>
        <w:rPr>
          <w:rFonts w:cs="Arial"/>
          <w:sz w:val="20"/>
          <w:szCs w:val="20"/>
          <w:rtl/>
        </w:rPr>
        <w:t>?</w:t>
      </w:r>
      <w:r>
        <w:rPr>
          <w:rFonts w:cs="Arial" w:hint="cs"/>
          <w:sz w:val="20"/>
          <w:szCs w:val="20"/>
          <w:rtl/>
        </w:rPr>
        <w:t xml:space="preserve">... </w:t>
      </w:r>
      <w:r w:rsidRPr="00606DF0">
        <w:rPr>
          <w:rFonts w:cs="Arial" w:hint="cs"/>
          <w:sz w:val="20"/>
          <w:szCs w:val="20"/>
          <w:rtl/>
        </w:rPr>
        <w:t>רבא</w:t>
      </w:r>
      <w:r w:rsidRPr="00606DF0">
        <w:rPr>
          <w:rFonts w:cs="Arial"/>
          <w:sz w:val="20"/>
          <w:szCs w:val="20"/>
          <w:rtl/>
        </w:rPr>
        <w:t xml:space="preserve"> </w:t>
      </w:r>
      <w:r w:rsidRPr="00606DF0">
        <w:rPr>
          <w:rFonts w:cs="Arial" w:hint="cs"/>
          <w:sz w:val="20"/>
          <w:szCs w:val="20"/>
          <w:rtl/>
        </w:rPr>
        <w:t>אמר</w:t>
      </w:r>
      <w:r w:rsidRPr="00606DF0">
        <w:rPr>
          <w:rFonts w:cs="Arial"/>
          <w:sz w:val="20"/>
          <w:szCs w:val="20"/>
          <w:rtl/>
        </w:rPr>
        <w:t xml:space="preserve">: </w:t>
      </w:r>
      <w:r w:rsidRPr="00606DF0">
        <w:rPr>
          <w:rFonts w:cs="Arial" w:hint="cs"/>
          <w:sz w:val="20"/>
          <w:szCs w:val="20"/>
          <w:rtl/>
        </w:rPr>
        <w:t>מלא</w:t>
      </w:r>
      <w:r w:rsidRPr="00606DF0">
        <w:rPr>
          <w:rFonts w:cs="Arial"/>
          <w:sz w:val="20"/>
          <w:szCs w:val="20"/>
          <w:rtl/>
        </w:rPr>
        <w:t xml:space="preserve"> </w:t>
      </w:r>
      <w:r w:rsidRPr="00606DF0">
        <w:rPr>
          <w:rFonts w:cs="Arial" w:hint="cs"/>
          <w:sz w:val="20"/>
          <w:szCs w:val="20"/>
          <w:rtl/>
        </w:rPr>
        <w:t>תנן</w:t>
      </w:r>
      <w:r w:rsidRPr="00606DF0">
        <w:rPr>
          <w:rFonts w:cs="Arial"/>
          <w:sz w:val="20"/>
          <w:szCs w:val="20"/>
          <w:rtl/>
        </w:rPr>
        <w:t xml:space="preserve">, </w:t>
      </w:r>
      <w:r w:rsidRPr="00606DF0">
        <w:rPr>
          <w:rFonts w:cs="Arial" w:hint="cs"/>
          <w:sz w:val="20"/>
          <w:szCs w:val="20"/>
          <w:rtl/>
        </w:rPr>
        <w:t>ואם</w:t>
      </w:r>
      <w:r w:rsidRPr="00606DF0">
        <w:rPr>
          <w:rFonts w:cs="Arial"/>
          <w:sz w:val="20"/>
          <w:szCs w:val="20"/>
          <w:rtl/>
        </w:rPr>
        <w:t xml:space="preserve"> </w:t>
      </w:r>
      <w:r w:rsidRPr="00606DF0">
        <w:rPr>
          <w:rFonts w:cs="Arial" w:hint="cs"/>
          <w:sz w:val="20"/>
          <w:szCs w:val="20"/>
          <w:rtl/>
        </w:rPr>
        <w:t>איתא</w:t>
      </w:r>
      <w:r w:rsidRPr="00606DF0">
        <w:rPr>
          <w:rFonts w:cs="Arial"/>
          <w:sz w:val="20"/>
          <w:szCs w:val="20"/>
          <w:rtl/>
        </w:rPr>
        <w:t xml:space="preserve"> </w:t>
      </w:r>
      <w:r w:rsidRPr="00606DF0">
        <w:rPr>
          <w:rFonts w:cs="Arial" w:hint="cs"/>
          <w:sz w:val="20"/>
          <w:szCs w:val="20"/>
          <w:rtl/>
        </w:rPr>
        <w:t>דאתמוחי</w:t>
      </w:r>
      <w:r w:rsidRPr="00606DF0">
        <w:rPr>
          <w:rFonts w:cs="Arial"/>
          <w:sz w:val="20"/>
          <w:szCs w:val="20"/>
          <w:rtl/>
        </w:rPr>
        <w:t xml:space="preserve"> </w:t>
      </w:r>
      <w:r w:rsidRPr="00606DF0">
        <w:rPr>
          <w:rFonts w:cs="Arial" w:hint="cs"/>
          <w:sz w:val="20"/>
          <w:szCs w:val="20"/>
          <w:rtl/>
        </w:rPr>
        <w:t>אתמח</w:t>
      </w:r>
      <w:r w:rsidRPr="00606DF0">
        <w:rPr>
          <w:rFonts w:cs="Arial"/>
          <w:sz w:val="20"/>
          <w:szCs w:val="20"/>
          <w:rtl/>
        </w:rPr>
        <w:t xml:space="preserve"> - </w:t>
      </w:r>
      <w:r w:rsidRPr="00606DF0">
        <w:rPr>
          <w:rFonts w:cs="Arial" w:hint="cs"/>
          <w:sz w:val="20"/>
          <w:szCs w:val="20"/>
          <w:rtl/>
        </w:rPr>
        <w:t>מחסר</w:t>
      </w:r>
      <w:r w:rsidRPr="00606DF0">
        <w:rPr>
          <w:rFonts w:cs="Arial"/>
          <w:sz w:val="20"/>
          <w:szCs w:val="20"/>
          <w:rtl/>
        </w:rPr>
        <w:t xml:space="preserve"> </w:t>
      </w:r>
      <w:r w:rsidRPr="00606DF0">
        <w:rPr>
          <w:rFonts w:cs="Arial" w:hint="cs"/>
          <w:sz w:val="20"/>
          <w:szCs w:val="20"/>
          <w:rtl/>
        </w:rPr>
        <w:t>חסר</w:t>
      </w:r>
      <w:r w:rsidRPr="00606DF0">
        <w:rPr>
          <w:rFonts w:cs="Arial"/>
          <w:sz w:val="20"/>
          <w:szCs w:val="20"/>
          <w:rtl/>
        </w:rPr>
        <w:t xml:space="preserve">. </w:t>
      </w:r>
      <w:r w:rsidRPr="00606DF0">
        <w:rPr>
          <w:rFonts w:cs="Arial" w:hint="cs"/>
          <w:sz w:val="20"/>
          <w:szCs w:val="20"/>
          <w:rtl/>
        </w:rPr>
        <w:t>רב</w:t>
      </w:r>
      <w:r w:rsidRPr="00606DF0">
        <w:rPr>
          <w:rFonts w:cs="Arial"/>
          <w:sz w:val="20"/>
          <w:szCs w:val="20"/>
          <w:rtl/>
        </w:rPr>
        <w:t xml:space="preserve"> </w:t>
      </w:r>
      <w:r w:rsidRPr="00606DF0">
        <w:rPr>
          <w:rFonts w:cs="Arial" w:hint="cs"/>
          <w:sz w:val="20"/>
          <w:szCs w:val="20"/>
          <w:rtl/>
        </w:rPr>
        <w:t>אדא</w:t>
      </w:r>
      <w:r w:rsidRPr="00606DF0">
        <w:rPr>
          <w:rFonts w:cs="Arial"/>
          <w:sz w:val="20"/>
          <w:szCs w:val="20"/>
          <w:rtl/>
        </w:rPr>
        <w:t xml:space="preserve"> </w:t>
      </w:r>
      <w:r w:rsidRPr="00606DF0">
        <w:rPr>
          <w:rFonts w:cs="Arial" w:hint="cs"/>
          <w:sz w:val="20"/>
          <w:szCs w:val="20"/>
          <w:rtl/>
        </w:rPr>
        <w:t>בר</w:t>
      </w:r>
      <w:r w:rsidRPr="00606DF0">
        <w:rPr>
          <w:rFonts w:cs="Arial"/>
          <w:sz w:val="20"/>
          <w:szCs w:val="20"/>
          <w:rtl/>
        </w:rPr>
        <w:t xml:space="preserve"> </w:t>
      </w:r>
      <w:r w:rsidRPr="00606DF0">
        <w:rPr>
          <w:rFonts w:cs="Arial" w:hint="cs"/>
          <w:sz w:val="20"/>
          <w:szCs w:val="20"/>
          <w:rtl/>
        </w:rPr>
        <w:t>אהבה</w:t>
      </w:r>
      <w:r w:rsidRPr="00606DF0">
        <w:rPr>
          <w:rFonts w:cs="Arial"/>
          <w:sz w:val="20"/>
          <w:szCs w:val="20"/>
          <w:rtl/>
        </w:rPr>
        <w:t xml:space="preserve"> </w:t>
      </w:r>
      <w:r w:rsidRPr="00606DF0">
        <w:rPr>
          <w:rFonts w:cs="Arial" w:hint="cs"/>
          <w:sz w:val="20"/>
          <w:szCs w:val="20"/>
          <w:rtl/>
        </w:rPr>
        <w:t>אמר</w:t>
      </w:r>
      <w:r w:rsidRPr="00606DF0">
        <w:rPr>
          <w:rFonts w:cs="Arial"/>
          <w:sz w:val="20"/>
          <w:szCs w:val="20"/>
          <w:rtl/>
        </w:rPr>
        <w:t xml:space="preserve">: </w:t>
      </w:r>
      <w:r w:rsidRPr="00606DF0">
        <w:rPr>
          <w:rFonts w:cs="Arial" w:hint="cs"/>
          <w:sz w:val="20"/>
          <w:szCs w:val="20"/>
          <w:rtl/>
        </w:rPr>
        <w:t>גוונים</w:t>
      </w:r>
      <w:r w:rsidRPr="00606DF0">
        <w:rPr>
          <w:rFonts w:cs="Arial"/>
          <w:sz w:val="20"/>
          <w:szCs w:val="20"/>
          <w:rtl/>
        </w:rPr>
        <w:t xml:space="preserve"> </w:t>
      </w:r>
      <w:r w:rsidRPr="00606DF0">
        <w:rPr>
          <w:rFonts w:cs="Arial" w:hint="cs"/>
          <w:sz w:val="20"/>
          <w:szCs w:val="20"/>
          <w:rtl/>
        </w:rPr>
        <w:t>תנן</w:t>
      </w:r>
      <w:r w:rsidRPr="00606DF0">
        <w:rPr>
          <w:rFonts w:cs="Arial"/>
          <w:sz w:val="20"/>
          <w:szCs w:val="20"/>
          <w:rtl/>
        </w:rPr>
        <w:t xml:space="preserve">, </w:t>
      </w:r>
      <w:r w:rsidRPr="00606DF0">
        <w:rPr>
          <w:rFonts w:cs="Arial" w:hint="cs"/>
          <w:sz w:val="20"/>
          <w:szCs w:val="20"/>
          <w:rtl/>
        </w:rPr>
        <w:t>ואם</w:t>
      </w:r>
      <w:r w:rsidRPr="00606DF0">
        <w:rPr>
          <w:rFonts w:cs="Arial"/>
          <w:sz w:val="20"/>
          <w:szCs w:val="20"/>
          <w:rtl/>
        </w:rPr>
        <w:t xml:space="preserve"> </w:t>
      </w:r>
      <w:r w:rsidRPr="00606DF0">
        <w:rPr>
          <w:rFonts w:cs="Arial" w:hint="cs"/>
          <w:sz w:val="20"/>
          <w:szCs w:val="20"/>
          <w:rtl/>
        </w:rPr>
        <w:t>איתא</w:t>
      </w:r>
      <w:r w:rsidRPr="00606DF0">
        <w:rPr>
          <w:rFonts w:cs="Arial"/>
          <w:sz w:val="20"/>
          <w:szCs w:val="20"/>
          <w:rtl/>
        </w:rPr>
        <w:t xml:space="preserve"> </w:t>
      </w:r>
      <w:r w:rsidRPr="00606DF0">
        <w:rPr>
          <w:rFonts w:cs="Arial" w:hint="cs"/>
          <w:sz w:val="20"/>
          <w:szCs w:val="20"/>
          <w:rtl/>
        </w:rPr>
        <w:t>דאתמוחי</w:t>
      </w:r>
      <w:r w:rsidRPr="00606DF0">
        <w:rPr>
          <w:rFonts w:cs="Arial"/>
          <w:sz w:val="20"/>
          <w:szCs w:val="20"/>
          <w:rtl/>
        </w:rPr>
        <w:t xml:space="preserve"> </w:t>
      </w:r>
      <w:r w:rsidRPr="00606DF0">
        <w:rPr>
          <w:rFonts w:cs="Arial" w:hint="cs"/>
          <w:sz w:val="20"/>
          <w:szCs w:val="20"/>
          <w:rtl/>
        </w:rPr>
        <w:t>אתמח</w:t>
      </w:r>
      <w:r w:rsidRPr="00606DF0">
        <w:rPr>
          <w:rFonts w:cs="Arial"/>
          <w:sz w:val="20"/>
          <w:szCs w:val="20"/>
          <w:rtl/>
        </w:rPr>
        <w:t xml:space="preserve"> - </w:t>
      </w:r>
      <w:r w:rsidRPr="00606DF0">
        <w:rPr>
          <w:rFonts w:cs="Arial" w:hint="cs"/>
          <w:sz w:val="20"/>
          <w:szCs w:val="20"/>
          <w:rtl/>
        </w:rPr>
        <w:t>כולה</w:t>
      </w:r>
      <w:r w:rsidRPr="00606DF0">
        <w:rPr>
          <w:rFonts w:cs="Arial"/>
          <w:sz w:val="20"/>
          <w:szCs w:val="20"/>
          <w:rtl/>
        </w:rPr>
        <w:t xml:space="preserve"> </w:t>
      </w:r>
      <w:r w:rsidRPr="00606DF0">
        <w:rPr>
          <w:rFonts w:cs="Arial" w:hint="cs"/>
          <w:sz w:val="20"/>
          <w:szCs w:val="20"/>
          <w:rtl/>
        </w:rPr>
        <w:t>בחד</w:t>
      </w:r>
      <w:r w:rsidRPr="00606DF0">
        <w:rPr>
          <w:rFonts w:cs="Arial"/>
          <w:sz w:val="20"/>
          <w:szCs w:val="20"/>
          <w:rtl/>
        </w:rPr>
        <w:t xml:space="preserve"> </w:t>
      </w:r>
      <w:r w:rsidRPr="00606DF0">
        <w:rPr>
          <w:rFonts w:cs="Arial" w:hint="cs"/>
          <w:sz w:val="20"/>
          <w:szCs w:val="20"/>
          <w:rtl/>
        </w:rPr>
        <w:t>גוונא</w:t>
      </w:r>
      <w:r w:rsidRPr="00606DF0">
        <w:rPr>
          <w:rFonts w:cs="Arial"/>
          <w:sz w:val="20"/>
          <w:szCs w:val="20"/>
          <w:rtl/>
        </w:rPr>
        <w:t xml:space="preserve"> </w:t>
      </w:r>
      <w:r w:rsidRPr="00606DF0">
        <w:rPr>
          <w:rFonts w:cs="Arial" w:hint="cs"/>
          <w:sz w:val="20"/>
          <w:szCs w:val="20"/>
          <w:rtl/>
        </w:rPr>
        <w:t>הוי</w:t>
      </w:r>
      <w:r w:rsidRPr="00606DF0">
        <w:rPr>
          <w:rFonts w:cs="Arial"/>
          <w:sz w:val="20"/>
          <w:szCs w:val="20"/>
          <w:rtl/>
        </w:rPr>
        <w:t xml:space="preserve"> </w:t>
      </w:r>
      <w:r w:rsidRPr="00606DF0">
        <w:rPr>
          <w:rFonts w:cs="Arial" w:hint="cs"/>
          <w:sz w:val="20"/>
          <w:szCs w:val="20"/>
          <w:rtl/>
        </w:rPr>
        <w:t>קאי</w:t>
      </w:r>
      <w:r>
        <w:rPr>
          <w:rFonts w:hint="cs"/>
          <w:sz w:val="20"/>
          <w:szCs w:val="20"/>
          <w:rtl/>
        </w:rPr>
        <w:t>"</w:t>
      </w:r>
      <w:r>
        <w:rPr>
          <w:rFonts w:hint="cs"/>
          <w:sz w:val="20"/>
          <w:szCs w:val="20"/>
          <w:u w:val="single"/>
          <w:rtl/>
        </w:rPr>
        <w:br/>
      </w:r>
      <w:r>
        <w:rPr>
          <w:sz w:val="20"/>
          <w:szCs w:val="20"/>
          <w:rtl/>
        </w:rPr>
        <w:br/>
      </w:r>
      <w:r>
        <w:rPr>
          <w:rFonts w:hint="cs"/>
          <w:sz w:val="20"/>
          <w:szCs w:val="20"/>
          <w:rtl/>
        </w:rPr>
        <w:t xml:space="preserve">ב. </w:t>
      </w:r>
      <w:r>
        <w:rPr>
          <w:rFonts w:hint="cs"/>
          <w:b/>
          <w:bCs/>
          <w:sz w:val="20"/>
          <w:szCs w:val="20"/>
          <w:rtl/>
        </w:rPr>
        <w:t xml:space="preserve">גמרא </w:t>
      </w:r>
      <w:r>
        <w:rPr>
          <w:rFonts w:hint="cs"/>
          <w:sz w:val="20"/>
          <w:szCs w:val="20"/>
          <w:rtl/>
        </w:rPr>
        <w:t>(שם, כה.) "</w:t>
      </w:r>
      <w:r w:rsidRPr="0092795F">
        <w:rPr>
          <w:rFonts w:cs="Arial" w:hint="cs"/>
          <w:sz w:val="20"/>
          <w:szCs w:val="20"/>
          <w:rtl/>
        </w:rPr>
        <w:t>תניא</w:t>
      </w:r>
      <w:r w:rsidRPr="0092795F">
        <w:rPr>
          <w:rFonts w:cs="Arial"/>
          <w:sz w:val="20"/>
          <w:szCs w:val="20"/>
          <w:rtl/>
        </w:rPr>
        <w:t xml:space="preserve">, </w:t>
      </w:r>
      <w:r w:rsidRPr="0092795F">
        <w:rPr>
          <w:rFonts w:cs="Arial" w:hint="cs"/>
          <w:sz w:val="20"/>
          <w:szCs w:val="20"/>
          <w:rtl/>
        </w:rPr>
        <w:t>המפלת</w:t>
      </w:r>
      <w:r w:rsidRPr="0092795F">
        <w:rPr>
          <w:rFonts w:cs="Arial"/>
          <w:sz w:val="20"/>
          <w:szCs w:val="20"/>
          <w:rtl/>
        </w:rPr>
        <w:t xml:space="preserve"> </w:t>
      </w:r>
      <w:r w:rsidRPr="0092795F">
        <w:rPr>
          <w:rFonts w:cs="Arial" w:hint="cs"/>
          <w:sz w:val="20"/>
          <w:szCs w:val="20"/>
          <w:rtl/>
        </w:rPr>
        <w:t>שפיר</w:t>
      </w:r>
      <w:r w:rsidRPr="0092795F">
        <w:rPr>
          <w:rFonts w:cs="Arial"/>
          <w:sz w:val="20"/>
          <w:szCs w:val="20"/>
          <w:rtl/>
        </w:rPr>
        <w:t xml:space="preserve"> </w:t>
      </w:r>
      <w:r w:rsidRPr="0092795F">
        <w:rPr>
          <w:rFonts w:cs="Arial" w:hint="cs"/>
          <w:sz w:val="20"/>
          <w:szCs w:val="20"/>
          <w:rtl/>
        </w:rPr>
        <w:t>שאינו</w:t>
      </w:r>
      <w:r w:rsidRPr="0092795F">
        <w:rPr>
          <w:rFonts w:cs="Arial"/>
          <w:sz w:val="20"/>
          <w:szCs w:val="20"/>
          <w:rtl/>
        </w:rPr>
        <w:t xml:space="preserve"> </w:t>
      </w:r>
      <w:r w:rsidRPr="0092795F">
        <w:rPr>
          <w:rFonts w:cs="Arial" w:hint="cs"/>
          <w:sz w:val="20"/>
          <w:szCs w:val="20"/>
          <w:rtl/>
        </w:rPr>
        <w:t>מרוקם</w:t>
      </w:r>
      <w:r w:rsidRPr="0092795F">
        <w:rPr>
          <w:rFonts w:cs="Arial"/>
          <w:sz w:val="20"/>
          <w:szCs w:val="20"/>
          <w:rtl/>
        </w:rPr>
        <w:t xml:space="preserve">, </w:t>
      </w:r>
      <w:r w:rsidRPr="0092795F">
        <w:rPr>
          <w:rFonts w:cs="Arial" w:hint="cs"/>
          <w:sz w:val="20"/>
          <w:szCs w:val="20"/>
          <w:rtl/>
        </w:rPr>
        <w:t>ר</w:t>
      </w:r>
      <w:r>
        <w:rPr>
          <w:rFonts w:cs="Arial" w:hint="cs"/>
          <w:sz w:val="20"/>
          <w:szCs w:val="20"/>
          <w:rtl/>
        </w:rPr>
        <w:t>בי</w:t>
      </w:r>
      <w:r w:rsidRPr="0092795F">
        <w:rPr>
          <w:rFonts w:cs="Arial"/>
          <w:sz w:val="20"/>
          <w:szCs w:val="20"/>
          <w:rtl/>
        </w:rPr>
        <w:t xml:space="preserve"> </w:t>
      </w:r>
      <w:r w:rsidRPr="0092795F">
        <w:rPr>
          <w:rFonts w:cs="Arial" w:hint="cs"/>
          <w:sz w:val="20"/>
          <w:szCs w:val="20"/>
          <w:rtl/>
        </w:rPr>
        <w:t>יהושע</w:t>
      </w:r>
      <w:r w:rsidRPr="0092795F">
        <w:rPr>
          <w:rFonts w:cs="Arial"/>
          <w:sz w:val="20"/>
          <w:szCs w:val="20"/>
          <w:rtl/>
        </w:rPr>
        <w:t xml:space="preserve"> </w:t>
      </w:r>
      <w:r w:rsidRPr="0092795F">
        <w:rPr>
          <w:rFonts w:cs="Arial" w:hint="cs"/>
          <w:sz w:val="20"/>
          <w:szCs w:val="20"/>
          <w:rtl/>
        </w:rPr>
        <w:t>אומר</w:t>
      </w:r>
      <w:r w:rsidRPr="0092795F">
        <w:rPr>
          <w:rFonts w:cs="Arial"/>
          <w:sz w:val="20"/>
          <w:szCs w:val="20"/>
          <w:rtl/>
        </w:rPr>
        <w:t xml:space="preserve"> </w:t>
      </w:r>
      <w:r w:rsidRPr="0092795F">
        <w:rPr>
          <w:rFonts w:cs="Arial" w:hint="cs"/>
          <w:sz w:val="20"/>
          <w:szCs w:val="20"/>
          <w:rtl/>
        </w:rPr>
        <w:t>ולד</w:t>
      </w:r>
      <w:r w:rsidRPr="0092795F">
        <w:rPr>
          <w:rFonts w:cs="Arial"/>
          <w:sz w:val="20"/>
          <w:szCs w:val="20"/>
          <w:rtl/>
        </w:rPr>
        <w:t xml:space="preserve">, </w:t>
      </w:r>
      <w:r w:rsidRPr="0092795F">
        <w:rPr>
          <w:rFonts w:cs="Arial" w:hint="cs"/>
          <w:sz w:val="20"/>
          <w:szCs w:val="20"/>
          <w:rtl/>
        </w:rPr>
        <w:t>וחכ</w:t>
      </w:r>
      <w:r>
        <w:rPr>
          <w:rFonts w:cs="Arial" w:hint="cs"/>
          <w:sz w:val="20"/>
          <w:szCs w:val="20"/>
          <w:rtl/>
        </w:rPr>
        <w:t xml:space="preserve">מים </w:t>
      </w:r>
      <w:r w:rsidRPr="0092795F">
        <w:rPr>
          <w:rFonts w:cs="Arial" w:hint="cs"/>
          <w:sz w:val="20"/>
          <w:szCs w:val="20"/>
          <w:rtl/>
        </w:rPr>
        <w:t>א</w:t>
      </w:r>
      <w:r>
        <w:rPr>
          <w:rFonts w:cs="Arial" w:hint="cs"/>
          <w:sz w:val="20"/>
          <w:szCs w:val="20"/>
          <w:rtl/>
        </w:rPr>
        <w:t>ומרים</w:t>
      </w:r>
      <w:r w:rsidRPr="0092795F">
        <w:rPr>
          <w:rFonts w:cs="Arial"/>
          <w:sz w:val="20"/>
          <w:szCs w:val="20"/>
          <w:rtl/>
        </w:rPr>
        <w:t xml:space="preserve"> </w:t>
      </w:r>
      <w:r w:rsidRPr="0092795F">
        <w:rPr>
          <w:rFonts w:cs="Arial" w:hint="cs"/>
          <w:sz w:val="20"/>
          <w:szCs w:val="20"/>
          <w:rtl/>
        </w:rPr>
        <w:t>אינו</w:t>
      </w:r>
      <w:r w:rsidRPr="0092795F">
        <w:rPr>
          <w:rFonts w:cs="Arial"/>
          <w:sz w:val="20"/>
          <w:szCs w:val="20"/>
          <w:rtl/>
        </w:rPr>
        <w:t xml:space="preserve"> </w:t>
      </w:r>
      <w:r w:rsidRPr="0092795F">
        <w:rPr>
          <w:rFonts w:cs="Arial" w:hint="cs"/>
          <w:sz w:val="20"/>
          <w:szCs w:val="20"/>
          <w:rtl/>
        </w:rPr>
        <w:t>ולד</w:t>
      </w:r>
      <w:r w:rsidRPr="0092795F">
        <w:rPr>
          <w:rFonts w:cs="Arial"/>
          <w:sz w:val="20"/>
          <w:szCs w:val="20"/>
          <w:rtl/>
        </w:rPr>
        <w:t xml:space="preserve">. </w:t>
      </w:r>
      <w:r w:rsidRPr="0092795F">
        <w:rPr>
          <w:rFonts w:cs="Arial" w:hint="cs"/>
          <w:sz w:val="20"/>
          <w:szCs w:val="20"/>
          <w:rtl/>
        </w:rPr>
        <w:t>אמר</w:t>
      </w:r>
      <w:r w:rsidRPr="0092795F">
        <w:rPr>
          <w:rFonts w:cs="Arial"/>
          <w:sz w:val="20"/>
          <w:szCs w:val="20"/>
          <w:rtl/>
        </w:rPr>
        <w:t xml:space="preserve"> </w:t>
      </w:r>
      <w:r w:rsidRPr="0092795F">
        <w:rPr>
          <w:rFonts w:cs="Arial" w:hint="cs"/>
          <w:sz w:val="20"/>
          <w:szCs w:val="20"/>
          <w:rtl/>
        </w:rPr>
        <w:t>ר</w:t>
      </w:r>
      <w:r>
        <w:rPr>
          <w:rFonts w:cs="Arial" w:hint="cs"/>
          <w:sz w:val="20"/>
          <w:szCs w:val="20"/>
          <w:rtl/>
        </w:rPr>
        <w:t xml:space="preserve">בי </w:t>
      </w:r>
      <w:r w:rsidRPr="0092795F">
        <w:rPr>
          <w:rFonts w:cs="Arial" w:hint="cs"/>
          <w:sz w:val="20"/>
          <w:szCs w:val="20"/>
          <w:rtl/>
        </w:rPr>
        <w:t>ש</w:t>
      </w:r>
      <w:r>
        <w:rPr>
          <w:rFonts w:cs="Arial" w:hint="cs"/>
          <w:sz w:val="20"/>
          <w:szCs w:val="20"/>
          <w:rtl/>
        </w:rPr>
        <w:t>מעון</w:t>
      </w:r>
      <w:r w:rsidRPr="0092795F">
        <w:rPr>
          <w:rFonts w:cs="Arial"/>
          <w:sz w:val="20"/>
          <w:szCs w:val="20"/>
          <w:rtl/>
        </w:rPr>
        <w:t xml:space="preserve"> </w:t>
      </w:r>
      <w:r w:rsidRPr="0092795F">
        <w:rPr>
          <w:rFonts w:cs="Arial" w:hint="cs"/>
          <w:sz w:val="20"/>
          <w:szCs w:val="20"/>
          <w:rtl/>
        </w:rPr>
        <w:t>בן</w:t>
      </w:r>
      <w:r w:rsidRPr="0092795F">
        <w:rPr>
          <w:rFonts w:cs="Arial"/>
          <w:sz w:val="20"/>
          <w:szCs w:val="20"/>
          <w:rtl/>
        </w:rPr>
        <w:t xml:space="preserve"> </w:t>
      </w:r>
      <w:r w:rsidRPr="0092795F">
        <w:rPr>
          <w:rFonts w:cs="Arial" w:hint="cs"/>
          <w:sz w:val="20"/>
          <w:szCs w:val="20"/>
          <w:rtl/>
        </w:rPr>
        <w:t>לקיש</w:t>
      </w:r>
      <w:r w:rsidRPr="0092795F">
        <w:rPr>
          <w:rFonts w:cs="Arial"/>
          <w:sz w:val="20"/>
          <w:szCs w:val="20"/>
          <w:rtl/>
        </w:rPr>
        <w:t xml:space="preserve"> </w:t>
      </w:r>
      <w:r w:rsidRPr="0092795F">
        <w:rPr>
          <w:rFonts w:cs="Arial" w:hint="cs"/>
          <w:sz w:val="20"/>
          <w:szCs w:val="20"/>
          <w:rtl/>
        </w:rPr>
        <w:t>משום</w:t>
      </w:r>
      <w:r w:rsidRPr="0092795F">
        <w:rPr>
          <w:rFonts w:cs="Arial"/>
          <w:sz w:val="20"/>
          <w:szCs w:val="20"/>
          <w:rtl/>
        </w:rPr>
        <w:t xml:space="preserve"> </w:t>
      </w:r>
      <w:r w:rsidRPr="0092795F">
        <w:rPr>
          <w:rFonts w:cs="Arial" w:hint="cs"/>
          <w:sz w:val="20"/>
          <w:szCs w:val="20"/>
          <w:rtl/>
        </w:rPr>
        <w:t>ר</w:t>
      </w:r>
      <w:r>
        <w:rPr>
          <w:rFonts w:cs="Arial" w:hint="cs"/>
          <w:sz w:val="20"/>
          <w:szCs w:val="20"/>
          <w:rtl/>
        </w:rPr>
        <w:t>בי</w:t>
      </w:r>
      <w:r w:rsidRPr="0092795F">
        <w:rPr>
          <w:rFonts w:cs="Arial"/>
          <w:sz w:val="20"/>
          <w:szCs w:val="20"/>
          <w:rtl/>
        </w:rPr>
        <w:t xml:space="preserve"> </w:t>
      </w:r>
      <w:r w:rsidRPr="0092795F">
        <w:rPr>
          <w:rFonts w:cs="Arial" w:hint="cs"/>
          <w:sz w:val="20"/>
          <w:szCs w:val="20"/>
          <w:rtl/>
        </w:rPr>
        <w:t>אושעיא</w:t>
      </w:r>
      <w:r w:rsidRPr="0092795F">
        <w:rPr>
          <w:rFonts w:cs="Arial"/>
          <w:sz w:val="20"/>
          <w:szCs w:val="20"/>
          <w:rtl/>
        </w:rPr>
        <w:t xml:space="preserve">: </w:t>
      </w:r>
      <w:r w:rsidRPr="0092795F">
        <w:rPr>
          <w:rFonts w:cs="Arial" w:hint="cs"/>
          <w:sz w:val="20"/>
          <w:szCs w:val="20"/>
          <w:rtl/>
        </w:rPr>
        <w:t>מחלוקת</w:t>
      </w:r>
      <w:r w:rsidRPr="0092795F">
        <w:rPr>
          <w:rFonts w:cs="Arial"/>
          <w:sz w:val="20"/>
          <w:szCs w:val="20"/>
          <w:rtl/>
        </w:rPr>
        <w:t xml:space="preserve"> - </w:t>
      </w:r>
      <w:r w:rsidRPr="0092795F">
        <w:rPr>
          <w:rFonts w:cs="Arial" w:hint="cs"/>
          <w:sz w:val="20"/>
          <w:szCs w:val="20"/>
          <w:rtl/>
        </w:rPr>
        <w:t>בעכור</w:t>
      </w:r>
      <w:r w:rsidRPr="0092795F">
        <w:rPr>
          <w:rFonts w:cs="Arial"/>
          <w:sz w:val="20"/>
          <w:szCs w:val="20"/>
          <w:rtl/>
        </w:rPr>
        <w:t xml:space="preserve">, </w:t>
      </w:r>
      <w:r w:rsidRPr="0092795F">
        <w:rPr>
          <w:rFonts w:cs="Arial" w:hint="cs"/>
          <w:sz w:val="20"/>
          <w:szCs w:val="20"/>
          <w:rtl/>
        </w:rPr>
        <w:t>אבל</w:t>
      </w:r>
      <w:r w:rsidRPr="0092795F">
        <w:rPr>
          <w:rFonts w:cs="Arial"/>
          <w:sz w:val="20"/>
          <w:szCs w:val="20"/>
          <w:rtl/>
        </w:rPr>
        <w:t xml:space="preserve"> </w:t>
      </w:r>
      <w:r w:rsidRPr="0092795F">
        <w:rPr>
          <w:rFonts w:cs="Arial" w:hint="cs"/>
          <w:sz w:val="20"/>
          <w:szCs w:val="20"/>
          <w:rtl/>
        </w:rPr>
        <w:t>בצלול</w:t>
      </w:r>
      <w:r w:rsidRPr="0092795F">
        <w:rPr>
          <w:rFonts w:cs="Arial"/>
          <w:sz w:val="20"/>
          <w:szCs w:val="20"/>
          <w:rtl/>
        </w:rPr>
        <w:t xml:space="preserve"> - </w:t>
      </w:r>
      <w:r w:rsidRPr="0092795F">
        <w:rPr>
          <w:rFonts w:cs="Arial" w:hint="cs"/>
          <w:sz w:val="20"/>
          <w:szCs w:val="20"/>
          <w:rtl/>
        </w:rPr>
        <w:t>דברי</w:t>
      </w:r>
      <w:r w:rsidRPr="0092795F">
        <w:rPr>
          <w:rFonts w:cs="Arial"/>
          <w:sz w:val="20"/>
          <w:szCs w:val="20"/>
          <w:rtl/>
        </w:rPr>
        <w:t xml:space="preserve"> </w:t>
      </w:r>
      <w:r w:rsidRPr="0092795F">
        <w:rPr>
          <w:rFonts w:cs="Arial" w:hint="cs"/>
          <w:sz w:val="20"/>
          <w:szCs w:val="20"/>
          <w:rtl/>
        </w:rPr>
        <w:t>הכל</w:t>
      </w:r>
      <w:r w:rsidRPr="0092795F">
        <w:rPr>
          <w:rFonts w:cs="Arial"/>
          <w:sz w:val="20"/>
          <w:szCs w:val="20"/>
          <w:rtl/>
        </w:rPr>
        <w:t xml:space="preserve"> </w:t>
      </w:r>
      <w:r w:rsidRPr="0092795F">
        <w:rPr>
          <w:rFonts w:cs="Arial" w:hint="cs"/>
          <w:sz w:val="20"/>
          <w:szCs w:val="20"/>
          <w:rtl/>
        </w:rPr>
        <w:t>אינו</w:t>
      </w:r>
      <w:r w:rsidRPr="0092795F">
        <w:rPr>
          <w:rFonts w:cs="Arial"/>
          <w:sz w:val="20"/>
          <w:szCs w:val="20"/>
          <w:rtl/>
        </w:rPr>
        <w:t xml:space="preserve"> </w:t>
      </w:r>
      <w:r w:rsidRPr="0092795F">
        <w:rPr>
          <w:rFonts w:cs="Arial" w:hint="cs"/>
          <w:sz w:val="20"/>
          <w:szCs w:val="20"/>
          <w:rtl/>
        </w:rPr>
        <w:t>ולד</w:t>
      </w:r>
      <w:r w:rsidRPr="0092795F">
        <w:rPr>
          <w:rFonts w:cs="Arial"/>
          <w:sz w:val="20"/>
          <w:szCs w:val="20"/>
          <w:rtl/>
        </w:rPr>
        <w:t xml:space="preserve">. </w:t>
      </w:r>
      <w:r w:rsidRPr="0092795F">
        <w:rPr>
          <w:rFonts w:cs="Arial" w:hint="cs"/>
          <w:sz w:val="20"/>
          <w:szCs w:val="20"/>
          <w:rtl/>
        </w:rPr>
        <w:t>ור</w:t>
      </w:r>
      <w:r>
        <w:rPr>
          <w:rFonts w:cs="Arial" w:hint="cs"/>
          <w:sz w:val="20"/>
          <w:szCs w:val="20"/>
          <w:rtl/>
        </w:rPr>
        <w:t>בי</w:t>
      </w:r>
      <w:r w:rsidRPr="0092795F">
        <w:rPr>
          <w:rFonts w:cs="Arial"/>
          <w:sz w:val="20"/>
          <w:szCs w:val="20"/>
          <w:rtl/>
        </w:rPr>
        <w:t xml:space="preserve"> </w:t>
      </w:r>
      <w:r w:rsidRPr="0092795F">
        <w:rPr>
          <w:rFonts w:cs="Arial" w:hint="cs"/>
          <w:sz w:val="20"/>
          <w:szCs w:val="20"/>
          <w:rtl/>
        </w:rPr>
        <w:t>יהושע</w:t>
      </w:r>
      <w:r w:rsidRPr="0092795F">
        <w:rPr>
          <w:rFonts w:cs="Arial"/>
          <w:sz w:val="20"/>
          <w:szCs w:val="20"/>
          <w:rtl/>
        </w:rPr>
        <w:t xml:space="preserve"> </w:t>
      </w:r>
      <w:r w:rsidRPr="0092795F">
        <w:rPr>
          <w:rFonts w:cs="Arial" w:hint="cs"/>
          <w:sz w:val="20"/>
          <w:szCs w:val="20"/>
          <w:rtl/>
        </w:rPr>
        <w:t>בן</w:t>
      </w:r>
      <w:r w:rsidRPr="0092795F">
        <w:rPr>
          <w:rFonts w:cs="Arial"/>
          <w:sz w:val="20"/>
          <w:szCs w:val="20"/>
          <w:rtl/>
        </w:rPr>
        <w:t xml:space="preserve"> </w:t>
      </w:r>
      <w:r w:rsidRPr="0092795F">
        <w:rPr>
          <w:rFonts w:cs="Arial" w:hint="cs"/>
          <w:sz w:val="20"/>
          <w:szCs w:val="20"/>
          <w:rtl/>
        </w:rPr>
        <w:t>לוי</w:t>
      </w:r>
      <w:r w:rsidRPr="0092795F">
        <w:rPr>
          <w:rFonts w:cs="Arial"/>
          <w:sz w:val="20"/>
          <w:szCs w:val="20"/>
          <w:rtl/>
        </w:rPr>
        <w:t xml:space="preserve"> </w:t>
      </w:r>
      <w:r w:rsidRPr="0092795F">
        <w:rPr>
          <w:rFonts w:cs="Arial" w:hint="cs"/>
          <w:sz w:val="20"/>
          <w:szCs w:val="20"/>
          <w:rtl/>
        </w:rPr>
        <w:t>אמר</w:t>
      </w:r>
      <w:r w:rsidRPr="0092795F">
        <w:rPr>
          <w:rFonts w:cs="Arial"/>
          <w:sz w:val="20"/>
          <w:szCs w:val="20"/>
          <w:rtl/>
        </w:rPr>
        <w:t xml:space="preserve">: </w:t>
      </w:r>
      <w:r w:rsidRPr="0092795F">
        <w:rPr>
          <w:rFonts w:cs="Arial" w:hint="cs"/>
          <w:sz w:val="20"/>
          <w:szCs w:val="20"/>
          <w:rtl/>
        </w:rPr>
        <w:t>בצלול</w:t>
      </w:r>
      <w:r w:rsidRPr="0092795F">
        <w:rPr>
          <w:rFonts w:cs="Arial"/>
          <w:sz w:val="20"/>
          <w:szCs w:val="20"/>
          <w:rtl/>
        </w:rPr>
        <w:t xml:space="preserve"> </w:t>
      </w:r>
      <w:r w:rsidRPr="0092795F">
        <w:rPr>
          <w:rFonts w:cs="Arial" w:hint="cs"/>
          <w:sz w:val="20"/>
          <w:szCs w:val="20"/>
          <w:rtl/>
        </w:rPr>
        <w:t>מחלוקת</w:t>
      </w:r>
      <w:r w:rsidRPr="0092795F">
        <w:rPr>
          <w:rFonts w:cs="Arial"/>
          <w:sz w:val="20"/>
          <w:szCs w:val="20"/>
          <w:rtl/>
        </w:rPr>
        <w:t xml:space="preserve">. </w:t>
      </w:r>
      <w:r w:rsidRPr="0092795F">
        <w:rPr>
          <w:rFonts w:cs="Arial" w:hint="cs"/>
          <w:sz w:val="20"/>
          <w:szCs w:val="20"/>
          <w:rtl/>
        </w:rPr>
        <w:t>איבעיא</w:t>
      </w:r>
      <w:r w:rsidRPr="0092795F">
        <w:rPr>
          <w:rFonts w:cs="Arial"/>
          <w:sz w:val="20"/>
          <w:szCs w:val="20"/>
          <w:rtl/>
        </w:rPr>
        <w:t xml:space="preserve"> </w:t>
      </w:r>
      <w:r w:rsidRPr="0092795F">
        <w:rPr>
          <w:rFonts w:cs="Arial" w:hint="cs"/>
          <w:sz w:val="20"/>
          <w:szCs w:val="20"/>
          <w:rtl/>
        </w:rPr>
        <w:t>להו</w:t>
      </w:r>
      <w:r w:rsidRPr="0092795F">
        <w:rPr>
          <w:rFonts w:cs="Arial"/>
          <w:sz w:val="20"/>
          <w:szCs w:val="20"/>
          <w:rtl/>
        </w:rPr>
        <w:t xml:space="preserve">: </w:t>
      </w:r>
      <w:r w:rsidRPr="0092795F">
        <w:rPr>
          <w:rFonts w:cs="Arial" w:hint="cs"/>
          <w:sz w:val="20"/>
          <w:szCs w:val="20"/>
          <w:rtl/>
        </w:rPr>
        <w:t>בצלול</w:t>
      </w:r>
      <w:r w:rsidRPr="0092795F">
        <w:rPr>
          <w:rFonts w:cs="Arial"/>
          <w:sz w:val="20"/>
          <w:szCs w:val="20"/>
          <w:rtl/>
        </w:rPr>
        <w:t xml:space="preserve"> </w:t>
      </w:r>
      <w:r w:rsidRPr="0092795F">
        <w:rPr>
          <w:rFonts w:cs="Arial" w:hint="cs"/>
          <w:sz w:val="20"/>
          <w:szCs w:val="20"/>
          <w:rtl/>
        </w:rPr>
        <w:t>מחלוקת</w:t>
      </w:r>
      <w:r w:rsidRPr="0092795F">
        <w:rPr>
          <w:rFonts w:cs="Arial"/>
          <w:sz w:val="20"/>
          <w:szCs w:val="20"/>
          <w:rtl/>
        </w:rPr>
        <w:t xml:space="preserve"> - </w:t>
      </w:r>
      <w:r w:rsidRPr="0092795F">
        <w:rPr>
          <w:rFonts w:cs="Arial" w:hint="cs"/>
          <w:sz w:val="20"/>
          <w:szCs w:val="20"/>
          <w:rtl/>
        </w:rPr>
        <w:t>אבל</w:t>
      </w:r>
      <w:r w:rsidRPr="0092795F">
        <w:rPr>
          <w:rFonts w:cs="Arial"/>
          <w:sz w:val="20"/>
          <w:szCs w:val="20"/>
          <w:rtl/>
        </w:rPr>
        <w:t xml:space="preserve"> </w:t>
      </w:r>
      <w:r w:rsidRPr="0092795F">
        <w:rPr>
          <w:rFonts w:cs="Arial" w:hint="cs"/>
          <w:sz w:val="20"/>
          <w:szCs w:val="20"/>
          <w:rtl/>
        </w:rPr>
        <w:t>בעכור</w:t>
      </w:r>
      <w:r w:rsidRPr="0092795F">
        <w:rPr>
          <w:rFonts w:cs="Arial"/>
          <w:sz w:val="20"/>
          <w:szCs w:val="20"/>
          <w:rtl/>
        </w:rPr>
        <w:t xml:space="preserve"> </w:t>
      </w:r>
      <w:r w:rsidRPr="0092795F">
        <w:rPr>
          <w:rFonts w:cs="Arial" w:hint="cs"/>
          <w:sz w:val="20"/>
          <w:szCs w:val="20"/>
          <w:rtl/>
        </w:rPr>
        <w:t>דברי</w:t>
      </w:r>
      <w:r w:rsidRPr="0092795F">
        <w:rPr>
          <w:rFonts w:cs="Arial"/>
          <w:sz w:val="20"/>
          <w:szCs w:val="20"/>
          <w:rtl/>
        </w:rPr>
        <w:t xml:space="preserve"> </w:t>
      </w:r>
      <w:r w:rsidRPr="0092795F">
        <w:rPr>
          <w:rFonts w:cs="Arial" w:hint="cs"/>
          <w:sz w:val="20"/>
          <w:szCs w:val="20"/>
          <w:rtl/>
        </w:rPr>
        <w:t>הכל</w:t>
      </w:r>
      <w:r w:rsidRPr="0092795F">
        <w:rPr>
          <w:rFonts w:cs="Arial"/>
          <w:sz w:val="20"/>
          <w:szCs w:val="20"/>
          <w:rtl/>
        </w:rPr>
        <w:t xml:space="preserve"> </w:t>
      </w:r>
      <w:r w:rsidRPr="0092795F">
        <w:rPr>
          <w:rFonts w:cs="Arial" w:hint="cs"/>
          <w:sz w:val="20"/>
          <w:szCs w:val="20"/>
          <w:rtl/>
        </w:rPr>
        <w:t>ולד</w:t>
      </w:r>
      <w:r w:rsidRPr="0092795F">
        <w:rPr>
          <w:rFonts w:cs="Arial"/>
          <w:sz w:val="20"/>
          <w:szCs w:val="20"/>
          <w:rtl/>
        </w:rPr>
        <w:t xml:space="preserve">, </w:t>
      </w:r>
      <w:r w:rsidRPr="0092795F">
        <w:rPr>
          <w:rFonts w:cs="Arial" w:hint="cs"/>
          <w:sz w:val="20"/>
          <w:szCs w:val="20"/>
          <w:rtl/>
        </w:rPr>
        <w:t>או</w:t>
      </w:r>
      <w:r w:rsidRPr="0092795F">
        <w:rPr>
          <w:rFonts w:cs="Arial"/>
          <w:sz w:val="20"/>
          <w:szCs w:val="20"/>
          <w:rtl/>
        </w:rPr>
        <w:t xml:space="preserve"> </w:t>
      </w:r>
      <w:r w:rsidRPr="0092795F">
        <w:rPr>
          <w:rFonts w:cs="Arial" w:hint="cs"/>
          <w:sz w:val="20"/>
          <w:szCs w:val="20"/>
          <w:rtl/>
        </w:rPr>
        <w:t>דלמא</w:t>
      </w:r>
      <w:r w:rsidRPr="0092795F">
        <w:rPr>
          <w:rFonts w:cs="Arial"/>
          <w:sz w:val="20"/>
          <w:szCs w:val="20"/>
          <w:rtl/>
        </w:rPr>
        <w:t xml:space="preserve"> - </w:t>
      </w:r>
      <w:r w:rsidRPr="0092795F">
        <w:rPr>
          <w:rFonts w:cs="Arial" w:hint="cs"/>
          <w:sz w:val="20"/>
          <w:szCs w:val="20"/>
          <w:rtl/>
        </w:rPr>
        <w:t>בין</w:t>
      </w:r>
      <w:r w:rsidRPr="0092795F">
        <w:rPr>
          <w:rFonts w:cs="Arial"/>
          <w:sz w:val="20"/>
          <w:szCs w:val="20"/>
          <w:rtl/>
        </w:rPr>
        <w:t xml:space="preserve"> </w:t>
      </w:r>
      <w:r w:rsidRPr="0092795F">
        <w:rPr>
          <w:rFonts w:cs="Arial" w:hint="cs"/>
          <w:sz w:val="20"/>
          <w:szCs w:val="20"/>
          <w:rtl/>
        </w:rPr>
        <w:t>בזה</w:t>
      </w:r>
      <w:r w:rsidRPr="0092795F">
        <w:rPr>
          <w:rFonts w:cs="Arial"/>
          <w:sz w:val="20"/>
          <w:szCs w:val="20"/>
          <w:rtl/>
        </w:rPr>
        <w:t xml:space="preserve"> </w:t>
      </w:r>
      <w:r w:rsidRPr="0092795F">
        <w:rPr>
          <w:rFonts w:cs="Arial" w:hint="cs"/>
          <w:sz w:val="20"/>
          <w:szCs w:val="20"/>
          <w:rtl/>
        </w:rPr>
        <w:t>ובין</w:t>
      </w:r>
      <w:r w:rsidRPr="0092795F">
        <w:rPr>
          <w:rFonts w:cs="Arial"/>
          <w:sz w:val="20"/>
          <w:szCs w:val="20"/>
          <w:rtl/>
        </w:rPr>
        <w:t xml:space="preserve"> </w:t>
      </w:r>
      <w:r w:rsidRPr="0092795F">
        <w:rPr>
          <w:rFonts w:cs="Arial" w:hint="cs"/>
          <w:sz w:val="20"/>
          <w:szCs w:val="20"/>
          <w:rtl/>
        </w:rPr>
        <w:t>בזה</w:t>
      </w:r>
      <w:r w:rsidRPr="0092795F">
        <w:rPr>
          <w:rFonts w:cs="Arial"/>
          <w:sz w:val="20"/>
          <w:szCs w:val="20"/>
          <w:rtl/>
        </w:rPr>
        <w:t xml:space="preserve"> </w:t>
      </w:r>
      <w:r w:rsidRPr="0092795F">
        <w:rPr>
          <w:rFonts w:cs="Arial" w:hint="cs"/>
          <w:sz w:val="20"/>
          <w:szCs w:val="20"/>
          <w:rtl/>
        </w:rPr>
        <w:t>מחלוקת</w:t>
      </w:r>
      <w:r w:rsidRPr="0092795F">
        <w:rPr>
          <w:rFonts w:cs="Arial"/>
          <w:sz w:val="20"/>
          <w:szCs w:val="20"/>
          <w:rtl/>
        </w:rPr>
        <w:t xml:space="preserve">? </w:t>
      </w:r>
      <w:r w:rsidRPr="0092795F">
        <w:rPr>
          <w:rFonts w:cs="Arial" w:hint="cs"/>
          <w:sz w:val="20"/>
          <w:szCs w:val="20"/>
          <w:rtl/>
        </w:rPr>
        <w:t>תיקו</w:t>
      </w:r>
      <w:r w:rsidRPr="0092795F">
        <w:rPr>
          <w:rFonts w:cs="Arial"/>
          <w:sz w:val="20"/>
          <w:szCs w:val="20"/>
          <w:rtl/>
        </w:rPr>
        <w:t>.</w:t>
      </w:r>
      <w:r>
        <w:rPr>
          <w:rFonts w:cs="Arial" w:hint="cs"/>
          <w:sz w:val="20"/>
          <w:szCs w:val="20"/>
          <w:rtl/>
        </w:rPr>
        <w:t>..</w:t>
      </w:r>
      <w:r>
        <w:rPr>
          <w:sz w:val="20"/>
          <w:szCs w:val="20"/>
          <w:rtl/>
        </w:rPr>
        <w:br/>
      </w:r>
      <w:r w:rsidRPr="0092795F">
        <w:rPr>
          <w:rFonts w:cs="Arial" w:hint="cs"/>
          <w:sz w:val="20"/>
          <w:szCs w:val="20"/>
          <w:rtl/>
        </w:rPr>
        <w:t>א</w:t>
      </w:r>
      <w:r>
        <w:rPr>
          <w:rFonts w:cs="Arial" w:hint="cs"/>
          <w:sz w:val="20"/>
          <w:szCs w:val="20"/>
          <w:rtl/>
        </w:rPr>
        <w:t xml:space="preserve">מר </w:t>
      </w:r>
      <w:r w:rsidRPr="0092795F">
        <w:rPr>
          <w:rFonts w:cs="Arial" w:hint="cs"/>
          <w:sz w:val="20"/>
          <w:szCs w:val="20"/>
          <w:rtl/>
        </w:rPr>
        <w:t>ל</w:t>
      </w:r>
      <w:r>
        <w:rPr>
          <w:rFonts w:cs="Arial" w:hint="cs"/>
          <w:sz w:val="20"/>
          <w:szCs w:val="20"/>
          <w:rtl/>
        </w:rPr>
        <w:t>יה</w:t>
      </w:r>
      <w:r w:rsidRPr="0092795F">
        <w:rPr>
          <w:rFonts w:cs="Arial"/>
          <w:sz w:val="20"/>
          <w:szCs w:val="20"/>
          <w:rtl/>
        </w:rPr>
        <w:t xml:space="preserve"> </w:t>
      </w:r>
      <w:r w:rsidRPr="0092795F">
        <w:rPr>
          <w:rFonts w:cs="Arial" w:hint="cs"/>
          <w:sz w:val="20"/>
          <w:szCs w:val="20"/>
          <w:rtl/>
        </w:rPr>
        <w:t>רב</w:t>
      </w:r>
      <w:r w:rsidRPr="0092795F">
        <w:rPr>
          <w:rFonts w:cs="Arial"/>
          <w:sz w:val="20"/>
          <w:szCs w:val="20"/>
          <w:rtl/>
        </w:rPr>
        <w:t xml:space="preserve"> </w:t>
      </w:r>
      <w:r w:rsidRPr="0092795F">
        <w:rPr>
          <w:rFonts w:cs="Arial" w:hint="cs"/>
          <w:sz w:val="20"/>
          <w:szCs w:val="20"/>
          <w:rtl/>
        </w:rPr>
        <w:t>חנינא</w:t>
      </w:r>
      <w:r w:rsidRPr="0092795F">
        <w:rPr>
          <w:rFonts w:cs="Arial"/>
          <w:sz w:val="20"/>
          <w:szCs w:val="20"/>
          <w:rtl/>
        </w:rPr>
        <w:t xml:space="preserve"> </w:t>
      </w:r>
      <w:r w:rsidRPr="0092795F">
        <w:rPr>
          <w:rFonts w:cs="Arial" w:hint="cs"/>
          <w:sz w:val="20"/>
          <w:szCs w:val="20"/>
          <w:rtl/>
        </w:rPr>
        <w:t>בר</w:t>
      </w:r>
      <w:r w:rsidRPr="0092795F">
        <w:rPr>
          <w:rFonts w:cs="Arial"/>
          <w:sz w:val="20"/>
          <w:szCs w:val="20"/>
          <w:rtl/>
        </w:rPr>
        <w:t xml:space="preserve"> </w:t>
      </w:r>
      <w:r w:rsidRPr="0092795F">
        <w:rPr>
          <w:rFonts w:cs="Arial" w:hint="cs"/>
          <w:sz w:val="20"/>
          <w:szCs w:val="20"/>
          <w:rtl/>
        </w:rPr>
        <w:t>שלמיא</w:t>
      </w:r>
      <w:r w:rsidRPr="0092795F">
        <w:rPr>
          <w:rFonts w:cs="Arial"/>
          <w:sz w:val="20"/>
          <w:szCs w:val="20"/>
          <w:rtl/>
        </w:rPr>
        <w:t xml:space="preserve"> </w:t>
      </w:r>
      <w:r w:rsidRPr="0092795F">
        <w:rPr>
          <w:rFonts w:cs="Arial" w:hint="cs"/>
          <w:sz w:val="20"/>
          <w:szCs w:val="20"/>
          <w:rtl/>
        </w:rPr>
        <w:t>לרב</w:t>
      </w:r>
      <w:r w:rsidRPr="0092795F">
        <w:rPr>
          <w:rFonts w:cs="Arial"/>
          <w:sz w:val="20"/>
          <w:szCs w:val="20"/>
          <w:rtl/>
        </w:rPr>
        <w:t xml:space="preserve">: </w:t>
      </w:r>
      <w:r w:rsidRPr="0092795F">
        <w:rPr>
          <w:rFonts w:cs="Arial" w:hint="cs"/>
          <w:sz w:val="20"/>
          <w:szCs w:val="20"/>
          <w:rtl/>
        </w:rPr>
        <w:t>מר</w:t>
      </w:r>
      <w:r w:rsidRPr="0092795F">
        <w:rPr>
          <w:rFonts w:cs="Arial"/>
          <w:sz w:val="20"/>
          <w:szCs w:val="20"/>
          <w:rtl/>
        </w:rPr>
        <w:t xml:space="preserve"> </w:t>
      </w:r>
      <w:r w:rsidRPr="0092795F">
        <w:rPr>
          <w:rFonts w:cs="Arial" w:hint="cs"/>
          <w:sz w:val="20"/>
          <w:szCs w:val="20"/>
          <w:rtl/>
        </w:rPr>
        <w:t>כמאן</w:t>
      </w:r>
      <w:r w:rsidRPr="0092795F">
        <w:rPr>
          <w:rFonts w:cs="Arial"/>
          <w:sz w:val="20"/>
          <w:szCs w:val="20"/>
          <w:rtl/>
        </w:rPr>
        <w:t xml:space="preserve"> </w:t>
      </w:r>
      <w:r w:rsidRPr="0092795F">
        <w:rPr>
          <w:rFonts w:cs="Arial" w:hint="cs"/>
          <w:sz w:val="20"/>
          <w:szCs w:val="20"/>
          <w:rtl/>
        </w:rPr>
        <w:t>ס</w:t>
      </w:r>
      <w:r>
        <w:rPr>
          <w:rFonts w:cs="Arial" w:hint="cs"/>
          <w:sz w:val="20"/>
          <w:szCs w:val="20"/>
          <w:rtl/>
        </w:rPr>
        <w:t xml:space="preserve">בירא </w:t>
      </w:r>
      <w:r w:rsidRPr="0092795F">
        <w:rPr>
          <w:rFonts w:cs="Arial" w:hint="cs"/>
          <w:sz w:val="20"/>
          <w:szCs w:val="20"/>
          <w:rtl/>
        </w:rPr>
        <w:t>ל</w:t>
      </w:r>
      <w:r>
        <w:rPr>
          <w:rFonts w:cs="Arial" w:hint="cs"/>
          <w:sz w:val="20"/>
          <w:szCs w:val="20"/>
          <w:rtl/>
        </w:rPr>
        <w:t>יה</w:t>
      </w:r>
      <w:r w:rsidRPr="0092795F">
        <w:rPr>
          <w:rFonts w:cs="Arial"/>
          <w:sz w:val="20"/>
          <w:szCs w:val="20"/>
          <w:rtl/>
        </w:rPr>
        <w:t xml:space="preserve">? </w:t>
      </w:r>
      <w:r w:rsidRPr="0092795F">
        <w:rPr>
          <w:rFonts w:cs="Arial" w:hint="cs"/>
          <w:sz w:val="20"/>
          <w:szCs w:val="20"/>
          <w:rtl/>
        </w:rPr>
        <w:t>א</w:t>
      </w:r>
      <w:r>
        <w:rPr>
          <w:rFonts w:cs="Arial" w:hint="cs"/>
          <w:sz w:val="20"/>
          <w:szCs w:val="20"/>
          <w:rtl/>
        </w:rPr>
        <w:t xml:space="preserve">מר </w:t>
      </w:r>
      <w:r w:rsidRPr="0092795F">
        <w:rPr>
          <w:rFonts w:cs="Arial" w:hint="cs"/>
          <w:sz w:val="20"/>
          <w:szCs w:val="20"/>
          <w:rtl/>
        </w:rPr>
        <w:t>ל</w:t>
      </w:r>
      <w:r>
        <w:rPr>
          <w:rFonts w:cs="Arial" w:hint="cs"/>
          <w:sz w:val="20"/>
          <w:szCs w:val="20"/>
          <w:rtl/>
        </w:rPr>
        <w:t>יה</w:t>
      </w:r>
      <w:r w:rsidRPr="0092795F">
        <w:rPr>
          <w:rFonts w:cs="Arial"/>
          <w:sz w:val="20"/>
          <w:szCs w:val="20"/>
          <w:rtl/>
        </w:rPr>
        <w:t xml:space="preserve">: </w:t>
      </w:r>
      <w:r w:rsidRPr="0092795F">
        <w:rPr>
          <w:rFonts w:cs="Arial" w:hint="cs"/>
          <w:sz w:val="20"/>
          <w:szCs w:val="20"/>
          <w:rtl/>
        </w:rPr>
        <w:t>אני</w:t>
      </w:r>
      <w:r w:rsidRPr="0092795F">
        <w:rPr>
          <w:rFonts w:cs="Arial"/>
          <w:sz w:val="20"/>
          <w:szCs w:val="20"/>
          <w:rtl/>
        </w:rPr>
        <w:t xml:space="preserve"> </w:t>
      </w:r>
      <w:r w:rsidRPr="0092795F">
        <w:rPr>
          <w:rFonts w:cs="Arial" w:hint="cs"/>
          <w:sz w:val="20"/>
          <w:szCs w:val="20"/>
          <w:rtl/>
        </w:rPr>
        <w:t>אומר</w:t>
      </w:r>
      <w:r w:rsidRPr="0092795F">
        <w:rPr>
          <w:rFonts w:cs="Arial"/>
          <w:sz w:val="20"/>
          <w:szCs w:val="20"/>
          <w:rtl/>
        </w:rPr>
        <w:t xml:space="preserve"> </w:t>
      </w:r>
      <w:r w:rsidRPr="0092795F">
        <w:rPr>
          <w:rFonts w:cs="Arial" w:hint="cs"/>
          <w:sz w:val="20"/>
          <w:szCs w:val="20"/>
          <w:rtl/>
        </w:rPr>
        <w:t>אחד</w:t>
      </w:r>
      <w:r w:rsidRPr="0092795F">
        <w:rPr>
          <w:rFonts w:cs="Arial"/>
          <w:sz w:val="20"/>
          <w:szCs w:val="20"/>
          <w:rtl/>
        </w:rPr>
        <w:t xml:space="preserve"> </w:t>
      </w:r>
      <w:r w:rsidRPr="0092795F">
        <w:rPr>
          <w:rFonts w:cs="Arial" w:hint="cs"/>
          <w:sz w:val="20"/>
          <w:szCs w:val="20"/>
          <w:rtl/>
        </w:rPr>
        <w:t>זה</w:t>
      </w:r>
      <w:r w:rsidRPr="0092795F">
        <w:rPr>
          <w:rFonts w:cs="Arial"/>
          <w:sz w:val="20"/>
          <w:szCs w:val="20"/>
          <w:rtl/>
        </w:rPr>
        <w:t xml:space="preserve"> </w:t>
      </w:r>
      <w:r w:rsidRPr="0092795F">
        <w:rPr>
          <w:rFonts w:cs="Arial" w:hint="cs"/>
          <w:sz w:val="20"/>
          <w:szCs w:val="20"/>
          <w:rtl/>
        </w:rPr>
        <w:t>ואחד</w:t>
      </w:r>
      <w:r w:rsidRPr="0092795F">
        <w:rPr>
          <w:rFonts w:cs="Arial"/>
          <w:sz w:val="20"/>
          <w:szCs w:val="20"/>
          <w:rtl/>
        </w:rPr>
        <w:t xml:space="preserve"> </w:t>
      </w:r>
      <w:r w:rsidRPr="0092795F">
        <w:rPr>
          <w:rFonts w:cs="Arial" w:hint="cs"/>
          <w:sz w:val="20"/>
          <w:szCs w:val="20"/>
          <w:rtl/>
        </w:rPr>
        <w:t>זה</w:t>
      </w:r>
      <w:r w:rsidRPr="0092795F">
        <w:rPr>
          <w:rFonts w:cs="Arial"/>
          <w:sz w:val="20"/>
          <w:szCs w:val="20"/>
          <w:rtl/>
        </w:rPr>
        <w:t xml:space="preserve"> - </w:t>
      </w:r>
      <w:r w:rsidRPr="0092795F">
        <w:rPr>
          <w:rFonts w:cs="Arial" w:hint="cs"/>
          <w:sz w:val="20"/>
          <w:szCs w:val="20"/>
          <w:rtl/>
        </w:rPr>
        <w:t>אינה</w:t>
      </w:r>
      <w:r w:rsidRPr="0092795F">
        <w:rPr>
          <w:rFonts w:cs="Arial"/>
          <w:sz w:val="20"/>
          <w:szCs w:val="20"/>
          <w:rtl/>
        </w:rPr>
        <w:t xml:space="preserve"> </w:t>
      </w:r>
      <w:r w:rsidRPr="0092795F">
        <w:rPr>
          <w:rFonts w:cs="Arial" w:hint="cs"/>
          <w:sz w:val="20"/>
          <w:szCs w:val="20"/>
          <w:rtl/>
        </w:rPr>
        <w:t>חוששת</w:t>
      </w:r>
      <w:r w:rsidRPr="0092795F">
        <w:rPr>
          <w:rFonts w:cs="Arial"/>
          <w:sz w:val="20"/>
          <w:szCs w:val="20"/>
          <w:rtl/>
        </w:rPr>
        <w:t xml:space="preserve">. </w:t>
      </w:r>
      <w:r w:rsidRPr="0092795F">
        <w:rPr>
          <w:rFonts w:cs="Arial" w:hint="cs"/>
          <w:sz w:val="20"/>
          <w:szCs w:val="20"/>
          <w:rtl/>
        </w:rPr>
        <w:t>ושמואל</w:t>
      </w:r>
      <w:r w:rsidRPr="0092795F">
        <w:rPr>
          <w:rFonts w:cs="Arial"/>
          <w:sz w:val="20"/>
          <w:szCs w:val="20"/>
          <w:rtl/>
        </w:rPr>
        <w:t xml:space="preserve"> </w:t>
      </w:r>
      <w:r w:rsidRPr="0092795F">
        <w:rPr>
          <w:rFonts w:cs="Arial" w:hint="cs"/>
          <w:sz w:val="20"/>
          <w:szCs w:val="20"/>
          <w:rtl/>
        </w:rPr>
        <w:t>אמר</w:t>
      </w:r>
      <w:r w:rsidRPr="0092795F">
        <w:rPr>
          <w:rFonts w:cs="Arial"/>
          <w:sz w:val="20"/>
          <w:szCs w:val="20"/>
          <w:rtl/>
        </w:rPr>
        <w:t xml:space="preserve">: </w:t>
      </w:r>
      <w:r w:rsidRPr="0092795F">
        <w:rPr>
          <w:rFonts w:cs="Arial" w:hint="cs"/>
          <w:sz w:val="20"/>
          <w:szCs w:val="20"/>
          <w:rtl/>
        </w:rPr>
        <w:t>אחד</w:t>
      </w:r>
      <w:r w:rsidRPr="0092795F">
        <w:rPr>
          <w:rFonts w:cs="Arial"/>
          <w:sz w:val="20"/>
          <w:szCs w:val="20"/>
          <w:rtl/>
        </w:rPr>
        <w:t xml:space="preserve"> </w:t>
      </w:r>
      <w:r w:rsidRPr="0092795F">
        <w:rPr>
          <w:rFonts w:cs="Arial" w:hint="cs"/>
          <w:sz w:val="20"/>
          <w:szCs w:val="20"/>
          <w:rtl/>
        </w:rPr>
        <w:t>זה</w:t>
      </w:r>
      <w:r w:rsidRPr="0092795F">
        <w:rPr>
          <w:rFonts w:cs="Arial"/>
          <w:sz w:val="20"/>
          <w:szCs w:val="20"/>
          <w:rtl/>
        </w:rPr>
        <w:t xml:space="preserve"> </w:t>
      </w:r>
      <w:r w:rsidRPr="0092795F">
        <w:rPr>
          <w:rFonts w:cs="Arial" w:hint="cs"/>
          <w:sz w:val="20"/>
          <w:szCs w:val="20"/>
          <w:rtl/>
        </w:rPr>
        <w:t>ואחד</w:t>
      </w:r>
      <w:r w:rsidRPr="0092795F">
        <w:rPr>
          <w:rFonts w:cs="Arial"/>
          <w:sz w:val="20"/>
          <w:szCs w:val="20"/>
          <w:rtl/>
        </w:rPr>
        <w:t xml:space="preserve"> </w:t>
      </w:r>
      <w:r w:rsidRPr="0092795F">
        <w:rPr>
          <w:rFonts w:cs="Arial" w:hint="cs"/>
          <w:sz w:val="20"/>
          <w:szCs w:val="20"/>
          <w:rtl/>
        </w:rPr>
        <w:t>זה</w:t>
      </w:r>
      <w:r w:rsidRPr="0092795F">
        <w:rPr>
          <w:rFonts w:cs="Arial"/>
          <w:sz w:val="20"/>
          <w:szCs w:val="20"/>
          <w:rtl/>
        </w:rPr>
        <w:t xml:space="preserve"> - </w:t>
      </w:r>
      <w:r w:rsidRPr="0092795F">
        <w:rPr>
          <w:rFonts w:cs="Arial" w:hint="cs"/>
          <w:sz w:val="20"/>
          <w:szCs w:val="20"/>
          <w:rtl/>
        </w:rPr>
        <w:t>חוששת</w:t>
      </w:r>
      <w:r w:rsidRPr="0092795F">
        <w:rPr>
          <w:rFonts w:cs="Arial"/>
          <w:sz w:val="20"/>
          <w:szCs w:val="20"/>
          <w:rtl/>
        </w:rPr>
        <w:t xml:space="preserve">. </w:t>
      </w:r>
      <w:r w:rsidRPr="0092795F">
        <w:rPr>
          <w:rFonts w:cs="Arial" w:hint="cs"/>
          <w:sz w:val="20"/>
          <w:szCs w:val="20"/>
          <w:rtl/>
        </w:rPr>
        <w:t>ואזדא</w:t>
      </w:r>
      <w:r w:rsidRPr="0092795F">
        <w:rPr>
          <w:rFonts w:cs="Arial"/>
          <w:sz w:val="20"/>
          <w:szCs w:val="20"/>
          <w:rtl/>
        </w:rPr>
        <w:t xml:space="preserve"> </w:t>
      </w:r>
      <w:r w:rsidRPr="0092795F">
        <w:rPr>
          <w:rFonts w:cs="Arial" w:hint="cs"/>
          <w:sz w:val="20"/>
          <w:szCs w:val="20"/>
          <w:rtl/>
        </w:rPr>
        <w:t>שמואל</w:t>
      </w:r>
      <w:r w:rsidRPr="0092795F">
        <w:rPr>
          <w:rFonts w:cs="Arial"/>
          <w:sz w:val="20"/>
          <w:szCs w:val="20"/>
          <w:rtl/>
        </w:rPr>
        <w:t xml:space="preserve"> </w:t>
      </w:r>
      <w:r w:rsidRPr="0092795F">
        <w:rPr>
          <w:rFonts w:cs="Arial" w:hint="cs"/>
          <w:sz w:val="20"/>
          <w:szCs w:val="20"/>
          <w:rtl/>
        </w:rPr>
        <w:t>לטעמיה</w:t>
      </w:r>
      <w:r w:rsidRPr="0092795F">
        <w:rPr>
          <w:rFonts w:cs="Arial"/>
          <w:sz w:val="20"/>
          <w:szCs w:val="20"/>
          <w:rtl/>
        </w:rPr>
        <w:t xml:space="preserve">, </w:t>
      </w:r>
      <w:r w:rsidRPr="0092795F">
        <w:rPr>
          <w:rFonts w:cs="Arial" w:hint="cs"/>
          <w:sz w:val="20"/>
          <w:szCs w:val="20"/>
          <w:rtl/>
        </w:rPr>
        <w:t>דכי</w:t>
      </w:r>
      <w:r w:rsidRPr="0092795F">
        <w:rPr>
          <w:rFonts w:cs="Arial"/>
          <w:sz w:val="20"/>
          <w:szCs w:val="20"/>
          <w:rtl/>
        </w:rPr>
        <w:t xml:space="preserve"> </w:t>
      </w:r>
      <w:r w:rsidRPr="0092795F">
        <w:rPr>
          <w:rFonts w:cs="Arial" w:hint="cs"/>
          <w:sz w:val="20"/>
          <w:szCs w:val="20"/>
          <w:rtl/>
        </w:rPr>
        <w:t>אתא</w:t>
      </w:r>
      <w:r w:rsidRPr="0092795F">
        <w:rPr>
          <w:rFonts w:cs="Arial"/>
          <w:sz w:val="20"/>
          <w:szCs w:val="20"/>
          <w:rtl/>
        </w:rPr>
        <w:t xml:space="preserve"> </w:t>
      </w:r>
      <w:r w:rsidRPr="0092795F">
        <w:rPr>
          <w:rFonts w:cs="Arial" w:hint="cs"/>
          <w:sz w:val="20"/>
          <w:szCs w:val="20"/>
          <w:rtl/>
        </w:rPr>
        <w:t>רב</w:t>
      </w:r>
      <w:r w:rsidRPr="0092795F">
        <w:rPr>
          <w:rFonts w:cs="Arial"/>
          <w:sz w:val="20"/>
          <w:szCs w:val="20"/>
          <w:rtl/>
        </w:rPr>
        <w:t xml:space="preserve"> </w:t>
      </w:r>
      <w:r w:rsidRPr="0092795F">
        <w:rPr>
          <w:rFonts w:cs="Arial" w:hint="cs"/>
          <w:sz w:val="20"/>
          <w:szCs w:val="20"/>
          <w:rtl/>
        </w:rPr>
        <w:t>דימי</w:t>
      </w:r>
      <w:r w:rsidRPr="0092795F">
        <w:rPr>
          <w:rFonts w:cs="Arial"/>
          <w:sz w:val="20"/>
          <w:szCs w:val="20"/>
          <w:rtl/>
        </w:rPr>
        <w:t xml:space="preserve"> </w:t>
      </w:r>
      <w:r w:rsidRPr="0092795F">
        <w:rPr>
          <w:rFonts w:cs="Arial" w:hint="cs"/>
          <w:sz w:val="20"/>
          <w:szCs w:val="20"/>
          <w:rtl/>
        </w:rPr>
        <w:t>אמר</w:t>
      </w:r>
      <w:r w:rsidRPr="0092795F">
        <w:rPr>
          <w:rFonts w:cs="Arial"/>
          <w:sz w:val="20"/>
          <w:szCs w:val="20"/>
          <w:rtl/>
        </w:rPr>
        <w:t xml:space="preserve">: </w:t>
      </w:r>
      <w:r w:rsidRPr="0092795F">
        <w:rPr>
          <w:rFonts w:cs="Arial" w:hint="cs"/>
          <w:sz w:val="20"/>
          <w:szCs w:val="20"/>
          <w:rtl/>
        </w:rPr>
        <w:t>מעולם</w:t>
      </w:r>
      <w:r w:rsidRPr="0092795F">
        <w:rPr>
          <w:rFonts w:cs="Arial"/>
          <w:sz w:val="20"/>
          <w:szCs w:val="20"/>
          <w:rtl/>
        </w:rPr>
        <w:t xml:space="preserve"> </w:t>
      </w:r>
      <w:r w:rsidRPr="0092795F">
        <w:rPr>
          <w:rFonts w:cs="Arial" w:hint="cs"/>
          <w:sz w:val="20"/>
          <w:szCs w:val="20"/>
          <w:rtl/>
        </w:rPr>
        <w:t>לא</w:t>
      </w:r>
      <w:r w:rsidRPr="0092795F">
        <w:rPr>
          <w:rFonts w:cs="Arial"/>
          <w:sz w:val="20"/>
          <w:szCs w:val="20"/>
          <w:rtl/>
        </w:rPr>
        <w:t xml:space="preserve"> </w:t>
      </w:r>
      <w:r w:rsidRPr="0092795F">
        <w:rPr>
          <w:rFonts w:cs="Arial" w:hint="cs"/>
          <w:sz w:val="20"/>
          <w:szCs w:val="20"/>
          <w:rtl/>
        </w:rPr>
        <w:t>דכו</w:t>
      </w:r>
      <w:r w:rsidRPr="0092795F">
        <w:rPr>
          <w:rFonts w:cs="Arial"/>
          <w:sz w:val="20"/>
          <w:szCs w:val="20"/>
          <w:rtl/>
        </w:rPr>
        <w:t xml:space="preserve"> </w:t>
      </w:r>
      <w:r w:rsidRPr="0092795F">
        <w:rPr>
          <w:rFonts w:cs="Arial" w:hint="cs"/>
          <w:sz w:val="20"/>
          <w:szCs w:val="20"/>
          <w:rtl/>
        </w:rPr>
        <w:t>שפיר</w:t>
      </w:r>
      <w:r w:rsidRPr="0092795F">
        <w:rPr>
          <w:rFonts w:cs="Arial"/>
          <w:sz w:val="20"/>
          <w:szCs w:val="20"/>
          <w:rtl/>
        </w:rPr>
        <w:t xml:space="preserve"> </w:t>
      </w:r>
      <w:r w:rsidRPr="0092795F">
        <w:rPr>
          <w:rFonts w:cs="Arial" w:hint="cs"/>
          <w:sz w:val="20"/>
          <w:szCs w:val="20"/>
          <w:rtl/>
        </w:rPr>
        <w:t>בנהרדעא</w:t>
      </w:r>
      <w:r w:rsidRPr="0092795F">
        <w:rPr>
          <w:rFonts w:cs="Arial"/>
          <w:sz w:val="20"/>
          <w:szCs w:val="20"/>
          <w:rtl/>
        </w:rPr>
        <w:t xml:space="preserve">, </w:t>
      </w:r>
      <w:r w:rsidRPr="0092795F">
        <w:rPr>
          <w:rFonts w:cs="Arial" w:hint="cs"/>
          <w:sz w:val="20"/>
          <w:szCs w:val="20"/>
          <w:rtl/>
        </w:rPr>
        <w:t>לבר</w:t>
      </w:r>
      <w:r w:rsidRPr="0092795F">
        <w:rPr>
          <w:rFonts w:cs="Arial"/>
          <w:sz w:val="20"/>
          <w:szCs w:val="20"/>
          <w:rtl/>
        </w:rPr>
        <w:t xml:space="preserve"> </w:t>
      </w:r>
      <w:r w:rsidRPr="0092795F">
        <w:rPr>
          <w:rFonts w:cs="Arial" w:hint="cs"/>
          <w:sz w:val="20"/>
          <w:szCs w:val="20"/>
          <w:rtl/>
        </w:rPr>
        <w:t>מההוא</w:t>
      </w:r>
      <w:r w:rsidRPr="0092795F">
        <w:rPr>
          <w:rFonts w:cs="Arial"/>
          <w:sz w:val="20"/>
          <w:szCs w:val="20"/>
          <w:rtl/>
        </w:rPr>
        <w:t xml:space="preserve"> </w:t>
      </w:r>
      <w:r w:rsidRPr="0092795F">
        <w:rPr>
          <w:rFonts w:cs="Arial" w:hint="cs"/>
          <w:sz w:val="20"/>
          <w:szCs w:val="20"/>
          <w:rtl/>
        </w:rPr>
        <w:t>שפירא</w:t>
      </w:r>
      <w:r w:rsidRPr="0092795F">
        <w:rPr>
          <w:rFonts w:cs="Arial"/>
          <w:sz w:val="20"/>
          <w:szCs w:val="20"/>
          <w:rtl/>
        </w:rPr>
        <w:t xml:space="preserve"> </w:t>
      </w:r>
      <w:r w:rsidRPr="0092795F">
        <w:rPr>
          <w:rFonts w:cs="Arial" w:hint="cs"/>
          <w:sz w:val="20"/>
          <w:szCs w:val="20"/>
          <w:rtl/>
        </w:rPr>
        <w:t>דאתא</w:t>
      </w:r>
      <w:r w:rsidRPr="0092795F">
        <w:rPr>
          <w:rFonts w:cs="Arial"/>
          <w:sz w:val="20"/>
          <w:szCs w:val="20"/>
          <w:rtl/>
        </w:rPr>
        <w:t xml:space="preserve"> </w:t>
      </w:r>
      <w:r w:rsidRPr="0092795F">
        <w:rPr>
          <w:rFonts w:cs="Arial" w:hint="cs"/>
          <w:sz w:val="20"/>
          <w:szCs w:val="20"/>
          <w:rtl/>
        </w:rPr>
        <w:t>לקמיה</w:t>
      </w:r>
      <w:r w:rsidRPr="0092795F">
        <w:rPr>
          <w:rFonts w:cs="Arial"/>
          <w:sz w:val="20"/>
          <w:szCs w:val="20"/>
          <w:rtl/>
        </w:rPr>
        <w:t xml:space="preserve"> </w:t>
      </w:r>
      <w:r w:rsidRPr="0092795F">
        <w:rPr>
          <w:rFonts w:cs="Arial" w:hint="cs"/>
          <w:sz w:val="20"/>
          <w:szCs w:val="20"/>
          <w:rtl/>
        </w:rPr>
        <w:t>דשמואל</w:t>
      </w:r>
      <w:r w:rsidRPr="0092795F">
        <w:rPr>
          <w:rFonts w:cs="Arial"/>
          <w:sz w:val="20"/>
          <w:szCs w:val="20"/>
          <w:rtl/>
        </w:rPr>
        <w:t xml:space="preserve">, </w:t>
      </w:r>
      <w:r w:rsidRPr="0092795F">
        <w:rPr>
          <w:rFonts w:cs="Arial" w:hint="cs"/>
          <w:sz w:val="20"/>
          <w:szCs w:val="20"/>
          <w:rtl/>
        </w:rPr>
        <w:t>דמנח</w:t>
      </w:r>
      <w:r w:rsidRPr="0092795F">
        <w:rPr>
          <w:rFonts w:cs="Arial"/>
          <w:sz w:val="20"/>
          <w:szCs w:val="20"/>
          <w:rtl/>
        </w:rPr>
        <w:t xml:space="preserve"> </w:t>
      </w:r>
      <w:r w:rsidRPr="0092795F">
        <w:rPr>
          <w:rFonts w:cs="Arial" w:hint="cs"/>
          <w:sz w:val="20"/>
          <w:szCs w:val="20"/>
          <w:rtl/>
        </w:rPr>
        <w:t>עליה</w:t>
      </w:r>
      <w:r w:rsidRPr="0092795F">
        <w:rPr>
          <w:rFonts w:cs="Arial"/>
          <w:sz w:val="20"/>
          <w:szCs w:val="20"/>
          <w:rtl/>
        </w:rPr>
        <w:t xml:space="preserve"> </w:t>
      </w:r>
      <w:r w:rsidRPr="0092795F">
        <w:rPr>
          <w:rFonts w:cs="Arial" w:hint="cs"/>
          <w:sz w:val="20"/>
          <w:szCs w:val="20"/>
          <w:rtl/>
        </w:rPr>
        <w:t>חוט</w:t>
      </w:r>
      <w:r w:rsidRPr="0092795F">
        <w:rPr>
          <w:rFonts w:cs="Arial"/>
          <w:sz w:val="20"/>
          <w:szCs w:val="20"/>
          <w:rtl/>
        </w:rPr>
        <w:t xml:space="preserve"> </w:t>
      </w:r>
      <w:r w:rsidRPr="0092795F">
        <w:rPr>
          <w:rFonts w:cs="Arial" w:hint="cs"/>
          <w:sz w:val="20"/>
          <w:szCs w:val="20"/>
          <w:rtl/>
        </w:rPr>
        <w:t>השערה</w:t>
      </w:r>
      <w:r w:rsidRPr="0092795F">
        <w:rPr>
          <w:rFonts w:cs="Arial"/>
          <w:sz w:val="20"/>
          <w:szCs w:val="20"/>
          <w:rtl/>
        </w:rPr>
        <w:t xml:space="preserve"> </w:t>
      </w:r>
      <w:r w:rsidRPr="0092795F">
        <w:rPr>
          <w:rFonts w:cs="Arial" w:hint="cs"/>
          <w:sz w:val="20"/>
          <w:szCs w:val="20"/>
          <w:rtl/>
        </w:rPr>
        <w:t>מהאי</w:t>
      </w:r>
      <w:r w:rsidRPr="0092795F">
        <w:rPr>
          <w:rFonts w:cs="Arial"/>
          <w:sz w:val="20"/>
          <w:szCs w:val="20"/>
          <w:rtl/>
        </w:rPr>
        <w:t xml:space="preserve"> </w:t>
      </w:r>
      <w:r w:rsidRPr="0092795F">
        <w:rPr>
          <w:rFonts w:cs="Arial" w:hint="cs"/>
          <w:sz w:val="20"/>
          <w:szCs w:val="20"/>
          <w:rtl/>
        </w:rPr>
        <w:t>גיסא</w:t>
      </w:r>
      <w:r w:rsidRPr="0092795F">
        <w:rPr>
          <w:rFonts w:cs="Arial"/>
          <w:sz w:val="20"/>
          <w:szCs w:val="20"/>
          <w:rtl/>
        </w:rPr>
        <w:t xml:space="preserve"> </w:t>
      </w:r>
      <w:r w:rsidRPr="0092795F">
        <w:rPr>
          <w:rFonts w:cs="Arial" w:hint="cs"/>
          <w:sz w:val="20"/>
          <w:szCs w:val="20"/>
          <w:rtl/>
        </w:rPr>
        <w:t>וחזיא</w:t>
      </w:r>
      <w:r w:rsidRPr="0092795F">
        <w:rPr>
          <w:rFonts w:cs="Arial"/>
          <w:sz w:val="20"/>
          <w:szCs w:val="20"/>
          <w:rtl/>
        </w:rPr>
        <w:t xml:space="preserve"> </w:t>
      </w:r>
      <w:r w:rsidRPr="0092795F">
        <w:rPr>
          <w:rFonts w:cs="Arial" w:hint="cs"/>
          <w:sz w:val="20"/>
          <w:szCs w:val="20"/>
          <w:rtl/>
        </w:rPr>
        <w:t>מהאי</w:t>
      </w:r>
      <w:r w:rsidRPr="0092795F">
        <w:rPr>
          <w:rFonts w:cs="Arial"/>
          <w:sz w:val="20"/>
          <w:szCs w:val="20"/>
          <w:rtl/>
        </w:rPr>
        <w:t xml:space="preserve"> </w:t>
      </w:r>
      <w:r w:rsidRPr="0092795F">
        <w:rPr>
          <w:rFonts w:cs="Arial" w:hint="cs"/>
          <w:sz w:val="20"/>
          <w:szCs w:val="20"/>
          <w:rtl/>
        </w:rPr>
        <w:t>גיסא</w:t>
      </w:r>
      <w:r w:rsidRPr="0092795F">
        <w:rPr>
          <w:rFonts w:cs="Arial"/>
          <w:sz w:val="20"/>
          <w:szCs w:val="20"/>
          <w:rtl/>
        </w:rPr>
        <w:t xml:space="preserve">, </w:t>
      </w:r>
      <w:r w:rsidRPr="0092795F">
        <w:rPr>
          <w:rFonts w:cs="Arial" w:hint="cs"/>
          <w:sz w:val="20"/>
          <w:szCs w:val="20"/>
          <w:rtl/>
        </w:rPr>
        <w:t>אמר</w:t>
      </w:r>
      <w:r w:rsidRPr="0092795F">
        <w:rPr>
          <w:rFonts w:cs="Arial"/>
          <w:sz w:val="20"/>
          <w:szCs w:val="20"/>
          <w:rtl/>
        </w:rPr>
        <w:t xml:space="preserve">: </w:t>
      </w:r>
      <w:r w:rsidRPr="0092795F">
        <w:rPr>
          <w:rFonts w:cs="Arial" w:hint="cs"/>
          <w:sz w:val="20"/>
          <w:szCs w:val="20"/>
          <w:rtl/>
        </w:rPr>
        <w:t>אם</w:t>
      </w:r>
      <w:r w:rsidRPr="0092795F">
        <w:rPr>
          <w:rFonts w:cs="Arial"/>
          <w:sz w:val="20"/>
          <w:szCs w:val="20"/>
          <w:rtl/>
        </w:rPr>
        <w:t xml:space="preserve"> </w:t>
      </w:r>
      <w:r w:rsidRPr="0092795F">
        <w:rPr>
          <w:rFonts w:cs="Arial" w:hint="cs"/>
          <w:sz w:val="20"/>
          <w:szCs w:val="20"/>
          <w:rtl/>
        </w:rPr>
        <w:t>איתא</w:t>
      </w:r>
      <w:r w:rsidRPr="0092795F">
        <w:rPr>
          <w:rFonts w:cs="Arial"/>
          <w:sz w:val="20"/>
          <w:szCs w:val="20"/>
          <w:rtl/>
        </w:rPr>
        <w:t xml:space="preserve"> </w:t>
      </w:r>
      <w:r w:rsidRPr="0092795F">
        <w:rPr>
          <w:rFonts w:cs="Arial" w:hint="cs"/>
          <w:sz w:val="20"/>
          <w:szCs w:val="20"/>
          <w:rtl/>
        </w:rPr>
        <w:t>דולד</w:t>
      </w:r>
      <w:r w:rsidRPr="0092795F">
        <w:rPr>
          <w:rFonts w:cs="Arial"/>
          <w:sz w:val="20"/>
          <w:szCs w:val="20"/>
          <w:rtl/>
        </w:rPr>
        <w:t xml:space="preserve"> </w:t>
      </w:r>
      <w:r w:rsidRPr="0092795F">
        <w:rPr>
          <w:rFonts w:cs="Arial" w:hint="cs"/>
          <w:sz w:val="20"/>
          <w:szCs w:val="20"/>
          <w:rtl/>
        </w:rPr>
        <w:t>הואי</w:t>
      </w:r>
      <w:r w:rsidRPr="0092795F">
        <w:rPr>
          <w:rFonts w:cs="Arial"/>
          <w:sz w:val="20"/>
          <w:szCs w:val="20"/>
          <w:rtl/>
        </w:rPr>
        <w:t xml:space="preserve"> </w:t>
      </w:r>
      <w:r w:rsidRPr="0092795F">
        <w:rPr>
          <w:rFonts w:cs="Arial" w:hint="cs"/>
          <w:sz w:val="20"/>
          <w:szCs w:val="20"/>
          <w:rtl/>
        </w:rPr>
        <w:t>לא</w:t>
      </w:r>
      <w:r w:rsidRPr="0092795F">
        <w:rPr>
          <w:rFonts w:cs="Arial"/>
          <w:sz w:val="20"/>
          <w:szCs w:val="20"/>
          <w:rtl/>
        </w:rPr>
        <w:t xml:space="preserve"> </w:t>
      </w:r>
      <w:r w:rsidRPr="0092795F">
        <w:rPr>
          <w:rFonts w:cs="Arial" w:hint="cs"/>
          <w:sz w:val="20"/>
          <w:szCs w:val="20"/>
          <w:rtl/>
        </w:rPr>
        <w:t>הוה</w:t>
      </w:r>
      <w:r w:rsidRPr="0092795F">
        <w:rPr>
          <w:rFonts w:cs="Arial"/>
          <w:sz w:val="20"/>
          <w:szCs w:val="20"/>
          <w:rtl/>
        </w:rPr>
        <w:t xml:space="preserve"> </w:t>
      </w:r>
      <w:r w:rsidRPr="0092795F">
        <w:rPr>
          <w:rFonts w:cs="Arial" w:hint="cs"/>
          <w:sz w:val="20"/>
          <w:szCs w:val="20"/>
          <w:rtl/>
        </w:rPr>
        <w:t>זיג</w:t>
      </w:r>
      <w:r w:rsidRPr="0092795F">
        <w:rPr>
          <w:rFonts w:cs="Arial"/>
          <w:sz w:val="20"/>
          <w:szCs w:val="20"/>
          <w:rtl/>
        </w:rPr>
        <w:t xml:space="preserve"> </w:t>
      </w:r>
      <w:r w:rsidRPr="0092795F">
        <w:rPr>
          <w:rFonts w:cs="Arial" w:hint="cs"/>
          <w:sz w:val="20"/>
          <w:szCs w:val="20"/>
          <w:rtl/>
        </w:rPr>
        <w:t>כולי</w:t>
      </w:r>
      <w:r w:rsidRPr="0092795F">
        <w:rPr>
          <w:rFonts w:cs="Arial"/>
          <w:sz w:val="20"/>
          <w:szCs w:val="20"/>
          <w:rtl/>
        </w:rPr>
        <w:t xml:space="preserve"> </w:t>
      </w:r>
      <w:r w:rsidRPr="0092795F">
        <w:rPr>
          <w:rFonts w:cs="Arial" w:hint="cs"/>
          <w:sz w:val="20"/>
          <w:szCs w:val="20"/>
          <w:rtl/>
        </w:rPr>
        <w:t>האי</w:t>
      </w:r>
      <w:r>
        <w:rPr>
          <w:rFonts w:cs="Arial" w:hint="cs"/>
          <w:sz w:val="20"/>
          <w:szCs w:val="20"/>
          <w:rtl/>
        </w:rPr>
        <w:t>".</w:t>
      </w:r>
    </w:p>
    <w:p w:rsidR="00620060" w:rsidRDefault="00620060" w:rsidP="00620060">
      <w:pPr>
        <w:rPr>
          <w:sz w:val="20"/>
          <w:szCs w:val="20"/>
          <w:rtl/>
        </w:rPr>
      </w:pPr>
      <w:r>
        <w:rPr>
          <w:rFonts w:hint="cs"/>
          <w:sz w:val="20"/>
          <w:szCs w:val="20"/>
          <w:u w:val="single"/>
          <w:rtl/>
        </w:rPr>
        <w:t>שיטות הראשונים</w:t>
      </w:r>
      <w:r>
        <w:rPr>
          <w:sz w:val="20"/>
          <w:szCs w:val="20"/>
          <w:u w:val="single"/>
          <w:rtl/>
        </w:rPr>
        <w:br/>
      </w:r>
      <w:r>
        <w:rPr>
          <w:rFonts w:hint="cs"/>
          <w:sz w:val="20"/>
          <w:szCs w:val="20"/>
          <w:rtl/>
        </w:rPr>
        <w:t>א</w:t>
      </w:r>
      <w:r w:rsidRPr="0092795F">
        <w:rPr>
          <w:rFonts w:hint="cs"/>
          <w:sz w:val="20"/>
          <w:szCs w:val="20"/>
          <w:rtl/>
        </w:rPr>
        <w:t xml:space="preserve">. </w:t>
      </w:r>
      <w:r w:rsidRPr="00606DF0">
        <w:rPr>
          <w:rFonts w:hint="cs"/>
          <w:b/>
          <w:bCs/>
          <w:sz w:val="20"/>
          <w:szCs w:val="20"/>
          <w:rtl/>
        </w:rPr>
        <w:t>רשב"א</w:t>
      </w:r>
      <w:r w:rsidRPr="0092795F">
        <w:rPr>
          <w:rFonts w:hint="cs"/>
          <w:sz w:val="20"/>
          <w:szCs w:val="20"/>
          <w:rtl/>
        </w:rPr>
        <w:t xml:space="preserve"> </w:t>
      </w:r>
      <w:r w:rsidRPr="0092795F">
        <w:rPr>
          <w:sz w:val="20"/>
          <w:szCs w:val="20"/>
          <w:rtl/>
        </w:rPr>
        <w:t>–</w:t>
      </w:r>
      <w:r w:rsidRPr="0092795F">
        <w:rPr>
          <w:rFonts w:hint="cs"/>
          <w:sz w:val="20"/>
          <w:szCs w:val="20"/>
          <w:rtl/>
        </w:rPr>
        <w:t xml:space="preserve"> </w:t>
      </w:r>
      <w:r>
        <w:rPr>
          <w:rFonts w:hint="cs"/>
          <w:sz w:val="20"/>
          <w:szCs w:val="20"/>
          <w:rtl/>
        </w:rPr>
        <w:t>בשפיר מרוקם טמאה, וכן בשפיר מלא בשר שנימוח טמאה</w:t>
      </w:r>
      <w:r w:rsidRPr="0092795F">
        <w:rPr>
          <w:rFonts w:hint="cs"/>
          <w:sz w:val="20"/>
          <w:szCs w:val="20"/>
          <w:rtl/>
        </w:rPr>
        <w:t xml:space="preserve"> </w:t>
      </w:r>
      <w:r>
        <w:rPr>
          <w:rFonts w:hint="cs"/>
          <w:sz w:val="20"/>
          <w:szCs w:val="20"/>
          <w:rtl/>
        </w:rPr>
        <w:t xml:space="preserve">לידה </w:t>
      </w:r>
      <w:r w:rsidRPr="0092795F">
        <w:rPr>
          <w:rFonts w:hint="cs"/>
          <w:sz w:val="20"/>
          <w:szCs w:val="20"/>
          <w:rtl/>
        </w:rPr>
        <w:t>בין עכור ובין בצלול.</w:t>
      </w:r>
      <w:r>
        <w:rPr>
          <w:sz w:val="20"/>
          <w:szCs w:val="20"/>
          <w:u w:val="single"/>
          <w:rtl/>
        </w:rPr>
        <w:br/>
      </w:r>
      <w:r w:rsidRPr="00606DF0">
        <w:rPr>
          <w:rFonts w:hint="cs"/>
          <w:b/>
          <w:bCs/>
          <w:sz w:val="20"/>
          <w:szCs w:val="20"/>
          <w:rtl/>
        </w:rPr>
        <w:t xml:space="preserve">טעם </w:t>
      </w:r>
      <w:r>
        <w:rPr>
          <w:sz w:val="20"/>
          <w:szCs w:val="20"/>
          <w:rtl/>
        </w:rPr>
        <w:t>–</w:t>
      </w:r>
      <w:r>
        <w:rPr>
          <w:rFonts w:hint="cs"/>
          <w:sz w:val="20"/>
          <w:szCs w:val="20"/>
          <w:rtl/>
        </w:rPr>
        <w:t xml:space="preserve"> בשפיר חסר טמאה מספק שמא וולד היה ונימוח, וכן שפיר מלא שכולו בגוון אחד טמאה כרב אדא, ומשמע שרבא ורב אדא לא פליגי, ומשום שאיננו בקיאים מהו מלא גוונים יש לטמא בכל עניין. </w:t>
      </w:r>
      <w:r>
        <w:rPr>
          <w:sz w:val="20"/>
          <w:szCs w:val="20"/>
          <w:rtl/>
        </w:rPr>
        <w:br/>
      </w:r>
      <w:r>
        <w:rPr>
          <w:rFonts w:hint="cs"/>
          <w:sz w:val="20"/>
          <w:szCs w:val="20"/>
          <w:rtl/>
        </w:rPr>
        <w:t>כמו כן בשפיר מרוקם יש לטמא כשמואל שהחמיר בכך.</w:t>
      </w:r>
      <w:r>
        <w:rPr>
          <w:sz w:val="20"/>
          <w:szCs w:val="20"/>
          <w:rtl/>
        </w:rPr>
        <w:br/>
      </w:r>
      <w:r>
        <w:rPr>
          <w:rFonts w:hint="cs"/>
          <w:sz w:val="20"/>
          <w:szCs w:val="20"/>
          <w:rtl/>
        </w:rPr>
        <w:t>ואע"פ שהלכה כרב באיסורי, בהא הלכה כשמואל הואיל ועשה כך מעשה.</w:t>
      </w:r>
      <w:r>
        <w:rPr>
          <w:sz w:val="20"/>
          <w:szCs w:val="20"/>
          <w:rtl/>
        </w:rPr>
        <w:br/>
      </w:r>
      <w:r>
        <w:rPr>
          <w:sz w:val="20"/>
          <w:szCs w:val="20"/>
          <w:rtl/>
        </w:rPr>
        <w:br/>
      </w:r>
      <w:r>
        <w:rPr>
          <w:rFonts w:hint="cs"/>
          <w:sz w:val="20"/>
          <w:szCs w:val="20"/>
          <w:rtl/>
        </w:rPr>
        <w:t xml:space="preserve">ב. </w:t>
      </w:r>
      <w:r w:rsidRPr="00606DF0">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הלכה כרב, בין בשפיר עכור ובין צלול טהורה מטומאת לידה.</w:t>
      </w:r>
      <w:r>
        <w:rPr>
          <w:sz w:val="20"/>
          <w:szCs w:val="20"/>
          <w:rtl/>
        </w:rPr>
        <w:br/>
      </w:r>
      <w:r w:rsidRPr="00606DF0">
        <w:rPr>
          <w:rFonts w:hint="cs"/>
          <w:b/>
          <w:bCs/>
          <w:sz w:val="20"/>
          <w:szCs w:val="20"/>
          <w:rtl/>
        </w:rPr>
        <w:t>טעם</w:t>
      </w:r>
      <w:r>
        <w:rPr>
          <w:rFonts w:hint="cs"/>
          <w:sz w:val="20"/>
          <w:szCs w:val="20"/>
          <w:rtl/>
        </w:rPr>
        <w:t xml:space="preserve"> </w:t>
      </w:r>
      <w:r w:rsidRPr="00646A79">
        <w:rPr>
          <w:rFonts w:hint="cs"/>
          <w:sz w:val="18"/>
          <w:szCs w:val="18"/>
          <w:rtl/>
        </w:rPr>
        <w:t>(</w:t>
      </w:r>
      <w:r w:rsidRPr="00646A79">
        <w:rPr>
          <w:rFonts w:hint="cs"/>
          <w:b/>
          <w:bCs/>
          <w:sz w:val="18"/>
          <w:szCs w:val="18"/>
          <w:rtl/>
        </w:rPr>
        <w:t>מגיד</w:t>
      </w:r>
      <w:r w:rsidRPr="00646A79">
        <w:rPr>
          <w:rFonts w:hint="cs"/>
          <w:sz w:val="18"/>
          <w:szCs w:val="18"/>
          <w:rtl/>
        </w:rPr>
        <w:t xml:space="preserve"> </w:t>
      </w:r>
      <w:r w:rsidRPr="00646A79">
        <w:rPr>
          <w:rFonts w:hint="cs"/>
          <w:b/>
          <w:bCs/>
          <w:sz w:val="18"/>
          <w:szCs w:val="18"/>
          <w:rtl/>
        </w:rPr>
        <w:t>משנה</w:t>
      </w:r>
      <w:r w:rsidRPr="00646A79">
        <w:rPr>
          <w:rFonts w:hint="cs"/>
          <w:sz w:val="18"/>
          <w:szCs w:val="18"/>
          <w:rtl/>
        </w:rPr>
        <w:t>)</w:t>
      </w:r>
      <w:r w:rsidRPr="00646A79">
        <w:rPr>
          <w:sz w:val="18"/>
          <w:szCs w:val="18"/>
          <w:rtl/>
        </w:rPr>
        <w:t xml:space="preserve"> </w:t>
      </w:r>
      <w:r>
        <w:rPr>
          <w:sz w:val="20"/>
          <w:szCs w:val="20"/>
          <w:rtl/>
        </w:rPr>
        <w:t>–</w:t>
      </w:r>
      <w:r>
        <w:rPr>
          <w:rFonts w:hint="cs"/>
          <w:sz w:val="20"/>
          <w:szCs w:val="20"/>
          <w:rtl/>
        </w:rPr>
        <w:t xml:space="preserve"> שמואל החמיר מדעתו לטמא כל שפיר, ובכה"ג אין אומרים 'מעשה רב'</w:t>
      </w:r>
      <w:r>
        <w:rPr>
          <w:sz w:val="20"/>
          <w:szCs w:val="20"/>
        </w:rPr>
        <w:t xml:space="preserve"> </w:t>
      </w:r>
      <w:r>
        <w:rPr>
          <w:rFonts w:hint="cs"/>
          <w:sz w:val="20"/>
          <w:szCs w:val="20"/>
          <w:rtl/>
        </w:rPr>
        <w:t xml:space="preserve">; </w:t>
      </w:r>
      <w:r>
        <w:rPr>
          <w:sz w:val="20"/>
          <w:szCs w:val="20"/>
          <w:rtl/>
        </w:rPr>
        <w:br/>
      </w:r>
      <w:r>
        <w:rPr>
          <w:rFonts w:hint="cs"/>
          <w:sz w:val="20"/>
          <w:szCs w:val="20"/>
          <w:rtl/>
        </w:rPr>
        <w:t>ועוד, רבי חנינא שאל את רב מהי הלכה למעשה והורה לו שטהור.</w:t>
      </w:r>
    </w:p>
    <w:p w:rsidR="00620060" w:rsidRDefault="00620060" w:rsidP="00620060">
      <w:pPr>
        <w:rPr>
          <w:sz w:val="20"/>
          <w:szCs w:val="20"/>
          <w:rtl/>
        </w:rPr>
      </w:pPr>
      <w:r>
        <w:rPr>
          <w:rFonts w:hint="cs"/>
          <w:sz w:val="20"/>
          <w:szCs w:val="20"/>
          <w:rtl/>
        </w:rPr>
        <w:t xml:space="preserve">הכרעת </w:t>
      </w:r>
      <w:r w:rsidRPr="00EE533E">
        <w:rPr>
          <w:rFonts w:hint="cs"/>
          <w:b/>
          <w:bCs/>
          <w:sz w:val="20"/>
          <w:szCs w:val="20"/>
          <w:rtl/>
        </w:rPr>
        <w:t>הבית יוסף</w:t>
      </w:r>
      <w:r>
        <w:rPr>
          <w:rFonts w:hint="cs"/>
          <w:sz w:val="20"/>
          <w:szCs w:val="20"/>
          <w:rtl/>
        </w:rPr>
        <w:t xml:space="preserve"> </w:t>
      </w:r>
      <w:r>
        <w:rPr>
          <w:sz w:val="20"/>
          <w:szCs w:val="20"/>
          <w:rtl/>
        </w:rPr>
        <w:t>–</w:t>
      </w:r>
      <w:r>
        <w:rPr>
          <w:rFonts w:hint="cs"/>
          <w:sz w:val="20"/>
          <w:szCs w:val="20"/>
          <w:rtl/>
        </w:rPr>
        <w:t xml:space="preserve"> הלכה כרשב"א, ודברי המגיד משנה אינם - </w:t>
      </w:r>
      <w:r>
        <w:rPr>
          <w:sz w:val="20"/>
          <w:szCs w:val="20"/>
          <w:rtl/>
        </w:rPr>
        <w:br/>
      </w:r>
      <w:r>
        <w:rPr>
          <w:rFonts w:hint="cs"/>
          <w:sz w:val="20"/>
          <w:szCs w:val="20"/>
          <w:rtl/>
        </w:rPr>
        <w:t>א. שמואל לא החמיר כך מעצמו, אלא כך היה מנהג נהרדעא שלא לטהר שפיר בכל עניין.</w:t>
      </w:r>
      <w:r>
        <w:rPr>
          <w:sz w:val="20"/>
          <w:szCs w:val="20"/>
          <w:rtl/>
        </w:rPr>
        <w:br/>
      </w:r>
      <w:r>
        <w:rPr>
          <w:rFonts w:hint="cs"/>
          <w:sz w:val="20"/>
          <w:szCs w:val="20"/>
          <w:rtl/>
        </w:rPr>
        <w:t>ב. רבי חנינא לא שאל את רב מהי הלכה למעשה, עיין בהערה</w:t>
      </w:r>
      <w:r>
        <w:rPr>
          <w:rStyle w:val="a5"/>
          <w:sz w:val="20"/>
          <w:szCs w:val="20"/>
          <w:rtl/>
        </w:rPr>
        <w:footnoteReference w:id="420"/>
      </w:r>
      <w:r>
        <w:rPr>
          <w:rFonts w:hint="cs"/>
          <w:sz w:val="20"/>
          <w:szCs w:val="20"/>
          <w:rtl/>
        </w:rPr>
        <w:t>.</w:t>
      </w:r>
    </w:p>
    <w:p w:rsidR="00620060" w:rsidRDefault="00620060" w:rsidP="00620060">
      <w:pPr>
        <w:rPr>
          <w:sz w:val="20"/>
          <w:szCs w:val="20"/>
          <w:rtl/>
        </w:rPr>
      </w:pPr>
      <w:r>
        <w:rPr>
          <w:rFonts w:hint="cs"/>
          <w:sz w:val="20"/>
          <w:szCs w:val="20"/>
          <w:rtl/>
        </w:rPr>
        <w:lastRenderedPageBreak/>
        <w:t xml:space="preserve">ב. </w:t>
      </w:r>
      <w:r w:rsidRPr="000C0F0F">
        <w:rPr>
          <w:rFonts w:hint="cs"/>
          <w:sz w:val="20"/>
          <w:szCs w:val="20"/>
          <w:u w:val="single"/>
          <w:rtl/>
        </w:rPr>
        <w:t>הפילה שליה</w:t>
      </w:r>
      <w:r>
        <w:rPr>
          <w:sz w:val="20"/>
          <w:szCs w:val="20"/>
          <w:rtl/>
        </w:rPr>
        <w:br/>
      </w:r>
      <w:r w:rsidRPr="00187958">
        <w:rPr>
          <w:rFonts w:hint="cs"/>
          <w:b/>
          <w:bCs/>
          <w:sz w:val="20"/>
          <w:szCs w:val="20"/>
          <w:rtl/>
        </w:rPr>
        <w:t>משנה</w:t>
      </w:r>
      <w:r>
        <w:rPr>
          <w:rFonts w:hint="cs"/>
          <w:sz w:val="20"/>
          <w:szCs w:val="20"/>
          <w:rtl/>
        </w:rPr>
        <w:t xml:space="preserve"> (שם, כד:) "</w:t>
      </w:r>
      <w:r w:rsidRPr="00187958">
        <w:rPr>
          <w:rFonts w:cs="Arial" w:hint="cs"/>
          <w:sz w:val="20"/>
          <w:szCs w:val="20"/>
          <w:rtl/>
        </w:rPr>
        <w:t>המפלת</w:t>
      </w:r>
      <w:r w:rsidRPr="00187958">
        <w:rPr>
          <w:rFonts w:cs="Arial"/>
          <w:sz w:val="20"/>
          <w:szCs w:val="20"/>
          <w:rtl/>
        </w:rPr>
        <w:t xml:space="preserve"> </w:t>
      </w:r>
      <w:r w:rsidRPr="00187958">
        <w:rPr>
          <w:rFonts w:cs="Arial" w:hint="cs"/>
          <w:sz w:val="20"/>
          <w:szCs w:val="20"/>
          <w:rtl/>
        </w:rPr>
        <w:t>סנדל</w:t>
      </w:r>
      <w:r w:rsidRPr="00187958">
        <w:rPr>
          <w:rFonts w:cs="Arial"/>
          <w:sz w:val="20"/>
          <w:szCs w:val="20"/>
          <w:rtl/>
        </w:rPr>
        <w:t xml:space="preserve"> </w:t>
      </w:r>
      <w:r w:rsidRPr="00187958">
        <w:rPr>
          <w:rFonts w:cs="Arial" w:hint="cs"/>
          <w:sz w:val="20"/>
          <w:szCs w:val="20"/>
          <w:rtl/>
        </w:rPr>
        <w:t>או</w:t>
      </w:r>
      <w:r w:rsidRPr="00187958">
        <w:rPr>
          <w:rFonts w:cs="Arial"/>
          <w:sz w:val="20"/>
          <w:szCs w:val="20"/>
          <w:rtl/>
        </w:rPr>
        <w:t xml:space="preserve"> </w:t>
      </w:r>
      <w:r w:rsidRPr="00187958">
        <w:rPr>
          <w:rFonts w:cs="Arial" w:hint="cs"/>
          <w:sz w:val="20"/>
          <w:szCs w:val="20"/>
          <w:rtl/>
        </w:rPr>
        <w:t>שליא</w:t>
      </w:r>
      <w:r w:rsidRPr="00187958">
        <w:rPr>
          <w:rFonts w:cs="Arial"/>
          <w:sz w:val="20"/>
          <w:szCs w:val="20"/>
          <w:rtl/>
        </w:rPr>
        <w:t xml:space="preserve"> - </w:t>
      </w:r>
      <w:r w:rsidRPr="00187958">
        <w:rPr>
          <w:rFonts w:cs="Arial" w:hint="cs"/>
          <w:sz w:val="20"/>
          <w:szCs w:val="20"/>
          <w:rtl/>
        </w:rPr>
        <w:t>תשב</w:t>
      </w:r>
      <w:r w:rsidRPr="00187958">
        <w:rPr>
          <w:rFonts w:cs="Arial"/>
          <w:sz w:val="20"/>
          <w:szCs w:val="20"/>
          <w:rtl/>
        </w:rPr>
        <w:t xml:space="preserve"> </w:t>
      </w:r>
      <w:r w:rsidRPr="00187958">
        <w:rPr>
          <w:rFonts w:cs="Arial" w:hint="cs"/>
          <w:sz w:val="20"/>
          <w:szCs w:val="20"/>
          <w:rtl/>
        </w:rPr>
        <w:t>לזכר</w:t>
      </w:r>
      <w:r w:rsidRPr="00187958">
        <w:rPr>
          <w:rFonts w:cs="Arial"/>
          <w:sz w:val="20"/>
          <w:szCs w:val="20"/>
          <w:rtl/>
        </w:rPr>
        <w:t xml:space="preserve"> </w:t>
      </w:r>
      <w:r w:rsidRPr="00187958">
        <w:rPr>
          <w:rFonts w:cs="Arial" w:hint="cs"/>
          <w:sz w:val="20"/>
          <w:szCs w:val="20"/>
          <w:rtl/>
        </w:rPr>
        <w:t>ולנקבה</w:t>
      </w:r>
      <w:r>
        <w:rPr>
          <w:rFonts w:cs="Arial" w:hint="cs"/>
          <w:sz w:val="20"/>
          <w:szCs w:val="20"/>
          <w:rtl/>
        </w:rPr>
        <w:t xml:space="preserve">, </w:t>
      </w:r>
      <w:r w:rsidRPr="00187958">
        <w:rPr>
          <w:rFonts w:cs="Arial" w:hint="cs"/>
          <w:sz w:val="20"/>
          <w:szCs w:val="20"/>
          <w:rtl/>
        </w:rPr>
        <w:t>לא</w:t>
      </w:r>
      <w:r w:rsidRPr="00187958">
        <w:rPr>
          <w:rFonts w:cs="Arial"/>
          <w:sz w:val="20"/>
          <w:szCs w:val="20"/>
          <w:rtl/>
        </w:rPr>
        <w:t xml:space="preserve"> </w:t>
      </w:r>
      <w:r w:rsidRPr="00187958">
        <w:rPr>
          <w:rFonts w:cs="Arial" w:hint="cs"/>
          <w:sz w:val="20"/>
          <w:szCs w:val="20"/>
          <w:rtl/>
        </w:rPr>
        <w:t>שהשליא</w:t>
      </w:r>
      <w:r w:rsidRPr="00187958">
        <w:rPr>
          <w:rFonts w:cs="Arial"/>
          <w:sz w:val="20"/>
          <w:szCs w:val="20"/>
          <w:rtl/>
        </w:rPr>
        <w:t xml:space="preserve"> </w:t>
      </w:r>
      <w:r w:rsidRPr="00187958">
        <w:rPr>
          <w:rFonts w:cs="Arial" w:hint="cs"/>
          <w:sz w:val="20"/>
          <w:szCs w:val="20"/>
          <w:rtl/>
        </w:rPr>
        <w:t>ולד</w:t>
      </w:r>
      <w:r w:rsidRPr="00187958">
        <w:rPr>
          <w:rFonts w:cs="Arial"/>
          <w:sz w:val="20"/>
          <w:szCs w:val="20"/>
          <w:rtl/>
        </w:rPr>
        <w:t xml:space="preserve">, </w:t>
      </w:r>
      <w:r w:rsidRPr="00187958">
        <w:rPr>
          <w:rFonts w:cs="Arial" w:hint="cs"/>
          <w:sz w:val="20"/>
          <w:szCs w:val="20"/>
          <w:rtl/>
        </w:rPr>
        <w:t>אלא</w:t>
      </w:r>
      <w:r w:rsidRPr="00187958">
        <w:rPr>
          <w:rFonts w:cs="Arial"/>
          <w:sz w:val="20"/>
          <w:szCs w:val="20"/>
          <w:rtl/>
        </w:rPr>
        <w:t xml:space="preserve"> </w:t>
      </w:r>
      <w:r w:rsidRPr="00187958">
        <w:rPr>
          <w:rFonts w:cs="Arial" w:hint="cs"/>
          <w:sz w:val="20"/>
          <w:szCs w:val="20"/>
          <w:rtl/>
        </w:rPr>
        <w:t>שאין</w:t>
      </w:r>
      <w:r w:rsidRPr="00187958">
        <w:rPr>
          <w:rFonts w:cs="Arial"/>
          <w:sz w:val="20"/>
          <w:szCs w:val="20"/>
          <w:rtl/>
        </w:rPr>
        <w:t xml:space="preserve"> </w:t>
      </w:r>
      <w:r w:rsidRPr="00187958">
        <w:rPr>
          <w:rFonts w:cs="Arial" w:hint="cs"/>
          <w:sz w:val="20"/>
          <w:szCs w:val="20"/>
          <w:rtl/>
        </w:rPr>
        <w:t>שליא</w:t>
      </w:r>
      <w:r w:rsidRPr="00187958">
        <w:rPr>
          <w:rFonts w:cs="Arial"/>
          <w:sz w:val="20"/>
          <w:szCs w:val="20"/>
          <w:rtl/>
        </w:rPr>
        <w:t xml:space="preserve"> </w:t>
      </w:r>
      <w:r w:rsidRPr="00187958">
        <w:rPr>
          <w:rFonts w:cs="Arial" w:hint="cs"/>
          <w:sz w:val="20"/>
          <w:szCs w:val="20"/>
          <w:rtl/>
        </w:rPr>
        <w:t>בלא</w:t>
      </w:r>
      <w:r w:rsidRPr="00187958">
        <w:rPr>
          <w:rFonts w:cs="Arial"/>
          <w:sz w:val="20"/>
          <w:szCs w:val="20"/>
          <w:rtl/>
        </w:rPr>
        <w:t xml:space="preserve"> </w:t>
      </w:r>
      <w:r w:rsidRPr="00187958">
        <w:rPr>
          <w:rFonts w:cs="Arial" w:hint="cs"/>
          <w:sz w:val="20"/>
          <w:szCs w:val="20"/>
          <w:rtl/>
        </w:rPr>
        <w:t>ולד</w:t>
      </w:r>
      <w:r>
        <w:rPr>
          <w:rFonts w:cs="Arial" w:hint="cs"/>
          <w:sz w:val="20"/>
          <w:szCs w:val="20"/>
          <w:rtl/>
        </w:rPr>
        <w:t>".</w:t>
      </w:r>
      <w:r>
        <w:rPr>
          <w:sz w:val="20"/>
          <w:szCs w:val="20"/>
          <w:rtl/>
        </w:rPr>
        <w:br/>
      </w:r>
      <w:r>
        <w:rPr>
          <w:rFonts w:hint="cs"/>
          <w:b/>
          <w:bCs/>
          <w:sz w:val="20"/>
          <w:szCs w:val="20"/>
          <w:rtl/>
        </w:rPr>
        <w:t xml:space="preserve">גמרא </w:t>
      </w:r>
      <w:r>
        <w:rPr>
          <w:rFonts w:hint="cs"/>
          <w:sz w:val="20"/>
          <w:szCs w:val="20"/>
          <w:rtl/>
        </w:rPr>
        <w:t>(שם, כו.) "</w:t>
      </w:r>
      <w:r w:rsidRPr="00370CC6">
        <w:rPr>
          <w:rFonts w:cs="Arial" w:hint="cs"/>
          <w:sz w:val="20"/>
          <w:szCs w:val="20"/>
          <w:rtl/>
        </w:rPr>
        <w:t>תנו</w:t>
      </w:r>
      <w:r w:rsidRPr="00370CC6">
        <w:rPr>
          <w:rFonts w:cs="Arial"/>
          <w:sz w:val="20"/>
          <w:szCs w:val="20"/>
          <w:rtl/>
        </w:rPr>
        <w:t xml:space="preserve"> </w:t>
      </w:r>
      <w:r w:rsidRPr="00370CC6">
        <w:rPr>
          <w:rFonts w:cs="Arial" w:hint="cs"/>
          <w:sz w:val="20"/>
          <w:szCs w:val="20"/>
          <w:rtl/>
        </w:rPr>
        <w:t>רבנן</w:t>
      </w:r>
      <w:r w:rsidRPr="00370CC6">
        <w:rPr>
          <w:rFonts w:cs="Arial"/>
          <w:sz w:val="20"/>
          <w:szCs w:val="20"/>
          <w:rtl/>
        </w:rPr>
        <w:t xml:space="preserve">: </w:t>
      </w:r>
      <w:r w:rsidRPr="00370CC6">
        <w:rPr>
          <w:rFonts w:cs="Arial" w:hint="cs"/>
          <w:sz w:val="20"/>
          <w:szCs w:val="20"/>
          <w:rtl/>
        </w:rPr>
        <w:t>שליא</w:t>
      </w:r>
      <w:r w:rsidRPr="00370CC6">
        <w:rPr>
          <w:rFonts w:cs="Arial"/>
          <w:sz w:val="20"/>
          <w:szCs w:val="20"/>
          <w:rtl/>
        </w:rPr>
        <w:t xml:space="preserve"> </w:t>
      </w:r>
      <w:r w:rsidRPr="00370CC6">
        <w:rPr>
          <w:rFonts w:cs="Arial" w:hint="cs"/>
          <w:sz w:val="20"/>
          <w:szCs w:val="20"/>
          <w:rtl/>
        </w:rPr>
        <w:t>תחלתה</w:t>
      </w:r>
      <w:r w:rsidRPr="00370CC6">
        <w:rPr>
          <w:rFonts w:cs="Arial"/>
          <w:sz w:val="20"/>
          <w:szCs w:val="20"/>
          <w:rtl/>
        </w:rPr>
        <w:t xml:space="preserve"> </w:t>
      </w:r>
      <w:r w:rsidRPr="00370CC6">
        <w:rPr>
          <w:rFonts w:cs="Arial" w:hint="cs"/>
          <w:sz w:val="20"/>
          <w:szCs w:val="20"/>
          <w:rtl/>
        </w:rPr>
        <w:t>דומה</w:t>
      </w:r>
      <w:r w:rsidRPr="00370CC6">
        <w:rPr>
          <w:rFonts w:cs="Arial"/>
          <w:sz w:val="20"/>
          <w:szCs w:val="20"/>
          <w:rtl/>
        </w:rPr>
        <w:t xml:space="preserve"> </w:t>
      </w:r>
      <w:r w:rsidRPr="00370CC6">
        <w:rPr>
          <w:rFonts w:cs="Arial" w:hint="cs"/>
          <w:sz w:val="20"/>
          <w:szCs w:val="20"/>
          <w:rtl/>
        </w:rPr>
        <w:t>לחוט</w:t>
      </w:r>
      <w:r w:rsidRPr="00370CC6">
        <w:rPr>
          <w:rFonts w:cs="Arial"/>
          <w:sz w:val="20"/>
          <w:szCs w:val="20"/>
          <w:rtl/>
        </w:rPr>
        <w:t xml:space="preserve"> </w:t>
      </w:r>
      <w:r w:rsidRPr="00370CC6">
        <w:rPr>
          <w:rFonts w:cs="Arial" w:hint="cs"/>
          <w:sz w:val="20"/>
          <w:szCs w:val="20"/>
          <w:rtl/>
        </w:rPr>
        <w:t>של</w:t>
      </w:r>
      <w:r w:rsidRPr="00370CC6">
        <w:rPr>
          <w:rFonts w:cs="Arial"/>
          <w:sz w:val="20"/>
          <w:szCs w:val="20"/>
          <w:rtl/>
        </w:rPr>
        <w:t xml:space="preserve"> </w:t>
      </w:r>
      <w:r w:rsidRPr="00370CC6">
        <w:rPr>
          <w:rFonts w:cs="Arial" w:hint="cs"/>
          <w:sz w:val="20"/>
          <w:szCs w:val="20"/>
          <w:rtl/>
        </w:rPr>
        <w:t>ערב</w:t>
      </w:r>
      <w:r w:rsidRPr="00370CC6">
        <w:rPr>
          <w:rFonts w:cs="Arial"/>
          <w:sz w:val="20"/>
          <w:szCs w:val="20"/>
          <w:rtl/>
        </w:rPr>
        <w:t xml:space="preserve">, </w:t>
      </w:r>
      <w:r w:rsidRPr="00370CC6">
        <w:rPr>
          <w:rFonts w:cs="Arial" w:hint="cs"/>
          <w:sz w:val="20"/>
          <w:szCs w:val="20"/>
          <w:rtl/>
        </w:rPr>
        <w:t>וסופה</w:t>
      </w:r>
      <w:r w:rsidRPr="00370CC6">
        <w:rPr>
          <w:rFonts w:cs="Arial"/>
          <w:sz w:val="20"/>
          <w:szCs w:val="20"/>
          <w:rtl/>
        </w:rPr>
        <w:t xml:space="preserve"> </w:t>
      </w:r>
      <w:r w:rsidRPr="00370CC6">
        <w:rPr>
          <w:rFonts w:cs="Arial" w:hint="cs"/>
          <w:sz w:val="20"/>
          <w:szCs w:val="20"/>
          <w:rtl/>
        </w:rPr>
        <w:t>דומה</w:t>
      </w:r>
      <w:r w:rsidRPr="00370CC6">
        <w:rPr>
          <w:rFonts w:cs="Arial"/>
          <w:sz w:val="20"/>
          <w:szCs w:val="20"/>
          <w:rtl/>
        </w:rPr>
        <w:t xml:space="preserve"> </w:t>
      </w:r>
      <w:r w:rsidRPr="00370CC6">
        <w:rPr>
          <w:rFonts w:cs="Arial" w:hint="cs"/>
          <w:sz w:val="20"/>
          <w:szCs w:val="20"/>
          <w:rtl/>
        </w:rPr>
        <w:t>כתורמוס</w:t>
      </w:r>
      <w:r w:rsidRPr="00370CC6">
        <w:rPr>
          <w:rFonts w:cs="Arial"/>
          <w:sz w:val="20"/>
          <w:szCs w:val="20"/>
          <w:rtl/>
        </w:rPr>
        <w:t xml:space="preserve">, </w:t>
      </w:r>
      <w:r w:rsidRPr="00370CC6">
        <w:rPr>
          <w:rFonts w:cs="Arial" w:hint="cs"/>
          <w:sz w:val="20"/>
          <w:szCs w:val="20"/>
          <w:rtl/>
        </w:rPr>
        <w:t>וחלולה</w:t>
      </w:r>
      <w:r w:rsidRPr="00370CC6">
        <w:rPr>
          <w:rFonts w:cs="Arial"/>
          <w:sz w:val="20"/>
          <w:szCs w:val="20"/>
          <w:rtl/>
        </w:rPr>
        <w:t xml:space="preserve"> </w:t>
      </w:r>
      <w:r w:rsidRPr="00370CC6">
        <w:rPr>
          <w:rFonts w:cs="Arial" w:hint="cs"/>
          <w:sz w:val="20"/>
          <w:szCs w:val="20"/>
          <w:rtl/>
        </w:rPr>
        <w:t>כחצוצרת</w:t>
      </w:r>
      <w:r w:rsidRPr="00370CC6">
        <w:rPr>
          <w:rFonts w:cs="Arial"/>
          <w:sz w:val="20"/>
          <w:szCs w:val="20"/>
          <w:rtl/>
        </w:rPr>
        <w:t xml:space="preserve">, </w:t>
      </w:r>
      <w:r w:rsidRPr="00370CC6">
        <w:rPr>
          <w:rFonts w:cs="Arial" w:hint="cs"/>
          <w:sz w:val="20"/>
          <w:szCs w:val="20"/>
          <w:rtl/>
        </w:rPr>
        <w:t>ואין</w:t>
      </w:r>
      <w:r w:rsidRPr="00370CC6">
        <w:rPr>
          <w:rFonts w:cs="Arial"/>
          <w:sz w:val="20"/>
          <w:szCs w:val="20"/>
          <w:rtl/>
        </w:rPr>
        <w:t xml:space="preserve"> </w:t>
      </w:r>
      <w:r w:rsidRPr="00370CC6">
        <w:rPr>
          <w:rFonts w:cs="Arial" w:hint="cs"/>
          <w:sz w:val="20"/>
          <w:szCs w:val="20"/>
          <w:rtl/>
        </w:rPr>
        <w:t>שליא</w:t>
      </w:r>
      <w:r w:rsidRPr="00370CC6">
        <w:rPr>
          <w:rFonts w:cs="Arial"/>
          <w:sz w:val="20"/>
          <w:szCs w:val="20"/>
          <w:rtl/>
        </w:rPr>
        <w:t xml:space="preserve"> </w:t>
      </w:r>
      <w:r w:rsidRPr="00370CC6">
        <w:rPr>
          <w:rFonts w:cs="Arial" w:hint="cs"/>
          <w:sz w:val="20"/>
          <w:szCs w:val="20"/>
          <w:rtl/>
        </w:rPr>
        <w:t>פחותה</w:t>
      </w:r>
      <w:r w:rsidRPr="00370CC6">
        <w:rPr>
          <w:rFonts w:cs="Arial"/>
          <w:sz w:val="20"/>
          <w:szCs w:val="20"/>
          <w:rtl/>
        </w:rPr>
        <w:t xml:space="preserve"> </w:t>
      </w:r>
      <w:r w:rsidRPr="00370CC6">
        <w:rPr>
          <w:rFonts w:cs="Arial" w:hint="cs"/>
          <w:sz w:val="20"/>
          <w:szCs w:val="20"/>
          <w:rtl/>
        </w:rPr>
        <w:t>מטפח</w:t>
      </w:r>
      <w:r>
        <w:rPr>
          <w:rFonts w:cs="Arial" w:hint="cs"/>
          <w:sz w:val="20"/>
          <w:szCs w:val="20"/>
          <w:rtl/>
        </w:rPr>
        <w:t>".</w:t>
      </w:r>
    </w:p>
    <w:p w:rsidR="00620060" w:rsidRDefault="00620060" w:rsidP="00620060">
      <w:pPr>
        <w:rPr>
          <w:sz w:val="20"/>
          <w:szCs w:val="20"/>
          <w:u w:val="single"/>
          <w:rtl/>
        </w:rPr>
      </w:pPr>
      <w:r>
        <w:rPr>
          <w:rFonts w:hint="cs"/>
          <w:sz w:val="20"/>
          <w:szCs w:val="20"/>
          <w:u w:val="single"/>
          <w:rtl/>
        </w:rPr>
        <w:t>הכרעת הראשונים</w:t>
      </w:r>
      <w:r>
        <w:rPr>
          <w:rStyle w:val="a5"/>
          <w:sz w:val="20"/>
          <w:szCs w:val="20"/>
          <w:u w:val="single"/>
          <w:rtl/>
        </w:rPr>
        <w:footnoteReference w:id="421"/>
      </w:r>
      <w:r>
        <w:rPr>
          <w:rFonts w:hint="cs"/>
          <w:sz w:val="20"/>
          <w:szCs w:val="20"/>
          <w:u w:val="single"/>
          <w:rtl/>
        </w:rPr>
        <w:t xml:space="preserve"> לדינא</w:t>
      </w:r>
      <w:r>
        <w:rPr>
          <w:sz w:val="20"/>
          <w:szCs w:val="20"/>
          <w:u w:val="single"/>
          <w:rtl/>
        </w:rPr>
        <w:br/>
      </w:r>
      <w:r w:rsidRPr="00D01AFC">
        <w:rPr>
          <w:rFonts w:hint="cs"/>
          <w:b/>
          <w:bCs/>
          <w:sz w:val="20"/>
          <w:szCs w:val="20"/>
          <w:rtl/>
        </w:rPr>
        <w:t>רמב"ן</w:t>
      </w:r>
      <w:r>
        <w:rPr>
          <w:rFonts w:hint="cs"/>
          <w:sz w:val="20"/>
          <w:szCs w:val="20"/>
          <w:rtl/>
        </w:rPr>
        <w:t xml:space="preserve">, </w:t>
      </w:r>
      <w:r w:rsidRPr="00D01AFC">
        <w:rPr>
          <w:rFonts w:hint="cs"/>
          <w:b/>
          <w:bCs/>
          <w:sz w:val="20"/>
          <w:szCs w:val="20"/>
          <w:rtl/>
        </w:rPr>
        <w:t xml:space="preserve">רשב"א ורא"ש </w:t>
      </w:r>
      <w:r>
        <w:rPr>
          <w:sz w:val="20"/>
          <w:szCs w:val="20"/>
          <w:rtl/>
        </w:rPr>
        <w:t>–</w:t>
      </w:r>
      <w:r>
        <w:rPr>
          <w:rFonts w:hint="cs"/>
          <w:sz w:val="20"/>
          <w:szCs w:val="20"/>
          <w:rtl/>
        </w:rPr>
        <w:t xml:space="preserve"> איננו בקיאים בחילוקים אלו, ולכן בכל עניין תשב ימי טומאת לידת נקבה.</w:t>
      </w:r>
    </w:p>
    <w:p w:rsidR="00620060" w:rsidRDefault="00620060" w:rsidP="00620060">
      <w:pPr>
        <w:rPr>
          <w:rFonts w:cs="Arial"/>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2A40F7">
        <w:rPr>
          <w:rFonts w:cs="Arial" w:hint="cs"/>
          <w:sz w:val="20"/>
          <w:szCs w:val="20"/>
          <w:rtl/>
        </w:rPr>
        <w:t>המפלת</w:t>
      </w:r>
      <w:r w:rsidRPr="002A40F7">
        <w:rPr>
          <w:rFonts w:cs="Arial"/>
          <w:sz w:val="20"/>
          <w:szCs w:val="20"/>
          <w:rtl/>
        </w:rPr>
        <w:t xml:space="preserve"> </w:t>
      </w:r>
      <w:r w:rsidRPr="002A40F7">
        <w:rPr>
          <w:rFonts w:cs="Arial" w:hint="cs"/>
          <w:sz w:val="20"/>
          <w:szCs w:val="20"/>
          <w:rtl/>
        </w:rPr>
        <w:t>כמין</w:t>
      </w:r>
      <w:r w:rsidRPr="002A40F7">
        <w:rPr>
          <w:rFonts w:cs="Arial"/>
          <w:sz w:val="20"/>
          <w:szCs w:val="20"/>
          <w:rtl/>
        </w:rPr>
        <w:t xml:space="preserve"> </w:t>
      </w:r>
      <w:r w:rsidRPr="002A40F7">
        <w:rPr>
          <w:rFonts w:cs="Arial" w:hint="cs"/>
          <w:sz w:val="20"/>
          <w:szCs w:val="20"/>
          <w:rtl/>
        </w:rPr>
        <w:t>בהמה</w:t>
      </w:r>
      <w:r w:rsidRPr="002A40F7">
        <w:rPr>
          <w:rFonts w:cs="Arial"/>
          <w:sz w:val="20"/>
          <w:szCs w:val="20"/>
          <w:rtl/>
        </w:rPr>
        <w:t xml:space="preserve"> </w:t>
      </w:r>
      <w:r w:rsidRPr="002A40F7">
        <w:rPr>
          <w:rFonts w:cs="Arial" w:hint="cs"/>
          <w:sz w:val="20"/>
          <w:szCs w:val="20"/>
          <w:rtl/>
        </w:rPr>
        <w:t>חיה</w:t>
      </w:r>
      <w:r w:rsidRPr="002A40F7">
        <w:rPr>
          <w:rFonts w:cs="Arial"/>
          <w:sz w:val="20"/>
          <w:szCs w:val="20"/>
          <w:rtl/>
        </w:rPr>
        <w:t xml:space="preserve"> </w:t>
      </w:r>
      <w:r w:rsidRPr="002A40F7">
        <w:rPr>
          <w:rFonts w:cs="Arial" w:hint="cs"/>
          <w:sz w:val="20"/>
          <w:szCs w:val="20"/>
          <w:rtl/>
        </w:rPr>
        <w:t>ועוף</w:t>
      </w:r>
      <w:r w:rsidRPr="002A40F7">
        <w:rPr>
          <w:rFonts w:cs="Arial"/>
          <w:sz w:val="20"/>
          <w:szCs w:val="20"/>
          <w:rtl/>
        </w:rPr>
        <w:t xml:space="preserve"> </w:t>
      </w:r>
      <w:r w:rsidRPr="002A40F7">
        <w:rPr>
          <w:rFonts w:cs="Arial" w:hint="cs"/>
          <w:sz w:val="20"/>
          <w:szCs w:val="20"/>
          <w:rtl/>
        </w:rPr>
        <w:t>או</w:t>
      </w:r>
      <w:r w:rsidRPr="002A40F7">
        <w:rPr>
          <w:rFonts w:cs="Arial"/>
          <w:sz w:val="20"/>
          <w:szCs w:val="20"/>
          <w:rtl/>
        </w:rPr>
        <w:t xml:space="preserve"> </w:t>
      </w:r>
      <w:r w:rsidRPr="002A40F7">
        <w:rPr>
          <w:rFonts w:cs="Arial" w:hint="cs"/>
          <w:sz w:val="20"/>
          <w:szCs w:val="20"/>
          <w:rtl/>
        </w:rPr>
        <w:t>כמין</w:t>
      </w:r>
      <w:r w:rsidRPr="002A40F7">
        <w:rPr>
          <w:rFonts w:cs="Arial"/>
          <w:sz w:val="20"/>
          <w:szCs w:val="20"/>
          <w:rtl/>
        </w:rPr>
        <w:t xml:space="preserve"> </w:t>
      </w:r>
      <w:r w:rsidRPr="002A40F7">
        <w:rPr>
          <w:rFonts w:cs="Arial" w:hint="cs"/>
          <w:sz w:val="20"/>
          <w:szCs w:val="20"/>
          <w:rtl/>
        </w:rPr>
        <w:t>דגים</w:t>
      </w:r>
      <w:r w:rsidRPr="002A40F7">
        <w:rPr>
          <w:rFonts w:cs="Arial"/>
          <w:sz w:val="20"/>
          <w:szCs w:val="20"/>
          <w:rtl/>
        </w:rPr>
        <w:t xml:space="preserve"> </w:t>
      </w:r>
      <w:r w:rsidRPr="002A40F7">
        <w:rPr>
          <w:rFonts w:cs="Arial" w:hint="cs"/>
          <w:sz w:val="20"/>
          <w:szCs w:val="20"/>
          <w:rtl/>
        </w:rPr>
        <w:t>וחגבים</w:t>
      </w:r>
      <w:r w:rsidRPr="002A40F7">
        <w:rPr>
          <w:rFonts w:cs="Arial"/>
          <w:sz w:val="20"/>
          <w:szCs w:val="20"/>
          <w:rtl/>
        </w:rPr>
        <w:t xml:space="preserve"> </w:t>
      </w:r>
      <w:r w:rsidRPr="002A40F7">
        <w:rPr>
          <w:rFonts w:cs="Arial" w:hint="cs"/>
          <w:sz w:val="20"/>
          <w:szCs w:val="20"/>
          <w:rtl/>
        </w:rPr>
        <w:t>ושקצים</w:t>
      </w:r>
      <w:r w:rsidRPr="002A40F7">
        <w:rPr>
          <w:rFonts w:cs="Arial"/>
          <w:sz w:val="20"/>
          <w:szCs w:val="20"/>
          <w:rtl/>
        </w:rPr>
        <w:t xml:space="preserve"> </w:t>
      </w:r>
      <w:r w:rsidRPr="002A40F7">
        <w:rPr>
          <w:rFonts w:cs="Arial" w:hint="cs"/>
          <w:sz w:val="20"/>
          <w:szCs w:val="20"/>
          <w:rtl/>
        </w:rPr>
        <w:t>ורמשים</w:t>
      </w:r>
      <w:r w:rsidRPr="002A40F7">
        <w:rPr>
          <w:rFonts w:cs="Arial"/>
          <w:sz w:val="20"/>
          <w:szCs w:val="20"/>
          <w:rtl/>
        </w:rPr>
        <w:t xml:space="preserve">, </w:t>
      </w:r>
      <w:r w:rsidRPr="002A40F7">
        <w:rPr>
          <w:rFonts w:cs="Arial" w:hint="cs"/>
          <w:sz w:val="20"/>
          <w:szCs w:val="20"/>
          <w:rtl/>
        </w:rPr>
        <w:t>וכל</w:t>
      </w:r>
      <w:r w:rsidRPr="002A40F7">
        <w:rPr>
          <w:rFonts w:cs="Arial"/>
          <w:sz w:val="20"/>
          <w:szCs w:val="20"/>
          <w:rtl/>
        </w:rPr>
        <w:t xml:space="preserve"> </w:t>
      </w:r>
      <w:r w:rsidRPr="002A40F7">
        <w:rPr>
          <w:rFonts w:cs="Arial" w:hint="cs"/>
          <w:sz w:val="20"/>
          <w:szCs w:val="20"/>
          <w:rtl/>
        </w:rPr>
        <w:t>צורת</w:t>
      </w:r>
      <w:r w:rsidRPr="002A40F7">
        <w:rPr>
          <w:rFonts w:cs="Arial"/>
          <w:sz w:val="20"/>
          <w:szCs w:val="20"/>
          <w:rtl/>
        </w:rPr>
        <w:t xml:space="preserve"> </w:t>
      </w:r>
      <w:r w:rsidRPr="002A40F7">
        <w:rPr>
          <w:rFonts w:cs="Arial" w:hint="cs"/>
          <w:sz w:val="20"/>
          <w:szCs w:val="20"/>
          <w:rtl/>
        </w:rPr>
        <w:t>ולד</w:t>
      </w:r>
      <w:r w:rsidRPr="002A40F7">
        <w:rPr>
          <w:rFonts w:cs="Arial"/>
          <w:sz w:val="20"/>
          <w:szCs w:val="20"/>
          <w:rtl/>
        </w:rPr>
        <w:t xml:space="preserve"> </w:t>
      </w:r>
      <w:r w:rsidRPr="002A40F7">
        <w:rPr>
          <w:rFonts w:cs="Arial" w:hint="cs"/>
          <w:sz w:val="20"/>
          <w:szCs w:val="20"/>
          <w:rtl/>
        </w:rPr>
        <w:t>או</w:t>
      </w:r>
      <w:r w:rsidRPr="002A40F7">
        <w:rPr>
          <w:rFonts w:cs="Arial"/>
          <w:sz w:val="20"/>
          <w:szCs w:val="20"/>
          <w:rtl/>
        </w:rPr>
        <w:t xml:space="preserve"> </w:t>
      </w:r>
      <w:r w:rsidRPr="002A40F7">
        <w:rPr>
          <w:rFonts w:cs="Arial" w:hint="cs"/>
          <w:sz w:val="20"/>
          <w:szCs w:val="20"/>
          <w:rtl/>
        </w:rPr>
        <w:t>שפיר</w:t>
      </w:r>
      <w:r w:rsidRPr="002A40F7">
        <w:rPr>
          <w:rFonts w:cs="Arial"/>
          <w:sz w:val="20"/>
          <w:szCs w:val="20"/>
          <w:rtl/>
        </w:rPr>
        <w:t xml:space="preserve"> </w:t>
      </w:r>
      <w:r w:rsidRPr="002A40F7">
        <w:rPr>
          <w:rFonts w:cs="Arial" w:hint="cs"/>
          <w:sz w:val="20"/>
          <w:szCs w:val="20"/>
          <w:rtl/>
        </w:rPr>
        <w:t>או</w:t>
      </w:r>
      <w:r w:rsidRPr="002A40F7">
        <w:rPr>
          <w:rFonts w:cs="Arial"/>
          <w:sz w:val="20"/>
          <w:szCs w:val="20"/>
          <w:rtl/>
        </w:rPr>
        <w:t xml:space="preserve"> </w:t>
      </w:r>
      <w:r w:rsidRPr="002A40F7">
        <w:rPr>
          <w:rFonts w:cs="Arial" w:hint="cs"/>
          <w:sz w:val="20"/>
          <w:szCs w:val="20"/>
          <w:rtl/>
        </w:rPr>
        <w:t>שליא</w:t>
      </w:r>
      <w:r w:rsidRPr="002A40F7">
        <w:rPr>
          <w:rFonts w:cs="Arial"/>
          <w:sz w:val="20"/>
          <w:szCs w:val="20"/>
          <w:rtl/>
        </w:rPr>
        <w:t xml:space="preserve"> </w:t>
      </w:r>
      <w:r w:rsidRPr="002A40F7">
        <w:rPr>
          <w:rFonts w:cs="Arial" w:hint="cs"/>
          <w:sz w:val="20"/>
          <w:szCs w:val="20"/>
          <w:rtl/>
        </w:rPr>
        <w:t>או</w:t>
      </w:r>
      <w:r w:rsidRPr="002A40F7">
        <w:rPr>
          <w:rFonts w:cs="Arial"/>
          <w:sz w:val="20"/>
          <w:szCs w:val="20"/>
          <w:rtl/>
        </w:rPr>
        <w:t xml:space="preserve"> </w:t>
      </w:r>
      <w:r w:rsidRPr="002A40F7">
        <w:rPr>
          <w:rFonts w:cs="Arial" w:hint="cs"/>
          <w:sz w:val="20"/>
          <w:szCs w:val="20"/>
          <w:rtl/>
        </w:rPr>
        <w:t>חתיכה</w:t>
      </w:r>
      <w:r w:rsidRPr="002A40F7">
        <w:rPr>
          <w:rFonts w:cs="Arial"/>
          <w:sz w:val="20"/>
          <w:szCs w:val="20"/>
          <w:rtl/>
        </w:rPr>
        <w:t xml:space="preserve"> </w:t>
      </w:r>
      <w:r w:rsidRPr="002A40F7">
        <w:rPr>
          <w:rFonts w:cs="Arial" w:hint="cs"/>
          <w:sz w:val="20"/>
          <w:szCs w:val="20"/>
          <w:rtl/>
        </w:rPr>
        <w:t>שקרעוה</w:t>
      </w:r>
      <w:r w:rsidRPr="002A40F7">
        <w:rPr>
          <w:rFonts w:cs="Arial"/>
          <w:sz w:val="20"/>
          <w:szCs w:val="20"/>
          <w:rtl/>
        </w:rPr>
        <w:t xml:space="preserve"> </w:t>
      </w:r>
      <w:r w:rsidRPr="002A40F7">
        <w:rPr>
          <w:rFonts w:cs="Arial" w:hint="cs"/>
          <w:sz w:val="20"/>
          <w:szCs w:val="20"/>
          <w:rtl/>
        </w:rPr>
        <w:t>ויש</w:t>
      </w:r>
      <w:r w:rsidRPr="002A40F7">
        <w:rPr>
          <w:rFonts w:cs="Arial"/>
          <w:sz w:val="20"/>
          <w:szCs w:val="20"/>
          <w:rtl/>
        </w:rPr>
        <w:t xml:space="preserve"> </w:t>
      </w:r>
      <w:r w:rsidRPr="002A40F7">
        <w:rPr>
          <w:rFonts w:cs="Arial" w:hint="cs"/>
          <w:sz w:val="20"/>
          <w:szCs w:val="20"/>
          <w:rtl/>
        </w:rPr>
        <w:t>בה</w:t>
      </w:r>
      <w:r w:rsidRPr="002A40F7">
        <w:rPr>
          <w:rFonts w:cs="Arial"/>
          <w:sz w:val="20"/>
          <w:szCs w:val="20"/>
          <w:rtl/>
        </w:rPr>
        <w:t xml:space="preserve"> </w:t>
      </w:r>
      <w:r w:rsidRPr="002A40F7">
        <w:rPr>
          <w:rFonts w:cs="Arial" w:hint="cs"/>
          <w:sz w:val="20"/>
          <w:szCs w:val="20"/>
          <w:rtl/>
        </w:rPr>
        <w:t>עצם</w:t>
      </w:r>
      <w:r w:rsidRPr="002A40F7">
        <w:rPr>
          <w:rFonts w:cs="Arial"/>
          <w:sz w:val="20"/>
          <w:szCs w:val="20"/>
          <w:rtl/>
        </w:rPr>
        <w:t xml:space="preserve"> </w:t>
      </w:r>
      <w:r w:rsidRPr="002A40F7">
        <w:rPr>
          <w:rFonts w:cs="Arial" w:hint="cs"/>
          <w:sz w:val="20"/>
          <w:szCs w:val="20"/>
          <w:rtl/>
        </w:rPr>
        <w:t>עכשיו</w:t>
      </w:r>
      <w:r w:rsidRPr="002A40F7">
        <w:rPr>
          <w:rFonts w:cs="Arial"/>
          <w:sz w:val="20"/>
          <w:szCs w:val="20"/>
          <w:rtl/>
        </w:rPr>
        <w:t xml:space="preserve"> </w:t>
      </w:r>
      <w:r w:rsidRPr="002A40F7">
        <w:rPr>
          <w:rFonts w:cs="Arial" w:hint="cs"/>
          <w:sz w:val="20"/>
          <w:szCs w:val="20"/>
          <w:rtl/>
        </w:rPr>
        <w:t>שאין</w:t>
      </w:r>
      <w:r w:rsidRPr="002A40F7">
        <w:rPr>
          <w:rFonts w:cs="Arial"/>
          <w:sz w:val="20"/>
          <w:szCs w:val="20"/>
          <w:rtl/>
        </w:rPr>
        <w:t xml:space="preserve"> </w:t>
      </w:r>
      <w:r w:rsidRPr="002A40F7">
        <w:rPr>
          <w:rFonts w:cs="Arial" w:hint="cs"/>
          <w:sz w:val="20"/>
          <w:szCs w:val="20"/>
          <w:rtl/>
        </w:rPr>
        <w:t>אנו</w:t>
      </w:r>
      <w:r w:rsidRPr="002A40F7">
        <w:rPr>
          <w:rFonts w:cs="Arial"/>
          <w:sz w:val="20"/>
          <w:szCs w:val="20"/>
          <w:rtl/>
        </w:rPr>
        <w:t xml:space="preserve"> </w:t>
      </w:r>
      <w:r w:rsidRPr="002A40F7">
        <w:rPr>
          <w:rFonts w:cs="Arial" w:hint="cs"/>
          <w:sz w:val="20"/>
          <w:szCs w:val="20"/>
          <w:rtl/>
        </w:rPr>
        <w:t>בקיאין</w:t>
      </w:r>
      <w:r w:rsidRPr="002A40F7">
        <w:rPr>
          <w:rFonts w:cs="Arial"/>
          <w:sz w:val="20"/>
          <w:szCs w:val="20"/>
          <w:rtl/>
        </w:rPr>
        <w:t xml:space="preserve"> </w:t>
      </w:r>
      <w:r w:rsidRPr="002A40F7">
        <w:rPr>
          <w:rFonts w:cs="Arial" w:hint="cs"/>
          <w:sz w:val="20"/>
          <w:szCs w:val="20"/>
          <w:rtl/>
        </w:rPr>
        <w:t>בצורות</w:t>
      </w:r>
      <w:r w:rsidRPr="002A40F7">
        <w:rPr>
          <w:rFonts w:cs="Arial"/>
          <w:sz w:val="20"/>
          <w:szCs w:val="20"/>
          <w:rtl/>
        </w:rPr>
        <w:t xml:space="preserve">, </w:t>
      </w:r>
      <w:r w:rsidRPr="002A40F7">
        <w:rPr>
          <w:rFonts w:cs="Arial" w:hint="cs"/>
          <w:sz w:val="20"/>
          <w:szCs w:val="20"/>
          <w:rtl/>
        </w:rPr>
        <w:t>חוששת</w:t>
      </w:r>
      <w:r w:rsidRPr="002A40F7">
        <w:rPr>
          <w:rFonts w:cs="Arial"/>
          <w:sz w:val="20"/>
          <w:szCs w:val="20"/>
          <w:rtl/>
        </w:rPr>
        <w:t xml:space="preserve"> </w:t>
      </w:r>
      <w:r w:rsidRPr="002A40F7">
        <w:rPr>
          <w:rFonts w:cs="Arial" w:hint="cs"/>
          <w:sz w:val="20"/>
          <w:szCs w:val="20"/>
          <w:rtl/>
        </w:rPr>
        <w:t>לו</w:t>
      </w:r>
      <w:r>
        <w:rPr>
          <w:rFonts w:cs="Arial" w:hint="cs"/>
          <w:sz w:val="20"/>
          <w:szCs w:val="20"/>
          <w:rtl/>
        </w:rPr>
        <w:t>ו</w:t>
      </w:r>
      <w:r w:rsidRPr="002A40F7">
        <w:rPr>
          <w:rFonts w:cs="Arial" w:hint="cs"/>
          <w:sz w:val="20"/>
          <w:szCs w:val="20"/>
          <w:rtl/>
        </w:rPr>
        <w:t>לד</w:t>
      </w:r>
      <w:r>
        <w:rPr>
          <w:rStyle w:val="a5"/>
          <w:rFonts w:cs="Arial"/>
          <w:sz w:val="20"/>
          <w:szCs w:val="20"/>
          <w:rtl/>
        </w:rPr>
        <w:footnoteReference w:id="422"/>
      </w:r>
      <w:r w:rsidRPr="002A40F7">
        <w:rPr>
          <w:rFonts w:cs="Arial"/>
          <w:sz w:val="20"/>
          <w:szCs w:val="20"/>
          <w:rtl/>
        </w:rPr>
        <w:t xml:space="preserve">; </w:t>
      </w:r>
      <w:r w:rsidRPr="002A40F7">
        <w:rPr>
          <w:rFonts w:cs="Arial" w:hint="cs"/>
          <w:sz w:val="20"/>
          <w:szCs w:val="20"/>
          <w:rtl/>
        </w:rPr>
        <w:t>ואם</w:t>
      </w:r>
      <w:r w:rsidRPr="002A40F7">
        <w:rPr>
          <w:rFonts w:cs="Arial"/>
          <w:sz w:val="20"/>
          <w:szCs w:val="20"/>
          <w:rtl/>
        </w:rPr>
        <w:t xml:space="preserve"> </w:t>
      </w:r>
      <w:r w:rsidRPr="002A40F7">
        <w:rPr>
          <w:rFonts w:cs="Arial" w:hint="cs"/>
          <w:sz w:val="20"/>
          <w:szCs w:val="20"/>
          <w:rtl/>
        </w:rPr>
        <w:t>כלו</w:t>
      </w:r>
      <w:r w:rsidRPr="002A40F7">
        <w:rPr>
          <w:rFonts w:cs="Arial"/>
          <w:sz w:val="20"/>
          <w:szCs w:val="20"/>
          <w:rtl/>
        </w:rPr>
        <w:t xml:space="preserve"> </w:t>
      </w:r>
      <w:r w:rsidRPr="002A40F7">
        <w:rPr>
          <w:rFonts w:cs="Arial" w:hint="cs"/>
          <w:sz w:val="20"/>
          <w:szCs w:val="20"/>
          <w:rtl/>
        </w:rPr>
        <w:t>ז</w:t>
      </w:r>
      <w:r w:rsidRPr="002A40F7">
        <w:rPr>
          <w:rFonts w:cs="Arial"/>
          <w:sz w:val="20"/>
          <w:szCs w:val="20"/>
          <w:rtl/>
        </w:rPr>
        <w:t xml:space="preserve">' </w:t>
      </w:r>
      <w:r w:rsidRPr="002A40F7">
        <w:rPr>
          <w:rFonts w:cs="Arial" w:hint="cs"/>
          <w:sz w:val="20"/>
          <w:szCs w:val="20"/>
          <w:rtl/>
        </w:rPr>
        <w:t>נקיים</w:t>
      </w:r>
      <w:r w:rsidRPr="002A40F7">
        <w:rPr>
          <w:rFonts w:cs="Arial"/>
          <w:sz w:val="20"/>
          <w:szCs w:val="20"/>
          <w:rtl/>
        </w:rPr>
        <w:t xml:space="preserve"> </w:t>
      </w:r>
      <w:r w:rsidRPr="002A40F7">
        <w:rPr>
          <w:rFonts w:cs="Arial" w:hint="cs"/>
          <w:sz w:val="20"/>
          <w:szCs w:val="20"/>
          <w:rtl/>
        </w:rPr>
        <w:t>בתוך</w:t>
      </w:r>
      <w:r w:rsidRPr="002A40F7">
        <w:rPr>
          <w:rFonts w:cs="Arial"/>
          <w:sz w:val="20"/>
          <w:szCs w:val="20"/>
          <w:rtl/>
        </w:rPr>
        <w:t xml:space="preserve"> </w:t>
      </w:r>
      <w:r w:rsidRPr="002A40F7">
        <w:rPr>
          <w:rFonts w:cs="Arial" w:hint="cs"/>
          <w:sz w:val="20"/>
          <w:szCs w:val="20"/>
          <w:rtl/>
        </w:rPr>
        <w:t>י</w:t>
      </w:r>
      <w:r w:rsidRPr="002A40F7">
        <w:rPr>
          <w:rFonts w:cs="Arial"/>
          <w:sz w:val="20"/>
          <w:szCs w:val="20"/>
          <w:rtl/>
        </w:rPr>
        <w:t>"</w:t>
      </w:r>
      <w:r w:rsidRPr="002A40F7">
        <w:rPr>
          <w:rFonts w:cs="Arial" w:hint="cs"/>
          <w:sz w:val="20"/>
          <w:szCs w:val="20"/>
          <w:rtl/>
        </w:rPr>
        <w:t>ד</w:t>
      </w:r>
      <w:r w:rsidRPr="002A40F7">
        <w:rPr>
          <w:rFonts w:cs="Arial"/>
          <w:sz w:val="20"/>
          <w:szCs w:val="20"/>
          <w:rtl/>
        </w:rPr>
        <w:t xml:space="preserve"> </w:t>
      </w:r>
      <w:r w:rsidRPr="002A40F7">
        <w:rPr>
          <w:rFonts w:cs="Arial" w:hint="cs"/>
          <w:sz w:val="20"/>
          <w:szCs w:val="20"/>
          <w:rtl/>
        </w:rPr>
        <w:t>יום</w:t>
      </w:r>
      <w:r w:rsidRPr="002A40F7">
        <w:rPr>
          <w:rFonts w:cs="Arial"/>
          <w:sz w:val="20"/>
          <w:szCs w:val="20"/>
          <w:rtl/>
        </w:rPr>
        <w:t xml:space="preserve">, </w:t>
      </w:r>
      <w:r w:rsidRPr="002A40F7">
        <w:rPr>
          <w:rFonts w:cs="Arial" w:hint="cs"/>
          <w:sz w:val="20"/>
          <w:szCs w:val="20"/>
          <w:rtl/>
        </w:rPr>
        <w:t>אם</w:t>
      </w:r>
      <w:r w:rsidRPr="002A40F7">
        <w:rPr>
          <w:rFonts w:cs="Arial"/>
          <w:sz w:val="20"/>
          <w:szCs w:val="20"/>
          <w:rtl/>
        </w:rPr>
        <w:t xml:space="preserve"> </w:t>
      </w:r>
      <w:r w:rsidRPr="002A40F7">
        <w:rPr>
          <w:rFonts w:cs="Arial" w:hint="cs"/>
          <w:sz w:val="20"/>
          <w:szCs w:val="20"/>
          <w:rtl/>
        </w:rPr>
        <w:t>טבלה</w:t>
      </w:r>
      <w:r w:rsidRPr="002A40F7">
        <w:rPr>
          <w:rFonts w:cs="Arial"/>
          <w:sz w:val="20"/>
          <w:szCs w:val="20"/>
          <w:rtl/>
        </w:rPr>
        <w:t xml:space="preserve"> </w:t>
      </w:r>
      <w:r w:rsidRPr="002A40F7">
        <w:rPr>
          <w:rFonts w:cs="Arial" w:hint="cs"/>
          <w:sz w:val="20"/>
          <w:szCs w:val="20"/>
          <w:rtl/>
        </w:rPr>
        <w:t>קודם</w:t>
      </w:r>
      <w:r w:rsidRPr="002A40F7">
        <w:rPr>
          <w:rFonts w:cs="Arial"/>
          <w:sz w:val="20"/>
          <w:szCs w:val="20"/>
          <w:rtl/>
        </w:rPr>
        <w:t xml:space="preserve"> </w:t>
      </w:r>
      <w:r w:rsidRPr="002A40F7">
        <w:rPr>
          <w:rFonts w:cs="Arial" w:hint="cs"/>
          <w:sz w:val="20"/>
          <w:szCs w:val="20"/>
          <w:rtl/>
        </w:rPr>
        <w:t>ליל</w:t>
      </w:r>
      <w:r w:rsidRPr="002A40F7">
        <w:rPr>
          <w:rFonts w:cs="Arial"/>
          <w:sz w:val="20"/>
          <w:szCs w:val="20"/>
          <w:rtl/>
        </w:rPr>
        <w:t xml:space="preserve"> </w:t>
      </w:r>
      <w:r w:rsidRPr="002A40F7">
        <w:rPr>
          <w:rFonts w:cs="Arial" w:hint="cs"/>
          <w:sz w:val="20"/>
          <w:szCs w:val="20"/>
          <w:rtl/>
        </w:rPr>
        <w:t>ט</w:t>
      </w:r>
      <w:r w:rsidRPr="002A40F7">
        <w:rPr>
          <w:rFonts w:cs="Arial"/>
          <w:sz w:val="20"/>
          <w:szCs w:val="20"/>
          <w:rtl/>
        </w:rPr>
        <w:t>"</w:t>
      </w:r>
      <w:r w:rsidRPr="002A40F7">
        <w:rPr>
          <w:rFonts w:cs="Arial" w:hint="cs"/>
          <w:sz w:val="20"/>
          <w:szCs w:val="20"/>
          <w:rtl/>
        </w:rPr>
        <w:t>ו</w:t>
      </w:r>
      <w:r w:rsidRPr="002A40F7">
        <w:rPr>
          <w:rFonts w:cs="Arial"/>
          <w:sz w:val="20"/>
          <w:szCs w:val="20"/>
          <w:rtl/>
        </w:rPr>
        <w:t xml:space="preserve"> </w:t>
      </w:r>
      <w:r w:rsidRPr="002A40F7">
        <w:rPr>
          <w:rFonts w:cs="Arial" w:hint="cs"/>
          <w:sz w:val="20"/>
          <w:szCs w:val="20"/>
          <w:rtl/>
        </w:rPr>
        <w:t>לא</w:t>
      </w:r>
      <w:r w:rsidRPr="002A40F7">
        <w:rPr>
          <w:rFonts w:cs="Arial"/>
          <w:sz w:val="20"/>
          <w:szCs w:val="20"/>
          <w:rtl/>
        </w:rPr>
        <w:t xml:space="preserve"> </w:t>
      </w:r>
      <w:r w:rsidRPr="002A40F7">
        <w:rPr>
          <w:rFonts w:cs="Arial" w:hint="cs"/>
          <w:sz w:val="20"/>
          <w:szCs w:val="20"/>
          <w:rtl/>
        </w:rPr>
        <w:t>עלתה</w:t>
      </w:r>
      <w:r w:rsidRPr="002A40F7">
        <w:rPr>
          <w:rFonts w:cs="Arial"/>
          <w:sz w:val="20"/>
          <w:szCs w:val="20"/>
          <w:rtl/>
        </w:rPr>
        <w:t xml:space="preserve"> </w:t>
      </w:r>
      <w:r w:rsidRPr="002A40F7">
        <w:rPr>
          <w:rFonts w:cs="Arial" w:hint="cs"/>
          <w:sz w:val="20"/>
          <w:szCs w:val="20"/>
          <w:rtl/>
        </w:rPr>
        <w:t>לה</w:t>
      </w:r>
      <w:r w:rsidRPr="002A40F7">
        <w:rPr>
          <w:rFonts w:cs="Arial"/>
          <w:sz w:val="20"/>
          <w:szCs w:val="20"/>
          <w:rtl/>
        </w:rPr>
        <w:t xml:space="preserve"> </w:t>
      </w:r>
      <w:r w:rsidRPr="002A40F7">
        <w:rPr>
          <w:rFonts w:cs="Arial" w:hint="cs"/>
          <w:sz w:val="20"/>
          <w:szCs w:val="20"/>
          <w:rtl/>
        </w:rPr>
        <w:t>טבילה</w:t>
      </w:r>
      <w:r>
        <w:rPr>
          <w:rFonts w:cs="Arial" w:hint="cs"/>
          <w:sz w:val="20"/>
          <w:szCs w:val="20"/>
          <w:rtl/>
        </w:rPr>
        <w:t>"</w:t>
      </w:r>
      <w:r w:rsidRPr="002A40F7">
        <w:rPr>
          <w:rFonts w:cs="Arial"/>
          <w:sz w:val="20"/>
          <w:szCs w:val="20"/>
          <w:rtl/>
        </w:rPr>
        <w:t>.</w:t>
      </w:r>
      <w:r>
        <w:rPr>
          <w:rFonts w:cs="Arial"/>
          <w:sz w:val="20"/>
          <w:szCs w:val="20"/>
          <w:rtl/>
        </w:rPr>
        <w:br/>
      </w:r>
      <w:r>
        <w:rPr>
          <w:rFonts w:cs="Arial"/>
          <w:sz w:val="20"/>
          <w:szCs w:val="20"/>
          <w:rtl/>
        </w:rPr>
        <w:br/>
      </w:r>
      <w:r w:rsidRPr="00430D7D">
        <w:rPr>
          <w:rFonts w:cs="Arial" w:hint="cs"/>
          <w:sz w:val="20"/>
          <w:szCs w:val="20"/>
          <w:u w:val="single"/>
          <w:rtl/>
        </w:rPr>
        <w:t>הסבר</w:t>
      </w:r>
      <w:r>
        <w:rPr>
          <w:rFonts w:cs="Arial" w:hint="cs"/>
          <w:sz w:val="20"/>
          <w:szCs w:val="20"/>
          <w:rtl/>
        </w:rPr>
        <w:t xml:space="preserve"> </w:t>
      </w:r>
      <w:r>
        <w:rPr>
          <w:rFonts w:cs="Arial"/>
          <w:sz w:val="20"/>
          <w:szCs w:val="20"/>
          <w:rtl/>
        </w:rPr>
        <w:br/>
      </w:r>
      <w:r>
        <w:rPr>
          <w:rFonts w:cs="Arial" w:hint="cs"/>
          <w:sz w:val="20"/>
          <w:szCs w:val="20"/>
          <w:rtl/>
        </w:rPr>
        <w:t>חוששת לוולד ושמא נקבה היתה, הלכך יושבת יד' ימי טומאה, וכן צריכה לשבת ז' נקיים כדין יולדת בזוב, משום שקיי"ל 'אי אפשר לפתיה"ק בלא דם'.</w:t>
      </w:r>
    </w:p>
    <w:p w:rsidR="00620060" w:rsidRDefault="00620060" w:rsidP="00620060">
      <w:pPr>
        <w:rPr>
          <w:rFonts w:cs="Arial"/>
          <w:sz w:val="20"/>
          <w:szCs w:val="20"/>
          <w:rtl/>
        </w:rPr>
      </w:pPr>
      <w:r>
        <w:rPr>
          <w:rFonts w:cs="Arial" w:hint="cs"/>
          <w:sz w:val="20"/>
          <w:szCs w:val="20"/>
          <w:u w:val="single"/>
          <w:rtl/>
        </w:rPr>
        <w:t>גרימת מוות לברייה משונה (פת"ש)</w:t>
      </w:r>
      <w:r>
        <w:rPr>
          <w:rFonts w:cs="Arial"/>
          <w:sz w:val="20"/>
          <w:szCs w:val="20"/>
          <w:u w:val="single"/>
          <w:rtl/>
        </w:rPr>
        <w:br/>
      </w:r>
      <w:r w:rsidRPr="00C8565B">
        <w:rPr>
          <w:rFonts w:cs="Arial" w:hint="cs"/>
          <w:b/>
          <w:bCs/>
          <w:sz w:val="20"/>
          <w:szCs w:val="20"/>
          <w:rtl/>
        </w:rPr>
        <w:t>שו"ת תשובה מאהבה</w:t>
      </w:r>
      <w:r>
        <w:rPr>
          <w:rFonts w:cs="Arial" w:hint="cs"/>
          <w:sz w:val="20"/>
          <w:szCs w:val="20"/>
          <w:rtl/>
        </w:rPr>
        <w:t xml:space="preserve"> </w:t>
      </w:r>
      <w:r>
        <w:rPr>
          <w:rFonts w:cs="Arial"/>
          <w:sz w:val="20"/>
          <w:szCs w:val="20"/>
          <w:rtl/>
        </w:rPr>
        <w:t>–</w:t>
      </w:r>
      <w:r>
        <w:rPr>
          <w:rFonts w:cs="Arial" w:hint="cs"/>
          <w:sz w:val="20"/>
          <w:szCs w:val="20"/>
          <w:rtl/>
        </w:rPr>
        <w:t xml:space="preserve"> אין לגרום בשום דרך למוות של ברייה משונה. ואע"פ שנאמר במשנה שכל שאינו מצורת האדם אינו וולד, דין זה נאמר רק לגבי טומאת לידה, אך לגבי נפשות דינו ככל וולד ויש לדאוג לכל צרכיו כדי שלא יחלה וימות.</w:t>
      </w:r>
    </w:p>
    <w:p w:rsidR="00620060" w:rsidRPr="006319F6" w:rsidRDefault="00620060" w:rsidP="00620060">
      <w:pPr>
        <w:rPr>
          <w:rFonts w:cs="Arial"/>
          <w:sz w:val="20"/>
          <w:szCs w:val="20"/>
          <w:rtl/>
        </w:rPr>
      </w:pPr>
      <w:r>
        <w:rPr>
          <w:rFonts w:cs="Arial" w:hint="cs"/>
          <w:sz w:val="20"/>
          <w:szCs w:val="20"/>
          <w:u w:val="single"/>
          <w:rtl/>
        </w:rPr>
        <w:t>חתיכה שאין בה עצם (פת"ש)</w:t>
      </w:r>
      <w:r>
        <w:rPr>
          <w:rFonts w:cs="Arial"/>
          <w:sz w:val="20"/>
          <w:szCs w:val="20"/>
          <w:u w:val="single"/>
          <w:rtl/>
        </w:rPr>
        <w:br/>
      </w:r>
      <w:r w:rsidRPr="006319F6">
        <w:rPr>
          <w:rFonts w:cs="Arial" w:hint="cs"/>
          <w:sz w:val="20"/>
          <w:szCs w:val="20"/>
          <w:rtl/>
        </w:rPr>
        <w:t>הפילה חתיכה שאין בה עצם</w:t>
      </w:r>
      <w:r>
        <w:rPr>
          <w:rFonts w:cs="Arial" w:hint="cs"/>
          <w:sz w:val="20"/>
          <w:szCs w:val="20"/>
          <w:rtl/>
        </w:rPr>
        <w:t xml:space="preserve"> - </w:t>
      </w:r>
      <w:r>
        <w:rPr>
          <w:rFonts w:cs="Arial" w:hint="cs"/>
          <w:sz w:val="20"/>
          <w:szCs w:val="20"/>
          <w:u w:val="single"/>
          <w:rtl/>
        </w:rPr>
        <w:br/>
      </w:r>
      <w:r>
        <w:rPr>
          <w:rFonts w:cs="Arial" w:hint="cs"/>
          <w:sz w:val="20"/>
          <w:szCs w:val="20"/>
          <w:rtl/>
        </w:rPr>
        <w:t xml:space="preserve">א. </w:t>
      </w:r>
      <w:r w:rsidRPr="006319F6">
        <w:rPr>
          <w:rFonts w:cs="Arial" w:hint="cs"/>
          <w:b/>
          <w:bCs/>
          <w:sz w:val="20"/>
          <w:szCs w:val="20"/>
          <w:rtl/>
        </w:rPr>
        <w:t>מהר"א ברודא</w:t>
      </w:r>
      <w:r>
        <w:rPr>
          <w:rFonts w:cs="Arial" w:hint="cs"/>
          <w:sz w:val="20"/>
          <w:szCs w:val="20"/>
          <w:rtl/>
        </w:rPr>
        <w:t xml:space="preserve"> </w:t>
      </w:r>
      <w:r>
        <w:rPr>
          <w:rFonts w:cs="Arial"/>
          <w:sz w:val="20"/>
          <w:szCs w:val="20"/>
          <w:rtl/>
        </w:rPr>
        <w:t>–</w:t>
      </w:r>
      <w:r>
        <w:rPr>
          <w:rFonts w:cs="Arial" w:hint="cs"/>
          <w:sz w:val="20"/>
          <w:szCs w:val="20"/>
          <w:rtl/>
        </w:rPr>
        <w:t xml:space="preserve"> טמאה לידה.</w:t>
      </w:r>
      <w:r>
        <w:rPr>
          <w:rFonts w:cs="Arial"/>
          <w:sz w:val="20"/>
          <w:szCs w:val="20"/>
          <w:rtl/>
        </w:rPr>
        <w:br/>
      </w:r>
      <w:r>
        <w:rPr>
          <w:rFonts w:cs="Arial" w:hint="cs"/>
          <w:sz w:val="20"/>
          <w:szCs w:val="20"/>
          <w:rtl/>
        </w:rPr>
        <w:t xml:space="preserve">ב. </w:t>
      </w:r>
      <w:r w:rsidRPr="006319F6">
        <w:rPr>
          <w:rFonts w:cs="Arial" w:hint="cs"/>
          <w:b/>
          <w:bCs/>
          <w:sz w:val="20"/>
          <w:szCs w:val="20"/>
          <w:rtl/>
        </w:rPr>
        <w:t>סדרי טהרה</w:t>
      </w:r>
      <w:r>
        <w:rPr>
          <w:rFonts w:cs="Arial" w:hint="cs"/>
          <w:sz w:val="20"/>
          <w:szCs w:val="20"/>
          <w:rtl/>
        </w:rPr>
        <w:t xml:space="preserve"> </w:t>
      </w:r>
      <w:r>
        <w:rPr>
          <w:rFonts w:cs="Arial"/>
          <w:sz w:val="20"/>
          <w:szCs w:val="20"/>
          <w:rtl/>
        </w:rPr>
        <w:t>–</w:t>
      </w:r>
      <w:r>
        <w:rPr>
          <w:rFonts w:cs="Arial" w:hint="cs"/>
          <w:sz w:val="20"/>
          <w:szCs w:val="20"/>
          <w:rtl/>
        </w:rPr>
        <w:t xml:space="preserve"> הסכמת הפוסקים שאם אין בחתיכה עצם אינה טמאה לידה.</w:t>
      </w:r>
    </w:p>
    <w:p w:rsidR="00620060" w:rsidRDefault="00620060" w:rsidP="00620060">
      <w:pPr>
        <w:rPr>
          <w:sz w:val="20"/>
          <w:szCs w:val="20"/>
          <w:u w:val="single"/>
          <w:rtl/>
        </w:rPr>
      </w:pPr>
      <w:r>
        <w:rPr>
          <w:rStyle w:val="10"/>
          <w:rFonts w:hint="cs"/>
          <w:rtl/>
        </w:rPr>
        <w:t>ה</w:t>
      </w:r>
      <w:r w:rsidRPr="00E24DF6">
        <w:rPr>
          <w:rStyle w:val="10"/>
          <w:rFonts w:hint="cs"/>
          <w:rtl/>
        </w:rPr>
        <w:t>.</w:t>
      </w:r>
      <w:r w:rsidRPr="00E24DF6">
        <w:rPr>
          <w:rFonts w:cs="Arial" w:hint="cs"/>
          <w:b/>
          <w:bCs/>
          <w:sz w:val="16"/>
          <w:szCs w:val="16"/>
          <w:rtl/>
        </w:rPr>
        <w:t xml:space="preserve"> </w:t>
      </w:r>
      <w:r w:rsidRPr="00E24DF6">
        <w:rPr>
          <w:rFonts w:cs="Arial" w:hint="cs"/>
          <w:b/>
          <w:bCs/>
          <w:sz w:val="20"/>
          <w:szCs w:val="20"/>
          <w:rtl/>
        </w:rPr>
        <w:t xml:space="preserve">נפלים נוספים שטמאה כיולדת נקבה </w:t>
      </w:r>
      <w:r w:rsidRPr="002A67EE">
        <w:rPr>
          <w:rFonts w:cs="Arial" w:hint="cs"/>
          <w:sz w:val="18"/>
          <w:szCs w:val="18"/>
          <w:rtl/>
        </w:rPr>
        <w:t>(בית יוסף)</w:t>
      </w:r>
      <w:r>
        <w:rPr>
          <w:rFonts w:cs="Arial" w:hint="cs"/>
          <w:sz w:val="20"/>
          <w:szCs w:val="20"/>
          <w:u w:val="single"/>
          <w:rtl/>
        </w:rPr>
        <w:br/>
      </w:r>
      <w:r>
        <w:rPr>
          <w:rFonts w:cs="Arial" w:hint="cs"/>
          <w:sz w:val="20"/>
          <w:szCs w:val="20"/>
          <w:rtl/>
        </w:rPr>
        <w:t xml:space="preserve">א. </w:t>
      </w:r>
      <w:r>
        <w:rPr>
          <w:rFonts w:cs="Arial" w:hint="cs"/>
          <w:sz w:val="20"/>
          <w:szCs w:val="20"/>
          <w:u w:val="single"/>
          <w:rtl/>
        </w:rPr>
        <w:t>ושטו אטום</w:t>
      </w:r>
      <w:r>
        <w:rPr>
          <w:rFonts w:cs="Arial"/>
          <w:sz w:val="20"/>
          <w:szCs w:val="20"/>
          <w:u w:val="single"/>
          <w:rtl/>
        </w:rPr>
        <w:br/>
      </w:r>
      <w:r w:rsidRPr="00DC65D9">
        <w:rPr>
          <w:rFonts w:cs="Arial" w:hint="cs"/>
          <w:b/>
          <w:bCs/>
          <w:sz w:val="20"/>
          <w:szCs w:val="20"/>
          <w:rtl/>
        </w:rPr>
        <w:t>גמרא</w:t>
      </w:r>
      <w:r>
        <w:rPr>
          <w:rFonts w:cs="Arial" w:hint="cs"/>
          <w:sz w:val="20"/>
          <w:szCs w:val="20"/>
          <w:rtl/>
        </w:rPr>
        <w:t xml:space="preserve"> נידה (כג:) "</w:t>
      </w:r>
      <w:r w:rsidRPr="002A40F7">
        <w:rPr>
          <w:rFonts w:cs="Arial" w:hint="cs"/>
          <w:sz w:val="20"/>
          <w:szCs w:val="20"/>
          <w:rtl/>
        </w:rPr>
        <w:t>אמר</w:t>
      </w:r>
      <w:r w:rsidRPr="002A40F7">
        <w:rPr>
          <w:rFonts w:cs="Arial"/>
          <w:sz w:val="20"/>
          <w:szCs w:val="20"/>
          <w:rtl/>
        </w:rPr>
        <w:t xml:space="preserve"> </w:t>
      </w:r>
      <w:r w:rsidRPr="002A40F7">
        <w:rPr>
          <w:rFonts w:cs="Arial" w:hint="cs"/>
          <w:sz w:val="20"/>
          <w:szCs w:val="20"/>
          <w:rtl/>
        </w:rPr>
        <w:t>רבא</w:t>
      </w:r>
      <w:r w:rsidRPr="002A40F7">
        <w:rPr>
          <w:rFonts w:cs="Arial"/>
          <w:sz w:val="20"/>
          <w:szCs w:val="20"/>
          <w:rtl/>
        </w:rPr>
        <w:t xml:space="preserve">: </w:t>
      </w:r>
      <w:r w:rsidRPr="002A40F7">
        <w:rPr>
          <w:rFonts w:cs="Arial" w:hint="cs"/>
          <w:sz w:val="20"/>
          <w:szCs w:val="20"/>
          <w:rtl/>
        </w:rPr>
        <w:t>ושטו</w:t>
      </w:r>
      <w:r w:rsidRPr="002A40F7">
        <w:rPr>
          <w:rFonts w:cs="Arial"/>
          <w:sz w:val="20"/>
          <w:szCs w:val="20"/>
          <w:rtl/>
        </w:rPr>
        <w:t xml:space="preserve"> </w:t>
      </w:r>
      <w:r w:rsidRPr="002A40F7">
        <w:rPr>
          <w:rFonts w:cs="Arial" w:hint="cs"/>
          <w:sz w:val="20"/>
          <w:szCs w:val="20"/>
          <w:rtl/>
        </w:rPr>
        <w:t>נקוב</w:t>
      </w:r>
      <w:r w:rsidRPr="002A40F7">
        <w:rPr>
          <w:rFonts w:cs="Arial"/>
          <w:sz w:val="20"/>
          <w:szCs w:val="20"/>
          <w:rtl/>
        </w:rPr>
        <w:t xml:space="preserve"> - </w:t>
      </w:r>
      <w:r w:rsidRPr="002A40F7">
        <w:rPr>
          <w:rFonts w:cs="Arial" w:hint="cs"/>
          <w:sz w:val="20"/>
          <w:szCs w:val="20"/>
          <w:rtl/>
        </w:rPr>
        <w:t>אמו</w:t>
      </w:r>
      <w:r w:rsidRPr="002A40F7">
        <w:rPr>
          <w:rFonts w:cs="Arial"/>
          <w:sz w:val="20"/>
          <w:szCs w:val="20"/>
          <w:rtl/>
        </w:rPr>
        <w:t xml:space="preserve"> </w:t>
      </w:r>
      <w:r w:rsidRPr="002A40F7">
        <w:rPr>
          <w:rFonts w:cs="Arial" w:hint="cs"/>
          <w:sz w:val="20"/>
          <w:szCs w:val="20"/>
          <w:rtl/>
        </w:rPr>
        <w:t>טמאה</w:t>
      </w:r>
      <w:r w:rsidRPr="002A40F7">
        <w:rPr>
          <w:rFonts w:cs="Arial"/>
          <w:sz w:val="20"/>
          <w:szCs w:val="20"/>
          <w:rtl/>
        </w:rPr>
        <w:t xml:space="preserve">, </w:t>
      </w:r>
      <w:r w:rsidRPr="002A40F7">
        <w:rPr>
          <w:rFonts w:cs="Arial" w:hint="cs"/>
          <w:sz w:val="20"/>
          <w:szCs w:val="20"/>
          <w:rtl/>
        </w:rPr>
        <w:t>ושטו</w:t>
      </w:r>
      <w:r w:rsidRPr="002A40F7">
        <w:rPr>
          <w:rFonts w:cs="Arial"/>
          <w:sz w:val="20"/>
          <w:szCs w:val="20"/>
          <w:rtl/>
        </w:rPr>
        <w:t xml:space="preserve"> </w:t>
      </w:r>
      <w:r w:rsidRPr="002A40F7">
        <w:rPr>
          <w:rFonts w:cs="Arial" w:hint="cs"/>
          <w:sz w:val="20"/>
          <w:szCs w:val="20"/>
          <w:rtl/>
        </w:rPr>
        <w:t>אטום</w:t>
      </w:r>
      <w:r w:rsidRPr="002A40F7">
        <w:rPr>
          <w:rFonts w:cs="Arial"/>
          <w:sz w:val="20"/>
          <w:szCs w:val="20"/>
          <w:rtl/>
        </w:rPr>
        <w:t xml:space="preserve"> - </w:t>
      </w:r>
      <w:r w:rsidRPr="002A40F7">
        <w:rPr>
          <w:rFonts w:cs="Arial" w:hint="cs"/>
          <w:sz w:val="20"/>
          <w:szCs w:val="20"/>
          <w:rtl/>
        </w:rPr>
        <w:t>אמו</w:t>
      </w:r>
      <w:r w:rsidRPr="002A40F7">
        <w:rPr>
          <w:rFonts w:cs="Arial"/>
          <w:sz w:val="20"/>
          <w:szCs w:val="20"/>
          <w:rtl/>
        </w:rPr>
        <w:t xml:space="preserve"> </w:t>
      </w:r>
      <w:r w:rsidRPr="002A40F7">
        <w:rPr>
          <w:rFonts w:cs="Arial" w:hint="cs"/>
          <w:sz w:val="20"/>
          <w:szCs w:val="20"/>
          <w:rtl/>
        </w:rPr>
        <w:t>טהורה</w:t>
      </w:r>
      <w:r>
        <w:rPr>
          <w:rFonts w:cs="Arial" w:hint="cs"/>
          <w:sz w:val="20"/>
          <w:szCs w:val="20"/>
          <w:rtl/>
        </w:rPr>
        <w:t>".</w:t>
      </w:r>
      <w:r>
        <w:rPr>
          <w:rFonts w:cs="Arial"/>
          <w:sz w:val="20"/>
          <w:szCs w:val="20"/>
          <w:rtl/>
        </w:rPr>
        <w:br/>
      </w:r>
      <w:r w:rsidRPr="008B70C2">
        <w:rPr>
          <w:rFonts w:cs="Arial" w:hint="cs"/>
          <w:b/>
          <w:bCs/>
          <w:sz w:val="20"/>
          <w:szCs w:val="20"/>
          <w:rtl/>
        </w:rPr>
        <w:t>בית יוסף</w:t>
      </w:r>
      <w:r>
        <w:rPr>
          <w:rFonts w:cs="Arial" w:hint="cs"/>
          <w:sz w:val="20"/>
          <w:szCs w:val="20"/>
          <w:rtl/>
        </w:rPr>
        <w:t xml:space="preserve"> </w:t>
      </w:r>
      <w:r>
        <w:rPr>
          <w:rFonts w:cs="Arial"/>
          <w:sz w:val="20"/>
          <w:szCs w:val="20"/>
          <w:rtl/>
        </w:rPr>
        <w:t>–</w:t>
      </w:r>
      <w:r>
        <w:rPr>
          <w:rFonts w:cs="Arial" w:hint="cs"/>
          <w:sz w:val="20"/>
          <w:szCs w:val="20"/>
          <w:rtl/>
        </w:rPr>
        <w:t xml:space="preserve"> ושטו נקוב </w:t>
      </w:r>
      <w:r>
        <w:rPr>
          <w:rFonts w:cs="Arial"/>
          <w:sz w:val="20"/>
          <w:szCs w:val="20"/>
          <w:rtl/>
        </w:rPr>
        <w:t>–</w:t>
      </w:r>
      <w:r>
        <w:rPr>
          <w:rFonts w:cs="Arial" w:hint="cs"/>
          <w:sz w:val="20"/>
          <w:szCs w:val="20"/>
          <w:rtl/>
        </w:rPr>
        <w:t xml:space="preserve"> היה ראוי לחיות, שמא ניקב הוושט לאחר מכאן, וכיוון שהיה ראוי לבריאת נשמה אמו טמאה; ושטו אטום </w:t>
      </w:r>
      <w:r>
        <w:rPr>
          <w:rFonts w:cs="Arial"/>
          <w:sz w:val="20"/>
          <w:szCs w:val="20"/>
          <w:rtl/>
        </w:rPr>
        <w:t>–</w:t>
      </w:r>
      <w:r>
        <w:rPr>
          <w:rFonts w:cs="Arial" w:hint="cs"/>
          <w:sz w:val="20"/>
          <w:szCs w:val="20"/>
          <w:rtl/>
        </w:rPr>
        <w:t xml:space="preserve"> אינו ראוי לבריאת נשמה ולכן אמו טהורה.</w:t>
      </w:r>
      <w:r w:rsidRPr="00DC65D9">
        <w:rPr>
          <w:rStyle w:val="a5"/>
          <w:sz w:val="20"/>
          <w:szCs w:val="20"/>
          <w:rtl/>
        </w:rPr>
        <w:footnoteReference w:id="423"/>
      </w:r>
    </w:p>
    <w:p w:rsidR="00620060" w:rsidRDefault="00620060" w:rsidP="00620060">
      <w:pPr>
        <w:rPr>
          <w:sz w:val="20"/>
          <w:szCs w:val="20"/>
          <w:rtl/>
        </w:rPr>
      </w:pPr>
      <w:r>
        <w:rPr>
          <w:rFonts w:hint="cs"/>
          <w:sz w:val="20"/>
          <w:szCs w:val="20"/>
          <w:rtl/>
        </w:rPr>
        <w:t xml:space="preserve">ב. </w:t>
      </w:r>
      <w:r w:rsidRPr="00DC65D9">
        <w:rPr>
          <w:rFonts w:hint="cs"/>
          <w:sz w:val="20"/>
          <w:szCs w:val="20"/>
          <w:u w:val="single"/>
          <w:rtl/>
        </w:rPr>
        <w:t>נברא בעין אחת</w:t>
      </w:r>
      <w:r>
        <w:rPr>
          <w:sz w:val="20"/>
          <w:szCs w:val="20"/>
          <w:rtl/>
        </w:rPr>
        <w:br/>
      </w:r>
      <w:r w:rsidRPr="00DC65D9">
        <w:rPr>
          <w:rFonts w:hint="cs"/>
          <w:b/>
          <w:bCs/>
          <w:sz w:val="20"/>
          <w:szCs w:val="20"/>
          <w:rtl/>
        </w:rPr>
        <w:t>גמרא</w:t>
      </w:r>
      <w:r>
        <w:rPr>
          <w:rFonts w:hint="cs"/>
          <w:sz w:val="20"/>
          <w:szCs w:val="20"/>
          <w:rtl/>
        </w:rPr>
        <w:t xml:space="preserve"> נידה (שם) "</w:t>
      </w:r>
      <w:r w:rsidRPr="00DC65D9">
        <w:rPr>
          <w:rFonts w:cs="Arial" w:hint="cs"/>
          <w:sz w:val="20"/>
          <w:szCs w:val="20"/>
          <w:rtl/>
        </w:rPr>
        <w:t>אמר</w:t>
      </w:r>
      <w:r w:rsidRPr="00DC65D9">
        <w:rPr>
          <w:rFonts w:cs="Arial"/>
          <w:sz w:val="20"/>
          <w:szCs w:val="20"/>
          <w:rtl/>
        </w:rPr>
        <w:t xml:space="preserve"> </w:t>
      </w:r>
      <w:r w:rsidRPr="00DC65D9">
        <w:rPr>
          <w:rFonts w:cs="Arial" w:hint="cs"/>
          <w:sz w:val="20"/>
          <w:szCs w:val="20"/>
          <w:rtl/>
        </w:rPr>
        <w:t>רבא</w:t>
      </w:r>
      <w:r w:rsidRPr="00DC65D9">
        <w:rPr>
          <w:rFonts w:cs="Arial"/>
          <w:sz w:val="20"/>
          <w:szCs w:val="20"/>
          <w:rtl/>
        </w:rPr>
        <w:t xml:space="preserve">: </w:t>
      </w:r>
      <w:r w:rsidRPr="00DC65D9">
        <w:rPr>
          <w:rFonts w:cs="Arial" w:hint="cs"/>
          <w:sz w:val="20"/>
          <w:szCs w:val="20"/>
          <w:rtl/>
        </w:rPr>
        <w:t>נברא</w:t>
      </w:r>
      <w:r w:rsidRPr="00DC65D9">
        <w:rPr>
          <w:rFonts w:cs="Arial"/>
          <w:sz w:val="20"/>
          <w:szCs w:val="20"/>
          <w:rtl/>
        </w:rPr>
        <w:t xml:space="preserve"> </w:t>
      </w:r>
      <w:r w:rsidRPr="00DC65D9">
        <w:rPr>
          <w:rFonts w:cs="Arial" w:hint="cs"/>
          <w:sz w:val="20"/>
          <w:szCs w:val="20"/>
          <w:rtl/>
        </w:rPr>
        <w:t>בעין</w:t>
      </w:r>
      <w:r w:rsidRPr="00DC65D9">
        <w:rPr>
          <w:rFonts w:cs="Arial"/>
          <w:sz w:val="20"/>
          <w:szCs w:val="20"/>
          <w:rtl/>
        </w:rPr>
        <w:t xml:space="preserve"> </w:t>
      </w:r>
      <w:r w:rsidRPr="00DC65D9">
        <w:rPr>
          <w:rFonts w:cs="Arial" w:hint="cs"/>
          <w:sz w:val="20"/>
          <w:szCs w:val="20"/>
          <w:rtl/>
        </w:rPr>
        <w:t>אחת</w:t>
      </w:r>
      <w:r w:rsidRPr="00DC65D9">
        <w:rPr>
          <w:rFonts w:cs="Arial"/>
          <w:sz w:val="20"/>
          <w:szCs w:val="20"/>
          <w:rtl/>
        </w:rPr>
        <w:t xml:space="preserve"> </w:t>
      </w:r>
      <w:r w:rsidRPr="00DC65D9">
        <w:rPr>
          <w:rFonts w:cs="Arial" w:hint="cs"/>
          <w:sz w:val="20"/>
          <w:szCs w:val="20"/>
          <w:rtl/>
        </w:rPr>
        <w:t>ובירך</w:t>
      </w:r>
      <w:r w:rsidRPr="00DC65D9">
        <w:rPr>
          <w:rFonts w:cs="Arial"/>
          <w:sz w:val="20"/>
          <w:szCs w:val="20"/>
          <w:rtl/>
        </w:rPr>
        <w:t xml:space="preserve"> </w:t>
      </w:r>
      <w:r w:rsidRPr="00DC65D9">
        <w:rPr>
          <w:rFonts w:cs="Arial" w:hint="cs"/>
          <w:sz w:val="20"/>
          <w:szCs w:val="20"/>
          <w:rtl/>
        </w:rPr>
        <w:t>אחד</w:t>
      </w:r>
      <w:r w:rsidRPr="00DC65D9">
        <w:rPr>
          <w:rFonts w:cs="Arial"/>
          <w:sz w:val="20"/>
          <w:szCs w:val="20"/>
          <w:rtl/>
        </w:rPr>
        <w:t xml:space="preserve">, </w:t>
      </w:r>
      <w:r w:rsidRPr="00DC65D9">
        <w:rPr>
          <w:rFonts w:cs="Arial" w:hint="cs"/>
          <w:sz w:val="20"/>
          <w:szCs w:val="20"/>
          <w:rtl/>
        </w:rPr>
        <w:t>מן</w:t>
      </w:r>
      <w:r w:rsidRPr="00DC65D9">
        <w:rPr>
          <w:rFonts w:cs="Arial"/>
          <w:sz w:val="20"/>
          <w:szCs w:val="20"/>
          <w:rtl/>
        </w:rPr>
        <w:t xml:space="preserve"> </w:t>
      </w:r>
      <w:r w:rsidRPr="00DC65D9">
        <w:rPr>
          <w:rFonts w:cs="Arial" w:hint="cs"/>
          <w:sz w:val="20"/>
          <w:szCs w:val="20"/>
          <w:rtl/>
        </w:rPr>
        <w:t>הצד</w:t>
      </w:r>
      <w:r w:rsidRPr="00DC65D9">
        <w:rPr>
          <w:rFonts w:cs="Arial"/>
          <w:sz w:val="20"/>
          <w:szCs w:val="20"/>
          <w:rtl/>
        </w:rPr>
        <w:t xml:space="preserve"> - </w:t>
      </w:r>
      <w:r w:rsidRPr="00DC65D9">
        <w:rPr>
          <w:rFonts w:cs="Arial" w:hint="cs"/>
          <w:sz w:val="20"/>
          <w:szCs w:val="20"/>
          <w:rtl/>
        </w:rPr>
        <w:t>אמו</w:t>
      </w:r>
      <w:r w:rsidRPr="00DC65D9">
        <w:rPr>
          <w:rFonts w:cs="Arial"/>
          <w:sz w:val="20"/>
          <w:szCs w:val="20"/>
          <w:rtl/>
        </w:rPr>
        <w:t xml:space="preserve"> </w:t>
      </w:r>
      <w:r w:rsidRPr="00DC65D9">
        <w:rPr>
          <w:rFonts w:cs="Arial" w:hint="cs"/>
          <w:sz w:val="20"/>
          <w:szCs w:val="20"/>
          <w:rtl/>
        </w:rPr>
        <w:t>טמאה</w:t>
      </w:r>
      <w:r w:rsidRPr="00DC65D9">
        <w:rPr>
          <w:rFonts w:cs="Arial"/>
          <w:sz w:val="20"/>
          <w:szCs w:val="20"/>
          <w:rtl/>
        </w:rPr>
        <w:t xml:space="preserve">, </w:t>
      </w:r>
      <w:r w:rsidRPr="00DC65D9">
        <w:rPr>
          <w:rFonts w:cs="Arial" w:hint="cs"/>
          <w:sz w:val="20"/>
          <w:szCs w:val="20"/>
          <w:rtl/>
        </w:rPr>
        <w:t>באמצע</w:t>
      </w:r>
      <w:r w:rsidRPr="00DC65D9">
        <w:rPr>
          <w:rFonts w:cs="Arial"/>
          <w:sz w:val="20"/>
          <w:szCs w:val="20"/>
          <w:rtl/>
        </w:rPr>
        <w:t xml:space="preserve"> - </w:t>
      </w:r>
      <w:r w:rsidRPr="00DC65D9">
        <w:rPr>
          <w:rFonts w:cs="Arial" w:hint="cs"/>
          <w:sz w:val="20"/>
          <w:szCs w:val="20"/>
          <w:rtl/>
        </w:rPr>
        <w:t>אמו</w:t>
      </w:r>
      <w:r w:rsidRPr="00DC65D9">
        <w:rPr>
          <w:rFonts w:cs="Arial"/>
          <w:sz w:val="20"/>
          <w:szCs w:val="20"/>
          <w:rtl/>
        </w:rPr>
        <w:t xml:space="preserve"> </w:t>
      </w:r>
      <w:r>
        <w:rPr>
          <w:rFonts w:cs="Arial" w:hint="cs"/>
          <w:sz w:val="20"/>
          <w:szCs w:val="20"/>
          <w:rtl/>
        </w:rPr>
        <w:t>טהורה".</w:t>
      </w:r>
      <w:r>
        <w:rPr>
          <w:rStyle w:val="a5"/>
          <w:rFonts w:cs="Arial"/>
          <w:sz w:val="20"/>
          <w:szCs w:val="20"/>
          <w:rtl/>
        </w:rPr>
        <w:footnoteReference w:id="424"/>
      </w:r>
      <w:r>
        <w:rPr>
          <w:rFonts w:cs="Arial"/>
          <w:sz w:val="20"/>
          <w:szCs w:val="20"/>
          <w:rtl/>
        </w:rPr>
        <w:br/>
      </w:r>
      <w:r w:rsidRPr="00DC65D9">
        <w:rPr>
          <w:rFonts w:cs="Arial" w:hint="cs"/>
          <w:b/>
          <w:bCs/>
          <w:sz w:val="20"/>
          <w:szCs w:val="20"/>
          <w:rtl/>
        </w:rPr>
        <w:t>רמב"ם</w:t>
      </w:r>
      <w:r>
        <w:rPr>
          <w:rFonts w:cs="Arial" w:hint="cs"/>
          <w:sz w:val="20"/>
          <w:szCs w:val="20"/>
          <w:rtl/>
        </w:rPr>
        <w:t xml:space="preserve"> </w:t>
      </w:r>
      <w:r>
        <w:rPr>
          <w:rFonts w:cs="Arial"/>
          <w:sz w:val="20"/>
          <w:szCs w:val="20"/>
          <w:rtl/>
        </w:rPr>
        <w:t>–</w:t>
      </w:r>
      <w:r>
        <w:rPr>
          <w:rFonts w:cs="Arial" w:hint="cs"/>
          <w:sz w:val="20"/>
          <w:szCs w:val="20"/>
          <w:rtl/>
        </w:rPr>
        <w:t xml:space="preserve"> כאשר נברא האבר מהצד הרי זה כחצי אדם וטמאה, אך כאשר נברא באמצע זו ברייה אחרת.</w:t>
      </w:r>
      <w:r>
        <w:rPr>
          <w:rFonts w:hint="cs"/>
          <w:sz w:val="20"/>
          <w:szCs w:val="20"/>
          <w:u w:val="single"/>
          <w:rtl/>
        </w:rPr>
        <w:br/>
      </w:r>
      <w:r>
        <w:rPr>
          <w:rFonts w:hint="cs"/>
          <w:sz w:val="20"/>
          <w:szCs w:val="20"/>
          <w:u w:val="single"/>
          <w:rtl/>
        </w:rPr>
        <w:br/>
      </w:r>
      <w:r>
        <w:rPr>
          <w:rFonts w:hint="cs"/>
          <w:sz w:val="20"/>
          <w:szCs w:val="20"/>
          <w:rtl/>
        </w:rPr>
        <w:t xml:space="preserve">ג. </w:t>
      </w:r>
      <w:r w:rsidRPr="00967DE1">
        <w:rPr>
          <w:rFonts w:hint="cs"/>
          <w:sz w:val="20"/>
          <w:szCs w:val="20"/>
          <w:u w:val="single"/>
          <w:rtl/>
        </w:rPr>
        <w:t>מפלת לילית</w:t>
      </w:r>
      <w:r>
        <w:rPr>
          <w:sz w:val="20"/>
          <w:szCs w:val="20"/>
          <w:rtl/>
        </w:rPr>
        <w:br/>
      </w:r>
      <w:r w:rsidRPr="00967DE1">
        <w:rPr>
          <w:rFonts w:hint="cs"/>
          <w:b/>
          <w:bCs/>
          <w:sz w:val="20"/>
          <w:szCs w:val="20"/>
          <w:rtl/>
        </w:rPr>
        <w:t xml:space="preserve">גמרא </w:t>
      </w:r>
      <w:r>
        <w:rPr>
          <w:rFonts w:hint="cs"/>
          <w:sz w:val="20"/>
          <w:szCs w:val="20"/>
          <w:rtl/>
        </w:rPr>
        <w:t>(שם, כד.) "</w:t>
      </w:r>
      <w:r w:rsidRPr="00967DE1">
        <w:rPr>
          <w:rFonts w:cs="Arial" w:hint="cs"/>
          <w:sz w:val="20"/>
          <w:szCs w:val="20"/>
          <w:rtl/>
        </w:rPr>
        <w:t>המפלת</w:t>
      </w:r>
      <w:r w:rsidRPr="00967DE1">
        <w:rPr>
          <w:rFonts w:cs="Arial"/>
          <w:sz w:val="20"/>
          <w:szCs w:val="20"/>
          <w:rtl/>
        </w:rPr>
        <w:t xml:space="preserve"> </w:t>
      </w:r>
      <w:r w:rsidRPr="00967DE1">
        <w:rPr>
          <w:rFonts w:cs="Arial" w:hint="cs"/>
          <w:sz w:val="20"/>
          <w:szCs w:val="20"/>
          <w:rtl/>
        </w:rPr>
        <w:t>דמות</w:t>
      </w:r>
      <w:r w:rsidRPr="00967DE1">
        <w:rPr>
          <w:rFonts w:cs="Arial"/>
          <w:sz w:val="20"/>
          <w:szCs w:val="20"/>
          <w:rtl/>
        </w:rPr>
        <w:t xml:space="preserve"> </w:t>
      </w:r>
      <w:r w:rsidRPr="00967DE1">
        <w:rPr>
          <w:rFonts w:cs="Arial" w:hint="cs"/>
          <w:sz w:val="20"/>
          <w:szCs w:val="20"/>
          <w:rtl/>
        </w:rPr>
        <w:t>לילית</w:t>
      </w:r>
      <w:r w:rsidRPr="00967DE1">
        <w:rPr>
          <w:rFonts w:cs="Arial"/>
          <w:sz w:val="20"/>
          <w:szCs w:val="20"/>
          <w:rtl/>
        </w:rPr>
        <w:t xml:space="preserve"> - </w:t>
      </w:r>
      <w:r w:rsidRPr="00967DE1">
        <w:rPr>
          <w:rFonts w:cs="Arial" w:hint="cs"/>
          <w:sz w:val="20"/>
          <w:szCs w:val="20"/>
          <w:rtl/>
        </w:rPr>
        <w:t>אמו</w:t>
      </w:r>
      <w:r w:rsidRPr="00967DE1">
        <w:rPr>
          <w:rFonts w:cs="Arial"/>
          <w:sz w:val="20"/>
          <w:szCs w:val="20"/>
          <w:rtl/>
        </w:rPr>
        <w:t xml:space="preserve"> </w:t>
      </w:r>
      <w:r w:rsidRPr="00967DE1">
        <w:rPr>
          <w:rFonts w:cs="Arial" w:hint="cs"/>
          <w:sz w:val="20"/>
          <w:szCs w:val="20"/>
          <w:rtl/>
        </w:rPr>
        <w:t>טמאה</w:t>
      </w:r>
      <w:r w:rsidRPr="00967DE1">
        <w:rPr>
          <w:rFonts w:cs="Arial"/>
          <w:sz w:val="20"/>
          <w:szCs w:val="20"/>
          <w:rtl/>
        </w:rPr>
        <w:t xml:space="preserve"> </w:t>
      </w:r>
      <w:r w:rsidRPr="00967DE1">
        <w:rPr>
          <w:rFonts w:cs="Arial" w:hint="cs"/>
          <w:sz w:val="20"/>
          <w:szCs w:val="20"/>
          <w:rtl/>
        </w:rPr>
        <w:t>לידה</w:t>
      </w:r>
      <w:r w:rsidRPr="00967DE1">
        <w:rPr>
          <w:rFonts w:cs="Arial"/>
          <w:sz w:val="20"/>
          <w:szCs w:val="20"/>
          <w:rtl/>
        </w:rPr>
        <w:t xml:space="preserve">. </w:t>
      </w:r>
      <w:r w:rsidRPr="00967DE1">
        <w:rPr>
          <w:rFonts w:cs="Arial" w:hint="cs"/>
          <w:sz w:val="20"/>
          <w:szCs w:val="20"/>
          <w:rtl/>
        </w:rPr>
        <w:t>ולד</w:t>
      </w:r>
      <w:r w:rsidRPr="00967DE1">
        <w:rPr>
          <w:rFonts w:cs="Arial"/>
          <w:sz w:val="20"/>
          <w:szCs w:val="20"/>
          <w:rtl/>
        </w:rPr>
        <w:t xml:space="preserve"> </w:t>
      </w:r>
      <w:r w:rsidRPr="00967DE1">
        <w:rPr>
          <w:rFonts w:cs="Arial" w:hint="cs"/>
          <w:sz w:val="20"/>
          <w:szCs w:val="20"/>
          <w:rtl/>
        </w:rPr>
        <w:t>הוא</w:t>
      </w:r>
      <w:r w:rsidRPr="00967DE1">
        <w:rPr>
          <w:rFonts w:cs="Arial"/>
          <w:sz w:val="20"/>
          <w:szCs w:val="20"/>
          <w:rtl/>
        </w:rPr>
        <w:t xml:space="preserve">, </w:t>
      </w:r>
      <w:r w:rsidRPr="00967DE1">
        <w:rPr>
          <w:rFonts w:cs="Arial" w:hint="cs"/>
          <w:sz w:val="20"/>
          <w:szCs w:val="20"/>
          <w:rtl/>
        </w:rPr>
        <w:t>אלא</w:t>
      </w:r>
      <w:r w:rsidRPr="00967DE1">
        <w:rPr>
          <w:rFonts w:cs="Arial"/>
          <w:sz w:val="20"/>
          <w:szCs w:val="20"/>
          <w:rtl/>
        </w:rPr>
        <w:t xml:space="preserve"> </w:t>
      </w:r>
      <w:r w:rsidRPr="00967DE1">
        <w:rPr>
          <w:rFonts w:cs="Arial" w:hint="cs"/>
          <w:sz w:val="20"/>
          <w:szCs w:val="20"/>
          <w:rtl/>
        </w:rPr>
        <w:t>שיש</w:t>
      </w:r>
      <w:r w:rsidRPr="00967DE1">
        <w:rPr>
          <w:rFonts w:cs="Arial"/>
          <w:sz w:val="20"/>
          <w:szCs w:val="20"/>
          <w:rtl/>
        </w:rPr>
        <w:t xml:space="preserve"> </w:t>
      </w:r>
      <w:r w:rsidRPr="00967DE1">
        <w:rPr>
          <w:rFonts w:cs="Arial" w:hint="cs"/>
          <w:sz w:val="20"/>
          <w:szCs w:val="20"/>
          <w:rtl/>
        </w:rPr>
        <w:t>לו</w:t>
      </w:r>
      <w:r w:rsidRPr="00967DE1">
        <w:rPr>
          <w:rFonts w:cs="Arial"/>
          <w:sz w:val="20"/>
          <w:szCs w:val="20"/>
          <w:rtl/>
        </w:rPr>
        <w:t xml:space="preserve"> </w:t>
      </w:r>
      <w:r w:rsidRPr="00967DE1">
        <w:rPr>
          <w:rFonts w:cs="Arial" w:hint="cs"/>
          <w:sz w:val="20"/>
          <w:szCs w:val="20"/>
          <w:rtl/>
        </w:rPr>
        <w:t>כנפים</w:t>
      </w:r>
      <w:r>
        <w:rPr>
          <w:rFonts w:cs="Arial" w:hint="cs"/>
          <w:sz w:val="20"/>
          <w:szCs w:val="20"/>
          <w:rtl/>
        </w:rPr>
        <w:t>".</w:t>
      </w:r>
      <w:r>
        <w:rPr>
          <w:rFonts w:hint="cs"/>
          <w:sz w:val="20"/>
          <w:szCs w:val="20"/>
          <w:u w:val="single"/>
          <w:rtl/>
        </w:rPr>
        <w:br/>
      </w:r>
      <w:r w:rsidRPr="00967DE1">
        <w:rPr>
          <w:rFonts w:hint="cs"/>
          <w:b/>
          <w:bCs/>
          <w:sz w:val="20"/>
          <w:szCs w:val="20"/>
          <w:rtl/>
        </w:rPr>
        <w:t>רמב"ם</w:t>
      </w:r>
      <w:r w:rsidRPr="00967DE1">
        <w:rPr>
          <w:rFonts w:hint="cs"/>
          <w:sz w:val="20"/>
          <w:szCs w:val="20"/>
          <w:rtl/>
        </w:rPr>
        <w:t xml:space="preserve"> </w:t>
      </w:r>
      <w:r w:rsidRPr="00967DE1">
        <w:rPr>
          <w:sz w:val="20"/>
          <w:szCs w:val="20"/>
          <w:rtl/>
        </w:rPr>
        <w:t>–</w:t>
      </w:r>
      <w:r w:rsidRPr="00967DE1">
        <w:rPr>
          <w:rFonts w:hint="cs"/>
          <w:sz w:val="20"/>
          <w:szCs w:val="20"/>
          <w:rtl/>
        </w:rPr>
        <w:t xml:space="preserve"> לילית היא דמות כמראה אדם אלא שיש לו כנפיים של בשר.</w:t>
      </w:r>
    </w:p>
    <w:p w:rsidR="00620060" w:rsidRDefault="00620060" w:rsidP="00620060">
      <w:pPr>
        <w:rPr>
          <w:sz w:val="20"/>
          <w:szCs w:val="20"/>
          <w:rtl/>
        </w:rPr>
      </w:pPr>
      <w:r w:rsidRPr="0041457B">
        <w:rPr>
          <w:rFonts w:hint="cs"/>
          <w:b/>
          <w:bCs/>
          <w:sz w:val="20"/>
          <w:szCs w:val="20"/>
          <w:rtl/>
        </w:rPr>
        <w:t>סיכום</w:t>
      </w:r>
      <w:r>
        <w:rPr>
          <w:sz w:val="20"/>
          <w:szCs w:val="20"/>
          <w:rtl/>
        </w:rPr>
        <w:br/>
      </w:r>
      <w:r>
        <w:rPr>
          <w:rFonts w:hint="cs"/>
          <w:sz w:val="20"/>
          <w:szCs w:val="20"/>
          <w:rtl/>
        </w:rPr>
        <w:t xml:space="preserve">1. </w:t>
      </w:r>
      <w:r w:rsidRPr="00452C84">
        <w:rPr>
          <w:rStyle w:val="10"/>
          <w:rFonts w:hint="cs"/>
          <w:rtl/>
        </w:rPr>
        <w:t>א.</w:t>
      </w:r>
      <w:r w:rsidRPr="00452C84">
        <w:rPr>
          <w:rFonts w:hint="cs"/>
          <w:sz w:val="16"/>
          <w:szCs w:val="16"/>
          <w:rtl/>
        </w:rPr>
        <w:t xml:space="preserve"> </w:t>
      </w:r>
      <w:r w:rsidRPr="0041457B">
        <w:rPr>
          <w:rFonts w:hint="cs"/>
          <w:b/>
          <w:bCs/>
          <w:sz w:val="20"/>
          <w:szCs w:val="20"/>
          <w:rtl/>
        </w:rPr>
        <w:t>משנה</w:t>
      </w:r>
      <w:r>
        <w:rPr>
          <w:rFonts w:hint="cs"/>
          <w:sz w:val="20"/>
          <w:szCs w:val="20"/>
          <w:rtl/>
        </w:rPr>
        <w:t xml:space="preserve">. הפילה כמין חיות שונות. </w:t>
      </w:r>
      <w:r w:rsidRPr="0041457B">
        <w:rPr>
          <w:rFonts w:hint="cs"/>
          <w:sz w:val="20"/>
          <w:szCs w:val="20"/>
          <w:u w:val="single"/>
          <w:rtl/>
        </w:rPr>
        <w:t>חכמים</w:t>
      </w:r>
      <w:r>
        <w:rPr>
          <w:rFonts w:hint="cs"/>
          <w:sz w:val="20"/>
          <w:szCs w:val="20"/>
          <w:rtl/>
        </w:rPr>
        <w:t xml:space="preserve">. אם יש דם טמאה נידה. </w:t>
      </w:r>
      <w:r w:rsidRPr="0041457B">
        <w:rPr>
          <w:rFonts w:hint="cs"/>
          <w:sz w:val="20"/>
          <w:szCs w:val="20"/>
          <w:u w:val="single"/>
          <w:rtl/>
        </w:rPr>
        <w:t>רבי יהודה</w:t>
      </w:r>
      <w:r>
        <w:rPr>
          <w:rFonts w:hint="cs"/>
          <w:sz w:val="20"/>
          <w:szCs w:val="20"/>
          <w:rtl/>
        </w:rPr>
        <w:t xml:space="preserve">. טמאה נידה. </w:t>
      </w:r>
      <w:r w:rsidRPr="0041457B">
        <w:rPr>
          <w:rFonts w:hint="cs"/>
          <w:b/>
          <w:bCs/>
          <w:sz w:val="20"/>
          <w:szCs w:val="20"/>
          <w:rtl/>
        </w:rPr>
        <w:t>טעם</w:t>
      </w:r>
      <w:r>
        <w:rPr>
          <w:rFonts w:hint="cs"/>
          <w:sz w:val="20"/>
          <w:szCs w:val="20"/>
          <w:rtl/>
        </w:rPr>
        <w:t xml:space="preserve">. חכמים סוברים אפשר לפתיה"ק בלא דם, וכ"פ </w:t>
      </w:r>
      <w:r w:rsidRPr="0041457B">
        <w:rPr>
          <w:rFonts w:hint="cs"/>
          <w:b/>
          <w:bCs/>
          <w:sz w:val="20"/>
          <w:szCs w:val="20"/>
          <w:rtl/>
        </w:rPr>
        <w:t>הרמב"ם</w:t>
      </w:r>
      <w:r>
        <w:rPr>
          <w:rFonts w:hint="cs"/>
          <w:sz w:val="20"/>
          <w:szCs w:val="20"/>
          <w:rtl/>
        </w:rPr>
        <w:t xml:space="preserve">. רבי יהודה חולק, וכ"פ </w:t>
      </w:r>
      <w:r w:rsidRPr="0041457B">
        <w:rPr>
          <w:rFonts w:hint="cs"/>
          <w:sz w:val="20"/>
          <w:szCs w:val="20"/>
          <w:rtl/>
        </w:rPr>
        <w:t xml:space="preserve">רוב הראשונים </w:t>
      </w:r>
      <w:r w:rsidRPr="0041457B">
        <w:rPr>
          <w:rFonts w:hint="cs"/>
          <w:b/>
          <w:bCs/>
          <w:sz w:val="20"/>
          <w:szCs w:val="20"/>
          <w:rtl/>
        </w:rPr>
        <w:t>והמחבר</w:t>
      </w:r>
      <w:r>
        <w:rPr>
          <w:rFonts w:hint="cs"/>
          <w:sz w:val="20"/>
          <w:szCs w:val="20"/>
          <w:rtl/>
        </w:rPr>
        <w:t>.</w:t>
      </w:r>
      <w:r>
        <w:rPr>
          <w:rFonts w:hint="cs"/>
          <w:sz w:val="20"/>
          <w:szCs w:val="20"/>
          <w:rtl/>
        </w:rPr>
        <w:br/>
      </w:r>
      <w:r>
        <w:rPr>
          <w:rFonts w:hint="cs"/>
          <w:sz w:val="20"/>
          <w:szCs w:val="20"/>
          <w:rtl/>
        </w:rPr>
        <w:lastRenderedPageBreak/>
        <w:t xml:space="preserve">2. </w:t>
      </w:r>
      <w:r w:rsidRPr="00452C84">
        <w:rPr>
          <w:rStyle w:val="10"/>
          <w:rFonts w:hint="cs"/>
          <w:rtl/>
        </w:rPr>
        <w:t>ב.</w:t>
      </w:r>
      <w:r w:rsidRPr="00452C84">
        <w:rPr>
          <w:rFonts w:hint="cs"/>
          <w:sz w:val="16"/>
          <w:szCs w:val="16"/>
          <w:rtl/>
        </w:rPr>
        <w:t xml:space="preserve"> </w:t>
      </w:r>
      <w:r w:rsidRPr="0041457B">
        <w:rPr>
          <w:rFonts w:hint="cs"/>
          <w:b/>
          <w:bCs/>
          <w:sz w:val="20"/>
          <w:szCs w:val="20"/>
          <w:rtl/>
        </w:rPr>
        <w:t>משנה</w:t>
      </w:r>
      <w:r>
        <w:rPr>
          <w:rFonts w:hint="cs"/>
          <w:sz w:val="20"/>
          <w:szCs w:val="20"/>
          <w:rtl/>
        </w:rPr>
        <w:t xml:space="preserve">. הפילה כמין בהמה, חיה ועוף. </w:t>
      </w:r>
      <w:r w:rsidRPr="0041457B">
        <w:rPr>
          <w:rFonts w:hint="cs"/>
          <w:sz w:val="20"/>
          <w:szCs w:val="20"/>
          <w:u w:val="single"/>
          <w:rtl/>
        </w:rPr>
        <w:t>ר"מ</w:t>
      </w:r>
      <w:r>
        <w:rPr>
          <w:rFonts w:hint="cs"/>
          <w:sz w:val="20"/>
          <w:szCs w:val="20"/>
          <w:rtl/>
        </w:rPr>
        <w:t xml:space="preserve">. טמאה לידה. </w:t>
      </w:r>
      <w:r w:rsidRPr="0041457B">
        <w:rPr>
          <w:rFonts w:hint="cs"/>
          <w:sz w:val="20"/>
          <w:szCs w:val="20"/>
          <w:u w:val="single"/>
          <w:rtl/>
        </w:rPr>
        <w:t>חכמים</w:t>
      </w:r>
      <w:r>
        <w:rPr>
          <w:rFonts w:hint="cs"/>
          <w:sz w:val="20"/>
          <w:szCs w:val="20"/>
          <w:rtl/>
        </w:rPr>
        <w:t>. רק אם יש בו צורת אדם.</w:t>
      </w:r>
      <w:r>
        <w:rPr>
          <w:sz w:val="20"/>
          <w:szCs w:val="20"/>
          <w:rtl/>
        </w:rPr>
        <w:br/>
      </w:r>
      <w:r>
        <w:rPr>
          <w:rFonts w:hint="cs"/>
          <w:sz w:val="20"/>
          <w:szCs w:val="20"/>
          <w:rtl/>
        </w:rPr>
        <w:t xml:space="preserve">3. </w:t>
      </w:r>
      <w:r w:rsidRPr="0041457B">
        <w:rPr>
          <w:rFonts w:hint="cs"/>
          <w:sz w:val="20"/>
          <w:szCs w:val="20"/>
          <w:u w:val="single"/>
          <w:rtl/>
        </w:rPr>
        <w:t>רבי ירמיה</w:t>
      </w:r>
      <w:r>
        <w:rPr>
          <w:rFonts w:hint="cs"/>
          <w:sz w:val="20"/>
          <w:szCs w:val="20"/>
          <w:rtl/>
        </w:rPr>
        <w:t xml:space="preserve">. כל אברי הפנים </w:t>
      </w:r>
      <w:r w:rsidRPr="0041457B">
        <w:rPr>
          <w:rFonts w:hint="cs"/>
          <w:sz w:val="18"/>
          <w:szCs w:val="18"/>
          <w:rtl/>
        </w:rPr>
        <w:t>(למעט פה ואוזניים)</w:t>
      </w:r>
      <w:r>
        <w:rPr>
          <w:rFonts w:hint="cs"/>
          <w:sz w:val="20"/>
          <w:szCs w:val="20"/>
          <w:rtl/>
        </w:rPr>
        <w:t xml:space="preserve">, וכ"פ </w:t>
      </w:r>
      <w:r w:rsidRPr="0041457B">
        <w:rPr>
          <w:rFonts w:hint="cs"/>
          <w:b/>
          <w:bCs/>
          <w:sz w:val="20"/>
          <w:szCs w:val="20"/>
          <w:rtl/>
        </w:rPr>
        <w:t>הרמב"ם</w:t>
      </w:r>
      <w:r>
        <w:rPr>
          <w:rFonts w:hint="cs"/>
          <w:sz w:val="20"/>
          <w:szCs w:val="20"/>
          <w:rtl/>
        </w:rPr>
        <w:t xml:space="preserve">. </w:t>
      </w:r>
      <w:r w:rsidRPr="0041457B">
        <w:rPr>
          <w:rFonts w:hint="cs"/>
          <w:sz w:val="20"/>
          <w:szCs w:val="20"/>
          <w:u w:val="single"/>
          <w:rtl/>
        </w:rPr>
        <w:t>רבא</w:t>
      </w:r>
      <w:r>
        <w:rPr>
          <w:rFonts w:hint="cs"/>
          <w:sz w:val="20"/>
          <w:szCs w:val="20"/>
          <w:rtl/>
        </w:rPr>
        <w:t xml:space="preserve">. אחד מכל אבר, וכ"פ </w:t>
      </w:r>
      <w:r w:rsidRPr="0041457B">
        <w:rPr>
          <w:rFonts w:hint="cs"/>
          <w:b/>
          <w:bCs/>
          <w:sz w:val="20"/>
          <w:szCs w:val="20"/>
          <w:rtl/>
        </w:rPr>
        <w:t>הרשב"א</w:t>
      </w:r>
      <w:r>
        <w:rPr>
          <w:rFonts w:hint="cs"/>
          <w:sz w:val="20"/>
          <w:szCs w:val="20"/>
          <w:rtl/>
        </w:rPr>
        <w:t>.</w:t>
      </w:r>
      <w:r>
        <w:rPr>
          <w:rFonts w:hint="cs"/>
          <w:sz w:val="20"/>
          <w:szCs w:val="20"/>
          <w:rtl/>
        </w:rPr>
        <w:br/>
        <w:t xml:space="preserve">4. </w:t>
      </w:r>
      <w:r w:rsidRPr="0041457B">
        <w:rPr>
          <w:rFonts w:hint="cs"/>
          <w:b/>
          <w:bCs/>
          <w:sz w:val="20"/>
          <w:szCs w:val="20"/>
          <w:rtl/>
        </w:rPr>
        <w:t>גמרא</w:t>
      </w:r>
      <w:r>
        <w:rPr>
          <w:rFonts w:hint="cs"/>
          <w:sz w:val="20"/>
          <w:szCs w:val="20"/>
          <w:rtl/>
        </w:rPr>
        <w:t xml:space="preserve">. גופו אדם ופניו תיש </w:t>
      </w:r>
      <w:r>
        <w:rPr>
          <w:sz w:val="20"/>
          <w:szCs w:val="20"/>
          <w:rtl/>
        </w:rPr>
        <w:t>–</w:t>
      </w:r>
      <w:r>
        <w:rPr>
          <w:rFonts w:hint="cs"/>
          <w:sz w:val="20"/>
          <w:szCs w:val="20"/>
          <w:rtl/>
        </w:rPr>
        <w:t xml:space="preserve"> אינה טמאה לידה.</w:t>
      </w:r>
      <w:r>
        <w:rPr>
          <w:sz w:val="20"/>
          <w:szCs w:val="20"/>
          <w:rtl/>
        </w:rPr>
        <w:br/>
      </w:r>
      <w:r>
        <w:rPr>
          <w:rFonts w:hint="cs"/>
          <w:sz w:val="20"/>
          <w:szCs w:val="20"/>
          <w:rtl/>
        </w:rPr>
        <w:t xml:space="preserve">5. </w:t>
      </w:r>
      <w:r w:rsidRPr="0041457B">
        <w:rPr>
          <w:rFonts w:hint="cs"/>
          <w:b/>
          <w:bCs/>
          <w:sz w:val="20"/>
          <w:szCs w:val="20"/>
          <w:rtl/>
        </w:rPr>
        <w:t>גמרא</w:t>
      </w:r>
      <w:r>
        <w:rPr>
          <w:rFonts w:hint="cs"/>
          <w:sz w:val="20"/>
          <w:szCs w:val="20"/>
          <w:rtl/>
        </w:rPr>
        <w:t xml:space="preserve">. הפילה כדמות נחש שעינו דומה לעין אדם </w:t>
      </w:r>
      <w:r>
        <w:rPr>
          <w:sz w:val="20"/>
          <w:szCs w:val="20"/>
          <w:rtl/>
        </w:rPr>
        <w:t>–</w:t>
      </w:r>
      <w:r>
        <w:rPr>
          <w:rFonts w:hint="cs"/>
          <w:sz w:val="20"/>
          <w:szCs w:val="20"/>
          <w:rtl/>
        </w:rPr>
        <w:t xml:space="preserve"> טמאה, וכ"פ </w:t>
      </w:r>
      <w:r w:rsidRPr="0041457B">
        <w:rPr>
          <w:rFonts w:hint="cs"/>
          <w:b/>
          <w:bCs/>
          <w:sz w:val="20"/>
          <w:szCs w:val="20"/>
          <w:rtl/>
        </w:rPr>
        <w:t>הרמב"ם</w:t>
      </w:r>
      <w:r>
        <w:rPr>
          <w:rFonts w:hint="cs"/>
          <w:sz w:val="20"/>
          <w:szCs w:val="20"/>
          <w:rtl/>
        </w:rPr>
        <w:t xml:space="preserve">. </w:t>
      </w:r>
      <w:r w:rsidRPr="0041457B">
        <w:rPr>
          <w:rFonts w:hint="cs"/>
          <w:b/>
          <w:bCs/>
          <w:sz w:val="20"/>
          <w:szCs w:val="20"/>
          <w:rtl/>
        </w:rPr>
        <w:t>ראב"ד</w:t>
      </w:r>
      <w:r>
        <w:rPr>
          <w:rFonts w:hint="cs"/>
          <w:sz w:val="20"/>
          <w:szCs w:val="20"/>
          <w:rtl/>
        </w:rPr>
        <w:t xml:space="preserve">. אינה טמאה. </w:t>
      </w:r>
      <w:r w:rsidRPr="0041457B">
        <w:rPr>
          <w:rFonts w:hint="cs"/>
          <w:b/>
          <w:bCs/>
          <w:sz w:val="20"/>
          <w:szCs w:val="20"/>
          <w:rtl/>
        </w:rPr>
        <w:t>טעם</w:t>
      </w:r>
      <w:r>
        <w:rPr>
          <w:rFonts w:hint="cs"/>
          <w:sz w:val="20"/>
          <w:szCs w:val="20"/>
          <w:rtl/>
        </w:rPr>
        <w:t xml:space="preserve">. קיי"ל כסוגיה לעיל שרק אם רוב פניו דומות לאדם טמאה. </w:t>
      </w:r>
      <w:r w:rsidRPr="0041457B">
        <w:rPr>
          <w:rFonts w:hint="cs"/>
          <w:b/>
          <w:bCs/>
          <w:sz w:val="20"/>
          <w:szCs w:val="20"/>
          <w:rtl/>
        </w:rPr>
        <w:t>ב"י</w:t>
      </w:r>
      <w:r>
        <w:rPr>
          <w:rFonts w:hint="cs"/>
          <w:sz w:val="20"/>
          <w:szCs w:val="20"/>
          <w:rtl/>
        </w:rPr>
        <w:t xml:space="preserve">. מיישב את </w:t>
      </w:r>
      <w:r w:rsidRPr="0041457B">
        <w:rPr>
          <w:rFonts w:hint="cs"/>
          <w:sz w:val="20"/>
          <w:szCs w:val="20"/>
          <w:rtl/>
        </w:rPr>
        <w:t>הרמב"ם</w:t>
      </w:r>
      <w:r>
        <w:rPr>
          <w:rFonts w:hint="cs"/>
          <w:sz w:val="20"/>
          <w:szCs w:val="20"/>
          <w:rtl/>
        </w:rPr>
        <w:t xml:space="preserve"> שגלגל דומה טפי לשל אדם.</w:t>
      </w:r>
      <w:r>
        <w:rPr>
          <w:rFonts w:hint="cs"/>
          <w:sz w:val="20"/>
          <w:szCs w:val="20"/>
          <w:rtl/>
        </w:rPr>
        <w:br/>
        <w:t xml:space="preserve">6. </w:t>
      </w:r>
      <w:r w:rsidRPr="0041457B">
        <w:rPr>
          <w:rFonts w:hint="cs"/>
          <w:b/>
          <w:bCs/>
          <w:sz w:val="20"/>
          <w:szCs w:val="20"/>
          <w:rtl/>
        </w:rPr>
        <w:t>רשב"א</w:t>
      </w:r>
      <w:r>
        <w:rPr>
          <w:rFonts w:hint="cs"/>
          <w:sz w:val="20"/>
          <w:szCs w:val="20"/>
          <w:rtl/>
        </w:rPr>
        <w:t xml:space="preserve">. חילוקים אלו אינם, איננו בקיאים בהם, בכל עניין טמאה לידה, אם זכר שבוע ואם נקבה שבועיים. </w:t>
      </w:r>
      <w:r w:rsidRPr="0041457B">
        <w:rPr>
          <w:rFonts w:hint="cs"/>
          <w:b/>
          <w:bCs/>
          <w:sz w:val="20"/>
          <w:szCs w:val="20"/>
          <w:rtl/>
        </w:rPr>
        <w:t>רמב"ם</w:t>
      </w:r>
      <w:r>
        <w:rPr>
          <w:rFonts w:hint="cs"/>
          <w:sz w:val="20"/>
          <w:szCs w:val="20"/>
          <w:rtl/>
        </w:rPr>
        <w:t xml:space="preserve">. כתב את כל החילוקים האלו. מבאר </w:t>
      </w:r>
      <w:r w:rsidRPr="0041457B">
        <w:rPr>
          <w:rFonts w:hint="cs"/>
          <w:b/>
          <w:bCs/>
          <w:sz w:val="20"/>
          <w:szCs w:val="20"/>
          <w:rtl/>
        </w:rPr>
        <w:t>הב"י</w:t>
      </w:r>
      <w:r>
        <w:rPr>
          <w:rFonts w:hint="cs"/>
          <w:sz w:val="20"/>
          <w:szCs w:val="20"/>
          <w:rtl/>
        </w:rPr>
        <w:t xml:space="preserve">. כוונת </w:t>
      </w:r>
      <w:r w:rsidRPr="0041457B">
        <w:rPr>
          <w:rFonts w:hint="cs"/>
          <w:b/>
          <w:bCs/>
          <w:sz w:val="20"/>
          <w:szCs w:val="20"/>
          <w:rtl/>
        </w:rPr>
        <w:t>הרמב"ם</w:t>
      </w:r>
      <w:r>
        <w:rPr>
          <w:rFonts w:hint="cs"/>
          <w:sz w:val="20"/>
          <w:szCs w:val="20"/>
          <w:rtl/>
        </w:rPr>
        <w:t xml:space="preserve"> רק למי שבקי שיפסוק ע"פ חילוקים אלו.</w:t>
      </w:r>
      <w:r>
        <w:rPr>
          <w:rFonts w:hint="cs"/>
          <w:sz w:val="20"/>
          <w:szCs w:val="20"/>
          <w:rtl/>
        </w:rPr>
        <w:br/>
        <w:t xml:space="preserve">7. </w:t>
      </w:r>
      <w:r w:rsidRPr="00452C84">
        <w:rPr>
          <w:rStyle w:val="10"/>
          <w:rFonts w:hint="cs"/>
          <w:rtl/>
        </w:rPr>
        <w:t>ג.</w:t>
      </w:r>
      <w:r w:rsidRPr="00452C84">
        <w:rPr>
          <w:rFonts w:hint="cs"/>
          <w:b/>
          <w:bCs/>
          <w:sz w:val="16"/>
          <w:szCs w:val="16"/>
          <w:rtl/>
        </w:rPr>
        <w:t xml:space="preserve"> </w:t>
      </w:r>
      <w:r w:rsidRPr="0041457B">
        <w:rPr>
          <w:rFonts w:hint="cs"/>
          <w:b/>
          <w:bCs/>
          <w:sz w:val="20"/>
          <w:szCs w:val="20"/>
          <w:rtl/>
        </w:rPr>
        <w:t>גמרא</w:t>
      </w:r>
      <w:r>
        <w:rPr>
          <w:rFonts w:hint="cs"/>
          <w:sz w:val="20"/>
          <w:szCs w:val="20"/>
          <w:rtl/>
        </w:rPr>
        <w:t xml:space="preserve">. הפילה חתיכה לבנה שיש בה עצם, טמאה כיולדת נקבה. לבנה </w:t>
      </w:r>
      <w:r>
        <w:rPr>
          <w:sz w:val="20"/>
          <w:szCs w:val="20"/>
          <w:rtl/>
        </w:rPr>
        <w:t>–</w:t>
      </w:r>
      <w:r>
        <w:rPr>
          <w:rFonts w:hint="cs"/>
          <w:sz w:val="20"/>
          <w:szCs w:val="20"/>
          <w:rtl/>
        </w:rPr>
        <w:t xml:space="preserve"> רק היא של וולד.</w:t>
      </w:r>
      <w:r>
        <w:rPr>
          <w:sz w:val="20"/>
          <w:szCs w:val="20"/>
          <w:rtl/>
        </w:rPr>
        <w:br/>
      </w:r>
      <w:r>
        <w:rPr>
          <w:rFonts w:hint="cs"/>
          <w:sz w:val="20"/>
          <w:szCs w:val="20"/>
          <w:rtl/>
        </w:rPr>
        <w:t xml:space="preserve">8. </w:t>
      </w:r>
      <w:r w:rsidRPr="0041457B">
        <w:rPr>
          <w:rFonts w:hint="cs"/>
          <w:b/>
          <w:bCs/>
          <w:sz w:val="20"/>
          <w:szCs w:val="20"/>
          <w:rtl/>
        </w:rPr>
        <w:t>רשב"א</w:t>
      </w:r>
      <w:r>
        <w:rPr>
          <w:rFonts w:hint="cs"/>
          <w:sz w:val="20"/>
          <w:szCs w:val="20"/>
          <w:rtl/>
        </w:rPr>
        <w:t>. כיום גם שאר מיני צבעים טמאה.</w:t>
      </w:r>
      <w:r w:rsidRPr="0041457B">
        <w:rPr>
          <w:rFonts w:hint="cs"/>
          <w:b/>
          <w:bCs/>
          <w:sz w:val="20"/>
          <w:szCs w:val="20"/>
          <w:rtl/>
        </w:rPr>
        <w:t xml:space="preserve"> טעם</w:t>
      </w:r>
      <w:r>
        <w:rPr>
          <w:rFonts w:hint="cs"/>
          <w:sz w:val="20"/>
          <w:szCs w:val="20"/>
          <w:rtl/>
        </w:rPr>
        <w:t xml:space="preserve">. איננו בקיאים במראה לבן. </w:t>
      </w:r>
      <w:r w:rsidRPr="0041457B">
        <w:rPr>
          <w:rFonts w:hint="cs"/>
          <w:b/>
          <w:bCs/>
          <w:sz w:val="20"/>
          <w:szCs w:val="20"/>
          <w:rtl/>
        </w:rPr>
        <w:t>מ"מ</w:t>
      </w:r>
      <w:r>
        <w:rPr>
          <w:rFonts w:hint="cs"/>
          <w:sz w:val="20"/>
          <w:szCs w:val="20"/>
          <w:rtl/>
        </w:rPr>
        <w:t>. רק בלבנה טמאה.</w:t>
      </w:r>
      <w:r>
        <w:rPr>
          <w:rFonts w:hint="cs"/>
          <w:sz w:val="20"/>
          <w:szCs w:val="20"/>
          <w:rtl/>
        </w:rPr>
        <w:br/>
        <w:t xml:space="preserve">9. </w:t>
      </w:r>
      <w:r w:rsidRPr="0041457B">
        <w:rPr>
          <w:rFonts w:hint="cs"/>
          <w:b/>
          <w:bCs/>
          <w:sz w:val="20"/>
          <w:szCs w:val="20"/>
          <w:rtl/>
        </w:rPr>
        <w:t>גמרא</w:t>
      </w:r>
      <w:r>
        <w:rPr>
          <w:rFonts w:hint="cs"/>
          <w:sz w:val="20"/>
          <w:szCs w:val="20"/>
          <w:rtl/>
        </w:rPr>
        <w:t xml:space="preserve">. הפילה יד או רגל מחותכת לאצבעות </w:t>
      </w:r>
      <w:r>
        <w:rPr>
          <w:sz w:val="20"/>
          <w:szCs w:val="20"/>
          <w:rtl/>
        </w:rPr>
        <w:t>–</w:t>
      </w:r>
      <w:r>
        <w:rPr>
          <w:rFonts w:hint="cs"/>
          <w:sz w:val="20"/>
          <w:szCs w:val="20"/>
          <w:rtl/>
        </w:rPr>
        <w:t xml:space="preserve"> טמאה. </w:t>
      </w:r>
      <w:r w:rsidRPr="0041457B">
        <w:rPr>
          <w:rFonts w:hint="cs"/>
          <w:b/>
          <w:bCs/>
          <w:sz w:val="20"/>
          <w:szCs w:val="20"/>
          <w:rtl/>
        </w:rPr>
        <w:t>ראב"ד</w:t>
      </w:r>
      <w:r>
        <w:rPr>
          <w:rFonts w:hint="cs"/>
          <w:sz w:val="20"/>
          <w:szCs w:val="20"/>
          <w:rtl/>
        </w:rPr>
        <w:t>. רק לקרבן, טומאת לידה איתא מחמת העצם.</w:t>
      </w:r>
      <w:r>
        <w:rPr>
          <w:rFonts w:hint="cs"/>
          <w:sz w:val="20"/>
          <w:szCs w:val="20"/>
          <w:rtl/>
        </w:rPr>
        <w:br/>
        <w:t xml:space="preserve">10. </w:t>
      </w:r>
      <w:r w:rsidRPr="00452C84">
        <w:rPr>
          <w:rStyle w:val="10"/>
          <w:rFonts w:hint="cs"/>
          <w:rtl/>
        </w:rPr>
        <w:t>ד.</w:t>
      </w:r>
      <w:r w:rsidRPr="00452C84">
        <w:rPr>
          <w:rFonts w:hint="cs"/>
          <w:sz w:val="16"/>
          <w:szCs w:val="16"/>
          <w:rtl/>
        </w:rPr>
        <w:t xml:space="preserve"> </w:t>
      </w:r>
      <w:r w:rsidRPr="0041457B">
        <w:rPr>
          <w:rFonts w:hint="cs"/>
          <w:b/>
          <w:bCs/>
          <w:sz w:val="20"/>
          <w:szCs w:val="20"/>
          <w:rtl/>
        </w:rPr>
        <w:t>משנה</w:t>
      </w:r>
      <w:r>
        <w:rPr>
          <w:rFonts w:hint="cs"/>
          <w:sz w:val="20"/>
          <w:szCs w:val="20"/>
          <w:rtl/>
        </w:rPr>
        <w:t xml:space="preserve">. שפיר מלא מים, דם או גוונים </w:t>
      </w:r>
      <w:r>
        <w:rPr>
          <w:sz w:val="20"/>
          <w:szCs w:val="20"/>
          <w:rtl/>
        </w:rPr>
        <w:t>–</w:t>
      </w:r>
      <w:r>
        <w:rPr>
          <w:rFonts w:hint="cs"/>
          <w:sz w:val="20"/>
          <w:szCs w:val="20"/>
          <w:rtl/>
        </w:rPr>
        <w:t xml:space="preserve"> אינה טמאה לידה. מרוקם </w:t>
      </w:r>
      <w:r>
        <w:rPr>
          <w:sz w:val="20"/>
          <w:szCs w:val="20"/>
          <w:rtl/>
        </w:rPr>
        <w:t>–</w:t>
      </w:r>
      <w:r>
        <w:rPr>
          <w:rFonts w:hint="cs"/>
          <w:sz w:val="20"/>
          <w:szCs w:val="20"/>
          <w:rtl/>
        </w:rPr>
        <w:t xml:space="preserve"> טמאה לידה.</w:t>
      </w:r>
      <w:r>
        <w:rPr>
          <w:sz w:val="20"/>
          <w:szCs w:val="20"/>
          <w:rtl/>
        </w:rPr>
        <w:br/>
      </w:r>
      <w:r>
        <w:rPr>
          <w:rFonts w:hint="cs"/>
          <w:sz w:val="20"/>
          <w:szCs w:val="20"/>
          <w:rtl/>
        </w:rPr>
        <w:t xml:space="preserve">11. </w:t>
      </w:r>
      <w:r w:rsidRPr="0041457B">
        <w:rPr>
          <w:rFonts w:hint="cs"/>
          <w:b/>
          <w:bCs/>
          <w:sz w:val="20"/>
          <w:szCs w:val="20"/>
          <w:rtl/>
        </w:rPr>
        <w:t>גמרא</w:t>
      </w:r>
      <w:r>
        <w:rPr>
          <w:rFonts w:hint="cs"/>
          <w:sz w:val="20"/>
          <w:szCs w:val="20"/>
          <w:rtl/>
        </w:rPr>
        <w:t xml:space="preserve">. שפיר שאינו מרוקם </w:t>
      </w:r>
      <w:r>
        <w:rPr>
          <w:sz w:val="20"/>
          <w:szCs w:val="20"/>
          <w:rtl/>
        </w:rPr>
        <w:t>–</w:t>
      </w:r>
      <w:r>
        <w:rPr>
          <w:rFonts w:hint="cs"/>
          <w:sz w:val="20"/>
          <w:szCs w:val="20"/>
          <w:rtl/>
        </w:rPr>
        <w:t xml:space="preserve"> מחלוקת. </w:t>
      </w:r>
      <w:r w:rsidRPr="0041457B">
        <w:rPr>
          <w:rFonts w:hint="cs"/>
          <w:sz w:val="20"/>
          <w:szCs w:val="20"/>
          <w:u w:val="single"/>
          <w:rtl/>
        </w:rPr>
        <w:t>חכמים</w:t>
      </w:r>
      <w:r>
        <w:rPr>
          <w:rFonts w:hint="cs"/>
          <w:sz w:val="20"/>
          <w:szCs w:val="20"/>
          <w:rtl/>
        </w:rPr>
        <w:t xml:space="preserve"> </w:t>
      </w:r>
      <w:r>
        <w:rPr>
          <w:sz w:val="20"/>
          <w:szCs w:val="20"/>
          <w:rtl/>
        </w:rPr>
        <w:t>–</w:t>
      </w:r>
      <w:r>
        <w:rPr>
          <w:rFonts w:hint="cs"/>
          <w:sz w:val="20"/>
          <w:szCs w:val="20"/>
          <w:rtl/>
        </w:rPr>
        <w:t xml:space="preserve"> אינו ולד. </w:t>
      </w:r>
      <w:r w:rsidRPr="0041457B">
        <w:rPr>
          <w:rFonts w:hint="cs"/>
          <w:sz w:val="20"/>
          <w:szCs w:val="20"/>
          <w:u w:val="single"/>
          <w:rtl/>
        </w:rPr>
        <w:t>רבי יהושע</w:t>
      </w:r>
      <w:r>
        <w:rPr>
          <w:rFonts w:hint="cs"/>
          <w:sz w:val="20"/>
          <w:szCs w:val="20"/>
          <w:rtl/>
        </w:rPr>
        <w:t xml:space="preserve"> </w:t>
      </w:r>
      <w:r>
        <w:rPr>
          <w:sz w:val="20"/>
          <w:szCs w:val="20"/>
          <w:rtl/>
        </w:rPr>
        <w:t>–</w:t>
      </w:r>
      <w:r>
        <w:rPr>
          <w:rFonts w:hint="cs"/>
          <w:sz w:val="20"/>
          <w:szCs w:val="20"/>
          <w:rtl/>
        </w:rPr>
        <w:t xml:space="preserve"> ולד. מחלוקת אמוראים האם מחלוקתם בעכור או בצלול. </w:t>
      </w:r>
      <w:r w:rsidRPr="0041457B">
        <w:rPr>
          <w:rFonts w:hint="cs"/>
          <w:sz w:val="20"/>
          <w:szCs w:val="20"/>
          <w:u w:val="single"/>
          <w:rtl/>
        </w:rPr>
        <w:t>רב</w:t>
      </w:r>
      <w:r>
        <w:rPr>
          <w:rFonts w:hint="cs"/>
          <w:sz w:val="20"/>
          <w:szCs w:val="20"/>
          <w:rtl/>
        </w:rPr>
        <w:t xml:space="preserve">. בין עכור בין צלול טהורה. </w:t>
      </w:r>
      <w:r w:rsidRPr="0041457B">
        <w:rPr>
          <w:rFonts w:hint="cs"/>
          <w:sz w:val="20"/>
          <w:szCs w:val="20"/>
          <w:u w:val="single"/>
          <w:rtl/>
        </w:rPr>
        <w:t>שמואל</w:t>
      </w:r>
      <w:r>
        <w:rPr>
          <w:rFonts w:hint="cs"/>
          <w:sz w:val="20"/>
          <w:szCs w:val="20"/>
          <w:rtl/>
        </w:rPr>
        <w:t>. בין עכור ובין צלול טמאה.</w:t>
      </w:r>
      <w:r>
        <w:rPr>
          <w:sz w:val="20"/>
          <w:szCs w:val="20"/>
          <w:rtl/>
        </w:rPr>
        <w:br/>
      </w:r>
      <w:r>
        <w:rPr>
          <w:rFonts w:hint="cs"/>
          <w:sz w:val="20"/>
          <w:szCs w:val="20"/>
          <w:rtl/>
        </w:rPr>
        <w:t xml:space="preserve">12. </w:t>
      </w:r>
      <w:r w:rsidRPr="0041457B">
        <w:rPr>
          <w:rFonts w:hint="cs"/>
          <w:b/>
          <w:bCs/>
          <w:sz w:val="20"/>
          <w:szCs w:val="20"/>
          <w:rtl/>
        </w:rPr>
        <w:t>רשב"א</w:t>
      </w:r>
      <w:r>
        <w:rPr>
          <w:rFonts w:hint="cs"/>
          <w:sz w:val="20"/>
          <w:szCs w:val="20"/>
          <w:rtl/>
        </w:rPr>
        <w:t xml:space="preserve">. כל שפיר טמא, כשמואל, וכ"פ </w:t>
      </w:r>
      <w:r w:rsidRPr="0041457B">
        <w:rPr>
          <w:rFonts w:hint="cs"/>
          <w:b/>
          <w:bCs/>
          <w:sz w:val="20"/>
          <w:szCs w:val="20"/>
          <w:rtl/>
        </w:rPr>
        <w:t>המחבר</w:t>
      </w:r>
      <w:r>
        <w:rPr>
          <w:rFonts w:hint="cs"/>
          <w:sz w:val="20"/>
          <w:szCs w:val="20"/>
          <w:rtl/>
        </w:rPr>
        <w:t xml:space="preserve">. </w:t>
      </w:r>
      <w:r w:rsidRPr="0041457B">
        <w:rPr>
          <w:rFonts w:hint="cs"/>
          <w:b/>
          <w:bCs/>
          <w:sz w:val="20"/>
          <w:szCs w:val="20"/>
          <w:rtl/>
        </w:rPr>
        <w:t>רמב"ם</w:t>
      </w:r>
      <w:r>
        <w:rPr>
          <w:rFonts w:hint="cs"/>
          <w:sz w:val="20"/>
          <w:szCs w:val="20"/>
          <w:rtl/>
        </w:rPr>
        <w:t xml:space="preserve">. בין עכור ובין צלול טהורה, כרב. </w:t>
      </w:r>
      <w:r>
        <w:rPr>
          <w:rFonts w:hint="cs"/>
          <w:sz w:val="20"/>
          <w:szCs w:val="20"/>
          <w:rtl/>
        </w:rPr>
        <w:br/>
        <w:t xml:space="preserve">13. </w:t>
      </w:r>
      <w:r w:rsidRPr="0041457B">
        <w:rPr>
          <w:rFonts w:hint="cs"/>
          <w:b/>
          <w:bCs/>
          <w:sz w:val="20"/>
          <w:szCs w:val="20"/>
          <w:rtl/>
        </w:rPr>
        <w:t>משנה</w:t>
      </w:r>
      <w:r>
        <w:rPr>
          <w:rFonts w:hint="cs"/>
          <w:sz w:val="20"/>
          <w:szCs w:val="20"/>
          <w:rtl/>
        </w:rPr>
        <w:t xml:space="preserve">. הפילה שליא טמאה לידה משום שיש בה וולד. </w:t>
      </w:r>
      <w:r w:rsidRPr="0041457B">
        <w:rPr>
          <w:rFonts w:hint="cs"/>
          <w:b/>
          <w:bCs/>
          <w:sz w:val="20"/>
          <w:szCs w:val="20"/>
          <w:rtl/>
        </w:rPr>
        <w:t>גמרא</w:t>
      </w:r>
      <w:r>
        <w:rPr>
          <w:rFonts w:hint="cs"/>
          <w:sz w:val="20"/>
          <w:szCs w:val="20"/>
          <w:rtl/>
        </w:rPr>
        <w:t xml:space="preserve">. תנאים שונים להגדרת שליה. </w:t>
      </w:r>
      <w:r>
        <w:rPr>
          <w:sz w:val="20"/>
          <w:szCs w:val="20"/>
          <w:rtl/>
        </w:rPr>
        <w:br/>
      </w:r>
      <w:r>
        <w:rPr>
          <w:rFonts w:hint="cs"/>
          <w:sz w:val="20"/>
          <w:szCs w:val="20"/>
          <w:rtl/>
        </w:rPr>
        <w:t>ראשונים. איננו בקיאים בחילוקים אלו, ולכן בכל שפיר טמאה לידה.</w:t>
      </w:r>
      <w:r>
        <w:rPr>
          <w:rFonts w:hint="cs"/>
          <w:sz w:val="20"/>
          <w:szCs w:val="20"/>
          <w:rtl/>
        </w:rPr>
        <w:br/>
        <w:t xml:space="preserve">14. </w:t>
      </w:r>
      <w:r w:rsidRPr="00B25815">
        <w:rPr>
          <w:rFonts w:hint="cs"/>
          <w:b/>
          <w:bCs/>
          <w:sz w:val="20"/>
          <w:szCs w:val="20"/>
          <w:rtl/>
        </w:rPr>
        <w:t>מחבר</w:t>
      </w:r>
      <w:r>
        <w:rPr>
          <w:rFonts w:hint="cs"/>
          <w:sz w:val="20"/>
          <w:szCs w:val="20"/>
          <w:rtl/>
        </w:rPr>
        <w:t>. היום איננו בקיאים בצורות, לכן בכל נפל טמאה לידה כדין יולדת נקבה. מונה ז"נ, וטובלת לאחר יד'.</w:t>
      </w:r>
      <w:r>
        <w:rPr>
          <w:rFonts w:hint="cs"/>
          <w:sz w:val="20"/>
          <w:szCs w:val="20"/>
          <w:rtl/>
        </w:rPr>
        <w:br/>
        <w:t xml:space="preserve">15. </w:t>
      </w:r>
      <w:r w:rsidRPr="00C8565B">
        <w:rPr>
          <w:rFonts w:cs="Arial" w:hint="cs"/>
          <w:b/>
          <w:bCs/>
          <w:sz w:val="20"/>
          <w:szCs w:val="20"/>
          <w:rtl/>
        </w:rPr>
        <w:t>שו"ת תשובה מאהבה</w:t>
      </w:r>
      <w:r>
        <w:rPr>
          <w:rFonts w:hint="cs"/>
          <w:sz w:val="20"/>
          <w:szCs w:val="20"/>
          <w:rtl/>
        </w:rPr>
        <w:t>. אין לגרום בשום צורה למוות של ברייה משונה.</w:t>
      </w:r>
      <w:r>
        <w:rPr>
          <w:sz w:val="20"/>
          <w:szCs w:val="20"/>
          <w:rtl/>
        </w:rPr>
        <w:br/>
      </w:r>
      <w:r>
        <w:rPr>
          <w:rFonts w:hint="cs"/>
          <w:sz w:val="20"/>
          <w:szCs w:val="20"/>
          <w:rtl/>
        </w:rPr>
        <w:t xml:space="preserve">16. </w:t>
      </w:r>
      <w:r w:rsidRPr="0041457B">
        <w:rPr>
          <w:rFonts w:hint="cs"/>
          <w:sz w:val="20"/>
          <w:szCs w:val="20"/>
          <w:rtl/>
        </w:rPr>
        <w:t>הפילה חתיכה שאין בה עצם</w:t>
      </w:r>
      <w:r>
        <w:rPr>
          <w:rFonts w:hint="cs"/>
          <w:sz w:val="20"/>
          <w:szCs w:val="20"/>
          <w:rtl/>
        </w:rPr>
        <w:t xml:space="preserve">. </w:t>
      </w:r>
      <w:r w:rsidRPr="006319F6">
        <w:rPr>
          <w:rFonts w:cs="Arial" w:hint="cs"/>
          <w:b/>
          <w:bCs/>
          <w:sz w:val="20"/>
          <w:szCs w:val="20"/>
          <w:rtl/>
        </w:rPr>
        <w:t>מהר"א ברודא</w:t>
      </w:r>
      <w:r>
        <w:rPr>
          <w:rFonts w:cs="Arial" w:hint="cs"/>
          <w:sz w:val="20"/>
          <w:szCs w:val="20"/>
          <w:rtl/>
        </w:rPr>
        <w:t xml:space="preserve"> </w:t>
      </w:r>
      <w:r>
        <w:rPr>
          <w:rFonts w:cs="Arial"/>
          <w:sz w:val="20"/>
          <w:szCs w:val="20"/>
          <w:rtl/>
        </w:rPr>
        <w:t>–</w:t>
      </w:r>
      <w:r>
        <w:rPr>
          <w:rFonts w:cs="Arial" w:hint="cs"/>
          <w:sz w:val="20"/>
          <w:szCs w:val="20"/>
          <w:rtl/>
        </w:rPr>
        <w:t xml:space="preserve"> טמאה לידה.</w:t>
      </w:r>
      <w:r>
        <w:rPr>
          <w:rFonts w:hint="cs"/>
          <w:sz w:val="20"/>
          <w:szCs w:val="20"/>
          <w:rtl/>
        </w:rPr>
        <w:t xml:space="preserve"> </w:t>
      </w:r>
      <w:r w:rsidRPr="006319F6">
        <w:rPr>
          <w:rFonts w:cs="Arial" w:hint="cs"/>
          <w:b/>
          <w:bCs/>
          <w:sz w:val="20"/>
          <w:szCs w:val="20"/>
          <w:rtl/>
        </w:rPr>
        <w:t>סדרי טהרה</w:t>
      </w:r>
      <w:r>
        <w:rPr>
          <w:rFonts w:cs="Arial" w:hint="cs"/>
          <w:b/>
          <w:bCs/>
          <w:sz w:val="20"/>
          <w:szCs w:val="20"/>
          <w:rtl/>
        </w:rPr>
        <w:t xml:space="preserve"> </w:t>
      </w:r>
      <w:r>
        <w:rPr>
          <w:rFonts w:cs="Arial"/>
          <w:sz w:val="20"/>
          <w:szCs w:val="20"/>
          <w:rtl/>
        </w:rPr>
        <w:t>–</w:t>
      </w:r>
      <w:r>
        <w:rPr>
          <w:rFonts w:cs="Arial" w:hint="cs"/>
          <w:sz w:val="20"/>
          <w:szCs w:val="20"/>
          <w:rtl/>
        </w:rPr>
        <w:t xml:space="preserve"> אינה טמאה לידה.</w:t>
      </w:r>
      <w:r>
        <w:rPr>
          <w:rFonts w:hint="cs"/>
          <w:sz w:val="20"/>
          <w:szCs w:val="20"/>
          <w:rtl/>
        </w:rPr>
        <w:br/>
        <w:t xml:space="preserve">17. </w:t>
      </w:r>
      <w:r w:rsidRPr="00452C84">
        <w:rPr>
          <w:rStyle w:val="10"/>
          <w:rFonts w:hint="cs"/>
          <w:rtl/>
        </w:rPr>
        <w:t>ה.</w:t>
      </w:r>
      <w:r w:rsidRPr="00452C84">
        <w:rPr>
          <w:rFonts w:hint="cs"/>
          <w:sz w:val="16"/>
          <w:szCs w:val="16"/>
          <w:rtl/>
        </w:rPr>
        <w:t xml:space="preserve"> </w:t>
      </w:r>
      <w:r>
        <w:rPr>
          <w:rFonts w:hint="cs"/>
          <w:sz w:val="20"/>
          <w:szCs w:val="20"/>
          <w:rtl/>
        </w:rPr>
        <w:t xml:space="preserve">ושטו אטום </w:t>
      </w:r>
      <w:r>
        <w:rPr>
          <w:sz w:val="20"/>
          <w:szCs w:val="20"/>
          <w:rtl/>
        </w:rPr>
        <w:t>–</w:t>
      </w:r>
      <w:r>
        <w:rPr>
          <w:rFonts w:hint="cs"/>
          <w:sz w:val="20"/>
          <w:szCs w:val="20"/>
          <w:rtl/>
        </w:rPr>
        <w:t xml:space="preserve"> טהורה, ושטו נקוב </w:t>
      </w:r>
      <w:r>
        <w:rPr>
          <w:sz w:val="20"/>
          <w:szCs w:val="20"/>
          <w:rtl/>
        </w:rPr>
        <w:t>–</w:t>
      </w:r>
      <w:r>
        <w:rPr>
          <w:rFonts w:hint="cs"/>
          <w:sz w:val="20"/>
          <w:szCs w:val="20"/>
          <w:rtl/>
        </w:rPr>
        <w:t xml:space="preserve"> טמאה. טעם. בנקוב היה ראוי לבריית נשמה, משא"כ באטום.</w:t>
      </w:r>
      <w:r>
        <w:rPr>
          <w:sz w:val="20"/>
          <w:szCs w:val="20"/>
          <w:rtl/>
        </w:rPr>
        <w:br/>
      </w:r>
      <w:r>
        <w:rPr>
          <w:rFonts w:hint="cs"/>
          <w:sz w:val="20"/>
          <w:szCs w:val="20"/>
          <w:rtl/>
        </w:rPr>
        <w:t xml:space="preserve">18. </w:t>
      </w:r>
      <w:r w:rsidRPr="0041457B">
        <w:rPr>
          <w:rFonts w:hint="cs"/>
          <w:b/>
          <w:bCs/>
          <w:sz w:val="20"/>
          <w:szCs w:val="20"/>
          <w:rtl/>
        </w:rPr>
        <w:t>גמרא</w:t>
      </w:r>
      <w:r>
        <w:rPr>
          <w:rFonts w:hint="cs"/>
          <w:sz w:val="20"/>
          <w:szCs w:val="20"/>
          <w:rtl/>
        </w:rPr>
        <w:t xml:space="preserve">. נברא בעין אחת או ירך אחת, מהצד </w:t>
      </w:r>
      <w:r>
        <w:rPr>
          <w:sz w:val="20"/>
          <w:szCs w:val="20"/>
          <w:rtl/>
        </w:rPr>
        <w:t>–</w:t>
      </w:r>
      <w:r>
        <w:rPr>
          <w:rFonts w:hint="cs"/>
          <w:sz w:val="20"/>
          <w:szCs w:val="20"/>
          <w:rtl/>
        </w:rPr>
        <w:t xml:space="preserve"> טמאה, באמצע </w:t>
      </w:r>
      <w:r>
        <w:rPr>
          <w:sz w:val="20"/>
          <w:szCs w:val="20"/>
          <w:rtl/>
        </w:rPr>
        <w:t>–</w:t>
      </w:r>
      <w:r>
        <w:rPr>
          <w:rFonts w:hint="cs"/>
          <w:sz w:val="20"/>
          <w:szCs w:val="20"/>
          <w:rtl/>
        </w:rPr>
        <w:t xml:space="preserve"> טהורה. </w:t>
      </w:r>
      <w:r w:rsidRPr="0041457B">
        <w:rPr>
          <w:rFonts w:hint="cs"/>
          <w:b/>
          <w:bCs/>
          <w:sz w:val="20"/>
          <w:szCs w:val="20"/>
          <w:rtl/>
        </w:rPr>
        <w:t>טעם</w:t>
      </w:r>
      <w:r>
        <w:rPr>
          <w:rFonts w:hint="cs"/>
          <w:sz w:val="20"/>
          <w:szCs w:val="20"/>
          <w:rtl/>
        </w:rPr>
        <w:t>. זו ברייה אחרת.</w:t>
      </w:r>
      <w:r>
        <w:rPr>
          <w:sz w:val="20"/>
          <w:szCs w:val="20"/>
          <w:rtl/>
        </w:rPr>
        <w:br/>
      </w:r>
      <w:r>
        <w:rPr>
          <w:rFonts w:hint="cs"/>
          <w:sz w:val="20"/>
          <w:szCs w:val="20"/>
          <w:rtl/>
        </w:rPr>
        <w:t xml:space="preserve">19. </w:t>
      </w:r>
      <w:r w:rsidRPr="0041457B">
        <w:rPr>
          <w:rFonts w:hint="cs"/>
          <w:b/>
          <w:bCs/>
          <w:sz w:val="20"/>
          <w:szCs w:val="20"/>
          <w:rtl/>
        </w:rPr>
        <w:t>גמרא</w:t>
      </w:r>
      <w:r>
        <w:rPr>
          <w:rFonts w:hint="cs"/>
          <w:sz w:val="20"/>
          <w:szCs w:val="20"/>
          <w:rtl/>
        </w:rPr>
        <w:t xml:space="preserve">. הפילה דמות לילית טמאה. </w:t>
      </w:r>
    </w:p>
    <w:p w:rsidR="00620060" w:rsidRDefault="00620060" w:rsidP="00620060">
      <w:pPr>
        <w:rPr>
          <w:sz w:val="20"/>
          <w:szCs w:val="20"/>
          <w:rtl/>
        </w:rPr>
      </w:pPr>
      <w:r>
        <w:rPr>
          <w:sz w:val="20"/>
          <w:szCs w:val="20"/>
          <w:rtl/>
        </w:rPr>
        <w:br/>
      </w:r>
      <w:r>
        <w:rPr>
          <w:rFonts w:hint="cs"/>
          <w:b/>
          <w:bCs/>
          <w:sz w:val="20"/>
          <w:szCs w:val="20"/>
          <w:rtl/>
        </w:rPr>
        <w:t xml:space="preserve">סעיף ד </w:t>
      </w:r>
      <w:r>
        <w:rPr>
          <w:b/>
          <w:bCs/>
          <w:sz w:val="20"/>
          <w:szCs w:val="20"/>
          <w:rtl/>
        </w:rPr>
        <w:t>–</w:t>
      </w:r>
      <w:r>
        <w:rPr>
          <w:rFonts w:hint="cs"/>
          <w:b/>
          <w:bCs/>
          <w:sz w:val="20"/>
          <w:szCs w:val="20"/>
          <w:rtl/>
        </w:rPr>
        <w:t xml:space="preserve"> טומאת שליה שיצאה לאחר הלידה</w:t>
      </w:r>
      <w:r>
        <w:rPr>
          <w:rFonts w:hint="cs"/>
          <w:b/>
          <w:bCs/>
          <w:sz w:val="20"/>
          <w:szCs w:val="20"/>
          <w:rtl/>
        </w:rPr>
        <w:br/>
        <w:t>מקור הדין</w:t>
      </w:r>
      <w:r>
        <w:rPr>
          <w:b/>
          <w:bCs/>
          <w:sz w:val="20"/>
          <w:szCs w:val="20"/>
          <w:rtl/>
        </w:rPr>
        <w:br/>
      </w:r>
      <w:r>
        <w:rPr>
          <w:rFonts w:hint="cs"/>
          <w:b/>
          <w:bCs/>
          <w:sz w:val="20"/>
          <w:szCs w:val="20"/>
          <w:rtl/>
        </w:rPr>
        <w:t xml:space="preserve">גמרא </w:t>
      </w:r>
      <w:r>
        <w:rPr>
          <w:rFonts w:hint="cs"/>
          <w:sz w:val="20"/>
          <w:szCs w:val="20"/>
          <w:rtl/>
        </w:rPr>
        <w:t xml:space="preserve">נידה (כז.) </w:t>
      </w:r>
      <w:r>
        <w:rPr>
          <w:rFonts w:cs="Arial" w:hint="cs"/>
          <w:sz w:val="20"/>
          <w:szCs w:val="20"/>
          <w:rtl/>
        </w:rPr>
        <w:t>"</w:t>
      </w:r>
      <w:r w:rsidRPr="00E57D53">
        <w:rPr>
          <w:rFonts w:cs="Arial" w:hint="cs"/>
          <w:sz w:val="20"/>
          <w:szCs w:val="20"/>
          <w:rtl/>
        </w:rPr>
        <w:t>אמר</w:t>
      </w:r>
      <w:r w:rsidRPr="00E57D53">
        <w:rPr>
          <w:rFonts w:cs="Arial"/>
          <w:sz w:val="20"/>
          <w:szCs w:val="20"/>
          <w:rtl/>
        </w:rPr>
        <w:t xml:space="preserve"> </w:t>
      </w:r>
      <w:r w:rsidRPr="00E57D53">
        <w:rPr>
          <w:rFonts w:cs="Arial" w:hint="cs"/>
          <w:sz w:val="20"/>
          <w:szCs w:val="20"/>
          <w:rtl/>
        </w:rPr>
        <w:t>רבה</w:t>
      </w:r>
      <w:r w:rsidRPr="00E57D53">
        <w:rPr>
          <w:rFonts w:cs="Arial"/>
          <w:sz w:val="20"/>
          <w:szCs w:val="20"/>
          <w:rtl/>
        </w:rPr>
        <w:t xml:space="preserve"> </w:t>
      </w:r>
      <w:r w:rsidRPr="00E57D53">
        <w:rPr>
          <w:rFonts w:cs="Arial" w:hint="cs"/>
          <w:sz w:val="20"/>
          <w:szCs w:val="20"/>
          <w:rtl/>
        </w:rPr>
        <w:t>בר</w:t>
      </w:r>
      <w:r w:rsidRPr="00E57D53">
        <w:rPr>
          <w:rFonts w:cs="Arial"/>
          <w:sz w:val="20"/>
          <w:szCs w:val="20"/>
          <w:rtl/>
        </w:rPr>
        <w:t xml:space="preserve"> </w:t>
      </w:r>
      <w:r w:rsidRPr="00E57D53">
        <w:rPr>
          <w:rFonts w:cs="Arial" w:hint="cs"/>
          <w:sz w:val="20"/>
          <w:szCs w:val="20"/>
          <w:rtl/>
        </w:rPr>
        <w:t>בר</w:t>
      </w:r>
      <w:r w:rsidRPr="00E57D53">
        <w:rPr>
          <w:rFonts w:cs="Arial"/>
          <w:sz w:val="20"/>
          <w:szCs w:val="20"/>
          <w:rtl/>
        </w:rPr>
        <w:t xml:space="preserve"> </w:t>
      </w:r>
      <w:r w:rsidRPr="00E57D53">
        <w:rPr>
          <w:rFonts w:cs="Arial" w:hint="cs"/>
          <w:sz w:val="20"/>
          <w:szCs w:val="20"/>
          <w:rtl/>
        </w:rPr>
        <w:t>חנה</w:t>
      </w:r>
      <w:r w:rsidRPr="00E57D53">
        <w:rPr>
          <w:rFonts w:cs="Arial"/>
          <w:sz w:val="20"/>
          <w:szCs w:val="20"/>
          <w:rtl/>
        </w:rPr>
        <w:t xml:space="preserve"> </w:t>
      </w:r>
      <w:r w:rsidRPr="00E57D53">
        <w:rPr>
          <w:rFonts w:cs="Arial" w:hint="cs"/>
          <w:sz w:val="20"/>
          <w:szCs w:val="20"/>
          <w:rtl/>
        </w:rPr>
        <w:t>אמר</w:t>
      </w:r>
      <w:r w:rsidRPr="00E57D53">
        <w:rPr>
          <w:rFonts w:cs="Arial"/>
          <w:sz w:val="20"/>
          <w:szCs w:val="20"/>
          <w:rtl/>
        </w:rPr>
        <w:t xml:space="preserve"> </w:t>
      </w:r>
      <w:r w:rsidRPr="00E57D53">
        <w:rPr>
          <w:rFonts w:cs="Arial" w:hint="cs"/>
          <w:sz w:val="20"/>
          <w:szCs w:val="20"/>
          <w:rtl/>
        </w:rPr>
        <w:t>רבי</w:t>
      </w:r>
      <w:r w:rsidRPr="00E57D53">
        <w:rPr>
          <w:rFonts w:cs="Arial"/>
          <w:sz w:val="20"/>
          <w:szCs w:val="20"/>
          <w:rtl/>
        </w:rPr>
        <w:t xml:space="preserve"> </w:t>
      </w:r>
      <w:r w:rsidRPr="00E57D53">
        <w:rPr>
          <w:rFonts w:cs="Arial" w:hint="cs"/>
          <w:sz w:val="20"/>
          <w:szCs w:val="20"/>
          <w:rtl/>
        </w:rPr>
        <w:t>יוחנן</w:t>
      </w:r>
      <w:r w:rsidRPr="00E57D53">
        <w:rPr>
          <w:rFonts w:cs="Arial"/>
          <w:sz w:val="20"/>
          <w:szCs w:val="20"/>
          <w:rtl/>
        </w:rPr>
        <w:t xml:space="preserve">: </w:t>
      </w:r>
      <w:r w:rsidRPr="00E57D53">
        <w:rPr>
          <w:rFonts w:cs="Arial" w:hint="cs"/>
          <w:sz w:val="20"/>
          <w:szCs w:val="20"/>
          <w:rtl/>
        </w:rPr>
        <w:t>מעשה</w:t>
      </w:r>
      <w:r w:rsidRPr="00E57D53">
        <w:rPr>
          <w:rFonts w:cs="Arial"/>
          <w:sz w:val="20"/>
          <w:szCs w:val="20"/>
          <w:rtl/>
        </w:rPr>
        <w:t xml:space="preserve"> </w:t>
      </w:r>
      <w:r w:rsidRPr="00E57D53">
        <w:rPr>
          <w:rFonts w:cs="Arial" w:hint="cs"/>
          <w:sz w:val="20"/>
          <w:szCs w:val="20"/>
          <w:rtl/>
        </w:rPr>
        <w:t>ותלו</w:t>
      </w:r>
      <w:r w:rsidRPr="00E57D53">
        <w:rPr>
          <w:rFonts w:cs="Arial"/>
          <w:sz w:val="20"/>
          <w:szCs w:val="20"/>
          <w:rtl/>
        </w:rPr>
        <w:t xml:space="preserve"> </w:t>
      </w:r>
      <w:r w:rsidRPr="00E57D53">
        <w:rPr>
          <w:rFonts w:cs="Arial" w:hint="cs"/>
          <w:sz w:val="20"/>
          <w:szCs w:val="20"/>
          <w:rtl/>
        </w:rPr>
        <w:t>את</w:t>
      </w:r>
      <w:r w:rsidRPr="00E57D53">
        <w:rPr>
          <w:rFonts w:cs="Arial"/>
          <w:sz w:val="20"/>
          <w:szCs w:val="20"/>
          <w:rtl/>
        </w:rPr>
        <w:t xml:space="preserve"> </w:t>
      </w:r>
      <w:r w:rsidRPr="00E57D53">
        <w:rPr>
          <w:rFonts w:cs="Arial" w:hint="cs"/>
          <w:sz w:val="20"/>
          <w:szCs w:val="20"/>
          <w:rtl/>
        </w:rPr>
        <w:t>השליא</w:t>
      </w:r>
      <w:r w:rsidRPr="00E57D53">
        <w:rPr>
          <w:rFonts w:cs="Arial"/>
          <w:sz w:val="20"/>
          <w:szCs w:val="20"/>
          <w:rtl/>
        </w:rPr>
        <w:t xml:space="preserve"> </w:t>
      </w:r>
      <w:r w:rsidRPr="00E57D53">
        <w:rPr>
          <w:rFonts w:cs="Arial" w:hint="cs"/>
          <w:sz w:val="20"/>
          <w:szCs w:val="20"/>
          <w:rtl/>
        </w:rPr>
        <w:t>בו</w:t>
      </w:r>
      <w:r>
        <w:rPr>
          <w:rFonts w:cs="Arial" w:hint="cs"/>
          <w:sz w:val="20"/>
          <w:szCs w:val="20"/>
          <w:rtl/>
        </w:rPr>
        <w:t>ו</w:t>
      </w:r>
      <w:r w:rsidRPr="00E57D53">
        <w:rPr>
          <w:rFonts w:cs="Arial" w:hint="cs"/>
          <w:sz w:val="20"/>
          <w:szCs w:val="20"/>
          <w:rtl/>
        </w:rPr>
        <w:t>לד</w:t>
      </w:r>
      <w:r w:rsidRPr="00E57D53">
        <w:rPr>
          <w:rFonts w:cs="Arial"/>
          <w:sz w:val="20"/>
          <w:szCs w:val="20"/>
          <w:rtl/>
        </w:rPr>
        <w:t xml:space="preserve"> </w:t>
      </w:r>
      <w:r w:rsidRPr="00E57D53">
        <w:rPr>
          <w:rFonts w:cs="Arial" w:hint="cs"/>
          <w:sz w:val="20"/>
          <w:szCs w:val="20"/>
          <w:rtl/>
        </w:rPr>
        <w:t>עד</w:t>
      </w:r>
      <w:r w:rsidRPr="00E57D53">
        <w:rPr>
          <w:rFonts w:cs="Arial"/>
          <w:sz w:val="20"/>
          <w:szCs w:val="20"/>
          <w:rtl/>
        </w:rPr>
        <w:t xml:space="preserve"> </w:t>
      </w:r>
      <w:r w:rsidRPr="00E57D53">
        <w:rPr>
          <w:rFonts w:cs="Arial" w:hint="cs"/>
          <w:sz w:val="20"/>
          <w:szCs w:val="20"/>
          <w:rtl/>
        </w:rPr>
        <w:t>כ</w:t>
      </w:r>
      <w:r w:rsidRPr="00E57D53">
        <w:rPr>
          <w:rFonts w:cs="Arial"/>
          <w:sz w:val="20"/>
          <w:szCs w:val="20"/>
          <w:rtl/>
        </w:rPr>
        <w:t>"</w:t>
      </w:r>
      <w:r w:rsidRPr="00E57D53">
        <w:rPr>
          <w:rFonts w:cs="Arial" w:hint="cs"/>
          <w:sz w:val="20"/>
          <w:szCs w:val="20"/>
          <w:rtl/>
        </w:rPr>
        <w:t>ג</w:t>
      </w:r>
      <w:r w:rsidRPr="00E57D53">
        <w:rPr>
          <w:rFonts w:cs="Arial"/>
          <w:sz w:val="20"/>
          <w:szCs w:val="20"/>
          <w:rtl/>
        </w:rPr>
        <w:t xml:space="preserve"> </w:t>
      </w:r>
      <w:r w:rsidRPr="00E57D53">
        <w:rPr>
          <w:rFonts w:cs="Arial" w:hint="cs"/>
          <w:sz w:val="20"/>
          <w:szCs w:val="20"/>
          <w:rtl/>
        </w:rPr>
        <w:t>ימים</w:t>
      </w:r>
      <w:r w:rsidRPr="00E57D53">
        <w:rPr>
          <w:rFonts w:cs="Arial"/>
          <w:sz w:val="20"/>
          <w:szCs w:val="20"/>
          <w:rtl/>
        </w:rPr>
        <w:t xml:space="preserve">. </w:t>
      </w:r>
      <w:r w:rsidRPr="00E57D53">
        <w:rPr>
          <w:rFonts w:cs="Arial" w:hint="cs"/>
          <w:sz w:val="20"/>
          <w:szCs w:val="20"/>
          <w:rtl/>
        </w:rPr>
        <w:t>אמר</w:t>
      </w:r>
      <w:r w:rsidRPr="00E57D53">
        <w:rPr>
          <w:rFonts w:cs="Arial"/>
          <w:sz w:val="20"/>
          <w:szCs w:val="20"/>
          <w:rtl/>
        </w:rPr>
        <w:t xml:space="preserve"> </w:t>
      </w:r>
      <w:r w:rsidRPr="00E57D53">
        <w:rPr>
          <w:rFonts w:cs="Arial" w:hint="cs"/>
          <w:sz w:val="20"/>
          <w:szCs w:val="20"/>
          <w:rtl/>
        </w:rPr>
        <w:t>ליה</w:t>
      </w:r>
      <w:r w:rsidRPr="00E57D53">
        <w:rPr>
          <w:rFonts w:cs="Arial"/>
          <w:sz w:val="20"/>
          <w:szCs w:val="20"/>
          <w:rtl/>
        </w:rPr>
        <w:t xml:space="preserve"> </w:t>
      </w:r>
      <w:r w:rsidRPr="00E57D53">
        <w:rPr>
          <w:rFonts w:cs="Arial" w:hint="cs"/>
          <w:sz w:val="20"/>
          <w:szCs w:val="20"/>
          <w:rtl/>
        </w:rPr>
        <w:t>רב</w:t>
      </w:r>
      <w:r w:rsidRPr="00E57D53">
        <w:rPr>
          <w:rFonts w:cs="Arial"/>
          <w:sz w:val="20"/>
          <w:szCs w:val="20"/>
          <w:rtl/>
        </w:rPr>
        <w:t xml:space="preserve"> </w:t>
      </w:r>
      <w:r w:rsidRPr="00E57D53">
        <w:rPr>
          <w:rFonts w:cs="Arial" w:hint="cs"/>
          <w:sz w:val="20"/>
          <w:szCs w:val="20"/>
          <w:rtl/>
        </w:rPr>
        <w:t>יוסף</w:t>
      </w:r>
      <w:r w:rsidRPr="00E57D53">
        <w:rPr>
          <w:rFonts w:cs="Arial"/>
          <w:sz w:val="20"/>
          <w:szCs w:val="20"/>
          <w:rtl/>
        </w:rPr>
        <w:t xml:space="preserve"> - </w:t>
      </w:r>
      <w:r w:rsidRPr="00E57D53">
        <w:rPr>
          <w:rFonts w:cs="Arial" w:hint="cs"/>
          <w:sz w:val="20"/>
          <w:szCs w:val="20"/>
          <w:rtl/>
        </w:rPr>
        <w:t>עד</w:t>
      </w:r>
      <w:r w:rsidRPr="00E57D53">
        <w:rPr>
          <w:rFonts w:cs="Arial"/>
          <w:sz w:val="20"/>
          <w:szCs w:val="20"/>
          <w:rtl/>
        </w:rPr>
        <w:t xml:space="preserve"> </w:t>
      </w:r>
      <w:r w:rsidRPr="00E57D53">
        <w:rPr>
          <w:rFonts w:cs="Arial" w:hint="cs"/>
          <w:sz w:val="20"/>
          <w:szCs w:val="20"/>
          <w:rtl/>
        </w:rPr>
        <w:t>כ</w:t>
      </w:r>
      <w:r w:rsidRPr="00E57D53">
        <w:rPr>
          <w:rFonts w:cs="Arial"/>
          <w:sz w:val="20"/>
          <w:szCs w:val="20"/>
          <w:rtl/>
        </w:rPr>
        <w:t>"</w:t>
      </w:r>
      <w:r w:rsidRPr="00E57D53">
        <w:rPr>
          <w:rFonts w:cs="Arial" w:hint="cs"/>
          <w:sz w:val="20"/>
          <w:szCs w:val="20"/>
          <w:rtl/>
        </w:rPr>
        <w:t>ד</w:t>
      </w:r>
      <w:r w:rsidRPr="00E57D53">
        <w:rPr>
          <w:rFonts w:cs="Arial"/>
          <w:sz w:val="20"/>
          <w:szCs w:val="20"/>
          <w:rtl/>
        </w:rPr>
        <w:t xml:space="preserve"> </w:t>
      </w:r>
      <w:r w:rsidRPr="00E57D53">
        <w:rPr>
          <w:rFonts w:cs="Arial" w:hint="cs"/>
          <w:sz w:val="20"/>
          <w:szCs w:val="20"/>
          <w:rtl/>
        </w:rPr>
        <w:t>אמרת</w:t>
      </w:r>
      <w:r w:rsidRPr="00E57D53">
        <w:rPr>
          <w:rFonts w:cs="Arial"/>
          <w:sz w:val="20"/>
          <w:szCs w:val="20"/>
          <w:rtl/>
        </w:rPr>
        <w:t xml:space="preserve"> </w:t>
      </w:r>
      <w:r w:rsidRPr="00E57D53">
        <w:rPr>
          <w:rFonts w:cs="Arial" w:hint="cs"/>
          <w:sz w:val="20"/>
          <w:szCs w:val="20"/>
          <w:rtl/>
        </w:rPr>
        <w:t>לן</w:t>
      </w:r>
      <w:r>
        <w:rPr>
          <w:rFonts w:cs="Arial" w:hint="cs"/>
          <w:sz w:val="20"/>
          <w:szCs w:val="20"/>
          <w:rtl/>
        </w:rPr>
        <w:t>".</w:t>
      </w:r>
    </w:p>
    <w:p w:rsidR="00620060" w:rsidRDefault="00620060" w:rsidP="00620060">
      <w:pPr>
        <w:rPr>
          <w:sz w:val="20"/>
          <w:szCs w:val="20"/>
          <w:rtl/>
        </w:rPr>
      </w:pPr>
      <w:r>
        <w:rPr>
          <w:rFonts w:hint="cs"/>
          <w:sz w:val="20"/>
          <w:szCs w:val="20"/>
          <w:u w:val="single"/>
          <w:rtl/>
        </w:rPr>
        <w:t>הסבר</w:t>
      </w:r>
      <w:r>
        <w:rPr>
          <w:sz w:val="20"/>
          <w:szCs w:val="20"/>
          <w:u w:val="single"/>
          <w:rtl/>
        </w:rPr>
        <w:br/>
      </w:r>
      <w:r>
        <w:rPr>
          <w:rFonts w:hint="cs"/>
          <w:sz w:val="20"/>
          <w:szCs w:val="20"/>
          <w:rtl/>
        </w:rPr>
        <w:t xml:space="preserve">שליה היוצאת </w:t>
      </w:r>
      <w:r w:rsidRPr="000001BC">
        <w:rPr>
          <w:rFonts w:hint="cs"/>
          <w:sz w:val="20"/>
          <w:szCs w:val="20"/>
          <w:rtl/>
        </w:rPr>
        <w:t>לאחר וולד</w:t>
      </w:r>
      <w:r>
        <w:rPr>
          <w:rFonts w:hint="cs"/>
          <w:sz w:val="20"/>
          <w:szCs w:val="20"/>
          <w:rtl/>
        </w:rPr>
        <w:t xml:space="preserve"> אינה מטמאה, ואין חוששים לומר שמא בשליה יש וולד, אלא אומרים שהשליה היא שלייתו של הוולד שיצא בתחילה.</w:t>
      </w:r>
    </w:p>
    <w:p w:rsidR="00620060" w:rsidRDefault="00620060" w:rsidP="00620060">
      <w:pPr>
        <w:rPr>
          <w:sz w:val="20"/>
          <w:szCs w:val="20"/>
          <w:rtl/>
        </w:rPr>
      </w:pPr>
      <w:r w:rsidRPr="00E57D53">
        <w:rPr>
          <w:rFonts w:hint="cs"/>
          <w:sz w:val="20"/>
          <w:szCs w:val="20"/>
          <w:u w:val="single"/>
          <w:rtl/>
        </w:rPr>
        <w:t>עד כמה ימים תולים בוולד?</w:t>
      </w:r>
      <w:r>
        <w:rPr>
          <w:rFonts w:hint="cs"/>
          <w:sz w:val="20"/>
          <w:szCs w:val="20"/>
          <w:u w:val="single"/>
          <w:rtl/>
        </w:rPr>
        <w:br/>
      </w:r>
      <w:r>
        <w:rPr>
          <w:rFonts w:hint="cs"/>
          <w:sz w:val="20"/>
          <w:szCs w:val="20"/>
          <w:rtl/>
        </w:rPr>
        <w:t xml:space="preserve">א. </w:t>
      </w:r>
      <w:r w:rsidRPr="00E57D53">
        <w:rPr>
          <w:rFonts w:hint="cs"/>
          <w:b/>
          <w:bCs/>
          <w:sz w:val="20"/>
          <w:szCs w:val="20"/>
          <w:rtl/>
        </w:rPr>
        <w:t>רשב"א</w:t>
      </w:r>
      <w:r>
        <w:rPr>
          <w:rFonts w:hint="cs"/>
          <w:sz w:val="20"/>
          <w:szCs w:val="20"/>
          <w:rtl/>
        </w:rPr>
        <w:t xml:space="preserve"> ורוב הראשונים </w:t>
      </w:r>
      <w:r>
        <w:rPr>
          <w:sz w:val="20"/>
          <w:szCs w:val="20"/>
          <w:rtl/>
        </w:rPr>
        <w:t>–</w:t>
      </w:r>
      <w:r>
        <w:rPr>
          <w:rFonts w:hint="cs"/>
          <w:sz w:val="20"/>
          <w:szCs w:val="20"/>
          <w:rtl/>
        </w:rPr>
        <w:t xml:space="preserve"> עד כג' יום תולים בוולד, כאמור בגמרא.</w:t>
      </w:r>
      <w:r>
        <w:rPr>
          <w:sz w:val="20"/>
          <w:szCs w:val="20"/>
          <w:rtl/>
        </w:rPr>
        <w:br/>
      </w:r>
      <w:r>
        <w:rPr>
          <w:rFonts w:hint="cs"/>
          <w:sz w:val="20"/>
          <w:szCs w:val="20"/>
          <w:rtl/>
        </w:rPr>
        <w:t xml:space="preserve">ב. </w:t>
      </w:r>
      <w:r w:rsidRPr="00E57D53">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תולים בשליה אפילו אחר כג' יום.</w:t>
      </w:r>
      <w:r>
        <w:rPr>
          <w:sz w:val="20"/>
          <w:szCs w:val="20"/>
          <w:rtl/>
        </w:rPr>
        <w:br/>
      </w:r>
      <w:r>
        <w:rPr>
          <w:rFonts w:hint="cs"/>
          <w:sz w:val="20"/>
          <w:szCs w:val="20"/>
          <w:rtl/>
        </w:rPr>
        <w:t xml:space="preserve">מסביר </w:t>
      </w:r>
      <w:r w:rsidRPr="00E57D53">
        <w:rPr>
          <w:rFonts w:hint="cs"/>
          <w:b/>
          <w:bCs/>
          <w:sz w:val="20"/>
          <w:szCs w:val="20"/>
          <w:rtl/>
        </w:rPr>
        <w:t>הבית יוסף</w:t>
      </w:r>
      <w:r>
        <w:rPr>
          <w:rFonts w:hint="cs"/>
          <w:sz w:val="20"/>
          <w:szCs w:val="20"/>
          <w:rtl/>
        </w:rPr>
        <w:t xml:space="preserve"> </w:t>
      </w:r>
      <w:r>
        <w:rPr>
          <w:sz w:val="20"/>
          <w:szCs w:val="20"/>
          <w:rtl/>
        </w:rPr>
        <w:t>–</w:t>
      </w:r>
      <w:r>
        <w:rPr>
          <w:rFonts w:hint="cs"/>
          <w:sz w:val="20"/>
          <w:szCs w:val="20"/>
          <w:rtl/>
        </w:rPr>
        <w:t xml:space="preserve"> כוונת הרמב"ם לומר שמונים גם את יום יציאת השליה, וממנו הוי כג' יום.</w:t>
      </w:r>
      <w:r>
        <w:rPr>
          <w:sz w:val="20"/>
          <w:szCs w:val="20"/>
          <w:rtl/>
        </w:rPr>
        <w:br/>
      </w:r>
      <w:r w:rsidRPr="00E57D53">
        <w:rPr>
          <w:rFonts w:hint="cs"/>
          <w:b/>
          <w:bCs/>
          <w:sz w:val="20"/>
          <w:szCs w:val="20"/>
          <w:rtl/>
        </w:rPr>
        <w:t xml:space="preserve">טעם </w:t>
      </w:r>
      <w:r>
        <w:rPr>
          <w:sz w:val="20"/>
          <w:szCs w:val="20"/>
          <w:rtl/>
        </w:rPr>
        <w:t>–</w:t>
      </w:r>
      <w:r>
        <w:rPr>
          <w:rFonts w:hint="cs"/>
          <w:sz w:val="20"/>
          <w:szCs w:val="20"/>
          <w:rtl/>
        </w:rPr>
        <w:t xml:space="preserve"> דברי רב יוסף שהעיר "עד כד' אמרת לן" אמת, וכשהורה להם רבב"ח כד' מנה את יום יציאת השליה.</w:t>
      </w:r>
    </w:p>
    <w:p w:rsidR="00620060" w:rsidRDefault="00620060" w:rsidP="00620060">
      <w:pPr>
        <w:rPr>
          <w:sz w:val="20"/>
          <w:szCs w:val="20"/>
          <w:rtl/>
        </w:rPr>
      </w:pPr>
      <w:r>
        <w:rPr>
          <w:rFonts w:hint="cs"/>
          <w:b/>
          <w:bCs/>
          <w:sz w:val="20"/>
          <w:szCs w:val="20"/>
          <w:rtl/>
        </w:rPr>
        <w:t>סוג הוולד שתולים בו את השליה</w:t>
      </w:r>
      <w:r>
        <w:rPr>
          <w:b/>
          <w:bCs/>
          <w:sz w:val="20"/>
          <w:szCs w:val="20"/>
          <w:rtl/>
        </w:rPr>
        <w:br/>
      </w:r>
      <w:r>
        <w:rPr>
          <w:rFonts w:hint="cs"/>
          <w:b/>
          <w:bCs/>
          <w:sz w:val="20"/>
          <w:szCs w:val="20"/>
          <w:rtl/>
        </w:rPr>
        <w:t xml:space="preserve">גמרא </w:t>
      </w:r>
      <w:r>
        <w:rPr>
          <w:rFonts w:hint="cs"/>
          <w:sz w:val="20"/>
          <w:szCs w:val="20"/>
          <w:rtl/>
        </w:rPr>
        <w:t>(שם, כו:) "</w:t>
      </w:r>
      <w:r w:rsidRPr="000F442C">
        <w:rPr>
          <w:rFonts w:cs="Arial" w:hint="cs"/>
          <w:sz w:val="20"/>
          <w:szCs w:val="20"/>
          <w:rtl/>
        </w:rPr>
        <w:t>אמר</w:t>
      </w:r>
      <w:r w:rsidRPr="000F442C">
        <w:rPr>
          <w:rFonts w:cs="Arial"/>
          <w:sz w:val="20"/>
          <w:szCs w:val="20"/>
          <w:rtl/>
        </w:rPr>
        <w:t xml:space="preserve"> </w:t>
      </w:r>
      <w:r w:rsidRPr="000F442C">
        <w:rPr>
          <w:rFonts w:cs="Arial" w:hint="cs"/>
          <w:sz w:val="20"/>
          <w:szCs w:val="20"/>
          <w:rtl/>
        </w:rPr>
        <w:t>רב</w:t>
      </w:r>
      <w:r w:rsidRPr="000F442C">
        <w:rPr>
          <w:rFonts w:cs="Arial"/>
          <w:sz w:val="20"/>
          <w:szCs w:val="20"/>
          <w:rtl/>
        </w:rPr>
        <w:t xml:space="preserve">: </w:t>
      </w:r>
      <w:r w:rsidRPr="000F442C">
        <w:rPr>
          <w:rFonts w:cs="Arial" w:hint="cs"/>
          <w:sz w:val="20"/>
          <w:szCs w:val="20"/>
          <w:rtl/>
        </w:rPr>
        <w:t>אין</w:t>
      </w:r>
      <w:r w:rsidRPr="000F442C">
        <w:rPr>
          <w:rFonts w:cs="Arial"/>
          <w:sz w:val="20"/>
          <w:szCs w:val="20"/>
          <w:rtl/>
        </w:rPr>
        <w:t xml:space="preserve"> </w:t>
      </w:r>
      <w:r w:rsidRPr="000F442C">
        <w:rPr>
          <w:rFonts w:cs="Arial" w:hint="cs"/>
          <w:sz w:val="20"/>
          <w:szCs w:val="20"/>
          <w:rtl/>
        </w:rPr>
        <w:t>תולין</w:t>
      </w:r>
      <w:r w:rsidRPr="000F442C">
        <w:rPr>
          <w:rFonts w:cs="Arial"/>
          <w:sz w:val="20"/>
          <w:szCs w:val="20"/>
          <w:rtl/>
        </w:rPr>
        <w:t xml:space="preserve"> </w:t>
      </w:r>
      <w:r w:rsidRPr="000F442C">
        <w:rPr>
          <w:rFonts w:cs="Arial" w:hint="cs"/>
          <w:sz w:val="20"/>
          <w:szCs w:val="20"/>
          <w:rtl/>
        </w:rPr>
        <w:t>את</w:t>
      </w:r>
      <w:r w:rsidRPr="000F442C">
        <w:rPr>
          <w:rFonts w:cs="Arial"/>
          <w:sz w:val="20"/>
          <w:szCs w:val="20"/>
          <w:rtl/>
        </w:rPr>
        <w:t xml:space="preserve"> </w:t>
      </w:r>
      <w:r w:rsidRPr="000F442C">
        <w:rPr>
          <w:rFonts w:cs="Arial" w:hint="cs"/>
          <w:sz w:val="20"/>
          <w:szCs w:val="20"/>
          <w:rtl/>
        </w:rPr>
        <w:t>השליא</w:t>
      </w:r>
      <w:r w:rsidRPr="000F442C">
        <w:rPr>
          <w:rFonts w:cs="Arial"/>
          <w:sz w:val="20"/>
          <w:szCs w:val="20"/>
          <w:rtl/>
        </w:rPr>
        <w:t xml:space="preserve"> </w:t>
      </w:r>
      <w:r w:rsidRPr="000F442C">
        <w:rPr>
          <w:rFonts w:cs="Arial" w:hint="cs"/>
          <w:sz w:val="20"/>
          <w:szCs w:val="20"/>
          <w:rtl/>
        </w:rPr>
        <w:t>אלא</w:t>
      </w:r>
      <w:r w:rsidRPr="000F442C">
        <w:rPr>
          <w:rFonts w:cs="Arial"/>
          <w:sz w:val="20"/>
          <w:szCs w:val="20"/>
          <w:rtl/>
        </w:rPr>
        <w:t xml:space="preserve"> </w:t>
      </w:r>
      <w:r w:rsidRPr="000F442C">
        <w:rPr>
          <w:rFonts w:cs="Arial" w:hint="cs"/>
          <w:sz w:val="20"/>
          <w:szCs w:val="20"/>
          <w:rtl/>
        </w:rPr>
        <w:t>בדבר</w:t>
      </w:r>
      <w:r w:rsidRPr="000F442C">
        <w:rPr>
          <w:rFonts w:cs="Arial"/>
          <w:sz w:val="20"/>
          <w:szCs w:val="20"/>
          <w:rtl/>
        </w:rPr>
        <w:t xml:space="preserve"> </w:t>
      </w:r>
      <w:r w:rsidRPr="000F442C">
        <w:rPr>
          <w:rFonts w:cs="Arial" w:hint="cs"/>
          <w:sz w:val="20"/>
          <w:szCs w:val="20"/>
          <w:rtl/>
        </w:rPr>
        <w:t>של</w:t>
      </w:r>
      <w:r w:rsidRPr="000F442C">
        <w:rPr>
          <w:rFonts w:cs="Arial"/>
          <w:sz w:val="20"/>
          <w:szCs w:val="20"/>
          <w:rtl/>
        </w:rPr>
        <w:t xml:space="preserve"> </w:t>
      </w:r>
      <w:r w:rsidRPr="000F442C">
        <w:rPr>
          <w:rFonts w:cs="Arial" w:hint="cs"/>
          <w:sz w:val="20"/>
          <w:szCs w:val="20"/>
          <w:rtl/>
        </w:rPr>
        <w:t>קיימא</w:t>
      </w:r>
      <w:r>
        <w:rPr>
          <w:rFonts w:cs="Arial" w:hint="cs"/>
          <w:sz w:val="20"/>
          <w:szCs w:val="20"/>
          <w:rtl/>
        </w:rPr>
        <w:t>".</w:t>
      </w:r>
    </w:p>
    <w:p w:rsidR="00620060" w:rsidRDefault="00620060" w:rsidP="00620060">
      <w:pPr>
        <w:rPr>
          <w:sz w:val="20"/>
          <w:szCs w:val="20"/>
          <w:rtl/>
        </w:rPr>
      </w:pPr>
      <w:r>
        <w:rPr>
          <w:rFonts w:hint="cs"/>
          <w:sz w:val="20"/>
          <w:szCs w:val="20"/>
          <w:u w:val="single"/>
          <w:rtl/>
        </w:rPr>
        <w:t>שיטות הראשונים</w:t>
      </w:r>
      <w:r>
        <w:rPr>
          <w:rStyle w:val="a5"/>
          <w:sz w:val="20"/>
          <w:szCs w:val="20"/>
          <w:u w:val="single"/>
          <w:rtl/>
        </w:rPr>
        <w:footnoteReference w:id="425"/>
      </w:r>
      <w:r>
        <w:rPr>
          <w:sz w:val="20"/>
          <w:szCs w:val="20"/>
          <w:u w:val="single"/>
          <w:rtl/>
        </w:rPr>
        <w:br/>
      </w:r>
      <w:r>
        <w:rPr>
          <w:rFonts w:hint="cs"/>
          <w:sz w:val="20"/>
          <w:szCs w:val="20"/>
          <w:rtl/>
        </w:rPr>
        <w:t xml:space="preserve">א. </w:t>
      </w:r>
      <w:r w:rsidRPr="004E20BA">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רק אם הוולד חי ובר קיימא תולים בו את השליה, אך אין תולים את השליה</w:t>
      </w:r>
      <w:r w:rsidRPr="001F63BE">
        <w:rPr>
          <w:rFonts w:hint="cs"/>
          <w:sz w:val="20"/>
          <w:szCs w:val="20"/>
          <w:rtl/>
        </w:rPr>
        <w:t xml:space="preserve"> </w:t>
      </w:r>
      <w:r>
        <w:rPr>
          <w:rFonts w:hint="cs"/>
          <w:sz w:val="20"/>
          <w:szCs w:val="20"/>
          <w:rtl/>
        </w:rPr>
        <w:t xml:space="preserve">בנפל, וכ"פ </w:t>
      </w:r>
      <w:r w:rsidRPr="0088054C">
        <w:rPr>
          <w:rFonts w:hint="cs"/>
          <w:b/>
          <w:bCs/>
          <w:sz w:val="20"/>
          <w:szCs w:val="20"/>
          <w:rtl/>
        </w:rPr>
        <w:t>המחבר</w:t>
      </w:r>
      <w:r>
        <w:rPr>
          <w:rFonts w:hint="cs"/>
          <w:sz w:val="20"/>
          <w:szCs w:val="20"/>
          <w:rtl/>
        </w:rPr>
        <w:t>.</w:t>
      </w:r>
      <w:r>
        <w:rPr>
          <w:sz w:val="20"/>
          <w:szCs w:val="20"/>
          <w:rtl/>
        </w:rPr>
        <w:br/>
      </w:r>
      <w:r w:rsidRPr="00C97DE7">
        <w:rPr>
          <w:rFonts w:hint="cs"/>
          <w:b/>
          <w:bCs/>
          <w:sz w:val="20"/>
          <w:szCs w:val="20"/>
          <w:rtl/>
        </w:rPr>
        <w:lastRenderedPageBreak/>
        <w:t xml:space="preserve">טעם </w:t>
      </w:r>
      <w:r>
        <w:rPr>
          <w:sz w:val="20"/>
          <w:szCs w:val="20"/>
          <w:rtl/>
        </w:rPr>
        <w:t>–</w:t>
      </w:r>
      <w:r>
        <w:rPr>
          <w:rFonts w:hint="cs"/>
          <w:sz w:val="20"/>
          <w:szCs w:val="20"/>
          <w:rtl/>
        </w:rPr>
        <w:t xml:space="preserve"> בר קיימא יכול לקרוע את השליה, נפל אינו יכול לקרוע אותה.</w:t>
      </w:r>
      <w:r>
        <w:rPr>
          <w:sz w:val="20"/>
          <w:szCs w:val="20"/>
          <w:rtl/>
        </w:rPr>
        <w:br/>
      </w:r>
      <w:r>
        <w:rPr>
          <w:rFonts w:hint="cs"/>
          <w:sz w:val="20"/>
          <w:szCs w:val="20"/>
          <w:rtl/>
        </w:rPr>
        <w:t xml:space="preserve">ב. </w:t>
      </w:r>
      <w:r w:rsidRPr="004E20BA">
        <w:rPr>
          <w:rFonts w:hint="cs"/>
          <w:b/>
          <w:bCs/>
          <w:sz w:val="20"/>
          <w:szCs w:val="20"/>
          <w:rtl/>
        </w:rPr>
        <w:t>רש"י</w:t>
      </w:r>
      <w:r>
        <w:rPr>
          <w:rFonts w:hint="cs"/>
          <w:sz w:val="20"/>
          <w:szCs w:val="20"/>
          <w:rtl/>
        </w:rPr>
        <w:t xml:space="preserve"> </w:t>
      </w:r>
      <w:r>
        <w:rPr>
          <w:sz w:val="20"/>
          <w:szCs w:val="20"/>
          <w:rtl/>
        </w:rPr>
        <w:t>–</w:t>
      </w:r>
      <w:r>
        <w:rPr>
          <w:rFonts w:hint="cs"/>
          <w:sz w:val="20"/>
          <w:szCs w:val="20"/>
          <w:rtl/>
        </w:rPr>
        <w:t xml:space="preserve"> תולים את השליה גם בנפל, ובלבד שאם היו כלים חודשיו היה בר קיימא, לאפוקי גוף אטום וכדומה.</w:t>
      </w:r>
    </w:p>
    <w:p w:rsidR="00620060" w:rsidRPr="00360830" w:rsidRDefault="00620060" w:rsidP="00620060">
      <w:pPr>
        <w:rPr>
          <w:sz w:val="20"/>
          <w:szCs w:val="20"/>
          <w:rtl/>
        </w:rPr>
      </w:pPr>
      <w:r>
        <w:rPr>
          <w:rFonts w:hint="cs"/>
          <w:b/>
          <w:bCs/>
          <w:sz w:val="20"/>
          <w:szCs w:val="20"/>
          <w:rtl/>
        </w:rPr>
        <w:t>ימי טומאת מפלת שליה</w:t>
      </w:r>
      <w:r>
        <w:rPr>
          <w:b/>
          <w:bCs/>
          <w:sz w:val="20"/>
          <w:szCs w:val="20"/>
          <w:rtl/>
        </w:rPr>
        <w:br/>
      </w:r>
      <w:r>
        <w:rPr>
          <w:rFonts w:hint="cs"/>
          <w:b/>
          <w:bCs/>
          <w:sz w:val="20"/>
          <w:szCs w:val="20"/>
          <w:rtl/>
        </w:rPr>
        <w:t xml:space="preserve">משנה </w:t>
      </w:r>
      <w:r>
        <w:rPr>
          <w:rFonts w:hint="cs"/>
          <w:sz w:val="20"/>
          <w:szCs w:val="20"/>
          <w:rtl/>
        </w:rPr>
        <w:t>נידה (כד:) "</w:t>
      </w:r>
      <w:r w:rsidRPr="00360830">
        <w:rPr>
          <w:rFonts w:cs="Arial" w:hint="cs"/>
          <w:sz w:val="20"/>
          <w:szCs w:val="20"/>
          <w:rtl/>
        </w:rPr>
        <w:t>המפלת</w:t>
      </w:r>
      <w:r w:rsidRPr="00360830">
        <w:rPr>
          <w:rFonts w:cs="Arial"/>
          <w:sz w:val="20"/>
          <w:szCs w:val="20"/>
          <w:rtl/>
        </w:rPr>
        <w:t xml:space="preserve"> </w:t>
      </w:r>
      <w:r w:rsidRPr="00360830">
        <w:rPr>
          <w:rFonts w:cs="Arial" w:hint="cs"/>
          <w:sz w:val="20"/>
          <w:szCs w:val="20"/>
          <w:rtl/>
        </w:rPr>
        <w:t>סנדל</w:t>
      </w:r>
      <w:r w:rsidRPr="00360830">
        <w:rPr>
          <w:rFonts w:cs="Arial"/>
          <w:sz w:val="20"/>
          <w:szCs w:val="20"/>
          <w:rtl/>
        </w:rPr>
        <w:t xml:space="preserve"> </w:t>
      </w:r>
      <w:r w:rsidRPr="00360830">
        <w:rPr>
          <w:rFonts w:cs="Arial" w:hint="cs"/>
          <w:sz w:val="20"/>
          <w:szCs w:val="20"/>
          <w:rtl/>
        </w:rPr>
        <w:t>או</w:t>
      </w:r>
      <w:r w:rsidRPr="00360830">
        <w:rPr>
          <w:rFonts w:cs="Arial"/>
          <w:sz w:val="20"/>
          <w:szCs w:val="20"/>
          <w:rtl/>
        </w:rPr>
        <w:t xml:space="preserve"> </w:t>
      </w:r>
      <w:r w:rsidRPr="00360830">
        <w:rPr>
          <w:rFonts w:cs="Arial" w:hint="cs"/>
          <w:sz w:val="20"/>
          <w:szCs w:val="20"/>
          <w:rtl/>
        </w:rPr>
        <w:t>שליא</w:t>
      </w:r>
      <w:r w:rsidRPr="00360830">
        <w:rPr>
          <w:rFonts w:cs="Arial"/>
          <w:sz w:val="20"/>
          <w:szCs w:val="20"/>
          <w:rtl/>
        </w:rPr>
        <w:t xml:space="preserve"> - </w:t>
      </w:r>
      <w:r w:rsidRPr="00360830">
        <w:rPr>
          <w:rFonts w:cs="Arial" w:hint="cs"/>
          <w:sz w:val="20"/>
          <w:szCs w:val="20"/>
          <w:rtl/>
        </w:rPr>
        <w:t>תשב</w:t>
      </w:r>
      <w:r w:rsidRPr="00360830">
        <w:rPr>
          <w:rFonts w:cs="Arial"/>
          <w:sz w:val="20"/>
          <w:szCs w:val="20"/>
          <w:rtl/>
        </w:rPr>
        <w:t xml:space="preserve"> </w:t>
      </w:r>
      <w:r w:rsidRPr="00360830">
        <w:rPr>
          <w:rFonts w:cs="Arial" w:hint="cs"/>
          <w:sz w:val="20"/>
          <w:szCs w:val="20"/>
          <w:rtl/>
        </w:rPr>
        <w:t>לזכר</w:t>
      </w:r>
      <w:r w:rsidRPr="00360830">
        <w:rPr>
          <w:rFonts w:cs="Arial"/>
          <w:sz w:val="20"/>
          <w:szCs w:val="20"/>
          <w:rtl/>
        </w:rPr>
        <w:t xml:space="preserve"> </w:t>
      </w:r>
      <w:r w:rsidRPr="00360830">
        <w:rPr>
          <w:rFonts w:cs="Arial" w:hint="cs"/>
          <w:sz w:val="20"/>
          <w:szCs w:val="20"/>
          <w:rtl/>
        </w:rPr>
        <w:t>ולנקבה</w:t>
      </w:r>
      <w:r>
        <w:rPr>
          <w:rFonts w:cs="Arial" w:hint="cs"/>
          <w:sz w:val="20"/>
          <w:szCs w:val="20"/>
          <w:rtl/>
        </w:rPr>
        <w:t>".</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Pr>
          <w:rFonts w:hint="cs"/>
          <w:rtl/>
        </w:rPr>
        <w:t>י</w:t>
      </w:r>
      <w:r w:rsidRPr="00360830">
        <w:rPr>
          <w:rFonts w:cs="Arial" w:hint="cs"/>
          <w:sz w:val="20"/>
          <w:szCs w:val="20"/>
          <w:rtl/>
        </w:rPr>
        <w:t>לדה</w:t>
      </w:r>
      <w:r w:rsidRPr="00360830">
        <w:rPr>
          <w:rFonts w:cs="Arial"/>
          <w:sz w:val="20"/>
          <w:szCs w:val="20"/>
          <w:rtl/>
        </w:rPr>
        <w:t xml:space="preserve"> </w:t>
      </w:r>
      <w:r w:rsidRPr="00360830">
        <w:rPr>
          <w:rFonts w:cs="Arial" w:hint="cs"/>
          <w:sz w:val="20"/>
          <w:szCs w:val="20"/>
          <w:rtl/>
        </w:rPr>
        <w:t>ולד</w:t>
      </w:r>
      <w:r w:rsidRPr="00360830">
        <w:rPr>
          <w:rFonts w:cs="Arial"/>
          <w:sz w:val="20"/>
          <w:szCs w:val="20"/>
          <w:rtl/>
        </w:rPr>
        <w:t xml:space="preserve"> </w:t>
      </w:r>
      <w:r w:rsidRPr="00360830">
        <w:rPr>
          <w:rFonts w:cs="Arial" w:hint="cs"/>
          <w:sz w:val="20"/>
          <w:szCs w:val="20"/>
          <w:rtl/>
        </w:rPr>
        <w:t>חי</w:t>
      </w:r>
      <w:r w:rsidRPr="00360830">
        <w:rPr>
          <w:rFonts w:cs="Arial"/>
          <w:sz w:val="20"/>
          <w:szCs w:val="20"/>
          <w:rtl/>
        </w:rPr>
        <w:t xml:space="preserve"> </w:t>
      </w:r>
      <w:r w:rsidRPr="00360830">
        <w:rPr>
          <w:rFonts w:cs="Arial" w:hint="cs"/>
          <w:sz w:val="20"/>
          <w:szCs w:val="20"/>
          <w:rtl/>
        </w:rPr>
        <w:t>ואח</w:t>
      </w:r>
      <w:r>
        <w:rPr>
          <w:rFonts w:cs="Arial" w:hint="cs"/>
          <w:sz w:val="20"/>
          <w:szCs w:val="20"/>
          <w:rtl/>
        </w:rPr>
        <w:t xml:space="preserve">ר </w:t>
      </w:r>
      <w:r w:rsidRPr="00360830">
        <w:rPr>
          <w:rFonts w:cs="Arial" w:hint="cs"/>
          <w:sz w:val="20"/>
          <w:szCs w:val="20"/>
          <w:rtl/>
        </w:rPr>
        <w:t>כ</w:t>
      </w:r>
      <w:r>
        <w:rPr>
          <w:rFonts w:cs="Arial" w:hint="cs"/>
          <w:sz w:val="20"/>
          <w:szCs w:val="20"/>
          <w:rtl/>
        </w:rPr>
        <w:t>ך</w:t>
      </w:r>
      <w:r w:rsidRPr="00360830">
        <w:rPr>
          <w:rFonts w:cs="Arial"/>
          <w:sz w:val="20"/>
          <w:szCs w:val="20"/>
          <w:rtl/>
        </w:rPr>
        <w:t xml:space="preserve"> </w:t>
      </w:r>
      <w:r w:rsidRPr="00360830">
        <w:rPr>
          <w:rFonts w:cs="Arial" w:hint="cs"/>
          <w:sz w:val="20"/>
          <w:szCs w:val="20"/>
          <w:rtl/>
        </w:rPr>
        <w:t>הפילה</w:t>
      </w:r>
      <w:r w:rsidRPr="00360830">
        <w:rPr>
          <w:rFonts w:cs="Arial"/>
          <w:sz w:val="20"/>
          <w:szCs w:val="20"/>
          <w:rtl/>
        </w:rPr>
        <w:t xml:space="preserve"> </w:t>
      </w:r>
      <w:r w:rsidRPr="00360830">
        <w:rPr>
          <w:rFonts w:cs="Arial" w:hint="cs"/>
          <w:sz w:val="20"/>
          <w:szCs w:val="20"/>
          <w:rtl/>
        </w:rPr>
        <w:t>שליא</w:t>
      </w:r>
      <w:r w:rsidRPr="00360830">
        <w:rPr>
          <w:rFonts w:cs="Arial"/>
          <w:sz w:val="20"/>
          <w:szCs w:val="20"/>
          <w:rtl/>
        </w:rPr>
        <w:t xml:space="preserve">, </w:t>
      </w:r>
      <w:r w:rsidRPr="00360830">
        <w:rPr>
          <w:rFonts w:cs="Arial" w:hint="cs"/>
          <w:sz w:val="20"/>
          <w:szCs w:val="20"/>
          <w:rtl/>
        </w:rPr>
        <w:t>אינה</w:t>
      </w:r>
      <w:r w:rsidRPr="00360830">
        <w:rPr>
          <w:rFonts w:cs="Arial"/>
          <w:sz w:val="20"/>
          <w:szCs w:val="20"/>
          <w:rtl/>
        </w:rPr>
        <w:t xml:space="preserve"> </w:t>
      </w:r>
      <w:r w:rsidRPr="00360830">
        <w:rPr>
          <w:rFonts w:cs="Arial" w:hint="cs"/>
          <w:sz w:val="20"/>
          <w:szCs w:val="20"/>
          <w:rtl/>
        </w:rPr>
        <w:t>חוששת</w:t>
      </w:r>
      <w:r w:rsidRPr="00360830">
        <w:rPr>
          <w:rFonts w:cs="Arial"/>
          <w:sz w:val="20"/>
          <w:szCs w:val="20"/>
          <w:rtl/>
        </w:rPr>
        <w:t xml:space="preserve"> </w:t>
      </w:r>
      <w:r w:rsidRPr="00360830">
        <w:rPr>
          <w:rFonts w:cs="Arial" w:hint="cs"/>
          <w:sz w:val="20"/>
          <w:szCs w:val="20"/>
          <w:rtl/>
        </w:rPr>
        <w:t>לו</w:t>
      </w:r>
      <w:r>
        <w:rPr>
          <w:rFonts w:cs="Arial" w:hint="cs"/>
          <w:sz w:val="20"/>
          <w:szCs w:val="20"/>
          <w:rtl/>
        </w:rPr>
        <w:t>ו</w:t>
      </w:r>
      <w:r w:rsidRPr="00360830">
        <w:rPr>
          <w:rFonts w:cs="Arial" w:hint="cs"/>
          <w:sz w:val="20"/>
          <w:szCs w:val="20"/>
          <w:rtl/>
        </w:rPr>
        <w:t>לד</w:t>
      </w:r>
      <w:r w:rsidRPr="00360830">
        <w:rPr>
          <w:rFonts w:cs="Arial"/>
          <w:sz w:val="20"/>
          <w:szCs w:val="20"/>
          <w:rtl/>
        </w:rPr>
        <w:t xml:space="preserve"> </w:t>
      </w:r>
      <w:r w:rsidRPr="00360830">
        <w:rPr>
          <w:rFonts w:cs="Arial" w:hint="cs"/>
          <w:sz w:val="20"/>
          <w:szCs w:val="20"/>
          <w:rtl/>
        </w:rPr>
        <w:t>אחר</w:t>
      </w:r>
      <w:r w:rsidRPr="00360830">
        <w:rPr>
          <w:rFonts w:cs="Arial"/>
          <w:sz w:val="20"/>
          <w:szCs w:val="20"/>
          <w:rtl/>
        </w:rPr>
        <w:t xml:space="preserve"> </w:t>
      </w:r>
      <w:r w:rsidRPr="00360830">
        <w:rPr>
          <w:rFonts w:cs="Arial" w:hint="cs"/>
          <w:sz w:val="20"/>
          <w:szCs w:val="20"/>
          <w:rtl/>
        </w:rPr>
        <w:t>אלא</w:t>
      </w:r>
      <w:r w:rsidRPr="00360830">
        <w:rPr>
          <w:rFonts w:cs="Arial"/>
          <w:sz w:val="20"/>
          <w:szCs w:val="20"/>
          <w:rtl/>
        </w:rPr>
        <w:t xml:space="preserve"> </w:t>
      </w:r>
      <w:r w:rsidRPr="00360830">
        <w:rPr>
          <w:rFonts w:cs="Arial" w:hint="cs"/>
          <w:sz w:val="20"/>
          <w:szCs w:val="20"/>
          <w:rtl/>
        </w:rPr>
        <w:t>תולה</w:t>
      </w:r>
      <w:r w:rsidRPr="00360830">
        <w:rPr>
          <w:rFonts w:cs="Arial"/>
          <w:sz w:val="20"/>
          <w:szCs w:val="20"/>
          <w:rtl/>
        </w:rPr>
        <w:t xml:space="preserve"> </w:t>
      </w:r>
      <w:r w:rsidRPr="00360830">
        <w:rPr>
          <w:rFonts w:cs="Arial" w:hint="cs"/>
          <w:sz w:val="20"/>
          <w:szCs w:val="20"/>
          <w:rtl/>
        </w:rPr>
        <w:t>אותה</w:t>
      </w:r>
      <w:r w:rsidRPr="00360830">
        <w:rPr>
          <w:rFonts w:cs="Arial"/>
          <w:sz w:val="20"/>
          <w:szCs w:val="20"/>
          <w:rtl/>
        </w:rPr>
        <w:t xml:space="preserve"> </w:t>
      </w:r>
      <w:r w:rsidRPr="00360830">
        <w:rPr>
          <w:rFonts w:cs="Arial" w:hint="cs"/>
          <w:sz w:val="20"/>
          <w:szCs w:val="20"/>
          <w:rtl/>
        </w:rPr>
        <w:t>בו</w:t>
      </w:r>
      <w:r>
        <w:rPr>
          <w:rFonts w:cs="Arial" w:hint="cs"/>
          <w:sz w:val="20"/>
          <w:szCs w:val="20"/>
          <w:rtl/>
        </w:rPr>
        <w:t>ו</w:t>
      </w:r>
      <w:r w:rsidRPr="00360830">
        <w:rPr>
          <w:rFonts w:cs="Arial" w:hint="cs"/>
          <w:sz w:val="20"/>
          <w:szCs w:val="20"/>
          <w:rtl/>
        </w:rPr>
        <w:t>לד</w:t>
      </w:r>
      <w:r w:rsidRPr="00360830">
        <w:rPr>
          <w:rFonts w:cs="Arial"/>
          <w:sz w:val="20"/>
          <w:szCs w:val="20"/>
          <w:rtl/>
        </w:rPr>
        <w:t xml:space="preserve"> </w:t>
      </w:r>
      <w:r w:rsidRPr="00360830">
        <w:rPr>
          <w:rFonts w:cs="Arial" w:hint="cs"/>
          <w:sz w:val="20"/>
          <w:szCs w:val="20"/>
          <w:rtl/>
        </w:rPr>
        <w:t>שילדה</w:t>
      </w:r>
      <w:r w:rsidRPr="00360830">
        <w:rPr>
          <w:rFonts w:cs="Arial"/>
          <w:sz w:val="20"/>
          <w:szCs w:val="20"/>
          <w:rtl/>
        </w:rPr>
        <w:t xml:space="preserve"> </w:t>
      </w:r>
      <w:r w:rsidRPr="00360830">
        <w:rPr>
          <w:rFonts w:cs="Arial" w:hint="cs"/>
          <w:sz w:val="20"/>
          <w:szCs w:val="20"/>
          <w:rtl/>
        </w:rPr>
        <w:t>כבר</w:t>
      </w:r>
      <w:r w:rsidRPr="00360830">
        <w:rPr>
          <w:rFonts w:cs="Arial"/>
          <w:sz w:val="20"/>
          <w:szCs w:val="20"/>
          <w:rtl/>
        </w:rPr>
        <w:t xml:space="preserve">, </w:t>
      </w:r>
      <w:r w:rsidRPr="00360830">
        <w:rPr>
          <w:rFonts w:cs="Arial" w:hint="cs"/>
          <w:sz w:val="20"/>
          <w:szCs w:val="20"/>
          <w:rtl/>
        </w:rPr>
        <w:t>עד</w:t>
      </w:r>
      <w:r w:rsidRPr="00360830">
        <w:rPr>
          <w:rFonts w:cs="Arial"/>
          <w:sz w:val="20"/>
          <w:szCs w:val="20"/>
          <w:rtl/>
        </w:rPr>
        <w:t xml:space="preserve"> </w:t>
      </w:r>
      <w:r w:rsidRPr="00360830">
        <w:rPr>
          <w:rFonts w:cs="Arial" w:hint="cs"/>
          <w:sz w:val="20"/>
          <w:szCs w:val="20"/>
          <w:rtl/>
        </w:rPr>
        <w:t>כ</w:t>
      </w:r>
      <w:r w:rsidRPr="00360830">
        <w:rPr>
          <w:rFonts w:cs="Arial"/>
          <w:sz w:val="20"/>
          <w:szCs w:val="20"/>
          <w:rtl/>
        </w:rPr>
        <w:t>"</w:t>
      </w:r>
      <w:r w:rsidRPr="00360830">
        <w:rPr>
          <w:rFonts w:cs="Arial" w:hint="cs"/>
          <w:sz w:val="20"/>
          <w:szCs w:val="20"/>
          <w:rtl/>
        </w:rPr>
        <w:t>ג</w:t>
      </w:r>
      <w:r w:rsidRPr="00360830">
        <w:rPr>
          <w:rFonts w:cs="Arial"/>
          <w:sz w:val="20"/>
          <w:szCs w:val="20"/>
          <w:rtl/>
        </w:rPr>
        <w:t xml:space="preserve"> </w:t>
      </w:r>
      <w:r w:rsidRPr="00360830">
        <w:rPr>
          <w:rFonts w:cs="Arial" w:hint="cs"/>
          <w:sz w:val="20"/>
          <w:szCs w:val="20"/>
          <w:rtl/>
        </w:rPr>
        <w:t>יום</w:t>
      </w:r>
      <w:r w:rsidRPr="00360830">
        <w:rPr>
          <w:rFonts w:cs="Arial"/>
          <w:sz w:val="20"/>
          <w:szCs w:val="20"/>
          <w:rtl/>
        </w:rPr>
        <w:t xml:space="preserve">; </w:t>
      </w:r>
      <w:r w:rsidRPr="00360830">
        <w:rPr>
          <w:rFonts w:cs="Arial" w:hint="cs"/>
          <w:sz w:val="20"/>
          <w:szCs w:val="20"/>
          <w:rtl/>
        </w:rPr>
        <w:t>אבל</w:t>
      </w:r>
      <w:r w:rsidRPr="00360830">
        <w:rPr>
          <w:rFonts w:cs="Arial"/>
          <w:sz w:val="20"/>
          <w:szCs w:val="20"/>
          <w:rtl/>
        </w:rPr>
        <w:t xml:space="preserve"> </w:t>
      </w:r>
      <w:r w:rsidRPr="00360830">
        <w:rPr>
          <w:rFonts w:cs="Arial" w:hint="cs"/>
          <w:sz w:val="20"/>
          <w:szCs w:val="20"/>
          <w:rtl/>
        </w:rPr>
        <w:t>אם</w:t>
      </w:r>
      <w:r w:rsidRPr="00360830">
        <w:rPr>
          <w:rFonts w:cs="Arial"/>
          <w:sz w:val="20"/>
          <w:szCs w:val="20"/>
          <w:rtl/>
        </w:rPr>
        <w:t xml:space="preserve"> </w:t>
      </w:r>
      <w:r w:rsidRPr="00360830">
        <w:rPr>
          <w:rFonts w:cs="Arial" w:hint="cs"/>
          <w:sz w:val="20"/>
          <w:szCs w:val="20"/>
          <w:rtl/>
        </w:rPr>
        <w:t>הפילה</w:t>
      </w:r>
      <w:r w:rsidRPr="00360830">
        <w:rPr>
          <w:rFonts w:cs="Arial"/>
          <w:sz w:val="20"/>
          <w:szCs w:val="20"/>
          <w:rtl/>
        </w:rPr>
        <w:t xml:space="preserve"> </w:t>
      </w:r>
      <w:r w:rsidRPr="00360830">
        <w:rPr>
          <w:rFonts w:cs="Arial" w:hint="cs"/>
          <w:sz w:val="20"/>
          <w:szCs w:val="20"/>
          <w:rtl/>
        </w:rPr>
        <w:t>נפל</w:t>
      </w:r>
      <w:r w:rsidRPr="00360830">
        <w:rPr>
          <w:rFonts w:cs="Arial"/>
          <w:sz w:val="20"/>
          <w:szCs w:val="20"/>
          <w:rtl/>
        </w:rPr>
        <w:t xml:space="preserve"> </w:t>
      </w:r>
      <w:r w:rsidRPr="00360830">
        <w:rPr>
          <w:rFonts w:cs="Arial" w:hint="cs"/>
          <w:sz w:val="20"/>
          <w:szCs w:val="20"/>
          <w:rtl/>
        </w:rPr>
        <w:t>תחלה</w:t>
      </w:r>
      <w:r w:rsidRPr="00360830">
        <w:rPr>
          <w:rFonts w:cs="Arial"/>
          <w:sz w:val="20"/>
          <w:szCs w:val="20"/>
          <w:rtl/>
        </w:rPr>
        <w:t xml:space="preserve">, </w:t>
      </w:r>
      <w:r w:rsidRPr="00360830">
        <w:rPr>
          <w:rFonts w:cs="Arial" w:hint="cs"/>
          <w:sz w:val="20"/>
          <w:szCs w:val="20"/>
          <w:rtl/>
        </w:rPr>
        <w:t>אין</w:t>
      </w:r>
      <w:r w:rsidRPr="00360830">
        <w:rPr>
          <w:rFonts w:cs="Arial"/>
          <w:sz w:val="20"/>
          <w:szCs w:val="20"/>
          <w:rtl/>
        </w:rPr>
        <w:t xml:space="preserve"> </w:t>
      </w:r>
      <w:r w:rsidRPr="00360830">
        <w:rPr>
          <w:rFonts w:cs="Arial" w:hint="cs"/>
          <w:sz w:val="20"/>
          <w:szCs w:val="20"/>
          <w:rtl/>
        </w:rPr>
        <w:t>תולין</w:t>
      </w:r>
      <w:r w:rsidRPr="00360830">
        <w:rPr>
          <w:rFonts w:cs="Arial"/>
          <w:sz w:val="20"/>
          <w:szCs w:val="20"/>
          <w:rtl/>
        </w:rPr>
        <w:t xml:space="preserve"> </w:t>
      </w:r>
      <w:r w:rsidRPr="00360830">
        <w:rPr>
          <w:rFonts w:cs="Arial" w:hint="cs"/>
          <w:sz w:val="20"/>
          <w:szCs w:val="20"/>
          <w:rtl/>
        </w:rPr>
        <w:t>בו</w:t>
      </w:r>
      <w:r w:rsidRPr="00360830">
        <w:rPr>
          <w:rFonts w:cs="Arial"/>
          <w:sz w:val="20"/>
          <w:szCs w:val="20"/>
          <w:rtl/>
        </w:rPr>
        <w:t xml:space="preserve"> </w:t>
      </w:r>
      <w:r w:rsidRPr="00360830">
        <w:rPr>
          <w:rFonts w:cs="Arial" w:hint="cs"/>
          <w:sz w:val="20"/>
          <w:szCs w:val="20"/>
          <w:rtl/>
        </w:rPr>
        <w:t>השלי</w:t>
      </w:r>
      <w:r>
        <w:rPr>
          <w:rFonts w:cs="Arial" w:hint="cs"/>
          <w:sz w:val="20"/>
          <w:szCs w:val="20"/>
          <w:rtl/>
        </w:rPr>
        <w:t>ה</w:t>
      </w:r>
      <w:r w:rsidRPr="00360830">
        <w:rPr>
          <w:rFonts w:cs="Arial"/>
          <w:sz w:val="20"/>
          <w:szCs w:val="20"/>
          <w:rtl/>
        </w:rPr>
        <w:t xml:space="preserve"> </w:t>
      </w:r>
      <w:r w:rsidRPr="00360830">
        <w:rPr>
          <w:rFonts w:cs="Arial" w:hint="cs"/>
          <w:sz w:val="20"/>
          <w:szCs w:val="20"/>
          <w:rtl/>
        </w:rPr>
        <w:t>שהפילה</w:t>
      </w:r>
      <w:r w:rsidRPr="00360830">
        <w:rPr>
          <w:rFonts w:cs="Arial"/>
          <w:sz w:val="20"/>
          <w:szCs w:val="20"/>
          <w:rtl/>
        </w:rPr>
        <w:t xml:space="preserve"> </w:t>
      </w:r>
      <w:r w:rsidRPr="00360830">
        <w:rPr>
          <w:rFonts w:cs="Arial" w:hint="cs"/>
          <w:sz w:val="20"/>
          <w:szCs w:val="20"/>
          <w:rtl/>
        </w:rPr>
        <w:t>אחר</w:t>
      </w:r>
      <w:r w:rsidRPr="00360830">
        <w:rPr>
          <w:rFonts w:cs="Arial"/>
          <w:sz w:val="20"/>
          <w:szCs w:val="20"/>
          <w:rtl/>
        </w:rPr>
        <w:t xml:space="preserve"> </w:t>
      </w:r>
      <w:r w:rsidRPr="00360830">
        <w:rPr>
          <w:rFonts w:cs="Arial" w:hint="cs"/>
          <w:sz w:val="20"/>
          <w:szCs w:val="20"/>
          <w:rtl/>
        </w:rPr>
        <w:t>כך</w:t>
      </w:r>
      <w:r>
        <w:rPr>
          <w:rFonts w:cs="Arial" w:hint="cs"/>
          <w:sz w:val="20"/>
          <w:szCs w:val="20"/>
          <w:rtl/>
        </w:rPr>
        <w:t>,</w:t>
      </w:r>
      <w:r w:rsidRPr="00360830">
        <w:rPr>
          <w:rFonts w:cs="Arial"/>
          <w:sz w:val="20"/>
          <w:szCs w:val="20"/>
          <w:rtl/>
        </w:rPr>
        <w:t xml:space="preserve"> </w:t>
      </w:r>
      <w:r w:rsidRPr="00360830">
        <w:rPr>
          <w:rFonts w:cs="Arial" w:hint="cs"/>
          <w:sz w:val="20"/>
          <w:szCs w:val="20"/>
          <w:rtl/>
        </w:rPr>
        <w:t>וחוששת</w:t>
      </w:r>
      <w:r w:rsidRPr="00360830">
        <w:rPr>
          <w:rFonts w:cs="Arial"/>
          <w:sz w:val="20"/>
          <w:szCs w:val="20"/>
          <w:rtl/>
        </w:rPr>
        <w:t xml:space="preserve"> </w:t>
      </w:r>
      <w:r w:rsidRPr="00360830">
        <w:rPr>
          <w:rFonts w:cs="Arial" w:hint="cs"/>
          <w:sz w:val="20"/>
          <w:szCs w:val="20"/>
          <w:rtl/>
        </w:rPr>
        <w:t>לשלי</w:t>
      </w:r>
      <w:r>
        <w:rPr>
          <w:rFonts w:cs="Arial" w:hint="cs"/>
          <w:sz w:val="20"/>
          <w:szCs w:val="20"/>
          <w:rtl/>
        </w:rPr>
        <w:t>ה</w:t>
      </w:r>
      <w:r w:rsidRPr="00360830">
        <w:rPr>
          <w:rFonts w:cs="Arial"/>
          <w:sz w:val="20"/>
          <w:szCs w:val="20"/>
          <w:rtl/>
        </w:rPr>
        <w:t xml:space="preserve"> </w:t>
      </w:r>
      <w:r w:rsidRPr="00360830">
        <w:rPr>
          <w:rFonts w:cs="Arial" w:hint="cs"/>
          <w:sz w:val="20"/>
          <w:szCs w:val="20"/>
          <w:rtl/>
        </w:rPr>
        <w:t>ליתן</w:t>
      </w:r>
      <w:r w:rsidRPr="00360830">
        <w:rPr>
          <w:rFonts w:cs="Arial"/>
          <w:sz w:val="20"/>
          <w:szCs w:val="20"/>
          <w:rtl/>
        </w:rPr>
        <w:t xml:space="preserve"> </w:t>
      </w:r>
      <w:r w:rsidRPr="00360830">
        <w:rPr>
          <w:rFonts w:cs="Arial" w:hint="cs"/>
          <w:sz w:val="20"/>
          <w:szCs w:val="20"/>
          <w:rtl/>
        </w:rPr>
        <w:t>לה</w:t>
      </w:r>
      <w:r w:rsidRPr="00360830">
        <w:rPr>
          <w:rFonts w:cs="Arial"/>
          <w:sz w:val="20"/>
          <w:szCs w:val="20"/>
          <w:rtl/>
        </w:rPr>
        <w:t xml:space="preserve"> </w:t>
      </w:r>
      <w:r w:rsidRPr="00360830">
        <w:rPr>
          <w:rFonts w:cs="Arial" w:hint="cs"/>
          <w:sz w:val="20"/>
          <w:szCs w:val="20"/>
          <w:rtl/>
        </w:rPr>
        <w:t>ימי</w:t>
      </w:r>
      <w:r w:rsidRPr="00360830">
        <w:rPr>
          <w:rFonts w:cs="Arial"/>
          <w:sz w:val="20"/>
          <w:szCs w:val="20"/>
          <w:rtl/>
        </w:rPr>
        <w:t xml:space="preserve"> </w:t>
      </w:r>
      <w:r w:rsidRPr="00360830">
        <w:rPr>
          <w:rFonts w:cs="Arial" w:hint="cs"/>
          <w:sz w:val="20"/>
          <w:szCs w:val="20"/>
          <w:rtl/>
        </w:rPr>
        <w:t>טומאה</w:t>
      </w:r>
      <w:r w:rsidRPr="00360830">
        <w:rPr>
          <w:rFonts w:cs="Arial"/>
          <w:sz w:val="20"/>
          <w:szCs w:val="20"/>
          <w:rtl/>
        </w:rPr>
        <w:t xml:space="preserve"> </w:t>
      </w:r>
      <w:r w:rsidRPr="00360830">
        <w:rPr>
          <w:rFonts w:cs="Arial" w:hint="cs"/>
          <w:sz w:val="20"/>
          <w:szCs w:val="20"/>
          <w:rtl/>
        </w:rPr>
        <w:t>של</w:t>
      </w:r>
      <w:r w:rsidRPr="00360830">
        <w:rPr>
          <w:rFonts w:cs="Arial"/>
          <w:sz w:val="20"/>
          <w:szCs w:val="20"/>
          <w:rtl/>
        </w:rPr>
        <w:t xml:space="preserve"> </w:t>
      </w:r>
      <w:r w:rsidRPr="00360830">
        <w:rPr>
          <w:rFonts w:cs="Arial" w:hint="cs"/>
          <w:sz w:val="20"/>
          <w:szCs w:val="20"/>
          <w:rtl/>
        </w:rPr>
        <w:t>נקבה</w:t>
      </w:r>
      <w:r>
        <w:rPr>
          <w:rFonts w:cs="Arial" w:hint="cs"/>
          <w:sz w:val="20"/>
          <w:szCs w:val="20"/>
          <w:rtl/>
        </w:rPr>
        <w:t>"</w:t>
      </w:r>
      <w:r w:rsidRPr="00360830">
        <w:rPr>
          <w:rFonts w:cs="Arial"/>
          <w:sz w:val="20"/>
          <w:szCs w:val="20"/>
          <w:rtl/>
        </w:rPr>
        <w:t xml:space="preserve">. </w:t>
      </w:r>
      <w:r>
        <w:rPr>
          <w:rFonts w:hint="cs"/>
          <w:sz w:val="20"/>
          <w:szCs w:val="20"/>
          <w:rtl/>
        </w:rPr>
        <w:br/>
      </w:r>
      <w:r w:rsidRPr="000001BC">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כג' יום היינו מלבד יום יציאת השליה, סך הכל אלו כד' יום, כהסבר </w:t>
      </w:r>
      <w:r w:rsidRPr="000001BC">
        <w:rPr>
          <w:rFonts w:hint="cs"/>
          <w:b/>
          <w:bCs/>
          <w:sz w:val="20"/>
          <w:szCs w:val="20"/>
          <w:rtl/>
        </w:rPr>
        <w:t>הב"י ברמב"ם</w:t>
      </w:r>
      <w:r>
        <w:rPr>
          <w:rFonts w:hint="cs"/>
          <w:sz w:val="20"/>
          <w:szCs w:val="20"/>
          <w:rtl/>
        </w:rPr>
        <w:t>.</w:t>
      </w:r>
    </w:p>
    <w:p w:rsidR="00620060"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F0740D">
        <w:rPr>
          <w:rFonts w:hint="cs"/>
          <w:b/>
          <w:bCs/>
          <w:sz w:val="20"/>
          <w:szCs w:val="20"/>
          <w:rtl/>
        </w:rPr>
        <w:t>גמרא</w:t>
      </w:r>
      <w:r>
        <w:rPr>
          <w:rFonts w:hint="cs"/>
          <w:sz w:val="20"/>
          <w:szCs w:val="20"/>
          <w:rtl/>
        </w:rPr>
        <w:t>. שליה היוצאת לאחר לידת וולד אינה מטמאה, משום שתולים לומר שהיא שליית הוולד.</w:t>
      </w:r>
      <w:r>
        <w:rPr>
          <w:sz w:val="20"/>
          <w:szCs w:val="20"/>
          <w:rtl/>
        </w:rPr>
        <w:br/>
      </w:r>
      <w:r>
        <w:rPr>
          <w:rFonts w:hint="cs"/>
          <w:sz w:val="20"/>
          <w:szCs w:val="20"/>
          <w:rtl/>
        </w:rPr>
        <w:t xml:space="preserve">2. </w:t>
      </w:r>
      <w:r w:rsidRPr="000001BC">
        <w:rPr>
          <w:rFonts w:hint="cs"/>
          <w:b/>
          <w:bCs/>
          <w:sz w:val="20"/>
          <w:szCs w:val="20"/>
          <w:rtl/>
        </w:rPr>
        <w:t>רוב הראשונים</w:t>
      </w:r>
      <w:r>
        <w:rPr>
          <w:rFonts w:hint="cs"/>
          <w:sz w:val="20"/>
          <w:szCs w:val="20"/>
          <w:rtl/>
        </w:rPr>
        <w:t xml:space="preserve"> ע"פ הגמ'. עד כג' יום תולים כנ"ל. </w:t>
      </w:r>
      <w:r w:rsidRPr="000001BC">
        <w:rPr>
          <w:rFonts w:hint="cs"/>
          <w:b/>
          <w:bCs/>
          <w:sz w:val="20"/>
          <w:szCs w:val="20"/>
          <w:rtl/>
        </w:rPr>
        <w:t>רמב"ם</w:t>
      </w:r>
      <w:r>
        <w:rPr>
          <w:rFonts w:hint="cs"/>
          <w:sz w:val="20"/>
          <w:szCs w:val="20"/>
          <w:rtl/>
        </w:rPr>
        <w:t xml:space="preserve">. עד כד', כג' מלבד יום יציאת שליה, וכ"פ </w:t>
      </w:r>
      <w:r w:rsidRPr="000001BC">
        <w:rPr>
          <w:rFonts w:hint="cs"/>
          <w:b/>
          <w:bCs/>
          <w:sz w:val="20"/>
          <w:szCs w:val="20"/>
          <w:rtl/>
        </w:rPr>
        <w:t>הש"ך</w:t>
      </w:r>
      <w:r>
        <w:rPr>
          <w:rFonts w:hint="cs"/>
          <w:sz w:val="20"/>
          <w:szCs w:val="20"/>
          <w:rtl/>
        </w:rPr>
        <w:t xml:space="preserve">. </w:t>
      </w:r>
      <w:r>
        <w:rPr>
          <w:rFonts w:hint="cs"/>
          <w:sz w:val="20"/>
          <w:szCs w:val="20"/>
          <w:rtl/>
        </w:rPr>
        <w:br/>
        <w:t xml:space="preserve">3. </w:t>
      </w:r>
      <w:r w:rsidRPr="000001BC">
        <w:rPr>
          <w:rFonts w:hint="cs"/>
          <w:b/>
          <w:bCs/>
          <w:sz w:val="20"/>
          <w:szCs w:val="20"/>
          <w:rtl/>
        </w:rPr>
        <w:t>רשב"א</w:t>
      </w:r>
      <w:r>
        <w:rPr>
          <w:rFonts w:hint="cs"/>
          <w:sz w:val="20"/>
          <w:szCs w:val="20"/>
          <w:rtl/>
        </w:rPr>
        <w:t xml:space="preserve">. תולים שליה רק בוולד גמור, וכ"פ </w:t>
      </w:r>
      <w:r w:rsidRPr="000001BC">
        <w:rPr>
          <w:rFonts w:hint="cs"/>
          <w:b/>
          <w:bCs/>
          <w:sz w:val="20"/>
          <w:szCs w:val="20"/>
          <w:rtl/>
        </w:rPr>
        <w:t>המחבר</w:t>
      </w:r>
      <w:r>
        <w:rPr>
          <w:rFonts w:hint="cs"/>
          <w:sz w:val="20"/>
          <w:szCs w:val="20"/>
          <w:rtl/>
        </w:rPr>
        <w:t xml:space="preserve">. </w:t>
      </w:r>
      <w:r w:rsidRPr="000001BC">
        <w:rPr>
          <w:rFonts w:hint="cs"/>
          <w:b/>
          <w:bCs/>
          <w:sz w:val="20"/>
          <w:szCs w:val="20"/>
          <w:rtl/>
        </w:rPr>
        <w:t>רש"י</w:t>
      </w:r>
      <w:r>
        <w:rPr>
          <w:rFonts w:hint="cs"/>
          <w:sz w:val="20"/>
          <w:szCs w:val="20"/>
          <w:rtl/>
        </w:rPr>
        <w:t>. תולים גם בנפל שאם היו כלים חודשיו היה חי.</w:t>
      </w:r>
      <w:r>
        <w:rPr>
          <w:rFonts w:hint="cs"/>
          <w:sz w:val="20"/>
          <w:szCs w:val="20"/>
          <w:rtl/>
        </w:rPr>
        <w:br/>
        <w:t xml:space="preserve">4. שליה היוצאת לאחר נפל מטמאה יד' יום, כדין יולדת נקבה. </w:t>
      </w:r>
    </w:p>
    <w:p w:rsidR="00620060" w:rsidRDefault="00620060" w:rsidP="00620060">
      <w:pPr>
        <w:rPr>
          <w:sz w:val="20"/>
          <w:szCs w:val="20"/>
          <w:rtl/>
        </w:rPr>
      </w:pPr>
      <w:r>
        <w:rPr>
          <w:sz w:val="20"/>
          <w:szCs w:val="20"/>
          <w:rtl/>
        </w:rPr>
        <w:br/>
      </w:r>
      <w:r>
        <w:rPr>
          <w:rFonts w:hint="cs"/>
          <w:b/>
          <w:bCs/>
          <w:sz w:val="20"/>
          <w:szCs w:val="20"/>
          <w:rtl/>
        </w:rPr>
        <w:t xml:space="preserve">סעיף ה </w:t>
      </w:r>
      <w:r>
        <w:rPr>
          <w:b/>
          <w:bCs/>
          <w:sz w:val="20"/>
          <w:szCs w:val="20"/>
          <w:rtl/>
        </w:rPr>
        <w:t>–</w:t>
      </w:r>
      <w:r>
        <w:rPr>
          <w:rFonts w:hint="cs"/>
          <w:b/>
          <w:bCs/>
          <w:sz w:val="20"/>
          <w:szCs w:val="20"/>
          <w:rtl/>
        </w:rPr>
        <w:t xml:space="preserve"> שליה היוצאת לפני הוולד</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גמרא </w:t>
      </w:r>
      <w:r>
        <w:rPr>
          <w:rFonts w:hint="cs"/>
          <w:sz w:val="20"/>
          <w:szCs w:val="20"/>
          <w:rtl/>
        </w:rPr>
        <w:t>נידה (כז.) "</w:t>
      </w:r>
      <w:r w:rsidRPr="009B512B">
        <w:rPr>
          <w:rFonts w:cs="Arial" w:hint="cs"/>
          <w:sz w:val="20"/>
          <w:szCs w:val="20"/>
          <w:rtl/>
        </w:rPr>
        <w:t>ולא</w:t>
      </w:r>
      <w:r w:rsidRPr="009B512B">
        <w:rPr>
          <w:rFonts w:cs="Arial"/>
          <w:sz w:val="20"/>
          <w:szCs w:val="20"/>
          <w:rtl/>
        </w:rPr>
        <w:t xml:space="preserve"> </w:t>
      </w:r>
      <w:r w:rsidRPr="009B512B">
        <w:rPr>
          <w:rFonts w:cs="Arial" w:hint="cs"/>
          <w:sz w:val="20"/>
          <w:szCs w:val="20"/>
          <w:rtl/>
        </w:rPr>
        <w:t>אמרו</w:t>
      </w:r>
      <w:r w:rsidRPr="009B512B">
        <w:rPr>
          <w:rFonts w:cs="Arial"/>
          <w:sz w:val="20"/>
          <w:szCs w:val="20"/>
          <w:rtl/>
        </w:rPr>
        <w:t xml:space="preserve"> </w:t>
      </w:r>
      <w:r w:rsidRPr="009B512B">
        <w:rPr>
          <w:rFonts w:cs="Arial" w:hint="cs"/>
          <w:sz w:val="20"/>
          <w:szCs w:val="20"/>
          <w:rtl/>
        </w:rPr>
        <w:t>תולין</w:t>
      </w:r>
      <w:r w:rsidRPr="009B512B">
        <w:rPr>
          <w:rFonts w:cs="Arial"/>
          <w:sz w:val="20"/>
          <w:szCs w:val="20"/>
          <w:rtl/>
        </w:rPr>
        <w:t xml:space="preserve"> - </w:t>
      </w:r>
      <w:r w:rsidRPr="009B512B">
        <w:rPr>
          <w:rFonts w:cs="Arial" w:hint="cs"/>
          <w:sz w:val="20"/>
          <w:szCs w:val="20"/>
          <w:rtl/>
        </w:rPr>
        <w:t>אלא</w:t>
      </w:r>
      <w:r w:rsidRPr="009B512B">
        <w:rPr>
          <w:rFonts w:cs="Arial"/>
          <w:sz w:val="20"/>
          <w:szCs w:val="20"/>
          <w:rtl/>
        </w:rPr>
        <w:t xml:space="preserve"> </w:t>
      </w:r>
      <w:r w:rsidRPr="009B512B">
        <w:rPr>
          <w:rFonts w:cs="Arial" w:hint="cs"/>
          <w:sz w:val="20"/>
          <w:szCs w:val="20"/>
          <w:rtl/>
        </w:rPr>
        <w:t>בשליא</w:t>
      </w:r>
      <w:r w:rsidRPr="009B512B">
        <w:rPr>
          <w:rFonts w:cs="Arial"/>
          <w:sz w:val="20"/>
          <w:szCs w:val="20"/>
          <w:rtl/>
        </w:rPr>
        <w:t xml:space="preserve"> </w:t>
      </w:r>
      <w:r w:rsidRPr="009B512B">
        <w:rPr>
          <w:rFonts w:cs="Arial" w:hint="cs"/>
          <w:sz w:val="20"/>
          <w:szCs w:val="20"/>
          <w:rtl/>
        </w:rPr>
        <w:t>הבאה</w:t>
      </w:r>
      <w:r w:rsidRPr="009B512B">
        <w:rPr>
          <w:rFonts w:cs="Arial"/>
          <w:sz w:val="20"/>
          <w:szCs w:val="20"/>
          <w:rtl/>
        </w:rPr>
        <w:t xml:space="preserve"> </w:t>
      </w:r>
      <w:r w:rsidRPr="009B512B">
        <w:rPr>
          <w:rFonts w:cs="Arial" w:hint="cs"/>
          <w:sz w:val="20"/>
          <w:szCs w:val="20"/>
          <w:rtl/>
        </w:rPr>
        <w:t>אחר</w:t>
      </w:r>
      <w:r w:rsidRPr="009B512B">
        <w:rPr>
          <w:rFonts w:cs="Arial"/>
          <w:sz w:val="20"/>
          <w:szCs w:val="20"/>
          <w:rtl/>
        </w:rPr>
        <w:t xml:space="preserve"> </w:t>
      </w:r>
      <w:r w:rsidRPr="009B512B">
        <w:rPr>
          <w:rFonts w:cs="Arial" w:hint="cs"/>
          <w:sz w:val="20"/>
          <w:szCs w:val="20"/>
          <w:rtl/>
        </w:rPr>
        <w:t>הולד</w:t>
      </w:r>
      <w:r>
        <w:rPr>
          <w:rFonts w:cs="Arial" w:hint="cs"/>
          <w:sz w:val="20"/>
          <w:szCs w:val="20"/>
          <w:rtl/>
        </w:rPr>
        <w:t>".</w:t>
      </w:r>
    </w:p>
    <w:p w:rsidR="00620060" w:rsidRDefault="00620060" w:rsidP="00620060">
      <w:pPr>
        <w:rPr>
          <w:sz w:val="20"/>
          <w:szCs w:val="20"/>
          <w:rtl/>
        </w:rPr>
      </w:pPr>
      <w:r>
        <w:rPr>
          <w:rFonts w:hint="cs"/>
          <w:sz w:val="20"/>
          <w:szCs w:val="20"/>
          <w:u w:val="single"/>
          <w:rtl/>
        </w:rPr>
        <w:t>הסבר</w:t>
      </w:r>
      <w:r>
        <w:rPr>
          <w:sz w:val="20"/>
          <w:szCs w:val="20"/>
          <w:u w:val="single"/>
          <w:rtl/>
        </w:rPr>
        <w:br/>
      </w:r>
      <w:r w:rsidRPr="00754D68">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רק שליה הבאה לאחר לידה אינה מטמאה, אך שליה הבאה לפני הוולד מטמאה כנקבה.</w:t>
      </w:r>
      <w:r>
        <w:rPr>
          <w:sz w:val="20"/>
          <w:szCs w:val="20"/>
          <w:rtl/>
        </w:rPr>
        <w:br/>
      </w:r>
      <w:r>
        <w:rPr>
          <w:rFonts w:hint="cs"/>
          <w:sz w:val="20"/>
          <w:szCs w:val="20"/>
          <w:rtl/>
        </w:rPr>
        <w:t xml:space="preserve">כלומר </w:t>
      </w:r>
      <w:r>
        <w:rPr>
          <w:sz w:val="20"/>
          <w:szCs w:val="20"/>
          <w:rtl/>
        </w:rPr>
        <w:t>–</w:t>
      </w:r>
      <w:r>
        <w:rPr>
          <w:rFonts w:hint="cs"/>
          <w:sz w:val="20"/>
          <w:szCs w:val="20"/>
          <w:rtl/>
        </w:rPr>
        <w:t xml:space="preserve"> אפילו אם ילדה זכר, טמאה שבועיים מחמת השליה שיצאה תחילה.</w:t>
      </w:r>
      <w:r>
        <w:rPr>
          <w:sz w:val="20"/>
          <w:szCs w:val="20"/>
          <w:rtl/>
        </w:rPr>
        <w:br/>
      </w:r>
      <w:r w:rsidRPr="00754D68">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ייתכן שהוולד קרע את השליה ויצא לפניה ולכן תולים בו את השליה, אך אם השליה יצאה לפני הוולד אין במה לתלות אותה וחוששים לוולד אחר.</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754D68">
        <w:rPr>
          <w:rFonts w:cs="Arial" w:hint="cs"/>
          <w:sz w:val="20"/>
          <w:szCs w:val="20"/>
          <w:rtl/>
        </w:rPr>
        <w:t>יצאה</w:t>
      </w:r>
      <w:r w:rsidRPr="00754D68">
        <w:rPr>
          <w:rFonts w:cs="Arial"/>
          <w:sz w:val="20"/>
          <w:szCs w:val="20"/>
          <w:rtl/>
        </w:rPr>
        <w:t xml:space="preserve"> </w:t>
      </w:r>
      <w:r w:rsidRPr="00754D68">
        <w:rPr>
          <w:rFonts w:cs="Arial" w:hint="cs"/>
          <w:sz w:val="20"/>
          <w:szCs w:val="20"/>
          <w:rtl/>
        </w:rPr>
        <w:t>השלי</w:t>
      </w:r>
      <w:r>
        <w:rPr>
          <w:rFonts w:cs="Arial" w:hint="cs"/>
          <w:sz w:val="20"/>
          <w:szCs w:val="20"/>
          <w:rtl/>
        </w:rPr>
        <w:t>ה</w:t>
      </w:r>
      <w:r w:rsidRPr="00754D68">
        <w:rPr>
          <w:rFonts w:cs="Arial"/>
          <w:sz w:val="20"/>
          <w:szCs w:val="20"/>
          <w:rtl/>
        </w:rPr>
        <w:t xml:space="preserve"> </w:t>
      </w:r>
      <w:r w:rsidRPr="00754D68">
        <w:rPr>
          <w:rFonts w:cs="Arial" w:hint="cs"/>
          <w:sz w:val="20"/>
          <w:szCs w:val="20"/>
          <w:rtl/>
        </w:rPr>
        <w:t>תחילה</w:t>
      </w:r>
      <w:r w:rsidRPr="00754D68">
        <w:rPr>
          <w:rFonts w:cs="Arial"/>
          <w:sz w:val="20"/>
          <w:szCs w:val="20"/>
          <w:rtl/>
        </w:rPr>
        <w:t xml:space="preserve">, </w:t>
      </w:r>
      <w:r w:rsidRPr="00754D68">
        <w:rPr>
          <w:rFonts w:cs="Arial" w:hint="cs"/>
          <w:sz w:val="20"/>
          <w:szCs w:val="20"/>
          <w:rtl/>
        </w:rPr>
        <w:t>אין</w:t>
      </w:r>
      <w:r w:rsidRPr="00754D68">
        <w:rPr>
          <w:rFonts w:cs="Arial"/>
          <w:sz w:val="20"/>
          <w:szCs w:val="20"/>
          <w:rtl/>
        </w:rPr>
        <w:t xml:space="preserve"> </w:t>
      </w:r>
      <w:r w:rsidRPr="00754D68">
        <w:rPr>
          <w:rFonts w:cs="Arial" w:hint="cs"/>
          <w:sz w:val="20"/>
          <w:szCs w:val="20"/>
          <w:rtl/>
        </w:rPr>
        <w:t>תולין</w:t>
      </w:r>
      <w:r w:rsidRPr="00754D68">
        <w:rPr>
          <w:rFonts w:cs="Arial"/>
          <w:sz w:val="20"/>
          <w:szCs w:val="20"/>
          <w:rtl/>
        </w:rPr>
        <w:t xml:space="preserve"> </w:t>
      </w:r>
      <w:r w:rsidRPr="00754D68">
        <w:rPr>
          <w:rFonts w:cs="Arial" w:hint="cs"/>
          <w:sz w:val="20"/>
          <w:szCs w:val="20"/>
          <w:rtl/>
        </w:rPr>
        <w:t>אותה</w:t>
      </w:r>
      <w:r w:rsidRPr="00754D68">
        <w:rPr>
          <w:rFonts w:cs="Arial"/>
          <w:sz w:val="20"/>
          <w:szCs w:val="20"/>
          <w:rtl/>
        </w:rPr>
        <w:t xml:space="preserve"> </w:t>
      </w:r>
      <w:r w:rsidRPr="00754D68">
        <w:rPr>
          <w:rFonts w:cs="Arial" w:hint="cs"/>
          <w:sz w:val="20"/>
          <w:szCs w:val="20"/>
          <w:rtl/>
        </w:rPr>
        <w:t>בו</w:t>
      </w:r>
      <w:r>
        <w:rPr>
          <w:rFonts w:cs="Arial" w:hint="cs"/>
          <w:sz w:val="20"/>
          <w:szCs w:val="20"/>
          <w:rtl/>
        </w:rPr>
        <w:t>ו</w:t>
      </w:r>
      <w:r w:rsidRPr="00754D68">
        <w:rPr>
          <w:rFonts w:cs="Arial" w:hint="cs"/>
          <w:sz w:val="20"/>
          <w:szCs w:val="20"/>
          <w:rtl/>
        </w:rPr>
        <w:t>לד</w:t>
      </w:r>
      <w:r w:rsidRPr="00754D68">
        <w:rPr>
          <w:rFonts w:cs="Arial"/>
          <w:sz w:val="20"/>
          <w:szCs w:val="20"/>
          <w:rtl/>
        </w:rPr>
        <w:t xml:space="preserve"> </w:t>
      </w:r>
      <w:r w:rsidRPr="00754D68">
        <w:rPr>
          <w:rFonts w:cs="Arial" w:hint="cs"/>
          <w:sz w:val="20"/>
          <w:szCs w:val="20"/>
          <w:rtl/>
        </w:rPr>
        <w:t>שתלד</w:t>
      </w:r>
      <w:r w:rsidRPr="00754D68">
        <w:rPr>
          <w:rFonts w:cs="Arial"/>
          <w:sz w:val="20"/>
          <w:szCs w:val="20"/>
          <w:rtl/>
        </w:rPr>
        <w:t xml:space="preserve"> </w:t>
      </w:r>
      <w:r w:rsidRPr="00754D68">
        <w:rPr>
          <w:rFonts w:cs="Arial" w:hint="cs"/>
          <w:sz w:val="20"/>
          <w:szCs w:val="20"/>
          <w:rtl/>
        </w:rPr>
        <w:t>אחר</w:t>
      </w:r>
      <w:r w:rsidRPr="00754D68">
        <w:rPr>
          <w:rFonts w:cs="Arial"/>
          <w:sz w:val="20"/>
          <w:szCs w:val="20"/>
          <w:rtl/>
        </w:rPr>
        <w:t xml:space="preserve"> </w:t>
      </w:r>
      <w:r w:rsidRPr="00754D68">
        <w:rPr>
          <w:rFonts w:cs="Arial" w:hint="cs"/>
          <w:sz w:val="20"/>
          <w:szCs w:val="20"/>
          <w:rtl/>
        </w:rPr>
        <w:t>כך</w:t>
      </w:r>
      <w:r w:rsidRPr="00754D68">
        <w:rPr>
          <w:rFonts w:cs="Arial"/>
          <w:sz w:val="20"/>
          <w:szCs w:val="20"/>
          <w:rtl/>
        </w:rPr>
        <w:t xml:space="preserve">, </w:t>
      </w:r>
      <w:r w:rsidRPr="00754D68">
        <w:rPr>
          <w:rFonts w:cs="Arial" w:hint="cs"/>
          <w:sz w:val="20"/>
          <w:szCs w:val="20"/>
          <w:rtl/>
        </w:rPr>
        <w:t>אפילו</w:t>
      </w:r>
      <w:r w:rsidRPr="00754D68">
        <w:rPr>
          <w:rFonts w:cs="Arial"/>
          <w:sz w:val="20"/>
          <w:szCs w:val="20"/>
          <w:rtl/>
        </w:rPr>
        <w:t xml:space="preserve"> </w:t>
      </w:r>
      <w:r w:rsidRPr="00754D68">
        <w:rPr>
          <w:rFonts w:cs="Arial" w:hint="cs"/>
          <w:sz w:val="20"/>
          <w:szCs w:val="20"/>
          <w:rtl/>
        </w:rPr>
        <w:t>הוא</w:t>
      </w:r>
      <w:r w:rsidRPr="00754D68">
        <w:rPr>
          <w:rFonts w:cs="Arial"/>
          <w:sz w:val="20"/>
          <w:szCs w:val="20"/>
          <w:rtl/>
        </w:rPr>
        <w:t xml:space="preserve"> </w:t>
      </w:r>
      <w:r w:rsidRPr="00754D68">
        <w:rPr>
          <w:rFonts w:cs="Arial" w:hint="cs"/>
          <w:sz w:val="20"/>
          <w:szCs w:val="20"/>
          <w:rtl/>
        </w:rPr>
        <w:t>בן</w:t>
      </w:r>
      <w:r w:rsidRPr="00754D68">
        <w:rPr>
          <w:rFonts w:cs="Arial"/>
          <w:sz w:val="20"/>
          <w:szCs w:val="20"/>
          <w:rtl/>
        </w:rPr>
        <w:t xml:space="preserve"> </w:t>
      </w:r>
      <w:r w:rsidRPr="00754D68">
        <w:rPr>
          <w:rFonts w:cs="Arial" w:hint="cs"/>
          <w:sz w:val="20"/>
          <w:szCs w:val="20"/>
          <w:rtl/>
        </w:rPr>
        <w:t>קיימא</w:t>
      </w:r>
      <w:r w:rsidRPr="00754D68">
        <w:rPr>
          <w:rFonts w:cs="Arial"/>
          <w:sz w:val="20"/>
          <w:szCs w:val="20"/>
          <w:rtl/>
        </w:rPr>
        <w:t xml:space="preserve">, </w:t>
      </w:r>
      <w:r w:rsidRPr="00754D68">
        <w:rPr>
          <w:rFonts w:cs="Arial" w:hint="cs"/>
          <w:sz w:val="20"/>
          <w:szCs w:val="20"/>
          <w:rtl/>
        </w:rPr>
        <w:t>וחוששת</w:t>
      </w:r>
      <w:r w:rsidRPr="00754D68">
        <w:rPr>
          <w:rFonts w:cs="Arial"/>
          <w:sz w:val="20"/>
          <w:szCs w:val="20"/>
          <w:rtl/>
        </w:rPr>
        <w:t xml:space="preserve"> </w:t>
      </w:r>
      <w:r w:rsidRPr="00754D68">
        <w:rPr>
          <w:rFonts w:cs="Arial" w:hint="cs"/>
          <w:sz w:val="20"/>
          <w:szCs w:val="20"/>
          <w:rtl/>
        </w:rPr>
        <w:t>לשלי</w:t>
      </w:r>
      <w:r>
        <w:rPr>
          <w:rFonts w:cs="Arial" w:hint="cs"/>
          <w:sz w:val="20"/>
          <w:szCs w:val="20"/>
          <w:rtl/>
        </w:rPr>
        <w:t>ה</w:t>
      </w:r>
      <w:r w:rsidRPr="00754D68">
        <w:rPr>
          <w:rFonts w:cs="Arial"/>
          <w:sz w:val="20"/>
          <w:szCs w:val="20"/>
          <w:rtl/>
        </w:rPr>
        <w:t xml:space="preserve"> </w:t>
      </w:r>
      <w:r w:rsidRPr="00754D68">
        <w:rPr>
          <w:rFonts w:cs="Arial" w:hint="cs"/>
          <w:sz w:val="20"/>
          <w:szCs w:val="20"/>
          <w:rtl/>
        </w:rPr>
        <w:t>ליתן</w:t>
      </w:r>
      <w:r w:rsidRPr="00754D68">
        <w:rPr>
          <w:rFonts w:cs="Arial"/>
          <w:sz w:val="20"/>
          <w:szCs w:val="20"/>
          <w:rtl/>
        </w:rPr>
        <w:t xml:space="preserve"> </w:t>
      </w:r>
      <w:r w:rsidRPr="00754D68">
        <w:rPr>
          <w:rFonts w:cs="Arial" w:hint="cs"/>
          <w:sz w:val="20"/>
          <w:szCs w:val="20"/>
          <w:rtl/>
        </w:rPr>
        <w:t>לה</w:t>
      </w:r>
      <w:r w:rsidRPr="00754D68">
        <w:rPr>
          <w:rFonts w:cs="Arial"/>
          <w:sz w:val="20"/>
          <w:szCs w:val="20"/>
          <w:rtl/>
        </w:rPr>
        <w:t xml:space="preserve"> </w:t>
      </w:r>
      <w:r w:rsidRPr="00754D68">
        <w:rPr>
          <w:rFonts w:cs="Arial" w:hint="cs"/>
          <w:sz w:val="20"/>
          <w:szCs w:val="20"/>
          <w:rtl/>
        </w:rPr>
        <w:t>ימי</w:t>
      </w:r>
      <w:r w:rsidRPr="00754D68">
        <w:rPr>
          <w:rFonts w:cs="Arial"/>
          <w:sz w:val="20"/>
          <w:szCs w:val="20"/>
          <w:rtl/>
        </w:rPr>
        <w:t xml:space="preserve"> </w:t>
      </w:r>
      <w:r w:rsidRPr="00754D68">
        <w:rPr>
          <w:rFonts w:cs="Arial" w:hint="cs"/>
          <w:sz w:val="20"/>
          <w:szCs w:val="20"/>
          <w:rtl/>
        </w:rPr>
        <w:t>טומאה</w:t>
      </w:r>
      <w:r w:rsidRPr="00754D68">
        <w:rPr>
          <w:rFonts w:cs="Arial"/>
          <w:sz w:val="20"/>
          <w:szCs w:val="20"/>
          <w:rtl/>
        </w:rPr>
        <w:t xml:space="preserve"> </w:t>
      </w:r>
      <w:r w:rsidRPr="00754D68">
        <w:rPr>
          <w:rFonts w:cs="Arial" w:hint="cs"/>
          <w:sz w:val="20"/>
          <w:szCs w:val="20"/>
          <w:rtl/>
        </w:rPr>
        <w:t>של</w:t>
      </w:r>
      <w:r w:rsidRPr="00754D68">
        <w:rPr>
          <w:rFonts w:cs="Arial"/>
          <w:sz w:val="20"/>
          <w:szCs w:val="20"/>
          <w:rtl/>
        </w:rPr>
        <w:t xml:space="preserve"> </w:t>
      </w:r>
      <w:r w:rsidRPr="00754D68">
        <w:rPr>
          <w:rFonts w:cs="Arial" w:hint="cs"/>
          <w:sz w:val="20"/>
          <w:szCs w:val="20"/>
          <w:rtl/>
        </w:rPr>
        <w:t>נקבה</w:t>
      </w:r>
      <w:r>
        <w:rPr>
          <w:rFonts w:cs="Arial" w:hint="cs"/>
          <w:sz w:val="20"/>
          <w:szCs w:val="20"/>
          <w:rtl/>
        </w:rPr>
        <w:t>".</w:t>
      </w:r>
    </w:p>
    <w:p w:rsidR="00620060" w:rsidRDefault="00620060" w:rsidP="00620060">
      <w:pPr>
        <w:rPr>
          <w:sz w:val="20"/>
          <w:szCs w:val="20"/>
          <w:rtl/>
        </w:rPr>
      </w:pPr>
      <w:r>
        <w:rPr>
          <w:rFonts w:hint="cs"/>
          <w:b/>
          <w:bCs/>
          <w:sz w:val="20"/>
          <w:szCs w:val="20"/>
          <w:rtl/>
        </w:rPr>
        <w:t>סיכום</w:t>
      </w:r>
      <w:r>
        <w:rPr>
          <w:b/>
          <w:bCs/>
          <w:sz w:val="20"/>
          <w:szCs w:val="20"/>
          <w:rtl/>
        </w:rPr>
        <w:br/>
      </w:r>
      <w:r w:rsidRPr="00DD0F85">
        <w:rPr>
          <w:rFonts w:hint="cs"/>
          <w:b/>
          <w:bCs/>
          <w:sz w:val="20"/>
          <w:szCs w:val="20"/>
          <w:rtl/>
        </w:rPr>
        <w:t xml:space="preserve">גמרא </w:t>
      </w:r>
      <w:r w:rsidRPr="00DD0F85">
        <w:rPr>
          <w:rFonts w:hint="cs"/>
          <w:sz w:val="18"/>
          <w:szCs w:val="18"/>
          <w:rtl/>
        </w:rPr>
        <w:t>(ע"פ הסבר הרשב"א)</w:t>
      </w:r>
      <w:r>
        <w:rPr>
          <w:rFonts w:hint="cs"/>
          <w:sz w:val="20"/>
          <w:szCs w:val="20"/>
          <w:rtl/>
        </w:rPr>
        <w:t>. אם השליה יצאה לפני הוולד חוששים שהשליה וולד אחר וטמאה כיולדת נקבה.</w:t>
      </w:r>
    </w:p>
    <w:p w:rsidR="00620060" w:rsidRDefault="00620060" w:rsidP="00620060">
      <w:pPr>
        <w:rPr>
          <w:sz w:val="20"/>
          <w:szCs w:val="20"/>
          <w:rtl/>
        </w:rPr>
      </w:pPr>
      <w:r>
        <w:rPr>
          <w:sz w:val="20"/>
          <w:szCs w:val="20"/>
          <w:rtl/>
        </w:rPr>
        <w:br/>
      </w:r>
      <w:r>
        <w:rPr>
          <w:rFonts w:hint="cs"/>
          <w:b/>
          <w:bCs/>
          <w:sz w:val="20"/>
          <w:szCs w:val="20"/>
          <w:rtl/>
        </w:rPr>
        <w:t xml:space="preserve">סעיף ו </w:t>
      </w:r>
      <w:r>
        <w:rPr>
          <w:b/>
          <w:bCs/>
          <w:sz w:val="20"/>
          <w:szCs w:val="20"/>
          <w:rtl/>
        </w:rPr>
        <w:t>–</w:t>
      </w:r>
      <w:r>
        <w:rPr>
          <w:rFonts w:hint="cs"/>
          <w:b/>
          <w:bCs/>
          <w:sz w:val="20"/>
          <w:szCs w:val="20"/>
          <w:rtl/>
        </w:rPr>
        <w:t xml:space="preserve"> שליה שיצאה מקצתה היום ומקצתה למחר</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גמרא </w:t>
      </w:r>
      <w:r>
        <w:rPr>
          <w:rFonts w:hint="cs"/>
          <w:sz w:val="20"/>
          <w:szCs w:val="20"/>
          <w:rtl/>
        </w:rPr>
        <w:t>בבא קמא (יא.) "</w:t>
      </w:r>
      <w:r w:rsidRPr="00D915E0">
        <w:rPr>
          <w:rFonts w:cs="Arial" w:hint="cs"/>
          <w:sz w:val="20"/>
          <w:szCs w:val="20"/>
          <w:rtl/>
        </w:rPr>
        <w:t>אמר</w:t>
      </w:r>
      <w:r w:rsidRPr="00D915E0">
        <w:rPr>
          <w:rFonts w:cs="Arial"/>
          <w:sz w:val="20"/>
          <w:szCs w:val="20"/>
          <w:rtl/>
        </w:rPr>
        <w:t xml:space="preserve"> </w:t>
      </w:r>
      <w:r w:rsidRPr="00D915E0">
        <w:rPr>
          <w:rFonts w:cs="Arial" w:hint="cs"/>
          <w:sz w:val="20"/>
          <w:szCs w:val="20"/>
          <w:rtl/>
        </w:rPr>
        <w:t>עולא</w:t>
      </w:r>
      <w:r w:rsidRPr="00D915E0">
        <w:rPr>
          <w:rFonts w:cs="Arial"/>
          <w:sz w:val="20"/>
          <w:szCs w:val="20"/>
          <w:rtl/>
        </w:rPr>
        <w:t xml:space="preserve"> </w:t>
      </w:r>
      <w:r w:rsidRPr="00D915E0">
        <w:rPr>
          <w:rFonts w:cs="Arial" w:hint="cs"/>
          <w:sz w:val="20"/>
          <w:szCs w:val="20"/>
          <w:rtl/>
        </w:rPr>
        <w:t>א</w:t>
      </w:r>
      <w:r>
        <w:rPr>
          <w:rFonts w:cs="Arial" w:hint="cs"/>
          <w:sz w:val="20"/>
          <w:szCs w:val="20"/>
          <w:rtl/>
        </w:rPr>
        <w:t xml:space="preserve">מר </w:t>
      </w:r>
      <w:r w:rsidRPr="00D915E0">
        <w:rPr>
          <w:rFonts w:cs="Arial" w:hint="cs"/>
          <w:sz w:val="20"/>
          <w:szCs w:val="20"/>
          <w:rtl/>
        </w:rPr>
        <w:t>ר</w:t>
      </w:r>
      <w:r>
        <w:rPr>
          <w:rFonts w:cs="Arial" w:hint="cs"/>
          <w:sz w:val="20"/>
          <w:szCs w:val="20"/>
          <w:rtl/>
        </w:rPr>
        <w:t>בי</w:t>
      </w:r>
      <w:r w:rsidRPr="00D915E0">
        <w:rPr>
          <w:rFonts w:cs="Arial"/>
          <w:sz w:val="20"/>
          <w:szCs w:val="20"/>
          <w:rtl/>
        </w:rPr>
        <w:t xml:space="preserve"> </w:t>
      </w:r>
      <w:r w:rsidRPr="00D915E0">
        <w:rPr>
          <w:rFonts w:cs="Arial" w:hint="cs"/>
          <w:sz w:val="20"/>
          <w:szCs w:val="20"/>
          <w:rtl/>
        </w:rPr>
        <w:t>אלעזר</w:t>
      </w:r>
      <w:r w:rsidRPr="00D915E0">
        <w:rPr>
          <w:rFonts w:cs="Arial"/>
          <w:sz w:val="20"/>
          <w:szCs w:val="20"/>
          <w:rtl/>
        </w:rPr>
        <w:t xml:space="preserve">: </w:t>
      </w:r>
      <w:r w:rsidRPr="00D915E0">
        <w:rPr>
          <w:rFonts w:cs="Arial" w:hint="cs"/>
          <w:sz w:val="20"/>
          <w:szCs w:val="20"/>
          <w:rtl/>
        </w:rPr>
        <w:t>שליא</w:t>
      </w:r>
      <w:r w:rsidRPr="00D915E0">
        <w:rPr>
          <w:rFonts w:cs="Arial"/>
          <w:sz w:val="20"/>
          <w:szCs w:val="20"/>
          <w:rtl/>
        </w:rPr>
        <w:t xml:space="preserve"> </w:t>
      </w:r>
      <w:r w:rsidRPr="00D915E0">
        <w:rPr>
          <w:rFonts w:cs="Arial" w:hint="cs"/>
          <w:sz w:val="20"/>
          <w:szCs w:val="20"/>
          <w:rtl/>
        </w:rPr>
        <w:t>שיצתה</w:t>
      </w:r>
      <w:r w:rsidRPr="00D915E0">
        <w:rPr>
          <w:rFonts w:cs="Arial"/>
          <w:sz w:val="20"/>
          <w:szCs w:val="20"/>
          <w:rtl/>
        </w:rPr>
        <w:t xml:space="preserve"> </w:t>
      </w:r>
      <w:r w:rsidRPr="00D915E0">
        <w:rPr>
          <w:rFonts w:cs="Arial" w:hint="cs"/>
          <w:sz w:val="20"/>
          <w:szCs w:val="20"/>
          <w:rtl/>
        </w:rPr>
        <w:t>מקצתה</w:t>
      </w:r>
      <w:r w:rsidRPr="00D915E0">
        <w:rPr>
          <w:rFonts w:cs="Arial"/>
          <w:sz w:val="20"/>
          <w:szCs w:val="20"/>
          <w:rtl/>
        </w:rPr>
        <w:t xml:space="preserve"> </w:t>
      </w:r>
      <w:r w:rsidRPr="00D915E0">
        <w:rPr>
          <w:rFonts w:cs="Arial" w:hint="cs"/>
          <w:sz w:val="20"/>
          <w:szCs w:val="20"/>
          <w:rtl/>
        </w:rPr>
        <w:t>ביום</w:t>
      </w:r>
      <w:r w:rsidRPr="00D915E0">
        <w:rPr>
          <w:rFonts w:cs="Arial"/>
          <w:sz w:val="20"/>
          <w:szCs w:val="20"/>
          <w:rtl/>
        </w:rPr>
        <w:t xml:space="preserve"> </w:t>
      </w:r>
      <w:r w:rsidRPr="00D915E0">
        <w:rPr>
          <w:rFonts w:cs="Arial" w:hint="cs"/>
          <w:sz w:val="20"/>
          <w:szCs w:val="20"/>
          <w:rtl/>
        </w:rPr>
        <w:t>ראשון</w:t>
      </w:r>
      <w:r w:rsidRPr="00D915E0">
        <w:rPr>
          <w:rFonts w:cs="Arial"/>
          <w:sz w:val="20"/>
          <w:szCs w:val="20"/>
          <w:rtl/>
        </w:rPr>
        <w:t xml:space="preserve"> </w:t>
      </w:r>
      <w:r w:rsidRPr="00D915E0">
        <w:rPr>
          <w:rFonts w:cs="Arial" w:hint="cs"/>
          <w:sz w:val="20"/>
          <w:szCs w:val="20"/>
          <w:rtl/>
        </w:rPr>
        <w:t>ומקצתה</w:t>
      </w:r>
      <w:r w:rsidRPr="00D915E0">
        <w:rPr>
          <w:rFonts w:cs="Arial"/>
          <w:sz w:val="20"/>
          <w:szCs w:val="20"/>
          <w:rtl/>
        </w:rPr>
        <w:t xml:space="preserve"> </w:t>
      </w:r>
      <w:r w:rsidRPr="00D915E0">
        <w:rPr>
          <w:rFonts w:cs="Arial" w:hint="cs"/>
          <w:sz w:val="20"/>
          <w:szCs w:val="20"/>
          <w:rtl/>
        </w:rPr>
        <w:t>ביום</w:t>
      </w:r>
      <w:r w:rsidRPr="00D915E0">
        <w:rPr>
          <w:rFonts w:cs="Arial"/>
          <w:sz w:val="20"/>
          <w:szCs w:val="20"/>
          <w:rtl/>
        </w:rPr>
        <w:t xml:space="preserve"> </w:t>
      </w:r>
      <w:r w:rsidRPr="00D915E0">
        <w:rPr>
          <w:rFonts w:cs="Arial" w:hint="cs"/>
          <w:sz w:val="20"/>
          <w:szCs w:val="20"/>
          <w:rtl/>
        </w:rPr>
        <w:t>שני</w:t>
      </w:r>
      <w:r w:rsidRPr="00D915E0">
        <w:rPr>
          <w:rFonts w:cs="Arial"/>
          <w:sz w:val="20"/>
          <w:szCs w:val="20"/>
          <w:rtl/>
        </w:rPr>
        <w:t xml:space="preserve"> - </w:t>
      </w:r>
      <w:r w:rsidRPr="00D915E0">
        <w:rPr>
          <w:rFonts w:cs="Arial" w:hint="cs"/>
          <w:sz w:val="20"/>
          <w:szCs w:val="20"/>
          <w:rtl/>
        </w:rPr>
        <w:t>מונין</w:t>
      </w:r>
      <w:r w:rsidRPr="00D915E0">
        <w:rPr>
          <w:rFonts w:cs="Arial"/>
          <w:sz w:val="20"/>
          <w:szCs w:val="20"/>
          <w:rtl/>
        </w:rPr>
        <w:t xml:space="preserve"> </w:t>
      </w:r>
      <w:r w:rsidRPr="00D915E0">
        <w:rPr>
          <w:rFonts w:cs="Arial" w:hint="cs"/>
          <w:sz w:val="20"/>
          <w:szCs w:val="20"/>
          <w:rtl/>
        </w:rPr>
        <w:t>לה</w:t>
      </w:r>
      <w:r w:rsidRPr="00D915E0">
        <w:rPr>
          <w:rFonts w:cs="Arial"/>
          <w:sz w:val="20"/>
          <w:szCs w:val="20"/>
          <w:rtl/>
        </w:rPr>
        <w:t xml:space="preserve"> </w:t>
      </w:r>
      <w:r w:rsidRPr="00D915E0">
        <w:rPr>
          <w:rFonts w:cs="Arial" w:hint="cs"/>
          <w:sz w:val="20"/>
          <w:szCs w:val="20"/>
          <w:rtl/>
        </w:rPr>
        <w:t>מן</w:t>
      </w:r>
      <w:r w:rsidRPr="00D915E0">
        <w:rPr>
          <w:rFonts w:cs="Arial"/>
          <w:sz w:val="20"/>
          <w:szCs w:val="20"/>
          <w:rtl/>
        </w:rPr>
        <w:t xml:space="preserve"> </w:t>
      </w:r>
      <w:r w:rsidRPr="00D915E0">
        <w:rPr>
          <w:rFonts w:cs="Arial" w:hint="cs"/>
          <w:sz w:val="20"/>
          <w:szCs w:val="20"/>
          <w:rtl/>
        </w:rPr>
        <w:t>הראשון</w:t>
      </w:r>
      <w:r w:rsidRPr="00D915E0">
        <w:rPr>
          <w:rFonts w:cs="Arial"/>
          <w:sz w:val="20"/>
          <w:szCs w:val="20"/>
          <w:rtl/>
        </w:rPr>
        <w:t xml:space="preserve">. </w:t>
      </w:r>
      <w:r w:rsidRPr="00D915E0">
        <w:rPr>
          <w:rFonts w:cs="Arial" w:hint="cs"/>
          <w:sz w:val="20"/>
          <w:szCs w:val="20"/>
          <w:rtl/>
        </w:rPr>
        <w:t>א</w:t>
      </w:r>
      <w:r>
        <w:rPr>
          <w:rFonts w:cs="Arial" w:hint="cs"/>
          <w:sz w:val="20"/>
          <w:szCs w:val="20"/>
          <w:rtl/>
        </w:rPr>
        <w:t xml:space="preserve">מר </w:t>
      </w:r>
      <w:r w:rsidRPr="00D915E0">
        <w:rPr>
          <w:rFonts w:cs="Arial" w:hint="cs"/>
          <w:sz w:val="20"/>
          <w:szCs w:val="20"/>
          <w:rtl/>
        </w:rPr>
        <w:t>ל</w:t>
      </w:r>
      <w:r>
        <w:rPr>
          <w:rFonts w:cs="Arial" w:hint="cs"/>
          <w:sz w:val="20"/>
          <w:szCs w:val="20"/>
          <w:rtl/>
        </w:rPr>
        <w:t>יה</w:t>
      </w:r>
      <w:r w:rsidRPr="00D915E0">
        <w:rPr>
          <w:rFonts w:cs="Arial"/>
          <w:sz w:val="20"/>
          <w:szCs w:val="20"/>
          <w:rtl/>
        </w:rPr>
        <w:t xml:space="preserve"> </w:t>
      </w:r>
      <w:r w:rsidRPr="00D915E0">
        <w:rPr>
          <w:rFonts w:cs="Arial" w:hint="cs"/>
          <w:sz w:val="20"/>
          <w:szCs w:val="20"/>
          <w:rtl/>
        </w:rPr>
        <w:t>רבא</w:t>
      </w:r>
      <w:r w:rsidRPr="00D915E0">
        <w:rPr>
          <w:rFonts w:cs="Arial"/>
          <w:sz w:val="20"/>
          <w:szCs w:val="20"/>
          <w:rtl/>
        </w:rPr>
        <w:t xml:space="preserve">: </w:t>
      </w:r>
      <w:r w:rsidRPr="00D915E0">
        <w:rPr>
          <w:rFonts w:cs="Arial" w:hint="cs"/>
          <w:sz w:val="20"/>
          <w:szCs w:val="20"/>
          <w:rtl/>
        </w:rPr>
        <w:t>מה</w:t>
      </w:r>
      <w:r w:rsidRPr="00D915E0">
        <w:rPr>
          <w:rFonts w:cs="Arial"/>
          <w:sz w:val="20"/>
          <w:szCs w:val="20"/>
          <w:rtl/>
        </w:rPr>
        <w:t xml:space="preserve"> </w:t>
      </w:r>
      <w:r w:rsidRPr="00D915E0">
        <w:rPr>
          <w:rFonts w:cs="Arial" w:hint="cs"/>
          <w:sz w:val="20"/>
          <w:szCs w:val="20"/>
          <w:rtl/>
        </w:rPr>
        <w:t>דעתך</w:t>
      </w:r>
      <w:r w:rsidRPr="00D915E0">
        <w:rPr>
          <w:rFonts w:cs="Arial"/>
          <w:sz w:val="20"/>
          <w:szCs w:val="20"/>
          <w:rtl/>
        </w:rPr>
        <w:t xml:space="preserve">? </w:t>
      </w:r>
      <w:r w:rsidRPr="00D915E0">
        <w:rPr>
          <w:rFonts w:cs="Arial" w:hint="cs"/>
          <w:sz w:val="20"/>
          <w:szCs w:val="20"/>
          <w:rtl/>
        </w:rPr>
        <w:t>לחומרא</w:t>
      </w:r>
      <w:r w:rsidRPr="00D915E0">
        <w:rPr>
          <w:rFonts w:cs="Arial"/>
          <w:sz w:val="20"/>
          <w:szCs w:val="20"/>
          <w:rtl/>
        </w:rPr>
        <w:t xml:space="preserve">, </w:t>
      </w:r>
      <w:r w:rsidRPr="00D915E0">
        <w:rPr>
          <w:rFonts w:cs="Arial" w:hint="cs"/>
          <w:sz w:val="20"/>
          <w:szCs w:val="20"/>
          <w:rtl/>
        </w:rPr>
        <w:t>חומרא</w:t>
      </w:r>
      <w:r w:rsidRPr="00D915E0">
        <w:rPr>
          <w:rFonts w:cs="Arial"/>
          <w:sz w:val="20"/>
          <w:szCs w:val="20"/>
          <w:rtl/>
        </w:rPr>
        <w:t xml:space="preserve"> </w:t>
      </w:r>
      <w:r w:rsidRPr="00D915E0">
        <w:rPr>
          <w:rFonts w:cs="Arial" w:hint="cs"/>
          <w:sz w:val="20"/>
          <w:szCs w:val="20"/>
          <w:rtl/>
        </w:rPr>
        <w:t>דאתי</w:t>
      </w:r>
      <w:r w:rsidRPr="00D915E0">
        <w:rPr>
          <w:rFonts w:cs="Arial"/>
          <w:sz w:val="20"/>
          <w:szCs w:val="20"/>
          <w:rtl/>
        </w:rPr>
        <w:t xml:space="preserve"> </w:t>
      </w:r>
      <w:r w:rsidRPr="00D915E0">
        <w:rPr>
          <w:rFonts w:cs="Arial" w:hint="cs"/>
          <w:sz w:val="20"/>
          <w:szCs w:val="20"/>
          <w:rtl/>
        </w:rPr>
        <w:t>לידי</w:t>
      </w:r>
      <w:r w:rsidRPr="00D915E0">
        <w:rPr>
          <w:rFonts w:cs="Arial"/>
          <w:sz w:val="20"/>
          <w:szCs w:val="20"/>
          <w:rtl/>
        </w:rPr>
        <w:t xml:space="preserve"> </w:t>
      </w:r>
      <w:r w:rsidRPr="00D915E0">
        <w:rPr>
          <w:rFonts w:cs="Arial" w:hint="cs"/>
          <w:sz w:val="20"/>
          <w:szCs w:val="20"/>
          <w:rtl/>
        </w:rPr>
        <w:t>קולא</w:t>
      </w:r>
      <w:r w:rsidRPr="00D915E0">
        <w:rPr>
          <w:rFonts w:cs="Arial"/>
          <w:sz w:val="20"/>
          <w:szCs w:val="20"/>
          <w:rtl/>
        </w:rPr>
        <w:t xml:space="preserve"> </w:t>
      </w:r>
      <w:r w:rsidRPr="00D915E0">
        <w:rPr>
          <w:rFonts w:cs="Arial" w:hint="cs"/>
          <w:sz w:val="20"/>
          <w:szCs w:val="20"/>
          <w:rtl/>
        </w:rPr>
        <w:t>הוא</w:t>
      </w:r>
      <w:r w:rsidRPr="00D915E0">
        <w:rPr>
          <w:rFonts w:cs="Arial"/>
          <w:sz w:val="20"/>
          <w:szCs w:val="20"/>
          <w:rtl/>
        </w:rPr>
        <w:t xml:space="preserve">, </w:t>
      </w:r>
      <w:r w:rsidRPr="00D915E0">
        <w:rPr>
          <w:rFonts w:cs="Arial" w:hint="cs"/>
          <w:sz w:val="20"/>
          <w:szCs w:val="20"/>
          <w:rtl/>
        </w:rPr>
        <w:t>דקא</w:t>
      </w:r>
      <w:r w:rsidRPr="00D915E0">
        <w:rPr>
          <w:rFonts w:cs="Arial"/>
          <w:sz w:val="20"/>
          <w:szCs w:val="20"/>
          <w:rtl/>
        </w:rPr>
        <w:t xml:space="preserve"> </w:t>
      </w:r>
      <w:r w:rsidRPr="00D915E0">
        <w:rPr>
          <w:rFonts w:cs="Arial" w:hint="cs"/>
          <w:sz w:val="20"/>
          <w:szCs w:val="20"/>
          <w:rtl/>
        </w:rPr>
        <w:t>מטהרת</w:t>
      </w:r>
      <w:r w:rsidRPr="00D915E0">
        <w:rPr>
          <w:rFonts w:cs="Arial"/>
          <w:sz w:val="20"/>
          <w:szCs w:val="20"/>
          <w:rtl/>
        </w:rPr>
        <w:t xml:space="preserve"> </w:t>
      </w:r>
      <w:r w:rsidRPr="00D915E0">
        <w:rPr>
          <w:rFonts w:cs="Arial" w:hint="cs"/>
          <w:sz w:val="20"/>
          <w:szCs w:val="20"/>
          <w:rtl/>
        </w:rPr>
        <w:t>לה</w:t>
      </w:r>
      <w:r w:rsidRPr="00D915E0">
        <w:rPr>
          <w:rFonts w:cs="Arial"/>
          <w:sz w:val="20"/>
          <w:szCs w:val="20"/>
          <w:rtl/>
        </w:rPr>
        <w:t xml:space="preserve"> </w:t>
      </w:r>
      <w:r w:rsidRPr="00D915E0">
        <w:rPr>
          <w:rFonts w:cs="Arial" w:hint="cs"/>
          <w:sz w:val="20"/>
          <w:szCs w:val="20"/>
          <w:rtl/>
        </w:rPr>
        <w:t>מראשון</w:t>
      </w:r>
      <w:r w:rsidRPr="00D915E0">
        <w:rPr>
          <w:rFonts w:cs="Arial"/>
          <w:sz w:val="20"/>
          <w:szCs w:val="20"/>
          <w:rtl/>
        </w:rPr>
        <w:t xml:space="preserve">! </w:t>
      </w:r>
      <w:r w:rsidRPr="00D915E0">
        <w:rPr>
          <w:rFonts w:cs="Arial" w:hint="cs"/>
          <w:sz w:val="20"/>
          <w:szCs w:val="20"/>
          <w:rtl/>
        </w:rPr>
        <w:t>אלא</w:t>
      </w:r>
      <w:r w:rsidRPr="00D915E0">
        <w:rPr>
          <w:rFonts w:cs="Arial"/>
          <w:sz w:val="20"/>
          <w:szCs w:val="20"/>
          <w:rtl/>
        </w:rPr>
        <w:t xml:space="preserve"> </w:t>
      </w:r>
      <w:r w:rsidRPr="00D915E0">
        <w:rPr>
          <w:rFonts w:cs="Arial" w:hint="cs"/>
          <w:sz w:val="20"/>
          <w:szCs w:val="20"/>
          <w:rtl/>
        </w:rPr>
        <w:t>אמר</w:t>
      </w:r>
      <w:r w:rsidRPr="00D915E0">
        <w:rPr>
          <w:rFonts w:cs="Arial"/>
          <w:sz w:val="20"/>
          <w:szCs w:val="20"/>
          <w:rtl/>
        </w:rPr>
        <w:t xml:space="preserve"> </w:t>
      </w:r>
      <w:r w:rsidRPr="00D915E0">
        <w:rPr>
          <w:rFonts w:cs="Arial" w:hint="cs"/>
          <w:sz w:val="20"/>
          <w:szCs w:val="20"/>
          <w:rtl/>
        </w:rPr>
        <w:t>רבא</w:t>
      </w:r>
      <w:r w:rsidRPr="00D915E0">
        <w:rPr>
          <w:rFonts w:cs="Arial"/>
          <w:sz w:val="20"/>
          <w:szCs w:val="20"/>
          <w:rtl/>
        </w:rPr>
        <w:t xml:space="preserve">: </w:t>
      </w:r>
      <w:r w:rsidRPr="00D915E0">
        <w:rPr>
          <w:rFonts w:cs="Arial" w:hint="cs"/>
          <w:sz w:val="20"/>
          <w:szCs w:val="20"/>
          <w:rtl/>
        </w:rPr>
        <w:t>לחוש</w:t>
      </w:r>
      <w:r w:rsidRPr="00D915E0">
        <w:rPr>
          <w:rFonts w:cs="Arial"/>
          <w:sz w:val="20"/>
          <w:szCs w:val="20"/>
          <w:rtl/>
        </w:rPr>
        <w:t xml:space="preserve"> </w:t>
      </w:r>
      <w:r w:rsidRPr="00D915E0">
        <w:rPr>
          <w:rFonts w:cs="Arial" w:hint="cs"/>
          <w:sz w:val="20"/>
          <w:szCs w:val="20"/>
          <w:rtl/>
        </w:rPr>
        <w:t>חוששת</w:t>
      </w:r>
      <w:r w:rsidRPr="00D915E0">
        <w:rPr>
          <w:rFonts w:cs="Arial"/>
          <w:sz w:val="20"/>
          <w:szCs w:val="20"/>
          <w:rtl/>
        </w:rPr>
        <w:t xml:space="preserve">, </w:t>
      </w:r>
      <w:r w:rsidRPr="00D915E0">
        <w:rPr>
          <w:rFonts w:cs="Arial" w:hint="cs"/>
          <w:sz w:val="20"/>
          <w:szCs w:val="20"/>
          <w:rtl/>
        </w:rPr>
        <w:t>מימנא</w:t>
      </w:r>
      <w:r w:rsidRPr="00D915E0">
        <w:rPr>
          <w:rFonts w:cs="Arial"/>
          <w:sz w:val="20"/>
          <w:szCs w:val="20"/>
          <w:rtl/>
        </w:rPr>
        <w:t xml:space="preserve"> </w:t>
      </w:r>
      <w:r w:rsidRPr="00D915E0">
        <w:rPr>
          <w:rFonts w:cs="Arial" w:hint="cs"/>
          <w:sz w:val="20"/>
          <w:szCs w:val="20"/>
          <w:rtl/>
        </w:rPr>
        <w:t>לא</w:t>
      </w:r>
      <w:r w:rsidRPr="00D915E0">
        <w:rPr>
          <w:rFonts w:cs="Arial"/>
          <w:sz w:val="20"/>
          <w:szCs w:val="20"/>
          <w:rtl/>
        </w:rPr>
        <w:t xml:space="preserve"> </w:t>
      </w:r>
      <w:r w:rsidRPr="00D915E0">
        <w:rPr>
          <w:rFonts w:cs="Arial" w:hint="cs"/>
          <w:sz w:val="20"/>
          <w:szCs w:val="20"/>
          <w:rtl/>
        </w:rPr>
        <w:t>ממניא</w:t>
      </w:r>
      <w:r w:rsidRPr="00D915E0">
        <w:rPr>
          <w:rFonts w:cs="Arial"/>
          <w:sz w:val="20"/>
          <w:szCs w:val="20"/>
          <w:rtl/>
        </w:rPr>
        <w:t xml:space="preserve"> </w:t>
      </w:r>
      <w:r w:rsidRPr="00D915E0">
        <w:rPr>
          <w:rFonts w:cs="Arial" w:hint="cs"/>
          <w:sz w:val="20"/>
          <w:szCs w:val="20"/>
          <w:rtl/>
        </w:rPr>
        <w:t>אלא</w:t>
      </w:r>
      <w:r w:rsidRPr="00D915E0">
        <w:rPr>
          <w:rFonts w:cs="Arial"/>
          <w:sz w:val="20"/>
          <w:szCs w:val="20"/>
          <w:rtl/>
        </w:rPr>
        <w:t xml:space="preserve"> </w:t>
      </w:r>
      <w:r w:rsidRPr="00D915E0">
        <w:rPr>
          <w:rFonts w:cs="Arial" w:hint="cs"/>
          <w:sz w:val="20"/>
          <w:szCs w:val="20"/>
          <w:rtl/>
        </w:rPr>
        <w:t>לשני</w:t>
      </w:r>
      <w:r>
        <w:rPr>
          <w:rFonts w:cs="Arial" w:hint="cs"/>
          <w:sz w:val="20"/>
          <w:szCs w:val="20"/>
          <w:rtl/>
        </w:rPr>
        <w:t xml:space="preserve">. </w:t>
      </w:r>
      <w:r w:rsidRPr="00AE2C09">
        <w:rPr>
          <w:rFonts w:cs="Arial" w:hint="cs"/>
          <w:sz w:val="20"/>
          <w:szCs w:val="20"/>
          <w:rtl/>
        </w:rPr>
        <w:t>מאי</w:t>
      </w:r>
      <w:r w:rsidRPr="00AE2C09">
        <w:rPr>
          <w:rFonts w:cs="Arial"/>
          <w:sz w:val="20"/>
          <w:szCs w:val="20"/>
          <w:rtl/>
        </w:rPr>
        <w:t xml:space="preserve"> </w:t>
      </w:r>
      <w:r w:rsidRPr="00AE2C09">
        <w:rPr>
          <w:rFonts w:cs="Arial" w:hint="cs"/>
          <w:sz w:val="20"/>
          <w:szCs w:val="20"/>
          <w:rtl/>
        </w:rPr>
        <w:t>ק</w:t>
      </w:r>
      <w:r>
        <w:rPr>
          <w:rFonts w:cs="Arial" w:hint="cs"/>
          <w:sz w:val="20"/>
          <w:szCs w:val="20"/>
          <w:rtl/>
        </w:rPr>
        <w:t xml:space="preserve">א משמע </w:t>
      </w:r>
      <w:r w:rsidRPr="00AE2C09">
        <w:rPr>
          <w:rFonts w:cs="Arial" w:hint="cs"/>
          <w:sz w:val="20"/>
          <w:szCs w:val="20"/>
          <w:rtl/>
        </w:rPr>
        <w:t>ל</w:t>
      </w:r>
      <w:r>
        <w:rPr>
          <w:rFonts w:cs="Arial" w:hint="cs"/>
          <w:sz w:val="20"/>
          <w:szCs w:val="20"/>
          <w:rtl/>
        </w:rPr>
        <w:t>ן</w:t>
      </w:r>
      <w:r w:rsidRPr="00AE2C09">
        <w:rPr>
          <w:rFonts w:cs="Arial"/>
          <w:sz w:val="20"/>
          <w:szCs w:val="20"/>
          <w:rtl/>
        </w:rPr>
        <w:t xml:space="preserve">? </w:t>
      </w:r>
      <w:r w:rsidRPr="00AE2C09">
        <w:rPr>
          <w:rFonts w:cs="Arial" w:hint="cs"/>
          <w:sz w:val="20"/>
          <w:szCs w:val="20"/>
          <w:rtl/>
        </w:rPr>
        <w:t>דאין</w:t>
      </w:r>
      <w:r w:rsidRPr="00AE2C09">
        <w:rPr>
          <w:rFonts w:cs="Arial"/>
          <w:sz w:val="20"/>
          <w:szCs w:val="20"/>
          <w:rtl/>
        </w:rPr>
        <w:t xml:space="preserve"> </w:t>
      </w:r>
      <w:r w:rsidRPr="00AE2C09">
        <w:rPr>
          <w:rFonts w:cs="Arial" w:hint="cs"/>
          <w:sz w:val="20"/>
          <w:szCs w:val="20"/>
          <w:rtl/>
        </w:rPr>
        <w:t>מקצת</w:t>
      </w:r>
      <w:r w:rsidRPr="00AE2C09">
        <w:rPr>
          <w:rFonts w:cs="Arial"/>
          <w:sz w:val="20"/>
          <w:szCs w:val="20"/>
          <w:rtl/>
        </w:rPr>
        <w:t xml:space="preserve"> </w:t>
      </w:r>
      <w:r w:rsidRPr="00AE2C09">
        <w:rPr>
          <w:rFonts w:cs="Arial" w:hint="cs"/>
          <w:sz w:val="20"/>
          <w:szCs w:val="20"/>
          <w:rtl/>
        </w:rPr>
        <w:t>שליא</w:t>
      </w:r>
      <w:r w:rsidRPr="00AE2C09">
        <w:rPr>
          <w:rFonts w:cs="Arial"/>
          <w:sz w:val="20"/>
          <w:szCs w:val="20"/>
          <w:rtl/>
        </w:rPr>
        <w:t xml:space="preserve"> </w:t>
      </w:r>
      <w:r w:rsidRPr="00AE2C09">
        <w:rPr>
          <w:rFonts w:cs="Arial" w:hint="cs"/>
          <w:sz w:val="20"/>
          <w:szCs w:val="20"/>
          <w:rtl/>
        </w:rPr>
        <w:t>בלא</w:t>
      </w:r>
      <w:r w:rsidRPr="00AE2C09">
        <w:rPr>
          <w:rFonts w:cs="Arial"/>
          <w:sz w:val="20"/>
          <w:szCs w:val="20"/>
          <w:rtl/>
        </w:rPr>
        <w:t xml:space="preserve"> </w:t>
      </w:r>
      <w:r w:rsidRPr="00AE2C09">
        <w:rPr>
          <w:rFonts w:cs="Arial" w:hint="cs"/>
          <w:sz w:val="20"/>
          <w:szCs w:val="20"/>
          <w:rtl/>
        </w:rPr>
        <w:t>ולד</w:t>
      </w:r>
      <w:r>
        <w:rPr>
          <w:rFonts w:cs="Arial" w:hint="cs"/>
          <w:sz w:val="20"/>
          <w:szCs w:val="20"/>
          <w:rtl/>
        </w:rPr>
        <w:t>..."</w:t>
      </w:r>
    </w:p>
    <w:p w:rsidR="00620060" w:rsidRDefault="00620060" w:rsidP="00620060">
      <w:pPr>
        <w:rPr>
          <w:sz w:val="20"/>
          <w:szCs w:val="20"/>
          <w:rtl/>
        </w:rPr>
      </w:pPr>
      <w:r>
        <w:rPr>
          <w:rFonts w:hint="cs"/>
          <w:sz w:val="20"/>
          <w:szCs w:val="20"/>
          <w:u w:val="single"/>
          <w:rtl/>
        </w:rPr>
        <w:t>הסבר</w:t>
      </w:r>
      <w:r>
        <w:rPr>
          <w:sz w:val="20"/>
          <w:szCs w:val="20"/>
          <w:u w:val="single"/>
          <w:rtl/>
        </w:rPr>
        <w:br/>
      </w:r>
      <w:r>
        <w:rPr>
          <w:rFonts w:hint="cs"/>
          <w:sz w:val="20"/>
          <w:szCs w:val="20"/>
          <w:rtl/>
        </w:rPr>
        <w:t>שליה שיצאה מקצתה ביום ראשון ומקצתה ביום שני, היולדת טמאה מיום הראשון אך אינה מונה שבועיים לטומאתה מיום ראשון אלא מיום שני.</w:t>
      </w:r>
      <w:r>
        <w:rPr>
          <w:sz w:val="20"/>
          <w:szCs w:val="20"/>
          <w:rtl/>
        </w:rPr>
        <w:br/>
      </w:r>
      <w:r>
        <w:rPr>
          <w:rFonts w:hint="cs"/>
          <w:sz w:val="20"/>
          <w:szCs w:val="20"/>
          <w:rtl/>
        </w:rPr>
        <w:t xml:space="preserve">טעם הדין </w:t>
      </w:r>
      <w:r>
        <w:rPr>
          <w:sz w:val="20"/>
          <w:szCs w:val="20"/>
          <w:rtl/>
        </w:rPr>
        <w:t>–</w:t>
      </w:r>
      <w:r>
        <w:rPr>
          <w:rFonts w:hint="cs"/>
          <w:sz w:val="20"/>
          <w:szCs w:val="20"/>
          <w:rtl/>
        </w:rPr>
        <w:t xml:space="preserve"> בכל מקצת שליה יש וולד, וחוששים שמא באותה מקצת שליה יש את רוב הוולד.</w:t>
      </w:r>
    </w:p>
    <w:p w:rsidR="00620060" w:rsidRDefault="00620060" w:rsidP="00620060">
      <w:pPr>
        <w:rPr>
          <w:sz w:val="20"/>
          <w:szCs w:val="20"/>
          <w:rtl/>
        </w:rPr>
      </w:pPr>
      <w:r>
        <w:rPr>
          <w:rFonts w:hint="cs"/>
          <w:b/>
          <w:bCs/>
          <w:sz w:val="20"/>
          <w:szCs w:val="20"/>
          <w:rtl/>
        </w:rPr>
        <w:lastRenderedPageBreak/>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Pr>
          <w:rFonts w:hint="cs"/>
          <w:rtl/>
        </w:rPr>
        <w:t>י</w:t>
      </w:r>
      <w:r w:rsidRPr="00AE2C09">
        <w:rPr>
          <w:rFonts w:cs="Arial" w:hint="cs"/>
          <w:sz w:val="20"/>
          <w:szCs w:val="20"/>
          <w:rtl/>
        </w:rPr>
        <w:t>צאה</w:t>
      </w:r>
      <w:r w:rsidRPr="00AE2C09">
        <w:rPr>
          <w:rFonts w:cs="Arial"/>
          <w:sz w:val="20"/>
          <w:szCs w:val="20"/>
          <w:rtl/>
        </w:rPr>
        <w:t xml:space="preserve"> </w:t>
      </w:r>
      <w:r w:rsidRPr="00AE2C09">
        <w:rPr>
          <w:rFonts w:cs="Arial" w:hint="cs"/>
          <w:sz w:val="20"/>
          <w:szCs w:val="20"/>
          <w:rtl/>
        </w:rPr>
        <w:t>מקצת</w:t>
      </w:r>
      <w:r w:rsidRPr="00AE2C09">
        <w:rPr>
          <w:rFonts w:cs="Arial"/>
          <w:sz w:val="20"/>
          <w:szCs w:val="20"/>
          <w:rtl/>
        </w:rPr>
        <w:t xml:space="preserve"> </w:t>
      </w:r>
      <w:r w:rsidRPr="00AE2C09">
        <w:rPr>
          <w:rFonts w:cs="Arial" w:hint="cs"/>
          <w:sz w:val="20"/>
          <w:szCs w:val="20"/>
          <w:rtl/>
        </w:rPr>
        <w:t>שלי</w:t>
      </w:r>
      <w:r>
        <w:rPr>
          <w:rFonts w:cs="Arial" w:hint="cs"/>
          <w:sz w:val="20"/>
          <w:szCs w:val="20"/>
          <w:rtl/>
        </w:rPr>
        <w:t>ה</w:t>
      </w:r>
      <w:r w:rsidRPr="00AE2C09">
        <w:rPr>
          <w:rFonts w:cs="Arial"/>
          <w:sz w:val="20"/>
          <w:szCs w:val="20"/>
          <w:rtl/>
        </w:rPr>
        <w:t xml:space="preserve"> </w:t>
      </w:r>
      <w:r w:rsidRPr="00AE2C09">
        <w:rPr>
          <w:rFonts w:cs="Arial" w:hint="cs"/>
          <w:sz w:val="20"/>
          <w:szCs w:val="20"/>
          <w:rtl/>
        </w:rPr>
        <w:t>ביום</w:t>
      </w:r>
      <w:r w:rsidRPr="00AE2C09">
        <w:rPr>
          <w:rFonts w:cs="Arial"/>
          <w:sz w:val="20"/>
          <w:szCs w:val="20"/>
          <w:rtl/>
        </w:rPr>
        <w:t xml:space="preserve"> </w:t>
      </w:r>
      <w:r w:rsidRPr="00AE2C09">
        <w:rPr>
          <w:rFonts w:cs="Arial" w:hint="cs"/>
          <w:sz w:val="20"/>
          <w:szCs w:val="20"/>
          <w:rtl/>
        </w:rPr>
        <w:t>ראשון</w:t>
      </w:r>
      <w:r w:rsidRPr="00AE2C09">
        <w:rPr>
          <w:rFonts w:cs="Arial"/>
          <w:sz w:val="20"/>
          <w:szCs w:val="20"/>
          <w:rtl/>
        </w:rPr>
        <w:t xml:space="preserve">, </w:t>
      </w:r>
      <w:r w:rsidRPr="00AE2C09">
        <w:rPr>
          <w:rFonts w:cs="Arial" w:hint="cs"/>
          <w:sz w:val="20"/>
          <w:szCs w:val="20"/>
          <w:rtl/>
        </w:rPr>
        <w:t>ולא</w:t>
      </w:r>
      <w:r w:rsidRPr="00AE2C09">
        <w:rPr>
          <w:rFonts w:cs="Arial"/>
          <w:sz w:val="20"/>
          <w:szCs w:val="20"/>
          <w:rtl/>
        </w:rPr>
        <w:t xml:space="preserve"> </w:t>
      </w:r>
      <w:r w:rsidRPr="00AE2C09">
        <w:rPr>
          <w:rFonts w:cs="Arial" w:hint="cs"/>
          <w:sz w:val="20"/>
          <w:szCs w:val="20"/>
          <w:rtl/>
        </w:rPr>
        <w:t>נגמרה</w:t>
      </w:r>
      <w:r w:rsidRPr="00AE2C09">
        <w:rPr>
          <w:rFonts w:cs="Arial"/>
          <w:sz w:val="20"/>
          <w:szCs w:val="20"/>
          <w:rtl/>
        </w:rPr>
        <w:t xml:space="preserve"> </w:t>
      </w:r>
      <w:r w:rsidRPr="00AE2C09">
        <w:rPr>
          <w:rFonts w:cs="Arial" w:hint="cs"/>
          <w:sz w:val="20"/>
          <w:szCs w:val="20"/>
          <w:rtl/>
        </w:rPr>
        <w:t>יציאתה</w:t>
      </w:r>
      <w:r w:rsidRPr="00AE2C09">
        <w:rPr>
          <w:rFonts w:cs="Arial"/>
          <w:sz w:val="20"/>
          <w:szCs w:val="20"/>
          <w:rtl/>
        </w:rPr>
        <w:t xml:space="preserve"> </w:t>
      </w:r>
      <w:r w:rsidRPr="00AE2C09">
        <w:rPr>
          <w:rFonts w:cs="Arial" w:hint="cs"/>
          <w:sz w:val="20"/>
          <w:szCs w:val="20"/>
          <w:rtl/>
        </w:rPr>
        <w:t>עד</w:t>
      </w:r>
      <w:r w:rsidRPr="00AE2C09">
        <w:rPr>
          <w:rFonts w:cs="Arial"/>
          <w:sz w:val="20"/>
          <w:szCs w:val="20"/>
          <w:rtl/>
        </w:rPr>
        <w:t xml:space="preserve"> </w:t>
      </w:r>
      <w:r w:rsidRPr="00AE2C09">
        <w:rPr>
          <w:rFonts w:cs="Arial" w:hint="cs"/>
          <w:sz w:val="20"/>
          <w:szCs w:val="20"/>
          <w:rtl/>
        </w:rPr>
        <w:t>יום</w:t>
      </w:r>
      <w:r w:rsidRPr="00AE2C09">
        <w:rPr>
          <w:rFonts w:cs="Arial"/>
          <w:sz w:val="20"/>
          <w:szCs w:val="20"/>
          <w:rtl/>
        </w:rPr>
        <w:t xml:space="preserve"> </w:t>
      </w:r>
      <w:r w:rsidRPr="00AE2C09">
        <w:rPr>
          <w:rFonts w:cs="Arial" w:hint="cs"/>
          <w:sz w:val="20"/>
          <w:szCs w:val="20"/>
          <w:rtl/>
        </w:rPr>
        <w:t>ב</w:t>
      </w:r>
      <w:r w:rsidRPr="00AE2C09">
        <w:rPr>
          <w:rFonts w:cs="Arial"/>
          <w:sz w:val="20"/>
          <w:szCs w:val="20"/>
          <w:rtl/>
        </w:rPr>
        <w:t xml:space="preserve">', </w:t>
      </w:r>
      <w:r w:rsidRPr="00AE2C09">
        <w:rPr>
          <w:rFonts w:cs="Arial" w:hint="cs"/>
          <w:sz w:val="20"/>
          <w:szCs w:val="20"/>
          <w:rtl/>
        </w:rPr>
        <w:t>חוששת</w:t>
      </w:r>
      <w:r w:rsidRPr="00AE2C09">
        <w:rPr>
          <w:rFonts w:cs="Arial"/>
          <w:sz w:val="20"/>
          <w:szCs w:val="20"/>
          <w:rtl/>
        </w:rPr>
        <w:t xml:space="preserve"> </w:t>
      </w:r>
      <w:r w:rsidRPr="00AE2C09">
        <w:rPr>
          <w:rFonts w:cs="Arial" w:hint="cs"/>
          <w:sz w:val="20"/>
          <w:szCs w:val="20"/>
          <w:rtl/>
        </w:rPr>
        <w:t>מיום</w:t>
      </w:r>
      <w:r w:rsidRPr="00AE2C09">
        <w:rPr>
          <w:rFonts w:cs="Arial"/>
          <w:sz w:val="20"/>
          <w:szCs w:val="20"/>
          <w:rtl/>
        </w:rPr>
        <w:t xml:space="preserve"> </w:t>
      </w:r>
      <w:r w:rsidRPr="00AE2C09">
        <w:rPr>
          <w:rFonts w:cs="Arial" w:hint="cs"/>
          <w:sz w:val="20"/>
          <w:szCs w:val="20"/>
          <w:rtl/>
        </w:rPr>
        <w:t>ראשון</w:t>
      </w:r>
      <w:r w:rsidRPr="00AE2C09">
        <w:rPr>
          <w:rFonts w:cs="Arial"/>
          <w:sz w:val="20"/>
          <w:szCs w:val="20"/>
          <w:rtl/>
        </w:rPr>
        <w:t xml:space="preserve"> </w:t>
      </w:r>
      <w:r w:rsidRPr="00AE2C09">
        <w:rPr>
          <w:rFonts w:cs="Arial" w:hint="cs"/>
          <w:sz w:val="20"/>
          <w:szCs w:val="20"/>
          <w:rtl/>
        </w:rPr>
        <w:t>אבל</w:t>
      </w:r>
      <w:r w:rsidRPr="00AE2C09">
        <w:rPr>
          <w:rFonts w:cs="Arial"/>
          <w:sz w:val="20"/>
          <w:szCs w:val="20"/>
          <w:rtl/>
        </w:rPr>
        <w:t xml:space="preserve"> </w:t>
      </w:r>
      <w:r w:rsidRPr="00AE2C09">
        <w:rPr>
          <w:rFonts w:cs="Arial" w:hint="cs"/>
          <w:sz w:val="20"/>
          <w:szCs w:val="20"/>
          <w:rtl/>
        </w:rPr>
        <w:t>אינה</w:t>
      </w:r>
      <w:r w:rsidRPr="00AE2C09">
        <w:rPr>
          <w:rFonts w:cs="Arial"/>
          <w:sz w:val="20"/>
          <w:szCs w:val="20"/>
          <w:rtl/>
        </w:rPr>
        <w:t xml:space="preserve"> </w:t>
      </w:r>
      <w:r w:rsidRPr="00AE2C09">
        <w:rPr>
          <w:rFonts w:cs="Arial" w:hint="cs"/>
          <w:sz w:val="20"/>
          <w:szCs w:val="20"/>
          <w:rtl/>
        </w:rPr>
        <w:t>מונה</w:t>
      </w:r>
      <w:r w:rsidRPr="00AE2C09">
        <w:rPr>
          <w:rFonts w:cs="Arial"/>
          <w:sz w:val="20"/>
          <w:szCs w:val="20"/>
          <w:rtl/>
        </w:rPr>
        <w:t xml:space="preserve"> </w:t>
      </w:r>
      <w:r w:rsidRPr="00AE2C09">
        <w:rPr>
          <w:rFonts w:cs="Arial" w:hint="cs"/>
          <w:sz w:val="20"/>
          <w:szCs w:val="20"/>
          <w:rtl/>
        </w:rPr>
        <w:t>אלא</w:t>
      </w:r>
      <w:r w:rsidRPr="00AE2C09">
        <w:rPr>
          <w:rFonts w:cs="Arial"/>
          <w:sz w:val="20"/>
          <w:szCs w:val="20"/>
          <w:rtl/>
        </w:rPr>
        <w:t xml:space="preserve"> </w:t>
      </w:r>
      <w:r w:rsidRPr="00AE2C09">
        <w:rPr>
          <w:rFonts w:cs="Arial" w:hint="cs"/>
          <w:sz w:val="20"/>
          <w:szCs w:val="20"/>
          <w:rtl/>
        </w:rPr>
        <w:t>מיום</w:t>
      </w:r>
      <w:r w:rsidRPr="00AE2C09">
        <w:rPr>
          <w:rFonts w:cs="Arial"/>
          <w:sz w:val="20"/>
          <w:szCs w:val="20"/>
          <w:rtl/>
        </w:rPr>
        <w:t xml:space="preserve"> </w:t>
      </w:r>
      <w:r w:rsidRPr="00AE2C09">
        <w:rPr>
          <w:rFonts w:cs="Arial" w:hint="cs"/>
          <w:sz w:val="20"/>
          <w:szCs w:val="20"/>
          <w:rtl/>
        </w:rPr>
        <w:t>שני</w:t>
      </w:r>
      <w:r>
        <w:rPr>
          <w:rFonts w:cs="Arial" w:hint="cs"/>
          <w:sz w:val="20"/>
          <w:szCs w:val="20"/>
          <w:rtl/>
        </w:rPr>
        <w:t>".</w:t>
      </w:r>
    </w:p>
    <w:p w:rsidR="00620060" w:rsidRDefault="00620060" w:rsidP="00620060">
      <w:pPr>
        <w:rPr>
          <w:sz w:val="20"/>
          <w:szCs w:val="20"/>
          <w:rtl/>
        </w:rPr>
      </w:pPr>
      <w:r>
        <w:rPr>
          <w:sz w:val="20"/>
          <w:szCs w:val="20"/>
          <w:rtl/>
        </w:rPr>
        <w:br/>
      </w:r>
      <w:r>
        <w:rPr>
          <w:rFonts w:hint="cs"/>
          <w:b/>
          <w:bCs/>
          <w:sz w:val="20"/>
          <w:szCs w:val="20"/>
          <w:rtl/>
        </w:rPr>
        <w:t xml:space="preserve">סעיף ז </w:t>
      </w:r>
      <w:r>
        <w:rPr>
          <w:b/>
          <w:bCs/>
          <w:sz w:val="20"/>
          <w:szCs w:val="20"/>
          <w:rtl/>
        </w:rPr>
        <w:t>–</w:t>
      </w:r>
      <w:r>
        <w:rPr>
          <w:rFonts w:hint="cs"/>
          <w:b/>
          <w:bCs/>
          <w:sz w:val="20"/>
          <w:szCs w:val="20"/>
          <w:rtl/>
        </w:rPr>
        <w:t xml:space="preserve"> שליה קשורה לוולד משונה</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גמרא </w:t>
      </w:r>
      <w:r>
        <w:rPr>
          <w:rFonts w:hint="cs"/>
          <w:sz w:val="20"/>
          <w:szCs w:val="20"/>
          <w:rtl/>
        </w:rPr>
        <w:t>נידה (כו:) "</w:t>
      </w:r>
      <w:r w:rsidRPr="00401F01">
        <w:rPr>
          <w:rFonts w:cs="Arial" w:hint="cs"/>
          <w:sz w:val="20"/>
          <w:szCs w:val="20"/>
          <w:rtl/>
        </w:rPr>
        <w:t>המפלת</w:t>
      </w:r>
      <w:r w:rsidRPr="00401F01">
        <w:rPr>
          <w:rFonts w:cs="Arial"/>
          <w:sz w:val="20"/>
          <w:szCs w:val="20"/>
          <w:rtl/>
        </w:rPr>
        <w:t xml:space="preserve"> </w:t>
      </w:r>
      <w:r w:rsidRPr="00401F01">
        <w:rPr>
          <w:rFonts w:cs="Arial" w:hint="cs"/>
          <w:sz w:val="20"/>
          <w:szCs w:val="20"/>
          <w:rtl/>
        </w:rPr>
        <w:t>מין</w:t>
      </w:r>
      <w:r w:rsidRPr="00401F01">
        <w:rPr>
          <w:rFonts w:cs="Arial"/>
          <w:sz w:val="20"/>
          <w:szCs w:val="20"/>
          <w:rtl/>
        </w:rPr>
        <w:t xml:space="preserve"> </w:t>
      </w:r>
      <w:r w:rsidRPr="00401F01">
        <w:rPr>
          <w:rFonts w:cs="Arial" w:hint="cs"/>
          <w:sz w:val="20"/>
          <w:szCs w:val="20"/>
          <w:rtl/>
        </w:rPr>
        <w:t>בהמה</w:t>
      </w:r>
      <w:r w:rsidRPr="00401F01">
        <w:rPr>
          <w:rFonts w:cs="Arial"/>
          <w:sz w:val="20"/>
          <w:szCs w:val="20"/>
          <w:rtl/>
        </w:rPr>
        <w:t xml:space="preserve"> </w:t>
      </w:r>
      <w:r w:rsidRPr="00401F01">
        <w:rPr>
          <w:rFonts w:cs="Arial" w:hint="cs"/>
          <w:sz w:val="20"/>
          <w:szCs w:val="20"/>
          <w:rtl/>
        </w:rPr>
        <w:t>חיה</w:t>
      </w:r>
      <w:r w:rsidRPr="00401F01">
        <w:rPr>
          <w:rFonts w:cs="Arial"/>
          <w:sz w:val="20"/>
          <w:szCs w:val="20"/>
          <w:rtl/>
        </w:rPr>
        <w:t xml:space="preserve"> </w:t>
      </w:r>
      <w:r w:rsidRPr="00401F01">
        <w:rPr>
          <w:rFonts w:cs="Arial" w:hint="cs"/>
          <w:sz w:val="20"/>
          <w:szCs w:val="20"/>
          <w:rtl/>
        </w:rPr>
        <w:t>ועוף</w:t>
      </w:r>
      <w:r w:rsidRPr="00401F01">
        <w:rPr>
          <w:rFonts w:cs="Arial"/>
          <w:sz w:val="20"/>
          <w:szCs w:val="20"/>
          <w:rtl/>
        </w:rPr>
        <w:t xml:space="preserve"> </w:t>
      </w:r>
      <w:r w:rsidRPr="00401F01">
        <w:rPr>
          <w:rFonts w:cs="Arial" w:hint="cs"/>
          <w:sz w:val="20"/>
          <w:szCs w:val="20"/>
          <w:rtl/>
        </w:rPr>
        <w:t>ושליא</w:t>
      </w:r>
      <w:r w:rsidRPr="00401F01">
        <w:rPr>
          <w:rFonts w:cs="Arial"/>
          <w:sz w:val="20"/>
          <w:szCs w:val="20"/>
          <w:rtl/>
        </w:rPr>
        <w:t xml:space="preserve"> </w:t>
      </w:r>
      <w:r w:rsidRPr="00401F01">
        <w:rPr>
          <w:rFonts w:cs="Arial" w:hint="cs"/>
          <w:sz w:val="20"/>
          <w:szCs w:val="20"/>
          <w:rtl/>
        </w:rPr>
        <w:t>עמהן</w:t>
      </w:r>
      <w:r w:rsidRPr="00401F01">
        <w:rPr>
          <w:rFonts w:cs="Arial"/>
          <w:sz w:val="20"/>
          <w:szCs w:val="20"/>
          <w:rtl/>
        </w:rPr>
        <w:t xml:space="preserve">, </w:t>
      </w:r>
      <w:r w:rsidRPr="00401F01">
        <w:rPr>
          <w:rFonts w:cs="Arial" w:hint="cs"/>
          <w:sz w:val="20"/>
          <w:szCs w:val="20"/>
          <w:rtl/>
        </w:rPr>
        <w:t>בזמן</w:t>
      </w:r>
      <w:r w:rsidRPr="00401F01">
        <w:rPr>
          <w:rFonts w:cs="Arial"/>
          <w:sz w:val="20"/>
          <w:szCs w:val="20"/>
          <w:rtl/>
        </w:rPr>
        <w:t xml:space="preserve"> </w:t>
      </w:r>
      <w:r w:rsidRPr="00401F01">
        <w:rPr>
          <w:rFonts w:cs="Arial" w:hint="cs"/>
          <w:sz w:val="20"/>
          <w:szCs w:val="20"/>
          <w:rtl/>
        </w:rPr>
        <w:t>שהשליא</w:t>
      </w:r>
      <w:r w:rsidRPr="00401F01">
        <w:rPr>
          <w:rFonts w:cs="Arial"/>
          <w:sz w:val="20"/>
          <w:szCs w:val="20"/>
          <w:rtl/>
        </w:rPr>
        <w:t xml:space="preserve"> </w:t>
      </w:r>
      <w:r w:rsidRPr="00401F01">
        <w:rPr>
          <w:rFonts w:cs="Arial" w:hint="cs"/>
          <w:sz w:val="20"/>
          <w:szCs w:val="20"/>
          <w:rtl/>
        </w:rPr>
        <w:t>קשורה</w:t>
      </w:r>
      <w:r w:rsidRPr="00401F01">
        <w:rPr>
          <w:rFonts w:cs="Arial"/>
          <w:sz w:val="20"/>
          <w:szCs w:val="20"/>
          <w:rtl/>
        </w:rPr>
        <w:t xml:space="preserve"> </w:t>
      </w:r>
      <w:r w:rsidRPr="00401F01">
        <w:rPr>
          <w:rFonts w:cs="Arial" w:hint="cs"/>
          <w:sz w:val="20"/>
          <w:szCs w:val="20"/>
          <w:rtl/>
        </w:rPr>
        <w:t>עמהן</w:t>
      </w:r>
      <w:r w:rsidRPr="00401F01">
        <w:rPr>
          <w:rFonts w:cs="Arial"/>
          <w:sz w:val="20"/>
          <w:szCs w:val="20"/>
          <w:rtl/>
        </w:rPr>
        <w:t xml:space="preserve"> - </w:t>
      </w:r>
      <w:r w:rsidRPr="00401F01">
        <w:rPr>
          <w:rFonts w:cs="Arial" w:hint="cs"/>
          <w:sz w:val="20"/>
          <w:szCs w:val="20"/>
          <w:rtl/>
        </w:rPr>
        <w:t>אין</w:t>
      </w:r>
      <w:r w:rsidRPr="00401F01">
        <w:rPr>
          <w:rFonts w:cs="Arial"/>
          <w:sz w:val="20"/>
          <w:szCs w:val="20"/>
          <w:rtl/>
        </w:rPr>
        <w:t xml:space="preserve"> </w:t>
      </w:r>
      <w:r w:rsidRPr="00401F01">
        <w:rPr>
          <w:rFonts w:cs="Arial" w:hint="cs"/>
          <w:sz w:val="20"/>
          <w:szCs w:val="20"/>
          <w:rtl/>
        </w:rPr>
        <w:t>חוששין</w:t>
      </w:r>
      <w:r w:rsidRPr="00401F01">
        <w:rPr>
          <w:rFonts w:cs="Arial"/>
          <w:sz w:val="20"/>
          <w:szCs w:val="20"/>
          <w:rtl/>
        </w:rPr>
        <w:t xml:space="preserve"> </w:t>
      </w:r>
      <w:r w:rsidRPr="00401F01">
        <w:rPr>
          <w:rFonts w:cs="Arial" w:hint="cs"/>
          <w:sz w:val="20"/>
          <w:szCs w:val="20"/>
          <w:rtl/>
        </w:rPr>
        <w:t>לולד</w:t>
      </w:r>
      <w:r w:rsidRPr="00401F01">
        <w:rPr>
          <w:rFonts w:cs="Arial"/>
          <w:sz w:val="20"/>
          <w:szCs w:val="20"/>
          <w:rtl/>
        </w:rPr>
        <w:t xml:space="preserve"> </w:t>
      </w:r>
      <w:r w:rsidRPr="00401F01">
        <w:rPr>
          <w:rFonts w:cs="Arial" w:hint="cs"/>
          <w:sz w:val="20"/>
          <w:szCs w:val="20"/>
          <w:rtl/>
        </w:rPr>
        <w:t>אחר</w:t>
      </w:r>
      <w:r w:rsidRPr="00401F01">
        <w:rPr>
          <w:rFonts w:cs="Arial"/>
          <w:sz w:val="20"/>
          <w:szCs w:val="20"/>
          <w:rtl/>
        </w:rPr>
        <w:t xml:space="preserve">, </w:t>
      </w:r>
      <w:r w:rsidRPr="00401F01">
        <w:rPr>
          <w:rFonts w:cs="Arial" w:hint="cs"/>
          <w:sz w:val="20"/>
          <w:szCs w:val="20"/>
          <w:rtl/>
        </w:rPr>
        <w:t>אין</w:t>
      </w:r>
      <w:r w:rsidRPr="00401F01">
        <w:rPr>
          <w:rFonts w:cs="Arial"/>
          <w:sz w:val="20"/>
          <w:szCs w:val="20"/>
          <w:rtl/>
        </w:rPr>
        <w:t xml:space="preserve"> </w:t>
      </w:r>
      <w:r w:rsidRPr="00401F01">
        <w:rPr>
          <w:rFonts w:cs="Arial" w:hint="cs"/>
          <w:sz w:val="20"/>
          <w:szCs w:val="20"/>
          <w:rtl/>
        </w:rPr>
        <w:t>שליא</w:t>
      </w:r>
      <w:r w:rsidRPr="00401F01">
        <w:rPr>
          <w:rFonts w:cs="Arial"/>
          <w:sz w:val="20"/>
          <w:szCs w:val="20"/>
          <w:rtl/>
        </w:rPr>
        <w:t xml:space="preserve"> </w:t>
      </w:r>
      <w:r w:rsidRPr="00401F01">
        <w:rPr>
          <w:rFonts w:cs="Arial" w:hint="cs"/>
          <w:sz w:val="20"/>
          <w:szCs w:val="20"/>
          <w:rtl/>
        </w:rPr>
        <w:t>קשורה</w:t>
      </w:r>
      <w:r w:rsidRPr="00401F01">
        <w:rPr>
          <w:rFonts w:cs="Arial"/>
          <w:sz w:val="20"/>
          <w:szCs w:val="20"/>
          <w:rtl/>
        </w:rPr>
        <w:t xml:space="preserve"> </w:t>
      </w:r>
      <w:r w:rsidRPr="00401F01">
        <w:rPr>
          <w:rFonts w:cs="Arial" w:hint="cs"/>
          <w:sz w:val="20"/>
          <w:szCs w:val="20"/>
          <w:rtl/>
        </w:rPr>
        <w:t>עמהן</w:t>
      </w:r>
      <w:r w:rsidRPr="00401F01">
        <w:rPr>
          <w:rFonts w:cs="Arial"/>
          <w:sz w:val="20"/>
          <w:szCs w:val="20"/>
          <w:rtl/>
        </w:rPr>
        <w:t xml:space="preserve"> - </w:t>
      </w:r>
      <w:r w:rsidRPr="00401F01">
        <w:rPr>
          <w:rFonts w:cs="Arial" w:hint="cs"/>
          <w:sz w:val="20"/>
          <w:szCs w:val="20"/>
          <w:rtl/>
        </w:rPr>
        <w:t>חוששין</w:t>
      </w:r>
      <w:r w:rsidRPr="00401F01">
        <w:rPr>
          <w:rFonts w:cs="Arial"/>
          <w:sz w:val="20"/>
          <w:szCs w:val="20"/>
          <w:rtl/>
        </w:rPr>
        <w:t xml:space="preserve"> </w:t>
      </w:r>
      <w:r w:rsidRPr="00401F01">
        <w:rPr>
          <w:rFonts w:cs="Arial" w:hint="cs"/>
          <w:sz w:val="20"/>
          <w:szCs w:val="20"/>
          <w:rtl/>
        </w:rPr>
        <w:t>לולד</w:t>
      </w:r>
      <w:r w:rsidRPr="00401F01">
        <w:rPr>
          <w:rFonts w:cs="Arial"/>
          <w:sz w:val="20"/>
          <w:szCs w:val="20"/>
          <w:rtl/>
        </w:rPr>
        <w:t xml:space="preserve"> </w:t>
      </w:r>
      <w:r w:rsidRPr="00401F01">
        <w:rPr>
          <w:rFonts w:cs="Arial" w:hint="cs"/>
          <w:sz w:val="20"/>
          <w:szCs w:val="20"/>
          <w:rtl/>
        </w:rPr>
        <w:t>אחר</w:t>
      </w:r>
      <w:r w:rsidRPr="00401F01">
        <w:rPr>
          <w:rFonts w:cs="Arial"/>
          <w:sz w:val="20"/>
          <w:szCs w:val="20"/>
          <w:rtl/>
        </w:rPr>
        <w:t xml:space="preserve">, </w:t>
      </w:r>
      <w:r w:rsidRPr="00401F01">
        <w:rPr>
          <w:rFonts w:cs="Arial" w:hint="cs"/>
          <w:sz w:val="20"/>
          <w:szCs w:val="20"/>
          <w:rtl/>
        </w:rPr>
        <w:t>הריני</w:t>
      </w:r>
      <w:r w:rsidRPr="00401F01">
        <w:rPr>
          <w:rFonts w:cs="Arial"/>
          <w:sz w:val="20"/>
          <w:szCs w:val="20"/>
          <w:rtl/>
        </w:rPr>
        <w:t xml:space="preserve"> </w:t>
      </w:r>
      <w:r w:rsidRPr="00401F01">
        <w:rPr>
          <w:rFonts w:cs="Arial" w:hint="cs"/>
          <w:sz w:val="20"/>
          <w:szCs w:val="20"/>
          <w:rtl/>
        </w:rPr>
        <w:t>מטיל</w:t>
      </w:r>
      <w:r w:rsidRPr="00401F01">
        <w:rPr>
          <w:rFonts w:cs="Arial"/>
          <w:sz w:val="20"/>
          <w:szCs w:val="20"/>
          <w:rtl/>
        </w:rPr>
        <w:t xml:space="preserve"> </w:t>
      </w:r>
      <w:r w:rsidRPr="00401F01">
        <w:rPr>
          <w:rFonts w:cs="Arial" w:hint="cs"/>
          <w:sz w:val="20"/>
          <w:szCs w:val="20"/>
          <w:rtl/>
        </w:rPr>
        <w:t>עליהן</w:t>
      </w:r>
      <w:r>
        <w:rPr>
          <w:rFonts w:cs="Arial" w:hint="cs"/>
          <w:sz w:val="20"/>
          <w:szCs w:val="20"/>
          <w:rtl/>
        </w:rPr>
        <w:t xml:space="preserve"> </w:t>
      </w:r>
      <w:r w:rsidRPr="00401F01">
        <w:rPr>
          <w:rFonts w:cs="Arial" w:hint="cs"/>
          <w:sz w:val="20"/>
          <w:szCs w:val="20"/>
          <w:rtl/>
        </w:rPr>
        <w:t>חומר</w:t>
      </w:r>
      <w:r w:rsidRPr="00401F01">
        <w:rPr>
          <w:rFonts w:cs="Arial"/>
          <w:sz w:val="20"/>
          <w:szCs w:val="20"/>
          <w:rtl/>
        </w:rPr>
        <w:t xml:space="preserve"> </w:t>
      </w:r>
      <w:r w:rsidRPr="00401F01">
        <w:rPr>
          <w:rFonts w:cs="Arial" w:hint="cs"/>
          <w:sz w:val="20"/>
          <w:szCs w:val="20"/>
          <w:rtl/>
        </w:rPr>
        <w:t>שני</w:t>
      </w:r>
      <w:r w:rsidRPr="00401F01">
        <w:rPr>
          <w:rFonts w:cs="Arial"/>
          <w:sz w:val="20"/>
          <w:szCs w:val="20"/>
          <w:rtl/>
        </w:rPr>
        <w:t xml:space="preserve"> </w:t>
      </w:r>
      <w:r w:rsidRPr="00401F01">
        <w:rPr>
          <w:rFonts w:cs="Arial" w:hint="cs"/>
          <w:sz w:val="20"/>
          <w:szCs w:val="20"/>
          <w:rtl/>
        </w:rPr>
        <w:t>ולדות</w:t>
      </w:r>
      <w:r>
        <w:rPr>
          <w:rFonts w:cs="Arial" w:hint="cs"/>
          <w:sz w:val="20"/>
          <w:szCs w:val="20"/>
          <w:rtl/>
        </w:rPr>
        <w:t>".</w:t>
      </w:r>
      <w:r>
        <w:rPr>
          <w:sz w:val="20"/>
          <w:szCs w:val="20"/>
          <w:rtl/>
        </w:rPr>
        <w:br/>
      </w:r>
      <w:r>
        <w:rPr>
          <w:rFonts w:hint="cs"/>
          <w:sz w:val="20"/>
          <w:szCs w:val="20"/>
          <w:rtl/>
        </w:rPr>
        <w:t>אמנם, כאשר הנפל בדמות חיה נקבה, אין נפקותא בדין זה, ועיין הערה.</w:t>
      </w:r>
      <w:r>
        <w:rPr>
          <w:rStyle w:val="a5"/>
          <w:sz w:val="20"/>
          <w:szCs w:val="20"/>
          <w:rtl/>
        </w:rPr>
        <w:footnoteReference w:id="426"/>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756FCA">
        <w:rPr>
          <w:rFonts w:cs="Arial" w:hint="cs"/>
          <w:sz w:val="20"/>
          <w:szCs w:val="20"/>
          <w:rtl/>
        </w:rPr>
        <w:t>המפלת</w:t>
      </w:r>
      <w:r w:rsidRPr="00756FCA">
        <w:rPr>
          <w:rFonts w:cs="Arial"/>
          <w:sz w:val="20"/>
          <w:szCs w:val="20"/>
          <w:rtl/>
        </w:rPr>
        <w:t xml:space="preserve"> </w:t>
      </w:r>
      <w:r w:rsidRPr="00756FCA">
        <w:rPr>
          <w:rFonts w:cs="Arial" w:hint="cs"/>
          <w:sz w:val="20"/>
          <w:szCs w:val="20"/>
          <w:rtl/>
        </w:rPr>
        <w:t>דמות</w:t>
      </w:r>
      <w:r w:rsidRPr="00756FCA">
        <w:rPr>
          <w:rFonts w:cs="Arial"/>
          <w:sz w:val="20"/>
          <w:szCs w:val="20"/>
          <w:rtl/>
        </w:rPr>
        <w:t xml:space="preserve"> </w:t>
      </w:r>
      <w:r w:rsidRPr="00756FCA">
        <w:rPr>
          <w:rFonts w:cs="Arial" w:hint="cs"/>
          <w:sz w:val="20"/>
          <w:szCs w:val="20"/>
          <w:rtl/>
        </w:rPr>
        <w:t>בהמה</w:t>
      </w:r>
      <w:r w:rsidRPr="00756FCA">
        <w:rPr>
          <w:rFonts w:cs="Arial"/>
          <w:sz w:val="20"/>
          <w:szCs w:val="20"/>
          <w:rtl/>
        </w:rPr>
        <w:t xml:space="preserve"> </w:t>
      </w:r>
      <w:r w:rsidRPr="00756FCA">
        <w:rPr>
          <w:rFonts w:cs="Arial" w:hint="cs"/>
          <w:sz w:val="20"/>
          <w:szCs w:val="20"/>
          <w:rtl/>
        </w:rPr>
        <w:t>חיה</w:t>
      </w:r>
      <w:r w:rsidRPr="00756FCA">
        <w:rPr>
          <w:rFonts w:cs="Arial"/>
          <w:sz w:val="20"/>
          <w:szCs w:val="20"/>
          <w:rtl/>
        </w:rPr>
        <w:t xml:space="preserve"> </w:t>
      </w:r>
      <w:r w:rsidRPr="00756FCA">
        <w:rPr>
          <w:rFonts w:cs="Arial" w:hint="cs"/>
          <w:sz w:val="20"/>
          <w:szCs w:val="20"/>
          <w:rtl/>
        </w:rPr>
        <w:t>ועוף</w:t>
      </w:r>
      <w:r w:rsidRPr="00756FCA">
        <w:rPr>
          <w:rFonts w:cs="Arial"/>
          <w:sz w:val="20"/>
          <w:szCs w:val="20"/>
          <w:rtl/>
        </w:rPr>
        <w:t xml:space="preserve">, </w:t>
      </w:r>
      <w:r w:rsidRPr="00756FCA">
        <w:rPr>
          <w:rFonts w:cs="Arial" w:hint="cs"/>
          <w:sz w:val="20"/>
          <w:szCs w:val="20"/>
          <w:rtl/>
        </w:rPr>
        <w:t>ושלי</w:t>
      </w:r>
      <w:r>
        <w:rPr>
          <w:rFonts w:cs="Arial" w:hint="cs"/>
          <w:sz w:val="20"/>
          <w:szCs w:val="20"/>
          <w:rtl/>
        </w:rPr>
        <w:t>ה</w:t>
      </w:r>
      <w:r w:rsidRPr="00756FCA">
        <w:rPr>
          <w:rFonts w:cs="Arial"/>
          <w:sz w:val="20"/>
          <w:szCs w:val="20"/>
          <w:rtl/>
        </w:rPr>
        <w:t xml:space="preserve"> </w:t>
      </w:r>
      <w:r w:rsidRPr="00756FCA">
        <w:rPr>
          <w:rFonts w:cs="Arial" w:hint="cs"/>
          <w:sz w:val="20"/>
          <w:szCs w:val="20"/>
          <w:rtl/>
        </w:rPr>
        <w:t>קשורה</w:t>
      </w:r>
      <w:r w:rsidRPr="00756FCA">
        <w:rPr>
          <w:rFonts w:cs="Arial"/>
          <w:sz w:val="20"/>
          <w:szCs w:val="20"/>
          <w:rtl/>
        </w:rPr>
        <w:t xml:space="preserve"> </w:t>
      </w:r>
      <w:r w:rsidRPr="00756FCA">
        <w:rPr>
          <w:rFonts w:cs="Arial" w:hint="cs"/>
          <w:sz w:val="20"/>
          <w:szCs w:val="20"/>
          <w:rtl/>
        </w:rPr>
        <w:t>בה</w:t>
      </w:r>
      <w:r w:rsidRPr="00756FCA">
        <w:rPr>
          <w:rFonts w:cs="Arial"/>
          <w:sz w:val="20"/>
          <w:szCs w:val="20"/>
          <w:rtl/>
        </w:rPr>
        <w:t xml:space="preserve">, </w:t>
      </w:r>
      <w:r w:rsidRPr="00756FCA">
        <w:rPr>
          <w:rFonts w:cs="Arial" w:hint="cs"/>
          <w:sz w:val="20"/>
          <w:szCs w:val="20"/>
          <w:rtl/>
        </w:rPr>
        <w:t>אינה</w:t>
      </w:r>
      <w:r w:rsidRPr="00756FCA">
        <w:rPr>
          <w:rFonts w:cs="Arial"/>
          <w:sz w:val="20"/>
          <w:szCs w:val="20"/>
          <w:rtl/>
        </w:rPr>
        <w:t xml:space="preserve"> </w:t>
      </w:r>
      <w:r w:rsidRPr="00756FCA">
        <w:rPr>
          <w:rFonts w:cs="Arial" w:hint="cs"/>
          <w:sz w:val="20"/>
          <w:szCs w:val="20"/>
          <w:rtl/>
        </w:rPr>
        <w:t>חוששת</w:t>
      </w:r>
      <w:r w:rsidRPr="00756FCA">
        <w:rPr>
          <w:rFonts w:cs="Arial"/>
          <w:sz w:val="20"/>
          <w:szCs w:val="20"/>
          <w:rtl/>
        </w:rPr>
        <w:t xml:space="preserve"> </w:t>
      </w:r>
      <w:r w:rsidRPr="00756FCA">
        <w:rPr>
          <w:rFonts w:cs="Arial" w:hint="cs"/>
          <w:sz w:val="20"/>
          <w:szCs w:val="20"/>
          <w:rtl/>
        </w:rPr>
        <w:t>לו</w:t>
      </w:r>
      <w:r>
        <w:rPr>
          <w:rFonts w:cs="Arial" w:hint="cs"/>
          <w:sz w:val="20"/>
          <w:szCs w:val="20"/>
          <w:rtl/>
        </w:rPr>
        <w:t>ו</w:t>
      </w:r>
      <w:r w:rsidRPr="00756FCA">
        <w:rPr>
          <w:rFonts w:cs="Arial" w:hint="cs"/>
          <w:sz w:val="20"/>
          <w:szCs w:val="20"/>
          <w:rtl/>
        </w:rPr>
        <w:t>לד</w:t>
      </w:r>
      <w:r w:rsidRPr="00756FCA">
        <w:rPr>
          <w:rFonts w:cs="Arial"/>
          <w:sz w:val="20"/>
          <w:szCs w:val="20"/>
          <w:rtl/>
        </w:rPr>
        <w:t xml:space="preserve"> </w:t>
      </w:r>
      <w:r w:rsidRPr="00756FCA">
        <w:rPr>
          <w:rFonts w:cs="Arial" w:hint="cs"/>
          <w:sz w:val="20"/>
          <w:szCs w:val="20"/>
          <w:rtl/>
        </w:rPr>
        <w:t>אחר</w:t>
      </w:r>
      <w:r w:rsidRPr="00756FCA">
        <w:rPr>
          <w:rFonts w:cs="Arial"/>
          <w:sz w:val="20"/>
          <w:szCs w:val="20"/>
          <w:rtl/>
        </w:rPr>
        <w:t xml:space="preserve">; </w:t>
      </w:r>
      <w:r w:rsidRPr="00756FCA">
        <w:rPr>
          <w:rFonts w:cs="Arial" w:hint="cs"/>
          <w:sz w:val="20"/>
          <w:szCs w:val="20"/>
          <w:rtl/>
        </w:rPr>
        <w:t>ואם</w:t>
      </w:r>
      <w:r w:rsidRPr="00756FCA">
        <w:rPr>
          <w:rFonts w:cs="Arial"/>
          <w:sz w:val="20"/>
          <w:szCs w:val="20"/>
          <w:rtl/>
        </w:rPr>
        <w:t xml:space="preserve"> </w:t>
      </w:r>
      <w:r w:rsidRPr="00756FCA">
        <w:rPr>
          <w:rFonts w:cs="Arial" w:hint="cs"/>
          <w:sz w:val="20"/>
          <w:szCs w:val="20"/>
          <w:rtl/>
        </w:rPr>
        <w:t>אינה</w:t>
      </w:r>
      <w:r w:rsidRPr="00756FCA">
        <w:rPr>
          <w:rFonts w:cs="Arial"/>
          <w:sz w:val="20"/>
          <w:szCs w:val="20"/>
          <w:rtl/>
        </w:rPr>
        <w:t xml:space="preserve"> </w:t>
      </w:r>
      <w:r w:rsidRPr="00756FCA">
        <w:rPr>
          <w:rFonts w:cs="Arial" w:hint="cs"/>
          <w:sz w:val="20"/>
          <w:szCs w:val="20"/>
          <w:rtl/>
        </w:rPr>
        <w:t>קשורה</w:t>
      </w:r>
      <w:r w:rsidRPr="00756FCA">
        <w:rPr>
          <w:rFonts w:cs="Arial"/>
          <w:sz w:val="20"/>
          <w:szCs w:val="20"/>
          <w:rtl/>
        </w:rPr>
        <w:t xml:space="preserve"> </w:t>
      </w:r>
      <w:r w:rsidRPr="00756FCA">
        <w:rPr>
          <w:rFonts w:cs="Arial" w:hint="cs"/>
          <w:sz w:val="20"/>
          <w:szCs w:val="20"/>
          <w:rtl/>
        </w:rPr>
        <w:t>בה</w:t>
      </w:r>
      <w:r w:rsidRPr="00756FCA">
        <w:rPr>
          <w:rFonts w:cs="Arial"/>
          <w:sz w:val="20"/>
          <w:szCs w:val="20"/>
          <w:rtl/>
        </w:rPr>
        <w:t xml:space="preserve">, </w:t>
      </w:r>
      <w:r w:rsidRPr="00756FCA">
        <w:rPr>
          <w:rFonts w:cs="Arial" w:hint="cs"/>
          <w:sz w:val="20"/>
          <w:szCs w:val="20"/>
          <w:rtl/>
        </w:rPr>
        <w:t>חוששת</w:t>
      </w:r>
      <w:r w:rsidRPr="00756FCA">
        <w:rPr>
          <w:rFonts w:cs="Arial"/>
          <w:sz w:val="20"/>
          <w:szCs w:val="20"/>
          <w:rtl/>
        </w:rPr>
        <w:t xml:space="preserve"> </w:t>
      </w:r>
      <w:r w:rsidRPr="00756FCA">
        <w:rPr>
          <w:rFonts w:cs="Arial" w:hint="cs"/>
          <w:sz w:val="20"/>
          <w:szCs w:val="20"/>
          <w:rtl/>
        </w:rPr>
        <w:t>ל</w:t>
      </w:r>
      <w:r>
        <w:rPr>
          <w:rFonts w:cs="Arial" w:hint="cs"/>
          <w:sz w:val="20"/>
          <w:szCs w:val="20"/>
          <w:rtl/>
        </w:rPr>
        <w:t>ו</w:t>
      </w:r>
      <w:r w:rsidRPr="00756FCA">
        <w:rPr>
          <w:rFonts w:cs="Arial" w:hint="cs"/>
          <w:sz w:val="20"/>
          <w:szCs w:val="20"/>
          <w:rtl/>
        </w:rPr>
        <w:t>ולד</w:t>
      </w:r>
      <w:r w:rsidRPr="00756FCA">
        <w:rPr>
          <w:rFonts w:cs="Arial"/>
          <w:sz w:val="20"/>
          <w:szCs w:val="20"/>
          <w:rtl/>
        </w:rPr>
        <w:t xml:space="preserve"> </w:t>
      </w:r>
      <w:r w:rsidRPr="00756FCA">
        <w:rPr>
          <w:rFonts w:cs="Arial" w:hint="cs"/>
          <w:sz w:val="20"/>
          <w:szCs w:val="20"/>
          <w:rtl/>
        </w:rPr>
        <w:t>אחר</w:t>
      </w:r>
      <w:r w:rsidRPr="00756FCA">
        <w:rPr>
          <w:rFonts w:cs="Arial"/>
          <w:sz w:val="20"/>
          <w:szCs w:val="20"/>
          <w:rtl/>
        </w:rPr>
        <w:t xml:space="preserve">; </w:t>
      </w:r>
      <w:r w:rsidRPr="00756FCA">
        <w:rPr>
          <w:rFonts w:cs="Arial" w:hint="cs"/>
          <w:sz w:val="20"/>
          <w:szCs w:val="20"/>
          <w:rtl/>
        </w:rPr>
        <w:t>ואף</w:t>
      </w:r>
      <w:r w:rsidRPr="00756FCA">
        <w:rPr>
          <w:rFonts w:cs="Arial"/>
          <w:sz w:val="20"/>
          <w:szCs w:val="20"/>
          <w:rtl/>
        </w:rPr>
        <w:t xml:space="preserve"> </w:t>
      </w:r>
      <w:r w:rsidRPr="00756FCA">
        <w:rPr>
          <w:rFonts w:cs="Arial" w:hint="cs"/>
          <w:sz w:val="20"/>
          <w:szCs w:val="20"/>
          <w:rtl/>
        </w:rPr>
        <w:t>על</w:t>
      </w:r>
      <w:r w:rsidRPr="00756FCA">
        <w:rPr>
          <w:rFonts w:cs="Arial"/>
          <w:sz w:val="20"/>
          <w:szCs w:val="20"/>
          <w:rtl/>
        </w:rPr>
        <w:t xml:space="preserve"> </w:t>
      </w:r>
      <w:r w:rsidRPr="00756FCA">
        <w:rPr>
          <w:rFonts w:cs="Arial" w:hint="cs"/>
          <w:sz w:val="20"/>
          <w:szCs w:val="20"/>
          <w:rtl/>
        </w:rPr>
        <w:t>פי</w:t>
      </w:r>
      <w:r w:rsidRPr="00756FCA">
        <w:rPr>
          <w:rFonts w:cs="Arial"/>
          <w:sz w:val="20"/>
          <w:szCs w:val="20"/>
          <w:rtl/>
        </w:rPr>
        <w:t xml:space="preserve"> </w:t>
      </w:r>
      <w:r w:rsidRPr="00756FCA">
        <w:rPr>
          <w:rFonts w:cs="Arial" w:hint="cs"/>
          <w:sz w:val="20"/>
          <w:szCs w:val="20"/>
          <w:rtl/>
        </w:rPr>
        <w:t>שהו</w:t>
      </w:r>
      <w:r>
        <w:rPr>
          <w:rFonts w:cs="Arial" w:hint="cs"/>
          <w:sz w:val="20"/>
          <w:szCs w:val="20"/>
          <w:rtl/>
        </w:rPr>
        <w:t>ו</w:t>
      </w:r>
      <w:r w:rsidRPr="00756FCA">
        <w:rPr>
          <w:rFonts w:cs="Arial" w:hint="cs"/>
          <w:sz w:val="20"/>
          <w:szCs w:val="20"/>
          <w:rtl/>
        </w:rPr>
        <w:t>לד</w:t>
      </w:r>
      <w:r w:rsidRPr="00756FCA">
        <w:rPr>
          <w:rFonts w:cs="Arial"/>
          <w:sz w:val="20"/>
          <w:szCs w:val="20"/>
          <w:rtl/>
        </w:rPr>
        <w:t xml:space="preserve"> </w:t>
      </w:r>
      <w:r w:rsidRPr="00756FCA">
        <w:rPr>
          <w:rFonts w:cs="Arial" w:hint="cs"/>
          <w:sz w:val="20"/>
          <w:szCs w:val="20"/>
          <w:rtl/>
        </w:rPr>
        <w:t>הנדמה</w:t>
      </w:r>
      <w:r w:rsidRPr="00756FCA">
        <w:rPr>
          <w:rFonts w:cs="Arial"/>
          <w:sz w:val="20"/>
          <w:szCs w:val="20"/>
          <w:rtl/>
        </w:rPr>
        <w:t xml:space="preserve"> </w:t>
      </w:r>
      <w:r w:rsidRPr="00756FCA">
        <w:rPr>
          <w:rFonts w:cs="Arial" w:hint="cs"/>
          <w:sz w:val="20"/>
          <w:szCs w:val="20"/>
          <w:rtl/>
        </w:rPr>
        <w:t>זכר</w:t>
      </w:r>
      <w:r w:rsidRPr="00756FCA">
        <w:rPr>
          <w:rFonts w:cs="Arial"/>
          <w:sz w:val="20"/>
          <w:szCs w:val="20"/>
          <w:rtl/>
        </w:rPr>
        <w:t xml:space="preserve">, </w:t>
      </w:r>
      <w:r w:rsidRPr="00756FCA">
        <w:rPr>
          <w:rFonts w:cs="Arial" w:hint="cs"/>
          <w:sz w:val="20"/>
          <w:szCs w:val="20"/>
          <w:rtl/>
        </w:rPr>
        <w:t>חוששין</w:t>
      </w:r>
      <w:r w:rsidRPr="00756FCA">
        <w:rPr>
          <w:rFonts w:cs="Arial"/>
          <w:sz w:val="20"/>
          <w:szCs w:val="20"/>
          <w:rtl/>
        </w:rPr>
        <w:t xml:space="preserve"> </w:t>
      </w:r>
      <w:r w:rsidRPr="00756FCA">
        <w:rPr>
          <w:rFonts w:cs="Arial" w:hint="cs"/>
          <w:sz w:val="20"/>
          <w:szCs w:val="20"/>
          <w:rtl/>
        </w:rPr>
        <w:t>ליתן</w:t>
      </w:r>
      <w:r w:rsidRPr="00756FCA">
        <w:rPr>
          <w:rFonts w:cs="Arial"/>
          <w:sz w:val="20"/>
          <w:szCs w:val="20"/>
          <w:rtl/>
        </w:rPr>
        <w:t xml:space="preserve"> </w:t>
      </w:r>
      <w:r w:rsidRPr="00756FCA">
        <w:rPr>
          <w:rFonts w:cs="Arial" w:hint="cs"/>
          <w:sz w:val="20"/>
          <w:szCs w:val="20"/>
          <w:rtl/>
        </w:rPr>
        <w:t>לה</w:t>
      </w:r>
      <w:r w:rsidRPr="00756FCA">
        <w:rPr>
          <w:rFonts w:cs="Arial"/>
          <w:sz w:val="20"/>
          <w:szCs w:val="20"/>
          <w:rtl/>
        </w:rPr>
        <w:t xml:space="preserve"> </w:t>
      </w:r>
      <w:r w:rsidRPr="00756FCA">
        <w:rPr>
          <w:rFonts w:cs="Arial" w:hint="cs"/>
          <w:sz w:val="20"/>
          <w:szCs w:val="20"/>
          <w:rtl/>
        </w:rPr>
        <w:t>ימי</w:t>
      </w:r>
      <w:r w:rsidRPr="00756FCA">
        <w:rPr>
          <w:rFonts w:cs="Arial"/>
          <w:sz w:val="20"/>
          <w:szCs w:val="20"/>
          <w:rtl/>
        </w:rPr>
        <w:t xml:space="preserve"> </w:t>
      </w:r>
      <w:r w:rsidRPr="00756FCA">
        <w:rPr>
          <w:rFonts w:cs="Arial" w:hint="cs"/>
          <w:sz w:val="20"/>
          <w:szCs w:val="20"/>
          <w:rtl/>
        </w:rPr>
        <w:t>טומאה</w:t>
      </w:r>
      <w:r w:rsidRPr="00756FCA">
        <w:rPr>
          <w:rFonts w:cs="Arial"/>
          <w:sz w:val="20"/>
          <w:szCs w:val="20"/>
          <w:rtl/>
        </w:rPr>
        <w:t xml:space="preserve"> </w:t>
      </w:r>
      <w:r w:rsidRPr="00756FCA">
        <w:rPr>
          <w:rFonts w:cs="Arial" w:hint="cs"/>
          <w:sz w:val="20"/>
          <w:szCs w:val="20"/>
          <w:rtl/>
        </w:rPr>
        <w:t>של</w:t>
      </w:r>
      <w:r w:rsidRPr="00756FCA">
        <w:rPr>
          <w:rFonts w:cs="Arial"/>
          <w:sz w:val="20"/>
          <w:szCs w:val="20"/>
          <w:rtl/>
        </w:rPr>
        <w:t xml:space="preserve"> </w:t>
      </w:r>
      <w:r w:rsidRPr="00756FCA">
        <w:rPr>
          <w:rFonts w:cs="Arial" w:hint="cs"/>
          <w:sz w:val="20"/>
          <w:szCs w:val="20"/>
          <w:rtl/>
        </w:rPr>
        <w:t>נקבה</w:t>
      </w:r>
      <w:r w:rsidRPr="00756FCA">
        <w:rPr>
          <w:rFonts w:cs="Arial"/>
          <w:sz w:val="20"/>
          <w:szCs w:val="20"/>
          <w:rtl/>
        </w:rPr>
        <w:t xml:space="preserve"> </w:t>
      </w:r>
      <w:r w:rsidRPr="00756FCA">
        <w:rPr>
          <w:rFonts w:cs="Arial" w:hint="cs"/>
          <w:sz w:val="20"/>
          <w:szCs w:val="20"/>
          <w:rtl/>
        </w:rPr>
        <w:t>בשביל</w:t>
      </w:r>
      <w:r w:rsidRPr="00756FCA">
        <w:rPr>
          <w:rFonts w:cs="Arial"/>
          <w:sz w:val="20"/>
          <w:szCs w:val="20"/>
          <w:rtl/>
        </w:rPr>
        <w:t xml:space="preserve"> </w:t>
      </w:r>
      <w:r w:rsidRPr="00756FCA">
        <w:rPr>
          <w:rFonts w:cs="Arial" w:hint="cs"/>
          <w:sz w:val="20"/>
          <w:szCs w:val="20"/>
          <w:rtl/>
        </w:rPr>
        <w:t>השלי</w:t>
      </w:r>
      <w:r>
        <w:rPr>
          <w:rFonts w:cs="Arial" w:hint="cs"/>
          <w:sz w:val="20"/>
          <w:szCs w:val="20"/>
          <w:rtl/>
        </w:rPr>
        <w:t>ה</w:t>
      </w:r>
      <w:r w:rsidRPr="00756FCA">
        <w:rPr>
          <w:rFonts w:cs="Arial"/>
          <w:sz w:val="20"/>
          <w:szCs w:val="20"/>
          <w:rtl/>
        </w:rPr>
        <w:t>.</w:t>
      </w:r>
      <w:r>
        <w:rPr>
          <w:rFonts w:cs="Arial" w:hint="cs"/>
          <w:sz w:val="20"/>
          <w:szCs w:val="20"/>
          <w:rtl/>
        </w:rPr>
        <w:t>"</w:t>
      </w:r>
    </w:p>
    <w:p w:rsidR="00620060" w:rsidRDefault="00620060" w:rsidP="00620060">
      <w:pPr>
        <w:rPr>
          <w:sz w:val="20"/>
          <w:szCs w:val="20"/>
          <w:rtl/>
        </w:rPr>
      </w:pPr>
      <w:r>
        <w:rPr>
          <w:sz w:val="20"/>
          <w:szCs w:val="20"/>
          <w:rtl/>
        </w:rPr>
        <w:br/>
      </w:r>
      <w:r>
        <w:rPr>
          <w:rFonts w:hint="cs"/>
          <w:b/>
          <w:bCs/>
          <w:sz w:val="20"/>
          <w:szCs w:val="20"/>
          <w:rtl/>
        </w:rPr>
        <w:t xml:space="preserve">סעיף ח </w:t>
      </w:r>
      <w:r>
        <w:rPr>
          <w:b/>
          <w:bCs/>
          <w:sz w:val="20"/>
          <w:szCs w:val="20"/>
          <w:rtl/>
        </w:rPr>
        <w:t>–</w:t>
      </w:r>
      <w:r>
        <w:rPr>
          <w:rFonts w:hint="cs"/>
          <w:b/>
          <w:bCs/>
          <w:sz w:val="20"/>
          <w:szCs w:val="20"/>
          <w:rtl/>
        </w:rPr>
        <w:t xml:space="preserve"> היולדת טומטום או אנדרוגינוס</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משנה </w:t>
      </w:r>
      <w:r>
        <w:rPr>
          <w:rFonts w:hint="cs"/>
          <w:sz w:val="20"/>
          <w:szCs w:val="20"/>
          <w:rtl/>
        </w:rPr>
        <w:t>נידה (כח.) "</w:t>
      </w:r>
      <w:r w:rsidRPr="00101A31">
        <w:rPr>
          <w:rFonts w:cs="Arial" w:hint="cs"/>
          <w:sz w:val="20"/>
          <w:szCs w:val="20"/>
          <w:rtl/>
        </w:rPr>
        <w:t>המפלת</w:t>
      </w:r>
      <w:r>
        <w:rPr>
          <w:rStyle w:val="a5"/>
          <w:rFonts w:cs="Arial"/>
          <w:sz w:val="20"/>
          <w:szCs w:val="20"/>
          <w:rtl/>
        </w:rPr>
        <w:footnoteReference w:id="427"/>
      </w:r>
      <w:r w:rsidRPr="00101A31">
        <w:rPr>
          <w:rFonts w:cs="Arial"/>
          <w:sz w:val="20"/>
          <w:szCs w:val="20"/>
          <w:rtl/>
        </w:rPr>
        <w:t xml:space="preserve"> </w:t>
      </w:r>
      <w:r w:rsidRPr="00101A31">
        <w:rPr>
          <w:rFonts w:cs="Arial" w:hint="cs"/>
          <w:sz w:val="20"/>
          <w:szCs w:val="20"/>
          <w:rtl/>
        </w:rPr>
        <w:t>טומטום</w:t>
      </w:r>
      <w:r w:rsidRPr="00101A31">
        <w:rPr>
          <w:rFonts w:cs="Arial"/>
          <w:sz w:val="20"/>
          <w:szCs w:val="20"/>
          <w:rtl/>
        </w:rPr>
        <w:t xml:space="preserve"> </w:t>
      </w:r>
      <w:r w:rsidRPr="00101A31">
        <w:rPr>
          <w:rFonts w:cs="Arial" w:hint="cs"/>
          <w:sz w:val="20"/>
          <w:szCs w:val="20"/>
          <w:rtl/>
        </w:rPr>
        <w:t>ואנדרוגינוס</w:t>
      </w:r>
      <w:r w:rsidRPr="00101A31">
        <w:rPr>
          <w:rFonts w:cs="Arial"/>
          <w:sz w:val="20"/>
          <w:szCs w:val="20"/>
          <w:rtl/>
        </w:rPr>
        <w:t xml:space="preserve"> - </w:t>
      </w:r>
      <w:r w:rsidRPr="00101A31">
        <w:rPr>
          <w:rFonts w:cs="Arial" w:hint="cs"/>
          <w:sz w:val="20"/>
          <w:szCs w:val="20"/>
          <w:rtl/>
        </w:rPr>
        <w:t>תשב</w:t>
      </w:r>
      <w:r w:rsidRPr="00101A31">
        <w:rPr>
          <w:rFonts w:cs="Arial"/>
          <w:sz w:val="20"/>
          <w:szCs w:val="20"/>
          <w:rtl/>
        </w:rPr>
        <w:t xml:space="preserve"> </w:t>
      </w:r>
      <w:r w:rsidRPr="00101A31">
        <w:rPr>
          <w:rFonts w:cs="Arial" w:hint="cs"/>
          <w:sz w:val="20"/>
          <w:szCs w:val="20"/>
          <w:rtl/>
        </w:rPr>
        <w:t>לזכר</w:t>
      </w:r>
      <w:r w:rsidRPr="00101A31">
        <w:rPr>
          <w:rFonts w:cs="Arial"/>
          <w:sz w:val="20"/>
          <w:szCs w:val="20"/>
          <w:rtl/>
        </w:rPr>
        <w:t xml:space="preserve"> </w:t>
      </w:r>
      <w:r w:rsidRPr="00101A31">
        <w:rPr>
          <w:rFonts w:cs="Arial" w:hint="cs"/>
          <w:sz w:val="20"/>
          <w:szCs w:val="20"/>
          <w:rtl/>
        </w:rPr>
        <w:t>ולנקבה</w:t>
      </w:r>
      <w:r>
        <w:rPr>
          <w:rFonts w:cs="Arial" w:hint="cs"/>
          <w:sz w:val="20"/>
          <w:szCs w:val="20"/>
          <w:rtl/>
        </w:rPr>
        <w:t>".</w:t>
      </w:r>
      <w:r>
        <w:rPr>
          <w:sz w:val="20"/>
          <w:szCs w:val="20"/>
          <w:rtl/>
        </w:rPr>
        <w:br/>
      </w:r>
      <w:r w:rsidRPr="00172EAA">
        <w:rPr>
          <w:rFonts w:hint="cs"/>
          <w:b/>
          <w:bCs/>
          <w:sz w:val="20"/>
          <w:szCs w:val="20"/>
          <w:rtl/>
        </w:rPr>
        <w:t>טעם</w:t>
      </w:r>
      <w:r>
        <w:rPr>
          <w:rFonts w:hint="cs"/>
          <w:sz w:val="20"/>
          <w:szCs w:val="20"/>
          <w:rtl/>
        </w:rPr>
        <w:t xml:space="preserve"> - טומטום ואנדרוגינוס הם ספק זכר וספק נקבה.</w:t>
      </w:r>
    </w:p>
    <w:p w:rsidR="00620060" w:rsidRDefault="00620060" w:rsidP="00620060">
      <w:pPr>
        <w:rPr>
          <w:b/>
          <w:bCs/>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101A31">
        <w:rPr>
          <w:rFonts w:cs="Arial" w:hint="cs"/>
          <w:sz w:val="20"/>
          <w:szCs w:val="20"/>
          <w:rtl/>
        </w:rPr>
        <w:t>היולדת</w:t>
      </w:r>
      <w:r w:rsidRPr="00101A31">
        <w:rPr>
          <w:rFonts w:cs="Arial"/>
          <w:sz w:val="20"/>
          <w:szCs w:val="20"/>
          <w:rtl/>
        </w:rPr>
        <w:t xml:space="preserve"> </w:t>
      </w:r>
      <w:r w:rsidRPr="00101A31">
        <w:rPr>
          <w:rFonts w:cs="Arial" w:hint="cs"/>
          <w:sz w:val="20"/>
          <w:szCs w:val="20"/>
          <w:rtl/>
        </w:rPr>
        <w:t>טומטום</w:t>
      </w:r>
      <w:r w:rsidRPr="00101A31">
        <w:rPr>
          <w:rFonts w:cs="Arial"/>
          <w:sz w:val="20"/>
          <w:szCs w:val="20"/>
          <w:rtl/>
        </w:rPr>
        <w:t xml:space="preserve"> </w:t>
      </w:r>
      <w:r w:rsidRPr="00101A31">
        <w:rPr>
          <w:rFonts w:cs="Arial" w:hint="cs"/>
          <w:sz w:val="20"/>
          <w:szCs w:val="20"/>
          <w:rtl/>
        </w:rPr>
        <w:t>או</w:t>
      </w:r>
      <w:r w:rsidRPr="00101A31">
        <w:rPr>
          <w:rFonts w:cs="Arial"/>
          <w:sz w:val="20"/>
          <w:szCs w:val="20"/>
          <w:rtl/>
        </w:rPr>
        <w:t xml:space="preserve"> </w:t>
      </w:r>
      <w:r w:rsidRPr="00101A31">
        <w:rPr>
          <w:rFonts w:cs="Arial" w:hint="cs"/>
          <w:sz w:val="20"/>
          <w:szCs w:val="20"/>
          <w:rtl/>
        </w:rPr>
        <w:t>אנדרוגינוס</w:t>
      </w:r>
      <w:r w:rsidRPr="00101A31">
        <w:rPr>
          <w:rFonts w:cs="Arial"/>
          <w:sz w:val="20"/>
          <w:szCs w:val="20"/>
          <w:rtl/>
        </w:rPr>
        <w:t xml:space="preserve">, </w:t>
      </w:r>
      <w:r w:rsidRPr="00101A31">
        <w:rPr>
          <w:rFonts w:cs="Arial" w:hint="cs"/>
          <w:sz w:val="20"/>
          <w:szCs w:val="20"/>
          <w:rtl/>
        </w:rPr>
        <w:t>נותנין</w:t>
      </w:r>
      <w:r w:rsidRPr="00101A31">
        <w:rPr>
          <w:rFonts w:cs="Arial"/>
          <w:sz w:val="20"/>
          <w:szCs w:val="20"/>
          <w:rtl/>
        </w:rPr>
        <w:t xml:space="preserve"> </w:t>
      </w:r>
      <w:r w:rsidRPr="00101A31">
        <w:rPr>
          <w:rFonts w:cs="Arial" w:hint="cs"/>
          <w:sz w:val="20"/>
          <w:szCs w:val="20"/>
          <w:rtl/>
        </w:rPr>
        <w:t>לה</w:t>
      </w:r>
      <w:r w:rsidRPr="00101A31">
        <w:rPr>
          <w:rFonts w:cs="Arial"/>
          <w:sz w:val="20"/>
          <w:szCs w:val="20"/>
          <w:rtl/>
        </w:rPr>
        <w:t xml:space="preserve"> </w:t>
      </w:r>
      <w:r w:rsidRPr="00101A31">
        <w:rPr>
          <w:rFonts w:cs="Arial" w:hint="cs"/>
          <w:sz w:val="20"/>
          <w:szCs w:val="20"/>
          <w:rtl/>
        </w:rPr>
        <w:t>ימי</w:t>
      </w:r>
      <w:r w:rsidRPr="00101A31">
        <w:rPr>
          <w:rFonts w:cs="Arial"/>
          <w:sz w:val="20"/>
          <w:szCs w:val="20"/>
          <w:rtl/>
        </w:rPr>
        <w:t xml:space="preserve"> </w:t>
      </w:r>
      <w:r w:rsidRPr="00101A31">
        <w:rPr>
          <w:rFonts w:cs="Arial" w:hint="cs"/>
          <w:sz w:val="20"/>
          <w:szCs w:val="20"/>
          <w:rtl/>
        </w:rPr>
        <w:t>טומאה</w:t>
      </w:r>
      <w:r w:rsidRPr="00101A31">
        <w:rPr>
          <w:rFonts w:cs="Arial"/>
          <w:sz w:val="20"/>
          <w:szCs w:val="20"/>
          <w:rtl/>
        </w:rPr>
        <w:t xml:space="preserve"> </w:t>
      </w:r>
      <w:r w:rsidRPr="00101A31">
        <w:rPr>
          <w:rFonts w:cs="Arial" w:hint="cs"/>
          <w:sz w:val="20"/>
          <w:szCs w:val="20"/>
          <w:rtl/>
        </w:rPr>
        <w:t>של</w:t>
      </w:r>
      <w:r w:rsidRPr="00101A31">
        <w:rPr>
          <w:rFonts w:cs="Arial"/>
          <w:sz w:val="20"/>
          <w:szCs w:val="20"/>
          <w:rtl/>
        </w:rPr>
        <w:t xml:space="preserve"> </w:t>
      </w:r>
      <w:r w:rsidRPr="00101A31">
        <w:rPr>
          <w:rFonts w:cs="Arial" w:hint="cs"/>
          <w:sz w:val="20"/>
          <w:szCs w:val="20"/>
          <w:rtl/>
        </w:rPr>
        <w:t>נקבה".</w:t>
      </w:r>
    </w:p>
    <w:p w:rsidR="00620060" w:rsidRDefault="00620060" w:rsidP="00620060">
      <w:pPr>
        <w:rPr>
          <w:b/>
          <w:bCs/>
          <w:sz w:val="20"/>
          <w:szCs w:val="20"/>
          <w:rtl/>
        </w:rPr>
      </w:pPr>
      <w:r>
        <w:rPr>
          <w:b/>
          <w:bCs/>
          <w:sz w:val="20"/>
          <w:szCs w:val="20"/>
          <w:rtl/>
        </w:rPr>
        <w:br/>
      </w:r>
      <w:r>
        <w:rPr>
          <w:rFonts w:hint="cs"/>
          <w:b/>
          <w:bCs/>
          <w:sz w:val="20"/>
          <w:szCs w:val="20"/>
          <w:rtl/>
        </w:rPr>
        <w:t xml:space="preserve">סעיף ט </w:t>
      </w:r>
      <w:r>
        <w:rPr>
          <w:b/>
          <w:bCs/>
          <w:sz w:val="20"/>
          <w:szCs w:val="20"/>
          <w:rtl/>
        </w:rPr>
        <w:t>–</w:t>
      </w:r>
      <w:r>
        <w:rPr>
          <w:rFonts w:hint="cs"/>
          <w:b/>
          <w:bCs/>
          <w:sz w:val="20"/>
          <w:szCs w:val="20"/>
          <w:rtl/>
        </w:rPr>
        <w:t xml:space="preserve"> אינה יודעת מה ילדה</w:t>
      </w:r>
      <w:r>
        <w:rPr>
          <w:b/>
          <w:bCs/>
          <w:sz w:val="20"/>
          <w:szCs w:val="20"/>
          <w:rtl/>
        </w:rPr>
        <w:br/>
      </w:r>
      <w:r>
        <w:rPr>
          <w:rFonts w:hint="cs"/>
          <w:b/>
          <w:bCs/>
          <w:sz w:val="20"/>
          <w:szCs w:val="20"/>
          <w:rtl/>
        </w:rPr>
        <w:t>מקור הדין</w:t>
      </w:r>
      <w:r>
        <w:rPr>
          <w:b/>
          <w:bCs/>
          <w:sz w:val="20"/>
          <w:szCs w:val="20"/>
          <w:rtl/>
        </w:rPr>
        <w:br/>
      </w:r>
      <w:r w:rsidRPr="00787B54">
        <w:rPr>
          <w:rFonts w:cs="Arial" w:hint="cs"/>
          <w:b/>
          <w:bCs/>
          <w:sz w:val="20"/>
          <w:szCs w:val="20"/>
          <w:rtl/>
        </w:rPr>
        <w:t>משנה</w:t>
      </w:r>
      <w:r w:rsidRPr="00787B54">
        <w:rPr>
          <w:rFonts w:cs="Arial" w:hint="cs"/>
          <w:sz w:val="20"/>
          <w:szCs w:val="20"/>
          <w:rtl/>
        </w:rPr>
        <w:t xml:space="preserve"> נידה (כט.) "המפלת</w:t>
      </w:r>
      <w:r>
        <w:rPr>
          <w:rFonts w:cs="Arial" w:hint="cs"/>
          <w:sz w:val="20"/>
          <w:szCs w:val="20"/>
          <w:rtl/>
        </w:rPr>
        <w:t>...</w:t>
      </w:r>
      <w:r w:rsidRPr="00787B54">
        <w:rPr>
          <w:rFonts w:cs="Arial"/>
          <w:sz w:val="20"/>
          <w:szCs w:val="20"/>
          <w:rtl/>
        </w:rPr>
        <w:t xml:space="preserve"> </w:t>
      </w:r>
      <w:r w:rsidRPr="000F5966">
        <w:rPr>
          <w:rFonts w:cs="Arial"/>
          <w:sz w:val="20"/>
          <w:szCs w:val="20"/>
          <w:rtl/>
        </w:rPr>
        <w:t>אין ידוע אם ולד היה אם לאו - תשב לזכר ולנקבה ולנדה</w:t>
      </w:r>
      <w:r>
        <w:rPr>
          <w:rFonts w:cs="Arial" w:hint="cs"/>
          <w:sz w:val="20"/>
          <w:szCs w:val="20"/>
          <w:rtl/>
        </w:rPr>
        <w:t>".</w:t>
      </w:r>
      <w:r w:rsidRPr="00787B54">
        <w:rPr>
          <w:rFonts w:cs="Arial"/>
          <w:sz w:val="20"/>
          <w:szCs w:val="20"/>
          <w:rtl/>
        </w:rPr>
        <w:br/>
      </w:r>
      <w:r w:rsidRPr="00787B54">
        <w:rPr>
          <w:rFonts w:cs="Arial" w:hint="cs"/>
          <w:b/>
          <w:bCs/>
          <w:sz w:val="20"/>
          <w:szCs w:val="20"/>
          <w:rtl/>
        </w:rPr>
        <w:t>גמרא</w:t>
      </w:r>
      <w:r w:rsidRPr="00787B54">
        <w:rPr>
          <w:rFonts w:cs="Arial"/>
          <w:sz w:val="20"/>
          <w:szCs w:val="20"/>
          <w:rtl/>
        </w:rPr>
        <w:t xml:space="preserve"> </w:t>
      </w:r>
      <w:r>
        <w:rPr>
          <w:rFonts w:cs="Arial" w:hint="cs"/>
          <w:sz w:val="20"/>
          <w:szCs w:val="20"/>
          <w:rtl/>
        </w:rPr>
        <w:t>"</w:t>
      </w:r>
      <w:r w:rsidRPr="00787B54">
        <w:rPr>
          <w:rFonts w:cs="Arial" w:hint="cs"/>
          <w:sz w:val="20"/>
          <w:szCs w:val="20"/>
          <w:rtl/>
        </w:rPr>
        <w:t>אמר רבי</w:t>
      </w:r>
      <w:r w:rsidRPr="00787B54">
        <w:rPr>
          <w:rFonts w:cs="Arial"/>
          <w:sz w:val="20"/>
          <w:szCs w:val="20"/>
          <w:rtl/>
        </w:rPr>
        <w:t xml:space="preserve"> </w:t>
      </w:r>
      <w:r w:rsidRPr="00787B54">
        <w:rPr>
          <w:rFonts w:cs="Arial" w:hint="cs"/>
          <w:sz w:val="20"/>
          <w:szCs w:val="20"/>
          <w:rtl/>
        </w:rPr>
        <w:t>יהושע</w:t>
      </w:r>
      <w:r w:rsidRPr="00787B54">
        <w:rPr>
          <w:rFonts w:cs="Arial"/>
          <w:sz w:val="20"/>
          <w:szCs w:val="20"/>
          <w:rtl/>
        </w:rPr>
        <w:t xml:space="preserve"> </w:t>
      </w:r>
      <w:r w:rsidRPr="00787B54">
        <w:rPr>
          <w:rFonts w:cs="Arial" w:hint="cs"/>
          <w:sz w:val="20"/>
          <w:szCs w:val="20"/>
          <w:rtl/>
        </w:rPr>
        <w:t>בן</w:t>
      </w:r>
      <w:r w:rsidRPr="00787B54">
        <w:rPr>
          <w:rFonts w:cs="Arial"/>
          <w:sz w:val="20"/>
          <w:szCs w:val="20"/>
          <w:rtl/>
        </w:rPr>
        <w:t xml:space="preserve"> </w:t>
      </w:r>
      <w:r w:rsidRPr="00787B54">
        <w:rPr>
          <w:rFonts w:cs="Arial" w:hint="cs"/>
          <w:sz w:val="20"/>
          <w:szCs w:val="20"/>
          <w:rtl/>
        </w:rPr>
        <w:t>לוי</w:t>
      </w:r>
      <w:r w:rsidRPr="00787B54">
        <w:rPr>
          <w:rFonts w:cs="Arial"/>
          <w:sz w:val="20"/>
          <w:szCs w:val="20"/>
          <w:rtl/>
        </w:rPr>
        <w:t xml:space="preserve">: </w:t>
      </w:r>
      <w:r w:rsidRPr="00787B54">
        <w:rPr>
          <w:rFonts w:cs="Arial" w:hint="cs"/>
          <w:sz w:val="20"/>
          <w:szCs w:val="20"/>
          <w:rtl/>
        </w:rPr>
        <w:t>עברה</w:t>
      </w:r>
      <w:r w:rsidRPr="00787B54">
        <w:rPr>
          <w:rFonts w:cs="Arial"/>
          <w:sz w:val="20"/>
          <w:szCs w:val="20"/>
          <w:rtl/>
        </w:rPr>
        <w:t xml:space="preserve"> </w:t>
      </w:r>
      <w:r w:rsidRPr="00787B54">
        <w:rPr>
          <w:rFonts w:cs="Arial" w:hint="cs"/>
          <w:sz w:val="20"/>
          <w:szCs w:val="20"/>
          <w:rtl/>
        </w:rPr>
        <w:t>נהר</w:t>
      </w:r>
      <w:r w:rsidRPr="00787B54">
        <w:rPr>
          <w:rFonts w:cs="Arial"/>
          <w:sz w:val="20"/>
          <w:szCs w:val="20"/>
          <w:rtl/>
        </w:rPr>
        <w:t xml:space="preserve"> </w:t>
      </w:r>
      <w:r w:rsidRPr="00787B54">
        <w:rPr>
          <w:rFonts w:cs="Arial" w:hint="cs"/>
          <w:sz w:val="20"/>
          <w:szCs w:val="20"/>
          <w:rtl/>
        </w:rPr>
        <w:t>והפילה</w:t>
      </w:r>
      <w:r w:rsidRPr="00787B54">
        <w:rPr>
          <w:rFonts w:cs="Arial"/>
          <w:sz w:val="20"/>
          <w:szCs w:val="20"/>
          <w:rtl/>
        </w:rPr>
        <w:t xml:space="preserve"> - </w:t>
      </w:r>
      <w:r w:rsidRPr="00787B54">
        <w:rPr>
          <w:rFonts w:cs="Arial" w:hint="cs"/>
          <w:sz w:val="20"/>
          <w:szCs w:val="20"/>
          <w:rtl/>
        </w:rPr>
        <w:t>מביאה</w:t>
      </w:r>
      <w:r w:rsidRPr="00787B54">
        <w:rPr>
          <w:rFonts w:cs="Arial"/>
          <w:sz w:val="20"/>
          <w:szCs w:val="20"/>
          <w:rtl/>
        </w:rPr>
        <w:t xml:space="preserve"> </w:t>
      </w:r>
      <w:r w:rsidRPr="00787B54">
        <w:rPr>
          <w:rFonts w:cs="Arial" w:hint="cs"/>
          <w:sz w:val="20"/>
          <w:szCs w:val="20"/>
          <w:rtl/>
        </w:rPr>
        <w:t>קרבן</w:t>
      </w:r>
      <w:r w:rsidRPr="00787B54">
        <w:rPr>
          <w:rFonts w:cs="Arial"/>
          <w:sz w:val="20"/>
          <w:szCs w:val="20"/>
          <w:rtl/>
        </w:rPr>
        <w:t xml:space="preserve"> </w:t>
      </w:r>
      <w:r w:rsidRPr="00787B54">
        <w:rPr>
          <w:rFonts w:cs="Arial" w:hint="cs"/>
          <w:sz w:val="20"/>
          <w:szCs w:val="20"/>
          <w:rtl/>
        </w:rPr>
        <w:t>ונאכל</w:t>
      </w:r>
      <w:r w:rsidRPr="00787B54">
        <w:rPr>
          <w:rFonts w:cs="Arial"/>
          <w:sz w:val="20"/>
          <w:szCs w:val="20"/>
          <w:rtl/>
        </w:rPr>
        <w:t xml:space="preserve">, </w:t>
      </w:r>
      <w:r w:rsidRPr="00787B54">
        <w:rPr>
          <w:rFonts w:cs="Arial" w:hint="cs"/>
          <w:sz w:val="20"/>
          <w:szCs w:val="20"/>
          <w:rtl/>
        </w:rPr>
        <w:t>הלך</w:t>
      </w:r>
      <w:r w:rsidRPr="00787B54">
        <w:rPr>
          <w:rFonts w:cs="Arial"/>
          <w:sz w:val="20"/>
          <w:szCs w:val="20"/>
          <w:rtl/>
        </w:rPr>
        <w:t xml:space="preserve"> </w:t>
      </w:r>
      <w:r w:rsidRPr="00787B54">
        <w:rPr>
          <w:rFonts w:cs="Arial" w:hint="cs"/>
          <w:sz w:val="20"/>
          <w:szCs w:val="20"/>
          <w:rtl/>
        </w:rPr>
        <w:t>אחר</w:t>
      </w:r>
      <w:r w:rsidRPr="00787B54">
        <w:rPr>
          <w:rFonts w:cs="Arial"/>
          <w:sz w:val="20"/>
          <w:szCs w:val="20"/>
          <w:rtl/>
        </w:rPr>
        <w:t xml:space="preserve"> </w:t>
      </w:r>
      <w:r w:rsidRPr="00787B54">
        <w:rPr>
          <w:rFonts w:cs="Arial" w:hint="cs"/>
          <w:sz w:val="20"/>
          <w:szCs w:val="20"/>
          <w:rtl/>
        </w:rPr>
        <w:t>רוב</w:t>
      </w:r>
      <w:r w:rsidRPr="00787B54">
        <w:rPr>
          <w:rFonts w:cs="Arial"/>
          <w:sz w:val="20"/>
          <w:szCs w:val="20"/>
          <w:rtl/>
        </w:rPr>
        <w:t xml:space="preserve"> </w:t>
      </w:r>
      <w:r w:rsidRPr="00787B54">
        <w:rPr>
          <w:rFonts w:cs="Arial" w:hint="cs"/>
          <w:sz w:val="20"/>
          <w:szCs w:val="20"/>
          <w:rtl/>
        </w:rPr>
        <w:t>נשים</w:t>
      </w:r>
      <w:r w:rsidRPr="00787B54">
        <w:rPr>
          <w:rFonts w:cs="Arial"/>
          <w:sz w:val="20"/>
          <w:szCs w:val="20"/>
          <w:rtl/>
        </w:rPr>
        <w:t xml:space="preserve">, </w:t>
      </w:r>
      <w:r w:rsidRPr="00787B54">
        <w:rPr>
          <w:rFonts w:cs="Arial" w:hint="cs"/>
          <w:sz w:val="20"/>
          <w:szCs w:val="20"/>
          <w:rtl/>
        </w:rPr>
        <w:t>ורוב</w:t>
      </w:r>
      <w:r w:rsidRPr="00787B54">
        <w:rPr>
          <w:rFonts w:cs="Arial"/>
          <w:sz w:val="20"/>
          <w:szCs w:val="20"/>
          <w:rtl/>
        </w:rPr>
        <w:t xml:space="preserve"> </w:t>
      </w:r>
      <w:r w:rsidRPr="00787B54">
        <w:rPr>
          <w:rFonts w:cs="Arial" w:hint="cs"/>
          <w:sz w:val="20"/>
          <w:szCs w:val="20"/>
          <w:rtl/>
        </w:rPr>
        <w:t>נשים</w:t>
      </w:r>
      <w:r w:rsidRPr="00787B54">
        <w:rPr>
          <w:rFonts w:cs="Arial"/>
          <w:sz w:val="20"/>
          <w:szCs w:val="20"/>
          <w:rtl/>
        </w:rPr>
        <w:t xml:space="preserve"> </w:t>
      </w:r>
      <w:r w:rsidRPr="00787B54">
        <w:rPr>
          <w:rFonts w:cs="Arial" w:hint="cs"/>
          <w:sz w:val="20"/>
          <w:szCs w:val="20"/>
          <w:rtl/>
        </w:rPr>
        <w:t>ולד</w:t>
      </w:r>
      <w:r w:rsidRPr="00787B54">
        <w:rPr>
          <w:rFonts w:cs="Arial"/>
          <w:sz w:val="20"/>
          <w:szCs w:val="20"/>
          <w:rtl/>
        </w:rPr>
        <w:t xml:space="preserve"> </w:t>
      </w:r>
      <w:r w:rsidRPr="00787B54">
        <w:rPr>
          <w:rFonts w:cs="Arial" w:hint="cs"/>
          <w:sz w:val="20"/>
          <w:szCs w:val="20"/>
          <w:rtl/>
        </w:rPr>
        <w:t>מעליא</w:t>
      </w:r>
      <w:r w:rsidRPr="00787B54">
        <w:rPr>
          <w:rFonts w:cs="Arial"/>
          <w:sz w:val="20"/>
          <w:szCs w:val="20"/>
          <w:rtl/>
        </w:rPr>
        <w:t xml:space="preserve"> </w:t>
      </w:r>
      <w:r w:rsidRPr="00787B54">
        <w:rPr>
          <w:rFonts w:cs="Arial" w:hint="cs"/>
          <w:sz w:val="20"/>
          <w:szCs w:val="20"/>
          <w:rtl/>
        </w:rPr>
        <w:t>ילדן</w:t>
      </w:r>
      <w:r w:rsidRPr="00787B54">
        <w:rPr>
          <w:rFonts w:cs="Arial"/>
          <w:sz w:val="20"/>
          <w:szCs w:val="20"/>
          <w:rtl/>
        </w:rPr>
        <w:t xml:space="preserve">. </w:t>
      </w:r>
      <w:r w:rsidRPr="00787B54">
        <w:rPr>
          <w:rFonts w:cs="Arial" w:hint="cs"/>
          <w:sz w:val="20"/>
          <w:szCs w:val="20"/>
          <w:rtl/>
        </w:rPr>
        <w:t>תנן</w:t>
      </w:r>
      <w:r w:rsidRPr="00787B54">
        <w:rPr>
          <w:rFonts w:cs="Arial"/>
          <w:sz w:val="20"/>
          <w:szCs w:val="20"/>
          <w:rtl/>
        </w:rPr>
        <w:t xml:space="preserve">: </w:t>
      </w:r>
      <w:r w:rsidRPr="00787B54">
        <w:rPr>
          <w:rFonts w:cs="Arial" w:hint="cs"/>
          <w:sz w:val="20"/>
          <w:szCs w:val="20"/>
          <w:rtl/>
        </w:rPr>
        <w:t>אין</w:t>
      </w:r>
      <w:r w:rsidRPr="00787B54">
        <w:rPr>
          <w:rFonts w:cs="Arial"/>
          <w:sz w:val="20"/>
          <w:szCs w:val="20"/>
          <w:rtl/>
        </w:rPr>
        <w:t xml:space="preserve"> </w:t>
      </w:r>
      <w:r w:rsidRPr="00787B54">
        <w:rPr>
          <w:rFonts w:cs="Arial" w:hint="cs"/>
          <w:sz w:val="20"/>
          <w:szCs w:val="20"/>
          <w:rtl/>
        </w:rPr>
        <w:t>ידוע</w:t>
      </w:r>
      <w:r w:rsidRPr="00787B54">
        <w:rPr>
          <w:rFonts w:cs="Arial"/>
          <w:sz w:val="20"/>
          <w:szCs w:val="20"/>
          <w:rtl/>
        </w:rPr>
        <w:t xml:space="preserve"> </w:t>
      </w:r>
      <w:r w:rsidRPr="00787B54">
        <w:rPr>
          <w:rFonts w:cs="Arial" w:hint="cs"/>
          <w:sz w:val="20"/>
          <w:szCs w:val="20"/>
          <w:rtl/>
        </w:rPr>
        <w:t>אם</w:t>
      </w:r>
      <w:r w:rsidRPr="00787B54">
        <w:rPr>
          <w:rFonts w:cs="Arial"/>
          <w:sz w:val="20"/>
          <w:szCs w:val="20"/>
          <w:rtl/>
        </w:rPr>
        <w:t xml:space="preserve"> </w:t>
      </w:r>
      <w:r w:rsidRPr="00787B54">
        <w:rPr>
          <w:rFonts w:cs="Arial" w:hint="cs"/>
          <w:sz w:val="20"/>
          <w:szCs w:val="20"/>
          <w:rtl/>
        </w:rPr>
        <w:t>ולד</w:t>
      </w:r>
      <w:r w:rsidRPr="00787B54">
        <w:rPr>
          <w:rFonts w:cs="Arial"/>
          <w:sz w:val="20"/>
          <w:szCs w:val="20"/>
          <w:rtl/>
        </w:rPr>
        <w:t xml:space="preserve"> </w:t>
      </w:r>
      <w:r w:rsidRPr="00787B54">
        <w:rPr>
          <w:rFonts w:cs="Arial" w:hint="cs"/>
          <w:sz w:val="20"/>
          <w:szCs w:val="20"/>
          <w:rtl/>
        </w:rPr>
        <w:t>היה</w:t>
      </w:r>
      <w:r w:rsidRPr="00787B54">
        <w:rPr>
          <w:rFonts w:cs="Arial"/>
          <w:sz w:val="20"/>
          <w:szCs w:val="20"/>
          <w:rtl/>
        </w:rPr>
        <w:t xml:space="preserve"> - </w:t>
      </w:r>
      <w:r w:rsidRPr="00787B54">
        <w:rPr>
          <w:rFonts w:cs="Arial" w:hint="cs"/>
          <w:sz w:val="20"/>
          <w:szCs w:val="20"/>
          <w:rtl/>
        </w:rPr>
        <w:t>תשב</w:t>
      </w:r>
      <w:r w:rsidRPr="00787B54">
        <w:rPr>
          <w:rFonts w:cs="Arial"/>
          <w:sz w:val="20"/>
          <w:szCs w:val="20"/>
          <w:rtl/>
        </w:rPr>
        <w:t xml:space="preserve"> </w:t>
      </w:r>
      <w:r w:rsidRPr="00787B54">
        <w:rPr>
          <w:rFonts w:cs="Arial" w:hint="cs"/>
          <w:sz w:val="20"/>
          <w:szCs w:val="20"/>
          <w:rtl/>
        </w:rPr>
        <w:t>לזכר</w:t>
      </w:r>
      <w:r w:rsidRPr="00787B54">
        <w:rPr>
          <w:rFonts w:cs="Arial"/>
          <w:sz w:val="20"/>
          <w:szCs w:val="20"/>
          <w:rtl/>
        </w:rPr>
        <w:t xml:space="preserve"> </w:t>
      </w:r>
      <w:r w:rsidRPr="00787B54">
        <w:rPr>
          <w:rFonts w:cs="Arial" w:hint="cs"/>
          <w:sz w:val="20"/>
          <w:szCs w:val="20"/>
          <w:rtl/>
        </w:rPr>
        <w:t>ולנקבה</w:t>
      </w:r>
      <w:r w:rsidRPr="00787B54">
        <w:rPr>
          <w:rFonts w:cs="Arial"/>
          <w:sz w:val="20"/>
          <w:szCs w:val="20"/>
          <w:rtl/>
        </w:rPr>
        <w:t xml:space="preserve"> </w:t>
      </w:r>
      <w:r w:rsidRPr="00787B54">
        <w:rPr>
          <w:rFonts w:cs="Arial" w:hint="cs"/>
          <w:sz w:val="20"/>
          <w:szCs w:val="20"/>
          <w:rtl/>
        </w:rPr>
        <w:t>ולנדה</w:t>
      </w:r>
      <w:r w:rsidRPr="00787B54">
        <w:rPr>
          <w:rFonts w:cs="Arial"/>
          <w:sz w:val="20"/>
          <w:szCs w:val="20"/>
          <w:rtl/>
        </w:rPr>
        <w:t xml:space="preserve">. </w:t>
      </w:r>
      <w:r w:rsidRPr="00787B54">
        <w:rPr>
          <w:rFonts w:cs="Arial" w:hint="cs"/>
          <w:sz w:val="20"/>
          <w:szCs w:val="20"/>
          <w:rtl/>
        </w:rPr>
        <w:t>אמאי</w:t>
      </w:r>
      <w:r w:rsidRPr="00787B54">
        <w:rPr>
          <w:rFonts w:cs="Arial"/>
          <w:sz w:val="20"/>
          <w:szCs w:val="20"/>
          <w:rtl/>
        </w:rPr>
        <w:t xml:space="preserve"> </w:t>
      </w:r>
      <w:r w:rsidRPr="00787B54">
        <w:rPr>
          <w:rFonts w:cs="Arial" w:hint="cs"/>
          <w:sz w:val="20"/>
          <w:szCs w:val="20"/>
          <w:rtl/>
        </w:rPr>
        <w:t>תשב</w:t>
      </w:r>
      <w:r w:rsidRPr="00787B54">
        <w:rPr>
          <w:rFonts w:cs="Arial"/>
          <w:sz w:val="20"/>
          <w:szCs w:val="20"/>
          <w:rtl/>
        </w:rPr>
        <w:t xml:space="preserve"> </w:t>
      </w:r>
      <w:r w:rsidRPr="00787B54">
        <w:rPr>
          <w:rFonts w:cs="Arial" w:hint="cs"/>
          <w:sz w:val="20"/>
          <w:szCs w:val="20"/>
          <w:rtl/>
        </w:rPr>
        <w:t>לנדה</w:t>
      </w:r>
      <w:r w:rsidRPr="00787B54">
        <w:rPr>
          <w:rFonts w:cs="Arial"/>
          <w:sz w:val="20"/>
          <w:szCs w:val="20"/>
          <w:rtl/>
        </w:rPr>
        <w:t xml:space="preserve">? </w:t>
      </w:r>
      <w:r w:rsidRPr="00787B54">
        <w:rPr>
          <w:rFonts w:cs="Arial" w:hint="cs"/>
          <w:sz w:val="20"/>
          <w:szCs w:val="20"/>
          <w:rtl/>
        </w:rPr>
        <w:t>לימא</w:t>
      </w:r>
      <w:r w:rsidRPr="00787B54">
        <w:rPr>
          <w:rFonts w:cs="Arial"/>
          <w:sz w:val="20"/>
          <w:szCs w:val="20"/>
          <w:rtl/>
        </w:rPr>
        <w:t xml:space="preserve">: </w:t>
      </w:r>
      <w:r w:rsidRPr="00787B54">
        <w:rPr>
          <w:rFonts w:cs="Arial" w:hint="cs"/>
          <w:sz w:val="20"/>
          <w:szCs w:val="20"/>
          <w:rtl/>
        </w:rPr>
        <w:t>הלך</w:t>
      </w:r>
      <w:r w:rsidRPr="00787B54">
        <w:rPr>
          <w:rFonts w:cs="Arial"/>
          <w:sz w:val="20"/>
          <w:szCs w:val="20"/>
          <w:rtl/>
        </w:rPr>
        <w:t xml:space="preserve"> </w:t>
      </w:r>
      <w:r w:rsidRPr="00787B54">
        <w:rPr>
          <w:rFonts w:cs="Arial" w:hint="cs"/>
          <w:sz w:val="20"/>
          <w:szCs w:val="20"/>
          <w:rtl/>
        </w:rPr>
        <w:t>אחר</w:t>
      </w:r>
      <w:r w:rsidRPr="00787B54">
        <w:rPr>
          <w:rFonts w:cs="Arial"/>
          <w:sz w:val="20"/>
          <w:szCs w:val="20"/>
          <w:rtl/>
        </w:rPr>
        <w:t xml:space="preserve"> </w:t>
      </w:r>
      <w:r w:rsidRPr="00787B54">
        <w:rPr>
          <w:rFonts w:cs="Arial" w:hint="cs"/>
          <w:sz w:val="20"/>
          <w:szCs w:val="20"/>
          <w:rtl/>
        </w:rPr>
        <w:t>רוב</w:t>
      </w:r>
      <w:r w:rsidRPr="00787B54">
        <w:rPr>
          <w:rFonts w:cs="Arial"/>
          <w:sz w:val="20"/>
          <w:szCs w:val="20"/>
          <w:rtl/>
        </w:rPr>
        <w:t xml:space="preserve"> </w:t>
      </w:r>
      <w:r w:rsidRPr="00787B54">
        <w:rPr>
          <w:rFonts w:cs="Arial" w:hint="cs"/>
          <w:sz w:val="20"/>
          <w:szCs w:val="20"/>
          <w:rtl/>
        </w:rPr>
        <w:t>נשים</w:t>
      </w:r>
      <w:r w:rsidRPr="00787B54">
        <w:rPr>
          <w:rFonts w:cs="Arial"/>
          <w:sz w:val="20"/>
          <w:szCs w:val="20"/>
          <w:rtl/>
        </w:rPr>
        <w:t xml:space="preserve">, </w:t>
      </w:r>
      <w:r w:rsidRPr="00787B54">
        <w:rPr>
          <w:rFonts w:cs="Arial" w:hint="cs"/>
          <w:sz w:val="20"/>
          <w:szCs w:val="20"/>
          <w:rtl/>
        </w:rPr>
        <w:t>ורוב</w:t>
      </w:r>
      <w:r w:rsidRPr="00787B54">
        <w:rPr>
          <w:rFonts w:cs="Arial"/>
          <w:sz w:val="20"/>
          <w:szCs w:val="20"/>
          <w:rtl/>
        </w:rPr>
        <w:t xml:space="preserve"> </w:t>
      </w:r>
      <w:r w:rsidRPr="00787B54">
        <w:rPr>
          <w:rFonts w:cs="Arial" w:hint="cs"/>
          <w:sz w:val="20"/>
          <w:szCs w:val="20"/>
          <w:rtl/>
        </w:rPr>
        <w:t>נשים</w:t>
      </w:r>
      <w:r w:rsidRPr="00787B54">
        <w:rPr>
          <w:rFonts w:cs="Arial"/>
          <w:sz w:val="20"/>
          <w:szCs w:val="20"/>
          <w:rtl/>
        </w:rPr>
        <w:t xml:space="preserve"> </w:t>
      </w:r>
      <w:r w:rsidRPr="00787B54">
        <w:rPr>
          <w:rFonts w:cs="Arial" w:hint="cs"/>
          <w:sz w:val="20"/>
          <w:szCs w:val="20"/>
          <w:rtl/>
        </w:rPr>
        <w:t>ולד</w:t>
      </w:r>
      <w:r w:rsidRPr="00787B54">
        <w:rPr>
          <w:rFonts w:cs="Arial"/>
          <w:sz w:val="20"/>
          <w:szCs w:val="20"/>
          <w:rtl/>
        </w:rPr>
        <w:t xml:space="preserve"> </w:t>
      </w:r>
      <w:r w:rsidRPr="00787B54">
        <w:rPr>
          <w:rFonts w:cs="Arial" w:hint="cs"/>
          <w:sz w:val="20"/>
          <w:szCs w:val="20"/>
          <w:rtl/>
        </w:rPr>
        <w:t>מעליא</w:t>
      </w:r>
      <w:r w:rsidRPr="00787B54">
        <w:rPr>
          <w:rFonts w:cs="Arial"/>
          <w:sz w:val="20"/>
          <w:szCs w:val="20"/>
          <w:rtl/>
        </w:rPr>
        <w:t xml:space="preserve"> </w:t>
      </w:r>
      <w:r w:rsidRPr="00787B54">
        <w:rPr>
          <w:rFonts w:cs="Arial" w:hint="cs"/>
          <w:sz w:val="20"/>
          <w:szCs w:val="20"/>
          <w:rtl/>
        </w:rPr>
        <w:t>ילדן</w:t>
      </w:r>
      <w:r w:rsidRPr="00787B54">
        <w:rPr>
          <w:rFonts w:cs="Arial"/>
          <w:sz w:val="20"/>
          <w:szCs w:val="20"/>
          <w:rtl/>
        </w:rPr>
        <w:t xml:space="preserve">! </w:t>
      </w:r>
      <w:r w:rsidRPr="00787B54">
        <w:rPr>
          <w:rFonts w:cs="Arial" w:hint="cs"/>
          <w:sz w:val="20"/>
          <w:szCs w:val="20"/>
          <w:rtl/>
        </w:rPr>
        <w:t>מתני</w:t>
      </w:r>
      <w:r>
        <w:rPr>
          <w:rFonts w:cs="Arial" w:hint="cs"/>
          <w:sz w:val="20"/>
          <w:szCs w:val="20"/>
          <w:rtl/>
        </w:rPr>
        <w:t>תין</w:t>
      </w:r>
      <w:r w:rsidRPr="00787B54">
        <w:rPr>
          <w:rFonts w:cs="Arial"/>
          <w:sz w:val="20"/>
          <w:szCs w:val="20"/>
          <w:rtl/>
        </w:rPr>
        <w:t xml:space="preserve"> - </w:t>
      </w:r>
      <w:r w:rsidRPr="00787B54">
        <w:rPr>
          <w:rFonts w:cs="Arial" w:hint="cs"/>
          <w:sz w:val="20"/>
          <w:szCs w:val="20"/>
          <w:rtl/>
        </w:rPr>
        <w:t>בשלא</w:t>
      </w:r>
      <w:r w:rsidRPr="00787B54">
        <w:rPr>
          <w:rFonts w:cs="Arial"/>
          <w:sz w:val="20"/>
          <w:szCs w:val="20"/>
          <w:rtl/>
        </w:rPr>
        <w:t xml:space="preserve"> </w:t>
      </w:r>
      <w:r w:rsidRPr="00787B54">
        <w:rPr>
          <w:rFonts w:cs="Arial" w:hint="cs"/>
          <w:sz w:val="20"/>
          <w:szCs w:val="20"/>
          <w:rtl/>
        </w:rPr>
        <w:t>הוחזקה</w:t>
      </w:r>
      <w:r w:rsidRPr="00787B54">
        <w:rPr>
          <w:rFonts w:cs="Arial"/>
          <w:sz w:val="20"/>
          <w:szCs w:val="20"/>
          <w:rtl/>
        </w:rPr>
        <w:t xml:space="preserve"> </w:t>
      </w:r>
      <w:r w:rsidRPr="00787B54">
        <w:rPr>
          <w:rFonts w:cs="Arial" w:hint="cs"/>
          <w:sz w:val="20"/>
          <w:szCs w:val="20"/>
          <w:rtl/>
        </w:rPr>
        <w:t>עוברה</w:t>
      </w:r>
      <w:r w:rsidRPr="00787B54">
        <w:rPr>
          <w:rFonts w:cs="Arial"/>
          <w:sz w:val="20"/>
          <w:szCs w:val="20"/>
          <w:rtl/>
        </w:rPr>
        <w:t xml:space="preserve">, </w:t>
      </w:r>
      <w:r w:rsidRPr="00787B54">
        <w:rPr>
          <w:rFonts w:cs="Arial" w:hint="cs"/>
          <w:sz w:val="20"/>
          <w:szCs w:val="20"/>
          <w:rtl/>
        </w:rPr>
        <w:t>וכי</w:t>
      </w:r>
      <w:r w:rsidRPr="00787B54">
        <w:rPr>
          <w:rFonts w:cs="Arial"/>
          <w:sz w:val="20"/>
          <w:szCs w:val="20"/>
          <w:rtl/>
        </w:rPr>
        <w:t xml:space="preserve"> </w:t>
      </w:r>
      <w:r w:rsidRPr="00787B54">
        <w:rPr>
          <w:rFonts w:cs="Arial" w:hint="cs"/>
          <w:sz w:val="20"/>
          <w:szCs w:val="20"/>
          <w:rtl/>
        </w:rPr>
        <w:t>קאמר</w:t>
      </w:r>
      <w:r w:rsidRPr="00787B54">
        <w:rPr>
          <w:rFonts w:cs="Arial"/>
          <w:sz w:val="20"/>
          <w:szCs w:val="20"/>
          <w:rtl/>
        </w:rPr>
        <w:t xml:space="preserve"> </w:t>
      </w:r>
      <w:r w:rsidRPr="00787B54">
        <w:rPr>
          <w:rFonts w:cs="Arial" w:hint="cs"/>
          <w:sz w:val="20"/>
          <w:szCs w:val="20"/>
          <w:rtl/>
        </w:rPr>
        <w:t>רבי יהושע בן לוי</w:t>
      </w:r>
      <w:r w:rsidRPr="00787B54">
        <w:rPr>
          <w:rFonts w:cs="Arial"/>
          <w:sz w:val="20"/>
          <w:szCs w:val="20"/>
          <w:rtl/>
        </w:rPr>
        <w:t xml:space="preserve"> - </w:t>
      </w:r>
      <w:r w:rsidRPr="00787B54">
        <w:rPr>
          <w:rFonts w:cs="Arial" w:hint="cs"/>
          <w:sz w:val="20"/>
          <w:szCs w:val="20"/>
          <w:rtl/>
        </w:rPr>
        <w:t>כשהוחזקה</w:t>
      </w:r>
      <w:r w:rsidRPr="00787B54">
        <w:rPr>
          <w:rFonts w:cs="Arial"/>
          <w:sz w:val="20"/>
          <w:szCs w:val="20"/>
          <w:rtl/>
        </w:rPr>
        <w:t xml:space="preserve"> </w:t>
      </w:r>
      <w:r w:rsidRPr="00787B54">
        <w:rPr>
          <w:rFonts w:cs="Arial" w:hint="cs"/>
          <w:sz w:val="20"/>
          <w:szCs w:val="20"/>
          <w:rtl/>
        </w:rPr>
        <w:t>עוברה</w:t>
      </w:r>
      <w:r w:rsidRPr="00787B54">
        <w:rPr>
          <w:rFonts w:hint="cs"/>
          <w:sz w:val="20"/>
          <w:szCs w:val="20"/>
          <w:rtl/>
        </w:rPr>
        <w:t>".</w:t>
      </w:r>
    </w:p>
    <w:p w:rsidR="00620060" w:rsidRDefault="00620060" w:rsidP="00620060">
      <w:pPr>
        <w:rPr>
          <w:sz w:val="20"/>
          <w:szCs w:val="20"/>
          <w:rtl/>
        </w:rPr>
      </w:pPr>
      <w:r>
        <w:rPr>
          <w:rFonts w:hint="cs"/>
          <w:sz w:val="20"/>
          <w:szCs w:val="20"/>
          <w:u w:val="single"/>
          <w:rtl/>
        </w:rPr>
        <w:t>הסבר</w:t>
      </w:r>
      <w:r>
        <w:rPr>
          <w:sz w:val="20"/>
          <w:szCs w:val="20"/>
          <w:u w:val="single"/>
          <w:rtl/>
        </w:rPr>
        <w:br/>
      </w:r>
      <w:r>
        <w:rPr>
          <w:rFonts w:hint="cs"/>
          <w:sz w:val="20"/>
          <w:szCs w:val="20"/>
          <w:rtl/>
        </w:rPr>
        <w:t xml:space="preserve">מסקנת הגמרא כך - </w:t>
      </w:r>
      <w:r>
        <w:rPr>
          <w:sz w:val="20"/>
          <w:szCs w:val="20"/>
          <w:rtl/>
        </w:rPr>
        <w:br/>
      </w:r>
      <w:r>
        <w:rPr>
          <w:rFonts w:hint="cs"/>
          <w:sz w:val="20"/>
          <w:szCs w:val="20"/>
          <w:rtl/>
        </w:rPr>
        <w:t xml:space="preserve">משנה </w:t>
      </w:r>
      <w:r>
        <w:rPr>
          <w:sz w:val="20"/>
          <w:szCs w:val="20"/>
          <w:rtl/>
        </w:rPr>
        <w:t>–</w:t>
      </w:r>
      <w:r>
        <w:rPr>
          <w:rFonts w:hint="cs"/>
          <w:sz w:val="20"/>
          <w:szCs w:val="20"/>
          <w:rtl/>
        </w:rPr>
        <w:t xml:space="preserve"> לא הוחזקה מעוברת והפילה, תשב ימי טומאת יולדת נקבה וכן טמאה כנידה שמא לא היה זה וולד.</w:t>
      </w:r>
      <w:r>
        <w:rPr>
          <w:sz w:val="20"/>
          <w:szCs w:val="20"/>
          <w:rtl/>
        </w:rPr>
        <w:br/>
      </w:r>
      <w:r>
        <w:rPr>
          <w:rFonts w:hint="cs"/>
          <w:sz w:val="20"/>
          <w:szCs w:val="20"/>
          <w:rtl/>
        </w:rPr>
        <w:t xml:space="preserve">ריב"ל </w:t>
      </w:r>
      <w:r>
        <w:rPr>
          <w:sz w:val="20"/>
          <w:szCs w:val="20"/>
          <w:rtl/>
        </w:rPr>
        <w:t>–</w:t>
      </w:r>
      <w:r>
        <w:rPr>
          <w:rFonts w:hint="cs"/>
          <w:sz w:val="20"/>
          <w:szCs w:val="20"/>
          <w:rtl/>
        </w:rPr>
        <w:t xml:space="preserve"> הוחזקה מעוברת והפילה, תשב ימי טומאת יולדת נקבה, אך אינה חוששת לטומאת נידה.</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787B54">
        <w:rPr>
          <w:rFonts w:cs="Arial" w:hint="cs"/>
          <w:sz w:val="20"/>
          <w:szCs w:val="20"/>
          <w:rtl/>
        </w:rPr>
        <w:t>הרגישה</w:t>
      </w:r>
      <w:r w:rsidRPr="00787B54">
        <w:rPr>
          <w:rFonts w:cs="Arial"/>
          <w:sz w:val="20"/>
          <w:szCs w:val="20"/>
          <w:rtl/>
        </w:rPr>
        <w:t xml:space="preserve"> </w:t>
      </w:r>
      <w:r w:rsidRPr="00787B54">
        <w:rPr>
          <w:rFonts w:cs="Arial" w:hint="cs"/>
          <w:sz w:val="20"/>
          <w:szCs w:val="20"/>
          <w:rtl/>
        </w:rPr>
        <w:t>שהפילה</w:t>
      </w:r>
      <w:r w:rsidRPr="00787B54">
        <w:rPr>
          <w:rFonts w:cs="Arial"/>
          <w:sz w:val="20"/>
          <w:szCs w:val="20"/>
          <w:rtl/>
        </w:rPr>
        <w:t xml:space="preserve"> </w:t>
      </w:r>
      <w:r w:rsidRPr="00787B54">
        <w:rPr>
          <w:rFonts w:cs="Arial" w:hint="cs"/>
          <w:sz w:val="20"/>
          <w:szCs w:val="20"/>
          <w:rtl/>
        </w:rPr>
        <w:t>ואינה</w:t>
      </w:r>
      <w:r w:rsidRPr="00787B54">
        <w:rPr>
          <w:rFonts w:cs="Arial"/>
          <w:sz w:val="20"/>
          <w:szCs w:val="20"/>
          <w:rtl/>
        </w:rPr>
        <w:t xml:space="preserve"> </w:t>
      </w:r>
      <w:r w:rsidRPr="00787B54">
        <w:rPr>
          <w:rFonts w:cs="Arial" w:hint="cs"/>
          <w:sz w:val="20"/>
          <w:szCs w:val="20"/>
          <w:rtl/>
        </w:rPr>
        <w:t>יודעת</w:t>
      </w:r>
      <w:r w:rsidRPr="00787B54">
        <w:rPr>
          <w:rFonts w:cs="Arial"/>
          <w:sz w:val="20"/>
          <w:szCs w:val="20"/>
          <w:rtl/>
        </w:rPr>
        <w:t xml:space="preserve"> </w:t>
      </w:r>
      <w:r w:rsidRPr="00787B54">
        <w:rPr>
          <w:rFonts w:cs="Arial" w:hint="cs"/>
          <w:sz w:val="20"/>
          <w:szCs w:val="20"/>
          <w:rtl/>
        </w:rPr>
        <w:t>מה</w:t>
      </w:r>
      <w:r w:rsidRPr="00787B54">
        <w:rPr>
          <w:rFonts w:cs="Arial"/>
          <w:sz w:val="20"/>
          <w:szCs w:val="20"/>
          <w:rtl/>
        </w:rPr>
        <w:t xml:space="preserve">, </w:t>
      </w:r>
      <w:r w:rsidRPr="00787B54">
        <w:rPr>
          <w:rFonts w:cs="Arial" w:hint="cs"/>
          <w:sz w:val="20"/>
          <w:szCs w:val="20"/>
          <w:rtl/>
        </w:rPr>
        <w:t>אפילו</w:t>
      </w:r>
      <w:r w:rsidRPr="00787B54">
        <w:rPr>
          <w:rFonts w:cs="Arial"/>
          <w:sz w:val="20"/>
          <w:szCs w:val="20"/>
          <w:rtl/>
        </w:rPr>
        <w:t xml:space="preserve"> </w:t>
      </w:r>
      <w:r w:rsidRPr="00787B54">
        <w:rPr>
          <w:rFonts w:cs="Arial" w:hint="cs"/>
          <w:sz w:val="20"/>
          <w:szCs w:val="20"/>
          <w:rtl/>
        </w:rPr>
        <w:t>לא</w:t>
      </w:r>
      <w:r w:rsidRPr="00787B54">
        <w:rPr>
          <w:rFonts w:cs="Arial"/>
          <w:sz w:val="20"/>
          <w:szCs w:val="20"/>
          <w:rtl/>
        </w:rPr>
        <w:t xml:space="preserve"> </w:t>
      </w:r>
      <w:r w:rsidRPr="00787B54">
        <w:rPr>
          <w:rFonts w:cs="Arial" w:hint="cs"/>
          <w:sz w:val="20"/>
          <w:szCs w:val="20"/>
          <w:rtl/>
        </w:rPr>
        <w:t>היתה</w:t>
      </w:r>
      <w:r w:rsidRPr="00787B54">
        <w:rPr>
          <w:rFonts w:cs="Arial"/>
          <w:sz w:val="20"/>
          <w:szCs w:val="20"/>
          <w:rtl/>
        </w:rPr>
        <w:t xml:space="preserve"> </w:t>
      </w:r>
      <w:r w:rsidRPr="00787B54">
        <w:rPr>
          <w:rFonts w:cs="Arial" w:hint="cs"/>
          <w:sz w:val="20"/>
          <w:szCs w:val="20"/>
          <w:rtl/>
        </w:rPr>
        <w:t>בחזקת</w:t>
      </w:r>
      <w:r w:rsidRPr="00787B54">
        <w:rPr>
          <w:rFonts w:cs="Arial"/>
          <w:sz w:val="20"/>
          <w:szCs w:val="20"/>
          <w:rtl/>
        </w:rPr>
        <w:t xml:space="preserve"> </w:t>
      </w:r>
      <w:r w:rsidRPr="00787B54">
        <w:rPr>
          <w:rFonts w:cs="Arial" w:hint="cs"/>
          <w:sz w:val="20"/>
          <w:szCs w:val="20"/>
          <w:rtl/>
        </w:rPr>
        <w:t>מעוברת</w:t>
      </w:r>
      <w:r w:rsidRPr="00787B54">
        <w:rPr>
          <w:rFonts w:cs="Arial"/>
          <w:sz w:val="20"/>
          <w:szCs w:val="20"/>
          <w:rtl/>
        </w:rPr>
        <w:t xml:space="preserve"> </w:t>
      </w:r>
      <w:r w:rsidRPr="00787B54">
        <w:rPr>
          <w:rFonts w:cs="Arial" w:hint="cs"/>
          <w:sz w:val="20"/>
          <w:szCs w:val="20"/>
          <w:rtl/>
        </w:rPr>
        <w:t>הרי</w:t>
      </w:r>
      <w:r w:rsidRPr="00787B54">
        <w:rPr>
          <w:rFonts w:cs="Arial"/>
          <w:sz w:val="20"/>
          <w:szCs w:val="20"/>
          <w:rtl/>
        </w:rPr>
        <w:t xml:space="preserve"> </w:t>
      </w:r>
      <w:r w:rsidRPr="00787B54">
        <w:rPr>
          <w:rFonts w:cs="Arial" w:hint="cs"/>
          <w:sz w:val="20"/>
          <w:szCs w:val="20"/>
          <w:rtl/>
        </w:rPr>
        <w:t>זו</w:t>
      </w:r>
      <w:r w:rsidRPr="00787B54">
        <w:rPr>
          <w:rFonts w:cs="Arial"/>
          <w:sz w:val="20"/>
          <w:szCs w:val="20"/>
          <w:rtl/>
        </w:rPr>
        <w:t xml:space="preserve"> </w:t>
      </w:r>
      <w:r w:rsidRPr="00787B54">
        <w:rPr>
          <w:rFonts w:cs="Arial" w:hint="cs"/>
          <w:sz w:val="20"/>
          <w:szCs w:val="20"/>
          <w:rtl/>
        </w:rPr>
        <w:t>טמאה</w:t>
      </w:r>
      <w:r w:rsidRPr="00787B54">
        <w:rPr>
          <w:rFonts w:cs="Arial"/>
          <w:sz w:val="20"/>
          <w:szCs w:val="20"/>
          <w:rtl/>
        </w:rPr>
        <w:t xml:space="preserve"> </w:t>
      </w:r>
      <w:r w:rsidRPr="00787B54">
        <w:rPr>
          <w:rFonts w:cs="Arial" w:hint="cs"/>
          <w:sz w:val="20"/>
          <w:szCs w:val="20"/>
          <w:rtl/>
        </w:rPr>
        <w:t>לידה</w:t>
      </w:r>
      <w:r w:rsidRPr="00787B54">
        <w:rPr>
          <w:rFonts w:cs="Arial"/>
          <w:sz w:val="20"/>
          <w:szCs w:val="20"/>
          <w:rtl/>
        </w:rPr>
        <w:t xml:space="preserve"> </w:t>
      </w:r>
      <w:r w:rsidRPr="00787B54">
        <w:rPr>
          <w:rFonts w:cs="Arial" w:hint="cs"/>
          <w:sz w:val="20"/>
          <w:szCs w:val="20"/>
          <w:rtl/>
        </w:rPr>
        <w:t>וחוששת</w:t>
      </w:r>
      <w:r w:rsidRPr="00787B54">
        <w:rPr>
          <w:rFonts w:cs="Arial"/>
          <w:sz w:val="20"/>
          <w:szCs w:val="20"/>
          <w:rtl/>
        </w:rPr>
        <w:t xml:space="preserve"> </w:t>
      </w:r>
      <w:r w:rsidRPr="00787B54">
        <w:rPr>
          <w:rFonts w:cs="Arial" w:hint="cs"/>
          <w:sz w:val="20"/>
          <w:szCs w:val="20"/>
          <w:rtl/>
        </w:rPr>
        <w:t>שמא</w:t>
      </w:r>
      <w:r w:rsidRPr="00787B54">
        <w:rPr>
          <w:rFonts w:cs="Arial"/>
          <w:sz w:val="20"/>
          <w:szCs w:val="20"/>
          <w:rtl/>
        </w:rPr>
        <w:t xml:space="preserve"> </w:t>
      </w:r>
      <w:r w:rsidRPr="00787B54">
        <w:rPr>
          <w:rFonts w:cs="Arial" w:hint="cs"/>
          <w:sz w:val="20"/>
          <w:szCs w:val="20"/>
          <w:rtl/>
        </w:rPr>
        <w:t>נקבה</w:t>
      </w:r>
      <w:r w:rsidRPr="00787B54">
        <w:rPr>
          <w:rFonts w:cs="Arial"/>
          <w:sz w:val="20"/>
          <w:szCs w:val="20"/>
          <w:rtl/>
        </w:rPr>
        <w:t xml:space="preserve"> </w:t>
      </w:r>
      <w:r w:rsidRPr="00787B54">
        <w:rPr>
          <w:rFonts w:cs="Arial" w:hint="cs"/>
          <w:sz w:val="20"/>
          <w:szCs w:val="20"/>
          <w:rtl/>
        </w:rPr>
        <w:t>היתה</w:t>
      </w:r>
      <w:r>
        <w:rPr>
          <w:rFonts w:cs="Arial" w:hint="cs"/>
          <w:sz w:val="20"/>
          <w:szCs w:val="20"/>
          <w:rtl/>
        </w:rPr>
        <w:t>".</w:t>
      </w:r>
    </w:p>
    <w:p w:rsidR="00620060" w:rsidRDefault="00620060" w:rsidP="00620060">
      <w:pPr>
        <w:rPr>
          <w:sz w:val="20"/>
          <w:szCs w:val="20"/>
          <w:rtl/>
        </w:rPr>
      </w:pPr>
      <w:r>
        <w:rPr>
          <w:rFonts w:hint="cs"/>
          <w:sz w:val="20"/>
          <w:szCs w:val="20"/>
          <w:u w:val="single"/>
          <w:rtl/>
        </w:rPr>
        <w:t>הסבר</w:t>
      </w:r>
      <w:r>
        <w:rPr>
          <w:sz w:val="20"/>
          <w:szCs w:val="20"/>
          <w:u w:val="single"/>
          <w:rtl/>
        </w:rPr>
        <w:br/>
      </w:r>
      <w:r>
        <w:rPr>
          <w:rFonts w:hint="cs"/>
          <w:sz w:val="20"/>
          <w:szCs w:val="20"/>
          <w:rtl/>
        </w:rPr>
        <w:t>א. המחבר נקט שאינה מעוברת, וכל שכן אם היתה מעוברת שהדין כנ"ל.</w:t>
      </w:r>
      <w:r>
        <w:rPr>
          <w:sz w:val="20"/>
          <w:szCs w:val="20"/>
          <w:rtl/>
        </w:rPr>
        <w:br/>
      </w:r>
      <w:r>
        <w:rPr>
          <w:rFonts w:hint="cs"/>
          <w:sz w:val="20"/>
          <w:szCs w:val="20"/>
          <w:rtl/>
        </w:rPr>
        <w:t>ב. מדוע המחבר השמיט דין ישיבה לזכר? משום שליכא נפקותא בדין זה אלא לנוהגים היתר לבעול על דם טוהר, אך לדידן לא נפקא מידי ולכן השמיטו המחבר.</w:t>
      </w:r>
      <w:r>
        <w:rPr>
          <w:sz w:val="20"/>
          <w:szCs w:val="20"/>
          <w:rtl/>
        </w:rPr>
        <w:br/>
      </w:r>
      <w:r>
        <w:rPr>
          <w:rFonts w:hint="cs"/>
          <w:sz w:val="20"/>
          <w:szCs w:val="20"/>
          <w:rtl/>
        </w:rPr>
        <w:t xml:space="preserve">ג. כמו כן, המחבר השמיט דין ישיבה לנידה, משום שממילא קיי"ל בכל יולדת שדינה כיולדת בזוב שיושבת ז' נקיים, ואם כן ליכא נפקותא בדין זה לדידן. </w:t>
      </w:r>
    </w:p>
    <w:p w:rsidR="00620060" w:rsidRPr="002F40A7" w:rsidRDefault="00620060" w:rsidP="00620060">
      <w:pPr>
        <w:rPr>
          <w:sz w:val="20"/>
          <w:szCs w:val="20"/>
        </w:rPr>
      </w:pPr>
      <w:r w:rsidRPr="00C31A95">
        <w:rPr>
          <w:rFonts w:hint="cs"/>
          <w:b/>
          <w:bCs/>
          <w:sz w:val="20"/>
          <w:szCs w:val="20"/>
          <w:rtl/>
        </w:rPr>
        <w:t>סיכום</w:t>
      </w:r>
      <w:r>
        <w:rPr>
          <w:rFonts w:hint="cs"/>
          <w:sz w:val="20"/>
          <w:szCs w:val="20"/>
          <w:rtl/>
        </w:rPr>
        <w:t xml:space="preserve"> (מסעיף ו)</w:t>
      </w:r>
      <w:r>
        <w:rPr>
          <w:sz w:val="20"/>
          <w:szCs w:val="20"/>
          <w:rtl/>
        </w:rPr>
        <w:br/>
      </w:r>
      <w:r>
        <w:rPr>
          <w:rFonts w:hint="cs"/>
          <w:sz w:val="20"/>
          <w:szCs w:val="20"/>
          <w:rtl/>
        </w:rPr>
        <w:t>1. שליה שיצאה מקצתה היום ומקצתה למחר, טמאה מיום הראשון ומונה ימי טומאת לידה רק מיום שני.</w:t>
      </w:r>
      <w:r>
        <w:rPr>
          <w:sz w:val="20"/>
          <w:szCs w:val="20"/>
          <w:rtl/>
        </w:rPr>
        <w:br/>
      </w:r>
      <w:r>
        <w:rPr>
          <w:rFonts w:hint="cs"/>
          <w:sz w:val="20"/>
          <w:szCs w:val="20"/>
          <w:rtl/>
        </w:rPr>
        <w:lastRenderedPageBreak/>
        <w:t xml:space="preserve">2. הפילה דמות בהמה וכדומה ושליה קשורה בה </w:t>
      </w:r>
      <w:r>
        <w:rPr>
          <w:sz w:val="20"/>
          <w:szCs w:val="20"/>
          <w:rtl/>
        </w:rPr>
        <w:t>–</w:t>
      </w:r>
      <w:r>
        <w:rPr>
          <w:rFonts w:hint="cs"/>
          <w:sz w:val="20"/>
          <w:szCs w:val="20"/>
          <w:rtl/>
        </w:rPr>
        <w:t xml:space="preserve"> אין השליה וולד אחר. שליה אינה קשורה בדמות </w:t>
      </w:r>
      <w:r>
        <w:rPr>
          <w:sz w:val="20"/>
          <w:szCs w:val="20"/>
          <w:rtl/>
        </w:rPr>
        <w:t>–</w:t>
      </w:r>
      <w:r>
        <w:rPr>
          <w:rFonts w:hint="cs"/>
          <w:sz w:val="20"/>
          <w:szCs w:val="20"/>
          <w:rtl/>
        </w:rPr>
        <w:t xml:space="preserve"> חוששת לוולד אחר וטמאה מחמתה כיולדת נקבה.</w:t>
      </w:r>
      <w:r>
        <w:rPr>
          <w:sz w:val="20"/>
          <w:szCs w:val="20"/>
          <w:rtl/>
        </w:rPr>
        <w:br/>
      </w:r>
      <w:r>
        <w:rPr>
          <w:rFonts w:hint="cs"/>
          <w:sz w:val="20"/>
          <w:szCs w:val="20"/>
          <w:rtl/>
        </w:rPr>
        <w:t xml:space="preserve">3. ילדה טומטום או אנדרוגינוס </w:t>
      </w:r>
      <w:r>
        <w:rPr>
          <w:sz w:val="20"/>
          <w:szCs w:val="20"/>
          <w:rtl/>
        </w:rPr>
        <w:t>–</w:t>
      </w:r>
      <w:r>
        <w:rPr>
          <w:rFonts w:hint="cs"/>
          <w:sz w:val="20"/>
          <w:szCs w:val="20"/>
          <w:rtl/>
        </w:rPr>
        <w:t xml:space="preserve"> טמאה כיולדת נקבה.</w:t>
      </w:r>
      <w:r>
        <w:rPr>
          <w:sz w:val="20"/>
          <w:szCs w:val="20"/>
          <w:rtl/>
        </w:rPr>
        <w:br/>
      </w:r>
      <w:r>
        <w:rPr>
          <w:rFonts w:hint="cs"/>
          <w:sz w:val="20"/>
          <w:szCs w:val="20"/>
          <w:rtl/>
        </w:rPr>
        <w:t xml:space="preserve">4. אינה יודעת מה ילדה. טמאה כיולדת נקבה אפילו לא היתה בחזקת מעוברת, וכ"ש אם היתה מעוברת. </w:t>
      </w:r>
      <w:r w:rsidRPr="002F40A7">
        <w:rPr>
          <w:rFonts w:hint="cs"/>
          <w:sz w:val="18"/>
          <w:szCs w:val="18"/>
          <w:rtl/>
        </w:rPr>
        <w:t>[וליכא נפק"מ לדידן לטמאה משום יולדת לזכר, דאין נוהגים דין דם טוהר. וכן אין נפק"מ לחשוש לנידה, ממילא בעי ז"נ בכל יולדת].</w:t>
      </w:r>
    </w:p>
    <w:p w:rsidR="00620060" w:rsidRDefault="00620060" w:rsidP="00620060">
      <w:pPr>
        <w:rPr>
          <w:rFonts w:cs="Arial"/>
          <w:sz w:val="20"/>
          <w:szCs w:val="20"/>
          <w:rtl/>
        </w:rPr>
      </w:pPr>
      <w:r>
        <w:rPr>
          <w:sz w:val="20"/>
          <w:szCs w:val="20"/>
          <w:rtl/>
        </w:rPr>
        <w:br/>
      </w:r>
      <w:r>
        <w:rPr>
          <w:rFonts w:hint="cs"/>
          <w:b/>
          <w:bCs/>
          <w:sz w:val="20"/>
          <w:szCs w:val="20"/>
          <w:rtl/>
        </w:rPr>
        <w:t xml:space="preserve">סעיף י </w:t>
      </w:r>
      <w:r>
        <w:rPr>
          <w:b/>
          <w:bCs/>
          <w:sz w:val="20"/>
          <w:szCs w:val="20"/>
          <w:rtl/>
        </w:rPr>
        <w:t>–</w:t>
      </w:r>
      <w:r>
        <w:rPr>
          <w:rFonts w:hint="cs"/>
          <w:b/>
          <w:bCs/>
          <w:sz w:val="20"/>
          <w:szCs w:val="20"/>
          <w:rtl/>
        </w:rPr>
        <w:t xml:space="preserve"> מאימתי טמאה לידה</w:t>
      </w:r>
      <w:r>
        <w:rPr>
          <w:b/>
          <w:bCs/>
          <w:sz w:val="20"/>
          <w:szCs w:val="20"/>
          <w:rtl/>
        </w:rPr>
        <w:br/>
      </w:r>
      <w:r w:rsidRPr="00500CC9">
        <w:rPr>
          <w:rFonts w:hint="cs"/>
          <w:b/>
          <w:bCs/>
          <w:sz w:val="20"/>
          <w:szCs w:val="20"/>
          <w:rtl/>
        </w:rPr>
        <w:t>יצא כדרכו או מחותך או מסורס</w:t>
      </w:r>
      <w:r>
        <w:rPr>
          <w:b/>
          <w:bCs/>
          <w:sz w:val="20"/>
          <w:szCs w:val="20"/>
          <w:rtl/>
        </w:rPr>
        <w:br/>
      </w:r>
      <w:r>
        <w:rPr>
          <w:rFonts w:hint="cs"/>
          <w:b/>
          <w:bCs/>
          <w:sz w:val="20"/>
          <w:szCs w:val="20"/>
          <w:rtl/>
        </w:rPr>
        <w:t xml:space="preserve">משנה </w:t>
      </w:r>
      <w:r>
        <w:rPr>
          <w:rFonts w:hint="cs"/>
          <w:sz w:val="20"/>
          <w:szCs w:val="20"/>
          <w:rtl/>
        </w:rPr>
        <w:t>נידה (כח.) "</w:t>
      </w:r>
      <w:r w:rsidRPr="00DE1E64">
        <w:rPr>
          <w:rFonts w:cs="Arial" w:hint="cs"/>
          <w:sz w:val="20"/>
          <w:szCs w:val="20"/>
          <w:rtl/>
        </w:rPr>
        <w:t>יצא</w:t>
      </w:r>
      <w:r w:rsidRPr="00DE1E64">
        <w:rPr>
          <w:rFonts w:cs="Arial"/>
          <w:sz w:val="20"/>
          <w:szCs w:val="20"/>
          <w:rtl/>
        </w:rPr>
        <w:t xml:space="preserve"> </w:t>
      </w:r>
      <w:r w:rsidRPr="00DE1E64">
        <w:rPr>
          <w:rFonts w:cs="Arial" w:hint="cs"/>
          <w:sz w:val="20"/>
          <w:szCs w:val="20"/>
          <w:rtl/>
        </w:rPr>
        <w:t>מחותך</w:t>
      </w:r>
      <w:r w:rsidRPr="00DE1E64">
        <w:rPr>
          <w:rFonts w:cs="Arial"/>
          <w:sz w:val="20"/>
          <w:szCs w:val="20"/>
          <w:rtl/>
        </w:rPr>
        <w:t xml:space="preserve"> </w:t>
      </w:r>
      <w:r w:rsidRPr="00DE1E64">
        <w:rPr>
          <w:rFonts w:cs="Arial" w:hint="cs"/>
          <w:sz w:val="20"/>
          <w:szCs w:val="20"/>
          <w:rtl/>
        </w:rPr>
        <w:t>או</w:t>
      </w:r>
      <w:r w:rsidRPr="00DE1E64">
        <w:rPr>
          <w:rFonts w:cs="Arial"/>
          <w:sz w:val="20"/>
          <w:szCs w:val="20"/>
          <w:rtl/>
        </w:rPr>
        <w:t xml:space="preserve"> </w:t>
      </w:r>
      <w:r w:rsidRPr="00DE1E64">
        <w:rPr>
          <w:rFonts w:cs="Arial" w:hint="cs"/>
          <w:sz w:val="20"/>
          <w:szCs w:val="20"/>
          <w:rtl/>
        </w:rPr>
        <w:t>מסורס</w:t>
      </w:r>
      <w:r>
        <w:rPr>
          <w:rFonts w:cs="Arial" w:hint="cs"/>
          <w:sz w:val="20"/>
          <w:szCs w:val="20"/>
          <w:rtl/>
        </w:rPr>
        <w:t xml:space="preserve"> </w:t>
      </w:r>
      <w:r w:rsidRPr="00DE1E64">
        <w:rPr>
          <w:rFonts w:cs="Arial" w:hint="cs"/>
          <w:sz w:val="18"/>
          <w:szCs w:val="18"/>
          <w:rtl/>
        </w:rPr>
        <w:t>(דרך רגליו)</w:t>
      </w:r>
      <w:r w:rsidRPr="00DE1E64">
        <w:rPr>
          <w:rFonts w:cs="Arial"/>
          <w:sz w:val="20"/>
          <w:szCs w:val="20"/>
          <w:rtl/>
        </w:rPr>
        <w:t xml:space="preserve">, </w:t>
      </w:r>
      <w:r w:rsidRPr="00DE1E64">
        <w:rPr>
          <w:rFonts w:cs="Arial" w:hint="cs"/>
          <w:sz w:val="20"/>
          <w:szCs w:val="20"/>
          <w:rtl/>
        </w:rPr>
        <w:t>משיצא</w:t>
      </w:r>
      <w:r w:rsidRPr="00DE1E64">
        <w:rPr>
          <w:rFonts w:cs="Arial"/>
          <w:sz w:val="20"/>
          <w:szCs w:val="20"/>
          <w:rtl/>
        </w:rPr>
        <w:t xml:space="preserve"> </w:t>
      </w:r>
      <w:r w:rsidRPr="00DE1E64">
        <w:rPr>
          <w:rFonts w:cs="Arial" w:hint="cs"/>
          <w:sz w:val="20"/>
          <w:szCs w:val="20"/>
          <w:rtl/>
        </w:rPr>
        <w:t>רובו</w:t>
      </w:r>
      <w:r w:rsidRPr="00DE1E64">
        <w:rPr>
          <w:rFonts w:cs="Arial"/>
          <w:sz w:val="20"/>
          <w:szCs w:val="20"/>
          <w:rtl/>
        </w:rPr>
        <w:t xml:space="preserve"> - </w:t>
      </w:r>
      <w:r w:rsidRPr="00DE1E64">
        <w:rPr>
          <w:rFonts w:cs="Arial" w:hint="cs"/>
          <w:sz w:val="20"/>
          <w:szCs w:val="20"/>
          <w:rtl/>
        </w:rPr>
        <w:t>הרי</w:t>
      </w:r>
      <w:r w:rsidRPr="00DE1E64">
        <w:rPr>
          <w:rFonts w:cs="Arial"/>
          <w:sz w:val="20"/>
          <w:szCs w:val="20"/>
          <w:rtl/>
        </w:rPr>
        <w:t xml:space="preserve"> </w:t>
      </w:r>
      <w:r w:rsidRPr="00DE1E64">
        <w:rPr>
          <w:rFonts w:cs="Arial" w:hint="cs"/>
          <w:sz w:val="20"/>
          <w:szCs w:val="20"/>
          <w:rtl/>
        </w:rPr>
        <w:t>הוא</w:t>
      </w:r>
      <w:r w:rsidRPr="00DE1E64">
        <w:rPr>
          <w:rFonts w:cs="Arial"/>
          <w:sz w:val="20"/>
          <w:szCs w:val="20"/>
          <w:rtl/>
        </w:rPr>
        <w:t xml:space="preserve"> </w:t>
      </w:r>
      <w:r w:rsidRPr="00DE1E64">
        <w:rPr>
          <w:rFonts w:cs="Arial" w:hint="cs"/>
          <w:sz w:val="20"/>
          <w:szCs w:val="20"/>
          <w:rtl/>
        </w:rPr>
        <w:t>כילוד</w:t>
      </w:r>
      <w:r w:rsidRPr="00DE1E64">
        <w:rPr>
          <w:rFonts w:cs="Arial"/>
          <w:sz w:val="20"/>
          <w:szCs w:val="20"/>
          <w:rtl/>
        </w:rPr>
        <w:t xml:space="preserve">. </w:t>
      </w:r>
      <w:r>
        <w:rPr>
          <w:rFonts w:cs="Arial" w:hint="cs"/>
          <w:sz w:val="20"/>
          <w:szCs w:val="20"/>
          <w:rtl/>
        </w:rPr>
        <w:br/>
      </w:r>
      <w:r w:rsidRPr="00DE1E64">
        <w:rPr>
          <w:rFonts w:cs="Arial" w:hint="cs"/>
          <w:sz w:val="20"/>
          <w:szCs w:val="20"/>
          <w:rtl/>
        </w:rPr>
        <w:t>יצא</w:t>
      </w:r>
      <w:r w:rsidRPr="00DE1E64">
        <w:rPr>
          <w:rFonts w:cs="Arial"/>
          <w:sz w:val="20"/>
          <w:szCs w:val="20"/>
          <w:rtl/>
        </w:rPr>
        <w:t xml:space="preserve"> </w:t>
      </w:r>
      <w:r w:rsidRPr="00DE1E64">
        <w:rPr>
          <w:rFonts w:cs="Arial" w:hint="cs"/>
          <w:sz w:val="20"/>
          <w:szCs w:val="20"/>
          <w:rtl/>
        </w:rPr>
        <w:t>כדרכו</w:t>
      </w:r>
      <w:r w:rsidRPr="00DE1E64">
        <w:rPr>
          <w:rFonts w:cs="Arial"/>
          <w:sz w:val="20"/>
          <w:szCs w:val="20"/>
          <w:rtl/>
        </w:rPr>
        <w:t xml:space="preserve"> - </w:t>
      </w:r>
      <w:r w:rsidRPr="00DE1E64">
        <w:rPr>
          <w:rFonts w:cs="Arial" w:hint="cs"/>
          <w:sz w:val="20"/>
          <w:szCs w:val="20"/>
          <w:rtl/>
        </w:rPr>
        <w:t>עד</w:t>
      </w:r>
      <w:r w:rsidRPr="00DE1E64">
        <w:rPr>
          <w:rFonts w:cs="Arial"/>
          <w:sz w:val="20"/>
          <w:szCs w:val="20"/>
          <w:rtl/>
        </w:rPr>
        <w:t xml:space="preserve"> </w:t>
      </w:r>
      <w:r w:rsidRPr="00DE1E64">
        <w:rPr>
          <w:rFonts w:cs="Arial" w:hint="cs"/>
          <w:sz w:val="20"/>
          <w:szCs w:val="20"/>
          <w:rtl/>
        </w:rPr>
        <w:t>שיצא</w:t>
      </w:r>
      <w:r w:rsidRPr="00DE1E64">
        <w:rPr>
          <w:rFonts w:cs="Arial"/>
          <w:sz w:val="20"/>
          <w:szCs w:val="20"/>
          <w:rtl/>
        </w:rPr>
        <w:t xml:space="preserve"> </w:t>
      </w:r>
      <w:r w:rsidRPr="00DE1E64">
        <w:rPr>
          <w:rFonts w:cs="Arial" w:hint="cs"/>
          <w:sz w:val="20"/>
          <w:szCs w:val="20"/>
          <w:rtl/>
        </w:rPr>
        <w:t>רוב</w:t>
      </w:r>
      <w:r w:rsidRPr="00DE1E64">
        <w:rPr>
          <w:rFonts w:cs="Arial"/>
          <w:sz w:val="20"/>
          <w:szCs w:val="20"/>
          <w:rtl/>
        </w:rPr>
        <w:t xml:space="preserve"> </w:t>
      </w:r>
      <w:r w:rsidRPr="00DE1E64">
        <w:rPr>
          <w:rFonts w:cs="Arial" w:hint="cs"/>
          <w:sz w:val="20"/>
          <w:szCs w:val="20"/>
          <w:rtl/>
        </w:rPr>
        <w:t>ראשו</w:t>
      </w:r>
      <w:r w:rsidRPr="00DE1E64">
        <w:rPr>
          <w:rFonts w:cs="Arial"/>
          <w:sz w:val="20"/>
          <w:szCs w:val="20"/>
          <w:rtl/>
        </w:rPr>
        <w:t xml:space="preserve">. </w:t>
      </w:r>
      <w:r w:rsidRPr="00DE1E64">
        <w:rPr>
          <w:rFonts w:cs="Arial" w:hint="cs"/>
          <w:sz w:val="20"/>
          <w:szCs w:val="20"/>
          <w:rtl/>
        </w:rPr>
        <w:t>ואיזהו</w:t>
      </w:r>
      <w:r w:rsidRPr="00DE1E64">
        <w:rPr>
          <w:rFonts w:cs="Arial"/>
          <w:sz w:val="20"/>
          <w:szCs w:val="20"/>
          <w:rtl/>
        </w:rPr>
        <w:t xml:space="preserve"> </w:t>
      </w:r>
      <w:r w:rsidRPr="00DE1E64">
        <w:rPr>
          <w:rFonts w:cs="Arial" w:hint="cs"/>
          <w:sz w:val="20"/>
          <w:szCs w:val="20"/>
          <w:rtl/>
        </w:rPr>
        <w:t>רוב</w:t>
      </w:r>
      <w:r w:rsidRPr="00DE1E64">
        <w:rPr>
          <w:rFonts w:cs="Arial"/>
          <w:sz w:val="20"/>
          <w:szCs w:val="20"/>
          <w:rtl/>
        </w:rPr>
        <w:t xml:space="preserve"> </w:t>
      </w:r>
      <w:r w:rsidRPr="00DE1E64">
        <w:rPr>
          <w:rFonts w:cs="Arial" w:hint="cs"/>
          <w:sz w:val="20"/>
          <w:szCs w:val="20"/>
          <w:rtl/>
        </w:rPr>
        <w:t>ראשו</w:t>
      </w:r>
      <w:r w:rsidRPr="00DE1E64">
        <w:rPr>
          <w:rFonts w:cs="Arial"/>
          <w:sz w:val="20"/>
          <w:szCs w:val="20"/>
          <w:rtl/>
        </w:rPr>
        <w:t xml:space="preserve"> - </w:t>
      </w:r>
      <w:r w:rsidRPr="00DE1E64">
        <w:rPr>
          <w:rFonts w:cs="Arial" w:hint="cs"/>
          <w:sz w:val="20"/>
          <w:szCs w:val="20"/>
          <w:rtl/>
        </w:rPr>
        <w:t>משיצא</w:t>
      </w:r>
      <w:r w:rsidRPr="00DE1E64">
        <w:rPr>
          <w:rFonts w:cs="Arial"/>
          <w:sz w:val="20"/>
          <w:szCs w:val="20"/>
          <w:rtl/>
        </w:rPr>
        <w:t xml:space="preserve"> </w:t>
      </w:r>
      <w:r w:rsidRPr="00DE1E64">
        <w:rPr>
          <w:rFonts w:cs="Arial" w:hint="cs"/>
          <w:sz w:val="20"/>
          <w:szCs w:val="20"/>
          <w:rtl/>
        </w:rPr>
        <w:t>פדחתו</w:t>
      </w:r>
      <w:r>
        <w:rPr>
          <w:rFonts w:cs="Arial" w:hint="cs"/>
          <w:sz w:val="20"/>
          <w:szCs w:val="20"/>
          <w:rtl/>
        </w:rPr>
        <w:t xml:space="preserve"> </w:t>
      </w:r>
      <w:r w:rsidRPr="00DE1E64">
        <w:rPr>
          <w:rFonts w:cs="Arial" w:hint="cs"/>
          <w:sz w:val="18"/>
          <w:szCs w:val="18"/>
          <w:rtl/>
        </w:rPr>
        <w:t>(מצחו)</w:t>
      </w:r>
      <w:r>
        <w:rPr>
          <w:rFonts w:cs="Arial" w:hint="cs"/>
          <w:sz w:val="20"/>
          <w:szCs w:val="20"/>
          <w:rtl/>
        </w:rPr>
        <w:t>".</w:t>
      </w:r>
      <w:r>
        <w:rPr>
          <w:sz w:val="20"/>
          <w:szCs w:val="20"/>
          <w:rtl/>
        </w:rPr>
        <w:br/>
      </w:r>
      <w:r w:rsidRPr="00DE1E64">
        <w:rPr>
          <w:rFonts w:hint="cs"/>
          <w:b/>
          <w:bCs/>
          <w:sz w:val="20"/>
          <w:szCs w:val="20"/>
          <w:rtl/>
        </w:rPr>
        <w:t>גמרא</w:t>
      </w:r>
      <w:r>
        <w:rPr>
          <w:rFonts w:hint="cs"/>
          <w:sz w:val="20"/>
          <w:szCs w:val="20"/>
          <w:rtl/>
        </w:rPr>
        <w:t xml:space="preserve"> (שם, כט.) "</w:t>
      </w:r>
      <w:r w:rsidRPr="00DE1E64">
        <w:rPr>
          <w:rFonts w:cs="Arial" w:hint="cs"/>
          <w:sz w:val="20"/>
          <w:szCs w:val="20"/>
          <w:rtl/>
        </w:rPr>
        <w:t>יצא</w:t>
      </w:r>
      <w:r w:rsidRPr="00DE1E64">
        <w:rPr>
          <w:rFonts w:cs="Arial"/>
          <w:sz w:val="20"/>
          <w:szCs w:val="20"/>
          <w:rtl/>
        </w:rPr>
        <w:t xml:space="preserve"> </w:t>
      </w:r>
      <w:r w:rsidRPr="00DE1E64">
        <w:rPr>
          <w:rFonts w:cs="Arial" w:hint="cs"/>
          <w:sz w:val="20"/>
          <w:szCs w:val="20"/>
          <w:rtl/>
        </w:rPr>
        <w:t>מחותך</w:t>
      </w:r>
      <w:r w:rsidRPr="00DE1E64">
        <w:rPr>
          <w:rFonts w:cs="Arial"/>
          <w:sz w:val="20"/>
          <w:szCs w:val="20"/>
          <w:rtl/>
        </w:rPr>
        <w:t xml:space="preserve"> </w:t>
      </w:r>
      <w:r w:rsidRPr="00DE1E64">
        <w:rPr>
          <w:rFonts w:cs="Arial" w:hint="cs"/>
          <w:sz w:val="20"/>
          <w:szCs w:val="20"/>
          <w:rtl/>
        </w:rPr>
        <w:t>או</w:t>
      </w:r>
      <w:r w:rsidRPr="00DE1E64">
        <w:rPr>
          <w:rFonts w:cs="Arial"/>
          <w:sz w:val="20"/>
          <w:szCs w:val="20"/>
          <w:rtl/>
        </w:rPr>
        <w:t xml:space="preserve"> </w:t>
      </w:r>
      <w:r w:rsidRPr="00DE1E64">
        <w:rPr>
          <w:rFonts w:cs="Arial" w:hint="cs"/>
          <w:sz w:val="20"/>
          <w:szCs w:val="20"/>
          <w:rtl/>
        </w:rPr>
        <w:t>מסורס</w:t>
      </w:r>
      <w:r w:rsidRPr="00DE1E64">
        <w:rPr>
          <w:rFonts w:cs="Arial"/>
          <w:sz w:val="20"/>
          <w:szCs w:val="20"/>
          <w:rtl/>
        </w:rPr>
        <w:t xml:space="preserve"> </w:t>
      </w:r>
      <w:r w:rsidRPr="00DE1E64">
        <w:rPr>
          <w:rFonts w:cs="Arial" w:hint="cs"/>
          <w:sz w:val="20"/>
          <w:szCs w:val="20"/>
          <w:rtl/>
        </w:rPr>
        <w:t>וכו</w:t>
      </w:r>
      <w:r w:rsidRPr="00DE1E64">
        <w:rPr>
          <w:rFonts w:cs="Arial"/>
          <w:sz w:val="20"/>
          <w:szCs w:val="20"/>
          <w:rtl/>
        </w:rPr>
        <w:t xml:space="preserve">'. </w:t>
      </w:r>
      <w:r w:rsidRPr="00DE1E64">
        <w:rPr>
          <w:rFonts w:cs="Arial" w:hint="cs"/>
          <w:sz w:val="20"/>
          <w:szCs w:val="20"/>
          <w:rtl/>
        </w:rPr>
        <w:t>א</w:t>
      </w:r>
      <w:r>
        <w:rPr>
          <w:rFonts w:cs="Arial" w:hint="cs"/>
          <w:sz w:val="20"/>
          <w:szCs w:val="20"/>
          <w:rtl/>
        </w:rPr>
        <w:t>מ</w:t>
      </w:r>
      <w:r w:rsidRPr="00DE1E64">
        <w:rPr>
          <w:rFonts w:cs="Arial" w:hint="cs"/>
          <w:sz w:val="20"/>
          <w:szCs w:val="20"/>
          <w:rtl/>
        </w:rPr>
        <w:t>ר</w:t>
      </w:r>
      <w:r w:rsidRPr="00DE1E64">
        <w:rPr>
          <w:rFonts w:cs="Arial"/>
          <w:sz w:val="20"/>
          <w:szCs w:val="20"/>
          <w:rtl/>
        </w:rPr>
        <w:t xml:space="preserve"> </w:t>
      </w:r>
      <w:r>
        <w:rPr>
          <w:rFonts w:cs="Arial" w:hint="cs"/>
          <w:sz w:val="20"/>
          <w:szCs w:val="20"/>
          <w:rtl/>
        </w:rPr>
        <w:t xml:space="preserve">רבי </w:t>
      </w:r>
      <w:r w:rsidRPr="00DE1E64">
        <w:rPr>
          <w:rFonts w:cs="Arial" w:hint="cs"/>
          <w:sz w:val="20"/>
          <w:szCs w:val="20"/>
          <w:rtl/>
        </w:rPr>
        <w:t>אלעזר</w:t>
      </w:r>
      <w:r w:rsidRPr="00DE1E64">
        <w:rPr>
          <w:rFonts w:cs="Arial"/>
          <w:sz w:val="20"/>
          <w:szCs w:val="20"/>
          <w:rtl/>
        </w:rPr>
        <w:t xml:space="preserve">: </w:t>
      </w:r>
      <w:r w:rsidRPr="00DE1E64">
        <w:rPr>
          <w:rFonts w:cs="Arial" w:hint="cs"/>
          <w:sz w:val="20"/>
          <w:szCs w:val="20"/>
          <w:rtl/>
        </w:rPr>
        <w:t>אפילו</w:t>
      </w:r>
      <w:r w:rsidRPr="00DE1E64">
        <w:rPr>
          <w:rFonts w:cs="Arial"/>
          <w:sz w:val="20"/>
          <w:szCs w:val="20"/>
          <w:rtl/>
        </w:rPr>
        <w:t xml:space="preserve"> </w:t>
      </w:r>
      <w:r w:rsidRPr="00DE1E64">
        <w:rPr>
          <w:rFonts w:cs="Arial" w:hint="cs"/>
          <w:sz w:val="20"/>
          <w:szCs w:val="20"/>
          <w:rtl/>
        </w:rPr>
        <w:t>הראש</w:t>
      </w:r>
      <w:r w:rsidRPr="00DE1E64">
        <w:rPr>
          <w:rFonts w:cs="Arial"/>
          <w:sz w:val="20"/>
          <w:szCs w:val="20"/>
          <w:rtl/>
        </w:rPr>
        <w:t xml:space="preserve"> </w:t>
      </w:r>
      <w:r w:rsidRPr="00DE1E64">
        <w:rPr>
          <w:rFonts w:cs="Arial" w:hint="cs"/>
          <w:sz w:val="20"/>
          <w:szCs w:val="20"/>
          <w:rtl/>
        </w:rPr>
        <w:t>עמהן</w:t>
      </w:r>
      <w:r w:rsidRPr="00DE1E64">
        <w:rPr>
          <w:rFonts w:cs="Arial"/>
          <w:sz w:val="20"/>
          <w:szCs w:val="20"/>
          <w:rtl/>
        </w:rPr>
        <w:t xml:space="preserve">, </w:t>
      </w:r>
      <w:r w:rsidRPr="00DE1E64">
        <w:rPr>
          <w:rFonts w:cs="Arial" w:hint="cs"/>
          <w:sz w:val="20"/>
          <w:szCs w:val="20"/>
          <w:rtl/>
        </w:rPr>
        <w:t>ור</w:t>
      </w:r>
      <w:r>
        <w:rPr>
          <w:rFonts w:cs="Arial" w:hint="cs"/>
          <w:sz w:val="20"/>
          <w:szCs w:val="20"/>
          <w:rtl/>
        </w:rPr>
        <w:t>בי</w:t>
      </w:r>
      <w:r w:rsidRPr="00DE1E64">
        <w:rPr>
          <w:rFonts w:cs="Arial"/>
          <w:sz w:val="20"/>
          <w:szCs w:val="20"/>
          <w:rtl/>
        </w:rPr>
        <w:t xml:space="preserve"> </w:t>
      </w:r>
      <w:r w:rsidRPr="00DE1E64">
        <w:rPr>
          <w:rFonts w:cs="Arial" w:hint="cs"/>
          <w:sz w:val="20"/>
          <w:szCs w:val="20"/>
          <w:rtl/>
        </w:rPr>
        <w:t>יוחנן</w:t>
      </w:r>
      <w:r w:rsidRPr="00DE1E64">
        <w:rPr>
          <w:rFonts w:cs="Arial"/>
          <w:sz w:val="20"/>
          <w:szCs w:val="20"/>
          <w:rtl/>
        </w:rPr>
        <w:t xml:space="preserve"> </w:t>
      </w:r>
      <w:r w:rsidRPr="00DE1E64">
        <w:rPr>
          <w:rFonts w:cs="Arial" w:hint="cs"/>
          <w:sz w:val="20"/>
          <w:szCs w:val="20"/>
          <w:rtl/>
        </w:rPr>
        <w:t>אמר</w:t>
      </w:r>
      <w:r w:rsidRPr="00DE1E64">
        <w:rPr>
          <w:rFonts w:cs="Arial"/>
          <w:sz w:val="20"/>
          <w:szCs w:val="20"/>
          <w:rtl/>
        </w:rPr>
        <w:t xml:space="preserve">: </w:t>
      </w:r>
      <w:r w:rsidRPr="00DE1E64">
        <w:rPr>
          <w:rFonts w:cs="Arial" w:hint="cs"/>
          <w:sz w:val="20"/>
          <w:szCs w:val="20"/>
          <w:rtl/>
        </w:rPr>
        <w:t>לא</w:t>
      </w:r>
      <w:r w:rsidRPr="00DE1E64">
        <w:rPr>
          <w:rFonts w:cs="Arial"/>
          <w:sz w:val="20"/>
          <w:szCs w:val="20"/>
          <w:rtl/>
        </w:rPr>
        <w:t xml:space="preserve"> </w:t>
      </w:r>
      <w:r w:rsidRPr="00DE1E64">
        <w:rPr>
          <w:rFonts w:cs="Arial" w:hint="cs"/>
          <w:sz w:val="20"/>
          <w:szCs w:val="20"/>
          <w:rtl/>
        </w:rPr>
        <w:t>שנו</w:t>
      </w:r>
      <w:r w:rsidRPr="00DE1E64">
        <w:rPr>
          <w:rFonts w:cs="Arial"/>
          <w:sz w:val="20"/>
          <w:szCs w:val="20"/>
          <w:rtl/>
        </w:rPr>
        <w:t xml:space="preserve"> </w:t>
      </w:r>
      <w:r w:rsidRPr="00DE1E64">
        <w:rPr>
          <w:rFonts w:cs="Arial" w:hint="cs"/>
          <w:sz w:val="20"/>
          <w:szCs w:val="20"/>
          <w:rtl/>
        </w:rPr>
        <w:t>אלא</w:t>
      </w:r>
      <w:r w:rsidRPr="00DE1E64">
        <w:rPr>
          <w:rFonts w:cs="Arial"/>
          <w:sz w:val="20"/>
          <w:szCs w:val="20"/>
          <w:rtl/>
        </w:rPr>
        <w:t xml:space="preserve"> </w:t>
      </w:r>
      <w:r w:rsidRPr="00DE1E64">
        <w:rPr>
          <w:rFonts w:cs="Arial" w:hint="cs"/>
          <w:sz w:val="20"/>
          <w:szCs w:val="20"/>
          <w:rtl/>
        </w:rPr>
        <w:t>שאין</w:t>
      </w:r>
      <w:r w:rsidRPr="00DE1E64">
        <w:rPr>
          <w:rFonts w:cs="Arial"/>
          <w:sz w:val="20"/>
          <w:szCs w:val="20"/>
          <w:rtl/>
        </w:rPr>
        <w:t xml:space="preserve"> </w:t>
      </w:r>
      <w:r w:rsidRPr="00DE1E64">
        <w:rPr>
          <w:rFonts w:cs="Arial" w:hint="cs"/>
          <w:sz w:val="20"/>
          <w:szCs w:val="20"/>
          <w:rtl/>
        </w:rPr>
        <w:t>הראש</w:t>
      </w:r>
      <w:r w:rsidRPr="00DE1E64">
        <w:rPr>
          <w:rFonts w:cs="Arial"/>
          <w:sz w:val="20"/>
          <w:szCs w:val="20"/>
          <w:rtl/>
        </w:rPr>
        <w:t xml:space="preserve"> </w:t>
      </w:r>
      <w:r w:rsidRPr="00DE1E64">
        <w:rPr>
          <w:rFonts w:cs="Arial" w:hint="cs"/>
          <w:sz w:val="20"/>
          <w:szCs w:val="20"/>
          <w:rtl/>
        </w:rPr>
        <w:t>עמהן</w:t>
      </w:r>
      <w:r w:rsidRPr="00DE1E64">
        <w:rPr>
          <w:rFonts w:cs="Arial"/>
          <w:sz w:val="20"/>
          <w:szCs w:val="20"/>
          <w:rtl/>
        </w:rPr>
        <w:t xml:space="preserve">, </w:t>
      </w:r>
      <w:r w:rsidRPr="00DE1E64">
        <w:rPr>
          <w:rFonts w:cs="Arial" w:hint="cs"/>
          <w:sz w:val="20"/>
          <w:szCs w:val="20"/>
          <w:rtl/>
        </w:rPr>
        <w:t>אבל</w:t>
      </w:r>
      <w:r w:rsidRPr="00DE1E64">
        <w:rPr>
          <w:rFonts w:cs="Arial"/>
          <w:sz w:val="20"/>
          <w:szCs w:val="20"/>
          <w:rtl/>
        </w:rPr>
        <w:t xml:space="preserve"> </w:t>
      </w:r>
      <w:r w:rsidRPr="00DE1E64">
        <w:rPr>
          <w:rFonts w:cs="Arial" w:hint="cs"/>
          <w:sz w:val="20"/>
          <w:szCs w:val="20"/>
          <w:rtl/>
        </w:rPr>
        <w:t>הראש</w:t>
      </w:r>
      <w:r w:rsidRPr="00DE1E64">
        <w:rPr>
          <w:rFonts w:cs="Arial"/>
          <w:sz w:val="20"/>
          <w:szCs w:val="20"/>
          <w:rtl/>
        </w:rPr>
        <w:t xml:space="preserve"> </w:t>
      </w:r>
      <w:r w:rsidRPr="00DE1E64">
        <w:rPr>
          <w:rFonts w:cs="Arial" w:hint="cs"/>
          <w:sz w:val="20"/>
          <w:szCs w:val="20"/>
          <w:rtl/>
        </w:rPr>
        <w:t>עמהן</w:t>
      </w:r>
      <w:r>
        <w:rPr>
          <w:rFonts w:cs="Arial" w:hint="cs"/>
          <w:sz w:val="20"/>
          <w:szCs w:val="20"/>
          <w:rtl/>
        </w:rPr>
        <w:t xml:space="preserve"> </w:t>
      </w:r>
      <w:r w:rsidRPr="00DE1E64">
        <w:rPr>
          <w:rFonts w:cs="Arial" w:hint="cs"/>
          <w:sz w:val="20"/>
          <w:szCs w:val="20"/>
          <w:rtl/>
        </w:rPr>
        <w:t>הרי</w:t>
      </w:r>
      <w:r w:rsidRPr="00DE1E64">
        <w:rPr>
          <w:rFonts w:cs="Arial"/>
          <w:sz w:val="20"/>
          <w:szCs w:val="20"/>
          <w:rtl/>
        </w:rPr>
        <w:t xml:space="preserve"> </w:t>
      </w:r>
      <w:r w:rsidRPr="00DE1E64">
        <w:rPr>
          <w:rFonts w:cs="Arial" w:hint="cs"/>
          <w:sz w:val="20"/>
          <w:szCs w:val="20"/>
          <w:rtl/>
        </w:rPr>
        <w:t>הוא</w:t>
      </w:r>
      <w:r w:rsidRPr="00DE1E64">
        <w:rPr>
          <w:rFonts w:cs="Arial"/>
          <w:sz w:val="20"/>
          <w:szCs w:val="20"/>
          <w:rtl/>
        </w:rPr>
        <w:t xml:space="preserve"> </w:t>
      </w:r>
      <w:r w:rsidRPr="00DE1E64">
        <w:rPr>
          <w:rFonts w:cs="Arial" w:hint="cs"/>
          <w:sz w:val="20"/>
          <w:szCs w:val="20"/>
          <w:rtl/>
        </w:rPr>
        <w:t>כילוד</w:t>
      </w:r>
      <w:r>
        <w:rPr>
          <w:rFonts w:cs="Arial" w:hint="cs"/>
          <w:sz w:val="20"/>
          <w:szCs w:val="20"/>
          <w:rtl/>
        </w:rPr>
        <w:t>"</w:t>
      </w:r>
      <w:r w:rsidRPr="00DE1E64">
        <w:rPr>
          <w:rFonts w:cs="Arial"/>
          <w:sz w:val="20"/>
          <w:szCs w:val="20"/>
          <w:rtl/>
        </w:rPr>
        <w:t>.</w:t>
      </w:r>
    </w:p>
    <w:p w:rsidR="00620060" w:rsidRDefault="00620060" w:rsidP="00620060">
      <w:pPr>
        <w:rPr>
          <w:sz w:val="20"/>
          <w:szCs w:val="20"/>
          <w:rtl/>
        </w:rPr>
      </w:pPr>
      <w:r>
        <w:rPr>
          <w:rFonts w:cs="Arial" w:hint="cs"/>
          <w:sz w:val="20"/>
          <w:szCs w:val="20"/>
          <w:u w:val="single"/>
          <w:rtl/>
        </w:rPr>
        <w:t>הסבר</w:t>
      </w:r>
      <w:r>
        <w:rPr>
          <w:rFonts w:cs="Arial"/>
          <w:sz w:val="20"/>
          <w:szCs w:val="20"/>
          <w:u w:val="single"/>
          <w:rtl/>
        </w:rPr>
        <w:br/>
      </w:r>
      <w:r>
        <w:rPr>
          <w:rFonts w:cs="Arial" w:hint="cs"/>
          <w:sz w:val="20"/>
          <w:szCs w:val="20"/>
          <w:rtl/>
        </w:rPr>
        <w:t xml:space="preserve">וולד שיצא מחותך או דרך רגליו, משיצא רובו אמו טמאה לידה. אך אם יצא כדרכו משיצא רוב מצחו טמאה. </w:t>
      </w:r>
      <w:r>
        <w:rPr>
          <w:rFonts w:cs="Arial"/>
          <w:sz w:val="20"/>
          <w:szCs w:val="20"/>
          <w:rtl/>
        </w:rPr>
        <w:br/>
      </w:r>
      <w:r>
        <w:rPr>
          <w:rFonts w:hint="cs"/>
          <w:sz w:val="20"/>
          <w:szCs w:val="20"/>
          <w:rtl/>
        </w:rPr>
        <w:t xml:space="preserve">נחלקו אמוראים בגמרא בביאור דין יצא מחותך או דרך רגליו </w:t>
      </w:r>
      <w:r>
        <w:rPr>
          <w:sz w:val="20"/>
          <w:szCs w:val="20"/>
          <w:rtl/>
        </w:rPr>
        <w:t>–</w:t>
      </w:r>
      <w:r>
        <w:rPr>
          <w:rFonts w:hint="cs"/>
          <w:sz w:val="20"/>
          <w:szCs w:val="20"/>
          <w:rtl/>
        </w:rPr>
        <w:t xml:space="preserve"> רבי אליעזר סובר שאפילו אם יצא ראשו אינה טמאה עד שיצא רובו. לעומתו, רבי יוחנן סובר שאם יצא הראש הרי הוא כרוב הגוף וטמאה לידה.</w:t>
      </w:r>
    </w:p>
    <w:p w:rsidR="00620060" w:rsidRDefault="00620060" w:rsidP="00620060">
      <w:pPr>
        <w:rPr>
          <w:sz w:val="20"/>
          <w:szCs w:val="20"/>
          <w:rtl/>
        </w:rPr>
      </w:pPr>
      <w:r>
        <w:rPr>
          <w:rFonts w:hint="cs"/>
          <w:sz w:val="20"/>
          <w:szCs w:val="20"/>
          <w:u w:val="single"/>
          <w:rtl/>
        </w:rPr>
        <w:t>שיטות הראשונים</w:t>
      </w:r>
      <w:r>
        <w:rPr>
          <w:rFonts w:hint="cs"/>
          <w:sz w:val="20"/>
          <w:szCs w:val="20"/>
          <w:u w:val="single"/>
          <w:rtl/>
        </w:rPr>
        <w:br/>
      </w:r>
      <w:r>
        <w:rPr>
          <w:rFonts w:hint="cs"/>
          <w:sz w:val="20"/>
          <w:szCs w:val="20"/>
          <w:rtl/>
        </w:rPr>
        <w:t xml:space="preserve">הראשונים פסקו כרבי יוחנן, אלא שנחלקו כדלהלן - </w:t>
      </w:r>
      <w:r>
        <w:rPr>
          <w:sz w:val="20"/>
          <w:szCs w:val="20"/>
          <w:u w:val="single"/>
          <w:rtl/>
        </w:rPr>
        <w:br/>
      </w:r>
      <w:r>
        <w:rPr>
          <w:rFonts w:hint="cs"/>
          <w:sz w:val="20"/>
          <w:szCs w:val="20"/>
          <w:rtl/>
        </w:rPr>
        <w:t xml:space="preserve">א. </w:t>
      </w:r>
      <w:r w:rsidRPr="00500CC9">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דין מחותך כדין יצא שלם שטמאה אפילו </w:t>
      </w:r>
      <w:r w:rsidRPr="00027E4B">
        <w:rPr>
          <w:rFonts w:hint="cs"/>
          <w:sz w:val="20"/>
          <w:szCs w:val="20"/>
          <w:u w:val="single"/>
          <w:rtl/>
        </w:rPr>
        <w:t>ברוב</w:t>
      </w:r>
      <w:r>
        <w:rPr>
          <w:rFonts w:hint="cs"/>
          <w:sz w:val="20"/>
          <w:szCs w:val="20"/>
          <w:rtl/>
        </w:rPr>
        <w:t xml:space="preserve"> ראשו.</w:t>
      </w:r>
      <w:r>
        <w:rPr>
          <w:sz w:val="20"/>
          <w:szCs w:val="20"/>
          <w:rtl/>
        </w:rPr>
        <w:br/>
      </w:r>
      <w:r>
        <w:rPr>
          <w:rFonts w:hint="cs"/>
          <w:sz w:val="20"/>
          <w:szCs w:val="20"/>
          <w:rtl/>
        </w:rPr>
        <w:t xml:space="preserve">ב. </w:t>
      </w:r>
      <w:r w:rsidRPr="00500CC9">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דין מחותך שונה מדין שלם, ובמחותך טמאה רק אם יצא </w:t>
      </w:r>
      <w:r w:rsidRPr="00027E4B">
        <w:rPr>
          <w:rFonts w:hint="cs"/>
          <w:sz w:val="20"/>
          <w:szCs w:val="20"/>
          <w:u w:val="single"/>
          <w:rtl/>
        </w:rPr>
        <w:t>כל</w:t>
      </w:r>
      <w:r>
        <w:rPr>
          <w:rFonts w:hint="cs"/>
          <w:sz w:val="20"/>
          <w:szCs w:val="20"/>
          <w:rtl/>
        </w:rPr>
        <w:t xml:space="preserve"> ראשו, וכ"פ </w:t>
      </w:r>
      <w:r w:rsidRPr="00CA5381">
        <w:rPr>
          <w:rFonts w:hint="cs"/>
          <w:b/>
          <w:bCs/>
          <w:sz w:val="20"/>
          <w:szCs w:val="20"/>
          <w:rtl/>
        </w:rPr>
        <w:t>המחבר</w:t>
      </w:r>
      <w:r>
        <w:rPr>
          <w:rFonts w:hint="cs"/>
          <w:sz w:val="20"/>
          <w:szCs w:val="20"/>
          <w:rtl/>
        </w:rPr>
        <w:t>.</w:t>
      </w:r>
    </w:p>
    <w:p w:rsidR="00620060" w:rsidRDefault="00620060" w:rsidP="00620060">
      <w:pPr>
        <w:rPr>
          <w:rFonts w:cs="Arial"/>
          <w:sz w:val="20"/>
          <w:szCs w:val="20"/>
          <w:rtl/>
        </w:rPr>
      </w:pPr>
      <w:r w:rsidRPr="00500CC9">
        <w:rPr>
          <w:rFonts w:hint="cs"/>
          <w:b/>
          <w:bCs/>
          <w:sz w:val="20"/>
          <w:szCs w:val="20"/>
          <w:rtl/>
        </w:rPr>
        <w:t>הוציא ראשו</w:t>
      </w:r>
      <w:r>
        <w:rPr>
          <w:b/>
          <w:bCs/>
          <w:sz w:val="20"/>
          <w:szCs w:val="20"/>
          <w:rtl/>
        </w:rPr>
        <w:br/>
      </w:r>
      <w:r w:rsidRPr="00027E4B">
        <w:rPr>
          <w:rFonts w:cs="Arial" w:hint="cs"/>
          <w:b/>
          <w:bCs/>
          <w:sz w:val="20"/>
          <w:szCs w:val="20"/>
          <w:rtl/>
        </w:rPr>
        <w:t>גמרא</w:t>
      </w:r>
      <w:r>
        <w:rPr>
          <w:rFonts w:cs="Arial" w:hint="cs"/>
          <w:sz w:val="20"/>
          <w:szCs w:val="20"/>
          <w:rtl/>
        </w:rPr>
        <w:t xml:space="preserve"> נידה (מב:) "</w:t>
      </w:r>
      <w:r w:rsidRPr="0086747F">
        <w:rPr>
          <w:rFonts w:cs="Arial" w:hint="cs"/>
          <w:sz w:val="20"/>
          <w:szCs w:val="20"/>
          <w:rtl/>
        </w:rPr>
        <w:t>ההוא</w:t>
      </w:r>
      <w:r w:rsidRPr="0086747F">
        <w:rPr>
          <w:rFonts w:cs="Arial"/>
          <w:sz w:val="20"/>
          <w:szCs w:val="20"/>
          <w:rtl/>
        </w:rPr>
        <w:t xml:space="preserve"> </w:t>
      </w:r>
      <w:r w:rsidRPr="0086747F">
        <w:rPr>
          <w:rFonts w:cs="Arial" w:hint="cs"/>
          <w:sz w:val="20"/>
          <w:szCs w:val="20"/>
          <w:rtl/>
        </w:rPr>
        <w:t>דאתא</w:t>
      </w:r>
      <w:r w:rsidRPr="0086747F">
        <w:rPr>
          <w:rFonts w:cs="Arial"/>
          <w:sz w:val="20"/>
          <w:szCs w:val="20"/>
          <w:rtl/>
        </w:rPr>
        <w:t xml:space="preserve"> </w:t>
      </w:r>
      <w:r w:rsidRPr="0086747F">
        <w:rPr>
          <w:rFonts w:cs="Arial" w:hint="cs"/>
          <w:sz w:val="20"/>
          <w:szCs w:val="20"/>
          <w:rtl/>
        </w:rPr>
        <w:t>לקמיה</w:t>
      </w:r>
      <w:r w:rsidRPr="0086747F">
        <w:rPr>
          <w:rFonts w:cs="Arial"/>
          <w:sz w:val="20"/>
          <w:szCs w:val="20"/>
          <w:rtl/>
        </w:rPr>
        <w:t xml:space="preserve"> </w:t>
      </w:r>
      <w:r w:rsidRPr="0086747F">
        <w:rPr>
          <w:rFonts w:cs="Arial" w:hint="cs"/>
          <w:sz w:val="20"/>
          <w:szCs w:val="20"/>
          <w:rtl/>
        </w:rPr>
        <w:t>דרבא</w:t>
      </w:r>
      <w:r w:rsidRPr="0086747F">
        <w:rPr>
          <w:rFonts w:cs="Arial"/>
          <w:sz w:val="20"/>
          <w:szCs w:val="20"/>
          <w:rtl/>
        </w:rPr>
        <w:t xml:space="preserve"> </w:t>
      </w:r>
      <w:r w:rsidRPr="0086747F">
        <w:rPr>
          <w:rFonts w:cs="Arial" w:hint="cs"/>
          <w:sz w:val="20"/>
          <w:szCs w:val="20"/>
          <w:rtl/>
        </w:rPr>
        <w:t>אמר</w:t>
      </w:r>
      <w:r w:rsidRPr="0086747F">
        <w:rPr>
          <w:rFonts w:cs="Arial"/>
          <w:sz w:val="20"/>
          <w:szCs w:val="20"/>
          <w:rtl/>
        </w:rPr>
        <w:t xml:space="preserve"> </w:t>
      </w:r>
      <w:r w:rsidRPr="0086747F">
        <w:rPr>
          <w:rFonts w:cs="Arial" w:hint="cs"/>
          <w:sz w:val="20"/>
          <w:szCs w:val="20"/>
          <w:rtl/>
        </w:rPr>
        <w:t>ליה</w:t>
      </w:r>
      <w:r w:rsidRPr="0086747F">
        <w:rPr>
          <w:rFonts w:cs="Arial"/>
          <w:sz w:val="20"/>
          <w:szCs w:val="20"/>
          <w:rtl/>
        </w:rPr>
        <w:t xml:space="preserve">: </w:t>
      </w:r>
      <w:r w:rsidRPr="0086747F">
        <w:rPr>
          <w:rFonts w:cs="Arial" w:hint="cs"/>
          <w:sz w:val="20"/>
          <w:szCs w:val="20"/>
          <w:rtl/>
        </w:rPr>
        <w:t>מהו</w:t>
      </w:r>
      <w:r w:rsidRPr="0086747F">
        <w:rPr>
          <w:rFonts w:cs="Arial"/>
          <w:sz w:val="20"/>
          <w:szCs w:val="20"/>
          <w:rtl/>
        </w:rPr>
        <w:t xml:space="preserve"> </w:t>
      </w:r>
      <w:r w:rsidRPr="0086747F">
        <w:rPr>
          <w:rFonts w:cs="Arial" w:hint="cs"/>
          <w:sz w:val="20"/>
          <w:szCs w:val="20"/>
          <w:rtl/>
        </w:rPr>
        <w:t>לממהל</w:t>
      </w:r>
      <w:r w:rsidRPr="0086747F">
        <w:rPr>
          <w:rFonts w:cs="Arial"/>
          <w:sz w:val="20"/>
          <w:szCs w:val="20"/>
          <w:rtl/>
        </w:rPr>
        <w:t xml:space="preserve"> </w:t>
      </w:r>
      <w:r w:rsidRPr="0086747F">
        <w:rPr>
          <w:rFonts w:cs="Arial" w:hint="cs"/>
          <w:sz w:val="20"/>
          <w:szCs w:val="20"/>
          <w:rtl/>
        </w:rPr>
        <w:t>בשבתא</w:t>
      </w:r>
      <w:r w:rsidRPr="0086747F">
        <w:rPr>
          <w:rFonts w:cs="Arial"/>
          <w:sz w:val="20"/>
          <w:szCs w:val="20"/>
          <w:rtl/>
        </w:rPr>
        <w:t xml:space="preserve">? </w:t>
      </w:r>
      <w:r w:rsidRPr="0086747F">
        <w:rPr>
          <w:rFonts w:cs="Arial" w:hint="cs"/>
          <w:sz w:val="20"/>
          <w:szCs w:val="20"/>
          <w:rtl/>
        </w:rPr>
        <w:t>אמר</w:t>
      </w:r>
      <w:r w:rsidRPr="0086747F">
        <w:rPr>
          <w:rFonts w:cs="Arial"/>
          <w:sz w:val="20"/>
          <w:szCs w:val="20"/>
          <w:rtl/>
        </w:rPr>
        <w:t xml:space="preserve"> </w:t>
      </w:r>
      <w:r w:rsidRPr="0086747F">
        <w:rPr>
          <w:rFonts w:cs="Arial" w:hint="cs"/>
          <w:sz w:val="20"/>
          <w:szCs w:val="20"/>
          <w:rtl/>
        </w:rPr>
        <w:t>ליה</w:t>
      </w:r>
      <w:r w:rsidRPr="0086747F">
        <w:rPr>
          <w:rFonts w:cs="Arial"/>
          <w:sz w:val="20"/>
          <w:szCs w:val="20"/>
          <w:rtl/>
        </w:rPr>
        <w:t xml:space="preserve">: </w:t>
      </w:r>
      <w:r w:rsidRPr="0086747F">
        <w:rPr>
          <w:rFonts w:cs="Arial" w:hint="cs"/>
          <w:sz w:val="20"/>
          <w:szCs w:val="20"/>
          <w:rtl/>
        </w:rPr>
        <w:t>אימא</w:t>
      </w:r>
      <w:r w:rsidRPr="0086747F">
        <w:rPr>
          <w:rFonts w:cs="Arial"/>
          <w:sz w:val="20"/>
          <w:szCs w:val="20"/>
          <w:rtl/>
        </w:rPr>
        <w:t xml:space="preserve"> </w:t>
      </w:r>
      <w:r w:rsidRPr="0086747F">
        <w:rPr>
          <w:rFonts w:cs="Arial" w:hint="cs"/>
          <w:sz w:val="20"/>
          <w:szCs w:val="20"/>
          <w:rtl/>
        </w:rPr>
        <w:t>לי</w:t>
      </w:r>
      <w:r w:rsidRPr="0086747F">
        <w:rPr>
          <w:rFonts w:cs="Arial"/>
          <w:sz w:val="20"/>
          <w:szCs w:val="20"/>
          <w:rtl/>
        </w:rPr>
        <w:t xml:space="preserve"> </w:t>
      </w:r>
      <w:r w:rsidRPr="0086747F">
        <w:rPr>
          <w:rFonts w:cs="Arial" w:hint="cs"/>
          <w:sz w:val="20"/>
          <w:szCs w:val="20"/>
          <w:rtl/>
        </w:rPr>
        <w:t>איזי</w:t>
      </w:r>
      <w:r w:rsidRPr="0086747F">
        <w:rPr>
          <w:rFonts w:cs="Arial"/>
          <w:sz w:val="20"/>
          <w:szCs w:val="20"/>
          <w:rtl/>
        </w:rPr>
        <w:t xml:space="preserve">, </w:t>
      </w:r>
      <w:r w:rsidRPr="0086747F">
        <w:rPr>
          <w:rFonts w:cs="Arial" w:hint="cs"/>
          <w:sz w:val="20"/>
          <w:szCs w:val="20"/>
          <w:rtl/>
        </w:rPr>
        <w:t>גופא</w:t>
      </w:r>
      <w:r w:rsidRPr="0086747F">
        <w:rPr>
          <w:rFonts w:cs="Arial"/>
          <w:sz w:val="20"/>
          <w:szCs w:val="20"/>
          <w:rtl/>
        </w:rPr>
        <w:t xml:space="preserve"> </w:t>
      </w:r>
      <w:r w:rsidRPr="0086747F">
        <w:rPr>
          <w:rFonts w:cs="Arial" w:hint="cs"/>
          <w:sz w:val="20"/>
          <w:szCs w:val="20"/>
          <w:rtl/>
        </w:rPr>
        <w:t>דעובדא</w:t>
      </w:r>
      <w:r w:rsidRPr="0086747F">
        <w:rPr>
          <w:rFonts w:cs="Arial"/>
          <w:sz w:val="20"/>
          <w:szCs w:val="20"/>
          <w:rtl/>
        </w:rPr>
        <w:t xml:space="preserve"> </w:t>
      </w:r>
      <w:r w:rsidRPr="0086747F">
        <w:rPr>
          <w:rFonts w:cs="Arial" w:hint="cs"/>
          <w:sz w:val="20"/>
          <w:szCs w:val="20"/>
          <w:rtl/>
        </w:rPr>
        <w:t>היכי</w:t>
      </w:r>
      <w:r w:rsidRPr="0086747F">
        <w:rPr>
          <w:rFonts w:cs="Arial"/>
          <w:sz w:val="20"/>
          <w:szCs w:val="20"/>
          <w:rtl/>
        </w:rPr>
        <w:t xml:space="preserve"> </w:t>
      </w:r>
      <w:r w:rsidRPr="0086747F">
        <w:rPr>
          <w:rFonts w:cs="Arial" w:hint="cs"/>
          <w:sz w:val="20"/>
          <w:szCs w:val="20"/>
          <w:rtl/>
        </w:rPr>
        <w:t>הוה</w:t>
      </w:r>
      <w:r w:rsidRPr="0086747F">
        <w:rPr>
          <w:rFonts w:cs="Arial"/>
          <w:sz w:val="20"/>
          <w:szCs w:val="20"/>
          <w:rtl/>
        </w:rPr>
        <w:t xml:space="preserve">? </w:t>
      </w:r>
      <w:r w:rsidRPr="0086747F">
        <w:rPr>
          <w:rFonts w:cs="Arial" w:hint="cs"/>
          <w:sz w:val="20"/>
          <w:szCs w:val="20"/>
          <w:rtl/>
        </w:rPr>
        <w:t>אמר</w:t>
      </w:r>
      <w:r w:rsidRPr="0086747F">
        <w:rPr>
          <w:rFonts w:cs="Arial"/>
          <w:sz w:val="20"/>
          <w:szCs w:val="20"/>
          <w:rtl/>
        </w:rPr>
        <w:t xml:space="preserve"> </w:t>
      </w:r>
      <w:r w:rsidRPr="0086747F">
        <w:rPr>
          <w:rFonts w:cs="Arial" w:hint="cs"/>
          <w:sz w:val="20"/>
          <w:szCs w:val="20"/>
          <w:rtl/>
        </w:rPr>
        <w:t>ליה</w:t>
      </w:r>
      <w:r w:rsidRPr="0086747F">
        <w:rPr>
          <w:rFonts w:cs="Arial"/>
          <w:sz w:val="20"/>
          <w:szCs w:val="20"/>
          <w:rtl/>
        </w:rPr>
        <w:t xml:space="preserve">: </w:t>
      </w:r>
      <w:r w:rsidRPr="0086747F">
        <w:rPr>
          <w:rFonts w:cs="Arial" w:hint="cs"/>
          <w:sz w:val="20"/>
          <w:szCs w:val="20"/>
          <w:rtl/>
        </w:rPr>
        <w:t>שמעית</w:t>
      </w:r>
      <w:r w:rsidRPr="0086747F">
        <w:rPr>
          <w:rFonts w:cs="Arial"/>
          <w:sz w:val="20"/>
          <w:szCs w:val="20"/>
          <w:rtl/>
        </w:rPr>
        <w:t xml:space="preserve"> </w:t>
      </w:r>
      <w:r w:rsidRPr="0086747F">
        <w:rPr>
          <w:rFonts w:cs="Arial" w:hint="cs"/>
          <w:sz w:val="20"/>
          <w:szCs w:val="20"/>
          <w:rtl/>
        </w:rPr>
        <w:t>ולד</w:t>
      </w:r>
      <w:r w:rsidRPr="0086747F">
        <w:rPr>
          <w:rFonts w:cs="Arial"/>
          <w:sz w:val="20"/>
          <w:szCs w:val="20"/>
          <w:rtl/>
        </w:rPr>
        <w:t xml:space="preserve"> </w:t>
      </w:r>
      <w:r w:rsidRPr="0086747F">
        <w:rPr>
          <w:rFonts w:cs="Arial" w:hint="cs"/>
          <w:sz w:val="20"/>
          <w:szCs w:val="20"/>
          <w:rtl/>
        </w:rPr>
        <w:t>דצויץ</w:t>
      </w:r>
      <w:r w:rsidRPr="0086747F">
        <w:rPr>
          <w:rFonts w:cs="Arial"/>
          <w:sz w:val="20"/>
          <w:szCs w:val="20"/>
          <w:rtl/>
        </w:rPr>
        <w:t xml:space="preserve"> </w:t>
      </w:r>
      <w:r w:rsidRPr="0086747F">
        <w:rPr>
          <w:rFonts w:cs="Arial" w:hint="cs"/>
          <w:sz w:val="20"/>
          <w:szCs w:val="20"/>
          <w:rtl/>
        </w:rPr>
        <w:t>אפניא</w:t>
      </w:r>
      <w:r w:rsidRPr="0086747F">
        <w:rPr>
          <w:rFonts w:cs="Arial"/>
          <w:sz w:val="20"/>
          <w:szCs w:val="20"/>
          <w:rtl/>
        </w:rPr>
        <w:t xml:space="preserve"> </w:t>
      </w:r>
      <w:r w:rsidRPr="0086747F">
        <w:rPr>
          <w:rFonts w:cs="Arial" w:hint="cs"/>
          <w:sz w:val="20"/>
          <w:szCs w:val="20"/>
          <w:rtl/>
        </w:rPr>
        <w:t>דמעלי</w:t>
      </w:r>
      <w:r w:rsidRPr="0086747F">
        <w:rPr>
          <w:rFonts w:cs="Arial"/>
          <w:sz w:val="20"/>
          <w:szCs w:val="20"/>
          <w:rtl/>
        </w:rPr>
        <w:t xml:space="preserve"> </w:t>
      </w:r>
      <w:r w:rsidRPr="0086747F">
        <w:rPr>
          <w:rFonts w:cs="Arial" w:hint="cs"/>
          <w:sz w:val="20"/>
          <w:szCs w:val="20"/>
          <w:rtl/>
        </w:rPr>
        <w:t>שבתא</w:t>
      </w:r>
      <w:r w:rsidRPr="0086747F">
        <w:rPr>
          <w:rFonts w:cs="Arial"/>
          <w:sz w:val="20"/>
          <w:szCs w:val="20"/>
          <w:rtl/>
        </w:rPr>
        <w:t xml:space="preserve">, </w:t>
      </w:r>
      <w:r w:rsidRPr="0086747F">
        <w:rPr>
          <w:rFonts w:cs="Arial" w:hint="cs"/>
          <w:sz w:val="20"/>
          <w:szCs w:val="20"/>
          <w:rtl/>
        </w:rPr>
        <w:t>ולא</w:t>
      </w:r>
      <w:r w:rsidRPr="0086747F">
        <w:rPr>
          <w:rFonts w:cs="Arial"/>
          <w:sz w:val="20"/>
          <w:szCs w:val="20"/>
          <w:rtl/>
        </w:rPr>
        <w:t xml:space="preserve"> </w:t>
      </w:r>
      <w:r w:rsidRPr="0086747F">
        <w:rPr>
          <w:rFonts w:cs="Arial" w:hint="cs"/>
          <w:sz w:val="20"/>
          <w:szCs w:val="20"/>
          <w:rtl/>
        </w:rPr>
        <w:t>אתיליד</w:t>
      </w:r>
      <w:r w:rsidRPr="0086747F">
        <w:rPr>
          <w:rFonts w:cs="Arial"/>
          <w:sz w:val="20"/>
          <w:szCs w:val="20"/>
          <w:rtl/>
        </w:rPr>
        <w:t xml:space="preserve"> </w:t>
      </w:r>
      <w:r w:rsidRPr="0086747F">
        <w:rPr>
          <w:rFonts w:cs="Arial" w:hint="cs"/>
          <w:sz w:val="20"/>
          <w:szCs w:val="20"/>
          <w:rtl/>
        </w:rPr>
        <w:t>עד</w:t>
      </w:r>
      <w:r w:rsidRPr="0086747F">
        <w:rPr>
          <w:rFonts w:cs="Arial"/>
          <w:sz w:val="20"/>
          <w:szCs w:val="20"/>
          <w:rtl/>
        </w:rPr>
        <w:t xml:space="preserve"> </w:t>
      </w:r>
      <w:r w:rsidRPr="0086747F">
        <w:rPr>
          <w:rFonts w:cs="Arial" w:hint="cs"/>
          <w:sz w:val="20"/>
          <w:szCs w:val="20"/>
          <w:rtl/>
        </w:rPr>
        <w:t>שבתא</w:t>
      </w:r>
      <w:r w:rsidRPr="0086747F">
        <w:rPr>
          <w:rFonts w:cs="Arial"/>
          <w:sz w:val="20"/>
          <w:szCs w:val="20"/>
          <w:rtl/>
        </w:rPr>
        <w:t xml:space="preserve">. </w:t>
      </w:r>
      <w:r w:rsidRPr="0086747F">
        <w:rPr>
          <w:rFonts w:cs="Arial" w:hint="cs"/>
          <w:sz w:val="20"/>
          <w:szCs w:val="20"/>
          <w:rtl/>
        </w:rPr>
        <w:t>אמר</w:t>
      </w:r>
      <w:r w:rsidRPr="0086747F">
        <w:rPr>
          <w:rFonts w:cs="Arial"/>
          <w:sz w:val="20"/>
          <w:szCs w:val="20"/>
          <w:rtl/>
        </w:rPr>
        <w:t xml:space="preserve"> </w:t>
      </w:r>
      <w:r w:rsidRPr="0086747F">
        <w:rPr>
          <w:rFonts w:cs="Arial" w:hint="cs"/>
          <w:sz w:val="20"/>
          <w:szCs w:val="20"/>
          <w:rtl/>
        </w:rPr>
        <w:t>ליה</w:t>
      </w:r>
      <w:r w:rsidRPr="0086747F">
        <w:rPr>
          <w:rFonts w:cs="Arial"/>
          <w:sz w:val="20"/>
          <w:szCs w:val="20"/>
          <w:rtl/>
        </w:rPr>
        <w:t xml:space="preserve">: </w:t>
      </w:r>
      <w:r w:rsidRPr="0086747F">
        <w:rPr>
          <w:rFonts w:cs="Arial" w:hint="cs"/>
          <w:sz w:val="20"/>
          <w:szCs w:val="20"/>
          <w:rtl/>
        </w:rPr>
        <w:t>האי</w:t>
      </w:r>
      <w:r w:rsidRPr="0086747F">
        <w:rPr>
          <w:rFonts w:cs="Arial"/>
          <w:sz w:val="20"/>
          <w:szCs w:val="20"/>
          <w:rtl/>
        </w:rPr>
        <w:t xml:space="preserve"> - </w:t>
      </w:r>
      <w:r w:rsidRPr="0086747F">
        <w:rPr>
          <w:rFonts w:cs="Arial" w:hint="cs"/>
          <w:sz w:val="20"/>
          <w:szCs w:val="20"/>
          <w:rtl/>
        </w:rPr>
        <w:t>הוציא</w:t>
      </w:r>
      <w:r w:rsidRPr="0086747F">
        <w:rPr>
          <w:rFonts w:cs="Arial"/>
          <w:sz w:val="20"/>
          <w:szCs w:val="20"/>
          <w:rtl/>
        </w:rPr>
        <w:t xml:space="preserve"> </w:t>
      </w:r>
      <w:r w:rsidRPr="0086747F">
        <w:rPr>
          <w:rFonts w:cs="Arial" w:hint="cs"/>
          <w:sz w:val="20"/>
          <w:szCs w:val="20"/>
          <w:rtl/>
        </w:rPr>
        <w:t>ראשו</w:t>
      </w:r>
      <w:r w:rsidRPr="0086747F">
        <w:rPr>
          <w:rFonts w:cs="Arial"/>
          <w:sz w:val="20"/>
          <w:szCs w:val="20"/>
          <w:rtl/>
        </w:rPr>
        <w:t xml:space="preserve"> </w:t>
      </w:r>
      <w:r w:rsidRPr="0086747F">
        <w:rPr>
          <w:rFonts w:cs="Arial" w:hint="cs"/>
          <w:sz w:val="20"/>
          <w:szCs w:val="20"/>
          <w:rtl/>
        </w:rPr>
        <w:t>חוץ</w:t>
      </w:r>
      <w:r w:rsidRPr="0086747F">
        <w:rPr>
          <w:rFonts w:cs="Arial"/>
          <w:sz w:val="20"/>
          <w:szCs w:val="20"/>
          <w:rtl/>
        </w:rPr>
        <w:t xml:space="preserve"> </w:t>
      </w:r>
      <w:r w:rsidRPr="0086747F">
        <w:rPr>
          <w:rFonts w:cs="Arial" w:hint="cs"/>
          <w:sz w:val="20"/>
          <w:szCs w:val="20"/>
          <w:rtl/>
        </w:rPr>
        <w:t>לפרוזדור</w:t>
      </w:r>
      <w:r w:rsidRPr="0086747F">
        <w:rPr>
          <w:rFonts w:cs="Arial"/>
          <w:sz w:val="20"/>
          <w:szCs w:val="20"/>
          <w:rtl/>
        </w:rPr>
        <w:t xml:space="preserve"> </w:t>
      </w:r>
      <w:r w:rsidRPr="0086747F">
        <w:rPr>
          <w:rFonts w:cs="Arial" w:hint="cs"/>
          <w:sz w:val="20"/>
          <w:szCs w:val="20"/>
          <w:rtl/>
        </w:rPr>
        <w:t>הוא</w:t>
      </w:r>
      <w:r w:rsidRPr="0086747F">
        <w:rPr>
          <w:rFonts w:cs="Arial"/>
          <w:sz w:val="20"/>
          <w:szCs w:val="20"/>
          <w:rtl/>
        </w:rPr>
        <w:t xml:space="preserve">, </w:t>
      </w:r>
      <w:r w:rsidRPr="0086747F">
        <w:rPr>
          <w:rFonts w:cs="Arial" w:hint="cs"/>
          <w:sz w:val="20"/>
          <w:szCs w:val="20"/>
          <w:rtl/>
        </w:rPr>
        <w:t>והוי</w:t>
      </w:r>
      <w:r w:rsidRPr="0086747F">
        <w:rPr>
          <w:rFonts w:cs="Arial"/>
          <w:sz w:val="20"/>
          <w:szCs w:val="20"/>
          <w:rtl/>
        </w:rPr>
        <w:t xml:space="preserve"> </w:t>
      </w:r>
      <w:r w:rsidRPr="0086747F">
        <w:rPr>
          <w:rFonts w:cs="Arial" w:hint="cs"/>
          <w:sz w:val="20"/>
          <w:szCs w:val="20"/>
          <w:rtl/>
        </w:rPr>
        <w:t>מילה</w:t>
      </w:r>
      <w:r w:rsidRPr="0086747F">
        <w:rPr>
          <w:rFonts w:cs="Arial"/>
          <w:sz w:val="20"/>
          <w:szCs w:val="20"/>
          <w:rtl/>
        </w:rPr>
        <w:t xml:space="preserve"> </w:t>
      </w:r>
      <w:r w:rsidRPr="0086747F">
        <w:rPr>
          <w:rFonts w:cs="Arial" w:hint="cs"/>
          <w:sz w:val="20"/>
          <w:szCs w:val="20"/>
          <w:rtl/>
        </w:rPr>
        <w:t>שלא</w:t>
      </w:r>
      <w:r w:rsidRPr="0086747F">
        <w:rPr>
          <w:rFonts w:cs="Arial"/>
          <w:sz w:val="20"/>
          <w:szCs w:val="20"/>
          <w:rtl/>
        </w:rPr>
        <w:t xml:space="preserve"> </w:t>
      </w:r>
      <w:r w:rsidRPr="0086747F">
        <w:rPr>
          <w:rFonts w:cs="Arial" w:hint="cs"/>
          <w:sz w:val="20"/>
          <w:szCs w:val="20"/>
          <w:rtl/>
        </w:rPr>
        <w:t>בזמנה</w:t>
      </w:r>
      <w:r w:rsidRPr="0086747F">
        <w:rPr>
          <w:rFonts w:cs="Arial"/>
          <w:sz w:val="20"/>
          <w:szCs w:val="20"/>
          <w:rtl/>
        </w:rPr>
        <w:t xml:space="preserve">, </w:t>
      </w:r>
      <w:r w:rsidRPr="0086747F">
        <w:rPr>
          <w:rFonts w:cs="Arial" w:hint="cs"/>
          <w:sz w:val="20"/>
          <w:szCs w:val="20"/>
          <w:rtl/>
        </w:rPr>
        <w:t>וכל</w:t>
      </w:r>
      <w:r w:rsidRPr="0086747F">
        <w:rPr>
          <w:rFonts w:cs="Arial"/>
          <w:sz w:val="20"/>
          <w:szCs w:val="20"/>
          <w:rtl/>
        </w:rPr>
        <w:t xml:space="preserve"> </w:t>
      </w:r>
      <w:r w:rsidRPr="0086747F">
        <w:rPr>
          <w:rFonts w:cs="Arial" w:hint="cs"/>
          <w:sz w:val="20"/>
          <w:szCs w:val="20"/>
          <w:rtl/>
        </w:rPr>
        <w:t>מילה</w:t>
      </w:r>
      <w:r w:rsidRPr="0086747F">
        <w:rPr>
          <w:rFonts w:cs="Arial"/>
          <w:sz w:val="20"/>
          <w:szCs w:val="20"/>
          <w:rtl/>
        </w:rPr>
        <w:t xml:space="preserve"> </w:t>
      </w:r>
      <w:r w:rsidRPr="0086747F">
        <w:rPr>
          <w:rFonts w:cs="Arial" w:hint="cs"/>
          <w:sz w:val="20"/>
          <w:szCs w:val="20"/>
          <w:rtl/>
        </w:rPr>
        <w:t>שלא</w:t>
      </w:r>
      <w:r w:rsidRPr="0086747F">
        <w:rPr>
          <w:rFonts w:cs="Arial"/>
          <w:sz w:val="20"/>
          <w:szCs w:val="20"/>
          <w:rtl/>
        </w:rPr>
        <w:t xml:space="preserve"> </w:t>
      </w:r>
      <w:r w:rsidRPr="0086747F">
        <w:rPr>
          <w:rFonts w:cs="Arial" w:hint="cs"/>
          <w:sz w:val="20"/>
          <w:szCs w:val="20"/>
          <w:rtl/>
        </w:rPr>
        <w:t>בזמנה</w:t>
      </w:r>
      <w:r w:rsidRPr="0086747F">
        <w:rPr>
          <w:rFonts w:cs="Arial"/>
          <w:sz w:val="20"/>
          <w:szCs w:val="20"/>
          <w:rtl/>
        </w:rPr>
        <w:t xml:space="preserve"> - </w:t>
      </w:r>
      <w:r w:rsidRPr="0086747F">
        <w:rPr>
          <w:rFonts w:cs="Arial" w:hint="cs"/>
          <w:sz w:val="20"/>
          <w:szCs w:val="20"/>
          <w:rtl/>
        </w:rPr>
        <w:t>אין</w:t>
      </w:r>
      <w:r w:rsidRPr="0086747F">
        <w:rPr>
          <w:rFonts w:cs="Arial"/>
          <w:sz w:val="20"/>
          <w:szCs w:val="20"/>
          <w:rtl/>
        </w:rPr>
        <w:t xml:space="preserve"> </w:t>
      </w:r>
      <w:r w:rsidRPr="0086747F">
        <w:rPr>
          <w:rFonts w:cs="Arial" w:hint="cs"/>
          <w:sz w:val="20"/>
          <w:szCs w:val="20"/>
          <w:rtl/>
        </w:rPr>
        <w:t>מחללין</w:t>
      </w:r>
      <w:r w:rsidRPr="0086747F">
        <w:rPr>
          <w:rFonts w:cs="Arial"/>
          <w:sz w:val="20"/>
          <w:szCs w:val="20"/>
          <w:rtl/>
        </w:rPr>
        <w:t xml:space="preserve"> </w:t>
      </w:r>
      <w:r w:rsidRPr="0086747F">
        <w:rPr>
          <w:rFonts w:cs="Arial" w:hint="cs"/>
          <w:sz w:val="20"/>
          <w:szCs w:val="20"/>
          <w:rtl/>
        </w:rPr>
        <w:t>עליה</w:t>
      </w:r>
      <w:r w:rsidRPr="0086747F">
        <w:rPr>
          <w:rFonts w:cs="Arial"/>
          <w:sz w:val="20"/>
          <w:szCs w:val="20"/>
          <w:rtl/>
        </w:rPr>
        <w:t xml:space="preserve"> </w:t>
      </w:r>
      <w:r w:rsidRPr="0086747F">
        <w:rPr>
          <w:rFonts w:cs="Arial" w:hint="cs"/>
          <w:sz w:val="20"/>
          <w:szCs w:val="20"/>
          <w:rtl/>
        </w:rPr>
        <w:t>את</w:t>
      </w:r>
      <w:r w:rsidRPr="0086747F">
        <w:rPr>
          <w:rFonts w:cs="Arial"/>
          <w:sz w:val="20"/>
          <w:szCs w:val="20"/>
          <w:rtl/>
        </w:rPr>
        <w:t xml:space="preserve"> </w:t>
      </w:r>
      <w:r w:rsidRPr="0086747F">
        <w:rPr>
          <w:rFonts w:cs="Arial" w:hint="cs"/>
          <w:sz w:val="20"/>
          <w:szCs w:val="20"/>
          <w:rtl/>
        </w:rPr>
        <w:t>השבת</w:t>
      </w:r>
      <w:r>
        <w:rPr>
          <w:rFonts w:cs="Arial" w:hint="cs"/>
          <w:sz w:val="20"/>
          <w:szCs w:val="20"/>
          <w:rtl/>
        </w:rPr>
        <w:t>".</w:t>
      </w:r>
      <w:r>
        <w:rPr>
          <w:rFonts w:cs="Arial"/>
          <w:sz w:val="20"/>
          <w:szCs w:val="20"/>
          <w:rtl/>
        </w:rPr>
        <w:br/>
      </w:r>
      <w:r>
        <w:rPr>
          <w:rFonts w:cs="Arial" w:hint="cs"/>
          <w:sz w:val="20"/>
          <w:szCs w:val="20"/>
          <w:rtl/>
        </w:rPr>
        <w:t xml:space="preserve">כלומר </w:t>
      </w:r>
      <w:r>
        <w:rPr>
          <w:rFonts w:cs="Arial"/>
          <w:sz w:val="20"/>
          <w:szCs w:val="20"/>
          <w:rtl/>
        </w:rPr>
        <w:t>–</w:t>
      </w:r>
      <w:r>
        <w:rPr>
          <w:rFonts w:cs="Arial" w:hint="cs"/>
          <w:sz w:val="20"/>
          <w:szCs w:val="20"/>
          <w:rtl/>
        </w:rPr>
        <w:t xml:space="preserve"> זמן מילת הוולד ביום שישי ולא בשבת, ורואים מכאן שהוצאת רוב ראש הוולד הוי לידה.</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1C32EA">
        <w:rPr>
          <w:rFonts w:cs="Arial" w:hint="cs"/>
          <w:sz w:val="20"/>
          <w:szCs w:val="20"/>
          <w:rtl/>
        </w:rPr>
        <w:t>נחתך</w:t>
      </w:r>
      <w:r w:rsidRPr="001C32EA">
        <w:rPr>
          <w:rFonts w:cs="Arial"/>
          <w:sz w:val="20"/>
          <w:szCs w:val="20"/>
          <w:rtl/>
        </w:rPr>
        <w:t xml:space="preserve"> </w:t>
      </w:r>
      <w:r w:rsidRPr="001C32EA">
        <w:rPr>
          <w:rFonts w:cs="Arial" w:hint="cs"/>
          <w:sz w:val="20"/>
          <w:szCs w:val="20"/>
          <w:rtl/>
        </w:rPr>
        <w:t>הו</w:t>
      </w:r>
      <w:r>
        <w:rPr>
          <w:rFonts w:cs="Arial" w:hint="cs"/>
          <w:sz w:val="20"/>
          <w:szCs w:val="20"/>
          <w:rtl/>
        </w:rPr>
        <w:t>ו</w:t>
      </w:r>
      <w:r w:rsidRPr="001C32EA">
        <w:rPr>
          <w:rFonts w:cs="Arial" w:hint="cs"/>
          <w:sz w:val="20"/>
          <w:szCs w:val="20"/>
          <w:rtl/>
        </w:rPr>
        <w:t>לד</w:t>
      </w:r>
      <w:r w:rsidRPr="001C32EA">
        <w:rPr>
          <w:rFonts w:cs="Arial"/>
          <w:sz w:val="20"/>
          <w:szCs w:val="20"/>
          <w:rtl/>
        </w:rPr>
        <w:t xml:space="preserve"> </w:t>
      </w:r>
      <w:r w:rsidRPr="001C32EA">
        <w:rPr>
          <w:rFonts w:cs="Arial" w:hint="cs"/>
          <w:sz w:val="20"/>
          <w:szCs w:val="20"/>
          <w:rtl/>
        </w:rPr>
        <w:t>במעיה</w:t>
      </w:r>
      <w:r w:rsidRPr="001C32EA">
        <w:rPr>
          <w:rFonts w:cs="Arial"/>
          <w:sz w:val="20"/>
          <w:szCs w:val="20"/>
          <w:rtl/>
        </w:rPr>
        <w:t xml:space="preserve"> </w:t>
      </w:r>
      <w:r w:rsidRPr="001C32EA">
        <w:rPr>
          <w:rFonts w:cs="Arial" w:hint="cs"/>
          <w:sz w:val="20"/>
          <w:szCs w:val="20"/>
          <w:rtl/>
        </w:rPr>
        <w:t>ויצא</w:t>
      </w:r>
      <w:r w:rsidRPr="001C32EA">
        <w:rPr>
          <w:rFonts w:cs="Arial"/>
          <w:sz w:val="20"/>
          <w:szCs w:val="20"/>
          <w:rtl/>
        </w:rPr>
        <w:t xml:space="preserve"> </w:t>
      </w:r>
      <w:r w:rsidRPr="001C32EA">
        <w:rPr>
          <w:rFonts w:cs="Arial" w:hint="cs"/>
          <w:sz w:val="20"/>
          <w:szCs w:val="20"/>
          <w:rtl/>
        </w:rPr>
        <w:t>אבר</w:t>
      </w:r>
      <w:r w:rsidRPr="001C32EA">
        <w:rPr>
          <w:rFonts w:cs="Arial"/>
          <w:sz w:val="20"/>
          <w:szCs w:val="20"/>
          <w:rtl/>
        </w:rPr>
        <w:t xml:space="preserve"> </w:t>
      </w:r>
      <w:r w:rsidRPr="001C32EA">
        <w:rPr>
          <w:rFonts w:cs="Arial" w:hint="cs"/>
          <w:sz w:val="20"/>
          <w:szCs w:val="20"/>
          <w:rtl/>
        </w:rPr>
        <w:t>אבר</w:t>
      </w:r>
      <w:r w:rsidRPr="001C32EA">
        <w:rPr>
          <w:rFonts w:cs="Arial"/>
          <w:sz w:val="20"/>
          <w:szCs w:val="20"/>
          <w:rtl/>
        </w:rPr>
        <w:t xml:space="preserve">, </w:t>
      </w:r>
      <w:r w:rsidRPr="001C32EA">
        <w:rPr>
          <w:rFonts w:cs="Arial" w:hint="cs"/>
          <w:sz w:val="20"/>
          <w:szCs w:val="20"/>
          <w:rtl/>
        </w:rPr>
        <w:t>בין</w:t>
      </w:r>
      <w:r w:rsidRPr="001C32EA">
        <w:rPr>
          <w:rFonts w:cs="Arial"/>
          <w:sz w:val="20"/>
          <w:szCs w:val="20"/>
          <w:rtl/>
        </w:rPr>
        <w:t xml:space="preserve"> </w:t>
      </w:r>
      <w:r w:rsidRPr="001C32EA">
        <w:rPr>
          <w:rFonts w:cs="Arial" w:hint="cs"/>
          <w:sz w:val="20"/>
          <w:szCs w:val="20"/>
          <w:rtl/>
        </w:rPr>
        <w:t>שיצא</w:t>
      </w:r>
      <w:r w:rsidRPr="001C32EA">
        <w:rPr>
          <w:rFonts w:cs="Arial"/>
          <w:sz w:val="20"/>
          <w:szCs w:val="20"/>
          <w:rtl/>
        </w:rPr>
        <w:t xml:space="preserve"> </w:t>
      </w:r>
      <w:r w:rsidRPr="001C32EA">
        <w:rPr>
          <w:rFonts w:cs="Arial" w:hint="cs"/>
          <w:sz w:val="20"/>
          <w:szCs w:val="20"/>
          <w:rtl/>
        </w:rPr>
        <w:t>על</w:t>
      </w:r>
      <w:r w:rsidRPr="001C32EA">
        <w:rPr>
          <w:rFonts w:cs="Arial"/>
          <w:sz w:val="20"/>
          <w:szCs w:val="20"/>
          <w:rtl/>
        </w:rPr>
        <w:t xml:space="preserve"> </w:t>
      </w:r>
      <w:r w:rsidRPr="001C32EA">
        <w:rPr>
          <w:rFonts w:cs="Arial" w:hint="cs"/>
          <w:sz w:val="20"/>
          <w:szCs w:val="20"/>
          <w:rtl/>
        </w:rPr>
        <w:t>סדר</w:t>
      </w:r>
      <w:r w:rsidRPr="001C32EA">
        <w:rPr>
          <w:rFonts w:cs="Arial"/>
          <w:sz w:val="20"/>
          <w:szCs w:val="20"/>
          <w:rtl/>
        </w:rPr>
        <w:t xml:space="preserve"> </w:t>
      </w:r>
      <w:r w:rsidRPr="001C32EA">
        <w:rPr>
          <w:rFonts w:cs="Arial" w:hint="cs"/>
          <w:sz w:val="20"/>
          <w:szCs w:val="20"/>
          <w:rtl/>
        </w:rPr>
        <w:t>האברים</w:t>
      </w:r>
      <w:r w:rsidRPr="001C32EA">
        <w:rPr>
          <w:rFonts w:cs="Arial"/>
          <w:sz w:val="20"/>
          <w:szCs w:val="20"/>
          <w:rtl/>
        </w:rPr>
        <w:t xml:space="preserve"> </w:t>
      </w:r>
      <w:r w:rsidRPr="001C32EA">
        <w:rPr>
          <w:rFonts w:cs="Arial" w:hint="cs"/>
          <w:sz w:val="20"/>
          <w:szCs w:val="20"/>
          <w:rtl/>
        </w:rPr>
        <w:t>כגון</w:t>
      </w:r>
      <w:r w:rsidRPr="001C32EA">
        <w:rPr>
          <w:rFonts w:cs="Arial"/>
          <w:sz w:val="20"/>
          <w:szCs w:val="20"/>
          <w:rtl/>
        </w:rPr>
        <w:t xml:space="preserve"> </w:t>
      </w:r>
      <w:r w:rsidRPr="001C32EA">
        <w:rPr>
          <w:rFonts w:cs="Arial" w:hint="cs"/>
          <w:sz w:val="20"/>
          <w:szCs w:val="20"/>
          <w:rtl/>
        </w:rPr>
        <w:t>שיצא</w:t>
      </w:r>
      <w:r w:rsidRPr="001C32EA">
        <w:rPr>
          <w:rFonts w:cs="Arial"/>
          <w:sz w:val="20"/>
          <w:szCs w:val="20"/>
          <w:rtl/>
        </w:rPr>
        <w:t xml:space="preserve"> </w:t>
      </w:r>
      <w:r w:rsidRPr="001C32EA">
        <w:rPr>
          <w:rFonts w:cs="Arial" w:hint="cs"/>
          <w:sz w:val="20"/>
          <w:szCs w:val="20"/>
          <w:rtl/>
        </w:rPr>
        <w:t>הרגל</w:t>
      </w:r>
      <w:r w:rsidRPr="001C32EA">
        <w:rPr>
          <w:rFonts w:cs="Arial"/>
          <w:sz w:val="20"/>
          <w:szCs w:val="20"/>
          <w:rtl/>
        </w:rPr>
        <w:t xml:space="preserve"> </w:t>
      </w:r>
      <w:r w:rsidRPr="001C32EA">
        <w:rPr>
          <w:rFonts w:cs="Arial" w:hint="cs"/>
          <w:sz w:val="20"/>
          <w:szCs w:val="20"/>
          <w:rtl/>
        </w:rPr>
        <w:t>ואחריה</w:t>
      </w:r>
      <w:r w:rsidRPr="001C32EA">
        <w:rPr>
          <w:rFonts w:cs="Arial"/>
          <w:sz w:val="20"/>
          <w:szCs w:val="20"/>
          <w:rtl/>
        </w:rPr>
        <w:t xml:space="preserve"> </w:t>
      </w:r>
      <w:r w:rsidRPr="001C32EA">
        <w:rPr>
          <w:rFonts w:cs="Arial" w:hint="cs"/>
          <w:sz w:val="20"/>
          <w:szCs w:val="20"/>
          <w:rtl/>
        </w:rPr>
        <w:t>השוק</w:t>
      </w:r>
      <w:r w:rsidRPr="001C32EA">
        <w:rPr>
          <w:rFonts w:cs="Arial"/>
          <w:sz w:val="20"/>
          <w:szCs w:val="20"/>
          <w:rtl/>
        </w:rPr>
        <w:t xml:space="preserve"> </w:t>
      </w:r>
      <w:r w:rsidRPr="001C32EA">
        <w:rPr>
          <w:rFonts w:cs="Arial" w:hint="cs"/>
          <w:sz w:val="20"/>
          <w:szCs w:val="20"/>
          <w:rtl/>
        </w:rPr>
        <w:t>ואחריה</w:t>
      </w:r>
      <w:r w:rsidRPr="001C32EA">
        <w:rPr>
          <w:rFonts w:cs="Arial"/>
          <w:sz w:val="20"/>
          <w:szCs w:val="20"/>
          <w:rtl/>
        </w:rPr>
        <w:t xml:space="preserve"> </w:t>
      </w:r>
      <w:r w:rsidRPr="001C32EA">
        <w:rPr>
          <w:rFonts w:cs="Arial" w:hint="cs"/>
          <w:sz w:val="20"/>
          <w:szCs w:val="20"/>
          <w:rtl/>
        </w:rPr>
        <w:t>הירך</w:t>
      </w:r>
      <w:r w:rsidRPr="001C32EA">
        <w:rPr>
          <w:rFonts w:cs="Arial"/>
          <w:sz w:val="20"/>
          <w:szCs w:val="20"/>
          <w:rtl/>
        </w:rPr>
        <w:t xml:space="preserve">, </w:t>
      </w:r>
      <w:r w:rsidRPr="001C32EA">
        <w:rPr>
          <w:rFonts w:cs="Arial" w:hint="cs"/>
          <w:sz w:val="20"/>
          <w:szCs w:val="20"/>
          <w:rtl/>
        </w:rPr>
        <w:t>בין</w:t>
      </w:r>
      <w:r w:rsidRPr="001C32EA">
        <w:rPr>
          <w:rFonts w:cs="Arial"/>
          <w:sz w:val="20"/>
          <w:szCs w:val="20"/>
          <w:rtl/>
        </w:rPr>
        <w:t xml:space="preserve"> </w:t>
      </w:r>
      <w:r w:rsidRPr="001C32EA">
        <w:rPr>
          <w:rFonts w:cs="Arial" w:hint="cs"/>
          <w:sz w:val="20"/>
          <w:szCs w:val="20"/>
          <w:rtl/>
        </w:rPr>
        <w:t>שיצא</w:t>
      </w:r>
      <w:r w:rsidRPr="001C32EA">
        <w:rPr>
          <w:rFonts w:cs="Arial"/>
          <w:sz w:val="20"/>
          <w:szCs w:val="20"/>
          <w:rtl/>
        </w:rPr>
        <w:t xml:space="preserve"> </w:t>
      </w:r>
      <w:r w:rsidRPr="001C32EA">
        <w:rPr>
          <w:rFonts w:cs="Arial" w:hint="cs"/>
          <w:sz w:val="20"/>
          <w:szCs w:val="20"/>
          <w:rtl/>
        </w:rPr>
        <w:t>שלא</w:t>
      </w:r>
      <w:r w:rsidRPr="001C32EA">
        <w:rPr>
          <w:rFonts w:cs="Arial"/>
          <w:sz w:val="20"/>
          <w:szCs w:val="20"/>
          <w:rtl/>
        </w:rPr>
        <w:t xml:space="preserve"> </w:t>
      </w:r>
      <w:r w:rsidRPr="001C32EA">
        <w:rPr>
          <w:rFonts w:cs="Arial" w:hint="cs"/>
          <w:sz w:val="20"/>
          <w:szCs w:val="20"/>
          <w:rtl/>
        </w:rPr>
        <w:t>על</w:t>
      </w:r>
      <w:r w:rsidRPr="001C32EA">
        <w:rPr>
          <w:rFonts w:cs="Arial"/>
          <w:sz w:val="20"/>
          <w:szCs w:val="20"/>
          <w:rtl/>
        </w:rPr>
        <w:t xml:space="preserve"> </w:t>
      </w:r>
      <w:r w:rsidRPr="001C32EA">
        <w:rPr>
          <w:rFonts w:cs="Arial" w:hint="cs"/>
          <w:sz w:val="20"/>
          <w:szCs w:val="20"/>
          <w:rtl/>
        </w:rPr>
        <w:t>הסדר</w:t>
      </w:r>
      <w:r w:rsidRPr="001C32EA">
        <w:rPr>
          <w:rFonts w:cs="Arial"/>
          <w:sz w:val="20"/>
          <w:szCs w:val="20"/>
          <w:rtl/>
        </w:rPr>
        <w:t xml:space="preserve">, </w:t>
      </w:r>
      <w:r w:rsidRPr="001C32EA">
        <w:rPr>
          <w:rFonts w:cs="Arial" w:hint="cs"/>
          <w:sz w:val="20"/>
          <w:szCs w:val="20"/>
          <w:rtl/>
        </w:rPr>
        <w:t>אינה</w:t>
      </w:r>
      <w:r w:rsidRPr="001C32EA">
        <w:rPr>
          <w:rFonts w:cs="Arial"/>
          <w:sz w:val="20"/>
          <w:szCs w:val="20"/>
          <w:rtl/>
        </w:rPr>
        <w:t xml:space="preserve"> </w:t>
      </w:r>
      <w:r w:rsidRPr="001C32EA">
        <w:rPr>
          <w:rFonts w:cs="Arial" w:hint="cs"/>
          <w:sz w:val="20"/>
          <w:szCs w:val="20"/>
          <w:rtl/>
        </w:rPr>
        <w:t>טמאה</w:t>
      </w:r>
      <w:r w:rsidRPr="001C32EA">
        <w:rPr>
          <w:rFonts w:cs="Arial"/>
          <w:sz w:val="20"/>
          <w:szCs w:val="20"/>
          <w:rtl/>
        </w:rPr>
        <w:t xml:space="preserve"> </w:t>
      </w:r>
      <w:r w:rsidRPr="001C32EA">
        <w:rPr>
          <w:rFonts w:cs="Arial" w:hint="cs"/>
          <w:sz w:val="20"/>
          <w:szCs w:val="20"/>
          <w:rtl/>
        </w:rPr>
        <w:t>לידה</w:t>
      </w:r>
      <w:r w:rsidRPr="001C32EA">
        <w:rPr>
          <w:rFonts w:cs="Arial"/>
          <w:sz w:val="20"/>
          <w:szCs w:val="20"/>
          <w:rtl/>
        </w:rPr>
        <w:t xml:space="preserve"> </w:t>
      </w:r>
      <w:r w:rsidRPr="001C32EA">
        <w:rPr>
          <w:rFonts w:cs="Arial" w:hint="cs"/>
          <w:sz w:val="20"/>
          <w:szCs w:val="20"/>
          <w:rtl/>
        </w:rPr>
        <w:t>עד</w:t>
      </w:r>
      <w:r w:rsidRPr="001C32EA">
        <w:rPr>
          <w:rFonts w:cs="Arial"/>
          <w:sz w:val="20"/>
          <w:szCs w:val="20"/>
          <w:rtl/>
        </w:rPr>
        <w:t xml:space="preserve"> </w:t>
      </w:r>
      <w:r w:rsidRPr="001C32EA">
        <w:rPr>
          <w:rFonts w:cs="Arial" w:hint="cs"/>
          <w:sz w:val="20"/>
          <w:szCs w:val="20"/>
          <w:rtl/>
        </w:rPr>
        <w:t>שיצא</w:t>
      </w:r>
      <w:r w:rsidRPr="001C32EA">
        <w:rPr>
          <w:rFonts w:cs="Arial"/>
          <w:sz w:val="20"/>
          <w:szCs w:val="20"/>
          <w:rtl/>
        </w:rPr>
        <w:t xml:space="preserve"> </w:t>
      </w:r>
      <w:r w:rsidRPr="001C32EA">
        <w:rPr>
          <w:rFonts w:cs="Arial" w:hint="cs"/>
          <w:sz w:val="20"/>
          <w:szCs w:val="20"/>
          <w:rtl/>
        </w:rPr>
        <w:t>רובו</w:t>
      </w:r>
      <w:r>
        <w:rPr>
          <w:rFonts w:cs="Arial" w:hint="cs"/>
          <w:sz w:val="20"/>
          <w:szCs w:val="20"/>
          <w:rtl/>
        </w:rPr>
        <w:t xml:space="preserve"> </w:t>
      </w:r>
      <w:r>
        <w:rPr>
          <w:rFonts w:cs="Arial" w:hint="cs"/>
          <w:sz w:val="18"/>
          <w:szCs w:val="18"/>
          <w:rtl/>
        </w:rPr>
        <w:t>(</w:t>
      </w:r>
      <w:r w:rsidRPr="00027E4B">
        <w:rPr>
          <w:rFonts w:cs="Arial" w:hint="cs"/>
          <w:sz w:val="18"/>
          <w:szCs w:val="18"/>
          <w:rtl/>
        </w:rPr>
        <w:t>משנה</w:t>
      </w:r>
      <w:r>
        <w:rPr>
          <w:rFonts w:cs="Arial" w:hint="cs"/>
          <w:sz w:val="18"/>
          <w:szCs w:val="18"/>
          <w:rtl/>
        </w:rPr>
        <w:t>)</w:t>
      </w:r>
      <w:r w:rsidRPr="001C32EA">
        <w:rPr>
          <w:rFonts w:cs="Arial"/>
          <w:sz w:val="20"/>
          <w:szCs w:val="20"/>
          <w:rtl/>
        </w:rPr>
        <w:t xml:space="preserve">; </w:t>
      </w:r>
      <w:r w:rsidRPr="001C32EA">
        <w:rPr>
          <w:rFonts w:cs="Arial" w:hint="cs"/>
          <w:sz w:val="20"/>
          <w:szCs w:val="20"/>
          <w:rtl/>
        </w:rPr>
        <w:t>ואם</w:t>
      </w:r>
      <w:r w:rsidRPr="001C32EA">
        <w:rPr>
          <w:rFonts w:cs="Arial"/>
          <w:sz w:val="20"/>
          <w:szCs w:val="20"/>
          <w:rtl/>
        </w:rPr>
        <w:t xml:space="preserve"> </w:t>
      </w:r>
      <w:r w:rsidRPr="001C32EA">
        <w:rPr>
          <w:rFonts w:cs="Arial" w:hint="cs"/>
          <w:sz w:val="20"/>
          <w:szCs w:val="20"/>
          <w:rtl/>
        </w:rPr>
        <w:t>יצא</w:t>
      </w:r>
      <w:r w:rsidRPr="001C32EA">
        <w:rPr>
          <w:rFonts w:cs="Arial"/>
          <w:sz w:val="20"/>
          <w:szCs w:val="20"/>
          <w:rtl/>
        </w:rPr>
        <w:t xml:space="preserve"> </w:t>
      </w:r>
      <w:r w:rsidRPr="001C32EA">
        <w:rPr>
          <w:rFonts w:cs="Arial" w:hint="cs"/>
          <w:sz w:val="20"/>
          <w:szCs w:val="20"/>
          <w:rtl/>
        </w:rPr>
        <w:t>ראשו</w:t>
      </w:r>
      <w:r w:rsidRPr="001C32EA">
        <w:rPr>
          <w:rFonts w:cs="Arial"/>
          <w:sz w:val="20"/>
          <w:szCs w:val="20"/>
          <w:rtl/>
        </w:rPr>
        <w:t xml:space="preserve"> </w:t>
      </w:r>
      <w:r w:rsidRPr="00027E4B">
        <w:rPr>
          <w:rFonts w:cs="Arial" w:hint="cs"/>
          <w:sz w:val="20"/>
          <w:szCs w:val="20"/>
          <w:u w:val="single"/>
          <w:rtl/>
        </w:rPr>
        <w:t>כולו</w:t>
      </w:r>
      <w:r w:rsidRPr="001C32EA">
        <w:rPr>
          <w:rFonts w:cs="Arial"/>
          <w:sz w:val="20"/>
          <w:szCs w:val="20"/>
          <w:rtl/>
        </w:rPr>
        <w:t xml:space="preserve"> </w:t>
      </w:r>
      <w:r w:rsidRPr="001C32EA">
        <w:rPr>
          <w:rFonts w:cs="Arial" w:hint="cs"/>
          <w:sz w:val="20"/>
          <w:szCs w:val="20"/>
          <w:rtl/>
        </w:rPr>
        <w:t>כאחד</w:t>
      </w:r>
      <w:r w:rsidRPr="001C32EA">
        <w:rPr>
          <w:rFonts w:cs="Arial"/>
          <w:sz w:val="20"/>
          <w:szCs w:val="20"/>
          <w:rtl/>
        </w:rPr>
        <w:t xml:space="preserve">, </w:t>
      </w:r>
      <w:r w:rsidRPr="001C32EA">
        <w:rPr>
          <w:rFonts w:cs="Arial" w:hint="cs"/>
          <w:sz w:val="20"/>
          <w:szCs w:val="20"/>
          <w:rtl/>
        </w:rPr>
        <w:t>הרי</w:t>
      </w:r>
      <w:r w:rsidRPr="001C32EA">
        <w:rPr>
          <w:rFonts w:cs="Arial"/>
          <w:sz w:val="20"/>
          <w:szCs w:val="20"/>
          <w:rtl/>
        </w:rPr>
        <w:t xml:space="preserve"> </w:t>
      </w:r>
      <w:r w:rsidRPr="001C32EA">
        <w:rPr>
          <w:rFonts w:cs="Arial" w:hint="cs"/>
          <w:sz w:val="20"/>
          <w:szCs w:val="20"/>
          <w:rtl/>
        </w:rPr>
        <w:t>זה</w:t>
      </w:r>
      <w:r w:rsidRPr="001C32EA">
        <w:rPr>
          <w:rFonts w:cs="Arial"/>
          <w:sz w:val="20"/>
          <w:szCs w:val="20"/>
          <w:rtl/>
        </w:rPr>
        <w:t xml:space="preserve"> </w:t>
      </w:r>
      <w:r w:rsidRPr="001C32EA">
        <w:rPr>
          <w:rFonts w:cs="Arial" w:hint="cs"/>
          <w:sz w:val="20"/>
          <w:szCs w:val="20"/>
          <w:rtl/>
        </w:rPr>
        <w:t>כרובו</w:t>
      </w:r>
      <w:r>
        <w:rPr>
          <w:rFonts w:cs="Arial" w:hint="cs"/>
          <w:sz w:val="20"/>
          <w:szCs w:val="20"/>
          <w:rtl/>
        </w:rPr>
        <w:t xml:space="preserve"> </w:t>
      </w:r>
      <w:r>
        <w:rPr>
          <w:rFonts w:cs="Arial" w:hint="cs"/>
          <w:sz w:val="18"/>
          <w:szCs w:val="18"/>
          <w:rtl/>
        </w:rPr>
        <w:t>(</w:t>
      </w:r>
      <w:r w:rsidRPr="00027E4B">
        <w:rPr>
          <w:rFonts w:cs="Arial" w:hint="cs"/>
          <w:sz w:val="18"/>
          <w:szCs w:val="18"/>
          <w:rtl/>
        </w:rPr>
        <w:t>רמב"ם</w:t>
      </w:r>
      <w:r>
        <w:rPr>
          <w:rFonts w:cs="Arial" w:hint="cs"/>
          <w:sz w:val="18"/>
          <w:szCs w:val="18"/>
          <w:rtl/>
        </w:rPr>
        <w:t>)</w:t>
      </w:r>
      <w:r w:rsidRPr="001C32EA">
        <w:rPr>
          <w:rFonts w:cs="Arial"/>
          <w:sz w:val="20"/>
          <w:szCs w:val="20"/>
          <w:rtl/>
        </w:rPr>
        <w:t xml:space="preserve">; </w:t>
      </w:r>
      <w:r w:rsidRPr="001C32EA">
        <w:rPr>
          <w:rFonts w:cs="Arial" w:hint="cs"/>
          <w:sz w:val="20"/>
          <w:szCs w:val="20"/>
          <w:rtl/>
        </w:rPr>
        <w:t>ואם</w:t>
      </w:r>
      <w:r w:rsidRPr="001C32EA">
        <w:rPr>
          <w:rFonts w:cs="Arial"/>
          <w:sz w:val="20"/>
          <w:szCs w:val="20"/>
          <w:rtl/>
        </w:rPr>
        <w:t xml:space="preserve"> </w:t>
      </w:r>
      <w:r w:rsidRPr="001C32EA">
        <w:rPr>
          <w:rFonts w:cs="Arial" w:hint="cs"/>
          <w:sz w:val="20"/>
          <w:szCs w:val="20"/>
          <w:rtl/>
        </w:rPr>
        <w:t>לא</w:t>
      </w:r>
      <w:r w:rsidRPr="001C32EA">
        <w:rPr>
          <w:rFonts w:cs="Arial"/>
          <w:sz w:val="20"/>
          <w:szCs w:val="20"/>
          <w:rtl/>
        </w:rPr>
        <w:t xml:space="preserve"> </w:t>
      </w:r>
      <w:r w:rsidRPr="001C32EA">
        <w:rPr>
          <w:rFonts w:cs="Arial" w:hint="cs"/>
          <w:sz w:val="20"/>
          <w:szCs w:val="20"/>
          <w:rtl/>
        </w:rPr>
        <w:t>נתחתך</w:t>
      </w:r>
      <w:r w:rsidRPr="001C32EA">
        <w:rPr>
          <w:rFonts w:cs="Arial"/>
          <w:sz w:val="20"/>
          <w:szCs w:val="20"/>
          <w:rtl/>
        </w:rPr>
        <w:t xml:space="preserve">, </w:t>
      </w:r>
      <w:r w:rsidRPr="001C32EA">
        <w:rPr>
          <w:rFonts w:cs="Arial" w:hint="cs"/>
          <w:sz w:val="20"/>
          <w:szCs w:val="20"/>
          <w:rtl/>
        </w:rPr>
        <w:t>ויצא</w:t>
      </w:r>
      <w:r w:rsidRPr="001C32EA">
        <w:rPr>
          <w:rFonts w:cs="Arial"/>
          <w:sz w:val="20"/>
          <w:szCs w:val="20"/>
          <w:rtl/>
        </w:rPr>
        <w:t xml:space="preserve"> </w:t>
      </w:r>
      <w:r w:rsidRPr="001C32EA">
        <w:rPr>
          <w:rFonts w:cs="Arial" w:hint="cs"/>
          <w:sz w:val="20"/>
          <w:szCs w:val="20"/>
          <w:rtl/>
        </w:rPr>
        <w:t>כדרכו</w:t>
      </w:r>
      <w:r w:rsidRPr="001C32EA">
        <w:rPr>
          <w:rFonts w:cs="Arial"/>
          <w:sz w:val="20"/>
          <w:szCs w:val="20"/>
          <w:rtl/>
        </w:rPr>
        <w:t xml:space="preserve">, </w:t>
      </w:r>
      <w:r w:rsidRPr="001C32EA">
        <w:rPr>
          <w:rFonts w:cs="Arial" w:hint="cs"/>
          <w:sz w:val="20"/>
          <w:szCs w:val="20"/>
          <w:rtl/>
        </w:rPr>
        <w:t>משתצא</w:t>
      </w:r>
      <w:r w:rsidRPr="001C32EA">
        <w:rPr>
          <w:rFonts w:cs="Arial"/>
          <w:sz w:val="20"/>
          <w:szCs w:val="20"/>
          <w:rtl/>
        </w:rPr>
        <w:t xml:space="preserve"> </w:t>
      </w:r>
      <w:r w:rsidRPr="001C32EA">
        <w:rPr>
          <w:rFonts w:cs="Arial" w:hint="cs"/>
          <w:sz w:val="20"/>
          <w:szCs w:val="20"/>
          <w:rtl/>
        </w:rPr>
        <w:t>פדחתו</w:t>
      </w:r>
      <w:r w:rsidRPr="001C32EA">
        <w:rPr>
          <w:rFonts w:cs="Arial"/>
          <w:sz w:val="20"/>
          <w:szCs w:val="20"/>
          <w:rtl/>
        </w:rPr>
        <w:t xml:space="preserve"> </w:t>
      </w:r>
      <w:r w:rsidRPr="001C32EA">
        <w:rPr>
          <w:rFonts w:cs="Arial" w:hint="cs"/>
          <w:sz w:val="20"/>
          <w:szCs w:val="20"/>
          <w:rtl/>
        </w:rPr>
        <w:t>ה</w:t>
      </w:r>
      <w:r>
        <w:rPr>
          <w:rFonts w:cs="Arial" w:hint="cs"/>
          <w:sz w:val="20"/>
          <w:szCs w:val="20"/>
          <w:rtl/>
        </w:rPr>
        <w:t xml:space="preserve">רי </w:t>
      </w:r>
      <w:r w:rsidRPr="001C32EA">
        <w:rPr>
          <w:rFonts w:cs="Arial" w:hint="cs"/>
          <w:sz w:val="20"/>
          <w:szCs w:val="20"/>
          <w:rtl/>
        </w:rPr>
        <w:t>ז</w:t>
      </w:r>
      <w:r>
        <w:rPr>
          <w:rFonts w:cs="Arial" w:hint="cs"/>
          <w:sz w:val="20"/>
          <w:szCs w:val="20"/>
          <w:rtl/>
        </w:rPr>
        <w:t>ה</w:t>
      </w:r>
      <w:r w:rsidRPr="001C32EA">
        <w:rPr>
          <w:rFonts w:cs="Arial"/>
          <w:sz w:val="20"/>
          <w:szCs w:val="20"/>
          <w:rtl/>
        </w:rPr>
        <w:t xml:space="preserve"> </w:t>
      </w:r>
      <w:r w:rsidRPr="001C32EA">
        <w:rPr>
          <w:rFonts w:cs="Arial" w:hint="cs"/>
          <w:sz w:val="20"/>
          <w:szCs w:val="20"/>
          <w:rtl/>
        </w:rPr>
        <w:t>כילוד</w:t>
      </w:r>
      <w:r w:rsidRPr="001C32EA">
        <w:rPr>
          <w:rFonts w:cs="Arial"/>
          <w:sz w:val="20"/>
          <w:szCs w:val="20"/>
          <w:rtl/>
        </w:rPr>
        <w:t xml:space="preserve"> </w:t>
      </w:r>
      <w:r w:rsidRPr="001C32EA">
        <w:rPr>
          <w:rFonts w:cs="Arial" w:hint="cs"/>
          <w:sz w:val="20"/>
          <w:szCs w:val="20"/>
          <w:rtl/>
        </w:rPr>
        <w:t>אף</w:t>
      </w:r>
      <w:r w:rsidRPr="001C32EA">
        <w:rPr>
          <w:rFonts w:cs="Arial"/>
          <w:sz w:val="20"/>
          <w:szCs w:val="20"/>
          <w:rtl/>
        </w:rPr>
        <w:t xml:space="preserve"> </w:t>
      </w:r>
      <w:r w:rsidRPr="001C32EA">
        <w:rPr>
          <w:rFonts w:cs="Arial" w:hint="cs"/>
          <w:sz w:val="20"/>
          <w:szCs w:val="20"/>
          <w:rtl/>
        </w:rPr>
        <w:t>על</w:t>
      </w:r>
      <w:r w:rsidRPr="001C32EA">
        <w:rPr>
          <w:rFonts w:cs="Arial"/>
          <w:sz w:val="20"/>
          <w:szCs w:val="20"/>
          <w:rtl/>
        </w:rPr>
        <w:t xml:space="preserve"> </w:t>
      </w:r>
      <w:r w:rsidRPr="001C32EA">
        <w:rPr>
          <w:rFonts w:cs="Arial" w:hint="cs"/>
          <w:sz w:val="20"/>
          <w:szCs w:val="20"/>
          <w:rtl/>
        </w:rPr>
        <w:t>פי</w:t>
      </w:r>
      <w:r w:rsidRPr="001C32EA">
        <w:rPr>
          <w:rFonts w:cs="Arial"/>
          <w:sz w:val="20"/>
          <w:szCs w:val="20"/>
          <w:rtl/>
        </w:rPr>
        <w:t xml:space="preserve"> </w:t>
      </w:r>
      <w:r w:rsidRPr="001C32EA">
        <w:rPr>
          <w:rFonts w:cs="Arial" w:hint="cs"/>
          <w:sz w:val="20"/>
          <w:szCs w:val="20"/>
          <w:rtl/>
        </w:rPr>
        <w:t>שנחתך</w:t>
      </w:r>
      <w:r w:rsidRPr="001C32EA">
        <w:rPr>
          <w:rFonts w:cs="Arial"/>
          <w:sz w:val="20"/>
          <w:szCs w:val="20"/>
          <w:rtl/>
        </w:rPr>
        <w:t xml:space="preserve"> </w:t>
      </w:r>
      <w:r w:rsidRPr="001C32EA">
        <w:rPr>
          <w:rFonts w:cs="Arial" w:hint="cs"/>
          <w:sz w:val="20"/>
          <w:szCs w:val="20"/>
          <w:rtl/>
        </w:rPr>
        <w:t>אח</w:t>
      </w:r>
      <w:r>
        <w:rPr>
          <w:rFonts w:cs="Arial" w:hint="cs"/>
          <w:sz w:val="20"/>
          <w:szCs w:val="20"/>
          <w:rtl/>
        </w:rPr>
        <w:t xml:space="preserve">ר </w:t>
      </w:r>
      <w:r w:rsidRPr="001C32EA">
        <w:rPr>
          <w:rFonts w:cs="Arial" w:hint="cs"/>
          <w:sz w:val="20"/>
          <w:szCs w:val="20"/>
          <w:rtl/>
        </w:rPr>
        <w:t>כ</w:t>
      </w:r>
      <w:r>
        <w:rPr>
          <w:rFonts w:cs="Arial" w:hint="cs"/>
          <w:sz w:val="20"/>
          <w:szCs w:val="20"/>
          <w:rtl/>
        </w:rPr>
        <w:t xml:space="preserve">ך </w:t>
      </w:r>
      <w:r>
        <w:rPr>
          <w:rFonts w:cs="Arial" w:hint="cs"/>
          <w:sz w:val="18"/>
          <w:szCs w:val="18"/>
          <w:rtl/>
        </w:rPr>
        <w:t>(</w:t>
      </w:r>
      <w:r w:rsidRPr="00027E4B">
        <w:rPr>
          <w:rFonts w:cs="Arial" w:hint="cs"/>
          <w:sz w:val="18"/>
          <w:szCs w:val="18"/>
          <w:rtl/>
        </w:rPr>
        <w:t>משנה</w:t>
      </w:r>
      <w:r>
        <w:rPr>
          <w:rFonts w:cs="Arial" w:hint="cs"/>
          <w:sz w:val="18"/>
          <w:szCs w:val="18"/>
          <w:rtl/>
        </w:rPr>
        <w:t>)</w:t>
      </w:r>
      <w:r w:rsidRPr="001C32EA">
        <w:rPr>
          <w:rFonts w:cs="Arial"/>
          <w:sz w:val="20"/>
          <w:szCs w:val="20"/>
          <w:rtl/>
        </w:rPr>
        <w:t xml:space="preserve">. </w:t>
      </w:r>
      <w:r w:rsidRPr="001C32EA">
        <w:rPr>
          <w:rFonts w:cs="Arial" w:hint="cs"/>
          <w:sz w:val="20"/>
          <w:szCs w:val="20"/>
          <w:rtl/>
        </w:rPr>
        <w:t>ולא</w:t>
      </w:r>
      <w:r w:rsidRPr="001C32EA">
        <w:rPr>
          <w:rFonts w:cs="Arial"/>
          <w:sz w:val="20"/>
          <w:szCs w:val="20"/>
          <w:rtl/>
        </w:rPr>
        <w:t xml:space="preserve"> </w:t>
      </w:r>
      <w:r w:rsidRPr="001C32EA">
        <w:rPr>
          <w:rFonts w:cs="Arial" w:hint="cs"/>
          <w:sz w:val="20"/>
          <w:szCs w:val="20"/>
          <w:rtl/>
        </w:rPr>
        <w:t>סוף</w:t>
      </w:r>
      <w:r w:rsidRPr="001C32EA">
        <w:rPr>
          <w:rFonts w:cs="Arial"/>
          <w:sz w:val="20"/>
          <w:szCs w:val="20"/>
          <w:rtl/>
        </w:rPr>
        <w:t xml:space="preserve"> </w:t>
      </w:r>
      <w:r w:rsidRPr="001C32EA">
        <w:rPr>
          <w:rFonts w:cs="Arial" w:hint="cs"/>
          <w:sz w:val="20"/>
          <w:szCs w:val="20"/>
          <w:rtl/>
        </w:rPr>
        <w:t>דבר</w:t>
      </w:r>
      <w:r w:rsidRPr="001C32EA">
        <w:rPr>
          <w:rFonts w:cs="Arial"/>
          <w:sz w:val="20"/>
          <w:szCs w:val="20"/>
          <w:rtl/>
        </w:rPr>
        <w:t xml:space="preserve"> </w:t>
      </w:r>
      <w:r w:rsidRPr="001C32EA">
        <w:rPr>
          <w:rFonts w:cs="Arial" w:hint="cs"/>
          <w:sz w:val="20"/>
          <w:szCs w:val="20"/>
          <w:rtl/>
        </w:rPr>
        <w:t>שיצא</w:t>
      </w:r>
      <w:r w:rsidRPr="001C32EA">
        <w:rPr>
          <w:rFonts w:cs="Arial"/>
          <w:sz w:val="20"/>
          <w:szCs w:val="20"/>
          <w:rtl/>
        </w:rPr>
        <w:t xml:space="preserve"> </w:t>
      </w:r>
      <w:r w:rsidRPr="001C32EA">
        <w:rPr>
          <w:rFonts w:cs="Arial" w:hint="cs"/>
          <w:sz w:val="20"/>
          <w:szCs w:val="20"/>
          <w:rtl/>
        </w:rPr>
        <w:t>לחוץ</w:t>
      </w:r>
      <w:r w:rsidRPr="001C32EA">
        <w:rPr>
          <w:rFonts w:cs="Arial"/>
          <w:sz w:val="20"/>
          <w:szCs w:val="20"/>
          <w:rtl/>
        </w:rPr>
        <w:t xml:space="preserve"> </w:t>
      </w:r>
      <w:r w:rsidRPr="001C32EA">
        <w:rPr>
          <w:rFonts w:cs="Arial" w:hint="cs"/>
          <w:sz w:val="20"/>
          <w:szCs w:val="20"/>
          <w:rtl/>
        </w:rPr>
        <w:t>ממש</w:t>
      </w:r>
      <w:r w:rsidRPr="001C32EA">
        <w:rPr>
          <w:rFonts w:cs="Arial"/>
          <w:sz w:val="20"/>
          <w:szCs w:val="20"/>
          <w:rtl/>
        </w:rPr>
        <w:t xml:space="preserve">, </w:t>
      </w:r>
      <w:r w:rsidRPr="001C32EA">
        <w:rPr>
          <w:rFonts w:cs="Arial" w:hint="cs"/>
          <w:sz w:val="20"/>
          <w:szCs w:val="20"/>
          <w:rtl/>
        </w:rPr>
        <w:t>אלא</w:t>
      </w:r>
      <w:r w:rsidRPr="001C32EA">
        <w:rPr>
          <w:rFonts w:cs="Arial"/>
          <w:sz w:val="20"/>
          <w:szCs w:val="20"/>
          <w:rtl/>
        </w:rPr>
        <w:t xml:space="preserve"> </w:t>
      </w:r>
      <w:r w:rsidRPr="001C32EA">
        <w:rPr>
          <w:rFonts w:cs="Arial" w:hint="cs"/>
          <w:sz w:val="20"/>
          <w:szCs w:val="20"/>
          <w:rtl/>
        </w:rPr>
        <w:t>אפילו</w:t>
      </w:r>
      <w:r w:rsidRPr="001C32EA">
        <w:rPr>
          <w:rFonts w:cs="Arial"/>
          <w:sz w:val="20"/>
          <w:szCs w:val="20"/>
          <w:rtl/>
        </w:rPr>
        <w:t xml:space="preserve"> </w:t>
      </w:r>
      <w:r w:rsidRPr="001C32EA">
        <w:rPr>
          <w:rFonts w:cs="Arial" w:hint="cs"/>
          <w:sz w:val="20"/>
          <w:szCs w:val="20"/>
          <w:rtl/>
        </w:rPr>
        <w:t>משיצא</w:t>
      </w:r>
      <w:r w:rsidRPr="001C32EA">
        <w:rPr>
          <w:rFonts w:cs="Arial"/>
          <w:sz w:val="20"/>
          <w:szCs w:val="20"/>
          <w:rtl/>
        </w:rPr>
        <w:t xml:space="preserve"> </w:t>
      </w:r>
      <w:r w:rsidRPr="001C32EA">
        <w:rPr>
          <w:rFonts w:cs="Arial" w:hint="cs"/>
          <w:sz w:val="20"/>
          <w:szCs w:val="20"/>
          <w:rtl/>
        </w:rPr>
        <w:t>חוץ</w:t>
      </w:r>
      <w:r w:rsidRPr="001C32EA">
        <w:rPr>
          <w:rFonts w:cs="Arial"/>
          <w:sz w:val="20"/>
          <w:szCs w:val="20"/>
          <w:rtl/>
        </w:rPr>
        <w:t xml:space="preserve"> </w:t>
      </w:r>
      <w:r w:rsidRPr="001C32EA">
        <w:rPr>
          <w:rFonts w:cs="Arial" w:hint="cs"/>
          <w:sz w:val="20"/>
          <w:szCs w:val="20"/>
          <w:rtl/>
        </w:rPr>
        <w:t>לפרוזדור</w:t>
      </w:r>
      <w:r>
        <w:rPr>
          <w:rFonts w:cs="Arial" w:hint="cs"/>
          <w:sz w:val="20"/>
          <w:szCs w:val="20"/>
          <w:rtl/>
        </w:rPr>
        <w:t>".</w:t>
      </w:r>
    </w:p>
    <w:p w:rsidR="00620060" w:rsidRDefault="00620060" w:rsidP="00620060">
      <w:pPr>
        <w:rPr>
          <w:sz w:val="20"/>
          <w:szCs w:val="20"/>
          <w:rtl/>
        </w:rPr>
      </w:pPr>
      <w:r>
        <w:rPr>
          <w:rFonts w:hint="cs"/>
          <w:sz w:val="20"/>
          <w:szCs w:val="20"/>
          <w:u w:val="single"/>
          <w:rtl/>
        </w:rPr>
        <w:t>דין טומאה דרבנן בנחתך</w:t>
      </w:r>
      <w:r>
        <w:rPr>
          <w:sz w:val="20"/>
          <w:szCs w:val="20"/>
          <w:u w:val="single"/>
          <w:rtl/>
        </w:rPr>
        <w:br/>
      </w:r>
      <w:r w:rsidRPr="00CA5381">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אע"פ שבמחותך אינה טמאה לידה עד שיצא רובו, מכל מקום מדרבנן טמאה אפילו ביציאת אבר אחד, כמבואר בסעיף הבא.</w:t>
      </w:r>
      <w:r>
        <w:rPr>
          <w:sz w:val="20"/>
          <w:szCs w:val="20"/>
          <w:rtl/>
        </w:rPr>
        <w:br/>
      </w:r>
      <w:r>
        <w:rPr>
          <w:rFonts w:hint="cs"/>
          <w:sz w:val="20"/>
          <w:szCs w:val="20"/>
          <w:rtl/>
        </w:rPr>
        <w:t>ואמנם, אפילו מדאורייתא טמאה נידה, שהרי אי אפשר לפתיה"ק בלא דם.</w:t>
      </w:r>
    </w:p>
    <w:p w:rsidR="00620060" w:rsidRPr="00C31A95"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C31A95">
        <w:rPr>
          <w:rFonts w:hint="cs"/>
          <w:b/>
          <w:bCs/>
          <w:sz w:val="20"/>
          <w:szCs w:val="20"/>
          <w:rtl/>
        </w:rPr>
        <w:t>משנה</w:t>
      </w:r>
      <w:r>
        <w:rPr>
          <w:rFonts w:hint="cs"/>
          <w:sz w:val="20"/>
          <w:szCs w:val="20"/>
          <w:rtl/>
        </w:rPr>
        <w:t xml:space="preserve">. יצא מחותך אפילו מסורס, טמאה ביציאת רובו, וכ"פ </w:t>
      </w:r>
      <w:r w:rsidRPr="00C31A95">
        <w:rPr>
          <w:rFonts w:hint="cs"/>
          <w:b/>
          <w:bCs/>
          <w:sz w:val="20"/>
          <w:szCs w:val="20"/>
          <w:rtl/>
        </w:rPr>
        <w:t>המחבר</w:t>
      </w:r>
      <w:r>
        <w:rPr>
          <w:rFonts w:hint="cs"/>
          <w:sz w:val="20"/>
          <w:szCs w:val="20"/>
          <w:rtl/>
        </w:rPr>
        <w:t>.</w:t>
      </w:r>
      <w:r>
        <w:rPr>
          <w:sz w:val="20"/>
          <w:szCs w:val="20"/>
          <w:rtl/>
        </w:rPr>
        <w:br/>
      </w:r>
      <w:r>
        <w:rPr>
          <w:rFonts w:hint="cs"/>
          <w:sz w:val="20"/>
          <w:szCs w:val="20"/>
          <w:rtl/>
        </w:rPr>
        <w:t xml:space="preserve">2. </w:t>
      </w:r>
      <w:r w:rsidRPr="00C31A95">
        <w:rPr>
          <w:rFonts w:hint="cs"/>
          <w:sz w:val="20"/>
          <w:szCs w:val="20"/>
          <w:u w:val="single"/>
          <w:rtl/>
        </w:rPr>
        <w:t>רבי אלעזר</w:t>
      </w:r>
      <w:r>
        <w:rPr>
          <w:rFonts w:hint="cs"/>
          <w:sz w:val="20"/>
          <w:szCs w:val="20"/>
          <w:rtl/>
        </w:rPr>
        <w:t xml:space="preserve">. דווקא רובו, ולא מהני אם יצא ראשו. </w:t>
      </w:r>
      <w:r w:rsidRPr="00C31A95">
        <w:rPr>
          <w:rFonts w:hint="cs"/>
          <w:sz w:val="20"/>
          <w:szCs w:val="20"/>
          <w:u w:val="single"/>
          <w:rtl/>
        </w:rPr>
        <w:t>רבי יוחנן</w:t>
      </w:r>
      <w:r>
        <w:rPr>
          <w:rFonts w:hint="cs"/>
          <w:sz w:val="20"/>
          <w:szCs w:val="20"/>
          <w:rtl/>
        </w:rPr>
        <w:t>. הוא הדין אם יצא ראשו, וכ"פ הראשונים.</w:t>
      </w:r>
      <w:r>
        <w:rPr>
          <w:sz w:val="20"/>
          <w:szCs w:val="20"/>
          <w:rtl/>
        </w:rPr>
        <w:br/>
      </w:r>
      <w:r>
        <w:rPr>
          <w:rFonts w:hint="cs"/>
          <w:sz w:val="20"/>
          <w:szCs w:val="20"/>
          <w:rtl/>
        </w:rPr>
        <w:t xml:space="preserve">3. </w:t>
      </w:r>
      <w:r w:rsidRPr="00C31A95">
        <w:rPr>
          <w:rFonts w:hint="cs"/>
          <w:b/>
          <w:bCs/>
          <w:sz w:val="20"/>
          <w:szCs w:val="20"/>
          <w:rtl/>
        </w:rPr>
        <w:t>רשב"א</w:t>
      </w:r>
      <w:r>
        <w:rPr>
          <w:rFonts w:hint="cs"/>
          <w:sz w:val="20"/>
          <w:szCs w:val="20"/>
          <w:rtl/>
        </w:rPr>
        <w:t xml:space="preserve">. אפילו יצא רוב ראשו של המחותך טמאה. </w:t>
      </w:r>
      <w:r w:rsidRPr="00C31A95">
        <w:rPr>
          <w:rFonts w:hint="cs"/>
          <w:b/>
          <w:bCs/>
          <w:sz w:val="20"/>
          <w:szCs w:val="20"/>
          <w:rtl/>
        </w:rPr>
        <w:t>רמב"ם</w:t>
      </w:r>
      <w:r>
        <w:rPr>
          <w:rFonts w:hint="cs"/>
          <w:sz w:val="20"/>
          <w:szCs w:val="20"/>
          <w:rtl/>
        </w:rPr>
        <w:t xml:space="preserve">. רק אם יצא כל ראשו, וכ"פ </w:t>
      </w:r>
      <w:r w:rsidRPr="00C31A95">
        <w:rPr>
          <w:rFonts w:hint="cs"/>
          <w:b/>
          <w:bCs/>
          <w:sz w:val="20"/>
          <w:szCs w:val="20"/>
          <w:rtl/>
        </w:rPr>
        <w:t>המחבר</w:t>
      </w:r>
      <w:r>
        <w:rPr>
          <w:rFonts w:hint="cs"/>
          <w:sz w:val="20"/>
          <w:szCs w:val="20"/>
          <w:rtl/>
        </w:rPr>
        <w:t>.</w:t>
      </w:r>
      <w:r>
        <w:rPr>
          <w:sz w:val="20"/>
          <w:szCs w:val="20"/>
          <w:rtl/>
        </w:rPr>
        <w:br/>
      </w:r>
      <w:r>
        <w:rPr>
          <w:rFonts w:hint="cs"/>
          <w:sz w:val="20"/>
          <w:szCs w:val="20"/>
          <w:rtl/>
        </w:rPr>
        <w:t xml:space="preserve">4. </w:t>
      </w:r>
      <w:r w:rsidRPr="00C31A95">
        <w:rPr>
          <w:rFonts w:hint="cs"/>
          <w:b/>
          <w:bCs/>
          <w:sz w:val="20"/>
          <w:szCs w:val="20"/>
          <w:rtl/>
        </w:rPr>
        <w:t>גמרא</w:t>
      </w:r>
      <w:r>
        <w:rPr>
          <w:rFonts w:hint="cs"/>
          <w:sz w:val="20"/>
          <w:szCs w:val="20"/>
          <w:rtl/>
        </w:rPr>
        <w:t xml:space="preserve">. אפילו אם הוציא את ראשו מחוץ לפרוזדור בלבד </w:t>
      </w:r>
      <w:r>
        <w:rPr>
          <w:sz w:val="20"/>
          <w:szCs w:val="20"/>
          <w:rtl/>
        </w:rPr>
        <w:t>–</w:t>
      </w:r>
      <w:r>
        <w:rPr>
          <w:rFonts w:hint="cs"/>
          <w:sz w:val="20"/>
          <w:szCs w:val="20"/>
          <w:rtl/>
        </w:rPr>
        <w:t xml:space="preserve"> טמאה לידה.</w:t>
      </w:r>
    </w:p>
    <w:p w:rsidR="00620060" w:rsidRDefault="00620060" w:rsidP="00620060">
      <w:pPr>
        <w:rPr>
          <w:sz w:val="20"/>
          <w:szCs w:val="20"/>
          <w:rtl/>
        </w:rPr>
      </w:pPr>
      <w:r>
        <w:rPr>
          <w:rFonts w:cs="Arial"/>
          <w:b/>
          <w:bCs/>
          <w:sz w:val="20"/>
          <w:szCs w:val="20"/>
          <w:rtl/>
        </w:rPr>
        <w:br/>
      </w:r>
      <w:r>
        <w:rPr>
          <w:rFonts w:cs="Arial" w:hint="cs"/>
          <w:b/>
          <w:bCs/>
          <w:sz w:val="20"/>
          <w:szCs w:val="20"/>
          <w:rtl/>
        </w:rPr>
        <w:t xml:space="preserve">סעיף יא - הוציא יד או אבר אחר </w:t>
      </w:r>
      <w:r>
        <w:rPr>
          <w:rFonts w:cs="Arial"/>
          <w:b/>
          <w:bCs/>
          <w:sz w:val="20"/>
          <w:szCs w:val="20"/>
          <w:rtl/>
        </w:rPr>
        <w:br/>
      </w:r>
      <w:r w:rsidRPr="00AD770E">
        <w:rPr>
          <w:rFonts w:cs="Arial" w:hint="cs"/>
          <w:b/>
          <w:bCs/>
          <w:sz w:val="20"/>
          <w:szCs w:val="20"/>
          <w:rtl/>
        </w:rPr>
        <w:t>גמרא</w:t>
      </w:r>
      <w:r>
        <w:rPr>
          <w:rFonts w:cs="Arial" w:hint="cs"/>
          <w:sz w:val="20"/>
          <w:szCs w:val="20"/>
          <w:rtl/>
        </w:rPr>
        <w:t xml:space="preserve"> (שם, כח.) "</w:t>
      </w:r>
      <w:r w:rsidRPr="00AD770E">
        <w:rPr>
          <w:rFonts w:cs="Arial" w:hint="cs"/>
          <w:sz w:val="20"/>
          <w:szCs w:val="20"/>
          <w:rtl/>
        </w:rPr>
        <w:t>אמר</w:t>
      </w:r>
      <w:r w:rsidRPr="00AD770E">
        <w:rPr>
          <w:rFonts w:cs="Arial"/>
          <w:sz w:val="20"/>
          <w:szCs w:val="20"/>
          <w:rtl/>
        </w:rPr>
        <w:t xml:space="preserve"> </w:t>
      </w:r>
      <w:r w:rsidRPr="00AD770E">
        <w:rPr>
          <w:rFonts w:cs="Arial" w:hint="cs"/>
          <w:sz w:val="20"/>
          <w:szCs w:val="20"/>
          <w:rtl/>
        </w:rPr>
        <w:t>רב</w:t>
      </w:r>
      <w:r w:rsidRPr="00AD770E">
        <w:rPr>
          <w:rFonts w:cs="Arial"/>
          <w:sz w:val="20"/>
          <w:szCs w:val="20"/>
          <w:rtl/>
        </w:rPr>
        <w:t xml:space="preserve"> </w:t>
      </w:r>
      <w:r w:rsidRPr="00AD770E">
        <w:rPr>
          <w:rFonts w:cs="Arial" w:hint="cs"/>
          <w:sz w:val="20"/>
          <w:szCs w:val="20"/>
          <w:rtl/>
        </w:rPr>
        <w:t>הונא</w:t>
      </w:r>
      <w:r w:rsidRPr="00AD770E">
        <w:rPr>
          <w:rFonts w:cs="Arial"/>
          <w:sz w:val="20"/>
          <w:szCs w:val="20"/>
          <w:rtl/>
        </w:rPr>
        <w:t xml:space="preserve">: </w:t>
      </w:r>
      <w:r w:rsidRPr="00AD770E">
        <w:rPr>
          <w:rFonts w:cs="Arial" w:hint="cs"/>
          <w:sz w:val="20"/>
          <w:szCs w:val="20"/>
          <w:rtl/>
        </w:rPr>
        <w:t>הוציא</w:t>
      </w:r>
      <w:r w:rsidRPr="00AD770E">
        <w:rPr>
          <w:rFonts w:cs="Arial"/>
          <w:sz w:val="20"/>
          <w:szCs w:val="20"/>
          <w:rtl/>
        </w:rPr>
        <w:t xml:space="preserve"> </w:t>
      </w:r>
      <w:r w:rsidRPr="00AD770E">
        <w:rPr>
          <w:rFonts w:cs="Arial" w:hint="cs"/>
          <w:sz w:val="20"/>
          <w:szCs w:val="20"/>
          <w:rtl/>
        </w:rPr>
        <w:t>עובר</w:t>
      </w:r>
      <w:r w:rsidRPr="00AD770E">
        <w:rPr>
          <w:rFonts w:cs="Arial"/>
          <w:sz w:val="20"/>
          <w:szCs w:val="20"/>
          <w:rtl/>
        </w:rPr>
        <w:t xml:space="preserve"> </w:t>
      </w:r>
      <w:r w:rsidRPr="00AD770E">
        <w:rPr>
          <w:rFonts w:cs="Arial" w:hint="cs"/>
          <w:sz w:val="20"/>
          <w:szCs w:val="20"/>
          <w:rtl/>
        </w:rPr>
        <w:t>את</w:t>
      </w:r>
      <w:r w:rsidRPr="00AD770E">
        <w:rPr>
          <w:rFonts w:cs="Arial"/>
          <w:sz w:val="20"/>
          <w:szCs w:val="20"/>
          <w:rtl/>
        </w:rPr>
        <w:t xml:space="preserve"> </w:t>
      </w:r>
      <w:r w:rsidRPr="00AD770E">
        <w:rPr>
          <w:rFonts w:cs="Arial" w:hint="cs"/>
          <w:sz w:val="20"/>
          <w:szCs w:val="20"/>
          <w:rtl/>
        </w:rPr>
        <w:t>ידו</w:t>
      </w:r>
      <w:r w:rsidRPr="00AD770E">
        <w:rPr>
          <w:rFonts w:cs="Arial"/>
          <w:sz w:val="20"/>
          <w:szCs w:val="20"/>
          <w:rtl/>
        </w:rPr>
        <w:t xml:space="preserve"> </w:t>
      </w:r>
      <w:r w:rsidRPr="00AD770E">
        <w:rPr>
          <w:rFonts w:cs="Arial" w:hint="cs"/>
          <w:sz w:val="20"/>
          <w:szCs w:val="20"/>
          <w:rtl/>
        </w:rPr>
        <w:t>והחזירה</w:t>
      </w:r>
      <w:r w:rsidRPr="00AD770E">
        <w:rPr>
          <w:rFonts w:cs="Arial"/>
          <w:sz w:val="20"/>
          <w:szCs w:val="20"/>
          <w:rtl/>
        </w:rPr>
        <w:t xml:space="preserve"> - </w:t>
      </w:r>
      <w:r w:rsidRPr="00AD770E">
        <w:rPr>
          <w:rFonts w:cs="Arial" w:hint="cs"/>
          <w:sz w:val="20"/>
          <w:szCs w:val="20"/>
          <w:rtl/>
        </w:rPr>
        <w:t>אמו</w:t>
      </w:r>
      <w:r w:rsidRPr="00AD770E">
        <w:rPr>
          <w:rFonts w:cs="Arial"/>
          <w:sz w:val="20"/>
          <w:szCs w:val="20"/>
          <w:rtl/>
        </w:rPr>
        <w:t xml:space="preserve"> </w:t>
      </w:r>
      <w:r w:rsidRPr="00AD770E">
        <w:rPr>
          <w:rFonts w:cs="Arial" w:hint="cs"/>
          <w:sz w:val="20"/>
          <w:szCs w:val="20"/>
          <w:rtl/>
        </w:rPr>
        <w:t>טמאה</w:t>
      </w:r>
      <w:r w:rsidRPr="00AD770E">
        <w:rPr>
          <w:rFonts w:cs="Arial"/>
          <w:sz w:val="20"/>
          <w:szCs w:val="20"/>
          <w:rtl/>
        </w:rPr>
        <w:t xml:space="preserve"> </w:t>
      </w:r>
      <w:r w:rsidRPr="00AD770E">
        <w:rPr>
          <w:rFonts w:cs="Arial" w:hint="cs"/>
          <w:sz w:val="20"/>
          <w:szCs w:val="20"/>
          <w:rtl/>
        </w:rPr>
        <w:t>לידה</w:t>
      </w:r>
      <w:r w:rsidRPr="00AD770E">
        <w:rPr>
          <w:rFonts w:cs="Arial"/>
          <w:sz w:val="20"/>
          <w:szCs w:val="20"/>
          <w:rtl/>
        </w:rPr>
        <w:t xml:space="preserve">. </w:t>
      </w:r>
      <w:r w:rsidRPr="00AD770E">
        <w:rPr>
          <w:rFonts w:cs="Arial" w:hint="cs"/>
          <w:sz w:val="20"/>
          <w:szCs w:val="20"/>
          <w:rtl/>
        </w:rPr>
        <w:t>שנאמר</w:t>
      </w:r>
      <w:r w:rsidRPr="00AD770E">
        <w:rPr>
          <w:rFonts w:cs="Arial"/>
          <w:sz w:val="20"/>
          <w:szCs w:val="20"/>
          <w:rtl/>
        </w:rPr>
        <w:t xml:space="preserve">: </w:t>
      </w:r>
      <w:r w:rsidRPr="00AD770E">
        <w:rPr>
          <w:rFonts w:cs="Arial" w:hint="cs"/>
          <w:sz w:val="20"/>
          <w:szCs w:val="20"/>
          <w:rtl/>
        </w:rPr>
        <w:t>ויהי</w:t>
      </w:r>
      <w:r w:rsidRPr="00AD770E">
        <w:rPr>
          <w:rFonts w:cs="Arial"/>
          <w:sz w:val="20"/>
          <w:szCs w:val="20"/>
          <w:rtl/>
        </w:rPr>
        <w:t xml:space="preserve"> </w:t>
      </w:r>
      <w:r w:rsidRPr="00AD770E">
        <w:rPr>
          <w:rFonts w:cs="Arial" w:hint="cs"/>
          <w:sz w:val="20"/>
          <w:szCs w:val="20"/>
          <w:rtl/>
        </w:rPr>
        <w:t>בלדתה</w:t>
      </w:r>
      <w:r w:rsidRPr="00AD770E">
        <w:rPr>
          <w:rFonts w:cs="Arial"/>
          <w:sz w:val="20"/>
          <w:szCs w:val="20"/>
          <w:rtl/>
        </w:rPr>
        <w:t xml:space="preserve"> </w:t>
      </w:r>
      <w:r w:rsidRPr="00AD770E">
        <w:rPr>
          <w:rFonts w:cs="Arial" w:hint="cs"/>
          <w:sz w:val="20"/>
          <w:szCs w:val="20"/>
          <w:rtl/>
        </w:rPr>
        <w:t>ויתן</w:t>
      </w:r>
      <w:r w:rsidRPr="00AD770E">
        <w:rPr>
          <w:rFonts w:cs="Arial"/>
          <w:sz w:val="20"/>
          <w:szCs w:val="20"/>
          <w:rtl/>
        </w:rPr>
        <w:t xml:space="preserve"> </w:t>
      </w:r>
      <w:r w:rsidRPr="00AD770E">
        <w:rPr>
          <w:rFonts w:cs="Arial" w:hint="cs"/>
          <w:sz w:val="20"/>
          <w:szCs w:val="20"/>
          <w:rtl/>
        </w:rPr>
        <w:t>יד</w:t>
      </w:r>
      <w:r w:rsidRPr="00AD770E">
        <w:rPr>
          <w:rFonts w:cs="Arial"/>
          <w:sz w:val="20"/>
          <w:szCs w:val="20"/>
          <w:rtl/>
        </w:rPr>
        <w:t xml:space="preserve">. </w:t>
      </w:r>
      <w:r w:rsidRPr="00AD770E">
        <w:rPr>
          <w:rFonts w:cs="Arial" w:hint="cs"/>
          <w:sz w:val="20"/>
          <w:szCs w:val="20"/>
          <w:rtl/>
        </w:rPr>
        <w:t>מתיב</w:t>
      </w:r>
      <w:r w:rsidRPr="00AD770E">
        <w:rPr>
          <w:rFonts w:cs="Arial"/>
          <w:sz w:val="20"/>
          <w:szCs w:val="20"/>
          <w:rtl/>
        </w:rPr>
        <w:t xml:space="preserve"> </w:t>
      </w:r>
      <w:r w:rsidRPr="00AD770E">
        <w:rPr>
          <w:rFonts w:cs="Arial" w:hint="cs"/>
          <w:sz w:val="20"/>
          <w:szCs w:val="20"/>
          <w:rtl/>
        </w:rPr>
        <w:t>רב</w:t>
      </w:r>
      <w:r w:rsidRPr="00AD770E">
        <w:rPr>
          <w:rFonts w:cs="Arial"/>
          <w:sz w:val="20"/>
          <w:szCs w:val="20"/>
          <w:rtl/>
        </w:rPr>
        <w:t xml:space="preserve"> </w:t>
      </w:r>
      <w:r w:rsidRPr="00AD770E">
        <w:rPr>
          <w:rFonts w:cs="Arial" w:hint="cs"/>
          <w:sz w:val="20"/>
          <w:szCs w:val="20"/>
          <w:rtl/>
        </w:rPr>
        <w:t>יהודה</w:t>
      </w:r>
      <w:r w:rsidRPr="00AD770E">
        <w:rPr>
          <w:rFonts w:cs="Arial"/>
          <w:sz w:val="20"/>
          <w:szCs w:val="20"/>
          <w:rtl/>
        </w:rPr>
        <w:t xml:space="preserve">: </w:t>
      </w:r>
      <w:r w:rsidRPr="00AD770E">
        <w:rPr>
          <w:rFonts w:cs="Arial" w:hint="cs"/>
          <w:sz w:val="20"/>
          <w:szCs w:val="20"/>
          <w:rtl/>
        </w:rPr>
        <w:t>הוציא</w:t>
      </w:r>
      <w:r w:rsidRPr="00AD770E">
        <w:rPr>
          <w:rFonts w:cs="Arial"/>
          <w:sz w:val="20"/>
          <w:szCs w:val="20"/>
          <w:rtl/>
        </w:rPr>
        <w:t xml:space="preserve"> </w:t>
      </w:r>
      <w:r w:rsidRPr="00AD770E">
        <w:rPr>
          <w:rFonts w:cs="Arial" w:hint="cs"/>
          <w:sz w:val="20"/>
          <w:szCs w:val="20"/>
          <w:rtl/>
        </w:rPr>
        <w:t>עובר</w:t>
      </w:r>
      <w:r w:rsidRPr="00AD770E">
        <w:rPr>
          <w:rFonts w:cs="Arial"/>
          <w:sz w:val="20"/>
          <w:szCs w:val="20"/>
          <w:rtl/>
        </w:rPr>
        <w:t xml:space="preserve"> </w:t>
      </w:r>
      <w:r w:rsidRPr="00AD770E">
        <w:rPr>
          <w:rFonts w:cs="Arial" w:hint="cs"/>
          <w:sz w:val="20"/>
          <w:szCs w:val="20"/>
          <w:rtl/>
        </w:rPr>
        <w:t>את</w:t>
      </w:r>
      <w:r w:rsidRPr="00AD770E">
        <w:rPr>
          <w:rFonts w:cs="Arial"/>
          <w:sz w:val="20"/>
          <w:szCs w:val="20"/>
          <w:rtl/>
        </w:rPr>
        <w:t xml:space="preserve"> </w:t>
      </w:r>
      <w:r w:rsidRPr="00AD770E">
        <w:rPr>
          <w:rFonts w:cs="Arial" w:hint="cs"/>
          <w:sz w:val="20"/>
          <w:szCs w:val="20"/>
          <w:rtl/>
        </w:rPr>
        <w:t>ידו</w:t>
      </w:r>
      <w:r w:rsidRPr="00AD770E">
        <w:rPr>
          <w:rFonts w:cs="Arial"/>
          <w:sz w:val="20"/>
          <w:szCs w:val="20"/>
          <w:rtl/>
        </w:rPr>
        <w:t xml:space="preserve"> - </w:t>
      </w:r>
      <w:r w:rsidRPr="00AD770E">
        <w:rPr>
          <w:rFonts w:cs="Arial" w:hint="cs"/>
          <w:sz w:val="20"/>
          <w:szCs w:val="20"/>
          <w:rtl/>
        </w:rPr>
        <w:t>אין</w:t>
      </w:r>
      <w:r w:rsidRPr="00AD770E">
        <w:rPr>
          <w:rFonts w:cs="Arial"/>
          <w:sz w:val="20"/>
          <w:szCs w:val="20"/>
          <w:rtl/>
        </w:rPr>
        <w:t xml:space="preserve"> </w:t>
      </w:r>
      <w:r w:rsidRPr="00AD770E">
        <w:rPr>
          <w:rFonts w:cs="Arial" w:hint="cs"/>
          <w:sz w:val="20"/>
          <w:szCs w:val="20"/>
          <w:rtl/>
        </w:rPr>
        <w:t>אמו</w:t>
      </w:r>
      <w:r w:rsidRPr="00AD770E">
        <w:rPr>
          <w:rFonts w:cs="Arial"/>
          <w:sz w:val="20"/>
          <w:szCs w:val="20"/>
          <w:rtl/>
        </w:rPr>
        <w:t xml:space="preserve"> </w:t>
      </w:r>
      <w:r w:rsidRPr="00AD770E">
        <w:rPr>
          <w:rFonts w:cs="Arial" w:hint="cs"/>
          <w:sz w:val="20"/>
          <w:szCs w:val="20"/>
          <w:rtl/>
        </w:rPr>
        <w:t>חוששת</w:t>
      </w:r>
      <w:r w:rsidRPr="00AD770E">
        <w:rPr>
          <w:rFonts w:cs="Arial"/>
          <w:sz w:val="20"/>
          <w:szCs w:val="20"/>
          <w:rtl/>
        </w:rPr>
        <w:t xml:space="preserve"> </w:t>
      </w:r>
      <w:r w:rsidRPr="00AD770E">
        <w:rPr>
          <w:rFonts w:cs="Arial" w:hint="cs"/>
          <w:sz w:val="20"/>
          <w:szCs w:val="20"/>
          <w:rtl/>
        </w:rPr>
        <w:t>לכל</w:t>
      </w:r>
      <w:r w:rsidRPr="00AD770E">
        <w:rPr>
          <w:rFonts w:cs="Arial"/>
          <w:sz w:val="20"/>
          <w:szCs w:val="20"/>
          <w:rtl/>
        </w:rPr>
        <w:t xml:space="preserve"> </w:t>
      </w:r>
      <w:r w:rsidRPr="00AD770E">
        <w:rPr>
          <w:rFonts w:cs="Arial" w:hint="cs"/>
          <w:sz w:val="20"/>
          <w:szCs w:val="20"/>
          <w:rtl/>
        </w:rPr>
        <w:t>דבר</w:t>
      </w:r>
      <w:r w:rsidRPr="00AD770E">
        <w:rPr>
          <w:rFonts w:cs="Arial"/>
          <w:sz w:val="20"/>
          <w:szCs w:val="20"/>
          <w:rtl/>
        </w:rPr>
        <w:t xml:space="preserve">! </w:t>
      </w:r>
      <w:r w:rsidRPr="00AD770E">
        <w:rPr>
          <w:rFonts w:cs="Arial" w:hint="cs"/>
          <w:sz w:val="20"/>
          <w:szCs w:val="20"/>
          <w:rtl/>
        </w:rPr>
        <w:t>אמר</w:t>
      </w:r>
      <w:r w:rsidRPr="00AD770E">
        <w:rPr>
          <w:rFonts w:cs="Arial"/>
          <w:sz w:val="20"/>
          <w:szCs w:val="20"/>
          <w:rtl/>
        </w:rPr>
        <w:t xml:space="preserve"> </w:t>
      </w:r>
      <w:r w:rsidRPr="00AD770E">
        <w:rPr>
          <w:rFonts w:cs="Arial" w:hint="cs"/>
          <w:sz w:val="20"/>
          <w:szCs w:val="20"/>
          <w:rtl/>
        </w:rPr>
        <w:t>רב</w:t>
      </w:r>
      <w:r w:rsidRPr="00AD770E">
        <w:rPr>
          <w:rFonts w:cs="Arial"/>
          <w:sz w:val="20"/>
          <w:szCs w:val="20"/>
          <w:rtl/>
        </w:rPr>
        <w:t xml:space="preserve"> </w:t>
      </w:r>
      <w:r w:rsidRPr="00AD770E">
        <w:rPr>
          <w:rFonts w:cs="Arial" w:hint="cs"/>
          <w:sz w:val="20"/>
          <w:szCs w:val="20"/>
          <w:rtl/>
        </w:rPr>
        <w:t>נחמן</w:t>
      </w:r>
      <w:r w:rsidRPr="00AD770E">
        <w:rPr>
          <w:rFonts w:cs="Arial"/>
          <w:sz w:val="20"/>
          <w:szCs w:val="20"/>
          <w:rtl/>
        </w:rPr>
        <w:t xml:space="preserve">: </w:t>
      </w:r>
      <w:r w:rsidRPr="00AD770E">
        <w:rPr>
          <w:rFonts w:cs="Arial" w:hint="cs"/>
          <w:sz w:val="20"/>
          <w:szCs w:val="20"/>
          <w:rtl/>
        </w:rPr>
        <w:t>לדידי</w:t>
      </w:r>
      <w:r w:rsidRPr="00AD770E">
        <w:rPr>
          <w:rFonts w:cs="Arial"/>
          <w:sz w:val="20"/>
          <w:szCs w:val="20"/>
          <w:rtl/>
        </w:rPr>
        <w:t xml:space="preserve"> </w:t>
      </w:r>
      <w:r w:rsidRPr="00AD770E">
        <w:rPr>
          <w:rFonts w:cs="Arial" w:hint="cs"/>
          <w:sz w:val="20"/>
          <w:szCs w:val="20"/>
          <w:rtl/>
        </w:rPr>
        <w:t>מיפרשא</w:t>
      </w:r>
      <w:r w:rsidRPr="00AD770E">
        <w:rPr>
          <w:rFonts w:cs="Arial"/>
          <w:sz w:val="20"/>
          <w:szCs w:val="20"/>
          <w:rtl/>
        </w:rPr>
        <w:t xml:space="preserve"> </w:t>
      </w:r>
      <w:r w:rsidRPr="00AD770E">
        <w:rPr>
          <w:rFonts w:cs="Arial" w:hint="cs"/>
          <w:sz w:val="20"/>
          <w:szCs w:val="20"/>
          <w:rtl/>
        </w:rPr>
        <w:t>לי</w:t>
      </w:r>
      <w:r w:rsidRPr="00AD770E">
        <w:rPr>
          <w:rFonts w:cs="Arial"/>
          <w:sz w:val="20"/>
          <w:szCs w:val="20"/>
          <w:rtl/>
        </w:rPr>
        <w:t xml:space="preserve"> </w:t>
      </w:r>
      <w:r w:rsidRPr="00AD770E">
        <w:rPr>
          <w:rFonts w:cs="Arial" w:hint="cs"/>
          <w:sz w:val="20"/>
          <w:szCs w:val="20"/>
          <w:rtl/>
        </w:rPr>
        <w:t>מיניה</w:t>
      </w:r>
      <w:r w:rsidRPr="00AD770E">
        <w:rPr>
          <w:rFonts w:cs="Arial"/>
          <w:sz w:val="20"/>
          <w:szCs w:val="20"/>
          <w:rtl/>
        </w:rPr>
        <w:t xml:space="preserve"> </w:t>
      </w:r>
      <w:r w:rsidRPr="00AD770E">
        <w:rPr>
          <w:rFonts w:cs="Arial" w:hint="cs"/>
          <w:sz w:val="20"/>
          <w:szCs w:val="20"/>
          <w:rtl/>
        </w:rPr>
        <w:t>דרב</w:t>
      </w:r>
      <w:r w:rsidRPr="00AD770E">
        <w:rPr>
          <w:rFonts w:cs="Arial"/>
          <w:sz w:val="20"/>
          <w:szCs w:val="20"/>
          <w:rtl/>
        </w:rPr>
        <w:t xml:space="preserve"> </w:t>
      </w:r>
      <w:r w:rsidRPr="00AD770E">
        <w:rPr>
          <w:rFonts w:cs="Arial" w:hint="cs"/>
          <w:sz w:val="20"/>
          <w:szCs w:val="20"/>
          <w:rtl/>
        </w:rPr>
        <w:t>הונא</w:t>
      </w:r>
      <w:r w:rsidRPr="00AD770E">
        <w:rPr>
          <w:rFonts w:cs="Arial"/>
          <w:sz w:val="20"/>
          <w:szCs w:val="20"/>
          <w:rtl/>
        </w:rPr>
        <w:t xml:space="preserve">, </w:t>
      </w:r>
      <w:r w:rsidRPr="00AD770E">
        <w:rPr>
          <w:rFonts w:cs="Arial" w:hint="cs"/>
          <w:sz w:val="20"/>
          <w:szCs w:val="20"/>
          <w:rtl/>
        </w:rPr>
        <w:t>לחוש</w:t>
      </w:r>
      <w:r w:rsidRPr="00AD770E">
        <w:rPr>
          <w:rFonts w:cs="Arial"/>
          <w:sz w:val="20"/>
          <w:szCs w:val="20"/>
          <w:rtl/>
        </w:rPr>
        <w:t xml:space="preserve"> - </w:t>
      </w:r>
      <w:r w:rsidRPr="00AD770E">
        <w:rPr>
          <w:rFonts w:cs="Arial" w:hint="cs"/>
          <w:sz w:val="20"/>
          <w:szCs w:val="20"/>
          <w:rtl/>
        </w:rPr>
        <w:t>חוששת</w:t>
      </w:r>
      <w:r w:rsidRPr="00AD770E">
        <w:rPr>
          <w:rFonts w:cs="Arial"/>
          <w:sz w:val="20"/>
          <w:szCs w:val="20"/>
          <w:rtl/>
        </w:rPr>
        <w:t xml:space="preserve">, </w:t>
      </w:r>
      <w:r w:rsidRPr="00AD770E">
        <w:rPr>
          <w:rFonts w:cs="Arial" w:hint="cs"/>
          <w:sz w:val="20"/>
          <w:szCs w:val="20"/>
          <w:rtl/>
        </w:rPr>
        <w:t>ימי</w:t>
      </w:r>
      <w:r w:rsidRPr="00AD770E">
        <w:rPr>
          <w:rFonts w:cs="Arial"/>
          <w:sz w:val="20"/>
          <w:szCs w:val="20"/>
          <w:rtl/>
        </w:rPr>
        <w:t xml:space="preserve"> </w:t>
      </w:r>
      <w:r w:rsidRPr="00AD770E">
        <w:rPr>
          <w:rFonts w:cs="Arial" w:hint="cs"/>
          <w:sz w:val="20"/>
          <w:szCs w:val="20"/>
          <w:rtl/>
        </w:rPr>
        <w:t>טוהר</w:t>
      </w:r>
      <w:r w:rsidRPr="00AD770E">
        <w:rPr>
          <w:rFonts w:cs="Arial"/>
          <w:sz w:val="20"/>
          <w:szCs w:val="20"/>
          <w:rtl/>
        </w:rPr>
        <w:t xml:space="preserve"> - </w:t>
      </w:r>
      <w:r w:rsidRPr="00AD770E">
        <w:rPr>
          <w:rFonts w:cs="Arial" w:hint="cs"/>
          <w:sz w:val="20"/>
          <w:szCs w:val="20"/>
          <w:rtl/>
        </w:rPr>
        <w:t>לא</w:t>
      </w:r>
      <w:r w:rsidRPr="00AD770E">
        <w:rPr>
          <w:rFonts w:cs="Arial"/>
          <w:sz w:val="20"/>
          <w:szCs w:val="20"/>
          <w:rtl/>
        </w:rPr>
        <w:t xml:space="preserve"> </w:t>
      </w:r>
      <w:r w:rsidRPr="00AD770E">
        <w:rPr>
          <w:rFonts w:cs="Arial" w:hint="cs"/>
          <w:sz w:val="20"/>
          <w:szCs w:val="20"/>
          <w:rtl/>
        </w:rPr>
        <w:t>יהבינן</w:t>
      </w:r>
      <w:r w:rsidRPr="00AD770E">
        <w:rPr>
          <w:rFonts w:cs="Arial"/>
          <w:sz w:val="20"/>
          <w:szCs w:val="20"/>
          <w:rtl/>
        </w:rPr>
        <w:t xml:space="preserve"> </w:t>
      </w:r>
      <w:r w:rsidRPr="00AD770E">
        <w:rPr>
          <w:rFonts w:cs="Arial" w:hint="cs"/>
          <w:sz w:val="20"/>
          <w:szCs w:val="20"/>
          <w:rtl/>
        </w:rPr>
        <w:t>לה</w:t>
      </w:r>
      <w:r w:rsidRPr="00AD770E">
        <w:rPr>
          <w:rFonts w:cs="Arial"/>
          <w:sz w:val="20"/>
          <w:szCs w:val="20"/>
          <w:rtl/>
        </w:rPr>
        <w:t xml:space="preserve"> </w:t>
      </w:r>
      <w:r w:rsidRPr="00AD770E">
        <w:rPr>
          <w:rFonts w:cs="Arial" w:hint="cs"/>
          <w:sz w:val="20"/>
          <w:szCs w:val="20"/>
          <w:rtl/>
        </w:rPr>
        <w:t>עד</w:t>
      </w:r>
      <w:r w:rsidRPr="00AD770E">
        <w:rPr>
          <w:rFonts w:cs="Arial"/>
          <w:sz w:val="20"/>
          <w:szCs w:val="20"/>
          <w:rtl/>
        </w:rPr>
        <w:t xml:space="preserve"> </w:t>
      </w:r>
      <w:r w:rsidRPr="00AD770E">
        <w:rPr>
          <w:rFonts w:cs="Arial" w:hint="cs"/>
          <w:sz w:val="20"/>
          <w:szCs w:val="20"/>
          <w:rtl/>
        </w:rPr>
        <w:t>דנפיק</w:t>
      </w:r>
      <w:r w:rsidRPr="00AD770E">
        <w:rPr>
          <w:rFonts w:cs="Arial"/>
          <w:sz w:val="20"/>
          <w:szCs w:val="20"/>
          <w:rtl/>
        </w:rPr>
        <w:t xml:space="preserve"> </w:t>
      </w:r>
      <w:r w:rsidRPr="00AD770E">
        <w:rPr>
          <w:rFonts w:cs="Arial" w:hint="cs"/>
          <w:sz w:val="20"/>
          <w:szCs w:val="20"/>
          <w:rtl/>
        </w:rPr>
        <w:t>רוביה</w:t>
      </w:r>
      <w:r>
        <w:rPr>
          <w:rFonts w:cs="Arial" w:hint="cs"/>
          <w:sz w:val="20"/>
          <w:szCs w:val="20"/>
          <w:rtl/>
        </w:rPr>
        <w:t>".</w:t>
      </w:r>
    </w:p>
    <w:p w:rsidR="00620060" w:rsidRDefault="00620060" w:rsidP="00620060">
      <w:pPr>
        <w:rPr>
          <w:sz w:val="20"/>
          <w:szCs w:val="20"/>
          <w:rtl/>
        </w:rPr>
      </w:pPr>
      <w:r>
        <w:rPr>
          <w:rFonts w:hint="cs"/>
          <w:sz w:val="20"/>
          <w:szCs w:val="20"/>
          <w:u w:val="single"/>
          <w:rtl/>
        </w:rPr>
        <w:t>נפקא מינה בדין זה</w:t>
      </w:r>
      <w:r>
        <w:rPr>
          <w:sz w:val="20"/>
          <w:szCs w:val="20"/>
          <w:u w:val="single"/>
          <w:rtl/>
        </w:rPr>
        <w:br/>
      </w:r>
      <w:r w:rsidRPr="00056596">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לכאורה אין בדין זה נפק"מ, שהרי קיי"ל שאין פתיה"ק ללא דם וטמאה שבעה, אם כן מה המשמעות </w:t>
      </w:r>
      <w:r>
        <w:rPr>
          <w:rFonts w:hint="cs"/>
          <w:sz w:val="20"/>
          <w:szCs w:val="20"/>
          <w:rtl/>
        </w:rPr>
        <w:lastRenderedPageBreak/>
        <w:t>שהיא טמאה לידה מחמת הוצאת היד?</w:t>
      </w:r>
      <w:r>
        <w:rPr>
          <w:rFonts w:hint="cs"/>
          <w:sz w:val="20"/>
          <w:szCs w:val="20"/>
          <w:rtl/>
        </w:rPr>
        <w:br/>
        <w:t xml:space="preserve">מיישב </w:t>
      </w:r>
      <w:r>
        <w:rPr>
          <w:sz w:val="20"/>
          <w:szCs w:val="20"/>
          <w:rtl/>
        </w:rPr>
        <w:t>–</w:t>
      </w:r>
      <w:r>
        <w:rPr>
          <w:rFonts w:hint="cs"/>
          <w:sz w:val="20"/>
          <w:szCs w:val="20"/>
          <w:rtl/>
        </w:rPr>
        <w:t xml:space="preserve"> נפק"מ כשהוציא את ידו והחזירה ורק לאחר שבועיים נולד, מחמת הוצאת היד טמאה שבועיים מדרבנן כדין יולדת נקבה, ואילו מחמת נידה טמאה רק שבוע.</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B15083">
        <w:rPr>
          <w:rFonts w:cs="Arial" w:hint="cs"/>
          <w:sz w:val="20"/>
          <w:szCs w:val="20"/>
          <w:rtl/>
        </w:rPr>
        <w:t>הוציא</w:t>
      </w:r>
      <w:r w:rsidRPr="00B15083">
        <w:rPr>
          <w:rFonts w:cs="Arial"/>
          <w:sz w:val="20"/>
          <w:szCs w:val="20"/>
          <w:rtl/>
        </w:rPr>
        <w:t xml:space="preserve"> </w:t>
      </w:r>
      <w:r w:rsidRPr="00B15083">
        <w:rPr>
          <w:rFonts w:cs="Arial" w:hint="cs"/>
          <w:sz w:val="20"/>
          <w:szCs w:val="20"/>
          <w:rtl/>
        </w:rPr>
        <w:t>העובר</w:t>
      </w:r>
      <w:r w:rsidRPr="00B15083">
        <w:rPr>
          <w:rFonts w:cs="Arial"/>
          <w:sz w:val="20"/>
          <w:szCs w:val="20"/>
          <w:rtl/>
        </w:rPr>
        <w:t xml:space="preserve"> </w:t>
      </w:r>
      <w:r w:rsidRPr="00B15083">
        <w:rPr>
          <w:rFonts w:cs="Arial" w:hint="cs"/>
          <w:sz w:val="20"/>
          <w:szCs w:val="20"/>
          <w:rtl/>
        </w:rPr>
        <w:t>את</w:t>
      </w:r>
      <w:r w:rsidRPr="00B15083">
        <w:rPr>
          <w:rFonts w:cs="Arial"/>
          <w:sz w:val="20"/>
          <w:szCs w:val="20"/>
          <w:rtl/>
        </w:rPr>
        <w:t xml:space="preserve"> </w:t>
      </w:r>
      <w:r w:rsidRPr="00B15083">
        <w:rPr>
          <w:rFonts w:cs="Arial" w:hint="cs"/>
          <w:sz w:val="20"/>
          <w:szCs w:val="20"/>
          <w:rtl/>
        </w:rPr>
        <w:t>ידו</w:t>
      </w:r>
      <w:r w:rsidRPr="00B15083">
        <w:rPr>
          <w:rFonts w:cs="Arial"/>
          <w:sz w:val="20"/>
          <w:szCs w:val="20"/>
          <w:rtl/>
        </w:rPr>
        <w:t xml:space="preserve"> </w:t>
      </w:r>
      <w:r w:rsidRPr="00B15083">
        <w:rPr>
          <w:rFonts w:cs="Arial" w:hint="cs"/>
          <w:sz w:val="20"/>
          <w:szCs w:val="20"/>
          <w:rtl/>
        </w:rPr>
        <w:t>והחזירה</w:t>
      </w:r>
      <w:r w:rsidRPr="00B15083">
        <w:rPr>
          <w:rFonts w:cs="Arial"/>
          <w:sz w:val="20"/>
          <w:szCs w:val="20"/>
          <w:rtl/>
        </w:rPr>
        <w:t xml:space="preserve">, </w:t>
      </w:r>
      <w:r w:rsidRPr="00B15083">
        <w:rPr>
          <w:rFonts w:cs="Arial" w:hint="cs"/>
          <w:sz w:val="20"/>
          <w:szCs w:val="20"/>
          <w:rtl/>
        </w:rPr>
        <w:t>אמו</w:t>
      </w:r>
      <w:r w:rsidRPr="00B15083">
        <w:rPr>
          <w:rFonts w:cs="Arial"/>
          <w:sz w:val="20"/>
          <w:szCs w:val="20"/>
          <w:rtl/>
        </w:rPr>
        <w:t xml:space="preserve"> </w:t>
      </w:r>
      <w:r w:rsidRPr="00B15083">
        <w:rPr>
          <w:rFonts w:cs="Arial" w:hint="cs"/>
          <w:sz w:val="20"/>
          <w:szCs w:val="20"/>
          <w:rtl/>
        </w:rPr>
        <w:t>טמאה</w:t>
      </w:r>
      <w:r w:rsidRPr="00B15083">
        <w:rPr>
          <w:rFonts w:cs="Arial"/>
          <w:sz w:val="20"/>
          <w:szCs w:val="20"/>
          <w:rtl/>
        </w:rPr>
        <w:t xml:space="preserve"> </w:t>
      </w:r>
      <w:r w:rsidRPr="00B15083">
        <w:rPr>
          <w:rFonts w:cs="Arial" w:hint="cs"/>
          <w:sz w:val="20"/>
          <w:szCs w:val="20"/>
          <w:rtl/>
        </w:rPr>
        <w:t>לידה</w:t>
      </w:r>
      <w:r>
        <w:rPr>
          <w:rFonts w:cs="Arial" w:hint="cs"/>
          <w:sz w:val="20"/>
          <w:szCs w:val="20"/>
          <w:rtl/>
        </w:rPr>
        <w:t>".</w:t>
      </w:r>
    </w:p>
    <w:p w:rsidR="00620060" w:rsidRDefault="00620060" w:rsidP="00620060">
      <w:pPr>
        <w:rPr>
          <w:sz w:val="20"/>
          <w:szCs w:val="20"/>
          <w:rtl/>
        </w:rPr>
      </w:pPr>
      <w:r>
        <w:rPr>
          <w:rFonts w:hint="cs"/>
          <w:sz w:val="20"/>
          <w:szCs w:val="20"/>
          <w:u w:val="single"/>
          <w:rtl/>
        </w:rPr>
        <w:t>הוציא שאר אברים (בית  יוסף)</w:t>
      </w:r>
      <w:r>
        <w:rPr>
          <w:sz w:val="20"/>
          <w:szCs w:val="20"/>
          <w:u w:val="single"/>
          <w:rtl/>
        </w:rPr>
        <w:br/>
      </w:r>
      <w:r>
        <w:rPr>
          <w:rFonts w:hint="cs"/>
          <w:sz w:val="20"/>
          <w:szCs w:val="20"/>
          <w:rtl/>
        </w:rPr>
        <w:t xml:space="preserve">א. </w:t>
      </w:r>
      <w:r w:rsidRPr="00056596">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דין טומאת לידה מחמת אבר אחד נאמר דווקא ביד, אך אם הוציא שאר אברים אינה טמאה לידה.</w:t>
      </w:r>
      <w:r>
        <w:rPr>
          <w:sz w:val="20"/>
          <w:szCs w:val="20"/>
          <w:rtl/>
        </w:rPr>
        <w:br/>
      </w:r>
      <w:r w:rsidRPr="00056596">
        <w:rPr>
          <w:rFonts w:hint="cs"/>
          <w:b/>
          <w:bCs/>
          <w:sz w:val="20"/>
          <w:szCs w:val="20"/>
          <w:rtl/>
        </w:rPr>
        <w:t xml:space="preserve">טעם </w:t>
      </w:r>
      <w:r>
        <w:rPr>
          <w:sz w:val="20"/>
          <w:szCs w:val="20"/>
          <w:rtl/>
        </w:rPr>
        <w:t>–</w:t>
      </w:r>
      <w:r>
        <w:rPr>
          <w:rFonts w:hint="cs"/>
          <w:sz w:val="20"/>
          <w:szCs w:val="20"/>
          <w:rtl/>
        </w:rPr>
        <w:t xml:space="preserve"> הפסוק נאמר רק לגבי יד אך לא בשאר אברים.</w:t>
      </w:r>
      <w:r>
        <w:rPr>
          <w:sz w:val="20"/>
          <w:szCs w:val="20"/>
          <w:rtl/>
        </w:rPr>
        <w:br/>
      </w:r>
      <w:r>
        <w:rPr>
          <w:rFonts w:hint="cs"/>
          <w:sz w:val="20"/>
          <w:szCs w:val="20"/>
          <w:rtl/>
        </w:rPr>
        <w:t xml:space="preserve">ב. </w:t>
      </w:r>
      <w:r w:rsidRPr="00056596">
        <w:rPr>
          <w:rFonts w:hint="cs"/>
          <w:b/>
          <w:bCs/>
          <w:sz w:val="20"/>
          <w:szCs w:val="20"/>
          <w:rtl/>
        </w:rPr>
        <w:t>יש מרבוותא</w:t>
      </w:r>
      <w:r>
        <w:rPr>
          <w:rFonts w:hint="cs"/>
          <w:sz w:val="20"/>
          <w:szCs w:val="20"/>
          <w:rtl/>
        </w:rPr>
        <w:t xml:space="preserve"> </w:t>
      </w:r>
      <w:r w:rsidRPr="00056596">
        <w:rPr>
          <w:rFonts w:hint="cs"/>
          <w:sz w:val="18"/>
          <w:szCs w:val="18"/>
          <w:rtl/>
        </w:rPr>
        <w:t xml:space="preserve">(הו"ד ברשב"א) </w:t>
      </w:r>
      <w:r>
        <w:rPr>
          <w:sz w:val="20"/>
          <w:szCs w:val="20"/>
          <w:rtl/>
        </w:rPr>
        <w:t>–</w:t>
      </w:r>
      <w:r>
        <w:rPr>
          <w:rFonts w:hint="cs"/>
          <w:sz w:val="20"/>
          <w:szCs w:val="20"/>
          <w:rtl/>
        </w:rPr>
        <w:t xml:space="preserve"> גם בהוצאת שאר אברים טמאה לידה מדרבנן.</w:t>
      </w:r>
      <w:r>
        <w:rPr>
          <w:sz w:val="20"/>
          <w:szCs w:val="20"/>
          <w:rtl/>
        </w:rPr>
        <w:br/>
      </w:r>
      <w:r>
        <w:rPr>
          <w:rFonts w:hint="cs"/>
          <w:sz w:val="20"/>
          <w:szCs w:val="20"/>
          <w:rtl/>
        </w:rPr>
        <w:t xml:space="preserve">מסיים </w:t>
      </w:r>
      <w:r w:rsidRPr="00F0376C">
        <w:rPr>
          <w:rFonts w:hint="cs"/>
          <w:b/>
          <w:bCs/>
          <w:sz w:val="20"/>
          <w:szCs w:val="20"/>
          <w:rtl/>
        </w:rPr>
        <w:t>הרשב"א</w:t>
      </w:r>
      <w:r>
        <w:rPr>
          <w:rFonts w:hint="cs"/>
          <w:sz w:val="20"/>
          <w:szCs w:val="20"/>
          <w:rtl/>
        </w:rPr>
        <w:t xml:space="preserve"> </w:t>
      </w:r>
      <w:r>
        <w:rPr>
          <w:sz w:val="20"/>
          <w:szCs w:val="20"/>
          <w:rtl/>
        </w:rPr>
        <w:t>–</w:t>
      </w:r>
      <w:r>
        <w:rPr>
          <w:rFonts w:hint="cs"/>
          <w:sz w:val="20"/>
          <w:szCs w:val="20"/>
          <w:rtl/>
        </w:rPr>
        <w:t xml:space="preserve"> יש לחוש לדבריהם ולטמא גם בשאר אברים.</w:t>
      </w:r>
    </w:p>
    <w:p w:rsidR="00620060"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403CD0">
        <w:rPr>
          <w:rFonts w:hint="cs"/>
          <w:b/>
          <w:bCs/>
          <w:sz w:val="20"/>
          <w:szCs w:val="20"/>
          <w:rtl/>
        </w:rPr>
        <w:t>גמרא</w:t>
      </w:r>
      <w:r>
        <w:rPr>
          <w:rFonts w:hint="cs"/>
          <w:sz w:val="20"/>
          <w:szCs w:val="20"/>
          <w:rtl/>
        </w:rPr>
        <w:t xml:space="preserve">. הוציא העובר את ידו </w:t>
      </w:r>
      <w:r>
        <w:rPr>
          <w:sz w:val="20"/>
          <w:szCs w:val="20"/>
          <w:rtl/>
        </w:rPr>
        <w:t>–</w:t>
      </w:r>
      <w:r>
        <w:rPr>
          <w:rFonts w:hint="cs"/>
          <w:sz w:val="20"/>
          <w:szCs w:val="20"/>
          <w:rtl/>
        </w:rPr>
        <w:t xml:space="preserve"> אמו טמאה לידה, ומכל מקום אין לה ימי טוהר עד שייצא לגמרי.</w:t>
      </w:r>
      <w:r>
        <w:rPr>
          <w:sz w:val="20"/>
          <w:szCs w:val="20"/>
          <w:rtl/>
        </w:rPr>
        <w:br/>
      </w:r>
      <w:r>
        <w:rPr>
          <w:rFonts w:hint="cs"/>
          <w:sz w:val="20"/>
          <w:szCs w:val="20"/>
          <w:rtl/>
        </w:rPr>
        <w:t xml:space="preserve">2. </w:t>
      </w:r>
      <w:r w:rsidRPr="00403CD0">
        <w:rPr>
          <w:rFonts w:hint="cs"/>
          <w:b/>
          <w:bCs/>
          <w:sz w:val="20"/>
          <w:szCs w:val="20"/>
          <w:rtl/>
        </w:rPr>
        <w:t>רשב"א</w:t>
      </w:r>
      <w:r>
        <w:rPr>
          <w:rFonts w:hint="cs"/>
          <w:sz w:val="20"/>
          <w:szCs w:val="20"/>
          <w:rtl/>
        </w:rPr>
        <w:t xml:space="preserve">. הנפק"מ בדין זה </w:t>
      </w:r>
      <w:r>
        <w:rPr>
          <w:sz w:val="20"/>
          <w:szCs w:val="20"/>
          <w:rtl/>
        </w:rPr>
        <w:t>–</w:t>
      </w:r>
      <w:r>
        <w:rPr>
          <w:rFonts w:hint="cs"/>
          <w:sz w:val="20"/>
          <w:szCs w:val="20"/>
          <w:rtl/>
        </w:rPr>
        <w:t xml:space="preserve"> מחמת פתיה"ק טמאה רק ז', מחמת הוצאת היד טמאה שבועיים.</w:t>
      </w:r>
      <w:r>
        <w:rPr>
          <w:sz w:val="20"/>
          <w:szCs w:val="20"/>
          <w:rtl/>
        </w:rPr>
        <w:br/>
      </w:r>
      <w:r>
        <w:rPr>
          <w:rFonts w:hint="cs"/>
          <w:sz w:val="20"/>
          <w:szCs w:val="20"/>
          <w:rtl/>
        </w:rPr>
        <w:t xml:space="preserve">3. </w:t>
      </w:r>
      <w:r w:rsidRPr="00403CD0">
        <w:rPr>
          <w:rFonts w:hint="cs"/>
          <w:b/>
          <w:bCs/>
          <w:sz w:val="20"/>
          <w:szCs w:val="20"/>
          <w:rtl/>
        </w:rPr>
        <w:t>מחבר</w:t>
      </w:r>
      <w:r>
        <w:rPr>
          <w:rFonts w:hint="cs"/>
          <w:sz w:val="20"/>
          <w:szCs w:val="20"/>
          <w:rtl/>
        </w:rPr>
        <w:t>. הוציא העובר את ידו והחזירה - טמאה לידה.</w:t>
      </w:r>
      <w:r>
        <w:rPr>
          <w:sz w:val="20"/>
          <w:szCs w:val="20"/>
          <w:rtl/>
        </w:rPr>
        <w:br/>
      </w:r>
      <w:r w:rsidRPr="00662EF5">
        <w:rPr>
          <w:rFonts w:hint="cs"/>
          <w:sz w:val="20"/>
          <w:szCs w:val="20"/>
          <w:rtl/>
        </w:rPr>
        <w:t>4. הוציא שאר אברים.</w:t>
      </w:r>
      <w:r>
        <w:rPr>
          <w:rFonts w:hint="cs"/>
          <w:sz w:val="20"/>
          <w:szCs w:val="20"/>
          <w:rtl/>
        </w:rPr>
        <w:t xml:space="preserve"> </w:t>
      </w:r>
      <w:r w:rsidRPr="00403CD0">
        <w:rPr>
          <w:rFonts w:hint="cs"/>
          <w:b/>
          <w:bCs/>
          <w:sz w:val="20"/>
          <w:szCs w:val="20"/>
          <w:rtl/>
        </w:rPr>
        <w:t>רשב"א</w:t>
      </w:r>
      <w:r>
        <w:rPr>
          <w:rFonts w:hint="cs"/>
          <w:sz w:val="20"/>
          <w:szCs w:val="20"/>
          <w:rtl/>
        </w:rPr>
        <w:t xml:space="preserve">. אינה טמאה לידה. </w:t>
      </w:r>
      <w:r w:rsidRPr="00403CD0">
        <w:rPr>
          <w:rFonts w:hint="cs"/>
          <w:b/>
          <w:bCs/>
          <w:sz w:val="20"/>
          <w:szCs w:val="20"/>
          <w:rtl/>
        </w:rPr>
        <w:t>יש מרבוותא</w:t>
      </w:r>
      <w:r>
        <w:rPr>
          <w:rFonts w:hint="cs"/>
          <w:sz w:val="20"/>
          <w:szCs w:val="20"/>
          <w:rtl/>
        </w:rPr>
        <w:t xml:space="preserve">. טמאה </w:t>
      </w:r>
      <w:r w:rsidRPr="00403CD0">
        <w:rPr>
          <w:rFonts w:hint="cs"/>
          <w:sz w:val="18"/>
          <w:szCs w:val="18"/>
          <w:rtl/>
        </w:rPr>
        <w:t>(מדרבנן)</w:t>
      </w:r>
      <w:r>
        <w:rPr>
          <w:rFonts w:hint="cs"/>
          <w:sz w:val="20"/>
          <w:szCs w:val="20"/>
          <w:rtl/>
        </w:rPr>
        <w:t xml:space="preserve"> ויש לחוש לדבריהם.</w:t>
      </w:r>
    </w:p>
    <w:p w:rsidR="00620060" w:rsidRDefault="00620060" w:rsidP="00620060">
      <w:pPr>
        <w:rPr>
          <w:b/>
          <w:bCs/>
          <w:sz w:val="20"/>
          <w:szCs w:val="20"/>
          <w:rtl/>
        </w:rPr>
      </w:pPr>
      <w:r>
        <w:rPr>
          <w:sz w:val="20"/>
          <w:szCs w:val="20"/>
          <w:rtl/>
        </w:rPr>
        <w:br/>
      </w:r>
      <w:r>
        <w:rPr>
          <w:rFonts w:hint="cs"/>
          <w:b/>
          <w:bCs/>
          <w:sz w:val="20"/>
          <w:szCs w:val="20"/>
          <w:rtl/>
        </w:rPr>
        <w:t xml:space="preserve">סעיף יב </w:t>
      </w:r>
      <w:r>
        <w:rPr>
          <w:b/>
          <w:bCs/>
          <w:sz w:val="20"/>
          <w:szCs w:val="20"/>
          <w:rtl/>
        </w:rPr>
        <w:t>–</w:t>
      </w:r>
      <w:r>
        <w:rPr>
          <w:rFonts w:hint="cs"/>
          <w:b/>
          <w:bCs/>
          <w:sz w:val="20"/>
          <w:szCs w:val="20"/>
          <w:rtl/>
        </w:rPr>
        <w:t xml:space="preserve"> שמעו את קולו של הוולד</w:t>
      </w:r>
      <w:r>
        <w:rPr>
          <w:rFonts w:hint="cs"/>
          <w:b/>
          <w:bCs/>
          <w:sz w:val="20"/>
          <w:szCs w:val="20"/>
          <w:rtl/>
        </w:rPr>
        <w:br/>
        <w:t>מקור הדין</w:t>
      </w:r>
      <w:r>
        <w:rPr>
          <w:b/>
          <w:bCs/>
          <w:sz w:val="20"/>
          <w:szCs w:val="20"/>
          <w:rtl/>
        </w:rPr>
        <w:br/>
      </w:r>
      <w:r w:rsidRPr="00027E4B">
        <w:rPr>
          <w:rFonts w:cs="Arial" w:hint="cs"/>
          <w:b/>
          <w:bCs/>
          <w:sz w:val="20"/>
          <w:szCs w:val="20"/>
          <w:rtl/>
        </w:rPr>
        <w:t>גמרא</w:t>
      </w:r>
      <w:r>
        <w:rPr>
          <w:rFonts w:cs="Arial" w:hint="cs"/>
          <w:sz w:val="20"/>
          <w:szCs w:val="20"/>
          <w:rtl/>
        </w:rPr>
        <w:t xml:space="preserve"> נידה (מב:) "</w:t>
      </w:r>
      <w:r w:rsidRPr="0086747F">
        <w:rPr>
          <w:rFonts w:cs="Arial" w:hint="cs"/>
          <w:sz w:val="20"/>
          <w:szCs w:val="20"/>
          <w:rtl/>
        </w:rPr>
        <w:t>ההוא</w:t>
      </w:r>
      <w:r w:rsidRPr="0086747F">
        <w:rPr>
          <w:rFonts w:cs="Arial"/>
          <w:sz w:val="20"/>
          <w:szCs w:val="20"/>
          <w:rtl/>
        </w:rPr>
        <w:t xml:space="preserve"> </w:t>
      </w:r>
      <w:r w:rsidRPr="0086747F">
        <w:rPr>
          <w:rFonts w:cs="Arial" w:hint="cs"/>
          <w:sz w:val="20"/>
          <w:szCs w:val="20"/>
          <w:rtl/>
        </w:rPr>
        <w:t>דאתא</w:t>
      </w:r>
      <w:r w:rsidRPr="0086747F">
        <w:rPr>
          <w:rFonts w:cs="Arial"/>
          <w:sz w:val="20"/>
          <w:szCs w:val="20"/>
          <w:rtl/>
        </w:rPr>
        <w:t xml:space="preserve"> </w:t>
      </w:r>
      <w:r w:rsidRPr="0086747F">
        <w:rPr>
          <w:rFonts w:cs="Arial" w:hint="cs"/>
          <w:sz w:val="20"/>
          <w:szCs w:val="20"/>
          <w:rtl/>
        </w:rPr>
        <w:t>לקמיה</w:t>
      </w:r>
      <w:r w:rsidRPr="0086747F">
        <w:rPr>
          <w:rFonts w:cs="Arial"/>
          <w:sz w:val="20"/>
          <w:szCs w:val="20"/>
          <w:rtl/>
        </w:rPr>
        <w:t xml:space="preserve"> </w:t>
      </w:r>
      <w:r w:rsidRPr="0086747F">
        <w:rPr>
          <w:rFonts w:cs="Arial" w:hint="cs"/>
          <w:sz w:val="20"/>
          <w:szCs w:val="20"/>
          <w:rtl/>
        </w:rPr>
        <w:t>דרבא</w:t>
      </w:r>
      <w:r w:rsidRPr="0086747F">
        <w:rPr>
          <w:rFonts w:cs="Arial"/>
          <w:sz w:val="20"/>
          <w:szCs w:val="20"/>
          <w:rtl/>
        </w:rPr>
        <w:t xml:space="preserve"> </w:t>
      </w:r>
      <w:r w:rsidRPr="0086747F">
        <w:rPr>
          <w:rFonts w:cs="Arial" w:hint="cs"/>
          <w:sz w:val="20"/>
          <w:szCs w:val="20"/>
          <w:rtl/>
        </w:rPr>
        <w:t>אמר</w:t>
      </w:r>
      <w:r w:rsidRPr="0086747F">
        <w:rPr>
          <w:rFonts w:cs="Arial"/>
          <w:sz w:val="20"/>
          <w:szCs w:val="20"/>
          <w:rtl/>
        </w:rPr>
        <w:t xml:space="preserve"> </w:t>
      </w:r>
      <w:r w:rsidRPr="0086747F">
        <w:rPr>
          <w:rFonts w:cs="Arial" w:hint="cs"/>
          <w:sz w:val="20"/>
          <w:szCs w:val="20"/>
          <w:rtl/>
        </w:rPr>
        <w:t>ליה</w:t>
      </w:r>
      <w:r w:rsidRPr="0086747F">
        <w:rPr>
          <w:rFonts w:cs="Arial"/>
          <w:sz w:val="20"/>
          <w:szCs w:val="20"/>
          <w:rtl/>
        </w:rPr>
        <w:t xml:space="preserve">: </w:t>
      </w:r>
      <w:r w:rsidRPr="0086747F">
        <w:rPr>
          <w:rFonts w:cs="Arial" w:hint="cs"/>
          <w:sz w:val="20"/>
          <w:szCs w:val="20"/>
          <w:rtl/>
        </w:rPr>
        <w:t>מהו</w:t>
      </w:r>
      <w:r w:rsidRPr="0086747F">
        <w:rPr>
          <w:rFonts w:cs="Arial"/>
          <w:sz w:val="20"/>
          <w:szCs w:val="20"/>
          <w:rtl/>
        </w:rPr>
        <w:t xml:space="preserve"> </w:t>
      </w:r>
      <w:r w:rsidRPr="0086747F">
        <w:rPr>
          <w:rFonts w:cs="Arial" w:hint="cs"/>
          <w:sz w:val="20"/>
          <w:szCs w:val="20"/>
          <w:rtl/>
        </w:rPr>
        <w:t>לממהל</w:t>
      </w:r>
      <w:r w:rsidRPr="0086747F">
        <w:rPr>
          <w:rFonts w:cs="Arial"/>
          <w:sz w:val="20"/>
          <w:szCs w:val="20"/>
          <w:rtl/>
        </w:rPr>
        <w:t xml:space="preserve"> </w:t>
      </w:r>
      <w:r w:rsidRPr="0086747F">
        <w:rPr>
          <w:rFonts w:cs="Arial" w:hint="cs"/>
          <w:sz w:val="20"/>
          <w:szCs w:val="20"/>
          <w:rtl/>
        </w:rPr>
        <w:t>בשבתא</w:t>
      </w:r>
      <w:r w:rsidRPr="0086747F">
        <w:rPr>
          <w:rFonts w:cs="Arial"/>
          <w:sz w:val="20"/>
          <w:szCs w:val="20"/>
          <w:rtl/>
        </w:rPr>
        <w:t xml:space="preserve">? </w:t>
      </w:r>
      <w:r w:rsidRPr="0086747F">
        <w:rPr>
          <w:rFonts w:cs="Arial" w:hint="cs"/>
          <w:sz w:val="20"/>
          <w:szCs w:val="20"/>
          <w:rtl/>
        </w:rPr>
        <w:t>אמר</w:t>
      </w:r>
      <w:r w:rsidRPr="0086747F">
        <w:rPr>
          <w:rFonts w:cs="Arial"/>
          <w:sz w:val="20"/>
          <w:szCs w:val="20"/>
          <w:rtl/>
        </w:rPr>
        <w:t xml:space="preserve"> </w:t>
      </w:r>
      <w:r w:rsidRPr="0086747F">
        <w:rPr>
          <w:rFonts w:cs="Arial" w:hint="cs"/>
          <w:sz w:val="20"/>
          <w:szCs w:val="20"/>
          <w:rtl/>
        </w:rPr>
        <w:t>ליה</w:t>
      </w:r>
      <w:r w:rsidRPr="0086747F">
        <w:rPr>
          <w:rFonts w:cs="Arial"/>
          <w:sz w:val="20"/>
          <w:szCs w:val="20"/>
          <w:rtl/>
        </w:rPr>
        <w:t xml:space="preserve">: </w:t>
      </w:r>
      <w:r w:rsidRPr="0086747F">
        <w:rPr>
          <w:rFonts w:cs="Arial" w:hint="cs"/>
          <w:sz w:val="20"/>
          <w:szCs w:val="20"/>
          <w:rtl/>
        </w:rPr>
        <w:t>אימא</w:t>
      </w:r>
      <w:r w:rsidRPr="0086747F">
        <w:rPr>
          <w:rFonts w:cs="Arial"/>
          <w:sz w:val="20"/>
          <w:szCs w:val="20"/>
          <w:rtl/>
        </w:rPr>
        <w:t xml:space="preserve"> </w:t>
      </w:r>
      <w:r w:rsidRPr="0086747F">
        <w:rPr>
          <w:rFonts w:cs="Arial" w:hint="cs"/>
          <w:sz w:val="20"/>
          <w:szCs w:val="20"/>
          <w:rtl/>
        </w:rPr>
        <w:t>לי</w:t>
      </w:r>
      <w:r w:rsidRPr="0086747F">
        <w:rPr>
          <w:rFonts w:cs="Arial"/>
          <w:sz w:val="20"/>
          <w:szCs w:val="20"/>
          <w:rtl/>
        </w:rPr>
        <w:t xml:space="preserve"> </w:t>
      </w:r>
      <w:r w:rsidRPr="0086747F">
        <w:rPr>
          <w:rFonts w:cs="Arial" w:hint="cs"/>
          <w:sz w:val="20"/>
          <w:szCs w:val="20"/>
          <w:rtl/>
        </w:rPr>
        <w:t>איזי</w:t>
      </w:r>
      <w:r w:rsidRPr="0086747F">
        <w:rPr>
          <w:rFonts w:cs="Arial"/>
          <w:sz w:val="20"/>
          <w:szCs w:val="20"/>
          <w:rtl/>
        </w:rPr>
        <w:t xml:space="preserve">, </w:t>
      </w:r>
      <w:r w:rsidRPr="0086747F">
        <w:rPr>
          <w:rFonts w:cs="Arial" w:hint="cs"/>
          <w:sz w:val="20"/>
          <w:szCs w:val="20"/>
          <w:rtl/>
        </w:rPr>
        <w:t>גופא</w:t>
      </w:r>
      <w:r w:rsidRPr="0086747F">
        <w:rPr>
          <w:rFonts w:cs="Arial"/>
          <w:sz w:val="20"/>
          <w:szCs w:val="20"/>
          <w:rtl/>
        </w:rPr>
        <w:t xml:space="preserve"> </w:t>
      </w:r>
      <w:r w:rsidRPr="0086747F">
        <w:rPr>
          <w:rFonts w:cs="Arial" w:hint="cs"/>
          <w:sz w:val="20"/>
          <w:szCs w:val="20"/>
          <w:rtl/>
        </w:rPr>
        <w:t>דעובדא</w:t>
      </w:r>
      <w:r w:rsidRPr="0086747F">
        <w:rPr>
          <w:rFonts w:cs="Arial"/>
          <w:sz w:val="20"/>
          <w:szCs w:val="20"/>
          <w:rtl/>
        </w:rPr>
        <w:t xml:space="preserve"> </w:t>
      </w:r>
      <w:r w:rsidRPr="0086747F">
        <w:rPr>
          <w:rFonts w:cs="Arial" w:hint="cs"/>
          <w:sz w:val="20"/>
          <w:szCs w:val="20"/>
          <w:rtl/>
        </w:rPr>
        <w:t>היכי</w:t>
      </w:r>
      <w:r w:rsidRPr="0086747F">
        <w:rPr>
          <w:rFonts w:cs="Arial"/>
          <w:sz w:val="20"/>
          <w:szCs w:val="20"/>
          <w:rtl/>
        </w:rPr>
        <w:t xml:space="preserve"> </w:t>
      </w:r>
      <w:r w:rsidRPr="0086747F">
        <w:rPr>
          <w:rFonts w:cs="Arial" w:hint="cs"/>
          <w:sz w:val="20"/>
          <w:szCs w:val="20"/>
          <w:rtl/>
        </w:rPr>
        <w:t>הוה</w:t>
      </w:r>
      <w:r w:rsidRPr="0086747F">
        <w:rPr>
          <w:rFonts w:cs="Arial"/>
          <w:sz w:val="20"/>
          <w:szCs w:val="20"/>
          <w:rtl/>
        </w:rPr>
        <w:t xml:space="preserve">? </w:t>
      </w:r>
      <w:r w:rsidRPr="0086747F">
        <w:rPr>
          <w:rFonts w:cs="Arial" w:hint="cs"/>
          <w:sz w:val="20"/>
          <w:szCs w:val="20"/>
          <w:rtl/>
        </w:rPr>
        <w:t>אמר</w:t>
      </w:r>
      <w:r w:rsidRPr="0086747F">
        <w:rPr>
          <w:rFonts w:cs="Arial"/>
          <w:sz w:val="20"/>
          <w:szCs w:val="20"/>
          <w:rtl/>
        </w:rPr>
        <w:t xml:space="preserve"> </w:t>
      </w:r>
      <w:r w:rsidRPr="0086747F">
        <w:rPr>
          <w:rFonts w:cs="Arial" w:hint="cs"/>
          <w:sz w:val="20"/>
          <w:szCs w:val="20"/>
          <w:rtl/>
        </w:rPr>
        <w:t>ליה</w:t>
      </w:r>
      <w:r w:rsidRPr="0086747F">
        <w:rPr>
          <w:rFonts w:cs="Arial"/>
          <w:sz w:val="20"/>
          <w:szCs w:val="20"/>
          <w:rtl/>
        </w:rPr>
        <w:t xml:space="preserve">: </w:t>
      </w:r>
      <w:r w:rsidRPr="0086747F">
        <w:rPr>
          <w:rFonts w:cs="Arial" w:hint="cs"/>
          <w:sz w:val="20"/>
          <w:szCs w:val="20"/>
          <w:rtl/>
        </w:rPr>
        <w:t>שמעית</w:t>
      </w:r>
      <w:r w:rsidRPr="0086747F">
        <w:rPr>
          <w:rFonts w:cs="Arial"/>
          <w:sz w:val="20"/>
          <w:szCs w:val="20"/>
          <w:rtl/>
        </w:rPr>
        <w:t xml:space="preserve"> </w:t>
      </w:r>
      <w:r w:rsidRPr="0086747F">
        <w:rPr>
          <w:rFonts w:cs="Arial" w:hint="cs"/>
          <w:sz w:val="20"/>
          <w:szCs w:val="20"/>
          <w:rtl/>
        </w:rPr>
        <w:t>ולד</w:t>
      </w:r>
      <w:r w:rsidRPr="0086747F">
        <w:rPr>
          <w:rFonts w:cs="Arial"/>
          <w:sz w:val="20"/>
          <w:szCs w:val="20"/>
          <w:rtl/>
        </w:rPr>
        <w:t xml:space="preserve"> </w:t>
      </w:r>
      <w:r w:rsidRPr="0086747F">
        <w:rPr>
          <w:rFonts w:cs="Arial" w:hint="cs"/>
          <w:sz w:val="20"/>
          <w:szCs w:val="20"/>
          <w:rtl/>
        </w:rPr>
        <w:t>דצויץ</w:t>
      </w:r>
      <w:r w:rsidRPr="0086747F">
        <w:rPr>
          <w:rFonts w:cs="Arial"/>
          <w:sz w:val="20"/>
          <w:szCs w:val="20"/>
          <w:rtl/>
        </w:rPr>
        <w:t xml:space="preserve"> </w:t>
      </w:r>
      <w:r w:rsidRPr="0086747F">
        <w:rPr>
          <w:rFonts w:cs="Arial" w:hint="cs"/>
          <w:sz w:val="20"/>
          <w:szCs w:val="20"/>
          <w:rtl/>
        </w:rPr>
        <w:t>אפניא</w:t>
      </w:r>
      <w:r w:rsidRPr="0086747F">
        <w:rPr>
          <w:rFonts w:cs="Arial"/>
          <w:sz w:val="20"/>
          <w:szCs w:val="20"/>
          <w:rtl/>
        </w:rPr>
        <w:t xml:space="preserve"> </w:t>
      </w:r>
      <w:r w:rsidRPr="0086747F">
        <w:rPr>
          <w:rFonts w:cs="Arial" w:hint="cs"/>
          <w:sz w:val="20"/>
          <w:szCs w:val="20"/>
          <w:rtl/>
        </w:rPr>
        <w:t>דמעלי</w:t>
      </w:r>
      <w:r w:rsidRPr="0086747F">
        <w:rPr>
          <w:rFonts w:cs="Arial"/>
          <w:sz w:val="20"/>
          <w:szCs w:val="20"/>
          <w:rtl/>
        </w:rPr>
        <w:t xml:space="preserve"> </w:t>
      </w:r>
      <w:r w:rsidRPr="0086747F">
        <w:rPr>
          <w:rFonts w:cs="Arial" w:hint="cs"/>
          <w:sz w:val="20"/>
          <w:szCs w:val="20"/>
          <w:rtl/>
        </w:rPr>
        <w:t>שבתא</w:t>
      </w:r>
      <w:r w:rsidRPr="0086747F">
        <w:rPr>
          <w:rFonts w:cs="Arial"/>
          <w:sz w:val="20"/>
          <w:szCs w:val="20"/>
          <w:rtl/>
        </w:rPr>
        <w:t xml:space="preserve">, </w:t>
      </w:r>
      <w:r w:rsidRPr="0086747F">
        <w:rPr>
          <w:rFonts w:cs="Arial" w:hint="cs"/>
          <w:sz w:val="20"/>
          <w:szCs w:val="20"/>
          <w:rtl/>
        </w:rPr>
        <w:t>ולא</w:t>
      </w:r>
      <w:r w:rsidRPr="0086747F">
        <w:rPr>
          <w:rFonts w:cs="Arial"/>
          <w:sz w:val="20"/>
          <w:szCs w:val="20"/>
          <w:rtl/>
        </w:rPr>
        <w:t xml:space="preserve"> </w:t>
      </w:r>
      <w:r w:rsidRPr="0086747F">
        <w:rPr>
          <w:rFonts w:cs="Arial" w:hint="cs"/>
          <w:sz w:val="20"/>
          <w:szCs w:val="20"/>
          <w:rtl/>
        </w:rPr>
        <w:t>אתיליד</w:t>
      </w:r>
      <w:r w:rsidRPr="0086747F">
        <w:rPr>
          <w:rFonts w:cs="Arial"/>
          <w:sz w:val="20"/>
          <w:szCs w:val="20"/>
          <w:rtl/>
        </w:rPr>
        <w:t xml:space="preserve"> </w:t>
      </w:r>
      <w:r w:rsidRPr="0086747F">
        <w:rPr>
          <w:rFonts w:cs="Arial" w:hint="cs"/>
          <w:sz w:val="20"/>
          <w:szCs w:val="20"/>
          <w:rtl/>
        </w:rPr>
        <w:t>עד</w:t>
      </w:r>
      <w:r w:rsidRPr="0086747F">
        <w:rPr>
          <w:rFonts w:cs="Arial"/>
          <w:sz w:val="20"/>
          <w:szCs w:val="20"/>
          <w:rtl/>
        </w:rPr>
        <w:t xml:space="preserve"> </w:t>
      </w:r>
      <w:r w:rsidRPr="0086747F">
        <w:rPr>
          <w:rFonts w:cs="Arial" w:hint="cs"/>
          <w:sz w:val="20"/>
          <w:szCs w:val="20"/>
          <w:rtl/>
        </w:rPr>
        <w:t>שבתא</w:t>
      </w:r>
      <w:r w:rsidRPr="0086747F">
        <w:rPr>
          <w:rFonts w:cs="Arial"/>
          <w:sz w:val="20"/>
          <w:szCs w:val="20"/>
          <w:rtl/>
        </w:rPr>
        <w:t xml:space="preserve">. </w:t>
      </w:r>
      <w:r w:rsidRPr="0086747F">
        <w:rPr>
          <w:rFonts w:cs="Arial" w:hint="cs"/>
          <w:sz w:val="20"/>
          <w:szCs w:val="20"/>
          <w:rtl/>
        </w:rPr>
        <w:t>אמר</w:t>
      </w:r>
      <w:r w:rsidRPr="0086747F">
        <w:rPr>
          <w:rFonts w:cs="Arial"/>
          <w:sz w:val="20"/>
          <w:szCs w:val="20"/>
          <w:rtl/>
        </w:rPr>
        <w:t xml:space="preserve"> </w:t>
      </w:r>
      <w:r w:rsidRPr="0086747F">
        <w:rPr>
          <w:rFonts w:cs="Arial" w:hint="cs"/>
          <w:sz w:val="20"/>
          <w:szCs w:val="20"/>
          <w:rtl/>
        </w:rPr>
        <w:t>ליה</w:t>
      </w:r>
      <w:r w:rsidRPr="0086747F">
        <w:rPr>
          <w:rFonts w:cs="Arial"/>
          <w:sz w:val="20"/>
          <w:szCs w:val="20"/>
          <w:rtl/>
        </w:rPr>
        <w:t xml:space="preserve">: </w:t>
      </w:r>
      <w:r w:rsidRPr="0086747F">
        <w:rPr>
          <w:rFonts w:cs="Arial" w:hint="cs"/>
          <w:sz w:val="20"/>
          <w:szCs w:val="20"/>
          <w:rtl/>
        </w:rPr>
        <w:t>האי</w:t>
      </w:r>
      <w:r w:rsidRPr="0086747F">
        <w:rPr>
          <w:rFonts w:cs="Arial"/>
          <w:sz w:val="20"/>
          <w:szCs w:val="20"/>
          <w:rtl/>
        </w:rPr>
        <w:t xml:space="preserve"> - </w:t>
      </w:r>
      <w:r w:rsidRPr="0086747F">
        <w:rPr>
          <w:rFonts w:cs="Arial" w:hint="cs"/>
          <w:sz w:val="20"/>
          <w:szCs w:val="20"/>
          <w:rtl/>
        </w:rPr>
        <w:t>הוציא</w:t>
      </w:r>
      <w:r w:rsidRPr="0086747F">
        <w:rPr>
          <w:rFonts w:cs="Arial"/>
          <w:sz w:val="20"/>
          <w:szCs w:val="20"/>
          <w:rtl/>
        </w:rPr>
        <w:t xml:space="preserve"> </w:t>
      </w:r>
      <w:r w:rsidRPr="0086747F">
        <w:rPr>
          <w:rFonts w:cs="Arial" w:hint="cs"/>
          <w:sz w:val="20"/>
          <w:szCs w:val="20"/>
          <w:rtl/>
        </w:rPr>
        <w:t>ראשו</w:t>
      </w:r>
      <w:r w:rsidRPr="0086747F">
        <w:rPr>
          <w:rFonts w:cs="Arial"/>
          <w:sz w:val="20"/>
          <w:szCs w:val="20"/>
          <w:rtl/>
        </w:rPr>
        <w:t xml:space="preserve"> </w:t>
      </w:r>
      <w:r w:rsidRPr="0086747F">
        <w:rPr>
          <w:rFonts w:cs="Arial" w:hint="cs"/>
          <w:sz w:val="20"/>
          <w:szCs w:val="20"/>
          <w:rtl/>
        </w:rPr>
        <w:t>חוץ</w:t>
      </w:r>
      <w:r w:rsidRPr="0086747F">
        <w:rPr>
          <w:rFonts w:cs="Arial"/>
          <w:sz w:val="20"/>
          <w:szCs w:val="20"/>
          <w:rtl/>
        </w:rPr>
        <w:t xml:space="preserve"> </w:t>
      </w:r>
      <w:r w:rsidRPr="0086747F">
        <w:rPr>
          <w:rFonts w:cs="Arial" w:hint="cs"/>
          <w:sz w:val="20"/>
          <w:szCs w:val="20"/>
          <w:rtl/>
        </w:rPr>
        <w:t>לפרוזדור</w:t>
      </w:r>
      <w:r w:rsidRPr="0086747F">
        <w:rPr>
          <w:rFonts w:cs="Arial"/>
          <w:sz w:val="20"/>
          <w:szCs w:val="20"/>
          <w:rtl/>
        </w:rPr>
        <w:t xml:space="preserve"> </w:t>
      </w:r>
      <w:r w:rsidRPr="0086747F">
        <w:rPr>
          <w:rFonts w:cs="Arial" w:hint="cs"/>
          <w:sz w:val="20"/>
          <w:szCs w:val="20"/>
          <w:rtl/>
        </w:rPr>
        <w:t>הוא</w:t>
      </w:r>
      <w:r w:rsidRPr="0086747F">
        <w:rPr>
          <w:rFonts w:cs="Arial"/>
          <w:sz w:val="20"/>
          <w:szCs w:val="20"/>
          <w:rtl/>
        </w:rPr>
        <w:t xml:space="preserve">, </w:t>
      </w:r>
      <w:r w:rsidRPr="0086747F">
        <w:rPr>
          <w:rFonts w:cs="Arial" w:hint="cs"/>
          <w:sz w:val="20"/>
          <w:szCs w:val="20"/>
          <w:rtl/>
        </w:rPr>
        <w:t>והוי</w:t>
      </w:r>
      <w:r w:rsidRPr="0086747F">
        <w:rPr>
          <w:rFonts w:cs="Arial"/>
          <w:sz w:val="20"/>
          <w:szCs w:val="20"/>
          <w:rtl/>
        </w:rPr>
        <w:t xml:space="preserve"> </w:t>
      </w:r>
      <w:r w:rsidRPr="0086747F">
        <w:rPr>
          <w:rFonts w:cs="Arial" w:hint="cs"/>
          <w:sz w:val="20"/>
          <w:szCs w:val="20"/>
          <w:rtl/>
        </w:rPr>
        <w:t>מילה</w:t>
      </w:r>
      <w:r w:rsidRPr="0086747F">
        <w:rPr>
          <w:rFonts w:cs="Arial"/>
          <w:sz w:val="20"/>
          <w:szCs w:val="20"/>
          <w:rtl/>
        </w:rPr>
        <w:t xml:space="preserve"> </w:t>
      </w:r>
      <w:r w:rsidRPr="0086747F">
        <w:rPr>
          <w:rFonts w:cs="Arial" w:hint="cs"/>
          <w:sz w:val="20"/>
          <w:szCs w:val="20"/>
          <w:rtl/>
        </w:rPr>
        <w:t>שלא</w:t>
      </w:r>
      <w:r w:rsidRPr="0086747F">
        <w:rPr>
          <w:rFonts w:cs="Arial"/>
          <w:sz w:val="20"/>
          <w:szCs w:val="20"/>
          <w:rtl/>
        </w:rPr>
        <w:t xml:space="preserve"> </w:t>
      </w:r>
      <w:r w:rsidRPr="0086747F">
        <w:rPr>
          <w:rFonts w:cs="Arial" w:hint="cs"/>
          <w:sz w:val="20"/>
          <w:szCs w:val="20"/>
          <w:rtl/>
        </w:rPr>
        <w:t>בזמנה</w:t>
      </w:r>
      <w:r w:rsidRPr="0086747F">
        <w:rPr>
          <w:rFonts w:cs="Arial"/>
          <w:sz w:val="20"/>
          <w:szCs w:val="20"/>
          <w:rtl/>
        </w:rPr>
        <w:t xml:space="preserve">, </w:t>
      </w:r>
      <w:r w:rsidRPr="0086747F">
        <w:rPr>
          <w:rFonts w:cs="Arial" w:hint="cs"/>
          <w:sz w:val="20"/>
          <w:szCs w:val="20"/>
          <w:rtl/>
        </w:rPr>
        <w:t>וכל</w:t>
      </w:r>
      <w:r w:rsidRPr="0086747F">
        <w:rPr>
          <w:rFonts w:cs="Arial"/>
          <w:sz w:val="20"/>
          <w:szCs w:val="20"/>
          <w:rtl/>
        </w:rPr>
        <w:t xml:space="preserve"> </w:t>
      </w:r>
      <w:r w:rsidRPr="0086747F">
        <w:rPr>
          <w:rFonts w:cs="Arial" w:hint="cs"/>
          <w:sz w:val="20"/>
          <w:szCs w:val="20"/>
          <w:rtl/>
        </w:rPr>
        <w:t>מילה</w:t>
      </w:r>
      <w:r w:rsidRPr="0086747F">
        <w:rPr>
          <w:rFonts w:cs="Arial"/>
          <w:sz w:val="20"/>
          <w:szCs w:val="20"/>
          <w:rtl/>
        </w:rPr>
        <w:t xml:space="preserve"> </w:t>
      </w:r>
      <w:r w:rsidRPr="0086747F">
        <w:rPr>
          <w:rFonts w:cs="Arial" w:hint="cs"/>
          <w:sz w:val="20"/>
          <w:szCs w:val="20"/>
          <w:rtl/>
        </w:rPr>
        <w:t>שלא</w:t>
      </w:r>
      <w:r w:rsidRPr="0086747F">
        <w:rPr>
          <w:rFonts w:cs="Arial"/>
          <w:sz w:val="20"/>
          <w:szCs w:val="20"/>
          <w:rtl/>
        </w:rPr>
        <w:t xml:space="preserve"> </w:t>
      </w:r>
      <w:r w:rsidRPr="0086747F">
        <w:rPr>
          <w:rFonts w:cs="Arial" w:hint="cs"/>
          <w:sz w:val="20"/>
          <w:szCs w:val="20"/>
          <w:rtl/>
        </w:rPr>
        <w:t>בזמנה</w:t>
      </w:r>
      <w:r w:rsidRPr="0086747F">
        <w:rPr>
          <w:rFonts w:cs="Arial"/>
          <w:sz w:val="20"/>
          <w:szCs w:val="20"/>
          <w:rtl/>
        </w:rPr>
        <w:t xml:space="preserve"> - </w:t>
      </w:r>
      <w:r w:rsidRPr="0086747F">
        <w:rPr>
          <w:rFonts w:cs="Arial" w:hint="cs"/>
          <w:sz w:val="20"/>
          <w:szCs w:val="20"/>
          <w:rtl/>
        </w:rPr>
        <w:t>אין</w:t>
      </w:r>
      <w:r w:rsidRPr="0086747F">
        <w:rPr>
          <w:rFonts w:cs="Arial"/>
          <w:sz w:val="20"/>
          <w:szCs w:val="20"/>
          <w:rtl/>
        </w:rPr>
        <w:t xml:space="preserve"> </w:t>
      </w:r>
      <w:r w:rsidRPr="0086747F">
        <w:rPr>
          <w:rFonts w:cs="Arial" w:hint="cs"/>
          <w:sz w:val="20"/>
          <w:szCs w:val="20"/>
          <w:rtl/>
        </w:rPr>
        <w:t>מחללין</w:t>
      </w:r>
      <w:r w:rsidRPr="0086747F">
        <w:rPr>
          <w:rFonts w:cs="Arial"/>
          <w:sz w:val="20"/>
          <w:szCs w:val="20"/>
          <w:rtl/>
        </w:rPr>
        <w:t xml:space="preserve"> </w:t>
      </w:r>
      <w:r w:rsidRPr="0086747F">
        <w:rPr>
          <w:rFonts w:cs="Arial" w:hint="cs"/>
          <w:sz w:val="20"/>
          <w:szCs w:val="20"/>
          <w:rtl/>
        </w:rPr>
        <w:t>עליה</w:t>
      </w:r>
      <w:r w:rsidRPr="0086747F">
        <w:rPr>
          <w:rFonts w:cs="Arial"/>
          <w:sz w:val="20"/>
          <w:szCs w:val="20"/>
          <w:rtl/>
        </w:rPr>
        <w:t xml:space="preserve"> </w:t>
      </w:r>
      <w:r w:rsidRPr="0086747F">
        <w:rPr>
          <w:rFonts w:cs="Arial" w:hint="cs"/>
          <w:sz w:val="20"/>
          <w:szCs w:val="20"/>
          <w:rtl/>
        </w:rPr>
        <w:t>את</w:t>
      </w:r>
      <w:r w:rsidRPr="0086747F">
        <w:rPr>
          <w:rFonts w:cs="Arial"/>
          <w:sz w:val="20"/>
          <w:szCs w:val="20"/>
          <w:rtl/>
        </w:rPr>
        <w:t xml:space="preserve"> </w:t>
      </w:r>
      <w:r w:rsidRPr="0086747F">
        <w:rPr>
          <w:rFonts w:cs="Arial" w:hint="cs"/>
          <w:sz w:val="20"/>
          <w:szCs w:val="20"/>
          <w:rtl/>
        </w:rPr>
        <w:t>השבת</w:t>
      </w:r>
      <w:r>
        <w:rPr>
          <w:rFonts w:cs="Arial" w:hint="cs"/>
          <w:sz w:val="20"/>
          <w:szCs w:val="20"/>
          <w:rtl/>
        </w:rPr>
        <w:t>".</w:t>
      </w:r>
    </w:p>
    <w:p w:rsidR="00620060" w:rsidRDefault="00620060" w:rsidP="00620060">
      <w:pPr>
        <w:rPr>
          <w:b/>
          <w:bCs/>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C071B9">
        <w:rPr>
          <w:rFonts w:hint="cs"/>
          <w:sz w:val="20"/>
          <w:szCs w:val="20"/>
          <w:rtl/>
        </w:rPr>
        <w:t>"</w:t>
      </w:r>
      <w:r w:rsidRPr="00C071B9">
        <w:rPr>
          <w:rFonts w:cs="Arial" w:hint="cs"/>
          <w:sz w:val="20"/>
          <w:szCs w:val="20"/>
          <w:rtl/>
        </w:rPr>
        <w:t>היתה</w:t>
      </w:r>
      <w:r w:rsidRPr="00C071B9">
        <w:rPr>
          <w:rFonts w:cs="Arial"/>
          <w:sz w:val="20"/>
          <w:szCs w:val="20"/>
          <w:rtl/>
        </w:rPr>
        <w:t xml:space="preserve"> </w:t>
      </w:r>
      <w:r w:rsidRPr="00C071B9">
        <w:rPr>
          <w:rFonts w:cs="Arial" w:hint="cs"/>
          <w:sz w:val="20"/>
          <w:szCs w:val="20"/>
          <w:rtl/>
        </w:rPr>
        <w:t>מקשה</w:t>
      </w:r>
      <w:r w:rsidRPr="00C071B9">
        <w:rPr>
          <w:rFonts w:cs="Arial"/>
          <w:sz w:val="20"/>
          <w:szCs w:val="20"/>
          <w:rtl/>
        </w:rPr>
        <w:t xml:space="preserve"> </w:t>
      </w:r>
      <w:r w:rsidRPr="00C071B9">
        <w:rPr>
          <w:rFonts w:cs="Arial" w:hint="cs"/>
          <w:sz w:val="20"/>
          <w:szCs w:val="20"/>
          <w:rtl/>
        </w:rPr>
        <w:t>לילד</w:t>
      </w:r>
      <w:r w:rsidRPr="00C071B9">
        <w:rPr>
          <w:rFonts w:cs="Arial"/>
          <w:sz w:val="20"/>
          <w:szCs w:val="20"/>
          <w:rtl/>
        </w:rPr>
        <w:t xml:space="preserve"> </w:t>
      </w:r>
      <w:r w:rsidRPr="00C071B9">
        <w:rPr>
          <w:rFonts w:cs="Arial" w:hint="cs"/>
          <w:sz w:val="20"/>
          <w:szCs w:val="20"/>
          <w:rtl/>
        </w:rPr>
        <w:t>ושמעה</w:t>
      </w:r>
      <w:r w:rsidRPr="00C071B9">
        <w:rPr>
          <w:rFonts w:cs="Arial"/>
          <w:sz w:val="20"/>
          <w:szCs w:val="20"/>
          <w:rtl/>
        </w:rPr>
        <w:t xml:space="preserve"> </w:t>
      </w:r>
      <w:r w:rsidRPr="00C071B9">
        <w:rPr>
          <w:rFonts w:cs="Arial" w:hint="cs"/>
          <w:sz w:val="20"/>
          <w:szCs w:val="20"/>
          <w:rtl/>
        </w:rPr>
        <w:t>קולו</w:t>
      </w:r>
      <w:r w:rsidRPr="00C071B9">
        <w:rPr>
          <w:rFonts w:cs="Arial"/>
          <w:sz w:val="20"/>
          <w:szCs w:val="20"/>
          <w:rtl/>
        </w:rPr>
        <w:t xml:space="preserve"> </w:t>
      </w:r>
      <w:r w:rsidRPr="00C071B9">
        <w:rPr>
          <w:rFonts w:cs="Arial" w:hint="cs"/>
          <w:sz w:val="20"/>
          <w:szCs w:val="20"/>
          <w:rtl/>
        </w:rPr>
        <w:t>של</w:t>
      </w:r>
      <w:r w:rsidRPr="00C071B9">
        <w:rPr>
          <w:rFonts w:cs="Arial"/>
          <w:sz w:val="20"/>
          <w:szCs w:val="20"/>
          <w:rtl/>
        </w:rPr>
        <w:t xml:space="preserve"> </w:t>
      </w:r>
      <w:r w:rsidRPr="00C071B9">
        <w:rPr>
          <w:rFonts w:cs="Arial" w:hint="cs"/>
          <w:sz w:val="20"/>
          <w:szCs w:val="20"/>
          <w:rtl/>
        </w:rPr>
        <w:t>ולד</w:t>
      </w:r>
      <w:r w:rsidRPr="00C071B9">
        <w:rPr>
          <w:rFonts w:cs="Arial"/>
          <w:sz w:val="20"/>
          <w:szCs w:val="20"/>
          <w:rtl/>
        </w:rPr>
        <w:t xml:space="preserve">, </w:t>
      </w:r>
      <w:r w:rsidRPr="00C071B9">
        <w:rPr>
          <w:rFonts w:cs="Arial" w:hint="cs"/>
          <w:sz w:val="20"/>
          <w:szCs w:val="20"/>
          <w:rtl/>
        </w:rPr>
        <w:t>חשוב</w:t>
      </w:r>
      <w:r w:rsidRPr="00C071B9">
        <w:rPr>
          <w:rFonts w:cs="Arial"/>
          <w:sz w:val="20"/>
          <w:szCs w:val="20"/>
          <w:rtl/>
        </w:rPr>
        <w:t xml:space="preserve"> </w:t>
      </w:r>
      <w:r w:rsidRPr="00C071B9">
        <w:rPr>
          <w:rFonts w:cs="Arial" w:hint="cs"/>
          <w:sz w:val="20"/>
          <w:szCs w:val="20"/>
          <w:rtl/>
        </w:rPr>
        <w:t>כילוד</w:t>
      </w:r>
      <w:r w:rsidRPr="00C071B9">
        <w:rPr>
          <w:rFonts w:cs="Arial"/>
          <w:sz w:val="20"/>
          <w:szCs w:val="20"/>
          <w:rtl/>
        </w:rPr>
        <w:t xml:space="preserve"> </w:t>
      </w:r>
      <w:r w:rsidRPr="00C071B9">
        <w:rPr>
          <w:rFonts w:cs="Arial" w:hint="cs"/>
          <w:sz w:val="20"/>
          <w:szCs w:val="20"/>
          <w:rtl/>
        </w:rPr>
        <w:t>שאי</w:t>
      </w:r>
      <w:r w:rsidRPr="00C071B9">
        <w:rPr>
          <w:rFonts w:cs="Arial"/>
          <w:sz w:val="20"/>
          <w:szCs w:val="20"/>
          <w:rtl/>
        </w:rPr>
        <w:t xml:space="preserve"> </w:t>
      </w:r>
      <w:r w:rsidRPr="00C071B9">
        <w:rPr>
          <w:rFonts w:cs="Arial" w:hint="cs"/>
          <w:sz w:val="20"/>
          <w:szCs w:val="20"/>
          <w:rtl/>
        </w:rPr>
        <w:t>אפשר</w:t>
      </w:r>
      <w:r w:rsidRPr="00C071B9">
        <w:rPr>
          <w:rFonts w:cs="Arial"/>
          <w:sz w:val="20"/>
          <w:szCs w:val="20"/>
          <w:rtl/>
        </w:rPr>
        <w:t xml:space="preserve"> </w:t>
      </w:r>
      <w:r w:rsidRPr="00C071B9">
        <w:rPr>
          <w:rFonts w:cs="Arial" w:hint="cs"/>
          <w:sz w:val="20"/>
          <w:szCs w:val="20"/>
          <w:rtl/>
        </w:rPr>
        <w:t>שלא</w:t>
      </w:r>
      <w:r w:rsidRPr="00C071B9">
        <w:rPr>
          <w:rFonts w:cs="Arial"/>
          <w:sz w:val="20"/>
          <w:szCs w:val="20"/>
          <w:rtl/>
        </w:rPr>
        <w:t xml:space="preserve"> </w:t>
      </w:r>
      <w:r w:rsidRPr="00C071B9">
        <w:rPr>
          <w:rFonts w:cs="Arial" w:hint="cs"/>
          <w:sz w:val="20"/>
          <w:szCs w:val="20"/>
          <w:rtl/>
        </w:rPr>
        <w:t>הוציא</w:t>
      </w:r>
      <w:r w:rsidRPr="00C071B9">
        <w:rPr>
          <w:rFonts w:cs="Arial"/>
          <w:sz w:val="20"/>
          <w:szCs w:val="20"/>
          <w:rtl/>
        </w:rPr>
        <w:t xml:space="preserve"> </w:t>
      </w:r>
      <w:r w:rsidRPr="00C071B9">
        <w:rPr>
          <w:rFonts w:cs="Arial" w:hint="cs"/>
          <w:sz w:val="20"/>
          <w:szCs w:val="20"/>
          <w:rtl/>
        </w:rPr>
        <w:t>ראשו</w:t>
      </w:r>
      <w:r w:rsidRPr="00C071B9">
        <w:rPr>
          <w:rFonts w:cs="Arial"/>
          <w:sz w:val="20"/>
          <w:szCs w:val="20"/>
          <w:rtl/>
        </w:rPr>
        <w:t xml:space="preserve"> </w:t>
      </w:r>
      <w:r w:rsidRPr="00C071B9">
        <w:rPr>
          <w:rFonts w:cs="Arial" w:hint="cs"/>
          <w:sz w:val="20"/>
          <w:szCs w:val="20"/>
          <w:rtl/>
        </w:rPr>
        <w:t>חוץ</w:t>
      </w:r>
      <w:r w:rsidRPr="00C071B9">
        <w:rPr>
          <w:rFonts w:cs="Arial"/>
          <w:sz w:val="20"/>
          <w:szCs w:val="20"/>
          <w:rtl/>
        </w:rPr>
        <w:t xml:space="preserve"> </w:t>
      </w:r>
      <w:r w:rsidRPr="00C071B9">
        <w:rPr>
          <w:rFonts w:cs="Arial" w:hint="cs"/>
          <w:sz w:val="20"/>
          <w:szCs w:val="20"/>
          <w:rtl/>
        </w:rPr>
        <w:t>לפרוזדור"</w:t>
      </w:r>
      <w:r w:rsidRPr="00C071B9">
        <w:rPr>
          <w:rFonts w:cs="Arial"/>
          <w:sz w:val="20"/>
          <w:szCs w:val="20"/>
          <w:rtl/>
        </w:rPr>
        <w:t xml:space="preserve">. </w:t>
      </w:r>
    </w:p>
    <w:p w:rsidR="00620060" w:rsidRDefault="00620060" w:rsidP="00620060">
      <w:pPr>
        <w:rPr>
          <w:b/>
          <w:bCs/>
          <w:sz w:val="20"/>
          <w:szCs w:val="20"/>
          <w:rtl/>
        </w:rPr>
      </w:pPr>
      <w:r>
        <w:rPr>
          <w:b/>
          <w:bCs/>
          <w:sz w:val="20"/>
          <w:szCs w:val="20"/>
          <w:rtl/>
        </w:rPr>
        <w:br/>
      </w:r>
      <w:r>
        <w:rPr>
          <w:rFonts w:hint="cs"/>
          <w:b/>
          <w:bCs/>
          <w:sz w:val="20"/>
          <w:szCs w:val="20"/>
          <w:rtl/>
        </w:rPr>
        <w:t xml:space="preserve">סעיף יג </w:t>
      </w:r>
      <w:r>
        <w:rPr>
          <w:b/>
          <w:bCs/>
          <w:sz w:val="20"/>
          <w:szCs w:val="20"/>
          <w:rtl/>
        </w:rPr>
        <w:t>–</w:t>
      </w:r>
      <w:r>
        <w:rPr>
          <w:rFonts w:hint="cs"/>
          <w:b/>
          <w:bCs/>
          <w:sz w:val="20"/>
          <w:szCs w:val="20"/>
          <w:rtl/>
        </w:rPr>
        <w:t xml:space="preserve"> יולדת תאומים</w:t>
      </w:r>
      <w:r>
        <w:rPr>
          <w:b/>
          <w:b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שולחן ערוך </w:t>
      </w:r>
      <w:r w:rsidRPr="00D10A95">
        <w:rPr>
          <w:rFonts w:hint="cs"/>
          <w:sz w:val="18"/>
          <w:szCs w:val="18"/>
          <w:rtl/>
        </w:rPr>
        <w:t>(ע"פ הרשב"א)</w:t>
      </w:r>
      <w:r w:rsidRPr="00D10A95">
        <w:rPr>
          <w:rFonts w:hint="cs"/>
          <w:b/>
          <w:bCs/>
          <w:sz w:val="18"/>
          <w:szCs w:val="18"/>
          <w:rtl/>
        </w:rPr>
        <w:t xml:space="preserve"> </w:t>
      </w:r>
      <w:r>
        <w:rPr>
          <w:sz w:val="20"/>
          <w:szCs w:val="20"/>
          <w:rtl/>
        </w:rPr>
        <w:t>–</w:t>
      </w:r>
      <w:r>
        <w:rPr>
          <w:rFonts w:hint="cs"/>
          <w:sz w:val="20"/>
          <w:szCs w:val="20"/>
          <w:rtl/>
        </w:rPr>
        <w:t xml:space="preserve"> "</w:t>
      </w:r>
      <w:r w:rsidRPr="00D10A95">
        <w:rPr>
          <w:rFonts w:cs="Arial" w:hint="cs"/>
          <w:sz w:val="20"/>
          <w:szCs w:val="20"/>
          <w:rtl/>
        </w:rPr>
        <w:t>היולדת</w:t>
      </w:r>
      <w:r w:rsidRPr="00D10A95">
        <w:rPr>
          <w:rFonts w:cs="Arial"/>
          <w:sz w:val="20"/>
          <w:szCs w:val="20"/>
          <w:rtl/>
        </w:rPr>
        <w:t xml:space="preserve"> </w:t>
      </w:r>
      <w:r w:rsidRPr="00D10A95">
        <w:rPr>
          <w:rFonts w:cs="Arial" w:hint="cs"/>
          <w:sz w:val="20"/>
          <w:szCs w:val="20"/>
          <w:rtl/>
        </w:rPr>
        <w:t>תאומים</w:t>
      </w:r>
      <w:r w:rsidRPr="00D10A95">
        <w:rPr>
          <w:rFonts w:cs="Arial"/>
          <w:sz w:val="20"/>
          <w:szCs w:val="20"/>
          <w:rtl/>
        </w:rPr>
        <w:t xml:space="preserve"> </w:t>
      </w:r>
      <w:r w:rsidRPr="00D10A95">
        <w:rPr>
          <w:rFonts w:cs="Arial" w:hint="cs"/>
          <w:sz w:val="20"/>
          <w:szCs w:val="20"/>
          <w:rtl/>
        </w:rPr>
        <w:t>ושהה</w:t>
      </w:r>
      <w:r w:rsidRPr="00D10A95">
        <w:rPr>
          <w:rFonts w:cs="Arial"/>
          <w:sz w:val="20"/>
          <w:szCs w:val="20"/>
          <w:rtl/>
        </w:rPr>
        <w:t xml:space="preserve"> </w:t>
      </w:r>
      <w:r w:rsidRPr="00D10A95">
        <w:rPr>
          <w:rFonts w:cs="Arial" w:hint="cs"/>
          <w:sz w:val="20"/>
          <w:szCs w:val="20"/>
          <w:rtl/>
        </w:rPr>
        <w:t>ולד</w:t>
      </w:r>
      <w:r w:rsidRPr="00D10A95">
        <w:rPr>
          <w:rFonts w:cs="Arial"/>
          <w:sz w:val="20"/>
          <w:szCs w:val="20"/>
          <w:rtl/>
        </w:rPr>
        <w:t xml:space="preserve"> </w:t>
      </w:r>
      <w:r w:rsidRPr="00D10A95">
        <w:rPr>
          <w:rFonts w:cs="Arial" w:hint="cs"/>
          <w:sz w:val="20"/>
          <w:szCs w:val="20"/>
          <w:rtl/>
        </w:rPr>
        <w:t>אחר</w:t>
      </w:r>
      <w:r w:rsidRPr="00D10A95">
        <w:rPr>
          <w:rFonts w:cs="Arial"/>
          <w:sz w:val="20"/>
          <w:szCs w:val="20"/>
          <w:rtl/>
        </w:rPr>
        <w:t xml:space="preserve"> </w:t>
      </w:r>
      <w:r w:rsidRPr="00D10A95">
        <w:rPr>
          <w:rFonts w:cs="Arial" w:hint="cs"/>
          <w:sz w:val="20"/>
          <w:szCs w:val="20"/>
          <w:rtl/>
        </w:rPr>
        <w:t>חבירו</w:t>
      </w:r>
      <w:r w:rsidRPr="00D10A95">
        <w:rPr>
          <w:rFonts w:cs="Arial"/>
          <w:sz w:val="20"/>
          <w:szCs w:val="20"/>
          <w:rtl/>
        </w:rPr>
        <w:t xml:space="preserve">, </w:t>
      </w:r>
      <w:r w:rsidRPr="00D10A95">
        <w:rPr>
          <w:rFonts w:cs="Arial" w:hint="cs"/>
          <w:sz w:val="20"/>
          <w:szCs w:val="20"/>
          <w:rtl/>
        </w:rPr>
        <w:t>כגון</w:t>
      </w:r>
      <w:r w:rsidRPr="00D10A95">
        <w:rPr>
          <w:rFonts w:cs="Arial"/>
          <w:sz w:val="20"/>
          <w:szCs w:val="20"/>
          <w:rtl/>
        </w:rPr>
        <w:t xml:space="preserve"> </w:t>
      </w:r>
      <w:r w:rsidRPr="00D10A95">
        <w:rPr>
          <w:rFonts w:cs="Arial" w:hint="cs"/>
          <w:sz w:val="20"/>
          <w:szCs w:val="20"/>
          <w:rtl/>
        </w:rPr>
        <w:t>האחד</w:t>
      </w:r>
      <w:r w:rsidRPr="00D10A95">
        <w:rPr>
          <w:rFonts w:cs="Arial"/>
          <w:sz w:val="20"/>
          <w:szCs w:val="20"/>
          <w:rtl/>
        </w:rPr>
        <w:t xml:space="preserve"> </w:t>
      </w:r>
      <w:r w:rsidRPr="00D10A95">
        <w:rPr>
          <w:rFonts w:cs="Arial" w:hint="cs"/>
          <w:sz w:val="20"/>
          <w:szCs w:val="20"/>
          <w:rtl/>
        </w:rPr>
        <w:t>קודם</w:t>
      </w:r>
      <w:r w:rsidRPr="00D10A95">
        <w:rPr>
          <w:rFonts w:cs="Arial"/>
          <w:sz w:val="20"/>
          <w:szCs w:val="20"/>
          <w:rtl/>
        </w:rPr>
        <w:t xml:space="preserve"> </w:t>
      </w:r>
      <w:r w:rsidRPr="00D10A95">
        <w:rPr>
          <w:rFonts w:cs="Arial" w:hint="cs"/>
          <w:sz w:val="20"/>
          <w:szCs w:val="20"/>
          <w:rtl/>
        </w:rPr>
        <w:t>שקיעת</w:t>
      </w:r>
      <w:r w:rsidRPr="00D10A95">
        <w:rPr>
          <w:rFonts w:cs="Arial"/>
          <w:sz w:val="20"/>
          <w:szCs w:val="20"/>
          <w:rtl/>
        </w:rPr>
        <w:t xml:space="preserve"> </w:t>
      </w:r>
      <w:r w:rsidRPr="00D10A95">
        <w:rPr>
          <w:rFonts w:cs="Arial" w:hint="cs"/>
          <w:sz w:val="20"/>
          <w:szCs w:val="20"/>
          <w:rtl/>
        </w:rPr>
        <w:t>החמה</w:t>
      </w:r>
      <w:r w:rsidRPr="00D10A95">
        <w:rPr>
          <w:rFonts w:cs="Arial"/>
          <w:sz w:val="20"/>
          <w:szCs w:val="20"/>
          <w:rtl/>
        </w:rPr>
        <w:t xml:space="preserve"> </w:t>
      </w:r>
      <w:r w:rsidRPr="00D10A95">
        <w:rPr>
          <w:rFonts w:cs="Arial" w:hint="cs"/>
          <w:sz w:val="20"/>
          <w:szCs w:val="20"/>
          <w:rtl/>
        </w:rPr>
        <w:t>והאחר</w:t>
      </w:r>
      <w:r w:rsidRPr="00D10A95">
        <w:rPr>
          <w:rFonts w:cs="Arial"/>
          <w:sz w:val="20"/>
          <w:szCs w:val="20"/>
          <w:rtl/>
        </w:rPr>
        <w:t xml:space="preserve"> </w:t>
      </w:r>
      <w:r w:rsidRPr="00D10A95">
        <w:rPr>
          <w:rFonts w:cs="Arial" w:hint="cs"/>
          <w:sz w:val="20"/>
          <w:szCs w:val="20"/>
          <w:rtl/>
        </w:rPr>
        <w:t>אחר</w:t>
      </w:r>
      <w:r w:rsidRPr="00D10A95">
        <w:rPr>
          <w:rFonts w:cs="Arial"/>
          <w:sz w:val="20"/>
          <w:szCs w:val="20"/>
          <w:rtl/>
        </w:rPr>
        <w:t xml:space="preserve"> </w:t>
      </w:r>
      <w:r w:rsidRPr="00D10A95">
        <w:rPr>
          <w:rFonts w:cs="Arial" w:hint="cs"/>
          <w:sz w:val="20"/>
          <w:szCs w:val="20"/>
          <w:rtl/>
        </w:rPr>
        <w:t>שקיעת</w:t>
      </w:r>
      <w:r w:rsidRPr="00D10A95">
        <w:rPr>
          <w:rFonts w:cs="Arial"/>
          <w:sz w:val="20"/>
          <w:szCs w:val="20"/>
          <w:rtl/>
        </w:rPr>
        <w:t xml:space="preserve"> </w:t>
      </w:r>
      <w:r w:rsidRPr="00D10A95">
        <w:rPr>
          <w:rFonts w:cs="Arial" w:hint="cs"/>
          <w:sz w:val="20"/>
          <w:szCs w:val="20"/>
          <w:rtl/>
        </w:rPr>
        <w:t>החמה</w:t>
      </w:r>
      <w:r w:rsidRPr="00D10A95">
        <w:rPr>
          <w:rFonts w:cs="Arial"/>
          <w:sz w:val="20"/>
          <w:szCs w:val="20"/>
          <w:rtl/>
        </w:rPr>
        <w:t xml:space="preserve">, </w:t>
      </w:r>
      <w:r w:rsidRPr="00D10A95">
        <w:rPr>
          <w:rFonts w:cs="Arial" w:hint="cs"/>
          <w:sz w:val="20"/>
          <w:szCs w:val="20"/>
          <w:rtl/>
        </w:rPr>
        <w:t>משיצא</w:t>
      </w:r>
      <w:r w:rsidRPr="00D10A95">
        <w:rPr>
          <w:rFonts w:cs="Arial"/>
          <w:sz w:val="20"/>
          <w:szCs w:val="20"/>
          <w:rtl/>
        </w:rPr>
        <w:t xml:space="preserve"> </w:t>
      </w:r>
      <w:r w:rsidRPr="00D10A95">
        <w:rPr>
          <w:rFonts w:cs="Arial" w:hint="cs"/>
          <w:sz w:val="20"/>
          <w:szCs w:val="20"/>
          <w:rtl/>
        </w:rPr>
        <w:t>הראשון</w:t>
      </w:r>
      <w:r w:rsidRPr="00D10A95">
        <w:rPr>
          <w:rFonts w:cs="Arial"/>
          <w:sz w:val="20"/>
          <w:szCs w:val="20"/>
          <w:rtl/>
        </w:rPr>
        <w:t xml:space="preserve"> </w:t>
      </w:r>
      <w:r w:rsidRPr="00D10A95">
        <w:rPr>
          <w:rFonts w:cs="Arial" w:hint="cs"/>
          <w:sz w:val="20"/>
          <w:szCs w:val="20"/>
          <w:rtl/>
        </w:rPr>
        <w:t>טמאה</w:t>
      </w:r>
      <w:r w:rsidRPr="00D10A95">
        <w:rPr>
          <w:rFonts w:cs="Arial"/>
          <w:sz w:val="20"/>
          <w:szCs w:val="20"/>
          <w:rtl/>
        </w:rPr>
        <w:t xml:space="preserve"> </w:t>
      </w:r>
      <w:r w:rsidRPr="00D10A95">
        <w:rPr>
          <w:rFonts w:cs="Arial" w:hint="cs"/>
          <w:sz w:val="20"/>
          <w:szCs w:val="20"/>
          <w:rtl/>
        </w:rPr>
        <w:t>לידה</w:t>
      </w:r>
      <w:r w:rsidRPr="00D10A95">
        <w:rPr>
          <w:rFonts w:cs="Arial"/>
          <w:sz w:val="20"/>
          <w:szCs w:val="20"/>
          <w:rtl/>
        </w:rPr>
        <w:t xml:space="preserve"> </w:t>
      </w:r>
      <w:r w:rsidRPr="00D10A95">
        <w:rPr>
          <w:rFonts w:cs="Arial" w:hint="cs"/>
          <w:sz w:val="20"/>
          <w:szCs w:val="20"/>
          <w:rtl/>
        </w:rPr>
        <w:t>ומונין</w:t>
      </w:r>
      <w:r w:rsidRPr="00D10A95">
        <w:rPr>
          <w:rFonts w:cs="Arial"/>
          <w:sz w:val="20"/>
          <w:szCs w:val="20"/>
          <w:rtl/>
        </w:rPr>
        <w:t xml:space="preserve"> </w:t>
      </w:r>
      <w:r w:rsidRPr="00D10A95">
        <w:rPr>
          <w:rFonts w:cs="Arial" w:hint="cs"/>
          <w:sz w:val="20"/>
          <w:szCs w:val="20"/>
          <w:rtl/>
        </w:rPr>
        <w:t>ימי</w:t>
      </w:r>
      <w:r w:rsidRPr="00D10A95">
        <w:rPr>
          <w:rFonts w:cs="Arial"/>
          <w:sz w:val="20"/>
          <w:szCs w:val="20"/>
          <w:rtl/>
        </w:rPr>
        <w:t xml:space="preserve"> </w:t>
      </w:r>
      <w:r w:rsidRPr="00D10A95">
        <w:rPr>
          <w:rFonts w:cs="Arial" w:hint="cs"/>
          <w:sz w:val="20"/>
          <w:szCs w:val="20"/>
          <w:rtl/>
        </w:rPr>
        <w:t>טומאה</w:t>
      </w:r>
      <w:r w:rsidRPr="00D10A95">
        <w:rPr>
          <w:rFonts w:cs="Arial"/>
          <w:sz w:val="20"/>
          <w:szCs w:val="20"/>
          <w:rtl/>
        </w:rPr>
        <w:t xml:space="preserve"> </w:t>
      </w:r>
      <w:r w:rsidRPr="00D10A95">
        <w:rPr>
          <w:rFonts w:cs="Arial" w:hint="cs"/>
          <w:sz w:val="20"/>
          <w:szCs w:val="20"/>
          <w:rtl/>
        </w:rPr>
        <w:t>משיצא</w:t>
      </w:r>
      <w:r w:rsidRPr="00D10A95">
        <w:rPr>
          <w:rFonts w:cs="Arial"/>
          <w:sz w:val="20"/>
          <w:szCs w:val="20"/>
          <w:rtl/>
        </w:rPr>
        <w:t xml:space="preserve"> </w:t>
      </w:r>
      <w:r w:rsidRPr="00D10A95">
        <w:rPr>
          <w:rFonts w:cs="Arial" w:hint="cs"/>
          <w:sz w:val="20"/>
          <w:szCs w:val="20"/>
          <w:rtl/>
        </w:rPr>
        <w:t>האחרון</w:t>
      </w:r>
      <w:r w:rsidRPr="00D10A95">
        <w:rPr>
          <w:rFonts w:cs="Arial"/>
          <w:sz w:val="20"/>
          <w:szCs w:val="20"/>
          <w:rtl/>
        </w:rPr>
        <w:t xml:space="preserve">; </w:t>
      </w:r>
      <w:r w:rsidRPr="00D10A95">
        <w:rPr>
          <w:rFonts w:cs="Arial" w:hint="cs"/>
          <w:sz w:val="20"/>
          <w:szCs w:val="20"/>
          <w:rtl/>
        </w:rPr>
        <w:t>ואם</w:t>
      </w:r>
      <w:r w:rsidRPr="00D10A95">
        <w:rPr>
          <w:rFonts w:cs="Arial"/>
          <w:sz w:val="20"/>
          <w:szCs w:val="20"/>
          <w:rtl/>
        </w:rPr>
        <w:t xml:space="preserve"> </w:t>
      </w:r>
      <w:r w:rsidRPr="00D10A95">
        <w:rPr>
          <w:rFonts w:cs="Arial" w:hint="cs"/>
          <w:sz w:val="20"/>
          <w:szCs w:val="20"/>
          <w:rtl/>
        </w:rPr>
        <w:t>הראשון</w:t>
      </w:r>
      <w:r w:rsidRPr="00D10A95">
        <w:rPr>
          <w:rFonts w:cs="Arial"/>
          <w:sz w:val="20"/>
          <w:szCs w:val="20"/>
          <w:rtl/>
        </w:rPr>
        <w:t xml:space="preserve"> </w:t>
      </w:r>
      <w:r w:rsidRPr="00D10A95">
        <w:rPr>
          <w:rFonts w:cs="Arial" w:hint="cs"/>
          <w:sz w:val="20"/>
          <w:szCs w:val="20"/>
          <w:rtl/>
        </w:rPr>
        <w:t>ניכר</w:t>
      </w:r>
      <w:r w:rsidRPr="00D10A95">
        <w:rPr>
          <w:rFonts w:cs="Arial"/>
          <w:sz w:val="20"/>
          <w:szCs w:val="20"/>
          <w:rtl/>
        </w:rPr>
        <w:t xml:space="preserve"> </w:t>
      </w:r>
      <w:r w:rsidRPr="00D10A95">
        <w:rPr>
          <w:rFonts w:cs="Arial" w:hint="cs"/>
          <w:sz w:val="20"/>
          <w:szCs w:val="20"/>
          <w:rtl/>
        </w:rPr>
        <w:t>שהוא</w:t>
      </w:r>
      <w:r w:rsidRPr="00D10A95">
        <w:rPr>
          <w:rFonts w:cs="Arial"/>
          <w:sz w:val="20"/>
          <w:szCs w:val="20"/>
          <w:rtl/>
        </w:rPr>
        <w:t xml:space="preserve"> </w:t>
      </w:r>
      <w:r w:rsidRPr="00D10A95">
        <w:rPr>
          <w:rFonts w:cs="Arial" w:hint="cs"/>
          <w:sz w:val="20"/>
          <w:szCs w:val="20"/>
          <w:rtl/>
        </w:rPr>
        <w:t>זכר</w:t>
      </w:r>
      <w:r w:rsidRPr="00D10A95">
        <w:rPr>
          <w:rFonts w:cs="Arial"/>
          <w:sz w:val="20"/>
          <w:szCs w:val="20"/>
          <w:rtl/>
        </w:rPr>
        <w:t xml:space="preserve"> </w:t>
      </w:r>
      <w:r w:rsidRPr="00D10A95">
        <w:rPr>
          <w:rFonts w:cs="Arial" w:hint="cs"/>
          <w:sz w:val="20"/>
          <w:szCs w:val="20"/>
          <w:rtl/>
        </w:rPr>
        <w:t>והשני</w:t>
      </w:r>
      <w:r w:rsidRPr="00D10A95">
        <w:rPr>
          <w:rFonts w:cs="Arial"/>
          <w:sz w:val="20"/>
          <w:szCs w:val="20"/>
          <w:rtl/>
        </w:rPr>
        <w:t xml:space="preserve"> </w:t>
      </w:r>
      <w:r w:rsidRPr="00D10A95">
        <w:rPr>
          <w:rFonts w:cs="Arial" w:hint="cs"/>
          <w:sz w:val="20"/>
          <w:szCs w:val="20"/>
          <w:rtl/>
        </w:rPr>
        <w:t>ניכר</w:t>
      </w:r>
      <w:r w:rsidRPr="00D10A95">
        <w:rPr>
          <w:rFonts w:cs="Arial"/>
          <w:sz w:val="20"/>
          <w:szCs w:val="20"/>
          <w:rtl/>
        </w:rPr>
        <w:t xml:space="preserve"> </w:t>
      </w:r>
      <w:r w:rsidRPr="00D10A95">
        <w:rPr>
          <w:rFonts w:cs="Arial" w:hint="cs"/>
          <w:sz w:val="20"/>
          <w:szCs w:val="20"/>
          <w:rtl/>
        </w:rPr>
        <w:t>שהוא</w:t>
      </w:r>
      <w:r w:rsidRPr="00D10A95">
        <w:rPr>
          <w:rFonts w:cs="Arial"/>
          <w:sz w:val="20"/>
          <w:szCs w:val="20"/>
          <w:rtl/>
        </w:rPr>
        <w:t xml:space="preserve"> </w:t>
      </w:r>
      <w:r w:rsidRPr="00D10A95">
        <w:rPr>
          <w:rFonts w:cs="Arial" w:hint="cs"/>
          <w:sz w:val="20"/>
          <w:szCs w:val="20"/>
          <w:rtl/>
        </w:rPr>
        <w:t>נקבה</w:t>
      </w:r>
      <w:r w:rsidRPr="00D10A95">
        <w:rPr>
          <w:rFonts w:cs="Arial"/>
          <w:sz w:val="20"/>
          <w:szCs w:val="20"/>
          <w:rtl/>
        </w:rPr>
        <w:t xml:space="preserve">, </w:t>
      </w:r>
      <w:r w:rsidRPr="00D10A95">
        <w:rPr>
          <w:rFonts w:cs="Arial" w:hint="cs"/>
          <w:sz w:val="20"/>
          <w:szCs w:val="20"/>
          <w:rtl/>
        </w:rPr>
        <w:t>או</w:t>
      </w:r>
      <w:r w:rsidRPr="00D10A95">
        <w:rPr>
          <w:rFonts w:cs="Arial"/>
          <w:sz w:val="20"/>
          <w:szCs w:val="20"/>
          <w:rtl/>
        </w:rPr>
        <w:t xml:space="preserve"> </w:t>
      </w:r>
      <w:r w:rsidRPr="00D10A95">
        <w:rPr>
          <w:rFonts w:cs="Arial" w:hint="cs"/>
          <w:sz w:val="20"/>
          <w:szCs w:val="20"/>
          <w:rtl/>
        </w:rPr>
        <w:t>שאינו</w:t>
      </w:r>
      <w:r w:rsidRPr="00D10A95">
        <w:rPr>
          <w:rFonts w:cs="Arial"/>
          <w:sz w:val="20"/>
          <w:szCs w:val="20"/>
          <w:rtl/>
        </w:rPr>
        <w:t xml:space="preserve"> </w:t>
      </w:r>
      <w:r w:rsidRPr="00D10A95">
        <w:rPr>
          <w:rFonts w:cs="Arial" w:hint="cs"/>
          <w:sz w:val="20"/>
          <w:szCs w:val="20"/>
          <w:rtl/>
        </w:rPr>
        <w:t>ניכר</w:t>
      </w:r>
      <w:r w:rsidRPr="00D10A95">
        <w:rPr>
          <w:rFonts w:cs="Arial"/>
          <w:sz w:val="20"/>
          <w:szCs w:val="20"/>
          <w:rtl/>
        </w:rPr>
        <w:t xml:space="preserve"> </w:t>
      </w:r>
      <w:r w:rsidRPr="00D10A95">
        <w:rPr>
          <w:rFonts w:cs="Arial" w:hint="cs"/>
          <w:sz w:val="20"/>
          <w:szCs w:val="20"/>
          <w:rtl/>
        </w:rPr>
        <w:t>שני</w:t>
      </w:r>
      <w:r w:rsidRPr="00D10A95">
        <w:rPr>
          <w:rFonts w:cs="Arial"/>
          <w:sz w:val="20"/>
          <w:szCs w:val="20"/>
          <w:rtl/>
        </w:rPr>
        <w:t xml:space="preserve"> </w:t>
      </w:r>
      <w:r w:rsidRPr="00D10A95">
        <w:rPr>
          <w:rFonts w:cs="Arial" w:hint="cs"/>
          <w:sz w:val="20"/>
          <w:szCs w:val="20"/>
          <w:rtl/>
        </w:rPr>
        <w:t>זה</w:t>
      </w:r>
      <w:r w:rsidRPr="00D10A95">
        <w:rPr>
          <w:rFonts w:cs="Arial"/>
          <w:sz w:val="20"/>
          <w:szCs w:val="20"/>
          <w:rtl/>
        </w:rPr>
        <w:t xml:space="preserve"> </w:t>
      </w:r>
      <w:r w:rsidRPr="00D10A95">
        <w:rPr>
          <w:rFonts w:cs="Arial" w:hint="cs"/>
          <w:sz w:val="20"/>
          <w:szCs w:val="20"/>
          <w:rtl/>
        </w:rPr>
        <w:t>אם</w:t>
      </w:r>
      <w:r w:rsidRPr="00D10A95">
        <w:rPr>
          <w:rFonts w:cs="Arial"/>
          <w:sz w:val="20"/>
          <w:szCs w:val="20"/>
          <w:rtl/>
        </w:rPr>
        <w:t xml:space="preserve"> </w:t>
      </w:r>
      <w:r w:rsidRPr="00D10A95">
        <w:rPr>
          <w:rFonts w:cs="Arial" w:hint="cs"/>
          <w:sz w:val="20"/>
          <w:szCs w:val="20"/>
          <w:rtl/>
        </w:rPr>
        <w:t>הוא</w:t>
      </w:r>
      <w:r w:rsidRPr="00D10A95">
        <w:rPr>
          <w:rFonts w:cs="Arial"/>
          <w:sz w:val="20"/>
          <w:szCs w:val="20"/>
          <w:rtl/>
        </w:rPr>
        <w:t xml:space="preserve"> </w:t>
      </w:r>
      <w:r w:rsidRPr="00D10A95">
        <w:rPr>
          <w:rFonts w:cs="Arial" w:hint="cs"/>
          <w:sz w:val="20"/>
          <w:szCs w:val="20"/>
          <w:rtl/>
        </w:rPr>
        <w:t>זכר</w:t>
      </w:r>
      <w:r w:rsidRPr="00D10A95">
        <w:rPr>
          <w:rFonts w:cs="Arial"/>
          <w:sz w:val="20"/>
          <w:szCs w:val="20"/>
          <w:rtl/>
        </w:rPr>
        <w:t xml:space="preserve"> </w:t>
      </w:r>
      <w:r w:rsidRPr="00D10A95">
        <w:rPr>
          <w:rFonts w:cs="Arial" w:hint="cs"/>
          <w:sz w:val="20"/>
          <w:szCs w:val="20"/>
          <w:rtl/>
        </w:rPr>
        <w:t>או</w:t>
      </w:r>
      <w:r w:rsidRPr="00D10A95">
        <w:rPr>
          <w:rFonts w:cs="Arial"/>
          <w:sz w:val="20"/>
          <w:szCs w:val="20"/>
          <w:rtl/>
        </w:rPr>
        <w:t xml:space="preserve"> </w:t>
      </w:r>
      <w:r w:rsidRPr="00D10A95">
        <w:rPr>
          <w:rFonts w:cs="Arial" w:hint="cs"/>
          <w:sz w:val="20"/>
          <w:szCs w:val="20"/>
          <w:rtl/>
        </w:rPr>
        <w:t>נקבה</w:t>
      </w:r>
      <w:r w:rsidRPr="00D10A95">
        <w:rPr>
          <w:rFonts w:cs="Arial"/>
          <w:sz w:val="20"/>
          <w:szCs w:val="20"/>
          <w:rtl/>
        </w:rPr>
        <w:t xml:space="preserve">, </w:t>
      </w:r>
      <w:r w:rsidRPr="00D10A95">
        <w:rPr>
          <w:rFonts w:cs="Arial" w:hint="cs"/>
          <w:sz w:val="20"/>
          <w:szCs w:val="20"/>
          <w:rtl/>
        </w:rPr>
        <w:t>מונה</w:t>
      </w:r>
      <w:r w:rsidRPr="00D10A95">
        <w:rPr>
          <w:rFonts w:cs="Arial"/>
          <w:sz w:val="20"/>
          <w:szCs w:val="20"/>
          <w:rtl/>
        </w:rPr>
        <w:t xml:space="preserve"> </w:t>
      </w:r>
      <w:r w:rsidRPr="00D10A95">
        <w:rPr>
          <w:rFonts w:cs="Arial" w:hint="cs"/>
          <w:sz w:val="20"/>
          <w:szCs w:val="20"/>
          <w:rtl/>
        </w:rPr>
        <w:t>משיצא</w:t>
      </w:r>
      <w:r w:rsidRPr="00D10A95">
        <w:rPr>
          <w:rFonts w:cs="Arial"/>
          <w:sz w:val="20"/>
          <w:szCs w:val="20"/>
          <w:rtl/>
        </w:rPr>
        <w:t xml:space="preserve"> </w:t>
      </w:r>
      <w:r w:rsidRPr="00D10A95">
        <w:rPr>
          <w:rFonts w:cs="Arial" w:hint="cs"/>
          <w:sz w:val="20"/>
          <w:szCs w:val="20"/>
          <w:rtl/>
        </w:rPr>
        <w:t>השני</w:t>
      </w:r>
      <w:r w:rsidRPr="00D10A95">
        <w:rPr>
          <w:rFonts w:cs="Arial"/>
          <w:sz w:val="20"/>
          <w:szCs w:val="20"/>
          <w:rtl/>
        </w:rPr>
        <w:t xml:space="preserve"> </w:t>
      </w:r>
      <w:r w:rsidRPr="00D10A95">
        <w:rPr>
          <w:rFonts w:cs="Arial" w:hint="cs"/>
          <w:sz w:val="20"/>
          <w:szCs w:val="20"/>
          <w:rtl/>
        </w:rPr>
        <w:t>ימי</w:t>
      </w:r>
      <w:r w:rsidRPr="00D10A95">
        <w:rPr>
          <w:rFonts w:cs="Arial"/>
          <w:sz w:val="20"/>
          <w:szCs w:val="20"/>
          <w:rtl/>
        </w:rPr>
        <w:t xml:space="preserve"> </w:t>
      </w:r>
      <w:r w:rsidRPr="00D10A95">
        <w:rPr>
          <w:rFonts w:cs="Arial" w:hint="cs"/>
          <w:sz w:val="20"/>
          <w:szCs w:val="20"/>
          <w:rtl/>
        </w:rPr>
        <w:t>טומאה</w:t>
      </w:r>
      <w:r w:rsidRPr="00D10A95">
        <w:rPr>
          <w:rFonts w:cs="Arial"/>
          <w:sz w:val="20"/>
          <w:szCs w:val="20"/>
          <w:rtl/>
        </w:rPr>
        <w:t xml:space="preserve"> </w:t>
      </w:r>
      <w:r w:rsidRPr="00D10A95">
        <w:rPr>
          <w:rFonts w:cs="Arial" w:hint="cs"/>
          <w:sz w:val="20"/>
          <w:szCs w:val="20"/>
          <w:rtl/>
        </w:rPr>
        <w:t>לנקבה</w:t>
      </w:r>
      <w:r>
        <w:rPr>
          <w:rFonts w:cs="Arial" w:hint="cs"/>
          <w:sz w:val="20"/>
          <w:szCs w:val="20"/>
          <w:rtl/>
        </w:rPr>
        <w:t>"</w:t>
      </w:r>
      <w:r w:rsidRPr="00D10A95">
        <w:rPr>
          <w:rFonts w:cs="Arial"/>
          <w:sz w:val="20"/>
          <w:szCs w:val="20"/>
          <w:rtl/>
        </w:rPr>
        <w:t>.</w:t>
      </w:r>
    </w:p>
    <w:p w:rsidR="00620060" w:rsidRDefault="00620060" w:rsidP="00620060">
      <w:pPr>
        <w:rPr>
          <w:rFonts w:cs="Arial"/>
          <w:sz w:val="20"/>
          <w:szCs w:val="20"/>
          <w:rtl/>
        </w:rPr>
      </w:pPr>
      <w:r>
        <w:rPr>
          <w:b/>
          <w:bCs/>
          <w:sz w:val="20"/>
          <w:szCs w:val="20"/>
          <w:rtl/>
        </w:rPr>
        <w:br/>
      </w:r>
      <w:r w:rsidRPr="006A6C4F">
        <w:rPr>
          <w:rFonts w:hint="cs"/>
          <w:b/>
          <w:bCs/>
          <w:sz w:val="20"/>
          <w:szCs w:val="20"/>
          <w:rtl/>
        </w:rPr>
        <w:t xml:space="preserve">סעיף יד </w:t>
      </w:r>
      <w:r w:rsidRPr="006A6C4F">
        <w:rPr>
          <w:b/>
          <w:bCs/>
          <w:sz w:val="20"/>
          <w:szCs w:val="20"/>
          <w:rtl/>
        </w:rPr>
        <w:t>–</w:t>
      </w:r>
      <w:r w:rsidRPr="006A6C4F">
        <w:rPr>
          <w:rFonts w:hint="cs"/>
          <w:b/>
          <w:bCs/>
          <w:sz w:val="20"/>
          <w:szCs w:val="20"/>
          <w:rtl/>
        </w:rPr>
        <w:t xml:space="preserve"> יולדת דרך דופן</w:t>
      </w:r>
      <w:r>
        <w:rPr>
          <w:rFonts w:hint="cs"/>
          <w:b/>
          <w:bCs/>
          <w:sz w:val="20"/>
          <w:szCs w:val="20"/>
          <w:rtl/>
        </w:rPr>
        <w:br/>
        <w:t>מקור הדין</w:t>
      </w:r>
      <w:r>
        <w:rPr>
          <w:b/>
          <w:bCs/>
          <w:sz w:val="20"/>
          <w:szCs w:val="20"/>
          <w:rtl/>
        </w:rPr>
        <w:br/>
      </w:r>
      <w:r>
        <w:rPr>
          <w:rFonts w:cs="Arial" w:hint="cs"/>
          <w:b/>
          <w:bCs/>
          <w:sz w:val="20"/>
          <w:szCs w:val="20"/>
          <w:rtl/>
        </w:rPr>
        <w:t xml:space="preserve">משנה </w:t>
      </w:r>
      <w:r w:rsidRPr="00665110">
        <w:rPr>
          <w:rFonts w:cs="Arial" w:hint="cs"/>
          <w:sz w:val="20"/>
          <w:szCs w:val="20"/>
          <w:rtl/>
        </w:rPr>
        <w:t>נידה (מ.) "יוצא</w:t>
      </w:r>
      <w:r w:rsidRPr="00665110">
        <w:rPr>
          <w:rFonts w:cs="Arial"/>
          <w:sz w:val="20"/>
          <w:szCs w:val="20"/>
          <w:rtl/>
        </w:rPr>
        <w:t xml:space="preserve"> </w:t>
      </w:r>
      <w:r w:rsidRPr="00665110">
        <w:rPr>
          <w:rFonts w:cs="Arial" w:hint="cs"/>
          <w:sz w:val="20"/>
          <w:szCs w:val="20"/>
          <w:rtl/>
        </w:rPr>
        <w:t>דופן</w:t>
      </w:r>
      <w:r w:rsidRPr="00665110">
        <w:rPr>
          <w:rFonts w:cs="Arial"/>
          <w:sz w:val="20"/>
          <w:szCs w:val="20"/>
          <w:rtl/>
        </w:rPr>
        <w:t xml:space="preserve"> </w:t>
      </w:r>
      <w:r w:rsidRPr="00665110">
        <w:rPr>
          <w:rFonts w:cs="Arial" w:hint="cs"/>
          <w:sz w:val="20"/>
          <w:szCs w:val="20"/>
          <w:rtl/>
        </w:rPr>
        <w:t>אין</w:t>
      </w:r>
      <w:r w:rsidRPr="00665110">
        <w:rPr>
          <w:rFonts w:cs="Arial"/>
          <w:sz w:val="20"/>
          <w:szCs w:val="20"/>
          <w:rtl/>
        </w:rPr>
        <w:t xml:space="preserve"> </w:t>
      </w:r>
      <w:r w:rsidRPr="00665110">
        <w:rPr>
          <w:rFonts w:cs="Arial" w:hint="cs"/>
          <w:sz w:val="20"/>
          <w:szCs w:val="20"/>
          <w:rtl/>
        </w:rPr>
        <w:t>יושבין</w:t>
      </w:r>
      <w:r w:rsidRPr="00665110">
        <w:rPr>
          <w:rFonts w:cs="Arial"/>
          <w:sz w:val="20"/>
          <w:szCs w:val="20"/>
          <w:rtl/>
        </w:rPr>
        <w:t xml:space="preserve"> </w:t>
      </w:r>
      <w:r w:rsidRPr="00665110">
        <w:rPr>
          <w:rFonts w:cs="Arial" w:hint="cs"/>
          <w:sz w:val="20"/>
          <w:szCs w:val="20"/>
          <w:rtl/>
        </w:rPr>
        <w:t>עליו</w:t>
      </w:r>
      <w:r w:rsidRPr="00665110">
        <w:rPr>
          <w:rFonts w:cs="Arial"/>
          <w:sz w:val="20"/>
          <w:szCs w:val="20"/>
          <w:rtl/>
        </w:rPr>
        <w:t xml:space="preserve"> </w:t>
      </w:r>
      <w:r w:rsidRPr="00665110">
        <w:rPr>
          <w:rFonts w:cs="Arial" w:hint="cs"/>
          <w:sz w:val="20"/>
          <w:szCs w:val="20"/>
          <w:rtl/>
        </w:rPr>
        <w:t>ימי</w:t>
      </w:r>
      <w:r w:rsidRPr="00665110">
        <w:rPr>
          <w:rFonts w:cs="Arial"/>
          <w:sz w:val="20"/>
          <w:szCs w:val="20"/>
          <w:rtl/>
        </w:rPr>
        <w:t xml:space="preserve"> </w:t>
      </w:r>
      <w:r w:rsidRPr="00665110">
        <w:rPr>
          <w:rFonts w:cs="Arial" w:hint="cs"/>
          <w:sz w:val="20"/>
          <w:szCs w:val="20"/>
          <w:rtl/>
        </w:rPr>
        <w:t>טומאה</w:t>
      </w:r>
      <w:r w:rsidRPr="00665110">
        <w:rPr>
          <w:rFonts w:cs="Arial"/>
          <w:sz w:val="20"/>
          <w:szCs w:val="20"/>
          <w:rtl/>
        </w:rPr>
        <w:t xml:space="preserve"> </w:t>
      </w:r>
      <w:r w:rsidRPr="00665110">
        <w:rPr>
          <w:rFonts w:cs="Arial" w:hint="cs"/>
          <w:sz w:val="20"/>
          <w:szCs w:val="20"/>
          <w:rtl/>
        </w:rPr>
        <w:t>וימי</w:t>
      </w:r>
      <w:r w:rsidRPr="00665110">
        <w:rPr>
          <w:rFonts w:cs="Arial"/>
          <w:sz w:val="20"/>
          <w:szCs w:val="20"/>
          <w:rtl/>
        </w:rPr>
        <w:t xml:space="preserve"> </w:t>
      </w:r>
      <w:r w:rsidRPr="00665110">
        <w:rPr>
          <w:rFonts w:cs="Arial" w:hint="cs"/>
          <w:sz w:val="20"/>
          <w:szCs w:val="20"/>
          <w:rtl/>
        </w:rPr>
        <w:t>טהרה</w:t>
      </w:r>
      <w:r w:rsidRPr="00665110">
        <w:rPr>
          <w:rFonts w:cs="Arial"/>
          <w:sz w:val="20"/>
          <w:szCs w:val="20"/>
          <w:rtl/>
        </w:rPr>
        <w:t xml:space="preserve">, </w:t>
      </w:r>
      <w:r w:rsidRPr="00665110">
        <w:rPr>
          <w:rFonts w:cs="Arial" w:hint="cs"/>
          <w:sz w:val="20"/>
          <w:szCs w:val="20"/>
          <w:rtl/>
        </w:rPr>
        <w:t>ואין</w:t>
      </w:r>
      <w:r w:rsidRPr="00665110">
        <w:rPr>
          <w:rFonts w:cs="Arial"/>
          <w:sz w:val="20"/>
          <w:szCs w:val="20"/>
          <w:rtl/>
        </w:rPr>
        <w:t xml:space="preserve"> </w:t>
      </w:r>
      <w:r w:rsidRPr="00665110">
        <w:rPr>
          <w:rFonts w:cs="Arial" w:hint="cs"/>
          <w:sz w:val="20"/>
          <w:szCs w:val="20"/>
          <w:rtl/>
        </w:rPr>
        <w:t>חייבין</w:t>
      </w:r>
      <w:r w:rsidRPr="00665110">
        <w:rPr>
          <w:rFonts w:cs="Arial"/>
          <w:sz w:val="20"/>
          <w:szCs w:val="20"/>
          <w:rtl/>
        </w:rPr>
        <w:t xml:space="preserve"> </w:t>
      </w:r>
      <w:r w:rsidRPr="00665110">
        <w:rPr>
          <w:rFonts w:cs="Arial" w:hint="cs"/>
          <w:sz w:val="20"/>
          <w:szCs w:val="20"/>
          <w:rtl/>
        </w:rPr>
        <w:t>עליו</w:t>
      </w:r>
      <w:r w:rsidRPr="00665110">
        <w:rPr>
          <w:rFonts w:cs="Arial"/>
          <w:sz w:val="20"/>
          <w:szCs w:val="20"/>
          <w:rtl/>
        </w:rPr>
        <w:t xml:space="preserve"> </w:t>
      </w:r>
      <w:r w:rsidRPr="00665110">
        <w:rPr>
          <w:rFonts w:cs="Arial" w:hint="cs"/>
          <w:sz w:val="20"/>
          <w:szCs w:val="20"/>
          <w:rtl/>
        </w:rPr>
        <w:t>קרבן</w:t>
      </w:r>
      <w:r w:rsidRPr="00665110">
        <w:rPr>
          <w:rFonts w:cs="Arial"/>
          <w:sz w:val="20"/>
          <w:szCs w:val="20"/>
          <w:rtl/>
        </w:rPr>
        <w:t xml:space="preserve">. </w:t>
      </w:r>
      <w:r w:rsidRPr="00665110">
        <w:rPr>
          <w:rFonts w:cs="Arial" w:hint="cs"/>
          <w:sz w:val="20"/>
          <w:szCs w:val="20"/>
          <w:rtl/>
        </w:rPr>
        <w:t>רבי שמעון</w:t>
      </w:r>
      <w:r w:rsidRPr="00665110">
        <w:rPr>
          <w:rFonts w:cs="Arial"/>
          <w:sz w:val="20"/>
          <w:szCs w:val="20"/>
          <w:rtl/>
        </w:rPr>
        <w:t xml:space="preserve"> </w:t>
      </w:r>
      <w:r w:rsidRPr="00665110">
        <w:rPr>
          <w:rFonts w:cs="Arial" w:hint="cs"/>
          <w:sz w:val="20"/>
          <w:szCs w:val="20"/>
          <w:rtl/>
        </w:rPr>
        <w:t>אומר</w:t>
      </w:r>
      <w:r w:rsidRPr="00665110">
        <w:rPr>
          <w:rFonts w:cs="Arial"/>
          <w:sz w:val="20"/>
          <w:szCs w:val="20"/>
          <w:rtl/>
        </w:rPr>
        <w:t xml:space="preserve">: </w:t>
      </w:r>
      <w:r w:rsidRPr="00665110">
        <w:rPr>
          <w:rFonts w:cs="Arial" w:hint="cs"/>
          <w:sz w:val="20"/>
          <w:szCs w:val="20"/>
          <w:rtl/>
        </w:rPr>
        <w:t>הרי</w:t>
      </w:r>
      <w:r w:rsidRPr="00665110">
        <w:rPr>
          <w:rFonts w:cs="Arial"/>
          <w:sz w:val="20"/>
          <w:szCs w:val="20"/>
          <w:rtl/>
        </w:rPr>
        <w:t xml:space="preserve"> </w:t>
      </w:r>
      <w:r w:rsidRPr="00665110">
        <w:rPr>
          <w:rFonts w:cs="Arial" w:hint="cs"/>
          <w:sz w:val="20"/>
          <w:szCs w:val="20"/>
          <w:rtl/>
        </w:rPr>
        <w:t>זה</w:t>
      </w:r>
      <w:r w:rsidRPr="00665110">
        <w:rPr>
          <w:rFonts w:cs="Arial"/>
          <w:sz w:val="20"/>
          <w:szCs w:val="20"/>
          <w:rtl/>
        </w:rPr>
        <w:t xml:space="preserve"> </w:t>
      </w:r>
      <w:r w:rsidRPr="00665110">
        <w:rPr>
          <w:rFonts w:cs="Arial" w:hint="cs"/>
          <w:sz w:val="20"/>
          <w:szCs w:val="20"/>
          <w:rtl/>
        </w:rPr>
        <w:t>כילוד".</w:t>
      </w:r>
      <w:r>
        <w:rPr>
          <w:rFonts w:hint="cs"/>
          <w:sz w:val="20"/>
          <w:szCs w:val="20"/>
          <w:rtl/>
        </w:rPr>
        <w:br/>
      </w:r>
      <w:r w:rsidRPr="00897263">
        <w:rPr>
          <w:rFonts w:hint="cs"/>
          <w:b/>
          <w:bCs/>
          <w:sz w:val="20"/>
          <w:szCs w:val="20"/>
          <w:rtl/>
        </w:rPr>
        <w:t>בית יוסף</w:t>
      </w:r>
      <w:r>
        <w:rPr>
          <w:rFonts w:hint="cs"/>
          <w:sz w:val="20"/>
          <w:szCs w:val="20"/>
          <w:rtl/>
        </w:rPr>
        <w:t xml:space="preserve"> </w:t>
      </w:r>
      <w:r>
        <w:rPr>
          <w:sz w:val="20"/>
          <w:szCs w:val="20"/>
          <w:rtl/>
        </w:rPr>
        <w:t>–</w:t>
      </w:r>
      <w:r>
        <w:rPr>
          <w:rFonts w:hint="cs"/>
          <w:sz w:val="20"/>
          <w:szCs w:val="20"/>
          <w:rtl/>
        </w:rPr>
        <w:t xml:space="preserve"> הלכה כת"ק.</w:t>
      </w:r>
      <w:r>
        <w:rPr>
          <w:rFonts w:cs="Arial"/>
          <w:b/>
          <w:bCs/>
          <w:sz w:val="20"/>
          <w:szCs w:val="20"/>
          <w:rtl/>
        </w:rPr>
        <w:br/>
      </w:r>
      <w:r w:rsidRPr="007917B5">
        <w:rPr>
          <w:rFonts w:cs="Arial" w:hint="cs"/>
          <w:b/>
          <w:bCs/>
          <w:sz w:val="20"/>
          <w:szCs w:val="20"/>
          <w:rtl/>
        </w:rPr>
        <w:t>גמרא</w:t>
      </w:r>
      <w:r w:rsidRPr="00665110">
        <w:rPr>
          <w:rFonts w:cs="Arial"/>
          <w:sz w:val="20"/>
          <w:szCs w:val="20"/>
          <w:rtl/>
        </w:rPr>
        <w:t xml:space="preserve"> </w:t>
      </w:r>
      <w:r w:rsidRPr="00665110">
        <w:rPr>
          <w:rFonts w:cs="Arial" w:hint="cs"/>
          <w:sz w:val="20"/>
          <w:szCs w:val="20"/>
          <w:rtl/>
        </w:rPr>
        <w:t>"אמר רבי</w:t>
      </w:r>
      <w:r w:rsidRPr="00665110">
        <w:rPr>
          <w:rFonts w:cs="Arial"/>
          <w:sz w:val="20"/>
          <w:szCs w:val="20"/>
          <w:rtl/>
        </w:rPr>
        <w:t xml:space="preserve"> </w:t>
      </w:r>
      <w:r w:rsidRPr="00665110">
        <w:rPr>
          <w:rFonts w:cs="Arial" w:hint="cs"/>
          <w:sz w:val="20"/>
          <w:szCs w:val="20"/>
          <w:rtl/>
        </w:rPr>
        <w:t>מני</w:t>
      </w:r>
      <w:r w:rsidRPr="00665110">
        <w:rPr>
          <w:rFonts w:cs="Arial"/>
          <w:sz w:val="20"/>
          <w:szCs w:val="20"/>
          <w:rtl/>
        </w:rPr>
        <w:t xml:space="preserve"> </w:t>
      </w:r>
      <w:r w:rsidRPr="00665110">
        <w:rPr>
          <w:rFonts w:cs="Arial" w:hint="cs"/>
          <w:sz w:val="20"/>
          <w:szCs w:val="20"/>
          <w:rtl/>
        </w:rPr>
        <w:t>בר</w:t>
      </w:r>
      <w:r w:rsidRPr="00665110">
        <w:rPr>
          <w:rFonts w:cs="Arial"/>
          <w:sz w:val="20"/>
          <w:szCs w:val="20"/>
          <w:rtl/>
        </w:rPr>
        <w:t xml:space="preserve"> </w:t>
      </w:r>
      <w:r w:rsidRPr="00665110">
        <w:rPr>
          <w:rFonts w:cs="Arial" w:hint="cs"/>
          <w:sz w:val="20"/>
          <w:szCs w:val="20"/>
          <w:rtl/>
        </w:rPr>
        <w:t>פטיש</w:t>
      </w:r>
      <w:r w:rsidRPr="00665110">
        <w:rPr>
          <w:rFonts w:cs="Arial"/>
          <w:sz w:val="20"/>
          <w:szCs w:val="20"/>
          <w:rtl/>
        </w:rPr>
        <w:t xml:space="preserve">: </w:t>
      </w:r>
      <w:r w:rsidRPr="00665110">
        <w:rPr>
          <w:rFonts w:cs="Arial" w:hint="cs"/>
          <w:sz w:val="20"/>
          <w:szCs w:val="20"/>
          <w:rtl/>
        </w:rPr>
        <w:t>מאי</w:t>
      </w:r>
      <w:r w:rsidRPr="00665110">
        <w:rPr>
          <w:rFonts w:cs="Arial"/>
          <w:sz w:val="20"/>
          <w:szCs w:val="20"/>
          <w:rtl/>
        </w:rPr>
        <w:t xml:space="preserve"> </w:t>
      </w:r>
      <w:r w:rsidRPr="00665110">
        <w:rPr>
          <w:rFonts w:cs="Arial" w:hint="cs"/>
          <w:sz w:val="20"/>
          <w:szCs w:val="20"/>
          <w:rtl/>
        </w:rPr>
        <w:t>טעמייהו</w:t>
      </w:r>
      <w:r w:rsidRPr="00665110">
        <w:rPr>
          <w:rFonts w:cs="Arial"/>
          <w:sz w:val="20"/>
          <w:szCs w:val="20"/>
          <w:rtl/>
        </w:rPr>
        <w:t xml:space="preserve"> </w:t>
      </w:r>
      <w:r w:rsidRPr="00665110">
        <w:rPr>
          <w:rFonts w:cs="Arial" w:hint="cs"/>
          <w:sz w:val="20"/>
          <w:szCs w:val="20"/>
          <w:rtl/>
        </w:rPr>
        <w:t>דרבנן</w:t>
      </w:r>
      <w:r w:rsidRPr="00665110">
        <w:rPr>
          <w:rFonts w:cs="Arial"/>
          <w:sz w:val="20"/>
          <w:szCs w:val="20"/>
          <w:rtl/>
        </w:rPr>
        <w:t xml:space="preserve">. </w:t>
      </w:r>
      <w:r w:rsidRPr="00665110">
        <w:rPr>
          <w:rFonts w:cs="Arial" w:hint="cs"/>
          <w:sz w:val="20"/>
          <w:szCs w:val="20"/>
          <w:rtl/>
        </w:rPr>
        <w:t>אמר</w:t>
      </w:r>
      <w:r w:rsidRPr="00665110">
        <w:rPr>
          <w:rFonts w:cs="Arial"/>
          <w:sz w:val="20"/>
          <w:szCs w:val="20"/>
          <w:rtl/>
        </w:rPr>
        <w:t xml:space="preserve"> </w:t>
      </w:r>
      <w:r w:rsidRPr="00665110">
        <w:rPr>
          <w:rFonts w:cs="Arial" w:hint="cs"/>
          <w:sz w:val="20"/>
          <w:szCs w:val="20"/>
          <w:rtl/>
        </w:rPr>
        <w:t>קרא</w:t>
      </w:r>
      <w:r w:rsidRPr="00665110">
        <w:rPr>
          <w:rFonts w:cs="Arial"/>
          <w:sz w:val="20"/>
          <w:szCs w:val="20"/>
          <w:rtl/>
        </w:rPr>
        <w:t xml:space="preserve"> </w:t>
      </w:r>
      <w:r w:rsidRPr="00665110">
        <w:rPr>
          <w:rFonts w:cs="Arial" w:hint="cs"/>
          <w:sz w:val="20"/>
          <w:szCs w:val="20"/>
          <w:rtl/>
        </w:rPr>
        <w:t>אשה</w:t>
      </w:r>
      <w:r w:rsidRPr="00665110">
        <w:rPr>
          <w:rFonts w:cs="Arial"/>
          <w:sz w:val="20"/>
          <w:szCs w:val="20"/>
          <w:rtl/>
        </w:rPr>
        <w:t xml:space="preserve"> </w:t>
      </w:r>
      <w:r w:rsidRPr="00665110">
        <w:rPr>
          <w:rFonts w:cs="Arial" w:hint="cs"/>
          <w:sz w:val="20"/>
          <w:szCs w:val="20"/>
          <w:rtl/>
        </w:rPr>
        <w:t>כי</w:t>
      </w:r>
      <w:r w:rsidRPr="00665110">
        <w:rPr>
          <w:rFonts w:cs="Arial"/>
          <w:sz w:val="20"/>
          <w:szCs w:val="20"/>
          <w:rtl/>
        </w:rPr>
        <w:t xml:space="preserve"> </w:t>
      </w:r>
      <w:r w:rsidRPr="00665110">
        <w:rPr>
          <w:rFonts w:cs="Arial" w:hint="cs"/>
          <w:sz w:val="20"/>
          <w:szCs w:val="20"/>
          <w:rtl/>
        </w:rPr>
        <w:t>תזריע</w:t>
      </w:r>
      <w:r w:rsidRPr="00665110">
        <w:rPr>
          <w:rFonts w:cs="Arial"/>
          <w:sz w:val="20"/>
          <w:szCs w:val="20"/>
          <w:rtl/>
        </w:rPr>
        <w:t xml:space="preserve"> </w:t>
      </w:r>
      <w:r w:rsidRPr="00665110">
        <w:rPr>
          <w:rFonts w:cs="Arial" w:hint="cs"/>
          <w:sz w:val="20"/>
          <w:szCs w:val="20"/>
          <w:rtl/>
        </w:rPr>
        <w:t>וילדה</w:t>
      </w:r>
      <w:r w:rsidRPr="00665110">
        <w:rPr>
          <w:rFonts w:cs="Arial"/>
          <w:sz w:val="20"/>
          <w:szCs w:val="20"/>
          <w:rtl/>
        </w:rPr>
        <w:t xml:space="preserve"> </w:t>
      </w:r>
      <w:r w:rsidRPr="00665110">
        <w:rPr>
          <w:rFonts w:cs="Arial" w:hint="cs"/>
          <w:sz w:val="20"/>
          <w:szCs w:val="20"/>
          <w:rtl/>
        </w:rPr>
        <w:t>זכר</w:t>
      </w:r>
      <w:r w:rsidRPr="00665110">
        <w:rPr>
          <w:rFonts w:cs="Arial"/>
          <w:sz w:val="20"/>
          <w:szCs w:val="20"/>
          <w:rtl/>
        </w:rPr>
        <w:t xml:space="preserve"> - </w:t>
      </w:r>
      <w:r w:rsidRPr="00665110">
        <w:rPr>
          <w:rFonts w:cs="Arial" w:hint="cs"/>
          <w:sz w:val="20"/>
          <w:szCs w:val="20"/>
          <w:rtl/>
        </w:rPr>
        <w:t>עד</w:t>
      </w:r>
      <w:r w:rsidRPr="00665110">
        <w:rPr>
          <w:rFonts w:cs="Arial"/>
          <w:sz w:val="20"/>
          <w:szCs w:val="20"/>
          <w:rtl/>
        </w:rPr>
        <w:t xml:space="preserve"> </w:t>
      </w:r>
      <w:r w:rsidRPr="00665110">
        <w:rPr>
          <w:rFonts w:cs="Arial" w:hint="cs"/>
          <w:sz w:val="20"/>
          <w:szCs w:val="20"/>
          <w:rtl/>
        </w:rPr>
        <w:t>שתלד</w:t>
      </w:r>
      <w:r w:rsidRPr="00665110">
        <w:rPr>
          <w:rFonts w:cs="Arial"/>
          <w:sz w:val="20"/>
          <w:szCs w:val="20"/>
          <w:rtl/>
        </w:rPr>
        <w:t xml:space="preserve"> </w:t>
      </w:r>
      <w:r w:rsidRPr="00665110">
        <w:rPr>
          <w:rFonts w:cs="Arial" w:hint="cs"/>
          <w:sz w:val="20"/>
          <w:szCs w:val="20"/>
          <w:rtl/>
        </w:rPr>
        <w:t>במקום</w:t>
      </w:r>
      <w:r w:rsidRPr="00665110">
        <w:rPr>
          <w:rFonts w:cs="Arial"/>
          <w:sz w:val="20"/>
          <w:szCs w:val="20"/>
          <w:rtl/>
        </w:rPr>
        <w:t xml:space="preserve"> </w:t>
      </w:r>
      <w:r w:rsidRPr="00665110">
        <w:rPr>
          <w:rFonts w:cs="Arial" w:hint="cs"/>
          <w:sz w:val="20"/>
          <w:szCs w:val="20"/>
          <w:rtl/>
        </w:rPr>
        <w:t>שהיא</w:t>
      </w:r>
      <w:r w:rsidRPr="00665110">
        <w:rPr>
          <w:rFonts w:cs="Arial"/>
          <w:sz w:val="20"/>
          <w:szCs w:val="20"/>
          <w:rtl/>
        </w:rPr>
        <w:t xml:space="preserve"> </w:t>
      </w:r>
      <w:r w:rsidRPr="00665110">
        <w:rPr>
          <w:rFonts w:cs="Arial" w:hint="cs"/>
          <w:sz w:val="20"/>
          <w:szCs w:val="20"/>
          <w:rtl/>
        </w:rPr>
        <w:t>מזרעת"</w:t>
      </w:r>
      <w:r w:rsidRPr="00665110">
        <w:rPr>
          <w:rFonts w:cs="Arial"/>
          <w:sz w:val="20"/>
          <w:szCs w:val="20"/>
          <w:rtl/>
        </w:rPr>
        <w:t>.</w:t>
      </w:r>
      <w:r>
        <w:rPr>
          <w:rFonts w:hint="cs"/>
          <w:sz w:val="20"/>
          <w:szCs w:val="20"/>
          <w:rtl/>
        </w:rPr>
        <w:br/>
      </w:r>
      <w:r>
        <w:rPr>
          <w:b/>
          <w:bCs/>
          <w:sz w:val="20"/>
          <w:szCs w:val="20"/>
          <w:rtl/>
        </w:rPr>
        <w:br/>
      </w:r>
      <w:r w:rsidRPr="006A5F4D">
        <w:rPr>
          <w:rFonts w:hint="cs"/>
          <w:b/>
          <w:bCs/>
          <w:sz w:val="20"/>
          <w:szCs w:val="20"/>
          <w:rtl/>
        </w:rPr>
        <w:t>דין דם היוצא מהדופן</w:t>
      </w:r>
      <w:r>
        <w:rPr>
          <w:rFonts w:hint="cs"/>
          <w:b/>
          <w:bCs/>
          <w:sz w:val="20"/>
          <w:szCs w:val="20"/>
          <w:rtl/>
        </w:rPr>
        <w:br/>
        <w:t xml:space="preserve">גמרא </w:t>
      </w:r>
      <w:r>
        <w:rPr>
          <w:rFonts w:hint="cs"/>
          <w:sz w:val="20"/>
          <w:szCs w:val="20"/>
          <w:rtl/>
        </w:rPr>
        <w:t>(שם, מא:) "</w:t>
      </w:r>
      <w:r w:rsidRPr="006A5F4D">
        <w:rPr>
          <w:rFonts w:cs="Arial" w:hint="cs"/>
          <w:sz w:val="20"/>
          <w:szCs w:val="20"/>
          <w:rtl/>
        </w:rPr>
        <w:t>אמר</w:t>
      </w:r>
      <w:r w:rsidRPr="006A5F4D">
        <w:rPr>
          <w:rFonts w:cs="Arial"/>
          <w:sz w:val="20"/>
          <w:szCs w:val="20"/>
          <w:rtl/>
        </w:rPr>
        <w:t xml:space="preserve"> </w:t>
      </w:r>
      <w:r w:rsidRPr="006A5F4D">
        <w:rPr>
          <w:rFonts w:cs="Arial" w:hint="cs"/>
          <w:sz w:val="20"/>
          <w:szCs w:val="20"/>
          <w:rtl/>
        </w:rPr>
        <w:t>רבי</w:t>
      </w:r>
      <w:r w:rsidRPr="006A5F4D">
        <w:rPr>
          <w:rFonts w:cs="Arial"/>
          <w:sz w:val="20"/>
          <w:szCs w:val="20"/>
          <w:rtl/>
        </w:rPr>
        <w:t xml:space="preserve"> </w:t>
      </w:r>
      <w:r w:rsidRPr="006A5F4D">
        <w:rPr>
          <w:rFonts w:cs="Arial" w:hint="cs"/>
          <w:sz w:val="20"/>
          <w:szCs w:val="20"/>
          <w:rtl/>
        </w:rPr>
        <w:t>יוחנן</w:t>
      </w:r>
      <w:r w:rsidRPr="006A5F4D">
        <w:rPr>
          <w:rFonts w:cs="Arial"/>
          <w:sz w:val="20"/>
          <w:szCs w:val="20"/>
          <w:rtl/>
        </w:rPr>
        <w:t xml:space="preserve"> </w:t>
      </w:r>
      <w:r w:rsidRPr="006A5F4D">
        <w:rPr>
          <w:rFonts w:cs="Arial" w:hint="cs"/>
          <w:sz w:val="20"/>
          <w:szCs w:val="20"/>
          <w:rtl/>
        </w:rPr>
        <w:t>משום</w:t>
      </w:r>
      <w:r w:rsidRPr="006A5F4D">
        <w:rPr>
          <w:rFonts w:cs="Arial"/>
          <w:sz w:val="20"/>
          <w:szCs w:val="20"/>
          <w:rtl/>
        </w:rPr>
        <w:t xml:space="preserve"> </w:t>
      </w:r>
      <w:r w:rsidRPr="006A5F4D">
        <w:rPr>
          <w:rFonts w:cs="Arial" w:hint="cs"/>
          <w:sz w:val="20"/>
          <w:szCs w:val="20"/>
          <w:rtl/>
        </w:rPr>
        <w:t>ר</w:t>
      </w:r>
      <w:r>
        <w:rPr>
          <w:rFonts w:cs="Arial" w:hint="cs"/>
          <w:sz w:val="20"/>
          <w:szCs w:val="20"/>
          <w:rtl/>
        </w:rPr>
        <w:t xml:space="preserve">בי </w:t>
      </w:r>
      <w:r w:rsidRPr="006A5F4D">
        <w:rPr>
          <w:rFonts w:cs="Arial" w:hint="cs"/>
          <w:sz w:val="20"/>
          <w:szCs w:val="20"/>
          <w:rtl/>
        </w:rPr>
        <w:t>ש</w:t>
      </w:r>
      <w:r>
        <w:rPr>
          <w:rFonts w:cs="Arial" w:hint="cs"/>
          <w:sz w:val="20"/>
          <w:szCs w:val="20"/>
          <w:rtl/>
        </w:rPr>
        <w:t>מעון</w:t>
      </w:r>
      <w:r w:rsidRPr="006A5F4D">
        <w:rPr>
          <w:rFonts w:cs="Arial"/>
          <w:sz w:val="20"/>
          <w:szCs w:val="20"/>
          <w:rtl/>
        </w:rPr>
        <w:t xml:space="preserve"> </w:t>
      </w:r>
      <w:r w:rsidRPr="006A5F4D">
        <w:rPr>
          <w:rFonts w:cs="Arial" w:hint="cs"/>
          <w:sz w:val="20"/>
          <w:szCs w:val="20"/>
          <w:rtl/>
        </w:rPr>
        <w:t>בן</w:t>
      </w:r>
      <w:r w:rsidRPr="006A5F4D">
        <w:rPr>
          <w:rFonts w:cs="Arial"/>
          <w:sz w:val="20"/>
          <w:szCs w:val="20"/>
          <w:rtl/>
        </w:rPr>
        <w:t xml:space="preserve"> </w:t>
      </w:r>
      <w:r w:rsidRPr="006A5F4D">
        <w:rPr>
          <w:rFonts w:cs="Arial" w:hint="cs"/>
          <w:sz w:val="20"/>
          <w:szCs w:val="20"/>
          <w:rtl/>
        </w:rPr>
        <w:t>יוחי</w:t>
      </w:r>
      <w:r w:rsidRPr="006A5F4D">
        <w:rPr>
          <w:rFonts w:cs="Arial"/>
          <w:sz w:val="20"/>
          <w:szCs w:val="20"/>
          <w:rtl/>
        </w:rPr>
        <w:t xml:space="preserve">: </w:t>
      </w:r>
      <w:r w:rsidRPr="006A5F4D">
        <w:rPr>
          <w:rFonts w:cs="Arial" w:hint="cs"/>
          <w:sz w:val="20"/>
          <w:szCs w:val="20"/>
          <w:rtl/>
        </w:rPr>
        <w:t>מנין</w:t>
      </w:r>
      <w:r w:rsidRPr="006A5F4D">
        <w:rPr>
          <w:rFonts w:cs="Arial"/>
          <w:sz w:val="20"/>
          <w:szCs w:val="20"/>
          <w:rtl/>
        </w:rPr>
        <w:t xml:space="preserve"> </w:t>
      </w:r>
      <w:r w:rsidRPr="006A5F4D">
        <w:rPr>
          <w:rFonts w:cs="Arial" w:hint="cs"/>
          <w:sz w:val="20"/>
          <w:szCs w:val="20"/>
          <w:rtl/>
        </w:rPr>
        <w:t>שאין</w:t>
      </w:r>
      <w:r w:rsidRPr="006A5F4D">
        <w:rPr>
          <w:rFonts w:cs="Arial"/>
          <w:sz w:val="20"/>
          <w:szCs w:val="20"/>
          <w:rtl/>
        </w:rPr>
        <w:t xml:space="preserve"> </w:t>
      </w:r>
      <w:r w:rsidRPr="006A5F4D">
        <w:rPr>
          <w:rFonts w:cs="Arial" w:hint="cs"/>
          <w:sz w:val="20"/>
          <w:szCs w:val="20"/>
          <w:rtl/>
        </w:rPr>
        <w:t>אשה</w:t>
      </w:r>
      <w:r w:rsidRPr="006A5F4D">
        <w:rPr>
          <w:rFonts w:cs="Arial"/>
          <w:sz w:val="20"/>
          <w:szCs w:val="20"/>
          <w:rtl/>
        </w:rPr>
        <w:t xml:space="preserve"> </w:t>
      </w:r>
      <w:r w:rsidRPr="006A5F4D">
        <w:rPr>
          <w:rFonts w:cs="Arial" w:hint="cs"/>
          <w:sz w:val="20"/>
          <w:szCs w:val="20"/>
          <w:rtl/>
        </w:rPr>
        <w:t>טמאה</w:t>
      </w:r>
      <w:r w:rsidRPr="006A5F4D">
        <w:rPr>
          <w:rFonts w:cs="Arial"/>
          <w:sz w:val="20"/>
          <w:szCs w:val="20"/>
          <w:rtl/>
        </w:rPr>
        <w:t xml:space="preserve"> </w:t>
      </w:r>
      <w:r w:rsidRPr="006A5F4D">
        <w:rPr>
          <w:rFonts w:cs="Arial" w:hint="cs"/>
          <w:sz w:val="20"/>
          <w:szCs w:val="20"/>
          <w:rtl/>
        </w:rPr>
        <w:t>עד</w:t>
      </w:r>
      <w:r w:rsidRPr="006A5F4D">
        <w:rPr>
          <w:rFonts w:cs="Arial"/>
          <w:sz w:val="20"/>
          <w:szCs w:val="20"/>
          <w:rtl/>
        </w:rPr>
        <w:t xml:space="preserve"> </w:t>
      </w:r>
      <w:r w:rsidRPr="006A5F4D">
        <w:rPr>
          <w:rFonts w:cs="Arial" w:hint="cs"/>
          <w:sz w:val="20"/>
          <w:szCs w:val="20"/>
          <w:rtl/>
        </w:rPr>
        <w:t>שיצא</w:t>
      </w:r>
      <w:r w:rsidRPr="006A5F4D">
        <w:rPr>
          <w:rFonts w:cs="Arial"/>
          <w:sz w:val="20"/>
          <w:szCs w:val="20"/>
          <w:rtl/>
        </w:rPr>
        <w:t xml:space="preserve"> </w:t>
      </w:r>
      <w:r w:rsidRPr="006A5F4D">
        <w:rPr>
          <w:rFonts w:cs="Arial" w:hint="cs"/>
          <w:sz w:val="20"/>
          <w:szCs w:val="20"/>
          <w:rtl/>
        </w:rPr>
        <w:t>מדוה</w:t>
      </w:r>
      <w:r w:rsidRPr="006A5F4D">
        <w:rPr>
          <w:rFonts w:cs="Arial"/>
          <w:sz w:val="20"/>
          <w:szCs w:val="20"/>
          <w:rtl/>
        </w:rPr>
        <w:t xml:space="preserve"> </w:t>
      </w:r>
      <w:r w:rsidRPr="006A5F4D">
        <w:rPr>
          <w:rFonts w:cs="Arial" w:hint="cs"/>
          <w:sz w:val="20"/>
          <w:szCs w:val="20"/>
          <w:rtl/>
        </w:rPr>
        <w:t>דרך</w:t>
      </w:r>
      <w:r w:rsidRPr="006A5F4D">
        <w:rPr>
          <w:rFonts w:cs="Arial"/>
          <w:sz w:val="20"/>
          <w:szCs w:val="20"/>
          <w:rtl/>
        </w:rPr>
        <w:t xml:space="preserve"> </w:t>
      </w:r>
      <w:r w:rsidRPr="006A5F4D">
        <w:rPr>
          <w:rFonts w:cs="Arial" w:hint="cs"/>
          <w:sz w:val="20"/>
          <w:szCs w:val="20"/>
          <w:rtl/>
        </w:rPr>
        <w:t>ערותה</w:t>
      </w:r>
      <w:r w:rsidRPr="006A5F4D">
        <w:rPr>
          <w:rFonts w:cs="Arial"/>
          <w:sz w:val="20"/>
          <w:szCs w:val="20"/>
          <w:rtl/>
        </w:rPr>
        <w:t xml:space="preserve"> - </w:t>
      </w:r>
      <w:r w:rsidRPr="006A5F4D">
        <w:rPr>
          <w:rFonts w:cs="Arial" w:hint="cs"/>
          <w:sz w:val="20"/>
          <w:szCs w:val="20"/>
          <w:rtl/>
        </w:rPr>
        <w:t>שנאמר</w:t>
      </w:r>
      <w:r w:rsidRPr="006A5F4D">
        <w:rPr>
          <w:rFonts w:cs="Arial"/>
          <w:sz w:val="20"/>
          <w:szCs w:val="20"/>
          <w:rtl/>
        </w:rPr>
        <w:t xml:space="preserve"> </w:t>
      </w:r>
      <w:r w:rsidRPr="006A5F4D">
        <w:rPr>
          <w:rFonts w:cs="Arial" w:hint="cs"/>
          <w:sz w:val="20"/>
          <w:szCs w:val="20"/>
          <w:rtl/>
        </w:rPr>
        <w:t>ואיש</w:t>
      </w:r>
      <w:r w:rsidRPr="006A5F4D">
        <w:rPr>
          <w:rFonts w:cs="Arial"/>
          <w:sz w:val="20"/>
          <w:szCs w:val="20"/>
          <w:rtl/>
        </w:rPr>
        <w:t xml:space="preserve"> </w:t>
      </w:r>
      <w:r w:rsidRPr="006A5F4D">
        <w:rPr>
          <w:rFonts w:cs="Arial" w:hint="cs"/>
          <w:sz w:val="20"/>
          <w:szCs w:val="20"/>
          <w:rtl/>
        </w:rPr>
        <w:t>אשר</w:t>
      </w:r>
      <w:r w:rsidRPr="006A5F4D">
        <w:rPr>
          <w:rFonts w:cs="Arial"/>
          <w:sz w:val="20"/>
          <w:szCs w:val="20"/>
          <w:rtl/>
        </w:rPr>
        <w:t xml:space="preserve"> </w:t>
      </w:r>
      <w:r w:rsidRPr="006A5F4D">
        <w:rPr>
          <w:rFonts w:cs="Arial" w:hint="cs"/>
          <w:sz w:val="20"/>
          <w:szCs w:val="20"/>
          <w:rtl/>
        </w:rPr>
        <w:t>ישכב</w:t>
      </w:r>
      <w:r w:rsidRPr="006A5F4D">
        <w:rPr>
          <w:rFonts w:cs="Arial"/>
          <w:sz w:val="20"/>
          <w:szCs w:val="20"/>
          <w:rtl/>
        </w:rPr>
        <w:t xml:space="preserve"> </w:t>
      </w:r>
      <w:r w:rsidRPr="006A5F4D">
        <w:rPr>
          <w:rFonts w:cs="Arial" w:hint="cs"/>
          <w:sz w:val="20"/>
          <w:szCs w:val="20"/>
          <w:rtl/>
        </w:rPr>
        <w:t>את</w:t>
      </w:r>
      <w:r w:rsidRPr="006A5F4D">
        <w:rPr>
          <w:rFonts w:cs="Arial"/>
          <w:sz w:val="20"/>
          <w:szCs w:val="20"/>
          <w:rtl/>
        </w:rPr>
        <w:t xml:space="preserve"> </w:t>
      </w:r>
      <w:r w:rsidRPr="006A5F4D">
        <w:rPr>
          <w:rFonts w:cs="Arial" w:hint="cs"/>
          <w:sz w:val="20"/>
          <w:szCs w:val="20"/>
          <w:rtl/>
        </w:rPr>
        <w:t>אשה</w:t>
      </w:r>
      <w:r w:rsidRPr="006A5F4D">
        <w:rPr>
          <w:rFonts w:cs="Arial"/>
          <w:sz w:val="20"/>
          <w:szCs w:val="20"/>
          <w:rtl/>
        </w:rPr>
        <w:t xml:space="preserve"> </w:t>
      </w:r>
      <w:r w:rsidRPr="006A5F4D">
        <w:rPr>
          <w:rFonts w:cs="Arial" w:hint="cs"/>
          <w:sz w:val="20"/>
          <w:szCs w:val="20"/>
          <w:rtl/>
        </w:rPr>
        <w:t>דוה</w:t>
      </w:r>
      <w:r w:rsidRPr="006A5F4D">
        <w:rPr>
          <w:rFonts w:cs="Arial"/>
          <w:sz w:val="20"/>
          <w:szCs w:val="20"/>
          <w:rtl/>
        </w:rPr>
        <w:t xml:space="preserve"> </w:t>
      </w:r>
      <w:r w:rsidRPr="006A5F4D">
        <w:rPr>
          <w:rFonts w:cs="Arial" w:hint="cs"/>
          <w:sz w:val="20"/>
          <w:szCs w:val="20"/>
          <w:rtl/>
        </w:rPr>
        <w:t>וגלה</w:t>
      </w:r>
      <w:r w:rsidRPr="006A5F4D">
        <w:rPr>
          <w:rFonts w:cs="Arial"/>
          <w:sz w:val="20"/>
          <w:szCs w:val="20"/>
          <w:rtl/>
        </w:rPr>
        <w:t xml:space="preserve"> </w:t>
      </w:r>
      <w:r w:rsidRPr="006A5F4D">
        <w:rPr>
          <w:rFonts w:cs="Arial" w:hint="cs"/>
          <w:sz w:val="20"/>
          <w:szCs w:val="20"/>
          <w:rtl/>
        </w:rPr>
        <w:t>את</w:t>
      </w:r>
      <w:r w:rsidRPr="006A5F4D">
        <w:rPr>
          <w:rFonts w:cs="Arial"/>
          <w:sz w:val="20"/>
          <w:szCs w:val="20"/>
          <w:rtl/>
        </w:rPr>
        <w:t xml:space="preserve"> </w:t>
      </w:r>
      <w:r w:rsidRPr="006A5F4D">
        <w:rPr>
          <w:rFonts w:cs="Arial" w:hint="cs"/>
          <w:sz w:val="20"/>
          <w:szCs w:val="20"/>
          <w:rtl/>
        </w:rPr>
        <w:t>ערותה</w:t>
      </w:r>
      <w:r w:rsidRPr="006A5F4D">
        <w:rPr>
          <w:rFonts w:cs="Arial"/>
          <w:sz w:val="20"/>
          <w:szCs w:val="20"/>
          <w:rtl/>
        </w:rPr>
        <w:t xml:space="preserve"> </w:t>
      </w:r>
      <w:r w:rsidRPr="006A5F4D">
        <w:rPr>
          <w:rFonts w:cs="Arial" w:hint="cs"/>
          <w:sz w:val="20"/>
          <w:szCs w:val="20"/>
          <w:rtl/>
        </w:rPr>
        <w:t>את</w:t>
      </w:r>
      <w:r w:rsidRPr="006A5F4D">
        <w:rPr>
          <w:rFonts w:cs="Arial"/>
          <w:sz w:val="20"/>
          <w:szCs w:val="20"/>
          <w:rtl/>
        </w:rPr>
        <w:t xml:space="preserve"> </w:t>
      </w:r>
      <w:r w:rsidRPr="006A5F4D">
        <w:rPr>
          <w:rFonts w:cs="Arial" w:hint="cs"/>
          <w:sz w:val="20"/>
          <w:szCs w:val="20"/>
          <w:rtl/>
        </w:rPr>
        <w:t>מקורה</w:t>
      </w:r>
      <w:r w:rsidRPr="006A5F4D">
        <w:rPr>
          <w:rFonts w:cs="Arial"/>
          <w:sz w:val="20"/>
          <w:szCs w:val="20"/>
          <w:rtl/>
        </w:rPr>
        <w:t xml:space="preserve"> </w:t>
      </w:r>
      <w:r w:rsidRPr="006A5F4D">
        <w:rPr>
          <w:rFonts w:cs="Arial" w:hint="cs"/>
          <w:sz w:val="20"/>
          <w:szCs w:val="20"/>
          <w:rtl/>
        </w:rPr>
        <w:t>הערה</w:t>
      </w:r>
      <w:r w:rsidRPr="006A5F4D">
        <w:rPr>
          <w:rFonts w:cs="Arial"/>
          <w:sz w:val="20"/>
          <w:szCs w:val="20"/>
          <w:rtl/>
        </w:rPr>
        <w:t xml:space="preserve"> - </w:t>
      </w:r>
      <w:r w:rsidRPr="006A5F4D">
        <w:rPr>
          <w:rFonts w:cs="Arial" w:hint="cs"/>
          <w:sz w:val="20"/>
          <w:szCs w:val="20"/>
          <w:rtl/>
        </w:rPr>
        <w:t>מלמד</w:t>
      </w:r>
      <w:r w:rsidRPr="006A5F4D">
        <w:rPr>
          <w:rFonts w:cs="Arial"/>
          <w:sz w:val="20"/>
          <w:szCs w:val="20"/>
          <w:rtl/>
        </w:rPr>
        <w:t xml:space="preserve"> </w:t>
      </w:r>
      <w:r w:rsidRPr="006A5F4D">
        <w:rPr>
          <w:rFonts w:cs="Arial" w:hint="cs"/>
          <w:sz w:val="20"/>
          <w:szCs w:val="20"/>
          <w:rtl/>
        </w:rPr>
        <w:t>שאין</w:t>
      </w:r>
      <w:r w:rsidRPr="006A5F4D">
        <w:rPr>
          <w:rFonts w:cs="Arial"/>
          <w:sz w:val="20"/>
          <w:szCs w:val="20"/>
          <w:rtl/>
        </w:rPr>
        <w:t xml:space="preserve"> </w:t>
      </w:r>
      <w:r w:rsidRPr="006A5F4D">
        <w:rPr>
          <w:rFonts w:cs="Arial" w:hint="cs"/>
          <w:sz w:val="20"/>
          <w:szCs w:val="20"/>
          <w:rtl/>
        </w:rPr>
        <w:t>אשה</w:t>
      </w:r>
      <w:r w:rsidRPr="006A5F4D">
        <w:rPr>
          <w:rFonts w:cs="Arial"/>
          <w:sz w:val="20"/>
          <w:szCs w:val="20"/>
          <w:rtl/>
        </w:rPr>
        <w:t xml:space="preserve"> </w:t>
      </w:r>
      <w:r w:rsidRPr="006A5F4D">
        <w:rPr>
          <w:rFonts w:cs="Arial" w:hint="cs"/>
          <w:sz w:val="20"/>
          <w:szCs w:val="20"/>
          <w:rtl/>
        </w:rPr>
        <w:t>טמאה</w:t>
      </w:r>
      <w:r w:rsidRPr="006A5F4D">
        <w:rPr>
          <w:rFonts w:cs="Arial"/>
          <w:sz w:val="20"/>
          <w:szCs w:val="20"/>
          <w:rtl/>
        </w:rPr>
        <w:t xml:space="preserve"> </w:t>
      </w:r>
      <w:r w:rsidRPr="006A5F4D">
        <w:rPr>
          <w:rFonts w:cs="Arial" w:hint="cs"/>
          <w:sz w:val="20"/>
          <w:szCs w:val="20"/>
          <w:rtl/>
        </w:rPr>
        <w:t>עד</w:t>
      </w:r>
      <w:r w:rsidRPr="006A5F4D">
        <w:rPr>
          <w:rFonts w:cs="Arial"/>
          <w:sz w:val="20"/>
          <w:szCs w:val="20"/>
          <w:rtl/>
        </w:rPr>
        <w:t xml:space="preserve"> </w:t>
      </w:r>
      <w:r w:rsidRPr="006A5F4D">
        <w:rPr>
          <w:rFonts w:cs="Arial" w:hint="cs"/>
          <w:sz w:val="20"/>
          <w:szCs w:val="20"/>
          <w:rtl/>
        </w:rPr>
        <w:t>שיצא</w:t>
      </w:r>
      <w:r w:rsidRPr="006A5F4D">
        <w:rPr>
          <w:rFonts w:cs="Arial"/>
          <w:sz w:val="20"/>
          <w:szCs w:val="20"/>
          <w:rtl/>
        </w:rPr>
        <w:t xml:space="preserve"> </w:t>
      </w:r>
      <w:r w:rsidRPr="006A5F4D">
        <w:rPr>
          <w:rFonts w:cs="Arial" w:hint="cs"/>
          <w:sz w:val="20"/>
          <w:szCs w:val="20"/>
          <w:rtl/>
        </w:rPr>
        <w:t>מדוה</w:t>
      </w:r>
      <w:r w:rsidRPr="006A5F4D">
        <w:rPr>
          <w:rFonts w:cs="Arial"/>
          <w:sz w:val="20"/>
          <w:szCs w:val="20"/>
          <w:rtl/>
        </w:rPr>
        <w:t xml:space="preserve"> </w:t>
      </w:r>
      <w:r w:rsidRPr="006A5F4D">
        <w:rPr>
          <w:rFonts w:cs="Arial" w:hint="cs"/>
          <w:sz w:val="20"/>
          <w:szCs w:val="20"/>
          <w:rtl/>
        </w:rPr>
        <w:t>דרך</w:t>
      </w:r>
      <w:r w:rsidRPr="006A5F4D">
        <w:rPr>
          <w:rFonts w:cs="Arial"/>
          <w:sz w:val="20"/>
          <w:szCs w:val="20"/>
          <w:rtl/>
        </w:rPr>
        <w:t xml:space="preserve"> </w:t>
      </w:r>
      <w:r w:rsidRPr="006A5F4D">
        <w:rPr>
          <w:rFonts w:cs="Arial" w:hint="cs"/>
          <w:sz w:val="20"/>
          <w:szCs w:val="20"/>
          <w:rtl/>
        </w:rPr>
        <w:t>ערותה</w:t>
      </w:r>
      <w:r>
        <w:rPr>
          <w:rFonts w:cs="Arial" w:hint="cs"/>
          <w:sz w:val="20"/>
          <w:szCs w:val="20"/>
          <w:rtl/>
        </w:rPr>
        <w:t>".</w:t>
      </w:r>
      <w:r>
        <w:rPr>
          <w:rFonts w:cs="Arial" w:hint="cs"/>
          <w:sz w:val="20"/>
          <w:szCs w:val="20"/>
          <w:rtl/>
        </w:rPr>
        <w:br/>
      </w:r>
      <w:r w:rsidRPr="00897263">
        <w:rPr>
          <w:rFonts w:hint="cs"/>
          <w:b/>
          <w:bCs/>
          <w:sz w:val="20"/>
          <w:szCs w:val="20"/>
          <w:rtl/>
        </w:rPr>
        <w:t>בית יוסף</w:t>
      </w:r>
      <w:r>
        <w:rPr>
          <w:rFonts w:hint="cs"/>
          <w:sz w:val="20"/>
          <w:szCs w:val="20"/>
          <w:rtl/>
        </w:rPr>
        <w:t xml:space="preserve"> </w:t>
      </w:r>
      <w:r>
        <w:rPr>
          <w:sz w:val="20"/>
          <w:szCs w:val="20"/>
          <w:rtl/>
        </w:rPr>
        <w:t>–</w:t>
      </w:r>
      <w:r>
        <w:rPr>
          <w:rFonts w:hint="cs"/>
          <w:sz w:val="20"/>
          <w:szCs w:val="20"/>
          <w:rtl/>
        </w:rPr>
        <w:t xml:space="preserve"> מימרא זו נאמרה אליבא דכולי עלמא.</w:t>
      </w:r>
    </w:p>
    <w:p w:rsidR="00620060" w:rsidRDefault="00620060" w:rsidP="00620060">
      <w:pPr>
        <w:rPr>
          <w:rFonts w:cs="Arial"/>
          <w:sz w:val="20"/>
          <w:szCs w:val="20"/>
          <w:rtl/>
        </w:rPr>
      </w:pPr>
      <w:r>
        <w:rPr>
          <w:rFonts w:hint="cs"/>
          <w:b/>
          <w:bCs/>
          <w:sz w:val="20"/>
          <w:szCs w:val="20"/>
          <w:rtl/>
        </w:rPr>
        <w:lastRenderedPageBreak/>
        <w:t>פסיקת הלכה</w:t>
      </w:r>
      <w:r>
        <w:rPr>
          <w:b/>
          <w:bCs/>
          <w:sz w:val="20"/>
          <w:szCs w:val="20"/>
          <w:rtl/>
        </w:rPr>
        <w:br/>
      </w:r>
      <w:r>
        <w:rPr>
          <w:rFonts w:hint="cs"/>
          <w:b/>
          <w:bCs/>
          <w:sz w:val="20"/>
          <w:szCs w:val="20"/>
          <w:rtl/>
        </w:rPr>
        <w:t>שולחן ערוך</w:t>
      </w:r>
      <w:r>
        <w:rPr>
          <w:rFonts w:cs="Arial" w:hint="cs"/>
          <w:sz w:val="20"/>
          <w:szCs w:val="20"/>
          <w:rtl/>
        </w:rPr>
        <w:t xml:space="preserve"> </w:t>
      </w:r>
      <w:r>
        <w:rPr>
          <w:rFonts w:cs="Arial"/>
          <w:sz w:val="20"/>
          <w:szCs w:val="20"/>
          <w:rtl/>
        </w:rPr>
        <w:t>–</w:t>
      </w:r>
      <w:r>
        <w:rPr>
          <w:rFonts w:cs="Arial" w:hint="cs"/>
          <w:sz w:val="20"/>
          <w:szCs w:val="20"/>
          <w:rtl/>
        </w:rPr>
        <w:t xml:space="preserve"> "</w:t>
      </w:r>
      <w:r w:rsidRPr="006A5F4D">
        <w:rPr>
          <w:rFonts w:cs="Arial" w:hint="cs"/>
          <w:sz w:val="20"/>
          <w:szCs w:val="20"/>
          <w:rtl/>
        </w:rPr>
        <w:t>יוצא</w:t>
      </w:r>
      <w:r w:rsidRPr="006A5F4D">
        <w:rPr>
          <w:rFonts w:cs="Arial"/>
          <w:sz w:val="20"/>
          <w:szCs w:val="20"/>
          <w:rtl/>
        </w:rPr>
        <w:t xml:space="preserve"> </w:t>
      </w:r>
      <w:r w:rsidRPr="006A5F4D">
        <w:rPr>
          <w:rFonts w:cs="Arial" w:hint="cs"/>
          <w:sz w:val="20"/>
          <w:szCs w:val="20"/>
          <w:rtl/>
        </w:rPr>
        <w:t>דופן</w:t>
      </w:r>
      <w:r w:rsidRPr="006A5F4D">
        <w:rPr>
          <w:rFonts w:cs="Arial"/>
          <w:sz w:val="20"/>
          <w:szCs w:val="20"/>
          <w:rtl/>
        </w:rPr>
        <w:t xml:space="preserve">, </w:t>
      </w:r>
      <w:r w:rsidRPr="006A5F4D">
        <w:rPr>
          <w:rFonts w:cs="Arial" w:hint="cs"/>
          <w:sz w:val="20"/>
          <w:szCs w:val="20"/>
          <w:rtl/>
        </w:rPr>
        <w:t>אם</w:t>
      </w:r>
      <w:r w:rsidRPr="006A5F4D">
        <w:rPr>
          <w:rFonts w:cs="Arial"/>
          <w:sz w:val="20"/>
          <w:szCs w:val="20"/>
          <w:rtl/>
        </w:rPr>
        <w:t xml:space="preserve"> </w:t>
      </w:r>
      <w:r w:rsidRPr="006A5F4D">
        <w:rPr>
          <w:rFonts w:cs="Arial" w:hint="cs"/>
          <w:sz w:val="20"/>
          <w:szCs w:val="20"/>
          <w:rtl/>
        </w:rPr>
        <w:t>לא</w:t>
      </w:r>
      <w:r w:rsidRPr="006A5F4D">
        <w:rPr>
          <w:rFonts w:cs="Arial"/>
          <w:sz w:val="20"/>
          <w:szCs w:val="20"/>
          <w:rtl/>
        </w:rPr>
        <w:t xml:space="preserve"> </w:t>
      </w:r>
      <w:r w:rsidRPr="006A5F4D">
        <w:rPr>
          <w:rFonts w:cs="Arial" w:hint="cs"/>
          <w:sz w:val="20"/>
          <w:szCs w:val="20"/>
          <w:rtl/>
        </w:rPr>
        <w:t>יצא</w:t>
      </w:r>
      <w:r w:rsidRPr="006A5F4D">
        <w:rPr>
          <w:rFonts w:cs="Arial"/>
          <w:sz w:val="20"/>
          <w:szCs w:val="20"/>
          <w:rtl/>
        </w:rPr>
        <w:t xml:space="preserve"> </w:t>
      </w:r>
      <w:r w:rsidRPr="006A5F4D">
        <w:rPr>
          <w:rFonts w:cs="Arial" w:hint="cs"/>
          <w:sz w:val="20"/>
          <w:szCs w:val="20"/>
          <w:rtl/>
        </w:rPr>
        <w:t>דם</w:t>
      </w:r>
      <w:r w:rsidRPr="006A5F4D">
        <w:rPr>
          <w:rFonts w:cs="Arial"/>
          <w:sz w:val="20"/>
          <w:szCs w:val="20"/>
          <w:rtl/>
        </w:rPr>
        <w:t xml:space="preserve"> </w:t>
      </w:r>
      <w:r w:rsidRPr="006A5F4D">
        <w:rPr>
          <w:rFonts w:cs="Arial" w:hint="cs"/>
          <w:sz w:val="20"/>
          <w:szCs w:val="20"/>
          <w:rtl/>
        </w:rPr>
        <w:t>אלא</w:t>
      </w:r>
      <w:r w:rsidRPr="006A5F4D">
        <w:rPr>
          <w:rFonts w:cs="Arial"/>
          <w:sz w:val="20"/>
          <w:szCs w:val="20"/>
          <w:rtl/>
        </w:rPr>
        <w:t xml:space="preserve"> </w:t>
      </w:r>
      <w:r w:rsidRPr="006A5F4D">
        <w:rPr>
          <w:rFonts w:cs="Arial" w:hint="cs"/>
          <w:sz w:val="20"/>
          <w:szCs w:val="20"/>
          <w:rtl/>
        </w:rPr>
        <w:t>דרך</w:t>
      </w:r>
      <w:r w:rsidRPr="006A5F4D">
        <w:rPr>
          <w:rFonts w:cs="Arial"/>
          <w:sz w:val="20"/>
          <w:szCs w:val="20"/>
          <w:rtl/>
        </w:rPr>
        <w:t xml:space="preserve"> </w:t>
      </w:r>
      <w:r w:rsidRPr="006A5F4D">
        <w:rPr>
          <w:rFonts w:cs="Arial" w:hint="cs"/>
          <w:sz w:val="20"/>
          <w:szCs w:val="20"/>
          <w:rtl/>
        </w:rPr>
        <w:t>דופן</w:t>
      </w:r>
      <w:r w:rsidRPr="006A5F4D">
        <w:rPr>
          <w:rFonts w:cs="Arial"/>
          <w:sz w:val="20"/>
          <w:szCs w:val="20"/>
          <w:rtl/>
        </w:rPr>
        <w:t xml:space="preserve">, </w:t>
      </w:r>
      <w:r w:rsidRPr="006A5F4D">
        <w:rPr>
          <w:rFonts w:cs="Arial" w:hint="cs"/>
          <w:sz w:val="20"/>
          <w:szCs w:val="20"/>
          <w:rtl/>
        </w:rPr>
        <w:t>אמו</w:t>
      </w:r>
      <w:r w:rsidRPr="006A5F4D">
        <w:rPr>
          <w:rFonts w:cs="Arial"/>
          <w:sz w:val="20"/>
          <w:szCs w:val="20"/>
          <w:rtl/>
        </w:rPr>
        <w:t xml:space="preserve"> </w:t>
      </w:r>
      <w:r w:rsidRPr="006A5F4D">
        <w:rPr>
          <w:rFonts w:cs="Arial" w:hint="cs"/>
          <w:sz w:val="20"/>
          <w:szCs w:val="20"/>
          <w:rtl/>
        </w:rPr>
        <w:t>טהורה</w:t>
      </w:r>
      <w:r w:rsidRPr="006A5F4D">
        <w:rPr>
          <w:rFonts w:cs="Arial"/>
          <w:sz w:val="20"/>
          <w:szCs w:val="20"/>
          <w:rtl/>
        </w:rPr>
        <w:t xml:space="preserve"> </w:t>
      </w:r>
      <w:r w:rsidRPr="006A5F4D">
        <w:rPr>
          <w:rFonts w:cs="Arial" w:hint="cs"/>
          <w:sz w:val="20"/>
          <w:szCs w:val="20"/>
          <w:rtl/>
        </w:rPr>
        <w:t>מלידה</w:t>
      </w:r>
      <w:r w:rsidRPr="006A5F4D">
        <w:rPr>
          <w:rFonts w:cs="Arial"/>
          <w:sz w:val="20"/>
          <w:szCs w:val="20"/>
          <w:rtl/>
        </w:rPr>
        <w:t xml:space="preserve"> </w:t>
      </w:r>
      <w:r w:rsidRPr="006A5F4D">
        <w:rPr>
          <w:rFonts w:cs="Arial" w:hint="cs"/>
          <w:sz w:val="20"/>
          <w:szCs w:val="20"/>
          <w:rtl/>
        </w:rPr>
        <w:t>ומנ</w:t>
      </w:r>
      <w:r>
        <w:rPr>
          <w:rFonts w:cs="Arial" w:hint="cs"/>
          <w:sz w:val="20"/>
          <w:szCs w:val="20"/>
          <w:rtl/>
        </w:rPr>
        <w:t>י</w:t>
      </w:r>
      <w:r w:rsidRPr="006A5F4D">
        <w:rPr>
          <w:rFonts w:cs="Arial" w:hint="cs"/>
          <w:sz w:val="20"/>
          <w:szCs w:val="20"/>
          <w:rtl/>
        </w:rPr>
        <w:t>דה</w:t>
      </w:r>
      <w:r w:rsidRPr="006A5F4D">
        <w:rPr>
          <w:rFonts w:cs="Arial"/>
          <w:sz w:val="20"/>
          <w:szCs w:val="20"/>
          <w:rtl/>
        </w:rPr>
        <w:t xml:space="preserve"> </w:t>
      </w:r>
      <w:r w:rsidRPr="006A5F4D">
        <w:rPr>
          <w:rFonts w:cs="Arial" w:hint="cs"/>
          <w:sz w:val="20"/>
          <w:szCs w:val="20"/>
          <w:rtl/>
        </w:rPr>
        <w:t>ומזיבה</w:t>
      </w:r>
      <w:r>
        <w:rPr>
          <w:rFonts w:cs="Arial" w:hint="cs"/>
          <w:sz w:val="20"/>
          <w:szCs w:val="20"/>
          <w:rtl/>
        </w:rPr>
        <w:t>".</w:t>
      </w:r>
    </w:p>
    <w:p w:rsidR="00620060" w:rsidRPr="00E97720" w:rsidRDefault="00620060" w:rsidP="00620060">
      <w:pPr>
        <w:rPr>
          <w:rFonts w:cs="Arial"/>
          <w:sz w:val="20"/>
          <w:szCs w:val="20"/>
          <w:rtl/>
        </w:rPr>
      </w:pPr>
      <w:r>
        <w:rPr>
          <w:rFonts w:cs="Arial" w:hint="cs"/>
          <w:sz w:val="20"/>
          <w:szCs w:val="20"/>
          <w:u w:val="single"/>
          <w:rtl/>
        </w:rPr>
        <w:t>דין טומאה ביולדת בניתוח קיסרי</w:t>
      </w:r>
      <w:r>
        <w:rPr>
          <w:rStyle w:val="a5"/>
          <w:rFonts w:cs="Arial"/>
          <w:sz w:val="20"/>
          <w:szCs w:val="20"/>
          <w:u w:val="single"/>
          <w:rtl/>
        </w:rPr>
        <w:footnoteReference w:id="428"/>
      </w:r>
      <w:r>
        <w:rPr>
          <w:rFonts w:cs="Arial"/>
          <w:sz w:val="20"/>
          <w:szCs w:val="20"/>
          <w:u w:val="single"/>
          <w:rtl/>
        </w:rPr>
        <w:br/>
      </w:r>
      <w:r w:rsidRPr="005A00F8">
        <w:rPr>
          <w:rFonts w:cs="Arial" w:hint="cs"/>
          <w:b/>
          <w:bCs/>
          <w:sz w:val="20"/>
          <w:szCs w:val="20"/>
          <w:rtl/>
        </w:rPr>
        <w:t>נשמת אברהם</w:t>
      </w:r>
      <w:r>
        <w:rPr>
          <w:rFonts w:cs="Arial" w:hint="cs"/>
          <w:sz w:val="20"/>
          <w:szCs w:val="20"/>
          <w:rtl/>
        </w:rPr>
        <w:t xml:space="preserve"> </w:t>
      </w:r>
      <w:r>
        <w:rPr>
          <w:rFonts w:cs="Arial"/>
          <w:sz w:val="20"/>
          <w:szCs w:val="20"/>
          <w:rtl/>
        </w:rPr>
        <w:t>–</w:t>
      </w:r>
      <w:r>
        <w:rPr>
          <w:rFonts w:cs="Arial" w:hint="cs"/>
          <w:sz w:val="20"/>
          <w:szCs w:val="20"/>
          <w:rtl/>
        </w:rPr>
        <w:t xml:space="preserve"> היום בכל ניתוח קיסרי האשה רואה דם דרך הנרתיק, ומקור דם זה ברחם ואינו רק מחמת הניתוח, ולכן בוודאי שהיא טמאה.</w:t>
      </w:r>
    </w:p>
    <w:p w:rsidR="00620060" w:rsidRPr="002D2E2B"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2D2E2B">
        <w:rPr>
          <w:rFonts w:hint="cs"/>
          <w:b/>
          <w:bCs/>
          <w:sz w:val="20"/>
          <w:szCs w:val="20"/>
          <w:rtl/>
        </w:rPr>
        <w:t>משנה וגמרא</w:t>
      </w:r>
      <w:r>
        <w:rPr>
          <w:rFonts w:hint="cs"/>
          <w:sz w:val="20"/>
          <w:szCs w:val="20"/>
          <w:rtl/>
        </w:rPr>
        <w:t xml:space="preserve">. יולדת דרך דופן. </w:t>
      </w:r>
      <w:r w:rsidRPr="002D2E2B">
        <w:rPr>
          <w:rFonts w:hint="cs"/>
          <w:sz w:val="20"/>
          <w:szCs w:val="20"/>
          <w:u w:val="single"/>
          <w:rtl/>
        </w:rPr>
        <w:t>ת"ק</w:t>
      </w:r>
      <w:r>
        <w:rPr>
          <w:rFonts w:hint="cs"/>
          <w:sz w:val="20"/>
          <w:szCs w:val="20"/>
          <w:rtl/>
        </w:rPr>
        <w:t xml:space="preserve">. טהורה, וכן הלכה. </w:t>
      </w:r>
      <w:r w:rsidRPr="002D2E2B">
        <w:rPr>
          <w:rFonts w:hint="cs"/>
          <w:b/>
          <w:bCs/>
          <w:sz w:val="20"/>
          <w:szCs w:val="20"/>
          <w:rtl/>
        </w:rPr>
        <w:t>טעם</w:t>
      </w:r>
      <w:r>
        <w:rPr>
          <w:rFonts w:hint="cs"/>
          <w:sz w:val="20"/>
          <w:szCs w:val="20"/>
          <w:rtl/>
        </w:rPr>
        <w:t xml:space="preserve">. עד שתלד ממקום שמזרעת. </w:t>
      </w:r>
      <w:r w:rsidRPr="002D2E2B">
        <w:rPr>
          <w:rFonts w:hint="cs"/>
          <w:sz w:val="20"/>
          <w:szCs w:val="20"/>
          <w:u w:val="single"/>
          <w:rtl/>
        </w:rPr>
        <w:t>ר"ש</w:t>
      </w:r>
      <w:r>
        <w:rPr>
          <w:rFonts w:hint="cs"/>
          <w:sz w:val="20"/>
          <w:szCs w:val="20"/>
          <w:rtl/>
        </w:rPr>
        <w:t>. טמאה.</w:t>
      </w:r>
      <w:r>
        <w:rPr>
          <w:sz w:val="20"/>
          <w:szCs w:val="20"/>
          <w:rtl/>
        </w:rPr>
        <w:br/>
      </w:r>
      <w:r>
        <w:rPr>
          <w:rFonts w:hint="cs"/>
          <w:sz w:val="20"/>
          <w:szCs w:val="20"/>
          <w:rtl/>
        </w:rPr>
        <w:t xml:space="preserve">2. </w:t>
      </w:r>
      <w:r w:rsidRPr="002D2E2B">
        <w:rPr>
          <w:rFonts w:hint="cs"/>
          <w:b/>
          <w:bCs/>
          <w:sz w:val="20"/>
          <w:szCs w:val="20"/>
          <w:rtl/>
        </w:rPr>
        <w:t>גמרא</w:t>
      </w:r>
      <w:r>
        <w:rPr>
          <w:rFonts w:hint="cs"/>
          <w:sz w:val="20"/>
          <w:szCs w:val="20"/>
          <w:rtl/>
        </w:rPr>
        <w:t>. דם היוצא מהדופן אינו מטמא לכו"ע.</w:t>
      </w:r>
      <w:r>
        <w:rPr>
          <w:sz w:val="20"/>
          <w:szCs w:val="20"/>
          <w:rtl/>
        </w:rPr>
        <w:br/>
      </w:r>
      <w:r>
        <w:rPr>
          <w:rFonts w:hint="cs"/>
          <w:sz w:val="20"/>
          <w:szCs w:val="20"/>
          <w:rtl/>
        </w:rPr>
        <w:t xml:space="preserve">3. </w:t>
      </w:r>
      <w:r w:rsidRPr="002D2E2B">
        <w:rPr>
          <w:rFonts w:hint="cs"/>
          <w:b/>
          <w:bCs/>
          <w:sz w:val="20"/>
          <w:szCs w:val="20"/>
          <w:rtl/>
        </w:rPr>
        <w:t>מחבר</w:t>
      </w:r>
      <w:r>
        <w:rPr>
          <w:rFonts w:hint="cs"/>
          <w:sz w:val="20"/>
          <w:szCs w:val="20"/>
          <w:rtl/>
        </w:rPr>
        <w:t>. יוצא דופן אינו מטמא, וכן אם יצא דם רק מהדופן אמו טהורה.</w:t>
      </w:r>
      <w:r>
        <w:rPr>
          <w:sz w:val="20"/>
          <w:szCs w:val="20"/>
          <w:rtl/>
        </w:rPr>
        <w:br/>
      </w:r>
      <w:r>
        <w:rPr>
          <w:rFonts w:hint="cs"/>
          <w:sz w:val="20"/>
          <w:szCs w:val="20"/>
          <w:rtl/>
        </w:rPr>
        <w:t xml:space="preserve">4. </w:t>
      </w:r>
      <w:r w:rsidRPr="002D2E2B">
        <w:rPr>
          <w:rFonts w:hint="cs"/>
          <w:b/>
          <w:bCs/>
          <w:sz w:val="20"/>
          <w:szCs w:val="20"/>
          <w:rtl/>
        </w:rPr>
        <w:t>נשמת אברהם</w:t>
      </w:r>
      <w:r>
        <w:rPr>
          <w:rFonts w:hint="cs"/>
          <w:sz w:val="20"/>
          <w:szCs w:val="20"/>
          <w:rtl/>
        </w:rPr>
        <w:t>. בניתוח קיסרי יש דימום מהרחם וטמאה מחמתו.</w:t>
      </w:r>
    </w:p>
    <w:p w:rsidR="00620060" w:rsidRPr="00C071B9" w:rsidRDefault="00620060" w:rsidP="00620060">
      <w:pPr>
        <w:rPr>
          <w:b/>
          <w:bCs/>
          <w:sz w:val="20"/>
          <w:szCs w:val="20"/>
          <w:rtl/>
        </w:rPr>
      </w:pPr>
    </w:p>
    <w:p w:rsidR="00620060" w:rsidRPr="00401F01" w:rsidRDefault="00620060" w:rsidP="00620060">
      <w:pPr>
        <w:rPr>
          <w:sz w:val="20"/>
          <w:szCs w:val="20"/>
          <w:rtl/>
        </w:rPr>
      </w:pPr>
    </w:p>
    <w:p w:rsidR="00620060" w:rsidRPr="009B512B" w:rsidRDefault="00620060" w:rsidP="00620060">
      <w:pPr>
        <w:rPr>
          <w:sz w:val="20"/>
          <w:szCs w:val="20"/>
          <w:rtl/>
        </w:rPr>
      </w:pPr>
    </w:p>
    <w:p w:rsidR="00620060" w:rsidRPr="0088054C" w:rsidRDefault="00620060" w:rsidP="00620060">
      <w:pPr>
        <w:rPr>
          <w:sz w:val="20"/>
          <w:szCs w:val="20"/>
        </w:rPr>
      </w:pPr>
    </w:p>
    <w:p w:rsidR="00620060" w:rsidRDefault="00620060" w:rsidP="00620060">
      <w:pPr>
        <w:rPr>
          <w:sz w:val="20"/>
          <w:szCs w:val="20"/>
          <w:rtl/>
        </w:rPr>
      </w:pPr>
    </w:p>
    <w:p w:rsidR="00620060" w:rsidRPr="00BA1A47" w:rsidRDefault="00620060" w:rsidP="00620060">
      <w:pPr>
        <w:rPr>
          <w:sz w:val="20"/>
          <w:szCs w:val="20"/>
          <w:rtl/>
        </w:rPr>
      </w:pPr>
    </w:p>
    <w:p w:rsidR="00620060" w:rsidRPr="0092795F" w:rsidRDefault="00620060" w:rsidP="00620060">
      <w:pPr>
        <w:rPr>
          <w:sz w:val="20"/>
          <w:szCs w:val="20"/>
          <w:u w:val="single"/>
          <w:rtl/>
        </w:rPr>
      </w:pPr>
      <w:r w:rsidRPr="0092795F">
        <w:rPr>
          <w:sz w:val="20"/>
          <w:szCs w:val="20"/>
          <w:u w:val="single"/>
          <w:rtl/>
        </w:rPr>
        <w:br/>
      </w:r>
    </w:p>
    <w:p w:rsidR="00620060" w:rsidRPr="006A17D0" w:rsidRDefault="00620060" w:rsidP="00620060">
      <w:pPr>
        <w:rPr>
          <w:rFonts w:cs="Arial"/>
          <w:sz w:val="20"/>
          <w:szCs w:val="20"/>
          <w:rtl/>
        </w:rPr>
      </w:pPr>
    </w:p>
    <w:p w:rsidR="00620060" w:rsidRDefault="00620060" w:rsidP="00620060">
      <w:pPr>
        <w:rPr>
          <w:b/>
          <w:bCs/>
          <w:sz w:val="20"/>
          <w:szCs w:val="20"/>
          <w:rtl/>
        </w:rPr>
      </w:pPr>
    </w:p>
    <w:p w:rsidR="00620060" w:rsidRDefault="00620060" w:rsidP="00620060">
      <w:pPr>
        <w:rPr>
          <w:b/>
          <w:bCs/>
          <w:sz w:val="20"/>
          <w:szCs w:val="20"/>
          <w:rtl/>
        </w:rPr>
      </w:pPr>
    </w:p>
    <w:p w:rsidR="00620060" w:rsidRDefault="00620060" w:rsidP="00620060">
      <w:pPr>
        <w:rPr>
          <w:b/>
          <w:bCs/>
          <w:sz w:val="20"/>
          <w:szCs w:val="20"/>
          <w:rtl/>
        </w:rPr>
      </w:pPr>
    </w:p>
    <w:p w:rsidR="00620060" w:rsidRDefault="00620060" w:rsidP="00620060">
      <w:pPr>
        <w:rPr>
          <w:b/>
          <w:bCs/>
          <w:sz w:val="20"/>
          <w:szCs w:val="20"/>
          <w:rtl/>
        </w:rPr>
      </w:pPr>
    </w:p>
    <w:p w:rsidR="00620060" w:rsidRDefault="00620060" w:rsidP="00620060">
      <w:pPr>
        <w:rPr>
          <w:b/>
          <w:bCs/>
          <w:sz w:val="20"/>
          <w:szCs w:val="20"/>
          <w:rtl/>
        </w:rPr>
      </w:pPr>
    </w:p>
    <w:p w:rsidR="00620060" w:rsidRDefault="00620060" w:rsidP="00620060">
      <w:pPr>
        <w:rPr>
          <w:b/>
          <w:bCs/>
          <w:sz w:val="20"/>
          <w:szCs w:val="20"/>
          <w:rtl/>
        </w:rPr>
      </w:pPr>
      <w:r>
        <w:rPr>
          <w:sz w:val="20"/>
          <w:szCs w:val="20"/>
          <w:rtl/>
        </w:rPr>
        <w:br/>
      </w:r>
    </w:p>
    <w:p w:rsidR="00620060" w:rsidRDefault="00620060" w:rsidP="00620060">
      <w:pPr>
        <w:rPr>
          <w:b/>
          <w:bCs/>
          <w:sz w:val="20"/>
          <w:szCs w:val="20"/>
          <w:rtl/>
        </w:rPr>
      </w:pPr>
    </w:p>
    <w:p w:rsidR="00620060" w:rsidRDefault="00620060" w:rsidP="00620060">
      <w:pPr>
        <w:rPr>
          <w:b/>
          <w:bCs/>
          <w:sz w:val="20"/>
          <w:szCs w:val="20"/>
          <w:rtl/>
        </w:rPr>
      </w:pPr>
    </w:p>
    <w:p w:rsidR="00620060" w:rsidRDefault="00620060" w:rsidP="00620060">
      <w:pPr>
        <w:rPr>
          <w:b/>
          <w:bCs/>
          <w:sz w:val="20"/>
          <w:szCs w:val="20"/>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Pr="00BB5E97" w:rsidRDefault="00620060" w:rsidP="00620060">
      <w:pPr>
        <w:rPr>
          <w:b/>
          <w:bCs/>
          <w:sz w:val="20"/>
          <w:szCs w:val="20"/>
          <w:rtl/>
        </w:rPr>
      </w:pPr>
      <w:r w:rsidRPr="00BB5E97">
        <w:rPr>
          <w:rFonts w:hint="cs"/>
          <w:b/>
          <w:bCs/>
          <w:sz w:val="20"/>
          <w:szCs w:val="20"/>
          <w:rtl/>
        </w:rPr>
        <w:lastRenderedPageBreak/>
        <w:t>בעזרת ה' יתברך</w:t>
      </w:r>
    </w:p>
    <w:p w:rsidR="00620060" w:rsidRDefault="00620060" w:rsidP="00620060">
      <w:pPr>
        <w:rPr>
          <w:b/>
          <w:bCs/>
          <w:sz w:val="20"/>
          <w:szCs w:val="20"/>
          <w:rtl/>
        </w:rPr>
      </w:pPr>
      <w:r w:rsidRPr="00BB5E97">
        <w:rPr>
          <w:rFonts w:hint="cs"/>
          <w:b/>
          <w:bCs/>
          <w:sz w:val="20"/>
          <w:szCs w:val="20"/>
          <w:rtl/>
        </w:rPr>
        <w:t xml:space="preserve">סימן קצה </w:t>
      </w:r>
      <w:r w:rsidRPr="00BB5E97">
        <w:rPr>
          <w:b/>
          <w:bCs/>
          <w:sz w:val="20"/>
          <w:szCs w:val="20"/>
          <w:rtl/>
        </w:rPr>
        <w:t>–</w:t>
      </w:r>
      <w:r w:rsidRPr="00BB5E97">
        <w:rPr>
          <w:rFonts w:hint="cs"/>
          <w:b/>
          <w:bCs/>
          <w:sz w:val="20"/>
          <w:szCs w:val="20"/>
          <w:rtl/>
        </w:rPr>
        <w:t xml:space="preserve"> דברים האסורים בזמן נידתה</w:t>
      </w:r>
    </w:p>
    <w:p w:rsidR="00620060" w:rsidRPr="006A4D88" w:rsidRDefault="00620060" w:rsidP="00620060">
      <w:pPr>
        <w:rPr>
          <w:sz w:val="20"/>
          <w:szCs w:val="20"/>
          <w:rtl/>
        </w:rPr>
      </w:pPr>
      <w:r>
        <w:rPr>
          <w:rFonts w:hint="cs"/>
          <w:b/>
          <w:bCs/>
          <w:sz w:val="20"/>
          <w:szCs w:val="20"/>
          <w:rtl/>
        </w:rPr>
        <w:t>פתיחה</w:t>
      </w:r>
      <w:r>
        <w:rPr>
          <w:b/>
          <w:bCs/>
          <w:sz w:val="20"/>
          <w:szCs w:val="20"/>
          <w:rtl/>
        </w:rPr>
        <w:br/>
      </w:r>
      <w:r>
        <w:rPr>
          <w:rFonts w:hint="cs"/>
          <w:b/>
          <w:bCs/>
          <w:sz w:val="20"/>
          <w:szCs w:val="20"/>
          <w:rtl/>
        </w:rPr>
        <w:t xml:space="preserve">נגיעה של חיבה </w:t>
      </w:r>
      <w:r>
        <w:rPr>
          <w:b/>
          <w:bCs/>
          <w:sz w:val="20"/>
          <w:szCs w:val="20"/>
          <w:rtl/>
        </w:rPr>
        <w:t>–</w:t>
      </w:r>
      <w:r>
        <w:rPr>
          <w:rFonts w:hint="cs"/>
          <w:b/>
          <w:bCs/>
          <w:sz w:val="20"/>
          <w:szCs w:val="20"/>
          <w:rtl/>
        </w:rPr>
        <w:t xml:space="preserve"> אסורה מדאורייתא או מדרבנן?</w:t>
      </w:r>
      <w:r>
        <w:rPr>
          <w:rFonts w:hint="cs"/>
          <w:b/>
          <w:bCs/>
          <w:sz w:val="20"/>
          <w:szCs w:val="20"/>
          <w:rtl/>
        </w:rPr>
        <w:br/>
      </w:r>
      <w:r>
        <w:rPr>
          <w:rFonts w:hint="cs"/>
          <w:sz w:val="20"/>
          <w:szCs w:val="20"/>
          <w:rtl/>
        </w:rPr>
        <w:t xml:space="preserve">א. </w:t>
      </w:r>
      <w:r>
        <w:rPr>
          <w:rFonts w:hint="cs"/>
          <w:b/>
          <w:bCs/>
          <w:sz w:val="20"/>
          <w:szCs w:val="20"/>
          <w:rtl/>
        </w:rPr>
        <w:t xml:space="preserve">רמב"ם </w:t>
      </w:r>
      <w:r w:rsidRPr="005C25C1">
        <w:rPr>
          <w:rFonts w:hint="cs"/>
          <w:sz w:val="18"/>
          <w:szCs w:val="18"/>
          <w:rtl/>
        </w:rPr>
        <w:t xml:space="preserve">(ספר המצוות, לאוין שנג) </w:t>
      </w:r>
      <w:r>
        <w:rPr>
          <w:sz w:val="20"/>
          <w:szCs w:val="20"/>
          <w:rtl/>
        </w:rPr>
        <w:t>–</w:t>
      </w:r>
      <w:r>
        <w:rPr>
          <w:rFonts w:hint="cs"/>
          <w:sz w:val="20"/>
          <w:szCs w:val="20"/>
          <w:rtl/>
        </w:rPr>
        <w:t xml:space="preserve"> "</w:t>
      </w:r>
      <w:r w:rsidRPr="006A4D88">
        <w:rPr>
          <w:rFonts w:cs="Arial"/>
          <w:sz w:val="20"/>
          <w:szCs w:val="20"/>
          <w:rtl/>
        </w:rPr>
        <w:t>שהזהירנו מקרוב לאחת מכל אלו העריות ואפילו בלא ביאה. כגון חבוק ונשיקה והדומה להם מפעולות הזנות. והוא אמרו יתעלה באזהרה מזה איש איש אל כל שאר בשרו לא תקרבו לגלות ערו</w:t>
      </w:r>
      <w:r>
        <w:rPr>
          <w:rFonts w:cs="Arial" w:hint="cs"/>
          <w:sz w:val="20"/>
          <w:szCs w:val="20"/>
          <w:rtl/>
        </w:rPr>
        <w:t>ו</w:t>
      </w:r>
      <w:r w:rsidRPr="006A4D88">
        <w:rPr>
          <w:rFonts w:cs="Arial"/>
          <w:sz w:val="20"/>
          <w:szCs w:val="20"/>
          <w:rtl/>
        </w:rPr>
        <w:t>ה. כאילו יאמר לא תקרבו מהן קירוב יביא לגלות ער</w:t>
      </w:r>
      <w:r>
        <w:rPr>
          <w:rFonts w:cs="Arial" w:hint="cs"/>
          <w:sz w:val="20"/>
          <w:szCs w:val="20"/>
          <w:rtl/>
        </w:rPr>
        <w:t>ו</w:t>
      </w:r>
      <w:r w:rsidRPr="006A4D88">
        <w:rPr>
          <w:rFonts w:cs="Arial"/>
          <w:sz w:val="20"/>
          <w:szCs w:val="20"/>
          <w:rtl/>
        </w:rPr>
        <w:t>וה.</w:t>
      </w:r>
      <w:r>
        <w:rPr>
          <w:rFonts w:cs="Arial" w:hint="cs"/>
          <w:sz w:val="20"/>
          <w:szCs w:val="20"/>
          <w:rtl/>
        </w:rPr>
        <w:br/>
      </w:r>
      <w:r w:rsidRPr="005C25C1">
        <w:rPr>
          <w:rFonts w:cs="Arial"/>
          <w:sz w:val="20"/>
          <w:szCs w:val="20"/>
          <w:rtl/>
        </w:rPr>
        <w:t>ולשון ספרא</w:t>
      </w:r>
      <w:r>
        <w:rPr>
          <w:rFonts w:cs="Arial" w:hint="cs"/>
          <w:sz w:val="20"/>
          <w:szCs w:val="20"/>
          <w:rtl/>
        </w:rPr>
        <w:t>:</w:t>
      </w:r>
      <w:r w:rsidRPr="005C25C1">
        <w:rPr>
          <w:rFonts w:cs="Arial"/>
          <w:sz w:val="20"/>
          <w:szCs w:val="20"/>
          <w:rtl/>
        </w:rPr>
        <w:t xml:space="preserve"> לא תקרבו לגלות</w:t>
      </w:r>
      <w:r>
        <w:rPr>
          <w:rFonts w:cs="Arial" w:hint="cs"/>
          <w:sz w:val="20"/>
          <w:szCs w:val="20"/>
          <w:rtl/>
        </w:rPr>
        <w:t>,</w:t>
      </w:r>
      <w:r w:rsidRPr="005C25C1">
        <w:rPr>
          <w:rFonts w:cs="Arial"/>
          <w:sz w:val="20"/>
          <w:szCs w:val="20"/>
          <w:rtl/>
        </w:rPr>
        <w:t xml:space="preserve"> אין לי אלא שלא יגלה</w:t>
      </w:r>
      <w:r>
        <w:rPr>
          <w:rFonts w:cs="Arial" w:hint="cs"/>
          <w:sz w:val="20"/>
          <w:szCs w:val="20"/>
          <w:rtl/>
        </w:rPr>
        <w:t>,</w:t>
      </w:r>
      <w:r w:rsidRPr="005C25C1">
        <w:rPr>
          <w:rFonts w:cs="Arial"/>
          <w:sz w:val="20"/>
          <w:szCs w:val="20"/>
          <w:rtl/>
        </w:rPr>
        <w:t xml:space="preserve"> מניין שלא יקרב</w:t>
      </w:r>
      <w:r>
        <w:rPr>
          <w:rFonts w:cs="Arial" w:hint="cs"/>
          <w:sz w:val="20"/>
          <w:szCs w:val="20"/>
          <w:rtl/>
        </w:rPr>
        <w:t>?</w:t>
      </w:r>
      <w:r w:rsidRPr="005C25C1">
        <w:rPr>
          <w:rFonts w:cs="Arial"/>
          <w:sz w:val="20"/>
          <w:szCs w:val="20"/>
          <w:rtl/>
        </w:rPr>
        <w:t xml:space="preserve"> תלמוד לומר ואל אשה בנדת טומאתה לא תקרב</w:t>
      </w:r>
      <w:r>
        <w:rPr>
          <w:rFonts w:cs="Arial" w:hint="cs"/>
          <w:sz w:val="20"/>
          <w:szCs w:val="20"/>
          <w:rtl/>
        </w:rPr>
        <w:t>.</w:t>
      </w:r>
      <w:r w:rsidRPr="005C25C1">
        <w:rPr>
          <w:rFonts w:cs="Arial"/>
          <w:sz w:val="20"/>
          <w:szCs w:val="20"/>
          <w:rtl/>
        </w:rPr>
        <w:t xml:space="preserve"> אין לי אלא בנדה בל תקרב ובל תגלה</w:t>
      </w:r>
      <w:r>
        <w:rPr>
          <w:rFonts w:cs="Arial" w:hint="cs"/>
          <w:sz w:val="20"/>
          <w:szCs w:val="20"/>
          <w:rtl/>
        </w:rPr>
        <w:t>,</w:t>
      </w:r>
      <w:r w:rsidRPr="005C25C1">
        <w:rPr>
          <w:rFonts w:cs="Arial"/>
          <w:sz w:val="20"/>
          <w:szCs w:val="20"/>
          <w:rtl/>
        </w:rPr>
        <w:t xml:space="preserve"> ומניין לכל העריות שהן בבל תקרבו ובל תגלו</w:t>
      </w:r>
      <w:r>
        <w:rPr>
          <w:rFonts w:cs="Arial" w:hint="cs"/>
          <w:sz w:val="20"/>
          <w:szCs w:val="20"/>
          <w:rtl/>
        </w:rPr>
        <w:t>?</w:t>
      </w:r>
      <w:r w:rsidRPr="005C25C1">
        <w:rPr>
          <w:rFonts w:cs="Arial"/>
          <w:sz w:val="20"/>
          <w:szCs w:val="20"/>
          <w:rtl/>
        </w:rPr>
        <w:t xml:space="preserve"> תלמוד לומר לא תקרבו לגלות</w:t>
      </w:r>
      <w:r>
        <w:rPr>
          <w:rStyle w:val="a5"/>
          <w:rFonts w:cs="Arial"/>
          <w:sz w:val="20"/>
          <w:szCs w:val="20"/>
          <w:rtl/>
        </w:rPr>
        <w:footnoteReference w:id="429"/>
      </w:r>
      <w:r>
        <w:rPr>
          <w:rFonts w:cs="Arial" w:hint="cs"/>
          <w:sz w:val="20"/>
          <w:szCs w:val="20"/>
          <w:rtl/>
        </w:rPr>
        <w:t>".</w:t>
      </w:r>
      <w:r>
        <w:rPr>
          <w:rFonts w:cs="Arial" w:hint="cs"/>
          <w:sz w:val="20"/>
          <w:szCs w:val="20"/>
          <w:rtl/>
        </w:rPr>
        <w:br/>
        <w:t xml:space="preserve">ב. </w:t>
      </w:r>
      <w:r w:rsidRPr="005C25C1">
        <w:rPr>
          <w:rFonts w:cs="Arial" w:hint="cs"/>
          <w:b/>
          <w:bCs/>
          <w:sz w:val="20"/>
          <w:szCs w:val="20"/>
          <w:rtl/>
        </w:rPr>
        <w:t>רמב"ן</w:t>
      </w:r>
      <w:r>
        <w:rPr>
          <w:rFonts w:cs="Arial" w:hint="cs"/>
          <w:sz w:val="20"/>
          <w:szCs w:val="20"/>
          <w:rtl/>
        </w:rPr>
        <w:t xml:space="preserve"> </w:t>
      </w:r>
      <w:r w:rsidRPr="005C25C1">
        <w:rPr>
          <w:rFonts w:cs="Arial" w:hint="cs"/>
          <w:sz w:val="18"/>
          <w:szCs w:val="18"/>
          <w:rtl/>
        </w:rPr>
        <w:t xml:space="preserve">(בהשגות) </w:t>
      </w:r>
      <w:r>
        <w:rPr>
          <w:rFonts w:cs="Arial"/>
          <w:sz w:val="20"/>
          <w:szCs w:val="20"/>
          <w:rtl/>
        </w:rPr>
        <w:t>–</w:t>
      </w:r>
      <w:r>
        <w:rPr>
          <w:rFonts w:cs="Arial" w:hint="cs"/>
          <w:sz w:val="20"/>
          <w:szCs w:val="20"/>
          <w:rtl/>
        </w:rPr>
        <w:t xml:space="preserve"> "</w:t>
      </w:r>
      <w:r w:rsidRPr="005C25C1">
        <w:rPr>
          <w:rFonts w:cs="Arial"/>
          <w:sz w:val="20"/>
          <w:szCs w:val="20"/>
          <w:rtl/>
        </w:rPr>
        <w:t>אבל כפי העיון בתלמוד אין הדבר כן שיהיה בקריבה שאין בה גלוי ערו</w:t>
      </w:r>
      <w:r>
        <w:rPr>
          <w:rFonts w:cs="Arial" w:hint="cs"/>
          <w:sz w:val="20"/>
          <w:szCs w:val="20"/>
          <w:rtl/>
        </w:rPr>
        <w:t>ו</w:t>
      </w:r>
      <w:r w:rsidRPr="005C25C1">
        <w:rPr>
          <w:rFonts w:cs="Arial"/>
          <w:sz w:val="20"/>
          <w:szCs w:val="20"/>
          <w:rtl/>
        </w:rPr>
        <w:t>ה כגון ח</w:t>
      </w:r>
      <w:r>
        <w:rPr>
          <w:rFonts w:cs="Arial" w:hint="cs"/>
          <w:sz w:val="20"/>
          <w:szCs w:val="20"/>
          <w:rtl/>
        </w:rPr>
        <w:t>י</w:t>
      </w:r>
      <w:r w:rsidRPr="005C25C1">
        <w:rPr>
          <w:rFonts w:cs="Arial"/>
          <w:sz w:val="20"/>
          <w:szCs w:val="20"/>
          <w:rtl/>
        </w:rPr>
        <w:t>בוק ונ</w:t>
      </w:r>
      <w:r>
        <w:rPr>
          <w:rFonts w:cs="Arial" w:hint="cs"/>
          <w:sz w:val="20"/>
          <w:szCs w:val="20"/>
          <w:rtl/>
        </w:rPr>
        <w:t>י</w:t>
      </w:r>
      <w:r w:rsidRPr="005C25C1">
        <w:rPr>
          <w:rFonts w:cs="Arial"/>
          <w:sz w:val="20"/>
          <w:szCs w:val="20"/>
          <w:rtl/>
        </w:rPr>
        <w:t>שוק לאו ומלקות</w:t>
      </w:r>
      <w:r>
        <w:rPr>
          <w:rStyle w:val="a5"/>
          <w:rFonts w:cs="Arial"/>
          <w:sz w:val="20"/>
          <w:szCs w:val="20"/>
          <w:rtl/>
        </w:rPr>
        <w:footnoteReference w:id="430"/>
      </w:r>
      <w:r>
        <w:rPr>
          <w:rFonts w:cs="Arial" w:hint="cs"/>
          <w:sz w:val="20"/>
          <w:szCs w:val="20"/>
          <w:rtl/>
        </w:rPr>
        <w:t>".</w:t>
      </w:r>
    </w:p>
    <w:p w:rsidR="00620060" w:rsidRDefault="00620060" w:rsidP="00620060">
      <w:pPr>
        <w:rPr>
          <w:rFonts w:cs="Arial"/>
          <w:sz w:val="20"/>
          <w:szCs w:val="20"/>
          <w:rtl/>
        </w:rPr>
      </w:pPr>
      <w:r w:rsidRPr="00BB5E97">
        <w:rPr>
          <w:rFonts w:hint="cs"/>
          <w:b/>
          <w:bCs/>
          <w:sz w:val="20"/>
          <w:szCs w:val="20"/>
          <w:rtl/>
        </w:rPr>
        <w:t xml:space="preserve">סעיף א </w:t>
      </w:r>
      <w:r>
        <w:rPr>
          <w:b/>
          <w:bCs/>
          <w:sz w:val="20"/>
          <w:szCs w:val="20"/>
          <w:rtl/>
        </w:rPr>
        <w:t>–</w:t>
      </w:r>
      <w:r w:rsidRPr="00BB5E97">
        <w:rPr>
          <w:rFonts w:hint="cs"/>
          <w:b/>
          <w:bCs/>
          <w:sz w:val="20"/>
          <w:szCs w:val="20"/>
          <w:rtl/>
        </w:rPr>
        <w:t xml:space="preserve"> </w:t>
      </w:r>
      <w:r>
        <w:rPr>
          <w:rFonts w:hint="cs"/>
          <w:b/>
          <w:bCs/>
          <w:sz w:val="20"/>
          <w:szCs w:val="20"/>
          <w:rtl/>
        </w:rPr>
        <w:t>דין פרישה מאשתו</w:t>
      </w:r>
      <w:r>
        <w:rPr>
          <w:b/>
          <w:bCs/>
          <w:sz w:val="20"/>
          <w:szCs w:val="20"/>
          <w:rtl/>
        </w:rPr>
        <w:br/>
      </w:r>
      <w:r>
        <w:rPr>
          <w:rFonts w:hint="cs"/>
          <w:sz w:val="20"/>
          <w:szCs w:val="20"/>
          <w:rtl/>
        </w:rPr>
        <w:t xml:space="preserve">א. </w:t>
      </w:r>
      <w:r>
        <w:rPr>
          <w:rFonts w:hint="cs"/>
          <w:b/>
          <w:bCs/>
          <w:sz w:val="20"/>
          <w:szCs w:val="20"/>
          <w:rtl/>
        </w:rPr>
        <w:t xml:space="preserve">פרישה בימי נידותה ובימי ליבונה </w:t>
      </w:r>
      <w:r>
        <w:rPr>
          <w:b/>
          <w:bCs/>
          <w:sz w:val="20"/>
          <w:szCs w:val="20"/>
          <w:rtl/>
        </w:rPr>
        <w:br/>
      </w:r>
      <w:r>
        <w:rPr>
          <w:rFonts w:hint="cs"/>
          <w:sz w:val="20"/>
          <w:szCs w:val="20"/>
          <w:rtl/>
        </w:rPr>
        <w:t xml:space="preserve">א. </w:t>
      </w:r>
      <w:r>
        <w:rPr>
          <w:rFonts w:hint="cs"/>
          <w:b/>
          <w:bCs/>
          <w:sz w:val="20"/>
          <w:szCs w:val="20"/>
          <w:rtl/>
        </w:rPr>
        <w:t xml:space="preserve">גמרא </w:t>
      </w:r>
      <w:r>
        <w:rPr>
          <w:rFonts w:hint="cs"/>
          <w:sz w:val="20"/>
          <w:szCs w:val="20"/>
          <w:rtl/>
        </w:rPr>
        <w:t>שבת (יג:) "</w:t>
      </w:r>
      <w:r w:rsidRPr="009C2FCE">
        <w:rPr>
          <w:rFonts w:cs="Arial"/>
          <w:sz w:val="20"/>
          <w:szCs w:val="20"/>
          <w:rtl/>
        </w:rPr>
        <w:t>תני דבי אליהו: מעשה בתלמיד אחד ששנה הרבה וקרא הרבה, ושימש תלמידי חכמים הרבה, ומת בחצי ימיו. והיתה אשתו נוטלת תפיליו ומחזרתם בבתי כנסיות ובבתי מדרשות, ואמרה להם: כתיב בתורה כי הוא חייך ואורך ימיך, בעלי ששנה הרבה וקרא הרבה,</w:t>
      </w:r>
      <w:r w:rsidRPr="009C2FCE">
        <w:rPr>
          <w:rtl/>
        </w:rPr>
        <w:t xml:space="preserve"> </w:t>
      </w:r>
      <w:r w:rsidRPr="009C2FCE">
        <w:rPr>
          <w:rFonts w:cs="Arial"/>
          <w:sz w:val="20"/>
          <w:szCs w:val="20"/>
          <w:rtl/>
        </w:rPr>
        <w:t>ושימש תלמידי חכמים הרבה - מפני מה מת בחצי ימיו? ולא היה אדם מחזירה דבר. פעם אחת נתארחתי אצלה והיתה מסיחה כל אותו מאורע. ואמרתי לה: בתי, בימי נדותך מה הוא אצלך? אמרה לי: חס ושלום, אפילו באצבע קטנה לא נגע בי. - בימי לבוניך מהו אצלך? - אכל עמי, ושתה עמי, וישן עמי בקירוב בשר, ולא עלתה דעתו על דבר אחר. ואמרתי לה: ברוך המקום שהרגו, שלא נשא פנים לתורה, שהרי אמרה ת</w:t>
      </w:r>
      <w:r>
        <w:rPr>
          <w:rFonts w:cs="Arial"/>
          <w:sz w:val="20"/>
          <w:szCs w:val="20"/>
          <w:rtl/>
        </w:rPr>
        <w:t>ורה ואל אשה בנדת טומאתה לא תקרב</w:t>
      </w:r>
      <w:r>
        <w:rPr>
          <w:rFonts w:cs="Arial" w:hint="cs"/>
          <w:sz w:val="20"/>
          <w:szCs w:val="20"/>
          <w:rtl/>
        </w:rPr>
        <w:t>".</w:t>
      </w:r>
      <w:r>
        <w:rPr>
          <w:rFonts w:hint="cs"/>
          <w:b/>
          <w:bCs/>
          <w:sz w:val="20"/>
          <w:szCs w:val="20"/>
          <w:rtl/>
        </w:rPr>
        <w:br/>
      </w:r>
      <w:r>
        <w:rPr>
          <w:rFonts w:hint="cs"/>
          <w:sz w:val="20"/>
          <w:szCs w:val="20"/>
          <w:rtl/>
        </w:rPr>
        <w:t xml:space="preserve">ב. </w:t>
      </w:r>
      <w:r>
        <w:rPr>
          <w:rFonts w:hint="cs"/>
          <w:b/>
          <w:bCs/>
          <w:sz w:val="20"/>
          <w:szCs w:val="20"/>
          <w:rtl/>
        </w:rPr>
        <w:t xml:space="preserve">גמרא </w:t>
      </w:r>
      <w:r>
        <w:rPr>
          <w:rFonts w:hint="cs"/>
          <w:sz w:val="20"/>
          <w:szCs w:val="20"/>
          <w:rtl/>
        </w:rPr>
        <w:t>כתובות (סא.) "</w:t>
      </w:r>
      <w:r w:rsidRPr="009C2FCE">
        <w:rPr>
          <w:rFonts w:cs="Arial"/>
          <w:sz w:val="20"/>
          <w:szCs w:val="20"/>
          <w:rtl/>
        </w:rPr>
        <w:t>שמואל, מחלפא ליה דביתהו בידא דשמאלא</w:t>
      </w:r>
      <w:r>
        <w:rPr>
          <w:rFonts w:cs="Arial" w:hint="cs"/>
          <w:sz w:val="20"/>
          <w:szCs w:val="20"/>
          <w:rtl/>
        </w:rPr>
        <w:t>".</w:t>
      </w:r>
    </w:p>
    <w:p w:rsidR="00620060" w:rsidRDefault="00620060" w:rsidP="00620060">
      <w:pPr>
        <w:rPr>
          <w:sz w:val="20"/>
          <w:szCs w:val="20"/>
          <w:rtl/>
        </w:rPr>
      </w:pPr>
      <w:r w:rsidRPr="00EF6793">
        <w:rPr>
          <w:rFonts w:cs="Arial" w:hint="cs"/>
          <w:b/>
          <w:bCs/>
          <w:sz w:val="20"/>
          <w:szCs w:val="20"/>
          <w:rtl/>
        </w:rPr>
        <w:t xml:space="preserve">האם יש חילוק בחיוב הפרישה בין ימי נידות לימי ליבון? </w:t>
      </w:r>
      <w:r w:rsidRPr="00EF6793">
        <w:rPr>
          <w:rFonts w:cs="Arial"/>
          <w:b/>
          <w:bCs/>
          <w:sz w:val="20"/>
          <w:szCs w:val="20"/>
          <w:rtl/>
        </w:rPr>
        <w:t>–</w:t>
      </w:r>
      <w:r w:rsidRPr="00EF6793">
        <w:rPr>
          <w:rFonts w:cs="Arial" w:hint="cs"/>
          <w:b/>
          <w:bCs/>
          <w:sz w:val="20"/>
          <w:szCs w:val="20"/>
          <w:rtl/>
        </w:rPr>
        <w:t xml:space="preserve"> שיטות הראשונים</w:t>
      </w:r>
      <w:r w:rsidRPr="00EF6793">
        <w:rPr>
          <w:rFonts w:cs="Arial"/>
          <w:b/>
          <w:bCs/>
          <w:sz w:val="20"/>
          <w:szCs w:val="20"/>
          <w:rtl/>
        </w:rPr>
        <w:br/>
      </w:r>
      <w:r>
        <w:rPr>
          <w:rFonts w:cs="Arial" w:hint="cs"/>
          <w:sz w:val="20"/>
          <w:szCs w:val="20"/>
          <w:rtl/>
        </w:rPr>
        <w:t xml:space="preserve">א. </w:t>
      </w:r>
      <w:r w:rsidRPr="009C2FCE">
        <w:rPr>
          <w:rFonts w:cs="Arial" w:hint="cs"/>
          <w:b/>
          <w:bCs/>
          <w:sz w:val="20"/>
          <w:szCs w:val="20"/>
          <w:rtl/>
        </w:rPr>
        <w:t>רש"י</w:t>
      </w:r>
      <w:r>
        <w:rPr>
          <w:rFonts w:cs="Arial" w:hint="cs"/>
          <w:sz w:val="20"/>
          <w:szCs w:val="20"/>
          <w:rtl/>
        </w:rPr>
        <w:t xml:space="preserve"> </w:t>
      </w:r>
      <w:r>
        <w:rPr>
          <w:rFonts w:cs="Arial"/>
          <w:sz w:val="20"/>
          <w:szCs w:val="20"/>
          <w:rtl/>
        </w:rPr>
        <w:t>–</w:t>
      </w:r>
      <w:r>
        <w:rPr>
          <w:rFonts w:cs="Arial" w:hint="cs"/>
          <w:sz w:val="20"/>
          <w:szCs w:val="20"/>
          <w:rtl/>
        </w:rPr>
        <w:t xml:space="preserve"> ימי ליבון </w:t>
      </w:r>
      <w:r w:rsidRPr="009C2FCE">
        <w:rPr>
          <w:rFonts w:cs="Arial" w:hint="cs"/>
          <w:sz w:val="18"/>
          <w:szCs w:val="18"/>
          <w:rtl/>
        </w:rPr>
        <w:t xml:space="preserve">(ז' נקיים) </w:t>
      </w:r>
      <w:r>
        <w:rPr>
          <w:rFonts w:cs="Arial" w:hint="cs"/>
          <w:sz w:val="20"/>
          <w:szCs w:val="20"/>
          <w:rtl/>
        </w:rPr>
        <w:t xml:space="preserve">קלים יותר מימי נידות, ומה שהקלה אשתו של שמואל לתת לו דבר מידו לידה </w:t>
      </w:r>
      <w:r w:rsidRPr="009C2FCE">
        <w:rPr>
          <w:rFonts w:cs="Arial" w:hint="cs"/>
          <w:sz w:val="18"/>
          <w:szCs w:val="18"/>
          <w:rtl/>
        </w:rPr>
        <w:t xml:space="preserve">(ע"י שינוי) </w:t>
      </w:r>
      <w:r>
        <w:rPr>
          <w:rFonts w:cs="Arial" w:hint="cs"/>
          <w:sz w:val="20"/>
          <w:szCs w:val="20"/>
          <w:rtl/>
        </w:rPr>
        <w:t>היה דווקא בימי ליבון שחומרתם פחותה מימי נידות.</w:t>
      </w:r>
      <w:r>
        <w:rPr>
          <w:b/>
          <w:bCs/>
          <w:sz w:val="20"/>
          <w:szCs w:val="20"/>
          <w:rtl/>
        </w:rPr>
        <w:br/>
      </w:r>
      <w:r>
        <w:rPr>
          <w:rFonts w:hint="cs"/>
          <w:sz w:val="20"/>
          <w:szCs w:val="20"/>
          <w:rtl/>
        </w:rPr>
        <w:t>וכן יש להוכיח מסיפור המעשה על התלמיד לעיל, שהרי אליהו שאל את אשתו מה היתה הנהגתם בימי נידות ומה היתה הנהגתם בימי ליבון, משמע שיש חילוק ביניהם.</w:t>
      </w:r>
      <w:r w:rsidRPr="009C2FCE">
        <w:rPr>
          <w:rFonts w:hint="cs"/>
          <w:sz w:val="20"/>
          <w:szCs w:val="20"/>
          <w:rtl/>
        </w:rPr>
        <w:br/>
        <w:t xml:space="preserve">ב. </w:t>
      </w:r>
      <w:r w:rsidRPr="004D5CE2">
        <w:rPr>
          <w:rFonts w:hint="cs"/>
          <w:b/>
          <w:bCs/>
          <w:sz w:val="20"/>
          <w:szCs w:val="20"/>
          <w:rtl/>
        </w:rPr>
        <w:t>רבינו תם</w:t>
      </w:r>
      <w:r>
        <w:rPr>
          <w:rFonts w:hint="cs"/>
          <w:sz w:val="20"/>
          <w:szCs w:val="20"/>
          <w:rtl/>
        </w:rPr>
        <w:t xml:space="preserve"> </w:t>
      </w:r>
      <w:r>
        <w:rPr>
          <w:sz w:val="20"/>
          <w:szCs w:val="20"/>
          <w:rtl/>
        </w:rPr>
        <w:t>–</w:t>
      </w:r>
      <w:r>
        <w:rPr>
          <w:rFonts w:hint="cs"/>
          <w:sz w:val="20"/>
          <w:szCs w:val="20"/>
          <w:rtl/>
        </w:rPr>
        <w:t xml:space="preserve"> בעבר נהגו לטבול שתי טבילות, אחת לאחר ימי הנידות ואחת לאחר ז' נקיים, כלומר שלאחר הטבילה הראשונה מותרת מדאורייתא ואסורה רק מדרבנן ולכן הקל אותו התלמיד בימי ליבונה. אמנם, בזמנינו אין נוהגים לטבול שתי טבילות ולכן אין מקום להקל כלל בימי ליבון טפי מימי נידות.</w:t>
      </w:r>
      <w:r>
        <w:rPr>
          <w:sz w:val="20"/>
          <w:szCs w:val="20"/>
          <w:rtl/>
        </w:rPr>
        <w:br/>
      </w:r>
      <w:r>
        <w:rPr>
          <w:rFonts w:hint="cs"/>
          <w:sz w:val="20"/>
          <w:szCs w:val="20"/>
          <w:rtl/>
        </w:rPr>
        <w:t xml:space="preserve">למעשה, רוב הראשונים סוברים כרבינו תם, שאין חילוק בין ימי נידות לימי ליבון ואסורה בהם במידה שווה, וכ"פ </w:t>
      </w:r>
      <w:r w:rsidRPr="004D5CE2">
        <w:rPr>
          <w:rFonts w:hint="cs"/>
          <w:b/>
          <w:bCs/>
          <w:sz w:val="20"/>
          <w:szCs w:val="20"/>
          <w:rtl/>
        </w:rPr>
        <w:t>המחבר</w:t>
      </w:r>
      <w:r>
        <w:rPr>
          <w:rFonts w:hint="cs"/>
          <w:sz w:val="20"/>
          <w:szCs w:val="20"/>
          <w:rtl/>
        </w:rPr>
        <w:t>.</w:t>
      </w:r>
      <w:r>
        <w:rPr>
          <w:rStyle w:val="a5"/>
          <w:sz w:val="20"/>
          <w:szCs w:val="20"/>
          <w:rtl/>
        </w:rPr>
        <w:footnoteReference w:id="431"/>
      </w:r>
      <w:r w:rsidRPr="009C2FCE">
        <w:rPr>
          <w:sz w:val="20"/>
          <w:szCs w:val="20"/>
          <w:rtl/>
        </w:rPr>
        <w:t xml:space="preserve"> </w:t>
      </w:r>
      <w:r w:rsidRPr="009C2FCE">
        <w:rPr>
          <w:sz w:val="20"/>
          <w:szCs w:val="20"/>
          <w:rtl/>
        </w:rPr>
        <w:br/>
      </w:r>
      <w:r>
        <w:rPr>
          <w:rFonts w:hint="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484211">
        <w:rPr>
          <w:rFonts w:cs="Arial"/>
          <w:sz w:val="20"/>
          <w:szCs w:val="20"/>
          <w:rtl/>
        </w:rPr>
        <w:t>חייב אדם לפרוש מאשתו</w:t>
      </w:r>
      <w:r>
        <w:rPr>
          <w:rFonts w:cs="Arial"/>
          <w:sz w:val="20"/>
          <w:szCs w:val="20"/>
          <w:rtl/>
        </w:rPr>
        <w:t xml:space="preserve"> בימי טומאתה עד שתספור ותטבול. </w:t>
      </w:r>
      <w:r>
        <w:rPr>
          <w:rFonts w:cs="Arial" w:hint="cs"/>
          <w:sz w:val="18"/>
          <w:szCs w:val="18"/>
          <w:rtl/>
        </w:rPr>
        <w:t xml:space="preserve">הגה: </w:t>
      </w:r>
      <w:r w:rsidRPr="00484211">
        <w:rPr>
          <w:rFonts w:cs="Arial"/>
          <w:sz w:val="18"/>
          <w:szCs w:val="18"/>
          <w:rtl/>
        </w:rPr>
        <w:t>ואפילו שהתה זמן ארוך ולא טבלה, תמיד היא בנ</w:t>
      </w:r>
      <w:r>
        <w:rPr>
          <w:rFonts w:cs="Arial" w:hint="cs"/>
          <w:sz w:val="18"/>
          <w:szCs w:val="18"/>
          <w:rtl/>
        </w:rPr>
        <w:t>י</w:t>
      </w:r>
      <w:r w:rsidRPr="00484211">
        <w:rPr>
          <w:rFonts w:cs="Arial"/>
          <w:sz w:val="18"/>
          <w:szCs w:val="18"/>
          <w:rtl/>
        </w:rPr>
        <w:t>דתה עד שתטבול</w:t>
      </w:r>
      <w:r>
        <w:rPr>
          <w:rFonts w:cs="Arial" w:hint="cs"/>
          <w:sz w:val="20"/>
          <w:szCs w:val="20"/>
          <w:rtl/>
        </w:rPr>
        <w:t>".</w:t>
      </w:r>
      <w:r>
        <w:rPr>
          <w:sz w:val="20"/>
          <w:szCs w:val="20"/>
          <w:rtl/>
        </w:rPr>
        <w:br/>
      </w:r>
      <w:r w:rsidRPr="00E43648">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כוונת </w:t>
      </w:r>
      <w:r w:rsidRPr="00E43648">
        <w:rPr>
          <w:rFonts w:hint="cs"/>
          <w:b/>
          <w:bCs/>
          <w:sz w:val="20"/>
          <w:szCs w:val="20"/>
          <w:rtl/>
        </w:rPr>
        <w:t>הרמ"א</w:t>
      </w:r>
      <w:r>
        <w:rPr>
          <w:rFonts w:hint="cs"/>
          <w:sz w:val="20"/>
          <w:szCs w:val="20"/>
          <w:rtl/>
        </w:rPr>
        <w:t xml:space="preserve"> לומר שאין חילוק בין ימי נידות לימי ליבון, מכיוון שלא טבלה דין אחד לה ואסורה עליו.</w:t>
      </w:r>
    </w:p>
    <w:p w:rsidR="00620060" w:rsidRDefault="00620060" w:rsidP="00620060">
      <w:pPr>
        <w:rPr>
          <w:rFonts w:cs="Arial"/>
          <w:sz w:val="20"/>
          <w:szCs w:val="20"/>
          <w:rtl/>
        </w:rPr>
      </w:pPr>
      <w:r>
        <w:rPr>
          <w:rFonts w:hint="cs"/>
          <w:sz w:val="20"/>
          <w:szCs w:val="20"/>
          <w:rtl/>
        </w:rPr>
        <w:lastRenderedPageBreak/>
        <w:t xml:space="preserve">ב. </w:t>
      </w:r>
      <w:r w:rsidRPr="003836F6">
        <w:rPr>
          <w:rFonts w:hint="cs"/>
          <w:b/>
          <w:bCs/>
          <w:sz w:val="20"/>
          <w:szCs w:val="20"/>
          <w:rtl/>
        </w:rPr>
        <w:t>קלות ראש עם אשתו נידה</w:t>
      </w:r>
      <w:r>
        <w:rPr>
          <w:rFonts w:hint="cs"/>
          <w:b/>
          <w:bCs/>
          <w:sz w:val="20"/>
          <w:szCs w:val="20"/>
          <w:rtl/>
        </w:rPr>
        <w:t xml:space="preserve"> </w:t>
      </w:r>
      <w:r>
        <w:rPr>
          <w:sz w:val="20"/>
          <w:szCs w:val="20"/>
          <w:rtl/>
        </w:rPr>
        <w:br/>
      </w:r>
      <w:r>
        <w:rPr>
          <w:rFonts w:hint="cs"/>
          <w:b/>
          <w:bCs/>
          <w:sz w:val="20"/>
          <w:szCs w:val="20"/>
          <w:rtl/>
        </w:rPr>
        <w:t xml:space="preserve">אבות דרבי נתן </w:t>
      </w:r>
      <w:r>
        <w:rPr>
          <w:rFonts w:hint="cs"/>
          <w:sz w:val="20"/>
          <w:szCs w:val="20"/>
          <w:rtl/>
        </w:rPr>
        <w:t>(ב, א) "</w:t>
      </w:r>
      <w:r w:rsidRPr="003836F6">
        <w:rPr>
          <w:rFonts w:cs="Arial"/>
          <w:sz w:val="20"/>
          <w:szCs w:val="20"/>
          <w:rtl/>
        </w:rPr>
        <w:t>איזהו סייג שעשתה תורה לדבריה</w:t>
      </w:r>
      <w:r>
        <w:rPr>
          <w:rFonts w:cs="Arial" w:hint="cs"/>
          <w:sz w:val="20"/>
          <w:szCs w:val="20"/>
          <w:rtl/>
        </w:rPr>
        <w:t>?</w:t>
      </w:r>
      <w:r w:rsidRPr="003836F6">
        <w:rPr>
          <w:rFonts w:cs="Arial"/>
          <w:sz w:val="20"/>
          <w:szCs w:val="20"/>
          <w:rtl/>
        </w:rPr>
        <w:t xml:space="preserve"> הרי הוא א</w:t>
      </w:r>
      <w:r>
        <w:rPr>
          <w:rFonts w:cs="Arial"/>
          <w:sz w:val="20"/>
          <w:szCs w:val="20"/>
          <w:rtl/>
        </w:rPr>
        <w:t>ומר ואל אשה בנדת טומאתה לא תקרב</w:t>
      </w:r>
      <w:r>
        <w:rPr>
          <w:rFonts w:cs="Arial" w:hint="cs"/>
          <w:sz w:val="20"/>
          <w:szCs w:val="20"/>
          <w:rtl/>
        </w:rPr>
        <w:t xml:space="preserve">, </w:t>
      </w:r>
      <w:r w:rsidRPr="003836F6">
        <w:rPr>
          <w:rFonts w:cs="Arial"/>
          <w:sz w:val="20"/>
          <w:szCs w:val="20"/>
          <w:rtl/>
        </w:rPr>
        <w:t>יכול יחבקנה וינשקנה וידבר עמה דברים בטלים</w:t>
      </w:r>
      <w:r>
        <w:rPr>
          <w:rFonts w:cs="Arial" w:hint="cs"/>
          <w:sz w:val="20"/>
          <w:szCs w:val="20"/>
          <w:rtl/>
        </w:rPr>
        <w:t>?</w:t>
      </w:r>
      <w:r>
        <w:rPr>
          <w:rFonts w:cs="Arial"/>
          <w:sz w:val="20"/>
          <w:szCs w:val="20"/>
          <w:rtl/>
        </w:rPr>
        <w:t xml:space="preserve"> ת</w:t>
      </w:r>
      <w:r w:rsidRPr="003836F6">
        <w:rPr>
          <w:rFonts w:cs="Arial"/>
          <w:sz w:val="20"/>
          <w:szCs w:val="20"/>
          <w:rtl/>
        </w:rPr>
        <w:t>ל</w:t>
      </w:r>
      <w:r>
        <w:rPr>
          <w:rFonts w:cs="Arial" w:hint="cs"/>
          <w:sz w:val="20"/>
          <w:szCs w:val="20"/>
          <w:rtl/>
        </w:rPr>
        <w:t>מוד לומר</w:t>
      </w:r>
      <w:r w:rsidRPr="003836F6">
        <w:rPr>
          <w:rFonts w:cs="Arial"/>
          <w:sz w:val="20"/>
          <w:szCs w:val="20"/>
          <w:rtl/>
        </w:rPr>
        <w:t xml:space="preserve"> לא תקרב</w:t>
      </w:r>
      <w:r>
        <w:rPr>
          <w:rFonts w:cs="Arial" w:hint="cs"/>
          <w:sz w:val="20"/>
          <w:szCs w:val="20"/>
          <w:rtl/>
        </w:rPr>
        <w:t>"</w:t>
      </w:r>
      <w:r w:rsidRPr="003836F6">
        <w:rPr>
          <w:rFonts w:cs="Arial"/>
          <w:sz w:val="20"/>
          <w:szCs w:val="20"/>
          <w:rtl/>
        </w:rPr>
        <w:t>.</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sidRPr="003836F6">
        <w:rPr>
          <w:rFonts w:hint="cs"/>
          <w:sz w:val="18"/>
          <w:szCs w:val="18"/>
          <w:rtl/>
        </w:rPr>
        <w:t xml:space="preserve">(ע"פ הרמב"ם) </w:t>
      </w:r>
      <w:r>
        <w:rPr>
          <w:sz w:val="20"/>
          <w:szCs w:val="20"/>
          <w:rtl/>
        </w:rPr>
        <w:t>–</w:t>
      </w:r>
      <w:r>
        <w:rPr>
          <w:rFonts w:hint="cs"/>
          <w:sz w:val="20"/>
          <w:szCs w:val="20"/>
          <w:rtl/>
        </w:rPr>
        <w:t xml:space="preserve"> "</w:t>
      </w:r>
      <w:r w:rsidRPr="003836F6">
        <w:rPr>
          <w:rFonts w:cs="Arial"/>
          <w:sz w:val="20"/>
          <w:szCs w:val="20"/>
          <w:rtl/>
        </w:rPr>
        <w:t>ולא ישחוק ולא יקל ראש עמה</w:t>
      </w:r>
      <w:r>
        <w:rPr>
          <w:rFonts w:cs="Arial" w:hint="cs"/>
          <w:sz w:val="20"/>
          <w:szCs w:val="20"/>
          <w:rtl/>
        </w:rPr>
        <w:t xml:space="preserve">. </w:t>
      </w:r>
      <w:r w:rsidRPr="003836F6">
        <w:rPr>
          <w:rFonts w:cs="Arial" w:hint="cs"/>
          <w:sz w:val="18"/>
          <w:szCs w:val="18"/>
          <w:rtl/>
        </w:rPr>
        <w:t xml:space="preserve">הגה: </w:t>
      </w:r>
      <w:r w:rsidRPr="003836F6">
        <w:rPr>
          <w:rFonts w:cs="Arial"/>
          <w:sz w:val="18"/>
          <w:szCs w:val="18"/>
          <w:rtl/>
        </w:rPr>
        <w:t>אפילו בדברים</w:t>
      </w:r>
      <w:r>
        <w:rPr>
          <w:rFonts w:hint="cs"/>
          <w:sz w:val="20"/>
          <w:szCs w:val="20"/>
          <w:rtl/>
        </w:rPr>
        <w:t xml:space="preserve">. </w:t>
      </w:r>
      <w:r w:rsidRPr="00BE7662">
        <w:rPr>
          <w:rFonts w:cs="Arial"/>
          <w:sz w:val="20"/>
          <w:szCs w:val="20"/>
          <w:rtl/>
        </w:rPr>
        <w:t>שמא ירגיל לעבירה</w:t>
      </w:r>
      <w:r>
        <w:rPr>
          <w:rFonts w:hint="cs"/>
          <w:sz w:val="20"/>
          <w:szCs w:val="20"/>
          <w:rtl/>
        </w:rPr>
        <w:t>".</w:t>
      </w:r>
      <w:r>
        <w:rPr>
          <w:sz w:val="20"/>
          <w:szCs w:val="20"/>
          <w:rtl/>
        </w:rPr>
        <w:br/>
      </w:r>
      <w:r w:rsidRPr="007A04D2">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כוונת </w:t>
      </w:r>
      <w:r w:rsidRPr="009E7DD4">
        <w:rPr>
          <w:rFonts w:hint="cs"/>
          <w:b/>
          <w:bCs/>
          <w:sz w:val="20"/>
          <w:szCs w:val="20"/>
          <w:rtl/>
        </w:rPr>
        <w:t>הרמ"א</w:t>
      </w:r>
      <w:r>
        <w:rPr>
          <w:rFonts w:hint="cs"/>
          <w:sz w:val="20"/>
          <w:szCs w:val="20"/>
          <w:rtl/>
        </w:rPr>
        <w:t xml:space="preserve"> לאסור דיבור שמרגיל לערווה. </w:t>
      </w:r>
    </w:p>
    <w:p w:rsidR="00620060" w:rsidRDefault="00620060" w:rsidP="00620060">
      <w:pPr>
        <w:rPr>
          <w:b/>
          <w:bCs/>
          <w:sz w:val="20"/>
          <w:szCs w:val="20"/>
          <w:rtl/>
        </w:rPr>
      </w:pPr>
      <w:r>
        <w:rPr>
          <w:rFonts w:hint="cs"/>
          <w:sz w:val="20"/>
          <w:szCs w:val="20"/>
          <w:rtl/>
        </w:rPr>
        <w:t xml:space="preserve">ג. </w:t>
      </w:r>
      <w:r>
        <w:rPr>
          <w:rFonts w:hint="cs"/>
          <w:b/>
          <w:bCs/>
          <w:sz w:val="20"/>
          <w:szCs w:val="20"/>
          <w:rtl/>
        </w:rPr>
        <w:t>ייחוד עם אשתו נידה</w:t>
      </w:r>
      <w:r>
        <w:rPr>
          <w:rFonts w:hint="cs"/>
          <w:b/>
          <w:bCs/>
          <w:sz w:val="20"/>
          <w:szCs w:val="20"/>
          <w:rtl/>
        </w:rPr>
        <w:br/>
        <w:t xml:space="preserve">גמרא </w:t>
      </w:r>
      <w:r>
        <w:rPr>
          <w:rFonts w:hint="cs"/>
          <w:sz w:val="20"/>
          <w:szCs w:val="20"/>
          <w:rtl/>
        </w:rPr>
        <w:t>כתובות (ד.) "</w:t>
      </w:r>
      <w:r w:rsidRPr="00BE7662">
        <w:rPr>
          <w:rFonts w:cs="Arial"/>
          <w:sz w:val="20"/>
          <w:szCs w:val="20"/>
          <w:rtl/>
        </w:rPr>
        <w:t>וכן מי שפירסה אשתו נדה, הוא ישן בי</w:t>
      </w:r>
      <w:r>
        <w:rPr>
          <w:rFonts w:cs="Arial"/>
          <w:sz w:val="20"/>
          <w:szCs w:val="20"/>
          <w:rtl/>
        </w:rPr>
        <w:t>ן האנשים והיא ישנה בין הנשים</w:t>
      </w:r>
      <w:r>
        <w:rPr>
          <w:rFonts w:cs="Arial" w:hint="cs"/>
          <w:sz w:val="20"/>
          <w:szCs w:val="20"/>
          <w:rtl/>
        </w:rPr>
        <w:t xml:space="preserve">... </w:t>
      </w:r>
      <w:r w:rsidRPr="00BE7662">
        <w:rPr>
          <w:rFonts w:cs="Arial"/>
          <w:sz w:val="20"/>
          <w:szCs w:val="20"/>
          <w:rtl/>
        </w:rPr>
        <w:t>דרש רב יוסף בריה דרבא משמיה דרבא: ל</w:t>
      </w:r>
      <w:r>
        <w:rPr>
          <w:rFonts w:cs="Arial" w:hint="cs"/>
          <w:sz w:val="20"/>
          <w:szCs w:val="20"/>
          <w:rtl/>
        </w:rPr>
        <w:t xml:space="preserve">א </w:t>
      </w:r>
      <w:r w:rsidRPr="00BE7662">
        <w:rPr>
          <w:rFonts w:cs="Arial"/>
          <w:sz w:val="20"/>
          <w:szCs w:val="20"/>
          <w:rtl/>
        </w:rPr>
        <w:t>ש</w:t>
      </w:r>
      <w:r>
        <w:rPr>
          <w:rFonts w:cs="Arial" w:hint="cs"/>
          <w:sz w:val="20"/>
          <w:szCs w:val="20"/>
          <w:rtl/>
        </w:rPr>
        <w:t>נו</w:t>
      </w:r>
      <w:r w:rsidRPr="00BE7662">
        <w:rPr>
          <w:rFonts w:cs="Arial"/>
          <w:sz w:val="20"/>
          <w:szCs w:val="20"/>
          <w:rtl/>
        </w:rPr>
        <w:t xml:space="preserve"> אלא שלא בעל, אבל בעל - אשתו ישנה עמו</w:t>
      </w:r>
      <w:r>
        <w:rPr>
          <w:rFonts w:cs="Arial" w:hint="cs"/>
          <w:sz w:val="20"/>
          <w:szCs w:val="20"/>
          <w:rtl/>
        </w:rPr>
        <w:t>"</w:t>
      </w:r>
      <w:r w:rsidRPr="00BE7662">
        <w:rPr>
          <w:rFonts w:cs="Arial"/>
          <w:sz w:val="20"/>
          <w:szCs w:val="20"/>
          <w:rtl/>
        </w:rPr>
        <w:t>.</w:t>
      </w:r>
      <w:r>
        <w:rPr>
          <w:b/>
          <w:bCs/>
          <w:sz w:val="20"/>
          <w:szCs w:val="20"/>
          <w:rtl/>
        </w:rPr>
        <w:br/>
      </w:r>
      <w:r>
        <w:rPr>
          <w:b/>
          <w:b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BE7662">
        <w:rPr>
          <w:rFonts w:cs="Arial"/>
          <w:sz w:val="20"/>
          <w:szCs w:val="20"/>
          <w:rtl/>
        </w:rPr>
        <w:t>אבל מותר להתייחד עמה, דכיון שבא עליה פעם אחת תו לא תקיף יצריה</w:t>
      </w:r>
      <w:r>
        <w:rPr>
          <w:rFonts w:cs="Arial" w:hint="cs"/>
          <w:sz w:val="20"/>
          <w:szCs w:val="20"/>
          <w:rtl/>
        </w:rPr>
        <w:t>".</w:t>
      </w:r>
    </w:p>
    <w:p w:rsidR="00620060" w:rsidRDefault="00620060" w:rsidP="00620060">
      <w:pPr>
        <w:rPr>
          <w:sz w:val="20"/>
          <w:szCs w:val="20"/>
          <w:rtl/>
        </w:rPr>
      </w:pPr>
      <w:r>
        <w:rPr>
          <w:rFonts w:hint="cs"/>
          <w:b/>
          <w:bCs/>
          <w:sz w:val="20"/>
          <w:szCs w:val="20"/>
          <w:rtl/>
        </w:rPr>
        <w:t>דינים נוספים</w:t>
      </w:r>
      <w:r>
        <w:rPr>
          <w:b/>
          <w:bCs/>
          <w:sz w:val="20"/>
          <w:szCs w:val="20"/>
          <w:rtl/>
        </w:rPr>
        <w:br/>
      </w:r>
      <w:r w:rsidRPr="00027660">
        <w:rPr>
          <w:rFonts w:hint="cs"/>
          <w:sz w:val="20"/>
          <w:szCs w:val="20"/>
          <w:u w:val="single"/>
          <w:rtl/>
        </w:rPr>
        <w:t>להריח בשמים של אשתו נידה (פת"ש)</w:t>
      </w:r>
      <w:r>
        <w:rPr>
          <w:rFonts w:hint="cs"/>
          <w:sz w:val="20"/>
          <w:szCs w:val="20"/>
          <w:rtl/>
        </w:rPr>
        <w:br/>
        <w:t xml:space="preserve">א. </w:t>
      </w:r>
      <w:r w:rsidRPr="00027660">
        <w:rPr>
          <w:rFonts w:hint="cs"/>
          <w:b/>
          <w:bCs/>
          <w:sz w:val="20"/>
          <w:szCs w:val="20"/>
          <w:rtl/>
        </w:rPr>
        <w:t>ברכי יוסף</w:t>
      </w:r>
      <w:r>
        <w:rPr>
          <w:rFonts w:hint="cs"/>
          <w:sz w:val="20"/>
          <w:szCs w:val="20"/>
          <w:rtl/>
        </w:rPr>
        <w:t xml:space="preserve"> </w:t>
      </w:r>
      <w:r>
        <w:rPr>
          <w:sz w:val="20"/>
          <w:szCs w:val="20"/>
          <w:rtl/>
        </w:rPr>
        <w:t>–</w:t>
      </w:r>
      <w:r>
        <w:rPr>
          <w:rFonts w:hint="cs"/>
          <w:sz w:val="20"/>
          <w:szCs w:val="20"/>
          <w:rtl/>
        </w:rPr>
        <w:t xml:space="preserve"> אין להריח בשמים של אשתו נידה.</w:t>
      </w:r>
      <w:r>
        <w:rPr>
          <w:sz w:val="20"/>
          <w:szCs w:val="20"/>
          <w:rtl/>
        </w:rPr>
        <w:br/>
      </w:r>
      <w:r>
        <w:rPr>
          <w:rFonts w:hint="cs"/>
          <w:sz w:val="20"/>
          <w:szCs w:val="20"/>
          <w:rtl/>
        </w:rPr>
        <w:t xml:space="preserve">מוסיף </w:t>
      </w:r>
      <w:r w:rsidRPr="00027660">
        <w:rPr>
          <w:rFonts w:hint="cs"/>
          <w:b/>
          <w:bCs/>
          <w:sz w:val="20"/>
          <w:szCs w:val="20"/>
          <w:rtl/>
        </w:rPr>
        <w:t>הט"ז</w:t>
      </w:r>
      <w:r>
        <w:rPr>
          <w:rFonts w:hint="cs"/>
          <w:sz w:val="20"/>
          <w:szCs w:val="20"/>
          <w:rtl/>
        </w:rPr>
        <w:t xml:space="preserve"> </w:t>
      </w:r>
      <w:r>
        <w:rPr>
          <w:sz w:val="20"/>
          <w:szCs w:val="20"/>
          <w:rtl/>
        </w:rPr>
        <w:t>–</w:t>
      </w:r>
      <w:r>
        <w:rPr>
          <w:rFonts w:hint="cs"/>
          <w:sz w:val="20"/>
          <w:szCs w:val="20"/>
          <w:rtl/>
        </w:rPr>
        <w:t xml:space="preserve"> אפילו אם הסירה את הבשמים מעליה ומונחים על השולחן, מכל מקום אין להריח בהם.</w:t>
      </w:r>
      <w:r>
        <w:rPr>
          <w:rFonts w:hint="cs"/>
          <w:sz w:val="20"/>
          <w:szCs w:val="20"/>
          <w:rtl/>
        </w:rPr>
        <w:br/>
        <w:t xml:space="preserve">ב. </w:t>
      </w:r>
      <w:r w:rsidRPr="00306C0D">
        <w:rPr>
          <w:rFonts w:hint="cs"/>
          <w:b/>
          <w:bCs/>
          <w:sz w:val="20"/>
          <w:szCs w:val="20"/>
          <w:rtl/>
        </w:rPr>
        <w:t>ערוך השולחן</w:t>
      </w:r>
      <w:r>
        <w:rPr>
          <w:rFonts w:hint="cs"/>
          <w:sz w:val="20"/>
          <w:szCs w:val="20"/>
          <w:rtl/>
        </w:rPr>
        <w:t xml:space="preserve"> </w:t>
      </w:r>
      <w:r>
        <w:rPr>
          <w:sz w:val="20"/>
          <w:szCs w:val="20"/>
          <w:rtl/>
        </w:rPr>
        <w:t>–</w:t>
      </w:r>
      <w:r>
        <w:rPr>
          <w:rFonts w:hint="cs"/>
          <w:sz w:val="20"/>
          <w:szCs w:val="20"/>
          <w:rtl/>
        </w:rPr>
        <w:t xml:space="preserve"> מותר להריח משארית הבושם שנותרה בכלי.</w:t>
      </w:r>
      <w:r>
        <w:rPr>
          <w:rFonts w:hint="cs"/>
          <w:sz w:val="20"/>
          <w:szCs w:val="20"/>
          <w:rtl/>
        </w:rPr>
        <w:br/>
        <w:t xml:space="preserve">וע"פ הסבר </w:t>
      </w:r>
      <w:r w:rsidRPr="0073281F">
        <w:rPr>
          <w:rFonts w:hint="cs"/>
          <w:b/>
          <w:bCs/>
          <w:sz w:val="20"/>
          <w:szCs w:val="20"/>
          <w:rtl/>
        </w:rPr>
        <w:t xml:space="preserve">בדי השולחן </w:t>
      </w:r>
      <w:r>
        <w:rPr>
          <w:rFonts w:hint="cs"/>
          <w:sz w:val="20"/>
          <w:szCs w:val="20"/>
          <w:rtl/>
        </w:rPr>
        <w:t xml:space="preserve">נראה שאין כאן מחלוקת </w:t>
      </w:r>
      <w:r>
        <w:rPr>
          <w:sz w:val="20"/>
          <w:szCs w:val="20"/>
          <w:rtl/>
        </w:rPr>
        <w:t>–</w:t>
      </w:r>
      <w:r>
        <w:rPr>
          <w:rFonts w:hint="cs"/>
          <w:sz w:val="20"/>
          <w:szCs w:val="20"/>
          <w:rtl/>
        </w:rPr>
        <w:t xml:space="preserve"> בבושם שהשתמשה בו אסור להריח אפילו לאחר שהסירה מגופה, אך בבושם שנותר בכלי ולא השתמשה, מותר להריח.</w:t>
      </w:r>
      <w:r>
        <w:rPr>
          <w:rFonts w:hint="cs"/>
          <w:sz w:val="20"/>
          <w:szCs w:val="20"/>
          <w:rtl/>
        </w:rPr>
        <w:br/>
        <w:t xml:space="preserve">ג. </w:t>
      </w:r>
      <w:r w:rsidRPr="008A533F">
        <w:rPr>
          <w:rFonts w:hint="cs"/>
          <w:b/>
          <w:bCs/>
          <w:sz w:val="20"/>
          <w:szCs w:val="20"/>
          <w:rtl/>
        </w:rPr>
        <w:t>טהרת הבית</w:t>
      </w:r>
      <w:r>
        <w:rPr>
          <w:rFonts w:hint="cs"/>
          <w:sz w:val="20"/>
          <w:szCs w:val="20"/>
          <w:rtl/>
        </w:rPr>
        <w:t xml:space="preserve"> </w:t>
      </w:r>
      <w:r w:rsidRPr="008A533F">
        <w:rPr>
          <w:rFonts w:hint="cs"/>
          <w:sz w:val="18"/>
          <w:szCs w:val="18"/>
          <w:rtl/>
        </w:rPr>
        <w:t xml:space="preserve">(עמ' קעח) </w:t>
      </w:r>
      <w:r>
        <w:rPr>
          <w:sz w:val="20"/>
          <w:szCs w:val="20"/>
          <w:rtl/>
        </w:rPr>
        <w:t>–</w:t>
      </w:r>
      <w:r>
        <w:rPr>
          <w:rFonts w:hint="cs"/>
          <w:sz w:val="20"/>
          <w:szCs w:val="20"/>
          <w:rtl/>
        </w:rPr>
        <w:t xml:space="preserve"> מותר להריח בשמים שאשתו נידה השתמשה בהם והסירתם מעליה.</w:t>
      </w:r>
    </w:p>
    <w:p w:rsidR="00620060" w:rsidRDefault="00620060" w:rsidP="00620060">
      <w:pPr>
        <w:rPr>
          <w:sz w:val="20"/>
          <w:szCs w:val="20"/>
          <w:rtl/>
        </w:rPr>
      </w:pPr>
      <w:r>
        <w:rPr>
          <w:rFonts w:hint="cs"/>
          <w:sz w:val="20"/>
          <w:szCs w:val="20"/>
          <w:u w:val="single"/>
          <w:rtl/>
        </w:rPr>
        <w:t>קלות ראש ביוצא לדרך (פת"ש)</w:t>
      </w:r>
      <w:r>
        <w:rPr>
          <w:rFonts w:hint="cs"/>
          <w:sz w:val="20"/>
          <w:szCs w:val="20"/>
          <w:u w:val="single"/>
          <w:rtl/>
        </w:rPr>
        <w:br/>
      </w:r>
      <w:r w:rsidRPr="003D1B70">
        <w:rPr>
          <w:rFonts w:hint="cs"/>
          <w:b/>
          <w:bCs/>
          <w:sz w:val="20"/>
          <w:szCs w:val="20"/>
          <w:rtl/>
        </w:rPr>
        <w:t>חמודי דניאל</w:t>
      </w:r>
      <w:r>
        <w:rPr>
          <w:rFonts w:hint="cs"/>
          <w:sz w:val="20"/>
          <w:szCs w:val="20"/>
          <w:rtl/>
        </w:rPr>
        <w:t xml:space="preserve"> </w:t>
      </w:r>
      <w:r>
        <w:rPr>
          <w:sz w:val="20"/>
          <w:szCs w:val="20"/>
          <w:rtl/>
        </w:rPr>
        <w:t>–</w:t>
      </w:r>
      <w:r>
        <w:rPr>
          <w:rFonts w:hint="cs"/>
          <w:sz w:val="20"/>
          <w:szCs w:val="20"/>
          <w:rtl/>
        </w:rPr>
        <w:t xml:space="preserve"> אע"פ שהתירו למי שיוצא לדרך לשמש עם אשתו אפילו סמוך לווסת, מכל מקום כשהיא נידה לא התירו לו לדבר עמה דיבור המושך לעבירה.</w:t>
      </w:r>
    </w:p>
    <w:p w:rsidR="00620060" w:rsidRDefault="00620060" w:rsidP="00620060">
      <w:pPr>
        <w:rPr>
          <w:sz w:val="20"/>
          <w:szCs w:val="20"/>
          <w:rtl/>
        </w:rPr>
      </w:pPr>
      <w:r w:rsidRPr="00CA462C">
        <w:rPr>
          <w:rFonts w:hint="cs"/>
          <w:b/>
          <w:bCs/>
          <w:sz w:val="20"/>
          <w:szCs w:val="20"/>
          <w:rtl/>
        </w:rPr>
        <w:t>סיכום</w:t>
      </w:r>
      <w:r>
        <w:rPr>
          <w:sz w:val="20"/>
          <w:szCs w:val="20"/>
          <w:rtl/>
        </w:rPr>
        <w:br/>
      </w:r>
      <w:r>
        <w:rPr>
          <w:rFonts w:hint="cs"/>
          <w:sz w:val="20"/>
          <w:szCs w:val="20"/>
          <w:rtl/>
        </w:rPr>
        <w:t xml:space="preserve">1. </w:t>
      </w:r>
      <w:r w:rsidRPr="00CA462C">
        <w:rPr>
          <w:rFonts w:hint="cs"/>
          <w:b/>
          <w:bCs/>
          <w:sz w:val="20"/>
          <w:szCs w:val="20"/>
          <w:rtl/>
        </w:rPr>
        <w:t>רמב"ם</w:t>
      </w:r>
      <w:r>
        <w:rPr>
          <w:rFonts w:hint="cs"/>
          <w:sz w:val="20"/>
          <w:szCs w:val="20"/>
          <w:rtl/>
        </w:rPr>
        <w:t xml:space="preserve">. חיבוק ונישוק ערווה אסור מדאורייתא. </w:t>
      </w:r>
      <w:r w:rsidRPr="00CA462C">
        <w:rPr>
          <w:rFonts w:hint="cs"/>
          <w:b/>
          <w:bCs/>
          <w:sz w:val="20"/>
          <w:szCs w:val="20"/>
          <w:rtl/>
        </w:rPr>
        <w:t>רמב"ן</w:t>
      </w:r>
      <w:r>
        <w:rPr>
          <w:rFonts w:hint="cs"/>
          <w:sz w:val="20"/>
          <w:szCs w:val="20"/>
          <w:rtl/>
        </w:rPr>
        <w:t>. אסור מדרבנן.</w:t>
      </w:r>
      <w:r>
        <w:rPr>
          <w:sz w:val="20"/>
          <w:szCs w:val="20"/>
          <w:rtl/>
        </w:rPr>
        <w:br/>
      </w:r>
      <w:r>
        <w:rPr>
          <w:rFonts w:hint="cs"/>
          <w:sz w:val="20"/>
          <w:szCs w:val="20"/>
          <w:rtl/>
        </w:rPr>
        <w:t xml:space="preserve">2. </w:t>
      </w:r>
      <w:r w:rsidRPr="00CA462C">
        <w:rPr>
          <w:rFonts w:hint="cs"/>
          <w:b/>
          <w:bCs/>
          <w:sz w:val="20"/>
          <w:szCs w:val="20"/>
          <w:rtl/>
        </w:rPr>
        <w:t>גמרא</w:t>
      </w:r>
      <w:r>
        <w:rPr>
          <w:rFonts w:hint="cs"/>
          <w:sz w:val="20"/>
          <w:szCs w:val="20"/>
          <w:rtl/>
        </w:rPr>
        <w:t>. בזמן שהאשה נידה יש לבעלה לפרוש ממנה בכמה דברים בנוסף לפרישה מתשמיש, יבואר בסמוך.</w:t>
      </w:r>
      <w:r>
        <w:rPr>
          <w:rFonts w:hint="cs"/>
          <w:sz w:val="20"/>
          <w:szCs w:val="20"/>
          <w:rtl/>
        </w:rPr>
        <w:br/>
        <w:t xml:space="preserve">3. </w:t>
      </w:r>
      <w:r w:rsidRPr="00CA462C">
        <w:rPr>
          <w:rFonts w:hint="cs"/>
          <w:b/>
          <w:bCs/>
          <w:sz w:val="20"/>
          <w:szCs w:val="20"/>
          <w:rtl/>
        </w:rPr>
        <w:t>רש"י</w:t>
      </w:r>
      <w:r>
        <w:rPr>
          <w:rFonts w:hint="cs"/>
          <w:sz w:val="20"/>
          <w:szCs w:val="20"/>
          <w:rtl/>
        </w:rPr>
        <w:t xml:space="preserve">. ימי ליבון קלים מימי הנידות. </w:t>
      </w:r>
      <w:r w:rsidRPr="00CA462C">
        <w:rPr>
          <w:rFonts w:hint="cs"/>
          <w:b/>
          <w:bCs/>
          <w:sz w:val="20"/>
          <w:szCs w:val="20"/>
          <w:rtl/>
        </w:rPr>
        <w:t>ר"ת</w:t>
      </w:r>
      <w:r>
        <w:rPr>
          <w:rFonts w:hint="cs"/>
          <w:sz w:val="20"/>
          <w:szCs w:val="20"/>
          <w:rtl/>
        </w:rPr>
        <w:t xml:space="preserve">. רק בעבר שנהגו לטבול לאחר ימי הנידות, בזמנינו אין חילוק, וכן דעת רוב הראשונים, וכ"פ </w:t>
      </w:r>
      <w:r w:rsidRPr="00CA462C">
        <w:rPr>
          <w:rFonts w:hint="cs"/>
          <w:b/>
          <w:bCs/>
          <w:sz w:val="20"/>
          <w:szCs w:val="20"/>
          <w:rtl/>
        </w:rPr>
        <w:t>המחבר והרמ"א</w:t>
      </w:r>
      <w:r>
        <w:rPr>
          <w:rFonts w:hint="cs"/>
          <w:sz w:val="20"/>
          <w:szCs w:val="20"/>
          <w:rtl/>
        </w:rPr>
        <w:t>.</w:t>
      </w:r>
      <w:r>
        <w:rPr>
          <w:rFonts w:hint="cs"/>
          <w:sz w:val="20"/>
          <w:szCs w:val="20"/>
          <w:rtl/>
        </w:rPr>
        <w:br/>
        <w:t xml:space="preserve">4. </w:t>
      </w:r>
      <w:r w:rsidRPr="00CA462C">
        <w:rPr>
          <w:rFonts w:hint="cs"/>
          <w:b/>
          <w:bCs/>
          <w:sz w:val="20"/>
          <w:szCs w:val="20"/>
          <w:rtl/>
        </w:rPr>
        <w:t>אבות דרבי נתן</w:t>
      </w:r>
      <w:r>
        <w:rPr>
          <w:rFonts w:hint="cs"/>
          <w:sz w:val="20"/>
          <w:szCs w:val="20"/>
          <w:rtl/>
        </w:rPr>
        <w:t xml:space="preserve">. אין לשחוק ולהקל ראשו ולדבר דברים המרגילים לערווה עם אשתו נידה, וכ"פ </w:t>
      </w:r>
      <w:r w:rsidRPr="00CA462C">
        <w:rPr>
          <w:rFonts w:hint="cs"/>
          <w:b/>
          <w:bCs/>
          <w:sz w:val="20"/>
          <w:szCs w:val="20"/>
          <w:rtl/>
        </w:rPr>
        <w:t>המחבר</w:t>
      </w:r>
      <w:r>
        <w:rPr>
          <w:rFonts w:hint="cs"/>
          <w:sz w:val="20"/>
          <w:szCs w:val="20"/>
          <w:rtl/>
        </w:rPr>
        <w:t>.</w:t>
      </w:r>
      <w:r>
        <w:rPr>
          <w:rFonts w:hint="cs"/>
          <w:sz w:val="20"/>
          <w:szCs w:val="20"/>
          <w:rtl/>
        </w:rPr>
        <w:br/>
        <w:t xml:space="preserve">5. </w:t>
      </w:r>
      <w:r w:rsidRPr="00CA462C">
        <w:rPr>
          <w:rFonts w:hint="cs"/>
          <w:b/>
          <w:bCs/>
          <w:sz w:val="20"/>
          <w:szCs w:val="20"/>
          <w:rtl/>
        </w:rPr>
        <w:t>גמרא</w:t>
      </w:r>
      <w:r>
        <w:rPr>
          <w:rFonts w:hint="cs"/>
          <w:sz w:val="20"/>
          <w:szCs w:val="20"/>
          <w:rtl/>
        </w:rPr>
        <w:t xml:space="preserve">. חתן שכלתו נידה אסור להתייחד עמה, אך אם בעל מותר להתייחד עם אשתו נידה, וכ"פ </w:t>
      </w:r>
      <w:r w:rsidRPr="00CA462C">
        <w:rPr>
          <w:rFonts w:hint="cs"/>
          <w:b/>
          <w:bCs/>
          <w:sz w:val="20"/>
          <w:szCs w:val="20"/>
          <w:rtl/>
        </w:rPr>
        <w:t>המחבר</w:t>
      </w:r>
      <w:r>
        <w:rPr>
          <w:rFonts w:hint="cs"/>
          <w:sz w:val="20"/>
          <w:szCs w:val="20"/>
          <w:rtl/>
        </w:rPr>
        <w:t>.</w:t>
      </w:r>
      <w:r>
        <w:rPr>
          <w:rFonts w:hint="cs"/>
          <w:sz w:val="20"/>
          <w:szCs w:val="20"/>
          <w:rtl/>
        </w:rPr>
        <w:br/>
        <w:t xml:space="preserve">6. </w:t>
      </w:r>
      <w:r w:rsidRPr="00CA462C">
        <w:rPr>
          <w:rFonts w:hint="cs"/>
          <w:b/>
          <w:bCs/>
          <w:sz w:val="20"/>
          <w:szCs w:val="20"/>
          <w:rtl/>
        </w:rPr>
        <w:t>ברכ"י</w:t>
      </w:r>
      <w:r>
        <w:rPr>
          <w:rFonts w:hint="cs"/>
          <w:sz w:val="20"/>
          <w:szCs w:val="20"/>
          <w:rtl/>
        </w:rPr>
        <w:t xml:space="preserve">. אין להריח בשמים של אשתו נידה. מוסיף </w:t>
      </w:r>
      <w:r w:rsidRPr="00CA462C">
        <w:rPr>
          <w:rFonts w:hint="cs"/>
          <w:b/>
          <w:bCs/>
          <w:sz w:val="20"/>
          <w:szCs w:val="20"/>
          <w:rtl/>
        </w:rPr>
        <w:t>הט"ז</w:t>
      </w:r>
      <w:r>
        <w:rPr>
          <w:rFonts w:hint="cs"/>
          <w:sz w:val="20"/>
          <w:szCs w:val="20"/>
          <w:rtl/>
        </w:rPr>
        <w:t xml:space="preserve">. אפילו אם הסירתם ומונחים על השולחן אסור. </w:t>
      </w:r>
      <w:r w:rsidRPr="00CA462C">
        <w:rPr>
          <w:rFonts w:hint="cs"/>
          <w:b/>
          <w:bCs/>
          <w:sz w:val="20"/>
          <w:szCs w:val="20"/>
          <w:rtl/>
        </w:rPr>
        <w:t>ערוה"ש</w:t>
      </w:r>
      <w:r>
        <w:rPr>
          <w:rFonts w:hint="cs"/>
          <w:sz w:val="20"/>
          <w:szCs w:val="20"/>
          <w:rtl/>
        </w:rPr>
        <w:t xml:space="preserve">. מותר להריח בושם שנותר בכלי. וכ"פ </w:t>
      </w:r>
      <w:r w:rsidRPr="00CA462C">
        <w:rPr>
          <w:rFonts w:hint="cs"/>
          <w:b/>
          <w:bCs/>
          <w:sz w:val="20"/>
          <w:szCs w:val="20"/>
          <w:rtl/>
        </w:rPr>
        <w:t>בדה"ש</w:t>
      </w:r>
      <w:r>
        <w:rPr>
          <w:rFonts w:hint="cs"/>
          <w:sz w:val="20"/>
          <w:szCs w:val="20"/>
          <w:rtl/>
        </w:rPr>
        <w:t xml:space="preserve"> שבמה שנותר בכלי שלא השתמשה מותר להריח. </w:t>
      </w:r>
      <w:r w:rsidRPr="000A6D68">
        <w:rPr>
          <w:rFonts w:hint="cs"/>
          <w:b/>
          <w:bCs/>
          <w:sz w:val="20"/>
          <w:szCs w:val="20"/>
          <w:rtl/>
        </w:rPr>
        <w:t>טה"ב</w:t>
      </w:r>
      <w:r>
        <w:rPr>
          <w:rFonts w:hint="cs"/>
          <w:sz w:val="20"/>
          <w:szCs w:val="20"/>
          <w:rtl/>
        </w:rPr>
        <w:t>. מותר להריח בשמים שהשתמשה בהם והסירתם.</w:t>
      </w:r>
      <w:r>
        <w:rPr>
          <w:sz w:val="20"/>
          <w:szCs w:val="20"/>
          <w:rtl/>
        </w:rPr>
        <w:br/>
      </w:r>
      <w:r>
        <w:rPr>
          <w:rFonts w:hint="cs"/>
          <w:sz w:val="20"/>
          <w:szCs w:val="20"/>
          <w:rtl/>
        </w:rPr>
        <w:t xml:space="preserve">7. </w:t>
      </w:r>
      <w:r w:rsidRPr="00154F3A">
        <w:rPr>
          <w:rFonts w:hint="cs"/>
          <w:b/>
          <w:bCs/>
          <w:sz w:val="20"/>
          <w:szCs w:val="20"/>
          <w:rtl/>
        </w:rPr>
        <w:t>חמודי דניאל</w:t>
      </w:r>
      <w:r>
        <w:rPr>
          <w:rFonts w:hint="cs"/>
          <w:sz w:val="20"/>
          <w:szCs w:val="20"/>
          <w:rtl/>
        </w:rPr>
        <w:t>. אע"פ שהקלו ביוצא לדרך, מכל מקום אסור לו לדבר דברי קלות ראש עם אשתו נידה.</w:t>
      </w:r>
    </w:p>
    <w:p w:rsidR="00620060" w:rsidRDefault="00620060" w:rsidP="00620060">
      <w:pPr>
        <w:rPr>
          <w:sz w:val="20"/>
          <w:szCs w:val="20"/>
          <w:rtl/>
        </w:rPr>
      </w:pPr>
      <w:r>
        <w:rPr>
          <w:sz w:val="20"/>
          <w:szCs w:val="20"/>
          <w:rtl/>
        </w:rPr>
        <w:br/>
      </w:r>
      <w:r>
        <w:rPr>
          <w:rFonts w:hint="cs"/>
          <w:b/>
          <w:bCs/>
          <w:sz w:val="20"/>
          <w:szCs w:val="20"/>
          <w:rtl/>
        </w:rPr>
        <w:t xml:space="preserve">סעיף ב </w:t>
      </w:r>
      <w:r>
        <w:rPr>
          <w:b/>
          <w:bCs/>
          <w:sz w:val="20"/>
          <w:szCs w:val="20"/>
          <w:rtl/>
        </w:rPr>
        <w:t>–</w:t>
      </w:r>
      <w:r>
        <w:rPr>
          <w:rFonts w:hint="cs"/>
          <w:b/>
          <w:bCs/>
          <w:sz w:val="20"/>
          <w:szCs w:val="20"/>
          <w:rtl/>
        </w:rPr>
        <w:t xml:space="preserve"> נגיעה בנידה והעברת חפץ בין בעל לאשתו נידה </w:t>
      </w:r>
      <w:r>
        <w:rPr>
          <w:rFonts w:hint="cs"/>
          <w:b/>
          <w:bCs/>
          <w:sz w:val="20"/>
          <w:szCs w:val="20"/>
          <w:rtl/>
        </w:rPr>
        <w:br/>
        <w:t>נגיעה באשתו נידה</w:t>
      </w:r>
      <w:r>
        <w:rPr>
          <w:b/>
          <w:bCs/>
          <w:sz w:val="20"/>
          <w:szCs w:val="20"/>
          <w:rtl/>
        </w:rPr>
        <w:br/>
      </w:r>
      <w:r w:rsidRPr="00565A2B">
        <w:rPr>
          <w:rFonts w:hint="cs"/>
          <w:b/>
          <w:bCs/>
          <w:sz w:val="20"/>
          <w:szCs w:val="20"/>
          <w:rtl/>
        </w:rPr>
        <w:t>תוספות</w:t>
      </w:r>
      <w:r>
        <w:rPr>
          <w:rFonts w:hint="cs"/>
          <w:sz w:val="20"/>
          <w:szCs w:val="20"/>
          <w:rtl/>
        </w:rPr>
        <w:t xml:space="preserve"> </w:t>
      </w:r>
      <w:r>
        <w:rPr>
          <w:sz w:val="20"/>
          <w:szCs w:val="20"/>
          <w:rtl/>
        </w:rPr>
        <w:t>–</w:t>
      </w:r>
      <w:r>
        <w:rPr>
          <w:rFonts w:hint="cs"/>
          <w:sz w:val="20"/>
          <w:szCs w:val="20"/>
          <w:rtl/>
        </w:rPr>
        <w:t xml:space="preserve"> אין לגעת באשתו נידה, וכ"פ </w:t>
      </w:r>
      <w:r w:rsidRPr="00A24EAE">
        <w:rPr>
          <w:rFonts w:hint="cs"/>
          <w:b/>
          <w:bCs/>
          <w:sz w:val="20"/>
          <w:szCs w:val="20"/>
          <w:rtl/>
        </w:rPr>
        <w:t>המחבר</w:t>
      </w:r>
      <w:r>
        <w:rPr>
          <w:rFonts w:hint="cs"/>
          <w:sz w:val="20"/>
          <w:szCs w:val="20"/>
          <w:rtl/>
        </w:rPr>
        <w:t>.</w:t>
      </w:r>
      <w:r>
        <w:rPr>
          <w:sz w:val="20"/>
          <w:szCs w:val="20"/>
          <w:rtl/>
        </w:rPr>
        <w:br/>
      </w:r>
      <w:r w:rsidRPr="00565A2B">
        <w:rPr>
          <w:rFonts w:hint="cs"/>
          <w:b/>
          <w:bCs/>
          <w:sz w:val="20"/>
          <w:szCs w:val="20"/>
          <w:rtl/>
        </w:rPr>
        <w:t>ראיה</w:t>
      </w:r>
      <w:r>
        <w:rPr>
          <w:rFonts w:hint="cs"/>
          <w:sz w:val="20"/>
          <w:szCs w:val="20"/>
          <w:rtl/>
        </w:rPr>
        <w:t xml:space="preserve"> </w:t>
      </w:r>
      <w:r>
        <w:rPr>
          <w:sz w:val="20"/>
          <w:szCs w:val="20"/>
          <w:rtl/>
        </w:rPr>
        <w:t>–</w:t>
      </w:r>
      <w:r>
        <w:rPr>
          <w:rFonts w:hint="cs"/>
          <w:sz w:val="20"/>
          <w:szCs w:val="20"/>
          <w:rtl/>
        </w:rPr>
        <w:t xml:space="preserve"> בסיפור המעשה על התלמיד שמת בחצי ימיו המובא בתנא דבי אליהו, נאמר כך: "</w:t>
      </w:r>
      <w:r w:rsidRPr="00565A2B">
        <w:rPr>
          <w:rFonts w:cs="Arial"/>
          <w:sz w:val="20"/>
          <w:szCs w:val="20"/>
          <w:rtl/>
        </w:rPr>
        <w:t>באותן הימים לבנים מהו אצליך, שמא הסכתה לו את שמן בידך, ונגע ביך אפילו באצבעו הקטנה</w:t>
      </w:r>
      <w:r>
        <w:rPr>
          <w:rFonts w:cs="Arial" w:hint="cs"/>
          <w:sz w:val="20"/>
          <w:szCs w:val="20"/>
          <w:rtl/>
        </w:rPr>
        <w:t xml:space="preserve">?" </w:t>
      </w:r>
      <w:r>
        <w:rPr>
          <w:rFonts w:cs="Arial"/>
          <w:sz w:val="20"/>
          <w:szCs w:val="20"/>
          <w:rtl/>
        </w:rPr>
        <w:br/>
      </w:r>
      <w:r>
        <w:rPr>
          <w:rFonts w:cs="Arial" w:hint="cs"/>
          <w:sz w:val="20"/>
          <w:szCs w:val="20"/>
          <w:rtl/>
        </w:rPr>
        <w:t>מכך שאליהו הקפיד על התלמיד שנגע באשתו בעת טומאתה, משמע שאסור.</w:t>
      </w:r>
      <w:r w:rsidRPr="00565A2B">
        <w:rPr>
          <w:rFonts w:cs="Arial"/>
          <w:sz w:val="20"/>
          <w:szCs w:val="20"/>
          <w:rtl/>
        </w:rPr>
        <w:t xml:space="preserve"> </w:t>
      </w:r>
      <w:r>
        <w:rPr>
          <w:rFonts w:hint="cs"/>
          <w:sz w:val="20"/>
          <w:szCs w:val="20"/>
          <w:rtl/>
        </w:rPr>
        <w:t xml:space="preserve"> </w:t>
      </w:r>
    </w:p>
    <w:p w:rsidR="00620060" w:rsidRPr="004F0471" w:rsidRDefault="00620060" w:rsidP="00620060">
      <w:pPr>
        <w:rPr>
          <w:sz w:val="20"/>
          <w:szCs w:val="20"/>
        </w:rPr>
      </w:pPr>
      <w:r>
        <w:rPr>
          <w:rFonts w:hint="cs"/>
          <w:b/>
          <w:bCs/>
          <w:sz w:val="20"/>
          <w:szCs w:val="20"/>
          <w:rtl/>
        </w:rPr>
        <w:t xml:space="preserve">העברת חפץ מידו לידה </w:t>
      </w:r>
      <w:r>
        <w:rPr>
          <w:b/>
          <w:bCs/>
          <w:sz w:val="20"/>
          <w:szCs w:val="20"/>
          <w:rtl/>
        </w:rPr>
        <w:t>–</w:t>
      </w:r>
      <w:r>
        <w:rPr>
          <w:rFonts w:hint="cs"/>
          <w:b/>
          <w:bCs/>
          <w:sz w:val="20"/>
          <w:szCs w:val="20"/>
          <w:rtl/>
        </w:rPr>
        <w:t xml:space="preserve"> שיטות הראשונים</w:t>
      </w:r>
      <w:r>
        <w:rPr>
          <w:b/>
          <w:bCs/>
          <w:sz w:val="20"/>
          <w:szCs w:val="20"/>
          <w:rtl/>
        </w:rPr>
        <w:br/>
      </w:r>
      <w:r>
        <w:rPr>
          <w:rFonts w:hint="cs"/>
          <w:sz w:val="20"/>
          <w:szCs w:val="20"/>
          <w:rtl/>
        </w:rPr>
        <w:t xml:space="preserve">א. </w:t>
      </w:r>
      <w:r w:rsidRPr="004F0471">
        <w:rPr>
          <w:rFonts w:hint="cs"/>
          <w:b/>
          <w:bCs/>
          <w:sz w:val="20"/>
          <w:szCs w:val="20"/>
          <w:rtl/>
        </w:rPr>
        <w:t>רש"י</w:t>
      </w:r>
      <w:r>
        <w:rPr>
          <w:rStyle w:val="a5"/>
          <w:sz w:val="20"/>
          <w:szCs w:val="20"/>
          <w:rtl/>
        </w:rPr>
        <w:footnoteReference w:id="432"/>
      </w:r>
      <w:r>
        <w:rPr>
          <w:rFonts w:hint="cs"/>
          <w:sz w:val="20"/>
          <w:szCs w:val="20"/>
          <w:rtl/>
        </w:rPr>
        <w:t xml:space="preserve"> </w:t>
      </w:r>
      <w:r>
        <w:rPr>
          <w:sz w:val="20"/>
          <w:szCs w:val="20"/>
          <w:rtl/>
        </w:rPr>
        <w:t>–</w:t>
      </w:r>
      <w:r>
        <w:rPr>
          <w:rFonts w:hint="cs"/>
          <w:sz w:val="20"/>
          <w:szCs w:val="20"/>
          <w:rtl/>
        </w:rPr>
        <w:t xml:space="preserve"> אין להעביר חפץ מידו לידה בזמן שהיא נידה, וכ"פ </w:t>
      </w:r>
      <w:r w:rsidRPr="008C55F8">
        <w:rPr>
          <w:rFonts w:hint="cs"/>
          <w:b/>
          <w:bCs/>
          <w:sz w:val="20"/>
          <w:szCs w:val="20"/>
          <w:rtl/>
        </w:rPr>
        <w:t>המחבר</w:t>
      </w:r>
      <w:r>
        <w:rPr>
          <w:rFonts w:hint="cs"/>
          <w:sz w:val="20"/>
          <w:szCs w:val="20"/>
          <w:rtl/>
        </w:rPr>
        <w:t>.</w:t>
      </w:r>
      <w:r>
        <w:rPr>
          <w:sz w:val="20"/>
          <w:szCs w:val="20"/>
          <w:rtl/>
        </w:rPr>
        <w:br/>
      </w:r>
      <w:r w:rsidRPr="004F0471">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חשש שמא יגעו זה בזה</w:t>
      </w:r>
      <w:r>
        <w:rPr>
          <w:rStyle w:val="a5"/>
          <w:sz w:val="20"/>
          <w:szCs w:val="20"/>
          <w:rtl/>
        </w:rPr>
        <w:footnoteReference w:id="433"/>
      </w:r>
      <w:r>
        <w:rPr>
          <w:rFonts w:hint="cs"/>
          <w:sz w:val="20"/>
          <w:szCs w:val="20"/>
          <w:rtl/>
        </w:rPr>
        <w:t>.</w:t>
      </w:r>
      <w:r>
        <w:rPr>
          <w:rFonts w:hint="cs"/>
          <w:sz w:val="20"/>
          <w:szCs w:val="20"/>
          <w:rtl/>
        </w:rPr>
        <w:br/>
      </w:r>
      <w:r w:rsidRPr="001A5F8B">
        <w:rPr>
          <w:rFonts w:hint="cs"/>
          <w:b/>
          <w:bCs/>
          <w:sz w:val="20"/>
          <w:szCs w:val="20"/>
          <w:rtl/>
        </w:rPr>
        <w:lastRenderedPageBreak/>
        <w:t>ראיה</w:t>
      </w:r>
      <w:r>
        <w:rPr>
          <w:rFonts w:hint="cs"/>
          <w:sz w:val="20"/>
          <w:szCs w:val="20"/>
          <w:rtl/>
        </w:rPr>
        <w:t xml:space="preserve"> </w:t>
      </w:r>
      <w:r>
        <w:rPr>
          <w:sz w:val="20"/>
          <w:szCs w:val="20"/>
          <w:rtl/>
        </w:rPr>
        <w:t>–</w:t>
      </w:r>
      <w:r>
        <w:rPr>
          <w:rFonts w:hint="cs"/>
          <w:sz w:val="20"/>
          <w:szCs w:val="20"/>
          <w:rtl/>
        </w:rPr>
        <w:t xml:space="preserve"> בסיפור על אותו תלמיד שמת בחצי ימיו, שואל אליהו את אשתו של התלמיד: "</w:t>
      </w:r>
      <w:r w:rsidRPr="004F0471">
        <w:rPr>
          <w:rFonts w:cs="Arial"/>
          <w:sz w:val="20"/>
          <w:szCs w:val="20"/>
          <w:rtl/>
        </w:rPr>
        <w:t>שמא הבאת לו את הפך שמא הבאת לו השמן ונגע בך באצבע קטנה</w:t>
      </w:r>
      <w:r>
        <w:rPr>
          <w:rFonts w:cs="Arial" w:hint="cs"/>
          <w:sz w:val="20"/>
          <w:szCs w:val="20"/>
          <w:rtl/>
        </w:rPr>
        <w:t>?</w:t>
      </w:r>
      <w:r w:rsidRPr="004F0471">
        <w:rPr>
          <w:rFonts w:cs="Arial"/>
          <w:sz w:val="20"/>
          <w:szCs w:val="20"/>
          <w:rtl/>
        </w:rPr>
        <w:t xml:space="preserve"> אמרה לו</w:t>
      </w:r>
      <w:r>
        <w:rPr>
          <w:rFonts w:cs="Arial" w:hint="cs"/>
          <w:sz w:val="20"/>
          <w:szCs w:val="20"/>
          <w:rtl/>
        </w:rPr>
        <w:t>:</w:t>
      </w:r>
      <w:r w:rsidRPr="004F0471">
        <w:rPr>
          <w:rFonts w:cs="Arial"/>
          <w:sz w:val="20"/>
          <w:szCs w:val="20"/>
          <w:rtl/>
        </w:rPr>
        <w:t xml:space="preserve"> חס ושלום</w:t>
      </w:r>
      <w:r>
        <w:rPr>
          <w:rFonts w:cs="Arial" w:hint="cs"/>
          <w:sz w:val="20"/>
          <w:szCs w:val="20"/>
          <w:rtl/>
        </w:rPr>
        <w:t>!</w:t>
      </w:r>
      <w:r w:rsidRPr="004F0471">
        <w:rPr>
          <w:rFonts w:cs="Arial"/>
          <w:sz w:val="20"/>
          <w:szCs w:val="20"/>
          <w:rtl/>
        </w:rPr>
        <w:t xml:space="preserve"> שאפילו באצבע קטנה לא נגע בי</w:t>
      </w:r>
      <w:r>
        <w:rPr>
          <w:rFonts w:hint="cs"/>
          <w:sz w:val="20"/>
          <w:szCs w:val="20"/>
          <w:rtl/>
        </w:rPr>
        <w:t>".</w:t>
      </w:r>
      <w:r>
        <w:rPr>
          <w:rStyle w:val="a5"/>
          <w:sz w:val="20"/>
          <w:szCs w:val="20"/>
          <w:rtl/>
        </w:rPr>
        <w:footnoteReference w:id="434"/>
      </w:r>
      <w:r>
        <w:rPr>
          <w:rFonts w:hint="cs"/>
          <w:sz w:val="20"/>
          <w:szCs w:val="20"/>
          <w:rtl/>
        </w:rPr>
        <w:br/>
        <w:t xml:space="preserve">דוחה </w:t>
      </w:r>
      <w:r w:rsidRPr="00D03616">
        <w:rPr>
          <w:rFonts w:hint="cs"/>
          <w:b/>
          <w:bCs/>
          <w:sz w:val="20"/>
          <w:szCs w:val="20"/>
          <w:rtl/>
        </w:rPr>
        <w:t>תוספות</w:t>
      </w:r>
      <w:r>
        <w:rPr>
          <w:rFonts w:hint="cs"/>
          <w:sz w:val="20"/>
          <w:szCs w:val="20"/>
          <w:rtl/>
        </w:rPr>
        <w:t xml:space="preserve"> </w:t>
      </w:r>
      <w:r>
        <w:rPr>
          <w:sz w:val="20"/>
          <w:szCs w:val="20"/>
          <w:rtl/>
        </w:rPr>
        <w:t>–</w:t>
      </w:r>
      <w:r>
        <w:rPr>
          <w:rFonts w:hint="cs"/>
          <w:sz w:val="20"/>
          <w:szCs w:val="20"/>
          <w:rtl/>
        </w:rPr>
        <w:t xml:space="preserve"> אין ראיה מסיפור המעשה על אותו תלמיד לחומרתו של רש"י, משום שהתם אליהו הקפיד שמא </w:t>
      </w:r>
      <w:r w:rsidRPr="008C55F8">
        <w:rPr>
          <w:rFonts w:hint="cs"/>
          <w:sz w:val="20"/>
          <w:szCs w:val="20"/>
          <w:u w:val="single"/>
          <w:rtl/>
        </w:rPr>
        <w:t>נגע</w:t>
      </w:r>
      <w:r>
        <w:rPr>
          <w:rFonts w:hint="cs"/>
          <w:sz w:val="20"/>
          <w:szCs w:val="20"/>
          <w:rtl/>
        </w:rPr>
        <w:t xml:space="preserve"> בה, אך על </w:t>
      </w:r>
      <w:r w:rsidRPr="008C55F8">
        <w:rPr>
          <w:rFonts w:hint="cs"/>
          <w:sz w:val="20"/>
          <w:szCs w:val="20"/>
          <w:u w:val="single"/>
          <w:rtl/>
        </w:rPr>
        <w:t>הע</w:t>
      </w:r>
      <w:r>
        <w:rPr>
          <w:rFonts w:hint="cs"/>
          <w:sz w:val="20"/>
          <w:szCs w:val="20"/>
          <w:u w:val="single"/>
          <w:rtl/>
        </w:rPr>
        <w:t>בר</w:t>
      </w:r>
      <w:r w:rsidRPr="008C55F8">
        <w:rPr>
          <w:rFonts w:hint="cs"/>
          <w:sz w:val="20"/>
          <w:szCs w:val="20"/>
          <w:u w:val="single"/>
          <w:rtl/>
        </w:rPr>
        <w:t>ת</w:t>
      </w:r>
      <w:r>
        <w:rPr>
          <w:rFonts w:hint="cs"/>
          <w:sz w:val="20"/>
          <w:szCs w:val="20"/>
          <w:rtl/>
        </w:rPr>
        <w:t xml:space="preserve"> החפץ מידו לידה אין ראיה שהקפיד.</w:t>
      </w:r>
      <w:r>
        <w:rPr>
          <w:rFonts w:hint="cs"/>
          <w:sz w:val="20"/>
          <w:szCs w:val="20"/>
          <w:rtl/>
        </w:rPr>
        <w:br/>
        <w:t xml:space="preserve">אך </w:t>
      </w:r>
      <w:r w:rsidRPr="00D03616">
        <w:rPr>
          <w:rFonts w:hint="cs"/>
          <w:b/>
          <w:bCs/>
          <w:sz w:val="20"/>
          <w:szCs w:val="20"/>
          <w:rtl/>
        </w:rPr>
        <w:t>הרא"ש</w:t>
      </w:r>
      <w:r>
        <w:rPr>
          <w:rFonts w:hint="cs"/>
          <w:sz w:val="20"/>
          <w:szCs w:val="20"/>
          <w:rtl/>
        </w:rPr>
        <w:t xml:space="preserve"> מיישב את הראיה </w:t>
      </w:r>
      <w:r>
        <w:rPr>
          <w:sz w:val="20"/>
          <w:szCs w:val="20"/>
          <w:rtl/>
        </w:rPr>
        <w:t>–</w:t>
      </w:r>
      <w:r>
        <w:rPr>
          <w:rFonts w:hint="cs"/>
          <w:sz w:val="20"/>
          <w:szCs w:val="20"/>
          <w:rtl/>
        </w:rPr>
        <w:t xml:space="preserve"> אליהו הקפיד על עצם העברת החפץ, ורצה להוכיח אותה שתתוודה שלא נהגו כהוגן ולא הקפידו במה שמקפידים שאר העולם שלא להעביר חפץ משום שהדבר עלול לגרום לנגיעה, ואע"פ שהשיבה לו שלא נגע בה ולא נכשל, מכל מקום הדבר אסור לכל העולם מחמת חשש נגיעה.</w:t>
      </w:r>
      <w:r>
        <w:rPr>
          <w:rFonts w:hint="cs"/>
          <w:sz w:val="20"/>
          <w:szCs w:val="20"/>
          <w:rtl/>
        </w:rPr>
        <w:br/>
        <w:t xml:space="preserve">ב. </w:t>
      </w:r>
      <w:r w:rsidRPr="00250190">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w:t>
      </w:r>
      <w:r w:rsidRPr="00250190">
        <w:rPr>
          <w:rFonts w:cs="Arial"/>
          <w:sz w:val="20"/>
          <w:szCs w:val="20"/>
          <w:rtl/>
        </w:rPr>
        <w:t>כל מלאכות שהאשה עושה לבעלה</w:t>
      </w:r>
      <w:r>
        <w:rPr>
          <w:rFonts w:cs="Arial"/>
          <w:sz w:val="20"/>
          <w:szCs w:val="20"/>
          <w:rtl/>
        </w:rPr>
        <w:t xml:space="preserve"> נדה עושה לבעלה</w:t>
      </w:r>
      <w:r>
        <w:rPr>
          <w:rFonts w:cs="Arial" w:hint="cs"/>
          <w:sz w:val="20"/>
          <w:szCs w:val="20"/>
          <w:rtl/>
        </w:rPr>
        <w:t>,</w:t>
      </w:r>
      <w:r>
        <w:rPr>
          <w:rFonts w:cs="Arial"/>
          <w:sz w:val="20"/>
          <w:szCs w:val="20"/>
          <w:rtl/>
        </w:rPr>
        <w:t xml:space="preserve"> </w:t>
      </w:r>
      <w:r w:rsidRPr="00250190">
        <w:rPr>
          <w:rFonts w:cs="Arial"/>
          <w:sz w:val="20"/>
          <w:szCs w:val="20"/>
          <w:rtl/>
        </w:rPr>
        <w:t>ומוזגת את הכוס ואינה נותנת אותו בידו</w:t>
      </w:r>
      <w:r>
        <w:rPr>
          <w:rFonts w:cs="Arial" w:hint="cs"/>
          <w:sz w:val="20"/>
          <w:szCs w:val="20"/>
          <w:rtl/>
        </w:rPr>
        <w:t>".</w:t>
      </w:r>
      <w:r>
        <w:rPr>
          <w:rFonts w:cs="Arial"/>
          <w:sz w:val="20"/>
          <w:szCs w:val="20"/>
          <w:rtl/>
        </w:rPr>
        <w:br/>
      </w:r>
      <w:r>
        <w:rPr>
          <w:rFonts w:cs="Arial" w:hint="cs"/>
          <w:sz w:val="20"/>
          <w:szCs w:val="20"/>
          <w:rtl/>
        </w:rPr>
        <w:t xml:space="preserve">מדייק </w:t>
      </w:r>
      <w:r w:rsidRPr="00250190">
        <w:rPr>
          <w:rFonts w:cs="Arial" w:hint="cs"/>
          <w:b/>
          <w:bCs/>
          <w:sz w:val="20"/>
          <w:szCs w:val="20"/>
          <w:rtl/>
        </w:rPr>
        <w:t>המגיד משנה</w:t>
      </w:r>
      <w:r>
        <w:rPr>
          <w:rFonts w:cs="Arial" w:hint="cs"/>
          <w:sz w:val="20"/>
          <w:szCs w:val="20"/>
          <w:rtl/>
        </w:rPr>
        <w:t xml:space="preserve"> </w:t>
      </w:r>
      <w:r>
        <w:rPr>
          <w:rFonts w:cs="Arial"/>
          <w:sz w:val="20"/>
          <w:szCs w:val="20"/>
          <w:rtl/>
        </w:rPr>
        <w:t>–</w:t>
      </w:r>
      <w:r>
        <w:rPr>
          <w:rFonts w:cs="Arial" w:hint="cs"/>
          <w:sz w:val="20"/>
          <w:szCs w:val="20"/>
          <w:rtl/>
        </w:rPr>
        <w:t xml:space="preserve"> משמע ששאר דברים מותר לה לתת לו, ורק בכוס יש לאסור.</w:t>
      </w:r>
    </w:p>
    <w:p w:rsidR="00620060" w:rsidRDefault="00620060" w:rsidP="00620060">
      <w:pPr>
        <w:rPr>
          <w:sz w:val="20"/>
          <w:szCs w:val="20"/>
          <w:rtl/>
        </w:rPr>
      </w:pPr>
      <w:r>
        <w:rPr>
          <w:rFonts w:hint="cs"/>
          <w:b/>
          <w:bCs/>
          <w:sz w:val="20"/>
          <w:szCs w:val="20"/>
          <w:rtl/>
        </w:rPr>
        <w:t>העברת חפץ ארוך</w:t>
      </w:r>
      <w:r>
        <w:rPr>
          <w:b/>
          <w:bCs/>
          <w:sz w:val="20"/>
          <w:szCs w:val="20"/>
          <w:rtl/>
        </w:rPr>
        <w:br/>
      </w:r>
      <w:r>
        <w:rPr>
          <w:rFonts w:hint="cs"/>
          <w:b/>
          <w:bCs/>
          <w:sz w:val="20"/>
          <w:szCs w:val="20"/>
          <w:rtl/>
        </w:rPr>
        <w:t>רבינו ירוחם</w:t>
      </w:r>
      <w:r>
        <w:rPr>
          <w:rFonts w:hint="cs"/>
          <w:sz w:val="20"/>
          <w:szCs w:val="20"/>
          <w:rtl/>
        </w:rPr>
        <w:t xml:space="preserve"> </w:t>
      </w:r>
      <w:r>
        <w:rPr>
          <w:sz w:val="20"/>
          <w:szCs w:val="20"/>
          <w:rtl/>
        </w:rPr>
        <w:t>–</w:t>
      </w:r>
      <w:r>
        <w:rPr>
          <w:rFonts w:hint="cs"/>
          <w:sz w:val="20"/>
          <w:szCs w:val="20"/>
          <w:rtl/>
        </w:rPr>
        <w:t xml:space="preserve"> נכון להחמיר שלא להעביר מידו לידה אפילו חפץ ארוך, שמא ייגעו זה בזה, וכ"פ </w:t>
      </w:r>
      <w:r w:rsidRPr="00B012D5">
        <w:rPr>
          <w:rFonts w:hint="cs"/>
          <w:b/>
          <w:bCs/>
          <w:sz w:val="20"/>
          <w:szCs w:val="20"/>
          <w:rtl/>
        </w:rPr>
        <w:t>הש"ך</w:t>
      </w:r>
      <w:r>
        <w:rPr>
          <w:rFonts w:hint="cs"/>
          <w:sz w:val="20"/>
          <w:szCs w:val="20"/>
          <w:rtl/>
        </w:rPr>
        <w:t>.</w:t>
      </w:r>
    </w:p>
    <w:p w:rsidR="00620060" w:rsidRDefault="00620060" w:rsidP="00620060">
      <w:pPr>
        <w:rPr>
          <w:sz w:val="20"/>
          <w:szCs w:val="20"/>
          <w:rtl/>
        </w:rPr>
      </w:pPr>
      <w:r>
        <w:rPr>
          <w:rFonts w:hint="cs"/>
          <w:b/>
          <w:bCs/>
          <w:sz w:val="20"/>
          <w:szCs w:val="20"/>
          <w:rtl/>
        </w:rPr>
        <w:t>זריקת חפץ מידו לידה</w:t>
      </w:r>
      <w:r>
        <w:rPr>
          <w:b/>
          <w:bCs/>
          <w:sz w:val="20"/>
          <w:szCs w:val="20"/>
          <w:rtl/>
        </w:rPr>
        <w:br/>
      </w:r>
      <w:r>
        <w:rPr>
          <w:rFonts w:hint="cs"/>
          <w:b/>
          <w:bCs/>
          <w:sz w:val="20"/>
          <w:szCs w:val="20"/>
          <w:rtl/>
        </w:rPr>
        <w:t xml:space="preserve">בנימין זאב </w:t>
      </w:r>
      <w:r w:rsidRPr="00406FDC">
        <w:rPr>
          <w:rFonts w:hint="cs"/>
          <w:sz w:val="18"/>
          <w:szCs w:val="18"/>
          <w:rtl/>
        </w:rPr>
        <w:t xml:space="preserve">(הו"ד בדרכ"מ) </w:t>
      </w:r>
      <w:r>
        <w:rPr>
          <w:sz w:val="20"/>
          <w:szCs w:val="20"/>
          <w:rtl/>
        </w:rPr>
        <w:t>–</w:t>
      </w:r>
      <w:r>
        <w:rPr>
          <w:rFonts w:hint="cs"/>
          <w:sz w:val="20"/>
          <w:szCs w:val="20"/>
          <w:rtl/>
        </w:rPr>
        <w:t xml:space="preserve"> ראוי לגעור באלו המקלים לעצמם וזורקים חפץ מידו לידה, וכ"פ </w:t>
      </w:r>
      <w:r w:rsidRPr="00A24EAE">
        <w:rPr>
          <w:rFonts w:hint="cs"/>
          <w:b/>
          <w:bCs/>
          <w:sz w:val="20"/>
          <w:szCs w:val="20"/>
          <w:rtl/>
        </w:rPr>
        <w:t>הרמ"א</w:t>
      </w:r>
      <w:r>
        <w:rPr>
          <w:rFonts w:hint="cs"/>
          <w:sz w:val="20"/>
          <w:szCs w:val="20"/>
          <w:rtl/>
        </w:rPr>
        <w:t>.</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406FDC">
        <w:rPr>
          <w:rFonts w:cs="Arial"/>
          <w:sz w:val="20"/>
          <w:szCs w:val="20"/>
          <w:rtl/>
        </w:rPr>
        <w:t xml:space="preserve">לא יגע בה אפילו באצבע קטנה, ולא יושיט מידו לידה שום דבר ולא יקבלנו מידה, שמא יגע בבשרה. </w:t>
      </w:r>
      <w:r>
        <w:rPr>
          <w:rFonts w:cs="Arial" w:hint="cs"/>
          <w:sz w:val="18"/>
          <w:szCs w:val="18"/>
          <w:rtl/>
        </w:rPr>
        <w:t xml:space="preserve">הגה: </w:t>
      </w:r>
      <w:r w:rsidRPr="00406FDC">
        <w:rPr>
          <w:rFonts w:cs="Arial"/>
          <w:sz w:val="18"/>
          <w:szCs w:val="18"/>
          <w:rtl/>
        </w:rPr>
        <w:t>וכן על ידי זריקה מידו לידה או להיפך, אסור</w:t>
      </w:r>
      <w:r>
        <w:rPr>
          <w:rFonts w:cs="Arial" w:hint="cs"/>
          <w:sz w:val="20"/>
          <w:szCs w:val="20"/>
          <w:rtl/>
        </w:rPr>
        <w:t>".</w:t>
      </w:r>
      <w:r>
        <w:rPr>
          <w:rFonts w:hint="cs"/>
          <w:sz w:val="20"/>
          <w:szCs w:val="20"/>
          <w:rtl/>
        </w:rPr>
        <w:br/>
      </w:r>
      <w:r w:rsidRPr="00843B50">
        <w:rPr>
          <w:rFonts w:hint="cs"/>
          <w:b/>
          <w:bCs/>
          <w:sz w:val="20"/>
          <w:szCs w:val="20"/>
          <w:rtl/>
        </w:rPr>
        <w:t>טהרת הבית</w:t>
      </w:r>
      <w:r>
        <w:rPr>
          <w:rFonts w:hint="cs"/>
          <w:sz w:val="20"/>
          <w:szCs w:val="20"/>
          <w:rtl/>
        </w:rPr>
        <w:t xml:space="preserve"> </w:t>
      </w:r>
      <w:r>
        <w:rPr>
          <w:sz w:val="20"/>
          <w:szCs w:val="20"/>
          <w:rtl/>
        </w:rPr>
        <w:t>–</w:t>
      </w:r>
      <w:r>
        <w:rPr>
          <w:rFonts w:hint="cs"/>
          <w:sz w:val="20"/>
          <w:szCs w:val="20"/>
          <w:rtl/>
        </w:rPr>
        <w:t xml:space="preserve"> הלכה כמתירים לזרוק חפץ מידו לידה, ומכל מקום המחמיר תבוא עליו ברכה, ועיין הערה.</w:t>
      </w:r>
      <w:r>
        <w:rPr>
          <w:rStyle w:val="a5"/>
          <w:sz w:val="20"/>
          <w:szCs w:val="20"/>
          <w:rtl/>
        </w:rPr>
        <w:footnoteReference w:id="435"/>
      </w:r>
    </w:p>
    <w:p w:rsidR="00620060" w:rsidRDefault="00620060" w:rsidP="00620060">
      <w:pPr>
        <w:rPr>
          <w:sz w:val="20"/>
          <w:szCs w:val="20"/>
          <w:rtl/>
        </w:rPr>
      </w:pPr>
      <w:r>
        <w:rPr>
          <w:rFonts w:hint="cs"/>
          <w:b/>
          <w:bCs/>
          <w:sz w:val="20"/>
          <w:szCs w:val="20"/>
          <w:rtl/>
        </w:rPr>
        <w:t>דינים נוספים</w:t>
      </w:r>
      <w:r>
        <w:rPr>
          <w:b/>
          <w:bCs/>
          <w:sz w:val="20"/>
          <w:szCs w:val="20"/>
          <w:rtl/>
        </w:rPr>
        <w:br/>
      </w:r>
      <w:r>
        <w:rPr>
          <w:rFonts w:hint="cs"/>
          <w:sz w:val="20"/>
          <w:szCs w:val="20"/>
          <w:u w:val="single"/>
          <w:rtl/>
        </w:rPr>
        <w:t>נגיעה והסתכלות באשתו נידה בשעת טבילה (פת"ש)</w:t>
      </w:r>
      <w:r>
        <w:rPr>
          <w:rFonts w:hint="cs"/>
          <w:sz w:val="20"/>
          <w:szCs w:val="20"/>
          <w:u w:val="single"/>
          <w:rtl/>
        </w:rPr>
        <w:br/>
      </w:r>
      <w:r w:rsidRPr="003058A5">
        <w:rPr>
          <w:rFonts w:hint="cs"/>
          <w:b/>
          <w:bCs/>
          <w:sz w:val="20"/>
          <w:szCs w:val="20"/>
          <w:rtl/>
        </w:rPr>
        <w:t>נודע ביהודה</w:t>
      </w:r>
      <w:r>
        <w:rPr>
          <w:rFonts w:hint="cs"/>
          <w:sz w:val="20"/>
          <w:szCs w:val="20"/>
          <w:rtl/>
        </w:rPr>
        <w:t xml:space="preserve"> </w:t>
      </w:r>
      <w:r>
        <w:rPr>
          <w:sz w:val="20"/>
          <w:szCs w:val="20"/>
          <w:rtl/>
        </w:rPr>
        <w:t>–</w:t>
      </w:r>
      <w:r>
        <w:rPr>
          <w:rFonts w:hint="cs"/>
          <w:sz w:val="20"/>
          <w:szCs w:val="20"/>
          <w:rtl/>
        </w:rPr>
        <w:t xml:space="preserve"> איש ואשה הדרים בכפר אחד שאין בו יהודי זולתם, האם מותר לו לסייע לאשתו בשעת הטבילה ע"י שייגע בה ויתמוך בה בירידתה למים?</w:t>
      </w:r>
      <w:r>
        <w:rPr>
          <w:rFonts w:hint="cs"/>
          <w:sz w:val="20"/>
          <w:szCs w:val="20"/>
          <w:rtl/>
        </w:rPr>
        <w:br/>
        <w:t xml:space="preserve">תשובה </w:t>
      </w:r>
      <w:r>
        <w:rPr>
          <w:sz w:val="20"/>
          <w:szCs w:val="20"/>
          <w:rtl/>
        </w:rPr>
        <w:t>–</w:t>
      </w:r>
      <w:r>
        <w:rPr>
          <w:rFonts w:hint="cs"/>
          <w:sz w:val="20"/>
          <w:szCs w:val="20"/>
          <w:rtl/>
        </w:rPr>
        <w:t xml:space="preserve"> מסתבר שטעם איסור נגיעה והסתכלות באשתו נידה הם רק מחשש שמא יבוא לידי הרגל דבר, ומכיוון שכאן היא תהיה מותרת לו מייד אין לחוש לכך שיבוא עליה באיסור.</w:t>
      </w:r>
      <w:r>
        <w:rPr>
          <w:rStyle w:val="a5"/>
          <w:sz w:val="20"/>
          <w:szCs w:val="20"/>
          <w:rtl/>
        </w:rPr>
        <w:footnoteReference w:id="436"/>
      </w:r>
    </w:p>
    <w:p w:rsidR="00620060" w:rsidRDefault="00620060" w:rsidP="00620060">
      <w:pPr>
        <w:rPr>
          <w:sz w:val="20"/>
          <w:szCs w:val="20"/>
          <w:rtl/>
        </w:rPr>
      </w:pPr>
      <w:r>
        <w:rPr>
          <w:rFonts w:hint="cs"/>
          <w:sz w:val="20"/>
          <w:szCs w:val="20"/>
          <w:u w:val="single"/>
          <w:rtl/>
        </w:rPr>
        <w:t>נגיעה באשתו שנפטרה (פת"ש)</w:t>
      </w:r>
      <w:r>
        <w:rPr>
          <w:rFonts w:hint="cs"/>
          <w:sz w:val="20"/>
          <w:szCs w:val="20"/>
          <w:u w:val="single"/>
          <w:rtl/>
        </w:rPr>
        <w:br/>
      </w:r>
      <w:r w:rsidRPr="00032B43">
        <w:rPr>
          <w:rFonts w:hint="cs"/>
          <w:b/>
          <w:bCs/>
          <w:sz w:val="20"/>
          <w:szCs w:val="20"/>
          <w:rtl/>
        </w:rPr>
        <w:t>שמש צדקה</w:t>
      </w:r>
      <w:r>
        <w:rPr>
          <w:rFonts w:hint="cs"/>
          <w:sz w:val="20"/>
          <w:szCs w:val="20"/>
          <w:rtl/>
        </w:rPr>
        <w:t xml:space="preserve"> </w:t>
      </w:r>
      <w:r>
        <w:rPr>
          <w:sz w:val="20"/>
          <w:szCs w:val="20"/>
          <w:rtl/>
        </w:rPr>
        <w:t>–</w:t>
      </w:r>
      <w:r>
        <w:rPr>
          <w:rFonts w:hint="cs"/>
          <w:sz w:val="20"/>
          <w:szCs w:val="20"/>
          <w:rtl/>
        </w:rPr>
        <w:t xml:space="preserve"> מי שמתה אשתו, מותר לו לגעת בה למרות שמתה נידה.</w:t>
      </w:r>
    </w:p>
    <w:p w:rsidR="00620060" w:rsidRPr="002E5A2B" w:rsidRDefault="00620060" w:rsidP="00620060">
      <w:pPr>
        <w:rPr>
          <w:sz w:val="20"/>
          <w:szCs w:val="20"/>
          <w:rtl/>
        </w:rPr>
      </w:pPr>
      <w:r>
        <w:rPr>
          <w:rFonts w:hint="cs"/>
          <w:sz w:val="20"/>
          <w:szCs w:val="20"/>
          <w:u w:val="single"/>
          <w:rtl/>
        </w:rPr>
        <w:t>נגיעה בבגדים (פת"ש)</w:t>
      </w:r>
      <w:r>
        <w:rPr>
          <w:rFonts w:hint="cs"/>
          <w:sz w:val="20"/>
          <w:szCs w:val="20"/>
          <w:u w:val="single"/>
          <w:rtl/>
        </w:rPr>
        <w:br/>
      </w:r>
      <w:r w:rsidRPr="006D50E9">
        <w:rPr>
          <w:rFonts w:hint="cs"/>
          <w:b/>
          <w:bCs/>
          <w:sz w:val="20"/>
          <w:szCs w:val="20"/>
          <w:rtl/>
        </w:rPr>
        <w:t>תשב"ץ</w:t>
      </w:r>
      <w:r>
        <w:rPr>
          <w:rFonts w:hint="cs"/>
          <w:sz w:val="20"/>
          <w:szCs w:val="20"/>
          <w:rtl/>
        </w:rPr>
        <w:t xml:space="preserve"> </w:t>
      </w:r>
      <w:r>
        <w:rPr>
          <w:sz w:val="20"/>
          <w:szCs w:val="20"/>
          <w:rtl/>
        </w:rPr>
        <w:t>–</w:t>
      </w:r>
      <w:r>
        <w:rPr>
          <w:rFonts w:hint="cs"/>
          <w:sz w:val="20"/>
          <w:szCs w:val="20"/>
          <w:rtl/>
        </w:rPr>
        <w:t xml:space="preserve"> אין לדעת בבגדי אשתו נידה בשעה שהיא לבושה בהם, אך כאשר אינה לבושה בהם מותר.</w:t>
      </w:r>
      <w:r>
        <w:rPr>
          <w:rStyle w:val="a5"/>
          <w:sz w:val="20"/>
          <w:szCs w:val="20"/>
          <w:rtl/>
        </w:rPr>
        <w:footnoteReference w:id="437"/>
      </w:r>
      <w:r>
        <w:rPr>
          <w:sz w:val="20"/>
          <w:szCs w:val="20"/>
          <w:u w:val="single"/>
          <w:rtl/>
        </w:rPr>
        <w:br/>
      </w:r>
      <w:r w:rsidRPr="008C55F8">
        <w:rPr>
          <w:rFonts w:hint="cs"/>
          <w:b/>
          <w:bCs/>
          <w:sz w:val="20"/>
          <w:szCs w:val="20"/>
          <w:rtl/>
        </w:rPr>
        <w:t>ערוך השולחן</w:t>
      </w:r>
      <w:r>
        <w:rPr>
          <w:rFonts w:hint="cs"/>
          <w:sz w:val="20"/>
          <w:szCs w:val="20"/>
          <w:rtl/>
        </w:rPr>
        <w:t xml:space="preserve"> </w:t>
      </w:r>
      <w:r>
        <w:rPr>
          <w:rFonts w:hint="cs"/>
          <w:b/>
          <w:bCs/>
          <w:sz w:val="20"/>
          <w:szCs w:val="20"/>
          <w:rtl/>
        </w:rPr>
        <w:t>ו</w:t>
      </w:r>
      <w:r w:rsidRPr="008C55F8">
        <w:rPr>
          <w:rFonts w:hint="cs"/>
          <w:b/>
          <w:bCs/>
          <w:sz w:val="20"/>
          <w:szCs w:val="20"/>
          <w:rtl/>
        </w:rPr>
        <w:t>טהרת הבית</w:t>
      </w:r>
      <w:r>
        <w:rPr>
          <w:rFonts w:hint="cs"/>
          <w:b/>
          <w:bCs/>
          <w:sz w:val="20"/>
          <w:szCs w:val="20"/>
          <w:rtl/>
        </w:rPr>
        <w:t xml:space="preserve"> </w:t>
      </w:r>
      <w:r>
        <w:rPr>
          <w:sz w:val="20"/>
          <w:szCs w:val="20"/>
          <w:rtl/>
        </w:rPr>
        <w:t>–</w:t>
      </w:r>
      <w:r>
        <w:rPr>
          <w:rFonts w:hint="cs"/>
          <w:sz w:val="20"/>
          <w:szCs w:val="20"/>
          <w:rtl/>
        </w:rPr>
        <w:t xml:space="preserve"> יש להקפיד שאף בגדי האיש לא יגעו בבגדי אשתו בזמן שהיא נידה.</w:t>
      </w:r>
      <w:r>
        <w:rPr>
          <w:rStyle w:val="a5"/>
          <w:sz w:val="20"/>
          <w:szCs w:val="20"/>
          <w:rtl/>
        </w:rPr>
        <w:footnoteReference w:id="438"/>
      </w:r>
    </w:p>
    <w:p w:rsidR="00620060" w:rsidRDefault="00620060" w:rsidP="00620060">
      <w:pPr>
        <w:rPr>
          <w:sz w:val="20"/>
          <w:szCs w:val="20"/>
          <w:rtl/>
        </w:rPr>
      </w:pPr>
      <w:r>
        <w:rPr>
          <w:rFonts w:hint="cs"/>
          <w:sz w:val="20"/>
          <w:szCs w:val="20"/>
          <w:u w:val="single"/>
          <w:rtl/>
        </w:rPr>
        <w:t>שימוש בנר שאוחז בן הזוג</w:t>
      </w:r>
      <w:r>
        <w:rPr>
          <w:rFonts w:hint="cs"/>
          <w:sz w:val="20"/>
          <w:szCs w:val="20"/>
          <w:u w:val="single"/>
          <w:rtl/>
        </w:rPr>
        <w:br/>
      </w:r>
      <w:r>
        <w:rPr>
          <w:rFonts w:hint="cs"/>
          <w:sz w:val="20"/>
          <w:szCs w:val="20"/>
          <w:rtl/>
        </w:rPr>
        <w:t xml:space="preserve">א. תשובת </w:t>
      </w:r>
      <w:r w:rsidRPr="00091E7B">
        <w:rPr>
          <w:rFonts w:hint="cs"/>
          <w:b/>
          <w:bCs/>
          <w:sz w:val="20"/>
          <w:szCs w:val="20"/>
          <w:rtl/>
        </w:rPr>
        <w:t>יד אליהו</w:t>
      </w:r>
      <w:r>
        <w:rPr>
          <w:rFonts w:hint="cs"/>
          <w:sz w:val="20"/>
          <w:szCs w:val="20"/>
          <w:rtl/>
        </w:rPr>
        <w:t xml:space="preserve"> - </w:t>
      </w:r>
      <w:r>
        <w:rPr>
          <w:sz w:val="20"/>
          <w:szCs w:val="20"/>
          <w:u w:val="single"/>
          <w:rtl/>
        </w:rPr>
        <w:br/>
      </w:r>
      <w:r>
        <w:rPr>
          <w:rFonts w:hint="cs"/>
          <w:sz w:val="20"/>
          <w:szCs w:val="20"/>
          <w:rtl/>
        </w:rPr>
        <w:t xml:space="preserve">הדלקת נר מנר שביד השני </w:t>
      </w:r>
      <w:r>
        <w:rPr>
          <w:sz w:val="20"/>
          <w:szCs w:val="20"/>
          <w:rtl/>
        </w:rPr>
        <w:t>–</w:t>
      </w:r>
      <w:r>
        <w:rPr>
          <w:rFonts w:hint="cs"/>
          <w:sz w:val="20"/>
          <w:szCs w:val="20"/>
          <w:rtl/>
        </w:rPr>
        <w:t xml:space="preserve"> אסור.</w:t>
      </w:r>
      <w:r>
        <w:rPr>
          <w:sz w:val="20"/>
          <w:szCs w:val="20"/>
          <w:rtl/>
        </w:rPr>
        <w:br/>
      </w:r>
      <w:r>
        <w:rPr>
          <w:rFonts w:hint="cs"/>
          <w:sz w:val="20"/>
          <w:szCs w:val="20"/>
          <w:rtl/>
        </w:rPr>
        <w:t xml:space="preserve">חימום מנר שאוחזת השני </w:t>
      </w:r>
      <w:r>
        <w:rPr>
          <w:sz w:val="20"/>
          <w:szCs w:val="20"/>
          <w:rtl/>
        </w:rPr>
        <w:t>–</w:t>
      </w:r>
      <w:r>
        <w:rPr>
          <w:rFonts w:hint="cs"/>
          <w:sz w:val="20"/>
          <w:szCs w:val="20"/>
          <w:rtl/>
        </w:rPr>
        <w:t xml:space="preserve"> אסור.</w:t>
      </w:r>
      <w:r>
        <w:rPr>
          <w:sz w:val="20"/>
          <w:szCs w:val="20"/>
          <w:rtl/>
        </w:rPr>
        <w:br/>
      </w:r>
      <w:r w:rsidRPr="00091E7B">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ההבל היוצא מהנר מחבר אותם והוי כנגיעה.</w:t>
      </w:r>
      <w:r>
        <w:rPr>
          <w:rFonts w:hint="cs"/>
          <w:sz w:val="20"/>
          <w:szCs w:val="20"/>
          <w:rtl/>
        </w:rPr>
        <w:br/>
        <w:t xml:space="preserve">ב. </w:t>
      </w:r>
      <w:r w:rsidRPr="00091E7B">
        <w:rPr>
          <w:rFonts w:hint="cs"/>
          <w:b/>
          <w:bCs/>
          <w:sz w:val="20"/>
          <w:szCs w:val="20"/>
          <w:rtl/>
        </w:rPr>
        <w:t>בדה"ש</w:t>
      </w:r>
      <w:r>
        <w:rPr>
          <w:rFonts w:hint="cs"/>
          <w:sz w:val="20"/>
          <w:szCs w:val="20"/>
          <w:rtl/>
        </w:rPr>
        <w:t xml:space="preserve"> </w:t>
      </w:r>
      <w:r>
        <w:rPr>
          <w:sz w:val="20"/>
          <w:szCs w:val="20"/>
          <w:rtl/>
        </w:rPr>
        <w:t>–</w:t>
      </w:r>
      <w:r>
        <w:rPr>
          <w:rFonts w:hint="cs"/>
          <w:sz w:val="20"/>
          <w:szCs w:val="20"/>
          <w:rtl/>
        </w:rPr>
        <w:t xml:space="preserve"> מותר לאחד מהם לאחוז נר כדי שהשני יוכל לקרוא ולהשתמש לאורו.</w:t>
      </w:r>
      <w:r>
        <w:rPr>
          <w:rFonts w:hint="cs"/>
          <w:sz w:val="20"/>
          <w:szCs w:val="20"/>
          <w:rtl/>
        </w:rPr>
        <w:br/>
      </w:r>
      <w:r>
        <w:rPr>
          <w:rFonts w:hint="cs"/>
          <w:sz w:val="20"/>
          <w:szCs w:val="20"/>
          <w:rtl/>
        </w:rPr>
        <w:lastRenderedPageBreak/>
        <w:t xml:space="preserve">ג. </w:t>
      </w:r>
      <w:r w:rsidRPr="006B47EE">
        <w:rPr>
          <w:rFonts w:hint="cs"/>
          <w:b/>
          <w:bCs/>
          <w:sz w:val="20"/>
          <w:szCs w:val="20"/>
          <w:rtl/>
        </w:rPr>
        <w:t>אגרות משה</w:t>
      </w:r>
      <w:r>
        <w:rPr>
          <w:rFonts w:hint="cs"/>
          <w:sz w:val="20"/>
          <w:szCs w:val="20"/>
          <w:rtl/>
        </w:rPr>
        <w:t xml:space="preserve"> - מותר לאשה להחזיק את נר ההבדלה בידה ובעלה משתמש לאורו.</w:t>
      </w:r>
      <w:r>
        <w:rPr>
          <w:sz w:val="20"/>
          <w:szCs w:val="20"/>
          <w:rtl/>
        </w:rPr>
        <w:br/>
      </w:r>
      <w:r w:rsidRPr="006B47EE">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אינו משתמש בהבל אלא באור בלבד.</w:t>
      </w:r>
    </w:p>
    <w:p w:rsidR="00620060" w:rsidRDefault="00620060" w:rsidP="00620060">
      <w:pPr>
        <w:rPr>
          <w:sz w:val="20"/>
          <w:szCs w:val="20"/>
          <w:rtl/>
        </w:rPr>
      </w:pPr>
      <w:r>
        <w:rPr>
          <w:rFonts w:hint="cs"/>
          <w:sz w:val="20"/>
          <w:szCs w:val="20"/>
          <w:u w:val="single"/>
          <w:rtl/>
        </w:rPr>
        <w:t>העברת תינוק מידו לידה (פת"ש)</w:t>
      </w:r>
      <w:r>
        <w:rPr>
          <w:rFonts w:hint="cs"/>
          <w:sz w:val="20"/>
          <w:szCs w:val="20"/>
          <w:u w:val="single"/>
          <w:rtl/>
        </w:rPr>
        <w:br/>
      </w:r>
      <w:r w:rsidRPr="00CB4422">
        <w:rPr>
          <w:rFonts w:hint="cs"/>
          <w:b/>
          <w:bCs/>
          <w:sz w:val="20"/>
          <w:szCs w:val="20"/>
          <w:rtl/>
        </w:rPr>
        <w:t>תשב"ץ</w:t>
      </w:r>
      <w:r>
        <w:rPr>
          <w:rFonts w:hint="cs"/>
          <w:sz w:val="20"/>
          <w:szCs w:val="20"/>
          <w:rtl/>
        </w:rPr>
        <w:t xml:space="preserve"> </w:t>
      </w:r>
      <w:r>
        <w:rPr>
          <w:sz w:val="20"/>
          <w:szCs w:val="20"/>
          <w:rtl/>
        </w:rPr>
        <w:t>–</w:t>
      </w:r>
      <w:r>
        <w:rPr>
          <w:rFonts w:hint="cs"/>
          <w:sz w:val="20"/>
          <w:szCs w:val="20"/>
          <w:rtl/>
        </w:rPr>
        <w:t xml:space="preserve"> מותר ליטול תינוק מיד אשתו.</w:t>
      </w:r>
      <w:r>
        <w:rPr>
          <w:sz w:val="20"/>
          <w:szCs w:val="20"/>
          <w:rtl/>
        </w:rPr>
        <w:br/>
      </w:r>
      <w:r w:rsidRPr="006D50E9">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החי נושא את עצמו.</w:t>
      </w:r>
      <w:r>
        <w:rPr>
          <w:sz w:val="20"/>
          <w:szCs w:val="20"/>
          <w:rtl/>
        </w:rPr>
        <w:br/>
      </w:r>
      <w:r>
        <w:rPr>
          <w:rFonts w:hint="cs"/>
          <w:sz w:val="20"/>
          <w:szCs w:val="20"/>
          <w:rtl/>
        </w:rPr>
        <w:t xml:space="preserve">א. מסייג </w:t>
      </w:r>
      <w:r w:rsidRPr="006D50E9">
        <w:rPr>
          <w:rFonts w:hint="cs"/>
          <w:b/>
          <w:bCs/>
          <w:sz w:val="20"/>
          <w:szCs w:val="20"/>
          <w:rtl/>
        </w:rPr>
        <w:t>הפת"ש</w:t>
      </w:r>
      <w:r>
        <w:rPr>
          <w:rFonts w:hint="cs"/>
          <w:sz w:val="20"/>
          <w:szCs w:val="20"/>
          <w:rtl/>
        </w:rPr>
        <w:t xml:space="preserve"> </w:t>
      </w:r>
      <w:r>
        <w:rPr>
          <w:sz w:val="20"/>
          <w:szCs w:val="20"/>
          <w:rtl/>
        </w:rPr>
        <w:t>–</w:t>
      </w:r>
      <w:r>
        <w:rPr>
          <w:rFonts w:hint="cs"/>
          <w:sz w:val="20"/>
          <w:szCs w:val="20"/>
          <w:rtl/>
        </w:rPr>
        <w:t xml:space="preserve"> מדובר בתינוק גדול קצת, אך אם הוא קטן או חולה אסור.</w:t>
      </w:r>
      <w:r>
        <w:rPr>
          <w:sz w:val="20"/>
          <w:szCs w:val="20"/>
          <w:rtl/>
        </w:rPr>
        <w:br/>
      </w:r>
      <w:r w:rsidRPr="006D50E9">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לא שייך לומר בו את הכלל "חי נושא את עצמו".</w:t>
      </w:r>
      <w:r>
        <w:rPr>
          <w:rFonts w:hint="cs"/>
          <w:sz w:val="20"/>
          <w:szCs w:val="20"/>
          <w:rtl/>
        </w:rPr>
        <w:br/>
        <w:t xml:space="preserve">ב. </w:t>
      </w:r>
      <w:r w:rsidRPr="00F9106E">
        <w:rPr>
          <w:rFonts w:hint="cs"/>
          <w:b/>
          <w:bCs/>
          <w:sz w:val="20"/>
          <w:szCs w:val="20"/>
          <w:rtl/>
        </w:rPr>
        <w:t>טהרת הבית</w:t>
      </w:r>
      <w:r>
        <w:rPr>
          <w:rFonts w:hint="cs"/>
          <w:sz w:val="20"/>
          <w:szCs w:val="20"/>
          <w:rtl/>
        </w:rPr>
        <w:t xml:space="preserve"> </w:t>
      </w:r>
      <w:r>
        <w:rPr>
          <w:sz w:val="20"/>
          <w:szCs w:val="20"/>
          <w:rtl/>
        </w:rPr>
        <w:t>–</w:t>
      </w:r>
      <w:r>
        <w:rPr>
          <w:rFonts w:hint="cs"/>
          <w:sz w:val="20"/>
          <w:szCs w:val="20"/>
          <w:rtl/>
        </w:rPr>
        <w:t xml:space="preserve"> גם תינוק קטן מותר להעביר מידו לידה, ובלבד שהתינוק יוצא מעצמו מחיק אמו ובא אל אביו</w:t>
      </w:r>
      <w:r>
        <w:rPr>
          <w:rStyle w:val="a5"/>
          <w:sz w:val="20"/>
          <w:szCs w:val="20"/>
          <w:rtl/>
        </w:rPr>
        <w:footnoteReference w:id="439"/>
      </w:r>
      <w:r>
        <w:rPr>
          <w:rFonts w:hint="cs"/>
          <w:sz w:val="20"/>
          <w:szCs w:val="20"/>
          <w:rtl/>
        </w:rPr>
        <w:t>, ואמנם יש מחמירים ותבוא עליהם ברכה</w:t>
      </w:r>
      <w:r>
        <w:rPr>
          <w:rStyle w:val="a5"/>
          <w:sz w:val="20"/>
          <w:szCs w:val="20"/>
          <w:rtl/>
        </w:rPr>
        <w:footnoteReference w:id="440"/>
      </w:r>
      <w:r>
        <w:rPr>
          <w:rFonts w:hint="cs"/>
          <w:sz w:val="20"/>
          <w:szCs w:val="20"/>
          <w:rtl/>
        </w:rPr>
        <w:t xml:space="preserve">. </w:t>
      </w:r>
      <w:r>
        <w:rPr>
          <w:sz w:val="20"/>
          <w:szCs w:val="20"/>
          <w:rtl/>
        </w:rPr>
        <w:br/>
      </w:r>
      <w:r>
        <w:rPr>
          <w:rFonts w:hint="cs"/>
          <w:sz w:val="20"/>
          <w:szCs w:val="20"/>
          <w:rtl/>
        </w:rPr>
        <w:t>ברם, כל זה כשיש צורך בדבר, אך אין להעביר תינוק מידו לידה בדרך שחוק, כיוון שזו דרך חיבה.</w:t>
      </w:r>
    </w:p>
    <w:p w:rsidR="00620060" w:rsidRDefault="00620060" w:rsidP="00620060">
      <w:pPr>
        <w:rPr>
          <w:sz w:val="20"/>
          <w:szCs w:val="20"/>
          <w:rtl/>
        </w:rPr>
      </w:pPr>
      <w:r>
        <w:rPr>
          <w:rFonts w:hint="cs"/>
          <w:sz w:val="20"/>
          <w:szCs w:val="20"/>
          <w:u w:val="single"/>
          <w:rtl/>
        </w:rPr>
        <w:t>זריקה כלפי מעלה (פת"ש)</w:t>
      </w:r>
      <w:r>
        <w:rPr>
          <w:rFonts w:hint="cs"/>
          <w:sz w:val="20"/>
          <w:szCs w:val="20"/>
          <w:u w:val="single"/>
          <w:rtl/>
        </w:rPr>
        <w:br/>
      </w:r>
      <w:r>
        <w:rPr>
          <w:rFonts w:hint="cs"/>
          <w:sz w:val="20"/>
          <w:szCs w:val="20"/>
          <w:rtl/>
        </w:rPr>
        <w:t xml:space="preserve">א. </w:t>
      </w:r>
      <w:r w:rsidRPr="00A92B5F">
        <w:rPr>
          <w:rFonts w:hint="cs"/>
          <w:b/>
          <w:bCs/>
          <w:sz w:val="20"/>
          <w:szCs w:val="20"/>
          <w:rtl/>
        </w:rPr>
        <w:t>כרתי ופלתי</w:t>
      </w:r>
      <w:r>
        <w:rPr>
          <w:rFonts w:hint="cs"/>
          <w:sz w:val="20"/>
          <w:szCs w:val="20"/>
          <w:rtl/>
        </w:rPr>
        <w:t xml:space="preserve"> </w:t>
      </w:r>
      <w:r>
        <w:rPr>
          <w:sz w:val="20"/>
          <w:szCs w:val="20"/>
          <w:rtl/>
        </w:rPr>
        <w:t>–</w:t>
      </w:r>
      <w:r>
        <w:rPr>
          <w:rFonts w:hint="cs"/>
          <w:sz w:val="20"/>
          <w:szCs w:val="20"/>
          <w:rtl/>
        </w:rPr>
        <w:t xml:space="preserve"> מותר לזרוק דבר כלפי מעלה לא לנוכח אשתו, והיא פושטת את ידה ומקבלת.</w:t>
      </w:r>
      <w:r>
        <w:rPr>
          <w:sz w:val="20"/>
          <w:szCs w:val="20"/>
          <w:rtl/>
        </w:rPr>
        <w:br/>
      </w:r>
      <w:r>
        <w:rPr>
          <w:rFonts w:hint="cs"/>
          <w:sz w:val="20"/>
          <w:szCs w:val="20"/>
          <w:rtl/>
        </w:rPr>
        <w:t xml:space="preserve">ב. </w:t>
      </w:r>
      <w:r w:rsidRPr="00A92B5F">
        <w:rPr>
          <w:rFonts w:hint="cs"/>
          <w:b/>
          <w:bCs/>
          <w:sz w:val="20"/>
          <w:szCs w:val="20"/>
          <w:rtl/>
        </w:rPr>
        <w:t>סדרי טהרה</w:t>
      </w:r>
      <w:r>
        <w:rPr>
          <w:rFonts w:hint="cs"/>
          <w:sz w:val="20"/>
          <w:szCs w:val="20"/>
          <w:rtl/>
        </w:rPr>
        <w:t xml:space="preserve"> </w:t>
      </w:r>
      <w:r>
        <w:rPr>
          <w:sz w:val="20"/>
          <w:szCs w:val="20"/>
          <w:rtl/>
        </w:rPr>
        <w:t>–</w:t>
      </w:r>
      <w:r>
        <w:rPr>
          <w:rFonts w:hint="cs"/>
          <w:sz w:val="20"/>
          <w:szCs w:val="20"/>
          <w:rtl/>
        </w:rPr>
        <w:t xml:space="preserve"> אע"פ שיש להקל מעיקר הדין, מכל מקום אין להתיר זאת למעשה.</w:t>
      </w:r>
    </w:p>
    <w:p w:rsidR="00620060" w:rsidRDefault="00620060" w:rsidP="00620060">
      <w:pPr>
        <w:rPr>
          <w:sz w:val="20"/>
          <w:szCs w:val="20"/>
          <w:rtl/>
        </w:rPr>
      </w:pPr>
      <w:r>
        <w:rPr>
          <w:rFonts w:hint="cs"/>
          <w:sz w:val="20"/>
          <w:szCs w:val="20"/>
          <w:u w:val="single"/>
          <w:rtl/>
        </w:rPr>
        <w:t>הסרת לכלוך מבגד אשתו (פת"ש)</w:t>
      </w:r>
      <w:r>
        <w:rPr>
          <w:rFonts w:hint="cs"/>
          <w:sz w:val="20"/>
          <w:szCs w:val="20"/>
          <w:u w:val="single"/>
          <w:rtl/>
        </w:rPr>
        <w:br/>
      </w:r>
      <w:r>
        <w:rPr>
          <w:rFonts w:hint="cs"/>
          <w:sz w:val="20"/>
          <w:szCs w:val="20"/>
          <w:rtl/>
        </w:rPr>
        <w:t xml:space="preserve">א. </w:t>
      </w:r>
      <w:r w:rsidRPr="001A63A2">
        <w:rPr>
          <w:rFonts w:hint="cs"/>
          <w:b/>
          <w:bCs/>
          <w:sz w:val="20"/>
          <w:szCs w:val="20"/>
          <w:rtl/>
        </w:rPr>
        <w:t>מנחת יעקב</w:t>
      </w:r>
      <w:r>
        <w:rPr>
          <w:rFonts w:hint="cs"/>
          <w:sz w:val="20"/>
          <w:szCs w:val="20"/>
          <w:rtl/>
        </w:rPr>
        <w:t xml:space="preserve"> </w:t>
      </w:r>
      <w:r>
        <w:rPr>
          <w:sz w:val="20"/>
          <w:szCs w:val="20"/>
          <w:rtl/>
        </w:rPr>
        <w:t>–</w:t>
      </w:r>
      <w:r>
        <w:rPr>
          <w:rFonts w:hint="cs"/>
          <w:sz w:val="20"/>
          <w:szCs w:val="20"/>
          <w:rtl/>
        </w:rPr>
        <w:t xml:space="preserve"> אין להסיר לכלוך מבגדי אשתו נידה, אפילו אם עושה זאת ע"י נפיחה בלבד.</w:t>
      </w:r>
      <w:r>
        <w:rPr>
          <w:sz w:val="20"/>
          <w:szCs w:val="20"/>
          <w:rtl/>
        </w:rPr>
        <w:br/>
      </w:r>
      <w:r w:rsidRPr="001A63A2">
        <w:rPr>
          <w:rFonts w:hint="cs"/>
          <w:b/>
          <w:bCs/>
          <w:sz w:val="20"/>
          <w:szCs w:val="20"/>
          <w:rtl/>
        </w:rPr>
        <w:t>ראיה</w:t>
      </w:r>
      <w:r>
        <w:rPr>
          <w:rFonts w:hint="cs"/>
          <w:sz w:val="20"/>
          <w:szCs w:val="20"/>
          <w:rtl/>
        </w:rPr>
        <w:t xml:space="preserve"> </w:t>
      </w:r>
      <w:r>
        <w:rPr>
          <w:sz w:val="20"/>
          <w:szCs w:val="20"/>
          <w:rtl/>
        </w:rPr>
        <w:t>–</w:t>
      </w:r>
      <w:r>
        <w:rPr>
          <w:rFonts w:hint="cs"/>
          <w:sz w:val="20"/>
          <w:szCs w:val="20"/>
          <w:rtl/>
        </w:rPr>
        <w:t xml:space="preserve"> </w:t>
      </w:r>
      <w:r w:rsidRPr="001A63A2">
        <w:rPr>
          <w:rFonts w:hint="cs"/>
          <w:b/>
          <w:bCs/>
          <w:sz w:val="20"/>
          <w:szCs w:val="20"/>
          <w:rtl/>
        </w:rPr>
        <w:t>גמרא</w:t>
      </w:r>
      <w:r>
        <w:rPr>
          <w:rFonts w:hint="cs"/>
          <w:sz w:val="20"/>
          <w:szCs w:val="20"/>
          <w:rtl/>
        </w:rPr>
        <w:t xml:space="preserve"> כתובות (קה:) "</w:t>
      </w:r>
      <w:r w:rsidRPr="001A63A2">
        <w:rPr>
          <w:rFonts w:cs="Arial"/>
          <w:sz w:val="20"/>
          <w:szCs w:val="20"/>
          <w:rtl/>
        </w:rPr>
        <w:t>אמימר הוה יתיב וקא דאין דינא, פרח גדפא ארישיה, אתא ההוא גברא שקליה, א</w:t>
      </w:r>
      <w:r>
        <w:rPr>
          <w:rFonts w:cs="Arial" w:hint="cs"/>
          <w:sz w:val="20"/>
          <w:szCs w:val="20"/>
          <w:rtl/>
        </w:rPr>
        <w:t>מר ליה</w:t>
      </w:r>
      <w:r w:rsidRPr="001A63A2">
        <w:rPr>
          <w:rFonts w:cs="Arial"/>
          <w:sz w:val="20"/>
          <w:szCs w:val="20"/>
          <w:rtl/>
        </w:rPr>
        <w:t>: מאי עבידתיך? א</w:t>
      </w:r>
      <w:r>
        <w:rPr>
          <w:rFonts w:cs="Arial" w:hint="cs"/>
          <w:sz w:val="20"/>
          <w:szCs w:val="20"/>
          <w:rtl/>
        </w:rPr>
        <w:t>מר ליה</w:t>
      </w:r>
      <w:r w:rsidRPr="001A63A2">
        <w:rPr>
          <w:rFonts w:cs="Arial"/>
          <w:sz w:val="20"/>
          <w:szCs w:val="20"/>
          <w:rtl/>
        </w:rPr>
        <w:t>: דינא א</w:t>
      </w:r>
      <w:r>
        <w:rPr>
          <w:rFonts w:cs="Arial"/>
          <w:sz w:val="20"/>
          <w:szCs w:val="20"/>
          <w:rtl/>
        </w:rPr>
        <w:t>ית לי, אמר ליה: פסילנא לך לדינא</w:t>
      </w:r>
      <w:r>
        <w:rPr>
          <w:rFonts w:cs="Arial" w:hint="cs"/>
          <w:sz w:val="20"/>
          <w:szCs w:val="20"/>
          <w:rtl/>
        </w:rPr>
        <w:t>".</w:t>
      </w:r>
      <w:r>
        <w:rPr>
          <w:rFonts w:hint="cs"/>
          <w:sz w:val="20"/>
          <w:szCs w:val="20"/>
          <w:rtl/>
        </w:rPr>
        <w:br/>
        <w:t>מוכח מכאן שבהסרת לכלוך מבגד יש משום קירוב הדעת, ולכן הדבר אסור.</w:t>
      </w:r>
      <w:r>
        <w:rPr>
          <w:rFonts w:hint="cs"/>
          <w:sz w:val="20"/>
          <w:szCs w:val="20"/>
          <w:rtl/>
        </w:rPr>
        <w:br/>
        <w:t xml:space="preserve">ב. </w:t>
      </w:r>
      <w:r w:rsidRPr="00C31F20">
        <w:rPr>
          <w:rFonts w:hint="cs"/>
          <w:b/>
          <w:bCs/>
          <w:sz w:val="20"/>
          <w:szCs w:val="20"/>
          <w:rtl/>
        </w:rPr>
        <w:t>כרתי ופלתי</w:t>
      </w:r>
      <w:r>
        <w:rPr>
          <w:rFonts w:hint="cs"/>
          <w:sz w:val="20"/>
          <w:szCs w:val="20"/>
          <w:rtl/>
        </w:rPr>
        <w:t xml:space="preserve"> </w:t>
      </w:r>
      <w:r>
        <w:rPr>
          <w:sz w:val="20"/>
          <w:szCs w:val="20"/>
          <w:rtl/>
        </w:rPr>
        <w:t>–</w:t>
      </w:r>
      <w:r>
        <w:rPr>
          <w:rFonts w:hint="cs"/>
          <w:sz w:val="20"/>
          <w:szCs w:val="20"/>
          <w:rtl/>
        </w:rPr>
        <w:t xml:space="preserve"> מותר.</w:t>
      </w:r>
      <w:r>
        <w:rPr>
          <w:rFonts w:hint="cs"/>
          <w:sz w:val="20"/>
          <w:szCs w:val="20"/>
          <w:rtl/>
        </w:rPr>
        <w:br/>
      </w:r>
      <w:r w:rsidRPr="00350159">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לפי דברי </w:t>
      </w:r>
      <w:r w:rsidRPr="00350159">
        <w:rPr>
          <w:rFonts w:hint="cs"/>
          <w:b/>
          <w:bCs/>
          <w:sz w:val="20"/>
          <w:szCs w:val="20"/>
          <w:rtl/>
        </w:rPr>
        <w:t>המנח"י</w:t>
      </w:r>
      <w:r>
        <w:rPr>
          <w:rFonts w:hint="cs"/>
          <w:sz w:val="20"/>
          <w:szCs w:val="20"/>
          <w:rtl/>
        </w:rPr>
        <w:t xml:space="preserve"> יהיה אסור אף לתת מתנה לאשתו נידה משום קירוב הדעת, אלא העיקר הוא שאין להחמיר בדינים האלו שעיקרם בתקנת חכמים, וחתם את דבריו "ולא תוסיפו פן תגרעו".</w:t>
      </w:r>
    </w:p>
    <w:p w:rsidR="00620060" w:rsidRDefault="00620060" w:rsidP="00620060">
      <w:pPr>
        <w:rPr>
          <w:sz w:val="20"/>
          <w:szCs w:val="20"/>
          <w:rtl/>
        </w:rPr>
      </w:pPr>
      <w:r w:rsidRPr="00726E1E">
        <w:rPr>
          <w:rFonts w:hint="cs"/>
          <w:b/>
          <w:bCs/>
          <w:sz w:val="20"/>
          <w:szCs w:val="20"/>
          <w:rtl/>
        </w:rPr>
        <w:t>סיכום</w:t>
      </w:r>
      <w:r>
        <w:rPr>
          <w:sz w:val="20"/>
          <w:szCs w:val="20"/>
          <w:rtl/>
        </w:rPr>
        <w:br/>
      </w:r>
      <w:r>
        <w:rPr>
          <w:rFonts w:hint="cs"/>
          <w:sz w:val="20"/>
          <w:szCs w:val="20"/>
          <w:rtl/>
        </w:rPr>
        <w:t xml:space="preserve">1. </w:t>
      </w:r>
      <w:r w:rsidRPr="006C5064">
        <w:rPr>
          <w:rFonts w:hint="cs"/>
          <w:b/>
          <w:bCs/>
          <w:sz w:val="20"/>
          <w:szCs w:val="20"/>
          <w:rtl/>
        </w:rPr>
        <w:t>תוספות</w:t>
      </w:r>
      <w:r>
        <w:rPr>
          <w:rFonts w:hint="cs"/>
          <w:sz w:val="20"/>
          <w:szCs w:val="20"/>
          <w:rtl/>
        </w:rPr>
        <w:t xml:space="preserve">. אין לגעת באשתו נידה, וכ"פ </w:t>
      </w:r>
      <w:r w:rsidRPr="006C5064">
        <w:rPr>
          <w:rFonts w:hint="cs"/>
          <w:b/>
          <w:bCs/>
          <w:sz w:val="20"/>
          <w:szCs w:val="20"/>
          <w:rtl/>
        </w:rPr>
        <w:t>הרמב"ם והמחבר</w:t>
      </w:r>
      <w:r>
        <w:rPr>
          <w:rFonts w:hint="cs"/>
          <w:sz w:val="20"/>
          <w:szCs w:val="20"/>
          <w:rtl/>
        </w:rPr>
        <w:t xml:space="preserve">. </w:t>
      </w:r>
      <w:r w:rsidRPr="006C5064">
        <w:rPr>
          <w:rFonts w:hint="cs"/>
          <w:b/>
          <w:bCs/>
          <w:sz w:val="20"/>
          <w:szCs w:val="20"/>
          <w:rtl/>
        </w:rPr>
        <w:t>ראיה</w:t>
      </w:r>
      <w:r>
        <w:rPr>
          <w:rFonts w:hint="cs"/>
          <w:sz w:val="20"/>
          <w:szCs w:val="20"/>
          <w:rtl/>
        </w:rPr>
        <w:t>. תנדב"א: "שמא נגע בך... באצבע קטנה?"</w:t>
      </w:r>
      <w:r>
        <w:rPr>
          <w:rFonts w:hint="cs"/>
          <w:sz w:val="20"/>
          <w:szCs w:val="20"/>
          <w:rtl/>
        </w:rPr>
        <w:br/>
        <w:t xml:space="preserve">2. </w:t>
      </w:r>
      <w:r w:rsidRPr="00515A3E">
        <w:rPr>
          <w:rFonts w:hint="cs"/>
          <w:b/>
          <w:bCs/>
          <w:sz w:val="20"/>
          <w:szCs w:val="20"/>
          <w:rtl/>
        </w:rPr>
        <w:t>רש"י</w:t>
      </w:r>
      <w:r>
        <w:rPr>
          <w:rFonts w:hint="cs"/>
          <w:sz w:val="20"/>
          <w:szCs w:val="20"/>
          <w:rtl/>
        </w:rPr>
        <w:t xml:space="preserve">. החמיר לא להעביר חפץ מידו לידה, וכ"פ </w:t>
      </w:r>
      <w:r w:rsidRPr="00515A3E">
        <w:rPr>
          <w:rFonts w:hint="cs"/>
          <w:b/>
          <w:bCs/>
          <w:sz w:val="20"/>
          <w:szCs w:val="20"/>
          <w:rtl/>
        </w:rPr>
        <w:t>המחבר</w:t>
      </w:r>
      <w:r>
        <w:rPr>
          <w:rFonts w:hint="cs"/>
          <w:sz w:val="20"/>
          <w:szCs w:val="20"/>
          <w:rtl/>
        </w:rPr>
        <w:t xml:space="preserve">. </w:t>
      </w:r>
      <w:r w:rsidRPr="00515A3E">
        <w:rPr>
          <w:rFonts w:hint="cs"/>
          <w:b/>
          <w:bCs/>
          <w:sz w:val="20"/>
          <w:szCs w:val="20"/>
          <w:rtl/>
        </w:rPr>
        <w:t>ראיה</w:t>
      </w:r>
      <w:r>
        <w:rPr>
          <w:rFonts w:hint="cs"/>
          <w:sz w:val="20"/>
          <w:szCs w:val="20"/>
          <w:rtl/>
        </w:rPr>
        <w:t>. תנדב"א: "</w:t>
      </w:r>
      <w:r w:rsidRPr="004F0471">
        <w:rPr>
          <w:rFonts w:cs="Arial"/>
          <w:sz w:val="20"/>
          <w:szCs w:val="20"/>
          <w:rtl/>
        </w:rPr>
        <w:t>שמא הבאת לו את הפך</w:t>
      </w:r>
      <w:r>
        <w:rPr>
          <w:rFonts w:cs="Arial" w:hint="cs"/>
          <w:sz w:val="20"/>
          <w:szCs w:val="20"/>
          <w:rtl/>
        </w:rPr>
        <w:t xml:space="preserve">?" </w:t>
      </w:r>
      <w:r w:rsidRPr="00515A3E">
        <w:rPr>
          <w:rFonts w:cs="Arial" w:hint="cs"/>
          <w:b/>
          <w:bCs/>
          <w:sz w:val="20"/>
          <w:szCs w:val="20"/>
          <w:rtl/>
        </w:rPr>
        <w:t>תוספות</w:t>
      </w:r>
      <w:r>
        <w:rPr>
          <w:rFonts w:cs="Arial" w:hint="cs"/>
          <w:sz w:val="20"/>
          <w:szCs w:val="20"/>
          <w:rtl/>
        </w:rPr>
        <w:t xml:space="preserve">. דוחה את הראיה, אליהו הקפיד שמא נגע בה. </w:t>
      </w:r>
      <w:r w:rsidRPr="00515A3E">
        <w:rPr>
          <w:rFonts w:cs="Arial" w:hint="cs"/>
          <w:b/>
          <w:bCs/>
          <w:sz w:val="20"/>
          <w:szCs w:val="20"/>
          <w:rtl/>
        </w:rPr>
        <w:t>רא"ש</w:t>
      </w:r>
      <w:r>
        <w:rPr>
          <w:rFonts w:cs="Arial" w:hint="cs"/>
          <w:sz w:val="20"/>
          <w:szCs w:val="20"/>
          <w:rtl/>
        </w:rPr>
        <w:t xml:space="preserve">. מיישב, אליהו הקפיד על עצם ההעברה, משום שע"י כך עלול לגעת. </w:t>
      </w:r>
      <w:r w:rsidRPr="00515A3E">
        <w:rPr>
          <w:rFonts w:cs="Arial" w:hint="cs"/>
          <w:b/>
          <w:bCs/>
          <w:sz w:val="20"/>
          <w:szCs w:val="20"/>
          <w:rtl/>
        </w:rPr>
        <w:t>רמב"ם</w:t>
      </w:r>
      <w:r>
        <w:rPr>
          <w:rFonts w:cs="Arial" w:hint="cs"/>
          <w:sz w:val="20"/>
          <w:szCs w:val="20"/>
          <w:rtl/>
        </w:rPr>
        <w:t xml:space="preserve">. </w:t>
      </w:r>
      <w:r>
        <w:rPr>
          <w:rFonts w:hint="cs"/>
          <w:sz w:val="20"/>
          <w:szCs w:val="20"/>
          <w:rtl/>
        </w:rPr>
        <w:t xml:space="preserve">אין לנידה לתת כוס לבעלה. מדייק </w:t>
      </w:r>
      <w:r w:rsidRPr="00515A3E">
        <w:rPr>
          <w:rFonts w:hint="cs"/>
          <w:b/>
          <w:bCs/>
          <w:sz w:val="20"/>
          <w:szCs w:val="20"/>
          <w:rtl/>
        </w:rPr>
        <w:t>המגיד משנה</w:t>
      </w:r>
      <w:r>
        <w:rPr>
          <w:rFonts w:hint="cs"/>
          <w:sz w:val="20"/>
          <w:szCs w:val="20"/>
          <w:rtl/>
        </w:rPr>
        <w:t>. העברת חפץ אחר מותרת.</w:t>
      </w:r>
      <w:r>
        <w:rPr>
          <w:rFonts w:hint="cs"/>
          <w:sz w:val="20"/>
          <w:szCs w:val="20"/>
          <w:rtl/>
        </w:rPr>
        <w:br/>
        <w:t xml:space="preserve">3. </w:t>
      </w:r>
      <w:r w:rsidRPr="00515A3E">
        <w:rPr>
          <w:rFonts w:hint="cs"/>
          <w:b/>
          <w:bCs/>
          <w:sz w:val="20"/>
          <w:szCs w:val="20"/>
          <w:rtl/>
        </w:rPr>
        <w:t>רבינו ירוחם</w:t>
      </w:r>
      <w:r>
        <w:rPr>
          <w:rFonts w:hint="cs"/>
          <w:sz w:val="20"/>
          <w:szCs w:val="20"/>
          <w:rtl/>
        </w:rPr>
        <w:t xml:space="preserve">. נכון להחמיר אפילו בחפץ ארוך, וכ"פ </w:t>
      </w:r>
      <w:r w:rsidRPr="00515A3E">
        <w:rPr>
          <w:rFonts w:hint="cs"/>
          <w:b/>
          <w:bCs/>
          <w:sz w:val="20"/>
          <w:szCs w:val="20"/>
          <w:rtl/>
        </w:rPr>
        <w:t>הש"ך</w:t>
      </w:r>
      <w:r>
        <w:rPr>
          <w:rFonts w:hint="cs"/>
          <w:sz w:val="20"/>
          <w:szCs w:val="20"/>
          <w:rtl/>
        </w:rPr>
        <w:t xml:space="preserve">. </w:t>
      </w:r>
      <w:r w:rsidRPr="00515A3E">
        <w:rPr>
          <w:rFonts w:hint="cs"/>
          <w:b/>
          <w:bCs/>
          <w:sz w:val="20"/>
          <w:szCs w:val="20"/>
          <w:rtl/>
        </w:rPr>
        <w:t>טעם</w:t>
      </w:r>
      <w:r>
        <w:rPr>
          <w:rFonts w:hint="cs"/>
          <w:sz w:val="20"/>
          <w:szCs w:val="20"/>
          <w:rtl/>
        </w:rPr>
        <w:t>. שמא ייגע בה.</w:t>
      </w:r>
      <w:r>
        <w:rPr>
          <w:rFonts w:hint="cs"/>
          <w:sz w:val="20"/>
          <w:szCs w:val="20"/>
          <w:rtl/>
        </w:rPr>
        <w:br/>
        <w:t xml:space="preserve">4. </w:t>
      </w:r>
      <w:r w:rsidRPr="00515A3E">
        <w:rPr>
          <w:rFonts w:hint="cs"/>
          <w:b/>
          <w:bCs/>
          <w:sz w:val="20"/>
          <w:szCs w:val="20"/>
          <w:rtl/>
        </w:rPr>
        <w:t>בנימין זאב</w:t>
      </w:r>
      <w:r>
        <w:rPr>
          <w:rFonts w:hint="cs"/>
          <w:sz w:val="20"/>
          <w:szCs w:val="20"/>
          <w:rtl/>
        </w:rPr>
        <w:t xml:space="preserve">. אין להעביר חפץ אפילו בזריקה, וכ"פ </w:t>
      </w:r>
      <w:r w:rsidRPr="00515A3E">
        <w:rPr>
          <w:rFonts w:hint="cs"/>
          <w:b/>
          <w:bCs/>
          <w:sz w:val="20"/>
          <w:szCs w:val="20"/>
          <w:rtl/>
        </w:rPr>
        <w:t>הרמ"א</w:t>
      </w:r>
      <w:r>
        <w:rPr>
          <w:rFonts w:hint="cs"/>
          <w:sz w:val="20"/>
          <w:szCs w:val="20"/>
          <w:rtl/>
        </w:rPr>
        <w:t>.</w:t>
      </w:r>
      <w:r>
        <w:rPr>
          <w:rFonts w:hint="cs"/>
          <w:sz w:val="20"/>
          <w:szCs w:val="20"/>
          <w:rtl/>
        </w:rPr>
        <w:br/>
        <w:t>5</w:t>
      </w:r>
      <w:r w:rsidRPr="00E6787A">
        <w:rPr>
          <w:rFonts w:hint="cs"/>
          <w:sz w:val="20"/>
          <w:szCs w:val="20"/>
          <w:rtl/>
        </w:rPr>
        <w:t xml:space="preserve">. נגיעה והסתכלות בשעת טבילה. </w:t>
      </w:r>
      <w:r w:rsidRPr="00E6787A">
        <w:rPr>
          <w:rFonts w:hint="cs"/>
          <w:b/>
          <w:bCs/>
          <w:sz w:val="20"/>
          <w:szCs w:val="20"/>
          <w:rtl/>
        </w:rPr>
        <w:t>נוב</w:t>
      </w:r>
      <w:r w:rsidRPr="00515A3E">
        <w:rPr>
          <w:rFonts w:hint="cs"/>
          <w:b/>
          <w:bCs/>
          <w:sz w:val="20"/>
          <w:szCs w:val="20"/>
          <w:rtl/>
        </w:rPr>
        <w:t>"י</w:t>
      </w:r>
      <w:r>
        <w:rPr>
          <w:rFonts w:hint="cs"/>
          <w:sz w:val="20"/>
          <w:szCs w:val="20"/>
          <w:rtl/>
        </w:rPr>
        <w:t xml:space="preserve">. כשאין אפשרות אחרת, מותר לבעל לסייע לאשתו בטבילה, בין ע"י נגיעה ובין ע"י הסתכלות. </w:t>
      </w:r>
      <w:r w:rsidRPr="00515A3E">
        <w:rPr>
          <w:rFonts w:hint="cs"/>
          <w:b/>
          <w:bCs/>
          <w:sz w:val="20"/>
          <w:szCs w:val="20"/>
          <w:rtl/>
        </w:rPr>
        <w:t>טעם</w:t>
      </w:r>
      <w:r>
        <w:rPr>
          <w:rFonts w:hint="cs"/>
          <w:sz w:val="20"/>
          <w:szCs w:val="20"/>
          <w:rtl/>
        </w:rPr>
        <w:t>. אין לחוש להרגל עבירה, משום שתכף תהיה מותרת לו.</w:t>
      </w:r>
      <w:r>
        <w:rPr>
          <w:rFonts w:hint="cs"/>
          <w:sz w:val="20"/>
          <w:szCs w:val="20"/>
          <w:rtl/>
        </w:rPr>
        <w:br/>
        <w:t xml:space="preserve">6. </w:t>
      </w:r>
      <w:r w:rsidRPr="00515A3E">
        <w:rPr>
          <w:rFonts w:hint="cs"/>
          <w:b/>
          <w:bCs/>
          <w:sz w:val="20"/>
          <w:szCs w:val="20"/>
          <w:rtl/>
        </w:rPr>
        <w:t>שמש צדקה</w:t>
      </w:r>
      <w:r>
        <w:rPr>
          <w:rFonts w:hint="cs"/>
          <w:sz w:val="20"/>
          <w:szCs w:val="20"/>
          <w:rtl/>
        </w:rPr>
        <w:t>. מותר לגעת באשתו נידה שנפטרה.</w:t>
      </w:r>
      <w:r>
        <w:rPr>
          <w:rFonts w:hint="cs"/>
          <w:sz w:val="20"/>
          <w:szCs w:val="20"/>
          <w:rtl/>
        </w:rPr>
        <w:br/>
        <w:t xml:space="preserve">7. </w:t>
      </w:r>
      <w:r w:rsidRPr="00515A3E">
        <w:rPr>
          <w:rFonts w:hint="cs"/>
          <w:b/>
          <w:bCs/>
          <w:sz w:val="20"/>
          <w:szCs w:val="20"/>
          <w:rtl/>
        </w:rPr>
        <w:t>תשב"ץ</w:t>
      </w:r>
      <w:r>
        <w:rPr>
          <w:rFonts w:hint="cs"/>
          <w:sz w:val="20"/>
          <w:szCs w:val="20"/>
          <w:rtl/>
        </w:rPr>
        <w:t xml:space="preserve">. אין לגעת בבגדי אשתו בשעה שהיא לבושה בהם, אך כשאינה לבושה מותר. </w:t>
      </w:r>
      <w:r>
        <w:rPr>
          <w:sz w:val="20"/>
          <w:szCs w:val="20"/>
          <w:rtl/>
        </w:rPr>
        <w:br/>
      </w:r>
      <w:r>
        <w:rPr>
          <w:rFonts w:hint="cs"/>
          <w:sz w:val="20"/>
          <w:szCs w:val="20"/>
          <w:rtl/>
        </w:rPr>
        <w:t xml:space="preserve">8. </w:t>
      </w:r>
      <w:r w:rsidRPr="00515A3E">
        <w:rPr>
          <w:rFonts w:hint="cs"/>
          <w:b/>
          <w:bCs/>
          <w:sz w:val="20"/>
          <w:szCs w:val="20"/>
          <w:rtl/>
        </w:rPr>
        <w:t>ערוה"ש וטה"ב</w:t>
      </w:r>
      <w:r>
        <w:rPr>
          <w:rFonts w:hint="cs"/>
          <w:sz w:val="20"/>
          <w:szCs w:val="20"/>
          <w:rtl/>
        </w:rPr>
        <w:t>. יש להקפיד שאף בגדיו לא ייגעו בבגדי אשתו.</w:t>
      </w:r>
      <w:r>
        <w:rPr>
          <w:sz w:val="20"/>
          <w:szCs w:val="20"/>
          <w:rtl/>
        </w:rPr>
        <w:br/>
      </w:r>
      <w:r>
        <w:rPr>
          <w:rFonts w:hint="cs"/>
          <w:sz w:val="20"/>
          <w:szCs w:val="20"/>
          <w:rtl/>
        </w:rPr>
        <w:t xml:space="preserve">9. </w:t>
      </w:r>
      <w:r w:rsidRPr="00515A3E">
        <w:rPr>
          <w:rFonts w:hint="cs"/>
          <w:b/>
          <w:bCs/>
          <w:sz w:val="20"/>
          <w:szCs w:val="20"/>
          <w:rtl/>
        </w:rPr>
        <w:t>יד אליהו</w:t>
      </w:r>
      <w:r>
        <w:rPr>
          <w:rFonts w:hint="cs"/>
          <w:sz w:val="20"/>
          <w:szCs w:val="20"/>
          <w:rtl/>
        </w:rPr>
        <w:t xml:space="preserve">. אין להדליק נר מנר ואין להתחמם מנר שאוחז בן הזוג. </w:t>
      </w:r>
      <w:r w:rsidRPr="00515A3E">
        <w:rPr>
          <w:rFonts w:hint="cs"/>
          <w:b/>
          <w:bCs/>
          <w:sz w:val="20"/>
          <w:szCs w:val="20"/>
          <w:rtl/>
        </w:rPr>
        <w:t>טעם</w:t>
      </w:r>
      <w:r>
        <w:rPr>
          <w:rFonts w:hint="cs"/>
          <w:sz w:val="20"/>
          <w:szCs w:val="20"/>
          <w:rtl/>
        </w:rPr>
        <w:t xml:space="preserve">. ההבל מחבר. </w:t>
      </w:r>
      <w:r w:rsidRPr="00515A3E">
        <w:rPr>
          <w:rFonts w:hint="cs"/>
          <w:b/>
          <w:bCs/>
          <w:sz w:val="20"/>
          <w:szCs w:val="20"/>
          <w:rtl/>
        </w:rPr>
        <w:t>בדה"ש</w:t>
      </w:r>
      <w:r>
        <w:rPr>
          <w:rFonts w:hint="cs"/>
          <w:sz w:val="20"/>
          <w:szCs w:val="20"/>
          <w:rtl/>
        </w:rPr>
        <w:t xml:space="preserve">. מותר לאחוז נר כדי שהשני יוכל לקרוא לאורו. </w:t>
      </w:r>
      <w:r w:rsidRPr="00515A3E">
        <w:rPr>
          <w:rFonts w:hint="cs"/>
          <w:b/>
          <w:bCs/>
          <w:sz w:val="20"/>
          <w:szCs w:val="20"/>
          <w:rtl/>
        </w:rPr>
        <w:t>אג"מ</w:t>
      </w:r>
      <w:r>
        <w:rPr>
          <w:rFonts w:hint="cs"/>
          <w:sz w:val="20"/>
          <w:szCs w:val="20"/>
          <w:rtl/>
        </w:rPr>
        <w:t xml:space="preserve">. מותר לאשה לאחוז את נר ההבדלה. </w:t>
      </w:r>
      <w:r w:rsidRPr="00515A3E">
        <w:rPr>
          <w:rFonts w:hint="cs"/>
          <w:b/>
          <w:bCs/>
          <w:sz w:val="20"/>
          <w:szCs w:val="20"/>
          <w:rtl/>
        </w:rPr>
        <w:t>טעם</w:t>
      </w:r>
      <w:r>
        <w:rPr>
          <w:rFonts w:hint="cs"/>
          <w:sz w:val="20"/>
          <w:szCs w:val="20"/>
          <w:rtl/>
        </w:rPr>
        <w:t>. משתמש באור ולא בהבל.</w:t>
      </w:r>
      <w:r>
        <w:rPr>
          <w:rFonts w:hint="cs"/>
          <w:sz w:val="20"/>
          <w:szCs w:val="20"/>
          <w:rtl/>
        </w:rPr>
        <w:br/>
        <w:t xml:space="preserve">10. </w:t>
      </w:r>
      <w:r w:rsidRPr="00515A3E">
        <w:rPr>
          <w:rFonts w:hint="cs"/>
          <w:b/>
          <w:bCs/>
          <w:sz w:val="20"/>
          <w:szCs w:val="20"/>
          <w:rtl/>
        </w:rPr>
        <w:t>תשב"ץ</w:t>
      </w:r>
      <w:r>
        <w:rPr>
          <w:rFonts w:hint="cs"/>
          <w:sz w:val="20"/>
          <w:szCs w:val="20"/>
          <w:rtl/>
        </w:rPr>
        <w:t xml:space="preserve">. מותר להעביר תינוק מידו לידה. </w:t>
      </w:r>
      <w:r w:rsidRPr="00515A3E">
        <w:rPr>
          <w:rFonts w:hint="cs"/>
          <w:b/>
          <w:bCs/>
          <w:sz w:val="20"/>
          <w:szCs w:val="20"/>
          <w:rtl/>
        </w:rPr>
        <w:t>טעם</w:t>
      </w:r>
      <w:r>
        <w:rPr>
          <w:rFonts w:hint="cs"/>
          <w:sz w:val="20"/>
          <w:szCs w:val="20"/>
          <w:rtl/>
        </w:rPr>
        <w:t xml:space="preserve">. 'חי נושא את עצמו'. </w:t>
      </w:r>
      <w:r w:rsidRPr="00515A3E">
        <w:rPr>
          <w:rFonts w:hint="cs"/>
          <w:b/>
          <w:bCs/>
          <w:sz w:val="20"/>
          <w:szCs w:val="20"/>
          <w:rtl/>
        </w:rPr>
        <w:t>פת"ש</w:t>
      </w:r>
      <w:r>
        <w:rPr>
          <w:rFonts w:hint="cs"/>
          <w:sz w:val="20"/>
          <w:szCs w:val="20"/>
          <w:rtl/>
        </w:rPr>
        <w:t xml:space="preserve">. מדובר בתינוק גדול קצת, בקטן אין אומרים 'חי נושא את עצמו'. </w:t>
      </w:r>
      <w:r w:rsidRPr="005D28E2">
        <w:rPr>
          <w:rFonts w:hint="cs"/>
          <w:b/>
          <w:bCs/>
          <w:sz w:val="20"/>
          <w:szCs w:val="20"/>
          <w:rtl/>
        </w:rPr>
        <w:t>טה"ב</w:t>
      </w:r>
      <w:r>
        <w:rPr>
          <w:rFonts w:hint="cs"/>
          <w:sz w:val="20"/>
          <w:szCs w:val="20"/>
          <w:rtl/>
        </w:rPr>
        <w:t xml:space="preserve">. גם בתינוק קטן מותר, ובלבד שיוצא מעצמו מחיק אמו לחיק אביו. ואמנם, רק לצורך מותר אך לא לשחוק. </w:t>
      </w:r>
      <w:r w:rsidRPr="005D28E2">
        <w:rPr>
          <w:rFonts w:hint="cs"/>
          <w:b/>
          <w:bCs/>
          <w:sz w:val="20"/>
          <w:szCs w:val="20"/>
          <w:rtl/>
        </w:rPr>
        <w:t>טעם</w:t>
      </w:r>
      <w:r>
        <w:rPr>
          <w:rFonts w:hint="cs"/>
          <w:sz w:val="20"/>
          <w:szCs w:val="20"/>
          <w:rtl/>
        </w:rPr>
        <w:t>. זו דרך חיבה.</w:t>
      </w:r>
      <w:r>
        <w:rPr>
          <w:sz w:val="20"/>
          <w:szCs w:val="20"/>
          <w:rtl/>
        </w:rPr>
        <w:br/>
      </w:r>
      <w:r w:rsidRPr="00E6787A">
        <w:rPr>
          <w:rFonts w:hint="cs"/>
          <w:sz w:val="20"/>
          <w:szCs w:val="20"/>
          <w:rtl/>
        </w:rPr>
        <w:t>1</w:t>
      </w:r>
      <w:r>
        <w:rPr>
          <w:rFonts w:hint="cs"/>
          <w:sz w:val="20"/>
          <w:szCs w:val="20"/>
          <w:rtl/>
        </w:rPr>
        <w:t>1</w:t>
      </w:r>
      <w:r w:rsidRPr="00E6787A">
        <w:rPr>
          <w:rFonts w:hint="cs"/>
          <w:sz w:val="20"/>
          <w:szCs w:val="20"/>
          <w:rtl/>
        </w:rPr>
        <w:t>. זריקה כלפי מעלה</w:t>
      </w:r>
      <w:r>
        <w:rPr>
          <w:rFonts w:hint="cs"/>
          <w:sz w:val="20"/>
          <w:szCs w:val="20"/>
          <w:rtl/>
        </w:rPr>
        <w:t xml:space="preserve">. </w:t>
      </w:r>
      <w:r w:rsidRPr="00515A3E">
        <w:rPr>
          <w:rFonts w:hint="cs"/>
          <w:b/>
          <w:bCs/>
          <w:sz w:val="20"/>
          <w:szCs w:val="20"/>
          <w:rtl/>
        </w:rPr>
        <w:t>כו"פ</w:t>
      </w:r>
      <w:r>
        <w:rPr>
          <w:rFonts w:hint="cs"/>
          <w:sz w:val="20"/>
          <w:szCs w:val="20"/>
          <w:rtl/>
        </w:rPr>
        <w:t xml:space="preserve">. מותר לזרוק לנוכח אשתו כלפי מעלה והיא תופסת. </w:t>
      </w:r>
      <w:r w:rsidRPr="00515A3E">
        <w:rPr>
          <w:rFonts w:hint="cs"/>
          <w:b/>
          <w:bCs/>
          <w:sz w:val="20"/>
          <w:szCs w:val="20"/>
          <w:rtl/>
        </w:rPr>
        <w:t>סד"ט</w:t>
      </w:r>
      <w:r>
        <w:rPr>
          <w:rFonts w:hint="cs"/>
          <w:sz w:val="20"/>
          <w:szCs w:val="20"/>
          <w:rtl/>
        </w:rPr>
        <w:t>. למעשה אין להתיר.</w:t>
      </w:r>
      <w:r>
        <w:rPr>
          <w:rFonts w:hint="cs"/>
          <w:sz w:val="20"/>
          <w:szCs w:val="20"/>
          <w:rtl/>
        </w:rPr>
        <w:br/>
      </w:r>
      <w:r w:rsidRPr="00FD3A5C">
        <w:rPr>
          <w:rFonts w:hint="cs"/>
          <w:b/>
          <w:bCs/>
          <w:sz w:val="20"/>
          <w:szCs w:val="20"/>
          <w:rtl/>
        </w:rPr>
        <w:t>דרכ"ט</w:t>
      </w:r>
      <w:r>
        <w:rPr>
          <w:rFonts w:hint="cs"/>
          <w:sz w:val="20"/>
          <w:szCs w:val="20"/>
          <w:rtl/>
        </w:rPr>
        <w:t>. אם תתבייש כשידעו שהיא נידה מותר, וייזהרו שלא ייגעו ולכן לא ייקח מתוך ידה אלא תניח היא בידו.</w:t>
      </w:r>
      <w:r>
        <w:rPr>
          <w:sz w:val="20"/>
          <w:szCs w:val="20"/>
          <w:rtl/>
        </w:rPr>
        <w:br/>
      </w:r>
      <w:r>
        <w:rPr>
          <w:rFonts w:hint="cs"/>
          <w:sz w:val="20"/>
          <w:szCs w:val="20"/>
          <w:rtl/>
        </w:rPr>
        <w:lastRenderedPageBreak/>
        <w:t xml:space="preserve">12. </w:t>
      </w:r>
      <w:r w:rsidRPr="00515A3E">
        <w:rPr>
          <w:rFonts w:hint="cs"/>
          <w:b/>
          <w:bCs/>
          <w:sz w:val="20"/>
          <w:szCs w:val="20"/>
          <w:rtl/>
        </w:rPr>
        <w:t>מנח"י</w:t>
      </w:r>
      <w:r>
        <w:rPr>
          <w:rFonts w:hint="cs"/>
          <w:sz w:val="20"/>
          <w:szCs w:val="20"/>
          <w:rtl/>
        </w:rPr>
        <w:t xml:space="preserve">. אין לבעל להסיר לכלוך מבגד אשתו, זו קרבה. </w:t>
      </w:r>
      <w:r w:rsidRPr="00515A3E">
        <w:rPr>
          <w:rFonts w:hint="cs"/>
          <w:b/>
          <w:bCs/>
          <w:sz w:val="20"/>
          <w:szCs w:val="20"/>
          <w:rtl/>
        </w:rPr>
        <w:t>כו"פ</w:t>
      </w:r>
      <w:r>
        <w:rPr>
          <w:rFonts w:hint="cs"/>
          <w:sz w:val="20"/>
          <w:szCs w:val="20"/>
          <w:rtl/>
        </w:rPr>
        <w:t>. מותר.</w:t>
      </w:r>
      <w:r>
        <w:rPr>
          <w:sz w:val="20"/>
          <w:szCs w:val="20"/>
          <w:rtl/>
        </w:rPr>
        <w:br/>
      </w:r>
      <w:r>
        <w:rPr>
          <w:b/>
          <w:bCs/>
          <w:sz w:val="20"/>
          <w:szCs w:val="20"/>
          <w:rtl/>
        </w:rPr>
        <w:br/>
      </w:r>
      <w:r>
        <w:rPr>
          <w:rFonts w:hint="cs"/>
          <w:b/>
          <w:bCs/>
          <w:sz w:val="20"/>
          <w:szCs w:val="20"/>
          <w:rtl/>
        </w:rPr>
        <w:t>הוספות</w:t>
      </w:r>
      <w:r>
        <w:rPr>
          <w:b/>
          <w:bCs/>
          <w:sz w:val="20"/>
          <w:szCs w:val="20"/>
          <w:rtl/>
        </w:rPr>
        <w:br/>
      </w:r>
      <w:r>
        <w:rPr>
          <w:rFonts w:hint="cs"/>
          <w:sz w:val="20"/>
          <w:szCs w:val="20"/>
          <w:u w:val="single"/>
          <w:rtl/>
        </w:rPr>
        <w:t>החזקת מטריה עבור בן הזוג</w:t>
      </w:r>
      <w:r>
        <w:rPr>
          <w:sz w:val="20"/>
          <w:szCs w:val="20"/>
          <w:u w:val="single"/>
          <w:rtl/>
        </w:rPr>
        <w:br/>
      </w:r>
      <w:r w:rsidRPr="006B47EE">
        <w:rPr>
          <w:rFonts w:hint="cs"/>
          <w:b/>
          <w:bCs/>
          <w:sz w:val="20"/>
          <w:szCs w:val="20"/>
          <w:rtl/>
        </w:rPr>
        <w:t>ב</w:t>
      </w:r>
      <w:r>
        <w:rPr>
          <w:rFonts w:hint="cs"/>
          <w:b/>
          <w:bCs/>
          <w:sz w:val="20"/>
          <w:szCs w:val="20"/>
          <w:rtl/>
        </w:rPr>
        <w:t>די</w:t>
      </w:r>
      <w:r w:rsidRPr="006B47EE">
        <w:rPr>
          <w:rFonts w:hint="cs"/>
          <w:b/>
          <w:bCs/>
          <w:sz w:val="20"/>
          <w:szCs w:val="20"/>
          <w:rtl/>
        </w:rPr>
        <w:t xml:space="preserve"> השולחן</w:t>
      </w:r>
      <w:r>
        <w:rPr>
          <w:rFonts w:hint="cs"/>
          <w:sz w:val="20"/>
          <w:szCs w:val="20"/>
          <w:rtl/>
        </w:rPr>
        <w:t xml:space="preserve"> </w:t>
      </w:r>
      <w:r>
        <w:rPr>
          <w:sz w:val="20"/>
          <w:szCs w:val="20"/>
          <w:rtl/>
        </w:rPr>
        <w:t>–</w:t>
      </w:r>
      <w:r>
        <w:rPr>
          <w:rFonts w:hint="cs"/>
          <w:sz w:val="20"/>
          <w:szCs w:val="20"/>
          <w:rtl/>
        </w:rPr>
        <w:t xml:space="preserve"> נראה שמותר לאחד לאחוז מטרייה עבור השני, ובלבד שייזהרו לא לגעת זה בזה.</w:t>
      </w:r>
    </w:p>
    <w:p w:rsidR="00620060" w:rsidRPr="004C71AB" w:rsidRDefault="00620060" w:rsidP="00620060">
      <w:pPr>
        <w:rPr>
          <w:sz w:val="20"/>
          <w:szCs w:val="20"/>
          <w:rtl/>
        </w:rPr>
      </w:pPr>
      <w:r>
        <w:rPr>
          <w:rFonts w:hint="cs"/>
          <w:sz w:val="20"/>
          <w:szCs w:val="20"/>
          <w:u w:val="single"/>
          <w:rtl/>
        </w:rPr>
        <w:t xml:space="preserve">מסירת התינוק מידו לידה בברית מילה (טה"ב חלק ב עמ' צט </w:t>
      </w:r>
      <w:r>
        <w:rPr>
          <w:sz w:val="20"/>
          <w:szCs w:val="20"/>
          <w:u w:val="single"/>
          <w:rtl/>
        </w:rPr>
        <w:t>–</w:t>
      </w:r>
      <w:r>
        <w:rPr>
          <w:rFonts w:hint="cs"/>
          <w:sz w:val="20"/>
          <w:szCs w:val="20"/>
          <w:u w:val="single"/>
          <w:rtl/>
        </w:rPr>
        <w:t xml:space="preserve"> קג)</w:t>
      </w:r>
      <w:r>
        <w:rPr>
          <w:rFonts w:hint="cs"/>
          <w:sz w:val="20"/>
          <w:szCs w:val="20"/>
          <w:u w:val="single"/>
          <w:rtl/>
        </w:rPr>
        <w:br/>
      </w:r>
      <w:r>
        <w:rPr>
          <w:rFonts w:hint="cs"/>
          <w:sz w:val="20"/>
          <w:szCs w:val="20"/>
          <w:rtl/>
        </w:rPr>
        <w:t>האם מותר ליולדת למסור את התינוק לבעלה בברית המילה?</w:t>
      </w:r>
      <w:r>
        <w:rPr>
          <w:rFonts w:hint="cs"/>
          <w:sz w:val="20"/>
          <w:szCs w:val="20"/>
          <w:rtl/>
        </w:rPr>
        <w:br/>
      </w:r>
      <w:r w:rsidRPr="004C71AB">
        <w:rPr>
          <w:rFonts w:hint="cs"/>
          <w:sz w:val="20"/>
          <w:szCs w:val="20"/>
          <w:rtl/>
        </w:rPr>
        <w:t xml:space="preserve">א. </w:t>
      </w:r>
      <w:r w:rsidRPr="0036797C">
        <w:rPr>
          <w:rFonts w:hint="cs"/>
          <w:b/>
          <w:bCs/>
          <w:sz w:val="20"/>
          <w:szCs w:val="20"/>
          <w:rtl/>
        </w:rPr>
        <w:t>בדי השולחן</w:t>
      </w:r>
      <w:r w:rsidRPr="004C71AB">
        <w:rPr>
          <w:rFonts w:hint="cs"/>
          <w:sz w:val="20"/>
          <w:szCs w:val="20"/>
          <w:rtl/>
        </w:rPr>
        <w:t xml:space="preserve"> </w:t>
      </w:r>
      <w:r w:rsidRPr="004C71AB">
        <w:rPr>
          <w:rFonts w:hint="cs"/>
          <w:sz w:val="18"/>
          <w:szCs w:val="18"/>
          <w:rtl/>
        </w:rPr>
        <w:t xml:space="preserve">(וכן מנהג האשכנזים) </w:t>
      </w:r>
      <w:r w:rsidRPr="004C71AB">
        <w:rPr>
          <w:sz w:val="20"/>
          <w:szCs w:val="20"/>
          <w:rtl/>
        </w:rPr>
        <w:t>–</w:t>
      </w:r>
      <w:r w:rsidRPr="004C71AB">
        <w:rPr>
          <w:rFonts w:hint="cs"/>
          <w:sz w:val="20"/>
          <w:szCs w:val="20"/>
          <w:rtl/>
        </w:rPr>
        <w:t xml:space="preserve"> אסור.</w:t>
      </w:r>
      <w:r>
        <w:rPr>
          <w:rFonts w:hint="cs"/>
          <w:sz w:val="20"/>
          <w:szCs w:val="20"/>
          <w:u w:val="single"/>
          <w:rtl/>
        </w:rPr>
        <w:br/>
      </w:r>
      <w:r>
        <w:rPr>
          <w:rFonts w:hint="cs"/>
          <w:sz w:val="20"/>
          <w:szCs w:val="20"/>
          <w:rtl/>
        </w:rPr>
        <w:t xml:space="preserve">ב. </w:t>
      </w:r>
      <w:r w:rsidRPr="0036797C">
        <w:rPr>
          <w:rFonts w:hint="cs"/>
          <w:b/>
          <w:bCs/>
          <w:sz w:val="20"/>
          <w:szCs w:val="20"/>
          <w:rtl/>
        </w:rPr>
        <w:t>חיד"א וטהרת הבית</w:t>
      </w:r>
      <w:r>
        <w:rPr>
          <w:rFonts w:hint="cs"/>
          <w:sz w:val="20"/>
          <w:szCs w:val="20"/>
          <w:rtl/>
        </w:rPr>
        <w:t xml:space="preserve"> </w:t>
      </w:r>
      <w:r>
        <w:rPr>
          <w:sz w:val="20"/>
          <w:szCs w:val="20"/>
          <w:rtl/>
        </w:rPr>
        <w:t>–</w:t>
      </w:r>
      <w:r>
        <w:rPr>
          <w:rFonts w:hint="cs"/>
          <w:sz w:val="20"/>
          <w:szCs w:val="20"/>
          <w:rtl/>
        </w:rPr>
        <w:t xml:space="preserve"> מותר, ובלבד שהתינוק יהיה מונח על שתי כריות, והאשה אוחזת תחת הכרית התחתונה ובעלה נוטל את הכרית העליונה </w:t>
      </w:r>
      <w:r w:rsidRPr="004C71AB">
        <w:rPr>
          <w:rFonts w:hint="cs"/>
          <w:sz w:val="18"/>
          <w:szCs w:val="18"/>
          <w:rtl/>
        </w:rPr>
        <w:t xml:space="preserve">(שהתינוק עליה) </w:t>
      </w:r>
      <w:r>
        <w:rPr>
          <w:rFonts w:hint="cs"/>
          <w:sz w:val="20"/>
          <w:szCs w:val="20"/>
          <w:rtl/>
        </w:rPr>
        <w:t>באופן שהכרית התחתונה נשארת ביד האשה</w:t>
      </w:r>
      <w:r>
        <w:rPr>
          <w:rStyle w:val="a5"/>
          <w:sz w:val="20"/>
          <w:szCs w:val="20"/>
          <w:rtl/>
        </w:rPr>
        <w:footnoteReference w:id="441"/>
      </w:r>
      <w:r>
        <w:rPr>
          <w:rFonts w:hint="cs"/>
          <w:sz w:val="20"/>
          <w:szCs w:val="20"/>
          <w:rtl/>
        </w:rPr>
        <w:t>.</w:t>
      </w:r>
      <w:r>
        <w:rPr>
          <w:rFonts w:hint="cs"/>
          <w:sz w:val="20"/>
          <w:szCs w:val="20"/>
          <w:rtl/>
        </w:rPr>
        <w:br/>
        <w:t xml:space="preserve">ג. </w:t>
      </w:r>
      <w:r w:rsidRPr="00E97107">
        <w:rPr>
          <w:rFonts w:hint="cs"/>
          <w:b/>
          <w:bCs/>
          <w:sz w:val="20"/>
          <w:szCs w:val="20"/>
          <w:rtl/>
        </w:rPr>
        <w:t>דרכי טהרה</w:t>
      </w:r>
      <w:r>
        <w:rPr>
          <w:rFonts w:hint="cs"/>
          <w:sz w:val="20"/>
          <w:szCs w:val="20"/>
          <w:rtl/>
        </w:rPr>
        <w:t xml:space="preserve"> </w:t>
      </w:r>
      <w:r>
        <w:rPr>
          <w:sz w:val="20"/>
          <w:szCs w:val="20"/>
          <w:rtl/>
        </w:rPr>
        <w:t>–</w:t>
      </w:r>
      <w:r>
        <w:rPr>
          <w:rFonts w:hint="cs"/>
          <w:sz w:val="20"/>
          <w:szCs w:val="20"/>
          <w:rtl/>
        </w:rPr>
        <w:t xml:space="preserve"> ראוי לאסור, אך יש קולות מכיוון שיש רבים בזמן המילה ואין לחשוש להרהור. וכן המנהג בעיר הקודש חברון להעביר תינוק מידו לידה בברית מילה, ומי שנמנע מכך קדוש ייאמר לו.</w:t>
      </w:r>
    </w:p>
    <w:p w:rsidR="00620060" w:rsidRDefault="00620060" w:rsidP="00620060">
      <w:pPr>
        <w:rPr>
          <w:sz w:val="20"/>
          <w:szCs w:val="20"/>
          <w:rtl/>
        </w:rPr>
      </w:pPr>
      <w:r>
        <w:rPr>
          <w:rFonts w:hint="cs"/>
          <w:sz w:val="20"/>
          <w:szCs w:val="20"/>
          <w:u w:val="single"/>
          <w:rtl/>
        </w:rPr>
        <w:t>נתינת חפץ לתוך תיק שאשתו מחזיקה (טהרת הבית עמ' צא, הערה 9)</w:t>
      </w:r>
      <w:r>
        <w:rPr>
          <w:rFonts w:hint="cs"/>
          <w:sz w:val="20"/>
          <w:szCs w:val="20"/>
          <w:u w:val="single"/>
          <w:rtl/>
        </w:rPr>
        <w:br/>
      </w:r>
      <w:r>
        <w:rPr>
          <w:rFonts w:hint="cs"/>
          <w:b/>
          <w:bCs/>
          <w:sz w:val="20"/>
          <w:szCs w:val="20"/>
          <w:rtl/>
        </w:rPr>
        <w:t xml:space="preserve">בדי השולחן </w:t>
      </w:r>
      <w:r>
        <w:rPr>
          <w:sz w:val="20"/>
          <w:szCs w:val="20"/>
          <w:rtl/>
        </w:rPr>
        <w:t>–</w:t>
      </w:r>
      <w:r>
        <w:rPr>
          <w:rFonts w:hint="cs"/>
          <w:sz w:val="20"/>
          <w:szCs w:val="20"/>
          <w:rtl/>
        </w:rPr>
        <w:t xml:space="preserve"> מותר להניח חפץ בתוך כלי או תיק שנמצא בידי בן הזוג.</w:t>
      </w:r>
      <w:r>
        <w:rPr>
          <w:sz w:val="20"/>
          <w:szCs w:val="20"/>
          <w:rtl/>
        </w:rPr>
        <w:br/>
      </w:r>
      <w:r w:rsidRPr="00B00993">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עצם ההושטה היא מחלוקת ודבר חידוש, ולכן אין להוסיף על כך.</w:t>
      </w:r>
    </w:p>
    <w:p w:rsidR="00620060" w:rsidRDefault="00620060" w:rsidP="00620060">
      <w:pPr>
        <w:rPr>
          <w:sz w:val="20"/>
          <w:szCs w:val="20"/>
          <w:rtl/>
        </w:rPr>
      </w:pPr>
      <w:r>
        <w:rPr>
          <w:rFonts w:hint="cs"/>
          <w:sz w:val="20"/>
          <w:szCs w:val="20"/>
          <w:u w:val="single"/>
          <w:rtl/>
        </w:rPr>
        <w:t>דין הושטה כשנמצאים בפני רבים</w:t>
      </w:r>
      <w:r>
        <w:rPr>
          <w:sz w:val="20"/>
          <w:szCs w:val="20"/>
          <w:u w:val="single"/>
          <w:rtl/>
        </w:rPr>
        <w:br/>
      </w:r>
      <w:r w:rsidRPr="004139D8">
        <w:rPr>
          <w:rFonts w:hint="cs"/>
          <w:b/>
          <w:bCs/>
          <w:sz w:val="20"/>
          <w:szCs w:val="20"/>
          <w:rtl/>
        </w:rPr>
        <w:t>מאירי</w:t>
      </w:r>
      <w:r>
        <w:rPr>
          <w:rFonts w:hint="cs"/>
          <w:sz w:val="20"/>
          <w:szCs w:val="20"/>
          <w:rtl/>
        </w:rPr>
        <w:t xml:space="preserve"> </w:t>
      </w:r>
      <w:r w:rsidRPr="004139D8">
        <w:rPr>
          <w:rFonts w:hint="cs"/>
          <w:sz w:val="18"/>
          <w:szCs w:val="18"/>
          <w:rtl/>
        </w:rPr>
        <w:t xml:space="preserve">(הו"ד במשמרת הטהרה עמ' קצט בהערה) </w:t>
      </w:r>
      <w:r>
        <w:rPr>
          <w:sz w:val="20"/>
          <w:szCs w:val="20"/>
          <w:rtl/>
        </w:rPr>
        <w:t>–</w:t>
      </w:r>
      <w:r>
        <w:rPr>
          <w:rFonts w:hint="cs"/>
          <w:sz w:val="20"/>
          <w:szCs w:val="20"/>
          <w:rtl/>
        </w:rPr>
        <w:t xml:space="preserve"> דין הושטה לא נאמר כאשר נמצאים בפני רבים.</w:t>
      </w:r>
      <w:r>
        <w:rPr>
          <w:rFonts w:hint="cs"/>
          <w:sz w:val="20"/>
          <w:szCs w:val="20"/>
          <w:rtl/>
        </w:rPr>
        <w:br/>
        <w:t xml:space="preserve">א. </w:t>
      </w:r>
      <w:r w:rsidRPr="004139D8">
        <w:rPr>
          <w:rFonts w:hint="cs"/>
          <w:b/>
          <w:bCs/>
          <w:sz w:val="20"/>
          <w:szCs w:val="20"/>
          <w:rtl/>
        </w:rPr>
        <w:t>טהרת הבית</w:t>
      </w:r>
      <w:r>
        <w:rPr>
          <w:rFonts w:hint="cs"/>
          <w:sz w:val="20"/>
          <w:szCs w:val="20"/>
          <w:rtl/>
        </w:rPr>
        <w:t xml:space="preserve"> </w:t>
      </w:r>
      <w:r>
        <w:rPr>
          <w:sz w:val="20"/>
          <w:szCs w:val="20"/>
          <w:rtl/>
        </w:rPr>
        <w:t>–</w:t>
      </w:r>
      <w:r>
        <w:rPr>
          <w:rFonts w:hint="cs"/>
          <w:sz w:val="20"/>
          <w:szCs w:val="20"/>
          <w:rtl/>
        </w:rPr>
        <w:t xml:space="preserve"> דברי המאירי לא התקבלו להלכה, אלא העיקר כדעת שאר הראשונים שאין לחלק כך.</w:t>
      </w:r>
      <w:r>
        <w:rPr>
          <w:sz w:val="20"/>
          <w:szCs w:val="20"/>
          <w:rtl/>
        </w:rPr>
        <w:br/>
      </w:r>
      <w:r>
        <w:rPr>
          <w:rFonts w:hint="cs"/>
          <w:sz w:val="20"/>
          <w:szCs w:val="20"/>
          <w:rtl/>
        </w:rPr>
        <w:t xml:space="preserve">וכן פסק </w:t>
      </w:r>
      <w:r w:rsidRPr="004139D8">
        <w:rPr>
          <w:rFonts w:hint="cs"/>
          <w:b/>
          <w:bCs/>
          <w:sz w:val="20"/>
          <w:szCs w:val="20"/>
          <w:rtl/>
        </w:rPr>
        <w:t>האגרות משה</w:t>
      </w:r>
      <w:r>
        <w:rPr>
          <w:rFonts w:hint="cs"/>
          <w:sz w:val="20"/>
          <w:szCs w:val="20"/>
          <w:rtl/>
        </w:rPr>
        <w:t xml:space="preserve"> </w:t>
      </w:r>
      <w:r w:rsidRPr="004139D8">
        <w:rPr>
          <w:rFonts w:hint="cs"/>
          <w:sz w:val="18"/>
          <w:szCs w:val="18"/>
          <w:rtl/>
        </w:rPr>
        <w:t xml:space="preserve">(יו"ד, ב, עז) </w:t>
      </w:r>
      <w:r>
        <w:rPr>
          <w:rFonts w:hint="cs"/>
          <w:sz w:val="20"/>
          <w:szCs w:val="20"/>
          <w:rtl/>
        </w:rPr>
        <w:t>שאף בפני רבים אסור, ואין להתיר מטעם שמתביישת, מפני שהדבר ידוע שכל אשה רואה דם ואסורה בחלק מהחודש.</w:t>
      </w:r>
      <w:r>
        <w:rPr>
          <w:rFonts w:hint="cs"/>
          <w:sz w:val="20"/>
          <w:szCs w:val="20"/>
          <w:rtl/>
        </w:rPr>
        <w:br/>
        <w:t xml:space="preserve">ב. </w:t>
      </w:r>
      <w:r w:rsidRPr="00FD3A5C">
        <w:rPr>
          <w:rFonts w:hint="cs"/>
          <w:b/>
          <w:bCs/>
          <w:sz w:val="20"/>
          <w:szCs w:val="20"/>
          <w:rtl/>
        </w:rPr>
        <w:t>דרכי טהרה</w:t>
      </w:r>
      <w:r>
        <w:rPr>
          <w:rFonts w:hint="cs"/>
          <w:sz w:val="20"/>
          <w:szCs w:val="20"/>
          <w:rtl/>
        </w:rPr>
        <w:t xml:space="preserve"> </w:t>
      </w:r>
      <w:r>
        <w:rPr>
          <w:sz w:val="20"/>
          <w:szCs w:val="20"/>
          <w:rtl/>
        </w:rPr>
        <w:t>–</w:t>
      </w:r>
      <w:r>
        <w:rPr>
          <w:rFonts w:hint="cs"/>
          <w:sz w:val="20"/>
          <w:szCs w:val="20"/>
          <w:rtl/>
        </w:rPr>
        <w:t xml:space="preserve"> אם שכח אחד מבני הזוג והושיט לשני חפץ, מותר לקבל מידו.</w:t>
      </w:r>
      <w:r>
        <w:rPr>
          <w:sz w:val="20"/>
          <w:szCs w:val="20"/>
          <w:rtl/>
        </w:rPr>
        <w:br/>
      </w:r>
      <w:r w:rsidRPr="00FD3A5C">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גדול כבוד הבריות שדוחה את לא תעשה שבתורה, ומכיוון שייגרם ביוש אם ידעו שהיא נידה מותר.</w:t>
      </w:r>
      <w:r>
        <w:rPr>
          <w:sz w:val="20"/>
          <w:szCs w:val="20"/>
          <w:rtl/>
        </w:rPr>
        <w:br/>
      </w:r>
      <w:r>
        <w:rPr>
          <w:rFonts w:hint="cs"/>
          <w:sz w:val="20"/>
          <w:szCs w:val="20"/>
          <w:rtl/>
        </w:rPr>
        <w:t xml:space="preserve">ואמנם, יש לקבל את החפץ בזהירות רבה שלא ייגעו זה בזה, ולכן לא ייקח מתוך ידה אלא תניח היא או תזרוק את החפץ לתוך ידו, משום שבאופן זה קטן חשש הנגיעה. </w:t>
      </w:r>
    </w:p>
    <w:p w:rsidR="00620060" w:rsidRDefault="00620060" w:rsidP="00620060">
      <w:pPr>
        <w:rPr>
          <w:sz w:val="20"/>
          <w:szCs w:val="20"/>
          <w:rtl/>
        </w:rPr>
      </w:pPr>
      <w:r w:rsidRPr="002E5A2B">
        <w:rPr>
          <w:rFonts w:hint="cs"/>
          <w:sz w:val="20"/>
          <w:szCs w:val="20"/>
          <w:u w:val="single"/>
          <w:rtl/>
        </w:rPr>
        <w:t>שימוש במג</w:t>
      </w:r>
      <w:r>
        <w:rPr>
          <w:rFonts w:hint="cs"/>
          <w:sz w:val="20"/>
          <w:szCs w:val="20"/>
          <w:u w:val="single"/>
          <w:rtl/>
        </w:rPr>
        <w:t>ב</w:t>
      </w:r>
      <w:r w:rsidRPr="002E5A2B">
        <w:rPr>
          <w:rFonts w:hint="cs"/>
          <w:sz w:val="20"/>
          <w:szCs w:val="20"/>
          <w:u w:val="single"/>
          <w:rtl/>
        </w:rPr>
        <w:t xml:space="preserve">ת ובבגדים של אשתו (טהרת הבית עמ' צ </w:t>
      </w:r>
      <w:r w:rsidRPr="002E5A2B">
        <w:rPr>
          <w:sz w:val="20"/>
          <w:szCs w:val="20"/>
          <w:u w:val="single"/>
          <w:rtl/>
        </w:rPr>
        <w:t>–</w:t>
      </w:r>
      <w:r w:rsidRPr="002E5A2B">
        <w:rPr>
          <w:rFonts w:hint="cs"/>
          <w:sz w:val="20"/>
          <w:szCs w:val="20"/>
          <w:u w:val="single"/>
          <w:rtl/>
        </w:rPr>
        <w:t xml:space="preserve"> צא)</w:t>
      </w:r>
      <w:r>
        <w:rPr>
          <w:rFonts w:hint="cs"/>
          <w:sz w:val="20"/>
          <w:szCs w:val="20"/>
          <w:u w:val="single"/>
          <w:rtl/>
        </w:rPr>
        <w:br/>
      </w:r>
      <w:r>
        <w:rPr>
          <w:rFonts w:hint="cs"/>
          <w:sz w:val="20"/>
          <w:szCs w:val="20"/>
          <w:rtl/>
        </w:rPr>
        <w:t xml:space="preserve">א. </w:t>
      </w:r>
      <w:r w:rsidRPr="002E5A2B">
        <w:rPr>
          <w:rFonts w:hint="cs"/>
          <w:b/>
          <w:bCs/>
          <w:sz w:val="20"/>
          <w:szCs w:val="20"/>
          <w:rtl/>
        </w:rPr>
        <w:t>כף החיים</w:t>
      </w:r>
      <w:r>
        <w:rPr>
          <w:rFonts w:hint="cs"/>
          <w:sz w:val="20"/>
          <w:szCs w:val="20"/>
          <w:rtl/>
        </w:rPr>
        <w:t xml:space="preserve"> </w:t>
      </w:r>
      <w:r>
        <w:rPr>
          <w:sz w:val="20"/>
          <w:szCs w:val="20"/>
          <w:rtl/>
        </w:rPr>
        <w:t>–</w:t>
      </w:r>
      <w:r>
        <w:rPr>
          <w:rFonts w:hint="cs"/>
          <w:sz w:val="20"/>
          <w:szCs w:val="20"/>
          <w:rtl/>
        </w:rPr>
        <w:t xml:space="preserve"> אין לבעל להשתמש במגבת של אשתו נידה.</w:t>
      </w:r>
      <w:r>
        <w:rPr>
          <w:sz w:val="20"/>
          <w:szCs w:val="20"/>
          <w:rtl/>
        </w:rPr>
        <w:br/>
      </w:r>
      <w:r>
        <w:rPr>
          <w:rFonts w:hint="cs"/>
          <w:sz w:val="20"/>
          <w:szCs w:val="20"/>
          <w:rtl/>
        </w:rPr>
        <w:t xml:space="preserve">ב. </w:t>
      </w:r>
      <w:r w:rsidRPr="002E5A2B">
        <w:rPr>
          <w:rFonts w:hint="cs"/>
          <w:b/>
          <w:bCs/>
          <w:sz w:val="20"/>
          <w:szCs w:val="20"/>
          <w:rtl/>
        </w:rPr>
        <w:t>טהרת הבית</w:t>
      </w:r>
      <w:r>
        <w:rPr>
          <w:rFonts w:hint="cs"/>
          <w:sz w:val="20"/>
          <w:szCs w:val="20"/>
          <w:rtl/>
        </w:rPr>
        <w:t xml:space="preserve"> </w:t>
      </w:r>
      <w:r>
        <w:rPr>
          <w:sz w:val="20"/>
          <w:szCs w:val="20"/>
          <w:rtl/>
        </w:rPr>
        <w:t>–</w:t>
      </w:r>
      <w:r>
        <w:rPr>
          <w:rFonts w:hint="cs"/>
          <w:sz w:val="20"/>
          <w:szCs w:val="20"/>
          <w:rtl/>
        </w:rPr>
        <w:t xml:space="preserve"> מותר.</w:t>
      </w:r>
      <w:r>
        <w:rPr>
          <w:sz w:val="20"/>
          <w:szCs w:val="20"/>
          <w:rtl/>
        </w:rPr>
        <w:br/>
      </w:r>
      <w:r w:rsidRPr="002E5A2B">
        <w:rPr>
          <w:rFonts w:hint="cs"/>
          <w:b/>
          <w:bCs/>
          <w:sz w:val="20"/>
          <w:szCs w:val="20"/>
          <w:rtl/>
        </w:rPr>
        <w:t xml:space="preserve">טעם </w:t>
      </w:r>
      <w:r>
        <w:rPr>
          <w:sz w:val="20"/>
          <w:szCs w:val="20"/>
          <w:rtl/>
        </w:rPr>
        <w:t>–</w:t>
      </w:r>
      <w:r>
        <w:rPr>
          <w:rFonts w:hint="cs"/>
          <w:sz w:val="20"/>
          <w:szCs w:val="20"/>
          <w:rtl/>
        </w:rPr>
        <w:t xml:space="preserve"> אין דין טומאה וטהרה נוהג בינינו היום ולכן אין בכך איסור, ואף שיש מקפידים מחמת הרחקות, זו מידת חסידות בלבד, והרוצה להחמיר לעצמו לא יורה כך לאחרים.</w:t>
      </w:r>
      <w:r>
        <w:rPr>
          <w:sz w:val="20"/>
          <w:szCs w:val="20"/>
          <w:rtl/>
        </w:rPr>
        <w:br/>
      </w:r>
      <w:r>
        <w:rPr>
          <w:rFonts w:hint="cs"/>
          <w:sz w:val="20"/>
          <w:szCs w:val="20"/>
          <w:rtl/>
        </w:rPr>
        <w:t xml:space="preserve">והוסיף עוד </w:t>
      </w:r>
      <w:r>
        <w:rPr>
          <w:sz w:val="20"/>
          <w:szCs w:val="20"/>
          <w:rtl/>
        </w:rPr>
        <w:t>–</w:t>
      </w:r>
      <w:r>
        <w:rPr>
          <w:rFonts w:hint="cs"/>
          <w:sz w:val="20"/>
          <w:szCs w:val="20"/>
          <w:rtl/>
        </w:rPr>
        <w:t xml:space="preserve"> הוא הדין שמותר לבעל ללבוש בגדי אשתו נידה </w:t>
      </w:r>
      <w:r w:rsidRPr="002E5A2B">
        <w:rPr>
          <w:rFonts w:hint="cs"/>
          <w:sz w:val="18"/>
          <w:szCs w:val="18"/>
          <w:rtl/>
        </w:rPr>
        <w:t xml:space="preserve">(ובלבד שאין בכך משום "לא ילבש") </w:t>
      </w:r>
      <w:r>
        <w:rPr>
          <w:rFonts w:hint="cs"/>
          <w:sz w:val="20"/>
          <w:szCs w:val="20"/>
          <w:rtl/>
        </w:rPr>
        <w:t>ואפילו אם הבגד מיוחד לה מותר לו ללבוש אותו ואין לדמות לדין שכיבה על מיטתה שאסור</w:t>
      </w:r>
      <w:r>
        <w:rPr>
          <w:rStyle w:val="a5"/>
          <w:sz w:val="20"/>
          <w:szCs w:val="20"/>
          <w:rtl/>
        </w:rPr>
        <w:footnoteReference w:id="442"/>
      </w:r>
      <w:r>
        <w:rPr>
          <w:rFonts w:hint="cs"/>
          <w:sz w:val="20"/>
          <w:szCs w:val="20"/>
          <w:rtl/>
        </w:rPr>
        <w:t>, וכן מותרת היא ללבוש בגדים שלו.</w:t>
      </w:r>
    </w:p>
    <w:p w:rsidR="00620060" w:rsidRDefault="00620060" w:rsidP="00620060">
      <w:pPr>
        <w:rPr>
          <w:sz w:val="20"/>
          <w:szCs w:val="20"/>
          <w:rtl/>
        </w:rPr>
      </w:pPr>
      <w:r>
        <w:rPr>
          <w:rFonts w:hint="cs"/>
          <w:sz w:val="20"/>
          <w:szCs w:val="20"/>
          <w:u w:val="single"/>
          <w:rtl/>
        </w:rPr>
        <w:t xml:space="preserve">הרמת חפץ כבד יחד עם אשתו נידה (טהרת הבית חלק ב' עמ' צא </w:t>
      </w:r>
      <w:r>
        <w:rPr>
          <w:sz w:val="20"/>
          <w:szCs w:val="20"/>
          <w:u w:val="single"/>
          <w:rtl/>
        </w:rPr>
        <w:t>–</w:t>
      </w:r>
      <w:r>
        <w:rPr>
          <w:rFonts w:hint="cs"/>
          <w:sz w:val="20"/>
          <w:szCs w:val="20"/>
          <w:u w:val="single"/>
          <w:rtl/>
        </w:rPr>
        <w:t xml:space="preserve"> צד)</w:t>
      </w:r>
      <w:r>
        <w:rPr>
          <w:rFonts w:hint="cs"/>
          <w:sz w:val="20"/>
          <w:szCs w:val="20"/>
          <w:u w:val="single"/>
          <w:rtl/>
        </w:rPr>
        <w:br/>
      </w:r>
      <w:r>
        <w:rPr>
          <w:rFonts w:hint="cs"/>
          <w:sz w:val="20"/>
          <w:szCs w:val="20"/>
          <w:rtl/>
        </w:rPr>
        <w:t>אשה נדה שצריכה סיוע בהרמת חפץ כבד, כגון לעלות עם עגלת תינוק במדרגות, האם רשאי בעלה לסייע לה?</w:t>
      </w:r>
      <w:r>
        <w:rPr>
          <w:rFonts w:hint="cs"/>
          <w:sz w:val="20"/>
          <w:szCs w:val="20"/>
          <w:rtl/>
        </w:rPr>
        <w:br/>
        <w:t xml:space="preserve">א. </w:t>
      </w:r>
      <w:r w:rsidRPr="003321D2">
        <w:rPr>
          <w:rFonts w:hint="cs"/>
          <w:b/>
          <w:bCs/>
          <w:sz w:val="20"/>
          <w:szCs w:val="20"/>
          <w:rtl/>
        </w:rPr>
        <w:t>טהרת הבית וציץ אליעזר</w:t>
      </w:r>
      <w:r>
        <w:rPr>
          <w:rFonts w:hint="cs"/>
          <w:sz w:val="20"/>
          <w:szCs w:val="20"/>
          <w:rtl/>
        </w:rPr>
        <w:t xml:space="preserve"> </w:t>
      </w:r>
      <w:r>
        <w:rPr>
          <w:sz w:val="20"/>
          <w:szCs w:val="20"/>
          <w:rtl/>
        </w:rPr>
        <w:t>–</w:t>
      </w:r>
      <w:r>
        <w:rPr>
          <w:rFonts w:hint="cs"/>
          <w:sz w:val="20"/>
          <w:szCs w:val="20"/>
          <w:rtl/>
        </w:rPr>
        <w:t xml:space="preserve"> מותר לבעלה לסייע לה, ובלבד שייזהרו היטב שלא לגעת איש ברעהו.</w:t>
      </w:r>
      <w:r>
        <w:rPr>
          <w:rFonts w:hint="cs"/>
          <w:sz w:val="20"/>
          <w:szCs w:val="20"/>
          <w:rtl/>
        </w:rPr>
        <w:br/>
      </w:r>
      <w:r w:rsidRPr="003321D2">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רבים מהראשונים אינם סוברים כלל את האיסור של הושטת דבר מידו לידה, ואע"פ שמעיקר הדין יש להחמיר כיוון שהוא דבר שאינו קשה להחמיר בו, מכל מקום בשעת הצורך יש לסמוך על הראשונים המתירים.</w:t>
      </w:r>
      <w:r>
        <w:rPr>
          <w:rStyle w:val="a5"/>
          <w:sz w:val="20"/>
          <w:szCs w:val="20"/>
          <w:rtl/>
        </w:rPr>
        <w:footnoteReference w:id="443"/>
      </w:r>
      <w:r>
        <w:rPr>
          <w:rFonts w:hint="cs"/>
          <w:sz w:val="20"/>
          <w:szCs w:val="20"/>
          <w:rtl/>
        </w:rPr>
        <w:br/>
        <w:t xml:space="preserve">ב. </w:t>
      </w:r>
      <w:r w:rsidRPr="004B35FC">
        <w:rPr>
          <w:rFonts w:hint="cs"/>
          <w:b/>
          <w:bCs/>
          <w:sz w:val="20"/>
          <w:szCs w:val="20"/>
          <w:rtl/>
        </w:rPr>
        <w:t>אגרות משה</w:t>
      </w:r>
      <w:r>
        <w:rPr>
          <w:rFonts w:hint="cs"/>
          <w:sz w:val="20"/>
          <w:szCs w:val="20"/>
          <w:rtl/>
        </w:rPr>
        <w:t xml:space="preserve"> </w:t>
      </w:r>
      <w:r>
        <w:rPr>
          <w:sz w:val="20"/>
          <w:szCs w:val="20"/>
          <w:rtl/>
        </w:rPr>
        <w:t>–</w:t>
      </w:r>
      <w:r>
        <w:rPr>
          <w:rFonts w:hint="cs"/>
          <w:sz w:val="20"/>
          <w:szCs w:val="20"/>
          <w:rtl/>
        </w:rPr>
        <w:t xml:space="preserve"> ראוי להחמיר.</w:t>
      </w:r>
    </w:p>
    <w:p w:rsidR="00620060" w:rsidRDefault="00620060" w:rsidP="00620060">
      <w:pPr>
        <w:rPr>
          <w:sz w:val="20"/>
          <w:szCs w:val="20"/>
          <w:rtl/>
        </w:rPr>
      </w:pPr>
      <w:r>
        <w:rPr>
          <w:rFonts w:hint="cs"/>
          <w:sz w:val="20"/>
          <w:szCs w:val="20"/>
          <w:u w:val="single"/>
          <w:rtl/>
        </w:rPr>
        <w:t xml:space="preserve">נתינת טבעת לידי כלה נידה (טהרת הבית חלק ב' עמ' צד </w:t>
      </w:r>
      <w:r>
        <w:rPr>
          <w:sz w:val="20"/>
          <w:szCs w:val="20"/>
          <w:u w:val="single"/>
          <w:rtl/>
        </w:rPr>
        <w:t>–</w:t>
      </w:r>
      <w:r>
        <w:rPr>
          <w:rFonts w:hint="cs"/>
          <w:sz w:val="20"/>
          <w:szCs w:val="20"/>
          <w:u w:val="single"/>
          <w:rtl/>
        </w:rPr>
        <w:t xml:space="preserve"> צה)</w:t>
      </w:r>
      <w:r>
        <w:rPr>
          <w:sz w:val="20"/>
          <w:szCs w:val="20"/>
          <w:u w:val="single"/>
          <w:rtl/>
        </w:rPr>
        <w:br/>
      </w:r>
      <w:r>
        <w:rPr>
          <w:rFonts w:hint="cs"/>
          <w:sz w:val="20"/>
          <w:szCs w:val="20"/>
          <w:rtl/>
        </w:rPr>
        <w:t xml:space="preserve">א. </w:t>
      </w:r>
      <w:r w:rsidRPr="002D13EF">
        <w:rPr>
          <w:rFonts w:hint="cs"/>
          <w:b/>
          <w:bCs/>
          <w:sz w:val="20"/>
          <w:szCs w:val="20"/>
          <w:rtl/>
        </w:rPr>
        <w:t>מהרי"ל</w:t>
      </w:r>
      <w:r>
        <w:rPr>
          <w:rFonts w:hint="cs"/>
          <w:sz w:val="20"/>
          <w:szCs w:val="20"/>
          <w:rtl/>
        </w:rPr>
        <w:t xml:space="preserve"> </w:t>
      </w:r>
      <w:r>
        <w:rPr>
          <w:sz w:val="20"/>
          <w:szCs w:val="20"/>
          <w:rtl/>
        </w:rPr>
        <w:t>–</w:t>
      </w:r>
      <w:r>
        <w:rPr>
          <w:rFonts w:hint="cs"/>
          <w:sz w:val="20"/>
          <w:szCs w:val="20"/>
          <w:rtl/>
        </w:rPr>
        <w:t xml:space="preserve"> אין לתת את הטבעת באצבע כלה נידה, אלא מניח לטבעת ליפול מעצמה לאצבע הכלה.</w:t>
      </w:r>
      <w:r>
        <w:rPr>
          <w:sz w:val="20"/>
          <w:szCs w:val="20"/>
          <w:rtl/>
        </w:rPr>
        <w:br/>
      </w:r>
      <w:r>
        <w:rPr>
          <w:rFonts w:hint="cs"/>
          <w:sz w:val="20"/>
          <w:szCs w:val="20"/>
          <w:rtl/>
        </w:rPr>
        <w:lastRenderedPageBreak/>
        <w:t xml:space="preserve">ב. </w:t>
      </w:r>
      <w:r w:rsidRPr="002D13EF">
        <w:rPr>
          <w:rFonts w:hint="cs"/>
          <w:b/>
          <w:bCs/>
          <w:sz w:val="20"/>
          <w:szCs w:val="20"/>
          <w:rtl/>
        </w:rPr>
        <w:t>באר היטב</w:t>
      </w:r>
      <w:r>
        <w:rPr>
          <w:rFonts w:hint="cs"/>
          <w:sz w:val="20"/>
          <w:szCs w:val="20"/>
          <w:rtl/>
        </w:rPr>
        <w:t xml:space="preserve"> </w:t>
      </w:r>
      <w:r w:rsidRPr="002D13EF">
        <w:rPr>
          <w:rFonts w:hint="cs"/>
          <w:sz w:val="18"/>
          <w:szCs w:val="18"/>
          <w:rtl/>
        </w:rPr>
        <w:t xml:space="preserve">(אה"ע סוף סימן סא') </w:t>
      </w:r>
      <w:r>
        <w:rPr>
          <w:sz w:val="20"/>
          <w:szCs w:val="20"/>
          <w:rtl/>
        </w:rPr>
        <w:t>–</w:t>
      </w:r>
      <w:r>
        <w:rPr>
          <w:rFonts w:hint="cs"/>
          <w:sz w:val="20"/>
          <w:szCs w:val="20"/>
          <w:rtl/>
        </w:rPr>
        <w:t xml:space="preserve"> אין המנהג כמהרי"ל, אלא החתן נותן את הטבעת באצבע הכלה כרגיל.</w:t>
      </w:r>
      <w:r>
        <w:rPr>
          <w:sz w:val="20"/>
          <w:szCs w:val="20"/>
          <w:rtl/>
        </w:rPr>
        <w:br/>
      </w:r>
      <w:r>
        <w:rPr>
          <w:rFonts w:hint="cs"/>
          <w:sz w:val="20"/>
          <w:szCs w:val="20"/>
          <w:rtl/>
        </w:rPr>
        <w:t xml:space="preserve">ובספר </w:t>
      </w:r>
      <w:r w:rsidRPr="002D13EF">
        <w:rPr>
          <w:rFonts w:hint="cs"/>
          <w:b/>
          <w:bCs/>
          <w:sz w:val="20"/>
          <w:szCs w:val="20"/>
          <w:rtl/>
        </w:rPr>
        <w:t>טהרת הבית</w:t>
      </w:r>
      <w:r>
        <w:rPr>
          <w:rFonts w:hint="cs"/>
          <w:sz w:val="20"/>
          <w:szCs w:val="20"/>
          <w:rtl/>
        </w:rPr>
        <w:t xml:space="preserve"> כתב כמה טעמים להקל בזה - </w:t>
      </w:r>
      <w:r>
        <w:rPr>
          <w:sz w:val="20"/>
          <w:szCs w:val="20"/>
          <w:rtl/>
        </w:rPr>
        <w:br/>
      </w:r>
      <w:r>
        <w:rPr>
          <w:rFonts w:hint="cs"/>
          <w:sz w:val="20"/>
          <w:szCs w:val="20"/>
          <w:rtl/>
        </w:rPr>
        <w:t xml:space="preserve">א. כתב </w:t>
      </w:r>
      <w:r w:rsidRPr="00A4521F">
        <w:rPr>
          <w:rFonts w:hint="cs"/>
          <w:b/>
          <w:bCs/>
          <w:sz w:val="20"/>
          <w:szCs w:val="20"/>
          <w:rtl/>
        </w:rPr>
        <w:t>האור זרוע</w:t>
      </w:r>
      <w:r>
        <w:rPr>
          <w:rFonts w:hint="cs"/>
          <w:sz w:val="20"/>
          <w:szCs w:val="20"/>
          <w:rtl/>
        </w:rPr>
        <w:t xml:space="preserve"> </w:t>
      </w:r>
      <w:r>
        <w:rPr>
          <w:sz w:val="20"/>
          <w:szCs w:val="20"/>
          <w:rtl/>
        </w:rPr>
        <w:t>–</w:t>
      </w:r>
      <w:r>
        <w:rPr>
          <w:rFonts w:hint="cs"/>
          <w:sz w:val="20"/>
          <w:szCs w:val="20"/>
          <w:rtl/>
        </w:rPr>
        <w:t xml:space="preserve"> "ומיהו, אם הכינו צרכי החופה ופירסה נדה... מקבלת הטבעת מידו, שכיון שעדיין לא נתקדשה לו ועדיין אינה מותרת לבוא עליה, לית לן בה אם יגע בידה".</w:t>
      </w:r>
      <w:r>
        <w:rPr>
          <w:sz w:val="20"/>
          <w:szCs w:val="20"/>
          <w:rtl/>
        </w:rPr>
        <w:br/>
      </w:r>
      <w:r>
        <w:rPr>
          <w:rFonts w:hint="cs"/>
          <w:sz w:val="20"/>
          <w:szCs w:val="20"/>
          <w:rtl/>
        </w:rPr>
        <w:t xml:space="preserve">ב. </w:t>
      </w:r>
      <w:r w:rsidRPr="00A4521F">
        <w:rPr>
          <w:rFonts w:hint="cs"/>
          <w:b/>
          <w:bCs/>
          <w:sz w:val="20"/>
          <w:szCs w:val="20"/>
          <w:rtl/>
        </w:rPr>
        <w:t>דרכי טהרה</w:t>
      </w:r>
      <w:r>
        <w:rPr>
          <w:rFonts w:hint="cs"/>
          <w:sz w:val="20"/>
          <w:szCs w:val="20"/>
          <w:rtl/>
        </w:rPr>
        <w:t xml:space="preserve"> </w:t>
      </w:r>
      <w:r>
        <w:rPr>
          <w:sz w:val="20"/>
          <w:szCs w:val="20"/>
          <w:rtl/>
        </w:rPr>
        <w:t>–</w:t>
      </w:r>
      <w:r>
        <w:rPr>
          <w:rFonts w:hint="cs"/>
          <w:sz w:val="20"/>
          <w:szCs w:val="20"/>
          <w:rtl/>
        </w:rPr>
        <w:t xml:space="preserve"> "כדי שלא לפרסם הדבר בעיני הניצבים אם טהורה היא אם לאו".</w:t>
      </w:r>
      <w:r>
        <w:rPr>
          <w:sz w:val="20"/>
          <w:szCs w:val="20"/>
          <w:rtl/>
        </w:rPr>
        <w:br/>
      </w:r>
      <w:r>
        <w:rPr>
          <w:rFonts w:hint="cs"/>
          <w:sz w:val="20"/>
          <w:szCs w:val="20"/>
          <w:rtl/>
        </w:rPr>
        <w:t xml:space="preserve">ג. </w:t>
      </w:r>
      <w:r w:rsidRPr="00A4521F">
        <w:rPr>
          <w:rFonts w:hint="cs"/>
          <w:b/>
          <w:bCs/>
          <w:sz w:val="20"/>
          <w:szCs w:val="20"/>
          <w:rtl/>
        </w:rPr>
        <w:t>טהרת הבית</w:t>
      </w:r>
      <w:r>
        <w:rPr>
          <w:rFonts w:hint="cs"/>
          <w:sz w:val="20"/>
          <w:szCs w:val="20"/>
          <w:rtl/>
        </w:rPr>
        <w:t xml:space="preserve"> עצמו מוסיף לנמק </w:t>
      </w:r>
      <w:r>
        <w:rPr>
          <w:sz w:val="20"/>
          <w:szCs w:val="20"/>
          <w:rtl/>
        </w:rPr>
        <w:t>–</w:t>
      </w:r>
      <w:r>
        <w:rPr>
          <w:rFonts w:hint="cs"/>
          <w:sz w:val="20"/>
          <w:szCs w:val="20"/>
          <w:rtl/>
        </w:rPr>
        <w:t xml:space="preserve"> "הקידושין נעשים בפני רבים, והנתינה בשעה מועטת רגע כמימריה, בכהאי גוונא אין לחוש למידי".</w:t>
      </w:r>
    </w:p>
    <w:p w:rsidR="00620060" w:rsidRDefault="00620060" w:rsidP="00620060">
      <w:pPr>
        <w:rPr>
          <w:sz w:val="20"/>
          <w:szCs w:val="20"/>
          <w:rtl/>
        </w:rPr>
      </w:pPr>
      <w:r>
        <w:rPr>
          <w:rFonts w:hint="cs"/>
          <w:sz w:val="20"/>
          <w:szCs w:val="20"/>
          <w:u w:val="single"/>
          <w:rtl/>
        </w:rPr>
        <w:t>נתינת גט בשעה שאשתו נידה (טהרת הבית חלק ב' עמ' צה)</w:t>
      </w:r>
      <w:r>
        <w:rPr>
          <w:rFonts w:hint="cs"/>
          <w:sz w:val="20"/>
          <w:szCs w:val="20"/>
          <w:u w:val="single"/>
          <w:rtl/>
        </w:rPr>
        <w:br/>
      </w:r>
      <w:r w:rsidRPr="00515A3E">
        <w:rPr>
          <w:rFonts w:hint="cs"/>
          <w:b/>
          <w:bCs/>
          <w:sz w:val="20"/>
          <w:szCs w:val="20"/>
          <w:rtl/>
        </w:rPr>
        <w:t>טהרת הבית</w:t>
      </w:r>
      <w:r>
        <w:rPr>
          <w:rFonts w:hint="cs"/>
          <w:sz w:val="20"/>
          <w:szCs w:val="20"/>
          <w:rtl/>
        </w:rPr>
        <w:t xml:space="preserve"> - מותר לתת גט לאשתו בשעה שהיא נידה.</w:t>
      </w:r>
      <w:r>
        <w:rPr>
          <w:sz w:val="20"/>
          <w:szCs w:val="20"/>
          <w:rtl/>
        </w:rPr>
        <w:br/>
      </w:r>
      <w:r w:rsidRPr="00E31AD4">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אין לחוש להרגל עבירה, כיוון שכעת הוא בא לרחק אותה מממנו.</w:t>
      </w:r>
      <w:r>
        <w:rPr>
          <w:rStyle w:val="a5"/>
          <w:sz w:val="20"/>
          <w:szCs w:val="20"/>
          <w:rtl/>
        </w:rPr>
        <w:footnoteReference w:id="444"/>
      </w:r>
    </w:p>
    <w:p w:rsidR="00620060" w:rsidRDefault="00620060" w:rsidP="00620060">
      <w:pPr>
        <w:rPr>
          <w:sz w:val="20"/>
          <w:szCs w:val="20"/>
          <w:rtl/>
        </w:rPr>
      </w:pPr>
      <w:r>
        <w:rPr>
          <w:rFonts w:hint="cs"/>
          <w:sz w:val="20"/>
          <w:szCs w:val="20"/>
          <w:u w:val="single"/>
          <w:rtl/>
        </w:rPr>
        <w:t>נישוק בנו והאכלתו בזרועות אמו (טהרת הבית חלק ב עמ' קה)</w:t>
      </w:r>
      <w:r>
        <w:rPr>
          <w:rFonts w:hint="cs"/>
          <w:sz w:val="20"/>
          <w:szCs w:val="20"/>
          <w:u w:val="single"/>
          <w:rtl/>
        </w:rPr>
        <w:br/>
      </w:r>
      <w:r w:rsidRPr="00DB4584">
        <w:rPr>
          <w:rFonts w:hint="cs"/>
          <w:b/>
          <w:bCs/>
          <w:sz w:val="20"/>
          <w:szCs w:val="20"/>
          <w:rtl/>
        </w:rPr>
        <w:t>שו"ת משיב דברים</w:t>
      </w:r>
      <w:r>
        <w:rPr>
          <w:rFonts w:hint="cs"/>
          <w:sz w:val="20"/>
          <w:szCs w:val="20"/>
          <w:rtl/>
        </w:rPr>
        <w:t xml:space="preserve"> - אין לנשק את בנו כשהוא נמצא בזרועותיה של אמו בשעה שהיא נידה.</w:t>
      </w:r>
      <w:r>
        <w:rPr>
          <w:sz w:val="20"/>
          <w:szCs w:val="20"/>
          <w:rtl/>
        </w:rPr>
        <w:br/>
      </w:r>
      <w:r w:rsidRPr="00DB4584">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יש בזה חיבה והרגל עבירה.</w:t>
      </w:r>
      <w:r>
        <w:rPr>
          <w:sz w:val="20"/>
          <w:szCs w:val="20"/>
          <w:rtl/>
        </w:rPr>
        <w:br/>
      </w:r>
      <w:r>
        <w:rPr>
          <w:rFonts w:hint="cs"/>
          <w:sz w:val="20"/>
          <w:szCs w:val="20"/>
          <w:rtl/>
        </w:rPr>
        <w:t xml:space="preserve">מוסיף </w:t>
      </w:r>
      <w:r w:rsidRPr="00DB4584">
        <w:rPr>
          <w:rFonts w:hint="cs"/>
          <w:b/>
          <w:bCs/>
          <w:sz w:val="20"/>
          <w:szCs w:val="20"/>
          <w:rtl/>
        </w:rPr>
        <w:t>שבט הלוי</w:t>
      </w:r>
      <w:r>
        <w:rPr>
          <w:rFonts w:hint="cs"/>
          <w:sz w:val="20"/>
          <w:szCs w:val="20"/>
          <w:rtl/>
        </w:rPr>
        <w:t xml:space="preserve"> </w:t>
      </w:r>
      <w:r>
        <w:rPr>
          <w:sz w:val="20"/>
          <w:szCs w:val="20"/>
          <w:rtl/>
        </w:rPr>
        <w:t>–</w:t>
      </w:r>
      <w:r>
        <w:rPr>
          <w:rFonts w:hint="cs"/>
          <w:sz w:val="20"/>
          <w:szCs w:val="20"/>
          <w:rtl/>
        </w:rPr>
        <w:t xml:space="preserve"> הוא הדין שיש להחמיר גם שלא להאכיל את בנו בשעה שאמו אוחזתו.</w:t>
      </w:r>
      <w:r>
        <w:rPr>
          <w:sz w:val="20"/>
          <w:szCs w:val="20"/>
          <w:rtl/>
        </w:rPr>
        <w:br/>
      </w:r>
      <w:r>
        <w:rPr>
          <w:rFonts w:hint="cs"/>
          <w:sz w:val="20"/>
          <w:szCs w:val="20"/>
          <w:rtl/>
        </w:rPr>
        <w:t xml:space="preserve">מסייג </w:t>
      </w:r>
      <w:r w:rsidRPr="00DB4584">
        <w:rPr>
          <w:rFonts w:hint="cs"/>
          <w:b/>
          <w:bCs/>
          <w:sz w:val="20"/>
          <w:szCs w:val="20"/>
          <w:rtl/>
        </w:rPr>
        <w:t xml:space="preserve">טהרת הבית </w:t>
      </w:r>
      <w:r>
        <w:rPr>
          <w:sz w:val="20"/>
          <w:szCs w:val="20"/>
          <w:rtl/>
        </w:rPr>
        <w:t>–</w:t>
      </w:r>
      <w:r>
        <w:rPr>
          <w:rFonts w:hint="cs"/>
          <w:sz w:val="20"/>
          <w:szCs w:val="20"/>
          <w:rtl/>
        </w:rPr>
        <w:t xml:space="preserve"> אם התינוק מסרב לאכול אלא אם כן הוא בזרועות אמו, וכן אם אינו בריא כל כך, מותר לאביו להאכילו כשאמו אוחזתו, והכל לפי העניין.</w:t>
      </w:r>
    </w:p>
    <w:p w:rsidR="00620060" w:rsidRPr="00DE7E09" w:rsidRDefault="00620060" w:rsidP="00620060">
      <w:pPr>
        <w:rPr>
          <w:sz w:val="20"/>
          <w:szCs w:val="20"/>
          <w:rtl/>
        </w:rPr>
      </w:pPr>
      <w:r>
        <w:rPr>
          <w:rFonts w:hint="cs"/>
          <w:sz w:val="20"/>
          <w:szCs w:val="20"/>
          <w:u w:val="single"/>
          <w:rtl/>
        </w:rPr>
        <w:t>נפנוף במניפה (טהרת הבית חלק ב עמ' קיא)</w:t>
      </w:r>
      <w:r>
        <w:rPr>
          <w:rFonts w:hint="cs"/>
          <w:sz w:val="20"/>
          <w:szCs w:val="20"/>
          <w:u w:val="single"/>
          <w:rtl/>
        </w:rPr>
        <w:br/>
      </w:r>
      <w:r>
        <w:rPr>
          <w:rFonts w:hint="cs"/>
          <w:sz w:val="20"/>
          <w:szCs w:val="20"/>
          <w:rtl/>
        </w:rPr>
        <w:t>אין לאשה לנפנף במניפה כדי להקל על בעלה את החום ולעשות לו קורת רוח, משום שהוא דרך חיבה</w:t>
      </w:r>
      <w:r>
        <w:rPr>
          <w:rStyle w:val="a5"/>
          <w:sz w:val="20"/>
          <w:szCs w:val="20"/>
          <w:rtl/>
        </w:rPr>
        <w:footnoteReference w:id="445"/>
      </w:r>
      <w:r>
        <w:rPr>
          <w:rFonts w:hint="cs"/>
          <w:sz w:val="20"/>
          <w:szCs w:val="20"/>
          <w:rtl/>
        </w:rPr>
        <w:t>.</w:t>
      </w:r>
      <w:r>
        <w:rPr>
          <w:sz w:val="20"/>
          <w:szCs w:val="20"/>
          <w:rtl/>
        </w:rPr>
        <w:br/>
      </w:r>
      <w:r>
        <w:rPr>
          <w:rFonts w:hint="cs"/>
          <w:sz w:val="20"/>
          <w:szCs w:val="20"/>
          <w:rtl/>
        </w:rPr>
        <w:t xml:space="preserve">ואמנם, אם הבעל חולה וזקוק לכך, מותר. </w:t>
      </w:r>
      <w:r w:rsidRPr="002743D5">
        <w:rPr>
          <w:rFonts w:hint="cs"/>
          <w:sz w:val="18"/>
          <w:szCs w:val="18"/>
          <w:rtl/>
        </w:rPr>
        <w:t>(ולהדליק עבורו מאוור</w:t>
      </w:r>
      <w:r>
        <w:rPr>
          <w:rFonts w:hint="cs"/>
          <w:sz w:val="18"/>
          <w:szCs w:val="18"/>
          <w:rtl/>
        </w:rPr>
        <w:t>ר</w:t>
      </w:r>
      <w:r w:rsidRPr="002743D5">
        <w:rPr>
          <w:rFonts w:hint="cs"/>
          <w:sz w:val="18"/>
          <w:szCs w:val="18"/>
          <w:rtl/>
        </w:rPr>
        <w:t xml:space="preserve"> מותר בכל אופן, כיוון שאינו דרך חיבה).</w:t>
      </w:r>
    </w:p>
    <w:p w:rsidR="00620060" w:rsidRDefault="00620060" w:rsidP="00620060">
      <w:pPr>
        <w:rPr>
          <w:sz w:val="20"/>
          <w:szCs w:val="20"/>
          <w:rtl/>
        </w:rPr>
      </w:pPr>
      <w:r>
        <w:rPr>
          <w:sz w:val="20"/>
          <w:szCs w:val="20"/>
          <w:rtl/>
        </w:rPr>
        <w:br/>
      </w:r>
      <w:r>
        <w:rPr>
          <w:rFonts w:hint="cs"/>
          <w:b/>
          <w:bCs/>
          <w:sz w:val="20"/>
          <w:szCs w:val="20"/>
          <w:rtl/>
        </w:rPr>
        <w:t xml:space="preserve">סעיף ג </w:t>
      </w:r>
      <w:r>
        <w:rPr>
          <w:b/>
          <w:bCs/>
          <w:sz w:val="20"/>
          <w:szCs w:val="20"/>
          <w:rtl/>
        </w:rPr>
        <w:t>–</w:t>
      </w:r>
      <w:r>
        <w:rPr>
          <w:rFonts w:hint="cs"/>
          <w:b/>
          <w:bCs/>
          <w:sz w:val="20"/>
          <w:szCs w:val="20"/>
          <w:rtl/>
        </w:rPr>
        <w:t xml:space="preserve"> אכילה על אותו שולחן</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גמרא </w:t>
      </w:r>
      <w:r>
        <w:rPr>
          <w:rFonts w:hint="cs"/>
          <w:sz w:val="20"/>
          <w:szCs w:val="20"/>
          <w:rtl/>
        </w:rPr>
        <w:t>שבת (יג.) "</w:t>
      </w:r>
      <w:r w:rsidRPr="00604833">
        <w:rPr>
          <w:rFonts w:cs="Arial"/>
          <w:sz w:val="20"/>
          <w:szCs w:val="20"/>
          <w:rtl/>
        </w:rPr>
        <w:t>לא יא</w:t>
      </w:r>
      <w:r>
        <w:rPr>
          <w:rFonts w:cs="Arial"/>
          <w:sz w:val="20"/>
          <w:szCs w:val="20"/>
          <w:rtl/>
        </w:rPr>
        <w:t>כל הזב עם הזבה, מפני הרגל עבירה</w:t>
      </w:r>
      <w:r>
        <w:rPr>
          <w:rFonts w:cs="Arial" w:hint="cs"/>
          <w:sz w:val="20"/>
          <w:szCs w:val="20"/>
          <w:rtl/>
        </w:rPr>
        <w:t>".</w:t>
      </w:r>
    </w:p>
    <w:p w:rsidR="00620060" w:rsidRDefault="00620060" w:rsidP="00620060">
      <w:pPr>
        <w:rPr>
          <w:sz w:val="20"/>
          <w:szCs w:val="20"/>
          <w:rtl/>
        </w:rPr>
      </w:pPr>
      <w:r>
        <w:rPr>
          <w:rFonts w:hint="cs"/>
          <w:b/>
          <w:bCs/>
          <w:sz w:val="20"/>
          <w:szCs w:val="20"/>
          <w:rtl/>
        </w:rPr>
        <w:t>שיטות הראשונים</w:t>
      </w:r>
      <w:r>
        <w:rPr>
          <w:b/>
          <w:bCs/>
          <w:sz w:val="20"/>
          <w:szCs w:val="20"/>
          <w:rtl/>
        </w:rPr>
        <w:br/>
      </w:r>
      <w:r>
        <w:rPr>
          <w:rFonts w:hint="cs"/>
          <w:sz w:val="20"/>
          <w:szCs w:val="20"/>
          <w:rtl/>
        </w:rPr>
        <w:t xml:space="preserve">א. </w:t>
      </w:r>
      <w:r w:rsidRPr="00314B97">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האיסור הוא לאכול מקערה אחת, עליהם לאכול בשתי קערות שונות.</w:t>
      </w:r>
      <w:r>
        <w:rPr>
          <w:sz w:val="20"/>
          <w:szCs w:val="20"/>
          <w:rtl/>
        </w:rPr>
        <w:br/>
      </w:r>
      <w:r>
        <w:rPr>
          <w:rFonts w:hint="cs"/>
          <w:sz w:val="20"/>
          <w:szCs w:val="20"/>
          <w:rtl/>
        </w:rPr>
        <w:t xml:space="preserve">ב. </w:t>
      </w:r>
      <w:r w:rsidRPr="00367DBC">
        <w:rPr>
          <w:rFonts w:hint="cs"/>
          <w:b/>
          <w:bCs/>
          <w:sz w:val="20"/>
          <w:szCs w:val="20"/>
          <w:rtl/>
        </w:rPr>
        <w:t>ראב"ד</w:t>
      </w:r>
      <w:r>
        <w:rPr>
          <w:rFonts w:hint="cs"/>
          <w:sz w:val="20"/>
          <w:szCs w:val="20"/>
          <w:rtl/>
        </w:rPr>
        <w:t xml:space="preserve">, </w:t>
      </w:r>
      <w:r w:rsidRPr="00314B97">
        <w:rPr>
          <w:rFonts w:hint="cs"/>
          <w:b/>
          <w:bCs/>
          <w:sz w:val="20"/>
          <w:szCs w:val="20"/>
          <w:rtl/>
        </w:rPr>
        <w:t>רמב"ן ורשב"א</w:t>
      </w:r>
      <w:r>
        <w:rPr>
          <w:rFonts w:hint="cs"/>
          <w:sz w:val="20"/>
          <w:szCs w:val="20"/>
          <w:rtl/>
        </w:rPr>
        <w:t xml:space="preserve"> </w:t>
      </w:r>
      <w:r>
        <w:rPr>
          <w:sz w:val="20"/>
          <w:szCs w:val="20"/>
          <w:rtl/>
        </w:rPr>
        <w:t>–</w:t>
      </w:r>
      <w:r>
        <w:rPr>
          <w:rFonts w:hint="cs"/>
          <w:sz w:val="20"/>
          <w:szCs w:val="20"/>
          <w:rtl/>
        </w:rPr>
        <w:t xml:space="preserve"> האיסור הוא לאכול יחד על אותו שולחן, וכ"פ </w:t>
      </w:r>
      <w:r>
        <w:rPr>
          <w:rFonts w:hint="cs"/>
          <w:b/>
          <w:bCs/>
          <w:sz w:val="20"/>
          <w:szCs w:val="20"/>
          <w:rtl/>
        </w:rPr>
        <w:t>המחבר</w:t>
      </w:r>
      <w:r>
        <w:rPr>
          <w:rFonts w:hint="cs"/>
          <w:sz w:val="20"/>
          <w:szCs w:val="20"/>
          <w:rtl/>
        </w:rPr>
        <w:t>.</w:t>
      </w:r>
    </w:p>
    <w:p w:rsidR="00620060" w:rsidRPr="006C5064" w:rsidRDefault="00620060" w:rsidP="00620060">
      <w:pPr>
        <w:rPr>
          <w:sz w:val="20"/>
          <w:szCs w:val="20"/>
        </w:rPr>
      </w:pPr>
      <w:r>
        <w:rPr>
          <w:rFonts w:hint="cs"/>
          <w:b/>
          <w:bCs/>
          <w:sz w:val="20"/>
          <w:szCs w:val="20"/>
          <w:rtl/>
        </w:rPr>
        <w:t xml:space="preserve">איסור אכילה על שולחן אחד </w:t>
      </w:r>
      <w:r>
        <w:rPr>
          <w:b/>
          <w:bCs/>
          <w:sz w:val="20"/>
          <w:szCs w:val="20"/>
          <w:rtl/>
        </w:rPr>
        <w:t>–</w:t>
      </w:r>
      <w:r>
        <w:rPr>
          <w:rFonts w:hint="cs"/>
          <w:b/>
          <w:bCs/>
          <w:sz w:val="20"/>
          <w:szCs w:val="20"/>
          <w:rtl/>
        </w:rPr>
        <w:t xml:space="preserve"> הסבר הרא"ש</w:t>
      </w:r>
      <w:r>
        <w:rPr>
          <w:b/>
          <w:bCs/>
          <w:sz w:val="20"/>
          <w:szCs w:val="20"/>
          <w:rtl/>
        </w:rPr>
        <w:br/>
      </w:r>
      <w:r>
        <w:rPr>
          <w:rFonts w:hint="cs"/>
          <w:b/>
          <w:bCs/>
          <w:sz w:val="20"/>
          <w:szCs w:val="20"/>
          <w:rtl/>
        </w:rPr>
        <w:t xml:space="preserve">רא"ש </w:t>
      </w:r>
      <w:r>
        <w:rPr>
          <w:sz w:val="20"/>
          <w:szCs w:val="20"/>
          <w:rtl/>
        </w:rPr>
        <w:t>–</w:t>
      </w:r>
      <w:r>
        <w:rPr>
          <w:rFonts w:hint="cs"/>
          <w:sz w:val="20"/>
          <w:szCs w:val="20"/>
          <w:rtl/>
        </w:rPr>
        <w:t xml:space="preserve"> איסור אכילה על שולן אחד נאמר רק בזמנם שכל אחד היה אוכל בשולחן קטן בפני עצמו, ולכן אם אוכל עמה הוי דרך חיבה ואסור, אך בזמנינו הדרך היא שכמה אנשים סועדים יחד על השולחן ולכן מותרים לאכול על אותו שולחן. ואמנם, טוב לעשות היכר ע"י שיניחו דבר מה ביניהם, כדין שני אנשים שאחד מהם אוכל בשר והשני גבינה, שמותרים לסעוד באותו שולחן ע"י היכר</w:t>
      </w:r>
      <w:r>
        <w:rPr>
          <w:rStyle w:val="a5"/>
          <w:sz w:val="20"/>
          <w:szCs w:val="20"/>
          <w:rtl/>
        </w:rPr>
        <w:footnoteReference w:id="446"/>
      </w:r>
      <w:r>
        <w:rPr>
          <w:rFonts w:hint="cs"/>
          <w:sz w:val="20"/>
          <w:szCs w:val="20"/>
          <w:rtl/>
        </w:rPr>
        <w:t>.</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EB1A53">
        <w:rPr>
          <w:rFonts w:cs="Arial"/>
          <w:sz w:val="20"/>
          <w:szCs w:val="20"/>
          <w:rtl/>
        </w:rPr>
        <w:t>לא יאכל עמה על הש</w:t>
      </w:r>
      <w:r>
        <w:rPr>
          <w:rFonts w:cs="Arial" w:hint="cs"/>
          <w:sz w:val="20"/>
          <w:szCs w:val="20"/>
          <w:rtl/>
        </w:rPr>
        <w:t>ו</w:t>
      </w:r>
      <w:r w:rsidRPr="00EB1A53">
        <w:rPr>
          <w:rFonts w:cs="Arial"/>
          <w:sz w:val="20"/>
          <w:szCs w:val="20"/>
          <w:rtl/>
        </w:rPr>
        <w:t xml:space="preserve">לחן </w:t>
      </w:r>
      <w:r>
        <w:rPr>
          <w:rFonts w:cs="Arial" w:hint="cs"/>
          <w:sz w:val="20"/>
          <w:szCs w:val="20"/>
          <w:rtl/>
        </w:rPr>
        <w:t>אלא אם כן</w:t>
      </w:r>
      <w:r w:rsidRPr="00EB1A53">
        <w:rPr>
          <w:rFonts w:cs="Arial"/>
          <w:sz w:val="20"/>
          <w:szCs w:val="20"/>
          <w:rtl/>
        </w:rPr>
        <w:t xml:space="preserve"> יש שום שינוי שיהיה שום דבר מפסיק בין קערה שלו לקערה שלה, לחם או קנקן, או שיאכל כל אחד במפה שלו</w:t>
      </w:r>
      <w:r>
        <w:rPr>
          <w:rFonts w:cs="Arial" w:hint="cs"/>
          <w:sz w:val="20"/>
          <w:szCs w:val="20"/>
          <w:rtl/>
        </w:rPr>
        <w:t>".</w:t>
      </w:r>
    </w:p>
    <w:p w:rsidR="00620060" w:rsidRDefault="00620060" w:rsidP="00620060">
      <w:pPr>
        <w:rPr>
          <w:sz w:val="20"/>
          <w:szCs w:val="20"/>
          <w:rtl/>
        </w:rPr>
      </w:pPr>
      <w:r>
        <w:rPr>
          <w:rFonts w:hint="cs"/>
          <w:sz w:val="20"/>
          <w:szCs w:val="20"/>
          <w:u w:val="single"/>
          <w:rtl/>
        </w:rPr>
        <w:t>פרטים בדין זה</w:t>
      </w:r>
      <w:r>
        <w:rPr>
          <w:sz w:val="20"/>
          <w:szCs w:val="20"/>
          <w:u w:val="single"/>
          <w:rtl/>
        </w:rPr>
        <w:br/>
      </w:r>
      <w:r>
        <w:rPr>
          <w:rFonts w:hint="cs"/>
          <w:sz w:val="20"/>
          <w:szCs w:val="20"/>
          <w:rtl/>
        </w:rPr>
        <w:t xml:space="preserve">א. </w:t>
      </w:r>
      <w:r w:rsidRPr="00CD150C">
        <w:rPr>
          <w:rFonts w:hint="cs"/>
          <w:b/>
          <w:bCs/>
          <w:sz w:val="20"/>
          <w:szCs w:val="20"/>
          <w:rtl/>
        </w:rPr>
        <w:t xml:space="preserve">ש"ך </w:t>
      </w:r>
      <w:r>
        <w:rPr>
          <w:sz w:val="20"/>
          <w:szCs w:val="20"/>
          <w:rtl/>
        </w:rPr>
        <w:t>–</w:t>
      </w:r>
      <w:r>
        <w:rPr>
          <w:rFonts w:hint="cs"/>
          <w:sz w:val="20"/>
          <w:szCs w:val="20"/>
          <w:rtl/>
        </w:rPr>
        <w:t xml:space="preserve"> הוא הדין שאסורים לאכול יחד מאותה קערה אפילו זה אחר זה.</w:t>
      </w:r>
      <w:r>
        <w:rPr>
          <w:sz w:val="20"/>
          <w:szCs w:val="20"/>
          <w:rtl/>
        </w:rPr>
        <w:t xml:space="preserve"> </w:t>
      </w:r>
      <w:r>
        <w:rPr>
          <w:sz w:val="20"/>
          <w:szCs w:val="20"/>
          <w:rtl/>
        </w:rPr>
        <w:br/>
      </w:r>
      <w:r>
        <w:rPr>
          <w:rFonts w:hint="cs"/>
          <w:sz w:val="20"/>
          <w:szCs w:val="20"/>
          <w:rtl/>
        </w:rPr>
        <w:t xml:space="preserve">ב. </w:t>
      </w:r>
      <w:r w:rsidRPr="00CD150C">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שינוי המתיר לאכול יחד, היינו אפילו אם היא מקפלת מעט מהמפה ומגלה את השולחן וסועדת עליו.</w:t>
      </w:r>
      <w:r>
        <w:rPr>
          <w:sz w:val="20"/>
          <w:szCs w:val="20"/>
          <w:rtl/>
        </w:rPr>
        <w:br/>
      </w:r>
      <w:r>
        <w:rPr>
          <w:rFonts w:hint="cs"/>
          <w:sz w:val="20"/>
          <w:szCs w:val="20"/>
          <w:rtl/>
        </w:rPr>
        <w:t xml:space="preserve">ג. </w:t>
      </w:r>
      <w:r w:rsidRPr="00CD150C">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הנחת לחם או קנקן ביניהם, מהני רק אם אין משתמשים בו לאכילה ושתייה.</w:t>
      </w:r>
      <w:r>
        <w:rPr>
          <w:sz w:val="20"/>
          <w:szCs w:val="20"/>
          <w:rtl/>
        </w:rPr>
        <w:br/>
      </w:r>
      <w:r>
        <w:rPr>
          <w:rFonts w:hint="cs"/>
          <w:sz w:val="20"/>
          <w:szCs w:val="20"/>
          <w:rtl/>
        </w:rPr>
        <w:lastRenderedPageBreak/>
        <w:t xml:space="preserve">ד. </w:t>
      </w:r>
      <w:r w:rsidRPr="00B0574D">
        <w:rPr>
          <w:rFonts w:hint="cs"/>
          <w:b/>
          <w:bCs/>
          <w:sz w:val="20"/>
          <w:szCs w:val="20"/>
          <w:rtl/>
        </w:rPr>
        <w:t>שבט הלוי</w:t>
      </w:r>
      <w:r>
        <w:rPr>
          <w:rFonts w:hint="cs"/>
          <w:sz w:val="20"/>
          <w:szCs w:val="20"/>
          <w:rtl/>
        </w:rPr>
        <w:t xml:space="preserve"> </w:t>
      </w:r>
      <w:r>
        <w:rPr>
          <w:sz w:val="20"/>
          <w:szCs w:val="20"/>
          <w:rtl/>
        </w:rPr>
        <w:t>–</w:t>
      </w:r>
      <w:r>
        <w:rPr>
          <w:rFonts w:hint="cs"/>
          <w:sz w:val="20"/>
          <w:szCs w:val="20"/>
          <w:rtl/>
        </w:rPr>
        <w:t xml:space="preserve"> דבר המפסיק אינו צריך להיות מונח ממש ביניהם, ובלבד שיהיה ניכר לשניהם.</w:t>
      </w:r>
      <w:r>
        <w:rPr>
          <w:sz w:val="20"/>
          <w:szCs w:val="20"/>
          <w:rtl/>
        </w:rPr>
        <w:br/>
      </w:r>
      <w:r>
        <w:rPr>
          <w:rFonts w:hint="cs"/>
          <w:sz w:val="20"/>
          <w:szCs w:val="20"/>
          <w:rtl/>
        </w:rPr>
        <w:t xml:space="preserve">ה. </w:t>
      </w:r>
      <w:r w:rsidRPr="00B0574D">
        <w:rPr>
          <w:rFonts w:hint="cs"/>
          <w:b/>
          <w:bCs/>
          <w:sz w:val="20"/>
          <w:szCs w:val="20"/>
          <w:rtl/>
        </w:rPr>
        <w:t>שבט הלוי</w:t>
      </w:r>
      <w:r>
        <w:rPr>
          <w:rFonts w:hint="cs"/>
          <w:sz w:val="20"/>
          <w:szCs w:val="20"/>
          <w:rtl/>
        </w:rPr>
        <w:t xml:space="preserve"> </w:t>
      </w:r>
      <w:r>
        <w:rPr>
          <w:sz w:val="20"/>
          <w:szCs w:val="20"/>
          <w:rtl/>
        </w:rPr>
        <w:t>–</w:t>
      </w:r>
      <w:r>
        <w:rPr>
          <w:rFonts w:hint="cs"/>
          <w:sz w:val="20"/>
          <w:szCs w:val="20"/>
          <w:rtl/>
        </w:rPr>
        <w:t xml:space="preserve"> אם מניחים הפסק מפני שזה אוכל בשר וזה גבינה, מסתבר שמהני גם לעניין הרחקת נידה.</w:t>
      </w:r>
      <w:r>
        <w:rPr>
          <w:sz w:val="20"/>
          <w:szCs w:val="20"/>
          <w:rtl/>
        </w:rPr>
        <w:br/>
      </w:r>
      <w:r>
        <w:rPr>
          <w:rFonts w:hint="cs"/>
          <w:sz w:val="20"/>
          <w:szCs w:val="20"/>
          <w:rtl/>
        </w:rPr>
        <w:t xml:space="preserve">ו. </w:t>
      </w:r>
      <w:r w:rsidRPr="004A1CE4">
        <w:rPr>
          <w:rFonts w:hint="cs"/>
          <w:b/>
          <w:bCs/>
          <w:sz w:val="20"/>
          <w:szCs w:val="20"/>
          <w:rtl/>
        </w:rPr>
        <w:t>חכמת אדם</w:t>
      </w:r>
      <w:r>
        <w:rPr>
          <w:rFonts w:hint="cs"/>
          <w:sz w:val="20"/>
          <w:szCs w:val="20"/>
          <w:rtl/>
        </w:rPr>
        <w:t xml:space="preserve"> </w:t>
      </w:r>
      <w:r>
        <w:rPr>
          <w:sz w:val="20"/>
          <w:szCs w:val="20"/>
          <w:rtl/>
        </w:rPr>
        <w:t>–</w:t>
      </w:r>
      <w:r>
        <w:rPr>
          <w:rFonts w:hint="cs"/>
          <w:sz w:val="20"/>
          <w:szCs w:val="20"/>
          <w:rtl/>
        </w:rPr>
        <w:t xml:space="preserve"> הנחת קערה תחת הקערה שאוכלים, מועילה אף היא, ובלבד שאינם רגילים להניחה בימות החול. ומשמע שמהני אפילו כשמניחים רק תחת אחד מהם.</w:t>
      </w:r>
      <w:r>
        <w:rPr>
          <w:rFonts w:hint="cs"/>
          <w:sz w:val="20"/>
          <w:szCs w:val="20"/>
          <w:rtl/>
        </w:rPr>
        <w:br/>
        <w:t xml:space="preserve">ז. </w:t>
      </w:r>
      <w:r w:rsidRPr="00CE7EA4">
        <w:rPr>
          <w:rFonts w:hint="cs"/>
          <w:b/>
          <w:bCs/>
          <w:sz w:val="20"/>
          <w:szCs w:val="20"/>
          <w:rtl/>
        </w:rPr>
        <w:t>רבינו ירוחם</w:t>
      </w:r>
      <w:r>
        <w:rPr>
          <w:rFonts w:hint="cs"/>
          <w:sz w:val="20"/>
          <w:szCs w:val="20"/>
          <w:rtl/>
        </w:rPr>
        <w:t xml:space="preserve"> </w:t>
      </w:r>
      <w:r w:rsidRPr="00575A09">
        <w:rPr>
          <w:rFonts w:hint="cs"/>
          <w:sz w:val="18"/>
          <w:szCs w:val="18"/>
          <w:rtl/>
        </w:rPr>
        <w:t xml:space="preserve">(הו"ד </w:t>
      </w:r>
      <w:r w:rsidRPr="00575A09">
        <w:rPr>
          <w:rFonts w:hint="cs"/>
          <w:b/>
          <w:bCs/>
          <w:sz w:val="18"/>
          <w:szCs w:val="18"/>
          <w:rtl/>
        </w:rPr>
        <w:t>בב"י</w:t>
      </w:r>
      <w:r w:rsidRPr="00575A09">
        <w:rPr>
          <w:rFonts w:hint="cs"/>
          <w:sz w:val="18"/>
          <w:szCs w:val="18"/>
          <w:rtl/>
        </w:rPr>
        <w:t xml:space="preserve">) </w:t>
      </w:r>
      <w:r>
        <w:rPr>
          <w:sz w:val="20"/>
          <w:szCs w:val="20"/>
          <w:rtl/>
        </w:rPr>
        <w:t>–</w:t>
      </w:r>
      <w:r>
        <w:rPr>
          <w:rFonts w:hint="cs"/>
          <w:sz w:val="20"/>
          <w:szCs w:val="20"/>
          <w:rtl/>
        </w:rPr>
        <w:t xml:space="preserve"> הוא הדין שמועיל אם היא אינה יושבת במקומה הקבוע, וכ"פ </w:t>
      </w:r>
      <w:r w:rsidRPr="00CE7EA4">
        <w:rPr>
          <w:rFonts w:hint="cs"/>
          <w:b/>
          <w:bCs/>
          <w:sz w:val="20"/>
          <w:szCs w:val="20"/>
          <w:rtl/>
        </w:rPr>
        <w:t>טה"ב</w:t>
      </w:r>
      <w:r>
        <w:rPr>
          <w:rFonts w:hint="cs"/>
          <w:sz w:val="20"/>
          <w:szCs w:val="20"/>
          <w:rtl/>
        </w:rPr>
        <w:t>.</w:t>
      </w:r>
    </w:p>
    <w:p w:rsidR="00620060" w:rsidRDefault="00620060" w:rsidP="00620060">
      <w:pPr>
        <w:rPr>
          <w:sz w:val="20"/>
          <w:szCs w:val="20"/>
          <w:rtl/>
        </w:rPr>
      </w:pPr>
      <w:r>
        <w:rPr>
          <w:rFonts w:hint="cs"/>
          <w:sz w:val="20"/>
          <w:szCs w:val="20"/>
          <w:u w:val="single"/>
          <w:rtl/>
        </w:rPr>
        <w:t>שימוש בקנקן להיכר</w:t>
      </w:r>
      <w:r>
        <w:rPr>
          <w:sz w:val="20"/>
          <w:szCs w:val="20"/>
          <w:u w:val="single"/>
          <w:rtl/>
        </w:rPr>
        <w:br/>
      </w:r>
      <w:r w:rsidRPr="008B7745">
        <w:rPr>
          <w:rFonts w:hint="cs"/>
          <w:b/>
          <w:bCs/>
          <w:sz w:val="20"/>
          <w:szCs w:val="20"/>
          <w:rtl/>
        </w:rPr>
        <w:t>תורת השלמים</w:t>
      </w:r>
      <w:r>
        <w:rPr>
          <w:rFonts w:hint="cs"/>
          <w:sz w:val="20"/>
          <w:szCs w:val="20"/>
          <w:rtl/>
        </w:rPr>
        <w:t xml:space="preserve"> </w:t>
      </w:r>
      <w:r>
        <w:rPr>
          <w:sz w:val="20"/>
          <w:szCs w:val="20"/>
          <w:rtl/>
        </w:rPr>
        <w:t>–</w:t>
      </w:r>
      <w:r>
        <w:rPr>
          <w:rFonts w:hint="cs"/>
          <w:sz w:val="20"/>
          <w:szCs w:val="20"/>
          <w:rtl/>
        </w:rPr>
        <w:t xml:space="preserve"> קנקן שאין רגילים להניחו על השולחן בימי טהרתה, נחשב היכר אפילו אם כעת שותים ממנו.</w:t>
      </w:r>
      <w:r>
        <w:rPr>
          <w:sz w:val="20"/>
          <w:szCs w:val="20"/>
          <w:rtl/>
        </w:rPr>
        <w:br/>
      </w:r>
      <w:r>
        <w:rPr>
          <w:rFonts w:hint="cs"/>
          <w:sz w:val="20"/>
          <w:szCs w:val="20"/>
          <w:rtl/>
        </w:rPr>
        <w:t>אמנם, אם רגילים להניחו על השולחן בימי טהרתה, מהני להיכר רק אם כעת אינם שותים ממנו.</w:t>
      </w:r>
    </w:p>
    <w:p w:rsidR="00620060" w:rsidRDefault="00620060" w:rsidP="00620060">
      <w:pPr>
        <w:rPr>
          <w:sz w:val="20"/>
          <w:szCs w:val="20"/>
          <w:rtl/>
        </w:rPr>
      </w:pPr>
      <w:r>
        <w:rPr>
          <w:rFonts w:hint="cs"/>
          <w:sz w:val="20"/>
          <w:szCs w:val="20"/>
          <w:u w:val="single"/>
          <w:rtl/>
        </w:rPr>
        <w:t xml:space="preserve">היכר ע"י נתינת טבעת ביניהם (טהרת הבית עמ' קכג </w:t>
      </w:r>
      <w:r>
        <w:rPr>
          <w:sz w:val="20"/>
          <w:szCs w:val="20"/>
          <w:u w:val="single"/>
          <w:rtl/>
        </w:rPr>
        <w:t>–</w:t>
      </w:r>
      <w:r>
        <w:rPr>
          <w:rFonts w:hint="cs"/>
          <w:sz w:val="20"/>
          <w:szCs w:val="20"/>
          <w:u w:val="single"/>
          <w:rtl/>
        </w:rPr>
        <w:t xml:space="preserve"> קכד)</w:t>
      </w:r>
      <w:r>
        <w:rPr>
          <w:sz w:val="20"/>
          <w:szCs w:val="20"/>
          <w:u w:val="single"/>
          <w:rtl/>
        </w:rPr>
        <w:br/>
      </w:r>
      <w:r>
        <w:rPr>
          <w:rFonts w:hint="cs"/>
          <w:sz w:val="20"/>
          <w:szCs w:val="20"/>
          <w:rtl/>
        </w:rPr>
        <w:t xml:space="preserve">בהלכות בשר וחלב כתב </w:t>
      </w:r>
      <w:r w:rsidRPr="0097589C">
        <w:rPr>
          <w:rFonts w:hint="cs"/>
          <w:b/>
          <w:bCs/>
          <w:sz w:val="20"/>
          <w:szCs w:val="20"/>
          <w:rtl/>
        </w:rPr>
        <w:t>הדרכ"מ</w:t>
      </w:r>
      <w:r>
        <w:rPr>
          <w:rFonts w:hint="cs"/>
          <w:sz w:val="20"/>
          <w:szCs w:val="20"/>
          <w:rtl/>
        </w:rPr>
        <w:t xml:space="preserve"> שההיכר צריך להיות גבוה קצת וניכר לעין.</w:t>
      </w:r>
      <w:r>
        <w:rPr>
          <w:sz w:val="20"/>
          <w:szCs w:val="20"/>
          <w:rtl/>
        </w:rPr>
        <w:br/>
      </w:r>
      <w:r>
        <w:rPr>
          <w:rFonts w:hint="cs"/>
          <w:sz w:val="20"/>
          <w:szCs w:val="20"/>
          <w:rtl/>
        </w:rPr>
        <w:t xml:space="preserve">א. </w:t>
      </w:r>
      <w:r w:rsidRPr="0097589C">
        <w:rPr>
          <w:rFonts w:hint="cs"/>
          <w:b/>
          <w:bCs/>
          <w:sz w:val="20"/>
          <w:szCs w:val="20"/>
          <w:rtl/>
        </w:rPr>
        <w:t>שבט הלוי</w:t>
      </w:r>
      <w:r>
        <w:rPr>
          <w:rFonts w:hint="cs"/>
          <w:sz w:val="20"/>
          <w:szCs w:val="20"/>
          <w:rtl/>
        </w:rPr>
        <w:t xml:space="preserve"> </w:t>
      </w:r>
      <w:r>
        <w:rPr>
          <w:sz w:val="20"/>
          <w:szCs w:val="20"/>
          <w:rtl/>
        </w:rPr>
        <w:t>–</w:t>
      </w:r>
      <w:r>
        <w:rPr>
          <w:rFonts w:hint="cs"/>
          <w:sz w:val="20"/>
          <w:szCs w:val="20"/>
          <w:rtl/>
        </w:rPr>
        <w:t xml:space="preserve"> למרות שמסתבר שהוא הדין כאן צריך להיות היכר גבוה מעט, מכל מקום נהגו העולם להקל אפילו ע"י הנחת טבעת, וכן יש ללמוד מסתימת הפוסקים כאן.</w:t>
      </w:r>
      <w:r>
        <w:rPr>
          <w:sz w:val="20"/>
          <w:szCs w:val="20"/>
          <w:rtl/>
        </w:rPr>
        <w:br/>
      </w:r>
      <w:r w:rsidRPr="0097589C">
        <w:rPr>
          <w:rFonts w:hint="cs"/>
          <w:b/>
          <w:bCs/>
          <w:sz w:val="20"/>
          <w:szCs w:val="20"/>
          <w:rtl/>
        </w:rPr>
        <w:t>טהרת הבית</w:t>
      </w:r>
      <w:r>
        <w:rPr>
          <w:rFonts w:hint="cs"/>
          <w:sz w:val="20"/>
          <w:szCs w:val="20"/>
          <w:rtl/>
        </w:rPr>
        <w:t xml:space="preserve"> </w:t>
      </w:r>
      <w:r>
        <w:rPr>
          <w:sz w:val="20"/>
          <w:szCs w:val="20"/>
          <w:rtl/>
        </w:rPr>
        <w:t>–</w:t>
      </w:r>
      <w:r>
        <w:rPr>
          <w:rFonts w:hint="cs"/>
          <w:sz w:val="20"/>
          <w:szCs w:val="20"/>
          <w:rtl/>
        </w:rPr>
        <w:t xml:space="preserve"> אין ללמוד מסתימת הפוסקים, משום שיש לומר 'ילמד סתום מו המפורש', אך יש להקל משום שיש לסמוך על הרמב"ם </w:t>
      </w:r>
      <w:r w:rsidRPr="008B7745">
        <w:rPr>
          <w:rFonts w:hint="cs"/>
          <w:sz w:val="18"/>
          <w:szCs w:val="18"/>
          <w:rtl/>
        </w:rPr>
        <w:t xml:space="preserve">(שרק בקערה אחת אסור) </w:t>
      </w:r>
      <w:r>
        <w:rPr>
          <w:rFonts w:hint="cs"/>
          <w:sz w:val="20"/>
          <w:szCs w:val="20"/>
          <w:rtl/>
        </w:rPr>
        <w:t xml:space="preserve">ועל הרא"ש </w:t>
      </w:r>
      <w:r w:rsidRPr="008B7745">
        <w:rPr>
          <w:rFonts w:hint="cs"/>
          <w:sz w:val="18"/>
          <w:szCs w:val="18"/>
          <w:rtl/>
        </w:rPr>
        <w:t>(שרק בשולחן קטן אסור מעיקר הדין)</w:t>
      </w:r>
      <w:r>
        <w:rPr>
          <w:rFonts w:hint="cs"/>
          <w:sz w:val="20"/>
          <w:szCs w:val="20"/>
          <w:rtl/>
        </w:rPr>
        <w:t>.</w:t>
      </w:r>
      <w:r>
        <w:rPr>
          <w:sz w:val="20"/>
          <w:szCs w:val="20"/>
          <w:rtl/>
        </w:rPr>
        <w:br/>
      </w:r>
      <w:r>
        <w:rPr>
          <w:rFonts w:hint="cs"/>
          <w:sz w:val="20"/>
          <w:szCs w:val="20"/>
          <w:rtl/>
        </w:rPr>
        <w:t xml:space="preserve">ב. </w:t>
      </w:r>
      <w:r w:rsidRPr="0097589C">
        <w:rPr>
          <w:rFonts w:hint="cs"/>
          <w:b/>
          <w:bCs/>
          <w:sz w:val="20"/>
          <w:szCs w:val="20"/>
          <w:rtl/>
        </w:rPr>
        <w:t>סוגה בשושנים</w:t>
      </w:r>
      <w:r>
        <w:rPr>
          <w:rFonts w:hint="cs"/>
          <w:sz w:val="20"/>
          <w:szCs w:val="20"/>
          <w:rtl/>
        </w:rPr>
        <w:t xml:space="preserve"> </w:t>
      </w:r>
      <w:r>
        <w:rPr>
          <w:sz w:val="20"/>
          <w:szCs w:val="20"/>
          <w:rtl/>
        </w:rPr>
        <w:t>–</w:t>
      </w:r>
      <w:r>
        <w:rPr>
          <w:rFonts w:hint="cs"/>
          <w:sz w:val="20"/>
          <w:szCs w:val="20"/>
          <w:rtl/>
        </w:rPr>
        <w:t xml:space="preserve"> דין היכר כאן כדין היכר בהלכות בשר וחלב, דהיינו שהוא צריך להיות גבוה מעט. </w:t>
      </w:r>
    </w:p>
    <w:p w:rsidR="00620060" w:rsidRPr="00D21C50" w:rsidRDefault="00620060" w:rsidP="00620060">
      <w:pPr>
        <w:rPr>
          <w:sz w:val="20"/>
          <w:szCs w:val="20"/>
          <w:rtl/>
        </w:rPr>
      </w:pPr>
      <w:r>
        <w:rPr>
          <w:rFonts w:hint="cs"/>
          <w:sz w:val="20"/>
          <w:szCs w:val="20"/>
          <w:u w:val="single"/>
          <w:rtl/>
        </w:rPr>
        <w:t>מתי אפשר להקל ולאכול ללא היכר</w:t>
      </w:r>
      <w:r>
        <w:rPr>
          <w:rFonts w:hint="cs"/>
          <w:sz w:val="20"/>
          <w:szCs w:val="20"/>
          <w:u w:val="single"/>
          <w:rtl/>
        </w:rPr>
        <w:br/>
      </w:r>
      <w:r w:rsidRPr="00D21C50">
        <w:rPr>
          <w:rFonts w:hint="cs"/>
          <w:b/>
          <w:bCs/>
          <w:sz w:val="20"/>
          <w:szCs w:val="20"/>
          <w:rtl/>
        </w:rPr>
        <w:t>הליכות עולם</w:t>
      </w:r>
      <w:r>
        <w:rPr>
          <w:rFonts w:hint="cs"/>
          <w:sz w:val="20"/>
          <w:szCs w:val="20"/>
          <w:rtl/>
        </w:rPr>
        <w:t xml:space="preserve"> </w:t>
      </w:r>
      <w:r>
        <w:rPr>
          <w:sz w:val="20"/>
          <w:szCs w:val="20"/>
          <w:rtl/>
        </w:rPr>
        <w:t>–</w:t>
      </w:r>
      <w:r>
        <w:rPr>
          <w:rFonts w:hint="cs"/>
          <w:sz w:val="20"/>
          <w:szCs w:val="20"/>
          <w:rtl/>
        </w:rPr>
        <w:t xml:space="preserve"> אם מתארחים אצל אחרים, יש להקל שאינם צריכים לעשות היכר ביניהם כלל אפילו אם הם סועדים לבד על השולחן.</w:t>
      </w:r>
      <w:r>
        <w:rPr>
          <w:rStyle w:val="a5"/>
          <w:sz w:val="20"/>
          <w:szCs w:val="20"/>
          <w:rtl/>
        </w:rPr>
        <w:footnoteReference w:id="447"/>
      </w:r>
      <w:r>
        <w:rPr>
          <w:rFonts w:hint="cs"/>
          <w:sz w:val="20"/>
          <w:szCs w:val="20"/>
          <w:rtl/>
        </w:rPr>
        <w:t xml:space="preserve"> </w:t>
      </w:r>
    </w:p>
    <w:p w:rsidR="00620060" w:rsidRPr="00136730" w:rsidRDefault="00620060" w:rsidP="00620060">
      <w:pPr>
        <w:rPr>
          <w:sz w:val="20"/>
          <w:szCs w:val="20"/>
          <w:rtl/>
        </w:rPr>
      </w:pPr>
      <w:r>
        <w:rPr>
          <w:rFonts w:hint="cs"/>
          <w:b/>
          <w:bCs/>
          <w:sz w:val="20"/>
          <w:szCs w:val="20"/>
          <w:rtl/>
        </w:rPr>
        <w:t>היכר ע"י אכילה בקערה נפרדת</w:t>
      </w:r>
      <w:r>
        <w:rPr>
          <w:b/>
          <w:bCs/>
          <w:sz w:val="20"/>
          <w:szCs w:val="20"/>
          <w:rtl/>
        </w:rPr>
        <w:br/>
      </w:r>
      <w:r>
        <w:rPr>
          <w:rFonts w:hint="cs"/>
          <w:b/>
          <w:bCs/>
          <w:sz w:val="20"/>
          <w:szCs w:val="20"/>
          <w:rtl/>
        </w:rPr>
        <w:t>פסיקת הלכה</w:t>
      </w:r>
      <w:r>
        <w:rPr>
          <w:b/>
          <w:bCs/>
          <w:sz w:val="20"/>
          <w:szCs w:val="20"/>
          <w:rtl/>
        </w:rPr>
        <w:br/>
      </w:r>
      <w:r>
        <w:rPr>
          <w:rFonts w:hint="cs"/>
          <w:b/>
          <w:bCs/>
          <w:sz w:val="20"/>
          <w:szCs w:val="20"/>
          <w:rtl/>
        </w:rPr>
        <w:t>רמ"א</w:t>
      </w:r>
      <w:r w:rsidRPr="00EB273F">
        <w:rPr>
          <w:rFonts w:hint="cs"/>
          <w:sz w:val="18"/>
          <w:szCs w:val="18"/>
          <w:rtl/>
        </w:rPr>
        <w:t xml:space="preserve"> (ע"פ </w:t>
      </w:r>
      <w:r w:rsidRPr="00647D67">
        <w:rPr>
          <w:rFonts w:hint="cs"/>
          <w:b/>
          <w:bCs/>
          <w:sz w:val="18"/>
          <w:szCs w:val="18"/>
          <w:rtl/>
        </w:rPr>
        <w:t>שלטי גיבורים</w:t>
      </w:r>
      <w:r w:rsidRPr="00EB273F">
        <w:rPr>
          <w:rFonts w:hint="cs"/>
          <w:sz w:val="18"/>
          <w:szCs w:val="18"/>
          <w:rtl/>
        </w:rPr>
        <w:t xml:space="preserve">) </w:t>
      </w:r>
      <w:r w:rsidRPr="00EB273F">
        <w:rPr>
          <w:sz w:val="18"/>
          <w:szCs w:val="18"/>
          <w:rtl/>
        </w:rPr>
        <w:t>–</w:t>
      </w:r>
      <w:r w:rsidRPr="00EB273F">
        <w:rPr>
          <w:rFonts w:hint="cs"/>
          <w:sz w:val="18"/>
          <w:szCs w:val="18"/>
          <w:rtl/>
        </w:rPr>
        <w:t xml:space="preserve"> "</w:t>
      </w:r>
      <w:r>
        <w:rPr>
          <w:rFonts w:cs="Arial" w:hint="cs"/>
          <w:sz w:val="18"/>
          <w:szCs w:val="18"/>
          <w:rtl/>
        </w:rPr>
        <w:t xml:space="preserve">ויש </w:t>
      </w:r>
      <w:r w:rsidRPr="00EB273F">
        <w:rPr>
          <w:rFonts w:cs="Arial"/>
          <w:sz w:val="18"/>
          <w:szCs w:val="18"/>
          <w:rtl/>
        </w:rPr>
        <w:t>א</w:t>
      </w:r>
      <w:r>
        <w:rPr>
          <w:rFonts w:cs="Arial" w:hint="cs"/>
          <w:sz w:val="18"/>
          <w:szCs w:val="18"/>
          <w:rtl/>
        </w:rPr>
        <w:t>ומרים</w:t>
      </w:r>
      <w:r w:rsidRPr="00EB273F">
        <w:rPr>
          <w:rFonts w:cs="Arial"/>
          <w:sz w:val="18"/>
          <w:szCs w:val="18"/>
          <w:rtl/>
        </w:rPr>
        <w:t xml:space="preserve"> הא דצריכין הפסק בין קערה שלו לקערה שלה היינו דו</w:t>
      </w:r>
      <w:r>
        <w:rPr>
          <w:rFonts w:cs="Arial" w:hint="cs"/>
          <w:sz w:val="18"/>
          <w:szCs w:val="18"/>
          <w:rtl/>
        </w:rPr>
        <w:t>ו</w:t>
      </w:r>
      <w:r w:rsidRPr="00EB273F">
        <w:rPr>
          <w:rFonts w:cs="Arial"/>
          <w:sz w:val="18"/>
          <w:szCs w:val="18"/>
          <w:rtl/>
        </w:rPr>
        <w:t>קא כשאינן אוכלין בקערה אחת כשהיא טהורה, אבל אם אוכלין בקערה אחת כשהיא טהורה סגי אם אוכלת בקערה בפני עצמה, וא</w:t>
      </w:r>
      <w:r>
        <w:rPr>
          <w:rFonts w:cs="Arial" w:hint="cs"/>
          <w:sz w:val="18"/>
          <w:szCs w:val="18"/>
          <w:rtl/>
        </w:rPr>
        <w:t xml:space="preserve">ינם </w:t>
      </w:r>
      <w:r w:rsidRPr="00EB273F">
        <w:rPr>
          <w:rFonts w:cs="Arial"/>
          <w:sz w:val="18"/>
          <w:szCs w:val="18"/>
          <w:rtl/>
        </w:rPr>
        <w:t>צ</w:t>
      </w:r>
      <w:r>
        <w:rPr>
          <w:rFonts w:cs="Arial" w:hint="cs"/>
          <w:sz w:val="18"/>
          <w:szCs w:val="18"/>
          <w:rtl/>
        </w:rPr>
        <w:t>ריכים</w:t>
      </w:r>
      <w:r w:rsidRPr="00EB273F">
        <w:rPr>
          <w:rFonts w:cs="Arial"/>
          <w:sz w:val="18"/>
          <w:szCs w:val="18"/>
          <w:rtl/>
        </w:rPr>
        <w:t xml:space="preserve"> היכר אחר</w:t>
      </w:r>
      <w:r>
        <w:rPr>
          <w:rStyle w:val="a5"/>
          <w:rFonts w:cs="Arial"/>
          <w:sz w:val="18"/>
          <w:szCs w:val="18"/>
          <w:rtl/>
        </w:rPr>
        <w:footnoteReference w:id="448"/>
      </w:r>
      <w:r w:rsidRPr="00EB273F">
        <w:rPr>
          <w:rFonts w:cs="Arial" w:hint="cs"/>
          <w:sz w:val="18"/>
          <w:szCs w:val="18"/>
          <w:rtl/>
        </w:rPr>
        <w:t>".</w:t>
      </w:r>
      <w:r>
        <w:rPr>
          <w:rFonts w:hint="cs"/>
          <w:b/>
          <w:bCs/>
          <w:sz w:val="20"/>
          <w:szCs w:val="20"/>
          <w:rtl/>
        </w:rPr>
        <w:br/>
      </w:r>
      <w:r>
        <w:rPr>
          <w:sz w:val="20"/>
          <w:szCs w:val="20"/>
          <w:u w:val="single"/>
          <w:rtl/>
        </w:rPr>
        <w:br/>
      </w:r>
      <w:r>
        <w:rPr>
          <w:rFonts w:hint="cs"/>
          <w:sz w:val="20"/>
          <w:szCs w:val="20"/>
          <w:u w:val="single"/>
          <w:rtl/>
        </w:rPr>
        <w:t>אכילה בשולחן אחד עם אנשים נוספים (ש"ך ופת"ש)</w:t>
      </w:r>
      <w:r>
        <w:rPr>
          <w:rFonts w:hint="cs"/>
          <w:sz w:val="20"/>
          <w:szCs w:val="20"/>
          <w:u w:val="single"/>
          <w:rtl/>
        </w:rPr>
        <w:br/>
      </w:r>
      <w:r>
        <w:rPr>
          <w:rFonts w:hint="cs"/>
          <w:sz w:val="20"/>
          <w:szCs w:val="20"/>
          <w:rtl/>
        </w:rPr>
        <w:t xml:space="preserve">א. </w:t>
      </w:r>
      <w:r w:rsidRPr="001170FB">
        <w:rPr>
          <w:rFonts w:hint="cs"/>
          <w:b/>
          <w:bCs/>
          <w:sz w:val="20"/>
          <w:szCs w:val="20"/>
          <w:rtl/>
        </w:rPr>
        <w:t>ב"ח</w:t>
      </w:r>
      <w:r>
        <w:rPr>
          <w:rFonts w:hint="cs"/>
          <w:sz w:val="20"/>
          <w:szCs w:val="20"/>
          <w:rtl/>
        </w:rPr>
        <w:t xml:space="preserve"> </w:t>
      </w:r>
      <w:r w:rsidRPr="001170FB">
        <w:rPr>
          <w:rFonts w:hint="cs"/>
          <w:sz w:val="18"/>
          <w:szCs w:val="18"/>
          <w:rtl/>
        </w:rPr>
        <w:t xml:space="preserve">(הו"ד </w:t>
      </w:r>
      <w:r w:rsidRPr="001170FB">
        <w:rPr>
          <w:rFonts w:hint="cs"/>
          <w:b/>
          <w:bCs/>
          <w:sz w:val="18"/>
          <w:szCs w:val="18"/>
          <w:rtl/>
        </w:rPr>
        <w:t>בש"ך</w:t>
      </w:r>
      <w:r w:rsidRPr="001170FB">
        <w:rPr>
          <w:rFonts w:hint="cs"/>
          <w:sz w:val="18"/>
          <w:szCs w:val="18"/>
          <w:rtl/>
        </w:rPr>
        <w:t xml:space="preserve">) </w:t>
      </w:r>
      <w:r>
        <w:rPr>
          <w:sz w:val="20"/>
          <w:szCs w:val="20"/>
          <w:rtl/>
        </w:rPr>
        <w:t>–</w:t>
      </w:r>
      <w:r>
        <w:rPr>
          <w:rFonts w:hint="cs"/>
          <w:sz w:val="20"/>
          <w:szCs w:val="20"/>
          <w:rtl/>
        </w:rPr>
        <w:t xml:space="preserve"> היתר הרמ"א של אכילה בשתי קערות, מהני רק אם סועדים עמהם אנשים נוספים באותו השולחן, אך כשהזוג סועד לבדו לא מהני מה שכל אחד אוכל בקערה לבד. אך </w:t>
      </w:r>
      <w:r w:rsidRPr="001170FB">
        <w:rPr>
          <w:rFonts w:hint="cs"/>
          <w:b/>
          <w:bCs/>
          <w:sz w:val="20"/>
          <w:szCs w:val="20"/>
          <w:rtl/>
        </w:rPr>
        <w:t>הש"ך</w:t>
      </w:r>
      <w:r>
        <w:rPr>
          <w:rFonts w:hint="cs"/>
          <w:sz w:val="20"/>
          <w:szCs w:val="20"/>
          <w:rtl/>
        </w:rPr>
        <w:t xml:space="preserve"> כתב שאין זה מוכרח.</w:t>
      </w:r>
      <w:r>
        <w:rPr>
          <w:rFonts w:hint="cs"/>
          <w:sz w:val="20"/>
          <w:szCs w:val="20"/>
          <w:rtl/>
        </w:rPr>
        <w:br/>
        <w:t xml:space="preserve">ב. </w:t>
      </w:r>
      <w:r w:rsidRPr="00136730">
        <w:rPr>
          <w:rFonts w:hint="cs"/>
          <w:b/>
          <w:bCs/>
          <w:sz w:val="20"/>
          <w:szCs w:val="20"/>
          <w:rtl/>
        </w:rPr>
        <w:t>משאת בנימין</w:t>
      </w:r>
      <w:r>
        <w:rPr>
          <w:rFonts w:hint="cs"/>
          <w:sz w:val="20"/>
          <w:szCs w:val="20"/>
          <w:rtl/>
        </w:rPr>
        <w:t xml:space="preserve"> </w:t>
      </w:r>
      <w:r>
        <w:rPr>
          <w:sz w:val="20"/>
          <w:szCs w:val="20"/>
          <w:rtl/>
        </w:rPr>
        <w:t>–</w:t>
      </w:r>
      <w:r>
        <w:rPr>
          <w:rFonts w:hint="cs"/>
          <w:sz w:val="20"/>
          <w:szCs w:val="20"/>
          <w:rtl/>
        </w:rPr>
        <w:t xml:space="preserve"> אם בני הבית סועדים עמהם, מותר להם לאכול אפילו </w:t>
      </w:r>
      <w:r w:rsidRPr="00776413">
        <w:rPr>
          <w:rFonts w:hint="cs"/>
          <w:sz w:val="20"/>
          <w:szCs w:val="20"/>
          <w:u w:val="single"/>
          <w:rtl/>
        </w:rPr>
        <w:t>בקערה אחת</w:t>
      </w:r>
      <w:r>
        <w:rPr>
          <w:rFonts w:hint="cs"/>
          <w:sz w:val="20"/>
          <w:szCs w:val="20"/>
          <w:rtl/>
        </w:rPr>
        <w:t xml:space="preserve">. אמנם, יש מחמירים ויפה הם עושים, אך מדינא מותר, וכ"פ </w:t>
      </w:r>
      <w:r w:rsidRPr="00020E03">
        <w:rPr>
          <w:rFonts w:hint="cs"/>
          <w:b/>
          <w:bCs/>
          <w:sz w:val="20"/>
          <w:szCs w:val="20"/>
          <w:rtl/>
        </w:rPr>
        <w:t>טהרת הבית</w:t>
      </w:r>
      <w:r>
        <w:rPr>
          <w:rFonts w:hint="cs"/>
          <w:sz w:val="20"/>
          <w:szCs w:val="20"/>
          <w:rtl/>
        </w:rPr>
        <w:t xml:space="preserve"> ועיין הערה</w:t>
      </w:r>
      <w:r>
        <w:rPr>
          <w:rStyle w:val="a5"/>
          <w:sz w:val="20"/>
          <w:szCs w:val="20"/>
          <w:rtl/>
        </w:rPr>
        <w:footnoteReference w:id="449"/>
      </w:r>
      <w:r>
        <w:rPr>
          <w:rFonts w:hint="cs"/>
          <w:sz w:val="20"/>
          <w:szCs w:val="20"/>
          <w:rtl/>
        </w:rPr>
        <w:t>.</w:t>
      </w:r>
      <w:r>
        <w:rPr>
          <w:rFonts w:hint="cs"/>
          <w:sz w:val="20"/>
          <w:szCs w:val="20"/>
          <w:rtl/>
        </w:rPr>
        <w:br/>
        <w:t xml:space="preserve">ג. </w:t>
      </w:r>
      <w:r w:rsidRPr="00136730">
        <w:rPr>
          <w:rFonts w:hint="cs"/>
          <w:b/>
          <w:bCs/>
          <w:sz w:val="20"/>
          <w:szCs w:val="20"/>
          <w:rtl/>
        </w:rPr>
        <w:t>פת"ש</w:t>
      </w:r>
      <w:r>
        <w:rPr>
          <w:rFonts w:hint="cs"/>
          <w:sz w:val="20"/>
          <w:szCs w:val="20"/>
          <w:rtl/>
        </w:rPr>
        <w:t xml:space="preserve"> </w:t>
      </w:r>
      <w:r>
        <w:rPr>
          <w:sz w:val="20"/>
          <w:szCs w:val="20"/>
          <w:rtl/>
        </w:rPr>
        <w:t>–</w:t>
      </w:r>
      <w:r>
        <w:rPr>
          <w:rFonts w:hint="cs"/>
          <w:sz w:val="20"/>
          <w:szCs w:val="20"/>
          <w:rtl/>
        </w:rPr>
        <w:t xml:space="preserve"> נראה שאין להקל כדברי המשאת בנימין, משום שכשאוכלים בקערה אחת עלולים לאכול משיירי בן הזוג </w:t>
      </w:r>
      <w:r w:rsidRPr="00136730">
        <w:rPr>
          <w:rFonts w:hint="cs"/>
          <w:sz w:val="18"/>
          <w:szCs w:val="18"/>
          <w:rtl/>
        </w:rPr>
        <w:t>(אם אין אחר מפסיק ביניהם)</w:t>
      </w:r>
      <w:r>
        <w:rPr>
          <w:rFonts w:hint="cs"/>
          <w:sz w:val="20"/>
          <w:szCs w:val="20"/>
          <w:rtl/>
        </w:rPr>
        <w:t xml:space="preserve">, אך מכל מקום מהני סועדים נוספים לעניין שיכולים </w:t>
      </w:r>
      <w:r w:rsidRPr="00776413">
        <w:rPr>
          <w:rFonts w:hint="cs"/>
          <w:sz w:val="20"/>
          <w:szCs w:val="20"/>
          <w:u w:val="single"/>
          <w:rtl/>
        </w:rPr>
        <w:t>לאכול על שולחן אחד</w:t>
      </w:r>
      <w:r>
        <w:rPr>
          <w:rFonts w:hint="cs"/>
          <w:sz w:val="20"/>
          <w:szCs w:val="20"/>
          <w:rtl/>
        </w:rPr>
        <w:t xml:space="preserve">, וכ"פ </w:t>
      </w:r>
      <w:r w:rsidRPr="00367DBC">
        <w:rPr>
          <w:rFonts w:hint="cs"/>
          <w:b/>
          <w:bCs/>
          <w:sz w:val="20"/>
          <w:szCs w:val="20"/>
          <w:rtl/>
        </w:rPr>
        <w:t>טהרת הבית</w:t>
      </w:r>
      <w:r w:rsidRPr="00367DBC">
        <w:rPr>
          <w:rStyle w:val="a5"/>
          <w:sz w:val="20"/>
          <w:szCs w:val="20"/>
          <w:rtl/>
        </w:rPr>
        <w:footnoteReference w:id="450"/>
      </w:r>
      <w:r>
        <w:rPr>
          <w:rFonts w:hint="cs"/>
          <w:sz w:val="20"/>
          <w:szCs w:val="20"/>
          <w:rtl/>
        </w:rPr>
        <w:t>.</w:t>
      </w:r>
    </w:p>
    <w:p w:rsidR="00620060" w:rsidRDefault="00620060" w:rsidP="00620060">
      <w:pPr>
        <w:rPr>
          <w:sz w:val="20"/>
          <w:szCs w:val="20"/>
          <w:rtl/>
        </w:rPr>
      </w:pPr>
      <w:r>
        <w:rPr>
          <w:rFonts w:hint="cs"/>
          <w:sz w:val="20"/>
          <w:szCs w:val="20"/>
          <w:u w:val="single"/>
          <w:rtl/>
        </w:rPr>
        <w:t>לקיחת מאכל מצלחת מרכזית</w:t>
      </w:r>
      <w:r>
        <w:rPr>
          <w:sz w:val="20"/>
          <w:szCs w:val="20"/>
          <w:u w:val="single"/>
          <w:rtl/>
        </w:rPr>
        <w:br/>
      </w:r>
      <w:r w:rsidRPr="00FB434F">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מותר להשתמש בצלחת הגשה אחת לבעל ולאשתו בזמן שהיא נידה, ובלבד שאינם אוכלים ישירות מצלחת זו אלא מניחים בצלחתם האישית ואחר כך אוכלים.</w:t>
      </w:r>
    </w:p>
    <w:p w:rsidR="00620060" w:rsidRDefault="00620060" w:rsidP="00620060">
      <w:pPr>
        <w:rPr>
          <w:sz w:val="20"/>
          <w:szCs w:val="20"/>
          <w:rtl/>
        </w:rPr>
      </w:pPr>
      <w:r>
        <w:rPr>
          <w:rFonts w:hint="cs"/>
          <w:noProof/>
          <w:sz w:val="20"/>
          <w:szCs w:val="20"/>
          <w:u w:val="single"/>
          <w:rtl/>
        </w:rPr>
        <mc:AlternateContent>
          <mc:Choice Requires="wps">
            <w:drawing>
              <wp:anchor distT="0" distB="0" distL="114300" distR="114300" simplePos="0" relativeHeight="251661312" behindDoc="0" locked="0" layoutInCell="1" allowOverlap="1" wp14:anchorId="197C98D6" wp14:editId="5C000D1A">
                <wp:simplePos x="0" y="0"/>
                <wp:positionH relativeFrom="column">
                  <wp:posOffset>4323080</wp:posOffset>
                </wp:positionH>
                <wp:positionV relativeFrom="paragraph">
                  <wp:posOffset>36195</wp:posOffset>
                </wp:positionV>
                <wp:extent cx="45085" cy="228600"/>
                <wp:effectExtent l="19050" t="0" r="31115" b="38100"/>
                <wp:wrapNone/>
                <wp:docPr id="2" name="חץ למטה 2"/>
                <wp:cNvGraphicFramePr/>
                <a:graphic xmlns:a="http://schemas.openxmlformats.org/drawingml/2006/main">
                  <a:graphicData uri="http://schemas.microsoft.com/office/word/2010/wordprocessingShape">
                    <wps:wsp>
                      <wps:cNvSpPr/>
                      <wps:spPr>
                        <a:xfrm>
                          <a:off x="0" y="0"/>
                          <a:ext cx="45085"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חץ למטה 2" o:spid="_x0000_s1026" type="#_x0000_t67" style="position:absolute;left:0;text-align:left;margin-left:340.4pt;margin-top:2.85pt;width:3.55pt;height:1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" adj="19470" fillcolor="#4f81bd [3204]" strokecolor="#243f60 [1604]" strokeweight="2pt"/>
            </w:pict>
          </mc:Fallback>
        </mc:AlternateContent>
      </w:r>
    </w:p>
    <w:p w:rsidR="00620060" w:rsidRDefault="00620060" w:rsidP="00620060">
      <w:pPr>
        <w:spacing w:before="240"/>
        <w:rPr>
          <w:sz w:val="20"/>
          <w:szCs w:val="20"/>
          <w:rtl/>
        </w:rPr>
      </w:pPr>
      <w:r>
        <w:rPr>
          <w:rFonts w:hint="cs"/>
          <w:sz w:val="20"/>
          <w:szCs w:val="20"/>
          <w:u w:val="single"/>
          <w:rtl/>
        </w:rPr>
        <w:lastRenderedPageBreak/>
        <w:t>האם מותר למרוח לחם מאותו ממרח ולקחת מאותן פרוסות לחם המונחות על השולחן? (טה"ב עמ' קכב)</w:t>
      </w:r>
      <w:r>
        <w:rPr>
          <w:rFonts w:hint="cs"/>
          <w:sz w:val="20"/>
          <w:szCs w:val="20"/>
          <w:u w:val="single"/>
          <w:rtl/>
        </w:rPr>
        <w:br/>
      </w:r>
      <w:r>
        <w:rPr>
          <w:rFonts w:hint="cs"/>
          <w:sz w:val="20"/>
          <w:szCs w:val="20"/>
          <w:rtl/>
        </w:rPr>
        <w:t xml:space="preserve">זו לשון </w:t>
      </w:r>
      <w:r w:rsidRPr="00CA6807">
        <w:rPr>
          <w:rFonts w:hint="cs"/>
          <w:b/>
          <w:bCs/>
          <w:sz w:val="20"/>
          <w:szCs w:val="20"/>
          <w:rtl/>
        </w:rPr>
        <w:t>הט"ז</w:t>
      </w:r>
      <w:r>
        <w:rPr>
          <w:rFonts w:hint="cs"/>
          <w:sz w:val="20"/>
          <w:szCs w:val="20"/>
          <w:rtl/>
        </w:rPr>
        <w:t xml:space="preserve"> </w:t>
      </w:r>
      <w:r>
        <w:rPr>
          <w:sz w:val="20"/>
          <w:szCs w:val="20"/>
          <w:rtl/>
        </w:rPr>
        <w:t>–</w:t>
      </w:r>
      <w:r>
        <w:rPr>
          <w:rFonts w:hint="cs"/>
          <w:sz w:val="20"/>
          <w:szCs w:val="20"/>
          <w:rtl/>
        </w:rPr>
        <w:t xml:space="preserve"> "</w:t>
      </w:r>
      <w:r>
        <w:rPr>
          <w:rFonts w:cs="Arial" w:hint="cs"/>
          <w:sz w:val="20"/>
          <w:szCs w:val="20"/>
          <w:rtl/>
        </w:rPr>
        <w:t>א</w:t>
      </w:r>
      <w:r w:rsidRPr="00F00243">
        <w:rPr>
          <w:rFonts w:cs="Arial"/>
          <w:sz w:val="20"/>
          <w:szCs w:val="20"/>
          <w:rtl/>
        </w:rPr>
        <w:t>בל כשמשימין קערה עם החתיכו</w:t>
      </w:r>
      <w:r>
        <w:rPr>
          <w:rFonts w:cs="Arial" w:hint="cs"/>
          <w:sz w:val="20"/>
          <w:szCs w:val="20"/>
          <w:rtl/>
        </w:rPr>
        <w:t>ת</w:t>
      </w:r>
      <w:r w:rsidRPr="00F00243">
        <w:rPr>
          <w:rFonts w:cs="Arial"/>
          <w:sz w:val="20"/>
          <w:szCs w:val="20"/>
          <w:rtl/>
        </w:rPr>
        <w:t xml:space="preserve"> גדולות כדרך שמשימין בקדרה</w:t>
      </w:r>
      <w:r>
        <w:rPr>
          <w:rFonts w:cs="Arial" w:hint="cs"/>
          <w:sz w:val="20"/>
          <w:szCs w:val="20"/>
          <w:rtl/>
        </w:rPr>
        <w:t>,</w:t>
      </w:r>
      <w:r w:rsidRPr="00F00243">
        <w:rPr>
          <w:rFonts w:cs="Arial"/>
          <w:sz w:val="20"/>
          <w:szCs w:val="20"/>
          <w:rtl/>
        </w:rPr>
        <w:t xml:space="preserve"> וכל א</w:t>
      </w:r>
      <w:r>
        <w:rPr>
          <w:rFonts w:cs="Arial" w:hint="cs"/>
          <w:sz w:val="20"/>
          <w:szCs w:val="20"/>
          <w:rtl/>
        </w:rPr>
        <w:t>חד</w:t>
      </w:r>
      <w:r w:rsidRPr="00F00243">
        <w:rPr>
          <w:rFonts w:cs="Arial"/>
          <w:sz w:val="20"/>
          <w:szCs w:val="20"/>
          <w:rtl/>
        </w:rPr>
        <w:t xml:space="preserve"> נוטל מן הקערה ומשים לפניו על כלי מיוחד ואוכל משם</w:t>
      </w:r>
      <w:r>
        <w:rPr>
          <w:rFonts w:cs="Arial" w:hint="cs"/>
          <w:sz w:val="20"/>
          <w:szCs w:val="20"/>
          <w:rtl/>
        </w:rPr>
        <w:t>,</w:t>
      </w:r>
      <w:r w:rsidRPr="00F00243">
        <w:rPr>
          <w:rFonts w:cs="Arial"/>
          <w:sz w:val="20"/>
          <w:szCs w:val="20"/>
          <w:rtl/>
        </w:rPr>
        <w:t xml:space="preserve"> אין בזה איסור</w:t>
      </w:r>
      <w:r>
        <w:rPr>
          <w:rFonts w:cs="Arial" w:hint="cs"/>
          <w:sz w:val="20"/>
          <w:szCs w:val="20"/>
          <w:rtl/>
        </w:rPr>
        <w:t>,</w:t>
      </w:r>
      <w:r w:rsidRPr="00F00243">
        <w:rPr>
          <w:rFonts w:cs="Arial"/>
          <w:sz w:val="20"/>
          <w:szCs w:val="20"/>
          <w:rtl/>
        </w:rPr>
        <w:t xml:space="preserve"> כיון דאין האכילה מיד בלקיחתו מקערה שלוקחה אלא משתמש בכלי אחר בינתיים</w:t>
      </w:r>
      <w:r>
        <w:rPr>
          <w:rFonts w:hint="cs"/>
          <w:sz w:val="20"/>
          <w:szCs w:val="20"/>
          <w:rtl/>
        </w:rPr>
        <w:t>".</w:t>
      </w:r>
      <w:r>
        <w:rPr>
          <w:sz w:val="20"/>
          <w:szCs w:val="20"/>
          <w:rtl/>
        </w:rPr>
        <w:br/>
      </w:r>
      <w:r>
        <w:rPr>
          <w:rFonts w:hint="cs"/>
          <w:sz w:val="20"/>
          <w:szCs w:val="20"/>
          <w:rtl/>
        </w:rPr>
        <w:t>ועל פי זה נחלקו האחרונים, מה הדין כאשר כל אחד נוטל מצלחת ההגשה המרכזית אך אינו מניח את מה שנטל בכלי אחר בינתיים, כגון שמונחת ריבה בקערה וכל אחד לוקח בסכין ומורח על פרוסת הלחם שלו, או כגון שמונחות פרוסות לחם בקערה וכל אחד נוטל פרוסה ואוכל אותה מידו ללא הנחה בכלי, האם מותר?</w:t>
      </w:r>
      <w:r>
        <w:rPr>
          <w:rFonts w:hint="cs"/>
          <w:sz w:val="20"/>
          <w:szCs w:val="20"/>
          <w:rtl/>
        </w:rPr>
        <w:br/>
        <w:t xml:space="preserve">א. </w:t>
      </w:r>
      <w:r w:rsidRPr="00CE7EA4">
        <w:rPr>
          <w:rFonts w:hint="cs"/>
          <w:b/>
          <w:bCs/>
          <w:sz w:val="20"/>
          <w:szCs w:val="20"/>
          <w:rtl/>
        </w:rPr>
        <w:t>שו"ת בית ישראל</w:t>
      </w:r>
      <w:r>
        <w:rPr>
          <w:rFonts w:hint="cs"/>
          <w:sz w:val="20"/>
          <w:szCs w:val="20"/>
          <w:rtl/>
        </w:rPr>
        <w:t xml:space="preserve"> </w:t>
      </w:r>
      <w:r>
        <w:rPr>
          <w:sz w:val="20"/>
          <w:szCs w:val="20"/>
          <w:rtl/>
        </w:rPr>
        <w:t>–</w:t>
      </w:r>
      <w:r>
        <w:rPr>
          <w:rFonts w:hint="cs"/>
          <w:sz w:val="20"/>
          <w:szCs w:val="20"/>
          <w:rtl/>
        </w:rPr>
        <w:t xml:space="preserve"> אסור.</w:t>
      </w:r>
      <w:r>
        <w:rPr>
          <w:sz w:val="20"/>
          <w:szCs w:val="20"/>
          <w:rtl/>
        </w:rPr>
        <w:br/>
      </w:r>
      <w:r w:rsidRPr="00CE7EA4">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ההיתר של הט"ז נאמר רק אם מניח את המאכל בצלחתו האישית.</w:t>
      </w:r>
      <w:r>
        <w:rPr>
          <w:sz w:val="20"/>
          <w:szCs w:val="20"/>
          <w:rtl/>
        </w:rPr>
        <w:br/>
      </w:r>
      <w:r>
        <w:rPr>
          <w:rFonts w:hint="cs"/>
          <w:sz w:val="20"/>
          <w:szCs w:val="20"/>
          <w:rtl/>
        </w:rPr>
        <w:t xml:space="preserve">ב. </w:t>
      </w:r>
      <w:r w:rsidRPr="00CE7EA4">
        <w:rPr>
          <w:rFonts w:hint="cs"/>
          <w:b/>
          <w:bCs/>
          <w:sz w:val="20"/>
          <w:szCs w:val="20"/>
          <w:rtl/>
        </w:rPr>
        <w:t>אגרות משה</w:t>
      </w:r>
      <w:r>
        <w:rPr>
          <w:rFonts w:hint="cs"/>
          <w:sz w:val="20"/>
          <w:szCs w:val="20"/>
          <w:rtl/>
        </w:rPr>
        <w:t xml:space="preserve"> </w:t>
      </w:r>
      <w:r>
        <w:rPr>
          <w:sz w:val="20"/>
          <w:szCs w:val="20"/>
          <w:rtl/>
        </w:rPr>
        <w:t>–</w:t>
      </w:r>
      <w:r>
        <w:rPr>
          <w:rFonts w:hint="cs"/>
          <w:sz w:val="20"/>
          <w:szCs w:val="20"/>
          <w:rtl/>
        </w:rPr>
        <w:t xml:space="preserve"> מותר, אך טוב להחמיר.</w:t>
      </w:r>
      <w:r>
        <w:rPr>
          <w:sz w:val="20"/>
          <w:szCs w:val="20"/>
          <w:rtl/>
        </w:rPr>
        <w:br/>
      </w:r>
      <w:r>
        <w:rPr>
          <w:rFonts w:hint="cs"/>
          <w:sz w:val="20"/>
          <w:szCs w:val="20"/>
          <w:rtl/>
        </w:rPr>
        <w:t xml:space="preserve">ג. </w:t>
      </w:r>
      <w:r w:rsidRPr="00CE7EA4">
        <w:rPr>
          <w:rFonts w:hint="cs"/>
          <w:b/>
          <w:bCs/>
          <w:sz w:val="20"/>
          <w:szCs w:val="20"/>
          <w:rtl/>
        </w:rPr>
        <w:t>שבט הלוי וטהרת הבית</w:t>
      </w:r>
      <w:r>
        <w:rPr>
          <w:rFonts w:hint="cs"/>
          <w:sz w:val="20"/>
          <w:szCs w:val="20"/>
          <w:rtl/>
        </w:rPr>
        <w:t xml:space="preserve"> </w:t>
      </w:r>
      <w:r>
        <w:rPr>
          <w:sz w:val="20"/>
          <w:szCs w:val="20"/>
          <w:rtl/>
        </w:rPr>
        <w:t>–</w:t>
      </w:r>
      <w:r>
        <w:rPr>
          <w:rFonts w:hint="cs"/>
          <w:sz w:val="20"/>
          <w:szCs w:val="20"/>
          <w:rtl/>
        </w:rPr>
        <w:t xml:space="preserve"> מותר.</w:t>
      </w:r>
      <w:r>
        <w:rPr>
          <w:sz w:val="20"/>
          <w:szCs w:val="20"/>
          <w:rtl/>
        </w:rPr>
        <w:br/>
      </w:r>
      <w:r w:rsidRPr="00771FA2">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w:t>
      </w:r>
      <w:r w:rsidRPr="00CE7EA4">
        <w:rPr>
          <w:rFonts w:hint="cs"/>
          <w:b/>
          <w:bCs/>
          <w:sz w:val="20"/>
          <w:szCs w:val="20"/>
          <w:rtl/>
        </w:rPr>
        <w:t>הסדרי הטרה</w:t>
      </w:r>
      <w:r>
        <w:rPr>
          <w:rFonts w:hint="cs"/>
          <w:sz w:val="20"/>
          <w:szCs w:val="20"/>
          <w:rtl/>
        </w:rPr>
        <w:t xml:space="preserve"> העתיק את דברי הט"ז והשמיט מהם את התנאי שכל אחד מניח את המאכל לפניו, לפי"ז טעם ההיתר הוא מפני שאין אוכל מייד את כל מה שנטל מהקערה, אלא האכילה נעשית מעט מעט.</w:t>
      </w:r>
      <w:r>
        <w:rPr>
          <w:rFonts w:hint="cs"/>
          <w:sz w:val="20"/>
          <w:szCs w:val="20"/>
          <w:rtl/>
        </w:rPr>
        <w:br/>
      </w:r>
      <w:r>
        <w:rPr>
          <w:b/>
          <w:bCs/>
          <w:sz w:val="20"/>
          <w:szCs w:val="20"/>
          <w:rtl/>
        </w:rPr>
        <w:br/>
      </w:r>
      <w:r>
        <w:rPr>
          <w:rFonts w:hint="cs"/>
          <w:b/>
          <w:bCs/>
          <w:sz w:val="20"/>
          <w:szCs w:val="20"/>
          <w:rtl/>
        </w:rPr>
        <w:t>אכילת שיור מאכל אשתו</w:t>
      </w:r>
      <w:r>
        <w:rPr>
          <w:b/>
          <w:bCs/>
          <w:sz w:val="20"/>
          <w:szCs w:val="20"/>
          <w:rtl/>
        </w:rPr>
        <w:br/>
      </w:r>
      <w:r>
        <w:rPr>
          <w:rFonts w:hint="cs"/>
          <w:b/>
          <w:bCs/>
          <w:sz w:val="20"/>
          <w:szCs w:val="20"/>
          <w:rtl/>
        </w:rPr>
        <w:t>פסיקת הלכה</w:t>
      </w:r>
      <w:r>
        <w:rPr>
          <w:b/>
          <w:bCs/>
          <w:sz w:val="20"/>
          <w:szCs w:val="20"/>
          <w:rtl/>
        </w:rPr>
        <w:br/>
      </w:r>
      <w:r>
        <w:rPr>
          <w:rFonts w:hint="cs"/>
          <w:sz w:val="20"/>
          <w:szCs w:val="20"/>
          <w:rtl/>
        </w:rPr>
        <w:t xml:space="preserve">א. </w:t>
      </w:r>
      <w:r>
        <w:rPr>
          <w:rFonts w:hint="cs"/>
          <w:b/>
          <w:bCs/>
          <w:sz w:val="20"/>
          <w:szCs w:val="20"/>
          <w:rtl/>
        </w:rPr>
        <w:t xml:space="preserve">רמ"א </w:t>
      </w:r>
      <w:r>
        <w:rPr>
          <w:sz w:val="20"/>
          <w:szCs w:val="20"/>
          <w:rtl/>
        </w:rPr>
        <w:t>–</w:t>
      </w:r>
      <w:r>
        <w:rPr>
          <w:rFonts w:hint="cs"/>
          <w:sz w:val="20"/>
          <w:szCs w:val="20"/>
          <w:rtl/>
        </w:rPr>
        <w:t xml:space="preserve"> </w:t>
      </w:r>
      <w:r w:rsidRPr="00FB434F">
        <w:rPr>
          <w:rFonts w:hint="cs"/>
          <w:sz w:val="18"/>
          <w:szCs w:val="18"/>
          <w:rtl/>
        </w:rPr>
        <w:t>"</w:t>
      </w:r>
      <w:r w:rsidRPr="00FB434F">
        <w:rPr>
          <w:rFonts w:cs="Arial"/>
          <w:sz w:val="18"/>
          <w:szCs w:val="18"/>
          <w:rtl/>
        </w:rPr>
        <w:t>י</w:t>
      </w:r>
      <w:r w:rsidRPr="00FB434F">
        <w:rPr>
          <w:rFonts w:cs="Arial" w:hint="cs"/>
          <w:sz w:val="18"/>
          <w:szCs w:val="18"/>
          <w:rtl/>
        </w:rPr>
        <w:t>ש אומרים</w:t>
      </w:r>
      <w:r w:rsidRPr="00FB434F">
        <w:rPr>
          <w:rFonts w:cs="Arial"/>
          <w:sz w:val="18"/>
          <w:szCs w:val="18"/>
          <w:rtl/>
        </w:rPr>
        <w:t xml:space="preserve"> שאסור לו לאכול משיורי מאכל שלה</w:t>
      </w:r>
      <w:r w:rsidRPr="00FB434F">
        <w:rPr>
          <w:rFonts w:cs="Arial" w:hint="cs"/>
          <w:sz w:val="18"/>
          <w:szCs w:val="18"/>
          <w:rtl/>
        </w:rPr>
        <w:t>,</w:t>
      </w:r>
      <w:r w:rsidRPr="00FB434F">
        <w:rPr>
          <w:rFonts w:cs="Arial"/>
          <w:sz w:val="18"/>
          <w:szCs w:val="18"/>
          <w:rtl/>
        </w:rPr>
        <w:t xml:space="preserve"> כמו שאסור לשתות משיורי כוס שלה, וכמו שיתבאר</w:t>
      </w:r>
      <w:r w:rsidRPr="00FB434F">
        <w:rPr>
          <w:rFonts w:cs="Arial" w:hint="cs"/>
          <w:sz w:val="18"/>
          <w:szCs w:val="18"/>
          <w:rtl/>
        </w:rPr>
        <w:t>"</w:t>
      </w:r>
      <w:r w:rsidRPr="00FB434F">
        <w:rPr>
          <w:rFonts w:cs="Arial"/>
          <w:sz w:val="18"/>
          <w:szCs w:val="18"/>
          <w:rtl/>
        </w:rPr>
        <w:t>.</w:t>
      </w:r>
      <w:r>
        <w:rPr>
          <w:rFonts w:hint="cs"/>
          <w:sz w:val="20"/>
          <w:szCs w:val="20"/>
          <w:rtl/>
        </w:rPr>
        <w:br/>
      </w:r>
      <w:r w:rsidRPr="00FB434F">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דין אכילת שיורי מאכל אשתו נלמד מדין שיורי כוס ששתתה </w:t>
      </w:r>
      <w:r w:rsidRPr="00FD134D">
        <w:rPr>
          <w:rFonts w:hint="cs"/>
          <w:sz w:val="18"/>
          <w:szCs w:val="18"/>
          <w:rtl/>
        </w:rPr>
        <w:t>(מבואר בסעיף הבא)</w:t>
      </w:r>
      <w:r>
        <w:rPr>
          <w:rFonts w:hint="cs"/>
          <w:sz w:val="20"/>
          <w:szCs w:val="20"/>
          <w:rtl/>
        </w:rPr>
        <w:t>, למרות שהרמ"א כתב זאת רק  בשם יש אומרים</w:t>
      </w:r>
      <w:r>
        <w:rPr>
          <w:rStyle w:val="a5"/>
          <w:sz w:val="20"/>
          <w:szCs w:val="20"/>
          <w:rtl/>
        </w:rPr>
        <w:footnoteReference w:id="451"/>
      </w:r>
      <w:r>
        <w:rPr>
          <w:rFonts w:hint="cs"/>
          <w:sz w:val="20"/>
          <w:szCs w:val="20"/>
          <w:rtl/>
        </w:rPr>
        <w:t>.</w:t>
      </w:r>
      <w:r>
        <w:rPr>
          <w:rFonts w:hint="cs"/>
          <w:sz w:val="20"/>
          <w:szCs w:val="20"/>
          <w:rtl/>
        </w:rPr>
        <w:br/>
        <w:t xml:space="preserve">ב. </w:t>
      </w:r>
      <w:r w:rsidRPr="00CD784E">
        <w:rPr>
          <w:rFonts w:hint="cs"/>
          <w:b/>
          <w:bCs/>
          <w:sz w:val="20"/>
          <w:szCs w:val="20"/>
          <w:rtl/>
        </w:rPr>
        <w:t>א</w:t>
      </w:r>
      <w:r>
        <w:rPr>
          <w:rFonts w:hint="cs"/>
          <w:b/>
          <w:bCs/>
          <w:sz w:val="20"/>
          <w:szCs w:val="20"/>
          <w:rtl/>
        </w:rPr>
        <w:t>רח</w:t>
      </w:r>
      <w:r w:rsidRPr="00CD784E">
        <w:rPr>
          <w:rFonts w:hint="cs"/>
          <w:b/>
          <w:bCs/>
          <w:sz w:val="20"/>
          <w:szCs w:val="20"/>
          <w:rtl/>
        </w:rPr>
        <w:t>ות חיים</w:t>
      </w:r>
      <w:r>
        <w:rPr>
          <w:rFonts w:hint="cs"/>
          <w:sz w:val="20"/>
          <w:szCs w:val="20"/>
          <w:rtl/>
        </w:rPr>
        <w:t xml:space="preserve"> </w:t>
      </w:r>
      <w:r w:rsidRPr="00CD784E">
        <w:rPr>
          <w:rFonts w:hint="cs"/>
          <w:sz w:val="18"/>
          <w:szCs w:val="18"/>
          <w:rtl/>
        </w:rPr>
        <w:t xml:space="preserve">(הו"ד </w:t>
      </w:r>
      <w:r w:rsidRPr="00CD784E">
        <w:rPr>
          <w:rFonts w:hint="cs"/>
          <w:b/>
          <w:bCs/>
          <w:sz w:val="18"/>
          <w:szCs w:val="18"/>
          <w:rtl/>
        </w:rPr>
        <w:t>בבדק הבית</w:t>
      </w:r>
      <w:r w:rsidRPr="00CD784E">
        <w:rPr>
          <w:rFonts w:hint="cs"/>
          <w:sz w:val="18"/>
          <w:szCs w:val="18"/>
          <w:rtl/>
        </w:rPr>
        <w:t xml:space="preserve">) </w:t>
      </w:r>
      <w:r>
        <w:rPr>
          <w:sz w:val="20"/>
          <w:szCs w:val="20"/>
          <w:rtl/>
        </w:rPr>
        <w:t>–</w:t>
      </w:r>
      <w:r>
        <w:rPr>
          <w:rFonts w:hint="cs"/>
          <w:sz w:val="20"/>
          <w:szCs w:val="20"/>
          <w:rtl/>
        </w:rPr>
        <w:t xml:space="preserve"> מותר לאכול משיורי מאכל שאכלה אשתו נידה, וכ"פ </w:t>
      </w:r>
      <w:r w:rsidRPr="00B51151">
        <w:rPr>
          <w:rFonts w:hint="cs"/>
          <w:b/>
          <w:bCs/>
          <w:sz w:val="20"/>
          <w:szCs w:val="20"/>
          <w:rtl/>
        </w:rPr>
        <w:t>טה"ב</w:t>
      </w:r>
      <w:r>
        <w:rPr>
          <w:rFonts w:hint="cs"/>
          <w:sz w:val="20"/>
          <w:szCs w:val="20"/>
          <w:rtl/>
        </w:rPr>
        <w:t xml:space="preserve"> </w:t>
      </w:r>
      <w:r w:rsidRPr="00B51151">
        <w:rPr>
          <w:rFonts w:hint="cs"/>
          <w:sz w:val="20"/>
          <w:szCs w:val="20"/>
          <w:u w:val="single"/>
          <w:rtl/>
        </w:rPr>
        <w:t>לבני ספרד</w:t>
      </w:r>
      <w:r>
        <w:rPr>
          <w:rFonts w:hint="cs"/>
          <w:sz w:val="20"/>
          <w:szCs w:val="20"/>
          <w:rtl/>
        </w:rPr>
        <w:t>.</w:t>
      </w:r>
      <w:r>
        <w:rPr>
          <w:rStyle w:val="a5"/>
          <w:sz w:val="20"/>
          <w:szCs w:val="20"/>
          <w:rtl/>
        </w:rPr>
        <w:footnoteReference w:id="452"/>
      </w:r>
    </w:p>
    <w:p w:rsidR="00620060" w:rsidRPr="00B51151" w:rsidRDefault="00620060" w:rsidP="00620060">
      <w:pPr>
        <w:spacing w:before="240"/>
        <w:rPr>
          <w:sz w:val="20"/>
          <w:szCs w:val="20"/>
          <w:rtl/>
        </w:rPr>
      </w:pPr>
      <w:r>
        <w:rPr>
          <w:rFonts w:hint="cs"/>
          <w:sz w:val="20"/>
          <w:szCs w:val="20"/>
          <w:u w:val="single"/>
          <w:rtl/>
        </w:rPr>
        <w:t>פרטים בחומרת הרמ"א</w:t>
      </w:r>
      <w:r>
        <w:rPr>
          <w:sz w:val="20"/>
          <w:szCs w:val="20"/>
          <w:u w:val="single"/>
          <w:rtl/>
        </w:rPr>
        <w:br/>
      </w:r>
      <w:r>
        <w:rPr>
          <w:rFonts w:hint="cs"/>
          <w:sz w:val="20"/>
          <w:szCs w:val="20"/>
          <w:rtl/>
        </w:rPr>
        <w:t xml:space="preserve">א. </w:t>
      </w:r>
      <w:r w:rsidRPr="00B51151">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כל הקולות הנוהגות לקמן לגבי כוס, כגון שאם הפסיק אדם אחר ביניהם מותר, נוהגות גם כאן.</w:t>
      </w:r>
      <w:r>
        <w:rPr>
          <w:rFonts w:hint="cs"/>
          <w:sz w:val="20"/>
          <w:szCs w:val="20"/>
          <w:rtl/>
        </w:rPr>
        <w:br/>
        <w:t xml:space="preserve">ב. </w:t>
      </w:r>
      <w:r w:rsidRPr="00856DD6">
        <w:rPr>
          <w:rFonts w:hint="cs"/>
          <w:b/>
          <w:bCs/>
          <w:sz w:val="20"/>
          <w:szCs w:val="20"/>
          <w:rtl/>
        </w:rPr>
        <w:t>טהרת הבית</w:t>
      </w:r>
      <w:r>
        <w:rPr>
          <w:rFonts w:hint="cs"/>
          <w:sz w:val="20"/>
          <w:szCs w:val="20"/>
          <w:rtl/>
        </w:rPr>
        <w:t xml:space="preserve"> </w:t>
      </w:r>
      <w:r>
        <w:rPr>
          <w:sz w:val="20"/>
          <w:szCs w:val="20"/>
          <w:rtl/>
        </w:rPr>
        <w:t>–</w:t>
      </w:r>
      <w:r>
        <w:rPr>
          <w:rFonts w:hint="cs"/>
          <w:sz w:val="20"/>
          <w:szCs w:val="20"/>
          <w:rtl/>
        </w:rPr>
        <w:t xml:space="preserve"> אם טעמה מעט מהתבשיל, אין המותר נחשב כשיורי מאכל שלה.</w:t>
      </w:r>
      <w:r>
        <w:rPr>
          <w:sz w:val="20"/>
          <w:szCs w:val="20"/>
          <w:rtl/>
        </w:rPr>
        <w:br/>
      </w:r>
      <w:r w:rsidRPr="00856DD6">
        <w:rPr>
          <w:rFonts w:hint="cs"/>
          <w:b/>
          <w:bCs/>
          <w:sz w:val="20"/>
          <w:szCs w:val="20"/>
          <w:rtl/>
        </w:rPr>
        <w:t xml:space="preserve">טעם </w:t>
      </w:r>
      <w:r>
        <w:rPr>
          <w:sz w:val="20"/>
          <w:szCs w:val="20"/>
          <w:rtl/>
        </w:rPr>
        <w:t>–</w:t>
      </w:r>
      <w:r>
        <w:rPr>
          <w:rFonts w:hint="cs"/>
          <w:sz w:val="20"/>
          <w:szCs w:val="20"/>
          <w:rtl/>
        </w:rPr>
        <w:t xml:space="preserve"> אין בכך חיבה וקירוב דעת</w:t>
      </w:r>
      <w:r>
        <w:rPr>
          <w:rStyle w:val="a5"/>
          <w:sz w:val="20"/>
          <w:szCs w:val="20"/>
          <w:rtl/>
        </w:rPr>
        <w:footnoteReference w:id="453"/>
      </w:r>
      <w:r>
        <w:rPr>
          <w:rFonts w:hint="cs"/>
          <w:sz w:val="20"/>
          <w:szCs w:val="20"/>
          <w:rtl/>
        </w:rPr>
        <w:t>.</w:t>
      </w:r>
    </w:p>
    <w:p w:rsidR="00620060" w:rsidRDefault="00620060" w:rsidP="00620060">
      <w:pPr>
        <w:rPr>
          <w:sz w:val="20"/>
          <w:szCs w:val="20"/>
          <w:rtl/>
        </w:rPr>
      </w:pPr>
      <w:r>
        <w:rPr>
          <w:rFonts w:hint="cs"/>
          <w:sz w:val="20"/>
          <w:szCs w:val="20"/>
          <w:u w:val="single"/>
          <w:rtl/>
        </w:rPr>
        <w:t>הגשת מאכל לבעלה (ט"ז)</w:t>
      </w:r>
      <w:r>
        <w:rPr>
          <w:sz w:val="20"/>
          <w:szCs w:val="20"/>
          <w:u w:val="single"/>
          <w:rtl/>
        </w:rPr>
        <w:br/>
      </w:r>
      <w:r>
        <w:rPr>
          <w:rFonts w:hint="cs"/>
          <w:sz w:val="20"/>
          <w:szCs w:val="20"/>
          <w:rtl/>
        </w:rPr>
        <w:t>האם מותר לאשה להגיש לבעלה דבר מאכל בזמן שהיא נידה?</w:t>
      </w:r>
      <w:r>
        <w:rPr>
          <w:rFonts w:hint="cs"/>
          <w:sz w:val="20"/>
          <w:szCs w:val="20"/>
          <w:u w:val="single"/>
          <w:rtl/>
        </w:rPr>
        <w:br/>
      </w:r>
      <w:r>
        <w:rPr>
          <w:rFonts w:hint="cs"/>
          <w:sz w:val="20"/>
          <w:szCs w:val="20"/>
          <w:rtl/>
        </w:rPr>
        <w:t xml:space="preserve">א. </w:t>
      </w:r>
      <w:r w:rsidRPr="00271977">
        <w:rPr>
          <w:rFonts w:hint="cs"/>
          <w:b/>
          <w:bCs/>
          <w:sz w:val="20"/>
          <w:szCs w:val="20"/>
          <w:rtl/>
        </w:rPr>
        <w:t>ר"ש מאוסטריי"ך וב"ח</w:t>
      </w:r>
      <w:r>
        <w:rPr>
          <w:rFonts w:hint="cs"/>
          <w:sz w:val="20"/>
          <w:szCs w:val="20"/>
          <w:rtl/>
        </w:rPr>
        <w:t xml:space="preserve"> </w:t>
      </w:r>
      <w:r>
        <w:rPr>
          <w:sz w:val="20"/>
          <w:szCs w:val="20"/>
          <w:rtl/>
        </w:rPr>
        <w:t>–</w:t>
      </w:r>
      <w:r>
        <w:rPr>
          <w:rFonts w:hint="cs"/>
          <w:sz w:val="20"/>
          <w:szCs w:val="20"/>
          <w:rtl/>
        </w:rPr>
        <w:t xml:space="preserve"> אסור. </w:t>
      </w:r>
      <w:r>
        <w:rPr>
          <w:sz w:val="20"/>
          <w:szCs w:val="20"/>
          <w:rtl/>
        </w:rPr>
        <w:br/>
      </w:r>
      <w:r w:rsidRPr="00271977">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דין מאכל כדין משקה, וכפי שאסורה להגיש לו את הכוס כך אסורה להגיש לו מאכל.</w:t>
      </w:r>
      <w:r>
        <w:rPr>
          <w:sz w:val="20"/>
          <w:szCs w:val="20"/>
          <w:rtl/>
        </w:rPr>
        <w:br/>
      </w:r>
      <w:r>
        <w:rPr>
          <w:rFonts w:hint="cs"/>
          <w:sz w:val="20"/>
          <w:szCs w:val="20"/>
          <w:rtl/>
        </w:rPr>
        <w:t xml:space="preserve">ב. </w:t>
      </w:r>
      <w:r w:rsidRPr="00271977">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מותר.</w:t>
      </w:r>
      <w:r>
        <w:rPr>
          <w:sz w:val="20"/>
          <w:szCs w:val="20"/>
          <w:rtl/>
        </w:rPr>
        <w:br/>
      </w:r>
      <w:r w:rsidRPr="00271977">
        <w:rPr>
          <w:rFonts w:hint="cs"/>
          <w:b/>
          <w:bCs/>
          <w:sz w:val="20"/>
          <w:szCs w:val="20"/>
          <w:rtl/>
        </w:rPr>
        <w:t xml:space="preserve">טעם </w:t>
      </w:r>
      <w:r>
        <w:rPr>
          <w:sz w:val="20"/>
          <w:szCs w:val="20"/>
          <w:rtl/>
        </w:rPr>
        <w:t>–</w:t>
      </w:r>
      <w:r>
        <w:rPr>
          <w:rFonts w:hint="cs"/>
          <w:sz w:val="20"/>
          <w:szCs w:val="20"/>
          <w:rtl/>
        </w:rPr>
        <w:t xml:space="preserve"> רק הגשת הכוס אסורה משום שזו דרך חיבה, אך הגשת מאכל הוי שימוש ולא חיבה.</w:t>
      </w:r>
    </w:p>
    <w:p w:rsidR="00620060" w:rsidRPr="00AF66D3" w:rsidRDefault="00620060" w:rsidP="00620060">
      <w:pPr>
        <w:rPr>
          <w:sz w:val="20"/>
          <w:szCs w:val="20"/>
          <w:rtl/>
        </w:rPr>
      </w:pPr>
      <w:r>
        <w:rPr>
          <w:rFonts w:hint="cs"/>
          <w:sz w:val="20"/>
          <w:szCs w:val="20"/>
          <w:u w:val="single"/>
          <w:rtl/>
        </w:rPr>
        <w:t>הרחת טבק שהריחה אשתו (פת"ש)</w:t>
      </w:r>
      <w:r>
        <w:rPr>
          <w:rFonts w:hint="cs"/>
          <w:sz w:val="20"/>
          <w:szCs w:val="20"/>
          <w:u w:val="single"/>
          <w:rtl/>
        </w:rPr>
        <w:br/>
      </w:r>
      <w:r w:rsidRPr="00AF66D3">
        <w:rPr>
          <w:rFonts w:hint="cs"/>
          <w:b/>
          <w:bCs/>
          <w:sz w:val="20"/>
          <w:szCs w:val="20"/>
          <w:rtl/>
        </w:rPr>
        <w:t>יד אליהו</w:t>
      </w:r>
      <w:r>
        <w:rPr>
          <w:rFonts w:hint="cs"/>
          <w:sz w:val="20"/>
          <w:szCs w:val="20"/>
          <w:rtl/>
        </w:rPr>
        <w:t xml:space="preserve"> </w:t>
      </w:r>
      <w:r>
        <w:rPr>
          <w:sz w:val="20"/>
          <w:szCs w:val="20"/>
          <w:rtl/>
        </w:rPr>
        <w:t>–</w:t>
      </w:r>
      <w:r>
        <w:rPr>
          <w:rFonts w:hint="cs"/>
          <w:sz w:val="20"/>
          <w:szCs w:val="20"/>
          <w:rtl/>
        </w:rPr>
        <w:t xml:space="preserve"> מותר לבעל להריח מכלי הטבק שהריחה בו אשתו, אע"פ שמריח את מה שהיא השאירה.</w:t>
      </w:r>
    </w:p>
    <w:p w:rsidR="00620060" w:rsidRDefault="00620060" w:rsidP="00620060">
      <w:pPr>
        <w:rPr>
          <w:sz w:val="20"/>
          <w:szCs w:val="20"/>
          <w:rtl/>
        </w:rPr>
      </w:pPr>
      <w:r w:rsidRPr="00E60027">
        <w:rPr>
          <w:rFonts w:hint="cs"/>
          <w:b/>
          <w:bCs/>
          <w:sz w:val="20"/>
          <w:szCs w:val="20"/>
          <w:rtl/>
        </w:rPr>
        <w:t>סיכום</w:t>
      </w:r>
      <w:r w:rsidRPr="00E60027">
        <w:rPr>
          <w:sz w:val="20"/>
          <w:szCs w:val="20"/>
          <w:rtl/>
        </w:rPr>
        <w:br/>
      </w:r>
      <w:r w:rsidRPr="00E60027">
        <w:rPr>
          <w:rFonts w:hint="cs"/>
          <w:sz w:val="20"/>
          <w:szCs w:val="20"/>
          <w:rtl/>
        </w:rPr>
        <w:t xml:space="preserve">1. </w:t>
      </w:r>
      <w:r w:rsidRPr="00E60027">
        <w:rPr>
          <w:rFonts w:hint="cs"/>
          <w:b/>
          <w:bCs/>
          <w:sz w:val="20"/>
          <w:szCs w:val="20"/>
          <w:rtl/>
        </w:rPr>
        <w:t>גמרא</w:t>
      </w:r>
      <w:r w:rsidRPr="00E60027">
        <w:rPr>
          <w:rFonts w:hint="cs"/>
          <w:sz w:val="20"/>
          <w:szCs w:val="20"/>
          <w:rtl/>
        </w:rPr>
        <w:t>. לא יאכל הזב עם הזבה מפני הרגל עברה.</w:t>
      </w:r>
      <w:r w:rsidRPr="00E60027">
        <w:rPr>
          <w:sz w:val="20"/>
          <w:szCs w:val="20"/>
          <w:rtl/>
        </w:rPr>
        <w:br/>
      </w:r>
      <w:r w:rsidRPr="00E60027">
        <w:rPr>
          <w:rFonts w:hint="cs"/>
          <w:sz w:val="20"/>
          <w:szCs w:val="20"/>
          <w:rtl/>
        </w:rPr>
        <w:t xml:space="preserve">2. </w:t>
      </w:r>
      <w:r w:rsidRPr="00E60027">
        <w:rPr>
          <w:rFonts w:hint="cs"/>
          <w:b/>
          <w:bCs/>
          <w:sz w:val="20"/>
          <w:szCs w:val="20"/>
          <w:rtl/>
        </w:rPr>
        <w:t>רמב"ם</w:t>
      </w:r>
      <w:r w:rsidRPr="00E60027">
        <w:rPr>
          <w:rFonts w:hint="cs"/>
          <w:sz w:val="20"/>
          <w:szCs w:val="20"/>
          <w:rtl/>
        </w:rPr>
        <w:t xml:space="preserve">. אסור לאכול מקערה אחת. </w:t>
      </w:r>
      <w:r w:rsidRPr="00E60027">
        <w:rPr>
          <w:rFonts w:hint="cs"/>
          <w:b/>
          <w:bCs/>
          <w:sz w:val="20"/>
          <w:szCs w:val="20"/>
          <w:rtl/>
        </w:rPr>
        <w:t>ראב"ד</w:t>
      </w:r>
      <w:r w:rsidRPr="00E60027">
        <w:rPr>
          <w:rFonts w:hint="cs"/>
          <w:sz w:val="20"/>
          <w:szCs w:val="20"/>
          <w:rtl/>
        </w:rPr>
        <w:t xml:space="preserve">, </w:t>
      </w:r>
      <w:r w:rsidRPr="00E60027">
        <w:rPr>
          <w:rFonts w:hint="cs"/>
          <w:b/>
          <w:bCs/>
          <w:sz w:val="20"/>
          <w:szCs w:val="20"/>
          <w:rtl/>
        </w:rPr>
        <w:t>רמב"ן ורשב"א</w:t>
      </w:r>
      <w:r w:rsidRPr="00E60027">
        <w:rPr>
          <w:rFonts w:hint="cs"/>
          <w:sz w:val="20"/>
          <w:szCs w:val="20"/>
          <w:rtl/>
        </w:rPr>
        <w:t xml:space="preserve">. אסור לאכול באותו שולחן, וכ"פ </w:t>
      </w:r>
      <w:r w:rsidRPr="00E60027">
        <w:rPr>
          <w:rFonts w:hint="cs"/>
          <w:b/>
          <w:bCs/>
          <w:sz w:val="20"/>
          <w:szCs w:val="20"/>
          <w:rtl/>
        </w:rPr>
        <w:t>המחבר</w:t>
      </w:r>
      <w:r w:rsidRPr="00E60027">
        <w:rPr>
          <w:rFonts w:hint="cs"/>
          <w:sz w:val="20"/>
          <w:szCs w:val="20"/>
          <w:rtl/>
        </w:rPr>
        <w:t>.</w:t>
      </w:r>
      <w:r w:rsidRPr="00E60027">
        <w:rPr>
          <w:sz w:val="20"/>
          <w:szCs w:val="20"/>
          <w:rtl/>
        </w:rPr>
        <w:br/>
      </w:r>
      <w:r w:rsidRPr="00E60027">
        <w:rPr>
          <w:rFonts w:hint="cs"/>
          <w:sz w:val="20"/>
          <w:szCs w:val="20"/>
          <w:rtl/>
        </w:rPr>
        <w:t xml:space="preserve">3. </w:t>
      </w:r>
      <w:r w:rsidRPr="00E60027">
        <w:rPr>
          <w:rFonts w:hint="cs"/>
          <w:b/>
          <w:bCs/>
          <w:sz w:val="20"/>
          <w:szCs w:val="20"/>
          <w:rtl/>
        </w:rPr>
        <w:t>רא"ש</w:t>
      </w:r>
      <w:r w:rsidRPr="00E60027">
        <w:rPr>
          <w:rFonts w:hint="cs"/>
          <w:sz w:val="20"/>
          <w:szCs w:val="20"/>
          <w:rtl/>
        </w:rPr>
        <w:t xml:space="preserve">. האיסור נאמר בשולחן קטן, בשולחן גדול </w:t>
      </w:r>
      <w:r>
        <w:rPr>
          <w:rFonts w:hint="cs"/>
          <w:sz w:val="20"/>
          <w:szCs w:val="20"/>
          <w:rtl/>
        </w:rPr>
        <w:t xml:space="preserve">מותר, </w:t>
      </w:r>
      <w:r w:rsidRPr="00E60027">
        <w:rPr>
          <w:rFonts w:hint="cs"/>
          <w:sz w:val="20"/>
          <w:szCs w:val="20"/>
          <w:rtl/>
        </w:rPr>
        <w:t>אינו דרך חיבה, אך טוב לעשות היכר.</w:t>
      </w:r>
      <w:r w:rsidRPr="00E60027">
        <w:rPr>
          <w:sz w:val="20"/>
          <w:szCs w:val="20"/>
          <w:rtl/>
        </w:rPr>
        <w:br/>
      </w:r>
      <w:r w:rsidRPr="00E60027">
        <w:rPr>
          <w:rFonts w:hint="cs"/>
          <w:sz w:val="20"/>
          <w:szCs w:val="20"/>
          <w:rtl/>
        </w:rPr>
        <w:t xml:space="preserve">4. </w:t>
      </w:r>
      <w:r w:rsidRPr="001E05F9">
        <w:rPr>
          <w:rFonts w:hint="cs"/>
          <w:b/>
          <w:bCs/>
          <w:sz w:val="20"/>
          <w:szCs w:val="20"/>
          <w:rtl/>
        </w:rPr>
        <w:t>מחבר</w:t>
      </w:r>
      <w:r>
        <w:rPr>
          <w:rFonts w:hint="cs"/>
          <w:sz w:val="20"/>
          <w:szCs w:val="20"/>
          <w:rtl/>
        </w:rPr>
        <w:t>. יש לתת שינוי ביניהם בשעה שאוכלים</w:t>
      </w:r>
      <w:r w:rsidRPr="00E60027">
        <w:rPr>
          <w:rFonts w:hint="cs"/>
          <w:sz w:val="20"/>
          <w:szCs w:val="20"/>
          <w:rtl/>
        </w:rPr>
        <w:t xml:space="preserve">. </w:t>
      </w:r>
      <w:r>
        <w:rPr>
          <w:rFonts w:hint="cs"/>
          <w:sz w:val="20"/>
          <w:szCs w:val="20"/>
          <w:rtl/>
        </w:rPr>
        <w:t xml:space="preserve">פרטים נוספים. </w:t>
      </w:r>
      <w:r w:rsidRPr="00E60027">
        <w:rPr>
          <w:rFonts w:hint="cs"/>
          <w:b/>
          <w:bCs/>
          <w:sz w:val="20"/>
          <w:szCs w:val="20"/>
          <w:rtl/>
        </w:rPr>
        <w:t>ש"ך</w:t>
      </w:r>
      <w:r w:rsidRPr="00E60027">
        <w:rPr>
          <w:rFonts w:hint="cs"/>
          <w:sz w:val="20"/>
          <w:szCs w:val="20"/>
          <w:rtl/>
        </w:rPr>
        <w:t xml:space="preserve">. הוא הדין שאין לאכול מקערה אחת אפילו זה אחר זה. אפילו אם מקפלת מעט מהמפה הוי שינוי. </w:t>
      </w:r>
      <w:r w:rsidRPr="00E60027">
        <w:rPr>
          <w:rFonts w:hint="cs"/>
          <w:b/>
          <w:bCs/>
          <w:sz w:val="20"/>
          <w:szCs w:val="20"/>
          <w:rtl/>
        </w:rPr>
        <w:t>שבה"ל</w:t>
      </w:r>
      <w:r w:rsidRPr="00E60027">
        <w:rPr>
          <w:rFonts w:hint="cs"/>
          <w:sz w:val="20"/>
          <w:szCs w:val="20"/>
          <w:rtl/>
        </w:rPr>
        <w:t xml:space="preserve">. הדבר המפסיק א"צ להיות דווקא ביניהם, אלא העיקר שיהיה ניכר לשניהם. </w:t>
      </w:r>
      <w:r w:rsidRPr="00E60027">
        <w:rPr>
          <w:rFonts w:hint="cs"/>
          <w:b/>
          <w:bCs/>
          <w:sz w:val="20"/>
          <w:szCs w:val="20"/>
          <w:rtl/>
        </w:rPr>
        <w:t>שבה"ל</w:t>
      </w:r>
      <w:r w:rsidRPr="00E60027">
        <w:rPr>
          <w:rFonts w:hint="cs"/>
          <w:sz w:val="20"/>
          <w:szCs w:val="20"/>
          <w:rtl/>
        </w:rPr>
        <w:t xml:space="preserve">. הרחקה אחת מהני לבשר וחלב ולעניין נידה. </w:t>
      </w:r>
      <w:r w:rsidRPr="00E60027">
        <w:rPr>
          <w:rFonts w:hint="cs"/>
          <w:b/>
          <w:bCs/>
          <w:sz w:val="20"/>
          <w:szCs w:val="20"/>
          <w:rtl/>
        </w:rPr>
        <w:t>חכמ"א</w:t>
      </w:r>
      <w:r w:rsidRPr="00E60027">
        <w:rPr>
          <w:rFonts w:hint="cs"/>
          <w:sz w:val="20"/>
          <w:szCs w:val="20"/>
          <w:rtl/>
        </w:rPr>
        <w:t xml:space="preserve">. הנחת קערה תחת הקערה שאוכלים בה, מהני. </w:t>
      </w:r>
      <w:r w:rsidRPr="00E60027">
        <w:rPr>
          <w:rFonts w:hint="cs"/>
          <w:b/>
          <w:bCs/>
          <w:sz w:val="20"/>
          <w:szCs w:val="20"/>
          <w:rtl/>
        </w:rPr>
        <w:t>רי"ו</w:t>
      </w:r>
      <w:r w:rsidRPr="00E60027">
        <w:rPr>
          <w:rFonts w:hint="cs"/>
          <w:sz w:val="20"/>
          <w:szCs w:val="20"/>
          <w:rtl/>
        </w:rPr>
        <w:t>. אם משנה מקומו מהני.</w:t>
      </w:r>
      <w:r>
        <w:rPr>
          <w:rFonts w:hint="cs"/>
          <w:sz w:val="20"/>
          <w:szCs w:val="20"/>
          <w:rtl/>
        </w:rPr>
        <w:br/>
      </w:r>
      <w:r>
        <w:rPr>
          <w:rFonts w:hint="cs"/>
          <w:sz w:val="20"/>
          <w:szCs w:val="20"/>
          <w:rtl/>
        </w:rPr>
        <w:lastRenderedPageBreak/>
        <w:t xml:space="preserve">5. </w:t>
      </w:r>
      <w:r w:rsidRPr="0097589C">
        <w:rPr>
          <w:rFonts w:hint="cs"/>
          <w:b/>
          <w:bCs/>
          <w:sz w:val="20"/>
          <w:szCs w:val="20"/>
          <w:rtl/>
        </w:rPr>
        <w:t>תוה"ש</w:t>
      </w:r>
      <w:r>
        <w:rPr>
          <w:rFonts w:hint="cs"/>
          <w:sz w:val="20"/>
          <w:szCs w:val="20"/>
          <w:rtl/>
        </w:rPr>
        <w:t>. קנקן מהני להיכר. אך אם רגילים להשתמש בו כשהיא טהורה, כעת לא ישתמשו בו.</w:t>
      </w:r>
      <w:r>
        <w:rPr>
          <w:rFonts w:hint="cs"/>
          <w:sz w:val="20"/>
          <w:szCs w:val="20"/>
          <w:rtl/>
        </w:rPr>
        <w:br/>
        <w:t xml:space="preserve">6. </w:t>
      </w:r>
      <w:r w:rsidRPr="00D21C50">
        <w:rPr>
          <w:rFonts w:hint="cs"/>
          <w:b/>
          <w:bCs/>
          <w:sz w:val="20"/>
          <w:szCs w:val="20"/>
          <w:rtl/>
        </w:rPr>
        <w:t>דרכ"מ</w:t>
      </w:r>
      <w:r>
        <w:rPr>
          <w:rFonts w:hint="cs"/>
          <w:sz w:val="20"/>
          <w:szCs w:val="20"/>
          <w:rtl/>
        </w:rPr>
        <w:t xml:space="preserve"> בהלכות בב"ח. ההיכר צריך להיות גבוה מעט. </w:t>
      </w:r>
      <w:r w:rsidRPr="00D21C50">
        <w:rPr>
          <w:rFonts w:hint="cs"/>
          <w:b/>
          <w:bCs/>
          <w:sz w:val="20"/>
          <w:szCs w:val="20"/>
          <w:rtl/>
        </w:rPr>
        <w:t>שבה"ל</w:t>
      </w:r>
      <w:r>
        <w:rPr>
          <w:rFonts w:hint="cs"/>
          <w:sz w:val="20"/>
          <w:szCs w:val="20"/>
          <w:rtl/>
        </w:rPr>
        <w:t xml:space="preserve">. נהגו כאן להקל אפילו בטבעת, וכ"פ </w:t>
      </w:r>
      <w:r w:rsidRPr="00D21C50">
        <w:rPr>
          <w:rFonts w:hint="cs"/>
          <w:b/>
          <w:bCs/>
          <w:sz w:val="20"/>
          <w:szCs w:val="20"/>
          <w:rtl/>
        </w:rPr>
        <w:t>טה"ב</w:t>
      </w:r>
      <w:r>
        <w:rPr>
          <w:rFonts w:hint="cs"/>
          <w:sz w:val="20"/>
          <w:szCs w:val="20"/>
          <w:rtl/>
        </w:rPr>
        <w:t xml:space="preserve"> משום שיש לסמוך על הרמב"ם והרא"ש. </w:t>
      </w:r>
      <w:r w:rsidRPr="00D21C50">
        <w:rPr>
          <w:rFonts w:hint="cs"/>
          <w:b/>
          <w:bCs/>
          <w:sz w:val="20"/>
          <w:szCs w:val="20"/>
          <w:rtl/>
        </w:rPr>
        <w:t>סוגה בשושנים</w:t>
      </w:r>
      <w:r>
        <w:rPr>
          <w:rFonts w:hint="cs"/>
          <w:sz w:val="20"/>
          <w:szCs w:val="20"/>
          <w:rtl/>
        </w:rPr>
        <w:t>. צריך להחמיר שיהיה ההיכר גבוה מעט.</w:t>
      </w:r>
      <w:r>
        <w:rPr>
          <w:rFonts w:hint="cs"/>
          <w:sz w:val="20"/>
          <w:szCs w:val="20"/>
          <w:rtl/>
        </w:rPr>
        <w:br/>
        <w:t xml:space="preserve">7. </w:t>
      </w:r>
      <w:r w:rsidRPr="00D21C50">
        <w:rPr>
          <w:rFonts w:hint="cs"/>
          <w:b/>
          <w:bCs/>
          <w:sz w:val="20"/>
          <w:szCs w:val="20"/>
          <w:rtl/>
        </w:rPr>
        <w:t>הליכות עולם</w:t>
      </w:r>
      <w:r>
        <w:rPr>
          <w:rFonts w:hint="cs"/>
          <w:sz w:val="20"/>
          <w:szCs w:val="20"/>
          <w:rtl/>
        </w:rPr>
        <w:t>. אם מתארחים אצל אחרים, אפילו אם סועדים לבד רשאים לאכול ללא היכר.</w:t>
      </w:r>
      <w:r>
        <w:rPr>
          <w:sz w:val="20"/>
          <w:szCs w:val="20"/>
          <w:rtl/>
        </w:rPr>
        <w:br/>
      </w:r>
      <w:r>
        <w:rPr>
          <w:rFonts w:hint="cs"/>
          <w:sz w:val="20"/>
          <w:szCs w:val="20"/>
          <w:rtl/>
        </w:rPr>
        <w:t>8</w:t>
      </w:r>
      <w:r w:rsidRPr="00E60027">
        <w:rPr>
          <w:rFonts w:hint="cs"/>
          <w:sz w:val="20"/>
          <w:szCs w:val="20"/>
          <w:rtl/>
        </w:rPr>
        <w:t xml:space="preserve">. </w:t>
      </w:r>
      <w:r w:rsidRPr="00E60027">
        <w:rPr>
          <w:rFonts w:hint="cs"/>
          <w:b/>
          <w:bCs/>
          <w:sz w:val="20"/>
          <w:szCs w:val="20"/>
          <w:rtl/>
        </w:rPr>
        <w:t>רמ"א</w:t>
      </w:r>
      <w:r w:rsidRPr="00E60027">
        <w:rPr>
          <w:rFonts w:hint="cs"/>
          <w:sz w:val="20"/>
          <w:szCs w:val="20"/>
          <w:rtl/>
        </w:rPr>
        <w:t xml:space="preserve">. אם בימי טהרתה אוכלים בקערה אחת, מהני אם כעת אוכלים בשתי קערות שונות. </w:t>
      </w:r>
      <w:r w:rsidRPr="00E60027">
        <w:rPr>
          <w:rFonts w:hint="cs"/>
          <w:b/>
          <w:bCs/>
          <w:sz w:val="20"/>
          <w:szCs w:val="20"/>
          <w:rtl/>
        </w:rPr>
        <w:t>ב"ח</w:t>
      </w:r>
      <w:r w:rsidRPr="00E60027">
        <w:rPr>
          <w:rFonts w:hint="cs"/>
          <w:sz w:val="20"/>
          <w:szCs w:val="20"/>
          <w:rtl/>
        </w:rPr>
        <w:t xml:space="preserve">. היתר הרמ"א נאמר רק אם יש סועדים נוספים. </w:t>
      </w:r>
      <w:r w:rsidRPr="00E60027">
        <w:rPr>
          <w:rFonts w:hint="cs"/>
          <w:b/>
          <w:bCs/>
          <w:sz w:val="20"/>
          <w:szCs w:val="20"/>
          <w:rtl/>
        </w:rPr>
        <w:t>מ"ב</w:t>
      </w:r>
      <w:r w:rsidRPr="00E60027">
        <w:rPr>
          <w:rFonts w:hint="cs"/>
          <w:sz w:val="20"/>
          <w:szCs w:val="20"/>
          <w:rtl/>
        </w:rPr>
        <w:t xml:space="preserve">. אם יש סועדים נוספים מותר לאכול אפילו מקערה אחת. </w:t>
      </w:r>
      <w:r>
        <w:rPr>
          <w:b/>
          <w:bCs/>
          <w:sz w:val="20"/>
          <w:szCs w:val="20"/>
          <w:rtl/>
        </w:rPr>
        <w:br/>
      </w:r>
      <w:r w:rsidRPr="00E60027">
        <w:rPr>
          <w:rFonts w:hint="cs"/>
          <w:b/>
          <w:bCs/>
          <w:sz w:val="20"/>
          <w:szCs w:val="20"/>
          <w:rtl/>
        </w:rPr>
        <w:t>פת"ש</w:t>
      </w:r>
      <w:r w:rsidRPr="00E60027">
        <w:rPr>
          <w:rFonts w:hint="cs"/>
          <w:sz w:val="20"/>
          <w:szCs w:val="20"/>
          <w:rtl/>
        </w:rPr>
        <w:t>. אין להקל כמ"ב, משום שבהכרח יבוא לאכול משיירי מאכל אשתו, אך סועדים נוספים מהני כדי שיאכלו על שולחן אחד ביחד.</w:t>
      </w:r>
      <w:r w:rsidRPr="00E60027">
        <w:rPr>
          <w:sz w:val="20"/>
          <w:szCs w:val="20"/>
          <w:rtl/>
        </w:rPr>
        <w:br/>
      </w:r>
      <w:r>
        <w:rPr>
          <w:rFonts w:hint="cs"/>
          <w:sz w:val="20"/>
          <w:szCs w:val="20"/>
          <w:rtl/>
        </w:rPr>
        <w:t>9</w:t>
      </w:r>
      <w:r w:rsidRPr="00E60027">
        <w:rPr>
          <w:rFonts w:hint="cs"/>
          <w:sz w:val="20"/>
          <w:szCs w:val="20"/>
          <w:rtl/>
        </w:rPr>
        <w:t xml:space="preserve">. </w:t>
      </w:r>
      <w:r w:rsidRPr="00E60027">
        <w:rPr>
          <w:rFonts w:hint="cs"/>
          <w:b/>
          <w:bCs/>
          <w:sz w:val="20"/>
          <w:szCs w:val="20"/>
          <w:rtl/>
        </w:rPr>
        <w:t>ט"ז</w:t>
      </w:r>
      <w:r w:rsidRPr="00E60027">
        <w:rPr>
          <w:rFonts w:hint="cs"/>
          <w:sz w:val="20"/>
          <w:szCs w:val="20"/>
          <w:rtl/>
        </w:rPr>
        <w:t xml:space="preserve">. </w:t>
      </w:r>
      <w:r w:rsidRPr="00810CF5">
        <w:rPr>
          <w:rFonts w:hint="cs"/>
          <w:sz w:val="20"/>
          <w:szCs w:val="20"/>
          <w:rtl/>
        </w:rPr>
        <w:t>מותר להשתמש בצלחת הגשה מרכזית, כיוון שאינם אוכלים ישירות ממנה.</w:t>
      </w:r>
      <w:r w:rsidRPr="00810CF5">
        <w:rPr>
          <w:sz w:val="20"/>
          <w:szCs w:val="20"/>
          <w:rtl/>
        </w:rPr>
        <w:br/>
      </w:r>
      <w:r w:rsidRPr="00810CF5">
        <w:rPr>
          <w:rFonts w:hint="cs"/>
          <w:sz w:val="20"/>
          <w:szCs w:val="20"/>
          <w:rtl/>
        </w:rPr>
        <w:t xml:space="preserve">10. מריחת ממרח ונטילת פרוסות מצלחת מרכזית. </w:t>
      </w:r>
      <w:r w:rsidRPr="00810CF5">
        <w:rPr>
          <w:rFonts w:hint="cs"/>
          <w:b/>
          <w:bCs/>
          <w:sz w:val="20"/>
          <w:szCs w:val="20"/>
          <w:rtl/>
        </w:rPr>
        <w:t>בית ישראל</w:t>
      </w:r>
      <w:r w:rsidRPr="00810CF5">
        <w:rPr>
          <w:rFonts w:hint="cs"/>
          <w:sz w:val="20"/>
          <w:szCs w:val="20"/>
          <w:rtl/>
        </w:rPr>
        <w:t xml:space="preserve">. אסור. </w:t>
      </w:r>
      <w:r w:rsidRPr="00810CF5">
        <w:rPr>
          <w:rFonts w:hint="cs"/>
          <w:b/>
          <w:bCs/>
          <w:sz w:val="20"/>
          <w:szCs w:val="20"/>
          <w:rtl/>
        </w:rPr>
        <w:t>טעם</w:t>
      </w:r>
      <w:r w:rsidRPr="00810CF5">
        <w:rPr>
          <w:rFonts w:hint="cs"/>
          <w:sz w:val="20"/>
          <w:szCs w:val="20"/>
          <w:rtl/>
        </w:rPr>
        <w:t xml:space="preserve">. אינם מניחים את המאכל בצלחתם האישית. </w:t>
      </w:r>
      <w:r w:rsidRPr="00810CF5">
        <w:rPr>
          <w:rFonts w:hint="cs"/>
          <w:b/>
          <w:bCs/>
          <w:sz w:val="20"/>
          <w:szCs w:val="20"/>
          <w:rtl/>
        </w:rPr>
        <w:t>שבה"ל וטה"ב</w:t>
      </w:r>
      <w:r w:rsidRPr="00810CF5">
        <w:rPr>
          <w:rFonts w:hint="cs"/>
          <w:sz w:val="20"/>
          <w:szCs w:val="20"/>
          <w:rtl/>
        </w:rPr>
        <w:t xml:space="preserve">. מותר. </w:t>
      </w:r>
      <w:r w:rsidRPr="00810CF5">
        <w:rPr>
          <w:rFonts w:hint="cs"/>
          <w:b/>
          <w:bCs/>
          <w:sz w:val="20"/>
          <w:szCs w:val="20"/>
          <w:rtl/>
        </w:rPr>
        <w:t>טעם</w:t>
      </w:r>
      <w:r w:rsidRPr="00810CF5">
        <w:rPr>
          <w:rFonts w:hint="cs"/>
          <w:sz w:val="20"/>
          <w:szCs w:val="20"/>
          <w:rtl/>
        </w:rPr>
        <w:t>. האכילה אינה מייד, אלא היא מעט מעט.</w:t>
      </w:r>
      <w:r w:rsidRPr="00810CF5">
        <w:rPr>
          <w:sz w:val="20"/>
          <w:szCs w:val="20"/>
          <w:rtl/>
        </w:rPr>
        <w:br/>
      </w:r>
      <w:r w:rsidRPr="00810CF5">
        <w:rPr>
          <w:rFonts w:hint="cs"/>
          <w:sz w:val="20"/>
          <w:szCs w:val="20"/>
          <w:rtl/>
        </w:rPr>
        <w:t xml:space="preserve">11. </w:t>
      </w:r>
      <w:r w:rsidRPr="00810CF5">
        <w:rPr>
          <w:rFonts w:hint="cs"/>
          <w:b/>
          <w:bCs/>
          <w:sz w:val="20"/>
          <w:szCs w:val="20"/>
          <w:rtl/>
        </w:rPr>
        <w:t>רמ"א</w:t>
      </w:r>
      <w:r w:rsidRPr="00810CF5">
        <w:rPr>
          <w:rFonts w:hint="cs"/>
          <w:sz w:val="20"/>
          <w:szCs w:val="20"/>
          <w:rtl/>
        </w:rPr>
        <w:t xml:space="preserve">. יש אוסרים לאכול משיורי מאכל, כדין שיורי כוס. </w:t>
      </w:r>
      <w:r w:rsidRPr="00810CF5">
        <w:rPr>
          <w:rFonts w:hint="cs"/>
          <w:b/>
          <w:bCs/>
          <w:sz w:val="20"/>
          <w:szCs w:val="20"/>
          <w:rtl/>
        </w:rPr>
        <w:t>ש"ך</w:t>
      </w:r>
      <w:r w:rsidRPr="00810CF5">
        <w:rPr>
          <w:rFonts w:hint="cs"/>
          <w:sz w:val="20"/>
          <w:szCs w:val="20"/>
          <w:rtl/>
        </w:rPr>
        <w:t xml:space="preserve">. דין זה נלמד משתייה. </w:t>
      </w:r>
      <w:r w:rsidRPr="00810CF5">
        <w:rPr>
          <w:rFonts w:hint="cs"/>
          <w:b/>
          <w:bCs/>
          <w:sz w:val="20"/>
          <w:szCs w:val="20"/>
          <w:rtl/>
        </w:rPr>
        <w:t>ארחות חיים</w:t>
      </w:r>
      <w:r w:rsidRPr="00810CF5">
        <w:rPr>
          <w:rFonts w:hint="cs"/>
          <w:sz w:val="20"/>
          <w:szCs w:val="20"/>
          <w:rtl/>
        </w:rPr>
        <w:t xml:space="preserve">. שיורי מאכל מותרים, וכ"פ </w:t>
      </w:r>
      <w:r w:rsidRPr="00810CF5">
        <w:rPr>
          <w:rFonts w:hint="cs"/>
          <w:b/>
          <w:bCs/>
          <w:sz w:val="20"/>
          <w:szCs w:val="20"/>
          <w:rtl/>
        </w:rPr>
        <w:t xml:space="preserve">טה"ב </w:t>
      </w:r>
      <w:r w:rsidRPr="00810CF5">
        <w:rPr>
          <w:rFonts w:hint="cs"/>
          <w:sz w:val="20"/>
          <w:szCs w:val="20"/>
          <w:rtl/>
        </w:rPr>
        <w:t xml:space="preserve">לבני ספרד. </w:t>
      </w:r>
      <w:r w:rsidRPr="00810CF5">
        <w:rPr>
          <w:rFonts w:hint="cs"/>
          <w:b/>
          <w:bCs/>
          <w:sz w:val="20"/>
          <w:szCs w:val="20"/>
          <w:rtl/>
        </w:rPr>
        <w:t>טעם</w:t>
      </w:r>
      <w:r w:rsidRPr="00810CF5">
        <w:rPr>
          <w:rFonts w:hint="cs"/>
          <w:sz w:val="20"/>
          <w:szCs w:val="20"/>
          <w:rtl/>
        </w:rPr>
        <w:t>. באכילת שיירי אשתו אין כל כך חיבה.</w:t>
      </w:r>
      <w:r w:rsidRPr="00810CF5">
        <w:rPr>
          <w:rFonts w:hint="cs"/>
          <w:sz w:val="20"/>
          <w:szCs w:val="20"/>
          <w:rtl/>
        </w:rPr>
        <w:br/>
        <w:t xml:space="preserve">12. </w:t>
      </w:r>
      <w:r w:rsidRPr="00810CF5">
        <w:rPr>
          <w:rFonts w:hint="cs"/>
          <w:b/>
          <w:bCs/>
          <w:sz w:val="20"/>
          <w:szCs w:val="20"/>
          <w:rtl/>
        </w:rPr>
        <w:t>ט"ז</w:t>
      </w:r>
      <w:r w:rsidRPr="00810CF5">
        <w:rPr>
          <w:rFonts w:hint="cs"/>
          <w:sz w:val="20"/>
          <w:szCs w:val="20"/>
          <w:rtl/>
        </w:rPr>
        <w:t xml:space="preserve">. כל הקולות הנוהגות בשיורי כוס נוהגות בשיורי מאכל. </w:t>
      </w:r>
      <w:r w:rsidRPr="00810CF5">
        <w:rPr>
          <w:rFonts w:hint="cs"/>
          <w:b/>
          <w:bCs/>
          <w:sz w:val="20"/>
          <w:szCs w:val="20"/>
          <w:rtl/>
        </w:rPr>
        <w:t>טה"ב</w:t>
      </w:r>
      <w:r w:rsidRPr="00810CF5">
        <w:rPr>
          <w:rFonts w:hint="cs"/>
          <w:sz w:val="20"/>
          <w:szCs w:val="20"/>
          <w:rtl/>
        </w:rPr>
        <w:t>. אם רק טעמה מהתבשיל, מותר.</w:t>
      </w:r>
      <w:r w:rsidRPr="00810CF5">
        <w:rPr>
          <w:sz w:val="20"/>
          <w:szCs w:val="20"/>
          <w:rtl/>
        </w:rPr>
        <w:br/>
      </w:r>
      <w:r w:rsidRPr="00810CF5">
        <w:rPr>
          <w:rFonts w:hint="cs"/>
          <w:sz w:val="20"/>
          <w:szCs w:val="20"/>
          <w:rtl/>
        </w:rPr>
        <w:t xml:space="preserve">12. האם מותר לאשה להגיש מאכל לבעלה כשהיא נידה? </w:t>
      </w:r>
      <w:r w:rsidRPr="00810CF5">
        <w:rPr>
          <w:rFonts w:hint="cs"/>
          <w:b/>
          <w:bCs/>
          <w:sz w:val="20"/>
          <w:szCs w:val="20"/>
          <w:rtl/>
        </w:rPr>
        <w:t>ב</w:t>
      </w:r>
      <w:r w:rsidRPr="00E60027">
        <w:rPr>
          <w:rFonts w:hint="cs"/>
          <w:b/>
          <w:bCs/>
          <w:sz w:val="20"/>
          <w:szCs w:val="20"/>
          <w:rtl/>
        </w:rPr>
        <w:t>"ח</w:t>
      </w:r>
      <w:r w:rsidRPr="00E60027">
        <w:rPr>
          <w:rFonts w:hint="cs"/>
          <w:sz w:val="20"/>
          <w:szCs w:val="20"/>
          <w:rtl/>
        </w:rPr>
        <w:t xml:space="preserve">. אסור. </w:t>
      </w:r>
      <w:r w:rsidRPr="00E60027">
        <w:rPr>
          <w:rFonts w:hint="cs"/>
          <w:b/>
          <w:bCs/>
          <w:sz w:val="20"/>
          <w:szCs w:val="20"/>
          <w:rtl/>
        </w:rPr>
        <w:t>טעם</w:t>
      </w:r>
      <w:r w:rsidRPr="00E60027">
        <w:rPr>
          <w:rFonts w:hint="cs"/>
          <w:sz w:val="20"/>
          <w:szCs w:val="20"/>
          <w:rtl/>
        </w:rPr>
        <w:t xml:space="preserve">. דין הגשת מאכל כדין הגשת </w:t>
      </w:r>
      <w:r>
        <w:rPr>
          <w:rFonts w:hint="cs"/>
          <w:sz w:val="20"/>
          <w:szCs w:val="20"/>
          <w:rtl/>
        </w:rPr>
        <w:t>כוס</w:t>
      </w:r>
      <w:r w:rsidRPr="00E60027">
        <w:rPr>
          <w:rFonts w:hint="cs"/>
          <w:sz w:val="20"/>
          <w:szCs w:val="20"/>
          <w:rtl/>
        </w:rPr>
        <w:t xml:space="preserve">. </w:t>
      </w:r>
      <w:r w:rsidRPr="00E60027">
        <w:rPr>
          <w:rFonts w:hint="cs"/>
          <w:b/>
          <w:bCs/>
          <w:sz w:val="20"/>
          <w:szCs w:val="20"/>
          <w:rtl/>
        </w:rPr>
        <w:t>ט"ז</w:t>
      </w:r>
      <w:r w:rsidRPr="00E60027">
        <w:rPr>
          <w:rFonts w:hint="cs"/>
          <w:sz w:val="20"/>
          <w:szCs w:val="20"/>
          <w:rtl/>
        </w:rPr>
        <w:t xml:space="preserve">. מותר. </w:t>
      </w:r>
      <w:r w:rsidRPr="00E60027">
        <w:rPr>
          <w:rFonts w:hint="cs"/>
          <w:b/>
          <w:bCs/>
          <w:sz w:val="20"/>
          <w:szCs w:val="20"/>
          <w:rtl/>
        </w:rPr>
        <w:t>טעם</w:t>
      </w:r>
      <w:r w:rsidRPr="00E60027">
        <w:rPr>
          <w:rFonts w:hint="cs"/>
          <w:sz w:val="20"/>
          <w:szCs w:val="20"/>
          <w:rtl/>
        </w:rPr>
        <w:t>. רק הגשת הכוס אסורה משום שהיא דרך חיבה, אך הגשת מאכל זהו שימוש ולא חיבה.</w:t>
      </w:r>
    </w:p>
    <w:p w:rsidR="00620060" w:rsidRDefault="00620060" w:rsidP="00620060">
      <w:pPr>
        <w:rPr>
          <w:sz w:val="20"/>
          <w:szCs w:val="20"/>
          <w:rtl/>
        </w:rPr>
      </w:pPr>
      <w:r>
        <w:rPr>
          <w:sz w:val="20"/>
          <w:szCs w:val="20"/>
          <w:rtl/>
        </w:rPr>
        <w:br/>
      </w:r>
      <w:r>
        <w:rPr>
          <w:rFonts w:hint="cs"/>
          <w:b/>
          <w:bCs/>
          <w:sz w:val="20"/>
          <w:szCs w:val="20"/>
          <w:rtl/>
        </w:rPr>
        <w:t xml:space="preserve">סעיף ד </w:t>
      </w:r>
      <w:r>
        <w:rPr>
          <w:b/>
          <w:bCs/>
          <w:sz w:val="20"/>
          <w:szCs w:val="20"/>
          <w:rtl/>
        </w:rPr>
        <w:t>–</w:t>
      </w:r>
      <w:r>
        <w:rPr>
          <w:rFonts w:hint="cs"/>
          <w:b/>
          <w:bCs/>
          <w:sz w:val="20"/>
          <w:szCs w:val="20"/>
          <w:rtl/>
        </w:rPr>
        <w:t xml:space="preserve"> שתיית שיורי כוס אשתו</w:t>
      </w:r>
      <w:r>
        <w:rPr>
          <w:b/>
          <w:bCs/>
          <w:sz w:val="20"/>
          <w:szCs w:val="20"/>
          <w:rtl/>
        </w:rPr>
        <w:br/>
      </w:r>
      <w:r>
        <w:rPr>
          <w:rFonts w:hint="cs"/>
          <w:b/>
          <w:bCs/>
          <w:sz w:val="20"/>
          <w:szCs w:val="20"/>
          <w:rtl/>
        </w:rPr>
        <w:t>שיטות הראשונים</w:t>
      </w:r>
      <w:r>
        <w:rPr>
          <w:rFonts w:hint="cs"/>
          <w:b/>
          <w:bCs/>
          <w:sz w:val="20"/>
          <w:szCs w:val="20"/>
          <w:rtl/>
        </w:rPr>
        <w:br/>
      </w:r>
      <w:r>
        <w:rPr>
          <w:rFonts w:hint="cs"/>
          <w:sz w:val="20"/>
          <w:szCs w:val="20"/>
          <w:rtl/>
        </w:rPr>
        <w:t>האם מותר לשתות את שיורי הכוס ששתתה אשתו נידה?</w:t>
      </w:r>
      <w:r>
        <w:rPr>
          <w:b/>
          <w:bCs/>
          <w:sz w:val="20"/>
          <w:szCs w:val="20"/>
          <w:rtl/>
        </w:rPr>
        <w:br/>
      </w:r>
      <w:r>
        <w:rPr>
          <w:rFonts w:hint="cs"/>
          <w:sz w:val="20"/>
          <w:szCs w:val="20"/>
          <w:rtl/>
        </w:rPr>
        <w:t xml:space="preserve">א. </w:t>
      </w:r>
      <w:r w:rsidRPr="004C6956">
        <w:rPr>
          <w:rFonts w:hint="cs"/>
          <w:b/>
          <w:bCs/>
          <w:sz w:val="20"/>
          <w:szCs w:val="20"/>
          <w:rtl/>
        </w:rPr>
        <w:t>סמ"ק</w:t>
      </w:r>
      <w:r w:rsidRPr="00D749B2">
        <w:rPr>
          <w:rStyle w:val="a5"/>
          <w:sz w:val="20"/>
          <w:szCs w:val="20"/>
          <w:rtl/>
        </w:rPr>
        <w:footnoteReference w:id="454"/>
      </w:r>
      <w:r>
        <w:rPr>
          <w:rFonts w:hint="cs"/>
          <w:sz w:val="20"/>
          <w:szCs w:val="20"/>
          <w:rtl/>
        </w:rPr>
        <w:t xml:space="preserve"> </w:t>
      </w:r>
      <w:r>
        <w:rPr>
          <w:sz w:val="20"/>
          <w:szCs w:val="20"/>
          <w:rtl/>
        </w:rPr>
        <w:t>–</w:t>
      </w:r>
      <w:r>
        <w:rPr>
          <w:rFonts w:hint="cs"/>
          <w:sz w:val="20"/>
          <w:szCs w:val="20"/>
          <w:rtl/>
        </w:rPr>
        <w:t xml:space="preserve"> מותר.</w:t>
      </w:r>
      <w:r>
        <w:rPr>
          <w:sz w:val="20"/>
          <w:szCs w:val="20"/>
          <w:rtl/>
        </w:rPr>
        <w:br/>
      </w:r>
      <w:r w:rsidRPr="004C6956">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רגילים לשתות כך גם בזמן טהרתה ואין בכך קירוב הדעת, אך נהגו להפסיק ע"י אדם אחר ביניהם.</w:t>
      </w:r>
      <w:r>
        <w:rPr>
          <w:rFonts w:hint="cs"/>
          <w:sz w:val="20"/>
          <w:szCs w:val="20"/>
          <w:rtl/>
        </w:rPr>
        <w:br/>
        <w:t xml:space="preserve">ב. </w:t>
      </w:r>
      <w:r w:rsidRPr="00D749B2">
        <w:rPr>
          <w:rFonts w:hint="cs"/>
          <w:b/>
          <w:bCs/>
          <w:sz w:val="20"/>
          <w:szCs w:val="20"/>
          <w:rtl/>
        </w:rPr>
        <w:t>רא"ם ומרדכי</w:t>
      </w:r>
      <w:r>
        <w:rPr>
          <w:rFonts w:hint="cs"/>
          <w:sz w:val="20"/>
          <w:szCs w:val="20"/>
          <w:rtl/>
        </w:rPr>
        <w:t xml:space="preserve"> </w:t>
      </w:r>
      <w:r>
        <w:rPr>
          <w:sz w:val="20"/>
          <w:szCs w:val="20"/>
          <w:rtl/>
        </w:rPr>
        <w:t>–</w:t>
      </w:r>
      <w:r>
        <w:rPr>
          <w:rFonts w:hint="cs"/>
          <w:sz w:val="20"/>
          <w:szCs w:val="20"/>
          <w:rtl/>
        </w:rPr>
        <w:t xml:space="preserve"> אסור, וכ"פ </w:t>
      </w:r>
      <w:r w:rsidRPr="00810CF5">
        <w:rPr>
          <w:rFonts w:hint="cs"/>
          <w:b/>
          <w:bCs/>
          <w:sz w:val="20"/>
          <w:szCs w:val="20"/>
          <w:rtl/>
        </w:rPr>
        <w:t>המחבר והרמ"א</w:t>
      </w:r>
      <w:r>
        <w:rPr>
          <w:rFonts w:hint="cs"/>
          <w:sz w:val="20"/>
          <w:szCs w:val="20"/>
          <w:rtl/>
        </w:rPr>
        <w:t>.</w:t>
      </w:r>
      <w:r>
        <w:rPr>
          <w:sz w:val="20"/>
          <w:szCs w:val="20"/>
          <w:rtl/>
        </w:rPr>
        <w:br/>
      </w:r>
      <w:r w:rsidRPr="00D749B2">
        <w:rPr>
          <w:rFonts w:hint="cs"/>
          <w:b/>
          <w:bCs/>
          <w:sz w:val="20"/>
          <w:szCs w:val="20"/>
          <w:rtl/>
        </w:rPr>
        <w:t>ראיה</w:t>
      </w:r>
      <w:r>
        <w:rPr>
          <w:rFonts w:hint="cs"/>
          <w:sz w:val="20"/>
          <w:szCs w:val="20"/>
          <w:rtl/>
        </w:rPr>
        <w:t xml:space="preserve"> </w:t>
      </w:r>
      <w:r>
        <w:rPr>
          <w:sz w:val="20"/>
          <w:szCs w:val="20"/>
          <w:rtl/>
        </w:rPr>
        <w:t>–</w:t>
      </w:r>
      <w:r>
        <w:rPr>
          <w:rFonts w:hint="cs"/>
          <w:sz w:val="20"/>
          <w:szCs w:val="20"/>
          <w:rtl/>
        </w:rPr>
        <w:t xml:space="preserve"> כך נאמר בסיפור המובא במסכת שבת, שאותו תלמיד אכל ושתה עם אשתו, ואליהו השיב לה על כל זאת: "ברוך המקום שהרגו", משמע שאסור.</w:t>
      </w:r>
    </w:p>
    <w:p w:rsidR="00620060" w:rsidRDefault="00620060" w:rsidP="00620060">
      <w:pPr>
        <w:rPr>
          <w:sz w:val="20"/>
          <w:szCs w:val="20"/>
          <w:rtl/>
        </w:rPr>
      </w:pPr>
      <w:r>
        <w:rPr>
          <w:rFonts w:hint="cs"/>
          <w:sz w:val="20"/>
          <w:szCs w:val="20"/>
          <w:u w:val="single"/>
          <w:rtl/>
        </w:rPr>
        <w:t>פרטים להיתר בשיטת האוסרים</w:t>
      </w:r>
      <w:r>
        <w:rPr>
          <w:sz w:val="20"/>
          <w:szCs w:val="20"/>
          <w:u w:val="single"/>
          <w:rtl/>
        </w:rPr>
        <w:br/>
      </w:r>
      <w:r>
        <w:rPr>
          <w:rFonts w:hint="cs"/>
          <w:sz w:val="20"/>
          <w:szCs w:val="20"/>
          <w:rtl/>
        </w:rPr>
        <w:t>א. אם אשתו הלכה מותר לשתות מהכוס שלה, ואין זה קרוי ששותה מכוס אחת.</w:t>
      </w:r>
      <w:r>
        <w:rPr>
          <w:sz w:val="20"/>
          <w:szCs w:val="20"/>
          <w:rtl/>
        </w:rPr>
        <w:br/>
      </w:r>
      <w:r w:rsidRPr="00D749B2">
        <w:rPr>
          <w:rFonts w:hint="cs"/>
          <w:b/>
          <w:bCs/>
          <w:sz w:val="20"/>
          <w:szCs w:val="20"/>
          <w:rtl/>
        </w:rPr>
        <w:t>ראיה</w:t>
      </w:r>
      <w:r>
        <w:rPr>
          <w:rFonts w:hint="cs"/>
          <w:sz w:val="20"/>
          <w:szCs w:val="20"/>
          <w:rtl/>
        </w:rPr>
        <w:t xml:space="preserve"> </w:t>
      </w:r>
      <w:r>
        <w:rPr>
          <w:sz w:val="20"/>
          <w:szCs w:val="20"/>
          <w:rtl/>
        </w:rPr>
        <w:t>–</w:t>
      </w:r>
      <w:r>
        <w:rPr>
          <w:rFonts w:hint="cs"/>
          <w:sz w:val="20"/>
          <w:szCs w:val="20"/>
          <w:rtl/>
        </w:rPr>
        <w:t xml:space="preserve"> שתיית הכוס אינה חמורה מהצעת המיטה שהתירו שלא בפניו.</w:t>
      </w:r>
      <w:r>
        <w:rPr>
          <w:sz w:val="20"/>
          <w:szCs w:val="20"/>
          <w:rtl/>
        </w:rPr>
        <w:br/>
      </w:r>
      <w:r>
        <w:rPr>
          <w:rFonts w:hint="cs"/>
          <w:sz w:val="20"/>
          <w:szCs w:val="20"/>
          <w:rtl/>
        </w:rPr>
        <w:t xml:space="preserve">מוסיף </w:t>
      </w:r>
      <w:r w:rsidRPr="000C5419">
        <w:rPr>
          <w:rFonts w:hint="cs"/>
          <w:b/>
          <w:bCs/>
          <w:sz w:val="20"/>
          <w:szCs w:val="20"/>
          <w:rtl/>
        </w:rPr>
        <w:t>הפת"ש</w:t>
      </w:r>
      <w:r>
        <w:rPr>
          <w:rFonts w:hint="cs"/>
          <w:sz w:val="20"/>
          <w:szCs w:val="20"/>
          <w:rtl/>
        </w:rPr>
        <w:t xml:space="preserve"> </w:t>
      </w:r>
      <w:r>
        <w:rPr>
          <w:sz w:val="20"/>
          <w:szCs w:val="20"/>
          <w:rtl/>
        </w:rPr>
        <w:t>–</w:t>
      </w:r>
      <w:r>
        <w:rPr>
          <w:rFonts w:hint="cs"/>
          <w:sz w:val="20"/>
          <w:szCs w:val="20"/>
          <w:rtl/>
        </w:rPr>
        <w:t xml:space="preserve"> אם לאחר שהלכה והתחיל לשתות חזרה למקומו, מותר לו לגמור. והוא הדין אם לאחר שהתחיל לשתות משיורי הכוס שלה פירסה נידה.</w:t>
      </w:r>
      <w:r>
        <w:rPr>
          <w:rFonts w:hint="cs"/>
          <w:sz w:val="20"/>
          <w:szCs w:val="20"/>
          <w:rtl/>
        </w:rPr>
        <w:br/>
        <w:t>ב. אם שפך את המשקה לכלי אחר, מותר לשתותו אפילו אם החזירו לכלי הראשון.</w:t>
      </w:r>
      <w:r>
        <w:rPr>
          <w:sz w:val="20"/>
          <w:szCs w:val="20"/>
          <w:rtl/>
        </w:rPr>
        <w:br/>
      </w:r>
      <w:r>
        <w:rPr>
          <w:rFonts w:hint="cs"/>
          <w:sz w:val="20"/>
          <w:szCs w:val="20"/>
          <w:rtl/>
        </w:rPr>
        <w:t>ג. מותר לה לשתות שיורי כוס בעלה.</w:t>
      </w:r>
      <w:r>
        <w:rPr>
          <w:rFonts w:hint="cs"/>
          <w:sz w:val="20"/>
          <w:szCs w:val="20"/>
          <w:rtl/>
        </w:rPr>
        <w:br/>
      </w:r>
      <w:r w:rsidRPr="00FD134D">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כשהוא שותה אחריה יש לחוש שיבוא להרגל עבירה, אך היא לא תרגיל אותו לעבירה</w:t>
      </w:r>
      <w:r>
        <w:rPr>
          <w:rStyle w:val="a5"/>
          <w:sz w:val="20"/>
          <w:szCs w:val="20"/>
          <w:rtl/>
        </w:rPr>
        <w:footnoteReference w:id="455"/>
      </w:r>
      <w:r>
        <w:rPr>
          <w:rFonts w:hint="cs"/>
          <w:sz w:val="20"/>
          <w:szCs w:val="20"/>
          <w:rtl/>
        </w:rPr>
        <w:t>.</w:t>
      </w:r>
      <w:r>
        <w:rPr>
          <w:sz w:val="20"/>
          <w:szCs w:val="20"/>
          <w:rtl/>
        </w:rPr>
        <w:br/>
      </w:r>
      <w:r>
        <w:rPr>
          <w:rFonts w:hint="cs"/>
          <w:sz w:val="20"/>
          <w:szCs w:val="20"/>
          <w:rtl/>
        </w:rPr>
        <w:t>ד. אם שתתה והוא אינו יודע זאת, אינה צריכה להגיד לו.</w:t>
      </w:r>
      <w:r>
        <w:rPr>
          <w:sz w:val="20"/>
          <w:szCs w:val="20"/>
          <w:rtl/>
        </w:rPr>
        <w:br/>
      </w:r>
      <w:r w:rsidRPr="00FD134D">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אין בכך חיבה.</w:t>
      </w:r>
      <w:r>
        <w:rPr>
          <w:rFonts w:hint="cs"/>
          <w:sz w:val="20"/>
          <w:szCs w:val="20"/>
          <w:rtl/>
        </w:rPr>
        <w:br/>
        <w:t xml:space="preserve">מוסיף </w:t>
      </w:r>
      <w:r w:rsidRPr="004262C3">
        <w:rPr>
          <w:rFonts w:hint="cs"/>
          <w:b/>
          <w:bCs/>
          <w:sz w:val="20"/>
          <w:szCs w:val="20"/>
          <w:rtl/>
        </w:rPr>
        <w:t>טה"ב</w:t>
      </w:r>
      <w:r>
        <w:rPr>
          <w:rFonts w:hint="cs"/>
          <w:sz w:val="20"/>
          <w:szCs w:val="20"/>
          <w:rtl/>
        </w:rPr>
        <w:t xml:space="preserve"> </w:t>
      </w:r>
      <w:r>
        <w:rPr>
          <w:sz w:val="20"/>
          <w:szCs w:val="20"/>
          <w:rtl/>
        </w:rPr>
        <w:t>–</w:t>
      </w:r>
      <w:r>
        <w:rPr>
          <w:rFonts w:hint="cs"/>
          <w:sz w:val="20"/>
          <w:szCs w:val="20"/>
          <w:rtl/>
        </w:rPr>
        <w:t xml:space="preserve"> אפילו אם הוא יודע ששתו מהכוס, אך אינו יודע מי שתה, אינו צריך לברר האם אשתו שתתה מהכוס. והטעם לכך הוא, משום שבכה"ג אין חיבה.</w:t>
      </w:r>
      <w:r>
        <w:rPr>
          <w:sz w:val="20"/>
          <w:szCs w:val="20"/>
          <w:rtl/>
        </w:rPr>
        <w:br/>
      </w:r>
      <w:r>
        <w:rPr>
          <w:rFonts w:hint="cs"/>
          <w:sz w:val="20"/>
          <w:szCs w:val="20"/>
          <w:rtl/>
        </w:rPr>
        <w:t>ה. אם שתה אדם אחר ביניהם, מותר לו לשתות את שיורי הכוס.</w:t>
      </w:r>
    </w:p>
    <w:p w:rsidR="00620060" w:rsidRDefault="00620060" w:rsidP="00620060">
      <w:pPr>
        <w:rPr>
          <w:sz w:val="20"/>
          <w:szCs w:val="20"/>
          <w:rtl/>
        </w:rPr>
      </w:pPr>
      <w:r>
        <w:rPr>
          <w:rFonts w:hint="cs"/>
          <w:sz w:val="20"/>
          <w:szCs w:val="20"/>
          <w:u w:val="single"/>
          <w:rtl/>
        </w:rPr>
        <w:t>מנהג הדחת הכוס</w:t>
      </w:r>
      <w:r>
        <w:rPr>
          <w:sz w:val="20"/>
          <w:szCs w:val="20"/>
          <w:u w:val="single"/>
          <w:rtl/>
        </w:rPr>
        <w:br/>
      </w:r>
      <w:r>
        <w:rPr>
          <w:rFonts w:hint="cs"/>
          <w:sz w:val="20"/>
          <w:szCs w:val="20"/>
          <w:rtl/>
        </w:rPr>
        <w:t xml:space="preserve">א. </w:t>
      </w:r>
      <w:r w:rsidRPr="00FE6B1D">
        <w:rPr>
          <w:rFonts w:hint="cs"/>
          <w:b/>
          <w:bCs/>
          <w:sz w:val="20"/>
          <w:szCs w:val="20"/>
          <w:rtl/>
        </w:rPr>
        <w:t>בית יוסף</w:t>
      </w:r>
      <w:r>
        <w:rPr>
          <w:rFonts w:hint="cs"/>
          <w:sz w:val="20"/>
          <w:szCs w:val="20"/>
          <w:rtl/>
        </w:rPr>
        <w:t xml:space="preserve"> </w:t>
      </w:r>
      <w:r>
        <w:rPr>
          <w:sz w:val="20"/>
          <w:szCs w:val="20"/>
          <w:rtl/>
        </w:rPr>
        <w:t>–</w:t>
      </w:r>
      <w:r>
        <w:rPr>
          <w:rFonts w:hint="cs"/>
          <w:sz w:val="20"/>
          <w:szCs w:val="20"/>
          <w:rtl/>
        </w:rPr>
        <w:t xml:space="preserve"> מנהגנו להדיח את הכוס בין שתיית האשה לשתיית הבעל, ומנהג כשר הוא.</w:t>
      </w:r>
      <w:r>
        <w:rPr>
          <w:rFonts w:hint="cs"/>
          <w:sz w:val="20"/>
          <w:szCs w:val="20"/>
          <w:rtl/>
        </w:rPr>
        <w:br/>
        <w:t xml:space="preserve">ב. </w:t>
      </w:r>
      <w:r w:rsidRPr="00AD1947">
        <w:rPr>
          <w:rFonts w:hint="cs"/>
          <w:b/>
          <w:bCs/>
          <w:sz w:val="20"/>
          <w:szCs w:val="20"/>
          <w:rtl/>
        </w:rPr>
        <w:t>דרכי משה</w:t>
      </w:r>
      <w:r>
        <w:rPr>
          <w:rFonts w:hint="cs"/>
          <w:sz w:val="20"/>
          <w:szCs w:val="20"/>
          <w:rtl/>
        </w:rPr>
        <w:t xml:space="preserve"> </w:t>
      </w:r>
      <w:r>
        <w:rPr>
          <w:rFonts w:hint="cs"/>
          <w:b/>
          <w:bCs/>
          <w:sz w:val="20"/>
          <w:szCs w:val="20"/>
          <w:rtl/>
        </w:rPr>
        <w:t xml:space="preserve">וש"ך </w:t>
      </w:r>
      <w:r>
        <w:rPr>
          <w:sz w:val="20"/>
          <w:szCs w:val="20"/>
          <w:rtl/>
        </w:rPr>
        <w:t>–</w:t>
      </w:r>
      <w:r>
        <w:rPr>
          <w:rFonts w:hint="cs"/>
          <w:sz w:val="20"/>
          <w:szCs w:val="20"/>
          <w:rtl/>
        </w:rPr>
        <w:t xml:space="preserve"> מנהגנו שלא להדיח את הכוס, וכן כתב טהרת הבית (</w:t>
      </w:r>
      <w:r w:rsidRPr="005B64B7">
        <w:rPr>
          <w:rFonts w:hint="cs"/>
          <w:sz w:val="18"/>
          <w:szCs w:val="18"/>
          <w:rtl/>
        </w:rPr>
        <w:t xml:space="preserve">עמ' קכו) </w:t>
      </w:r>
      <w:r>
        <w:rPr>
          <w:rFonts w:hint="cs"/>
          <w:sz w:val="20"/>
          <w:szCs w:val="20"/>
          <w:rtl/>
        </w:rPr>
        <w:t>שדין זה תלוי במנהג ובמקומנו לא נוהגים זאת.</w:t>
      </w:r>
      <w:r>
        <w:rPr>
          <w:sz w:val="20"/>
          <w:szCs w:val="20"/>
          <w:rtl/>
        </w:rPr>
        <w:br/>
      </w:r>
      <w:r>
        <w:rPr>
          <w:b/>
          <w:bCs/>
          <w:sz w:val="20"/>
          <w:szCs w:val="20"/>
          <w:rtl/>
        </w:rPr>
        <w:br/>
      </w:r>
      <w:r>
        <w:rPr>
          <w:rFonts w:hint="cs"/>
          <w:b/>
          <w:bCs/>
          <w:sz w:val="20"/>
          <w:szCs w:val="20"/>
          <w:rtl/>
        </w:rPr>
        <w:t>פסיקת הלכה</w:t>
      </w:r>
      <w:r>
        <w:rPr>
          <w:b/>
          <w:bCs/>
          <w:sz w:val="20"/>
          <w:szCs w:val="20"/>
          <w:rtl/>
        </w:rPr>
        <w:br/>
      </w:r>
      <w:r>
        <w:rPr>
          <w:rFonts w:hint="cs"/>
          <w:b/>
          <w:bCs/>
          <w:sz w:val="20"/>
          <w:szCs w:val="20"/>
          <w:rtl/>
        </w:rPr>
        <w:lastRenderedPageBreak/>
        <w:t xml:space="preserve">שולחן ערוך </w:t>
      </w:r>
      <w:r>
        <w:rPr>
          <w:sz w:val="20"/>
          <w:szCs w:val="20"/>
          <w:rtl/>
        </w:rPr>
        <w:t>–</w:t>
      </w:r>
      <w:r>
        <w:rPr>
          <w:rFonts w:hint="cs"/>
          <w:sz w:val="20"/>
          <w:szCs w:val="20"/>
          <w:rtl/>
        </w:rPr>
        <w:t xml:space="preserve"> "</w:t>
      </w:r>
      <w:r>
        <w:rPr>
          <w:rFonts w:cs="Arial"/>
          <w:sz w:val="20"/>
          <w:szCs w:val="20"/>
          <w:rtl/>
        </w:rPr>
        <w:t>לא ישתה משיורי כוס ששתתה</w:t>
      </w:r>
      <w:r>
        <w:rPr>
          <w:rFonts w:cs="Arial" w:hint="cs"/>
          <w:sz w:val="20"/>
          <w:szCs w:val="20"/>
          <w:rtl/>
        </w:rPr>
        <w:t xml:space="preserve"> </w:t>
      </w:r>
      <w:r w:rsidRPr="00AD4F72">
        <w:rPr>
          <w:rFonts w:cs="Arial"/>
          <w:sz w:val="20"/>
          <w:szCs w:val="20"/>
          <w:rtl/>
        </w:rPr>
        <w:t>היא</w:t>
      </w:r>
      <w:r>
        <w:rPr>
          <w:rStyle w:val="a5"/>
          <w:rFonts w:cs="Arial"/>
          <w:sz w:val="20"/>
          <w:szCs w:val="20"/>
          <w:rtl/>
        </w:rPr>
        <w:footnoteReference w:id="456"/>
      </w:r>
      <w:r w:rsidRPr="00AD4F72">
        <w:rPr>
          <w:rFonts w:cs="Arial"/>
          <w:sz w:val="20"/>
          <w:szCs w:val="20"/>
          <w:rtl/>
        </w:rPr>
        <w:t xml:space="preserve">. </w:t>
      </w:r>
      <w:r w:rsidRPr="00C810C5">
        <w:rPr>
          <w:rFonts w:cs="Arial"/>
          <w:sz w:val="18"/>
          <w:szCs w:val="18"/>
          <w:rtl/>
        </w:rPr>
        <w:t xml:space="preserve">הגה: אם לא שמפסיק אדם אחר ביניהם, או שהורק מכוס זה אל כוס אחר אפילו הוחזר לכוס ראשון; ואם שתתה והוא אינו יודע ורוצה לשתות מכוס שלה, אינה צריכה להגיד לו שלא ישתה; </w:t>
      </w:r>
      <w:r>
        <w:rPr>
          <w:rFonts w:cs="Arial"/>
          <w:sz w:val="18"/>
          <w:szCs w:val="18"/>
          <w:rtl/>
        </w:rPr>
        <w:t>והיא מותרת לשתות מכוס ששתה הוא. ואם שתתה מכוס והלכה לה, י</w:t>
      </w:r>
      <w:r>
        <w:rPr>
          <w:rFonts w:cs="Arial" w:hint="cs"/>
          <w:sz w:val="18"/>
          <w:szCs w:val="18"/>
          <w:rtl/>
        </w:rPr>
        <w:t>ש אומרים</w:t>
      </w:r>
      <w:r w:rsidRPr="00C810C5">
        <w:rPr>
          <w:rFonts w:cs="Arial"/>
          <w:sz w:val="18"/>
          <w:szCs w:val="18"/>
          <w:rtl/>
        </w:rPr>
        <w:t xml:space="preserve"> שמותר לו לשתות המו</w:t>
      </w:r>
      <w:r>
        <w:rPr>
          <w:rFonts w:cs="Arial"/>
          <w:sz w:val="18"/>
          <w:szCs w:val="18"/>
          <w:rtl/>
        </w:rPr>
        <w:t>תר, דמאחר שכבר הלכה אין כאן חבה</w:t>
      </w:r>
      <w:r>
        <w:rPr>
          <w:rFonts w:cs="Arial" w:hint="cs"/>
          <w:sz w:val="18"/>
          <w:szCs w:val="18"/>
          <w:rtl/>
        </w:rPr>
        <w:t>".</w:t>
      </w:r>
      <w:r w:rsidRPr="00C810C5">
        <w:rPr>
          <w:rFonts w:cs="Arial"/>
          <w:sz w:val="18"/>
          <w:szCs w:val="18"/>
          <w:rtl/>
        </w:rPr>
        <w:t xml:space="preserve"> </w:t>
      </w:r>
    </w:p>
    <w:p w:rsidR="00620060" w:rsidRDefault="00620060" w:rsidP="00620060">
      <w:pPr>
        <w:rPr>
          <w:sz w:val="20"/>
          <w:szCs w:val="20"/>
          <w:rtl/>
        </w:rPr>
      </w:pPr>
      <w:r>
        <w:rPr>
          <w:rFonts w:hint="cs"/>
          <w:sz w:val="20"/>
          <w:szCs w:val="20"/>
          <w:u w:val="single"/>
          <w:rtl/>
        </w:rPr>
        <w:t>שתתה חצי כוס ומילאו אותה שנית</w:t>
      </w:r>
      <w:r>
        <w:rPr>
          <w:rFonts w:hint="cs"/>
          <w:sz w:val="20"/>
          <w:szCs w:val="20"/>
          <w:u w:val="single"/>
          <w:rtl/>
        </w:rPr>
        <w:br/>
      </w:r>
      <w:r>
        <w:rPr>
          <w:rFonts w:hint="cs"/>
          <w:sz w:val="20"/>
          <w:szCs w:val="20"/>
          <w:rtl/>
        </w:rPr>
        <w:t>שתתה היא חצי כוס ומילאו אותה שנית, האם מקרי שיורי כוסה ואסור לו לשתות?</w:t>
      </w:r>
      <w:r>
        <w:rPr>
          <w:sz w:val="20"/>
          <w:szCs w:val="20"/>
          <w:u w:val="single"/>
          <w:rtl/>
        </w:rPr>
        <w:br/>
      </w:r>
      <w:r>
        <w:rPr>
          <w:rFonts w:hint="cs"/>
          <w:sz w:val="20"/>
          <w:szCs w:val="20"/>
          <w:rtl/>
        </w:rPr>
        <w:t xml:space="preserve">א. </w:t>
      </w:r>
      <w:r w:rsidRPr="00272F3A">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אסור. </w:t>
      </w:r>
      <w:r>
        <w:rPr>
          <w:sz w:val="20"/>
          <w:szCs w:val="20"/>
          <w:rtl/>
        </w:rPr>
        <w:br/>
      </w:r>
      <w:r>
        <w:rPr>
          <w:rFonts w:hint="cs"/>
          <w:sz w:val="20"/>
          <w:szCs w:val="20"/>
          <w:rtl/>
        </w:rPr>
        <w:t xml:space="preserve">ב. </w:t>
      </w:r>
      <w:r w:rsidRPr="00DB4F69">
        <w:rPr>
          <w:rFonts w:hint="cs"/>
          <w:b/>
          <w:bCs/>
          <w:sz w:val="20"/>
          <w:szCs w:val="20"/>
          <w:rtl/>
        </w:rPr>
        <w:t>טהרת הבית</w:t>
      </w:r>
      <w:r>
        <w:rPr>
          <w:rFonts w:hint="cs"/>
          <w:sz w:val="20"/>
          <w:szCs w:val="20"/>
          <w:rtl/>
        </w:rPr>
        <w:t xml:space="preserve"> </w:t>
      </w:r>
      <w:r w:rsidRPr="00DB4F69">
        <w:rPr>
          <w:rFonts w:hint="cs"/>
          <w:sz w:val="18"/>
          <w:szCs w:val="18"/>
          <w:rtl/>
        </w:rPr>
        <w:t xml:space="preserve">(עמ' קכז) </w:t>
      </w:r>
      <w:r>
        <w:rPr>
          <w:sz w:val="20"/>
          <w:szCs w:val="20"/>
          <w:rtl/>
        </w:rPr>
        <w:t>–</w:t>
      </w:r>
      <w:r>
        <w:rPr>
          <w:rFonts w:hint="cs"/>
          <w:sz w:val="20"/>
          <w:szCs w:val="20"/>
          <w:rtl/>
        </w:rPr>
        <w:t xml:space="preserve"> מותר.</w:t>
      </w:r>
      <w:r>
        <w:rPr>
          <w:sz w:val="20"/>
          <w:szCs w:val="20"/>
          <w:rtl/>
        </w:rPr>
        <w:br/>
      </w:r>
      <w:r w:rsidRPr="00DB4F69">
        <w:rPr>
          <w:rFonts w:hint="cs"/>
          <w:b/>
          <w:bCs/>
          <w:sz w:val="20"/>
          <w:szCs w:val="20"/>
          <w:rtl/>
        </w:rPr>
        <w:t xml:space="preserve">טעם </w:t>
      </w:r>
      <w:r>
        <w:rPr>
          <w:sz w:val="20"/>
          <w:szCs w:val="20"/>
          <w:rtl/>
        </w:rPr>
        <w:t>–</w:t>
      </w:r>
      <w:r>
        <w:rPr>
          <w:rFonts w:hint="cs"/>
          <w:sz w:val="20"/>
          <w:szCs w:val="20"/>
          <w:rtl/>
        </w:rPr>
        <w:t xml:space="preserve"> מילוי הכוס שנית מהווה היכר, וכפי שריקון הכוס לכוס אחרת מתיר, הוא הדין בזה. ואע"פ שיש לחלק ביניהם, מכל מקום כיוון שאיסור שתיית הכוס שנוי במחלוקת ורוב הראשונים מתירים, יש להקל בטעם קל.</w:t>
      </w:r>
    </w:p>
    <w:p w:rsidR="00620060"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שתיית שיורי כוס אשתו. </w:t>
      </w:r>
      <w:r w:rsidRPr="00C41DC9">
        <w:rPr>
          <w:rFonts w:hint="cs"/>
          <w:b/>
          <w:bCs/>
          <w:sz w:val="20"/>
          <w:szCs w:val="20"/>
          <w:rtl/>
        </w:rPr>
        <w:t>סמ"ק</w:t>
      </w:r>
      <w:r>
        <w:rPr>
          <w:rFonts w:hint="cs"/>
          <w:sz w:val="20"/>
          <w:szCs w:val="20"/>
          <w:rtl/>
        </w:rPr>
        <w:t xml:space="preserve">. מותר, כך הרגילות בזמן שהיא טהורה. </w:t>
      </w:r>
      <w:r w:rsidRPr="00C41DC9">
        <w:rPr>
          <w:rFonts w:hint="cs"/>
          <w:b/>
          <w:bCs/>
          <w:sz w:val="20"/>
          <w:szCs w:val="20"/>
          <w:rtl/>
        </w:rPr>
        <w:t>רא"ם</w:t>
      </w:r>
      <w:r>
        <w:rPr>
          <w:rFonts w:hint="cs"/>
          <w:sz w:val="20"/>
          <w:szCs w:val="20"/>
          <w:rtl/>
        </w:rPr>
        <w:t xml:space="preserve">. אסור, וכ"פ </w:t>
      </w:r>
      <w:r w:rsidRPr="00124258">
        <w:rPr>
          <w:rFonts w:hint="cs"/>
          <w:b/>
          <w:bCs/>
          <w:sz w:val="20"/>
          <w:szCs w:val="20"/>
          <w:rtl/>
        </w:rPr>
        <w:t>המחבר</w:t>
      </w:r>
      <w:r>
        <w:rPr>
          <w:rFonts w:hint="cs"/>
          <w:b/>
          <w:bCs/>
          <w:sz w:val="20"/>
          <w:szCs w:val="20"/>
          <w:rtl/>
        </w:rPr>
        <w:t xml:space="preserve"> והרמ"א</w:t>
      </w:r>
      <w:r>
        <w:rPr>
          <w:rFonts w:hint="cs"/>
          <w:sz w:val="20"/>
          <w:szCs w:val="20"/>
          <w:rtl/>
        </w:rPr>
        <w:t>. כך מוכח מסיפור המעשה על אותו תלמיד.</w:t>
      </w:r>
      <w:r>
        <w:rPr>
          <w:sz w:val="20"/>
          <w:szCs w:val="20"/>
          <w:rtl/>
        </w:rPr>
        <w:br/>
      </w:r>
      <w:r>
        <w:rPr>
          <w:rFonts w:hint="cs"/>
          <w:sz w:val="20"/>
          <w:szCs w:val="20"/>
          <w:rtl/>
        </w:rPr>
        <w:t>2</w:t>
      </w:r>
      <w:r w:rsidRPr="00542F44">
        <w:rPr>
          <w:rFonts w:hint="cs"/>
          <w:sz w:val="20"/>
          <w:szCs w:val="20"/>
          <w:rtl/>
        </w:rPr>
        <w:t>. פרטים להיתר. אם אשתו הלכה מותר לשתות משייריה, ואפילו אם חזרה באמצע שתייתו מותר לו לגמור. אם שפך את המשקה לכלי אחר מותר, אפילו אם החזירו לכלי הראשון. מותר לה לשתות שיורי הכוס שלו. אם שתתה והוא אינו יודע, אינה צריכה להגיד לו. אם שתה אחר ביניהם, מותר.</w:t>
      </w:r>
      <w:r w:rsidRPr="00542F44">
        <w:rPr>
          <w:sz w:val="20"/>
          <w:szCs w:val="20"/>
          <w:rtl/>
        </w:rPr>
        <w:br/>
      </w:r>
      <w:r w:rsidRPr="00542F44">
        <w:rPr>
          <w:rFonts w:hint="cs"/>
          <w:sz w:val="20"/>
          <w:szCs w:val="20"/>
          <w:rtl/>
        </w:rPr>
        <w:t xml:space="preserve">3. האם יש להדיח את הכוס ביניהם? </w:t>
      </w:r>
      <w:r w:rsidRPr="00542F44">
        <w:rPr>
          <w:rFonts w:hint="cs"/>
          <w:b/>
          <w:bCs/>
          <w:sz w:val="20"/>
          <w:szCs w:val="20"/>
          <w:rtl/>
        </w:rPr>
        <w:t>ב"י</w:t>
      </w:r>
      <w:r w:rsidRPr="00542F44">
        <w:rPr>
          <w:rFonts w:hint="cs"/>
          <w:sz w:val="20"/>
          <w:szCs w:val="20"/>
          <w:rtl/>
        </w:rPr>
        <w:t xml:space="preserve">. כן. </w:t>
      </w:r>
      <w:r w:rsidRPr="00542F44">
        <w:rPr>
          <w:rFonts w:hint="cs"/>
          <w:b/>
          <w:bCs/>
          <w:sz w:val="20"/>
          <w:szCs w:val="20"/>
          <w:rtl/>
        </w:rPr>
        <w:t>דרכ"מ</w:t>
      </w:r>
      <w:r w:rsidRPr="00542F44">
        <w:rPr>
          <w:rFonts w:hint="cs"/>
          <w:sz w:val="20"/>
          <w:szCs w:val="20"/>
          <w:rtl/>
        </w:rPr>
        <w:t xml:space="preserve">. לא, וכן המנהג, כ"כ </w:t>
      </w:r>
      <w:r w:rsidRPr="00542F44">
        <w:rPr>
          <w:rFonts w:hint="cs"/>
          <w:b/>
          <w:bCs/>
          <w:sz w:val="20"/>
          <w:szCs w:val="20"/>
          <w:rtl/>
        </w:rPr>
        <w:t>הש"ך וטה"ב</w:t>
      </w:r>
      <w:r w:rsidRPr="00542F44">
        <w:rPr>
          <w:rFonts w:hint="cs"/>
          <w:sz w:val="20"/>
          <w:szCs w:val="20"/>
          <w:rtl/>
        </w:rPr>
        <w:t>.</w:t>
      </w:r>
      <w:r w:rsidRPr="00542F44">
        <w:rPr>
          <w:sz w:val="20"/>
          <w:szCs w:val="20"/>
          <w:rtl/>
        </w:rPr>
        <w:br/>
      </w:r>
      <w:r w:rsidRPr="00542F44">
        <w:rPr>
          <w:rFonts w:hint="cs"/>
          <w:sz w:val="20"/>
          <w:szCs w:val="20"/>
          <w:rtl/>
        </w:rPr>
        <w:t xml:space="preserve">4. שתתה מעט ומילאו שנית. </w:t>
      </w:r>
      <w:r w:rsidRPr="00542F44">
        <w:rPr>
          <w:rFonts w:hint="cs"/>
          <w:b/>
          <w:bCs/>
          <w:sz w:val="20"/>
          <w:szCs w:val="20"/>
          <w:rtl/>
        </w:rPr>
        <w:t>ש"ך</w:t>
      </w:r>
      <w:r w:rsidRPr="00542F44">
        <w:rPr>
          <w:rFonts w:hint="cs"/>
          <w:sz w:val="20"/>
          <w:szCs w:val="20"/>
          <w:rtl/>
        </w:rPr>
        <w:t>.</w:t>
      </w:r>
      <w:r>
        <w:rPr>
          <w:rFonts w:hint="cs"/>
          <w:sz w:val="20"/>
          <w:szCs w:val="20"/>
          <w:rtl/>
        </w:rPr>
        <w:t xml:space="preserve"> אסור. </w:t>
      </w:r>
      <w:r w:rsidRPr="00361798">
        <w:rPr>
          <w:rFonts w:hint="cs"/>
          <w:b/>
          <w:bCs/>
          <w:sz w:val="20"/>
          <w:szCs w:val="20"/>
          <w:rtl/>
        </w:rPr>
        <w:t>טה"ב</w:t>
      </w:r>
      <w:r>
        <w:rPr>
          <w:rFonts w:hint="cs"/>
          <w:sz w:val="20"/>
          <w:szCs w:val="20"/>
          <w:rtl/>
        </w:rPr>
        <w:t>. מותר, הוי היכר כדין ריקון הכוס, ובאיסור קל כזה יש להתיר.</w:t>
      </w:r>
      <w:r>
        <w:rPr>
          <w:sz w:val="20"/>
          <w:szCs w:val="20"/>
          <w:rtl/>
        </w:rPr>
        <w:br/>
      </w:r>
      <w:r>
        <w:rPr>
          <w:b/>
          <w:bCs/>
          <w:sz w:val="20"/>
          <w:szCs w:val="20"/>
          <w:rtl/>
        </w:rPr>
        <w:br/>
      </w:r>
      <w:r>
        <w:rPr>
          <w:rFonts w:hint="cs"/>
          <w:b/>
          <w:bCs/>
          <w:sz w:val="20"/>
          <w:szCs w:val="20"/>
          <w:rtl/>
        </w:rPr>
        <w:t>הוספות</w:t>
      </w:r>
      <w:r>
        <w:rPr>
          <w:b/>
          <w:bCs/>
          <w:sz w:val="20"/>
          <w:szCs w:val="20"/>
          <w:rtl/>
        </w:rPr>
        <w:br/>
      </w:r>
      <w:r>
        <w:rPr>
          <w:rFonts w:hint="cs"/>
          <w:sz w:val="20"/>
          <w:szCs w:val="20"/>
          <w:u w:val="single"/>
          <w:rtl/>
        </w:rPr>
        <w:t>שתתה מהכוס שלא בפניו (טהרת הבית עמ' קכח)</w:t>
      </w:r>
      <w:r>
        <w:rPr>
          <w:rFonts w:hint="cs"/>
          <w:sz w:val="20"/>
          <w:szCs w:val="20"/>
          <w:u w:val="single"/>
          <w:rtl/>
        </w:rPr>
        <w:br/>
      </w:r>
      <w:r>
        <w:rPr>
          <w:rFonts w:hint="cs"/>
          <w:sz w:val="20"/>
          <w:szCs w:val="20"/>
          <w:rtl/>
        </w:rPr>
        <w:t>האם כאשר היא שתתה מהכוס שלא בפניו (</w:t>
      </w:r>
      <w:r w:rsidRPr="00B44C5E">
        <w:rPr>
          <w:rFonts w:hint="cs"/>
          <w:sz w:val="18"/>
          <w:szCs w:val="18"/>
          <w:rtl/>
        </w:rPr>
        <w:t xml:space="preserve">והוא יודע זאת) </w:t>
      </w:r>
      <w:r>
        <w:rPr>
          <w:rFonts w:hint="cs"/>
          <w:sz w:val="20"/>
          <w:szCs w:val="20"/>
          <w:rtl/>
        </w:rPr>
        <w:t>מותר לו לשתות את שיורי הכוס?</w:t>
      </w:r>
      <w:r>
        <w:rPr>
          <w:sz w:val="20"/>
          <w:szCs w:val="20"/>
          <w:rtl/>
        </w:rPr>
        <w:br/>
      </w:r>
      <w:r>
        <w:rPr>
          <w:rFonts w:hint="cs"/>
          <w:sz w:val="20"/>
          <w:szCs w:val="20"/>
          <w:rtl/>
        </w:rPr>
        <w:t xml:space="preserve">א. </w:t>
      </w:r>
      <w:r w:rsidRPr="003C3974">
        <w:rPr>
          <w:rFonts w:hint="cs"/>
          <w:b/>
          <w:bCs/>
          <w:sz w:val="20"/>
          <w:szCs w:val="20"/>
          <w:rtl/>
        </w:rPr>
        <w:t>ערוך השולחן</w:t>
      </w:r>
      <w:r>
        <w:rPr>
          <w:rFonts w:hint="cs"/>
          <w:sz w:val="20"/>
          <w:szCs w:val="20"/>
          <w:rtl/>
        </w:rPr>
        <w:t xml:space="preserve"> </w:t>
      </w:r>
      <w:r>
        <w:rPr>
          <w:sz w:val="20"/>
          <w:szCs w:val="20"/>
          <w:rtl/>
        </w:rPr>
        <w:t>–</w:t>
      </w:r>
      <w:r>
        <w:rPr>
          <w:rFonts w:hint="cs"/>
          <w:sz w:val="20"/>
          <w:szCs w:val="20"/>
          <w:rtl/>
        </w:rPr>
        <w:t xml:space="preserve"> אסור.</w:t>
      </w:r>
      <w:r>
        <w:rPr>
          <w:sz w:val="20"/>
          <w:szCs w:val="20"/>
          <w:rtl/>
        </w:rPr>
        <w:br/>
      </w:r>
      <w:r w:rsidRPr="003C3974">
        <w:rPr>
          <w:rFonts w:hint="cs"/>
          <w:b/>
          <w:bCs/>
          <w:sz w:val="20"/>
          <w:szCs w:val="20"/>
          <w:rtl/>
        </w:rPr>
        <w:t>ראיה</w:t>
      </w:r>
      <w:r>
        <w:rPr>
          <w:rFonts w:hint="cs"/>
          <w:sz w:val="20"/>
          <w:szCs w:val="20"/>
          <w:rtl/>
        </w:rPr>
        <w:t xml:space="preserve"> </w:t>
      </w:r>
      <w:r>
        <w:rPr>
          <w:sz w:val="20"/>
          <w:szCs w:val="20"/>
          <w:rtl/>
        </w:rPr>
        <w:t>–</w:t>
      </w:r>
      <w:r>
        <w:rPr>
          <w:rFonts w:hint="cs"/>
          <w:sz w:val="20"/>
          <w:szCs w:val="20"/>
          <w:rtl/>
        </w:rPr>
        <w:t xml:space="preserve"> הרמ"א פסק שאם היא שתתה אך הוא אינו יודע אינה צריכה להגיד לו, משמע ששתתה שלא בפניו ואפילו הכי אסור, אלא שאינה צריכה להגיד לו.</w:t>
      </w:r>
      <w:r>
        <w:rPr>
          <w:sz w:val="20"/>
          <w:szCs w:val="20"/>
          <w:rtl/>
        </w:rPr>
        <w:br/>
      </w:r>
      <w:r>
        <w:rPr>
          <w:rFonts w:hint="cs"/>
          <w:sz w:val="20"/>
          <w:szCs w:val="20"/>
          <w:rtl/>
        </w:rPr>
        <w:t xml:space="preserve">ב. </w:t>
      </w:r>
      <w:r w:rsidRPr="003C3974">
        <w:rPr>
          <w:rFonts w:hint="cs"/>
          <w:b/>
          <w:bCs/>
          <w:sz w:val="20"/>
          <w:szCs w:val="20"/>
          <w:rtl/>
        </w:rPr>
        <w:t>טהרת הבית</w:t>
      </w:r>
      <w:r>
        <w:rPr>
          <w:rFonts w:hint="cs"/>
          <w:sz w:val="20"/>
          <w:szCs w:val="20"/>
          <w:rtl/>
        </w:rPr>
        <w:t xml:space="preserve"> </w:t>
      </w:r>
      <w:r>
        <w:rPr>
          <w:sz w:val="20"/>
          <w:szCs w:val="20"/>
          <w:rtl/>
        </w:rPr>
        <w:t>–</w:t>
      </w:r>
      <w:r>
        <w:rPr>
          <w:rFonts w:hint="cs"/>
          <w:sz w:val="20"/>
          <w:szCs w:val="20"/>
          <w:rtl/>
        </w:rPr>
        <w:t xml:space="preserve"> מותר.</w:t>
      </w:r>
      <w:r>
        <w:rPr>
          <w:sz w:val="20"/>
          <w:szCs w:val="20"/>
          <w:rtl/>
        </w:rPr>
        <w:br/>
      </w:r>
      <w:r>
        <w:rPr>
          <w:rFonts w:hint="cs"/>
          <w:sz w:val="20"/>
          <w:szCs w:val="20"/>
          <w:rtl/>
        </w:rPr>
        <w:t>המרדכי כתב שאיסור שתיית הכוס נאמר רק אם היא שתתה בפניו, אך אם שתתה שלא בפניו מותר, כדין הצעת המיטה. ואע"פ שמדברי הרמ"א משמע להחמיר בזאת, מכל מקום כיוון שעיקר הדין שנוי במחלוקת ראשונים יש לסמוך על המרדכי ולהקל.</w:t>
      </w:r>
    </w:p>
    <w:p w:rsidR="00620060" w:rsidRDefault="00620060" w:rsidP="00620060">
      <w:pPr>
        <w:rPr>
          <w:sz w:val="20"/>
          <w:szCs w:val="20"/>
          <w:rtl/>
        </w:rPr>
      </w:pPr>
      <w:r>
        <w:rPr>
          <w:rFonts w:hint="cs"/>
          <w:sz w:val="20"/>
          <w:szCs w:val="20"/>
          <w:u w:val="single"/>
          <w:rtl/>
        </w:rPr>
        <w:t>שתיית כוס היין בחופת נידה (טהרת הבית עמ' קכט)</w:t>
      </w:r>
      <w:r>
        <w:rPr>
          <w:rFonts w:hint="cs"/>
          <w:sz w:val="20"/>
          <w:szCs w:val="20"/>
          <w:u w:val="single"/>
          <w:rtl/>
        </w:rPr>
        <w:br/>
      </w:r>
      <w:r>
        <w:rPr>
          <w:rFonts w:hint="cs"/>
          <w:sz w:val="20"/>
          <w:szCs w:val="20"/>
          <w:rtl/>
        </w:rPr>
        <w:t>כלה נידה, אין לבעלה לשתות מכוס ברכת הנישואין, מכיוון שהיא שתתה מהכוס לאחר ברכת האירוסין.</w:t>
      </w:r>
      <w:r>
        <w:rPr>
          <w:sz w:val="20"/>
          <w:szCs w:val="20"/>
          <w:rtl/>
        </w:rPr>
        <w:br/>
      </w:r>
      <w:r>
        <w:rPr>
          <w:rFonts w:hint="cs"/>
          <w:sz w:val="20"/>
          <w:szCs w:val="20"/>
          <w:rtl/>
        </w:rPr>
        <w:t>וכיצד יעשו? אפשר שהרב מסדר הקידושין ישתה אף הוא לאחר ברכות הנישואין לפני החתן והכלה, ואפשר להקל ע"י מילוי הכוס לאחר ברכת האירוסין לפני ברכת הנישואין, וכן יש לעשות בלאו הכי משום שהכוס פגום.</w:t>
      </w:r>
    </w:p>
    <w:p w:rsidR="00620060" w:rsidRPr="00A80CA5" w:rsidRDefault="00620060" w:rsidP="00620060">
      <w:pPr>
        <w:rPr>
          <w:sz w:val="20"/>
          <w:szCs w:val="20"/>
          <w:rtl/>
        </w:rPr>
      </w:pPr>
      <w:r>
        <w:rPr>
          <w:rFonts w:hint="cs"/>
          <w:sz w:val="20"/>
          <w:szCs w:val="20"/>
          <w:u w:val="single"/>
          <w:rtl/>
        </w:rPr>
        <w:t>שימוש בשיירי בשמים של האשה (טה"ב עמ' קפג)</w:t>
      </w:r>
      <w:r>
        <w:rPr>
          <w:rFonts w:hint="cs"/>
          <w:sz w:val="20"/>
          <w:szCs w:val="20"/>
          <w:u w:val="single"/>
          <w:rtl/>
        </w:rPr>
        <w:br/>
      </w:r>
      <w:r w:rsidRPr="00A80CA5">
        <w:rPr>
          <w:rFonts w:hint="cs"/>
          <w:b/>
          <w:bCs/>
          <w:sz w:val="20"/>
          <w:szCs w:val="20"/>
          <w:rtl/>
        </w:rPr>
        <w:t>ערוך השולחן</w:t>
      </w:r>
      <w:r>
        <w:rPr>
          <w:rFonts w:hint="cs"/>
          <w:sz w:val="20"/>
          <w:szCs w:val="20"/>
          <w:rtl/>
        </w:rPr>
        <w:t xml:space="preserve"> - אם אשתו נידה לקחבה בושם מצלוחית, מותר לבעלה לקחת משיירי הבשום שבצלוחית.</w:t>
      </w:r>
      <w:r>
        <w:rPr>
          <w:rFonts w:hint="cs"/>
          <w:sz w:val="20"/>
          <w:szCs w:val="20"/>
          <w:rtl/>
        </w:rPr>
        <w:br/>
      </w:r>
      <w:r w:rsidRPr="00A80CA5">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אין בזה קירוב הדעת, דלא שייך חיבה אלא רק בדבר שעיקר חיותו של האדם תלויה בו.</w:t>
      </w:r>
      <w:r>
        <w:rPr>
          <w:sz w:val="20"/>
          <w:szCs w:val="20"/>
          <w:rtl/>
        </w:rPr>
        <w:br/>
      </w:r>
      <w:r>
        <w:rPr>
          <w:rFonts w:hint="cs"/>
          <w:sz w:val="20"/>
          <w:szCs w:val="20"/>
          <w:rtl/>
        </w:rPr>
        <w:t>ועוד, בשתייה דרך האדם להקפיד לא לשתות משיורי כוס חברו, ולכן אם שותה משל אשתו הוי חיבה, אך בבושם אין דרך האדם להקפיד ולכן אין בכך משום חיבה וקירוב הדעת.</w:t>
      </w:r>
    </w:p>
    <w:p w:rsidR="00620060" w:rsidRDefault="00620060" w:rsidP="00620060">
      <w:pPr>
        <w:rPr>
          <w:sz w:val="20"/>
          <w:szCs w:val="20"/>
          <w:rtl/>
        </w:rPr>
      </w:pPr>
      <w:r>
        <w:rPr>
          <w:sz w:val="20"/>
          <w:szCs w:val="20"/>
          <w:rtl/>
        </w:rPr>
        <w:br/>
      </w:r>
      <w:r>
        <w:rPr>
          <w:rFonts w:hint="cs"/>
          <w:b/>
          <w:bCs/>
          <w:sz w:val="20"/>
          <w:szCs w:val="20"/>
          <w:rtl/>
        </w:rPr>
        <w:t xml:space="preserve">סעיף ה </w:t>
      </w:r>
      <w:r>
        <w:rPr>
          <w:b/>
          <w:bCs/>
          <w:sz w:val="20"/>
          <w:szCs w:val="20"/>
          <w:rtl/>
        </w:rPr>
        <w:t>–</w:t>
      </w:r>
      <w:r>
        <w:rPr>
          <w:rFonts w:hint="cs"/>
          <w:b/>
          <w:bCs/>
          <w:sz w:val="20"/>
          <w:szCs w:val="20"/>
          <w:rtl/>
        </w:rPr>
        <w:t xml:space="preserve"> ישיבה ביחד או במיטה המיוחדת לה</w:t>
      </w:r>
      <w:r>
        <w:rPr>
          <w:b/>
          <w:bCs/>
          <w:sz w:val="20"/>
          <w:szCs w:val="20"/>
          <w:rtl/>
        </w:rPr>
        <w:br/>
      </w:r>
      <w:r w:rsidRPr="004806BA">
        <w:rPr>
          <w:rStyle w:val="20"/>
          <w:rFonts w:hint="cs"/>
          <w:rtl/>
        </w:rPr>
        <w:t>א</w:t>
      </w:r>
      <w:r>
        <w:rPr>
          <w:rFonts w:hint="cs"/>
          <w:sz w:val="20"/>
          <w:szCs w:val="20"/>
          <w:rtl/>
        </w:rPr>
        <w:t xml:space="preserve">. </w:t>
      </w:r>
      <w:r>
        <w:rPr>
          <w:rFonts w:hint="cs"/>
          <w:b/>
          <w:bCs/>
          <w:sz w:val="20"/>
          <w:szCs w:val="20"/>
          <w:rtl/>
        </w:rPr>
        <w:t>שינה על מיטתה - מקור הדין</w:t>
      </w:r>
      <w:r>
        <w:rPr>
          <w:b/>
          <w:bCs/>
          <w:sz w:val="20"/>
          <w:szCs w:val="20"/>
          <w:rtl/>
        </w:rPr>
        <w:br/>
      </w:r>
      <w:r>
        <w:rPr>
          <w:rFonts w:hint="cs"/>
          <w:b/>
          <w:bCs/>
          <w:sz w:val="20"/>
          <w:szCs w:val="20"/>
          <w:rtl/>
        </w:rPr>
        <w:t xml:space="preserve">ראב"ד </w:t>
      </w:r>
      <w:r>
        <w:rPr>
          <w:sz w:val="20"/>
          <w:szCs w:val="20"/>
          <w:rtl/>
        </w:rPr>
        <w:t>–</w:t>
      </w:r>
      <w:r>
        <w:rPr>
          <w:rFonts w:hint="cs"/>
          <w:sz w:val="20"/>
          <w:szCs w:val="20"/>
          <w:rtl/>
        </w:rPr>
        <w:t xml:space="preserve"> נראה שאסור לישון על מיטתה אפילו כשהיא אינה עמו במיטה.</w:t>
      </w:r>
      <w:r>
        <w:rPr>
          <w:sz w:val="20"/>
          <w:szCs w:val="20"/>
          <w:rtl/>
        </w:rPr>
        <w:br/>
      </w:r>
      <w:r w:rsidRPr="002D0863">
        <w:rPr>
          <w:rFonts w:hint="cs"/>
          <w:b/>
          <w:bCs/>
          <w:sz w:val="20"/>
          <w:szCs w:val="20"/>
          <w:rtl/>
        </w:rPr>
        <w:t xml:space="preserve">טעם </w:t>
      </w:r>
      <w:r>
        <w:rPr>
          <w:sz w:val="20"/>
          <w:szCs w:val="20"/>
          <w:rtl/>
        </w:rPr>
        <w:t>–</w:t>
      </w:r>
      <w:r>
        <w:rPr>
          <w:rFonts w:hint="cs"/>
          <w:sz w:val="20"/>
          <w:szCs w:val="20"/>
          <w:rtl/>
        </w:rPr>
        <w:t xml:space="preserve"> מפני הרגל עבירה, ויש ללמוד זאת בקל וחומר מדין הצעת המיטה בפניו שאסור מפני הרגל עבירה, כל שכן כאן שיש הרגל עבירה טפי.</w:t>
      </w:r>
    </w:p>
    <w:p w:rsidR="00620060" w:rsidRDefault="00620060" w:rsidP="00620060">
      <w:pPr>
        <w:rPr>
          <w:b/>
          <w:bCs/>
          <w:sz w:val="20"/>
          <w:szCs w:val="20"/>
          <w:rtl/>
        </w:rPr>
      </w:pPr>
      <w:r>
        <w:rPr>
          <w:rFonts w:hint="cs"/>
          <w:b/>
          <w:bCs/>
          <w:sz w:val="20"/>
          <w:szCs w:val="20"/>
          <w:rtl/>
        </w:rPr>
        <w:t xml:space="preserve">הוספות הטור </w:t>
      </w:r>
      <w:r>
        <w:rPr>
          <w:b/>
          <w:bCs/>
          <w:sz w:val="20"/>
          <w:szCs w:val="20"/>
          <w:rtl/>
        </w:rPr>
        <w:br/>
      </w:r>
      <w:r>
        <w:rPr>
          <w:rFonts w:hint="cs"/>
          <w:sz w:val="20"/>
          <w:szCs w:val="20"/>
          <w:rtl/>
        </w:rPr>
        <w:t xml:space="preserve">זו לשון </w:t>
      </w:r>
      <w:r w:rsidRPr="002D0863">
        <w:rPr>
          <w:rFonts w:hint="cs"/>
          <w:b/>
          <w:bCs/>
          <w:sz w:val="20"/>
          <w:szCs w:val="20"/>
          <w:rtl/>
        </w:rPr>
        <w:t>הטור</w:t>
      </w:r>
      <w:r>
        <w:rPr>
          <w:rFonts w:hint="cs"/>
          <w:sz w:val="20"/>
          <w:szCs w:val="20"/>
          <w:rtl/>
        </w:rPr>
        <w:t xml:space="preserve"> </w:t>
      </w:r>
      <w:r>
        <w:rPr>
          <w:sz w:val="20"/>
          <w:szCs w:val="20"/>
          <w:rtl/>
        </w:rPr>
        <w:t>–</w:t>
      </w:r>
      <w:r>
        <w:rPr>
          <w:rFonts w:hint="cs"/>
          <w:sz w:val="20"/>
          <w:szCs w:val="20"/>
          <w:rtl/>
        </w:rPr>
        <w:t xml:space="preserve"> "</w:t>
      </w:r>
      <w:r w:rsidRPr="002D0863">
        <w:rPr>
          <w:rFonts w:cs="Arial"/>
          <w:sz w:val="20"/>
          <w:szCs w:val="20"/>
          <w:rtl/>
        </w:rPr>
        <w:t>ולא ישב במטה המיוחדת לה אפ</w:t>
      </w:r>
      <w:r>
        <w:rPr>
          <w:rFonts w:cs="Arial" w:hint="cs"/>
          <w:sz w:val="20"/>
          <w:szCs w:val="20"/>
          <w:rtl/>
        </w:rPr>
        <w:t>ילו</w:t>
      </w:r>
      <w:r w:rsidRPr="002D0863">
        <w:rPr>
          <w:rFonts w:cs="Arial"/>
          <w:sz w:val="20"/>
          <w:szCs w:val="20"/>
          <w:rtl/>
        </w:rPr>
        <w:t xml:space="preserve"> שלא בפניה</w:t>
      </w:r>
      <w:r>
        <w:rPr>
          <w:rFonts w:cs="Arial" w:hint="cs"/>
          <w:sz w:val="20"/>
          <w:szCs w:val="20"/>
          <w:rtl/>
        </w:rPr>
        <w:t>".</w:t>
      </w:r>
      <w:r>
        <w:rPr>
          <w:sz w:val="20"/>
          <w:szCs w:val="20"/>
          <w:rtl/>
        </w:rPr>
        <w:br/>
      </w:r>
      <w:r w:rsidRPr="002D0863">
        <w:rPr>
          <w:rFonts w:hint="cs"/>
          <w:b/>
          <w:bCs/>
          <w:sz w:val="20"/>
          <w:szCs w:val="20"/>
          <w:rtl/>
        </w:rPr>
        <w:lastRenderedPageBreak/>
        <w:t>הבית יוסף</w:t>
      </w:r>
      <w:r>
        <w:rPr>
          <w:rFonts w:hint="cs"/>
          <w:sz w:val="20"/>
          <w:szCs w:val="20"/>
          <w:rtl/>
        </w:rPr>
        <w:t xml:space="preserve"> מעיר </w:t>
      </w:r>
      <w:r w:rsidRPr="002D0863">
        <w:rPr>
          <w:rFonts w:hint="cs"/>
          <w:b/>
          <w:bCs/>
          <w:sz w:val="20"/>
          <w:szCs w:val="20"/>
          <w:rtl/>
        </w:rPr>
        <w:t>שהטור</w:t>
      </w:r>
      <w:r>
        <w:rPr>
          <w:rFonts w:hint="cs"/>
          <w:sz w:val="20"/>
          <w:szCs w:val="20"/>
          <w:rtl/>
        </w:rPr>
        <w:t xml:space="preserve"> מוסיף שתי חומרות על דברי </w:t>
      </w:r>
      <w:r w:rsidRPr="002D0863">
        <w:rPr>
          <w:rFonts w:hint="cs"/>
          <w:b/>
          <w:bCs/>
          <w:sz w:val="20"/>
          <w:szCs w:val="20"/>
          <w:rtl/>
        </w:rPr>
        <w:t>הראב"ד</w:t>
      </w:r>
      <w:r>
        <w:rPr>
          <w:rFonts w:hint="cs"/>
          <w:sz w:val="20"/>
          <w:szCs w:val="20"/>
          <w:rtl/>
        </w:rPr>
        <w:t xml:space="preserve"> - </w:t>
      </w:r>
      <w:r>
        <w:rPr>
          <w:sz w:val="20"/>
          <w:szCs w:val="20"/>
          <w:rtl/>
        </w:rPr>
        <w:br/>
      </w:r>
      <w:r>
        <w:rPr>
          <w:rFonts w:hint="cs"/>
          <w:sz w:val="20"/>
          <w:szCs w:val="20"/>
          <w:rtl/>
        </w:rPr>
        <w:t>א. אפילו שלא בפניה אסור.</w:t>
      </w:r>
      <w:r>
        <w:rPr>
          <w:sz w:val="20"/>
          <w:szCs w:val="20"/>
          <w:rtl/>
        </w:rPr>
        <w:br/>
      </w:r>
      <w:r>
        <w:rPr>
          <w:rFonts w:hint="cs"/>
          <w:sz w:val="20"/>
          <w:szCs w:val="20"/>
          <w:rtl/>
        </w:rPr>
        <w:t>ב. שכיבה לאו דווקא, אלא הוא הדין שאסור גם לשבת על מיטתה.</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sz w:val="20"/>
          <w:szCs w:val="20"/>
          <w:rtl/>
        </w:rPr>
        <w:t xml:space="preserve">א. </w:t>
      </w:r>
      <w:r>
        <w:rPr>
          <w:rFonts w:hint="cs"/>
          <w:b/>
          <w:bCs/>
          <w:sz w:val="20"/>
          <w:szCs w:val="20"/>
          <w:rtl/>
        </w:rPr>
        <w:t xml:space="preserve">שולחן ערוך </w:t>
      </w:r>
      <w:r>
        <w:rPr>
          <w:sz w:val="20"/>
          <w:szCs w:val="20"/>
          <w:rtl/>
        </w:rPr>
        <w:t>–</w:t>
      </w:r>
      <w:r>
        <w:rPr>
          <w:rFonts w:hint="cs"/>
          <w:sz w:val="20"/>
          <w:szCs w:val="20"/>
          <w:rtl/>
        </w:rPr>
        <w:t xml:space="preserve"> "</w:t>
      </w:r>
      <w:r w:rsidRPr="000463AB">
        <w:rPr>
          <w:rFonts w:cs="Arial"/>
          <w:sz w:val="20"/>
          <w:szCs w:val="20"/>
          <w:rtl/>
        </w:rPr>
        <w:t>לא ישב במטה המיוחדת</w:t>
      </w:r>
      <w:r>
        <w:rPr>
          <w:rStyle w:val="a5"/>
          <w:rFonts w:cs="Arial"/>
          <w:sz w:val="20"/>
          <w:szCs w:val="20"/>
          <w:rtl/>
        </w:rPr>
        <w:footnoteReference w:id="457"/>
      </w:r>
      <w:r w:rsidRPr="000463AB">
        <w:rPr>
          <w:rFonts w:cs="Arial"/>
          <w:sz w:val="20"/>
          <w:szCs w:val="20"/>
          <w:rtl/>
        </w:rPr>
        <w:t xml:space="preserve"> לה, אפילו שלא בפניה</w:t>
      </w:r>
      <w:r>
        <w:rPr>
          <w:rFonts w:hint="cs"/>
          <w:sz w:val="20"/>
          <w:szCs w:val="20"/>
          <w:rtl/>
        </w:rPr>
        <w:t>".</w:t>
      </w:r>
      <w:r>
        <w:rPr>
          <w:rFonts w:hint="cs"/>
          <w:sz w:val="20"/>
          <w:szCs w:val="20"/>
          <w:rtl/>
        </w:rPr>
        <w:br/>
        <w:t xml:space="preserve">מוסיף </w:t>
      </w:r>
      <w:r w:rsidRPr="00382D82">
        <w:rPr>
          <w:rFonts w:hint="cs"/>
          <w:b/>
          <w:bCs/>
          <w:sz w:val="20"/>
          <w:szCs w:val="20"/>
          <w:rtl/>
        </w:rPr>
        <w:t>החכמת אדם</w:t>
      </w:r>
      <w:r>
        <w:rPr>
          <w:rFonts w:hint="cs"/>
          <w:sz w:val="20"/>
          <w:szCs w:val="20"/>
          <w:rtl/>
        </w:rPr>
        <w:t xml:space="preserve"> </w:t>
      </w:r>
      <w:r w:rsidRPr="00382D82">
        <w:rPr>
          <w:rFonts w:hint="cs"/>
          <w:sz w:val="18"/>
          <w:szCs w:val="18"/>
          <w:rtl/>
        </w:rPr>
        <w:t xml:space="preserve">(הו"ד </w:t>
      </w:r>
      <w:r w:rsidRPr="00382D82">
        <w:rPr>
          <w:rFonts w:hint="cs"/>
          <w:b/>
          <w:bCs/>
          <w:sz w:val="18"/>
          <w:szCs w:val="18"/>
          <w:rtl/>
        </w:rPr>
        <w:t>בפת"ש</w:t>
      </w:r>
      <w:r w:rsidRPr="00382D82">
        <w:rPr>
          <w:rFonts w:hint="cs"/>
          <w:sz w:val="18"/>
          <w:szCs w:val="18"/>
          <w:rtl/>
        </w:rPr>
        <w:t xml:space="preserve">) </w:t>
      </w:r>
      <w:r>
        <w:rPr>
          <w:sz w:val="20"/>
          <w:szCs w:val="20"/>
          <w:rtl/>
        </w:rPr>
        <w:t>–</w:t>
      </w:r>
      <w:r>
        <w:rPr>
          <w:rFonts w:hint="cs"/>
          <w:sz w:val="20"/>
          <w:szCs w:val="20"/>
          <w:rtl/>
        </w:rPr>
        <w:t xml:space="preserve"> הוא הדין לגבי כרים וכסתות המיוחדים לה.</w:t>
      </w:r>
      <w:r>
        <w:rPr>
          <w:sz w:val="20"/>
          <w:szCs w:val="20"/>
          <w:rtl/>
        </w:rPr>
        <w:br/>
      </w:r>
      <w:r>
        <w:rPr>
          <w:rFonts w:hint="cs"/>
          <w:sz w:val="20"/>
          <w:szCs w:val="20"/>
          <w:rtl/>
        </w:rPr>
        <w:t xml:space="preserve">ב. </w:t>
      </w:r>
      <w:r w:rsidRPr="00127304">
        <w:rPr>
          <w:rFonts w:hint="cs"/>
          <w:b/>
          <w:bCs/>
          <w:sz w:val="20"/>
          <w:szCs w:val="20"/>
          <w:rtl/>
        </w:rPr>
        <w:t>ב"ח</w:t>
      </w:r>
      <w:r>
        <w:rPr>
          <w:rFonts w:hint="cs"/>
          <w:sz w:val="20"/>
          <w:szCs w:val="20"/>
          <w:rtl/>
        </w:rPr>
        <w:t xml:space="preserve"> </w:t>
      </w:r>
      <w:r>
        <w:rPr>
          <w:sz w:val="20"/>
          <w:szCs w:val="20"/>
          <w:rtl/>
        </w:rPr>
        <w:t>–</w:t>
      </w:r>
      <w:r>
        <w:rPr>
          <w:rFonts w:hint="cs"/>
          <w:sz w:val="20"/>
          <w:szCs w:val="20"/>
          <w:rtl/>
        </w:rPr>
        <w:t xml:space="preserve"> מותר לשבת על מיטתה שלא בפניה כשהוא לבוש בבגדיו.</w:t>
      </w:r>
    </w:p>
    <w:p w:rsidR="00620060" w:rsidRDefault="00620060" w:rsidP="00620060">
      <w:pPr>
        <w:rPr>
          <w:sz w:val="20"/>
          <w:szCs w:val="20"/>
          <w:rtl/>
        </w:rPr>
      </w:pPr>
      <w:r>
        <w:rPr>
          <w:rFonts w:hint="cs"/>
          <w:sz w:val="20"/>
          <w:szCs w:val="20"/>
          <w:u w:val="single"/>
          <w:rtl/>
        </w:rPr>
        <w:t>דיון בשיטת הב"ח</w:t>
      </w:r>
      <w:r>
        <w:rPr>
          <w:sz w:val="20"/>
          <w:szCs w:val="20"/>
          <w:u w:val="single"/>
          <w:rtl/>
        </w:rPr>
        <w:br/>
      </w:r>
      <w:r>
        <w:rPr>
          <w:rFonts w:hint="cs"/>
          <w:sz w:val="20"/>
          <w:szCs w:val="20"/>
          <w:rtl/>
        </w:rPr>
        <w:t xml:space="preserve">א. </w:t>
      </w:r>
      <w:r w:rsidRPr="00D52DA4">
        <w:rPr>
          <w:rFonts w:hint="cs"/>
          <w:b/>
          <w:bCs/>
          <w:sz w:val="20"/>
          <w:szCs w:val="20"/>
          <w:rtl/>
        </w:rPr>
        <w:t>הב"ח</w:t>
      </w:r>
      <w:r>
        <w:rPr>
          <w:rFonts w:hint="cs"/>
          <w:sz w:val="20"/>
          <w:szCs w:val="20"/>
          <w:rtl/>
        </w:rPr>
        <w:t xml:space="preserve"> מנמק את שיטתו </w:t>
      </w:r>
      <w:r>
        <w:rPr>
          <w:sz w:val="20"/>
          <w:szCs w:val="20"/>
          <w:rtl/>
        </w:rPr>
        <w:t>–</w:t>
      </w:r>
      <w:r>
        <w:rPr>
          <w:rFonts w:hint="cs"/>
          <w:sz w:val="20"/>
          <w:szCs w:val="20"/>
          <w:rtl/>
        </w:rPr>
        <w:t xml:space="preserve"> לעיל בסימן קצג' לגבי פרישה מחמת דם בתולים כתב הטור כך: "</w:t>
      </w:r>
      <w:r w:rsidRPr="00D52DA4">
        <w:rPr>
          <w:rFonts w:cs="Arial"/>
          <w:sz w:val="20"/>
          <w:szCs w:val="20"/>
          <w:u w:val="single"/>
          <w:rtl/>
        </w:rPr>
        <w:t>אלא שנדה גמורה אסור לו לישן על מטתה אפילו כשאינה במטה</w:t>
      </w:r>
      <w:r>
        <w:rPr>
          <w:rFonts w:cs="Arial" w:hint="cs"/>
          <w:sz w:val="20"/>
          <w:szCs w:val="20"/>
          <w:rtl/>
        </w:rPr>
        <w:t>,</w:t>
      </w:r>
      <w:r>
        <w:rPr>
          <w:rFonts w:cs="Arial"/>
          <w:sz w:val="20"/>
          <w:szCs w:val="20"/>
          <w:rtl/>
        </w:rPr>
        <w:t xml:space="preserve"> ובכלה מותר</w:t>
      </w:r>
      <w:r>
        <w:rPr>
          <w:rFonts w:hint="cs"/>
          <w:sz w:val="20"/>
          <w:szCs w:val="20"/>
          <w:rtl/>
        </w:rPr>
        <w:t xml:space="preserve">". </w:t>
      </w:r>
      <w:r>
        <w:rPr>
          <w:sz w:val="20"/>
          <w:szCs w:val="20"/>
          <w:rtl/>
        </w:rPr>
        <w:br/>
      </w:r>
      <w:r>
        <w:rPr>
          <w:rFonts w:hint="cs"/>
          <w:sz w:val="20"/>
          <w:szCs w:val="20"/>
          <w:rtl/>
        </w:rPr>
        <w:t>לכן צריך לומר, שגרסת הטור כאן אינה נכונה, אלא האיסור נאמר רק לגבי שכיבה אך לא לגבי ישיבה.</w:t>
      </w:r>
      <w:r>
        <w:rPr>
          <w:sz w:val="20"/>
          <w:szCs w:val="20"/>
          <w:rtl/>
        </w:rPr>
        <w:br/>
      </w:r>
      <w:r>
        <w:rPr>
          <w:rFonts w:hint="cs"/>
          <w:sz w:val="20"/>
          <w:szCs w:val="20"/>
          <w:rtl/>
        </w:rPr>
        <w:t xml:space="preserve">דוחה </w:t>
      </w:r>
      <w:r w:rsidRPr="00D52DA4">
        <w:rPr>
          <w:rFonts w:hint="cs"/>
          <w:b/>
          <w:bCs/>
          <w:sz w:val="20"/>
          <w:szCs w:val="20"/>
          <w:rtl/>
        </w:rPr>
        <w:t>הט"ז</w:t>
      </w:r>
      <w:r>
        <w:rPr>
          <w:rFonts w:hint="cs"/>
          <w:sz w:val="20"/>
          <w:szCs w:val="20"/>
          <w:rtl/>
        </w:rPr>
        <w:t xml:space="preserve"> </w:t>
      </w:r>
      <w:r>
        <w:rPr>
          <w:sz w:val="20"/>
          <w:szCs w:val="20"/>
          <w:rtl/>
        </w:rPr>
        <w:t>–</w:t>
      </w:r>
      <w:r>
        <w:rPr>
          <w:rFonts w:hint="cs"/>
          <w:sz w:val="20"/>
          <w:szCs w:val="20"/>
          <w:rtl/>
        </w:rPr>
        <w:t xml:space="preserve"> התם רבותא קמ"ל שמותר אף לישון על המיטה של הכלה, אך אין כוונת הטור לומר שבנידה גמורה מותר לשבת ואסור רק לשכב.</w:t>
      </w:r>
      <w:r>
        <w:rPr>
          <w:sz w:val="20"/>
          <w:szCs w:val="20"/>
          <w:rtl/>
        </w:rPr>
        <w:br/>
      </w:r>
      <w:r w:rsidRPr="00D52DA4">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גם בישיבה גרידא יש הרהור עבירה.</w:t>
      </w:r>
      <w:r>
        <w:rPr>
          <w:sz w:val="20"/>
          <w:szCs w:val="20"/>
          <w:rtl/>
        </w:rPr>
        <w:br/>
      </w:r>
      <w:r w:rsidRPr="00D52DA4">
        <w:rPr>
          <w:rFonts w:hint="cs"/>
          <w:b/>
          <w:bCs/>
          <w:sz w:val="20"/>
          <w:szCs w:val="20"/>
          <w:rtl/>
        </w:rPr>
        <w:t>ראיה</w:t>
      </w:r>
      <w:r>
        <w:rPr>
          <w:rFonts w:hint="cs"/>
          <w:sz w:val="20"/>
          <w:szCs w:val="20"/>
          <w:rtl/>
        </w:rPr>
        <w:t xml:space="preserve"> </w:t>
      </w:r>
      <w:r>
        <w:rPr>
          <w:sz w:val="20"/>
          <w:szCs w:val="20"/>
          <w:rtl/>
        </w:rPr>
        <w:t>–</w:t>
      </w:r>
      <w:r>
        <w:rPr>
          <w:rFonts w:hint="cs"/>
          <w:sz w:val="20"/>
          <w:szCs w:val="20"/>
          <w:rtl/>
        </w:rPr>
        <w:t xml:space="preserve"> </w:t>
      </w:r>
      <w:r w:rsidRPr="00D52DA4">
        <w:rPr>
          <w:rFonts w:hint="cs"/>
          <w:b/>
          <w:bCs/>
          <w:sz w:val="20"/>
          <w:szCs w:val="20"/>
          <w:rtl/>
        </w:rPr>
        <w:t>הרמ"א</w:t>
      </w:r>
      <w:r>
        <w:rPr>
          <w:rFonts w:hint="cs"/>
          <w:sz w:val="20"/>
          <w:szCs w:val="20"/>
          <w:rtl/>
        </w:rPr>
        <w:t xml:space="preserve"> </w:t>
      </w:r>
      <w:r w:rsidRPr="00D52DA4">
        <w:rPr>
          <w:rFonts w:hint="cs"/>
          <w:sz w:val="18"/>
          <w:szCs w:val="18"/>
          <w:rtl/>
        </w:rPr>
        <w:t xml:space="preserve">(בסמוך) </w:t>
      </w:r>
      <w:r>
        <w:rPr>
          <w:rFonts w:hint="cs"/>
          <w:sz w:val="20"/>
          <w:szCs w:val="20"/>
          <w:rtl/>
        </w:rPr>
        <w:t>אוסר לשבת על ספסל אחד, מוכח שבישיבה לחוד גם כן יש הרהור.</w:t>
      </w:r>
      <w:r>
        <w:rPr>
          <w:sz w:val="20"/>
          <w:szCs w:val="20"/>
          <w:rtl/>
        </w:rPr>
        <w:br/>
      </w:r>
      <w:r>
        <w:rPr>
          <w:rFonts w:hint="cs"/>
          <w:sz w:val="20"/>
          <w:szCs w:val="20"/>
          <w:rtl/>
        </w:rPr>
        <w:t xml:space="preserve">ב. </w:t>
      </w:r>
      <w:r w:rsidRPr="00CA6A0C">
        <w:rPr>
          <w:rFonts w:hint="cs"/>
          <w:b/>
          <w:bCs/>
          <w:sz w:val="20"/>
          <w:szCs w:val="20"/>
          <w:rtl/>
        </w:rPr>
        <w:t xml:space="preserve">נקה"כ </w:t>
      </w:r>
      <w:r>
        <w:rPr>
          <w:sz w:val="20"/>
          <w:szCs w:val="20"/>
          <w:rtl/>
        </w:rPr>
        <w:t>–</w:t>
      </w:r>
      <w:r>
        <w:rPr>
          <w:rFonts w:hint="cs"/>
          <w:sz w:val="20"/>
          <w:szCs w:val="20"/>
          <w:rtl/>
        </w:rPr>
        <w:t xml:space="preserve"> דחיית הט"ז אינה נכונה.</w:t>
      </w:r>
      <w:r>
        <w:rPr>
          <w:sz w:val="20"/>
          <w:szCs w:val="20"/>
          <w:rtl/>
        </w:rPr>
        <w:br/>
      </w:r>
      <w:r>
        <w:rPr>
          <w:rFonts w:hint="cs"/>
          <w:sz w:val="20"/>
          <w:szCs w:val="20"/>
          <w:rtl/>
        </w:rPr>
        <w:t>עיקר ראיית הב"ח לדבריו היא, מלשון הראב"ד המועתקת ברא"ש, ששם כתב להדיא לאסור רק שינה.</w:t>
      </w:r>
      <w:r>
        <w:rPr>
          <w:sz w:val="20"/>
          <w:szCs w:val="20"/>
          <w:rtl/>
        </w:rPr>
        <w:br/>
      </w:r>
      <w:r>
        <w:rPr>
          <w:rFonts w:hint="cs"/>
          <w:sz w:val="20"/>
          <w:szCs w:val="20"/>
          <w:rtl/>
        </w:rPr>
        <w:t>ולגבי הראיה מדברי הרמ"א ששייך הרהור עבירה גם בישיבה על ספסל, ליתא, אלא התם טעם האיסור הוא מפני שע"י ישיבתם יחד גורם לנדנוד שלה והוי כנגיעה, או משום שישיבתם יחד היא כעין שינה במיטה יחד שאסור.</w:t>
      </w:r>
      <w:r>
        <w:rPr>
          <w:sz w:val="20"/>
          <w:szCs w:val="20"/>
          <w:rtl/>
        </w:rPr>
        <w:br/>
      </w:r>
      <w:r>
        <w:rPr>
          <w:rFonts w:hint="cs"/>
          <w:sz w:val="20"/>
          <w:szCs w:val="20"/>
          <w:rtl/>
        </w:rPr>
        <w:t xml:space="preserve">מסקנת </w:t>
      </w:r>
      <w:r w:rsidRPr="00CA6A0C">
        <w:rPr>
          <w:rFonts w:hint="cs"/>
          <w:b/>
          <w:bCs/>
          <w:sz w:val="20"/>
          <w:szCs w:val="20"/>
          <w:rtl/>
        </w:rPr>
        <w:t>הש"ך</w:t>
      </w:r>
      <w:r>
        <w:rPr>
          <w:rFonts w:hint="cs"/>
          <w:sz w:val="20"/>
          <w:szCs w:val="20"/>
          <w:rtl/>
        </w:rPr>
        <w:t xml:space="preserve"> </w:t>
      </w:r>
      <w:r>
        <w:rPr>
          <w:sz w:val="20"/>
          <w:szCs w:val="20"/>
          <w:rtl/>
        </w:rPr>
        <w:t>–</w:t>
      </w:r>
      <w:r>
        <w:rPr>
          <w:rFonts w:hint="cs"/>
          <w:sz w:val="20"/>
          <w:szCs w:val="20"/>
          <w:rtl/>
        </w:rPr>
        <w:t xml:space="preserve"> מותר לשבת על מיטת אשתו נידה כשהוא לבוש בבגדיו, ואפילו בפניה מותר</w:t>
      </w:r>
      <w:r>
        <w:rPr>
          <w:rStyle w:val="a5"/>
          <w:sz w:val="20"/>
          <w:szCs w:val="20"/>
          <w:rtl/>
        </w:rPr>
        <w:footnoteReference w:id="458"/>
      </w:r>
      <w:r>
        <w:rPr>
          <w:rFonts w:hint="cs"/>
          <w:sz w:val="20"/>
          <w:szCs w:val="20"/>
          <w:rtl/>
        </w:rPr>
        <w:t>.</w:t>
      </w:r>
    </w:p>
    <w:p w:rsidR="00620060" w:rsidRPr="00382D82" w:rsidRDefault="00620060" w:rsidP="00620060">
      <w:pPr>
        <w:rPr>
          <w:sz w:val="20"/>
          <w:szCs w:val="20"/>
          <w:rtl/>
        </w:rPr>
      </w:pPr>
      <w:r>
        <w:rPr>
          <w:rFonts w:hint="cs"/>
          <w:sz w:val="20"/>
          <w:szCs w:val="20"/>
          <w:u w:val="single"/>
          <w:rtl/>
        </w:rPr>
        <w:t>נסעה מהעיר (פת"ש וששבה"ל)</w:t>
      </w:r>
      <w:r>
        <w:rPr>
          <w:rFonts w:hint="cs"/>
          <w:sz w:val="20"/>
          <w:szCs w:val="20"/>
          <w:u w:val="single"/>
          <w:rtl/>
        </w:rPr>
        <w:br/>
      </w:r>
      <w:r w:rsidRPr="00382D82">
        <w:rPr>
          <w:rFonts w:hint="cs"/>
          <w:b/>
          <w:bCs/>
          <w:sz w:val="20"/>
          <w:szCs w:val="20"/>
          <w:rtl/>
        </w:rPr>
        <w:t>פת"ש</w:t>
      </w:r>
      <w:r>
        <w:rPr>
          <w:rFonts w:hint="cs"/>
          <w:sz w:val="20"/>
          <w:szCs w:val="20"/>
          <w:rtl/>
        </w:rPr>
        <w:t xml:space="preserve"> </w:t>
      </w:r>
      <w:r>
        <w:rPr>
          <w:sz w:val="20"/>
          <w:szCs w:val="20"/>
          <w:rtl/>
        </w:rPr>
        <w:t>–</w:t>
      </w:r>
      <w:r>
        <w:rPr>
          <w:rFonts w:hint="cs"/>
          <w:sz w:val="20"/>
          <w:szCs w:val="20"/>
          <w:rtl/>
        </w:rPr>
        <w:t xml:space="preserve"> נראה פשוט שאם היא אינה בעיר, מותר לו לישון על מיטתה.</w:t>
      </w:r>
      <w:r>
        <w:rPr>
          <w:rFonts w:hint="cs"/>
          <w:sz w:val="20"/>
          <w:szCs w:val="20"/>
          <w:rtl/>
        </w:rPr>
        <w:br/>
        <w:t>וטעמו, משום שהאיסור הוא מפני שירגיל לעבירה, אך בכה"ג שאינה בעיר אין כלל חשש.</w:t>
      </w:r>
      <w:r>
        <w:rPr>
          <w:sz w:val="20"/>
          <w:szCs w:val="20"/>
          <w:rtl/>
        </w:rPr>
        <w:br/>
      </w:r>
      <w:r w:rsidRPr="00382D82">
        <w:rPr>
          <w:rFonts w:hint="cs"/>
          <w:b/>
          <w:bCs/>
          <w:sz w:val="20"/>
          <w:szCs w:val="20"/>
          <w:rtl/>
        </w:rPr>
        <w:t>ששבה"ל</w:t>
      </w:r>
      <w:r>
        <w:rPr>
          <w:rFonts w:hint="cs"/>
          <w:sz w:val="20"/>
          <w:szCs w:val="20"/>
          <w:rtl/>
        </w:rPr>
        <w:t xml:space="preserve"> </w:t>
      </w:r>
      <w:r>
        <w:rPr>
          <w:sz w:val="20"/>
          <w:szCs w:val="20"/>
          <w:rtl/>
        </w:rPr>
        <w:t>–</w:t>
      </w:r>
      <w:r>
        <w:rPr>
          <w:rFonts w:hint="cs"/>
          <w:sz w:val="20"/>
          <w:szCs w:val="20"/>
          <w:rtl/>
        </w:rPr>
        <w:t xml:space="preserve"> היתר זה נאמר רק אם היא נסעה למרחקים, אך לא אם רק יצאה מהעיר ותו לא.</w:t>
      </w:r>
    </w:p>
    <w:p w:rsidR="00620060" w:rsidRDefault="00620060" w:rsidP="00620060">
      <w:pPr>
        <w:rPr>
          <w:sz w:val="20"/>
          <w:szCs w:val="20"/>
          <w:rtl/>
        </w:rPr>
      </w:pPr>
      <w:r>
        <w:rPr>
          <w:rFonts w:hint="cs"/>
          <w:sz w:val="20"/>
          <w:szCs w:val="20"/>
          <w:u w:val="single"/>
          <w:rtl/>
        </w:rPr>
        <w:t>שינת האשה על מיטת בעלה</w:t>
      </w:r>
      <w:r>
        <w:rPr>
          <w:sz w:val="20"/>
          <w:szCs w:val="20"/>
          <w:u w:val="single"/>
          <w:rtl/>
        </w:rPr>
        <w:br/>
      </w:r>
      <w:r>
        <w:rPr>
          <w:rFonts w:hint="cs"/>
          <w:sz w:val="20"/>
          <w:szCs w:val="20"/>
          <w:rtl/>
        </w:rPr>
        <w:t>האם מותר לאשה לישון ולשבת על מיטת בעלה?</w:t>
      </w:r>
      <w:r>
        <w:rPr>
          <w:rFonts w:hint="cs"/>
          <w:sz w:val="20"/>
          <w:szCs w:val="20"/>
          <w:rtl/>
        </w:rPr>
        <w:br/>
        <w:t xml:space="preserve">א. </w:t>
      </w:r>
      <w:r w:rsidRPr="00A03B9D">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אסורה לישון אך מותרת לשבת.</w:t>
      </w:r>
      <w:r>
        <w:rPr>
          <w:sz w:val="20"/>
          <w:szCs w:val="20"/>
          <w:rtl/>
        </w:rPr>
        <w:br/>
      </w:r>
      <w:r w:rsidRPr="00A03B9D">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גם בשינה שלה יש הרהור של בעלה, אך בישיבה בעלמא אין הרהור והיא לא תרגיל אותו לעבירה.</w:t>
      </w:r>
      <w:r>
        <w:rPr>
          <w:sz w:val="20"/>
          <w:szCs w:val="20"/>
          <w:rtl/>
        </w:rPr>
        <w:br/>
      </w:r>
      <w:r>
        <w:rPr>
          <w:rFonts w:hint="cs"/>
          <w:sz w:val="20"/>
          <w:szCs w:val="20"/>
          <w:rtl/>
        </w:rPr>
        <w:t xml:space="preserve">ב. </w:t>
      </w:r>
      <w:r w:rsidRPr="00A03B9D">
        <w:rPr>
          <w:rFonts w:hint="cs"/>
          <w:b/>
          <w:bCs/>
          <w:sz w:val="20"/>
          <w:szCs w:val="20"/>
          <w:rtl/>
        </w:rPr>
        <w:t>תורת השלמים</w:t>
      </w:r>
      <w:r>
        <w:rPr>
          <w:rFonts w:hint="cs"/>
          <w:sz w:val="20"/>
          <w:szCs w:val="20"/>
          <w:rtl/>
        </w:rPr>
        <w:t xml:space="preserve"> </w:t>
      </w:r>
      <w:r>
        <w:rPr>
          <w:sz w:val="20"/>
          <w:szCs w:val="20"/>
          <w:rtl/>
        </w:rPr>
        <w:t>–</w:t>
      </w:r>
      <w:r>
        <w:rPr>
          <w:rFonts w:hint="cs"/>
          <w:sz w:val="20"/>
          <w:szCs w:val="20"/>
          <w:rtl/>
        </w:rPr>
        <w:t xml:space="preserve"> מותר לה לישון על מיטתו, וכ"פ </w:t>
      </w:r>
      <w:r w:rsidRPr="00273272">
        <w:rPr>
          <w:rFonts w:hint="cs"/>
          <w:b/>
          <w:bCs/>
          <w:sz w:val="20"/>
          <w:szCs w:val="20"/>
          <w:rtl/>
        </w:rPr>
        <w:t>טה"ב</w:t>
      </w:r>
      <w:r>
        <w:rPr>
          <w:rFonts w:hint="cs"/>
          <w:sz w:val="20"/>
          <w:szCs w:val="20"/>
          <w:rtl/>
        </w:rPr>
        <w:t>.</w:t>
      </w:r>
      <w:r>
        <w:rPr>
          <w:sz w:val="20"/>
          <w:szCs w:val="20"/>
          <w:rtl/>
        </w:rPr>
        <w:br/>
      </w:r>
      <w:r>
        <w:rPr>
          <w:rFonts w:hint="cs"/>
          <w:sz w:val="20"/>
          <w:szCs w:val="20"/>
          <w:rtl/>
        </w:rPr>
        <w:t xml:space="preserve">מוסיף </w:t>
      </w:r>
      <w:r w:rsidRPr="00273272">
        <w:rPr>
          <w:rFonts w:hint="cs"/>
          <w:b/>
          <w:bCs/>
          <w:sz w:val="20"/>
          <w:szCs w:val="20"/>
          <w:rtl/>
        </w:rPr>
        <w:t>טה"ב</w:t>
      </w:r>
      <w:r>
        <w:rPr>
          <w:rFonts w:hint="cs"/>
          <w:sz w:val="20"/>
          <w:szCs w:val="20"/>
          <w:rtl/>
        </w:rPr>
        <w:t xml:space="preserve"> </w:t>
      </w:r>
      <w:r>
        <w:rPr>
          <w:sz w:val="20"/>
          <w:szCs w:val="20"/>
          <w:rtl/>
        </w:rPr>
        <w:t>–</w:t>
      </w:r>
      <w:r>
        <w:rPr>
          <w:rFonts w:hint="cs"/>
          <w:sz w:val="20"/>
          <w:szCs w:val="20"/>
          <w:rtl/>
        </w:rPr>
        <w:t xml:space="preserve"> במקום צורך נראה שיש להתיר אפילו שתשכב היא על מיטתו בפניו, משום שעיקר דין שכיבה על המיטה הוא חומרה ולכן אין להוסיף על כך.</w:t>
      </w:r>
    </w:p>
    <w:p w:rsidR="00620060" w:rsidRDefault="00620060" w:rsidP="00620060">
      <w:pPr>
        <w:rPr>
          <w:sz w:val="20"/>
          <w:szCs w:val="20"/>
          <w:rtl/>
        </w:rPr>
      </w:pPr>
      <w:r>
        <w:rPr>
          <w:rFonts w:hint="cs"/>
          <w:sz w:val="20"/>
          <w:szCs w:val="20"/>
          <w:u w:val="single"/>
          <w:rtl/>
        </w:rPr>
        <w:t>מיטה שאינה מיוחדת לה</w:t>
      </w:r>
      <w:r>
        <w:rPr>
          <w:sz w:val="20"/>
          <w:szCs w:val="20"/>
          <w:u w:val="single"/>
          <w:rtl/>
        </w:rPr>
        <w:br/>
      </w:r>
      <w:r w:rsidRPr="00FF2B78">
        <w:rPr>
          <w:rFonts w:hint="cs"/>
          <w:b/>
          <w:bCs/>
          <w:sz w:val="20"/>
          <w:szCs w:val="20"/>
          <w:rtl/>
        </w:rPr>
        <w:t>טהרת הבית</w:t>
      </w:r>
      <w:r>
        <w:rPr>
          <w:rFonts w:hint="cs"/>
          <w:sz w:val="20"/>
          <w:szCs w:val="20"/>
          <w:rtl/>
        </w:rPr>
        <w:t xml:space="preserve"> </w:t>
      </w:r>
      <w:r>
        <w:rPr>
          <w:sz w:val="20"/>
          <w:szCs w:val="20"/>
          <w:rtl/>
        </w:rPr>
        <w:t>–</w:t>
      </w:r>
      <w:r>
        <w:rPr>
          <w:rFonts w:hint="cs"/>
          <w:sz w:val="20"/>
          <w:szCs w:val="20"/>
          <w:rtl/>
        </w:rPr>
        <w:t xml:space="preserve"> מותר לבעל לשכב על מיטה שאינה מיוחדת לאשתו, כגון מיטה שפעמים הוא שוכב עליה ופעמים היא שוכבת עליה, וכן הדין לגבי כרים וכסתות. ואף באלו אם מסופק אם הם שלו או שלה, יכול להקל ולהשתמש, כדין שתיית שיורי כוס אשתו המבואר לעיל.</w:t>
      </w:r>
      <w:r>
        <w:rPr>
          <w:sz w:val="20"/>
          <w:szCs w:val="20"/>
          <w:rtl/>
        </w:rPr>
        <w:br/>
      </w:r>
      <w:r>
        <w:rPr>
          <w:rFonts w:hint="cs"/>
          <w:sz w:val="20"/>
          <w:szCs w:val="20"/>
          <w:rtl/>
        </w:rPr>
        <w:br/>
      </w:r>
      <w:r w:rsidRPr="004806BA">
        <w:rPr>
          <w:rStyle w:val="20"/>
          <w:rFonts w:hint="cs"/>
          <w:rtl/>
        </w:rPr>
        <w:t>ב</w:t>
      </w:r>
      <w:r>
        <w:rPr>
          <w:rFonts w:hint="cs"/>
          <w:sz w:val="20"/>
          <w:szCs w:val="20"/>
          <w:rtl/>
        </w:rPr>
        <w:t xml:space="preserve">. </w:t>
      </w:r>
      <w:r>
        <w:rPr>
          <w:rFonts w:hint="cs"/>
          <w:b/>
          <w:bCs/>
          <w:sz w:val="20"/>
          <w:szCs w:val="20"/>
          <w:rtl/>
        </w:rPr>
        <w:t xml:space="preserve">ישיבה על ספסל אחד </w:t>
      </w:r>
      <w:r>
        <w:rPr>
          <w:b/>
          <w:bCs/>
          <w:sz w:val="20"/>
          <w:szCs w:val="20"/>
          <w:rtl/>
        </w:rPr>
        <w:t>–</w:t>
      </w:r>
      <w:r>
        <w:rPr>
          <w:rFonts w:hint="cs"/>
          <w:b/>
          <w:bCs/>
          <w:sz w:val="20"/>
          <w:szCs w:val="20"/>
          <w:rtl/>
        </w:rPr>
        <w:t xml:space="preserve"> שיטות הראשונים</w:t>
      </w:r>
      <w:r>
        <w:rPr>
          <w:b/>
          <w:bCs/>
          <w:sz w:val="20"/>
          <w:szCs w:val="20"/>
          <w:rtl/>
        </w:rPr>
        <w:br/>
      </w:r>
      <w:r>
        <w:rPr>
          <w:rFonts w:hint="cs"/>
          <w:sz w:val="20"/>
          <w:szCs w:val="20"/>
          <w:rtl/>
        </w:rPr>
        <w:t xml:space="preserve">א. </w:t>
      </w:r>
      <w:r w:rsidRPr="0080293C">
        <w:rPr>
          <w:rFonts w:hint="cs"/>
          <w:b/>
          <w:bCs/>
          <w:sz w:val="20"/>
          <w:szCs w:val="20"/>
          <w:rtl/>
        </w:rPr>
        <w:t>מרדכי</w:t>
      </w:r>
      <w:r>
        <w:rPr>
          <w:rFonts w:hint="cs"/>
          <w:sz w:val="20"/>
          <w:szCs w:val="20"/>
          <w:rtl/>
        </w:rPr>
        <w:t xml:space="preserve"> </w:t>
      </w:r>
      <w:r w:rsidRPr="0080293C">
        <w:rPr>
          <w:rFonts w:hint="cs"/>
          <w:sz w:val="18"/>
          <w:szCs w:val="18"/>
          <w:rtl/>
        </w:rPr>
        <w:t xml:space="preserve">(בשם </w:t>
      </w:r>
      <w:r w:rsidRPr="0080293C">
        <w:rPr>
          <w:rFonts w:hint="cs"/>
          <w:b/>
          <w:bCs/>
          <w:sz w:val="18"/>
          <w:szCs w:val="18"/>
          <w:rtl/>
        </w:rPr>
        <w:t>צפנת פענח</w:t>
      </w:r>
      <w:r w:rsidRPr="0080293C">
        <w:rPr>
          <w:rFonts w:hint="cs"/>
          <w:sz w:val="18"/>
          <w:szCs w:val="18"/>
          <w:rtl/>
        </w:rPr>
        <w:t xml:space="preserve"> בשם </w:t>
      </w:r>
      <w:r w:rsidRPr="0080293C">
        <w:rPr>
          <w:rFonts w:hint="cs"/>
          <w:b/>
          <w:bCs/>
          <w:sz w:val="18"/>
          <w:szCs w:val="18"/>
          <w:rtl/>
        </w:rPr>
        <w:t>רש"י</w:t>
      </w:r>
      <w:r w:rsidRPr="0080293C">
        <w:rPr>
          <w:rFonts w:hint="cs"/>
          <w:sz w:val="18"/>
          <w:szCs w:val="18"/>
          <w:rtl/>
        </w:rPr>
        <w:t xml:space="preserve">) </w:t>
      </w:r>
      <w:r>
        <w:rPr>
          <w:sz w:val="20"/>
          <w:szCs w:val="20"/>
          <w:rtl/>
        </w:rPr>
        <w:t>–</w:t>
      </w:r>
      <w:r>
        <w:rPr>
          <w:rFonts w:hint="cs"/>
          <w:sz w:val="20"/>
          <w:szCs w:val="20"/>
          <w:rtl/>
        </w:rPr>
        <w:t xml:space="preserve"> אסור לשבת על ספסל ארוך שאשתו נידה יושבת עליו.</w:t>
      </w:r>
      <w:r>
        <w:rPr>
          <w:rFonts w:hint="cs"/>
          <w:sz w:val="20"/>
          <w:szCs w:val="20"/>
          <w:rtl/>
        </w:rPr>
        <w:br/>
        <w:t xml:space="preserve">ב. </w:t>
      </w:r>
      <w:r w:rsidRPr="0080293C">
        <w:rPr>
          <w:rFonts w:hint="cs"/>
          <w:b/>
          <w:bCs/>
          <w:sz w:val="20"/>
          <w:szCs w:val="20"/>
          <w:rtl/>
        </w:rPr>
        <w:t>תרומת הדשן</w:t>
      </w:r>
      <w:r>
        <w:rPr>
          <w:rFonts w:hint="cs"/>
          <w:sz w:val="20"/>
          <w:szCs w:val="20"/>
          <w:rtl/>
        </w:rPr>
        <w:t xml:space="preserve"> </w:t>
      </w:r>
      <w:r>
        <w:rPr>
          <w:sz w:val="20"/>
          <w:szCs w:val="20"/>
          <w:rtl/>
        </w:rPr>
        <w:t>–</w:t>
      </w:r>
      <w:r>
        <w:rPr>
          <w:rFonts w:hint="cs"/>
          <w:sz w:val="20"/>
          <w:szCs w:val="20"/>
          <w:rtl/>
        </w:rPr>
        <w:t xml:space="preserve"> מותר לשבת בספסל קבוע בכותל, אסור לשבת ביחד בספסל תלוש.</w:t>
      </w:r>
      <w:r>
        <w:rPr>
          <w:rFonts w:hint="cs"/>
          <w:sz w:val="20"/>
          <w:szCs w:val="20"/>
          <w:rtl/>
        </w:rPr>
        <w:br/>
        <w:t xml:space="preserve">ג. </w:t>
      </w:r>
      <w:r w:rsidRPr="00651D43">
        <w:rPr>
          <w:rFonts w:hint="cs"/>
          <w:b/>
          <w:bCs/>
          <w:sz w:val="20"/>
          <w:szCs w:val="20"/>
          <w:rtl/>
        </w:rPr>
        <w:t>ארחות חיים</w:t>
      </w:r>
      <w:r>
        <w:rPr>
          <w:rFonts w:hint="cs"/>
          <w:sz w:val="20"/>
          <w:szCs w:val="20"/>
          <w:rtl/>
        </w:rPr>
        <w:t xml:space="preserve"> </w:t>
      </w:r>
      <w:r>
        <w:rPr>
          <w:sz w:val="20"/>
          <w:szCs w:val="20"/>
          <w:rtl/>
        </w:rPr>
        <w:t>–</w:t>
      </w:r>
      <w:r>
        <w:rPr>
          <w:rFonts w:hint="cs"/>
          <w:sz w:val="20"/>
          <w:szCs w:val="20"/>
          <w:rtl/>
        </w:rPr>
        <w:t xml:space="preserve"> מותר לשבת בספסל אחד כאשר אדם אחר מפסיק ביניהם.</w:t>
      </w:r>
      <w:r>
        <w:rPr>
          <w:sz w:val="20"/>
          <w:szCs w:val="20"/>
          <w:rtl/>
        </w:rPr>
        <w:br/>
      </w:r>
      <w:r w:rsidRPr="00C60BB1">
        <w:rPr>
          <w:rFonts w:hint="cs"/>
          <w:b/>
          <w:bCs/>
          <w:sz w:val="20"/>
          <w:szCs w:val="20"/>
          <w:rtl/>
        </w:rPr>
        <w:t>אגודה</w:t>
      </w:r>
      <w:r>
        <w:rPr>
          <w:rFonts w:hint="cs"/>
          <w:sz w:val="20"/>
          <w:szCs w:val="20"/>
          <w:rtl/>
        </w:rPr>
        <w:t xml:space="preserve"> </w:t>
      </w:r>
      <w:r>
        <w:rPr>
          <w:sz w:val="20"/>
          <w:szCs w:val="20"/>
          <w:rtl/>
        </w:rPr>
        <w:t>–</w:t>
      </w:r>
      <w:r>
        <w:rPr>
          <w:rFonts w:hint="cs"/>
          <w:sz w:val="20"/>
          <w:szCs w:val="20"/>
          <w:rtl/>
        </w:rPr>
        <w:t xml:space="preserve"> הוא הדין שהנחת חפץ ביניהם מועילה.</w:t>
      </w:r>
    </w:p>
    <w:p w:rsidR="00620060" w:rsidRDefault="00620060" w:rsidP="00620060">
      <w:pPr>
        <w:rPr>
          <w:sz w:val="20"/>
          <w:szCs w:val="20"/>
          <w:rtl/>
        </w:rPr>
      </w:pPr>
      <w:r>
        <w:rPr>
          <w:rFonts w:hint="cs"/>
          <w:b/>
          <w:bCs/>
          <w:sz w:val="20"/>
          <w:szCs w:val="20"/>
          <w:rtl/>
        </w:rPr>
        <w:lastRenderedPageBreak/>
        <w:t>פסיקת הלכה</w:t>
      </w:r>
      <w:r>
        <w:rPr>
          <w:b/>
          <w:bCs/>
          <w:sz w:val="20"/>
          <w:szCs w:val="20"/>
          <w:rtl/>
        </w:rPr>
        <w:br/>
      </w:r>
      <w:r>
        <w:rPr>
          <w:rFonts w:hint="cs"/>
          <w:sz w:val="20"/>
          <w:szCs w:val="20"/>
          <w:rtl/>
        </w:rPr>
        <w:t xml:space="preserve">א. </w:t>
      </w:r>
      <w:r w:rsidRPr="00596E8A">
        <w:rPr>
          <w:rFonts w:hint="cs"/>
          <w:b/>
          <w:bCs/>
          <w:sz w:val="20"/>
          <w:szCs w:val="20"/>
          <w:rtl/>
        </w:rPr>
        <w:t>רמ"א</w:t>
      </w:r>
      <w:r>
        <w:rPr>
          <w:rFonts w:hint="cs"/>
          <w:sz w:val="20"/>
          <w:szCs w:val="20"/>
          <w:rtl/>
        </w:rPr>
        <w:t xml:space="preserve"> </w:t>
      </w:r>
      <w:r>
        <w:rPr>
          <w:sz w:val="20"/>
          <w:szCs w:val="20"/>
          <w:rtl/>
        </w:rPr>
        <w:t>–</w:t>
      </w:r>
      <w:r>
        <w:rPr>
          <w:rFonts w:hint="cs"/>
          <w:sz w:val="20"/>
          <w:szCs w:val="20"/>
          <w:rtl/>
        </w:rPr>
        <w:t xml:space="preserve"> </w:t>
      </w:r>
      <w:r w:rsidRPr="00596E8A">
        <w:rPr>
          <w:rFonts w:hint="cs"/>
          <w:sz w:val="18"/>
          <w:szCs w:val="18"/>
          <w:rtl/>
        </w:rPr>
        <w:t>"</w:t>
      </w:r>
      <w:r w:rsidRPr="00596E8A">
        <w:rPr>
          <w:rFonts w:cs="Arial"/>
          <w:sz w:val="18"/>
          <w:szCs w:val="18"/>
          <w:rtl/>
        </w:rPr>
        <w:t>ואסור לישב על ספסל ארוך שמתנדדת ואינה מחוברת לכותל</w:t>
      </w:r>
      <w:r>
        <w:rPr>
          <w:rStyle w:val="a5"/>
          <w:rFonts w:cs="Arial"/>
          <w:sz w:val="18"/>
          <w:szCs w:val="18"/>
          <w:rtl/>
        </w:rPr>
        <w:footnoteReference w:id="459"/>
      </w:r>
      <w:r w:rsidRPr="00596E8A">
        <w:rPr>
          <w:rFonts w:cs="Arial"/>
          <w:sz w:val="18"/>
          <w:szCs w:val="18"/>
          <w:rtl/>
        </w:rPr>
        <w:t>, כשאשתו נדה יושבת עליו. ויש מתירים כשאדם אחר מפסיק ויושב ביניהן</w:t>
      </w:r>
      <w:r w:rsidRPr="00596E8A">
        <w:rPr>
          <w:rFonts w:hint="cs"/>
          <w:sz w:val="18"/>
          <w:szCs w:val="18"/>
          <w:rtl/>
        </w:rPr>
        <w:t>"</w:t>
      </w:r>
      <w:r>
        <w:rPr>
          <w:rStyle w:val="a5"/>
          <w:sz w:val="18"/>
          <w:szCs w:val="18"/>
          <w:rtl/>
        </w:rPr>
        <w:footnoteReference w:id="460"/>
      </w:r>
      <w:r w:rsidRPr="00596E8A">
        <w:rPr>
          <w:rFonts w:hint="cs"/>
          <w:sz w:val="18"/>
          <w:szCs w:val="18"/>
          <w:rtl/>
        </w:rPr>
        <w:t>.</w:t>
      </w:r>
      <w:r>
        <w:rPr>
          <w:rFonts w:hint="cs"/>
          <w:sz w:val="20"/>
          <w:szCs w:val="20"/>
          <w:rtl/>
        </w:rPr>
        <w:br/>
        <w:t xml:space="preserve">ב. </w:t>
      </w:r>
      <w:r w:rsidRPr="00596E8A">
        <w:rPr>
          <w:rFonts w:hint="cs"/>
          <w:b/>
          <w:bCs/>
          <w:sz w:val="20"/>
          <w:szCs w:val="20"/>
          <w:rtl/>
        </w:rPr>
        <w:t>בית יוסף</w:t>
      </w:r>
      <w:r>
        <w:rPr>
          <w:rFonts w:hint="cs"/>
          <w:sz w:val="20"/>
          <w:szCs w:val="20"/>
          <w:rtl/>
        </w:rPr>
        <w:t xml:space="preserve"> </w:t>
      </w:r>
      <w:r>
        <w:rPr>
          <w:sz w:val="20"/>
          <w:szCs w:val="20"/>
          <w:rtl/>
        </w:rPr>
        <w:t>–</w:t>
      </w:r>
      <w:r>
        <w:rPr>
          <w:rFonts w:hint="cs"/>
          <w:sz w:val="20"/>
          <w:szCs w:val="20"/>
          <w:rtl/>
        </w:rPr>
        <w:t xml:space="preserve"> "</w:t>
      </w:r>
      <w:r w:rsidRPr="00596E8A">
        <w:rPr>
          <w:rFonts w:cs="Arial"/>
          <w:sz w:val="20"/>
          <w:szCs w:val="20"/>
          <w:rtl/>
        </w:rPr>
        <w:t>וחומרא זו דישיבת ספסל שמעתי שנוהגים בה האשכנזים אבל הספרדים לא נהגו ב</w:t>
      </w:r>
      <w:r>
        <w:rPr>
          <w:rFonts w:cs="Arial" w:hint="cs"/>
          <w:sz w:val="20"/>
          <w:szCs w:val="20"/>
          <w:rtl/>
        </w:rPr>
        <w:t>ה".</w:t>
      </w:r>
      <w:r>
        <w:rPr>
          <w:rFonts w:cs="Arial"/>
          <w:sz w:val="20"/>
          <w:szCs w:val="20"/>
          <w:rtl/>
        </w:rPr>
        <w:br/>
      </w:r>
      <w:r>
        <w:rPr>
          <w:rFonts w:cs="Arial" w:hint="cs"/>
          <w:sz w:val="20"/>
          <w:szCs w:val="20"/>
          <w:rtl/>
        </w:rPr>
        <w:t xml:space="preserve">וכתב על כך </w:t>
      </w:r>
      <w:r w:rsidRPr="006D20C5">
        <w:rPr>
          <w:rFonts w:cs="Arial" w:hint="cs"/>
          <w:b/>
          <w:bCs/>
          <w:sz w:val="20"/>
          <w:szCs w:val="20"/>
          <w:rtl/>
        </w:rPr>
        <w:t>טהרת הבית</w:t>
      </w:r>
      <w:r>
        <w:rPr>
          <w:rFonts w:cs="Arial" w:hint="cs"/>
          <w:sz w:val="20"/>
          <w:szCs w:val="20"/>
          <w:rtl/>
        </w:rPr>
        <w:t xml:space="preserve"> </w:t>
      </w:r>
      <w:r w:rsidRPr="006D20C5">
        <w:rPr>
          <w:rFonts w:cs="Arial" w:hint="cs"/>
          <w:sz w:val="18"/>
          <w:szCs w:val="18"/>
          <w:rtl/>
        </w:rPr>
        <w:t xml:space="preserve">(עמ' קמא </w:t>
      </w:r>
      <w:r w:rsidRPr="006D20C5">
        <w:rPr>
          <w:rFonts w:cs="Arial"/>
          <w:sz w:val="18"/>
          <w:szCs w:val="18"/>
          <w:rtl/>
        </w:rPr>
        <w:t>–</w:t>
      </w:r>
      <w:r w:rsidRPr="006D20C5">
        <w:rPr>
          <w:rFonts w:cs="Arial" w:hint="cs"/>
          <w:sz w:val="18"/>
          <w:szCs w:val="18"/>
          <w:rtl/>
        </w:rPr>
        <w:t xml:space="preserve"> קמב) </w:t>
      </w:r>
      <w:r>
        <w:rPr>
          <w:rFonts w:cs="Arial"/>
          <w:sz w:val="20"/>
          <w:szCs w:val="20"/>
          <w:rtl/>
        </w:rPr>
        <w:t>–</w:t>
      </w:r>
      <w:r>
        <w:rPr>
          <w:rFonts w:cs="Arial" w:hint="cs"/>
          <w:sz w:val="20"/>
          <w:szCs w:val="20"/>
          <w:rtl/>
        </w:rPr>
        <w:t xml:space="preserve"> "וכן מנהג הספרדים להקל בישיבת הספסל אפילו אם מתנדנד... ובלבד שיזהרו שלא לנגוע זה בזה, ונהרא ונהרא ופשטיה".</w:t>
      </w:r>
    </w:p>
    <w:p w:rsidR="00620060" w:rsidRDefault="00620060" w:rsidP="00620060">
      <w:pPr>
        <w:rPr>
          <w:sz w:val="20"/>
          <w:szCs w:val="20"/>
          <w:rtl/>
        </w:rPr>
      </w:pPr>
      <w:r>
        <w:rPr>
          <w:rFonts w:hint="cs"/>
          <w:sz w:val="20"/>
          <w:szCs w:val="20"/>
          <w:u w:val="single"/>
          <w:rtl/>
        </w:rPr>
        <w:t>טעם האיסור</w:t>
      </w:r>
      <w:r>
        <w:rPr>
          <w:sz w:val="20"/>
          <w:szCs w:val="20"/>
          <w:u w:val="single"/>
          <w:rtl/>
        </w:rPr>
        <w:br/>
      </w:r>
      <w:r>
        <w:rPr>
          <w:rFonts w:hint="cs"/>
          <w:sz w:val="20"/>
          <w:szCs w:val="20"/>
          <w:rtl/>
        </w:rPr>
        <w:t xml:space="preserve">א. </w:t>
      </w:r>
      <w:r w:rsidRPr="00513616">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ישיבה יחד היא דרך קירוב וחיבה</w:t>
      </w:r>
      <w:r>
        <w:rPr>
          <w:rStyle w:val="a5"/>
          <w:sz w:val="20"/>
          <w:szCs w:val="20"/>
          <w:rtl/>
        </w:rPr>
        <w:footnoteReference w:id="461"/>
      </w:r>
      <w:r>
        <w:rPr>
          <w:rFonts w:hint="cs"/>
          <w:sz w:val="20"/>
          <w:szCs w:val="20"/>
          <w:rtl/>
        </w:rPr>
        <w:t>.</w:t>
      </w:r>
      <w:r>
        <w:rPr>
          <w:rFonts w:hint="cs"/>
          <w:sz w:val="20"/>
          <w:szCs w:val="20"/>
          <w:rtl/>
        </w:rPr>
        <w:br/>
        <w:t xml:space="preserve">ולפי"ז, ישיבה על ספסל הקבוע בכותל מותרת משום שזו דרך בניין ואין זה חיבה, </w:t>
      </w:r>
      <w:r w:rsidRPr="00A27901">
        <w:rPr>
          <w:rFonts w:hint="cs"/>
          <w:b/>
          <w:bCs/>
          <w:sz w:val="20"/>
          <w:szCs w:val="20"/>
          <w:rtl/>
        </w:rPr>
        <w:t>ששבה"ל</w:t>
      </w:r>
      <w:r>
        <w:rPr>
          <w:rFonts w:hint="cs"/>
          <w:sz w:val="20"/>
          <w:szCs w:val="20"/>
          <w:rtl/>
        </w:rPr>
        <w:t>.</w:t>
      </w:r>
      <w:r>
        <w:rPr>
          <w:sz w:val="20"/>
          <w:szCs w:val="20"/>
          <w:rtl/>
        </w:rPr>
        <w:br/>
      </w:r>
      <w:r>
        <w:rPr>
          <w:rFonts w:hint="cs"/>
          <w:sz w:val="20"/>
          <w:szCs w:val="20"/>
          <w:rtl/>
        </w:rPr>
        <w:t xml:space="preserve">ב. </w:t>
      </w:r>
      <w:r w:rsidRPr="00513616">
        <w:rPr>
          <w:rFonts w:hint="cs"/>
          <w:b/>
          <w:bCs/>
          <w:sz w:val="20"/>
          <w:szCs w:val="20"/>
          <w:rtl/>
        </w:rPr>
        <w:t>נקודות הכסף</w:t>
      </w:r>
      <w:r>
        <w:rPr>
          <w:rFonts w:hint="cs"/>
          <w:sz w:val="20"/>
          <w:szCs w:val="20"/>
          <w:rtl/>
        </w:rPr>
        <w:t xml:space="preserve"> </w:t>
      </w:r>
      <w:r>
        <w:rPr>
          <w:sz w:val="20"/>
          <w:szCs w:val="20"/>
          <w:rtl/>
        </w:rPr>
        <w:t>–</w:t>
      </w:r>
      <w:r>
        <w:rPr>
          <w:rFonts w:hint="cs"/>
          <w:sz w:val="20"/>
          <w:szCs w:val="20"/>
          <w:rtl/>
        </w:rPr>
        <w:t xml:space="preserve"> חשש שמא יגעו זה בזה.</w:t>
      </w:r>
      <w:r>
        <w:rPr>
          <w:rFonts w:hint="cs"/>
          <w:sz w:val="20"/>
          <w:szCs w:val="20"/>
          <w:rtl/>
        </w:rPr>
        <w:br/>
        <w:t>לפי"ז, מובן שבספסל הקבוע בכותל מותר לשבת יחד, משום שאין חשש נגיעה.</w:t>
      </w:r>
    </w:p>
    <w:p w:rsidR="00620060" w:rsidRDefault="00620060" w:rsidP="00620060">
      <w:pPr>
        <w:rPr>
          <w:sz w:val="20"/>
          <w:szCs w:val="20"/>
          <w:rtl/>
        </w:rPr>
      </w:pPr>
      <w:r>
        <w:rPr>
          <w:rFonts w:hint="cs"/>
          <w:sz w:val="20"/>
          <w:szCs w:val="20"/>
          <w:u w:val="single"/>
          <w:rtl/>
        </w:rPr>
        <w:t>דין ספסל כבד (טהרת הבית עמ' קמט)</w:t>
      </w:r>
      <w:r>
        <w:rPr>
          <w:rFonts w:hint="cs"/>
          <w:sz w:val="20"/>
          <w:szCs w:val="20"/>
          <w:u w:val="single"/>
          <w:rtl/>
        </w:rPr>
        <w:br/>
      </w:r>
      <w:r>
        <w:rPr>
          <w:rFonts w:hint="cs"/>
          <w:sz w:val="20"/>
          <w:szCs w:val="20"/>
          <w:rtl/>
        </w:rPr>
        <w:t>דין ספסל כבד כדין ספסל המחובר לכותל ומותר, משום שאינו מתנדנד.</w:t>
      </w:r>
    </w:p>
    <w:p w:rsidR="00620060" w:rsidRPr="004879CF" w:rsidRDefault="00620060" w:rsidP="00620060">
      <w:pPr>
        <w:rPr>
          <w:sz w:val="20"/>
          <w:szCs w:val="20"/>
          <w:rtl/>
        </w:rPr>
      </w:pPr>
      <w:r>
        <w:rPr>
          <w:rFonts w:hint="cs"/>
          <w:sz w:val="20"/>
          <w:szCs w:val="20"/>
          <w:u w:val="single"/>
          <w:rtl/>
        </w:rPr>
        <w:t>דין ספה ומזרון</w:t>
      </w:r>
      <w:r>
        <w:rPr>
          <w:sz w:val="20"/>
          <w:szCs w:val="20"/>
          <w:u w:val="single"/>
          <w:rtl/>
        </w:rPr>
        <w:br/>
      </w:r>
      <w:r w:rsidRPr="004879CF">
        <w:rPr>
          <w:rFonts w:hint="cs"/>
          <w:b/>
          <w:bCs/>
          <w:sz w:val="20"/>
          <w:szCs w:val="20"/>
          <w:rtl/>
        </w:rPr>
        <w:t>דרכי טהרה</w:t>
      </w:r>
      <w:r>
        <w:rPr>
          <w:rFonts w:hint="cs"/>
          <w:sz w:val="20"/>
          <w:szCs w:val="20"/>
          <w:rtl/>
        </w:rPr>
        <w:t xml:space="preserve"> </w:t>
      </w:r>
      <w:r w:rsidRPr="004879CF">
        <w:rPr>
          <w:rFonts w:hint="cs"/>
          <w:sz w:val="18"/>
          <w:szCs w:val="18"/>
          <w:rtl/>
        </w:rPr>
        <w:t xml:space="preserve">(עמ' 78) </w:t>
      </w:r>
      <w:r w:rsidRPr="004879CF">
        <w:rPr>
          <w:rFonts w:hint="cs"/>
          <w:b/>
          <w:bCs/>
          <w:sz w:val="20"/>
          <w:szCs w:val="20"/>
          <w:rtl/>
        </w:rPr>
        <w:t>ובדי השולחן</w:t>
      </w:r>
      <w:r>
        <w:rPr>
          <w:rFonts w:hint="cs"/>
          <w:sz w:val="20"/>
          <w:szCs w:val="20"/>
          <w:rtl/>
        </w:rPr>
        <w:t xml:space="preserve"> </w:t>
      </w:r>
      <w:r w:rsidRPr="004879CF">
        <w:rPr>
          <w:rFonts w:hint="cs"/>
          <w:sz w:val="18"/>
          <w:szCs w:val="18"/>
          <w:rtl/>
        </w:rPr>
        <w:t xml:space="preserve">(סקפ"ד) </w:t>
      </w:r>
      <w:r>
        <w:rPr>
          <w:sz w:val="20"/>
          <w:szCs w:val="20"/>
          <w:rtl/>
        </w:rPr>
        <w:t>–</w:t>
      </w:r>
      <w:r>
        <w:rPr>
          <w:rFonts w:hint="cs"/>
          <w:sz w:val="20"/>
          <w:szCs w:val="20"/>
          <w:rtl/>
        </w:rPr>
        <w:t xml:space="preserve"> כפי שאין לשבת יחד על ספסל המתנדנד, כך אין לשבת על ספה רכה, מזרון ומושב אחורי של מכונית, מכיוון שבישיבת האחד מנענע את השני. </w:t>
      </w:r>
      <w:r>
        <w:rPr>
          <w:sz w:val="20"/>
          <w:szCs w:val="20"/>
          <w:rtl/>
        </w:rPr>
        <w:br/>
      </w:r>
      <w:r>
        <w:rPr>
          <w:rFonts w:hint="cs"/>
          <w:sz w:val="20"/>
          <w:szCs w:val="20"/>
          <w:rtl/>
        </w:rPr>
        <w:t>ואמנם, כאשר יש צורך לשבת יחד, ניתן להקל ע"י הפסק, כאמור לעיל, וטוב להקפיד שהאשה תשב לפני בעלה, משום שתזוזת האשה ע"י בעלה קלה טפי כיוון שהיא לא תרגיל אותו לעבירה.</w:t>
      </w:r>
    </w:p>
    <w:p w:rsidR="00620060" w:rsidRDefault="00620060" w:rsidP="00620060">
      <w:pPr>
        <w:rPr>
          <w:sz w:val="20"/>
          <w:szCs w:val="20"/>
          <w:rtl/>
        </w:rPr>
      </w:pPr>
      <w:r w:rsidRPr="00C60BB1">
        <w:rPr>
          <w:rStyle w:val="20"/>
          <w:rFonts w:hint="cs"/>
          <w:rtl/>
        </w:rPr>
        <w:t>ג.</w:t>
      </w:r>
      <w:r w:rsidRPr="00C60BB1">
        <w:rPr>
          <w:rFonts w:hint="cs"/>
          <w:sz w:val="16"/>
          <w:szCs w:val="16"/>
          <w:rtl/>
        </w:rPr>
        <w:t xml:space="preserve"> </w:t>
      </w:r>
      <w:r w:rsidRPr="00C60BB1">
        <w:rPr>
          <w:rFonts w:hint="cs"/>
          <w:b/>
          <w:bCs/>
          <w:sz w:val="20"/>
          <w:szCs w:val="20"/>
          <w:rtl/>
        </w:rPr>
        <w:t>הליכה לטיול עם אשתו נידה</w:t>
      </w:r>
      <w:r>
        <w:rPr>
          <w:rFonts w:hint="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רמ"א </w:t>
      </w:r>
      <w:r w:rsidRPr="00C60BB1">
        <w:rPr>
          <w:rFonts w:hint="cs"/>
          <w:sz w:val="18"/>
          <w:szCs w:val="18"/>
          <w:rtl/>
        </w:rPr>
        <w:t xml:space="preserve">(ע"פ </w:t>
      </w:r>
      <w:r w:rsidRPr="00C60BB1">
        <w:rPr>
          <w:rFonts w:hint="cs"/>
          <w:b/>
          <w:bCs/>
          <w:sz w:val="18"/>
          <w:szCs w:val="18"/>
          <w:rtl/>
        </w:rPr>
        <w:t>תרומת הדשן</w:t>
      </w:r>
      <w:r w:rsidRPr="00C60BB1">
        <w:rPr>
          <w:rFonts w:hint="cs"/>
          <w:sz w:val="18"/>
          <w:szCs w:val="18"/>
          <w:rtl/>
        </w:rPr>
        <w:t xml:space="preserve">) </w:t>
      </w:r>
      <w:r w:rsidRPr="00C60BB1">
        <w:rPr>
          <w:sz w:val="18"/>
          <w:szCs w:val="18"/>
          <w:rtl/>
        </w:rPr>
        <w:t>–</w:t>
      </w:r>
      <w:r w:rsidRPr="00C60BB1">
        <w:rPr>
          <w:rFonts w:hint="cs"/>
          <w:sz w:val="18"/>
          <w:szCs w:val="18"/>
          <w:rtl/>
        </w:rPr>
        <w:t xml:space="preserve"> "</w:t>
      </w:r>
      <w:r w:rsidRPr="00C60BB1">
        <w:rPr>
          <w:rFonts w:cs="Arial"/>
          <w:sz w:val="18"/>
          <w:szCs w:val="18"/>
          <w:rtl/>
        </w:rPr>
        <w:t>וכן לא ילך עם אשתו בעגלה אחת או בספינה אחת, אם הולך רק דרך טיול כגון לגנות ופרדסים וכיוצא בזה; אבל אם הולך מעיר לעיר לצרכיו, מותר אף על פי שהוא ואשתו הם לבדן, ובלבד שישבו בדרך שלא יגעו זה בזה</w:t>
      </w:r>
      <w:r>
        <w:rPr>
          <w:rStyle w:val="a5"/>
          <w:rFonts w:cs="Arial"/>
          <w:sz w:val="18"/>
          <w:szCs w:val="18"/>
          <w:rtl/>
        </w:rPr>
        <w:footnoteReference w:id="462"/>
      </w:r>
      <w:r w:rsidRPr="00C60BB1">
        <w:rPr>
          <w:rFonts w:cs="Arial" w:hint="cs"/>
          <w:sz w:val="18"/>
          <w:szCs w:val="18"/>
          <w:rtl/>
        </w:rPr>
        <w:t>".</w:t>
      </w:r>
    </w:p>
    <w:p w:rsidR="00620060" w:rsidRDefault="00620060" w:rsidP="00620060">
      <w:pPr>
        <w:rPr>
          <w:sz w:val="20"/>
          <w:szCs w:val="20"/>
          <w:rtl/>
        </w:rPr>
      </w:pPr>
      <w:r w:rsidRPr="009F7C0A">
        <w:rPr>
          <w:rFonts w:hint="cs"/>
          <w:b/>
          <w:bCs/>
          <w:sz w:val="20"/>
          <w:szCs w:val="20"/>
          <w:rtl/>
        </w:rPr>
        <w:t>טעם האיסור</w:t>
      </w:r>
      <w:r w:rsidRPr="009F7C0A">
        <w:rPr>
          <w:rStyle w:val="a5"/>
          <w:sz w:val="20"/>
          <w:szCs w:val="20"/>
          <w:rtl/>
        </w:rPr>
        <w:footnoteReference w:id="463"/>
      </w:r>
      <w:r>
        <w:rPr>
          <w:sz w:val="20"/>
          <w:szCs w:val="20"/>
          <w:u w:val="single"/>
          <w:rtl/>
        </w:rPr>
        <w:br/>
      </w:r>
      <w:r>
        <w:rPr>
          <w:rFonts w:hint="cs"/>
          <w:sz w:val="20"/>
          <w:szCs w:val="20"/>
          <w:rtl/>
        </w:rPr>
        <w:t xml:space="preserve">א. מלשון </w:t>
      </w:r>
      <w:r w:rsidRPr="00813FFA">
        <w:rPr>
          <w:rFonts w:hint="cs"/>
          <w:b/>
          <w:bCs/>
          <w:sz w:val="20"/>
          <w:szCs w:val="20"/>
          <w:rtl/>
        </w:rPr>
        <w:t>תרומת הדשן</w:t>
      </w:r>
      <w:r>
        <w:rPr>
          <w:rFonts w:hint="cs"/>
          <w:sz w:val="20"/>
          <w:szCs w:val="20"/>
          <w:rtl/>
        </w:rPr>
        <w:t xml:space="preserve"> משמע שטעם האיסור הוא משום שטיול מביא לחיבה, ולפי"ז אין עיקר האיסור משום ההליכה ביחד בעגלה, אלא אפילו בטיול רגלי יש לאסור דמאי שנא? וכן כתב </w:t>
      </w:r>
      <w:r w:rsidRPr="00E876A3">
        <w:rPr>
          <w:rFonts w:hint="cs"/>
          <w:b/>
          <w:bCs/>
          <w:sz w:val="20"/>
          <w:szCs w:val="20"/>
          <w:rtl/>
        </w:rPr>
        <w:t>ערוך השולחן</w:t>
      </w:r>
      <w:r>
        <w:rPr>
          <w:rFonts w:hint="cs"/>
          <w:sz w:val="20"/>
          <w:szCs w:val="20"/>
          <w:rtl/>
        </w:rPr>
        <w:t xml:space="preserve">, וכן כתב בספר </w:t>
      </w:r>
      <w:r w:rsidRPr="00E876A3">
        <w:rPr>
          <w:rFonts w:hint="cs"/>
          <w:b/>
          <w:bCs/>
          <w:sz w:val="20"/>
          <w:szCs w:val="20"/>
          <w:rtl/>
        </w:rPr>
        <w:lastRenderedPageBreak/>
        <w:t>שערי אורה</w:t>
      </w:r>
      <w:r>
        <w:rPr>
          <w:rStyle w:val="a5"/>
          <w:sz w:val="20"/>
          <w:szCs w:val="20"/>
          <w:rtl/>
        </w:rPr>
        <w:footnoteReference w:id="464"/>
      </w:r>
      <w:r>
        <w:rPr>
          <w:rFonts w:hint="cs"/>
          <w:sz w:val="20"/>
          <w:szCs w:val="20"/>
          <w:rtl/>
        </w:rPr>
        <w:t>, וכן מורה לשון הרמ"א שהתיר כאשר הולך עם אשתו לצרכיו, כיוון שבכה"ג אין קירוב הדעת.</w:t>
      </w:r>
      <w:r>
        <w:rPr>
          <w:sz w:val="20"/>
          <w:szCs w:val="20"/>
          <w:rtl/>
        </w:rPr>
        <w:br/>
      </w:r>
      <w:r>
        <w:rPr>
          <w:rFonts w:hint="cs"/>
          <w:sz w:val="20"/>
          <w:szCs w:val="20"/>
          <w:rtl/>
        </w:rPr>
        <w:t xml:space="preserve">ב. </w:t>
      </w:r>
      <w:r w:rsidRPr="00D60193">
        <w:rPr>
          <w:rFonts w:hint="cs"/>
          <w:b/>
          <w:bCs/>
          <w:sz w:val="20"/>
          <w:szCs w:val="20"/>
          <w:rtl/>
        </w:rPr>
        <w:t>אגרות משה</w:t>
      </w:r>
      <w:r>
        <w:rPr>
          <w:rFonts w:hint="cs"/>
          <w:sz w:val="20"/>
          <w:szCs w:val="20"/>
          <w:rtl/>
        </w:rPr>
        <w:t xml:space="preserve"> </w:t>
      </w:r>
      <w:r w:rsidRPr="00D60193">
        <w:rPr>
          <w:rFonts w:hint="cs"/>
          <w:sz w:val="18"/>
          <w:szCs w:val="18"/>
          <w:rtl/>
        </w:rPr>
        <w:t xml:space="preserve">(יו"ד חלק ב, צב) </w:t>
      </w:r>
      <w:r>
        <w:rPr>
          <w:sz w:val="20"/>
          <w:szCs w:val="20"/>
          <w:rtl/>
        </w:rPr>
        <w:t>–</w:t>
      </w:r>
      <w:r>
        <w:rPr>
          <w:rFonts w:hint="cs"/>
          <w:sz w:val="20"/>
          <w:szCs w:val="20"/>
          <w:rtl/>
        </w:rPr>
        <w:t xml:space="preserve"> טעם האיסור הוא משום שהעגלה או הספינה מתנדנדת מחמת האשה ודבר זה מביא לקירוב הדעת. לכן, יש להקל בנסיעה במכונית אפילו לטיול משום שאין האשה גורמת לה להתנדנד.</w:t>
      </w:r>
    </w:p>
    <w:p w:rsidR="00620060" w:rsidRDefault="00620060" w:rsidP="00620060">
      <w:pPr>
        <w:rPr>
          <w:sz w:val="20"/>
          <w:szCs w:val="20"/>
          <w:rtl/>
        </w:rPr>
      </w:pPr>
      <w:r w:rsidRPr="00802A81">
        <w:rPr>
          <w:rFonts w:hint="cs"/>
          <w:sz w:val="20"/>
          <w:szCs w:val="20"/>
          <w:u w:val="single"/>
          <w:rtl/>
        </w:rPr>
        <w:t>הכרעת הפוסקים</w:t>
      </w:r>
      <w:r>
        <w:rPr>
          <w:rFonts w:hint="cs"/>
          <w:sz w:val="20"/>
          <w:szCs w:val="20"/>
          <w:u w:val="single"/>
          <w:rtl/>
        </w:rPr>
        <w:br/>
      </w:r>
      <w:r>
        <w:rPr>
          <w:rFonts w:hint="cs"/>
          <w:sz w:val="20"/>
          <w:szCs w:val="20"/>
          <w:rtl/>
        </w:rPr>
        <w:t xml:space="preserve">א. </w:t>
      </w:r>
      <w:r w:rsidRPr="00802A81">
        <w:rPr>
          <w:rFonts w:hint="cs"/>
          <w:b/>
          <w:bCs/>
          <w:sz w:val="20"/>
          <w:szCs w:val="20"/>
          <w:rtl/>
        </w:rPr>
        <w:t>דרכי טהרה</w:t>
      </w:r>
      <w:r>
        <w:rPr>
          <w:rFonts w:hint="cs"/>
          <w:sz w:val="20"/>
          <w:szCs w:val="20"/>
          <w:rtl/>
        </w:rPr>
        <w:t xml:space="preserve"> </w:t>
      </w:r>
      <w:r>
        <w:rPr>
          <w:sz w:val="20"/>
          <w:szCs w:val="20"/>
          <w:rtl/>
        </w:rPr>
        <w:t>–</w:t>
      </w:r>
      <w:r>
        <w:rPr>
          <w:rFonts w:hint="cs"/>
          <w:sz w:val="20"/>
          <w:szCs w:val="20"/>
          <w:rtl/>
        </w:rPr>
        <w:t xml:space="preserve"> ראוי שלא לנסוע לטיול במכונית פרטית לבדם בימים בהם אשתו נידה, למרות שיושבים במושבים נפרדים. ואמנם אם נוסעים עם אנשים נוספים מותר, ובלבד שאין חשש נגיעה.</w:t>
      </w:r>
      <w:r>
        <w:rPr>
          <w:sz w:val="20"/>
          <w:szCs w:val="20"/>
          <w:rtl/>
        </w:rPr>
        <w:br/>
      </w:r>
      <w:r>
        <w:rPr>
          <w:rFonts w:hint="cs"/>
          <w:sz w:val="20"/>
          <w:szCs w:val="20"/>
          <w:rtl/>
        </w:rPr>
        <w:t>ופשוט שכאשר נוסעים לצרכיהם אין כלל מקום להחמיר.</w:t>
      </w:r>
      <w:r>
        <w:rPr>
          <w:sz w:val="20"/>
          <w:szCs w:val="20"/>
          <w:rtl/>
        </w:rPr>
        <w:br/>
      </w:r>
      <w:r>
        <w:rPr>
          <w:rFonts w:hint="cs"/>
          <w:sz w:val="20"/>
          <w:szCs w:val="20"/>
          <w:rtl/>
        </w:rPr>
        <w:t xml:space="preserve">ב. </w:t>
      </w:r>
      <w:r w:rsidRPr="00802A81">
        <w:rPr>
          <w:rFonts w:hint="cs"/>
          <w:b/>
          <w:bCs/>
          <w:sz w:val="20"/>
          <w:szCs w:val="20"/>
          <w:rtl/>
        </w:rPr>
        <w:t>אגרות משה</w:t>
      </w:r>
      <w:r>
        <w:rPr>
          <w:rFonts w:hint="cs"/>
          <w:sz w:val="20"/>
          <w:szCs w:val="20"/>
          <w:rtl/>
        </w:rPr>
        <w:t xml:space="preserve"> </w:t>
      </w:r>
      <w:r>
        <w:rPr>
          <w:sz w:val="20"/>
          <w:szCs w:val="20"/>
          <w:rtl/>
        </w:rPr>
        <w:t>–</w:t>
      </w:r>
      <w:r>
        <w:rPr>
          <w:rFonts w:hint="cs"/>
          <w:sz w:val="20"/>
          <w:szCs w:val="20"/>
          <w:rtl/>
        </w:rPr>
        <w:t xml:space="preserve"> מותר לנסוע יחד לטיול, ורק יקפידו שלא יגעו זה בזה.</w:t>
      </w:r>
    </w:p>
    <w:p w:rsidR="00620060" w:rsidRPr="00081EC0" w:rsidRDefault="00620060" w:rsidP="00620060">
      <w:pPr>
        <w:rPr>
          <w:sz w:val="20"/>
          <w:szCs w:val="20"/>
          <w:rtl/>
        </w:rPr>
      </w:pPr>
      <w:r>
        <w:rPr>
          <w:rFonts w:hint="cs"/>
          <w:sz w:val="20"/>
          <w:szCs w:val="20"/>
          <w:u w:val="single"/>
          <w:rtl/>
        </w:rPr>
        <w:t xml:space="preserve">דעת הבית יוסף בדין זה (טהרת הבית עמ' קמו </w:t>
      </w:r>
      <w:r>
        <w:rPr>
          <w:sz w:val="20"/>
          <w:szCs w:val="20"/>
          <w:u w:val="single"/>
          <w:rtl/>
        </w:rPr>
        <w:t>–</w:t>
      </w:r>
      <w:r>
        <w:rPr>
          <w:rFonts w:hint="cs"/>
          <w:sz w:val="20"/>
          <w:szCs w:val="20"/>
          <w:u w:val="single"/>
          <w:rtl/>
        </w:rPr>
        <w:t xml:space="preserve"> קמז)</w:t>
      </w:r>
      <w:r>
        <w:rPr>
          <w:rFonts w:hint="cs"/>
          <w:sz w:val="20"/>
          <w:szCs w:val="20"/>
          <w:u w:val="single"/>
          <w:rtl/>
        </w:rPr>
        <w:br/>
      </w:r>
      <w:r>
        <w:rPr>
          <w:rFonts w:hint="cs"/>
          <w:sz w:val="20"/>
          <w:szCs w:val="20"/>
          <w:rtl/>
        </w:rPr>
        <w:t>האם לדעת הבית יוסף מותר ללכת עם אשתו לטיול כשהם לבדם?</w:t>
      </w:r>
      <w:r>
        <w:rPr>
          <w:sz w:val="20"/>
          <w:szCs w:val="20"/>
          <w:rtl/>
        </w:rPr>
        <w:br/>
      </w:r>
      <w:r>
        <w:rPr>
          <w:rFonts w:hint="cs"/>
          <w:sz w:val="20"/>
          <w:szCs w:val="20"/>
          <w:rtl/>
        </w:rPr>
        <w:t xml:space="preserve">א. </w:t>
      </w:r>
      <w:r w:rsidRPr="00081EC0">
        <w:rPr>
          <w:rFonts w:hint="cs"/>
          <w:b/>
          <w:bCs/>
          <w:sz w:val="20"/>
          <w:szCs w:val="20"/>
          <w:rtl/>
        </w:rPr>
        <w:t>שו"ת רב פעלים</w:t>
      </w:r>
      <w:r>
        <w:rPr>
          <w:rFonts w:hint="cs"/>
          <w:sz w:val="20"/>
          <w:szCs w:val="20"/>
          <w:rtl/>
        </w:rPr>
        <w:t xml:space="preserve"> </w:t>
      </w:r>
      <w:r>
        <w:rPr>
          <w:sz w:val="20"/>
          <w:szCs w:val="20"/>
          <w:rtl/>
        </w:rPr>
        <w:t>–</w:t>
      </w:r>
      <w:r>
        <w:rPr>
          <w:rFonts w:hint="cs"/>
          <w:sz w:val="20"/>
          <w:szCs w:val="20"/>
          <w:rtl/>
        </w:rPr>
        <w:t xml:space="preserve"> אסור.</w:t>
      </w:r>
      <w:r>
        <w:rPr>
          <w:sz w:val="20"/>
          <w:szCs w:val="20"/>
          <w:rtl/>
        </w:rPr>
        <w:br/>
      </w:r>
      <w:r w:rsidRPr="00081EC0">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לא מצאנו חולק בדין זה על דברי תרומת הדשן, ואע"פ שהבית יוסף לא קיבל את דבריו לגבי ישיבה על ספסל, מכל מקום טיול חמור יותר מישיבה על ספסל.</w:t>
      </w:r>
      <w:r>
        <w:rPr>
          <w:sz w:val="20"/>
          <w:szCs w:val="20"/>
          <w:rtl/>
        </w:rPr>
        <w:br/>
      </w:r>
      <w:r>
        <w:rPr>
          <w:rFonts w:hint="cs"/>
          <w:sz w:val="20"/>
          <w:szCs w:val="20"/>
          <w:rtl/>
        </w:rPr>
        <w:t xml:space="preserve">ב. </w:t>
      </w:r>
      <w:r w:rsidRPr="00081EC0">
        <w:rPr>
          <w:rFonts w:hint="cs"/>
          <w:b/>
          <w:bCs/>
          <w:sz w:val="20"/>
          <w:szCs w:val="20"/>
          <w:rtl/>
        </w:rPr>
        <w:t>טהרת הבית</w:t>
      </w:r>
      <w:r>
        <w:rPr>
          <w:rFonts w:hint="cs"/>
          <w:sz w:val="20"/>
          <w:szCs w:val="20"/>
          <w:rtl/>
        </w:rPr>
        <w:t xml:space="preserve"> </w:t>
      </w:r>
      <w:r>
        <w:rPr>
          <w:sz w:val="20"/>
          <w:szCs w:val="20"/>
          <w:rtl/>
        </w:rPr>
        <w:t>–</w:t>
      </w:r>
      <w:r>
        <w:rPr>
          <w:rFonts w:hint="cs"/>
          <w:sz w:val="20"/>
          <w:szCs w:val="20"/>
          <w:rtl/>
        </w:rPr>
        <w:t xml:space="preserve"> מותר.</w:t>
      </w:r>
      <w:r>
        <w:rPr>
          <w:sz w:val="20"/>
          <w:szCs w:val="20"/>
          <w:rtl/>
        </w:rPr>
        <w:br/>
      </w:r>
      <w:r w:rsidRPr="00081EC0">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מוכח בדברי תרומת הדשן שטיול קל יותר מישיבה על ספסל, ולכל הפחות אינו חמור ממנו, ומכיוון שהבית יוסף מקל בישיבה על ספסל הוא הדין שיש להקל בטיול.</w:t>
      </w:r>
    </w:p>
    <w:p w:rsidR="00620060" w:rsidRPr="00053B75" w:rsidRDefault="00620060" w:rsidP="00620060">
      <w:pPr>
        <w:rPr>
          <w:sz w:val="20"/>
          <w:szCs w:val="20"/>
          <w:rtl/>
        </w:rPr>
      </w:pPr>
      <w:r>
        <w:rPr>
          <w:rFonts w:hint="cs"/>
          <w:sz w:val="20"/>
          <w:szCs w:val="20"/>
          <w:u w:val="single"/>
          <w:rtl/>
        </w:rPr>
        <w:t>אפן הנסיעה באוטובוס</w:t>
      </w:r>
      <w:r>
        <w:rPr>
          <w:sz w:val="20"/>
          <w:szCs w:val="20"/>
          <w:u w:val="single"/>
          <w:rtl/>
        </w:rPr>
        <w:br/>
      </w:r>
      <w:r w:rsidRPr="00053B75">
        <w:rPr>
          <w:rFonts w:hint="cs"/>
          <w:b/>
          <w:bCs/>
          <w:sz w:val="20"/>
          <w:szCs w:val="20"/>
          <w:rtl/>
        </w:rPr>
        <w:t>טהרת בת ישראל וטהרת הבית</w:t>
      </w:r>
      <w:r>
        <w:rPr>
          <w:rFonts w:hint="cs"/>
          <w:sz w:val="20"/>
          <w:szCs w:val="20"/>
          <w:rtl/>
        </w:rPr>
        <w:t xml:space="preserve"> (עמ' קנד) </w:t>
      </w:r>
      <w:r>
        <w:rPr>
          <w:sz w:val="20"/>
          <w:szCs w:val="20"/>
          <w:rtl/>
        </w:rPr>
        <w:t>–</w:t>
      </w:r>
      <w:r>
        <w:rPr>
          <w:rFonts w:hint="cs"/>
          <w:sz w:val="20"/>
          <w:szCs w:val="20"/>
          <w:rtl/>
        </w:rPr>
        <w:t xml:space="preserve"> מותר לזוג לנסוע באוטובוס זה לצד זה. ועדיף שהאשה תשב ליד חלון האוטובוס והבעל ישב במושב החיצוני כדי שיוכל לצודד עצמו לצד המעבר להימנע מנגיעה, וטוב שישימו דבר חוצץ ביניהם.</w:t>
      </w:r>
      <w:r>
        <w:rPr>
          <w:rStyle w:val="a5"/>
          <w:sz w:val="20"/>
          <w:szCs w:val="20"/>
          <w:rtl/>
        </w:rPr>
        <w:footnoteReference w:id="465"/>
      </w:r>
      <w:r>
        <w:rPr>
          <w:rFonts w:hint="cs"/>
          <w:sz w:val="20"/>
          <w:szCs w:val="20"/>
          <w:rtl/>
        </w:rPr>
        <w:t xml:space="preserve"> </w:t>
      </w:r>
    </w:p>
    <w:p w:rsidR="00620060" w:rsidRDefault="00620060" w:rsidP="00620060">
      <w:pPr>
        <w:rPr>
          <w:sz w:val="20"/>
          <w:szCs w:val="20"/>
          <w:rtl/>
        </w:rPr>
      </w:pPr>
      <w:r w:rsidRPr="002848F4">
        <w:rPr>
          <w:rFonts w:hint="cs"/>
          <w:b/>
          <w:bCs/>
          <w:sz w:val="20"/>
          <w:szCs w:val="20"/>
          <w:rtl/>
        </w:rPr>
        <w:t>סיכום</w:t>
      </w:r>
      <w:r>
        <w:rPr>
          <w:sz w:val="20"/>
          <w:szCs w:val="20"/>
          <w:rtl/>
        </w:rPr>
        <w:br/>
      </w:r>
      <w:r>
        <w:rPr>
          <w:rFonts w:hint="cs"/>
          <w:sz w:val="20"/>
          <w:szCs w:val="20"/>
          <w:rtl/>
        </w:rPr>
        <w:t xml:space="preserve">1. </w:t>
      </w:r>
      <w:r w:rsidRPr="002848F4">
        <w:rPr>
          <w:rFonts w:hint="cs"/>
          <w:b/>
          <w:bCs/>
          <w:sz w:val="20"/>
          <w:szCs w:val="20"/>
          <w:rtl/>
        </w:rPr>
        <w:t>ראב"ד</w:t>
      </w:r>
      <w:r>
        <w:rPr>
          <w:rFonts w:hint="cs"/>
          <w:sz w:val="20"/>
          <w:szCs w:val="20"/>
          <w:rtl/>
        </w:rPr>
        <w:t xml:space="preserve">. אין לישון על מיטת אשתו נידה בפניה. </w:t>
      </w:r>
      <w:r w:rsidRPr="002848F4">
        <w:rPr>
          <w:rFonts w:hint="cs"/>
          <w:b/>
          <w:bCs/>
          <w:sz w:val="20"/>
          <w:szCs w:val="20"/>
          <w:rtl/>
        </w:rPr>
        <w:t>טעם</w:t>
      </w:r>
      <w:r>
        <w:rPr>
          <w:rFonts w:hint="cs"/>
          <w:sz w:val="20"/>
          <w:szCs w:val="20"/>
          <w:rtl/>
        </w:rPr>
        <w:t>. מפני הרגל עבירה, ק"ו מהצעת המיטה.</w:t>
      </w:r>
      <w:r>
        <w:rPr>
          <w:sz w:val="20"/>
          <w:szCs w:val="20"/>
          <w:rtl/>
        </w:rPr>
        <w:br/>
      </w:r>
      <w:r>
        <w:rPr>
          <w:rFonts w:hint="cs"/>
          <w:sz w:val="20"/>
          <w:szCs w:val="20"/>
          <w:rtl/>
        </w:rPr>
        <w:t xml:space="preserve">2. </w:t>
      </w:r>
      <w:r w:rsidRPr="002848F4">
        <w:rPr>
          <w:rFonts w:hint="cs"/>
          <w:b/>
          <w:bCs/>
          <w:sz w:val="20"/>
          <w:szCs w:val="20"/>
          <w:rtl/>
        </w:rPr>
        <w:t>טור</w:t>
      </w:r>
      <w:r>
        <w:rPr>
          <w:rFonts w:hint="cs"/>
          <w:sz w:val="20"/>
          <w:szCs w:val="20"/>
          <w:rtl/>
        </w:rPr>
        <w:t xml:space="preserve">. ב' הוספות. א. אסור אפילו שלא בפניה. ב. אסור אפילו לשבת על מיטתה, וכ"פ </w:t>
      </w:r>
      <w:r w:rsidRPr="002848F4">
        <w:rPr>
          <w:rFonts w:hint="cs"/>
          <w:b/>
          <w:bCs/>
          <w:sz w:val="20"/>
          <w:szCs w:val="20"/>
          <w:rtl/>
        </w:rPr>
        <w:t>המחבר</w:t>
      </w:r>
      <w:r>
        <w:rPr>
          <w:rFonts w:hint="cs"/>
          <w:sz w:val="20"/>
          <w:szCs w:val="20"/>
          <w:rtl/>
        </w:rPr>
        <w:t>.</w:t>
      </w:r>
      <w:r>
        <w:rPr>
          <w:sz w:val="20"/>
          <w:szCs w:val="20"/>
          <w:rtl/>
        </w:rPr>
        <w:br/>
      </w:r>
      <w:r w:rsidRPr="002848F4">
        <w:rPr>
          <w:rFonts w:hint="cs"/>
          <w:b/>
          <w:bCs/>
          <w:sz w:val="20"/>
          <w:szCs w:val="20"/>
          <w:rtl/>
        </w:rPr>
        <w:t>חכמ"א</w:t>
      </w:r>
      <w:r>
        <w:rPr>
          <w:rFonts w:hint="cs"/>
          <w:sz w:val="20"/>
          <w:szCs w:val="20"/>
          <w:rtl/>
        </w:rPr>
        <w:t>. הוא הדין שאסור לשבת על כרים וכסתות שלה.</w:t>
      </w:r>
      <w:r>
        <w:rPr>
          <w:sz w:val="20"/>
          <w:szCs w:val="20"/>
          <w:rtl/>
        </w:rPr>
        <w:br/>
      </w:r>
      <w:r>
        <w:rPr>
          <w:rFonts w:hint="cs"/>
          <w:sz w:val="20"/>
          <w:szCs w:val="20"/>
          <w:rtl/>
        </w:rPr>
        <w:t xml:space="preserve">3. </w:t>
      </w:r>
      <w:r w:rsidRPr="002848F4">
        <w:rPr>
          <w:rFonts w:hint="cs"/>
          <w:b/>
          <w:bCs/>
          <w:sz w:val="20"/>
          <w:szCs w:val="20"/>
          <w:rtl/>
        </w:rPr>
        <w:t>ב"ח</w:t>
      </w:r>
      <w:r>
        <w:rPr>
          <w:rFonts w:hint="cs"/>
          <w:sz w:val="20"/>
          <w:szCs w:val="20"/>
          <w:rtl/>
        </w:rPr>
        <w:t xml:space="preserve">. מותר לשבת על מיטתה שלא בפניה כשהוא לבוש בבגדיו. </w:t>
      </w:r>
      <w:r w:rsidRPr="002848F4">
        <w:rPr>
          <w:rFonts w:hint="cs"/>
          <w:b/>
          <w:bCs/>
          <w:sz w:val="20"/>
          <w:szCs w:val="20"/>
          <w:rtl/>
        </w:rPr>
        <w:t>ראיה</w:t>
      </w:r>
      <w:r>
        <w:rPr>
          <w:rFonts w:hint="cs"/>
          <w:sz w:val="20"/>
          <w:szCs w:val="20"/>
          <w:rtl/>
        </w:rPr>
        <w:t xml:space="preserve">. בהלכות דם בתולים כתב </w:t>
      </w:r>
      <w:r w:rsidRPr="002848F4">
        <w:rPr>
          <w:rFonts w:hint="cs"/>
          <w:b/>
          <w:bCs/>
          <w:sz w:val="20"/>
          <w:szCs w:val="20"/>
          <w:rtl/>
        </w:rPr>
        <w:t>הטור</w:t>
      </w:r>
      <w:r>
        <w:rPr>
          <w:rFonts w:hint="cs"/>
          <w:sz w:val="20"/>
          <w:szCs w:val="20"/>
          <w:rtl/>
        </w:rPr>
        <w:t xml:space="preserve"> שבנידה גמורה אסור לשכב, משמע שמותר לשבת. דוחה </w:t>
      </w:r>
      <w:r w:rsidRPr="002848F4">
        <w:rPr>
          <w:rFonts w:hint="cs"/>
          <w:b/>
          <w:bCs/>
          <w:sz w:val="20"/>
          <w:szCs w:val="20"/>
          <w:rtl/>
        </w:rPr>
        <w:t>הט"ז</w:t>
      </w:r>
      <w:r>
        <w:rPr>
          <w:rFonts w:hint="cs"/>
          <w:sz w:val="20"/>
          <w:szCs w:val="20"/>
          <w:rtl/>
        </w:rPr>
        <w:t xml:space="preserve">. התם רבותא קמ"ל שבדם בתולים מותר אפילו לשכב, אך ישיבה על מיטת אשתו נידה אסור משום שמביא להרהור, וכן מוכח מדין ישיבה על ספסל. </w:t>
      </w:r>
      <w:r>
        <w:rPr>
          <w:b/>
          <w:bCs/>
          <w:sz w:val="20"/>
          <w:szCs w:val="20"/>
          <w:rtl/>
        </w:rPr>
        <w:br/>
      </w:r>
      <w:r w:rsidRPr="002848F4">
        <w:rPr>
          <w:rFonts w:hint="cs"/>
          <w:b/>
          <w:bCs/>
          <w:sz w:val="20"/>
          <w:szCs w:val="20"/>
          <w:rtl/>
        </w:rPr>
        <w:t>נקה"כ</w:t>
      </w:r>
      <w:r>
        <w:rPr>
          <w:rFonts w:hint="cs"/>
          <w:sz w:val="20"/>
          <w:szCs w:val="20"/>
          <w:rtl/>
        </w:rPr>
        <w:t xml:space="preserve">. דחיית </w:t>
      </w:r>
      <w:r w:rsidRPr="002848F4">
        <w:rPr>
          <w:rFonts w:hint="cs"/>
          <w:b/>
          <w:bCs/>
          <w:sz w:val="20"/>
          <w:szCs w:val="20"/>
          <w:rtl/>
        </w:rPr>
        <w:t>הט"ז</w:t>
      </w:r>
      <w:r>
        <w:rPr>
          <w:rFonts w:hint="cs"/>
          <w:sz w:val="20"/>
          <w:szCs w:val="20"/>
          <w:rtl/>
        </w:rPr>
        <w:t xml:space="preserve"> אינה, מותר לשבת על מיטתה, ומדין ספסל ליכא ראיה משום שהתם יש חשש לנגיעה.</w:t>
      </w:r>
      <w:r>
        <w:rPr>
          <w:sz w:val="20"/>
          <w:szCs w:val="20"/>
          <w:rtl/>
        </w:rPr>
        <w:br/>
      </w:r>
      <w:r>
        <w:rPr>
          <w:rFonts w:hint="cs"/>
          <w:sz w:val="20"/>
          <w:szCs w:val="20"/>
          <w:rtl/>
        </w:rPr>
        <w:t xml:space="preserve">4. </w:t>
      </w:r>
      <w:r w:rsidRPr="002848F4">
        <w:rPr>
          <w:rFonts w:hint="cs"/>
          <w:b/>
          <w:bCs/>
          <w:sz w:val="20"/>
          <w:szCs w:val="20"/>
          <w:rtl/>
        </w:rPr>
        <w:t>פת"ש</w:t>
      </w:r>
      <w:r>
        <w:rPr>
          <w:rFonts w:hint="cs"/>
          <w:sz w:val="20"/>
          <w:szCs w:val="20"/>
          <w:rtl/>
        </w:rPr>
        <w:t xml:space="preserve">. אם נסעה מהעיר מותר לשכב על מיטתה. </w:t>
      </w:r>
      <w:r w:rsidRPr="002848F4">
        <w:rPr>
          <w:rFonts w:hint="cs"/>
          <w:b/>
          <w:bCs/>
          <w:sz w:val="20"/>
          <w:szCs w:val="20"/>
          <w:rtl/>
        </w:rPr>
        <w:t>ששבה"ל</w:t>
      </w:r>
      <w:r>
        <w:rPr>
          <w:rFonts w:hint="cs"/>
          <w:sz w:val="20"/>
          <w:szCs w:val="20"/>
          <w:rtl/>
        </w:rPr>
        <w:t xml:space="preserve">. מדובר שנסעה למרחקים. </w:t>
      </w:r>
      <w:r>
        <w:rPr>
          <w:rFonts w:hint="cs"/>
          <w:sz w:val="20"/>
          <w:szCs w:val="20"/>
          <w:rtl/>
        </w:rPr>
        <w:br/>
        <w:t xml:space="preserve">5. </w:t>
      </w:r>
      <w:r w:rsidRPr="002848F4">
        <w:rPr>
          <w:rFonts w:hint="cs"/>
          <w:b/>
          <w:bCs/>
          <w:sz w:val="20"/>
          <w:szCs w:val="20"/>
          <w:rtl/>
        </w:rPr>
        <w:t>ט"ז</w:t>
      </w:r>
      <w:r>
        <w:rPr>
          <w:rFonts w:hint="cs"/>
          <w:sz w:val="20"/>
          <w:szCs w:val="20"/>
          <w:rtl/>
        </w:rPr>
        <w:t>. אסור לאשה לישון על מיטת בעלה, מותר לה לשבת</w:t>
      </w:r>
      <w:r>
        <w:rPr>
          <w:rStyle w:val="a5"/>
          <w:sz w:val="20"/>
          <w:szCs w:val="20"/>
          <w:rtl/>
        </w:rPr>
        <w:footnoteReference w:id="466"/>
      </w:r>
      <w:r>
        <w:rPr>
          <w:rFonts w:hint="cs"/>
          <w:sz w:val="20"/>
          <w:szCs w:val="20"/>
          <w:rtl/>
        </w:rPr>
        <w:t xml:space="preserve">. </w:t>
      </w:r>
      <w:r w:rsidRPr="002848F4">
        <w:rPr>
          <w:rFonts w:hint="cs"/>
          <w:b/>
          <w:bCs/>
          <w:sz w:val="20"/>
          <w:szCs w:val="20"/>
          <w:rtl/>
        </w:rPr>
        <w:t>תוה"ש</w:t>
      </w:r>
      <w:r>
        <w:rPr>
          <w:rFonts w:hint="cs"/>
          <w:sz w:val="20"/>
          <w:szCs w:val="20"/>
          <w:rtl/>
        </w:rPr>
        <w:t xml:space="preserve">. מותר לה לישון, וכ"פ </w:t>
      </w:r>
      <w:r w:rsidRPr="002848F4">
        <w:rPr>
          <w:rFonts w:hint="cs"/>
          <w:b/>
          <w:bCs/>
          <w:sz w:val="20"/>
          <w:szCs w:val="20"/>
          <w:rtl/>
        </w:rPr>
        <w:t>טה"ב</w:t>
      </w:r>
      <w:r>
        <w:rPr>
          <w:rFonts w:hint="cs"/>
          <w:sz w:val="20"/>
          <w:szCs w:val="20"/>
          <w:rtl/>
        </w:rPr>
        <w:t xml:space="preserve">. </w:t>
      </w:r>
      <w:r>
        <w:rPr>
          <w:sz w:val="20"/>
          <w:szCs w:val="20"/>
          <w:rtl/>
        </w:rPr>
        <w:br/>
      </w:r>
      <w:r>
        <w:rPr>
          <w:rFonts w:hint="cs"/>
          <w:sz w:val="20"/>
          <w:szCs w:val="20"/>
          <w:rtl/>
        </w:rPr>
        <w:t xml:space="preserve">מוסיף </w:t>
      </w:r>
      <w:r w:rsidRPr="002848F4">
        <w:rPr>
          <w:rFonts w:hint="cs"/>
          <w:b/>
          <w:bCs/>
          <w:sz w:val="20"/>
          <w:szCs w:val="20"/>
          <w:rtl/>
        </w:rPr>
        <w:t>טה"ב</w:t>
      </w:r>
      <w:r>
        <w:rPr>
          <w:rFonts w:hint="cs"/>
          <w:sz w:val="20"/>
          <w:szCs w:val="20"/>
          <w:rtl/>
        </w:rPr>
        <w:t>. במקום צורך יכולה לישון על מיטתו אפילו בפניו.</w:t>
      </w:r>
      <w:r>
        <w:rPr>
          <w:rFonts w:hint="cs"/>
          <w:sz w:val="20"/>
          <w:szCs w:val="20"/>
          <w:rtl/>
        </w:rPr>
        <w:br/>
        <w:t xml:space="preserve">6. </w:t>
      </w:r>
      <w:r w:rsidRPr="002848F4">
        <w:rPr>
          <w:rFonts w:hint="cs"/>
          <w:b/>
          <w:bCs/>
          <w:sz w:val="20"/>
          <w:szCs w:val="20"/>
          <w:rtl/>
        </w:rPr>
        <w:t>טה"ב</w:t>
      </w:r>
      <w:r>
        <w:rPr>
          <w:rFonts w:hint="cs"/>
          <w:sz w:val="20"/>
          <w:szCs w:val="20"/>
          <w:rtl/>
        </w:rPr>
        <w:t>. מותר לישון על מיטתה כשאינה מיוחדת לה, ואפילו אם ספק לו אם המיטה שלה מותר.</w:t>
      </w:r>
      <w:r>
        <w:rPr>
          <w:rFonts w:hint="cs"/>
          <w:sz w:val="20"/>
          <w:szCs w:val="20"/>
          <w:rtl/>
        </w:rPr>
        <w:br/>
        <w:t xml:space="preserve">7. </w:t>
      </w:r>
      <w:r w:rsidRPr="002848F4">
        <w:rPr>
          <w:rFonts w:hint="cs"/>
          <w:b/>
          <w:bCs/>
          <w:sz w:val="20"/>
          <w:szCs w:val="20"/>
          <w:rtl/>
        </w:rPr>
        <w:t>מרדכי</w:t>
      </w:r>
      <w:r>
        <w:rPr>
          <w:rFonts w:hint="cs"/>
          <w:sz w:val="20"/>
          <w:szCs w:val="20"/>
          <w:rtl/>
        </w:rPr>
        <w:t xml:space="preserve">. אסור לשבת על ספסל אחד עם אשתו נידה. </w:t>
      </w:r>
      <w:r w:rsidRPr="002848F4">
        <w:rPr>
          <w:rFonts w:hint="cs"/>
          <w:b/>
          <w:bCs/>
          <w:sz w:val="20"/>
          <w:szCs w:val="20"/>
          <w:rtl/>
        </w:rPr>
        <w:t>ת"ה</w:t>
      </w:r>
      <w:r>
        <w:rPr>
          <w:rFonts w:hint="cs"/>
          <w:sz w:val="20"/>
          <w:szCs w:val="20"/>
          <w:rtl/>
        </w:rPr>
        <w:t xml:space="preserve">. מותר לשבת בספסל הקבוע בכותל. </w:t>
      </w:r>
      <w:r>
        <w:rPr>
          <w:b/>
          <w:bCs/>
          <w:sz w:val="20"/>
          <w:szCs w:val="20"/>
          <w:rtl/>
        </w:rPr>
        <w:br/>
      </w:r>
      <w:r w:rsidRPr="002848F4">
        <w:rPr>
          <w:rFonts w:hint="cs"/>
          <w:b/>
          <w:bCs/>
          <w:sz w:val="20"/>
          <w:szCs w:val="20"/>
          <w:rtl/>
        </w:rPr>
        <w:t>ארחות חיים</w:t>
      </w:r>
      <w:r>
        <w:rPr>
          <w:rFonts w:hint="cs"/>
          <w:sz w:val="20"/>
          <w:szCs w:val="20"/>
          <w:rtl/>
        </w:rPr>
        <w:t xml:space="preserve">. מותר לשבת בספסל אחד ע"י הפסק אדם אחר ביניהם. </w:t>
      </w:r>
      <w:r w:rsidRPr="002848F4">
        <w:rPr>
          <w:rFonts w:hint="cs"/>
          <w:b/>
          <w:bCs/>
          <w:sz w:val="20"/>
          <w:szCs w:val="20"/>
          <w:rtl/>
        </w:rPr>
        <w:t>אגודה</w:t>
      </w:r>
      <w:r>
        <w:rPr>
          <w:rFonts w:hint="cs"/>
          <w:sz w:val="20"/>
          <w:szCs w:val="20"/>
          <w:rtl/>
        </w:rPr>
        <w:t>. הוא הדין שהנחת חפץ מהני.</w:t>
      </w:r>
      <w:r>
        <w:rPr>
          <w:sz w:val="20"/>
          <w:szCs w:val="20"/>
          <w:rtl/>
        </w:rPr>
        <w:br/>
      </w:r>
      <w:r>
        <w:rPr>
          <w:rFonts w:hint="cs"/>
          <w:sz w:val="20"/>
          <w:szCs w:val="20"/>
          <w:rtl/>
        </w:rPr>
        <w:t xml:space="preserve">8. </w:t>
      </w:r>
      <w:r w:rsidRPr="002848F4">
        <w:rPr>
          <w:rFonts w:hint="cs"/>
          <w:b/>
          <w:bCs/>
          <w:sz w:val="20"/>
          <w:szCs w:val="20"/>
          <w:rtl/>
        </w:rPr>
        <w:t>רמ"א</w:t>
      </w:r>
      <w:r>
        <w:rPr>
          <w:rFonts w:hint="cs"/>
          <w:sz w:val="20"/>
          <w:szCs w:val="20"/>
          <w:rtl/>
        </w:rPr>
        <w:t xml:space="preserve">. אין לשבת על ספסל אחד מתנדנד שאינו קבוע בכותל, אך ע"י אדם שמפסיק מותר. </w:t>
      </w:r>
      <w:r>
        <w:rPr>
          <w:sz w:val="20"/>
          <w:szCs w:val="20"/>
          <w:rtl/>
        </w:rPr>
        <w:br/>
      </w:r>
      <w:r w:rsidRPr="002848F4">
        <w:rPr>
          <w:rFonts w:hint="cs"/>
          <w:b/>
          <w:bCs/>
          <w:sz w:val="20"/>
          <w:szCs w:val="20"/>
          <w:rtl/>
        </w:rPr>
        <w:t>בית יוסף</w:t>
      </w:r>
      <w:r>
        <w:rPr>
          <w:rFonts w:hint="cs"/>
          <w:sz w:val="20"/>
          <w:szCs w:val="20"/>
          <w:rtl/>
        </w:rPr>
        <w:t xml:space="preserve">. חומרת ספסל לא נהגו בה הספרדים, וכ"פ </w:t>
      </w:r>
      <w:r w:rsidRPr="002848F4">
        <w:rPr>
          <w:rFonts w:hint="cs"/>
          <w:b/>
          <w:bCs/>
          <w:sz w:val="20"/>
          <w:szCs w:val="20"/>
          <w:rtl/>
        </w:rPr>
        <w:t>טה"ב</w:t>
      </w:r>
      <w:r>
        <w:rPr>
          <w:rFonts w:hint="cs"/>
          <w:sz w:val="20"/>
          <w:szCs w:val="20"/>
          <w:rtl/>
        </w:rPr>
        <w:t xml:space="preserve"> למנהג הספרדים.</w:t>
      </w:r>
      <w:r>
        <w:rPr>
          <w:sz w:val="20"/>
          <w:szCs w:val="20"/>
          <w:rtl/>
        </w:rPr>
        <w:br/>
      </w:r>
      <w:r>
        <w:rPr>
          <w:rFonts w:hint="cs"/>
          <w:sz w:val="20"/>
          <w:szCs w:val="20"/>
          <w:rtl/>
        </w:rPr>
        <w:t>9</w:t>
      </w:r>
      <w:r w:rsidRPr="009F7C0A">
        <w:rPr>
          <w:rFonts w:hint="cs"/>
          <w:sz w:val="20"/>
          <w:szCs w:val="20"/>
          <w:rtl/>
        </w:rPr>
        <w:t xml:space="preserve">. טעם האיסור. </w:t>
      </w:r>
      <w:r w:rsidRPr="009F7C0A">
        <w:rPr>
          <w:rFonts w:hint="cs"/>
          <w:b/>
          <w:bCs/>
          <w:sz w:val="20"/>
          <w:szCs w:val="20"/>
          <w:rtl/>
        </w:rPr>
        <w:t>ט"ז</w:t>
      </w:r>
      <w:r w:rsidRPr="009F7C0A">
        <w:rPr>
          <w:rFonts w:hint="cs"/>
          <w:sz w:val="20"/>
          <w:szCs w:val="20"/>
          <w:rtl/>
        </w:rPr>
        <w:t xml:space="preserve">. זו דרך קירוב וחיבה. </w:t>
      </w:r>
      <w:r w:rsidRPr="009F7C0A">
        <w:rPr>
          <w:rFonts w:hint="cs"/>
          <w:b/>
          <w:bCs/>
          <w:sz w:val="20"/>
          <w:szCs w:val="20"/>
          <w:rtl/>
        </w:rPr>
        <w:t>נקה"כ</w:t>
      </w:r>
      <w:r w:rsidRPr="009F7C0A">
        <w:rPr>
          <w:rFonts w:hint="cs"/>
          <w:sz w:val="20"/>
          <w:szCs w:val="20"/>
          <w:rtl/>
        </w:rPr>
        <w:t>. חשש שמא יגעו זה בזה.</w:t>
      </w:r>
      <w:r w:rsidRPr="009F7C0A">
        <w:rPr>
          <w:sz w:val="20"/>
          <w:szCs w:val="20"/>
          <w:rtl/>
        </w:rPr>
        <w:br/>
      </w:r>
      <w:r w:rsidRPr="009F7C0A">
        <w:rPr>
          <w:rFonts w:hint="cs"/>
          <w:sz w:val="20"/>
          <w:szCs w:val="20"/>
          <w:rtl/>
        </w:rPr>
        <w:t xml:space="preserve">10. </w:t>
      </w:r>
      <w:r w:rsidRPr="009F7C0A">
        <w:rPr>
          <w:rFonts w:hint="cs"/>
          <w:b/>
          <w:bCs/>
          <w:sz w:val="20"/>
          <w:szCs w:val="20"/>
          <w:rtl/>
        </w:rPr>
        <w:t>טה"ב</w:t>
      </w:r>
      <w:r w:rsidRPr="009F7C0A">
        <w:rPr>
          <w:rFonts w:hint="cs"/>
          <w:sz w:val="20"/>
          <w:szCs w:val="20"/>
          <w:rtl/>
        </w:rPr>
        <w:t>. דין ספסל כבד כדין ספסל המחובר לכותל.</w:t>
      </w:r>
      <w:r w:rsidRPr="009F7C0A">
        <w:rPr>
          <w:sz w:val="20"/>
          <w:szCs w:val="20"/>
          <w:rtl/>
        </w:rPr>
        <w:br/>
      </w:r>
      <w:r w:rsidRPr="009F7C0A">
        <w:rPr>
          <w:rFonts w:hint="cs"/>
          <w:sz w:val="20"/>
          <w:szCs w:val="20"/>
          <w:rtl/>
        </w:rPr>
        <w:t xml:space="preserve">11. </w:t>
      </w:r>
      <w:r w:rsidRPr="009F7C0A">
        <w:rPr>
          <w:rFonts w:hint="cs"/>
          <w:b/>
          <w:bCs/>
          <w:sz w:val="20"/>
          <w:szCs w:val="20"/>
          <w:rtl/>
        </w:rPr>
        <w:t>דרכ"ט ובדה"ש</w:t>
      </w:r>
      <w:r w:rsidRPr="009F7C0A">
        <w:rPr>
          <w:rFonts w:hint="cs"/>
          <w:sz w:val="20"/>
          <w:szCs w:val="20"/>
          <w:rtl/>
        </w:rPr>
        <w:t>. דין ספה ומזרון, וכן מושב אחורי ברכב דינו כספסל מתנדנד.</w:t>
      </w:r>
      <w:r w:rsidRPr="009F7C0A">
        <w:rPr>
          <w:sz w:val="20"/>
          <w:szCs w:val="20"/>
          <w:rtl/>
        </w:rPr>
        <w:br/>
      </w:r>
      <w:r w:rsidRPr="009F7C0A">
        <w:rPr>
          <w:rFonts w:hint="cs"/>
          <w:sz w:val="20"/>
          <w:szCs w:val="20"/>
          <w:rtl/>
        </w:rPr>
        <w:t xml:space="preserve">12. </w:t>
      </w:r>
      <w:r w:rsidRPr="009F7C0A">
        <w:rPr>
          <w:rFonts w:hint="cs"/>
          <w:b/>
          <w:bCs/>
          <w:sz w:val="20"/>
          <w:szCs w:val="20"/>
          <w:rtl/>
        </w:rPr>
        <w:t>רמ"א</w:t>
      </w:r>
      <w:r w:rsidRPr="009F7C0A">
        <w:rPr>
          <w:rFonts w:hint="cs"/>
          <w:sz w:val="20"/>
          <w:szCs w:val="20"/>
          <w:rtl/>
        </w:rPr>
        <w:t>. אין ללכת עם אשתו נידה בעגלה או בספינה כשהולך לטיול, אך הליכה לצרכיו מותר.</w:t>
      </w:r>
      <w:r w:rsidRPr="009F7C0A">
        <w:rPr>
          <w:sz w:val="20"/>
          <w:szCs w:val="20"/>
          <w:rtl/>
        </w:rPr>
        <w:br/>
      </w:r>
      <w:r w:rsidRPr="009F7C0A">
        <w:rPr>
          <w:rFonts w:hint="cs"/>
          <w:sz w:val="20"/>
          <w:szCs w:val="20"/>
          <w:rtl/>
        </w:rPr>
        <w:t xml:space="preserve">13. טעם האיסור. </w:t>
      </w:r>
      <w:r w:rsidRPr="009F7C0A">
        <w:rPr>
          <w:rFonts w:hint="cs"/>
          <w:b/>
          <w:bCs/>
          <w:sz w:val="20"/>
          <w:szCs w:val="20"/>
          <w:rtl/>
        </w:rPr>
        <w:t>ערוה"ש</w:t>
      </w:r>
      <w:r w:rsidRPr="009F7C0A">
        <w:rPr>
          <w:rFonts w:hint="cs"/>
          <w:sz w:val="20"/>
          <w:szCs w:val="20"/>
          <w:rtl/>
        </w:rPr>
        <w:t xml:space="preserve">. הטיול אסור, וכן טיול רגלי. </w:t>
      </w:r>
      <w:r w:rsidRPr="009F7C0A">
        <w:rPr>
          <w:rFonts w:hint="cs"/>
          <w:b/>
          <w:bCs/>
          <w:sz w:val="20"/>
          <w:szCs w:val="20"/>
          <w:rtl/>
        </w:rPr>
        <w:t>אג"מ</w:t>
      </w:r>
      <w:r w:rsidRPr="009F7C0A">
        <w:rPr>
          <w:rFonts w:hint="cs"/>
          <w:sz w:val="20"/>
          <w:szCs w:val="20"/>
          <w:rtl/>
        </w:rPr>
        <w:t xml:space="preserve">. האיסור מצד נדנוד העגלה, אך במכונית אין נדנוד ולכן מותר לטייל במכונית. הכרעת הפוסקים. </w:t>
      </w:r>
      <w:r w:rsidRPr="009F7C0A">
        <w:rPr>
          <w:rFonts w:hint="cs"/>
          <w:b/>
          <w:bCs/>
          <w:sz w:val="20"/>
          <w:szCs w:val="20"/>
          <w:rtl/>
        </w:rPr>
        <w:t>דרכ"ט</w:t>
      </w:r>
      <w:r w:rsidRPr="009F7C0A">
        <w:rPr>
          <w:rFonts w:hint="cs"/>
          <w:sz w:val="20"/>
          <w:szCs w:val="20"/>
          <w:rtl/>
        </w:rPr>
        <w:t xml:space="preserve">. ראוי שלא לטייל ברכב פרטי. </w:t>
      </w:r>
      <w:r w:rsidRPr="009F7C0A">
        <w:rPr>
          <w:rFonts w:hint="cs"/>
          <w:b/>
          <w:bCs/>
          <w:sz w:val="20"/>
          <w:szCs w:val="20"/>
          <w:rtl/>
        </w:rPr>
        <w:t>אג"מ</w:t>
      </w:r>
      <w:r w:rsidRPr="009F7C0A">
        <w:rPr>
          <w:rFonts w:hint="cs"/>
          <w:sz w:val="20"/>
          <w:szCs w:val="20"/>
          <w:rtl/>
        </w:rPr>
        <w:t>. מותר.</w:t>
      </w:r>
      <w:r w:rsidRPr="009F7C0A">
        <w:rPr>
          <w:sz w:val="20"/>
          <w:szCs w:val="20"/>
          <w:rtl/>
        </w:rPr>
        <w:br/>
      </w:r>
      <w:r w:rsidRPr="009F7C0A">
        <w:rPr>
          <w:rFonts w:hint="cs"/>
          <w:sz w:val="20"/>
          <w:szCs w:val="20"/>
          <w:rtl/>
        </w:rPr>
        <w:lastRenderedPageBreak/>
        <w:t xml:space="preserve">14. האם לדעת הבית יוסף מותר לטייל? </w:t>
      </w:r>
      <w:r w:rsidRPr="009F7C0A">
        <w:rPr>
          <w:rFonts w:hint="cs"/>
          <w:b/>
          <w:bCs/>
          <w:sz w:val="20"/>
          <w:szCs w:val="20"/>
          <w:rtl/>
        </w:rPr>
        <w:t>רב</w:t>
      </w:r>
      <w:r w:rsidRPr="002848F4">
        <w:rPr>
          <w:rFonts w:hint="cs"/>
          <w:b/>
          <w:bCs/>
          <w:sz w:val="20"/>
          <w:szCs w:val="20"/>
          <w:rtl/>
        </w:rPr>
        <w:t xml:space="preserve"> פעלים</w:t>
      </w:r>
      <w:r>
        <w:rPr>
          <w:rFonts w:hint="cs"/>
          <w:sz w:val="20"/>
          <w:szCs w:val="20"/>
          <w:rtl/>
        </w:rPr>
        <w:t xml:space="preserve">. אסור. </w:t>
      </w:r>
      <w:r w:rsidRPr="002848F4">
        <w:rPr>
          <w:rFonts w:hint="cs"/>
          <w:b/>
          <w:bCs/>
          <w:sz w:val="20"/>
          <w:szCs w:val="20"/>
          <w:rtl/>
        </w:rPr>
        <w:t>טעם</w:t>
      </w:r>
      <w:r>
        <w:rPr>
          <w:rFonts w:hint="cs"/>
          <w:sz w:val="20"/>
          <w:szCs w:val="20"/>
          <w:rtl/>
        </w:rPr>
        <w:t xml:space="preserve">. לא מצאנו חולק על </w:t>
      </w:r>
      <w:r w:rsidRPr="002848F4">
        <w:rPr>
          <w:rFonts w:hint="cs"/>
          <w:b/>
          <w:bCs/>
          <w:sz w:val="20"/>
          <w:szCs w:val="20"/>
          <w:rtl/>
        </w:rPr>
        <w:t>ת"ה</w:t>
      </w:r>
      <w:r>
        <w:rPr>
          <w:rFonts w:hint="cs"/>
          <w:sz w:val="20"/>
          <w:szCs w:val="20"/>
          <w:rtl/>
        </w:rPr>
        <w:t xml:space="preserve">, ואע"פ שהקל בספסל, טיול חמור טפי. </w:t>
      </w:r>
      <w:r w:rsidRPr="002848F4">
        <w:rPr>
          <w:rFonts w:hint="cs"/>
          <w:b/>
          <w:bCs/>
          <w:sz w:val="20"/>
          <w:szCs w:val="20"/>
          <w:rtl/>
        </w:rPr>
        <w:t>טה"ב</w:t>
      </w:r>
      <w:r>
        <w:rPr>
          <w:rFonts w:hint="cs"/>
          <w:sz w:val="20"/>
          <w:szCs w:val="20"/>
          <w:rtl/>
        </w:rPr>
        <w:t xml:space="preserve">. מותר. </w:t>
      </w:r>
      <w:r w:rsidRPr="002848F4">
        <w:rPr>
          <w:rFonts w:hint="cs"/>
          <w:b/>
          <w:bCs/>
          <w:sz w:val="20"/>
          <w:szCs w:val="20"/>
          <w:rtl/>
        </w:rPr>
        <w:t>טעם</w:t>
      </w:r>
      <w:r>
        <w:rPr>
          <w:rFonts w:hint="cs"/>
          <w:sz w:val="20"/>
          <w:szCs w:val="20"/>
          <w:rtl/>
        </w:rPr>
        <w:t>. טיול קל מישיבה על ספסל, ולכה"פ אינו חמור ממנו.</w:t>
      </w:r>
      <w:r>
        <w:rPr>
          <w:sz w:val="20"/>
          <w:szCs w:val="20"/>
          <w:rtl/>
        </w:rPr>
        <w:br/>
      </w:r>
      <w:r>
        <w:rPr>
          <w:rFonts w:hint="cs"/>
          <w:sz w:val="20"/>
          <w:szCs w:val="20"/>
          <w:rtl/>
        </w:rPr>
        <w:t xml:space="preserve">15. </w:t>
      </w:r>
      <w:r w:rsidRPr="002848F4">
        <w:rPr>
          <w:rFonts w:hint="cs"/>
          <w:b/>
          <w:bCs/>
          <w:sz w:val="20"/>
          <w:szCs w:val="20"/>
          <w:rtl/>
        </w:rPr>
        <w:t>טהרת בת ישראל</w:t>
      </w:r>
      <w:r>
        <w:rPr>
          <w:rFonts w:hint="cs"/>
          <w:sz w:val="20"/>
          <w:szCs w:val="20"/>
          <w:rtl/>
        </w:rPr>
        <w:t>. מותר לנסוע יחד באוטובוס, ועדיף שהאשה תשב לצד החלון, וטוב להניח דבר חוצץ.</w:t>
      </w:r>
    </w:p>
    <w:p w:rsidR="00620060" w:rsidRDefault="00620060" w:rsidP="00620060">
      <w:pPr>
        <w:rPr>
          <w:b/>
          <w:bCs/>
          <w:sz w:val="20"/>
          <w:szCs w:val="20"/>
          <w:rtl/>
        </w:rPr>
      </w:pPr>
      <w:r>
        <w:rPr>
          <w:sz w:val="20"/>
          <w:szCs w:val="20"/>
          <w:rtl/>
        </w:rPr>
        <w:br/>
      </w:r>
      <w:r>
        <w:rPr>
          <w:rFonts w:hint="cs"/>
          <w:b/>
          <w:bCs/>
          <w:sz w:val="20"/>
          <w:szCs w:val="20"/>
          <w:rtl/>
        </w:rPr>
        <w:t>סעיף ו - שינה במיטה אחת</w:t>
      </w:r>
      <w:r>
        <w:rPr>
          <w:rFonts w:hint="cs"/>
          <w:b/>
          <w:bCs/>
          <w:sz w:val="20"/>
          <w:szCs w:val="20"/>
          <w:rtl/>
        </w:rPr>
        <w:br/>
        <w:t>מקור הדין</w:t>
      </w:r>
      <w:r>
        <w:rPr>
          <w:b/>
          <w:bCs/>
          <w:sz w:val="20"/>
          <w:szCs w:val="20"/>
          <w:rtl/>
        </w:rPr>
        <w:br/>
      </w:r>
      <w:r>
        <w:rPr>
          <w:rFonts w:hint="cs"/>
          <w:b/>
          <w:bCs/>
          <w:sz w:val="20"/>
          <w:szCs w:val="20"/>
          <w:rtl/>
        </w:rPr>
        <w:t xml:space="preserve">גמרא </w:t>
      </w:r>
      <w:r>
        <w:rPr>
          <w:rFonts w:hint="cs"/>
          <w:sz w:val="20"/>
          <w:szCs w:val="20"/>
          <w:rtl/>
        </w:rPr>
        <w:t>שבת (יג.) "</w:t>
      </w:r>
      <w:r w:rsidRPr="00EF742A">
        <w:rPr>
          <w:rFonts w:cs="Arial"/>
          <w:sz w:val="20"/>
          <w:szCs w:val="20"/>
          <w:rtl/>
        </w:rPr>
        <w:t>איבעיא להו: נדה, מהו שתישן עם בעלה היא בבגדה והוא בבגדו</w:t>
      </w:r>
      <w:r>
        <w:rPr>
          <w:rFonts w:cs="Arial" w:hint="cs"/>
          <w:sz w:val="20"/>
          <w:szCs w:val="20"/>
          <w:rtl/>
        </w:rPr>
        <w:t>...</w:t>
      </w:r>
      <w:r>
        <w:rPr>
          <w:rFonts w:cs="Arial"/>
          <w:sz w:val="20"/>
          <w:szCs w:val="20"/>
          <w:rtl/>
        </w:rPr>
        <w:br/>
      </w:r>
      <w:r w:rsidRPr="00EF742A">
        <w:rPr>
          <w:rFonts w:cs="Arial"/>
          <w:sz w:val="20"/>
          <w:szCs w:val="20"/>
          <w:rtl/>
        </w:rPr>
        <w:t>תא שמע: ואל ההרים לא אכל ועיניו לא נשא אל גלולי בית ישראל ואת אשת רעהו לא טמא ואל אשה נדה לא יקרב, מקיש אשה נדה לאשת רעהו. מה אשת רעהו - הוא בבגדו והיא בבגדה אסור, אף אשתו נדה - הוא בבגדו והיא בבגדה אסור. שמע מינה. ופליגא דרבי פדת, דאמר רבי פדת: לא אסרה תורה אלא קורבה של גלוי עריות בלבד, שנאמר איש איש אל כל שאר בשרו לא תקרבו לגלות ערוה</w:t>
      </w:r>
      <w:r>
        <w:rPr>
          <w:rFonts w:cs="Arial" w:hint="cs"/>
          <w:sz w:val="20"/>
          <w:szCs w:val="20"/>
          <w:rtl/>
        </w:rPr>
        <w:t>"</w:t>
      </w:r>
      <w:r w:rsidRPr="00EF742A">
        <w:rPr>
          <w:rFonts w:cs="Arial"/>
          <w:sz w:val="20"/>
          <w:szCs w:val="20"/>
          <w:rtl/>
        </w:rPr>
        <w:t>.</w:t>
      </w:r>
    </w:p>
    <w:p w:rsidR="00620060" w:rsidRDefault="00620060" w:rsidP="00620060">
      <w:pPr>
        <w:rPr>
          <w:b/>
          <w:bCs/>
          <w:sz w:val="20"/>
          <w:szCs w:val="20"/>
          <w:rtl/>
        </w:rPr>
      </w:pPr>
      <w:r>
        <w:rPr>
          <w:rFonts w:hint="cs"/>
          <w:b/>
          <w:bCs/>
          <w:sz w:val="20"/>
          <w:szCs w:val="20"/>
          <w:rtl/>
        </w:rPr>
        <w:t>שיטות הראשונים</w:t>
      </w:r>
      <w:r w:rsidRPr="00B30BFF">
        <w:rPr>
          <w:rStyle w:val="a5"/>
          <w:sz w:val="20"/>
          <w:szCs w:val="20"/>
          <w:rtl/>
        </w:rPr>
        <w:footnoteReference w:id="467"/>
      </w:r>
      <w:r>
        <w:rPr>
          <w:b/>
          <w:bCs/>
          <w:sz w:val="20"/>
          <w:szCs w:val="20"/>
          <w:rtl/>
        </w:rPr>
        <w:br/>
      </w:r>
      <w:r>
        <w:rPr>
          <w:rFonts w:hint="cs"/>
          <w:sz w:val="20"/>
          <w:szCs w:val="20"/>
          <w:rtl/>
        </w:rPr>
        <w:t xml:space="preserve">א. רוב הראשונים </w:t>
      </w:r>
      <w:r w:rsidRPr="008F42BD">
        <w:rPr>
          <w:rFonts w:hint="cs"/>
          <w:sz w:val="18"/>
          <w:szCs w:val="18"/>
          <w:rtl/>
        </w:rPr>
        <w:t xml:space="preserve">(ע"פ </w:t>
      </w:r>
      <w:r w:rsidRPr="00B30BFF">
        <w:rPr>
          <w:rFonts w:hint="cs"/>
          <w:b/>
          <w:bCs/>
          <w:sz w:val="18"/>
          <w:szCs w:val="18"/>
          <w:rtl/>
        </w:rPr>
        <w:t>הב</w:t>
      </w:r>
      <w:r>
        <w:rPr>
          <w:rFonts w:hint="cs"/>
          <w:b/>
          <w:bCs/>
          <w:sz w:val="18"/>
          <w:szCs w:val="18"/>
          <w:rtl/>
        </w:rPr>
        <w:t>ית יוסף</w:t>
      </w:r>
      <w:r w:rsidRPr="008F42BD">
        <w:rPr>
          <w:rFonts w:hint="cs"/>
          <w:sz w:val="18"/>
          <w:szCs w:val="18"/>
          <w:rtl/>
        </w:rPr>
        <w:t xml:space="preserve">) </w:t>
      </w:r>
      <w:r>
        <w:rPr>
          <w:sz w:val="20"/>
          <w:szCs w:val="20"/>
          <w:rtl/>
        </w:rPr>
        <w:t>–</w:t>
      </w:r>
      <w:r>
        <w:rPr>
          <w:rFonts w:hint="cs"/>
          <w:sz w:val="20"/>
          <w:szCs w:val="20"/>
          <w:rtl/>
        </w:rPr>
        <w:t xml:space="preserve"> הלכה כחכמים שאין לישון כלל על מיטה אחת</w:t>
      </w:r>
      <w:r>
        <w:rPr>
          <w:rStyle w:val="a5"/>
          <w:sz w:val="20"/>
          <w:szCs w:val="20"/>
          <w:rtl/>
        </w:rPr>
        <w:footnoteReference w:id="468"/>
      </w:r>
      <w:r>
        <w:rPr>
          <w:rFonts w:hint="cs"/>
          <w:sz w:val="20"/>
          <w:szCs w:val="20"/>
          <w:rtl/>
        </w:rPr>
        <w:t xml:space="preserve">, וכ"פ </w:t>
      </w:r>
      <w:r w:rsidRPr="00FC6D35">
        <w:rPr>
          <w:rFonts w:hint="cs"/>
          <w:b/>
          <w:bCs/>
          <w:sz w:val="20"/>
          <w:szCs w:val="20"/>
          <w:rtl/>
        </w:rPr>
        <w:t>המחבר</w:t>
      </w:r>
      <w:r>
        <w:rPr>
          <w:rFonts w:hint="cs"/>
          <w:sz w:val="20"/>
          <w:szCs w:val="20"/>
          <w:rtl/>
        </w:rPr>
        <w:t>.</w:t>
      </w:r>
      <w:r>
        <w:rPr>
          <w:sz w:val="20"/>
          <w:szCs w:val="20"/>
          <w:rtl/>
        </w:rPr>
        <w:br/>
      </w:r>
      <w:r>
        <w:rPr>
          <w:rFonts w:hint="cs"/>
          <w:sz w:val="20"/>
          <w:szCs w:val="20"/>
          <w:rtl/>
        </w:rPr>
        <w:t xml:space="preserve">ב. </w:t>
      </w:r>
      <w:r w:rsidRPr="00B30BFF">
        <w:rPr>
          <w:rFonts w:hint="cs"/>
          <w:b/>
          <w:bCs/>
          <w:sz w:val="20"/>
          <w:szCs w:val="20"/>
          <w:rtl/>
        </w:rPr>
        <w:t>רבינו ירוחם</w:t>
      </w:r>
      <w:r>
        <w:rPr>
          <w:rFonts w:hint="cs"/>
          <w:sz w:val="20"/>
          <w:szCs w:val="20"/>
          <w:rtl/>
        </w:rPr>
        <w:t xml:space="preserve"> בשם </w:t>
      </w:r>
      <w:r w:rsidRPr="00B30BFF">
        <w:rPr>
          <w:rFonts w:hint="cs"/>
          <w:b/>
          <w:bCs/>
          <w:sz w:val="20"/>
          <w:szCs w:val="20"/>
          <w:rtl/>
        </w:rPr>
        <w:t>הרשב"ץ</w:t>
      </w:r>
      <w:r>
        <w:rPr>
          <w:rFonts w:hint="cs"/>
          <w:sz w:val="20"/>
          <w:szCs w:val="20"/>
          <w:rtl/>
        </w:rPr>
        <w:t xml:space="preserve"> </w:t>
      </w:r>
      <w:r>
        <w:rPr>
          <w:sz w:val="20"/>
          <w:szCs w:val="20"/>
          <w:rtl/>
        </w:rPr>
        <w:t>–</w:t>
      </w:r>
      <w:r>
        <w:rPr>
          <w:rFonts w:hint="cs"/>
          <w:sz w:val="20"/>
          <w:szCs w:val="20"/>
          <w:rtl/>
        </w:rPr>
        <w:t xml:space="preserve"> אע"פ שהלכה כחכמים, מכל מקום מותר לישון על מיטה רחבה באופן שאינם נוגעים זה בזה, ובלבד שכל אחד ישן על מצעים שונים וכן בתנאי שהם ישנים בבגדיהם.</w:t>
      </w:r>
    </w:p>
    <w:p w:rsidR="00620060" w:rsidRPr="00FC6D35" w:rsidRDefault="00620060" w:rsidP="00620060">
      <w:pPr>
        <w:rPr>
          <w:sz w:val="20"/>
          <w:szCs w:val="20"/>
          <w:rtl/>
        </w:rPr>
      </w:pPr>
      <w:r>
        <w:rPr>
          <w:rFonts w:hint="cs"/>
          <w:b/>
          <w:bCs/>
          <w:sz w:val="20"/>
          <w:szCs w:val="20"/>
          <w:rtl/>
        </w:rPr>
        <w:t>מיטות הנוגעות זו בזו</w:t>
      </w:r>
      <w:r>
        <w:rPr>
          <w:b/>
          <w:bCs/>
          <w:sz w:val="20"/>
          <w:szCs w:val="20"/>
          <w:rtl/>
        </w:rPr>
        <w:br/>
      </w:r>
      <w:r>
        <w:rPr>
          <w:rFonts w:hint="cs"/>
          <w:b/>
          <w:bCs/>
          <w:sz w:val="20"/>
          <w:szCs w:val="20"/>
          <w:rtl/>
        </w:rPr>
        <w:t xml:space="preserve">מרדכי </w:t>
      </w:r>
      <w:r>
        <w:rPr>
          <w:sz w:val="20"/>
          <w:szCs w:val="20"/>
          <w:rtl/>
        </w:rPr>
        <w:t>–</w:t>
      </w:r>
      <w:r>
        <w:rPr>
          <w:rFonts w:hint="cs"/>
          <w:sz w:val="20"/>
          <w:szCs w:val="20"/>
          <w:rtl/>
        </w:rPr>
        <w:t xml:space="preserve"> אין לישון במיטה שרגליה נוגעות ברגלי מיטת אשתו נידה, אך אם הניחו הפסק מותר</w:t>
      </w:r>
      <w:r>
        <w:rPr>
          <w:rStyle w:val="a5"/>
          <w:sz w:val="20"/>
          <w:szCs w:val="20"/>
          <w:rtl/>
        </w:rPr>
        <w:footnoteReference w:id="469"/>
      </w:r>
      <w:r>
        <w:rPr>
          <w:rFonts w:hint="cs"/>
          <w:sz w:val="20"/>
          <w:szCs w:val="20"/>
          <w:rtl/>
        </w:rPr>
        <w:t xml:space="preserve">, וכ"פ </w:t>
      </w:r>
      <w:r w:rsidRPr="00FC6D35">
        <w:rPr>
          <w:rFonts w:hint="cs"/>
          <w:b/>
          <w:bCs/>
          <w:sz w:val="20"/>
          <w:szCs w:val="20"/>
          <w:rtl/>
        </w:rPr>
        <w:t>הרמ"א</w:t>
      </w:r>
      <w:r>
        <w:rPr>
          <w:rFonts w:hint="cs"/>
          <w:sz w:val="20"/>
          <w:szCs w:val="20"/>
          <w:rtl/>
        </w:rPr>
        <w:t>.</w:t>
      </w:r>
    </w:p>
    <w:p w:rsidR="00620060" w:rsidRDefault="00620060" w:rsidP="00620060">
      <w:pPr>
        <w:rPr>
          <w:b/>
          <w:bCs/>
          <w:sz w:val="18"/>
          <w:szCs w:val="18"/>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FC6D35">
        <w:rPr>
          <w:rFonts w:cs="Arial"/>
          <w:sz w:val="20"/>
          <w:szCs w:val="20"/>
          <w:rtl/>
        </w:rPr>
        <w:t>לא יישן</w:t>
      </w:r>
      <w:r>
        <w:rPr>
          <w:rStyle w:val="a5"/>
          <w:rFonts w:cs="Arial"/>
          <w:sz w:val="20"/>
          <w:szCs w:val="20"/>
          <w:rtl/>
        </w:rPr>
        <w:footnoteReference w:id="470"/>
      </w:r>
      <w:r w:rsidRPr="00FC6D35">
        <w:rPr>
          <w:rFonts w:cs="Arial"/>
          <w:sz w:val="20"/>
          <w:szCs w:val="20"/>
          <w:rtl/>
        </w:rPr>
        <w:t xml:space="preserve"> עמה במטה, אפילו כל אחד בבגדו ואין נוגעין זה בזה. </w:t>
      </w:r>
      <w:r w:rsidRPr="00FC6D35">
        <w:rPr>
          <w:rFonts w:cs="Arial"/>
          <w:sz w:val="18"/>
          <w:szCs w:val="18"/>
          <w:rtl/>
        </w:rPr>
        <w:t>הגה: ואפילו יש לכל אחד מצע בפני עצמו, ואפילו אם שוכבים בשתי מטות והמטות נוגעות זו בזו, אסור</w:t>
      </w:r>
      <w:r w:rsidRPr="00FC6D35">
        <w:rPr>
          <w:rFonts w:cs="Arial" w:hint="cs"/>
          <w:sz w:val="18"/>
          <w:szCs w:val="18"/>
          <w:rtl/>
        </w:rPr>
        <w:t>".</w:t>
      </w:r>
    </w:p>
    <w:p w:rsidR="00620060" w:rsidRPr="00784267" w:rsidRDefault="00620060" w:rsidP="00620060">
      <w:pPr>
        <w:rPr>
          <w:sz w:val="20"/>
          <w:szCs w:val="20"/>
          <w:rtl/>
        </w:rPr>
      </w:pPr>
      <w:r>
        <w:rPr>
          <w:rFonts w:hint="cs"/>
          <w:sz w:val="20"/>
          <w:szCs w:val="20"/>
          <w:u w:val="single"/>
          <w:rtl/>
        </w:rPr>
        <w:t>באיזה אופן אסור שהמיטות יגעו זו בזו (פת"ש)</w:t>
      </w:r>
      <w:r>
        <w:rPr>
          <w:rFonts w:hint="cs"/>
          <w:sz w:val="20"/>
          <w:szCs w:val="20"/>
          <w:u w:val="single"/>
          <w:rtl/>
        </w:rPr>
        <w:br/>
      </w:r>
      <w:r w:rsidRPr="00E63713">
        <w:rPr>
          <w:rFonts w:hint="cs"/>
          <w:b/>
          <w:bCs/>
          <w:sz w:val="20"/>
          <w:szCs w:val="20"/>
          <w:rtl/>
        </w:rPr>
        <w:t>מקור חיים</w:t>
      </w:r>
      <w:r>
        <w:rPr>
          <w:rFonts w:hint="cs"/>
          <w:sz w:val="20"/>
          <w:szCs w:val="20"/>
          <w:rtl/>
        </w:rPr>
        <w:t xml:space="preserve"> </w:t>
      </w:r>
      <w:r>
        <w:rPr>
          <w:sz w:val="20"/>
          <w:szCs w:val="20"/>
          <w:rtl/>
        </w:rPr>
        <w:t>–</w:t>
      </w:r>
      <w:r>
        <w:rPr>
          <w:rFonts w:hint="cs"/>
          <w:sz w:val="20"/>
          <w:szCs w:val="20"/>
          <w:rtl/>
        </w:rPr>
        <w:t xml:space="preserve"> אסור לישון דווקא במיטה הנוגעת ברגלי המיטה השנייה, משום שאז נמצא הבעל שוכב כשפניו סמוכות לפני אשתו ועלולים להגיע לעבירה, אבל מותר לישון במיטות הנוגעות זו בזו בראשיהן או כשרגלי המיטה נוגעות בראש המיטה השנייה, וכדומה.</w:t>
      </w:r>
      <w:r>
        <w:rPr>
          <w:rFonts w:hint="cs"/>
          <w:sz w:val="20"/>
          <w:szCs w:val="20"/>
          <w:rtl/>
        </w:rPr>
        <w:br/>
        <w:t>ברם, מנהג העולם להחמיר בכל אופן שהמיטות נוגעות זו בזו.</w:t>
      </w:r>
      <w:r>
        <w:rPr>
          <w:rFonts w:hint="cs"/>
          <w:sz w:val="20"/>
          <w:szCs w:val="20"/>
          <w:rtl/>
        </w:rPr>
        <w:br/>
      </w:r>
      <w:r w:rsidRPr="00135B42">
        <w:rPr>
          <w:rFonts w:hint="cs"/>
          <w:b/>
          <w:bCs/>
          <w:sz w:val="20"/>
          <w:szCs w:val="20"/>
          <w:rtl/>
        </w:rPr>
        <w:t>ששבה"ל</w:t>
      </w:r>
      <w:r>
        <w:rPr>
          <w:rFonts w:hint="cs"/>
          <w:sz w:val="20"/>
          <w:szCs w:val="20"/>
          <w:rtl/>
        </w:rPr>
        <w:t xml:space="preserve"> </w:t>
      </w:r>
      <w:r>
        <w:rPr>
          <w:sz w:val="20"/>
          <w:szCs w:val="20"/>
          <w:rtl/>
        </w:rPr>
        <w:t>–</w:t>
      </w:r>
      <w:r>
        <w:rPr>
          <w:rFonts w:hint="cs"/>
          <w:sz w:val="20"/>
          <w:szCs w:val="20"/>
          <w:rtl/>
        </w:rPr>
        <w:t xml:space="preserve"> יש להחמיר במיטות המונחות כמין "ר" וצריך בהן הרחקה, והפת"ש הקל רק כאשר ראש המיטה כנגד ראש המיטה השנייה</w:t>
      </w:r>
      <w:r>
        <w:rPr>
          <w:rStyle w:val="a5"/>
          <w:sz w:val="20"/>
          <w:szCs w:val="20"/>
          <w:rtl/>
        </w:rPr>
        <w:footnoteReference w:id="471"/>
      </w:r>
      <w:r>
        <w:rPr>
          <w:rFonts w:hint="cs"/>
          <w:sz w:val="20"/>
          <w:szCs w:val="20"/>
          <w:rtl/>
        </w:rPr>
        <w:t>.</w:t>
      </w:r>
      <w:r>
        <w:rPr>
          <w:sz w:val="20"/>
          <w:szCs w:val="20"/>
          <w:rtl/>
        </w:rPr>
        <w:br/>
      </w:r>
      <w:r>
        <w:rPr>
          <w:rFonts w:hint="cs"/>
          <w:sz w:val="20"/>
          <w:szCs w:val="20"/>
          <w:rtl/>
        </w:rPr>
        <w:br/>
      </w:r>
      <w:r>
        <w:rPr>
          <w:rFonts w:hint="cs"/>
          <w:sz w:val="20"/>
          <w:szCs w:val="20"/>
          <w:u w:val="single"/>
          <w:rtl/>
        </w:rPr>
        <w:t>כמה יש להרחיק את המיטות?</w:t>
      </w:r>
      <w:r>
        <w:rPr>
          <w:rFonts w:hint="cs"/>
          <w:sz w:val="20"/>
          <w:szCs w:val="20"/>
          <w:u w:val="single"/>
          <w:rtl/>
        </w:rPr>
        <w:br/>
      </w:r>
      <w:r>
        <w:rPr>
          <w:rFonts w:hint="cs"/>
          <w:sz w:val="20"/>
          <w:szCs w:val="20"/>
          <w:rtl/>
        </w:rPr>
        <w:t xml:space="preserve">א. </w:t>
      </w:r>
      <w:r w:rsidRPr="00784267">
        <w:rPr>
          <w:rFonts w:hint="cs"/>
          <w:b/>
          <w:bCs/>
          <w:sz w:val="20"/>
          <w:szCs w:val="20"/>
          <w:rtl/>
        </w:rPr>
        <w:t>מקור חיים</w:t>
      </w:r>
      <w:r>
        <w:rPr>
          <w:rFonts w:hint="cs"/>
          <w:sz w:val="20"/>
          <w:szCs w:val="20"/>
          <w:rtl/>
        </w:rPr>
        <w:t xml:space="preserve"> </w:t>
      </w:r>
      <w:r w:rsidRPr="00784267">
        <w:rPr>
          <w:rFonts w:hint="cs"/>
          <w:sz w:val="18"/>
          <w:szCs w:val="18"/>
          <w:rtl/>
        </w:rPr>
        <w:t xml:space="preserve">(הו"ד </w:t>
      </w:r>
      <w:r w:rsidRPr="00605645">
        <w:rPr>
          <w:rFonts w:hint="cs"/>
          <w:b/>
          <w:bCs/>
          <w:sz w:val="18"/>
          <w:szCs w:val="18"/>
          <w:rtl/>
        </w:rPr>
        <w:t>בפת"ש</w:t>
      </w:r>
      <w:r w:rsidRPr="00784267">
        <w:rPr>
          <w:rFonts w:hint="cs"/>
          <w:sz w:val="18"/>
          <w:szCs w:val="18"/>
          <w:rtl/>
        </w:rPr>
        <w:t xml:space="preserve">) </w:t>
      </w:r>
      <w:r>
        <w:rPr>
          <w:sz w:val="20"/>
          <w:szCs w:val="20"/>
          <w:rtl/>
        </w:rPr>
        <w:t>–</w:t>
      </w:r>
      <w:r>
        <w:rPr>
          <w:rFonts w:hint="cs"/>
          <w:sz w:val="20"/>
          <w:szCs w:val="20"/>
          <w:rtl/>
        </w:rPr>
        <w:t xml:space="preserve"> הפסק כלשהו, וכ"פ </w:t>
      </w:r>
      <w:r w:rsidRPr="00605645">
        <w:rPr>
          <w:rFonts w:hint="cs"/>
          <w:b/>
          <w:bCs/>
          <w:sz w:val="20"/>
          <w:szCs w:val="20"/>
          <w:rtl/>
        </w:rPr>
        <w:t>טה"ב</w:t>
      </w:r>
      <w:r>
        <w:rPr>
          <w:rFonts w:hint="cs"/>
          <w:sz w:val="20"/>
          <w:szCs w:val="20"/>
          <w:rtl/>
        </w:rPr>
        <w:t xml:space="preserve"> </w:t>
      </w:r>
      <w:r>
        <w:rPr>
          <w:rFonts w:hint="cs"/>
          <w:sz w:val="18"/>
          <w:szCs w:val="18"/>
          <w:rtl/>
        </w:rPr>
        <w:t>(עמ' קנט)</w:t>
      </w:r>
      <w:r>
        <w:rPr>
          <w:rFonts w:hint="cs"/>
          <w:sz w:val="20"/>
          <w:szCs w:val="20"/>
          <w:rtl/>
        </w:rPr>
        <w:t>.</w:t>
      </w:r>
      <w:r>
        <w:rPr>
          <w:sz w:val="20"/>
          <w:szCs w:val="20"/>
          <w:rtl/>
        </w:rPr>
        <w:br/>
      </w:r>
      <w:r w:rsidRPr="00605645">
        <w:rPr>
          <w:rFonts w:hint="cs"/>
          <w:b/>
          <w:bCs/>
          <w:sz w:val="20"/>
          <w:szCs w:val="20"/>
          <w:rtl/>
        </w:rPr>
        <w:t>טעם</w:t>
      </w:r>
      <w:r>
        <w:rPr>
          <w:rFonts w:hint="cs"/>
          <w:sz w:val="20"/>
          <w:szCs w:val="20"/>
          <w:rtl/>
        </w:rPr>
        <w:t xml:space="preserve"> </w:t>
      </w:r>
      <w:r w:rsidRPr="00605645">
        <w:rPr>
          <w:rFonts w:hint="cs"/>
          <w:sz w:val="18"/>
          <w:szCs w:val="18"/>
          <w:rtl/>
        </w:rPr>
        <w:t>(</w:t>
      </w:r>
      <w:r w:rsidRPr="00605645">
        <w:rPr>
          <w:rFonts w:hint="cs"/>
          <w:b/>
          <w:bCs/>
          <w:sz w:val="18"/>
          <w:szCs w:val="18"/>
          <w:rtl/>
        </w:rPr>
        <w:t>טה"ב</w:t>
      </w:r>
      <w:r w:rsidRPr="00605645">
        <w:rPr>
          <w:rFonts w:hint="cs"/>
          <w:sz w:val="18"/>
          <w:szCs w:val="18"/>
          <w:rtl/>
        </w:rPr>
        <w:t xml:space="preserve">, שם) </w:t>
      </w:r>
      <w:r>
        <w:rPr>
          <w:sz w:val="20"/>
          <w:szCs w:val="20"/>
          <w:rtl/>
        </w:rPr>
        <w:t>–</w:t>
      </w:r>
      <w:r>
        <w:rPr>
          <w:rFonts w:hint="cs"/>
          <w:sz w:val="20"/>
          <w:szCs w:val="20"/>
          <w:rtl/>
        </w:rPr>
        <w:t xml:space="preserve"> מעיקר הדין אסור לישון רק במיטה אחת ובמצע אחד, משום שהם מתקרבים ומתחממים </w:t>
      </w:r>
      <w:r>
        <w:rPr>
          <w:rFonts w:hint="cs"/>
          <w:sz w:val="20"/>
          <w:szCs w:val="20"/>
          <w:rtl/>
        </w:rPr>
        <w:lastRenderedPageBreak/>
        <w:t>ונהנים זה מזה, הא לאו הכי מותר, ולכן יש להקל בהפרדה כל שהיא</w:t>
      </w:r>
      <w:r>
        <w:rPr>
          <w:rStyle w:val="a5"/>
          <w:sz w:val="20"/>
          <w:szCs w:val="20"/>
          <w:rtl/>
        </w:rPr>
        <w:footnoteReference w:id="472"/>
      </w:r>
      <w:r>
        <w:rPr>
          <w:rFonts w:hint="cs"/>
          <w:sz w:val="20"/>
          <w:szCs w:val="20"/>
          <w:rtl/>
        </w:rPr>
        <w:t>.</w:t>
      </w:r>
      <w:r>
        <w:rPr>
          <w:rFonts w:hint="cs"/>
          <w:sz w:val="20"/>
          <w:szCs w:val="20"/>
          <w:rtl/>
        </w:rPr>
        <w:br/>
      </w:r>
      <w:r>
        <w:rPr>
          <w:sz w:val="20"/>
          <w:szCs w:val="20"/>
          <w:rtl/>
        </w:rPr>
        <w:br/>
      </w:r>
      <w:r>
        <w:rPr>
          <w:rFonts w:hint="cs"/>
          <w:sz w:val="20"/>
          <w:szCs w:val="20"/>
          <w:rtl/>
        </w:rPr>
        <w:t xml:space="preserve">ברם, </w:t>
      </w:r>
      <w:r w:rsidRPr="009E7602">
        <w:rPr>
          <w:rFonts w:hint="cs"/>
          <w:b/>
          <w:bCs/>
          <w:sz w:val="20"/>
          <w:szCs w:val="20"/>
          <w:rtl/>
        </w:rPr>
        <w:t>ששבה"ל</w:t>
      </w:r>
      <w:r>
        <w:rPr>
          <w:rFonts w:hint="cs"/>
          <w:sz w:val="20"/>
          <w:szCs w:val="20"/>
          <w:rtl/>
        </w:rPr>
        <w:t xml:space="preserve"> כותב שהניסיון מראה שהרחק זה אינן מועיל ועלולים לבוא לידי נגיעה זה בזה, ולכן כתב כמה שיעורים שונים להרחק - </w:t>
      </w:r>
      <w:r>
        <w:rPr>
          <w:sz w:val="20"/>
          <w:szCs w:val="20"/>
          <w:rtl/>
        </w:rPr>
        <w:br/>
      </w:r>
      <w:r>
        <w:rPr>
          <w:rFonts w:hint="cs"/>
          <w:sz w:val="20"/>
          <w:szCs w:val="20"/>
          <w:rtl/>
        </w:rPr>
        <w:t xml:space="preserve">א. בשם האר"י </w:t>
      </w:r>
      <w:r>
        <w:rPr>
          <w:sz w:val="20"/>
          <w:szCs w:val="20"/>
          <w:rtl/>
        </w:rPr>
        <w:t>–</w:t>
      </w:r>
      <w:r>
        <w:rPr>
          <w:rFonts w:hint="cs"/>
          <w:sz w:val="20"/>
          <w:szCs w:val="20"/>
          <w:rtl/>
        </w:rPr>
        <w:t xml:space="preserve"> מרחק שבו אין הכרים והכסתות נוגעים זה בזה.</w:t>
      </w:r>
      <w:r>
        <w:rPr>
          <w:sz w:val="20"/>
          <w:szCs w:val="20"/>
          <w:rtl/>
        </w:rPr>
        <w:br/>
      </w:r>
      <w:r>
        <w:rPr>
          <w:rFonts w:hint="cs"/>
          <w:sz w:val="20"/>
          <w:szCs w:val="20"/>
          <w:rtl/>
        </w:rPr>
        <w:t>ב. מרחק כדי מעבר אדם בין המיטות.</w:t>
      </w:r>
      <w:r>
        <w:rPr>
          <w:sz w:val="20"/>
          <w:szCs w:val="20"/>
          <w:rtl/>
        </w:rPr>
        <w:br/>
      </w:r>
      <w:r>
        <w:rPr>
          <w:rFonts w:hint="cs"/>
          <w:sz w:val="20"/>
          <w:szCs w:val="20"/>
          <w:rtl/>
        </w:rPr>
        <w:t>ג. מרחק שלא יוכלו לגעת זה בזה ע"י הושטת יד.</w:t>
      </w:r>
      <w:r>
        <w:rPr>
          <w:sz w:val="20"/>
          <w:szCs w:val="20"/>
          <w:rtl/>
        </w:rPr>
        <w:br/>
      </w:r>
      <w:r>
        <w:rPr>
          <w:rFonts w:hint="cs"/>
          <w:sz w:val="20"/>
          <w:szCs w:val="20"/>
          <w:rtl/>
        </w:rPr>
        <w:t>ד. מרחק אמה.</w:t>
      </w:r>
    </w:p>
    <w:p w:rsidR="00620060" w:rsidRDefault="00620060" w:rsidP="00620060">
      <w:pPr>
        <w:rPr>
          <w:sz w:val="20"/>
          <w:szCs w:val="20"/>
          <w:rtl/>
        </w:rPr>
      </w:pPr>
      <w:r>
        <w:rPr>
          <w:rFonts w:hint="cs"/>
          <w:sz w:val="20"/>
          <w:szCs w:val="20"/>
          <w:u w:val="single"/>
          <w:rtl/>
        </w:rPr>
        <w:t xml:space="preserve">שינה תחת כילה אחת </w:t>
      </w:r>
      <w:r>
        <w:rPr>
          <w:sz w:val="20"/>
          <w:szCs w:val="20"/>
          <w:u w:val="single"/>
          <w:rtl/>
        </w:rPr>
        <w:br/>
      </w:r>
      <w:r>
        <w:rPr>
          <w:rFonts w:hint="cs"/>
          <w:sz w:val="20"/>
          <w:szCs w:val="20"/>
          <w:rtl/>
        </w:rPr>
        <w:t xml:space="preserve">א. </w:t>
      </w:r>
      <w:r w:rsidRPr="00973AD2">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במיטה של עץ או של בנין מותר לישון יחד באותה מיטה, וכן כתב </w:t>
      </w:r>
      <w:r w:rsidRPr="00973AD2">
        <w:rPr>
          <w:rFonts w:hint="cs"/>
          <w:b/>
          <w:bCs/>
          <w:sz w:val="20"/>
          <w:szCs w:val="20"/>
          <w:rtl/>
        </w:rPr>
        <w:t>מהר"ם אלשקר</w:t>
      </w:r>
      <w:r>
        <w:rPr>
          <w:rFonts w:hint="cs"/>
          <w:sz w:val="20"/>
          <w:szCs w:val="20"/>
          <w:rtl/>
        </w:rPr>
        <w:t>.</w:t>
      </w:r>
      <w:r>
        <w:rPr>
          <w:sz w:val="20"/>
          <w:szCs w:val="20"/>
          <w:rtl/>
        </w:rPr>
        <w:br/>
      </w:r>
      <w:r w:rsidRPr="00973AD2">
        <w:rPr>
          <w:rFonts w:hint="cs"/>
          <w:b/>
          <w:bCs/>
          <w:sz w:val="20"/>
          <w:szCs w:val="20"/>
          <w:rtl/>
        </w:rPr>
        <w:t>ששבה"ל</w:t>
      </w:r>
      <w:r>
        <w:rPr>
          <w:rFonts w:hint="cs"/>
          <w:sz w:val="20"/>
          <w:szCs w:val="20"/>
          <w:rtl/>
        </w:rPr>
        <w:t xml:space="preserve"> </w:t>
      </w:r>
      <w:r>
        <w:rPr>
          <w:sz w:val="20"/>
          <w:szCs w:val="20"/>
          <w:rtl/>
        </w:rPr>
        <w:t>–</w:t>
      </w:r>
      <w:r>
        <w:rPr>
          <w:rFonts w:hint="cs"/>
          <w:sz w:val="20"/>
          <w:szCs w:val="20"/>
          <w:rtl/>
        </w:rPr>
        <w:t xml:space="preserve"> בתשובת מהר"ם אלשקר מיירי בשינה במיטות נפרדות, אלא שמעליהן יש כילה אחת, ובכה"ג התיר משום שכילה אינה דרך חיבה, אך ודאי אין כוונתו להתיר שינה במיטה אחת, ומאי שנא עץ משאר מיטות? ולפי"ז, כוונת הש"ך אף היא אינה למיטה ממש, אלא לכילה, כאמור</w:t>
      </w:r>
      <w:r>
        <w:rPr>
          <w:rStyle w:val="a5"/>
          <w:sz w:val="20"/>
          <w:szCs w:val="20"/>
          <w:rtl/>
        </w:rPr>
        <w:footnoteReference w:id="473"/>
      </w:r>
      <w:r>
        <w:rPr>
          <w:rFonts w:hint="cs"/>
          <w:sz w:val="20"/>
          <w:szCs w:val="20"/>
          <w:rtl/>
        </w:rPr>
        <w:t>.</w:t>
      </w:r>
      <w:r>
        <w:rPr>
          <w:sz w:val="20"/>
          <w:szCs w:val="20"/>
          <w:rtl/>
        </w:rPr>
        <w:br/>
      </w:r>
      <w:r>
        <w:rPr>
          <w:rFonts w:hint="cs"/>
          <w:sz w:val="20"/>
          <w:szCs w:val="20"/>
          <w:rtl/>
        </w:rPr>
        <w:t xml:space="preserve">ב. </w:t>
      </w:r>
      <w:r w:rsidRPr="007B1889">
        <w:rPr>
          <w:rFonts w:hint="cs"/>
          <w:b/>
          <w:bCs/>
          <w:sz w:val="20"/>
          <w:szCs w:val="20"/>
          <w:rtl/>
        </w:rPr>
        <w:t>עיקרי הדינים</w:t>
      </w:r>
      <w:r>
        <w:rPr>
          <w:rFonts w:hint="cs"/>
          <w:sz w:val="20"/>
          <w:szCs w:val="20"/>
          <w:rtl/>
        </w:rPr>
        <w:t xml:space="preserve"> </w:t>
      </w:r>
      <w:r w:rsidRPr="007B1889">
        <w:rPr>
          <w:rFonts w:hint="cs"/>
          <w:sz w:val="18"/>
          <w:szCs w:val="18"/>
          <w:rtl/>
        </w:rPr>
        <w:t xml:space="preserve">(הו"ד </w:t>
      </w:r>
      <w:r w:rsidRPr="007B1889">
        <w:rPr>
          <w:rFonts w:hint="cs"/>
          <w:b/>
          <w:bCs/>
          <w:sz w:val="18"/>
          <w:szCs w:val="18"/>
          <w:rtl/>
        </w:rPr>
        <w:t>בפת"ש</w:t>
      </w:r>
      <w:r w:rsidRPr="007B1889">
        <w:rPr>
          <w:rFonts w:hint="cs"/>
          <w:sz w:val="18"/>
          <w:szCs w:val="18"/>
          <w:rtl/>
        </w:rPr>
        <w:t xml:space="preserve">) </w:t>
      </w:r>
      <w:r>
        <w:rPr>
          <w:sz w:val="20"/>
          <w:szCs w:val="20"/>
          <w:rtl/>
        </w:rPr>
        <w:t>–</w:t>
      </w:r>
      <w:r>
        <w:rPr>
          <w:rFonts w:hint="cs"/>
          <w:sz w:val="20"/>
          <w:szCs w:val="20"/>
          <w:rtl/>
        </w:rPr>
        <w:t xml:space="preserve"> אין לישון תחת כילה אחת, אך אם פורס סדין ביניהם שלא יראה את אשתו, מותר.</w:t>
      </w:r>
    </w:p>
    <w:p w:rsidR="00620060" w:rsidRDefault="00620060" w:rsidP="00620060">
      <w:pPr>
        <w:rPr>
          <w:sz w:val="20"/>
          <w:szCs w:val="20"/>
          <w:rtl/>
        </w:rPr>
      </w:pPr>
      <w:r>
        <w:rPr>
          <w:rFonts w:hint="cs"/>
          <w:sz w:val="20"/>
          <w:szCs w:val="20"/>
          <w:u w:val="single"/>
          <w:rtl/>
        </w:rPr>
        <w:t>קולות בדין זה (פת"ש וששבה"ל)</w:t>
      </w:r>
      <w:r>
        <w:rPr>
          <w:rFonts w:hint="cs"/>
          <w:sz w:val="20"/>
          <w:szCs w:val="20"/>
          <w:u w:val="single"/>
          <w:rtl/>
        </w:rPr>
        <w:br/>
      </w:r>
      <w:r>
        <w:rPr>
          <w:rFonts w:hint="cs"/>
          <w:sz w:val="20"/>
          <w:szCs w:val="20"/>
          <w:rtl/>
        </w:rPr>
        <w:t xml:space="preserve">א. </w:t>
      </w:r>
      <w:r w:rsidRPr="00FD4255">
        <w:rPr>
          <w:rFonts w:hint="cs"/>
          <w:b/>
          <w:bCs/>
          <w:sz w:val="20"/>
          <w:szCs w:val="20"/>
          <w:rtl/>
        </w:rPr>
        <w:t>חכמת אדם</w:t>
      </w:r>
      <w:r>
        <w:rPr>
          <w:rFonts w:hint="cs"/>
          <w:sz w:val="20"/>
          <w:szCs w:val="20"/>
          <w:rtl/>
        </w:rPr>
        <w:t xml:space="preserve"> </w:t>
      </w:r>
      <w:r>
        <w:rPr>
          <w:sz w:val="20"/>
          <w:szCs w:val="20"/>
          <w:rtl/>
        </w:rPr>
        <w:t>–</w:t>
      </w:r>
      <w:r>
        <w:rPr>
          <w:rFonts w:hint="cs"/>
          <w:sz w:val="20"/>
          <w:szCs w:val="20"/>
          <w:rtl/>
        </w:rPr>
        <w:t xml:space="preserve"> אפשר שאם המיטות מחוברות לכותל וכל אחד ישן על מיטתו, מותר ללא הרחקה.</w:t>
      </w:r>
      <w:r>
        <w:rPr>
          <w:rFonts w:hint="cs"/>
          <w:sz w:val="20"/>
          <w:szCs w:val="20"/>
          <w:rtl/>
        </w:rPr>
        <w:br/>
        <w:t xml:space="preserve">ב. </w:t>
      </w:r>
      <w:r w:rsidRPr="00FD4255">
        <w:rPr>
          <w:rFonts w:hint="cs"/>
          <w:b/>
          <w:bCs/>
          <w:sz w:val="20"/>
          <w:szCs w:val="20"/>
          <w:rtl/>
        </w:rPr>
        <w:t>פת"ש</w:t>
      </w:r>
      <w:r>
        <w:rPr>
          <w:rFonts w:hint="cs"/>
          <w:sz w:val="20"/>
          <w:szCs w:val="20"/>
          <w:rtl/>
        </w:rPr>
        <w:t xml:space="preserve"> </w:t>
      </w:r>
      <w:r>
        <w:rPr>
          <w:sz w:val="20"/>
          <w:szCs w:val="20"/>
          <w:rtl/>
        </w:rPr>
        <w:t>–</w:t>
      </w:r>
      <w:r>
        <w:rPr>
          <w:rFonts w:hint="cs"/>
          <w:sz w:val="20"/>
          <w:szCs w:val="20"/>
          <w:rtl/>
        </w:rPr>
        <w:t xml:space="preserve"> במיטות המוקפות מסגרת מותר לישון אף ללא הרחקה.</w:t>
      </w:r>
      <w:r>
        <w:rPr>
          <w:sz w:val="20"/>
          <w:szCs w:val="20"/>
          <w:rtl/>
        </w:rPr>
        <w:br/>
      </w:r>
      <w:r w:rsidRPr="00FD4255">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הרמ"א החמיר דווקא במיטות שאין להן מסגרת, משום שכאשר הן מחוברות נראות כמיטה אחת, אך כשיש מסגרת אף כשהן מחוברות נראה כשתי מיטות נפרדות ומותר.</w:t>
      </w:r>
      <w:r>
        <w:rPr>
          <w:rFonts w:hint="cs"/>
          <w:sz w:val="20"/>
          <w:szCs w:val="20"/>
          <w:rtl/>
        </w:rPr>
        <w:br/>
        <w:t xml:space="preserve">ג. </w:t>
      </w:r>
      <w:r w:rsidRPr="00A57084">
        <w:rPr>
          <w:rFonts w:hint="cs"/>
          <w:b/>
          <w:bCs/>
          <w:sz w:val="20"/>
          <w:szCs w:val="20"/>
          <w:rtl/>
        </w:rPr>
        <w:t>ששבה"ל</w:t>
      </w:r>
      <w:r>
        <w:rPr>
          <w:rFonts w:hint="cs"/>
          <w:sz w:val="20"/>
          <w:szCs w:val="20"/>
          <w:rtl/>
        </w:rPr>
        <w:t xml:space="preserve"> </w:t>
      </w:r>
      <w:r w:rsidRPr="00A57084">
        <w:rPr>
          <w:rFonts w:hint="cs"/>
          <w:sz w:val="18"/>
          <w:szCs w:val="18"/>
          <w:rtl/>
        </w:rPr>
        <w:t xml:space="preserve">(בשם </w:t>
      </w:r>
      <w:r w:rsidRPr="00A57084">
        <w:rPr>
          <w:rFonts w:hint="cs"/>
          <w:b/>
          <w:bCs/>
          <w:sz w:val="18"/>
          <w:szCs w:val="18"/>
          <w:rtl/>
        </w:rPr>
        <w:t>החזו"א</w:t>
      </w:r>
      <w:r w:rsidRPr="00A57084">
        <w:rPr>
          <w:rFonts w:hint="cs"/>
          <w:sz w:val="18"/>
          <w:szCs w:val="18"/>
          <w:rtl/>
        </w:rPr>
        <w:t xml:space="preserve">) </w:t>
      </w:r>
      <w:r>
        <w:rPr>
          <w:sz w:val="20"/>
          <w:szCs w:val="20"/>
          <w:rtl/>
        </w:rPr>
        <w:t>–</w:t>
      </w:r>
      <w:r>
        <w:rPr>
          <w:rFonts w:hint="cs"/>
          <w:sz w:val="20"/>
          <w:szCs w:val="20"/>
          <w:rtl/>
        </w:rPr>
        <w:t xml:space="preserve"> כשאשתו לא ישנה במיטתה, מותר לו לישון על מיטתו אפילו ללא הפסק.</w:t>
      </w:r>
    </w:p>
    <w:p w:rsidR="00620060" w:rsidRDefault="00620060" w:rsidP="00620060">
      <w:pPr>
        <w:rPr>
          <w:sz w:val="20"/>
          <w:szCs w:val="20"/>
          <w:rtl/>
        </w:rPr>
      </w:pPr>
      <w:r>
        <w:rPr>
          <w:rFonts w:hint="cs"/>
          <w:sz w:val="20"/>
          <w:szCs w:val="20"/>
          <w:u w:val="single"/>
          <w:rtl/>
        </w:rPr>
        <w:t>שינה במיטה נפתחת (טה"ב עמ' קסב)</w:t>
      </w:r>
      <w:r>
        <w:rPr>
          <w:rFonts w:hint="cs"/>
          <w:sz w:val="20"/>
          <w:szCs w:val="20"/>
          <w:u w:val="single"/>
          <w:rtl/>
        </w:rPr>
        <w:br/>
      </w:r>
      <w:r w:rsidRPr="00B3641B">
        <w:rPr>
          <w:rFonts w:hint="cs"/>
          <w:b/>
          <w:bCs/>
          <w:sz w:val="20"/>
          <w:szCs w:val="20"/>
          <w:rtl/>
        </w:rPr>
        <w:t>טהרת הבית</w:t>
      </w:r>
      <w:r>
        <w:rPr>
          <w:rFonts w:hint="cs"/>
          <w:sz w:val="20"/>
          <w:szCs w:val="20"/>
          <w:rtl/>
        </w:rPr>
        <w:t xml:space="preserve"> - מיטה נפתחת </w:t>
      </w:r>
      <w:r w:rsidRPr="00135B42">
        <w:rPr>
          <w:rFonts w:hint="cs"/>
          <w:sz w:val="18"/>
          <w:szCs w:val="18"/>
          <w:rtl/>
        </w:rPr>
        <w:t xml:space="preserve">(מיטת חבר) </w:t>
      </w:r>
      <w:r>
        <w:rPr>
          <w:rFonts w:hint="cs"/>
          <w:sz w:val="20"/>
          <w:szCs w:val="20"/>
          <w:rtl/>
        </w:rPr>
        <w:t>שאחד ישן במיטה הגבוהה ובן הזוג במיטה הנמוכה, אע"פ שנוגעות זו בזו מותר לישון בהן</w:t>
      </w:r>
      <w:r>
        <w:rPr>
          <w:rStyle w:val="a5"/>
          <w:sz w:val="20"/>
          <w:szCs w:val="20"/>
          <w:rtl/>
        </w:rPr>
        <w:footnoteReference w:id="474"/>
      </w:r>
      <w:r>
        <w:rPr>
          <w:rFonts w:hint="cs"/>
          <w:sz w:val="20"/>
          <w:szCs w:val="20"/>
          <w:rtl/>
        </w:rPr>
        <w:t>.</w:t>
      </w:r>
      <w:r>
        <w:rPr>
          <w:sz w:val="20"/>
          <w:szCs w:val="20"/>
          <w:rtl/>
        </w:rPr>
        <w:br/>
      </w:r>
      <w:r w:rsidRPr="00135B42">
        <w:rPr>
          <w:rFonts w:hint="cs"/>
          <w:b/>
          <w:bCs/>
          <w:sz w:val="20"/>
          <w:szCs w:val="20"/>
          <w:rtl/>
        </w:rPr>
        <w:t xml:space="preserve">טעם </w:t>
      </w:r>
      <w:r>
        <w:rPr>
          <w:sz w:val="20"/>
          <w:szCs w:val="20"/>
          <w:rtl/>
        </w:rPr>
        <w:t>–</w:t>
      </w:r>
      <w:r>
        <w:rPr>
          <w:rFonts w:hint="cs"/>
          <w:sz w:val="20"/>
          <w:szCs w:val="20"/>
          <w:rtl/>
        </w:rPr>
        <w:t xml:space="preserve"> לא גרע מדין מיטה המוקפת מסגרת שהקל בה הפת"ש משום שניכר שהן נפרדות זו מזו.</w:t>
      </w:r>
    </w:p>
    <w:p w:rsidR="00620060" w:rsidRDefault="00620060" w:rsidP="00620060">
      <w:pPr>
        <w:rPr>
          <w:sz w:val="20"/>
          <w:szCs w:val="20"/>
          <w:rtl/>
        </w:rPr>
      </w:pPr>
      <w:r>
        <w:rPr>
          <w:rFonts w:hint="cs"/>
          <w:sz w:val="20"/>
          <w:szCs w:val="20"/>
          <w:u w:val="single"/>
          <w:rtl/>
        </w:rPr>
        <w:t>שינה תחת שמיכה אחת (טהרת הבית עמ' קסב)</w:t>
      </w:r>
      <w:r>
        <w:rPr>
          <w:rFonts w:hint="cs"/>
          <w:sz w:val="20"/>
          <w:szCs w:val="20"/>
          <w:u w:val="single"/>
          <w:rtl/>
        </w:rPr>
        <w:br/>
      </w:r>
      <w:r w:rsidRPr="005F53A5">
        <w:rPr>
          <w:rFonts w:hint="cs"/>
          <w:b/>
          <w:bCs/>
          <w:sz w:val="20"/>
          <w:szCs w:val="20"/>
          <w:rtl/>
        </w:rPr>
        <w:t>שו"ת אדמת הקודש</w:t>
      </w:r>
      <w:r>
        <w:rPr>
          <w:rFonts w:hint="cs"/>
          <w:sz w:val="20"/>
          <w:szCs w:val="20"/>
          <w:rtl/>
        </w:rPr>
        <w:t xml:space="preserve"> </w:t>
      </w:r>
      <w:r>
        <w:rPr>
          <w:sz w:val="20"/>
          <w:szCs w:val="20"/>
          <w:rtl/>
        </w:rPr>
        <w:t>–</w:t>
      </w:r>
      <w:r>
        <w:rPr>
          <w:rFonts w:hint="cs"/>
          <w:sz w:val="20"/>
          <w:szCs w:val="20"/>
          <w:rtl/>
        </w:rPr>
        <w:t xml:space="preserve"> אין לישון תחת שמיכה אחת אפילו כאשר ישנים בשתי מיטות נפרדות.</w:t>
      </w:r>
      <w:r>
        <w:rPr>
          <w:sz w:val="20"/>
          <w:szCs w:val="20"/>
          <w:rtl/>
        </w:rPr>
        <w:br/>
      </w:r>
      <w:r w:rsidRPr="005F53A5">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כפי שאסור להם לישון על מצע אחד </w:t>
      </w:r>
      <w:r w:rsidRPr="00040A5A">
        <w:rPr>
          <w:rFonts w:hint="cs"/>
          <w:sz w:val="18"/>
          <w:szCs w:val="18"/>
          <w:rtl/>
        </w:rPr>
        <w:t xml:space="preserve">(מזרון) </w:t>
      </w:r>
      <w:r>
        <w:rPr>
          <w:rFonts w:hint="cs"/>
          <w:sz w:val="20"/>
          <w:szCs w:val="20"/>
          <w:rtl/>
        </w:rPr>
        <w:t xml:space="preserve">כך אין להם להתכסות בשמיכה אחת, משום שאין הבדל בין מצע התחתון למצע העליון ושניהם אסורים. </w:t>
      </w:r>
    </w:p>
    <w:p w:rsidR="00620060" w:rsidRPr="004B2993" w:rsidRDefault="00620060" w:rsidP="00620060">
      <w:pPr>
        <w:rPr>
          <w:sz w:val="20"/>
          <w:szCs w:val="20"/>
          <w:rtl/>
        </w:rPr>
      </w:pPr>
      <w:r>
        <w:rPr>
          <w:rFonts w:hint="cs"/>
          <w:sz w:val="20"/>
          <w:szCs w:val="20"/>
          <w:u w:val="single"/>
          <w:rtl/>
        </w:rPr>
        <w:t xml:space="preserve">שמיעת קול זמר אשתו </w:t>
      </w:r>
      <w:r>
        <w:rPr>
          <w:rFonts w:hint="cs"/>
          <w:sz w:val="20"/>
          <w:szCs w:val="20"/>
          <w:u w:val="single"/>
          <w:rtl/>
        </w:rPr>
        <w:br/>
      </w:r>
      <w:r>
        <w:rPr>
          <w:rFonts w:hint="cs"/>
          <w:sz w:val="20"/>
          <w:szCs w:val="20"/>
          <w:rtl/>
        </w:rPr>
        <w:t>האם מותר לשמוע קול זמר של אשתו נידה?</w:t>
      </w:r>
      <w:r>
        <w:rPr>
          <w:sz w:val="20"/>
          <w:szCs w:val="20"/>
          <w:u w:val="single"/>
          <w:rtl/>
        </w:rPr>
        <w:br/>
      </w:r>
      <w:r>
        <w:rPr>
          <w:rFonts w:hint="cs"/>
          <w:sz w:val="20"/>
          <w:szCs w:val="20"/>
          <w:rtl/>
        </w:rPr>
        <w:t xml:space="preserve">א. </w:t>
      </w:r>
      <w:r w:rsidRPr="004B2993">
        <w:rPr>
          <w:rFonts w:hint="cs"/>
          <w:b/>
          <w:bCs/>
          <w:sz w:val="20"/>
          <w:szCs w:val="20"/>
          <w:rtl/>
        </w:rPr>
        <w:t>פת"ש</w:t>
      </w:r>
      <w:r>
        <w:rPr>
          <w:rFonts w:hint="cs"/>
          <w:sz w:val="20"/>
          <w:szCs w:val="20"/>
          <w:rtl/>
        </w:rPr>
        <w:t xml:space="preserve"> </w:t>
      </w:r>
      <w:r>
        <w:rPr>
          <w:sz w:val="20"/>
          <w:szCs w:val="20"/>
          <w:rtl/>
        </w:rPr>
        <w:t>–</w:t>
      </w:r>
      <w:r>
        <w:rPr>
          <w:rFonts w:hint="cs"/>
          <w:sz w:val="20"/>
          <w:szCs w:val="20"/>
          <w:rtl/>
        </w:rPr>
        <w:t xml:space="preserve"> צריך עיון בדין זה.</w:t>
      </w:r>
      <w:r>
        <w:rPr>
          <w:sz w:val="20"/>
          <w:szCs w:val="20"/>
          <w:rtl/>
        </w:rPr>
        <w:br/>
      </w:r>
      <w:r w:rsidRPr="004B2993">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בגמרא מקישים את אשתו נידה לאשת רעהו, וכפי שאסור לשמוע קול זמר אשת רעהו, שמא כך הדין גם בשמיעת קול זמר אשתו </w:t>
      </w:r>
      <w:r w:rsidRPr="004B2993">
        <w:rPr>
          <w:rFonts w:hint="cs"/>
          <w:sz w:val="18"/>
          <w:szCs w:val="18"/>
          <w:rtl/>
        </w:rPr>
        <w:t>(ואע"פ שייחוד מותר, זהו דין ייחודי הנלמד מ"סוגה בשושנים")</w:t>
      </w:r>
      <w:r>
        <w:rPr>
          <w:rFonts w:hint="cs"/>
          <w:sz w:val="20"/>
          <w:szCs w:val="20"/>
          <w:rtl/>
        </w:rPr>
        <w:t>.</w:t>
      </w:r>
      <w:r>
        <w:rPr>
          <w:sz w:val="20"/>
          <w:szCs w:val="20"/>
          <w:rtl/>
        </w:rPr>
        <w:br/>
      </w:r>
      <w:r>
        <w:rPr>
          <w:rFonts w:hint="cs"/>
          <w:sz w:val="20"/>
          <w:szCs w:val="20"/>
          <w:rtl/>
        </w:rPr>
        <w:t xml:space="preserve">ב. </w:t>
      </w:r>
      <w:r w:rsidRPr="00642F2E">
        <w:rPr>
          <w:rFonts w:hint="cs"/>
          <w:b/>
          <w:bCs/>
          <w:sz w:val="20"/>
          <w:szCs w:val="20"/>
          <w:rtl/>
        </w:rPr>
        <w:t>בן איש חי</w:t>
      </w:r>
      <w:r>
        <w:rPr>
          <w:rFonts w:hint="cs"/>
          <w:sz w:val="20"/>
          <w:szCs w:val="20"/>
          <w:rtl/>
        </w:rPr>
        <w:t xml:space="preserve"> </w:t>
      </w:r>
      <w:r w:rsidRPr="00642F2E">
        <w:rPr>
          <w:rFonts w:hint="cs"/>
          <w:sz w:val="18"/>
          <w:szCs w:val="18"/>
          <w:rtl/>
        </w:rPr>
        <w:t xml:space="preserve">(פרשת צו, כה) </w:t>
      </w:r>
      <w:r>
        <w:rPr>
          <w:rFonts w:hint="cs"/>
          <w:sz w:val="20"/>
          <w:szCs w:val="20"/>
          <w:rtl/>
        </w:rPr>
        <w:t xml:space="preserve">- אסור, ואמנם בשעה שהיא שרה שיר ערש לתינוק ואין לבעלה מקום ללכת, בכה"ג יש להקל. וכ"כ </w:t>
      </w:r>
      <w:r w:rsidRPr="001A0245">
        <w:rPr>
          <w:rFonts w:hint="cs"/>
          <w:b/>
          <w:bCs/>
          <w:sz w:val="20"/>
          <w:szCs w:val="20"/>
          <w:rtl/>
        </w:rPr>
        <w:t>האג"מ</w:t>
      </w:r>
      <w:r>
        <w:rPr>
          <w:rFonts w:hint="cs"/>
          <w:sz w:val="20"/>
          <w:szCs w:val="20"/>
          <w:rtl/>
        </w:rPr>
        <w:t xml:space="preserve"> שיש להחמיר בשמיעת זמר אשתו נידה.</w:t>
      </w:r>
      <w:r>
        <w:rPr>
          <w:sz w:val="20"/>
          <w:szCs w:val="20"/>
          <w:rtl/>
        </w:rPr>
        <w:br/>
      </w:r>
      <w:r>
        <w:rPr>
          <w:rFonts w:hint="cs"/>
          <w:sz w:val="20"/>
          <w:szCs w:val="20"/>
          <w:rtl/>
        </w:rPr>
        <w:t xml:space="preserve">ג. </w:t>
      </w:r>
      <w:r w:rsidRPr="00642F2E">
        <w:rPr>
          <w:rFonts w:hint="cs"/>
          <w:b/>
          <w:bCs/>
          <w:sz w:val="20"/>
          <w:szCs w:val="20"/>
          <w:rtl/>
        </w:rPr>
        <w:t>טה"ב</w:t>
      </w:r>
      <w:r>
        <w:rPr>
          <w:rFonts w:hint="cs"/>
          <w:sz w:val="20"/>
          <w:szCs w:val="20"/>
          <w:rtl/>
        </w:rPr>
        <w:t xml:space="preserve"> </w:t>
      </w:r>
      <w:r w:rsidRPr="00642F2E">
        <w:rPr>
          <w:rFonts w:hint="cs"/>
          <w:sz w:val="18"/>
          <w:szCs w:val="18"/>
          <w:rtl/>
        </w:rPr>
        <w:t xml:space="preserve">(עמ' קעז) </w:t>
      </w:r>
      <w:r>
        <w:rPr>
          <w:sz w:val="20"/>
          <w:szCs w:val="20"/>
          <w:rtl/>
        </w:rPr>
        <w:t>–</w:t>
      </w:r>
      <w:r>
        <w:rPr>
          <w:rFonts w:hint="cs"/>
          <w:sz w:val="20"/>
          <w:szCs w:val="20"/>
          <w:rtl/>
        </w:rPr>
        <w:t xml:space="preserve"> מותר, וכן מותר לשיר יחד עמה, והמחמיר תבוא עליו ברכה.</w:t>
      </w:r>
      <w:r>
        <w:rPr>
          <w:sz w:val="20"/>
          <w:szCs w:val="20"/>
          <w:rtl/>
        </w:rPr>
        <w:br/>
      </w:r>
      <w:r w:rsidRPr="00405BF5">
        <w:rPr>
          <w:rFonts w:hint="cs"/>
          <w:b/>
          <w:bCs/>
          <w:sz w:val="20"/>
          <w:szCs w:val="20"/>
          <w:rtl/>
        </w:rPr>
        <w:t xml:space="preserve">טעם </w:t>
      </w:r>
      <w:r>
        <w:rPr>
          <w:sz w:val="20"/>
          <w:szCs w:val="20"/>
          <w:rtl/>
        </w:rPr>
        <w:t>–</w:t>
      </w:r>
      <w:r>
        <w:rPr>
          <w:rFonts w:hint="cs"/>
          <w:sz w:val="20"/>
          <w:szCs w:val="20"/>
          <w:rtl/>
        </w:rPr>
        <w:t xml:space="preserve"> הראשונים נחלקו האם ההיקש האמור בגמרא לאשת רעהו הוא היקש גמור או שאינו היקש גמור.</w:t>
      </w:r>
      <w:r>
        <w:rPr>
          <w:sz w:val="20"/>
          <w:szCs w:val="20"/>
          <w:rtl/>
        </w:rPr>
        <w:br/>
      </w:r>
      <w:r>
        <w:rPr>
          <w:rFonts w:hint="cs"/>
          <w:sz w:val="20"/>
          <w:szCs w:val="20"/>
          <w:rtl/>
        </w:rPr>
        <w:t xml:space="preserve">לדעת הרשב"א הוא היקש גמור, ולפי שאין היקש למחצה נראה שאסור לשמוע זמר אשתו. </w:t>
      </w:r>
      <w:r>
        <w:rPr>
          <w:sz w:val="20"/>
          <w:szCs w:val="20"/>
          <w:rtl/>
        </w:rPr>
        <w:br/>
      </w:r>
      <w:r>
        <w:rPr>
          <w:rFonts w:hint="cs"/>
          <w:sz w:val="20"/>
          <w:szCs w:val="20"/>
          <w:rtl/>
        </w:rPr>
        <w:t xml:space="preserve">ואמנם, ראשונים אחרים סוברים שאין זה היקש גמור, וכן מוכח מכך שמותר להביט ביופייה של אשתו נידה, </w:t>
      </w:r>
      <w:r>
        <w:rPr>
          <w:rFonts w:hint="cs"/>
          <w:sz w:val="20"/>
          <w:szCs w:val="20"/>
          <w:rtl/>
        </w:rPr>
        <w:lastRenderedPageBreak/>
        <w:t>בניגוד להבטה באשת רעהו שאסורה</w:t>
      </w:r>
      <w:r>
        <w:rPr>
          <w:rStyle w:val="a5"/>
          <w:sz w:val="20"/>
          <w:szCs w:val="20"/>
          <w:rtl/>
        </w:rPr>
        <w:footnoteReference w:id="475"/>
      </w:r>
      <w:r>
        <w:rPr>
          <w:rFonts w:hint="cs"/>
          <w:sz w:val="20"/>
          <w:szCs w:val="20"/>
          <w:rtl/>
        </w:rPr>
        <w:t>. והטעם לחלק ביניהן הוא, משום אשתו מותרת לו לאחר זמן ולכן אינו בא לידי מכשול.</w:t>
      </w:r>
    </w:p>
    <w:p w:rsidR="00620060" w:rsidRDefault="00620060" w:rsidP="00620060">
      <w:pPr>
        <w:rPr>
          <w:sz w:val="20"/>
          <w:szCs w:val="20"/>
          <w:rtl/>
        </w:rPr>
      </w:pPr>
      <w:r w:rsidRPr="00A027A2">
        <w:rPr>
          <w:rFonts w:hint="cs"/>
          <w:b/>
          <w:bCs/>
          <w:sz w:val="20"/>
          <w:szCs w:val="20"/>
          <w:rtl/>
        </w:rPr>
        <w:t>סיכום</w:t>
      </w:r>
      <w:r>
        <w:rPr>
          <w:sz w:val="20"/>
          <w:szCs w:val="20"/>
          <w:rtl/>
        </w:rPr>
        <w:br/>
      </w:r>
      <w:r>
        <w:rPr>
          <w:rFonts w:hint="cs"/>
          <w:sz w:val="20"/>
          <w:szCs w:val="20"/>
          <w:rtl/>
        </w:rPr>
        <w:t xml:space="preserve">1. </w:t>
      </w:r>
      <w:r w:rsidRPr="00D1091F">
        <w:rPr>
          <w:rFonts w:hint="cs"/>
          <w:b/>
          <w:bCs/>
          <w:sz w:val="20"/>
          <w:szCs w:val="20"/>
          <w:rtl/>
        </w:rPr>
        <w:t>גמרא</w:t>
      </w:r>
      <w:r>
        <w:rPr>
          <w:rFonts w:hint="cs"/>
          <w:sz w:val="20"/>
          <w:szCs w:val="20"/>
          <w:rtl/>
        </w:rPr>
        <w:t xml:space="preserve">. </w:t>
      </w:r>
      <w:r w:rsidRPr="00D1091F">
        <w:rPr>
          <w:rFonts w:hint="cs"/>
          <w:sz w:val="20"/>
          <w:szCs w:val="20"/>
          <w:u w:val="single"/>
          <w:rtl/>
        </w:rPr>
        <w:t>חכמים</w:t>
      </w:r>
      <w:r>
        <w:rPr>
          <w:rFonts w:hint="cs"/>
          <w:sz w:val="20"/>
          <w:szCs w:val="20"/>
          <w:rtl/>
        </w:rPr>
        <w:t xml:space="preserve">. אסור לישון עם אשתו נידה באותה מיטה אפילו הוא בבגדו והיא בבגדה, ונלמד מהיקש לאשת רעהו. </w:t>
      </w:r>
      <w:r w:rsidRPr="00D1091F">
        <w:rPr>
          <w:rFonts w:hint="cs"/>
          <w:sz w:val="20"/>
          <w:szCs w:val="20"/>
          <w:u w:val="single"/>
          <w:rtl/>
        </w:rPr>
        <w:t>רבי פדת</w:t>
      </w:r>
      <w:r>
        <w:rPr>
          <w:rFonts w:hint="cs"/>
          <w:sz w:val="20"/>
          <w:szCs w:val="20"/>
          <w:rtl/>
        </w:rPr>
        <w:t>. מותר, רק קריבה של גילוי עריות אסורה בנידה.</w:t>
      </w:r>
      <w:r>
        <w:rPr>
          <w:sz w:val="20"/>
          <w:szCs w:val="20"/>
          <w:rtl/>
        </w:rPr>
        <w:br/>
      </w:r>
      <w:r>
        <w:rPr>
          <w:rFonts w:hint="cs"/>
          <w:sz w:val="20"/>
          <w:szCs w:val="20"/>
          <w:rtl/>
        </w:rPr>
        <w:t xml:space="preserve">2. </w:t>
      </w:r>
      <w:r w:rsidRPr="00A027A2">
        <w:rPr>
          <w:rFonts w:hint="cs"/>
          <w:b/>
          <w:bCs/>
          <w:sz w:val="20"/>
          <w:szCs w:val="20"/>
          <w:rtl/>
        </w:rPr>
        <w:t>רוב הראשונים</w:t>
      </w:r>
      <w:r>
        <w:rPr>
          <w:rFonts w:hint="cs"/>
          <w:sz w:val="20"/>
          <w:szCs w:val="20"/>
          <w:rtl/>
        </w:rPr>
        <w:t xml:space="preserve">. הלכה כחכמים ואין חילוק מה גודל המיטה. </w:t>
      </w:r>
      <w:r w:rsidRPr="00D1091F">
        <w:rPr>
          <w:rFonts w:hint="cs"/>
          <w:b/>
          <w:bCs/>
          <w:sz w:val="20"/>
          <w:szCs w:val="20"/>
          <w:rtl/>
        </w:rPr>
        <w:t>רי"ו</w:t>
      </w:r>
      <w:r>
        <w:rPr>
          <w:rFonts w:hint="cs"/>
          <w:sz w:val="20"/>
          <w:szCs w:val="20"/>
          <w:rtl/>
        </w:rPr>
        <w:t>. במיטה רחבה וכל אחד במצעו מותר.</w:t>
      </w:r>
      <w:r>
        <w:rPr>
          <w:sz w:val="20"/>
          <w:szCs w:val="20"/>
          <w:rtl/>
        </w:rPr>
        <w:br/>
      </w:r>
      <w:r>
        <w:rPr>
          <w:rFonts w:hint="cs"/>
          <w:sz w:val="20"/>
          <w:szCs w:val="20"/>
          <w:rtl/>
        </w:rPr>
        <w:t xml:space="preserve">3. </w:t>
      </w:r>
      <w:r w:rsidRPr="00A027A2">
        <w:rPr>
          <w:rFonts w:hint="cs"/>
          <w:b/>
          <w:bCs/>
          <w:sz w:val="20"/>
          <w:szCs w:val="20"/>
          <w:rtl/>
        </w:rPr>
        <w:t>מרדכי</w:t>
      </w:r>
      <w:r>
        <w:rPr>
          <w:rFonts w:hint="cs"/>
          <w:sz w:val="20"/>
          <w:szCs w:val="20"/>
          <w:rtl/>
        </w:rPr>
        <w:t>. אין לישון במיטות הנוגעות זו בזו, אך ע"י הפסק ביניהם מותר.</w:t>
      </w:r>
      <w:r>
        <w:rPr>
          <w:rFonts w:hint="cs"/>
          <w:sz w:val="20"/>
          <w:szCs w:val="20"/>
          <w:rtl/>
        </w:rPr>
        <w:br/>
        <w:t xml:space="preserve">4. </w:t>
      </w:r>
      <w:r w:rsidRPr="00A027A2">
        <w:rPr>
          <w:rFonts w:hint="cs"/>
          <w:b/>
          <w:bCs/>
          <w:sz w:val="20"/>
          <w:szCs w:val="20"/>
          <w:rtl/>
        </w:rPr>
        <w:t>מחבר</w:t>
      </w:r>
      <w:r>
        <w:rPr>
          <w:rFonts w:hint="cs"/>
          <w:sz w:val="20"/>
          <w:szCs w:val="20"/>
          <w:rtl/>
        </w:rPr>
        <w:t xml:space="preserve">. אין לישון במיטה אחת אפילו כל אחד במצע שלו. </w:t>
      </w:r>
      <w:r w:rsidRPr="00A027A2">
        <w:rPr>
          <w:rFonts w:hint="cs"/>
          <w:b/>
          <w:bCs/>
          <w:sz w:val="20"/>
          <w:szCs w:val="20"/>
          <w:rtl/>
        </w:rPr>
        <w:t>רמ"א</w:t>
      </w:r>
      <w:r>
        <w:rPr>
          <w:rFonts w:hint="cs"/>
          <w:sz w:val="20"/>
          <w:szCs w:val="20"/>
          <w:rtl/>
        </w:rPr>
        <w:t>. אין לישון במיטות הנוגעות זו בזו.</w:t>
      </w:r>
      <w:r>
        <w:rPr>
          <w:sz w:val="20"/>
          <w:szCs w:val="20"/>
          <w:rtl/>
        </w:rPr>
        <w:br/>
      </w:r>
      <w:r>
        <w:rPr>
          <w:rFonts w:hint="cs"/>
          <w:sz w:val="20"/>
          <w:szCs w:val="20"/>
          <w:rtl/>
        </w:rPr>
        <w:t xml:space="preserve">5. </w:t>
      </w:r>
      <w:r w:rsidRPr="00A027A2">
        <w:rPr>
          <w:rFonts w:hint="cs"/>
          <w:b/>
          <w:bCs/>
          <w:sz w:val="20"/>
          <w:szCs w:val="20"/>
          <w:rtl/>
        </w:rPr>
        <w:t>פת"ש</w:t>
      </w:r>
      <w:r>
        <w:rPr>
          <w:rFonts w:hint="cs"/>
          <w:sz w:val="20"/>
          <w:szCs w:val="20"/>
          <w:rtl/>
        </w:rPr>
        <w:t xml:space="preserve">. האיסור דווקא כשפניו מול פניה, אך כשנוגעות המיטות באופן אחר, כגון בראשיהן שרי. מנהג העולם להחמיר. </w:t>
      </w:r>
      <w:r w:rsidRPr="00A027A2">
        <w:rPr>
          <w:rFonts w:hint="cs"/>
          <w:b/>
          <w:bCs/>
          <w:sz w:val="20"/>
          <w:szCs w:val="20"/>
          <w:rtl/>
        </w:rPr>
        <w:t>ששבה"ל</w:t>
      </w:r>
      <w:r>
        <w:rPr>
          <w:rFonts w:hint="cs"/>
          <w:sz w:val="20"/>
          <w:szCs w:val="20"/>
          <w:rtl/>
        </w:rPr>
        <w:t>. יש להחמיר גם במיטות המונחות כמין "ר".</w:t>
      </w:r>
      <w:r>
        <w:rPr>
          <w:sz w:val="20"/>
          <w:szCs w:val="20"/>
          <w:rtl/>
        </w:rPr>
        <w:br/>
      </w:r>
      <w:r>
        <w:rPr>
          <w:rFonts w:hint="cs"/>
          <w:sz w:val="20"/>
          <w:szCs w:val="20"/>
          <w:rtl/>
        </w:rPr>
        <w:t>6</w:t>
      </w:r>
      <w:r w:rsidRPr="009C26A8">
        <w:rPr>
          <w:rFonts w:hint="cs"/>
          <w:sz w:val="20"/>
          <w:szCs w:val="20"/>
          <w:rtl/>
        </w:rPr>
        <w:t>. שיעור ההרחק.</w:t>
      </w:r>
      <w:r>
        <w:rPr>
          <w:rFonts w:hint="cs"/>
          <w:sz w:val="20"/>
          <w:szCs w:val="20"/>
          <w:rtl/>
        </w:rPr>
        <w:t xml:space="preserve"> </w:t>
      </w:r>
      <w:r w:rsidRPr="00A027A2">
        <w:rPr>
          <w:rFonts w:hint="cs"/>
          <w:b/>
          <w:bCs/>
          <w:sz w:val="20"/>
          <w:szCs w:val="20"/>
          <w:rtl/>
        </w:rPr>
        <w:t>פת"ש וטה"ב</w:t>
      </w:r>
      <w:r>
        <w:rPr>
          <w:rFonts w:hint="cs"/>
          <w:sz w:val="20"/>
          <w:szCs w:val="20"/>
          <w:rtl/>
        </w:rPr>
        <w:t xml:space="preserve">. כלשהוא. </w:t>
      </w:r>
      <w:r w:rsidRPr="00A027A2">
        <w:rPr>
          <w:rFonts w:hint="cs"/>
          <w:b/>
          <w:bCs/>
          <w:sz w:val="20"/>
          <w:szCs w:val="20"/>
          <w:rtl/>
        </w:rPr>
        <w:t>ששבה"ל</w:t>
      </w:r>
      <w:r>
        <w:rPr>
          <w:rFonts w:hint="cs"/>
          <w:sz w:val="20"/>
          <w:szCs w:val="20"/>
          <w:rtl/>
        </w:rPr>
        <w:t>. עלולים לבוא לידי מכשול, ולכן שהכרים והכסתות לא יגעו זה בזה, או כשיעור מעבר אדם ביניהם, או שלא יוכלו לגעת ע"י הושטת יד, או אמה.</w:t>
      </w:r>
      <w:r>
        <w:rPr>
          <w:sz w:val="20"/>
          <w:szCs w:val="20"/>
          <w:rtl/>
        </w:rPr>
        <w:br/>
      </w:r>
      <w:r w:rsidRPr="00C202ED">
        <w:rPr>
          <w:rFonts w:hint="cs"/>
          <w:sz w:val="20"/>
          <w:szCs w:val="20"/>
          <w:rtl/>
        </w:rPr>
        <w:t xml:space="preserve">7. שינה תחת כילה אחת. </w:t>
      </w:r>
      <w:r w:rsidRPr="00C202ED">
        <w:rPr>
          <w:rFonts w:hint="cs"/>
          <w:b/>
          <w:bCs/>
          <w:sz w:val="20"/>
          <w:szCs w:val="20"/>
          <w:rtl/>
        </w:rPr>
        <w:t>ש"ך</w:t>
      </w:r>
      <w:r w:rsidRPr="00C202ED">
        <w:rPr>
          <w:rFonts w:hint="cs"/>
          <w:sz w:val="20"/>
          <w:szCs w:val="20"/>
          <w:rtl/>
        </w:rPr>
        <w:t xml:space="preserve"> </w:t>
      </w:r>
      <w:r w:rsidRPr="00C202ED">
        <w:rPr>
          <w:rFonts w:hint="cs"/>
          <w:sz w:val="18"/>
          <w:szCs w:val="18"/>
          <w:rtl/>
        </w:rPr>
        <w:t xml:space="preserve">(ע"פ </w:t>
      </w:r>
      <w:r w:rsidRPr="00C202ED">
        <w:rPr>
          <w:rFonts w:hint="cs"/>
          <w:b/>
          <w:bCs/>
          <w:sz w:val="18"/>
          <w:szCs w:val="18"/>
          <w:rtl/>
        </w:rPr>
        <w:t>ששבה"ל</w:t>
      </w:r>
      <w:r w:rsidRPr="00C202ED">
        <w:rPr>
          <w:rFonts w:hint="cs"/>
          <w:sz w:val="18"/>
          <w:szCs w:val="18"/>
          <w:rtl/>
        </w:rPr>
        <w:t>)</w:t>
      </w:r>
      <w:r w:rsidRPr="00C202ED">
        <w:rPr>
          <w:rFonts w:hint="cs"/>
          <w:sz w:val="20"/>
          <w:szCs w:val="20"/>
          <w:rtl/>
        </w:rPr>
        <w:t xml:space="preserve">. מותר. </w:t>
      </w:r>
      <w:r w:rsidRPr="00C202ED">
        <w:rPr>
          <w:rFonts w:hint="cs"/>
          <w:b/>
          <w:bCs/>
          <w:sz w:val="20"/>
          <w:szCs w:val="20"/>
          <w:rtl/>
        </w:rPr>
        <w:t>עיקרי הדינים</w:t>
      </w:r>
      <w:r w:rsidRPr="00C202ED">
        <w:rPr>
          <w:rFonts w:hint="cs"/>
          <w:sz w:val="20"/>
          <w:szCs w:val="20"/>
          <w:rtl/>
        </w:rPr>
        <w:t>. אסור, אא"כ יחצוץ ע"י סדין שלא יראו.</w:t>
      </w:r>
      <w:r w:rsidRPr="00C202ED">
        <w:rPr>
          <w:rFonts w:hint="cs"/>
          <w:sz w:val="20"/>
          <w:szCs w:val="20"/>
          <w:rtl/>
        </w:rPr>
        <w:br/>
        <w:t xml:space="preserve">8. קולות. </w:t>
      </w:r>
      <w:r w:rsidRPr="00C202ED">
        <w:rPr>
          <w:rFonts w:hint="cs"/>
          <w:b/>
          <w:bCs/>
          <w:sz w:val="20"/>
          <w:szCs w:val="20"/>
          <w:rtl/>
        </w:rPr>
        <w:t>חכמ"א</w:t>
      </w:r>
      <w:r w:rsidRPr="00C202ED">
        <w:rPr>
          <w:rFonts w:hint="cs"/>
          <w:sz w:val="20"/>
          <w:szCs w:val="20"/>
          <w:rtl/>
        </w:rPr>
        <w:t xml:space="preserve">. במיטות מחוברות בכותל מותר. </w:t>
      </w:r>
      <w:r w:rsidRPr="00C202ED">
        <w:rPr>
          <w:rFonts w:hint="cs"/>
          <w:b/>
          <w:bCs/>
          <w:sz w:val="20"/>
          <w:szCs w:val="20"/>
          <w:rtl/>
        </w:rPr>
        <w:t>פת"ש</w:t>
      </w:r>
      <w:r w:rsidRPr="00C202ED">
        <w:rPr>
          <w:rFonts w:hint="cs"/>
          <w:sz w:val="20"/>
          <w:szCs w:val="20"/>
          <w:rtl/>
        </w:rPr>
        <w:t xml:space="preserve">. במיטות מוקפות מסגרת מותר. </w:t>
      </w:r>
      <w:r w:rsidRPr="00C202ED">
        <w:rPr>
          <w:rFonts w:hint="cs"/>
          <w:b/>
          <w:bCs/>
          <w:sz w:val="20"/>
          <w:szCs w:val="20"/>
          <w:rtl/>
        </w:rPr>
        <w:t>ששבה"ל</w:t>
      </w:r>
      <w:r w:rsidRPr="00C202ED">
        <w:rPr>
          <w:rFonts w:hint="cs"/>
          <w:sz w:val="20"/>
          <w:szCs w:val="20"/>
          <w:rtl/>
        </w:rPr>
        <w:t>. כשאינה ישנה במיטתה, מותר לישון במיטתו ללא הפסק.</w:t>
      </w:r>
      <w:r w:rsidRPr="00C202ED">
        <w:rPr>
          <w:sz w:val="20"/>
          <w:szCs w:val="20"/>
          <w:rtl/>
        </w:rPr>
        <w:br/>
      </w:r>
      <w:r w:rsidRPr="00C202ED">
        <w:rPr>
          <w:rFonts w:hint="cs"/>
          <w:sz w:val="20"/>
          <w:szCs w:val="20"/>
          <w:rtl/>
        </w:rPr>
        <w:t xml:space="preserve">9. מיטה נפתחת. מותר. </w:t>
      </w:r>
      <w:r w:rsidRPr="00C202ED">
        <w:rPr>
          <w:rFonts w:hint="cs"/>
          <w:b/>
          <w:bCs/>
          <w:sz w:val="20"/>
          <w:szCs w:val="20"/>
          <w:rtl/>
        </w:rPr>
        <w:t>טעם</w:t>
      </w:r>
      <w:r w:rsidRPr="00C202ED">
        <w:rPr>
          <w:rFonts w:hint="cs"/>
          <w:sz w:val="20"/>
          <w:szCs w:val="20"/>
          <w:rtl/>
        </w:rPr>
        <w:t>. לא גרע ממיטה מוקפת מסגרת.</w:t>
      </w:r>
      <w:r w:rsidRPr="00C202ED">
        <w:rPr>
          <w:sz w:val="20"/>
          <w:szCs w:val="20"/>
          <w:rtl/>
        </w:rPr>
        <w:br/>
      </w:r>
      <w:r w:rsidRPr="00C202ED">
        <w:rPr>
          <w:rFonts w:hint="cs"/>
          <w:sz w:val="20"/>
          <w:szCs w:val="20"/>
          <w:rtl/>
        </w:rPr>
        <w:t xml:space="preserve">10. שינה תחת שמיכה אחת. </w:t>
      </w:r>
      <w:r w:rsidRPr="00C202ED">
        <w:rPr>
          <w:rFonts w:hint="cs"/>
          <w:b/>
          <w:bCs/>
          <w:sz w:val="20"/>
          <w:szCs w:val="20"/>
          <w:rtl/>
        </w:rPr>
        <w:t>טה"ב</w:t>
      </w:r>
      <w:r w:rsidRPr="00C202ED">
        <w:rPr>
          <w:rFonts w:hint="cs"/>
          <w:sz w:val="20"/>
          <w:szCs w:val="20"/>
          <w:rtl/>
        </w:rPr>
        <w:t xml:space="preserve">. אסור, </w:t>
      </w:r>
      <w:r w:rsidRPr="00C202ED">
        <w:rPr>
          <w:rFonts w:hint="cs"/>
          <w:b/>
          <w:bCs/>
          <w:sz w:val="20"/>
          <w:szCs w:val="20"/>
          <w:rtl/>
        </w:rPr>
        <w:t>טעם</w:t>
      </w:r>
      <w:r>
        <w:rPr>
          <w:rFonts w:hint="cs"/>
          <w:sz w:val="20"/>
          <w:szCs w:val="20"/>
          <w:rtl/>
        </w:rPr>
        <w:t>. מצע עליון</w:t>
      </w:r>
      <w:r w:rsidRPr="00C202ED">
        <w:rPr>
          <w:rFonts w:hint="cs"/>
          <w:sz w:val="20"/>
          <w:szCs w:val="20"/>
          <w:rtl/>
        </w:rPr>
        <w:t xml:space="preserve"> לא גרע ממצע תחתון </w:t>
      </w:r>
      <w:r w:rsidRPr="00C202ED">
        <w:rPr>
          <w:rFonts w:hint="cs"/>
          <w:sz w:val="18"/>
          <w:szCs w:val="18"/>
          <w:rtl/>
        </w:rPr>
        <w:t xml:space="preserve">(מזרון) </w:t>
      </w:r>
      <w:r w:rsidRPr="00C202ED">
        <w:rPr>
          <w:rFonts w:hint="cs"/>
          <w:sz w:val="20"/>
          <w:szCs w:val="20"/>
          <w:rtl/>
        </w:rPr>
        <w:t>שאסור.</w:t>
      </w:r>
      <w:r w:rsidRPr="00C202ED">
        <w:rPr>
          <w:rFonts w:hint="cs"/>
          <w:sz w:val="20"/>
          <w:szCs w:val="20"/>
          <w:rtl/>
        </w:rPr>
        <w:br/>
        <w:t>11. שמיעת זמר אשתו.</w:t>
      </w:r>
      <w:r>
        <w:rPr>
          <w:rFonts w:hint="cs"/>
          <w:sz w:val="20"/>
          <w:szCs w:val="20"/>
          <w:rtl/>
        </w:rPr>
        <w:t xml:space="preserve"> </w:t>
      </w:r>
      <w:r w:rsidRPr="00A027A2">
        <w:rPr>
          <w:rFonts w:hint="cs"/>
          <w:b/>
          <w:bCs/>
          <w:sz w:val="20"/>
          <w:szCs w:val="20"/>
          <w:rtl/>
        </w:rPr>
        <w:t>פת"ש</w:t>
      </w:r>
      <w:r>
        <w:rPr>
          <w:rFonts w:hint="cs"/>
          <w:sz w:val="20"/>
          <w:szCs w:val="20"/>
          <w:rtl/>
        </w:rPr>
        <w:t xml:space="preserve">. צ"ע. </w:t>
      </w:r>
      <w:r w:rsidRPr="00A027A2">
        <w:rPr>
          <w:rFonts w:hint="cs"/>
          <w:b/>
          <w:bCs/>
          <w:sz w:val="20"/>
          <w:szCs w:val="20"/>
          <w:rtl/>
        </w:rPr>
        <w:t>טעם</w:t>
      </w:r>
      <w:r>
        <w:rPr>
          <w:rFonts w:hint="cs"/>
          <w:sz w:val="20"/>
          <w:szCs w:val="20"/>
          <w:rtl/>
        </w:rPr>
        <w:t xml:space="preserve">. נידה הוקשה לאשת רעהו. </w:t>
      </w:r>
      <w:r w:rsidRPr="00A027A2">
        <w:rPr>
          <w:rFonts w:hint="cs"/>
          <w:b/>
          <w:bCs/>
          <w:sz w:val="20"/>
          <w:szCs w:val="20"/>
          <w:rtl/>
        </w:rPr>
        <w:t>בא"ח</w:t>
      </w:r>
      <w:r>
        <w:rPr>
          <w:rFonts w:hint="cs"/>
          <w:sz w:val="20"/>
          <w:szCs w:val="20"/>
          <w:rtl/>
        </w:rPr>
        <w:t xml:space="preserve">. אסור, ובשעה"ד הקל. </w:t>
      </w:r>
      <w:r>
        <w:rPr>
          <w:b/>
          <w:bCs/>
          <w:sz w:val="20"/>
          <w:szCs w:val="20"/>
          <w:rtl/>
        </w:rPr>
        <w:br/>
      </w:r>
      <w:r w:rsidRPr="00A027A2">
        <w:rPr>
          <w:rFonts w:hint="cs"/>
          <w:b/>
          <w:bCs/>
          <w:sz w:val="20"/>
          <w:szCs w:val="20"/>
          <w:rtl/>
        </w:rPr>
        <w:t>טה"ב</w:t>
      </w:r>
      <w:r>
        <w:rPr>
          <w:rFonts w:hint="cs"/>
          <w:sz w:val="20"/>
          <w:szCs w:val="20"/>
          <w:rtl/>
        </w:rPr>
        <w:t xml:space="preserve">. מותר. </w:t>
      </w:r>
      <w:r w:rsidRPr="00A027A2">
        <w:rPr>
          <w:rFonts w:hint="cs"/>
          <w:b/>
          <w:bCs/>
          <w:sz w:val="20"/>
          <w:szCs w:val="20"/>
          <w:rtl/>
        </w:rPr>
        <w:t>טעם</w:t>
      </w:r>
      <w:r>
        <w:rPr>
          <w:rFonts w:hint="cs"/>
          <w:sz w:val="20"/>
          <w:szCs w:val="20"/>
          <w:rtl/>
        </w:rPr>
        <w:t>. ההיקש לאשת רעהו אינו היקש גמור, וטעם החילוק משום שהיא מותרת לו לאחר זמן.</w:t>
      </w:r>
    </w:p>
    <w:p w:rsidR="00620060" w:rsidRDefault="00620060" w:rsidP="00620060">
      <w:pPr>
        <w:rPr>
          <w:sz w:val="20"/>
          <w:szCs w:val="20"/>
          <w:rtl/>
        </w:rPr>
      </w:pPr>
      <w:r>
        <w:rPr>
          <w:sz w:val="20"/>
          <w:szCs w:val="20"/>
          <w:rtl/>
        </w:rPr>
        <w:br/>
      </w:r>
      <w:r>
        <w:rPr>
          <w:rFonts w:hint="cs"/>
          <w:b/>
          <w:bCs/>
          <w:sz w:val="20"/>
          <w:szCs w:val="20"/>
          <w:rtl/>
        </w:rPr>
        <w:t xml:space="preserve">סעיף ז </w:t>
      </w:r>
      <w:r>
        <w:rPr>
          <w:b/>
          <w:bCs/>
          <w:sz w:val="20"/>
          <w:szCs w:val="20"/>
          <w:rtl/>
        </w:rPr>
        <w:t>–</w:t>
      </w:r>
      <w:r>
        <w:rPr>
          <w:rFonts w:hint="cs"/>
          <w:b/>
          <w:bCs/>
          <w:sz w:val="20"/>
          <w:szCs w:val="20"/>
          <w:rtl/>
        </w:rPr>
        <w:t xml:space="preserve"> הסתכלות באשתו נידה</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גמרא </w:t>
      </w:r>
      <w:r>
        <w:rPr>
          <w:rFonts w:hint="cs"/>
          <w:sz w:val="20"/>
          <w:szCs w:val="20"/>
          <w:rtl/>
        </w:rPr>
        <w:t>נדרים (כ.) "</w:t>
      </w:r>
      <w:r>
        <w:rPr>
          <w:rFonts w:cs="Arial"/>
          <w:sz w:val="20"/>
          <w:szCs w:val="20"/>
          <w:rtl/>
        </w:rPr>
        <w:t>רבי אחא ברבי יאשיה אומר:</w:t>
      </w:r>
      <w:r>
        <w:rPr>
          <w:rFonts w:cs="Arial" w:hint="cs"/>
          <w:sz w:val="20"/>
          <w:szCs w:val="20"/>
          <w:rtl/>
        </w:rPr>
        <w:t xml:space="preserve">... </w:t>
      </w:r>
      <w:r w:rsidRPr="0065573A">
        <w:rPr>
          <w:rFonts w:cs="Arial"/>
          <w:sz w:val="20"/>
          <w:szCs w:val="20"/>
          <w:rtl/>
        </w:rPr>
        <w:t>כל המסתכל בעקבה של אשה - הויין לו בנים שאינן מהוגנין. אמר רב יוסף: ובאשתו נדה. אמר רבי שמעון בן לקיש: עקבה דקתני - במקום הטנופת, שהוא מכוון כנגד העק</w:t>
      </w:r>
      <w:r>
        <w:rPr>
          <w:rFonts w:cs="Arial" w:hint="cs"/>
          <w:sz w:val="20"/>
          <w:szCs w:val="20"/>
          <w:rtl/>
        </w:rPr>
        <w:t>ב".</w:t>
      </w:r>
    </w:p>
    <w:p w:rsidR="00620060" w:rsidRDefault="00620060" w:rsidP="00620060">
      <w:pPr>
        <w:rPr>
          <w:sz w:val="20"/>
          <w:szCs w:val="20"/>
          <w:rtl/>
        </w:rPr>
      </w:pPr>
      <w:r>
        <w:rPr>
          <w:rFonts w:hint="cs"/>
          <w:b/>
          <w:bCs/>
          <w:sz w:val="20"/>
          <w:szCs w:val="20"/>
          <w:rtl/>
        </w:rPr>
        <w:t>העולה מגמרא זו לדינא</w:t>
      </w:r>
      <w:r>
        <w:rPr>
          <w:b/>
          <w:bCs/>
          <w:sz w:val="20"/>
          <w:szCs w:val="20"/>
          <w:rtl/>
        </w:rPr>
        <w:br/>
      </w:r>
      <w:r>
        <w:rPr>
          <w:rFonts w:hint="cs"/>
          <w:b/>
          <w:bCs/>
          <w:sz w:val="20"/>
          <w:szCs w:val="20"/>
          <w:rtl/>
        </w:rPr>
        <w:t xml:space="preserve">טור </w:t>
      </w:r>
      <w:r>
        <w:rPr>
          <w:sz w:val="20"/>
          <w:szCs w:val="20"/>
          <w:rtl/>
        </w:rPr>
        <w:t>–</w:t>
      </w:r>
      <w:r>
        <w:rPr>
          <w:rFonts w:hint="cs"/>
          <w:sz w:val="20"/>
          <w:szCs w:val="20"/>
          <w:rtl/>
        </w:rPr>
        <w:t xml:space="preserve"> "</w:t>
      </w:r>
      <w:r w:rsidRPr="0065573A">
        <w:rPr>
          <w:rFonts w:cs="Arial"/>
          <w:sz w:val="20"/>
          <w:szCs w:val="20"/>
          <w:rtl/>
        </w:rPr>
        <w:t>ולא יסתכל אפי</w:t>
      </w:r>
      <w:r>
        <w:rPr>
          <w:rFonts w:cs="Arial" w:hint="cs"/>
          <w:sz w:val="20"/>
          <w:szCs w:val="20"/>
          <w:rtl/>
        </w:rPr>
        <w:t xml:space="preserve">לו </w:t>
      </w:r>
      <w:r w:rsidRPr="0065573A">
        <w:rPr>
          <w:rFonts w:cs="Arial"/>
          <w:sz w:val="20"/>
          <w:szCs w:val="20"/>
          <w:rtl/>
        </w:rPr>
        <w:t>בעקיבה</w:t>
      </w:r>
      <w:r>
        <w:rPr>
          <w:rFonts w:cs="Arial" w:hint="cs"/>
          <w:sz w:val="20"/>
          <w:szCs w:val="20"/>
          <w:rtl/>
        </w:rPr>
        <w:t>,</w:t>
      </w:r>
      <w:r w:rsidRPr="0065573A">
        <w:rPr>
          <w:rFonts w:cs="Arial"/>
          <w:sz w:val="20"/>
          <w:szCs w:val="20"/>
          <w:rtl/>
        </w:rPr>
        <w:t xml:space="preserve"> ולא בכל המקומות המכוסות בה</w:t>
      </w:r>
      <w:r>
        <w:rPr>
          <w:rFonts w:cs="Arial" w:hint="cs"/>
          <w:sz w:val="20"/>
          <w:szCs w:val="20"/>
          <w:rtl/>
        </w:rPr>
        <w:t>".</w:t>
      </w:r>
      <w:r>
        <w:rPr>
          <w:rFonts w:cs="Arial"/>
          <w:sz w:val="20"/>
          <w:szCs w:val="20"/>
          <w:rtl/>
        </w:rPr>
        <w:br/>
      </w:r>
      <w:r>
        <w:rPr>
          <w:rFonts w:cs="Arial" w:hint="cs"/>
          <w:sz w:val="20"/>
          <w:szCs w:val="20"/>
          <w:rtl/>
        </w:rPr>
        <w:br/>
      </w:r>
      <w:r>
        <w:rPr>
          <w:rFonts w:cs="Arial" w:hint="cs"/>
          <w:sz w:val="20"/>
          <w:szCs w:val="20"/>
          <w:u w:val="single"/>
          <w:rtl/>
        </w:rPr>
        <w:t>מניין יצא לטור דין זה</w:t>
      </w:r>
      <w:r>
        <w:rPr>
          <w:rFonts w:cs="Arial"/>
          <w:sz w:val="20"/>
          <w:szCs w:val="20"/>
          <w:u w:val="single"/>
          <w:rtl/>
        </w:rPr>
        <w:br/>
      </w:r>
      <w:r>
        <w:rPr>
          <w:rFonts w:cs="Arial" w:hint="cs"/>
          <w:sz w:val="20"/>
          <w:szCs w:val="20"/>
          <w:rtl/>
        </w:rPr>
        <w:t xml:space="preserve">א. </w:t>
      </w:r>
      <w:r w:rsidRPr="00E265DF">
        <w:rPr>
          <w:rFonts w:cs="Arial" w:hint="cs"/>
          <w:b/>
          <w:bCs/>
          <w:sz w:val="20"/>
          <w:szCs w:val="20"/>
          <w:rtl/>
        </w:rPr>
        <w:t>בית יוסף</w:t>
      </w:r>
      <w:r>
        <w:rPr>
          <w:rFonts w:cs="Arial" w:hint="cs"/>
          <w:sz w:val="20"/>
          <w:szCs w:val="20"/>
          <w:rtl/>
        </w:rPr>
        <w:t xml:space="preserve"> </w:t>
      </w:r>
      <w:r>
        <w:rPr>
          <w:rFonts w:cs="Arial"/>
          <w:sz w:val="20"/>
          <w:szCs w:val="20"/>
          <w:rtl/>
        </w:rPr>
        <w:t>–</w:t>
      </w:r>
      <w:r>
        <w:rPr>
          <w:rFonts w:cs="Arial" w:hint="cs"/>
          <w:sz w:val="20"/>
          <w:szCs w:val="20"/>
          <w:rtl/>
        </w:rPr>
        <w:t xml:space="preserve"> משמע לטור שמקום התורף לאו דווקא, אלא הוא הדין לכל המקומות המכוסים.</w:t>
      </w:r>
      <w:r>
        <w:rPr>
          <w:rFonts w:cs="Arial"/>
          <w:sz w:val="20"/>
          <w:szCs w:val="20"/>
          <w:rtl/>
        </w:rPr>
        <w:br/>
      </w:r>
      <w:r>
        <w:rPr>
          <w:rFonts w:cs="Arial" w:hint="cs"/>
          <w:sz w:val="20"/>
          <w:szCs w:val="20"/>
          <w:rtl/>
        </w:rPr>
        <w:t xml:space="preserve">ב. </w:t>
      </w:r>
      <w:r w:rsidRPr="00E265DF">
        <w:rPr>
          <w:rFonts w:cs="Arial" w:hint="cs"/>
          <w:b/>
          <w:bCs/>
          <w:sz w:val="20"/>
          <w:szCs w:val="20"/>
          <w:rtl/>
        </w:rPr>
        <w:t>דרישה</w:t>
      </w:r>
      <w:r>
        <w:rPr>
          <w:rFonts w:cs="Arial" w:hint="cs"/>
          <w:sz w:val="20"/>
          <w:szCs w:val="20"/>
          <w:rtl/>
        </w:rPr>
        <w:t xml:space="preserve"> </w:t>
      </w:r>
      <w:r>
        <w:rPr>
          <w:rFonts w:cs="Arial"/>
          <w:sz w:val="20"/>
          <w:szCs w:val="20"/>
          <w:rtl/>
        </w:rPr>
        <w:t>–</w:t>
      </w:r>
      <w:r>
        <w:rPr>
          <w:rFonts w:cs="Arial" w:hint="cs"/>
          <w:sz w:val="20"/>
          <w:szCs w:val="20"/>
          <w:rtl/>
        </w:rPr>
        <w:t xml:space="preserve"> הטור הבין שמקום התורף האמור בגמרא אינו מקום התורפה ממש, אלא כל מקום המכוסה נקרא תורפה, ומה שנקטה הגמרא עקבה הוא לרבותא, שאע"פ שהוא מכוסה רק מעט, מכל מקום אין להסתכל בו, ממילא משמע שהוא הדין לשאר המקומות שהם מכוסים טפי ואינם מגולים כלל שאסור להסתכל בהם.</w:t>
      </w:r>
      <w:r>
        <w:rPr>
          <w:sz w:val="20"/>
          <w:szCs w:val="20"/>
          <w:rtl/>
        </w:rPr>
        <w:br/>
      </w:r>
      <w:r>
        <w:rPr>
          <w:b/>
          <w:bCs/>
          <w:sz w:val="20"/>
          <w:szCs w:val="20"/>
          <w:rtl/>
        </w:rPr>
        <w:br/>
      </w:r>
      <w:r>
        <w:rPr>
          <w:rFonts w:hint="cs"/>
          <w:b/>
          <w:bCs/>
          <w:sz w:val="20"/>
          <w:szCs w:val="20"/>
          <w:rtl/>
        </w:rPr>
        <w:t>הסתכלות במקומות שאינם מכוסים</w:t>
      </w:r>
      <w:r>
        <w:rPr>
          <w:b/>
          <w:bCs/>
          <w:sz w:val="20"/>
          <w:szCs w:val="20"/>
          <w:rtl/>
        </w:rPr>
        <w:br/>
      </w:r>
      <w:r>
        <w:rPr>
          <w:rFonts w:hint="cs"/>
          <w:b/>
          <w:bCs/>
          <w:sz w:val="20"/>
          <w:szCs w:val="20"/>
          <w:rtl/>
        </w:rPr>
        <w:t xml:space="preserve">בית יוסף </w:t>
      </w:r>
      <w:r>
        <w:rPr>
          <w:sz w:val="20"/>
          <w:szCs w:val="20"/>
          <w:rtl/>
        </w:rPr>
        <w:t>–</w:t>
      </w:r>
      <w:r>
        <w:rPr>
          <w:rFonts w:hint="cs"/>
          <w:sz w:val="20"/>
          <w:szCs w:val="20"/>
          <w:rtl/>
        </w:rPr>
        <w:t xml:space="preserve"> משמע בגמרא הנ"ל שבשאר מקומות שאינם מכוסים, מותר להסתכל.</w:t>
      </w:r>
      <w:r>
        <w:rPr>
          <w:sz w:val="20"/>
          <w:szCs w:val="20"/>
          <w:rtl/>
        </w:rPr>
        <w:br/>
      </w:r>
      <w:r>
        <w:rPr>
          <w:rFonts w:hint="cs"/>
          <w:sz w:val="20"/>
          <w:szCs w:val="20"/>
          <w:rtl/>
        </w:rPr>
        <w:t>וכן משמע גם מכך שהתירו לה להתקשט בימי נידותה כדי שלא תתגנה על בעלה.</w:t>
      </w:r>
      <w:r>
        <w:rPr>
          <w:rFonts w:hint="cs"/>
          <w:sz w:val="20"/>
          <w:szCs w:val="20"/>
          <w:rtl/>
        </w:rPr>
        <w:br/>
        <w:t xml:space="preserve">וכן פסק </w:t>
      </w:r>
      <w:r w:rsidRPr="00F04EAD">
        <w:rPr>
          <w:rFonts w:hint="cs"/>
          <w:b/>
          <w:bCs/>
          <w:sz w:val="20"/>
          <w:szCs w:val="20"/>
          <w:rtl/>
        </w:rPr>
        <w:t>הרמב"ם</w:t>
      </w:r>
      <w:r>
        <w:rPr>
          <w:rFonts w:hint="cs"/>
          <w:sz w:val="20"/>
          <w:szCs w:val="20"/>
          <w:rtl/>
        </w:rPr>
        <w:t xml:space="preserve"> להדיא </w:t>
      </w:r>
      <w:r>
        <w:rPr>
          <w:sz w:val="20"/>
          <w:szCs w:val="20"/>
          <w:rtl/>
        </w:rPr>
        <w:t>–</w:t>
      </w:r>
      <w:r>
        <w:rPr>
          <w:rFonts w:hint="cs"/>
          <w:sz w:val="20"/>
          <w:szCs w:val="20"/>
          <w:rtl/>
        </w:rPr>
        <w:t xml:space="preserve"> "</w:t>
      </w:r>
      <w:r w:rsidRPr="00F04EAD">
        <w:rPr>
          <w:rFonts w:cs="Arial"/>
          <w:sz w:val="20"/>
          <w:szCs w:val="20"/>
          <w:rtl/>
        </w:rPr>
        <w:t>ומותר לאדם להביט באשתו כשהיא נדה ואף על פי שהיא ער</w:t>
      </w:r>
      <w:r>
        <w:rPr>
          <w:rFonts w:cs="Arial" w:hint="cs"/>
          <w:sz w:val="20"/>
          <w:szCs w:val="20"/>
          <w:rtl/>
        </w:rPr>
        <w:t>ו</w:t>
      </w:r>
      <w:r w:rsidRPr="00F04EAD">
        <w:rPr>
          <w:rFonts w:cs="Arial"/>
          <w:sz w:val="20"/>
          <w:szCs w:val="20"/>
          <w:rtl/>
        </w:rPr>
        <w:t>וה, ואף על פי שיש לו הנאת לב ממנה בראייה</w:t>
      </w:r>
      <w:r>
        <w:rPr>
          <w:rFonts w:cs="Arial" w:hint="cs"/>
          <w:sz w:val="20"/>
          <w:szCs w:val="20"/>
          <w:rtl/>
        </w:rPr>
        <w:t>,</w:t>
      </w:r>
      <w:r w:rsidRPr="00F04EAD">
        <w:rPr>
          <w:rFonts w:cs="Arial"/>
          <w:sz w:val="20"/>
          <w:szCs w:val="20"/>
          <w:rtl/>
        </w:rPr>
        <w:t xml:space="preserve"> הואיל והיא מותרת לו לאחר זמן אינו בא בזה לדבר מכשול</w:t>
      </w:r>
      <w:r>
        <w:rPr>
          <w:rStyle w:val="a5"/>
          <w:rFonts w:cs="Arial"/>
          <w:sz w:val="20"/>
          <w:szCs w:val="20"/>
          <w:rtl/>
        </w:rPr>
        <w:footnoteReference w:id="476"/>
      </w:r>
      <w:r>
        <w:rPr>
          <w:rFonts w:cs="Arial" w:hint="cs"/>
          <w:sz w:val="20"/>
          <w:szCs w:val="20"/>
          <w:rtl/>
        </w:rPr>
        <w:t>".</w:t>
      </w:r>
    </w:p>
    <w:p w:rsidR="00620060" w:rsidRDefault="00620060" w:rsidP="00620060">
      <w:pPr>
        <w:rPr>
          <w:sz w:val="20"/>
          <w:szCs w:val="20"/>
          <w:rtl/>
        </w:rPr>
      </w:pPr>
      <w:r>
        <w:rPr>
          <w:rFonts w:hint="cs"/>
          <w:b/>
          <w:bCs/>
          <w:sz w:val="20"/>
          <w:szCs w:val="20"/>
          <w:rtl/>
        </w:rPr>
        <w:lastRenderedPageBreak/>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BC300B">
        <w:rPr>
          <w:rFonts w:cs="Arial"/>
          <w:sz w:val="20"/>
          <w:szCs w:val="20"/>
          <w:rtl/>
        </w:rPr>
        <w:t>לא יסתכל אפילו בע</w:t>
      </w:r>
      <w:r>
        <w:rPr>
          <w:rFonts w:cs="Arial"/>
          <w:sz w:val="20"/>
          <w:szCs w:val="20"/>
          <w:rtl/>
        </w:rPr>
        <w:t>קבה, ולא במקומות המכוסים שבה</w:t>
      </w:r>
      <w:r>
        <w:rPr>
          <w:rFonts w:cs="Arial" w:hint="cs"/>
          <w:sz w:val="20"/>
          <w:szCs w:val="20"/>
          <w:rtl/>
        </w:rPr>
        <w:t>.</w:t>
      </w:r>
      <w:r>
        <w:rPr>
          <w:rFonts w:cs="Arial"/>
          <w:sz w:val="20"/>
          <w:szCs w:val="20"/>
          <w:rtl/>
        </w:rPr>
        <w:t xml:space="preserve"> </w:t>
      </w:r>
      <w:r w:rsidRPr="00BC300B">
        <w:rPr>
          <w:rFonts w:cs="Arial" w:hint="cs"/>
          <w:sz w:val="18"/>
          <w:szCs w:val="18"/>
          <w:rtl/>
        </w:rPr>
        <w:t xml:space="preserve">הגה: </w:t>
      </w:r>
      <w:r w:rsidRPr="00BC300B">
        <w:rPr>
          <w:rFonts w:cs="Arial"/>
          <w:sz w:val="18"/>
          <w:szCs w:val="18"/>
          <w:rtl/>
        </w:rPr>
        <w:t>אבל מותר להסתכל בה במקומות הגלו</w:t>
      </w:r>
      <w:r>
        <w:rPr>
          <w:rFonts w:cs="Arial" w:hint="cs"/>
          <w:sz w:val="18"/>
          <w:szCs w:val="18"/>
          <w:rtl/>
        </w:rPr>
        <w:t>י</w:t>
      </w:r>
      <w:r w:rsidRPr="00BC300B">
        <w:rPr>
          <w:rFonts w:cs="Arial"/>
          <w:sz w:val="18"/>
          <w:szCs w:val="18"/>
          <w:rtl/>
        </w:rPr>
        <w:t>ים אף על פי שנהנה בראייתה</w:t>
      </w:r>
      <w:r>
        <w:rPr>
          <w:rFonts w:cs="Arial" w:hint="cs"/>
          <w:sz w:val="20"/>
          <w:szCs w:val="20"/>
          <w:rtl/>
        </w:rPr>
        <w:t>".</w:t>
      </w:r>
      <w:r>
        <w:rPr>
          <w:sz w:val="20"/>
          <w:szCs w:val="20"/>
          <w:rtl/>
        </w:rPr>
        <w:br/>
      </w:r>
      <w:r w:rsidRPr="006801D1">
        <w:rPr>
          <w:rFonts w:hint="cs"/>
          <w:b/>
          <w:bCs/>
          <w:sz w:val="20"/>
          <w:szCs w:val="20"/>
          <w:rtl/>
        </w:rPr>
        <w:t>טהרת הבית</w:t>
      </w:r>
      <w:r>
        <w:rPr>
          <w:rFonts w:hint="cs"/>
          <w:sz w:val="20"/>
          <w:szCs w:val="20"/>
          <w:rtl/>
        </w:rPr>
        <w:t xml:space="preserve"> </w:t>
      </w:r>
      <w:r w:rsidRPr="006801D1">
        <w:rPr>
          <w:rFonts w:hint="cs"/>
          <w:sz w:val="18"/>
          <w:szCs w:val="18"/>
          <w:rtl/>
        </w:rPr>
        <w:t xml:space="preserve">(עמ' קסז) </w:t>
      </w:r>
      <w:r>
        <w:rPr>
          <w:sz w:val="20"/>
          <w:szCs w:val="20"/>
          <w:rtl/>
        </w:rPr>
        <w:t>–</w:t>
      </w:r>
      <w:r>
        <w:rPr>
          <w:rFonts w:hint="cs"/>
          <w:sz w:val="20"/>
          <w:szCs w:val="20"/>
          <w:rtl/>
        </w:rPr>
        <w:t xml:space="preserve"> האיסור דווקא בהסתכלות בכוונה כדי ליהנות מיופייה, אך ראיה בעלמא מותרת.</w:t>
      </w:r>
      <w:r>
        <w:rPr>
          <w:rStyle w:val="a5"/>
          <w:sz w:val="20"/>
          <w:szCs w:val="20"/>
          <w:rtl/>
        </w:rPr>
        <w:footnoteReference w:id="477"/>
      </w:r>
    </w:p>
    <w:p w:rsidR="00620060" w:rsidRDefault="00620060" w:rsidP="00620060">
      <w:pPr>
        <w:rPr>
          <w:sz w:val="20"/>
          <w:szCs w:val="20"/>
          <w:rtl/>
        </w:rPr>
      </w:pPr>
      <w:r>
        <w:rPr>
          <w:rFonts w:hint="cs"/>
          <w:sz w:val="20"/>
          <w:szCs w:val="20"/>
          <w:u w:val="single"/>
          <w:rtl/>
        </w:rPr>
        <w:t>אופן לבוש האשה בביתה בימי נידותה</w:t>
      </w:r>
      <w:r>
        <w:rPr>
          <w:sz w:val="20"/>
          <w:szCs w:val="20"/>
          <w:u w:val="single"/>
          <w:rtl/>
        </w:rPr>
        <w:br/>
      </w:r>
      <w:r>
        <w:rPr>
          <w:rFonts w:hint="cs"/>
          <w:sz w:val="20"/>
          <w:szCs w:val="20"/>
          <w:rtl/>
        </w:rPr>
        <w:t xml:space="preserve">א. </w:t>
      </w:r>
      <w:r w:rsidRPr="00096915">
        <w:rPr>
          <w:rFonts w:hint="cs"/>
          <w:b/>
          <w:bCs/>
          <w:sz w:val="20"/>
          <w:szCs w:val="20"/>
          <w:rtl/>
        </w:rPr>
        <w:t>אגרות משה</w:t>
      </w:r>
      <w:r>
        <w:rPr>
          <w:rFonts w:hint="cs"/>
          <w:sz w:val="20"/>
          <w:szCs w:val="20"/>
          <w:rtl/>
        </w:rPr>
        <w:t xml:space="preserve"> </w:t>
      </w:r>
      <w:r w:rsidRPr="00096915">
        <w:rPr>
          <w:rFonts w:hint="cs"/>
          <w:sz w:val="18"/>
          <w:szCs w:val="18"/>
          <w:rtl/>
        </w:rPr>
        <w:t xml:space="preserve">(יו"ד, ב, עה) </w:t>
      </w:r>
      <w:r>
        <w:rPr>
          <w:sz w:val="20"/>
          <w:szCs w:val="20"/>
          <w:rtl/>
        </w:rPr>
        <w:t>–</w:t>
      </w:r>
      <w:r>
        <w:rPr>
          <w:rFonts w:hint="cs"/>
          <w:sz w:val="20"/>
          <w:szCs w:val="20"/>
          <w:rtl/>
        </w:rPr>
        <w:t xml:space="preserve"> מסתבר שמותר לאשה להיות לבושה בביתה בימי נידותה כדרך שהיא לבושה בימי טהרתה. וכגון, אם רגילה ללכת בחולצה קצרה וללא כיסוי ראש בביתה בימי טהרתה, מותר לה ללכת כן אף בימי נידותה.</w:t>
      </w:r>
      <w:r>
        <w:rPr>
          <w:rStyle w:val="a5"/>
          <w:sz w:val="20"/>
          <w:szCs w:val="20"/>
          <w:rtl/>
        </w:rPr>
        <w:footnoteReference w:id="478"/>
      </w:r>
      <w:r>
        <w:rPr>
          <w:sz w:val="20"/>
          <w:szCs w:val="20"/>
          <w:rtl/>
        </w:rPr>
        <w:br/>
      </w:r>
      <w:r>
        <w:rPr>
          <w:rFonts w:hint="cs"/>
          <w:sz w:val="20"/>
          <w:szCs w:val="20"/>
          <w:rtl/>
        </w:rPr>
        <w:t xml:space="preserve">ב. </w:t>
      </w:r>
      <w:r w:rsidRPr="009F6BE5">
        <w:rPr>
          <w:rFonts w:hint="cs"/>
          <w:b/>
          <w:bCs/>
          <w:sz w:val="20"/>
          <w:szCs w:val="20"/>
          <w:rtl/>
        </w:rPr>
        <w:t xml:space="preserve">ששבה"ל </w:t>
      </w:r>
      <w:r>
        <w:rPr>
          <w:rFonts w:hint="cs"/>
          <w:sz w:val="20"/>
          <w:szCs w:val="20"/>
          <w:rtl/>
        </w:rPr>
        <w:t>- נוהגים ששיער ראשה נחשב כמקום מכוסה אפילו בבית.</w:t>
      </w:r>
    </w:p>
    <w:p w:rsidR="00620060" w:rsidRPr="009F6BE5" w:rsidRDefault="00620060" w:rsidP="00620060">
      <w:pPr>
        <w:rPr>
          <w:sz w:val="20"/>
          <w:szCs w:val="20"/>
          <w:rtl/>
        </w:rPr>
      </w:pPr>
      <w:r>
        <w:rPr>
          <w:rFonts w:hint="cs"/>
          <w:sz w:val="20"/>
          <w:szCs w:val="20"/>
          <w:u w:val="single"/>
          <w:rtl/>
        </w:rPr>
        <w:t xml:space="preserve">נוכחות הבעל בעת לידה </w:t>
      </w:r>
      <w:r>
        <w:rPr>
          <w:rFonts w:hint="cs"/>
          <w:sz w:val="20"/>
          <w:szCs w:val="20"/>
          <w:u w:val="single"/>
          <w:rtl/>
        </w:rPr>
        <w:br/>
      </w:r>
      <w:r>
        <w:rPr>
          <w:rFonts w:hint="cs"/>
          <w:sz w:val="20"/>
          <w:szCs w:val="20"/>
          <w:rtl/>
        </w:rPr>
        <w:t>האם מותר לבעל להיות נוכח בחדר לידה כאשר אשתו יולדת?</w:t>
      </w:r>
      <w:r>
        <w:rPr>
          <w:sz w:val="20"/>
          <w:szCs w:val="20"/>
          <w:u w:val="single"/>
          <w:rtl/>
        </w:rPr>
        <w:br/>
      </w:r>
      <w:r>
        <w:rPr>
          <w:rFonts w:hint="cs"/>
          <w:sz w:val="20"/>
          <w:szCs w:val="20"/>
          <w:rtl/>
        </w:rPr>
        <w:t xml:space="preserve">א. </w:t>
      </w:r>
      <w:r w:rsidRPr="009F6BE5">
        <w:rPr>
          <w:rFonts w:hint="cs"/>
          <w:b/>
          <w:bCs/>
          <w:sz w:val="20"/>
          <w:szCs w:val="20"/>
          <w:rtl/>
        </w:rPr>
        <w:t>ששבה"ל</w:t>
      </w:r>
      <w:r>
        <w:rPr>
          <w:rFonts w:hint="cs"/>
          <w:sz w:val="20"/>
          <w:szCs w:val="20"/>
          <w:rtl/>
        </w:rPr>
        <w:t xml:space="preserve"> </w:t>
      </w:r>
      <w:r>
        <w:rPr>
          <w:sz w:val="20"/>
          <w:szCs w:val="20"/>
          <w:rtl/>
        </w:rPr>
        <w:t>–</w:t>
      </w:r>
      <w:r>
        <w:rPr>
          <w:rFonts w:hint="cs"/>
          <w:sz w:val="20"/>
          <w:szCs w:val="20"/>
          <w:rtl/>
        </w:rPr>
        <w:t xml:space="preserve"> אסור אע"פ שאינו מסתכל, ורק בזמן הצירים מותר כדי לחזקה.</w:t>
      </w:r>
      <w:r>
        <w:rPr>
          <w:sz w:val="20"/>
          <w:szCs w:val="20"/>
          <w:rtl/>
        </w:rPr>
        <w:br/>
      </w:r>
      <w:r>
        <w:rPr>
          <w:rFonts w:hint="cs"/>
          <w:sz w:val="20"/>
          <w:szCs w:val="20"/>
          <w:rtl/>
        </w:rPr>
        <w:t xml:space="preserve">ב. </w:t>
      </w:r>
      <w:r w:rsidRPr="009F6BE5">
        <w:rPr>
          <w:rFonts w:hint="cs"/>
          <w:b/>
          <w:bCs/>
          <w:sz w:val="20"/>
          <w:szCs w:val="20"/>
          <w:rtl/>
        </w:rPr>
        <w:t>אגרות משה</w:t>
      </w:r>
      <w:r>
        <w:rPr>
          <w:rFonts w:hint="cs"/>
          <w:sz w:val="20"/>
          <w:szCs w:val="20"/>
          <w:rtl/>
        </w:rPr>
        <w:t xml:space="preserve"> </w:t>
      </w:r>
      <w:r w:rsidRPr="009F6BE5">
        <w:rPr>
          <w:rFonts w:hint="cs"/>
          <w:sz w:val="18"/>
          <w:szCs w:val="18"/>
          <w:rtl/>
        </w:rPr>
        <w:t xml:space="preserve">(יו"ד, ב, עה) </w:t>
      </w:r>
      <w:r>
        <w:rPr>
          <w:sz w:val="20"/>
          <w:szCs w:val="20"/>
          <w:rtl/>
        </w:rPr>
        <w:t>–</w:t>
      </w:r>
      <w:r>
        <w:rPr>
          <w:rFonts w:hint="cs"/>
          <w:sz w:val="20"/>
          <w:szCs w:val="20"/>
          <w:rtl/>
        </w:rPr>
        <w:t xml:space="preserve"> מותר, ואפילו אם היא אינה צריכה אותו ואינה זקוקה כלל עזרה, ומכל מקום אסור לו להסתכל בשעת יציאת הוולד, שהרי אפילו בטהורה אסור להסתכל במקום התורפה.</w:t>
      </w:r>
    </w:p>
    <w:p w:rsidR="00620060" w:rsidRDefault="00620060" w:rsidP="00620060">
      <w:pPr>
        <w:rPr>
          <w:sz w:val="20"/>
          <w:szCs w:val="20"/>
          <w:rtl/>
        </w:rPr>
      </w:pPr>
      <w:r w:rsidRPr="008B43F4">
        <w:rPr>
          <w:rFonts w:hint="cs"/>
          <w:b/>
          <w:bCs/>
          <w:sz w:val="20"/>
          <w:szCs w:val="20"/>
          <w:rtl/>
        </w:rPr>
        <w:t>סיכום</w:t>
      </w:r>
      <w:r>
        <w:rPr>
          <w:sz w:val="20"/>
          <w:szCs w:val="20"/>
          <w:rtl/>
        </w:rPr>
        <w:br/>
      </w:r>
      <w:r>
        <w:rPr>
          <w:rFonts w:hint="cs"/>
          <w:sz w:val="20"/>
          <w:szCs w:val="20"/>
          <w:rtl/>
        </w:rPr>
        <w:t xml:space="preserve">1. </w:t>
      </w:r>
      <w:r w:rsidRPr="008B43F4">
        <w:rPr>
          <w:rFonts w:hint="cs"/>
          <w:b/>
          <w:bCs/>
          <w:sz w:val="20"/>
          <w:szCs w:val="20"/>
          <w:rtl/>
        </w:rPr>
        <w:t>גמרא</w:t>
      </w:r>
      <w:r>
        <w:rPr>
          <w:rFonts w:hint="cs"/>
          <w:sz w:val="20"/>
          <w:szCs w:val="20"/>
          <w:rtl/>
        </w:rPr>
        <w:t xml:space="preserve">. אין להסתכל בעקבה של אשה. </w:t>
      </w:r>
      <w:r w:rsidRPr="008B43F4">
        <w:rPr>
          <w:rFonts w:hint="cs"/>
          <w:sz w:val="20"/>
          <w:szCs w:val="20"/>
          <w:u w:val="single"/>
          <w:rtl/>
        </w:rPr>
        <w:t>רב יוסף</w:t>
      </w:r>
      <w:r>
        <w:rPr>
          <w:rFonts w:hint="cs"/>
          <w:sz w:val="20"/>
          <w:szCs w:val="20"/>
          <w:rtl/>
        </w:rPr>
        <w:t xml:space="preserve">. באשתו נידה. </w:t>
      </w:r>
      <w:r w:rsidRPr="008B43F4">
        <w:rPr>
          <w:rFonts w:hint="cs"/>
          <w:sz w:val="20"/>
          <w:szCs w:val="20"/>
          <w:u w:val="single"/>
          <w:rtl/>
        </w:rPr>
        <w:t>ר"ל</w:t>
      </w:r>
      <w:r>
        <w:rPr>
          <w:rFonts w:hint="cs"/>
          <w:sz w:val="20"/>
          <w:szCs w:val="20"/>
          <w:rtl/>
        </w:rPr>
        <w:t>. עקבה הוא מקום הטינופת.</w:t>
      </w:r>
      <w:r>
        <w:rPr>
          <w:sz w:val="20"/>
          <w:szCs w:val="20"/>
          <w:rtl/>
        </w:rPr>
        <w:br/>
      </w:r>
      <w:r>
        <w:rPr>
          <w:rFonts w:hint="cs"/>
          <w:sz w:val="20"/>
          <w:szCs w:val="20"/>
          <w:rtl/>
        </w:rPr>
        <w:t xml:space="preserve">2. </w:t>
      </w:r>
      <w:r w:rsidRPr="008B43F4">
        <w:rPr>
          <w:rFonts w:hint="cs"/>
          <w:b/>
          <w:bCs/>
          <w:sz w:val="20"/>
          <w:szCs w:val="20"/>
          <w:rtl/>
        </w:rPr>
        <w:t>טור</w:t>
      </w:r>
      <w:r>
        <w:rPr>
          <w:rFonts w:hint="cs"/>
          <w:sz w:val="20"/>
          <w:szCs w:val="20"/>
          <w:rtl/>
        </w:rPr>
        <w:t xml:space="preserve">. אין להסתכל בעקבה ובשאר מקומות המכוסים. </w:t>
      </w:r>
      <w:r w:rsidRPr="008B43F4">
        <w:rPr>
          <w:rFonts w:hint="cs"/>
          <w:b/>
          <w:bCs/>
          <w:sz w:val="20"/>
          <w:szCs w:val="20"/>
          <w:rtl/>
        </w:rPr>
        <w:t>ב"י</w:t>
      </w:r>
      <w:r>
        <w:rPr>
          <w:rFonts w:hint="cs"/>
          <w:sz w:val="20"/>
          <w:szCs w:val="20"/>
          <w:rtl/>
        </w:rPr>
        <w:t xml:space="preserve">. הטור פסק כר"ל ומקום התורף אסור וה"ה לשאר מקומות המכוסים. </w:t>
      </w:r>
      <w:r w:rsidRPr="008B43F4">
        <w:rPr>
          <w:rFonts w:hint="cs"/>
          <w:b/>
          <w:bCs/>
          <w:sz w:val="20"/>
          <w:szCs w:val="20"/>
          <w:rtl/>
        </w:rPr>
        <w:t>דרישה</w:t>
      </w:r>
      <w:r>
        <w:rPr>
          <w:rFonts w:hint="cs"/>
          <w:sz w:val="20"/>
          <w:szCs w:val="20"/>
          <w:rtl/>
        </w:rPr>
        <w:t xml:space="preserve">. מקום תורף האמור בגמרא הוא כל מקום מכוסה. </w:t>
      </w:r>
      <w:r>
        <w:rPr>
          <w:rFonts w:hint="cs"/>
          <w:sz w:val="20"/>
          <w:szCs w:val="20"/>
          <w:rtl/>
        </w:rPr>
        <w:br/>
        <w:t xml:space="preserve">3. </w:t>
      </w:r>
      <w:r w:rsidRPr="008B43F4">
        <w:rPr>
          <w:rFonts w:hint="cs"/>
          <w:b/>
          <w:bCs/>
          <w:sz w:val="20"/>
          <w:szCs w:val="20"/>
          <w:rtl/>
        </w:rPr>
        <w:t>בית יוסף</w:t>
      </w:r>
      <w:r>
        <w:rPr>
          <w:rFonts w:hint="cs"/>
          <w:sz w:val="20"/>
          <w:szCs w:val="20"/>
          <w:rtl/>
        </w:rPr>
        <w:t xml:space="preserve">. במקומות שאינם מכוסים מותר להסתכל, כך משמע בגמרא וברמב"ם. </w:t>
      </w:r>
      <w:r w:rsidRPr="00E2127E">
        <w:rPr>
          <w:rFonts w:hint="cs"/>
          <w:sz w:val="18"/>
          <w:szCs w:val="18"/>
          <w:rtl/>
        </w:rPr>
        <w:t xml:space="preserve">(ודעת </w:t>
      </w:r>
      <w:r w:rsidRPr="008B43F4">
        <w:rPr>
          <w:rFonts w:hint="cs"/>
          <w:b/>
          <w:bCs/>
          <w:sz w:val="18"/>
          <w:szCs w:val="18"/>
          <w:rtl/>
        </w:rPr>
        <w:t>המגיד משנה</w:t>
      </w:r>
      <w:r w:rsidRPr="00E2127E">
        <w:rPr>
          <w:rFonts w:hint="cs"/>
          <w:sz w:val="18"/>
          <w:szCs w:val="18"/>
          <w:rtl/>
        </w:rPr>
        <w:t xml:space="preserve"> שהרמב"ם מתיר בנידה הסתכלות גם במקומות המכוסים, וכ"פ </w:t>
      </w:r>
      <w:r w:rsidRPr="00721E3F">
        <w:rPr>
          <w:rFonts w:hint="cs"/>
          <w:b/>
          <w:bCs/>
          <w:sz w:val="18"/>
          <w:szCs w:val="18"/>
          <w:rtl/>
        </w:rPr>
        <w:t>טה"ב</w:t>
      </w:r>
      <w:r w:rsidRPr="00E2127E">
        <w:rPr>
          <w:rFonts w:hint="cs"/>
          <w:sz w:val="18"/>
          <w:szCs w:val="18"/>
          <w:rtl/>
        </w:rPr>
        <w:t xml:space="preserve"> לעיקר הדין וכן פירש את דבר</w:t>
      </w:r>
      <w:r>
        <w:rPr>
          <w:rFonts w:hint="cs"/>
          <w:sz w:val="18"/>
          <w:szCs w:val="18"/>
          <w:rtl/>
        </w:rPr>
        <w:t>י</w:t>
      </w:r>
      <w:r w:rsidRPr="00E2127E">
        <w:rPr>
          <w:rFonts w:hint="cs"/>
          <w:sz w:val="18"/>
          <w:szCs w:val="18"/>
          <w:rtl/>
        </w:rPr>
        <w:t xml:space="preserve"> המחבר).</w:t>
      </w:r>
      <w:r>
        <w:rPr>
          <w:rFonts w:hint="cs"/>
          <w:sz w:val="20"/>
          <w:szCs w:val="20"/>
          <w:rtl/>
        </w:rPr>
        <w:br/>
        <w:t xml:space="preserve">4. </w:t>
      </w:r>
      <w:r w:rsidRPr="008B43F4">
        <w:rPr>
          <w:rFonts w:hint="cs"/>
          <w:b/>
          <w:bCs/>
          <w:sz w:val="20"/>
          <w:szCs w:val="20"/>
          <w:rtl/>
        </w:rPr>
        <w:t>מחבר</w:t>
      </w:r>
      <w:r>
        <w:rPr>
          <w:rFonts w:hint="cs"/>
          <w:sz w:val="20"/>
          <w:szCs w:val="20"/>
          <w:rtl/>
        </w:rPr>
        <w:t xml:space="preserve">. אין להסתכל בעקבה ובשאר מקומות המכוסים. </w:t>
      </w:r>
      <w:r w:rsidRPr="008B43F4">
        <w:rPr>
          <w:rFonts w:hint="cs"/>
          <w:b/>
          <w:bCs/>
          <w:sz w:val="20"/>
          <w:szCs w:val="20"/>
          <w:rtl/>
        </w:rPr>
        <w:t>רמ"א</w:t>
      </w:r>
      <w:r>
        <w:rPr>
          <w:rFonts w:hint="cs"/>
          <w:sz w:val="20"/>
          <w:szCs w:val="20"/>
          <w:rtl/>
        </w:rPr>
        <w:t>. במקומות שאינם מכוסים מותר אע"פ שנהנה.</w:t>
      </w:r>
      <w:r>
        <w:rPr>
          <w:sz w:val="20"/>
          <w:szCs w:val="20"/>
          <w:rtl/>
        </w:rPr>
        <w:br/>
      </w:r>
      <w:r w:rsidRPr="008B43F4">
        <w:rPr>
          <w:rFonts w:hint="cs"/>
          <w:b/>
          <w:bCs/>
          <w:sz w:val="20"/>
          <w:szCs w:val="20"/>
          <w:rtl/>
        </w:rPr>
        <w:t>טה"ב</w:t>
      </w:r>
      <w:r>
        <w:rPr>
          <w:rFonts w:hint="cs"/>
          <w:sz w:val="20"/>
          <w:szCs w:val="20"/>
          <w:rtl/>
        </w:rPr>
        <w:t>. ראיה בעלמא מותרת אפילו במקומות המכוסים, רק הסתכלות כדי ליהנות אסורה.</w:t>
      </w:r>
      <w:r>
        <w:rPr>
          <w:rFonts w:hint="cs"/>
          <w:sz w:val="20"/>
          <w:szCs w:val="20"/>
          <w:rtl/>
        </w:rPr>
        <w:br/>
        <w:t xml:space="preserve">5. </w:t>
      </w:r>
      <w:r w:rsidRPr="008B43F4">
        <w:rPr>
          <w:rFonts w:hint="cs"/>
          <w:b/>
          <w:bCs/>
          <w:sz w:val="20"/>
          <w:szCs w:val="20"/>
          <w:rtl/>
        </w:rPr>
        <w:t>אג"מ</w:t>
      </w:r>
      <w:r>
        <w:rPr>
          <w:rFonts w:hint="cs"/>
          <w:sz w:val="20"/>
          <w:szCs w:val="20"/>
          <w:rtl/>
        </w:rPr>
        <w:t xml:space="preserve">. מותר לנידה להתלבש בביתה כדרכה בימי טהרתה, אע"פ שאינה לבושה כדרך שיוצאת לשוק, ולכן אינה צריכה לכסות ראשה. </w:t>
      </w:r>
      <w:r w:rsidRPr="008B43F4">
        <w:rPr>
          <w:rFonts w:hint="cs"/>
          <w:b/>
          <w:bCs/>
          <w:sz w:val="20"/>
          <w:szCs w:val="20"/>
          <w:rtl/>
        </w:rPr>
        <w:t>ששבה"ל</w:t>
      </w:r>
      <w:r>
        <w:rPr>
          <w:rFonts w:hint="cs"/>
          <w:sz w:val="20"/>
          <w:szCs w:val="20"/>
          <w:rtl/>
        </w:rPr>
        <w:t>. נוהגים לכסות את הראש אפילו בבית.</w:t>
      </w:r>
      <w:r>
        <w:rPr>
          <w:sz w:val="20"/>
          <w:szCs w:val="20"/>
          <w:rtl/>
        </w:rPr>
        <w:br/>
      </w:r>
      <w:r>
        <w:rPr>
          <w:rFonts w:hint="cs"/>
          <w:sz w:val="20"/>
          <w:szCs w:val="20"/>
          <w:rtl/>
        </w:rPr>
        <w:t xml:space="preserve">6. </w:t>
      </w:r>
      <w:r w:rsidRPr="00721E3F">
        <w:rPr>
          <w:rFonts w:hint="cs"/>
          <w:sz w:val="20"/>
          <w:szCs w:val="20"/>
          <w:rtl/>
        </w:rPr>
        <w:t xml:space="preserve">האם מותר לבעל להיות נוכח בשעה שאשתו יולדת? </w:t>
      </w:r>
      <w:r w:rsidRPr="00721E3F">
        <w:rPr>
          <w:rFonts w:hint="cs"/>
          <w:b/>
          <w:bCs/>
          <w:sz w:val="20"/>
          <w:szCs w:val="20"/>
          <w:rtl/>
        </w:rPr>
        <w:t>ששבה</w:t>
      </w:r>
      <w:r w:rsidRPr="008B43F4">
        <w:rPr>
          <w:rFonts w:hint="cs"/>
          <w:b/>
          <w:bCs/>
          <w:sz w:val="20"/>
          <w:szCs w:val="20"/>
          <w:rtl/>
        </w:rPr>
        <w:t>"ל</w:t>
      </w:r>
      <w:r>
        <w:rPr>
          <w:rFonts w:hint="cs"/>
          <w:sz w:val="20"/>
          <w:szCs w:val="20"/>
          <w:rtl/>
        </w:rPr>
        <w:t xml:space="preserve">. לא. </w:t>
      </w:r>
      <w:r w:rsidRPr="008B43F4">
        <w:rPr>
          <w:rFonts w:hint="cs"/>
          <w:b/>
          <w:bCs/>
          <w:sz w:val="20"/>
          <w:szCs w:val="20"/>
          <w:rtl/>
        </w:rPr>
        <w:t>אג"מ</w:t>
      </w:r>
      <w:r>
        <w:rPr>
          <w:rFonts w:hint="cs"/>
          <w:sz w:val="20"/>
          <w:szCs w:val="20"/>
          <w:rtl/>
        </w:rPr>
        <w:t>. כן.</w:t>
      </w:r>
    </w:p>
    <w:p w:rsidR="00620060" w:rsidRDefault="00620060" w:rsidP="00620060">
      <w:pPr>
        <w:rPr>
          <w:sz w:val="20"/>
          <w:szCs w:val="20"/>
          <w:rtl/>
        </w:rPr>
      </w:pPr>
      <w:r>
        <w:rPr>
          <w:sz w:val="20"/>
          <w:szCs w:val="20"/>
          <w:rtl/>
        </w:rPr>
        <w:br/>
      </w:r>
      <w:r>
        <w:rPr>
          <w:rFonts w:hint="cs"/>
          <w:b/>
          <w:bCs/>
          <w:sz w:val="20"/>
          <w:szCs w:val="20"/>
          <w:rtl/>
        </w:rPr>
        <w:t xml:space="preserve">סעיף ח </w:t>
      </w:r>
      <w:r>
        <w:rPr>
          <w:b/>
          <w:bCs/>
          <w:sz w:val="20"/>
          <w:szCs w:val="20"/>
          <w:rtl/>
        </w:rPr>
        <w:t>–</w:t>
      </w:r>
      <w:r>
        <w:rPr>
          <w:rFonts w:hint="cs"/>
          <w:b/>
          <w:bCs/>
          <w:sz w:val="20"/>
          <w:szCs w:val="20"/>
          <w:rtl/>
        </w:rPr>
        <w:t xml:space="preserve"> לבישת בגדים מיוחדים לימי נידותה</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גמרא </w:t>
      </w:r>
      <w:r>
        <w:rPr>
          <w:rFonts w:hint="cs"/>
          <w:sz w:val="20"/>
          <w:szCs w:val="20"/>
          <w:rtl/>
        </w:rPr>
        <w:t>כתובות (עב.) "</w:t>
      </w:r>
      <w:r w:rsidRPr="004E0E3C">
        <w:rPr>
          <w:rFonts w:cs="Arial"/>
          <w:sz w:val="20"/>
          <w:szCs w:val="20"/>
          <w:rtl/>
        </w:rPr>
        <w:t>אמר רב יהודה: הוחזקה נדה בשכ</w:t>
      </w:r>
      <w:r>
        <w:rPr>
          <w:rFonts w:cs="Arial"/>
          <w:sz w:val="20"/>
          <w:szCs w:val="20"/>
          <w:rtl/>
        </w:rPr>
        <w:t>ינותיה, בעלה לוקה עליה משום נדה</w:t>
      </w:r>
      <w:r>
        <w:rPr>
          <w:rFonts w:cs="Arial" w:hint="cs"/>
          <w:sz w:val="20"/>
          <w:szCs w:val="20"/>
          <w:rtl/>
        </w:rPr>
        <w:t>".</w:t>
      </w:r>
      <w:r>
        <w:rPr>
          <w:rFonts w:cs="Arial"/>
          <w:sz w:val="20"/>
          <w:szCs w:val="20"/>
          <w:rtl/>
        </w:rPr>
        <w:br/>
      </w:r>
      <w:r w:rsidRPr="004E0E3C">
        <w:rPr>
          <w:rFonts w:cs="Arial" w:hint="cs"/>
          <w:b/>
          <w:bCs/>
          <w:sz w:val="20"/>
          <w:szCs w:val="20"/>
          <w:rtl/>
        </w:rPr>
        <w:t>רש"י</w:t>
      </w:r>
      <w:r>
        <w:rPr>
          <w:rFonts w:cs="Arial" w:hint="cs"/>
          <w:sz w:val="20"/>
          <w:szCs w:val="20"/>
          <w:rtl/>
        </w:rPr>
        <w:t xml:space="preserve"> (ד"ה הוחזקה) </w:t>
      </w:r>
      <w:r>
        <w:rPr>
          <w:rFonts w:cs="Arial"/>
          <w:sz w:val="20"/>
          <w:szCs w:val="20"/>
          <w:rtl/>
        </w:rPr>
        <w:t>–</w:t>
      </w:r>
      <w:r>
        <w:rPr>
          <w:rFonts w:cs="Arial" w:hint="cs"/>
          <w:sz w:val="20"/>
          <w:szCs w:val="20"/>
          <w:rtl/>
        </w:rPr>
        <w:t xml:space="preserve"> "</w:t>
      </w:r>
      <w:r w:rsidRPr="004E0E3C">
        <w:rPr>
          <w:rFonts w:cs="Arial"/>
          <w:sz w:val="20"/>
          <w:szCs w:val="20"/>
          <w:rtl/>
        </w:rPr>
        <w:t>שראוה לובשת בגדי נדות ולבעלה אמרה טהורה אני ושמשה</w:t>
      </w:r>
      <w:r>
        <w:rPr>
          <w:rFonts w:cs="Arial" w:hint="cs"/>
          <w:sz w:val="20"/>
          <w:szCs w:val="20"/>
          <w:rtl/>
        </w:rPr>
        <w:t>".</w:t>
      </w:r>
      <w:r>
        <w:rPr>
          <w:rFonts w:hint="cs"/>
          <w:sz w:val="20"/>
          <w:szCs w:val="20"/>
          <w:rtl/>
        </w:rPr>
        <w:br/>
        <w:t xml:space="preserve">ועל פי זה כתב </w:t>
      </w:r>
      <w:r w:rsidRPr="004E0E3C">
        <w:rPr>
          <w:rFonts w:hint="cs"/>
          <w:b/>
          <w:bCs/>
          <w:sz w:val="20"/>
          <w:szCs w:val="20"/>
          <w:rtl/>
        </w:rPr>
        <w:t>הטור</w:t>
      </w:r>
      <w:r>
        <w:rPr>
          <w:rFonts w:hint="cs"/>
          <w:sz w:val="20"/>
          <w:szCs w:val="20"/>
          <w:rtl/>
        </w:rPr>
        <w:t xml:space="preserve"> </w:t>
      </w:r>
      <w:r>
        <w:rPr>
          <w:sz w:val="20"/>
          <w:szCs w:val="20"/>
          <w:rtl/>
        </w:rPr>
        <w:t>–</w:t>
      </w:r>
      <w:r>
        <w:rPr>
          <w:rFonts w:hint="cs"/>
          <w:sz w:val="20"/>
          <w:szCs w:val="20"/>
          <w:rtl/>
        </w:rPr>
        <w:t xml:space="preserve"> "</w:t>
      </w:r>
      <w:r w:rsidRPr="004E0E3C">
        <w:rPr>
          <w:rFonts w:cs="Arial"/>
          <w:sz w:val="20"/>
          <w:szCs w:val="20"/>
          <w:rtl/>
        </w:rPr>
        <w:t>וראוי לה שתייחד בגדים לימי נידותה כדי שיהיו שניהם זוכרים תמיד שהיא נדה</w:t>
      </w:r>
      <w:r>
        <w:rPr>
          <w:rFonts w:cs="Arial" w:hint="cs"/>
          <w:sz w:val="20"/>
          <w:szCs w:val="20"/>
          <w:rtl/>
        </w:rPr>
        <w:t>".</w:t>
      </w:r>
    </w:p>
    <w:p w:rsidR="00620060" w:rsidRDefault="00620060" w:rsidP="00620060">
      <w:pPr>
        <w:rPr>
          <w:rFonts w:cs="Arial"/>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4E0E3C">
        <w:rPr>
          <w:rFonts w:cs="Arial"/>
          <w:sz w:val="20"/>
          <w:szCs w:val="20"/>
          <w:rtl/>
        </w:rPr>
        <w:t>ראויה לה שתייחד לה בגדים לימי נ</w:t>
      </w:r>
      <w:r>
        <w:rPr>
          <w:rFonts w:cs="Arial" w:hint="cs"/>
          <w:sz w:val="20"/>
          <w:szCs w:val="20"/>
          <w:rtl/>
        </w:rPr>
        <w:t>י</w:t>
      </w:r>
      <w:r w:rsidRPr="004E0E3C">
        <w:rPr>
          <w:rFonts w:cs="Arial"/>
          <w:sz w:val="20"/>
          <w:szCs w:val="20"/>
          <w:rtl/>
        </w:rPr>
        <w:t>דותה, כדי ש</w:t>
      </w:r>
      <w:r>
        <w:rPr>
          <w:rFonts w:cs="Arial"/>
          <w:sz w:val="20"/>
          <w:szCs w:val="20"/>
          <w:rtl/>
        </w:rPr>
        <w:t>יהיו שניהם זוכרים תמיד שהיא נדה</w:t>
      </w:r>
      <w:r>
        <w:rPr>
          <w:rFonts w:cs="Arial" w:hint="cs"/>
          <w:sz w:val="20"/>
          <w:szCs w:val="20"/>
          <w:rtl/>
        </w:rPr>
        <w:t>".</w:t>
      </w:r>
      <w:r>
        <w:rPr>
          <w:rFonts w:cs="Arial"/>
          <w:sz w:val="20"/>
          <w:szCs w:val="20"/>
          <w:rtl/>
        </w:rPr>
        <w:br/>
      </w:r>
      <w:r w:rsidRPr="00BA48D2">
        <w:rPr>
          <w:rFonts w:cs="Arial" w:hint="cs"/>
          <w:b/>
          <w:bCs/>
          <w:sz w:val="20"/>
          <w:szCs w:val="20"/>
          <w:rtl/>
        </w:rPr>
        <w:t xml:space="preserve">חזקת הטהרה </w:t>
      </w:r>
      <w:r w:rsidRPr="00BA48D2">
        <w:rPr>
          <w:rFonts w:cs="Arial" w:hint="cs"/>
          <w:b/>
          <w:bCs/>
          <w:sz w:val="18"/>
          <w:szCs w:val="18"/>
          <w:rtl/>
        </w:rPr>
        <w:t>(</w:t>
      </w:r>
      <w:r w:rsidRPr="00BA48D2">
        <w:rPr>
          <w:rFonts w:cs="Arial" w:hint="cs"/>
          <w:sz w:val="18"/>
          <w:szCs w:val="18"/>
          <w:rtl/>
        </w:rPr>
        <w:t xml:space="preserve">הו"ד </w:t>
      </w:r>
      <w:r w:rsidRPr="00BA48D2">
        <w:rPr>
          <w:rFonts w:cs="Arial" w:hint="cs"/>
          <w:b/>
          <w:bCs/>
          <w:sz w:val="18"/>
          <w:szCs w:val="18"/>
          <w:rtl/>
        </w:rPr>
        <w:t>בטה"ב</w:t>
      </w:r>
      <w:r w:rsidRPr="00BA48D2">
        <w:rPr>
          <w:rFonts w:cs="Arial" w:hint="cs"/>
          <w:sz w:val="18"/>
          <w:szCs w:val="18"/>
          <w:rtl/>
        </w:rPr>
        <w:t xml:space="preserve"> עמ' קפד) </w:t>
      </w:r>
      <w:r>
        <w:rPr>
          <w:rFonts w:cs="Arial"/>
          <w:sz w:val="20"/>
          <w:szCs w:val="20"/>
          <w:rtl/>
        </w:rPr>
        <w:t>–</w:t>
      </w:r>
      <w:r>
        <w:rPr>
          <w:rFonts w:cs="Arial" w:hint="cs"/>
          <w:sz w:val="20"/>
          <w:szCs w:val="20"/>
          <w:rtl/>
        </w:rPr>
        <w:t xml:space="preserve"> לא נוהגים כיום לייחד בגדים לימי נידותה, והטעם לכך הוא מפני שגם הפוסקים לא כתבו זאת בדרך חיוב אלא כעצה טובה בלבד.</w:t>
      </w:r>
    </w:p>
    <w:p w:rsidR="00620060" w:rsidRDefault="00620060" w:rsidP="00620060">
      <w:pPr>
        <w:rPr>
          <w:rFonts w:cs="Arial"/>
          <w:sz w:val="20"/>
          <w:szCs w:val="20"/>
          <w:rtl/>
        </w:rPr>
      </w:pPr>
      <w:r>
        <w:rPr>
          <w:rFonts w:cs="Arial" w:hint="cs"/>
          <w:sz w:val="20"/>
          <w:szCs w:val="20"/>
          <w:u w:val="single"/>
          <w:rtl/>
        </w:rPr>
        <w:lastRenderedPageBreak/>
        <w:t>תמיהת תורת השלמים על דברי הטור והמחבר</w:t>
      </w:r>
      <w:r>
        <w:rPr>
          <w:rFonts w:cs="Arial"/>
          <w:sz w:val="20"/>
          <w:szCs w:val="20"/>
          <w:u w:val="single"/>
          <w:rtl/>
        </w:rPr>
        <w:br/>
      </w:r>
      <w:r w:rsidRPr="00AD55E7">
        <w:rPr>
          <w:rFonts w:cs="Arial" w:hint="cs"/>
          <w:b/>
          <w:bCs/>
          <w:sz w:val="20"/>
          <w:szCs w:val="20"/>
          <w:rtl/>
        </w:rPr>
        <w:t>תורת השלמים</w:t>
      </w:r>
      <w:r>
        <w:rPr>
          <w:rFonts w:cs="Arial" w:hint="cs"/>
          <w:sz w:val="20"/>
          <w:szCs w:val="20"/>
          <w:rtl/>
        </w:rPr>
        <w:t xml:space="preserve"> </w:t>
      </w:r>
      <w:r>
        <w:rPr>
          <w:rFonts w:cs="Arial"/>
          <w:sz w:val="20"/>
          <w:szCs w:val="20"/>
          <w:rtl/>
        </w:rPr>
        <w:t>–</w:t>
      </w:r>
      <w:r>
        <w:rPr>
          <w:rFonts w:cs="Arial" w:hint="cs"/>
          <w:sz w:val="20"/>
          <w:szCs w:val="20"/>
          <w:rtl/>
        </w:rPr>
        <w:t xml:space="preserve"> דברי הטור והמחבר ספק כמותו תמוהים, משום שטעם לבישת בגדים מיוחדים לימי נידותה מבואר להדיא </w:t>
      </w:r>
      <w:r w:rsidRPr="00AD55E7">
        <w:rPr>
          <w:rFonts w:cs="Arial" w:hint="cs"/>
          <w:b/>
          <w:bCs/>
          <w:sz w:val="20"/>
          <w:szCs w:val="20"/>
          <w:rtl/>
        </w:rPr>
        <w:t xml:space="preserve">בגמרא </w:t>
      </w:r>
      <w:r>
        <w:rPr>
          <w:rFonts w:cs="Arial" w:hint="cs"/>
          <w:sz w:val="20"/>
          <w:szCs w:val="20"/>
          <w:rtl/>
        </w:rPr>
        <w:t xml:space="preserve">כתובות </w:t>
      </w:r>
      <w:r w:rsidRPr="00AD55E7">
        <w:rPr>
          <w:rFonts w:cs="Arial" w:hint="cs"/>
          <w:sz w:val="18"/>
          <w:szCs w:val="18"/>
          <w:rtl/>
        </w:rPr>
        <w:t xml:space="preserve">(סה:) </w:t>
      </w:r>
      <w:r>
        <w:rPr>
          <w:rFonts w:cs="Arial"/>
          <w:sz w:val="20"/>
          <w:szCs w:val="20"/>
          <w:rtl/>
        </w:rPr>
        <w:t>–</w:t>
      </w:r>
      <w:r>
        <w:rPr>
          <w:rFonts w:cs="Arial" w:hint="cs"/>
          <w:sz w:val="20"/>
          <w:szCs w:val="20"/>
          <w:rtl/>
        </w:rPr>
        <w:t xml:space="preserve"> "</w:t>
      </w:r>
      <w:r w:rsidRPr="00AD55E7">
        <w:rPr>
          <w:rFonts w:cs="Arial"/>
          <w:sz w:val="20"/>
          <w:szCs w:val="20"/>
          <w:rtl/>
        </w:rPr>
        <w:t>ת</w:t>
      </w:r>
      <w:r>
        <w:rPr>
          <w:rFonts w:cs="Arial" w:hint="cs"/>
          <w:sz w:val="20"/>
          <w:szCs w:val="20"/>
          <w:rtl/>
        </w:rPr>
        <w:t xml:space="preserve">נו </w:t>
      </w:r>
      <w:r w:rsidRPr="00AD55E7">
        <w:rPr>
          <w:rFonts w:cs="Arial"/>
          <w:sz w:val="20"/>
          <w:szCs w:val="20"/>
          <w:rtl/>
        </w:rPr>
        <w:t>ר</w:t>
      </w:r>
      <w:r>
        <w:rPr>
          <w:rFonts w:cs="Arial" w:hint="cs"/>
          <w:sz w:val="20"/>
          <w:szCs w:val="20"/>
          <w:rtl/>
        </w:rPr>
        <w:t>בנן</w:t>
      </w:r>
      <w:r>
        <w:rPr>
          <w:rFonts w:cs="Arial"/>
          <w:sz w:val="20"/>
          <w:szCs w:val="20"/>
          <w:rtl/>
        </w:rPr>
        <w:t>:</w:t>
      </w:r>
      <w:r>
        <w:rPr>
          <w:rFonts w:cs="Arial" w:hint="cs"/>
          <w:sz w:val="20"/>
          <w:szCs w:val="20"/>
          <w:rtl/>
        </w:rPr>
        <w:t xml:space="preserve">... </w:t>
      </w:r>
      <w:r w:rsidRPr="00AD55E7">
        <w:rPr>
          <w:rFonts w:cs="Arial"/>
          <w:sz w:val="20"/>
          <w:szCs w:val="20"/>
          <w:rtl/>
        </w:rPr>
        <w:t>מותר בלאות לאשה. מותר בלאות לאשה למה לה? אמר רחבה: שמתכסה בהן בימי נ</w:t>
      </w:r>
      <w:r>
        <w:rPr>
          <w:rFonts w:cs="Arial" w:hint="cs"/>
          <w:sz w:val="20"/>
          <w:szCs w:val="20"/>
          <w:rtl/>
        </w:rPr>
        <w:t>י</w:t>
      </w:r>
      <w:r w:rsidRPr="00AD55E7">
        <w:rPr>
          <w:rFonts w:cs="Arial"/>
          <w:sz w:val="20"/>
          <w:szCs w:val="20"/>
          <w:rtl/>
        </w:rPr>
        <w:t>דתה, כדי שלא תתגנה על בעלה</w:t>
      </w:r>
      <w:r>
        <w:rPr>
          <w:rFonts w:cs="Arial" w:hint="cs"/>
          <w:sz w:val="20"/>
          <w:szCs w:val="20"/>
          <w:rtl/>
        </w:rPr>
        <w:t>".</w:t>
      </w:r>
      <w:r>
        <w:rPr>
          <w:rFonts w:cs="Arial"/>
          <w:sz w:val="20"/>
          <w:szCs w:val="20"/>
          <w:rtl/>
        </w:rPr>
        <w:br/>
      </w:r>
      <w:r>
        <w:rPr>
          <w:rFonts w:cs="Arial" w:hint="cs"/>
          <w:sz w:val="20"/>
          <w:szCs w:val="20"/>
          <w:rtl/>
        </w:rPr>
        <w:t xml:space="preserve">ומפרש </w:t>
      </w:r>
      <w:r w:rsidRPr="00AD55E7">
        <w:rPr>
          <w:rFonts w:cs="Arial" w:hint="cs"/>
          <w:b/>
          <w:bCs/>
          <w:sz w:val="20"/>
          <w:szCs w:val="20"/>
          <w:rtl/>
        </w:rPr>
        <w:t>רש"י</w:t>
      </w:r>
      <w:r>
        <w:rPr>
          <w:rFonts w:cs="Arial" w:hint="cs"/>
          <w:sz w:val="20"/>
          <w:szCs w:val="20"/>
          <w:rtl/>
        </w:rPr>
        <w:t xml:space="preserve"> </w:t>
      </w:r>
      <w:r w:rsidRPr="00AD55E7">
        <w:rPr>
          <w:rFonts w:cs="Arial" w:hint="cs"/>
          <w:sz w:val="18"/>
          <w:szCs w:val="18"/>
          <w:rtl/>
        </w:rPr>
        <w:t xml:space="preserve">(ד"ה </w:t>
      </w:r>
      <w:r w:rsidRPr="00AD55E7">
        <w:rPr>
          <w:rFonts w:cs="Arial"/>
          <w:sz w:val="18"/>
          <w:szCs w:val="18"/>
          <w:rtl/>
        </w:rPr>
        <w:t>שלא תתגנה על בעלה</w:t>
      </w:r>
      <w:r w:rsidRPr="00AD55E7">
        <w:rPr>
          <w:rFonts w:cs="Arial" w:hint="cs"/>
          <w:sz w:val="18"/>
          <w:szCs w:val="18"/>
          <w:rtl/>
        </w:rPr>
        <w:t>)</w:t>
      </w:r>
      <w:r w:rsidRPr="00AD55E7">
        <w:rPr>
          <w:rFonts w:cs="Arial"/>
          <w:sz w:val="18"/>
          <w:szCs w:val="18"/>
          <w:rtl/>
        </w:rPr>
        <w:t xml:space="preserve"> </w:t>
      </w:r>
      <w:r>
        <w:rPr>
          <w:rFonts w:cs="Arial"/>
          <w:sz w:val="20"/>
          <w:szCs w:val="20"/>
          <w:rtl/>
        </w:rPr>
        <w:t>–</w:t>
      </w:r>
      <w:r>
        <w:rPr>
          <w:rFonts w:cs="Arial" w:hint="cs"/>
          <w:sz w:val="20"/>
          <w:szCs w:val="20"/>
          <w:rtl/>
        </w:rPr>
        <w:t xml:space="preserve"> "</w:t>
      </w:r>
      <w:r w:rsidRPr="00AD55E7">
        <w:rPr>
          <w:rFonts w:cs="Arial"/>
          <w:sz w:val="20"/>
          <w:szCs w:val="20"/>
          <w:rtl/>
        </w:rPr>
        <w:t>בימי טהרתה בלובשת בגדים שלבשה בימי נדות</w:t>
      </w:r>
      <w:r>
        <w:rPr>
          <w:rFonts w:cs="Arial" w:hint="cs"/>
          <w:sz w:val="20"/>
          <w:szCs w:val="20"/>
          <w:rtl/>
        </w:rPr>
        <w:t>"</w:t>
      </w:r>
      <w:r w:rsidRPr="00AD55E7">
        <w:rPr>
          <w:rFonts w:cs="Arial"/>
          <w:sz w:val="20"/>
          <w:szCs w:val="20"/>
          <w:rtl/>
        </w:rPr>
        <w:t>.</w:t>
      </w:r>
      <w:r>
        <w:rPr>
          <w:rFonts w:cs="Arial"/>
          <w:sz w:val="20"/>
          <w:szCs w:val="20"/>
          <w:rtl/>
        </w:rPr>
        <w:br/>
      </w:r>
      <w:r>
        <w:rPr>
          <w:rFonts w:cs="Arial" w:hint="cs"/>
          <w:sz w:val="20"/>
          <w:szCs w:val="20"/>
          <w:rtl/>
        </w:rPr>
        <w:t xml:space="preserve">כלומר </w:t>
      </w:r>
      <w:r>
        <w:rPr>
          <w:rFonts w:cs="Arial"/>
          <w:sz w:val="20"/>
          <w:szCs w:val="20"/>
          <w:rtl/>
        </w:rPr>
        <w:t>–</w:t>
      </w:r>
      <w:r>
        <w:rPr>
          <w:rFonts w:cs="Arial" w:hint="cs"/>
          <w:sz w:val="20"/>
          <w:szCs w:val="20"/>
          <w:rtl/>
        </w:rPr>
        <w:t xml:space="preserve"> טעם לבישת בגדי נידות הוא כדי שלא תתגנה על בעלה בימי טהרתה בכך שתלבש את הבגדים שרגילה ללבוש כשהיא נידה, ואם כן אין טעם הלבישה כדי שיזכרו שהיא נדה, וצ"ע!</w:t>
      </w:r>
      <w:r>
        <w:rPr>
          <w:rStyle w:val="a5"/>
          <w:rFonts w:cs="Arial"/>
          <w:sz w:val="20"/>
          <w:szCs w:val="20"/>
          <w:rtl/>
        </w:rPr>
        <w:footnoteReference w:id="479"/>
      </w:r>
      <w:r>
        <w:rPr>
          <w:rFonts w:cs="Arial"/>
          <w:sz w:val="20"/>
          <w:szCs w:val="20"/>
          <w:rtl/>
        </w:rPr>
        <w:br/>
      </w:r>
      <w:r>
        <w:rPr>
          <w:rFonts w:cs="Arial" w:hint="cs"/>
          <w:sz w:val="20"/>
          <w:szCs w:val="20"/>
          <w:rtl/>
        </w:rPr>
        <w:t>ועוד יש לעיין, מדוע צריכים לזכור כל הזמן שהיא נידה, זכירה והיכר דרושים רק כשיש חיבה וקירוב דעת.</w:t>
      </w:r>
      <w:r>
        <w:rPr>
          <w:rFonts w:cs="Arial"/>
          <w:sz w:val="20"/>
          <w:szCs w:val="20"/>
          <w:rtl/>
        </w:rPr>
        <w:br/>
      </w:r>
      <w:r>
        <w:rPr>
          <w:rFonts w:cs="Arial" w:hint="cs"/>
          <w:sz w:val="20"/>
          <w:szCs w:val="20"/>
          <w:rtl/>
        </w:rPr>
        <w:t>ואמנם, פשוט שלשני הטעמים מותר לה ללבוש בגדים נאים ולהתקשט, אך יש חולקים, ועיין בסעיף הבא.</w:t>
      </w:r>
    </w:p>
    <w:p w:rsidR="00620060" w:rsidRDefault="00620060" w:rsidP="00620060">
      <w:pPr>
        <w:rPr>
          <w:rFonts w:cs="Arial"/>
          <w:sz w:val="20"/>
          <w:szCs w:val="20"/>
          <w:rtl/>
        </w:rPr>
      </w:pPr>
      <w:r>
        <w:rPr>
          <w:rFonts w:cs="Arial" w:hint="cs"/>
          <w:sz w:val="20"/>
          <w:szCs w:val="20"/>
          <w:u w:val="single"/>
          <w:rtl/>
        </w:rPr>
        <w:t>יישוב שיטת הטור</w:t>
      </w:r>
      <w:r>
        <w:rPr>
          <w:rFonts w:cs="Arial"/>
          <w:sz w:val="20"/>
          <w:szCs w:val="20"/>
          <w:u w:val="single"/>
          <w:rtl/>
        </w:rPr>
        <w:t xml:space="preserve"> </w:t>
      </w:r>
      <w:r>
        <w:rPr>
          <w:rFonts w:cs="Arial"/>
          <w:sz w:val="20"/>
          <w:szCs w:val="20"/>
          <w:u w:val="single"/>
          <w:rtl/>
        </w:rPr>
        <w:br/>
      </w:r>
      <w:r w:rsidRPr="0097152C">
        <w:rPr>
          <w:rFonts w:cs="Arial" w:hint="cs"/>
          <w:b/>
          <w:bCs/>
          <w:sz w:val="20"/>
          <w:szCs w:val="20"/>
          <w:rtl/>
        </w:rPr>
        <w:t>סדרי טהרה</w:t>
      </w:r>
      <w:r>
        <w:rPr>
          <w:rFonts w:cs="Arial" w:hint="cs"/>
          <w:sz w:val="20"/>
          <w:szCs w:val="20"/>
          <w:rtl/>
        </w:rPr>
        <w:t xml:space="preserve"> </w:t>
      </w:r>
      <w:r>
        <w:rPr>
          <w:rFonts w:cs="Arial"/>
          <w:sz w:val="20"/>
          <w:szCs w:val="20"/>
          <w:rtl/>
        </w:rPr>
        <w:t>–</w:t>
      </w:r>
      <w:r>
        <w:rPr>
          <w:rFonts w:cs="Arial" w:hint="cs"/>
          <w:sz w:val="20"/>
          <w:szCs w:val="20"/>
          <w:rtl/>
        </w:rPr>
        <w:t xml:space="preserve"> מקור דברי הטור אינו כפי שציין הבית יוסף, אלא הוא כתב זאת מסברת עצמו, שכיוון שאמרו בגמרא שבקושי התירו לה להתקשט בימי נידותה אלא כדי שלא תתגנה על בעלה, משמע שהקישוט מרגיל לעבירה, ולכן ראוי לה שתייחד בגדים אחרים כדי שיזכרו שניהם שהיא נידה.</w:t>
      </w:r>
      <w:r>
        <w:rPr>
          <w:rFonts w:cs="Arial"/>
          <w:sz w:val="20"/>
          <w:szCs w:val="20"/>
          <w:rtl/>
        </w:rPr>
        <w:br/>
      </w:r>
      <w:r>
        <w:rPr>
          <w:rFonts w:cs="Arial" w:hint="cs"/>
          <w:sz w:val="20"/>
          <w:szCs w:val="20"/>
          <w:rtl/>
        </w:rPr>
        <w:t>ולפי"ז מיושב גם מה שהקשה תוה"ש מדוע צריך לעשות היכר בזמן שאין קירוב הדעת, מפני שעצם הקישוט הוא המביא לקירוב הדעת.</w:t>
      </w:r>
    </w:p>
    <w:p w:rsidR="00620060" w:rsidRDefault="00620060" w:rsidP="00620060">
      <w:pPr>
        <w:rPr>
          <w:rFonts w:cs="Arial"/>
          <w:sz w:val="20"/>
          <w:szCs w:val="20"/>
          <w:rtl/>
        </w:rPr>
      </w:pPr>
      <w:r>
        <w:rPr>
          <w:rFonts w:cs="Arial" w:hint="cs"/>
          <w:sz w:val="20"/>
          <w:szCs w:val="20"/>
          <w:u w:val="single"/>
          <w:rtl/>
        </w:rPr>
        <w:t>שינוי בגד אחד בלבד</w:t>
      </w:r>
      <w:r>
        <w:rPr>
          <w:rFonts w:cs="Arial"/>
          <w:sz w:val="20"/>
          <w:szCs w:val="20"/>
          <w:u w:val="single"/>
          <w:rtl/>
        </w:rPr>
        <w:br/>
      </w:r>
      <w:r w:rsidRPr="00BA48D2">
        <w:rPr>
          <w:rFonts w:cs="Arial" w:hint="cs"/>
          <w:b/>
          <w:bCs/>
          <w:sz w:val="20"/>
          <w:szCs w:val="20"/>
          <w:rtl/>
        </w:rPr>
        <w:t>ששבה"ל</w:t>
      </w:r>
      <w:r>
        <w:rPr>
          <w:rFonts w:cs="Arial" w:hint="cs"/>
          <w:sz w:val="20"/>
          <w:szCs w:val="20"/>
          <w:rtl/>
        </w:rPr>
        <w:t xml:space="preserve"> ו</w:t>
      </w:r>
      <w:r w:rsidRPr="00BA48D2">
        <w:rPr>
          <w:rFonts w:cs="Arial" w:hint="cs"/>
          <w:b/>
          <w:bCs/>
          <w:sz w:val="20"/>
          <w:szCs w:val="20"/>
          <w:rtl/>
        </w:rPr>
        <w:t>טה"ב</w:t>
      </w:r>
      <w:r>
        <w:rPr>
          <w:rFonts w:cs="Arial" w:hint="cs"/>
          <w:sz w:val="20"/>
          <w:szCs w:val="20"/>
          <w:rtl/>
        </w:rPr>
        <w:t xml:space="preserve"> </w:t>
      </w:r>
      <w:r w:rsidRPr="00BA48D2">
        <w:rPr>
          <w:rFonts w:cs="Arial" w:hint="cs"/>
          <w:sz w:val="18"/>
          <w:szCs w:val="18"/>
          <w:rtl/>
        </w:rPr>
        <w:t>(עמ' קפד)</w:t>
      </w:r>
      <w:r>
        <w:rPr>
          <w:rFonts w:cs="Arial"/>
          <w:sz w:val="20"/>
          <w:szCs w:val="20"/>
          <w:rtl/>
        </w:rPr>
        <w:t>–</w:t>
      </w:r>
      <w:r>
        <w:rPr>
          <w:rFonts w:cs="Arial" w:hint="cs"/>
          <w:sz w:val="20"/>
          <w:szCs w:val="20"/>
          <w:rtl/>
        </w:rPr>
        <w:t xml:space="preserve"> גם שינוי של בגד אחד בלבד מועיל.</w:t>
      </w:r>
      <w:r>
        <w:rPr>
          <w:rFonts w:cs="Arial"/>
          <w:sz w:val="20"/>
          <w:szCs w:val="20"/>
          <w:rtl/>
        </w:rPr>
        <w:br/>
      </w:r>
      <w:r w:rsidRPr="00BA48D2">
        <w:rPr>
          <w:rFonts w:cs="Arial" w:hint="cs"/>
          <w:b/>
          <w:bCs/>
          <w:sz w:val="20"/>
          <w:szCs w:val="20"/>
          <w:rtl/>
        </w:rPr>
        <w:t xml:space="preserve">טעם </w:t>
      </w:r>
      <w:r>
        <w:rPr>
          <w:rFonts w:cs="Arial"/>
          <w:sz w:val="20"/>
          <w:szCs w:val="20"/>
          <w:rtl/>
        </w:rPr>
        <w:t>–</w:t>
      </w:r>
      <w:r>
        <w:rPr>
          <w:rFonts w:cs="Arial" w:hint="cs"/>
          <w:sz w:val="20"/>
          <w:szCs w:val="20"/>
          <w:rtl/>
        </w:rPr>
        <w:t xml:space="preserve"> כיוון שטעם השינוי הוא כדי שיזכרו שהיא נידה, גם בגד אחד מזכיר זאת.</w:t>
      </w:r>
      <w:r>
        <w:rPr>
          <w:rFonts w:cs="Arial" w:hint="cs"/>
          <w:sz w:val="20"/>
          <w:szCs w:val="20"/>
          <w:rtl/>
        </w:rPr>
        <w:br/>
      </w:r>
      <w:r w:rsidRPr="00AD55E7">
        <w:rPr>
          <w:rFonts w:cs="Arial"/>
          <w:sz w:val="20"/>
          <w:szCs w:val="20"/>
          <w:rtl/>
        </w:rPr>
        <w:t xml:space="preserve">  </w:t>
      </w:r>
      <w:r>
        <w:rPr>
          <w:rFonts w:cs="Arial"/>
          <w:sz w:val="20"/>
          <w:szCs w:val="20"/>
          <w:rtl/>
        </w:rPr>
        <w:br/>
      </w:r>
      <w:r>
        <w:rPr>
          <w:rFonts w:cs="Arial" w:hint="cs"/>
          <w:b/>
          <w:bCs/>
          <w:sz w:val="20"/>
          <w:szCs w:val="20"/>
          <w:rtl/>
        </w:rPr>
        <w:t>סיכום</w:t>
      </w:r>
      <w:r>
        <w:rPr>
          <w:rFonts w:cs="Arial"/>
          <w:b/>
          <w:bCs/>
          <w:sz w:val="20"/>
          <w:szCs w:val="20"/>
          <w:rtl/>
        </w:rPr>
        <w:br/>
      </w:r>
      <w:r>
        <w:rPr>
          <w:rFonts w:cs="Arial" w:hint="cs"/>
          <w:sz w:val="20"/>
          <w:szCs w:val="20"/>
          <w:rtl/>
        </w:rPr>
        <w:t xml:space="preserve">1. </w:t>
      </w:r>
      <w:r w:rsidRPr="00A73B32">
        <w:rPr>
          <w:rFonts w:cs="Arial" w:hint="cs"/>
          <w:b/>
          <w:bCs/>
          <w:sz w:val="20"/>
          <w:szCs w:val="20"/>
          <w:rtl/>
        </w:rPr>
        <w:t>גמרא</w:t>
      </w:r>
      <w:r>
        <w:rPr>
          <w:rFonts w:cs="Arial" w:hint="cs"/>
          <w:sz w:val="20"/>
          <w:szCs w:val="20"/>
          <w:rtl/>
        </w:rPr>
        <w:t xml:space="preserve">. משמע שיש לאשה בגדים מיוחדים לימי נידותה. </w:t>
      </w:r>
      <w:r w:rsidRPr="00A73B32">
        <w:rPr>
          <w:rFonts w:cs="Arial" w:hint="cs"/>
          <w:b/>
          <w:bCs/>
          <w:sz w:val="20"/>
          <w:szCs w:val="20"/>
          <w:rtl/>
        </w:rPr>
        <w:t>טור</w:t>
      </w:r>
      <w:r>
        <w:rPr>
          <w:rFonts w:cs="Arial" w:hint="cs"/>
          <w:sz w:val="20"/>
          <w:szCs w:val="20"/>
          <w:rtl/>
        </w:rPr>
        <w:t xml:space="preserve">. ראוי לה שתייחד בגדים שונים לימי נידותה, וכ"פ </w:t>
      </w:r>
      <w:r w:rsidRPr="00A73B32">
        <w:rPr>
          <w:rFonts w:cs="Arial" w:hint="cs"/>
          <w:b/>
          <w:bCs/>
          <w:sz w:val="20"/>
          <w:szCs w:val="20"/>
          <w:rtl/>
        </w:rPr>
        <w:t>המחבר</w:t>
      </w:r>
      <w:r>
        <w:rPr>
          <w:rFonts w:cs="Arial" w:hint="cs"/>
          <w:sz w:val="20"/>
          <w:szCs w:val="20"/>
          <w:rtl/>
        </w:rPr>
        <w:t xml:space="preserve">. </w:t>
      </w:r>
      <w:r w:rsidRPr="00A73B32">
        <w:rPr>
          <w:rFonts w:cs="Arial" w:hint="cs"/>
          <w:b/>
          <w:bCs/>
          <w:sz w:val="20"/>
          <w:szCs w:val="20"/>
          <w:rtl/>
        </w:rPr>
        <w:t>טעם</w:t>
      </w:r>
      <w:r>
        <w:rPr>
          <w:rFonts w:cs="Arial" w:hint="cs"/>
          <w:sz w:val="20"/>
          <w:szCs w:val="20"/>
          <w:rtl/>
        </w:rPr>
        <w:t xml:space="preserve">. כדי ששניהם יזכרו שהיא נידה. </w:t>
      </w:r>
      <w:r>
        <w:rPr>
          <w:rFonts w:cs="Arial"/>
          <w:sz w:val="20"/>
          <w:szCs w:val="20"/>
          <w:rtl/>
        </w:rPr>
        <w:br/>
      </w:r>
      <w:r>
        <w:rPr>
          <w:rFonts w:cs="Arial" w:hint="cs"/>
          <w:sz w:val="20"/>
          <w:szCs w:val="20"/>
          <w:rtl/>
        </w:rPr>
        <w:t xml:space="preserve">2. </w:t>
      </w:r>
      <w:r w:rsidRPr="00A73B32">
        <w:rPr>
          <w:rFonts w:cs="Arial" w:hint="cs"/>
          <w:b/>
          <w:bCs/>
          <w:sz w:val="20"/>
          <w:szCs w:val="20"/>
          <w:rtl/>
        </w:rPr>
        <w:t>חזקת הטהרה</w:t>
      </w:r>
      <w:r>
        <w:rPr>
          <w:rFonts w:cs="Arial" w:hint="cs"/>
          <w:sz w:val="20"/>
          <w:szCs w:val="20"/>
          <w:rtl/>
        </w:rPr>
        <w:t xml:space="preserve">. לא נהגו כך היום. </w:t>
      </w:r>
      <w:r w:rsidRPr="005030A9">
        <w:rPr>
          <w:rFonts w:cs="Arial" w:hint="cs"/>
          <w:b/>
          <w:bCs/>
          <w:sz w:val="20"/>
          <w:szCs w:val="20"/>
          <w:rtl/>
        </w:rPr>
        <w:t>טעם</w:t>
      </w:r>
      <w:r>
        <w:rPr>
          <w:rFonts w:cs="Arial" w:hint="cs"/>
          <w:sz w:val="20"/>
          <w:szCs w:val="20"/>
          <w:rtl/>
        </w:rPr>
        <w:t>. הפוסקים לא כתבו זאת בדרך של חיוב.</w:t>
      </w:r>
      <w:r>
        <w:rPr>
          <w:rFonts w:cs="Arial"/>
          <w:sz w:val="20"/>
          <w:szCs w:val="20"/>
          <w:rtl/>
        </w:rPr>
        <w:br/>
      </w:r>
      <w:r>
        <w:rPr>
          <w:rFonts w:cs="Arial" w:hint="cs"/>
          <w:sz w:val="20"/>
          <w:szCs w:val="20"/>
          <w:rtl/>
        </w:rPr>
        <w:t xml:space="preserve">3. </w:t>
      </w:r>
      <w:r w:rsidRPr="00A73B32">
        <w:rPr>
          <w:rFonts w:cs="Arial" w:hint="cs"/>
          <w:b/>
          <w:bCs/>
          <w:sz w:val="20"/>
          <w:szCs w:val="20"/>
          <w:rtl/>
        </w:rPr>
        <w:t>תוה"ש</w:t>
      </w:r>
      <w:r>
        <w:rPr>
          <w:rFonts w:cs="Arial" w:hint="cs"/>
          <w:sz w:val="20"/>
          <w:szCs w:val="20"/>
          <w:rtl/>
        </w:rPr>
        <w:t>. טעם הטור והמחבר קשה, משמע להדיא בגמרא שהטעם הוא כדי שלא תתגנה עליו בימי טהרתה. ועוד, מדוע צריכים לזכור שהיא נידה, הרי אין קירוב דעת מיוחד! ולכו"ע מותרת ללבוש בגדים נאים.</w:t>
      </w:r>
      <w:r>
        <w:rPr>
          <w:rFonts w:cs="Arial"/>
          <w:sz w:val="20"/>
          <w:szCs w:val="20"/>
          <w:rtl/>
        </w:rPr>
        <w:br/>
      </w:r>
      <w:r>
        <w:rPr>
          <w:rFonts w:cs="Arial" w:hint="cs"/>
          <w:sz w:val="20"/>
          <w:szCs w:val="20"/>
          <w:rtl/>
        </w:rPr>
        <w:t xml:space="preserve">4. </w:t>
      </w:r>
      <w:r w:rsidRPr="00A73B32">
        <w:rPr>
          <w:rFonts w:cs="Arial" w:hint="cs"/>
          <w:b/>
          <w:bCs/>
          <w:sz w:val="20"/>
          <w:szCs w:val="20"/>
          <w:rtl/>
        </w:rPr>
        <w:t>סד"ט</w:t>
      </w:r>
      <w:r>
        <w:rPr>
          <w:rFonts w:cs="Arial" w:hint="cs"/>
          <w:sz w:val="20"/>
          <w:szCs w:val="20"/>
          <w:rtl/>
        </w:rPr>
        <w:t>. המחבר כתב טעם זה מסברת עצמו, שכיוון שבקושי התירו לה להתקשט, עדיף לייחד בגדים שונים ולזכור שהיא נידה. וקירוב הדעת נעשה ע"י שהיא לובשת בגד נאה, לכן צריך בגד שונה.</w:t>
      </w:r>
      <w:r>
        <w:rPr>
          <w:rFonts w:cs="Arial" w:hint="cs"/>
          <w:sz w:val="20"/>
          <w:szCs w:val="20"/>
          <w:rtl/>
        </w:rPr>
        <w:br/>
        <w:t xml:space="preserve">5. </w:t>
      </w:r>
      <w:r w:rsidRPr="00A73B32">
        <w:rPr>
          <w:rFonts w:cs="Arial" w:hint="cs"/>
          <w:b/>
          <w:bCs/>
          <w:sz w:val="20"/>
          <w:szCs w:val="20"/>
          <w:rtl/>
        </w:rPr>
        <w:t>ששבה"ל וטה"ב</w:t>
      </w:r>
      <w:r>
        <w:rPr>
          <w:rFonts w:cs="Arial" w:hint="cs"/>
          <w:sz w:val="20"/>
          <w:szCs w:val="20"/>
          <w:rtl/>
        </w:rPr>
        <w:t>. מספיק לשנות בגד אחד, והוא מהווה היכר.</w:t>
      </w:r>
    </w:p>
    <w:p w:rsidR="00620060" w:rsidRPr="00256DE5" w:rsidRDefault="00620060" w:rsidP="00620060">
      <w:pPr>
        <w:rPr>
          <w:rFonts w:cs="Arial"/>
          <w:sz w:val="20"/>
          <w:szCs w:val="20"/>
        </w:rPr>
      </w:pPr>
      <w:r>
        <w:rPr>
          <w:rFonts w:cs="Arial"/>
          <w:sz w:val="20"/>
          <w:szCs w:val="20"/>
          <w:rtl/>
        </w:rPr>
        <w:br/>
      </w:r>
      <w:r>
        <w:rPr>
          <w:rFonts w:cs="Arial" w:hint="cs"/>
          <w:b/>
          <w:bCs/>
          <w:sz w:val="20"/>
          <w:szCs w:val="20"/>
          <w:rtl/>
        </w:rPr>
        <w:t xml:space="preserve">סעיף ט </w:t>
      </w:r>
      <w:r>
        <w:rPr>
          <w:rFonts w:cs="Arial"/>
          <w:b/>
          <w:bCs/>
          <w:sz w:val="20"/>
          <w:szCs w:val="20"/>
          <w:rtl/>
        </w:rPr>
        <w:t>–</w:t>
      </w:r>
      <w:r>
        <w:rPr>
          <w:rFonts w:cs="Arial" w:hint="cs"/>
          <w:b/>
          <w:bCs/>
          <w:sz w:val="20"/>
          <w:szCs w:val="20"/>
          <w:rtl/>
        </w:rPr>
        <w:t xml:space="preserve"> התקשטות האשה בימי נידותה</w:t>
      </w:r>
      <w:r>
        <w:rPr>
          <w:rFonts w:cs="Arial"/>
          <w:b/>
          <w:bCs/>
          <w:sz w:val="20"/>
          <w:szCs w:val="20"/>
          <w:rtl/>
        </w:rPr>
        <w:br/>
      </w:r>
      <w:r>
        <w:rPr>
          <w:rFonts w:cs="Arial" w:hint="cs"/>
          <w:b/>
          <w:bCs/>
          <w:sz w:val="20"/>
          <w:szCs w:val="20"/>
          <w:rtl/>
        </w:rPr>
        <w:t>מקור הדין</w:t>
      </w:r>
      <w:r>
        <w:rPr>
          <w:rFonts w:cs="Arial"/>
          <w:b/>
          <w:bCs/>
          <w:sz w:val="20"/>
          <w:szCs w:val="20"/>
          <w:rtl/>
        </w:rPr>
        <w:br/>
      </w:r>
      <w:r>
        <w:rPr>
          <w:rFonts w:cs="Arial" w:hint="cs"/>
          <w:b/>
          <w:bCs/>
          <w:sz w:val="20"/>
          <w:szCs w:val="20"/>
          <w:rtl/>
        </w:rPr>
        <w:t xml:space="preserve">גמרא </w:t>
      </w:r>
      <w:r>
        <w:rPr>
          <w:rFonts w:cs="Arial" w:hint="cs"/>
          <w:sz w:val="20"/>
          <w:szCs w:val="20"/>
          <w:rtl/>
        </w:rPr>
        <w:t>שבת (סד:) "</w:t>
      </w:r>
      <w:r w:rsidRPr="00256DE5">
        <w:rPr>
          <w:rFonts w:cs="Arial"/>
          <w:sz w:val="20"/>
          <w:szCs w:val="20"/>
          <w:rtl/>
        </w:rPr>
        <w:t>תניא: והדוה בנדתה, זקנים הראשונים אמרו: שלא תכחול ולא תפקוס ולא תתקשט בבגדי צבעונין, עד שבא רבי עקיבא ולימד: אם כן אתה מגנה על בעלה, ונמצא בעלה מגרשה. אלא מה תלמוד לומר והדוה</w:t>
      </w:r>
      <w:r>
        <w:rPr>
          <w:rFonts w:cs="Arial"/>
          <w:sz w:val="20"/>
          <w:szCs w:val="20"/>
          <w:rtl/>
        </w:rPr>
        <w:t xml:space="preserve"> בנדתה - בנדתה תהא עד שתבא במים</w:t>
      </w:r>
      <w:r>
        <w:rPr>
          <w:rFonts w:cs="Arial" w:hint="cs"/>
          <w:sz w:val="20"/>
          <w:szCs w:val="20"/>
          <w:rtl/>
        </w:rPr>
        <w:t>".</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sz w:val="20"/>
          <w:szCs w:val="20"/>
          <w:rtl/>
        </w:rPr>
        <w:t xml:space="preserve">א. </w:t>
      </w:r>
      <w:r>
        <w:rPr>
          <w:rFonts w:hint="cs"/>
          <w:b/>
          <w:bCs/>
          <w:sz w:val="20"/>
          <w:szCs w:val="20"/>
          <w:rtl/>
        </w:rPr>
        <w:t xml:space="preserve">שולחן ערוך </w:t>
      </w:r>
      <w:r>
        <w:rPr>
          <w:sz w:val="20"/>
          <w:szCs w:val="20"/>
          <w:rtl/>
        </w:rPr>
        <w:t>–</w:t>
      </w:r>
      <w:r>
        <w:rPr>
          <w:rFonts w:hint="cs"/>
          <w:sz w:val="20"/>
          <w:szCs w:val="20"/>
          <w:rtl/>
        </w:rPr>
        <w:t xml:space="preserve"> "</w:t>
      </w:r>
      <w:r w:rsidRPr="00256DE5">
        <w:rPr>
          <w:rFonts w:cs="Arial"/>
          <w:sz w:val="20"/>
          <w:szCs w:val="20"/>
          <w:rtl/>
        </w:rPr>
        <w:t>בקושי התירו לה להתקשט בימי נ</w:t>
      </w:r>
      <w:r>
        <w:rPr>
          <w:rFonts w:cs="Arial" w:hint="cs"/>
          <w:sz w:val="20"/>
          <w:szCs w:val="20"/>
          <w:rtl/>
        </w:rPr>
        <w:t>י</w:t>
      </w:r>
      <w:r w:rsidRPr="00256DE5">
        <w:rPr>
          <w:rFonts w:cs="Arial"/>
          <w:sz w:val="20"/>
          <w:szCs w:val="20"/>
          <w:rtl/>
        </w:rPr>
        <w:t>דתה, אלא כדי שלא תתגנה על בעלה</w:t>
      </w:r>
      <w:r>
        <w:rPr>
          <w:rStyle w:val="a5"/>
          <w:sz w:val="20"/>
          <w:szCs w:val="20"/>
          <w:rtl/>
        </w:rPr>
        <w:footnoteReference w:id="480"/>
      </w:r>
      <w:r>
        <w:rPr>
          <w:rFonts w:hint="cs"/>
          <w:sz w:val="20"/>
          <w:szCs w:val="20"/>
          <w:rtl/>
        </w:rPr>
        <w:t>".</w:t>
      </w:r>
      <w:r>
        <w:rPr>
          <w:rFonts w:hint="cs"/>
          <w:sz w:val="20"/>
          <w:szCs w:val="20"/>
          <w:rtl/>
        </w:rPr>
        <w:br/>
      </w:r>
      <w:r>
        <w:rPr>
          <w:rFonts w:hint="cs"/>
          <w:sz w:val="20"/>
          <w:szCs w:val="20"/>
          <w:rtl/>
        </w:rPr>
        <w:lastRenderedPageBreak/>
        <w:t xml:space="preserve">ב. </w:t>
      </w:r>
      <w:r w:rsidRPr="00E31E14">
        <w:rPr>
          <w:rFonts w:hint="cs"/>
          <w:b/>
          <w:bCs/>
          <w:sz w:val="20"/>
          <w:szCs w:val="20"/>
          <w:rtl/>
        </w:rPr>
        <w:t>מהרש"ל</w:t>
      </w:r>
      <w:r>
        <w:rPr>
          <w:rFonts w:hint="cs"/>
          <w:sz w:val="20"/>
          <w:szCs w:val="20"/>
          <w:rtl/>
        </w:rPr>
        <w:t xml:space="preserve"> </w:t>
      </w:r>
      <w:r w:rsidRPr="00E31E14">
        <w:rPr>
          <w:rFonts w:hint="cs"/>
          <w:sz w:val="18"/>
          <w:szCs w:val="18"/>
          <w:rtl/>
        </w:rPr>
        <w:t xml:space="preserve">(הו"ד </w:t>
      </w:r>
      <w:r w:rsidRPr="00E31E14">
        <w:rPr>
          <w:rFonts w:hint="cs"/>
          <w:b/>
          <w:bCs/>
          <w:sz w:val="18"/>
          <w:szCs w:val="18"/>
          <w:rtl/>
        </w:rPr>
        <w:t>בתוה"ש</w:t>
      </w:r>
      <w:r w:rsidRPr="00E31E14">
        <w:rPr>
          <w:rFonts w:hint="cs"/>
          <w:sz w:val="18"/>
          <w:szCs w:val="18"/>
          <w:rtl/>
        </w:rPr>
        <w:t xml:space="preserve">) </w:t>
      </w:r>
      <w:r>
        <w:rPr>
          <w:sz w:val="20"/>
          <w:szCs w:val="20"/>
          <w:rtl/>
        </w:rPr>
        <w:t>–</w:t>
      </w:r>
      <w:r>
        <w:rPr>
          <w:rFonts w:hint="cs"/>
          <w:sz w:val="20"/>
          <w:szCs w:val="20"/>
          <w:rtl/>
        </w:rPr>
        <w:t xml:space="preserve"> אסור לאשה להתקשט בימי נידותה</w:t>
      </w:r>
      <w:r>
        <w:rPr>
          <w:rStyle w:val="a5"/>
          <w:sz w:val="20"/>
          <w:szCs w:val="20"/>
          <w:rtl/>
        </w:rPr>
        <w:footnoteReference w:id="481"/>
      </w:r>
      <w:r>
        <w:rPr>
          <w:rFonts w:hint="cs"/>
          <w:sz w:val="20"/>
          <w:szCs w:val="20"/>
          <w:rtl/>
        </w:rPr>
        <w:t>.</w:t>
      </w:r>
      <w:r>
        <w:rPr>
          <w:sz w:val="20"/>
          <w:szCs w:val="20"/>
          <w:rtl/>
        </w:rPr>
        <w:br/>
      </w:r>
      <w:r w:rsidRPr="00E31E14">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אין הלכה כרבי עקיבא המתיר להתקשט, וכן יש להסיק מכך שהיא צריכה לייחד בגדים לנידותה.</w:t>
      </w:r>
      <w:r>
        <w:rPr>
          <w:sz w:val="20"/>
          <w:szCs w:val="20"/>
          <w:rtl/>
        </w:rPr>
        <w:br/>
      </w:r>
      <w:r w:rsidRPr="00E31E14">
        <w:rPr>
          <w:rFonts w:hint="cs"/>
          <w:b/>
          <w:bCs/>
          <w:sz w:val="20"/>
          <w:szCs w:val="20"/>
          <w:rtl/>
        </w:rPr>
        <w:t>תוה"ש</w:t>
      </w:r>
      <w:r>
        <w:rPr>
          <w:rFonts w:hint="cs"/>
          <w:sz w:val="20"/>
          <w:szCs w:val="20"/>
          <w:rtl/>
        </w:rPr>
        <w:t xml:space="preserve"> דוחה את </w:t>
      </w:r>
      <w:r w:rsidRPr="00E31E14">
        <w:rPr>
          <w:rFonts w:hint="cs"/>
          <w:b/>
          <w:bCs/>
          <w:sz w:val="20"/>
          <w:szCs w:val="20"/>
          <w:rtl/>
        </w:rPr>
        <w:t>מהרש"ל</w:t>
      </w:r>
      <w:r>
        <w:rPr>
          <w:rFonts w:hint="cs"/>
          <w:sz w:val="20"/>
          <w:szCs w:val="20"/>
          <w:rtl/>
        </w:rPr>
        <w:t xml:space="preserve"> </w:t>
      </w:r>
      <w:r>
        <w:rPr>
          <w:sz w:val="20"/>
          <w:szCs w:val="20"/>
          <w:rtl/>
        </w:rPr>
        <w:t>–</w:t>
      </w:r>
      <w:r>
        <w:rPr>
          <w:rFonts w:hint="cs"/>
          <w:sz w:val="20"/>
          <w:szCs w:val="20"/>
          <w:rtl/>
        </w:rPr>
        <w:t xml:space="preserve"> בגדים המיוחדים לנידותה אינה משום שלא תתקשט, כאמור לעיל.</w:t>
      </w:r>
    </w:p>
    <w:p w:rsidR="00620060" w:rsidRDefault="00620060" w:rsidP="00620060">
      <w:pPr>
        <w:rPr>
          <w:sz w:val="20"/>
          <w:szCs w:val="20"/>
          <w:rtl/>
        </w:rPr>
      </w:pPr>
      <w:r>
        <w:rPr>
          <w:rFonts w:hint="cs"/>
          <w:sz w:val="20"/>
          <w:szCs w:val="20"/>
          <w:u w:val="single"/>
          <w:rtl/>
        </w:rPr>
        <w:t xml:space="preserve">האם אשה רשאית להחמיר על עצמה (טה"ב עמ' קפח </w:t>
      </w:r>
      <w:r>
        <w:rPr>
          <w:sz w:val="20"/>
          <w:szCs w:val="20"/>
          <w:u w:val="single"/>
          <w:rtl/>
        </w:rPr>
        <w:t>–</w:t>
      </w:r>
      <w:r>
        <w:rPr>
          <w:rFonts w:hint="cs"/>
          <w:sz w:val="20"/>
          <w:szCs w:val="20"/>
          <w:u w:val="single"/>
          <w:rtl/>
        </w:rPr>
        <w:t xml:space="preserve"> קפט)</w:t>
      </w:r>
      <w:r>
        <w:rPr>
          <w:sz w:val="20"/>
          <w:szCs w:val="20"/>
          <w:u w:val="single"/>
          <w:rtl/>
        </w:rPr>
        <w:br/>
      </w:r>
      <w:r w:rsidRPr="002135D5">
        <w:rPr>
          <w:rFonts w:hint="cs"/>
          <w:b/>
          <w:bCs/>
          <w:sz w:val="20"/>
          <w:szCs w:val="20"/>
          <w:rtl/>
        </w:rPr>
        <w:t>טה"ב</w:t>
      </w:r>
      <w:r>
        <w:rPr>
          <w:rFonts w:hint="cs"/>
          <w:sz w:val="20"/>
          <w:szCs w:val="20"/>
          <w:rtl/>
        </w:rPr>
        <w:t xml:space="preserve"> </w:t>
      </w:r>
      <w:r>
        <w:rPr>
          <w:sz w:val="20"/>
          <w:szCs w:val="20"/>
          <w:rtl/>
        </w:rPr>
        <w:t>–</w:t>
      </w:r>
      <w:r>
        <w:rPr>
          <w:rFonts w:hint="cs"/>
          <w:sz w:val="20"/>
          <w:szCs w:val="20"/>
          <w:rtl/>
        </w:rPr>
        <w:t xml:space="preserve"> כיוון שחכמים התירו לאשה להתקשט בימי נידותה, אינה רשאית להחמיר על עצמה ולא להתקשט.</w:t>
      </w:r>
      <w:r>
        <w:rPr>
          <w:sz w:val="20"/>
          <w:szCs w:val="20"/>
          <w:rtl/>
        </w:rPr>
        <w:br/>
      </w:r>
      <w:r w:rsidRPr="002135D5">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ע"י כך היא מתגנה על בעלה וגורמת לו מכשול לשנאות אותה</w:t>
      </w:r>
      <w:r>
        <w:rPr>
          <w:rStyle w:val="a5"/>
          <w:sz w:val="20"/>
          <w:szCs w:val="20"/>
          <w:rtl/>
        </w:rPr>
        <w:footnoteReference w:id="482"/>
      </w:r>
      <w:r>
        <w:rPr>
          <w:rFonts w:hint="cs"/>
          <w:sz w:val="20"/>
          <w:szCs w:val="20"/>
          <w:rtl/>
        </w:rPr>
        <w:t>.</w:t>
      </w:r>
      <w:r>
        <w:rPr>
          <w:sz w:val="20"/>
          <w:szCs w:val="20"/>
          <w:rtl/>
        </w:rPr>
        <w:br/>
      </w:r>
      <w:r>
        <w:rPr>
          <w:rFonts w:hint="cs"/>
          <w:sz w:val="20"/>
          <w:szCs w:val="20"/>
          <w:rtl/>
        </w:rPr>
        <w:t xml:space="preserve">אמנם, אם אין דרכה להתקשט גם בימי טהרתה </w:t>
      </w:r>
      <w:r w:rsidRPr="002135D5">
        <w:rPr>
          <w:rFonts w:hint="cs"/>
          <w:sz w:val="18"/>
          <w:szCs w:val="18"/>
          <w:rtl/>
        </w:rPr>
        <w:t xml:space="preserve">(מפני שהיא נאה) </w:t>
      </w:r>
      <w:r>
        <w:rPr>
          <w:rFonts w:hint="cs"/>
          <w:sz w:val="20"/>
          <w:szCs w:val="20"/>
          <w:rtl/>
        </w:rPr>
        <w:t>יש לה להימנע מקישוט בימי נידותה.</w:t>
      </w:r>
    </w:p>
    <w:p w:rsidR="00620060"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81168D">
        <w:rPr>
          <w:rFonts w:hint="cs"/>
          <w:b/>
          <w:bCs/>
          <w:sz w:val="20"/>
          <w:szCs w:val="20"/>
          <w:rtl/>
        </w:rPr>
        <w:t>גמרא</w:t>
      </w:r>
      <w:r>
        <w:rPr>
          <w:rFonts w:hint="cs"/>
          <w:sz w:val="20"/>
          <w:szCs w:val="20"/>
          <w:rtl/>
        </w:rPr>
        <w:t xml:space="preserve">. "הדוה בנדתה". </w:t>
      </w:r>
      <w:r w:rsidRPr="0081168D">
        <w:rPr>
          <w:rFonts w:hint="cs"/>
          <w:sz w:val="20"/>
          <w:szCs w:val="20"/>
          <w:u w:val="single"/>
          <w:rtl/>
        </w:rPr>
        <w:t>זקנים הראשונים</w:t>
      </w:r>
      <w:r>
        <w:rPr>
          <w:rFonts w:hint="cs"/>
          <w:sz w:val="20"/>
          <w:szCs w:val="20"/>
          <w:rtl/>
        </w:rPr>
        <w:t xml:space="preserve">. אסור לאשה להתקשט בימי נידותה. </w:t>
      </w:r>
      <w:r w:rsidRPr="0081168D">
        <w:rPr>
          <w:rFonts w:hint="cs"/>
          <w:sz w:val="20"/>
          <w:szCs w:val="20"/>
          <w:u w:val="single"/>
          <w:rtl/>
        </w:rPr>
        <w:t>ר"ע</w:t>
      </w:r>
      <w:r>
        <w:rPr>
          <w:rFonts w:hint="cs"/>
          <w:sz w:val="20"/>
          <w:szCs w:val="20"/>
          <w:rtl/>
        </w:rPr>
        <w:t>. מותר להתקשט שלא תתגנה על בעלה, והפסוק מלמדנו שהיא טמאה עד שתבוא במים.</w:t>
      </w:r>
      <w:r>
        <w:rPr>
          <w:sz w:val="20"/>
          <w:szCs w:val="20"/>
          <w:rtl/>
        </w:rPr>
        <w:br/>
      </w:r>
      <w:r>
        <w:rPr>
          <w:rFonts w:hint="cs"/>
          <w:sz w:val="20"/>
          <w:szCs w:val="20"/>
          <w:rtl/>
        </w:rPr>
        <w:t xml:space="preserve">2. </w:t>
      </w:r>
      <w:r w:rsidRPr="0081168D">
        <w:rPr>
          <w:rFonts w:hint="cs"/>
          <w:b/>
          <w:bCs/>
          <w:sz w:val="20"/>
          <w:szCs w:val="20"/>
          <w:rtl/>
        </w:rPr>
        <w:t>מחבר</w:t>
      </w:r>
      <w:r>
        <w:rPr>
          <w:rFonts w:hint="cs"/>
          <w:sz w:val="20"/>
          <w:szCs w:val="20"/>
          <w:rtl/>
        </w:rPr>
        <w:t xml:space="preserve">. בקושי התירו חז"ל לאשה להתקשט. </w:t>
      </w:r>
      <w:r w:rsidRPr="0081168D">
        <w:rPr>
          <w:rFonts w:hint="cs"/>
          <w:b/>
          <w:bCs/>
          <w:sz w:val="20"/>
          <w:szCs w:val="20"/>
          <w:rtl/>
        </w:rPr>
        <w:t>מהרש"ל</w:t>
      </w:r>
      <w:r>
        <w:rPr>
          <w:rFonts w:hint="cs"/>
          <w:sz w:val="20"/>
          <w:szCs w:val="20"/>
          <w:rtl/>
        </w:rPr>
        <w:t>. אסור, אין הלכה כר"ע.</w:t>
      </w:r>
      <w:r>
        <w:rPr>
          <w:sz w:val="20"/>
          <w:szCs w:val="20"/>
          <w:rtl/>
        </w:rPr>
        <w:br/>
      </w:r>
      <w:r>
        <w:rPr>
          <w:rFonts w:hint="cs"/>
          <w:sz w:val="20"/>
          <w:szCs w:val="20"/>
          <w:rtl/>
        </w:rPr>
        <w:t xml:space="preserve">3. </w:t>
      </w:r>
      <w:r w:rsidRPr="0081168D">
        <w:rPr>
          <w:rFonts w:hint="cs"/>
          <w:b/>
          <w:bCs/>
          <w:sz w:val="20"/>
          <w:szCs w:val="20"/>
          <w:rtl/>
        </w:rPr>
        <w:t>טה"ב</w:t>
      </w:r>
      <w:r>
        <w:rPr>
          <w:rFonts w:hint="cs"/>
          <w:sz w:val="20"/>
          <w:szCs w:val="20"/>
          <w:rtl/>
        </w:rPr>
        <w:t xml:space="preserve">. אסור לאשה להחמיר על עצמה ולא להתקשט בימי נידותה. </w:t>
      </w:r>
      <w:r w:rsidRPr="0081168D">
        <w:rPr>
          <w:rFonts w:hint="cs"/>
          <w:b/>
          <w:bCs/>
          <w:sz w:val="20"/>
          <w:szCs w:val="20"/>
          <w:rtl/>
        </w:rPr>
        <w:t>טעם</w:t>
      </w:r>
      <w:r>
        <w:rPr>
          <w:rFonts w:hint="cs"/>
          <w:sz w:val="20"/>
          <w:szCs w:val="20"/>
          <w:rtl/>
        </w:rPr>
        <w:t xml:space="preserve">. שלא תתגנה עליו וישנא אותה. </w:t>
      </w:r>
    </w:p>
    <w:p w:rsidR="00620060" w:rsidRDefault="00620060" w:rsidP="00620060">
      <w:pPr>
        <w:rPr>
          <w:sz w:val="20"/>
          <w:szCs w:val="20"/>
          <w:rtl/>
        </w:rPr>
      </w:pPr>
      <w:r>
        <w:rPr>
          <w:sz w:val="20"/>
          <w:szCs w:val="20"/>
          <w:rtl/>
        </w:rPr>
        <w:br/>
      </w:r>
      <w:r>
        <w:rPr>
          <w:rFonts w:hint="cs"/>
          <w:b/>
          <w:bCs/>
          <w:sz w:val="20"/>
          <w:szCs w:val="20"/>
          <w:rtl/>
        </w:rPr>
        <w:t xml:space="preserve">סעיף י </w:t>
      </w:r>
      <w:r>
        <w:rPr>
          <w:b/>
          <w:bCs/>
          <w:sz w:val="20"/>
          <w:szCs w:val="20"/>
          <w:rtl/>
        </w:rPr>
        <w:t>–</w:t>
      </w:r>
      <w:r>
        <w:rPr>
          <w:rFonts w:hint="cs"/>
          <w:b/>
          <w:bCs/>
          <w:sz w:val="20"/>
          <w:szCs w:val="20"/>
          <w:rtl/>
        </w:rPr>
        <w:t xml:space="preserve"> מזיגת הכוס</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גמרא </w:t>
      </w:r>
      <w:r>
        <w:rPr>
          <w:rFonts w:hint="cs"/>
          <w:sz w:val="20"/>
          <w:szCs w:val="20"/>
          <w:rtl/>
        </w:rPr>
        <w:t>כתובות (סא.) "</w:t>
      </w:r>
      <w:r w:rsidRPr="001260C2">
        <w:rPr>
          <w:rFonts w:cs="Arial"/>
          <w:sz w:val="20"/>
          <w:szCs w:val="20"/>
          <w:rtl/>
        </w:rPr>
        <w:t>אמר רב הונא: כל מלאכות שהאשה עושה לבעלה - נדה עושה לבעלה, חוץ ממזיגת הכוס, והצעת המטה</w:t>
      </w:r>
      <w:r>
        <w:rPr>
          <w:rFonts w:cs="Arial" w:hint="cs"/>
          <w:sz w:val="20"/>
          <w:szCs w:val="20"/>
          <w:rtl/>
        </w:rPr>
        <w:t xml:space="preserve">... </w:t>
      </w:r>
      <w:r w:rsidRPr="001260C2">
        <w:rPr>
          <w:rFonts w:cs="Arial"/>
          <w:sz w:val="20"/>
          <w:szCs w:val="20"/>
          <w:rtl/>
        </w:rPr>
        <w:t>והצעת המטה, אמר רבא: לא אמרן אלא בפניו, אבל שלא בפניו לית לן בה. ומזיגת הכוס. שמואל, מחלפא ליה דביתהו בידא דשמאלא. אביי, מנחא ליה אפומא דכובא.</w:t>
      </w:r>
      <w:r>
        <w:rPr>
          <w:rFonts w:cs="Arial"/>
          <w:sz w:val="20"/>
          <w:szCs w:val="20"/>
          <w:rtl/>
        </w:rPr>
        <w:t xml:space="preserve"> רבא, אבי סדיא. רב פפא, אשרשיפא</w:t>
      </w:r>
      <w:r>
        <w:rPr>
          <w:rFonts w:cs="Arial" w:hint="cs"/>
          <w:sz w:val="20"/>
          <w:szCs w:val="20"/>
          <w:rtl/>
        </w:rPr>
        <w:t>".</w:t>
      </w:r>
    </w:p>
    <w:p w:rsidR="00620060" w:rsidRDefault="00620060" w:rsidP="00620060">
      <w:pPr>
        <w:rPr>
          <w:sz w:val="20"/>
          <w:szCs w:val="20"/>
          <w:rtl/>
        </w:rPr>
      </w:pPr>
      <w:r>
        <w:rPr>
          <w:rFonts w:hint="cs"/>
          <w:b/>
          <w:bCs/>
          <w:sz w:val="20"/>
          <w:szCs w:val="20"/>
          <w:rtl/>
        </w:rPr>
        <w:t>שיטות הראשונים</w:t>
      </w:r>
      <w:r>
        <w:rPr>
          <w:rFonts w:hint="cs"/>
          <w:b/>
          <w:bCs/>
          <w:sz w:val="20"/>
          <w:szCs w:val="20"/>
          <w:rtl/>
        </w:rPr>
        <w:br/>
      </w:r>
      <w:r>
        <w:rPr>
          <w:rFonts w:hint="cs"/>
          <w:sz w:val="20"/>
          <w:szCs w:val="20"/>
          <w:rtl/>
        </w:rPr>
        <w:t>כיצד יש להבין את איסור מזיגת הכוס?</w:t>
      </w:r>
      <w:r>
        <w:rPr>
          <w:b/>
          <w:bCs/>
          <w:sz w:val="20"/>
          <w:szCs w:val="20"/>
          <w:rtl/>
        </w:rPr>
        <w:br/>
      </w:r>
      <w:r>
        <w:rPr>
          <w:rFonts w:hint="cs"/>
          <w:sz w:val="20"/>
          <w:szCs w:val="20"/>
          <w:rtl/>
        </w:rPr>
        <w:t xml:space="preserve">א. </w:t>
      </w:r>
      <w:r w:rsidRPr="001260C2">
        <w:rPr>
          <w:rFonts w:hint="cs"/>
          <w:b/>
          <w:bCs/>
          <w:sz w:val="20"/>
          <w:szCs w:val="20"/>
          <w:rtl/>
        </w:rPr>
        <w:t>סמ"ג</w:t>
      </w:r>
      <w:r>
        <w:rPr>
          <w:rFonts w:hint="cs"/>
          <w:sz w:val="20"/>
          <w:szCs w:val="20"/>
          <w:rtl/>
        </w:rPr>
        <w:t xml:space="preserve"> </w:t>
      </w:r>
      <w:r>
        <w:rPr>
          <w:sz w:val="20"/>
          <w:szCs w:val="20"/>
          <w:rtl/>
        </w:rPr>
        <w:t>–</w:t>
      </w:r>
      <w:r>
        <w:rPr>
          <w:rFonts w:hint="cs"/>
          <w:sz w:val="20"/>
          <w:szCs w:val="20"/>
          <w:rtl/>
        </w:rPr>
        <w:t xml:space="preserve"> רק כוס יין צריך להושיט בשינוי</w:t>
      </w:r>
      <w:r>
        <w:rPr>
          <w:rStyle w:val="a5"/>
          <w:sz w:val="20"/>
          <w:szCs w:val="20"/>
          <w:rtl/>
        </w:rPr>
        <w:footnoteReference w:id="483"/>
      </w:r>
      <w:r>
        <w:rPr>
          <w:rFonts w:hint="cs"/>
          <w:sz w:val="20"/>
          <w:szCs w:val="20"/>
          <w:rtl/>
        </w:rPr>
        <w:t>.</w:t>
      </w:r>
      <w:r>
        <w:rPr>
          <w:sz w:val="20"/>
          <w:szCs w:val="20"/>
          <w:rtl/>
        </w:rPr>
        <w:br/>
      </w:r>
      <w:r w:rsidRPr="001260C2">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זה דבר של חיבה, ולכן יש להושיט אותה ע"י שינוי.</w:t>
      </w:r>
      <w:r>
        <w:rPr>
          <w:rFonts w:hint="cs"/>
          <w:sz w:val="20"/>
          <w:szCs w:val="20"/>
          <w:rtl/>
        </w:rPr>
        <w:br/>
        <w:t xml:space="preserve">ב. </w:t>
      </w:r>
      <w:r w:rsidRPr="001260C2">
        <w:rPr>
          <w:rFonts w:hint="cs"/>
          <w:b/>
          <w:bCs/>
          <w:sz w:val="20"/>
          <w:szCs w:val="20"/>
          <w:rtl/>
        </w:rPr>
        <w:t>רא"ש</w:t>
      </w:r>
      <w:r>
        <w:rPr>
          <w:rFonts w:hint="cs"/>
          <w:sz w:val="20"/>
          <w:szCs w:val="20"/>
          <w:rtl/>
        </w:rPr>
        <w:t xml:space="preserve"> - מזיגת כוס יין </w:t>
      </w:r>
      <w:r w:rsidRPr="00A05262">
        <w:rPr>
          <w:rFonts w:hint="cs"/>
          <w:sz w:val="20"/>
          <w:szCs w:val="20"/>
          <w:u w:val="single"/>
          <w:rtl/>
        </w:rPr>
        <w:t>במים</w:t>
      </w:r>
      <w:r>
        <w:rPr>
          <w:rFonts w:hint="cs"/>
          <w:sz w:val="20"/>
          <w:szCs w:val="20"/>
          <w:rtl/>
        </w:rPr>
        <w:t xml:space="preserve"> אסורה, שאר מזיגות מותרות, ומזיגה הנזכרת כאן אינה הושטה</w:t>
      </w:r>
      <w:r>
        <w:rPr>
          <w:rStyle w:val="a5"/>
          <w:sz w:val="20"/>
          <w:szCs w:val="20"/>
          <w:rtl/>
        </w:rPr>
        <w:footnoteReference w:id="484"/>
      </w:r>
      <w:r>
        <w:rPr>
          <w:rFonts w:hint="cs"/>
          <w:sz w:val="20"/>
          <w:szCs w:val="20"/>
          <w:rtl/>
        </w:rPr>
        <w:t>.</w:t>
      </w:r>
      <w:r>
        <w:rPr>
          <w:sz w:val="20"/>
          <w:szCs w:val="20"/>
          <w:rtl/>
        </w:rPr>
        <w:br/>
      </w:r>
      <w:r w:rsidRPr="001260C2">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מזיגה זו היא דבר חיבה </w:t>
      </w:r>
      <w:r w:rsidRPr="001260C2">
        <w:rPr>
          <w:rFonts w:hint="cs"/>
          <w:sz w:val="18"/>
          <w:szCs w:val="18"/>
          <w:rtl/>
        </w:rPr>
        <w:t>(כנראה משום טרחת ההכנה שבכך מתחבבת על בעלה)</w:t>
      </w:r>
      <w:r>
        <w:rPr>
          <w:rFonts w:hint="cs"/>
          <w:sz w:val="18"/>
          <w:szCs w:val="18"/>
          <w:rtl/>
        </w:rPr>
        <w:t xml:space="preserve"> </w:t>
      </w:r>
      <w:r w:rsidRPr="00462EA6">
        <w:rPr>
          <w:rFonts w:hint="cs"/>
          <w:sz w:val="20"/>
          <w:szCs w:val="20"/>
          <w:rtl/>
        </w:rPr>
        <w:t>ולכן יש לעשותה בשינוי.</w:t>
      </w:r>
      <w:r>
        <w:rPr>
          <w:rFonts w:hint="cs"/>
          <w:sz w:val="20"/>
          <w:szCs w:val="20"/>
          <w:rtl/>
        </w:rPr>
        <w:br/>
        <w:t xml:space="preserve">ג. </w:t>
      </w:r>
      <w:r w:rsidRPr="00CB184E">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אסור לאשה למזוג את הכוס לבעלה, ולא זכר שע"י שינוי מותר.</w:t>
      </w:r>
      <w:r>
        <w:rPr>
          <w:sz w:val="20"/>
          <w:szCs w:val="20"/>
          <w:rtl/>
        </w:rPr>
        <w:br/>
      </w:r>
      <w:r w:rsidRPr="00CB184E">
        <w:rPr>
          <w:rFonts w:hint="cs"/>
          <w:b/>
          <w:bCs/>
          <w:sz w:val="20"/>
          <w:szCs w:val="20"/>
          <w:rtl/>
        </w:rPr>
        <w:t>טעם</w:t>
      </w:r>
      <w:r>
        <w:rPr>
          <w:rFonts w:hint="cs"/>
          <w:sz w:val="20"/>
          <w:szCs w:val="20"/>
          <w:rtl/>
        </w:rPr>
        <w:t xml:space="preserve"> </w:t>
      </w:r>
      <w:r w:rsidRPr="00CB184E">
        <w:rPr>
          <w:rFonts w:hint="cs"/>
          <w:sz w:val="18"/>
          <w:szCs w:val="18"/>
          <w:rtl/>
        </w:rPr>
        <w:t>(</w:t>
      </w:r>
      <w:r w:rsidRPr="00CB184E">
        <w:rPr>
          <w:rFonts w:hint="cs"/>
          <w:b/>
          <w:bCs/>
          <w:sz w:val="18"/>
          <w:szCs w:val="18"/>
          <w:rtl/>
        </w:rPr>
        <w:t>בית יוסף</w:t>
      </w:r>
      <w:r w:rsidRPr="00CB184E">
        <w:rPr>
          <w:rFonts w:hint="cs"/>
          <w:sz w:val="18"/>
          <w:szCs w:val="18"/>
          <w:rtl/>
        </w:rPr>
        <w:t xml:space="preserve">) </w:t>
      </w:r>
      <w:r>
        <w:rPr>
          <w:sz w:val="20"/>
          <w:szCs w:val="20"/>
          <w:rtl/>
        </w:rPr>
        <w:t>–</w:t>
      </w:r>
      <w:r>
        <w:rPr>
          <w:rFonts w:hint="cs"/>
          <w:sz w:val="20"/>
          <w:szCs w:val="20"/>
          <w:rtl/>
        </w:rPr>
        <w:t xml:space="preserve"> ייתכן שלדעת הרמב"ם שינוי מותר רק לת"ח שמובטח שלא יחטא, אך עיין הערה</w:t>
      </w:r>
      <w:r>
        <w:rPr>
          <w:rStyle w:val="a5"/>
          <w:sz w:val="20"/>
          <w:szCs w:val="20"/>
          <w:rtl/>
        </w:rPr>
        <w:footnoteReference w:id="485"/>
      </w:r>
      <w:r>
        <w:rPr>
          <w:rFonts w:hint="cs"/>
          <w:sz w:val="20"/>
          <w:szCs w:val="20"/>
          <w:rtl/>
        </w:rPr>
        <w:t>.</w:t>
      </w:r>
      <w:r>
        <w:rPr>
          <w:rFonts w:hint="cs"/>
          <w:sz w:val="20"/>
          <w:szCs w:val="20"/>
          <w:rtl/>
        </w:rPr>
        <w:br/>
        <w:t xml:space="preserve">ד. </w:t>
      </w:r>
      <w:r w:rsidRPr="00644B22">
        <w:rPr>
          <w:rFonts w:hint="cs"/>
          <w:b/>
          <w:bCs/>
          <w:sz w:val="20"/>
          <w:szCs w:val="20"/>
          <w:rtl/>
        </w:rPr>
        <w:t>רא"ם</w:t>
      </w:r>
      <w:r>
        <w:rPr>
          <w:rFonts w:hint="cs"/>
          <w:sz w:val="20"/>
          <w:szCs w:val="20"/>
          <w:rtl/>
        </w:rPr>
        <w:t xml:space="preserve"> </w:t>
      </w:r>
      <w:r>
        <w:rPr>
          <w:sz w:val="20"/>
          <w:szCs w:val="20"/>
          <w:rtl/>
        </w:rPr>
        <w:t>–</w:t>
      </w:r>
      <w:r>
        <w:rPr>
          <w:rFonts w:hint="cs"/>
          <w:sz w:val="20"/>
          <w:szCs w:val="20"/>
          <w:rtl/>
        </w:rPr>
        <w:t xml:space="preserve"> האיסור נאמר דווקא אם מוזגת ומושיטה לו, אך הושטה או מזיגה לחוד, מותר. ומזיגה האסורה היא דווקא נתינת מים ביין, אך מזיגת הכוס במיץ או מים מותרת אף ללא שינוי, וכן כתב </w:t>
      </w:r>
      <w:r w:rsidRPr="00A112F7">
        <w:rPr>
          <w:rFonts w:hint="cs"/>
          <w:b/>
          <w:bCs/>
          <w:sz w:val="20"/>
          <w:szCs w:val="20"/>
          <w:rtl/>
        </w:rPr>
        <w:t>הרשב"א</w:t>
      </w:r>
      <w:r>
        <w:rPr>
          <w:rFonts w:hint="cs"/>
          <w:sz w:val="20"/>
          <w:szCs w:val="20"/>
          <w:rtl/>
        </w:rPr>
        <w:t>.</w:t>
      </w:r>
      <w:r>
        <w:rPr>
          <w:rFonts w:hint="cs"/>
          <w:sz w:val="20"/>
          <w:szCs w:val="20"/>
          <w:rtl/>
        </w:rPr>
        <w:br/>
      </w:r>
      <w:r w:rsidRPr="003E60D6">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רק במזיגת כוס יין במים והושטה יש קירוב דעת, הא לאו הכי אין קירוב דעת.</w:t>
      </w:r>
    </w:p>
    <w:p w:rsidR="00620060" w:rsidRDefault="00620060" w:rsidP="00620060">
      <w:pPr>
        <w:rPr>
          <w:sz w:val="20"/>
          <w:szCs w:val="20"/>
          <w:rtl/>
        </w:rPr>
      </w:pPr>
      <w:r>
        <w:rPr>
          <w:rFonts w:hint="cs"/>
          <w:b/>
          <w:bCs/>
          <w:sz w:val="20"/>
          <w:szCs w:val="20"/>
          <w:rtl/>
        </w:rPr>
        <w:lastRenderedPageBreak/>
        <w:t>מזיגת הכוס שלא בפניו</w:t>
      </w:r>
      <w:r>
        <w:rPr>
          <w:b/>
          <w:bCs/>
          <w:sz w:val="20"/>
          <w:szCs w:val="20"/>
          <w:rtl/>
        </w:rPr>
        <w:br/>
      </w:r>
      <w:r>
        <w:rPr>
          <w:rFonts w:hint="cs"/>
          <w:b/>
          <w:bCs/>
          <w:sz w:val="20"/>
          <w:szCs w:val="20"/>
          <w:rtl/>
        </w:rPr>
        <w:t xml:space="preserve">בית יוסף </w:t>
      </w:r>
      <w:r>
        <w:rPr>
          <w:sz w:val="20"/>
          <w:szCs w:val="20"/>
          <w:rtl/>
        </w:rPr>
        <w:t>–</w:t>
      </w:r>
      <w:r>
        <w:rPr>
          <w:rFonts w:hint="cs"/>
          <w:sz w:val="20"/>
          <w:szCs w:val="20"/>
          <w:rtl/>
        </w:rPr>
        <w:t xml:space="preserve"> נראה שמותר לנידה למזוג את הכוס שלא בפני בעלה.</w:t>
      </w:r>
      <w:r>
        <w:rPr>
          <w:sz w:val="20"/>
          <w:szCs w:val="20"/>
          <w:rtl/>
        </w:rPr>
        <w:br/>
      </w:r>
      <w:r w:rsidRPr="004E5477">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לא גרע מהצעת המיטה שהיא חיבה גדולה יותר והותרה שלא בפניו, וכן לא גרע שלא בפניו משינוי.</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4E5477">
        <w:rPr>
          <w:rFonts w:cs="Arial"/>
          <w:sz w:val="20"/>
          <w:szCs w:val="20"/>
          <w:rtl/>
        </w:rPr>
        <w:t xml:space="preserve">כל מלאכות שהאשה עושה לבעלה, נדה עושה לו, חוץ ממזיגת הכוס, שאסורה למזוג הכוס </w:t>
      </w:r>
      <w:r>
        <w:rPr>
          <w:rFonts w:cs="Arial"/>
          <w:sz w:val="18"/>
          <w:szCs w:val="18"/>
          <w:rtl/>
        </w:rPr>
        <w:t>(</w:t>
      </w:r>
      <w:r w:rsidRPr="004E5477">
        <w:rPr>
          <w:rFonts w:cs="Arial"/>
          <w:sz w:val="18"/>
          <w:szCs w:val="18"/>
          <w:rtl/>
        </w:rPr>
        <w:t>בפניו)</w:t>
      </w:r>
      <w:r w:rsidRPr="004E5477">
        <w:rPr>
          <w:rFonts w:cs="Arial"/>
          <w:sz w:val="20"/>
          <w:szCs w:val="20"/>
          <w:rtl/>
        </w:rPr>
        <w:t>, ולהניחו לפניו על הש</w:t>
      </w:r>
      <w:r>
        <w:rPr>
          <w:rFonts w:cs="Arial" w:hint="cs"/>
          <w:sz w:val="20"/>
          <w:szCs w:val="20"/>
          <w:rtl/>
        </w:rPr>
        <w:t>ו</w:t>
      </w:r>
      <w:r w:rsidRPr="004E5477">
        <w:rPr>
          <w:rFonts w:cs="Arial"/>
          <w:sz w:val="20"/>
          <w:szCs w:val="20"/>
          <w:rtl/>
        </w:rPr>
        <w:t xml:space="preserve">לחן </w:t>
      </w:r>
      <w:r>
        <w:rPr>
          <w:rFonts w:cs="Arial" w:hint="cs"/>
          <w:sz w:val="20"/>
          <w:szCs w:val="20"/>
          <w:rtl/>
        </w:rPr>
        <w:t>אלא אם כן</w:t>
      </w:r>
      <w:r w:rsidRPr="004E5477">
        <w:rPr>
          <w:rFonts w:cs="Arial"/>
          <w:sz w:val="20"/>
          <w:szCs w:val="20"/>
          <w:rtl/>
        </w:rPr>
        <w:t xml:space="preserve"> תעשה שום היכר, כגון שתניחנו על הש</w:t>
      </w:r>
      <w:r>
        <w:rPr>
          <w:rFonts w:cs="Arial" w:hint="cs"/>
          <w:sz w:val="20"/>
          <w:szCs w:val="20"/>
          <w:rtl/>
        </w:rPr>
        <w:t>ו</w:t>
      </w:r>
      <w:r w:rsidRPr="004E5477">
        <w:rPr>
          <w:rFonts w:cs="Arial"/>
          <w:sz w:val="20"/>
          <w:szCs w:val="20"/>
          <w:rtl/>
        </w:rPr>
        <w:t>לחן ביד שמאל או תניחנו על הכר או על הכסת, אפילו ביד ימינה</w:t>
      </w:r>
      <w:r>
        <w:rPr>
          <w:rFonts w:cs="Arial" w:hint="cs"/>
          <w:sz w:val="20"/>
          <w:szCs w:val="20"/>
          <w:rtl/>
        </w:rPr>
        <w:t>"</w:t>
      </w:r>
      <w:r w:rsidRPr="004E5477">
        <w:rPr>
          <w:rFonts w:cs="Arial"/>
          <w:sz w:val="20"/>
          <w:szCs w:val="20"/>
          <w:rtl/>
        </w:rPr>
        <w:t>.</w:t>
      </w:r>
    </w:p>
    <w:p w:rsidR="00620060" w:rsidRDefault="00620060" w:rsidP="00620060">
      <w:pPr>
        <w:rPr>
          <w:sz w:val="20"/>
          <w:szCs w:val="20"/>
          <w:rtl/>
        </w:rPr>
      </w:pPr>
      <w:r>
        <w:rPr>
          <w:rFonts w:hint="cs"/>
          <w:sz w:val="20"/>
          <w:szCs w:val="20"/>
          <w:u w:val="single"/>
          <w:rtl/>
        </w:rPr>
        <w:t xml:space="preserve">מזיגה שלא בפניו </w:t>
      </w:r>
      <w:r>
        <w:rPr>
          <w:sz w:val="20"/>
          <w:szCs w:val="20"/>
          <w:u w:val="single"/>
          <w:rtl/>
        </w:rPr>
        <w:t>–</w:t>
      </w:r>
      <w:r>
        <w:rPr>
          <w:rFonts w:hint="cs"/>
          <w:sz w:val="20"/>
          <w:szCs w:val="20"/>
          <w:u w:val="single"/>
          <w:rtl/>
        </w:rPr>
        <w:t xml:space="preserve"> אחרונים</w:t>
      </w:r>
      <w:r>
        <w:rPr>
          <w:sz w:val="20"/>
          <w:szCs w:val="20"/>
          <w:u w:val="single"/>
          <w:rtl/>
        </w:rPr>
        <w:br/>
      </w:r>
      <w:r>
        <w:rPr>
          <w:rFonts w:hint="cs"/>
          <w:sz w:val="20"/>
          <w:szCs w:val="20"/>
          <w:rtl/>
        </w:rPr>
        <w:t>האם מותר לנידה למזוג את הכוס שלא בפניו ולהגיש אותה לשולחן בפניו?</w:t>
      </w:r>
      <w:r>
        <w:rPr>
          <w:rFonts w:hint="cs"/>
          <w:sz w:val="20"/>
          <w:szCs w:val="20"/>
          <w:rtl/>
        </w:rPr>
        <w:br/>
        <w:t xml:space="preserve">א. </w:t>
      </w:r>
      <w:r w:rsidRPr="00A62958">
        <w:rPr>
          <w:rFonts w:hint="cs"/>
          <w:b/>
          <w:bCs/>
          <w:sz w:val="20"/>
          <w:szCs w:val="20"/>
          <w:rtl/>
        </w:rPr>
        <w:t>ב"ח</w:t>
      </w:r>
      <w:r>
        <w:rPr>
          <w:rFonts w:hint="cs"/>
          <w:sz w:val="20"/>
          <w:szCs w:val="20"/>
          <w:rtl/>
        </w:rPr>
        <w:t xml:space="preserve"> </w:t>
      </w:r>
      <w:r>
        <w:rPr>
          <w:sz w:val="20"/>
          <w:szCs w:val="20"/>
          <w:rtl/>
        </w:rPr>
        <w:t>–</w:t>
      </w:r>
      <w:r>
        <w:rPr>
          <w:rFonts w:hint="cs"/>
          <w:sz w:val="20"/>
          <w:szCs w:val="20"/>
          <w:rtl/>
        </w:rPr>
        <w:t xml:space="preserve"> לא.</w:t>
      </w:r>
      <w:r>
        <w:rPr>
          <w:sz w:val="20"/>
          <w:szCs w:val="20"/>
          <w:rtl/>
        </w:rPr>
        <w:br/>
      </w:r>
      <w:r w:rsidRPr="00A62958">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ההיתר שלא בפניו נאמר רק אם מוזגת ומניחה על השולחן שלא בפניו.</w:t>
      </w:r>
      <w:r>
        <w:rPr>
          <w:sz w:val="20"/>
          <w:szCs w:val="20"/>
          <w:rtl/>
        </w:rPr>
        <w:br/>
      </w:r>
      <w:r>
        <w:rPr>
          <w:rFonts w:hint="cs"/>
          <w:sz w:val="20"/>
          <w:szCs w:val="20"/>
          <w:rtl/>
        </w:rPr>
        <w:t xml:space="preserve">ב. </w:t>
      </w:r>
      <w:r w:rsidRPr="00A62958">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כן.</w:t>
      </w:r>
      <w:r>
        <w:rPr>
          <w:sz w:val="20"/>
          <w:szCs w:val="20"/>
          <w:rtl/>
        </w:rPr>
        <w:br/>
      </w:r>
      <w:r w:rsidRPr="00A62958">
        <w:rPr>
          <w:rFonts w:hint="cs"/>
          <w:b/>
          <w:bCs/>
          <w:sz w:val="20"/>
          <w:szCs w:val="20"/>
          <w:rtl/>
        </w:rPr>
        <w:t>טעם</w:t>
      </w:r>
      <w:r>
        <w:rPr>
          <w:rFonts w:hint="cs"/>
          <w:sz w:val="20"/>
          <w:szCs w:val="20"/>
          <w:rtl/>
        </w:rPr>
        <w:t xml:space="preserve"> - סגי בכך שהמזיגה שלא בפניו ומותר, ודברי הב"ח אינם מוכרחים. </w:t>
      </w:r>
    </w:p>
    <w:p w:rsidR="00620060" w:rsidRPr="00B031F4" w:rsidRDefault="00620060" w:rsidP="00620060">
      <w:pPr>
        <w:rPr>
          <w:sz w:val="20"/>
          <w:szCs w:val="20"/>
          <w:rtl/>
        </w:rPr>
      </w:pPr>
      <w:r>
        <w:rPr>
          <w:rFonts w:hint="cs"/>
          <w:sz w:val="20"/>
          <w:szCs w:val="20"/>
          <w:u w:val="single"/>
          <w:rtl/>
        </w:rPr>
        <w:t>פסיקת אחרוני זמנינו</w:t>
      </w:r>
      <w:r>
        <w:rPr>
          <w:sz w:val="20"/>
          <w:szCs w:val="20"/>
          <w:u w:val="single"/>
          <w:rtl/>
        </w:rPr>
        <w:br/>
      </w:r>
      <w:r>
        <w:rPr>
          <w:rFonts w:hint="cs"/>
          <w:sz w:val="20"/>
          <w:szCs w:val="20"/>
          <w:rtl/>
        </w:rPr>
        <w:t xml:space="preserve">א. </w:t>
      </w:r>
      <w:r w:rsidRPr="00B031F4">
        <w:rPr>
          <w:rFonts w:hint="cs"/>
          <w:b/>
          <w:bCs/>
          <w:sz w:val="20"/>
          <w:szCs w:val="20"/>
          <w:rtl/>
        </w:rPr>
        <w:t>ששבה"ל</w:t>
      </w:r>
      <w:r>
        <w:rPr>
          <w:rFonts w:hint="cs"/>
          <w:sz w:val="20"/>
          <w:szCs w:val="20"/>
          <w:rtl/>
        </w:rPr>
        <w:t xml:space="preserve"> </w:t>
      </w:r>
      <w:r>
        <w:rPr>
          <w:sz w:val="20"/>
          <w:szCs w:val="20"/>
          <w:rtl/>
        </w:rPr>
        <w:t>–</w:t>
      </w:r>
      <w:r>
        <w:rPr>
          <w:rFonts w:hint="cs"/>
          <w:sz w:val="20"/>
          <w:szCs w:val="20"/>
          <w:rtl/>
        </w:rPr>
        <w:t xml:space="preserve"> מנהג העולם להחמיר בין בהושטה בפניו לחוד, ובין במזיגה בפניו לחוד.</w:t>
      </w:r>
      <w:r>
        <w:rPr>
          <w:sz w:val="20"/>
          <w:szCs w:val="20"/>
          <w:rtl/>
        </w:rPr>
        <w:br/>
      </w:r>
      <w:r>
        <w:rPr>
          <w:rFonts w:hint="cs"/>
          <w:sz w:val="20"/>
          <w:szCs w:val="20"/>
          <w:rtl/>
        </w:rPr>
        <w:t xml:space="preserve">ב. </w:t>
      </w:r>
      <w:r w:rsidRPr="00B031F4">
        <w:rPr>
          <w:rFonts w:hint="cs"/>
          <w:b/>
          <w:bCs/>
          <w:sz w:val="20"/>
          <w:szCs w:val="20"/>
          <w:rtl/>
        </w:rPr>
        <w:t>טהרת הבית</w:t>
      </w:r>
      <w:r>
        <w:rPr>
          <w:rFonts w:hint="cs"/>
          <w:sz w:val="20"/>
          <w:szCs w:val="20"/>
          <w:rtl/>
        </w:rPr>
        <w:t xml:space="preserve"> </w:t>
      </w:r>
      <w:r w:rsidRPr="00B031F4">
        <w:rPr>
          <w:rFonts w:hint="cs"/>
          <w:sz w:val="18"/>
          <w:szCs w:val="18"/>
          <w:rtl/>
        </w:rPr>
        <w:t xml:space="preserve">(עמ' קצג) </w:t>
      </w:r>
      <w:r>
        <w:rPr>
          <w:sz w:val="20"/>
          <w:szCs w:val="20"/>
          <w:rtl/>
        </w:rPr>
        <w:t>–</w:t>
      </w:r>
      <w:r>
        <w:rPr>
          <w:rFonts w:hint="cs"/>
          <w:sz w:val="20"/>
          <w:szCs w:val="20"/>
          <w:rtl/>
        </w:rPr>
        <w:t xml:space="preserve"> אין אצלינו מנהג כזה, ואם המזיגה או ההושטה שלא בפניו, מותר.</w:t>
      </w:r>
      <w:r>
        <w:rPr>
          <w:sz w:val="20"/>
          <w:szCs w:val="20"/>
          <w:rtl/>
        </w:rPr>
        <w:br/>
      </w:r>
      <w:r>
        <w:rPr>
          <w:rFonts w:hint="cs"/>
          <w:sz w:val="20"/>
          <w:szCs w:val="20"/>
          <w:rtl/>
        </w:rPr>
        <w:t>ולכן, בליל הסדר שהמנהג הוא שאחר מוזג לו את הכוס, רשאית למזוג את הכוס שלא בפניו ולהגישה בפניו.</w:t>
      </w:r>
    </w:p>
    <w:p w:rsidR="00620060" w:rsidRDefault="00620060" w:rsidP="00620060">
      <w:pPr>
        <w:rPr>
          <w:sz w:val="20"/>
          <w:szCs w:val="20"/>
          <w:rtl/>
        </w:rPr>
      </w:pPr>
      <w:r>
        <w:rPr>
          <w:rFonts w:hint="cs"/>
          <w:sz w:val="20"/>
          <w:szCs w:val="20"/>
          <w:u w:val="single"/>
          <w:rtl/>
        </w:rPr>
        <w:t>הגשת אוכל לשולחן</w:t>
      </w:r>
      <w:r>
        <w:rPr>
          <w:sz w:val="20"/>
          <w:szCs w:val="20"/>
          <w:u w:val="single"/>
          <w:rtl/>
        </w:rPr>
        <w:br/>
      </w:r>
      <w:r>
        <w:rPr>
          <w:rFonts w:hint="cs"/>
          <w:sz w:val="20"/>
          <w:szCs w:val="20"/>
          <w:rtl/>
        </w:rPr>
        <w:t xml:space="preserve">א. </w:t>
      </w:r>
      <w:r w:rsidRPr="00A62958">
        <w:rPr>
          <w:rFonts w:hint="cs"/>
          <w:b/>
          <w:bCs/>
          <w:sz w:val="20"/>
          <w:szCs w:val="20"/>
          <w:rtl/>
        </w:rPr>
        <w:t>ר"ש מאוסטריי"ך</w:t>
      </w:r>
      <w:r>
        <w:rPr>
          <w:rFonts w:hint="cs"/>
          <w:sz w:val="20"/>
          <w:szCs w:val="20"/>
          <w:rtl/>
        </w:rPr>
        <w:t xml:space="preserve"> </w:t>
      </w:r>
      <w:r>
        <w:rPr>
          <w:sz w:val="20"/>
          <w:szCs w:val="20"/>
          <w:rtl/>
        </w:rPr>
        <w:t>–</w:t>
      </w:r>
      <w:r>
        <w:rPr>
          <w:rFonts w:hint="cs"/>
          <w:sz w:val="20"/>
          <w:szCs w:val="20"/>
          <w:rtl/>
        </w:rPr>
        <w:t xml:space="preserve"> מזיגת הכוס לאו דווקא, הוא הדין שאין לנידה להגיש לבעלה קערת אוכל ללא שינוי.</w:t>
      </w:r>
      <w:r>
        <w:rPr>
          <w:sz w:val="20"/>
          <w:szCs w:val="20"/>
          <w:rtl/>
        </w:rPr>
        <w:br/>
      </w:r>
      <w:r>
        <w:rPr>
          <w:rFonts w:hint="cs"/>
          <w:sz w:val="20"/>
          <w:szCs w:val="20"/>
          <w:rtl/>
        </w:rPr>
        <w:t xml:space="preserve">ב. </w:t>
      </w:r>
      <w:r w:rsidRPr="00A62958">
        <w:rPr>
          <w:rFonts w:hint="cs"/>
          <w:b/>
          <w:bCs/>
          <w:sz w:val="20"/>
          <w:szCs w:val="20"/>
          <w:rtl/>
        </w:rPr>
        <w:t>ב"ח</w:t>
      </w:r>
      <w:r>
        <w:rPr>
          <w:rFonts w:hint="cs"/>
          <w:sz w:val="20"/>
          <w:szCs w:val="20"/>
          <w:rtl/>
        </w:rPr>
        <w:t xml:space="preserve"> </w:t>
      </w:r>
      <w:r>
        <w:rPr>
          <w:sz w:val="20"/>
          <w:szCs w:val="20"/>
          <w:rtl/>
        </w:rPr>
        <w:t>–</w:t>
      </w:r>
      <w:r>
        <w:rPr>
          <w:rFonts w:hint="cs"/>
          <w:sz w:val="20"/>
          <w:szCs w:val="20"/>
          <w:rtl/>
        </w:rPr>
        <w:t xml:space="preserve"> לפי מה שכתב הרא"ם שרק מזיגה והושטה יחד אסורים, הוא הדין בקערה שלא שייך בה מזיגה אלא הושטה לחוד, ולכן מותר ללא שינוי. </w:t>
      </w:r>
      <w:r>
        <w:rPr>
          <w:sz w:val="20"/>
          <w:szCs w:val="20"/>
          <w:rtl/>
        </w:rPr>
        <w:br/>
      </w:r>
      <w:r>
        <w:rPr>
          <w:rFonts w:hint="cs"/>
          <w:sz w:val="20"/>
          <w:szCs w:val="20"/>
          <w:rtl/>
        </w:rPr>
        <w:t>ועוד, האיסור נאמר ביין שמוזגת בו מים, אך שאר משקים מותר והוא הדין למאכל שמותר.</w:t>
      </w:r>
      <w:r>
        <w:rPr>
          <w:sz w:val="20"/>
          <w:szCs w:val="20"/>
          <w:rtl/>
        </w:rPr>
        <w:br/>
      </w:r>
      <w:r>
        <w:rPr>
          <w:rFonts w:hint="cs"/>
          <w:sz w:val="20"/>
          <w:szCs w:val="20"/>
          <w:rtl/>
        </w:rPr>
        <w:t>ועוד, אפילו אם תאמר שדין קערה זהה לכוס, מכל מקום אם מגישה קערת הגשה מרכזית לכל בני הבית, אין בכך איסור, כיוון שאין בזה חיבה.</w:t>
      </w:r>
      <w:r>
        <w:rPr>
          <w:sz w:val="20"/>
          <w:szCs w:val="20"/>
          <w:rtl/>
        </w:rPr>
        <w:br/>
      </w:r>
      <w:r>
        <w:rPr>
          <w:rFonts w:hint="cs"/>
          <w:sz w:val="20"/>
          <w:szCs w:val="20"/>
          <w:rtl/>
        </w:rPr>
        <w:t>מסקנת</w:t>
      </w:r>
      <w:r w:rsidRPr="00AB3563">
        <w:rPr>
          <w:rFonts w:hint="cs"/>
          <w:b/>
          <w:bCs/>
          <w:sz w:val="20"/>
          <w:szCs w:val="20"/>
          <w:rtl/>
        </w:rPr>
        <w:t xml:space="preserve"> הב"ח </w:t>
      </w:r>
      <w:r>
        <w:rPr>
          <w:sz w:val="20"/>
          <w:szCs w:val="20"/>
          <w:rtl/>
        </w:rPr>
        <w:t>–</w:t>
      </w:r>
      <w:r>
        <w:rPr>
          <w:rFonts w:hint="cs"/>
          <w:sz w:val="20"/>
          <w:szCs w:val="20"/>
          <w:rtl/>
        </w:rPr>
        <w:t xml:space="preserve"> אין לנידה להגיש קערת אוכל המיוחדת לבעלה, אך קערה המיועדת לסועדים נוספים מותר.</w:t>
      </w:r>
      <w:r>
        <w:rPr>
          <w:rStyle w:val="a5"/>
          <w:sz w:val="20"/>
          <w:szCs w:val="20"/>
          <w:rtl/>
        </w:rPr>
        <w:footnoteReference w:id="486"/>
      </w:r>
      <w:r>
        <w:rPr>
          <w:sz w:val="20"/>
          <w:szCs w:val="20"/>
          <w:rtl/>
        </w:rPr>
        <w:br/>
      </w:r>
      <w:r>
        <w:rPr>
          <w:rFonts w:hint="cs"/>
          <w:sz w:val="20"/>
          <w:szCs w:val="20"/>
          <w:rtl/>
        </w:rPr>
        <w:t xml:space="preserve">ג. </w:t>
      </w:r>
      <w:r w:rsidRPr="00CE1C48">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מותר לאשה להגיש לבעלה קערת אוכל ללא שינוי ואין בכך כל הגבלה, וכ"פ </w:t>
      </w:r>
      <w:r w:rsidRPr="00E47646">
        <w:rPr>
          <w:rFonts w:hint="cs"/>
          <w:b/>
          <w:bCs/>
          <w:sz w:val="20"/>
          <w:szCs w:val="20"/>
          <w:rtl/>
        </w:rPr>
        <w:t>טה"ב</w:t>
      </w:r>
      <w:r>
        <w:rPr>
          <w:rFonts w:hint="cs"/>
          <w:sz w:val="20"/>
          <w:szCs w:val="20"/>
          <w:rtl/>
        </w:rPr>
        <w:t>.</w:t>
      </w:r>
      <w:r>
        <w:rPr>
          <w:sz w:val="20"/>
          <w:szCs w:val="20"/>
          <w:rtl/>
        </w:rPr>
        <w:br/>
      </w:r>
      <w:r w:rsidRPr="00CE1C48">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חכמים בחכמתם שיערו שאין בכך קירוב דעת אלא דרך עבדות בלבד.</w:t>
      </w:r>
      <w:r>
        <w:rPr>
          <w:sz w:val="20"/>
          <w:szCs w:val="20"/>
          <w:rtl/>
        </w:rPr>
        <w:br/>
      </w:r>
      <w:r w:rsidRPr="00CE1C48">
        <w:rPr>
          <w:rFonts w:hint="cs"/>
          <w:b/>
          <w:bCs/>
          <w:sz w:val="20"/>
          <w:szCs w:val="20"/>
          <w:rtl/>
        </w:rPr>
        <w:t>והסד"ט</w:t>
      </w:r>
      <w:r>
        <w:rPr>
          <w:rFonts w:hint="cs"/>
          <w:sz w:val="20"/>
          <w:szCs w:val="20"/>
          <w:rtl/>
        </w:rPr>
        <w:t xml:space="preserve"> מוסיף </w:t>
      </w:r>
      <w:r>
        <w:rPr>
          <w:sz w:val="20"/>
          <w:szCs w:val="20"/>
          <w:rtl/>
        </w:rPr>
        <w:t>–</w:t>
      </w:r>
      <w:r>
        <w:rPr>
          <w:rFonts w:hint="cs"/>
          <w:sz w:val="20"/>
          <w:szCs w:val="20"/>
          <w:rtl/>
        </w:rPr>
        <w:t xml:space="preserve"> אפילו אם נשווה את דין הגשת קערה לדין מזיגת הכוס, דעת הרמ"א לאסור במזיגת הכוס דווקא אם מוזגת ומגישה בפניו, אך אם מזגה לקערה שלא בפניו והניחה לשולחן בפניו, מותר.</w:t>
      </w:r>
      <w:r>
        <w:rPr>
          <w:rFonts w:hint="cs"/>
          <w:sz w:val="20"/>
          <w:szCs w:val="20"/>
          <w:rtl/>
        </w:rPr>
        <w:br/>
        <w:t xml:space="preserve">ואמנם, </w:t>
      </w:r>
      <w:r w:rsidRPr="008F112F">
        <w:rPr>
          <w:rFonts w:hint="cs"/>
          <w:b/>
          <w:bCs/>
          <w:sz w:val="20"/>
          <w:szCs w:val="20"/>
          <w:rtl/>
        </w:rPr>
        <w:t>הב"ח</w:t>
      </w:r>
      <w:r>
        <w:rPr>
          <w:rFonts w:hint="cs"/>
          <w:sz w:val="20"/>
          <w:szCs w:val="20"/>
          <w:rtl/>
        </w:rPr>
        <w:t xml:space="preserve"> החמיר בכך, משום שהוא אזיל לטעמיה שאפילו מזגה שלא בפניו והגישה בפניו אסור.</w:t>
      </w:r>
    </w:p>
    <w:p w:rsidR="00620060" w:rsidRPr="00025733" w:rsidRDefault="00620060" w:rsidP="00620060">
      <w:pPr>
        <w:rPr>
          <w:sz w:val="20"/>
          <w:szCs w:val="20"/>
          <w:rtl/>
        </w:rPr>
      </w:pPr>
      <w:r>
        <w:rPr>
          <w:rFonts w:hint="cs"/>
          <w:sz w:val="20"/>
          <w:szCs w:val="20"/>
          <w:u w:val="single"/>
          <w:rtl/>
        </w:rPr>
        <w:t>מזיגת שאר משקים</w:t>
      </w:r>
      <w:r>
        <w:rPr>
          <w:sz w:val="20"/>
          <w:szCs w:val="20"/>
          <w:u w:val="single"/>
          <w:rtl/>
        </w:rPr>
        <w:br/>
      </w:r>
      <w:r>
        <w:rPr>
          <w:rFonts w:hint="cs"/>
          <w:sz w:val="20"/>
          <w:szCs w:val="20"/>
          <w:rtl/>
        </w:rPr>
        <w:t xml:space="preserve">א. </w:t>
      </w:r>
      <w:r w:rsidRPr="00025733">
        <w:rPr>
          <w:rFonts w:hint="cs"/>
          <w:b/>
          <w:bCs/>
          <w:sz w:val="20"/>
          <w:szCs w:val="20"/>
          <w:rtl/>
        </w:rPr>
        <w:t>ב"ח</w:t>
      </w:r>
      <w:r>
        <w:rPr>
          <w:rFonts w:hint="cs"/>
          <w:sz w:val="20"/>
          <w:szCs w:val="20"/>
          <w:rtl/>
        </w:rPr>
        <w:t xml:space="preserve"> </w:t>
      </w:r>
      <w:r>
        <w:rPr>
          <w:sz w:val="20"/>
          <w:szCs w:val="20"/>
          <w:rtl/>
        </w:rPr>
        <w:t>–</w:t>
      </w:r>
      <w:r>
        <w:rPr>
          <w:rFonts w:hint="cs"/>
          <w:sz w:val="20"/>
          <w:szCs w:val="20"/>
          <w:rtl/>
        </w:rPr>
        <w:t xml:space="preserve"> הש"ך מסיים על דברי הב"ח </w:t>
      </w:r>
      <w:r w:rsidRPr="00025733">
        <w:rPr>
          <w:rFonts w:hint="cs"/>
          <w:sz w:val="18"/>
          <w:szCs w:val="18"/>
          <w:rtl/>
        </w:rPr>
        <w:t xml:space="preserve">(המובאים לעיל בסמוך) </w:t>
      </w:r>
      <w:r>
        <w:rPr>
          <w:rFonts w:hint="cs"/>
          <w:sz w:val="20"/>
          <w:szCs w:val="20"/>
          <w:rtl/>
        </w:rPr>
        <w:t>שהוא הדין לאסור הגשת שאר משקים.</w:t>
      </w:r>
      <w:r>
        <w:rPr>
          <w:sz w:val="20"/>
          <w:szCs w:val="20"/>
          <w:rtl/>
        </w:rPr>
        <w:br/>
      </w:r>
      <w:r>
        <w:rPr>
          <w:rFonts w:hint="cs"/>
          <w:sz w:val="20"/>
          <w:szCs w:val="20"/>
          <w:rtl/>
        </w:rPr>
        <w:t xml:space="preserve">ב. </w:t>
      </w:r>
      <w:r w:rsidRPr="00025733">
        <w:rPr>
          <w:rFonts w:hint="cs"/>
          <w:b/>
          <w:bCs/>
          <w:sz w:val="20"/>
          <w:szCs w:val="20"/>
          <w:rtl/>
        </w:rPr>
        <w:t>טה"ב</w:t>
      </w:r>
      <w:r>
        <w:rPr>
          <w:rFonts w:hint="cs"/>
          <w:sz w:val="20"/>
          <w:szCs w:val="20"/>
          <w:rtl/>
        </w:rPr>
        <w:t xml:space="preserve"> </w:t>
      </w:r>
      <w:r>
        <w:rPr>
          <w:sz w:val="20"/>
          <w:szCs w:val="20"/>
          <w:rtl/>
        </w:rPr>
        <w:t>–</w:t>
      </w:r>
      <w:r>
        <w:rPr>
          <w:rFonts w:hint="cs"/>
          <w:sz w:val="20"/>
          <w:szCs w:val="20"/>
          <w:rtl/>
        </w:rPr>
        <w:t xml:space="preserve"> מותר לנידה להגיש לבעלה שאר משקים, רק ביין אסרו חכמים.</w:t>
      </w:r>
      <w:r>
        <w:rPr>
          <w:sz w:val="20"/>
          <w:szCs w:val="20"/>
          <w:rtl/>
        </w:rPr>
        <w:br/>
      </w:r>
      <w:r w:rsidRPr="00025733">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הרשב"א כתב שהאיסור נאמר רק בכוס יין, הו"ד </w:t>
      </w:r>
      <w:r w:rsidRPr="00374D59">
        <w:rPr>
          <w:rFonts w:hint="cs"/>
          <w:b/>
          <w:bCs/>
          <w:sz w:val="20"/>
          <w:szCs w:val="20"/>
          <w:rtl/>
        </w:rPr>
        <w:t>בבית יוסף</w:t>
      </w:r>
      <w:r>
        <w:rPr>
          <w:rFonts w:hint="cs"/>
          <w:sz w:val="20"/>
          <w:szCs w:val="20"/>
          <w:rtl/>
        </w:rPr>
        <w:t xml:space="preserve">. ודברי הב"ח לאסור מבוססים על דברי ספר התרומה, אך יש לדחות ראייתו משום שהתרומה דיבר על הושטה מיד ליד ולכן החמיר </w:t>
      </w:r>
      <w:r w:rsidRPr="00025733">
        <w:rPr>
          <w:rFonts w:hint="cs"/>
          <w:sz w:val="18"/>
          <w:szCs w:val="18"/>
          <w:rtl/>
        </w:rPr>
        <w:t>(וכן נכתב לעיל בהערה בשם הלחם ושמלה)</w:t>
      </w:r>
      <w:r>
        <w:rPr>
          <w:rFonts w:hint="cs"/>
          <w:sz w:val="20"/>
          <w:szCs w:val="20"/>
          <w:rtl/>
        </w:rPr>
        <w:t>.</w:t>
      </w:r>
    </w:p>
    <w:p w:rsidR="00620060" w:rsidRDefault="00620060" w:rsidP="00620060">
      <w:pPr>
        <w:rPr>
          <w:sz w:val="20"/>
          <w:szCs w:val="20"/>
          <w:rtl/>
        </w:rPr>
      </w:pPr>
      <w:r w:rsidRPr="00C03E88">
        <w:rPr>
          <w:rFonts w:hint="cs"/>
          <w:b/>
          <w:bCs/>
          <w:sz w:val="20"/>
          <w:szCs w:val="20"/>
          <w:rtl/>
        </w:rPr>
        <w:t>סיכום</w:t>
      </w:r>
      <w:r>
        <w:rPr>
          <w:sz w:val="20"/>
          <w:szCs w:val="20"/>
          <w:rtl/>
        </w:rPr>
        <w:br/>
      </w:r>
      <w:r>
        <w:rPr>
          <w:rFonts w:hint="cs"/>
          <w:sz w:val="20"/>
          <w:szCs w:val="20"/>
          <w:rtl/>
        </w:rPr>
        <w:t xml:space="preserve">1. </w:t>
      </w:r>
      <w:r w:rsidRPr="00C03E88">
        <w:rPr>
          <w:rFonts w:hint="cs"/>
          <w:b/>
          <w:bCs/>
          <w:sz w:val="20"/>
          <w:szCs w:val="20"/>
          <w:rtl/>
        </w:rPr>
        <w:t>גמרא</w:t>
      </w:r>
      <w:r>
        <w:rPr>
          <w:rFonts w:hint="cs"/>
          <w:sz w:val="20"/>
          <w:szCs w:val="20"/>
          <w:rtl/>
        </w:rPr>
        <w:t>. אין לנידה למזוג כוס לבעלה, אך ע"י שינוי מותר.</w:t>
      </w:r>
      <w:r>
        <w:rPr>
          <w:sz w:val="20"/>
          <w:szCs w:val="20"/>
          <w:rtl/>
        </w:rPr>
        <w:br/>
      </w:r>
      <w:r>
        <w:rPr>
          <w:rFonts w:hint="cs"/>
          <w:sz w:val="20"/>
          <w:szCs w:val="20"/>
          <w:rtl/>
        </w:rPr>
        <w:t>2</w:t>
      </w:r>
      <w:r w:rsidRPr="008C165C">
        <w:rPr>
          <w:rFonts w:hint="cs"/>
          <w:sz w:val="20"/>
          <w:szCs w:val="20"/>
          <w:rtl/>
        </w:rPr>
        <w:t xml:space="preserve">. ביאור האיסור. </w:t>
      </w:r>
      <w:r w:rsidRPr="008C165C">
        <w:rPr>
          <w:rFonts w:hint="cs"/>
          <w:b/>
          <w:bCs/>
          <w:sz w:val="20"/>
          <w:szCs w:val="20"/>
          <w:rtl/>
        </w:rPr>
        <w:t>סמ"ג</w:t>
      </w:r>
      <w:r w:rsidRPr="008C165C">
        <w:rPr>
          <w:rFonts w:hint="cs"/>
          <w:sz w:val="20"/>
          <w:szCs w:val="20"/>
          <w:rtl/>
        </w:rPr>
        <w:t xml:space="preserve">. רק בכוס יין, משום שהיא דבר של חיבה. </w:t>
      </w:r>
      <w:r w:rsidRPr="008C165C">
        <w:rPr>
          <w:rFonts w:hint="cs"/>
          <w:b/>
          <w:bCs/>
          <w:sz w:val="20"/>
          <w:szCs w:val="20"/>
          <w:rtl/>
        </w:rPr>
        <w:t>רא"ש</w:t>
      </w:r>
      <w:r w:rsidRPr="008C165C">
        <w:rPr>
          <w:rFonts w:hint="cs"/>
          <w:sz w:val="20"/>
          <w:szCs w:val="20"/>
          <w:rtl/>
        </w:rPr>
        <w:t xml:space="preserve">. רק מזיגת כוס יין במים אסורה. </w:t>
      </w:r>
      <w:r w:rsidRPr="008C165C">
        <w:rPr>
          <w:rFonts w:hint="cs"/>
          <w:b/>
          <w:bCs/>
          <w:sz w:val="20"/>
          <w:szCs w:val="20"/>
          <w:rtl/>
        </w:rPr>
        <w:t>רמב"ם</w:t>
      </w:r>
      <w:r w:rsidRPr="008C165C">
        <w:rPr>
          <w:rFonts w:hint="cs"/>
          <w:sz w:val="20"/>
          <w:szCs w:val="20"/>
          <w:rtl/>
        </w:rPr>
        <w:t xml:space="preserve">. לא הזכיר היתר ע"י שינוי. </w:t>
      </w:r>
      <w:r w:rsidRPr="008C165C">
        <w:rPr>
          <w:rFonts w:hint="cs"/>
          <w:b/>
          <w:bCs/>
          <w:sz w:val="20"/>
          <w:szCs w:val="20"/>
          <w:rtl/>
        </w:rPr>
        <w:t>רא"ם</w:t>
      </w:r>
      <w:r w:rsidRPr="008C165C">
        <w:rPr>
          <w:rFonts w:hint="cs"/>
          <w:sz w:val="20"/>
          <w:szCs w:val="20"/>
          <w:rtl/>
        </w:rPr>
        <w:t>. רק מזיגה והושטה יחד נאס</w:t>
      </w:r>
      <w:r>
        <w:rPr>
          <w:rFonts w:hint="cs"/>
          <w:sz w:val="20"/>
          <w:szCs w:val="20"/>
          <w:rtl/>
        </w:rPr>
        <w:t>רו</w:t>
      </w:r>
      <w:r w:rsidRPr="008C165C">
        <w:rPr>
          <w:rFonts w:hint="cs"/>
          <w:sz w:val="20"/>
          <w:szCs w:val="20"/>
          <w:rtl/>
        </w:rPr>
        <w:t>, כל אחד בפנ"ע מותר.</w:t>
      </w:r>
      <w:r w:rsidRPr="008C165C">
        <w:rPr>
          <w:rFonts w:hint="cs"/>
          <w:sz w:val="20"/>
          <w:szCs w:val="20"/>
          <w:rtl/>
        </w:rPr>
        <w:br/>
        <w:t xml:space="preserve">3. </w:t>
      </w:r>
      <w:r w:rsidRPr="008C165C">
        <w:rPr>
          <w:rFonts w:hint="cs"/>
          <w:b/>
          <w:bCs/>
          <w:sz w:val="20"/>
          <w:szCs w:val="20"/>
          <w:rtl/>
        </w:rPr>
        <w:t>בית יוסף</w:t>
      </w:r>
      <w:r w:rsidRPr="008C165C">
        <w:rPr>
          <w:rFonts w:hint="cs"/>
          <w:sz w:val="20"/>
          <w:szCs w:val="20"/>
          <w:rtl/>
        </w:rPr>
        <w:t xml:space="preserve">. נראה שמותר למזוג את הכוס שלא בפני בעלה. </w:t>
      </w:r>
      <w:r w:rsidRPr="008C165C">
        <w:rPr>
          <w:rFonts w:hint="cs"/>
          <w:b/>
          <w:bCs/>
          <w:sz w:val="20"/>
          <w:szCs w:val="20"/>
          <w:rtl/>
        </w:rPr>
        <w:t>טעם</w:t>
      </w:r>
      <w:r w:rsidRPr="008C165C">
        <w:rPr>
          <w:rFonts w:hint="cs"/>
          <w:sz w:val="20"/>
          <w:szCs w:val="20"/>
          <w:rtl/>
        </w:rPr>
        <w:t>. לא גרע מהצעת המיטה שמותר בכה"ג.</w:t>
      </w:r>
      <w:r w:rsidRPr="008C165C">
        <w:rPr>
          <w:rFonts w:hint="cs"/>
          <w:sz w:val="20"/>
          <w:szCs w:val="20"/>
          <w:rtl/>
        </w:rPr>
        <w:br/>
        <w:t xml:space="preserve">4. </w:t>
      </w:r>
      <w:r w:rsidRPr="008C165C">
        <w:rPr>
          <w:rFonts w:hint="cs"/>
          <w:b/>
          <w:bCs/>
          <w:sz w:val="20"/>
          <w:szCs w:val="20"/>
          <w:rtl/>
        </w:rPr>
        <w:t>מחבר</w:t>
      </w:r>
      <w:r w:rsidRPr="008C165C">
        <w:rPr>
          <w:rFonts w:hint="cs"/>
          <w:sz w:val="20"/>
          <w:szCs w:val="20"/>
          <w:rtl/>
        </w:rPr>
        <w:t>. אסור לנידה למזוג הכוס לבעלה בפניו, אך ע"י שינוי מותר.</w:t>
      </w:r>
      <w:r w:rsidRPr="008C165C">
        <w:rPr>
          <w:rFonts w:hint="cs"/>
          <w:sz w:val="20"/>
          <w:szCs w:val="20"/>
          <w:rtl/>
        </w:rPr>
        <w:br/>
      </w:r>
      <w:r w:rsidRPr="008C165C">
        <w:rPr>
          <w:rFonts w:hint="cs"/>
          <w:sz w:val="20"/>
          <w:szCs w:val="20"/>
          <w:rtl/>
        </w:rPr>
        <w:lastRenderedPageBreak/>
        <w:t xml:space="preserve">5. מזיגת הכוס שלא בפניו. </w:t>
      </w:r>
      <w:r w:rsidRPr="008C165C">
        <w:rPr>
          <w:rFonts w:hint="cs"/>
          <w:b/>
          <w:bCs/>
          <w:sz w:val="20"/>
          <w:szCs w:val="20"/>
          <w:rtl/>
        </w:rPr>
        <w:t>ב"ח</w:t>
      </w:r>
      <w:r w:rsidRPr="008C165C">
        <w:rPr>
          <w:rFonts w:hint="cs"/>
          <w:sz w:val="20"/>
          <w:szCs w:val="20"/>
          <w:rtl/>
        </w:rPr>
        <w:t xml:space="preserve">. מזיגה והנחה על השולחן שלא בפניו. </w:t>
      </w:r>
      <w:r w:rsidRPr="008C165C">
        <w:rPr>
          <w:rFonts w:hint="cs"/>
          <w:b/>
          <w:bCs/>
          <w:sz w:val="20"/>
          <w:szCs w:val="20"/>
          <w:rtl/>
        </w:rPr>
        <w:t>ש"ך</w:t>
      </w:r>
      <w:r w:rsidRPr="008C165C">
        <w:rPr>
          <w:rFonts w:hint="cs"/>
          <w:sz w:val="20"/>
          <w:szCs w:val="20"/>
          <w:rtl/>
        </w:rPr>
        <w:t>. סגי שהמזיגה אינה בפניו.</w:t>
      </w:r>
      <w:r w:rsidRPr="008C165C">
        <w:rPr>
          <w:rFonts w:hint="cs"/>
          <w:sz w:val="20"/>
          <w:szCs w:val="20"/>
          <w:rtl/>
        </w:rPr>
        <w:br/>
        <w:t xml:space="preserve">6. </w:t>
      </w:r>
      <w:r w:rsidRPr="008C165C">
        <w:rPr>
          <w:rFonts w:hint="cs"/>
          <w:b/>
          <w:bCs/>
          <w:sz w:val="20"/>
          <w:szCs w:val="20"/>
          <w:rtl/>
        </w:rPr>
        <w:t>ששבה"ל</w:t>
      </w:r>
      <w:r w:rsidRPr="008C165C">
        <w:rPr>
          <w:rFonts w:hint="cs"/>
          <w:sz w:val="20"/>
          <w:szCs w:val="20"/>
          <w:rtl/>
        </w:rPr>
        <w:t xml:space="preserve">. המנהג להחמיר אפילו במזיגה לחוד ובהושטה לחוד בפניו. </w:t>
      </w:r>
      <w:r w:rsidRPr="008C165C">
        <w:rPr>
          <w:rFonts w:hint="cs"/>
          <w:b/>
          <w:bCs/>
          <w:sz w:val="20"/>
          <w:szCs w:val="20"/>
          <w:rtl/>
        </w:rPr>
        <w:t>טה"ב</w:t>
      </w:r>
      <w:r w:rsidRPr="008C165C">
        <w:rPr>
          <w:rFonts w:hint="cs"/>
          <w:sz w:val="20"/>
          <w:szCs w:val="20"/>
          <w:rtl/>
        </w:rPr>
        <w:t>. יש להתיר.</w:t>
      </w:r>
      <w:r w:rsidRPr="008C165C">
        <w:rPr>
          <w:sz w:val="20"/>
          <w:szCs w:val="20"/>
          <w:rtl/>
        </w:rPr>
        <w:br/>
      </w:r>
      <w:r w:rsidRPr="008C165C">
        <w:rPr>
          <w:rFonts w:hint="cs"/>
          <w:sz w:val="20"/>
          <w:szCs w:val="20"/>
          <w:rtl/>
        </w:rPr>
        <w:t xml:space="preserve">7. הגשת אוכל לשולחן. </w:t>
      </w:r>
      <w:r w:rsidRPr="008C165C">
        <w:rPr>
          <w:rFonts w:hint="cs"/>
          <w:b/>
          <w:bCs/>
          <w:sz w:val="20"/>
          <w:szCs w:val="20"/>
          <w:rtl/>
        </w:rPr>
        <w:t>ר"ש מאוסטריי"ך</w:t>
      </w:r>
      <w:r w:rsidRPr="008C165C">
        <w:rPr>
          <w:rFonts w:hint="cs"/>
          <w:sz w:val="20"/>
          <w:szCs w:val="20"/>
          <w:rtl/>
        </w:rPr>
        <w:t xml:space="preserve">. אסור, מזיגה לא דווקא. </w:t>
      </w:r>
      <w:r w:rsidRPr="008C165C">
        <w:rPr>
          <w:rFonts w:hint="cs"/>
          <w:b/>
          <w:bCs/>
          <w:sz w:val="20"/>
          <w:szCs w:val="20"/>
          <w:rtl/>
        </w:rPr>
        <w:t>ב"ח</w:t>
      </w:r>
      <w:r w:rsidRPr="008C165C">
        <w:rPr>
          <w:rFonts w:hint="cs"/>
          <w:sz w:val="20"/>
          <w:szCs w:val="20"/>
          <w:rtl/>
        </w:rPr>
        <w:t xml:space="preserve">. קערה לכל הסועדים מותר, קערה רק לבעלה אסור. </w:t>
      </w:r>
      <w:r w:rsidRPr="008C165C">
        <w:rPr>
          <w:rFonts w:hint="cs"/>
          <w:b/>
          <w:bCs/>
          <w:sz w:val="20"/>
          <w:szCs w:val="20"/>
          <w:rtl/>
        </w:rPr>
        <w:t>ט"ז</w:t>
      </w:r>
      <w:r w:rsidRPr="008C165C">
        <w:rPr>
          <w:rFonts w:hint="cs"/>
          <w:sz w:val="20"/>
          <w:szCs w:val="20"/>
          <w:rtl/>
        </w:rPr>
        <w:t xml:space="preserve">. מותר בכל עניין ואין כל הגבלה. </w:t>
      </w:r>
      <w:r w:rsidRPr="008C165C">
        <w:rPr>
          <w:rFonts w:hint="cs"/>
          <w:b/>
          <w:bCs/>
          <w:sz w:val="20"/>
          <w:szCs w:val="20"/>
          <w:rtl/>
        </w:rPr>
        <w:t>טעם</w:t>
      </w:r>
      <w:r w:rsidRPr="008C165C">
        <w:rPr>
          <w:rFonts w:hint="cs"/>
          <w:sz w:val="20"/>
          <w:szCs w:val="20"/>
          <w:rtl/>
        </w:rPr>
        <w:t>. זו עבדות ולא חיבה.</w:t>
      </w:r>
      <w:r w:rsidRPr="008C165C">
        <w:rPr>
          <w:rFonts w:hint="cs"/>
          <w:sz w:val="20"/>
          <w:szCs w:val="20"/>
          <w:rtl/>
        </w:rPr>
        <w:br/>
        <w:t>8. מזיגת שאר משקים.</w:t>
      </w:r>
      <w:r>
        <w:rPr>
          <w:rFonts w:hint="cs"/>
          <w:sz w:val="20"/>
          <w:szCs w:val="20"/>
          <w:rtl/>
        </w:rPr>
        <w:t xml:space="preserve"> </w:t>
      </w:r>
      <w:r w:rsidRPr="00374D59">
        <w:rPr>
          <w:rFonts w:hint="cs"/>
          <w:b/>
          <w:bCs/>
          <w:sz w:val="20"/>
          <w:szCs w:val="20"/>
          <w:rtl/>
        </w:rPr>
        <w:t>ב"ח</w:t>
      </w:r>
      <w:r>
        <w:rPr>
          <w:rFonts w:hint="cs"/>
          <w:sz w:val="20"/>
          <w:szCs w:val="20"/>
          <w:rtl/>
        </w:rPr>
        <w:t xml:space="preserve"> ע"פ </w:t>
      </w:r>
      <w:r w:rsidRPr="00374D59">
        <w:rPr>
          <w:rFonts w:hint="cs"/>
          <w:b/>
          <w:bCs/>
          <w:sz w:val="20"/>
          <w:szCs w:val="20"/>
          <w:rtl/>
        </w:rPr>
        <w:t>הש"ך</w:t>
      </w:r>
      <w:r>
        <w:rPr>
          <w:rFonts w:hint="cs"/>
          <w:sz w:val="20"/>
          <w:szCs w:val="20"/>
          <w:rtl/>
        </w:rPr>
        <w:t xml:space="preserve">. אסור. </w:t>
      </w:r>
      <w:r w:rsidRPr="00374D59">
        <w:rPr>
          <w:rFonts w:hint="cs"/>
          <w:b/>
          <w:bCs/>
          <w:sz w:val="20"/>
          <w:szCs w:val="20"/>
          <w:rtl/>
        </w:rPr>
        <w:t>טה"ב</w:t>
      </w:r>
      <w:r>
        <w:rPr>
          <w:rFonts w:hint="cs"/>
          <w:sz w:val="20"/>
          <w:szCs w:val="20"/>
          <w:rtl/>
        </w:rPr>
        <w:t>. מותר.</w:t>
      </w:r>
    </w:p>
    <w:p w:rsidR="00620060" w:rsidRDefault="00620060" w:rsidP="00620060">
      <w:pPr>
        <w:rPr>
          <w:sz w:val="20"/>
          <w:szCs w:val="20"/>
          <w:rtl/>
        </w:rPr>
      </w:pPr>
      <w:r>
        <w:rPr>
          <w:sz w:val="20"/>
          <w:szCs w:val="20"/>
          <w:rtl/>
        </w:rPr>
        <w:br/>
      </w:r>
      <w:r>
        <w:rPr>
          <w:rFonts w:hint="cs"/>
          <w:b/>
          <w:bCs/>
          <w:sz w:val="20"/>
          <w:szCs w:val="20"/>
          <w:rtl/>
        </w:rPr>
        <w:t xml:space="preserve">סעיף יא </w:t>
      </w:r>
      <w:r>
        <w:rPr>
          <w:b/>
          <w:bCs/>
          <w:sz w:val="20"/>
          <w:szCs w:val="20"/>
          <w:rtl/>
        </w:rPr>
        <w:t>–</w:t>
      </w:r>
      <w:r>
        <w:rPr>
          <w:rFonts w:hint="cs"/>
          <w:b/>
          <w:bCs/>
          <w:sz w:val="20"/>
          <w:szCs w:val="20"/>
          <w:rtl/>
        </w:rPr>
        <w:t xml:space="preserve"> הצעת המיטה</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גמרא </w:t>
      </w:r>
      <w:r>
        <w:rPr>
          <w:rFonts w:hint="cs"/>
          <w:sz w:val="20"/>
          <w:szCs w:val="20"/>
          <w:rtl/>
        </w:rPr>
        <w:t>כתובות (סא.) "</w:t>
      </w:r>
      <w:r w:rsidRPr="00B272DB">
        <w:rPr>
          <w:rFonts w:cs="Arial"/>
          <w:sz w:val="20"/>
          <w:szCs w:val="20"/>
          <w:rtl/>
        </w:rPr>
        <w:t>אמר רב הונא: כל מלאכות שהאשה עושה לבעלה - נדה עושה לבעלה, חוץ ממזיגת הכוס, והצעת המטה, והרחצת פניו ידיו ורגליו. והצעת המטה, אמר רבא: לא אמרן אלא</w:t>
      </w:r>
      <w:r>
        <w:rPr>
          <w:rFonts w:cs="Arial"/>
          <w:sz w:val="20"/>
          <w:szCs w:val="20"/>
          <w:rtl/>
        </w:rPr>
        <w:t xml:space="preserve"> בפניו, אבל שלא בפניו לית לן בה</w:t>
      </w:r>
      <w:r>
        <w:rPr>
          <w:rFonts w:cs="Arial" w:hint="cs"/>
          <w:sz w:val="20"/>
          <w:szCs w:val="20"/>
          <w:rtl/>
        </w:rPr>
        <w:t>".</w:t>
      </w:r>
      <w:r>
        <w:rPr>
          <w:rFonts w:hint="cs"/>
          <w:sz w:val="20"/>
          <w:szCs w:val="20"/>
          <w:rtl/>
        </w:rPr>
        <w:br/>
      </w:r>
      <w:r>
        <w:rPr>
          <w:rFonts w:hint="cs"/>
          <w:sz w:val="20"/>
          <w:szCs w:val="20"/>
          <w:rtl/>
        </w:rPr>
        <w:br/>
      </w:r>
      <w:r>
        <w:rPr>
          <w:rFonts w:hint="cs"/>
          <w:b/>
          <w:bCs/>
          <w:sz w:val="20"/>
          <w:szCs w:val="20"/>
          <w:rtl/>
        </w:rPr>
        <w:t>הצעת כרים וכסתות</w:t>
      </w:r>
      <w:r>
        <w:rPr>
          <w:sz w:val="20"/>
          <w:szCs w:val="20"/>
          <w:rtl/>
        </w:rPr>
        <w:br/>
      </w:r>
      <w:r w:rsidRPr="00B272DB">
        <w:rPr>
          <w:rFonts w:hint="cs"/>
          <w:b/>
          <w:bCs/>
          <w:sz w:val="20"/>
          <w:szCs w:val="20"/>
          <w:rtl/>
        </w:rPr>
        <w:t>תוספות</w:t>
      </w:r>
      <w:r>
        <w:rPr>
          <w:rFonts w:hint="cs"/>
          <w:sz w:val="20"/>
          <w:szCs w:val="20"/>
          <w:rtl/>
        </w:rPr>
        <w:t xml:space="preserve"> </w:t>
      </w:r>
      <w:r>
        <w:rPr>
          <w:sz w:val="20"/>
          <w:szCs w:val="20"/>
          <w:rtl/>
        </w:rPr>
        <w:t>–</w:t>
      </w:r>
      <w:r>
        <w:rPr>
          <w:rFonts w:hint="cs"/>
          <w:sz w:val="20"/>
          <w:szCs w:val="20"/>
          <w:rtl/>
        </w:rPr>
        <w:t xml:space="preserve"> איסור הצעת המיטה נאמר דווקא על פריסת הסדין שהוא דבר של חיבה, אך הצעת כרים וכסתות אינו דבר של חיבה אלא דרך עבדות ומותר.</w:t>
      </w:r>
    </w:p>
    <w:p w:rsidR="00620060" w:rsidRPr="00B272DB" w:rsidRDefault="00620060" w:rsidP="00620060">
      <w:pPr>
        <w:rPr>
          <w:sz w:val="20"/>
          <w:szCs w:val="20"/>
          <w:rtl/>
        </w:rPr>
      </w:pPr>
      <w:r>
        <w:rPr>
          <w:rFonts w:hint="cs"/>
          <w:b/>
          <w:bCs/>
          <w:sz w:val="20"/>
          <w:szCs w:val="20"/>
          <w:rtl/>
        </w:rPr>
        <w:t xml:space="preserve">הצעה שלא בפניו </w:t>
      </w:r>
      <w:r>
        <w:rPr>
          <w:b/>
          <w:bCs/>
          <w:sz w:val="20"/>
          <w:szCs w:val="20"/>
          <w:rtl/>
        </w:rPr>
        <w:br/>
      </w:r>
      <w:r>
        <w:rPr>
          <w:rFonts w:hint="cs"/>
          <w:b/>
          <w:bCs/>
          <w:sz w:val="20"/>
          <w:szCs w:val="20"/>
          <w:rtl/>
        </w:rPr>
        <w:t xml:space="preserve">רשב"א </w:t>
      </w:r>
      <w:r>
        <w:rPr>
          <w:sz w:val="20"/>
          <w:szCs w:val="20"/>
          <w:rtl/>
        </w:rPr>
        <w:t>–</w:t>
      </w:r>
      <w:r>
        <w:rPr>
          <w:rFonts w:hint="cs"/>
          <w:sz w:val="20"/>
          <w:szCs w:val="20"/>
          <w:rtl/>
        </w:rPr>
        <w:t xml:space="preserve"> ההיתר להציע מיטה שלא בפניו נאמר אפילו אם הוא יודע שהיא מצעת לו.</w:t>
      </w:r>
      <w:r>
        <w:rPr>
          <w:sz w:val="20"/>
          <w:szCs w:val="20"/>
          <w:rtl/>
        </w:rPr>
        <w:br/>
      </w:r>
      <w:r w:rsidRPr="00B272DB">
        <w:rPr>
          <w:rFonts w:hint="cs"/>
          <w:b/>
          <w:bCs/>
          <w:sz w:val="20"/>
          <w:szCs w:val="20"/>
          <w:rtl/>
        </w:rPr>
        <w:t xml:space="preserve">טעם </w:t>
      </w:r>
      <w:r>
        <w:rPr>
          <w:sz w:val="20"/>
          <w:szCs w:val="20"/>
          <w:rtl/>
        </w:rPr>
        <w:t>–</w:t>
      </w:r>
      <w:r>
        <w:rPr>
          <w:rFonts w:hint="cs"/>
          <w:sz w:val="20"/>
          <w:szCs w:val="20"/>
          <w:rtl/>
        </w:rPr>
        <w:t xml:space="preserve"> כיוון שלא נעשה בפניו, אין בכך הרגל עבירה.</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1B2242">
        <w:rPr>
          <w:rFonts w:cs="Arial"/>
          <w:sz w:val="20"/>
          <w:szCs w:val="20"/>
          <w:rtl/>
        </w:rPr>
        <w:t>אסורה להציע מ</w:t>
      </w:r>
      <w:r>
        <w:rPr>
          <w:rFonts w:cs="Arial" w:hint="cs"/>
          <w:sz w:val="20"/>
          <w:szCs w:val="20"/>
          <w:rtl/>
        </w:rPr>
        <w:t>י</w:t>
      </w:r>
      <w:r w:rsidRPr="001B2242">
        <w:rPr>
          <w:rFonts w:cs="Arial"/>
          <w:sz w:val="20"/>
          <w:szCs w:val="20"/>
          <w:rtl/>
        </w:rPr>
        <w:t>טתו בפניו; וד</w:t>
      </w:r>
      <w:r>
        <w:rPr>
          <w:rFonts w:cs="Arial" w:hint="cs"/>
          <w:sz w:val="20"/>
          <w:szCs w:val="20"/>
          <w:rtl/>
        </w:rPr>
        <w:t>ו</w:t>
      </w:r>
      <w:r w:rsidRPr="001B2242">
        <w:rPr>
          <w:rFonts w:cs="Arial"/>
          <w:sz w:val="20"/>
          <w:szCs w:val="20"/>
          <w:rtl/>
        </w:rPr>
        <w:t>וקא פריסת סדינים והמכסה שהוא דרך חבה, אבל הצעת הכרים והכסתות שהוא טורח ואינה דרך חבה, שרי</w:t>
      </w:r>
      <w:r>
        <w:rPr>
          <w:rStyle w:val="a5"/>
          <w:rFonts w:cs="Arial"/>
          <w:sz w:val="20"/>
          <w:szCs w:val="20"/>
          <w:rtl/>
        </w:rPr>
        <w:footnoteReference w:id="487"/>
      </w:r>
      <w:r w:rsidRPr="001B2242">
        <w:rPr>
          <w:rFonts w:cs="Arial"/>
          <w:sz w:val="20"/>
          <w:szCs w:val="20"/>
          <w:rtl/>
        </w:rPr>
        <w:t>. ושלא בפניו, הכל מות</w:t>
      </w:r>
      <w:r>
        <w:rPr>
          <w:rFonts w:cs="Arial"/>
          <w:sz w:val="20"/>
          <w:szCs w:val="20"/>
          <w:rtl/>
        </w:rPr>
        <w:t>ר אפילו הוא יודע שהיא מצעת אותם</w:t>
      </w:r>
      <w:r>
        <w:rPr>
          <w:rFonts w:cs="Arial" w:hint="cs"/>
          <w:sz w:val="20"/>
          <w:szCs w:val="20"/>
          <w:rtl/>
        </w:rPr>
        <w:t>".</w:t>
      </w:r>
    </w:p>
    <w:p w:rsidR="00620060" w:rsidRPr="00D23949" w:rsidRDefault="00620060" w:rsidP="00620060">
      <w:pPr>
        <w:rPr>
          <w:sz w:val="20"/>
          <w:szCs w:val="20"/>
          <w:rtl/>
        </w:rPr>
      </w:pPr>
      <w:r>
        <w:rPr>
          <w:rFonts w:hint="cs"/>
          <w:sz w:val="20"/>
          <w:szCs w:val="20"/>
          <w:u w:val="single"/>
          <w:rtl/>
        </w:rPr>
        <w:t>הסבר המושגים</w:t>
      </w:r>
      <w:r>
        <w:rPr>
          <w:rStyle w:val="a5"/>
          <w:sz w:val="20"/>
          <w:szCs w:val="20"/>
          <w:u w:val="single"/>
          <w:rtl/>
        </w:rPr>
        <w:footnoteReference w:id="488"/>
      </w:r>
      <w:r>
        <w:rPr>
          <w:rFonts w:hint="cs"/>
          <w:sz w:val="20"/>
          <w:szCs w:val="20"/>
          <w:u w:val="single"/>
          <w:rtl/>
        </w:rPr>
        <w:br/>
      </w:r>
      <w:r>
        <w:rPr>
          <w:rFonts w:hint="cs"/>
          <w:sz w:val="20"/>
          <w:szCs w:val="20"/>
          <w:rtl/>
        </w:rPr>
        <w:t xml:space="preserve">סדין </w:t>
      </w:r>
      <w:r>
        <w:rPr>
          <w:sz w:val="20"/>
          <w:szCs w:val="20"/>
          <w:rtl/>
        </w:rPr>
        <w:t>–</w:t>
      </w:r>
      <w:r>
        <w:rPr>
          <w:rFonts w:hint="cs"/>
          <w:sz w:val="20"/>
          <w:szCs w:val="20"/>
          <w:rtl/>
        </w:rPr>
        <w:t xml:space="preserve"> כמשמעו.</w:t>
      </w:r>
      <w:r>
        <w:rPr>
          <w:sz w:val="20"/>
          <w:szCs w:val="20"/>
          <w:u w:val="single"/>
          <w:rtl/>
        </w:rPr>
        <w:br/>
      </w:r>
      <w:r>
        <w:rPr>
          <w:rFonts w:hint="cs"/>
          <w:sz w:val="20"/>
          <w:szCs w:val="20"/>
          <w:rtl/>
        </w:rPr>
        <w:t>מכסה - שמיכה.</w:t>
      </w:r>
      <w:r>
        <w:rPr>
          <w:sz w:val="20"/>
          <w:szCs w:val="20"/>
          <w:rtl/>
        </w:rPr>
        <w:br/>
      </w:r>
      <w:r>
        <w:rPr>
          <w:rFonts w:hint="cs"/>
          <w:sz w:val="20"/>
          <w:szCs w:val="20"/>
          <w:rtl/>
        </w:rPr>
        <w:t xml:space="preserve">כר </w:t>
      </w:r>
      <w:r>
        <w:rPr>
          <w:sz w:val="20"/>
          <w:szCs w:val="20"/>
          <w:rtl/>
        </w:rPr>
        <w:t>–</w:t>
      </w:r>
      <w:r>
        <w:rPr>
          <w:rFonts w:hint="cs"/>
          <w:sz w:val="20"/>
          <w:szCs w:val="20"/>
          <w:rtl/>
        </w:rPr>
        <w:t xml:space="preserve"> מזרון.</w:t>
      </w:r>
      <w:r>
        <w:rPr>
          <w:rFonts w:hint="cs"/>
          <w:sz w:val="20"/>
          <w:szCs w:val="20"/>
          <w:rtl/>
        </w:rPr>
        <w:br/>
        <w:t xml:space="preserve">כסת </w:t>
      </w:r>
      <w:r>
        <w:rPr>
          <w:sz w:val="20"/>
          <w:szCs w:val="20"/>
          <w:rtl/>
        </w:rPr>
        <w:t>–</w:t>
      </w:r>
      <w:r>
        <w:rPr>
          <w:rFonts w:hint="cs"/>
          <w:sz w:val="20"/>
          <w:szCs w:val="20"/>
          <w:rtl/>
        </w:rPr>
        <w:t xml:space="preserve"> כרית.</w:t>
      </w:r>
      <w:r>
        <w:rPr>
          <w:rFonts w:hint="cs"/>
          <w:sz w:val="20"/>
          <w:szCs w:val="20"/>
          <w:rtl/>
        </w:rPr>
        <w:br/>
        <w:t xml:space="preserve">ולכן </w:t>
      </w:r>
      <w:r>
        <w:rPr>
          <w:sz w:val="20"/>
          <w:szCs w:val="20"/>
          <w:rtl/>
        </w:rPr>
        <w:t>–</w:t>
      </w:r>
      <w:r>
        <w:rPr>
          <w:rFonts w:hint="cs"/>
          <w:sz w:val="20"/>
          <w:szCs w:val="20"/>
          <w:rtl/>
        </w:rPr>
        <w:t xml:space="preserve"> אסור לה להציע לו סדין ושמיכה, מזרון וכרית מותר מפני שהם כבדים ואין בכך חיבה אלא טירחה.</w:t>
      </w:r>
    </w:p>
    <w:p w:rsidR="00620060" w:rsidRDefault="00620060" w:rsidP="00620060">
      <w:pPr>
        <w:rPr>
          <w:sz w:val="20"/>
          <w:szCs w:val="20"/>
          <w:rtl/>
        </w:rPr>
      </w:pPr>
      <w:r>
        <w:rPr>
          <w:rFonts w:hint="cs"/>
          <w:sz w:val="20"/>
          <w:szCs w:val="20"/>
          <w:u w:val="single"/>
          <w:rtl/>
        </w:rPr>
        <w:t>ציפוי כר ושמיכה</w:t>
      </w:r>
      <w:r>
        <w:rPr>
          <w:sz w:val="20"/>
          <w:szCs w:val="20"/>
          <w:u w:val="single"/>
          <w:rtl/>
        </w:rPr>
        <w:br/>
      </w:r>
      <w:r w:rsidRPr="00A830BA">
        <w:rPr>
          <w:rFonts w:hint="cs"/>
          <w:b/>
          <w:bCs/>
          <w:sz w:val="20"/>
          <w:szCs w:val="20"/>
          <w:rtl/>
        </w:rPr>
        <w:t>ששבה"ל</w:t>
      </w:r>
      <w:r>
        <w:rPr>
          <w:rFonts w:hint="cs"/>
          <w:sz w:val="20"/>
          <w:szCs w:val="20"/>
          <w:rtl/>
        </w:rPr>
        <w:t xml:space="preserve"> </w:t>
      </w:r>
      <w:r>
        <w:rPr>
          <w:sz w:val="20"/>
          <w:szCs w:val="20"/>
          <w:rtl/>
        </w:rPr>
        <w:t>–</w:t>
      </w:r>
      <w:r>
        <w:rPr>
          <w:rFonts w:hint="cs"/>
          <w:sz w:val="20"/>
          <w:szCs w:val="20"/>
          <w:rtl/>
        </w:rPr>
        <w:t xml:space="preserve"> "הכנסת הכר והשמיכה בציפית וציפה שרי, דזה חשיב רק כהכנה להצעה, וגם אין נצרך שיעשוהו על המטה".</w:t>
      </w:r>
    </w:p>
    <w:p w:rsidR="00620060" w:rsidRPr="008A5626" w:rsidRDefault="00620060" w:rsidP="00620060">
      <w:pPr>
        <w:rPr>
          <w:sz w:val="20"/>
          <w:szCs w:val="20"/>
          <w:rtl/>
        </w:rPr>
      </w:pPr>
      <w:r>
        <w:rPr>
          <w:rFonts w:hint="cs"/>
          <w:sz w:val="20"/>
          <w:szCs w:val="20"/>
          <w:u w:val="single"/>
          <w:rtl/>
        </w:rPr>
        <w:t>עצימת עיניים של הבעל (טה"ב עמ' רה)</w:t>
      </w:r>
      <w:r>
        <w:rPr>
          <w:rFonts w:hint="cs"/>
          <w:sz w:val="20"/>
          <w:szCs w:val="20"/>
          <w:u w:val="single"/>
          <w:rtl/>
        </w:rPr>
        <w:br/>
      </w:r>
      <w:r w:rsidRPr="008A5626">
        <w:rPr>
          <w:rFonts w:hint="cs"/>
          <w:b/>
          <w:bCs/>
          <w:sz w:val="20"/>
          <w:szCs w:val="20"/>
          <w:rtl/>
        </w:rPr>
        <w:t>טהרת הבית</w:t>
      </w:r>
      <w:r>
        <w:rPr>
          <w:rFonts w:hint="cs"/>
          <w:sz w:val="20"/>
          <w:szCs w:val="20"/>
          <w:rtl/>
        </w:rPr>
        <w:t xml:space="preserve"> </w:t>
      </w:r>
      <w:r>
        <w:rPr>
          <w:sz w:val="20"/>
          <w:szCs w:val="20"/>
          <w:rtl/>
        </w:rPr>
        <w:t>–</w:t>
      </w:r>
      <w:r>
        <w:rPr>
          <w:rFonts w:hint="cs"/>
          <w:sz w:val="20"/>
          <w:szCs w:val="20"/>
          <w:rtl/>
        </w:rPr>
        <w:t xml:space="preserve"> מותר לאשה להציע את מיטת בעלה כשהוא נמצא בחדר אך עוצם עיניו.</w:t>
      </w:r>
      <w:r>
        <w:rPr>
          <w:sz w:val="20"/>
          <w:szCs w:val="20"/>
          <w:rtl/>
        </w:rPr>
        <w:br/>
      </w:r>
      <w:r w:rsidRPr="008A5626">
        <w:rPr>
          <w:rFonts w:hint="cs"/>
          <w:b/>
          <w:bCs/>
          <w:sz w:val="20"/>
          <w:szCs w:val="20"/>
          <w:rtl/>
        </w:rPr>
        <w:t>ראיה</w:t>
      </w:r>
      <w:r>
        <w:rPr>
          <w:rFonts w:hint="cs"/>
          <w:sz w:val="20"/>
          <w:szCs w:val="20"/>
          <w:rtl/>
        </w:rPr>
        <w:t xml:space="preserve"> </w:t>
      </w:r>
      <w:r>
        <w:rPr>
          <w:sz w:val="20"/>
          <w:szCs w:val="20"/>
          <w:rtl/>
        </w:rPr>
        <w:t>–</w:t>
      </w:r>
      <w:r>
        <w:rPr>
          <w:rFonts w:hint="cs"/>
          <w:sz w:val="20"/>
          <w:szCs w:val="20"/>
          <w:rtl/>
        </w:rPr>
        <w:t xml:space="preserve"> כך מדוייק מלשון הרשב"א: "</w:t>
      </w:r>
      <w:r w:rsidRPr="008A5626">
        <w:rPr>
          <w:rFonts w:cs="Arial"/>
          <w:sz w:val="20"/>
          <w:szCs w:val="20"/>
          <w:rtl/>
        </w:rPr>
        <w:t xml:space="preserve">הצעת המטה לא אמרן אלא בפניו אבל שלא בפניו לית לן בה. ואעפ"י שהוא יודע שהיא מציעתו אין בכך הרגל כל כך אלא בשהיא מציעתו </w:t>
      </w:r>
      <w:r w:rsidRPr="008A5626">
        <w:rPr>
          <w:rFonts w:cs="Arial"/>
          <w:sz w:val="20"/>
          <w:szCs w:val="20"/>
          <w:u w:val="single"/>
          <w:rtl/>
        </w:rPr>
        <w:t>והוא רואה</w:t>
      </w:r>
      <w:r>
        <w:rPr>
          <w:rFonts w:hint="cs"/>
          <w:sz w:val="20"/>
          <w:szCs w:val="20"/>
          <w:rtl/>
        </w:rPr>
        <w:t>"</w:t>
      </w:r>
      <w:r>
        <w:rPr>
          <w:rStyle w:val="a5"/>
          <w:sz w:val="20"/>
          <w:szCs w:val="20"/>
          <w:rtl/>
        </w:rPr>
        <w:footnoteReference w:id="489"/>
      </w:r>
      <w:r>
        <w:rPr>
          <w:rFonts w:hint="cs"/>
          <w:sz w:val="20"/>
          <w:szCs w:val="20"/>
          <w:rtl/>
        </w:rPr>
        <w:t>.</w:t>
      </w:r>
    </w:p>
    <w:p w:rsidR="00620060" w:rsidRDefault="00620060" w:rsidP="00620060">
      <w:pPr>
        <w:rPr>
          <w:sz w:val="20"/>
          <w:szCs w:val="20"/>
          <w:rtl/>
        </w:rPr>
      </w:pPr>
      <w:r>
        <w:rPr>
          <w:rFonts w:hint="cs"/>
          <w:sz w:val="20"/>
          <w:szCs w:val="20"/>
          <w:u w:val="single"/>
          <w:rtl/>
        </w:rPr>
        <w:t>כרים וכסתות של זמנינו (טה"ב עמ' רד)</w:t>
      </w:r>
      <w:r>
        <w:rPr>
          <w:rFonts w:hint="cs"/>
          <w:sz w:val="20"/>
          <w:szCs w:val="20"/>
          <w:u w:val="single"/>
          <w:rtl/>
        </w:rPr>
        <w:br/>
      </w:r>
      <w:r>
        <w:rPr>
          <w:rFonts w:hint="cs"/>
          <w:sz w:val="20"/>
          <w:szCs w:val="20"/>
          <w:rtl/>
        </w:rPr>
        <w:t>האם ניתן להקל גם בכרים וכסתות שלנו?</w:t>
      </w:r>
      <w:r>
        <w:rPr>
          <w:rFonts w:hint="cs"/>
          <w:sz w:val="20"/>
          <w:szCs w:val="20"/>
          <w:rtl/>
        </w:rPr>
        <w:br/>
        <w:t xml:space="preserve">א. </w:t>
      </w:r>
      <w:r w:rsidRPr="00AB2CE9">
        <w:rPr>
          <w:rFonts w:hint="cs"/>
          <w:b/>
          <w:bCs/>
          <w:sz w:val="20"/>
          <w:szCs w:val="20"/>
          <w:rtl/>
        </w:rPr>
        <w:t>ש</w:t>
      </w:r>
      <w:r>
        <w:rPr>
          <w:rFonts w:hint="cs"/>
          <w:b/>
          <w:bCs/>
          <w:sz w:val="20"/>
          <w:szCs w:val="20"/>
          <w:rtl/>
        </w:rPr>
        <w:t xml:space="preserve">שבה"ל </w:t>
      </w:r>
      <w:r>
        <w:rPr>
          <w:sz w:val="20"/>
          <w:szCs w:val="20"/>
          <w:rtl/>
        </w:rPr>
        <w:t>–</w:t>
      </w:r>
      <w:r>
        <w:rPr>
          <w:rFonts w:hint="cs"/>
          <w:sz w:val="20"/>
          <w:szCs w:val="20"/>
          <w:rtl/>
        </w:rPr>
        <w:t xml:space="preserve"> ספק.</w:t>
      </w:r>
      <w:r>
        <w:rPr>
          <w:sz w:val="20"/>
          <w:szCs w:val="20"/>
          <w:rtl/>
        </w:rPr>
        <w:br/>
      </w:r>
      <w:r w:rsidRPr="00AB2CE9">
        <w:rPr>
          <w:rFonts w:hint="cs"/>
          <w:b/>
          <w:bCs/>
          <w:sz w:val="20"/>
          <w:szCs w:val="20"/>
          <w:rtl/>
        </w:rPr>
        <w:t xml:space="preserve">טעם </w:t>
      </w:r>
      <w:r>
        <w:rPr>
          <w:sz w:val="20"/>
          <w:szCs w:val="20"/>
          <w:rtl/>
        </w:rPr>
        <w:t>–</w:t>
      </w:r>
      <w:r>
        <w:rPr>
          <w:rFonts w:hint="cs"/>
          <w:sz w:val="20"/>
          <w:szCs w:val="20"/>
          <w:rtl/>
        </w:rPr>
        <w:t xml:space="preserve"> הכרים והכסתות אינם כבדים כל כך, ושמא אין הצעתם דרך עבדות אלא דרך חיבה ואסור.</w:t>
      </w:r>
      <w:r>
        <w:rPr>
          <w:sz w:val="20"/>
          <w:szCs w:val="20"/>
          <w:rtl/>
        </w:rPr>
        <w:br/>
      </w:r>
      <w:r>
        <w:rPr>
          <w:rFonts w:hint="cs"/>
          <w:sz w:val="20"/>
          <w:szCs w:val="20"/>
          <w:rtl/>
        </w:rPr>
        <w:lastRenderedPageBreak/>
        <w:t xml:space="preserve">ב. </w:t>
      </w:r>
      <w:r w:rsidRPr="00AB2CE9">
        <w:rPr>
          <w:rFonts w:hint="cs"/>
          <w:b/>
          <w:bCs/>
          <w:sz w:val="20"/>
          <w:szCs w:val="20"/>
          <w:rtl/>
        </w:rPr>
        <w:t>טה"ב</w:t>
      </w:r>
      <w:r>
        <w:rPr>
          <w:rFonts w:hint="cs"/>
          <w:sz w:val="20"/>
          <w:szCs w:val="20"/>
          <w:rtl/>
        </w:rPr>
        <w:t xml:space="preserve"> </w:t>
      </w:r>
      <w:r>
        <w:rPr>
          <w:sz w:val="20"/>
          <w:szCs w:val="20"/>
          <w:rtl/>
        </w:rPr>
        <w:t>–</w:t>
      </w:r>
      <w:r>
        <w:rPr>
          <w:rFonts w:hint="cs"/>
          <w:sz w:val="20"/>
          <w:szCs w:val="20"/>
          <w:rtl/>
        </w:rPr>
        <w:t xml:space="preserve"> כן.</w:t>
      </w:r>
      <w:r>
        <w:rPr>
          <w:sz w:val="20"/>
          <w:szCs w:val="20"/>
          <w:rtl/>
        </w:rPr>
        <w:br/>
      </w:r>
      <w:r w:rsidRPr="00AB2CE9">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אע"פ שאין זו דרך עבדות, מכל מקום אין בכך חיבה. </w:t>
      </w:r>
    </w:p>
    <w:p w:rsidR="00620060" w:rsidRDefault="00620060" w:rsidP="00620060">
      <w:pPr>
        <w:rPr>
          <w:sz w:val="20"/>
          <w:szCs w:val="20"/>
          <w:rtl/>
        </w:rPr>
      </w:pPr>
      <w:r>
        <w:rPr>
          <w:rFonts w:hint="cs"/>
          <w:sz w:val="20"/>
          <w:szCs w:val="20"/>
          <w:u w:val="single"/>
          <w:rtl/>
        </w:rPr>
        <w:t>הצעת המיטה בשינוי (טה"ב עמ' רד)</w:t>
      </w:r>
      <w:r>
        <w:rPr>
          <w:rFonts w:hint="cs"/>
          <w:sz w:val="20"/>
          <w:szCs w:val="20"/>
          <w:u w:val="single"/>
          <w:rtl/>
        </w:rPr>
        <w:br/>
      </w:r>
      <w:r w:rsidRPr="009612AC">
        <w:rPr>
          <w:rFonts w:hint="cs"/>
          <w:b/>
          <w:bCs/>
          <w:sz w:val="20"/>
          <w:szCs w:val="20"/>
          <w:rtl/>
        </w:rPr>
        <w:t>ראבי"ה וב"ח</w:t>
      </w:r>
      <w:r>
        <w:rPr>
          <w:rFonts w:hint="cs"/>
          <w:sz w:val="20"/>
          <w:szCs w:val="20"/>
          <w:rtl/>
        </w:rPr>
        <w:t xml:space="preserve"> </w:t>
      </w:r>
      <w:r>
        <w:rPr>
          <w:sz w:val="20"/>
          <w:szCs w:val="20"/>
          <w:rtl/>
        </w:rPr>
        <w:t>–</w:t>
      </w:r>
      <w:r>
        <w:rPr>
          <w:rFonts w:hint="cs"/>
          <w:sz w:val="20"/>
          <w:szCs w:val="20"/>
          <w:rtl/>
        </w:rPr>
        <w:t xml:space="preserve"> שינוי אינו מועיל בהצעת המיטה.</w:t>
      </w:r>
      <w:r>
        <w:rPr>
          <w:rFonts w:hint="cs"/>
          <w:sz w:val="20"/>
          <w:szCs w:val="20"/>
          <w:rtl/>
        </w:rPr>
        <w:br/>
      </w:r>
      <w:r w:rsidRPr="009612AC">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הצעת המיטה חמורה יותר ממזיגת הכוס, ולכן שינוי אינו מועיל.</w:t>
      </w:r>
    </w:p>
    <w:p w:rsidR="00620060" w:rsidRDefault="00620060" w:rsidP="00620060">
      <w:pPr>
        <w:rPr>
          <w:sz w:val="20"/>
          <w:szCs w:val="20"/>
          <w:rtl/>
        </w:rPr>
      </w:pPr>
      <w:r>
        <w:rPr>
          <w:rFonts w:hint="cs"/>
          <w:sz w:val="20"/>
          <w:szCs w:val="20"/>
          <w:u w:val="single"/>
          <w:rtl/>
        </w:rPr>
        <w:t>סידור המיטה בבוקר (טה"ב עמ' רד)</w:t>
      </w:r>
      <w:r>
        <w:rPr>
          <w:sz w:val="20"/>
          <w:szCs w:val="20"/>
          <w:rtl/>
        </w:rPr>
        <w:br/>
      </w:r>
      <w:r>
        <w:rPr>
          <w:rFonts w:hint="cs"/>
          <w:sz w:val="20"/>
          <w:szCs w:val="20"/>
          <w:rtl/>
        </w:rPr>
        <w:t>האם מותר לאשה לסדר את המיטה של בעלה בבוקר לאחר השינה?</w:t>
      </w:r>
      <w:r>
        <w:rPr>
          <w:rFonts w:hint="cs"/>
          <w:sz w:val="20"/>
          <w:szCs w:val="20"/>
          <w:rtl/>
        </w:rPr>
        <w:br/>
        <w:t xml:space="preserve">א. </w:t>
      </w:r>
      <w:r w:rsidRPr="007C0BB9">
        <w:rPr>
          <w:rFonts w:hint="cs"/>
          <w:b/>
          <w:bCs/>
          <w:sz w:val="20"/>
          <w:szCs w:val="20"/>
          <w:rtl/>
        </w:rPr>
        <w:t>טהרת עם ישראל</w:t>
      </w:r>
      <w:r>
        <w:rPr>
          <w:rFonts w:hint="cs"/>
          <w:sz w:val="20"/>
          <w:szCs w:val="20"/>
          <w:rtl/>
        </w:rPr>
        <w:t xml:space="preserve"> </w:t>
      </w:r>
      <w:r>
        <w:rPr>
          <w:sz w:val="20"/>
          <w:szCs w:val="20"/>
          <w:rtl/>
        </w:rPr>
        <w:t>–</w:t>
      </w:r>
      <w:r>
        <w:rPr>
          <w:rFonts w:hint="cs"/>
          <w:sz w:val="20"/>
          <w:szCs w:val="20"/>
          <w:rtl/>
        </w:rPr>
        <w:t xml:space="preserve"> סידור שטחי מותר, אך סידור בדרך של סילוק הסדין וכיסוי המיטה שנית אסור.</w:t>
      </w:r>
      <w:r>
        <w:rPr>
          <w:sz w:val="20"/>
          <w:szCs w:val="20"/>
          <w:rtl/>
        </w:rPr>
        <w:br/>
      </w:r>
      <w:r>
        <w:rPr>
          <w:rFonts w:hint="cs"/>
          <w:sz w:val="20"/>
          <w:szCs w:val="20"/>
          <w:rtl/>
        </w:rPr>
        <w:t xml:space="preserve">ב. </w:t>
      </w:r>
      <w:r w:rsidRPr="007C0BB9">
        <w:rPr>
          <w:rFonts w:hint="cs"/>
          <w:b/>
          <w:bCs/>
          <w:sz w:val="20"/>
          <w:szCs w:val="20"/>
          <w:rtl/>
        </w:rPr>
        <w:t>שבט הלוי וטהרת הבית</w:t>
      </w:r>
      <w:r>
        <w:rPr>
          <w:rFonts w:hint="cs"/>
          <w:sz w:val="20"/>
          <w:szCs w:val="20"/>
          <w:rtl/>
        </w:rPr>
        <w:t xml:space="preserve"> </w:t>
      </w:r>
      <w:r>
        <w:rPr>
          <w:sz w:val="20"/>
          <w:szCs w:val="20"/>
          <w:rtl/>
        </w:rPr>
        <w:t>–</w:t>
      </w:r>
      <w:r>
        <w:rPr>
          <w:rFonts w:hint="cs"/>
          <w:sz w:val="20"/>
          <w:szCs w:val="20"/>
          <w:rtl/>
        </w:rPr>
        <w:t xml:space="preserve"> מותר.</w:t>
      </w:r>
      <w:r>
        <w:rPr>
          <w:sz w:val="20"/>
          <w:szCs w:val="20"/>
          <w:rtl/>
        </w:rPr>
        <w:br/>
      </w:r>
      <w:r w:rsidRPr="007C0BB9">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רק הכנה לשינה היא דרך חיבה, אבל סידור המיטה בבוקר הוא רק עניין של סדר וייפוי הבית.</w:t>
      </w:r>
    </w:p>
    <w:p w:rsidR="00620060" w:rsidRDefault="00620060" w:rsidP="00620060">
      <w:pPr>
        <w:rPr>
          <w:sz w:val="20"/>
          <w:szCs w:val="20"/>
          <w:rtl/>
        </w:rPr>
      </w:pPr>
      <w:r>
        <w:rPr>
          <w:rFonts w:hint="cs"/>
          <w:sz w:val="20"/>
          <w:szCs w:val="20"/>
          <w:u w:val="single"/>
          <w:rtl/>
        </w:rPr>
        <w:t>הצעת המיטה של הבעל לאשתו (טה"ב עמ' רו)</w:t>
      </w:r>
      <w:r>
        <w:rPr>
          <w:rFonts w:hint="cs"/>
          <w:sz w:val="20"/>
          <w:szCs w:val="20"/>
          <w:u w:val="single"/>
          <w:rtl/>
        </w:rPr>
        <w:br/>
      </w:r>
      <w:r w:rsidRPr="008A5626">
        <w:rPr>
          <w:rFonts w:hint="cs"/>
          <w:b/>
          <w:bCs/>
          <w:sz w:val="20"/>
          <w:szCs w:val="20"/>
          <w:rtl/>
        </w:rPr>
        <w:t>ערוך השולחן ושבט הלוי</w:t>
      </w:r>
      <w:r>
        <w:rPr>
          <w:rFonts w:hint="cs"/>
          <w:sz w:val="20"/>
          <w:szCs w:val="20"/>
          <w:rtl/>
        </w:rPr>
        <w:t xml:space="preserve"> </w:t>
      </w:r>
      <w:r>
        <w:rPr>
          <w:sz w:val="20"/>
          <w:szCs w:val="20"/>
          <w:rtl/>
        </w:rPr>
        <w:t>–</w:t>
      </w:r>
      <w:r>
        <w:rPr>
          <w:rFonts w:hint="cs"/>
          <w:sz w:val="20"/>
          <w:szCs w:val="20"/>
          <w:rtl/>
        </w:rPr>
        <w:t xml:space="preserve"> כשם שהיא אסורה להציע מיטתו בפניו, כך הוא אסור להציע מיטתה בפניה.</w:t>
      </w:r>
      <w:r>
        <w:rPr>
          <w:rFonts w:hint="cs"/>
          <w:sz w:val="20"/>
          <w:szCs w:val="20"/>
          <w:rtl/>
        </w:rPr>
        <w:br/>
      </w:r>
      <w:r w:rsidRPr="00367E58">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הצעת המיטה של האיש לאשתו חמורה טפי, כיוון שהוא אינו מחוייב בכך ולכן יש בכך יותר חיבה.</w:t>
      </w:r>
      <w:r>
        <w:rPr>
          <w:sz w:val="20"/>
          <w:szCs w:val="20"/>
          <w:rtl/>
        </w:rPr>
        <w:br/>
      </w:r>
      <w:r>
        <w:rPr>
          <w:sz w:val="20"/>
          <w:szCs w:val="20"/>
          <w:rtl/>
        </w:rPr>
        <w:br/>
      </w:r>
      <w:r w:rsidRPr="00AB4A3D">
        <w:rPr>
          <w:rFonts w:hint="cs"/>
          <w:b/>
          <w:bCs/>
          <w:sz w:val="20"/>
          <w:szCs w:val="20"/>
          <w:rtl/>
        </w:rPr>
        <w:t>סיכום</w:t>
      </w:r>
      <w:r>
        <w:rPr>
          <w:sz w:val="20"/>
          <w:szCs w:val="20"/>
          <w:rtl/>
        </w:rPr>
        <w:br/>
      </w:r>
      <w:r>
        <w:rPr>
          <w:rFonts w:hint="cs"/>
          <w:sz w:val="20"/>
          <w:szCs w:val="20"/>
          <w:rtl/>
        </w:rPr>
        <w:t xml:space="preserve">1. </w:t>
      </w:r>
      <w:r w:rsidRPr="00AB4A3D">
        <w:rPr>
          <w:rFonts w:hint="cs"/>
          <w:b/>
          <w:bCs/>
          <w:sz w:val="20"/>
          <w:szCs w:val="20"/>
          <w:rtl/>
        </w:rPr>
        <w:t>גמרא</w:t>
      </w:r>
      <w:r>
        <w:rPr>
          <w:rFonts w:hint="cs"/>
          <w:sz w:val="20"/>
          <w:szCs w:val="20"/>
          <w:rtl/>
        </w:rPr>
        <w:t>. אין לאשה להציע מיטה לבעלה בפניו.</w:t>
      </w:r>
      <w:r>
        <w:rPr>
          <w:sz w:val="20"/>
          <w:szCs w:val="20"/>
          <w:rtl/>
        </w:rPr>
        <w:br/>
      </w:r>
      <w:r>
        <w:rPr>
          <w:rFonts w:hint="cs"/>
          <w:sz w:val="20"/>
          <w:szCs w:val="20"/>
          <w:rtl/>
        </w:rPr>
        <w:t xml:space="preserve">2. </w:t>
      </w:r>
      <w:r w:rsidRPr="00AB4A3D">
        <w:rPr>
          <w:rFonts w:hint="cs"/>
          <w:b/>
          <w:bCs/>
          <w:sz w:val="20"/>
          <w:szCs w:val="20"/>
          <w:rtl/>
        </w:rPr>
        <w:t>תוספות</w:t>
      </w:r>
      <w:r>
        <w:rPr>
          <w:rFonts w:hint="cs"/>
          <w:sz w:val="20"/>
          <w:szCs w:val="20"/>
          <w:rtl/>
        </w:rPr>
        <w:t>. דווקא הצעת הסדין אסורה, הצעת כרים וכסתות מותר מפני שזו דרך עבדות ולא חיבה.</w:t>
      </w:r>
      <w:r>
        <w:rPr>
          <w:rFonts w:hint="cs"/>
          <w:sz w:val="20"/>
          <w:szCs w:val="20"/>
          <w:rtl/>
        </w:rPr>
        <w:br/>
        <w:t xml:space="preserve">3. ביאור המושגים. כר </w:t>
      </w:r>
      <w:r>
        <w:rPr>
          <w:sz w:val="20"/>
          <w:szCs w:val="20"/>
          <w:rtl/>
        </w:rPr>
        <w:t>–</w:t>
      </w:r>
      <w:r>
        <w:rPr>
          <w:rFonts w:hint="cs"/>
          <w:sz w:val="20"/>
          <w:szCs w:val="20"/>
          <w:rtl/>
        </w:rPr>
        <w:t xml:space="preserve"> מזרון. כסת </w:t>
      </w:r>
      <w:r>
        <w:rPr>
          <w:sz w:val="20"/>
          <w:szCs w:val="20"/>
          <w:rtl/>
        </w:rPr>
        <w:t>–</w:t>
      </w:r>
      <w:r>
        <w:rPr>
          <w:rFonts w:hint="cs"/>
          <w:sz w:val="20"/>
          <w:szCs w:val="20"/>
          <w:rtl/>
        </w:rPr>
        <w:t xml:space="preserve"> כרית. והאיסור נאמר דווקא בסדין ושמיכה שהם דרך חיבה.</w:t>
      </w:r>
      <w:r>
        <w:rPr>
          <w:sz w:val="20"/>
          <w:szCs w:val="20"/>
          <w:rtl/>
        </w:rPr>
        <w:br/>
      </w:r>
      <w:r>
        <w:rPr>
          <w:rFonts w:hint="cs"/>
          <w:sz w:val="20"/>
          <w:szCs w:val="20"/>
          <w:rtl/>
        </w:rPr>
        <w:t xml:space="preserve">4. </w:t>
      </w:r>
      <w:r w:rsidRPr="00AB4A3D">
        <w:rPr>
          <w:rFonts w:hint="cs"/>
          <w:b/>
          <w:bCs/>
          <w:sz w:val="20"/>
          <w:szCs w:val="20"/>
          <w:rtl/>
        </w:rPr>
        <w:t>רשב"א</w:t>
      </w:r>
      <w:r>
        <w:rPr>
          <w:rFonts w:hint="cs"/>
          <w:sz w:val="20"/>
          <w:szCs w:val="20"/>
          <w:rtl/>
        </w:rPr>
        <w:t>. הצעה שלא בפניו מותרת אפילו אם הוא יודע שהיא מציעה.</w:t>
      </w:r>
      <w:r>
        <w:rPr>
          <w:sz w:val="20"/>
          <w:szCs w:val="20"/>
          <w:rtl/>
        </w:rPr>
        <w:br/>
      </w:r>
      <w:r>
        <w:rPr>
          <w:rFonts w:hint="cs"/>
          <w:sz w:val="20"/>
          <w:szCs w:val="20"/>
          <w:rtl/>
        </w:rPr>
        <w:t xml:space="preserve">5. </w:t>
      </w:r>
      <w:r w:rsidRPr="00AB4A3D">
        <w:rPr>
          <w:rFonts w:hint="cs"/>
          <w:b/>
          <w:bCs/>
          <w:sz w:val="20"/>
          <w:szCs w:val="20"/>
          <w:rtl/>
        </w:rPr>
        <w:t>מחבר</w:t>
      </w:r>
      <w:r>
        <w:rPr>
          <w:rFonts w:hint="cs"/>
          <w:sz w:val="20"/>
          <w:szCs w:val="20"/>
          <w:rtl/>
        </w:rPr>
        <w:t>. אסור להציע מיטתו בפניו, אך כר וכסת מותר. ואפילו אם יודע שמציעה לו, מותר.</w:t>
      </w:r>
      <w:r>
        <w:rPr>
          <w:sz w:val="20"/>
          <w:szCs w:val="20"/>
          <w:rtl/>
        </w:rPr>
        <w:br/>
      </w:r>
      <w:r>
        <w:rPr>
          <w:rFonts w:hint="cs"/>
          <w:sz w:val="20"/>
          <w:szCs w:val="20"/>
          <w:rtl/>
        </w:rPr>
        <w:t xml:space="preserve">6. </w:t>
      </w:r>
      <w:r w:rsidRPr="00AB4A3D">
        <w:rPr>
          <w:rFonts w:hint="cs"/>
          <w:b/>
          <w:bCs/>
          <w:sz w:val="20"/>
          <w:szCs w:val="20"/>
          <w:rtl/>
        </w:rPr>
        <w:t>ששבה"ל</w:t>
      </w:r>
      <w:r>
        <w:rPr>
          <w:rFonts w:hint="cs"/>
          <w:sz w:val="20"/>
          <w:szCs w:val="20"/>
          <w:rtl/>
        </w:rPr>
        <w:t xml:space="preserve">. מותר לצפות כר וכסת. </w:t>
      </w:r>
      <w:r w:rsidRPr="006E2346">
        <w:rPr>
          <w:rFonts w:hint="cs"/>
          <w:b/>
          <w:bCs/>
          <w:sz w:val="20"/>
          <w:szCs w:val="20"/>
          <w:rtl/>
        </w:rPr>
        <w:t>טעם</w:t>
      </w:r>
      <w:r>
        <w:rPr>
          <w:rFonts w:hint="cs"/>
          <w:sz w:val="20"/>
          <w:szCs w:val="20"/>
          <w:rtl/>
        </w:rPr>
        <w:t>. רק הצעתם על המיטה אסור, ציפוי הוא הכנה להצעה.</w:t>
      </w:r>
      <w:r>
        <w:rPr>
          <w:sz w:val="20"/>
          <w:szCs w:val="20"/>
          <w:rtl/>
        </w:rPr>
        <w:br/>
      </w:r>
      <w:r>
        <w:rPr>
          <w:rFonts w:hint="cs"/>
          <w:sz w:val="20"/>
          <w:szCs w:val="20"/>
          <w:rtl/>
        </w:rPr>
        <w:t xml:space="preserve">7. </w:t>
      </w:r>
      <w:r w:rsidRPr="00AB4A3D">
        <w:rPr>
          <w:rFonts w:hint="cs"/>
          <w:b/>
          <w:bCs/>
          <w:sz w:val="20"/>
          <w:szCs w:val="20"/>
          <w:rtl/>
        </w:rPr>
        <w:t>טה"ב</w:t>
      </w:r>
      <w:r>
        <w:rPr>
          <w:rFonts w:hint="cs"/>
          <w:sz w:val="20"/>
          <w:szCs w:val="20"/>
          <w:rtl/>
        </w:rPr>
        <w:t xml:space="preserve">. אם הבעל עוצם עיניו, מהני. </w:t>
      </w:r>
      <w:r w:rsidRPr="006E2346">
        <w:rPr>
          <w:rFonts w:hint="cs"/>
          <w:b/>
          <w:bCs/>
          <w:sz w:val="20"/>
          <w:szCs w:val="20"/>
          <w:rtl/>
        </w:rPr>
        <w:t>טעם</w:t>
      </w:r>
      <w:r>
        <w:rPr>
          <w:rFonts w:hint="cs"/>
          <w:sz w:val="20"/>
          <w:szCs w:val="20"/>
          <w:rtl/>
        </w:rPr>
        <w:t xml:space="preserve">. כך מדוייק מלשון </w:t>
      </w:r>
      <w:r w:rsidRPr="00AB4A3D">
        <w:rPr>
          <w:rFonts w:hint="cs"/>
          <w:b/>
          <w:bCs/>
          <w:sz w:val="20"/>
          <w:szCs w:val="20"/>
          <w:rtl/>
        </w:rPr>
        <w:t>הרשב"א</w:t>
      </w:r>
      <w:r>
        <w:rPr>
          <w:rFonts w:hint="cs"/>
          <w:sz w:val="20"/>
          <w:szCs w:val="20"/>
          <w:rtl/>
        </w:rPr>
        <w:t xml:space="preserve"> בדין זה.</w:t>
      </w:r>
      <w:r>
        <w:rPr>
          <w:sz w:val="20"/>
          <w:szCs w:val="20"/>
          <w:rtl/>
        </w:rPr>
        <w:br/>
      </w:r>
      <w:r>
        <w:rPr>
          <w:rFonts w:hint="cs"/>
          <w:sz w:val="20"/>
          <w:szCs w:val="20"/>
          <w:rtl/>
        </w:rPr>
        <w:t>8</w:t>
      </w:r>
      <w:r w:rsidRPr="00620B35">
        <w:rPr>
          <w:rFonts w:hint="cs"/>
          <w:sz w:val="20"/>
          <w:szCs w:val="20"/>
          <w:rtl/>
        </w:rPr>
        <w:t xml:space="preserve">. כרים וכסתות שלנו. </w:t>
      </w:r>
      <w:r w:rsidRPr="00620B35">
        <w:rPr>
          <w:rFonts w:hint="cs"/>
          <w:b/>
          <w:bCs/>
          <w:sz w:val="20"/>
          <w:szCs w:val="20"/>
          <w:rtl/>
        </w:rPr>
        <w:t>ששבה"ל</w:t>
      </w:r>
      <w:r w:rsidRPr="00620B35">
        <w:rPr>
          <w:rFonts w:hint="cs"/>
          <w:sz w:val="20"/>
          <w:szCs w:val="20"/>
          <w:rtl/>
        </w:rPr>
        <w:t xml:space="preserve">. ספק, הם לא כבדים ואין בכך עבדות. </w:t>
      </w:r>
      <w:r w:rsidRPr="00620B35">
        <w:rPr>
          <w:rFonts w:hint="cs"/>
          <w:b/>
          <w:bCs/>
          <w:sz w:val="20"/>
          <w:szCs w:val="20"/>
          <w:rtl/>
        </w:rPr>
        <w:t>טה"ב</w:t>
      </w:r>
      <w:r w:rsidRPr="00620B35">
        <w:rPr>
          <w:rFonts w:hint="cs"/>
          <w:sz w:val="20"/>
          <w:szCs w:val="20"/>
          <w:rtl/>
        </w:rPr>
        <w:t>. מותר, אין זה דרך חיבה.</w:t>
      </w:r>
      <w:r w:rsidRPr="00620B35">
        <w:rPr>
          <w:sz w:val="20"/>
          <w:szCs w:val="20"/>
          <w:rtl/>
        </w:rPr>
        <w:br/>
      </w:r>
      <w:r>
        <w:rPr>
          <w:rFonts w:hint="cs"/>
          <w:sz w:val="20"/>
          <w:szCs w:val="20"/>
          <w:rtl/>
        </w:rPr>
        <w:t>9</w:t>
      </w:r>
      <w:r w:rsidRPr="00620B35">
        <w:rPr>
          <w:rFonts w:hint="cs"/>
          <w:sz w:val="20"/>
          <w:szCs w:val="20"/>
          <w:rtl/>
        </w:rPr>
        <w:t xml:space="preserve">. </w:t>
      </w:r>
      <w:r w:rsidRPr="00620B35">
        <w:rPr>
          <w:rFonts w:hint="cs"/>
          <w:b/>
          <w:bCs/>
          <w:sz w:val="20"/>
          <w:szCs w:val="20"/>
          <w:rtl/>
        </w:rPr>
        <w:t>ראבי"ה וב"ח</w:t>
      </w:r>
      <w:r w:rsidRPr="00620B35">
        <w:rPr>
          <w:rFonts w:hint="cs"/>
          <w:sz w:val="20"/>
          <w:szCs w:val="20"/>
          <w:rtl/>
        </w:rPr>
        <w:t>. שינוי אינו מועיל, בניגוד למזיגת הכוס.</w:t>
      </w:r>
      <w:r w:rsidRPr="00620B35">
        <w:rPr>
          <w:sz w:val="20"/>
          <w:szCs w:val="20"/>
          <w:rtl/>
        </w:rPr>
        <w:br/>
      </w:r>
      <w:r>
        <w:rPr>
          <w:rFonts w:hint="cs"/>
          <w:sz w:val="20"/>
          <w:szCs w:val="20"/>
          <w:rtl/>
        </w:rPr>
        <w:t>10</w:t>
      </w:r>
      <w:r w:rsidRPr="00620B35">
        <w:rPr>
          <w:rFonts w:hint="cs"/>
          <w:sz w:val="20"/>
          <w:szCs w:val="20"/>
          <w:rtl/>
        </w:rPr>
        <w:t>. סידור המיטה בבוקר.</w:t>
      </w:r>
      <w:r>
        <w:rPr>
          <w:rFonts w:hint="cs"/>
          <w:sz w:val="20"/>
          <w:szCs w:val="20"/>
          <w:rtl/>
        </w:rPr>
        <w:t xml:space="preserve"> </w:t>
      </w:r>
      <w:r w:rsidRPr="00AB4A3D">
        <w:rPr>
          <w:rFonts w:hint="cs"/>
          <w:b/>
          <w:bCs/>
          <w:sz w:val="20"/>
          <w:szCs w:val="20"/>
          <w:rtl/>
        </w:rPr>
        <w:t>טהרת עם ישראל</w:t>
      </w:r>
      <w:r>
        <w:rPr>
          <w:rFonts w:hint="cs"/>
          <w:sz w:val="20"/>
          <w:szCs w:val="20"/>
          <w:rtl/>
        </w:rPr>
        <w:t xml:space="preserve">. רק סידור שטחי מותר. </w:t>
      </w:r>
      <w:r w:rsidRPr="00AB4A3D">
        <w:rPr>
          <w:rFonts w:hint="cs"/>
          <w:b/>
          <w:bCs/>
          <w:sz w:val="20"/>
          <w:szCs w:val="20"/>
          <w:rtl/>
        </w:rPr>
        <w:t>טה"ב</w:t>
      </w:r>
      <w:r>
        <w:rPr>
          <w:rFonts w:hint="cs"/>
          <w:sz w:val="20"/>
          <w:szCs w:val="20"/>
          <w:rtl/>
        </w:rPr>
        <w:t>. מותר, זה סידור הבית ולא חיבה.</w:t>
      </w:r>
      <w:r>
        <w:rPr>
          <w:sz w:val="20"/>
          <w:szCs w:val="20"/>
          <w:rtl/>
        </w:rPr>
        <w:br/>
      </w:r>
      <w:r>
        <w:rPr>
          <w:rFonts w:hint="cs"/>
          <w:sz w:val="20"/>
          <w:szCs w:val="20"/>
          <w:rtl/>
        </w:rPr>
        <w:t xml:space="preserve">11. </w:t>
      </w:r>
      <w:r w:rsidRPr="007654CD">
        <w:rPr>
          <w:rFonts w:hint="cs"/>
          <w:b/>
          <w:bCs/>
          <w:sz w:val="20"/>
          <w:szCs w:val="20"/>
          <w:rtl/>
        </w:rPr>
        <w:t>ערו</w:t>
      </w:r>
      <w:r>
        <w:rPr>
          <w:rFonts w:hint="cs"/>
          <w:b/>
          <w:bCs/>
          <w:sz w:val="20"/>
          <w:szCs w:val="20"/>
          <w:rtl/>
        </w:rPr>
        <w:t>ה"ש</w:t>
      </w:r>
      <w:r w:rsidRPr="007654CD">
        <w:rPr>
          <w:rFonts w:hint="cs"/>
          <w:sz w:val="20"/>
          <w:szCs w:val="20"/>
          <w:rtl/>
        </w:rPr>
        <w:t>.</w:t>
      </w:r>
      <w:r>
        <w:rPr>
          <w:rFonts w:hint="cs"/>
          <w:b/>
          <w:bCs/>
          <w:sz w:val="20"/>
          <w:szCs w:val="20"/>
          <w:rtl/>
        </w:rPr>
        <w:t xml:space="preserve"> </w:t>
      </w:r>
      <w:r>
        <w:rPr>
          <w:rFonts w:hint="cs"/>
          <w:sz w:val="20"/>
          <w:szCs w:val="20"/>
          <w:rtl/>
        </w:rPr>
        <w:t>גם לבעל אסור להציע את מיטת אשתו בפניה, וחמור טפי משום שאינו מחויב הוי חיבה טפי.</w:t>
      </w:r>
    </w:p>
    <w:p w:rsidR="00620060" w:rsidRDefault="00620060" w:rsidP="00620060">
      <w:pPr>
        <w:rPr>
          <w:b/>
          <w:bCs/>
          <w:sz w:val="20"/>
          <w:szCs w:val="20"/>
          <w:rtl/>
        </w:rPr>
      </w:pPr>
      <w:r>
        <w:rPr>
          <w:sz w:val="20"/>
          <w:szCs w:val="20"/>
          <w:rtl/>
        </w:rPr>
        <w:br/>
      </w:r>
      <w:r>
        <w:rPr>
          <w:rFonts w:hint="cs"/>
          <w:b/>
          <w:bCs/>
          <w:sz w:val="20"/>
          <w:szCs w:val="20"/>
          <w:rtl/>
        </w:rPr>
        <w:t xml:space="preserve">סעיף יב </w:t>
      </w:r>
      <w:r>
        <w:rPr>
          <w:b/>
          <w:bCs/>
          <w:sz w:val="20"/>
          <w:szCs w:val="20"/>
          <w:rtl/>
        </w:rPr>
        <w:t>–</w:t>
      </w:r>
      <w:r>
        <w:rPr>
          <w:rFonts w:hint="cs"/>
          <w:b/>
          <w:bCs/>
          <w:sz w:val="20"/>
          <w:szCs w:val="20"/>
          <w:rtl/>
        </w:rPr>
        <w:t xml:space="preserve"> איסור הרחצת בעלה</w:t>
      </w:r>
      <w:r>
        <w:rPr>
          <w:rFonts w:hint="cs"/>
          <w:b/>
          <w:bCs/>
          <w:sz w:val="20"/>
          <w:szCs w:val="20"/>
          <w:rtl/>
        </w:rPr>
        <w:br/>
        <w:t>מקור הדין</w:t>
      </w:r>
      <w:r>
        <w:rPr>
          <w:b/>
          <w:bCs/>
          <w:sz w:val="20"/>
          <w:szCs w:val="20"/>
          <w:rtl/>
        </w:rPr>
        <w:br/>
      </w:r>
      <w:r>
        <w:rPr>
          <w:rFonts w:hint="cs"/>
          <w:b/>
          <w:bCs/>
          <w:sz w:val="20"/>
          <w:szCs w:val="20"/>
          <w:rtl/>
        </w:rPr>
        <w:t xml:space="preserve">גמרא </w:t>
      </w:r>
      <w:r>
        <w:rPr>
          <w:rFonts w:hint="cs"/>
          <w:sz w:val="20"/>
          <w:szCs w:val="20"/>
          <w:rtl/>
        </w:rPr>
        <w:t>כתובות (סא.) "</w:t>
      </w:r>
      <w:r w:rsidRPr="00B272DB">
        <w:rPr>
          <w:rFonts w:cs="Arial"/>
          <w:sz w:val="20"/>
          <w:szCs w:val="20"/>
          <w:rtl/>
        </w:rPr>
        <w:t>אמר רב הונא: כל מלאכות שהאשה עושה לבעלה - נדה עושה לבעלה, חוץ ממזיגת הכוס, והצע</w:t>
      </w:r>
      <w:r>
        <w:rPr>
          <w:rFonts w:cs="Arial"/>
          <w:sz w:val="20"/>
          <w:szCs w:val="20"/>
          <w:rtl/>
        </w:rPr>
        <w:t>ת המטה, והרחצת פניו ידיו ורגליו</w:t>
      </w:r>
      <w:r>
        <w:rPr>
          <w:rFonts w:cs="Arial" w:hint="cs"/>
          <w:sz w:val="20"/>
          <w:szCs w:val="20"/>
          <w:rtl/>
        </w:rPr>
        <w:t>".</w:t>
      </w:r>
      <w:r>
        <w:rPr>
          <w:rFonts w:cs="Arial" w:hint="cs"/>
          <w:sz w:val="20"/>
          <w:szCs w:val="20"/>
          <w:rtl/>
        </w:rPr>
        <w:br/>
      </w:r>
      <w:r w:rsidRPr="008A56A5">
        <w:rPr>
          <w:rFonts w:cs="Arial" w:hint="cs"/>
          <w:b/>
          <w:bCs/>
          <w:sz w:val="20"/>
          <w:szCs w:val="20"/>
          <w:rtl/>
        </w:rPr>
        <w:t>רשב"א</w:t>
      </w:r>
      <w:r>
        <w:rPr>
          <w:rFonts w:cs="Arial" w:hint="cs"/>
          <w:sz w:val="20"/>
          <w:szCs w:val="20"/>
          <w:rtl/>
        </w:rPr>
        <w:t xml:space="preserve"> </w:t>
      </w:r>
      <w:r>
        <w:rPr>
          <w:rFonts w:cs="Arial"/>
          <w:sz w:val="20"/>
          <w:szCs w:val="20"/>
          <w:rtl/>
        </w:rPr>
        <w:t>–</w:t>
      </w:r>
      <w:r>
        <w:rPr>
          <w:rFonts w:cs="Arial" w:hint="cs"/>
          <w:sz w:val="20"/>
          <w:szCs w:val="20"/>
          <w:rtl/>
        </w:rPr>
        <w:t xml:space="preserve"> רחצה זו אינה רחצה ממש שנוגעת בו, שהרי נגיעה אסורה אף כשהיא אינה בדרך של רחצה, אלא כוונת הגמרא לאסור יציקת מים על בעלה לצורך רחצה, וכ"פ </w:t>
      </w:r>
      <w:r w:rsidRPr="008A56A5">
        <w:rPr>
          <w:rFonts w:cs="Arial" w:hint="cs"/>
          <w:b/>
          <w:bCs/>
          <w:sz w:val="20"/>
          <w:szCs w:val="20"/>
          <w:rtl/>
        </w:rPr>
        <w:t>המחבר</w:t>
      </w:r>
      <w:r>
        <w:rPr>
          <w:rFonts w:cs="Arial" w:hint="cs"/>
          <w:sz w:val="20"/>
          <w:szCs w:val="20"/>
          <w:rtl/>
        </w:rPr>
        <w:t>.</w:t>
      </w:r>
    </w:p>
    <w:p w:rsidR="00620060" w:rsidRPr="008A56A5" w:rsidRDefault="00620060" w:rsidP="00620060">
      <w:pPr>
        <w:rPr>
          <w:sz w:val="20"/>
          <w:szCs w:val="20"/>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8A56A5">
        <w:rPr>
          <w:rFonts w:cs="Arial"/>
          <w:sz w:val="20"/>
          <w:szCs w:val="20"/>
          <w:rtl/>
        </w:rPr>
        <w:t>אסורה ליצוק לו מים לרחוץ פניו ידיו ורגליו, אפילו אינ</w:t>
      </w:r>
      <w:r>
        <w:rPr>
          <w:rFonts w:cs="Arial"/>
          <w:sz w:val="20"/>
          <w:szCs w:val="20"/>
          <w:rtl/>
        </w:rPr>
        <w:t>ה נוגעת בו ואפילו הם מים צוננים</w:t>
      </w:r>
      <w:r>
        <w:rPr>
          <w:rFonts w:cs="Arial" w:hint="cs"/>
          <w:sz w:val="20"/>
          <w:szCs w:val="20"/>
          <w:rtl/>
        </w:rPr>
        <w:t>".</w:t>
      </w:r>
    </w:p>
    <w:p w:rsidR="00620060" w:rsidRDefault="00620060" w:rsidP="00620060">
      <w:pPr>
        <w:rPr>
          <w:sz w:val="20"/>
          <w:szCs w:val="20"/>
          <w:rtl/>
        </w:rPr>
      </w:pPr>
      <w:r>
        <w:rPr>
          <w:rFonts w:hint="cs"/>
          <w:sz w:val="20"/>
          <w:szCs w:val="20"/>
          <w:u w:val="single"/>
          <w:rtl/>
        </w:rPr>
        <w:t>הכנת כלי עם מים לרחיצה</w:t>
      </w:r>
      <w:r>
        <w:rPr>
          <w:sz w:val="20"/>
          <w:szCs w:val="20"/>
          <w:u w:val="single"/>
          <w:rtl/>
        </w:rPr>
        <w:br/>
      </w:r>
      <w:r>
        <w:rPr>
          <w:rFonts w:hint="cs"/>
          <w:sz w:val="20"/>
          <w:szCs w:val="20"/>
          <w:rtl/>
        </w:rPr>
        <w:t>האם מותר לאשה להכין לבעלה כלי עם מים לרחיצת גופו?</w:t>
      </w:r>
      <w:r>
        <w:rPr>
          <w:rFonts w:hint="cs"/>
          <w:sz w:val="20"/>
          <w:szCs w:val="20"/>
          <w:rtl/>
        </w:rPr>
        <w:br/>
        <w:t xml:space="preserve">א. </w:t>
      </w:r>
      <w:r w:rsidRPr="00350A3F">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כן, וכ"פ </w:t>
      </w:r>
      <w:r w:rsidRPr="00AA7095">
        <w:rPr>
          <w:rFonts w:hint="cs"/>
          <w:b/>
          <w:bCs/>
          <w:sz w:val="20"/>
          <w:szCs w:val="20"/>
          <w:rtl/>
        </w:rPr>
        <w:t>ערוה"ש וטה"ב</w:t>
      </w:r>
      <w:r>
        <w:rPr>
          <w:rFonts w:hint="cs"/>
          <w:sz w:val="20"/>
          <w:szCs w:val="20"/>
          <w:rtl/>
        </w:rPr>
        <w:t>.</w:t>
      </w:r>
      <w:r>
        <w:rPr>
          <w:sz w:val="20"/>
          <w:szCs w:val="20"/>
          <w:rtl/>
        </w:rPr>
        <w:br/>
      </w:r>
      <w:r w:rsidRPr="00350A3F">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w:t>
      </w:r>
      <w:r w:rsidRPr="00350A3F">
        <w:rPr>
          <w:rFonts w:hint="cs"/>
          <w:b/>
          <w:bCs/>
          <w:sz w:val="20"/>
          <w:szCs w:val="20"/>
          <w:rtl/>
        </w:rPr>
        <w:t>הרשב"א</w:t>
      </w:r>
      <w:r>
        <w:rPr>
          <w:rFonts w:hint="cs"/>
          <w:sz w:val="20"/>
          <w:szCs w:val="20"/>
          <w:rtl/>
        </w:rPr>
        <w:t xml:space="preserve"> כתב שהאיסור הוא כאשר היא יוצקת לו את המים והוא רוחץ בהם, משמע שאם אינה יוצקת לו את המים מותר. ואמנם, אם בעלה רוחץ מכלי שיש נקב בתחתיתו, אין לה לתת מים בכלי זה מכיוון שזה כאילו היא יוצקת לו מים להדיא. </w:t>
      </w:r>
      <w:r w:rsidRPr="008216D9">
        <w:rPr>
          <w:rFonts w:hint="cs"/>
          <w:sz w:val="18"/>
          <w:szCs w:val="18"/>
          <w:rtl/>
        </w:rPr>
        <w:t>(ומכ</w:t>
      </w:r>
      <w:r>
        <w:rPr>
          <w:rFonts w:hint="cs"/>
          <w:sz w:val="18"/>
          <w:szCs w:val="18"/>
          <w:rtl/>
        </w:rPr>
        <w:t>ך</w:t>
      </w:r>
      <w:r w:rsidRPr="008216D9">
        <w:rPr>
          <w:rFonts w:hint="cs"/>
          <w:sz w:val="18"/>
          <w:szCs w:val="18"/>
          <w:rtl/>
        </w:rPr>
        <w:t xml:space="preserve"> מסיק ששבה"ל</w:t>
      </w:r>
      <w:r>
        <w:rPr>
          <w:rFonts w:hint="cs"/>
          <w:sz w:val="18"/>
          <w:szCs w:val="18"/>
          <w:rtl/>
        </w:rPr>
        <w:t>,</w:t>
      </w:r>
      <w:r w:rsidRPr="008216D9">
        <w:rPr>
          <w:rFonts w:hint="cs"/>
          <w:sz w:val="18"/>
          <w:szCs w:val="18"/>
          <w:rtl/>
        </w:rPr>
        <w:t xml:space="preserve"> שכל שכן שאין לה לשפוך מים בצד אחד </w:t>
      </w:r>
      <w:r>
        <w:rPr>
          <w:rFonts w:hint="cs"/>
          <w:sz w:val="18"/>
          <w:szCs w:val="18"/>
          <w:rtl/>
        </w:rPr>
        <w:t>של</w:t>
      </w:r>
      <w:r w:rsidRPr="008216D9">
        <w:rPr>
          <w:rFonts w:hint="cs"/>
          <w:sz w:val="18"/>
          <w:szCs w:val="18"/>
          <w:rtl/>
        </w:rPr>
        <w:t xml:space="preserve"> קערה רחבה והוא רוחץ בצד שני</w:t>
      </w:r>
      <w:r>
        <w:rPr>
          <w:rFonts w:hint="cs"/>
          <w:sz w:val="18"/>
          <w:szCs w:val="18"/>
          <w:rtl/>
        </w:rPr>
        <w:t>).</w:t>
      </w:r>
      <w:r>
        <w:rPr>
          <w:rFonts w:hint="cs"/>
          <w:sz w:val="20"/>
          <w:szCs w:val="20"/>
          <w:rtl/>
        </w:rPr>
        <w:br/>
      </w:r>
      <w:r w:rsidRPr="008A5376">
        <w:rPr>
          <w:rFonts w:hint="cs"/>
          <w:b/>
          <w:bCs/>
          <w:sz w:val="20"/>
          <w:szCs w:val="20"/>
          <w:rtl/>
        </w:rPr>
        <w:t>טהרת הבית</w:t>
      </w:r>
      <w:r>
        <w:rPr>
          <w:rFonts w:hint="cs"/>
          <w:sz w:val="20"/>
          <w:szCs w:val="20"/>
          <w:rtl/>
        </w:rPr>
        <w:t xml:space="preserve"> </w:t>
      </w:r>
      <w:r>
        <w:rPr>
          <w:sz w:val="20"/>
          <w:szCs w:val="20"/>
          <w:rtl/>
        </w:rPr>
        <w:t>–</w:t>
      </w:r>
      <w:r>
        <w:rPr>
          <w:rFonts w:hint="cs"/>
          <w:sz w:val="20"/>
          <w:szCs w:val="20"/>
          <w:rtl/>
        </w:rPr>
        <w:t xml:space="preserve"> ע"פ זה, מותר לאשה להכין לבעלה אמבטיה לרחיצת כל גופו, וטוב שתעשה זאת שלא בפניו.</w:t>
      </w:r>
      <w:r>
        <w:rPr>
          <w:sz w:val="20"/>
          <w:szCs w:val="20"/>
          <w:rtl/>
        </w:rPr>
        <w:br/>
      </w:r>
      <w:r>
        <w:rPr>
          <w:rFonts w:hint="cs"/>
          <w:sz w:val="20"/>
          <w:szCs w:val="20"/>
          <w:rtl/>
        </w:rPr>
        <w:t>ומיהו, אם אין צורך בכך, המחמיר תבוא עליו ברכה.</w:t>
      </w:r>
      <w:r>
        <w:rPr>
          <w:sz w:val="20"/>
          <w:szCs w:val="20"/>
          <w:rtl/>
        </w:rPr>
        <w:br/>
      </w:r>
      <w:r>
        <w:rPr>
          <w:rFonts w:hint="cs"/>
          <w:sz w:val="20"/>
          <w:szCs w:val="20"/>
          <w:rtl/>
        </w:rPr>
        <w:t xml:space="preserve">ב. </w:t>
      </w:r>
      <w:r w:rsidRPr="00350A3F">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לא, וכ"פ </w:t>
      </w:r>
      <w:r w:rsidRPr="00AA7095">
        <w:rPr>
          <w:rFonts w:hint="cs"/>
          <w:b/>
          <w:bCs/>
          <w:sz w:val="20"/>
          <w:szCs w:val="20"/>
          <w:rtl/>
        </w:rPr>
        <w:t>שבה"ל</w:t>
      </w:r>
      <w:r>
        <w:rPr>
          <w:rFonts w:hint="cs"/>
          <w:sz w:val="20"/>
          <w:szCs w:val="20"/>
          <w:rtl/>
        </w:rPr>
        <w:t>.</w:t>
      </w:r>
      <w:r>
        <w:rPr>
          <w:sz w:val="20"/>
          <w:szCs w:val="20"/>
          <w:rtl/>
        </w:rPr>
        <w:br/>
      </w:r>
      <w:r w:rsidRPr="00350A3F">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כך כתב </w:t>
      </w:r>
      <w:r w:rsidRPr="00350A3F">
        <w:rPr>
          <w:rFonts w:hint="cs"/>
          <w:b/>
          <w:bCs/>
          <w:sz w:val="20"/>
          <w:szCs w:val="20"/>
          <w:rtl/>
        </w:rPr>
        <w:t>רבינו יונה</w:t>
      </w:r>
      <w:r>
        <w:rPr>
          <w:rFonts w:hint="cs"/>
          <w:sz w:val="20"/>
          <w:szCs w:val="20"/>
          <w:rtl/>
        </w:rPr>
        <w:t xml:space="preserve">: "אסור לתת לפני בעלה קיתון של מים וכלים שירחץ בהם </w:t>
      </w:r>
      <w:r w:rsidRPr="00350A3F">
        <w:rPr>
          <w:rFonts w:cs="Arial"/>
          <w:sz w:val="20"/>
          <w:szCs w:val="20"/>
          <w:rtl/>
        </w:rPr>
        <w:t>רגליו מפני שהוא דרך חיבה</w:t>
      </w:r>
      <w:r>
        <w:rPr>
          <w:rFonts w:cs="Arial" w:hint="cs"/>
          <w:sz w:val="20"/>
          <w:szCs w:val="20"/>
          <w:rtl/>
        </w:rPr>
        <w:t>".</w:t>
      </w:r>
      <w:r>
        <w:rPr>
          <w:rFonts w:hint="cs"/>
          <w:sz w:val="20"/>
          <w:szCs w:val="20"/>
          <w:rtl/>
        </w:rPr>
        <w:br/>
      </w:r>
      <w:r w:rsidRPr="00A13B81">
        <w:rPr>
          <w:rFonts w:hint="cs"/>
          <w:b/>
          <w:bCs/>
          <w:sz w:val="20"/>
          <w:szCs w:val="20"/>
          <w:rtl/>
        </w:rPr>
        <w:lastRenderedPageBreak/>
        <w:t>ששבה"ל</w:t>
      </w:r>
      <w:r>
        <w:rPr>
          <w:rFonts w:hint="cs"/>
          <w:sz w:val="20"/>
          <w:szCs w:val="20"/>
          <w:rtl/>
        </w:rPr>
        <w:t xml:space="preserve"> </w:t>
      </w:r>
      <w:r>
        <w:rPr>
          <w:sz w:val="20"/>
          <w:szCs w:val="20"/>
          <w:rtl/>
        </w:rPr>
        <w:t>–</w:t>
      </w:r>
      <w:r>
        <w:rPr>
          <w:rFonts w:hint="cs"/>
          <w:sz w:val="20"/>
          <w:szCs w:val="20"/>
          <w:rtl/>
        </w:rPr>
        <w:t xml:space="preserve"> אע"פ שיש להחמיר </w:t>
      </w:r>
      <w:r w:rsidRPr="00A13B81">
        <w:rPr>
          <w:rFonts w:hint="cs"/>
          <w:b/>
          <w:bCs/>
          <w:sz w:val="20"/>
          <w:szCs w:val="20"/>
          <w:rtl/>
        </w:rPr>
        <w:t>כש"ך</w:t>
      </w:r>
      <w:r>
        <w:rPr>
          <w:rFonts w:hint="cs"/>
          <w:sz w:val="20"/>
          <w:szCs w:val="20"/>
          <w:rtl/>
        </w:rPr>
        <w:t>, מכל מקום מותרת להכין לו מים לנטילת ידיים שחרית ולסעודה.</w:t>
      </w:r>
      <w:r>
        <w:rPr>
          <w:sz w:val="20"/>
          <w:szCs w:val="20"/>
          <w:rtl/>
        </w:rPr>
        <w:br/>
      </w:r>
      <w:r w:rsidRPr="00A13B81">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אין זה מעשה רחיצה אלא מעשה מצווה והעברת הטומאה.</w:t>
      </w:r>
    </w:p>
    <w:p w:rsidR="00620060" w:rsidRDefault="00620060" w:rsidP="00620060">
      <w:pPr>
        <w:rPr>
          <w:sz w:val="20"/>
          <w:szCs w:val="20"/>
          <w:rtl/>
        </w:rPr>
      </w:pPr>
      <w:r w:rsidRPr="008A5376">
        <w:rPr>
          <w:rFonts w:hint="cs"/>
          <w:b/>
          <w:bCs/>
          <w:sz w:val="20"/>
          <w:szCs w:val="20"/>
          <w:rtl/>
        </w:rPr>
        <w:t>סיכום</w:t>
      </w:r>
      <w:r>
        <w:rPr>
          <w:sz w:val="20"/>
          <w:szCs w:val="20"/>
          <w:rtl/>
        </w:rPr>
        <w:br/>
      </w:r>
      <w:r>
        <w:rPr>
          <w:rFonts w:hint="cs"/>
          <w:sz w:val="20"/>
          <w:szCs w:val="20"/>
          <w:rtl/>
        </w:rPr>
        <w:t xml:space="preserve">1. </w:t>
      </w:r>
      <w:r w:rsidRPr="00564DAE">
        <w:rPr>
          <w:rFonts w:hint="cs"/>
          <w:b/>
          <w:bCs/>
          <w:sz w:val="20"/>
          <w:szCs w:val="20"/>
          <w:rtl/>
        </w:rPr>
        <w:t>גמרא</w:t>
      </w:r>
      <w:r>
        <w:rPr>
          <w:rFonts w:hint="cs"/>
          <w:sz w:val="20"/>
          <w:szCs w:val="20"/>
          <w:rtl/>
        </w:rPr>
        <w:t xml:space="preserve">. אין לאשה לרחוץ את בעלה. </w:t>
      </w:r>
      <w:r w:rsidRPr="00564DAE">
        <w:rPr>
          <w:rFonts w:hint="cs"/>
          <w:b/>
          <w:bCs/>
          <w:sz w:val="20"/>
          <w:szCs w:val="20"/>
          <w:rtl/>
        </w:rPr>
        <w:t>רשב"א</w:t>
      </w:r>
      <w:r>
        <w:rPr>
          <w:rFonts w:hint="cs"/>
          <w:sz w:val="20"/>
          <w:szCs w:val="20"/>
          <w:rtl/>
        </w:rPr>
        <w:t xml:space="preserve">. האיסור הוא אפילו ביציקת מים בלבד על בעלה, וכ"פ </w:t>
      </w:r>
      <w:r w:rsidRPr="00564DAE">
        <w:rPr>
          <w:rFonts w:hint="cs"/>
          <w:b/>
          <w:bCs/>
          <w:sz w:val="20"/>
          <w:szCs w:val="20"/>
          <w:rtl/>
        </w:rPr>
        <w:t>המחבר</w:t>
      </w:r>
      <w:r>
        <w:rPr>
          <w:rFonts w:hint="cs"/>
          <w:sz w:val="20"/>
          <w:szCs w:val="20"/>
          <w:rtl/>
        </w:rPr>
        <w:t>.</w:t>
      </w:r>
      <w:r>
        <w:rPr>
          <w:rFonts w:hint="cs"/>
          <w:sz w:val="20"/>
          <w:szCs w:val="20"/>
          <w:rtl/>
        </w:rPr>
        <w:br/>
        <w:t xml:space="preserve">2. </w:t>
      </w:r>
      <w:r w:rsidRPr="008A5376">
        <w:rPr>
          <w:rFonts w:hint="cs"/>
          <w:sz w:val="20"/>
          <w:szCs w:val="20"/>
          <w:rtl/>
        </w:rPr>
        <w:t>האם מותר לאשה להכין לבעלה כלי לרחיצת גופו?</w:t>
      </w:r>
      <w:r>
        <w:rPr>
          <w:rFonts w:hint="cs"/>
          <w:sz w:val="20"/>
          <w:szCs w:val="20"/>
          <w:rtl/>
        </w:rPr>
        <w:t xml:space="preserve"> </w:t>
      </w:r>
      <w:r w:rsidRPr="00D26DD1">
        <w:rPr>
          <w:rFonts w:hint="cs"/>
          <w:b/>
          <w:bCs/>
          <w:sz w:val="20"/>
          <w:szCs w:val="20"/>
          <w:rtl/>
        </w:rPr>
        <w:t>ט"ז</w:t>
      </w:r>
      <w:r>
        <w:rPr>
          <w:rFonts w:hint="cs"/>
          <w:sz w:val="20"/>
          <w:szCs w:val="20"/>
          <w:rtl/>
        </w:rPr>
        <w:t xml:space="preserve">. כן, וכ"פ </w:t>
      </w:r>
      <w:r w:rsidRPr="00D26DD1">
        <w:rPr>
          <w:rFonts w:hint="cs"/>
          <w:b/>
          <w:bCs/>
          <w:sz w:val="20"/>
          <w:szCs w:val="20"/>
          <w:rtl/>
        </w:rPr>
        <w:t>ערוה"ש וטה"ב</w:t>
      </w:r>
      <w:r>
        <w:rPr>
          <w:rFonts w:hint="cs"/>
          <w:sz w:val="20"/>
          <w:szCs w:val="20"/>
          <w:rtl/>
        </w:rPr>
        <w:t xml:space="preserve">. </w:t>
      </w:r>
      <w:r w:rsidRPr="00D26DD1">
        <w:rPr>
          <w:rFonts w:hint="cs"/>
          <w:b/>
          <w:bCs/>
          <w:sz w:val="20"/>
          <w:szCs w:val="20"/>
          <w:rtl/>
        </w:rPr>
        <w:t>טעם</w:t>
      </w:r>
      <w:r>
        <w:rPr>
          <w:rFonts w:hint="cs"/>
          <w:sz w:val="20"/>
          <w:szCs w:val="20"/>
          <w:rtl/>
        </w:rPr>
        <w:t xml:space="preserve">. משמע </w:t>
      </w:r>
      <w:r w:rsidRPr="00D26DD1">
        <w:rPr>
          <w:rFonts w:hint="cs"/>
          <w:b/>
          <w:bCs/>
          <w:sz w:val="20"/>
          <w:szCs w:val="20"/>
          <w:rtl/>
        </w:rPr>
        <w:t>ברשב"א</w:t>
      </w:r>
      <w:r>
        <w:rPr>
          <w:rFonts w:hint="cs"/>
          <w:sz w:val="20"/>
          <w:szCs w:val="20"/>
          <w:rtl/>
        </w:rPr>
        <w:t xml:space="preserve"> לאסור רק יציקה. ולפי"ז, מותרת להכין לו אמבטיה לרחיצת כל גופו. </w:t>
      </w:r>
      <w:r w:rsidRPr="00D26DD1">
        <w:rPr>
          <w:rFonts w:hint="cs"/>
          <w:b/>
          <w:bCs/>
          <w:sz w:val="20"/>
          <w:szCs w:val="20"/>
          <w:rtl/>
        </w:rPr>
        <w:t>ש"ך</w:t>
      </w:r>
      <w:r>
        <w:rPr>
          <w:rFonts w:hint="cs"/>
          <w:sz w:val="20"/>
          <w:szCs w:val="20"/>
          <w:rtl/>
        </w:rPr>
        <w:t xml:space="preserve">. לא, וכ"פ </w:t>
      </w:r>
      <w:r w:rsidRPr="00D26DD1">
        <w:rPr>
          <w:rFonts w:hint="cs"/>
          <w:b/>
          <w:bCs/>
          <w:sz w:val="20"/>
          <w:szCs w:val="20"/>
          <w:rtl/>
        </w:rPr>
        <w:t>שבה"ל</w:t>
      </w:r>
      <w:r>
        <w:rPr>
          <w:rFonts w:hint="cs"/>
          <w:sz w:val="20"/>
          <w:szCs w:val="20"/>
          <w:rtl/>
        </w:rPr>
        <w:t xml:space="preserve">. </w:t>
      </w:r>
      <w:r w:rsidRPr="00D26DD1">
        <w:rPr>
          <w:rFonts w:hint="cs"/>
          <w:b/>
          <w:bCs/>
          <w:sz w:val="20"/>
          <w:szCs w:val="20"/>
          <w:rtl/>
        </w:rPr>
        <w:t>טעם</w:t>
      </w:r>
      <w:r>
        <w:rPr>
          <w:rFonts w:hint="cs"/>
          <w:sz w:val="20"/>
          <w:szCs w:val="20"/>
          <w:rtl/>
        </w:rPr>
        <w:t xml:space="preserve">. כך מוכח בדברי </w:t>
      </w:r>
      <w:r w:rsidRPr="00D26DD1">
        <w:rPr>
          <w:rFonts w:hint="cs"/>
          <w:b/>
          <w:bCs/>
          <w:sz w:val="20"/>
          <w:szCs w:val="20"/>
          <w:rtl/>
        </w:rPr>
        <w:t>רבינו יונה</w:t>
      </w:r>
      <w:r>
        <w:rPr>
          <w:rFonts w:hint="cs"/>
          <w:sz w:val="20"/>
          <w:szCs w:val="20"/>
          <w:rtl/>
        </w:rPr>
        <w:t xml:space="preserve">. ואמנם, מותרת להכין לו מים לנט"י. </w:t>
      </w:r>
      <w:r w:rsidRPr="00D26DD1">
        <w:rPr>
          <w:rFonts w:hint="cs"/>
          <w:b/>
          <w:bCs/>
          <w:sz w:val="20"/>
          <w:szCs w:val="20"/>
          <w:rtl/>
        </w:rPr>
        <w:t>טעם</w:t>
      </w:r>
      <w:r>
        <w:rPr>
          <w:rFonts w:hint="cs"/>
          <w:sz w:val="20"/>
          <w:szCs w:val="20"/>
          <w:rtl/>
        </w:rPr>
        <w:t>. אין זה מעשה רחיצה אלא מעשה מצווה.</w:t>
      </w:r>
    </w:p>
    <w:p w:rsidR="00620060" w:rsidRPr="00DB5049" w:rsidRDefault="00620060" w:rsidP="00620060">
      <w:pPr>
        <w:rPr>
          <w:sz w:val="20"/>
          <w:szCs w:val="20"/>
          <w:rtl/>
        </w:rPr>
      </w:pPr>
      <w:r>
        <w:rPr>
          <w:rFonts w:hint="cs"/>
          <w:b/>
          <w:bCs/>
          <w:sz w:val="20"/>
          <w:szCs w:val="20"/>
          <w:rtl/>
        </w:rPr>
        <w:t>הוספות</w:t>
      </w:r>
      <w:r>
        <w:rPr>
          <w:sz w:val="20"/>
          <w:szCs w:val="20"/>
          <w:u w:val="single"/>
          <w:rtl/>
        </w:rPr>
        <w:br/>
      </w:r>
      <w:r>
        <w:rPr>
          <w:rFonts w:hint="cs"/>
          <w:sz w:val="20"/>
          <w:szCs w:val="20"/>
          <w:u w:val="single"/>
          <w:rtl/>
        </w:rPr>
        <w:t>פתיחת הברז עבור רחצת בעלה (טה"ב עמ' רח)</w:t>
      </w:r>
      <w:r>
        <w:rPr>
          <w:sz w:val="20"/>
          <w:szCs w:val="20"/>
          <w:u w:val="single"/>
          <w:rtl/>
        </w:rPr>
        <w:br/>
      </w:r>
      <w:r w:rsidRPr="00DB5049">
        <w:rPr>
          <w:rFonts w:hint="cs"/>
          <w:b/>
          <w:bCs/>
          <w:sz w:val="20"/>
          <w:szCs w:val="20"/>
          <w:rtl/>
        </w:rPr>
        <w:t>ששבה"ל וטה"ב</w:t>
      </w:r>
      <w:r>
        <w:rPr>
          <w:rFonts w:hint="cs"/>
          <w:sz w:val="20"/>
          <w:szCs w:val="20"/>
          <w:rtl/>
        </w:rPr>
        <w:t xml:space="preserve"> </w:t>
      </w:r>
      <w:r>
        <w:rPr>
          <w:sz w:val="20"/>
          <w:szCs w:val="20"/>
          <w:rtl/>
        </w:rPr>
        <w:t>–</w:t>
      </w:r>
      <w:r>
        <w:rPr>
          <w:rFonts w:hint="cs"/>
          <w:sz w:val="20"/>
          <w:szCs w:val="20"/>
          <w:rtl/>
        </w:rPr>
        <w:t xml:space="preserve"> אין לאשה לפתוח את ברז המים כאשר ידי בעלה מונחות תחתיו.</w:t>
      </w:r>
      <w:r>
        <w:rPr>
          <w:sz w:val="20"/>
          <w:szCs w:val="20"/>
          <w:rtl/>
        </w:rPr>
        <w:br/>
      </w:r>
      <w:r w:rsidRPr="00DB5049">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המים באים עליו מכוחה וזו יציקה ממש. ואע"פ שיש לומר שפתיחת הברז היא רק הסרת מונע ואינה כוחה ממש, מכל מקום יש בכך חיבה ואסור. </w:t>
      </w:r>
      <w:r w:rsidRPr="00D41D6E">
        <w:rPr>
          <w:rFonts w:hint="cs"/>
          <w:sz w:val="18"/>
          <w:szCs w:val="18"/>
          <w:rtl/>
        </w:rPr>
        <w:t>[אמנם, אם היא פותחת את ברז המים ורק אחר כך בעלה מניח את ידיו תחתיו, מסתבר שלדעת הט"ז הנ"ל יש להקל ואילו לדעת הש"ך מסתבר לאסור].</w:t>
      </w:r>
    </w:p>
    <w:p w:rsidR="00620060" w:rsidRDefault="00620060" w:rsidP="00620060">
      <w:pPr>
        <w:rPr>
          <w:sz w:val="20"/>
          <w:szCs w:val="20"/>
          <w:rtl/>
        </w:rPr>
      </w:pPr>
      <w:r>
        <w:rPr>
          <w:rFonts w:hint="cs"/>
          <w:sz w:val="20"/>
          <w:szCs w:val="20"/>
          <w:u w:val="single"/>
          <w:rtl/>
        </w:rPr>
        <w:t>הכנת שאר צרכי רחצה</w:t>
      </w:r>
      <w:r>
        <w:rPr>
          <w:sz w:val="20"/>
          <w:szCs w:val="20"/>
          <w:u w:val="single"/>
          <w:rtl/>
        </w:rPr>
        <w:br/>
      </w:r>
      <w:r w:rsidRPr="00C953DE">
        <w:rPr>
          <w:rFonts w:hint="cs"/>
          <w:b/>
          <w:bCs/>
          <w:sz w:val="20"/>
          <w:szCs w:val="20"/>
          <w:rtl/>
        </w:rPr>
        <w:t>ששבה"ל</w:t>
      </w:r>
      <w:r>
        <w:rPr>
          <w:rFonts w:hint="cs"/>
          <w:sz w:val="20"/>
          <w:szCs w:val="20"/>
          <w:rtl/>
        </w:rPr>
        <w:t xml:space="preserve"> </w:t>
      </w:r>
      <w:r>
        <w:rPr>
          <w:sz w:val="20"/>
          <w:szCs w:val="20"/>
          <w:rtl/>
        </w:rPr>
        <w:t>–</w:t>
      </w:r>
      <w:r>
        <w:rPr>
          <w:rFonts w:hint="cs"/>
          <w:sz w:val="20"/>
          <w:szCs w:val="20"/>
          <w:rtl/>
        </w:rPr>
        <w:t xml:space="preserve"> מותר לאשה להכין לבעלה מגבת וסבון לצורך רחצה.</w:t>
      </w:r>
    </w:p>
    <w:p w:rsidR="00620060" w:rsidRDefault="00620060" w:rsidP="00620060">
      <w:pPr>
        <w:rPr>
          <w:sz w:val="20"/>
          <w:szCs w:val="20"/>
          <w:rtl/>
        </w:rPr>
      </w:pPr>
      <w:r>
        <w:rPr>
          <w:sz w:val="20"/>
          <w:szCs w:val="20"/>
          <w:rtl/>
        </w:rPr>
        <w:br/>
      </w:r>
      <w:r>
        <w:rPr>
          <w:rFonts w:hint="cs"/>
          <w:b/>
          <w:bCs/>
          <w:sz w:val="20"/>
          <w:szCs w:val="20"/>
          <w:rtl/>
        </w:rPr>
        <w:t xml:space="preserve">סעיף יג </w:t>
      </w:r>
      <w:r>
        <w:rPr>
          <w:b/>
          <w:bCs/>
          <w:sz w:val="20"/>
          <w:szCs w:val="20"/>
          <w:rtl/>
        </w:rPr>
        <w:t>–</w:t>
      </w:r>
      <w:r>
        <w:rPr>
          <w:rFonts w:hint="cs"/>
          <w:b/>
          <w:bCs/>
          <w:sz w:val="20"/>
          <w:szCs w:val="20"/>
          <w:rtl/>
        </w:rPr>
        <w:t xml:space="preserve"> מזיגת הכוס לאשה ע"י בעלה</w:t>
      </w:r>
      <w:r>
        <w:rPr>
          <w:b/>
          <w:bCs/>
          <w:sz w:val="20"/>
          <w:szCs w:val="20"/>
          <w:rtl/>
        </w:rPr>
        <w:br/>
      </w:r>
      <w:r>
        <w:rPr>
          <w:rFonts w:hint="cs"/>
          <w:b/>
          <w:bCs/>
          <w:sz w:val="20"/>
          <w:szCs w:val="20"/>
          <w:rtl/>
        </w:rPr>
        <w:t>מזיגת הכוס</w:t>
      </w:r>
      <w:r>
        <w:rPr>
          <w:b/>
          <w:bCs/>
          <w:sz w:val="20"/>
          <w:szCs w:val="20"/>
          <w:rtl/>
        </w:rPr>
        <w:br/>
      </w:r>
      <w:r>
        <w:rPr>
          <w:rFonts w:hint="cs"/>
          <w:b/>
          <w:bCs/>
          <w:sz w:val="20"/>
          <w:szCs w:val="20"/>
          <w:rtl/>
        </w:rPr>
        <w:t xml:space="preserve">רשב"א </w:t>
      </w:r>
      <w:r>
        <w:rPr>
          <w:sz w:val="20"/>
          <w:szCs w:val="20"/>
          <w:rtl/>
        </w:rPr>
        <w:t>–</w:t>
      </w:r>
      <w:r>
        <w:rPr>
          <w:rFonts w:hint="cs"/>
          <w:sz w:val="20"/>
          <w:szCs w:val="20"/>
          <w:rtl/>
        </w:rPr>
        <w:t xml:space="preserve"> כשם שהיא אסורה למזוג לו כוס יין, כך הוא אסור למזוג לה.</w:t>
      </w:r>
      <w:r>
        <w:rPr>
          <w:sz w:val="20"/>
          <w:szCs w:val="20"/>
          <w:rtl/>
        </w:rPr>
        <w:br/>
      </w:r>
      <w:r w:rsidRPr="001F5751">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גם בכה"ג יש לחשוש להרגל דבר.</w:t>
      </w:r>
    </w:p>
    <w:p w:rsidR="00620060" w:rsidRDefault="00620060" w:rsidP="00620060">
      <w:pPr>
        <w:rPr>
          <w:sz w:val="20"/>
          <w:szCs w:val="20"/>
          <w:rtl/>
        </w:rPr>
      </w:pPr>
      <w:r>
        <w:rPr>
          <w:rFonts w:hint="cs"/>
          <w:b/>
          <w:bCs/>
          <w:sz w:val="20"/>
          <w:szCs w:val="20"/>
          <w:rtl/>
        </w:rPr>
        <w:t>שליחת כוס לאשתו</w:t>
      </w:r>
      <w:r>
        <w:rPr>
          <w:b/>
          <w:bCs/>
          <w:sz w:val="20"/>
          <w:szCs w:val="20"/>
          <w:rtl/>
        </w:rPr>
        <w:br/>
      </w:r>
      <w:r>
        <w:rPr>
          <w:rFonts w:hint="cs"/>
          <w:b/>
          <w:bCs/>
          <w:sz w:val="20"/>
          <w:szCs w:val="20"/>
          <w:rtl/>
        </w:rPr>
        <w:t xml:space="preserve">מסכת כלה </w:t>
      </w:r>
      <w:r w:rsidRPr="002331CB">
        <w:rPr>
          <w:rFonts w:hint="cs"/>
          <w:sz w:val="20"/>
          <w:szCs w:val="20"/>
          <w:rtl/>
        </w:rPr>
        <w:t>(א, ה) "</w:t>
      </w:r>
      <w:r w:rsidRPr="002331CB">
        <w:rPr>
          <w:rFonts w:cs="Arial"/>
          <w:sz w:val="20"/>
          <w:szCs w:val="20"/>
          <w:rtl/>
        </w:rPr>
        <w:t>המשגר כוס של ברכה לאשה שלא מדעת בעלה חייב מיתה, מפני שדעתו רבה עליה, רבי אומר מפני שיצר הרע רבה עליה</w:t>
      </w:r>
      <w:r w:rsidRPr="002331CB">
        <w:rPr>
          <w:rFonts w:cs="Arial" w:hint="cs"/>
          <w:sz w:val="20"/>
          <w:szCs w:val="20"/>
          <w:rtl/>
        </w:rPr>
        <w:t>".</w:t>
      </w:r>
      <w:r>
        <w:rPr>
          <w:rFonts w:hint="cs"/>
          <w:sz w:val="20"/>
          <w:szCs w:val="20"/>
          <w:rtl/>
        </w:rPr>
        <w:br/>
      </w:r>
      <w:r w:rsidRPr="001F5751">
        <w:rPr>
          <w:rFonts w:hint="cs"/>
          <w:b/>
          <w:bCs/>
          <w:sz w:val="20"/>
          <w:szCs w:val="20"/>
          <w:rtl/>
        </w:rPr>
        <w:t>ראב"ד</w:t>
      </w:r>
      <w:r>
        <w:rPr>
          <w:rFonts w:hint="cs"/>
          <w:sz w:val="20"/>
          <w:szCs w:val="20"/>
          <w:rtl/>
        </w:rPr>
        <w:t xml:space="preserve"> </w:t>
      </w:r>
      <w:r>
        <w:rPr>
          <w:sz w:val="20"/>
          <w:szCs w:val="20"/>
          <w:rtl/>
        </w:rPr>
        <w:t>–</w:t>
      </w:r>
      <w:r>
        <w:rPr>
          <w:rFonts w:hint="cs"/>
          <w:sz w:val="20"/>
          <w:szCs w:val="20"/>
          <w:rtl/>
        </w:rPr>
        <w:t xml:space="preserve"> מברייתא זו הסיק </w:t>
      </w:r>
      <w:r w:rsidRPr="001F5751">
        <w:rPr>
          <w:rFonts w:hint="cs"/>
          <w:b/>
          <w:bCs/>
          <w:sz w:val="20"/>
          <w:szCs w:val="20"/>
          <w:rtl/>
        </w:rPr>
        <w:t>השאילתות</w:t>
      </w:r>
      <w:r>
        <w:rPr>
          <w:rFonts w:hint="cs"/>
          <w:sz w:val="20"/>
          <w:szCs w:val="20"/>
          <w:rtl/>
        </w:rPr>
        <w:t xml:space="preserve">, שאין לבעל לשלוח לאשתו כוס של ברכה בשעה שהיא נידה. </w:t>
      </w:r>
    </w:p>
    <w:p w:rsidR="00620060" w:rsidRPr="001F38D5" w:rsidRDefault="00620060" w:rsidP="00620060">
      <w:pPr>
        <w:rPr>
          <w:sz w:val="20"/>
          <w:szCs w:val="20"/>
        </w:rPr>
      </w:pPr>
      <w:r>
        <w:rPr>
          <w:rFonts w:hint="cs"/>
          <w:b/>
          <w:bCs/>
          <w:sz w:val="20"/>
          <w:szCs w:val="20"/>
          <w:rtl/>
        </w:rPr>
        <w:t>שתייה מכוס המיועדת לאנשים נוספים</w:t>
      </w:r>
      <w:r>
        <w:rPr>
          <w:b/>
          <w:bCs/>
          <w:sz w:val="20"/>
          <w:szCs w:val="20"/>
          <w:rtl/>
        </w:rPr>
        <w:br/>
      </w:r>
      <w:r>
        <w:rPr>
          <w:rFonts w:hint="cs"/>
          <w:b/>
          <w:bCs/>
          <w:sz w:val="20"/>
          <w:szCs w:val="20"/>
          <w:rtl/>
        </w:rPr>
        <w:t xml:space="preserve">רשב"א </w:t>
      </w:r>
      <w:r>
        <w:rPr>
          <w:b/>
          <w:bCs/>
          <w:sz w:val="20"/>
          <w:szCs w:val="20"/>
          <w:rtl/>
        </w:rPr>
        <w:t>–</w:t>
      </w:r>
      <w:r>
        <w:rPr>
          <w:rFonts w:hint="cs"/>
          <w:b/>
          <w:bCs/>
          <w:sz w:val="20"/>
          <w:szCs w:val="20"/>
          <w:rtl/>
        </w:rPr>
        <w:t xml:space="preserve"> </w:t>
      </w:r>
      <w:r>
        <w:rPr>
          <w:rFonts w:hint="cs"/>
          <w:sz w:val="20"/>
          <w:szCs w:val="20"/>
          <w:rtl/>
        </w:rPr>
        <w:t xml:space="preserve">מותר לאשה לשתות משיורי כוס בעלה כאשר הכוס מיועדת גם עבור סועדים נוספים, וכ"פ </w:t>
      </w:r>
      <w:r w:rsidRPr="001C22E3">
        <w:rPr>
          <w:rFonts w:hint="cs"/>
          <w:b/>
          <w:bCs/>
          <w:sz w:val="20"/>
          <w:szCs w:val="20"/>
          <w:rtl/>
        </w:rPr>
        <w:t>המחבר</w:t>
      </w:r>
      <w:r>
        <w:rPr>
          <w:rFonts w:hint="cs"/>
          <w:sz w:val="20"/>
          <w:szCs w:val="20"/>
          <w:rtl/>
        </w:rPr>
        <w:t>.</w:t>
      </w:r>
      <w:r>
        <w:rPr>
          <w:sz w:val="20"/>
          <w:szCs w:val="20"/>
          <w:rtl/>
        </w:rPr>
        <w:br/>
      </w:r>
      <w:r>
        <w:rPr>
          <w:rFonts w:hint="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1F38D5">
        <w:rPr>
          <w:rFonts w:cs="Arial"/>
          <w:sz w:val="20"/>
          <w:szCs w:val="20"/>
          <w:rtl/>
        </w:rPr>
        <w:t>כשם שאסורה למזוג לו כך הוא אסור למזוג לה; ולא עוד, אלא אפילו לשלוח לה כוס של יין אסור, לא שנא כוס של ברכה לא שנא כוס אחר</w:t>
      </w:r>
      <w:r>
        <w:rPr>
          <w:rFonts w:cs="Arial"/>
          <w:sz w:val="20"/>
          <w:szCs w:val="20"/>
          <w:rtl/>
        </w:rPr>
        <w:t>, אם הוא מיוחד לה; אבל אם שותים</w:t>
      </w:r>
      <w:r>
        <w:rPr>
          <w:rFonts w:cs="Arial" w:hint="cs"/>
          <w:sz w:val="20"/>
          <w:szCs w:val="20"/>
          <w:rtl/>
        </w:rPr>
        <w:t xml:space="preserve"> </w:t>
      </w:r>
      <w:r w:rsidRPr="001F38D5">
        <w:rPr>
          <w:rFonts w:cs="Arial"/>
          <w:sz w:val="20"/>
          <w:szCs w:val="20"/>
          <w:rtl/>
        </w:rPr>
        <w:t>הם מאותו הכוס</w:t>
      </w:r>
      <w:r>
        <w:rPr>
          <w:rFonts w:cs="Arial"/>
          <w:sz w:val="20"/>
          <w:szCs w:val="20"/>
          <w:rtl/>
        </w:rPr>
        <w:t xml:space="preserve"> ושתית איהי אבתרייהו, לית לן בה</w:t>
      </w:r>
      <w:r>
        <w:rPr>
          <w:rFonts w:cs="Arial" w:hint="cs"/>
          <w:sz w:val="20"/>
          <w:szCs w:val="20"/>
          <w:rtl/>
        </w:rPr>
        <w:t>".</w:t>
      </w:r>
    </w:p>
    <w:p w:rsidR="00620060"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1F5751">
        <w:rPr>
          <w:rFonts w:hint="cs"/>
          <w:b/>
          <w:bCs/>
          <w:sz w:val="20"/>
          <w:szCs w:val="20"/>
          <w:rtl/>
        </w:rPr>
        <w:t>רשב"א</w:t>
      </w:r>
      <w:r>
        <w:rPr>
          <w:rFonts w:hint="cs"/>
          <w:sz w:val="20"/>
          <w:szCs w:val="20"/>
          <w:rtl/>
        </w:rPr>
        <w:t xml:space="preserve">. כשם שהיא אסורה למזוג לו, כך הוא אסור למזוג לה. </w:t>
      </w:r>
      <w:r w:rsidRPr="001F5751">
        <w:rPr>
          <w:rFonts w:hint="cs"/>
          <w:b/>
          <w:bCs/>
          <w:sz w:val="20"/>
          <w:szCs w:val="20"/>
          <w:rtl/>
        </w:rPr>
        <w:t>טעם</w:t>
      </w:r>
      <w:r>
        <w:rPr>
          <w:rFonts w:hint="cs"/>
          <w:sz w:val="20"/>
          <w:szCs w:val="20"/>
          <w:rtl/>
        </w:rPr>
        <w:t>. גם בכה"ג יש חשש עבירה.</w:t>
      </w:r>
      <w:r>
        <w:rPr>
          <w:sz w:val="20"/>
          <w:szCs w:val="20"/>
          <w:rtl/>
        </w:rPr>
        <w:br/>
      </w:r>
      <w:r>
        <w:rPr>
          <w:rFonts w:hint="cs"/>
          <w:sz w:val="20"/>
          <w:szCs w:val="20"/>
          <w:rtl/>
        </w:rPr>
        <w:t xml:space="preserve">2. </w:t>
      </w:r>
      <w:r w:rsidRPr="001F5751">
        <w:rPr>
          <w:rFonts w:hint="cs"/>
          <w:b/>
          <w:bCs/>
          <w:sz w:val="20"/>
          <w:szCs w:val="20"/>
          <w:rtl/>
        </w:rPr>
        <w:t>מסכת כלה</w:t>
      </w:r>
      <w:r>
        <w:rPr>
          <w:rFonts w:hint="cs"/>
          <w:sz w:val="20"/>
          <w:szCs w:val="20"/>
          <w:rtl/>
        </w:rPr>
        <w:t xml:space="preserve">. אין לשגר כוס ברכה לאשת איש. </w:t>
      </w:r>
      <w:r w:rsidRPr="001F5751">
        <w:rPr>
          <w:rFonts w:hint="cs"/>
          <w:b/>
          <w:bCs/>
          <w:sz w:val="20"/>
          <w:szCs w:val="20"/>
          <w:rtl/>
        </w:rPr>
        <w:t>ראב"ד</w:t>
      </w:r>
      <w:r>
        <w:rPr>
          <w:rFonts w:hint="cs"/>
          <w:sz w:val="20"/>
          <w:szCs w:val="20"/>
          <w:rtl/>
        </w:rPr>
        <w:t>. ע"פ זה הסיק השאילתות שאין לשגר כוס לנידה.</w:t>
      </w:r>
      <w:r>
        <w:rPr>
          <w:sz w:val="20"/>
          <w:szCs w:val="20"/>
          <w:rtl/>
        </w:rPr>
        <w:br/>
      </w:r>
      <w:r>
        <w:rPr>
          <w:rFonts w:hint="cs"/>
          <w:sz w:val="20"/>
          <w:szCs w:val="20"/>
          <w:rtl/>
        </w:rPr>
        <w:t xml:space="preserve">3. </w:t>
      </w:r>
      <w:r w:rsidRPr="00C2352A">
        <w:rPr>
          <w:rFonts w:hint="cs"/>
          <w:b/>
          <w:bCs/>
          <w:sz w:val="20"/>
          <w:szCs w:val="20"/>
          <w:rtl/>
        </w:rPr>
        <w:t>רשב"א</w:t>
      </w:r>
      <w:r>
        <w:rPr>
          <w:rFonts w:hint="cs"/>
          <w:sz w:val="20"/>
          <w:szCs w:val="20"/>
          <w:rtl/>
        </w:rPr>
        <w:t>. מותר לאשה לשתות משיורי כוס בעלה אם היא מיועדת גם לסועדים נוספים.</w:t>
      </w:r>
      <w:r>
        <w:rPr>
          <w:sz w:val="20"/>
          <w:szCs w:val="20"/>
          <w:rtl/>
        </w:rPr>
        <w:br/>
      </w:r>
      <w:r>
        <w:rPr>
          <w:rFonts w:hint="cs"/>
          <w:sz w:val="20"/>
          <w:szCs w:val="20"/>
          <w:rtl/>
        </w:rPr>
        <w:t xml:space="preserve">4. </w:t>
      </w:r>
      <w:r w:rsidRPr="00C2352A">
        <w:rPr>
          <w:rFonts w:hint="cs"/>
          <w:b/>
          <w:bCs/>
          <w:sz w:val="20"/>
          <w:szCs w:val="20"/>
          <w:rtl/>
        </w:rPr>
        <w:t>מחבר</w:t>
      </w:r>
      <w:r>
        <w:rPr>
          <w:rFonts w:hint="cs"/>
          <w:sz w:val="20"/>
          <w:szCs w:val="20"/>
          <w:rtl/>
        </w:rPr>
        <w:t>. אין לבעל למזוג כוס לאשתו, ואפילו לשלוח לה כוס אסור אם מייחד לה, אם אינו מייחד לה מותר כשהיא שותה לאחר שסועד אחר הפסיק ביניהם.</w:t>
      </w:r>
      <w:r>
        <w:rPr>
          <w:rFonts w:hint="cs"/>
          <w:sz w:val="20"/>
          <w:szCs w:val="20"/>
          <w:rtl/>
        </w:rPr>
        <w:br/>
      </w:r>
      <w:r>
        <w:rPr>
          <w:b/>
          <w:bCs/>
          <w:sz w:val="20"/>
          <w:szCs w:val="20"/>
          <w:rtl/>
        </w:rPr>
        <w:br/>
      </w:r>
      <w:r>
        <w:rPr>
          <w:rFonts w:hint="cs"/>
          <w:b/>
          <w:bCs/>
          <w:sz w:val="20"/>
          <w:szCs w:val="20"/>
          <w:rtl/>
        </w:rPr>
        <w:t>הוספה</w:t>
      </w:r>
      <w:r>
        <w:rPr>
          <w:b/>
          <w:bCs/>
          <w:sz w:val="20"/>
          <w:szCs w:val="20"/>
          <w:rtl/>
        </w:rPr>
        <w:br/>
      </w:r>
      <w:r>
        <w:rPr>
          <w:rFonts w:hint="cs"/>
          <w:sz w:val="20"/>
          <w:szCs w:val="20"/>
          <w:u w:val="single"/>
          <w:rtl/>
        </w:rPr>
        <w:t xml:space="preserve">שתיית האשה מכוס בעלה (טה"ב עמ' ר </w:t>
      </w:r>
      <w:r>
        <w:rPr>
          <w:sz w:val="20"/>
          <w:szCs w:val="20"/>
          <w:u w:val="single"/>
          <w:rtl/>
        </w:rPr>
        <w:t>–</w:t>
      </w:r>
      <w:r>
        <w:rPr>
          <w:rFonts w:hint="cs"/>
          <w:sz w:val="20"/>
          <w:szCs w:val="20"/>
          <w:u w:val="single"/>
          <w:rtl/>
        </w:rPr>
        <w:t xml:space="preserve"> רב, דרכ"ט עמ' 83)</w:t>
      </w:r>
      <w:r>
        <w:rPr>
          <w:rFonts w:hint="cs"/>
          <w:sz w:val="20"/>
          <w:szCs w:val="20"/>
          <w:u w:val="single"/>
          <w:rtl/>
        </w:rPr>
        <w:br/>
      </w:r>
      <w:r>
        <w:rPr>
          <w:rFonts w:hint="cs"/>
          <w:sz w:val="20"/>
          <w:szCs w:val="20"/>
          <w:rtl/>
        </w:rPr>
        <w:t xml:space="preserve">א. </w:t>
      </w:r>
      <w:r w:rsidRPr="00AA351D">
        <w:rPr>
          <w:rFonts w:hint="cs"/>
          <w:b/>
          <w:bCs/>
          <w:sz w:val="20"/>
          <w:szCs w:val="20"/>
          <w:rtl/>
        </w:rPr>
        <w:t>טהרת הבית</w:t>
      </w:r>
      <w:r>
        <w:rPr>
          <w:rFonts w:hint="cs"/>
          <w:sz w:val="20"/>
          <w:szCs w:val="20"/>
          <w:rtl/>
        </w:rPr>
        <w:t xml:space="preserve"> - מלשון </w:t>
      </w:r>
      <w:r w:rsidRPr="001C22E3">
        <w:rPr>
          <w:rFonts w:hint="cs"/>
          <w:b/>
          <w:bCs/>
          <w:sz w:val="20"/>
          <w:szCs w:val="20"/>
          <w:rtl/>
        </w:rPr>
        <w:t>הרשב"א והמחבר</w:t>
      </w:r>
      <w:r>
        <w:rPr>
          <w:rFonts w:hint="cs"/>
          <w:sz w:val="20"/>
          <w:szCs w:val="20"/>
          <w:rtl/>
        </w:rPr>
        <w:t xml:space="preserve"> משמע שההיתר לאשה לשתות מכוס ששתה בעלה, הוא רק כאשר הפסיקו אחרים בשתייתם לפניה מהכוס. ואמנם, לדינא יש להקל ולהתיר לאשה לשתות מייד לאחר בעלה, ובפרט בסעודה של כל המשפחה שאין זה מהכבוד ומדרך ארץ שיטעמו הילדים לפני האם מכוס הקידוש.</w:t>
      </w:r>
      <w:r>
        <w:rPr>
          <w:sz w:val="20"/>
          <w:szCs w:val="20"/>
          <w:rtl/>
        </w:rPr>
        <w:br/>
      </w:r>
      <w:r w:rsidRPr="00C61005">
        <w:rPr>
          <w:rFonts w:hint="cs"/>
          <w:b/>
          <w:bCs/>
          <w:sz w:val="20"/>
          <w:szCs w:val="20"/>
          <w:rtl/>
        </w:rPr>
        <w:t xml:space="preserve">טעם </w:t>
      </w:r>
      <w:r>
        <w:rPr>
          <w:sz w:val="20"/>
          <w:szCs w:val="20"/>
          <w:rtl/>
        </w:rPr>
        <w:t>–</w:t>
      </w:r>
      <w:r>
        <w:rPr>
          <w:rFonts w:hint="cs"/>
          <w:sz w:val="20"/>
          <w:szCs w:val="20"/>
          <w:rtl/>
        </w:rPr>
        <w:t xml:space="preserve"> יש מהאחרונים שכתבו להתיר בכה"ג שיש סועדים נוספים אפילו כשהיא שותה מייד לאחר בעלה. ומלבד זאת, </w:t>
      </w:r>
      <w:r w:rsidRPr="00AA351D">
        <w:rPr>
          <w:rFonts w:hint="cs"/>
          <w:b/>
          <w:bCs/>
          <w:sz w:val="20"/>
          <w:szCs w:val="20"/>
          <w:rtl/>
        </w:rPr>
        <w:t>המאירי והפרישה</w:t>
      </w:r>
      <w:r>
        <w:rPr>
          <w:rFonts w:hint="cs"/>
          <w:sz w:val="20"/>
          <w:szCs w:val="20"/>
          <w:rtl/>
        </w:rPr>
        <w:t xml:space="preserve"> סוברים שמותר לאשה לשתות לאחר בעלה מהכוס, והאיסור נאמר דווקא אם מוזג לה ומייחד לה כוס בפני עצמה, אך אם שתה הוא תחילה אין הכוס מיוחדת לאשתו ומותר לה לשתות אחריו.</w:t>
      </w:r>
      <w:r>
        <w:rPr>
          <w:sz w:val="20"/>
          <w:szCs w:val="20"/>
          <w:rtl/>
        </w:rPr>
        <w:br/>
      </w:r>
      <w:r>
        <w:rPr>
          <w:rFonts w:hint="cs"/>
          <w:sz w:val="20"/>
          <w:szCs w:val="20"/>
          <w:rtl/>
        </w:rPr>
        <w:lastRenderedPageBreak/>
        <w:t xml:space="preserve">ב. </w:t>
      </w:r>
      <w:r w:rsidRPr="00264DFA">
        <w:rPr>
          <w:rFonts w:hint="cs"/>
          <w:b/>
          <w:bCs/>
          <w:sz w:val="20"/>
          <w:szCs w:val="20"/>
          <w:rtl/>
        </w:rPr>
        <w:t>דרכי טהרה</w:t>
      </w:r>
      <w:r>
        <w:rPr>
          <w:rFonts w:hint="cs"/>
          <w:sz w:val="20"/>
          <w:szCs w:val="20"/>
          <w:rtl/>
        </w:rPr>
        <w:t xml:space="preserve"> </w:t>
      </w:r>
      <w:r>
        <w:rPr>
          <w:sz w:val="20"/>
          <w:szCs w:val="20"/>
          <w:rtl/>
        </w:rPr>
        <w:t>–</w:t>
      </w:r>
      <w:r>
        <w:rPr>
          <w:rFonts w:hint="cs"/>
          <w:sz w:val="20"/>
          <w:szCs w:val="20"/>
          <w:rtl/>
        </w:rPr>
        <w:t xml:space="preserve"> מותר לאשה לשתות משיורי הכוס של בעלה, ובלבד שלא יגיש לה את הכוס אלא יניח אותה על השולחן והיא תיקח. ואם נוהגים למזוג את היין לכוסיות קטנות, מותר לו למזוג לה ובלבד שלא יושיט לה במיוחד.</w:t>
      </w:r>
    </w:p>
    <w:p w:rsidR="00620060" w:rsidRDefault="00620060" w:rsidP="00620060">
      <w:pPr>
        <w:rPr>
          <w:rFonts w:cs="Arial"/>
          <w:sz w:val="20"/>
          <w:szCs w:val="20"/>
          <w:rtl/>
        </w:rPr>
      </w:pPr>
      <w:r>
        <w:rPr>
          <w:sz w:val="20"/>
          <w:szCs w:val="20"/>
          <w:rtl/>
        </w:rPr>
        <w:br/>
      </w:r>
      <w:r>
        <w:rPr>
          <w:rFonts w:hint="cs"/>
          <w:b/>
          <w:bCs/>
          <w:sz w:val="20"/>
          <w:szCs w:val="20"/>
          <w:rtl/>
        </w:rPr>
        <w:t xml:space="preserve">סעיף יד </w:t>
      </w:r>
      <w:r>
        <w:rPr>
          <w:b/>
          <w:bCs/>
          <w:sz w:val="20"/>
          <w:szCs w:val="20"/>
          <w:rtl/>
        </w:rPr>
        <w:t>–</w:t>
      </w:r>
      <w:r>
        <w:rPr>
          <w:rFonts w:hint="cs"/>
          <w:b/>
          <w:bCs/>
          <w:sz w:val="20"/>
          <w:szCs w:val="20"/>
          <w:rtl/>
        </w:rPr>
        <w:t xml:space="preserve"> היחס בין ימי נידות לימי ליבון</w:t>
      </w:r>
      <w:r>
        <w:rPr>
          <w:rFonts w:hint="cs"/>
          <w:b/>
          <w:bCs/>
          <w:sz w:val="20"/>
          <w:szCs w:val="20"/>
          <w:rtl/>
        </w:rPr>
        <w:br/>
      </w:r>
      <w:r>
        <w:rPr>
          <w:rFonts w:hint="cs"/>
          <w:sz w:val="20"/>
          <w:szCs w:val="20"/>
          <w:rtl/>
        </w:rPr>
        <w:t xml:space="preserve">א. </w:t>
      </w:r>
      <w:r>
        <w:rPr>
          <w:rFonts w:hint="cs"/>
          <w:b/>
          <w:bCs/>
          <w:sz w:val="20"/>
          <w:szCs w:val="20"/>
          <w:rtl/>
        </w:rPr>
        <w:t xml:space="preserve">גמרא </w:t>
      </w:r>
      <w:r>
        <w:rPr>
          <w:rFonts w:hint="cs"/>
          <w:sz w:val="20"/>
          <w:szCs w:val="20"/>
          <w:rtl/>
        </w:rPr>
        <w:t>שבת (יג:) "</w:t>
      </w:r>
      <w:r w:rsidRPr="009C2FCE">
        <w:rPr>
          <w:rFonts w:cs="Arial"/>
          <w:sz w:val="20"/>
          <w:szCs w:val="20"/>
          <w:rtl/>
        </w:rPr>
        <w:t>תני דבי אליהו: מעשה בתלמיד אחד ששנה הרבה וקרא הרבה, ושימש תלמידי חכמים הרבה, ומת בחצי ימיו. והיתה אשתו נוטלת תפיליו ומחזרתם בבתי כנסיות ובבתי מדרשות, ואמרה להם: כתיב בתורה כי הוא חייך ואורך ימיך, בעלי ששנה הרבה וקרא הרבה,</w:t>
      </w:r>
      <w:r w:rsidRPr="009C2FCE">
        <w:rPr>
          <w:rtl/>
        </w:rPr>
        <w:t xml:space="preserve"> </w:t>
      </w:r>
      <w:r w:rsidRPr="009C2FCE">
        <w:rPr>
          <w:rFonts w:cs="Arial"/>
          <w:sz w:val="20"/>
          <w:szCs w:val="20"/>
          <w:rtl/>
        </w:rPr>
        <w:t>ושימש תלמידי חכמים הרבה - מפני מה מת בחצי ימיו? ולא היה אדם מחזירה דבר. פעם אחת נתארחתי אצלה והיתה מסיחה כל אותו מאורע. ואמרתי לה: בתי, בימי נדותך מה הוא אצלך? אמרה לי: חס ושלום, אפילו באצבע קטנה לא נגע בי. - בימי לבוניך מהו אצלך? - אכל עמי, ושתה עמי, וישן עמי בקירוב בשר, ולא עלתה דעתו על דבר אחר. ואמרתי לה: ברוך המקום שהרגו, שלא נשא פנים לתורה, שהרי אמרה ת</w:t>
      </w:r>
      <w:r>
        <w:rPr>
          <w:rFonts w:cs="Arial"/>
          <w:sz w:val="20"/>
          <w:szCs w:val="20"/>
          <w:rtl/>
        </w:rPr>
        <w:t>ורה ואל אשה בנדת טומאתה לא תקרב</w:t>
      </w:r>
      <w:r>
        <w:rPr>
          <w:rFonts w:cs="Arial" w:hint="cs"/>
          <w:sz w:val="20"/>
          <w:szCs w:val="20"/>
          <w:rtl/>
        </w:rPr>
        <w:t>".</w:t>
      </w:r>
      <w:r>
        <w:rPr>
          <w:rFonts w:hint="cs"/>
          <w:b/>
          <w:bCs/>
          <w:sz w:val="20"/>
          <w:szCs w:val="20"/>
          <w:rtl/>
        </w:rPr>
        <w:br/>
      </w:r>
      <w:r>
        <w:rPr>
          <w:rFonts w:hint="cs"/>
          <w:sz w:val="20"/>
          <w:szCs w:val="20"/>
          <w:rtl/>
        </w:rPr>
        <w:t xml:space="preserve">ב. </w:t>
      </w:r>
      <w:r>
        <w:rPr>
          <w:rFonts w:hint="cs"/>
          <w:b/>
          <w:bCs/>
          <w:sz w:val="20"/>
          <w:szCs w:val="20"/>
          <w:rtl/>
        </w:rPr>
        <w:t xml:space="preserve">גמרא </w:t>
      </w:r>
      <w:r>
        <w:rPr>
          <w:rFonts w:hint="cs"/>
          <w:sz w:val="20"/>
          <w:szCs w:val="20"/>
          <w:rtl/>
        </w:rPr>
        <w:t>כתובות (סא.) "</w:t>
      </w:r>
      <w:r w:rsidRPr="009C2FCE">
        <w:rPr>
          <w:rFonts w:cs="Arial"/>
          <w:sz w:val="20"/>
          <w:szCs w:val="20"/>
          <w:rtl/>
        </w:rPr>
        <w:t>שמואל, מחלפא ליה דביתהו בידא דשמאלא</w:t>
      </w:r>
      <w:r>
        <w:rPr>
          <w:rFonts w:cs="Arial" w:hint="cs"/>
          <w:sz w:val="20"/>
          <w:szCs w:val="20"/>
          <w:rtl/>
        </w:rPr>
        <w:t>".</w:t>
      </w:r>
    </w:p>
    <w:p w:rsidR="00620060" w:rsidRDefault="00620060" w:rsidP="00620060">
      <w:pPr>
        <w:rPr>
          <w:sz w:val="20"/>
          <w:szCs w:val="20"/>
          <w:rtl/>
        </w:rPr>
      </w:pPr>
      <w:r w:rsidRPr="0044234C">
        <w:rPr>
          <w:rFonts w:cs="Arial" w:hint="cs"/>
          <w:b/>
          <w:bCs/>
          <w:sz w:val="20"/>
          <w:szCs w:val="20"/>
          <w:rtl/>
        </w:rPr>
        <w:t xml:space="preserve">האם יש חילוק בחיוב הפרישה בין ימי נידות לימי ליבון? </w:t>
      </w:r>
      <w:r w:rsidRPr="0044234C">
        <w:rPr>
          <w:rFonts w:cs="Arial"/>
          <w:b/>
          <w:bCs/>
          <w:sz w:val="20"/>
          <w:szCs w:val="20"/>
          <w:rtl/>
        </w:rPr>
        <w:t>–</w:t>
      </w:r>
      <w:r w:rsidRPr="0044234C">
        <w:rPr>
          <w:rFonts w:cs="Arial" w:hint="cs"/>
          <w:b/>
          <w:bCs/>
          <w:sz w:val="20"/>
          <w:szCs w:val="20"/>
          <w:rtl/>
        </w:rPr>
        <w:t xml:space="preserve"> שיטת הראשונים</w:t>
      </w:r>
      <w:r>
        <w:rPr>
          <w:rFonts w:cs="Arial"/>
          <w:sz w:val="20"/>
          <w:szCs w:val="20"/>
          <w:u w:val="single"/>
          <w:rtl/>
        </w:rPr>
        <w:br/>
      </w:r>
      <w:r>
        <w:rPr>
          <w:rFonts w:cs="Arial" w:hint="cs"/>
          <w:sz w:val="20"/>
          <w:szCs w:val="20"/>
          <w:rtl/>
        </w:rPr>
        <w:t xml:space="preserve">א. </w:t>
      </w:r>
      <w:r w:rsidRPr="009C2FCE">
        <w:rPr>
          <w:rFonts w:cs="Arial" w:hint="cs"/>
          <w:b/>
          <w:bCs/>
          <w:sz w:val="20"/>
          <w:szCs w:val="20"/>
          <w:rtl/>
        </w:rPr>
        <w:t>רש"י</w:t>
      </w:r>
      <w:r>
        <w:rPr>
          <w:rFonts w:cs="Arial" w:hint="cs"/>
          <w:sz w:val="20"/>
          <w:szCs w:val="20"/>
          <w:rtl/>
        </w:rPr>
        <w:t xml:space="preserve"> </w:t>
      </w:r>
      <w:r>
        <w:rPr>
          <w:rFonts w:cs="Arial"/>
          <w:sz w:val="20"/>
          <w:szCs w:val="20"/>
          <w:rtl/>
        </w:rPr>
        <w:t>–</w:t>
      </w:r>
      <w:r>
        <w:rPr>
          <w:rFonts w:cs="Arial" w:hint="cs"/>
          <w:sz w:val="20"/>
          <w:szCs w:val="20"/>
          <w:rtl/>
        </w:rPr>
        <w:t xml:space="preserve"> ימי ליבון </w:t>
      </w:r>
      <w:r w:rsidRPr="009C2FCE">
        <w:rPr>
          <w:rFonts w:cs="Arial" w:hint="cs"/>
          <w:sz w:val="18"/>
          <w:szCs w:val="18"/>
          <w:rtl/>
        </w:rPr>
        <w:t xml:space="preserve">(ז' נקיים) </w:t>
      </w:r>
      <w:r>
        <w:rPr>
          <w:rFonts w:cs="Arial" w:hint="cs"/>
          <w:sz w:val="20"/>
          <w:szCs w:val="20"/>
          <w:rtl/>
        </w:rPr>
        <w:t xml:space="preserve">קלים יותר מימי נידות, ומה שהקלה אשתו של שמואל לתת לו דבר מידו לידה </w:t>
      </w:r>
      <w:r w:rsidRPr="009C2FCE">
        <w:rPr>
          <w:rFonts w:cs="Arial" w:hint="cs"/>
          <w:sz w:val="18"/>
          <w:szCs w:val="18"/>
          <w:rtl/>
        </w:rPr>
        <w:t xml:space="preserve">(ע"י שינוי) </w:t>
      </w:r>
      <w:r>
        <w:rPr>
          <w:rFonts w:cs="Arial" w:hint="cs"/>
          <w:sz w:val="20"/>
          <w:szCs w:val="20"/>
          <w:rtl/>
        </w:rPr>
        <w:t>היה דווקא בימי ליבון שחומרתם פחותה מימי נידות.</w:t>
      </w:r>
      <w:r>
        <w:rPr>
          <w:b/>
          <w:bCs/>
          <w:sz w:val="20"/>
          <w:szCs w:val="20"/>
          <w:rtl/>
        </w:rPr>
        <w:br/>
      </w:r>
      <w:r>
        <w:rPr>
          <w:rFonts w:hint="cs"/>
          <w:sz w:val="20"/>
          <w:szCs w:val="20"/>
          <w:rtl/>
        </w:rPr>
        <w:t>וכן יש להוכיח מסיפור המעשה על התלמיד לעיל, שהרי אליהו שאל את אשתו מה היתה הנהגתם בימי נידות ומה היתה הנהגתם בימי ליבון, משמע שיש חילוק ביניהם.</w:t>
      </w:r>
      <w:r w:rsidRPr="009C2FCE">
        <w:rPr>
          <w:rFonts w:hint="cs"/>
          <w:sz w:val="20"/>
          <w:szCs w:val="20"/>
          <w:rtl/>
        </w:rPr>
        <w:br/>
        <w:t xml:space="preserve">ב. </w:t>
      </w:r>
      <w:r w:rsidRPr="004D5CE2">
        <w:rPr>
          <w:rFonts w:hint="cs"/>
          <w:b/>
          <w:bCs/>
          <w:sz w:val="20"/>
          <w:szCs w:val="20"/>
          <w:rtl/>
        </w:rPr>
        <w:t>רבינו תם</w:t>
      </w:r>
      <w:r>
        <w:rPr>
          <w:rFonts w:hint="cs"/>
          <w:sz w:val="20"/>
          <w:szCs w:val="20"/>
          <w:rtl/>
        </w:rPr>
        <w:t xml:space="preserve"> </w:t>
      </w:r>
      <w:r>
        <w:rPr>
          <w:sz w:val="20"/>
          <w:szCs w:val="20"/>
          <w:rtl/>
        </w:rPr>
        <w:t>–</w:t>
      </w:r>
      <w:r>
        <w:rPr>
          <w:rFonts w:hint="cs"/>
          <w:sz w:val="20"/>
          <w:szCs w:val="20"/>
          <w:rtl/>
        </w:rPr>
        <w:t xml:space="preserve"> בעבר נהגו לטבול שתי טבילות, אחת לאחר ימי הנידות ואחת לאחר ז' נקיים, כלומר שלאחר הטבילה הראשונה מותרת מדאורייתא ואסורה רק מדרבנן ולכן הקל אותו התלמיד בימי ליבונה. אמנם, בזמנינו אין נוהגים לטבול שתי טבילות ולכן אין מקום להקל כלל בימי ליבון טפי מימי נידות.</w:t>
      </w:r>
      <w:r>
        <w:rPr>
          <w:sz w:val="20"/>
          <w:szCs w:val="20"/>
          <w:rtl/>
        </w:rPr>
        <w:br/>
      </w:r>
      <w:r>
        <w:rPr>
          <w:rFonts w:hint="cs"/>
          <w:sz w:val="20"/>
          <w:szCs w:val="20"/>
          <w:rtl/>
        </w:rPr>
        <w:t xml:space="preserve">למעשה, רוב הראשונים סוברים כרבינו תם, שאין חילוק בין ימי נידות לימי ליבון ואסורה בהם במידה שווה, וכ"פ </w:t>
      </w:r>
      <w:r w:rsidRPr="004D5CE2">
        <w:rPr>
          <w:rFonts w:hint="cs"/>
          <w:b/>
          <w:bCs/>
          <w:sz w:val="20"/>
          <w:szCs w:val="20"/>
          <w:rtl/>
        </w:rPr>
        <w:t>המחבר</w:t>
      </w:r>
      <w:r>
        <w:rPr>
          <w:rFonts w:hint="cs"/>
          <w:sz w:val="20"/>
          <w:szCs w:val="20"/>
          <w:rtl/>
        </w:rPr>
        <w:t>.</w:t>
      </w:r>
      <w:r>
        <w:rPr>
          <w:rStyle w:val="a5"/>
          <w:sz w:val="20"/>
          <w:szCs w:val="20"/>
          <w:rtl/>
        </w:rPr>
        <w:footnoteReference w:id="490"/>
      </w:r>
    </w:p>
    <w:p w:rsidR="00620060" w:rsidRDefault="00620060" w:rsidP="00620060">
      <w:pPr>
        <w:rPr>
          <w:rFonts w:cs="Arial"/>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301E9E">
        <w:rPr>
          <w:rFonts w:cs="Arial"/>
          <w:sz w:val="20"/>
          <w:szCs w:val="20"/>
          <w:rtl/>
        </w:rPr>
        <w:t>כל אלו ההרחקות צריך להרחיק בין בימי נ</w:t>
      </w:r>
      <w:r>
        <w:rPr>
          <w:rFonts w:cs="Arial" w:hint="cs"/>
          <w:sz w:val="20"/>
          <w:szCs w:val="20"/>
          <w:rtl/>
        </w:rPr>
        <w:t>י</w:t>
      </w:r>
      <w:r w:rsidRPr="00301E9E">
        <w:rPr>
          <w:rFonts w:cs="Arial"/>
          <w:sz w:val="20"/>
          <w:szCs w:val="20"/>
          <w:rtl/>
        </w:rPr>
        <w:t>דותה בין בימי ליבונה, שהם כל ימי ספירתה, ואין חילוק בכל אלו בין רואה ממש למוצאת כתם</w:t>
      </w:r>
      <w:r>
        <w:rPr>
          <w:rFonts w:cs="Arial" w:hint="cs"/>
          <w:sz w:val="20"/>
          <w:szCs w:val="20"/>
          <w:rtl/>
        </w:rPr>
        <w:t>"</w:t>
      </w:r>
      <w:r w:rsidRPr="00301E9E">
        <w:rPr>
          <w:rFonts w:cs="Arial"/>
          <w:sz w:val="20"/>
          <w:szCs w:val="20"/>
          <w:rtl/>
        </w:rPr>
        <w:t>.</w:t>
      </w:r>
    </w:p>
    <w:p w:rsidR="00620060" w:rsidRDefault="00620060" w:rsidP="00620060">
      <w:pPr>
        <w:rPr>
          <w:b/>
          <w:bCs/>
          <w:sz w:val="20"/>
          <w:szCs w:val="20"/>
          <w:rtl/>
        </w:rPr>
      </w:pPr>
      <w:r>
        <w:rPr>
          <w:rFonts w:cs="Arial" w:hint="cs"/>
          <w:b/>
          <w:bCs/>
          <w:sz w:val="20"/>
          <w:szCs w:val="20"/>
          <w:rtl/>
        </w:rPr>
        <w:t>שיטת ראבי"ה</w:t>
      </w:r>
      <w:r>
        <w:rPr>
          <w:rFonts w:cs="Arial"/>
          <w:b/>
          <w:bCs/>
          <w:sz w:val="20"/>
          <w:szCs w:val="20"/>
          <w:rtl/>
        </w:rPr>
        <w:br/>
      </w:r>
      <w:r w:rsidRPr="00301E9E">
        <w:rPr>
          <w:rFonts w:cs="Arial" w:hint="cs"/>
          <w:b/>
          <w:bCs/>
          <w:sz w:val="20"/>
          <w:szCs w:val="20"/>
          <w:rtl/>
        </w:rPr>
        <w:t>ראבי"ה</w:t>
      </w:r>
      <w:r>
        <w:rPr>
          <w:rFonts w:cs="Arial" w:hint="cs"/>
          <w:sz w:val="20"/>
          <w:szCs w:val="20"/>
          <w:rtl/>
        </w:rPr>
        <w:t xml:space="preserve"> </w:t>
      </w:r>
      <w:r>
        <w:rPr>
          <w:rFonts w:cs="Arial"/>
          <w:sz w:val="20"/>
          <w:szCs w:val="20"/>
          <w:rtl/>
        </w:rPr>
        <w:t>–</w:t>
      </w:r>
      <w:r>
        <w:rPr>
          <w:rFonts w:cs="Arial" w:hint="cs"/>
          <w:sz w:val="20"/>
          <w:szCs w:val="20"/>
          <w:rtl/>
        </w:rPr>
        <w:t xml:space="preserve"> אחר ימי הליבון אין חשש הרגל עבירה, וטוב לאכול עם אשתו כדי שתתרצה לטבול.</w:t>
      </w:r>
      <w:r>
        <w:rPr>
          <w:rFonts w:cs="Arial"/>
          <w:sz w:val="20"/>
          <w:szCs w:val="20"/>
          <w:rtl/>
        </w:rPr>
        <w:br/>
      </w:r>
      <w:r w:rsidRPr="00301E9E">
        <w:rPr>
          <w:rFonts w:cs="Arial" w:hint="cs"/>
          <w:b/>
          <w:bCs/>
          <w:sz w:val="20"/>
          <w:szCs w:val="20"/>
          <w:rtl/>
        </w:rPr>
        <w:t>הדרכי משה</w:t>
      </w:r>
      <w:r>
        <w:rPr>
          <w:rFonts w:cs="Arial" w:hint="cs"/>
          <w:sz w:val="20"/>
          <w:szCs w:val="20"/>
          <w:rtl/>
        </w:rPr>
        <w:t xml:space="preserve"> מביא את </w:t>
      </w:r>
      <w:r w:rsidRPr="00301E9E">
        <w:rPr>
          <w:rFonts w:cs="Arial" w:hint="cs"/>
          <w:b/>
          <w:bCs/>
          <w:sz w:val="20"/>
          <w:szCs w:val="20"/>
          <w:rtl/>
        </w:rPr>
        <w:t xml:space="preserve">ראבי"ה </w:t>
      </w:r>
      <w:r>
        <w:rPr>
          <w:rFonts w:cs="Arial" w:hint="cs"/>
          <w:sz w:val="20"/>
          <w:szCs w:val="20"/>
          <w:rtl/>
        </w:rPr>
        <w:t xml:space="preserve">ומעיר </w:t>
      </w:r>
      <w:r>
        <w:rPr>
          <w:rFonts w:cs="Arial"/>
          <w:sz w:val="20"/>
          <w:szCs w:val="20"/>
          <w:rtl/>
        </w:rPr>
        <w:t>–</w:t>
      </w:r>
      <w:r>
        <w:rPr>
          <w:rFonts w:cs="Arial" w:hint="cs"/>
          <w:sz w:val="20"/>
          <w:szCs w:val="20"/>
          <w:rtl/>
        </w:rPr>
        <w:t xml:space="preserve"> על פי זה יש שהקלו בימי ליבונה, אך אין לסמוך על כך משום שראבי"ה יחיד בשיטה זו.</w:t>
      </w:r>
    </w:p>
    <w:p w:rsidR="00620060" w:rsidRDefault="00620060" w:rsidP="00620060">
      <w:pPr>
        <w:rPr>
          <w:sz w:val="20"/>
          <w:szCs w:val="20"/>
          <w:rtl/>
        </w:rPr>
      </w:pPr>
      <w:r w:rsidRPr="00301E9E">
        <w:rPr>
          <w:rFonts w:hint="cs"/>
          <w:b/>
          <w:bCs/>
          <w:sz w:val="20"/>
          <w:szCs w:val="20"/>
          <w:rtl/>
        </w:rPr>
        <w:t>פסיקת הלכה</w:t>
      </w:r>
      <w:r w:rsidRPr="00301E9E">
        <w:rPr>
          <w:b/>
          <w:bCs/>
          <w:sz w:val="20"/>
          <w:szCs w:val="20"/>
          <w:rtl/>
        </w:rPr>
        <w:br/>
      </w:r>
      <w:r w:rsidRPr="00301E9E">
        <w:rPr>
          <w:rFonts w:hint="cs"/>
          <w:b/>
          <w:bCs/>
          <w:sz w:val="20"/>
          <w:szCs w:val="20"/>
          <w:rtl/>
        </w:rPr>
        <w:t>רמ"א</w:t>
      </w:r>
      <w:r>
        <w:rPr>
          <w:rFonts w:hint="cs"/>
          <w:sz w:val="20"/>
          <w:szCs w:val="20"/>
          <w:rtl/>
        </w:rPr>
        <w:t xml:space="preserve"> </w:t>
      </w:r>
      <w:r w:rsidRPr="00301E9E">
        <w:rPr>
          <w:sz w:val="18"/>
          <w:szCs w:val="18"/>
          <w:rtl/>
        </w:rPr>
        <w:t>–</w:t>
      </w:r>
      <w:r w:rsidRPr="00301E9E">
        <w:rPr>
          <w:rFonts w:hint="cs"/>
          <w:sz w:val="18"/>
          <w:szCs w:val="18"/>
          <w:rtl/>
        </w:rPr>
        <w:t xml:space="preserve"> </w:t>
      </w:r>
      <w:r w:rsidRPr="00301E9E">
        <w:rPr>
          <w:rFonts w:cs="Arial" w:hint="cs"/>
          <w:sz w:val="18"/>
          <w:szCs w:val="18"/>
          <w:rtl/>
        </w:rPr>
        <w:t>"</w:t>
      </w:r>
      <w:r w:rsidRPr="00301E9E">
        <w:rPr>
          <w:rFonts w:cs="Arial"/>
          <w:sz w:val="18"/>
          <w:szCs w:val="18"/>
          <w:rtl/>
        </w:rPr>
        <w:t>וי</w:t>
      </w:r>
      <w:r w:rsidRPr="00301E9E">
        <w:rPr>
          <w:rFonts w:cs="Arial" w:hint="cs"/>
          <w:sz w:val="18"/>
          <w:szCs w:val="18"/>
          <w:rtl/>
        </w:rPr>
        <w:t>ש אומרים</w:t>
      </w:r>
      <w:r w:rsidRPr="00301E9E">
        <w:rPr>
          <w:rFonts w:cs="Arial"/>
          <w:sz w:val="18"/>
          <w:szCs w:val="18"/>
          <w:rtl/>
        </w:rPr>
        <w:t xml:space="preserve"> דאין להחמיר בימי ליבונה בענ</w:t>
      </w:r>
      <w:r>
        <w:rPr>
          <w:rFonts w:cs="Arial" w:hint="cs"/>
          <w:sz w:val="18"/>
          <w:szCs w:val="18"/>
          <w:rtl/>
        </w:rPr>
        <w:t>י</w:t>
      </w:r>
      <w:r>
        <w:rPr>
          <w:rFonts w:cs="Arial"/>
          <w:sz w:val="18"/>
          <w:szCs w:val="18"/>
          <w:rtl/>
        </w:rPr>
        <w:t>ין איסור אכילה עמו בקערה</w:t>
      </w:r>
      <w:r w:rsidRPr="00301E9E">
        <w:rPr>
          <w:rFonts w:cs="Arial"/>
          <w:sz w:val="18"/>
          <w:szCs w:val="18"/>
          <w:rtl/>
        </w:rPr>
        <w:t>, וכן נוהגין להקל בזה, ויש להחמיר</w:t>
      </w:r>
      <w:r w:rsidRPr="00301E9E">
        <w:rPr>
          <w:rFonts w:cs="Arial" w:hint="cs"/>
          <w:sz w:val="18"/>
          <w:szCs w:val="18"/>
          <w:rtl/>
        </w:rPr>
        <w:t>"</w:t>
      </w:r>
      <w:r w:rsidRPr="00301E9E">
        <w:rPr>
          <w:rFonts w:cs="Arial"/>
          <w:sz w:val="18"/>
          <w:szCs w:val="18"/>
          <w:rtl/>
        </w:rPr>
        <w:t xml:space="preserve">. </w:t>
      </w:r>
      <w:r>
        <w:rPr>
          <w:sz w:val="20"/>
          <w:szCs w:val="20"/>
          <w:rtl/>
        </w:rPr>
        <w:br/>
      </w:r>
      <w:r w:rsidRPr="001042FF">
        <w:rPr>
          <w:rFonts w:hint="cs"/>
          <w:b/>
          <w:bCs/>
          <w:sz w:val="20"/>
          <w:szCs w:val="20"/>
          <w:rtl/>
        </w:rPr>
        <w:t>ב"ח</w:t>
      </w:r>
      <w:r>
        <w:rPr>
          <w:rFonts w:hint="cs"/>
          <w:sz w:val="20"/>
          <w:szCs w:val="20"/>
          <w:rtl/>
        </w:rPr>
        <w:t xml:space="preserve"> </w:t>
      </w:r>
      <w:r>
        <w:rPr>
          <w:sz w:val="20"/>
          <w:szCs w:val="20"/>
          <w:rtl/>
        </w:rPr>
        <w:t>–</w:t>
      </w:r>
      <w:r>
        <w:rPr>
          <w:rFonts w:hint="cs"/>
          <w:sz w:val="20"/>
          <w:szCs w:val="20"/>
          <w:rtl/>
        </w:rPr>
        <w:t xml:space="preserve"> גם לפי שיטת ראבי"ה אין למקלים על מה לסמוך, כיוון שהוא התיר רק לאחר ימי הליבון ואילו הם מקלים אף בתוך ימי הליבון. </w:t>
      </w:r>
      <w:r>
        <w:rPr>
          <w:sz w:val="20"/>
          <w:szCs w:val="20"/>
          <w:rtl/>
        </w:rPr>
        <w:br/>
      </w:r>
      <w:r>
        <w:rPr>
          <w:rFonts w:hint="cs"/>
          <w:sz w:val="20"/>
          <w:szCs w:val="20"/>
          <w:rtl/>
        </w:rPr>
        <w:t xml:space="preserve">ומוסיף </w:t>
      </w:r>
      <w:r w:rsidRPr="00863E0F">
        <w:rPr>
          <w:rFonts w:hint="cs"/>
          <w:b/>
          <w:bCs/>
          <w:sz w:val="20"/>
          <w:szCs w:val="20"/>
          <w:rtl/>
        </w:rPr>
        <w:t>הט"ז</w:t>
      </w:r>
      <w:r>
        <w:rPr>
          <w:rFonts w:hint="cs"/>
          <w:sz w:val="20"/>
          <w:szCs w:val="20"/>
          <w:rtl/>
        </w:rPr>
        <w:t xml:space="preserve"> </w:t>
      </w:r>
      <w:r>
        <w:rPr>
          <w:sz w:val="20"/>
          <w:szCs w:val="20"/>
          <w:rtl/>
        </w:rPr>
        <w:t>–</w:t>
      </w:r>
      <w:r>
        <w:rPr>
          <w:rFonts w:hint="cs"/>
          <w:sz w:val="20"/>
          <w:szCs w:val="20"/>
          <w:rtl/>
        </w:rPr>
        <w:t xml:space="preserve"> אין להקל כלל בתוך ימי הליבון, כיוון שרואה שהיא אינה טמאה כל כך עלול להיכשל טפי.</w:t>
      </w:r>
      <w:r>
        <w:rPr>
          <w:sz w:val="20"/>
          <w:szCs w:val="20"/>
          <w:rtl/>
        </w:rPr>
        <w:br/>
      </w:r>
      <w:r>
        <w:rPr>
          <w:rFonts w:hint="cs"/>
          <w:sz w:val="20"/>
          <w:szCs w:val="20"/>
          <w:rtl/>
        </w:rPr>
        <w:t xml:space="preserve">ואמנם, לאחר ימי הליבון גם </w:t>
      </w:r>
      <w:r w:rsidRPr="009229F3">
        <w:rPr>
          <w:rFonts w:hint="cs"/>
          <w:b/>
          <w:bCs/>
          <w:sz w:val="20"/>
          <w:szCs w:val="20"/>
          <w:rtl/>
        </w:rPr>
        <w:t>השל"ה</w:t>
      </w:r>
      <w:r>
        <w:rPr>
          <w:rFonts w:hint="cs"/>
          <w:sz w:val="20"/>
          <w:szCs w:val="20"/>
          <w:rtl/>
        </w:rPr>
        <w:t xml:space="preserve"> כתב להקל, הואיל והיא יכולה לטבול ויבוא עליה בהיתר אין חשש שיבוא עליה באיסור.</w:t>
      </w:r>
    </w:p>
    <w:p w:rsidR="00620060" w:rsidRDefault="00620060" w:rsidP="00620060">
      <w:pPr>
        <w:rPr>
          <w:sz w:val="20"/>
          <w:szCs w:val="20"/>
          <w:rtl/>
        </w:rPr>
      </w:pPr>
      <w:r>
        <w:rPr>
          <w:rFonts w:hint="cs"/>
          <w:b/>
          <w:bCs/>
          <w:sz w:val="20"/>
          <w:szCs w:val="20"/>
          <w:rtl/>
        </w:rPr>
        <w:t xml:space="preserve">כניסת נידה לבית הכנסת ואמירת דברים שבקדושה </w:t>
      </w:r>
      <w:r w:rsidRPr="008F12BA">
        <w:rPr>
          <w:rFonts w:hint="cs"/>
          <w:sz w:val="18"/>
          <w:szCs w:val="18"/>
          <w:rtl/>
        </w:rPr>
        <w:t>(דרכי משה)</w:t>
      </w:r>
      <w:r>
        <w:rPr>
          <w:b/>
          <w:bCs/>
          <w:sz w:val="20"/>
          <w:szCs w:val="20"/>
          <w:rtl/>
        </w:rPr>
        <w:br/>
      </w:r>
      <w:r>
        <w:rPr>
          <w:rFonts w:hint="cs"/>
          <w:sz w:val="20"/>
          <w:szCs w:val="20"/>
          <w:rtl/>
        </w:rPr>
        <w:t xml:space="preserve">א. </w:t>
      </w:r>
      <w:r w:rsidRPr="002D56D3">
        <w:rPr>
          <w:rFonts w:hint="cs"/>
          <w:b/>
          <w:bCs/>
          <w:sz w:val="20"/>
          <w:szCs w:val="20"/>
          <w:rtl/>
        </w:rPr>
        <w:t>ראבי"ה</w:t>
      </w:r>
      <w:r>
        <w:rPr>
          <w:rFonts w:hint="cs"/>
          <w:sz w:val="20"/>
          <w:szCs w:val="20"/>
          <w:rtl/>
        </w:rPr>
        <w:t xml:space="preserve"> </w:t>
      </w:r>
      <w:r>
        <w:rPr>
          <w:sz w:val="20"/>
          <w:szCs w:val="20"/>
          <w:rtl/>
        </w:rPr>
        <w:t>–</w:t>
      </w:r>
      <w:r>
        <w:rPr>
          <w:rFonts w:hint="cs"/>
          <w:sz w:val="20"/>
          <w:szCs w:val="20"/>
          <w:rtl/>
        </w:rPr>
        <w:t xml:space="preserve"> הנשים נהגו טהרה ופרישות שלא להיכנס לבית הכנסת כשהן נידות.</w:t>
      </w:r>
      <w:r>
        <w:rPr>
          <w:sz w:val="20"/>
          <w:szCs w:val="20"/>
          <w:rtl/>
        </w:rPr>
        <w:br/>
      </w:r>
      <w:r>
        <w:rPr>
          <w:rFonts w:hint="cs"/>
          <w:sz w:val="20"/>
          <w:szCs w:val="20"/>
          <w:rtl/>
        </w:rPr>
        <w:t xml:space="preserve">ב. </w:t>
      </w:r>
      <w:r w:rsidRPr="002D56D3">
        <w:rPr>
          <w:rFonts w:hint="cs"/>
          <w:b/>
          <w:bCs/>
          <w:sz w:val="20"/>
          <w:szCs w:val="20"/>
          <w:rtl/>
        </w:rPr>
        <w:t>שערי דורא</w:t>
      </w:r>
      <w:r>
        <w:rPr>
          <w:rFonts w:hint="cs"/>
          <w:sz w:val="20"/>
          <w:szCs w:val="20"/>
          <w:rtl/>
        </w:rPr>
        <w:t xml:space="preserve"> </w:t>
      </w:r>
      <w:r>
        <w:rPr>
          <w:sz w:val="20"/>
          <w:szCs w:val="20"/>
          <w:rtl/>
        </w:rPr>
        <w:t>–</w:t>
      </w:r>
      <w:r>
        <w:rPr>
          <w:rFonts w:hint="cs"/>
          <w:sz w:val="20"/>
          <w:szCs w:val="20"/>
          <w:rtl/>
        </w:rPr>
        <w:t xml:space="preserve"> אין לאשה להזכיר שם ה' בשעה שהיא נידה ואין לה להיכנס לבית הכנסת.</w:t>
      </w:r>
      <w:r>
        <w:rPr>
          <w:sz w:val="20"/>
          <w:szCs w:val="20"/>
          <w:rtl/>
        </w:rPr>
        <w:br/>
      </w:r>
      <w:r>
        <w:rPr>
          <w:rFonts w:hint="cs"/>
          <w:sz w:val="20"/>
          <w:szCs w:val="20"/>
          <w:rtl/>
        </w:rPr>
        <w:t xml:space="preserve">ג. </w:t>
      </w:r>
      <w:r w:rsidRPr="002D56D3">
        <w:rPr>
          <w:rFonts w:hint="cs"/>
          <w:b/>
          <w:bCs/>
          <w:sz w:val="20"/>
          <w:szCs w:val="20"/>
          <w:rtl/>
        </w:rPr>
        <w:t>רש"י</w:t>
      </w:r>
      <w:r>
        <w:rPr>
          <w:rFonts w:hint="cs"/>
          <w:sz w:val="20"/>
          <w:szCs w:val="20"/>
          <w:rtl/>
        </w:rPr>
        <w:t xml:space="preserve"> </w:t>
      </w:r>
      <w:r>
        <w:rPr>
          <w:sz w:val="20"/>
          <w:szCs w:val="20"/>
          <w:rtl/>
        </w:rPr>
        <w:t>–</w:t>
      </w:r>
      <w:r>
        <w:rPr>
          <w:rFonts w:hint="cs"/>
          <w:sz w:val="20"/>
          <w:szCs w:val="20"/>
          <w:rtl/>
        </w:rPr>
        <w:t xml:space="preserve"> מותר לאשה להיכנס לבית הכנסת כשהיא נידה.</w:t>
      </w:r>
      <w:r>
        <w:rPr>
          <w:sz w:val="20"/>
          <w:szCs w:val="20"/>
          <w:rtl/>
        </w:rPr>
        <w:br/>
      </w:r>
      <w:r>
        <w:rPr>
          <w:rFonts w:hint="cs"/>
          <w:sz w:val="20"/>
          <w:szCs w:val="20"/>
          <w:rtl/>
        </w:rPr>
        <w:t xml:space="preserve">ד. </w:t>
      </w:r>
      <w:r w:rsidRPr="002D56D3">
        <w:rPr>
          <w:rFonts w:hint="cs"/>
          <w:b/>
          <w:bCs/>
          <w:sz w:val="20"/>
          <w:szCs w:val="20"/>
          <w:rtl/>
        </w:rPr>
        <w:t>אור זרוע</w:t>
      </w:r>
      <w:r>
        <w:rPr>
          <w:rFonts w:hint="cs"/>
          <w:sz w:val="20"/>
          <w:szCs w:val="20"/>
          <w:rtl/>
        </w:rPr>
        <w:t xml:space="preserve"> </w:t>
      </w:r>
      <w:r>
        <w:rPr>
          <w:sz w:val="20"/>
          <w:szCs w:val="20"/>
          <w:rtl/>
        </w:rPr>
        <w:t>–</w:t>
      </w:r>
      <w:r>
        <w:rPr>
          <w:rFonts w:hint="cs"/>
          <w:sz w:val="20"/>
          <w:szCs w:val="20"/>
          <w:rtl/>
        </w:rPr>
        <w:t xml:space="preserve"> יש נשים שנמנעו מלגעת בספר תורה כשהן נידות.</w:t>
      </w:r>
      <w:r>
        <w:rPr>
          <w:sz w:val="20"/>
          <w:szCs w:val="20"/>
          <w:rtl/>
        </w:rPr>
        <w:br/>
      </w:r>
      <w:r>
        <w:rPr>
          <w:rFonts w:hint="cs"/>
          <w:sz w:val="20"/>
          <w:szCs w:val="20"/>
          <w:rtl/>
        </w:rPr>
        <w:t xml:space="preserve">ה. </w:t>
      </w:r>
      <w:r w:rsidRPr="002D56D3">
        <w:rPr>
          <w:rFonts w:hint="cs"/>
          <w:b/>
          <w:bCs/>
          <w:sz w:val="20"/>
          <w:szCs w:val="20"/>
          <w:rtl/>
        </w:rPr>
        <w:t>תרומת הדשן</w:t>
      </w:r>
      <w:r>
        <w:rPr>
          <w:rFonts w:hint="cs"/>
          <w:sz w:val="20"/>
          <w:szCs w:val="20"/>
          <w:rtl/>
        </w:rPr>
        <w:t xml:space="preserve"> </w:t>
      </w:r>
      <w:r>
        <w:rPr>
          <w:sz w:val="20"/>
          <w:szCs w:val="20"/>
          <w:rtl/>
        </w:rPr>
        <w:t>–</w:t>
      </w:r>
      <w:r>
        <w:rPr>
          <w:rFonts w:hint="cs"/>
          <w:sz w:val="20"/>
          <w:szCs w:val="20"/>
          <w:rtl/>
        </w:rPr>
        <w:t xml:space="preserve"> התיר לנשים להיכנס לבית הכנסת ולהתפלל בימים נוראים, משום שהנשים הצטערו מאוד שלא יוכלו להיכנס ולהתפלל, וסמך על רש"י להתיר.</w:t>
      </w:r>
      <w:r>
        <w:rPr>
          <w:sz w:val="20"/>
          <w:szCs w:val="20"/>
          <w:rtl/>
        </w:rPr>
        <w:br/>
      </w:r>
      <w:r>
        <w:rPr>
          <w:rFonts w:hint="cs"/>
          <w:sz w:val="20"/>
          <w:szCs w:val="20"/>
          <w:rtl/>
        </w:rPr>
        <w:t>ו.</w:t>
      </w:r>
      <w:r w:rsidRPr="002D56D3">
        <w:rPr>
          <w:rFonts w:hint="cs"/>
          <w:b/>
          <w:bCs/>
          <w:sz w:val="20"/>
          <w:szCs w:val="20"/>
          <w:rtl/>
        </w:rPr>
        <w:t xml:space="preserve"> אגור</w:t>
      </w:r>
      <w:r>
        <w:rPr>
          <w:rFonts w:hint="cs"/>
          <w:sz w:val="20"/>
          <w:szCs w:val="20"/>
          <w:rtl/>
        </w:rPr>
        <w:t xml:space="preserve"> </w:t>
      </w:r>
      <w:r>
        <w:rPr>
          <w:sz w:val="20"/>
          <w:szCs w:val="20"/>
          <w:rtl/>
        </w:rPr>
        <w:t>–</w:t>
      </w:r>
      <w:r>
        <w:rPr>
          <w:rFonts w:hint="cs"/>
          <w:sz w:val="20"/>
          <w:szCs w:val="20"/>
          <w:rtl/>
        </w:rPr>
        <w:t xml:space="preserve"> נהגו הנשים להיכנס לבית הכנסת ולהתפלל כרגיל, אך אינן מסתכלות בספר תורה בשעת ההגבהה.</w:t>
      </w:r>
    </w:p>
    <w:p w:rsidR="00620060" w:rsidRDefault="00620060" w:rsidP="00620060">
      <w:pPr>
        <w:rPr>
          <w:sz w:val="20"/>
          <w:szCs w:val="20"/>
          <w:rtl/>
        </w:rPr>
      </w:pPr>
      <w:r w:rsidRPr="00394654">
        <w:rPr>
          <w:rFonts w:hint="cs"/>
          <w:b/>
          <w:bCs/>
          <w:sz w:val="20"/>
          <w:szCs w:val="20"/>
          <w:rtl/>
        </w:rPr>
        <w:lastRenderedPageBreak/>
        <w:t>פסיקת הלכה</w:t>
      </w:r>
      <w:r>
        <w:rPr>
          <w:b/>
          <w:bCs/>
          <w:sz w:val="20"/>
          <w:szCs w:val="20"/>
          <w:rtl/>
        </w:rPr>
        <w:br/>
      </w:r>
      <w:r>
        <w:rPr>
          <w:rFonts w:hint="cs"/>
          <w:sz w:val="20"/>
          <w:szCs w:val="20"/>
          <w:rtl/>
        </w:rPr>
        <w:t xml:space="preserve">א. </w:t>
      </w:r>
      <w:r w:rsidRPr="00A90D26">
        <w:rPr>
          <w:rFonts w:hint="cs"/>
          <w:b/>
          <w:bCs/>
          <w:sz w:val="20"/>
          <w:szCs w:val="20"/>
          <w:rtl/>
        </w:rPr>
        <w:t>רמ"א</w:t>
      </w:r>
      <w:r>
        <w:rPr>
          <w:rFonts w:hint="cs"/>
          <w:sz w:val="20"/>
          <w:szCs w:val="20"/>
          <w:rtl/>
        </w:rPr>
        <w:t xml:space="preserve"> </w:t>
      </w:r>
      <w:r w:rsidRPr="00A90D26">
        <w:rPr>
          <w:rFonts w:hint="cs"/>
          <w:sz w:val="18"/>
          <w:szCs w:val="18"/>
          <w:rtl/>
        </w:rPr>
        <w:t xml:space="preserve">(אוח, פח') </w:t>
      </w:r>
      <w:r>
        <w:rPr>
          <w:sz w:val="20"/>
          <w:szCs w:val="20"/>
          <w:rtl/>
        </w:rPr>
        <w:t>–</w:t>
      </w:r>
      <w:r>
        <w:rPr>
          <w:rFonts w:hint="cs"/>
          <w:sz w:val="20"/>
          <w:szCs w:val="20"/>
          <w:rtl/>
        </w:rPr>
        <w:t xml:space="preserve"> </w:t>
      </w:r>
      <w:r w:rsidRPr="00394654">
        <w:rPr>
          <w:rFonts w:hint="cs"/>
          <w:sz w:val="18"/>
          <w:szCs w:val="18"/>
          <w:rtl/>
        </w:rPr>
        <w:t>"</w:t>
      </w:r>
      <w:r w:rsidRPr="00394654">
        <w:rPr>
          <w:rFonts w:cs="Arial"/>
          <w:sz w:val="18"/>
          <w:szCs w:val="18"/>
          <w:rtl/>
        </w:rPr>
        <w:t>יש שכתבו שאין לאשה נדה בימי ראייתה ל</w:t>
      </w:r>
      <w:r w:rsidRPr="00394654">
        <w:rPr>
          <w:rFonts w:cs="Arial" w:hint="cs"/>
          <w:sz w:val="18"/>
          <w:szCs w:val="18"/>
          <w:rtl/>
        </w:rPr>
        <w:t>ה</w:t>
      </w:r>
      <w:r w:rsidRPr="00394654">
        <w:rPr>
          <w:rFonts w:cs="Arial"/>
          <w:sz w:val="18"/>
          <w:szCs w:val="18"/>
          <w:rtl/>
        </w:rPr>
        <w:t xml:space="preserve">יכנס לבית הכנסת או להתפלל או להזכיר השם או ליגע בספר, </w:t>
      </w:r>
      <w:r w:rsidRPr="00394654">
        <w:rPr>
          <w:rFonts w:cs="Arial" w:hint="cs"/>
          <w:sz w:val="18"/>
          <w:szCs w:val="18"/>
          <w:rtl/>
        </w:rPr>
        <w:t xml:space="preserve">ויש </w:t>
      </w:r>
      <w:r w:rsidRPr="00394654">
        <w:rPr>
          <w:rFonts w:cs="Arial"/>
          <w:sz w:val="18"/>
          <w:szCs w:val="18"/>
          <w:rtl/>
        </w:rPr>
        <w:t>א</w:t>
      </w:r>
      <w:r w:rsidRPr="00394654">
        <w:rPr>
          <w:rFonts w:cs="Arial" w:hint="cs"/>
          <w:sz w:val="18"/>
          <w:szCs w:val="18"/>
          <w:rtl/>
        </w:rPr>
        <w:t>ומרים</w:t>
      </w:r>
      <w:r w:rsidRPr="00394654">
        <w:rPr>
          <w:rFonts w:cs="Arial"/>
          <w:sz w:val="18"/>
          <w:szCs w:val="18"/>
          <w:rtl/>
        </w:rPr>
        <w:t xml:space="preserve"> שמותרת בכל, וכן עיקר, אבל המנהג במדינות אלו כסברא ראשונה. ובימי ל</w:t>
      </w:r>
      <w:r w:rsidRPr="00394654">
        <w:rPr>
          <w:rFonts w:cs="Arial" w:hint="cs"/>
          <w:sz w:val="18"/>
          <w:szCs w:val="18"/>
          <w:rtl/>
        </w:rPr>
        <w:t>י</w:t>
      </w:r>
      <w:r w:rsidRPr="00394654">
        <w:rPr>
          <w:rFonts w:cs="Arial"/>
          <w:sz w:val="18"/>
          <w:szCs w:val="18"/>
          <w:rtl/>
        </w:rPr>
        <w:t>בון נהגו היתר. ואפילו במקום שנהגו להחמיר, בימים נוראים וכ</w:t>
      </w:r>
      <w:r>
        <w:rPr>
          <w:rFonts w:cs="Arial" w:hint="cs"/>
          <w:sz w:val="18"/>
          <w:szCs w:val="18"/>
          <w:rtl/>
        </w:rPr>
        <w:t>האי גוונא</w:t>
      </w:r>
      <w:r w:rsidRPr="00394654">
        <w:rPr>
          <w:rFonts w:cs="Arial"/>
          <w:sz w:val="18"/>
          <w:szCs w:val="18"/>
          <w:rtl/>
        </w:rPr>
        <w:t>, שרבים מתאספים לילך לבית הכנסת, מותרין  לילך לבהכ"נ כשאר נשים, כי הוא להן עצבון גדול שהכל מתאספים והן יעמדו חוץ</w:t>
      </w:r>
      <w:r>
        <w:rPr>
          <w:rFonts w:hint="cs"/>
          <w:sz w:val="18"/>
          <w:szCs w:val="18"/>
          <w:rtl/>
        </w:rPr>
        <w:t>".</w:t>
      </w:r>
      <w:r>
        <w:rPr>
          <w:sz w:val="18"/>
          <w:szCs w:val="18"/>
          <w:rtl/>
        </w:rPr>
        <w:br/>
      </w:r>
      <w:r>
        <w:rPr>
          <w:rFonts w:hint="cs"/>
          <w:sz w:val="20"/>
          <w:szCs w:val="20"/>
          <w:rtl/>
        </w:rPr>
        <w:t xml:space="preserve">ב. </w:t>
      </w:r>
      <w:r w:rsidRPr="00A90D26">
        <w:rPr>
          <w:rFonts w:hint="cs"/>
          <w:b/>
          <w:bCs/>
          <w:sz w:val="20"/>
          <w:szCs w:val="20"/>
          <w:rtl/>
        </w:rPr>
        <w:t>מגן אברהם ופרי חדש</w:t>
      </w:r>
      <w:r w:rsidRPr="00225C5E">
        <w:rPr>
          <w:rFonts w:hint="cs"/>
          <w:sz w:val="20"/>
          <w:szCs w:val="20"/>
          <w:rtl/>
        </w:rPr>
        <w:t xml:space="preserve"> </w:t>
      </w:r>
      <w:r w:rsidRPr="00A90D26">
        <w:rPr>
          <w:rFonts w:hint="cs"/>
          <w:sz w:val="18"/>
          <w:szCs w:val="18"/>
          <w:rtl/>
        </w:rPr>
        <w:t xml:space="preserve">(ע"פ טה"ב עמ' ריג) </w:t>
      </w:r>
      <w:r>
        <w:rPr>
          <w:sz w:val="20"/>
          <w:szCs w:val="20"/>
          <w:rtl/>
        </w:rPr>
        <w:t>–</w:t>
      </w:r>
      <w:r w:rsidRPr="00225C5E">
        <w:rPr>
          <w:rFonts w:hint="cs"/>
          <w:sz w:val="20"/>
          <w:szCs w:val="20"/>
          <w:rtl/>
        </w:rPr>
        <w:t xml:space="preserve"> </w:t>
      </w:r>
      <w:r>
        <w:rPr>
          <w:rFonts w:hint="cs"/>
          <w:sz w:val="20"/>
          <w:szCs w:val="20"/>
          <w:rtl/>
        </w:rPr>
        <w:t>יש אומרים שאשה חייבת בברכת המזון מדאורייתא, וכיצד ייתכן לפטור את האשה מכך על סמך מנהג? וכן הדין לגבי קידוש ושאר הברכות.</w:t>
      </w:r>
      <w:r>
        <w:rPr>
          <w:sz w:val="20"/>
          <w:szCs w:val="20"/>
          <w:rtl/>
        </w:rPr>
        <w:br/>
      </w:r>
      <w:r>
        <w:rPr>
          <w:rFonts w:hint="cs"/>
          <w:sz w:val="20"/>
          <w:szCs w:val="20"/>
          <w:rtl/>
        </w:rPr>
        <w:t>ולכן, לדינא אין לנהוג כך, אלא תברך בימי נידותה כהרגלה בשעה שהיא טהורה.</w:t>
      </w:r>
      <w:r>
        <w:rPr>
          <w:sz w:val="20"/>
          <w:szCs w:val="20"/>
          <w:rtl/>
        </w:rPr>
        <w:br/>
      </w:r>
      <w:r>
        <w:rPr>
          <w:rFonts w:hint="cs"/>
          <w:sz w:val="20"/>
          <w:szCs w:val="20"/>
          <w:rtl/>
        </w:rPr>
        <w:t xml:space="preserve">וכן פסק </w:t>
      </w:r>
      <w:r w:rsidRPr="00155081">
        <w:rPr>
          <w:rFonts w:hint="cs"/>
          <w:b/>
          <w:bCs/>
          <w:sz w:val="20"/>
          <w:szCs w:val="20"/>
          <w:rtl/>
        </w:rPr>
        <w:t>הבית יוסף</w:t>
      </w:r>
      <w:r>
        <w:rPr>
          <w:rFonts w:hint="cs"/>
          <w:sz w:val="20"/>
          <w:szCs w:val="20"/>
          <w:rtl/>
        </w:rPr>
        <w:t xml:space="preserve"> </w:t>
      </w:r>
      <w:r w:rsidRPr="00155081">
        <w:rPr>
          <w:rFonts w:hint="cs"/>
          <w:sz w:val="18"/>
          <w:szCs w:val="18"/>
          <w:rtl/>
        </w:rPr>
        <w:t xml:space="preserve">(אוח, פח') </w:t>
      </w:r>
      <w:r>
        <w:rPr>
          <w:rFonts w:hint="cs"/>
          <w:sz w:val="20"/>
          <w:szCs w:val="20"/>
          <w:rtl/>
        </w:rPr>
        <w:t xml:space="preserve">שהנשים שלנו לא נהגו להחמיר בכך, ומותרות להיכנס לבית הכנסת אף כשהן נידות, וכן פסק </w:t>
      </w:r>
      <w:r w:rsidRPr="00155081">
        <w:rPr>
          <w:rFonts w:hint="cs"/>
          <w:b/>
          <w:bCs/>
          <w:sz w:val="20"/>
          <w:szCs w:val="20"/>
          <w:rtl/>
        </w:rPr>
        <w:t>בטה"ב</w:t>
      </w:r>
      <w:r>
        <w:rPr>
          <w:rFonts w:hint="cs"/>
          <w:sz w:val="20"/>
          <w:szCs w:val="20"/>
          <w:rtl/>
        </w:rPr>
        <w:t xml:space="preserve"> שרשאיות לגעת בספר קדוש ואין להחמיר כלל.</w:t>
      </w:r>
      <w:r>
        <w:rPr>
          <w:sz w:val="20"/>
          <w:szCs w:val="20"/>
          <w:rtl/>
        </w:rPr>
        <w:br/>
      </w:r>
      <w:r>
        <w:rPr>
          <w:rFonts w:hint="cs"/>
          <w:sz w:val="20"/>
          <w:szCs w:val="20"/>
          <w:rtl/>
        </w:rPr>
        <w:t xml:space="preserve">וכעין זה פסק </w:t>
      </w:r>
      <w:r w:rsidRPr="00FB5F2F">
        <w:rPr>
          <w:rFonts w:hint="cs"/>
          <w:b/>
          <w:bCs/>
          <w:sz w:val="20"/>
          <w:szCs w:val="20"/>
          <w:rtl/>
        </w:rPr>
        <w:t>המשנה ברורה</w:t>
      </w:r>
      <w:r>
        <w:rPr>
          <w:rFonts w:hint="cs"/>
          <w:sz w:val="20"/>
          <w:szCs w:val="20"/>
          <w:rtl/>
        </w:rPr>
        <w:t xml:space="preserve"> </w:t>
      </w:r>
      <w:r>
        <w:rPr>
          <w:sz w:val="20"/>
          <w:szCs w:val="20"/>
          <w:rtl/>
        </w:rPr>
        <w:t>–</w:t>
      </w:r>
      <w:r>
        <w:rPr>
          <w:rFonts w:hint="cs"/>
          <w:sz w:val="20"/>
          <w:szCs w:val="20"/>
          <w:rtl/>
        </w:rPr>
        <w:t xml:space="preserve"> </w:t>
      </w:r>
      <w:r>
        <w:rPr>
          <w:rFonts w:cs="Arial" w:hint="cs"/>
          <w:sz w:val="20"/>
          <w:szCs w:val="20"/>
          <w:rtl/>
        </w:rPr>
        <w:t>"</w:t>
      </w:r>
      <w:r w:rsidRPr="00FB5F2F">
        <w:rPr>
          <w:rFonts w:cs="Arial"/>
          <w:sz w:val="20"/>
          <w:szCs w:val="20"/>
          <w:rtl/>
        </w:rPr>
        <w:t>ובמדינותינו נוהגין היתר לעולם ומברכות ומתפללות ומ</w:t>
      </w:r>
      <w:r>
        <w:rPr>
          <w:rFonts w:cs="Arial" w:hint="cs"/>
          <w:sz w:val="20"/>
          <w:szCs w:val="20"/>
          <w:rtl/>
        </w:rPr>
        <w:t xml:space="preserve">כל </w:t>
      </w:r>
      <w:r w:rsidRPr="00FB5F2F">
        <w:rPr>
          <w:rFonts w:cs="Arial"/>
          <w:sz w:val="20"/>
          <w:szCs w:val="20"/>
          <w:rtl/>
        </w:rPr>
        <w:t>מ</w:t>
      </w:r>
      <w:r>
        <w:rPr>
          <w:rFonts w:cs="Arial" w:hint="cs"/>
          <w:sz w:val="20"/>
          <w:szCs w:val="20"/>
          <w:rtl/>
        </w:rPr>
        <w:t>קום</w:t>
      </w:r>
      <w:r w:rsidRPr="00FB5F2F">
        <w:rPr>
          <w:rFonts w:cs="Arial"/>
          <w:sz w:val="20"/>
          <w:szCs w:val="20"/>
          <w:rtl/>
        </w:rPr>
        <w:t xml:space="preserve"> לא יסתכלו בס</w:t>
      </w:r>
      <w:r>
        <w:rPr>
          <w:rFonts w:cs="Arial" w:hint="cs"/>
          <w:sz w:val="20"/>
          <w:szCs w:val="20"/>
          <w:rtl/>
        </w:rPr>
        <w:t xml:space="preserve">פר </w:t>
      </w:r>
      <w:r w:rsidRPr="00FB5F2F">
        <w:rPr>
          <w:rFonts w:cs="Arial"/>
          <w:sz w:val="20"/>
          <w:szCs w:val="20"/>
          <w:rtl/>
        </w:rPr>
        <w:t>ת</w:t>
      </w:r>
      <w:r>
        <w:rPr>
          <w:rFonts w:cs="Arial" w:hint="cs"/>
          <w:sz w:val="20"/>
          <w:szCs w:val="20"/>
          <w:rtl/>
        </w:rPr>
        <w:t>ורה</w:t>
      </w:r>
      <w:r w:rsidRPr="00FB5F2F">
        <w:rPr>
          <w:rFonts w:cs="Arial"/>
          <w:sz w:val="20"/>
          <w:szCs w:val="20"/>
          <w:rtl/>
        </w:rPr>
        <w:t xml:space="preserve"> בשעה שמגביהים אותה להראות לעם</w:t>
      </w:r>
      <w:r>
        <w:rPr>
          <w:rFonts w:cs="Arial" w:hint="cs"/>
          <w:sz w:val="20"/>
          <w:szCs w:val="20"/>
          <w:rtl/>
        </w:rPr>
        <w:t>".</w:t>
      </w:r>
    </w:p>
    <w:p w:rsidR="00620060" w:rsidRDefault="00620060" w:rsidP="00620060">
      <w:pPr>
        <w:rPr>
          <w:sz w:val="20"/>
          <w:szCs w:val="20"/>
          <w:rtl/>
        </w:rPr>
      </w:pPr>
      <w:r>
        <w:rPr>
          <w:rFonts w:hint="cs"/>
          <w:b/>
          <w:bCs/>
          <w:sz w:val="20"/>
          <w:szCs w:val="20"/>
          <w:rtl/>
        </w:rPr>
        <w:t>סיכום</w:t>
      </w:r>
      <w:r w:rsidRPr="00225C5E">
        <w:rPr>
          <w:b/>
          <w:bCs/>
          <w:rtl/>
        </w:rPr>
        <w:br/>
      </w:r>
      <w:r>
        <w:rPr>
          <w:rFonts w:hint="cs"/>
          <w:sz w:val="20"/>
          <w:szCs w:val="20"/>
          <w:rtl/>
        </w:rPr>
        <w:t xml:space="preserve">1. </w:t>
      </w:r>
      <w:r w:rsidRPr="00CA462C">
        <w:rPr>
          <w:rFonts w:hint="cs"/>
          <w:b/>
          <w:bCs/>
          <w:sz w:val="20"/>
          <w:szCs w:val="20"/>
          <w:rtl/>
        </w:rPr>
        <w:t>רש"י</w:t>
      </w:r>
      <w:r>
        <w:rPr>
          <w:rFonts w:hint="cs"/>
          <w:sz w:val="20"/>
          <w:szCs w:val="20"/>
          <w:rtl/>
        </w:rPr>
        <w:t xml:space="preserve">. ימי ליבון קלים מימי הנידות. </w:t>
      </w:r>
      <w:r w:rsidRPr="00CA462C">
        <w:rPr>
          <w:rFonts w:hint="cs"/>
          <w:b/>
          <w:bCs/>
          <w:sz w:val="20"/>
          <w:szCs w:val="20"/>
          <w:rtl/>
        </w:rPr>
        <w:t>ר"ת</w:t>
      </w:r>
      <w:r>
        <w:rPr>
          <w:rFonts w:hint="cs"/>
          <w:sz w:val="20"/>
          <w:szCs w:val="20"/>
          <w:rtl/>
        </w:rPr>
        <w:t xml:space="preserve">. רק בעבר שנהגו לטבול לאחר ימי הנידות, בזמנינו אין חילוק, וכן דעת רוב הראשונים, וכ"פ </w:t>
      </w:r>
      <w:r w:rsidRPr="00CA462C">
        <w:rPr>
          <w:rFonts w:hint="cs"/>
          <w:b/>
          <w:bCs/>
          <w:sz w:val="20"/>
          <w:szCs w:val="20"/>
          <w:rtl/>
        </w:rPr>
        <w:t>המחבר</w:t>
      </w:r>
      <w:r>
        <w:rPr>
          <w:rFonts w:hint="cs"/>
          <w:sz w:val="20"/>
          <w:szCs w:val="20"/>
          <w:rtl/>
        </w:rPr>
        <w:t>.</w:t>
      </w:r>
      <w:r>
        <w:rPr>
          <w:rFonts w:hint="cs"/>
          <w:sz w:val="20"/>
          <w:szCs w:val="20"/>
          <w:rtl/>
        </w:rPr>
        <w:br/>
        <w:t xml:space="preserve">2. </w:t>
      </w:r>
      <w:r w:rsidRPr="008D07A0">
        <w:rPr>
          <w:rFonts w:hint="cs"/>
          <w:b/>
          <w:bCs/>
          <w:sz w:val="20"/>
          <w:szCs w:val="20"/>
          <w:rtl/>
        </w:rPr>
        <w:t>ראבי"ה</w:t>
      </w:r>
      <w:r>
        <w:rPr>
          <w:rFonts w:hint="cs"/>
          <w:sz w:val="20"/>
          <w:szCs w:val="20"/>
          <w:rtl/>
        </w:rPr>
        <w:t>. לאחר ימי הליבון אין חשש עבירה, וטוב לאכול עם אשתו לפייסה שתטבול.</w:t>
      </w:r>
      <w:r>
        <w:rPr>
          <w:rFonts w:hint="cs"/>
          <w:sz w:val="20"/>
          <w:szCs w:val="20"/>
          <w:rtl/>
        </w:rPr>
        <w:br/>
        <w:t xml:space="preserve">3. </w:t>
      </w:r>
      <w:r w:rsidRPr="008D07A0">
        <w:rPr>
          <w:rFonts w:hint="cs"/>
          <w:b/>
          <w:bCs/>
          <w:sz w:val="20"/>
          <w:szCs w:val="20"/>
          <w:rtl/>
        </w:rPr>
        <w:t>רמ"א</w:t>
      </w:r>
      <w:r>
        <w:rPr>
          <w:rFonts w:hint="cs"/>
          <w:sz w:val="20"/>
          <w:szCs w:val="20"/>
          <w:rtl/>
        </w:rPr>
        <w:t xml:space="preserve">. יש מקלים ע"פ </w:t>
      </w:r>
      <w:r w:rsidRPr="008D07A0">
        <w:rPr>
          <w:rFonts w:hint="cs"/>
          <w:b/>
          <w:bCs/>
          <w:sz w:val="20"/>
          <w:szCs w:val="20"/>
          <w:rtl/>
        </w:rPr>
        <w:t>ראבי"ה</w:t>
      </w:r>
      <w:r>
        <w:rPr>
          <w:rFonts w:hint="cs"/>
          <w:sz w:val="20"/>
          <w:szCs w:val="20"/>
          <w:rtl/>
        </w:rPr>
        <w:t xml:space="preserve"> בימי ליבון לאכול עמה על השולחן. </w:t>
      </w:r>
      <w:r w:rsidRPr="0044234C">
        <w:rPr>
          <w:rFonts w:hint="cs"/>
          <w:b/>
          <w:bCs/>
          <w:sz w:val="20"/>
          <w:szCs w:val="20"/>
          <w:rtl/>
        </w:rPr>
        <w:t>ב"ח</w:t>
      </w:r>
      <w:r>
        <w:rPr>
          <w:rFonts w:hint="cs"/>
          <w:sz w:val="20"/>
          <w:szCs w:val="20"/>
          <w:rtl/>
        </w:rPr>
        <w:t xml:space="preserve">. אין למקלים על מה לסמוך, </w:t>
      </w:r>
      <w:r w:rsidRPr="008D07A0">
        <w:rPr>
          <w:rFonts w:hint="cs"/>
          <w:b/>
          <w:bCs/>
          <w:sz w:val="20"/>
          <w:szCs w:val="20"/>
          <w:rtl/>
        </w:rPr>
        <w:t>ראבי"ה</w:t>
      </w:r>
      <w:r>
        <w:rPr>
          <w:rFonts w:hint="cs"/>
          <w:sz w:val="20"/>
          <w:szCs w:val="20"/>
          <w:rtl/>
        </w:rPr>
        <w:t xml:space="preserve"> התיר רק בסוף ימי ליבונה. אך לאחר ימי ליבונה גם </w:t>
      </w:r>
      <w:r w:rsidRPr="008D07A0">
        <w:rPr>
          <w:rFonts w:hint="cs"/>
          <w:b/>
          <w:bCs/>
          <w:sz w:val="20"/>
          <w:szCs w:val="20"/>
          <w:rtl/>
        </w:rPr>
        <w:t>השל"ה</w:t>
      </w:r>
      <w:r>
        <w:rPr>
          <w:rFonts w:hint="cs"/>
          <w:sz w:val="20"/>
          <w:szCs w:val="20"/>
          <w:rtl/>
        </w:rPr>
        <w:t xml:space="preserve"> כתב להקל כראבי"ה.</w:t>
      </w:r>
      <w:r>
        <w:rPr>
          <w:sz w:val="20"/>
          <w:szCs w:val="20"/>
          <w:rtl/>
        </w:rPr>
        <w:br/>
      </w:r>
      <w:r>
        <w:rPr>
          <w:rFonts w:hint="cs"/>
          <w:sz w:val="20"/>
          <w:szCs w:val="20"/>
          <w:rtl/>
        </w:rPr>
        <w:t xml:space="preserve">4. </w:t>
      </w:r>
      <w:r w:rsidRPr="008D07A0">
        <w:rPr>
          <w:rFonts w:hint="cs"/>
          <w:b/>
          <w:bCs/>
          <w:sz w:val="20"/>
          <w:szCs w:val="20"/>
          <w:rtl/>
        </w:rPr>
        <w:t>ראבי"ה</w:t>
      </w:r>
      <w:r>
        <w:rPr>
          <w:rFonts w:hint="cs"/>
          <w:sz w:val="20"/>
          <w:szCs w:val="20"/>
          <w:rtl/>
        </w:rPr>
        <w:t xml:space="preserve">. נהגו הנשים לא להיכנס לבית הכנסת בימי נידות. </w:t>
      </w:r>
      <w:r w:rsidRPr="008D07A0">
        <w:rPr>
          <w:rFonts w:hint="cs"/>
          <w:b/>
          <w:bCs/>
          <w:sz w:val="20"/>
          <w:szCs w:val="20"/>
          <w:rtl/>
        </w:rPr>
        <w:t>שערי דורא</w:t>
      </w:r>
      <w:r>
        <w:rPr>
          <w:rFonts w:hint="cs"/>
          <w:sz w:val="20"/>
          <w:szCs w:val="20"/>
          <w:rtl/>
        </w:rPr>
        <w:t xml:space="preserve">. אין להזכיר שם ה' ולהיכנס לבית הכנסת. </w:t>
      </w:r>
      <w:r w:rsidRPr="008D07A0">
        <w:rPr>
          <w:rFonts w:hint="cs"/>
          <w:b/>
          <w:bCs/>
          <w:sz w:val="20"/>
          <w:szCs w:val="20"/>
          <w:rtl/>
        </w:rPr>
        <w:t>רש"י</w:t>
      </w:r>
      <w:r>
        <w:rPr>
          <w:rFonts w:hint="cs"/>
          <w:sz w:val="20"/>
          <w:szCs w:val="20"/>
          <w:rtl/>
        </w:rPr>
        <w:t xml:space="preserve">. מותר להיכנס לבית הכנסת. </w:t>
      </w:r>
      <w:r w:rsidRPr="008D07A0">
        <w:rPr>
          <w:rFonts w:hint="cs"/>
          <w:b/>
          <w:bCs/>
          <w:sz w:val="20"/>
          <w:szCs w:val="20"/>
          <w:rtl/>
        </w:rPr>
        <w:t>או"ז</w:t>
      </w:r>
      <w:r>
        <w:rPr>
          <w:rFonts w:hint="cs"/>
          <w:sz w:val="20"/>
          <w:szCs w:val="20"/>
          <w:rtl/>
        </w:rPr>
        <w:t xml:space="preserve">. יש נשים שנמנעו מלגעת בספר תורה. </w:t>
      </w:r>
      <w:r w:rsidRPr="008D07A0">
        <w:rPr>
          <w:rFonts w:hint="cs"/>
          <w:b/>
          <w:bCs/>
          <w:sz w:val="20"/>
          <w:szCs w:val="20"/>
          <w:rtl/>
        </w:rPr>
        <w:t>ת"ה</w:t>
      </w:r>
      <w:r>
        <w:rPr>
          <w:rFonts w:hint="cs"/>
          <w:sz w:val="20"/>
          <w:szCs w:val="20"/>
          <w:rtl/>
        </w:rPr>
        <w:t xml:space="preserve">. התיר לנשים בימים נוראים להתפלל בבית הכנסת, וסמך על רש"י. </w:t>
      </w:r>
      <w:r w:rsidRPr="008D07A0">
        <w:rPr>
          <w:rFonts w:hint="cs"/>
          <w:b/>
          <w:bCs/>
          <w:sz w:val="20"/>
          <w:szCs w:val="20"/>
          <w:rtl/>
        </w:rPr>
        <w:t>אגור</w:t>
      </w:r>
      <w:r>
        <w:rPr>
          <w:rFonts w:hint="cs"/>
          <w:sz w:val="20"/>
          <w:szCs w:val="20"/>
          <w:rtl/>
        </w:rPr>
        <w:t>. נהגו להתפלל כרגיל, רק לא להסתכל בס"ת.</w:t>
      </w:r>
      <w:r>
        <w:rPr>
          <w:sz w:val="20"/>
          <w:szCs w:val="20"/>
          <w:rtl/>
        </w:rPr>
        <w:br/>
      </w:r>
      <w:r>
        <w:rPr>
          <w:rFonts w:hint="cs"/>
          <w:sz w:val="20"/>
          <w:szCs w:val="20"/>
          <w:rtl/>
        </w:rPr>
        <w:t xml:space="preserve">5. </w:t>
      </w:r>
      <w:r w:rsidRPr="008D07A0">
        <w:rPr>
          <w:rFonts w:hint="cs"/>
          <w:b/>
          <w:bCs/>
          <w:sz w:val="20"/>
          <w:szCs w:val="20"/>
          <w:rtl/>
        </w:rPr>
        <w:t>רמ"א</w:t>
      </w:r>
      <w:r>
        <w:rPr>
          <w:rFonts w:hint="cs"/>
          <w:sz w:val="20"/>
          <w:szCs w:val="20"/>
          <w:rtl/>
        </w:rPr>
        <w:t xml:space="preserve">. העיקר לדינא שמותרת בכל, אך המנהג להחמיר שלא תיכנס לבית הכנסת ולא תזכיר שם ה'. </w:t>
      </w:r>
      <w:r w:rsidRPr="008D07A0">
        <w:rPr>
          <w:rFonts w:hint="cs"/>
          <w:b/>
          <w:bCs/>
          <w:sz w:val="20"/>
          <w:szCs w:val="20"/>
          <w:rtl/>
        </w:rPr>
        <w:t>מג"א</w:t>
      </w:r>
      <w:r>
        <w:rPr>
          <w:rFonts w:hint="cs"/>
          <w:sz w:val="20"/>
          <w:szCs w:val="20"/>
          <w:rtl/>
        </w:rPr>
        <w:t xml:space="preserve"> </w:t>
      </w:r>
      <w:r w:rsidRPr="008D07A0">
        <w:rPr>
          <w:rFonts w:hint="cs"/>
          <w:b/>
          <w:bCs/>
          <w:sz w:val="20"/>
          <w:szCs w:val="20"/>
          <w:rtl/>
        </w:rPr>
        <w:t>ופר"ח</w:t>
      </w:r>
      <w:r>
        <w:rPr>
          <w:rFonts w:hint="cs"/>
          <w:sz w:val="20"/>
          <w:szCs w:val="20"/>
          <w:rtl/>
        </w:rPr>
        <w:t xml:space="preserve">. לא ייתכן לפטור אשה מכל חיוביה, כגון בהמ"ז, קידוש וברכות, והמנהג אינו כלום, וכ"פ </w:t>
      </w:r>
      <w:r w:rsidRPr="008D07A0">
        <w:rPr>
          <w:rFonts w:hint="cs"/>
          <w:b/>
          <w:bCs/>
          <w:sz w:val="20"/>
          <w:szCs w:val="20"/>
          <w:rtl/>
        </w:rPr>
        <w:t>ב"י וטה"ב</w:t>
      </w:r>
      <w:r>
        <w:rPr>
          <w:rFonts w:hint="cs"/>
          <w:sz w:val="20"/>
          <w:szCs w:val="20"/>
          <w:rtl/>
        </w:rPr>
        <w:t>.</w:t>
      </w:r>
      <w:r>
        <w:rPr>
          <w:rFonts w:hint="cs"/>
          <w:sz w:val="20"/>
          <w:szCs w:val="20"/>
          <w:rtl/>
        </w:rPr>
        <w:br/>
      </w:r>
      <w:r w:rsidRPr="00FB5F2F">
        <w:rPr>
          <w:rFonts w:hint="cs"/>
          <w:b/>
          <w:bCs/>
          <w:sz w:val="20"/>
          <w:szCs w:val="20"/>
          <w:rtl/>
        </w:rPr>
        <w:t>משנ"ב</w:t>
      </w:r>
      <w:r>
        <w:rPr>
          <w:rFonts w:hint="cs"/>
          <w:sz w:val="20"/>
          <w:szCs w:val="20"/>
          <w:rtl/>
        </w:rPr>
        <w:t xml:space="preserve">. נהגו לברך ולהתפלל, אך לא יסתכלו בספר תורה בשעת ההגבהה. </w:t>
      </w:r>
      <w:r>
        <w:rPr>
          <w:sz w:val="20"/>
          <w:szCs w:val="20"/>
          <w:rtl/>
        </w:rPr>
        <w:br/>
      </w:r>
      <w:r>
        <w:rPr>
          <w:rFonts w:hint="cs"/>
          <w:sz w:val="20"/>
          <w:szCs w:val="20"/>
          <w:rtl/>
        </w:rPr>
        <w:br/>
      </w:r>
      <w:r>
        <w:rPr>
          <w:sz w:val="20"/>
          <w:szCs w:val="20"/>
          <w:rtl/>
        </w:rPr>
        <w:br/>
      </w:r>
      <w:r>
        <w:rPr>
          <w:rFonts w:hint="cs"/>
          <w:b/>
          <w:bCs/>
          <w:sz w:val="20"/>
          <w:szCs w:val="20"/>
          <w:rtl/>
        </w:rPr>
        <w:t xml:space="preserve">סעיף טו </w:t>
      </w:r>
      <w:r>
        <w:rPr>
          <w:b/>
          <w:bCs/>
          <w:sz w:val="20"/>
          <w:szCs w:val="20"/>
          <w:rtl/>
        </w:rPr>
        <w:t>–</w:t>
      </w:r>
      <w:r>
        <w:rPr>
          <w:rFonts w:hint="cs"/>
          <w:b/>
          <w:bCs/>
          <w:sz w:val="20"/>
          <w:szCs w:val="20"/>
          <w:rtl/>
        </w:rPr>
        <w:t xml:space="preserve"> השתמשות באשתו נידה כשהוא חולה</w:t>
      </w:r>
      <w:r>
        <w:rPr>
          <w:rFonts w:hint="cs"/>
          <w:b/>
          <w:bCs/>
          <w:sz w:val="20"/>
          <w:szCs w:val="20"/>
          <w:rtl/>
        </w:rPr>
        <w:br/>
        <w:t>שיטות הראשונים</w:t>
      </w:r>
      <w:r>
        <w:rPr>
          <w:b/>
          <w:bCs/>
          <w:sz w:val="20"/>
          <w:szCs w:val="20"/>
          <w:rtl/>
        </w:rPr>
        <w:br/>
      </w:r>
      <w:r>
        <w:rPr>
          <w:rFonts w:hint="cs"/>
          <w:sz w:val="20"/>
          <w:szCs w:val="20"/>
          <w:rtl/>
        </w:rPr>
        <w:t xml:space="preserve">א. </w:t>
      </w:r>
      <w:r w:rsidRPr="00D54FA3">
        <w:rPr>
          <w:rFonts w:hint="cs"/>
          <w:b/>
          <w:bCs/>
          <w:sz w:val="20"/>
          <w:szCs w:val="20"/>
          <w:rtl/>
        </w:rPr>
        <w:t>שו"ת הרא"ש</w:t>
      </w:r>
      <w:r>
        <w:rPr>
          <w:rFonts w:hint="cs"/>
          <w:sz w:val="20"/>
          <w:szCs w:val="20"/>
          <w:rtl/>
        </w:rPr>
        <w:t xml:space="preserve"> </w:t>
      </w:r>
      <w:r>
        <w:rPr>
          <w:sz w:val="20"/>
          <w:szCs w:val="20"/>
          <w:rtl/>
        </w:rPr>
        <w:t>–</w:t>
      </w:r>
      <w:r>
        <w:rPr>
          <w:rFonts w:hint="cs"/>
          <w:sz w:val="20"/>
          <w:szCs w:val="20"/>
          <w:rtl/>
        </w:rPr>
        <w:t xml:space="preserve"> "</w:t>
      </w:r>
      <w:r w:rsidRPr="00D54FA3">
        <w:rPr>
          <w:rFonts w:cs="Arial"/>
          <w:sz w:val="20"/>
          <w:szCs w:val="20"/>
          <w:rtl/>
        </w:rPr>
        <w:t>מי שהוא חולה ואשתו נדה ואין לו מי שישמשנו זולתה, מותרת לשמשו, רק שתזהר ביותר שתוכל מהרחצת פניו ידיו ורגליו והצעת המטה לפניו; דמאחר שאי</w:t>
      </w:r>
      <w:r>
        <w:rPr>
          <w:rFonts w:cs="Arial"/>
          <w:sz w:val="20"/>
          <w:szCs w:val="20"/>
          <w:rtl/>
        </w:rPr>
        <w:t>ן לו זולתה, אי איפשר שלא תשמשנו</w:t>
      </w:r>
      <w:r>
        <w:rPr>
          <w:rFonts w:cs="Arial" w:hint="cs"/>
          <w:sz w:val="20"/>
          <w:szCs w:val="20"/>
          <w:rtl/>
        </w:rPr>
        <w:t>".</w:t>
      </w:r>
      <w:r>
        <w:rPr>
          <w:rFonts w:cs="Arial"/>
          <w:sz w:val="20"/>
          <w:szCs w:val="20"/>
          <w:rtl/>
        </w:rPr>
        <w:br/>
      </w:r>
      <w:r w:rsidRPr="00D54FA3">
        <w:rPr>
          <w:rFonts w:cs="Arial" w:hint="cs"/>
          <w:b/>
          <w:bCs/>
          <w:sz w:val="20"/>
          <w:szCs w:val="20"/>
          <w:rtl/>
        </w:rPr>
        <w:t>בית יוסף</w:t>
      </w:r>
      <w:r>
        <w:rPr>
          <w:rFonts w:cs="Arial" w:hint="cs"/>
          <w:sz w:val="20"/>
          <w:szCs w:val="20"/>
          <w:rtl/>
        </w:rPr>
        <w:t xml:space="preserve"> </w:t>
      </w:r>
      <w:r>
        <w:rPr>
          <w:rFonts w:cs="Arial"/>
          <w:sz w:val="20"/>
          <w:szCs w:val="20"/>
          <w:rtl/>
        </w:rPr>
        <w:t>–</w:t>
      </w:r>
      <w:r>
        <w:rPr>
          <w:rFonts w:cs="Arial" w:hint="cs"/>
          <w:sz w:val="20"/>
          <w:szCs w:val="20"/>
          <w:rtl/>
        </w:rPr>
        <w:t xml:space="preserve"> דברי הרא"ש טעונים ביאור, שכיוון שכתב שיש להיזהר מרחיצה והצעת המיטה, במה מותר לה לשמשו? ויש לומר שכוונתו להתיר לרחוץ אותו ולהציע לו את המיטה כאשר הדבר הכרחי.</w:t>
      </w:r>
      <w:r>
        <w:rPr>
          <w:rFonts w:cs="Arial"/>
          <w:sz w:val="20"/>
          <w:szCs w:val="20"/>
          <w:rtl/>
        </w:rPr>
        <w:br/>
      </w:r>
      <w:r w:rsidRPr="00040ED3">
        <w:rPr>
          <w:rFonts w:cs="Arial" w:hint="cs"/>
          <w:b/>
          <w:bCs/>
          <w:sz w:val="20"/>
          <w:szCs w:val="20"/>
          <w:rtl/>
        </w:rPr>
        <w:t>טור</w:t>
      </w:r>
      <w:r>
        <w:rPr>
          <w:rFonts w:cs="Arial" w:hint="cs"/>
          <w:sz w:val="20"/>
          <w:szCs w:val="20"/>
          <w:rtl/>
        </w:rPr>
        <w:t xml:space="preserve"> </w:t>
      </w:r>
      <w:r>
        <w:rPr>
          <w:rFonts w:cs="Arial"/>
          <w:sz w:val="20"/>
          <w:szCs w:val="20"/>
          <w:rtl/>
        </w:rPr>
        <w:t>–</w:t>
      </w:r>
      <w:r>
        <w:rPr>
          <w:rFonts w:cs="Arial" w:hint="cs"/>
          <w:sz w:val="20"/>
          <w:szCs w:val="20"/>
          <w:rtl/>
        </w:rPr>
        <w:t xml:space="preserve"> "</w:t>
      </w:r>
      <w:r w:rsidRPr="00040ED3">
        <w:rPr>
          <w:rFonts w:cs="Arial"/>
          <w:sz w:val="20"/>
          <w:szCs w:val="20"/>
          <w:rtl/>
        </w:rPr>
        <w:t>אם הוא חולה ואשתו נדה ואין לו מי שישמשנו זולתה מותרת לשמשו רק שתזהר ביותר מהרחצת פניו ידיו ורגליו והצעת המטה בפניו</w:t>
      </w:r>
      <w:r>
        <w:rPr>
          <w:rFonts w:cs="Arial" w:hint="cs"/>
          <w:sz w:val="20"/>
          <w:szCs w:val="20"/>
          <w:rtl/>
        </w:rPr>
        <w:t>".</w:t>
      </w:r>
      <w:r>
        <w:rPr>
          <w:rFonts w:cs="Arial"/>
          <w:sz w:val="20"/>
          <w:szCs w:val="20"/>
          <w:rtl/>
        </w:rPr>
        <w:br/>
      </w:r>
      <w:r w:rsidRPr="00040ED3">
        <w:rPr>
          <w:rFonts w:cs="Arial" w:hint="cs"/>
          <w:b/>
          <w:bCs/>
          <w:sz w:val="20"/>
          <w:szCs w:val="20"/>
          <w:rtl/>
        </w:rPr>
        <w:t>בית יוסף</w:t>
      </w:r>
      <w:r>
        <w:rPr>
          <w:rFonts w:cs="Arial" w:hint="cs"/>
          <w:sz w:val="20"/>
          <w:szCs w:val="20"/>
          <w:rtl/>
        </w:rPr>
        <w:t xml:space="preserve"> </w:t>
      </w:r>
      <w:r>
        <w:rPr>
          <w:rFonts w:cs="Arial"/>
          <w:sz w:val="20"/>
          <w:szCs w:val="20"/>
          <w:rtl/>
        </w:rPr>
        <w:t>–</w:t>
      </w:r>
      <w:r>
        <w:rPr>
          <w:rFonts w:cs="Arial" w:hint="cs"/>
          <w:sz w:val="20"/>
          <w:szCs w:val="20"/>
          <w:rtl/>
        </w:rPr>
        <w:t xml:space="preserve"> הטור השמיט את תיבת "שתוכל", ובכך שינה את משמעות דברי הרא"ש, מכיוון שלדברי הטור אין כלל היתר לרחצו ולהציע לו את המיטה. ולפי"ז, יש להבין באיזה שימוש יש להקל?</w:t>
      </w:r>
      <w:r>
        <w:rPr>
          <w:rFonts w:cs="Arial"/>
          <w:sz w:val="20"/>
          <w:szCs w:val="20"/>
          <w:rtl/>
        </w:rPr>
        <w:br/>
      </w:r>
      <w:r>
        <w:rPr>
          <w:rFonts w:cs="Arial" w:hint="cs"/>
          <w:sz w:val="20"/>
          <w:szCs w:val="20"/>
          <w:rtl/>
        </w:rPr>
        <w:t xml:space="preserve">ושמא יש לומר שמותרת להושיט מידו לידה. </w:t>
      </w:r>
      <w:r>
        <w:rPr>
          <w:rFonts w:cs="Arial"/>
          <w:sz w:val="20"/>
          <w:szCs w:val="20"/>
          <w:rtl/>
        </w:rPr>
        <w:br/>
      </w:r>
      <w:r>
        <w:rPr>
          <w:rFonts w:cs="Arial" w:hint="cs"/>
          <w:sz w:val="20"/>
          <w:szCs w:val="20"/>
          <w:rtl/>
        </w:rPr>
        <w:t xml:space="preserve">ב. </w:t>
      </w:r>
      <w:r w:rsidRPr="00D54FA3">
        <w:rPr>
          <w:rFonts w:cs="Arial" w:hint="cs"/>
          <w:b/>
          <w:bCs/>
          <w:sz w:val="20"/>
          <w:szCs w:val="20"/>
          <w:rtl/>
        </w:rPr>
        <w:t>תרומת הדשן</w:t>
      </w:r>
      <w:r>
        <w:rPr>
          <w:rFonts w:cs="Arial" w:hint="cs"/>
          <w:sz w:val="20"/>
          <w:szCs w:val="20"/>
          <w:rtl/>
        </w:rPr>
        <w:t xml:space="preserve"> </w:t>
      </w:r>
      <w:r>
        <w:rPr>
          <w:rFonts w:cs="Arial"/>
          <w:sz w:val="20"/>
          <w:szCs w:val="20"/>
          <w:rtl/>
        </w:rPr>
        <w:t>–</w:t>
      </w:r>
      <w:r>
        <w:rPr>
          <w:rFonts w:cs="Arial" w:hint="cs"/>
          <w:sz w:val="20"/>
          <w:szCs w:val="20"/>
          <w:rtl/>
        </w:rPr>
        <w:t xml:space="preserve"> כוונת הרא"ש להתיר אפילו שימושים נוספים, כגון להשכיבו, להקימו ולסומכו, </w:t>
      </w:r>
      <w:r>
        <w:rPr>
          <w:rFonts w:hint="cs"/>
          <w:sz w:val="20"/>
          <w:szCs w:val="20"/>
          <w:rtl/>
        </w:rPr>
        <w:t xml:space="preserve">שכיוון שהוא חלוש אין חשש שיבוא להרגיל אותה לעבירה, וכ"פ </w:t>
      </w:r>
      <w:r w:rsidRPr="003C314A">
        <w:rPr>
          <w:rFonts w:hint="cs"/>
          <w:b/>
          <w:bCs/>
          <w:sz w:val="20"/>
          <w:szCs w:val="20"/>
          <w:rtl/>
        </w:rPr>
        <w:t>טה"ב</w:t>
      </w:r>
      <w:r>
        <w:rPr>
          <w:rFonts w:hint="cs"/>
          <w:sz w:val="20"/>
          <w:szCs w:val="20"/>
          <w:rtl/>
        </w:rPr>
        <w:t>.</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C01613">
        <w:rPr>
          <w:rFonts w:cs="Arial"/>
          <w:sz w:val="20"/>
          <w:szCs w:val="20"/>
          <w:rtl/>
        </w:rPr>
        <w:t>אם הוא חולה ואין לו מי שישמשנו זולתה, מותרת לשמשו רק שתזהר ביותר שתוכל לה</w:t>
      </w:r>
      <w:r>
        <w:rPr>
          <w:rFonts w:cs="Arial" w:hint="cs"/>
          <w:sz w:val="20"/>
          <w:szCs w:val="20"/>
          <w:rtl/>
        </w:rPr>
        <w:t>י</w:t>
      </w:r>
      <w:r w:rsidRPr="00C01613">
        <w:rPr>
          <w:rFonts w:cs="Arial"/>
          <w:sz w:val="20"/>
          <w:szCs w:val="20"/>
          <w:rtl/>
        </w:rPr>
        <w:t>זהר מהרחצת פנ</w:t>
      </w:r>
      <w:r>
        <w:rPr>
          <w:rFonts w:cs="Arial"/>
          <w:sz w:val="20"/>
          <w:szCs w:val="20"/>
          <w:rtl/>
        </w:rPr>
        <w:t>יו ידיו ורגליו והצעת המטה בפניו</w:t>
      </w:r>
      <w:r>
        <w:rPr>
          <w:rFonts w:cs="Arial" w:hint="cs"/>
          <w:sz w:val="20"/>
          <w:szCs w:val="20"/>
          <w:rtl/>
        </w:rPr>
        <w:t>"</w:t>
      </w:r>
      <w:r>
        <w:rPr>
          <w:rFonts w:hint="cs"/>
          <w:sz w:val="20"/>
          <w:szCs w:val="20"/>
          <w:rtl/>
        </w:rPr>
        <w:t>.</w:t>
      </w:r>
      <w:r>
        <w:rPr>
          <w:sz w:val="20"/>
          <w:szCs w:val="20"/>
          <w:rtl/>
        </w:rPr>
        <w:br/>
      </w:r>
      <w:r w:rsidRPr="00040ED3">
        <w:rPr>
          <w:rFonts w:hint="cs"/>
          <w:b/>
          <w:bCs/>
          <w:sz w:val="20"/>
          <w:szCs w:val="20"/>
          <w:rtl/>
        </w:rPr>
        <w:t>טהרת הבית</w:t>
      </w:r>
      <w:r>
        <w:rPr>
          <w:rFonts w:hint="cs"/>
          <w:sz w:val="20"/>
          <w:szCs w:val="20"/>
          <w:rtl/>
        </w:rPr>
        <w:t xml:space="preserve"> </w:t>
      </w:r>
      <w:r>
        <w:rPr>
          <w:sz w:val="20"/>
          <w:szCs w:val="20"/>
          <w:rtl/>
        </w:rPr>
        <w:t>–</w:t>
      </w:r>
      <w:r>
        <w:rPr>
          <w:rFonts w:hint="cs"/>
          <w:sz w:val="20"/>
          <w:szCs w:val="20"/>
          <w:rtl/>
        </w:rPr>
        <w:t xml:space="preserve"> המחבר העתיק את לשון הרא"ש, ולכן יש להקל במקום הצורך ברחיצה והצעת המיטה.</w:t>
      </w:r>
    </w:p>
    <w:p w:rsidR="00620060" w:rsidRDefault="00620060" w:rsidP="00620060">
      <w:pPr>
        <w:rPr>
          <w:sz w:val="20"/>
          <w:szCs w:val="20"/>
          <w:rtl/>
        </w:rPr>
      </w:pPr>
      <w:r>
        <w:rPr>
          <w:rFonts w:hint="cs"/>
          <w:sz w:val="20"/>
          <w:szCs w:val="20"/>
          <w:u w:val="single"/>
          <w:rtl/>
        </w:rPr>
        <w:t>הגדרת אין לו מי שישמשנו</w:t>
      </w:r>
      <w:r>
        <w:rPr>
          <w:sz w:val="20"/>
          <w:szCs w:val="20"/>
          <w:rtl/>
        </w:rPr>
        <w:br/>
      </w:r>
      <w:r w:rsidRPr="00C01613">
        <w:rPr>
          <w:rFonts w:hint="cs"/>
          <w:b/>
          <w:bCs/>
          <w:sz w:val="20"/>
          <w:szCs w:val="20"/>
          <w:rtl/>
        </w:rPr>
        <w:t>בית יוסף</w:t>
      </w:r>
      <w:r>
        <w:rPr>
          <w:rFonts w:hint="cs"/>
          <w:sz w:val="20"/>
          <w:szCs w:val="20"/>
          <w:rtl/>
        </w:rPr>
        <w:t xml:space="preserve"> </w:t>
      </w:r>
      <w:r>
        <w:rPr>
          <w:sz w:val="20"/>
          <w:szCs w:val="20"/>
          <w:rtl/>
        </w:rPr>
        <w:t>–</w:t>
      </w:r>
      <w:r>
        <w:rPr>
          <w:rFonts w:hint="cs"/>
          <w:sz w:val="20"/>
          <w:szCs w:val="20"/>
          <w:rtl/>
        </w:rPr>
        <w:t xml:space="preserve"> נראה שכאשר יש לו מי שישמשנו אפילו ע"י הדחק, אין מתירים לה לשמשו כלל.</w:t>
      </w:r>
      <w:r>
        <w:rPr>
          <w:rFonts w:hint="cs"/>
          <w:sz w:val="20"/>
          <w:szCs w:val="20"/>
          <w:rtl/>
        </w:rPr>
        <w:br/>
      </w:r>
      <w:r w:rsidRPr="00CA3581">
        <w:rPr>
          <w:rFonts w:hint="cs"/>
          <w:b/>
          <w:bCs/>
          <w:sz w:val="20"/>
          <w:szCs w:val="20"/>
          <w:rtl/>
        </w:rPr>
        <w:t>בדה"ש</w:t>
      </w:r>
      <w:r>
        <w:rPr>
          <w:rFonts w:hint="cs"/>
          <w:sz w:val="20"/>
          <w:szCs w:val="20"/>
          <w:rtl/>
        </w:rPr>
        <w:t xml:space="preserve"> </w:t>
      </w:r>
      <w:r>
        <w:rPr>
          <w:sz w:val="20"/>
          <w:szCs w:val="20"/>
          <w:rtl/>
        </w:rPr>
        <w:t>–</w:t>
      </w:r>
      <w:r>
        <w:rPr>
          <w:rFonts w:hint="cs"/>
          <w:sz w:val="20"/>
          <w:szCs w:val="20"/>
          <w:rtl/>
        </w:rPr>
        <w:t xml:space="preserve"> אינם חייבים לשכור לו מי שישמשו. </w:t>
      </w:r>
      <w:r>
        <w:rPr>
          <w:sz w:val="20"/>
          <w:szCs w:val="20"/>
          <w:rtl/>
        </w:rPr>
        <w:br/>
      </w:r>
      <w:r>
        <w:rPr>
          <w:rFonts w:hint="cs"/>
          <w:sz w:val="20"/>
          <w:szCs w:val="20"/>
          <w:rtl/>
        </w:rPr>
        <w:br/>
      </w:r>
      <w:r>
        <w:rPr>
          <w:rFonts w:hint="cs"/>
          <w:sz w:val="20"/>
          <w:szCs w:val="20"/>
          <w:u w:val="single"/>
          <w:rtl/>
        </w:rPr>
        <w:t>מזיגת הכוס</w:t>
      </w:r>
      <w:r>
        <w:rPr>
          <w:rFonts w:hint="cs"/>
          <w:sz w:val="20"/>
          <w:szCs w:val="20"/>
          <w:rtl/>
        </w:rPr>
        <w:br/>
      </w:r>
      <w:r w:rsidRPr="00C01613">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במזיגת הכוס יש דרכים רבות שניתן להקל, כמבואר לעיל.</w:t>
      </w:r>
    </w:p>
    <w:p w:rsidR="00620060" w:rsidRDefault="00620060" w:rsidP="00620060">
      <w:pPr>
        <w:rPr>
          <w:sz w:val="20"/>
          <w:szCs w:val="20"/>
          <w:rtl/>
        </w:rPr>
      </w:pPr>
      <w:r>
        <w:rPr>
          <w:rFonts w:hint="cs"/>
          <w:sz w:val="20"/>
          <w:szCs w:val="20"/>
          <w:u w:val="single"/>
          <w:rtl/>
        </w:rPr>
        <w:lastRenderedPageBreak/>
        <w:t xml:space="preserve">שיטת טהרת הבית </w:t>
      </w:r>
      <w:r>
        <w:rPr>
          <w:sz w:val="20"/>
          <w:szCs w:val="20"/>
          <w:u w:val="single"/>
          <w:rtl/>
        </w:rPr>
        <w:t>–</w:t>
      </w:r>
      <w:r>
        <w:rPr>
          <w:rFonts w:hint="cs"/>
          <w:sz w:val="20"/>
          <w:szCs w:val="20"/>
          <w:u w:val="single"/>
          <w:rtl/>
        </w:rPr>
        <w:t xml:space="preserve"> הלכה כתרומת הדשן (טה"ב עמ' ריח - רכב)</w:t>
      </w:r>
      <w:r>
        <w:rPr>
          <w:rFonts w:hint="cs"/>
          <w:sz w:val="20"/>
          <w:szCs w:val="20"/>
          <w:u w:val="single"/>
          <w:rtl/>
        </w:rPr>
        <w:br/>
      </w:r>
      <w:r w:rsidRPr="0018175D">
        <w:rPr>
          <w:rFonts w:hint="cs"/>
          <w:b/>
          <w:bCs/>
          <w:sz w:val="20"/>
          <w:szCs w:val="20"/>
          <w:rtl/>
        </w:rPr>
        <w:t>טהרת הבית</w:t>
      </w:r>
      <w:r>
        <w:rPr>
          <w:rFonts w:hint="cs"/>
          <w:sz w:val="20"/>
          <w:szCs w:val="20"/>
          <w:rtl/>
        </w:rPr>
        <w:t xml:space="preserve"> - כאשר אין לו מי שישמש אותו זולת אשתו נידה, מותרת לשמשו, כגון: להשכיבו, לסומכו ולהקימו, להאכילו ולהשקותו, לפשוט בגדיו ולחלוץ מנעליו וכל כיוצא בזה. ואין צריך לומר שמותרת להושיט לו דבר מידו לידה. ואמנם, טוב להיזהר שלא תיגע בבשרו ממש, אלא אם אפשר ע"י הפסק מפה וכדומה. וכל זה בחולה שחלה כל גופו והוא זקוק לזה, אך אם חש בראשו והוא מתחזק והולך כבריא, לא.</w:t>
      </w:r>
      <w:r>
        <w:rPr>
          <w:rFonts w:hint="cs"/>
          <w:sz w:val="20"/>
          <w:szCs w:val="20"/>
          <w:rtl/>
        </w:rPr>
        <w:br/>
      </w:r>
      <w:r w:rsidRPr="003C314A">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אע"פ שמדברי </w:t>
      </w:r>
      <w:r w:rsidRPr="003C314A">
        <w:rPr>
          <w:rFonts w:hint="cs"/>
          <w:b/>
          <w:bCs/>
          <w:sz w:val="20"/>
          <w:szCs w:val="20"/>
          <w:rtl/>
        </w:rPr>
        <w:t>הבית יוסף</w:t>
      </w:r>
      <w:r>
        <w:rPr>
          <w:rFonts w:hint="cs"/>
          <w:sz w:val="20"/>
          <w:szCs w:val="20"/>
          <w:rtl/>
        </w:rPr>
        <w:t xml:space="preserve"> משמע העיקר כהסבר הראשון </w:t>
      </w:r>
      <w:r w:rsidRPr="003C314A">
        <w:rPr>
          <w:rFonts w:hint="cs"/>
          <w:b/>
          <w:bCs/>
          <w:sz w:val="20"/>
          <w:szCs w:val="20"/>
          <w:rtl/>
        </w:rPr>
        <w:t>ברא"ש</w:t>
      </w:r>
      <w:r>
        <w:rPr>
          <w:rFonts w:hint="cs"/>
          <w:sz w:val="20"/>
          <w:szCs w:val="20"/>
          <w:rtl/>
        </w:rPr>
        <w:t xml:space="preserve">, שהתיר רק רחצה והצעת המיטה במקום צורך, מכל מקום בדבריו </w:t>
      </w:r>
      <w:r w:rsidRPr="003C314A">
        <w:rPr>
          <w:rFonts w:hint="cs"/>
          <w:b/>
          <w:bCs/>
          <w:sz w:val="20"/>
          <w:szCs w:val="20"/>
          <w:rtl/>
        </w:rPr>
        <w:t>בשו"ע</w:t>
      </w:r>
      <w:r>
        <w:rPr>
          <w:rFonts w:hint="cs"/>
          <w:sz w:val="20"/>
          <w:szCs w:val="20"/>
          <w:rtl/>
        </w:rPr>
        <w:t xml:space="preserve"> משמע שתפס לדינא כדברי </w:t>
      </w:r>
      <w:r w:rsidRPr="003C314A">
        <w:rPr>
          <w:rFonts w:hint="cs"/>
          <w:b/>
          <w:bCs/>
          <w:sz w:val="20"/>
          <w:szCs w:val="20"/>
          <w:rtl/>
        </w:rPr>
        <w:t>תרומת הדשן</w:t>
      </w:r>
      <w:r>
        <w:rPr>
          <w:rFonts w:hint="cs"/>
          <w:sz w:val="20"/>
          <w:szCs w:val="20"/>
          <w:rtl/>
        </w:rPr>
        <w:t xml:space="preserve">. </w:t>
      </w:r>
      <w:r>
        <w:rPr>
          <w:sz w:val="20"/>
          <w:szCs w:val="20"/>
          <w:rtl/>
        </w:rPr>
        <w:br/>
      </w:r>
      <w:r w:rsidRPr="003C314A">
        <w:rPr>
          <w:rFonts w:hint="cs"/>
          <w:b/>
          <w:bCs/>
          <w:sz w:val="20"/>
          <w:szCs w:val="20"/>
          <w:rtl/>
        </w:rPr>
        <w:t>תרומת הדשן</w:t>
      </w:r>
      <w:r>
        <w:rPr>
          <w:rFonts w:hint="cs"/>
          <w:sz w:val="20"/>
          <w:szCs w:val="20"/>
          <w:rtl/>
        </w:rPr>
        <w:t xml:space="preserve"> כתב שההיתר בשימוש הבעל ע"י אשתו נידה נאמר רק כשהבעל חולה ולא כשאשתו חולה, וכן פסק השו"ע להדיא בסעיף הבא כלשון </w:t>
      </w:r>
      <w:r w:rsidRPr="003C314A">
        <w:rPr>
          <w:rFonts w:hint="cs"/>
          <w:b/>
          <w:bCs/>
          <w:sz w:val="20"/>
          <w:szCs w:val="20"/>
          <w:rtl/>
        </w:rPr>
        <w:t>ת"ה</w:t>
      </w:r>
      <w:r>
        <w:rPr>
          <w:rFonts w:hint="cs"/>
          <w:sz w:val="20"/>
          <w:szCs w:val="20"/>
          <w:rtl/>
        </w:rPr>
        <w:t xml:space="preserve">, משמע שהקל כמותו וחזר בו מדבריו שכתב </w:t>
      </w:r>
      <w:r w:rsidRPr="003C314A">
        <w:rPr>
          <w:rFonts w:hint="cs"/>
          <w:b/>
          <w:bCs/>
          <w:sz w:val="20"/>
          <w:szCs w:val="20"/>
          <w:rtl/>
        </w:rPr>
        <w:t>בבית יוסף</w:t>
      </w:r>
      <w:r>
        <w:rPr>
          <w:rFonts w:hint="cs"/>
          <w:sz w:val="20"/>
          <w:szCs w:val="20"/>
          <w:rtl/>
        </w:rPr>
        <w:t>.</w:t>
      </w:r>
      <w:r>
        <w:rPr>
          <w:rFonts w:hint="cs"/>
          <w:sz w:val="20"/>
          <w:szCs w:val="20"/>
          <w:rtl/>
        </w:rPr>
        <w:br/>
        <w:t xml:space="preserve">ועיין גם </w:t>
      </w:r>
      <w:r w:rsidRPr="003C314A">
        <w:rPr>
          <w:rFonts w:hint="cs"/>
          <w:b/>
          <w:bCs/>
          <w:sz w:val="20"/>
          <w:szCs w:val="20"/>
          <w:rtl/>
        </w:rPr>
        <w:t>בב"ח</w:t>
      </w:r>
      <w:r>
        <w:rPr>
          <w:rFonts w:hint="cs"/>
          <w:sz w:val="20"/>
          <w:szCs w:val="20"/>
          <w:rtl/>
        </w:rPr>
        <w:t xml:space="preserve"> שפירש את דברי </w:t>
      </w:r>
      <w:r w:rsidRPr="003C314A">
        <w:rPr>
          <w:rFonts w:hint="cs"/>
          <w:b/>
          <w:bCs/>
          <w:sz w:val="20"/>
          <w:szCs w:val="20"/>
          <w:rtl/>
        </w:rPr>
        <w:t>הרא"ש כת"ה</w:t>
      </w:r>
      <w:r>
        <w:rPr>
          <w:rFonts w:hint="cs"/>
          <w:sz w:val="20"/>
          <w:szCs w:val="20"/>
          <w:rtl/>
        </w:rPr>
        <w:t xml:space="preserve">, וכך יש לפרש את דברי </w:t>
      </w:r>
      <w:r w:rsidRPr="003C314A">
        <w:rPr>
          <w:rFonts w:hint="cs"/>
          <w:b/>
          <w:bCs/>
          <w:sz w:val="20"/>
          <w:szCs w:val="20"/>
          <w:rtl/>
        </w:rPr>
        <w:t>רבינו ירוחם</w:t>
      </w:r>
      <w:r>
        <w:rPr>
          <w:rFonts w:hint="cs"/>
          <w:sz w:val="20"/>
          <w:szCs w:val="20"/>
          <w:rtl/>
        </w:rPr>
        <w:t xml:space="preserve"> המובאים </w:t>
      </w:r>
      <w:r w:rsidRPr="003C314A">
        <w:rPr>
          <w:rFonts w:hint="cs"/>
          <w:b/>
          <w:bCs/>
          <w:sz w:val="20"/>
          <w:szCs w:val="20"/>
          <w:rtl/>
        </w:rPr>
        <w:t>בבית יוסף</w:t>
      </w:r>
      <w:r>
        <w:rPr>
          <w:rFonts w:hint="cs"/>
          <w:sz w:val="20"/>
          <w:szCs w:val="20"/>
          <w:rtl/>
        </w:rPr>
        <w:t>, וכן פסקו אחרונים נוספים להתיר.</w:t>
      </w:r>
      <w:r>
        <w:rPr>
          <w:sz w:val="20"/>
          <w:szCs w:val="20"/>
          <w:rtl/>
        </w:rPr>
        <w:br/>
      </w:r>
      <w:r>
        <w:rPr>
          <w:rFonts w:hint="cs"/>
          <w:sz w:val="20"/>
          <w:szCs w:val="20"/>
          <w:rtl/>
        </w:rPr>
        <w:t xml:space="preserve">ויש להקל בכל זה אפילו כשאין חשש שאם לא תעשה כן יכבד עליו חוליו, ולא </w:t>
      </w:r>
      <w:r w:rsidRPr="00737A3C">
        <w:rPr>
          <w:rFonts w:hint="cs"/>
          <w:b/>
          <w:bCs/>
          <w:sz w:val="20"/>
          <w:szCs w:val="20"/>
          <w:rtl/>
        </w:rPr>
        <w:t>כבדה"ש</w:t>
      </w:r>
      <w:r>
        <w:rPr>
          <w:rFonts w:hint="cs"/>
          <w:sz w:val="20"/>
          <w:szCs w:val="20"/>
          <w:rtl/>
        </w:rPr>
        <w:t xml:space="preserve"> שכתב להחמיר בזה.</w:t>
      </w:r>
    </w:p>
    <w:p w:rsidR="00620060"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CA3581">
        <w:rPr>
          <w:rFonts w:hint="cs"/>
          <w:sz w:val="20"/>
          <w:szCs w:val="20"/>
          <w:rtl/>
        </w:rPr>
        <w:t>א</w:t>
      </w:r>
      <w:r>
        <w:rPr>
          <w:rFonts w:hint="cs"/>
          <w:sz w:val="20"/>
          <w:szCs w:val="20"/>
          <w:rtl/>
        </w:rPr>
        <w:t xml:space="preserve">. </w:t>
      </w:r>
      <w:r w:rsidRPr="003C314A">
        <w:rPr>
          <w:rFonts w:hint="cs"/>
          <w:b/>
          <w:bCs/>
          <w:sz w:val="20"/>
          <w:szCs w:val="20"/>
          <w:rtl/>
        </w:rPr>
        <w:t>שו"ת הרא"ש</w:t>
      </w:r>
      <w:r>
        <w:rPr>
          <w:rFonts w:hint="cs"/>
          <w:sz w:val="20"/>
          <w:szCs w:val="20"/>
          <w:rtl/>
        </w:rPr>
        <w:t xml:space="preserve">. חולה שאשתו נידה מותרת לשמשו, רק תיזהר מהרחצת פיו"ר והצעת המיטה. </w:t>
      </w:r>
      <w:r w:rsidRPr="003C314A">
        <w:rPr>
          <w:rFonts w:hint="cs"/>
          <w:b/>
          <w:bCs/>
          <w:sz w:val="20"/>
          <w:szCs w:val="20"/>
          <w:rtl/>
        </w:rPr>
        <w:t>ב"י</w:t>
      </w:r>
      <w:r>
        <w:rPr>
          <w:rFonts w:hint="cs"/>
          <w:sz w:val="20"/>
          <w:szCs w:val="20"/>
          <w:rtl/>
        </w:rPr>
        <w:t xml:space="preserve">. כוונת </w:t>
      </w:r>
      <w:r w:rsidRPr="003C314A">
        <w:rPr>
          <w:rFonts w:hint="cs"/>
          <w:b/>
          <w:bCs/>
          <w:sz w:val="20"/>
          <w:szCs w:val="20"/>
          <w:rtl/>
        </w:rPr>
        <w:t>הרא"ש</w:t>
      </w:r>
      <w:r>
        <w:rPr>
          <w:rFonts w:hint="cs"/>
          <w:sz w:val="20"/>
          <w:szCs w:val="20"/>
          <w:rtl/>
        </w:rPr>
        <w:t xml:space="preserve"> להתיר רחצת פיו"ר והצעת המיטה כשהדבר הכרחי, וכ"פ </w:t>
      </w:r>
      <w:r w:rsidRPr="003C314A">
        <w:rPr>
          <w:rFonts w:hint="cs"/>
          <w:b/>
          <w:bCs/>
          <w:sz w:val="20"/>
          <w:szCs w:val="20"/>
          <w:rtl/>
        </w:rPr>
        <w:t>המחבר</w:t>
      </w:r>
      <w:r>
        <w:rPr>
          <w:rFonts w:hint="cs"/>
          <w:sz w:val="20"/>
          <w:szCs w:val="20"/>
          <w:rtl/>
        </w:rPr>
        <w:t xml:space="preserve">. </w:t>
      </w:r>
      <w:r w:rsidRPr="00CA3581">
        <w:rPr>
          <w:rFonts w:hint="cs"/>
          <w:sz w:val="20"/>
          <w:szCs w:val="20"/>
          <w:rtl/>
        </w:rPr>
        <w:t>ב</w:t>
      </w:r>
      <w:r>
        <w:rPr>
          <w:rFonts w:hint="cs"/>
          <w:sz w:val="20"/>
          <w:szCs w:val="20"/>
          <w:rtl/>
        </w:rPr>
        <w:t>.</w:t>
      </w:r>
      <w:r>
        <w:rPr>
          <w:rFonts w:hint="cs"/>
          <w:b/>
          <w:bCs/>
          <w:sz w:val="20"/>
          <w:szCs w:val="20"/>
          <w:rtl/>
        </w:rPr>
        <w:t xml:space="preserve"> </w:t>
      </w:r>
      <w:r w:rsidRPr="003C314A">
        <w:rPr>
          <w:rFonts w:hint="cs"/>
          <w:b/>
          <w:bCs/>
          <w:sz w:val="20"/>
          <w:szCs w:val="20"/>
          <w:rtl/>
        </w:rPr>
        <w:t xml:space="preserve">טור </w:t>
      </w:r>
      <w:r w:rsidRPr="00261C8E">
        <w:rPr>
          <w:rFonts w:hint="cs"/>
          <w:sz w:val="18"/>
          <w:szCs w:val="18"/>
          <w:rtl/>
        </w:rPr>
        <w:t xml:space="preserve">(ע"פ </w:t>
      </w:r>
      <w:r w:rsidRPr="003C314A">
        <w:rPr>
          <w:rFonts w:hint="cs"/>
          <w:b/>
          <w:bCs/>
          <w:sz w:val="18"/>
          <w:szCs w:val="18"/>
          <w:rtl/>
        </w:rPr>
        <w:t>הב"י</w:t>
      </w:r>
      <w:r w:rsidRPr="00261C8E">
        <w:rPr>
          <w:rFonts w:hint="cs"/>
          <w:sz w:val="18"/>
          <w:szCs w:val="18"/>
          <w:rtl/>
        </w:rPr>
        <w:t>)</w:t>
      </w:r>
      <w:r>
        <w:rPr>
          <w:rFonts w:hint="cs"/>
          <w:sz w:val="20"/>
          <w:szCs w:val="20"/>
          <w:rtl/>
        </w:rPr>
        <w:t>. אין היתר אפילו לרחצו ולהציע לו המיטה, אך יש להקל בהושטה מידו לידה</w:t>
      </w:r>
      <w:r w:rsidRPr="00CA3581">
        <w:rPr>
          <w:rFonts w:hint="cs"/>
          <w:sz w:val="20"/>
          <w:szCs w:val="20"/>
          <w:rtl/>
        </w:rPr>
        <w:t>. ג.</w:t>
      </w:r>
      <w:r>
        <w:rPr>
          <w:rFonts w:hint="cs"/>
          <w:sz w:val="20"/>
          <w:szCs w:val="20"/>
          <w:rtl/>
        </w:rPr>
        <w:t xml:space="preserve"> </w:t>
      </w:r>
      <w:r w:rsidRPr="003C314A">
        <w:rPr>
          <w:rFonts w:hint="cs"/>
          <w:b/>
          <w:bCs/>
          <w:sz w:val="20"/>
          <w:szCs w:val="20"/>
          <w:rtl/>
        </w:rPr>
        <w:t>ת"ה</w:t>
      </w:r>
      <w:r>
        <w:rPr>
          <w:rFonts w:hint="cs"/>
          <w:sz w:val="20"/>
          <w:szCs w:val="20"/>
          <w:rtl/>
        </w:rPr>
        <w:t>. מותר גם להשכיבו ולסעדו וכו'.</w:t>
      </w:r>
      <w:r>
        <w:rPr>
          <w:rFonts w:hint="cs"/>
          <w:sz w:val="20"/>
          <w:szCs w:val="20"/>
          <w:rtl/>
        </w:rPr>
        <w:br/>
        <w:t>2. הנ"ל נאמר כשאין לו מי שישמשנו, אך אם יש אפילו בדוחק, אין מתירים לאשתו, אך א"צ לשכור שמש.</w:t>
      </w:r>
      <w:r>
        <w:rPr>
          <w:sz w:val="20"/>
          <w:szCs w:val="20"/>
          <w:rtl/>
        </w:rPr>
        <w:br/>
      </w:r>
      <w:r>
        <w:rPr>
          <w:rFonts w:hint="cs"/>
          <w:sz w:val="20"/>
          <w:szCs w:val="20"/>
          <w:rtl/>
        </w:rPr>
        <w:t>3.</w:t>
      </w:r>
      <w:r w:rsidRPr="00261C8E">
        <w:rPr>
          <w:rFonts w:hint="cs"/>
          <w:sz w:val="20"/>
          <w:szCs w:val="20"/>
          <w:rtl/>
        </w:rPr>
        <w:t xml:space="preserve"> </w:t>
      </w:r>
      <w:r w:rsidRPr="009B0900">
        <w:rPr>
          <w:rFonts w:hint="cs"/>
          <w:b/>
          <w:bCs/>
          <w:sz w:val="20"/>
          <w:szCs w:val="20"/>
          <w:rtl/>
        </w:rPr>
        <w:t>ש"ך</w:t>
      </w:r>
      <w:r>
        <w:rPr>
          <w:rFonts w:hint="cs"/>
          <w:sz w:val="20"/>
          <w:szCs w:val="20"/>
          <w:rtl/>
        </w:rPr>
        <w:t xml:space="preserve">. במזיגת הכוס יש בלאו הכי דרכים להקל. </w:t>
      </w:r>
      <w:r>
        <w:rPr>
          <w:rFonts w:hint="cs"/>
          <w:sz w:val="20"/>
          <w:szCs w:val="20"/>
          <w:rtl/>
        </w:rPr>
        <w:br/>
        <w:t xml:space="preserve">4. </w:t>
      </w:r>
      <w:r w:rsidRPr="009B0900">
        <w:rPr>
          <w:rFonts w:hint="cs"/>
          <w:b/>
          <w:bCs/>
          <w:sz w:val="20"/>
          <w:szCs w:val="20"/>
          <w:rtl/>
        </w:rPr>
        <w:t>טה"ב</w:t>
      </w:r>
      <w:r>
        <w:rPr>
          <w:rFonts w:hint="cs"/>
          <w:sz w:val="20"/>
          <w:szCs w:val="20"/>
          <w:rtl/>
        </w:rPr>
        <w:t xml:space="preserve">. הלכה </w:t>
      </w:r>
      <w:r w:rsidRPr="009B0900">
        <w:rPr>
          <w:rFonts w:hint="cs"/>
          <w:b/>
          <w:bCs/>
          <w:sz w:val="20"/>
          <w:szCs w:val="20"/>
          <w:rtl/>
        </w:rPr>
        <w:t>כת"ה</w:t>
      </w:r>
      <w:r>
        <w:rPr>
          <w:rFonts w:hint="cs"/>
          <w:sz w:val="20"/>
          <w:szCs w:val="20"/>
          <w:rtl/>
        </w:rPr>
        <w:t xml:space="preserve">, וכן משמע מדברי המחבר בסעיף הסמוך שהעתיק את לשון </w:t>
      </w:r>
      <w:r w:rsidRPr="009B0900">
        <w:rPr>
          <w:rFonts w:hint="cs"/>
          <w:b/>
          <w:bCs/>
          <w:sz w:val="20"/>
          <w:szCs w:val="20"/>
          <w:rtl/>
        </w:rPr>
        <w:t>ת"ה</w:t>
      </w:r>
      <w:r>
        <w:rPr>
          <w:rFonts w:hint="cs"/>
          <w:sz w:val="20"/>
          <w:szCs w:val="20"/>
          <w:rtl/>
        </w:rPr>
        <w:t xml:space="preserve">. ולכן יש להקל בכל השימושים הנדרשים עבור חולה, ולכתחילה תיזהר לא לגעת בו. וכל זה דווקא בחולה שחלה כל גופו ולא בחולה שמתחזק והולך כבריא. ויש להקל אפילו כשאין חשש שיכבד עליו חוליו, דלא </w:t>
      </w:r>
      <w:r w:rsidRPr="009B0900">
        <w:rPr>
          <w:rFonts w:hint="cs"/>
          <w:b/>
          <w:bCs/>
          <w:sz w:val="20"/>
          <w:szCs w:val="20"/>
          <w:rtl/>
        </w:rPr>
        <w:t>כבדה"ש</w:t>
      </w:r>
      <w:r>
        <w:rPr>
          <w:rFonts w:hint="cs"/>
          <w:sz w:val="20"/>
          <w:szCs w:val="20"/>
          <w:rtl/>
        </w:rPr>
        <w:t>.</w:t>
      </w:r>
    </w:p>
    <w:p w:rsidR="00620060" w:rsidRDefault="00620060" w:rsidP="00620060">
      <w:pPr>
        <w:rPr>
          <w:sz w:val="20"/>
          <w:szCs w:val="20"/>
          <w:rtl/>
        </w:rPr>
      </w:pPr>
      <w:r>
        <w:rPr>
          <w:sz w:val="20"/>
          <w:szCs w:val="20"/>
          <w:rtl/>
        </w:rPr>
        <w:br/>
      </w:r>
      <w:r>
        <w:rPr>
          <w:rFonts w:hint="cs"/>
          <w:b/>
          <w:bCs/>
          <w:sz w:val="20"/>
          <w:szCs w:val="20"/>
          <w:rtl/>
        </w:rPr>
        <w:t xml:space="preserve">סעיף טז </w:t>
      </w:r>
      <w:r>
        <w:rPr>
          <w:b/>
          <w:bCs/>
          <w:sz w:val="20"/>
          <w:szCs w:val="20"/>
          <w:rtl/>
        </w:rPr>
        <w:t>–</w:t>
      </w:r>
      <w:r>
        <w:rPr>
          <w:rFonts w:hint="cs"/>
          <w:b/>
          <w:bCs/>
          <w:sz w:val="20"/>
          <w:szCs w:val="20"/>
          <w:rtl/>
        </w:rPr>
        <w:t xml:space="preserve"> נגיעה באשתו נידה כשהיא חולה</w:t>
      </w:r>
      <w:r>
        <w:rPr>
          <w:b/>
          <w:bCs/>
          <w:sz w:val="20"/>
          <w:szCs w:val="20"/>
          <w:rtl/>
        </w:rPr>
        <w:br/>
      </w:r>
      <w:r>
        <w:rPr>
          <w:rFonts w:hint="cs"/>
          <w:b/>
          <w:bCs/>
          <w:sz w:val="20"/>
          <w:szCs w:val="20"/>
          <w:rtl/>
        </w:rPr>
        <w:t>שיטות הראשונים</w:t>
      </w:r>
      <w:r>
        <w:rPr>
          <w:b/>
          <w:bCs/>
          <w:sz w:val="20"/>
          <w:szCs w:val="20"/>
          <w:rtl/>
        </w:rPr>
        <w:br/>
      </w:r>
      <w:r>
        <w:rPr>
          <w:rFonts w:hint="cs"/>
          <w:sz w:val="20"/>
          <w:szCs w:val="20"/>
          <w:rtl/>
        </w:rPr>
        <w:t xml:space="preserve">א. </w:t>
      </w:r>
      <w:r w:rsidRPr="000370DB">
        <w:rPr>
          <w:rFonts w:hint="cs"/>
          <w:b/>
          <w:bCs/>
          <w:sz w:val="20"/>
          <w:szCs w:val="20"/>
          <w:rtl/>
        </w:rPr>
        <w:t>תרומת הדשן</w:t>
      </w:r>
      <w:r>
        <w:rPr>
          <w:rFonts w:hint="cs"/>
          <w:sz w:val="20"/>
          <w:szCs w:val="20"/>
          <w:rtl/>
        </w:rPr>
        <w:t xml:space="preserve"> </w:t>
      </w:r>
      <w:r>
        <w:rPr>
          <w:sz w:val="20"/>
          <w:szCs w:val="20"/>
          <w:rtl/>
        </w:rPr>
        <w:t>–</w:t>
      </w:r>
      <w:r>
        <w:rPr>
          <w:rFonts w:hint="cs"/>
          <w:sz w:val="20"/>
          <w:szCs w:val="20"/>
          <w:rtl/>
        </w:rPr>
        <w:t xml:space="preserve"> אסור לבעל לגעת באשתו נידה כדי לשמש אותה כשהיא חולה, וכ"פ </w:t>
      </w:r>
      <w:r w:rsidRPr="000370DB">
        <w:rPr>
          <w:rFonts w:hint="cs"/>
          <w:b/>
          <w:bCs/>
          <w:sz w:val="20"/>
          <w:szCs w:val="20"/>
          <w:rtl/>
        </w:rPr>
        <w:t>המחבר</w:t>
      </w:r>
      <w:r>
        <w:rPr>
          <w:rFonts w:hint="cs"/>
          <w:sz w:val="20"/>
          <w:szCs w:val="20"/>
          <w:rtl/>
        </w:rPr>
        <w:t>.</w:t>
      </w:r>
      <w:r>
        <w:rPr>
          <w:sz w:val="20"/>
          <w:szCs w:val="20"/>
          <w:rtl/>
        </w:rPr>
        <w:br/>
      </w:r>
      <w:r w:rsidRPr="000370DB">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חשש שמא יתגבר יצרו עליו ויפייס אותה לדבר עבירה </w:t>
      </w:r>
      <w:r w:rsidRPr="000370DB">
        <w:rPr>
          <w:rFonts w:hint="cs"/>
          <w:sz w:val="18"/>
          <w:szCs w:val="18"/>
          <w:rtl/>
        </w:rPr>
        <w:t>(אך כשהוא חולה אין חשש, כיוון שהוא תשוש)</w:t>
      </w:r>
      <w:r>
        <w:rPr>
          <w:rFonts w:hint="cs"/>
          <w:sz w:val="20"/>
          <w:szCs w:val="20"/>
          <w:rtl/>
        </w:rPr>
        <w:t xml:space="preserve">. </w:t>
      </w:r>
      <w:r>
        <w:rPr>
          <w:rFonts w:hint="cs"/>
          <w:sz w:val="20"/>
          <w:szCs w:val="20"/>
          <w:rtl/>
        </w:rPr>
        <w:br/>
        <w:t xml:space="preserve">ב. </w:t>
      </w:r>
      <w:r w:rsidRPr="000370DB">
        <w:rPr>
          <w:rFonts w:hint="cs"/>
          <w:b/>
          <w:bCs/>
          <w:sz w:val="20"/>
          <w:szCs w:val="20"/>
          <w:rtl/>
        </w:rPr>
        <w:t>שלטי גיבורים</w:t>
      </w:r>
      <w:r>
        <w:rPr>
          <w:rFonts w:hint="cs"/>
          <w:sz w:val="20"/>
          <w:szCs w:val="20"/>
          <w:rtl/>
        </w:rPr>
        <w:t xml:space="preserve"> </w:t>
      </w:r>
      <w:r>
        <w:rPr>
          <w:sz w:val="20"/>
          <w:szCs w:val="20"/>
          <w:rtl/>
        </w:rPr>
        <w:t>–</w:t>
      </w:r>
      <w:r>
        <w:rPr>
          <w:rFonts w:hint="cs"/>
          <w:sz w:val="20"/>
          <w:szCs w:val="20"/>
          <w:rtl/>
        </w:rPr>
        <w:t xml:space="preserve"> מותר לגעת באשתו נידה כשהיא חולה והוא משמש אותה, ומי שנזהר מכך הוא חסיד שוטה, וכ"פ </w:t>
      </w:r>
      <w:r w:rsidRPr="000370DB">
        <w:rPr>
          <w:rFonts w:hint="cs"/>
          <w:b/>
          <w:bCs/>
          <w:sz w:val="20"/>
          <w:szCs w:val="20"/>
          <w:rtl/>
        </w:rPr>
        <w:t>הרמ"א</w:t>
      </w:r>
      <w:r>
        <w:rPr>
          <w:rFonts w:hint="cs"/>
          <w:sz w:val="20"/>
          <w:szCs w:val="20"/>
          <w:rtl/>
        </w:rPr>
        <w:t>.</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70319E">
        <w:rPr>
          <w:rFonts w:cs="Arial"/>
          <w:sz w:val="20"/>
          <w:szCs w:val="20"/>
          <w:rtl/>
        </w:rPr>
        <w:t xml:space="preserve">אשה חולה והיא נדה, אסור לבעלה ליגע בה כדי לשמשה, כגון להקימה ולהשכיבה ולסמכה. </w:t>
      </w:r>
      <w:r w:rsidRPr="0070319E">
        <w:rPr>
          <w:rFonts w:cs="Arial" w:hint="cs"/>
          <w:sz w:val="18"/>
          <w:szCs w:val="18"/>
          <w:rtl/>
        </w:rPr>
        <w:t>הגה:</w:t>
      </w:r>
      <w:r w:rsidRPr="0070319E">
        <w:rPr>
          <w:rFonts w:cs="Arial"/>
          <w:sz w:val="18"/>
          <w:szCs w:val="18"/>
          <w:rtl/>
        </w:rPr>
        <w:t xml:space="preserve"> וי</w:t>
      </w:r>
      <w:r w:rsidRPr="0070319E">
        <w:rPr>
          <w:rFonts w:cs="Arial" w:hint="cs"/>
          <w:sz w:val="18"/>
          <w:szCs w:val="18"/>
          <w:rtl/>
        </w:rPr>
        <w:t>ש אומרים</w:t>
      </w:r>
      <w:r w:rsidRPr="0070319E">
        <w:rPr>
          <w:rFonts w:cs="Arial"/>
          <w:sz w:val="18"/>
          <w:szCs w:val="18"/>
          <w:rtl/>
        </w:rPr>
        <w:t xml:space="preserve"> דאם אין לה מי שישמשנה, מותר בכל</w:t>
      </w:r>
      <w:r w:rsidRPr="0070319E">
        <w:rPr>
          <w:rFonts w:cs="Arial" w:hint="cs"/>
          <w:sz w:val="18"/>
          <w:szCs w:val="18"/>
          <w:rtl/>
        </w:rPr>
        <w:t>,</w:t>
      </w:r>
      <w:r w:rsidRPr="0070319E">
        <w:rPr>
          <w:rFonts w:cs="Arial"/>
          <w:sz w:val="18"/>
          <w:szCs w:val="18"/>
          <w:rtl/>
        </w:rPr>
        <w:t xml:space="preserve"> וכן נוהגין אם צריכה הרבה לכך</w:t>
      </w:r>
      <w:r w:rsidRPr="0070319E">
        <w:rPr>
          <w:rFonts w:cs="Arial"/>
          <w:sz w:val="20"/>
          <w:szCs w:val="20"/>
          <w:rtl/>
        </w:rPr>
        <w:t>.</w:t>
      </w:r>
      <w:r>
        <w:rPr>
          <w:rStyle w:val="a5"/>
          <w:rFonts w:cs="Arial"/>
          <w:sz w:val="20"/>
          <w:szCs w:val="20"/>
          <w:rtl/>
        </w:rPr>
        <w:footnoteReference w:id="491"/>
      </w:r>
      <w:r>
        <w:rPr>
          <w:rFonts w:cs="Arial" w:hint="cs"/>
          <w:sz w:val="20"/>
          <w:szCs w:val="20"/>
          <w:rtl/>
        </w:rPr>
        <w:t>"</w:t>
      </w:r>
      <w:r>
        <w:rPr>
          <w:sz w:val="20"/>
          <w:szCs w:val="20"/>
          <w:rtl/>
        </w:rPr>
        <w:br/>
      </w:r>
      <w:r w:rsidRPr="00643CA6">
        <w:rPr>
          <w:rFonts w:hint="cs"/>
          <w:b/>
          <w:bCs/>
          <w:sz w:val="20"/>
          <w:szCs w:val="20"/>
          <w:rtl/>
        </w:rPr>
        <w:t>טה"ב</w:t>
      </w:r>
      <w:r>
        <w:rPr>
          <w:rFonts w:hint="cs"/>
          <w:sz w:val="20"/>
          <w:szCs w:val="20"/>
          <w:rtl/>
        </w:rPr>
        <w:t xml:space="preserve"> </w:t>
      </w:r>
      <w:r w:rsidRPr="00643CA6">
        <w:rPr>
          <w:rFonts w:hint="cs"/>
          <w:sz w:val="18"/>
          <w:szCs w:val="18"/>
          <w:rtl/>
        </w:rPr>
        <w:t xml:space="preserve">(עמ' רכה) </w:t>
      </w:r>
      <w:r>
        <w:rPr>
          <w:sz w:val="20"/>
          <w:szCs w:val="20"/>
          <w:rtl/>
        </w:rPr>
        <w:t>–</w:t>
      </w:r>
      <w:r>
        <w:rPr>
          <w:rFonts w:hint="cs"/>
          <w:sz w:val="20"/>
          <w:szCs w:val="20"/>
          <w:rtl/>
        </w:rPr>
        <w:t xml:space="preserve"> גם לדברי המחבר, כאשר מדובר בחולי שיש בו סכנה, מותר לבעל לגעת באשתו נידה.</w:t>
      </w:r>
    </w:p>
    <w:p w:rsidR="00620060" w:rsidRPr="008A19ED" w:rsidRDefault="00620060" w:rsidP="00620060">
      <w:pPr>
        <w:rPr>
          <w:sz w:val="20"/>
          <w:szCs w:val="20"/>
          <w:rtl/>
        </w:rPr>
      </w:pPr>
      <w:r>
        <w:rPr>
          <w:rFonts w:hint="cs"/>
          <w:sz w:val="20"/>
          <w:szCs w:val="20"/>
          <w:u w:val="single"/>
          <w:rtl/>
        </w:rPr>
        <w:t>שימושים ללא נגיעה לדעת המחבר</w:t>
      </w:r>
      <w:r>
        <w:rPr>
          <w:sz w:val="20"/>
          <w:szCs w:val="20"/>
          <w:u w:val="single"/>
          <w:rtl/>
        </w:rPr>
        <w:br/>
      </w:r>
      <w:r w:rsidRPr="00747AD7">
        <w:rPr>
          <w:rFonts w:hint="cs"/>
          <w:b/>
          <w:bCs/>
          <w:sz w:val="20"/>
          <w:szCs w:val="20"/>
          <w:rtl/>
        </w:rPr>
        <w:t>תורת הטהרה</w:t>
      </w:r>
      <w:r w:rsidRPr="00747AD7">
        <w:rPr>
          <w:rStyle w:val="a5"/>
          <w:sz w:val="20"/>
          <w:szCs w:val="20"/>
          <w:rtl/>
        </w:rPr>
        <w:footnoteReference w:id="492"/>
      </w:r>
      <w:r>
        <w:rPr>
          <w:rFonts w:hint="cs"/>
          <w:sz w:val="20"/>
          <w:szCs w:val="20"/>
          <w:rtl/>
        </w:rPr>
        <w:t xml:space="preserve"> </w:t>
      </w:r>
      <w:r>
        <w:rPr>
          <w:sz w:val="20"/>
          <w:szCs w:val="20"/>
          <w:rtl/>
        </w:rPr>
        <w:t>–</w:t>
      </w:r>
      <w:r>
        <w:rPr>
          <w:rFonts w:hint="cs"/>
          <w:sz w:val="20"/>
          <w:szCs w:val="20"/>
          <w:rtl/>
        </w:rPr>
        <w:t xml:space="preserve"> "אף במקום שאין חשש סכנה, רשאים להקל במסירת מאכל ומשקה מידו לידה או בנגיעה ע"י דבר אחר כהנעלת מנעל והתרתו או בהפסק בגד... ודווקא בנגיעה ממש כגון להקימה ולהשכיבה ולסמכה יש להחמיר"</w:t>
      </w:r>
    </w:p>
    <w:p w:rsidR="00620060" w:rsidRDefault="00620060" w:rsidP="00620060">
      <w:pPr>
        <w:rPr>
          <w:sz w:val="20"/>
          <w:szCs w:val="20"/>
          <w:rtl/>
        </w:rPr>
      </w:pPr>
      <w:r>
        <w:rPr>
          <w:rFonts w:hint="cs"/>
          <w:sz w:val="20"/>
          <w:szCs w:val="20"/>
          <w:u w:val="single"/>
          <w:rtl/>
        </w:rPr>
        <w:t>שכירת משרתת</w:t>
      </w:r>
      <w:r>
        <w:rPr>
          <w:sz w:val="20"/>
          <w:szCs w:val="20"/>
          <w:u w:val="single"/>
          <w:rtl/>
        </w:rPr>
        <w:br/>
      </w:r>
      <w:r w:rsidRPr="005B0AEC">
        <w:rPr>
          <w:rFonts w:hint="cs"/>
          <w:b/>
          <w:bCs/>
          <w:sz w:val="20"/>
          <w:szCs w:val="20"/>
          <w:rtl/>
        </w:rPr>
        <w:t xml:space="preserve">בדי השולחן </w:t>
      </w:r>
      <w:r>
        <w:rPr>
          <w:sz w:val="20"/>
          <w:szCs w:val="20"/>
          <w:rtl/>
        </w:rPr>
        <w:t>–</w:t>
      </w:r>
      <w:r>
        <w:rPr>
          <w:rFonts w:hint="cs"/>
          <w:sz w:val="20"/>
          <w:szCs w:val="20"/>
          <w:rtl/>
        </w:rPr>
        <w:t xml:space="preserve"> מדיוק בדברי הרמ"א משמע אם יכול לשכור לה משרתת, חייב. </w:t>
      </w:r>
      <w:r w:rsidRPr="007C1FC2">
        <w:rPr>
          <w:rFonts w:hint="cs"/>
          <w:sz w:val="18"/>
          <w:szCs w:val="18"/>
          <w:rtl/>
        </w:rPr>
        <w:t>(חמור מדין בעל חולה)</w:t>
      </w:r>
      <w:r>
        <w:rPr>
          <w:rFonts w:hint="cs"/>
          <w:sz w:val="20"/>
          <w:szCs w:val="20"/>
          <w:rtl/>
        </w:rPr>
        <w:t>.</w:t>
      </w:r>
    </w:p>
    <w:p w:rsidR="00620060"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3C4210">
        <w:rPr>
          <w:rFonts w:hint="cs"/>
          <w:b/>
          <w:bCs/>
          <w:sz w:val="20"/>
          <w:szCs w:val="20"/>
          <w:rtl/>
        </w:rPr>
        <w:t>ת"ה</w:t>
      </w:r>
      <w:r>
        <w:rPr>
          <w:rFonts w:hint="cs"/>
          <w:sz w:val="20"/>
          <w:szCs w:val="20"/>
          <w:rtl/>
        </w:rPr>
        <w:t xml:space="preserve">. אסור לבעל לגעת באשתו נידה לשמשה כשהיא חולה, וכ"פ </w:t>
      </w:r>
      <w:r w:rsidRPr="003C4210">
        <w:rPr>
          <w:rFonts w:hint="cs"/>
          <w:b/>
          <w:bCs/>
          <w:sz w:val="20"/>
          <w:szCs w:val="20"/>
          <w:rtl/>
        </w:rPr>
        <w:t>המחבר</w:t>
      </w:r>
      <w:r>
        <w:rPr>
          <w:rFonts w:hint="cs"/>
          <w:sz w:val="20"/>
          <w:szCs w:val="20"/>
          <w:rtl/>
        </w:rPr>
        <w:t xml:space="preserve">. </w:t>
      </w:r>
      <w:r w:rsidRPr="003C4210">
        <w:rPr>
          <w:rFonts w:hint="cs"/>
          <w:b/>
          <w:bCs/>
          <w:sz w:val="20"/>
          <w:szCs w:val="20"/>
          <w:rtl/>
        </w:rPr>
        <w:t>טעם</w:t>
      </w:r>
      <w:r>
        <w:rPr>
          <w:rFonts w:hint="cs"/>
          <w:sz w:val="20"/>
          <w:szCs w:val="20"/>
          <w:rtl/>
        </w:rPr>
        <w:t>. שמא יתגבר יצרו.</w:t>
      </w:r>
      <w:r>
        <w:rPr>
          <w:rFonts w:hint="cs"/>
          <w:sz w:val="20"/>
          <w:szCs w:val="20"/>
          <w:rtl/>
        </w:rPr>
        <w:br/>
      </w:r>
      <w:r w:rsidRPr="003C4210">
        <w:rPr>
          <w:rFonts w:hint="cs"/>
          <w:b/>
          <w:bCs/>
          <w:sz w:val="20"/>
          <w:szCs w:val="20"/>
          <w:rtl/>
        </w:rPr>
        <w:t>טה"ב</w:t>
      </w:r>
      <w:r>
        <w:rPr>
          <w:rFonts w:hint="cs"/>
          <w:sz w:val="20"/>
          <w:szCs w:val="20"/>
          <w:rtl/>
        </w:rPr>
        <w:t>. בחולי שיש בו סכנה מותר.</w:t>
      </w:r>
      <w:r>
        <w:rPr>
          <w:sz w:val="20"/>
          <w:szCs w:val="20"/>
          <w:rtl/>
        </w:rPr>
        <w:br/>
      </w:r>
      <w:r>
        <w:rPr>
          <w:rFonts w:hint="cs"/>
          <w:sz w:val="20"/>
          <w:szCs w:val="20"/>
          <w:rtl/>
        </w:rPr>
        <w:t xml:space="preserve">2. </w:t>
      </w:r>
      <w:r w:rsidRPr="003C4210">
        <w:rPr>
          <w:rFonts w:hint="cs"/>
          <w:b/>
          <w:bCs/>
          <w:sz w:val="20"/>
          <w:szCs w:val="20"/>
          <w:rtl/>
        </w:rPr>
        <w:t>של"ג</w:t>
      </w:r>
      <w:r>
        <w:rPr>
          <w:rFonts w:hint="cs"/>
          <w:sz w:val="20"/>
          <w:szCs w:val="20"/>
          <w:rtl/>
        </w:rPr>
        <w:t xml:space="preserve">. מותר, ומי שנזהר מכך הוא חסיד שוטה, וכ"פ </w:t>
      </w:r>
      <w:r w:rsidRPr="003C4210">
        <w:rPr>
          <w:rFonts w:hint="cs"/>
          <w:b/>
          <w:bCs/>
          <w:sz w:val="20"/>
          <w:szCs w:val="20"/>
          <w:rtl/>
        </w:rPr>
        <w:t>הרמ"א</w:t>
      </w:r>
      <w:r>
        <w:rPr>
          <w:rFonts w:hint="cs"/>
          <w:sz w:val="20"/>
          <w:szCs w:val="20"/>
          <w:rtl/>
        </w:rPr>
        <w:t>.</w:t>
      </w:r>
      <w:r>
        <w:rPr>
          <w:rFonts w:hint="cs"/>
          <w:sz w:val="20"/>
          <w:szCs w:val="20"/>
          <w:rtl/>
        </w:rPr>
        <w:br/>
      </w:r>
      <w:r>
        <w:rPr>
          <w:rFonts w:hint="cs"/>
          <w:sz w:val="20"/>
          <w:szCs w:val="20"/>
          <w:rtl/>
        </w:rPr>
        <w:lastRenderedPageBreak/>
        <w:t xml:space="preserve">3. </w:t>
      </w:r>
      <w:r w:rsidRPr="003C4210">
        <w:rPr>
          <w:rFonts w:hint="cs"/>
          <w:b/>
          <w:bCs/>
          <w:sz w:val="20"/>
          <w:szCs w:val="20"/>
          <w:rtl/>
        </w:rPr>
        <w:t>תורת הטהרה</w:t>
      </w:r>
      <w:r>
        <w:rPr>
          <w:rFonts w:hint="cs"/>
          <w:sz w:val="20"/>
          <w:szCs w:val="20"/>
          <w:rtl/>
        </w:rPr>
        <w:t>. גם לדעת המחבר מותר לבעל לשמש את אשתו בשימושים שאין בהם נגיעה.</w:t>
      </w:r>
      <w:r>
        <w:rPr>
          <w:sz w:val="20"/>
          <w:szCs w:val="20"/>
          <w:rtl/>
        </w:rPr>
        <w:br/>
      </w:r>
      <w:r>
        <w:rPr>
          <w:rFonts w:hint="cs"/>
          <w:sz w:val="20"/>
          <w:szCs w:val="20"/>
          <w:rtl/>
        </w:rPr>
        <w:t xml:space="preserve">4. </w:t>
      </w:r>
      <w:r w:rsidRPr="003C4210">
        <w:rPr>
          <w:rFonts w:hint="cs"/>
          <w:b/>
          <w:bCs/>
          <w:sz w:val="20"/>
          <w:szCs w:val="20"/>
          <w:rtl/>
        </w:rPr>
        <w:t>בדה"ש</w:t>
      </w:r>
      <w:r>
        <w:rPr>
          <w:rFonts w:hint="cs"/>
          <w:sz w:val="20"/>
          <w:szCs w:val="20"/>
          <w:rtl/>
        </w:rPr>
        <w:t xml:space="preserve">. גם לדעת </w:t>
      </w:r>
      <w:r w:rsidRPr="003C4210">
        <w:rPr>
          <w:rFonts w:hint="cs"/>
          <w:b/>
          <w:bCs/>
          <w:sz w:val="20"/>
          <w:szCs w:val="20"/>
          <w:rtl/>
        </w:rPr>
        <w:t>הרמ"א</w:t>
      </w:r>
      <w:r>
        <w:rPr>
          <w:rFonts w:hint="cs"/>
          <w:sz w:val="20"/>
          <w:szCs w:val="20"/>
          <w:rtl/>
        </w:rPr>
        <w:t>, אם יכול לשכור משרתת חייב בכך.</w:t>
      </w:r>
    </w:p>
    <w:p w:rsidR="00620060" w:rsidRPr="00A912D5" w:rsidRDefault="00620060" w:rsidP="00620060">
      <w:pPr>
        <w:rPr>
          <w:sz w:val="20"/>
          <w:szCs w:val="20"/>
        </w:rPr>
      </w:pPr>
      <w:r>
        <w:rPr>
          <w:sz w:val="20"/>
          <w:szCs w:val="20"/>
          <w:rtl/>
        </w:rPr>
        <w:br/>
      </w:r>
      <w:r>
        <w:rPr>
          <w:rFonts w:hint="cs"/>
          <w:b/>
          <w:bCs/>
          <w:sz w:val="20"/>
          <w:szCs w:val="20"/>
          <w:rtl/>
        </w:rPr>
        <w:t xml:space="preserve">סעיף יז </w:t>
      </w:r>
      <w:r>
        <w:rPr>
          <w:b/>
          <w:bCs/>
          <w:sz w:val="20"/>
          <w:szCs w:val="20"/>
          <w:rtl/>
        </w:rPr>
        <w:t>–</w:t>
      </w:r>
      <w:r>
        <w:rPr>
          <w:rFonts w:hint="cs"/>
          <w:b/>
          <w:bCs/>
          <w:sz w:val="20"/>
          <w:szCs w:val="20"/>
          <w:rtl/>
        </w:rPr>
        <w:t xml:space="preserve"> טיפול רפואי של בעל באשתו נידה</w:t>
      </w:r>
      <w:r>
        <w:rPr>
          <w:b/>
          <w:bCs/>
          <w:sz w:val="20"/>
          <w:szCs w:val="20"/>
          <w:rtl/>
        </w:rPr>
        <w:br/>
      </w:r>
      <w:r>
        <w:rPr>
          <w:rFonts w:hint="cs"/>
          <w:b/>
          <w:bCs/>
          <w:sz w:val="20"/>
          <w:szCs w:val="20"/>
          <w:rtl/>
        </w:rPr>
        <w:t>שיטות הראשונים</w:t>
      </w:r>
      <w:r>
        <w:rPr>
          <w:rFonts w:hint="cs"/>
          <w:b/>
          <w:bCs/>
          <w:sz w:val="20"/>
          <w:szCs w:val="20"/>
          <w:rtl/>
        </w:rPr>
        <w:br/>
      </w:r>
      <w:r w:rsidRPr="00A912D5">
        <w:rPr>
          <w:rFonts w:hint="cs"/>
          <w:b/>
          <w:bCs/>
          <w:sz w:val="20"/>
          <w:szCs w:val="20"/>
          <w:rtl/>
        </w:rPr>
        <w:t>בית יוסף</w:t>
      </w:r>
      <w:r>
        <w:rPr>
          <w:rFonts w:hint="cs"/>
          <w:sz w:val="20"/>
          <w:szCs w:val="20"/>
          <w:rtl/>
        </w:rPr>
        <w:t xml:space="preserve"> </w:t>
      </w:r>
      <w:r>
        <w:rPr>
          <w:sz w:val="20"/>
          <w:szCs w:val="20"/>
          <w:rtl/>
        </w:rPr>
        <w:t>–</w:t>
      </w:r>
      <w:r>
        <w:rPr>
          <w:rFonts w:hint="cs"/>
          <w:sz w:val="20"/>
          <w:szCs w:val="20"/>
          <w:rtl/>
        </w:rPr>
        <w:t xml:space="preserve"> </w:t>
      </w:r>
      <w:r w:rsidRPr="00A912D5">
        <w:rPr>
          <w:rFonts w:hint="cs"/>
          <w:b/>
          <w:bCs/>
          <w:sz w:val="20"/>
          <w:szCs w:val="20"/>
          <w:rtl/>
        </w:rPr>
        <w:t>תרומת הדשן</w:t>
      </w:r>
      <w:r>
        <w:rPr>
          <w:rFonts w:hint="cs"/>
          <w:sz w:val="20"/>
          <w:szCs w:val="20"/>
          <w:rtl/>
        </w:rPr>
        <w:t xml:space="preserve">, </w:t>
      </w:r>
      <w:r w:rsidRPr="00A912D5">
        <w:rPr>
          <w:rFonts w:hint="cs"/>
          <w:b/>
          <w:bCs/>
          <w:sz w:val="20"/>
          <w:szCs w:val="20"/>
          <w:rtl/>
        </w:rPr>
        <w:t>רמב"ן ורמב"ם</w:t>
      </w:r>
      <w:r>
        <w:rPr>
          <w:rFonts w:hint="cs"/>
          <w:sz w:val="20"/>
          <w:szCs w:val="20"/>
          <w:rtl/>
        </w:rPr>
        <w:t xml:space="preserve"> אוסרים לבעל למשש לאשתו חולה את הדופק בשעה שהיא נידה.</w:t>
      </w:r>
      <w:r>
        <w:rPr>
          <w:sz w:val="20"/>
          <w:szCs w:val="20"/>
          <w:rtl/>
        </w:rPr>
        <w:br/>
      </w:r>
      <w:r>
        <w:rPr>
          <w:rFonts w:hint="cs"/>
          <w:sz w:val="20"/>
          <w:szCs w:val="20"/>
          <w:rtl/>
        </w:rPr>
        <w:t xml:space="preserve">ואמנם, משמע מדבריהם שנחלקו האם מותר לעשות כן כאשר החולי מסוכן ואין שם רופא אחר שיטפל בה - </w:t>
      </w:r>
      <w:r>
        <w:rPr>
          <w:sz w:val="20"/>
          <w:szCs w:val="20"/>
          <w:rtl/>
        </w:rPr>
        <w:br/>
      </w:r>
      <w:r>
        <w:rPr>
          <w:rFonts w:hint="cs"/>
          <w:sz w:val="20"/>
          <w:szCs w:val="20"/>
          <w:rtl/>
        </w:rPr>
        <w:t xml:space="preserve">א. </w:t>
      </w:r>
      <w:r w:rsidRPr="00593392">
        <w:rPr>
          <w:rFonts w:hint="cs"/>
          <w:b/>
          <w:bCs/>
          <w:sz w:val="20"/>
          <w:szCs w:val="20"/>
          <w:rtl/>
        </w:rPr>
        <w:t>רמב"ן</w:t>
      </w:r>
      <w:r>
        <w:rPr>
          <w:rFonts w:hint="cs"/>
          <w:sz w:val="20"/>
          <w:szCs w:val="20"/>
          <w:rtl/>
        </w:rPr>
        <w:t xml:space="preserve"> </w:t>
      </w:r>
      <w:r>
        <w:rPr>
          <w:sz w:val="20"/>
          <w:szCs w:val="20"/>
          <w:rtl/>
        </w:rPr>
        <w:t>–</w:t>
      </w:r>
      <w:r>
        <w:rPr>
          <w:rFonts w:hint="cs"/>
          <w:sz w:val="20"/>
          <w:szCs w:val="20"/>
          <w:rtl/>
        </w:rPr>
        <w:t xml:space="preserve"> מותר, וכ"פ </w:t>
      </w:r>
      <w:r w:rsidRPr="00A912D5">
        <w:rPr>
          <w:rFonts w:hint="cs"/>
          <w:b/>
          <w:bCs/>
          <w:sz w:val="20"/>
          <w:szCs w:val="20"/>
          <w:rtl/>
        </w:rPr>
        <w:t>הרמ"א</w:t>
      </w:r>
      <w:r>
        <w:rPr>
          <w:rFonts w:hint="cs"/>
          <w:sz w:val="20"/>
          <w:szCs w:val="20"/>
          <w:rtl/>
        </w:rPr>
        <w:t>.</w:t>
      </w:r>
      <w:r>
        <w:rPr>
          <w:sz w:val="20"/>
          <w:szCs w:val="20"/>
          <w:rtl/>
        </w:rPr>
        <w:br/>
      </w:r>
      <w:r w:rsidRPr="00593392">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הרמב"ן לשיטתו שנגיעה בנידה אסורה מדרבנן בלבד, ובכה"ג מותר.</w:t>
      </w:r>
      <w:r>
        <w:rPr>
          <w:sz w:val="20"/>
          <w:szCs w:val="20"/>
          <w:rtl/>
        </w:rPr>
        <w:br/>
      </w:r>
      <w:r>
        <w:rPr>
          <w:rFonts w:hint="cs"/>
          <w:sz w:val="20"/>
          <w:szCs w:val="20"/>
          <w:rtl/>
        </w:rPr>
        <w:t xml:space="preserve">ב. </w:t>
      </w:r>
      <w:r w:rsidRPr="00593392">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אפשר שאסור וצ"ע, וכ"פ </w:t>
      </w:r>
      <w:r w:rsidRPr="00A912D5">
        <w:rPr>
          <w:rFonts w:hint="cs"/>
          <w:b/>
          <w:bCs/>
          <w:sz w:val="20"/>
          <w:szCs w:val="20"/>
          <w:rtl/>
        </w:rPr>
        <w:t>המחבר</w:t>
      </w:r>
      <w:r>
        <w:rPr>
          <w:rFonts w:hint="cs"/>
          <w:sz w:val="20"/>
          <w:szCs w:val="20"/>
          <w:rtl/>
        </w:rPr>
        <w:t xml:space="preserve"> לאסור.</w:t>
      </w:r>
      <w:r>
        <w:rPr>
          <w:sz w:val="20"/>
          <w:szCs w:val="20"/>
          <w:rtl/>
        </w:rPr>
        <w:br/>
      </w:r>
      <w:r w:rsidRPr="00593392">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שיטת הרמב"ם היא שנגיעה בנידה אסורה מדאורייתא משום </w:t>
      </w:r>
      <w:r w:rsidRPr="00A912D5">
        <w:rPr>
          <w:rFonts w:hint="cs"/>
          <w:sz w:val="20"/>
          <w:szCs w:val="20"/>
          <w:rtl/>
        </w:rPr>
        <w:t>אביזרא דגילוי עריות, ולכן יש לומר שאף כשיש סכנה אסור.</w:t>
      </w:r>
      <w:r>
        <w:rPr>
          <w:b/>
          <w:bCs/>
          <w:sz w:val="20"/>
          <w:szCs w:val="20"/>
          <w:rtl/>
        </w:rPr>
        <w:br/>
      </w:r>
      <w:r>
        <w:rPr>
          <w:rFonts w:hint="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A912D5">
        <w:rPr>
          <w:rFonts w:cs="Arial"/>
          <w:sz w:val="20"/>
          <w:szCs w:val="20"/>
          <w:rtl/>
        </w:rPr>
        <w:t xml:space="preserve">אם בעלה רופא, אסור למשש לה הדפק. </w:t>
      </w:r>
      <w:r w:rsidRPr="00A912D5">
        <w:rPr>
          <w:rFonts w:cs="Arial"/>
          <w:sz w:val="18"/>
          <w:szCs w:val="18"/>
          <w:rtl/>
        </w:rPr>
        <w:t>הגה: ולפי מה שכתבתי דנוהגין היתר אם צריכה אליו דמשמש לה, כ</w:t>
      </w:r>
      <w:r>
        <w:rPr>
          <w:rFonts w:cs="Arial" w:hint="cs"/>
          <w:sz w:val="18"/>
          <w:szCs w:val="18"/>
          <w:rtl/>
        </w:rPr>
        <w:t>ל שכן</w:t>
      </w:r>
      <w:r w:rsidRPr="00A912D5">
        <w:rPr>
          <w:rFonts w:cs="Arial"/>
          <w:sz w:val="18"/>
          <w:szCs w:val="18"/>
          <w:rtl/>
        </w:rPr>
        <w:t xml:space="preserve"> דמותר למשש לה הדפק אם אין רופא אחר וצריכה אליו ויש סכנה בח</w:t>
      </w:r>
      <w:r>
        <w:rPr>
          <w:rFonts w:cs="Arial" w:hint="cs"/>
          <w:sz w:val="18"/>
          <w:szCs w:val="18"/>
          <w:rtl/>
        </w:rPr>
        <w:t>ו</w:t>
      </w:r>
      <w:r w:rsidRPr="00A912D5">
        <w:rPr>
          <w:rFonts w:cs="Arial"/>
          <w:sz w:val="18"/>
          <w:szCs w:val="18"/>
          <w:rtl/>
        </w:rPr>
        <w:t>ליה</w:t>
      </w:r>
      <w:r>
        <w:rPr>
          <w:rStyle w:val="a5"/>
          <w:rFonts w:cs="Arial"/>
          <w:sz w:val="18"/>
          <w:szCs w:val="18"/>
          <w:rtl/>
        </w:rPr>
        <w:footnoteReference w:id="493"/>
      </w:r>
      <w:r w:rsidRPr="00A912D5">
        <w:rPr>
          <w:rFonts w:cs="Arial" w:hint="cs"/>
          <w:sz w:val="18"/>
          <w:szCs w:val="18"/>
          <w:rtl/>
        </w:rPr>
        <w:t>".</w:t>
      </w:r>
    </w:p>
    <w:p w:rsidR="00620060" w:rsidRDefault="00620060" w:rsidP="00620060">
      <w:pPr>
        <w:rPr>
          <w:sz w:val="20"/>
          <w:szCs w:val="20"/>
          <w:rtl/>
        </w:rPr>
      </w:pPr>
      <w:r w:rsidRPr="00CB15F5">
        <w:rPr>
          <w:rFonts w:hint="cs"/>
          <w:sz w:val="20"/>
          <w:szCs w:val="20"/>
          <w:u w:val="single"/>
          <w:rtl/>
        </w:rPr>
        <w:t>הבנת הש"ך ב</w:t>
      </w:r>
      <w:r>
        <w:rPr>
          <w:rFonts w:hint="cs"/>
          <w:sz w:val="20"/>
          <w:szCs w:val="20"/>
          <w:u w:val="single"/>
          <w:rtl/>
        </w:rPr>
        <w:t>דברי ה</w:t>
      </w:r>
      <w:r w:rsidRPr="00CB15F5">
        <w:rPr>
          <w:rFonts w:hint="cs"/>
          <w:sz w:val="20"/>
          <w:szCs w:val="20"/>
          <w:u w:val="single"/>
          <w:rtl/>
        </w:rPr>
        <w:t>רמב"ם</w:t>
      </w:r>
      <w:r>
        <w:rPr>
          <w:rFonts w:hint="cs"/>
          <w:rtl/>
        </w:rPr>
        <w:br/>
      </w:r>
      <w:r w:rsidRPr="002459D8">
        <w:rPr>
          <w:rFonts w:hint="cs"/>
          <w:b/>
          <w:bCs/>
          <w:sz w:val="20"/>
          <w:szCs w:val="20"/>
          <w:rtl/>
        </w:rPr>
        <w:t>ש"ך</w:t>
      </w:r>
      <w:r w:rsidRPr="00CB15F5">
        <w:rPr>
          <w:rFonts w:hint="cs"/>
          <w:sz w:val="20"/>
          <w:szCs w:val="20"/>
          <w:rtl/>
        </w:rPr>
        <w:t xml:space="preserve"> </w:t>
      </w:r>
      <w:r w:rsidRPr="00CB15F5">
        <w:rPr>
          <w:sz w:val="20"/>
          <w:szCs w:val="20"/>
          <w:rtl/>
        </w:rPr>
        <w:t>–</w:t>
      </w:r>
      <w:r w:rsidRPr="00CB15F5">
        <w:rPr>
          <w:rFonts w:hint="cs"/>
          <w:sz w:val="20"/>
          <w:szCs w:val="20"/>
          <w:rtl/>
        </w:rPr>
        <w:t xml:space="preserve"> הבנת הבית יוסף ברמב"ם אינה נכונה</w:t>
      </w:r>
      <w:r>
        <w:rPr>
          <w:rFonts w:hint="cs"/>
          <w:sz w:val="20"/>
          <w:szCs w:val="20"/>
          <w:rtl/>
        </w:rPr>
        <w:t>. כוונת הרמב"ם לאסור מדאורייתא רק נגיעה הנעשית דרך תאווה וחיבת ביאת, אך נגיעה לצורך רפואי מותרת, וכן מנהג העולם שרופאים מטפלים בנשים למרות שהן נשואות.</w:t>
      </w:r>
      <w:r>
        <w:rPr>
          <w:sz w:val="20"/>
          <w:szCs w:val="20"/>
          <w:rtl/>
        </w:rPr>
        <w:br/>
      </w:r>
      <w:r>
        <w:rPr>
          <w:rFonts w:hint="cs"/>
          <w:sz w:val="20"/>
          <w:szCs w:val="20"/>
          <w:rtl/>
        </w:rPr>
        <w:t>אמנם, אם אין סכנה בדבר אין לבעל למשש את הדופק לאשתו נידה</w:t>
      </w:r>
      <w:r>
        <w:rPr>
          <w:rStyle w:val="a5"/>
          <w:sz w:val="20"/>
          <w:szCs w:val="20"/>
          <w:rtl/>
        </w:rPr>
        <w:footnoteReference w:id="494"/>
      </w:r>
      <w:r>
        <w:rPr>
          <w:rFonts w:hint="cs"/>
          <w:sz w:val="20"/>
          <w:szCs w:val="20"/>
          <w:rtl/>
        </w:rPr>
        <w:t xml:space="preserve">, וכדברי </w:t>
      </w:r>
      <w:r w:rsidRPr="002459D8">
        <w:rPr>
          <w:rFonts w:hint="cs"/>
          <w:b/>
          <w:bCs/>
          <w:sz w:val="20"/>
          <w:szCs w:val="20"/>
          <w:rtl/>
        </w:rPr>
        <w:t>הרמ"א</w:t>
      </w:r>
      <w:r>
        <w:rPr>
          <w:rFonts w:hint="cs"/>
          <w:sz w:val="20"/>
          <w:szCs w:val="20"/>
          <w:rtl/>
        </w:rPr>
        <w:t>.</w:t>
      </w:r>
    </w:p>
    <w:p w:rsidR="00620060" w:rsidRDefault="00620060" w:rsidP="00620060">
      <w:pPr>
        <w:rPr>
          <w:sz w:val="20"/>
          <w:szCs w:val="20"/>
          <w:rtl/>
        </w:rPr>
      </w:pPr>
      <w:r>
        <w:rPr>
          <w:rFonts w:hint="cs"/>
          <w:sz w:val="20"/>
          <w:szCs w:val="20"/>
          <w:u w:val="single"/>
          <w:rtl/>
        </w:rPr>
        <w:t xml:space="preserve">יישוב שיטת המחבר </w:t>
      </w:r>
      <w:r>
        <w:rPr>
          <w:sz w:val="20"/>
          <w:szCs w:val="20"/>
          <w:u w:val="single"/>
          <w:rtl/>
        </w:rPr>
        <w:t>–</w:t>
      </w:r>
      <w:r>
        <w:rPr>
          <w:rFonts w:hint="cs"/>
          <w:sz w:val="20"/>
          <w:szCs w:val="20"/>
          <w:u w:val="single"/>
          <w:rtl/>
        </w:rPr>
        <w:t xml:space="preserve"> דין רופא נשים (טה"ב עמ' רכט)</w:t>
      </w:r>
      <w:r>
        <w:rPr>
          <w:rFonts w:hint="cs"/>
          <w:sz w:val="20"/>
          <w:szCs w:val="20"/>
          <w:u w:val="single"/>
          <w:rtl/>
        </w:rPr>
        <w:br/>
      </w:r>
      <w:r w:rsidRPr="00D061DA">
        <w:rPr>
          <w:rFonts w:hint="cs"/>
          <w:b/>
          <w:bCs/>
          <w:sz w:val="20"/>
          <w:szCs w:val="20"/>
          <w:rtl/>
        </w:rPr>
        <w:t>חיד"א</w:t>
      </w:r>
      <w:r>
        <w:rPr>
          <w:rFonts w:hint="cs"/>
          <w:sz w:val="20"/>
          <w:szCs w:val="20"/>
          <w:rtl/>
        </w:rPr>
        <w:t xml:space="preserve"> </w:t>
      </w:r>
      <w:r>
        <w:rPr>
          <w:sz w:val="20"/>
          <w:szCs w:val="20"/>
          <w:rtl/>
        </w:rPr>
        <w:t>–</w:t>
      </w:r>
      <w:r>
        <w:rPr>
          <w:rFonts w:hint="cs"/>
          <w:sz w:val="20"/>
          <w:szCs w:val="20"/>
          <w:rtl/>
        </w:rPr>
        <w:t xml:space="preserve"> </w:t>
      </w:r>
      <w:r w:rsidRPr="00D061DA">
        <w:rPr>
          <w:rFonts w:hint="cs"/>
          <w:b/>
          <w:bCs/>
          <w:sz w:val="20"/>
          <w:szCs w:val="20"/>
          <w:rtl/>
        </w:rPr>
        <w:t>הבית יוסף</w:t>
      </w:r>
      <w:r>
        <w:rPr>
          <w:rFonts w:hint="cs"/>
          <w:sz w:val="20"/>
          <w:szCs w:val="20"/>
          <w:rtl/>
        </w:rPr>
        <w:t xml:space="preserve"> מודה שנגיעה לצורך רפואי אינה אסורה מדאורייתא לרמב"ם, ולכן כדין נהגו רופאים לטפל בנשים למרות שהם נוגעים בהן, וכדברי </w:t>
      </w:r>
      <w:r w:rsidRPr="00D061DA">
        <w:rPr>
          <w:rFonts w:hint="cs"/>
          <w:b/>
          <w:bCs/>
          <w:sz w:val="20"/>
          <w:szCs w:val="20"/>
          <w:rtl/>
        </w:rPr>
        <w:t>הש"ך</w:t>
      </w:r>
      <w:r>
        <w:rPr>
          <w:rFonts w:hint="cs"/>
          <w:sz w:val="20"/>
          <w:szCs w:val="20"/>
          <w:rtl/>
        </w:rPr>
        <w:t xml:space="preserve">. ואעפ"כ, סובר </w:t>
      </w:r>
      <w:r w:rsidRPr="00D061DA">
        <w:rPr>
          <w:rFonts w:hint="cs"/>
          <w:b/>
          <w:bCs/>
          <w:sz w:val="20"/>
          <w:szCs w:val="20"/>
          <w:rtl/>
        </w:rPr>
        <w:t>הבית יוסף</w:t>
      </w:r>
      <w:r>
        <w:rPr>
          <w:rFonts w:hint="cs"/>
          <w:sz w:val="20"/>
          <w:szCs w:val="20"/>
          <w:rtl/>
        </w:rPr>
        <w:t xml:space="preserve"> שדין אשתו נידה חמור טפי, כיוון שליבו גס בה וכו', ולכן החמיר רק באשתו נידה, וגם חומרה זו הניח </w:t>
      </w:r>
      <w:r w:rsidRPr="00D061DA">
        <w:rPr>
          <w:rFonts w:hint="cs"/>
          <w:b/>
          <w:bCs/>
          <w:sz w:val="20"/>
          <w:szCs w:val="20"/>
          <w:rtl/>
        </w:rPr>
        <w:t>בבית יוסף</w:t>
      </w:r>
      <w:r>
        <w:rPr>
          <w:rFonts w:hint="cs"/>
          <w:sz w:val="20"/>
          <w:szCs w:val="20"/>
          <w:rtl/>
        </w:rPr>
        <w:t xml:space="preserve"> בצ"ע.</w:t>
      </w:r>
      <w:r>
        <w:rPr>
          <w:rStyle w:val="a5"/>
          <w:sz w:val="20"/>
          <w:szCs w:val="20"/>
          <w:rtl/>
        </w:rPr>
        <w:footnoteReference w:id="495"/>
      </w:r>
    </w:p>
    <w:p w:rsidR="00620060" w:rsidRPr="005820F8" w:rsidRDefault="00620060" w:rsidP="00620060">
      <w:pPr>
        <w:rPr>
          <w:sz w:val="20"/>
          <w:szCs w:val="20"/>
          <w:rtl/>
        </w:rPr>
      </w:pPr>
      <w:r>
        <w:rPr>
          <w:rFonts w:hint="cs"/>
          <w:sz w:val="20"/>
          <w:szCs w:val="20"/>
          <w:u w:val="single"/>
          <w:rtl/>
        </w:rPr>
        <w:t>הליכה לבית קברות בימי נידותה</w:t>
      </w:r>
      <w:r>
        <w:rPr>
          <w:sz w:val="20"/>
          <w:szCs w:val="20"/>
          <w:u w:val="single"/>
          <w:rtl/>
        </w:rPr>
        <w:br/>
      </w:r>
      <w:r>
        <w:rPr>
          <w:rFonts w:hint="cs"/>
          <w:sz w:val="20"/>
          <w:szCs w:val="20"/>
          <w:rtl/>
        </w:rPr>
        <w:t xml:space="preserve">א. </w:t>
      </w:r>
      <w:r w:rsidRPr="00E82F61">
        <w:rPr>
          <w:rFonts w:hint="cs"/>
          <w:b/>
          <w:bCs/>
          <w:sz w:val="20"/>
          <w:szCs w:val="20"/>
          <w:rtl/>
        </w:rPr>
        <w:t>חיי אדם</w:t>
      </w:r>
      <w:r>
        <w:rPr>
          <w:rFonts w:hint="cs"/>
          <w:sz w:val="20"/>
          <w:szCs w:val="20"/>
          <w:rtl/>
        </w:rPr>
        <w:t xml:space="preserve"> </w:t>
      </w:r>
      <w:r>
        <w:rPr>
          <w:sz w:val="20"/>
          <w:szCs w:val="20"/>
          <w:rtl/>
        </w:rPr>
        <w:t>–</w:t>
      </w:r>
      <w:r>
        <w:rPr>
          <w:rFonts w:hint="cs"/>
          <w:sz w:val="20"/>
          <w:szCs w:val="20"/>
          <w:rtl/>
        </w:rPr>
        <w:t xml:space="preserve"> </w:t>
      </w:r>
      <w:r>
        <w:rPr>
          <w:rFonts w:cs="Arial" w:hint="cs"/>
          <w:sz w:val="20"/>
          <w:szCs w:val="20"/>
          <w:rtl/>
        </w:rPr>
        <w:t>"</w:t>
      </w:r>
      <w:r w:rsidRPr="00E82F61">
        <w:rPr>
          <w:rFonts w:cs="Arial"/>
          <w:sz w:val="20"/>
          <w:szCs w:val="20"/>
          <w:rtl/>
        </w:rPr>
        <w:t>ונראה לי שלא יכנסו לבית הקברות עד שיטבל</w:t>
      </w:r>
      <w:r w:rsidRPr="006F426E">
        <w:rPr>
          <w:rFonts w:cs="Arial"/>
          <w:sz w:val="20"/>
          <w:szCs w:val="20"/>
          <w:rtl/>
        </w:rPr>
        <w:t>ו</w:t>
      </w:r>
      <w:r w:rsidRPr="006F426E">
        <w:rPr>
          <w:rFonts w:hint="cs"/>
          <w:sz w:val="20"/>
          <w:szCs w:val="20"/>
          <w:rtl/>
        </w:rPr>
        <w:t>"</w:t>
      </w:r>
      <w:r>
        <w:rPr>
          <w:rFonts w:hint="cs"/>
          <w:sz w:val="20"/>
          <w:szCs w:val="20"/>
          <w:rtl/>
        </w:rPr>
        <w:t xml:space="preserve">, וכעין זה כתב </w:t>
      </w:r>
      <w:r w:rsidRPr="00A826D1">
        <w:rPr>
          <w:rFonts w:hint="cs"/>
          <w:b/>
          <w:bCs/>
          <w:sz w:val="20"/>
          <w:szCs w:val="20"/>
          <w:rtl/>
        </w:rPr>
        <w:t>הפת"ש</w:t>
      </w:r>
      <w:r>
        <w:rPr>
          <w:rFonts w:hint="cs"/>
          <w:sz w:val="20"/>
          <w:szCs w:val="20"/>
          <w:rtl/>
        </w:rPr>
        <w:t xml:space="preserve"> בשם </w:t>
      </w:r>
      <w:r w:rsidRPr="00A826D1">
        <w:rPr>
          <w:rFonts w:hint="cs"/>
          <w:b/>
          <w:bCs/>
          <w:sz w:val="20"/>
          <w:szCs w:val="20"/>
          <w:rtl/>
        </w:rPr>
        <w:t>חמודי דניאל</w:t>
      </w:r>
      <w:r w:rsidRPr="006F426E">
        <w:rPr>
          <w:rFonts w:hint="cs"/>
          <w:sz w:val="20"/>
          <w:szCs w:val="20"/>
          <w:rtl/>
        </w:rPr>
        <w:t>.</w:t>
      </w:r>
      <w:r>
        <w:rPr>
          <w:sz w:val="20"/>
          <w:szCs w:val="20"/>
          <w:u w:val="single"/>
          <w:rtl/>
        </w:rPr>
        <w:br/>
      </w:r>
      <w:r w:rsidRPr="00E82F61">
        <w:rPr>
          <w:rFonts w:hint="cs"/>
          <w:b/>
          <w:bCs/>
          <w:sz w:val="20"/>
          <w:szCs w:val="20"/>
          <w:rtl/>
        </w:rPr>
        <w:t>טעם</w:t>
      </w:r>
      <w:r w:rsidRPr="006F426E">
        <w:rPr>
          <w:rStyle w:val="a5"/>
          <w:sz w:val="20"/>
          <w:szCs w:val="20"/>
          <w:rtl/>
        </w:rPr>
        <w:footnoteReference w:id="496"/>
      </w:r>
      <w:r w:rsidRPr="006F426E">
        <w:rPr>
          <w:rFonts w:hint="cs"/>
          <w:sz w:val="20"/>
          <w:szCs w:val="20"/>
          <w:rtl/>
        </w:rPr>
        <w:t xml:space="preserve"> </w:t>
      </w:r>
      <w:r w:rsidRPr="00E82F61">
        <w:rPr>
          <w:sz w:val="20"/>
          <w:szCs w:val="20"/>
          <w:rtl/>
        </w:rPr>
        <w:t>–</w:t>
      </w:r>
      <w:r w:rsidRPr="00E82F61">
        <w:rPr>
          <w:rFonts w:hint="cs"/>
          <w:sz w:val="20"/>
          <w:szCs w:val="20"/>
          <w:rtl/>
        </w:rPr>
        <w:t xml:space="preserve"> מצד כבוד החיים, או שהטעם הוא ע"פ הקבלה, וכפי שאסרו המקובלים לבעל קרי להיכנס לבית הקברות עד שיטבול כדי שלא ישלטו בו החיצונים.</w:t>
      </w:r>
      <w:r>
        <w:rPr>
          <w:sz w:val="20"/>
          <w:szCs w:val="20"/>
          <w:u w:val="single"/>
          <w:rtl/>
        </w:rPr>
        <w:br/>
      </w:r>
      <w:r>
        <w:rPr>
          <w:rFonts w:hint="cs"/>
          <w:sz w:val="20"/>
          <w:szCs w:val="20"/>
          <w:rtl/>
        </w:rPr>
        <w:t xml:space="preserve">ב. </w:t>
      </w:r>
      <w:r w:rsidRPr="006F426E">
        <w:rPr>
          <w:rFonts w:hint="cs"/>
          <w:b/>
          <w:bCs/>
          <w:sz w:val="20"/>
          <w:szCs w:val="20"/>
          <w:rtl/>
        </w:rPr>
        <w:t>ששבה"ל</w:t>
      </w:r>
      <w:r>
        <w:rPr>
          <w:rFonts w:hint="cs"/>
          <w:sz w:val="20"/>
          <w:szCs w:val="20"/>
          <w:rtl/>
        </w:rPr>
        <w:t xml:space="preserve"> </w:t>
      </w:r>
      <w:r>
        <w:rPr>
          <w:sz w:val="20"/>
          <w:szCs w:val="20"/>
          <w:rtl/>
        </w:rPr>
        <w:t>–</w:t>
      </w:r>
      <w:r>
        <w:rPr>
          <w:rFonts w:hint="cs"/>
          <w:sz w:val="20"/>
          <w:szCs w:val="20"/>
          <w:rtl/>
        </w:rPr>
        <w:t xml:space="preserve"> אין לאשה נידה ללכת לבית הקברות, אך יכולה ללכת ולעמוד רחוק ד' אמות מהקבר. ולפעמים מקלים לצורך כשאינה שופעת.</w:t>
      </w:r>
      <w:r>
        <w:rPr>
          <w:rFonts w:hint="cs"/>
          <w:sz w:val="20"/>
          <w:szCs w:val="20"/>
          <w:u w:val="single"/>
          <w:rtl/>
        </w:rPr>
        <w:br/>
      </w:r>
      <w:r>
        <w:rPr>
          <w:rFonts w:hint="cs"/>
          <w:sz w:val="20"/>
          <w:szCs w:val="20"/>
          <w:rtl/>
        </w:rPr>
        <w:t>ג.</w:t>
      </w:r>
      <w:r>
        <w:rPr>
          <w:rFonts w:hint="cs"/>
          <w:b/>
          <w:bCs/>
          <w:sz w:val="20"/>
          <w:szCs w:val="20"/>
          <w:rtl/>
        </w:rPr>
        <w:t xml:space="preserve"> </w:t>
      </w:r>
      <w:r w:rsidRPr="00F07E09">
        <w:rPr>
          <w:rFonts w:hint="cs"/>
          <w:b/>
          <w:bCs/>
          <w:sz w:val="20"/>
          <w:szCs w:val="20"/>
          <w:rtl/>
        </w:rPr>
        <w:t>טהרת הבית</w:t>
      </w:r>
      <w:r>
        <w:rPr>
          <w:rFonts w:hint="cs"/>
          <w:sz w:val="20"/>
          <w:szCs w:val="20"/>
          <w:rtl/>
        </w:rPr>
        <w:t xml:space="preserve"> </w:t>
      </w:r>
      <w:r w:rsidRPr="00D9290F">
        <w:rPr>
          <w:rFonts w:hint="cs"/>
          <w:sz w:val="18"/>
          <w:szCs w:val="18"/>
          <w:rtl/>
        </w:rPr>
        <w:t xml:space="preserve">(עמ' רטז') </w:t>
      </w:r>
      <w:r>
        <w:rPr>
          <w:rFonts w:hint="cs"/>
          <w:sz w:val="20"/>
          <w:szCs w:val="20"/>
          <w:rtl/>
        </w:rPr>
        <w:t>- יש נשים שנהגו לא ללכת לבית הקברות בימי ראייתן. אמנם, במקום שנהגו להיכנס לבית הכנסת, מותרות ללכת גם לבית הקברות. כמו כן, מנהג זה נאמר דווקא בימי ראייה, אך לא בימי הליבון. ואפילו בימי ראייתן מותרות ללכת לבית הקברות ביום השבעה, ביום השלושים ביום השנה, בהקמת המצבה וכן בשאר זמנים שרגילים ללכת בהם לבית הקברות.</w:t>
      </w:r>
    </w:p>
    <w:p w:rsidR="00620060"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80148C">
        <w:rPr>
          <w:rFonts w:hint="cs"/>
          <w:b/>
          <w:bCs/>
          <w:sz w:val="20"/>
          <w:szCs w:val="20"/>
          <w:rtl/>
        </w:rPr>
        <w:t>ב"י</w:t>
      </w:r>
      <w:r>
        <w:rPr>
          <w:rFonts w:hint="cs"/>
          <w:sz w:val="20"/>
          <w:szCs w:val="20"/>
          <w:rtl/>
        </w:rPr>
        <w:t xml:space="preserve">. הראשונים אסרו לבעל למשש דופק אשתו נידה כשאין סכנה בדבר. משמע בראשונים. כשיש סכנה </w:t>
      </w:r>
      <w:r>
        <w:rPr>
          <w:sz w:val="20"/>
          <w:szCs w:val="20"/>
          <w:rtl/>
        </w:rPr>
        <w:t>–</w:t>
      </w:r>
      <w:r>
        <w:rPr>
          <w:rFonts w:hint="cs"/>
          <w:sz w:val="20"/>
          <w:szCs w:val="20"/>
          <w:rtl/>
        </w:rPr>
        <w:t xml:space="preserve"> </w:t>
      </w:r>
      <w:r w:rsidRPr="0080148C">
        <w:rPr>
          <w:rFonts w:hint="cs"/>
          <w:b/>
          <w:bCs/>
          <w:sz w:val="20"/>
          <w:szCs w:val="20"/>
          <w:rtl/>
        </w:rPr>
        <w:lastRenderedPageBreak/>
        <w:t>רמב"ן</w:t>
      </w:r>
      <w:r>
        <w:rPr>
          <w:rFonts w:hint="cs"/>
          <w:sz w:val="20"/>
          <w:szCs w:val="20"/>
          <w:rtl/>
        </w:rPr>
        <w:t xml:space="preserve">. מותר, וכ"פ </w:t>
      </w:r>
      <w:r w:rsidRPr="0080148C">
        <w:rPr>
          <w:rFonts w:hint="cs"/>
          <w:b/>
          <w:bCs/>
          <w:sz w:val="20"/>
          <w:szCs w:val="20"/>
          <w:rtl/>
        </w:rPr>
        <w:t>הרמ"א</w:t>
      </w:r>
      <w:r>
        <w:rPr>
          <w:rFonts w:hint="cs"/>
          <w:sz w:val="20"/>
          <w:szCs w:val="20"/>
          <w:rtl/>
        </w:rPr>
        <w:t xml:space="preserve">. </w:t>
      </w:r>
      <w:r w:rsidRPr="0080148C">
        <w:rPr>
          <w:rFonts w:hint="cs"/>
          <w:b/>
          <w:bCs/>
          <w:sz w:val="20"/>
          <w:szCs w:val="20"/>
          <w:rtl/>
        </w:rPr>
        <w:t>טעם</w:t>
      </w:r>
      <w:r>
        <w:rPr>
          <w:rFonts w:hint="cs"/>
          <w:sz w:val="20"/>
          <w:szCs w:val="20"/>
          <w:rtl/>
        </w:rPr>
        <w:t xml:space="preserve">. נגיעה אסורה מדרבנן. </w:t>
      </w:r>
      <w:r w:rsidRPr="00AA6405">
        <w:rPr>
          <w:rFonts w:hint="cs"/>
          <w:b/>
          <w:bCs/>
          <w:sz w:val="20"/>
          <w:szCs w:val="20"/>
          <w:rtl/>
        </w:rPr>
        <w:t>רמב"ם</w:t>
      </w:r>
      <w:r>
        <w:rPr>
          <w:rFonts w:hint="cs"/>
          <w:sz w:val="20"/>
          <w:szCs w:val="20"/>
          <w:rtl/>
        </w:rPr>
        <w:t xml:space="preserve">. אפשר שאסור, וצ"ע, ופסק </w:t>
      </w:r>
      <w:r w:rsidRPr="0080148C">
        <w:rPr>
          <w:rFonts w:hint="cs"/>
          <w:b/>
          <w:bCs/>
          <w:sz w:val="20"/>
          <w:szCs w:val="20"/>
          <w:rtl/>
        </w:rPr>
        <w:t>המחבר</w:t>
      </w:r>
      <w:r>
        <w:rPr>
          <w:rFonts w:hint="cs"/>
          <w:sz w:val="20"/>
          <w:szCs w:val="20"/>
          <w:rtl/>
        </w:rPr>
        <w:t xml:space="preserve"> לאסור. </w:t>
      </w:r>
      <w:r w:rsidRPr="0080148C">
        <w:rPr>
          <w:rFonts w:hint="cs"/>
          <w:b/>
          <w:bCs/>
          <w:sz w:val="20"/>
          <w:szCs w:val="20"/>
          <w:rtl/>
        </w:rPr>
        <w:t>טעם</w:t>
      </w:r>
      <w:r>
        <w:rPr>
          <w:rFonts w:hint="cs"/>
          <w:sz w:val="20"/>
          <w:szCs w:val="20"/>
          <w:rtl/>
        </w:rPr>
        <w:t>. נגיעה אסורה מדאורייתא ואין מתרפאים אפילו באביזרייהו דגילוי עריות.</w:t>
      </w:r>
      <w:r>
        <w:rPr>
          <w:rFonts w:hint="cs"/>
          <w:sz w:val="20"/>
          <w:szCs w:val="20"/>
          <w:rtl/>
        </w:rPr>
        <w:br/>
        <w:t xml:space="preserve">2. </w:t>
      </w:r>
      <w:r w:rsidRPr="0080148C">
        <w:rPr>
          <w:rFonts w:hint="cs"/>
          <w:b/>
          <w:bCs/>
          <w:sz w:val="20"/>
          <w:szCs w:val="20"/>
          <w:rtl/>
        </w:rPr>
        <w:t>ש"ך</w:t>
      </w:r>
      <w:r>
        <w:rPr>
          <w:rFonts w:hint="cs"/>
          <w:sz w:val="20"/>
          <w:szCs w:val="20"/>
          <w:rtl/>
        </w:rPr>
        <w:t xml:space="preserve">. הבנת </w:t>
      </w:r>
      <w:r w:rsidRPr="0080148C">
        <w:rPr>
          <w:rFonts w:hint="cs"/>
          <w:b/>
          <w:bCs/>
          <w:sz w:val="20"/>
          <w:szCs w:val="20"/>
          <w:rtl/>
        </w:rPr>
        <w:t>הב"י</w:t>
      </w:r>
      <w:r>
        <w:rPr>
          <w:rFonts w:hint="cs"/>
          <w:sz w:val="20"/>
          <w:szCs w:val="20"/>
          <w:rtl/>
        </w:rPr>
        <w:t xml:space="preserve"> ברמב"ם שגויה, רק נגיעת חיבה אסורה מדאורייתא, וכן מנהג העולם שנשים מטופלות ע"י רופא. אמנם, בעלה יטפל בה רק אם יש סכנה.</w:t>
      </w:r>
      <w:r>
        <w:rPr>
          <w:sz w:val="20"/>
          <w:szCs w:val="20"/>
          <w:rtl/>
        </w:rPr>
        <w:br/>
      </w:r>
      <w:r>
        <w:rPr>
          <w:rFonts w:hint="cs"/>
          <w:sz w:val="20"/>
          <w:szCs w:val="20"/>
          <w:rtl/>
        </w:rPr>
        <w:t xml:space="preserve">3. </w:t>
      </w:r>
      <w:r w:rsidRPr="0080148C">
        <w:rPr>
          <w:rFonts w:hint="cs"/>
          <w:b/>
          <w:bCs/>
          <w:sz w:val="20"/>
          <w:szCs w:val="20"/>
          <w:rtl/>
        </w:rPr>
        <w:t>חיד"א</w:t>
      </w:r>
      <w:r>
        <w:rPr>
          <w:rFonts w:hint="cs"/>
          <w:sz w:val="20"/>
          <w:szCs w:val="20"/>
          <w:rtl/>
        </w:rPr>
        <w:t xml:space="preserve">. גם למחבר מותר לרופא לטפל בנשים, רק באשתו נידה החמיר. </w:t>
      </w:r>
      <w:r w:rsidRPr="00AA6405">
        <w:rPr>
          <w:rFonts w:hint="cs"/>
          <w:b/>
          <w:bCs/>
          <w:sz w:val="20"/>
          <w:szCs w:val="20"/>
          <w:rtl/>
        </w:rPr>
        <w:t>טעם</w:t>
      </w:r>
      <w:r>
        <w:rPr>
          <w:rFonts w:hint="cs"/>
          <w:sz w:val="20"/>
          <w:szCs w:val="20"/>
          <w:rtl/>
        </w:rPr>
        <w:t>. נגיעת רופא אינה נגיעת חיבה, אך נגיעת רופא באשתו נידה עלולה להיות של חיבה ולכן אסור.</w:t>
      </w:r>
      <w:r>
        <w:rPr>
          <w:sz w:val="20"/>
          <w:szCs w:val="20"/>
          <w:rtl/>
        </w:rPr>
        <w:br/>
      </w:r>
      <w:r>
        <w:rPr>
          <w:rFonts w:hint="cs"/>
          <w:sz w:val="20"/>
          <w:szCs w:val="20"/>
          <w:rtl/>
        </w:rPr>
        <w:t>4</w:t>
      </w:r>
      <w:r w:rsidRPr="00AA6405">
        <w:rPr>
          <w:rFonts w:hint="cs"/>
          <w:sz w:val="20"/>
          <w:szCs w:val="20"/>
          <w:rtl/>
        </w:rPr>
        <w:t>. הליכה לבית קברות.</w:t>
      </w:r>
      <w:r>
        <w:rPr>
          <w:rFonts w:hint="cs"/>
          <w:sz w:val="20"/>
          <w:szCs w:val="20"/>
          <w:rtl/>
        </w:rPr>
        <w:t xml:space="preserve"> </w:t>
      </w:r>
      <w:r w:rsidRPr="00FB5F2F">
        <w:rPr>
          <w:rFonts w:hint="cs"/>
          <w:b/>
          <w:bCs/>
          <w:sz w:val="20"/>
          <w:szCs w:val="20"/>
          <w:rtl/>
        </w:rPr>
        <w:t>חיי אדם ופת"ש</w:t>
      </w:r>
      <w:r>
        <w:rPr>
          <w:rFonts w:hint="cs"/>
          <w:sz w:val="20"/>
          <w:szCs w:val="20"/>
          <w:rtl/>
        </w:rPr>
        <w:t xml:space="preserve">. אין לאשה נידה ללכת לבית הקברות. </w:t>
      </w:r>
      <w:r w:rsidRPr="00FB5F2F">
        <w:rPr>
          <w:rFonts w:hint="cs"/>
          <w:b/>
          <w:bCs/>
          <w:sz w:val="20"/>
          <w:szCs w:val="20"/>
          <w:rtl/>
        </w:rPr>
        <w:t>ששבה"ל</w:t>
      </w:r>
      <w:r>
        <w:rPr>
          <w:rFonts w:hint="cs"/>
          <w:sz w:val="20"/>
          <w:szCs w:val="20"/>
          <w:rtl/>
        </w:rPr>
        <w:t>. יכולה ללכת ולעמוד חוץ לד' אמות, ולפעמים מקלים כשאינה שופעת.</w:t>
      </w:r>
      <w:r>
        <w:rPr>
          <w:rFonts w:hint="cs"/>
          <w:b/>
          <w:bCs/>
          <w:sz w:val="20"/>
          <w:szCs w:val="20"/>
          <w:rtl/>
        </w:rPr>
        <w:t xml:space="preserve"> </w:t>
      </w:r>
      <w:r w:rsidRPr="005820F8">
        <w:rPr>
          <w:rFonts w:hint="cs"/>
          <w:b/>
          <w:bCs/>
          <w:sz w:val="20"/>
          <w:szCs w:val="20"/>
          <w:rtl/>
        </w:rPr>
        <w:t>טה"ב</w:t>
      </w:r>
      <w:r>
        <w:rPr>
          <w:rFonts w:hint="cs"/>
          <w:sz w:val="20"/>
          <w:szCs w:val="20"/>
          <w:rtl/>
        </w:rPr>
        <w:t>. יש נשים שנהגו לא ללכת לבית קברות, והנוהגות להקל בהליכה לבית הכנסת, הוא הדין שיש להקל לביה"ק. והחומרה רק בימי ראייה ממש. בימים שרגילים לעלות לקבר מותר בכל אופן.</w:t>
      </w:r>
    </w:p>
    <w:p w:rsidR="00620060" w:rsidRDefault="00620060" w:rsidP="00620060">
      <w:pPr>
        <w:rPr>
          <w:sz w:val="20"/>
          <w:szCs w:val="20"/>
          <w:rtl/>
        </w:rPr>
      </w:pPr>
    </w:p>
    <w:p w:rsidR="00620060" w:rsidRDefault="00620060" w:rsidP="00620060">
      <w:pPr>
        <w:rPr>
          <w:sz w:val="20"/>
          <w:szCs w:val="20"/>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rsidP="00620060">
      <w:pPr>
        <w:rPr>
          <w:b/>
          <w:bCs/>
          <w:sz w:val="20"/>
          <w:szCs w:val="20"/>
          <w:rtl/>
        </w:rPr>
      </w:pPr>
      <w:r w:rsidRPr="007E2CE7">
        <w:rPr>
          <w:rFonts w:hint="cs"/>
          <w:b/>
          <w:bCs/>
          <w:sz w:val="20"/>
          <w:szCs w:val="20"/>
          <w:rtl/>
        </w:rPr>
        <w:lastRenderedPageBreak/>
        <w:t>בעזרת ה' יתברך</w:t>
      </w:r>
    </w:p>
    <w:p w:rsidR="00620060" w:rsidRPr="007E2CE7" w:rsidRDefault="00620060" w:rsidP="00620060">
      <w:pPr>
        <w:rPr>
          <w:b/>
          <w:bCs/>
          <w:sz w:val="20"/>
          <w:szCs w:val="20"/>
          <w:rtl/>
        </w:rPr>
      </w:pPr>
      <w:r w:rsidRPr="007E2CE7">
        <w:rPr>
          <w:rFonts w:hint="cs"/>
          <w:b/>
          <w:bCs/>
          <w:sz w:val="20"/>
          <w:szCs w:val="20"/>
          <w:rtl/>
        </w:rPr>
        <w:t xml:space="preserve">סימן קצו </w:t>
      </w:r>
      <w:r w:rsidRPr="007E2CE7">
        <w:rPr>
          <w:b/>
          <w:bCs/>
          <w:sz w:val="20"/>
          <w:szCs w:val="20"/>
          <w:rtl/>
        </w:rPr>
        <w:t>–</w:t>
      </w:r>
      <w:r w:rsidRPr="007E2CE7">
        <w:rPr>
          <w:rFonts w:hint="cs"/>
          <w:b/>
          <w:bCs/>
          <w:sz w:val="20"/>
          <w:szCs w:val="20"/>
          <w:rtl/>
        </w:rPr>
        <w:t xml:space="preserve"> דיני בדיקת שבעה נקיים</w:t>
      </w:r>
    </w:p>
    <w:p w:rsidR="00620060" w:rsidRDefault="00620060" w:rsidP="00620060">
      <w:pPr>
        <w:rPr>
          <w:sz w:val="20"/>
          <w:szCs w:val="20"/>
          <w:rtl/>
        </w:rPr>
      </w:pPr>
      <w:r w:rsidRPr="007E2CE7">
        <w:rPr>
          <w:rFonts w:hint="cs"/>
          <w:b/>
          <w:bCs/>
          <w:sz w:val="20"/>
          <w:szCs w:val="20"/>
          <w:rtl/>
        </w:rPr>
        <w:t xml:space="preserve">סעיף א </w:t>
      </w:r>
      <w:r>
        <w:rPr>
          <w:b/>
          <w:bCs/>
          <w:sz w:val="20"/>
          <w:szCs w:val="20"/>
          <w:rtl/>
        </w:rPr>
        <w:t>–</w:t>
      </w:r>
      <w:r w:rsidRPr="007E2CE7">
        <w:rPr>
          <w:rFonts w:hint="cs"/>
          <w:b/>
          <w:bCs/>
          <w:sz w:val="20"/>
          <w:szCs w:val="20"/>
          <w:rtl/>
        </w:rPr>
        <w:t xml:space="preserve"> </w:t>
      </w:r>
      <w:r>
        <w:rPr>
          <w:rFonts w:hint="cs"/>
          <w:b/>
          <w:bCs/>
          <w:sz w:val="20"/>
          <w:szCs w:val="20"/>
          <w:rtl/>
        </w:rPr>
        <w:t>הפסק טהרה</w:t>
      </w:r>
      <w:r w:rsidRPr="007E2CE7">
        <w:rPr>
          <w:b/>
          <w:bCs/>
          <w:sz w:val="20"/>
          <w:szCs w:val="20"/>
          <w:rtl/>
        </w:rPr>
        <w:br/>
      </w:r>
      <w:r>
        <w:rPr>
          <w:rFonts w:hint="cs"/>
          <w:b/>
          <w:bCs/>
          <w:sz w:val="20"/>
          <w:szCs w:val="20"/>
          <w:rtl/>
        </w:rPr>
        <w:t>ספירת יום ההפסק כיום הראשון</w:t>
      </w:r>
      <w:r>
        <w:rPr>
          <w:rFonts w:hint="cs"/>
          <w:b/>
          <w:bCs/>
          <w:sz w:val="20"/>
          <w:szCs w:val="20"/>
          <w:rtl/>
        </w:rPr>
        <w:br/>
      </w:r>
      <w:r w:rsidRPr="00EB2177">
        <w:rPr>
          <w:rFonts w:hint="cs"/>
          <w:b/>
          <w:bCs/>
          <w:sz w:val="20"/>
          <w:szCs w:val="20"/>
          <w:rtl/>
        </w:rPr>
        <w:t>משנה</w:t>
      </w:r>
      <w:r>
        <w:rPr>
          <w:rFonts w:hint="cs"/>
          <w:sz w:val="20"/>
          <w:szCs w:val="20"/>
          <w:rtl/>
        </w:rPr>
        <w:t xml:space="preserve"> נידה (לא.) "</w:t>
      </w:r>
      <w:r w:rsidRPr="00FA2643">
        <w:rPr>
          <w:rFonts w:cs="Arial"/>
          <w:sz w:val="20"/>
          <w:szCs w:val="20"/>
          <w:rtl/>
        </w:rPr>
        <w:t>הכותים מטמאים משכב תחתון כעליון, מפני שהן בועלי נדות</w:t>
      </w:r>
      <w:r>
        <w:rPr>
          <w:rFonts w:cs="Arial" w:hint="cs"/>
          <w:sz w:val="20"/>
          <w:szCs w:val="20"/>
          <w:rtl/>
        </w:rPr>
        <w:t>"</w:t>
      </w:r>
      <w:r w:rsidRPr="007E2CE7">
        <w:rPr>
          <w:b/>
          <w:bCs/>
          <w:sz w:val="20"/>
          <w:szCs w:val="20"/>
          <w:rtl/>
        </w:rPr>
        <w:br/>
      </w:r>
      <w:r>
        <w:rPr>
          <w:rFonts w:hint="cs"/>
          <w:b/>
          <w:bCs/>
          <w:sz w:val="20"/>
          <w:szCs w:val="20"/>
          <w:rtl/>
        </w:rPr>
        <w:t xml:space="preserve">גמרא </w:t>
      </w:r>
      <w:r>
        <w:rPr>
          <w:rFonts w:hint="cs"/>
          <w:sz w:val="20"/>
          <w:szCs w:val="20"/>
          <w:rtl/>
        </w:rPr>
        <w:t>נדה (לג.)</w:t>
      </w:r>
      <w:r>
        <w:rPr>
          <w:rFonts w:hint="cs"/>
          <w:b/>
          <w:bCs/>
          <w:sz w:val="20"/>
          <w:szCs w:val="20"/>
          <w:rtl/>
        </w:rPr>
        <w:t xml:space="preserve"> </w:t>
      </w:r>
      <w:r>
        <w:rPr>
          <w:rFonts w:cs="Arial" w:hint="cs"/>
          <w:sz w:val="20"/>
          <w:szCs w:val="20"/>
          <w:rtl/>
        </w:rPr>
        <w:t>"</w:t>
      </w:r>
      <w:r w:rsidRPr="00FA2643">
        <w:rPr>
          <w:rFonts w:cs="Arial"/>
          <w:sz w:val="20"/>
          <w:szCs w:val="20"/>
          <w:rtl/>
        </w:rPr>
        <w:t>תניא</w:t>
      </w:r>
      <w:r>
        <w:rPr>
          <w:rFonts w:cs="Arial" w:hint="cs"/>
          <w:sz w:val="20"/>
          <w:szCs w:val="20"/>
          <w:rtl/>
        </w:rPr>
        <w:t xml:space="preserve">, </w:t>
      </w:r>
      <w:r w:rsidRPr="00FA2643">
        <w:rPr>
          <w:rFonts w:cs="Arial"/>
          <w:sz w:val="20"/>
          <w:szCs w:val="20"/>
          <w:rtl/>
        </w:rPr>
        <w:t>יום שפוסקת בו סופרתו למנין שבעה</w:t>
      </w:r>
      <w:r>
        <w:rPr>
          <w:rStyle w:val="a5"/>
          <w:rFonts w:cs="Arial"/>
          <w:sz w:val="20"/>
          <w:szCs w:val="20"/>
          <w:rtl/>
        </w:rPr>
        <w:footnoteReference w:id="497"/>
      </w:r>
      <w:r>
        <w:rPr>
          <w:rFonts w:cs="Arial" w:hint="cs"/>
          <w:sz w:val="20"/>
          <w:szCs w:val="20"/>
          <w:rtl/>
        </w:rPr>
        <w:t>"</w:t>
      </w:r>
      <w:r w:rsidRPr="00FA2643">
        <w:rPr>
          <w:rFonts w:cs="Arial"/>
          <w:sz w:val="20"/>
          <w:szCs w:val="20"/>
          <w:rtl/>
        </w:rPr>
        <w:t>.</w:t>
      </w:r>
      <w:r>
        <w:rPr>
          <w:sz w:val="20"/>
          <w:szCs w:val="20"/>
          <w:rtl/>
        </w:rPr>
        <w:br/>
      </w:r>
      <w:r w:rsidRPr="00F93CFB">
        <w:rPr>
          <w:rFonts w:hint="cs"/>
          <w:b/>
          <w:bCs/>
          <w:sz w:val="20"/>
          <w:szCs w:val="20"/>
          <w:rtl/>
        </w:rPr>
        <w:t>רש"י</w:t>
      </w:r>
      <w:r>
        <w:rPr>
          <w:rFonts w:hint="cs"/>
          <w:sz w:val="20"/>
          <w:szCs w:val="20"/>
          <w:rtl/>
        </w:rPr>
        <w:t xml:space="preserve"> </w:t>
      </w:r>
      <w:r>
        <w:rPr>
          <w:sz w:val="20"/>
          <w:szCs w:val="20"/>
          <w:rtl/>
        </w:rPr>
        <w:t>–</w:t>
      </w:r>
      <w:r>
        <w:rPr>
          <w:rFonts w:hint="cs"/>
          <w:sz w:val="20"/>
          <w:szCs w:val="20"/>
          <w:rtl/>
        </w:rPr>
        <w:t xml:space="preserve"> "</w:t>
      </w:r>
      <w:r w:rsidRPr="00EB2177">
        <w:rPr>
          <w:rFonts w:cs="Arial"/>
          <w:sz w:val="20"/>
          <w:szCs w:val="20"/>
          <w:rtl/>
        </w:rPr>
        <w:t>שהיא רואה ג' רצופים לאחר ז' ימי הנדה והויא זבה ופוסקת באמצע היום</w:t>
      </w:r>
      <w:r>
        <w:rPr>
          <w:rFonts w:cs="Arial" w:hint="cs"/>
          <w:sz w:val="20"/>
          <w:szCs w:val="20"/>
          <w:rtl/>
        </w:rPr>
        <w:t>,</w:t>
      </w:r>
      <w:r w:rsidRPr="00EB2177">
        <w:rPr>
          <w:rFonts w:cs="Arial"/>
          <w:sz w:val="20"/>
          <w:szCs w:val="20"/>
          <w:rtl/>
        </w:rPr>
        <w:t xml:space="preserve"> סופרת אותו קצת היום שעד הערב למנ</w:t>
      </w:r>
      <w:r>
        <w:rPr>
          <w:rFonts w:cs="Arial" w:hint="cs"/>
          <w:sz w:val="20"/>
          <w:szCs w:val="20"/>
          <w:rtl/>
        </w:rPr>
        <w:t>י</w:t>
      </w:r>
      <w:r w:rsidRPr="00EB2177">
        <w:rPr>
          <w:rFonts w:cs="Arial"/>
          <w:sz w:val="20"/>
          <w:szCs w:val="20"/>
          <w:rtl/>
        </w:rPr>
        <w:t>ין שבעה נקיים</w:t>
      </w:r>
      <w:r>
        <w:rPr>
          <w:rFonts w:cs="Arial" w:hint="cs"/>
          <w:sz w:val="20"/>
          <w:szCs w:val="20"/>
          <w:rtl/>
        </w:rPr>
        <w:t>,</w:t>
      </w:r>
      <w:r w:rsidRPr="00EB2177">
        <w:rPr>
          <w:rFonts w:cs="Arial"/>
          <w:sz w:val="20"/>
          <w:szCs w:val="20"/>
          <w:rtl/>
        </w:rPr>
        <w:t xml:space="preserve"> ואנן ז' נקיים שלמים בעינן לזבה</w:t>
      </w:r>
      <w:r>
        <w:rPr>
          <w:rFonts w:cs="Arial" w:hint="cs"/>
          <w:sz w:val="20"/>
          <w:szCs w:val="20"/>
          <w:rtl/>
        </w:rPr>
        <w:t>".</w:t>
      </w:r>
      <w:r>
        <w:rPr>
          <w:sz w:val="20"/>
          <w:szCs w:val="20"/>
          <w:rtl/>
        </w:rPr>
        <w:br/>
      </w:r>
      <w:r>
        <w:rPr>
          <w:rFonts w:hint="cs"/>
          <w:sz w:val="20"/>
          <w:szCs w:val="20"/>
          <w:rtl/>
        </w:rPr>
        <w:t>דין זה מוסכם בראשונים, ולית מאן דפליג שיום ההפסק אינו עולה למניין ז' נקיים.</w:t>
      </w:r>
    </w:p>
    <w:p w:rsidR="00620060" w:rsidRDefault="00620060" w:rsidP="00620060">
      <w:pPr>
        <w:rPr>
          <w:rFonts w:cs="Arial"/>
          <w:sz w:val="20"/>
          <w:szCs w:val="20"/>
          <w:rtl/>
        </w:rPr>
      </w:pPr>
      <w:r w:rsidRPr="001F4BAA">
        <w:rPr>
          <w:rFonts w:hint="cs"/>
          <w:b/>
          <w:bCs/>
          <w:sz w:val="20"/>
          <w:szCs w:val="20"/>
          <w:rtl/>
        </w:rPr>
        <w:t>הפסק טהרה</w:t>
      </w:r>
      <w:r>
        <w:rPr>
          <w:b/>
          <w:bCs/>
          <w:sz w:val="20"/>
          <w:szCs w:val="20"/>
          <w:rtl/>
        </w:rPr>
        <w:br/>
      </w:r>
      <w:r>
        <w:rPr>
          <w:rFonts w:hint="cs"/>
          <w:b/>
          <w:bCs/>
          <w:sz w:val="20"/>
          <w:szCs w:val="20"/>
          <w:rtl/>
        </w:rPr>
        <w:t xml:space="preserve">משנה </w:t>
      </w:r>
      <w:r>
        <w:rPr>
          <w:rFonts w:hint="cs"/>
          <w:sz w:val="20"/>
          <w:szCs w:val="20"/>
          <w:rtl/>
        </w:rPr>
        <w:t>נידה (סח.) "</w:t>
      </w:r>
      <w:r w:rsidRPr="002A1ED1">
        <w:rPr>
          <w:rFonts w:cs="Arial"/>
          <w:sz w:val="20"/>
          <w:szCs w:val="20"/>
          <w:rtl/>
        </w:rPr>
        <w:t>נדה שבדקה עצמה יום שביעי שחרית ומצאה טהורה, ובין השמשות לא הפרישה, ולאחר ימים בדקה ומצאה טמאה - הרי היא בחזקת טהורה.</w:t>
      </w:r>
      <w:r>
        <w:rPr>
          <w:rFonts w:cs="Arial" w:hint="cs"/>
          <w:sz w:val="20"/>
          <w:szCs w:val="20"/>
          <w:rtl/>
        </w:rPr>
        <w:t xml:space="preserve"> רבי</w:t>
      </w:r>
      <w:r w:rsidRPr="002A1ED1">
        <w:rPr>
          <w:rFonts w:cs="Arial"/>
          <w:sz w:val="20"/>
          <w:szCs w:val="20"/>
          <w:rtl/>
        </w:rPr>
        <w:t xml:space="preserve"> יהודה אומר: כל שלא הפרישה בטהרה מן המנחה ולמעלה - הרי זו בחזקת טמאה. וחכמים אומרים: אפילו בשני</w:t>
      </w:r>
      <w:r>
        <w:rPr>
          <w:rFonts w:cs="Arial" w:hint="cs"/>
          <w:sz w:val="20"/>
          <w:szCs w:val="20"/>
          <w:rtl/>
        </w:rPr>
        <w:t>י</w:t>
      </w:r>
      <w:r w:rsidRPr="002A1ED1">
        <w:rPr>
          <w:rFonts w:cs="Arial"/>
          <w:sz w:val="20"/>
          <w:szCs w:val="20"/>
          <w:rtl/>
        </w:rPr>
        <w:t>ם לנ</w:t>
      </w:r>
      <w:r>
        <w:rPr>
          <w:rFonts w:cs="Arial" w:hint="cs"/>
          <w:sz w:val="20"/>
          <w:szCs w:val="20"/>
          <w:rtl/>
        </w:rPr>
        <w:t>י</w:t>
      </w:r>
      <w:r w:rsidRPr="002A1ED1">
        <w:rPr>
          <w:rFonts w:cs="Arial"/>
          <w:sz w:val="20"/>
          <w:szCs w:val="20"/>
          <w:rtl/>
        </w:rPr>
        <w:t>דתה בדקה ומצאה טהורה, ובין השמשות לא הפרישה, ולאחר זמן בדקה ומצאה טמאה - הרי זו בחזקת טהורה</w:t>
      </w:r>
      <w:r>
        <w:rPr>
          <w:rFonts w:cs="Arial" w:hint="cs"/>
          <w:sz w:val="20"/>
          <w:szCs w:val="20"/>
          <w:rtl/>
        </w:rPr>
        <w:t>"</w:t>
      </w:r>
      <w:r w:rsidRPr="002A1ED1">
        <w:rPr>
          <w:rFonts w:cs="Arial"/>
          <w:sz w:val="20"/>
          <w:szCs w:val="20"/>
          <w:rtl/>
        </w:rPr>
        <w:t>.</w:t>
      </w:r>
      <w:r>
        <w:rPr>
          <w:rFonts w:cs="Arial" w:hint="cs"/>
          <w:sz w:val="20"/>
          <w:szCs w:val="20"/>
          <w:rtl/>
        </w:rPr>
        <w:br/>
      </w:r>
      <w:r w:rsidRPr="002A1ED1">
        <w:rPr>
          <w:rFonts w:cs="Arial" w:hint="cs"/>
          <w:b/>
          <w:bCs/>
          <w:sz w:val="20"/>
          <w:szCs w:val="20"/>
          <w:rtl/>
        </w:rPr>
        <w:t xml:space="preserve">גמרא </w:t>
      </w:r>
      <w:r>
        <w:rPr>
          <w:rFonts w:cs="Arial" w:hint="cs"/>
          <w:sz w:val="20"/>
          <w:szCs w:val="20"/>
          <w:rtl/>
        </w:rPr>
        <w:t>(שם, עמוד ב') "</w:t>
      </w:r>
      <w:r w:rsidRPr="002A1ED1">
        <w:rPr>
          <w:rFonts w:cs="Arial"/>
          <w:sz w:val="20"/>
          <w:szCs w:val="20"/>
          <w:rtl/>
        </w:rPr>
        <w:t>תניא, אמרו לו לר</w:t>
      </w:r>
      <w:r>
        <w:rPr>
          <w:rFonts w:cs="Arial" w:hint="cs"/>
          <w:sz w:val="20"/>
          <w:szCs w:val="20"/>
          <w:rtl/>
        </w:rPr>
        <w:t>בי</w:t>
      </w:r>
      <w:r w:rsidRPr="002A1ED1">
        <w:rPr>
          <w:rFonts w:cs="Arial"/>
          <w:sz w:val="20"/>
          <w:szCs w:val="20"/>
          <w:rtl/>
        </w:rPr>
        <w:t xml:space="preserve"> יהודה: אלמלי ידיה מונחות בעיניה כל בין השמשות - יפה אתה אומר, עכשיו - אימר עם סלוק ידיה ראתה, מה לי הפרישה בטהרה בז' מן המנחה ולמעלה - מה לי הפרישה בטהרה בראשון. בראשון - מי איכא למאן דאמר? אין, והתניא אמר רבי: שאלתי את רבי יוסי ור</w:t>
      </w:r>
      <w:r>
        <w:rPr>
          <w:rFonts w:cs="Arial" w:hint="cs"/>
          <w:sz w:val="20"/>
          <w:szCs w:val="20"/>
          <w:rtl/>
        </w:rPr>
        <w:t>בי</w:t>
      </w:r>
      <w:r w:rsidRPr="002A1ED1">
        <w:rPr>
          <w:rFonts w:cs="Arial"/>
          <w:sz w:val="20"/>
          <w:szCs w:val="20"/>
          <w:rtl/>
        </w:rPr>
        <w:t xml:space="preserve"> שמעון כשהיו מהלכים בדרך נדה שבדקה עצמה יום ז' שחרית ומצאה טהורה, ובין השמשות לא הפרישה, ולאחר הימים בדקה ומצאה טמאה, מהו? אמרו לו הרי זו בחזקת טהרה. ששי, חמישי, רביעי, שלישי, שני, מאי? א</w:t>
      </w:r>
      <w:r>
        <w:rPr>
          <w:rFonts w:cs="Arial" w:hint="cs"/>
          <w:sz w:val="20"/>
          <w:szCs w:val="20"/>
          <w:rtl/>
        </w:rPr>
        <w:t xml:space="preserve">מרו </w:t>
      </w:r>
      <w:r w:rsidRPr="002A1ED1">
        <w:rPr>
          <w:rFonts w:cs="Arial"/>
          <w:sz w:val="20"/>
          <w:szCs w:val="20"/>
          <w:rtl/>
        </w:rPr>
        <w:t>ל</w:t>
      </w:r>
      <w:r>
        <w:rPr>
          <w:rFonts w:cs="Arial" w:hint="cs"/>
          <w:sz w:val="20"/>
          <w:szCs w:val="20"/>
          <w:rtl/>
        </w:rPr>
        <w:t>י</w:t>
      </w:r>
      <w:r w:rsidRPr="002A1ED1">
        <w:rPr>
          <w:rFonts w:cs="Arial"/>
          <w:sz w:val="20"/>
          <w:szCs w:val="20"/>
          <w:rtl/>
        </w:rPr>
        <w:t xml:space="preserve"> לא שנא. ברא</w:t>
      </w:r>
      <w:r>
        <w:rPr>
          <w:rFonts w:cs="Arial"/>
          <w:sz w:val="20"/>
          <w:szCs w:val="20"/>
          <w:rtl/>
        </w:rPr>
        <w:t>שון לא שאלתי, וטעיתי שלא שאלתי.</w:t>
      </w:r>
      <w:r>
        <w:rPr>
          <w:rFonts w:cs="Arial" w:hint="cs"/>
          <w:sz w:val="20"/>
          <w:szCs w:val="20"/>
          <w:rtl/>
        </w:rPr>
        <w:t xml:space="preserve"> </w:t>
      </w:r>
      <w:r w:rsidRPr="002A1ED1">
        <w:rPr>
          <w:rFonts w:cs="Arial"/>
          <w:sz w:val="20"/>
          <w:szCs w:val="20"/>
          <w:rtl/>
        </w:rPr>
        <w:t>אטו כולהו לאו בחזקת טומאה קיימי? וכיון דפסק - פסק, ראשון נמי, כיון דפסק - פסק. ומעיקרא מאי סבר? הואיל והוחזק מעין פתוח</w:t>
      </w:r>
      <w:r>
        <w:rPr>
          <w:rFonts w:cs="Arial" w:hint="cs"/>
          <w:sz w:val="20"/>
          <w:szCs w:val="20"/>
          <w:rtl/>
        </w:rPr>
        <w:t>"</w:t>
      </w:r>
      <w:r w:rsidRPr="002A1ED1">
        <w:rPr>
          <w:rFonts w:cs="Arial"/>
          <w:sz w:val="20"/>
          <w:szCs w:val="20"/>
          <w:rtl/>
        </w:rPr>
        <w:t>.</w:t>
      </w:r>
    </w:p>
    <w:p w:rsidR="00620060" w:rsidRDefault="00620060" w:rsidP="00620060">
      <w:pPr>
        <w:rPr>
          <w:sz w:val="20"/>
          <w:szCs w:val="20"/>
          <w:rtl/>
        </w:rPr>
      </w:pPr>
      <w:r>
        <w:rPr>
          <w:rFonts w:cs="Arial" w:hint="cs"/>
          <w:sz w:val="20"/>
          <w:szCs w:val="20"/>
          <w:u w:val="single"/>
          <w:rtl/>
        </w:rPr>
        <w:t>סיכום השיטות במשנה ובגמרא</w:t>
      </w:r>
      <w:r>
        <w:rPr>
          <w:rFonts w:cs="Arial" w:hint="cs"/>
          <w:sz w:val="20"/>
          <w:szCs w:val="20"/>
          <w:u w:val="single"/>
          <w:rtl/>
        </w:rPr>
        <w:br/>
      </w:r>
      <w:r>
        <w:rPr>
          <w:rFonts w:cs="Arial" w:hint="cs"/>
          <w:sz w:val="20"/>
          <w:szCs w:val="20"/>
          <w:rtl/>
        </w:rPr>
        <w:t xml:space="preserve">נחלקו התנאים מתי מועילה בדיקת הפסק טהרה - </w:t>
      </w:r>
      <w:r>
        <w:rPr>
          <w:rFonts w:cs="Arial"/>
          <w:sz w:val="20"/>
          <w:szCs w:val="20"/>
          <w:u w:val="single"/>
          <w:rtl/>
        </w:rPr>
        <w:br/>
      </w:r>
      <w:r>
        <w:rPr>
          <w:rFonts w:cs="Arial" w:hint="cs"/>
          <w:sz w:val="20"/>
          <w:szCs w:val="20"/>
          <w:rtl/>
        </w:rPr>
        <w:t xml:space="preserve">א. תנא קמא </w:t>
      </w:r>
      <w:r>
        <w:rPr>
          <w:rFonts w:cs="Arial"/>
          <w:sz w:val="20"/>
          <w:szCs w:val="20"/>
          <w:rtl/>
        </w:rPr>
        <w:t>–</w:t>
      </w:r>
      <w:r>
        <w:rPr>
          <w:rFonts w:cs="Arial" w:hint="cs"/>
          <w:sz w:val="20"/>
          <w:szCs w:val="20"/>
          <w:rtl/>
        </w:rPr>
        <w:t xml:space="preserve"> בז' שחרית מהני.</w:t>
      </w:r>
      <w:r>
        <w:rPr>
          <w:rFonts w:cs="Arial"/>
          <w:sz w:val="20"/>
          <w:szCs w:val="20"/>
          <w:rtl/>
        </w:rPr>
        <w:br/>
      </w:r>
      <w:r>
        <w:rPr>
          <w:rFonts w:cs="Arial" w:hint="cs"/>
          <w:sz w:val="20"/>
          <w:szCs w:val="20"/>
          <w:rtl/>
        </w:rPr>
        <w:t xml:space="preserve">ב. </w:t>
      </w:r>
      <w:r>
        <w:rPr>
          <w:rFonts w:hint="cs"/>
          <w:sz w:val="20"/>
          <w:szCs w:val="20"/>
          <w:rtl/>
        </w:rPr>
        <w:t xml:space="preserve">רבי יהודה </w:t>
      </w:r>
      <w:r>
        <w:rPr>
          <w:sz w:val="20"/>
          <w:szCs w:val="20"/>
          <w:rtl/>
        </w:rPr>
        <w:t>–</w:t>
      </w:r>
      <w:r>
        <w:rPr>
          <w:rFonts w:hint="cs"/>
          <w:sz w:val="20"/>
          <w:szCs w:val="20"/>
          <w:rtl/>
        </w:rPr>
        <w:t xml:space="preserve"> רק ביום ז' בין השמשות.</w:t>
      </w:r>
      <w:r>
        <w:rPr>
          <w:sz w:val="20"/>
          <w:szCs w:val="20"/>
          <w:rtl/>
        </w:rPr>
        <w:br/>
      </w:r>
      <w:r>
        <w:rPr>
          <w:rFonts w:hint="cs"/>
          <w:sz w:val="20"/>
          <w:szCs w:val="20"/>
          <w:rtl/>
        </w:rPr>
        <w:t xml:space="preserve">ג. </w:t>
      </w:r>
      <w:r>
        <w:rPr>
          <w:rFonts w:cs="Arial" w:hint="cs"/>
          <w:sz w:val="20"/>
          <w:szCs w:val="20"/>
          <w:rtl/>
        </w:rPr>
        <w:t xml:space="preserve">חכמים דמתניתין </w:t>
      </w:r>
      <w:r>
        <w:rPr>
          <w:rFonts w:cs="Arial"/>
          <w:sz w:val="20"/>
          <w:szCs w:val="20"/>
          <w:rtl/>
        </w:rPr>
        <w:t>–</w:t>
      </w:r>
      <w:r>
        <w:rPr>
          <w:rFonts w:cs="Arial" w:hint="cs"/>
          <w:sz w:val="20"/>
          <w:szCs w:val="20"/>
          <w:rtl/>
        </w:rPr>
        <w:t xml:space="preserve"> בשחרית של היום השני לנידתה.</w:t>
      </w:r>
      <w:r>
        <w:rPr>
          <w:sz w:val="20"/>
          <w:szCs w:val="20"/>
          <w:rtl/>
        </w:rPr>
        <w:br/>
      </w:r>
      <w:r>
        <w:rPr>
          <w:rFonts w:hint="cs"/>
          <w:sz w:val="20"/>
          <w:szCs w:val="20"/>
          <w:rtl/>
        </w:rPr>
        <w:t xml:space="preserve">ד. חכמים דברייתא </w:t>
      </w:r>
      <w:r>
        <w:rPr>
          <w:sz w:val="20"/>
          <w:szCs w:val="20"/>
          <w:rtl/>
        </w:rPr>
        <w:t>–</w:t>
      </w:r>
      <w:r>
        <w:rPr>
          <w:rFonts w:hint="cs"/>
          <w:sz w:val="20"/>
          <w:szCs w:val="20"/>
          <w:rtl/>
        </w:rPr>
        <w:t xml:space="preserve"> אפילו ביום הראשון לנידתה.</w:t>
      </w:r>
    </w:p>
    <w:p w:rsidR="00620060" w:rsidRDefault="00620060" w:rsidP="00620060">
      <w:pPr>
        <w:rPr>
          <w:sz w:val="20"/>
          <w:szCs w:val="20"/>
          <w:rtl/>
        </w:rPr>
      </w:pPr>
      <w:r>
        <w:rPr>
          <w:rFonts w:hint="cs"/>
          <w:b/>
          <w:bCs/>
          <w:sz w:val="20"/>
          <w:szCs w:val="20"/>
          <w:rtl/>
        </w:rPr>
        <w:t>שיטות הראשונים</w:t>
      </w:r>
      <w:r>
        <w:rPr>
          <w:rFonts w:hint="cs"/>
          <w:b/>
          <w:bCs/>
          <w:sz w:val="20"/>
          <w:szCs w:val="20"/>
          <w:rtl/>
        </w:rPr>
        <w:br/>
      </w:r>
      <w:r>
        <w:rPr>
          <w:rFonts w:hint="cs"/>
          <w:sz w:val="20"/>
          <w:szCs w:val="20"/>
          <w:rtl/>
        </w:rPr>
        <w:t>מתי מועילה בדיקת הפסק טהרה?</w:t>
      </w:r>
      <w:r>
        <w:rPr>
          <w:b/>
          <w:bCs/>
          <w:sz w:val="20"/>
          <w:szCs w:val="20"/>
          <w:rtl/>
        </w:rPr>
        <w:br/>
      </w:r>
      <w:r>
        <w:rPr>
          <w:rFonts w:hint="cs"/>
          <w:sz w:val="20"/>
          <w:szCs w:val="20"/>
          <w:rtl/>
        </w:rPr>
        <w:t xml:space="preserve">א. </w:t>
      </w:r>
      <w:r w:rsidRPr="00FD1728">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אפילו בשחרית של היום הראשון.</w:t>
      </w:r>
      <w:r>
        <w:rPr>
          <w:sz w:val="20"/>
          <w:szCs w:val="20"/>
          <w:rtl/>
        </w:rPr>
        <w:br/>
      </w:r>
      <w:r w:rsidRPr="00FD1728">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הלכה כחכמים דברייתא, ואע"פ שבמשנה נאמר שבדיקה זו מועילה רק ביום השני, יש לומר שרבי שנה משנה זו בילדותו ומשום שלא שמע מחכמים אלא על בדיקת יום שני, אך בזקנותו חזר בו והתיר אף בראשון</w:t>
      </w:r>
      <w:r>
        <w:rPr>
          <w:rStyle w:val="a5"/>
          <w:sz w:val="20"/>
          <w:szCs w:val="20"/>
          <w:rtl/>
        </w:rPr>
        <w:footnoteReference w:id="498"/>
      </w:r>
      <w:r>
        <w:rPr>
          <w:rFonts w:hint="cs"/>
          <w:sz w:val="20"/>
          <w:szCs w:val="20"/>
          <w:rtl/>
        </w:rPr>
        <w:t xml:space="preserve">. </w:t>
      </w:r>
      <w:r>
        <w:rPr>
          <w:rFonts w:hint="cs"/>
          <w:sz w:val="20"/>
          <w:szCs w:val="20"/>
          <w:rtl/>
        </w:rPr>
        <w:br/>
        <w:t xml:space="preserve">ב. </w:t>
      </w:r>
      <w:r>
        <w:rPr>
          <w:rFonts w:hint="cs"/>
          <w:b/>
          <w:bCs/>
          <w:sz w:val="20"/>
          <w:szCs w:val="20"/>
          <w:rtl/>
        </w:rPr>
        <w:t>רמב"ן</w:t>
      </w:r>
      <w:r>
        <w:rPr>
          <w:rFonts w:hint="cs"/>
          <w:sz w:val="20"/>
          <w:szCs w:val="20"/>
          <w:rtl/>
        </w:rPr>
        <w:t xml:space="preserve"> </w:t>
      </w:r>
      <w:r>
        <w:rPr>
          <w:sz w:val="20"/>
          <w:szCs w:val="20"/>
          <w:rtl/>
        </w:rPr>
        <w:t>–</w:t>
      </w:r>
      <w:r>
        <w:rPr>
          <w:rFonts w:hint="cs"/>
          <w:sz w:val="20"/>
          <w:szCs w:val="20"/>
          <w:rtl/>
        </w:rPr>
        <w:t xml:space="preserve"> בדיקה ביום הראשון מועילה רק אם נעשית בין השמשות במוך דחוק, וכ"פ </w:t>
      </w:r>
      <w:r w:rsidRPr="00195CC3">
        <w:rPr>
          <w:rFonts w:hint="cs"/>
          <w:b/>
          <w:bCs/>
          <w:sz w:val="20"/>
          <w:szCs w:val="20"/>
          <w:rtl/>
        </w:rPr>
        <w:t xml:space="preserve">המחבר </w:t>
      </w:r>
      <w:r>
        <w:rPr>
          <w:rFonts w:hint="cs"/>
          <w:sz w:val="20"/>
          <w:szCs w:val="20"/>
          <w:rtl/>
        </w:rPr>
        <w:t>בסעיף ב'</w:t>
      </w:r>
      <w:r>
        <w:rPr>
          <w:rStyle w:val="a5"/>
          <w:sz w:val="20"/>
          <w:szCs w:val="20"/>
          <w:rtl/>
        </w:rPr>
        <w:footnoteReference w:id="499"/>
      </w:r>
      <w:r>
        <w:rPr>
          <w:rFonts w:hint="cs"/>
          <w:sz w:val="20"/>
          <w:szCs w:val="20"/>
          <w:rtl/>
        </w:rPr>
        <w:t xml:space="preserve"> </w:t>
      </w:r>
      <w:r>
        <w:rPr>
          <w:rStyle w:val="a5"/>
          <w:sz w:val="20"/>
          <w:szCs w:val="20"/>
          <w:rtl/>
        </w:rPr>
        <w:lastRenderedPageBreak/>
        <w:footnoteReference w:id="500"/>
      </w:r>
      <w:r>
        <w:rPr>
          <w:rFonts w:hint="cs"/>
          <w:sz w:val="20"/>
          <w:szCs w:val="20"/>
          <w:rtl/>
        </w:rPr>
        <w:t>.</w:t>
      </w:r>
      <w:r>
        <w:rPr>
          <w:rFonts w:hint="cs"/>
          <w:sz w:val="20"/>
          <w:szCs w:val="20"/>
          <w:rtl/>
        </w:rPr>
        <w:br/>
      </w:r>
      <w:r w:rsidRPr="003C1933">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הוחזק מעיינה פתוח ולכן צריך לוודא שהוא נסתם.</w:t>
      </w:r>
      <w:r>
        <w:rPr>
          <w:sz w:val="20"/>
          <w:szCs w:val="20"/>
          <w:rtl/>
        </w:rPr>
        <w:br/>
      </w:r>
      <w:r>
        <w:rPr>
          <w:rFonts w:hint="cs"/>
          <w:sz w:val="20"/>
          <w:szCs w:val="20"/>
          <w:rtl/>
        </w:rPr>
        <w:t xml:space="preserve">ג. </w:t>
      </w:r>
      <w:r w:rsidRPr="00823081">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בדיקה ביום הראשון אינה מועילה.</w:t>
      </w:r>
      <w:r>
        <w:rPr>
          <w:sz w:val="20"/>
          <w:szCs w:val="20"/>
          <w:rtl/>
        </w:rPr>
        <w:br/>
      </w:r>
      <w:r>
        <w:rPr>
          <w:rFonts w:hint="cs"/>
          <w:sz w:val="20"/>
          <w:szCs w:val="20"/>
          <w:rtl/>
        </w:rPr>
        <w:t xml:space="preserve">ואמנם, </w:t>
      </w:r>
      <w:r w:rsidRPr="00101F7E">
        <w:rPr>
          <w:rFonts w:hint="cs"/>
          <w:b/>
          <w:bCs/>
          <w:sz w:val="20"/>
          <w:szCs w:val="20"/>
          <w:rtl/>
        </w:rPr>
        <w:t>הרמב"ם</w:t>
      </w:r>
      <w:r>
        <w:rPr>
          <w:rFonts w:hint="cs"/>
          <w:sz w:val="20"/>
          <w:szCs w:val="20"/>
          <w:rtl/>
        </w:rPr>
        <w:t xml:space="preserve"> לא ביאר את דבריו, ואע"פ שמשמע ממנו שבדיקה ביום הראשון אינה מועילה כלל, כתב </w:t>
      </w:r>
      <w:r w:rsidRPr="00101F7E">
        <w:rPr>
          <w:rFonts w:hint="cs"/>
          <w:b/>
          <w:bCs/>
          <w:sz w:val="20"/>
          <w:szCs w:val="20"/>
          <w:rtl/>
        </w:rPr>
        <w:t>הבית יוסף</w:t>
      </w:r>
      <w:r>
        <w:rPr>
          <w:rFonts w:hint="cs"/>
          <w:sz w:val="20"/>
          <w:szCs w:val="20"/>
          <w:rtl/>
        </w:rPr>
        <w:t xml:space="preserve"> שבדיקה בביה"ש מועילה אפילו ביום הראשון. </w:t>
      </w:r>
      <w:r w:rsidRPr="00FB1E2C">
        <w:rPr>
          <w:rFonts w:hint="cs"/>
          <w:sz w:val="18"/>
          <w:szCs w:val="18"/>
          <w:rtl/>
        </w:rPr>
        <w:t xml:space="preserve">(ברם, </w:t>
      </w:r>
      <w:r w:rsidRPr="00FB1E2C">
        <w:rPr>
          <w:rFonts w:hint="cs"/>
          <w:b/>
          <w:bCs/>
          <w:sz w:val="18"/>
          <w:szCs w:val="18"/>
          <w:rtl/>
        </w:rPr>
        <w:t>הבית יוסף</w:t>
      </w:r>
      <w:r w:rsidRPr="00FB1E2C">
        <w:rPr>
          <w:rFonts w:hint="cs"/>
          <w:sz w:val="18"/>
          <w:szCs w:val="18"/>
          <w:rtl/>
        </w:rPr>
        <w:t xml:space="preserve"> לא מבאר האם </w:t>
      </w:r>
      <w:r>
        <w:rPr>
          <w:rFonts w:hint="cs"/>
          <w:sz w:val="18"/>
          <w:szCs w:val="18"/>
          <w:rtl/>
        </w:rPr>
        <w:t>ל</w:t>
      </w:r>
      <w:r w:rsidRPr="00FB1E2C">
        <w:rPr>
          <w:rFonts w:hint="cs"/>
          <w:sz w:val="18"/>
          <w:szCs w:val="18"/>
          <w:rtl/>
        </w:rPr>
        <w:t xml:space="preserve">דעת </w:t>
      </w:r>
      <w:r w:rsidRPr="00FB1E2C">
        <w:rPr>
          <w:rFonts w:hint="cs"/>
          <w:b/>
          <w:bCs/>
          <w:sz w:val="18"/>
          <w:szCs w:val="18"/>
          <w:rtl/>
        </w:rPr>
        <w:t>הרמב"ם</w:t>
      </w:r>
      <w:r w:rsidRPr="00FB1E2C">
        <w:rPr>
          <w:rFonts w:hint="cs"/>
          <w:sz w:val="18"/>
          <w:szCs w:val="18"/>
          <w:rtl/>
        </w:rPr>
        <w:t xml:space="preserve"> צריך מוך דחוק, ועיין לקמן בסעיף ב').</w:t>
      </w:r>
      <w:r>
        <w:rPr>
          <w:b/>
          <w:bCs/>
          <w:sz w:val="20"/>
          <w:szCs w:val="20"/>
          <w:rtl/>
        </w:rPr>
        <w:br/>
      </w:r>
      <w:r w:rsidRPr="000C6690">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הלכה כחכמים דמתניתין, וחכמים קאי על בדיקת שחרית ולכן הורו שבדיקת יום ראשון לא מהני, משמע שבדיקה ביום הראשון בבין השמשות מהני. והסיבה שהחמירו ביום הראשון היא, מפני שמעיינה פתוח.</w:t>
      </w:r>
      <w:r>
        <w:rPr>
          <w:rFonts w:hint="cs"/>
          <w:sz w:val="20"/>
          <w:szCs w:val="20"/>
          <w:rtl/>
        </w:rPr>
        <w:br/>
      </w:r>
      <w:r>
        <w:rPr>
          <w:sz w:val="20"/>
          <w:szCs w:val="20"/>
          <w:u w:val="single"/>
          <w:rtl/>
        </w:rPr>
        <w:br/>
      </w:r>
      <w:r>
        <w:rPr>
          <w:rFonts w:hint="cs"/>
          <w:sz w:val="20"/>
          <w:szCs w:val="20"/>
          <w:u w:val="single"/>
          <w:rtl/>
        </w:rPr>
        <w:t>שיטת הרא"ש</w:t>
      </w:r>
      <w:r>
        <w:rPr>
          <w:sz w:val="20"/>
          <w:szCs w:val="20"/>
          <w:u w:val="single"/>
          <w:rtl/>
        </w:rPr>
        <w:br/>
      </w:r>
      <w:r>
        <w:rPr>
          <w:rFonts w:hint="cs"/>
          <w:sz w:val="20"/>
          <w:szCs w:val="20"/>
          <w:rtl/>
        </w:rPr>
        <w:t xml:space="preserve">לשון </w:t>
      </w:r>
      <w:r w:rsidRPr="00E84E65">
        <w:rPr>
          <w:rFonts w:hint="cs"/>
          <w:sz w:val="20"/>
          <w:szCs w:val="20"/>
          <w:rtl/>
        </w:rPr>
        <w:t>הרא"ש</w:t>
      </w:r>
      <w:r>
        <w:rPr>
          <w:rFonts w:hint="cs"/>
          <w:sz w:val="20"/>
          <w:szCs w:val="20"/>
          <w:rtl/>
        </w:rPr>
        <w:t xml:space="preserve"> </w:t>
      </w:r>
      <w:r>
        <w:rPr>
          <w:sz w:val="20"/>
          <w:szCs w:val="20"/>
          <w:rtl/>
        </w:rPr>
        <w:t>–</w:t>
      </w:r>
      <w:r>
        <w:rPr>
          <w:rFonts w:hint="cs"/>
          <w:sz w:val="20"/>
          <w:szCs w:val="20"/>
          <w:rtl/>
        </w:rPr>
        <w:t xml:space="preserve"> "</w:t>
      </w:r>
      <w:r w:rsidRPr="002043B0">
        <w:rPr>
          <w:rFonts w:cs="Arial"/>
          <w:sz w:val="20"/>
          <w:szCs w:val="20"/>
          <w:rtl/>
        </w:rPr>
        <w:t>ואחר שיפסוק הדם תבדוק עצמה יפה יפה</w:t>
      </w:r>
      <w:r>
        <w:rPr>
          <w:rFonts w:cs="Arial" w:hint="cs"/>
          <w:sz w:val="20"/>
          <w:szCs w:val="20"/>
          <w:rtl/>
        </w:rPr>
        <w:t>,</w:t>
      </w:r>
      <w:r w:rsidRPr="002043B0">
        <w:rPr>
          <w:rFonts w:cs="Arial"/>
          <w:sz w:val="20"/>
          <w:szCs w:val="20"/>
          <w:rtl/>
        </w:rPr>
        <w:t xml:space="preserve"> ובדיקה זו תהיה בי</w:t>
      </w:r>
      <w:r>
        <w:rPr>
          <w:rFonts w:cs="Arial" w:hint="cs"/>
          <w:sz w:val="20"/>
          <w:szCs w:val="20"/>
          <w:rtl/>
        </w:rPr>
        <w:t xml:space="preserve">ה"ש </w:t>
      </w:r>
      <w:r w:rsidRPr="002043B0">
        <w:rPr>
          <w:rFonts w:cs="Arial"/>
          <w:sz w:val="20"/>
          <w:szCs w:val="20"/>
          <w:rtl/>
        </w:rPr>
        <w:t>ביום שתפסוק בו מלראות</w:t>
      </w:r>
      <w:r>
        <w:rPr>
          <w:rFonts w:cs="Arial" w:hint="cs"/>
          <w:sz w:val="20"/>
          <w:szCs w:val="20"/>
          <w:rtl/>
        </w:rPr>
        <w:t>".</w:t>
      </w:r>
      <w:r>
        <w:rPr>
          <w:rFonts w:hint="cs"/>
          <w:sz w:val="20"/>
          <w:szCs w:val="20"/>
          <w:rtl/>
        </w:rPr>
        <w:br/>
        <w:t xml:space="preserve">נחלקו כיצד יש להבין את דבריו - </w:t>
      </w:r>
      <w:r>
        <w:rPr>
          <w:sz w:val="20"/>
          <w:szCs w:val="20"/>
          <w:rtl/>
        </w:rPr>
        <w:br/>
      </w:r>
      <w:r>
        <w:rPr>
          <w:rFonts w:hint="cs"/>
          <w:sz w:val="20"/>
          <w:szCs w:val="20"/>
          <w:rtl/>
        </w:rPr>
        <w:t xml:space="preserve">א. </w:t>
      </w:r>
      <w:r w:rsidRPr="00E84E65">
        <w:rPr>
          <w:rFonts w:hint="cs"/>
          <w:b/>
          <w:bCs/>
          <w:sz w:val="20"/>
          <w:szCs w:val="20"/>
          <w:rtl/>
        </w:rPr>
        <w:t>טור</w:t>
      </w:r>
      <w:r>
        <w:rPr>
          <w:rFonts w:hint="cs"/>
          <w:sz w:val="20"/>
          <w:szCs w:val="20"/>
          <w:rtl/>
        </w:rPr>
        <w:t xml:space="preserve"> </w:t>
      </w:r>
      <w:r>
        <w:rPr>
          <w:sz w:val="20"/>
          <w:szCs w:val="20"/>
          <w:rtl/>
        </w:rPr>
        <w:t>–</w:t>
      </w:r>
      <w:r>
        <w:rPr>
          <w:rFonts w:hint="cs"/>
          <w:sz w:val="20"/>
          <w:szCs w:val="20"/>
          <w:rtl/>
        </w:rPr>
        <w:t xml:space="preserve"> הרא"ש סובר שהפסק טהרה נעשה רק בבין השמשות.</w:t>
      </w:r>
      <w:r>
        <w:rPr>
          <w:sz w:val="20"/>
          <w:szCs w:val="20"/>
          <w:rtl/>
        </w:rPr>
        <w:br/>
      </w:r>
      <w:r>
        <w:rPr>
          <w:rFonts w:hint="cs"/>
          <w:sz w:val="20"/>
          <w:szCs w:val="20"/>
          <w:rtl/>
        </w:rPr>
        <w:t xml:space="preserve">דוחה </w:t>
      </w:r>
      <w:r w:rsidRPr="00D57B10">
        <w:rPr>
          <w:rFonts w:hint="cs"/>
          <w:b/>
          <w:bCs/>
          <w:sz w:val="20"/>
          <w:szCs w:val="20"/>
          <w:rtl/>
        </w:rPr>
        <w:t>הבית יוסף</w:t>
      </w:r>
      <w:r>
        <w:rPr>
          <w:rFonts w:hint="cs"/>
          <w:sz w:val="20"/>
          <w:szCs w:val="20"/>
          <w:rtl/>
        </w:rPr>
        <w:t xml:space="preserve"> </w:t>
      </w:r>
      <w:r>
        <w:rPr>
          <w:sz w:val="20"/>
          <w:szCs w:val="20"/>
          <w:rtl/>
        </w:rPr>
        <w:t>–</w:t>
      </w:r>
      <w:r>
        <w:rPr>
          <w:rFonts w:hint="cs"/>
          <w:sz w:val="20"/>
          <w:szCs w:val="20"/>
          <w:rtl/>
        </w:rPr>
        <w:t xml:space="preserve"> קשה לומר זאת, מפני שזו רק דעת יחיד, ומדוע פסק הרא"ש כך?</w:t>
      </w:r>
      <w:r>
        <w:rPr>
          <w:rFonts w:hint="cs"/>
          <w:sz w:val="20"/>
          <w:szCs w:val="20"/>
          <w:rtl/>
        </w:rPr>
        <w:br/>
        <w:t xml:space="preserve">ב. </w:t>
      </w:r>
      <w:r w:rsidRPr="002043B0">
        <w:rPr>
          <w:rFonts w:hint="cs"/>
          <w:b/>
          <w:bCs/>
          <w:sz w:val="20"/>
          <w:szCs w:val="20"/>
          <w:rtl/>
        </w:rPr>
        <w:t>בית יוסף</w:t>
      </w:r>
      <w:r>
        <w:rPr>
          <w:rFonts w:hint="cs"/>
          <w:sz w:val="20"/>
          <w:szCs w:val="20"/>
          <w:rtl/>
        </w:rPr>
        <w:t xml:space="preserve"> </w:t>
      </w:r>
      <w:r>
        <w:rPr>
          <w:sz w:val="20"/>
          <w:szCs w:val="20"/>
          <w:rtl/>
        </w:rPr>
        <w:t>–</w:t>
      </w:r>
      <w:r>
        <w:rPr>
          <w:rFonts w:hint="cs"/>
          <w:sz w:val="20"/>
          <w:szCs w:val="20"/>
          <w:rtl/>
        </w:rPr>
        <w:t xml:space="preserve"> הרא"ש כתב זאת לכתחילה ולרווחא דמילתא לצאת ידי כל חשש, וכוונתו שבכל יום שתעשה הפסק טוב שייעשה ביה"ש, אך בוודאי שאין זה לעיכובא, וכ"פ </w:t>
      </w:r>
      <w:r w:rsidRPr="00D85266">
        <w:rPr>
          <w:rFonts w:hint="cs"/>
          <w:b/>
          <w:bCs/>
          <w:sz w:val="20"/>
          <w:szCs w:val="20"/>
          <w:rtl/>
        </w:rPr>
        <w:t>המחבר</w:t>
      </w:r>
      <w:r>
        <w:rPr>
          <w:rFonts w:hint="cs"/>
          <w:sz w:val="20"/>
          <w:szCs w:val="20"/>
          <w:rtl/>
        </w:rPr>
        <w:t xml:space="preserve"> בסעיף א' </w:t>
      </w:r>
      <w:r w:rsidRPr="00D85266">
        <w:rPr>
          <w:rFonts w:hint="cs"/>
          <w:sz w:val="18"/>
          <w:szCs w:val="18"/>
          <w:rtl/>
        </w:rPr>
        <w:t xml:space="preserve">(ע"פ הסבר </w:t>
      </w:r>
      <w:r w:rsidRPr="00D85266">
        <w:rPr>
          <w:rFonts w:hint="cs"/>
          <w:b/>
          <w:bCs/>
          <w:sz w:val="18"/>
          <w:szCs w:val="18"/>
          <w:rtl/>
        </w:rPr>
        <w:t>הגר"א</w:t>
      </w:r>
      <w:r w:rsidRPr="00D85266">
        <w:rPr>
          <w:rFonts w:hint="cs"/>
          <w:sz w:val="18"/>
          <w:szCs w:val="18"/>
          <w:rtl/>
        </w:rPr>
        <w:t>)</w:t>
      </w:r>
      <w:r>
        <w:rPr>
          <w:rFonts w:hint="cs"/>
          <w:sz w:val="20"/>
          <w:szCs w:val="20"/>
          <w:rtl/>
        </w:rPr>
        <w:t>.</w:t>
      </w:r>
      <w:r>
        <w:rPr>
          <w:sz w:val="20"/>
          <w:szCs w:val="20"/>
          <w:rtl/>
        </w:rPr>
        <w:br/>
      </w:r>
      <w:r>
        <w:rPr>
          <w:rFonts w:hint="cs"/>
          <w:sz w:val="20"/>
          <w:szCs w:val="20"/>
          <w:rtl/>
        </w:rPr>
        <w:t xml:space="preserve">ג. </w:t>
      </w:r>
      <w:r w:rsidRPr="00E84E65">
        <w:rPr>
          <w:rFonts w:hint="cs"/>
          <w:b/>
          <w:bCs/>
          <w:sz w:val="20"/>
          <w:szCs w:val="20"/>
          <w:rtl/>
        </w:rPr>
        <w:t>בית יוסף</w:t>
      </w:r>
      <w:r>
        <w:rPr>
          <w:rFonts w:hint="cs"/>
          <w:sz w:val="20"/>
          <w:szCs w:val="20"/>
          <w:rtl/>
        </w:rPr>
        <w:t xml:space="preserve"> </w:t>
      </w:r>
      <w:r>
        <w:rPr>
          <w:sz w:val="20"/>
          <w:szCs w:val="20"/>
          <w:rtl/>
        </w:rPr>
        <w:t>–</w:t>
      </w:r>
      <w:r>
        <w:rPr>
          <w:rFonts w:hint="cs"/>
          <w:sz w:val="20"/>
          <w:szCs w:val="20"/>
          <w:rtl/>
        </w:rPr>
        <w:t xml:space="preserve"> הרא"ש פוסק כת"ק דמתניתין, שרק ביום השביעי מהני בדיקת שחרית להפסק טהרה, אך בשאר הימים צריכה לעשות את הפסק הטהרה רק ביה"ש. </w:t>
      </w:r>
      <w:r>
        <w:rPr>
          <w:sz w:val="20"/>
          <w:szCs w:val="20"/>
          <w:rtl/>
        </w:rPr>
        <w:br/>
      </w:r>
      <w:r>
        <w:rPr>
          <w:rFonts w:hint="cs"/>
          <w:sz w:val="20"/>
          <w:szCs w:val="20"/>
          <w:rtl/>
        </w:rPr>
        <w:t xml:space="preserve">ומדוע </w:t>
      </w:r>
      <w:r w:rsidRPr="009529C9">
        <w:rPr>
          <w:rFonts w:hint="cs"/>
          <w:b/>
          <w:bCs/>
          <w:sz w:val="20"/>
          <w:szCs w:val="20"/>
          <w:rtl/>
        </w:rPr>
        <w:t>הרא"ש</w:t>
      </w:r>
      <w:r>
        <w:rPr>
          <w:rFonts w:hint="cs"/>
          <w:sz w:val="20"/>
          <w:szCs w:val="20"/>
          <w:rtl/>
        </w:rPr>
        <w:t xml:space="preserve"> לא כתב שיש חילוק בין פוסקת ביום ז' לפוסקת בשאר הימים?</w:t>
      </w:r>
      <w:r>
        <w:rPr>
          <w:sz w:val="20"/>
          <w:szCs w:val="20"/>
          <w:rtl/>
        </w:rPr>
        <w:br/>
      </w:r>
      <w:r>
        <w:rPr>
          <w:rFonts w:hint="cs"/>
          <w:sz w:val="20"/>
          <w:szCs w:val="20"/>
          <w:rtl/>
        </w:rPr>
        <w:t>אפשר שאפילו ביום ז' צריכה לעשות הפסק רק ביה"ש, כדי שלא יבואו להתבלבל ולהחליף דין יום ז' בשאר הימים. או שלא כתב זאת משום שרוב נשים פוסקות לפני יום ז', לכן אין נפק"מ בכך שביום ז' יש מקום להקל.</w:t>
      </w:r>
      <w:r>
        <w:rPr>
          <w:sz w:val="20"/>
          <w:szCs w:val="20"/>
          <w:rtl/>
        </w:rPr>
        <w:t xml:space="preserve"> </w:t>
      </w:r>
    </w:p>
    <w:p w:rsidR="00620060" w:rsidRDefault="00620060" w:rsidP="00620060">
      <w:pPr>
        <w:rPr>
          <w:sz w:val="20"/>
          <w:szCs w:val="20"/>
          <w:rtl/>
        </w:rPr>
      </w:pPr>
      <w:r>
        <w:rPr>
          <w:rFonts w:hint="cs"/>
          <w:b/>
          <w:bCs/>
          <w:sz w:val="20"/>
          <w:szCs w:val="20"/>
          <w:rtl/>
        </w:rPr>
        <w:t>מתי היא בדיקת בין השמשות?</w:t>
      </w:r>
      <w:r>
        <w:rPr>
          <w:b/>
          <w:bCs/>
          <w:sz w:val="20"/>
          <w:szCs w:val="20"/>
          <w:rtl/>
        </w:rPr>
        <w:br/>
      </w:r>
      <w:r>
        <w:rPr>
          <w:rFonts w:hint="cs"/>
          <w:b/>
          <w:bCs/>
          <w:sz w:val="20"/>
          <w:szCs w:val="20"/>
          <w:rtl/>
        </w:rPr>
        <w:t xml:space="preserve">בית יוסף </w:t>
      </w:r>
      <w:r>
        <w:rPr>
          <w:sz w:val="20"/>
          <w:szCs w:val="20"/>
          <w:rtl/>
        </w:rPr>
        <w:t>–</w:t>
      </w:r>
      <w:r>
        <w:rPr>
          <w:rFonts w:hint="cs"/>
          <w:sz w:val="20"/>
          <w:szCs w:val="20"/>
          <w:rtl/>
        </w:rPr>
        <w:t xml:space="preserve"> בוודאי שאין כוונת התנאים והראשונים שיש לבדוק בבין השמשות ממש, שהרי זמן זה הוא ספק יום וספק לילה, ואם לא בדקה לפני כן אין ראוי שיעלה לה הפסק ליום הקודם בזמן שהוא ספק יום הבא.</w:t>
      </w:r>
      <w:r>
        <w:rPr>
          <w:sz w:val="20"/>
          <w:szCs w:val="20"/>
          <w:rtl/>
        </w:rPr>
        <w:br/>
      </w:r>
      <w:r>
        <w:rPr>
          <w:rFonts w:hint="cs"/>
          <w:sz w:val="20"/>
          <w:szCs w:val="20"/>
          <w:rtl/>
        </w:rPr>
        <w:t>ועוד, דעת רבי יהודה, המחמיר בדין זה, היא שיש לבדוק מהמנחה ולמעלה, כלומר מזמן מנחה קטנה, הרי שלא הצריך בדיקה בבין השמשות דווקא.</w:t>
      </w:r>
      <w:r>
        <w:rPr>
          <w:sz w:val="20"/>
          <w:szCs w:val="20"/>
          <w:rtl/>
        </w:rPr>
        <w:br/>
      </w:r>
      <w:r>
        <w:rPr>
          <w:rFonts w:hint="cs"/>
          <w:sz w:val="20"/>
          <w:szCs w:val="20"/>
          <w:rtl/>
        </w:rPr>
        <w:t>אלא, צריך לומר שבדיקת בין השמשות היא מעט לפני בין השמשות, לאחר מנחה קטנה, וכמה שאפשר לסמוך בדיקה זו לבין השמשות, עדיף.</w:t>
      </w:r>
    </w:p>
    <w:p w:rsidR="00620060" w:rsidRDefault="00620060" w:rsidP="00620060">
      <w:pPr>
        <w:rPr>
          <w:sz w:val="20"/>
          <w:szCs w:val="20"/>
          <w:rtl/>
        </w:rPr>
      </w:pPr>
      <w:r>
        <w:rPr>
          <w:rFonts w:hint="cs"/>
          <w:b/>
          <w:bCs/>
          <w:sz w:val="20"/>
          <w:szCs w:val="20"/>
          <w:rtl/>
        </w:rPr>
        <w:t>מוך דחוק</w:t>
      </w:r>
      <w:r>
        <w:rPr>
          <w:b/>
          <w:bCs/>
          <w:sz w:val="20"/>
          <w:szCs w:val="20"/>
          <w:rtl/>
        </w:rPr>
        <w:br/>
      </w:r>
      <w:r>
        <w:rPr>
          <w:rFonts w:hint="cs"/>
          <w:b/>
          <w:bCs/>
          <w:sz w:val="20"/>
          <w:szCs w:val="20"/>
          <w:rtl/>
        </w:rPr>
        <w:t xml:space="preserve">בית יוסף </w:t>
      </w:r>
      <w:r>
        <w:rPr>
          <w:sz w:val="20"/>
          <w:szCs w:val="20"/>
          <w:rtl/>
        </w:rPr>
        <w:t>–</w:t>
      </w:r>
      <w:r>
        <w:rPr>
          <w:rFonts w:hint="cs"/>
          <w:sz w:val="20"/>
          <w:szCs w:val="20"/>
          <w:rtl/>
        </w:rPr>
        <w:t xml:space="preserve"> לאחר שהבית יוסף מסיים את הדיון בשיטת התנאים והראשונים בזמן בדיקת הפסק טהרה, הוא חותם כך: "</w:t>
      </w:r>
      <w:r w:rsidRPr="00D2797C">
        <w:rPr>
          <w:rFonts w:cs="Arial"/>
          <w:sz w:val="20"/>
          <w:szCs w:val="20"/>
          <w:rtl/>
        </w:rPr>
        <w:t xml:space="preserve">ולי מה יקרו דברי </w:t>
      </w:r>
      <w:r w:rsidRPr="00922524">
        <w:rPr>
          <w:rFonts w:cs="Arial"/>
          <w:b/>
          <w:bCs/>
          <w:sz w:val="20"/>
          <w:szCs w:val="20"/>
          <w:rtl/>
        </w:rPr>
        <w:t>הרשב"א</w:t>
      </w:r>
      <w:r w:rsidRPr="00D2797C">
        <w:rPr>
          <w:rFonts w:cs="Arial"/>
          <w:sz w:val="20"/>
          <w:szCs w:val="20"/>
          <w:rtl/>
        </w:rPr>
        <w:t xml:space="preserve"> שכתב בתורת הבית</w:t>
      </w:r>
      <w:r>
        <w:rPr>
          <w:rFonts w:cs="Arial" w:hint="cs"/>
          <w:sz w:val="20"/>
          <w:szCs w:val="20"/>
          <w:rtl/>
        </w:rPr>
        <w:t>:</w:t>
      </w:r>
      <w:r w:rsidRPr="00D2797C">
        <w:rPr>
          <w:rFonts w:cs="Arial"/>
          <w:sz w:val="20"/>
          <w:szCs w:val="20"/>
          <w:rtl/>
        </w:rPr>
        <w:t xml:space="preserve"> לעולם ילמד אדם בתוך ביתו שתהא האשה בודקת יום הפסק טהרתה במוך דחוק</w:t>
      </w:r>
      <w:r>
        <w:rPr>
          <w:rFonts w:cs="Arial" w:hint="cs"/>
          <w:sz w:val="20"/>
          <w:szCs w:val="20"/>
          <w:rtl/>
        </w:rPr>
        <w:t>,</w:t>
      </w:r>
      <w:r w:rsidRPr="00D2797C">
        <w:rPr>
          <w:rFonts w:cs="Arial"/>
          <w:sz w:val="20"/>
          <w:szCs w:val="20"/>
          <w:rtl/>
        </w:rPr>
        <w:t xml:space="preserve"> ושיהא שם כל בין השמשות</w:t>
      </w:r>
      <w:r>
        <w:rPr>
          <w:rFonts w:cs="Arial" w:hint="cs"/>
          <w:sz w:val="20"/>
          <w:szCs w:val="20"/>
          <w:rtl/>
        </w:rPr>
        <w:t>,</w:t>
      </w:r>
      <w:r w:rsidRPr="00D2797C">
        <w:rPr>
          <w:rFonts w:cs="Arial"/>
          <w:sz w:val="20"/>
          <w:szCs w:val="20"/>
          <w:rtl/>
        </w:rPr>
        <w:t xml:space="preserve"> שזו הבדיקה מוציאה מידי כל ספק</w:t>
      </w:r>
      <w:r>
        <w:rPr>
          <w:rFonts w:hint="cs"/>
          <w:sz w:val="20"/>
          <w:szCs w:val="20"/>
          <w:rtl/>
        </w:rPr>
        <w:t>".</w:t>
      </w:r>
      <w:r>
        <w:rPr>
          <w:sz w:val="20"/>
          <w:szCs w:val="20"/>
          <w:rtl/>
        </w:rPr>
        <w:br/>
      </w:r>
      <w:r>
        <w:rPr>
          <w:rFonts w:hint="cs"/>
          <w:sz w:val="20"/>
          <w:szCs w:val="20"/>
          <w:rtl/>
        </w:rPr>
        <w:t xml:space="preserve">כלומר </w:t>
      </w:r>
      <w:r>
        <w:rPr>
          <w:sz w:val="20"/>
          <w:szCs w:val="20"/>
          <w:rtl/>
        </w:rPr>
        <w:t>–</w:t>
      </w:r>
      <w:r>
        <w:rPr>
          <w:rFonts w:hint="cs"/>
          <w:sz w:val="20"/>
          <w:szCs w:val="20"/>
          <w:rtl/>
        </w:rPr>
        <w:t xml:space="preserve"> כיוון שביה"ש ספק יום הוא, בוודאי שכדי לוודא שיום זה פסק בטהרה, צריכה לברר זאת ברגעים האחרונים של היום, ובדיקה זו מוציאה אותה מכל חשש.</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E7406F">
        <w:rPr>
          <w:rFonts w:cs="Arial"/>
          <w:sz w:val="20"/>
          <w:szCs w:val="20"/>
          <w:rtl/>
        </w:rPr>
        <w:t xml:space="preserve">שבעה ימים שהזבה סופרת מתחילין ממחרת יום שפסקה בו. וכך משפטה, אם תראה ב' ימים או ג' ופסקה מלראות, בודקת ביום שפסקה כדי שתפסוק בטהרה; ובדיקה זו תהיה סמוך לבין השמשות. </w:t>
      </w:r>
      <w:r>
        <w:rPr>
          <w:rFonts w:cs="Arial"/>
          <w:sz w:val="18"/>
          <w:szCs w:val="18"/>
          <w:rtl/>
        </w:rPr>
        <w:br/>
      </w:r>
      <w:r w:rsidRPr="00E7406F">
        <w:rPr>
          <w:rFonts w:cs="Arial" w:hint="cs"/>
          <w:sz w:val="18"/>
          <w:szCs w:val="18"/>
          <w:rtl/>
        </w:rPr>
        <w:t xml:space="preserve">הגה: </w:t>
      </w:r>
      <w:r w:rsidRPr="00E7406F">
        <w:rPr>
          <w:rFonts w:cs="Arial"/>
          <w:sz w:val="18"/>
          <w:szCs w:val="18"/>
          <w:rtl/>
        </w:rPr>
        <w:t>וכן נוהגין לכתח</w:t>
      </w:r>
      <w:r>
        <w:rPr>
          <w:rFonts w:cs="Arial" w:hint="cs"/>
          <w:sz w:val="18"/>
          <w:szCs w:val="18"/>
          <w:rtl/>
        </w:rPr>
        <w:t>י</w:t>
      </w:r>
      <w:r w:rsidRPr="00E7406F">
        <w:rPr>
          <w:rFonts w:cs="Arial"/>
          <w:sz w:val="18"/>
          <w:szCs w:val="18"/>
          <w:rtl/>
        </w:rPr>
        <w:t>לה; ובדיעבד, אפילו לא בדקה עצמה רק ש</w:t>
      </w:r>
      <w:r>
        <w:rPr>
          <w:rFonts w:cs="Arial"/>
          <w:sz w:val="18"/>
          <w:szCs w:val="18"/>
          <w:rtl/>
        </w:rPr>
        <w:t>חרית ומצאה עצמה טהורה, סגי בכך</w:t>
      </w:r>
      <w:r w:rsidRPr="00E7406F">
        <w:rPr>
          <w:rFonts w:cs="Arial"/>
          <w:sz w:val="20"/>
          <w:szCs w:val="20"/>
          <w:rtl/>
        </w:rPr>
        <w:t xml:space="preserve">. </w:t>
      </w:r>
      <w:r>
        <w:rPr>
          <w:rFonts w:cs="Arial" w:hint="cs"/>
          <w:sz w:val="20"/>
          <w:szCs w:val="20"/>
          <w:rtl/>
        </w:rPr>
        <w:br/>
      </w:r>
      <w:r w:rsidRPr="00E7406F">
        <w:rPr>
          <w:rFonts w:cs="Arial"/>
          <w:sz w:val="20"/>
          <w:szCs w:val="20"/>
          <w:rtl/>
        </w:rPr>
        <w:t xml:space="preserve">ולעולם ילמד אדם </w:t>
      </w:r>
      <w:r w:rsidRPr="00E7406F">
        <w:rPr>
          <w:rFonts w:cs="Arial"/>
          <w:sz w:val="18"/>
          <w:szCs w:val="18"/>
          <w:rtl/>
        </w:rPr>
        <w:t>(להחמיר לכתח</w:t>
      </w:r>
      <w:r>
        <w:rPr>
          <w:rFonts w:cs="Arial" w:hint="cs"/>
          <w:sz w:val="18"/>
          <w:szCs w:val="18"/>
          <w:rtl/>
        </w:rPr>
        <w:t>י</w:t>
      </w:r>
      <w:r w:rsidRPr="00E7406F">
        <w:rPr>
          <w:rFonts w:cs="Arial"/>
          <w:sz w:val="18"/>
          <w:szCs w:val="18"/>
          <w:rtl/>
        </w:rPr>
        <w:t xml:space="preserve">לה) </w:t>
      </w:r>
      <w:r w:rsidRPr="00E7406F">
        <w:rPr>
          <w:rFonts w:cs="Arial"/>
          <w:sz w:val="20"/>
          <w:szCs w:val="20"/>
          <w:rtl/>
        </w:rPr>
        <w:t>בתוך ביתו שתהא בודקת ביום הפסק טהרתה במוך דחוק ושיהא שם כל בין השמ</w:t>
      </w:r>
      <w:r>
        <w:rPr>
          <w:rFonts w:cs="Arial"/>
          <w:sz w:val="20"/>
          <w:szCs w:val="20"/>
          <w:rtl/>
        </w:rPr>
        <w:t xml:space="preserve">שות, שזו </w:t>
      </w:r>
      <w:r>
        <w:rPr>
          <w:rFonts w:cs="Arial" w:hint="cs"/>
          <w:sz w:val="20"/>
          <w:szCs w:val="20"/>
          <w:rtl/>
        </w:rPr>
        <w:t>ה</w:t>
      </w:r>
      <w:r>
        <w:rPr>
          <w:rFonts w:cs="Arial"/>
          <w:sz w:val="20"/>
          <w:szCs w:val="20"/>
          <w:rtl/>
        </w:rPr>
        <w:t xml:space="preserve">בדיקה מוציאה מידי </w:t>
      </w:r>
      <w:r>
        <w:rPr>
          <w:rFonts w:cs="Arial" w:hint="cs"/>
          <w:sz w:val="20"/>
          <w:szCs w:val="20"/>
          <w:rtl/>
        </w:rPr>
        <w:t xml:space="preserve">כל </w:t>
      </w:r>
      <w:r>
        <w:rPr>
          <w:rFonts w:cs="Arial"/>
          <w:sz w:val="20"/>
          <w:szCs w:val="20"/>
          <w:rtl/>
        </w:rPr>
        <w:t>ספק</w:t>
      </w:r>
      <w:r>
        <w:rPr>
          <w:rFonts w:cs="Arial" w:hint="cs"/>
          <w:sz w:val="20"/>
          <w:szCs w:val="20"/>
          <w:rtl/>
        </w:rPr>
        <w:t>".</w:t>
      </w:r>
    </w:p>
    <w:p w:rsidR="00620060" w:rsidRDefault="00620060" w:rsidP="00620060">
      <w:pPr>
        <w:rPr>
          <w:sz w:val="20"/>
          <w:szCs w:val="20"/>
          <w:rtl/>
        </w:rPr>
      </w:pPr>
      <w:r>
        <w:rPr>
          <w:rFonts w:hint="cs"/>
          <w:sz w:val="20"/>
          <w:szCs w:val="20"/>
          <w:u w:val="single"/>
          <w:rtl/>
        </w:rPr>
        <w:t xml:space="preserve">בדיקה בשחרית </w:t>
      </w:r>
      <w:r>
        <w:rPr>
          <w:sz w:val="20"/>
          <w:szCs w:val="20"/>
          <w:u w:val="single"/>
          <w:rtl/>
        </w:rPr>
        <w:t>–</w:t>
      </w:r>
      <w:r>
        <w:rPr>
          <w:rFonts w:hint="cs"/>
          <w:sz w:val="20"/>
          <w:szCs w:val="20"/>
          <w:u w:val="single"/>
          <w:rtl/>
        </w:rPr>
        <w:t xml:space="preserve"> ביאור דעת הרמ"א</w:t>
      </w:r>
      <w:r>
        <w:rPr>
          <w:rStyle w:val="a5"/>
          <w:sz w:val="20"/>
          <w:szCs w:val="20"/>
          <w:u w:val="single"/>
          <w:rtl/>
        </w:rPr>
        <w:footnoteReference w:id="501"/>
      </w:r>
      <w:r>
        <w:rPr>
          <w:sz w:val="20"/>
          <w:szCs w:val="20"/>
          <w:u w:val="single"/>
          <w:rtl/>
        </w:rPr>
        <w:br/>
      </w:r>
      <w:r>
        <w:rPr>
          <w:rFonts w:hint="cs"/>
          <w:sz w:val="20"/>
          <w:szCs w:val="20"/>
          <w:rtl/>
        </w:rPr>
        <w:t>א. לכתחילה יש להחמיר ולא לסמוך על בדיקת שחרית, כדעת רבי יהודה וכהבנת הטור ברא"ש, אך בדיעבד מהני בדיקת שחרית, כרשב"א, וכהבנת הבית יוסף ברא"ש.</w:t>
      </w:r>
      <w:r>
        <w:rPr>
          <w:sz w:val="20"/>
          <w:szCs w:val="20"/>
          <w:rtl/>
        </w:rPr>
        <w:br/>
      </w:r>
      <w:r>
        <w:rPr>
          <w:rFonts w:hint="cs"/>
          <w:sz w:val="20"/>
          <w:szCs w:val="20"/>
          <w:rtl/>
        </w:rPr>
        <w:lastRenderedPageBreak/>
        <w:t xml:space="preserve">ב. </w:t>
      </w:r>
      <w:r w:rsidRPr="00850075">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מבואר בסעיף הבא, שדווקא בהפסק הנעשה בשאר הימים מהני אם נעשה בשחרית, אך הפסק ביום הראשון צריך להיות דווקא בבין השמשות.</w:t>
      </w:r>
    </w:p>
    <w:p w:rsidR="00620060" w:rsidRDefault="00620060" w:rsidP="00620060">
      <w:pPr>
        <w:rPr>
          <w:sz w:val="20"/>
          <w:szCs w:val="20"/>
          <w:rtl/>
        </w:rPr>
      </w:pPr>
      <w:r>
        <w:rPr>
          <w:rFonts w:hint="cs"/>
          <w:sz w:val="20"/>
          <w:szCs w:val="20"/>
          <w:u w:val="single"/>
          <w:rtl/>
        </w:rPr>
        <w:t>בדיקת הפסק טהרה נוספת</w:t>
      </w:r>
      <w:r>
        <w:rPr>
          <w:sz w:val="20"/>
          <w:szCs w:val="20"/>
          <w:u w:val="single"/>
          <w:rtl/>
        </w:rPr>
        <w:br/>
      </w:r>
      <w:r w:rsidRPr="005D1508">
        <w:rPr>
          <w:rFonts w:hint="cs"/>
          <w:b/>
          <w:bCs/>
          <w:sz w:val="20"/>
          <w:szCs w:val="20"/>
          <w:rtl/>
        </w:rPr>
        <w:t>שבט הלוי</w:t>
      </w:r>
      <w:r>
        <w:rPr>
          <w:rFonts w:hint="cs"/>
          <w:sz w:val="20"/>
          <w:szCs w:val="20"/>
          <w:rtl/>
        </w:rPr>
        <w:t xml:space="preserve"> </w:t>
      </w:r>
      <w:r>
        <w:rPr>
          <w:sz w:val="20"/>
          <w:szCs w:val="20"/>
          <w:rtl/>
        </w:rPr>
        <w:t>–</w:t>
      </w:r>
      <w:r>
        <w:rPr>
          <w:rFonts w:hint="cs"/>
          <w:sz w:val="20"/>
          <w:szCs w:val="20"/>
          <w:rtl/>
        </w:rPr>
        <w:t xml:space="preserve"> רצוי לבדוק מעט קודם בין השמשות, כיוון שמצוי שבדיקת ההפסק הראשונה אינה נקייה, ואם תמתין עד הרגע האחרון לא תוכל לבדוק פעם נוספת, אך אם יש שהות יכולה לרחוץ באותו מקום ולבדוק שנית.</w:t>
      </w:r>
      <w:r>
        <w:rPr>
          <w:sz w:val="20"/>
          <w:szCs w:val="20"/>
          <w:rtl/>
        </w:rPr>
        <w:br/>
      </w:r>
      <w:r>
        <w:rPr>
          <w:sz w:val="20"/>
          <w:szCs w:val="20"/>
          <w:u w:val="single"/>
          <w:rtl/>
        </w:rPr>
        <w:br/>
      </w:r>
      <w:r>
        <w:rPr>
          <w:rFonts w:hint="cs"/>
          <w:sz w:val="20"/>
          <w:szCs w:val="20"/>
          <w:u w:val="single"/>
          <w:rtl/>
        </w:rPr>
        <w:t>בדיקת הפסק טהרה שנעשתה לאחר השקיעה</w:t>
      </w:r>
      <w:r>
        <w:rPr>
          <w:sz w:val="20"/>
          <w:szCs w:val="20"/>
          <w:u w:val="single"/>
          <w:rtl/>
        </w:rPr>
        <w:br/>
      </w:r>
      <w:r>
        <w:rPr>
          <w:rFonts w:hint="cs"/>
          <w:sz w:val="20"/>
          <w:szCs w:val="20"/>
          <w:rtl/>
        </w:rPr>
        <w:t xml:space="preserve">א. </w:t>
      </w:r>
      <w:r w:rsidRPr="00FC1883">
        <w:rPr>
          <w:rFonts w:hint="cs"/>
          <w:b/>
          <w:bCs/>
          <w:sz w:val="20"/>
          <w:szCs w:val="20"/>
          <w:rtl/>
        </w:rPr>
        <w:t>ששבה"ל</w:t>
      </w:r>
      <w:r>
        <w:rPr>
          <w:rFonts w:hint="cs"/>
          <w:sz w:val="20"/>
          <w:szCs w:val="20"/>
          <w:rtl/>
        </w:rPr>
        <w:t xml:space="preserve"> </w:t>
      </w:r>
      <w:r>
        <w:rPr>
          <w:sz w:val="20"/>
          <w:szCs w:val="20"/>
          <w:rtl/>
        </w:rPr>
        <w:t>–</w:t>
      </w:r>
      <w:r>
        <w:rPr>
          <w:rFonts w:hint="cs"/>
          <w:sz w:val="20"/>
          <w:szCs w:val="20"/>
          <w:rtl/>
        </w:rPr>
        <w:t xml:space="preserve"> אם בדקו ברגע השקיעה ממש או אחר השקיעה, יעשו שאלת חכם.</w:t>
      </w:r>
      <w:r>
        <w:rPr>
          <w:sz w:val="20"/>
          <w:szCs w:val="20"/>
          <w:u w:val="single"/>
          <w:rtl/>
        </w:rPr>
        <w:br/>
      </w:r>
      <w:r w:rsidRPr="00FC1883">
        <w:rPr>
          <w:rFonts w:hint="cs"/>
          <w:sz w:val="20"/>
          <w:szCs w:val="20"/>
          <w:rtl/>
        </w:rPr>
        <w:t>ב</w:t>
      </w:r>
      <w:r>
        <w:rPr>
          <w:rFonts w:hint="cs"/>
          <w:sz w:val="20"/>
          <w:szCs w:val="20"/>
          <w:rtl/>
        </w:rPr>
        <w:t xml:space="preserve">. </w:t>
      </w:r>
      <w:r w:rsidRPr="00FC1883">
        <w:rPr>
          <w:rFonts w:hint="cs"/>
          <w:b/>
          <w:bCs/>
          <w:sz w:val="20"/>
          <w:szCs w:val="20"/>
          <w:rtl/>
        </w:rPr>
        <w:t>טהרת הבית</w:t>
      </w:r>
      <w:r>
        <w:rPr>
          <w:rFonts w:hint="cs"/>
          <w:sz w:val="20"/>
          <w:szCs w:val="20"/>
          <w:rtl/>
        </w:rPr>
        <w:t xml:space="preserve"> </w:t>
      </w:r>
      <w:r w:rsidRPr="009577DD">
        <w:rPr>
          <w:rFonts w:hint="cs"/>
          <w:sz w:val="18"/>
          <w:szCs w:val="18"/>
          <w:rtl/>
        </w:rPr>
        <w:t xml:space="preserve">(עמ' רעח </w:t>
      </w:r>
      <w:r w:rsidRPr="009577DD">
        <w:rPr>
          <w:sz w:val="18"/>
          <w:szCs w:val="18"/>
          <w:rtl/>
        </w:rPr>
        <w:t>–</w:t>
      </w:r>
      <w:r w:rsidRPr="009577DD">
        <w:rPr>
          <w:rFonts w:hint="cs"/>
          <w:sz w:val="18"/>
          <w:szCs w:val="18"/>
          <w:rtl/>
        </w:rPr>
        <w:t xml:space="preserve"> רצ</w:t>
      </w:r>
      <w:r>
        <w:rPr>
          <w:rStyle w:val="a5"/>
          <w:sz w:val="18"/>
          <w:szCs w:val="18"/>
          <w:rtl/>
        </w:rPr>
        <w:footnoteReference w:id="502"/>
      </w:r>
      <w:r w:rsidRPr="009577DD">
        <w:rPr>
          <w:rFonts w:hint="cs"/>
          <w:sz w:val="18"/>
          <w:szCs w:val="18"/>
          <w:rtl/>
        </w:rPr>
        <w:t xml:space="preserve">) </w:t>
      </w:r>
      <w:r>
        <w:rPr>
          <w:sz w:val="20"/>
          <w:szCs w:val="20"/>
          <w:rtl/>
        </w:rPr>
        <w:t>–</w:t>
      </w:r>
      <w:r>
        <w:rPr>
          <w:rFonts w:hint="cs"/>
          <w:sz w:val="20"/>
          <w:szCs w:val="20"/>
          <w:rtl/>
        </w:rPr>
        <w:t xml:space="preserve"> יש להקל </w:t>
      </w:r>
      <w:r w:rsidRPr="00FC1883">
        <w:rPr>
          <w:rFonts w:hint="cs"/>
          <w:sz w:val="20"/>
          <w:szCs w:val="20"/>
          <w:u w:val="single"/>
          <w:rtl/>
        </w:rPr>
        <w:t>בדיעבד</w:t>
      </w:r>
      <w:r>
        <w:rPr>
          <w:rFonts w:hint="cs"/>
          <w:sz w:val="20"/>
          <w:szCs w:val="20"/>
          <w:rtl/>
        </w:rPr>
        <w:t xml:space="preserve"> שבדיקת הפסק טהרה לאחר השקיעה עולה לה.</w:t>
      </w:r>
      <w:r>
        <w:rPr>
          <w:sz w:val="20"/>
          <w:szCs w:val="20"/>
          <w:rtl/>
        </w:rPr>
        <w:br/>
      </w:r>
      <w:r w:rsidRPr="00FC1883">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יש בדבר כמה ספקות:</w:t>
      </w:r>
      <w:r>
        <w:rPr>
          <w:rFonts w:hint="cs"/>
          <w:sz w:val="20"/>
          <w:szCs w:val="20"/>
          <w:rtl/>
        </w:rPr>
        <w:br/>
        <w:t>ספק שמא לא ראתה כלל קודם בין השמשות.</w:t>
      </w:r>
      <w:r>
        <w:rPr>
          <w:rStyle w:val="a5"/>
          <w:sz w:val="20"/>
          <w:szCs w:val="20"/>
          <w:rtl/>
        </w:rPr>
        <w:footnoteReference w:id="503"/>
      </w:r>
      <w:r>
        <w:rPr>
          <w:rFonts w:hint="cs"/>
          <w:sz w:val="20"/>
          <w:szCs w:val="20"/>
          <w:rtl/>
        </w:rPr>
        <w:br/>
        <w:t>אפילו אם תמצא לומר ראתה ואבדה הטיפה, שמא בין השמשות יום הוא.</w:t>
      </w:r>
      <w:r>
        <w:rPr>
          <w:sz w:val="20"/>
          <w:szCs w:val="20"/>
          <w:rtl/>
        </w:rPr>
        <w:br/>
      </w:r>
      <w:r>
        <w:rPr>
          <w:rFonts w:hint="cs"/>
          <w:sz w:val="20"/>
          <w:szCs w:val="20"/>
          <w:rtl/>
        </w:rPr>
        <w:t>עוד יש לצרף את סברת ר"ת הסובר שגם לאחר שנכסת השמש מעינינו הוי יום.</w:t>
      </w:r>
      <w:r>
        <w:rPr>
          <w:rFonts w:hint="cs"/>
          <w:sz w:val="20"/>
          <w:szCs w:val="20"/>
          <w:rtl/>
        </w:rPr>
        <w:br/>
        <w:t xml:space="preserve">וכן כתב </w:t>
      </w:r>
      <w:r w:rsidRPr="00E17C90">
        <w:rPr>
          <w:rFonts w:hint="cs"/>
          <w:b/>
          <w:bCs/>
          <w:sz w:val="20"/>
          <w:szCs w:val="20"/>
          <w:rtl/>
        </w:rPr>
        <w:t>האג"מ</w:t>
      </w:r>
      <w:r>
        <w:rPr>
          <w:rFonts w:hint="cs"/>
          <w:sz w:val="20"/>
          <w:szCs w:val="20"/>
          <w:rtl/>
        </w:rPr>
        <w:t xml:space="preserve"> להקל בזה מטעם ספק ספקא </w:t>
      </w:r>
      <w:r>
        <w:rPr>
          <w:sz w:val="20"/>
          <w:szCs w:val="20"/>
          <w:rtl/>
        </w:rPr>
        <w:t>–</w:t>
      </w:r>
      <w:r>
        <w:rPr>
          <w:rFonts w:hint="cs"/>
          <w:sz w:val="20"/>
          <w:szCs w:val="20"/>
          <w:rtl/>
        </w:rPr>
        <w:t xml:space="preserve"> ספק הלכה כר"ת, וספק נוסף שמא ביה"ש יום הוא, ולכן הקל בבדיקה הנעשית בטו' דקות שאחרי השקיעה.</w:t>
      </w:r>
      <w:r>
        <w:rPr>
          <w:sz w:val="20"/>
          <w:szCs w:val="20"/>
          <w:rtl/>
        </w:rPr>
        <w:br/>
      </w:r>
      <w:r>
        <w:rPr>
          <w:sz w:val="20"/>
          <w:szCs w:val="20"/>
          <w:u w:val="single"/>
          <w:rtl/>
        </w:rPr>
        <w:br/>
      </w:r>
      <w:r>
        <w:rPr>
          <w:rFonts w:hint="cs"/>
          <w:sz w:val="20"/>
          <w:szCs w:val="20"/>
          <w:u w:val="single"/>
          <w:rtl/>
        </w:rPr>
        <w:t xml:space="preserve">מוך דחוק </w:t>
      </w:r>
      <w:r>
        <w:rPr>
          <w:sz w:val="20"/>
          <w:szCs w:val="20"/>
          <w:u w:val="single"/>
          <w:rtl/>
        </w:rPr>
        <w:t>–</w:t>
      </w:r>
      <w:r>
        <w:rPr>
          <w:rFonts w:hint="cs"/>
          <w:sz w:val="20"/>
          <w:szCs w:val="20"/>
          <w:u w:val="single"/>
          <w:rtl/>
        </w:rPr>
        <w:t xml:space="preserve"> הידור או עיקר הדין</w:t>
      </w:r>
      <w:r>
        <w:rPr>
          <w:sz w:val="20"/>
          <w:szCs w:val="20"/>
          <w:u w:val="single"/>
          <w:rtl/>
        </w:rPr>
        <w:br/>
      </w:r>
      <w:r>
        <w:rPr>
          <w:rFonts w:hint="cs"/>
          <w:sz w:val="20"/>
          <w:szCs w:val="20"/>
          <w:rtl/>
        </w:rPr>
        <w:t xml:space="preserve">א. מדברי המחבר משמע שמוך דחוק הוא הידור בלבד, וכן משמע מדבריו בבית יוסף, וכ"כ </w:t>
      </w:r>
      <w:r w:rsidRPr="00413CA6">
        <w:rPr>
          <w:rFonts w:hint="cs"/>
          <w:b/>
          <w:bCs/>
          <w:sz w:val="20"/>
          <w:szCs w:val="20"/>
          <w:rtl/>
        </w:rPr>
        <w:t>ששבה"ל</w:t>
      </w:r>
      <w:r>
        <w:rPr>
          <w:rFonts w:hint="cs"/>
          <w:sz w:val="20"/>
          <w:szCs w:val="20"/>
          <w:rtl/>
        </w:rPr>
        <w:t>.</w:t>
      </w:r>
      <w:r>
        <w:rPr>
          <w:rFonts w:hint="cs"/>
          <w:sz w:val="20"/>
          <w:szCs w:val="20"/>
          <w:rtl/>
        </w:rPr>
        <w:br/>
        <w:t>טעם הדין הוא, לחוש לדברי חכמים שאמרו: "אלמלי ידיה מונחות בין עיניה, יפה אתה אומר".</w:t>
      </w:r>
      <w:r>
        <w:rPr>
          <w:rFonts w:hint="cs"/>
          <w:sz w:val="20"/>
          <w:szCs w:val="20"/>
          <w:rtl/>
        </w:rPr>
        <w:br/>
        <w:t>משמע שגם חכמים המקלים בהפסק טהרה הנעשה ביום ז' שחרית, מודים שידיה בין עיניה מהני טפי.</w:t>
      </w:r>
      <w:r>
        <w:rPr>
          <w:sz w:val="20"/>
          <w:szCs w:val="20"/>
          <w:rtl/>
        </w:rPr>
        <w:br/>
      </w:r>
      <w:r>
        <w:rPr>
          <w:rFonts w:hint="cs"/>
          <w:sz w:val="20"/>
          <w:szCs w:val="20"/>
          <w:rtl/>
        </w:rPr>
        <w:t xml:space="preserve">ב. </w:t>
      </w:r>
      <w:r w:rsidRPr="005500A4">
        <w:rPr>
          <w:rFonts w:hint="cs"/>
          <w:b/>
          <w:bCs/>
          <w:sz w:val="20"/>
          <w:szCs w:val="20"/>
          <w:rtl/>
        </w:rPr>
        <w:t>חוות דעת</w:t>
      </w:r>
      <w:r>
        <w:rPr>
          <w:rFonts w:hint="cs"/>
          <w:sz w:val="20"/>
          <w:szCs w:val="20"/>
          <w:rtl/>
        </w:rPr>
        <w:t xml:space="preserve"> </w:t>
      </w:r>
      <w:r>
        <w:rPr>
          <w:sz w:val="20"/>
          <w:szCs w:val="20"/>
          <w:rtl/>
        </w:rPr>
        <w:t>–</w:t>
      </w:r>
      <w:r>
        <w:rPr>
          <w:rFonts w:hint="cs"/>
          <w:sz w:val="20"/>
          <w:szCs w:val="20"/>
          <w:rtl/>
        </w:rPr>
        <w:t xml:space="preserve"> מוך דחוק ביום שראתה בו הוא עיקר הדין.</w:t>
      </w:r>
      <w:r>
        <w:rPr>
          <w:sz w:val="20"/>
          <w:szCs w:val="20"/>
          <w:rtl/>
        </w:rPr>
        <w:br/>
      </w:r>
      <w:r w:rsidRPr="005500A4">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מעיינה פתוח.</w:t>
      </w:r>
    </w:p>
    <w:p w:rsidR="00620060" w:rsidRDefault="00620060" w:rsidP="00620060">
      <w:pPr>
        <w:rPr>
          <w:sz w:val="20"/>
          <w:szCs w:val="20"/>
          <w:rtl/>
        </w:rPr>
      </w:pPr>
      <w:r>
        <w:rPr>
          <w:rFonts w:hint="cs"/>
          <w:sz w:val="20"/>
          <w:szCs w:val="20"/>
          <w:u w:val="single"/>
          <w:rtl/>
        </w:rPr>
        <w:t>מוך דחוק לבדיקת הפסק טהרה</w:t>
      </w:r>
      <w:r>
        <w:rPr>
          <w:sz w:val="20"/>
          <w:szCs w:val="20"/>
          <w:u w:val="single"/>
          <w:rtl/>
        </w:rPr>
        <w:br/>
      </w:r>
      <w:r>
        <w:rPr>
          <w:rFonts w:hint="cs"/>
          <w:sz w:val="20"/>
          <w:szCs w:val="20"/>
          <w:rtl/>
        </w:rPr>
        <w:t>מדברי המחבר משמע שמוך דחוק יכול להיות תחליף לבדיקת הפסק טהרה, כלומר שהנחתו פוטרת מבדיקה.</w:t>
      </w:r>
      <w:r>
        <w:rPr>
          <w:sz w:val="20"/>
          <w:szCs w:val="20"/>
          <w:rtl/>
        </w:rPr>
        <w:br/>
      </w:r>
      <w:r w:rsidRPr="0069054F">
        <w:rPr>
          <w:rFonts w:hint="cs"/>
          <w:b/>
          <w:bCs/>
          <w:sz w:val="20"/>
          <w:szCs w:val="20"/>
          <w:rtl/>
        </w:rPr>
        <w:t>ששבה"ל</w:t>
      </w:r>
      <w:r>
        <w:rPr>
          <w:rFonts w:hint="cs"/>
          <w:sz w:val="20"/>
          <w:szCs w:val="20"/>
          <w:rtl/>
        </w:rPr>
        <w:t xml:space="preserve"> </w:t>
      </w:r>
      <w:r>
        <w:rPr>
          <w:sz w:val="20"/>
          <w:szCs w:val="20"/>
          <w:rtl/>
        </w:rPr>
        <w:t>–</w:t>
      </w:r>
      <w:r>
        <w:rPr>
          <w:rFonts w:hint="cs"/>
          <w:sz w:val="20"/>
          <w:szCs w:val="20"/>
          <w:rtl/>
        </w:rPr>
        <w:t xml:space="preserve"> אע"פ שמעיקר הדין מוך דחוק מהווה תחליף לבדיקה, אין להקל בכך למעשה.</w:t>
      </w:r>
      <w:r>
        <w:rPr>
          <w:sz w:val="20"/>
          <w:szCs w:val="20"/>
          <w:rtl/>
        </w:rPr>
        <w:br/>
      </w:r>
      <w:r w:rsidRPr="0069054F">
        <w:rPr>
          <w:rFonts w:hint="cs"/>
          <w:b/>
          <w:bCs/>
          <w:sz w:val="20"/>
          <w:szCs w:val="20"/>
          <w:rtl/>
        </w:rPr>
        <w:t xml:space="preserve">טעם </w:t>
      </w:r>
      <w:r>
        <w:rPr>
          <w:sz w:val="20"/>
          <w:szCs w:val="20"/>
          <w:rtl/>
        </w:rPr>
        <w:t>–</w:t>
      </w:r>
      <w:r>
        <w:rPr>
          <w:rFonts w:hint="cs"/>
          <w:sz w:val="20"/>
          <w:szCs w:val="20"/>
          <w:rtl/>
        </w:rPr>
        <w:t xml:space="preserve"> </w:t>
      </w:r>
      <w:r w:rsidRPr="00C00110">
        <w:rPr>
          <w:rFonts w:hint="cs"/>
          <w:b/>
          <w:bCs/>
          <w:sz w:val="20"/>
          <w:szCs w:val="20"/>
          <w:rtl/>
        </w:rPr>
        <w:t>החוות דעת</w:t>
      </w:r>
      <w:r>
        <w:rPr>
          <w:rFonts w:hint="cs"/>
          <w:sz w:val="20"/>
          <w:szCs w:val="20"/>
          <w:rtl/>
        </w:rPr>
        <w:t xml:space="preserve"> כתב שהמוך צריך למלא את כל חלל אותו מקום בחורים וסדקים, אבל היום אין עושים מוך דחוק באופן זה, וממילא אין כאן בדיקת חורים וסדקים, והעיקר בהפסק טהרה הוא בדיקת חורים וסדקים.</w:t>
      </w:r>
    </w:p>
    <w:p w:rsidR="00620060" w:rsidRDefault="00620060" w:rsidP="00620060">
      <w:pPr>
        <w:rPr>
          <w:sz w:val="20"/>
          <w:szCs w:val="20"/>
          <w:rtl/>
        </w:rPr>
      </w:pPr>
      <w:r>
        <w:rPr>
          <w:rFonts w:hint="cs"/>
          <w:b/>
          <w:bCs/>
          <w:sz w:val="20"/>
          <w:szCs w:val="20"/>
          <w:rtl/>
        </w:rPr>
        <w:t>הפסק טהרה לאחר שהקהל התפללו ערבית</w:t>
      </w:r>
      <w:r>
        <w:rPr>
          <w:b/>
          <w:bCs/>
          <w:sz w:val="20"/>
          <w:szCs w:val="20"/>
          <w:rtl/>
        </w:rPr>
        <w:br/>
      </w:r>
      <w:r>
        <w:rPr>
          <w:rFonts w:hint="cs"/>
          <w:b/>
          <w:bCs/>
          <w:sz w:val="20"/>
          <w:szCs w:val="20"/>
          <w:rtl/>
        </w:rPr>
        <w:t>שיטות הראשונים</w:t>
      </w:r>
      <w:r>
        <w:rPr>
          <w:b/>
          <w:bCs/>
          <w:sz w:val="20"/>
          <w:szCs w:val="20"/>
          <w:rtl/>
        </w:rPr>
        <w:br/>
      </w:r>
      <w:r>
        <w:rPr>
          <w:rFonts w:hint="cs"/>
          <w:sz w:val="20"/>
          <w:szCs w:val="20"/>
          <w:rtl/>
        </w:rPr>
        <w:t xml:space="preserve">המקרה </w:t>
      </w:r>
      <w:r>
        <w:rPr>
          <w:sz w:val="20"/>
          <w:szCs w:val="20"/>
          <w:rtl/>
        </w:rPr>
        <w:t>–</w:t>
      </w:r>
      <w:r>
        <w:rPr>
          <w:rFonts w:hint="cs"/>
          <w:sz w:val="20"/>
          <w:szCs w:val="20"/>
          <w:rtl/>
        </w:rPr>
        <w:t xml:space="preserve"> אשה שרוצה לעשות הפסק טהרה לאחר שהקהל התפללו ערבית, האם ההפסק ייחשב לה מהיום הקודם ותוכל למנות את יום המחרת כא' לנקיים, או שכיוון שהקהל התפללו ערבית נחשב כבר כיום המחרת?</w:t>
      </w:r>
      <w:r>
        <w:rPr>
          <w:rFonts w:hint="cs"/>
          <w:sz w:val="20"/>
          <w:szCs w:val="20"/>
          <w:rtl/>
        </w:rPr>
        <w:br/>
        <w:t xml:space="preserve">א. </w:t>
      </w:r>
      <w:r w:rsidRPr="00485774">
        <w:rPr>
          <w:rFonts w:hint="cs"/>
          <w:b/>
          <w:bCs/>
          <w:sz w:val="20"/>
          <w:szCs w:val="20"/>
          <w:rtl/>
        </w:rPr>
        <w:t>תרומת הדשן</w:t>
      </w:r>
      <w:r>
        <w:rPr>
          <w:rFonts w:hint="cs"/>
          <w:sz w:val="20"/>
          <w:szCs w:val="20"/>
          <w:rtl/>
        </w:rPr>
        <w:t xml:space="preserve"> </w:t>
      </w:r>
      <w:r>
        <w:rPr>
          <w:sz w:val="20"/>
          <w:szCs w:val="20"/>
          <w:rtl/>
        </w:rPr>
        <w:t>–</w:t>
      </w:r>
      <w:r>
        <w:rPr>
          <w:rFonts w:hint="cs"/>
          <w:sz w:val="20"/>
          <w:szCs w:val="20"/>
          <w:rtl/>
        </w:rPr>
        <w:t xml:space="preserve"> אינה יכולה למנות את יום המחר כא' לנקיים, כעת כבר לילה.</w:t>
      </w:r>
      <w:r>
        <w:rPr>
          <w:sz w:val="20"/>
          <w:szCs w:val="20"/>
          <w:rtl/>
        </w:rPr>
        <w:br/>
      </w:r>
      <w:r>
        <w:rPr>
          <w:rFonts w:hint="cs"/>
          <w:sz w:val="20"/>
          <w:szCs w:val="20"/>
          <w:rtl/>
        </w:rPr>
        <w:t xml:space="preserve">ב. </w:t>
      </w:r>
      <w:r w:rsidRPr="00485774">
        <w:rPr>
          <w:rFonts w:hint="cs"/>
          <w:b/>
          <w:bCs/>
          <w:sz w:val="20"/>
          <w:szCs w:val="20"/>
          <w:rtl/>
        </w:rPr>
        <w:t>מהר"י מולון</w:t>
      </w:r>
      <w:r>
        <w:rPr>
          <w:rFonts w:hint="cs"/>
          <w:sz w:val="20"/>
          <w:szCs w:val="20"/>
          <w:rtl/>
        </w:rPr>
        <w:t xml:space="preserve"> </w:t>
      </w:r>
      <w:r>
        <w:rPr>
          <w:sz w:val="20"/>
          <w:szCs w:val="20"/>
          <w:rtl/>
        </w:rPr>
        <w:t>–</w:t>
      </w:r>
      <w:r>
        <w:rPr>
          <w:rFonts w:hint="cs"/>
          <w:sz w:val="20"/>
          <w:szCs w:val="20"/>
          <w:rtl/>
        </w:rPr>
        <w:t xml:space="preserve"> יכולה למנות את יום המחר כא' לנקיים, ואפילו אם הקהל קיבלו שבת.</w:t>
      </w:r>
    </w:p>
    <w:p w:rsidR="00620060" w:rsidRDefault="00620060" w:rsidP="00620060">
      <w:pPr>
        <w:rPr>
          <w:rFonts w:cs="Arial"/>
          <w:sz w:val="18"/>
          <w:szCs w:val="18"/>
          <w:rtl/>
        </w:rPr>
      </w:pPr>
      <w:r>
        <w:rPr>
          <w:rFonts w:hint="cs"/>
          <w:b/>
          <w:bCs/>
          <w:sz w:val="20"/>
          <w:szCs w:val="20"/>
          <w:rtl/>
        </w:rPr>
        <w:t>פסיקת הלכה</w:t>
      </w:r>
      <w:r>
        <w:rPr>
          <w:b/>
          <w:bCs/>
          <w:sz w:val="20"/>
          <w:szCs w:val="20"/>
          <w:rtl/>
        </w:rPr>
        <w:br/>
      </w:r>
      <w:r>
        <w:rPr>
          <w:rFonts w:hint="cs"/>
          <w:b/>
          <w:bCs/>
          <w:sz w:val="20"/>
          <w:szCs w:val="20"/>
          <w:rtl/>
        </w:rPr>
        <w:t xml:space="preserve">רמ"א </w:t>
      </w:r>
      <w:r>
        <w:rPr>
          <w:sz w:val="20"/>
          <w:szCs w:val="20"/>
          <w:rtl/>
        </w:rPr>
        <w:t>–</w:t>
      </w:r>
      <w:r>
        <w:rPr>
          <w:rFonts w:hint="cs"/>
          <w:sz w:val="20"/>
          <w:szCs w:val="20"/>
          <w:rtl/>
        </w:rPr>
        <w:t xml:space="preserve"> </w:t>
      </w:r>
      <w:r w:rsidRPr="00485774">
        <w:rPr>
          <w:rFonts w:hint="cs"/>
          <w:sz w:val="18"/>
          <w:szCs w:val="18"/>
          <w:rtl/>
        </w:rPr>
        <w:t>"</w:t>
      </w:r>
      <w:r w:rsidRPr="00485774">
        <w:rPr>
          <w:rFonts w:cs="Arial"/>
          <w:sz w:val="18"/>
          <w:szCs w:val="18"/>
          <w:rtl/>
        </w:rPr>
        <w:t>וי</w:t>
      </w:r>
      <w:r>
        <w:rPr>
          <w:rFonts w:cs="Arial" w:hint="cs"/>
          <w:sz w:val="18"/>
          <w:szCs w:val="18"/>
          <w:rtl/>
        </w:rPr>
        <w:t>ש אומרים</w:t>
      </w:r>
      <w:r w:rsidRPr="00485774">
        <w:rPr>
          <w:rFonts w:cs="Arial"/>
          <w:sz w:val="18"/>
          <w:szCs w:val="18"/>
          <w:rtl/>
        </w:rPr>
        <w:t xml:space="preserve"> אם התפללו הקהל ערבית ועוד היום גדול, אינה יכולה לבדוק או ללבוש לבנים ולהתחיל ולמנות מיום המחר</w:t>
      </w:r>
      <w:r>
        <w:rPr>
          <w:rFonts w:cs="Arial"/>
          <w:sz w:val="18"/>
          <w:szCs w:val="18"/>
          <w:rtl/>
        </w:rPr>
        <w:t>ת, מאחר דהקהל כבר עשו אותו לילה</w:t>
      </w:r>
      <w:r w:rsidRPr="00485774">
        <w:rPr>
          <w:rFonts w:cs="Arial"/>
          <w:sz w:val="18"/>
          <w:szCs w:val="18"/>
          <w:rtl/>
        </w:rPr>
        <w:t xml:space="preserve">, </w:t>
      </w:r>
      <w:r>
        <w:rPr>
          <w:rFonts w:cs="Arial" w:hint="cs"/>
          <w:sz w:val="18"/>
          <w:szCs w:val="18"/>
          <w:rtl/>
        </w:rPr>
        <w:t>ו</w:t>
      </w:r>
      <w:r w:rsidRPr="00485774">
        <w:rPr>
          <w:rFonts w:cs="Arial"/>
          <w:sz w:val="18"/>
          <w:szCs w:val="18"/>
          <w:rtl/>
        </w:rPr>
        <w:t>י</w:t>
      </w:r>
      <w:r>
        <w:rPr>
          <w:rFonts w:cs="Arial" w:hint="cs"/>
          <w:sz w:val="18"/>
          <w:szCs w:val="18"/>
          <w:rtl/>
        </w:rPr>
        <w:t xml:space="preserve">ש אומרים </w:t>
      </w:r>
      <w:r w:rsidRPr="00485774">
        <w:rPr>
          <w:rFonts w:cs="Arial"/>
          <w:sz w:val="18"/>
          <w:szCs w:val="18"/>
          <w:rtl/>
        </w:rPr>
        <w:t>דמותר אפילו עשו הקהל שבת; ונוהגין לכתח</w:t>
      </w:r>
      <w:r>
        <w:rPr>
          <w:rFonts w:cs="Arial" w:hint="cs"/>
          <w:sz w:val="18"/>
          <w:szCs w:val="18"/>
          <w:rtl/>
        </w:rPr>
        <w:t>י</w:t>
      </w:r>
      <w:r w:rsidRPr="00485774">
        <w:rPr>
          <w:rFonts w:cs="Arial"/>
          <w:sz w:val="18"/>
          <w:szCs w:val="18"/>
          <w:rtl/>
        </w:rPr>
        <w:t>לה ליזהר, ובדיעבד אין לחוש</w:t>
      </w:r>
      <w:r>
        <w:rPr>
          <w:rFonts w:cs="Arial" w:hint="cs"/>
          <w:sz w:val="18"/>
          <w:szCs w:val="18"/>
          <w:rtl/>
        </w:rPr>
        <w:t>".</w:t>
      </w:r>
    </w:p>
    <w:p w:rsidR="00620060" w:rsidRPr="00EB262D" w:rsidRDefault="00620060" w:rsidP="00620060">
      <w:pPr>
        <w:rPr>
          <w:sz w:val="20"/>
          <w:szCs w:val="20"/>
          <w:rtl/>
        </w:rPr>
      </w:pPr>
      <w:r w:rsidRPr="008A11A8">
        <w:rPr>
          <w:rFonts w:cs="Arial" w:hint="cs"/>
          <w:sz w:val="20"/>
          <w:szCs w:val="20"/>
          <w:u w:val="single"/>
          <w:rtl/>
        </w:rPr>
        <w:t>אשה שהתפללה ערבית</w:t>
      </w:r>
      <w:r>
        <w:rPr>
          <w:u w:val="single"/>
          <w:rtl/>
        </w:rPr>
        <w:br/>
      </w:r>
      <w:r w:rsidRPr="008A11A8">
        <w:rPr>
          <w:rFonts w:hint="cs"/>
          <w:b/>
          <w:bCs/>
          <w:sz w:val="20"/>
          <w:szCs w:val="20"/>
          <w:rtl/>
        </w:rPr>
        <w:t>הרמ"א</w:t>
      </w:r>
      <w:r>
        <w:rPr>
          <w:rFonts w:hint="cs"/>
          <w:sz w:val="20"/>
          <w:szCs w:val="20"/>
          <w:rtl/>
        </w:rPr>
        <w:t xml:space="preserve"> פסק לעניין דיעבד שהפסק טהרה ייחשב לה מהיום הקודם למרות שהקהל התפלל ערבית, אך מה הדין כאשר האשה עצמה התפללה ערבית, האם גם אז יש להקל? </w:t>
      </w:r>
      <w:r>
        <w:rPr>
          <w:u w:val="single"/>
          <w:rtl/>
        </w:rPr>
        <w:br/>
      </w:r>
      <w:r w:rsidRPr="008A11A8">
        <w:rPr>
          <w:rFonts w:hint="cs"/>
          <w:sz w:val="20"/>
          <w:szCs w:val="20"/>
          <w:rtl/>
        </w:rPr>
        <w:t xml:space="preserve">א. </w:t>
      </w:r>
      <w:r w:rsidRPr="008A11A8">
        <w:rPr>
          <w:rFonts w:hint="cs"/>
          <w:b/>
          <w:bCs/>
          <w:sz w:val="20"/>
          <w:szCs w:val="20"/>
          <w:rtl/>
        </w:rPr>
        <w:t xml:space="preserve">ש"ך </w:t>
      </w:r>
      <w:r>
        <w:rPr>
          <w:sz w:val="20"/>
          <w:szCs w:val="20"/>
          <w:rtl/>
        </w:rPr>
        <w:t>–</w:t>
      </w:r>
      <w:r>
        <w:rPr>
          <w:rFonts w:hint="cs"/>
          <w:sz w:val="20"/>
          <w:szCs w:val="20"/>
          <w:rtl/>
        </w:rPr>
        <w:t xml:space="preserve"> המקלים לעיל מביאים לשיטתם כמה ראיות: קהל שקיבלו שבת מוקדם אינם סופרים את ספירת העומר, כיוון שזו מצווה דאורייתא ואין אומרים לגבה שכבר לילה. כמו כן, הוא הדין לגבי אכילת מצה ומצוות אכילה בסוכה בלילה הראשון, שאין מקיימים מצוות אלו לפני הלילה אע"פ שקיבלו קדושת החג. </w:t>
      </w:r>
      <w:r>
        <w:rPr>
          <w:sz w:val="20"/>
          <w:szCs w:val="20"/>
          <w:rtl/>
        </w:rPr>
        <w:br/>
      </w:r>
      <w:r>
        <w:rPr>
          <w:rFonts w:hint="cs"/>
          <w:sz w:val="20"/>
          <w:szCs w:val="20"/>
          <w:rtl/>
        </w:rPr>
        <w:t xml:space="preserve">מוכח מראיות אלו, שאפילו אם היא עצמה התפללה ערבית יכולה לעשות הפסק שייחשב לה ליום הקודם, כיוון שרק לגבי ערבית וקדושת שבת נחשב זמן זה ללילה אך לא לגבי שאר הדינים. ולפי"ז, יש לפרש שכוונת </w:t>
      </w:r>
      <w:r w:rsidRPr="008A11A8">
        <w:rPr>
          <w:rFonts w:hint="cs"/>
          <w:b/>
          <w:bCs/>
          <w:sz w:val="20"/>
          <w:szCs w:val="20"/>
          <w:rtl/>
        </w:rPr>
        <w:lastRenderedPageBreak/>
        <w:t>הרמ"א</w:t>
      </w:r>
      <w:r>
        <w:rPr>
          <w:rFonts w:hint="cs"/>
          <w:sz w:val="20"/>
          <w:szCs w:val="20"/>
          <w:rtl/>
        </w:rPr>
        <w:t xml:space="preserve"> לומר </w:t>
      </w:r>
      <w:r>
        <w:rPr>
          <w:sz w:val="20"/>
          <w:szCs w:val="20"/>
          <w:rtl/>
        </w:rPr>
        <w:t>–</w:t>
      </w:r>
      <w:r>
        <w:rPr>
          <w:rFonts w:hint="cs"/>
          <w:sz w:val="20"/>
          <w:szCs w:val="20"/>
          <w:rtl/>
        </w:rPr>
        <w:t xml:space="preserve"> אפילו אם הקהל </w:t>
      </w:r>
      <w:r w:rsidRPr="00BF42CA">
        <w:rPr>
          <w:rFonts w:hint="cs"/>
          <w:sz w:val="20"/>
          <w:szCs w:val="20"/>
          <w:u w:val="single"/>
          <w:rtl/>
        </w:rPr>
        <w:t>וגם היא</w:t>
      </w:r>
      <w:r>
        <w:rPr>
          <w:rFonts w:hint="cs"/>
          <w:sz w:val="20"/>
          <w:szCs w:val="20"/>
          <w:rtl/>
        </w:rPr>
        <w:t xml:space="preserve"> קיבלו שבת, מכל מקום יכולה לעשות הפסק טהרה</w:t>
      </w:r>
      <w:r>
        <w:rPr>
          <w:rStyle w:val="a5"/>
          <w:sz w:val="20"/>
          <w:szCs w:val="20"/>
          <w:rtl/>
        </w:rPr>
        <w:footnoteReference w:id="504"/>
      </w:r>
      <w:r>
        <w:rPr>
          <w:rFonts w:hint="cs"/>
          <w:sz w:val="20"/>
          <w:szCs w:val="20"/>
          <w:rtl/>
        </w:rPr>
        <w:t>.</w:t>
      </w:r>
      <w:r>
        <w:rPr>
          <w:b/>
          <w:bCs/>
          <w:sz w:val="20"/>
          <w:szCs w:val="20"/>
          <w:rtl/>
        </w:rPr>
        <w:br/>
      </w:r>
      <w:r>
        <w:rPr>
          <w:rFonts w:hint="cs"/>
          <w:sz w:val="20"/>
          <w:szCs w:val="20"/>
          <w:rtl/>
        </w:rPr>
        <w:t xml:space="preserve">ב. </w:t>
      </w:r>
      <w:r w:rsidRPr="009913AA">
        <w:rPr>
          <w:rFonts w:hint="cs"/>
          <w:b/>
          <w:bCs/>
          <w:sz w:val="20"/>
          <w:szCs w:val="20"/>
          <w:rtl/>
        </w:rPr>
        <w:t>אביו של הש"ך</w:t>
      </w:r>
      <w:r>
        <w:rPr>
          <w:rFonts w:hint="cs"/>
          <w:sz w:val="20"/>
          <w:szCs w:val="20"/>
          <w:rtl/>
        </w:rPr>
        <w:t xml:space="preserve"> </w:t>
      </w:r>
      <w:r>
        <w:rPr>
          <w:sz w:val="20"/>
          <w:szCs w:val="20"/>
          <w:rtl/>
        </w:rPr>
        <w:t>–</w:t>
      </w:r>
      <w:r>
        <w:rPr>
          <w:rFonts w:hint="cs"/>
          <w:sz w:val="20"/>
          <w:szCs w:val="20"/>
          <w:rtl/>
        </w:rPr>
        <w:t xml:space="preserve"> אין להקל אפילו בדיעבד.</w:t>
      </w:r>
      <w:r>
        <w:rPr>
          <w:b/>
          <w:bCs/>
          <w:sz w:val="20"/>
          <w:szCs w:val="20"/>
          <w:rtl/>
        </w:rPr>
        <w:br/>
      </w:r>
      <w:r>
        <w:rPr>
          <w:rFonts w:hint="cs"/>
          <w:sz w:val="20"/>
          <w:szCs w:val="20"/>
          <w:rtl/>
        </w:rPr>
        <w:t xml:space="preserve">ג. </w:t>
      </w:r>
      <w:r w:rsidRPr="00FC2973">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דעת מהרש"ל להקל בכך, כיוון שמנהג הנשים שלנו למנות ז' נקיים רק מיום ו' להפסק, לקמן סי"א.</w:t>
      </w:r>
      <w:r>
        <w:rPr>
          <w:sz w:val="20"/>
          <w:szCs w:val="20"/>
          <w:rtl/>
        </w:rPr>
        <w:br/>
      </w:r>
      <w:r w:rsidRPr="00FC2973">
        <w:rPr>
          <w:rFonts w:hint="cs"/>
          <w:b/>
          <w:bCs/>
          <w:sz w:val="20"/>
          <w:szCs w:val="20"/>
          <w:rtl/>
        </w:rPr>
        <w:t>דגמ"ר</w:t>
      </w:r>
      <w:r>
        <w:rPr>
          <w:rFonts w:hint="cs"/>
          <w:sz w:val="20"/>
          <w:szCs w:val="20"/>
          <w:rtl/>
        </w:rPr>
        <w:t xml:space="preserve"> </w:t>
      </w:r>
      <w:r>
        <w:rPr>
          <w:sz w:val="20"/>
          <w:szCs w:val="20"/>
          <w:rtl/>
        </w:rPr>
        <w:t>–</w:t>
      </w:r>
      <w:r>
        <w:rPr>
          <w:rFonts w:hint="cs"/>
          <w:sz w:val="20"/>
          <w:szCs w:val="20"/>
          <w:rtl/>
        </w:rPr>
        <w:t xml:space="preserve"> דברי </w:t>
      </w:r>
      <w:r w:rsidRPr="00FC2973">
        <w:rPr>
          <w:rFonts w:hint="cs"/>
          <w:b/>
          <w:bCs/>
          <w:sz w:val="20"/>
          <w:szCs w:val="20"/>
          <w:rtl/>
        </w:rPr>
        <w:t>הט"ז</w:t>
      </w:r>
      <w:r>
        <w:rPr>
          <w:rFonts w:hint="cs"/>
          <w:sz w:val="20"/>
          <w:szCs w:val="20"/>
          <w:rtl/>
        </w:rPr>
        <w:t xml:space="preserve"> הם שגגה, משום </w:t>
      </w:r>
      <w:r w:rsidRPr="00FC2973">
        <w:rPr>
          <w:rFonts w:hint="cs"/>
          <w:b/>
          <w:bCs/>
          <w:sz w:val="20"/>
          <w:szCs w:val="20"/>
          <w:rtl/>
        </w:rPr>
        <w:t>שמהרש"ל</w:t>
      </w:r>
      <w:r>
        <w:rPr>
          <w:rFonts w:hint="cs"/>
          <w:sz w:val="20"/>
          <w:szCs w:val="20"/>
          <w:rtl/>
        </w:rPr>
        <w:t xml:space="preserve"> התייחס לדין לבישת לבנים אך לא להפסק.</w:t>
      </w:r>
      <w:r>
        <w:rPr>
          <w:sz w:val="20"/>
          <w:szCs w:val="20"/>
          <w:rtl/>
        </w:rPr>
        <w:br/>
      </w:r>
      <w:r>
        <w:rPr>
          <w:rFonts w:hint="cs"/>
          <w:sz w:val="20"/>
          <w:szCs w:val="20"/>
          <w:rtl/>
        </w:rPr>
        <w:t xml:space="preserve">כלומר </w:t>
      </w:r>
      <w:r>
        <w:rPr>
          <w:sz w:val="20"/>
          <w:szCs w:val="20"/>
          <w:rtl/>
        </w:rPr>
        <w:t>–</w:t>
      </w:r>
      <w:r>
        <w:rPr>
          <w:rFonts w:hint="cs"/>
          <w:sz w:val="20"/>
          <w:szCs w:val="20"/>
          <w:rtl/>
        </w:rPr>
        <w:t xml:space="preserve"> אשה שראתה בעוד יום לאחר שהתפללה ערבית, יכולה ללבוש לבנים ליום חמישי מראייה זו ואינה צריכה להמתין ליום חמישי מיום המחרת. הטעם לכך הוא, משום שממילא החמירו למנות רק מיום חמישי ולא מיום רביעי </w:t>
      </w:r>
      <w:r w:rsidRPr="00FC2973">
        <w:rPr>
          <w:rFonts w:hint="cs"/>
          <w:sz w:val="18"/>
          <w:szCs w:val="18"/>
          <w:rtl/>
        </w:rPr>
        <w:t>(יבואר לקמן)</w:t>
      </w:r>
      <w:r>
        <w:rPr>
          <w:rFonts w:hint="cs"/>
          <w:sz w:val="20"/>
          <w:szCs w:val="20"/>
          <w:rtl/>
        </w:rPr>
        <w:t>, אך דברי מהרש"ל אינם עניין לדין הפסק טהרה, שכיוון שעשתה יום זה ללילה כיצד תוכל למנותו כראשון לנקיים?</w:t>
      </w:r>
      <w:r>
        <w:rPr>
          <w:rFonts w:hint="cs"/>
          <w:b/>
          <w:bCs/>
          <w:sz w:val="20"/>
          <w:szCs w:val="20"/>
          <w:rtl/>
        </w:rPr>
        <w:br/>
      </w:r>
      <w:r>
        <w:rPr>
          <w:sz w:val="20"/>
          <w:szCs w:val="20"/>
          <w:rtl/>
        </w:rPr>
        <w:br/>
      </w:r>
      <w:r>
        <w:rPr>
          <w:rFonts w:hint="cs"/>
          <w:sz w:val="20"/>
          <w:szCs w:val="20"/>
          <w:rtl/>
        </w:rPr>
        <w:t xml:space="preserve">הכרעת </w:t>
      </w:r>
      <w:r w:rsidRPr="00EB262D">
        <w:rPr>
          <w:rFonts w:hint="cs"/>
          <w:b/>
          <w:bCs/>
          <w:sz w:val="20"/>
          <w:szCs w:val="20"/>
          <w:rtl/>
        </w:rPr>
        <w:t>טהרת הבית</w:t>
      </w:r>
      <w:r>
        <w:rPr>
          <w:rFonts w:hint="cs"/>
          <w:sz w:val="20"/>
          <w:szCs w:val="20"/>
          <w:rtl/>
        </w:rPr>
        <w:t xml:space="preserve"> (</w:t>
      </w:r>
      <w:r w:rsidRPr="00EB262D">
        <w:rPr>
          <w:rFonts w:hint="cs"/>
          <w:sz w:val="18"/>
          <w:szCs w:val="18"/>
          <w:rtl/>
        </w:rPr>
        <w:t xml:space="preserve">עמ' רצ) </w:t>
      </w:r>
      <w:r>
        <w:rPr>
          <w:sz w:val="20"/>
          <w:szCs w:val="20"/>
          <w:rtl/>
        </w:rPr>
        <w:t>–</w:t>
      </w:r>
      <w:r>
        <w:rPr>
          <w:rFonts w:hint="cs"/>
          <w:sz w:val="20"/>
          <w:szCs w:val="20"/>
          <w:rtl/>
        </w:rPr>
        <w:t xml:space="preserve"> בדיעבד, אפילו אם האשה התפללה ערבית, וכן אם קיבלה על עצמה שבת בהדלקת נרות, יכולה לעשות הפסק טהרה.</w:t>
      </w:r>
      <w:r>
        <w:rPr>
          <w:sz w:val="20"/>
          <w:szCs w:val="20"/>
          <w:rtl/>
        </w:rPr>
        <w:br/>
      </w:r>
      <w:r w:rsidRPr="00EB262D">
        <w:rPr>
          <w:rFonts w:hint="cs"/>
          <w:b/>
          <w:bCs/>
          <w:sz w:val="20"/>
          <w:szCs w:val="20"/>
          <w:rtl/>
        </w:rPr>
        <w:t xml:space="preserve">טעם </w:t>
      </w:r>
      <w:r>
        <w:rPr>
          <w:sz w:val="20"/>
          <w:szCs w:val="20"/>
          <w:rtl/>
        </w:rPr>
        <w:t>–</w:t>
      </w:r>
      <w:r>
        <w:rPr>
          <w:rFonts w:hint="cs"/>
          <w:sz w:val="20"/>
          <w:szCs w:val="20"/>
          <w:rtl/>
        </w:rPr>
        <w:t xml:space="preserve"> כל זמן שלא שקעה החמה עדיין אינו לילה.</w:t>
      </w:r>
    </w:p>
    <w:p w:rsidR="00620060" w:rsidRDefault="00620060" w:rsidP="00620060">
      <w:pPr>
        <w:rPr>
          <w:rFonts w:cs="Arial"/>
          <w:sz w:val="18"/>
          <w:szCs w:val="18"/>
          <w:rtl/>
        </w:rPr>
      </w:pPr>
      <w:r>
        <w:rPr>
          <w:rFonts w:hint="cs"/>
          <w:b/>
          <w:bCs/>
          <w:sz w:val="20"/>
          <w:szCs w:val="20"/>
          <w:rtl/>
        </w:rPr>
        <w:t>פסקה קודם 'ברכו' וראתה דם</w:t>
      </w:r>
      <w:r>
        <w:rPr>
          <w:b/>
          <w:b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רמ"א </w:t>
      </w:r>
      <w:r>
        <w:rPr>
          <w:sz w:val="20"/>
          <w:szCs w:val="20"/>
          <w:rtl/>
        </w:rPr>
        <w:t>–</w:t>
      </w:r>
      <w:r>
        <w:rPr>
          <w:rFonts w:hint="cs"/>
          <w:sz w:val="20"/>
          <w:szCs w:val="20"/>
          <w:rtl/>
        </w:rPr>
        <w:t xml:space="preserve"> </w:t>
      </w:r>
      <w:r w:rsidRPr="00532863">
        <w:rPr>
          <w:rFonts w:hint="cs"/>
          <w:sz w:val="18"/>
          <w:szCs w:val="18"/>
          <w:rtl/>
        </w:rPr>
        <w:t>"ו</w:t>
      </w:r>
      <w:r w:rsidRPr="00532863">
        <w:rPr>
          <w:rFonts w:cs="Arial"/>
          <w:sz w:val="18"/>
          <w:szCs w:val="18"/>
          <w:rtl/>
        </w:rPr>
        <w:t>מקצת נשים נוהגות שאם פסקה קודם ברכו וחזרה לראות כתם או דם תוך ימי ספירתה, אז מפסיקין אפילו לאחר ברכו אם נתקלקלה סמוך לערב, וחושבים דבר זה לדיעבד; ואין למחות בידם, כי כן קבלו מאיזה חכם שהורה להן, והוא מנהג ותיקין</w:t>
      </w:r>
      <w:r>
        <w:rPr>
          <w:rFonts w:cs="Arial" w:hint="cs"/>
          <w:sz w:val="18"/>
          <w:szCs w:val="18"/>
          <w:rtl/>
        </w:rPr>
        <w:t>"</w:t>
      </w:r>
      <w:r w:rsidRPr="00532863">
        <w:rPr>
          <w:rFonts w:cs="Arial"/>
          <w:sz w:val="18"/>
          <w:szCs w:val="18"/>
          <w:rtl/>
        </w:rPr>
        <w:t>.</w:t>
      </w:r>
    </w:p>
    <w:p w:rsidR="00620060" w:rsidRPr="009F5F8C" w:rsidRDefault="00620060" w:rsidP="00620060">
      <w:pPr>
        <w:rPr>
          <w:sz w:val="20"/>
          <w:szCs w:val="20"/>
        </w:rPr>
      </w:pPr>
      <w:r w:rsidRPr="00532863">
        <w:rPr>
          <w:rFonts w:cs="Arial" w:hint="cs"/>
          <w:sz w:val="20"/>
          <w:szCs w:val="20"/>
          <w:u w:val="single"/>
          <w:rtl/>
        </w:rPr>
        <w:t>הסבר</w:t>
      </w:r>
      <w:r>
        <w:rPr>
          <w:b/>
          <w:bCs/>
          <w:sz w:val="20"/>
          <w:szCs w:val="20"/>
          <w:u w:val="single"/>
          <w:rtl/>
        </w:rPr>
        <w:br/>
      </w:r>
      <w:r>
        <w:rPr>
          <w:rFonts w:hint="cs"/>
          <w:sz w:val="20"/>
          <w:szCs w:val="20"/>
          <w:rtl/>
        </w:rPr>
        <w:t xml:space="preserve">א. </w:t>
      </w:r>
      <w:r w:rsidRPr="00FB6893">
        <w:rPr>
          <w:rFonts w:hint="cs"/>
          <w:b/>
          <w:bCs/>
          <w:sz w:val="20"/>
          <w:szCs w:val="20"/>
          <w:rtl/>
        </w:rPr>
        <w:t>ב"ח</w:t>
      </w:r>
      <w:r>
        <w:rPr>
          <w:rFonts w:hint="cs"/>
          <w:sz w:val="20"/>
          <w:szCs w:val="20"/>
          <w:rtl/>
        </w:rPr>
        <w:t xml:space="preserve"> </w:t>
      </w:r>
      <w:r>
        <w:rPr>
          <w:sz w:val="20"/>
          <w:szCs w:val="20"/>
          <w:rtl/>
        </w:rPr>
        <w:t>–</w:t>
      </w:r>
      <w:r>
        <w:rPr>
          <w:rFonts w:hint="cs"/>
          <w:sz w:val="20"/>
          <w:szCs w:val="20"/>
          <w:rtl/>
        </w:rPr>
        <w:t xml:space="preserve"> הרמ"א הקל רק לאשה הנמצאת כבר בתוך ספירת ז' נקיים, אך לא הקל לאשה שעשתה הפסק טהרה לפני ברכו ואחר כך ראתה דם או כתם, והיא אינה יכולה לעשות הפסק טהרה שנית.</w:t>
      </w:r>
      <w:r>
        <w:rPr>
          <w:b/>
          <w:bCs/>
          <w:sz w:val="20"/>
          <w:szCs w:val="20"/>
          <w:rtl/>
        </w:rPr>
        <w:br/>
      </w:r>
      <w:r>
        <w:rPr>
          <w:rFonts w:hint="cs"/>
          <w:sz w:val="20"/>
          <w:szCs w:val="20"/>
          <w:rtl/>
        </w:rPr>
        <w:t xml:space="preserve">ב. </w:t>
      </w:r>
      <w:r w:rsidRPr="00FB6893">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אין זו כוונת הרמ"א, אלא כוונתו להקל אפילו בבדיקת הפסק טהרה, אלא שלכתחילה יש לעשות הפסק טהרה לפני 'ברכו' כאשר הדבר אפשרי.</w:t>
      </w:r>
      <w:r>
        <w:rPr>
          <w:rFonts w:hint="cs"/>
          <w:b/>
          <w:bCs/>
          <w:sz w:val="20"/>
          <w:szCs w:val="20"/>
          <w:rtl/>
        </w:rPr>
        <w:t xml:space="preserve"> </w:t>
      </w:r>
      <w:r w:rsidRPr="00FB6893">
        <w:rPr>
          <w:rFonts w:hint="cs"/>
          <w:sz w:val="18"/>
          <w:szCs w:val="18"/>
          <w:rtl/>
        </w:rPr>
        <w:t xml:space="preserve">(ואמנם, גם </w:t>
      </w:r>
      <w:r w:rsidRPr="00FB6893">
        <w:rPr>
          <w:rFonts w:hint="cs"/>
          <w:b/>
          <w:bCs/>
          <w:sz w:val="18"/>
          <w:szCs w:val="18"/>
          <w:rtl/>
        </w:rPr>
        <w:t>הב"ח</w:t>
      </w:r>
      <w:r w:rsidRPr="00FB6893">
        <w:rPr>
          <w:rFonts w:hint="cs"/>
          <w:sz w:val="18"/>
          <w:szCs w:val="18"/>
          <w:rtl/>
        </w:rPr>
        <w:t xml:space="preserve"> עצמו סובר כך לדינא, אך נחלק עם </w:t>
      </w:r>
      <w:r w:rsidRPr="00FB6893">
        <w:rPr>
          <w:rFonts w:hint="cs"/>
          <w:b/>
          <w:bCs/>
          <w:sz w:val="18"/>
          <w:szCs w:val="18"/>
          <w:rtl/>
        </w:rPr>
        <w:t>הש"ך</w:t>
      </w:r>
      <w:r w:rsidRPr="00FB6893">
        <w:rPr>
          <w:rFonts w:hint="cs"/>
          <w:sz w:val="18"/>
          <w:szCs w:val="18"/>
          <w:rtl/>
        </w:rPr>
        <w:t xml:space="preserve"> בהבנת דברי </w:t>
      </w:r>
      <w:r w:rsidRPr="00FB6893">
        <w:rPr>
          <w:rFonts w:hint="cs"/>
          <w:b/>
          <w:bCs/>
          <w:sz w:val="18"/>
          <w:szCs w:val="18"/>
          <w:rtl/>
        </w:rPr>
        <w:t>הרמ"א</w:t>
      </w:r>
      <w:r w:rsidRPr="00FB6893">
        <w:rPr>
          <w:rFonts w:hint="cs"/>
          <w:sz w:val="18"/>
          <w:szCs w:val="18"/>
          <w:rtl/>
        </w:rPr>
        <w:t>).</w:t>
      </w:r>
      <w:r w:rsidRPr="00532863">
        <w:rPr>
          <w:rFonts w:hint="cs"/>
          <w:b/>
          <w:bCs/>
          <w:sz w:val="20"/>
          <w:szCs w:val="20"/>
          <w:rtl/>
        </w:rPr>
        <w:br/>
      </w:r>
      <w:r>
        <w:rPr>
          <w:b/>
          <w:bCs/>
          <w:sz w:val="20"/>
          <w:szCs w:val="20"/>
          <w:rtl/>
        </w:rPr>
        <w:br/>
      </w:r>
      <w:r w:rsidRPr="00D56618">
        <w:rPr>
          <w:rFonts w:hint="cs"/>
          <w:b/>
          <w:bCs/>
          <w:sz w:val="20"/>
          <w:szCs w:val="20"/>
          <w:rtl/>
        </w:rPr>
        <w:t>סיכום</w:t>
      </w:r>
      <w:r>
        <w:rPr>
          <w:sz w:val="20"/>
          <w:szCs w:val="20"/>
          <w:rtl/>
        </w:rPr>
        <w:br/>
      </w:r>
      <w:r>
        <w:rPr>
          <w:rFonts w:hint="cs"/>
          <w:sz w:val="20"/>
          <w:szCs w:val="20"/>
          <w:rtl/>
        </w:rPr>
        <w:t xml:space="preserve">1. </w:t>
      </w:r>
      <w:r w:rsidRPr="00D56618">
        <w:rPr>
          <w:rFonts w:hint="cs"/>
          <w:b/>
          <w:bCs/>
          <w:sz w:val="20"/>
          <w:szCs w:val="20"/>
          <w:rtl/>
        </w:rPr>
        <w:t>משנה וגמרא</w:t>
      </w:r>
      <w:r>
        <w:rPr>
          <w:rFonts w:hint="cs"/>
          <w:sz w:val="20"/>
          <w:szCs w:val="20"/>
          <w:rtl/>
        </w:rPr>
        <w:t>. יום הפסק טהרה אינו עולה למניין ז' נקיים.</w:t>
      </w:r>
      <w:r>
        <w:rPr>
          <w:sz w:val="20"/>
          <w:szCs w:val="20"/>
          <w:rtl/>
        </w:rPr>
        <w:br/>
      </w:r>
      <w:r>
        <w:rPr>
          <w:rFonts w:hint="cs"/>
          <w:sz w:val="20"/>
          <w:szCs w:val="20"/>
          <w:rtl/>
        </w:rPr>
        <w:t xml:space="preserve">2. </w:t>
      </w:r>
      <w:r w:rsidRPr="00D56618">
        <w:rPr>
          <w:rFonts w:hint="cs"/>
          <w:b/>
          <w:bCs/>
          <w:sz w:val="20"/>
          <w:szCs w:val="20"/>
          <w:rtl/>
        </w:rPr>
        <w:t>משנה</w:t>
      </w:r>
      <w:r>
        <w:rPr>
          <w:rFonts w:hint="cs"/>
          <w:sz w:val="20"/>
          <w:szCs w:val="20"/>
          <w:rtl/>
        </w:rPr>
        <w:t xml:space="preserve">. מחלוקת תנאים אימתי מועילה בדיקת הפסק טהרה. </w:t>
      </w:r>
      <w:r w:rsidRPr="00191883">
        <w:rPr>
          <w:rFonts w:hint="cs"/>
          <w:sz w:val="20"/>
          <w:szCs w:val="20"/>
          <w:u w:val="single"/>
          <w:rtl/>
        </w:rPr>
        <w:t>ת"ק</w:t>
      </w:r>
      <w:r>
        <w:rPr>
          <w:rFonts w:hint="cs"/>
          <w:sz w:val="20"/>
          <w:szCs w:val="20"/>
          <w:rtl/>
        </w:rPr>
        <w:t xml:space="preserve">. בז' שחרית. </w:t>
      </w:r>
      <w:r w:rsidRPr="00191883">
        <w:rPr>
          <w:rFonts w:hint="cs"/>
          <w:sz w:val="20"/>
          <w:szCs w:val="20"/>
          <w:u w:val="single"/>
          <w:rtl/>
        </w:rPr>
        <w:t>רבי יהודה</w:t>
      </w:r>
      <w:r>
        <w:rPr>
          <w:rFonts w:hint="cs"/>
          <w:sz w:val="20"/>
          <w:szCs w:val="20"/>
          <w:rtl/>
        </w:rPr>
        <w:t xml:space="preserve">. בז' ביה"ש. </w:t>
      </w:r>
      <w:r w:rsidRPr="00191883">
        <w:rPr>
          <w:rFonts w:hint="cs"/>
          <w:sz w:val="20"/>
          <w:szCs w:val="20"/>
          <w:u w:val="single"/>
          <w:rtl/>
        </w:rPr>
        <w:t>חכמים דמתניתין</w:t>
      </w:r>
      <w:r>
        <w:rPr>
          <w:rFonts w:hint="cs"/>
          <w:sz w:val="20"/>
          <w:szCs w:val="20"/>
          <w:rtl/>
        </w:rPr>
        <w:t xml:space="preserve">. שחרית יום ב'. </w:t>
      </w:r>
      <w:r w:rsidRPr="00191883">
        <w:rPr>
          <w:rFonts w:hint="cs"/>
          <w:sz w:val="20"/>
          <w:szCs w:val="20"/>
          <w:u w:val="single"/>
          <w:rtl/>
        </w:rPr>
        <w:t>חכמים דברייתא</w:t>
      </w:r>
      <w:r>
        <w:rPr>
          <w:rFonts w:hint="cs"/>
          <w:sz w:val="20"/>
          <w:szCs w:val="20"/>
          <w:rtl/>
        </w:rPr>
        <w:t>. אפילו בשחרית יום א'.</w:t>
      </w:r>
      <w:r>
        <w:rPr>
          <w:rFonts w:hint="cs"/>
          <w:sz w:val="20"/>
          <w:szCs w:val="20"/>
          <w:rtl/>
        </w:rPr>
        <w:br/>
        <w:t xml:space="preserve">3. ראשונים. </w:t>
      </w:r>
      <w:r w:rsidRPr="00D56618">
        <w:rPr>
          <w:rFonts w:hint="cs"/>
          <w:b/>
          <w:bCs/>
          <w:sz w:val="20"/>
          <w:szCs w:val="20"/>
          <w:rtl/>
        </w:rPr>
        <w:t>רשב"א</w:t>
      </w:r>
      <w:r>
        <w:rPr>
          <w:rFonts w:hint="cs"/>
          <w:sz w:val="20"/>
          <w:szCs w:val="20"/>
          <w:rtl/>
        </w:rPr>
        <w:t xml:space="preserve">. הלכה כחכמים דברייתא, אפילו בשחרית יום א'. </w:t>
      </w:r>
      <w:r>
        <w:rPr>
          <w:rFonts w:hint="cs"/>
          <w:b/>
          <w:bCs/>
          <w:sz w:val="20"/>
          <w:szCs w:val="20"/>
          <w:rtl/>
        </w:rPr>
        <w:t>רמב"ן</w:t>
      </w:r>
      <w:r>
        <w:rPr>
          <w:rFonts w:hint="cs"/>
          <w:sz w:val="20"/>
          <w:szCs w:val="20"/>
          <w:rtl/>
        </w:rPr>
        <w:t>. מוך דחוק בביה"ש של יום א' מועיל.</w:t>
      </w:r>
      <w:r>
        <w:rPr>
          <w:rFonts w:hint="cs"/>
          <w:b/>
          <w:bCs/>
          <w:sz w:val="20"/>
          <w:szCs w:val="20"/>
          <w:rtl/>
        </w:rPr>
        <w:t xml:space="preserve"> </w:t>
      </w:r>
      <w:r w:rsidRPr="00D56618">
        <w:rPr>
          <w:rFonts w:hint="cs"/>
          <w:b/>
          <w:bCs/>
          <w:sz w:val="20"/>
          <w:szCs w:val="20"/>
          <w:rtl/>
        </w:rPr>
        <w:t>רמב"ם</w:t>
      </w:r>
      <w:r>
        <w:rPr>
          <w:rFonts w:hint="cs"/>
          <w:sz w:val="20"/>
          <w:szCs w:val="20"/>
          <w:rtl/>
        </w:rPr>
        <w:t xml:space="preserve">. ביה"ש יום א'. </w:t>
      </w:r>
      <w:r w:rsidRPr="00385C02">
        <w:rPr>
          <w:rFonts w:hint="cs"/>
          <w:sz w:val="18"/>
          <w:szCs w:val="18"/>
          <w:rtl/>
        </w:rPr>
        <w:t>(כחכמים דמתני' ויש לומר שהתירו בביה"ש יום א')</w:t>
      </w:r>
      <w:r>
        <w:rPr>
          <w:rFonts w:hint="cs"/>
          <w:sz w:val="20"/>
          <w:szCs w:val="20"/>
          <w:rtl/>
        </w:rPr>
        <w:t xml:space="preserve">. </w:t>
      </w:r>
      <w:r w:rsidRPr="00490FA4">
        <w:rPr>
          <w:rFonts w:hint="cs"/>
          <w:b/>
          <w:bCs/>
          <w:sz w:val="20"/>
          <w:szCs w:val="20"/>
          <w:rtl/>
        </w:rPr>
        <w:t>רא"ש</w:t>
      </w:r>
      <w:r>
        <w:rPr>
          <w:rFonts w:hint="cs"/>
          <w:sz w:val="20"/>
          <w:szCs w:val="20"/>
          <w:rtl/>
        </w:rPr>
        <w:t>. "</w:t>
      </w:r>
      <w:r w:rsidRPr="002043B0">
        <w:rPr>
          <w:rFonts w:cs="Arial"/>
          <w:sz w:val="20"/>
          <w:szCs w:val="20"/>
          <w:rtl/>
        </w:rPr>
        <w:t>ובדיקה זו תהיה בי</w:t>
      </w:r>
      <w:r>
        <w:rPr>
          <w:rFonts w:cs="Arial" w:hint="cs"/>
          <w:sz w:val="20"/>
          <w:szCs w:val="20"/>
          <w:rtl/>
        </w:rPr>
        <w:t xml:space="preserve">ה"ש </w:t>
      </w:r>
      <w:r w:rsidRPr="00191883">
        <w:rPr>
          <w:rFonts w:cs="Arial"/>
          <w:sz w:val="20"/>
          <w:szCs w:val="20"/>
          <w:rtl/>
        </w:rPr>
        <w:t>ביום שתפסוק בו מלראות</w:t>
      </w:r>
      <w:r w:rsidRPr="00191883">
        <w:rPr>
          <w:rFonts w:cs="Arial" w:hint="cs"/>
          <w:sz w:val="20"/>
          <w:szCs w:val="20"/>
          <w:rtl/>
        </w:rPr>
        <w:t>".</w:t>
      </w:r>
      <w:r w:rsidRPr="00191883">
        <w:rPr>
          <w:rFonts w:hint="cs"/>
          <w:sz w:val="20"/>
          <w:szCs w:val="20"/>
          <w:rtl/>
        </w:rPr>
        <w:t xml:space="preserve"> </w:t>
      </w:r>
      <w:r w:rsidRPr="00191883">
        <w:rPr>
          <w:rFonts w:hint="cs"/>
          <w:b/>
          <w:bCs/>
          <w:sz w:val="20"/>
          <w:szCs w:val="20"/>
          <w:rtl/>
        </w:rPr>
        <w:t>טור</w:t>
      </w:r>
      <w:r w:rsidRPr="00191883">
        <w:rPr>
          <w:rFonts w:hint="cs"/>
          <w:sz w:val="20"/>
          <w:szCs w:val="20"/>
          <w:rtl/>
        </w:rPr>
        <w:t xml:space="preserve">. דעת הרא"ש שהפס"ט רק בביה"ש. </w:t>
      </w:r>
      <w:r w:rsidRPr="00191883">
        <w:rPr>
          <w:rFonts w:hint="cs"/>
          <w:b/>
          <w:bCs/>
          <w:sz w:val="20"/>
          <w:szCs w:val="20"/>
          <w:rtl/>
        </w:rPr>
        <w:t>ב"י</w:t>
      </w:r>
      <w:r w:rsidRPr="00191883">
        <w:rPr>
          <w:rFonts w:hint="cs"/>
          <w:sz w:val="20"/>
          <w:szCs w:val="20"/>
          <w:rtl/>
        </w:rPr>
        <w:t>. הרא"ש כתב כך לרווחא דמילתא ולא לעיכובא. או שכוונתו לפסוק כך בכל הימים מלבד יום ז', ומה שלא חילק הוא כדי שלא יבואו לטעות, או שאין מצוי לעשות הפסק ביום ז'.</w:t>
      </w:r>
      <w:r w:rsidRPr="00191883">
        <w:rPr>
          <w:sz w:val="20"/>
          <w:szCs w:val="20"/>
          <w:rtl/>
        </w:rPr>
        <w:br/>
      </w:r>
      <w:r w:rsidRPr="00191883">
        <w:rPr>
          <w:rFonts w:hint="cs"/>
          <w:sz w:val="20"/>
          <w:szCs w:val="20"/>
          <w:rtl/>
        </w:rPr>
        <w:t xml:space="preserve">4. זמן ביה"ש. </w:t>
      </w:r>
      <w:r w:rsidRPr="00191883">
        <w:rPr>
          <w:rFonts w:hint="cs"/>
          <w:b/>
          <w:bCs/>
          <w:sz w:val="20"/>
          <w:szCs w:val="20"/>
          <w:rtl/>
        </w:rPr>
        <w:t>ב"י</w:t>
      </w:r>
      <w:r w:rsidRPr="00191883">
        <w:rPr>
          <w:rFonts w:hint="cs"/>
          <w:sz w:val="20"/>
          <w:szCs w:val="20"/>
          <w:rtl/>
        </w:rPr>
        <w:t>. אין זה ביה"ש ממש, שהרי הוא ספק יום הבא, אלא לאחר מנחה קטנה סמוך לביה"ש.</w:t>
      </w:r>
      <w:r w:rsidRPr="00191883">
        <w:rPr>
          <w:rFonts w:hint="cs"/>
          <w:sz w:val="20"/>
          <w:szCs w:val="20"/>
          <w:rtl/>
        </w:rPr>
        <w:br/>
        <w:t xml:space="preserve">5. </w:t>
      </w:r>
      <w:r w:rsidRPr="00191883">
        <w:rPr>
          <w:rFonts w:hint="cs"/>
          <w:b/>
          <w:bCs/>
          <w:sz w:val="20"/>
          <w:szCs w:val="20"/>
          <w:rtl/>
        </w:rPr>
        <w:t>ב"י</w:t>
      </w:r>
      <w:r w:rsidRPr="00191883">
        <w:rPr>
          <w:rFonts w:hint="cs"/>
          <w:sz w:val="20"/>
          <w:szCs w:val="20"/>
          <w:rtl/>
        </w:rPr>
        <w:t>. המובחר ביותר הוא לעשות הפסק ע"י מוך דחוק שיהיה מונח באותו מקום כל ביה"ש.</w:t>
      </w:r>
      <w:r w:rsidRPr="00191883">
        <w:rPr>
          <w:rFonts w:hint="cs"/>
          <w:sz w:val="20"/>
          <w:szCs w:val="20"/>
          <w:rtl/>
        </w:rPr>
        <w:br/>
        <w:t xml:space="preserve">6. </w:t>
      </w:r>
      <w:r w:rsidRPr="00191883">
        <w:rPr>
          <w:rFonts w:hint="cs"/>
          <w:b/>
          <w:bCs/>
          <w:sz w:val="20"/>
          <w:szCs w:val="20"/>
          <w:rtl/>
        </w:rPr>
        <w:t>מחבר</w:t>
      </w:r>
      <w:r w:rsidRPr="00191883">
        <w:rPr>
          <w:rFonts w:hint="cs"/>
          <w:sz w:val="20"/>
          <w:szCs w:val="20"/>
          <w:rtl/>
        </w:rPr>
        <w:t xml:space="preserve">. הפסק טהרה נעשה ביום ב' ואילך לראייתה, ויהיה סמוך לביה"ש, והטוב ביותר ע"י מוך דחוק. </w:t>
      </w:r>
      <w:r w:rsidRPr="00191883">
        <w:rPr>
          <w:b/>
          <w:bCs/>
          <w:sz w:val="20"/>
          <w:szCs w:val="20"/>
          <w:rtl/>
        </w:rPr>
        <w:br/>
      </w:r>
      <w:r w:rsidRPr="00191883">
        <w:rPr>
          <w:rFonts w:hint="cs"/>
          <w:b/>
          <w:bCs/>
          <w:sz w:val="20"/>
          <w:szCs w:val="20"/>
          <w:rtl/>
        </w:rPr>
        <w:t>רמ"א</w:t>
      </w:r>
      <w:r w:rsidRPr="00191883">
        <w:rPr>
          <w:rFonts w:hint="cs"/>
          <w:sz w:val="20"/>
          <w:szCs w:val="20"/>
          <w:rtl/>
        </w:rPr>
        <w:t xml:space="preserve">. בדקה בשחרית, מהני בדיעבד. </w:t>
      </w:r>
      <w:r w:rsidRPr="00191883">
        <w:rPr>
          <w:rFonts w:hint="cs"/>
          <w:b/>
          <w:bCs/>
          <w:sz w:val="20"/>
          <w:szCs w:val="20"/>
          <w:rtl/>
        </w:rPr>
        <w:t>ש"ך</w:t>
      </w:r>
      <w:r w:rsidRPr="00191883">
        <w:rPr>
          <w:rFonts w:hint="cs"/>
          <w:sz w:val="20"/>
          <w:szCs w:val="20"/>
          <w:rtl/>
        </w:rPr>
        <w:t xml:space="preserve">. הפסק ביום ראשון לראייתה אינו מועיל בשחרית, יבואר לקמן. </w:t>
      </w:r>
      <w:r w:rsidRPr="00191883">
        <w:rPr>
          <w:rFonts w:hint="cs"/>
          <w:sz w:val="20"/>
          <w:szCs w:val="20"/>
          <w:rtl/>
        </w:rPr>
        <w:br/>
        <w:t xml:space="preserve">7. </w:t>
      </w:r>
      <w:r w:rsidRPr="00191883">
        <w:rPr>
          <w:rFonts w:hint="cs"/>
          <w:b/>
          <w:bCs/>
          <w:sz w:val="20"/>
          <w:szCs w:val="20"/>
          <w:rtl/>
        </w:rPr>
        <w:t>שבה"ל</w:t>
      </w:r>
      <w:r w:rsidRPr="00191883">
        <w:rPr>
          <w:rFonts w:hint="cs"/>
          <w:sz w:val="20"/>
          <w:szCs w:val="20"/>
          <w:rtl/>
        </w:rPr>
        <w:t xml:space="preserve">. רצוי לבדוק מעט קודם ביה"ש. </w:t>
      </w:r>
      <w:r w:rsidRPr="00191883">
        <w:rPr>
          <w:rFonts w:hint="cs"/>
          <w:b/>
          <w:bCs/>
          <w:sz w:val="20"/>
          <w:szCs w:val="20"/>
          <w:rtl/>
        </w:rPr>
        <w:t>טעם</w:t>
      </w:r>
      <w:r w:rsidRPr="00191883">
        <w:rPr>
          <w:rFonts w:hint="cs"/>
          <w:sz w:val="20"/>
          <w:szCs w:val="20"/>
          <w:rtl/>
        </w:rPr>
        <w:t>. אם לא ייצא נקי, תוכל לרחוץ את אותו מקום ולבדוק שנית.</w:t>
      </w:r>
      <w:r w:rsidRPr="00191883">
        <w:rPr>
          <w:sz w:val="20"/>
          <w:szCs w:val="20"/>
          <w:rtl/>
        </w:rPr>
        <w:br/>
      </w:r>
      <w:r w:rsidRPr="00191883">
        <w:rPr>
          <w:rFonts w:hint="cs"/>
          <w:sz w:val="20"/>
          <w:szCs w:val="20"/>
          <w:rtl/>
        </w:rPr>
        <w:t xml:space="preserve">8. בדקה בשקיעה או אחריה. </w:t>
      </w:r>
      <w:r w:rsidRPr="00191883">
        <w:rPr>
          <w:rFonts w:hint="cs"/>
          <w:b/>
          <w:bCs/>
          <w:sz w:val="20"/>
          <w:szCs w:val="20"/>
          <w:rtl/>
        </w:rPr>
        <w:t>שבה"ל</w:t>
      </w:r>
      <w:r w:rsidRPr="00191883">
        <w:rPr>
          <w:rFonts w:hint="cs"/>
          <w:sz w:val="20"/>
          <w:szCs w:val="20"/>
          <w:rtl/>
        </w:rPr>
        <w:t xml:space="preserve">. יעשו שאלת חכם. </w:t>
      </w:r>
      <w:r w:rsidRPr="00191883">
        <w:rPr>
          <w:rFonts w:hint="cs"/>
          <w:b/>
          <w:bCs/>
          <w:sz w:val="20"/>
          <w:szCs w:val="20"/>
          <w:rtl/>
        </w:rPr>
        <w:t>טה"ב ואג"מ</w:t>
      </w:r>
      <w:r w:rsidRPr="00191883">
        <w:rPr>
          <w:rFonts w:hint="cs"/>
          <w:sz w:val="20"/>
          <w:szCs w:val="20"/>
          <w:rtl/>
        </w:rPr>
        <w:t>. מהני בדיעבד, יש כמה ספקות.</w:t>
      </w:r>
      <w:r w:rsidRPr="00191883">
        <w:rPr>
          <w:sz w:val="20"/>
          <w:szCs w:val="20"/>
          <w:rtl/>
        </w:rPr>
        <w:br/>
      </w:r>
      <w:r>
        <w:rPr>
          <w:rFonts w:hint="cs"/>
          <w:sz w:val="20"/>
          <w:szCs w:val="20"/>
          <w:rtl/>
        </w:rPr>
        <w:t>9</w:t>
      </w:r>
      <w:r w:rsidRPr="00191883">
        <w:rPr>
          <w:rFonts w:hint="cs"/>
          <w:sz w:val="20"/>
          <w:szCs w:val="20"/>
          <w:rtl/>
        </w:rPr>
        <w:t xml:space="preserve">. מוך דחוק. </w:t>
      </w:r>
      <w:r w:rsidRPr="00191883">
        <w:rPr>
          <w:rFonts w:hint="cs"/>
          <w:b/>
          <w:bCs/>
          <w:sz w:val="20"/>
          <w:szCs w:val="20"/>
          <w:rtl/>
        </w:rPr>
        <w:t>ששבה"ל</w:t>
      </w:r>
      <w:r w:rsidRPr="00191883">
        <w:rPr>
          <w:rFonts w:hint="cs"/>
          <w:sz w:val="20"/>
          <w:szCs w:val="20"/>
          <w:rtl/>
        </w:rPr>
        <w:t xml:space="preserve">. הידור בלבד. </w:t>
      </w:r>
      <w:r w:rsidRPr="00191883">
        <w:rPr>
          <w:rFonts w:hint="cs"/>
          <w:b/>
          <w:bCs/>
          <w:sz w:val="20"/>
          <w:szCs w:val="20"/>
          <w:rtl/>
        </w:rPr>
        <w:t>חוו"ד</w:t>
      </w:r>
      <w:r w:rsidRPr="00191883">
        <w:rPr>
          <w:rFonts w:hint="cs"/>
          <w:sz w:val="20"/>
          <w:szCs w:val="20"/>
          <w:rtl/>
        </w:rPr>
        <w:t xml:space="preserve">. </w:t>
      </w:r>
      <w:r>
        <w:rPr>
          <w:rFonts w:hint="cs"/>
          <w:sz w:val="20"/>
          <w:szCs w:val="20"/>
          <w:rtl/>
        </w:rPr>
        <w:t xml:space="preserve">ביום הראשון הוא </w:t>
      </w:r>
      <w:r w:rsidRPr="00191883">
        <w:rPr>
          <w:rFonts w:hint="cs"/>
          <w:sz w:val="20"/>
          <w:szCs w:val="20"/>
          <w:rtl/>
        </w:rPr>
        <w:t>עיקר הדין, מעיינה פתוח ויש לוודא שנסתם.</w:t>
      </w:r>
      <w:r w:rsidRPr="00191883">
        <w:rPr>
          <w:sz w:val="20"/>
          <w:szCs w:val="20"/>
          <w:rtl/>
        </w:rPr>
        <w:br/>
      </w:r>
      <w:r w:rsidRPr="00191883">
        <w:rPr>
          <w:rFonts w:hint="cs"/>
          <w:sz w:val="20"/>
          <w:szCs w:val="20"/>
          <w:rtl/>
        </w:rPr>
        <w:t>1</w:t>
      </w:r>
      <w:r>
        <w:rPr>
          <w:rFonts w:hint="cs"/>
          <w:sz w:val="20"/>
          <w:szCs w:val="20"/>
          <w:rtl/>
        </w:rPr>
        <w:t>0</w:t>
      </w:r>
      <w:r w:rsidRPr="00191883">
        <w:rPr>
          <w:rFonts w:hint="cs"/>
          <w:sz w:val="20"/>
          <w:szCs w:val="20"/>
          <w:rtl/>
        </w:rPr>
        <w:t xml:space="preserve">. האם מוך דחוק יכול להוות תחליף לבדיקת הפסק טהרה? </w:t>
      </w:r>
      <w:r w:rsidRPr="00191883">
        <w:rPr>
          <w:rFonts w:hint="cs"/>
          <w:b/>
          <w:bCs/>
          <w:sz w:val="20"/>
          <w:szCs w:val="20"/>
          <w:rtl/>
        </w:rPr>
        <w:t>ששבה"ל</w:t>
      </w:r>
      <w:r w:rsidRPr="00191883">
        <w:rPr>
          <w:rFonts w:hint="cs"/>
          <w:sz w:val="20"/>
          <w:szCs w:val="20"/>
          <w:rtl/>
        </w:rPr>
        <w:t>. לא, המוך אינו ממלא את כל החו"ס.</w:t>
      </w:r>
      <w:r w:rsidRPr="00191883">
        <w:rPr>
          <w:rFonts w:hint="cs"/>
          <w:sz w:val="20"/>
          <w:szCs w:val="20"/>
          <w:rtl/>
        </w:rPr>
        <w:br/>
        <w:t>1</w:t>
      </w:r>
      <w:r>
        <w:rPr>
          <w:rFonts w:hint="cs"/>
          <w:sz w:val="20"/>
          <w:szCs w:val="20"/>
          <w:rtl/>
        </w:rPr>
        <w:t>1</w:t>
      </w:r>
      <w:r w:rsidRPr="00191883">
        <w:rPr>
          <w:rFonts w:hint="cs"/>
          <w:sz w:val="20"/>
          <w:szCs w:val="20"/>
          <w:rtl/>
        </w:rPr>
        <w:t xml:space="preserve">. הפס"ט לאחר שהקהל התפללו ערבית. </w:t>
      </w:r>
      <w:r w:rsidRPr="00191883">
        <w:rPr>
          <w:rFonts w:hint="cs"/>
          <w:b/>
          <w:bCs/>
          <w:sz w:val="20"/>
          <w:szCs w:val="20"/>
          <w:rtl/>
        </w:rPr>
        <w:t>ת"ה</w:t>
      </w:r>
      <w:r w:rsidRPr="00191883">
        <w:rPr>
          <w:rFonts w:hint="cs"/>
          <w:sz w:val="20"/>
          <w:szCs w:val="20"/>
          <w:rtl/>
        </w:rPr>
        <w:t xml:space="preserve">. אינו אפשרי. </w:t>
      </w:r>
      <w:r w:rsidRPr="00191883">
        <w:rPr>
          <w:rFonts w:hint="cs"/>
          <w:b/>
          <w:bCs/>
          <w:sz w:val="20"/>
          <w:szCs w:val="20"/>
          <w:rtl/>
        </w:rPr>
        <w:t>מהר"י מולון</w:t>
      </w:r>
      <w:r w:rsidRPr="00191883">
        <w:rPr>
          <w:rFonts w:hint="cs"/>
          <w:sz w:val="20"/>
          <w:szCs w:val="20"/>
          <w:rtl/>
        </w:rPr>
        <w:t xml:space="preserve">. אפשרי, וכ"פ </w:t>
      </w:r>
      <w:r w:rsidRPr="00191883">
        <w:rPr>
          <w:rFonts w:hint="cs"/>
          <w:b/>
          <w:bCs/>
          <w:sz w:val="20"/>
          <w:szCs w:val="20"/>
          <w:rtl/>
        </w:rPr>
        <w:t>הרמ"א</w:t>
      </w:r>
      <w:r w:rsidRPr="00191883">
        <w:rPr>
          <w:rFonts w:hint="cs"/>
          <w:sz w:val="20"/>
          <w:szCs w:val="20"/>
          <w:rtl/>
        </w:rPr>
        <w:t xml:space="preserve"> בדיעבד.</w:t>
      </w:r>
      <w:r w:rsidRPr="00191883">
        <w:rPr>
          <w:rFonts w:hint="cs"/>
          <w:sz w:val="20"/>
          <w:szCs w:val="20"/>
          <w:rtl/>
        </w:rPr>
        <w:br/>
        <w:t>1</w:t>
      </w:r>
      <w:r>
        <w:rPr>
          <w:rFonts w:hint="cs"/>
          <w:sz w:val="20"/>
          <w:szCs w:val="20"/>
          <w:rtl/>
        </w:rPr>
        <w:t>2</w:t>
      </w:r>
      <w:r w:rsidRPr="00191883">
        <w:rPr>
          <w:rFonts w:hint="cs"/>
          <w:sz w:val="20"/>
          <w:szCs w:val="20"/>
          <w:rtl/>
        </w:rPr>
        <w:t>. הפס"ט לאחר שהאשה התפללה ערבית.</w:t>
      </w:r>
      <w:r>
        <w:rPr>
          <w:rFonts w:hint="cs"/>
          <w:sz w:val="20"/>
          <w:szCs w:val="20"/>
          <w:rtl/>
        </w:rPr>
        <w:t xml:space="preserve"> </w:t>
      </w:r>
      <w:r w:rsidRPr="002D16BA">
        <w:rPr>
          <w:rFonts w:hint="cs"/>
          <w:b/>
          <w:bCs/>
          <w:sz w:val="20"/>
          <w:szCs w:val="20"/>
          <w:rtl/>
        </w:rPr>
        <w:t>ש"ך</w:t>
      </w:r>
      <w:r>
        <w:rPr>
          <w:rFonts w:hint="cs"/>
          <w:sz w:val="20"/>
          <w:szCs w:val="20"/>
          <w:rtl/>
        </w:rPr>
        <w:t xml:space="preserve">. אפשרי. </w:t>
      </w:r>
      <w:r w:rsidRPr="002D16BA">
        <w:rPr>
          <w:rFonts w:hint="cs"/>
          <w:b/>
          <w:bCs/>
          <w:sz w:val="20"/>
          <w:szCs w:val="20"/>
          <w:rtl/>
        </w:rPr>
        <w:t>אביו של הש"ך</w:t>
      </w:r>
      <w:r>
        <w:rPr>
          <w:rFonts w:hint="cs"/>
          <w:sz w:val="20"/>
          <w:szCs w:val="20"/>
          <w:rtl/>
        </w:rPr>
        <w:t xml:space="preserve">. לא אפשרי. </w:t>
      </w:r>
      <w:r w:rsidRPr="009F5F8C">
        <w:rPr>
          <w:rFonts w:hint="cs"/>
          <w:sz w:val="18"/>
          <w:szCs w:val="18"/>
          <w:rtl/>
        </w:rPr>
        <w:t>(</w:t>
      </w:r>
      <w:r w:rsidRPr="002D16BA">
        <w:rPr>
          <w:rFonts w:hint="cs"/>
          <w:b/>
          <w:bCs/>
          <w:sz w:val="18"/>
          <w:szCs w:val="18"/>
          <w:rtl/>
        </w:rPr>
        <w:t>ט"ז</w:t>
      </w:r>
      <w:r w:rsidRPr="009F5F8C">
        <w:rPr>
          <w:rFonts w:hint="cs"/>
          <w:sz w:val="18"/>
          <w:szCs w:val="18"/>
          <w:rtl/>
        </w:rPr>
        <w:t xml:space="preserve">. </w:t>
      </w:r>
      <w:r w:rsidRPr="002D16BA">
        <w:rPr>
          <w:rFonts w:hint="cs"/>
          <w:b/>
          <w:bCs/>
          <w:sz w:val="18"/>
          <w:szCs w:val="18"/>
          <w:rtl/>
        </w:rPr>
        <w:t>מהרש"ל</w:t>
      </w:r>
      <w:r w:rsidRPr="009F5F8C">
        <w:rPr>
          <w:rFonts w:hint="cs"/>
          <w:sz w:val="18"/>
          <w:szCs w:val="18"/>
          <w:rtl/>
        </w:rPr>
        <w:t xml:space="preserve"> הקל כיוון שלובשות לבנים מיום ו'. </w:t>
      </w:r>
      <w:r w:rsidRPr="00963ADF">
        <w:rPr>
          <w:rFonts w:hint="cs"/>
          <w:b/>
          <w:bCs/>
          <w:sz w:val="18"/>
          <w:szCs w:val="18"/>
          <w:rtl/>
        </w:rPr>
        <w:t>דגמ"ר</w:t>
      </w:r>
      <w:r w:rsidRPr="009F5F8C">
        <w:rPr>
          <w:rFonts w:hint="cs"/>
          <w:sz w:val="18"/>
          <w:szCs w:val="18"/>
          <w:rtl/>
        </w:rPr>
        <w:t>. דברי מהרש"ל אינם עניין לכאן).</w:t>
      </w:r>
      <w:r>
        <w:rPr>
          <w:rFonts w:hint="cs"/>
          <w:sz w:val="20"/>
          <w:szCs w:val="20"/>
          <w:rtl/>
        </w:rPr>
        <w:t xml:space="preserve"> </w:t>
      </w:r>
      <w:r w:rsidRPr="00EB262D">
        <w:rPr>
          <w:rFonts w:hint="cs"/>
          <w:b/>
          <w:bCs/>
          <w:sz w:val="20"/>
          <w:szCs w:val="20"/>
          <w:rtl/>
        </w:rPr>
        <w:t>טה"ב</w:t>
      </w:r>
      <w:r>
        <w:rPr>
          <w:rFonts w:hint="cs"/>
          <w:sz w:val="20"/>
          <w:szCs w:val="20"/>
          <w:rtl/>
        </w:rPr>
        <w:t>. אפשרי, אפילו אם קיבלה שבת.</w:t>
      </w:r>
      <w:r>
        <w:rPr>
          <w:rFonts w:hint="cs"/>
          <w:sz w:val="20"/>
          <w:szCs w:val="20"/>
          <w:rtl/>
        </w:rPr>
        <w:br/>
        <w:t xml:space="preserve">13. </w:t>
      </w:r>
      <w:r w:rsidRPr="002D16BA">
        <w:rPr>
          <w:rFonts w:hint="cs"/>
          <w:b/>
          <w:bCs/>
          <w:sz w:val="20"/>
          <w:szCs w:val="20"/>
          <w:rtl/>
        </w:rPr>
        <w:t>רמ"א</w:t>
      </w:r>
      <w:r>
        <w:rPr>
          <w:rFonts w:hint="cs"/>
          <w:sz w:val="20"/>
          <w:szCs w:val="20"/>
          <w:rtl/>
        </w:rPr>
        <w:t xml:space="preserve">. יש נהגו שאם עושות הפסק קודם ברכו ואחר כך רואות כתם או דם עושות הפסק שנית, ואין </w:t>
      </w:r>
      <w:r>
        <w:rPr>
          <w:rFonts w:hint="cs"/>
          <w:sz w:val="20"/>
          <w:szCs w:val="20"/>
          <w:rtl/>
        </w:rPr>
        <w:lastRenderedPageBreak/>
        <w:t xml:space="preserve">למחות. </w:t>
      </w:r>
      <w:r w:rsidRPr="002D16BA">
        <w:rPr>
          <w:rFonts w:hint="cs"/>
          <w:b/>
          <w:bCs/>
          <w:sz w:val="20"/>
          <w:szCs w:val="20"/>
          <w:rtl/>
        </w:rPr>
        <w:t>ב"ח</w:t>
      </w:r>
      <w:r>
        <w:rPr>
          <w:rFonts w:hint="cs"/>
          <w:sz w:val="20"/>
          <w:szCs w:val="20"/>
          <w:rtl/>
        </w:rPr>
        <w:t xml:space="preserve">. </w:t>
      </w:r>
      <w:r w:rsidRPr="002D16BA">
        <w:rPr>
          <w:rFonts w:hint="cs"/>
          <w:b/>
          <w:bCs/>
          <w:sz w:val="20"/>
          <w:szCs w:val="20"/>
          <w:rtl/>
        </w:rPr>
        <w:t>הרמ"א</w:t>
      </w:r>
      <w:r>
        <w:rPr>
          <w:rFonts w:hint="cs"/>
          <w:sz w:val="20"/>
          <w:szCs w:val="20"/>
          <w:rtl/>
        </w:rPr>
        <w:t xml:space="preserve"> הקל רק כשהיא כבר בתוך ז' נקיים, אך לא הקל בהפס"ט של יום א'. </w:t>
      </w:r>
      <w:r w:rsidRPr="002D16BA">
        <w:rPr>
          <w:rFonts w:hint="cs"/>
          <w:b/>
          <w:bCs/>
          <w:sz w:val="20"/>
          <w:szCs w:val="20"/>
          <w:rtl/>
        </w:rPr>
        <w:t>ש"ך</w:t>
      </w:r>
      <w:r>
        <w:rPr>
          <w:rFonts w:hint="cs"/>
          <w:sz w:val="20"/>
          <w:szCs w:val="20"/>
          <w:rtl/>
        </w:rPr>
        <w:t xml:space="preserve">. </w:t>
      </w:r>
      <w:r w:rsidRPr="002D16BA">
        <w:rPr>
          <w:rFonts w:hint="cs"/>
          <w:b/>
          <w:bCs/>
          <w:sz w:val="20"/>
          <w:szCs w:val="20"/>
          <w:rtl/>
        </w:rPr>
        <w:t>הרמ"א</w:t>
      </w:r>
      <w:r>
        <w:rPr>
          <w:rFonts w:hint="cs"/>
          <w:sz w:val="20"/>
          <w:szCs w:val="20"/>
          <w:rtl/>
        </w:rPr>
        <w:t xml:space="preserve"> הקל גם בהפס"ט של יום א', וכן דעת </w:t>
      </w:r>
      <w:r w:rsidRPr="002D16BA">
        <w:rPr>
          <w:rFonts w:hint="cs"/>
          <w:b/>
          <w:bCs/>
          <w:sz w:val="20"/>
          <w:szCs w:val="20"/>
          <w:rtl/>
        </w:rPr>
        <w:t>הב"ח</w:t>
      </w:r>
      <w:r>
        <w:rPr>
          <w:rFonts w:hint="cs"/>
          <w:sz w:val="20"/>
          <w:szCs w:val="20"/>
          <w:rtl/>
        </w:rPr>
        <w:t xml:space="preserve"> לדינא. </w:t>
      </w:r>
    </w:p>
    <w:p w:rsidR="00620060" w:rsidRDefault="00620060" w:rsidP="00620060">
      <w:pPr>
        <w:rPr>
          <w:sz w:val="20"/>
          <w:szCs w:val="20"/>
          <w:u w:val="single"/>
          <w:rtl/>
        </w:rPr>
      </w:pPr>
      <w:r>
        <w:rPr>
          <w:rFonts w:hint="cs"/>
          <w:b/>
          <w:bCs/>
          <w:sz w:val="20"/>
          <w:szCs w:val="20"/>
          <w:rtl/>
        </w:rPr>
        <w:t>הוספות</w:t>
      </w:r>
      <w:r>
        <w:rPr>
          <w:sz w:val="20"/>
          <w:szCs w:val="20"/>
          <w:u w:val="single"/>
          <w:rtl/>
        </w:rPr>
        <w:br/>
      </w:r>
      <w:r w:rsidRPr="001F4BAA">
        <w:rPr>
          <w:rFonts w:hint="cs"/>
          <w:sz w:val="20"/>
          <w:szCs w:val="20"/>
          <w:u w:val="single"/>
          <w:rtl/>
        </w:rPr>
        <w:t>בדיקת הפסק טהרה</w:t>
      </w:r>
      <w:r>
        <w:rPr>
          <w:rFonts w:hint="cs"/>
          <w:sz w:val="20"/>
          <w:szCs w:val="20"/>
          <w:u w:val="single"/>
          <w:rtl/>
        </w:rPr>
        <w:t xml:space="preserve"> </w:t>
      </w:r>
      <w:r>
        <w:rPr>
          <w:sz w:val="20"/>
          <w:szCs w:val="20"/>
          <w:u w:val="single"/>
          <w:rtl/>
        </w:rPr>
        <w:t>–</w:t>
      </w:r>
      <w:r>
        <w:rPr>
          <w:rFonts w:hint="cs"/>
          <w:sz w:val="20"/>
          <w:szCs w:val="20"/>
          <w:u w:val="single"/>
          <w:rtl/>
        </w:rPr>
        <w:t xml:space="preserve"> דאורייתא או דרבנן? (טהרת הבית עמ' רמ </w:t>
      </w:r>
      <w:r>
        <w:rPr>
          <w:sz w:val="20"/>
          <w:szCs w:val="20"/>
          <w:u w:val="single"/>
          <w:rtl/>
        </w:rPr>
        <w:t>–</w:t>
      </w:r>
      <w:r>
        <w:rPr>
          <w:rFonts w:hint="cs"/>
          <w:sz w:val="20"/>
          <w:szCs w:val="20"/>
          <w:u w:val="single"/>
          <w:rtl/>
        </w:rPr>
        <w:t xml:space="preserve"> רמא)</w:t>
      </w:r>
      <w:r>
        <w:rPr>
          <w:b/>
          <w:bCs/>
          <w:sz w:val="20"/>
          <w:szCs w:val="20"/>
          <w:rtl/>
        </w:rPr>
        <w:br/>
      </w:r>
      <w:r>
        <w:rPr>
          <w:rFonts w:hint="cs"/>
          <w:sz w:val="20"/>
          <w:szCs w:val="20"/>
          <w:rtl/>
        </w:rPr>
        <w:t>מוסכם בראשונים שהפסק טהרה נעשה ע"י בדיקה לוודא שנסתם המעיין, אך הרגשת האשה שדם אינו יוצא ממנה אינה מהני להפסק, וכן מוכח במשנה לעיל. אמנם, יש לעיין מניין דין זה והאם הוא דאורייתא, ונחלקו בכך הראשונים:</w:t>
      </w:r>
      <w:r>
        <w:rPr>
          <w:rFonts w:hint="cs"/>
          <w:sz w:val="20"/>
          <w:szCs w:val="20"/>
          <w:rtl/>
        </w:rPr>
        <w:br/>
        <w:t xml:space="preserve">א. </w:t>
      </w:r>
      <w:r w:rsidRPr="00E56BA3">
        <w:rPr>
          <w:rFonts w:hint="cs"/>
          <w:b/>
          <w:bCs/>
          <w:sz w:val="20"/>
          <w:szCs w:val="20"/>
          <w:rtl/>
        </w:rPr>
        <w:t>אור זרוע</w:t>
      </w:r>
      <w:r>
        <w:rPr>
          <w:rFonts w:hint="cs"/>
          <w:sz w:val="20"/>
          <w:szCs w:val="20"/>
          <w:rtl/>
        </w:rPr>
        <w:t xml:space="preserve"> </w:t>
      </w:r>
      <w:r>
        <w:rPr>
          <w:sz w:val="20"/>
          <w:szCs w:val="20"/>
          <w:rtl/>
        </w:rPr>
        <w:t>–</w:t>
      </w:r>
      <w:r>
        <w:rPr>
          <w:rFonts w:hint="cs"/>
          <w:sz w:val="20"/>
          <w:szCs w:val="20"/>
          <w:rtl/>
        </w:rPr>
        <w:t xml:space="preserve"> מדאורייתא סגי במה שמרגישה שהדם אינו יוצא מבשרה, והוא הנקרא הפסק טהרה. אמנם, חכמים תיקנו שאשה תבדוק עצמה, וכן כתב </w:t>
      </w:r>
      <w:r w:rsidRPr="00E56BA3">
        <w:rPr>
          <w:rFonts w:hint="cs"/>
          <w:b/>
          <w:bCs/>
          <w:sz w:val="20"/>
          <w:szCs w:val="20"/>
          <w:rtl/>
        </w:rPr>
        <w:t>ה</w:t>
      </w:r>
      <w:r w:rsidRPr="0050788C">
        <w:rPr>
          <w:rFonts w:hint="cs"/>
          <w:b/>
          <w:bCs/>
          <w:sz w:val="20"/>
          <w:szCs w:val="20"/>
          <w:rtl/>
        </w:rPr>
        <w:t>נודע ביהודה</w:t>
      </w:r>
      <w:r>
        <w:rPr>
          <w:rFonts w:hint="cs"/>
          <w:sz w:val="20"/>
          <w:szCs w:val="20"/>
          <w:rtl/>
        </w:rPr>
        <w:t xml:space="preserve"> </w:t>
      </w:r>
      <w:r w:rsidRPr="0050788C">
        <w:rPr>
          <w:rFonts w:hint="cs"/>
          <w:sz w:val="18"/>
          <w:szCs w:val="18"/>
          <w:rtl/>
        </w:rPr>
        <w:t>(מהדו"ק, יו"ד נט')</w:t>
      </w:r>
      <w:r>
        <w:rPr>
          <w:rFonts w:hint="cs"/>
          <w:sz w:val="20"/>
          <w:szCs w:val="20"/>
          <w:rtl/>
        </w:rPr>
        <w:t>.</w:t>
      </w:r>
      <w:r>
        <w:rPr>
          <w:sz w:val="20"/>
          <w:szCs w:val="20"/>
          <w:rtl/>
        </w:rPr>
        <w:br/>
      </w:r>
      <w:r>
        <w:rPr>
          <w:rFonts w:hint="cs"/>
          <w:sz w:val="20"/>
          <w:szCs w:val="20"/>
          <w:rtl/>
        </w:rPr>
        <w:t xml:space="preserve">ב. </w:t>
      </w:r>
      <w:r w:rsidRPr="00E56BA3">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בדיקת הפסק טהרה בחורים ובסדקים היא דין דאורייתא, וכן כתב </w:t>
      </w:r>
      <w:r>
        <w:rPr>
          <w:rFonts w:hint="cs"/>
          <w:b/>
          <w:bCs/>
          <w:sz w:val="20"/>
          <w:szCs w:val="20"/>
          <w:rtl/>
        </w:rPr>
        <w:t>ה</w:t>
      </w:r>
      <w:r w:rsidRPr="00EC684B">
        <w:rPr>
          <w:rFonts w:hint="cs"/>
          <w:b/>
          <w:bCs/>
          <w:sz w:val="20"/>
          <w:szCs w:val="20"/>
          <w:rtl/>
        </w:rPr>
        <w:t>חתם סופר</w:t>
      </w:r>
      <w:r>
        <w:rPr>
          <w:rFonts w:hint="cs"/>
          <w:sz w:val="20"/>
          <w:szCs w:val="20"/>
          <w:rtl/>
        </w:rPr>
        <w:t xml:space="preserve"> </w:t>
      </w:r>
      <w:r w:rsidRPr="00EC684B">
        <w:rPr>
          <w:rFonts w:hint="cs"/>
          <w:sz w:val="18"/>
          <w:szCs w:val="18"/>
          <w:rtl/>
        </w:rPr>
        <w:t>(יו"ד, קעז')</w:t>
      </w:r>
      <w:r>
        <w:rPr>
          <w:rFonts w:hint="cs"/>
          <w:sz w:val="20"/>
          <w:szCs w:val="20"/>
          <w:rtl/>
        </w:rPr>
        <w:t xml:space="preserve">. </w:t>
      </w:r>
      <w:r>
        <w:rPr>
          <w:sz w:val="20"/>
          <w:szCs w:val="20"/>
          <w:rtl/>
        </w:rPr>
        <w:br/>
      </w:r>
      <w:r w:rsidRPr="000E3B7A">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ביום הווסת נפתח המקור והדם התחיל לצאת. כדי לוודא שהמעיין נסתם לא מהני מה שהיא אינה מרגישה כעת את פתיחת המקור, שמא אינה מרגשת אותו לפי שהוא פתוח ועומד. אלא על כורחך יש לוודא את סתימת המקור ע"י בדיקת חורים וסדקים.</w:t>
      </w:r>
    </w:p>
    <w:p w:rsidR="00620060" w:rsidRDefault="00620060" w:rsidP="00620060">
      <w:pPr>
        <w:rPr>
          <w:sz w:val="20"/>
          <w:szCs w:val="20"/>
          <w:rtl/>
        </w:rPr>
      </w:pPr>
      <w:r w:rsidRPr="00191883">
        <w:rPr>
          <w:rFonts w:hint="cs"/>
          <w:sz w:val="20"/>
          <w:szCs w:val="20"/>
          <w:u w:val="single"/>
          <w:rtl/>
        </w:rPr>
        <w:t xml:space="preserve"> </w:t>
      </w:r>
      <w:r>
        <w:rPr>
          <w:rFonts w:hint="cs"/>
          <w:sz w:val="20"/>
          <w:szCs w:val="20"/>
          <w:u w:val="single"/>
          <w:rtl/>
        </w:rPr>
        <w:t>אופן הבדיקה בהפסק טהרה (טהרת הבית עמ' רעז)</w:t>
      </w:r>
      <w:r>
        <w:rPr>
          <w:rFonts w:hint="cs"/>
          <w:sz w:val="20"/>
          <w:szCs w:val="20"/>
          <w:u w:val="single"/>
          <w:rtl/>
        </w:rPr>
        <w:br/>
      </w:r>
      <w:r w:rsidRPr="00C247FF">
        <w:rPr>
          <w:rFonts w:hint="cs"/>
          <w:b/>
          <w:bCs/>
          <w:sz w:val="20"/>
          <w:szCs w:val="20"/>
          <w:rtl/>
        </w:rPr>
        <w:t>חתם סופר</w:t>
      </w:r>
      <w:r>
        <w:rPr>
          <w:rFonts w:hint="cs"/>
          <w:sz w:val="20"/>
          <w:szCs w:val="20"/>
          <w:rtl/>
        </w:rPr>
        <w:t xml:space="preserve"> </w:t>
      </w:r>
      <w:r>
        <w:rPr>
          <w:sz w:val="20"/>
          <w:szCs w:val="20"/>
          <w:rtl/>
        </w:rPr>
        <w:t>–</w:t>
      </w:r>
      <w:r>
        <w:rPr>
          <w:rFonts w:hint="cs"/>
          <w:sz w:val="20"/>
          <w:szCs w:val="20"/>
          <w:rtl/>
        </w:rPr>
        <w:t xml:space="preserve"> קבלה בידי החת"ס, שאופן הבדיקה בהפסק טהרה תהיה ע"י כך שתעמיד רגלה האחת על הספסל ורגלה השנייה על הארץ, ואז תוכל לבדוק עצמה כראוי בחורים ובסדקים.</w:t>
      </w:r>
      <w:r>
        <w:rPr>
          <w:sz w:val="20"/>
          <w:szCs w:val="20"/>
          <w:rtl/>
        </w:rPr>
        <w:br/>
      </w:r>
      <w:r>
        <w:rPr>
          <w:rFonts w:hint="cs"/>
          <w:sz w:val="20"/>
          <w:szCs w:val="20"/>
          <w:rtl/>
        </w:rPr>
        <w:t xml:space="preserve">מעיר </w:t>
      </w:r>
      <w:r w:rsidRPr="00C247FF">
        <w:rPr>
          <w:rFonts w:hint="cs"/>
          <w:b/>
          <w:bCs/>
          <w:sz w:val="20"/>
          <w:szCs w:val="20"/>
          <w:rtl/>
        </w:rPr>
        <w:t>טה"ב</w:t>
      </w:r>
      <w:r>
        <w:rPr>
          <w:rFonts w:hint="cs"/>
          <w:sz w:val="20"/>
          <w:szCs w:val="20"/>
          <w:rtl/>
        </w:rPr>
        <w:t xml:space="preserve"> </w:t>
      </w:r>
      <w:r>
        <w:rPr>
          <w:sz w:val="20"/>
          <w:szCs w:val="20"/>
          <w:rtl/>
        </w:rPr>
        <w:t>–</w:t>
      </w:r>
      <w:r>
        <w:rPr>
          <w:rFonts w:hint="cs"/>
          <w:sz w:val="20"/>
          <w:szCs w:val="20"/>
          <w:rtl/>
        </w:rPr>
        <w:t xml:space="preserve"> פשוט שזאת רק עצה טובה, אך אינו מעכב כלל.</w:t>
      </w:r>
      <w:r>
        <w:rPr>
          <w:sz w:val="20"/>
          <w:szCs w:val="20"/>
          <w:rtl/>
        </w:rPr>
        <w:br/>
      </w:r>
      <w:r>
        <w:rPr>
          <w:rFonts w:hint="cs"/>
          <w:sz w:val="20"/>
          <w:szCs w:val="20"/>
          <w:rtl/>
        </w:rPr>
        <w:t>ולכן, אשה חולה שאינה יכולה לעשות הפסק טהרה אלא כשהיא שוכבת על גבה, רשאית להפסיק בטהרה ולבדוק עצמה כשהיא שוכבת.</w:t>
      </w:r>
    </w:p>
    <w:p w:rsidR="00620060" w:rsidRPr="004B3DA1" w:rsidRDefault="00620060" w:rsidP="00620060">
      <w:pPr>
        <w:rPr>
          <w:sz w:val="20"/>
          <w:szCs w:val="20"/>
          <w:rtl/>
        </w:rPr>
      </w:pPr>
      <w:r>
        <w:rPr>
          <w:sz w:val="20"/>
          <w:szCs w:val="20"/>
          <w:rtl/>
        </w:rPr>
        <w:br/>
      </w:r>
      <w:r>
        <w:rPr>
          <w:rFonts w:hint="cs"/>
          <w:b/>
          <w:bCs/>
          <w:sz w:val="20"/>
          <w:szCs w:val="20"/>
          <w:rtl/>
        </w:rPr>
        <w:t xml:space="preserve">סעיף ב </w:t>
      </w:r>
      <w:r>
        <w:rPr>
          <w:b/>
          <w:bCs/>
          <w:sz w:val="20"/>
          <w:szCs w:val="20"/>
          <w:rtl/>
        </w:rPr>
        <w:t>–</w:t>
      </w:r>
      <w:r>
        <w:rPr>
          <w:rFonts w:hint="cs"/>
          <w:b/>
          <w:bCs/>
          <w:sz w:val="20"/>
          <w:szCs w:val="20"/>
          <w:rtl/>
        </w:rPr>
        <w:t xml:space="preserve"> הפסק טהרה ביום הראשון לראייתה</w:t>
      </w:r>
      <w:r>
        <w:rPr>
          <w:b/>
          <w:bCs/>
          <w:sz w:val="20"/>
          <w:szCs w:val="20"/>
          <w:rtl/>
        </w:rPr>
        <w:br/>
      </w:r>
      <w:r>
        <w:rPr>
          <w:rFonts w:hint="cs"/>
          <w:b/>
          <w:bCs/>
          <w:sz w:val="20"/>
          <w:szCs w:val="20"/>
          <w:rtl/>
        </w:rPr>
        <w:t>פסיקת הלכה</w:t>
      </w:r>
      <w:r>
        <w:rPr>
          <w:b/>
          <w:bCs/>
          <w:sz w:val="20"/>
          <w:szCs w:val="20"/>
          <w:rtl/>
        </w:rPr>
        <w:br/>
      </w:r>
      <w:r>
        <w:rPr>
          <w:rFonts w:hint="cs"/>
          <w:sz w:val="20"/>
          <w:szCs w:val="20"/>
          <w:rtl/>
        </w:rPr>
        <w:t xml:space="preserve">א. </w:t>
      </w:r>
      <w:r>
        <w:rPr>
          <w:rFonts w:hint="cs"/>
          <w:b/>
          <w:bCs/>
          <w:sz w:val="20"/>
          <w:szCs w:val="20"/>
          <w:rtl/>
        </w:rPr>
        <w:t xml:space="preserve">שולחן ערוך </w:t>
      </w:r>
      <w:r>
        <w:rPr>
          <w:sz w:val="20"/>
          <w:szCs w:val="20"/>
          <w:rtl/>
        </w:rPr>
        <w:t>–</w:t>
      </w:r>
      <w:r>
        <w:rPr>
          <w:rFonts w:hint="cs"/>
          <w:sz w:val="20"/>
          <w:szCs w:val="20"/>
          <w:rtl/>
        </w:rPr>
        <w:t xml:space="preserve"> "</w:t>
      </w:r>
      <w:r w:rsidRPr="004B3DA1">
        <w:rPr>
          <w:rFonts w:cs="Arial"/>
          <w:sz w:val="20"/>
          <w:szCs w:val="20"/>
          <w:rtl/>
        </w:rPr>
        <w:t>ראתה יום אחד בלבד ופסקה בו ביום, צריכה לבדוק עצמה במוך דחוק ושיהא שם כל בין השמשות</w:t>
      </w:r>
      <w:r>
        <w:rPr>
          <w:rFonts w:cs="Arial" w:hint="cs"/>
          <w:sz w:val="20"/>
          <w:szCs w:val="20"/>
          <w:rtl/>
        </w:rPr>
        <w:t>"</w:t>
      </w:r>
      <w:r w:rsidRPr="004B3DA1">
        <w:rPr>
          <w:rFonts w:cs="Arial"/>
          <w:sz w:val="20"/>
          <w:szCs w:val="20"/>
          <w:rtl/>
        </w:rPr>
        <w:t>.</w:t>
      </w:r>
      <w:r>
        <w:rPr>
          <w:rFonts w:cs="Arial" w:hint="cs"/>
          <w:sz w:val="20"/>
          <w:szCs w:val="20"/>
          <w:rtl/>
        </w:rPr>
        <w:br/>
      </w:r>
      <w:r>
        <w:rPr>
          <w:rFonts w:cs="Arial"/>
          <w:sz w:val="20"/>
          <w:szCs w:val="20"/>
          <w:rtl/>
        </w:rPr>
        <w:br/>
      </w:r>
      <w:r>
        <w:rPr>
          <w:rFonts w:cs="Arial" w:hint="cs"/>
          <w:sz w:val="20"/>
          <w:szCs w:val="20"/>
          <w:u w:val="single"/>
          <w:rtl/>
        </w:rPr>
        <w:t>הסבר (גר"א וסדרי טהרה)</w:t>
      </w:r>
      <w:r>
        <w:rPr>
          <w:rFonts w:cs="Arial"/>
          <w:sz w:val="20"/>
          <w:szCs w:val="20"/>
          <w:u w:val="single"/>
          <w:rtl/>
        </w:rPr>
        <w:br/>
      </w:r>
      <w:r w:rsidRPr="005837C7">
        <w:rPr>
          <w:rFonts w:cs="Arial" w:hint="cs"/>
          <w:b/>
          <w:bCs/>
          <w:sz w:val="20"/>
          <w:szCs w:val="20"/>
          <w:rtl/>
        </w:rPr>
        <w:t xml:space="preserve">המחבר </w:t>
      </w:r>
      <w:r>
        <w:rPr>
          <w:rFonts w:cs="Arial" w:hint="cs"/>
          <w:sz w:val="20"/>
          <w:szCs w:val="20"/>
          <w:rtl/>
        </w:rPr>
        <w:t>פוסק כאן כשיטת חכמים דמתניתין, בדיקה ביום השני שחרית מועילה</w:t>
      </w:r>
      <w:r>
        <w:rPr>
          <w:rFonts w:hint="cs"/>
          <w:sz w:val="20"/>
          <w:szCs w:val="20"/>
          <w:rtl/>
        </w:rPr>
        <w:t xml:space="preserve"> והוא הדין לבדיקה ביום הראשון ביה"ש, וכדעת </w:t>
      </w:r>
      <w:r w:rsidRPr="005837C7">
        <w:rPr>
          <w:rFonts w:hint="cs"/>
          <w:b/>
          <w:bCs/>
          <w:sz w:val="20"/>
          <w:szCs w:val="20"/>
          <w:rtl/>
        </w:rPr>
        <w:t>הרמב"ן</w:t>
      </w:r>
      <w:r>
        <w:rPr>
          <w:rFonts w:hint="cs"/>
          <w:sz w:val="20"/>
          <w:szCs w:val="20"/>
          <w:rtl/>
        </w:rPr>
        <w:t xml:space="preserve"> לעיל</w:t>
      </w:r>
      <w:r>
        <w:rPr>
          <w:rStyle w:val="a5"/>
          <w:sz w:val="20"/>
          <w:szCs w:val="20"/>
          <w:rtl/>
        </w:rPr>
        <w:footnoteReference w:id="505"/>
      </w:r>
      <w:r>
        <w:rPr>
          <w:rFonts w:hint="cs"/>
          <w:sz w:val="20"/>
          <w:szCs w:val="20"/>
          <w:rtl/>
        </w:rPr>
        <w:t xml:space="preserve">. </w:t>
      </w:r>
      <w:r>
        <w:rPr>
          <w:sz w:val="20"/>
          <w:szCs w:val="20"/>
          <w:rtl/>
        </w:rPr>
        <w:br/>
      </w:r>
      <w:r>
        <w:rPr>
          <w:rFonts w:hint="cs"/>
          <w:sz w:val="20"/>
          <w:szCs w:val="20"/>
          <w:rtl/>
        </w:rPr>
        <w:t>ואמנם, כיוון שהיום הראשון חמור טפי כיוון שהוחזק מעיינה פתוח, החמיר להצריך מוך דחוק לעיקר הדין ואין זו חומרה בלבד כבסעיף הקודם, אך עיין הערה</w:t>
      </w:r>
      <w:r>
        <w:rPr>
          <w:rStyle w:val="a5"/>
          <w:sz w:val="20"/>
          <w:szCs w:val="20"/>
          <w:rtl/>
        </w:rPr>
        <w:footnoteReference w:id="506"/>
      </w:r>
      <w:r>
        <w:rPr>
          <w:rFonts w:hint="cs"/>
          <w:sz w:val="20"/>
          <w:szCs w:val="20"/>
          <w:rtl/>
        </w:rPr>
        <w:t>.</w:t>
      </w:r>
    </w:p>
    <w:p w:rsidR="00620060" w:rsidRPr="004622E9" w:rsidRDefault="00620060" w:rsidP="00620060">
      <w:pPr>
        <w:rPr>
          <w:sz w:val="20"/>
          <w:szCs w:val="20"/>
          <w:rtl/>
        </w:rPr>
      </w:pPr>
      <w:r>
        <w:rPr>
          <w:rFonts w:hint="cs"/>
          <w:sz w:val="20"/>
          <w:szCs w:val="20"/>
          <w:rtl/>
        </w:rPr>
        <w:t xml:space="preserve">ב. </w:t>
      </w:r>
      <w:r>
        <w:rPr>
          <w:rFonts w:hint="cs"/>
          <w:b/>
          <w:bCs/>
          <w:sz w:val="20"/>
          <w:szCs w:val="20"/>
          <w:rtl/>
        </w:rPr>
        <w:t xml:space="preserve">רמ"א </w:t>
      </w:r>
      <w:r>
        <w:rPr>
          <w:sz w:val="20"/>
          <w:szCs w:val="20"/>
          <w:rtl/>
        </w:rPr>
        <w:t>–</w:t>
      </w:r>
      <w:r>
        <w:rPr>
          <w:rFonts w:hint="cs"/>
          <w:sz w:val="20"/>
          <w:szCs w:val="20"/>
          <w:rtl/>
        </w:rPr>
        <w:t xml:space="preserve"> </w:t>
      </w:r>
      <w:r w:rsidRPr="004622E9">
        <w:rPr>
          <w:rFonts w:hint="cs"/>
          <w:sz w:val="18"/>
          <w:szCs w:val="18"/>
          <w:rtl/>
        </w:rPr>
        <w:t>"</w:t>
      </w:r>
      <w:r w:rsidRPr="004622E9">
        <w:rPr>
          <w:rFonts w:cs="Arial"/>
          <w:sz w:val="18"/>
          <w:szCs w:val="18"/>
          <w:rtl/>
        </w:rPr>
        <w:t>ובדיעבד אם בדקה עצמה סמוך לבין השמשות ומצאה עצמה טהורה, אף על פי שלא היתה המוך אצלה כל בין השמשות, סגי. אבל בדיקת שחרית לא מהני, הואיל ולא ראתה רק יום אחד</w:t>
      </w:r>
      <w:r w:rsidRPr="004622E9">
        <w:rPr>
          <w:rFonts w:cs="Arial" w:hint="cs"/>
          <w:sz w:val="18"/>
          <w:szCs w:val="18"/>
          <w:rtl/>
        </w:rPr>
        <w:t>".</w:t>
      </w:r>
      <w:r>
        <w:rPr>
          <w:rFonts w:hint="cs"/>
          <w:sz w:val="20"/>
          <w:szCs w:val="20"/>
          <w:rtl/>
        </w:rPr>
        <w:br/>
      </w:r>
      <w:r w:rsidRPr="008D53B0">
        <w:rPr>
          <w:rFonts w:hint="cs"/>
          <w:b/>
          <w:bCs/>
          <w:sz w:val="20"/>
          <w:szCs w:val="20"/>
          <w:rtl/>
        </w:rPr>
        <w:t>דגמ"ר</w:t>
      </w:r>
      <w:r>
        <w:rPr>
          <w:rFonts w:hint="cs"/>
          <w:sz w:val="20"/>
          <w:szCs w:val="20"/>
          <w:rtl/>
        </w:rPr>
        <w:t xml:space="preserve"> </w:t>
      </w:r>
      <w:r>
        <w:rPr>
          <w:sz w:val="20"/>
          <w:szCs w:val="20"/>
          <w:rtl/>
        </w:rPr>
        <w:t>–</w:t>
      </w:r>
      <w:r>
        <w:rPr>
          <w:rFonts w:hint="cs"/>
          <w:sz w:val="20"/>
          <w:szCs w:val="20"/>
          <w:rtl/>
        </w:rPr>
        <w:t xml:space="preserve"> לאו דווקא בדיקה שחרית לא מהני ביום הראשון, הוא הדין לכל בדיקה הנעשית קודם מנחה קטנה.</w:t>
      </w:r>
    </w:p>
    <w:p w:rsidR="00620060" w:rsidRDefault="00620060" w:rsidP="00620060">
      <w:pPr>
        <w:rPr>
          <w:sz w:val="20"/>
          <w:szCs w:val="20"/>
          <w:rtl/>
        </w:rPr>
      </w:pPr>
      <w:r>
        <w:rPr>
          <w:rFonts w:hint="cs"/>
          <w:sz w:val="20"/>
          <w:szCs w:val="20"/>
          <w:u w:val="single"/>
          <w:rtl/>
        </w:rPr>
        <w:t>הסבר</w:t>
      </w:r>
      <w:r>
        <w:rPr>
          <w:sz w:val="20"/>
          <w:szCs w:val="20"/>
          <w:u w:val="single"/>
          <w:rtl/>
        </w:rPr>
        <w:br/>
      </w:r>
      <w:r w:rsidRPr="00101F7E">
        <w:rPr>
          <w:rFonts w:hint="cs"/>
          <w:b/>
          <w:bCs/>
          <w:sz w:val="20"/>
          <w:szCs w:val="20"/>
          <w:rtl/>
        </w:rPr>
        <w:t>סדרי טהרה</w:t>
      </w:r>
      <w:r>
        <w:rPr>
          <w:rFonts w:hint="cs"/>
          <w:sz w:val="20"/>
          <w:szCs w:val="20"/>
          <w:rtl/>
        </w:rPr>
        <w:t xml:space="preserve"> </w:t>
      </w:r>
      <w:r>
        <w:rPr>
          <w:sz w:val="20"/>
          <w:szCs w:val="20"/>
          <w:rtl/>
        </w:rPr>
        <w:t>–</w:t>
      </w:r>
      <w:r>
        <w:rPr>
          <w:rFonts w:hint="cs"/>
          <w:sz w:val="20"/>
          <w:szCs w:val="20"/>
          <w:rtl/>
        </w:rPr>
        <w:t xml:space="preserve"> דברי </w:t>
      </w:r>
      <w:r w:rsidRPr="00693A98">
        <w:rPr>
          <w:rFonts w:hint="cs"/>
          <w:b/>
          <w:bCs/>
          <w:sz w:val="20"/>
          <w:szCs w:val="20"/>
          <w:rtl/>
        </w:rPr>
        <w:t>הרמ"א</w:t>
      </w:r>
      <w:r>
        <w:rPr>
          <w:rFonts w:hint="cs"/>
          <w:sz w:val="20"/>
          <w:szCs w:val="20"/>
          <w:rtl/>
        </w:rPr>
        <w:t xml:space="preserve"> כאן אינם ברורים, כאיזו שיטת ראשונים פסק?</w:t>
      </w:r>
      <w:r>
        <w:rPr>
          <w:sz w:val="20"/>
          <w:szCs w:val="20"/>
          <w:rtl/>
        </w:rPr>
        <w:br/>
      </w:r>
      <w:r>
        <w:rPr>
          <w:rFonts w:hint="cs"/>
          <w:sz w:val="20"/>
          <w:szCs w:val="20"/>
          <w:rtl/>
        </w:rPr>
        <w:t xml:space="preserve">כלומר - </w:t>
      </w:r>
      <w:r>
        <w:rPr>
          <w:sz w:val="20"/>
          <w:szCs w:val="20"/>
          <w:rtl/>
        </w:rPr>
        <w:br/>
      </w:r>
      <w:r>
        <w:rPr>
          <w:rFonts w:hint="cs"/>
          <w:sz w:val="20"/>
          <w:szCs w:val="20"/>
          <w:rtl/>
        </w:rPr>
        <w:t xml:space="preserve">מחד, </w:t>
      </w:r>
      <w:r w:rsidRPr="00693A98">
        <w:rPr>
          <w:rFonts w:hint="cs"/>
          <w:b/>
          <w:bCs/>
          <w:sz w:val="20"/>
          <w:szCs w:val="20"/>
          <w:rtl/>
        </w:rPr>
        <w:t>הרמ"א</w:t>
      </w:r>
      <w:r>
        <w:rPr>
          <w:rFonts w:hint="cs"/>
          <w:sz w:val="20"/>
          <w:szCs w:val="20"/>
          <w:rtl/>
        </w:rPr>
        <w:t xml:space="preserve"> פוסק לא </w:t>
      </w:r>
      <w:r w:rsidRPr="00693A98">
        <w:rPr>
          <w:rFonts w:hint="cs"/>
          <w:b/>
          <w:bCs/>
          <w:sz w:val="20"/>
          <w:szCs w:val="20"/>
          <w:rtl/>
        </w:rPr>
        <w:t>כרשב"א</w:t>
      </w:r>
      <w:r>
        <w:rPr>
          <w:rFonts w:hint="cs"/>
          <w:sz w:val="20"/>
          <w:szCs w:val="20"/>
          <w:rtl/>
        </w:rPr>
        <w:t>, ולכן בדיקת יום א' שחרית אינה מועילה.</w:t>
      </w:r>
      <w:r>
        <w:rPr>
          <w:sz w:val="20"/>
          <w:szCs w:val="20"/>
          <w:rtl/>
        </w:rPr>
        <w:br/>
      </w:r>
      <w:r>
        <w:rPr>
          <w:rFonts w:hint="cs"/>
          <w:sz w:val="20"/>
          <w:szCs w:val="20"/>
          <w:rtl/>
        </w:rPr>
        <w:lastRenderedPageBreak/>
        <w:t xml:space="preserve">מאידך, אין שיטת ראשונים הסוברת שבדיקת ביה"ש יום א' מועילה בדיעבד ללא מוך דחוק! </w:t>
      </w:r>
      <w:r w:rsidRPr="00454A1B">
        <w:rPr>
          <w:rFonts w:hint="cs"/>
          <w:sz w:val="18"/>
          <w:szCs w:val="18"/>
          <w:rtl/>
        </w:rPr>
        <w:t>(</w:t>
      </w:r>
      <w:r w:rsidRPr="00454A1B">
        <w:rPr>
          <w:rFonts w:hint="cs"/>
          <w:b/>
          <w:bCs/>
          <w:sz w:val="18"/>
          <w:szCs w:val="18"/>
          <w:rtl/>
        </w:rPr>
        <w:t xml:space="preserve">הסדרי טהרה </w:t>
      </w:r>
      <w:r w:rsidRPr="00454A1B">
        <w:rPr>
          <w:rFonts w:hint="cs"/>
          <w:sz w:val="18"/>
          <w:szCs w:val="18"/>
          <w:rtl/>
        </w:rPr>
        <w:t xml:space="preserve">מבין שגם לפי הסבר </w:t>
      </w:r>
      <w:r w:rsidRPr="00454A1B">
        <w:rPr>
          <w:rFonts w:hint="cs"/>
          <w:b/>
          <w:bCs/>
          <w:sz w:val="18"/>
          <w:szCs w:val="18"/>
          <w:rtl/>
        </w:rPr>
        <w:t>הבית יוסף ברמב"ם</w:t>
      </w:r>
      <w:r w:rsidRPr="00454A1B">
        <w:rPr>
          <w:rFonts w:hint="cs"/>
          <w:sz w:val="18"/>
          <w:szCs w:val="18"/>
          <w:rtl/>
        </w:rPr>
        <w:t>, אין כוונתו להתיר בבדיקת ביה"ש גרידא אלא אם כן נעשית ע"י מוך דחוק).</w:t>
      </w:r>
      <w:r>
        <w:rPr>
          <w:rFonts w:hint="cs"/>
          <w:sz w:val="20"/>
          <w:szCs w:val="20"/>
          <w:rtl/>
        </w:rPr>
        <w:br/>
        <w:t xml:space="preserve">וצריך לומר </w:t>
      </w:r>
      <w:r w:rsidRPr="00BF6631">
        <w:rPr>
          <w:rFonts w:hint="cs"/>
          <w:b/>
          <w:bCs/>
          <w:sz w:val="20"/>
          <w:szCs w:val="20"/>
          <w:rtl/>
        </w:rPr>
        <w:t>שהרמ"א</w:t>
      </w:r>
      <w:r>
        <w:rPr>
          <w:rFonts w:hint="cs"/>
          <w:sz w:val="20"/>
          <w:szCs w:val="20"/>
          <w:rtl/>
        </w:rPr>
        <w:t xml:space="preserve"> פסק כך מסברת עצמו, כלומר שעשה פשרה בין דעת </w:t>
      </w:r>
      <w:r w:rsidRPr="00BF6631">
        <w:rPr>
          <w:rFonts w:hint="cs"/>
          <w:b/>
          <w:bCs/>
          <w:sz w:val="20"/>
          <w:szCs w:val="20"/>
          <w:rtl/>
        </w:rPr>
        <w:t>הרשב"א</w:t>
      </w:r>
      <w:r>
        <w:rPr>
          <w:rFonts w:hint="cs"/>
          <w:sz w:val="20"/>
          <w:szCs w:val="20"/>
          <w:rtl/>
        </w:rPr>
        <w:t xml:space="preserve"> הסובר שאפילו בדיקת שחרית מהני, לבין שיטת </w:t>
      </w:r>
      <w:r w:rsidRPr="00BF6631">
        <w:rPr>
          <w:rFonts w:hint="cs"/>
          <w:b/>
          <w:bCs/>
          <w:sz w:val="20"/>
          <w:szCs w:val="20"/>
          <w:rtl/>
        </w:rPr>
        <w:t>הרמב"ן</w:t>
      </w:r>
      <w:r>
        <w:rPr>
          <w:rFonts w:hint="cs"/>
          <w:sz w:val="20"/>
          <w:szCs w:val="20"/>
          <w:rtl/>
        </w:rPr>
        <w:t xml:space="preserve"> שבדיקת יום א' מהני רק ע"י מוך דחוק.</w:t>
      </w:r>
    </w:p>
    <w:p w:rsidR="00620060" w:rsidRDefault="00620060" w:rsidP="00620060">
      <w:pPr>
        <w:rPr>
          <w:sz w:val="20"/>
          <w:szCs w:val="20"/>
          <w:rtl/>
        </w:rPr>
      </w:pPr>
      <w:r>
        <w:rPr>
          <w:rFonts w:hint="cs"/>
          <w:sz w:val="20"/>
          <w:szCs w:val="20"/>
          <w:u w:val="single"/>
          <w:rtl/>
        </w:rPr>
        <w:t>מה הנפקא מינה בדין זה לדידן? (בדי השולחן ס"ק לו')</w:t>
      </w:r>
      <w:r>
        <w:rPr>
          <w:rFonts w:hint="cs"/>
          <w:sz w:val="20"/>
          <w:szCs w:val="20"/>
          <w:u w:val="single"/>
          <w:rtl/>
        </w:rPr>
        <w:br/>
      </w:r>
      <w:r>
        <w:rPr>
          <w:rFonts w:hint="cs"/>
          <w:sz w:val="20"/>
          <w:szCs w:val="20"/>
          <w:rtl/>
        </w:rPr>
        <w:t xml:space="preserve">מקשים האחרונים </w:t>
      </w:r>
      <w:r>
        <w:rPr>
          <w:sz w:val="20"/>
          <w:szCs w:val="20"/>
          <w:rtl/>
        </w:rPr>
        <w:t>–</w:t>
      </w:r>
      <w:r>
        <w:rPr>
          <w:rFonts w:hint="cs"/>
          <w:sz w:val="20"/>
          <w:szCs w:val="20"/>
          <w:rtl/>
        </w:rPr>
        <w:t xml:space="preserve"> לכאורה אין נפק"מ לדידן בדין זה, שהרי אנחנו נוהגים לעשות הפסק טהרה רק ארבעה או חמישה ימים לאחר הראייה, ואם כן איך יצויר מקרה שבו תעשה הפסק טהרה ביום הראשון לראייתה?</w:t>
      </w:r>
      <w:r>
        <w:rPr>
          <w:rFonts w:hint="cs"/>
          <w:sz w:val="20"/>
          <w:szCs w:val="20"/>
          <w:rtl/>
        </w:rPr>
        <w:br/>
        <w:t xml:space="preserve">א. </w:t>
      </w:r>
      <w:r w:rsidRPr="00BF3529">
        <w:rPr>
          <w:rFonts w:hint="cs"/>
          <w:b/>
          <w:bCs/>
          <w:sz w:val="20"/>
          <w:szCs w:val="20"/>
          <w:rtl/>
        </w:rPr>
        <w:t>ש"ך</w:t>
      </w:r>
      <w:r>
        <w:rPr>
          <w:rFonts w:hint="cs"/>
          <w:sz w:val="20"/>
          <w:szCs w:val="20"/>
          <w:rtl/>
        </w:rPr>
        <w:t xml:space="preserve"> </w:t>
      </w:r>
      <w:r w:rsidRPr="00BF3529">
        <w:rPr>
          <w:rFonts w:hint="cs"/>
          <w:sz w:val="18"/>
          <w:szCs w:val="18"/>
          <w:rtl/>
        </w:rPr>
        <w:t xml:space="preserve">(בשם </w:t>
      </w:r>
      <w:r w:rsidRPr="00BF3529">
        <w:rPr>
          <w:rFonts w:hint="cs"/>
          <w:b/>
          <w:bCs/>
          <w:sz w:val="18"/>
          <w:szCs w:val="18"/>
          <w:rtl/>
        </w:rPr>
        <w:t>המעדני מלך</w:t>
      </w:r>
      <w:r w:rsidRPr="00BF3529">
        <w:rPr>
          <w:rFonts w:hint="cs"/>
          <w:sz w:val="18"/>
          <w:szCs w:val="18"/>
          <w:rtl/>
        </w:rPr>
        <w:t xml:space="preserve">) </w:t>
      </w:r>
      <w:r>
        <w:rPr>
          <w:sz w:val="20"/>
          <w:szCs w:val="20"/>
          <w:rtl/>
        </w:rPr>
        <w:t>–</w:t>
      </w:r>
      <w:r>
        <w:rPr>
          <w:rFonts w:hint="cs"/>
          <w:sz w:val="20"/>
          <w:szCs w:val="20"/>
          <w:rtl/>
        </w:rPr>
        <w:t xml:space="preserve"> במקרה שסתרה ז' נקיים מחמת ראייה, מהני הפסק טהרה אף באותו היום, יבואר לקמן בסעיף יא'. </w:t>
      </w:r>
      <w:r>
        <w:rPr>
          <w:rFonts w:hint="cs"/>
          <w:sz w:val="20"/>
          <w:szCs w:val="20"/>
          <w:rtl/>
        </w:rPr>
        <w:br/>
        <w:t xml:space="preserve">ב. </w:t>
      </w:r>
      <w:r w:rsidRPr="00A815E5">
        <w:rPr>
          <w:rFonts w:hint="cs"/>
          <w:b/>
          <w:bCs/>
          <w:sz w:val="20"/>
          <w:szCs w:val="20"/>
          <w:rtl/>
        </w:rPr>
        <w:t>תורת השלמים</w:t>
      </w:r>
      <w:r>
        <w:rPr>
          <w:rFonts w:hint="cs"/>
          <w:sz w:val="20"/>
          <w:szCs w:val="20"/>
          <w:rtl/>
        </w:rPr>
        <w:t xml:space="preserve"> </w:t>
      </w:r>
      <w:r>
        <w:rPr>
          <w:sz w:val="20"/>
          <w:szCs w:val="20"/>
          <w:rtl/>
        </w:rPr>
        <w:t>–</w:t>
      </w:r>
      <w:r>
        <w:rPr>
          <w:rFonts w:hint="cs"/>
          <w:sz w:val="20"/>
          <w:szCs w:val="20"/>
          <w:rtl/>
        </w:rPr>
        <w:t xml:space="preserve"> נפקא מינה לכלה שמותר לה לעשות הפסק ביום הראשון לראייתה</w:t>
      </w:r>
      <w:r>
        <w:rPr>
          <w:rStyle w:val="a5"/>
          <w:sz w:val="20"/>
          <w:szCs w:val="20"/>
          <w:rtl/>
        </w:rPr>
        <w:footnoteReference w:id="507"/>
      </w:r>
      <w:r>
        <w:rPr>
          <w:rFonts w:hint="cs"/>
          <w:sz w:val="20"/>
          <w:szCs w:val="20"/>
          <w:rtl/>
        </w:rPr>
        <w:t>.</w:t>
      </w:r>
      <w:r>
        <w:rPr>
          <w:rFonts w:hint="cs"/>
          <w:sz w:val="20"/>
          <w:szCs w:val="20"/>
          <w:rtl/>
        </w:rPr>
        <w:br/>
        <w:t xml:space="preserve">ג. </w:t>
      </w:r>
      <w:r w:rsidRPr="00A815E5">
        <w:rPr>
          <w:rFonts w:hint="cs"/>
          <w:b/>
          <w:bCs/>
          <w:sz w:val="20"/>
          <w:szCs w:val="20"/>
          <w:rtl/>
        </w:rPr>
        <w:t>תפארת צבי וחזו"א</w:t>
      </w:r>
      <w:r>
        <w:rPr>
          <w:rFonts w:hint="cs"/>
          <w:sz w:val="20"/>
          <w:szCs w:val="20"/>
          <w:rtl/>
        </w:rPr>
        <w:t xml:space="preserve"> </w:t>
      </w:r>
      <w:r>
        <w:rPr>
          <w:sz w:val="20"/>
          <w:szCs w:val="20"/>
          <w:rtl/>
        </w:rPr>
        <w:t>–</w:t>
      </w:r>
      <w:r>
        <w:rPr>
          <w:rFonts w:hint="cs"/>
          <w:sz w:val="20"/>
          <w:szCs w:val="20"/>
          <w:rtl/>
        </w:rPr>
        <w:t xml:space="preserve"> נפקא מינה לאשה שמאיזו סיבה הוצרכה לעשות הפסק ביום הראשון לראייתה שרשאית לעשות כן, אע"פ שז' הנקיים שלה מתחילים רק לאחר חמישה ימים.</w:t>
      </w:r>
      <w:r>
        <w:rPr>
          <w:rFonts w:hint="cs"/>
          <w:sz w:val="20"/>
          <w:szCs w:val="20"/>
          <w:rtl/>
        </w:rPr>
        <w:br/>
        <w:t xml:space="preserve">ד. </w:t>
      </w:r>
      <w:r w:rsidRPr="001162BA">
        <w:rPr>
          <w:rFonts w:hint="cs"/>
          <w:b/>
          <w:bCs/>
          <w:sz w:val="20"/>
          <w:szCs w:val="20"/>
          <w:rtl/>
        </w:rPr>
        <w:t>טהרת הבית</w:t>
      </w:r>
      <w:r>
        <w:rPr>
          <w:rFonts w:hint="cs"/>
          <w:sz w:val="20"/>
          <w:szCs w:val="20"/>
          <w:rtl/>
        </w:rPr>
        <w:t xml:space="preserve"> </w:t>
      </w:r>
      <w:r>
        <w:rPr>
          <w:sz w:val="20"/>
          <w:szCs w:val="20"/>
          <w:rtl/>
        </w:rPr>
        <w:t>–</w:t>
      </w:r>
      <w:r>
        <w:rPr>
          <w:rFonts w:hint="cs"/>
          <w:sz w:val="20"/>
          <w:szCs w:val="20"/>
          <w:rtl/>
        </w:rPr>
        <w:t xml:space="preserve"> לדעת הבית יוסף, הסובר שאם לא שימשה יכולה לעשות הפסק מייד כשפוסקת לראות, יש לפרש את דבריו כאן בצורה פשוטה. דהיינו שאם ראתה רק יום אחד ולא שימשה בשלושת הימים שלפני, יכולה לעשות הפסק באותו יום.</w:t>
      </w:r>
      <w:r>
        <w:rPr>
          <w:rFonts w:hint="cs"/>
          <w:sz w:val="20"/>
          <w:szCs w:val="20"/>
          <w:rtl/>
        </w:rPr>
        <w:br/>
        <w:t xml:space="preserve">ואמנם </w:t>
      </w:r>
      <w:r>
        <w:rPr>
          <w:sz w:val="20"/>
          <w:szCs w:val="20"/>
          <w:rtl/>
        </w:rPr>
        <w:t>–</w:t>
      </w:r>
      <w:r>
        <w:rPr>
          <w:rFonts w:hint="cs"/>
          <w:sz w:val="20"/>
          <w:szCs w:val="20"/>
          <w:rtl/>
        </w:rPr>
        <w:t xml:space="preserve"> בכל אלו המקרים שעשתה הפסק ביום הראשון, מוך דחוק הוא לעיקר הדין. בדיעבד, לדעת הרמ"א מהני אפילו בדיקה רגילה בביה"ש.</w:t>
      </w:r>
    </w:p>
    <w:p w:rsidR="00620060" w:rsidRDefault="00620060" w:rsidP="00620060">
      <w:pPr>
        <w:rPr>
          <w:sz w:val="20"/>
          <w:szCs w:val="20"/>
          <w:rtl/>
        </w:rPr>
      </w:pPr>
      <w:r>
        <w:rPr>
          <w:rFonts w:hint="cs"/>
          <w:sz w:val="20"/>
          <w:szCs w:val="20"/>
          <w:u w:val="single"/>
          <w:rtl/>
        </w:rPr>
        <w:t>אימתי מהני בדיקת שחרית ביום הראשון?</w:t>
      </w:r>
      <w:r>
        <w:rPr>
          <w:rFonts w:hint="cs"/>
          <w:sz w:val="20"/>
          <w:szCs w:val="20"/>
          <w:u w:val="single"/>
          <w:rtl/>
        </w:rPr>
        <w:br/>
      </w:r>
      <w:r w:rsidRPr="00A815E5">
        <w:rPr>
          <w:rFonts w:hint="cs"/>
          <w:b/>
          <w:bCs/>
          <w:sz w:val="20"/>
          <w:szCs w:val="20"/>
          <w:rtl/>
        </w:rPr>
        <w:t>ש"ך</w:t>
      </w:r>
      <w:r>
        <w:rPr>
          <w:rFonts w:hint="cs"/>
          <w:sz w:val="20"/>
          <w:szCs w:val="20"/>
          <w:rtl/>
        </w:rPr>
        <w:t xml:space="preserve"> - אם סתרה ז' נקיים מחמת </w:t>
      </w:r>
      <w:r w:rsidRPr="00CE222B">
        <w:rPr>
          <w:rFonts w:hint="cs"/>
          <w:sz w:val="20"/>
          <w:szCs w:val="20"/>
          <w:u w:val="single"/>
          <w:rtl/>
        </w:rPr>
        <w:t>כתם</w:t>
      </w:r>
      <w:r>
        <w:rPr>
          <w:rFonts w:hint="cs"/>
          <w:sz w:val="20"/>
          <w:szCs w:val="20"/>
          <w:rtl/>
        </w:rPr>
        <w:t xml:space="preserve"> בלבד, מהני אפילו בדיקת שחרית ביום הראשון. </w:t>
      </w:r>
      <w:r>
        <w:rPr>
          <w:sz w:val="20"/>
          <w:szCs w:val="20"/>
          <w:rtl/>
        </w:rPr>
        <w:br/>
      </w:r>
      <w:r w:rsidRPr="002408DF">
        <w:rPr>
          <w:rFonts w:hint="cs"/>
          <w:b/>
          <w:bCs/>
          <w:sz w:val="20"/>
          <w:szCs w:val="20"/>
          <w:rtl/>
        </w:rPr>
        <w:t>טה"ב</w:t>
      </w:r>
      <w:r>
        <w:rPr>
          <w:rFonts w:hint="cs"/>
          <w:sz w:val="20"/>
          <w:szCs w:val="20"/>
          <w:rtl/>
        </w:rPr>
        <w:t xml:space="preserve"> </w:t>
      </w:r>
      <w:r w:rsidRPr="00076A18">
        <w:rPr>
          <w:rFonts w:hint="cs"/>
          <w:sz w:val="18"/>
          <w:szCs w:val="18"/>
          <w:rtl/>
        </w:rPr>
        <w:t xml:space="preserve">(עמ' דש) </w:t>
      </w:r>
      <w:r>
        <w:rPr>
          <w:sz w:val="20"/>
          <w:szCs w:val="20"/>
          <w:rtl/>
        </w:rPr>
        <w:t>–</w:t>
      </w:r>
      <w:r>
        <w:rPr>
          <w:rFonts w:hint="cs"/>
          <w:sz w:val="20"/>
          <w:szCs w:val="20"/>
          <w:rtl/>
        </w:rPr>
        <w:t xml:space="preserve"> אפילו אם מצאה דם בבדיקת עד, יש להקל ולדון זאת ככתם לעניין זה שאם עשתה הפסק טהרה בשחרית מהני.</w:t>
      </w:r>
    </w:p>
    <w:p w:rsidR="00620060" w:rsidRPr="00360A9C" w:rsidRDefault="00620060" w:rsidP="00620060">
      <w:pPr>
        <w:rPr>
          <w:sz w:val="20"/>
          <w:szCs w:val="20"/>
          <w:rtl/>
        </w:rPr>
      </w:pPr>
      <w:r w:rsidRPr="0040617E">
        <w:rPr>
          <w:rFonts w:hint="cs"/>
          <w:b/>
          <w:bCs/>
          <w:sz w:val="20"/>
          <w:szCs w:val="20"/>
          <w:rtl/>
        </w:rPr>
        <w:t>סיכום</w:t>
      </w:r>
      <w:r>
        <w:rPr>
          <w:sz w:val="20"/>
          <w:szCs w:val="20"/>
          <w:rtl/>
        </w:rPr>
        <w:br/>
      </w:r>
      <w:r>
        <w:rPr>
          <w:rFonts w:hint="cs"/>
          <w:sz w:val="20"/>
          <w:szCs w:val="20"/>
          <w:rtl/>
        </w:rPr>
        <w:t xml:space="preserve">1. </w:t>
      </w:r>
      <w:r w:rsidRPr="0040617E">
        <w:rPr>
          <w:rFonts w:hint="cs"/>
          <w:b/>
          <w:bCs/>
          <w:sz w:val="20"/>
          <w:szCs w:val="20"/>
          <w:rtl/>
        </w:rPr>
        <w:t>מחבר</w:t>
      </w:r>
      <w:r>
        <w:rPr>
          <w:rFonts w:hint="cs"/>
          <w:sz w:val="20"/>
          <w:szCs w:val="20"/>
          <w:rtl/>
        </w:rPr>
        <w:t xml:space="preserve">. הפס"ט ביום א' לראייתה נעשה בביה"ש בלבד ע"י מוך דחוק. </w:t>
      </w:r>
      <w:r>
        <w:rPr>
          <w:sz w:val="20"/>
          <w:szCs w:val="20"/>
          <w:rtl/>
        </w:rPr>
        <w:br/>
      </w:r>
      <w:r>
        <w:rPr>
          <w:rFonts w:hint="cs"/>
          <w:sz w:val="20"/>
          <w:szCs w:val="20"/>
          <w:rtl/>
        </w:rPr>
        <w:t xml:space="preserve">2. </w:t>
      </w:r>
      <w:r w:rsidRPr="0040617E">
        <w:rPr>
          <w:rFonts w:hint="cs"/>
          <w:b/>
          <w:bCs/>
          <w:sz w:val="20"/>
          <w:szCs w:val="20"/>
          <w:rtl/>
        </w:rPr>
        <w:t>הסבר</w:t>
      </w:r>
      <w:r>
        <w:rPr>
          <w:rFonts w:hint="cs"/>
          <w:sz w:val="20"/>
          <w:szCs w:val="20"/>
          <w:rtl/>
        </w:rPr>
        <w:t xml:space="preserve">. הלכה כחכמים דמתניתין, הפס"ט של יום ב' שחרית או ביה"ש יום א', מהני. </w:t>
      </w:r>
      <w:r>
        <w:rPr>
          <w:rFonts w:hint="cs"/>
          <w:sz w:val="20"/>
          <w:szCs w:val="20"/>
          <w:rtl/>
        </w:rPr>
        <w:br/>
        <w:t xml:space="preserve">3. </w:t>
      </w:r>
      <w:r w:rsidRPr="0040617E">
        <w:rPr>
          <w:rFonts w:hint="cs"/>
          <w:b/>
          <w:bCs/>
          <w:sz w:val="20"/>
          <w:szCs w:val="20"/>
          <w:rtl/>
        </w:rPr>
        <w:t>רמ"א</w:t>
      </w:r>
      <w:r>
        <w:rPr>
          <w:rFonts w:hint="cs"/>
          <w:sz w:val="20"/>
          <w:szCs w:val="20"/>
          <w:rtl/>
        </w:rPr>
        <w:t>. הפס"ט ביום א' שחרית</w:t>
      </w:r>
      <w:r>
        <w:rPr>
          <w:rFonts w:hint="cs"/>
          <w:sz w:val="18"/>
          <w:szCs w:val="18"/>
          <w:rtl/>
        </w:rPr>
        <w:t xml:space="preserve"> </w:t>
      </w:r>
      <w:r w:rsidRPr="0086325D">
        <w:rPr>
          <w:rFonts w:hint="cs"/>
          <w:sz w:val="20"/>
          <w:szCs w:val="20"/>
          <w:rtl/>
        </w:rPr>
        <w:t>/</w:t>
      </w:r>
      <w:r>
        <w:rPr>
          <w:rFonts w:hint="cs"/>
          <w:sz w:val="20"/>
          <w:szCs w:val="20"/>
          <w:rtl/>
        </w:rPr>
        <w:t xml:space="preserve"> </w:t>
      </w:r>
      <w:r w:rsidRPr="0086325D">
        <w:rPr>
          <w:rFonts w:hint="cs"/>
          <w:sz w:val="20"/>
          <w:szCs w:val="20"/>
          <w:rtl/>
        </w:rPr>
        <w:t xml:space="preserve">קודם מנחה קטנה </w:t>
      </w:r>
      <w:r>
        <w:rPr>
          <w:rFonts w:hint="cs"/>
          <w:sz w:val="20"/>
          <w:szCs w:val="20"/>
          <w:rtl/>
        </w:rPr>
        <w:t>אינו מהני. ביה"ש. מהני בדיעבד ללא מוך דחוק.</w:t>
      </w:r>
      <w:r>
        <w:rPr>
          <w:sz w:val="20"/>
          <w:szCs w:val="20"/>
          <w:rtl/>
        </w:rPr>
        <w:br/>
      </w:r>
      <w:r>
        <w:rPr>
          <w:rFonts w:hint="cs"/>
          <w:sz w:val="20"/>
          <w:szCs w:val="20"/>
          <w:rtl/>
        </w:rPr>
        <w:t xml:space="preserve">4. </w:t>
      </w:r>
      <w:r w:rsidRPr="0040617E">
        <w:rPr>
          <w:rFonts w:hint="cs"/>
          <w:b/>
          <w:bCs/>
          <w:sz w:val="20"/>
          <w:szCs w:val="20"/>
          <w:rtl/>
        </w:rPr>
        <w:t>סד"ט</w:t>
      </w:r>
      <w:r>
        <w:rPr>
          <w:rFonts w:hint="cs"/>
          <w:sz w:val="20"/>
          <w:szCs w:val="20"/>
          <w:rtl/>
        </w:rPr>
        <w:t>. קשה, כאיזו שיטה פסק הרמ"א? וצ"ל שעשה פשרה בין הרשב"א לרמב"ן.</w:t>
      </w:r>
      <w:r>
        <w:rPr>
          <w:sz w:val="20"/>
          <w:szCs w:val="20"/>
          <w:rtl/>
        </w:rPr>
        <w:br/>
      </w:r>
      <w:r>
        <w:rPr>
          <w:rFonts w:hint="cs"/>
          <w:sz w:val="20"/>
          <w:szCs w:val="20"/>
          <w:rtl/>
        </w:rPr>
        <w:t xml:space="preserve">5. נפק"מ לדידן בדברי הרמ"א. </w:t>
      </w:r>
      <w:r w:rsidRPr="00B61F74">
        <w:rPr>
          <w:rFonts w:hint="cs"/>
          <w:b/>
          <w:bCs/>
          <w:sz w:val="20"/>
          <w:szCs w:val="20"/>
          <w:rtl/>
        </w:rPr>
        <w:t>ש"ך</w:t>
      </w:r>
      <w:r>
        <w:rPr>
          <w:rFonts w:hint="cs"/>
          <w:sz w:val="20"/>
          <w:szCs w:val="20"/>
          <w:rtl/>
        </w:rPr>
        <w:t xml:space="preserve">. אם סתרה ז"נ מחמת ראייה, מהני הפסק ביום א'. </w:t>
      </w:r>
      <w:r w:rsidRPr="00B61F74">
        <w:rPr>
          <w:rFonts w:hint="cs"/>
          <w:b/>
          <w:bCs/>
          <w:sz w:val="20"/>
          <w:szCs w:val="20"/>
          <w:rtl/>
        </w:rPr>
        <w:t>תוה"ש</w:t>
      </w:r>
      <w:r>
        <w:rPr>
          <w:rFonts w:hint="cs"/>
          <w:sz w:val="20"/>
          <w:szCs w:val="20"/>
          <w:rtl/>
        </w:rPr>
        <w:t xml:space="preserve">. בכלה מהני הפסק ביום א'. </w:t>
      </w:r>
      <w:r w:rsidRPr="00B61F74">
        <w:rPr>
          <w:rFonts w:hint="cs"/>
          <w:b/>
          <w:bCs/>
          <w:sz w:val="20"/>
          <w:szCs w:val="20"/>
          <w:rtl/>
        </w:rPr>
        <w:t>תפא"צ וחזו"א</w:t>
      </w:r>
      <w:r>
        <w:rPr>
          <w:rFonts w:hint="cs"/>
          <w:sz w:val="20"/>
          <w:szCs w:val="20"/>
          <w:rtl/>
        </w:rPr>
        <w:t xml:space="preserve">. נפק"מ אם מרחיקה הפס"ט מז' נקיים. </w:t>
      </w:r>
      <w:r w:rsidRPr="00B61F74">
        <w:rPr>
          <w:rFonts w:hint="cs"/>
          <w:b/>
          <w:bCs/>
          <w:sz w:val="20"/>
          <w:szCs w:val="20"/>
          <w:rtl/>
        </w:rPr>
        <w:t>טה"ב</w:t>
      </w:r>
      <w:r>
        <w:rPr>
          <w:rFonts w:hint="cs"/>
          <w:sz w:val="20"/>
          <w:szCs w:val="20"/>
          <w:rtl/>
        </w:rPr>
        <w:t>. לב"י אתי שפיר, אם לא שימשה יכולה לעשות הפסק ביום א'. ובכל אלו הנפק"מ, מוך דחוק הוא לעיקר הדין ואינו חומרה בלבד.</w:t>
      </w:r>
      <w:r>
        <w:rPr>
          <w:sz w:val="20"/>
          <w:szCs w:val="20"/>
          <w:rtl/>
        </w:rPr>
        <w:br/>
      </w:r>
      <w:r>
        <w:rPr>
          <w:rFonts w:hint="cs"/>
          <w:sz w:val="20"/>
          <w:szCs w:val="20"/>
          <w:rtl/>
        </w:rPr>
        <w:t xml:space="preserve">6. </w:t>
      </w:r>
      <w:r w:rsidRPr="0086325D">
        <w:rPr>
          <w:rFonts w:hint="cs"/>
          <w:b/>
          <w:bCs/>
          <w:sz w:val="20"/>
          <w:szCs w:val="20"/>
          <w:rtl/>
        </w:rPr>
        <w:t>ש"ך</w:t>
      </w:r>
      <w:r>
        <w:rPr>
          <w:rFonts w:hint="cs"/>
          <w:sz w:val="20"/>
          <w:szCs w:val="20"/>
          <w:rtl/>
        </w:rPr>
        <w:t xml:space="preserve">. אם סתרה ז"נ מחמת כתם, מהני אפילו בדיקת יום א' שחרית. </w:t>
      </w:r>
      <w:r w:rsidRPr="0086325D">
        <w:rPr>
          <w:rFonts w:hint="cs"/>
          <w:b/>
          <w:bCs/>
          <w:sz w:val="20"/>
          <w:szCs w:val="20"/>
          <w:rtl/>
        </w:rPr>
        <w:t>טה"ב</w:t>
      </w:r>
      <w:r>
        <w:rPr>
          <w:rFonts w:hint="cs"/>
          <w:sz w:val="20"/>
          <w:szCs w:val="20"/>
          <w:rtl/>
        </w:rPr>
        <w:t>. ה"ה אם מצאה דם בעד בדיקה.</w:t>
      </w:r>
      <w:r>
        <w:rPr>
          <w:sz w:val="20"/>
          <w:szCs w:val="20"/>
          <w:rtl/>
        </w:rPr>
        <w:br/>
      </w:r>
      <w:r w:rsidRPr="00B61F74">
        <w:rPr>
          <w:rFonts w:hint="cs"/>
          <w:sz w:val="18"/>
          <w:szCs w:val="18"/>
          <w:rtl/>
        </w:rPr>
        <w:t xml:space="preserve">[סיכום. ב' מחלוקות מחבר ורמ"א. </w:t>
      </w:r>
      <w:r w:rsidRPr="00B61F74">
        <w:rPr>
          <w:rFonts w:hint="cs"/>
          <w:b/>
          <w:bCs/>
          <w:sz w:val="18"/>
          <w:szCs w:val="18"/>
          <w:rtl/>
        </w:rPr>
        <w:t>מחבר</w:t>
      </w:r>
      <w:r w:rsidRPr="00B61F74">
        <w:rPr>
          <w:rFonts w:hint="cs"/>
          <w:sz w:val="18"/>
          <w:szCs w:val="18"/>
          <w:rtl/>
        </w:rPr>
        <w:t xml:space="preserve">. בין ביום א' ובין בשאר הימים הפס"ט ביה"ש ובמוך דחוק. </w:t>
      </w:r>
      <w:r w:rsidRPr="00B61F74">
        <w:rPr>
          <w:rFonts w:hint="cs"/>
          <w:b/>
          <w:bCs/>
          <w:sz w:val="18"/>
          <w:szCs w:val="18"/>
          <w:rtl/>
        </w:rPr>
        <w:t>רמ"א</w:t>
      </w:r>
      <w:r w:rsidRPr="00B61F74">
        <w:rPr>
          <w:rFonts w:hint="cs"/>
          <w:sz w:val="18"/>
          <w:szCs w:val="18"/>
          <w:rtl/>
        </w:rPr>
        <w:t xml:space="preserve">. בשאר הימים מהני בדיקת </w:t>
      </w:r>
      <w:r w:rsidRPr="003714EE">
        <w:rPr>
          <w:rFonts w:hint="cs"/>
          <w:sz w:val="18"/>
          <w:szCs w:val="18"/>
          <w:u w:val="single"/>
          <w:rtl/>
        </w:rPr>
        <w:t>שחרית</w:t>
      </w:r>
      <w:r>
        <w:rPr>
          <w:rFonts w:hint="cs"/>
          <w:sz w:val="18"/>
          <w:szCs w:val="18"/>
          <w:rtl/>
        </w:rPr>
        <w:t xml:space="preserve"> ללא מוך דחוק</w:t>
      </w:r>
      <w:r w:rsidRPr="00B61F74">
        <w:rPr>
          <w:rFonts w:hint="cs"/>
          <w:sz w:val="18"/>
          <w:szCs w:val="18"/>
          <w:rtl/>
        </w:rPr>
        <w:t xml:space="preserve">, ביום א' מהני בדיקה </w:t>
      </w:r>
      <w:r w:rsidRPr="003714EE">
        <w:rPr>
          <w:rFonts w:hint="cs"/>
          <w:sz w:val="18"/>
          <w:szCs w:val="18"/>
          <w:u w:val="single"/>
          <w:rtl/>
        </w:rPr>
        <w:t>ביה"ש</w:t>
      </w:r>
      <w:r>
        <w:rPr>
          <w:rFonts w:hint="cs"/>
          <w:sz w:val="18"/>
          <w:szCs w:val="18"/>
          <w:rtl/>
        </w:rPr>
        <w:t xml:space="preserve"> </w:t>
      </w:r>
      <w:r w:rsidRPr="00B61F74">
        <w:rPr>
          <w:rFonts w:hint="cs"/>
          <w:sz w:val="18"/>
          <w:szCs w:val="18"/>
          <w:rtl/>
        </w:rPr>
        <w:t>ללא מוך דחוק.]</w:t>
      </w:r>
      <w:r>
        <w:rPr>
          <w:sz w:val="20"/>
          <w:szCs w:val="20"/>
          <w:rtl/>
        </w:rPr>
        <w:br/>
      </w:r>
      <w:r>
        <w:rPr>
          <w:b/>
          <w:bCs/>
          <w:sz w:val="20"/>
          <w:szCs w:val="20"/>
          <w:rtl/>
        </w:rPr>
        <w:br/>
      </w:r>
      <w:r>
        <w:rPr>
          <w:rFonts w:hint="cs"/>
          <w:b/>
          <w:bCs/>
          <w:sz w:val="20"/>
          <w:szCs w:val="20"/>
          <w:rtl/>
        </w:rPr>
        <w:t>הוספה</w:t>
      </w:r>
      <w:r>
        <w:rPr>
          <w:sz w:val="20"/>
          <w:szCs w:val="20"/>
          <w:u w:val="single"/>
          <w:rtl/>
        </w:rPr>
        <w:br/>
      </w:r>
      <w:r>
        <w:rPr>
          <w:rFonts w:hint="cs"/>
          <w:sz w:val="20"/>
          <w:szCs w:val="20"/>
          <w:u w:val="single"/>
          <w:rtl/>
        </w:rPr>
        <w:t xml:space="preserve">הרחקת הפסק טהרה מספירת ז' נקיים (טה"ב עמ' רצ </w:t>
      </w:r>
      <w:r>
        <w:rPr>
          <w:sz w:val="20"/>
          <w:szCs w:val="20"/>
          <w:u w:val="single"/>
          <w:rtl/>
        </w:rPr>
        <w:t>–</w:t>
      </w:r>
      <w:r>
        <w:rPr>
          <w:rFonts w:hint="cs"/>
          <w:sz w:val="20"/>
          <w:szCs w:val="20"/>
          <w:u w:val="single"/>
          <w:rtl/>
        </w:rPr>
        <w:t xml:space="preserve"> רצט)</w:t>
      </w:r>
      <w:r>
        <w:rPr>
          <w:sz w:val="20"/>
          <w:szCs w:val="20"/>
          <w:u w:val="single"/>
          <w:rtl/>
        </w:rPr>
        <w:br/>
      </w:r>
      <w:r>
        <w:rPr>
          <w:rFonts w:hint="cs"/>
          <w:sz w:val="20"/>
          <w:szCs w:val="20"/>
          <w:rtl/>
        </w:rPr>
        <w:t>האם מותר לעשות הפסק טהרה ורק לאחר כמה ימים למנות את השבעה נקיים?</w:t>
      </w:r>
      <w:r>
        <w:rPr>
          <w:rFonts w:hint="cs"/>
          <w:sz w:val="20"/>
          <w:szCs w:val="20"/>
          <w:rtl/>
        </w:rPr>
        <w:br/>
        <w:t xml:space="preserve">א. </w:t>
      </w:r>
      <w:r w:rsidRPr="00762D7D">
        <w:rPr>
          <w:rFonts w:hint="cs"/>
          <w:b/>
          <w:bCs/>
          <w:sz w:val="20"/>
          <w:szCs w:val="20"/>
          <w:rtl/>
        </w:rPr>
        <w:t>שיירי טהרה</w:t>
      </w:r>
      <w:r>
        <w:rPr>
          <w:rFonts w:hint="cs"/>
          <w:sz w:val="20"/>
          <w:szCs w:val="20"/>
          <w:rtl/>
        </w:rPr>
        <w:t xml:space="preserve"> </w:t>
      </w:r>
      <w:r>
        <w:rPr>
          <w:sz w:val="20"/>
          <w:szCs w:val="20"/>
          <w:rtl/>
        </w:rPr>
        <w:t>–</w:t>
      </w:r>
      <w:r>
        <w:rPr>
          <w:rFonts w:hint="cs"/>
          <w:sz w:val="20"/>
          <w:szCs w:val="20"/>
          <w:rtl/>
        </w:rPr>
        <w:t xml:space="preserve"> הפסק בתוך שלושה ימים הראשונים אינו מועיל לעיקר הדין, רק בדיעבד אם ספרה כבר ז' נקיים על דעת ההפסק יש להקל.</w:t>
      </w:r>
      <w:r>
        <w:rPr>
          <w:rFonts w:hint="cs"/>
          <w:sz w:val="20"/>
          <w:szCs w:val="20"/>
          <w:rtl/>
        </w:rPr>
        <w:br/>
      </w:r>
      <w:r w:rsidRPr="00762D7D">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בשלושת הימים הראשונים מעיינה פתוח לפלוט שכבת זרע, ויש לחוש שטיפת דם אבדה בתוך השכ"ז.</w:t>
      </w:r>
      <w:r>
        <w:rPr>
          <w:rFonts w:hint="cs"/>
          <w:sz w:val="20"/>
          <w:szCs w:val="20"/>
          <w:rtl/>
        </w:rPr>
        <w:br/>
        <w:t xml:space="preserve">ב. </w:t>
      </w:r>
      <w:r w:rsidRPr="00CA406C">
        <w:rPr>
          <w:rFonts w:hint="cs"/>
          <w:b/>
          <w:bCs/>
          <w:sz w:val="20"/>
          <w:szCs w:val="20"/>
          <w:rtl/>
        </w:rPr>
        <w:t>תפארת למשה וסדרי טהרה</w:t>
      </w:r>
      <w:r>
        <w:rPr>
          <w:rFonts w:hint="cs"/>
          <w:sz w:val="20"/>
          <w:szCs w:val="20"/>
          <w:rtl/>
        </w:rPr>
        <w:t xml:space="preserve"> </w:t>
      </w:r>
      <w:r>
        <w:rPr>
          <w:sz w:val="20"/>
          <w:szCs w:val="20"/>
          <w:rtl/>
        </w:rPr>
        <w:t>–</w:t>
      </w:r>
      <w:r>
        <w:rPr>
          <w:rFonts w:hint="cs"/>
          <w:sz w:val="20"/>
          <w:szCs w:val="20"/>
          <w:rtl/>
        </w:rPr>
        <w:t xml:space="preserve"> אף לכתחילה יכולה להרחיק את הפסק הטהרה מז' נקיים, וכ"פ </w:t>
      </w:r>
      <w:r w:rsidRPr="00CA406C">
        <w:rPr>
          <w:rFonts w:hint="cs"/>
          <w:b/>
          <w:bCs/>
          <w:sz w:val="20"/>
          <w:szCs w:val="20"/>
          <w:rtl/>
        </w:rPr>
        <w:t>טה"ב</w:t>
      </w:r>
      <w:r>
        <w:rPr>
          <w:rStyle w:val="a5"/>
          <w:sz w:val="20"/>
          <w:szCs w:val="20"/>
          <w:rtl/>
        </w:rPr>
        <w:footnoteReference w:id="508"/>
      </w:r>
      <w:r>
        <w:rPr>
          <w:rFonts w:hint="cs"/>
          <w:sz w:val="20"/>
          <w:szCs w:val="20"/>
          <w:rtl/>
        </w:rPr>
        <w:t>.</w:t>
      </w:r>
      <w:r>
        <w:rPr>
          <w:sz w:val="20"/>
          <w:szCs w:val="20"/>
          <w:rtl/>
        </w:rPr>
        <w:br/>
      </w:r>
      <w:r w:rsidRPr="00CA406C">
        <w:rPr>
          <w:rFonts w:hint="cs"/>
          <w:b/>
          <w:bCs/>
          <w:sz w:val="20"/>
          <w:szCs w:val="20"/>
          <w:rtl/>
        </w:rPr>
        <w:t xml:space="preserve">טעם </w:t>
      </w:r>
      <w:r>
        <w:rPr>
          <w:sz w:val="20"/>
          <w:szCs w:val="20"/>
          <w:rtl/>
        </w:rPr>
        <w:t>–</w:t>
      </w:r>
      <w:r>
        <w:rPr>
          <w:rFonts w:hint="cs"/>
          <w:sz w:val="20"/>
          <w:szCs w:val="20"/>
          <w:rtl/>
        </w:rPr>
        <w:t xml:space="preserve"> לא שמענו שיש להסמיך את ההפסק לז' הנקיים, אלא כיוון שהיא בחזקת טהרה מחמת ההפסק, יכולה למנות ז' נקיים אימתי שתרצה.</w:t>
      </w:r>
    </w:p>
    <w:p w:rsidR="00620060" w:rsidRDefault="00620060" w:rsidP="00620060">
      <w:pPr>
        <w:rPr>
          <w:sz w:val="18"/>
          <w:szCs w:val="18"/>
          <w:rtl/>
        </w:rPr>
      </w:pPr>
      <w:r>
        <w:rPr>
          <w:sz w:val="20"/>
          <w:szCs w:val="20"/>
          <w:rtl/>
        </w:rPr>
        <w:br/>
      </w:r>
      <w:r>
        <w:rPr>
          <w:rFonts w:hint="cs"/>
          <w:b/>
          <w:bCs/>
          <w:sz w:val="20"/>
          <w:szCs w:val="20"/>
          <w:rtl/>
        </w:rPr>
        <w:t xml:space="preserve">סעיף ג </w:t>
      </w:r>
      <w:r>
        <w:rPr>
          <w:b/>
          <w:bCs/>
          <w:sz w:val="20"/>
          <w:szCs w:val="20"/>
          <w:rtl/>
        </w:rPr>
        <w:t>–</w:t>
      </w:r>
      <w:r>
        <w:rPr>
          <w:rFonts w:hint="cs"/>
          <w:b/>
          <w:bCs/>
          <w:sz w:val="20"/>
          <w:szCs w:val="20"/>
          <w:rtl/>
        </w:rPr>
        <w:t xml:space="preserve"> לבישת חלוק נקי או לבן בז' נקיים</w:t>
      </w:r>
      <w:r>
        <w:rPr>
          <w:b/>
          <w:bCs/>
          <w:sz w:val="20"/>
          <w:szCs w:val="20"/>
          <w:rtl/>
        </w:rPr>
        <w:br/>
      </w:r>
      <w:r>
        <w:rPr>
          <w:rFonts w:hint="cs"/>
          <w:b/>
          <w:bCs/>
          <w:sz w:val="20"/>
          <w:szCs w:val="20"/>
          <w:rtl/>
        </w:rPr>
        <w:lastRenderedPageBreak/>
        <w:t>פסיקת הלכה</w:t>
      </w:r>
      <w:r>
        <w:rPr>
          <w:b/>
          <w:bCs/>
          <w:sz w:val="20"/>
          <w:szCs w:val="20"/>
          <w:rtl/>
        </w:rPr>
        <w:br/>
      </w:r>
      <w:r>
        <w:rPr>
          <w:rFonts w:hint="cs"/>
          <w:b/>
          <w:bCs/>
          <w:sz w:val="20"/>
          <w:szCs w:val="20"/>
          <w:rtl/>
        </w:rPr>
        <w:t xml:space="preserve">שולחן ערוך </w:t>
      </w:r>
      <w:r w:rsidRPr="00A74FA7">
        <w:rPr>
          <w:rFonts w:hint="cs"/>
          <w:sz w:val="18"/>
          <w:szCs w:val="18"/>
          <w:rtl/>
        </w:rPr>
        <w:t xml:space="preserve">(ע"פ </w:t>
      </w:r>
      <w:r w:rsidRPr="00A74FA7">
        <w:rPr>
          <w:rFonts w:hint="cs"/>
          <w:b/>
          <w:bCs/>
          <w:sz w:val="18"/>
          <w:szCs w:val="18"/>
          <w:rtl/>
        </w:rPr>
        <w:t>הטור</w:t>
      </w:r>
      <w:r w:rsidRPr="00A74FA7">
        <w:rPr>
          <w:rFonts w:hint="cs"/>
          <w:sz w:val="18"/>
          <w:szCs w:val="18"/>
          <w:rtl/>
        </w:rPr>
        <w:t xml:space="preserve">) </w:t>
      </w:r>
      <w:r>
        <w:rPr>
          <w:sz w:val="20"/>
          <w:szCs w:val="20"/>
          <w:rtl/>
        </w:rPr>
        <w:t>–</w:t>
      </w:r>
      <w:r>
        <w:rPr>
          <w:rFonts w:hint="cs"/>
          <w:sz w:val="20"/>
          <w:szCs w:val="20"/>
          <w:rtl/>
        </w:rPr>
        <w:t xml:space="preserve"> </w:t>
      </w:r>
      <w:r>
        <w:rPr>
          <w:rFonts w:cs="Arial" w:hint="cs"/>
          <w:sz w:val="20"/>
          <w:szCs w:val="20"/>
          <w:rtl/>
        </w:rPr>
        <w:t>"</w:t>
      </w:r>
      <w:r w:rsidRPr="00A74FA7">
        <w:rPr>
          <w:rFonts w:cs="Arial"/>
          <w:sz w:val="20"/>
          <w:szCs w:val="20"/>
          <w:rtl/>
        </w:rPr>
        <w:t>ביום שפסקה מלראות ובודקת עצמה כאמור, תלבש חלוק הבדוק לה שאין בו כתם, ובלילה תשים סדינים הבדוקים מכתמים, ומיום המחרת תתחיל לספור שבעה נקיים</w:t>
      </w:r>
      <w:r>
        <w:rPr>
          <w:rFonts w:hint="cs"/>
          <w:sz w:val="20"/>
          <w:szCs w:val="20"/>
          <w:rtl/>
        </w:rPr>
        <w:t>".</w:t>
      </w:r>
      <w:r>
        <w:rPr>
          <w:sz w:val="20"/>
          <w:szCs w:val="20"/>
          <w:rtl/>
        </w:rPr>
        <w:br/>
      </w:r>
      <w:r w:rsidRPr="00A74FA7">
        <w:rPr>
          <w:rFonts w:hint="cs"/>
          <w:b/>
          <w:bCs/>
          <w:sz w:val="20"/>
          <w:szCs w:val="20"/>
          <w:rtl/>
        </w:rPr>
        <w:t>רמ"א</w:t>
      </w:r>
      <w:r>
        <w:rPr>
          <w:rFonts w:hint="cs"/>
          <w:sz w:val="20"/>
          <w:szCs w:val="20"/>
          <w:rtl/>
        </w:rPr>
        <w:t xml:space="preserve"> </w:t>
      </w:r>
      <w:r w:rsidRPr="00A74FA7">
        <w:rPr>
          <w:rFonts w:hint="cs"/>
          <w:sz w:val="18"/>
          <w:szCs w:val="18"/>
          <w:rtl/>
        </w:rPr>
        <w:t xml:space="preserve">(ע"פ </w:t>
      </w:r>
      <w:r w:rsidRPr="00A74FA7">
        <w:rPr>
          <w:rFonts w:hint="cs"/>
          <w:b/>
          <w:bCs/>
          <w:sz w:val="18"/>
          <w:szCs w:val="18"/>
          <w:rtl/>
        </w:rPr>
        <w:t>הרוקח</w:t>
      </w:r>
      <w:r w:rsidRPr="00A74FA7">
        <w:rPr>
          <w:rFonts w:hint="cs"/>
          <w:sz w:val="18"/>
          <w:szCs w:val="18"/>
          <w:rtl/>
        </w:rPr>
        <w:t xml:space="preserve">, </w:t>
      </w:r>
      <w:r w:rsidRPr="00A74FA7">
        <w:rPr>
          <w:rFonts w:hint="cs"/>
          <w:b/>
          <w:bCs/>
          <w:sz w:val="18"/>
          <w:szCs w:val="18"/>
          <w:rtl/>
        </w:rPr>
        <w:t>מרדכי והאגור</w:t>
      </w:r>
      <w:r w:rsidRPr="00A74FA7">
        <w:rPr>
          <w:rFonts w:hint="cs"/>
          <w:sz w:val="18"/>
          <w:szCs w:val="18"/>
          <w:rtl/>
        </w:rPr>
        <w:t xml:space="preserve">) </w:t>
      </w:r>
      <w:r>
        <w:rPr>
          <w:sz w:val="20"/>
          <w:szCs w:val="20"/>
          <w:rtl/>
        </w:rPr>
        <w:t>–</w:t>
      </w:r>
      <w:r>
        <w:rPr>
          <w:rFonts w:hint="cs"/>
          <w:sz w:val="20"/>
          <w:szCs w:val="20"/>
          <w:rtl/>
        </w:rPr>
        <w:t xml:space="preserve"> </w:t>
      </w:r>
      <w:r w:rsidRPr="00A74FA7">
        <w:rPr>
          <w:rFonts w:hint="cs"/>
          <w:sz w:val="18"/>
          <w:szCs w:val="18"/>
          <w:rtl/>
        </w:rPr>
        <w:t>"</w:t>
      </w:r>
      <w:r w:rsidRPr="00A74FA7">
        <w:rPr>
          <w:rFonts w:cs="Arial"/>
          <w:sz w:val="18"/>
          <w:szCs w:val="18"/>
          <w:rtl/>
        </w:rPr>
        <w:t>ומנהג כשר הוא כשהאשה פוסקת בטהרה שתרחץ ולובשת לבנים; אמנם אם לא רחצה רק פניה של מטה, די בכך, וכן נוהגין ואין לשנות; אבל בשעת הדחק, כגון אשה ההולכת בדרך ואין לה בגדים, תוכל לספור ז' נקיים רק שהחלוק יהיה נקי ובדוק מדם</w:t>
      </w:r>
      <w:r>
        <w:rPr>
          <w:rStyle w:val="a5"/>
          <w:sz w:val="18"/>
          <w:szCs w:val="18"/>
          <w:rtl/>
        </w:rPr>
        <w:footnoteReference w:id="509"/>
      </w:r>
      <w:r w:rsidRPr="00A74FA7">
        <w:rPr>
          <w:rFonts w:hint="cs"/>
          <w:sz w:val="18"/>
          <w:szCs w:val="18"/>
          <w:rtl/>
        </w:rPr>
        <w:t>".</w:t>
      </w:r>
    </w:p>
    <w:p w:rsidR="00620060" w:rsidRDefault="00620060" w:rsidP="00620060">
      <w:pPr>
        <w:rPr>
          <w:sz w:val="20"/>
          <w:szCs w:val="20"/>
          <w:rtl/>
        </w:rPr>
      </w:pPr>
      <w:r w:rsidRPr="001A28D4">
        <w:rPr>
          <w:rFonts w:hint="cs"/>
          <w:sz w:val="20"/>
          <w:szCs w:val="20"/>
          <w:u w:val="single"/>
          <w:rtl/>
        </w:rPr>
        <w:t xml:space="preserve">טעם </w:t>
      </w:r>
      <w:r>
        <w:rPr>
          <w:rFonts w:hint="cs"/>
          <w:sz w:val="20"/>
          <w:szCs w:val="20"/>
          <w:u w:val="single"/>
          <w:rtl/>
        </w:rPr>
        <w:t>הרחצה</w:t>
      </w:r>
      <w:r w:rsidRPr="001A28D4">
        <w:rPr>
          <w:sz w:val="20"/>
          <w:szCs w:val="20"/>
          <w:u w:val="single"/>
          <w:rtl/>
        </w:rPr>
        <w:br/>
      </w:r>
      <w:r w:rsidRPr="00FB5EE8">
        <w:rPr>
          <w:rFonts w:hint="cs"/>
          <w:b/>
          <w:bCs/>
          <w:sz w:val="20"/>
          <w:szCs w:val="20"/>
          <w:rtl/>
        </w:rPr>
        <w:t>תורת השלמים</w:t>
      </w:r>
      <w:r w:rsidRPr="001A28D4">
        <w:rPr>
          <w:rFonts w:hint="cs"/>
          <w:sz w:val="20"/>
          <w:szCs w:val="20"/>
          <w:rtl/>
        </w:rPr>
        <w:t xml:space="preserve"> </w:t>
      </w:r>
      <w:r w:rsidRPr="001A28D4">
        <w:rPr>
          <w:sz w:val="20"/>
          <w:szCs w:val="20"/>
          <w:rtl/>
        </w:rPr>
        <w:t>–</w:t>
      </w:r>
      <w:r w:rsidRPr="001A28D4">
        <w:rPr>
          <w:rFonts w:hint="cs"/>
          <w:sz w:val="20"/>
          <w:szCs w:val="20"/>
          <w:rtl/>
        </w:rPr>
        <w:t xml:space="preserve"> הטעם </w:t>
      </w:r>
      <w:r>
        <w:rPr>
          <w:rFonts w:hint="cs"/>
          <w:sz w:val="20"/>
          <w:szCs w:val="20"/>
          <w:rtl/>
        </w:rPr>
        <w:t>ברחצה</w:t>
      </w:r>
      <w:r w:rsidRPr="001A28D4">
        <w:rPr>
          <w:rFonts w:hint="cs"/>
          <w:sz w:val="20"/>
          <w:szCs w:val="20"/>
          <w:rtl/>
        </w:rPr>
        <w:t xml:space="preserve"> הוא להקל עליה, כדי למנוע מצב שבו תמצא כתם בבגד או בגופה ותסתור את מה שספרה עד עתה</w:t>
      </w:r>
      <w:r>
        <w:rPr>
          <w:rStyle w:val="a5"/>
          <w:sz w:val="20"/>
          <w:szCs w:val="20"/>
          <w:rtl/>
        </w:rPr>
        <w:footnoteReference w:id="510"/>
      </w:r>
      <w:r>
        <w:rPr>
          <w:rFonts w:hint="cs"/>
          <w:sz w:val="20"/>
          <w:szCs w:val="20"/>
          <w:rtl/>
        </w:rPr>
        <w:t>.</w:t>
      </w:r>
    </w:p>
    <w:p w:rsidR="00620060" w:rsidRDefault="00620060" w:rsidP="00620060">
      <w:pPr>
        <w:rPr>
          <w:sz w:val="20"/>
          <w:szCs w:val="20"/>
          <w:rtl/>
        </w:rPr>
      </w:pPr>
      <w:r>
        <w:rPr>
          <w:rFonts w:hint="cs"/>
          <w:sz w:val="20"/>
          <w:szCs w:val="20"/>
          <w:u w:val="single"/>
          <w:rtl/>
        </w:rPr>
        <w:t>טעם לבישת לבנים</w:t>
      </w:r>
      <w:r>
        <w:rPr>
          <w:sz w:val="20"/>
          <w:szCs w:val="20"/>
          <w:u w:val="single"/>
          <w:rtl/>
        </w:rPr>
        <w:br/>
      </w:r>
      <w:r>
        <w:rPr>
          <w:rFonts w:hint="cs"/>
          <w:sz w:val="20"/>
          <w:szCs w:val="20"/>
          <w:rtl/>
        </w:rPr>
        <w:t xml:space="preserve">א. זו לשון </w:t>
      </w:r>
      <w:r w:rsidRPr="00BA4C10">
        <w:rPr>
          <w:rFonts w:hint="cs"/>
          <w:b/>
          <w:bCs/>
          <w:sz w:val="20"/>
          <w:szCs w:val="20"/>
          <w:rtl/>
        </w:rPr>
        <w:t>המרדכי</w:t>
      </w:r>
      <w:r>
        <w:rPr>
          <w:rFonts w:hint="cs"/>
          <w:sz w:val="20"/>
          <w:szCs w:val="20"/>
          <w:rtl/>
        </w:rPr>
        <w:t xml:space="preserve"> </w:t>
      </w:r>
      <w:r>
        <w:rPr>
          <w:sz w:val="20"/>
          <w:szCs w:val="20"/>
          <w:rtl/>
        </w:rPr>
        <w:t>–</w:t>
      </w:r>
      <w:r>
        <w:rPr>
          <w:rFonts w:hint="cs"/>
          <w:sz w:val="20"/>
          <w:szCs w:val="20"/>
          <w:rtl/>
        </w:rPr>
        <w:t xml:space="preserve"> "</w:t>
      </w:r>
      <w:r w:rsidRPr="00BA4C10">
        <w:rPr>
          <w:rFonts w:cs="Arial"/>
          <w:sz w:val="20"/>
          <w:szCs w:val="20"/>
          <w:rtl/>
        </w:rPr>
        <w:t>ותלבש חלוק לבן שאם תראה עוד שיהא ניכר בחלוקה</w:t>
      </w:r>
      <w:r>
        <w:rPr>
          <w:rFonts w:cs="Arial" w:hint="cs"/>
          <w:sz w:val="20"/>
          <w:szCs w:val="20"/>
          <w:rtl/>
        </w:rPr>
        <w:t>", משמע להדיא שטעם הדין להחמיר עליה, לוודא שפסק מעיינה</w:t>
      </w:r>
      <w:r>
        <w:rPr>
          <w:rStyle w:val="a5"/>
          <w:rFonts w:cs="Arial"/>
          <w:sz w:val="20"/>
          <w:szCs w:val="20"/>
          <w:rtl/>
        </w:rPr>
        <w:footnoteReference w:id="511"/>
      </w:r>
      <w:r>
        <w:rPr>
          <w:rFonts w:cs="Arial" w:hint="cs"/>
          <w:sz w:val="20"/>
          <w:szCs w:val="20"/>
          <w:rtl/>
        </w:rPr>
        <w:t xml:space="preserve">. </w:t>
      </w:r>
      <w:r w:rsidRPr="00BA4C10">
        <w:rPr>
          <w:rFonts w:cs="Arial"/>
          <w:sz w:val="20"/>
          <w:szCs w:val="20"/>
          <w:rtl/>
        </w:rPr>
        <w:t xml:space="preserve"> </w:t>
      </w:r>
      <w:r>
        <w:rPr>
          <w:rFonts w:hint="cs"/>
          <w:sz w:val="20"/>
          <w:szCs w:val="20"/>
          <w:rtl/>
        </w:rPr>
        <w:t xml:space="preserve"> </w:t>
      </w:r>
      <w:r>
        <w:rPr>
          <w:sz w:val="20"/>
          <w:szCs w:val="20"/>
          <w:rtl/>
        </w:rPr>
        <w:br/>
      </w:r>
      <w:r>
        <w:rPr>
          <w:rFonts w:hint="cs"/>
          <w:sz w:val="20"/>
          <w:szCs w:val="20"/>
          <w:rtl/>
        </w:rPr>
        <w:t xml:space="preserve">ב. </w:t>
      </w:r>
      <w:r w:rsidRPr="00BA4C10">
        <w:rPr>
          <w:rFonts w:hint="cs"/>
          <w:b/>
          <w:bCs/>
          <w:sz w:val="20"/>
          <w:szCs w:val="20"/>
          <w:rtl/>
        </w:rPr>
        <w:t>משמרת הטהרה</w:t>
      </w:r>
      <w:r>
        <w:rPr>
          <w:rFonts w:hint="cs"/>
          <w:sz w:val="20"/>
          <w:szCs w:val="20"/>
          <w:rtl/>
        </w:rPr>
        <w:t xml:space="preserve"> </w:t>
      </w:r>
      <w:r>
        <w:rPr>
          <w:sz w:val="20"/>
          <w:szCs w:val="20"/>
          <w:rtl/>
        </w:rPr>
        <w:t>–</w:t>
      </w:r>
      <w:r>
        <w:rPr>
          <w:rFonts w:hint="cs"/>
          <w:sz w:val="20"/>
          <w:szCs w:val="20"/>
          <w:rtl/>
        </w:rPr>
        <w:t xml:space="preserve"> לבישת לבנים נועדה להקל עליה, שאם תראה ע"י הרגשה תוכל לבדוק את צבע הדם שיצא ממנה, אך אם החלוק שתלבש יהיה צבעוני לא תוכל לבדוק זאת ולכן תהיה טמאה מספק</w:t>
      </w:r>
      <w:r>
        <w:rPr>
          <w:rStyle w:val="a5"/>
          <w:sz w:val="20"/>
          <w:szCs w:val="20"/>
          <w:rtl/>
        </w:rPr>
        <w:footnoteReference w:id="512"/>
      </w:r>
      <w:r>
        <w:rPr>
          <w:rFonts w:hint="cs"/>
          <w:sz w:val="20"/>
          <w:szCs w:val="20"/>
          <w:rtl/>
        </w:rPr>
        <w:t>.</w:t>
      </w:r>
    </w:p>
    <w:p w:rsidR="00620060" w:rsidRDefault="00620060" w:rsidP="00620060">
      <w:pPr>
        <w:rPr>
          <w:sz w:val="20"/>
          <w:szCs w:val="20"/>
          <w:rtl/>
        </w:rPr>
      </w:pPr>
      <w:r>
        <w:rPr>
          <w:rFonts w:hint="cs"/>
          <w:sz w:val="20"/>
          <w:szCs w:val="20"/>
          <w:u w:val="single"/>
          <w:rtl/>
        </w:rPr>
        <w:t>היסח הדעת בספירת ז' נקיים (פת"ש)</w:t>
      </w:r>
      <w:r>
        <w:rPr>
          <w:sz w:val="20"/>
          <w:szCs w:val="20"/>
          <w:u w:val="single"/>
          <w:rtl/>
        </w:rPr>
        <w:br/>
      </w:r>
      <w:r>
        <w:rPr>
          <w:rFonts w:hint="cs"/>
          <w:sz w:val="20"/>
          <w:szCs w:val="20"/>
          <w:rtl/>
        </w:rPr>
        <w:t xml:space="preserve">א. </w:t>
      </w:r>
      <w:r w:rsidRPr="00CC283C">
        <w:rPr>
          <w:rFonts w:hint="cs"/>
          <w:b/>
          <w:bCs/>
          <w:sz w:val="20"/>
          <w:szCs w:val="20"/>
          <w:rtl/>
        </w:rPr>
        <w:t>מעיל צדקה</w:t>
      </w:r>
      <w:r>
        <w:rPr>
          <w:rFonts w:hint="cs"/>
          <w:sz w:val="20"/>
          <w:szCs w:val="20"/>
          <w:rtl/>
        </w:rPr>
        <w:t xml:space="preserve"> </w:t>
      </w:r>
      <w:r>
        <w:rPr>
          <w:sz w:val="20"/>
          <w:szCs w:val="20"/>
          <w:rtl/>
        </w:rPr>
        <w:t>–</w:t>
      </w:r>
      <w:r>
        <w:rPr>
          <w:rFonts w:hint="cs"/>
          <w:sz w:val="20"/>
          <w:szCs w:val="20"/>
          <w:rtl/>
        </w:rPr>
        <w:t xml:space="preserve"> מעשה באשה שמצאה כתם בז' נקיים, ועשתה כעת הפסק שנית כדין. למחרת אמרו לה חברותיה שגם על הכתם צריכה להמתין חמישה ימים, ולא מהני לה ההפסק שעשתה. האשה האמינה לחברותיה ולכן הסירה את בגדי הלבנים ולבשה בגדי נידות המוכתמים בדם. </w:t>
      </w:r>
      <w:r>
        <w:rPr>
          <w:sz w:val="20"/>
          <w:szCs w:val="20"/>
          <w:rtl/>
        </w:rPr>
        <w:br/>
      </w:r>
      <w:r>
        <w:rPr>
          <w:rFonts w:hint="cs"/>
          <w:sz w:val="20"/>
          <w:szCs w:val="20"/>
          <w:rtl/>
        </w:rPr>
        <w:t>לאחר יומיים התברר לה שההפסק הראשון שעשתה היה כדין, וכעת היא רוצה שהיומיים האלו בהם חשבה שהיא טמאה יעלו לה לז' נקיים, ותספור מעתה חמישה ימים בלבד. ואע"פ שבגדיה מוכתמים בדם, היא טוענת שהיא מכירה בכתמים אלו שהם ישנים ולא מהיומיים האחרונים, האם הדין עמה?</w:t>
      </w:r>
      <w:r>
        <w:rPr>
          <w:rFonts w:hint="cs"/>
          <w:sz w:val="20"/>
          <w:szCs w:val="20"/>
          <w:rtl/>
        </w:rPr>
        <w:br/>
        <w:t xml:space="preserve">תשובה </w:t>
      </w:r>
      <w:r>
        <w:rPr>
          <w:sz w:val="20"/>
          <w:szCs w:val="20"/>
          <w:rtl/>
        </w:rPr>
        <w:t>–</w:t>
      </w:r>
      <w:r>
        <w:rPr>
          <w:rFonts w:hint="cs"/>
          <w:sz w:val="20"/>
          <w:szCs w:val="20"/>
          <w:rtl/>
        </w:rPr>
        <w:t xml:space="preserve"> כיוון שהסיחה דעתה מספירת הנקיים, צריכה להתחיל למנות ז' נקיים שנית</w:t>
      </w:r>
      <w:r>
        <w:rPr>
          <w:rStyle w:val="a5"/>
          <w:sz w:val="20"/>
          <w:szCs w:val="20"/>
          <w:rtl/>
        </w:rPr>
        <w:footnoteReference w:id="513"/>
      </w:r>
      <w:r>
        <w:rPr>
          <w:rFonts w:hint="cs"/>
          <w:sz w:val="20"/>
          <w:szCs w:val="20"/>
          <w:rtl/>
        </w:rPr>
        <w:t>.</w:t>
      </w:r>
      <w:r>
        <w:rPr>
          <w:sz w:val="20"/>
          <w:szCs w:val="20"/>
          <w:rtl/>
        </w:rPr>
        <w:br/>
      </w:r>
      <w:r>
        <w:rPr>
          <w:rFonts w:hint="cs"/>
          <w:sz w:val="20"/>
          <w:szCs w:val="20"/>
          <w:rtl/>
        </w:rPr>
        <w:t>ואמנם, אם לא הסיחה דעתה ולא החזיקה עצמה כטמאה, יכולה להמשיך למנות חמישה ימים מעתה, ונאמנת לומר שהיא מכירה את הכתמים בטביעות עין שהם ישנים, וכן אם יש הוכחה שהם ישנים שפיר מהני.</w:t>
      </w:r>
      <w:r>
        <w:rPr>
          <w:rFonts w:hint="cs"/>
          <w:sz w:val="20"/>
          <w:szCs w:val="20"/>
          <w:rtl/>
        </w:rPr>
        <w:br/>
        <w:t xml:space="preserve">ב. </w:t>
      </w:r>
      <w:r w:rsidRPr="00A82FCF">
        <w:rPr>
          <w:rFonts w:hint="cs"/>
          <w:b/>
          <w:bCs/>
          <w:sz w:val="20"/>
          <w:szCs w:val="20"/>
          <w:rtl/>
        </w:rPr>
        <w:t>טהרת הבית</w:t>
      </w:r>
      <w:r>
        <w:rPr>
          <w:rFonts w:hint="cs"/>
          <w:sz w:val="20"/>
          <w:szCs w:val="20"/>
          <w:rtl/>
        </w:rPr>
        <w:t xml:space="preserve"> </w:t>
      </w:r>
      <w:r w:rsidRPr="00A82FCF">
        <w:rPr>
          <w:rFonts w:hint="cs"/>
          <w:sz w:val="18"/>
          <w:szCs w:val="18"/>
          <w:rtl/>
        </w:rPr>
        <w:t xml:space="preserve">(עמ' שנה) </w:t>
      </w:r>
      <w:r>
        <w:rPr>
          <w:sz w:val="20"/>
          <w:szCs w:val="20"/>
          <w:rtl/>
        </w:rPr>
        <w:t>–</w:t>
      </w:r>
      <w:r>
        <w:rPr>
          <w:rFonts w:hint="cs"/>
          <w:sz w:val="20"/>
          <w:szCs w:val="20"/>
          <w:rtl/>
        </w:rPr>
        <w:t xml:space="preserve"> רבים מהאחרונים חולקים על חידושו של המעיל צדקה, וסבירא להו שאין היסח הדעת פוגם בספירה</w:t>
      </w:r>
      <w:r>
        <w:rPr>
          <w:rStyle w:val="a5"/>
          <w:sz w:val="20"/>
          <w:szCs w:val="20"/>
          <w:rtl/>
        </w:rPr>
        <w:footnoteReference w:id="514"/>
      </w:r>
      <w:r>
        <w:rPr>
          <w:rFonts w:hint="cs"/>
          <w:sz w:val="20"/>
          <w:szCs w:val="20"/>
          <w:rtl/>
        </w:rPr>
        <w:t>, והמקל כמותם במקום הצורך יש לו על מה לסמוך.</w:t>
      </w:r>
      <w:r>
        <w:rPr>
          <w:rFonts w:hint="cs"/>
          <w:sz w:val="20"/>
          <w:szCs w:val="20"/>
          <w:rtl/>
        </w:rPr>
        <w:br/>
        <w:t>ואמנם, גם לשיטת המחמירים, אם הסיחה דעתה חלק מהיום ונמלכה, בוודאי שאותו היום עולה לה.</w:t>
      </w:r>
      <w:r>
        <w:rPr>
          <w:sz w:val="20"/>
          <w:szCs w:val="20"/>
          <w:rtl/>
        </w:rPr>
        <w:br/>
      </w:r>
      <w:r>
        <w:rPr>
          <w:rFonts w:hint="cs"/>
          <w:sz w:val="20"/>
          <w:szCs w:val="20"/>
          <w:rtl/>
        </w:rPr>
        <w:t>כמו כן, אם מצאה כתם בז' נקיים ולא ידעה אם הוא טמא או טהור, ורק לאחר כמה ימים שאלה לחכם וטיהר לה, עולים לה הימים שבאמצע.</w:t>
      </w:r>
    </w:p>
    <w:p w:rsidR="00620060" w:rsidRDefault="00620060" w:rsidP="00620060">
      <w:pPr>
        <w:rPr>
          <w:sz w:val="20"/>
          <w:szCs w:val="20"/>
          <w:rtl/>
        </w:rPr>
      </w:pPr>
      <w:r>
        <w:rPr>
          <w:rFonts w:hint="cs"/>
          <w:b/>
          <w:bCs/>
          <w:sz w:val="20"/>
          <w:szCs w:val="20"/>
          <w:rtl/>
        </w:rPr>
        <w:lastRenderedPageBreak/>
        <w:t>סיכום</w:t>
      </w:r>
      <w:r>
        <w:rPr>
          <w:b/>
          <w:bCs/>
          <w:sz w:val="20"/>
          <w:szCs w:val="20"/>
          <w:rtl/>
        </w:rPr>
        <w:br/>
      </w:r>
      <w:r>
        <w:rPr>
          <w:rFonts w:hint="cs"/>
          <w:sz w:val="20"/>
          <w:szCs w:val="20"/>
          <w:rtl/>
        </w:rPr>
        <w:t xml:space="preserve">1. </w:t>
      </w:r>
      <w:r w:rsidRPr="003B4881">
        <w:rPr>
          <w:rFonts w:hint="cs"/>
          <w:b/>
          <w:bCs/>
          <w:sz w:val="20"/>
          <w:szCs w:val="20"/>
          <w:rtl/>
        </w:rPr>
        <w:t>מחבר</w:t>
      </w:r>
      <w:r>
        <w:rPr>
          <w:rFonts w:hint="cs"/>
          <w:sz w:val="20"/>
          <w:szCs w:val="20"/>
          <w:rtl/>
        </w:rPr>
        <w:t xml:space="preserve">. לאחר הפס"ט תלבש בגד נקי מדם, וכן תציע סדינים נקיים מדם. </w:t>
      </w:r>
      <w:r w:rsidRPr="003B4881">
        <w:rPr>
          <w:rFonts w:hint="cs"/>
          <w:b/>
          <w:bCs/>
          <w:sz w:val="20"/>
          <w:szCs w:val="20"/>
          <w:rtl/>
        </w:rPr>
        <w:t>רמ"א</w:t>
      </w:r>
      <w:r>
        <w:rPr>
          <w:rFonts w:hint="cs"/>
          <w:sz w:val="20"/>
          <w:szCs w:val="20"/>
          <w:rtl/>
        </w:rPr>
        <w:t>. מנהג טוב לרחוץ באותו מקום וללבוש לבנים, ובשעה"ד רחצה ולבנים אינם מעכבים, אך תבדוק את חלוקה מדם.</w:t>
      </w:r>
      <w:r>
        <w:rPr>
          <w:rFonts w:hint="cs"/>
          <w:sz w:val="20"/>
          <w:szCs w:val="20"/>
          <w:rtl/>
        </w:rPr>
        <w:br/>
        <w:t xml:space="preserve">2. </w:t>
      </w:r>
      <w:r w:rsidRPr="00173453">
        <w:rPr>
          <w:rFonts w:hint="cs"/>
          <w:sz w:val="20"/>
          <w:szCs w:val="20"/>
          <w:rtl/>
        </w:rPr>
        <w:t xml:space="preserve">טעם הרחצה. </w:t>
      </w:r>
      <w:r w:rsidRPr="00173453">
        <w:rPr>
          <w:rFonts w:hint="cs"/>
          <w:b/>
          <w:bCs/>
          <w:sz w:val="20"/>
          <w:szCs w:val="20"/>
          <w:rtl/>
        </w:rPr>
        <w:t>תוה"ש</w:t>
      </w:r>
      <w:r w:rsidRPr="00173453">
        <w:rPr>
          <w:rFonts w:hint="cs"/>
          <w:sz w:val="20"/>
          <w:szCs w:val="20"/>
          <w:rtl/>
        </w:rPr>
        <w:t>. להקל, שלא תמצא כתם בז' נקיים על גופה או על בגדה.</w:t>
      </w:r>
      <w:r w:rsidRPr="00173453">
        <w:rPr>
          <w:sz w:val="20"/>
          <w:szCs w:val="20"/>
          <w:rtl/>
        </w:rPr>
        <w:br/>
      </w:r>
      <w:r w:rsidRPr="00173453">
        <w:rPr>
          <w:rFonts w:hint="cs"/>
          <w:sz w:val="20"/>
          <w:szCs w:val="20"/>
          <w:rtl/>
        </w:rPr>
        <w:t>3. טעם הלבנים. משמע</w:t>
      </w:r>
      <w:r>
        <w:rPr>
          <w:rFonts w:hint="cs"/>
          <w:sz w:val="20"/>
          <w:szCs w:val="20"/>
          <w:rtl/>
        </w:rPr>
        <w:t xml:space="preserve"> </w:t>
      </w:r>
      <w:r w:rsidRPr="003B4881">
        <w:rPr>
          <w:rFonts w:hint="cs"/>
          <w:b/>
          <w:bCs/>
          <w:sz w:val="20"/>
          <w:szCs w:val="20"/>
          <w:rtl/>
        </w:rPr>
        <w:t>במרדכי</w:t>
      </w:r>
      <w:r>
        <w:rPr>
          <w:rFonts w:hint="cs"/>
          <w:sz w:val="20"/>
          <w:szCs w:val="20"/>
          <w:rtl/>
        </w:rPr>
        <w:t xml:space="preserve">. להחמיר, לוודא שמעיינה פסק. </w:t>
      </w:r>
      <w:r w:rsidRPr="003B4881">
        <w:rPr>
          <w:rFonts w:hint="cs"/>
          <w:b/>
          <w:bCs/>
          <w:sz w:val="20"/>
          <w:szCs w:val="20"/>
          <w:rtl/>
        </w:rPr>
        <w:t>משמרת הטהרה</w:t>
      </w:r>
      <w:r>
        <w:rPr>
          <w:rFonts w:hint="cs"/>
          <w:sz w:val="20"/>
          <w:szCs w:val="20"/>
          <w:rtl/>
        </w:rPr>
        <w:t>. להקל, שאם תראה בהרגשה תוכל לבדוק את הצבע.</w:t>
      </w:r>
      <w:r>
        <w:rPr>
          <w:sz w:val="20"/>
          <w:szCs w:val="20"/>
          <w:rtl/>
        </w:rPr>
        <w:br/>
      </w:r>
      <w:r>
        <w:rPr>
          <w:rFonts w:hint="cs"/>
          <w:sz w:val="20"/>
          <w:szCs w:val="20"/>
          <w:rtl/>
        </w:rPr>
        <w:t xml:space="preserve">4. </w:t>
      </w:r>
      <w:r w:rsidRPr="003B4881">
        <w:rPr>
          <w:rFonts w:hint="cs"/>
          <w:b/>
          <w:bCs/>
          <w:sz w:val="20"/>
          <w:szCs w:val="20"/>
          <w:rtl/>
        </w:rPr>
        <w:t>מעיל צדקה</w:t>
      </w:r>
      <w:r>
        <w:rPr>
          <w:rFonts w:hint="cs"/>
          <w:sz w:val="20"/>
          <w:szCs w:val="20"/>
          <w:rtl/>
        </w:rPr>
        <w:t xml:space="preserve">. הסחת הדעת בספירת ז' נקיים מחמת שחשבה שהיא טמאה, סותרת את כל הספירה. ונאמנת אשה לומר שהדם בבגדה הוא דם ישן. </w:t>
      </w:r>
      <w:r w:rsidRPr="00A82FCF">
        <w:rPr>
          <w:rFonts w:hint="cs"/>
          <w:b/>
          <w:bCs/>
          <w:sz w:val="20"/>
          <w:szCs w:val="20"/>
          <w:rtl/>
        </w:rPr>
        <w:t>טה"ב</w:t>
      </w:r>
      <w:r>
        <w:rPr>
          <w:rFonts w:hint="cs"/>
          <w:sz w:val="20"/>
          <w:szCs w:val="20"/>
          <w:rtl/>
        </w:rPr>
        <w:t>. המקל בהיסח הדעת בספירה, יש לו על מה לסמוך. ולכו"ע אין היסח הדעת של מקצת היום פוגם, וכן אם היתה מסופקת בדין של כתם וטיהרו לה, ממשיכה לספור כרגיל.</w:t>
      </w:r>
    </w:p>
    <w:p w:rsidR="00620060" w:rsidRDefault="00620060" w:rsidP="00620060">
      <w:pPr>
        <w:rPr>
          <w:sz w:val="20"/>
          <w:szCs w:val="20"/>
          <w:rtl/>
        </w:rPr>
      </w:pPr>
      <w:r>
        <w:rPr>
          <w:sz w:val="20"/>
          <w:szCs w:val="20"/>
          <w:rtl/>
        </w:rPr>
        <w:br/>
      </w:r>
      <w:r>
        <w:rPr>
          <w:rFonts w:hint="cs"/>
          <w:b/>
          <w:bCs/>
          <w:sz w:val="20"/>
          <w:szCs w:val="20"/>
          <w:rtl/>
        </w:rPr>
        <w:t xml:space="preserve">סעיף ד </w:t>
      </w:r>
      <w:r>
        <w:rPr>
          <w:b/>
          <w:bCs/>
          <w:sz w:val="20"/>
          <w:szCs w:val="20"/>
          <w:rtl/>
        </w:rPr>
        <w:t>–</w:t>
      </w:r>
      <w:r>
        <w:rPr>
          <w:rFonts w:hint="cs"/>
          <w:b/>
          <w:bCs/>
          <w:sz w:val="20"/>
          <w:szCs w:val="20"/>
          <w:rtl/>
        </w:rPr>
        <w:t xml:space="preserve"> בדיקות בשבעה נקיים</w:t>
      </w:r>
      <w:r>
        <w:rPr>
          <w:b/>
          <w:bCs/>
          <w:sz w:val="20"/>
          <w:szCs w:val="20"/>
          <w:rtl/>
        </w:rPr>
        <w:br/>
      </w:r>
      <w:r>
        <w:rPr>
          <w:rFonts w:hint="cs"/>
          <w:b/>
          <w:bCs/>
          <w:sz w:val="20"/>
          <w:szCs w:val="20"/>
          <w:rtl/>
        </w:rPr>
        <w:t xml:space="preserve">כמה בדיקות צריכה לבדוק בכל יום  </w:t>
      </w:r>
      <w:r>
        <w:rPr>
          <w:b/>
          <w:bCs/>
          <w:sz w:val="20"/>
          <w:szCs w:val="20"/>
          <w:rtl/>
        </w:rPr>
        <w:t>–</w:t>
      </w:r>
      <w:r>
        <w:rPr>
          <w:rFonts w:hint="cs"/>
          <w:b/>
          <w:bCs/>
          <w:sz w:val="20"/>
          <w:szCs w:val="20"/>
          <w:rtl/>
        </w:rPr>
        <w:t xml:space="preserve"> שיטות הראשונים</w:t>
      </w:r>
      <w:r w:rsidRPr="000B68B3">
        <w:rPr>
          <w:rStyle w:val="a5"/>
          <w:sz w:val="20"/>
          <w:szCs w:val="20"/>
          <w:rtl/>
        </w:rPr>
        <w:footnoteReference w:id="515"/>
      </w:r>
      <w:r>
        <w:rPr>
          <w:b/>
          <w:bCs/>
          <w:sz w:val="20"/>
          <w:szCs w:val="20"/>
          <w:rtl/>
        </w:rPr>
        <w:br/>
      </w:r>
      <w:r>
        <w:rPr>
          <w:rFonts w:hint="cs"/>
          <w:sz w:val="20"/>
          <w:szCs w:val="20"/>
          <w:rtl/>
        </w:rPr>
        <w:t xml:space="preserve">א. </w:t>
      </w:r>
      <w:r w:rsidRPr="00262507">
        <w:rPr>
          <w:rFonts w:hint="cs"/>
          <w:b/>
          <w:bCs/>
          <w:sz w:val="20"/>
          <w:szCs w:val="20"/>
          <w:rtl/>
        </w:rPr>
        <w:t>רמב"ן</w:t>
      </w:r>
      <w:r>
        <w:rPr>
          <w:rFonts w:hint="cs"/>
          <w:sz w:val="20"/>
          <w:szCs w:val="20"/>
          <w:rtl/>
        </w:rPr>
        <w:t xml:space="preserve">, </w:t>
      </w:r>
      <w:r w:rsidRPr="00262507">
        <w:rPr>
          <w:rFonts w:hint="cs"/>
          <w:b/>
          <w:bCs/>
          <w:sz w:val="20"/>
          <w:szCs w:val="20"/>
          <w:rtl/>
        </w:rPr>
        <w:t>רשב"א ורא"ש</w:t>
      </w:r>
      <w:r>
        <w:rPr>
          <w:rFonts w:hint="cs"/>
          <w:sz w:val="20"/>
          <w:szCs w:val="20"/>
          <w:rtl/>
        </w:rPr>
        <w:t xml:space="preserve"> </w:t>
      </w:r>
      <w:r>
        <w:rPr>
          <w:sz w:val="20"/>
          <w:szCs w:val="20"/>
          <w:rtl/>
        </w:rPr>
        <w:t>–</w:t>
      </w:r>
      <w:r>
        <w:rPr>
          <w:rFonts w:hint="cs"/>
          <w:sz w:val="20"/>
          <w:szCs w:val="20"/>
          <w:rtl/>
        </w:rPr>
        <w:t xml:space="preserve"> יש לאשה לבדוק עצמה בכל יום מהז' נקיים.</w:t>
      </w:r>
      <w:r>
        <w:rPr>
          <w:rFonts w:hint="cs"/>
          <w:sz w:val="20"/>
          <w:szCs w:val="20"/>
          <w:rtl/>
        </w:rPr>
        <w:br/>
      </w:r>
      <w:r w:rsidRPr="008A30D7">
        <w:rPr>
          <w:rFonts w:hint="cs"/>
          <w:b/>
          <w:bCs/>
          <w:sz w:val="20"/>
          <w:szCs w:val="20"/>
          <w:rtl/>
        </w:rPr>
        <w:t>בית יוסף</w:t>
      </w:r>
      <w:r>
        <w:rPr>
          <w:rFonts w:hint="cs"/>
          <w:sz w:val="20"/>
          <w:szCs w:val="20"/>
          <w:rtl/>
        </w:rPr>
        <w:t xml:space="preserve"> </w:t>
      </w:r>
      <w:r>
        <w:rPr>
          <w:sz w:val="20"/>
          <w:szCs w:val="20"/>
          <w:rtl/>
        </w:rPr>
        <w:t>–</w:t>
      </w:r>
      <w:r>
        <w:rPr>
          <w:rFonts w:hint="cs"/>
          <w:sz w:val="20"/>
          <w:szCs w:val="20"/>
          <w:rtl/>
        </w:rPr>
        <w:t xml:space="preserve"> משמע שבדיקה אחת בכל יום מועילה.</w:t>
      </w:r>
      <w:r>
        <w:rPr>
          <w:sz w:val="20"/>
          <w:szCs w:val="20"/>
          <w:rtl/>
        </w:rPr>
        <w:br/>
      </w:r>
      <w:r>
        <w:rPr>
          <w:rFonts w:hint="cs"/>
          <w:sz w:val="20"/>
          <w:szCs w:val="20"/>
          <w:rtl/>
        </w:rPr>
        <w:t xml:space="preserve">ב. </w:t>
      </w:r>
      <w:r w:rsidRPr="00262507">
        <w:rPr>
          <w:rFonts w:hint="cs"/>
          <w:b/>
          <w:bCs/>
          <w:sz w:val="20"/>
          <w:szCs w:val="20"/>
          <w:rtl/>
        </w:rPr>
        <w:t>סמ"ג</w:t>
      </w:r>
      <w:r>
        <w:rPr>
          <w:rFonts w:hint="cs"/>
          <w:sz w:val="20"/>
          <w:szCs w:val="20"/>
          <w:rtl/>
        </w:rPr>
        <w:t xml:space="preserve">, </w:t>
      </w:r>
      <w:r w:rsidRPr="00262507">
        <w:rPr>
          <w:rFonts w:hint="cs"/>
          <w:b/>
          <w:bCs/>
          <w:sz w:val="20"/>
          <w:szCs w:val="20"/>
          <w:rtl/>
        </w:rPr>
        <w:t>סמ"ק וספר התרומה</w:t>
      </w:r>
      <w:r>
        <w:rPr>
          <w:rFonts w:hint="cs"/>
          <w:sz w:val="20"/>
          <w:szCs w:val="20"/>
          <w:rtl/>
        </w:rPr>
        <w:t xml:space="preserve"> - יש לבדוק פעמיים בכל יום, שחרית ובין השמשות, וכ"פ</w:t>
      </w:r>
      <w:r w:rsidRPr="006F5ED9">
        <w:rPr>
          <w:rFonts w:hint="cs"/>
          <w:b/>
          <w:bCs/>
          <w:sz w:val="20"/>
          <w:szCs w:val="20"/>
          <w:rtl/>
        </w:rPr>
        <w:t xml:space="preserve"> המחבר</w:t>
      </w:r>
      <w:r>
        <w:rPr>
          <w:rFonts w:hint="cs"/>
          <w:sz w:val="20"/>
          <w:szCs w:val="20"/>
          <w:rtl/>
        </w:rPr>
        <w:t xml:space="preserve"> לעיקה"ד.</w:t>
      </w:r>
      <w:r>
        <w:rPr>
          <w:sz w:val="20"/>
          <w:szCs w:val="20"/>
          <w:rtl/>
        </w:rPr>
        <w:br/>
      </w:r>
      <w:r w:rsidRPr="000258A6">
        <w:rPr>
          <w:rFonts w:hint="cs"/>
          <w:b/>
          <w:bCs/>
          <w:sz w:val="20"/>
          <w:szCs w:val="20"/>
          <w:rtl/>
        </w:rPr>
        <w:t>בית יוסף</w:t>
      </w:r>
      <w:r>
        <w:rPr>
          <w:rFonts w:hint="cs"/>
          <w:sz w:val="20"/>
          <w:szCs w:val="20"/>
          <w:rtl/>
        </w:rPr>
        <w:t xml:space="preserve"> </w:t>
      </w:r>
      <w:r>
        <w:rPr>
          <w:sz w:val="20"/>
          <w:szCs w:val="20"/>
          <w:rtl/>
        </w:rPr>
        <w:t>–</w:t>
      </w:r>
      <w:r>
        <w:rPr>
          <w:rFonts w:hint="cs"/>
          <w:sz w:val="20"/>
          <w:szCs w:val="20"/>
          <w:rtl/>
        </w:rPr>
        <w:t xml:space="preserve"> מסתבר שהם למדו זאת מהמשנה (יא:): "</w:t>
      </w:r>
      <w:r>
        <w:rPr>
          <w:rFonts w:hint="cs"/>
          <w:rtl/>
        </w:rPr>
        <w:t>ו</w:t>
      </w:r>
      <w:r w:rsidRPr="000F0D8A">
        <w:rPr>
          <w:rFonts w:cs="Arial"/>
          <w:sz w:val="20"/>
          <w:szCs w:val="20"/>
          <w:rtl/>
        </w:rPr>
        <w:t>פעמ</w:t>
      </w:r>
      <w:r>
        <w:rPr>
          <w:rFonts w:cs="Arial" w:hint="cs"/>
          <w:sz w:val="20"/>
          <w:szCs w:val="20"/>
          <w:rtl/>
        </w:rPr>
        <w:t>י</w:t>
      </w:r>
      <w:r w:rsidRPr="000F0D8A">
        <w:rPr>
          <w:rFonts w:cs="Arial"/>
          <w:sz w:val="20"/>
          <w:szCs w:val="20"/>
          <w:rtl/>
        </w:rPr>
        <w:t>ים צריכה להיות בודקת - שחרית ובין השמשות</w:t>
      </w:r>
      <w:r>
        <w:rPr>
          <w:rFonts w:hint="cs"/>
          <w:sz w:val="20"/>
          <w:szCs w:val="20"/>
          <w:rtl/>
        </w:rPr>
        <w:t>".</w:t>
      </w:r>
    </w:p>
    <w:p w:rsidR="00620060" w:rsidRDefault="00620060" w:rsidP="00620060">
      <w:pPr>
        <w:rPr>
          <w:sz w:val="20"/>
          <w:szCs w:val="20"/>
          <w:rtl/>
        </w:rPr>
      </w:pPr>
      <w:r w:rsidRPr="00D27444">
        <w:rPr>
          <w:rStyle w:val="10"/>
          <w:rFonts w:hint="cs"/>
          <w:rtl/>
        </w:rPr>
        <w:t>באילו ימים צריכה לבדוק</w:t>
      </w:r>
      <w:r>
        <w:rPr>
          <w:rFonts w:hint="cs"/>
          <w:b/>
          <w:bCs/>
          <w:sz w:val="20"/>
          <w:szCs w:val="20"/>
          <w:rtl/>
        </w:rPr>
        <w:br/>
      </w:r>
      <w:r>
        <w:rPr>
          <w:rFonts w:hint="cs"/>
          <w:sz w:val="20"/>
          <w:szCs w:val="20"/>
          <w:rtl/>
        </w:rPr>
        <w:t xml:space="preserve">א. </w:t>
      </w:r>
      <w:r w:rsidRPr="00D27444">
        <w:rPr>
          <w:rFonts w:hint="cs"/>
          <w:b/>
          <w:bCs/>
          <w:sz w:val="20"/>
          <w:szCs w:val="20"/>
          <w:rtl/>
        </w:rPr>
        <w:t>בדקה עצמה ביום הראשון ובשביעי</w:t>
      </w:r>
      <w:r>
        <w:rPr>
          <w:b/>
          <w:bCs/>
          <w:sz w:val="20"/>
          <w:szCs w:val="20"/>
          <w:rtl/>
        </w:rPr>
        <w:br/>
      </w:r>
      <w:r>
        <w:rPr>
          <w:rFonts w:hint="cs"/>
          <w:b/>
          <w:bCs/>
          <w:sz w:val="20"/>
          <w:szCs w:val="20"/>
          <w:rtl/>
        </w:rPr>
        <w:t xml:space="preserve">משנה </w:t>
      </w:r>
      <w:r>
        <w:rPr>
          <w:rFonts w:hint="cs"/>
          <w:sz w:val="20"/>
          <w:szCs w:val="20"/>
          <w:rtl/>
        </w:rPr>
        <w:t>נידה (סח:) "</w:t>
      </w:r>
      <w:r w:rsidRPr="002C78D6">
        <w:rPr>
          <w:rFonts w:cs="Arial"/>
          <w:sz w:val="20"/>
          <w:szCs w:val="20"/>
          <w:rtl/>
        </w:rPr>
        <w:t>הזב והזבה שבדקו עצמן ביום ראשון ומצאו טהור, וביום השביעי ומצאו טהור, ושאר ימים שבינתיים לא בדקו: רבי אליעזר אומר: הרי הן בחזקת טהרה, ר</w:t>
      </w:r>
      <w:r>
        <w:rPr>
          <w:rFonts w:cs="Arial" w:hint="cs"/>
          <w:sz w:val="20"/>
          <w:szCs w:val="20"/>
          <w:rtl/>
        </w:rPr>
        <w:t>בי</w:t>
      </w:r>
      <w:r w:rsidRPr="002C78D6">
        <w:rPr>
          <w:rFonts w:cs="Arial"/>
          <w:sz w:val="20"/>
          <w:szCs w:val="20"/>
          <w:rtl/>
        </w:rPr>
        <w:t xml:space="preserve"> יהושע אומר: אין להם אלא יום ראשון ויום שביעי בלבד, ר</w:t>
      </w:r>
      <w:r>
        <w:rPr>
          <w:rFonts w:cs="Arial" w:hint="cs"/>
          <w:sz w:val="20"/>
          <w:szCs w:val="20"/>
          <w:rtl/>
        </w:rPr>
        <w:t xml:space="preserve">בי </w:t>
      </w:r>
      <w:r w:rsidRPr="002C78D6">
        <w:rPr>
          <w:rFonts w:cs="Arial"/>
          <w:sz w:val="20"/>
          <w:szCs w:val="20"/>
          <w:rtl/>
        </w:rPr>
        <w:t>עקיב</w:t>
      </w:r>
      <w:r>
        <w:rPr>
          <w:rFonts w:cs="Arial"/>
          <w:sz w:val="20"/>
          <w:szCs w:val="20"/>
          <w:rtl/>
        </w:rPr>
        <w:t>א אומר: אין להם אלא יום ז' בלבד</w:t>
      </w:r>
      <w:r>
        <w:rPr>
          <w:rFonts w:cs="Arial" w:hint="cs"/>
          <w:sz w:val="20"/>
          <w:szCs w:val="20"/>
          <w:rtl/>
        </w:rPr>
        <w:t>".</w:t>
      </w:r>
      <w:r>
        <w:rPr>
          <w:sz w:val="20"/>
          <w:szCs w:val="20"/>
          <w:rtl/>
        </w:rPr>
        <w:br/>
      </w:r>
      <w:r w:rsidRPr="002C78D6">
        <w:rPr>
          <w:rFonts w:hint="cs"/>
          <w:b/>
          <w:bCs/>
          <w:sz w:val="20"/>
          <w:szCs w:val="20"/>
          <w:rtl/>
        </w:rPr>
        <w:t>גמרא</w:t>
      </w:r>
      <w:r>
        <w:rPr>
          <w:rFonts w:hint="cs"/>
          <w:sz w:val="20"/>
          <w:szCs w:val="20"/>
          <w:rtl/>
        </w:rPr>
        <w:t xml:space="preserve"> (שם) "</w:t>
      </w:r>
      <w:r w:rsidRPr="002C78D6">
        <w:rPr>
          <w:rFonts w:cs="Arial"/>
          <w:sz w:val="20"/>
          <w:szCs w:val="20"/>
          <w:rtl/>
        </w:rPr>
        <w:t>תני, ר</w:t>
      </w:r>
      <w:r>
        <w:rPr>
          <w:rFonts w:cs="Arial" w:hint="cs"/>
          <w:sz w:val="20"/>
          <w:szCs w:val="20"/>
          <w:rtl/>
        </w:rPr>
        <w:t xml:space="preserve">בי </w:t>
      </w:r>
      <w:r w:rsidRPr="002C78D6">
        <w:rPr>
          <w:rFonts w:cs="Arial"/>
          <w:sz w:val="20"/>
          <w:szCs w:val="20"/>
          <w:rtl/>
        </w:rPr>
        <w:t>יוסי ור</w:t>
      </w:r>
      <w:r>
        <w:rPr>
          <w:rFonts w:cs="Arial" w:hint="cs"/>
          <w:sz w:val="20"/>
          <w:szCs w:val="20"/>
          <w:rtl/>
        </w:rPr>
        <w:t>בי</w:t>
      </w:r>
      <w:r w:rsidRPr="002C78D6">
        <w:rPr>
          <w:rFonts w:cs="Arial"/>
          <w:sz w:val="20"/>
          <w:szCs w:val="20"/>
          <w:rtl/>
        </w:rPr>
        <w:t xml:space="preserve"> שמעון אמרי: נראין דברי רבי אליעזר מדברי רבי יהושע, ודברי רבי עקיבא מדברי כולן, אבל הלכה כרבי אליעזר</w:t>
      </w:r>
      <w:r>
        <w:rPr>
          <w:rFonts w:cs="Arial" w:hint="cs"/>
          <w:sz w:val="20"/>
          <w:szCs w:val="20"/>
          <w:rtl/>
        </w:rPr>
        <w:t>"</w:t>
      </w:r>
      <w:r w:rsidRPr="002C78D6">
        <w:rPr>
          <w:rFonts w:cs="Arial"/>
          <w:sz w:val="20"/>
          <w:szCs w:val="20"/>
          <w:rtl/>
        </w:rPr>
        <w:t>.</w:t>
      </w:r>
    </w:p>
    <w:p w:rsidR="00620060" w:rsidRDefault="00620060" w:rsidP="00620060">
      <w:pPr>
        <w:rPr>
          <w:sz w:val="20"/>
          <w:szCs w:val="20"/>
          <w:rtl/>
        </w:rPr>
      </w:pPr>
      <w:r>
        <w:rPr>
          <w:rFonts w:hint="cs"/>
          <w:sz w:val="20"/>
          <w:szCs w:val="20"/>
          <w:u w:val="single"/>
          <w:rtl/>
        </w:rPr>
        <w:t>סיכום הדעות</w:t>
      </w:r>
      <w:r>
        <w:rPr>
          <w:rFonts w:hint="cs"/>
          <w:sz w:val="20"/>
          <w:szCs w:val="20"/>
          <w:u w:val="single"/>
          <w:rtl/>
        </w:rPr>
        <w:br/>
      </w:r>
      <w:r>
        <w:rPr>
          <w:rFonts w:hint="cs"/>
          <w:sz w:val="20"/>
          <w:szCs w:val="20"/>
          <w:rtl/>
        </w:rPr>
        <w:t xml:space="preserve">המקרה </w:t>
      </w:r>
      <w:r>
        <w:rPr>
          <w:sz w:val="20"/>
          <w:szCs w:val="20"/>
          <w:rtl/>
        </w:rPr>
        <w:t>–</w:t>
      </w:r>
      <w:r>
        <w:rPr>
          <w:rFonts w:hint="cs"/>
          <w:sz w:val="20"/>
          <w:szCs w:val="20"/>
          <w:rtl/>
        </w:rPr>
        <w:t xml:space="preserve"> זבה שבדקה עצמה רק ביום ראשון ושביעי ומצאה טהורה, האם היא טהורה?</w:t>
      </w:r>
      <w:r>
        <w:rPr>
          <w:sz w:val="20"/>
          <w:szCs w:val="20"/>
          <w:u w:val="single"/>
          <w:rtl/>
        </w:rPr>
        <w:br/>
      </w:r>
      <w:r>
        <w:rPr>
          <w:rFonts w:hint="cs"/>
          <w:sz w:val="20"/>
          <w:szCs w:val="20"/>
          <w:rtl/>
        </w:rPr>
        <w:t xml:space="preserve">א. רבי אליעזר </w:t>
      </w:r>
      <w:r>
        <w:rPr>
          <w:sz w:val="20"/>
          <w:szCs w:val="20"/>
          <w:rtl/>
        </w:rPr>
        <w:t>–</w:t>
      </w:r>
      <w:r>
        <w:rPr>
          <w:rFonts w:hint="cs"/>
          <w:sz w:val="20"/>
          <w:szCs w:val="20"/>
          <w:rtl/>
        </w:rPr>
        <w:t xml:space="preserve"> כן, וכן הלכה.</w:t>
      </w:r>
      <w:r>
        <w:rPr>
          <w:sz w:val="20"/>
          <w:szCs w:val="20"/>
          <w:rtl/>
        </w:rPr>
        <w:br/>
      </w:r>
      <w:r>
        <w:rPr>
          <w:rFonts w:hint="cs"/>
          <w:sz w:val="20"/>
          <w:szCs w:val="20"/>
          <w:rtl/>
        </w:rPr>
        <w:t xml:space="preserve">ב. רבי יהושע </w:t>
      </w:r>
      <w:r>
        <w:rPr>
          <w:sz w:val="20"/>
          <w:szCs w:val="20"/>
          <w:rtl/>
        </w:rPr>
        <w:t>–</w:t>
      </w:r>
      <w:r>
        <w:rPr>
          <w:rFonts w:hint="cs"/>
          <w:sz w:val="20"/>
          <w:szCs w:val="20"/>
          <w:rtl/>
        </w:rPr>
        <w:t xml:space="preserve"> צריכה למנות מעתה חמישה ימים נקיים נוספים.</w:t>
      </w:r>
      <w:r>
        <w:rPr>
          <w:sz w:val="20"/>
          <w:szCs w:val="20"/>
          <w:rtl/>
        </w:rPr>
        <w:br/>
      </w:r>
      <w:r>
        <w:rPr>
          <w:rFonts w:hint="cs"/>
          <w:sz w:val="20"/>
          <w:szCs w:val="20"/>
          <w:rtl/>
        </w:rPr>
        <w:t xml:space="preserve">ג. רבי עקיבא </w:t>
      </w:r>
      <w:r>
        <w:rPr>
          <w:sz w:val="20"/>
          <w:szCs w:val="20"/>
          <w:rtl/>
        </w:rPr>
        <w:t>–</w:t>
      </w:r>
      <w:r>
        <w:rPr>
          <w:rFonts w:hint="cs"/>
          <w:sz w:val="20"/>
          <w:szCs w:val="20"/>
          <w:rtl/>
        </w:rPr>
        <w:t xml:space="preserve"> צריכה למנות מעתה שישה ימים נקיים נוספים.</w:t>
      </w:r>
    </w:p>
    <w:p w:rsidR="00620060" w:rsidRDefault="00620060" w:rsidP="00620060">
      <w:pPr>
        <w:rPr>
          <w:sz w:val="20"/>
          <w:szCs w:val="20"/>
          <w:rtl/>
        </w:rPr>
      </w:pPr>
      <w:r>
        <w:rPr>
          <w:rFonts w:hint="cs"/>
          <w:sz w:val="20"/>
          <w:szCs w:val="20"/>
          <w:rtl/>
        </w:rPr>
        <w:t xml:space="preserve">ב. </w:t>
      </w:r>
      <w:r w:rsidRPr="00D27444">
        <w:rPr>
          <w:rFonts w:hint="cs"/>
          <w:b/>
          <w:bCs/>
          <w:sz w:val="20"/>
          <w:szCs w:val="20"/>
          <w:rtl/>
        </w:rPr>
        <w:t>בדקה עצמה ביום הראשון או השביעי</w:t>
      </w:r>
      <w:r>
        <w:rPr>
          <w:b/>
          <w:bCs/>
          <w:sz w:val="20"/>
          <w:szCs w:val="20"/>
          <w:rtl/>
        </w:rPr>
        <w:br/>
      </w:r>
      <w:r>
        <w:rPr>
          <w:rFonts w:hint="cs"/>
          <w:b/>
          <w:bCs/>
          <w:sz w:val="20"/>
          <w:szCs w:val="20"/>
          <w:rtl/>
        </w:rPr>
        <w:t xml:space="preserve">גמרא </w:t>
      </w:r>
      <w:r>
        <w:rPr>
          <w:rFonts w:hint="cs"/>
          <w:sz w:val="20"/>
          <w:szCs w:val="20"/>
          <w:rtl/>
        </w:rPr>
        <w:t xml:space="preserve">(שם </w:t>
      </w:r>
      <w:r>
        <w:rPr>
          <w:sz w:val="20"/>
          <w:szCs w:val="20"/>
          <w:rtl/>
        </w:rPr>
        <w:t>–</w:t>
      </w:r>
      <w:r>
        <w:rPr>
          <w:rFonts w:hint="cs"/>
          <w:sz w:val="20"/>
          <w:szCs w:val="20"/>
          <w:rtl/>
        </w:rPr>
        <w:t xml:space="preserve"> סט.) "</w:t>
      </w:r>
      <w:r w:rsidRPr="00932824">
        <w:rPr>
          <w:rFonts w:cs="Arial"/>
          <w:sz w:val="20"/>
          <w:szCs w:val="20"/>
          <w:rtl/>
        </w:rPr>
        <w:t>איבעיא להו: הזב והזבה שבדקו עצמן יום ראשון ויום שמיני ומצאו טהור, ושאר הימים לא בדקו,</w:t>
      </w:r>
      <w:r w:rsidRPr="00932824">
        <w:rPr>
          <w:rtl/>
        </w:rPr>
        <w:t xml:space="preserve"> </w:t>
      </w:r>
      <w:r w:rsidRPr="00932824">
        <w:rPr>
          <w:rFonts w:cs="Arial"/>
          <w:sz w:val="20"/>
          <w:szCs w:val="20"/>
          <w:rtl/>
        </w:rPr>
        <w:t>לרבי אליעזר מהו? תח</w:t>
      </w:r>
      <w:r>
        <w:rPr>
          <w:rFonts w:cs="Arial" w:hint="cs"/>
          <w:sz w:val="20"/>
          <w:szCs w:val="20"/>
          <w:rtl/>
        </w:rPr>
        <w:t>י</w:t>
      </w:r>
      <w:r w:rsidRPr="00932824">
        <w:rPr>
          <w:rFonts w:cs="Arial"/>
          <w:sz w:val="20"/>
          <w:szCs w:val="20"/>
          <w:rtl/>
        </w:rPr>
        <w:t>לתן וסופן בעינן, והכא - תח</w:t>
      </w:r>
      <w:r>
        <w:rPr>
          <w:rFonts w:cs="Arial" w:hint="cs"/>
          <w:sz w:val="20"/>
          <w:szCs w:val="20"/>
          <w:rtl/>
        </w:rPr>
        <w:t>י</w:t>
      </w:r>
      <w:r w:rsidRPr="00932824">
        <w:rPr>
          <w:rFonts w:cs="Arial"/>
          <w:sz w:val="20"/>
          <w:szCs w:val="20"/>
          <w:rtl/>
        </w:rPr>
        <w:t>לתן איכא סופן ליכא. או דילמא - תח</w:t>
      </w:r>
      <w:r>
        <w:rPr>
          <w:rFonts w:cs="Arial" w:hint="cs"/>
          <w:sz w:val="20"/>
          <w:szCs w:val="20"/>
          <w:rtl/>
        </w:rPr>
        <w:t>י</w:t>
      </w:r>
      <w:r w:rsidRPr="00932824">
        <w:rPr>
          <w:rFonts w:cs="Arial"/>
          <w:sz w:val="20"/>
          <w:szCs w:val="20"/>
          <w:rtl/>
        </w:rPr>
        <w:t>לתן אף על גב שאין סופן? אמר רב: היא היא, תח</w:t>
      </w:r>
      <w:r>
        <w:rPr>
          <w:rFonts w:cs="Arial" w:hint="cs"/>
          <w:sz w:val="20"/>
          <w:szCs w:val="20"/>
          <w:rtl/>
        </w:rPr>
        <w:t>י</w:t>
      </w:r>
      <w:r w:rsidRPr="00932824">
        <w:rPr>
          <w:rFonts w:cs="Arial"/>
          <w:sz w:val="20"/>
          <w:szCs w:val="20"/>
          <w:rtl/>
        </w:rPr>
        <w:t>לתן אף על פי שאין סופן. ורבי חנינא אמר: תח</w:t>
      </w:r>
      <w:r>
        <w:rPr>
          <w:rFonts w:cs="Arial" w:hint="cs"/>
          <w:sz w:val="20"/>
          <w:szCs w:val="20"/>
          <w:rtl/>
        </w:rPr>
        <w:t>י</w:t>
      </w:r>
      <w:r w:rsidRPr="00932824">
        <w:rPr>
          <w:rFonts w:cs="Arial"/>
          <w:sz w:val="20"/>
          <w:szCs w:val="20"/>
          <w:rtl/>
        </w:rPr>
        <w:t>לתן וסופן בעינן, הכא - תח</w:t>
      </w:r>
      <w:r>
        <w:rPr>
          <w:rFonts w:cs="Arial" w:hint="cs"/>
          <w:sz w:val="20"/>
          <w:szCs w:val="20"/>
          <w:rtl/>
        </w:rPr>
        <w:t>י</w:t>
      </w:r>
      <w:r w:rsidRPr="00932824">
        <w:rPr>
          <w:rFonts w:cs="Arial"/>
          <w:sz w:val="20"/>
          <w:szCs w:val="20"/>
          <w:rtl/>
        </w:rPr>
        <w:t>לתן איכא סופן ליכא</w:t>
      </w:r>
      <w:r>
        <w:rPr>
          <w:rFonts w:cs="Arial" w:hint="cs"/>
          <w:sz w:val="20"/>
          <w:szCs w:val="20"/>
          <w:rtl/>
        </w:rPr>
        <w:t>...</w:t>
      </w:r>
      <w:r>
        <w:rPr>
          <w:rFonts w:cs="Arial"/>
          <w:sz w:val="20"/>
          <w:szCs w:val="20"/>
          <w:rtl/>
        </w:rPr>
        <w:br/>
      </w:r>
      <w:r w:rsidRPr="00932824">
        <w:rPr>
          <w:rFonts w:cs="Arial"/>
          <w:sz w:val="20"/>
          <w:szCs w:val="20"/>
          <w:rtl/>
        </w:rPr>
        <w:t xml:space="preserve">אמר רב ירמיה בר אבא אמר רב: זבה שהפרישה בטהרה בשלישי שלה - סופרתו למנין ז' נקיים. אמר ליה רב ששת לרב ירמיה בר אבא: רב ככותאי אמרה לשמעתיה, דאמרי יום שפוסקת בו סופרתו למנין ז'! כי קאמר רב - לבר משלישי, בר משלישי - פשיטא! לא צריכא, כגון דלא בדקה עד שביעי, ואשמועינן התם - תחלתן אף על פי שאין סופן, והכא </w:t>
      </w:r>
      <w:r>
        <w:rPr>
          <w:rFonts w:cs="Arial" w:hint="cs"/>
          <w:sz w:val="20"/>
          <w:szCs w:val="20"/>
          <w:rtl/>
        </w:rPr>
        <w:t>קא משמע לן</w:t>
      </w:r>
      <w:r w:rsidRPr="00932824">
        <w:rPr>
          <w:rFonts w:cs="Arial"/>
          <w:sz w:val="20"/>
          <w:szCs w:val="20"/>
          <w:rtl/>
        </w:rPr>
        <w:t xml:space="preserve"> - סופן אף על פי שאין תחלתן. דמהו דתימא: תחלתן אף על פי שאין סופן הוא דאמרינן, דאוקמינהו אחזקייהו, אבל סופן אף על פי שאין תחלתן - לא, ק</w:t>
      </w:r>
      <w:r>
        <w:rPr>
          <w:rFonts w:cs="Arial" w:hint="cs"/>
          <w:sz w:val="20"/>
          <w:szCs w:val="20"/>
          <w:rtl/>
        </w:rPr>
        <w:t>א משמע לן".</w:t>
      </w:r>
    </w:p>
    <w:p w:rsidR="00620060" w:rsidRDefault="00620060" w:rsidP="00620060">
      <w:pPr>
        <w:rPr>
          <w:sz w:val="20"/>
          <w:szCs w:val="20"/>
          <w:rtl/>
        </w:rPr>
      </w:pPr>
      <w:r>
        <w:rPr>
          <w:rFonts w:hint="cs"/>
          <w:sz w:val="20"/>
          <w:szCs w:val="20"/>
          <w:u w:val="single"/>
          <w:rtl/>
        </w:rPr>
        <w:t>הסבר</w:t>
      </w:r>
      <w:r>
        <w:rPr>
          <w:sz w:val="20"/>
          <w:szCs w:val="20"/>
          <w:u w:val="single"/>
          <w:rtl/>
        </w:rPr>
        <w:br/>
      </w:r>
      <w:r>
        <w:rPr>
          <w:rFonts w:hint="cs"/>
          <w:sz w:val="20"/>
          <w:szCs w:val="20"/>
          <w:rtl/>
        </w:rPr>
        <w:t>לאחר שנפסק כי הלכה כרבי אליעזר המקל, הגמרא מבררת מה הדין אם האשה בדקה רק ביום א' וח'?</w:t>
      </w:r>
      <w:r>
        <w:rPr>
          <w:sz w:val="20"/>
          <w:szCs w:val="20"/>
          <w:rtl/>
        </w:rPr>
        <w:br/>
      </w:r>
      <w:r>
        <w:rPr>
          <w:rFonts w:hint="cs"/>
          <w:sz w:val="20"/>
          <w:szCs w:val="20"/>
          <w:rtl/>
        </w:rPr>
        <w:t xml:space="preserve">רב </w:t>
      </w:r>
      <w:r>
        <w:rPr>
          <w:sz w:val="20"/>
          <w:szCs w:val="20"/>
          <w:rtl/>
        </w:rPr>
        <w:t>–</w:t>
      </w:r>
      <w:r>
        <w:rPr>
          <w:rFonts w:hint="cs"/>
          <w:sz w:val="20"/>
          <w:szCs w:val="20"/>
          <w:rtl/>
        </w:rPr>
        <w:t xml:space="preserve"> טהורה; טעם </w:t>
      </w:r>
      <w:r>
        <w:rPr>
          <w:sz w:val="20"/>
          <w:szCs w:val="20"/>
          <w:rtl/>
        </w:rPr>
        <w:t>–</w:t>
      </w:r>
      <w:r>
        <w:rPr>
          <w:rFonts w:hint="cs"/>
          <w:sz w:val="20"/>
          <w:szCs w:val="20"/>
          <w:rtl/>
        </w:rPr>
        <w:t xml:space="preserve"> בירור בתחילת ימי הטהרה מועיל אע"פ שאין בירור בסוף ימי הטהרה.</w:t>
      </w:r>
      <w:r>
        <w:rPr>
          <w:sz w:val="20"/>
          <w:szCs w:val="20"/>
          <w:rtl/>
        </w:rPr>
        <w:br/>
      </w:r>
      <w:r>
        <w:rPr>
          <w:rFonts w:hint="cs"/>
          <w:sz w:val="20"/>
          <w:szCs w:val="20"/>
          <w:rtl/>
        </w:rPr>
        <w:t xml:space="preserve">רבי חנינא </w:t>
      </w:r>
      <w:r>
        <w:rPr>
          <w:sz w:val="20"/>
          <w:szCs w:val="20"/>
          <w:rtl/>
        </w:rPr>
        <w:t>–</w:t>
      </w:r>
      <w:r>
        <w:rPr>
          <w:rFonts w:hint="cs"/>
          <w:sz w:val="20"/>
          <w:szCs w:val="20"/>
          <w:rtl/>
        </w:rPr>
        <w:t xml:space="preserve"> טמאה; טעם </w:t>
      </w:r>
      <w:r>
        <w:rPr>
          <w:sz w:val="20"/>
          <w:szCs w:val="20"/>
          <w:rtl/>
        </w:rPr>
        <w:t>–</w:t>
      </w:r>
      <w:r>
        <w:rPr>
          <w:rFonts w:hint="cs"/>
          <w:sz w:val="20"/>
          <w:szCs w:val="20"/>
          <w:rtl/>
        </w:rPr>
        <w:t xml:space="preserve"> צריך בירור בתחילה ובסוף.</w:t>
      </w:r>
      <w:r>
        <w:rPr>
          <w:sz w:val="20"/>
          <w:szCs w:val="20"/>
          <w:rtl/>
        </w:rPr>
        <w:br/>
      </w:r>
      <w:r>
        <w:rPr>
          <w:rFonts w:hint="cs"/>
          <w:sz w:val="20"/>
          <w:szCs w:val="20"/>
          <w:rtl/>
        </w:rPr>
        <w:t>בהמשך הגמרא, מחדש רב שאפילו אם בדקה רק בסוך ימי הטהרה, טהורה לרבי אליעזר.</w:t>
      </w:r>
      <w:r>
        <w:rPr>
          <w:sz w:val="20"/>
          <w:szCs w:val="20"/>
          <w:rtl/>
        </w:rPr>
        <w:br/>
      </w:r>
      <w:r>
        <w:rPr>
          <w:rFonts w:hint="cs"/>
          <w:sz w:val="20"/>
          <w:szCs w:val="20"/>
          <w:rtl/>
        </w:rPr>
        <w:lastRenderedPageBreak/>
        <w:t xml:space="preserve">כלומר </w:t>
      </w:r>
      <w:r>
        <w:rPr>
          <w:sz w:val="20"/>
          <w:szCs w:val="20"/>
          <w:rtl/>
        </w:rPr>
        <w:t>–</w:t>
      </w:r>
      <w:r>
        <w:rPr>
          <w:rFonts w:hint="cs"/>
          <w:sz w:val="20"/>
          <w:szCs w:val="20"/>
          <w:rtl/>
        </w:rPr>
        <w:t xml:space="preserve"> בין בתחילת ימי הטהרה ובין בסוף מהני בדיקה אחת לטהר אותה מטומאתה.</w:t>
      </w:r>
      <w:r>
        <w:rPr>
          <w:sz w:val="20"/>
          <w:szCs w:val="20"/>
          <w:rtl/>
        </w:rPr>
        <w:br/>
      </w:r>
      <w:r>
        <w:rPr>
          <w:rFonts w:hint="cs"/>
          <w:sz w:val="20"/>
          <w:szCs w:val="20"/>
          <w:rtl/>
        </w:rPr>
        <w:t>ואמנם, כל זה בתנאי שעשתה הפסק טהרה לפני הז' נקיים.</w:t>
      </w:r>
    </w:p>
    <w:p w:rsidR="00620060" w:rsidRDefault="00620060" w:rsidP="00620060">
      <w:pPr>
        <w:rPr>
          <w:sz w:val="20"/>
          <w:szCs w:val="20"/>
          <w:rtl/>
        </w:rPr>
      </w:pPr>
      <w:r>
        <w:rPr>
          <w:rFonts w:hint="cs"/>
          <w:b/>
          <w:bCs/>
          <w:sz w:val="20"/>
          <w:szCs w:val="20"/>
          <w:rtl/>
        </w:rPr>
        <w:t>שיטות הראשונים</w:t>
      </w:r>
      <w:r>
        <w:rPr>
          <w:b/>
          <w:bCs/>
          <w:sz w:val="20"/>
          <w:szCs w:val="20"/>
          <w:rtl/>
        </w:rPr>
        <w:br/>
      </w:r>
      <w:r>
        <w:rPr>
          <w:rFonts w:hint="cs"/>
          <w:sz w:val="20"/>
          <w:szCs w:val="20"/>
          <w:rtl/>
        </w:rPr>
        <w:t xml:space="preserve">א. </w:t>
      </w:r>
      <w:r w:rsidRPr="000D786A">
        <w:rPr>
          <w:rFonts w:hint="cs"/>
          <w:b/>
          <w:bCs/>
          <w:sz w:val="20"/>
          <w:szCs w:val="20"/>
          <w:rtl/>
        </w:rPr>
        <w:t>ראב"ד ורא"ש</w:t>
      </w:r>
      <w:r>
        <w:rPr>
          <w:rFonts w:hint="cs"/>
          <w:sz w:val="20"/>
          <w:szCs w:val="20"/>
          <w:rtl/>
        </w:rPr>
        <w:t xml:space="preserve"> </w:t>
      </w:r>
      <w:r>
        <w:rPr>
          <w:sz w:val="20"/>
          <w:szCs w:val="20"/>
          <w:rtl/>
        </w:rPr>
        <w:t>–</w:t>
      </w:r>
      <w:r>
        <w:rPr>
          <w:rFonts w:hint="cs"/>
          <w:sz w:val="20"/>
          <w:szCs w:val="20"/>
          <w:rtl/>
        </w:rPr>
        <w:t xml:space="preserve"> הלכה כרב, בדיעבד מהני בדיקה ביום הראשון או בשביעי.</w:t>
      </w:r>
      <w:r>
        <w:rPr>
          <w:rFonts w:hint="cs"/>
          <w:sz w:val="20"/>
          <w:szCs w:val="20"/>
          <w:rtl/>
        </w:rPr>
        <w:br/>
      </w:r>
      <w:r w:rsidRPr="000D786A">
        <w:rPr>
          <w:rFonts w:hint="cs"/>
          <w:b/>
          <w:bCs/>
          <w:sz w:val="20"/>
          <w:szCs w:val="20"/>
          <w:rtl/>
        </w:rPr>
        <w:t xml:space="preserve">טעם </w:t>
      </w:r>
      <w:r>
        <w:rPr>
          <w:sz w:val="20"/>
          <w:szCs w:val="20"/>
          <w:rtl/>
        </w:rPr>
        <w:t>–</w:t>
      </w:r>
      <w:r>
        <w:rPr>
          <w:rFonts w:hint="cs"/>
          <w:sz w:val="20"/>
          <w:szCs w:val="20"/>
          <w:rtl/>
        </w:rPr>
        <w:t xml:space="preserve"> רב ששת ורבי ירמיה שקלו וטרו אליבא דרב, משמע שסוברים כמותו.</w:t>
      </w:r>
      <w:r>
        <w:rPr>
          <w:sz w:val="20"/>
          <w:szCs w:val="20"/>
          <w:rtl/>
        </w:rPr>
        <w:br/>
      </w:r>
      <w:r>
        <w:rPr>
          <w:rFonts w:hint="cs"/>
          <w:sz w:val="20"/>
          <w:szCs w:val="20"/>
          <w:rtl/>
        </w:rPr>
        <w:t xml:space="preserve">ב. </w:t>
      </w:r>
      <w:r w:rsidRPr="000D786A">
        <w:rPr>
          <w:rFonts w:hint="cs"/>
          <w:b/>
          <w:bCs/>
          <w:sz w:val="20"/>
          <w:szCs w:val="20"/>
          <w:rtl/>
        </w:rPr>
        <w:t>סמ"ג</w:t>
      </w:r>
      <w:r>
        <w:rPr>
          <w:rFonts w:hint="cs"/>
          <w:sz w:val="20"/>
          <w:szCs w:val="20"/>
          <w:rtl/>
        </w:rPr>
        <w:t xml:space="preserve"> </w:t>
      </w:r>
      <w:r>
        <w:rPr>
          <w:sz w:val="20"/>
          <w:szCs w:val="20"/>
          <w:rtl/>
        </w:rPr>
        <w:t>–</w:t>
      </w:r>
      <w:r>
        <w:rPr>
          <w:rFonts w:hint="cs"/>
          <w:sz w:val="20"/>
          <w:szCs w:val="20"/>
          <w:rtl/>
        </w:rPr>
        <w:t xml:space="preserve"> יש להחמיר מספק כרבי חנינא, כלומר רק אם בדקה ביום הראשון והשביעי טהורה.</w:t>
      </w:r>
      <w:r>
        <w:rPr>
          <w:sz w:val="20"/>
          <w:szCs w:val="20"/>
          <w:rtl/>
        </w:rPr>
        <w:br/>
      </w:r>
      <w:r w:rsidRPr="000D786A">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כיוון שלא התברר כמי הלכה ראוי להחמיר, דהיינו שלא יהיו חמישה ימים רצופים ללא בדיקה ביניהם.</w:t>
      </w:r>
    </w:p>
    <w:p w:rsidR="00620060" w:rsidRDefault="00620060" w:rsidP="00620060">
      <w:pPr>
        <w:rPr>
          <w:sz w:val="20"/>
          <w:szCs w:val="20"/>
          <w:rtl/>
        </w:rPr>
      </w:pPr>
      <w:r>
        <w:rPr>
          <w:rFonts w:hint="cs"/>
          <w:sz w:val="20"/>
          <w:szCs w:val="20"/>
          <w:rtl/>
        </w:rPr>
        <w:t xml:space="preserve">הכרעת </w:t>
      </w:r>
      <w:r w:rsidRPr="00D62C6F">
        <w:rPr>
          <w:rFonts w:hint="cs"/>
          <w:b/>
          <w:bCs/>
          <w:sz w:val="20"/>
          <w:szCs w:val="20"/>
          <w:rtl/>
        </w:rPr>
        <w:t>הבית יוסף</w:t>
      </w:r>
      <w:r>
        <w:rPr>
          <w:rFonts w:hint="cs"/>
          <w:sz w:val="20"/>
          <w:szCs w:val="20"/>
          <w:rtl/>
        </w:rPr>
        <w:t xml:space="preserve"> </w:t>
      </w:r>
      <w:r>
        <w:rPr>
          <w:sz w:val="20"/>
          <w:szCs w:val="20"/>
          <w:rtl/>
        </w:rPr>
        <w:t>–</w:t>
      </w:r>
      <w:r>
        <w:rPr>
          <w:rFonts w:hint="cs"/>
          <w:sz w:val="20"/>
          <w:szCs w:val="20"/>
          <w:rtl/>
        </w:rPr>
        <w:t xml:space="preserve"> הלכה </w:t>
      </w:r>
      <w:r w:rsidRPr="00D62C6F">
        <w:rPr>
          <w:rFonts w:hint="cs"/>
          <w:b/>
          <w:bCs/>
          <w:sz w:val="20"/>
          <w:szCs w:val="20"/>
          <w:rtl/>
        </w:rPr>
        <w:t>כסמ"ג</w:t>
      </w:r>
      <w:r>
        <w:rPr>
          <w:rFonts w:hint="cs"/>
          <w:sz w:val="20"/>
          <w:szCs w:val="20"/>
          <w:rtl/>
        </w:rPr>
        <w:t>.</w:t>
      </w:r>
      <w:r>
        <w:rPr>
          <w:sz w:val="20"/>
          <w:szCs w:val="20"/>
          <w:rtl/>
        </w:rPr>
        <w:br/>
      </w:r>
      <w:r w:rsidRPr="00D62C6F">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אין להקל בדבר שהוא ספק איסור כרת</w:t>
      </w:r>
      <w:r>
        <w:rPr>
          <w:rStyle w:val="a5"/>
          <w:sz w:val="20"/>
          <w:szCs w:val="20"/>
          <w:rtl/>
        </w:rPr>
        <w:footnoteReference w:id="516"/>
      </w:r>
      <w:r>
        <w:rPr>
          <w:rFonts w:hint="cs"/>
          <w:sz w:val="20"/>
          <w:szCs w:val="20"/>
          <w:rtl/>
        </w:rPr>
        <w:t>.</w:t>
      </w:r>
    </w:p>
    <w:p w:rsidR="00620060" w:rsidRDefault="00620060" w:rsidP="00620060">
      <w:pPr>
        <w:rPr>
          <w:sz w:val="20"/>
          <w:szCs w:val="20"/>
          <w:rtl/>
        </w:rPr>
      </w:pPr>
      <w:r>
        <w:rPr>
          <w:rFonts w:hint="cs"/>
          <w:sz w:val="20"/>
          <w:szCs w:val="20"/>
          <w:rtl/>
        </w:rPr>
        <w:t xml:space="preserve">ג. </w:t>
      </w:r>
      <w:r>
        <w:rPr>
          <w:rFonts w:hint="cs"/>
          <w:b/>
          <w:bCs/>
          <w:sz w:val="20"/>
          <w:szCs w:val="20"/>
          <w:rtl/>
        </w:rPr>
        <w:t xml:space="preserve">בדקה עצמה באמצע הז' נקיים </w:t>
      </w:r>
      <w:r>
        <w:rPr>
          <w:b/>
          <w:bCs/>
          <w:sz w:val="20"/>
          <w:szCs w:val="20"/>
          <w:rtl/>
        </w:rPr>
        <w:t>–</w:t>
      </w:r>
      <w:r>
        <w:rPr>
          <w:rFonts w:hint="cs"/>
          <w:b/>
          <w:bCs/>
          <w:sz w:val="20"/>
          <w:szCs w:val="20"/>
          <w:rtl/>
        </w:rPr>
        <w:t xml:space="preserve"> שיטות הראשונים</w:t>
      </w:r>
      <w:r>
        <w:rPr>
          <w:rFonts w:hint="cs"/>
          <w:b/>
          <w:bCs/>
          <w:sz w:val="20"/>
          <w:szCs w:val="20"/>
          <w:rtl/>
        </w:rPr>
        <w:br/>
      </w:r>
      <w:r>
        <w:rPr>
          <w:rFonts w:hint="cs"/>
          <w:sz w:val="20"/>
          <w:szCs w:val="20"/>
          <w:rtl/>
        </w:rPr>
        <w:t xml:space="preserve">עד עתה דנו במי שבדקה עצמה בתחילה או בסוף ז' נקיים. הראשונים נחלקו מה הדין </w:t>
      </w:r>
      <w:r w:rsidRPr="00851A81">
        <w:rPr>
          <w:rFonts w:hint="cs"/>
          <w:sz w:val="18"/>
          <w:szCs w:val="18"/>
          <w:rtl/>
        </w:rPr>
        <w:t xml:space="preserve">(לשיטת רב) </w:t>
      </w:r>
      <w:r>
        <w:rPr>
          <w:rFonts w:hint="cs"/>
          <w:sz w:val="20"/>
          <w:szCs w:val="20"/>
          <w:rtl/>
        </w:rPr>
        <w:t>אם בדקה עצמה באמצע ז' נקיים בלבד אך לא בדקה עצמה בתחילה או בסוף, האם מהני?</w:t>
      </w:r>
      <w:r>
        <w:rPr>
          <w:sz w:val="20"/>
          <w:szCs w:val="20"/>
          <w:rtl/>
        </w:rPr>
        <w:br/>
      </w:r>
      <w:r>
        <w:rPr>
          <w:rFonts w:hint="cs"/>
          <w:sz w:val="20"/>
          <w:szCs w:val="20"/>
          <w:rtl/>
        </w:rPr>
        <w:t xml:space="preserve">א. </w:t>
      </w:r>
      <w:r w:rsidRPr="00945760">
        <w:rPr>
          <w:rFonts w:hint="cs"/>
          <w:b/>
          <w:bCs/>
          <w:sz w:val="20"/>
          <w:szCs w:val="20"/>
          <w:rtl/>
        </w:rPr>
        <w:t>ראב"ד</w:t>
      </w:r>
      <w:r>
        <w:rPr>
          <w:rFonts w:hint="cs"/>
          <w:sz w:val="20"/>
          <w:szCs w:val="20"/>
          <w:rtl/>
        </w:rPr>
        <w:t xml:space="preserve"> </w:t>
      </w:r>
      <w:r>
        <w:rPr>
          <w:sz w:val="20"/>
          <w:szCs w:val="20"/>
          <w:rtl/>
        </w:rPr>
        <w:t>–</w:t>
      </w:r>
      <w:r>
        <w:rPr>
          <w:rFonts w:hint="cs"/>
          <w:sz w:val="20"/>
          <w:szCs w:val="20"/>
          <w:rtl/>
        </w:rPr>
        <w:t xml:space="preserve"> מסתבר שיש להקל בכך.</w:t>
      </w:r>
      <w:r>
        <w:rPr>
          <w:sz w:val="20"/>
          <w:szCs w:val="20"/>
          <w:rtl/>
        </w:rPr>
        <w:br/>
      </w:r>
      <w:r w:rsidRPr="00B87C21">
        <w:rPr>
          <w:rFonts w:hint="cs"/>
          <w:b/>
          <w:bCs/>
          <w:sz w:val="20"/>
          <w:szCs w:val="20"/>
          <w:rtl/>
        </w:rPr>
        <w:t>ראיה</w:t>
      </w:r>
      <w:r>
        <w:rPr>
          <w:rFonts w:hint="cs"/>
          <w:sz w:val="20"/>
          <w:szCs w:val="20"/>
          <w:rtl/>
        </w:rPr>
        <w:t xml:space="preserve"> - </w:t>
      </w:r>
      <w:r>
        <w:rPr>
          <w:rFonts w:hint="cs"/>
          <w:b/>
          <w:bCs/>
          <w:sz w:val="20"/>
          <w:szCs w:val="20"/>
          <w:rtl/>
        </w:rPr>
        <w:t xml:space="preserve">משנה </w:t>
      </w:r>
      <w:r>
        <w:rPr>
          <w:rFonts w:hint="cs"/>
          <w:sz w:val="20"/>
          <w:szCs w:val="20"/>
          <w:rtl/>
        </w:rPr>
        <w:t>נידה (סח.) "</w:t>
      </w:r>
      <w:r>
        <w:rPr>
          <w:rFonts w:cs="Arial" w:hint="cs"/>
          <w:sz w:val="20"/>
          <w:szCs w:val="20"/>
          <w:rtl/>
        </w:rPr>
        <w:t xml:space="preserve">... </w:t>
      </w:r>
      <w:r w:rsidRPr="002A1ED1">
        <w:rPr>
          <w:rFonts w:cs="Arial"/>
          <w:sz w:val="20"/>
          <w:szCs w:val="20"/>
          <w:rtl/>
        </w:rPr>
        <w:t>חכמים אומרים: אפילו בשני</w:t>
      </w:r>
      <w:r>
        <w:rPr>
          <w:rFonts w:cs="Arial" w:hint="cs"/>
          <w:sz w:val="20"/>
          <w:szCs w:val="20"/>
          <w:rtl/>
        </w:rPr>
        <w:t>י</w:t>
      </w:r>
      <w:r w:rsidRPr="002A1ED1">
        <w:rPr>
          <w:rFonts w:cs="Arial"/>
          <w:sz w:val="20"/>
          <w:szCs w:val="20"/>
          <w:rtl/>
        </w:rPr>
        <w:t>ם לנ</w:t>
      </w:r>
      <w:r>
        <w:rPr>
          <w:rFonts w:cs="Arial" w:hint="cs"/>
          <w:sz w:val="20"/>
          <w:szCs w:val="20"/>
          <w:rtl/>
        </w:rPr>
        <w:t>י</w:t>
      </w:r>
      <w:r w:rsidRPr="002A1ED1">
        <w:rPr>
          <w:rFonts w:cs="Arial"/>
          <w:sz w:val="20"/>
          <w:szCs w:val="20"/>
          <w:rtl/>
        </w:rPr>
        <w:t>דתה בדקה ומצאה טהורה, ובין השמשות לא הפרישה, ולאחר זמן בדקה ומצאה טמאה - הרי זו בחזקת טהורה</w:t>
      </w:r>
      <w:r>
        <w:rPr>
          <w:rFonts w:cs="Arial" w:hint="cs"/>
          <w:sz w:val="20"/>
          <w:szCs w:val="20"/>
          <w:rtl/>
        </w:rPr>
        <w:t>"</w:t>
      </w:r>
      <w:r w:rsidRPr="002A1ED1">
        <w:rPr>
          <w:rFonts w:cs="Arial"/>
          <w:sz w:val="20"/>
          <w:szCs w:val="20"/>
          <w:rtl/>
        </w:rPr>
        <w:t>.</w:t>
      </w:r>
      <w:r>
        <w:rPr>
          <w:sz w:val="20"/>
          <w:szCs w:val="20"/>
          <w:rtl/>
        </w:rPr>
        <w:br/>
      </w:r>
      <w:r>
        <w:rPr>
          <w:rFonts w:hint="cs"/>
          <w:sz w:val="20"/>
          <w:szCs w:val="20"/>
          <w:rtl/>
        </w:rPr>
        <w:t>וכפי שהקלו בנידה שבדיקה באמצע הימים מועילה לה, הוא הדין בזבה שאין צריך דווקא בדיקת תחילה או סוף.</w:t>
      </w:r>
      <w:r>
        <w:rPr>
          <w:sz w:val="20"/>
          <w:szCs w:val="20"/>
          <w:rtl/>
        </w:rPr>
        <w:br/>
      </w:r>
      <w:r>
        <w:rPr>
          <w:rFonts w:hint="cs"/>
          <w:sz w:val="20"/>
          <w:szCs w:val="20"/>
          <w:rtl/>
        </w:rPr>
        <w:t xml:space="preserve">ב. </w:t>
      </w:r>
      <w:r w:rsidRPr="00B87C21">
        <w:rPr>
          <w:rFonts w:hint="cs"/>
          <w:b/>
          <w:bCs/>
          <w:sz w:val="20"/>
          <w:szCs w:val="20"/>
          <w:rtl/>
        </w:rPr>
        <w:t>רז"ה</w:t>
      </w:r>
      <w:r>
        <w:rPr>
          <w:rFonts w:hint="cs"/>
          <w:sz w:val="20"/>
          <w:szCs w:val="20"/>
          <w:rtl/>
        </w:rPr>
        <w:t xml:space="preserve"> </w:t>
      </w:r>
      <w:r>
        <w:rPr>
          <w:sz w:val="20"/>
          <w:szCs w:val="20"/>
          <w:rtl/>
        </w:rPr>
        <w:t>–</w:t>
      </w:r>
      <w:r>
        <w:rPr>
          <w:rFonts w:hint="cs"/>
          <w:sz w:val="20"/>
          <w:szCs w:val="20"/>
          <w:rtl/>
        </w:rPr>
        <w:t xml:space="preserve"> אין להקל בבדיקה הנעשית באמצע ז' נקיים, ואין ללמוד מדין נידה לזבה, משום שזבה צריכה ז' נקיים מה שאין כן בנידה.</w:t>
      </w:r>
    </w:p>
    <w:p w:rsidR="00620060" w:rsidRDefault="00620060" w:rsidP="00620060">
      <w:pPr>
        <w:rPr>
          <w:sz w:val="20"/>
          <w:szCs w:val="20"/>
          <w:rtl/>
        </w:rPr>
      </w:pPr>
      <w:r>
        <w:rPr>
          <w:rFonts w:hint="cs"/>
          <w:sz w:val="20"/>
          <w:szCs w:val="20"/>
          <w:rtl/>
        </w:rPr>
        <w:t xml:space="preserve">הכרעת </w:t>
      </w:r>
      <w:r w:rsidRPr="00E54824">
        <w:rPr>
          <w:rFonts w:hint="cs"/>
          <w:b/>
          <w:bCs/>
          <w:sz w:val="20"/>
          <w:szCs w:val="20"/>
          <w:rtl/>
        </w:rPr>
        <w:t>הרא"ש</w:t>
      </w:r>
      <w:r>
        <w:rPr>
          <w:rFonts w:hint="cs"/>
          <w:sz w:val="20"/>
          <w:szCs w:val="20"/>
          <w:rtl/>
        </w:rPr>
        <w:t xml:space="preserve"> </w:t>
      </w:r>
      <w:r>
        <w:rPr>
          <w:sz w:val="20"/>
          <w:szCs w:val="20"/>
          <w:rtl/>
        </w:rPr>
        <w:t>–</w:t>
      </w:r>
      <w:r>
        <w:rPr>
          <w:rFonts w:hint="cs"/>
          <w:sz w:val="20"/>
          <w:szCs w:val="20"/>
          <w:rtl/>
        </w:rPr>
        <w:t xml:space="preserve"> הלכה </w:t>
      </w:r>
      <w:r w:rsidRPr="00E54824">
        <w:rPr>
          <w:rFonts w:hint="cs"/>
          <w:b/>
          <w:bCs/>
          <w:sz w:val="20"/>
          <w:szCs w:val="20"/>
          <w:rtl/>
        </w:rPr>
        <w:t>כראב"ד</w:t>
      </w:r>
      <w:r>
        <w:rPr>
          <w:rFonts w:hint="cs"/>
          <w:sz w:val="20"/>
          <w:szCs w:val="20"/>
          <w:rtl/>
        </w:rPr>
        <w:t>.</w:t>
      </w:r>
      <w:r>
        <w:rPr>
          <w:sz w:val="20"/>
          <w:szCs w:val="20"/>
          <w:rtl/>
        </w:rPr>
        <w:br/>
      </w:r>
      <w:r w:rsidRPr="00E54824">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בדיקת אמצע עדיפה על בדיקת סוף, משום שבבדיקת אמצע הוחזקו הימים שלאחר הבדיקה בטהרה.</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CA42A3">
        <w:rPr>
          <w:rFonts w:cs="Arial"/>
          <w:sz w:val="20"/>
          <w:szCs w:val="20"/>
          <w:rtl/>
        </w:rPr>
        <w:t>בכל יום מז' ימי הספירה צריכה להיות בודקת לכתח</w:t>
      </w:r>
      <w:r>
        <w:rPr>
          <w:rFonts w:cs="Arial" w:hint="cs"/>
          <w:sz w:val="20"/>
          <w:szCs w:val="20"/>
          <w:rtl/>
        </w:rPr>
        <w:t>י</w:t>
      </w:r>
      <w:r w:rsidRPr="00CA42A3">
        <w:rPr>
          <w:rFonts w:cs="Arial"/>
          <w:sz w:val="20"/>
          <w:szCs w:val="20"/>
          <w:rtl/>
        </w:rPr>
        <w:t>לה פעמ</w:t>
      </w:r>
      <w:r>
        <w:rPr>
          <w:rFonts w:cs="Arial" w:hint="cs"/>
          <w:sz w:val="20"/>
          <w:szCs w:val="20"/>
          <w:rtl/>
        </w:rPr>
        <w:t>י</w:t>
      </w:r>
      <w:r w:rsidRPr="00CA42A3">
        <w:rPr>
          <w:rFonts w:cs="Arial"/>
          <w:sz w:val="20"/>
          <w:szCs w:val="20"/>
          <w:rtl/>
        </w:rPr>
        <w:t>ים בכל יום, אחת שחרית ואחת סמוך לבין השמשות; ואם לא בדקה בכל השבעה אלא פעם אחת, לא שנא בדקה ביום ראשון של השבעה או ביום השביעי או באחד מהאמצעים, מאחר שבדקה ביום שקודם השביעי ומצאה טהורה, עלו לה. אבל אם לא בדקה בכל הז', וביום השמיני בדקה ומצאה טהורה, אין לה אלא יום ח' בלבד ומשלמת עליו. וי</w:t>
      </w:r>
      <w:r>
        <w:rPr>
          <w:rFonts w:cs="Arial" w:hint="cs"/>
          <w:sz w:val="20"/>
          <w:szCs w:val="20"/>
          <w:rtl/>
        </w:rPr>
        <w:t>ש אומרים</w:t>
      </w:r>
      <w:r w:rsidRPr="00CA42A3">
        <w:rPr>
          <w:rFonts w:cs="Arial"/>
          <w:sz w:val="20"/>
          <w:szCs w:val="20"/>
          <w:rtl/>
        </w:rPr>
        <w:t xml:space="preserve"> שצריך שתבדוק ביום ראשון מהשבעה וביום השביעי, ואין להקל</w:t>
      </w:r>
      <w:r>
        <w:rPr>
          <w:rFonts w:cs="Arial" w:hint="cs"/>
          <w:sz w:val="20"/>
          <w:szCs w:val="20"/>
          <w:rtl/>
        </w:rPr>
        <w:t>".</w:t>
      </w:r>
      <w:r>
        <w:rPr>
          <w:sz w:val="20"/>
          <w:szCs w:val="20"/>
          <w:rtl/>
        </w:rPr>
        <w:br/>
      </w:r>
      <w:r>
        <w:rPr>
          <w:sz w:val="20"/>
          <w:szCs w:val="20"/>
          <w:u w:val="single"/>
          <w:rtl/>
        </w:rPr>
        <w:br/>
      </w:r>
      <w:r>
        <w:rPr>
          <w:rFonts w:hint="cs"/>
          <w:sz w:val="20"/>
          <w:szCs w:val="20"/>
          <w:u w:val="single"/>
          <w:rtl/>
        </w:rPr>
        <w:t>מהי דעת המחבר? (טה"ב עמ' שכג)</w:t>
      </w:r>
      <w:r>
        <w:rPr>
          <w:rFonts w:hint="cs"/>
          <w:sz w:val="20"/>
          <w:szCs w:val="20"/>
          <w:u w:val="single"/>
          <w:rtl/>
        </w:rPr>
        <w:br/>
      </w:r>
      <w:r>
        <w:rPr>
          <w:rFonts w:hint="cs"/>
          <w:sz w:val="20"/>
          <w:szCs w:val="20"/>
          <w:rtl/>
        </w:rPr>
        <w:t xml:space="preserve">א. </w:t>
      </w:r>
      <w:r w:rsidRPr="000C5DAA">
        <w:rPr>
          <w:rFonts w:hint="cs"/>
          <w:b/>
          <w:bCs/>
          <w:sz w:val="20"/>
          <w:szCs w:val="20"/>
          <w:rtl/>
        </w:rPr>
        <w:t>שו"ת שואל ומשיב</w:t>
      </w:r>
      <w:r>
        <w:rPr>
          <w:rFonts w:hint="cs"/>
          <w:sz w:val="20"/>
          <w:szCs w:val="20"/>
          <w:rtl/>
        </w:rPr>
        <w:t xml:space="preserve"> </w:t>
      </w:r>
      <w:r>
        <w:rPr>
          <w:sz w:val="20"/>
          <w:szCs w:val="20"/>
          <w:rtl/>
        </w:rPr>
        <w:t>–</w:t>
      </w:r>
      <w:r>
        <w:rPr>
          <w:rFonts w:hint="cs"/>
          <w:sz w:val="20"/>
          <w:szCs w:val="20"/>
          <w:rtl/>
        </w:rPr>
        <w:t xml:space="preserve"> המחבר פוסק להקל, בדיעבד סגי בבדיקה בתחילה או בסוף.</w:t>
      </w:r>
      <w:r>
        <w:rPr>
          <w:sz w:val="20"/>
          <w:szCs w:val="20"/>
          <w:rtl/>
        </w:rPr>
        <w:br/>
      </w:r>
      <w:r w:rsidRPr="000C5DAA">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המחבר סתם להקל, ואע"פ שלאחר שהביא את דעת המחמירים כתב שאין להקל, יש לפרש שלכתחילה אין להקל, אך בדיעבד יש להקל.</w:t>
      </w:r>
      <w:r>
        <w:rPr>
          <w:sz w:val="20"/>
          <w:szCs w:val="20"/>
          <w:rtl/>
        </w:rPr>
        <w:br/>
      </w:r>
      <w:r>
        <w:rPr>
          <w:rFonts w:hint="cs"/>
          <w:sz w:val="20"/>
          <w:szCs w:val="20"/>
          <w:rtl/>
        </w:rPr>
        <w:t xml:space="preserve">ב. </w:t>
      </w:r>
      <w:r w:rsidRPr="000C5DAA">
        <w:rPr>
          <w:rFonts w:hint="cs"/>
          <w:b/>
          <w:bCs/>
          <w:sz w:val="20"/>
          <w:szCs w:val="20"/>
          <w:rtl/>
        </w:rPr>
        <w:t>טהרת הבית</w:t>
      </w:r>
      <w:r>
        <w:rPr>
          <w:rFonts w:hint="cs"/>
          <w:sz w:val="20"/>
          <w:szCs w:val="20"/>
          <w:rtl/>
        </w:rPr>
        <w:t xml:space="preserve"> </w:t>
      </w:r>
      <w:r>
        <w:rPr>
          <w:sz w:val="20"/>
          <w:szCs w:val="20"/>
          <w:rtl/>
        </w:rPr>
        <w:t>–</w:t>
      </w:r>
      <w:r>
        <w:rPr>
          <w:rFonts w:hint="cs"/>
          <w:sz w:val="20"/>
          <w:szCs w:val="20"/>
          <w:rtl/>
        </w:rPr>
        <w:t xml:space="preserve"> המחבר פוסק להחמיר אף בדיעבד.</w:t>
      </w:r>
      <w:r>
        <w:rPr>
          <w:sz w:val="20"/>
          <w:szCs w:val="20"/>
          <w:rtl/>
        </w:rPr>
        <w:br/>
      </w:r>
      <w:r w:rsidRPr="000C5DAA">
        <w:rPr>
          <w:rFonts w:hint="cs"/>
          <w:b/>
          <w:bCs/>
          <w:sz w:val="20"/>
          <w:szCs w:val="20"/>
          <w:rtl/>
        </w:rPr>
        <w:t xml:space="preserve">טעם </w:t>
      </w:r>
      <w:r>
        <w:rPr>
          <w:sz w:val="20"/>
          <w:szCs w:val="20"/>
          <w:rtl/>
        </w:rPr>
        <w:t>–</w:t>
      </w:r>
      <w:r>
        <w:rPr>
          <w:rFonts w:hint="cs"/>
          <w:sz w:val="20"/>
          <w:szCs w:val="20"/>
          <w:rtl/>
        </w:rPr>
        <w:t xml:space="preserve"> השדי חמד כתב שבמקום שבבית יוסף הכריע הלכה כאחת הדעות, אע"פ שבשו"ע כתב את הדעה הדחויה כסתם, מכל מקום הלכה כיש אומרים, כיוון שכמותה הכריע בבית יוסף.</w:t>
      </w:r>
    </w:p>
    <w:p w:rsidR="00620060" w:rsidRDefault="00620060" w:rsidP="00620060">
      <w:pPr>
        <w:rPr>
          <w:sz w:val="20"/>
          <w:szCs w:val="20"/>
          <w:rtl/>
        </w:rPr>
      </w:pPr>
      <w:r>
        <w:rPr>
          <w:rFonts w:hint="cs"/>
          <w:sz w:val="20"/>
          <w:szCs w:val="20"/>
          <w:u w:val="single"/>
          <w:rtl/>
        </w:rPr>
        <w:t>לא בדקה עצמה ביום הראשון (פת"ש)</w:t>
      </w:r>
      <w:r>
        <w:rPr>
          <w:sz w:val="20"/>
          <w:szCs w:val="20"/>
          <w:u w:val="single"/>
          <w:rtl/>
        </w:rPr>
        <w:br/>
      </w:r>
      <w:r>
        <w:rPr>
          <w:rFonts w:hint="cs"/>
          <w:sz w:val="20"/>
          <w:szCs w:val="20"/>
          <w:rtl/>
        </w:rPr>
        <w:t xml:space="preserve">א. </w:t>
      </w:r>
      <w:r w:rsidRPr="00E432FD">
        <w:rPr>
          <w:rFonts w:hint="cs"/>
          <w:b/>
          <w:bCs/>
          <w:sz w:val="20"/>
          <w:szCs w:val="20"/>
          <w:rtl/>
        </w:rPr>
        <w:t>דגול מרבבה</w:t>
      </w:r>
      <w:r>
        <w:rPr>
          <w:rFonts w:hint="cs"/>
          <w:sz w:val="20"/>
          <w:szCs w:val="20"/>
          <w:rtl/>
        </w:rPr>
        <w:t xml:space="preserve"> </w:t>
      </w:r>
      <w:r>
        <w:rPr>
          <w:sz w:val="20"/>
          <w:szCs w:val="20"/>
          <w:rtl/>
        </w:rPr>
        <w:t>–</w:t>
      </w:r>
      <w:r>
        <w:rPr>
          <w:rFonts w:hint="cs"/>
          <w:sz w:val="20"/>
          <w:szCs w:val="20"/>
          <w:rtl/>
        </w:rPr>
        <w:t xml:space="preserve"> אם בדקה עצמה באחד הימים האמצעיים וביום השביעי, מהני אף לסמ"ג.</w:t>
      </w:r>
      <w:r>
        <w:rPr>
          <w:rFonts w:hint="cs"/>
          <w:sz w:val="20"/>
          <w:szCs w:val="20"/>
          <w:u w:val="single"/>
          <w:rtl/>
        </w:rPr>
        <w:br/>
      </w:r>
      <w:r>
        <w:rPr>
          <w:rFonts w:hint="cs"/>
          <w:sz w:val="20"/>
          <w:szCs w:val="20"/>
          <w:rtl/>
        </w:rPr>
        <w:t xml:space="preserve">ב. </w:t>
      </w:r>
      <w:r w:rsidRPr="00D24072">
        <w:rPr>
          <w:rFonts w:hint="cs"/>
          <w:b/>
          <w:bCs/>
          <w:sz w:val="20"/>
          <w:szCs w:val="20"/>
          <w:rtl/>
        </w:rPr>
        <w:t>נודע ביהודה</w:t>
      </w:r>
      <w:r>
        <w:rPr>
          <w:rFonts w:hint="cs"/>
          <w:sz w:val="20"/>
          <w:szCs w:val="20"/>
          <w:rtl/>
        </w:rPr>
        <w:t xml:space="preserve"> </w:t>
      </w:r>
      <w:r>
        <w:rPr>
          <w:sz w:val="20"/>
          <w:szCs w:val="20"/>
          <w:rtl/>
        </w:rPr>
        <w:t>–</w:t>
      </w:r>
      <w:r>
        <w:rPr>
          <w:rFonts w:hint="cs"/>
          <w:sz w:val="20"/>
          <w:szCs w:val="20"/>
          <w:rtl/>
        </w:rPr>
        <w:t xml:space="preserve"> דווקא בדיקת ראשון ושביעי מהני, אך אם בדקה עצמה, למשל, בראשון ובשלישי לא מהני, ואינה יכולה לטבול אחר כך בשביעי. ואמנם, יכולה לבדוק עצמה אחר כך בתשיעי, וכך בדיקת היום השלישי נחשבת לה ליום הראשון. ועוד יש להקל, שאם בדקה עצמה בראשון ובשלישי, שאינה צריכה להמתין עד היום התשיעי כדי לטבול, אלא יכולה לבדוק ביום השמיני ולטבול ליל תשיעי.</w:t>
      </w:r>
      <w:r>
        <w:rPr>
          <w:sz w:val="20"/>
          <w:szCs w:val="20"/>
          <w:rtl/>
        </w:rPr>
        <w:br/>
      </w:r>
      <w:r w:rsidRPr="000258A6">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השלישי מצרף את היום הראשון לשמיני.</w:t>
      </w:r>
      <w:r>
        <w:rPr>
          <w:sz w:val="20"/>
          <w:szCs w:val="20"/>
          <w:rtl/>
        </w:rPr>
        <w:br/>
      </w:r>
      <w:r>
        <w:rPr>
          <w:rFonts w:hint="cs"/>
          <w:sz w:val="20"/>
          <w:szCs w:val="20"/>
          <w:rtl/>
        </w:rPr>
        <w:t xml:space="preserve">סיכום </w:t>
      </w:r>
      <w:r>
        <w:rPr>
          <w:sz w:val="20"/>
          <w:szCs w:val="20"/>
          <w:rtl/>
        </w:rPr>
        <w:t>–</w:t>
      </w:r>
      <w:r>
        <w:rPr>
          <w:rFonts w:hint="cs"/>
          <w:sz w:val="20"/>
          <w:szCs w:val="20"/>
          <w:rtl/>
        </w:rPr>
        <w:t xml:space="preserve"> מדברי הנוב"י משמע שחזר בו מדבריו בדגמ"ר, וס"ל שבדיקת ראשון ושלישי לא מהני.</w:t>
      </w:r>
      <w:r>
        <w:rPr>
          <w:sz w:val="20"/>
          <w:szCs w:val="20"/>
          <w:rtl/>
        </w:rPr>
        <w:br/>
      </w:r>
      <w:r>
        <w:rPr>
          <w:rFonts w:hint="cs"/>
          <w:sz w:val="20"/>
          <w:szCs w:val="20"/>
          <w:rtl/>
        </w:rPr>
        <w:t xml:space="preserve">ואמנם, לדבריו בנוב"י יש השלכה מעשית חשובה, שבאופנים בהם מורים להקל לאשה לבדוק רק בראשון </w:t>
      </w:r>
      <w:r>
        <w:rPr>
          <w:rFonts w:hint="cs"/>
          <w:sz w:val="20"/>
          <w:szCs w:val="20"/>
          <w:rtl/>
        </w:rPr>
        <w:lastRenderedPageBreak/>
        <w:t xml:space="preserve">ושביעי, נכון הדבר לומר לה לבדוק גם באחד הימים האמצעיים, כך שאם תשכח לבדוק בשביעי תוכל לבדוק בשמיני ולטבול </w:t>
      </w:r>
      <w:r w:rsidRPr="004D0617">
        <w:rPr>
          <w:rFonts w:hint="cs"/>
          <w:sz w:val="18"/>
          <w:szCs w:val="18"/>
          <w:rtl/>
        </w:rPr>
        <w:t>(כיוון שבדיקת האמצע מחברת בין הראשון לשמיני, למרות שיש יותר מה' יום בין א' לח')</w:t>
      </w:r>
      <w:r>
        <w:rPr>
          <w:rFonts w:hint="cs"/>
          <w:sz w:val="20"/>
          <w:szCs w:val="20"/>
          <w:rtl/>
        </w:rPr>
        <w:t>.</w:t>
      </w:r>
    </w:p>
    <w:p w:rsidR="00620060" w:rsidRDefault="00620060" w:rsidP="00620060">
      <w:pPr>
        <w:rPr>
          <w:sz w:val="20"/>
          <w:szCs w:val="20"/>
          <w:rtl/>
        </w:rPr>
      </w:pPr>
      <w:r>
        <w:rPr>
          <w:rFonts w:hint="cs"/>
          <w:sz w:val="20"/>
          <w:szCs w:val="20"/>
          <w:u w:val="single"/>
          <w:rtl/>
        </w:rPr>
        <w:t>האם צריכה לספור בפה? (פת"ש)</w:t>
      </w:r>
      <w:r>
        <w:rPr>
          <w:rFonts w:hint="cs"/>
          <w:sz w:val="20"/>
          <w:szCs w:val="20"/>
          <w:u w:val="single"/>
          <w:rtl/>
        </w:rPr>
        <w:br/>
      </w:r>
      <w:r>
        <w:rPr>
          <w:rFonts w:hint="cs"/>
          <w:sz w:val="20"/>
          <w:szCs w:val="20"/>
          <w:rtl/>
        </w:rPr>
        <w:t xml:space="preserve">א. </w:t>
      </w:r>
      <w:r w:rsidRPr="0094093F">
        <w:rPr>
          <w:rFonts w:hint="cs"/>
          <w:b/>
          <w:bCs/>
          <w:sz w:val="20"/>
          <w:szCs w:val="20"/>
          <w:rtl/>
        </w:rPr>
        <w:t>של"ה</w:t>
      </w:r>
      <w:r>
        <w:rPr>
          <w:rFonts w:hint="cs"/>
          <w:sz w:val="20"/>
          <w:szCs w:val="20"/>
          <w:rtl/>
        </w:rPr>
        <w:t xml:space="preserve"> </w:t>
      </w:r>
      <w:r>
        <w:rPr>
          <w:sz w:val="20"/>
          <w:szCs w:val="20"/>
          <w:rtl/>
        </w:rPr>
        <w:t>–</w:t>
      </w:r>
      <w:r>
        <w:rPr>
          <w:rFonts w:hint="cs"/>
          <w:sz w:val="20"/>
          <w:szCs w:val="20"/>
          <w:rtl/>
        </w:rPr>
        <w:t xml:space="preserve"> בכל יום מהז' נקיים צריכה למנות בפה ולומר כמה היום לספירה, כספירת העומר.</w:t>
      </w:r>
      <w:r>
        <w:rPr>
          <w:sz w:val="20"/>
          <w:szCs w:val="20"/>
          <w:rtl/>
        </w:rPr>
        <w:br/>
      </w:r>
      <w:r>
        <w:rPr>
          <w:rFonts w:hint="cs"/>
          <w:sz w:val="20"/>
          <w:szCs w:val="20"/>
          <w:rtl/>
        </w:rPr>
        <w:t xml:space="preserve">ב. </w:t>
      </w:r>
      <w:r w:rsidRPr="0094093F">
        <w:rPr>
          <w:rFonts w:hint="cs"/>
          <w:b/>
          <w:bCs/>
          <w:sz w:val="20"/>
          <w:szCs w:val="20"/>
          <w:rtl/>
        </w:rPr>
        <w:t>נודע ביהודה</w:t>
      </w:r>
      <w:r>
        <w:rPr>
          <w:rFonts w:hint="cs"/>
          <w:sz w:val="20"/>
          <w:szCs w:val="20"/>
          <w:rtl/>
        </w:rPr>
        <w:t xml:space="preserve"> </w:t>
      </w:r>
      <w:r>
        <w:rPr>
          <w:sz w:val="20"/>
          <w:szCs w:val="20"/>
          <w:rtl/>
        </w:rPr>
        <w:t>–</w:t>
      </w:r>
      <w:r>
        <w:rPr>
          <w:rFonts w:hint="cs"/>
          <w:sz w:val="20"/>
          <w:szCs w:val="20"/>
          <w:rtl/>
        </w:rPr>
        <w:t xml:space="preserve"> אין צריך לספור בפה, ואין לדמות לעומר.</w:t>
      </w:r>
    </w:p>
    <w:p w:rsidR="00620060" w:rsidRDefault="00620060" w:rsidP="00620060">
      <w:pPr>
        <w:rPr>
          <w:sz w:val="20"/>
          <w:szCs w:val="20"/>
          <w:rtl/>
        </w:rPr>
      </w:pPr>
      <w:r>
        <w:rPr>
          <w:rFonts w:hint="cs"/>
          <w:sz w:val="20"/>
          <w:szCs w:val="20"/>
          <w:u w:val="single"/>
          <w:rtl/>
        </w:rPr>
        <w:t>האם תוקף הבדיקות דאורייתא? (פת"ש)</w:t>
      </w:r>
      <w:r>
        <w:rPr>
          <w:rFonts w:hint="cs"/>
          <w:sz w:val="20"/>
          <w:szCs w:val="20"/>
          <w:u w:val="single"/>
          <w:rtl/>
        </w:rPr>
        <w:br/>
      </w:r>
      <w:r>
        <w:rPr>
          <w:rFonts w:hint="cs"/>
          <w:sz w:val="20"/>
          <w:szCs w:val="20"/>
          <w:rtl/>
        </w:rPr>
        <w:t xml:space="preserve">א. </w:t>
      </w:r>
      <w:r w:rsidRPr="0006101B">
        <w:rPr>
          <w:rFonts w:hint="cs"/>
          <w:b/>
          <w:bCs/>
          <w:sz w:val="20"/>
          <w:szCs w:val="20"/>
          <w:rtl/>
        </w:rPr>
        <w:t xml:space="preserve">חוות דעת </w:t>
      </w:r>
      <w:r>
        <w:rPr>
          <w:sz w:val="20"/>
          <w:szCs w:val="20"/>
          <w:rtl/>
        </w:rPr>
        <w:t>–</w:t>
      </w:r>
      <w:r>
        <w:rPr>
          <w:rFonts w:hint="cs"/>
          <w:sz w:val="20"/>
          <w:szCs w:val="20"/>
          <w:rtl/>
        </w:rPr>
        <w:t xml:space="preserve"> מי שלא בדקה בז' נקיים, טמאה מדאורייתא.</w:t>
      </w:r>
      <w:r>
        <w:rPr>
          <w:sz w:val="20"/>
          <w:szCs w:val="20"/>
          <w:rtl/>
        </w:rPr>
        <w:br/>
      </w:r>
      <w:r w:rsidRPr="0006101B">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ז' נקיים צריכים להיות ספורים ובדוקים.</w:t>
      </w:r>
      <w:r>
        <w:rPr>
          <w:sz w:val="20"/>
          <w:szCs w:val="20"/>
          <w:rtl/>
        </w:rPr>
        <w:br/>
      </w:r>
      <w:r>
        <w:rPr>
          <w:rFonts w:hint="cs"/>
          <w:sz w:val="20"/>
          <w:szCs w:val="20"/>
          <w:rtl/>
        </w:rPr>
        <w:t xml:space="preserve">ב. </w:t>
      </w:r>
      <w:r w:rsidRPr="0006101B">
        <w:rPr>
          <w:rFonts w:hint="cs"/>
          <w:b/>
          <w:bCs/>
          <w:sz w:val="20"/>
          <w:szCs w:val="20"/>
          <w:rtl/>
        </w:rPr>
        <w:t>חתם סופר</w:t>
      </w:r>
      <w:r>
        <w:rPr>
          <w:rFonts w:hint="cs"/>
          <w:sz w:val="20"/>
          <w:szCs w:val="20"/>
          <w:rtl/>
        </w:rPr>
        <w:t xml:space="preserve"> </w:t>
      </w:r>
      <w:r>
        <w:rPr>
          <w:sz w:val="20"/>
          <w:szCs w:val="20"/>
          <w:rtl/>
        </w:rPr>
        <w:t>–</w:t>
      </w:r>
      <w:r>
        <w:rPr>
          <w:rFonts w:hint="cs"/>
          <w:sz w:val="20"/>
          <w:szCs w:val="20"/>
          <w:rtl/>
        </w:rPr>
        <w:t xml:space="preserve"> רק בהפסק טהרה צריך לבדוק בפועל ע"י בדיקת חורים וסדקים, ואין מועיל מה שלא הרגישה בביה"ש שנסתם מקורה, שהרי מקורה פתוח ועומד וצריך הוכחה שנסתם. אך בבדיקת ז' נקיים ייתכן שמהני מה שעמדה בוקר אחד מהז' נקיים והשגיחה על עצמה ויודעת בבירור שלא נפתח מקורה.</w:t>
      </w:r>
    </w:p>
    <w:p w:rsidR="00620060" w:rsidRPr="0056061D" w:rsidRDefault="00620060" w:rsidP="00620060">
      <w:pPr>
        <w:rPr>
          <w:sz w:val="20"/>
          <w:szCs w:val="20"/>
          <w:rtl/>
        </w:rPr>
      </w:pPr>
      <w:r>
        <w:rPr>
          <w:rFonts w:hint="cs"/>
          <w:sz w:val="20"/>
          <w:szCs w:val="20"/>
          <w:u w:val="single"/>
          <w:rtl/>
        </w:rPr>
        <w:t>דין דם הסותר בז' נקיים (פת"ש)</w:t>
      </w:r>
      <w:r>
        <w:rPr>
          <w:sz w:val="20"/>
          <w:szCs w:val="20"/>
          <w:u w:val="single"/>
          <w:rtl/>
        </w:rPr>
        <w:br/>
      </w:r>
      <w:r>
        <w:rPr>
          <w:rFonts w:hint="cs"/>
          <w:sz w:val="20"/>
          <w:szCs w:val="20"/>
          <w:rtl/>
        </w:rPr>
        <w:t>האם דם היוצא שלא בהרגשה סותר בז' נקיים מדאורייתא או מדרבנן?</w:t>
      </w:r>
      <w:r>
        <w:rPr>
          <w:rFonts w:hint="cs"/>
          <w:sz w:val="20"/>
          <w:szCs w:val="20"/>
          <w:u w:val="single"/>
          <w:rtl/>
        </w:rPr>
        <w:br/>
      </w:r>
      <w:r>
        <w:rPr>
          <w:rFonts w:hint="cs"/>
          <w:sz w:val="20"/>
          <w:szCs w:val="20"/>
          <w:rtl/>
        </w:rPr>
        <w:t xml:space="preserve">א. </w:t>
      </w:r>
      <w:r w:rsidRPr="00CC3DC2">
        <w:rPr>
          <w:rFonts w:hint="cs"/>
          <w:b/>
          <w:bCs/>
          <w:sz w:val="20"/>
          <w:szCs w:val="20"/>
          <w:rtl/>
        </w:rPr>
        <w:t>חוות דעת</w:t>
      </w:r>
      <w:r>
        <w:rPr>
          <w:rFonts w:hint="cs"/>
          <w:sz w:val="20"/>
          <w:szCs w:val="20"/>
          <w:rtl/>
        </w:rPr>
        <w:t xml:space="preserve"> </w:t>
      </w:r>
      <w:r>
        <w:rPr>
          <w:sz w:val="20"/>
          <w:szCs w:val="20"/>
          <w:rtl/>
        </w:rPr>
        <w:t>–</w:t>
      </w:r>
      <w:r>
        <w:rPr>
          <w:rFonts w:hint="cs"/>
          <w:sz w:val="20"/>
          <w:szCs w:val="20"/>
          <w:rtl/>
        </w:rPr>
        <w:t xml:space="preserve"> מדאורייתא.</w:t>
      </w:r>
      <w:r>
        <w:rPr>
          <w:sz w:val="20"/>
          <w:szCs w:val="20"/>
          <w:rtl/>
        </w:rPr>
        <w:br/>
      </w:r>
      <w:r>
        <w:rPr>
          <w:rFonts w:hint="cs"/>
          <w:sz w:val="20"/>
          <w:szCs w:val="20"/>
          <w:rtl/>
        </w:rPr>
        <w:t xml:space="preserve">ב. </w:t>
      </w:r>
      <w:r w:rsidRPr="00CC3DC2">
        <w:rPr>
          <w:rFonts w:hint="cs"/>
          <w:b/>
          <w:bCs/>
          <w:sz w:val="20"/>
          <w:szCs w:val="20"/>
          <w:rtl/>
        </w:rPr>
        <w:t>חתם סופר</w:t>
      </w:r>
      <w:r>
        <w:rPr>
          <w:rFonts w:hint="cs"/>
          <w:sz w:val="20"/>
          <w:szCs w:val="20"/>
          <w:rtl/>
        </w:rPr>
        <w:t xml:space="preserve"> </w:t>
      </w:r>
      <w:r>
        <w:rPr>
          <w:sz w:val="20"/>
          <w:szCs w:val="20"/>
          <w:rtl/>
        </w:rPr>
        <w:t>–</w:t>
      </w:r>
      <w:r>
        <w:rPr>
          <w:rFonts w:hint="cs"/>
          <w:sz w:val="20"/>
          <w:szCs w:val="20"/>
          <w:rtl/>
        </w:rPr>
        <w:t xml:space="preserve"> מדרבנן, כדין כתם.</w:t>
      </w:r>
    </w:p>
    <w:p w:rsidR="00620060" w:rsidRPr="00E2785F" w:rsidRDefault="00620060" w:rsidP="00620060">
      <w:pPr>
        <w:rPr>
          <w:sz w:val="20"/>
          <w:szCs w:val="20"/>
          <w:rtl/>
        </w:rPr>
      </w:pPr>
      <w:r>
        <w:rPr>
          <w:rFonts w:hint="cs"/>
          <w:b/>
          <w:bCs/>
          <w:sz w:val="20"/>
          <w:szCs w:val="20"/>
          <w:rtl/>
        </w:rPr>
        <w:t>האם ניתן לבדוק בלילה?</w:t>
      </w:r>
      <w:r>
        <w:rPr>
          <w:b/>
          <w:bCs/>
          <w:sz w:val="20"/>
          <w:szCs w:val="20"/>
          <w:rtl/>
        </w:rPr>
        <w:br/>
      </w:r>
      <w:r>
        <w:rPr>
          <w:rFonts w:hint="cs"/>
          <w:b/>
          <w:bCs/>
          <w:sz w:val="20"/>
          <w:szCs w:val="20"/>
          <w:rtl/>
        </w:rPr>
        <w:t xml:space="preserve">גמרא </w:t>
      </w:r>
      <w:r>
        <w:rPr>
          <w:rFonts w:hint="cs"/>
          <w:sz w:val="20"/>
          <w:szCs w:val="20"/>
          <w:rtl/>
        </w:rPr>
        <w:t>נידה (יז.) "</w:t>
      </w:r>
      <w:r w:rsidRPr="00E2785F">
        <w:rPr>
          <w:rFonts w:cs="Arial"/>
          <w:sz w:val="20"/>
          <w:szCs w:val="20"/>
          <w:rtl/>
        </w:rPr>
        <w:t>של בית מונבז המלך היו עושין ג' דברים ומזכירין אותן לשבח</w:t>
      </w:r>
      <w:r>
        <w:rPr>
          <w:rFonts w:cs="Arial" w:hint="cs"/>
          <w:sz w:val="20"/>
          <w:szCs w:val="20"/>
          <w:rtl/>
        </w:rPr>
        <w:t xml:space="preserve">... </w:t>
      </w:r>
      <w:r w:rsidRPr="00E2785F">
        <w:rPr>
          <w:rFonts w:cs="Arial"/>
          <w:sz w:val="20"/>
          <w:szCs w:val="20"/>
          <w:rtl/>
        </w:rPr>
        <w:t>בודקין מטותיהם ביום</w:t>
      </w:r>
      <w:r>
        <w:rPr>
          <w:rFonts w:cs="Arial" w:hint="cs"/>
          <w:sz w:val="20"/>
          <w:szCs w:val="20"/>
          <w:rtl/>
        </w:rPr>
        <w:t>"</w:t>
      </w:r>
      <w:r w:rsidRPr="00E2785F">
        <w:rPr>
          <w:rFonts w:cs="Arial"/>
          <w:sz w:val="20"/>
          <w:szCs w:val="20"/>
          <w:rtl/>
        </w:rPr>
        <w:t>.</w:t>
      </w:r>
      <w:r>
        <w:rPr>
          <w:b/>
          <w:bCs/>
          <w:sz w:val="20"/>
          <w:szCs w:val="20"/>
          <w:rtl/>
        </w:rPr>
        <w:br/>
      </w:r>
      <w:r>
        <w:rPr>
          <w:rFonts w:hint="cs"/>
          <w:b/>
          <w:bCs/>
          <w:sz w:val="20"/>
          <w:szCs w:val="20"/>
          <w:rtl/>
        </w:rPr>
        <w:t xml:space="preserve">רשב"א </w:t>
      </w:r>
      <w:r>
        <w:rPr>
          <w:sz w:val="20"/>
          <w:szCs w:val="20"/>
          <w:rtl/>
        </w:rPr>
        <w:t>–</w:t>
      </w:r>
      <w:r>
        <w:rPr>
          <w:rFonts w:hint="cs"/>
          <w:sz w:val="20"/>
          <w:szCs w:val="20"/>
          <w:rtl/>
        </w:rPr>
        <w:t xml:space="preserve"> מוכח מגמרא זו שאור היום יפה לבדיקה.</w:t>
      </w:r>
      <w:r>
        <w:rPr>
          <w:rFonts w:hint="cs"/>
          <w:sz w:val="20"/>
          <w:szCs w:val="20"/>
          <w:rtl/>
        </w:rPr>
        <w:br/>
        <w:t xml:space="preserve">מעיר </w:t>
      </w:r>
      <w:r w:rsidRPr="004E1D18">
        <w:rPr>
          <w:rFonts w:hint="cs"/>
          <w:b/>
          <w:bCs/>
          <w:sz w:val="20"/>
          <w:szCs w:val="20"/>
          <w:rtl/>
        </w:rPr>
        <w:t>הבית יוסף</w:t>
      </w:r>
      <w:r>
        <w:rPr>
          <w:rFonts w:hint="cs"/>
          <w:sz w:val="20"/>
          <w:szCs w:val="20"/>
          <w:rtl/>
        </w:rPr>
        <w:t xml:space="preserve"> </w:t>
      </w:r>
      <w:r>
        <w:rPr>
          <w:sz w:val="20"/>
          <w:szCs w:val="20"/>
          <w:rtl/>
        </w:rPr>
        <w:t>–</w:t>
      </w:r>
      <w:r>
        <w:rPr>
          <w:rFonts w:hint="cs"/>
          <w:sz w:val="20"/>
          <w:szCs w:val="20"/>
          <w:rtl/>
        </w:rPr>
        <w:t xml:space="preserve"> אין זה מעכב, ולכן </w:t>
      </w:r>
      <w:r w:rsidRPr="00383E58">
        <w:rPr>
          <w:rFonts w:hint="cs"/>
          <w:b/>
          <w:bCs/>
          <w:sz w:val="20"/>
          <w:szCs w:val="20"/>
          <w:rtl/>
        </w:rPr>
        <w:t>הטור והרמב"ם</w:t>
      </w:r>
      <w:r>
        <w:rPr>
          <w:rFonts w:hint="cs"/>
          <w:sz w:val="20"/>
          <w:szCs w:val="20"/>
          <w:rtl/>
        </w:rPr>
        <w:t xml:space="preserve"> לא הזכירו דין זה, וכ"פ </w:t>
      </w:r>
      <w:r w:rsidRPr="00383E58">
        <w:rPr>
          <w:rFonts w:hint="cs"/>
          <w:b/>
          <w:bCs/>
          <w:sz w:val="20"/>
          <w:szCs w:val="20"/>
          <w:rtl/>
        </w:rPr>
        <w:t>הרמ"א</w:t>
      </w:r>
      <w:r>
        <w:rPr>
          <w:rFonts w:hint="cs"/>
          <w:sz w:val="20"/>
          <w:szCs w:val="20"/>
          <w:rtl/>
        </w:rPr>
        <w:t>.</w:t>
      </w:r>
      <w:r>
        <w:rPr>
          <w:sz w:val="20"/>
          <w:szCs w:val="20"/>
          <w:rtl/>
        </w:rPr>
        <w:br/>
      </w:r>
      <w:r>
        <w:rPr>
          <w:rFonts w:hint="cs"/>
          <w:b/>
          <w:bCs/>
          <w:sz w:val="20"/>
          <w:szCs w:val="20"/>
          <w:rtl/>
        </w:rPr>
        <w:br/>
        <w:t>פסיקת הלכה</w:t>
      </w:r>
      <w:r>
        <w:rPr>
          <w:b/>
          <w:bCs/>
          <w:sz w:val="20"/>
          <w:szCs w:val="20"/>
          <w:rtl/>
        </w:rPr>
        <w:br/>
      </w:r>
      <w:r>
        <w:rPr>
          <w:rFonts w:hint="cs"/>
          <w:b/>
          <w:bCs/>
          <w:sz w:val="20"/>
          <w:szCs w:val="20"/>
          <w:rtl/>
        </w:rPr>
        <w:t xml:space="preserve">רמ"א </w:t>
      </w:r>
      <w:r>
        <w:rPr>
          <w:sz w:val="20"/>
          <w:szCs w:val="20"/>
          <w:rtl/>
        </w:rPr>
        <w:t>–</w:t>
      </w:r>
      <w:r>
        <w:rPr>
          <w:rFonts w:hint="cs"/>
          <w:sz w:val="20"/>
          <w:szCs w:val="20"/>
          <w:rtl/>
        </w:rPr>
        <w:t xml:space="preserve"> </w:t>
      </w:r>
      <w:r w:rsidRPr="00E2785F">
        <w:rPr>
          <w:rFonts w:hint="cs"/>
          <w:sz w:val="18"/>
          <w:szCs w:val="18"/>
          <w:rtl/>
        </w:rPr>
        <w:t>"</w:t>
      </w:r>
      <w:r w:rsidRPr="00E2785F">
        <w:rPr>
          <w:rFonts w:cs="Arial"/>
          <w:sz w:val="18"/>
          <w:szCs w:val="18"/>
          <w:rtl/>
        </w:rPr>
        <w:t>והבדיקה תהיה לאור היום ולא לאור הנר, ובדיעבד מהני אפילו לאור הנר</w:t>
      </w:r>
      <w:r>
        <w:rPr>
          <w:rFonts w:cs="Arial" w:hint="cs"/>
          <w:sz w:val="18"/>
          <w:szCs w:val="18"/>
          <w:rtl/>
        </w:rPr>
        <w:t>".</w:t>
      </w:r>
      <w:r>
        <w:rPr>
          <w:sz w:val="20"/>
          <w:szCs w:val="20"/>
          <w:rtl/>
        </w:rPr>
        <w:br/>
      </w:r>
      <w:r w:rsidRPr="00383E58">
        <w:rPr>
          <w:rFonts w:hint="cs"/>
          <w:b/>
          <w:bCs/>
          <w:sz w:val="20"/>
          <w:szCs w:val="20"/>
          <w:rtl/>
        </w:rPr>
        <w:t>בדי השולחן</w:t>
      </w:r>
      <w:r>
        <w:rPr>
          <w:rFonts w:hint="cs"/>
          <w:sz w:val="20"/>
          <w:szCs w:val="20"/>
          <w:rtl/>
        </w:rPr>
        <w:t xml:space="preserve"> </w:t>
      </w:r>
      <w:r>
        <w:rPr>
          <w:sz w:val="20"/>
          <w:szCs w:val="20"/>
          <w:rtl/>
        </w:rPr>
        <w:t>–</w:t>
      </w:r>
      <w:r>
        <w:rPr>
          <w:rFonts w:hint="cs"/>
          <w:sz w:val="20"/>
          <w:szCs w:val="20"/>
          <w:rtl/>
        </w:rPr>
        <w:t xml:space="preserve"> הרמ"א כאן מדבר דווקא על </w:t>
      </w:r>
      <w:r w:rsidRPr="00110AC3">
        <w:rPr>
          <w:rFonts w:hint="cs"/>
          <w:sz w:val="20"/>
          <w:szCs w:val="20"/>
          <w:u w:val="single"/>
          <w:rtl/>
        </w:rPr>
        <w:t>העיון</w:t>
      </w:r>
      <w:r>
        <w:rPr>
          <w:rFonts w:hint="cs"/>
          <w:sz w:val="20"/>
          <w:szCs w:val="20"/>
          <w:rtl/>
        </w:rPr>
        <w:t xml:space="preserve"> בעד הבדיקה שניתן לבדקו בדיעבד בלילה, אך </w:t>
      </w:r>
      <w:r w:rsidRPr="002B751C">
        <w:rPr>
          <w:rFonts w:hint="cs"/>
          <w:sz w:val="20"/>
          <w:szCs w:val="20"/>
          <w:u w:val="single"/>
          <w:rtl/>
        </w:rPr>
        <w:t>ה</w:t>
      </w:r>
      <w:r w:rsidRPr="00110AC3">
        <w:rPr>
          <w:rFonts w:hint="cs"/>
          <w:sz w:val="20"/>
          <w:szCs w:val="20"/>
          <w:u w:val="single"/>
          <w:rtl/>
        </w:rPr>
        <w:t>בדיקה</w:t>
      </w:r>
      <w:r>
        <w:rPr>
          <w:rFonts w:hint="cs"/>
          <w:sz w:val="20"/>
          <w:szCs w:val="20"/>
          <w:rtl/>
        </w:rPr>
        <w:t xml:space="preserve"> עצמה תהיה דווקא ביום ולא בלילה, וכן כתבו </w:t>
      </w:r>
      <w:r w:rsidRPr="0094093F">
        <w:rPr>
          <w:rFonts w:hint="cs"/>
          <w:b/>
          <w:bCs/>
          <w:sz w:val="20"/>
          <w:szCs w:val="20"/>
          <w:rtl/>
        </w:rPr>
        <w:t>התוספות</w:t>
      </w:r>
      <w:r>
        <w:rPr>
          <w:rFonts w:hint="cs"/>
          <w:sz w:val="20"/>
          <w:szCs w:val="20"/>
          <w:rtl/>
        </w:rPr>
        <w:t xml:space="preserve"> (נידה, סט.). </w:t>
      </w:r>
      <w:r>
        <w:rPr>
          <w:sz w:val="20"/>
          <w:szCs w:val="20"/>
          <w:rtl/>
        </w:rPr>
        <w:br/>
      </w:r>
      <w:r>
        <w:rPr>
          <w:rFonts w:hint="cs"/>
          <w:sz w:val="20"/>
          <w:szCs w:val="20"/>
          <w:rtl/>
        </w:rPr>
        <w:t xml:space="preserve">וטעם דין זה, משום שהבדיקה היא ספירה, וספירה דווקא ביום, ולכן אפילו בדיעבד מעכב אם לא בדקה ביום הראשון וביום השביעי, ומעלות השחר הוא יום לעניין זה. </w:t>
      </w:r>
      <w:r w:rsidRPr="001F10F0">
        <w:rPr>
          <w:rFonts w:hint="cs"/>
          <w:sz w:val="18"/>
          <w:szCs w:val="18"/>
          <w:rtl/>
        </w:rPr>
        <w:t xml:space="preserve">(ברם, עיין בסמוך תחת הכותרת 'מוך דחוק כתחליף לבדיקת היום הראשון' בשם </w:t>
      </w:r>
      <w:r w:rsidRPr="001F10F0">
        <w:rPr>
          <w:rFonts w:hint="cs"/>
          <w:b/>
          <w:bCs/>
          <w:sz w:val="18"/>
          <w:szCs w:val="18"/>
          <w:rtl/>
        </w:rPr>
        <w:t>טה"ב</w:t>
      </w:r>
      <w:r w:rsidRPr="001F10F0">
        <w:rPr>
          <w:rFonts w:hint="cs"/>
          <w:sz w:val="18"/>
          <w:szCs w:val="18"/>
          <w:rtl/>
        </w:rPr>
        <w:t>, שיש אחרונים רבים המקלים בדין זה, וסבירא להו שבדיקה מועילה גם בלילה</w:t>
      </w:r>
      <w:r>
        <w:rPr>
          <w:rStyle w:val="a5"/>
          <w:sz w:val="18"/>
          <w:szCs w:val="18"/>
          <w:rtl/>
        </w:rPr>
        <w:footnoteReference w:id="517"/>
      </w:r>
      <w:r w:rsidRPr="001F10F0">
        <w:rPr>
          <w:rFonts w:hint="cs"/>
          <w:sz w:val="18"/>
          <w:szCs w:val="18"/>
          <w:rtl/>
        </w:rPr>
        <w:t>)</w:t>
      </w:r>
      <w:r w:rsidRPr="001F10F0">
        <w:rPr>
          <w:rFonts w:hint="cs"/>
          <w:sz w:val="20"/>
          <w:szCs w:val="20"/>
          <w:rtl/>
        </w:rPr>
        <w:t>.</w:t>
      </w:r>
      <w:r>
        <w:rPr>
          <w:sz w:val="20"/>
          <w:szCs w:val="20"/>
          <w:rtl/>
        </w:rPr>
        <w:br/>
      </w:r>
      <w:r>
        <w:rPr>
          <w:b/>
          <w:bCs/>
          <w:sz w:val="20"/>
          <w:szCs w:val="20"/>
          <w:rtl/>
        </w:rPr>
        <w:br/>
      </w:r>
      <w:r>
        <w:rPr>
          <w:rFonts w:hint="cs"/>
          <w:sz w:val="20"/>
          <w:szCs w:val="20"/>
          <w:u w:val="single"/>
          <w:rtl/>
        </w:rPr>
        <w:t xml:space="preserve">ראיית עד בדיקה בלילה </w:t>
      </w:r>
      <w:r>
        <w:rPr>
          <w:sz w:val="20"/>
          <w:szCs w:val="20"/>
          <w:u w:val="single"/>
          <w:rtl/>
        </w:rPr>
        <w:t>–</w:t>
      </w:r>
      <w:r>
        <w:rPr>
          <w:rFonts w:hint="cs"/>
          <w:sz w:val="20"/>
          <w:szCs w:val="20"/>
          <w:u w:val="single"/>
          <w:rtl/>
        </w:rPr>
        <w:t xml:space="preserve"> הלכה למעשה</w:t>
      </w:r>
      <w:r>
        <w:rPr>
          <w:rFonts w:hint="cs"/>
          <w:b/>
          <w:bCs/>
          <w:sz w:val="20"/>
          <w:szCs w:val="20"/>
          <w:rtl/>
        </w:rPr>
        <w:br/>
      </w:r>
      <w:r w:rsidRPr="00CF5C85">
        <w:rPr>
          <w:rFonts w:hint="cs"/>
          <w:b/>
          <w:bCs/>
          <w:sz w:val="20"/>
          <w:szCs w:val="20"/>
          <w:rtl/>
        </w:rPr>
        <w:t>פרדס רימונים</w:t>
      </w:r>
      <w:r>
        <w:rPr>
          <w:rFonts w:hint="cs"/>
          <w:sz w:val="20"/>
          <w:szCs w:val="20"/>
          <w:rtl/>
        </w:rPr>
        <w:t xml:space="preserve"> </w:t>
      </w:r>
      <w:r>
        <w:rPr>
          <w:sz w:val="20"/>
          <w:szCs w:val="20"/>
          <w:rtl/>
        </w:rPr>
        <w:t>–</w:t>
      </w:r>
      <w:r>
        <w:rPr>
          <w:rFonts w:hint="cs"/>
          <w:sz w:val="20"/>
          <w:szCs w:val="20"/>
          <w:rtl/>
        </w:rPr>
        <w:t xml:space="preserve"> חכמי ההוראה לא נהגו להחמיר כרמ"א, אלא הם מעיינים בעדי בדיקה גם בלילה. </w:t>
      </w:r>
      <w:r>
        <w:rPr>
          <w:sz w:val="20"/>
          <w:szCs w:val="20"/>
          <w:rtl/>
        </w:rPr>
        <w:br/>
      </w:r>
      <w:r>
        <w:rPr>
          <w:rFonts w:hint="cs"/>
          <w:sz w:val="20"/>
          <w:szCs w:val="20"/>
          <w:rtl/>
        </w:rPr>
        <w:t xml:space="preserve">טעם </w:t>
      </w:r>
      <w:r>
        <w:rPr>
          <w:sz w:val="20"/>
          <w:szCs w:val="20"/>
          <w:rtl/>
        </w:rPr>
        <w:t>–</w:t>
      </w:r>
      <w:r>
        <w:rPr>
          <w:rFonts w:hint="cs"/>
          <w:sz w:val="20"/>
          <w:szCs w:val="20"/>
          <w:rtl/>
        </w:rPr>
        <w:t xml:space="preserve"> כנראה, דעתם היא כי הרמ"א כתב דין זה רק לגבי הנשים משום שהן אינן בקיאות במראות הדמים, אך חכם הבקי במראות הדמים יכול לעיין בעד הבדיקה גם בלילה. </w:t>
      </w:r>
      <w:r>
        <w:rPr>
          <w:sz w:val="20"/>
          <w:szCs w:val="20"/>
          <w:rtl/>
        </w:rPr>
        <w:br/>
      </w:r>
      <w:r>
        <w:rPr>
          <w:rFonts w:hint="cs"/>
          <w:sz w:val="20"/>
          <w:szCs w:val="20"/>
          <w:rtl/>
        </w:rPr>
        <w:t>ואמנם, כיום יש נשים המעיינות בעד הבדיקה גם בלילה, ומסתבר שאור החשמל יפה כאור יום ולכן מותר.</w:t>
      </w:r>
      <w:r>
        <w:rPr>
          <w:rFonts w:hint="cs"/>
          <w:sz w:val="20"/>
          <w:szCs w:val="20"/>
          <w:rtl/>
        </w:rPr>
        <w:br/>
        <w:t xml:space="preserve">והאחרונים כתבו שאין לבדוק לאור מנורת פלורסנט, משום שהיא גורמת לכתם להיראות לבן. </w:t>
      </w:r>
    </w:p>
    <w:p w:rsidR="00620060" w:rsidRDefault="00620060" w:rsidP="00620060">
      <w:pPr>
        <w:rPr>
          <w:sz w:val="20"/>
          <w:szCs w:val="20"/>
          <w:rtl/>
        </w:rPr>
      </w:pPr>
      <w:r w:rsidRPr="00A358A9">
        <w:rPr>
          <w:rFonts w:hint="cs"/>
          <w:b/>
          <w:bCs/>
          <w:sz w:val="20"/>
          <w:szCs w:val="20"/>
          <w:rtl/>
        </w:rPr>
        <w:t>סיכום</w:t>
      </w:r>
      <w:r>
        <w:rPr>
          <w:sz w:val="20"/>
          <w:szCs w:val="20"/>
          <w:rtl/>
        </w:rPr>
        <w:br/>
      </w:r>
      <w:r>
        <w:rPr>
          <w:rFonts w:hint="cs"/>
          <w:sz w:val="20"/>
          <w:szCs w:val="20"/>
          <w:rtl/>
        </w:rPr>
        <w:t>1</w:t>
      </w:r>
      <w:r w:rsidRPr="00AD31BA">
        <w:rPr>
          <w:rFonts w:hint="cs"/>
          <w:sz w:val="20"/>
          <w:szCs w:val="20"/>
          <w:rtl/>
        </w:rPr>
        <w:t>. כמה בדיקות צריכה לבדוק בכל יום? משמע</w:t>
      </w:r>
      <w:r>
        <w:rPr>
          <w:rFonts w:hint="cs"/>
          <w:sz w:val="20"/>
          <w:szCs w:val="20"/>
          <w:rtl/>
        </w:rPr>
        <w:t xml:space="preserve"> </w:t>
      </w:r>
      <w:r w:rsidRPr="00A358A9">
        <w:rPr>
          <w:rFonts w:hint="cs"/>
          <w:b/>
          <w:bCs/>
          <w:sz w:val="20"/>
          <w:szCs w:val="20"/>
          <w:rtl/>
        </w:rPr>
        <w:t>ברמב"ן</w:t>
      </w:r>
      <w:r>
        <w:rPr>
          <w:rFonts w:hint="cs"/>
          <w:sz w:val="20"/>
          <w:szCs w:val="20"/>
          <w:rtl/>
        </w:rPr>
        <w:t xml:space="preserve">, </w:t>
      </w:r>
      <w:r w:rsidRPr="00A358A9">
        <w:rPr>
          <w:rFonts w:hint="cs"/>
          <w:b/>
          <w:bCs/>
          <w:sz w:val="20"/>
          <w:szCs w:val="20"/>
          <w:rtl/>
        </w:rPr>
        <w:t>רשב"א ורא"ש</w:t>
      </w:r>
      <w:r>
        <w:rPr>
          <w:rFonts w:hint="cs"/>
          <w:sz w:val="20"/>
          <w:szCs w:val="20"/>
          <w:rtl/>
        </w:rPr>
        <w:t xml:space="preserve">. אחת. </w:t>
      </w:r>
      <w:r w:rsidRPr="00A358A9">
        <w:rPr>
          <w:rFonts w:hint="cs"/>
          <w:b/>
          <w:bCs/>
          <w:sz w:val="20"/>
          <w:szCs w:val="20"/>
          <w:rtl/>
        </w:rPr>
        <w:t>סמ"ג</w:t>
      </w:r>
      <w:r w:rsidRPr="00A358A9">
        <w:rPr>
          <w:rFonts w:hint="cs"/>
          <w:sz w:val="20"/>
          <w:szCs w:val="20"/>
          <w:rtl/>
        </w:rPr>
        <w:t>,</w:t>
      </w:r>
      <w:r w:rsidRPr="00A358A9">
        <w:rPr>
          <w:rFonts w:hint="cs"/>
          <w:b/>
          <w:bCs/>
          <w:sz w:val="20"/>
          <w:szCs w:val="20"/>
          <w:rtl/>
        </w:rPr>
        <w:t xml:space="preserve"> סמ"ק ותרומה</w:t>
      </w:r>
      <w:r>
        <w:rPr>
          <w:rFonts w:hint="cs"/>
          <w:sz w:val="20"/>
          <w:szCs w:val="20"/>
          <w:rtl/>
        </w:rPr>
        <w:t>. שתיים.</w:t>
      </w:r>
      <w:r>
        <w:rPr>
          <w:rFonts w:hint="cs"/>
          <w:sz w:val="20"/>
          <w:szCs w:val="20"/>
          <w:rtl/>
        </w:rPr>
        <w:br/>
        <w:t xml:space="preserve">2. </w:t>
      </w:r>
      <w:r w:rsidRPr="00A358A9">
        <w:rPr>
          <w:rFonts w:hint="cs"/>
          <w:b/>
          <w:bCs/>
          <w:sz w:val="20"/>
          <w:szCs w:val="20"/>
          <w:rtl/>
        </w:rPr>
        <w:t>משנה</w:t>
      </w:r>
      <w:r>
        <w:rPr>
          <w:rFonts w:hint="cs"/>
          <w:sz w:val="20"/>
          <w:szCs w:val="20"/>
          <w:rtl/>
        </w:rPr>
        <w:t xml:space="preserve">. בדקה עצמה בראשון ובשביעי בלבד ומצאה טהורה. </w:t>
      </w:r>
      <w:r w:rsidRPr="00A358A9">
        <w:rPr>
          <w:rFonts w:hint="cs"/>
          <w:sz w:val="20"/>
          <w:szCs w:val="20"/>
          <w:u w:val="single"/>
          <w:rtl/>
        </w:rPr>
        <w:t>רבי אליעזר</w:t>
      </w:r>
      <w:r>
        <w:rPr>
          <w:rFonts w:hint="cs"/>
          <w:sz w:val="20"/>
          <w:szCs w:val="20"/>
          <w:rtl/>
        </w:rPr>
        <w:t xml:space="preserve">. טהורה, וכן הלכה. </w:t>
      </w:r>
      <w:r w:rsidRPr="00A358A9">
        <w:rPr>
          <w:rFonts w:hint="cs"/>
          <w:sz w:val="20"/>
          <w:szCs w:val="20"/>
          <w:u w:val="single"/>
          <w:rtl/>
        </w:rPr>
        <w:t>רבי יהושע</w:t>
      </w:r>
      <w:r>
        <w:rPr>
          <w:rFonts w:hint="cs"/>
          <w:sz w:val="20"/>
          <w:szCs w:val="20"/>
          <w:rtl/>
        </w:rPr>
        <w:t xml:space="preserve">. מונה חמישה ימים נוספים, רק ראשון ושביעי עלו לה. </w:t>
      </w:r>
      <w:r w:rsidRPr="00A358A9">
        <w:rPr>
          <w:rFonts w:hint="cs"/>
          <w:sz w:val="20"/>
          <w:szCs w:val="20"/>
          <w:u w:val="single"/>
          <w:rtl/>
        </w:rPr>
        <w:t>ר"ע</w:t>
      </w:r>
      <w:r>
        <w:rPr>
          <w:rFonts w:hint="cs"/>
          <w:sz w:val="20"/>
          <w:szCs w:val="20"/>
          <w:rtl/>
        </w:rPr>
        <w:t>. מונה שישה נוספים, רק שביעי עלה לה.</w:t>
      </w:r>
      <w:r>
        <w:rPr>
          <w:rFonts w:hint="cs"/>
          <w:sz w:val="20"/>
          <w:szCs w:val="20"/>
          <w:rtl/>
        </w:rPr>
        <w:br/>
        <w:t>3</w:t>
      </w:r>
      <w:r w:rsidRPr="00AD31BA">
        <w:rPr>
          <w:rFonts w:hint="cs"/>
          <w:sz w:val="20"/>
          <w:szCs w:val="20"/>
          <w:rtl/>
        </w:rPr>
        <w:t xml:space="preserve">. בדקה עצמה בראשון או בשביעי בלבד, האם רבי אליעזר מטהר אף בכה"ג? רב. כן. </w:t>
      </w:r>
      <w:r w:rsidRPr="00AD31BA">
        <w:rPr>
          <w:rFonts w:hint="cs"/>
          <w:b/>
          <w:bCs/>
          <w:sz w:val="20"/>
          <w:szCs w:val="20"/>
          <w:rtl/>
        </w:rPr>
        <w:t>טעם</w:t>
      </w:r>
      <w:r w:rsidRPr="00AD31BA">
        <w:rPr>
          <w:rFonts w:hint="cs"/>
          <w:sz w:val="20"/>
          <w:szCs w:val="20"/>
          <w:rtl/>
        </w:rPr>
        <w:t xml:space="preserve">. בירור בתחילה או בסוף מועיל להחזיק את כל הימים בטהרה. רבי חנינא. לא. </w:t>
      </w:r>
      <w:r w:rsidRPr="00AD31BA">
        <w:rPr>
          <w:rFonts w:hint="cs"/>
          <w:b/>
          <w:bCs/>
          <w:sz w:val="20"/>
          <w:szCs w:val="20"/>
          <w:rtl/>
        </w:rPr>
        <w:t>טעם</w:t>
      </w:r>
      <w:r w:rsidRPr="00AD31BA">
        <w:rPr>
          <w:rFonts w:hint="cs"/>
          <w:sz w:val="20"/>
          <w:szCs w:val="20"/>
          <w:rtl/>
        </w:rPr>
        <w:t>. צריך בירור בתחילה ובסוף דווקא.</w:t>
      </w:r>
      <w:r w:rsidRPr="00AD31BA">
        <w:rPr>
          <w:sz w:val="20"/>
          <w:szCs w:val="20"/>
          <w:rtl/>
        </w:rPr>
        <w:br/>
      </w:r>
      <w:r w:rsidRPr="00AD31BA">
        <w:rPr>
          <w:rFonts w:hint="cs"/>
          <w:sz w:val="20"/>
          <w:szCs w:val="20"/>
          <w:rtl/>
        </w:rPr>
        <w:t xml:space="preserve">4. ראשונים. </w:t>
      </w:r>
      <w:r w:rsidRPr="00AD31BA">
        <w:rPr>
          <w:rFonts w:hint="cs"/>
          <w:b/>
          <w:bCs/>
          <w:sz w:val="20"/>
          <w:szCs w:val="20"/>
          <w:rtl/>
        </w:rPr>
        <w:t>ראב"ד ורא"ש</w:t>
      </w:r>
      <w:r w:rsidRPr="00AD31BA">
        <w:rPr>
          <w:rFonts w:hint="cs"/>
          <w:sz w:val="20"/>
          <w:szCs w:val="20"/>
          <w:rtl/>
        </w:rPr>
        <w:t xml:space="preserve">. הלכה כרב. </w:t>
      </w:r>
      <w:r w:rsidRPr="00AD31BA">
        <w:rPr>
          <w:rFonts w:hint="cs"/>
          <w:b/>
          <w:bCs/>
          <w:sz w:val="20"/>
          <w:szCs w:val="20"/>
          <w:rtl/>
        </w:rPr>
        <w:t>סמ"ג</w:t>
      </w:r>
      <w:r w:rsidRPr="00AD31BA">
        <w:rPr>
          <w:rFonts w:hint="cs"/>
          <w:sz w:val="20"/>
          <w:szCs w:val="20"/>
          <w:rtl/>
        </w:rPr>
        <w:t>. יש להחמיר מספק כרבי חנינא, משום שלא ברור כמי הלכה.</w:t>
      </w:r>
      <w:r w:rsidRPr="00AD31BA">
        <w:rPr>
          <w:sz w:val="20"/>
          <w:szCs w:val="20"/>
          <w:rtl/>
        </w:rPr>
        <w:br/>
      </w:r>
      <w:r w:rsidRPr="00AD31BA">
        <w:rPr>
          <w:rFonts w:hint="cs"/>
          <w:sz w:val="20"/>
          <w:szCs w:val="20"/>
          <w:rtl/>
        </w:rPr>
        <w:t xml:space="preserve">הכרעת </w:t>
      </w:r>
      <w:r w:rsidRPr="00AD31BA">
        <w:rPr>
          <w:rFonts w:hint="cs"/>
          <w:b/>
          <w:bCs/>
          <w:sz w:val="20"/>
          <w:szCs w:val="20"/>
          <w:rtl/>
        </w:rPr>
        <w:t>הבית יוסף</w:t>
      </w:r>
      <w:r w:rsidRPr="00AD31BA">
        <w:rPr>
          <w:rFonts w:hint="cs"/>
          <w:sz w:val="20"/>
          <w:szCs w:val="20"/>
          <w:rtl/>
        </w:rPr>
        <w:t xml:space="preserve">. הלכה כסמ"ג. </w:t>
      </w:r>
      <w:r w:rsidRPr="00AD31BA">
        <w:rPr>
          <w:rFonts w:hint="cs"/>
          <w:b/>
          <w:bCs/>
          <w:sz w:val="20"/>
          <w:szCs w:val="20"/>
          <w:rtl/>
        </w:rPr>
        <w:t>טעם</w:t>
      </w:r>
      <w:r w:rsidRPr="00AD31BA">
        <w:rPr>
          <w:rFonts w:hint="cs"/>
          <w:sz w:val="20"/>
          <w:szCs w:val="20"/>
          <w:rtl/>
        </w:rPr>
        <w:t xml:space="preserve">. אין להקל בדבר שהוא ספק איסור כרת. </w:t>
      </w:r>
      <w:r w:rsidRPr="00AD31BA">
        <w:rPr>
          <w:rFonts w:hint="cs"/>
          <w:sz w:val="20"/>
          <w:szCs w:val="20"/>
          <w:rtl/>
        </w:rPr>
        <w:br/>
        <w:t xml:space="preserve">5. בדקה רק ביום אחד באמצע הז' נקיים. </w:t>
      </w:r>
      <w:r w:rsidRPr="00AD31BA">
        <w:rPr>
          <w:rFonts w:hint="cs"/>
          <w:b/>
          <w:bCs/>
          <w:sz w:val="20"/>
          <w:szCs w:val="20"/>
          <w:rtl/>
        </w:rPr>
        <w:t>ראב"ד</w:t>
      </w:r>
      <w:r w:rsidRPr="00AD31BA">
        <w:rPr>
          <w:rFonts w:hint="cs"/>
          <w:sz w:val="20"/>
          <w:szCs w:val="20"/>
          <w:rtl/>
        </w:rPr>
        <w:t xml:space="preserve">. טהורה. </w:t>
      </w:r>
      <w:r w:rsidRPr="00AD31BA">
        <w:rPr>
          <w:rFonts w:hint="cs"/>
          <w:b/>
          <w:bCs/>
          <w:sz w:val="20"/>
          <w:szCs w:val="20"/>
          <w:rtl/>
        </w:rPr>
        <w:t>טעם</w:t>
      </w:r>
      <w:r w:rsidRPr="00AD31BA">
        <w:rPr>
          <w:rFonts w:hint="cs"/>
          <w:sz w:val="20"/>
          <w:szCs w:val="20"/>
          <w:rtl/>
        </w:rPr>
        <w:t xml:space="preserve">. כך מוכח מדין נידה שבדקה עצמה באמצע נידותה ולא הפרישה בטהרה. </w:t>
      </w:r>
      <w:r w:rsidRPr="00AD31BA">
        <w:rPr>
          <w:rFonts w:hint="cs"/>
          <w:b/>
          <w:bCs/>
          <w:sz w:val="20"/>
          <w:szCs w:val="20"/>
          <w:rtl/>
        </w:rPr>
        <w:t>רז"ה</w:t>
      </w:r>
      <w:r w:rsidRPr="00AD31BA">
        <w:rPr>
          <w:rFonts w:hint="cs"/>
          <w:sz w:val="20"/>
          <w:szCs w:val="20"/>
          <w:rtl/>
        </w:rPr>
        <w:t xml:space="preserve">. טמאה. </w:t>
      </w:r>
      <w:r w:rsidRPr="00AD31BA">
        <w:rPr>
          <w:rFonts w:hint="cs"/>
          <w:b/>
          <w:bCs/>
          <w:sz w:val="20"/>
          <w:szCs w:val="20"/>
          <w:rtl/>
        </w:rPr>
        <w:t>טעם</w:t>
      </w:r>
      <w:r w:rsidRPr="00AD31BA">
        <w:rPr>
          <w:rFonts w:hint="cs"/>
          <w:sz w:val="20"/>
          <w:szCs w:val="20"/>
          <w:rtl/>
        </w:rPr>
        <w:t>. אין ללמוד מבדיקת נידה הקלה לזבה החמורה.</w:t>
      </w:r>
      <w:r w:rsidRPr="00AD31BA">
        <w:rPr>
          <w:sz w:val="20"/>
          <w:szCs w:val="20"/>
          <w:rtl/>
        </w:rPr>
        <w:br/>
      </w:r>
      <w:r w:rsidRPr="00AD31BA">
        <w:rPr>
          <w:rFonts w:hint="cs"/>
          <w:sz w:val="20"/>
          <w:szCs w:val="20"/>
          <w:rtl/>
        </w:rPr>
        <w:t xml:space="preserve">הכרעת </w:t>
      </w:r>
      <w:r w:rsidRPr="00AD31BA">
        <w:rPr>
          <w:rFonts w:hint="cs"/>
          <w:b/>
          <w:bCs/>
          <w:sz w:val="20"/>
          <w:szCs w:val="20"/>
          <w:rtl/>
        </w:rPr>
        <w:t>הרא"ש</w:t>
      </w:r>
      <w:r w:rsidRPr="00AD31BA">
        <w:rPr>
          <w:rFonts w:hint="cs"/>
          <w:sz w:val="20"/>
          <w:szCs w:val="20"/>
          <w:rtl/>
        </w:rPr>
        <w:t xml:space="preserve">. טהורה, </w:t>
      </w:r>
      <w:r w:rsidRPr="00AD31BA">
        <w:rPr>
          <w:rFonts w:hint="cs"/>
          <w:b/>
          <w:bCs/>
          <w:sz w:val="20"/>
          <w:szCs w:val="20"/>
          <w:rtl/>
        </w:rPr>
        <w:t>כראב"ד</w:t>
      </w:r>
      <w:r w:rsidRPr="00AD31BA">
        <w:rPr>
          <w:rFonts w:hint="cs"/>
          <w:sz w:val="20"/>
          <w:szCs w:val="20"/>
          <w:rtl/>
        </w:rPr>
        <w:t xml:space="preserve">. </w:t>
      </w:r>
      <w:r w:rsidRPr="00AD31BA">
        <w:rPr>
          <w:rFonts w:hint="cs"/>
          <w:b/>
          <w:bCs/>
          <w:sz w:val="20"/>
          <w:szCs w:val="20"/>
          <w:rtl/>
        </w:rPr>
        <w:t>טעם</w:t>
      </w:r>
      <w:r w:rsidRPr="00AD31BA">
        <w:rPr>
          <w:rFonts w:hint="cs"/>
          <w:sz w:val="20"/>
          <w:szCs w:val="20"/>
          <w:rtl/>
        </w:rPr>
        <w:t>. בדיקת אמצע עדיפה על בדיקת סוף, הימים שאח"כ הוחזקו בטהרה.</w:t>
      </w:r>
      <w:r w:rsidRPr="00AD31BA">
        <w:rPr>
          <w:rFonts w:hint="cs"/>
          <w:sz w:val="20"/>
          <w:szCs w:val="20"/>
          <w:rtl/>
        </w:rPr>
        <w:br/>
        <w:t>6.</w:t>
      </w:r>
      <w:r w:rsidRPr="00AD31BA">
        <w:rPr>
          <w:rFonts w:hint="cs"/>
          <w:b/>
          <w:bCs/>
          <w:sz w:val="20"/>
          <w:szCs w:val="20"/>
          <w:rtl/>
        </w:rPr>
        <w:t xml:space="preserve"> מחבר</w:t>
      </w:r>
      <w:r w:rsidRPr="00AD31BA">
        <w:rPr>
          <w:rFonts w:hint="cs"/>
          <w:sz w:val="20"/>
          <w:szCs w:val="20"/>
          <w:rtl/>
        </w:rPr>
        <w:t xml:space="preserve">. לכתחילה יש לבדוק פעמיים בכל יום, אחת שחרית ואחת סמוך לביה"ש. בדיעבד אם בדקה רק פעם </w:t>
      </w:r>
      <w:r w:rsidRPr="00AD31BA">
        <w:rPr>
          <w:rFonts w:hint="cs"/>
          <w:sz w:val="20"/>
          <w:szCs w:val="20"/>
          <w:rtl/>
        </w:rPr>
        <w:lastRenderedPageBreak/>
        <w:t xml:space="preserve">אחת בכל הז' נקיים, בין בתחילה, באמצע או בסוף </w:t>
      </w:r>
      <w:r w:rsidRPr="00AD31BA">
        <w:rPr>
          <w:sz w:val="20"/>
          <w:szCs w:val="20"/>
          <w:rtl/>
        </w:rPr>
        <w:t>–</w:t>
      </w:r>
      <w:r w:rsidRPr="00AD31BA">
        <w:rPr>
          <w:rFonts w:hint="cs"/>
          <w:sz w:val="20"/>
          <w:szCs w:val="20"/>
          <w:rtl/>
        </w:rPr>
        <w:t xml:space="preserve"> טהורה. אך אם בדקה רק בשמיני, משלימה עליו עוד שישה ימים. ויש חולקים שצריכה לבדוק בא' ובז', ואין להקל.</w:t>
      </w:r>
      <w:r w:rsidRPr="00AD31BA">
        <w:rPr>
          <w:sz w:val="20"/>
          <w:szCs w:val="20"/>
          <w:rtl/>
        </w:rPr>
        <w:br/>
      </w:r>
      <w:r w:rsidRPr="00AD31BA">
        <w:rPr>
          <w:rFonts w:hint="cs"/>
          <w:sz w:val="20"/>
          <w:szCs w:val="20"/>
          <w:rtl/>
        </w:rPr>
        <w:t xml:space="preserve">7. מהי דעת המחבר? </w:t>
      </w:r>
      <w:r w:rsidRPr="00AD31BA">
        <w:rPr>
          <w:rFonts w:hint="cs"/>
          <w:b/>
          <w:bCs/>
          <w:sz w:val="20"/>
          <w:szCs w:val="20"/>
          <w:rtl/>
        </w:rPr>
        <w:t>שואל ומשיב</w:t>
      </w:r>
      <w:r w:rsidRPr="00AD31BA">
        <w:rPr>
          <w:rFonts w:hint="cs"/>
          <w:sz w:val="20"/>
          <w:szCs w:val="20"/>
          <w:rtl/>
        </w:rPr>
        <w:t xml:space="preserve">. הלכה כדעה קמייתא, אלא שלכתחילה יש להחמיר. </w:t>
      </w:r>
      <w:r w:rsidRPr="00AD31BA">
        <w:rPr>
          <w:rFonts w:hint="cs"/>
          <w:b/>
          <w:bCs/>
          <w:sz w:val="20"/>
          <w:szCs w:val="20"/>
          <w:rtl/>
        </w:rPr>
        <w:t>טה"ב</w:t>
      </w:r>
      <w:r w:rsidRPr="00AD31BA">
        <w:rPr>
          <w:rFonts w:hint="cs"/>
          <w:sz w:val="20"/>
          <w:szCs w:val="20"/>
          <w:rtl/>
        </w:rPr>
        <w:t xml:space="preserve">. המחבר פוסק להחמיר אף בדיעבד. ואף שבשו"ע אין הדבר ברור, מכל מקום </w:t>
      </w:r>
      <w:r w:rsidRPr="00AD31BA">
        <w:rPr>
          <w:rFonts w:hint="cs"/>
          <w:b/>
          <w:bCs/>
          <w:sz w:val="20"/>
          <w:szCs w:val="20"/>
          <w:rtl/>
        </w:rPr>
        <w:t>בבית יוסף</w:t>
      </w:r>
      <w:r w:rsidRPr="00AD31BA">
        <w:rPr>
          <w:rFonts w:hint="cs"/>
          <w:sz w:val="20"/>
          <w:szCs w:val="20"/>
          <w:rtl/>
        </w:rPr>
        <w:t xml:space="preserve"> הכריע לחומרה.</w:t>
      </w:r>
      <w:r w:rsidRPr="00AD31BA">
        <w:rPr>
          <w:sz w:val="20"/>
          <w:szCs w:val="20"/>
          <w:rtl/>
        </w:rPr>
        <w:br/>
      </w:r>
      <w:r w:rsidRPr="00AD31BA">
        <w:rPr>
          <w:rFonts w:hint="cs"/>
          <w:sz w:val="20"/>
          <w:szCs w:val="20"/>
          <w:rtl/>
        </w:rPr>
        <w:t xml:space="preserve">8. </w:t>
      </w:r>
      <w:r w:rsidRPr="00AD31BA">
        <w:rPr>
          <w:rFonts w:hint="cs"/>
          <w:b/>
          <w:bCs/>
          <w:sz w:val="20"/>
          <w:szCs w:val="20"/>
          <w:rtl/>
        </w:rPr>
        <w:t>דגמ"ר</w:t>
      </w:r>
      <w:r w:rsidRPr="00AD31BA">
        <w:rPr>
          <w:rFonts w:hint="cs"/>
          <w:sz w:val="20"/>
          <w:szCs w:val="20"/>
          <w:rtl/>
        </w:rPr>
        <w:t xml:space="preserve">. בדיקת ראשון ושלישי מהני אף לסמ"ג. </w:t>
      </w:r>
      <w:r w:rsidRPr="00AD31BA">
        <w:rPr>
          <w:rFonts w:hint="cs"/>
          <w:b/>
          <w:bCs/>
          <w:sz w:val="20"/>
          <w:szCs w:val="20"/>
          <w:rtl/>
        </w:rPr>
        <w:t>נוב"י</w:t>
      </w:r>
      <w:r w:rsidRPr="00AD31BA">
        <w:rPr>
          <w:rFonts w:hint="cs"/>
          <w:sz w:val="20"/>
          <w:szCs w:val="20"/>
          <w:rtl/>
        </w:rPr>
        <w:t>. משמע שלא מהני ראשון ושלישי, אך מהני בדיקת שלישי לצרף את הראשון לשמיני ולהתיר לה לטבול אור ליום התשיעי.</w:t>
      </w:r>
      <w:r w:rsidRPr="00AD31BA">
        <w:rPr>
          <w:sz w:val="20"/>
          <w:szCs w:val="20"/>
          <w:rtl/>
        </w:rPr>
        <w:br/>
      </w:r>
      <w:r w:rsidRPr="00AD31BA">
        <w:rPr>
          <w:rFonts w:hint="cs"/>
          <w:sz w:val="20"/>
          <w:szCs w:val="20"/>
          <w:rtl/>
        </w:rPr>
        <w:t xml:space="preserve">9. </w:t>
      </w:r>
      <w:r w:rsidRPr="00AD31BA">
        <w:rPr>
          <w:rFonts w:hint="cs"/>
          <w:b/>
          <w:bCs/>
          <w:sz w:val="20"/>
          <w:szCs w:val="20"/>
          <w:rtl/>
        </w:rPr>
        <w:t>של"ה</w:t>
      </w:r>
      <w:r w:rsidRPr="00AD31BA">
        <w:rPr>
          <w:rFonts w:hint="cs"/>
          <w:sz w:val="20"/>
          <w:szCs w:val="20"/>
          <w:rtl/>
        </w:rPr>
        <w:t xml:space="preserve">. צריכה למנות בפה בכל יום באיזה יום היא. </w:t>
      </w:r>
      <w:r w:rsidRPr="00AD31BA">
        <w:rPr>
          <w:rFonts w:hint="cs"/>
          <w:b/>
          <w:bCs/>
          <w:sz w:val="20"/>
          <w:szCs w:val="20"/>
          <w:rtl/>
        </w:rPr>
        <w:t>נוב"י</w:t>
      </w:r>
      <w:r w:rsidRPr="00AD31BA">
        <w:rPr>
          <w:rFonts w:hint="cs"/>
          <w:sz w:val="20"/>
          <w:szCs w:val="20"/>
          <w:rtl/>
        </w:rPr>
        <w:t>. אין צריך.</w:t>
      </w:r>
      <w:r w:rsidRPr="00AD31BA">
        <w:rPr>
          <w:sz w:val="20"/>
          <w:szCs w:val="20"/>
          <w:rtl/>
        </w:rPr>
        <w:br/>
      </w:r>
      <w:r w:rsidRPr="00AD31BA">
        <w:rPr>
          <w:rFonts w:hint="cs"/>
          <w:sz w:val="20"/>
          <w:szCs w:val="20"/>
          <w:rtl/>
        </w:rPr>
        <w:t xml:space="preserve">10. תוקף הבדיקות. </w:t>
      </w:r>
      <w:r w:rsidRPr="00AD31BA">
        <w:rPr>
          <w:rFonts w:hint="cs"/>
          <w:b/>
          <w:bCs/>
          <w:sz w:val="20"/>
          <w:szCs w:val="20"/>
          <w:rtl/>
        </w:rPr>
        <w:t>חוו"ד</w:t>
      </w:r>
      <w:r w:rsidRPr="00AD31BA">
        <w:rPr>
          <w:rFonts w:hint="cs"/>
          <w:sz w:val="20"/>
          <w:szCs w:val="20"/>
          <w:rtl/>
        </w:rPr>
        <w:t xml:space="preserve">. דאורייתא. </w:t>
      </w:r>
      <w:r w:rsidRPr="00AD31BA">
        <w:rPr>
          <w:rFonts w:hint="cs"/>
          <w:b/>
          <w:bCs/>
          <w:sz w:val="20"/>
          <w:szCs w:val="20"/>
          <w:rtl/>
        </w:rPr>
        <w:t>חת"ס</w:t>
      </w:r>
      <w:r w:rsidRPr="00AD31BA">
        <w:rPr>
          <w:rFonts w:hint="cs"/>
          <w:sz w:val="20"/>
          <w:szCs w:val="20"/>
          <w:rtl/>
        </w:rPr>
        <w:t>. בהפס"ט דאורייתא, בז' נקיים מהני אפילו השגיחה על עצמה.</w:t>
      </w:r>
      <w:r w:rsidRPr="00AD31BA">
        <w:rPr>
          <w:sz w:val="20"/>
          <w:szCs w:val="20"/>
          <w:rtl/>
        </w:rPr>
        <w:br/>
      </w:r>
      <w:r w:rsidRPr="00AD31BA">
        <w:rPr>
          <w:rFonts w:hint="cs"/>
          <w:sz w:val="20"/>
          <w:szCs w:val="20"/>
          <w:rtl/>
        </w:rPr>
        <w:t xml:space="preserve">11. סתירת הנקיים מחמת דם שלא בהרגשה. </w:t>
      </w:r>
      <w:r w:rsidRPr="00AD31BA">
        <w:rPr>
          <w:rFonts w:hint="cs"/>
          <w:b/>
          <w:bCs/>
          <w:sz w:val="20"/>
          <w:szCs w:val="20"/>
          <w:rtl/>
        </w:rPr>
        <w:t>חוו"ד</w:t>
      </w:r>
      <w:r w:rsidRPr="00AD31BA">
        <w:rPr>
          <w:rFonts w:hint="cs"/>
          <w:sz w:val="20"/>
          <w:szCs w:val="20"/>
          <w:rtl/>
        </w:rPr>
        <w:t xml:space="preserve">. דאורייתא. </w:t>
      </w:r>
      <w:r w:rsidRPr="00AD31BA">
        <w:rPr>
          <w:rFonts w:hint="cs"/>
          <w:b/>
          <w:bCs/>
          <w:sz w:val="20"/>
          <w:szCs w:val="20"/>
          <w:rtl/>
        </w:rPr>
        <w:t>חת"ס</w:t>
      </w:r>
      <w:r w:rsidRPr="00AD31BA">
        <w:rPr>
          <w:rFonts w:hint="cs"/>
          <w:sz w:val="20"/>
          <w:szCs w:val="20"/>
          <w:rtl/>
        </w:rPr>
        <w:t>. דרבנן, כדין כתם.</w:t>
      </w:r>
      <w:r w:rsidRPr="00AD31BA">
        <w:rPr>
          <w:rFonts w:hint="cs"/>
          <w:sz w:val="20"/>
          <w:szCs w:val="20"/>
          <w:rtl/>
        </w:rPr>
        <w:br/>
        <w:t xml:space="preserve">12. </w:t>
      </w:r>
      <w:r w:rsidRPr="00AD31BA">
        <w:rPr>
          <w:rFonts w:hint="cs"/>
          <w:b/>
          <w:bCs/>
          <w:sz w:val="20"/>
          <w:szCs w:val="20"/>
          <w:rtl/>
        </w:rPr>
        <w:t>גמ'</w:t>
      </w:r>
      <w:r w:rsidRPr="00AD31BA">
        <w:rPr>
          <w:rFonts w:hint="cs"/>
          <w:sz w:val="20"/>
          <w:szCs w:val="20"/>
          <w:rtl/>
        </w:rPr>
        <w:t>. בית מונבז היו בודקים מיטותיהם לאור יום,</w:t>
      </w:r>
      <w:r>
        <w:rPr>
          <w:rFonts w:hint="cs"/>
          <w:sz w:val="20"/>
          <w:szCs w:val="20"/>
          <w:rtl/>
        </w:rPr>
        <w:t xml:space="preserve"> ושיבחו אותם על כך. </w:t>
      </w:r>
      <w:r w:rsidRPr="00E23BF5">
        <w:rPr>
          <w:rFonts w:hint="cs"/>
          <w:b/>
          <w:bCs/>
          <w:sz w:val="20"/>
          <w:szCs w:val="20"/>
          <w:rtl/>
        </w:rPr>
        <w:t>רשב"א</w:t>
      </w:r>
      <w:r>
        <w:rPr>
          <w:rFonts w:hint="cs"/>
          <w:sz w:val="20"/>
          <w:szCs w:val="20"/>
          <w:rtl/>
        </w:rPr>
        <w:t xml:space="preserve">. מוכח מהגמרא שאור היום יפה לבדיקה. </w:t>
      </w:r>
      <w:r w:rsidRPr="00AC37EB">
        <w:rPr>
          <w:rFonts w:hint="cs"/>
          <w:b/>
          <w:bCs/>
          <w:sz w:val="20"/>
          <w:szCs w:val="20"/>
          <w:rtl/>
        </w:rPr>
        <w:t>ב"י</w:t>
      </w:r>
      <w:r>
        <w:rPr>
          <w:rFonts w:hint="cs"/>
          <w:sz w:val="20"/>
          <w:szCs w:val="20"/>
          <w:rtl/>
        </w:rPr>
        <w:t xml:space="preserve">. </w:t>
      </w:r>
      <w:r w:rsidRPr="00AC37EB">
        <w:rPr>
          <w:rFonts w:hint="cs"/>
          <w:b/>
          <w:bCs/>
          <w:sz w:val="20"/>
          <w:szCs w:val="20"/>
          <w:rtl/>
        </w:rPr>
        <w:t>הטור והרמב"ם</w:t>
      </w:r>
      <w:r>
        <w:rPr>
          <w:rFonts w:hint="cs"/>
          <w:sz w:val="20"/>
          <w:szCs w:val="20"/>
          <w:rtl/>
        </w:rPr>
        <w:t xml:space="preserve"> השמיטו, משום שאין זה מעכב. </w:t>
      </w:r>
      <w:r w:rsidRPr="00AC37EB">
        <w:rPr>
          <w:rFonts w:hint="cs"/>
          <w:b/>
          <w:bCs/>
          <w:sz w:val="20"/>
          <w:szCs w:val="20"/>
          <w:rtl/>
        </w:rPr>
        <w:t>רמ"א</w:t>
      </w:r>
      <w:r>
        <w:rPr>
          <w:rFonts w:hint="cs"/>
          <w:sz w:val="20"/>
          <w:szCs w:val="20"/>
          <w:rtl/>
        </w:rPr>
        <w:t xml:space="preserve">. יש לעיין בעד הבדיקה לאור יום, ובדיעבד אור הנר מהני. </w:t>
      </w:r>
      <w:r w:rsidRPr="00AC37EB">
        <w:rPr>
          <w:rFonts w:hint="cs"/>
          <w:b/>
          <w:bCs/>
          <w:sz w:val="20"/>
          <w:szCs w:val="20"/>
          <w:rtl/>
        </w:rPr>
        <w:t>בדה"ש</w:t>
      </w:r>
      <w:r>
        <w:rPr>
          <w:rFonts w:hint="cs"/>
          <w:sz w:val="20"/>
          <w:szCs w:val="20"/>
          <w:rtl/>
        </w:rPr>
        <w:t xml:space="preserve">. </w:t>
      </w:r>
      <w:r w:rsidRPr="00AC37EB">
        <w:rPr>
          <w:rFonts w:hint="cs"/>
          <w:b/>
          <w:bCs/>
          <w:sz w:val="20"/>
          <w:szCs w:val="20"/>
          <w:rtl/>
        </w:rPr>
        <w:t>הרמ"א</w:t>
      </w:r>
      <w:r>
        <w:rPr>
          <w:rFonts w:hint="cs"/>
          <w:sz w:val="20"/>
          <w:szCs w:val="20"/>
          <w:rtl/>
        </w:rPr>
        <w:t xml:space="preserve"> מיירי לגבי העיון, הבדיקה תהיה דווקא ביום ולא בלילה אף בדיעבד. </w:t>
      </w:r>
      <w:r>
        <w:rPr>
          <w:sz w:val="20"/>
          <w:szCs w:val="20"/>
          <w:rtl/>
        </w:rPr>
        <w:br/>
      </w:r>
      <w:r>
        <w:rPr>
          <w:rFonts w:hint="cs"/>
          <w:sz w:val="20"/>
          <w:szCs w:val="20"/>
          <w:rtl/>
        </w:rPr>
        <w:t xml:space="preserve">13. </w:t>
      </w:r>
      <w:r w:rsidRPr="00AC37EB">
        <w:rPr>
          <w:rFonts w:hint="cs"/>
          <w:b/>
          <w:bCs/>
          <w:sz w:val="20"/>
          <w:szCs w:val="20"/>
          <w:rtl/>
        </w:rPr>
        <w:t>פרד"ר</w:t>
      </w:r>
      <w:r>
        <w:rPr>
          <w:rFonts w:hint="cs"/>
          <w:sz w:val="20"/>
          <w:szCs w:val="20"/>
          <w:rtl/>
        </w:rPr>
        <w:t xml:space="preserve">. נהגו להקל ולהורות במראות דמים גם בלילה, וכנראה שהטעם הוא משום </w:t>
      </w:r>
      <w:r w:rsidRPr="00AC37EB">
        <w:rPr>
          <w:rFonts w:hint="cs"/>
          <w:b/>
          <w:bCs/>
          <w:sz w:val="20"/>
          <w:szCs w:val="20"/>
          <w:rtl/>
        </w:rPr>
        <w:t>שהרמ"א</w:t>
      </w:r>
      <w:r>
        <w:rPr>
          <w:rFonts w:hint="cs"/>
          <w:sz w:val="20"/>
          <w:szCs w:val="20"/>
          <w:rtl/>
        </w:rPr>
        <w:t xml:space="preserve"> החמיר רק לנשים אך לא למורי הוראה. ואמנם, כיום נשים רואות אף לאור החשמל, ומסתבר שאין בכך בעיה. אך לא לאור מנורת פלורסנט. </w:t>
      </w:r>
      <w:r>
        <w:rPr>
          <w:rFonts w:hint="cs"/>
          <w:sz w:val="20"/>
          <w:szCs w:val="20"/>
          <w:rtl/>
        </w:rPr>
        <w:br/>
      </w:r>
    </w:p>
    <w:p w:rsidR="00620060" w:rsidRPr="001A28D4" w:rsidRDefault="00620060" w:rsidP="00620060">
      <w:pPr>
        <w:rPr>
          <w:sz w:val="20"/>
          <w:szCs w:val="20"/>
        </w:rPr>
      </w:pPr>
      <w:r>
        <w:rPr>
          <w:rFonts w:hint="cs"/>
          <w:b/>
          <w:bCs/>
          <w:sz w:val="20"/>
          <w:szCs w:val="20"/>
          <w:rtl/>
        </w:rPr>
        <w:t>הוספות</w:t>
      </w:r>
      <w:r>
        <w:rPr>
          <w:sz w:val="20"/>
          <w:szCs w:val="20"/>
          <w:u w:val="single"/>
          <w:rtl/>
        </w:rPr>
        <w:br/>
      </w:r>
      <w:r>
        <w:rPr>
          <w:rFonts w:hint="cs"/>
          <w:sz w:val="20"/>
          <w:szCs w:val="20"/>
          <w:u w:val="single"/>
          <w:rtl/>
        </w:rPr>
        <w:t xml:space="preserve">דין אשה שיש לה פצעים (טה"ב עמ' שכז </w:t>
      </w:r>
      <w:r>
        <w:rPr>
          <w:sz w:val="20"/>
          <w:szCs w:val="20"/>
          <w:u w:val="single"/>
          <w:rtl/>
        </w:rPr>
        <w:t>–</w:t>
      </w:r>
      <w:r>
        <w:rPr>
          <w:rFonts w:hint="cs"/>
          <w:sz w:val="20"/>
          <w:szCs w:val="20"/>
          <w:u w:val="single"/>
          <w:rtl/>
        </w:rPr>
        <w:t xml:space="preserve"> שכח)</w:t>
      </w:r>
      <w:r>
        <w:rPr>
          <w:rFonts w:hint="cs"/>
          <w:sz w:val="20"/>
          <w:szCs w:val="20"/>
          <w:u w:val="single"/>
          <w:rtl/>
        </w:rPr>
        <w:br/>
      </w:r>
      <w:r>
        <w:rPr>
          <w:rFonts w:hint="cs"/>
          <w:sz w:val="20"/>
          <w:szCs w:val="20"/>
          <w:rtl/>
        </w:rPr>
        <w:t xml:space="preserve">לשיטת </w:t>
      </w:r>
      <w:r w:rsidRPr="000711E4">
        <w:rPr>
          <w:rFonts w:hint="cs"/>
          <w:b/>
          <w:bCs/>
          <w:sz w:val="20"/>
          <w:szCs w:val="20"/>
          <w:rtl/>
        </w:rPr>
        <w:t>טה"ב</w:t>
      </w:r>
      <w:r>
        <w:rPr>
          <w:rFonts w:hint="cs"/>
          <w:sz w:val="20"/>
          <w:szCs w:val="20"/>
          <w:rtl/>
        </w:rPr>
        <w:t xml:space="preserve">, שהמחבר פוסק להחמיר גם בדיעבד, ישנו מקרה שמודה להקל - </w:t>
      </w:r>
      <w:r>
        <w:rPr>
          <w:sz w:val="20"/>
          <w:szCs w:val="20"/>
          <w:rtl/>
        </w:rPr>
        <w:br/>
      </w:r>
      <w:r>
        <w:rPr>
          <w:rFonts w:hint="cs"/>
          <w:sz w:val="20"/>
          <w:szCs w:val="20"/>
          <w:rtl/>
        </w:rPr>
        <w:t>אשה שיש לה פצעים וקשה לה להיטהר, יכולה להקל כדעת רוב הפוסקים, ולעשות בדיקה אחת בלבד בנוסף להפסק טהרה. ובדיקה זו תיעשה ביום הראשון או השביעי, ואם יכולה בשאר הימים לקנח באותו מקום בצורה חיצונית, טוב שתעשה זאת</w:t>
      </w:r>
      <w:r>
        <w:rPr>
          <w:rStyle w:val="a5"/>
          <w:sz w:val="20"/>
          <w:szCs w:val="20"/>
          <w:rtl/>
        </w:rPr>
        <w:footnoteReference w:id="518"/>
      </w:r>
      <w:r>
        <w:rPr>
          <w:rFonts w:hint="cs"/>
          <w:sz w:val="20"/>
          <w:szCs w:val="20"/>
          <w:rtl/>
        </w:rPr>
        <w:t>.</w:t>
      </w:r>
      <w:r>
        <w:rPr>
          <w:rFonts w:hint="cs"/>
          <w:sz w:val="20"/>
          <w:szCs w:val="20"/>
          <w:rtl/>
        </w:rPr>
        <w:br/>
      </w:r>
      <w:r>
        <w:rPr>
          <w:sz w:val="20"/>
          <w:szCs w:val="20"/>
          <w:u w:val="single"/>
          <w:rtl/>
        </w:rPr>
        <w:br/>
      </w:r>
      <w:r>
        <w:rPr>
          <w:rFonts w:hint="cs"/>
          <w:sz w:val="20"/>
          <w:szCs w:val="20"/>
          <w:u w:val="single"/>
          <w:rtl/>
        </w:rPr>
        <w:t>מוך דחוק כתחליף לבדיקת היום הראשון (טה"ב עמ' שכח)</w:t>
      </w:r>
      <w:r>
        <w:rPr>
          <w:rFonts w:hint="cs"/>
          <w:sz w:val="20"/>
          <w:szCs w:val="20"/>
          <w:u w:val="single"/>
          <w:rtl/>
        </w:rPr>
        <w:br/>
      </w:r>
      <w:r>
        <w:rPr>
          <w:rFonts w:hint="cs"/>
          <w:sz w:val="20"/>
          <w:szCs w:val="20"/>
          <w:rtl/>
        </w:rPr>
        <w:t xml:space="preserve">א. </w:t>
      </w:r>
      <w:r w:rsidRPr="00BC4880">
        <w:rPr>
          <w:rFonts w:hint="cs"/>
          <w:b/>
          <w:bCs/>
          <w:sz w:val="20"/>
          <w:szCs w:val="20"/>
          <w:rtl/>
        </w:rPr>
        <w:t>טהרת הבית</w:t>
      </w:r>
      <w:r>
        <w:rPr>
          <w:rFonts w:hint="cs"/>
          <w:sz w:val="20"/>
          <w:szCs w:val="20"/>
          <w:rtl/>
        </w:rPr>
        <w:t xml:space="preserve"> </w:t>
      </w:r>
      <w:r>
        <w:rPr>
          <w:sz w:val="20"/>
          <w:szCs w:val="20"/>
          <w:rtl/>
        </w:rPr>
        <w:t>–</w:t>
      </w:r>
      <w:r>
        <w:rPr>
          <w:rFonts w:hint="cs"/>
          <w:sz w:val="20"/>
          <w:szCs w:val="20"/>
          <w:rtl/>
        </w:rPr>
        <w:t xml:space="preserve"> מוך דחוק המונח באותו מקום עד כניסת הלילה, יכול להיחשב כבדיקת היום הראשון.</w:t>
      </w:r>
      <w:r>
        <w:rPr>
          <w:sz w:val="20"/>
          <w:szCs w:val="20"/>
          <w:rtl/>
        </w:rPr>
        <w:br/>
      </w:r>
      <w:r>
        <w:rPr>
          <w:rFonts w:hint="cs"/>
          <w:sz w:val="20"/>
          <w:szCs w:val="20"/>
          <w:rtl/>
        </w:rPr>
        <w:t xml:space="preserve">ב. </w:t>
      </w:r>
      <w:r w:rsidRPr="00BC4880">
        <w:rPr>
          <w:rFonts w:hint="cs"/>
          <w:b/>
          <w:bCs/>
          <w:sz w:val="20"/>
          <w:szCs w:val="20"/>
          <w:rtl/>
        </w:rPr>
        <w:t>סדרי טהרה</w:t>
      </w:r>
      <w:r>
        <w:rPr>
          <w:rFonts w:hint="cs"/>
          <w:sz w:val="20"/>
          <w:szCs w:val="20"/>
          <w:rtl/>
        </w:rPr>
        <w:t xml:space="preserve"> </w:t>
      </w:r>
      <w:r>
        <w:rPr>
          <w:sz w:val="20"/>
          <w:szCs w:val="20"/>
          <w:rtl/>
        </w:rPr>
        <w:t>–</w:t>
      </w:r>
      <w:r>
        <w:rPr>
          <w:rFonts w:hint="cs"/>
          <w:sz w:val="20"/>
          <w:szCs w:val="20"/>
          <w:rtl/>
        </w:rPr>
        <w:t xml:space="preserve"> בדיקה היא משום ספירה וספירה היא רק ביום, ולכן לא מהני מוך דחוק במקום בדיקה</w:t>
      </w:r>
      <w:r>
        <w:rPr>
          <w:rStyle w:val="a5"/>
          <w:sz w:val="20"/>
          <w:szCs w:val="20"/>
          <w:rtl/>
        </w:rPr>
        <w:footnoteReference w:id="519"/>
      </w:r>
      <w:r>
        <w:rPr>
          <w:rFonts w:hint="cs"/>
          <w:sz w:val="20"/>
          <w:szCs w:val="20"/>
          <w:rtl/>
        </w:rPr>
        <w:t>.</w:t>
      </w:r>
      <w:r>
        <w:rPr>
          <w:sz w:val="20"/>
          <w:szCs w:val="20"/>
          <w:rtl/>
        </w:rPr>
        <w:br/>
      </w:r>
      <w:r>
        <w:rPr>
          <w:rFonts w:hint="cs"/>
          <w:sz w:val="20"/>
          <w:szCs w:val="20"/>
          <w:rtl/>
        </w:rPr>
        <w:br/>
      </w:r>
      <w:r>
        <w:rPr>
          <w:rFonts w:hint="cs"/>
          <w:sz w:val="20"/>
          <w:szCs w:val="20"/>
          <w:u w:val="single"/>
          <w:rtl/>
        </w:rPr>
        <w:t>בדקה רק בראשון או רק בשביעי (טה"ב עמ' שכט)</w:t>
      </w:r>
      <w:r>
        <w:rPr>
          <w:rFonts w:hint="cs"/>
          <w:sz w:val="20"/>
          <w:szCs w:val="20"/>
          <w:u w:val="single"/>
          <w:rtl/>
        </w:rPr>
        <w:br/>
      </w:r>
      <w:r>
        <w:rPr>
          <w:rFonts w:hint="cs"/>
          <w:sz w:val="20"/>
          <w:szCs w:val="20"/>
          <w:rtl/>
        </w:rPr>
        <w:t xml:space="preserve">א. </w:t>
      </w:r>
      <w:r w:rsidRPr="002844A3">
        <w:rPr>
          <w:rFonts w:hint="cs"/>
          <w:b/>
          <w:bCs/>
          <w:sz w:val="20"/>
          <w:szCs w:val="20"/>
          <w:rtl/>
        </w:rPr>
        <w:t>חתם סופר</w:t>
      </w:r>
      <w:r>
        <w:rPr>
          <w:rFonts w:hint="cs"/>
          <w:sz w:val="20"/>
          <w:szCs w:val="20"/>
          <w:rtl/>
        </w:rPr>
        <w:t xml:space="preserve"> </w:t>
      </w:r>
      <w:r>
        <w:rPr>
          <w:sz w:val="20"/>
          <w:szCs w:val="20"/>
          <w:rtl/>
        </w:rPr>
        <w:t>–</w:t>
      </w:r>
      <w:r>
        <w:rPr>
          <w:rFonts w:hint="cs"/>
          <w:sz w:val="20"/>
          <w:szCs w:val="20"/>
          <w:rtl/>
        </w:rPr>
        <w:t xml:space="preserve"> מי שבדקה רק בראשון או רק בשביעי ולנה עם בעלה, יש להקל. ברם, אם בדקה עצמה רק באחד הימים האמצעיים אין להקל.</w:t>
      </w:r>
      <w:r>
        <w:rPr>
          <w:sz w:val="20"/>
          <w:szCs w:val="20"/>
          <w:rtl/>
        </w:rPr>
        <w:br/>
      </w:r>
      <w:r>
        <w:rPr>
          <w:rFonts w:hint="cs"/>
          <w:sz w:val="20"/>
          <w:szCs w:val="20"/>
          <w:rtl/>
        </w:rPr>
        <w:t xml:space="preserve">ב. </w:t>
      </w:r>
      <w:r w:rsidRPr="002844A3">
        <w:rPr>
          <w:rFonts w:hint="cs"/>
          <w:b/>
          <w:bCs/>
          <w:sz w:val="20"/>
          <w:szCs w:val="20"/>
          <w:rtl/>
        </w:rPr>
        <w:t>טהרת הבית</w:t>
      </w:r>
      <w:r>
        <w:rPr>
          <w:rFonts w:hint="cs"/>
          <w:sz w:val="20"/>
          <w:szCs w:val="20"/>
          <w:rtl/>
        </w:rPr>
        <w:t xml:space="preserve"> </w:t>
      </w:r>
      <w:r>
        <w:rPr>
          <w:sz w:val="20"/>
          <w:szCs w:val="20"/>
          <w:rtl/>
        </w:rPr>
        <w:t>–</w:t>
      </w:r>
      <w:r>
        <w:rPr>
          <w:rFonts w:hint="cs"/>
          <w:sz w:val="20"/>
          <w:szCs w:val="20"/>
          <w:rtl/>
        </w:rPr>
        <w:t xml:space="preserve"> גם אם בדקה רק באחד הימים האמצעיים ולנה עם בעלה, יש להקל.</w:t>
      </w:r>
      <w:r>
        <w:rPr>
          <w:sz w:val="20"/>
          <w:szCs w:val="20"/>
          <w:rtl/>
        </w:rPr>
        <w:br/>
      </w:r>
      <w:r w:rsidRPr="002844A3">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ע"פ סברת הראב"ד המובאת בב"י, שבדיקה באחד הימים האמצעיים עדיפה מבדיקת יום האחרון.</w:t>
      </w:r>
    </w:p>
    <w:p w:rsidR="00620060" w:rsidRDefault="00620060" w:rsidP="00620060">
      <w:pPr>
        <w:rPr>
          <w:sz w:val="20"/>
          <w:szCs w:val="20"/>
          <w:rtl/>
        </w:rPr>
      </w:pPr>
      <w:r>
        <w:rPr>
          <w:rFonts w:hint="cs"/>
          <w:sz w:val="20"/>
          <w:szCs w:val="20"/>
          <w:u w:val="single"/>
          <w:rtl/>
        </w:rPr>
        <w:t>בדיקות לבעלת הכתם (טה"ב עמ' שכט)</w:t>
      </w:r>
      <w:r>
        <w:rPr>
          <w:rFonts w:hint="cs"/>
          <w:sz w:val="20"/>
          <w:szCs w:val="20"/>
          <w:u w:val="single"/>
          <w:rtl/>
        </w:rPr>
        <w:br/>
      </w:r>
      <w:r w:rsidRPr="00D013F2">
        <w:rPr>
          <w:rFonts w:hint="cs"/>
          <w:b/>
          <w:bCs/>
          <w:sz w:val="20"/>
          <w:szCs w:val="20"/>
          <w:rtl/>
        </w:rPr>
        <w:t>טהרת הבית</w:t>
      </w:r>
      <w:r>
        <w:rPr>
          <w:rFonts w:hint="cs"/>
          <w:sz w:val="20"/>
          <w:szCs w:val="20"/>
          <w:rtl/>
        </w:rPr>
        <w:t xml:space="preserve"> - אשה שסופרת ז' נקיים לכתמה ובדקה רק בראשון או רק בשביעי, מותרת לטבול.</w:t>
      </w:r>
      <w:r>
        <w:rPr>
          <w:sz w:val="20"/>
          <w:szCs w:val="20"/>
          <w:rtl/>
        </w:rPr>
        <w:br/>
      </w:r>
      <w:r w:rsidRPr="00D013F2">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בכתם לא שייך סרך איסור כרת, ולכן לא שייך טעמו של </w:t>
      </w:r>
      <w:r w:rsidRPr="00773E5A">
        <w:rPr>
          <w:rFonts w:hint="cs"/>
          <w:b/>
          <w:bCs/>
          <w:sz w:val="20"/>
          <w:szCs w:val="20"/>
          <w:rtl/>
        </w:rPr>
        <w:t>הבית יוסף</w:t>
      </w:r>
      <w:r>
        <w:rPr>
          <w:rFonts w:hint="cs"/>
          <w:sz w:val="20"/>
          <w:szCs w:val="20"/>
          <w:rtl/>
        </w:rPr>
        <w:t xml:space="preserve"> להחמיר.</w:t>
      </w:r>
    </w:p>
    <w:p w:rsidR="00620060" w:rsidRDefault="00620060" w:rsidP="00620060">
      <w:pPr>
        <w:rPr>
          <w:sz w:val="20"/>
          <w:szCs w:val="20"/>
          <w:rtl/>
        </w:rPr>
      </w:pPr>
      <w:r>
        <w:rPr>
          <w:rFonts w:hint="cs"/>
          <w:sz w:val="20"/>
          <w:szCs w:val="20"/>
          <w:u w:val="single"/>
          <w:rtl/>
        </w:rPr>
        <w:t>ספק בדקה עצמה ביום הראשון (טה"ב עמ' של)</w:t>
      </w:r>
      <w:r>
        <w:rPr>
          <w:rFonts w:hint="cs"/>
          <w:sz w:val="20"/>
          <w:szCs w:val="20"/>
          <w:u w:val="single"/>
          <w:rtl/>
        </w:rPr>
        <w:br/>
      </w:r>
      <w:r w:rsidRPr="00BA7739">
        <w:rPr>
          <w:rFonts w:hint="cs"/>
          <w:b/>
          <w:bCs/>
          <w:sz w:val="20"/>
          <w:szCs w:val="20"/>
          <w:rtl/>
        </w:rPr>
        <w:t>טהרת הבית</w:t>
      </w:r>
      <w:r>
        <w:rPr>
          <w:rFonts w:hint="cs"/>
          <w:sz w:val="20"/>
          <w:szCs w:val="20"/>
          <w:rtl/>
        </w:rPr>
        <w:t xml:space="preserve"> </w:t>
      </w:r>
      <w:r>
        <w:rPr>
          <w:sz w:val="20"/>
          <w:szCs w:val="20"/>
          <w:rtl/>
        </w:rPr>
        <w:t>–</w:t>
      </w:r>
      <w:r>
        <w:rPr>
          <w:rFonts w:hint="cs"/>
          <w:sz w:val="20"/>
          <w:szCs w:val="20"/>
          <w:rtl/>
        </w:rPr>
        <w:t xml:space="preserve"> אשה שרגילה תמיד לבדוק עצמה ביום הראשון וביום השביעי לספירתה, וכעת עומדת היא ביום השביעי ומסופקת אם בדקה ביום הראשון, מותרת לטבול.</w:t>
      </w:r>
      <w:r>
        <w:rPr>
          <w:rFonts w:hint="cs"/>
          <w:sz w:val="20"/>
          <w:szCs w:val="20"/>
          <w:rtl/>
        </w:rPr>
        <w:br/>
      </w:r>
      <w:r w:rsidRPr="00AD31BA">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יש כאן כמה ספקות שראוי להתיר מחמתם - </w:t>
      </w:r>
      <w:r>
        <w:rPr>
          <w:sz w:val="20"/>
          <w:szCs w:val="20"/>
          <w:rtl/>
        </w:rPr>
        <w:br/>
      </w:r>
      <w:r>
        <w:rPr>
          <w:rFonts w:hint="cs"/>
          <w:sz w:val="20"/>
          <w:szCs w:val="20"/>
          <w:rtl/>
        </w:rPr>
        <w:lastRenderedPageBreak/>
        <w:t>שמא בדקה עצמה ביום הראשון</w:t>
      </w:r>
      <w:r>
        <w:rPr>
          <w:rStyle w:val="a5"/>
          <w:sz w:val="20"/>
          <w:szCs w:val="20"/>
          <w:rtl/>
        </w:rPr>
        <w:footnoteReference w:id="520"/>
      </w:r>
      <w:r>
        <w:rPr>
          <w:rFonts w:hint="cs"/>
          <w:sz w:val="20"/>
          <w:szCs w:val="20"/>
          <w:rtl/>
        </w:rPr>
        <w:t>.</w:t>
      </w:r>
      <w:r>
        <w:rPr>
          <w:sz w:val="20"/>
          <w:szCs w:val="20"/>
          <w:rtl/>
        </w:rPr>
        <w:br/>
      </w:r>
      <w:r>
        <w:rPr>
          <w:rFonts w:hint="cs"/>
          <w:sz w:val="20"/>
          <w:szCs w:val="20"/>
          <w:rtl/>
        </w:rPr>
        <w:t>אם תמצי לומר שלא בדקה עצמה ביום הראשון, שמא הלכה כמ"ד סופן אע"פ שאין תחילתם.</w:t>
      </w:r>
      <w:r>
        <w:rPr>
          <w:sz w:val="20"/>
          <w:szCs w:val="20"/>
          <w:rtl/>
        </w:rPr>
        <w:br/>
      </w:r>
      <w:r>
        <w:rPr>
          <w:rFonts w:hint="cs"/>
          <w:sz w:val="20"/>
          <w:szCs w:val="20"/>
          <w:rtl/>
        </w:rPr>
        <w:t>עוד יש לצרף שמא היא אינה זבה אלא נידה, ואם כן אינה צריכה כלל ז' נקיים.</w:t>
      </w:r>
    </w:p>
    <w:p w:rsidR="00620060" w:rsidRDefault="00620060" w:rsidP="00620060">
      <w:pPr>
        <w:rPr>
          <w:sz w:val="20"/>
          <w:szCs w:val="20"/>
          <w:rtl/>
        </w:rPr>
      </w:pPr>
      <w:r>
        <w:rPr>
          <w:rFonts w:hint="cs"/>
          <w:sz w:val="20"/>
          <w:szCs w:val="20"/>
          <w:u w:val="single"/>
          <w:rtl/>
        </w:rPr>
        <w:t>בדיקה בבין השמשות של יום ז' (טה"ב עמ' שלא)</w:t>
      </w:r>
      <w:r>
        <w:rPr>
          <w:rFonts w:hint="cs"/>
          <w:sz w:val="20"/>
          <w:szCs w:val="20"/>
          <w:u w:val="single"/>
          <w:rtl/>
        </w:rPr>
        <w:br/>
      </w:r>
      <w:r w:rsidRPr="003C6142">
        <w:rPr>
          <w:rFonts w:hint="cs"/>
          <w:b/>
          <w:bCs/>
          <w:sz w:val="20"/>
          <w:szCs w:val="20"/>
          <w:rtl/>
        </w:rPr>
        <w:t>טהרת הבית</w:t>
      </w:r>
      <w:r>
        <w:rPr>
          <w:rFonts w:hint="cs"/>
          <w:sz w:val="20"/>
          <w:szCs w:val="20"/>
          <w:rtl/>
        </w:rPr>
        <w:t xml:space="preserve"> </w:t>
      </w:r>
      <w:r>
        <w:rPr>
          <w:sz w:val="20"/>
          <w:szCs w:val="20"/>
          <w:rtl/>
        </w:rPr>
        <w:t>–</w:t>
      </w:r>
      <w:r>
        <w:rPr>
          <w:rFonts w:hint="cs"/>
          <w:sz w:val="20"/>
          <w:szCs w:val="20"/>
          <w:rtl/>
        </w:rPr>
        <w:t xml:space="preserve"> אשה שבדקה ביום הראשון כדין, וכעת עומדת היא ביום השביעי בבין השמשות, תבדוק עצמה כעת ותטבול, ואפילו בביה"ש של ר"ת יכולה לבדוק, דהיינו כשעה לאחר השקיעה שלנו.</w:t>
      </w:r>
      <w:r>
        <w:rPr>
          <w:sz w:val="20"/>
          <w:szCs w:val="20"/>
          <w:rtl/>
        </w:rPr>
        <w:br/>
      </w:r>
      <w:r w:rsidRPr="003C6142">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יש לצרף את הספק האם הלכה כר"ת לספק האם הלכה כראשונים המקלים בבדיקת יום א' בלבד.</w:t>
      </w:r>
    </w:p>
    <w:p w:rsidR="00620060" w:rsidRDefault="00620060" w:rsidP="00620060">
      <w:pPr>
        <w:rPr>
          <w:sz w:val="20"/>
          <w:szCs w:val="20"/>
          <w:rtl/>
        </w:rPr>
      </w:pPr>
      <w:r>
        <w:rPr>
          <w:rFonts w:hint="cs"/>
          <w:sz w:val="20"/>
          <w:szCs w:val="20"/>
          <w:u w:val="single"/>
          <w:rtl/>
        </w:rPr>
        <w:t>מקלחת בז' נקיים (טה"ב עמ' שלג)</w:t>
      </w:r>
      <w:r>
        <w:rPr>
          <w:rFonts w:hint="cs"/>
          <w:sz w:val="20"/>
          <w:szCs w:val="20"/>
          <w:u w:val="single"/>
          <w:rtl/>
        </w:rPr>
        <w:br/>
      </w:r>
      <w:r>
        <w:rPr>
          <w:rFonts w:hint="cs"/>
          <w:sz w:val="20"/>
          <w:szCs w:val="20"/>
          <w:rtl/>
        </w:rPr>
        <w:t xml:space="preserve">א. </w:t>
      </w:r>
      <w:r w:rsidRPr="00CE2290">
        <w:rPr>
          <w:rFonts w:hint="cs"/>
          <w:b/>
          <w:bCs/>
          <w:sz w:val="20"/>
          <w:szCs w:val="20"/>
          <w:rtl/>
        </w:rPr>
        <w:t>שו"ת ויאמר יצחק</w:t>
      </w:r>
      <w:r>
        <w:rPr>
          <w:rFonts w:hint="cs"/>
          <w:sz w:val="20"/>
          <w:szCs w:val="20"/>
          <w:rtl/>
        </w:rPr>
        <w:t xml:space="preserve"> </w:t>
      </w:r>
      <w:r>
        <w:rPr>
          <w:sz w:val="20"/>
          <w:szCs w:val="20"/>
          <w:rtl/>
        </w:rPr>
        <w:t>–</w:t>
      </w:r>
      <w:r>
        <w:rPr>
          <w:rFonts w:hint="cs"/>
          <w:sz w:val="20"/>
          <w:szCs w:val="20"/>
          <w:rtl/>
        </w:rPr>
        <w:t xml:space="preserve"> אין לאשה להתרחץ בימים הראשון והשביעי, ואם תרחץ עצמה באותו מקום אינה יכולה לבדוק אם היא טהורה.</w:t>
      </w:r>
      <w:r>
        <w:rPr>
          <w:sz w:val="20"/>
          <w:szCs w:val="20"/>
          <w:rtl/>
        </w:rPr>
        <w:br/>
      </w:r>
      <w:r w:rsidRPr="00CE2290">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חשש שמא היתה טיפת דם ואבדה ברחיצה</w:t>
      </w:r>
      <w:r>
        <w:rPr>
          <w:rStyle w:val="a5"/>
          <w:sz w:val="20"/>
          <w:szCs w:val="20"/>
          <w:rtl/>
        </w:rPr>
        <w:footnoteReference w:id="521"/>
      </w:r>
      <w:r>
        <w:rPr>
          <w:rFonts w:hint="cs"/>
          <w:sz w:val="20"/>
          <w:szCs w:val="20"/>
          <w:rtl/>
        </w:rPr>
        <w:t>.</w:t>
      </w:r>
      <w:r>
        <w:rPr>
          <w:sz w:val="20"/>
          <w:szCs w:val="20"/>
          <w:rtl/>
        </w:rPr>
        <w:br/>
      </w:r>
      <w:r>
        <w:rPr>
          <w:rFonts w:hint="cs"/>
          <w:sz w:val="20"/>
          <w:szCs w:val="20"/>
          <w:rtl/>
        </w:rPr>
        <w:t xml:space="preserve">ב. </w:t>
      </w:r>
      <w:r w:rsidRPr="00CE2290">
        <w:rPr>
          <w:rFonts w:hint="cs"/>
          <w:b/>
          <w:bCs/>
          <w:sz w:val="20"/>
          <w:szCs w:val="20"/>
          <w:rtl/>
        </w:rPr>
        <w:t>טהרת הבית</w:t>
      </w:r>
      <w:r>
        <w:rPr>
          <w:rFonts w:hint="cs"/>
          <w:sz w:val="20"/>
          <w:szCs w:val="20"/>
          <w:rtl/>
        </w:rPr>
        <w:t xml:space="preserve"> </w:t>
      </w:r>
      <w:r>
        <w:rPr>
          <w:sz w:val="20"/>
          <w:szCs w:val="20"/>
          <w:rtl/>
        </w:rPr>
        <w:t>–</w:t>
      </w:r>
      <w:r>
        <w:rPr>
          <w:rFonts w:hint="cs"/>
          <w:sz w:val="20"/>
          <w:szCs w:val="20"/>
          <w:rtl/>
        </w:rPr>
        <w:t xml:space="preserve"> מותר להתרחץ בכל ימי בספירה כרגיל ואף באותו מקום כאשר יש צורך בכך</w:t>
      </w:r>
      <w:r>
        <w:rPr>
          <w:rStyle w:val="a5"/>
          <w:sz w:val="20"/>
          <w:szCs w:val="20"/>
          <w:rtl/>
        </w:rPr>
        <w:footnoteReference w:id="522"/>
      </w:r>
      <w:r>
        <w:rPr>
          <w:rFonts w:hint="cs"/>
          <w:sz w:val="20"/>
          <w:szCs w:val="20"/>
          <w:rtl/>
        </w:rPr>
        <w:t>.</w:t>
      </w:r>
      <w:r>
        <w:rPr>
          <w:sz w:val="20"/>
          <w:szCs w:val="20"/>
          <w:rtl/>
        </w:rPr>
        <w:br/>
      </w:r>
      <w:r w:rsidRPr="00F97BCA">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האשה בחזקת טהרה בימי הספירה ע"י הפסק הטהרה, ולכן אין לחוש שמא ראתה טיפת דם ואבדה.</w:t>
      </w:r>
    </w:p>
    <w:p w:rsidR="00620060" w:rsidRDefault="00620060" w:rsidP="00620060">
      <w:pPr>
        <w:rPr>
          <w:sz w:val="20"/>
          <w:szCs w:val="20"/>
          <w:rtl/>
        </w:rPr>
      </w:pPr>
      <w:r>
        <w:rPr>
          <w:rFonts w:hint="cs"/>
          <w:sz w:val="20"/>
          <w:szCs w:val="20"/>
          <w:u w:val="single"/>
          <w:rtl/>
        </w:rPr>
        <w:t xml:space="preserve">סמיכת ז' נקיים לטבילה (טה"ב עמ' שלה </w:t>
      </w:r>
      <w:r>
        <w:rPr>
          <w:sz w:val="20"/>
          <w:szCs w:val="20"/>
          <w:u w:val="single"/>
          <w:rtl/>
        </w:rPr>
        <w:t>–</w:t>
      </w:r>
      <w:r>
        <w:rPr>
          <w:rFonts w:hint="cs"/>
          <w:sz w:val="20"/>
          <w:szCs w:val="20"/>
          <w:u w:val="single"/>
          <w:rtl/>
        </w:rPr>
        <w:t xml:space="preserve"> שלו)</w:t>
      </w:r>
      <w:r>
        <w:rPr>
          <w:rFonts w:hint="cs"/>
          <w:sz w:val="20"/>
          <w:szCs w:val="20"/>
          <w:u w:val="single"/>
          <w:rtl/>
        </w:rPr>
        <w:br/>
      </w:r>
      <w:r>
        <w:rPr>
          <w:rFonts w:hint="cs"/>
          <w:sz w:val="20"/>
          <w:szCs w:val="20"/>
          <w:rtl/>
        </w:rPr>
        <w:t>אשה שיום ווסתה הקבוע חל בתוך ז' נקיים, כגון שבעלה לא היה בעיר ודחתה את הפסק הטהרה עד סמוך לבואו, אע"פ שלא בדקה ביום וסתה, אם בדקה ביום הא' והז' מותרת לטבול.</w:t>
      </w:r>
      <w:r>
        <w:rPr>
          <w:sz w:val="20"/>
          <w:szCs w:val="20"/>
          <w:rtl/>
        </w:rPr>
        <w:br/>
      </w:r>
      <w:r w:rsidRPr="001A1BB5">
        <w:rPr>
          <w:rFonts w:hint="cs"/>
          <w:b/>
          <w:bCs/>
          <w:sz w:val="20"/>
          <w:szCs w:val="20"/>
          <w:rtl/>
        </w:rPr>
        <w:t xml:space="preserve">טעם </w:t>
      </w:r>
      <w:r>
        <w:rPr>
          <w:sz w:val="20"/>
          <w:szCs w:val="20"/>
          <w:rtl/>
        </w:rPr>
        <w:t>–</w:t>
      </w:r>
      <w:r>
        <w:rPr>
          <w:rFonts w:hint="cs"/>
          <w:sz w:val="20"/>
          <w:szCs w:val="20"/>
          <w:rtl/>
        </w:rPr>
        <w:t xml:space="preserve"> בכה"ג אין אומרים 'אורח בזמנו בא' מאחר שבדקה עצמה תחילה וסוף והרי היא בחזקת טהורה.</w:t>
      </w:r>
      <w:r>
        <w:rPr>
          <w:sz w:val="20"/>
          <w:szCs w:val="20"/>
          <w:rtl/>
        </w:rPr>
        <w:br/>
      </w:r>
      <w:r>
        <w:rPr>
          <w:rFonts w:hint="cs"/>
          <w:sz w:val="20"/>
          <w:szCs w:val="20"/>
          <w:rtl/>
        </w:rPr>
        <w:t>וכל שכן אם כבר ספרה ז' נקיים ולא טבלה, ולאחר כמה ימים הגיע יום ווסתה ולאחר מכן רוצה לטבול, שמותרת לטבול לאחר שתבדוק עצמה שהיא טהורה.</w:t>
      </w:r>
      <w:r>
        <w:rPr>
          <w:sz w:val="20"/>
          <w:szCs w:val="20"/>
          <w:rtl/>
        </w:rPr>
        <w:br/>
      </w:r>
      <w:r w:rsidRPr="001A1BB5">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אין צריך ששבעת הנקיים יהיו סמוכים לטבילה.</w:t>
      </w:r>
    </w:p>
    <w:p w:rsidR="00620060" w:rsidRDefault="00620060" w:rsidP="00620060">
      <w:pPr>
        <w:rPr>
          <w:sz w:val="20"/>
          <w:szCs w:val="20"/>
          <w:rtl/>
        </w:rPr>
      </w:pPr>
      <w:r>
        <w:rPr>
          <w:rFonts w:hint="cs"/>
          <w:sz w:val="20"/>
          <w:szCs w:val="20"/>
          <w:u w:val="single"/>
          <w:rtl/>
        </w:rPr>
        <w:t>דין ז' נקיים שהתחילו ביום השמיני (טה"ב עמ' שלו)</w:t>
      </w:r>
      <w:r>
        <w:rPr>
          <w:rFonts w:hint="cs"/>
          <w:sz w:val="20"/>
          <w:szCs w:val="20"/>
          <w:u w:val="single"/>
          <w:rtl/>
        </w:rPr>
        <w:br/>
      </w:r>
      <w:r w:rsidRPr="005D67A7">
        <w:rPr>
          <w:rFonts w:hint="cs"/>
          <w:b/>
          <w:bCs/>
          <w:sz w:val="20"/>
          <w:szCs w:val="20"/>
          <w:rtl/>
        </w:rPr>
        <w:t>המחבר</w:t>
      </w:r>
      <w:r>
        <w:rPr>
          <w:rFonts w:hint="cs"/>
          <w:sz w:val="20"/>
          <w:szCs w:val="20"/>
          <w:rtl/>
        </w:rPr>
        <w:t xml:space="preserve"> פסק שאם לא בדקה עצמה כלל בכל הז' נקיים ובדקה ביום הח', משלימה עליו שישה וטובלת, ונחלקו הפוסקים בדין ז' נקיים אלו - </w:t>
      </w:r>
      <w:r>
        <w:rPr>
          <w:sz w:val="20"/>
          <w:szCs w:val="20"/>
          <w:rtl/>
        </w:rPr>
        <w:br/>
      </w:r>
      <w:r>
        <w:rPr>
          <w:rFonts w:hint="cs"/>
          <w:sz w:val="20"/>
          <w:szCs w:val="20"/>
          <w:rtl/>
        </w:rPr>
        <w:t xml:space="preserve">א. </w:t>
      </w:r>
      <w:r w:rsidRPr="0023329F">
        <w:rPr>
          <w:rFonts w:hint="cs"/>
          <w:b/>
          <w:bCs/>
          <w:sz w:val="20"/>
          <w:szCs w:val="20"/>
          <w:rtl/>
        </w:rPr>
        <w:t>רשב"ץ</w:t>
      </w:r>
      <w:r>
        <w:rPr>
          <w:rFonts w:hint="cs"/>
          <w:sz w:val="20"/>
          <w:szCs w:val="20"/>
          <w:rtl/>
        </w:rPr>
        <w:t xml:space="preserve"> </w:t>
      </w:r>
      <w:r>
        <w:rPr>
          <w:sz w:val="20"/>
          <w:szCs w:val="20"/>
          <w:rtl/>
        </w:rPr>
        <w:t>–</w:t>
      </w:r>
      <w:r>
        <w:rPr>
          <w:rFonts w:hint="cs"/>
          <w:sz w:val="20"/>
          <w:szCs w:val="20"/>
          <w:rtl/>
        </w:rPr>
        <w:t xml:space="preserve"> בכה"ג אין מועילה לה בדיקה אחת ביום א' וביום ז', אלא צריכה לבדוק עצמה בכל יום.</w:t>
      </w:r>
      <w:r>
        <w:rPr>
          <w:sz w:val="20"/>
          <w:szCs w:val="20"/>
          <w:rtl/>
        </w:rPr>
        <w:br/>
      </w:r>
      <w:r>
        <w:rPr>
          <w:rFonts w:hint="cs"/>
          <w:sz w:val="20"/>
          <w:szCs w:val="20"/>
          <w:rtl/>
        </w:rPr>
        <w:t xml:space="preserve">ב. </w:t>
      </w:r>
      <w:r w:rsidRPr="0023329F">
        <w:rPr>
          <w:rFonts w:hint="cs"/>
          <w:b/>
          <w:bCs/>
          <w:sz w:val="20"/>
          <w:szCs w:val="20"/>
          <w:rtl/>
        </w:rPr>
        <w:t>ספר האשכול</w:t>
      </w:r>
      <w:r>
        <w:rPr>
          <w:rFonts w:hint="cs"/>
          <w:sz w:val="20"/>
          <w:szCs w:val="20"/>
          <w:rtl/>
        </w:rPr>
        <w:t xml:space="preserve"> </w:t>
      </w:r>
      <w:r>
        <w:rPr>
          <w:sz w:val="20"/>
          <w:szCs w:val="20"/>
          <w:rtl/>
        </w:rPr>
        <w:t>–</w:t>
      </w:r>
      <w:r>
        <w:rPr>
          <w:rFonts w:hint="cs"/>
          <w:sz w:val="20"/>
          <w:szCs w:val="20"/>
          <w:rtl/>
        </w:rPr>
        <w:t xml:space="preserve"> אף בכה"ג מהני לה בדיקה אחת ביום הא' ובדיקה אחת ביום הז', וכ"פ </w:t>
      </w:r>
      <w:r w:rsidRPr="0023329F">
        <w:rPr>
          <w:rFonts w:hint="cs"/>
          <w:b/>
          <w:bCs/>
          <w:sz w:val="20"/>
          <w:szCs w:val="20"/>
          <w:rtl/>
        </w:rPr>
        <w:t>טה"ב</w:t>
      </w:r>
      <w:r>
        <w:rPr>
          <w:rFonts w:hint="cs"/>
          <w:sz w:val="20"/>
          <w:szCs w:val="20"/>
          <w:rtl/>
        </w:rPr>
        <w:t>.</w:t>
      </w:r>
      <w:r>
        <w:rPr>
          <w:sz w:val="20"/>
          <w:szCs w:val="20"/>
          <w:rtl/>
        </w:rPr>
        <w:br/>
      </w:r>
      <w:r w:rsidRPr="0023329F">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לא מצאנו שהתורה הצריכה ששבעת הנקיים יהיו סמוכים להפסק הטהרה.</w:t>
      </w:r>
    </w:p>
    <w:p w:rsidR="00620060" w:rsidRDefault="00620060" w:rsidP="00620060">
      <w:pPr>
        <w:rPr>
          <w:rFonts w:cs="Arial"/>
          <w:sz w:val="20"/>
          <w:szCs w:val="20"/>
          <w:rtl/>
        </w:rPr>
      </w:pPr>
      <w:r>
        <w:rPr>
          <w:sz w:val="20"/>
          <w:szCs w:val="20"/>
          <w:rtl/>
        </w:rPr>
        <w:br/>
      </w:r>
      <w:r>
        <w:rPr>
          <w:rFonts w:hint="cs"/>
          <w:b/>
          <w:bCs/>
          <w:sz w:val="20"/>
          <w:szCs w:val="20"/>
          <w:rtl/>
        </w:rPr>
        <w:t xml:space="preserve">סעיף ה </w:t>
      </w:r>
      <w:r>
        <w:rPr>
          <w:b/>
          <w:bCs/>
          <w:sz w:val="20"/>
          <w:szCs w:val="20"/>
          <w:rtl/>
        </w:rPr>
        <w:t>–</w:t>
      </w:r>
      <w:r>
        <w:rPr>
          <w:rFonts w:hint="cs"/>
          <w:b/>
          <w:bCs/>
          <w:sz w:val="20"/>
          <w:szCs w:val="20"/>
          <w:rtl/>
        </w:rPr>
        <w:t xml:space="preserve"> דין אשה שלא עשתה הפסק טהרה</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משנה </w:t>
      </w:r>
      <w:r>
        <w:rPr>
          <w:rFonts w:hint="cs"/>
          <w:sz w:val="20"/>
          <w:szCs w:val="20"/>
          <w:rtl/>
        </w:rPr>
        <w:t>נידה (סח.) "</w:t>
      </w:r>
      <w:r w:rsidRPr="00947CA3">
        <w:rPr>
          <w:rFonts w:cs="Arial"/>
          <w:sz w:val="20"/>
          <w:szCs w:val="20"/>
          <w:rtl/>
        </w:rPr>
        <w:t>בדקה עצמה ביום שביעי שחרית ומצאה טמאה, ובין השמשות לא הפרישה, ולאחר זמן בדקה ומצאה טהורה - הרי זו בחזקת טמאה</w:t>
      </w:r>
      <w:r>
        <w:rPr>
          <w:rFonts w:cs="Arial" w:hint="cs"/>
          <w:sz w:val="20"/>
          <w:szCs w:val="20"/>
          <w:rtl/>
        </w:rPr>
        <w:t>".</w:t>
      </w:r>
      <w:r>
        <w:rPr>
          <w:rFonts w:hint="cs"/>
          <w:sz w:val="20"/>
          <w:szCs w:val="20"/>
          <w:rtl/>
        </w:rPr>
        <w:br/>
      </w:r>
      <w:r>
        <w:rPr>
          <w:rFonts w:hint="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947CA3">
        <w:rPr>
          <w:rFonts w:cs="Arial"/>
          <w:sz w:val="20"/>
          <w:szCs w:val="20"/>
          <w:rtl/>
        </w:rPr>
        <w:t>בדקה עצמה ביום שפסקה מלראות ומצאה טמאה, ובדקה לאחר של</w:t>
      </w:r>
      <w:r>
        <w:rPr>
          <w:rFonts w:cs="Arial" w:hint="cs"/>
          <w:sz w:val="20"/>
          <w:szCs w:val="20"/>
          <w:rtl/>
        </w:rPr>
        <w:t>ו</w:t>
      </w:r>
      <w:r w:rsidRPr="00947CA3">
        <w:rPr>
          <w:rFonts w:cs="Arial"/>
          <w:sz w:val="20"/>
          <w:szCs w:val="20"/>
          <w:rtl/>
        </w:rPr>
        <w:t xml:space="preserve">שה או </w:t>
      </w:r>
      <w:r>
        <w:rPr>
          <w:rFonts w:cs="Arial" w:hint="cs"/>
          <w:sz w:val="20"/>
          <w:szCs w:val="20"/>
          <w:rtl/>
        </w:rPr>
        <w:t>ארבעה</w:t>
      </w:r>
      <w:r w:rsidRPr="00947CA3">
        <w:rPr>
          <w:rFonts w:cs="Arial"/>
          <w:sz w:val="20"/>
          <w:szCs w:val="20"/>
          <w:rtl/>
        </w:rPr>
        <w:t xml:space="preserve"> ימים ומצאה טהורה, הרי זו בחזקת טמאה עד שתפסוק בטהרה, שלעולם אינה סופרת עד ש</w:t>
      </w:r>
      <w:r>
        <w:rPr>
          <w:rFonts w:cs="Arial"/>
          <w:sz w:val="20"/>
          <w:szCs w:val="20"/>
          <w:rtl/>
        </w:rPr>
        <w:t>תבדוק אם פסקה, ואז מונה למחרתו</w:t>
      </w:r>
      <w:r>
        <w:rPr>
          <w:rFonts w:cs="Arial" w:hint="cs"/>
          <w:sz w:val="20"/>
          <w:szCs w:val="20"/>
          <w:rtl/>
        </w:rPr>
        <w:t>".</w:t>
      </w:r>
    </w:p>
    <w:p w:rsidR="00620060" w:rsidRDefault="00620060" w:rsidP="00620060">
      <w:pPr>
        <w:rPr>
          <w:sz w:val="20"/>
          <w:szCs w:val="20"/>
          <w:rtl/>
        </w:rPr>
      </w:pPr>
      <w:r>
        <w:rPr>
          <w:rFonts w:cs="Arial"/>
          <w:sz w:val="20"/>
          <w:szCs w:val="20"/>
          <w:rtl/>
        </w:rPr>
        <w:br/>
      </w:r>
      <w:r>
        <w:rPr>
          <w:rFonts w:cs="Arial" w:hint="cs"/>
          <w:b/>
          <w:bCs/>
          <w:sz w:val="20"/>
          <w:szCs w:val="20"/>
          <w:rtl/>
        </w:rPr>
        <w:t xml:space="preserve">סעיף ו </w:t>
      </w:r>
      <w:r>
        <w:rPr>
          <w:rFonts w:cs="Arial"/>
          <w:b/>
          <w:bCs/>
          <w:sz w:val="20"/>
          <w:szCs w:val="20"/>
          <w:rtl/>
        </w:rPr>
        <w:t>–</w:t>
      </w:r>
      <w:r>
        <w:rPr>
          <w:rFonts w:cs="Arial" w:hint="cs"/>
          <w:b/>
          <w:bCs/>
          <w:sz w:val="20"/>
          <w:szCs w:val="20"/>
          <w:rtl/>
        </w:rPr>
        <w:t xml:space="preserve"> סוג בגד הבדיקה ואופן הבדיקה</w:t>
      </w:r>
      <w:r>
        <w:rPr>
          <w:rFonts w:cs="Arial"/>
          <w:b/>
          <w:bCs/>
          <w:sz w:val="20"/>
          <w:szCs w:val="20"/>
          <w:rtl/>
        </w:rPr>
        <w:br/>
      </w:r>
      <w:r w:rsidRPr="00556E86">
        <w:rPr>
          <w:rStyle w:val="10"/>
          <w:rFonts w:hint="cs"/>
          <w:rtl/>
        </w:rPr>
        <w:lastRenderedPageBreak/>
        <w:t>א</w:t>
      </w:r>
      <w:r>
        <w:rPr>
          <w:rFonts w:cs="Arial" w:hint="cs"/>
          <w:sz w:val="20"/>
          <w:szCs w:val="20"/>
          <w:rtl/>
        </w:rPr>
        <w:t xml:space="preserve">. </w:t>
      </w:r>
      <w:r>
        <w:rPr>
          <w:rFonts w:cs="Arial" w:hint="cs"/>
          <w:b/>
          <w:bCs/>
          <w:sz w:val="20"/>
          <w:szCs w:val="20"/>
          <w:rtl/>
        </w:rPr>
        <w:t>סוג בגד הבדיקה</w:t>
      </w:r>
      <w:r>
        <w:rPr>
          <w:rFonts w:cs="Arial"/>
          <w:b/>
          <w:bCs/>
          <w:sz w:val="20"/>
          <w:szCs w:val="20"/>
          <w:rtl/>
        </w:rPr>
        <w:br/>
      </w:r>
      <w:r>
        <w:rPr>
          <w:rFonts w:cs="Arial" w:hint="cs"/>
          <w:b/>
          <w:bCs/>
          <w:sz w:val="20"/>
          <w:szCs w:val="20"/>
          <w:rtl/>
        </w:rPr>
        <w:t xml:space="preserve">גמרא </w:t>
      </w:r>
      <w:r>
        <w:rPr>
          <w:rFonts w:hint="cs"/>
          <w:sz w:val="20"/>
          <w:szCs w:val="20"/>
          <w:rtl/>
        </w:rPr>
        <w:t>נידה (יז.) "</w:t>
      </w:r>
      <w:r w:rsidRPr="00D43434">
        <w:rPr>
          <w:rFonts w:cs="Arial"/>
          <w:sz w:val="20"/>
          <w:szCs w:val="20"/>
          <w:rtl/>
        </w:rPr>
        <w:t>ושל בית מונבז המלך היו עושין ג' דברים ומזכירין אותן לשבח</w:t>
      </w:r>
      <w:r>
        <w:rPr>
          <w:rFonts w:cs="Arial" w:hint="cs"/>
          <w:sz w:val="20"/>
          <w:szCs w:val="20"/>
          <w:rtl/>
        </w:rPr>
        <w:t xml:space="preserve">... </w:t>
      </w:r>
      <w:r>
        <w:rPr>
          <w:rFonts w:cs="Arial"/>
          <w:sz w:val="20"/>
          <w:szCs w:val="20"/>
          <w:rtl/>
        </w:rPr>
        <w:t>ובודקין מטותיהם במילא פרהבא</w:t>
      </w:r>
      <w:r>
        <w:rPr>
          <w:rFonts w:cs="Arial" w:hint="cs"/>
          <w:sz w:val="20"/>
          <w:szCs w:val="20"/>
          <w:rtl/>
        </w:rPr>
        <w:t xml:space="preserve"> </w:t>
      </w:r>
      <w:r w:rsidRPr="00A657A0">
        <w:rPr>
          <w:rFonts w:cs="Arial" w:hint="cs"/>
          <w:sz w:val="18"/>
          <w:szCs w:val="18"/>
          <w:rtl/>
        </w:rPr>
        <w:t>(צמר גפן</w:t>
      </w:r>
      <w:r>
        <w:rPr>
          <w:rStyle w:val="a5"/>
          <w:rFonts w:cs="Arial"/>
          <w:sz w:val="18"/>
          <w:szCs w:val="18"/>
          <w:rtl/>
        </w:rPr>
        <w:footnoteReference w:id="523"/>
      </w:r>
      <w:r w:rsidRPr="00A657A0">
        <w:rPr>
          <w:rFonts w:cs="Arial" w:hint="cs"/>
          <w:sz w:val="18"/>
          <w:szCs w:val="18"/>
          <w:rtl/>
        </w:rPr>
        <w:t xml:space="preserve"> העשוי מכותנה או צמר נקי ורך, רש"י)</w:t>
      </w:r>
      <w:r>
        <w:rPr>
          <w:rFonts w:cs="Arial"/>
          <w:sz w:val="20"/>
          <w:szCs w:val="20"/>
          <w:rtl/>
        </w:rPr>
        <w:t>.</w:t>
      </w:r>
      <w:r>
        <w:rPr>
          <w:rFonts w:cs="Arial" w:hint="cs"/>
          <w:sz w:val="20"/>
          <w:szCs w:val="20"/>
          <w:rtl/>
        </w:rPr>
        <w:t xml:space="preserve">.. </w:t>
      </w:r>
      <w:r w:rsidRPr="00D43434">
        <w:rPr>
          <w:rFonts w:cs="Arial"/>
          <w:sz w:val="20"/>
          <w:szCs w:val="20"/>
          <w:rtl/>
        </w:rPr>
        <w:t>מסייע ליה לשמואל, דאמר שמואל: אין בודקין את המטה אלא בפקולין</w:t>
      </w:r>
      <w:r>
        <w:rPr>
          <w:rFonts w:cs="Arial" w:hint="cs"/>
          <w:sz w:val="20"/>
          <w:szCs w:val="20"/>
          <w:rtl/>
        </w:rPr>
        <w:t xml:space="preserve"> </w:t>
      </w:r>
      <w:r w:rsidRPr="00A657A0">
        <w:rPr>
          <w:rFonts w:cs="Arial" w:hint="cs"/>
          <w:sz w:val="18"/>
          <w:szCs w:val="18"/>
          <w:rtl/>
        </w:rPr>
        <w:t xml:space="preserve">(כותנה </w:t>
      </w:r>
      <w:r w:rsidRPr="00A657A0">
        <w:rPr>
          <w:rFonts w:cs="Arial"/>
          <w:sz w:val="18"/>
          <w:szCs w:val="18"/>
          <w:rtl/>
        </w:rPr>
        <w:t>–</w:t>
      </w:r>
      <w:r w:rsidRPr="00A657A0">
        <w:rPr>
          <w:rFonts w:cs="Arial" w:hint="cs"/>
          <w:sz w:val="18"/>
          <w:szCs w:val="18"/>
          <w:rtl/>
        </w:rPr>
        <w:t xml:space="preserve"> צמר גפן)</w:t>
      </w:r>
      <w:r w:rsidRPr="00D43434">
        <w:rPr>
          <w:rFonts w:cs="Arial"/>
          <w:sz w:val="20"/>
          <w:szCs w:val="20"/>
          <w:rtl/>
        </w:rPr>
        <w:t>, או בצמר</w:t>
      </w:r>
      <w:r w:rsidRPr="008225F1">
        <w:rPr>
          <w:rStyle w:val="a5"/>
          <w:rFonts w:cs="Arial"/>
          <w:sz w:val="18"/>
          <w:szCs w:val="18"/>
          <w:rtl/>
        </w:rPr>
        <w:footnoteReference w:id="524"/>
      </w:r>
      <w:r w:rsidRPr="00D43434">
        <w:rPr>
          <w:rFonts w:cs="Arial"/>
          <w:sz w:val="20"/>
          <w:szCs w:val="20"/>
          <w:rtl/>
        </w:rPr>
        <w:t xml:space="preserve"> נקי ורך.</w:t>
      </w:r>
      <w:r>
        <w:rPr>
          <w:rFonts w:cs="Arial" w:hint="cs"/>
          <w:sz w:val="20"/>
          <w:szCs w:val="20"/>
          <w:rtl/>
        </w:rPr>
        <w:br/>
      </w:r>
      <w:r w:rsidRPr="00D43434">
        <w:rPr>
          <w:rFonts w:cs="Arial"/>
          <w:sz w:val="20"/>
          <w:szCs w:val="20"/>
          <w:rtl/>
        </w:rPr>
        <w:t>אמר רבא: הני שחקי דכיתנא</w:t>
      </w:r>
      <w:r>
        <w:rPr>
          <w:rFonts w:cs="Arial" w:hint="cs"/>
          <w:sz w:val="20"/>
          <w:szCs w:val="20"/>
          <w:rtl/>
        </w:rPr>
        <w:t xml:space="preserve"> </w:t>
      </w:r>
      <w:r w:rsidRPr="00E70771">
        <w:rPr>
          <w:rFonts w:cs="Arial" w:hint="cs"/>
          <w:sz w:val="18"/>
          <w:szCs w:val="18"/>
          <w:rtl/>
        </w:rPr>
        <w:t>(בגדי פשתן</w:t>
      </w:r>
      <w:r>
        <w:rPr>
          <w:rStyle w:val="a5"/>
          <w:rFonts w:cs="Arial"/>
          <w:sz w:val="18"/>
          <w:szCs w:val="18"/>
          <w:rtl/>
        </w:rPr>
        <w:footnoteReference w:id="525"/>
      </w:r>
      <w:r w:rsidRPr="00E70771">
        <w:rPr>
          <w:rFonts w:cs="Arial" w:hint="cs"/>
          <w:sz w:val="18"/>
          <w:szCs w:val="18"/>
          <w:rtl/>
        </w:rPr>
        <w:t xml:space="preserve"> בלויים)</w:t>
      </w:r>
      <w:r w:rsidRPr="00E70771">
        <w:rPr>
          <w:rFonts w:cs="Arial"/>
          <w:sz w:val="18"/>
          <w:szCs w:val="18"/>
          <w:rtl/>
        </w:rPr>
        <w:t xml:space="preserve"> </w:t>
      </w:r>
      <w:r w:rsidRPr="00D43434">
        <w:rPr>
          <w:rFonts w:cs="Arial"/>
          <w:sz w:val="20"/>
          <w:szCs w:val="20"/>
          <w:rtl/>
        </w:rPr>
        <w:t xml:space="preserve">מעלי לבדיקה. איני, והא תנא דבי מנשה: אין בודקין את המטה לא בעד אדום, ולא בעד שחור, ולא בפשתן, אלא בפקולין או בצמר נקי ורך! לא קשיא, הא </w:t>
      </w:r>
      <w:r>
        <w:rPr>
          <w:rFonts w:cs="Arial"/>
          <w:sz w:val="20"/>
          <w:szCs w:val="20"/>
          <w:rtl/>
        </w:rPr>
        <w:t>–</w:t>
      </w:r>
      <w:r w:rsidRPr="00D43434">
        <w:rPr>
          <w:rFonts w:cs="Arial"/>
          <w:sz w:val="20"/>
          <w:szCs w:val="20"/>
          <w:rtl/>
        </w:rPr>
        <w:t xml:space="preserve"> בכיתנא</w:t>
      </w:r>
      <w:r>
        <w:rPr>
          <w:rFonts w:cs="Arial" w:hint="cs"/>
          <w:sz w:val="20"/>
          <w:szCs w:val="20"/>
          <w:rtl/>
        </w:rPr>
        <w:t xml:space="preserve"> </w:t>
      </w:r>
      <w:r w:rsidRPr="008225F1">
        <w:rPr>
          <w:rFonts w:cs="Arial" w:hint="cs"/>
          <w:sz w:val="18"/>
          <w:szCs w:val="18"/>
          <w:rtl/>
        </w:rPr>
        <w:t>(פשתן לא מעובד פסול לבדיקה)</w:t>
      </w:r>
      <w:r w:rsidRPr="00D43434">
        <w:rPr>
          <w:rFonts w:cs="Arial"/>
          <w:sz w:val="20"/>
          <w:szCs w:val="20"/>
          <w:rtl/>
        </w:rPr>
        <w:t>, הא - במאני דכיתנא</w:t>
      </w:r>
      <w:r>
        <w:rPr>
          <w:rFonts w:cs="Arial" w:hint="cs"/>
          <w:sz w:val="20"/>
          <w:szCs w:val="20"/>
          <w:rtl/>
        </w:rPr>
        <w:t xml:space="preserve"> </w:t>
      </w:r>
      <w:r w:rsidRPr="008225F1">
        <w:rPr>
          <w:rFonts w:cs="Arial" w:hint="cs"/>
          <w:sz w:val="18"/>
          <w:szCs w:val="18"/>
          <w:rtl/>
        </w:rPr>
        <w:t>(בגד פשתן כשר לבדיקה)</w:t>
      </w:r>
      <w:r w:rsidRPr="00D43434">
        <w:rPr>
          <w:rFonts w:cs="Arial"/>
          <w:sz w:val="20"/>
          <w:szCs w:val="20"/>
          <w:rtl/>
        </w:rPr>
        <w:t xml:space="preserve">. ואיבעית אימא: הא והא במאני דכיתנא, הא </w:t>
      </w:r>
      <w:r>
        <w:rPr>
          <w:rFonts w:cs="Arial"/>
          <w:sz w:val="20"/>
          <w:szCs w:val="20"/>
          <w:rtl/>
        </w:rPr>
        <w:t>–</w:t>
      </w:r>
      <w:r w:rsidRPr="00D43434">
        <w:rPr>
          <w:rFonts w:cs="Arial"/>
          <w:sz w:val="20"/>
          <w:szCs w:val="20"/>
          <w:rtl/>
        </w:rPr>
        <w:t xml:space="preserve"> בחדתי</w:t>
      </w:r>
      <w:r>
        <w:rPr>
          <w:rFonts w:cs="Arial" w:hint="cs"/>
          <w:sz w:val="20"/>
          <w:szCs w:val="20"/>
          <w:rtl/>
        </w:rPr>
        <w:t xml:space="preserve"> </w:t>
      </w:r>
      <w:r w:rsidRPr="008225F1">
        <w:rPr>
          <w:rFonts w:cs="Arial" w:hint="cs"/>
          <w:sz w:val="18"/>
          <w:szCs w:val="18"/>
          <w:rtl/>
        </w:rPr>
        <w:t>(פסול)</w:t>
      </w:r>
      <w:r w:rsidRPr="00D43434">
        <w:rPr>
          <w:rFonts w:cs="Arial"/>
          <w:sz w:val="20"/>
          <w:szCs w:val="20"/>
          <w:rtl/>
        </w:rPr>
        <w:t xml:space="preserve">, הא </w:t>
      </w:r>
      <w:r>
        <w:rPr>
          <w:rFonts w:cs="Arial"/>
          <w:sz w:val="20"/>
          <w:szCs w:val="20"/>
          <w:rtl/>
        </w:rPr>
        <w:t>–</w:t>
      </w:r>
      <w:r w:rsidRPr="00D43434">
        <w:rPr>
          <w:rFonts w:cs="Arial"/>
          <w:sz w:val="20"/>
          <w:szCs w:val="20"/>
          <w:rtl/>
        </w:rPr>
        <w:t xml:space="preserve"> בשחקי</w:t>
      </w:r>
      <w:r>
        <w:rPr>
          <w:rFonts w:cs="Arial" w:hint="cs"/>
          <w:sz w:val="20"/>
          <w:szCs w:val="20"/>
          <w:rtl/>
        </w:rPr>
        <w:t xml:space="preserve"> (</w:t>
      </w:r>
      <w:r w:rsidRPr="008225F1">
        <w:rPr>
          <w:rFonts w:cs="Arial" w:hint="cs"/>
          <w:sz w:val="18"/>
          <w:szCs w:val="18"/>
          <w:rtl/>
        </w:rPr>
        <w:t>כשר משום שהוא לבן יותר)</w:t>
      </w:r>
      <w:r>
        <w:rPr>
          <w:rFonts w:cs="Arial" w:hint="cs"/>
          <w:sz w:val="20"/>
          <w:szCs w:val="20"/>
          <w:rtl/>
        </w:rPr>
        <w:t>"</w:t>
      </w:r>
      <w:r w:rsidRPr="00D43434">
        <w:rPr>
          <w:rFonts w:cs="Arial"/>
          <w:sz w:val="20"/>
          <w:szCs w:val="20"/>
          <w:rtl/>
        </w:rPr>
        <w:t>.</w:t>
      </w:r>
    </w:p>
    <w:p w:rsidR="00620060" w:rsidRDefault="00620060" w:rsidP="00620060">
      <w:pPr>
        <w:rPr>
          <w:sz w:val="20"/>
          <w:szCs w:val="20"/>
          <w:rtl/>
        </w:rPr>
      </w:pPr>
      <w:r>
        <w:rPr>
          <w:rFonts w:hint="cs"/>
          <w:b/>
          <w:bCs/>
          <w:sz w:val="20"/>
          <w:szCs w:val="20"/>
          <w:rtl/>
        </w:rPr>
        <w:t>שיטות הראשונים</w:t>
      </w:r>
      <w:r>
        <w:rPr>
          <w:b/>
          <w:bCs/>
          <w:sz w:val="20"/>
          <w:szCs w:val="20"/>
          <w:rtl/>
        </w:rPr>
        <w:br/>
      </w:r>
      <w:r>
        <w:rPr>
          <w:rFonts w:hint="cs"/>
          <w:sz w:val="20"/>
          <w:szCs w:val="20"/>
          <w:rtl/>
        </w:rPr>
        <w:t xml:space="preserve">א. </w:t>
      </w:r>
      <w:r w:rsidRPr="009651AC">
        <w:rPr>
          <w:rFonts w:hint="cs"/>
          <w:b/>
          <w:bCs/>
          <w:sz w:val="20"/>
          <w:szCs w:val="20"/>
          <w:rtl/>
        </w:rPr>
        <w:t xml:space="preserve">טור </w:t>
      </w:r>
      <w:r>
        <w:rPr>
          <w:sz w:val="20"/>
          <w:szCs w:val="20"/>
          <w:rtl/>
        </w:rPr>
        <w:t>–</w:t>
      </w:r>
      <w:r>
        <w:rPr>
          <w:rFonts w:hint="cs"/>
          <w:sz w:val="20"/>
          <w:szCs w:val="20"/>
          <w:rtl/>
        </w:rPr>
        <w:t xml:space="preserve"> ניתן לבדוק בבגד פשתן ישן שהוא רך, וכן בצמר נקי ורך או בצמר גפן.</w:t>
      </w:r>
      <w:r>
        <w:rPr>
          <w:rFonts w:hint="cs"/>
          <w:sz w:val="20"/>
          <w:szCs w:val="20"/>
          <w:rtl/>
        </w:rPr>
        <w:br/>
      </w:r>
      <w:r w:rsidRPr="009651AC">
        <w:rPr>
          <w:rFonts w:hint="cs"/>
          <w:b/>
          <w:bCs/>
          <w:sz w:val="20"/>
          <w:szCs w:val="20"/>
          <w:rtl/>
        </w:rPr>
        <w:t xml:space="preserve">טעם </w:t>
      </w:r>
      <w:r>
        <w:rPr>
          <w:sz w:val="20"/>
          <w:szCs w:val="20"/>
          <w:rtl/>
        </w:rPr>
        <w:t>–</w:t>
      </w:r>
      <w:r>
        <w:rPr>
          <w:rFonts w:hint="cs"/>
          <w:sz w:val="20"/>
          <w:szCs w:val="20"/>
          <w:rtl/>
        </w:rPr>
        <w:t xml:space="preserve"> פסק כלישנא בתרא, אין לבדוק בבגד פשתן חדש מפני שהוא קשה</w:t>
      </w:r>
      <w:r>
        <w:rPr>
          <w:rStyle w:val="a5"/>
          <w:sz w:val="20"/>
          <w:szCs w:val="20"/>
          <w:rtl/>
        </w:rPr>
        <w:footnoteReference w:id="526"/>
      </w:r>
      <w:r>
        <w:rPr>
          <w:rFonts w:hint="cs"/>
          <w:sz w:val="20"/>
          <w:szCs w:val="20"/>
          <w:rtl/>
        </w:rPr>
        <w:t xml:space="preserve">, אלא בבגד פשתן ישן. </w:t>
      </w:r>
      <w:r>
        <w:rPr>
          <w:rFonts w:hint="cs"/>
          <w:sz w:val="20"/>
          <w:szCs w:val="20"/>
          <w:rtl/>
        </w:rPr>
        <w:br/>
        <w:t>ומשמע ששמואל ורבא לא נחלקו, ולכן פסק כתרוייהו.</w:t>
      </w:r>
      <w:r>
        <w:rPr>
          <w:sz w:val="20"/>
          <w:szCs w:val="20"/>
          <w:rtl/>
        </w:rPr>
        <w:br/>
      </w:r>
      <w:r>
        <w:rPr>
          <w:rFonts w:hint="cs"/>
          <w:sz w:val="20"/>
          <w:szCs w:val="20"/>
          <w:rtl/>
        </w:rPr>
        <w:t xml:space="preserve">ב. </w:t>
      </w:r>
      <w:r w:rsidRPr="009651AC">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w:t>
      </w:r>
      <w:r w:rsidRPr="003F391E">
        <w:rPr>
          <w:rFonts w:cs="Arial"/>
          <w:sz w:val="20"/>
          <w:szCs w:val="20"/>
          <w:rtl/>
        </w:rPr>
        <w:t>בגדים אלו שמקנחין בהן צריכין שיהיו של פשתן שחקים ולבנים</w:t>
      </w:r>
      <w:r>
        <w:rPr>
          <w:rFonts w:cs="Arial" w:hint="cs"/>
          <w:sz w:val="20"/>
          <w:szCs w:val="20"/>
          <w:rtl/>
        </w:rPr>
        <w:t>".</w:t>
      </w:r>
      <w:r>
        <w:rPr>
          <w:rFonts w:hint="cs"/>
          <w:sz w:val="20"/>
          <w:szCs w:val="20"/>
          <w:rtl/>
        </w:rPr>
        <w:br/>
      </w:r>
      <w:r w:rsidRPr="009651AC">
        <w:rPr>
          <w:rFonts w:hint="cs"/>
          <w:b/>
          <w:bCs/>
          <w:sz w:val="20"/>
          <w:szCs w:val="20"/>
          <w:rtl/>
        </w:rPr>
        <w:t>בית יוסף</w:t>
      </w:r>
      <w:r>
        <w:rPr>
          <w:rFonts w:hint="cs"/>
          <w:sz w:val="20"/>
          <w:szCs w:val="20"/>
          <w:rtl/>
        </w:rPr>
        <w:t xml:space="preserve"> </w:t>
      </w:r>
      <w:r>
        <w:rPr>
          <w:sz w:val="20"/>
          <w:szCs w:val="20"/>
          <w:rtl/>
        </w:rPr>
        <w:t>–</w:t>
      </w:r>
      <w:r>
        <w:rPr>
          <w:rFonts w:hint="cs"/>
          <w:sz w:val="20"/>
          <w:szCs w:val="20"/>
          <w:rtl/>
        </w:rPr>
        <w:t xml:space="preserve"> לכאורה משמע שהרמב"ם ממעט את המימרא של שמואל, דהיינו שאין לבדוק בצמר או בכותנה.</w:t>
      </w:r>
      <w:r>
        <w:rPr>
          <w:sz w:val="20"/>
          <w:szCs w:val="20"/>
          <w:rtl/>
        </w:rPr>
        <w:br/>
      </w:r>
      <w:r>
        <w:rPr>
          <w:rFonts w:hint="cs"/>
          <w:sz w:val="20"/>
          <w:szCs w:val="20"/>
          <w:rtl/>
        </w:rPr>
        <w:t>ברם, קשה שהרי הגמרא מציינת את בית מונבז לשבח משום שהשתמשו בעדי בדיקה אלו!</w:t>
      </w:r>
      <w:r>
        <w:rPr>
          <w:rFonts w:hint="cs"/>
          <w:sz w:val="20"/>
          <w:szCs w:val="20"/>
          <w:rtl/>
        </w:rPr>
        <w:br/>
        <w:t>אפשר לומר שאכן זו מחלוקת, ואותם שהיו מזכירים את בית מונבז לשבח סוברים כשמואל ולא כרבא.</w:t>
      </w:r>
      <w:r>
        <w:rPr>
          <w:sz w:val="20"/>
          <w:szCs w:val="20"/>
          <w:rtl/>
        </w:rPr>
        <w:br/>
      </w:r>
      <w:r>
        <w:rPr>
          <w:rFonts w:hint="cs"/>
          <w:sz w:val="20"/>
          <w:szCs w:val="20"/>
          <w:rtl/>
        </w:rPr>
        <w:t xml:space="preserve">ועוד ניתן לומר, שאין כלל מחלוקת, אלא שהרמב"ם הביא דוגמה לעד בדיקה טוב, ומדבריו יש להסיק גם לצמר וכותנה שניתן לבדוק בהם כאשר הם לבנים ורכים. ולמעשה כך הכריע </w:t>
      </w:r>
      <w:r w:rsidRPr="00E342B6">
        <w:rPr>
          <w:rFonts w:hint="cs"/>
          <w:b/>
          <w:bCs/>
          <w:sz w:val="20"/>
          <w:szCs w:val="20"/>
          <w:rtl/>
        </w:rPr>
        <w:t>בשו"ע</w:t>
      </w:r>
      <w:r>
        <w:rPr>
          <w:rFonts w:hint="cs"/>
          <w:sz w:val="20"/>
          <w:szCs w:val="20"/>
          <w:rtl/>
        </w:rPr>
        <w:t xml:space="preserve">. </w:t>
      </w:r>
      <w:r>
        <w:rPr>
          <w:rFonts w:hint="cs"/>
          <w:sz w:val="20"/>
          <w:szCs w:val="20"/>
          <w:rtl/>
        </w:rPr>
        <w:br/>
      </w:r>
      <w:r>
        <w:rPr>
          <w:b/>
          <w:b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6715BE">
        <w:rPr>
          <w:rFonts w:cs="Arial"/>
          <w:sz w:val="20"/>
          <w:szCs w:val="20"/>
          <w:rtl/>
        </w:rPr>
        <w:t>כל בדיקות אלו, בין בדיקת הפסק טהרה בין בדיקת כל השבעה, צריכות להיות בבגד פשתן לבן ישן, או בצמר גפן, או בצמר לבן נקי ורך</w:t>
      </w:r>
      <w:r>
        <w:rPr>
          <w:rFonts w:cs="Arial" w:hint="cs"/>
          <w:sz w:val="20"/>
          <w:szCs w:val="20"/>
          <w:rtl/>
        </w:rPr>
        <w:t>".</w:t>
      </w:r>
    </w:p>
    <w:p w:rsidR="00620060" w:rsidRDefault="00620060" w:rsidP="00620060">
      <w:pPr>
        <w:rPr>
          <w:sz w:val="20"/>
          <w:szCs w:val="20"/>
          <w:rtl/>
        </w:rPr>
      </w:pPr>
      <w:r w:rsidRPr="00FA122F">
        <w:rPr>
          <w:rFonts w:hint="cs"/>
          <w:sz w:val="20"/>
          <w:szCs w:val="20"/>
          <w:u w:val="single"/>
          <w:rtl/>
        </w:rPr>
        <w:t xml:space="preserve">בדיקה בבגד פשתן </w:t>
      </w:r>
      <w:r w:rsidRPr="006C3134">
        <w:rPr>
          <w:rFonts w:hint="cs"/>
          <w:sz w:val="20"/>
          <w:szCs w:val="20"/>
          <w:u w:val="single"/>
          <w:rtl/>
        </w:rPr>
        <w:t>חדש</w:t>
      </w:r>
      <w:r w:rsidRPr="006C3134">
        <w:rPr>
          <w:rFonts w:hint="cs"/>
          <w:b/>
          <w:bCs/>
          <w:sz w:val="20"/>
          <w:szCs w:val="20"/>
          <w:u w:val="single"/>
          <w:rtl/>
        </w:rPr>
        <w:t xml:space="preserve"> </w:t>
      </w:r>
      <w:r w:rsidRPr="006C3134">
        <w:rPr>
          <w:rFonts w:hint="cs"/>
          <w:sz w:val="20"/>
          <w:szCs w:val="20"/>
          <w:u w:val="single"/>
          <w:rtl/>
        </w:rPr>
        <w:t xml:space="preserve">(טה"ב עמ' שנו </w:t>
      </w:r>
      <w:r w:rsidRPr="006C3134">
        <w:rPr>
          <w:sz w:val="20"/>
          <w:szCs w:val="20"/>
          <w:u w:val="single"/>
          <w:rtl/>
        </w:rPr>
        <w:t>–</w:t>
      </w:r>
      <w:r w:rsidRPr="006C3134">
        <w:rPr>
          <w:rFonts w:hint="cs"/>
          <w:sz w:val="20"/>
          <w:szCs w:val="20"/>
          <w:u w:val="single"/>
          <w:rtl/>
        </w:rPr>
        <w:t xml:space="preserve"> שנז)</w:t>
      </w:r>
      <w:r>
        <w:rPr>
          <w:sz w:val="20"/>
          <w:szCs w:val="20"/>
          <w:rtl/>
        </w:rPr>
        <w:br/>
      </w:r>
      <w:r w:rsidRPr="006C3134">
        <w:rPr>
          <w:rFonts w:hint="cs"/>
          <w:sz w:val="20"/>
          <w:szCs w:val="20"/>
          <w:u w:val="single"/>
          <w:rtl/>
        </w:rPr>
        <w:t>הגדרת בגד חדש</w:t>
      </w:r>
      <w:r>
        <w:rPr>
          <w:rFonts w:hint="cs"/>
          <w:sz w:val="20"/>
          <w:szCs w:val="20"/>
          <w:rtl/>
        </w:rPr>
        <w:t xml:space="preserve"> </w:t>
      </w:r>
      <w:r>
        <w:rPr>
          <w:sz w:val="20"/>
          <w:szCs w:val="20"/>
          <w:rtl/>
        </w:rPr>
        <w:t>–</w:t>
      </w:r>
      <w:r>
        <w:rPr>
          <w:rFonts w:hint="cs"/>
          <w:sz w:val="20"/>
          <w:szCs w:val="20"/>
          <w:rtl/>
        </w:rPr>
        <w:t xml:space="preserve"> בגד שעדיין לא כובס כלל.</w:t>
      </w:r>
      <w:r>
        <w:rPr>
          <w:rFonts w:hint="cs"/>
          <w:sz w:val="20"/>
          <w:szCs w:val="20"/>
          <w:rtl/>
        </w:rPr>
        <w:br/>
      </w:r>
      <w:r w:rsidRPr="00FA122F">
        <w:rPr>
          <w:rFonts w:hint="cs"/>
          <w:b/>
          <w:bCs/>
          <w:sz w:val="20"/>
          <w:szCs w:val="20"/>
          <w:rtl/>
        </w:rPr>
        <w:t>טור</w:t>
      </w:r>
      <w:r>
        <w:rPr>
          <w:rFonts w:hint="cs"/>
          <w:sz w:val="20"/>
          <w:szCs w:val="20"/>
          <w:rtl/>
        </w:rPr>
        <w:t xml:space="preserve"> - אין לבדוק בבגד חדש מפני שהוא קשה. ואמנם, נחלקו הראשונים מה החיסרון בבדיקה בבגד קשה -</w:t>
      </w:r>
      <w:r>
        <w:rPr>
          <w:sz w:val="20"/>
          <w:szCs w:val="20"/>
          <w:rtl/>
        </w:rPr>
        <w:br/>
      </w:r>
      <w:r>
        <w:rPr>
          <w:rFonts w:hint="cs"/>
          <w:sz w:val="20"/>
          <w:szCs w:val="20"/>
          <w:rtl/>
        </w:rPr>
        <w:t>א.</w:t>
      </w:r>
      <w:r w:rsidRPr="006C3134">
        <w:rPr>
          <w:rFonts w:hint="cs"/>
          <w:b/>
          <w:bCs/>
          <w:sz w:val="20"/>
          <w:szCs w:val="20"/>
          <w:rtl/>
        </w:rPr>
        <w:t xml:space="preserve"> יראים</w:t>
      </w:r>
      <w:r w:rsidRPr="006C3134">
        <w:rPr>
          <w:rFonts w:hint="cs"/>
          <w:sz w:val="20"/>
          <w:szCs w:val="20"/>
          <w:rtl/>
        </w:rPr>
        <w:t xml:space="preserve"> </w:t>
      </w:r>
      <w:r w:rsidRPr="006C3134">
        <w:rPr>
          <w:sz w:val="20"/>
          <w:szCs w:val="20"/>
          <w:rtl/>
        </w:rPr>
        <w:t>–</w:t>
      </w:r>
      <w:r w:rsidRPr="006C3134">
        <w:rPr>
          <w:rFonts w:hint="cs"/>
          <w:sz w:val="20"/>
          <w:szCs w:val="20"/>
          <w:rtl/>
        </w:rPr>
        <w:t xml:space="preserve"> הדם אינו נדבק בבגד קשה, ולכן הבדיקה לא מועילה.</w:t>
      </w:r>
      <w:r w:rsidRPr="006C3134">
        <w:rPr>
          <w:sz w:val="20"/>
          <w:szCs w:val="20"/>
          <w:rtl/>
        </w:rPr>
        <w:br/>
      </w:r>
      <w:r w:rsidRPr="006C3134">
        <w:rPr>
          <w:rFonts w:hint="cs"/>
          <w:sz w:val="20"/>
          <w:szCs w:val="20"/>
          <w:rtl/>
        </w:rPr>
        <w:t xml:space="preserve">ב. </w:t>
      </w:r>
      <w:r w:rsidRPr="006C3134">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בגד חדש עלול לפצוע את האשה ולכן אין לבדוק בו.</w:t>
      </w:r>
      <w:r>
        <w:rPr>
          <w:rFonts w:hint="cs"/>
          <w:sz w:val="20"/>
          <w:szCs w:val="20"/>
          <w:rtl/>
        </w:rPr>
        <w:br/>
      </w:r>
      <w:r>
        <w:rPr>
          <w:sz w:val="20"/>
          <w:szCs w:val="20"/>
          <w:rtl/>
        </w:rPr>
        <w:br/>
      </w:r>
      <w:r w:rsidRPr="006C3134">
        <w:rPr>
          <w:rFonts w:hint="cs"/>
          <w:sz w:val="20"/>
          <w:szCs w:val="20"/>
          <w:rtl/>
        </w:rPr>
        <w:t xml:space="preserve">ונחלקו האחרונים האם לדעת </w:t>
      </w:r>
      <w:r w:rsidRPr="006C3134">
        <w:rPr>
          <w:rFonts w:hint="cs"/>
          <w:b/>
          <w:bCs/>
          <w:sz w:val="20"/>
          <w:szCs w:val="20"/>
          <w:rtl/>
        </w:rPr>
        <w:t>הרשב"א</w:t>
      </w:r>
      <w:r w:rsidRPr="006C3134">
        <w:rPr>
          <w:rFonts w:hint="cs"/>
          <w:sz w:val="20"/>
          <w:szCs w:val="20"/>
          <w:rtl/>
        </w:rPr>
        <w:t xml:space="preserve"> ניתן להקל לאשה לבדוק בבגד חדש - </w:t>
      </w:r>
      <w:r w:rsidRPr="006C3134">
        <w:rPr>
          <w:sz w:val="20"/>
          <w:szCs w:val="20"/>
          <w:rtl/>
        </w:rPr>
        <w:br/>
      </w:r>
      <w:r w:rsidRPr="006C3134">
        <w:rPr>
          <w:rFonts w:hint="cs"/>
          <w:sz w:val="20"/>
          <w:szCs w:val="20"/>
          <w:rtl/>
        </w:rPr>
        <w:t xml:space="preserve">א. </w:t>
      </w:r>
      <w:r w:rsidRPr="006C3134">
        <w:rPr>
          <w:rFonts w:hint="cs"/>
          <w:b/>
          <w:bCs/>
          <w:sz w:val="20"/>
          <w:szCs w:val="20"/>
          <w:rtl/>
        </w:rPr>
        <w:t>סדרי טהרה</w:t>
      </w:r>
      <w:r>
        <w:rPr>
          <w:rFonts w:hint="cs"/>
          <w:sz w:val="20"/>
          <w:szCs w:val="20"/>
          <w:rtl/>
        </w:rPr>
        <w:t xml:space="preserve"> </w:t>
      </w:r>
      <w:r>
        <w:rPr>
          <w:sz w:val="20"/>
          <w:szCs w:val="20"/>
          <w:rtl/>
        </w:rPr>
        <w:t>–</w:t>
      </w:r>
      <w:r>
        <w:rPr>
          <w:rFonts w:hint="cs"/>
          <w:sz w:val="20"/>
          <w:szCs w:val="20"/>
          <w:rtl/>
        </w:rPr>
        <w:t xml:space="preserve"> אם אינה חוששת לכך שהבגד ישרוט אותה, מותרת לבדוק בו, וכן דעת טה"ב.</w:t>
      </w:r>
      <w:r>
        <w:rPr>
          <w:sz w:val="20"/>
          <w:szCs w:val="20"/>
          <w:rtl/>
        </w:rPr>
        <w:br/>
      </w:r>
      <w:r>
        <w:rPr>
          <w:rFonts w:hint="cs"/>
          <w:sz w:val="20"/>
          <w:szCs w:val="20"/>
          <w:rtl/>
        </w:rPr>
        <w:t xml:space="preserve">ב. </w:t>
      </w:r>
      <w:r w:rsidRPr="006C3134">
        <w:rPr>
          <w:rFonts w:hint="cs"/>
          <w:b/>
          <w:bCs/>
          <w:sz w:val="20"/>
          <w:szCs w:val="20"/>
          <w:rtl/>
        </w:rPr>
        <w:t>לחם ושמלה</w:t>
      </w:r>
      <w:r>
        <w:rPr>
          <w:rFonts w:hint="cs"/>
          <w:sz w:val="20"/>
          <w:szCs w:val="20"/>
          <w:rtl/>
        </w:rPr>
        <w:t xml:space="preserve"> </w:t>
      </w:r>
      <w:r>
        <w:rPr>
          <w:sz w:val="20"/>
          <w:szCs w:val="20"/>
          <w:rtl/>
        </w:rPr>
        <w:t>–</w:t>
      </w:r>
      <w:r>
        <w:rPr>
          <w:rFonts w:hint="cs"/>
          <w:sz w:val="20"/>
          <w:szCs w:val="20"/>
          <w:rtl/>
        </w:rPr>
        <w:t xml:space="preserve"> אין לבדוק בו, מפני שאינה בודקת יפה מחשש שמא תישרט.</w:t>
      </w:r>
    </w:p>
    <w:p w:rsidR="00620060" w:rsidRDefault="00620060" w:rsidP="00620060">
      <w:pPr>
        <w:rPr>
          <w:sz w:val="20"/>
          <w:szCs w:val="20"/>
          <w:rtl/>
        </w:rPr>
      </w:pPr>
      <w:r>
        <w:rPr>
          <w:rFonts w:hint="cs"/>
          <w:sz w:val="20"/>
          <w:szCs w:val="20"/>
          <w:rtl/>
        </w:rPr>
        <w:t xml:space="preserve">הכרעת </w:t>
      </w:r>
      <w:r w:rsidRPr="006C3134">
        <w:rPr>
          <w:rFonts w:hint="cs"/>
          <w:b/>
          <w:bCs/>
          <w:sz w:val="20"/>
          <w:szCs w:val="20"/>
          <w:rtl/>
        </w:rPr>
        <w:t>טהרת הבית</w:t>
      </w:r>
      <w:r>
        <w:rPr>
          <w:rFonts w:hint="cs"/>
          <w:sz w:val="20"/>
          <w:szCs w:val="20"/>
          <w:rtl/>
        </w:rPr>
        <w:t xml:space="preserve"> </w:t>
      </w:r>
      <w:r>
        <w:rPr>
          <w:sz w:val="20"/>
          <w:szCs w:val="20"/>
          <w:rtl/>
        </w:rPr>
        <w:t>–</w:t>
      </w:r>
      <w:r>
        <w:rPr>
          <w:rFonts w:hint="cs"/>
          <w:sz w:val="20"/>
          <w:szCs w:val="20"/>
          <w:rtl/>
        </w:rPr>
        <w:t xml:space="preserve"> לכתחילה אין לבדוק בבגד חדש, לחוש לטעמו של היראים.</w:t>
      </w:r>
      <w:r>
        <w:rPr>
          <w:sz w:val="20"/>
          <w:szCs w:val="20"/>
          <w:rtl/>
        </w:rPr>
        <w:br/>
      </w:r>
      <w:r>
        <w:rPr>
          <w:rFonts w:hint="cs"/>
          <w:sz w:val="20"/>
          <w:szCs w:val="20"/>
          <w:rtl/>
        </w:rPr>
        <w:t xml:space="preserve">ברם, בדיעבד מועילה בדיקה בבגד חדש, וכן דעת הגה"מ </w:t>
      </w:r>
      <w:r w:rsidRPr="006C3134">
        <w:rPr>
          <w:rFonts w:hint="cs"/>
          <w:sz w:val="18"/>
          <w:szCs w:val="18"/>
          <w:rtl/>
        </w:rPr>
        <w:t>(הו"ד בב"י)</w:t>
      </w:r>
      <w:r>
        <w:rPr>
          <w:rFonts w:hint="cs"/>
          <w:sz w:val="20"/>
          <w:szCs w:val="20"/>
          <w:rtl/>
        </w:rPr>
        <w:t>.</w:t>
      </w:r>
    </w:p>
    <w:p w:rsidR="00620060" w:rsidRDefault="00620060" w:rsidP="00620060">
      <w:pPr>
        <w:rPr>
          <w:sz w:val="20"/>
          <w:szCs w:val="20"/>
          <w:rtl/>
        </w:rPr>
      </w:pPr>
      <w:r>
        <w:rPr>
          <w:rFonts w:hint="cs"/>
          <w:b/>
          <w:bCs/>
          <w:sz w:val="20"/>
          <w:szCs w:val="20"/>
          <w:rtl/>
        </w:rPr>
        <w:t>בדיקה בעד בדיקה צבעוני</w:t>
      </w:r>
      <w:r>
        <w:rPr>
          <w:b/>
          <w:bCs/>
          <w:sz w:val="20"/>
          <w:szCs w:val="20"/>
          <w:rtl/>
        </w:rPr>
        <w:br/>
      </w:r>
      <w:r>
        <w:rPr>
          <w:rFonts w:hint="cs"/>
          <w:b/>
          <w:bCs/>
          <w:sz w:val="20"/>
          <w:szCs w:val="20"/>
          <w:rtl/>
        </w:rPr>
        <w:t xml:space="preserve">בית יוסף </w:t>
      </w:r>
      <w:r>
        <w:rPr>
          <w:sz w:val="20"/>
          <w:szCs w:val="20"/>
          <w:rtl/>
        </w:rPr>
        <w:t>–</w:t>
      </w:r>
      <w:r>
        <w:rPr>
          <w:rFonts w:hint="cs"/>
          <w:sz w:val="20"/>
          <w:szCs w:val="20"/>
          <w:rtl/>
        </w:rPr>
        <w:t xml:space="preserve"> מדברי הרמב"ם שכתב שהבדיקה תהיה בעד לבן, משמע שהבין שהברייתא ממעטת כל בגד צבעוני ולאו דווקא שחור ואדום, וכ"פ </w:t>
      </w:r>
      <w:r w:rsidRPr="007C2490">
        <w:rPr>
          <w:rFonts w:hint="cs"/>
          <w:b/>
          <w:bCs/>
          <w:sz w:val="20"/>
          <w:szCs w:val="20"/>
          <w:rtl/>
        </w:rPr>
        <w:t>בשו"ע</w:t>
      </w:r>
      <w:r>
        <w:rPr>
          <w:rFonts w:hint="cs"/>
          <w:sz w:val="20"/>
          <w:szCs w:val="20"/>
          <w:rtl/>
        </w:rPr>
        <w:t>.</w:t>
      </w:r>
      <w:r>
        <w:rPr>
          <w:rFonts w:hint="cs"/>
          <w:sz w:val="20"/>
          <w:szCs w:val="20"/>
          <w:rtl/>
        </w:rPr>
        <w:br/>
      </w:r>
      <w:r w:rsidRPr="007C2490">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מראה הדם אינו ניכר בבגד צבעוני כפי שהוא ניכר בבגד לבן.</w:t>
      </w:r>
    </w:p>
    <w:p w:rsidR="00620060" w:rsidRPr="009662BD" w:rsidRDefault="00620060" w:rsidP="00620060">
      <w:pPr>
        <w:rPr>
          <w:sz w:val="20"/>
          <w:szCs w:val="20"/>
          <w:rtl/>
        </w:rPr>
      </w:pPr>
      <w:r>
        <w:rPr>
          <w:rFonts w:hint="cs"/>
          <w:sz w:val="20"/>
          <w:szCs w:val="20"/>
          <w:u w:val="single"/>
          <w:rtl/>
        </w:rPr>
        <w:t>בדיקה בעד צבעוני בדיעבד (טה"ב עמ' שנח)</w:t>
      </w:r>
      <w:r>
        <w:rPr>
          <w:rFonts w:hint="cs"/>
          <w:sz w:val="20"/>
          <w:szCs w:val="20"/>
          <w:u w:val="single"/>
          <w:rtl/>
        </w:rPr>
        <w:br/>
      </w:r>
      <w:r w:rsidRPr="00124876">
        <w:rPr>
          <w:rFonts w:hint="cs"/>
          <w:sz w:val="20"/>
          <w:szCs w:val="20"/>
          <w:rtl/>
        </w:rPr>
        <w:t xml:space="preserve">נאמר </w:t>
      </w:r>
      <w:r>
        <w:rPr>
          <w:rFonts w:hint="cs"/>
          <w:b/>
          <w:bCs/>
          <w:sz w:val="20"/>
          <w:szCs w:val="20"/>
          <w:rtl/>
        </w:rPr>
        <w:t>בגמרא</w:t>
      </w:r>
      <w:r w:rsidRPr="009348D6">
        <w:rPr>
          <w:rFonts w:hint="cs"/>
          <w:sz w:val="20"/>
          <w:szCs w:val="20"/>
          <w:rtl/>
        </w:rPr>
        <w:t xml:space="preserve"> שאין לבדוק בבד שחור או אדום, </w:t>
      </w:r>
      <w:r w:rsidRPr="009348D6">
        <w:rPr>
          <w:rFonts w:hint="cs"/>
          <w:b/>
          <w:bCs/>
          <w:sz w:val="20"/>
          <w:szCs w:val="20"/>
          <w:rtl/>
        </w:rPr>
        <w:t>והבית יוסף</w:t>
      </w:r>
      <w:r w:rsidRPr="009348D6">
        <w:rPr>
          <w:rFonts w:hint="cs"/>
          <w:sz w:val="20"/>
          <w:szCs w:val="20"/>
          <w:rtl/>
        </w:rPr>
        <w:t xml:space="preserve"> דייק </w:t>
      </w:r>
      <w:r>
        <w:rPr>
          <w:rFonts w:hint="cs"/>
          <w:sz w:val="20"/>
          <w:szCs w:val="20"/>
          <w:rtl/>
        </w:rPr>
        <w:t xml:space="preserve">מהרמב"ם </w:t>
      </w:r>
      <w:r w:rsidRPr="009348D6">
        <w:rPr>
          <w:rFonts w:hint="cs"/>
          <w:sz w:val="20"/>
          <w:szCs w:val="20"/>
          <w:rtl/>
        </w:rPr>
        <w:t>שהוא הדין לשאר מיני צבעונים, ונח</w:t>
      </w:r>
      <w:r>
        <w:rPr>
          <w:rFonts w:hint="cs"/>
          <w:sz w:val="20"/>
          <w:szCs w:val="20"/>
          <w:rtl/>
        </w:rPr>
        <w:t>לק</w:t>
      </w:r>
      <w:r w:rsidRPr="009348D6">
        <w:rPr>
          <w:rFonts w:hint="cs"/>
          <w:sz w:val="20"/>
          <w:szCs w:val="20"/>
          <w:rtl/>
        </w:rPr>
        <w:t xml:space="preserve">ו האחרונים בדיעבד האם ניתן לבדוק בבגד של שאר מיני צבעים </w:t>
      </w:r>
      <w:r w:rsidRPr="009348D6">
        <w:rPr>
          <w:rFonts w:hint="cs"/>
          <w:sz w:val="18"/>
          <w:szCs w:val="18"/>
          <w:rtl/>
        </w:rPr>
        <w:t xml:space="preserve">(לא שחור או אדום) </w:t>
      </w:r>
      <w:r w:rsidRPr="009348D6">
        <w:rPr>
          <w:rFonts w:hint="cs"/>
          <w:sz w:val="20"/>
          <w:szCs w:val="20"/>
          <w:rtl/>
        </w:rPr>
        <w:t>-</w:t>
      </w:r>
      <w:r w:rsidRPr="009348D6">
        <w:rPr>
          <w:rFonts w:hint="cs"/>
          <w:b/>
          <w:bCs/>
          <w:sz w:val="20"/>
          <w:szCs w:val="20"/>
          <w:rtl/>
        </w:rPr>
        <w:t xml:space="preserve"> </w:t>
      </w:r>
      <w:r>
        <w:rPr>
          <w:sz w:val="20"/>
          <w:szCs w:val="20"/>
          <w:rtl/>
        </w:rPr>
        <w:br/>
      </w:r>
      <w:r>
        <w:rPr>
          <w:rFonts w:hint="cs"/>
          <w:sz w:val="20"/>
          <w:szCs w:val="20"/>
          <w:rtl/>
        </w:rPr>
        <w:t xml:space="preserve">א. </w:t>
      </w:r>
      <w:r w:rsidRPr="00AA173B">
        <w:rPr>
          <w:rFonts w:hint="cs"/>
          <w:b/>
          <w:bCs/>
          <w:sz w:val="20"/>
          <w:szCs w:val="20"/>
          <w:rtl/>
        </w:rPr>
        <w:t>טה"ב</w:t>
      </w:r>
      <w:r>
        <w:rPr>
          <w:rFonts w:hint="cs"/>
          <w:sz w:val="20"/>
          <w:szCs w:val="20"/>
          <w:rtl/>
        </w:rPr>
        <w:t xml:space="preserve"> - נראה שיש להקל כאשר אין בגד לבן בנמצא, ויכולה לבדוק בבגד צבעוני, ובלבד שתעיין בו היטב לפני הבדיקה לראות שהוא נקי מכל כתם, וכן היא טהורה רק אם הבגד יצא נקי לגמרי בבדיקה.</w:t>
      </w:r>
      <w:r>
        <w:rPr>
          <w:sz w:val="20"/>
          <w:szCs w:val="20"/>
          <w:rtl/>
        </w:rPr>
        <w:br/>
      </w:r>
      <w:r w:rsidRPr="00A140E4">
        <w:rPr>
          <w:rFonts w:hint="cs"/>
          <w:b/>
          <w:bCs/>
          <w:sz w:val="20"/>
          <w:szCs w:val="20"/>
          <w:rtl/>
        </w:rPr>
        <w:t xml:space="preserve">טעם </w:t>
      </w:r>
      <w:r>
        <w:rPr>
          <w:rFonts w:hint="cs"/>
          <w:sz w:val="20"/>
          <w:szCs w:val="20"/>
          <w:rtl/>
        </w:rPr>
        <w:t>- אע"פ שבברייתא נאמר "אין בודקים.. אלא" וכו', ומשמע שהחמירה אף לעניין דיעבד, מכל מקום כאן אין זה בדווקא, שהרי היא שיירה גם שחקי דכיתנא.</w:t>
      </w:r>
      <w:r>
        <w:rPr>
          <w:sz w:val="20"/>
          <w:szCs w:val="20"/>
          <w:rtl/>
        </w:rPr>
        <w:br/>
      </w:r>
      <w:r>
        <w:rPr>
          <w:rFonts w:hint="cs"/>
          <w:sz w:val="20"/>
          <w:szCs w:val="20"/>
          <w:rtl/>
        </w:rPr>
        <w:lastRenderedPageBreak/>
        <w:t>ועוד, אף אם נאמר שהברייתא החמירה בבגד צבעוני, יש לומר שדין זה נאמר דווקא בזמנם שהיו בקיאים לטמא רק בחמש מראות דמים, אך בימינו שמטמאים כל מראה הנוטה לאדום יש להקל אף בבגד צבעוני.</w:t>
      </w:r>
      <w:r>
        <w:rPr>
          <w:sz w:val="20"/>
          <w:szCs w:val="20"/>
          <w:rtl/>
        </w:rPr>
        <w:br/>
      </w:r>
      <w:r>
        <w:rPr>
          <w:rFonts w:hint="cs"/>
          <w:sz w:val="20"/>
          <w:szCs w:val="20"/>
          <w:rtl/>
        </w:rPr>
        <w:t xml:space="preserve">ב. </w:t>
      </w:r>
      <w:r w:rsidRPr="00AA173B">
        <w:rPr>
          <w:rFonts w:hint="cs"/>
          <w:b/>
          <w:bCs/>
          <w:sz w:val="20"/>
          <w:szCs w:val="20"/>
          <w:rtl/>
        </w:rPr>
        <w:t>בדי השולחן</w:t>
      </w:r>
      <w:r>
        <w:rPr>
          <w:rFonts w:hint="cs"/>
          <w:sz w:val="20"/>
          <w:szCs w:val="20"/>
          <w:rtl/>
        </w:rPr>
        <w:t xml:space="preserve"> </w:t>
      </w:r>
      <w:r w:rsidRPr="00F06036">
        <w:rPr>
          <w:rFonts w:hint="cs"/>
          <w:sz w:val="18"/>
          <w:szCs w:val="18"/>
          <w:rtl/>
        </w:rPr>
        <w:t xml:space="preserve">(עמ' שו בביאורים) </w:t>
      </w:r>
      <w:r>
        <w:rPr>
          <w:sz w:val="20"/>
          <w:szCs w:val="20"/>
          <w:rtl/>
        </w:rPr>
        <w:t>–</w:t>
      </w:r>
      <w:r>
        <w:rPr>
          <w:rFonts w:hint="cs"/>
          <w:sz w:val="20"/>
          <w:szCs w:val="20"/>
          <w:rtl/>
        </w:rPr>
        <w:t xml:space="preserve"> אין להקל בבדיקה ע"י בגד צבעוני.</w:t>
      </w:r>
      <w:r>
        <w:rPr>
          <w:sz w:val="20"/>
          <w:szCs w:val="20"/>
          <w:rtl/>
        </w:rPr>
        <w:br/>
      </w:r>
      <w:r w:rsidRPr="00AA173B">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מראה הדם אינו ניכר על העד.</w:t>
      </w:r>
    </w:p>
    <w:p w:rsidR="00620060" w:rsidRDefault="00620060" w:rsidP="00620060">
      <w:pPr>
        <w:rPr>
          <w:sz w:val="20"/>
          <w:szCs w:val="20"/>
          <w:rtl/>
        </w:rPr>
      </w:pPr>
      <w:r>
        <w:rPr>
          <w:rFonts w:hint="cs"/>
          <w:sz w:val="20"/>
          <w:szCs w:val="20"/>
          <w:u w:val="single"/>
          <w:rtl/>
        </w:rPr>
        <w:t>בדיקה בבדים ממין אחר (ששבה"ל)</w:t>
      </w:r>
      <w:r>
        <w:rPr>
          <w:rFonts w:hint="cs"/>
          <w:sz w:val="20"/>
          <w:szCs w:val="20"/>
          <w:u w:val="single"/>
          <w:rtl/>
        </w:rPr>
        <w:br/>
      </w:r>
      <w:r w:rsidRPr="00C754AE">
        <w:rPr>
          <w:rFonts w:hint="cs"/>
          <w:b/>
          <w:bCs/>
          <w:sz w:val="20"/>
          <w:szCs w:val="20"/>
          <w:rtl/>
        </w:rPr>
        <w:t>ששבה"ל</w:t>
      </w:r>
      <w:r>
        <w:rPr>
          <w:rFonts w:hint="cs"/>
          <w:sz w:val="20"/>
          <w:szCs w:val="20"/>
          <w:rtl/>
        </w:rPr>
        <w:t xml:space="preserve"> </w:t>
      </w:r>
      <w:r>
        <w:rPr>
          <w:sz w:val="20"/>
          <w:szCs w:val="20"/>
          <w:rtl/>
        </w:rPr>
        <w:t>–</w:t>
      </w:r>
      <w:r>
        <w:rPr>
          <w:rFonts w:hint="cs"/>
          <w:sz w:val="20"/>
          <w:szCs w:val="20"/>
          <w:rtl/>
        </w:rPr>
        <w:t xml:space="preserve"> כל סוג בד או נייר שאין הדם נופל ממנו כשר לכתחילה לבדיקה.</w:t>
      </w:r>
      <w:r>
        <w:rPr>
          <w:sz w:val="20"/>
          <w:szCs w:val="20"/>
          <w:rtl/>
        </w:rPr>
        <w:br/>
      </w:r>
      <w:r w:rsidRPr="00443A4B">
        <w:rPr>
          <w:rFonts w:hint="cs"/>
          <w:b/>
          <w:bCs/>
          <w:sz w:val="20"/>
          <w:szCs w:val="20"/>
          <w:rtl/>
        </w:rPr>
        <w:t>טה"ב</w:t>
      </w:r>
      <w:r>
        <w:rPr>
          <w:rFonts w:hint="cs"/>
          <w:sz w:val="20"/>
          <w:szCs w:val="20"/>
          <w:rtl/>
        </w:rPr>
        <w:t xml:space="preserve"> </w:t>
      </w:r>
      <w:r>
        <w:rPr>
          <w:sz w:val="20"/>
          <w:szCs w:val="20"/>
          <w:rtl/>
        </w:rPr>
        <w:t>–</w:t>
      </w:r>
      <w:r>
        <w:rPr>
          <w:rFonts w:hint="cs"/>
          <w:sz w:val="20"/>
          <w:szCs w:val="20"/>
          <w:rtl/>
        </w:rPr>
        <w:t xml:space="preserve"> נייר דק וחלק, כגון הנייר שיש בתוך חפיסת סיגריות, אין הבדיקה מועילה בו אפילו בדיעבד. </w:t>
      </w:r>
      <w:r>
        <w:rPr>
          <w:sz w:val="20"/>
          <w:szCs w:val="20"/>
          <w:rtl/>
        </w:rPr>
        <w:br/>
      </w:r>
      <w:r>
        <w:rPr>
          <w:rFonts w:hint="cs"/>
          <w:sz w:val="20"/>
          <w:szCs w:val="20"/>
          <w:rtl/>
        </w:rPr>
        <w:t>לעומת זאת, ניתן לבדוק בבגד העשוי בד סינטטי, אלא שיש לבדוק את סוג הבד שהוא מקבל דם.</w:t>
      </w:r>
    </w:p>
    <w:p w:rsidR="00620060" w:rsidRPr="00335E18" w:rsidRDefault="00620060" w:rsidP="00620060">
      <w:pPr>
        <w:rPr>
          <w:sz w:val="20"/>
          <w:szCs w:val="20"/>
          <w:rtl/>
        </w:rPr>
      </w:pPr>
      <w:r>
        <w:rPr>
          <w:rFonts w:hint="cs"/>
          <w:sz w:val="20"/>
          <w:szCs w:val="20"/>
          <w:u w:val="single"/>
          <w:rtl/>
        </w:rPr>
        <w:t>בדיקה באצבע (טה"ב עמ' שסב)</w:t>
      </w:r>
      <w:r>
        <w:rPr>
          <w:rFonts w:hint="cs"/>
          <w:sz w:val="20"/>
          <w:szCs w:val="20"/>
          <w:u w:val="single"/>
          <w:rtl/>
        </w:rPr>
        <w:br/>
      </w:r>
      <w:r w:rsidRPr="00335E18">
        <w:rPr>
          <w:rFonts w:hint="cs"/>
          <w:b/>
          <w:bCs/>
          <w:sz w:val="20"/>
          <w:szCs w:val="20"/>
          <w:rtl/>
        </w:rPr>
        <w:t>הגהות שערי דורא</w:t>
      </w:r>
      <w:r>
        <w:rPr>
          <w:rFonts w:hint="cs"/>
          <w:sz w:val="20"/>
          <w:szCs w:val="20"/>
          <w:rtl/>
        </w:rPr>
        <w:t xml:space="preserve"> </w:t>
      </w:r>
      <w:r>
        <w:rPr>
          <w:sz w:val="20"/>
          <w:szCs w:val="20"/>
          <w:rtl/>
        </w:rPr>
        <w:t>–</w:t>
      </w:r>
      <w:r>
        <w:rPr>
          <w:rFonts w:hint="cs"/>
          <w:sz w:val="20"/>
          <w:szCs w:val="20"/>
          <w:rtl/>
        </w:rPr>
        <w:t xml:space="preserve"> בדיקה הנעשית באצבע ללא עד בדיקה, אינה מועילה כלל.</w:t>
      </w:r>
    </w:p>
    <w:p w:rsidR="00620060" w:rsidRPr="00B5134F" w:rsidRDefault="00620060" w:rsidP="00620060">
      <w:pPr>
        <w:spacing w:line="300" w:lineRule="exact"/>
        <w:rPr>
          <w:rFonts w:asciiTheme="minorBidi" w:hAnsiTheme="minorBidi"/>
          <w:b/>
          <w:bCs/>
          <w:sz w:val="20"/>
          <w:szCs w:val="20"/>
          <w:rtl/>
        </w:rPr>
      </w:pPr>
      <w:r>
        <w:rPr>
          <w:rFonts w:asciiTheme="minorBidi" w:hAnsiTheme="minorBidi" w:hint="cs"/>
          <w:sz w:val="20"/>
          <w:szCs w:val="20"/>
          <w:u w:val="single"/>
          <w:rtl/>
        </w:rPr>
        <w:t>אשה שקשה לה לבדוק מחמת יובש באותו מקום</w:t>
      </w:r>
      <w:r>
        <w:rPr>
          <w:rFonts w:asciiTheme="minorBidi" w:hAnsiTheme="minorBidi" w:hint="cs"/>
          <w:b/>
          <w:bCs/>
          <w:sz w:val="20"/>
          <w:szCs w:val="20"/>
          <w:rtl/>
        </w:rPr>
        <w:br/>
      </w:r>
      <w:r>
        <w:rPr>
          <w:rFonts w:asciiTheme="minorBidi" w:hAnsiTheme="minorBidi" w:hint="cs"/>
          <w:sz w:val="20"/>
          <w:szCs w:val="20"/>
          <w:rtl/>
        </w:rPr>
        <w:t xml:space="preserve">אשה שקשה לה לבדוק באותו מקום, מחמת יובש או סיבה אחרת, כתבו הפוסקים להקל באופנים הבאים - </w:t>
      </w:r>
      <w:r>
        <w:rPr>
          <w:rFonts w:asciiTheme="minorBidi" w:hAnsiTheme="minorBidi" w:hint="cs"/>
          <w:sz w:val="20"/>
          <w:szCs w:val="20"/>
          <w:rtl/>
        </w:rPr>
        <w:br/>
        <w:t xml:space="preserve">א. </w:t>
      </w:r>
      <w:r w:rsidRPr="00B5134F">
        <w:rPr>
          <w:rFonts w:asciiTheme="minorBidi" w:hAnsiTheme="minorBidi" w:hint="cs"/>
          <w:b/>
          <w:bCs/>
          <w:sz w:val="20"/>
          <w:szCs w:val="20"/>
          <w:rtl/>
        </w:rPr>
        <w:t>מהרש"ם</w:t>
      </w:r>
      <w:r>
        <w:rPr>
          <w:rFonts w:asciiTheme="minorBidi" w:hAnsiTheme="minorBidi" w:hint="cs"/>
          <w:sz w:val="20"/>
          <w:szCs w:val="20"/>
          <w:rtl/>
        </w:rPr>
        <w:t xml:space="preserve"> </w:t>
      </w:r>
      <w:r w:rsidRPr="0099789A">
        <w:rPr>
          <w:rFonts w:asciiTheme="minorBidi" w:hAnsiTheme="minorBidi" w:hint="cs"/>
          <w:sz w:val="18"/>
          <w:szCs w:val="18"/>
          <w:rtl/>
        </w:rPr>
        <w:t xml:space="preserve">(הו"ד </w:t>
      </w:r>
      <w:r w:rsidRPr="0099789A">
        <w:rPr>
          <w:rFonts w:asciiTheme="minorBidi" w:hAnsiTheme="minorBidi" w:hint="cs"/>
          <w:b/>
          <w:bCs/>
          <w:sz w:val="18"/>
          <w:szCs w:val="18"/>
          <w:rtl/>
        </w:rPr>
        <w:t>בטה"ב</w:t>
      </w:r>
      <w:r w:rsidRPr="0099789A">
        <w:rPr>
          <w:rFonts w:asciiTheme="minorBidi" w:hAnsiTheme="minorBidi" w:hint="cs"/>
          <w:sz w:val="18"/>
          <w:szCs w:val="18"/>
          <w:rtl/>
        </w:rPr>
        <w:t xml:space="preserve"> עמ' שנט) </w:t>
      </w:r>
      <w:r>
        <w:rPr>
          <w:rFonts w:asciiTheme="minorBidi" w:hAnsiTheme="minorBidi"/>
          <w:sz w:val="20"/>
          <w:szCs w:val="20"/>
          <w:rtl/>
        </w:rPr>
        <w:t>–</w:t>
      </w:r>
      <w:r>
        <w:rPr>
          <w:rFonts w:asciiTheme="minorBidi" w:hAnsiTheme="minorBidi" w:hint="cs"/>
          <w:sz w:val="20"/>
          <w:szCs w:val="20"/>
          <w:rtl/>
        </w:rPr>
        <w:t xml:space="preserve"> ניתן </w:t>
      </w:r>
      <w:r>
        <w:rPr>
          <w:rFonts w:asciiTheme="minorBidi" w:hAnsiTheme="minorBidi"/>
          <w:sz w:val="20"/>
          <w:szCs w:val="20"/>
          <w:rtl/>
        </w:rPr>
        <w:t>ל</w:t>
      </w:r>
      <w:r>
        <w:rPr>
          <w:rFonts w:asciiTheme="minorBidi" w:hAnsiTheme="minorBidi" w:hint="cs"/>
          <w:sz w:val="20"/>
          <w:szCs w:val="20"/>
          <w:rtl/>
        </w:rPr>
        <w:t>לח</w:t>
      </w:r>
      <w:r w:rsidRPr="00B5134F">
        <w:rPr>
          <w:rFonts w:asciiTheme="minorBidi" w:hAnsiTheme="minorBidi"/>
          <w:sz w:val="20"/>
          <w:szCs w:val="20"/>
          <w:rtl/>
        </w:rPr>
        <w:t xml:space="preserve">לח </w:t>
      </w:r>
      <w:r>
        <w:rPr>
          <w:rFonts w:asciiTheme="minorBidi" w:hAnsiTheme="minorBidi" w:hint="cs"/>
          <w:sz w:val="20"/>
          <w:szCs w:val="20"/>
          <w:rtl/>
        </w:rPr>
        <w:t xml:space="preserve">את </w:t>
      </w:r>
      <w:r w:rsidRPr="00B5134F">
        <w:rPr>
          <w:rFonts w:asciiTheme="minorBidi" w:hAnsiTheme="minorBidi"/>
          <w:sz w:val="20"/>
          <w:szCs w:val="20"/>
          <w:rtl/>
        </w:rPr>
        <w:t>העד במים ו</w:t>
      </w:r>
      <w:r>
        <w:rPr>
          <w:rFonts w:asciiTheme="minorBidi" w:hAnsiTheme="minorBidi" w:hint="cs"/>
          <w:sz w:val="20"/>
          <w:szCs w:val="20"/>
          <w:rtl/>
        </w:rPr>
        <w:t>לסחט</w:t>
      </w:r>
      <w:r w:rsidRPr="00B5134F">
        <w:rPr>
          <w:rFonts w:asciiTheme="minorBidi" w:hAnsiTheme="minorBidi"/>
          <w:sz w:val="20"/>
          <w:szCs w:val="20"/>
          <w:rtl/>
        </w:rPr>
        <w:t>ו</w:t>
      </w:r>
      <w:r>
        <w:rPr>
          <w:rFonts w:asciiTheme="minorBidi" w:hAnsiTheme="minorBidi" w:hint="cs"/>
          <w:sz w:val="20"/>
          <w:szCs w:val="20"/>
          <w:rtl/>
        </w:rPr>
        <w:t xml:space="preserve"> לפני הבדיקה ולבדוק בו.</w:t>
      </w:r>
      <w:r>
        <w:rPr>
          <w:rFonts w:asciiTheme="minorBidi" w:hAnsiTheme="minorBidi" w:hint="cs"/>
          <w:sz w:val="20"/>
          <w:szCs w:val="20"/>
          <w:rtl/>
        </w:rPr>
        <w:br/>
        <w:t>ואין לחוש לכך שמא היתה טיפת דם כחרדל ונמחית ע"י לחלוח המים, שהרי אם כן יהיה אסור לאשה לבדוק לאחר שהטילה מי רגליים מפני שאותו מקום מלוחלח, אלא ודאי שאין לחוש בכך.</w:t>
      </w:r>
      <w:r>
        <w:rPr>
          <w:rFonts w:asciiTheme="minorBidi" w:hAnsiTheme="minorBidi"/>
          <w:sz w:val="20"/>
          <w:szCs w:val="20"/>
          <w:rtl/>
        </w:rPr>
        <w:br/>
      </w:r>
      <w:r>
        <w:rPr>
          <w:rFonts w:asciiTheme="minorBidi" w:hAnsiTheme="minorBidi" w:hint="cs"/>
          <w:sz w:val="20"/>
          <w:szCs w:val="20"/>
          <w:rtl/>
        </w:rPr>
        <w:t>ועוד, אם נחמיר עליה בכך, שמא תעוות עצמה ע"י עד הבדיקה, וכעין מה שכתב הרשב"א בטעם הדין שאין לבדוק בבגד קשה.</w:t>
      </w:r>
      <w:r>
        <w:rPr>
          <w:rFonts w:asciiTheme="minorBidi" w:hAnsiTheme="minorBidi"/>
          <w:sz w:val="20"/>
          <w:szCs w:val="20"/>
          <w:rtl/>
        </w:rPr>
        <w:br/>
      </w:r>
      <w:r>
        <w:rPr>
          <w:rFonts w:asciiTheme="minorBidi" w:hAnsiTheme="minorBidi" w:hint="cs"/>
          <w:sz w:val="20"/>
          <w:szCs w:val="20"/>
          <w:rtl/>
        </w:rPr>
        <w:t xml:space="preserve">ב. </w:t>
      </w:r>
      <w:r w:rsidRPr="00B5134F">
        <w:rPr>
          <w:rFonts w:asciiTheme="minorBidi" w:hAnsiTheme="minorBidi"/>
          <w:sz w:val="20"/>
          <w:szCs w:val="20"/>
          <w:rtl/>
        </w:rPr>
        <w:t xml:space="preserve">רבים </w:t>
      </w:r>
      <w:r>
        <w:rPr>
          <w:rFonts w:asciiTheme="minorBidi" w:hAnsiTheme="minorBidi" w:hint="cs"/>
          <w:sz w:val="20"/>
          <w:szCs w:val="20"/>
          <w:rtl/>
        </w:rPr>
        <w:t xml:space="preserve">מהאחרונים </w:t>
      </w:r>
      <w:r w:rsidRPr="00B5134F">
        <w:rPr>
          <w:rFonts w:asciiTheme="minorBidi" w:hAnsiTheme="minorBidi"/>
          <w:sz w:val="20"/>
          <w:szCs w:val="20"/>
          <w:rtl/>
        </w:rPr>
        <w:t xml:space="preserve">מתירים </w:t>
      </w:r>
      <w:r>
        <w:rPr>
          <w:rFonts w:asciiTheme="minorBidi" w:hAnsiTheme="minorBidi" w:hint="cs"/>
          <w:sz w:val="20"/>
          <w:szCs w:val="20"/>
          <w:rtl/>
        </w:rPr>
        <w:t xml:space="preserve">למרוח משחה באותו מקום </w:t>
      </w:r>
      <w:r w:rsidRPr="00B5134F">
        <w:rPr>
          <w:rFonts w:asciiTheme="minorBidi" w:hAnsiTheme="minorBidi"/>
          <w:sz w:val="20"/>
          <w:szCs w:val="20"/>
          <w:rtl/>
        </w:rPr>
        <w:t>כאשר החומר שקוף וניתן באו</w:t>
      </w:r>
      <w:r>
        <w:rPr>
          <w:rFonts w:asciiTheme="minorBidi" w:hAnsiTheme="minorBidi" w:hint="cs"/>
          <w:sz w:val="20"/>
          <w:szCs w:val="20"/>
          <w:rtl/>
        </w:rPr>
        <w:t>תו מקום</w:t>
      </w:r>
      <w:r w:rsidRPr="00B5134F">
        <w:rPr>
          <w:rFonts w:asciiTheme="minorBidi" w:hAnsiTheme="minorBidi"/>
          <w:sz w:val="20"/>
          <w:szCs w:val="20"/>
          <w:rtl/>
        </w:rPr>
        <w:t xml:space="preserve"> זמן מסויים לפני הבדיקה כך שנספג בגוף. ורצוי להשתמש בג</w:t>
      </w:r>
      <w:r>
        <w:rPr>
          <w:rFonts w:asciiTheme="minorBidi" w:hAnsiTheme="minorBidi" w:hint="cs"/>
          <w:sz w:val="20"/>
          <w:szCs w:val="20"/>
          <w:rtl/>
        </w:rPr>
        <w:t>'</w:t>
      </w:r>
      <w:r w:rsidRPr="00B5134F">
        <w:rPr>
          <w:rFonts w:asciiTheme="minorBidi" w:hAnsiTheme="minorBidi"/>
          <w:sz w:val="20"/>
          <w:szCs w:val="20"/>
          <w:rtl/>
        </w:rPr>
        <w:t>ל שאינו על בסיס שומני ולא בווזלין שאין נקלט בו היטב הדם.</w:t>
      </w:r>
    </w:p>
    <w:p w:rsidR="00620060" w:rsidRDefault="00620060" w:rsidP="00620060">
      <w:pPr>
        <w:rPr>
          <w:sz w:val="20"/>
          <w:szCs w:val="20"/>
          <w:rtl/>
        </w:rPr>
      </w:pPr>
      <w:r w:rsidRPr="00556E86">
        <w:rPr>
          <w:rStyle w:val="10"/>
          <w:rFonts w:hint="cs"/>
          <w:rtl/>
        </w:rPr>
        <w:t>ב</w:t>
      </w:r>
      <w:r>
        <w:rPr>
          <w:rFonts w:hint="cs"/>
          <w:sz w:val="20"/>
          <w:szCs w:val="20"/>
          <w:rtl/>
        </w:rPr>
        <w:t xml:space="preserve">. </w:t>
      </w:r>
      <w:r w:rsidRPr="00556E86">
        <w:rPr>
          <w:rFonts w:hint="cs"/>
          <w:b/>
          <w:bCs/>
          <w:sz w:val="20"/>
          <w:szCs w:val="20"/>
          <w:rtl/>
        </w:rPr>
        <w:t>רמת הבדיקה ל</w:t>
      </w:r>
      <w:r>
        <w:rPr>
          <w:rFonts w:hint="cs"/>
          <w:b/>
          <w:bCs/>
          <w:sz w:val="20"/>
          <w:szCs w:val="20"/>
          <w:rtl/>
        </w:rPr>
        <w:t>רוחב</w:t>
      </w:r>
      <w:r>
        <w:rPr>
          <w:rFonts w:hint="cs"/>
          <w:sz w:val="20"/>
          <w:szCs w:val="20"/>
          <w:rtl/>
        </w:rPr>
        <w:br/>
      </w:r>
      <w:r>
        <w:rPr>
          <w:rFonts w:hint="cs"/>
          <w:b/>
          <w:bCs/>
          <w:sz w:val="20"/>
          <w:szCs w:val="20"/>
          <w:rtl/>
        </w:rPr>
        <w:t>שיטות הראשונים</w:t>
      </w:r>
      <w:r>
        <w:rPr>
          <w:b/>
          <w:bCs/>
          <w:sz w:val="20"/>
          <w:szCs w:val="20"/>
          <w:rtl/>
        </w:rPr>
        <w:br/>
      </w:r>
      <w:r>
        <w:rPr>
          <w:rFonts w:hint="cs"/>
          <w:sz w:val="20"/>
          <w:szCs w:val="20"/>
          <w:rtl/>
        </w:rPr>
        <w:t xml:space="preserve">א. </w:t>
      </w:r>
      <w:r w:rsidRPr="00556E86">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צריכה לבדוק עצמה בחורים ובסדקים, בדיקה באופן שונה היא קינוח בלבד, וכ"פ </w:t>
      </w:r>
      <w:r w:rsidRPr="00CE7F93">
        <w:rPr>
          <w:rFonts w:hint="cs"/>
          <w:b/>
          <w:bCs/>
          <w:sz w:val="20"/>
          <w:szCs w:val="20"/>
          <w:rtl/>
        </w:rPr>
        <w:t>המחבר</w:t>
      </w:r>
      <w:r>
        <w:rPr>
          <w:rFonts w:hint="cs"/>
          <w:sz w:val="20"/>
          <w:szCs w:val="20"/>
          <w:rtl/>
        </w:rPr>
        <w:t>.</w:t>
      </w:r>
      <w:r>
        <w:rPr>
          <w:sz w:val="20"/>
          <w:szCs w:val="20"/>
          <w:rtl/>
        </w:rPr>
        <w:br/>
      </w:r>
      <w:r>
        <w:rPr>
          <w:rFonts w:hint="cs"/>
          <w:sz w:val="20"/>
          <w:szCs w:val="20"/>
          <w:rtl/>
        </w:rPr>
        <w:t xml:space="preserve">ב. </w:t>
      </w:r>
      <w:r w:rsidRPr="00556E86">
        <w:rPr>
          <w:rFonts w:hint="cs"/>
          <w:b/>
          <w:bCs/>
          <w:sz w:val="20"/>
          <w:szCs w:val="20"/>
          <w:rtl/>
        </w:rPr>
        <w:t>ראב"ד</w:t>
      </w:r>
      <w:r>
        <w:rPr>
          <w:rFonts w:hint="cs"/>
          <w:sz w:val="20"/>
          <w:szCs w:val="20"/>
          <w:rtl/>
        </w:rPr>
        <w:t xml:space="preserve"> </w:t>
      </w:r>
      <w:r>
        <w:rPr>
          <w:sz w:val="20"/>
          <w:szCs w:val="20"/>
          <w:rtl/>
        </w:rPr>
        <w:t>–</w:t>
      </w:r>
      <w:r>
        <w:rPr>
          <w:rFonts w:hint="cs"/>
          <w:sz w:val="20"/>
          <w:szCs w:val="20"/>
          <w:rtl/>
        </w:rPr>
        <w:t xml:space="preserve"> אינה צריכה לבדוק כלל בחורים ובסדקים.</w:t>
      </w:r>
      <w:r>
        <w:rPr>
          <w:sz w:val="20"/>
          <w:szCs w:val="20"/>
          <w:rtl/>
        </w:rPr>
        <w:br/>
      </w:r>
      <w:r>
        <w:rPr>
          <w:rFonts w:hint="cs"/>
          <w:sz w:val="20"/>
          <w:szCs w:val="20"/>
          <w:rtl/>
        </w:rPr>
        <w:t xml:space="preserve">ג. </w:t>
      </w:r>
      <w:r w:rsidRPr="00556E86">
        <w:rPr>
          <w:rFonts w:hint="cs"/>
          <w:b/>
          <w:bCs/>
          <w:sz w:val="20"/>
          <w:szCs w:val="20"/>
          <w:rtl/>
        </w:rPr>
        <w:t>רמב"ן</w:t>
      </w:r>
      <w:r>
        <w:rPr>
          <w:rFonts w:hint="cs"/>
          <w:sz w:val="20"/>
          <w:szCs w:val="20"/>
          <w:rtl/>
        </w:rPr>
        <w:t xml:space="preserve"> </w:t>
      </w:r>
      <w:r>
        <w:rPr>
          <w:sz w:val="20"/>
          <w:szCs w:val="20"/>
          <w:rtl/>
        </w:rPr>
        <w:t>–</w:t>
      </w:r>
      <w:r>
        <w:rPr>
          <w:rFonts w:hint="cs"/>
          <w:sz w:val="20"/>
          <w:szCs w:val="20"/>
          <w:rtl/>
        </w:rPr>
        <w:t xml:space="preserve"> בבדיקת הפסק טהרה צריכה לבדוק בחורים ובסדקים, אך בבדיקות ז' נקיים אינה צריכה.</w:t>
      </w:r>
    </w:p>
    <w:p w:rsidR="00620060" w:rsidRDefault="00620060" w:rsidP="00620060">
      <w:pPr>
        <w:rPr>
          <w:sz w:val="20"/>
          <w:szCs w:val="20"/>
          <w:rtl/>
        </w:rPr>
      </w:pPr>
      <w:r>
        <w:rPr>
          <w:rFonts w:hint="cs"/>
          <w:b/>
          <w:bCs/>
          <w:sz w:val="20"/>
          <w:szCs w:val="20"/>
          <w:rtl/>
        </w:rPr>
        <w:t>טעמי השיטות</w:t>
      </w:r>
      <w:r>
        <w:rPr>
          <w:b/>
          <w:bCs/>
          <w:sz w:val="20"/>
          <w:szCs w:val="20"/>
          <w:rtl/>
        </w:rPr>
        <w:br/>
      </w:r>
      <w:r>
        <w:rPr>
          <w:rFonts w:hint="cs"/>
          <w:sz w:val="20"/>
          <w:szCs w:val="20"/>
          <w:rtl/>
        </w:rPr>
        <w:t xml:space="preserve">א. </w:t>
      </w:r>
      <w:r w:rsidRPr="00556E86">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w:t>
      </w:r>
      <w:r w:rsidRPr="00556E86">
        <w:rPr>
          <w:rFonts w:hint="cs"/>
          <w:b/>
          <w:bCs/>
          <w:sz w:val="20"/>
          <w:szCs w:val="20"/>
          <w:rtl/>
        </w:rPr>
        <w:t xml:space="preserve">גמרא </w:t>
      </w:r>
      <w:r>
        <w:rPr>
          <w:rFonts w:hint="cs"/>
          <w:sz w:val="20"/>
          <w:szCs w:val="20"/>
          <w:rtl/>
        </w:rPr>
        <w:t>נידה (יב.) "</w:t>
      </w:r>
      <w:r w:rsidRPr="00556E86">
        <w:rPr>
          <w:rFonts w:cs="Arial"/>
          <w:sz w:val="20"/>
          <w:szCs w:val="20"/>
          <w:rtl/>
        </w:rPr>
        <w:t>בעא מיניה רבי אבא מרב הונא: אשה מהו שתבדוק עצמה כשיעור וסת, כדי לחייב בעלה חטאת? א</w:t>
      </w:r>
      <w:r>
        <w:rPr>
          <w:rFonts w:cs="Arial" w:hint="cs"/>
          <w:sz w:val="20"/>
          <w:szCs w:val="20"/>
          <w:rtl/>
        </w:rPr>
        <w:t xml:space="preserve">מר </w:t>
      </w:r>
      <w:r w:rsidRPr="00556E86">
        <w:rPr>
          <w:rFonts w:cs="Arial"/>
          <w:sz w:val="20"/>
          <w:szCs w:val="20"/>
          <w:rtl/>
        </w:rPr>
        <w:t>ל</w:t>
      </w:r>
      <w:r>
        <w:rPr>
          <w:rFonts w:cs="Arial" w:hint="cs"/>
          <w:sz w:val="20"/>
          <w:szCs w:val="20"/>
          <w:rtl/>
        </w:rPr>
        <w:t>יה</w:t>
      </w:r>
      <w:r w:rsidRPr="00556E86">
        <w:rPr>
          <w:rFonts w:cs="Arial"/>
          <w:sz w:val="20"/>
          <w:szCs w:val="20"/>
          <w:rtl/>
        </w:rPr>
        <w:t xml:space="preserve">: מי משכחת לה לבדיקה </w:t>
      </w:r>
      <w:r w:rsidRPr="00EE4658">
        <w:rPr>
          <w:rFonts w:cs="Arial" w:hint="cs"/>
          <w:sz w:val="18"/>
          <w:szCs w:val="18"/>
          <w:rtl/>
        </w:rPr>
        <w:t xml:space="preserve">(רש"י </w:t>
      </w:r>
      <w:r w:rsidRPr="00EE4658">
        <w:rPr>
          <w:rFonts w:cs="Arial"/>
          <w:sz w:val="18"/>
          <w:szCs w:val="18"/>
          <w:rtl/>
        </w:rPr>
        <w:t>–</w:t>
      </w:r>
      <w:r w:rsidRPr="00EE4658">
        <w:rPr>
          <w:rFonts w:cs="Arial" w:hint="cs"/>
          <w:sz w:val="18"/>
          <w:szCs w:val="18"/>
          <w:rtl/>
        </w:rPr>
        <w:t xml:space="preserve"> לחורים ולסדקים) </w:t>
      </w:r>
      <w:r w:rsidRPr="00556E86">
        <w:rPr>
          <w:rFonts w:cs="Arial"/>
          <w:sz w:val="20"/>
          <w:szCs w:val="20"/>
          <w:rtl/>
        </w:rPr>
        <w:t>כשיעור וסת? והתניא: איזהו שיעור וסת - משל לשמש ועד שעומדים בצד המשקוף, ביציאות השמש - נכנס עד, הו</w:t>
      </w:r>
      <w:r>
        <w:rPr>
          <w:rFonts w:cs="Arial"/>
          <w:sz w:val="20"/>
          <w:szCs w:val="20"/>
          <w:rtl/>
        </w:rPr>
        <w:t>י: וסת שאמרו - לק</w:t>
      </w:r>
      <w:r>
        <w:rPr>
          <w:rFonts w:cs="Arial" w:hint="cs"/>
          <w:sz w:val="20"/>
          <w:szCs w:val="20"/>
          <w:rtl/>
        </w:rPr>
        <w:t>י</w:t>
      </w:r>
      <w:r>
        <w:rPr>
          <w:rFonts w:cs="Arial"/>
          <w:sz w:val="20"/>
          <w:szCs w:val="20"/>
          <w:rtl/>
        </w:rPr>
        <w:t xml:space="preserve">נוח </w:t>
      </w:r>
      <w:r w:rsidRPr="00EE4658">
        <w:rPr>
          <w:rFonts w:cs="Arial" w:hint="cs"/>
          <w:sz w:val="18"/>
          <w:szCs w:val="18"/>
          <w:rtl/>
        </w:rPr>
        <w:t xml:space="preserve">(רש"י </w:t>
      </w:r>
      <w:r w:rsidRPr="00EE4658">
        <w:rPr>
          <w:rFonts w:cs="Arial"/>
          <w:sz w:val="18"/>
          <w:szCs w:val="18"/>
          <w:rtl/>
        </w:rPr>
        <w:t>–</w:t>
      </w:r>
      <w:r w:rsidRPr="00EE4658">
        <w:rPr>
          <w:rFonts w:cs="Arial" w:hint="cs"/>
          <w:sz w:val="18"/>
          <w:szCs w:val="18"/>
          <w:rtl/>
        </w:rPr>
        <w:t xml:space="preserve"> מבחוץ) </w:t>
      </w:r>
      <w:r>
        <w:rPr>
          <w:rFonts w:cs="Arial"/>
          <w:sz w:val="20"/>
          <w:szCs w:val="20"/>
          <w:rtl/>
        </w:rPr>
        <w:t>ולא לבדיקה</w:t>
      </w:r>
      <w:r>
        <w:rPr>
          <w:rFonts w:cs="Arial" w:hint="cs"/>
          <w:sz w:val="20"/>
          <w:szCs w:val="20"/>
          <w:rtl/>
        </w:rPr>
        <w:t>".</w:t>
      </w:r>
      <w:r>
        <w:rPr>
          <w:rFonts w:hint="cs"/>
          <w:sz w:val="20"/>
          <w:szCs w:val="20"/>
          <w:rtl/>
        </w:rPr>
        <w:br/>
        <w:t xml:space="preserve">הסבר </w:t>
      </w:r>
      <w:r>
        <w:rPr>
          <w:sz w:val="20"/>
          <w:szCs w:val="20"/>
          <w:rtl/>
        </w:rPr>
        <w:t>–</w:t>
      </w:r>
      <w:r>
        <w:rPr>
          <w:rFonts w:hint="cs"/>
          <w:sz w:val="20"/>
          <w:szCs w:val="20"/>
          <w:rtl/>
        </w:rPr>
        <w:t xml:space="preserve"> מגמרא זו מוכח שבדיקה שאינה בחורים ובסדקים אינה בדיקה אלא קינוח בעלמא.</w:t>
      </w:r>
      <w:r>
        <w:rPr>
          <w:sz w:val="20"/>
          <w:szCs w:val="20"/>
          <w:rtl/>
        </w:rPr>
        <w:br/>
      </w:r>
      <w:r>
        <w:rPr>
          <w:rFonts w:hint="cs"/>
          <w:sz w:val="20"/>
          <w:szCs w:val="20"/>
          <w:rtl/>
        </w:rPr>
        <w:t xml:space="preserve">ב. </w:t>
      </w:r>
      <w:r w:rsidRPr="00712F23">
        <w:rPr>
          <w:rFonts w:hint="cs"/>
          <w:b/>
          <w:bCs/>
          <w:sz w:val="20"/>
          <w:szCs w:val="20"/>
          <w:rtl/>
        </w:rPr>
        <w:t>ראב"ד</w:t>
      </w:r>
      <w:r>
        <w:rPr>
          <w:rFonts w:hint="cs"/>
          <w:sz w:val="20"/>
          <w:szCs w:val="20"/>
          <w:rtl/>
        </w:rPr>
        <w:t xml:space="preserve"> </w:t>
      </w:r>
      <w:r>
        <w:rPr>
          <w:sz w:val="20"/>
          <w:szCs w:val="20"/>
          <w:rtl/>
        </w:rPr>
        <w:t>–</w:t>
      </w:r>
      <w:r>
        <w:rPr>
          <w:rFonts w:hint="cs"/>
          <w:sz w:val="20"/>
          <w:szCs w:val="20"/>
          <w:rtl/>
        </w:rPr>
        <w:t xml:space="preserve"> </w:t>
      </w:r>
      <w:r w:rsidRPr="00712F23">
        <w:rPr>
          <w:rFonts w:hint="cs"/>
          <w:b/>
          <w:bCs/>
          <w:sz w:val="20"/>
          <w:szCs w:val="20"/>
          <w:rtl/>
        </w:rPr>
        <w:t>גמרא</w:t>
      </w:r>
      <w:r>
        <w:rPr>
          <w:rFonts w:hint="cs"/>
          <w:sz w:val="20"/>
          <w:szCs w:val="20"/>
          <w:rtl/>
        </w:rPr>
        <w:t xml:space="preserve"> נידה (ה.) "</w:t>
      </w:r>
      <w:r w:rsidRPr="00712F23">
        <w:rPr>
          <w:rFonts w:cs="Arial"/>
          <w:sz w:val="20"/>
          <w:szCs w:val="20"/>
          <w:rtl/>
        </w:rPr>
        <w:t>אמר רב יהודה אמר שמואל עד שלפני תשמיש - אינו ממעט כפקידה. מ</w:t>
      </w:r>
      <w:r>
        <w:rPr>
          <w:rFonts w:cs="Arial" w:hint="cs"/>
          <w:sz w:val="20"/>
          <w:szCs w:val="20"/>
          <w:rtl/>
        </w:rPr>
        <w:t>אי טעמא</w:t>
      </w:r>
      <w:r w:rsidRPr="00712F23">
        <w:rPr>
          <w:rFonts w:cs="Arial"/>
          <w:sz w:val="20"/>
          <w:szCs w:val="20"/>
          <w:rtl/>
        </w:rPr>
        <w:t>? אמר רב קטינא: מתוך שמהומה לביתה. וכי מהומה לביתה מאי הוי? מתוך שמהומה לביתה - אינה מכנסת לחורין ולסדקין</w:t>
      </w:r>
      <w:r>
        <w:rPr>
          <w:rFonts w:cs="Arial" w:hint="cs"/>
          <w:sz w:val="20"/>
          <w:szCs w:val="20"/>
          <w:rtl/>
        </w:rPr>
        <w:t>"</w:t>
      </w:r>
      <w:r w:rsidRPr="00712F23">
        <w:rPr>
          <w:rFonts w:cs="Arial"/>
          <w:sz w:val="20"/>
          <w:szCs w:val="20"/>
          <w:rtl/>
        </w:rPr>
        <w:t>.</w:t>
      </w:r>
      <w:r>
        <w:rPr>
          <w:rFonts w:hint="cs"/>
          <w:sz w:val="20"/>
          <w:szCs w:val="20"/>
          <w:rtl/>
        </w:rPr>
        <w:br/>
        <w:t xml:space="preserve">הסבר </w:t>
      </w:r>
      <w:r>
        <w:rPr>
          <w:sz w:val="20"/>
          <w:szCs w:val="20"/>
          <w:rtl/>
        </w:rPr>
        <w:t>–</w:t>
      </w:r>
      <w:r>
        <w:rPr>
          <w:rFonts w:hint="cs"/>
          <w:sz w:val="20"/>
          <w:szCs w:val="20"/>
          <w:rtl/>
        </w:rPr>
        <w:t xml:space="preserve"> מוכח בגמרא זו שבדיקה לבעלה אינה בחורים ובסדקים, רק בדיקת טהרות נעשית בחורים ובסדקים</w:t>
      </w:r>
      <w:r>
        <w:rPr>
          <w:rStyle w:val="a5"/>
          <w:sz w:val="20"/>
          <w:szCs w:val="20"/>
          <w:rtl/>
        </w:rPr>
        <w:footnoteReference w:id="527"/>
      </w:r>
      <w:r>
        <w:rPr>
          <w:rFonts w:hint="cs"/>
          <w:sz w:val="20"/>
          <w:szCs w:val="20"/>
          <w:rtl/>
        </w:rPr>
        <w:t>.</w:t>
      </w:r>
      <w:r>
        <w:rPr>
          <w:rFonts w:hint="cs"/>
          <w:sz w:val="20"/>
          <w:szCs w:val="20"/>
          <w:rtl/>
        </w:rPr>
        <w:br/>
        <w:t xml:space="preserve">דוחה </w:t>
      </w:r>
      <w:r w:rsidRPr="00302257">
        <w:rPr>
          <w:rFonts w:hint="cs"/>
          <w:b/>
          <w:bCs/>
          <w:sz w:val="20"/>
          <w:szCs w:val="20"/>
          <w:rtl/>
        </w:rPr>
        <w:t>הרשב"א</w:t>
      </w:r>
      <w:r>
        <w:rPr>
          <w:rFonts w:hint="cs"/>
          <w:sz w:val="20"/>
          <w:szCs w:val="20"/>
          <w:rtl/>
        </w:rPr>
        <w:t xml:space="preserve"> - איך ייתכן לומר שבדיקה לבעלה קלה מטהרות, הרי תשמיש עם נידה הוא איסור כרת!</w:t>
      </w:r>
      <w:r>
        <w:rPr>
          <w:rFonts w:hint="cs"/>
          <w:sz w:val="20"/>
          <w:szCs w:val="20"/>
          <w:rtl/>
        </w:rPr>
        <w:br/>
        <w:t>אלא שההסבר בגמרא הוא, שבאמת היא צריכה בדיקת חורים וסדקים, אך חוששים שמא פשעה ועשתה בדיקה פחותה מזו מפני שהיא מהומה לביתה.</w:t>
      </w:r>
      <w:r>
        <w:rPr>
          <w:rFonts w:hint="cs"/>
          <w:sz w:val="20"/>
          <w:szCs w:val="20"/>
          <w:rtl/>
        </w:rPr>
        <w:br/>
        <w:t xml:space="preserve">ג. </w:t>
      </w:r>
      <w:r w:rsidRPr="004F68E8">
        <w:rPr>
          <w:rFonts w:hint="cs"/>
          <w:b/>
          <w:bCs/>
          <w:sz w:val="20"/>
          <w:szCs w:val="20"/>
          <w:rtl/>
        </w:rPr>
        <w:t>רמב"ן</w:t>
      </w:r>
      <w:r>
        <w:rPr>
          <w:rFonts w:hint="cs"/>
          <w:sz w:val="20"/>
          <w:szCs w:val="20"/>
          <w:rtl/>
        </w:rPr>
        <w:t xml:space="preserve"> </w:t>
      </w:r>
      <w:r>
        <w:rPr>
          <w:sz w:val="20"/>
          <w:szCs w:val="20"/>
          <w:rtl/>
        </w:rPr>
        <w:t>–</w:t>
      </w:r>
      <w:r>
        <w:rPr>
          <w:rFonts w:hint="cs"/>
          <w:sz w:val="20"/>
          <w:szCs w:val="20"/>
          <w:rtl/>
        </w:rPr>
        <w:t xml:space="preserve"> בבדיקת הפסק טהרה יש להחמיר וצריכה בדיקת חורים וסדקים, כיוון שבדיקה זו מעלה אותה מטומאה לטהרה, אך בז' נקיים היא מוחזקת בטהרה ולכן ניתן להקל בבדיקה כל שהיא.</w:t>
      </w:r>
      <w:r>
        <w:rPr>
          <w:rFonts w:hint="cs"/>
          <w:sz w:val="20"/>
          <w:szCs w:val="20"/>
          <w:rtl/>
        </w:rPr>
        <w:br/>
        <w:t xml:space="preserve">דוחה </w:t>
      </w:r>
      <w:r w:rsidRPr="006C7589">
        <w:rPr>
          <w:rFonts w:hint="cs"/>
          <w:b/>
          <w:bCs/>
          <w:sz w:val="20"/>
          <w:szCs w:val="20"/>
          <w:rtl/>
        </w:rPr>
        <w:t>הרשב"א</w:t>
      </w:r>
      <w:r>
        <w:rPr>
          <w:rFonts w:hint="cs"/>
          <w:sz w:val="20"/>
          <w:szCs w:val="20"/>
          <w:rtl/>
        </w:rPr>
        <w:t xml:space="preserve"> </w:t>
      </w:r>
      <w:r>
        <w:rPr>
          <w:sz w:val="20"/>
          <w:szCs w:val="20"/>
          <w:rtl/>
        </w:rPr>
        <w:t>–</w:t>
      </w:r>
      <w:r>
        <w:rPr>
          <w:rFonts w:hint="cs"/>
          <w:sz w:val="20"/>
          <w:szCs w:val="20"/>
          <w:rtl/>
        </w:rPr>
        <w:t xml:space="preserve"> כיוון שהצריכו אותה בדיקה בז' נקיים, מוכח שחששו שמא היא נטמאה, ואם כן כיצד ניתן להסתפק בחצי בדיקה? ומסתבר שיש לבדוק דווקא בחו"ס משום שהם עלולים להעמיד את הדם. ומלבד זאת, מוכח בגמרא לעיל שכל בדיקה שאינה בחו"ס היא קינוח בלבד ואינה מועילה.</w:t>
      </w:r>
    </w:p>
    <w:p w:rsidR="00620060" w:rsidRDefault="00620060" w:rsidP="00620060">
      <w:pPr>
        <w:rPr>
          <w:sz w:val="20"/>
          <w:szCs w:val="20"/>
          <w:rtl/>
        </w:rPr>
      </w:pPr>
      <w:r w:rsidRPr="00FB3841">
        <w:rPr>
          <w:rStyle w:val="10"/>
          <w:rFonts w:hint="cs"/>
          <w:rtl/>
        </w:rPr>
        <w:lastRenderedPageBreak/>
        <w:t>ג</w:t>
      </w:r>
      <w:r>
        <w:rPr>
          <w:rFonts w:hint="cs"/>
          <w:sz w:val="20"/>
          <w:szCs w:val="20"/>
          <w:rtl/>
        </w:rPr>
        <w:t xml:space="preserve">. </w:t>
      </w:r>
      <w:r w:rsidRPr="00FB3841">
        <w:rPr>
          <w:rFonts w:hint="cs"/>
          <w:b/>
          <w:bCs/>
          <w:sz w:val="20"/>
          <w:szCs w:val="20"/>
          <w:rtl/>
        </w:rPr>
        <w:t>רמת הבדיקה ל</w:t>
      </w:r>
      <w:r>
        <w:rPr>
          <w:rFonts w:hint="cs"/>
          <w:b/>
          <w:bCs/>
          <w:sz w:val="20"/>
          <w:szCs w:val="20"/>
          <w:rtl/>
        </w:rPr>
        <w:t>עומק</w:t>
      </w:r>
      <w:r>
        <w:rPr>
          <w:rFonts w:hint="cs"/>
          <w:b/>
          <w:bCs/>
          <w:sz w:val="20"/>
          <w:szCs w:val="20"/>
          <w:rtl/>
        </w:rPr>
        <w:br/>
        <w:t>שיטות הראשונים</w:t>
      </w:r>
      <w:r>
        <w:rPr>
          <w:b/>
          <w:bCs/>
          <w:sz w:val="20"/>
          <w:szCs w:val="20"/>
          <w:rtl/>
        </w:rPr>
        <w:br/>
      </w:r>
      <w:r>
        <w:rPr>
          <w:rFonts w:hint="cs"/>
          <w:sz w:val="20"/>
          <w:szCs w:val="20"/>
          <w:rtl/>
        </w:rPr>
        <w:t xml:space="preserve">א. </w:t>
      </w:r>
      <w:r>
        <w:rPr>
          <w:rFonts w:hint="cs"/>
          <w:b/>
          <w:bCs/>
          <w:sz w:val="20"/>
          <w:szCs w:val="20"/>
          <w:rtl/>
        </w:rPr>
        <w:t>טור</w:t>
      </w:r>
      <w:r>
        <w:rPr>
          <w:rFonts w:hint="cs"/>
          <w:sz w:val="20"/>
          <w:szCs w:val="20"/>
          <w:rtl/>
        </w:rPr>
        <w:t>,</w:t>
      </w:r>
      <w:r>
        <w:rPr>
          <w:rFonts w:hint="cs"/>
          <w:b/>
          <w:bCs/>
          <w:sz w:val="20"/>
          <w:szCs w:val="20"/>
          <w:rtl/>
        </w:rPr>
        <w:t xml:space="preserve"> </w:t>
      </w:r>
      <w:r w:rsidRPr="00FB3841">
        <w:rPr>
          <w:rFonts w:hint="cs"/>
          <w:b/>
          <w:bCs/>
          <w:sz w:val="20"/>
          <w:szCs w:val="20"/>
          <w:rtl/>
        </w:rPr>
        <w:t>רבינו ירוחם והגהות מיימוני</w:t>
      </w:r>
      <w:r w:rsidRPr="00E65A09">
        <w:rPr>
          <w:rStyle w:val="a5"/>
          <w:sz w:val="20"/>
          <w:szCs w:val="20"/>
          <w:rtl/>
        </w:rPr>
        <w:footnoteReference w:id="528"/>
      </w:r>
      <w:r>
        <w:rPr>
          <w:rFonts w:hint="cs"/>
          <w:sz w:val="20"/>
          <w:szCs w:val="20"/>
          <w:rtl/>
        </w:rPr>
        <w:t xml:space="preserve">  </w:t>
      </w:r>
      <w:r>
        <w:rPr>
          <w:sz w:val="20"/>
          <w:szCs w:val="20"/>
          <w:rtl/>
        </w:rPr>
        <w:t>–</w:t>
      </w:r>
      <w:r>
        <w:rPr>
          <w:rFonts w:hint="cs"/>
          <w:sz w:val="20"/>
          <w:szCs w:val="20"/>
          <w:rtl/>
        </w:rPr>
        <w:t xml:space="preserve"> צריך לבדוק בעומק עד מקום שהשמש דש.</w:t>
      </w:r>
      <w:r>
        <w:rPr>
          <w:rFonts w:hint="cs"/>
          <w:sz w:val="20"/>
          <w:szCs w:val="20"/>
          <w:rtl/>
        </w:rPr>
        <w:br/>
        <w:t xml:space="preserve">ב. </w:t>
      </w:r>
      <w:r w:rsidRPr="00E65A09">
        <w:rPr>
          <w:rFonts w:hint="cs"/>
          <w:b/>
          <w:bCs/>
          <w:sz w:val="20"/>
          <w:szCs w:val="20"/>
          <w:rtl/>
        </w:rPr>
        <w:t>תרומת הדשן</w:t>
      </w:r>
      <w:r>
        <w:rPr>
          <w:rFonts w:hint="cs"/>
          <w:sz w:val="20"/>
          <w:szCs w:val="20"/>
          <w:rtl/>
        </w:rPr>
        <w:t xml:space="preserve"> </w:t>
      </w:r>
      <w:r>
        <w:rPr>
          <w:sz w:val="20"/>
          <w:szCs w:val="20"/>
          <w:rtl/>
        </w:rPr>
        <w:t>–</w:t>
      </w:r>
      <w:r>
        <w:rPr>
          <w:rFonts w:hint="cs"/>
          <w:sz w:val="20"/>
          <w:szCs w:val="20"/>
          <w:rtl/>
        </w:rPr>
        <w:t xml:space="preserve"> יש לבדוק בעומק, אך אין שיעור לעומק זה.</w:t>
      </w:r>
    </w:p>
    <w:p w:rsidR="00620060" w:rsidRDefault="00620060" w:rsidP="00620060">
      <w:pPr>
        <w:rPr>
          <w:sz w:val="20"/>
          <w:szCs w:val="20"/>
          <w:rtl/>
        </w:rPr>
      </w:pPr>
      <w:r w:rsidRPr="00AD3D02">
        <w:rPr>
          <w:rFonts w:hint="cs"/>
          <w:b/>
          <w:bCs/>
          <w:sz w:val="20"/>
          <w:szCs w:val="20"/>
          <w:rtl/>
        </w:rPr>
        <w:t xml:space="preserve">דיון בשיטות הראשונים </w:t>
      </w:r>
      <w:r w:rsidRPr="00AD3D02">
        <w:rPr>
          <w:b/>
          <w:bCs/>
          <w:sz w:val="20"/>
          <w:szCs w:val="20"/>
          <w:rtl/>
        </w:rPr>
        <w:t>–</w:t>
      </w:r>
      <w:r w:rsidRPr="00AD3D02">
        <w:rPr>
          <w:rFonts w:hint="cs"/>
          <w:b/>
          <w:bCs/>
          <w:sz w:val="20"/>
          <w:szCs w:val="20"/>
          <w:rtl/>
        </w:rPr>
        <w:t xml:space="preserve"> בית יוסף</w:t>
      </w:r>
      <w:r>
        <w:rPr>
          <w:rFonts w:hint="cs"/>
          <w:sz w:val="20"/>
          <w:szCs w:val="20"/>
          <w:u w:val="single"/>
          <w:rtl/>
        </w:rPr>
        <w:br/>
        <w:t>פקפוק על שיטת המחמירים</w:t>
      </w:r>
      <w:r>
        <w:rPr>
          <w:sz w:val="20"/>
          <w:szCs w:val="20"/>
          <w:u w:val="single"/>
          <w:rtl/>
        </w:rPr>
        <w:br/>
      </w:r>
      <w:r>
        <w:rPr>
          <w:rFonts w:hint="cs"/>
          <w:sz w:val="20"/>
          <w:szCs w:val="20"/>
          <w:rtl/>
        </w:rPr>
        <w:t xml:space="preserve">זו לשון </w:t>
      </w:r>
      <w:r w:rsidRPr="00AD3D02">
        <w:rPr>
          <w:rFonts w:hint="cs"/>
          <w:b/>
          <w:bCs/>
          <w:sz w:val="20"/>
          <w:szCs w:val="20"/>
          <w:rtl/>
        </w:rPr>
        <w:t>הבית יוסף</w:t>
      </w:r>
      <w:r>
        <w:rPr>
          <w:rFonts w:hint="cs"/>
          <w:sz w:val="20"/>
          <w:szCs w:val="20"/>
          <w:rtl/>
        </w:rPr>
        <w:t xml:space="preserve"> </w:t>
      </w:r>
      <w:r>
        <w:rPr>
          <w:sz w:val="20"/>
          <w:szCs w:val="20"/>
          <w:rtl/>
        </w:rPr>
        <w:t>–</w:t>
      </w:r>
      <w:r>
        <w:rPr>
          <w:rFonts w:hint="cs"/>
          <w:sz w:val="20"/>
          <w:szCs w:val="20"/>
          <w:rtl/>
        </w:rPr>
        <w:t xml:space="preserve"> "</w:t>
      </w:r>
      <w:r w:rsidRPr="00E65A09">
        <w:rPr>
          <w:rFonts w:cs="Arial"/>
          <w:sz w:val="20"/>
          <w:szCs w:val="20"/>
          <w:rtl/>
        </w:rPr>
        <w:t>ודברים אלו קשים בעיני</w:t>
      </w:r>
      <w:r>
        <w:rPr>
          <w:rFonts w:cs="Arial" w:hint="cs"/>
          <w:sz w:val="20"/>
          <w:szCs w:val="20"/>
          <w:rtl/>
        </w:rPr>
        <w:t>,</w:t>
      </w:r>
      <w:r w:rsidRPr="00E65A09">
        <w:rPr>
          <w:rFonts w:cs="Arial"/>
          <w:sz w:val="20"/>
          <w:szCs w:val="20"/>
          <w:rtl/>
        </w:rPr>
        <w:t xml:space="preserve"> שאי אפשר לאשה להכניס העד כל כך בעומק</w:t>
      </w:r>
      <w:r>
        <w:rPr>
          <w:rFonts w:cs="Arial" w:hint="cs"/>
          <w:sz w:val="20"/>
          <w:szCs w:val="20"/>
          <w:rtl/>
        </w:rPr>
        <w:t>.</w:t>
      </w:r>
      <w:r w:rsidRPr="00E65A09">
        <w:rPr>
          <w:rFonts w:cs="Arial"/>
          <w:sz w:val="20"/>
          <w:szCs w:val="20"/>
          <w:rtl/>
        </w:rPr>
        <w:t xml:space="preserve"> ואם תדחוק להכניסו כל כך בעומק ע</w:t>
      </w:r>
      <w:r>
        <w:rPr>
          <w:rFonts w:cs="Arial" w:hint="cs"/>
          <w:sz w:val="20"/>
          <w:szCs w:val="20"/>
          <w:rtl/>
        </w:rPr>
        <w:t>ל ידי</w:t>
      </w:r>
      <w:r w:rsidRPr="00E65A09">
        <w:rPr>
          <w:rFonts w:cs="Arial"/>
          <w:sz w:val="20"/>
          <w:szCs w:val="20"/>
          <w:rtl/>
        </w:rPr>
        <w:t xml:space="preserve"> תחבולות</w:t>
      </w:r>
      <w:r>
        <w:rPr>
          <w:rFonts w:cs="Arial" w:hint="cs"/>
          <w:sz w:val="20"/>
          <w:szCs w:val="20"/>
          <w:rtl/>
        </w:rPr>
        <w:t>,</w:t>
      </w:r>
      <w:r w:rsidRPr="00E65A09">
        <w:rPr>
          <w:rFonts w:cs="Arial"/>
          <w:sz w:val="20"/>
          <w:szCs w:val="20"/>
          <w:rtl/>
        </w:rPr>
        <w:t xml:space="preserve"> תקלקל עצמה שיסרט המקום בפנים ע</w:t>
      </w:r>
      <w:r>
        <w:rPr>
          <w:rFonts w:cs="Arial" w:hint="cs"/>
          <w:sz w:val="20"/>
          <w:szCs w:val="20"/>
          <w:rtl/>
        </w:rPr>
        <w:t xml:space="preserve">ל </w:t>
      </w:r>
      <w:r w:rsidRPr="00E65A09">
        <w:rPr>
          <w:rFonts w:cs="Arial"/>
          <w:sz w:val="20"/>
          <w:szCs w:val="20"/>
          <w:rtl/>
        </w:rPr>
        <w:t>י</w:t>
      </w:r>
      <w:r>
        <w:rPr>
          <w:rFonts w:cs="Arial" w:hint="cs"/>
          <w:sz w:val="20"/>
          <w:szCs w:val="20"/>
          <w:rtl/>
        </w:rPr>
        <w:t>די</w:t>
      </w:r>
      <w:r w:rsidRPr="00E65A09">
        <w:rPr>
          <w:rFonts w:cs="Arial"/>
          <w:sz w:val="20"/>
          <w:szCs w:val="20"/>
          <w:rtl/>
        </w:rPr>
        <w:t xml:space="preserve"> הבדיקה ויצא דם</w:t>
      </w:r>
      <w:r>
        <w:rPr>
          <w:rFonts w:cs="Arial" w:hint="cs"/>
          <w:sz w:val="20"/>
          <w:szCs w:val="20"/>
          <w:rtl/>
        </w:rPr>
        <w:t>,</w:t>
      </w:r>
      <w:r w:rsidRPr="00E65A09">
        <w:rPr>
          <w:rFonts w:cs="Arial"/>
          <w:sz w:val="20"/>
          <w:szCs w:val="20"/>
          <w:rtl/>
        </w:rPr>
        <w:t xml:space="preserve"> ויצא העד אדום ואינו מן המקור אלא מחמת דוחק הבדיקה</w:t>
      </w:r>
      <w:r>
        <w:rPr>
          <w:rFonts w:cs="Arial" w:hint="cs"/>
          <w:sz w:val="20"/>
          <w:szCs w:val="20"/>
          <w:rtl/>
        </w:rPr>
        <w:t>,</w:t>
      </w:r>
      <w:r w:rsidRPr="00E65A09">
        <w:rPr>
          <w:rFonts w:cs="Arial"/>
          <w:sz w:val="20"/>
          <w:szCs w:val="20"/>
          <w:rtl/>
        </w:rPr>
        <w:t xml:space="preserve"> וכך אומרות הפיקחות שבהן. וזכורני כי בנערותי ראיתי זקנים שהיו מגמגמים על בדיקה זו שכתב רבינו</w:t>
      </w:r>
      <w:r>
        <w:rPr>
          <w:rFonts w:cs="Arial" w:hint="cs"/>
          <w:sz w:val="20"/>
          <w:szCs w:val="20"/>
          <w:rtl/>
        </w:rPr>
        <w:t>,</w:t>
      </w:r>
      <w:r w:rsidRPr="00E65A09">
        <w:rPr>
          <w:rFonts w:cs="Arial"/>
          <w:sz w:val="20"/>
          <w:szCs w:val="20"/>
          <w:rtl/>
        </w:rPr>
        <w:t xml:space="preserve"> לומר שהוא דבר שאי אפשר לעשות</w:t>
      </w:r>
      <w:r>
        <w:rPr>
          <w:rFonts w:cs="Arial" w:hint="cs"/>
          <w:sz w:val="20"/>
          <w:szCs w:val="20"/>
          <w:rtl/>
        </w:rPr>
        <w:t>".</w:t>
      </w:r>
      <w:r>
        <w:rPr>
          <w:rFonts w:hint="cs"/>
          <w:sz w:val="20"/>
          <w:szCs w:val="20"/>
          <w:rtl/>
        </w:rPr>
        <w:br/>
        <w:t xml:space="preserve">גם </w:t>
      </w:r>
      <w:r w:rsidRPr="00AD3D02">
        <w:rPr>
          <w:rFonts w:hint="cs"/>
          <w:b/>
          <w:bCs/>
          <w:sz w:val="20"/>
          <w:szCs w:val="20"/>
          <w:rtl/>
        </w:rPr>
        <w:t>תרומת הדשן</w:t>
      </w:r>
      <w:r>
        <w:rPr>
          <w:rFonts w:hint="cs"/>
          <w:sz w:val="20"/>
          <w:szCs w:val="20"/>
          <w:rtl/>
        </w:rPr>
        <w:t xml:space="preserve"> השיג על בדיקה זו </w:t>
      </w:r>
      <w:r>
        <w:rPr>
          <w:sz w:val="20"/>
          <w:szCs w:val="20"/>
          <w:rtl/>
        </w:rPr>
        <w:t>–</w:t>
      </w:r>
      <w:r>
        <w:rPr>
          <w:rFonts w:hint="cs"/>
          <w:sz w:val="20"/>
          <w:szCs w:val="20"/>
          <w:rtl/>
        </w:rPr>
        <w:t xml:space="preserve"> "</w:t>
      </w:r>
      <w:r w:rsidRPr="00AD3D02">
        <w:rPr>
          <w:rFonts w:cs="Arial"/>
          <w:sz w:val="20"/>
          <w:szCs w:val="20"/>
          <w:rtl/>
        </w:rPr>
        <w:t>הא דבדיקת אשה בשבעה נקיים עד מקום שהשמש דש</w:t>
      </w:r>
      <w:r>
        <w:rPr>
          <w:rFonts w:cs="Arial" w:hint="cs"/>
          <w:sz w:val="20"/>
          <w:szCs w:val="20"/>
          <w:rtl/>
        </w:rPr>
        <w:t>,</w:t>
      </w:r>
      <w:r w:rsidRPr="00AD3D02">
        <w:rPr>
          <w:rFonts w:cs="Arial"/>
          <w:sz w:val="20"/>
          <w:szCs w:val="20"/>
          <w:rtl/>
        </w:rPr>
        <w:t xml:space="preserve"> כבר שמעתי מדקדקים בזה</w:t>
      </w:r>
      <w:r>
        <w:rPr>
          <w:rFonts w:cs="Arial" w:hint="cs"/>
          <w:sz w:val="20"/>
          <w:szCs w:val="20"/>
          <w:rtl/>
        </w:rPr>
        <w:t>,</w:t>
      </w:r>
      <w:r w:rsidRPr="00AD3D02">
        <w:rPr>
          <w:rFonts w:cs="Arial"/>
          <w:sz w:val="20"/>
          <w:szCs w:val="20"/>
          <w:rtl/>
        </w:rPr>
        <w:t xml:space="preserve"> אך בשאר חיבורים לא כתבו רק בדיקה יפה לחורין ולסדקין</w:t>
      </w:r>
      <w:r>
        <w:rPr>
          <w:rFonts w:cs="Arial" w:hint="cs"/>
          <w:sz w:val="20"/>
          <w:szCs w:val="20"/>
          <w:rtl/>
        </w:rPr>
        <w:t>.</w:t>
      </w:r>
      <w:r w:rsidRPr="00AD3D02">
        <w:rPr>
          <w:rFonts w:cs="Arial"/>
          <w:sz w:val="20"/>
          <w:szCs w:val="20"/>
          <w:rtl/>
        </w:rPr>
        <w:t xml:space="preserve"> וכיון דאי אפשר לנשים כולי האי</w:t>
      </w:r>
      <w:r>
        <w:rPr>
          <w:rFonts w:cs="Arial" w:hint="cs"/>
          <w:sz w:val="20"/>
          <w:szCs w:val="20"/>
          <w:rtl/>
        </w:rPr>
        <w:t>,</w:t>
      </w:r>
      <w:r w:rsidRPr="00AD3D02">
        <w:rPr>
          <w:rFonts w:cs="Arial"/>
          <w:sz w:val="20"/>
          <w:szCs w:val="20"/>
          <w:rtl/>
        </w:rPr>
        <w:t xml:space="preserve"> אין להחמיר עליהן ביותר והנח להן לישראל</w:t>
      </w:r>
      <w:r>
        <w:rPr>
          <w:rStyle w:val="a5"/>
          <w:rFonts w:cs="Arial"/>
          <w:sz w:val="20"/>
          <w:szCs w:val="20"/>
          <w:rtl/>
        </w:rPr>
        <w:footnoteReference w:id="529"/>
      </w:r>
      <w:r>
        <w:rPr>
          <w:rFonts w:cs="Arial" w:hint="cs"/>
          <w:sz w:val="20"/>
          <w:szCs w:val="20"/>
          <w:rtl/>
        </w:rPr>
        <w:t>".</w:t>
      </w:r>
      <w:r>
        <w:rPr>
          <w:rFonts w:hint="cs"/>
          <w:sz w:val="20"/>
          <w:szCs w:val="20"/>
          <w:rtl/>
        </w:rPr>
        <w:br/>
        <w:t xml:space="preserve">אמנם, </w:t>
      </w:r>
      <w:r w:rsidRPr="00AD3D02">
        <w:rPr>
          <w:rFonts w:hint="cs"/>
          <w:b/>
          <w:bCs/>
          <w:sz w:val="20"/>
          <w:szCs w:val="20"/>
          <w:rtl/>
        </w:rPr>
        <w:t>הבית יוסף</w:t>
      </w:r>
      <w:r>
        <w:rPr>
          <w:rFonts w:hint="cs"/>
          <w:sz w:val="20"/>
          <w:szCs w:val="20"/>
          <w:rtl/>
        </w:rPr>
        <w:t xml:space="preserve"> מעיר על תרומת הדשן שלא היה לו לכתוב שבשאר חיבורים לא כתוב זאת, שהרי </w:t>
      </w:r>
      <w:r w:rsidRPr="00AD3D02">
        <w:rPr>
          <w:rFonts w:hint="cs"/>
          <w:b/>
          <w:bCs/>
          <w:sz w:val="20"/>
          <w:szCs w:val="20"/>
          <w:rtl/>
        </w:rPr>
        <w:t>הגה"מ</w:t>
      </w:r>
      <w:r>
        <w:rPr>
          <w:rFonts w:hint="cs"/>
          <w:sz w:val="20"/>
          <w:szCs w:val="20"/>
          <w:rtl/>
        </w:rPr>
        <w:t xml:space="preserve"> כתב כך, וכן </w:t>
      </w:r>
      <w:r w:rsidRPr="00AD3D02">
        <w:rPr>
          <w:rFonts w:hint="cs"/>
          <w:b/>
          <w:bCs/>
          <w:sz w:val="20"/>
          <w:szCs w:val="20"/>
          <w:rtl/>
        </w:rPr>
        <w:t>הרא"ש</w:t>
      </w:r>
      <w:r>
        <w:rPr>
          <w:rFonts w:hint="cs"/>
          <w:sz w:val="20"/>
          <w:szCs w:val="20"/>
          <w:rtl/>
        </w:rPr>
        <w:t xml:space="preserve"> בפירושו לפרק תינוקת כתב זאת. ומכל מקום, יש ממש בטענתו שבשאר חיבורים לא נזכר דין זה, שהרי כל שאר הראשונים שהתייחסו לבדיקות אלו, כתבו באופן סתמי שיש לבדוק לעומק אך לא נתנו לכך שיעור מדויק.</w:t>
      </w:r>
    </w:p>
    <w:p w:rsidR="00620060" w:rsidRDefault="00620060" w:rsidP="00620060">
      <w:pPr>
        <w:rPr>
          <w:sz w:val="20"/>
          <w:szCs w:val="20"/>
          <w:rtl/>
        </w:rPr>
      </w:pPr>
      <w:r>
        <w:rPr>
          <w:rFonts w:hint="cs"/>
          <w:sz w:val="20"/>
          <w:szCs w:val="20"/>
          <w:u w:val="single"/>
          <w:rtl/>
        </w:rPr>
        <w:t>מקור שיטת המחמירים</w:t>
      </w:r>
      <w:r>
        <w:rPr>
          <w:sz w:val="20"/>
          <w:szCs w:val="20"/>
          <w:u w:val="single"/>
          <w:rtl/>
        </w:rPr>
        <w:br/>
      </w:r>
      <w:r>
        <w:rPr>
          <w:rFonts w:hint="cs"/>
          <w:sz w:val="20"/>
          <w:szCs w:val="20"/>
          <w:rtl/>
        </w:rPr>
        <w:t xml:space="preserve">א. זו לשון </w:t>
      </w:r>
      <w:r w:rsidRPr="00CC1A53">
        <w:rPr>
          <w:rFonts w:hint="cs"/>
          <w:b/>
          <w:bCs/>
          <w:sz w:val="20"/>
          <w:szCs w:val="20"/>
          <w:rtl/>
        </w:rPr>
        <w:t>הרמב"ם</w:t>
      </w:r>
      <w:r>
        <w:rPr>
          <w:rFonts w:hint="cs"/>
          <w:sz w:val="20"/>
          <w:szCs w:val="20"/>
          <w:rtl/>
        </w:rPr>
        <w:t xml:space="preserve"> בדין בדיקה לאשה הרואה מחמת תשמיש </w:t>
      </w:r>
      <w:r>
        <w:rPr>
          <w:sz w:val="20"/>
          <w:szCs w:val="20"/>
          <w:rtl/>
        </w:rPr>
        <w:t>–</w:t>
      </w:r>
      <w:r>
        <w:rPr>
          <w:rFonts w:hint="cs"/>
          <w:sz w:val="20"/>
          <w:szCs w:val="20"/>
          <w:rtl/>
        </w:rPr>
        <w:t xml:space="preserve"> "</w:t>
      </w:r>
      <w:r w:rsidRPr="00CC1A53">
        <w:rPr>
          <w:rFonts w:cs="Arial"/>
          <w:sz w:val="20"/>
          <w:szCs w:val="20"/>
          <w:rtl/>
        </w:rPr>
        <w:t>כיצד בודקת עצמה לידע אם נרפאת או לא נרפאת</w:t>
      </w:r>
      <w:r>
        <w:rPr>
          <w:rFonts w:cs="Arial" w:hint="cs"/>
          <w:sz w:val="20"/>
          <w:szCs w:val="20"/>
          <w:rtl/>
        </w:rPr>
        <w:t>?</w:t>
      </w:r>
      <w:r w:rsidRPr="00CC1A53">
        <w:rPr>
          <w:rFonts w:cs="Arial"/>
          <w:sz w:val="20"/>
          <w:szCs w:val="20"/>
          <w:rtl/>
        </w:rPr>
        <w:t xml:space="preserve"> מביאה שפופרת של אבר ופיה רצוף לתוכה</w:t>
      </w:r>
      <w:r>
        <w:rPr>
          <w:rFonts w:cs="Arial" w:hint="cs"/>
          <w:sz w:val="20"/>
          <w:szCs w:val="20"/>
          <w:rtl/>
        </w:rPr>
        <w:t>,</w:t>
      </w:r>
      <w:r w:rsidRPr="00CC1A53">
        <w:rPr>
          <w:rFonts w:cs="Arial"/>
          <w:sz w:val="20"/>
          <w:szCs w:val="20"/>
          <w:rtl/>
        </w:rPr>
        <w:t xml:space="preserve"> ומכנסת השפופרת עד מקום שהיא יכולה</w:t>
      </w:r>
      <w:r>
        <w:rPr>
          <w:rFonts w:cs="Arial" w:hint="cs"/>
          <w:sz w:val="20"/>
          <w:szCs w:val="20"/>
          <w:rtl/>
        </w:rPr>
        <w:t>.</w:t>
      </w:r>
      <w:r w:rsidRPr="00CC1A53">
        <w:rPr>
          <w:rFonts w:cs="Arial"/>
          <w:sz w:val="20"/>
          <w:szCs w:val="20"/>
          <w:rtl/>
        </w:rPr>
        <w:t xml:space="preserve"> ומכנסת בתוך השפופרת מכחול ומוך מונח על ראשו</w:t>
      </w:r>
      <w:r>
        <w:rPr>
          <w:rFonts w:cs="Arial" w:hint="cs"/>
          <w:sz w:val="20"/>
          <w:szCs w:val="20"/>
          <w:rtl/>
        </w:rPr>
        <w:t>,</w:t>
      </w:r>
      <w:r w:rsidRPr="00CC1A53">
        <w:rPr>
          <w:rFonts w:cs="Arial"/>
          <w:sz w:val="20"/>
          <w:szCs w:val="20"/>
          <w:rtl/>
        </w:rPr>
        <w:t xml:space="preserve"> ודופקת אותו </w:t>
      </w:r>
      <w:r w:rsidRPr="002C276D">
        <w:rPr>
          <w:rFonts w:cs="Arial"/>
          <w:sz w:val="20"/>
          <w:szCs w:val="20"/>
          <w:u w:val="single"/>
          <w:rtl/>
        </w:rPr>
        <w:t>עד שיגיע המוך לצו</w:t>
      </w:r>
      <w:r w:rsidRPr="002C276D">
        <w:rPr>
          <w:rFonts w:cs="Arial" w:hint="cs"/>
          <w:sz w:val="20"/>
          <w:szCs w:val="20"/>
          <w:u w:val="single"/>
          <w:rtl/>
        </w:rPr>
        <w:t>ו</w:t>
      </w:r>
      <w:r w:rsidRPr="002C276D">
        <w:rPr>
          <w:rFonts w:cs="Arial"/>
          <w:sz w:val="20"/>
          <w:szCs w:val="20"/>
          <w:u w:val="single"/>
          <w:rtl/>
        </w:rPr>
        <w:t>אר הרחם</w:t>
      </w:r>
      <w:r w:rsidRPr="00CC1A53">
        <w:rPr>
          <w:rFonts w:cs="Arial"/>
          <w:sz w:val="20"/>
          <w:szCs w:val="20"/>
          <w:rtl/>
        </w:rPr>
        <w:t xml:space="preserve"> ומוציאה המוך</w:t>
      </w:r>
      <w:r>
        <w:rPr>
          <w:rFonts w:cs="Arial" w:hint="cs"/>
          <w:sz w:val="20"/>
          <w:szCs w:val="20"/>
          <w:rtl/>
        </w:rPr>
        <w:t>".</w:t>
      </w:r>
      <w:r>
        <w:rPr>
          <w:rFonts w:hint="cs"/>
          <w:sz w:val="20"/>
          <w:szCs w:val="20"/>
          <w:rtl/>
        </w:rPr>
        <w:br/>
      </w:r>
      <w:r w:rsidRPr="002C276D">
        <w:rPr>
          <w:rFonts w:hint="cs"/>
          <w:b/>
          <w:bCs/>
          <w:sz w:val="20"/>
          <w:szCs w:val="20"/>
          <w:rtl/>
        </w:rPr>
        <w:t>הבית יוסף</w:t>
      </w:r>
      <w:r>
        <w:rPr>
          <w:rFonts w:hint="cs"/>
          <w:sz w:val="20"/>
          <w:szCs w:val="20"/>
          <w:rtl/>
        </w:rPr>
        <w:t xml:space="preserve"> שולל אפשרות זו </w:t>
      </w:r>
      <w:r>
        <w:rPr>
          <w:sz w:val="20"/>
          <w:szCs w:val="20"/>
          <w:rtl/>
        </w:rPr>
        <w:t>–</w:t>
      </w:r>
      <w:r>
        <w:rPr>
          <w:rFonts w:hint="cs"/>
          <w:sz w:val="20"/>
          <w:szCs w:val="20"/>
          <w:rtl/>
        </w:rPr>
        <w:t xml:space="preserve"> רק בדיקה זו נעשית עד מקום שהשמש דש, משום שהחשש הוא שמא אבר התשמיש גורם להוצאת הדם, אך אין להסיק מאומה לעניינינו.</w:t>
      </w:r>
      <w:r>
        <w:rPr>
          <w:sz w:val="20"/>
          <w:szCs w:val="20"/>
          <w:rtl/>
        </w:rPr>
        <w:br/>
      </w:r>
      <w:r>
        <w:rPr>
          <w:rFonts w:hint="cs"/>
          <w:sz w:val="20"/>
          <w:szCs w:val="20"/>
          <w:rtl/>
        </w:rPr>
        <w:t xml:space="preserve">ב. </w:t>
      </w:r>
      <w:r w:rsidRPr="002C276D">
        <w:rPr>
          <w:rFonts w:hint="cs"/>
          <w:b/>
          <w:bCs/>
          <w:sz w:val="20"/>
          <w:szCs w:val="20"/>
          <w:rtl/>
        </w:rPr>
        <w:t>משנה</w:t>
      </w:r>
      <w:r>
        <w:rPr>
          <w:rFonts w:hint="cs"/>
          <w:sz w:val="20"/>
          <w:szCs w:val="20"/>
          <w:rtl/>
        </w:rPr>
        <w:t xml:space="preserve"> נידה (מ.) "</w:t>
      </w:r>
      <w:r w:rsidRPr="002C276D">
        <w:rPr>
          <w:rFonts w:cs="Arial"/>
          <w:sz w:val="20"/>
          <w:szCs w:val="20"/>
          <w:rtl/>
        </w:rPr>
        <w:t>כל הנשים מטמאות בבית ה</w:t>
      </w:r>
      <w:r>
        <w:rPr>
          <w:rFonts w:cs="Arial"/>
          <w:sz w:val="20"/>
          <w:szCs w:val="20"/>
          <w:rtl/>
        </w:rPr>
        <w:t>חיצון, שנאמר דם יהיה זובה בבשרה</w:t>
      </w:r>
      <w:r>
        <w:rPr>
          <w:rFonts w:cs="Arial" w:hint="cs"/>
          <w:sz w:val="20"/>
          <w:szCs w:val="20"/>
          <w:rtl/>
        </w:rPr>
        <w:t>".</w:t>
      </w:r>
      <w:r>
        <w:rPr>
          <w:rFonts w:cs="Arial"/>
          <w:sz w:val="20"/>
          <w:szCs w:val="20"/>
          <w:rtl/>
        </w:rPr>
        <w:br/>
      </w:r>
      <w:r w:rsidRPr="002C276D">
        <w:rPr>
          <w:rFonts w:cs="Arial" w:hint="cs"/>
          <w:b/>
          <w:bCs/>
          <w:sz w:val="20"/>
          <w:szCs w:val="20"/>
          <w:rtl/>
        </w:rPr>
        <w:t xml:space="preserve">גמרא </w:t>
      </w:r>
      <w:r>
        <w:rPr>
          <w:rFonts w:cs="Arial" w:hint="cs"/>
          <w:sz w:val="20"/>
          <w:szCs w:val="20"/>
          <w:rtl/>
        </w:rPr>
        <w:t>(שם, מא:) "</w:t>
      </w:r>
      <w:r w:rsidRPr="002C276D">
        <w:rPr>
          <w:rFonts w:cs="Arial"/>
          <w:sz w:val="20"/>
          <w:szCs w:val="20"/>
          <w:rtl/>
        </w:rPr>
        <w:t>הי ניהו בית החיצון? אמר רבי יוחנן: עד בין השיני</w:t>
      </w:r>
      <w:r>
        <w:rPr>
          <w:rFonts w:cs="Arial" w:hint="cs"/>
          <w:sz w:val="20"/>
          <w:szCs w:val="20"/>
          <w:rtl/>
        </w:rPr>
        <w:t>י</w:t>
      </w:r>
      <w:r w:rsidRPr="002C276D">
        <w:rPr>
          <w:rFonts w:cs="Arial"/>
          <w:sz w:val="20"/>
          <w:szCs w:val="20"/>
          <w:rtl/>
        </w:rPr>
        <w:t>ם. במתניתא תנא: מקום דישה. מאי מקום דישה? אמר רב יהודה: מקום שהשמש דש</w:t>
      </w:r>
      <w:r>
        <w:rPr>
          <w:rFonts w:cs="Arial" w:hint="cs"/>
          <w:sz w:val="20"/>
          <w:szCs w:val="20"/>
          <w:rtl/>
        </w:rPr>
        <w:t>"</w:t>
      </w:r>
      <w:r w:rsidRPr="002C276D">
        <w:rPr>
          <w:rFonts w:cs="Arial"/>
          <w:sz w:val="20"/>
          <w:szCs w:val="20"/>
          <w:rtl/>
        </w:rPr>
        <w:t>.</w:t>
      </w:r>
      <w:r>
        <w:rPr>
          <w:rFonts w:hint="cs"/>
          <w:sz w:val="20"/>
          <w:szCs w:val="20"/>
          <w:rtl/>
        </w:rPr>
        <w:br/>
        <w:t>ועל פי זה נהגו להצריך בדיקה עד מקום שהשמש דש, משום שכל אותו מקום קרוי בית החיצון ודם מטמא בו</w:t>
      </w:r>
      <w:r>
        <w:rPr>
          <w:rStyle w:val="a5"/>
          <w:sz w:val="20"/>
          <w:szCs w:val="20"/>
          <w:rtl/>
        </w:rPr>
        <w:footnoteReference w:id="530"/>
      </w:r>
      <w:r>
        <w:rPr>
          <w:rFonts w:hint="cs"/>
          <w:sz w:val="20"/>
          <w:szCs w:val="20"/>
          <w:rtl/>
        </w:rPr>
        <w:t>.</w:t>
      </w:r>
    </w:p>
    <w:p w:rsidR="00620060" w:rsidRDefault="00620060" w:rsidP="00620060">
      <w:pPr>
        <w:rPr>
          <w:sz w:val="20"/>
          <w:szCs w:val="20"/>
          <w:rtl/>
        </w:rPr>
      </w:pPr>
      <w:r>
        <w:rPr>
          <w:rFonts w:hint="cs"/>
          <w:b/>
          <w:bCs/>
          <w:sz w:val="20"/>
          <w:szCs w:val="20"/>
          <w:rtl/>
        </w:rPr>
        <w:t>הכרעת הבית יוסף</w:t>
      </w:r>
      <w:r>
        <w:rPr>
          <w:b/>
          <w:bCs/>
          <w:sz w:val="20"/>
          <w:szCs w:val="20"/>
          <w:rtl/>
        </w:rPr>
        <w:br/>
      </w:r>
      <w:r>
        <w:rPr>
          <w:rFonts w:hint="cs"/>
          <w:sz w:val="20"/>
          <w:szCs w:val="20"/>
          <w:rtl/>
        </w:rPr>
        <w:t xml:space="preserve">בעל נפש יחוש ויחמיר כדלהלן - </w:t>
      </w:r>
      <w:r>
        <w:rPr>
          <w:sz w:val="20"/>
          <w:szCs w:val="20"/>
          <w:rtl/>
        </w:rPr>
        <w:br/>
      </w:r>
      <w:r>
        <w:rPr>
          <w:rFonts w:hint="cs"/>
          <w:sz w:val="20"/>
          <w:szCs w:val="20"/>
          <w:rtl/>
        </w:rPr>
        <w:t>בבדיקת הפס"ט, וכן באחת מבדיקות הז' נקיים, יורה לאשתו לבדוק עד מקום שהשמש דש.</w:t>
      </w:r>
      <w:r>
        <w:rPr>
          <w:sz w:val="20"/>
          <w:szCs w:val="20"/>
          <w:rtl/>
        </w:rPr>
        <w:br/>
      </w:r>
      <w:r w:rsidRPr="00DC06AC">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בבדיקות ההכרחיות שבהן לא מצאנו פוסקים שהקלו, יש להחמיר.</w:t>
      </w:r>
      <w:r>
        <w:rPr>
          <w:sz w:val="20"/>
          <w:szCs w:val="20"/>
          <w:rtl/>
        </w:rPr>
        <w:br/>
      </w:r>
      <w:r>
        <w:rPr>
          <w:rFonts w:hint="cs"/>
          <w:sz w:val="20"/>
          <w:szCs w:val="20"/>
          <w:rtl/>
        </w:rPr>
        <w:t>ואמנם, מכיוון שמעיקר הדין הלכה כרב שבדיקה ביום אחד בז' נקיים מועילה, אין להחמיר שכל הבדיקות ייעשו באופן זה. וכן מעיקר הדין, הלכה כרוב הראשונים הסוברים שבדיקה אחת ביום מועילה ואין צריך לבדוק פעמיים ביום.</w:t>
      </w:r>
      <w:r>
        <w:rPr>
          <w:sz w:val="20"/>
          <w:szCs w:val="20"/>
          <w:rtl/>
        </w:rPr>
        <w:br/>
      </w:r>
      <w:r>
        <w:rPr>
          <w:rFonts w:hint="cs"/>
          <w:sz w:val="20"/>
          <w:szCs w:val="20"/>
          <w:rtl/>
        </w:rPr>
        <w:t>ואמנם, נראה שיש לייחד יום קבוע לבדיקה העמוקה יותר, ונראה שיש לייחד את היום הראשון, כדי שאם תשכח באותו יום לבדוק באופן זה תוכל להשלים זאת בשאר הימים.</w:t>
      </w:r>
    </w:p>
    <w:p w:rsidR="00620060" w:rsidRPr="00AB5239" w:rsidRDefault="00620060" w:rsidP="00620060">
      <w:pPr>
        <w:rPr>
          <w:sz w:val="18"/>
          <w:szCs w:val="18"/>
          <w:rtl/>
        </w:rPr>
      </w:pPr>
      <w:r>
        <w:rPr>
          <w:rFonts w:hint="cs"/>
          <w:b/>
          <w:bCs/>
          <w:sz w:val="20"/>
          <w:szCs w:val="20"/>
          <w:rtl/>
        </w:rPr>
        <w:lastRenderedPageBreak/>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AB5239">
        <w:rPr>
          <w:rFonts w:cs="Arial"/>
          <w:sz w:val="20"/>
          <w:szCs w:val="20"/>
          <w:rtl/>
        </w:rPr>
        <w:t>ותכניסנו באותו מקום בעומק לחורים ולסדקים עד מקום שהשמש דש ותראה אם יש בו שום מראה אדמומית, ולא שתכניסהו מעט לקנח עצמה. ואם יקשה בעיניה מאוד להכניסו כל כך בעומק, לפחות בדיקה של יום הפסק טהרה ובדיקה של יום ראשון מהשבעה תהיינה עד מקום שהשמש דש</w:t>
      </w:r>
      <w:r>
        <w:rPr>
          <w:rStyle w:val="a5"/>
          <w:rFonts w:cs="Arial"/>
          <w:sz w:val="20"/>
          <w:szCs w:val="20"/>
          <w:rtl/>
        </w:rPr>
        <w:footnoteReference w:id="531"/>
      </w:r>
      <w:r w:rsidRPr="00AB5239">
        <w:rPr>
          <w:rFonts w:cs="Arial"/>
          <w:sz w:val="20"/>
          <w:szCs w:val="20"/>
          <w:rtl/>
        </w:rPr>
        <w:t xml:space="preserve">. </w:t>
      </w:r>
      <w:r>
        <w:rPr>
          <w:rFonts w:cs="Arial" w:hint="cs"/>
          <w:sz w:val="18"/>
          <w:szCs w:val="18"/>
          <w:rtl/>
        </w:rPr>
        <w:br/>
      </w:r>
      <w:r w:rsidRPr="00AB5239">
        <w:rPr>
          <w:rFonts w:cs="Arial"/>
          <w:sz w:val="18"/>
          <w:szCs w:val="18"/>
          <w:rtl/>
        </w:rPr>
        <w:t>הגה: ואם לא עשתה כן בבדיקת יום ראשון, תעשה פעם אחת כן מבדיקות שאר הימים; מיהו בדיעבד אם לא עשתה כן כלל רק שבדקה עצמה יפה בחורין ובסדקין בעומק היטב כפי כ</w:t>
      </w:r>
      <w:r>
        <w:rPr>
          <w:rFonts w:cs="Arial" w:hint="cs"/>
          <w:sz w:val="18"/>
          <w:szCs w:val="18"/>
          <w:rtl/>
        </w:rPr>
        <w:t>ו</w:t>
      </w:r>
      <w:r w:rsidRPr="00AB5239">
        <w:rPr>
          <w:rFonts w:cs="Arial"/>
          <w:sz w:val="18"/>
          <w:szCs w:val="18"/>
          <w:rtl/>
        </w:rPr>
        <w:t>חה, אף על פי שלא הגיע למקום שהשמש דש, סגי לה</w:t>
      </w:r>
      <w:r>
        <w:rPr>
          <w:rFonts w:cs="Arial" w:hint="cs"/>
          <w:sz w:val="18"/>
          <w:szCs w:val="18"/>
          <w:rtl/>
        </w:rPr>
        <w:t>".</w:t>
      </w:r>
    </w:p>
    <w:p w:rsidR="00620060" w:rsidRDefault="00620060" w:rsidP="00620060">
      <w:pPr>
        <w:rPr>
          <w:sz w:val="20"/>
          <w:szCs w:val="20"/>
          <w:rtl/>
        </w:rPr>
      </w:pPr>
      <w:r>
        <w:rPr>
          <w:rFonts w:hint="cs"/>
          <w:sz w:val="20"/>
          <w:szCs w:val="20"/>
          <w:u w:val="single"/>
          <w:rtl/>
        </w:rPr>
        <w:t>דין אשה שהבדיקה מכאיבה לה (פת"ש)</w:t>
      </w:r>
      <w:r>
        <w:rPr>
          <w:rFonts w:hint="cs"/>
          <w:sz w:val="20"/>
          <w:szCs w:val="20"/>
          <w:u w:val="single"/>
          <w:rtl/>
        </w:rPr>
        <w:br/>
      </w:r>
      <w:r w:rsidRPr="002072EC">
        <w:rPr>
          <w:rFonts w:hint="cs"/>
          <w:b/>
          <w:bCs/>
          <w:sz w:val="20"/>
          <w:szCs w:val="20"/>
          <w:rtl/>
        </w:rPr>
        <w:t>נודע ביהודה</w:t>
      </w:r>
      <w:r>
        <w:rPr>
          <w:rFonts w:hint="cs"/>
          <w:sz w:val="20"/>
          <w:szCs w:val="20"/>
          <w:rtl/>
        </w:rPr>
        <w:t xml:space="preserve"> </w:t>
      </w:r>
      <w:r>
        <w:rPr>
          <w:sz w:val="20"/>
          <w:szCs w:val="20"/>
          <w:rtl/>
        </w:rPr>
        <w:t>–</w:t>
      </w:r>
      <w:r>
        <w:rPr>
          <w:rFonts w:hint="cs"/>
          <w:sz w:val="20"/>
          <w:szCs w:val="20"/>
          <w:rtl/>
        </w:rPr>
        <w:t xml:space="preserve"> אשה שיש לה מכה שאינה מוציאה דם באותו מקום, ומחמתה כואב לה בשעת הבדיקה, יש להקל שתבדוק רק ביום הראשון והשביעי ואינה צריכה לבדוק בכל יום.</w:t>
      </w:r>
      <w:r>
        <w:rPr>
          <w:sz w:val="20"/>
          <w:szCs w:val="20"/>
          <w:rtl/>
        </w:rPr>
        <w:br/>
      </w:r>
      <w:r w:rsidRPr="002072EC">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בדיקה בכל יום היא חומרה בלבד, ובמקום צער לא גזרו. </w:t>
      </w:r>
      <w:r>
        <w:rPr>
          <w:sz w:val="20"/>
          <w:szCs w:val="20"/>
          <w:rtl/>
        </w:rPr>
        <w:br/>
      </w:r>
      <w:r>
        <w:rPr>
          <w:rFonts w:hint="cs"/>
          <w:sz w:val="20"/>
          <w:szCs w:val="20"/>
          <w:rtl/>
        </w:rPr>
        <w:t>ועוד, שמא מחמת הבדיקות תפצע את עצמה באופן שייצא דם, ואז יהיה צורך להקל קולה גדולה יותר לתלות את הדם במכה.</w:t>
      </w:r>
    </w:p>
    <w:p w:rsidR="00620060" w:rsidRDefault="00620060" w:rsidP="00620060">
      <w:pPr>
        <w:rPr>
          <w:sz w:val="20"/>
          <w:szCs w:val="20"/>
          <w:rtl/>
        </w:rPr>
      </w:pPr>
      <w:r>
        <w:rPr>
          <w:rFonts w:hint="cs"/>
          <w:sz w:val="20"/>
          <w:szCs w:val="20"/>
          <w:u w:val="single"/>
          <w:rtl/>
        </w:rPr>
        <w:t>בדיקה בחורים ובסדקים (פת"ש)</w:t>
      </w:r>
      <w:r>
        <w:rPr>
          <w:rFonts w:hint="cs"/>
          <w:sz w:val="20"/>
          <w:szCs w:val="20"/>
          <w:u w:val="single"/>
          <w:rtl/>
        </w:rPr>
        <w:br/>
      </w:r>
      <w:r>
        <w:rPr>
          <w:rFonts w:hint="cs"/>
          <w:sz w:val="20"/>
          <w:szCs w:val="20"/>
          <w:rtl/>
        </w:rPr>
        <w:t xml:space="preserve">א. </w:t>
      </w:r>
      <w:r w:rsidRPr="002072EC">
        <w:rPr>
          <w:rFonts w:hint="cs"/>
          <w:b/>
          <w:bCs/>
          <w:sz w:val="20"/>
          <w:szCs w:val="20"/>
          <w:rtl/>
        </w:rPr>
        <w:t>נודע ביהודה</w:t>
      </w:r>
      <w:r>
        <w:rPr>
          <w:rFonts w:hint="cs"/>
          <w:sz w:val="20"/>
          <w:szCs w:val="20"/>
          <w:rtl/>
        </w:rPr>
        <w:t xml:space="preserve"> </w:t>
      </w:r>
      <w:r>
        <w:rPr>
          <w:sz w:val="20"/>
          <w:szCs w:val="20"/>
          <w:rtl/>
        </w:rPr>
        <w:t>–</w:t>
      </w:r>
      <w:r>
        <w:rPr>
          <w:rFonts w:hint="cs"/>
          <w:sz w:val="20"/>
          <w:szCs w:val="20"/>
          <w:rtl/>
        </w:rPr>
        <w:t xml:space="preserve"> יש להקל בבדיקת חורים וסדקים, ורק בבדיקת הפס"ט תבדוק באופן זה.</w:t>
      </w:r>
      <w:r>
        <w:rPr>
          <w:sz w:val="20"/>
          <w:szCs w:val="20"/>
          <w:rtl/>
        </w:rPr>
        <w:br/>
      </w:r>
      <w:r w:rsidRPr="00F04910">
        <w:rPr>
          <w:rFonts w:hint="cs"/>
          <w:b/>
          <w:bCs/>
          <w:sz w:val="20"/>
          <w:szCs w:val="20"/>
          <w:rtl/>
        </w:rPr>
        <w:t>טעם</w:t>
      </w:r>
      <w:r w:rsidRPr="00287169">
        <w:rPr>
          <w:rStyle w:val="a5"/>
          <w:sz w:val="20"/>
          <w:szCs w:val="20"/>
          <w:rtl/>
        </w:rPr>
        <w:footnoteReference w:id="532"/>
      </w:r>
      <w:r>
        <w:rPr>
          <w:rFonts w:hint="cs"/>
          <w:sz w:val="20"/>
          <w:szCs w:val="20"/>
          <w:rtl/>
        </w:rPr>
        <w:t xml:space="preserve"> </w:t>
      </w:r>
      <w:r>
        <w:rPr>
          <w:sz w:val="20"/>
          <w:szCs w:val="20"/>
          <w:rtl/>
        </w:rPr>
        <w:t>–</w:t>
      </w:r>
      <w:r>
        <w:rPr>
          <w:rFonts w:hint="cs"/>
          <w:sz w:val="20"/>
          <w:szCs w:val="20"/>
          <w:rtl/>
        </w:rPr>
        <w:t xml:space="preserve"> המחבר כתב בסעיף א' שיש לתת את המוך דחוק כל ביה"ש. אם כן, יש להקל שהמוך נחשב לה כבדיקת היום הראשון. ואע"פ </w:t>
      </w:r>
      <w:r w:rsidRPr="00F04910">
        <w:rPr>
          <w:rFonts w:hint="cs"/>
          <w:b/>
          <w:bCs/>
          <w:sz w:val="20"/>
          <w:szCs w:val="20"/>
          <w:rtl/>
        </w:rPr>
        <w:t>שהבית יוסף</w:t>
      </w:r>
      <w:r>
        <w:rPr>
          <w:rFonts w:hint="cs"/>
          <w:sz w:val="20"/>
          <w:szCs w:val="20"/>
          <w:rtl/>
        </w:rPr>
        <w:t xml:space="preserve"> לא הקל בכך, זה משום שס"ל שספירת לילה אינה ספירה, אך יש לסמוך להקל כרש"י שספירת לילה היא ספירה</w:t>
      </w:r>
      <w:r>
        <w:rPr>
          <w:rStyle w:val="a5"/>
          <w:sz w:val="20"/>
          <w:szCs w:val="20"/>
          <w:rtl/>
        </w:rPr>
        <w:footnoteReference w:id="533"/>
      </w:r>
      <w:r>
        <w:rPr>
          <w:rFonts w:hint="cs"/>
          <w:sz w:val="20"/>
          <w:szCs w:val="20"/>
          <w:rtl/>
        </w:rPr>
        <w:t>.</w:t>
      </w:r>
      <w:r>
        <w:rPr>
          <w:rFonts w:hint="cs"/>
          <w:sz w:val="20"/>
          <w:szCs w:val="20"/>
          <w:rtl/>
        </w:rPr>
        <w:br/>
        <w:t xml:space="preserve">ב. </w:t>
      </w:r>
      <w:r w:rsidRPr="00B42BC6">
        <w:rPr>
          <w:rFonts w:hint="cs"/>
          <w:b/>
          <w:bCs/>
          <w:sz w:val="20"/>
          <w:szCs w:val="20"/>
          <w:rtl/>
        </w:rPr>
        <w:t>טהרת הבית</w:t>
      </w:r>
      <w:r>
        <w:rPr>
          <w:rFonts w:hint="cs"/>
          <w:sz w:val="20"/>
          <w:szCs w:val="20"/>
          <w:rtl/>
        </w:rPr>
        <w:t xml:space="preserve"> </w:t>
      </w:r>
      <w:r w:rsidRPr="004C691D">
        <w:rPr>
          <w:rFonts w:hint="cs"/>
          <w:sz w:val="18"/>
          <w:szCs w:val="18"/>
          <w:rtl/>
        </w:rPr>
        <w:t xml:space="preserve">(עמ' שסו) </w:t>
      </w:r>
      <w:r>
        <w:rPr>
          <w:sz w:val="20"/>
          <w:szCs w:val="20"/>
          <w:rtl/>
        </w:rPr>
        <w:t>–</w:t>
      </w:r>
      <w:r>
        <w:rPr>
          <w:rFonts w:hint="cs"/>
          <w:sz w:val="20"/>
          <w:szCs w:val="20"/>
          <w:rtl/>
        </w:rPr>
        <w:t xml:space="preserve"> במקום שאי אפשר לה לבדוק עצמה כלל בחו"ס, כלומר כאשר בדיקה זו גורמת לה לראיית דם, יש לסמוך על הראב"ד להקל ולהסתפק בבדיקה קלה בבית החיצון.</w:t>
      </w:r>
      <w:r>
        <w:rPr>
          <w:sz w:val="20"/>
          <w:szCs w:val="20"/>
          <w:rtl/>
        </w:rPr>
        <w:br/>
      </w:r>
      <w:r w:rsidRPr="004C691D">
        <w:rPr>
          <w:rFonts w:hint="cs"/>
          <w:b/>
          <w:bCs/>
          <w:sz w:val="20"/>
          <w:szCs w:val="20"/>
          <w:rtl/>
        </w:rPr>
        <w:t>טעם</w:t>
      </w:r>
      <w:r>
        <w:rPr>
          <w:rFonts w:hint="cs"/>
          <w:sz w:val="20"/>
          <w:szCs w:val="20"/>
          <w:rtl/>
        </w:rPr>
        <w:t xml:space="preserve"> - </w:t>
      </w:r>
      <w:r w:rsidRPr="004C691D">
        <w:rPr>
          <w:rFonts w:hint="cs"/>
          <w:sz w:val="20"/>
          <w:szCs w:val="20"/>
          <w:rtl/>
        </w:rPr>
        <w:t xml:space="preserve">על עיקר הדין של בדיקת חו"ס, כתב </w:t>
      </w:r>
      <w:r w:rsidRPr="00B42BC6">
        <w:rPr>
          <w:rFonts w:hint="cs"/>
          <w:b/>
          <w:bCs/>
          <w:sz w:val="20"/>
          <w:szCs w:val="20"/>
          <w:rtl/>
        </w:rPr>
        <w:t>הסדרי טהרה</w:t>
      </w:r>
      <w:r w:rsidRPr="004C691D">
        <w:rPr>
          <w:rFonts w:hint="cs"/>
          <w:sz w:val="20"/>
          <w:szCs w:val="20"/>
          <w:rtl/>
        </w:rPr>
        <w:t xml:space="preserve"> שזו חומרה מדרבנן, אך מדאורייתא סגי בקינוח. ולפי"ז ניחא מה שבתולה סופרת ז</w:t>
      </w:r>
      <w:r>
        <w:rPr>
          <w:rFonts w:hint="cs"/>
          <w:sz w:val="20"/>
          <w:szCs w:val="20"/>
          <w:rtl/>
        </w:rPr>
        <w:t>' נקיים</w:t>
      </w:r>
      <w:r w:rsidRPr="004C691D">
        <w:rPr>
          <w:rFonts w:hint="cs"/>
          <w:sz w:val="20"/>
          <w:szCs w:val="20"/>
          <w:rtl/>
        </w:rPr>
        <w:t xml:space="preserve"> אע"פ שפתחה נעול ואינה יכולה לבדוק בחו"ס </w:t>
      </w:r>
      <w:r w:rsidRPr="004C691D">
        <w:rPr>
          <w:rFonts w:hint="cs"/>
          <w:sz w:val="18"/>
          <w:szCs w:val="18"/>
          <w:rtl/>
        </w:rPr>
        <w:t>(וכל שכן שאינה יכולה להגיע עד מקום שהשמש דש)</w:t>
      </w:r>
      <w:r w:rsidRPr="004C691D">
        <w:rPr>
          <w:rFonts w:hint="cs"/>
          <w:sz w:val="20"/>
          <w:szCs w:val="20"/>
          <w:rtl/>
        </w:rPr>
        <w:t>, משום שזו חומרה דרבנן והם החמירו רק במקום שאפשר, אך במקום שאי אפשר יש לנהוג כעיקר הדין.</w:t>
      </w:r>
    </w:p>
    <w:p w:rsidR="00620060" w:rsidRDefault="00620060" w:rsidP="00620060">
      <w:pPr>
        <w:rPr>
          <w:b/>
          <w:bCs/>
          <w:sz w:val="20"/>
          <w:szCs w:val="20"/>
          <w:rtl/>
        </w:rPr>
      </w:pPr>
      <w:r w:rsidRPr="00E8044A">
        <w:rPr>
          <w:rFonts w:hint="cs"/>
          <w:b/>
          <w:bCs/>
          <w:sz w:val="20"/>
          <w:szCs w:val="20"/>
          <w:rtl/>
        </w:rPr>
        <w:t>סיכום</w:t>
      </w:r>
      <w:r>
        <w:rPr>
          <w:rFonts w:hint="cs"/>
          <w:sz w:val="20"/>
          <w:szCs w:val="20"/>
          <w:rtl/>
        </w:rPr>
        <w:br/>
      </w:r>
      <w:r w:rsidRPr="000F5C18">
        <w:rPr>
          <w:rStyle w:val="10"/>
          <w:rFonts w:hint="cs"/>
          <w:sz w:val="20"/>
          <w:szCs w:val="20"/>
          <w:rtl/>
        </w:rPr>
        <w:t>א</w:t>
      </w:r>
      <w:r>
        <w:rPr>
          <w:rFonts w:cs="Arial" w:hint="cs"/>
          <w:sz w:val="20"/>
          <w:szCs w:val="20"/>
          <w:rtl/>
        </w:rPr>
        <w:t xml:space="preserve">. </w:t>
      </w:r>
      <w:r>
        <w:rPr>
          <w:rFonts w:cs="Arial" w:hint="cs"/>
          <w:b/>
          <w:bCs/>
          <w:sz w:val="20"/>
          <w:szCs w:val="20"/>
          <w:rtl/>
        </w:rPr>
        <w:t>סוג בגד הבדיקה</w:t>
      </w:r>
      <w:r>
        <w:rPr>
          <w:sz w:val="20"/>
          <w:szCs w:val="20"/>
          <w:rtl/>
        </w:rPr>
        <w:br/>
      </w:r>
      <w:r>
        <w:rPr>
          <w:rFonts w:hint="cs"/>
          <w:sz w:val="20"/>
          <w:szCs w:val="20"/>
          <w:rtl/>
        </w:rPr>
        <w:t xml:space="preserve">1. </w:t>
      </w:r>
      <w:r w:rsidRPr="00A64017">
        <w:rPr>
          <w:rFonts w:hint="cs"/>
          <w:b/>
          <w:bCs/>
          <w:sz w:val="20"/>
          <w:szCs w:val="20"/>
          <w:rtl/>
        </w:rPr>
        <w:t>גמרא</w:t>
      </w:r>
      <w:r>
        <w:rPr>
          <w:rFonts w:hint="cs"/>
          <w:sz w:val="20"/>
          <w:szCs w:val="20"/>
          <w:rtl/>
        </w:rPr>
        <w:t xml:space="preserve">. בית מונבז היו בודקים בצמר גפן או צמר נקי ורך, וכן הורה שמואל. </w:t>
      </w:r>
      <w:r w:rsidRPr="00A64017">
        <w:rPr>
          <w:rFonts w:hint="cs"/>
          <w:sz w:val="20"/>
          <w:szCs w:val="20"/>
          <w:u w:val="single"/>
          <w:rtl/>
        </w:rPr>
        <w:t>רבא</w:t>
      </w:r>
      <w:r>
        <w:rPr>
          <w:rFonts w:hint="cs"/>
          <w:sz w:val="20"/>
          <w:szCs w:val="20"/>
          <w:rtl/>
        </w:rPr>
        <w:t xml:space="preserve">. פשתן בלוי טוב לבדיקה. ולמסקנה, רבא התיר בכל בגד פשתן </w:t>
      </w:r>
      <w:r w:rsidRPr="00442E51">
        <w:rPr>
          <w:rFonts w:hint="cs"/>
          <w:sz w:val="18"/>
          <w:szCs w:val="18"/>
          <w:rtl/>
        </w:rPr>
        <w:t xml:space="preserve">(לישנא קמא) </w:t>
      </w:r>
      <w:r>
        <w:rPr>
          <w:rFonts w:hint="cs"/>
          <w:sz w:val="20"/>
          <w:szCs w:val="20"/>
          <w:rtl/>
        </w:rPr>
        <w:t xml:space="preserve">או שהתיר רק בבגד פשתן ישן </w:t>
      </w:r>
      <w:r w:rsidRPr="00442E51">
        <w:rPr>
          <w:rFonts w:hint="cs"/>
          <w:sz w:val="18"/>
          <w:szCs w:val="18"/>
          <w:rtl/>
        </w:rPr>
        <w:t>(לישנא בתרא)</w:t>
      </w:r>
      <w:r>
        <w:rPr>
          <w:rFonts w:hint="cs"/>
          <w:sz w:val="20"/>
          <w:szCs w:val="20"/>
          <w:rtl/>
        </w:rPr>
        <w:t>.</w:t>
      </w:r>
      <w:r>
        <w:rPr>
          <w:sz w:val="20"/>
          <w:szCs w:val="20"/>
          <w:rtl/>
        </w:rPr>
        <w:br/>
      </w:r>
      <w:r>
        <w:rPr>
          <w:rFonts w:hint="cs"/>
          <w:sz w:val="20"/>
          <w:szCs w:val="20"/>
          <w:rtl/>
        </w:rPr>
        <w:t xml:space="preserve">2. ראשונים. בגדים הכשרים לבדיקה. </w:t>
      </w:r>
      <w:r w:rsidRPr="00A64017">
        <w:rPr>
          <w:rFonts w:hint="cs"/>
          <w:b/>
          <w:bCs/>
          <w:sz w:val="20"/>
          <w:szCs w:val="20"/>
          <w:rtl/>
        </w:rPr>
        <w:t>טור</w:t>
      </w:r>
      <w:r>
        <w:rPr>
          <w:rFonts w:hint="cs"/>
          <w:sz w:val="20"/>
          <w:szCs w:val="20"/>
          <w:rtl/>
        </w:rPr>
        <w:t xml:space="preserve">. בגד פשתן ישן, צמר נקי ורך או צמר גפן, כשמואל וכרבא בל"ב, וכ"פ </w:t>
      </w:r>
      <w:r w:rsidRPr="00CE7F93">
        <w:rPr>
          <w:rFonts w:hint="cs"/>
          <w:b/>
          <w:bCs/>
          <w:sz w:val="20"/>
          <w:szCs w:val="20"/>
          <w:rtl/>
        </w:rPr>
        <w:t>המחבר</w:t>
      </w:r>
      <w:r>
        <w:rPr>
          <w:rFonts w:hint="cs"/>
          <w:sz w:val="20"/>
          <w:szCs w:val="20"/>
          <w:rtl/>
        </w:rPr>
        <w:t xml:space="preserve">. </w:t>
      </w:r>
      <w:r w:rsidRPr="00A64017">
        <w:rPr>
          <w:rFonts w:hint="cs"/>
          <w:b/>
          <w:bCs/>
          <w:sz w:val="20"/>
          <w:szCs w:val="20"/>
          <w:rtl/>
        </w:rPr>
        <w:t>רמב"ם</w:t>
      </w:r>
      <w:r>
        <w:rPr>
          <w:rFonts w:hint="cs"/>
          <w:sz w:val="20"/>
          <w:szCs w:val="20"/>
          <w:rtl/>
        </w:rPr>
        <w:t xml:space="preserve">. "פשתן שחקים ולבנים". </w:t>
      </w:r>
      <w:r w:rsidRPr="00CE7F93">
        <w:rPr>
          <w:rFonts w:hint="cs"/>
          <w:b/>
          <w:bCs/>
          <w:sz w:val="20"/>
          <w:szCs w:val="20"/>
          <w:rtl/>
        </w:rPr>
        <w:t>ב"י</w:t>
      </w:r>
      <w:r>
        <w:rPr>
          <w:rFonts w:hint="cs"/>
          <w:sz w:val="20"/>
          <w:szCs w:val="20"/>
          <w:rtl/>
        </w:rPr>
        <w:t>. משמע שפוסק רק כרבא ולא כשמואל, אך קשה משום שהגמ' שיבחה את בית מונבז שנהגו כשמואל! א. זו מחלוקת. ב. הרמב"ם נקט דוגמה, וה"ה לצמר וכותנה שמהני לבדיקה.</w:t>
      </w:r>
      <w:r>
        <w:rPr>
          <w:sz w:val="20"/>
          <w:szCs w:val="20"/>
          <w:rtl/>
        </w:rPr>
        <w:br/>
      </w:r>
      <w:r>
        <w:rPr>
          <w:rFonts w:hint="cs"/>
          <w:sz w:val="20"/>
          <w:szCs w:val="20"/>
          <w:rtl/>
        </w:rPr>
        <w:t xml:space="preserve">3. </w:t>
      </w:r>
      <w:r w:rsidRPr="00A64017">
        <w:rPr>
          <w:rFonts w:hint="cs"/>
          <w:b/>
          <w:bCs/>
          <w:sz w:val="20"/>
          <w:szCs w:val="20"/>
          <w:rtl/>
        </w:rPr>
        <w:t>מחבר</w:t>
      </w:r>
      <w:r>
        <w:rPr>
          <w:rFonts w:hint="cs"/>
          <w:sz w:val="20"/>
          <w:szCs w:val="20"/>
          <w:rtl/>
        </w:rPr>
        <w:t>. יש לבדוק בבגד פשתן ישן לבן, או צמר גפן או צמר לבן נקי ורך.</w:t>
      </w:r>
      <w:r>
        <w:rPr>
          <w:sz w:val="20"/>
          <w:szCs w:val="20"/>
          <w:rtl/>
        </w:rPr>
        <w:br/>
      </w:r>
      <w:r>
        <w:rPr>
          <w:rFonts w:hint="cs"/>
          <w:sz w:val="20"/>
          <w:szCs w:val="20"/>
          <w:rtl/>
        </w:rPr>
        <w:t xml:space="preserve">4. בגד חדש הוא בגד שלא כובס. </w:t>
      </w:r>
      <w:r w:rsidRPr="00CE7F93">
        <w:rPr>
          <w:rFonts w:hint="cs"/>
          <w:b/>
          <w:bCs/>
          <w:sz w:val="20"/>
          <w:szCs w:val="20"/>
          <w:rtl/>
        </w:rPr>
        <w:t>טור</w:t>
      </w:r>
      <w:r>
        <w:rPr>
          <w:rFonts w:hint="cs"/>
          <w:sz w:val="20"/>
          <w:szCs w:val="20"/>
          <w:rtl/>
        </w:rPr>
        <w:t xml:space="preserve">. בגד חדש הוא קשה ולכן אין לבדוק בו. מדוע? </w:t>
      </w:r>
      <w:r w:rsidRPr="00CE7F93">
        <w:rPr>
          <w:rFonts w:hint="cs"/>
          <w:b/>
          <w:bCs/>
          <w:sz w:val="20"/>
          <w:szCs w:val="20"/>
          <w:rtl/>
        </w:rPr>
        <w:t>יראים</w:t>
      </w:r>
      <w:r>
        <w:rPr>
          <w:rFonts w:hint="cs"/>
          <w:sz w:val="20"/>
          <w:szCs w:val="20"/>
          <w:rtl/>
        </w:rPr>
        <w:t xml:space="preserve">. הדם אינו נדבק בבגד. </w:t>
      </w:r>
      <w:r w:rsidRPr="007E44CD">
        <w:rPr>
          <w:rFonts w:hint="cs"/>
          <w:b/>
          <w:bCs/>
          <w:sz w:val="20"/>
          <w:szCs w:val="20"/>
          <w:rtl/>
        </w:rPr>
        <w:t>רשב"א</w:t>
      </w:r>
      <w:r>
        <w:rPr>
          <w:rFonts w:hint="cs"/>
          <w:sz w:val="20"/>
          <w:szCs w:val="20"/>
          <w:rtl/>
        </w:rPr>
        <w:t xml:space="preserve">. עלול לפצוע את האשה. </w:t>
      </w:r>
      <w:r w:rsidRPr="00CE7F93">
        <w:rPr>
          <w:rFonts w:hint="cs"/>
          <w:b/>
          <w:bCs/>
          <w:sz w:val="20"/>
          <w:szCs w:val="20"/>
          <w:rtl/>
        </w:rPr>
        <w:t>סד"ט</w:t>
      </w:r>
      <w:r>
        <w:rPr>
          <w:rFonts w:hint="cs"/>
          <w:sz w:val="20"/>
          <w:szCs w:val="20"/>
          <w:rtl/>
        </w:rPr>
        <w:t xml:space="preserve">. אם אינה חוששת להיפצע יכולה לבדוק בבגד חדש, וכ"פ </w:t>
      </w:r>
      <w:r w:rsidRPr="00CE7F93">
        <w:rPr>
          <w:rFonts w:hint="cs"/>
          <w:b/>
          <w:bCs/>
          <w:sz w:val="20"/>
          <w:szCs w:val="20"/>
          <w:rtl/>
        </w:rPr>
        <w:t>טה"ב</w:t>
      </w:r>
      <w:r>
        <w:rPr>
          <w:rFonts w:hint="cs"/>
          <w:sz w:val="20"/>
          <w:szCs w:val="20"/>
          <w:rtl/>
        </w:rPr>
        <w:t xml:space="preserve"> לעניין דיעבד, וכ"כ </w:t>
      </w:r>
      <w:r w:rsidRPr="00CE7F93">
        <w:rPr>
          <w:rFonts w:hint="cs"/>
          <w:b/>
          <w:bCs/>
          <w:sz w:val="20"/>
          <w:szCs w:val="20"/>
          <w:rtl/>
        </w:rPr>
        <w:t>הגה"מ</w:t>
      </w:r>
      <w:r>
        <w:rPr>
          <w:rFonts w:hint="cs"/>
          <w:sz w:val="20"/>
          <w:szCs w:val="20"/>
          <w:rtl/>
        </w:rPr>
        <w:t xml:space="preserve">. </w:t>
      </w:r>
      <w:r w:rsidRPr="00CE7F93">
        <w:rPr>
          <w:rFonts w:hint="cs"/>
          <w:b/>
          <w:bCs/>
          <w:sz w:val="20"/>
          <w:szCs w:val="20"/>
          <w:rtl/>
        </w:rPr>
        <w:t>לחו"ש</w:t>
      </w:r>
      <w:r>
        <w:rPr>
          <w:rFonts w:hint="cs"/>
          <w:sz w:val="20"/>
          <w:szCs w:val="20"/>
          <w:rtl/>
        </w:rPr>
        <w:t xml:space="preserve">. אין לבדוק בו. </w:t>
      </w:r>
      <w:r w:rsidRPr="00CE7F93">
        <w:rPr>
          <w:rFonts w:hint="cs"/>
          <w:b/>
          <w:bCs/>
          <w:sz w:val="20"/>
          <w:szCs w:val="20"/>
          <w:rtl/>
        </w:rPr>
        <w:t>טעם</w:t>
      </w:r>
      <w:r>
        <w:rPr>
          <w:rFonts w:hint="cs"/>
          <w:sz w:val="20"/>
          <w:szCs w:val="20"/>
          <w:rtl/>
        </w:rPr>
        <w:t>. חוששת שמא תישרט ולכן אינה בודקת יפה.</w:t>
      </w:r>
      <w:r>
        <w:rPr>
          <w:rFonts w:hint="cs"/>
          <w:sz w:val="20"/>
          <w:szCs w:val="20"/>
          <w:rtl/>
        </w:rPr>
        <w:br/>
        <w:t xml:space="preserve">5. </w:t>
      </w:r>
      <w:r w:rsidRPr="00CE7F93">
        <w:rPr>
          <w:rFonts w:hint="cs"/>
          <w:b/>
          <w:bCs/>
          <w:sz w:val="20"/>
          <w:szCs w:val="20"/>
          <w:rtl/>
        </w:rPr>
        <w:t>גמרא</w:t>
      </w:r>
      <w:r>
        <w:rPr>
          <w:rFonts w:hint="cs"/>
          <w:sz w:val="20"/>
          <w:szCs w:val="20"/>
          <w:rtl/>
        </w:rPr>
        <w:t xml:space="preserve">. אין לבדוק בבד שחור או אדום. </w:t>
      </w:r>
      <w:r w:rsidRPr="00CE7F93">
        <w:rPr>
          <w:rFonts w:hint="cs"/>
          <w:b/>
          <w:bCs/>
          <w:sz w:val="20"/>
          <w:szCs w:val="20"/>
          <w:rtl/>
        </w:rPr>
        <w:t>ב"י</w:t>
      </w:r>
      <w:r>
        <w:rPr>
          <w:rFonts w:hint="cs"/>
          <w:sz w:val="20"/>
          <w:szCs w:val="20"/>
          <w:rtl/>
        </w:rPr>
        <w:t xml:space="preserve">. משמע ברמב"ם שהוא הדין לשאר צבעים. מה הדין בדיעבד בבד צבוע שאינו שחור או אדום. </w:t>
      </w:r>
      <w:r w:rsidRPr="00CE7F93">
        <w:rPr>
          <w:rFonts w:hint="cs"/>
          <w:b/>
          <w:bCs/>
          <w:sz w:val="20"/>
          <w:szCs w:val="20"/>
          <w:rtl/>
        </w:rPr>
        <w:t>טה"ב</w:t>
      </w:r>
      <w:r>
        <w:rPr>
          <w:rFonts w:hint="cs"/>
          <w:sz w:val="20"/>
          <w:szCs w:val="20"/>
          <w:rtl/>
        </w:rPr>
        <w:t xml:space="preserve">. יש להקל, ובלבד שתעיין בו לפני כן שהוא נקי ויצא נקי בבדיקה. </w:t>
      </w:r>
      <w:r w:rsidRPr="00CE7F93">
        <w:rPr>
          <w:rFonts w:hint="cs"/>
          <w:b/>
          <w:bCs/>
          <w:sz w:val="20"/>
          <w:szCs w:val="20"/>
          <w:rtl/>
        </w:rPr>
        <w:t>טעם</w:t>
      </w:r>
      <w:r>
        <w:rPr>
          <w:rFonts w:hint="cs"/>
          <w:sz w:val="20"/>
          <w:szCs w:val="20"/>
          <w:rtl/>
        </w:rPr>
        <w:t xml:space="preserve">. משמע ששמואל שייר, וכן משום שמטמאים כל מראה אדום כיום. </w:t>
      </w:r>
      <w:r w:rsidRPr="00CE7F93">
        <w:rPr>
          <w:rFonts w:hint="cs"/>
          <w:b/>
          <w:bCs/>
          <w:sz w:val="20"/>
          <w:szCs w:val="20"/>
          <w:rtl/>
        </w:rPr>
        <w:t>בדה"ש</w:t>
      </w:r>
      <w:r>
        <w:rPr>
          <w:rFonts w:hint="cs"/>
          <w:sz w:val="20"/>
          <w:szCs w:val="20"/>
          <w:rtl/>
        </w:rPr>
        <w:t>. אין להקל.</w:t>
      </w:r>
      <w:r>
        <w:rPr>
          <w:rFonts w:hint="cs"/>
          <w:sz w:val="20"/>
          <w:szCs w:val="20"/>
          <w:rtl/>
        </w:rPr>
        <w:br/>
        <w:t xml:space="preserve">6. בדיקה בבדים ממין אחר. </w:t>
      </w:r>
      <w:r w:rsidRPr="00CE7F93">
        <w:rPr>
          <w:rFonts w:hint="cs"/>
          <w:b/>
          <w:bCs/>
          <w:sz w:val="20"/>
          <w:szCs w:val="20"/>
          <w:rtl/>
        </w:rPr>
        <w:t>ששבה"ל</w:t>
      </w:r>
      <w:r>
        <w:rPr>
          <w:rFonts w:hint="cs"/>
          <w:sz w:val="20"/>
          <w:szCs w:val="20"/>
          <w:rtl/>
        </w:rPr>
        <w:t xml:space="preserve">. כל בד שאין הדם נופל ממנו, כשר. </w:t>
      </w:r>
      <w:r w:rsidRPr="00CE7F93">
        <w:rPr>
          <w:rFonts w:hint="cs"/>
          <w:b/>
          <w:bCs/>
          <w:sz w:val="20"/>
          <w:szCs w:val="20"/>
          <w:rtl/>
        </w:rPr>
        <w:t>טה"ב</w:t>
      </w:r>
      <w:r>
        <w:rPr>
          <w:rFonts w:hint="cs"/>
          <w:sz w:val="20"/>
          <w:szCs w:val="20"/>
          <w:rtl/>
        </w:rPr>
        <w:t xml:space="preserve">. נייר דק אינו מועיל. בגד </w:t>
      </w:r>
      <w:r>
        <w:rPr>
          <w:rFonts w:hint="cs"/>
          <w:sz w:val="20"/>
          <w:szCs w:val="20"/>
          <w:rtl/>
        </w:rPr>
        <w:lastRenderedPageBreak/>
        <w:t>סינטטי מועיל, ובלבד שתבדוק אותו שהוא מקבל דם.</w:t>
      </w:r>
      <w:r>
        <w:rPr>
          <w:sz w:val="20"/>
          <w:szCs w:val="20"/>
          <w:rtl/>
        </w:rPr>
        <w:br/>
      </w:r>
      <w:r>
        <w:rPr>
          <w:rFonts w:hint="cs"/>
          <w:sz w:val="20"/>
          <w:szCs w:val="20"/>
          <w:rtl/>
        </w:rPr>
        <w:t xml:space="preserve">7. בדיקה באצבע. </w:t>
      </w:r>
      <w:r w:rsidRPr="00CE7F93">
        <w:rPr>
          <w:rFonts w:hint="cs"/>
          <w:b/>
          <w:bCs/>
          <w:sz w:val="20"/>
          <w:szCs w:val="20"/>
          <w:rtl/>
        </w:rPr>
        <w:t>הגהש"ד</w:t>
      </w:r>
      <w:r>
        <w:rPr>
          <w:rFonts w:hint="cs"/>
          <w:sz w:val="20"/>
          <w:szCs w:val="20"/>
          <w:rtl/>
        </w:rPr>
        <w:t>. אינה מועילה כלל.</w:t>
      </w:r>
      <w:r>
        <w:rPr>
          <w:rFonts w:hint="cs"/>
          <w:sz w:val="20"/>
          <w:szCs w:val="20"/>
          <w:rtl/>
        </w:rPr>
        <w:br/>
        <w:t xml:space="preserve">8. אשה שמתקשה בבדיקה מחמת יובש באותו מקום. </w:t>
      </w:r>
      <w:r w:rsidRPr="00CE7F93">
        <w:rPr>
          <w:rFonts w:hint="cs"/>
          <w:b/>
          <w:bCs/>
          <w:sz w:val="20"/>
          <w:szCs w:val="20"/>
          <w:rtl/>
        </w:rPr>
        <w:t>מהרש"ם</w:t>
      </w:r>
      <w:r>
        <w:rPr>
          <w:rFonts w:hint="cs"/>
          <w:sz w:val="20"/>
          <w:szCs w:val="20"/>
          <w:rtl/>
        </w:rPr>
        <w:t>. ניתן ללחלח את עד הבדיקה במים. וכן התירו האחרונים למרוח משחה שקופה באותו מקום.</w:t>
      </w:r>
      <w:r>
        <w:rPr>
          <w:sz w:val="20"/>
          <w:szCs w:val="20"/>
          <w:rtl/>
        </w:rPr>
        <w:br/>
      </w:r>
      <w:r w:rsidRPr="000F5C18">
        <w:rPr>
          <w:rStyle w:val="10"/>
          <w:rFonts w:hint="cs"/>
          <w:sz w:val="20"/>
          <w:szCs w:val="20"/>
          <w:rtl/>
        </w:rPr>
        <w:t>ב</w:t>
      </w:r>
      <w:r>
        <w:rPr>
          <w:rFonts w:hint="cs"/>
          <w:sz w:val="20"/>
          <w:szCs w:val="20"/>
          <w:rtl/>
        </w:rPr>
        <w:t xml:space="preserve">. </w:t>
      </w:r>
      <w:r w:rsidRPr="00556E86">
        <w:rPr>
          <w:rFonts w:hint="cs"/>
          <w:b/>
          <w:bCs/>
          <w:sz w:val="20"/>
          <w:szCs w:val="20"/>
          <w:rtl/>
        </w:rPr>
        <w:t>רמת הבדיקה ל</w:t>
      </w:r>
      <w:r>
        <w:rPr>
          <w:rFonts w:hint="cs"/>
          <w:b/>
          <w:bCs/>
          <w:sz w:val="20"/>
          <w:szCs w:val="20"/>
          <w:rtl/>
        </w:rPr>
        <w:t>רוחב</w:t>
      </w:r>
      <w:r>
        <w:rPr>
          <w:rFonts w:hint="cs"/>
          <w:sz w:val="20"/>
          <w:szCs w:val="20"/>
          <w:rtl/>
        </w:rPr>
        <w:br/>
        <w:t xml:space="preserve">9. האם צריכה לבדוק עצמה בחורים ובסדקים? </w:t>
      </w:r>
      <w:r w:rsidRPr="00942609">
        <w:rPr>
          <w:rFonts w:hint="cs"/>
          <w:b/>
          <w:bCs/>
          <w:sz w:val="20"/>
          <w:szCs w:val="20"/>
          <w:rtl/>
        </w:rPr>
        <w:t>רשב"א</w:t>
      </w:r>
      <w:r>
        <w:rPr>
          <w:rFonts w:hint="cs"/>
          <w:sz w:val="20"/>
          <w:szCs w:val="20"/>
          <w:rtl/>
        </w:rPr>
        <w:t xml:space="preserve">. כן, וכ"פ </w:t>
      </w:r>
      <w:r w:rsidRPr="00CE7F93">
        <w:rPr>
          <w:rFonts w:hint="cs"/>
          <w:b/>
          <w:bCs/>
          <w:sz w:val="20"/>
          <w:szCs w:val="20"/>
          <w:rtl/>
        </w:rPr>
        <w:t>המחבר</w:t>
      </w:r>
      <w:r>
        <w:rPr>
          <w:rFonts w:hint="cs"/>
          <w:sz w:val="20"/>
          <w:szCs w:val="20"/>
          <w:rtl/>
        </w:rPr>
        <w:t xml:space="preserve">. </w:t>
      </w:r>
      <w:r w:rsidRPr="00942609">
        <w:rPr>
          <w:rFonts w:hint="cs"/>
          <w:b/>
          <w:bCs/>
          <w:sz w:val="20"/>
          <w:szCs w:val="20"/>
          <w:rtl/>
        </w:rPr>
        <w:t>ראב"ד</w:t>
      </w:r>
      <w:r>
        <w:rPr>
          <w:rFonts w:hint="cs"/>
          <w:sz w:val="20"/>
          <w:szCs w:val="20"/>
          <w:rtl/>
        </w:rPr>
        <w:t xml:space="preserve">. לא. </w:t>
      </w:r>
      <w:r w:rsidRPr="00942609">
        <w:rPr>
          <w:rFonts w:hint="cs"/>
          <w:b/>
          <w:bCs/>
          <w:sz w:val="20"/>
          <w:szCs w:val="20"/>
          <w:rtl/>
        </w:rPr>
        <w:t>רמב"ן</w:t>
      </w:r>
      <w:r>
        <w:rPr>
          <w:rFonts w:hint="cs"/>
          <w:sz w:val="20"/>
          <w:szCs w:val="20"/>
          <w:rtl/>
        </w:rPr>
        <w:t xml:space="preserve">. רק בהפס"ט צריכה. </w:t>
      </w:r>
      <w:r w:rsidRPr="00942609">
        <w:rPr>
          <w:rFonts w:hint="cs"/>
          <w:b/>
          <w:bCs/>
          <w:sz w:val="20"/>
          <w:szCs w:val="20"/>
          <w:rtl/>
        </w:rPr>
        <w:t>טעם</w:t>
      </w:r>
      <w:r>
        <w:rPr>
          <w:rFonts w:hint="cs"/>
          <w:sz w:val="20"/>
          <w:szCs w:val="20"/>
          <w:rtl/>
        </w:rPr>
        <w:t>. בדיקה זו מעלה אותה מטומאה לטהרה.</w:t>
      </w:r>
      <w:r>
        <w:rPr>
          <w:sz w:val="20"/>
          <w:szCs w:val="20"/>
          <w:rtl/>
        </w:rPr>
        <w:br/>
      </w:r>
      <w:r w:rsidRPr="00032B5D">
        <w:rPr>
          <w:rStyle w:val="10"/>
          <w:rFonts w:hint="cs"/>
          <w:sz w:val="20"/>
          <w:szCs w:val="20"/>
          <w:rtl/>
        </w:rPr>
        <w:t>ג</w:t>
      </w:r>
      <w:r>
        <w:rPr>
          <w:rFonts w:hint="cs"/>
          <w:sz w:val="20"/>
          <w:szCs w:val="20"/>
          <w:rtl/>
        </w:rPr>
        <w:t xml:space="preserve">. </w:t>
      </w:r>
      <w:r w:rsidRPr="00FB3841">
        <w:rPr>
          <w:rFonts w:hint="cs"/>
          <w:b/>
          <w:bCs/>
          <w:sz w:val="20"/>
          <w:szCs w:val="20"/>
          <w:rtl/>
        </w:rPr>
        <w:t>רמת הבדיקה ל</w:t>
      </w:r>
      <w:r>
        <w:rPr>
          <w:rFonts w:hint="cs"/>
          <w:b/>
          <w:bCs/>
          <w:sz w:val="20"/>
          <w:szCs w:val="20"/>
          <w:rtl/>
        </w:rPr>
        <w:t>עומק</w:t>
      </w:r>
      <w:r>
        <w:rPr>
          <w:sz w:val="20"/>
          <w:szCs w:val="20"/>
          <w:rtl/>
        </w:rPr>
        <w:br/>
      </w:r>
      <w:r>
        <w:rPr>
          <w:rFonts w:hint="cs"/>
          <w:sz w:val="20"/>
          <w:szCs w:val="20"/>
          <w:rtl/>
        </w:rPr>
        <w:t xml:space="preserve">10. </w:t>
      </w:r>
      <w:r w:rsidRPr="00E8044A">
        <w:rPr>
          <w:rFonts w:hint="cs"/>
          <w:b/>
          <w:bCs/>
          <w:sz w:val="20"/>
          <w:szCs w:val="20"/>
          <w:rtl/>
        </w:rPr>
        <w:t>טור</w:t>
      </w:r>
      <w:r>
        <w:rPr>
          <w:rFonts w:hint="cs"/>
          <w:sz w:val="20"/>
          <w:szCs w:val="20"/>
          <w:rtl/>
        </w:rPr>
        <w:t xml:space="preserve">, </w:t>
      </w:r>
      <w:r w:rsidRPr="00E8044A">
        <w:rPr>
          <w:rFonts w:hint="cs"/>
          <w:b/>
          <w:bCs/>
          <w:sz w:val="20"/>
          <w:szCs w:val="20"/>
          <w:rtl/>
        </w:rPr>
        <w:t>רבינו ירוחם והגה"מ</w:t>
      </w:r>
      <w:r>
        <w:rPr>
          <w:rFonts w:hint="cs"/>
          <w:sz w:val="20"/>
          <w:szCs w:val="20"/>
          <w:rtl/>
        </w:rPr>
        <w:t xml:space="preserve">. צריך לבדוק בעומק עד מקום שהשמש דש. </w:t>
      </w:r>
      <w:r w:rsidRPr="00E8044A">
        <w:rPr>
          <w:rFonts w:hint="cs"/>
          <w:b/>
          <w:bCs/>
          <w:sz w:val="20"/>
          <w:szCs w:val="20"/>
          <w:rtl/>
        </w:rPr>
        <w:t>תרומת הדשן</w:t>
      </w:r>
      <w:r>
        <w:rPr>
          <w:rFonts w:hint="cs"/>
          <w:sz w:val="20"/>
          <w:szCs w:val="20"/>
          <w:rtl/>
        </w:rPr>
        <w:t>. אין צריך.</w:t>
      </w:r>
      <w:r>
        <w:rPr>
          <w:sz w:val="20"/>
          <w:szCs w:val="20"/>
          <w:rtl/>
        </w:rPr>
        <w:br/>
      </w:r>
      <w:r>
        <w:rPr>
          <w:rFonts w:hint="cs"/>
          <w:sz w:val="20"/>
          <w:szCs w:val="20"/>
          <w:rtl/>
        </w:rPr>
        <w:t xml:space="preserve">11. דיון. </w:t>
      </w:r>
      <w:r w:rsidRPr="0024174E">
        <w:rPr>
          <w:rFonts w:hint="cs"/>
          <w:b/>
          <w:bCs/>
          <w:sz w:val="20"/>
          <w:szCs w:val="20"/>
          <w:rtl/>
        </w:rPr>
        <w:t>ת"ה ובית יוסף</w:t>
      </w:r>
      <w:r>
        <w:rPr>
          <w:rFonts w:hint="cs"/>
          <w:sz w:val="20"/>
          <w:szCs w:val="20"/>
          <w:rtl/>
        </w:rPr>
        <w:t>. בדיקה עד מקום שהשמש דש היא קשה, וגורמת לשרוט את המקום ולראות דם.</w:t>
      </w:r>
      <w:r>
        <w:rPr>
          <w:sz w:val="20"/>
          <w:szCs w:val="20"/>
          <w:rtl/>
        </w:rPr>
        <w:br/>
      </w:r>
      <w:r>
        <w:rPr>
          <w:rFonts w:hint="cs"/>
          <w:sz w:val="20"/>
          <w:szCs w:val="20"/>
          <w:rtl/>
        </w:rPr>
        <w:t xml:space="preserve">12. </w:t>
      </w:r>
      <w:r w:rsidRPr="00E8044A">
        <w:rPr>
          <w:rFonts w:hint="cs"/>
          <w:sz w:val="20"/>
          <w:szCs w:val="20"/>
          <w:u w:val="single"/>
          <w:rtl/>
        </w:rPr>
        <w:t>מקור שיטת המחמירים</w:t>
      </w:r>
      <w:r>
        <w:rPr>
          <w:rFonts w:hint="cs"/>
          <w:sz w:val="20"/>
          <w:szCs w:val="20"/>
          <w:rtl/>
        </w:rPr>
        <w:t xml:space="preserve">. </w:t>
      </w:r>
      <w:r w:rsidRPr="00E8044A">
        <w:rPr>
          <w:rFonts w:hint="cs"/>
          <w:b/>
          <w:bCs/>
          <w:sz w:val="20"/>
          <w:szCs w:val="20"/>
          <w:rtl/>
        </w:rPr>
        <w:t>משנה</w:t>
      </w:r>
      <w:r>
        <w:rPr>
          <w:rFonts w:hint="cs"/>
          <w:sz w:val="20"/>
          <w:szCs w:val="20"/>
          <w:rtl/>
        </w:rPr>
        <w:t>. אשה מטמאה בבית החיצון, וכל מקום הדישה הוא בית החיצון.</w:t>
      </w:r>
      <w:r>
        <w:rPr>
          <w:sz w:val="20"/>
          <w:szCs w:val="20"/>
          <w:rtl/>
        </w:rPr>
        <w:br/>
      </w:r>
      <w:r>
        <w:rPr>
          <w:rFonts w:hint="cs"/>
          <w:sz w:val="20"/>
          <w:szCs w:val="20"/>
          <w:rtl/>
        </w:rPr>
        <w:t xml:space="preserve">13. הכרעת </w:t>
      </w:r>
      <w:r w:rsidRPr="00E8044A">
        <w:rPr>
          <w:rFonts w:hint="cs"/>
          <w:b/>
          <w:bCs/>
          <w:sz w:val="20"/>
          <w:szCs w:val="20"/>
          <w:rtl/>
        </w:rPr>
        <w:t>הבית יוסף</w:t>
      </w:r>
      <w:r>
        <w:rPr>
          <w:rFonts w:hint="cs"/>
          <w:sz w:val="20"/>
          <w:szCs w:val="20"/>
          <w:rtl/>
        </w:rPr>
        <w:t>. בעל נפש יחמיר בבדיקת הפס"ט ובבדיקה אחת מז' נקיים.</w:t>
      </w:r>
      <w:r>
        <w:rPr>
          <w:sz w:val="20"/>
          <w:szCs w:val="20"/>
          <w:rtl/>
        </w:rPr>
        <w:br/>
      </w:r>
      <w:r>
        <w:rPr>
          <w:rFonts w:hint="cs"/>
          <w:sz w:val="20"/>
          <w:szCs w:val="20"/>
          <w:rtl/>
        </w:rPr>
        <w:t xml:space="preserve">14. </w:t>
      </w:r>
      <w:r w:rsidRPr="00E8044A">
        <w:rPr>
          <w:rFonts w:hint="cs"/>
          <w:b/>
          <w:bCs/>
          <w:sz w:val="20"/>
          <w:szCs w:val="20"/>
          <w:rtl/>
        </w:rPr>
        <w:t>מחבר</w:t>
      </w:r>
      <w:r>
        <w:rPr>
          <w:rFonts w:hint="cs"/>
          <w:sz w:val="20"/>
          <w:szCs w:val="20"/>
          <w:rtl/>
        </w:rPr>
        <w:t xml:space="preserve">. תכניס את העד בחורים ובסדקים עד מקום שהשמש דש, ואם קשה להכניס כל כך עמוק, תבדוק כך בהפס"ט וביום הראשון פעם אחת. </w:t>
      </w:r>
      <w:r w:rsidRPr="00E8044A">
        <w:rPr>
          <w:rFonts w:hint="cs"/>
          <w:b/>
          <w:bCs/>
          <w:sz w:val="20"/>
          <w:szCs w:val="20"/>
          <w:rtl/>
        </w:rPr>
        <w:t>רמ"א</w:t>
      </w:r>
      <w:r>
        <w:rPr>
          <w:rFonts w:hint="cs"/>
          <w:sz w:val="20"/>
          <w:szCs w:val="20"/>
          <w:rtl/>
        </w:rPr>
        <w:t xml:space="preserve">. בדיקת עומק אינה מעכבת </w:t>
      </w:r>
      <w:r w:rsidRPr="0024174E">
        <w:rPr>
          <w:rFonts w:hint="cs"/>
          <w:sz w:val="18"/>
          <w:szCs w:val="18"/>
          <w:rtl/>
        </w:rPr>
        <w:t>(ונח</w:t>
      </w:r>
      <w:r>
        <w:rPr>
          <w:rFonts w:hint="cs"/>
          <w:sz w:val="18"/>
          <w:szCs w:val="18"/>
          <w:rtl/>
        </w:rPr>
        <w:t>לקו</w:t>
      </w:r>
      <w:r w:rsidRPr="0024174E">
        <w:rPr>
          <w:rFonts w:hint="cs"/>
          <w:sz w:val="18"/>
          <w:szCs w:val="18"/>
          <w:rtl/>
        </w:rPr>
        <w:t xml:space="preserve"> האחרונים מה</w:t>
      </w:r>
      <w:r>
        <w:rPr>
          <w:rFonts w:hint="cs"/>
          <w:sz w:val="18"/>
          <w:szCs w:val="18"/>
          <w:rtl/>
        </w:rPr>
        <w:t>י</w:t>
      </w:r>
      <w:r w:rsidRPr="0024174E">
        <w:rPr>
          <w:rFonts w:hint="cs"/>
          <w:sz w:val="18"/>
          <w:szCs w:val="18"/>
          <w:rtl/>
        </w:rPr>
        <w:t xml:space="preserve"> דעת המחבר)</w:t>
      </w:r>
      <w:r>
        <w:rPr>
          <w:rFonts w:hint="cs"/>
          <w:sz w:val="20"/>
          <w:szCs w:val="20"/>
          <w:rtl/>
        </w:rPr>
        <w:t>.</w:t>
      </w:r>
      <w:r>
        <w:rPr>
          <w:sz w:val="20"/>
          <w:szCs w:val="20"/>
          <w:rtl/>
        </w:rPr>
        <w:br/>
      </w:r>
      <w:r>
        <w:rPr>
          <w:rFonts w:hint="cs"/>
          <w:sz w:val="20"/>
          <w:szCs w:val="20"/>
          <w:rtl/>
        </w:rPr>
        <w:t xml:space="preserve">15. </w:t>
      </w:r>
      <w:r w:rsidRPr="00E8044A">
        <w:rPr>
          <w:rFonts w:hint="cs"/>
          <w:b/>
          <w:bCs/>
          <w:sz w:val="20"/>
          <w:szCs w:val="20"/>
          <w:rtl/>
        </w:rPr>
        <w:t>נוב"י</w:t>
      </w:r>
      <w:r>
        <w:rPr>
          <w:rFonts w:hint="cs"/>
          <w:sz w:val="20"/>
          <w:szCs w:val="20"/>
          <w:rtl/>
        </w:rPr>
        <w:t>. אשה שיש לה מכה ומחמתה קשה לה לבדוק, תבדוק רק בראשון ובשביעי.</w:t>
      </w:r>
      <w:r>
        <w:rPr>
          <w:sz w:val="20"/>
          <w:szCs w:val="20"/>
          <w:rtl/>
        </w:rPr>
        <w:br/>
      </w:r>
      <w:r>
        <w:rPr>
          <w:rFonts w:hint="cs"/>
          <w:sz w:val="20"/>
          <w:szCs w:val="20"/>
          <w:rtl/>
        </w:rPr>
        <w:t xml:space="preserve">16. </w:t>
      </w:r>
      <w:r w:rsidRPr="00E8044A">
        <w:rPr>
          <w:rFonts w:hint="cs"/>
          <w:b/>
          <w:bCs/>
          <w:sz w:val="20"/>
          <w:szCs w:val="20"/>
          <w:rtl/>
        </w:rPr>
        <w:t>נוב"י</w:t>
      </w:r>
      <w:r>
        <w:rPr>
          <w:rFonts w:hint="cs"/>
          <w:sz w:val="20"/>
          <w:szCs w:val="20"/>
          <w:rtl/>
        </w:rPr>
        <w:t>. יש להקל שרק בהפס"ט תבדוק בחורים ובסדקים, והמוך דחוק ייחשב לה לספירת היום הראשון.</w:t>
      </w:r>
      <w:r>
        <w:rPr>
          <w:sz w:val="20"/>
          <w:szCs w:val="20"/>
          <w:rtl/>
        </w:rPr>
        <w:br/>
      </w:r>
      <w:r w:rsidRPr="00E8044A">
        <w:rPr>
          <w:rFonts w:hint="cs"/>
          <w:b/>
          <w:bCs/>
          <w:sz w:val="20"/>
          <w:szCs w:val="20"/>
          <w:rtl/>
        </w:rPr>
        <w:t>טה"ב</w:t>
      </w:r>
      <w:r>
        <w:rPr>
          <w:rFonts w:hint="cs"/>
          <w:sz w:val="20"/>
          <w:szCs w:val="20"/>
          <w:rtl/>
        </w:rPr>
        <w:t xml:space="preserve">. אם בדיקת חו"ס תגרום לה לראיית דם, יש להקל </w:t>
      </w:r>
      <w:r w:rsidRPr="00942609">
        <w:rPr>
          <w:rFonts w:hint="cs"/>
          <w:b/>
          <w:bCs/>
          <w:sz w:val="20"/>
          <w:szCs w:val="20"/>
          <w:rtl/>
        </w:rPr>
        <w:t>כראב"ד</w:t>
      </w:r>
      <w:r>
        <w:rPr>
          <w:rFonts w:hint="cs"/>
          <w:sz w:val="20"/>
          <w:szCs w:val="20"/>
          <w:rtl/>
        </w:rPr>
        <w:t xml:space="preserve"> שלא לבדוק בחו"ס.</w:t>
      </w:r>
    </w:p>
    <w:p w:rsidR="00620060" w:rsidRDefault="00620060" w:rsidP="00620060">
      <w:pPr>
        <w:rPr>
          <w:rFonts w:cs="Arial"/>
          <w:sz w:val="20"/>
          <w:szCs w:val="20"/>
          <w:rtl/>
        </w:rPr>
      </w:pPr>
      <w:r>
        <w:rPr>
          <w:b/>
          <w:bCs/>
          <w:sz w:val="20"/>
          <w:szCs w:val="20"/>
          <w:rtl/>
        </w:rPr>
        <w:br/>
      </w:r>
      <w:r>
        <w:rPr>
          <w:rFonts w:hint="cs"/>
          <w:b/>
          <w:bCs/>
          <w:sz w:val="20"/>
          <w:szCs w:val="20"/>
          <w:rtl/>
        </w:rPr>
        <w:t xml:space="preserve">סעיף ז </w:t>
      </w:r>
      <w:r>
        <w:rPr>
          <w:b/>
          <w:bCs/>
          <w:sz w:val="20"/>
          <w:szCs w:val="20"/>
          <w:rtl/>
        </w:rPr>
        <w:t>–</w:t>
      </w:r>
      <w:r>
        <w:rPr>
          <w:rFonts w:hint="cs"/>
          <w:b/>
          <w:bCs/>
          <w:sz w:val="20"/>
          <w:szCs w:val="20"/>
          <w:rtl/>
        </w:rPr>
        <w:t xml:space="preserve"> דין סומא</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משנה </w:t>
      </w:r>
      <w:r>
        <w:rPr>
          <w:rFonts w:hint="cs"/>
          <w:sz w:val="20"/>
          <w:szCs w:val="20"/>
          <w:rtl/>
        </w:rPr>
        <w:t>נידה (יג.) "</w:t>
      </w:r>
      <w:r w:rsidRPr="00002D56">
        <w:rPr>
          <w:rFonts w:cs="Arial"/>
          <w:sz w:val="20"/>
          <w:szCs w:val="20"/>
          <w:rtl/>
        </w:rPr>
        <w:t>החרשת והשוטה והסומא ושנטרפה דעתה, אם יש להם פקחות - מתקנות אותן והן אוכלות בתרומה</w:t>
      </w:r>
      <w:r>
        <w:rPr>
          <w:rFonts w:cs="Arial" w:hint="cs"/>
          <w:sz w:val="20"/>
          <w:szCs w:val="20"/>
          <w:rtl/>
        </w:rPr>
        <w:t>"</w:t>
      </w:r>
      <w:r w:rsidRPr="00002D56">
        <w:rPr>
          <w:rFonts w:cs="Arial"/>
          <w:sz w:val="20"/>
          <w:szCs w:val="20"/>
          <w:rtl/>
        </w:rPr>
        <w:t>.</w:t>
      </w:r>
      <w:r>
        <w:rPr>
          <w:rFonts w:hint="cs"/>
          <w:sz w:val="20"/>
          <w:szCs w:val="20"/>
          <w:rtl/>
        </w:rPr>
        <w:br/>
      </w:r>
      <w:r w:rsidRPr="00002D56">
        <w:rPr>
          <w:rFonts w:hint="cs"/>
          <w:b/>
          <w:bCs/>
          <w:sz w:val="20"/>
          <w:szCs w:val="20"/>
          <w:rtl/>
        </w:rPr>
        <w:t xml:space="preserve">גמרא </w:t>
      </w:r>
      <w:r>
        <w:rPr>
          <w:rFonts w:hint="cs"/>
          <w:sz w:val="20"/>
          <w:szCs w:val="20"/>
          <w:rtl/>
        </w:rPr>
        <w:t>(שם) "</w:t>
      </w:r>
      <w:r w:rsidRPr="00002D56">
        <w:rPr>
          <w:rFonts w:cs="Arial"/>
          <w:sz w:val="20"/>
          <w:szCs w:val="20"/>
          <w:rtl/>
        </w:rPr>
        <w:t>הסומא. איהי תבדוק לנפשה ותיחזי לחבירתה! א</w:t>
      </w:r>
      <w:r>
        <w:rPr>
          <w:rFonts w:cs="Arial" w:hint="cs"/>
          <w:sz w:val="20"/>
          <w:szCs w:val="20"/>
          <w:rtl/>
        </w:rPr>
        <w:t xml:space="preserve">מר </w:t>
      </w:r>
      <w:r w:rsidRPr="00002D56">
        <w:rPr>
          <w:rFonts w:cs="Arial"/>
          <w:sz w:val="20"/>
          <w:szCs w:val="20"/>
          <w:rtl/>
        </w:rPr>
        <w:t>ר</w:t>
      </w:r>
      <w:r>
        <w:rPr>
          <w:rFonts w:cs="Arial" w:hint="cs"/>
          <w:sz w:val="20"/>
          <w:szCs w:val="20"/>
          <w:rtl/>
        </w:rPr>
        <w:t>בי</w:t>
      </w:r>
      <w:r w:rsidRPr="00002D56">
        <w:rPr>
          <w:rFonts w:cs="Arial"/>
          <w:sz w:val="20"/>
          <w:szCs w:val="20"/>
          <w:rtl/>
        </w:rPr>
        <w:t xml:space="preserve"> יוסי ברבי חנינא: סומא אינה משנה</w:t>
      </w:r>
      <w:r>
        <w:rPr>
          <w:rFonts w:cs="Arial" w:hint="cs"/>
          <w:sz w:val="20"/>
          <w:szCs w:val="20"/>
          <w:rtl/>
        </w:rPr>
        <w:t>".</w:t>
      </w:r>
    </w:p>
    <w:p w:rsidR="00620060" w:rsidRDefault="00620060" w:rsidP="00620060">
      <w:pPr>
        <w:rPr>
          <w:rFonts w:cs="Arial"/>
          <w:sz w:val="20"/>
          <w:szCs w:val="20"/>
          <w:rtl/>
        </w:rPr>
      </w:pPr>
      <w:r>
        <w:rPr>
          <w:rFonts w:cs="Arial" w:hint="cs"/>
          <w:b/>
          <w:bCs/>
          <w:sz w:val="20"/>
          <w:szCs w:val="20"/>
          <w:rtl/>
        </w:rPr>
        <w:t>פסיקת הלכה</w:t>
      </w:r>
      <w:r>
        <w:rPr>
          <w:rFonts w:cs="Arial"/>
          <w:b/>
          <w:bCs/>
          <w:sz w:val="20"/>
          <w:szCs w:val="20"/>
          <w:rtl/>
        </w:rPr>
        <w:br/>
      </w:r>
      <w:r>
        <w:rPr>
          <w:rFonts w:cs="Arial" w:hint="cs"/>
          <w:b/>
          <w:bCs/>
          <w:sz w:val="20"/>
          <w:szCs w:val="20"/>
          <w:rtl/>
        </w:rPr>
        <w:t xml:space="preserve">שולחן ערוך </w:t>
      </w:r>
      <w:r>
        <w:rPr>
          <w:rFonts w:cs="Arial"/>
          <w:sz w:val="20"/>
          <w:szCs w:val="20"/>
          <w:rtl/>
        </w:rPr>
        <w:t>–</w:t>
      </w:r>
      <w:r>
        <w:rPr>
          <w:rFonts w:cs="Arial" w:hint="cs"/>
          <w:sz w:val="20"/>
          <w:szCs w:val="20"/>
          <w:rtl/>
        </w:rPr>
        <w:t xml:space="preserve"> "</w:t>
      </w:r>
      <w:r>
        <w:rPr>
          <w:rFonts w:cs="Arial"/>
          <w:sz w:val="20"/>
          <w:szCs w:val="20"/>
          <w:rtl/>
        </w:rPr>
        <w:t>הסומא בודקת עצמה ומראה לחבירתה</w:t>
      </w:r>
      <w:r>
        <w:rPr>
          <w:rFonts w:cs="Arial" w:hint="cs"/>
          <w:sz w:val="20"/>
          <w:szCs w:val="20"/>
          <w:rtl/>
        </w:rPr>
        <w:t>".</w:t>
      </w:r>
    </w:p>
    <w:p w:rsidR="00620060" w:rsidRDefault="00620060" w:rsidP="00620060">
      <w:pPr>
        <w:rPr>
          <w:sz w:val="20"/>
          <w:szCs w:val="20"/>
          <w:rtl/>
        </w:rPr>
      </w:pPr>
      <w:r>
        <w:rPr>
          <w:rFonts w:cs="Arial"/>
          <w:sz w:val="20"/>
          <w:szCs w:val="20"/>
          <w:rtl/>
        </w:rPr>
        <w:br/>
      </w:r>
      <w:r>
        <w:rPr>
          <w:rFonts w:cs="Arial" w:hint="cs"/>
          <w:b/>
          <w:bCs/>
          <w:sz w:val="20"/>
          <w:szCs w:val="20"/>
          <w:rtl/>
        </w:rPr>
        <w:t xml:space="preserve">סעיף ח </w:t>
      </w:r>
      <w:r>
        <w:rPr>
          <w:rFonts w:cs="Arial"/>
          <w:b/>
          <w:bCs/>
          <w:sz w:val="20"/>
          <w:szCs w:val="20"/>
          <w:rtl/>
        </w:rPr>
        <w:t>–</w:t>
      </w:r>
      <w:r>
        <w:rPr>
          <w:rFonts w:cs="Arial" w:hint="cs"/>
          <w:b/>
          <w:bCs/>
          <w:sz w:val="20"/>
          <w:szCs w:val="20"/>
          <w:rtl/>
        </w:rPr>
        <w:t xml:space="preserve"> דין חרשת ושוטה</w:t>
      </w:r>
      <w:r>
        <w:rPr>
          <w:rFonts w:cs="Arial"/>
          <w:b/>
          <w:bCs/>
          <w:sz w:val="20"/>
          <w:szCs w:val="20"/>
          <w:rtl/>
        </w:rPr>
        <w:br/>
      </w:r>
      <w:r>
        <w:rPr>
          <w:rFonts w:cs="Arial" w:hint="cs"/>
          <w:b/>
          <w:bCs/>
          <w:sz w:val="20"/>
          <w:szCs w:val="20"/>
          <w:rtl/>
        </w:rPr>
        <w:t>מקור הדין</w:t>
      </w:r>
      <w:r>
        <w:rPr>
          <w:rFonts w:cs="Arial"/>
          <w:b/>
          <w:bCs/>
          <w:sz w:val="20"/>
          <w:szCs w:val="20"/>
          <w:rtl/>
        </w:rPr>
        <w:br/>
      </w:r>
      <w:r>
        <w:rPr>
          <w:rFonts w:hint="cs"/>
          <w:b/>
          <w:bCs/>
          <w:sz w:val="20"/>
          <w:szCs w:val="20"/>
          <w:rtl/>
        </w:rPr>
        <w:t xml:space="preserve">משנה </w:t>
      </w:r>
      <w:r>
        <w:rPr>
          <w:rFonts w:hint="cs"/>
          <w:sz w:val="20"/>
          <w:szCs w:val="20"/>
          <w:rtl/>
        </w:rPr>
        <w:t>נידה (יג.) "</w:t>
      </w:r>
      <w:r w:rsidRPr="00002D56">
        <w:rPr>
          <w:rFonts w:cs="Arial"/>
          <w:sz w:val="20"/>
          <w:szCs w:val="20"/>
          <w:rtl/>
        </w:rPr>
        <w:t>החרשת והשוטה והסומא ושנטרפה דעתה, אם יש להם פקחות - מתקנות אותן והן אוכלות בתרומה</w:t>
      </w:r>
      <w:r>
        <w:rPr>
          <w:rFonts w:cs="Arial" w:hint="cs"/>
          <w:sz w:val="20"/>
          <w:szCs w:val="20"/>
          <w:rtl/>
        </w:rPr>
        <w:t>"</w:t>
      </w:r>
      <w:r w:rsidRPr="00002D56">
        <w:rPr>
          <w:rFonts w:cs="Arial"/>
          <w:sz w:val="20"/>
          <w:szCs w:val="20"/>
          <w:rtl/>
        </w:rPr>
        <w:t>.</w:t>
      </w:r>
      <w:r>
        <w:rPr>
          <w:rFonts w:hint="cs"/>
          <w:b/>
          <w:bCs/>
          <w:sz w:val="20"/>
          <w:szCs w:val="20"/>
          <w:rtl/>
        </w:rPr>
        <w:br/>
        <w:t xml:space="preserve">גמרא </w:t>
      </w:r>
      <w:r>
        <w:rPr>
          <w:rFonts w:hint="cs"/>
          <w:sz w:val="20"/>
          <w:szCs w:val="20"/>
          <w:rtl/>
        </w:rPr>
        <w:t>(שם) "</w:t>
      </w:r>
      <w:r w:rsidRPr="00002D56">
        <w:rPr>
          <w:rFonts w:cs="Arial"/>
          <w:sz w:val="20"/>
          <w:szCs w:val="20"/>
          <w:rtl/>
        </w:rPr>
        <w:t>חרשת, איהי תבדוק לנפשה! דתניא, אמר רבי: חרשת היתה בשכונתינו, לא דיה שבודקת לעצמה - אלא שחברותיה רואות ומראות לה! התם - במדברת ואינה שומעת, הכא - בשאינה מדברת ואינה שומעת; כדתנן חרש שדברו חכמים בכל מקום אינו שומע ואינו מדבר. ושנטרפה דעתה. היינו שוטה! שנטרפה דעתה מחמת חולי</w:t>
      </w:r>
      <w:r>
        <w:rPr>
          <w:rFonts w:cs="Arial" w:hint="cs"/>
          <w:sz w:val="20"/>
          <w:szCs w:val="20"/>
          <w:rtl/>
        </w:rPr>
        <w:t>"</w:t>
      </w:r>
      <w:r w:rsidRPr="00002D56">
        <w:rPr>
          <w:rFonts w:cs="Arial"/>
          <w:sz w:val="20"/>
          <w:szCs w:val="20"/>
          <w:rtl/>
        </w:rPr>
        <w:t>.</w:t>
      </w:r>
      <w:r>
        <w:rPr>
          <w:rFonts w:hint="cs"/>
          <w:sz w:val="20"/>
          <w:szCs w:val="20"/>
          <w:rtl/>
        </w:rPr>
        <w:br/>
      </w:r>
      <w:r w:rsidRPr="00002D56">
        <w:rPr>
          <w:rFonts w:hint="cs"/>
          <w:b/>
          <w:bCs/>
          <w:sz w:val="20"/>
          <w:szCs w:val="20"/>
          <w:rtl/>
        </w:rPr>
        <w:t>רמב"ן</w:t>
      </w:r>
      <w:r>
        <w:rPr>
          <w:rFonts w:hint="cs"/>
          <w:sz w:val="20"/>
          <w:szCs w:val="20"/>
          <w:rtl/>
        </w:rPr>
        <w:t xml:space="preserve"> </w:t>
      </w:r>
      <w:r>
        <w:rPr>
          <w:sz w:val="20"/>
          <w:szCs w:val="20"/>
          <w:rtl/>
        </w:rPr>
        <w:t>–</w:t>
      </w:r>
      <w:r>
        <w:rPr>
          <w:rFonts w:hint="cs"/>
          <w:sz w:val="20"/>
          <w:szCs w:val="20"/>
          <w:rtl/>
        </w:rPr>
        <w:t xml:space="preserve"> אם חרשת ושוטה קבעו ווסת, דינן כשאר כל הנשים בעלות ווסת קבוע. אך אם לא קבעו ווסת, חוששות מל' יום לל' יום, וצריכות בדיקה ע"י נשים אחרות.</w:t>
      </w:r>
    </w:p>
    <w:p w:rsidR="00620060" w:rsidRDefault="00620060" w:rsidP="00620060">
      <w:pPr>
        <w:rPr>
          <w:sz w:val="20"/>
          <w:szCs w:val="20"/>
          <w:rtl/>
        </w:rPr>
      </w:pPr>
      <w:r>
        <w:rPr>
          <w:rFonts w:cs="Arial" w:hint="cs"/>
          <w:b/>
          <w:bCs/>
          <w:sz w:val="20"/>
          <w:szCs w:val="20"/>
          <w:rtl/>
        </w:rPr>
        <w:t>פסיקת הלכה</w:t>
      </w:r>
      <w:r>
        <w:rPr>
          <w:rFonts w:cs="Arial"/>
          <w:b/>
          <w:bCs/>
          <w:sz w:val="20"/>
          <w:szCs w:val="20"/>
          <w:rtl/>
        </w:rPr>
        <w:br/>
      </w:r>
      <w:r>
        <w:rPr>
          <w:rFonts w:cs="Arial" w:hint="cs"/>
          <w:b/>
          <w:bCs/>
          <w:sz w:val="20"/>
          <w:szCs w:val="20"/>
          <w:rtl/>
        </w:rPr>
        <w:t xml:space="preserve">שולחן ערוך </w:t>
      </w:r>
      <w:r>
        <w:rPr>
          <w:rFonts w:cs="Arial"/>
          <w:sz w:val="20"/>
          <w:szCs w:val="20"/>
          <w:rtl/>
        </w:rPr>
        <w:t>–</w:t>
      </w:r>
      <w:r>
        <w:rPr>
          <w:rFonts w:cs="Arial" w:hint="cs"/>
          <w:sz w:val="20"/>
          <w:szCs w:val="20"/>
          <w:rtl/>
        </w:rPr>
        <w:t xml:space="preserve"> "</w:t>
      </w:r>
      <w:r w:rsidRPr="00002D56">
        <w:rPr>
          <w:rFonts w:cs="Arial"/>
          <w:sz w:val="20"/>
          <w:szCs w:val="20"/>
          <w:rtl/>
        </w:rPr>
        <w:t xml:space="preserve">החרשת ששומעת ואינה מדברת או שמדברת ואינה שומעת, הרי הן כפקחות; </w:t>
      </w:r>
      <w:r>
        <w:rPr>
          <w:rFonts w:cs="Arial" w:hint="cs"/>
          <w:sz w:val="20"/>
          <w:szCs w:val="20"/>
          <w:rtl/>
        </w:rPr>
        <w:br/>
      </w:r>
      <w:r w:rsidRPr="00002D56">
        <w:rPr>
          <w:rFonts w:cs="Arial"/>
          <w:sz w:val="20"/>
          <w:szCs w:val="20"/>
          <w:rtl/>
        </w:rPr>
        <w:t>אבל אם אינה שומעת ואינה מדברת, וכן השוטה או שנטרפה דעתה מחמת חולי, צריכות פקחות לבדוק אותן ולקבוע להן וסתות כדי שתהיינה מותרות לבעליהן</w:t>
      </w:r>
      <w:r>
        <w:rPr>
          <w:rStyle w:val="a5"/>
          <w:rFonts w:cs="Arial"/>
          <w:sz w:val="20"/>
          <w:szCs w:val="20"/>
          <w:rtl/>
        </w:rPr>
        <w:footnoteReference w:id="534"/>
      </w:r>
      <w:r w:rsidRPr="00002D56">
        <w:rPr>
          <w:rFonts w:cs="Arial"/>
          <w:sz w:val="20"/>
          <w:szCs w:val="20"/>
          <w:rtl/>
        </w:rPr>
        <w:t>. הוקבע להן וסת, הרי הן כשאר כל הנשים; לא הוקבע להן, חוששות משל</w:t>
      </w:r>
      <w:r>
        <w:rPr>
          <w:rFonts w:cs="Arial" w:hint="cs"/>
          <w:sz w:val="20"/>
          <w:szCs w:val="20"/>
          <w:rtl/>
        </w:rPr>
        <w:t>ו</w:t>
      </w:r>
      <w:r w:rsidRPr="00002D56">
        <w:rPr>
          <w:rFonts w:cs="Arial"/>
          <w:sz w:val="20"/>
          <w:szCs w:val="20"/>
          <w:rtl/>
        </w:rPr>
        <w:t>שים יום לשל</w:t>
      </w:r>
      <w:r>
        <w:rPr>
          <w:rFonts w:cs="Arial" w:hint="cs"/>
          <w:sz w:val="20"/>
          <w:szCs w:val="20"/>
          <w:rtl/>
        </w:rPr>
        <w:t>ו</w:t>
      </w:r>
      <w:r w:rsidRPr="00002D56">
        <w:rPr>
          <w:rFonts w:cs="Arial"/>
          <w:sz w:val="20"/>
          <w:szCs w:val="20"/>
          <w:rtl/>
        </w:rPr>
        <w:t>שים יום ובודקות על ידי פקחות</w:t>
      </w:r>
      <w:r>
        <w:rPr>
          <w:rFonts w:cs="Arial" w:hint="cs"/>
          <w:sz w:val="20"/>
          <w:szCs w:val="20"/>
          <w:rtl/>
        </w:rPr>
        <w:t>"</w:t>
      </w:r>
      <w:r w:rsidRPr="00002D56">
        <w:rPr>
          <w:rFonts w:cs="Arial"/>
          <w:sz w:val="20"/>
          <w:szCs w:val="20"/>
          <w:rtl/>
        </w:rPr>
        <w:t>.</w:t>
      </w:r>
    </w:p>
    <w:p w:rsidR="00620060" w:rsidRDefault="00620060" w:rsidP="00620060">
      <w:pPr>
        <w:rPr>
          <w:sz w:val="20"/>
          <w:szCs w:val="20"/>
          <w:rtl/>
        </w:rPr>
      </w:pPr>
      <w:r w:rsidRPr="00123E40">
        <w:rPr>
          <w:rFonts w:hint="cs"/>
          <w:b/>
          <w:bCs/>
          <w:sz w:val="20"/>
          <w:szCs w:val="20"/>
          <w:rtl/>
        </w:rPr>
        <w:t>הוספות</w:t>
      </w:r>
      <w:r>
        <w:rPr>
          <w:sz w:val="20"/>
          <w:szCs w:val="20"/>
          <w:u w:val="single"/>
          <w:rtl/>
        </w:rPr>
        <w:br/>
      </w:r>
      <w:r>
        <w:rPr>
          <w:rFonts w:hint="cs"/>
          <w:sz w:val="20"/>
          <w:szCs w:val="20"/>
          <w:rtl/>
        </w:rPr>
        <w:t xml:space="preserve">א. </w:t>
      </w:r>
      <w:r w:rsidRPr="00123E40">
        <w:rPr>
          <w:rFonts w:hint="cs"/>
          <w:sz w:val="20"/>
          <w:szCs w:val="20"/>
          <w:u w:val="single"/>
          <w:rtl/>
        </w:rPr>
        <w:t>חרשת - אילמת ששומעת ע"י מכשיר שמיעה (טה"ב, עמ' שעח)</w:t>
      </w:r>
      <w:r>
        <w:rPr>
          <w:rFonts w:hint="cs"/>
          <w:sz w:val="20"/>
          <w:szCs w:val="20"/>
          <w:rtl/>
        </w:rPr>
        <w:br/>
        <w:t xml:space="preserve">חרשת </w:t>
      </w:r>
      <w:r>
        <w:rPr>
          <w:sz w:val="20"/>
          <w:szCs w:val="20"/>
          <w:rtl/>
        </w:rPr>
        <w:t>–</w:t>
      </w:r>
      <w:r>
        <w:rPr>
          <w:rFonts w:hint="cs"/>
          <w:sz w:val="20"/>
          <w:szCs w:val="20"/>
          <w:rtl/>
        </w:rPr>
        <w:t xml:space="preserve"> אילמת ששומעת ע"י מכשיר שמיעה, דינה כפיקחת.</w:t>
      </w:r>
      <w:r>
        <w:rPr>
          <w:sz w:val="20"/>
          <w:szCs w:val="20"/>
          <w:rtl/>
        </w:rPr>
        <w:br/>
      </w:r>
      <w:r>
        <w:rPr>
          <w:rFonts w:hint="cs"/>
          <w:sz w:val="20"/>
          <w:szCs w:val="20"/>
          <w:rtl/>
        </w:rPr>
        <w:t xml:space="preserve">וכן כתב </w:t>
      </w:r>
      <w:r w:rsidRPr="0011401E">
        <w:rPr>
          <w:rFonts w:hint="cs"/>
          <w:b/>
          <w:bCs/>
          <w:sz w:val="20"/>
          <w:szCs w:val="20"/>
          <w:rtl/>
        </w:rPr>
        <w:t>מהר"ם בן חביב</w:t>
      </w:r>
      <w:r>
        <w:rPr>
          <w:rFonts w:hint="cs"/>
          <w:sz w:val="20"/>
          <w:szCs w:val="20"/>
          <w:rtl/>
        </w:rPr>
        <w:t xml:space="preserve"> לעניין חרש ששומע רק ע"י שצועקים לתוך אזנו בחצוצרות, שדינו כפיקח גמור.</w:t>
      </w:r>
    </w:p>
    <w:p w:rsidR="00620060" w:rsidRDefault="00620060" w:rsidP="00620060">
      <w:pPr>
        <w:rPr>
          <w:sz w:val="20"/>
          <w:szCs w:val="20"/>
          <w:rtl/>
        </w:rPr>
      </w:pPr>
      <w:r>
        <w:rPr>
          <w:rFonts w:hint="cs"/>
          <w:sz w:val="20"/>
          <w:szCs w:val="20"/>
          <w:rtl/>
        </w:rPr>
        <w:lastRenderedPageBreak/>
        <w:t xml:space="preserve">ב. </w:t>
      </w:r>
      <w:r w:rsidRPr="00123E40">
        <w:rPr>
          <w:rFonts w:hint="cs"/>
          <w:sz w:val="20"/>
          <w:szCs w:val="20"/>
          <w:u w:val="single"/>
          <w:rtl/>
        </w:rPr>
        <w:t>נולד פיקח והתחרש (טה"ב, שם)</w:t>
      </w:r>
      <w:r>
        <w:rPr>
          <w:rFonts w:hint="cs"/>
          <w:sz w:val="20"/>
          <w:szCs w:val="20"/>
          <w:rtl/>
        </w:rPr>
        <w:br/>
      </w:r>
      <w:r w:rsidRPr="00123E40">
        <w:rPr>
          <w:rFonts w:hint="cs"/>
          <w:b/>
          <w:bCs/>
          <w:sz w:val="20"/>
          <w:szCs w:val="20"/>
          <w:rtl/>
        </w:rPr>
        <w:t>ש"ך</w:t>
      </w:r>
      <w:r>
        <w:rPr>
          <w:rFonts w:hint="cs"/>
          <w:sz w:val="20"/>
          <w:szCs w:val="20"/>
          <w:rtl/>
        </w:rPr>
        <w:t xml:space="preserve"> </w:t>
      </w:r>
      <w:r w:rsidRPr="00123E40">
        <w:rPr>
          <w:rFonts w:hint="cs"/>
          <w:sz w:val="18"/>
          <w:szCs w:val="18"/>
          <w:rtl/>
        </w:rPr>
        <w:t xml:space="preserve">(יו"ד, א, כב) </w:t>
      </w:r>
      <w:r>
        <w:rPr>
          <w:sz w:val="20"/>
          <w:szCs w:val="20"/>
          <w:rtl/>
        </w:rPr>
        <w:t>–</w:t>
      </w:r>
      <w:r>
        <w:rPr>
          <w:rFonts w:hint="cs"/>
          <w:sz w:val="20"/>
          <w:szCs w:val="20"/>
          <w:rtl/>
        </w:rPr>
        <w:t xml:space="preserve"> גם מי שנולד פיקח גמור, ורק לאחר מכן התחרש וגם אינו מדבר, דינו כחרש מלידה.</w:t>
      </w:r>
    </w:p>
    <w:p w:rsidR="00620060" w:rsidRDefault="00620060" w:rsidP="00620060">
      <w:pPr>
        <w:rPr>
          <w:sz w:val="20"/>
          <w:szCs w:val="20"/>
          <w:rtl/>
        </w:rPr>
      </w:pPr>
      <w:r>
        <w:rPr>
          <w:rFonts w:hint="cs"/>
          <w:sz w:val="20"/>
          <w:szCs w:val="20"/>
          <w:rtl/>
        </w:rPr>
        <w:t>ג.</w:t>
      </w:r>
      <w:r w:rsidRPr="00BE6885">
        <w:rPr>
          <w:rFonts w:hint="cs"/>
          <w:sz w:val="20"/>
          <w:szCs w:val="20"/>
          <w:rtl/>
        </w:rPr>
        <w:t xml:space="preserve"> </w:t>
      </w:r>
      <w:r w:rsidRPr="00BE6885">
        <w:rPr>
          <w:rFonts w:hint="cs"/>
          <w:sz w:val="20"/>
          <w:szCs w:val="20"/>
          <w:u w:val="single"/>
          <w:rtl/>
        </w:rPr>
        <w:t>חרשת אילמת שלמדה בבית ספר לחרשים</w:t>
      </w:r>
      <w:r>
        <w:rPr>
          <w:rFonts w:hint="cs"/>
          <w:sz w:val="20"/>
          <w:szCs w:val="20"/>
          <w:rtl/>
        </w:rPr>
        <w:t xml:space="preserve"> (טה"ב, עמ' שעט)</w:t>
      </w:r>
      <w:r>
        <w:rPr>
          <w:rFonts w:hint="cs"/>
          <w:sz w:val="20"/>
          <w:szCs w:val="20"/>
          <w:rtl/>
        </w:rPr>
        <w:br/>
        <w:t xml:space="preserve">נחלקו האחרונים לגבי חרש </w:t>
      </w:r>
      <w:r>
        <w:rPr>
          <w:sz w:val="20"/>
          <w:szCs w:val="20"/>
          <w:rtl/>
        </w:rPr>
        <w:t>–</w:t>
      </w:r>
      <w:r>
        <w:rPr>
          <w:rFonts w:hint="cs"/>
          <w:sz w:val="20"/>
          <w:szCs w:val="20"/>
          <w:rtl/>
        </w:rPr>
        <w:t xml:space="preserve"> אילם שלמד בבית הספר לחרשים ומתנהג כאחד האדם, האם דינו כפיקח או דינו נשאר כשהיה. ולמעשה, פסק טה"ב שבדאורייתא יש להחמיר, ולכן בדיקת הפס"ט, וכן בדיקת היום הראשון והשביעי, תיעשה ע"י פיקחת. כמו כן, יש להחמיר בדין הטבילה שתיעשה ע"י פיקחת. </w:t>
      </w:r>
    </w:p>
    <w:p w:rsidR="00620060" w:rsidRPr="00123E40" w:rsidRDefault="00620060" w:rsidP="00620060">
      <w:pPr>
        <w:rPr>
          <w:sz w:val="20"/>
          <w:szCs w:val="20"/>
          <w:rtl/>
        </w:rPr>
      </w:pPr>
      <w:r>
        <w:rPr>
          <w:rFonts w:hint="cs"/>
          <w:sz w:val="20"/>
          <w:szCs w:val="20"/>
          <w:rtl/>
        </w:rPr>
        <w:t xml:space="preserve">ד. </w:t>
      </w:r>
      <w:r w:rsidRPr="0076571B">
        <w:rPr>
          <w:rFonts w:hint="cs"/>
          <w:sz w:val="20"/>
          <w:szCs w:val="20"/>
          <w:u w:val="single"/>
          <w:rtl/>
        </w:rPr>
        <w:t>בדיקת חרשת כאשר פיקחת עומדת על גבה (טה"ב, עמ' שפה)</w:t>
      </w:r>
      <w:r>
        <w:rPr>
          <w:sz w:val="20"/>
          <w:szCs w:val="20"/>
          <w:rtl/>
        </w:rPr>
        <w:br/>
      </w:r>
      <w:r>
        <w:rPr>
          <w:rFonts w:hint="cs"/>
          <w:sz w:val="20"/>
          <w:szCs w:val="20"/>
          <w:rtl/>
        </w:rPr>
        <w:t>האם בדיקה של חרשת, כאשר אשה גדולה פיקחת עומדת על גבה ומשגיחה שתבדוק כהוגן, מועילה?</w:t>
      </w:r>
      <w:r>
        <w:rPr>
          <w:rFonts w:hint="cs"/>
          <w:sz w:val="20"/>
          <w:szCs w:val="20"/>
          <w:rtl/>
        </w:rPr>
        <w:br/>
        <w:t xml:space="preserve">א. </w:t>
      </w:r>
      <w:r w:rsidRPr="003E4F01">
        <w:rPr>
          <w:rFonts w:hint="cs"/>
          <w:b/>
          <w:bCs/>
          <w:sz w:val="20"/>
          <w:szCs w:val="20"/>
          <w:rtl/>
        </w:rPr>
        <w:t>בדה"ש</w:t>
      </w:r>
      <w:r>
        <w:rPr>
          <w:rFonts w:hint="cs"/>
          <w:sz w:val="20"/>
          <w:szCs w:val="20"/>
          <w:rtl/>
        </w:rPr>
        <w:t xml:space="preserve"> </w:t>
      </w:r>
      <w:r>
        <w:rPr>
          <w:sz w:val="20"/>
          <w:szCs w:val="20"/>
          <w:rtl/>
        </w:rPr>
        <w:t>–</w:t>
      </w:r>
      <w:r>
        <w:rPr>
          <w:rFonts w:hint="cs"/>
          <w:sz w:val="20"/>
          <w:szCs w:val="20"/>
          <w:rtl/>
        </w:rPr>
        <w:t xml:space="preserve"> לא.</w:t>
      </w:r>
      <w:r>
        <w:rPr>
          <w:sz w:val="20"/>
          <w:szCs w:val="20"/>
          <w:rtl/>
        </w:rPr>
        <w:br/>
      </w:r>
      <w:r>
        <w:rPr>
          <w:rFonts w:hint="cs"/>
          <w:sz w:val="20"/>
          <w:szCs w:val="20"/>
          <w:rtl/>
        </w:rPr>
        <w:t xml:space="preserve">ב. </w:t>
      </w:r>
      <w:r w:rsidRPr="003E4F01">
        <w:rPr>
          <w:rFonts w:hint="cs"/>
          <w:b/>
          <w:bCs/>
          <w:sz w:val="20"/>
          <w:szCs w:val="20"/>
          <w:rtl/>
        </w:rPr>
        <w:t>טה"ב</w:t>
      </w:r>
      <w:r>
        <w:rPr>
          <w:rFonts w:hint="cs"/>
          <w:sz w:val="20"/>
          <w:szCs w:val="20"/>
          <w:rtl/>
        </w:rPr>
        <w:t xml:space="preserve"> </w:t>
      </w:r>
      <w:r>
        <w:rPr>
          <w:sz w:val="20"/>
          <w:szCs w:val="20"/>
          <w:rtl/>
        </w:rPr>
        <w:t>–</w:t>
      </w:r>
      <w:r>
        <w:rPr>
          <w:rFonts w:hint="cs"/>
          <w:sz w:val="20"/>
          <w:szCs w:val="20"/>
          <w:rtl/>
        </w:rPr>
        <w:t xml:space="preserve"> כן.</w:t>
      </w:r>
      <w:r>
        <w:rPr>
          <w:rStyle w:val="a5"/>
          <w:sz w:val="20"/>
          <w:szCs w:val="20"/>
          <w:rtl/>
        </w:rPr>
        <w:footnoteReference w:id="535"/>
      </w:r>
    </w:p>
    <w:p w:rsidR="00620060" w:rsidRPr="006D5C78" w:rsidRDefault="00620060" w:rsidP="00620060">
      <w:pPr>
        <w:rPr>
          <w:sz w:val="20"/>
          <w:szCs w:val="20"/>
          <w:rtl/>
        </w:rPr>
      </w:pPr>
      <w:r>
        <w:rPr>
          <w:sz w:val="20"/>
          <w:szCs w:val="20"/>
          <w:rtl/>
        </w:rPr>
        <w:br/>
      </w:r>
      <w:r>
        <w:rPr>
          <w:rFonts w:hint="cs"/>
          <w:b/>
          <w:bCs/>
          <w:sz w:val="20"/>
          <w:szCs w:val="20"/>
          <w:rtl/>
        </w:rPr>
        <w:t xml:space="preserve">סעיף ט </w:t>
      </w:r>
      <w:r>
        <w:rPr>
          <w:b/>
          <w:bCs/>
          <w:sz w:val="20"/>
          <w:szCs w:val="20"/>
          <w:rtl/>
        </w:rPr>
        <w:t>–</w:t>
      </w:r>
      <w:r>
        <w:rPr>
          <w:rFonts w:hint="cs"/>
          <w:b/>
          <w:bCs/>
          <w:sz w:val="20"/>
          <w:szCs w:val="20"/>
          <w:rtl/>
        </w:rPr>
        <w:t xml:space="preserve"> ריבוי בדיקות</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משנה </w:t>
      </w:r>
      <w:r>
        <w:rPr>
          <w:rFonts w:hint="cs"/>
          <w:sz w:val="20"/>
          <w:szCs w:val="20"/>
          <w:rtl/>
        </w:rPr>
        <w:t>נידה (יג.) "</w:t>
      </w:r>
      <w:r w:rsidRPr="006D5C78">
        <w:rPr>
          <w:rFonts w:cs="Arial"/>
          <w:sz w:val="20"/>
          <w:szCs w:val="20"/>
          <w:rtl/>
        </w:rPr>
        <w:t xml:space="preserve">כל היד המרבה לבדוק, בנשים </w:t>
      </w:r>
      <w:r>
        <w:rPr>
          <w:rFonts w:cs="Arial"/>
          <w:sz w:val="20"/>
          <w:szCs w:val="20"/>
          <w:rtl/>
        </w:rPr>
        <w:t>–</w:t>
      </w:r>
      <w:r w:rsidRPr="006D5C78">
        <w:rPr>
          <w:rFonts w:cs="Arial"/>
          <w:sz w:val="20"/>
          <w:szCs w:val="20"/>
          <w:rtl/>
        </w:rPr>
        <w:t xml:space="preserve"> משובחת</w:t>
      </w:r>
      <w:r>
        <w:rPr>
          <w:rFonts w:cs="Arial" w:hint="cs"/>
          <w:sz w:val="20"/>
          <w:szCs w:val="20"/>
          <w:rtl/>
        </w:rPr>
        <w:t>".</w:t>
      </w:r>
    </w:p>
    <w:p w:rsidR="00620060" w:rsidRDefault="00620060" w:rsidP="00620060">
      <w:pPr>
        <w:rPr>
          <w:sz w:val="20"/>
          <w:szCs w:val="20"/>
          <w:rtl/>
        </w:rPr>
      </w:pPr>
      <w:r>
        <w:rPr>
          <w:rFonts w:cs="Arial" w:hint="cs"/>
          <w:b/>
          <w:bCs/>
          <w:sz w:val="20"/>
          <w:szCs w:val="20"/>
          <w:rtl/>
        </w:rPr>
        <w:t>פסיקת הלכה</w:t>
      </w:r>
      <w:r>
        <w:rPr>
          <w:rFonts w:cs="Arial"/>
          <w:b/>
          <w:bCs/>
          <w:sz w:val="20"/>
          <w:szCs w:val="20"/>
          <w:rtl/>
        </w:rPr>
        <w:br/>
      </w:r>
      <w:r>
        <w:rPr>
          <w:rFonts w:cs="Arial" w:hint="cs"/>
          <w:b/>
          <w:bCs/>
          <w:sz w:val="20"/>
          <w:szCs w:val="20"/>
          <w:rtl/>
        </w:rPr>
        <w:t xml:space="preserve">שולחן ערוך </w:t>
      </w:r>
      <w:r>
        <w:rPr>
          <w:rFonts w:cs="Arial"/>
          <w:sz w:val="20"/>
          <w:szCs w:val="20"/>
          <w:rtl/>
        </w:rPr>
        <w:t>–</w:t>
      </w:r>
      <w:r>
        <w:rPr>
          <w:rFonts w:cs="Arial" w:hint="cs"/>
          <w:sz w:val="20"/>
          <w:szCs w:val="20"/>
          <w:rtl/>
        </w:rPr>
        <w:t xml:space="preserve"> "</w:t>
      </w:r>
      <w:r w:rsidRPr="006D5C78">
        <w:rPr>
          <w:rFonts w:cs="Arial"/>
          <w:sz w:val="20"/>
          <w:szCs w:val="20"/>
          <w:rtl/>
        </w:rPr>
        <w:t>האשה שמרבה לבדוק, בין בימי ספירתה בין בימים שלא ראתה בהם, הרי זו משובחת אף על פ</w:t>
      </w:r>
      <w:r>
        <w:rPr>
          <w:rFonts w:cs="Arial"/>
          <w:sz w:val="20"/>
          <w:szCs w:val="20"/>
          <w:rtl/>
        </w:rPr>
        <w:t>י שיש לה וסת קבוע</w:t>
      </w:r>
      <w:r>
        <w:rPr>
          <w:rFonts w:cs="Arial" w:hint="cs"/>
          <w:sz w:val="20"/>
          <w:szCs w:val="20"/>
          <w:rtl/>
        </w:rPr>
        <w:t>".</w:t>
      </w:r>
    </w:p>
    <w:p w:rsidR="00620060" w:rsidRPr="00F626E4" w:rsidRDefault="00620060" w:rsidP="00620060">
      <w:pPr>
        <w:rPr>
          <w:sz w:val="20"/>
          <w:szCs w:val="20"/>
          <w:rtl/>
        </w:rPr>
      </w:pPr>
      <w:r>
        <w:rPr>
          <w:rFonts w:hint="cs"/>
          <w:sz w:val="20"/>
          <w:szCs w:val="20"/>
          <w:u w:val="single"/>
          <w:rtl/>
        </w:rPr>
        <w:t>הערות ששבה"ל</w:t>
      </w:r>
      <w:r>
        <w:rPr>
          <w:sz w:val="20"/>
          <w:szCs w:val="20"/>
          <w:u w:val="single"/>
          <w:rtl/>
        </w:rPr>
        <w:br/>
      </w:r>
      <w:r>
        <w:rPr>
          <w:rFonts w:hint="cs"/>
          <w:sz w:val="20"/>
          <w:szCs w:val="20"/>
          <w:rtl/>
        </w:rPr>
        <w:t>א. ריבוי בדיקות הוא דבר משובח דווקא שלא בשעת תשמיש, כדלעיל בסימן קפד'.</w:t>
      </w:r>
      <w:r>
        <w:rPr>
          <w:sz w:val="20"/>
          <w:szCs w:val="20"/>
          <w:rtl/>
        </w:rPr>
        <w:br/>
      </w:r>
      <w:r>
        <w:rPr>
          <w:rFonts w:hint="cs"/>
          <w:sz w:val="20"/>
          <w:szCs w:val="20"/>
          <w:rtl/>
        </w:rPr>
        <w:t xml:space="preserve">ב. כל האמור כאן הוא לגבי בדיקה רגילה שמבררת את טהרת האשה, אך אינה צריכה להסתכל על נייר הקינוח שבבית הכיסא לאחר הטלת מי רגליה. הטעם לכך הוא, משום שזו אינה בדיקה כיוון שהיא מבחוץ, וכן משום שבשעת הטלת מ"ר שכיחים כל מיני ליחות ומקלקלת את עצמה, ועוד משום שקינוח מבחוץ דינו ככתם שאינו מטמא על גבי דבר שאינו מקבל טומאה, ונייר של בית הכיסא אינו מק"ט </w:t>
      </w:r>
      <w:r w:rsidRPr="00F61975">
        <w:rPr>
          <w:rFonts w:hint="cs"/>
          <w:sz w:val="18"/>
          <w:szCs w:val="18"/>
          <w:rtl/>
        </w:rPr>
        <w:t>(אמנם, סיים את דבריו וכתב שאם מצאה כתם על נייר הקינוח שבבית הכיסא תעשה שאלת חכם, ולא זכיתי להבין מדוע החמיר בכך)</w:t>
      </w:r>
      <w:r>
        <w:rPr>
          <w:rFonts w:hint="cs"/>
          <w:sz w:val="20"/>
          <w:szCs w:val="20"/>
          <w:rtl/>
        </w:rPr>
        <w:t>.</w:t>
      </w:r>
    </w:p>
    <w:p w:rsidR="00620060" w:rsidRDefault="00620060" w:rsidP="00620060">
      <w:pPr>
        <w:rPr>
          <w:sz w:val="20"/>
          <w:szCs w:val="20"/>
          <w:rtl/>
        </w:rPr>
      </w:pPr>
      <w:r>
        <w:rPr>
          <w:rFonts w:hint="cs"/>
          <w:b/>
          <w:bCs/>
          <w:sz w:val="20"/>
          <w:szCs w:val="20"/>
          <w:rtl/>
        </w:rPr>
        <w:t>חזקת טהרה כשלא בדקה</w:t>
      </w:r>
      <w:r>
        <w:rPr>
          <w:b/>
          <w:bCs/>
          <w:sz w:val="20"/>
          <w:szCs w:val="20"/>
          <w:rtl/>
        </w:rPr>
        <w:br/>
      </w:r>
      <w:r>
        <w:rPr>
          <w:rFonts w:hint="cs"/>
          <w:b/>
          <w:bCs/>
          <w:sz w:val="20"/>
          <w:szCs w:val="20"/>
          <w:rtl/>
        </w:rPr>
        <w:t xml:space="preserve">משנה </w:t>
      </w:r>
      <w:r>
        <w:rPr>
          <w:rFonts w:hint="cs"/>
          <w:sz w:val="20"/>
          <w:szCs w:val="20"/>
          <w:rtl/>
        </w:rPr>
        <w:t>(שם, לט.) "</w:t>
      </w:r>
      <w:r w:rsidRPr="00927DB1">
        <w:rPr>
          <w:rFonts w:cs="Arial"/>
          <w:sz w:val="20"/>
          <w:szCs w:val="20"/>
          <w:rtl/>
        </w:rPr>
        <w:t xml:space="preserve">ישבה לה ולא בדקה, שגגה, נאנסה, הזידה ולא בדקה - טהורה. הגיע </w:t>
      </w:r>
      <w:r>
        <w:rPr>
          <w:rFonts w:cs="Arial"/>
          <w:sz w:val="20"/>
          <w:szCs w:val="20"/>
          <w:rtl/>
        </w:rPr>
        <w:t>שעת וסתה ולא בדקה - הרי זו טמאה</w:t>
      </w:r>
      <w:r>
        <w:rPr>
          <w:rFonts w:cs="Arial" w:hint="cs"/>
          <w:sz w:val="20"/>
          <w:szCs w:val="20"/>
          <w:rtl/>
        </w:rPr>
        <w:t>".</w:t>
      </w:r>
    </w:p>
    <w:p w:rsidR="00620060" w:rsidRDefault="00620060" w:rsidP="00620060">
      <w:pPr>
        <w:rPr>
          <w:sz w:val="20"/>
          <w:szCs w:val="20"/>
          <w:rtl/>
        </w:rPr>
      </w:pPr>
      <w:r>
        <w:rPr>
          <w:rFonts w:hint="cs"/>
          <w:b/>
          <w:bCs/>
          <w:sz w:val="20"/>
          <w:szCs w:val="20"/>
          <w:rtl/>
        </w:rPr>
        <w:t xml:space="preserve">סיכום </w:t>
      </w:r>
      <w:r w:rsidRPr="00011543">
        <w:rPr>
          <w:rFonts w:hint="cs"/>
          <w:sz w:val="18"/>
          <w:szCs w:val="18"/>
          <w:rtl/>
        </w:rPr>
        <w:t>(מסעיף ז)</w:t>
      </w:r>
      <w:r>
        <w:rPr>
          <w:b/>
          <w:bCs/>
          <w:sz w:val="20"/>
          <w:szCs w:val="20"/>
          <w:rtl/>
        </w:rPr>
        <w:br/>
      </w:r>
      <w:r>
        <w:rPr>
          <w:rFonts w:hint="cs"/>
          <w:sz w:val="20"/>
          <w:szCs w:val="20"/>
          <w:rtl/>
        </w:rPr>
        <w:t xml:space="preserve">1. </w:t>
      </w:r>
      <w:r w:rsidRPr="00927DB1">
        <w:rPr>
          <w:rFonts w:hint="cs"/>
          <w:b/>
          <w:bCs/>
          <w:sz w:val="20"/>
          <w:szCs w:val="20"/>
          <w:rtl/>
        </w:rPr>
        <w:t>גמרא</w:t>
      </w:r>
      <w:r>
        <w:rPr>
          <w:rFonts w:hint="cs"/>
          <w:sz w:val="20"/>
          <w:szCs w:val="20"/>
          <w:rtl/>
        </w:rPr>
        <w:t>. סומא בודקת עצמה ומראה לחברתה.</w:t>
      </w:r>
      <w:r>
        <w:rPr>
          <w:sz w:val="20"/>
          <w:szCs w:val="20"/>
          <w:rtl/>
        </w:rPr>
        <w:br/>
      </w:r>
      <w:r>
        <w:rPr>
          <w:rFonts w:hint="cs"/>
          <w:sz w:val="20"/>
          <w:szCs w:val="20"/>
          <w:rtl/>
        </w:rPr>
        <w:t xml:space="preserve">2. </w:t>
      </w:r>
      <w:r w:rsidRPr="00927DB1">
        <w:rPr>
          <w:rFonts w:hint="cs"/>
          <w:b/>
          <w:bCs/>
          <w:sz w:val="20"/>
          <w:szCs w:val="20"/>
          <w:rtl/>
        </w:rPr>
        <w:t>גמרא</w:t>
      </w:r>
      <w:r>
        <w:rPr>
          <w:rFonts w:hint="cs"/>
          <w:sz w:val="20"/>
          <w:szCs w:val="20"/>
          <w:rtl/>
        </w:rPr>
        <w:t>. חרשת השומעת ואינה מדברת או מדברת ואינה שומעת, דינה כפיקחת.</w:t>
      </w:r>
      <w:r>
        <w:rPr>
          <w:sz w:val="20"/>
          <w:szCs w:val="20"/>
          <w:rtl/>
        </w:rPr>
        <w:br/>
      </w:r>
      <w:r>
        <w:rPr>
          <w:rFonts w:hint="cs"/>
          <w:sz w:val="20"/>
          <w:szCs w:val="20"/>
          <w:rtl/>
        </w:rPr>
        <w:t>3. חרשת שאינה מדברת ואינה שומעת, וכן שוטה מחמת חולי או שנולדה כך, אחרות בודקות אותה וקובעת ווסת על ידן. אם לא קבעו ווסת, חוששות מל' לל'. כמו כן, מותרת לבעלה רק ע"י בדיקה של אחרת.</w:t>
      </w:r>
      <w:r>
        <w:rPr>
          <w:rFonts w:hint="cs"/>
          <w:sz w:val="20"/>
          <w:szCs w:val="20"/>
          <w:rtl/>
        </w:rPr>
        <w:br/>
        <w:t xml:space="preserve">4. </w:t>
      </w:r>
      <w:r w:rsidRPr="00927DB1">
        <w:rPr>
          <w:rFonts w:hint="cs"/>
          <w:b/>
          <w:bCs/>
          <w:sz w:val="20"/>
          <w:szCs w:val="20"/>
          <w:rtl/>
        </w:rPr>
        <w:t>משנה</w:t>
      </w:r>
      <w:r>
        <w:rPr>
          <w:rFonts w:hint="cs"/>
          <w:sz w:val="20"/>
          <w:szCs w:val="20"/>
          <w:rtl/>
        </w:rPr>
        <w:t>. כל היד המרבה לבדוק בנשים, משובחת, ואע"פ שיש לה ווסת קבוע.</w:t>
      </w:r>
    </w:p>
    <w:p w:rsidR="00620060" w:rsidRDefault="00620060" w:rsidP="00620060">
      <w:pPr>
        <w:rPr>
          <w:sz w:val="20"/>
          <w:szCs w:val="20"/>
          <w:rtl/>
        </w:rPr>
      </w:pPr>
      <w:r>
        <w:rPr>
          <w:sz w:val="20"/>
          <w:szCs w:val="20"/>
          <w:rtl/>
        </w:rPr>
        <w:br/>
      </w:r>
      <w:r>
        <w:rPr>
          <w:rFonts w:hint="cs"/>
          <w:b/>
          <w:bCs/>
          <w:sz w:val="20"/>
          <w:szCs w:val="20"/>
          <w:rtl/>
        </w:rPr>
        <w:t xml:space="preserve">סעיף י </w:t>
      </w:r>
      <w:r>
        <w:rPr>
          <w:b/>
          <w:bCs/>
          <w:sz w:val="20"/>
          <w:szCs w:val="20"/>
          <w:rtl/>
        </w:rPr>
        <w:t>–</w:t>
      </w:r>
      <w:r>
        <w:rPr>
          <w:rFonts w:hint="cs"/>
          <w:b/>
          <w:bCs/>
          <w:sz w:val="20"/>
          <w:szCs w:val="20"/>
          <w:rtl/>
        </w:rPr>
        <w:t xml:space="preserve"> רציפות שבעת הנקיים וחומרת שלושת הימים הראשונים</w:t>
      </w:r>
      <w:r>
        <w:rPr>
          <w:rFonts w:hint="cs"/>
          <w:b/>
          <w:bCs/>
          <w:sz w:val="20"/>
          <w:szCs w:val="20"/>
          <w:rtl/>
        </w:rPr>
        <w:br/>
        <w:t>מקור הדין</w:t>
      </w:r>
      <w:r>
        <w:rPr>
          <w:b/>
          <w:bCs/>
          <w:sz w:val="20"/>
          <w:szCs w:val="20"/>
          <w:rtl/>
        </w:rPr>
        <w:br/>
      </w:r>
      <w:r w:rsidRPr="00B74626">
        <w:rPr>
          <w:rStyle w:val="10"/>
          <w:rFonts w:hint="cs"/>
          <w:rtl/>
        </w:rPr>
        <w:t>א</w:t>
      </w:r>
      <w:r w:rsidRPr="00B74626">
        <w:rPr>
          <w:rFonts w:hint="cs"/>
          <w:sz w:val="20"/>
          <w:szCs w:val="20"/>
          <w:rtl/>
        </w:rPr>
        <w:t>.</w:t>
      </w:r>
      <w:r>
        <w:rPr>
          <w:rFonts w:hint="cs"/>
          <w:b/>
          <w:bCs/>
          <w:sz w:val="20"/>
          <w:szCs w:val="20"/>
          <w:rtl/>
        </w:rPr>
        <w:t xml:space="preserve"> רציפות שבעת הנקיים</w:t>
      </w:r>
      <w:r>
        <w:rPr>
          <w:rFonts w:hint="cs"/>
          <w:b/>
          <w:bCs/>
          <w:sz w:val="20"/>
          <w:szCs w:val="20"/>
          <w:rtl/>
        </w:rPr>
        <w:br/>
        <w:t xml:space="preserve">גמרא </w:t>
      </w:r>
      <w:r>
        <w:rPr>
          <w:rFonts w:hint="cs"/>
          <w:sz w:val="20"/>
          <w:szCs w:val="20"/>
          <w:rtl/>
        </w:rPr>
        <w:t>נידה (לז.) "</w:t>
      </w:r>
      <w:r w:rsidRPr="00B74626">
        <w:rPr>
          <w:rFonts w:cs="Arial"/>
          <w:sz w:val="20"/>
          <w:szCs w:val="20"/>
          <w:rtl/>
        </w:rPr>
        <w:t>תניא ואחר תטהר - אחר אחר לכולן, שלא תהא טומאה מפסקת ביניהם</w:t>
      </w:r>
      <w:r>
        <w:rPr>
          <w:rFonts w:cs="Arial" w:hint="cs"/>
          <w:sz w:val="20"/>
          <w:szCs w:val="20"/>
          <w:rtl/>
        </w:rPr>
        <w:t>".</w:t>
      </w:r>
      <w:r>
        <w:rPr>
          <w:rFonts w:hint="cs"/>
          <w:sz w:val="20"/>
          <w:szCs w:val="20"/>
          <w:rtl/>
        </w:rPr>
        <w:br/>
      </w:r>
      <w:r>
        <w:rPr>
          <w:rFonts w:hint="cs"/>
          <w:sz w:val="20"/>
          <w:szCs w:val="20"/>
          <w:rtl/>
        </w:rPr>
        <w:br/>
      </w:r>
      <w:r>
        <w:rPr>
          <w:rFonts w:hint="cs"/>
          <w:b/>
          <w:bCs/>
          <w:sz w:val="20"/>
          <w:szCs w:val="20"/>
          <w:rtl/>
        </w:rPr>
        <w:lastRenderedPageBreak/>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B16EE4">
        <w:rPr>
          <w:rFonts w:cs="Arial"/>
          <w:sz w:val="20"/>
          <w:szCs w:val="20"/>
          <w:rtl/>
        </w:rPr>
        <w:t>השבעה נקיים צריך שיהיו רצופים שלא תראה דם בהם, שאם ראתה דם אפילו בסוף יום השביעי סתרה כל הימים וצריכה לפסוק</w:t>
      </w:r>
      <w:r>
        <w:rPr>
          <w:rFonts w:cs="Arial"/>
          <w:sz w:val="20"/>
          <w:szCs w:val="20"/>
          <w:rtl/>
        </w:rPr>
        <w:t xml:space="preserve"> בטהרה ולחזור ולמנות שבעה נקיים</w:t>
      </w:r>
      <w:r>
        <w:rPr>
          <w:rFonts w:cs="Arial" w:hint="cs"/>
          <w:sz w:val="20"/>
          <w:szCs w:val="20"/>
          <w:rtl/>
        </w:rPr>
        <w:t>".</w:t>
      </w:r>
    </w:p>
    <w:p w:rsidR="00620060" w:rsidRPr="00E54EFC" w:rsidRDefault="00620060" w:rsidP="00620060">
      <w:pPr>
        <w:rPr>
          <w:sz w:val="20"/>
          <w:szCs w:val="20"/>
          <w:rtl/>
        </w:rPr>
      </w:pPr>
      <w:r>
        <w:rPr>
          <w:rFonts w:hint="cs"/>
          <w:b/>
          <w:bCs/>
          <w:sz w:val="20"/>
          <w:szCs w:val="20"/>
          <w:rtl/>
        </w:rPr>
        <w:t>ביאור לשון 'סתירה' שכתבו הטור והמחבר</w:t>
      </w:r>
      <w:r>
        <w:rPr>
          <w:sz w:val="20"/>
          <w:szCs w:val="20"/>
          <w:u w:val="single"/>
          <w:rtl/>
        </w:rPr>
        <w:br/>
      </w:r>
      <w:r>
        <w:rPr>
          <w:rFonts w:hint="cs"/>
          <w:sz w:val="20"/>
          <w:szCs w:val="20"/>
          <w:u w:val="single"/>
          <w:rtl/>
        </w:rPr>
        <w:t>תמיהה על לשון הטור והשולחן ערוך</w:t>
      </w:r>
      <w:r>
        <w:rPr>
          <w:rFonts w:hint="cs"/>
          <w:sz w:val="20"/>
          <w:szCs w:val="20"/>
          <w:u w:val="single"/>
          <w:rtl/>
        </w:rPr>
        <w:br/>
      </w:r>
      <w:r w:rsidRPr="00E54EFC">
        <w:rPr>
          <w:rFonts w:hint="cs"/>
          <w:b/>
          <w:bCs/>
          <w:sz w:val="20"/>
          <w:szCs w:val="20"/>
          <w:rtl/>
        </w:rPr>
        <w:t>טור</w:t>
      </w:r>
      <w:r>
        <w:rPr>
          <w:rFonts w:hint="cs"/>
          <w:sz w:val="20"/>
          <w:szCs w:val="20"/>
          <w:rtl/>
        </w:rPr>
        <w:t xml:space="preserve"> -</w:t>
      </w:r>
      <w:r w:rsidRPr="00E54EFC">
        <w:rPr>
          <w:rFonts w:hint="cs"/>
          <w:sz w:val="20"/>
          <w:szCs w:val="20"/>
          <w:rtl/>
        </w:rPr>
        <w:t xml:space="preserve"> "</w:t>
      </w:r>
      <w:r w:rsidRPr="00E54EFC">
        <w:rPr>
          <w:rFonts w:cs="Arial"/>
          <w:sz w:val="20"/>
          <w:szCs w:val="20"/>
          <w:rtl/>
        </w:rPr>
        <w:t>כל ספירת הז' צריך שיהא רצופין שלא תהא ראיית דם ביניהם שאפי</w:t>
      </w:r>
      <w:r w:rsidRPr="00E54EFC">
        <w:rPr>
          <w:rFonts w:cs="Arial" w:hint="cs"/>
          <w:sz w:val="20"/>
          <w:szCs w:val="20"/>
          <w:rtl/>
        </w:rPr>
        <w:t>לו</w:t>
      </w:r>
      <w:r w:rsidRPr="00E54EFC">
        <w:rPr>
          <w:rFonts w:cs="Arial"/>
          <w:sz w:val="20"/>
          <w:szCs w:val="20"/>
          <w:rtl/>
        </w:rPr>
        <w:t xml:space="preserve"> ראתה בשביעי סמוך לשקיעת החמה </w:t>
      </w:r>
      <w:r w:rsidRPr="00E54EFC">
        <w:rPr>
          <w:rFonts w:cs="Arial"/>
          <w:sz w:val="20"/>
          <w:szCs w:val="20"/>
          <w:u w:val="single"/>
          <w:rtl/>
        </w:rPr>
        <w:t>או בין השמשות שהוא ספק יום</w:t>
      </w:r>
      <w:r w:rsidRPr="00E54EFC">
        <w:rPr>
          <w:rFonts w:cs="Arial"/>
          <w:sz w:val="20"/>
          <w:szCs w:val="20"/>
          <w:rtl/>
        </w:rPr>
        <w:t xml:space="preserve"> סותרת כל המנין וחוזרת למניינה עד שיהא להם ז' רצופין לגמרי</w:t>
      </w:r>
      <w:r w:rsidRPr="00E54EFC">
        <w:rPr>
          <w:rFonts w:cs="Arial" w:hint="cs"/>
          <w:sz w:val="20"/>
          <w:szCs w:val="20"/>
          <w:rtl/>
        </w:rPr>
        <w:t>".</w:t>
      </w:r>
      <w:r>
        <w:rPr>
          <w:rFonts w:hint="cs"/>
          <w:sz w:val="20"/>
          <w:szCs w:val="20"/>
          <w:rtl/>
        </w:rPr>
        <w:br/>
      </w:r>
      <w:r>
        <w:rPr>
          <w:rFonts w:hint="cs"/>
          <w:sz w:val="20"/>
          <w:szCs w:val="20"/>
          <w:rtl/>
        </w:rPr>
        <w:br/>
      </w:r>
      <w:r>
        <w:rPr>
          <w:rFonts w:hint="cs"/>
          <w:sz w:val="20"/>
          <w:szCs w:val="20"/>
          <w:u w:val="single"/>
          <w:rtl/>
        </w:rPr>
        <w:t>ביאור האחרונים בדברי הטור</w:t>
      </w:r>
      <w:r w:rsidRPr="00E54EFC">
        <w:rPr>
          <w:sz w:val="20"/>
          <w:szCs w:val="20"/>
          <w:rtl/>
        </w:rPr>
        <w:br/>
      </w:r>
      <w:r>
        <w:rPr>
          <w:rFonts w:hint="cs"/>
          <w:sz w:val="20"/>
          <w:szCs w:val="20"/>
          <w:rtl/>
        </w:rPr>
        <w:t xml:space="preserve">א. </w:t>
      </w:r>
      <w:r w:rsidRPr="00E54EFC">
        <w:rPr>
          <w:rFonts w:hint="cs"/>
          <w:b/>
          <w:bCs/>
          <w:sz w:val="20"/>
          <w:szCs w:val="20"/>
          <w:rtl/>
        </w:rPr>
        <w:t>בית יוסף</w:t>
      </w:r>
      <w:r w:rsidRPr="00E54EFC">
        <w:rPr>
          <w:rFonts w:hint="cs"/>
          <w:sz w:val="20"/>
          <w:szCs w:val="20"/>
          <w:rtl/>
        </w:rPr>
        <w:t xml:space="preserve"> </w:t>
      </w:r>
      <w:r w:rsidRPr="00E54EFC">
        <w:rPr>
          <w:sz w:val="20"/>
          <w:szCs w:val="20"/>
          <w:rtl/>
        </w:rPr>
        <w:t>–</w:t>
      </w:r>
      <w:r w:rsidRPr="00E54EFC">
        <w:rPr>
          <w:rFonts w:hint="cs"/>
          <w:sz w:val="20"/>
          <w:szCs w:val="20"/>
          <w:rtl/>
        </w:rPr>
        <w:t xml:space="preserve"> לדין התלמוד היתה נפק"מ בכך שביה"ש הוא ספק יום, שכיוון שהוא ספק יום, היא נמצאת עדיין בז' נקיים ולכן ראיית דם סותרת. אך אם ביה"ש היה לילה לא היתה סותרת כל הז' נקיים, אלא מונה מכאן והלאה שישה ימים ואפילו שופעת בהם דם טובלת בסופם וטהורה, כדין נידה דאורייתא.</w:t>
      </w:r>
      <w:r w:rsidRPr="00E54EFC">
        <w:rPr>
          <w:sz w:val="20"/>
          <w:szCs w:val="20"/>
          <w:rtl/>
        </w:rPr>
        <w:br/>
      </w:r>
      <w:r w:rsidRPr="00E54EFC">
        <w:rPr>
          <w:rFonts w:hint="cs"/>
          <w:sz w:val="20"/>
          <w:szCs w:val="20"/>
          <w:rtl/>
        </w:rPr>
        <w:t>ואמנם, לאחר חומרת רבי זירא אין נפק"מ בכל הנ"ל, שהרי החמירו לשבת על כל טיפת דם כחרדל ז' נקיים, ואם כן אפילו אם רואה בלילה של מוצאי ז' נקיים עדיין צריכה למנות ז' נקיים.</w:t>
      </w:r>
      <w:r>
        <w:rPr>
          <w:sz w:val="20"/>
          <w:szCs w:val="20"/>
          <w:u w:val="single"/>
          <w:rtl/>
        </w:rPr>
        <w:br/>
      </w:r>
      <w:r>
        <w:rPr>
          <w:sz w:val="20"/>
          <w:szCs w:val="20"/>
          <w:rtl/>
        </w:rPr>
        <w:br/>
      </w:r>
      <w:r>
        <w:rPr>
          <w:rFonts w:hint="cs"/>
          <w:sz w:val="20"/>
          <w:szCs w:val="20"/>
          <w:rtl/>
        </w:rPr>
        <w:t xml:space="preserve">ב. </w:t>
      </w:r>
      <w:r w:rsidRPr="00E54EFC">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לא נראה</w:t>
      </w:r>
      <w:r w:rsidRPr="00D90193">
        <w:rPr>
          <w:rFonts w:hint="cs"/>
          <w:b/>
          <w:bCs/>
          <w:sz w:val="20"/>
          <w:szCs w:val="20"/>
          <w:rtl/>
        </w:rPr>
        <w:t xml:space="preserve"> שהטור</w:t>
      </w:r>
      <w:r>
        <w:rPr>
          <w:rFonts w:hint="cs"/>
          <w:sz w:val="20"/>
          <w:szCs w:val="20"/>
          <w:rtl/>
        </w:rPr>
        <w:t xml:space="preserve"> יכתוב דין שאין לו נפק"מ עבורנו. </w:t>
      </w:r>
      <w:r>
        <w:rPr>
          <w:sz w:val="20"/>
          <w:szCs w:val="20"/>
          <w:rtl/>
        </w:rPr>
        <w:br/>
      </w:r>
      <w:r>
        <w:rPr>
          <w:rFonts w:hint="cs"/>
          <w:sz w:val="20"/>
          <w:szCs w:val="20"/>
          <w:rtl/>
        </w:rPr>
        <w:t xml:space="preserve">ועוד, גם </w:t>
      </w:r>
      <w:r w:rsidRPr="00D90193">
        <w:rPr>
          <w:rFonts w:hint="cs"/>
          <w:b/>
          <w:bCs/>
          <w:sz w:val="20"/>
          <w:szCs w:val="20"/>
          <w:rtl/>
        </w:rPr>
        <w:t>השו"ע</w:t>
      </w:r>
      <w:r>
        <w:rPr>
          <w:rFonts w:hint="cs"/>
          <w:sz w:val="20"/>
          <w:szCs w:val="20"/>
          <w:rtl/>
        </w:rPr>
        <w:t xml:space="preserve"> כתב שצריכה למנות ז' נקיים משום שסתרה את כל הימים שספרה עד עתה, ומדוע כתב בלשון זו? הרי אפילו אם לא סתרה מניינה צריכה לשבת ז' נקיים לאחר חומרת רבי זירא!</w:t>
      </w:r>
      <w:r>
        <w:rPr>
          <w:sz w:val="20"/>
          <w:szCs w:val="20"/>
          <w:rtl/>
        </w:rPr>
        <w:br/>
      </w:r>
      <w:r>
        <w:rPr>
          <w:rFonts w:hint="cs"/>
          <w:sz w:val="20"/>
          <w:szCs w:val="20"/>
          <w:rtl/>
        </w:rPr>
        <w:t xml:space="preserve">אלא, נראה שיש בכך חידוש שונה - </w:t>
      </w:r>
      <w:r>
        <w:rPr>
          <w:sz w:val="20"/>
          <w:szCs w:val="20"/>
          <w:rtl/>
        </w:rPr>
        <w:br/>
      </w:r>
      <w:r>
        <w:rPr>
          <w:rFonts w:hint="cs"/>
          <w:sz w:val="20"/>
          <w:szCs w:val="20"/>
          <w:rtl/>
        </w:rPr>
        <w:t>קיי"ל בריש סימן קפו', שאשה שיש לה ווסת קבוע עומדת תמיד בחזקת טהרה וא"צ בדיקה לפני תשמיש.</w:t>
      </w:r>
      <w:r>
        <w:rPr>
          <w:sz w:val="20"/>
          <w:szCs w:val="20"/>
          <w:rtl/>
        </w:rPr>
        <w:br/>
      </w:r>
      <w:r>
        <w:rPr>
          <w:rFonts w:hint="cs"/>
          <w:sz w:val="20"/>
          <w:szCs w:val="20"/>
          <w:rtl/>
        </w:rPr>
        <w:t xml:space="preserve">ואמנם, בז' נקיים עומדת האשה בחזקת טומאה וצריכה בדיקה, כמבואר לעיל סעיף ד'. </w:t>
      </w:r>
      <w:r>
        <w:rPr>
          <w:sz w:val="20"/>
          <w:szCs w:val="20"/>
          <w:rtl/>
        </w:rPr>
        <w:br/>
      </w:r>
      <w:r>
        <w:rPr>
          <w:rFonts w:hint="cs"/>
          <w:sz w:val="20"/>
          <w:szCs w:val="20"/>
          <w:rtl/>
        </w:rPr>
        <w:t>המחבר קמ"ל כאן שגם בז' נקיים הבאים מחמת סתירת הנקיים הראשונים עומדת היא בחזקת טומאה וצריכה בדיקה, כלומר שעד שלא יעברו עליה ז' נקיים רצופים הרי היא בטומאתה וצריכה בדיקה.</w:t>
      </w:r>
      <w:r>
        <w:rPr>
          <w:rStyle w:val="a5"/>
          <w:sz w:val="20"/>
          <w:szCs w:val="20"/>
          <w:rtl/>
        </w:rPr>
        <w:footnoteReference w:id="536"/>
      </w:r>
    </w:p>
    <w:p w:rsidR="00620060" w:rsidRDefault="00620060" w:rsidP="00620060">
      <w:pPr>
        <w:rPr>
          <w:sz w:val="20"/>
          <w:szCs w:val="20"/>
          <w:rtl/>
        </w:rPr>
      </w:pPr>
      <w:r w:rsidRPr="009B0240">
        <w:rPr>
          <w:rStyle w:val="10"/>
          <w:rFonts w:hint="cs"/>
          <w:rtl/>
        </w:rPr>
        <w:t>ב</w:t>
      </w:r>
      <w:r>
        <w:rPr>
          <w:rFonts w:hint="cs"/>
          <w:sz w:val="20"/>
          <w:szCs w:val="20"/>
          <w:rtl/>
        </w:rPr>
        <w:t xml:space="preserve">. </w:t>
      </w:r>
      <w:r w:rsidRPr="009B0240">
        <w:rPr>
          <w:rFonts w:hint="cs"/>
          <w:b/>
          <w:bCs/>
          <w:sz w:val="20"/>
          <w:szCs w:val="20"/>
          <w:rtl/>
        </w:rPr>
        <w:t>חומרת שלושת הימים הראשונים</w:t>
      </w:r>
      <w:r>
        <w:rPr>
          <w:rFonts w:hint="cs"/>
          <w:sz w:val="20"/>
          <w:szCs w:val="20"/>
          <w:rtl/>
        </w:rPr>
        <w:br/>
      </w:r>
      <w:r>
        <w:rPr>
          <w:rFonts w:hint="cs"/>
          <w:b/>
          <w:bCs/>
          <w:sz w:val="20"/>
          <w:szCs w:val="20"/>
          <w:rtl/>
        </w:rPr>
        <w:t>מקור הדין</w:t>
      </w:r>
      <w:r>
        <w:rPr>
          <w:rFonts w:hint="cs"/>
          <w:b/>
          <w:bCs/>
          <w:sz w:val="20"/>
          <w:szCs w:val="20"/>
          <w:rtl/>
        </w:rPr>
        <w:br/>
      </w:r>
      <w:r>
        <w:rPr>
          <w:rFonts w:hint="cs"/>
          <w:sz w:val="20"/>
          <w:szCs w:val="20"/>
          <w:rtl/>
        </w:rPr>
        <w:t xml:space="preserve">א. </w:t>
      </w:r>
      <w:r>
        <w:rPr>
          <w:rFonts w:hint="cs"/>
          <w:b/>
          <w:bCs/>
          <w:sz w:val="20"/>
          <w:szCs w:val="20"/>
          <w:rtl/>
        </w:rPr>
        <w:t xml:space="preserve">מרדכי ותרומה </w:t>
      </w:r>
      <w:r>
        <w:rPr>
          <w:sz w:val="20"/>
          <w:szCs w:val="20"/>
          <w:rtl/>
        </w:rPr>
        <w:t>–</w:t>
      </w:r>
      <w:r>
        <w:rPr>
          <w:rFonts w:hint="cs"/>
          <w:sz w:val="20"/>
          <w:szCs w:val="20"/>
          <w:rtl/>
        </w:rPr>
        <w:t xml:space="preserve"> שלושת הימים הראשונים של ז' נקיים צריכים להיות נקיים לחלוטין מכל כתם, וכ"פ </w:t>
      </w:r>
      <w:r w:rsidRPr="008C57C1">
        <w:rPr>
          <w:rFonts w:hint="cs"/>
          <w:b/>
          <w:bCs/>
          <w:sz w:val="20"/>
          <w:szCs w:val="20"/>
          <w:rtl/>
        </w:rPr>
        <w:t>רמ"א</w:t>
      </w:r>
      <w:r>
        <w:rPr>
          <w:rFonts w:hint="cs"/>
          <w:sz w:val="20"/>
          <w:szCs w:val="20"/>
          <w:rtl/>
        </w:rPr>
        <w:t xml:space="preserve">. </w:t>
      </w:r>
      <w:r>
        <w:rPr>
          <w:sz w:val="20"/>
          <w:szCs w:val="20"/>
          <w:rtl/>
        </w:rPr>
        <w:br/>
      </w:r>
      <w:r>
        <w:rPr>
          <w:rFonts w:hint="cs"/>
          <w:sz w:val="20"/>
          <w:szCs w:val="20"/>
          <w:rtl/>
        </w:rPr>
        <w:t>כלומר, אפילו בדבר שבימי טהרה תולים, כגון עברה בשוק של טבחים, בשלושת הימים הראשונים אין תולים</w:t>
      </w:r>
      <w:r>
        <w:rPr>
          <w:rStyle w:val="a5"/>
          <w:sz w:val="20"/>
          <w:szCs w:val="20"/>
          <w:rtl/>
        </w:rPr>
        <w:footnoteReference w:id="537"/>
      </w:r>
      <w:r>
        <w:rPr>
          <w:rFonts w:hint="cs"/>
          <w:sz w:val="20"/>
          <w:szCs w:val="20"/>
          <w:rtl/>
        </w:rPr>
        <w:t>.</w:t>
      </w:r>
      <w:r>
        <w:rPr>
          <w:sz w:val="20"/>
          <w:szCs w:val="20"/>
          <w:rtl/>
        </w:rPr>
        <w:br/>
      </w:r>
      <w:r w:rsidRPr="009B0240">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היא צריכה לדעת בוודאות שפסק מעיינה.</w:t>
      </w:r>
      <w:r>
        <w:rPr>
          <w:sz w:val="20"/>
          <w:szCs w:val="20"/>
          <w:rtl/>
        </w:rPr>
        <w:br/>
      </w:r>
      <w:r>
        <w:rPr>
          <w:rFonts w:hint="cs"/>
          <w:sz w:val="20"/>
          <w:szCs w:val="20"/>
          <w:rtl/>
        </w:rPr>
        <w:t xml:space="preserve">ב. </w:t>
      </w:r>
      <w:r w:rsidRPr="00E634FE">
        <w:rPr>
          <w:rFonts w:hint="cs"/>
          <w:b/>
          <w:bCs/>
          <w:sz w:val="20"/>
          <w:szCs w:val="20"/>
          <w:rtl/>
        </w:rPr>
        <w:t>רשב"א</w:t>
      </w:r>
      <w:r>
        <w:rPr>
          <w:rFonts w:hint="cs"/>
          <w:sz w:val="20"/>
          <w:szCs w:val="20"/>
          <w:rtl/>
        </w:rPr>
        <w:t xml:space="preserve"> </w:t>
      </w:r>
      <w:r w:rsidRPr="009A11BE">
        <w:rPr>
          <w:rFonts w:hint="cs"/>
          <w:sz w:val="18"/>
          <w:szCs w:val="18"/>
          <w:rtl/>
        </w:rPr>
        <w:t xml:space="preserve">(הו"ד </w:t>
      </w:r>
      <w:r w:rsidRPr="00ED7338">
        <w:rPr>
          <w:rFonts w:hint="cs"/>
          <w:b/>
          <w:bCs/>
          <w:sz w:val="18"/>
          <w:szCs w:val="18"/>
          <w:rtl/>
        </w:rPr>
        <w:t>בב"י</w:t>
      </w:r>
      <w:r w:rsidRPr="009A11BE">
        <w:rPr>
          <w:rFonts w:hint="cs"/>
          <w:sz w:val="18"/>
          <w:szCs w:val="18"/>
          <w:rtl/>
        </w:rPr>
        <w:t xml:space="preserve"> סימן קצ</w:t>
      </w:r>
      <w:r>
        <w:rPr>
          <w:rFonts w:hint="cs"/>
          <w:sz w:val="18"/>
          <w:szCs w:val="18"/>
          <w:rtl/>
        </w:rPr>
        <w:t>'</w:t>
      </w:r>
      <w:r w:rsidRPr="009A11BE">
        <w:rPr>
          <w:rFonts w:hint="cs"/>
          <w:sz w:val="18"/>
          <w:szCs w:val="18"/>
          <w:rtl/>
        </w:rPr>
        <w:t>)</w:t>
      </w:r>
      <w:r>
        <w:rPr>
          <w:rFonts w:hint="cs"/>
          <w:sz w:val="20"/>
          <w:szCs w:val="20"/>
          <w:rtl/>
        </w:rPr>
        <w:t xml:space="preserve"> </w:t>
      </w:r>
      <w:r>
        <w:rPr>
          <w:sz w:val="20"/>
          <w:szCs w:val="20"/>
          <w:rtl/>
        </w:rPr>
        <w:t>–</w:t>
      </w:r>
      <w:r>
        <w:rPr>
          <w:rFonts w:hint="cs"/>
          <w:sz w:val="20"/>
          <w:szCs w:val="20"/>
          <w:rtl/>
        </w:rPr>
        <w:t xml:space="preserve"> אין הבדל בין ז' נקיים לשאר הימים, אם יש במה לתלות את הכתם - תולים.</w:t>
      </w:r>
      <w:r>
        <w:rPr>
          <w:sz w:val="20"/>
          <w:szCs w:val="20"/>
          <w:rtl/>
        </w:rPr>
        <w:br/>
      </w:r>
      <w:r w:rsidRPr="00BB7E4E">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בז' נקיים ובימי טהרתה היא בחזקת טהרה, ולכן תולה את כתמה וטהורה.</w:t>
      </w:r>
    </w:p>
    <w:p w:rsidR="00620060" w:rsidRPr="009B0240" w:rsidRDefault="00620060" w:rsidP="00620060">
      <w:pPr>
        <w:rPr>
          <w:sz w:val="20"/>
          <w:szCs w:val="20"/>
          <w:rtl/>
        </w:rPr>
      </w:pPr>
      <w:r>
        <w:rPr>
          <w:rFonts w:hint="cs"/>
          <w:b/>
          <w:bCs/>
          <w:sz w:val="20"/>
          <w:szCs w:val="20"/>
          <w:rtl/>
        </w:rPr>
        <w:t>כתמים טהורים אף בשלושת הימים הראשונים לדעת המרדכי והתרומה</w:t>
      </w:r>
      <w:r>
        <w:rPr>
          <w:b/>
          <w:bCs/>
          <w:sz w:val="20"/>
          <w:szCs w:val="20"/>
          <w:rtl/>
        </w:rPr>
        <w:br/>
      </w:r>
      <w:r>
        <w:rPr>
          <w:rFonts w:hint="cs"/>
          <w:sz w:val="20"/>
          <w:szCs w:val="20"/>
          <w:rtl/>
        </w:rPr>
        <w:t xml:space="preserve">א. </w:t>
      </w:r>
      <w:r w:rsidRPr="00491FBF">
        <w:rPr>
          <w:rFonts w:hint="cs"/>
          <w:sz w:val="20"/>
          <w:szCs w:val="20"/>
          <w:u w:val="single"/>
          <w:rtl/>
        </w:rPr>
        <w:t>כתם פחות מכגריס</w:t>
      </w:r>
      <w:r>
        <w:rPr>
          <w:b/>
          <w:bCs/>
          <w:sz w:val="20"/>
          <w:szCs w:val="20"/>
          <w:rtl/>
        </w:rPr>
        <w:br/>
      </w:r>
      <w:r w:rsidRPr="009B0240">
        <w:rPr>
          <w:rFonts w:hint="cs"/>
          <w:b/>
          <w:bCs/>
          <w:sz w:val="20"/>
          <w:szCs w:val="20"/>
          <w:rtl/>
        </w:rPr>
        <w:t>תרומת הדשן</w:t>
      </w:r>
      <w:r>
        <w:rPr>
          <w:rFonts w:hint="cs"/>
          <w:sz w:val="20"/>
          <w:szCs w:val="20"/>
          <w:rtl/>
        </w:rPr>
        <w:t xml:space="preserve"> </w:t>
      </w:r>
      <w:r>
        <w:rPr>
          <w:sz w:val="20"/>
          <w:szCs w:val="20"/>
          <w:rtl/>
        </w:rPr>
        <w:t>–</w:t>
      </w:r>
      <w:r>
        <w:rPr>
          <w:rFonts w:hint="cs"/>
          <w:sz w:val="20"/>
          <w:szCs w:val="20"/>
          <w:rtl/>
        </w:rPr>
        <w:t xml:space="preserve"> אע"פ שהראשונים החמירו שלא לתלות כלל כתם בשלושת הימים הראשונים, כוונתם דווקא לכתם גדול מכגריס, אך כתם קטן מכגריס תולה במאכולת.</w:t>
      </w:r>
      <w:r>
        <w:rPr>
          <w:rFonts w:hint="cs"/>
          <w:sz w:val="20"/>
          <w:szCs w:val="20"/>
          <w:rtl/>
        </w:rPr>
        <w:br/>
      </w:r>
      <w:r w:rsidRPr="009D3164">
        <w:rPr>
          <w:rFonts w:hint="cs"/>
          <w:b/>
          <w:bCs/>
          <w:sz w:val="20"/>
          <w:szCs w:val="20"/>
          <w:rtl/>
        </w:rPr>
        <w:t xml:space="preserve">טעם </w:t>
      </w:r>
      <w:r>
        <w:rPr>
          <w:sz w:val="20"/>
          <w:szCs w:val="20"/>
          <w:rtl/>
        </w:rPr>
        <w:t>–</w:t>
      </w:r>
      <w:r>
        <w:rPr>
          <w:rFonts w:hint="cs"/>
          <w:sz w:val="20"/>
          <w:szCs w:val="20"/>
          <w:rtl/>
        </w:rPr>
        <w:t xml:space="preserve"> בכתם שהוא גדול מגריס יכולה להיזהר שלא יבוא לה מעלמא, אך מכתם קטן אינה יכולה להיזהר משום שהוא בא ממאכולת, ואם נחמיר עליה בכתם קטן מגריס לא תוכל להיטהר לבעלה.</w:t>
      </w:r>
      <w:r>
        <w:rPr>
          <w:rFonts w:hint="cs"/>
          <w:sz w:val="20"/>
          <w:szCs w:val="20"/>
          <w:rtl/>
        </w:rPr>
        <w:br/>
      </w:r>
      <w:r w:rsidRPr="008C57C1">
        <w:rPr>
          <w:rFonts w:hint="cs"/>
          <w:b/>
          <w:bCs/>
          <w:sz w:val="20"/>
          <w:szCs w:val="20"/>
          <w:rtl/>
        </w:rPr>
        <w:t>ראיה</w:t>
      </w:r>
      <w:r>
        <w:rPr>
          <w:rFonts w:hint="cs"/>
          <w:sz w:val="20"/>
          <w:szCs w:val="20"/>
          <w:rtl/>
        </w:rPr>
        <w:t xml:space="preserve"> </w:t>
      </w:r>
      <w:r>
        <w:rPr>
          <w:sz w:val="20"/>
          <w:szCs w:val="20"/>
          <w:rtl/>
        </w:rPr>
        <w:t>–</w:t>
      </w:r>
      <w:r>
        <w:rPr>
          <w:rFonts w:hint="cs"/>
          <w:sz w:val="20"/>
          <w:szCs w:val="20"/>
          <w:rtl/>
        </w:rPr>
        <w:t xml:space="preserve"> גמרא (שם, נח:) "</w:t>
      </w:r>
      <w:r w:rsidRPr="00DC00E9">
        <w:rPr>
          <w:rFonts w:cs="Arial"/>
          <w:sz w:val="20"/>
          <w:szCs w:val="20"/>
          <w:rtl/>
        </w:rPr>
        <w:t xml:space="preserve">אמר רשב"ג: לדברי אין קץ, ולדברי חברי אין סוף. לדברי אין קץ - שאין לך אשה שטהורה לבעלה, </w:t>
      </w:r>
      <w:r w:rsidRPr="00DC00E9">
        <w:rPr>
          <w:rFonts w:cs="Arial"/>
          <w:sz w:val="20"/>
          <w:szCs w:val="20"/>
          <w:u w:val="single"/>
          <w:rtl/>
        </w:rPr>
        <w:t>שאין לך כל מטה ומטה שאין בה כמה טיפי דם מאכולת</w:t>
      </w:r>
      <w:r>
        <w:rPr>
          <w:rFonts w:cs="Arial" w:hint="cs"/>
          <w:sz w:val="20"/>
          <w:szCs w:val="20"/>
          <w:rtl/>
        </w:rPr>
        <w:t>".</w:t>
      </w:r>
    </w:p>
    <w:p w:rsidR="00620060" w:rsidRDefault="00620060" w:rsidP="00620060">
      <w:pPr>
        <w:rPr>
          <w:sz w:val="18"/>
          <w:szCs w:val="18"/>
          <w:rtl/>
        </w:rPr>
      </w:pPr>
      <w:r>
        <w:rPr>
          <w:rFonts w:hint="cs"/>
          <w:sz w:val="20"/>
          <w:szCs w:val="20"/>
          <w:rtl/>
        </w:rPr>
        <w:lastRenderedPageBreak/>
        <w:t xml:space="preserve">ב. </w:t>
      </w:r>
      <w:r w:rsidRPr="00491FBF">
        <w:rPr>
          <w:rFonts w:hint="cs"/>
          <w:sz w:val="20"/>
          <w:szCs w:val="20"/>
          <w:u w:val="single"/>
          <w:rtl/>
        </w:rPr>
        <w:t>מכה שידוע שמוציאה דם</w:t>
      </w:r>
      <w:r>
        <w:rPr>
          <w:rFonts w:hint="cs"/>
          <w:sz w:val="20"/>
          <w:szCs w:val="20"/>
          <w:rtl/>
        </w:rPr>
        <w:br/>
      </w:r>
      <w:r w:rsidRPr="000D40E6">
        <w:rPr>
          <w:rFonts w:hint="cs"/>
          <w:b/>
          <w:bCs/>
          <w:sz w:val="20"/>
          <w:szCs w:val="20"/>
          <w:rtl/>
        </w:rPr>
        <w:t>דרכי משה</w:t>
      </w:r>
      <w:r>
        <w:rPr>
          <w:rFonts w:hint="cs"/>
          <w:sz w:val="20"/>
          <w:szCs w:val="20"/>
          <w:rtl/>
        </w:rPr>
        <w:t xml:space="preserve"> </w:t>
      </w:r>
      <w:r>
        <w:rPr>
          <w:sz w:val="20"/>
          <w:szCs w:val="20"/>
          <w:rtl/>
        </w:rPr>
        <w:t>–</w:t>
      </w:r>
      <w:r>
        <w:rPr>
          <w:rFonts w:hint="cs"/>
          <w:sz w:val="20"/>
          <w:szCs w:val="20"/>
          <w:rtl/>
        </w:rPr>
        <w:t xml:space="preserve"> חומרת הראשונים נאמרה רק לגבי מכה שאין ידוע שמוציאה דם, אך אם יש מכה שידוע שמוציאה דם, תולים בה את הכתמים אף בשלושת הימים הראשונים.</w:t>
      </w:r>
      <w:r>
        <w:rPr>
          <w:rFonts w:hint="cs"/>
          <w:sz w:val="20"/>
          <w:szCs w:val="20"/>
          <w:rtl/>
        </w:rPr>
        <w:br/>
      </w:r>
      <w:r w:rsidRPr="00932A2A">
        <w:rPr>
          <w:rFonts w:hint="cs"/>
          <w:b/>
          <w:bCs/>
          <w:sz w:val="20"/>
          <w:szCs w:val="20"/>
          <w:rtl/>
        </w:rPr>
        <w:t xml:space="preserve">טעם </w:t>
      </w:r>
      <w:r>
        <w:rPr>
          <w:sz w:val="20"/>
          <w:szCs w:val="20"/>
          <w:rtl/>
        </w:rPr>
        <w:t>–</w:t>
      </w:r>
      <w:r>
        <w:rPr>
          <w:rFonts w:hint="cs"/>
          <w:sz w:val="20"/>
          <w:szCs w:val="20"/>
          <w:rtl/>
        </w:rPr>
        <w:t xml:space="preserve"> מבואר לעיל בסימן קפז', שאפילו אם רואה ממש תולים במכה שידוע שמוציאה דם, כל שכן כתמים.</w:t>
      </w:r>
      <w:r>
        <w:rPr>
          <w:rStyle w:val="a5"/>
          <w:sz w:val="20"/>
          <w:szCs w:val="20"/>
          <w:rtl/>
        </w:rPr>
        <w:footnoteReference w:id="538"/>
      </w:r>
      <w:r>
        <w:rPr>
          <w:rFonts w:hint="cs"/>
          <w:sz w:val="20"/>
          <w:szCs w:val="20"/>
          <w:rtl/>
        </w:rPr>
        <w:br/>
        <w:t xml:space="preserve">מוסיף </w:t>
      </w:r>
      <w:r w:rsidRPr="00121320">
        <w:rPr>
          <w:rFonts w:hint="cs"/>
          <w:b/>
          <w:bCs/>
          <w:sz w:val="20"/>
          <w:szCs w:val="20"/>
          <w:rtl/>
        </w:rPr>
        <w:t>הדרכי משה</w:t>
      </w:r>
      <w:r>
        <w:rPr>
          <w:rFonts w:hint="cs"/>
          <w:sz w:val="20"/>
          <w:szCs w:val="20"/>
          <w:rtl/>
        </w:rPr>
        <w:t xml:space="preserve"> </w:t>
      </w:r>
      <w:r>
        <w:rPr>
          <w:sz w:val="20"/>
          <w:szCs w:val="20"/>
          <w:rtl/>
        </w:rPr>
        <w:t>–</w:t>
      </w:r>
      <w:r>
        <w:rPr>
          <w:rFonts w:hint="cs"/>
          <w:sz w:val="20"/>
          <w:szCs w:val="20"/>
          <w:rtl/>
        </w:rPr>
        <w:t xml:space="preserve"> יש יותר מקום להקל, גם משום ששאר הראשונים לא כתבו חומרה זו</w:t>
      </w:r>
      <w:r>
        <w:rPr>
          <w:rStyle w:val="a5"/>
          <w:sz w:val="20"/>
          <w:szCs w:val="20"/>
          <w:rtl/>
        </w:rPr>
        <w:footnoteReference w:id="539"/>
      </w:r>
      <w:r>
        <w:rPr>
          <w:rFonts w:hint="cs"/>
          <w:sz w:val="20"/>
          <w:szCs w:val="20"/>
          <w:rtl/>
        </w:rPr>
        <w:t>.</w:t>
      </w:r>
      <w:r>
        <w:rPr>
          <w:rFonts w:hint="cs"/>
          <w:sz w:val="18"/>
          <w:szCs w:val="18"/>
          <w:rtl/>
        </w:rPr>
        <w:br/>
      </w:r>
      <w:r>
        <w:rPr>
          <w:rFonts w:hint="cs"/>
          <w:sz w:val="20"/>
          <w:szCs w:val="20"/>
          <w:rtl/>
        </w:rPr>
        <w:t xml:space="preserve">מוסיף </w:t>
      </w:r>
      <w:r w:rsidRPr="00896BCE">
        <w:rPr>
          <w:rFonts w:hint="cs"/>
          <w:b/>
          <w:bCs/>
          <w:sz w:val="20"/>
          <w:szCs w:val="20"/>
          <w:rtl/>
        </w:rPr>
        <w:t>הד"מ</w:t>
      </w:r>
      <w:r>
        <w:rPr>
          <w:rFonts w:hint="cs"/>
          <w:sz w:val="20"/>
          <w:szCs w:val="20"/>
          <w:rtl/>
        </w:rPr>
        <w:t xml:space="preserve"> </w:t>
      </w:r>
      <w:r w:rsidRPr="00896BCE">
        <w:rPr>
          <w:sz w:val="20"/>
          <w:szCs w:val="20"/>
          <w:rtl/>
        </w:rPr>
        <w:t>–</w:t>
      </w:r>
      <w:r w:rsidRPr="00896BCE">
        <w:rPr>
          <w:rFonts w:hint="cs"/>
          <w:sz w:val="20"/>
          <w:szCs w:val="20"/>
          <w:rtl/>
        </w:rPr>
        <w:t xml:space="preserve"> נראה שהראשונים שהחמירו, כתבו זאת לחומרה בעלמא, אך הם מודים שאין זה מעיקר הדין.</w:t>
      </w:r>
      <w:r w:rsidRPr="00896BCE">
        <w:rPr>
          <w:sz w:val="20"/>
          <w:szCs w:val="20"/>
          <w:rtl/>
        </w:rPr>
        <w:br/>
      </w:r>
      <w:r w:rsidRPr="00896BCE">
        <w:rPr>
          <w:rFonts w:hint="cs"/>
          <w:b/>
          <w:bCs/>
          <w:sz w:val="20"/>
          <w:szCs w:val="20"/>
          <w:rtl/>
        </w:rPr>
        <w:t xml:space="preserve">ראיה </w:t>
      </w:r>
      <w:r w:rsidRPr="00896BCE">
        <w:rPr>
          <w:sz w:val="20"/>
          <w:szCs w:val="20"/>
          <w:rtl/>
        </w:rPr>
        <w:t>–</w:t>
      </w:r>
      <w:r w:rsidRPr="00896BCE">
        <w:rPr>
          <w:rFonts w:hint="cs"/>
          <w:sz w:val="20"/>
          <w:szCs w:val="20"/>
          <w:rtl/>
        </w:rPr>
        <w:t xml:space="preserve"> </w:t>
      </w:r>
      <w:r w:rsidRPr="00896BCE">
        <w:rPr>
          <w:rFonts w:hint="cs"/>
          <w:b/>
          <w:bCs/>
          <w:sz w:val="20"/>
          <w:szCs w:val="20"/>
          <w:rtl/>
        </w:rPr>
        <w:t>תרומת הדשן</w:t>
      </w:r>
      <w:r w:rsidRPr="00896BCE">
        <w:rPr>
          <w:rFonts w:hint="cs"/>
          <w:sz w:val="20"/>
          <w:szCs w:val="20"/>
          <w:rtl/>
        </w:rPr>
        <w:t xml:space="preserve"> כתב שבכתם פחות מגריס יש להקל כיוון שאי אפשר להיזהר, אך אם היה דין שאין תולים בשלושת בימים הראשונים את הכתם, לא היה חילוק בין אפשר להיזהר לבין אי אפשר להיזהר.</w:t>
      </w:r>
    </w:p>
    <w:p w:rsidR="00620060" w:rsidRDefault="00620060" w:rsidP="00620060">
      <w:pPr>
        <w:rPr>
          <w:sz w:val="20"/>
          <w:szCs w:val="20"/>
          <w:rtl/>
        </w:rPr>
      </w:pPr>
      <w:r w:rsidRPr="00896BCE">
        <w:rPr>
          <w:rFonts w:hint="cs"/>
          <w:sz w:val="20"/>
          <w:szCs w:val="20"/>
          <w:rtl/>
        </w:rPr>
        <w:t xml:space="preserve">הכרעת </w:t>
      </w:r>
      <w:r w:rsidRPr="00E25AF6">
        <w:rPr>
          <w:rFonts w:hint="cs"/>
          <w:b/>
          <w:bCs/>
          <w:sz w:val="20"/>
          <w:szCs w:val="20"/>
          <w:rtl/>
        </w:rPr>
        <w:t>הדרכי משה</w:t>
      </w:r>
      <w:r w:rsidRPr="00896BCE">
        <w:rPr>
          <w:rFonts w:hint="cs"/>
          <w:sz w:val="20"/>
          <w:szCs w:val="20"/>
          <w:rtl/>
        </w:rPr>
        <w:t xml:space="preserve"> - </w:t>
      </w:r>
      <w:r>
        <w:rPr>
          <w:rFonts w:hint="cs"/>
          <w:sz w:val="20"/>
          <w:szCs w:val="20"/>
          <w:rtl/>
        </w:rPr>
        <w:br/>
        <w:t>כל הנ"ל נראה להלכה אך לא למעשה, אלא יש להחמיר לכתחילה במכה העוברת תוך ימים מועטים, שאין תולים בה את הכתמים.</w:t>
      </w:r>
      <w:r>
        <w:rPr>
          <w:sz w:val="20"/>
          <w:szCs w:val="20"/>
          <w:rtl/>
        </w:rPr>
        <w:br/>
      </w:r>
      <w:r w:rsidRPr="00E25AF6">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מכה העוברת בימים מועטים היא כמו 'אפשר להיזהר' שכתב </w:t>
      </w:r>
      <w:r w:rsidRPr="008E4F9F">
        <w:rPr>
          <w:rFonts w:hint="cs"/>
          <w:b/>
          <w:bCs/>
          <w:sz w:val="20"/>
          <w:szCs w:val="20"/>
          <w:rtl/>
        </w:rPr>
        <w:t>תרומת הדשן</w:t>
      </w:r>
      <w:r>
        <w:rPr>
          <w:rFonts w:hint="cs"/>
          <w:sz w:val="20"/>
          <w:szCs w:val="20"/>
          <w:rtl/>
        </w:rPr>
        <w:t>.</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רמ"א </w:t>
      </w:r>
      <w:r>
        <w:rPr>
          <w:sz w:val="20"/>
          <w:szCs w:val="20"/>
          <w:rtl/>
        </w:rPr>
        <w:t>–</w:t>
      </w:r>
      <w:r>
        <w:rPr>
          <w:rFonts w:hint="cs"/>
          <w:sz w:val="20"/>
          <w:szCs w:val="20"/>
          <w:rtl/>
        </w:rPr>
        <w:t xml:space="preserve"> </w:t>
      </w:r>
      <w:r w:rsidRPr="00E25AF6">
        <w:rPr>
          <w:rFonts w:hint="cs"/>
          <w:sz w:val="18"/>
          <w:szCs w:val="18"/>
          <w:rtl/>
        </w:rPr>
        <w:t>"</w:t>
      </w:r>
      <w:r w:rsidRPr="00E25AF6">
        <w:rPr>
          <w:rFonts w:cs="Arial"/>
          <w:sz w:val="18"/>
          <w:szCs w:val="18"/>
          <w:rtl/>
        </w:rPr>
        <w:t>יש אומרים דבשל</w:t>
      </w:r>
      <w:r>
        <w:rPr>
          <w:rFonts w:cs="Arial" w:hint="cs"/>
          <w:sz w:val="18"/>
          <w:szCs w:val="18"/>
          <w:rtl/>
        </w:rPr>
        <w:t>ו</w:t>
      </w:r>
      <w:r w:rsidRPr="00E25AF6">
        <w:rPr>
          <w:rFonts w:cs="Arial"/>
          <w:sz w:val="18"/>
          <w:szCs w:val="18"/>
          <w:rtl/>
        </w:rPr>
        <w:t>שה ימים ראשונים של ימי הספירה אם מצאה כתם אין תולין אותו להקל כמו שתולין שאר כתמים, דג' ימים ראשונים צריכים להיות נקיים לגמרי; אבל אח</w:t>
      </w:r>
      <w:r>
        <w:rPr>
          <w:rFonts w:cs="Arial" w:hint="cs"/>
          <w:sz w:val="18"/>
          <w:szCs w:val="18"/>
          <w:rtl/>
        </w:rPr>
        <w:t>ר כך</w:t>
      </w:r>
      <w:r w:rsidRPr="00E25AF6">
        <w:rPr>
          <w:rFonts w:cs="Arial"/>
          <w:sz w:val="18"/>
          <w:szCs w:val="18"/>
          <w:rtl/>
        </w:rPr>
        <w:t xml:space="preserve"> דינו כשאר כתם, וכן נוהגין. </w:t>
      </w:r>
      <w:r>
        <w:rPr>
          <w:rFonts w:cs="Arial" w:hint="cs"/>
          <w:sz w:val="18"/>
          <w:szCs w:val="18"/>
          <w:rtl/>
        </w:rPr>
        <w:br/>
      </w:r>
      <w:r w:rsidRPr="00E25AF6">
        <w:rPr>
          <w:rFonts w:cs="Arial"/>
          <w:sz w:val="18"/>
          <w:szCs w:val="18"/>
          <w:rtl/>
        </w:rPr>
        <w:t>וד</w:t>
      </w:r>
      <w:r>
        <w:rPr>
          <w:rFonts w:cs="Arial" w:hint="cs"/>
          <w:sz w:val="18"/>
          <w:szCs w:val="18"/>
          <w:rtl/>
        </w:rPr>
        <w:t>ו</w:t>
      </w:r>
      <w:r w:rsidRPr="00E25AF6">
        <w:rPr>
          <w:rFonts w:cs="Arial"/>
          <w:sz w:val="18"/>
          <w:szCs w:val="18"/>
          <w:rtl/>
        </w:rPr>
        <w:t xml:space="preserve">וקא כתם שהוא יותר מכגריס ועוד, אבל פחות מכגריס ועוד תולה בכינה אפילו בג' ימים ראשונים. </w:t>
      </w:r>
      <w:r>
        <w:rPr>
          <w:rFonts w:cs="Arial" w:hint="cs"/>
          <w:sz w:val="18"/>
          <w:szCs w:val="18"/>
          <w:rtl/>
        </w:rPr>
        <w:br/>
      </w:r>
      <w:r w:rsidRPr="00E25AF6">
        <w:rPr>
          <w:rFonts w:cs="Arial"/>
          <w:sz w:val="18"/>
          <w:szCs w:val="18"/>
          <w:rtl/>
        </w:rPr>
        <w:t>וה</w:t>
      </w:r>
      <w:r>
        <w:rPr>
          <w:rFonts w:cs="Arial" w:hint="cs"/>
          <w:sz w:val="18"/>
          <w:szCs w:val="18"/>
          <w:rtl/>
        </w:rPr>
        <w:t>וא הדין</w:t>
      </w:r>
      <w:r w:rsidRPr="00E25AF6">
        <w:rPr>
          <w:rFonts w:cs="Arial"/>
          <w:sz w:val="18"/>
          <w:szCs w:val="18"/>
          <w:rtl/>
        </w:rPr>
        <w:t xml:space="preserve"> אם היה לה מכה בגופה ויודעת שמוציאה דם, </w:t>
      </w:r>
      <w:r>
        <w:rPr>
          <w:rFonts w:cs="Arial"/>
          <w:sz w:val="18"/>
          <w:szCs w:val="18"/>
          <w:rtl/>
        </w:rPr>
        <w:t>תולה בה אפילו ביתר מכגריס ועוד</w:t>
      </w:r>
      <w:r w:rsidRPr="00E25AF6">
        <w:rPr>
          <w:rFonts w:cs="Arial"/>
          <w:sz w:val="18"/>
          <w:szCs w:val="18"/>
          <w:rtl/>
        </w:rPr>
        <w:t xml:space="preserve">, </w:t>
      </w:r>
      <w:r>
        <w:rPr>
          <w:rFonts w:cs="Arial" w:hint="cs"/>
          <w:sz w:val="18"/>
          <w:szCs w:val="18"/>
          <w:rtl/>
        </w:rPr>
        <w:br/>
      </w:r>
      <w:r w:rsidRPr="00E25AF6">
        <w:rPr>
          <w:rFonts w:cs="Arial"/>
          <w:sz w:val="18"/>
          <w:szCs w:val="18"/>
          <w:rtl/>
        </w:rPr>
        <w:t>אלא שאין מקילין בשלשה ימים הראשונים לתלות במכה שאין ידוע שמוציאה דם או בשאר דברים שתלינן בהם כתם, כמבואר לעיל סימן ק"צ</w:t>
      </w:r>
      <w:r>
        <w:rPr>
          <w:rFonts w:cs="Arial" w:hint="cs"/>
          <w:sz w:val="18"/>
          <w:szCs w:val="18"/>
          <w:rtl/>
        </w:rPr>
        <w:t>".</w:t>
      </w:r>
      <w:r w:rsidRPr="00E25AF6">
        <w:rPr>
          <w:sz w:val="18"/>
          <w:szCs w:val="18"/>
          <w:rtl/>
        </w:rPr>
        <w:br/>
      </w:r>
      <w:r>
        <w:rPr>
          <w:sz w:val="20"/>
          <w:szCs w:val="20"/>
          <w:rtl/>
        </w:rPr>
        <w:br/>
      </w:r>
      <w:r w:rsidRPr="00451743">
        <w:rPr>
          <w:rFonts w:hint="cs"/>
          <w:b/>
          <w:bCs/>
          <w:sz w:val="20"/>
          <w:szCs w:val="20"/>
          <w:rtl/>
        </w:rPr>
        <w:t>הכרעת האחרונים</w:t>
      </w:r>
      <w:r>
        <w:rPr>
          <w:sz w:val="20"/>
          <w:szCs w:val="20"/>
          <w:u w:val="single"/>
          <w:rtl/>
        </w:rPr>
        <w:br/>
      </w:r>
      <w:r>
        <w:rPr>
          <w:rFonts w:hint="cs"/>
          <w:sz w:val="20"/>
          <w:szCs w:val="20"/>
          <w:rtl/>
        </w:rPr>
        <w:t xml:space="preserve">א. </w:t>
      </w:r>
      <w:r w:rsidRPr="00022706">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לכאורה נראה שהרמ"א פסק כאן בניגוד לאופן הכרעתו בדרכי משה. שהרי בדרכ"מ כתב שאין להתיר במכה עוברת, ואם כן מדוע פסק כאן באופן סתמי שיש להקל במכה שידוע שמוציאה דם?</w:t>
      </w:r>
    </w:p>
    <w:p w:rsidR="00620060" w:rsidRPr="00022706" w:rsidRDefault="00620060" w:rsidP="00620060">
      <w:pPr>
        <w:rPr>
          <w:sz w:val="20"/>
          <w:szCs w:val="20"/>
          <w:rtl/>
        </w:rPr>
      </w:pPr>
      <w:r>
        <w:rPr>
          <w:rFonts w:hint="cs"/>
          <w:sz w:val="20"/>
          <w:szCs w:val="20"/>
          <w:rtl/>
        </w:rPr>
        <w:t xml:space="preserve">ומסתבר לומר שהרמ"א הקל כאן רק באופן שבו המכה מלכלכת כל כך את בגדיה באופן שאי אפשר להיזהר בה שלא תכתים את בגדיה, וכעין מה שהקל </w:t>
      </w:r>
      <w:r w:rsidRPr="00022706">
        <w:rPr>
          <w:rFonts w:hint="cs"/>
          <w:b/>
          <w:bCs/>
          <w:sz w:val="20"/>
          <w:szCs w:val="20"/>
          <w:rtl/>
        </w:rPr>
        <w:t>ת"ה</w:t>
      </w:r>
      <w:r>
        <w:rPr>
          <w:rFonts w:hint="cs"/>
          <w:sz w:val="20"/>
          <w:szCs w:val="20"/>
          <w:rtl/>
        </w:rPr>
        <w:t xml:space="preserve"> מטעם זה בכתם פחות מכגריס.</w:t>
      </w:r>
      <w:r>
        <w:rPr>
          <w:sz w:val="20"/>
          <w:szCs w:val="20"/>
          <w:rtl/>
        </w:rPr>
        <w:br/>
      </w:r>
      <w:r w:rsidRPr="00022706">
        <w:rPr>
          <w:rFonts w:hint="cs"/>
          <w:sz w:val="18"/>
          <w:szCs w:val="18"/>
          <w:rtl/>
        </w:rPr>
        <w:t xml:space="preserve">(ועל עיקר ראייתו של </w:t>
      </w:r>
      <w:r w:rsidRPr="00022706">
        <w:rPr>
          <w:rFonts w:hint="cs"/>
          <w:b/>
          <w:bCs/>
          <w:sz w:val="18"/>
          <w:szCs w:val="18"/>
          <w:rtl/>
        </w:rPr>
        <w:t>הרמ"א</w:t>
      </w:r>
      <w:r w:rsidRPr="00022706">
        <w:rPr>
          <w:rFonts w:hint="cs"/>
          <w:sz w:val="18"/>
          <w:szCs w:val="18"/>
          <w:rtl/>
        </w:rPr>
        <w:t xml:space="preserve"> מדין רואה ממש שתולים במכה, דחה הט"ז שהתם יש לה חזקת טהרה שהרי מעיינה סתום, אך כאן מעיינה פתוח וצריך ראיה טובה לכך שהוא נפסק. אמנם, עיין בהערה לעיל </w:t>
      </w:r>
      <w:r w:rsidRPr="00022706">
        <w:rPr>
          <w:rFonts w:hint="cs"/>
          <w:b/>
          <w:bCs/>
          <w:sz w:val="18"/>
          <w:szCs w:val="18"/>
          <w:rtl/>
        </w:rPr>
        <w:t>שהרמ"א</w:t>
      </w:r>
      <w:r w:rsidRPr="00022706">
        <w:rPr>
          <w:rFonts w:hint="cs"/>
          <w:sz w:val="18"/>
          <w:szCs w:val="18"/>
          <w:rtl/>
        </w:rPr>
        <w:t xml:space="preserve"> התייחס לשאלה זה ותירץ).</w:t>
      </w:r>
    </w:p>
    <w:p w:rsidR="00620060" w:rsidRDefault="00620060" w:rsidP="00620060">
      <w:pPr>
        <w:rPr>
          <w:sz w:val="20"/>
          <w:szCs w:val="20"/>
          <w:rtl/>
        </w:rPr>
      </w:pPr>
      <w:r>
        <w:rPr>
          <w:rFonts w:hint="cs"/>
          <w:sz w:val="20"/>
          <w:szCs w:val="20"/>
          <w:rtl/>
        </w:rPr>
        <w:t xml:space="preserve">ב. </w:t>
      </w:r>
      <w:r w:rsidRPr="00EE66FD">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דברי הרמ"א להקל במכה שידוע שמוציאה דם אינם נכונים, אלא יש להחמיר בכך</w:t>
      </w:r>
      <w:r>
        <w:rPr>
          <w:rStyle w:val="a5"/>
          <w:sz w:val="20"/>
          <w:szCs w:val="20"/>
          <w:rtl/>
        </w:rPr>
        <w:footnoteReference w:id="540"/>
      </w:r>
      <w:r>
        <w:rPr>
          <w:rFonts w:hint="cs"/>
          <w:sz w:val="20"/>
          <w:szCs w:val="20"/>
          <w:rtl/>
        </w:rPr>
        <w:t>.</w:t>
      </w:r>
      <w:r>
        <w:rPr>
          <w:sz w:val="20"/>
          <w:szCs w:val="20"/>
          <w:rtl/>
        </w:rPr>
        <w:br/>
      </w:r>
      <w:r>
        <w:rPr>
          <w:rFonts w:hint="cs"/>
          <w:sz w:val="20"/>
          <w:szCs w:val="20"/>
          <w:rtl/>
        </w:rPr>
        <w:t>ואמנם, באשה מוכת שחין שהדם יוצא מגופה תדיר ומחמתו נכתמים בגדיה, יש להקל.</w:t>
      </w:r>
      <w:r>
        <w:rPr>
          <w:sz w:val="20"/>
          <w:szCs w:val="20"/>
          <w:rtl/>
        </w:rPr>
        <w:br/>
      </w:r>
      <w:r w:rsidRPr="00EE66FD">
        <w:rPr>
          <w:rFonts w:hint="cs"/>
          <w:sz w:val="18"/>
          <w:szCs w:val="18"/>
          <w:rtl/>
        </w:rPr>
        <w:t>(מסתבר שהט"ז והש"ך כיוונו לאותה מציאות, משום ששניהם מביאים את דברי הב"ח, שהוא המקור לדין אשה מוכת שחין, ושניהם הסכימו עם דבריו).</w:t>
      </w:r>
    </w:p>
    <w:p w:rsidR="00620060" w:rsidRDefault="00620060" w:rsidP="00620060">
      <w:pPr>
        <w:rPr>
          <w:sz w:val="20"/>
          <w:szCs w:val="20"/>
          <w:rtl/>
        </w:rPr>
      </w:pPr>
      <w:r>
        <w:rPr>
          <w:rFonts w:hint="cs"/>
          <w:sz w:val="20"/>
          <w:szCs w:val="20"/>
          <w:rtl/>
        </w:rPr>
        <w:t xml:space="preserve">ג. </w:t>
      </w:r>
      <w:r w:rsidRPr="009A75DA">
        <w:rPr>
          <w:rFonts w:hint="cs"/>
          <w:b/>
          <w:bCs/>
          <w:sz w:val="20"/>
          <w:szCs w:val="20"/>
          <w:rtl/>
        </w:rPr>
        <w:t>תורת השלמים</w:t>
      </w:r>
      <w:r>
        <w:rPr>
          <w:rFonts w:hint="cs"/>
          <w:sz w:val="20"/>
          <w:szCs w:val="20"/>
          <w:rtl/>
        </w:rPr>
        <w:t xml:space="preserve"> </w:t>
      </w:r>
      <w:r>
        <w:rPr>
          <w:sz w:val="20"/>
          <w:szCs w:val="20"/>
          <w:rtl/>
        </w:rPr>
        <w:t>–</w:t>
      </w:r>
      <w:r>
        <w:rPr>
          <w:rFonts w:hint="cs"/>
          <w:sz w:val="20"/>
          <w:szCs w:val="20"/>
          <w:rtl/>
        </w:rPr>
        <w:t xml:space="preserve"> דברי </w:t>
      </w:r>
      <w:r w:rsidRPr="009A75DA">
        <w:rPr>
          <w:rFonts w:hint="cs"/>
          <w:b/>
          <w:bCs/>
          <w:sz w:val="20"/>
          <w:szCs w:val="20"/>
          <w:rtl/>
        </w:rPr>
        <w:t>הש"ך</w:t>
      </w:r>
      <w:r>
        <w:rPr>
          <w:rFonts w:hint="cs"/>
          <w:sz w:val="20"/>
          <w:szCs w:val="20"/>
          <w:rtl/>
        </w:rPr>
        <w:t xml:space="preserve"> אינם נכונים, אלא יש להקל כרמ"א במכה שידוע שמוציאה דם.</w:t>
      </w:r>
      <w:r>
        <w:rPr>
          <w:sz w:val="20"/>
          <w:szCs w:val="20"/>
          <w:rtl/>
        </w:rPr>
        <w:br/>
      </w:r>
      <w:r w:rsidRPr="009A75DA">
        <w:rPr>
          <w:rFonts w:hint="cs"/>
          <w:b/>
          <w:bCs/>
          <w:sz w:val="20"/>
          <w:szCs w:val="20"/>
          <w:rtl/>
        </w:rPr>
        <w:t xml:space="preserve">טעם </w:t>
      </w:r>
      <w:r>
        <w:rPr>
          <w:sz w:val="20"/>
          <w:szCs w:val="20"/>
          <w:rtl/>
        </w:rPr>
        <w:t>–</w:t>
      </w:r>
      <w:r>
        <w:rPr>
          <w:rFonts w:hint="cs"/>
          <w:sz w:val="20"/>
          <w:szCs w:val="20"/>
          <w:rtl/>
        </w:rPr>
        <w:t xml:space="preserve"> בכתמים שומעים להקל, ובפרט בדין זה שכתבוהו הראשונים, אך לא נמצא לו מקור ברור, וכן משום שרבים מהראשונים אינם סוברים כך.</w:t>
      </w:r>
    </w:p>
    <w:p w:rsidR="00620060" w:rsidRDefault="00620060" w:rsidP="00620060">
      <w:pPr>
        <w:rPr>
          <w:sz w:val="20"/>
          <w:szCs w:val="20"/>
          <w:rtl/>
        </w:rPr>
      </w:pPr>
      <w:r>
        <w:rPr>
          <w:rFonts w:hint="cs"/>
          <w:sz w:val="20"/>
          <w:szCs w:val="20"/>
          <w:rtl/>
        </w:rPr>
        <w:lastRenderedPageBreak/>
        <w:t xml:space="preserve">ד. </w:t>
      </w:r>
      <w:r w:rsidRPr="00AF6637">
        <w:rPr>
          <w:rFonts w:hint="cs"/>
          <w:b/>
          <w:bCs/>
          <w:sz w:val="20"/>
          <w:szCs w:val="20"/>
          <w:rtl/>
        </w:rPr>
        <w:t>טהרת הבית</w:t>
      </w:r>
      <w:r>
        <w:rPr>
          <w:rFonts w:hint="cs"/>
          <w:sz w:val="20"/>
          <w:szCs w:val="20"/>
          <w:rtl/>
        </w:rPr>
        <w:t xml:space="preserve"> </w:t>
      </w:r>
      <w:r w:rsidRPr="00AF6637">
        <w:rPr>
          <w:rFonts w:hint="cs"/>
          <w:sz w:val="18"/>
          <w:szCs w:val="18"/>
          <w:rtl/>
        </w:rPr>
        <w:t xml:space="preserve">(עמ' שפט, שצד) </w:t>
      </w:r>
      <w:r>
        <w:rPr>
          <w:sz w:val="20"/>
          <w:szCs w:val="20"/>
          <w:rtl/>
        </w:rPr>
        <w:t>–</w:t>
      </w:r>
      <w:r>
        <w:rPr>
          <w:rFonts w:hint="cs"/>
          <w:sz w:val="20"/>
          <w:szCs w:val="20"/>
          <w:rtl/>
        </w:rPr>
        <w:t xml:space="preserve"> דעת המחבר להקל בדין זה, ולכן לא העתיקו בשו"ע.</w:t>
      </w:r>
      <w:r>
        <w:rPr>
          <w:sz w:val="20"/>
          <w:szCs w:val="20"/>
          <w:rtl/>
        </w:rPr>
        <w:br/>
      </w:r>
      <w:r>
        <w:rPr>
          <w:rFonts w:hint="cs"/>
          <w:sz w:val="20"/>
          <w:szCs w:val="20"/>
          <w:rtl/>
        </w:rPr>
        <w:t xml:space="preserve">והכלל בדברי </w:t>
      </w:r>
      <w:r w:rsidRPr="00AF6637">
        <w:rPr>
          <w:rFonts w:hint="cs"/>
          <w:b/>
          <w:bCs/>
          <w:sz w:val="20"/>
          <w:szCs w:val="20"/>
          <w:rtl/>
        </w:rPr>
        <w:t>הבית יוסף</w:t>
      </w:r>
      <w:r>
        <w:rPr>
          <w:rFonts w:hint="cs"/>
          <w:sz w:val="20"/>
          <w:szCs w:val="20"/>
          <w:rtl/>
        </w:rPr>
        <w:t xml:space="preserve"> הוא, שאם ניתן למצוא טעם הגון מדוע השמיט בשו"ע את דבריו שכתב בב"י, כגון כאן שמעטים המחמירים ורבו המקלים, יש לומר שחזר בו מדבריו שכתב </w:t>
      </w:r>
      <w:r w:rsidRPr="00AF6637">
        <w:rPr>
          <w:rFonts w:hint="cs"/>
          <w:b/>
          <w:bCs/>
          <w:sz w:val="20"/>
          <w:szCs w:val="20"/>
          <w:rtl/>
        </w:rPr>
        <w:t>בבית יוסף</w:t>
      </w:r>
      <w:r>
        <w:rPr>
          <w:rFonts w:hint="cs"/>
          <w:sz w:val="20"/>
          <w:szCs w:val="20"/>
          <w:rtl/>
        </w:rPr>
        <w:t xml:space="preserve"> ודעתו להקל אף בשלושת הימים הראשונים.</w:t>
      </w:r>
      <w:r>
        <w:rPr>
          <w:rFonts w:hint="cs"/>
          <w:sz w:val="20"/>
          <w:szCs w:val="20"/>
          <w:rtl/>
        </w:rPr>
        <w:br/>
      </w:r>
      <w:r>
        <w:rPr>
          <w:rFonts w:hint="cs"/>
          <w:sz w:val="20"/>
          <w:szCs w:val="20"/>
          <w:rtl/>
        </w:rPr>
        <w:br/>
      </w:r>
      <w:r>
        <w:rPr>
          <w:rFonts w:hint="cs"/>
          <w:sz w:val="20"/>
          <w:szCs w:val="20"/>
          <w:u w:val="single"/>
          <w:rtl/>
        </w:rPr>
        <w:t>קולות בדעת הרמ"א (פת"ש)</w:t>
      </w:r>
      <w:r>
        <w:rPr>
          <w:sz w:val="20"/>
          <w:szCs w:val="20"/>
          <w:u w:val="single"/>
          <w:rtl/>
        </w:rPr>
        <w:br/>
      </w:r>
      <w:r>
        <w:rPr>
          <w:rFonts w:hint="cs"/>
          <w:sz w:val="20"/>
          <w:szCs w:val="20"/>
          <w:rtl/>
        </w:rPr>
        <w:t xml:space="preserve">א. </w:t>
      </w:r>
      <w:r w:rsidRPr="00970CB7">
        <w:rPr>
          <w:rFonts w:hint="cs"/>
          <w:b/>
          <w:bCs/>
          <w:sz w:val="20"/>
          <w:szCs w:val="20"/>
          <w:rtl/>
        </w:rPr>
        <w:t>דגמ"ר</w:t>
      </w:r>
      <w:r>
        <w:rPr>
          <w:rFonts w:hint="cs"/>
          <w:sz w:val="20"/>
          <w:szCs w:val="20"/>
          <w:rtl/>
        </w:rPr>
        <w:t xml:space="preserve"> </w:t>
      </w:r>
      <w:r>
        <w:rPr>
          <w:sz w:val="20"/>
          <w:szCs w:val="20"/>
          <w:rtl/>
        </w:rPr>
        <w:t>–</w:t>
      </w:r>
      <w:r>
        <w:rPr>
          <w:rFonts w:hint="cs"/>
          <w:sz w:val="20"/>
          <w:szCs w:val="20"/>
          <w:rtl/>
        </w:rPr>
        <w:t xml:space="preserve"> אשה שסופרת ז' נקיים מחמת כתם, יש לה להקל גם בג' הימים הראשונים.</w:t>
      </w:r>
      <w:r>
        <w:rPr>
          <w:sz w:val="20"/>
          <w:szCs w:val="20"/>
          <w:rtl/>
        </w:rPr>
        <w:br/>
      </w:r>
      <w:r>
        <w:rPr>
          <w:rFonts w:hint="cs"/>
          <w:sz w:val="20"/>
          <w:szCs w:val="20"/>
          <w:rtl/>
        </w:rPr>
        <w:t xml:space="preserve">ב. </w:t>
      </w:r>
      <w:r w:rsidRPr="00970CB7">
        <w:rPr>
          <w:rFonts w:hint="cs"/>
          <w:b/>
          <w:bCs/>
          <w:sz w:val="20"/>
          <w:szCs w:val="20"/>
          <w:rtl/>
        </w:rPr>
        <w:t>דגמ"ר</w:t>
      </w:r>
      <w:r>
        <w:rPr>
          <w:rFonts w:hint="cs"/>
          <w:sz w:val="20"/>
          <w:szCs w:val="20"/>
          <w:rtl/>
        </w:rPr>
        <w:t xml:space="preserve"> </w:t>
      </w:r>
      <w:r>
        <w:rPr>
          <w:sz w:val="20"/>
          <w:szCs w:val="20"/>
          <w:rtl/>
        </w:rPr>
        <w:t>–</w:t>
      </w:r>
      <w:r>
        <w:rPr>
          <w:rFonts w:hint="cs"/>
          <w:sz w:val="20"/>
          <w:szCs w:val="20"/>
          <w:rtl/>
        </w:rPr>
        <w:t xml:space="preserve"> יש להקל בז' נקיים למי שתבעוה להינשא, ואף בג' ימים הראשונים תולים בכתמה להקל.</w:t>
      </w:r>
      <w:r>
        <w:rPr>
          <w:sz w:val="20"/>
          <w:szCs w:val="20"/>
          <w:rtl/>
        </w:rPr>
        <w:br/>
      </w:r>
      <w:r>
        <w:rPr>
          <w:rFonts w:hint="cs"/>
          <w:sz w:val="20"/>
          <w:szCs w:val="20"/>
          <w:rtl/>
        </w:rPr>
        <w:t xml:space="preserve">ג. </w:t>
      </w:r>
      <w:r w:rsidRPr="00970CB7">
        <w:rPr>
          <w:rFonts w:hint="cs"/>
          <w:b/>
          <w:bCs/>
          <w:sz w:val="20"/>
          <w:szCs w:val="20"/>
          <w:rtl/>
        </w:rPr>
        <w:t>בית שמואל</w:t>
      </w:r>
      <w:r>
        <w:rPr>
          <w:rFonts w:hint="cs"/>
          <w:sz w:val="20"/>
          <w:szCs w:val="20"/>
          <w:rtl/>
        </w:rPr>
        <w:t xml:space="preserve"> </w:t>
      </w:r>
      <w:r w:rsidRPr="00970CB7">
        <w:rPr>
          <w:rFonts w:hint="cs"/>
          <w:sz w:val="18"/>
          <w:szCs w:val="18"/>
          <w:rtl/>
        </w:rPr>
        <w:t xml:space="preserve">(אה"ע, סג, ג) </w:t>
      </w:r>
      <w:r>
        <w:rPr>
          <w:sz w:val="20"/>
          <w:szCs w:val="20"/>
          <w:rtl/>
        </w:rPr>
        <w:t>–</w:t>
      </w:r>
      <w:r>
        <w:rPr>
          <w:rFonts w:hint="cs"/>
          <w:sz w:val="20"/>
          <w:szCs w:val="20"/>
          <w:rtl/>
        </w:rPr>
        <w:t xml:space="preserve"> יש מקום להקל גם בז' נקיים שלאחר בעילת מצווה.</w:t>
      </w:r>
      <w:r>
        <w:rPr>
          <w:rFonts w:hint="cs"/>
          <w:sz w:val="20"/>
          <w:szCs w:val="20"/>
          <w:rtl/>
        </w:rPr>
        <w:br/>
        <w:t xml:space="preserve">ד. </w:t>
      </w:r>
      <w:r w:rsidRPr="008523C9">
        <w:rPr>
          <w:rFonts w:hint="cs"/>
          <w:b/>
          <w:bCs/>
          <w:sz w:val="20"/>
          <w:szCs w:val="20"/>
          <w:rtl/>
        </w:rPr>
        <w:t>תפארת צבי</w:t>
      </w:r>
      <w:r>
        <w:rPr>
          <w:rFonts w:hint="cs"/>
          <w:sz w:val="20"/>
          <w:szCs w:val="20"/>
          <w:rtl/>
        </w:rPr>
        <w:t xml:space="preserve"> </w:t>
      </w:r>
      <w:r>
        <w:rPr>
          <w:sz w:val="20"/>
          <w:szCs w:val="20"/>
          <w:rtl/>
        </w:rPr>
        <w:t>–</w:t>
      </w:r>
      <w:r>
        <w:rPr>
          <w:rFonts w:hint="cs"/>
          <w:sz w:val="20"/>
          <w:szCs w:val="20"/>
          <w:rtl/>
        </w:rPr>
        <w:t xml:space="preserve"> אם מצאה כתם לאחר שלושת הימים הראשונים, אלא שהיא מסופקת שמא הכתם היה לפני כן, יש להקל כשאר כתמים שלאחר ג' ימים. </w:t>
      </w:r>
      <w:r w:rsidRPr="00DA6D68">
        <w:rPr>
          <w:rFonts w:hint="cs"/>
          <w:sz w:val="18"/>
          <w:szCs w:val="18"/>
          <w:rtl/>
        </w:rPr>
        <w:t>(ואמנם, כתב הפת"ש שיש חולקים בזה)</w:t>
      </w:r>
      <w:r>
        <w:rPr>
          <w:rFonts w:hint="cs"/>
          <w:sz w:val="20"/>
          <w:szCs w:val="20"/>
          <w:rtl/>
        </w:rPr>
        <w:t>.</w:t>
      </w:r>
      <w:r>
        <w:rPr>
          <w:rFonts w:hint="cs"/>
          <w:sz w:val="20"/>
          <w:szCs w:val="20"/>
          <w:rtl/>
        </w:rPr>
        <w:br/>
        <w:t xml:space="preserve">ה. </w:t>
      </w:r>
      <w:r w:rsidRPr="008523C9">
        <w:rPr>
          <w:rFonts w:hint="cs"/>
          <w:b/>
          <w:bCs/>
          <w:sz w:val="20"/>
          <w:szCs w:val="20"/>
          <w:rtl/>
        </w:rPr>
        <w:t>חמדת שלמה</w:t>
      </w:r>
      <w:r>
        <w:rPr>
          <w:rFonts w:hint="cs"/>
          <w:sz w:val="20"/>
          <w:szCs w:val="20"/>
          <w:rtl/>
        </w:rPr>
        <w:t xml:space="preserve"> </w:t>
      </w:r>
      <w:r>
        <w:rPr>
          <w:sz w:val="20"/>
          <w:szCs w:val="20"/>
          <w:rtl/>
        </w:rPr>
        <w:t>–</w:t>
      </w:r>
      <w:r>
        <w:rPr>
          <w:rFonts w:hint="cs"/>
          <w:sz w:val="20"/>
          <w:szCs w:val="20"/>
          <w:rtl/>
        </w:rPr>
        <w:t xml:space="preserve"> כתם הנמצא על בגד צבעוני בתוך שלושת הימים הראשונים </w:t>
      </w:r>
      <w:r>
        <w:rPr>
          <w:sz w:val="20"/>
          <w:szCs w:val="20"/>
          <w:rtl/>
        </w:rPr>
        <w:t>–</w:t>
      </w:r>
      <w:r>
        <w:rPr>
          <w:rFonts w:hint="cs"/>
          <w:sz w:val="20"/>
          <w:szCs w:val="20"/>
          <w:rtl/>
        </w:rPr>
        <w:t xml:space="preserve"> טהור.</w:t>
      </w:r>
      <w:r>
        <w:rPr>
          <w:sz w:val="20"/>
          <w:szCs w:val="20"/>
          <w:rtl/>
        </w:rPr>
        <w:br/>
      </w:r>
      <w:r w:rsidRPr="008523C9">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החומרה הנ"ל נאמרה רק כאשר ע"פ תנאי הכתם הוא טמא ובכה"ג אין תולים, אך כאשר הכתם אינו עומד בתנאים לטמאותו, אף ללא תלייה הוא טהור.</w:t>
      </w:r>
      <w:r>
        <w:rPr>
          <w:sz w:val="20"/>
          <w:szCs w:val="20"/>
          <w:rtl/>
        </w:rPr>
        <w:br/>
      </w:r>
      <w:r>
        <w:rPr>
          <w:rFonts w:hint="cs"/>
          <w:sz w:val="20"/>
          <w:szCs w:val="20"/>
          <w:rtl/>
        </w:rPr>
        <w:br/>
      </w:r>
      <w:r>
        <w:rPr>
          <w:rFonts w:hint="cs"/>
          <w:sz w:val="20"/>
          <w:szCs w:val="20"/>
          <w:u w:val="single"/>
          <w:rtl/>
        </w:rPr>
        <w:t>חומרה בכתם קטן מגריס (פת"ש)</w:t>
      </w:r>
      <w:r>
        <w:rPr>
          <w:rFonts w:hint="cs"/>
          <w:sz w:val="20"/>
          <w:szCs w:val="20"/>
          <w:u w:val="single"/>
          <w:rtl/>
        </w:rPr>
        <w:br/>
      </w:r>
      <w:r w:rsidRPr="00966741">
        <w:rPr>
          <w:rFonts w:hint="cs"/>
          <w:b/>
          <w:bCs/>
          <w:sz w:val="20"/>
          <w:szCs w:val="20"/>
          <w:rtl/>
        </w:rPr>
        <w:t>כתבי הרב דניאל</w:t>
      </w:r>
      <w:r>
        <w:rPr>
          <w:rFonts w:hint="cs"/>
          <w:sz w:val="20"/>
          <w:szCs w:val="20"/>
          <w:rtl/>
        </w:rPr>
        <w:t xml:space="preserve"> </w:t>
      </w:r>
      <w:r>
        <w:rPr>
          <w:sz w:val="20"/>
          <w:szCs w:val="20"/>
          <w:rtl/>
        </w:rPr>
        <w:t>–</w:t>
      </w:r>
      <w:r>
        <w:rPr>
          <w:rFonts w:hint="cs"/>
          <w:sz w:val="20"/>
          <w:szCs w:val="20"/>
          <w:rtl/>
        </w:rPr>
        <w:t xml:space="preserve"> אם יכלה לישון במקום נקי מפשפשים והלכה לישון במקום שיש בו פשפשים, יש להחמיר אף בכתם קטן מגריס.</w:t>
      </w:r>
      <w:r>
        <w:rPr>
          <w:sz w:val="20"/>
          <w:szCs w:val="20"/>
          <w:rtl/>
        </w:rPr>
        <w:br/>
      </w:r>
      <w:r w:rsidRPr="009401C9">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בכה"ג לא שייך טעמו של ת"ה להקל, כיוון שהיתה יכולה להיזהר.</w:t>
      </w:r>
    </w:p>
    <w:p w:rsidR="00620060" w:rsidRPr="0074508E" w:rsidRDefault="00620060" w:rsidP="00620060">
      <w:pPr>
        <w:rPr>
          <w:sz w:val="20"/>
          <w:szCs w:val="20"/>
          <w:rtl/>
        </w:rPr>
      </w:pPr>
      <w:r>
        <w:rPr>
          <w:rFonts w:hint="cs"/>
          <w:sz w:val="20"/>
          <w:szCs w:val="20"/>
          <w:u w:val="single"/>
          <w:rtl/>
        </w:rPr>
        <w:t>בדיקת הפסק טהרה ללא כוונה להפסק (פת"ש)</w:t>
      </w:r>
      <w:r>
        <w:rPr>
          <w:sz w:val="20"/>
          <w:szCs w:val="20"/>
          <w:u w:val="single"/>
          <w:rtl/>
        </w:rPr>
        <w:br/>
      </w:r>
      <w:r>
        <w:rPr>
          <w:rFonts w:hint="cs"/>
          <w:sz w:val="20"/>
          <w:szCs w:val="20"/>
          <w:rtl/>
        </w:rPr>
        <w:t>מעשה באשה שבדקה עצמה לפני שהלכה לבית הכנסת ומצאה טהורה, ולאחר זמן עשתה הפסק טהרה כדין.</w:t>
      </w:r>
      <w:r>
        <w:rPr>
          <w:sz w:val="20"/>
          <w:szCs w:val="20"/>
          <w:rtl/>
        </w:rPr>
        <w:br/>
      </w:r>
      <w:r>
        <w:rPr>
          <w:rFonts w:hint="cs"/>
          <w:sz w:val="20"/>
          <w:szCs w:val="20"/>
          <w:rtl/>
        </w:rPr>
        <w:t>לאחר הפס"ט מצאה כתם תוך ג' ימים להפסק, אך לאחר ג' ימים מהבדיקה שעשתה כדי ללכת לבית הכנסת.</w:t>
      </w:r>
      <w:r>
        <w:rPr>
          <w:sz w:val="20"/>
          <w:szCs w:val="20"/>
          <w:rtl/>
        </w:rPr>
        <w:br/>
      </w:r>
      <w:r>
        <w:rPr>
          <w:rFonts w:hint="cs"/>
          <w:sz w:val="20"/>
          <w:szCs w:val="20"/>
          <w:rtl/>
        </w:rPr>
        <w:t xml:space="preserve">השאלה </w:t>
      </w:r>
      <w:r>
        <w:rPr>
          <w:sz w:val="20"/>
          <w:szCs w:val="20"/>
          <w:rtl/>
        </w:rPr>
        <w:t>–</w:t>
      </w:r>
      <w:r>
        <w:rPr>
          <w:rFonts w:hint="cs"/>
          <w:sz w:val="20"/>
          <w:szCs w:val="20"/>
          <w:rtl/>
        </w:rPr>
        <w:t xml:space="preserve"> האם ניתן להקל בכתם זה כדין כל כתם שלאחר ג' ימים, או שמא הבדיקה ללכת לבית הכנסת אינה מועילה לעניין זה, ויש לחשב ג' ימים מההפס"ט?</w:t>
      </w:r>
      <w:r>
        <w:rPr>
          <w:sz w:val="20"/>
          <w:szCs w:val="20"/>
          <w:rtl/>
        </w:rPr>
        <w:br/>
      </w:r>
      <w:r>
        <w:rPr>
          <w:rFonts w:hint="cs"/>
          <w:sz w:val="20"/>
          <w:szCs w:val="20"/>
          <w:rtl/>
        </w:rPr>
        <w:t xml:space="preserve">הצד להחמיר </w:t>
      </w:r>
      <w:r>
        <w:rPr>
          <w:sz w:val="20"/>
          <w:szCs w:val="20"/>
          <w:rtl/>
        </w:rPr>
        <w:t>–</w:t>
      </w:r>
      <w:r>
        <w:rPr>
          <w:rFonts w:hint="cs"/>
          <w:sz w:val="20"/>
          <w:szCs w:val="20"/>
          <w:rtl/>
        </w:rPr>
        <w:t xml:space="preserve"> בדיקה ללכת לבית הכנסת אינה בדיקה מדוקדקת כל כך כמו בדיקת הפס"ט.</w:t>
      </w:r>
      <w:r>
        <w:rPr>
          <w:sz w:val="20"/>
          <w:szCs w:val="20"/>
          <w:rtl/>
        </w:rPr>
        <w:br/>
      </w:r>
      <w:r>
        <w:rPr>
          <w:rFonts w:hint="cs"/>
          <w:sz w:val="20"/>
          <w:szCs w:val="20"/>
          <w:rtl/>
        </w:rPr>
        <w:t xml:space="preserve">ומדברי הפוסקים היו שהקלו והיו שהחמירו, ולמעשה חתם דבריו בפסק החת"ס, שאם אומרת ברי לי שבדקתי כהוגן </w:t>
      </w:r>
      <w:r>
        <w:rPr>
          <w:sz w:val="20"/>
          <w:szCs w:val="20"/>
          <w:rtl/>
        </w:rPr>
        <w:t>–</w:t>
      </w:r>
      <w:r>
        <w:rPr>
          <w:rFonts w:hint="cs"/>
          <w:sz w:val="20"/>
          <w:szCs w:val="20"/>
          <w:rtl/>
        </w:rPr>
        <w:t xml:space="preserve"> יש להקל.</w:t>
      </w:r>
    </w:p>
    <w:p w:rsidR="00620060" w:rsidRDefault="00620060" w:rsidP="00620060">
      <w:pPr>
        <w:rPr>
          <w:sz w:val="20"/>
          <w:szCs w:val="20"/>
          <w:rtl/>
        </w:rPr>
      </w:pPr>
      <w:r w:rsidRPr="00BB6F9D">
        <w:rPr>
          <w:rFonts w:hint="cs"/>
          <w:b/>
          <w:bCs/>
          <w:sz w:val="20"/>
          <w:szCs w:val="20"/>
          <w:rtl/>
        </w:rPr>
        <w:t>סיכום</w:t>
      </w:r>
      <w:r>
        <w:rPr>
          <w:sz w:val="20"/>
          <w:szCs w:val="20"/>
          <w:rtl/>
        </w:rPr>
        <w:br/>
      </w:r>
      <w:r>
        <w:rPr>
          <w:rFonts w:hint="cs"/>
          <w:sz w:val="20"/>
          <w:szCs w:val="20"/>
          <w:rtl/>
        </w:rPr>
        <w:t xml:space="preserve">1. </w:t>
      </w:r>
      <w:r w:rsidRPr="00BB6F9D">
        <w:rPr>
          <w:rFonts w:hint="cs"/>
          <w:b/>
          <w:bCs/>
          <w:sz w:val="20"/>
          <w:szCs w:val="20"/>
          <w:rtl/>
        </w:rPr>
        <w:t>גמרא ומחבר</w:t>
      </w:r>
      <w:r>
        <w:rPr>
          <w:rFonts w:hint="cs"/>
          <w:sz w:val="20"/>
          <w:szCs w:val="20"/>
          <w:rtl/>
        </w:rPr>
        <w:t>. ז' נקיים צריכים להיות רצופים שלא תהיה טומאה מפסקת ביניהם, שאם תראה סותרת.</w:t>
      </w:r>
      <w:r>
        <w:rPr>
          <w:sz w:val="20"/>
          <w:szCs w:val="20"/>
          <w:rtl/>
        </w:rPr>
        <w:br/>
      </w:r>
      <w:r>
        <w:rPr>
          <w:rFonts w:hint="cs"/>
          <w:sz w:val="20"/>
          <w:szCs w:val="20"/>
          <w:rtl/>
        </w:rPr>
        <w:t xml:space="preserve">2. מדוע והטור והמחבר כתבו לשון 'סתירה', בלאו הכי צריכה ז' נקיים מחומרת רבי זירא. </w:t>
      </w:r>
      <w:r w:rsidRPr="00BB6F9D">
        <w:rPr>
          <w:rFonts w:hint="cs"/>
          <w:b/>
          <w:bCs/>
          <w:sz w:val="20"/>
          <w:szCs w:val="20"/>
          <w:rtl/>
        </w:rPr>
        <w:t>ב"י</w:t>
      </w:r>
      <w:r>
        <w:rPr>
          <w:rFonts w:hint="cs"/>
          <w:sz w:val="20"/>
          <w:szCs w:val="20"/>
          <w:rtl/>
        </w:rPr>
        <w:t xml:space="preserve">. רק לדין התלמוד היתה נפק"מ. </w:t>
      </w:r>
      <w:r w:rsidRPr="0091639B">
        <w:rPr>
          <w:rFonts w:hint="cs"/>
          <w:b/>
          <w:bCs/>
          <w:sz w:val="20"/>
          <w:szCs w:val="20"/>
          <w:rtl/>
        </w:rPr>
        <w:t>ט"ז</w:t>
      </w:r>
      <w:r>
        <w:rPr>
          <w:rFonts w:hint="cs"/>
          <w:sz w:val="20"/>
          <w:szCs w:val="20"/>
          <w:rtl/>
        </w:rPr>
        <w:t>. קמ"ל שאף בז"נ הבאים מחמת סתירת הקודמים, עומדת בחזקת טומאה וצריכה בדיקה.</w:t>
      </w:r>
      <w:r>
        <w:rPr>
          <w:rFonts w:hint="cs"/>
          <w:sz w:val="20"/>
          <w:szCs w:val="20"/>
          <w:rtl/>
        </w:rPr>
        <w:br/>
        <w:t xml:space="preserve">3. </w:t>
      </w:r>
      <w:r w:rsidRPr="00BB6F9D">
        <w:rPr>
          <w:rFonts w:hint="cs"/>
          <w:b/>
          <w:bCs/>
          <w:sz w:val="20"/>
          <w:szCs w:val="20"/>
          <w:rtl/>
        </w:rPr>
        <w:t>מרדכי ותרומה</w:t>
      </w:r>
      <w:r>
        <w:rPr>
          <w:rFonts w:hint="cs"/>
          <w:sz w:val="20"/>
          <w:szCs w:val="20"/>
          <w:rtl/>
        </w:rPr>
        <w:t xml:space="preserve">. בג' הימים הראשונים אין תולים כתם להקל. </w:t>
      </w:r>
      <w:r w:rsidRPr="00BB6F9D">
        <w:rPr>
          <w:rFonts w:hint="cs"/>
          <w:b/>
          <w:bCs/>
          <w:sz w:val="20"/>
          <w:szCs w:val="20"/>
          <w:rtl/>
        </w:rPr>
        <w:t>טעם</w:t>
      </w:r>
      <w:r>
        <w:rPr>
          <w:rFonts w:hint="cs"/>
          <w:sz w:val="20"/>
          <w:szCs w:val="20"/>
          <w:rtl/>
        </w:rPr>
        <w:t xml:space="preserve">. צריכה לדעת בוודאות שפסק מעיינה, וכ"פ </w:t>
      </w:r>
      <w:r w:rsidRPr="00BB6F9D">
        <w:rPr>
          <w:rFonts w:hint="cs"/>
          <w:b/>
          <w:bCs/>
          <w:sz w:val="20"/>
          <w:szCs w:val="20"/>
          <w:rtl/>
        </w:rPr>
        <w:t>הרמ"א</w:t>
      </w:r>
      <w:r>
        <w:rPr>
          <w:rFonts w:hint="cs"/>
          <w:sz w:val="20"/>
          <w:szCs w:val="20"/>
          <w:rtl/>
        </w:rPr>
        <w:t xml:space="preserve">. </w:t>
      </w:r>
      <w:r w:rsidRPr="00BB6F9D">
        <w:rPr>
          <w:rFonts w:hint="cs"/>
          <w:b/>
          <w:bCs/>
          <w:sz w:val="20"/>
          <w:szCs w:val="20"/>
          <w:rtl/>
        </w:rPr>
        <w:t>רשב"א</w:t>
      </w:r>
      <w:r>
        <w:rPr>
          <w:rFonts w:hint="cs"/>
          <w:sz w:val="20"/>
          <w:szCs w:val="20"/>
          <w:rtl/>
        </w:rPr>
        <w:t xml:space="preserve">. אין חילוק בין ג' הראשונים לשאר הימים, בכל עניין תולים להקל, וכ"פ </w:t>
      </w:r>
      <w:r w:rsidRPr="000C1E99">
        <w:rPr>
          <w:rFonts w:hint="cs"/>
          <w:b/>
          <w:bCs/>
          <w:sz w:val="20"/>
          <w:szCs w:val="20"/>
          <w:rtl/>
        </w:rPr>
        <w:t>טה"ב</w:t>
      </w:r>
      <w:r>
        <w:rPr>
          <w:rFonts w:hint="cs"/>
          <w:sz w:val="20"/>
          <w:szCs w:val="20"/>
          <w:rtl/>
        </w:rPr>
        <w:t>.</w:t>
      </w:r>
      <w:r>
        <w:rPr>
          <w:rFonts w:hint="cs"/>
          <w:sz w:val="20"/>
          <w:szCs w:val="20"/>
          <w:rtl/>
        </w:rPr>
        <w:br/>
        <w:t xml:space="preserve">4. </w:t>
      </w:r>
      <w:r w:rsidRPr="00BB6F9D">
        <w:rPr>
          <w:rFonts w:hint="cs"/>
          <w:b/>
          <w:bCs/>
          <w:sz w:val="20"/>
          <w:szCs w:val="20"/>
          <w:rtl/>
        </w:rPr>
        <w:t>ת"ה</w:t>
      </w:r>
      <w:r>
        <w:rPr>
          <w:rFonts w:hint="cs"/>
          <w:sz w:val="20"/>
          <w:szCs w:val="20"/>
          <w:rtl/>
        </w:rPr>
        <w:t xml:space="preserve">. בכתם קטן מגריס יש להקל אף בג' ימים הראשונים. </w:t>
      </w:r>
      <w:r w:rsidRPr="000C1E99">
        <w:rPr>
          <w:rFonts w:hint="cs"/>
          <w:b/>
          <w:bCs/>
          <w:sz w:val="20"/>
          <w:szCs w:val="20"/>
          <w:rtl/>
        </w:rPr>
        <w:t>טעם</w:t>
      </w:r>
      <w:r>
        <w:rPr>
          <w:rFonts w:hint="cs"/>
          <w:sz w:val="20"/>
          <w:szCs w:val="20"/>
          <w:rtl/>
        </w:rPr>
        <w:t>. אינה יכולה להיזהר מכך.</w:t>
      </w:r>
      <w:r>
        <w:rPr>
          <w:rFonts w:hint="cs"/>
          <w:sz w:val="20"/>
          <w:szCs w:val="20"/>
          <w:rtl/>
        </w:rPr>
        <w:br/>
        <w:t xml:space="preserve">5. </w:t>
      </w:r>
      <w:r w:rsidRPr="00BB6F9D">
        <w:rPr>
          <w:rFonts w:hint="cs"/>
          <w:b/>
          <w:bCs/>
          <w:sz w:val="20"/>
          <w:szCs w:val="20"/>
          <w:rtl/>
        </w:rPr>
        <w:t>דרכ"מ</w:t>
      </w:r>
      <w:r>
        <w:rPr>
          <w:rFonts w:hint="cs"/>
          <w:sz w:val="20"/>
          <w:szCs w:val="20"/>
          <w:rtl/>
        </w:rPr>
        <w:t>. מכה שידוע שמוציאה דם, יש להקל אף בג' ימים הראשונים. ולמעשה יש להחמיר במכה עוברת.</w:t>
      </w:r>
      <w:r>
        <w:rPr>
          <w:sz w:val="20"/>
          <w:szCs w:val="20"/>
          <w:rtl/>
        </w:rPr>
        <w:br/>
      </w:r>
      <w:r>
        <w:rPr>
          <w:rFonts w:hint="cs"/>
          <w:sz w:val="20"/>
          <w:szCs w:val="20"/>
          <w:rtl/>
        </w:rPr>
        <w:t xml:space="preserve">6. </w:t>
      </w:r>
      <w:r w:rsidRPr="00BB6F9D">
        <w:rPr>
          <w:rFonts w:hint="cs"/>
          <w:b/>
          <w:bCs/>
          <w:sz w:val="20"/>
          <w:szCs w:val="20"/>
          <w:rtl/>
        </w:rPr>
        <w:t>רמ"א</w:t>
      </w:r>
      <w:r>
        <w:rPr>
          <w:rFonts w:hint="cs"/>
          <w:sz w:val="20"/>
          <w:szCs w:val="20"/>
          <w:rtl/>
        </w:rPr>
        <w:t xml:space="preserve">. בג' ימים הראשונים אין תולים כתם להקל, אך בפחות מגריס או אם יש מכה שמוציאה דם </w:t>
      </w:r>
      <w:r>
        <w:rPr>
          <w:sz w:val="20"/>
          <w:szCs w:val="20"/>
          <w:rtl/>
        </w:rPr>
        <w:t>–</w:t>
      </w:r>
      <w:r>
        <w:rPr>
          <w:rFonts w:hint="cs"/>
          <w:sz w:val="20"/>
          <w:szCs w:val="20"/>
          <w:rtl/>
        </w:rPr>
        <w:t xml:space="preserve"> תולים.</w:t>
      </w:r>
      <w:r>
        <w:rPr>
          <w:sz w:val="20"/>
          <w:szCs w:val="20"/>
          <w:rtl/>
        </w:rPr>
        <w:br/>
      </w:r>
      <w:r>
        <w:rPr>
          <w:rFonts w:hint="cs"/>
          <w:sz w:val="20"/>
          <w:szCs w:val="20"/>
          <w:rtl/>
        </w:rPr>
        <w:t xml:space="preserve">7. </w:t>
      </w:r>
      <w:r w:rsidRPr="00BB6F9D">
        <w:rPr>
          <w:rFonts w:hint="cs"/>
          <w:b/>
          <w:bCs/>
          <w:sz w:val="20"/>
          <w:szCs w:val="20"/>
          <w:rtl/>
        </w:rPr>
        <w:t>ב"ח</w:t>
      </w:r>
      <w:r>
        <w:rPr>
          <w:rFonts w:hint="cs"/>
          <w:sz w:val="20"/>
          <w:szCs w:val="20"/>
          <w:rtl/>
        </w:rPr>
        <w:t xml:space="preserve">, </w:t>
      </w:r>
      <w:r w:rsidRPr="00BB6F9D">
        <w:rPr>
          <w:rFonts w:hint="cs"/>
          <w:b/>
          <w:bCs/>
          <w:sz w:val="20"/>
          <w:szCs w:val="20"/>
          <w:rtl/>
        </w:rPr>
        <w:t>ט"ז וש"ך</w:t>
      </w:r>
      <w:r>
        <w:rPr>
          <w:rFonts w:hint="cs"/>
          <w:sz w:val="20"/>
          <w:szCs w:val="20"/>
          <w:rtl/>
        </w:rPr>
        <w:t xml:space="preserve">. אין להקל </w:t>
      </w:r>
      <w:r w:rsidRPr="00BB6F9D">
        <w:rPr>
          <w:rFonts w:hint="cs"/>
          <w:b/>
          <w:bCs/>
          <w:sz w:val="20"/>
          <w:szCs w:val="20"/>
          <w:rtl/>
        </w:rPr>
        <w:t>כרמ"א</w:t>
      </w:r>
      <w:r>
        <w:rPr>
          <w:rFonts w:hint="cs"/>
          <w:sz w:val="20"/>
          <w:szCs w:val="20"/>
          <w:rtl/>
        </w:rPr>
        <w:t xml:space="preserve"> במכה, אלא אם כן מדובר באשה מלאת שחין שאינה יכולה להיטהר. </w:t>
      </w:r>
      <w:r w:rsidRPr="009A75DA">
        <w:rPr>
          <w:rFonts w:hint="cs"/>
          <w:b/>
          <w:bCs/>
          <w:sz w:val="20"/>
          <w:szCs w:val="20"/>
          <w:rtl/>
        </w:rPr>
        <w:t>תוה"ש</w:t>
      </w:r>
      <w:r>
        <w:rPr>
          <w:rFonts w:hint="cs"/>
          <w:sz w:val="20"/>
          <w:szCs w:val="20"/>
          <w:rtl/>
        </w:rPr>
        <w:t xml:space="preserve">. יש להקל </w:t>
      </w:r>
      <w:r w:rsidRPr="009A75DA">
        <w:rPr>
          <w:rFonts w:hint="cs"/>
          <w:b/>
          <w:bCs/>
          <w:sz w:val="20"/>
          <w:szCs w:val="20"/>
          <w:rtl/>
        </w:rPr>
        <w:t>כרמ"א</w:t>
      </w:r>
      <w:r>
        <w:rPr>
          <w:rFonts w:hint="cs"/>
          <w:sz w:val="20"/>
          <w:szCs w:val="20"/>
          <w:rtl/>
        </w:rPr>
        <w:t xml:space="preserve">. </w:t>
      </w:r>
      <w:r w:rsidRPr="006915AC">
        <w:rPr>
          <w:rFonts w:hint="cs"/>
          <w:b/>
          <w:bCs/>
          <w:sz w:val="20"/>
          <w:szCs w:val="20"/>
          <w:rtl/>
        </w:rPr>
        <w:t>טה"ב</w:t>
      </w:r>
      <w:r>
        <w:rPr>
          <w:rFonts w:hint="cs"/>
          <w:sz w:val="20"/>
          <w:szCs w:val="20"/>
          <w:rtl/>
        </w:rPr>
        <w:t>. דעת המחבר להקל בכל שלושת הימים הראשונים.</w:t>
      </w:r>
      <w:r>
        <w:rPr>
          <w:sz w:val="20"/>
          <w:szCs w:val="20"/>
          <w:rtl/>
        </w:rPr>
        <w:br/>
      </w:r>
      <w:r>
        <w:rPr>
          <w:rFonts w:hint="cs"/>
          <w:sz w:val="20"/>
          <w:szCs w:val="20"/>
          <w:rtl/>
        </w:rPr>
        <w:t xml:space="preserve">8. קולות בדעת הרמ"א </w:t>
      </w:r>
      <w:r w:rsidRPr="00BB6F9D">
        <w:rPr>
          <w:rFonts w:hint="cs"/>
          <w:sz w:val="18"/>
          <w:szCs w:val="18"/>
          <w:rtl/>
        </w:rPr>
        <w:t>(</w:t>
      </w:r>
      <w:r w:rsidRPr="00BB6F9D">
        <w:rPr>
          <w:rFonts w:hint="cs"/>
          <w:b/>
          <w:bCs/>
          <w:sz w:val="18"/>
          <w:szCs w:val="18"/>
          <w:rtl/>
        </w:rPr>
        <w:t>פת"ש</w:t>
      </w:r>
      <w:r w:rsidRPr="00BB6F9D">
        <w:rPr>
          <w:rFonts w:hint="cs"/>
          <w:sz w:val="18"/>
          <w:szCs w:val="18"/>
          <w:rtl/>
        </w:rPr>
        <w:t>)</w:t>
      </w:r>
      <w:r>
        <w:rPr>
          <w:rFonts w:hint="cs"/>
          <w:sz w:val="20"/>
          <w:szCs w:val="20"/>
          <w:rtl/>
        </w:rPr>
        <w:t>. אשה שסופרת ז"נ מחמת כתם. מי שתבעוה להינשא וסופרת ז"נ. ז"נ שלאחר בעילת מצווה. מצאה כתם לאחר ג' ימים ומסופקת אם הוא ישן. כתם שמצא על בגד צבעוני. בכל אלו תולים להקל את כתמה אפילו בג' ימים הראשונים.</w:t>
      </w:r>
      <w:r>
        <w:rPr>
          <w:rFonts w:hint="cs"/>
          <w:sz w:val="20"/>
          <w:szCs w:val="20"/>
          <w:rtl/>
        </w:rPr>
        <w:br/>
        <w:t xml:space="preserve">9. </w:t>
      </w:r>
      <w:r w:rsidRPr="00DE266B">
        <w:rPr>
          <w:rFonts w:hint="cs"/>
          <w:b/>
          <w:bCs/>
          <w:sz w:val="20"/>
          <w:szCs w:val="20"/>
          <w:rtl/>
        </w:rPr>
        <w:t>פת"ש</w:t>
      </w:r>
      <w:r>
        <w:rPr>
          <w:rFonts w:hint="cs"/>
          <w:sz w:val="20"/>
          <w:szCs w:val="20"/>
          <w:rtl/>
        </w:rPr>
        <w:t xml:space="preserve">. יכולה לישון במקום נקי מפשפשים והלכה לישון במקום שהם מצויים </w:t>
      </w:r>
      <w:r>
        <w:rPr>
          <w:sz w:val="20"/>
          <w:szCs w:val="20"/>
          <w:rtl/>
        </w:rPr>
        <w:t>–</w:t>
      </w:r>
      <w:r>
        <w:rPr>
          <w:rFonts w:hint="cs"/>
          <w:sz w:val="20"/>
          <w:szCs w:val="20"/>
          <w:rtl/>
        </w:rPr>
        <w:t xml:space="preserve"> אפילו פחות מגריס אין תולה.</w:t>
      </w:r>
      <w:r>
        <w:rPr>
          <w:rFonts w:hint="cs"/>
          <w:sz w:val="20"/>
          <w:szCs w:val="20"/>
          <w:rtl/>
        </w:rPr>
        <w:br/>
        <w:t xml:space="preserve">10. </w:t>
      </w:r>
      <w:r w:rsidRPr="00BB6F9D">
        <w:rPr>
          <w:rFonts w:hint="cs"/>
          <w:b/>
          <w:bCs/>
          <w:sz w:val="20"/>
          <w:szCs w:val="20"/>
          <w:rtl/>
        </w:rPr>
        <w:t>פת"ש</w:t>
      </w:r>
      <w:r>
        <w:rPr>
          <w:rFonts w:hint="cs"/>
          <w:sz w:val="20"/>
          <w:szCs w:val="20"/>
          <w:rtl/>
        </w:rPr>
        <w:t xml:space="preserve">. בדיקת הפס"ט שנעשתה ללא כוונה להפסק ואחר כך עשתה הפס"ט כדין. מחלוקת האם ג' ימים מחושבים לה מההפסק הראשון. הכרעת </w:t>
      </w:r>
      <w:r w:rsidRPr="00BB6F9D">
        <w:rPr>
          <w:rFonts w:hint="cs"/>
          <w:b/>
          <w:bCs/>
          <w:sz w:val="20"/>
          <w:szCs w:val="20"/>
          <w:rtl/>
        </w:rPr>
        <w:t>החת"ס</w:t>
      </w:r>
      <w:r>
        <w:rPr>
          <w:rFonts w:hint="cs"/>
          <w:sz w:val="20"/>
          <w:szCs w:val="20"/>
          <w:rtl/>
        </w:rPr>
        <w:t xml:space="preserve">. אם אומרת שברי לה שבדקה כהוגן </w:t>
      </w:r>
      <w:r>
        <w:rPr>
          <w:sz w:val="20"/>
          <w:szCs w:val="20"/>
          <w:rtl/>
        </w:rPr>
        <w:t>–</w:t>
      </w:r>
      <w:r>
        <w:rPr>
          <w:rFonts w:hint="cs"/>
          <w:sz w:val="20"/>
          <w:szCs w:val="20"/>
          <w:rtl/>
        </w:rPr>
        <w:t xml:space="preserve"> יש להקל.</w:t>
      </w:r>
    </w:p>
    <w:p w:rsidR="00620060" w:rsidRDefault="00620060" w:rsidP="00620060">
      <w:pPr>
        <w:rPr>
          <w:b/>
          <w:bCs/>
          <w:sz w:val="20"/>
          <w:szCs w:val="20"/>
          <w:rtl/>
        </w:rPr>
      </w:pPr>
      <w:r>
        <w:rPr>
          <w:sz w:val="20"/>
          <w:szCs w:val="20"/>
          <w:rtl/>
        </w:rPr>
        <w:br/>
      </w:r>
      <w:r>
        <w:rPr>
          <w:rFonts w:hint="cs"/>
          <w:b/>
          <w:bCs/>
          <w:sz w:val="20"/>
          <w:szCs w:val="20"/>
          <w:rtl/>
        </w:rPr>
        <w:t xml:space="preserve">סעיף יא </w:t>
      </w:r>
      <w:r>
        <w:rPr>
          <w:b/>
          <w:bCs/>
          <w:sz w:val="20"/>
          <w:szCs w:val="20"/>
          <w:rtl/>
        </w:rPr>
        <w:t>–</w:t>
      </w:r>
      <w:r>
        <w:rPr>
          <w:rFonts w:hint="cs"/>
          <w:b/>
          <w:bCs/>
          <w:sz w:val="20"/>
          <w:szCs w:val="20"/>
          <w:rtl/>
        </w:rPr>
        <w:t xml:space="preserve"> מאימתי מונה שבעה נקיים / דין פולטת שכבת זרע</w:t>
      </w:r>
      <w:r>
        <w:rPr>
          <w:rFonts w:hint="cs"/>
          <w:b/>
          <w:bCs/>
          <w:sz w:val="20"/>
          <w:szCs w:val="20"/>
          <w:rtl/>
        </w:rPr>
        <w:br/>
        <w:t>מקור הדין</w:t>
      </w:r>
      <w:r>
        <w:rPr>
          <w:b/>
          <w:bCs/>
          <w:sz w:val="20"/>
          <w:szCs w:val="20"/>
          <w:rtl/>
        </w:rPr>
        <w:br/>
      </w:r>
      <w:r w:rsidRPr="004E6386">
        <w:rPr>
          <w:rFonts w:hint="cs"/>
          <w:b/>
          <w:bCs/>
          <w:sz w:val="20"/>
          <w:szCs w:val="20"/>
          <w:rtl/>
        </w:rPr>
        <w:lastRenderedPageBreak/>
        <w:t>גמרא</w:t>
      </w:r>
      <w:r>
        <w:rPr>
          <w:rFonts w:hint="cs"/>
          <w:sz w:val="20"/>
          <w:szCs w:val="20"/>
          <w:rtl/>
        </w:rPr>
        <w:t xml:space="preserve"> נדה (מב.) "</w:t>
      </w:r>
      <w:r w:rsidRPr="00F43A4F">
        <w:rPr>
          <w:rFonts w:cs="Arial"/>
          <w:sz w:val="20"/>
          <w:szCs w:val="20"/>
          <w:rtl/>
        </w:rPr>
        <w:t xml:space="preserve">בעא מיניה רב שמואל בר ביסנא מאביי: פולטת שכבת זרע, רואה הויא או נוגעת הויא? נפקא מינה: לסתור, </w:t>
      </w:r>
      <w:r>
        <w:rPr>
          <w:rFonts w:cs="Arial"/>
          <w:sz w:val="20"/>
          <w:szCs w:val="20"/>
          <w:rtl/>
        </w:rPr>
        <w:t>ולטמא במשהו, ולטמא בפנים כבחוץ.</w:t>
      </w:r>
      <w:r>
        <w:rPr>
          <w:rFonts w:cs="Arial" w:hint="cs"/>
          <w:sz w:val="20"/>
          <w:szCs w:val="20"/>
          <w:rtl/>
        </w:rPr>
        <w:t xml:space="preserve">.. </w:t>
      </w:r>
      <w:r w:rsidRPr="00F43A4F">
        <w:rPr>
          <w:rFonts w:cs="Arial"/>
          <w:sz w:val="20"/>
          <w:szCs w:val="20"/>
          <w:rtl/>
        </w:rPr>
        <w:t>א</w:t>
      </w:r>
      <w:r>
        <w:rPr>
          <w:rFonts w:cs="Arial" w:hint="cs"/>
          <w:sz w:val="20"/>
          <w:szCs w:val="20"/>
          <w:rtl/>
        </w:rPr>
        <w:t>מר ליה</w:t>
      </w:r>
      <w:r>
        <w:rPr>
          <w:rFonts w:cs="Arial"/>
          <w:sz w:val="20"/>
          <w:szCs w:val="20"/>
          <w:rtl/>
        </w:rPr>
        <w:t>: רואה הויא</w:t>
      </w:r>
      <w:r>
        <w:rPr>
          <w:rFonts w:cs="Arial" w:hint="cs"/>
          <w:sz w:val="20"/>
          <w:szCs w:val="20"/>
          <w:rtl/>
        </w:rPr>
        <w:t>".</w:t>
      </w:r>
      <w:r>
        <w:rPr>
          <w:rStyle w:val="a5"/>
          <w:rFonts w:cs="Arial"/>
          <w:sz w:val="20"/>
          <w:szCs w:val="20"/>
          <w:rtl/>
        </w:rPr>
        <w:footnoteReference w:id="541"/>
      </w:r>
    </w:p>
    <w:p w:rsidR="00620060" w:rsidRDefault="00620060" w:rsidP="00620060">
      <w:pPr>
        <w:rPr>
          <w:sz w:val="20"/>
          <w:szCs w:val="20"/>
          <w:rtl/>
        </w:rPr>
      </w:pPr>
      <w:r w:rsidRPr="00722677">
        <w:rPr>
          <w:rFonts w:hint="cs"/>
          <w:sz w:val="20"/>
          <w:szCs w:val="20"/>
          <w:u w:val="single"/>
          <w:rtl/>
        </w:rPr>
        <w:t>שיטות הראשונים</w:t>
      </w:r>
      <w:r>
        <w:rPr>
          <w:rFonts w:hint="cs"/>
          <w:b/>
          <w:bCs/>
          <w:sz w:val="20"/>
          <w:szCs w:val="20"/>
          <w:rtl/>
        </w:rPr>
        <w:br/>
      </w:r>
      <w:r>
        <w:rPr>
          <w:rFonts w:hint="cs"/>
          <w:sz w:val="20"/>
          <w:szCs w:val="20"/>
          <w:rtl/>
        </w:rPr>
        <w:t xml:space="preserve">הראשונים נחלקו האם דין סתירת הנקיים מחמת פליטת שכבת זרע נאמר רק לגבי טהרות או גם לגבי בעלה - </w:t>
      </w:r>
      <w:r>
        <w:rPr>
          <w:sz w:val="20"/>
          <w:szCs w:val="20"/>
          <w:rtl/>
        </w:rPr>
        <w:br/>
      </w:r>
      <w:r>
        <w:rPr>
          <w:rFonts w:hint="cs"/>
          <w:sz w:val="20"/>
          <w:szCs w:val="20"/>
          <w:rtl/>
        </w:rPr>
        <w:t xml:space="preserve">א. </w:t>
      </w:r>
      <w:r w:rsidRPr="004761DF">
        <w:rPr>
          <w:rFonts w:hint="cs"/>
          <w:b/>
          <w:bCs/>
          <w:sz w:val="20"/>
          <w:szCs w:val="20"/>
          <w:rtl/>
        </w:rPr>
        <w:t>ראב"ד</w:t>
      </w:r>
      <w:r>
        <w:rPr>
          <w:rFonts w:hint="cs"/>
          <w:sz w:val="20"/>
          <w:szCs w:val="20"/>
          <w:rtl/>
        </w:rPr>
        <w:t xml:space="preserve"> </w:t>
      </w:r>
      <w:r>
        <w:rPr>
          <w:sz w:val="20"/>
          <w:szCs w:val="20"/>
          <w:rtl/>
        </w:rPr>
        <w:t>–</w:t>
      </w:r>
      <w:r>
        <w:rPr>
          <w:rFonts w:hint="cs"/>
          <w:sz w:val="20"/>
          <w:szCs w:val="20"/>
          <w:rtl/>
        </w:rPr>
        <w:t xml:space="preserve"> רק לגבי טהרות.</w:t>
      </w:r>
      <w:r>
        <w:rPr>
          <w:sz w:val="20"/>
          <w:szCs w:val="20"/>
          <w:rtl/>
        </w:rPr>
        <w:br/>
      </w:r>
      <w:r>
        <w:rPr>
          <w:rFonts w:hint="cs"/>
          <w:sz w:val="20"/>
          <w:szCs w:val="20"/>
          <w:rtl/>
        </w:rPr>
        <w:t xml:space="preserve">ב. </w:t>
      </w:r>
      <w:r w:rsidRPr="004761DF">
        <w:rPr>
          <w:rFonts w:hint="cs"/>
          <w:b/>
          <w:bCs/>
          <w:sz w:val="20"/>
          <w:szCs w:val="20"/>
          <w:rtl/>
        </w:rPr>
        <w:t>רא"ש ורמב"ם</w:t>
      </w:r>
      <w:r>
        <w:rPr>
          <w:rFonts w:hint="cs"/>
          <w:sz w:val="20"/>
          <w:szCs w:val="20"/>
          <w:rtl/>
        </w:rPr>
        <w:t xml:space="preserve"> </w:t>
      </w:r>
      <w:r>
        <w:rPr>
          <w:sz w:val="20"/>
          <w:szCs w:val="20"/>
          <w:rtl/>
        </w:rPr>
        <w:t>–</w:t>
      </w:r>
      <w:r>
        <w:rPr>
          <w:rFonts w:hint="cs"/>
          <w:sz w:val="20"/>
          <w:szCs w:val="20"/>
          <w:rtl/>
        </w:rPr>
        <w:t xml:space="preserve"> גם לגבי בעלה.</w:t>
      </w:r>
      <w:r>
        <w:rPr>
          <w:sz w:val="20"/>
          <w:szCs w:val="20"/>
          <w:rtl/>
        </w:rPr>
        <w:br/>
      </w:r>
      <w:r>
        <w:rPr>
          <w:rFonts w:hint="cs"/>
          <w:sz w:val="20"/>
          <w:szCs w:val="20"/>
          <w:rtl/>
        </w:rPr>
        <w:t xml:space="preserve">ג. </w:t>
      </w:r>
      <w:r w:rsidRPr="004761DF">
        <w:rPr>
          <w:rFonts w:hint="cs"/>
          <w:b/>
          <w:bCs/>
          <w:sz w:val="20"/>
          <w:szCs w:val="20"/>
          <w:rtl/>
        </w:rPr>
        <w:t>רי"ף</w:t>
      </w:r>
      <w:r>
        <w:rPr>
          <w:rFonts w:hint="cs"/>
          <w:sz w:val="20"/>
          <w:szCs w:val="20"/>
          <w:rtl/>
        </w:rPr>
        <w:t xml:space="preserve"> </w:t>
      </w:r>
      <w:r>
        <w:rPr>
          <w:sz w:val="20"/>
          <w:szCs w:val="20"/>
          <w:rtl/>
        </w:rPr>
        <w:t>–</w:t>
      </w:r>
      <w:r>
        <w:rPr>
          <w:rFonts w:hint="cs"/>
          <w:sz w:val="20"/>
          <w:szCs w:val="20"/>
          <w:rtl/>
        </w:rPr>
        <w:t xml:space="preserve"> השמיט דין זה. </w:t>
      </w:r>
      <w:r>
        <w:rPr>
          <w:sz w:val="20"/>
          <w:szCs w:val="20"/>
          <w:rtl/>
        </w:rPr>
        <w:br/>
      </w:r>
      <w:r w:rsidRPr="004761DF">
        <w:rPr>
          <w:rFonts w:hint="cs"/>
          <w:b/>
          <w:bCs/>
          <w:sz w:val="20"/>
          <w:szCs w:val="20"/>
          <w:rtl/>
        </w:rPr>
        <w:t>רשב"א</w:t>
      </w:r>
      <w:r w:rsidRPr="004761DF">
        <w:rPr>
          <w:rFonts w:hint="cs"/>
          <w:sz w:val="20"/>
          <w:szCs w:val="20"/>
          <w:rtl/>
        </w:rPr>
        <w:t xml:space="preserve"> </w:t>
      </w:r>
      <w:r w:rsidRPr="004761DF">
        <w:rPr>
          <w:sz w:val="20"/>
          <w:szCs w:val="20"/>
          <w:rtl/>
        </w:rPr>
        <w:t>–</w:t>
      </w:r>
      <w:r w:rsidRPr="004761DF">
        <w:rPr>
          <w:rFonts w:hint="cs"/>
          <w:sz w:val="20"/>
          <w:szCs w:val="20"/>
          <w:rtl/>
        </w:rPr>
        <w:t xml:space="preserve"> מסתבר שדעת </w:t>
      </w:r>
      <w:r w:rsidRPr="004761DF">
        <w:rPr>
          <w:rFonts w:hint="cs"/>
          <w:b/>
          <w:bCs/>
          <w:sz w:val="20"/>
          <w:szCs w:val="20"/>
          <w:rtl/>
        </w:rPr>
        <w:t>הרי"ף כראב"ד</w:t>
      </w:r>
      <w:r w:rsidRPr="004761DF">
        <w:rPr>
          <w:rFonts w:hint="cs"/>
          <w:sz w:val="20"/>
          <w:szCs w:val="20"/>
          <w:rtl/>
        </w:rPr>
        <w:t>, ולכן השמיט דין זה.</w:t>
      </w:r>
      <w:r w:rsidRPr="004761DF">
        <w:rPr>
          <w:sz w:val="20"/>
          <w:szCs w:val="20"/>
          <w:rtl/>
        </w:rPr>
        <w:br/>
      </w:r>
      <w:r w:rsidRPr="004761DF">
        <w:rPr>
          <w:rFonts w:hint="cs"/>
          <w:b/>
          <w:bCs/>
          <w:sz w:val="20"/>
          <w:szCs w:val="20"/>
          <w:rtl/>
        </w:rPr>
        <w:t>בית יוסף</w:t>
      </w:r>
      <w:r>
        <w:rPr>
          <w:rFonts w:hint="cs"/>
          <w:sz w:val="20"/>
          <w:szCs w:val="20"/>
          <w:rtl/>
        </w:rPr>
        <w:t xml:space="preserve"> </w:t>
      </w:r>
      <w:r>
        <w:rPr>
          <w:sz w:val="20"/>
          <w:szCs w:val="20"/>
          <w:rtl/>
        </w:rPr>
        <w:t>–</w:t>
      </w:r>
      <w:r>
        <w:rPr>
          <w:rFonts w:hint="cs"/>
          <w:sz w:val="20"/>
          <w:szCs w:val="20"/>
          <w:rtl/>
        </w:rPr>
        <w:t xml:space="preserve"> אין להוכיח מאומה מהשמטת </w:t>
      </w:r>
      <w:r w:rsidRPr="004761DF">
        <w:rPr>
          <w:rFonts w:hint="cs"/>
          <w:b/>
          <w:bCs/>
          <w:sz w:val="20"/>
          <w:szCs w:val="20"/>
          <w:rtl/>
        </w:rPr>
        <w:t>הרי"ף</w:t>
      </w:r>
      <w:r>
        <w:rPr>
          <w:rFonts w:hint="cs"/>
          <w:sz w:val="20"/>
          <w:szCs w:val="20"/>
          <w:rtl/>
        </w:rPr>
        <w:t>, שהרי הוא השמיט דינים רבים בהלכות נידה מחמת שהם אינם מצויים. וכך יש לומר גם ביחס לדין פולטת שכבת זרע, שמכיוון שרוב ראיות הנשים נמשכות חמישה או שישה ימים, לכן אין מצוי דין פולטת שתסתור ז' נקיים.</w:t>
      </w:r>
    </w:p>
    <w:p w:rsidR="00620060" w:rsidRDefault="00620060" w:rsidP="00620060">
      <w:pPr>
        <w:rPr>
          <w:sz w:val="20"/>
          <w:szCs w:val="20"/>
          <w:rtl/>
        </w:rPr>
      </w:pPr>
      <w:r w:rsidRPr="00A303F0">
        <w:rPr>
          <w:rFonts w:hint="cs"/>
          <w:b/>
          <w:bCs/>
          <w:sz w:val="20"/>
          <w:szCs w:val="20"/>
          <w:rtl/>
        </w:rPr>
        <w:t>כמה זמן נמשכת פליטת הזרע</w:t>
      </w:r>
      <w:r>
        <w:rPr>
          <w:rFonts w:hint="cs"/>
          <w:b/>
          <w:bCs/>
          <w:sz w:val="20"/>
          <w:szCs w:val="20"/>
          <w:rtl/>
        </w:rPr>
        <w:br/>
        <w:t xml:space="preserve">גמרא </w:t>
      </w:r>
      <w:r>
        <w:rPr>
          <w:rFonts w:hint="cs"/>
          <w:sz w:val="20"/>
          <w:szCs w:val="20"/>
          <w:rtl/>
        </w:rPr>
        <w:t xml:space="preserve">שבת (פו. </w:t>
      </w:r>
      <w:r>
        <w:rPr>
          <w:sz w:val="20"/>
          <w:szCs w:val="20"/>
          <w:rtl/>
        </w:rPr>
        <w:t>–</w:t>
      </w:r>
      <w:r>
        <w:rPr>
          <w:rFonts w:hint="cs"/>
          <w:sz w:val="20"/>
          <w:szCs w:val="20"/>
          <w:rtl/>
        </w:rPr>
        <w:t xml:space="preserve"> פו:) "</w:t>
      </w:r>
      <w:r w:rsidRPr="00A303F0">
        <w:rPr>
          <w:rFonts w:cs="Arial"/>
          <w:sz w:val="20"/>
          <w:szCs w:val="20"/>
          <w:rtl/>
        </w:rPr>
        <w:t>תנו רבנן: פולטת שכבת זרע ביום השלישי - טהורה, דברי רבי אלעזר בן עזריה. רבי ישמעאל אומר: פעמים שהן ארבע עונות, פעמים שהן חמש עונות, פעמים שהן שש עונות. רבי עקיבא אומר: לעולם חמש. ואם יצאתה מקצת עונה ראשונה - נותנין לה מקצת עונה ששית</w:t>
      </w:r>
      <w:r>
        <w:rPr>
          <w:rFonts w:cs="Arial" w:hint="cs"/>
          <w:sz w:val="20"/>
          <w:szCs w:val="20"/>
          <w:rtl/>
        </w:rPr>
        <w:t xml:space="preserve">... </w:t>
      </w:r>
      <w:r>
        <w:rPr>
          <w:rFonts w:cs="Arial" w:hint="cs"/>
          <w:sz w:val="20"/>
          <w:szCs w:val="20"/>
          <w:rtl/>
        </w:rPr>
        <w:br/>
      </w:r>
      <w:r w:rsidRPr="00A303F0">
        <w:rPr>
          <w:rFonts w:cs="Arial"/>
          <w:sz w:val="20"/>
          <w:szCs w:val="20"/>
          <w:rtl/>
        </w:rPr>
        <w:t>אמר רבי חייא ברבי אבא אמר רבי יוחנן: זו דברי רבי ישמעאל ורבי עקיבא, אבל חכמי</w:t>
      </w:r>
      <w:r>
        <w:rPr>
          <w:rFonts w:cs="Arial"/>
          <w:sz w:val="20"/>
          <w:szCs w:val="20"/>
          <w:rtl/>
        </w:rPr>
        <w:t>ם אומרים: שש עונות שלמות בעינן</w:t>
      </w:r>
      <w:r>
        <w:rPr>
          <w:rFonts w:cs="Arial" w:hint="cs"/>
          <w:sz w:val="20"/>
          <w:szCs w:val="20"/>
          <w:rtl/>
        </w:rPr>
        <w:t>"</w:t>
      </w:r>
      <w:r w:rsidRPr="00A303F0">
        <w:rPr>
          <w:rFonts w:cs="Arial"/>
          <w:sz w:val="20"/>
          <w:szCs w:val="20"/>
          <w:rtl/>
        </w:rPr>
        <w:t>.</w:t>
      </w:r>
    </w:p>
    <w:p w:rsidR="00620060" w:rsidRDefault="00620060" w:rsidP="00620060">
      <w:pPr>
        <w:rPr>
          <w:sz w:val="20"/>
          <w:szCs w:val="20"/>
          <w:rtl/>
        </w:rPr>
      </w:pPr>
      <w:r w:rsidRPr="00722677">
        <w:rPr>
          <w:rFonts w:hint="cs"/>
          <w:sz w:val="20"/>
          <w:szCs w:val="20"/>
          <w:u w:val="single"/>
          <w:rtl/>
        </w:rPr>
        <w:t>שיטות הראשונים</w:t>
      </w:r>
      <w:r>
        <w:rPr>
          <w:rFonts w:hint="cs"/>
          <w:sz w:val="20"/>
          <w:szCs w:val="20"/>
          <w:rtl/>
        </w:rPr>
        <w:br/>
        <w:t xml:space="preserve">א. </w:t>
      </w:r>
      <w:r w:rsidRPr="002C63E3">
        <w:rPr>
          <w:rFonts w:hint="cs"/>
          <w:b/>
          <w:bCs/>
          <w:sz w:val="20"/>
          <w:szCs w:val="20"/>
          <w:rtl/>
        </w:rPr>
        <w:t>רא"ש</w:t>
      </w:r>
      <w:r>
        <w:rPr>
          <w:rFonts w:hint="cs"/>
          <w:sz w:val="20"/>
          <w:szCs w:val="20"/>
          <w:rtl/>
        </w:rPr>
        <w:t xml:space="preserve"> </w:t>
      </w:r>
      <w:r>
        <w:rPr>
          <w:sz w:val="20"/>
          <w:szCs w:val="20"/>
          <w:rtl/>
        </w:rPr>
        <w:t>–</w:t>
      </w:r>
      <w:r>
        <w:rPr>
          <w:rFonts w:hint="cs"/>
          <w:sz w:val="20"/>
          <w:szCs w:val="20"/>
          <w:rtl/>
        </w:rPr>
        <w:t xml:space="preserve"> הלכה כחכמים, פולטת שכת זרע טמאה במשך שש עונות שלמות מעת לעת, וכ"פ </w:t>
      </w:r>
      <w:r w:rsidRPr="00412B0A">
        <w:rPr>
          <w:rFonts w:hint="cs"/>
          <w:b/>
          <w:bCs/>
          <w:sz w:val="20"/>
          <w:szCs w:val="20"/>
          <w:rtl/>
        </w:rPr>
        <w:t>המחבר</w:t>
      </w:r>
      <w:r>
        <w:rPr>
          <w:rFonts w:hint="cs"/>
          <w:sz w:val="20"/>
          <w:szCs w:val="20"/>
          <w:rtl/>
        </w:rPr>
        <w:t>.</w:t>
      </w:r>
      <w:r>
        <w:rPr>
          <w:sz w:val="20"/>
          <w:szCs w:val="20"/>
          <w:rtl/>
        </w:rPr>
        <w:br/>
      </w:r>
      <w:r>
        <w:rPr>
          <w:rFonts w:hint="cs"/>
          <w:sz w:val="20"/>
          <w:szCs w:val="20"/>
          <w:rtl/>
        </w:rPr>
        <w:t xml:space="preserve">לפי"ז, אשה שראתה דם ורוצה להתחיל למנות ז"נ, יכולה לעשות זאת רק מיום החמישי לשימושה. כגון אם שימשה במוצ"ש, יום חמישי יהיה הראשון לז"נ. </w:t>
      </w:r>
      <w:r>
        <w:rPr>
          <w:sz w:val="20"/>
          <w:szCs w:val="20"/>
          <w:rtl/>
        </w:rPr>
        <w:br/>
      </w:r>
      <w:r>
        <w:rPr>
          <w:rFonts w:hint="cs"/>
          <w:sz w:val="20"/>
          <w:szCs w:val="20"/>
          <w:rtl/>
        </w:rPr>
        <w:t xml:space="preserve">והחשבון כך </w:t>
      </w:r>
      <w:r>
        <w:rPr>
          <w:sz w:val="20"/>
          <w:szCs w:val="20"/>
          <w:rtl/>
        </w:rPr>
        <w:t>–</w:t>
      </w:r>
      <w:r>
        <w:rPr>
          <w:rFonts w:hint="cs"/>
          <w:sz w:val="20"/>
          <w:szCs w:val="20"/>
          <w:rtl/>
        </w:rPr>
        <w:t xml:space="preserve"> שכבת זרע הנפלטת בליל רביעי קודם עת שימושה במוצ"ש</w:t>
      </w:r>
      <w:r>
        <w:rPr>
          <w:rStyle w:val="a5"/>
          <w:sz w:val="20"/>
          <w:szCs w:val="20"/>
          <w:rtl/>
        </w:rPr>
        <w:footnoteReference w:id="542"/>
      </w:r>
      <w:r>
        <w:rPr>
          <w:rFonts w:hint="cs"/>
          <w:sz w:val="20"/>
          <w:szCs w:val="20"/>
          <w:rtl/>
        </w:rPr>
        <w:t xml:space="preserve"> טמאה, ולכן יום ד' כולו טמא, אלא שיכולה לעשות בו הפסק טהרה ולמנות את יום חמישי כיום ראשון לז"נ. ואע"פ שאפשר שתפלוט גם לאחר ג' </w:t>
      </w:r>
      <w:r>
        <w:rPr>
          <w:rFonts w:hint="cs"/>
          <w:sz w:val="20"/>
          <w:szCs w:val="20"/>
          <w:rtl/>
        </w:rPr>
        <w:lastRenderedPageBreak/>
        <w:t xml:space="preserve">ימים, מכל מקום שכבת זרע מסריחה לאחר ג' ימים ודינה כמים בעלמא </w:t>
      </w:r>
      <w:r w:rsidRPr="00F62B01">
        <w:rPr>
          <w:rFonts w:hint="cs"/>
          <w:sz w:val="18"/>
          <w:szCs w:val="18"/>
          <w:rtl/>
        </w:rPr>
        <w:t xml:space="preserve">(ע"פ </w:t>
      </w:r>
      <w:r w:rsidRPr="00F62B01">
        <w:rPr>
          <w:rFonts w:hint="cs"/>
          <w:b/>
          <w:bCs/>
          <w:sz w:val="18"/>
          <w:szCs w:val="18"/>
          <w:rtl/>
        </w:rPr>
        <w:t>ט"ז וש"ך</w:t>
      </w:r>
      <w:r w:rsidRPr="00F62B01">
        <w:rPr>
          <w:rFonts w:hint="cs"/>
          <w:sz w:val="18"/>
          <w:szCs w:val="18"/>
          <w:rtl/>
        </w:rPr>
        <w:t>)</w:t>
      </w:r>
      <w:r>
        <w:rPr>
          <w:rFonts w:hint="cs"/>
          <w:sz w:val="20"/>
          <w:szCs w:val="20"/>
          <w:rtl/>
        </w:rPr>
        <w:t>.</w:t>
      </w:r>
      <w:r>
        <w:rPr>
          <w:rFonts w:hint="cs"/>
          <w:sz w:val="20"/>
          <w:szCs w:val="20"/>
          <w:rtl/>
        </w:rPr>
        <w:br/>
        <w:t xml:space="preserve">ב. </w:t>
      </w:r>
      <w:r w:rsidRPr="00B93854">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הלכה כראב"ע, פולטת שכבת זרע טמאה במשך שלוש עונות שלמות</w:t>
      </w:r>
      <w:r>
        <w:rPr>
          <w:rStyle w:val="a5"/>
          <w:sz w:val="20"/>
          <w:szCs w:val="20"/>
          <w:rtl/>
        </w:rPr>
        <w:footnoteReference w:id="543"/>
      </w:r>
      <w:r>
        <w:rPr>
          <w:rFonts w:hint="cs"/>
          <w:sz w:val="20"/>
          <w:szCs w:val="20"/>
          <w:rtl/>
        </w:rPr>
        <w:t>.</w:t>
      </w:r>
    </w:p>
    <w:p w:rsidR="00620060" w:rsidRPr="0026709A"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26709A">
        <w:rPr>
          <w:rFonts w:cs="Arial"/>
          <w:sz w:val="20"/>
          <w:szCs w:val="20"/>
          <w:rtl/>
        </w:rPr>
        <w:t>הפולטת שכבת זרע בימי ספירתה, אם הוא תוך ו' עונות לש</w:t>
      </w:r>
      <w:r>
        <w:rPr>
          <w:rFonts w:cs="Arial" w:hint="cs"/>
          <w:sz w:val="20"/>
          <w:szCs w:val="20"/>
          <w:rtl/>
        </w:rPr>
        <w:t>י</w:t>
      </w:r>
      <w:r w:rsidRPr="0026709A">
        <w:rPr>
          <w:rFonts w:cs="Arial"/>
          <w:sz w:val="20"/>
          <w:szCs w:val="20"/>
          <w:rtl/>
        </w:rPr>
        <w:t>מושה סותרת אותו יום. לפיכך המשמשת מ</w:t>
      </w:r>
      <w:r>
        <w:rPr>
          <w:rFonts w:cs="Arial" w:hint="cs"/>
          <w:sz w:val="20"/>
          <w:szCs w:val="20"/>
          <w:rtl/>
        </w:rPr>
        <w:t>י</w:t>
      </w:r>
      <w:r w:rsidRPr="0026709A">
        <w:rPr>
          <w:rFonts w:cs="Arial"/>
          <w:sz w:val="20"/>
          <w:szCs w:val="20"/>
          <w:rtl/>
        </w:rPr>
        <w:t>טתה וראתה אחר כך ופסקה, אינה מתחלת לספור שבעה נקיים עד שיעברו עליה ו' עונות שלימות שמא תפלוט; לפיכך אינה מתחלת לספור עד יום ה' לש</w:t>
      </w:r>
      <w:r>
        <w:rPr>
          <w:rFonts w:cs="Arial" w:hint="cs"/>
          <w:sz w:val="20"/>
          <w:szCs w:val="20"/>
          <w:rtl/>
        </w:rPr>
        <w:t>י</w:t>
      </w:r>
      <w:r w:rsidRPr="0026709A">
        <w:rPr>
          <w:rFonts w:cs="Arial"/>
          <w:sz w:val="20"/>
          <w:szCs w:val="20"/>
          <w:rtl/>
        </w:rPr>
        <w:t>מושה, כגון אם שמשה במוצאי שבת אינה מתחלת לספור עד יום ה', דקיי</w:t>
      </w:r>
      <w:r>
        <w:rPr>
          <w:rFonts w:cs="Arial" w:hint="cs"/>
          <w:sz w:val="20"/>
          <w:szCs w:val="20"/>
          <w:rtl/>
        </w:rPr>
        <w:t>מא לן</w:t>
      </w:r>
      <w:r w:rsidRPr="0026709A">
        <w:rPr>
          <w:rFonts w:cs="Arial"/>
          <w:sz w:val="20"/>
          <w:szCs w:val="20"/>
          <w:rtl/>
        </w:rPr>
        <w:t xml:space="preserve"> אין שכבת זרע מסריח עד שיעברו עליו ששה עונות שלימות מעת לעת; ואם שמשה במוצאי שבת ופלטה ליל ד', קודם עת שימושה במוצאי שבת, עדיין היא עומדת בתוך עונה ששית לש</w:t>
      </w:r>
      <w:r>
        <w:rPr>
          <w:rFonts w:cs="Arial" w:hint="cs"/>
          <w:sz w:val="20"/>
          <w:szCs w:val="20"/>
          <w:rtl/>
        </w:rPr>
        <w:t>י</w:t>
      </w:r>
      <w:r w:rsidRPr="0026709A">
        <w:rPr>
          <w:rFonts w:cs="Arial"/>
          <w:sz w:val="20"/>
          <w:szCs w:val="20"/>
          <w:rtl/>
        </w:rPr>
        <w:t xml:space="preserve">מושה וסותרת, </w:t>
      </w:r>
      <w:r w:rsidRPr="0026709A">
        <w:rPr>
          <w:rFonts w:cs="Arial" w:hint="cs"/>
          <w:sz w:val="20"/>
          <w:szCs w:val="20"/>
          <w:rtl/>
        </w:rPr>
        <w:t>הלכך</w:t>
      </w:r>
      <w:r w:rsidRPr="0026709A">
        <w:rPr>
          <w:rFonts w:cs="Arial"/>
          <w:sz w:val="20"/>
          <w:szCs w:val="20"/>
          <w:rtl/>
        </w:rPr>
        <w:t xml:space="preserve"> יום ה' יהיה ראשון לספירתה</w:t>
      </w:r>
      <w:r>
        <w:rPr>
          <w:rFonts w:cs="Arial" w:hint="cs"/>
          <w:sz w:val="20"/>
          <w:szCs w:val="20"/>
          <w:rtl/>
        </w:rPr>
        <w:t xml:space="preserve">. </w:t>
      </w:r>
      <w:r w:rsidRPr="00355283">
        <w:rPr>
          <w:rFonts w:cs="Arial" w:hint="cs"/>
          <w:sz w:val="18"/>
          <w:szCs w:val="18"/>
          <w:rtl/>
        </w:rPr>
        <w:t xml:space="preserve">הגה: </w:t>
      </w:r>
      <w:r w:rsidRPr="00355283">
        <w:rPr>
          <w:rFonts w:cs="Arial"/>
          <w:sz w:val="18"/>
          <w:szCs w:val="18"/>
          <w:rtl/>
        </w:rPr>
        <w:t>ותפסוק יום ד' לעת ערב, ויום ה' עולה למניין</w:t>
      </w:r>
      <w:r>
        <w:rPr>
          <w:rFonts w:cs="Arial" w:hint="cs"/>
          <w:sz w:val="18"/>
          <w:szCs w:val="18"/>
          <w:rtl/>
        </w:rPr>
        <w:t xml:space="preserve"> ז'</w:t>
      </w:r>
      <w:r>
        <w:rPr>
          <w:rFonts w:cs="Arial" w:hint="cs"/>
          <w:sz w:val="20"/>
          <w:szCs w:val="20"/>
          <w:rtl/>
        </w:rPr>
        <w:t>".</w:t>
      </w:r>
    </w:p>
    <w:p w:rsidR="00620060" w:rsidRDefault="00620060" w:rsidP="00620060">
      <w:pPr>
        <w:rPr>
          <w:sz w:val="20"/>
          <w:szCs w:val="20"/>
          <w:rtl/>
        </w:rPr>
      </w:pPr>
      <w:r w:rsidRPr="00E65621">
        <w:rPr>
          <w:rFonts w:hint="cs"/>
          <w:sz w:val="20"/>
          <w:szCs w:val="20"/>
          <w:u w:val="single"/>
          <w:rtl/>
        </w:rPr>
        <w:t>ראתה דם בז' נקיים</w:t>
      </w:r>
      <w:r>
        <w:rPr>
          <w:sz w:val="20"/>
          <w:szCs w:val="20"/>
          <w:rtl/>
        </w:rPr>
        <w:br/>
      </w:r>
      <w:r w:rsidRPr="00E65621">
        <w:rPr>
          <w:rFonts w:hint="cs"/>
          <w:b/>
          <w:bCs/>
          <w:sz w:val="20"/>
          <w:szCs w:val="20"/>
          <w:rtl/>
        </w:rPr>
        <w:t>ט"ז</w:t>
      </w:r>
      <w:r>
        <w:rPr>
          <w:rFonts w:hint="cs"/>
          <w:sz w:val="20"/>
          <w:szCs w:val="20"/>
          <w:rtl/>
        </w:rPr>
        <w:t xml:space="preserve"> </w:t>
      </w:r>
      <w:r w:rsidRPr="008C3707">
        <w:rPr>
          <w:rFonts w:hint="cs"/>
          <w:b/>
          <w:bCs/>
          <w:sz w:val="20"/>
          <w:szCs w:val="20"/>
          <w:rtl/>
        </w:rPr>
        <w:t>וש"ך</w:t>
      </w:r>
      <w:r>
        <w:rPr>
          <w:rFonts w:hint="cs"/>
          <w:sz w:val="20"/>
          <w:szCs w:val="20"/>
          <w:rtl/>
        </w:rPr>
        <w:t xml:space="preserve"> </w:t>
      </w:r>
      <w:r>
        <w:rPr>
          <w:sz w:val="20"/>
          <w:szCs w:val="20"/>
          <w:rtl/>
        </w:rPr>
        <w:t>–</w:t>
      </w:r>
      <w:r>
        <w:rPr>
          <w:rFonts w:hint="cs"/>
          <w:sz w:val="20"/>
          <w:szCs w:val="20"/>
          <w:rtl/>
        </w:rPr>
        <w:t xml:space="preserve"> המתנת שש עונות אינה נוהגת באשה הנמצאת בתוך ז"נ </w:t>
      </w:r>
      <w:r w:rsidRPr="008C3707">
        <w:rPr>
          <w:rFonts w:hint="cs"/>
          <w:sz w:val="18"/>
          <w:szCs w:val="18"/>
          <w:rtl/>
        </w:rPr>
        <w:t>(או לאחר חמישה ימים מראייתה)</w:t>
      </w:r>
      <w:r>
        <w:rPr>
          <w:rFonts w:hint="cs"/>
          <w:sz w:val="20"/>
          <w:szCs w:val="20"/>
          <w:rtl/>
        </w:rPr>
        <w:t xml:space="preserve">. </w:t>
      </w:r>
      <w:r>
        <w:rPr>
          <w:sz w:val="20"/>
          <w:szCs w:val="20"/>
          <w:rtl/>
        </w:rPr>
        <w:br/>
      </w:r>
      <w:r w:rsidRPr="00E65621">
        <w:rPr>
          <w:rFonts w:hint="cs"/>
          <w:sz w:val="20"/>
          <w:szCs w:val="20"/>
          <w:rtl/>
        </w:rPr>
        <w:t>לכן</w:t>
      </w:r>
      <w:r>
        <w:rPr>
          <w:rFonts w:hint="cs"/>
          <w:sz w:val="20"/>
          <w:szCs w:val="20"/>
          <w:rtl/>
        </w:rPr>
        <w:t>, אשה שנמצאת בתוך ז"נ וראתה דם, עושה הפסק מייד כשהדבר מתאפשר ומונה ז"נ.</w:t>
      </w:r>
      <w:r w:rsidRPr="00E65621">
        <w:rPr>
          <w:rFonts w:hint="cs"/>
          <w:sz w:val="20"/>
          <w:szCs w:val="20"/>
          <w:rtl/>
        </w:rPr>
        <w:br/>
      </w:r>
      <w:r>
        <w:rPr>
          <w:rFonts w:hint="cs"/>
          <w:sz w:val="20"/>
          <w:szCs w:val="20"/>
          <w:rtl/>
        </w:rPr>
        <w:br/>
      </w:r>
      <w:r>
        <w:rPr>
          <w:rFonts w:hint="cs"/>
          <w:b/>
          <w:bCs/>
          <w:sz w:val="20"/>
          <w:szCs w:val="20"/>
          <w:rtl/>
        </w:rPr>
        <w:t>חומרות שנהגו באשכנז</w:t>
      </w:r>
      <w:r>
        <w:rPr>
          <w:rFonts w:hint="cs"/>
          <w:b/>
          <w:bCs/>
          <w:sz w:val="20"/>
          <w:szCs w:val="20"/>
          <w:rtl/>
        </w:rPr>
        <w:br/>
      </w:r>
      <w:r>
        <w:rPr>
          <w:rFonts w:hint="cs"/>
          <w:sz w:val="20"/>
          <w:szCs w:val="20"/>
          <w:rtl/>
        </w:rPr>
        <w:t xml:space="preserve">א. </w:t>
      </w:r>
      <w:r w:rsidRPr="0026709A">
        <w:rPr>
          <w:rFonts w:hint="cs"/>
          <w:sz w:val="20"/>
          <w:szCs w:val="20"/>
          <w:u w:val="single"/>
          <w:rtl/>
        </w:rPr>
        <w:t>הוספת יום על שש עונות</w:t>
      </w:r>
      <w:r>
        <w:rPr>
          <w:rFonts w:hint="cs"/>
          <w:sz w:val="20"/>
          <w:szCs w:val="20"/>
          <w:rtl/>
        </w:rPr>
        <w:br/>
      </w:r>
      <w:r w:rsidRPr="0026709A">
        <w:rPr>
          <w:rFonts w:hint="cs"/>
          <w:b/>
          <w:bCs/>
          <w:sz w:val="20"/>
          <w:szCs w:val="20"/>
          <w:rtl/>
        </w:rPr>
        <w:t>תרומת הדשן</w:t>
      </w:r>
      <w:r>
        <w:rPr>
          <w:rFonts w:hint="cs"/>
          <w:sz w:val="20"/>
          <w:szCs w:val="20"/>
          <w:rtl/>
        </w:rPr>
        <w:t xml:space="preserve"> </w:t>
      </w:r>
      <w:r>
        <w:rPr>
          <w:sz w:val="20"/>
          <w:szCs w:val="20"/>
          <w:rtl/>
        </w:rPr>
        <w:t>–</w:t>
      </w:r>
      <w:r>
        <w:rPr>
          <w:rFonts w:hint="cs"/>
          <w:sz w:val="20"/>
          <w:szCs w:val="20"/>
          <w:rtl/>
        </w:rPr>
        <w:t xml:space="preserve"> נהגו באשכנז להוסיף יום על שש העונות, ולהתחיל ז"נ מיום ו' לשימושה, וכ"פ </w:t>
      </w:r>
      <w:r w:rsidRPr="0026709A">
        <w:rPr>
          <w:rFonts w:hint="cs"/>
          <w:b/>
          <w:bCs/>
          <w:sz w:val="20"/>
          <w:szCs w:val="20"/>
          <w:rtl/>
        </w:rPr>
        <w:t>הרמ"א</w:t>
      </w:r>
      <w:r>
        <w:rPr>
          <w:rFonts w:hint="cs"/>
          <w:sz w:val="20"/>
          <w:szCs w:val="20"/>
          <w:rtl/>
        </w:rPr>
        <w:t>.</w:t>
      </w:r>
      <w:r>
        <w:rPr>
          <w:sz w:val="20"/>
          <w:szCs w:val="20"/>
          <w:rtl/>
        </w:rPr>
        <w:br/>
      </w:r>
      <w:r w:rsidRPr="0026709A">
        <w:rPr>
          <w:rFonts w:hint="cs"/>
          <w:b/>
          <w:bCs/>
          <w:sz w:val="20"/>
          <w:szCs w:val="20"/>
          <w:rtl/>
        </w:rPr>
        <w:t xml:space="preserve">טעם </w:t>
      </w:r>
      <w:r>
        <w:rPr>
          <w:sz w:val="20"/>
          <w:szCs w:val="20"/>
          <w:rtl/>
        </w:rPr>
        <w:t>–</w:t>
      </w:r>
      <w:r>
        <w:rPr>
          <w:rFonts w:hint="cs"/>
          <w:sz w:val="20"/>
          <w:szCs w:val="20"/>
          <w:rtl/>
        </w:rPr>
        <w:t xml:space="preserve"> חששו שמא תשמש בבין השמשות ותסבור שעדיין הוא יום ולמעשה הוא לילה, ובכה"ג מעיקר הדין אינה יכולה למנות ז"נ עד יום ו' לשימושה, ולכן תיקנו תמיד למנות ז"נ מיום ו'.</w:t>
      </w:r>
      <w:r>
        <w:rPr>
          <w:sz w:val="20"/>
          <w:szCs w:val="20"/>
          <w:rtl/>
        </w:rPr>
        <w:br/>
      </w:r>
      <w:r>
        <w:rPr>
          <w:sz w:val="20"/>
          <w:szCs w:val="20"/>
          <w:rtl/>
        </w:rPr>
        <w:br/>
      </w:r>
      <w:r w:rsidRPr="00CC42E7">
        <w:rPr>
          <w:rFonts w:hint="cs"/>
          <w:sz w:val="20"/>
          <w:szCs w:val="20"/>
          <w:rtl/>
        </w:rPr>
        <w:t>ב.</w:t>
      </w:r>
      <w:r>
        <w:rPr>
          <w:rFonts w:hint="cs"/>
          <w:sz w:val="20"/>
          <w:szCs w:val="20"/>
          <w:rtl/>
        </w:rPr>
        <w:t xml:space="preserve"> </w:t>
      </w:r>
      <w:r w:rsidRPr="00CC42E7">
        <w:rPr>
          <w:rFonts w:hint="cs"/>
          <w:sz w:val="20"/>
          <w:szCs w:val="20"/>
          <w:u w:val="single"/>
          <w:rtl/>
        </w:rPr>
        <w:t xml:space="preserve">הוספת שבעה ימים על שש עונות </w:t>
      </w:r>
      <w:r w:rsidRPr="00CC42E7">
        <w:rPr>
          <w:rFonts w:hint="cs"/>
          <w:b/>
          <w:bCs/>
          <w:sz w:val="20"/>
          <w:szCs w:val="20"/>
          <w:u w:val="single"/>
          <w:rtl/>
        </w:rPr>
        <w:t xml:space="preserve"> </w:t>
      </w:r>
      <w:r>
        <w:rPr>
          <w:b/>
          <w:bCs/>
          <w:sz w:val="20"/>
          <w:szCs w:val="20"/>
          <w:rtl/>
        </w:rPr>
        <w:br/>
      </w:r>
      <w:r w:rsidRPr="00CC42E7">
        <w:rPr>
          <w:rFonts w:hint="cs"/>
          <w:b/>
          <w:bCs/>
          <w:sz w:val="20"/>
          <w:szCs w:val="20"/>
          <w:rtl/>
        </w:rPr>
        <w:t>תרומת הדשן</w:t>
      </w:r>
      <w:r w:rsidRPr="00CC42E7">
        <w:rPr>
          <w:rFonts w:hint="cs"/>
          <w:sz w:val="20"/>
          <w:szCs w:val="20"/>
          <w:rtl/>
        </w:rPr>
        <w:t xml:space="preserve"> מביא מנהג נוסף </w:t>
      </w:r>
      <w:r w:rsidRPr="00CC42E7">
        <w:rPr>
          <w:sz w:val="20"/>
          <w:szCs w:val="20"/>
          <w:rtl/>
        </w:rPr>
        <w:t>–</w:t>
      </w:r>
      <w:r w:rsidRPr="00CC42E7">
        <w:rPr>
          <w:rFonts w:hint="cs"/>
          <w:sz w:val="20"/>
          <w:szCs w:val="20"/>
          <w:rtl/>
        </w:rPr>
        <w:t xml:space="preserve"> יש החמירו למנות ז"נ רק לאחר ז' ימים מראייתה. </w:t>
      </w:r>
      <w:r>
        <w:rPr>
          <w:sz w:val="20"/>
          <w:szCs w:val="20"/>
          <w:rtl/>
        </w:rPr>
        <w:br/>
      </w:r>
      <w:r w:rsidRPr="00CC42E7">
        <w:rPr>
          <w:rFonts w:hint="cs"/>
          <w:b/>
          <w:bCs/>
          <w:sz w:val="20"/>
          <w:szCs w:val="20"/>
          <w:rtl/>
        </w:rPr>
        <w:t>תרומת הדשן</w:t>
      </w:r>
      <w:r w:rsidRPr="00CC42E7">
        <w:rPr>
          <w:rFonts w:hint="cs"/>
          <w:sz w:val="20"/>
          <w:szCs w:val="20"/>
          <w:rtl/>
        </w:rPr>
        <w:t xml:space="preserve"> מת</w:t>
      </w:r>
      <w:r>
        <w:rPr>
          <w:rFonts w:hint="cs"/>
          <w:sz w:val="20"/>
          <w:szCs w:val="20"/>
          <w:rtl/>
        </w:rPr>
        <w:t>לב</w:t>
      </w:r>
      <w:r w:rsidRPr="00CC42E7">
        <w:rPr>
          <w:rFonts w:hint="cs"/>
          <w:sz w:val="20"/>
          <w:szCs w:val="20"/>
          <w:rtl/>
        </w:rPr>
        <w:t xml:space="preserve">ט מה טעם המנהג, ומציע לכך את דברי </w:t>
      </w:r>
      <w:r w:rsidRPr="00CC42E7">
        <w:rPr>
          <w:rFonts w:hint="cs"/>
          <w:b/>
          <w:bCs/>
          <w:sz w:val="20"/>
          <w:szCs w:val="20"/>
          <w:rtl/>
        </w:rPr>
        <w:t>הרמב"ם</w:t>
      </w:r>
      <w:r w:rsidRPr="00CC42E7">
        <w:rPr>
          <w:rFonts w:hint="cs"/>
          <w:sz w:val="20"/>
          <w:szCs w:val="20"/>
          <w:rtl/>
        </w:rPr>
        <w:t xml:space="preserve"> </w:t>
      </w:r>
      <w:r w:rsidRPr="00CC42E7">
        <w:rPr>
          <w:sz w:val="20"/>
          <w:szCs w:val="20"/>
          <w:rtl/>
        </w:rPr>
        <w:t>–</w:t>
      </w:r>
      <w:r w:rsidRPr="00CC42E7">
        <w:rPr>
          <w:rFonts w:hint="cs"/>
          <w:sz w:val="20"/>
          <w:szCs w:val="20"/>
          <w:rtl/>
        </w:rPr>
        <w:t xml:space="preserve"> "</w:t>
      </w:r>
      <w:r w:rsidRPr="00CC42E7">
        <w:rPr>
          <w:rFonts w:cs="Arial"/>
          <w:sz w:val="20"/>
          <w:szCs w:val="20"/>
          <w:rtl/>
        </w:rPr>
        <w:t>זה שתמצא במקצת המקומות שהנדה יושבת שבעת ימים בנ</w:t>
      </w:r>
      <w:r w:rsidRPr="00CC42E7">
        <w:rPr>
          <w:rFonts w:cs="Arial" w:hint="cs"/>
          <w:sz w:val="20"/>
          <w:szCs w:val="20"/>
          <w:rtl/>
        </w:rPr>
        <w:t>י</w:t>
      </w:r>
      <w:r w:rsidRPr="00CC42E7">
        <w:rPr>
          <w:rFonts w:cs="Arial"/>
          <w:sz w:val="20"/>
          <w:szCs w:val="20"/>
          <w:rtl/>
        </w:rPr>
        <w:t>דתה אף ע</w:t>
      </w:r>
      <w:r w:rsidRPr="00CC42E7">
        <w:rPr>
          <w:rFonts w:cs="Arial" w:hint="cs"/>
          <w:sz w:val="20"/>
          <w:szCs w:val="20"/>
          <w:rtl/>
        </w:rPr>
        <w:t xml:space="preserve">ל </w:t>
      </w:r>
      <w:r w:rsidRPr="00CC42E7">
        <w:rPr>
          <w:rFonts w:cs="Arial"/>
          <w:sz w:val="20"/>
          <w:szCs w:val="20"/>
          <w:rtl/>
        </w:rPr>
        <w:t>פ</w:t>
      </w:r>
      <w:r w:rsidRPr="00CC42E7">
        <w:rPr>
          <w:rFonts w:cs="Arial" w:hint="cs"/>
          <w:sz w:val="20"/>
          <w:szCs w:val="20"/>
          <w:rtl/>
        </w:rPr>
        <w:t>י</w:t>
      </w:r>
      <w:r w:rsidRPr="00CC42E7">
        <w:rPr>
          <w:rFonts w:cs="Arial"/>
          <w:sz w:val="20"/>
          <w:szCs w:val="20"/>
          <w:rtl/>
        </w:rPr>
        <w:t xml:space="preserve"> שלא ראתה דם אלא יום אחד ואחר השבעה תשב שבעת ימים נקיים אין זה מנהג אלא טעות הוא ממי שהורה להם כך, ואין ראוי לפנות לדבר זה כלל אלא אם ראתה יום אחד סופרת אחריו ז' נקיים וטובלת בליל ח</w:t>
      </w:r>
      <w:r>
        <w:rPr>
          <w:rFonts w:cs="Arial" w:hint="cs"/>
          <w:sz w:val="20"/>
          <w:szCs w:val="20"/>
          <w:rtl/>
        </w:rPr>
        <w:t>'".</w:t>
      </w:r>
      <w:r>
        <w:rPr>
          <w:rFonts w:hint="cs"/>
          <w:sz w:val="20"/>
          <w:szCs w:val="20"/>
          <w:rtl/>
        </w:rPr>
        <w:t xml:space="preserve"> </w:t>
      </w:r>
      <w:r>
        <w:rPr>
          <w:sz w:val="20"/>
          <w:szCs w:val="20"/>
          <w:rtl/>
        </w:rPr>
        <w:br/>
      </w:r>
      <w:r w:rsidRPr="00CC42E7">
        <w:rPr>
          <w:rFonts w:hint="cs"/>
          <w:sz w:val="20"/>
          <w:szCs w:val="20"/>
          <w:rtl/>
        </w:rPr>
        <w:t>ואמנם, אם זהו טעם המנהג אין למחות בידי הנשים המקלות בכך, ולמעשה לא הכריע בדבר.</w:t>
      </w:r>
      <w:r>
        <w:rPr>
          <w:sz w:val="18"/>
          <w:szCs w:val="18"/>
          <w:rtl/>
        </w:rPr>
        <w:br/>
      </w:r>
      <w:r w:rsidRPr="00D75418">
        <w:rPr>
          <w:rFonts w:hint="cs"/>
          <w:b/>
          <w:bCs/>
          <w:sz w:val="20"/>
          <w:szCs w:val="20"/>
          <w:rtl/>
        </w:rPr>
        <w:t>ב"ח</w:t>
      </w:r>
      <w:r w:rsidRPr="00D75418">
        <w:rPr>
          <w:rFonts w:hint="cs"/>
          <w:sz w:val="20"/>
          <w:szCs w:val="20"/>
          <w:rtl/>
        </w:rPr>
        <w:t xml:space="preserve"> </w:t>
      </w:r>
      <w:r w:rsidRPr="00D75418">
        <w:rPr>
          <w:sz w:val="20"/>
          <w:szCs w:val="20"/>
          <w:rtl/>
        </w:rPr>
        <w:t>–</w:t>
      </w:r>
      <w:r w:rsidRPr="00D75418">
        <w:rPr>
          <w:rFonts w:hint="cs"/>
          <w:sz w:val="20"/>
          <w:szCs w:val="20"/>
          <w:rtl/>
        </w:rPr>
        <w:t xml:space="preserve"> טעם המנהג הוא, משום שנידה דאורייתא טובלת לאחר ז', ובימים קדמונים נהגו לטבול שתי טבילות, אחת לאחר ז' ימי נידה אע"פ שאסורה לבעלה, והשנייה לאחר ז"נ. זכר לאות</w:t>
      </w:r>
      <w:r>
        <w:rPr>
          <w:rFonts w:hint="cs"/>
          <w:sz w:val="20"/>
          <w:szCs w:val="20"/>
          <w:rtl/>
        </w:rPr>
        <w:t>ם ימים</w:t>
      </w:r>
      <w:r w:rsidRPr="00D75418">
        <w:rPr>
          <w:rFonts w:hint="cs"/>
          <w:sz w:val="20"/>
          <w:szCs w:val="20"/>
          <w:rtl/>
        </w:rPr>
        <w:t xml:space="preserve"> נהגו לטבול למנות ז"נ רק לאחר ז' ימי ראייה.</w:t>
      </w:r>
      <w:r>
        <w:rPr>
          <w:sz w:val="18"/>
          <w:szCs w:val="18"/>
          <w:rtl/>
        </w:rPr>
        <w:br/>
      </w:r>
      <w:r w:rsidRPr="00E62C1F">
        <w:rPr>
          <w:rFonts w:hint="cs"/>
          <w:sz w:val="20"/>
          <w:szCs w:val="20"/>
          <w:rtl/>
        </w:rPr>
        <w:t xml:space="preserve">למעשה, </w:t>
      </w:r>
      <w:r w:rsidRPr="00E62C1F">
        <w:rPr>
          <w:rFonts w:hint="cs"/>
          <w:b/>
          <w:bCs/>
          <w:sz w:val="20"/>
          <w:szCs w:val="20"/>
          <w:rtl/>
        </w:rPr>
        <w:t>הרמ"א</w:t>
      </w:r>
      <w:r>
        <w:rPr>
          <w:rFonts w:hint="cs"/>
          <w:sz w:val="20"/>
          <w:szCs w:val="20"/>
          <w:rtl/>
        </w:rPr>
        <w:t xml:space="preserve"> לא חשש למנהג זה, וכתב על כך </w:t>
      </w:r>
      <w:r w:rsidRPr="00E62C1F">
        <w:rPr>
          <w:rFonts w:hint="cs"/>
          <w:b/>
          <w:bCs/>
          <w:sz w:val="20"/>
          <w:szCs w:val="20"/>
          <w:rtl/>
        </w:rPr>
        <w:t>הט"ז</w:t>
      </w:r>
      <w:r>
        <w:rPr>
          <w:rFonts w:hint="cs"/>
          <w:sz w:val="20"/>
          <w:szCs w:val="20"/>
          <w:rtl/>
        </w:rPr>
        <w:t xml:space="preserve"> שיפה פסק, הואיל ואין בטעמים האלו כדי לדחות מצוות עונה.</w:t>
      </w:r>
    </w:p>
    <w:p w:rsidR="00620060" w:rsidRDefault="00620060" w:rsidP="00620060">
      <w:pPr>
        <w:rPr>
          <w:sz w:val="20"/>
          <w:szCs w:val="20"/>
          <w:rtl/>
        </w:rPr>
      </w:pPr>
      <w:r>
        <w:rPr>
          <w:rFonts w:hint="cs"/>
          <w:sz w:val="20"/>
          <w:szCs w:val="20"/>
          <w:rtl/>
        </w:rPr>
        <w:t xml:space="preserve">ג. </w:t>
      </w:r>
      <w:r w:rsidRPr="00BC673B">
        <w:rPr>
          <w:rFonts w:hint="cs"/>
          <w:sz w:val="20"/>
          <w:szCs w:val="20"/>
          <w:u w:val="single"/>
          <w:rtl/>
        </w:rPr>
        <w:t>המתנה גם באשה שלא שימשה</w:t>
      </w:r>
      <w:r>
        <w:rPr>
          <w:sz w:val="20"/>
          <w:szCs w:val="20"/>
          <w:u w:val="single"/>
          <w:rtl/>
        </w:rPr>
        <w:br/>
      </w:r>
      <w:r w:rsidRPr="00BC673B">
        <w:rPr>
          <w:rFonts w:hint="cs"/>
          <w:b/>
          <w:bCs/>
          <w:sz w:val="20"/>
          <w:szCs w:val="20"/>
          <w:rtl/>
        </w:rPr>
        <w:t>אור זרוע</w:t>
      </w:r>
      <w:r>
        <w:rPr>
          <w:rFonts w:hint="cs"/>
          <w:sz w:val="20"/>
          <w:szCs w:val="20"/>
          <w:rtl/>
        </w:rPr>
        <w:t xml:space="preserve"> </w:t>
      </w:r>
      <w:r>
        <w:rPr>
          <w:sz w:val="20"/>
          <w:szCs w:val="20"/>
          <w:rtl/>
        </w:rPr>
        <w:t>–</w:t>
      </w:r>
      <w:r>
        <w:rPr>
          <w:rFonts w:hint="cs"/>
          <w:sz w:val="20"/>
          <w:szCs w:val="20"/>
          <w:rtl/>
        </w:rPr>
        <w:t xml:space="preserve"> המתנת הימים בין הראייה לספירת ז"נ, נוהגת אפילו באשה שלא שימשה עם בעלה בזמן הסמוך לראייה, וכ"פ </w:t>
      </w:r>
      <w:r w:rsidRPr="00BC673B">
        <w:rPr>
          <w:rFonts w:hint="cs"/>
          <w:b/>
          <w:bCs/>
          <w:sz w:val="20"/>
          <w:szCs w:val="20"/>
          <w:rtl/>
        </w:rPr>
        <w:t>הרמ"א</w:t>
      </w:r>
      <w:r>
        <w:rPr>
          <w:rFonts w:hint="cs"/>
          <w:sz w:val="20"/>
          <w:szCs w:val="20"/>
          <w:rtl/>
        </w:rPr>
        <w:t>. והטעם לכך הוא משום 'לא פלוג'.</w:t>
      </w:r>
      <w:r>
        <w:rPr>
          <w:sz w:val="20"/>
          <w:szCs w:val="20"/>
          <w:rtl/>
        </w:rPr>
        <w:br/>
      </w:r>
      <w:r>
        <w:rPr>
          <w:rFonts w:hint="cs"/>
          <w:sz w:val="20"/>
          <w:szCs w:val="20"/>
          <w:rtl/>
        </w:rPr>
        <w:t xml:space="preserve">מוסיף </w:t>
      </w:r>
      <w:r w:rsidRPr="00BC673B">
        <w:rPr>
          <w:rFonts w:hint="cs"/>
          <w:b/>
          <w:bCs/>
          <w:sz w:val="20"/>
          <w:szCs w:val="20"/>
          <w:rtl/>
        </w:rPr>
        <w:t>תרומת הדשן</w:t>
      </w:r>
      <w:r>
        <w:rPr>
          <w:rFonts w:hint="cs"/>
          <w:sz w:val="20"/>
          <w:szCs w:val="20"/>
          <w:rtl/>
        </w:rPr>
        <w:t xml:space="preserve"> </w:t>
      </w:r>
      <w:r>
        <w:rPr>
          <w:sz w:val="20"/>
          <w:szCs w:val="20"/>
          <w:rtl/>
        </w:rPr>
        <w:t>–</w:t>
      </w:r>
      <w:r>
        <w:rPr>
          <w:rFonts w:hint="cs"/>
          <w:sz w:val="20"/>
          <w:szCs w:val="20"/>
          <w:rtl/>
        </w:rPr>
        <w:t xml:space="preserve"> אפילו את המתנת היום הנוסף שנהגו להחמיר, יש להחמיר גם אם לא שימשה.</w:t>
      </w:r>
      <w:r>
        <w:rPr>
          <w:sz w:val="20"/>
          <w:szCs w:val="20"/>
          <w:rtl/>
        </w:rPr>
        <w:br/>
      </w:r>
      <w:r>
        <w:rPr>
          <w:rFonts w:hint="cs"/>
          <w:sz w:val="20"/>
          <w:szCs w:val="20"/>
          <w:rtl/>
        </w:rPr>
        <w:t>הטעם לכך הוא, משום שחשש ביה"ש הוא חשש פשוט שחששו לו חכמים בכמה מקומות.</w:t>
      </w:r>
    </w:p>
    <w:p w:rsidR="00620060" w:rsidRDefault="00620060" w:rsidP="00620060">
      <w:pPr>
        <w:rPr>
          <w:sz w:val="20"/>
          <w:szCs w:val="20"/>
          <w:rtl/>
        </w:rPr>
      </w:pPr>
      <w:r>
        <w:rPr>
          <w:rFonts w:hint="cs"/>
          <w:b/>
          <w:bCs/>
          <w:sz w:val="20"/>
          <w:szCs w:val="20"/>
          <w:rtl/>
        </w:rPr>
        <w:t>דעת הבית יוסף על חומרות אלו</w:t>
      </w:r>
      <w:r>
        <w:rPr>
          <w:b/>
          <w:bCs/>
          <w:sz w:val="20"/>
          <w:szCs w:val="20"/>
          <w:rtl/>
        </w:rPr>
        <w:br/>
      </w:r>
      <w:r>
        <w:rPr>
          <w:rFonts w:hint="cs"/>
          <w:b/>
          <w:bCs/>
          <w:sz w:val="20"/>
          <w:szCs w:val="20"/>
          <w:rtl/>
        </w:rPr>
        <w:t xml:space="preserve">בית יוסף </w:t>
      </w:r>
      <w:r>
        <w:rPr>
          <w:sz w:val="20"/>
          <w:szCs w:val="20"/>
          <w:rtl/>
        </w:rPr>
        <w:t>–</w:t>
      </w:r>
      <w:r>
        <w:rPr>
          <w:rFonts w:hint="cs"/>
          <w:sz w:val="20"/>
          <w:szCs w:val="20"/>
          <w:rtl/>
        </w:rPr>
        <w:t xml:space="preserve"> "</w:t>
      </w:r>
      <w:r w:rsidRPr="00BC673B">
        <w:rPr>
          <w:rFonts w:cs="Arial"/>
          <w:sz w:val="20"/>
          <w:szCs w:val="20"/>
          <w:rtl/>
        </w:rPr>
        <w:t>וכל דברים אלו חומרות יתירות הן ואין להם סמך בגמרא לגבי הדין</w:t>
      </w:r>
      <w:r>
        <w:rPr>
          <w:rFonts w:cs="Arial" w:hint="cs"/>
          <w:sz w:val="20"/>
          <w:szCs w:val="20"/>
          <w:rtl/>
        </w:rPr>
        <w:t>.</w:t>
      </w:r>
      <w:r w:rsidRPr="00BC673B">
        <w:rPr>
          <w:rFonts w:cs="Arial"/>
          <w:sz w:val="20"/>
          <w:szCs w:val="20"/>
          <w:rtl/>
        </w:rPr>
        <w:t xml:space="preserve"> ולפיכך לא נהגו העולם בכל מקומותינו אלא להמתין ארבעה ימים ולהתחיל לספור מיום חמישי ואילך</w:t>
      </w:r>
      <w:r>
        <w:rPr>
          <w:rFonts w:cs="Arial" w:hint="cs"/>
          <w:sz w:val="20"/>
          <w:szCs w:val="20"/>
          <w:rtl/>
        </w:rPr>
        <w:t>.</w:t>
      </w:r>
      <w:r w:rsidRPr="00BC673B">
        <w:rPr>
          <w:rFonts w:cs="Arial"/>
          <w:sz w:val="20"/>
          <w:szCs w:val="20"/>
          <w:rtl/>
        </w:rPr>
        <w:t xml:space="preserve"> וד</w:t>
      </w:r>
      <w:r>
        <w:rPr>
          <w:rFonts w:cs="Arial" w:hint="cs"/>
          <w:sz w:val="20"/>
          <w:szCs w:val="20"/>
          <w:rtl/>
        </w:rPr>
        <w:t>ו</w:t>
      </w:r>
      <w:r w:rsidRPr="00BC673B">
        <w:rPr>
          <w:rFonts w:cs="Arial"/>
          <w:sz w:val="20"/>
          <w:szCs w:val="20"/>
          <w:rtl/>
        </w:rPr>
        <w:t>וקא אם שימשה</w:t>
      </w:r>
      <w:r>
        <w:rPr>
          <w:rFonts w:cs="Arial" w:hint="cs"/>
          <w:sz w:val="20"/>
          <w:szCs w:val="20"/>
          <w:rtl/>
        </w:rPr>
        <w:t>,</w:t>
      </w:r>
      <w:r w:rsidRPr="00BC673B">
        <w:rPr>
          <w:rFonts w:cs="Arial"/>
          <w:sz w:val="20"/>
          <w:szCs w:val="20"/>
          <w:rtl/>
        </w:rPr>
        <w:t xml:space="preserve"> אבל אם לא שימשה אינה ממתנת כלל</w:t>
      </w:r>
      <w:r>
        <w:rPr>
          <w:rFonts w:cs="Arial" w:hint="cs"/>
          <w:sz w:val="20"/>
          <w:szCs w:val="20"/>
          <w:rtl/>
        </w:rPr>
        <w:t>.</w:t>
      </w:r>
      <w:r w:rsidRPr="00BC673B">
        <w:rPr>
          <w:rFonts w:cs="Arial"/>
          <w:sz w:val="20"/>
          <w:szCs w:val="20"/>
          <w:rtl/>
        </w:rPr>
        <w:t xml:space="preserve"> ואם שימשה יום או יומיים קודם ראייתה</w:t>
      </w:r>
      <w:r>
        <w:rPr>
          <w:rFonts w:cs="Arial" w:hint="cs"/>
          <w:sz w:val="20"/>
          <w:szCs w:val="20"/>
          <w:rtl/>
        </w:rPr>
        <w:t>,</w:t>
      </w:r>
      <w:r w:rsidRPr="00BC673B">
        <w:rPr>
          <w:rFonts w:cs="Arial"/>
          <w:sz w:val="20"/>
          <w:szCs w:val="20"/>
          <w:rtl/>
        </w:rPr>
        <w:t xml:space="preserve"> משלמת עליהם ארבעה ימים מיום שימושה</w:t>
      </w:r>
      <w:r>
        <w:rPr>
          <w:rFonts w:cs="Arial" w:hint="cs"/>
          <w:sz w:val="20"/>
          <w:szCs w:val="20"/>
          <w:rtl/>
        </w:rPr>
        <w:t>,</w:t>
      </w:r>
      <w:r w:rsidRPr="00BC673B">
        <w:rPr>
          <w:rFonts w:cs="Arial"/>
          <w:sz w:val="20"/>
          <w:szCs w:val="20"/>
          <w:rtl/>
        </w:rPr>
        <w:t xml:space="preserve"> </w:t>
      </w:r>
      <w:r>
        <w:rPr>
          <w:rFonts w:cs="Arial"/>
          <w:sz w:val="20"/>
          <w:szCs w:val="20"/>
          <w:rtl/>
        </w:rPr>
        <w:t>ובחמישי לשימושה מתחלת לספור</w:t>
      </w:r>
      <w:r>
        <w:rPr>
          <w:rFonts w:cs="Arial" w:hint="cs"/>
          <w:sz w:val="20"/>
          <w:szCs w:val="20"/>
          <w:rtl/>
        </w:rPr>
        <w:t>".</w:t>
      </w:r>
    </w:p>
    <w:p w:rsidR="00620060" w:rsidRPr="00E82194" w:rsidRDefault="00620060" w:rsidP="00620060">
      <w:pPr>
        <w:rPr>
          <w:sz w:val="20"/>
          <w:szCs w:val="20"/>
          <w:rtl/>
        </w:rPr>
      </w:pPr>
      <w:r>
        <w:rPr>
          <w:rFonts w:hint="cs"/>
          <w:b/>
          <w:bCs/>
          <w:sz w:val="20"/>
          <w:szCs w:val="20"/>
          <w:rtl/>
        </w:rPr>
        <w:t>הוספת יום - פסיקת הלכה</w:t>
      </w:r>
      <w:r>
        <w:rPr>
          <w:b/>
          <w:bCs/>
          <w:sz w:val="20"/>
          <w:szCs w:val="20"/>
          <w:rtl/>
        </w:rPr>
        <w:br/>
      </w:r>
      <w:r>
        <w:rPr>
          <w:rFonts w:hint="cs"/>
          <w:b/>
          <w:bCs/>
          <w:sz w:val="20"/>
          <w:szCs w:val="20"/>
          <w:rtl/>
        </w:rPr>
        <w:t xml:space="preserve">רמ"א </w:t>
      </w:r>
      <w:r>
        <w:rPr>
          <w:sz w:val="20"/>
          <w:szCs w:val="20"/>
          <w:rtl/>
        </w:rPr>
        <w:t>–</w:t>
      </w:r>
      <w:r>
        <w:rPr>
          <w:rFonts w:hint="cs"/>
          <w:sz w:val="20"/>
          <w:szCs w:val="20"/>
          <w:rtl/>
        </w:rPr>
        <w:t xml:space="preserve"> </w:t>
      </w:r>
      <w:r w:rsidRPr="00E82194">
        <w:rPr>
          <w:rFonts w:cs="Arial" w:hint="cs"/>
          <w:sz w:val="18"/>
          <w:szCs w:val="18"/>
          <w:rtl/>
        </w:rPr>
        <w:t>"</w:t>
      </w:r>
      <w:r w:rsidRPr="00E82194">
        <w:rPr>
          <w:rFonts w:cs="Arial"/>
          <w:sz w:val="18"/>
          <w:szCs w:val="18"/>
          <w:rtl/>
        </w:rPr>
        <w:t>ויש שכתבו שיש להמתין עוד יום אחד, דהיינו שלא תתחיל למנות עד יום הש</w:t>
      </w:r>
      <w:r w:rsidRPr="00E82194">
        <w:rPr>
          <w:rFonts w:cs="Arial" w:hint="cs"/>
          <w:sz w:val="18"/>
          <w:szCs w:val="18"/>
          <w:rtl/>
        </w:rPr>
        <w:t>י</w:t>
      </w:r>
      <w:r w:rsidRPr="00E82194">
        <w:rPr>
          <w:rFonts w:cs="Arial"/>
          <w:sz w:val="18"/>
          <w:szCs w:val="18"/>
          <w:rtl/>
        </w:rPr>
        <w:t>שי והוא יהיה יום ראשון לספירתה, דחיישינן שמא תשמש ביום הראשון בין השמשות ותסבור שהוא יום, ואפשר שהוא לילה, ואם תתחיל למנות מיום חמישי יהיה תוך ששה עונות לש</w:t>
      </w:r>
      <w:r w:rsidRPr="00E82194">
        <w:rPr>
          <w:rFonts w:cs="Arial" w:hint="cs"/>
          <w:sz w:val="18"/>
          <w:szCs w:val="18"/>
          <w:rtl/>
        </w:rPr>
        <w:t>י</w:t>
      </w:r>
      <w:r w:rsidRPr="00E82194">
        <w:rPr>
          <w:rFonts w:cs="Arial"/>
          <w:sz w:val="18"/>
          <w:szCs w:val="18"/>
          <w:rtl/>
        </w:rPr>
        <w:t xml:space="preserve">מושה, על כן יש להוסיף עוד יום אחד דמעתה אי אפשר לבא לידי טעות, וכן נוהגין בכל מדינות אלו, ואין לשנות. </w:t>
      </w:r>
      <w:r w:rsidRPr="00E82194">
        <w:rPr>
          <w:rFonts w:cs="Arial" w:hint="cs"/>
          <w:sz w:val="18"/>
          <w:szCs w:val="18"/>
          <w:rtl/>
        </w:rPr>
        <w:br/>
      </w:r>
      <w:r w:rsidRPr="00E82194">
        <w:rPr>
          <w:rFonts w:cs="Arial"/>
          <w:sz w:val="18"/>
          <w:szCs w:val="18"/>
          <w:rtl/>
        </w:rPr>
        <w:lastRenderedPageBreak/>
        <w:t>ויש נשים שנהגו להחמיר עוד להמתין עד שבעה ימים, ואין טעם בדבר והמחמיר יחמיר והמקל נשכר להקדים עצמו למצו</w:t>
      </w:r>
      <w:r w:rsidRPr="00E82194">
        <w:rPr>
          <w:rFonts w:cs="Arial" w:hint="cs"/>
          <w:sz w:val="18"/>
          <w:szCs w:val="18"/>
          <w:rtl/>
        </w:rPr>
        <w:t>ו</w:t>
      </w:r>
      <w:r>
        <w:rPr>
          <w:rFonts w:cs="Arial"/>
          <w:sz w:val="18"/>
          <w:szCs w:val="18"/>
          <w:rtl/>
        </w:rPr>
        <w:t>ה</w:t>
      </w:r>
      <w:r>
        <w:rPr>
          <w:rFonts w:cs="Arial" w:hint="cs"/>
          <w:sz w:val="18"/>
          <w:szCs w:val="18"/>
          <w:rtl/>
        </w:rPr>
        <w:t>".</w:t>
      </w:r>
    </w:p>
    <w:p w:rsidR="00620060" w:rsidRDefault="00620060" w:rsidP="00620060">
      <w:pPr>
        <w:rPr>
          <w:sz w:val="20"/>
          <w:szCs w:val="20"/>
          <w:rtl/>
        </w:rPr>
      </w:pPr>
      <w:r>
        <w:rPr>
          <w:rFonts w:hint="cs"/>
          <w:sz w:val="20"/>
          <w:szCs w:val="20"/>
          <w:u w:val="single"/>
          <w:rtl/>
        </w:rPr>
        <w:t>דין כלה (ט"ז)</w:t>
      </w:r>
      <w:r>
        <w:rPr>
          <w:sz w:val="20"/>
          <w:szCs w:val="20"/>
          <w:u w:val="single"/>
          <w:rtl/>
        </w:rPr>
        <w:br/>
      </w:r>
      <w:r w:rsidRPr="00156350">
        <w:rPr>
          <w:rFonts w:hint="cs"/>
          <w:b/>
          <w:bCs/>
          <w:sz w:val="20"/>
          <w:szCs w:val="20"/>
          <w:rtl/>
        </w:rPr>
        <w:t>מהר"ל מפראג</w:t>
      </w:r>
      <w:r>
        <w:rPr>
          <w:rFonts w:hint="cs"/>
          <w:sz w:val="20"/>
          <w:szCs w:val="20"/>
          <w:rtl/>
        </w:rPr>
        <w:t xml:space="preserve"> </w:t>
      </w:r>
      <w:r>
        <w:rPr>
          <w:sz w:val="20"/>
          <w:szCs w:val="20"/>
          <w:rtl/>
        </w:rPr>
        <w:t>–</w:t>
      </w:r>
      <w:r>
        <w:rPr>
          <w:rFonts w:hint="cs"/>
          <w:sz w:val="20"/>
          <w:szCs w:val="20"/>
          <w:rtl/>
        </w:rPr>
        <w:t xml:space="preserve"> בכלה שנבעלה בעילת מצווה אין להחמיר להוסיף יום על ו' עונות, אלא נוהגת כעיקר הדין.</w:t>
      </w:r>
      <w:r>
        <w:rPr>
          <w:sz w:val="20"/>
          <w:szCs w:val="20"/>
          <w:rtl/>
        </w:rPr>
        <w:br/>
      </w:r>
      <w:r w:rsidRPr="00156350">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מכיוון שהיא לא ראתה דם ממש אלא דם בתולים בלבד, הקלו.</w:t>
      </w:r>
      <w:r>
        <w:rPr>
          <w:sz w:val="20"/>
          <w:szCs w:val="20"/>
          <w:rtl/>
        </w:rPr>
        <w:br/>
      </w:r>
      <w:r>
        <w:rPr>
          <w:rFonts w:hint="cs"/>
          <w:sz w:val="20"/>
          <w:szCs w:val="20"/>
          <w:rtl/>
        </w:rPr>
        <w:t>ואמנם, אם שימשה בביה"ש עצמו יש להחמיר ולחשבו ללילה.</w:t>
      </w:r>
      <w:r>
        <w:rPr>
          <w:sz w:val="20"/>
          <w:szCs w:val="20"/>
          <w:rtl/>
        </w:rPr>
        <w:br/>
      </w:r>
      <w:r>
        <w:rPr>
          <w:rFonts w:hint="cs"/>
          <w:sz w:val="20"/>
          <w:szCs w:val="20"/>
          <w:rtl/>
        </w:rPr>
        <w:t xml:space="preserve">ולכן </w:t>
      </w:r>
      <w:r>
        <w:rPr>
          <w:sz w:val="20"/>
          <w:szCs w:val="20"/>
          <w:rtl/>
        </w:rPr>
        <w:t>–</w:t>
      </w:r>
      <w:r>
        <w:rPr>
          <w:rFonts w:hint="cs"/>
          <w:sz w:val="20"/>
          <w:szCs w:val="20"/>
          <w:rtl/>
        </w:rPr>
        <w:t xml:space="preserve"> כלה ששימשה במוצ"ש מונה את יום ה' כראשון לז"נ. אך אם שימשה בביה"ש של יום ראשון, מונה את יום ו' כיום הראשון לז"נ.</w:t>
      </w:r>
      <w:r>
        <w:rPr>
          <w:sz w:val="20"/>
          <w:szCs w:val="20"/>
          <w:rtl/>
        </w:rPr>
        <w:br/>
      </w:r>
      <w:r>
        <w:rPr>
          <w:rFonts w:hint="cs"/>
          <w:rtl/>
        </w:rPr>
        <w:br/>
      </w:r>
      <w:r>
        <w:rPr>
          <w:rFonts w:hint="cs"/>
          <w:sz w:val="20"/>
          <w:szCs w:val="20"/>
          <w:u w:val="single"/>
          <w:rtl/>
        </w:rPr>
        <w:t>התפללה ערבית וראתה דם (ש"ך)</w:t>
      </w:r>
      <w:r>
        <w:rPr>
          <w:rFonts w:hint="cs"/>
          <w:sz w:val="20"/>
          <w:szCs w:val="20"/>
          <w:u w:val="single"/>
          <w:rtl/>
        </w:rPr>
        <w:br/>
      </w:r>
      <w:r>
        <w:rPr>
          <w:rFonts w:hint="cs"/>
          <w:sz w:val="20"/>
          <w:szCs w:val="20"/>
          <w:rtl/>
        </w:rPr>
        <w:t xml:space="preserve">א. </w:t>
      </w:r>
      <w:r w:rsidRPr="00BD179C">
        <w:rPr>
          <w:rFonts w:hint="cs"/>
          <w:b/>
          <w:bCs/>
          <w:sz w:val="20"/>
          <w:szCs w:val="20"/>
          <w:rtl/>
        </w:rPr>
        <w:t>מהרש"ל</w:t>
      </w:r>
      <w:r>
        <w:rPr>
          <w:rFonts w:hint="cs"/>
          <w:sz w:val="20"/>
          <w:szCs w:val="20"/>
          <w:rtl/>
        </w:rPr>
        <w:t xml:space="preserve"> </w:t>
      </w:r>
      <w:r>
        <w:rPr>
          <w:sz w:val="20"/>
          <w:szCs w:val="20"/>
          <w:rtl/>
        </w:rPr>
        <w:t>–</w:t>
      </w:r>
      <w:r>
        <w:rPr>
          <w:rFonts w:hint="cs"/>
          <w:sz w:val="20"/>
          <w:szCs w:val="20"/>
          <w:rtl/>
        </w:rPr>
        <w:t xml:space="preserve"> אשה שהתפללה ערבית ביום ראשון מבעוד יום וראתה דם, יכולה להתחיל ז"נ אף למנהג הרמ"א מיום שישי. כלומר, אע"פ שאם היתה רואה דם ביום שני היתה מונה רק מיום שבת, בכה"ג שעדיין הוא יום יש להקל אע"פ שהקהל או אפילו היא עצמה התפללו ערבית.</w:t>
      </w:r>
      <w:r>
        <w:rPr>
          <w:rFonts w:hint="cs"/>
          <w:sz w:val="20"/>
          <w:szCs w:val="20"/>
          <w:rtl/>
        </w:rPr>
        <w:br/>
      </w:r>
      <w:r>
        <w:rPr>
          <w:sz w:val="20"/>
          <w:szCs w:val="20"/>
          <w:rtl/>
        </w:rPr>
        <w:br/>
      </w:r>
      <w:r>
        <w:rPr>
          <w:rFonts w:hint="cs"/>
          <w:sz w:val="20"/>
          <w:szCs w:val="20"/>
          <w:rtl/>
        </w:rPr>
        <w:t xml:space="preserve">ואמנם, למנהג המחבר שלא החמיר כרמ"א, יש לחלק כך - </w:t>
      </w:r>
      <w:r>
        <w:rPr>
          <w:sz w:val="20"/>
          <w:szCs w:val="20"/>
          <w:rtl/>
        </w:rPr>
        <w:br/>
      </w:r>
      <w:r>
        <w:rPr>
          <w:rFonts w:hint="cs"/>
          <w:sz w:val="20"/>
          <w:szCs w:val="20"/>
          <w:rtl/>
        </w:rPr>
        <w:t>אם היא עצמה התפללה ערבית, דינה כעומדת ביום שני ומונה ז"נ מיום שישי. אבל אם הקהל בלבד התפללו ערבית, אינה נגררת אחריהם ומונה מיום חמישי.</w:t>
      </w:r>
      <w:r>
        <w:rPr>
          <w:sz w:val="20"/>
          <w:szCs w:val="20"/>
          <w:rtl/>
        </w:rPr>
        <w:br/>
      </w:r>
      <w:r>
        <w:rPr>
          <w:rFonts w:hint="cs"/>
          <w:sz w:val="20"/>
          <w:szCs w:val="20"/>
          <w:rtl/>
        </w:rPr>
        <w:t xml:space="preserve">ואע"פ </w:t>
      </w:r>
      <w:r w:rsidRPr="00BD179C">
        <w:rPr>
          <w:rFonts w:hint="cs"/>
          <w:b/>
          <w:bCs/>
          <w:sz w:val="20"/>
          <w:szCs w:val="20"/>
          <w:rtl/>
        </w:rPr>
        <w:t>שתרומת הדשן</w:t>
      </w:r>
      <w:r>
        <w:rPr>
          <w:rFonts w:hint="cs"/>
          <w:sz w:val="20"/>
          <w:szCs w:val="20"/>
          <w:rtl/>
        </w:rPr>
        <w:t xml:space="preserve"> החמיר לגבי הפסק טהרה שאינה יכולה לפסוק לאחר שהקהל התפללו ערבית ולחשבו ליום שעבר, אפילו הכי כאן יש להקל.</w:t>
      </w:r>
      <w:r>
        <w:rPr>
          <w:sz w:val="20"/>
          <w:szCs w:val="20"/>
          <w:rtl/>
        </w:rPr>
        <w:br/>
      </w:r>
      <w:r w:rsidRPr="00BD179C">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כאן באה לה הסיבה משמיים ואינה יכולה להקדים או לאחר את ראייתה, לעומת זאת בהפסק טהרה היא יכולה להפסיק לפני שהקהל התפללו ערבית.</w:t>
      </w:r>
      <w:r>
        <w:rPr>
          <w:rFonts w:hint="cs"/>
          <w:sz w:val="20"/>
          <w:szCs w:val="20"/>
          <w:rtl/>
        </w:rPr>
        <w:br/>
        <w:t xml:space="preserve">ב. </w:t>
      </w:r>
      <w:r w:rsidRPr="00592555">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למנהג המחבר יכולה תמיד למנות ז"נ מיום חמישי, ואין חילוק בין אם היא התפללה ערבית לבין אם הקהל התפללו ערבית.</w:t>
      </w:r>
      <w:r>
        <w:rPr>
          <w:sz w:val="20"/>
          <w:szCs w:val="20"/>
          <w:rtl/>
        </w:rPr>
        <w:br/>
      </w:r>
      <w:r w:rsidRPr="00592555">
        <w:rPr>
          <w:rFonts w:hint="cs"/>
          <w:b/>
          <w:bCs/>
          <w:sz w:val="20"/>
          <w:szCs w:val="20"/>
          <w:rtl/>
        </w:rPr>
        <w:t xml:space="preserve">טעם </w:t>
      </w:r>
      <w:r>
        <w:rPr>
          <w:sz w:val="20"/>
          <w:szCs w:val="20"/>
          <w:rtl/>
        </w:rPr>
        <w:t>–</w:t>
      </w:r>
      <w:r>
        <w:rPr>
          <w:rFonts w:hint="cs"/>
          <w:sz w:val="20"/>
          <w:szCs w:val="20"/>
          <w:rtl/>
        </w:rPr>
        <w:t xml:space="preserve"> גם לגבי הפסק טהרה קיי"ל להקל כנגד ת"ה, שאפילו אם היא עצמה התפללה ערבית יכולה לעשות הפסק וייחשב לה כיום שעבר.</w:t>
      </w:r>
    </w:p>
    <w:p w:rsidR="00620060" w:rsidRPr="00CF632D" w:rsidRDefault="00620060" w:rsidP="00620060">
      <w:pPr>
        <w:rPr>
          <w:sz w:val="20"/>
          <w:szCs w:val="20"/>
          <w:rtl/>
        </w:rPr>
      </w:pPr>
      <w:r>
        <w:rPr>
          <w:rFonts w:hint="cs"/>
          <w:sz w:val="20"/>
          <w:szCs w:val="20"/>
          <w:u w:val="single"/>
          <w:rtl/>
        </w:rPr>
        <w:t>ויתור על חומרת הרמ"א בנסיבות מסוימות (פת"ש)</w:t>
      </w:r>
      <w:r>
        <w:rPr>
          <w:sz w:val="20"/>
          <w:szCs w:val="20"/>
          <w:u w:val="single"/>
          <w:rtl/>
        </w:rPr>
        <w:br/>
      </w:r>
      <w:r w:rsidRPr="00047A4F">
        <w:rPr>
          <w:rFonts w:hint="cs"/>
          <w:b/>
          <w:bCs/>
          <w:sz w:val="20"/>
          <w:szCs w:val="20"/>
          <w:rtl/>
        </w:rPr>
        <w:t>של"ה</w:t>
      </w:r>
      <w:r>
        <w:rPr>
          <w:rFonts w:hint="cs"/>
          <w:sz w:val="20"/>
          <w:szCs w:val="20"/>
          <w:rtl/>
        </w:rPr>
        <w:t xml:space="preserve"> </w:t>
      </w:r>
      <w:r>
        <w:rPr>
          <w:sz w:val="20"/>
          <w:szCs w:val="20"/>
          <w:rtl/>
        </w:rPr>
        <w:t>–</w:t>
      </w:r>
      <w:r>
        <w:rPr>
          <w:rFonts w:hint="cs"/>
          <w:sz w:val="20"/>
          <w:szCs w:val="20"/>
          <w:rtl/>
        </w:rPr>
        <w:t xml:space="preserve"> אשה שלא שימשה בלילה שלפני ראייתה, וליל טבילתה, ע"פ חומרת הרמ"א, חל בליל שבת שבמוצאי יום טוב, יש להקל שתמנה ז"נ כדעת המחבר ותטבול בליל יו"ט.</w:t>
      </w:r>
      <w:r>
        <w:rPr>
          <w:sz w:val="20"/>
          <w:szCs w:val="20"/>
          <w:rtl/>
        </w:rPr>
        <w:br/>
      </w:r>
      <w:r w:rsidRPr="00047A4F">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כדי לא להרחיק את החפיפה מטבילה.</w:t>
      </w:r>
      <w:r>
        <w:rPr>
          <w:sz w:val="20"/>
          <w:szCs w:val="20"/>
          <w:rtl/>
        </w:rPr>
        <w:br/>
      </w:r>
      <w:r w:rsidRPr="00047A4F">
        <w:rPr>
          <w:rFonts w:hint="cs"/>
          <w:b/>
          <w:bCs/>
          <w:sz w:val="20"/>
          <w:szCs w:val="20"/>
          <w:rtl/>
        </w:rPr>
        <w:t>סדרי טהרה</w:t>
      </w:r>
      <w:r>
        <w:rPr>
          <w:rFonts w:hint="cs"/>
          <w:sz w:val="20"/>
          <w:szCs w:val="20"/>
          <w:rtl/>
        </w:rPr>
        <w:t xml:space="preserve"> </w:t>
      </w:r>
      <w:r>
        <w:rPr>
          <w:sz w:val="20"/>
          <w:szCs w:val="20"/>
          <w:rtl/>
        </w:rPr>
        <w:t>–</w:t>
      </w:r>
      <w:r>
        <w:rPr>
          <w:rFonts w:hint="cs"/>
          <w:sz w:val="20"/>
          <w:szCs w:val="20"/>
          <w:rtl/>
        </w:rPr>
        <w:t xml:space="preserve"> בכה"ג יש להקל כדעת המחבר אפילו אם שימשה בלילה שלפני ראייתה.</w:t>
      </w:r>
    </w:p>
    <w:p w:rsidR="00620060" w:rsidRPr="00E65621" w:rsidRDefault="00620060" w:rsidP="00620060">
      <w:pPr>
        <w:rPr>
          <w:sz w:val="20"/>
          <w:szCs w:val="20"/>
          <w:rtl/>
        </w:rPr>
      </w:pPr>
      <w:r>
        <w:rPr>
          <w:rFonts w:cs="Arial" w:hint="cs"/>
          <w:b/>
          <w:bCs/>
          <w:sz w:val="20"/>
          <w:szCs w:val="20"/>
          <w:rtl/>
        </w:rPr>
        <w:t xml:space="preserve">לא שימשה - </w:t>
      </w:r>
      <w:r w:rsidRPr="00C57CDD">
        <w:rPr>
          <w:rFonts w:cs="Arial" w:hint="cs"/>
          <w:b/>
          <w:bCs/>
          <w:sz w:val="20"/>
          <w:szCs w:val="20"/>
          <w:rtl/>
        </w:rPr>
        <w:t>פסיקת הלכה</w:t>
      </w:r>
      <w:r>
        <w:rPr>
          <w:rFonts w:cs="Arial" w:hint="cs"/>
          <w:sz w:val="18"/>
          <w:szCs w:val="18"/>
          <w:rtl/>
        </w:rPr>
        <w:br/>
      </w:r>
      <w:r w:rsidRPr="00C57CDD">
        <w:rPr>
          <w:rFonts w:cs="Arial" w:hint="cs"/>
          <w:b/>
          <w:bCs/>
          <w:sz w:val="20"/>
          <w:szCs w:val="20"/>
          <w:rtl/>
        </w:rPr>
        <w:t>רמ"א</w:t>
      </w:r>
      <w:r w:rsidRPr="00C57CDD">
        <w:rPr>
          <w:rFonts w:cs="Arial" w:hint="cs"/>
          <w:sz w:val="20"/>
          <w:szCs w:val="20"/>
          <w:rtl/>
        </w:rPr>
        <w:t xml:space="preserve"> </w:t>
      </w:r>
      <w:r w:rsidRPr="00C57CDD">
        <w:rPr>
          <w:rFonts w:cs="Arial"/>
          <w:sz w:val="20"/>
          <w:szCs w:val="20"/>
          <w:rtl/>
        </w:rPr>
        <w:t>–</w:t>
      </w:r>
      <w:r>
        <w:rPr>
          <w:rFonts w:cs="Arial" w:hint="cs"/>
          <w:sz w:val="18"/>
          <w:szCs w:val="18"/>
          <w:rtl/>
        </w:rPr>
        <w:t xml:space="preserve"> "</w:t>
      </w:r>
      <w:r w:rsidRPr="00E82194">
        <w:rPr>
          <w:rFonts w:cs="Arial"/>
          <w:sz w:val="18"/>
          <w:szCs w:val="18"/>
          <w:rtl/>
        </w:rPr>
        <w:t>ויש שכתבו שעכשיו אין לחלק בין שמשה עם בעלה ללא שמשה, וכל אשה שרואה, אפילו כתם, צריכה להמתין ה' ימים עם יום שראתה בו ותפסוק לעת ערב ותספור ז' נקיים וכן נוהגין במדינות אלו ואין לשנות</w:t>
      </w:r>
      <w:r w:rsidRPr="00E82194">
        <w:rPr>
          <w:rFonts w:cs="Arial" w:hint="cs"/>
          <w:sz w:val="18"/>
          <w:szCs w:val="18"/>
          <w:rtl/>
        </w:rPr>
        <w:t>".</w:t>
      </w:r>
    </w:p>
    <w:p w:rsidR="00620060" w:rsidRPr="00BD293C" w:rsidRDefault="00620060" w:rsidP="00620060">
      <w:pPr>
        <w:rPr>
          <w:sz w:val="20"/>
          <w:szCs w:val="20"/>
          <w:rtl/>
        </w:rPr>
      </w:pPr>
      <w:r>
        <w:rPr>
          <w:rFonts w:hint="cs"/>
          <w:sz w:val="20"/>
          <w:szCs w:val="20"/>
          <w:u w:val="single"/>
          <w:rtl/>
        </w:rPr>
        <w:t>אין בעלה בעיר</w:t>
      </w:r>
      <w:r>
        <w:rPr>
          <w:sz w:val="20"/>
          <w:szCs w:val="20"/>
          <w:u w:val="single"/>
          <w:rtl/>
        </w:rPr>
        <w:br/>
      </w:r>
      <w:r>
        <w:rPr>
          <w:rFonts w:hint="cs"/>
          <w:sz w:val="20"/>
          <w:szCs w:val="20"/>
          <w:rtl/>
        </w:rPr>
        <w:t xml:space="preserve">למנהג הרמ"א שהחמיר אפילו אם לא שימשה, האם כשבעלה לא נמצא בעיר </w:t>
      </w:r>
      <w:r w:rsidRPr="00BD293C">
        <w:rPr>
          <w:rFonts w:hint="cs"/>
          <w:sz w:val="18"/>
          <w:szCs w:val="18"/>
          <w:rtl/>
        </w:rPr>
        <w:t xml:space="preserve">(וממילא לא שימשה) </w:t>
      </w:r>
      <w:r>
        <w:rPr>
          <w:rFonts w:hint="cs"/>
          <w:sz w:val="20"/>
          <w:szCs w:val="20"/>
          <w:rtl/>
        </w:rPr>
        <w:t>יכולה למנות ז"נ מייד לאחר ראייתה?</w:t>
      </w:r>
      <w:r>
        <w:rPr>
          <w:rFonts w:hint="cs"/>
          <w:sz w:val="20"/>
          <w:szCs w:val="20"/>
          <w:rtl/>
        </w:rPr>
        <w:br/>
        <w:t xml:space="preserve">א. </w:t>
      </w:r>
      <w:r w:rsidRPr="00BD293C">
        <w:rPr>
          <w:rFonts w:hint="cs"/>
          <w:b/>
          <w:bCs/>
          <w:sz w:val="20"/>
          <w:szCs w:val="20"/>
          <w:rtl/>
        </w:rPr>
        <w:t>ב"ח</w:t>
      </w:r>
      <w:r>
        <w:rPr>
          <w:rFonts w:hint="cs"/>
          <w:sz w:val="20"/>
          <w:szCs w:val="20"/>
          <w:rtl/>
        </w:rPr>
        <w:t xml:space="preserve"> </w:t>
      </w:r>
      <w:r>
        <w:rPr>
          <w:sz w:val="20"/>
          <w:szCs w:val="20"/>
          <w:rtl/>
        </w:rPr>
        <w:t>–</w:t>
      </w:r>
      <w:r>
        <w:rPr>
          <w:rFonts w:hint="cs"/>
          <w:sz w:val="20"/>
          <w:szCs w:val="20"/>
          <w:rtl/>
        </w:rPr>
        <w:t xml:space="preserve"> כן.</w:t>
      </w:r>
      <w:r>
        <w:rPr>
          <w:sz w:val="20"/>
          <w:szCs w:val="20"/>
          <w:rtl/>
        </w:rPr>
        <w:br/>
      </w:r>
      <w:r w:rsidRPr="00BD293C">
        <w:rPr>
          <w:rFonts w:hint="cs"/>
          <w:b/>
          <w:bCs/>
          <w:sz w:val="20"/>
          <w:szCs w:val="20"/>
          <w:rtl/>
        </w:rPr>
        <w:t xml:space="preserve">טעם </w:t>
      </w:r>
      <w:r>
        <w:rPr>
          <w:sz w:val="20"/>
          <w:szCs w:val="20"/>
          <w:rtl/>
        </w:rPr>
        <w:t>–</w:t>
      </w:r>
      <w:r>
        <w:rPr>
          <w:rFonts w:hint="cs"/>
          <w:sz w:val="20"/>
          <w:szCs w:val="20"/>
          <w:rtl/>
        </w:rPr>
        <w:t xml:space="preserve"> כיוון שמורים לה להקל מחמת שאין בעלה בעיר, לא חוששים שמא תבוא להקל גם כשבעלה בעיר</w:t>
      </w:r>
      <w:r>
        <w:rPr>
          <w:rStyle w:val="a5"/>
          <w:sz w:val="20"/>
          <w:szCs w:val="20"/>
          <w:rtl/>
        </w:rPr>
        <w:footnoteReference w:id="544"/>
      </w:r>
      <w:r>
        <w:rPr>
          <w:rFonts w:hint="cs"/>
          <w:sz w:val="20"/>
          <w:szCs w:val="20"/>
          <w:rtl/>
        </w:rPr>
        <w:t>.</w:t>
      </w:r>
      <w:r>
        <w:rPr>
          <w:sz w:val="20"/>
          <w:szCs w:val="20"/>
          <w:rtl/>
        </w:rPr>
        <w:br/>
      </w:r>
      <w:r>
        <w:rPr>
          <w:rFonts w:hint="cs"/>
          <w:sz w:val="20"/>
          <w:szCs w:val="20"/>
          <w:rtl/>
        </w:rPr>
        <w:t xml:space="preserve">ב. </w:t>
      </w:r>
      <w:r w:rsidRPr="00BD293C">
        <w:rPr>
          <w:rFonts w:hint="cs"/>
          <w:b/>
          <w:bCs/>
          <w:sz w:val="20"/>
          <w:szCs w:val="20"/>
          <w:rtl/>
        </w:rPr>
        <w:t>ט"ז וש</w:t>
      </w:r>
      <w:r>
        <w:rPr>
          <w:rFonts w:hint="cs"/>
          <w:b/>
          <w:bCs/>
          <w:sz w:val="20"/>
          <w:szCs w:val="20"/>
          <w:rtl/>
        </w:rPr>
        <w:t>"</w:t>
      </w:r>
      <w:r w:rsidRPr="00BD293C">
        <w:rPr>
          <w:rFonts w:hint="cs"/>
          <w:b/>
          <w:bCs/>
          <w:sz w:val="20"/>
          <w:szCs w:val="20"/>
          <w:rtl/>
        </w:rPr>
        <w:t>ך</w:t>
      </w:r>
      <w:r>
        <w:rPr>
          <w:rFonts w:hint="cs"/>
          <w:sz w:val="20"/>
          <w:szCs w:val="20"/>
          <w:rtl/>
        </w:rPr>
        <w:t xml:space="preserve"> </w:t>
      </w:r>
      <w:r>
        <w:rPr>
          <w:sz w:val="20"/>
          <w:szCs w:val="20"/>
          <w:rtl/>
        </w:rPr>
        <w:t>–</w:t>
      </w:r>
      <w:r>
        <w:rPr>
          <w:rFonts w:hint="cs"/>
          <w:sz w:val="20"/>
          <w:szCs w:val="20"/>
          <w:rtl/>
        </w:rPr>
        <w:t xml:space="preserve"> לא.</w:t>
      </w:r>
      <w:r>
        <w:rPr>
          <w:sz w:val="20"/>
          <w:szCs w:val="20"/>
          <w:rtl/>
        </w:rPr>
        <w:br/>
      </w:r>
      <w:r w:rsidRPr="00BD293C">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w:t>
      </w:r>
      <w:r w:rsidRPr="00BD293C">
        <w:rPr>
          <w:rFonts w:hint="cs"/>
          <w:b/>
          <w:bCs/>
          <w:sz w:val="20"/>
          <w:szCs w:val="20"/>
          <w:rtl/>
        </w:rPr>
        <w:t>מהרי"ק</w:t>
      </w:r>
      <w:r>
        <w:rPr>
          <w:rFonts w:hint="cs"/>
          <w:sz w:val="20"/>
          <w:szCs w:val="20"/>
          <w:rtl/>
        </w:rPr>
        <w:t xml:space="preserve"> כתב להדיא שנהגו להחמיר גם כשאין בעלה בעיר, ואין לחלוק על מנהג זה.</w:t>
      </w:r>
    </w:p>
    <w:p w:rsidR="00620060" w:rsidRDefault="00620060" w:rsidP="00620060">
      <w:pPr>
        <w:rPr>
          <w:sz w:val="20"/>
          <w:szCs w:val="20"/>
          <w:rtl/>
        </w:rPr>
      </w:pPr>
      <w:r>
        <w:rPr>
          <w:rFonts w:hint="cs"/>
          <w:sz w:val="20"/>
          <w:szCs w:val="20"/>
          <w:u w:val="single"/>
          <w:rtl/>
        </w:rPr>
        <w:t>דין כתם באשה שלא שימשה</w:t>
      </w:r>
      <w:r>
        <w:rPr>
          <w:rFonts w:hint="cs"/>
          <w:sz w:val="20"/>
          <w:szCs w:val="20"/>
          <w:u w:val="single"/>
          <w:rtl/>
        </w:rPr>
        <w:br/>
      </w:r>
      <w:r>
        <w:rPr>
          <w:rFonts w:hint="cs"/>
          <w:sz w:val="20"/>
          <w:szCs w:val="20"/>
          <w:rtl/>
        </w:rPr>
        <w:t xml:space="preserve">א. </w:t>
      </w:r>
      <w:r w:rsidRPr="001B7FD7">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אפילו לפי המנהג שפסק הרמ"א להמתין כשלא שימשה אטו שימשה, נראה שיש להקל אם לא שימשה ולא ראתה דם ממש אלא רק מצאה כתם, וכ"פ </w:t>
      </w:r>
      <w:r w:rsidRPr="00FD5E85">
        <w:rPr>
          <w:rFonts w:hint="cs"/>
          <w:b/>
          <w:bCs/>
          <w:sz w:val="20"/>
          <w:szCs w:val="20"/>
          <w:rtl/>
        </w:rPr>
        <w:t>הרב קוק</w:t>
      </w:r>
      <w:r>
        <w:rPr>
          <w:rFonts w:hint="cs"/>
          <w:sz w:val="20"/>
          <w:szCs w:val="20"/>
          <w:rtl/>
        </w:rPr>
        <w:t xml:space="preserve"> בדעת כהן </w:t>
      </w:r>
      <w:r w:rsidRPr="00FD5E85">
        <w:rPr>
          <w:rFonts w:hint="cs"/>
          <w:sz w:val="18"/>
          <w:szCs w:val="18"/>
          <w:rtl/>
        </w:rPr>
        <w:t>(סימן פ)</w:t>
      </w:r>
      <w:r>
        <w:rPr>
          <w:rFonts w:hint="cs"/>
          <w:sz w:val="20"/>
          <w:szCs w:val="20"/>
          <w:rtl/>
        </w:rPr>
        <w:t>.</w:t>
      </w:r>
      <w:r>
        <w:rPr>
          <w:sz w:val="20"/>
          <w:szCs w:val="20"/>
          <w:rtl/>
        </w:rPr>
        <w:br/>
      </w:r>
      <w:r w:rsidRPr="001B7FD7">
        <w:rPr>
          <w:rFonts w:hint="cs"/>
          <w:b/>
          <w:bCs/>
          <w:sz w:val="20"/>
          <w:szCs w:val="20"/>
          <w:rtl/>
        </w:rPr>
        <w:lastRenderedPageBreak/>
        <w:t>טעם</w:t>
      </w:r>
      <w:r>
        <w:rPr>
          <w:rFonts w:hint="cs"/>
          <w:sz w:val="20"/>
          <w:szCs w:val="20"/>
          <w:rtl/>
        </w:rPr>
        <w:t xml:space="preserve"> </w:t>
      </w:r>
      <w:r>
        <w:rPr>
          <w:sz w:val="20"/>
          <w:szCs w:val="20"/>
          <w:rtl/>
        </w:rPr>
        <w:t>–</w:t>
      </w:r>
      <w:r>
        <w:rPr>
          <w:rFonts w:hint="cs"/>
          <w:sz w:val="20"/>
          <w:szCs w:val="20"/>
          <w:rtl/>
        </w:rPr>
        <w:t xml:space="preserve"> דין אשה שלא שימשה הוא גזירה רחוקה וגם הבית יוסף לא חשש לה, לכן יש לומר שכוונת ת"ה היתה להחמיר רק באשה שראתה ממש אך לא כשמצאה כתם. וייתכן שלכן הרמ"א כתב את חומרת 'לא שימשה' לאחר דין רואה ולא לאחר דין כתם, להורות שבכתם אין להחמיר כשלא שימשה.</w:t>
      </w:r>
      <w:r>
        <w:rPr>
          <w:sz w:val="20"/>
          <w:szCs w:val="20"/>
          <w:rtl/>
        </w:rPr>
        <w:br/>
      </w:r>
      <w:r>
        <w:rPr>
          <w:rFonts w:hint="cs"/>
          <w:sz w:val="20"/>
          <w:szCs w:val="20"/>
          <w:rtl/>
        </w:rPr>
        <w:t xml:space="preserve">ב. </w:t>
      </w:r>
      <w:r w:rsidRPr="001B7FD7">
        <w:rPr>
          <w:rFonts w:hint="cs"/>
          <w:b/>
          <w:bCs/>
          <w:sz w:val="20"/>
          <w:szCs w:val="20"/>
          <w:rtl/>
        </w:rPr>
        <w:t>לבוש</w:t>
      </w:r>
      <w:r>
        <w:rPr>
          <w:rFonts w:hint="cs"/>
          <w:sz w:val="20"/>
          <w:szCs w:val="20"/>
          <w:rtl/>
        </w:rPr>
        <w:t xml:space="preserve"> </w:t>
      </w:r>
      <w:r>
        <w:rPr>
          <w:sz w:val="20"/>
          <w:szCs w:val="20"/>
          <w:rtl/>
        </w:rPr>
        <w:t>–</w:t>
      </w:r>
      <w:r>
        <w:rPr>
          <w:rFonts w:hint="cs"/>
          <w:sz w:val="20"/>
          <w:szCs w:val="20"/>
          <w:rtl/>
        </w:rPr>
        <w:t xml:space="preserve"> אפילו בכתם יש להחמיר למרות שלא שימשה</w:t>
      </w:r>
      <w:r>
        <w:rPr>
          <w:rStyle w:val="a5"/>
          <w:sz w:val="20"/>
          <w:szCs w:val="20"/>
          <w:rtl/>
        </w:rPr>
        <w:footnoteReference w:id="545"/>
      </w:r>
      <w:r>
        <w:rPr>
          <w:rFonts w:hint="cs"/>
          <w:sz w:val="20"/>
          <w:szCs w:val="20"/>
          <w:rtl/>
        </w:rPr>
        <w:t>.</w:t>
      </w:r>
      <w:r>
        <w:rPr>
          <w:sz w:val="20"/>
          <w:szCs w:val="20"/>
          <w:rtl/>
        </w:rPr>
        <w:br/>
      </w:r>
      <w:r>
        <w:rPr>
          <w:rFonts w:hint="cs"/>
          <w:sz w:val="20"/>
          <w:szCs w:val="20"/>
          <w:rtl/>
        </w:rPr>
        <w:t xml:space="preserve">מסיים </w:t>
      </w:r>
      <w:r w:rsidRPr="001B7FD7">
        <w:rPr>
          <w:rFonts w:hint="cs"/>
          <w:b/>
          <w:bCs/>
          <w:sz w:val="20"/>
          <w:szCs w:val="20"/>
          <w:rtl/>
        </w:rPr>
        <w:t>הש"ך</w:t>
      </w:r>
      <w:r>
        <w:rPr>
          <w:rFonts w:hint="cs"/>
          <w:sz w:val="20"/>
          <w:szCs w:val="20"/>
          <w:rtl/>
        </w:rPr>
        <w:t xml:space="preserve"> </w:t>
      </w:r>
      <w:r>
        <w:rPr>
          <w:sz w:val="20"/>
          <w:szCs w:val="20"/>
          <w:rtl/>
        </w:rPr>
        <w:t>–</w:t>
      </w:r>
      <w:r>
        <w:rPr>
          <w:rFonts w:hint="cs"/>
          <w:sz w:val="20"/>
          <w:szCs w:val="20"/>
          <w:rtl/>
        </w:rPr>
        <w:t xml:space="preserve"> "וכן נוהגין", ומשמע לדינא שאין להקל אף לדעת </w:t>
      </w:r>
      <w:r w:rsidRPr="001B7FD7">
        <w:rPr>
          <w:rFonts w:hint="cs"/>
          <w:b/>
          <w:bCs/>
          <w:sz w:val="20"/>
          <w:szCs w:val="20"/>
          <w:rtl/>
        </w:rPr>
        <w:t>הש"ך</w:t>
      </w:r>
      <w:r>
        <w:rPr>
          <w:rFonts w:hint="cs"/>
          <w:sz w:val="20"/>
          <w:szCs w:val="20"/>
          <w:rtl/>
        </w:rPr>
        <w:t xml:space="preserve">, וכן פסקו </w:t>
      </w:r>
      <w:r w:rsidRPr="004A6192">
        <w:rPr>
          <w:rFonts w:hint="cs"/>
          <w:b/>
          <w:bCs/>
          <w:sz w:val="20"/>
          <w:szCs w:val="20"/>
          <w:rtl/>
        </w:rPr>
        <w:t>בדה"ש וששבה"ל</w:t>
      </w:r>
      <w:r>
        <w:rPr>
          <w:rFonts w:hint="cs"/>
          <w:sz w:val="20"/>
          <w:szCs w:val="20"/>
          <w:rtl/>
        </w:rPr>
        <w:t xml:space="preserve">. </w:t>
      </w:r>
      <w:r>
        <w:rPr>
          <w:sz w:val="20"/>
          <w:szCs w:val="20"/>
          <w:rtl/>
        </w:rPr>
        <w:br/>
      </w:r>
      <w:r>
        <w:rPr>
          <w:rFonts w:hint="cs"/>
          <w:sz w:val="20"/>
          <w:szCs w:val="20"/>
          <w:rtl/>
        </w:rPr>
        <w:t xml:space="preserve">ואמנם, </w:t>
      </w:r>
      <w:r w:rsidRPr="004A6192">
        <w:rPr>
          <w:rFonts w:hint="cs"/>
          <w:b/>
          <w:bCs/>
          <w:sz w:val="20"/>
          <w:szCs w:val="20"/>
          <w:rtl/>
        </w:rPr>
        <w:t>בדה"ש</w:t>
      </w:r>
      <w:r>
        <w:rPr>
          <w:rFonts w:hint="cs"/>
          <w:sz w:val="20"/>
          <w:szCs w:val="20"/>
          <w:rtl/>
        </w:rPr>
        <w:t xml:space="preserve"> כתב שיש להקל בכתמים אם בעלה לא היה בעיר.</w:t>
      </w:r>
      <w:r>
        <w:rPr>
          <w:rFonts w:hint="cs"/>
          <w:sz w:val="20"/>
          <w:szCs w:val="20"/>
          <w:rtl/>
        </w:rPr>
        <w:br/>
        <w:t xml:space="preserve">ג. </w:t>
      </w:r>
      <w:r w:rsidRPr="00592D88">
        <w:rPr>
          <w:rFonts w:hint="cs"/>
          <w:b/>
          <w:bCs/>
          <w:sz w:val="20"/>
          <w:szCs w:val="20"/>
          <w:rtl/>
        </w:rPr>
        <w:t>חתם סופר</w:t>
      </w:r>
      <w:r>
        <w:rPr>
          <w:rFonts w:hint="cs"/>
          <w:sz w:val="20"/>
          <w:szCs w:val="20"/>
          <w:rtl/>
        </w:rPr>
        <w:t xml:space="preserve"> </w:t>
      </w:r>
      <w:r w:rsidRPr="00592D88">
        <w:rPr>
          <w:rFonts w:hint="cs"/>
          <w:sz w:val="18"/>
          <w:szCs w:val="18"/>
          <w:rtl/>
        </w:rPr>
        <w:t xml:space="preserve">(הו"ד </w:t>
      </w:r>
      <w:r w:rsidRPr="00592D88">
        <w:rPr>
          <w:rFonts w:hint="cs"/>
          <w:b/>
          <w:bCs/>
          <w:sz w:val="18"/>
          <w:szCs w:val="18"/>
          <w:rtl/>
        </w:rPr>
        <w:t>בפת"ש</w:t>
      </w:r>
      <w:r w:rsidRPr="00592D88">
        <w:rPr>
          <w:rFonts w:hint="cs"/>
          <w:sz w:val="18"/>
          <w:szCs w:val="18"/>
          <w:rtl/>
        </w:rPr>
        <w:t xml:space="preserve">) </w:t>
      </w:r>
      <w:r>
        <w:rPr>
          <w:sz w:val="20"/>
          <w:szCs w:val="20"/>
          <w:rtl/>
        </w:rPr>
        <w:t>–</w:t>
      </w:r>
      <w:r>
        <w:rPr>
          <w:rFonts w:hint="cs"/>
          <w:sz w:val="20"/>
          <w:szCs w:val="20"/>
          <w:rtl/>
        </w:rPr>
        <w:t xml:space="preserve"> בדיעבד שכבר ספרה ז"נ לאחר שמצאה כתם, אפילו אם שימשה לפני מציאת הכתם ולא המתינה כלל, יש להקל. אמנם, אם מצאה את הכתם ע"י בדיקת עד הבדוק לה, אין להקל.</w:t>
      </w:r>
      <w:r>
        <w:rPr>
          <w:rFonts w:hint="cs"/>
          <w:sz w:val="20"/>
          <w:szCs w:val="20"/>
          <w:rtl/>
        </w:rPr>
        <w:br/>
      </w:r>
      <w:r>
        <w:rPr>
          <w:sz w:val="20"/>
          <w:szCs w:val="20"/>
          <w:rtl/>
        </w:rPr>
        <w:br/>
      </w:r>
      <w:r>
        <w:rPr>
          <w:rFonts w:hint="cs"/>
          <w:sz w:val="20"/>
          <w:szCs w:val="20"/>
          <w:u w:val="single"/>
          <w:rtl/>
        </w:rPr>
        <w:t>דין כלה שסופרת נקיים לפני חופתה</w:t>
      </w:r>
      <w:r>
        <w:rPr>
          <w:rFonts w:hint="cs"/>
          <w:sz w:val="20"/>
          <w:szCs w:val="20"/>
          <w:rtl/>
        </w:rPr>
        <w:br/>
      </w:r>
      <w:r w:rsidRPr="001D4D53">
        <w:rPr>
          <w:rFonts w:hint="cs"/>
          <w:sz w:val="20"/>
          <w:szCs w:val="20"/>
          <w:rtl/>
        </w:rPr>
        <w:t>א.</w:t>
      </w:r>
      <w:r>
        <w:rPr>
          <w:rFonts w:hint="cs"/>
          <w:b/>
          <w:bCs/>
          <w:sz w:val="20"/>
          <w:szCs w:val="20"/>
          <w:rtl/>
        </w:rPr>
        <w:t xml:space="preserve"> </w:t>
      </w:r>
      <w:r w:rsidRPr="002E0DB8">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כלה שסופרת ז"נ לפני נישואיה, צריכה להמתין חמישה ימים לאחר ראייתה ורק אז מונה ז"נ.</w:t>
      </w:r>
      <w:r>
        <w:rPr>
          <w:sz w:val="20"/>
          <w:szCs w:val="20"/>
          <w:rtl/>
        </w:rPr>
        <w:t xml:space="preserve"> </w:t>
      </w:r>
      <w:r>
        <w:rPr>
          <w:sz w:val="20"/>
          <w:szCs w:val="20"/>
          <w:rtl/>
        </w:rPr>
        <w:br/>
      </w:r>
      <w:r>
        <w:rPr>
          <w:rFonts w:hint="cs"/>
          <w:sz w:val="20"/>
          <w:szCs w:val="20"/>
          <w:rtl/>
        </w:rPr>
        <w:t>ואמנם, אם ע"י חומרה זו ייגרם שהיא תינשא נידה, יש להקל שתעשה הפסק מייד כשתוכל ותמנה ז"נ כדי שלא ייווצר מצב של חופת נידה, ועיין בהערה</w:t>
      </w:r>
      <w:r>
        <w:rPr>
          <w:rStyle w:val="a5"/>
          <w:sz w:val="20"/>
          <w:szCs w:val="20"/>
          <w:rtl/>
        </w:rPr>
        <w:footnoteReference w:id="546"/>
      </w:r>
      <w:r>
        <w:rPr>
          <w:rFonts w:hint="cs"/>
          <w:sz w:val="20"/>
          <w:szCs w:val="20"/>
          <w:rtl/>
        </w:rPr>
        <w:t xml:space="preserve"> שדעת הדגמ"ר שאף הש"ך לא החמיר בכלה שהיתה טמאה לפני נישואיה.</w:t>
      </w:r>
      <w:r>
        <w:rPr>
          <w:sz w:val="20"/>
          <w:szCs w:val="20"/>
          <w:rtl/>
        </w:rPr>
        <w:br/>
      </w:r>
      <w:r>
        <w:rPr>
          <w:rFonts w:hint="cs"/>
          <w:sz w:val="20"/>
          <w:szCs w:val="20"/>
          <w:rtl/>
        </w:rPr>
        <w:t xml:space="preserve">ב. </w:t>
      </w:r>
      <w:r w:rsidRPr="001D4D53">
        <w:rPr>
          <w:rFonts w:hint="cs"/>
          <w:b/>
          <w:bCs/>
          <w:sz w:val="20"/>
          <w:szCs w:val="20"/>
          <w:rtl/>
        </w:rPr>
        <w:t>טה"ב</w:t>
      </w:r>
      <w:r>
        <w:rPr>
          <w:rFonts w:hint="cs"/>
          <w:sz w:val="20"/>
          <w:szCs w:val="20"/>
          <w:rtl/>
        </w:rPr>
        <w:t xml:space="preserve"> </w:t>
      </w:r>
      <w:r w:rsidRPr="001D4D53">
        <w:rPr>
          <w:rFonts w:hint="cs"/>
          <w:sz w:val="18"/>
          <w:szCs w:val="18"/>
          <w:rtl/>
        </w:rPr>
        <w:t xml:space="preserve">(עמ' תנב) </w:t>
      </w:r>
      <w:r>
        <w:rPr>
          <w:sz w:val="20"/>
          <w:szCs w:val="20"/>
          <w:rtl/>
        </w:rPr>
        <w:t>–</w:t>
      </w:r>
      <w:r>
        <w:rPr>
          <w:rFonts w:hint="cs"/>
          <w:sz w:val="20"/>
          <w:szCs w:val="20"/>
          <w:rtl/>
        </w:rPr>
        <w:t xml:space="preserve"> אין המנהג להחמיר כש"ך, אלא מונה ז"נ מייד כשפוסקת לראות</w:t>
      </w:r>
      <w:r>
        <w:rPr>
          <w:rFonts w:hint="cs"/>
          <w:sz w:val="20"/>
          <w:szCs w:val="20"/>
          <w:rtl/>
        </w:rPr>
        <w:br/>
        <w:t xml:space="preserve">ג. </w:t>
      </w:r>
      <w:r w:rsidRPr="00C33CD0">
        <w:rPr>
          <w:rFonts w:hint="cs"/>
          <w:b/>
          <w:bCs/>
          <w:sz w:val="20"/>
          <w:szCs w:val="20"/>
          <w:rtl/>
        </w:rPr>
        <w:t>ששבה"ל</w:t>
      </w:r>
      <w:r>
        <w:rPr>
          <w:rFonts w:hint="cs"/>
          <w:sz w:val="20"/>
          <w:szCs w:val="20"/>
          <w:rtl/>
        </w:rPr>
        <w:t xml:space="preserve"> </w:t>
      </w:r>
      <w:r>
        <w:rPr>
          <w:sz w:val="20"/>
          <w:szCs w:val="20"/>
          <w:rtl/>
        </w:rPr>
        <w:t>–</w:t>
      </w:r>
      <w:r>
        <w:rPr>
          <w:rFonts w:hint="cs"/>
          <w:sz w:val="20"/>
          <w:szCs w:val="20"/>
          <w:rtl/>
        </w:rPr>
        <w:t xml:space="preserve"> לכתחילה יש להחמיר כש"ך, ובפרט שהוא תחילת החינוך לשמירת הלכות נידה, אך בשעת הדחק כגון למנוע חופת נידה יש להקל.</w:t>
      </w:r>
    </w:p>
    <w:p w:rsidR="00620060" w:rsidRDefault="00620060" w:rsidP="00620060">
      <w:pPr>
        <w:rPr>
          <w:sz w:val="20"/>
          <w:szCs w:val="20"/>
          <w:rtl/>
        </w:rPr>
      </w:pPr>
      <w:r>
        <w:rPr>
          <w:rFonts w:hint="cs"/>
          <w:sz w:val="20"/>
          <w:szCs w:val="20"/>
          <w:u w:val="single"/>
          <w:rtl/>
        </w:rPr>
        <w:t xml:space="preserve">דין </w:t>
      </w:r>
      <w:r w:rsidRPr="001D4D53">
        <w:rPr>
          <w:rFonts w:hint="cs"/>
          <w:sz w:val="20"/>
          <w:szCs w:val="20"/>
          <w:u w:val="single"/>
          <w:rtl/>
        </w:rPr>
        <w:t>כלה שפירסה נידה לאחר חופתה</w:t>
      </w:r>
      <w:r>
        <w:rPr>
          <w:sz w:val="20"/>
          <w:szCs w:val="20"/>
          <w:rtl/>
        </w:rPr>
        <w:br/>
      </w:r>
      <w:r w:rsidRPr="00EA7A78">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כלה שפירסה נידה לאחר חופתה לפני שהתייחדה עם החתן, מונה מייד ז"נ ואינה ממתינה כלל.</w:t>
      </w:r>
      <w:r>
        <w:rPr>
          <w:sz w:val="20"/>
          <w:szCs w:val="20"/>
          <w:rtl/>
        </w:rPr>
        <w:br/>
      </w:r>
      <w:r w:rsidRPr="00EA7A78">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אע"פ שנהגו להחמיר אף כשלא שימשה אטו שימשה, בכלה שלא באה עדיין לכלל תשמיש אין להחמיר.</w:t>
      </w:r>
      <w:r>
        <w:rPr>
          <w:rFonts w:hint="cs"/>
          <w:sz w:val="20"/>
          <w:szCs w:val="20"/>
          <w:rtl/>
        </w:rPr>
        <w:br/>
      </w:r>
      <w:r w:rsidRPr="00DD12D4">
        <w:rPr>
          <w:rFonts w:hint="cs"/>
          <w:sz w:val="18"/>
          <w:szCs w:val="18"/>
          <w:rtl/>
        </w:rPr>
        <w:t>(ולכאורה חולק על הש"ך שהחמיר אף בכלה)</w:t>
      </w:r>
      <w:r>
        <w:rPr>
          <w:rFonts w:hint="cs"/>
          <w:sz w:val="20"/>
          <w:szCs w:val="20"/>
          <w:rtl/>
        </w:rPr>
        <w:t>.</w:t>
      </w:r>
      <w:r>
        <w:rPr>
          <w:sz w:val="20"/>
          <w:szCs w:val="20"/>
          <w:rtl/>
        </w:rPr>
        <w:br/>
      </w:r>
      <w:r>
        <w:rPr>
          <w:sz w:val="20"/>
          <w:szCs w:val="20"/>
          <w:u w:val="single"/>
          <w:rtl/>
        </w:rPr>
        <w:br/>
      </w:r>
      <w:r>
        <w:rPr>
          <w:rFonts w:hint="cs"/>
          <w:sz w:val="20"/>
          <w:szCs w:val="20"/>
          <w:u w:val="single"/>
          <w:rtl/>
        </w:rPr>
        <w:t>דין יולדת (פת"ש)</w:t>
      </w:r>
      <w:r>
        <w:rPr>
          <w:rFonts w:hint="cs"/>
          <w:sz w:val="20"/>
          <w:szCs w:val="20"/>
          <w:u w:val="single"/>
          <w:rtl/>
        </w:rPr>
        <w:br/>
      </w:r>
      <w:r>
        <w:rPr>
          <w:rFonts w:hint="cs"/>
          <w:sz w:val="20"/>
          <w:szCs w:val="20"/>
          <w:rtl/>
        </w:rPr>
        <w:t xml:space="preserve">א. </w:t>
      </w:r>
      <w:r w:rsidRPr="00F707CE">
        <w:rPr>
          <w:rFonts w:hint="cs"/>
          <w:b/>
          <w:bCs/>
          <w:sz w:val="20"/>
          <w:szCs w:val="20"/>
          <w:rtl/>
        </w:rPr>
        <w:t>פת"ש</w:t>
      </w:r>
      <w:r>
        <w:rPr>
          <w:rFonts w:hint="cs"/>
          <w:sz w:val="20"/>
          <w:szCs w:val="20"/>
          <w:rtl/>
        </w:rPr>
        <w:t xml:space="preserve"> </w:t>
      </w:r>
      <w:r>
        <w:rPr>
          <w:sz w:val="20"/>
          <w:szCs w:val="20"/>
          <w:rtl/>
        </w:rPr>
        <w:t>–</w:t>
      </w:r>
      <w:r>
        <w:rPr>
          <w:rFonts w:hint="cs"/>
          <w:sz w:val="20"/>
          <w:szCs w:val="20"/>
          <w:rtl/>
        </w:rPr>
        <w:t xml:space="preserve"> ע"פ דברי </w:t>
      </w:r>
      <w:r w:rsidRPr="00F707CE">
        <w:rPr>
          <w:rFonts w:hint="cs"/>
          <w:b/>
          <w:bCs/>
          <w:sz w:val="20"/>
          <w:szCs w:val="20"/>
          <w:rtl/>
        </w:rPr>
        <w:t>הדגמ"ר</w:t>
      </w:r>
      <w:r>
        <w:rPr>
          <w:rFonts w:hint="cs"/>
          <w:sz w:val="20"/>
          <w:szCs w:val="20"/>
          <w:rtl/>
        </w:rPr>
        <w:t xml:space="preserve"> שיש להקל בכלה שהיתה טמאה לפני נישואיה, יש להקל גם ביולדת. </w:t>
      </w:r>
      <w:r>
        <w:rPr>
          <w:sz w:val="20"/>
          <w:szCs w:val="20"/>
          <w:rtl/>
        </w:rPr>
        <w:br/>
      </w:r>
      <w:r>
        <w:rPr>
          <w:rFonts w:hint="cs"/>
          <w:sz w:val="20"/>
          <w:szCs w:val="20"/>
          <w:rtl/>
        </w:rPr>
        <w:t xml:space="preserve">כגון שכל ימי מלאת לא טבלה ולאחר ימי מלאת ראתה דם, יכולה להתחיל מיד ז"נ ואינה צריכה להמתין ה' יום. </w:t>
      </w:r>
      <w:r>
        <w:rPr>
          <w:sz w:val="20"/>
          <w:szCs w:val="20"/>
          <w:rtl/>
        </w:rPr>
        <w:br/>
      </w:r>
      <w:r w:rsidRPr="00F707CE">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בכה"ג שהיתה טמאה עד עתה אין לגזור אטו שימשה.</w:t>
      </w:r>
      <w:r>
        <w:rPr>
          <w:sz w:val="20"/>
          <w:szCs w:val="20"/>
          <w:rtl/>
        </w:rPr>
        <w:br/>
      </w:r>
      <w:r>
        <w:rPr>
          <w:rFonts w:hint="cs"/>
          <w:sz w:val="20"/>
          <w:szCs w:val="20"/>
          <w:rtl/>
        </w:rPr>
        <w:t xml:space="preserve">וכל שכן שיש להקל כאשר ראתה דם בתוך מלאת, שהרי מדאורייתא הדם טהור ורק הגאונים החמירו בו, ואפילו בכתם דעת הש"ך להקל כשלא שימשה וכל שכן בדם תוך מלאת. </w:t>
      </w:r>
      <w:r>
        <w:rPr>
          <w:rFonts w:hint="cs"/>
          <w:sz w:val="20"/>
          <w:szCs w:val="20"/>
          <w:rtl/>
        </w:rPr>
        <w:br/>
        <w:t xml:space="preserve">ב. </w:t>
      </w:r>
      <w:r w:rsidRPr="00F45AA9">
        <w:rPr>
          <w:rFonts w:hint="cs"/>
          <w:b/>
          <w:bCs/>
          <w:sz w:val="20"/>
          <w:szCs w:val="20"/>
          <w:rtl/>
        </w:rPr>
        <w:t>חתם סופר</w:t>
      </w:r>
      <w:r>
        <w:rPr>
          <w:rFonts w:hint="cs"/>
          <w:sz w:val="20"/>
          <w:szCs w:val="20"/>
          <w:rtl/>
        </w:rPr>
        <w:t xml:space="preserve"> </w:t>
      </w:r>
      <w:r>
        <w:rPr>
          <w:sz w:val="20"/>
          <w:szCs w:val="20"/>
          <w:rtl/>
        </w:rPr>
        <w:t>–</w:t>
      </w:r>
      <w:r>
        <w:rPr>
          <w:rFonts w:hint="cs"/>
          <w:sz w:val="20"/>
          <w:szCs w:val="20"/>
          <w:rtl/>
        </w:rPr>
        <w:t xml:space="preserve"> יולדת שטבלה בתוך מלאת ושימשה וראתה, אין להקל שתמנה ז"נ כדעת המחבר לאחר ד' יום כפי שהקלו בכלה, אלא יש להחמיר גם בכה"ג כרמ"א.</w:t>
      </w:r>
      <w:r>
        <w:rPr>
          <w:sz w:val="20"/>
          <w:szCs w:val="20"/>
          <w:rtl/>
        </w:rPr>
        <w:br/>
      </w:r>
      <w:r w:rsidRPr="00F45AA9">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הרמ"א כתב בסימן קצד' שדין יולדת כנידה לכל דבר, ומשמע שאין לחלק כלל בין יולדת לנידה גמורה.</w:t>
      </w:r>
    </w:p>
    <w:p w:rsidR="00620060" w:rsidRDefault="00620060" w:rsidP="00620060">
      <w:pPr>
        <w:rPr>
          <w:sz w:val="20"/>
          <w:szCs w:val="20"/>
          <w:rtl/>
        </w:rPr>
      </w:pPr>
      <w:r>
        <w:rPr>
          <w:rFonts w:hint="cs"/>
          <w:sz w:val="20"/>
          <w:szCs w:val="20"/>
          <w:u w:val="single"/>
          <w:rtl/>
        </w:rPr>
        <w:t>ראתה דם לאחר טבילה</w:t>
      </w:r>
      <w:r>
        <w:rPr>
          <w:rFonts w:hint="cs"/>
          <w:sz w:val="20"/>
          <w:szCs w:val="20"/>
          <w:u w:val="single"/>
          <w:rtl/>
        </w:rPr>
        <w:br/>
      </w:r>
      <w:r>
        <w:rPr>
          <w:rFonts w:hint="cs"/>
          <w:sz w:val="20"/>
          <w:szCs w:val="20"/>
          <w:rtl/>
        </w:rPr>
        <w:t>אשה שראתה דם מייד לאחר טבילה לפני ששימשה עם בעלה, האם יכולה למנות ז"נ מייד ללא המתנה?</w:t>
      </w:r>
      <w:r>
        <w:rPr>
          <w:sz w:val="20"/>
          <w:szCs w:val="20"/>
          <w:u w:val="single"/>
          <w:rtl/>
        </w:rPr>
        <w:br/>
      </w:r>
      <w:r>
        <w:rPr>
          <w:rFonts w:hint="cs"/>
          <w:sz w:val="20"/>
          <w:szCs w:val="20"/>
          <w:rtl/>
        </w:rPr>
        <w:t xml:space="preserve">א. </w:t>
      </w:r>
      <w:r w:rsidRPr="00646A14">
        <w:rPr>
          <w:rFonts w:hint="cs"/>
          <w:b/>
          <w:bCs/>
          <w:sz w:val="20"/>
          <w:szCs w:val="20"/>
          <w:rtl/>
        </w:rPr>
        <w:t>פני יהושע</w:t>
      </w:r>
      <w:r>
        <w:rPr>
          <w:rFonts w:hint="cs"/>
          <w:sz w:val="20"/>
          <w:szCs w:val="20"/>
          <w:rtl/>
        </w:rPr>
        <w:t xml:space="preserve">, </w:t>
      </w:r>
      <w:r w:rsidRPr="00646A14">
        <w:rPr>
          <w:rFonts w:hint="cs"/>
          <w:b/>
          <w:bCs/>
          <w:sz w:val="20"/>
          <w:szCs w:val="20"/>
          <w:rtl/>
        </w:rPr>
        <w:t>סדרי טהרה ומעיל צדקה</w:t>
      </w:r>
      <w:r>
        <w:rPr>
          <w:rFonts w:hint="cs"/>
          <w:sz w:val="20"/>
          <w:szCs w:val="20"/>
          <w:rtl/>
        </w:rPr>
        <w:t xml:space="preserve"> </w:t>
      </w:r>
      <w:r>
        <w:rPr>
          <w:sz w:val="20"/>
          <w:szCs w:val="20"/>
          <w:rtl/>
        </w:rPr>
        <w:t>–</w:t>
      </w:r>
      <w:r>
        <w:rPr>
          <w:rFonts w:hint="cs"/>
          <w:sz w:val="20"/>
          <w:szCs w:val="20"/>
          <w:rtl/>
        </w:rPr>
        <w:t xml:space="preserve"> כן.</w:t>
      </w:r>
      <w:r>
        <w:rPr>
          <w:sz w:val="20"/>
          <w:szCs w:val="20"/>
          <w:rtl/>
        </w:rPr>
        <w:br/>
      </w:r>
      <w:r w:rsidRPr="00646A14">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בכל גזירות חז"ל קיי"ל שאין להחמיר בדבר שאינו שכיח, וכל שכן בגזירה כאן.</w:t>
      </w:r>
      <w:r>
        <w:rPr>
          <w:sz w:val="20"/>
          <w:szCs w:val="20"/>
          <w:rtl/>
        </w:rPr>
        <w:br/>
      </w:r>
      <w:r>
        <w:rPr>
          <w:rFonts w:hint="cs"/>
          <w:sz w:val="20"/>
          <w:szCs w:val="20"/>
          <w:rtl/>
        </w:rPr>
        <w:t xml:space="preserve">ב. </w:t>
      </w:r>
      <w:r w:rsidRPr="00283B70">
        <w:rPr>
          <w:rFonts w:hint="cs"/>
          <w:b/>
          <w:bCs/>
          <w:sz w:val="20"/>
          <w:szCs w:val="20"/>
          <w:rtl/>
        </w:rPr>
        <w:t>נודע ביהודה</w:t>
      </w:r>
      <w:r>
        <w:rPr>
          <w:rFonts w:hint="cs"/>
          <w:sz w:val="20"/>
          <w:szCs w:val="20"/>
          <w:rtl/>
        </w:rPr>
        <w:t xml:space="preserve"> </w:t>
      </w:r>
      <w:r>
        <w:rPr>
          <w:sz w:val="20"/>
          <w:szCs w:val="20"/>
          <w:rtl/>
        </w:rPr>
        <w:t>–</w:t>
      </w:r>
      <w:r>
        <w:rPr>
          <w:rFonts w:hint="cs"/>
          <w:sz w:val="20"/>
          <w:szCs w:val="20"/>
          <w:rtl/>
        </w:rPr>
        <w:t xml:space="preserve"> לא.</w:t>
      </w:r>
    </w:p>
    <w:p w:rsidR="00620060" w:rsidRDefault="00620060" w:rsidP="00620060">
      <w:pPr>
        <w:rPr>
          <w:sz w:val="20"/>
          <w:szCs w:val="20"/>
          <w:rtl/>
        </w:rPr>
      </w:pPr>
      <w:r>
        <w:rPr>
          <w:rFonts w:hint="cs"/>
          <w:sz w:val="20"/>
          <w:szCs w:val="20"/>
          <w:u w:val="single"/>
          <w:rtl/>
        </w:rPr>
        <w:t>'עקרות הלכתית' (טה"ב עמ' תלד)</w:t>
      </w:r>
      <w:r>
        <w:rPr>
          <w:rFonts w:hint="cs"/>
          <w:sz w:val="20"/>
          <w:szCs w:val="20"/>
          <w:u w:val="single"/>
          <w:rtl/>
        </w:rPr>
        <w:br/>
      </w:r>
      <w:r>
        <w:rPr>
          <w:rFonts w:hint="cs"/>
          <w:sz w:val="20"/>
          <w:szCs w:val="20"/>
          <w:rtl/>
        </w:rPr>
        <w:t xml:space="preserve">המקרה </w:t>
      </w:r>
      <w:r>
        <w:rPr>
          <w:sz w:val="20"/>
          <w:szCs w:val="20"/>
          <w:rtl/>
        </w:rPr>
        <w:t>–</w:t>
      </w:r>
      <w:r>
        <w:rPr>
          <w:rFonts w:hint="cs"/>
          <w:sz w:val="20"/>
          <w:szCs w:val="20"/>
          <w:rtl/>
        </w:rPr>
        <w:t xml:space="preserve"> אשה שיש לה ביוץ מוקדם ומחמת כן אינה יכולה להרות, יש להורות לה שלא להחמיר כרמ"א, אלא תמנה ז"נ מיום החמישי לראייתה. ואם גם בכה"ג לא מהני לה, יש להורות להם להימנע מתשמיש ביומיים שלפני הווסת </w:t>
      </w:r>
      <w:r w:rsidRPr="00DA0A72">
        <w:rPr>
          <w:rFonts w:hint="cs"/>
          <w:sz w:val="18"/>
          <w:szCs w:val="18"/>
          <w:rtl/>
        </w:rPr>
        <w:t xml:space="preserve">(המשוער) </w:t>
      </w:r>
      <w:r>
        <w:rPr>
          <w:rFonts w:hint="cs"/>
          <w:sz w:val="20"/>
          <w:szCs w:val="20"/>
          <w:rtl/>
        </w:rPr>
        <w:t>ותוכל לעשות הפס"ט ביום השני לראייתה ולהתחיל למנות ז"נ.</w:t>
      </w:r>
      <w:r>
        <w:rPr>
          <w:sz w:val="20"/>
          <w:szCs w:val="20"/>
          <w:rtl/>
        </w:rPr>
        <w:br/>
      </w:r>
      <w:r w:rsidRPr="00DA0A72">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החומרה שהחמיר הרמ"א כשלא שימשה אטו שימשה היא מטעם לא פלוג, ובמקום מצווה לא העמידו חז"ל את דבריהם.</w:t>
      </w:r>
    </w:p>
    <w:p w:rsidR="00620060" w:rsidRPr="009618F2" w:rsidRDefault="00620060" w:rsidP="00620060">
      <w:pPr>
        <w:rPr>
          <w:sz w:val="20"/>
          <w:szCs w:val="20"/>
          <w:rtl/>
        </w:rPr>
      </w:pPr>
      <w:r>
        <w:rPr>
          <w:rFonts w:hint="cs"/>
          <w:sz w:val="20"/>
          <w:szCs w:val="20"/>
          <w:u w:val="single"/>
          <w:rtl/>
        </w:rPr>
        <w:lastRenderedPageBreak/>
        <w:t>פרשו מתשמיש מחמת איסור (טה"ב עמ' תלט)</w:t>
      </w:r>
      <w:r>
        <w:rPr>
          <w:rFonts w:hint="cs"/>
          <w:sz w:val="20"/>
          <w:szCs w:val="20"/>
          <w:u w:val="single"/>
          <w:rtl/>
        </w:rPr>
        <w:br/>
      </w:r>
      <w:r>
        <w:rPr>
          <w:rFonts w:hint="cs"/>
          <w:sz w:val="20"/>
          <w:szCs w:val="20"/>
          <w:rtl/>
        </w:rPr>
        <w:t xml:space="preserve">זוג שפרשו מתשמיש מחמת דם בתולים או מחמת כתם </w:t>
      </w:r>
      <w:r w:rsidRPr="00CB744F">
        <w:rPr>
          <w:rFonts w:hint="cs"/>
          <w:sz w:val="18"/>
          <w:szCs w:val="18"/>
          <w:rtl/>
        </w:rPr>
        <w:t>(ואפילו אם הכתם היה ספק טמא והחמירו על עצמם)</w:t>
      </w:r>
      <w:r>
        <w:rPr>
          <w:rFonts w:hint="cs"/>
          <w:sz w:val="20"/>
          <w:szCs w:val="20"/>
          <w:rtl/>
        </w:rPr>
        <w:t>, ולאחר מכן ראתה האשה דם, יכולים להקל ולמנות ז"נ מייד כשתפסוק לראות ואינם צריכים להמתין כלל.</w:t>
      </w:r>
      <w:r>
        <w:rPr>
          <w:sz w:val="20"/>
          <w:szCs w:val="20"/>
          <w:rtl/>
        </w:rPr>
        <w:br/>
      </w:r>
      <w:r w:rsidRPr="00CB744F">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בכה"ג לא שייך לגזור לא שימשה אטו שימשה, מכיוון שהיו אסורים לשמש. </w:t>
      </w:r>
    </w:p>
    <w:p w:rsidR="00620060" w:rsidRPr="00935C8E" w:rsidRDefault="00620060" w:rsidP="00620060">
      <w:pPr>
        <w:rPr>
          <w:sz w:val="20"/>
          <w:szCs w:val="20"/>
        </w:rPr>
      </w:pPr>
      <w:r w:rsidRPr="00935C8E">
        <w:rPr>
          <w:rFonts w:hint="cs"/>
          <w:b/>
          <w:bCs/>
          <w:sz w:val="20"/>
          <w:szCs w:val="20"/>
          <w:rtl/>
        </w:rPr>
        <w:t>סיכום</w:t>
      </w:r>
      <w:r>
        <w:rPr>
          <w:sz w:val="20"/>
          <w:szCs w:val="20"/>
          <w:rtl/>
        </w:rPr>
        <w:br/>
      </w:r>
      <w:r>
        <w:rPr>
          <w:rFonts w:hint="cs"/>
          <w:sz w:val="20"/>
          <w:szCs w:val="20"/>
          <w:rtl/>
        </w:rPr>
        <w:t xml:space="preserve">1. </w:t>
      </w:r>
      <w:r w:rsidRPr="00935C8E">
        <w:rPr>
          <w:rFonts w:hint="cs"/>
          <w:b/>
          <w:bCs/>
          <w:sz w:val="20"/>
          <w:szCs w:val="20"/>
          <w:rtl/>
        </w:rPr>
        <w:t>גמרא</w:t>
      </w:r>
      <w:r>
        <w:rPr>
          <w:rFonts w:hint="cs"/>
          <w:sz w:val="20"/>
          <w:szCs w:val="20"/>
          <w:rtl/>
        </w:rPr>
        <w:t>. פולטת שכבת זרע טמאה כדין רואה קרי, והנפק"מ שסותרת ז"נ.</w:t>
      </w:r>
      <w:r>
        <w:rPr>
          <w:sz w:val="20"/>
          <w:szCs w:val="20"/>
          <w:rtl/>
        </w:rPr>
        <w:br/>
      </w:r>
      <w:r>
        <w:rPr>
          <w:rFonts w:hint="cs"/>
          <w:sz w:val="20"/>
          <w:szCs w:val="20"/>
          <w:rtl/>
        </w:rPr>
        <w:t xml:space="preserve">2. </w:t>
      </w:r>
      <w:r w:rsidRPr="00935C8E">
        <w:rPr>
          <w:rFonts w:hint="cs"/>
          <w:b/>
          <w:bCs/>
          <w:sz w:val="20"/>
          <w:szCs w:val="20"/>
          <w:rtl/>
        </w:rPr>
        <w:t>ראב"ד</w:t>
      </w:r>
      <w:r>
        <w:rPr>
          <w:rFonts w:hint="cs"/>
          <w:sz w:val="20"/>
          <w:szCs w:val="20"/>
          <w:rtl/>
        </w:rPr>
        <w:t xml:space="preserve">. רק לגבי טהרות. </w:t>
      </w:r>
      <w:r w:rsidRPr="00935C8E">
        <w:rPr>
          <w:rFonts w:hint="cs"/>
          <w:b/>
          <w:bCs/>
          <w:sz w:val="20"/>
          <w:szCs w:val="20"/>
          <w:rtl/>
        </w:rPr>
        <w:t>רא"ש ורמב"ם</w:t>
      </w:r>
      <w:r>
        <w:rPr>
          <w:rFonts w:hint="cs"/>
          <w:sz w:val="20"/>
          <w:szCs w:val="20"/>
          <w:rtl/>
        </w:rPr>
        <w:t xml:space="preserve">. גם לבעלה. </w:t>
      </w:r>
      <w:r w:rsidRPr="00935C8E">
        <w:rPr>
          <w:rFonts w:hint="cs"/>
          <w:b/>
          <w:bCs/>
          <w:sz w:val="20"/>
          <w:szCs w:val="20"/>
          <w:rtl/>
        </w:rPr>
        <w:t>רי"ף</w:t>
      </w:r>
      <w:r>
        <w:rPr>
          <w:rFonts w:hint="cs"/>
          <w:sz w:val="20"/>
          <w:szCs w:val="20"/>
          <w:rtl/>
        </w:rPr>
        <w:t xml:space="preserve">. השמיט. </w:t>
      </w:r>
      <w:r w:rsidRPr="00935C8E">
        <w:rPr>
          <w:rFonts w:hint="cs"/>
          <w:b/>
          <w:bCs/>
          <w:sz w:val="20"/>
          <w:szCs w:val="20"/>
          <w:rtl/>
        </w:rPr>
        <w:t>רשב"א</w:t>
      </w:r>
      <w:r>
        <w:rPr>
          <w:rFonts w:hint="cs"/>
          <w:sz w:val="20"/>
          <w:szCs w:val="20"/>
          <w:rtl/>
        </w:rPr>
        <w:t xml:space="preserve">. הרי"ף כראב"ד ולכן השמיט. </w:t>
      </w:r>
      <w:r w:rsidRPr="00935C8E">
        <w:rPr>
          <w:rFonts w:hint="cs"/>
          <w:b/>
          <w:bCs/>
          <w:sz w:val="20"/>
          <w:szCs w:val="20"/>
          <w:rtl/>
        </w:rPr>
        <w:t>ב"י</w:t>
      </w:r>
      <w:r>
        <w:rPr>
          <w:rFonts w:hint="cs"/>
          <w:sz w:val="20"/>
          <w:szCs w:val="20"/>
          <w:rtl/>
        </w:rPr>
        <w:t xml:space="preserve">. אין להוכיח מאומה </w:t>
      </w:r>
      <w:r w:rsidRPr="00935C8E">
        <w:rPr>
          <w:rFonts w:hint="cs"/>
          <w:b/>
          <w:bCs/>
          <w:sz w:val="20"/>
          <w:szCs w:val="20"/>
          <w:rtl/>
        </w:rPr>
        <w:t>מהרי"ף</w:t>
      </w:r>
      <w:r>
        <w:rPr>
          <w:rFonts w:hint="cs"/>
          <w:sz w:val="20"/>
          <w:szCs w:val="20"/>
          <w:rtl/>
        </w:rPr>
        <w:t>, השמיט לפי שאין דין זה מצוי משום שראייה רגילה נמשכת כחמישה ימים.</w:t>
      </w:r>
      <w:r>
        <w:rPr>
          <w:rFonts w:hint="cs"/>
          <w:sz w:val="20"/>
          <w:szCs w:val="20"/>
          <w:rtl/>
        </w:rPr>
        <w:br/>
        <w:t>3.</w:t>
      </w:r>
      <w:r w:rsidRPr="00545CB1">
        <w:rPr>
          <w:rFonts w:hint="cs"/>
          <w:b/>
          <w:bCs/>
          <w:sz w:val="20"/>
          <w:szCs w:val="20"/>
          <w:rtl/>
        </w:rPr>
        <w:t xml:space="preserve"> גמרא</w:t>
      </w:r>
      <w:r>
        <w:rPr>
          <w:rFonts w:hint="cs"/>
          <w:sz w:val="20"/>
          <w:szCs w:val="20"/>
          <w:rtl/>
        </w:rPr>
        <w:t xml:space="preserve">. כמה שיטות לגבי זמן פליטת שכבת זרע. </w:t>
      </w:r>
      <w:r w:rsidRPr="00545CB1">
        <w:rPr>
          <w:rFonts w:hint="cs"/>
          <w:b/>
          <w:bCs/>
          <w:sz w:val="20"/>
          <w:szCs w:val="20"/>
          <w:rtl/>
        </w:rPr>
        <w:t>רא"ש</w:t>
      </w:r>
      <w:r>
        <w:rPr>
          <w:rFonts w:hint="cs"/>
          <w:sz w:val="20"/>
          <w:szCs w:val="20"/>
          <w:rtl/>
        </w:rPr>
        <w:t xml:space="preserve">. הלכה כחכמים, שש עונות שלמות, וכ"פ </w:t>
      </w:r>
      <w:r w:rsidRPr="00545CB1">
        <w:rPr>
          <w:rFonts w:hint="cs"/>
          <w:b/>
          <w:bCs/>
          <w:sz w:val="20"/>
          <w:szCs w:val="20"/>
          <w:rtl/>
        </w:rPr>
        <w:t>המחבר</w:t>
      </w:r>
      <w:r>
        <w:rPr>
          <w:rFonts w:hint="cs"/>
          <w:sz w:val="20"/>
          <w:szCs w:val="20"/>
          <w:rtl/>
        </w:rPr>
        <w:t xml:space="preserve">. </w:t>
      </w:r>
      <w:r w:rsidRPr="00545CB1">
        <w:rPr>
          <w:rFonts w:hint="cs"/>
          <w:b/>
          <w:bCs/>
          <w:sz w:val="20"/>
          <w:szCs w:val="20"/>
          <w:rtl/>
        </w:rPr>
        <w:t>רמב"ם</w:t>
      </w:r>
      <w:r>
        <w:rPr>
          <w:rFonts w:hint="cs"/>
          <w:sz w:val="20"/>
          <w:szCs w:val="20"/>
          <w:rtl/>
        </w:rPr>
        <w:t>. הלכה כראב"ע, שלוש עונות שלמות.</w:t>
      </w:r>
      <w:r>
        <w:rPr>
          <w:rFonts w:hint="cs"/>
          <w:sz w:val="20"/>
          <w:szCs w:val="20"/>
          <w:rtl/>
        </w:rPr>
        <w:br/>
        <w:t xml:space="preserve">4. </w:t>
      </w:r>
      <w:r w:rsidRPr="00545CB1">
        <w:rPr>
          <w:rFonts w:hint="cs"/>
          <w:b/>
          <w:bCs/>
          <w:sz w:val="20"/>
          <w:szCs w:val="20"/>
          <w:rtl/>
        </w:rPr>
        <w:t>מחבר</w:t>
      </w:r>
      <w:r>
        <w:rPr>
          <w:rFonts w:hint="cs"/>
          <w:sz w:val="20"/>
          <w:szCs w:val="20"/>
          <w:rtl/>
        </w:rPr>
        <w:t>. הפולטת ש"ז סותרת אף לבעלה כל שש עונות, ולכן מונה ז"נ מיום ה' לשימושה.</w:t>
      </w:r>
      <w:r>
        <w:rPr>
          <w:rFonts w:hint="cs"/>
          <w:sz w:val="20"/>
          <w:szCs w:val="20"/>
          <w:rtl/>
        </w:rPr>
        <w:br/>
        <w:t xml:space="preserve">5. </w:t>
      </w:r>
      <w:r w:rsidRPr="00545CB1">
        <w:rPr>
          <w:rFonts w:hint="cs"/>
          <w:b/>
          <w:bCs/>
          <w:sz w:val="20"/>
          <w:szCs w:val="20"/>
          <w:rtl/>
        </w:rPr>
        <w:t>ט"ז וש"ך</w:t>
      </w:r>
      <w:r>
        <w:rPr>
          <w:rFonts w:hint="cs"/>
          <w:sz w:val="20"/>
          <w:szCs w:val="20"/>
          <w:rtl/>
        </w:rPr>
        <w:t xml:space="preserve">. אם ראתה דם בתוך ז"נ </w:t>
      </w:r>
      <w:r w:rsidRPr="00935C8E">
        <w:rPr>
          <w:rFonts w:hint="cs"/>
          <w:sz w:val="18"/>
          <w:szCs w:val="18"/>
          <w:rtl/>
        </w:rPr>
        <w:t>(או לאחר ה' יום מראייתה)</w:t>
      </w:r>
      <w:r>
        <w:rPr>
          <w:rFonts w:hint="cs"/>
          <w:sz w:val="20"/>
          <w:szCs w:val="20"/>
          <w:rtl/>
        </w:rPr>
        <w:t>, עושה הפסק מייד ומונה ז"נ.</w:t>
      </w:r>
      <w:r>
        <w:rPr>
          <w:rFonts w:hint="cs"/>
          <w:sz w:val="20"/>
          <w:szCs w:val="20"/>
          <w:rtl/>
        </w:rPr>
        <w:br/>
        <w:t xml:space="preserve">6. </w:t>
      </w:r>
      <w:r w:rsidRPr="00187A18">
        <w:rPr>
          <w:rFonts w:hint="cs"/>
          <w:sz w:val="20"/>
          <w:szCs w:val="20"/>
          <w:rtl/>
        </w:rPr>
        <w:t xml:space="preserve">חומרות אשכנז. </w:t>
      </w:r>
      <w:r w:rsidRPr="00187A18">
        <w:rPr>
          <w:rFonts w:hint="cs"/>
          <w:b/>
          <w:bCs/>
          <w:sz w:val="20"/>
          <w:szCs w:val="20"/>
          <w:rtl/>
        </w:rPr>
        <w:t>ת"ה</w:t>
      </w:r>
      <w:r w:rsidRPr="00187A18">
        <w:rPr>
          <w:rFonts w:hint="cs"/>
          <w:sz w:val="20"/>
          <w:szCs w:val="20"/>
          <w:rtl/>
        </w:rPr>
        <w:t xml:space="preserve">. נהגו להוסיף יום על ז"נ, וכ"פ </w:t>
      </w:r>
      <w:r w:rsidRPr="00187A18">
        <w:rPr>
          <w:rFonts w:hint="cs"/>
          <w:b/>
          <w:bCs/>
          <w:sz w:val="20"/>
          <w:szCs w:val="20"/>
          <w:rtl/>
        </w:rPr>
        <w:t>הרמ"א</w:t>
      </w:r>
      <w:r w:rsidRPr="00187A18">
        <w:rPr>
          <w:rFonts w:hint="cs"/>
          <w:sz w:val="20"/>
          <w:szCs w:val="20"/>
          <w:rtl/>
        </w:rPr>
        <w:t xml:space="preserve">. </w:t>
      </w:r>
      <w:r w:rsidRPr="00187A18">
        <w:rPr>
          <w:rFonts w:hint="cs"/>
          <w:b/>
          <w:bCs/>
          <w:sz w:val="20"/>
          <w:szCs w:val="20"/>
          <w:rtl/>
        </w:rPr>
        <w:t>טעם</w:t>
      </w:r>
      <w:r w:rsidRPr="00187A18">
        <w:rPr>
          <w:rFonts w:hint="cs"/>
          <w:sz w:val="20"/>
          <w:szCs w:val="20"/>
          <w:rtl/>
        </w:rPr>
        <w:t xml:space="preserve">. חשש שמא תשמש ביה"ש ותסבור שהוא יום אך למעשה הוא לילה. ויש החמירו למנות ז"נ רק לאחר ז' יום מראייתה. </w:t>
      </w:r>
      <w:r w:rsidRPr="00187A18">
        <w:rPr>
          <w:rFonts w:hint="cs"/>
          <w:b/>
          <w:bCs/>
          <w:sz w:val="20"/>
          <w:szCs w:val="20"/>
          <w:rtl/>
        </w:rPr>
        <w:t>רמ"א</w:t>
      </w:r>
      <w:r w:rsidRPr="00187A18">
        <w:rPr>
          <w:rFonts w:hint="cs"/>
          <w:sz w:val="20"/>
          <w:szCs w:val="20"/>
          <w:rtl/>
        </w:rPr>
        <w:t xml:space="preserve">. המקל נשכר. </w:t>
      </w:r>
      <w:r w:rsidRPr="00187A18">
        <w:rPr>
          <w:rFonts w:hint="cs"/>
          <w:b/>
          <w:bCs/>
          <w:sz w:val="20"/>
          <w:szCs w:val="20"/>
          <w:rtl/>
        </w:rPr>
        <w:t>טעם</w:t>
      </w:r>
      <w:r w:rsidRPr="00187A18">
        <w:rPr>
          <w:rFonts w:hint="cs"/>
          <w:sz w:val="20"/>
          <w:szCs w:val="20"/>
          <w:rtl/>
        </w:rPr>
        <w:t>. נהגו בימים קדמונים לטבול ב' טבילות, אחת לאחר ז' ימי נידה ואחת לאחר ז"נ, וזכר לכך הרחיקו ז"נ לאחר ז'.</w:t>
      </w:r>
      <w:r w:rsidRPr="00187A18">
        <w:rPr>
          <w:rFonts w:hint="cs"/>
          <w:sz w:val="20"/>
          <w:szCs w:val="20"/>
          <w:rtl/>
        </w:rPr>
        <w:br/>
        <w:t xml:space="preserve">7. </w:t>
      </w:r>
      <w:r w:rsidRPr="00187A18">
        <w:rPr>
          <w:rFonts w:hint="cs"/>
          <w:b/>
          <w:bCs/>
          <w:sz w:val="20"/>
          <w:szCs w:val="20"/>
          <w:rtl/>
        </w:rPr>
        <w:t>מהר"ל</w:t>
      </w:r>
      <w:r w:rsidRPr="00187A18">
        <w:rPr>
          <w:rFonts w:hint="cs"/>
          <w:sz w:val="20"/>
          <w:szCs w:val="20"/>
          <w:rtl/>
        </w:rPr>
        <w:t>. חומר</w:t>
      </w:r>
      <w:r>
        <w:rPr>
          <w:rFonts w:hint="cs"/>
          <w:sz w:val="20"/>
          <w:szCs w:val="20"/>
          <w:rtl/>
        </w:rPr>
        <w:t>ת הוספת יום</w:t>
      </w:r>
      <w:r w:rsidRPr="00187A18">
        <w:rPr>
          <w:rFonts w:hint="cs"/>
          <w:sz w:val="20"/>
          <w:szCs w:val="20"/>
          <w:rtl/>
        </w:rPr>
        <w:t xml:space="preserve"> אינה נוהגת בדם בתולים. </w:t>
      </w:r>
      <w:r w:rsidRPr="00187A18">
        <w:rPr>
          <w:rFonts w:hint="cs"/>
          <w:b/>
          <w:bCs/>
          <w:sz w:val="20"/>
          <w:szCs w:val="20"/>
          <w:rtl/>
        </w:rPr>
        <w:t>טעם</w:t>
      </w:r>
      <w:r w:rsidRPr="00187A18">
        <w:rPr>
          <w:rFonts w:hint="cs"/>
          <w:sz w:val="20"/>
          <w:szCs w:val="20"/>
          <w:rtl/>
        </w:rPr>
        <w:t>. דם בתולים אינו דם נידה אלא חומרה. אמנם, אם שימשה בביה"ש יש להחמיר שמא הוא לילה.</w:t>
      </w:r>
      <w:r w:rsidRPr="00187A18">
        <w:rPr>
          <w:rFonts w:hint="cs"/>
          <w:sz w:val="20"/>
          <w:szCs w:val="20"/>
          <w:rtl/>
        </w:rPr>
        <w:br/>
        <w:t xml:space="preserve">8. </w:t>
      </w:r>
      <w:r w:rsidRPr="00187A18">
        <w:rPr>
          <w:rFonts w:hint="cs"/>
          <w:b/>
          <w:bCs/>
          <w:sz w:val="20"/>
          <w:szCs w:val="20"/>
          <w:rtl/>
        </w:rPr>
        <w:t>מהרש"ל</w:t>
      </w:r>
      <w:r w:rsidRPr="00187A18">
        <w:rPr>
          <w:rFonts w:hint="cs"/>
          <w:sz w:val="20"/>
          <w:szCs w:val="20"/>
          <w:rtl/>
        </w:rPr>
        <w:t xml:space="preserve">. אשה שהתפללה ערבית מבעו"י וראתה דם, מחשיבה את היום כיום שעבר לדעת הרמ"א </w:t>
      </w:r>
      <w:r w:rsidRPr="00187A18">
        <w:rPr>
          <w:rFonts w:hint="cs"/>
          <w:sz w:val="18"/>
          <w:szCs w:val="18"/>
          <w:rtl/>
        </w:rPr>
        <w:t>(קולא)</w:t>
      </w:r>
      <w:r w:rsidRPr="00187A18">
        <w:rPr>
          <w:rFonts w:hint="cs"/>
          <w:sz w:val="20"/>
          <w:szCs w:val="20"/>
          <w:rtl/>
        </w:rPr>
        <w:t xml:space="preserve">. ובדעת </w:t>
      </w:r>
      <w:r w:rsidRPr="00187A18">
        <w:rPr>
          <w:rFonts w:hint="cs"/>
          <w:b/>
          <w:bCs/>
          <w:sz w:val="20"/>
          <w:szCs w:val="20"/>
          <w:rtl/>
        </w:rPr>
        <w:t>המחבר</w:t>
      </w:r>
      <w:r w:rsidRPr="00187A18">
        <w:rPr>
          <w:rFonts w:hint="cs"/>
          <w:sz w:val="20"/>
          <w:szCs w:val="20"/>
          <w:rtl/>
        </w:rPr>
        <w:t xml:space="preserve"> </w:t>
      </w:r>
      <w:r w:rsidRPr="00187A18">
        <w:rPr>
          <w:sz w:val="20"/>
          <w:szCs w:val="20"/>
          <w:rtl/>
        </w:rPr>
        <w:t>–</w:t>
      </w:r>
      <w:r w:rsidRPr="00187A18">
        <w:rPr>
          <w:rFonts w:hint="cs"/>
          <w:sz w:val="20"/>
          <w:szCs w:val="20"/>
          <w:rtl/>
        </w:rPr>
        <w:t xml:space="preserve"> אינה נגררת אחר הקהל שהתפללו מבעו"י </w:t>
      </w:r>
      <w:r w:rsidRPr="00187A18">
        <w:rPr>
          <w:rFonts w:hint="cs"/>
          <w:sz w:val="18"/>
          <w:szCs w:val="18"/>
          <w:rtl/>
        </w:rPr>
        <w:t>(קולא)</w:t>
      </w:r>
      <w:r w:rsidRPr="00187A18">
        <w:rPr>
          <w:rFonts w:hint="cs"/>
          <w:sz w:val="20"/>
          <w:szCs w:val="20"/>
          <w:rtl/>
        </w:rPr>
        <w:t xml:space="preserve">, אך אם היא עצמה התפללה ערבית, דינו כלילה </w:t>
      </w:r>
      <w:r w:rsidRPr="00187A18">
        <w:rPr>
          <w:rFonts w:hint="cs"/>
          <w:sz w:val="18"/>
          <w:szCs w:val="18"/>
          <w:rtl/>
        </w:rPr>
        <w:t>(חומרה)</w:t>
      </w:r>
      <w:r w:rsidRPr="00187A18">
        <w:rPr>
          <w:rFonts w:hint="cs"/>
          <w:sz w:val="20"/>
          <w:szCs w:val="20"/>
          <w:rtl/>
        </w:rPr>
        <w:t xml:space="preserve">. </w:t>
      </w:r>
      <w:r w:rsidRPr="00187A18">
        <w:rPr>
          <w:rFonts w:hint="cs"/>
          <w:b/>
          <w:bCs/>
          <w:sz w:val="20"/>
          <w:szCs w:val="20"/>
          <w:rtl/>
        </w:rPr>
        <w:t>ש"ך</w:t>
      </w:r>
      <w:r w:rsidRPr="00187A18">
        <w:rPr>
          <w:rFonts w:hint="cs"/>
          <w:sz w:val="20"/>
          <w:szCs w:val="20"/>
          <w:rtl/>
        </w:rPr>
        <w:t>. גם למנהג המחבר יכולה להקל אפילו כשהיא עצמה התפללה ערבית.</w:t>
      </w:r>
      <w:r w:rsidRPr="00187A18">
        <w:rPr>
          <w:rFonts w:hint="cs"/>
          <w:sz w:val="20"/>
          <w:szCs w:val="20"/>
          <w:rtl/>
        </w:rPr>
        <w:br/>
        <w:t xml:space="preserve">9. </w:t>
      </w:r>
      <w:r w:rsidRPr="00187A18">
        <w:rPr>
          <w:rFonts w:hint="cs"/>
          <w:b/>
          <w:bCs/>
          <w:sz w:val="20"/>
          <w:szCs w:val="20"/>
          <w:rtl/>
        </w:rPr>
        <w:t>של"ה</w:t>
      </w:r>
      <w:r w:rsidRPr="00187A18">
        <w:rPr>
          <w:rFonts w:hint="cs"/>
          <w:sz w:val="20"/>
          <w:szCs w:val="20"/>
          <w:rtl/>
        </w:rPr>
        <w:t xml:space="preserve">. אם ע"י חומרת הרמ"א תטבול בליל שבת שהוא מוצאי יו"ט, תנהג כמחבר אם לא שימשה לילה לפני ראייתה. </w:t>
      </w:r>
      <w:r w:rsidRPr="00187A18">
        <w:rPr>
          <w:rFonts w:hint="cs"/>
          <w:b/>
          <w:bCs/>
          <w:sz w:val="20"/>
          <w:szCs w:val="20"/>
          <w:rtl/>
        </w:rPr>
        <w:t>טעם</w:t>
      </w:r>
      <w:r w:rsidRPr="00187A18">
        <w:rPr>
          <w:rFonts w:hint="cs"/>
          <w:sz w:val="20"/>
          <w:szCs w:val="20"/>
          <w:rtl/>
        </w:rPr>
        <w:t xml:space="preserve">. כדי לא להרחיק חפיפה מטבילה. </w:t>
      </w:r>
      <w:r w:rsidRPr="00187A18">
        <w:rPr>
          <w:rFonts w:hint="cs"/>
          <w:b/>
          <w:bCs/>
          <w:sz w:val="20"/>
          <w:szCs w:val="20"/>
          <w:rtl/>
        </w:rPr>
        <w:t>סד"ט</w:t>
      </w:r>
      <w:r w:rsidRPr="00187A18">
        <w:rPr>
          <w:rFonts w:hint="cs"/>
          <w:sz w:val="20"/>
          <w:szCs w:val="20"/>
          <w:rtl/>
        </w:rPr>
        <w:t>. אפילו אם שימשה יש להקל כמחבר.</w:t>
      </w:r>
      <w:r w:rsidRPr="00187A18">
        <w:rPr>
          <w:rFonts w:hint="cs"/>
          <w:sz w:val="20"/>
          <w:szCs w:val="20"/>
          <w:rtl/>
        </w:rPr>
        <w:br/>
        <w:t xml:space="preserve">10. המשך חומרות אשכנז. </w:t>
      </w:r>
      <w:r w:rsidRPr="00187A18">
        <w:rPr>
          <w:rFonts w:hint="cs"/>
          <w:b/>
          <w:bCs/>
          <w:sz w:val="20"/>
          <w:szCs w:val="20"/>
          <w:rtl/>
        </w:rPr>
        <w:t>או"ז</w:t>
      </w:r>
      <w:r w:rsidRPr="00187A18">
        <w:rPr>
          <w:rFonts w:hint="cs"/>
          <w:sz w:val="20"/>
          <w:szCs w:val="20"/>
          <w:rtl/>
        </w:rPr>
        <w:t xml:space="preserve">. אפילו אם לא שימשה לפי ראייתה, יש להחמיר כאילו שימשה. </w:t>
      </w:r>
      <w:r w:rsidRPr="00187A18">
        <w:rPr>
          <w:rFonts w:hint="cs"/>
          <w:b/>
          <w:bCs/>
          <w:sz w:val="20"/>
          <w:szCs w:val="20"/>
          <w:rtl/>
        </w:rPr>
        <w:t>ת"ה</w:t>
      </w:r>
      <w:r w:rsidRPr="00187A18">
        <w:rPr>
          <w:rFonts w:hint="cs"/>
          <w:sz w:val="20"/>
          <w:szCs w:val="20"/>
          <w:rtl/>
        </w:rPr>
        <w:t xml:space="preserve">. אפילו את המתנת היום הנוסף יש להחמיר למרות שלא שימשה, וכ"פ </w:t>
      </w:r>
      <w:r w:rsidRPr="00187A18">
        <w:rPr>
          <w:rFonts w:hint="cs"/>
          <w:b/>
          <w:bCs/>
          <w:sz w:val="20"/>
          <w:szCs w:val="20"/>
          <w:rtl/>
        </w:rPr>
        <w:t>הרמ"א</w:t>
      </w:r>
      <w:r w:rsidRPr="00187A18">
        <w:rPr>
          <w:rFonts w:hint="cs"/>
          <w:sz w:val="20"/>
          <w:szCs w:val="20"/>
          <w:rtl/>
        </w:rPr>
        <w:t xml:space="preserve">. </w:t>
      </w:r>
      <w:r w:rsidRPr="00187A18">
        <w:rPr>
          <w:rFonts w:hint="cs"/>
          <w:b/>
          <w:bCs/>
          <w:sz w:val="20"/>
          <w:szCs w:val="20"/>
          <w:rtl/>
        </w:rPr>
        <w:t>טעם</w:t>
      </w:r>
      <w:r w:rsidRPr="00187A18">
        <w:rPr>
          <w:rFonts w:hint="cs"/>
          <w:sz w:val="20"/>
          <w:szCs w:val="20"/>
          <w:rtl/>
        </w:rPr>
        <w:t xml:space="preserve">. לא פלוג. </w:t>
      </w:r>
      <w:r w:rsidRPr="00187A18">
        <w:rPr>
          <w:rFonts w:hint="cs"/>
          <w:b/>
          <w:bCs/>
          <w:sz w:val="20"/>
          <w:szCs w:val="20"/>
          <w:rtl/>
        </w:rPr>
        <w:t>בית יוסף</w:t>
      </w:r>
      <w:r w:rsidRPr="00187A18">
        <w:rPr>
          <w:rFonts w:hint="cs"/>
          <w:sz w:val="20"/>
          <w:szCs w:val="20"/>
          <w:rtl/>
        </w:rPr>
        <w:t>. אין להחמיר בשתי החומרות האלו.</w:t>
      </w:r>
      <w:r w:rsidRPr="00187A18">
        <w:rPr>
          <w:rFonts w:hint="cs"/>
          <w:sz w:val="20"/>
          <w:szCs w:val="20"/>
          <w:rtl/>
        </w:rPr>
        <w:br/>
        <w:t xml:space="preserve">11. אין בעלה בעיר, האם יכולה למנות מייד ז"נ? </w:t>
      </w:r>
      <w:r w:rsidRPr="00187A18">
        <w:rPr>
          <w:rFonts w:hint="cs"/>
          <w:b/>
          <w:bCs/>
          <w:sz w:val="20"/>
          <w:szCs w:val="20"/>
          <w:rtl/>
        </w:rPr>
        <w:t>ב"ח</w:t>
      </w:r>
      <w:r w:rsidRPr="00187A18">
        <w:rPr>
          <w:rFonts w:hint="cs"/>
          <w:sz w:val="20"/>
          <w:szCs w:val="20"/>
          <w:rtl/>
        </w:rPr>
        <w:t xml:space="preserve">. כן. </w:t>
      </w:r>
      <w:r w:rsidRPr="00187A18">
        <w:rPr>
          <w:rFonts w:hint="cs"/>
          <w:b/>
          <w:bCs/>
          <w:sz w:val="20"/>
          <w:szCs w:val="20"/>
          <w:rtl/>
        </w:rPr>
        <w:t>ט"ז וש"ך</w:t>
      </w:r>
      <w:r w:rsidRPr="00187A18">
        <w:rPr>
          <w:rFonts w:hint="cs"/>
          <w:sz w:val="20"/>
          <w:szCs w:val="20"/>
          <w:rtl/>
        </w:rPr>
        <w:t xml:space="preserve">. לא. </w:t>
      </w:r>
      <w:r w:rsidRPr="00187A18">
        <w:rPr>
          <w:rFonts w:hint="cs"/>
          <w:sz w:val="20"/>
          <w:szCs w:val="20"/>
          <w:rtl/>
        </w:rPr>
        <w:br/>
        <w:t xml:space="preserve">12. לא שימשה ומצאה כתם. </w:t>
      </w:r>
      <w:r w:rsidRPr="00187A18">
        <w:rPr>
          <w:rFonts w:hint="cs"/>
          <w:b/>
          <w:bCs/>
          <w:sz w:val="20"/>
          <w:szCs w:val="20"/>
          <w:rtl/>
        </w:rPr>
        <w:t>ש"ך</w:t>
      </w:r>
      <w:r w:rsidRPr="00187A18">
        <w:rPr>
          <w:rFonts w:hint="cs"/>
          <w:sz w:val="20"/>
          <w:szCs w:val="20"/>
          <w:rtl/>
        </w:rPr>
        <w:t xml:space="preserve">. נראה להקל למנות מייד. </w:t>
      </w:r>
      <w:r w:rsidRPr="00187A18">
        <w:rPr>
          <w:rFonts w:hint="cs"/>
          <w:b/>
          <w:bCs/>
          <w:sz w:val="20"/>
          <w:szCs w:val="20"/>
          <w:rtl/>
        </w:rPr>
        <w:t>לבוש</w:t>
      </w:r>
      <w:r w:rsidRPr="00187A18">
        <w:rPr>
          <w:rFonts w:hint="cs"/>
          <w:sz w:val="20"/>
          <w:szCs w:val="20"/>
          <w:rtl/>
        </w:rPr>
        <w:t xml:space="preserve">. יש להחמיר, וכ"פ </w:t>
      </w:r>
      <w:r w:rsidRPr="00187A18">
        <w:rPr>
          <w:rFonts w:hint="cs"/>
          <w:b/>
          <w:bCs/>
          <w:sz w:val="20"/>
          <w:szCs w:val="20"/>
          <w:rtl/>
        </w:rPr>
        <w:t>הש"ך</w:t>
      </w:r>
      <w:r w:rsidRPr="00187A18">
        <w:rPr>
          <w:rFonts w:hint="cs"/>
          <w:sz w:val="20"/>
          <w:szCs w:val="20"/>
          <w:rtl/>
        </w:rPr>
        <w:t xml:space="preserve">. </w:t>
      </w:r>
      <w:r w:rsidRPr="00187A18">
        <w:rPr>
          <w:rFonts w:hint="cs"/>
          <w:b/>
          <w:bCs/>
          <w:sz w:val="20"/>
          <w:szCs w:val="20"/>
          <w:rtl/>
        </w:rPr>
        <w:t>חת"ס</w:t>
      </w:r>
      <w:r w:rsidRPr="00187A18">
        <w:rPr>
          <w:rFonts w:hint="cs"/>
          <w:sz w:val="20"/>
          <w:szCs w:val="20"/>
          <w:rtl/>
        </w:rPr>
        <w:t>. בדיעבד שספרה ז"נ יש להקל אפילו אם שימשה. אמנם, אם מצאה את הכתם ע"י בדיקת עד אין להקל.</w:t>
      </w:r>
      <w:r w:rsidRPr="00187A18">
        <w:rPr>
          <w:sz w:val="20"/>
          <w:szCs w:val="20"/>
          <w:rtl/>
        </w:rPr>
        <w:br/>
      </w:r>
      <w:r w:rsidRPr="00187A18">
        <w:rPr>
          <w:rFonts w:hint="cs"/>
          <w:sz w:val="20"/>
          <w:szCs w:val="20"/>
          <w:rtl/>
        </w:rPr>
        <w:t xml:space="preserve">13. </w:t>
      </w:r>
      <w:r w:rsidRPr="00187A18">
        <w:rPr>
          <w:rFonts w:hint="cs"/>
          <w:b/>
          <w:bCs/>
          <w:sz w:val="20"/>
          <w:szCs w:val="20"/>
          <w:rtl/>
        </w:rPr>
        <w:t>ש"ך</w:t>
      </w:r>
      <w:r w:rsidRPr="00187A18">
        <w:rPr>
          <w:rFonts w:hint="cs"/>
          <w:sz w:val="20"/>
          <w:szCs w:val="20"/>
          <w:rtl/>
        </w:rPr>
        <w:t xml:space="preserve">. גם בכלה לפני נישואיה יש להחמיר למנות ז"נ רק לאחר חמישה ימים. </w:t>
      </w:r>
      <w:r w:rsidRPr="00187A18">
        <w:rPr>
          <w:rFonts w:hint="cs"/>
          <w:b/>
          <w:bCs/>
          <w:sz w:val="20"/>
          <w:szCs w:val="20"/>
          <w:rtl/>
        </w:rPr>
        <w:t>טה"ב</w:t>
      </w:r>
      <w:r w:rsidRPr="00187A18">
        <w:rPr>
          <w:rFonts w:hint="cs"/>
          <w:sz w:val="20"/>
          <w:szCs w:val="20"/>
          <w:rtl/>
        </w:rPr>
        <w:t xml:space="preserve">. אין המנהג כך. </w:t>
      </w:r>
      <w:r w:rsidRPr="00187A18">
        <w:rPr>
          <w:rFonts w:hint="cs"/>
          <w:b/>
          <w:bCs/>
          <w:sz w:val="20"/>
          <w:szCs w:val="20"/>
          <w:rtl/>
        </w:rPr>
        <w:t>ששבה"ל</w:t>
      </w:r>
      <w:r w:rsidRPr="00187A18">
        <w:rPr>
          <w:rFonts w:hint="cs"/>
          <w:sz w:val="20"/>
          <w:szCs w:val="20"/>
          <w:rtl/>
        </w:rPr>
        <w:t>. לכתחילה יש להחמיר כש"ך, אלא אם כן תיגרם מכך חופת נידה.</w:t>
      </w:r>
      <w:r w:rsidRPr="00187A18">
        <w:rPr>
          <w:sz w:val="20"/>
          <w:szCs w:val="20"/>
          <w:rtl/>
        </w:rPr>
        <w:br/>
      </w:r>
      <w:r w:rsidRPr="00187A18">
        <w:rPr>
          <w:rFonts w:hint="cs"/>
          <w:sz w:val="20"/>
          <w:szCs w:val="20"/>
          <w:rtl/>
        </w:rPr>
        <w:t xml:space="preserve">14. </w:t>
      </w:r>
      <w:r w:rsidRPr="00187A18">
        <w:rPr>
          <w:rFonts w:hint="cs"/>
          <w:b/>
          <w:bCs/>
          <w:sz w:val="20"/>
          <w:szCs w:val="20"/>
          <w:rtl/>
        </w:rPr>
        <w:t>ט"ז</w:t>
      </w:r>
      <w:r w:rsidRPr="00187A18">
        <w:rPr>
          <w:rFonts w:hint="cs"/>
          <w:sz w:val="20"/>
          <w:szCs w:val="20"/>
          <w:rtl/>
        </w:rPr>
        <w:t>. כלה שפירסה נידה לאחר החופה לפני שהתייחדה, מונה מייד ז"נ.</w:t>
      </w:r>
      <w:r w:rsidRPr="00187A18">
        <w:rPr>
          <w:rFonts w:hint="cs"/>
          <w:sz w:val="20"/>
          <w:szCs w:val="20"/>
          <w:rtl/>
        </w:rPr>
        <w:br/>
        <w:t xml:space="preserve">15. </w:t>
      </w:r>
      <w:r w:rsidRPr="00187A18">
        <w:rPr>
          <w:rFonts w:hint="cs"/>
          <w:b/>
          <w:bCs/>
          <w:sz w:val="20"/>
          <w:szCs w:val="20"/>
          <w:rtl/>
        </w:rPr>
        <w:t>פת"ש</w:t>
      </w:r>
      <w:r w:rsidRPr="00187A18">
        <w:rPr>
          <w:rFonts w:hint="cs"/>
          <w:sz w:val="20"/>
          <w:szCs w:val="20"/>
          <w:rtl/>
        </w:rPr>
        <w:t xml:space="preserve">. ע"פ </w:t>
      </w:r>
      <w:r w:rsidRPr="00187A18">
        <w:rPr>
          <w:rFonts w:hint="cs"/>
          <w:b/>
          <w:bCs/>
          <w:sz w:val="20"/>
          <w:szCs w:val="20"/>
          <w:rtl/>
        </w:rPr>
        <w:t>הדגמ"ר</w:t>
      </w:r>
      <w:r w:rsidRPr="00187A18">
        <w:rPr>
          <w:rFonts w:hint="cs"/>
          <w:sz w:val="20"/>
          <w:szCs w:val="20"/>
          <w:rtl/>
        </w:rPr>
        <w:t xml:space="preserve"> יש להקל ביולדת שלא טבלה תוך מלאת ולאחר מלאת ראתה דם, שמונה מייד ז"נ.</w:t>
      </w:r>
      <w:r w:rsidRPr="00187A18">
        <w:rPr>
          <w:sz w:val="20"/>
          <w:szCs w:val="20"/>
          <w:rtl/>
        </w:rPr>
        <w:br/>
      </w:r>
      <w:r w:rsidRPr="00187A18">
        <w:rPr>
          <w:rFonts w:hint="cs"/>
          <w:sz w:val="20"/>
          <w:szCs w:val="20"/>
          <w:rtl/>
        </w:rPr>
        <w:t>וכל שכן שיש להקל בדם שראתה תוך מלאת, שהרי הוא טמא רק מחומרת הגאונים.</w:t>
      </w:r>
      <w:r w:rsidRPr="00187A18">
        <w:rPr>
          <w:sz w:val="20"/>
          <w:szCs w:val="20"/>
          <w:rtl/>
        </w:rPr>
        <w:br/>
      </w:r>
      <w:r w:rsidRPr="00187A18">
        <w:rPr>
          <w:rFonts w:hint="cs"/>
          <w:sz w:val="20"/>
          <w:szCs w:val="20"/>
          <w:rtl/>
        </w:rPr>
        <w:t xml:space="preserve">16. </w:t>
      </w:r>
      <w:r w:rsidRPr="00187A18">
        <w:rPr>
          <w:rFonts w:hint="cs"/>
          <w:b/>
          <w:bCs/>
          <w:sz w:val="20"/>
          <w:szCs w:val="20"/>
          <w:rtl/>
        </w:rPr>
        <w:t>חת"ס</w:t>
      </w:r>
      <w:r w:rsidRPr="00187A18">
        <w:rPr>
          <w:rFonts w:hint="cs"/>
          <w:sz w:val="20"/>
          <w:szCs w:val="20"/>
          <w:rtl/>
        </w:rPr>
        <w:t>. יולדת שראתה דם תוך מלאת וטבלה ושימשה וראתה, אין להקל כמחבר כפי שהקלו בדם בתולים.</w:t>
      </w:r>
      <w:r w:rsidRPr="00187A18">
        <w:rPr>
          <w:sz w:val="20"/>
          <w:szCs w:val="20"/>
          <w:rtl/>
        </w:rPr>
        <w:br/>
      </w:r>
      <w:r w:rsidRPr="00187A18">
        <w:rPr>
          <w:rFonts w:hint="cs"/>
          <w:sz w:val="20"/>
          <w:szCs w:val="20"/>
          <w:rtl/>
        </w:rPr>
        <w:t xml:space="preserve">17. ראתה דם לאחר טבילה לפני תשמיש. </w:t>
      </w:r>
      <w:r w:rsidRPr="006E5E02">
        <w:rPr>
          <w:rFonts w:hint="cs"/>
          <w:b/>
          <w:bCs/>
          <w:sz w:val="20"/>
          <w:szCs w:val="20"/>
          <w:rtl/>
        </w:rPr>
        <w:t>פנ"י</w:t>
      </w:r>
      <w:r>
        <w:rPr>
          <w:rFonts w:hint="cs"/>
          <w:sz w:val="20"/>
          <w:szCs w:val="20"/>
          <w:rtl/>
        </w:rPr>
        <w:t xml:space="preserve">, </w:t>
      </w:r>
      <w:r w:rsidRPr="006E5E02">
        <w:rPr>
          <w:rFonts w:hint="cs"/>
          <w:b/>
          <w:bCs/>
          <w:sz w:val="20"/>
          <w:szCs w:val="20"/>
          <w:rtl/>
        </w:rPr>
        <w:t>סד"ט ומע"צ</w:t>
      </w:r>
      <w:r>
        <w:rPr>
          <w:rFonts w:hint="cs"/>
          <w:sz w:val="20"/>
          <w:szCs w:val="20"/>
          <w:rtl/>
        </w:rPr>
        <w:t xml:space="preserve">. יש להקל למנות מייד ז"נ. </w:t>
      </w:r>
      <w:r w:rsidRPr="006E5E02">
        <w:rPr>
          <w:rFonts w:hint="cs"/>
          <w:b/>
          <w:bCs/>
          <w:sz w:val="20"/>
          <w:szCs w:val="20"/>
          <w:rtl/>
        </w:rPr>
        <w:t>נוב"י</w:t>
      </w:r>
      <w:r>
        <w:rPr>
          <w:rFonts w:hint="cs"/>
          <w:sz w:val="20"/>
          <w:szCs w:val="20"/>
          <w:rtl/>
        </w:rPr>
        <w:t>. אין להקל.</w:t>
      </w:r>
      <w:r>
        <w:rPr>
          <w:rFonts w:hint="cs"/>
          <w:sz w:val="20"/>
          <w:szCs w:val="20"/>
          <w:rtl/>
        </w:rPr>
        <w:br/>
        <w:t xml:space="preserve">18. </w:t>
      </w:r>
      <w:r w:rsidRPr="00366BC5">
        <w:rPr>
          <w:rFonts w:hint="cs"/>
          <w:b/>
          <w:bCs/>
          <w:sz w:val="20"/>
          <w:szCs w:val="20"/>
          <w:rtl/>
        </w:rPr>
        <w:t>טה"ב</w:t>
      </w:r>
      <w:r>
        <w:rPr>
          <w:rFonts w:hint="cs"/>
          <w:sz w:val="20"/>
          <w:szCs w:val="20"/>
          <w:rtl/>
        </w:rPr>
        <w:t>. אם ע"י הרחקת ז"נ מהראייה לא תוכל להרות, יש להקל ולא להחמיר כשלא שימשה אטו שימשה.</w:t>
      </w:r>
      <w:r>
        <w:rPr>
          <w:rFonts w:hint="cs"/>
          <w:sz w:val="20"/>
          <w:szCs w:val="20"/>
          <w:rtl/>
        </w:rPr>
        <w:br/>
        <w:t xml:space="preserve">19. </w:t>
      </w:r>
      <w:r w:rsidRPr="00366BC5">
        <w:rPr>
          <w:rFonts w:hint="cs"/>
          <w:b/>
          <w:bCs/>
          <w:sz w:val="20"/>
          <w:szCs w:val="20"/>
          <w:rtl/>
        </w:rPr>
        <w:t>טה"ב</w:t>
      </w:r>
      <w:r>
        <w:rPr>
          <w:rFonts w:hint="cs"/>
          <w:sz w:val="20"/>
          <w:szCs w:val="20"/>
          <w:rtl/>
        </w:rPr>
        <w:t>. אשה שנמנעה מתשמיש מחמת דם בתולים או כתם, יכולה למנות ז"נ מייד כשתפסיק לראות.</w:t>
      </w:r>
    </w:p>
    <w:p w:rsidR="00620060" w:rsidRDefault="00620060" w:rsidP="00620060">
      <w:pPr>
        <w:rPr>
          <w:sz w:val="20"/>
          <w:szCs w:val="20"/>
          <w:rtl/>
        </w:rPr>
      </w:pPr>
      <w:r>
        <w:rPr>
          <w:rFonts w:hint="cs"/>
          <w:b/>
          <w:bCs/>
          <w:sz w:val="20"/>
          <w:szCs w:val="20"/>
          <w:rtl/>
        </w:rPr>
        <w:t>הוספות</w:t>
      </w:r>
      <w:r>
        <w:rPr>
          <w:b/>
          <w:bCs/>
          <w:sz w:val="20"/>
          <w:szCs w:val="20"/>
          <w:rtl/>
        </w:rPr>
        <w:br/>
      </w:r>
      <w:r w:rsidRPr="004F2522">
        <w:rPr>
          <w:rFonts w:hint="cs"/>
          <w:sz w:val="20"/>
          <w:szCs w:val="20"/>
          <w:u w:val="single"/>
          <w:rtl/>
        </w:rPr>
        <w:t>אשה שטסה ומחמת כן חיסרה כמה שעות</w:t>
      </w:r>
      <w:r>
        <w:rPr>
          <w:rFonts w:hint="cs"/>
          <w:sz w:val="20"/>
          <w:szCs w:val="20"/>
          <w:u w:val="single"/>
          <w:rtl/>
        </w:rPr>
        <w:t xml:space="preserve"> (טה"ב, עמ' תכב)</w:t>
      </w:r>
      <w:r>
        <w:rPr>
          <w:sz w:val="20"/>
          <w:szCs w:val="20"/>
          <w:rtl/>
        </w:rPr>
        <w:br/>
      </w:r>
      <w:r>
        <w:rPr>
          <w:rFonts w:hint="cs"/>
          <w:sz w:val="20"/>
          <w:szCs w:val="20"/>
          <w:rtl/>
        </w:rPr>
        <w:t xml:space="preserve">המקרה </w:t>
      </w:r>
      <w:r>
        <w:rPr>
          <w:sz w:val="20"/>
          <w:szCs w:val="20"/>
          <w:rtl/>
        </w:rPr>
        <w:t>–</w:t>
      </w:r>
      <w:r>
        <w:rPr>
          <w:rFonts w:hint="cs"/>
          <w:sz w:val="20"/>
          <w:szCs w:val="20"/>
          <w:rtl/>
        </w:rPr>
        <w:t xml:space="preserve"> אשה ששימשה במוצ"ש וראתה למחרת וטסה ביום שני או שלישי ומחמת כן חסרות לה כמה שעות להשלמת שש עונות, האם לדעת המחבר יכולה להפסיק בטהרה ביום רביעי ולהתחיל ז"נ מיום חמישי?</w:t>
      </w:r>
      <w:r>
        <w:rPr>
          <w:rFonts w:hint="cs"/>
          <w:sz w:val="20"/>
          <w:szCs w:val="20"/>
          <w:rtl/>
        </w:rPr>
        <w:br/>
        <w:t xml:space="preserve">א. </w:t>
      </w:r>
      <w:r w:rsidRPr="004F2522">
        <w:rPr>
          <w:rFonts w:hint="cs"/>
          <w:b/>
          <w:bCs/>
          <w:sz w:val="20"/>
          <w:szCs w:val="20"/>
          <w:rtl/>
        </w:rPr>
        <w:t>שבה"ל</w:t>
      </w:r>
      <w:r>
        <w:rPr>
          <w:rFonts w:hint="cs"/>
          <w:sz w:val="20"/>
          <w:szCs w:val="20"/>
          <w:rtl/>
        </w:rPr>
        <w:t xml:space="preserve"> </w:t>
      </w:r>
      <w:r>
        <w:rPr>
          <w:sz w:val="20"/>
          <w:szCs w:val="20"/>
          <w:rtl/>
        </w:rPr>
        <w:t>–</w:t>
      </w:r>
      <w:r>
        <w:rPr>
          <w:rFonts w:hint="cs"/>
          <w:sz w:val="20"/>
          <w:szCs w:val="20"/>
          <w:rtl/>
        </w:rPr>
        <w:t xml:space="preserve"> צריכה להשלים את השעות שחיסרה, ולכן יכולה למנות ז"נ רק מיום שישי.</w:t>
      </w:r>
      <w:r>
        <w:rPr>
          <w:sz w:val="20"/>
          <w:szCs w:val="20"/>
          <w:rtl/>
        </w:rPr>
        <w:br/>
      </w:r>
      <w:r>
        <w:rPr>
          <w:rFonts w:hint="cs"/>
          <w:sz w:val="20"/>
          <w:szCs w:val="20"/>
          <w:rtl/>
        </w:rPr>
        <w:t xml:space="preserve">ב. </w:t>
      </w:r>
      <w:r w:rsidRPr="004F2522">
        <w:rPr>
          <w:rFonts w:hint="cs"/>
          <w:b/>
          <w:bCs/>
          <w:sz w:val="20"/>
          <w:szCs w:val="20"/>
          <w:rtl/>
        </w:rPr>
        <w:t>טה"ב</w:t>
      </w:r>
      <w:r>
        <w:rPr>
          <w:rFonts w:hint="cs"/>
          <w:sz w:val="20"/>
          <w:szCs w:val="20"/>
          <w:rtl/>
        </w:rPr>
        <w:t xml:space="preserve"> </w:t>
      </w:r>
      <w:r>
        <w:rPr>
          <w:sz w:val="20"/>
          <w:szCs w:val="20"/>
          <w:rtl/>
        </w:rPr>
        <w:t>–</w:t>
      </w:r>
      <w:r>
        <w:rPr>
          <w:rFonts w:hint="cs"/>
          <w:sz w:val="20"/>
          <w:szCs w:val="20"/>
          <w:rtl/>
        </w:rPr>
        <w:t xml:space="preserve"> אינה צריכה להשלים את השעות שחיסרה, וכיוון שעבור עליה שש עונות מעת ששימשה די בכך.</w:t>
      </w:r>
    </w:p>
    <w:p w:rsidR="00620060" w:rsidRPr="0040502D" w:rsidRDefault="00620060" w:rsidP="00620060">
      <w:pPr>
        <w:rPr>
          <w:sz w:val="20"/>
          <w:szCs w:val="20"/>
          <w:rtl/>
        </w:rPr>
      </w:pPr>
      <w:r>
        <w:rPr>
          <w:rFonts w:hint="cs"/>
          <w:sz w:val="20"/>
          <w:szCs w:val="20"/>
          <w:u w:val="single"/>
          <w:rtl/>
        </w:rPr>
        <w:t>ראתה דם בבין השמשות (טה"ב עמ' תכה)</w:t>
      </w:r>
      <w:r>
        <w:rPr>
          <w:rFonts w:hint="cs"/>
          <w:sz w:val="20"/>
          <w:szCs w:val="20"/>
          <w:u w:val="single"/>
          <w:rtl/>
        </w:rPr>
        <w:br/>
      </w:r>
      <w:r>
        <w:rPr>
          <w:rFonts w:hint="cs"/>
          <w:sz w:val="20"/>
          <w:szCs w:val="20"/>
          <w:rtl/>
        </w:rPr>
        <w:t xml:space="preserve">אשה הנוהגת כרמ"א, שראתה דם בביה"ש של יום ראשון, יכולה לעשות הפסק ביום ה' ולהתחיל ז"נ מיום ו' כאילו ודאי ראתה ביום א'. </w:t>
      </w:r>
      <w:r>
        <w:rPr>
          <w:rFonts w:hint="cs"/>
          <w:sz w:val="20"/>
          <w:szCs w:val="20"/>
          <w:rtl/>
        </w:rPr>
        <w:br/>
      </w:r>
      <w:r w:rsidRPr="005571E2">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אף בכה"ג יש לה שש עונות שלמות, ותוספת היום שכתב הרמ"א היא חומרה בלבד, וכאן שספק אם ראתה ביום א' או ביום ב' יש להקל. ועוד יש לצרף כאן את שיטת ר"ת, ולשיטתו ראתה ביום ראשון.</w:t>
      </w:r>
    </w:p>
    <w:p w:rsidR="00620060" w:rsidRPr="003A64E0" w:rsidRDefault="00620060" w:rsidP="00620060">
      <w:pPr>
        <w:rPr>
          <w:sz w:val="20"/>
          <w:szCs w:val="20"/>
          <w:rtl/>
        </w:rPr>
      </w:pPr>
      <w:r>
        <w:rPr>
          <w:rFonts w:hint="cs"/>
          <w:sz w:val="20"/>
          <w:szCs w:val="20"/>
          <w:u w:val="single"/>
          <w:rtl/>
        </w:rPr>
        <w:lastRenderedPageBreak/>
        <w:t>אשה שטעתה וטבלה ללא שהות שש עונות מראייה לספירה (טה"ב עמ' תכט)</w:t>
      </w:r>
      <w:r>
        <w:rPr>
          <w:rFonts w:hint="cs"/>
          <w:sz w:val="20"/>
          <w:szCs w:val="20"/>
          <w:u w:val="single"/>
          <w:rtl/>
        </w:rPr>
        <w:br/>
      </w:r>
      <w:r w:rsidRPr="00956806">
        <w:rPr>
          <w:rFonts w:hint="cs"/>
          <w:b/>
          <w:bCs/>
          <w:sz w:val="20"/>
          <w:szCs w:val="20"/>
          <w:rtl/>
        </w:rPr>
        <w:t>סדרי טהרה</w:t>
      </w:r>
      <w:r>
        <w:rPr>
          <w:rFonts w:hint="cs"/>
          <w:sz w:val="20"/>
          <w:szCs w:val="20"/>
          <w:rtl/>
        </w:rPr>
        <w:t xml:space="preserve"> </w:t>
      </w:r>
      <w:r>
        <w:rPr>
          <w:sz w:val="20"/>
          <w:szCs w:val="20"/>
          <w:rtl/>
        </w:rPr>
        <w:t>–</w:t>
      </w:r>
      <w:r>
        <w:rPr>
          <w:rFonts w:hint="cs"/>
          <w:sz w:val="20"/>
          <w:szCs w:val="20"/>
          <w:rtl/>
        </w:rPr>
        <w:t xml:space="preserve"> אשה ששימשה עם בעלה וראתה דם במשך יומיים ופסקה, וביום השני עשתה הפסק טהרה וספרה ז"נ וטבלה ושימשה עם בעלה, טהורה, ואין להחמיר מחמת שלא המתינה שש עונות בין ראייה לספירה.</w:t>
      </w:r>
      <w:r>
        <w:rPr>
          <w:sz w:val="20"/>
          <w:szCs w:val="20"/>
          <w:rtl/>
        </w:rPr>
        <w:br/>
      </w:r>
      <w:r w:rsidRPr="004440E9">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יש לסמוך במקרה זה על שיטת הרמב"ם הסובר שדי בשלוש עונות. </w:t>
      </w:r>
      <w:r>
        <w:rPr>
          <w:sz w:val="20"/>
          <w:szCs w:val="20"/>
          <w:rtl/>
        </w:rPr>
        <w:br/>
      </w:r>
      <w:r>
        <w:rPr>
          <w:rFonts w:hint="cs"/>
          <w:sz w:val="20"/>
          <w:szCs w:val="20"/>
          <w:rtl/>
        </w:rPr>
        <w:t xml:space="preserve">עוד יש לצרף את שיטת הראב"ד והרשב"א שדין סתירת מחמת ש"ז נאמר רק לגבי טהרות אך לא לבעלה. </w:t>
      </w:r>
      <w:r>
        <w:rPr>
          <w:sz w:val="20"/>
          <w:szCs w:val="20"/>
          <w:rtl/>
        </w:rPr>
        <w:br/>
      </w:r>
      <w:r>
        <w:rPr>
          <w:rFonts w:hint="cs"/>
          <w:sz w:val="20"/>
          <w:szCs w:val="20"/>
          <w:rtl/>
        </w:rPr>
        <w:t>ועוד יש לצרף את שיטת הרמב"ן שהליכה מפליטה את הזרע, ואע"פ שהרא"ש חולק, בדיעבד יש להקל מחשש שמא התעברה ונמצאת מוציא לעז על בנה.</w:t>
      </w:r>
      <w:r>
        <w:rPr>
          <w:sz w:val="20"/>
          <w:szCs w:val="20"/>
          <w:rtl/>
        </w:rPr>
        <w:br/>
      </w:r>
      <w:r>
        <w:rPr>
          <w:rFonts w:hint="cs"/>
          <w:sz w:val="20"/>
          <w:szCs w:val="20"/>
          <w:rtl/>
        </w:rPr>
        <w:t>אמנם, לדינא חשש להקל,</w:t>
      </w:r>
      <w:r w:rsidRPr="008B441E">
        <w:rPr>
          <w:rFonts w:hint="cs"/>
          <w:sz w:val="20"/>
          <w:szCs w:val="20"/>
          <w:rtl/>
        </w:rPr>
        <w:t xml:space="preserve"> </w:t>
      </w:r>
      <w:r>
        <w:rPr>
          <w:rFonts w:hint="cs"/>
          <w:sz w:val="20"/>
          <w:szCs w:val="20"/>
          <w:rtl/>
        </w:rPr>
        <w:t>אך אם לא שימשה עם בעלה לפני כן וראתה כנ"ל, יש לסמוך להקל.</w:t>
      </w:r>
      <w:r>
        <w:rPr>
          <w:rFonts w:hint="cs"/>
          <w:sz w:val="20"/>
          <w:szCs w:val="20"/>
          <w:rtl/>
        </w:rPr>
        <w:br/>
      </w:r>
      <w:r w:rsidRPr="00422725">
        <w:rPr>
          <w:rFonts w:hint="cs"/>
          <w:b/>
          <w:bCs/>
          <w:sz w:val="20"/>
          <w:szCs w:val="20"/>
          <w:rtl/>
        </w:rPr>
        <w:t>טה"ב</w:t>
      </w:r>
      <w:r>
        <w:rPr>
          <w:rFonts w:hint="cs"/>
          <w:sz w:val="20"/>
          <w:szCs w:val="20"/>
          <w:rtl/>
        </w:rPr>
        <w:t xml:space="preserve"> </w:t>
      </w:r>
      <w:r>
        <w:rPr>
          <w:sz w:val="20"/>
          <w:szCs w:val="20"/>
          <w:rtl/>
        </w:rPr>
        <w:t>–</w:t>
      </w:r>
      <w:r>
        <w:rPr>
          <w:rFonts w:hint="cs"/>
          <w:sz w:val="20"/>
          <w:szCs w:val="20"/>
          <w:rtl/>
        </w:rPr>
        <w:t xml:space="preserve"> בכה"ג שלא שימשה עם בעלה לפני ראייתה, יש להקל אפילו אם רק לנה אצל בעלה ולא שימשה.</w:t>
      </w:r>
      <w:r>
        <w:rPr>
          <w:sz w:val="20"/>
          <w:szCs w:val="20"/>
          <w:rtl/>
        </w:rPr>
        <w:br/>
      </w:r>
      <w:r w:rsidRPr="00422725">
        <w:rPr>
          <w:rFonts w:hint="cs"/>
          <w:b/>
          <w:bCs/>
          <w:sz w:val="20"/>
          <w:szCs w:val="20"/>
          <w:rtl/>
        </w:rPr>
        <w:t xml:space="preserve">טעם </w:t>
      </w:r>
      <w:r>
        <w:rPr>
          <w:sz w:val="20"/>
          <w:szCs w:val="20"/>
          <w:rtl/>
        </w:rPr>
        <w:t>–</w:t>
      </w:r>
      <w:r>
        <w:rPr>
          <w:rFonts w:hint="cs"/>
          <w:sz w:val="20"/>
          <w:szCs w:val="20"/>
          <w:rtl/>
        </w:rPr>
        <w:t xml:space="preserve"> הנוהגים כמחבר מקלים כשלא שימשה ואינם מחמירים אטו שימשה, ואם כן אין לומר שהנוהגים כרמ"א יחמירו בדין זה אף לעניין דיעבד.</w:t>
      </w:r>
      <w:r>
        <w:rPr>
          <w:sz w:val="20"/>
          <w:szCs w:val="20"/>
          <w:rtl/>
        </w:rPr>
        <w:br/>
      </w:r>
      <w:r>
        <w:rPr>
          <w:sz w:val="20"/>
          <w:szCs w:val="20"/>
          <w:rtl/>
        </w:rPr>
        <w:br/>
      </w:r>
      <w:r>
        <w:rPr>
          <w:rFonts w:hint="cs"/>
          <w:sz w:val="20"/>
          <w:szCs w:val="20"/>
          <w:u w:val="single"/>
          <w:rtl/>
        </w:rPr>
        <w:t>האם הנוהגים כרמ"א יכולים להקל לעיתים כמחבר? (טה"ב עמ' תל)</w:t>
      </w:r>
      <w:r>
        <w:rPr>
          <w:rFonts w:hint="cs"/>
          <w:sz w:val="20"/>
          <w:szCs w:val="20"/>
          <w:u w:val="single"/>
          <w:rtl/>
        </w:rPr>
        <w:br/>
      </w:r>
      <w:r>
        <w:rPr>
          <w:rFonts w:hint="cs"/>
          <w:sz w:val="20"/>
          <w:szCs w:val="20"/>
          <w:rtl/>
        </w:rPr>
        <w:t>האם אשה הנוהגת כרמ"א להמתין חמישה ימים עד ספירת ז"נ, יכולה להקל כמחבר במקום צורך, כגון כאשר בעלה נחוץ לצאת לדרך ואם תמתין יום נוסף לא תוכל לשמש עמו?</w:t>
      </w:r>
      <w:r>
        <w:rPr>
          <w:rFonts w:hint="cs"/>
          <w:sz w:val="20"/>
          <w:szCs w:val="20"/>
          <w:rtl/>
        </w:rPr>
        <w:br/>
        <w:t xml:space="preserve">א. </w:t>
      </w:r>
      <w:r w:rsidRPr="003A64E0">
        <w:rPr>
          <w:rFonts w:hint="cs"/>
          <w:b/>
          <w:bCs/>
          <w:sz w:val="20"/>
          <w:szCs w:val="20"/>
          <w:rtl/>
        </w:rPr>
        <w:t>מראה יחזקאל</w:t>
      </w:r>
      <w:r>
        <w:rPr>
          <w:rFonts w:hint="cs"/>
          <w:sz w:val="20"/>
          <w:szCs w:val="20"/>
          <w:rtl/>
        </w:rPr>
        <w:t xml:space="preserve"> </w:t>
      </w:r>
      <w:r>
        <w:rPr>
          <w:sz w:val="20"/>
          <w:szCs w:val="20"/>
          <w:rtl/>
        </w:rPr>
        <w:t>–</w:t>
      </w:r>
      <w:r>
        <w:rPr>
          <w:rFonts w:hint="cs"/>
          <w:sz w:val="20"/>
          <w:szCs w:val="20"/>
          <w:rtl/>
        </w:rPr>
        <w:t xml:space="preserve"> לא.</w:t>
      </w:r>
      <w:r>
        <w:rPr>
          <w:sz w:val="20"/>
          <w:szCs w:val="20"/>
          <w:rtl/>
        </w:rPr>
        <w:br/>
      </w:r>
      <w:r w:rsidRPr="003A64E0">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כל אחד יבוא להקל מחמת שיצרו תוקפו ונמצא שדברי חז"ל ייעשו חוכא ואיטלולא.</w:t>
      </w:r>
      <w:r>
        <w:rPr>
          <w:rFonts w:hint="cs"/>
          <w:sz w:val="20"/>
          <w:szCs w:val="20"/>
          <w:rtl/>
        </w:rPr>
        <w:br/>
        <w:t xml:space="preserve">ב. </w:t>
      </w:r>
      <w:r w:rsidRPr="003A64E0">
        <w:rPr>
          <w:rFonts w:hint="cs"/>
          <w:b/>
          <w:bCs/>
          <w:sz w:val="20"/>
          <w:szCs w:val="20"/>
          <w:rtl/>
        </w:rPr>
        <w:t>ערוך השולחן וטה"ב</w:t>
      </w:r>
      <w:r>
        <w:rPr>
          <w:rFonts w:hint="cs"/>
          <w:sz w:val="20"/>
          <w:szCs w:val="20"/>
          <w:rtl/>
        </w:rPr>
        <w:t xml:space="preserve"> </w:t>
      </w:r>
      <w:r>
        <w:rPr>
          <w:sz w:val="20"/>
          <w:szCs w:val="20"/>
          <w:rtl/>
        </w:rPr>
        <w:t>–</w:t>
      </w:r>
      <w:r>
        <w:rPr>
          <w:rFonts w:hint="cs"/>
          <w:sz w:val="20"/>
          <w:szCs w:val="20"/>
          <w:rtl/>
        </w:rPr>
        <w:t xml:space="preserve"> כן, ובלבד שאכן יש בדבר צורך גדול.</w:t>
      </w:r>
      <w:r>
        <w:rPr>
          <w:sz w:val="20"/>
          <w:szCs w:val="20"/>
          <w:rtl/>
        </w:rPr>
        <w:br/>
      </w:r>
      <w:r w:rsidRPr="003A64E0">
        <w:rPr>
          <w:rFonts w:hint="cs"/>
          <w:b/>
          <w:bCs/>
          <w:sz w:val="20"/>
          <w:szCs w:val="20"/>
          <w:rtl/>
        </w:rPr>
        <w:t xml:space="preserve">טעם </w:t>
      </w:r>
      <w:r>
        <w:rPr>
          <w:sz w:val="20"/>
          <w:szCs w:val="20"/>
          <w:rtl/>
        </w:rPr>
        <w:t>–</w:t>
      </w:r>
      <w:r>
        <w:rPr>
          <w:rFonts w:hint="cs"/>
          <w:sz w:val="20"/>
          <w:szCs w:val="20"/>
          <w:rtl/>
        </w:rPr>
        <w:t xml:space="preserve"> דינים אלו הם חומרות יתרות, ולכן במקום צורך יש להקל.</w:t>
      </w:r>
    </w:p>
    <w:p w:rsidR="00620060" w:rsidRDefault="00620060" w:rsidP="00620060">
      <w:pPr>
        <w:rPr>
          <w:sz w:val="20"/>
          <w:szCs w:val="20"/>
          <w:rtl/>
        </w:rPr>
      </w:pPr>
      <w:r>
        <w:rPr>
          <w:rFonts w:hint="cs"/>
          <w:sz w:val="20"/>
          <w:szCs w:val="20"/>
          <w:u w:val="single"/>
          <w:rtl/>
        </w:rPr>
        <w:t>הנוהגים כרמ"א שהיו אסורים מחמת אבלות (טה"ב עמ' תמג)</w:t>
      </w:r>
      <w:r>
        <w:rPr>
          <w:rStyle w:val="a5"/>
          <w:sz w:val="20"/>
          <w:szCs w:val="20"/>
          <w:u w:val="single"/>
          <w:rtl/>
        </w:rPr>
        <w:footnoteReference w:id="547"/>
      </w:r>
      <w:r>
        <w:rPr>
          <w:rFonts w:hint="cs"/>
          <w:sz w:val="20"/>
          <w:szCs w:val="20"/>
          <w:u w:val="single"/>
          <w:rtl/>
        </w:rPr>
        <w:br/>
      </w:r>
      <w:r>
        <w:rPr>
          <w:rFonts w:hint="cs"/>
          <w:sz w:val="20"/>
          <w:szCs w:val="20"/>
          <w:rtl/>
        </w:rPr>
        <w:t xml:space="preserve">המקרה </w:t>
      </w:r>
      <w:r>
        <w:rPr>
          <w:sz w:val="20"/>
          <w:szCs w:val="20"/>
          <w:rtl/>
        </w:rPr>
        <w:t>–</w:t>
      </w:r>
      <w:r>
        <w:rPr>
          <w:rFonts w:hint="cs"/>
          <w:sz w:val="20"/>
          <w:szCs w:val="20"/>
          <w:rtl/>
        </w:rPr>
        <w:t xml:space="preserve"> אשה שנאסרה על בעלה מחמת אבלות וראתה דם, האם יכולה למנות ז"נ מייד כשפסקה לראות?</w:t>
      </w:r>
      <w:r>
        <w:rPr>
          <w:rFonts w:hint="cs"/>
          <w:sz w:val="20"/>
          <w:szCs w:val="20"/>
          <w:rtl/>
        </w:rPr>
        <w:br/>
        <w:t>לדעת הבית יוסף בוודאי שכן, משום שאין גוזרים כשלא שימשה אטו שימשה, אך בדעת הרמ"א יש לעיין.</w:t>
      </w:r>
      <w:r>
        <w:rPr>
          <w:rFonts w:hint="cs"/>
          <w:sz w:val="20"/>
          <w:szCs w:val="20"/>
          <w:rtl/>
        </w:rPr>
        <w:br/>
        <w:t xml:space="preserve">א. </w:t>
      </w:r>
      <w:r w:rsidRPr="00BD2F65">
        <w:rPr>
          <w:rFonts w:hint="cs"/>
          <w:b/>
          <w:bCs/>
          <w:sz w:val="20"/>
          <w:szCs w:val="20"/>
          <w:rtl/>
        </w:rPr>
        <w:t>תוספות ירושלים</w:t>
      </w:r>
      <w:r>
        <w:rPr>
          <w:rFonts w:hint="cs"/>
          <w:sz w:val="20"/>
          <w:szCs w:val="20"/>
          <w:rtl/>
        </w:rPr>
        <w:t xml:space="preserve"> </w:t>
      </w:r>
      <w:r>
        <w:rPr>
          <w:sz w:val="20"/>
          <w:szCs w:val="20"/>
          <w:rtl/>
        </w:rPr>
        <w:t>–</w:t>
      </w:r>
      <w:r>
        <w:rPr>
          <w:rFonts w:hint="cs"/>
          <w:sz w:val="20"/>
          <w:szCs w:val="20"/>
          <w:rtl/>
        </w:rPr>
        <w:t xml:space="preserve"> ספק.</w:t>
      </w:r>
      <w:r>
        <w:rPr>
          <w:sz w:val="20"/>
          <w:szCs w:val="20"/>
          <w:rtl/>
        </w:rPr>
        <w:br/>
      </w:r>
      <w:r>
        <w:rPr>
          <w:rFonts w:hint="cs"/>
          <w:sz w:val="20"/>
          <w:szCs w:val="20"/>
          <w:rtl/>
        </w:rPr>
        <w:t xml:space="preserve">ב. </w:t>
      </w:r>
      <w:r w:rsidRPr="00BD2F65">
        <w:rPr>
          <w:rFonts w:hint="cs"/>
          <w:b/>
          <w:bCs/>
          <w:sz w:val="20"/>
          <w:szCs w:val="20"/>
          <w:rtl/>
        </w:rPr>
        <w:t>לב אברהם</w:t>
      </w:r>
      <w:r>
        <w:rPr>
          <w:rFonts w:hint="cs"/>
          <w:sz w:val="20"/>
          <w:szCs w:val="20"/>
          <w:rtl/>
        </w:rPr>
        <w:t xml:space="preserve"> </w:t>
      </w:r>
      <w:r>
        <w:rPr>
          <w:sz w:val="20"/>
          <w:szCs w:val="20"/>
          <w:rtl/>
        </w:rPr>
        <w:t>–</w:t>
      </w:r>
      <w:r>
        <w:rPr>
          <w:rFonts w:hint="cs"/>
          <w:sz w:val="20"/>
          <w:szCs w:val="20"/>
          <w:rtl/>
        </w:rPr>
        <w:t xml:space="preserve"> יש להחמיר.</w:t>
      </w:r>
      <w:r>
        <w:rPr>
          <w:rFonts w:hint="cs"/>
          <w:sz w:val="20"/>
          <w:szCs w:val="20"/>
          <w:rtl/>
        </w:rPr>
        <w:br/>
      </w:r>
      <w:r w:rsidRPr="00BD2F65">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המניעה מתשמיש היא מחמת דין צדדי שאינו שייך לאיסור נידה.</w:t>
      </w:r>
      <w:r>
        <w:rPr>
          <w:sz w:val="20"/>
          <w:szCs w:val="20"/>
          <w:rtl/>
        </w:rPr>
        <w:br/>
      </w:r>
      <w:r>
        <w:rPr>
          <w:rFonts w:hint="cs"/>
          <w:sz w:val="20"/>
          <w:szCs w:val="20"/>
          <w:rtl/>
        </w:rPr>
        <w:t xml:space="preserve">ג. </w:t>
      </w:r>
      <w:r w:rsidRPr="00BD2F65">
        <w:rPr>
          <w:rFonts w:hint="cs"/>
          <w:b/>
          <w:bCs/>
          <w:sz w:val="20"/>
          <w:szCs w:val="20"/>
          <w:rtl/>
        </w:rPr>
        <w:t>באר משה וחשב האפוד</w:t>
      </w:r>
      <w:r>
        <w:rPr>
          <w:rFonts w:hint="cs"/>
          <w:sz w:val="20"/>
          <w:szCs w:val="20"/>
          <w:rtl/>
        </w:rPr>
        <w:t xml:space="preserve"> </w:t>
      </w:r>
      <w:r>
        <w:rPr>
          <w:sz w:val="20"/>
          <w:szCs w:val="20"/>
          <w:rtl/>
        </w:rPr>
        <w:t>–</w:t>
      </w:r>
      <w:r>
        <w:rPr>
          <w:rFonts w:hint="cs"/>
          <w:sz w:val="20"/>
          <w:szCs w:val="20"/>
          <w:rtl/>
        </w:rPr>
        <w:t xml:space="preserve"> יש להקל, וכ"פ </w:t>
      </w:r>
      <w:r w:rsidRPr="00BD2F65">
        <w:rPr>
          <w:rFonts w:hint="cs"/>
          <w:b/>
          <w:bCs/>
          <w:sz w:val="20"/>
          <w:szCs w:val="20"/>
          <w:rtl/>
        </w:rPr>
        <w:t>טה"ב</w:t>
      </w:r>
      <w:r>
        <w:rPr>
          <w:rFonts w:hint="cs"/>
          <w:sz w:val="20"/>
          <w:szCs w:val="20"/>
          <w:rtl/>
        </w:rPr>
        <w:t>.</w:t>
      </w:r>
      <w:r>
        <w:rPr>
          <w:sz w:val="20"/>
          <w:szCs w:val="20"/>
          <w:rtl/>
        </w:rPr>
        <w:br/>
      </w:r>
      <w:r w:rsidRPr="00BD2F65">
        <w:rPr>
          <w:rFonts w:hint="cs"/>
          <w:b/>
          <w:bCs/>
          <w:sz w:val="20"/>
          <w:szCs w:val="20"/>
          <w:rtl/>
        </w:rPr>
        <w:t xml:space="preserve">טעם </w:t>
      </w:r>
      <w:r>
        <w:rPr>
          <w:sz w:val="20"/>
          <w:szCs w:val="20"/>
          <w:rtl/>
        </w:rPr>
        <w:t>–</w:t>
      </w:r>
      <w:r>
        <w:rPr>
          <w:rFonts w:hint="cs"/>
          <w:sz w:val="20"/>
          <w:szCs w:val="20"/>
          <w:rtl/>
        </w:rPr>
        <w:t xml:space="preserve"> הדין להחמיר כשלא שימשה אטו שימשה הוא חידוש, ואין לך בו אלא חידושו בלבד.</w:t>
      </w:r>
    </w:p>
    <w:p w:rsidR="00620060" w:rsidRPr="000F529E" w:rsidRDefault="00620060" w:rsidP="00620060">
      <w:pPr>
        <w:rPr>
          <w:sz w:val="20"/>
          <w:szCs w:val="20"/>
          <w:rtl/>
        </w:rPr>
      </w:pPr>
      <w:r>
        <w:rPr>
          <w:rFonts w:hint="cs"/>
          <w:sz w:val="20"/>
          <w:szCs w:val="20"/>
          <w:u w:val="single"/>
          <w:rtl/>
        </w:rPr>
        <w:t>המתנת ד' ימים למוצאת כתם לשיטת המחבר (טה"ב עמ' תמד)</w:t>
      </w:r>
      <w:r>
        <w:rPr>
          <w:rFonts w:hint="cs"/>
          <w:sz w:val="20"/>
          <w:szCs w:val="20"/>
          <w:u w:val="single"/>
          <w:rtl/>
        </w:rPr>
        <w:br/>
      </w:r>
      <w:r>
        <w:rPr>
          <w:rFonts w:hint="cs"/>
          <w:sz w:val="20"/>
          <w:szCs w:val="20"/>
          <w:rtl/>
        </w:rPr>
        <w:t>האם אשה שמוצאת כתם צריכה גם למנות שש עונות כדין רואה ממש?</w:t>
      </w:r>
      <w:r>
        <w:rPr>
          <w:sz w:val="20"/>
          <w:szCs w:val="20"/>
          <w:rtl/>
        </w:rPr>
        <w:br/>
      </w:r>
      <w:r w:rsidRPr="006C3C58">
        <w:rPr>
          <w:rFonts w:hint="cs"/>
          <w:b/>
          <w:bCs/>
          <w:sz w:val="20"/>
          <w:szCs w:val="20"/>
          <w:rtl/>
        </w:rPr>
        <w:t>טהרת הבית</w:t>
      </w:r>
      <w:r>
        <w:rPr>
          <w:rFonts w:hint="cs"/>
          <w:sz w:val="20"/>
          <w:szCs w:val="20"/>
          <w:rtl/>
        </w:rPr>
        <w:t xml:space="preserve"> </w:t>
      </w:r>
      <w:r>
        <w:rPr>
          <w:sz w:val="20"/>
          <w:szCs w:val="20"/>
          <w:rtl/>
        </w:rPr>
        <w:t>–</w:t>
      </w:r>
      <w:r>
        <w:rPr>
          <w:rFonts w:hint="cs"/>
          <w:sz w:val="20"/>
          <w:szCs w:val="20"/>
          <w:rtl/>
        </w:rPr>
        <w:t xml:space="preserve"> יש אומרים שאינה צריכה להמתין, כיוון שכתמים דרבנן, אך יש מחמירים. ולמעשה, הרוצה להקל יש לו על מי לסמוך.</w:t>
      </w:r>
      <w:r>
        <w:rPr>
          <w:rFonts w:hint="cs"/>
          <w:sz w:val="20"/>
          <w:szCs w:val="20"/>
          <w:rtl/>
        </w:rPr>
        <w:br/>
      </w:r>
      <w:r w:rsidRPr="006C3C58">
        <w:rPr>
          <w:rFonts w:hint="cs"/>
          <w:b/>
          <w:bCs/>
          <w:sz w:val="20"/>
          <w:szCs w:val="20"/>
          <w:rtl/>
        </w:rPr>
        <w:t>טעם</w:t>
      </w:r>
      <w:r>
        <w:rPr>
          <w:rFonts w:hint="cs"/>
          <w:sz w:val="20"/>
          <w:szCs w:val="20"/>
          <w:rtl/>
        </w:rPr>
        <w:t xml:space="preserve"> - יש לדייק מדברי הבית יוסף שאינה צריכה להמתין </w:t>
      </w:r>
      <w:r>
        <w:rPr>
          <w:sz w:val="20"/>
          <w:szCs w:val="20"/>
          <w:rtl/>
        </w:rPr>
        <w:t>–</w:t>
      </w:r>
      <w:r>
        <w:rPr>
          <w:rFonts w:hint="cs"/>
          <w:sz w:val="20"/>
          <w:szCs w:val="20"/>
          <w:rtl/>
        </w:rPr>
        <w:t xml:space="preserve"> נכתב לעיל שהרי"ף השמיט את דין פולטת ש"ז, והסביר הב"י שטעמו של הרי"ף משום שאין זה מצוי, הואיל ובדרך כלל נמשכת הראייה יותר משש עונות. </w:t>
      </w:r>
      <w:r>
        <w:rPr>
          <w:sz w:val="20"/>
          <w:szCs w:val="20"/>
          <w:rtl/>
        </w:rPr>
        <w:br/>
      </w:r>
      <w:r>
        <w:rPr>
          <w:rFonts w:hint="cs"/>
          <w:sz w:val="20"/>
          <w:szCs w:val="20"/>
          <w:rtl/>
        </w:rPr>
        <w:t>ברם, אם גם כשמוצאת כתם צריכה להמתין, הרי שדין זה מצוי בכתם! אלא על כורחך שבכתם לא החמירו.</w:t>
      </w:r>
      <w:r>
        <w:rPr>
          <w:sz w:val="20"/>
          <w:szCs w:val="20"/>
          <w:rtl/>
        </w:rPr>
        <w:br/>
      </w:r>
      <w:r>
        <w:rPr>
          <w:rFonts w:hint="cs"/>
          <w:sz w:val="20"/>
          <w:szCs w:val="20"/>
          <w:rtl/>
        </w:rPr>
        <w:t xml:space="preserve">ואמנם, אעפ"כ </w:t>
      </w:r>
      <w:r w:rsidRPr="004A61E0">
        <w:rPr>
          <w:rFonts w:hint="cs"/>
          <w:b/>
          <w:bCs/>
          <w:sz w:val="20"/>
          <w:szCs w:val="20"/>
          <w:rtl/>
        </w:rPr>
        <w:t>הב"י</w:t>
      </w:r>
      <w:r>
        <w:rPr>
          <w:rFonts w:hint="cs"/>
          <w:sz w:val="20"/>
          <w:szCs w:val="20"/>
          <w:rtl/>
        </w:rPr>
        <w:t xml:space="preserve"> הביא את דברי </w:t>
      </w:r>
      <w:r w:rsidRPr="004A61E0">
        <w:rPr>
          <w:rFonts w:hint="cs"/>
          <w:b/>
          <w:bCs/>
          <w:sz w:val="20"/>
          <w:szCs w:val="20"/>
          <w:rtl/>
        </w:rPr>
        <w:t>התרומה והסמ"ק</w:t>
      </w:r>
      <w:r>
        <w:rPr>
          <w:rFonts w:hint="cs"/>
          <w:sz w:val="20"/>
          <w:szCs w:val="20"/>
          <w:rtl/>
        </w:rPr>
        <w:t xml:space="preserve"> שהחמירו גם במוצאת כתם </w:t>
      </w:r>
      <w:r w:rsidRPr="004A61E0">
        <w:rPr>
          <w:rFonts w:hint="cs"/>
          <w:sz w:val="18"/>
          <w:szCs w:val="18"/>
          <w:rtl/>
        </w:rPr>
        <w:t xml:space="preserve">(וכפי שפסק </w:t>
      </w:r>
      <w:r w:rsidRPr="004A61E0">
        <w:rPr>
          <w:rFonts w:hint="cs"/>
          <w:b/>
          <w:bCs/>
          <w:sz w:val="18"/>
          <w:szCs w:val="18"/>
          <w:rtl/>
        </w:rPr>
        <w:t>הרמ"א</w:t>
      </w:r>
      <w:r w:rsidRPr="004A61E0">
        <w:rPr>
          <w:rFonts w:hint="cs"/>
          <w:sz w:val="18"/>
          <w:szCs w:val="18"/>
          <w:rtl/>
        </w:rPr>
        <w:t>)</w:t>
      </w:r>
      <w:r>
        <w:rPr>
          <w:rFonts w:hint="cs"/>
          <w:sz w:val="20"/>
          <w:szCs w:val="20"/>
          <w:rtl/>
        </w:rPr>
        <w:t>. אך יש לדחות זאת, כיוון שלמעשה השמיט זאת בשו"ע.</w:t>
      </w:r>
    </w:p>
    <w:p w:rsidR="00620060" w:rsidRPr="009E666C" w:rsidRDefault="00620060" w:rsidP="00620060">
      <w:pPr>
        <w:rPr>
          <w:sz w:val="20"/>
          <w:szCs w:val="20"/>
          <w:rtl/>
        </w:rPr>
      </w:pPr>
      <w:r>
        <w:rPr>
          <w:rFonts w:hint="cs"/>
          <w:sz w:val="20"/>
          <w:szCs w:val="20"/>
          <w:rtl/>
        </w:rPr>
        <w:br/>
      </w:r>
      <w:r>
        <w:rPr>
          <w:rFonts w:hint="cs"/>
          <w:b/>
          <w:bCs/>
          <w:sz w:val="20"/>
          <w:szCs w:val="20"/>
          <w:rtl/>
        </w:rPr>
        <w:t xml:space="preserve">סעיף יב </w:t>
      </w:r>
      <w:r>
        <w:rPr>
          <w:b/>
          <w:bCs/>
          <w:sz w:val="20"/>
          <w:szCs w:val="20"/>
          <w:rtl/>
        </w:rPr>
        <w:t>–</w:t>
      </w:r>
      <w:r>
        <w:rPr>
          <w:rFonts w:hint="cs"/>
          <w:b/>
          <w:bCs/>
          <w:sz w:val="20"/>
          <w:szCs w:val="20"/>
          <w:rtl/>
        </w:rPr>
        <w:t xml:space="preserve"> טעתה במניין הימים</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סמ"ק </w:t>
      </w:r>
      <w:r>
        <w:rPr>
          <w:sz w:val="20"/>
          <w:szCs w:val="20"/>
          <w:rtl/>
        </w:rPr>
        <w:t>–</w:t>
      </w:r>
      <w:r>
        <w:rPr>
          <w:rFonts w:hint="cs"/>
          <w:sz w:val="20"/>
          <w:szCs w:val="20"/>
          <w:rtl/>
        </w:rPr>
        <w:t xml:space="preserve"> אשה שטעתה במניין הימים וטבלה יום אחד לפני יום טבילתה ושימשה עם בעלה, צריכה להמתין שש עונות שלמות</w:t>
      </w:r>
      <w:r>
        <w:rPr>
          <w:rStyle w:val="a5"/>
          <w:sz w:val="20"/>
          <w:szCs w:val="20"/>
          <w:rtl/>
        </w:rPr>
        <w:footnoteReference w:id="548"/>
      </w:r>
      <w:r>
        <w:rPr>
          <w:rFonts w:hint="cs"/>
          <w:sz w:val="20"/>
          <w:szCs w:val="20"/>
          <w:rtl/>
        </w:rPr>
        <w:t xml:space="preserve"> ואחר כך תמנה יום נוסף ותטבול שנית. </w:t>
      </w:r>
      <w:r>
        <w:rPr>
          <w:rFonts w:hint="cs"/>
          <w:sz w:val="20"/>
          <w:szCs w:val="20"/>
          <w:rtl/>
        </w:rPr>
        <w:br/>
        <w:t xml:space="preserve">לעומת זאת, אם לא טבלה כראוי, כגון שנמצא עליה דבר חוצץ, ושימשה עם בעלה, אינה סותרת כלל, אלא טובלת שנית בכל עת שתרצה וטהורה. </w:t>
      </w:r>
      <w:r>
        <w:rPr>
          <w:rFonts w:hint="cs"/>
          <w:sz w:val="20"/>
          <w:szCs w:val="20"/>
          <w:rtl/>
        </w:rPr>
        <w:br/>
      </w:r>
      <w:r w:rsidRPr="008207C2">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שכבת זרע סותרת יום אחד, וזו שכבר ספרה ז"נ לא שייך בה סתירה.</w:t>
      </w:r>
      <w:r>
        <w:rPr>
          <w:rFonts w:hint="cs"/>
          <w:sz w:val="20"/>
          <w:szCs w:val="20"/>
          <w:rtl/>
        </w:rPr>
        <w:br/>
        <w:t>ולכאורה יש להקשות לפי"ז, הרי גם אם טעתה יום אחד במניין יכולה לטבול לאחר שתמתין יום אחד נקי מדם בלבד, שהרי אף אם תפלוט ש"ז ביום השני הוי סתירה לאחר ז' ואינה כלום!</w:t>
      </w:r>
      <w:r>
        <w:rPr>
          <w:rFonts w:hint="cs"/>
          <w:sz w:val="20"/>
          <w:szCs w:val="20"/>
          <w:rtl/>
        </w:rPr>
        <w:br/>
        <w:t xml:space="preserve">מיישב </w:t>
      </w:r>
      <w:r w:rsidRPr="00787516">
        <w:rPr>
          <w:rFonts w:hint="cs"/>
          <w:b/>
          <w:bCs/>
          <w:sz w:val="20"/>
          <w:szCs w:val="20"/>
          <w:rtl/>
        </w:rPr>
        <w:t>הש"ך</w:t>
      </w:r>
      <w:r>
        <w:rPr>
          <w:rFonts w:hint="cs"/>
          <w:sz w:val="20"/>
          <w:szCs w:val="20"/>
          <w:rtl/>
        </w:rPr>
        <w:t xml:space="preserve"> </w:t>
      </w:r>
      <w:r>
        <w:rPr>
          <w:sz w:val="20"/>
          <w:szCs w:val="20"/>
          <w:rtl/>
        </w:rPr>
        <w:t>–</w:t>
      </w:r>
      <w:r>
        <w:rPr>
          <w:rFonts w:hint="cs"/>
          <w:sz w:val="20"/>
          <w:szCs w:val="20"/>
          <w:rtl/>
        </w:rPr>
        <w:t xml:space="preserve"> החשש הוא שמא תפלוט גם ביום הראשון, ויום הראשון הוא הז' לנקיים וסותר.</w:t>
      </w:r>
    </w:p>
    <w:p w:rsidR="00620060" w:rsidRDefault="00620060" w:rsidP="00620060">
      <w:pPr>
        <w:rPr>
          <w:sz w:val="20"/>
          <w:szCs w:val="20"/>
          <w:rtl/>
        </w:rPr>
      </w:pPr>
      <w:r>
        <w:rPr>
          <w:rFonts w:hint="cs"/>
          <w:b/>
          <w:bCs/>
          <w:sz w:val="20"/>
          <w:szCs w:val="20"/>
          <w:rtl/>
        </w:rPr>
        <w:lastRenderedPageBreak/>
        <w:t>ראיה לדין זה</w:t>
      </w:r>
      <w:r>
        <w:rPr>
          <w:b/>
          <w:bCs/>
          <w:sz w:val="20"/>
          <w:szCs w:val="20"/>
          <w:rtl/>
        </w:rPr>
        <w:br/>
      </w:r>
      <w:r>
        <w:rPr>
          <w:rFonts w:hint="cs"/>
          <w:b/>
          <w:bCs/>
          <w:sz w:val="20"/>
          <w:szCs w:val="20"/>
          <w:rtl/>
        </w:rPr>
        <w:t xml:space="preserve">גמרא </w:t>
      </w:r>
      <w:r>
        <w:rPr>
          <w:rFonts w:hint="cs"/>
          <w:sz w:val="20"/>
          <w:szCs w:val="20"/>
          <w:rtl/>
        </w:rPr>
        <w:t>נידה (סז:) "</w:t>
      </w:r>
      <w:r w:rsidRPr="008207C2">
        <w:rPr>
          <w:rFonts w:cs="Arial"/>
          <w:sz w:val="20"/>
          <w:szCs w:val="20"/>
          <w:rtl/>
        </w:rPr>
        <w:t>ר</w:t>
      </w:r>
      <w:r>
        <w:rPr>
          <w:rFonts w:cs="Arial" w:hint="cs"/>
          <w:sz w:val="20"/>
          <w:szCs w:val="20"/>
          <w:rtl/>
        </w:rPr>
        <w:t>בי</w:t>
      </w:r>
      <w:r w:rsidRPr="008207C2">
        <w:rPr>
          <w:rFonts w:cs="Arial"/>
          <w:sz w:val="20"/>
          <w:szCs w:val="20"/>
          <w:rtl/>
        </w:rPr>
        <w:t xml:space="preserve"> שמעון אומר: אחר תטהר - אחר מעשה תטהר. אבל אמרו חכמים: אסור לעשות כן, שמא תב</w:t>
      </w:r>
      <w:r>
        <w:rPr>
          <w:rFonts w:cs="Arial" w:hint="cs"/>
          <w:sz w:val="20"/>
          <w:szCs w:val="20"/>
          <w:rtl/>
        </w:rPr>
        <w:t>ו</w:t>
      </w:r>
      <w:r w:rsidRPr="008207C2">
        <w:rPr>
          <w:rFonts w:cs="Arial"/>
          <w:sz w:val="20"/>
          <w:szCs w:val="20"/>
          <w:rtl/>
        </w:rPr>
        <w:t>א לידי ספק</w:t>
      </w:r>
      <w:r>
        <w:rPr>
          <w:rFonts w:cs="Arial" w:hint="cs"/>
          <w:sz w:val="20"/>
          <w:szCs w:val="20"/>
          <w:rtl/>
        </w:rPr>
        <w:t xml:space="preserve"> </w:t>
      </w:r>
      <w:r w:rsidRPr="008207C2">
        <w:rPr>
          <w:rFonts w:cs="Arial" w:hint="cs"/>
          <w:sz w:val="18"/>
          <w:szCs w:val="18"/>
          <w:rtl/>
        </w:rPr>
        <w:t>(מחמת ראיית דם)</w:t>
      </w:r>
      <w:r>
        <w:rPr>
          <w:rFonts w:cs="Arial" w:hint="cs"/>
          <w:sz w:val="20"/>
          <w:szCs w:val="20"/>
          <w:rtl/>
        </w:rPr>
        <w:t>".</w:t>
      </w:r>
      <w:r>
        <w:rPr>
          <w:rFonts w:hint="cs"/>
          <w:sz w:val="20"/>
          <w:szCs w:val="20"/>
          <w:rtl/>
        </w:rPr>
        <w:br/>
      </w:r>
      <w:r w:rsidRPr="008207C2">
        <w:rPr>
          <w:rFonts w:hint="cs"/>
          <w:b/>
          <w:bCs/>
          <w:sz w:val="20"/>
          <w:szCs w:val="20"/>
          <w:rtl/>
        </w:rPr>
        <w:t>ראב"ד</w:t>
      </w:r>
      <w:r>
        <w:rPr>
          <w:rFonts w:hint="cs"/>
          <w:sz w:val="20"/>
          <w:szCs w:val="20"/>
          <w:rtl/>
        </w:rPr>
        <w:t xml:space="preserve"> </w:t>
      </w:r>
      <w:r>
        <w:rPr>
          <w:sz w:val="20"/>
          <w:szCs w:val="20"/>
          <w:rtl/>
        </w:rPr>
        <w:t>–</w:t>
      </w:r>
      <w:r>
        <w:rPr>
          <w:rFonts w:hint="cs"/>
          <w:sz w:val="20"/>
          <w:szCs w:val="20"/>
          <w:rtl/>
        </w:rPr>
        <w:t xml:space="preserve"> מגמרא זו מוכח שפולטת שכבת זרע אינה סותרת לגבי בעלה, שהרי רבי שמעון טוען שהחשש הוא רק מחמת שמא תראה דם אך אינו חושש לכך שתפלוט שכבת זרע ותסתור מניינה!</w:t>
      </w:r>
      <w:r>
        <w:rPr>
          <w:rFonts w:hint="cs"/>
          <w:sz w:val="20"/>
          <w:szCs w:val="20"/>
          <w:rtl/>
        </w:rPr>
        <w:br/>
        <w:t xml:space="preserve">דוחה </w:t>
      </w:r>
      <w:r w:rsidRPr="008207C2">
        <w:rPr>
          <w:rFonts w:hint="cs"/>
          <w:b/>
          <w:bCs/>
          <w:sz w:val="20"/>
          <w:szCs w:val="20"/>
          <w:rtl/>
        </w:rPr>
        <w:t>הרא"ש</w:t>
      </w:r>
      <w:r>
        <w:rPr>
          <w:rFonts w:hint="cs"/>
          <w:sz w:val="20"/>
          <w:szCs w:val="20"/>
          <w:rtl/>
        </w:rPr>
        <w:t xml:space="preserve"> </w:t>
      </w:r>
      <w:r>
        <w:rPr>
          <w:sz w:val="20"/>
          <w:szCs w:val="20"/>
          <w:rtl/>
        </w:rPr>
        <w:t>–</w:t>
      </w:r>
      <w:r>
        <w:rPr>
          <w:rFonts w:hint="cs"/>
          <w:sz w:val="20"/>
          <w:szCs w:val="20"/>
          <w:rtl/>
        </w:rPr>
        <w:t xml:space="preserve"> מכיוון שמדובר בטבילה ביום ז' לא שייך סתירה,</w:t>
      </w:r>
      <w:r w:rsidRPr="008207C2">
        <w:rPr>
          <w:rFonts w:hint="cs"/>
          <w:sz w:val="20"/>
          <w:szCs w:val="20"/>
          <w:rtl/>
        </w:rPr>
        <w:t xml:space="preserve"> </w:t>
      </w:r>
      <w:r>
        <w:rPr>
          <w:rFonts w:hint="cs"/>
          <w:sz w:val="20"/>
          <w:szCs w:val="20"/>
          <w:rtl/>
        </w:rPr>
        <w:t>שהרי כבר ספרה יום זה בתחילתו.</w:t>
      </w:r>
    </w:p>
    <w:p w:rsidR="00620060" w:rsidRPr="008207C2" w:rsidRDefault="00620060" w:rsidP="00620060">
      <w:pPr>
        <w:rPr>
          <w:sz w:val="20"/>
          <w:szCs w:val="20"/>
          <w:rtl/>
        </w:rPr>
      </w:pPr>
      <w:r w:rsidRPr="008207C2">
        <w:rPr>
          <w:rFonts w:hint="cs"/>
          <w:b/>
          <w:bCs/>
          <w:sz w:val="20"/>
          <w:szCs w:val="20"/>
          <w:rtl/>
        </w:rPr>
        <w:t>בית יוסף</w:t>
      </w:r>
      <w:r>
        <w:rPr>
          <w:rFonts w:hint="cs"/>
          <w:sz w:val="20"/>
          <w:szCs w:val="20"/>
          <w:rtl/>
        </w:rPr>
        <w:t xml:space="preserve"> </w:t>
      </w:r>
      <w:r>
        <w:rPr>
          <w:sz w:val="20"/>
          <w:szCs w:val="20"/>
          <w:rtl/>
        </w:rPr>
        <w:t>–</w:t>
      </w:r>
      <w:r>
        <w:rPr>
          <w:rFonts w:hint="cs"/>
          <w:sz w:val="20"/>
          <w:szCs w:val="20"/>
          <w:rtl/>
        </w:rPr>
        <w:t xml:space="preserve"> מדברי הרא"ש מוכח שאין סתירה מחמת פליטת שכבת זרע שייכת לאחר ספירה. </w:t>
      </w:r>
      <w:r>
        <w:rPr>
          <w:sz w:val="20"/>
          <w:szCs w:val="20"/>
          <w:rtl/>
        </w:rPr>
        <w:br/>
      </w:r>
      <w:r>
        <w:rPr>
          <w:rFonts w:hint="cs"/>
          <w:sz w:val="20"/>
          <w:szCs w:val="20"/>
          <w:rtl/>
        </w:rPr>
        <w:t xml:space="preserve">וייתכן </w:t>
      </w:r>
      <w:r w:rsidRPr="008207C2">
        <w:rPr>
          <w:rFonts w:hint="cs"/>
          <w:b/>
          <w:bCs/>
          <w:sz w:val="20"/>
          <w:szCs w:val="20"/>
          <w:rtl/>
        </w:rPr>
        <w:t>שהסמ"ק</w:t>
      </w:r>
      <w:r>
        <w:rPr>
          <w:rFonts w:hint="cs"/>
          <w:sz w:val="20"/>
          <w:szCs w:val="20"/>
          <w:rtl/>
        </w:rPr>
        <w:t xml:space="preserve"> התכוון אף הוא לדברי </w:t>
      </w:r>
      <w:r w:rsidRPr="008207C2">
        <w:rPr>
          <w:rFonts w:hint="cs"/>
          <w:b/>
          <w:bCs/>
          <w:sz w:val="20"/>
          <w:szCs w:val="20"/>
          <w:rtl/>
        </w:rPr>
        <w:t>הרא"ש</w:t>
      </w:r>
      <w:r>
        <w:rPr>
          <w:rFonts w:hint="cs"/>
          <w:sz w:val="20"/>
          <w:szCs w:val="20"/>
          <w:rtl/>
        </w:rPr>
        <w:t xml:space="preserve"> שאין סתירה שייכת אפילו ביום השביעי </w:t>
      </w:r>
      <w:r w:rsidRPr="00400BAB">
        <w:rPr>
          <w:rFonts w:hint="cs"/>
          <w:sz w:val="20"/>
          <w:szCs w:val="20"/>
          <w:u w:val="single"/>
          <w:rtl/>
        </w:rPr>
        <w:t>עצמו</w:t>
      </w:r>
      <w:r>
        <w:rPr>
          <w:rFonts w:hint="cs"/>
          <w:sz w:val="20"/>
          <w:szCs w:val="20"/>
          <w:rtl/>
        </w:rPr>
        <w:t>, ומה שכתב שאין סתירה לאחר ז', כוונתו ליום השביעי עצמו, אלא כיוון שכבר ספרתו הוי כאילו היא לאחר ז'.</w:t>
      </w:r>
    </w:p>
    <w:p w:rsidR="00620060" w:rsidRPr="00806042" w:rsidRDefault="00620060" w:rsidP="00620060">
      <w:pPr>
        <w:rPr>
          <w:sz w:val="20"/>
          <w:szCs w:val="20"/>
          <w:rtl/>
        </w:rPr>
      </w:pPr>
      <w:r>
        <w:rPr>
          <w:rFonts w:hint="cs"/>
          <w:b/>
          <w:bCs/>
          <w:sz w:val="20"/>
          <w:szCs w:val="20"/>
          <w:rtl/>
        </w:rPr>
        <w:t>טבלה בליל שביעי</w:t>
      </w:r>
      <w:r>
        <w:rPr>
          <w:b/>
          <w:bCs/>
          <w:sz w:val="20"/>
          <w:szCs w:val="20"/>
          <w:rtl/>
        </w:rPr>
        <w:br/>
      </w:r>
      <w:r>
        <w:rPr>
          <w:rFonts w:hint="cs"/>
          <w:b/>
          <w:bCs/>
          <w:sz w:val="20"/>
          <w:szCs w:val="20"/>
          <w:rtl/>
        </w:rPr>
        <w:t xml:space="preserve">בית יוסף </w:t>
      </w:r>
      <w:r>
        <w:rPr>
          <w:sz w:val="20"/>
          <w:szCs w:val="20"/>
          <w:rtl/>
        </w:rPr>
        <w:t>–</w:t>
      </w:r>
      <w:r>
        <w:rPr>
          <w:rFonts w:hint="cs"/>
          <w:sz w:val="20"/>
          <w:szCs w:val="20"/>
          <w:rtl/>
        </w:rPr>
        <w:t xml:space="preserve"> הסמ"ק כתב שאם טעתה יום אחד צריכה להמתין שש עונות, למנות יום נקי נוסף ולטבול. </w:t>
      </w:r>
      <w:r>
        <w:rPr>
          <w:sz w:val="20"/>
          <w:szCs w:val="20"/>
          <w:rtl/>
        </w:rPr>
        <w:br/>
      </w:r>
      <w:r>
        <w:rPr>
          <w:rFonts w:hint="cs"/>
          <w:sz w:val="20"/>
          <w:szCs w:val="20"/>
          <w:rtl/>
        </w:rPr>
        <w:t xml:space="preserve">ברם, לפי דברי </w:t>
      </w:r>
      <w:r w:rsidRPr="00806042">
        <w:rPr>
          <w:rFonts w:hint="cs"/>
          <w:b/>
          <w:bCs/>
          <w:sz w:val="20"/>
          <w:szCs w:val="20"/>
          <w:rtl/>
        </w:rPr>
        <w:t>הרא"ש</w:t>
      </w:r>
      <w:r>
        <w:rPr>
          <w:rFonts w:hint="cs"/>
          <w:sz w:val="20"/>
          <w:szCs w:val="20"/>
          <w:rtl/>
        </w:rPr>
        <w:t xml:space="preserve"> הנ"ל שספירת מקצת היום הוי ככולו, יש לפרש את </w:t>
      </w:r>
      <w:r w:rsidRPr="00806042">
        <w:rPr>
          <w:rFonts w:hint="cs"/>
          <w:b/>
          <w:bCs/>
          <w:sz w:val="20"/>
          <w:szCs w:val="20"/>
          <w:rtl/>
        </w:rPr>
        <w:t>הסמ"ק</w:t>
      </w:r>
      <w:r>
        <w:rPr>
          <w:rFonts w:hint="cs"/>
          <w:sz w:val="20"/>
          <w:szCs w:val="20"/>
          <w:rtl/>
        </w:rPr>
        <w:t xml:space="preserve"> שטבלה ושימשה בליל היום השישי לז"נ </w:t>
      </w:r>
      <w:r w:rsidRPr="00806042">
        <w:rPr>
          <w:rFonts w:hint="cs"/>
          <w:sz w:val="18"/>
          <w:szCs w:val="18"/>
          <w:rtl/>
        </w:rPr>
        <w:t>(טעות של יומיים)</w:t>
      </w:r>
      <w:r>
        <w:rPr>
          <w:rFonts w:hint="cs"/>
          <w:sz w:val="20"/>
          <w:szCs w:val="20"/>
          <w:rtl/>
        </w:rPr>
        <w:t>, משום שאם טבלה ושימשה בליל היום השביעי, הרי ספרה מקצת יום ז' בלילה ואינה סותרת כלל אלא טובלת שנית בכל עת שתרצה!</w:t>
      </w:r>
      <w:r>
        <w:rPr>
          <w:rFonts w:hint="cs"/>
          <w:sz w:val="20"/>
          <w:szCs w:val="20"/>
          <w:rtl/>
        </w:rPr>
        <w:br/>
        <w:t xml:space="preserve">דוחה </w:t>
      </w:r>
      <w:r w:rsidRPr="00806042">
        <w:rPr>
          <w:rFonts w:hint="cs"/>
          <w:b/>
          <w:bCs/>
          <w:sz w:val="20"/>
          <w:szCs w:val="20"/>
          <w:rtl/>
        </w:rPr>
        <w:t>הבית יוסף</w:t>
      </w:r>
      <w:r>
        <w:rPr>
          <w:rFonts w:hint="cs"/>
          <w:sz w:val="20"/>
          <w:szCs w:val="20"/>
          <w:rtl/>
        </w:rPr>
        <w:t xml:space="preserve"> </w:t>
      </w:r>
      <w:r>
        <w:rPr>
          <w:sz w:val="20"/>
          <w:szCs w:val="20"/>
          <w:rtl/>
        </w:rPr>
        <w:t>–</w:t>
      </w:r>
      <w:r>
        <w:rPr>
          <w:rFonts w:hint="cs"/>
          <w:sz w:val="20"/>
          <w:szCs w:val="20"/>
          <w:rtl/>
        </w:rPr>
        <w:t xml:space="preserve"> גם </w:t>
      </w:r>
      <w:r w:rsidRPr="00806042">
        <w:rPr>
          <w:rFonts w:hint="cs"/>
          <w:b/>
          <w:bCs/>
          <w:sz w:val="20"/>
          <w:szCs w:val="20"/>
          <w:rtl/>
        </w:rPr>
        <w:t>לרא"ש</w:t>
      </w:r>
      <w:r>
        <w:rPr>
          <w:rFonts w:hint="cs"/>
          <w:sz w:val="20"/>
          <w:szCs w:val="20"/>
          <w:rtl/>
        </w:rPr>
        <w:t xml:space="preserve"> לא מועיל ספירת ליל ז', משום ש'מקצת היום ככולו' נאמר רק ביום עצמו אך לא בלילה. לכן אם טבלה ושימשה בליל ז' צריכה להמתין שש עונות ולמנות יום נקי ורק אחר כך תוכל לטבול.</w:t>
      </w:r>
      <w:r>
        <w:rPr>
          <w:rFonts w:hint="cs"/>
          <w:sz w:val="20"/>
          <w:szCs w:val="20"/>
          <w:rtl/>
        </w:rPr>
        <w:br/>
        <w:t xml:space="preserve">ולעניין דינא, </w:t>
      </w:r>
      <w:r w:rsidRPr="00B553AF">
        <w:rPr>
          <w:rFonts w:hint="cs"/>
          <w:b/>
          <w:bCs/>
          <w:sz w:val="20"/>
          <w:szCs w:val="20"/>
          <w:rtl/>
        </w:rPr>
        <w:t>הש"ך</w:t>
      </w:r>
      <w:r>
        <w:rPr>
          <w:rFonts w:hint="cs"/>
          <w:sz w:val="20"/>
          <w:szCs w:val="20"/>
          <w:rtl/>
        </w:rPr>
        <w:t xml:space="preserve"> הניח זאת בצ"ע, משום שפשט דברי הסמ"ק משמע שדווקא לאחר ז' אינה סותרת.</w:t>
      </w:r>
    </w:p>
    <w:p w:rsidR="00620060" w:rsidRDefault="00620060" w:rsidP="00620060">
      <w:pPr>
        <w:rPr>
          <w:sz w:val="20"/>
          <w:szCs w:val="20"/>
          <w:rtl/>
        </w:rPr>
      </w:pPr>
      <w:r>
        <w:rPr>
          <w:rFonts w:hint="cs"/>
          <w:b/>
          <w:bCs/>
          <w:sz w:val="20"/>
          <w:szCs w:val="20"/>
          <w:rtl/>
        </w:rPr>
        <w:t>כיצד יצטרף היום הנקי לשאר הנקיים?</w:t>
      </w:r>
      <w:r>
        <w:rPr>
          <w:rFonts w:hint="cs"/>
          <w:b/>
          <w:bCs/>
          <w:sz w:val="20"/>
          <w:szCs w:val="20"/>
          <w:rtl/>
        </w:rPr>
        <w:br/>
      </w:r>
      <w:r w:rsidRPr="000C462F">
        <w:rPr>
          <w:rFonts w:hint="cs"/>
          <w:b/>
          <w:bCs/>
          <w:sz w:val="20"/>
          <w:szCs w:val="20"/>
          <w:rtl/>
        </w:rPr>
        <w:t>גמרא</w:t>
      </w:r>
      <w:r>
        <w:rPr>
          <w:rFonts w:hint="cs"/>
          <w:sz w:val="20"/>
          <w:szCs w:val="20"/>
          <w:rtl/>
        </w:rPr>
        <w:t xml:space="preserve"> נידה (סז:) "</w:t>
      </w:r>
      <w:r w:rsidRPr="000C462F">
        <w:rPr>
          <w:rFonts w:cs="Arial"/>
          <w:sz w:val="20"/>
          <w:szCs w:val="20"/>
          <w:rtl/>
        </w:rPr>
        <w:t>תניא אחר תטהר - אחר אחר לכולן, שלא תהא טומאה מפסקת ביניהן</w:t>
      </w:r>
      <w:r>
        <w:rPr>
          <w:rFonts w:cs="Arial" w:hint="cs"/>
          <w:sz w:val="20"/>
          <w:szCs w:val="20"/>
          <w:rtl/>
        </w:rPr>
        <w:t>".</w:t>
      </w:r>
      <w:r>
        <w:rPr>
          <w:rFonts w:cs="Arial"/>
          <w:sz w:val="20"/>
          <w:szCs w:val="20"/>
          <w:rtl/>
        </w:rPr>
        <w:br/>
      </w:r>
      <w:r>
        <w:rPr>
          <w:rFonts w:hint="cs"/>
          <w:b/>
          <w:bCs/>
          <w:sz w:val="20"/>
          <w:szCs w:val="20"/>
          <w:rtl/>
        </w:rPr>
        <w:t xml:space="preserve">בית יוסף </w:t>
      </w:r>
      <w:r>
        <w:rPr>
          <w:sz w:val="20"/>
          <w:szCs w:val="20"/>
          <w:rtl/>
        </w:rPr>
        <w:t>–</w:t>
      </w:r>
      <w:r>
        <w:rPr>
          <w:rFonts w:hint="cs"/>
          <w:sz w:val="20"/>
          <w:szCs w:val="20"/>
          <w:rtl/>
        </w:rPr>
        <w:t xml:space="preserve"> לכאורה קשה מגמרא זו על דברי הסמ"ק, כיצד יצטרף היום הנקי האחרון לשאר הנקיים, הרי יש טומאה המפסיקה בינו לשאר הנקיים?</w:t>
      </w:r>
      <w:r>
        <w:rPr>
          <w:rFonts w:hint="cs"/>
          <w:sz w:val="20"/>
          <w:szCs w:val="20"/>
          <w:rtl/>
        </w:rPr>
        <w:br/>
        <w:t xml:space="preserve">ויש לומר </w:t>
      </w:r>
      <w:r>
        <w:rPr>
          <w:sz w:val="20"/>
          <w:szCs w:val="20"/>
          <w:rtl/>
        </w:rPr>
        <w:t>–</w:t>
      </w:r>
      <w:r>
        <w:rPr>
          <w:rFonts w:hint="cs"/>
          <w:sz w:val="20"/>
          <w:szCs w:val="20"/>
          <w:rtl/>
        </w:rPr>
        <w:t xml:space="preserve"> כוונת התורה לימים נקיים מטומאת זיבה, אך בכה"ג שהימים אינם רצופים מחמת פליטת שכבת זרע, שפיר מקרי רצופים.</w:t>
      </w:r>
    </w:p>
    <w:p w:rsidR="00620060" w:rsidRPr="005058A9"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5058A9">
        <w:rPr>
          <w:rFonts w:cs="Arial"/>
          <w:sz w:val="20"/>
          <w:szCs w:val="20"/>
          <w:rtl/>
        </w:rPr>
        <w:t>אם טעתה במנ</w:t>
      </w:r>
      <w:r>
        <w:rPr>
          <w:rFonts w:cs="Arial" w:hint="cs"/>
          <w:sz w:val="20"/>
          <w:szCs w:val="20"/>
          <w:rtl/>
        </w:rPr>
        <w:t>י</w:t>
      </w:r>
      <w:r w:rsidRPr="005058A9">
        <w:rPr>
          <w:rFonts w:cs="Arial"/>
          <w:sz w:val="20"/>
          <w:szCs w:val="20"/>
          <w:rtl/>
        </w:rPr>
        <w:t>ין יום אחד</w:t>
      </w:r>
      <w:r>
        <w:rPr>
          <w:rStyle w:val="a5"/>
          <w:rFonts w:cs="Arial"/>
          <w:sz w:val="20"/>
          <w:szCs w:val="20"/>
          <w:rtl/>
        </w:rPr>
        <w:footnoteReference w:id="549"/>
      </w:r>
      <w:r w:rsidRPr="005058A9">
        <w:rPr>
          <w:rFonts w:cs="Arial"/>
          <w:sz w:val="20"/>
          <w:szCs w:val="20"/>
          <w:rtl/>
        </w:rPr>
        <w:t xml:space="preserve"> וטבלה ושמשה, צריכה להמתין ששה עונות שלימות ואחר כך תמנה יום אחד נקי ותטבול; אך סתירה שלאחר שבעה, כגון שלא טבלה כראוי ושמשה, הרי זו טובלת בכל עת</w:t>
      </w:r>
      <w:r>
        <w:rPr>
          <w:rFonts w:cs="Arial" w:hint="cs"/>
          <w:sz w:val="20"/>
          <w:szCs w:val="20"/>
          <w:rtl/>
        </w:rPr>
        <w:t>"</w:t>
      </w:r>
      <w:r w:rsidRPr="005058A9">
        <w:rPr>
          <w:rFonts w:cs="Arial"/>
          <w:sz w:val="20"/>
          <w:szCs w:val="20"/>
          <w:rtl/>
        </w:rPr>
        <w:t>.</w:t>
      </w:r>
    </w:p>
    <w:p w:rsidR="00620060" w:rsidRPr="002B072B" w:rsidRDefault="00620060" w:rsidP="00620060">
      <w:pPr>
        <w:rPr>
          <w:sz w:val="20"/>
          <w:szCs w:val="20"/>
          <w:rtl/>
        </w:rPr>
      </w:pPr>
      <w:r>
        <w:rPr>
          <w:rFonts w:hint="cs"/>
          <w:sz w:val="20"/>
          <w:szCs w:val="20"/>
          <w:u w:val="single"/>
          <w:rtl/>
        </w:rPr>
        <w:t xml:space="preserve">חשש שמא ראתה טיפת דם כחרדל וחיפהו שכבת זרע </w:t>
      </w:r>
      <w:r>
        <w:rPr>
          <w:rFonts w:hint="cs"/>
          <w:sz w:val="20"/>
          <w:szCs w:val="20"/>
          <w:u w:val="single"/>
          <w:rtl/>
        </w:rPr>
        <w:br/>
      </w:r>
      <w:r w:rsidRPr="002B072B">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מדוע אין חוששים שמא באותם שלושה ימים ראתה טיפת דם כחרדל וחיפהו שכבת זרע כפי שחוששים כן לגבי בעילת מצווה שאסורה לבעלה אף אם לא ראתה דם?</w:t>
      </w:r>
      <w:r>
        <w:rPr>
          <w:rFonts w:hint="cs"/>
          <w:sz w:val="20"/>
          <w:szCs w:val="20"/>
          <w:rtl/>
        </w:rPr>
        <w:br/>
        <w:t xml:space="preserve">ויש לומר </w:t>
      </w:r>
      <w:r>
        <w:rPr>
          <w:sz w:val="20"/>
          <w:szCs w:val="20"/>
          <w:rtl/>
        </w:rPr>
        <w:t>–</w:t>
      </w:r>
      <w:r>
        <w:rPr>
          <w:rFonts w:hint="cs"/>
          <w:sz w:val="20"/>
          <w:szCs w:val="20"/>
          <w:rtl/>
        </w:rPr>
        <w:t xml:space="preserve"> התם שאני וחמיר טפי הואיל ודמי בתולים מצויים בה.</w:t>
      </w:r>
    </w:p>
    <w:p w:rsidR="00620060" w:rsidRPr="00E93984" w:rsidRDefault="00620060" w:rsidP="00620060">
      <w:pPr>
        <w:rPr>
          <w:sz w:val="20"/>
          <w:szCs w:val="20"/>
          <w:rtl/>
        </w:rPr>
      </w:pPr>
      <w:r>
        <w:rPr>
          <w:rFonts w:hint="cs"/>
          <w:sz w:val="20"/>
          <w:szCs w:val="20"/>
          <w:u w:val="single"/>
          <w:rtl/>
        </w:rPr>
        <w:t>הפרשה להבחין בין זרע כשר לזרע פסול</w:t>
      </w:r>
      <w:r>
        <w:rPr>
          <w:sz w:val="20"/>
          <w:szCs w:val="20"/>
          <w:u w:val="single"/>
          <w:rtl/>
        </w:rPr>
        <w:br/>
      </w:r>
      <w:r w:rsidRPr="00E93984">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מבואר באבן העזר </w:t>
      </w:r>
      <w:r w:rsidRPr="00E93984">
        <w:rPr>
          <w:rFonts w:hint="cs"/>
          <w:sz w:val="18"/>
          <w:szCs w:val="18"/>
          <w:rtl/>
        </w:rPr>
        <w:t xml:space="preserve">(יג, ה) </w:t>
      </w:r>
      <w:r>
        <w:rPr>
          <w:rFonts w:hint="cs"/>
          <w:sz w:val="20"/>
          <w:szCs w:val="20"/>
          <w:rtl/>
        </w:rPr>
        <w:t>שזוג גרים פורשים מתשמיש לאחר גיורם במשך תשעים יום, כדי להבחין בין זרע כשר לזרע פסול. אם כן מדוע כאן אינם צריכים להימנע מתשמיש כדי להבחין בין זרע של נידה לזרע כשר?</w:t>
      </w:r>
      <w:r>
        <w:rPr>
          <w:sz w:val="20"/>
          <w:szCs w:val="20"/>
          <w:rtl/>
        </w:rPr>
        <w:br/>
      </w:r>
      <w:r>
        <w:rPr>
          <w:rFonts w:hint="cs"/>
          <w:sz w:val="20"/>
          <w:szCs w:val="20"/>
          <w:rtl/>
        </w:rPr>
        <w:t xml:space="preserve">יש לומר </w:t>
      </w:r>
      <w:r>
        <w:rPr>
          <w:sz w:val="20"/>
          <w:szCs w:val="20"/>
          <w:rtl/>
        </w:rPr>
        <w:t>–</w:t>
      </w:r>
      <w:r>
        <w:rPr>
          <w:rFonts w:hint="cs"/>
          <w:sz w:val="20"/>
          <w:szCs w:val="20"/>
          <w:rtl/>
        </w:rPr>
        <w:t xml:space="preserve"> מדובר כאן באשה שבעלה בעיר ושימש עמה גם קודם לכן, ממילא לא מהני כאן הפרשה, שהרי לא יוכלו להבחין בין זרע כשר לפסול</w:t>
      </w:r>
      <w:r>
        <w:rPr>
          <w:rStyle w:val="a5"/>
          <w:sz w:val="20"/>
          <w:szCs w:val="20"/>
          <w:rtl/>
        </w:rPr>
        <w:footnoteReference w:id="550"/>
      </w:r>
      <w:r>
        <w:rPr>
          <w:rFonts w:hint="cs"/>
          <w:sz w:val="20"/>
          <w:szCs w:val="20"/>
          <w:rtl/>
        </w:rPr>
        <w:t>. אמנם, אם בעלה לא היה בעיר קודם הטבילה במשך תשעים יום, שפיר שייך להבחין בין זרע כשר לפסול וצריכים להימנע מתשמיש כל תשעים יום, וצ"ע למעשה.</w:t>
      </w:r>
      <w:r>
        <w:rPr>
          <w:rStyle w:val="a5"/>
          <w:sz w:val="20"/>
          <w:szCs w:val="20"/>
          <w:rtl/>
        </w:rPr>
        <w:footnoteReference w:id="551"/>
      </w:r>
      <w:r>
        <w:rPr>
          <w:rFonts w:hint="cs"/>
          <w:sz w:val="20"/>
          <w:szCs w:val="20"/>
          <w:rtl/>
        </w:rPr>
        <w:t xml:space="preserve"> </w:t>
      </w:r>
      <w:r>
        <w:rPr>
          <w:rFonts w:hint="cs"/>
          <w:sz w:val="20"/>
          <w:szCs w:val="20"/>
          <w:rtl/>
        </w:rPr>
        <w:br/>
      </w:r>
      <w:r w:rsidRPr="0089367F">
        <w:rPr>
          <w:rFonts w:hint="cs"/>
          <w:b/>
          <w:bCs/>
          <w:sz w:val="20"/>
          <w:szCs w:val="20"/>
          <w:rtl/>
        </w:rPr>
        <w:t>נקודות הכסף</w:t>
      </w:r>
      <w:r>
        <w:rPr>
          <w:rFonts w:hint="cs"/>
          <w:sz w:val="20"/>
          <w:szCs w:val="20"/>
          <w:rtl/>
        </w:rPr>
        <w:t xml:space="preserve"> </w:t>
      </w:r>
      <w:r>
        <w:rPr>
          <w:sz w:val="20"/>
          <w:szCs w:val="20"/>
          <w:rtl/>
        </w:rPr>
        <w:t>–</w:t>
      </w:r>
      <w:r>
        <w:rPr>
          <w:rFonts w:hint="cs"/>
          <w:sz w:val="20"/>
          <w:szCs w:val="20"/>
          <w:rtl/>
        </w:rPr>
        <w:t xml:space="preserve"> קושייה מעיקרא ליתא, משום שאין לדמות זרע של גוי, הנזרע שלא בקדושה ודינו שונה בכמה דברים מישראל גמור, לדין נידה שוולדה הוא כישראל גמור לכל דבר.</w:t>
      </w:r>
    </w:p>
    <w:p w:rsidR="00620060" w:rsidRDefault="00620060" w:rsidP="00620060">
      <w:pPr>
        <w:rPr>
          <w:sz w:val="20"/>
          <w:szCs w:val="20"/>
          <w:rtl/>
        </w:rPr>
      </w:pPr>
      <w:r>
        <w:rPr>
          <w:rFonts w:hint="cs"/>
          <w:sz w:val="20"/>
          <w:szCs w:val="20"/>
          <w:u w:val="single"/>
          <w:rtl/>
        </w:rPr>
        <w:t>חשש בין השמשות</w:t>
      </w:r>
      <w:r>
        <w:rPr>
          <w:sz w:val="20"/>
          <w:szCs w:val="20"/>
          <w:u w:val="single"/>
          <w:rtl/>
        </w:rPr>
        <w:br/>
      </w:r>
      <w:r w:rsidRPr="00D67E29">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הטועה וסופרת יום אחד נקי, טובלת לאחר ה' ימים ואינה צריכה להמתין יום נוסף משום חשש ביה"ש.</w:t>
      </w:r>
      <w:r>
        <w:rPr>
          <w:rFonts w:hint="cs"/>
          <w:sz w:val="20"/>
          <w:szCs w:val="20"/>
          <w:rtl/>
        </w:rPr>
        <w:br/>
      </w:r>
      <w:r w:rsidRPr="00D67E29">
        <w:rPr>
          <w:rFonts w:hint="cs"/>
          <w:sz w:val="18"/>
          <w:szCs w:val="18"/>
          <w:rtl/>
        </w:rPr>
        <w:lastRenderedPageBreak/>
        <w:t xml:space="preserve">[כגון </w:t>
      </w:r>
      <w:r w:rsidRPr="00D67E29">
        <w:rPr>
          <w:sz w:val="18"/>
          <w:szCs w:val="18"/>
          <w:rtl/>
        </w:rPr>
        <w:t>–</w:t>
      </w:r>
      <w:r w:rsidRPr="00D67E29">
        <w:rPr>
          <w:rFonts w:hint="cs"/>
          <w:sz w:val="18"/>
          <w:szCs w:val="18"/>
          <w:rtl/>
        </w:rPr>
        <w:t xml:space="preserve"> טבלה ליל מוצ"ש בטעות במקום ליל ראשון, מונה ד' יום ויום אחד נקי וטובלת ליל שישי].</w:t>
      </w:r>
      <w:r>
        <w:rPr>
          <w:sz w:val="20"/>
          <w:szCs w:val="20"/>
          <w:rtl/>
        </w:rPr>
        <w:br/>
      </w:r>
      <w:r w:rsidRPr="00D67E29">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דין טעות במניין אינו מצוי, ובדבר שאינו מצוי לא גזרו חכמים.</w:t>
      </w:r>
    </w:p>
    <w:p w:rsidR="00620060" w:rsidRPr="00821105" w:rsidRDefault="00620060" w:rsidP="00620060">
      <w:pPr>
        <w:rPr>
          <w:sz w:val="20"/>
          <w:szCs w:val="20"/>
          <w:rtl/>
        </w:rPr>
      </w:pPr>
      <w:r>
        <w:rPr>
          <w:rFonts w:hint="cs"/>
          <w:sz w:val="20"/>
          <w:szCs w:val="20"/>
          <w:u w:val="single"/>
          <w:rtl/>
        </w:rPr>
        <w:t>ספק טעות בספירת ז' נקיים (פת"ש)</w:t>
      </w:r>
      <w:r>
        <w:rPr>
          <w:sz w:val="20"/>
          <w:szCs w:val="20"/>
          <w:u w:val="single"/>
          <w:rtl/>
        </w:rPr>
        <w:br/>
      </w:r>
      <w:r w:rsidRPr="00365325">
        <w:rPr>
          <w:rFonts w:hint="cs"/>
          <w:b/>
          <w:bCs/>
          <w:sz w:val="20"/>
          <w:szCs w:val="20"/>
          <w:rtl/>
        </w:rPr>
        <w:t>תשובה מאהבה</w:t>
      </w:r>
      <w:r>
        <w:rPr>
          <w:rFonts w:hint="cs"/>
          <w:sz w:val="20"/>
          <w:szCs w:val="20"/>
          <w:rtl/>
        </w:rPr>
        <w:t xml:space="preserve"> </w:t>
      </w:r>
      <w:r>
        <w:rPr>
          <w:sz w:val="20"/>
          <w:szCs w:val="20"/>
          <w:rtl/>
        </w:rPr>
        <w:t>–</w:t>
      </w:r>
      <w:r>
        <w:rPr>
          <w:rFonts w:hint="cs"/>
          <w:sz w:val="20"/>
          <w:szCs w:val="20"/>
          <w:rtl/>
        </w:rPr>
        <w:t xml:space="preserve"> מעשה באשה שביום הראשון לז"נ מצאה כתם ולכן התחילה למנות ז"נ שנית. לאחר שספרה ז"נ וטבלה כדין, חברתה טוענת שהיא שגתה וכי הקדימה יום אחד לטבילה. האם בעלת הכתם צריכה לחוש לדברי חברתה?</w:t>
      </w:r>
      <w:r>
        <w:rPr>
          <w:rFonts w:hint="cs"/>
          <w:sz w:val="20"/>
          <w:szCs w:val="20"/>
          <w:rtl/>
        </w:rPr>
        <w:br/>
        <w:t xml:space="preserve">תשובה </w:t>
      </w:r>
      <w:r>
        <w:rPr>
          <w:sz w:val="20"/>
          <w:szCs w:val="20"/>
          <w:rtl/>
        </w:rPr>
        <w:t>–</w:t>
      </w:r>
      <w:r>
        <w:rPr>
          <w:rFonts w:hint="cs"/>
          <w:sz w:val="20"/>
          <w:szCs w:val="20"/>
          <w:rtl/>
        </w:rPr>
        <w:t xml:space="preserve"> לא.</w:t>
      </w:r>
      <w:r>
        <w:rPr>
          <w:sz w:val="20"/>
          <w:szCs w:val="20"/>
          <w:rtl/>
        </w:rPr>
        <w:br/>
      </w:r>
      <w:r w:rsidRPr="002003EB">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זהו ספק דרבנן, מדאורייתא גם היום הראשון, בו מצאה כתם, עולה לה לז"נ, הואיל ולא הרגישה.</w:t>
      </w:r>
      <w:r>
        <w:rPr>
          <w:rFonts w:hint="cs"/>
          <w:sz w:val="20"/>
          <w:szCs w:val="20"/>
          <w:rtl/>
        </w:rPr>
        <w:br/>
        <w:t xml:space="preserve">ואמנם, </w:t>
      </w:r>
      <w:r w:rsidRPr="00320207">
        <w:rPr>
          <w:rFonts w:hint="cs"/>
          <w:b/>
          <w:bCs/>
          <w:sz w:val="20"/>
          <w:szCs w:val="20"/>
          <w:rtl/>
        </w:rPr>
        <w:t>הנוב"י</w:t>
      </w:r>
      <w:r>
        <w:rPr>
          <w:rFonts w:hint="cs"/>
          <w:sz w:val="20"/>
          <w:szCs w:val="20"/>
          <w:rtl/>
        </w:rPr>
        <w:t xml:space="preserve"> מוסיף שדין זה נכון רק אם ודאי לבעלת הכתם שחברתה טועה, אך אם היא עצמה מסופקת בדבר צריכה לחשוש לדברי חברתה.</w:t>
      </w:r>
    </w:p>
    <w:p w:rsidR="00620060" w:rsidRPr="00931625" w:rsidRDefault="00620060" w:rsidP="00620060">
      <w:pPr>
        <w:rPr>
          <w:sz w:val="20"/>
          <w:szCs w:val="20"/>
        </w:rPr>
      </w:pPr>
      <w:r w:rsidRPr="00832680">
        <w:rPr>
          <w:rFonts w:hint="cs"/>
          <w:b/>
          <w:bCs/>
          <w:sz w:val="20"/>
          <w:szCs w:val="20"/>
          <w:rtl/>
        </w:rPr>
        <w:t>סיכום</w:t>
      </w:r>
      <w:r>
        <w:rPr>
          <w:sz w:val="20"/>
          <w:szCs w:val="20"/>
          <w:rtl/>
        </w:rPr>
        <w:br/>
      </w:r>
      <w:r>
        <w:rPr>
          <w:rFonts w:hint="cs"/>
          <w:sz w:val="20"/>
          <w:szCs w:val="20"/>
          <w:rtl/>
        </w:rPr>
        <w:t xml:space="preserve">1. </w:t>
      </w:r>
      <w:r w:rsidRPr="00832680">
        <w:rPr>
          <w:rFonts w:hint="cs"/>
          <w:b/>
          <w:bCs/>
          <w:sz w:val="20"/>
          <w:szCs w:val="20"/>
          <w:rtl/>
        </w:rPr>
        <w:t>סמ"ק</w:t>
      </w:r>
      <w:r>
        <w:rPr>
          <w:rFonts w:hint="cs"/>
          <w:sz w:val="20"/>
          <w:szCs w:val="20"/>
          <w:rtl/>
        </w:rPr>
        <w:t xml:space="preserve">. טעתה וטבלה יום לפי טבילתה ושימשה, תמתין ו' עונות ועוד יום נקי ותטבול. אך אם ספרה ז"נ ולא טבלה כראוי, טובלת שנית מתי שתרצה. </w:t>
      </w:r>
      <w:r w:rsidRPr="00832680">
        <w:rPr>
          <w:rFonts w:hint="cs"/>
          <w:b/>
          <w:bCs/>
          <w:sz w:val="20"/>
          <w:szCs w:val="20"/>
          <w:rtl/>
        </w:rPr>
        <w:t>טעם</w:t>
      </w:r>
      <w:r>
        <w:rPr>
          <w:rFonts w:hint="cs"/>
          <w:sz w:val="20"/>
          <w:szCs w:val="20"/>
          <w:rtl/>
        </w:rPr>
        <w:t>. סתירה מחמת ש"ז סותרת יום אחד וכאן לא שייך סתירה.</w:t>
      </w:r>
      <w:r>
        <w:rPr>
          <w:rFonts w:hint="cs"/>
          <w:sz w:val="20"/>
          <w:szCs w:val="20"/>
          <w:rtl/>
        </w:rPr>
        <w:br/>
        <w:t xml:space="preserve">2. </w:t>
      </w:r>
      <w:r w:rsidRPr="00832680">
        <w:rPr>
          <w:rFonts w:hint="cs"/>
          <w:b/>
          <w:bCs/>
          <w:sz w:val="20"/>
          <w:szCs w:val="20"/>
          <w:rtl/>
        </w:rPr>
        <w:t>ראיה</w:t>
      </w:r>
      <w:r>
        <w:rPr>
          <w:rFonts w:hint="cs"/>
          <w:sz w:val="20"/>
          <w:szCs w:val="20"/>
          <w:rtl/>
        </w:rPr>
        <w:t xml:space="preserve">. </w:t>
      </w:r>
      <w:r w:rsidRPr="00832680">
        <w:rPr>
          <w:rFonts w:hint="cs"/>
          <w:b/>
          <w:bCs/>
          <w:sz w:val="20"/>
          <w:szCs w:val="20"/>
          <w:rtl/>
        </w:rPr>
        <w:t>רא"ש</w:t>
      </w:r>
      <w:r>
        <w:rPr>
          <w:rFonts w:hint="cs"/>
          <w:sz w:val="20"/>
          <w:szCs w:val="20"/>
          <w:rtl/>
        </w:rPr>
        <w:t xml:space="preserve">. מוכח בגמרא שאין חוששים לפליטת ש"ז ביום הז' כיוון שכבר ספרתו. </w:t>
      </w:r>
      <w:r w:rsidRPr="00832680">
        <w:rPr>
          <w:rFonts w:hint="cs"/>
          <w:b/>
          <w:bCs/>
          <w:sz w:val="20"/>
          <w:szCs w:val="20"/>
          <w:rtl/>
        </w:rPr>
        <w:t>ב"י</w:t>
      </w:r>
      <w:r>
        <w:rPr>
          <w:rFonts w:hint="cs"/>
          <w:sz w:val="20"/>
          <w:szCs w:val="20"/>
          <w:rtl/>
        </w:rPr>
        <w:t xml:space="preserve">. ייתכן </w:t>
      </w:r>
      <w:r w:rsidRPr="00832680">
        <w:rPr>
          <w:rFonts w:hint="cs"/>
          <w:b/>
          <w:bCs/>
          <w:sz w:val="20"/>
          <w:szCs w:val="20"/>
          <w:rtl/>
        </w:rPr>
        <w:t>שהסמ"ק</w:t>
      </w:r>
      <w:r>
        <w:rPr>
          <w:rFonts w:hint="cs"/>
          <w:sz w:val="20"/>
          <w:szCs w:val="20"/>
          <w:rtl/>
        </w:rPr>
        <w:t xml:space="preserve"> מודה </w:t>
      </w:r>
      <w:r w:rsidRPr="00832680">
        <w:rPr>
          <w:rFonts w:hint="cs"/>
          <w:b/>
          <w:bCs/>
          <w:sz w:val="20"/>
          <w:szCs w:val="20"/>
          <w:rtl/>
        </w:rPr>
        <w:t>לרא"ש</w:t>
      </w:r>
      <w:r>
        <w:rPr>
          <w:rFonts w:hint="cs"/>
          <w:sz w:val="20"/>
          <w:szCs w:val="20"/>
          <w:rtl/>
        </w:rPr>
        <w:t xml:space="preserve"> שאף ביום ז' עצמו לא שייך סתירה. לפי"ז, ייתכן שאף אם טבלה בליל שביעי אינה צריכה להמתין שש עונות ולמנות יום נוסף, משום שספרה כבר מקצת יום ז'. דוחה </w:t>
      </w:r>
      <w:r w:rsidRPr="00832680">
        <w:rPr>
          <w:rFonts w:hint="cs"/>
          <w:b/>
          <w:bCs/>
          <w:sz w:val="20"/>
          <w:szCs w:val="20"/>
          <w:rtl/>
        </w:rPr>
        <w:t>הב"י</w:t>
      </w:r>
      <w:r>
        <w:rPr>
          <w:rFonts w:hint="cs"/>
          <w:sz w:val="20"/>
          <w:szCs w:val="20"/>
          <w:rtl/>
        </w:rPr>
        <w:t xml:space="preserve">. ספירת ליל ז' אינה מועילה במקום יום ז'. </w:t>
      </w:r>
      <w:r w:rsidRPr="00294DB4">
        <w:rPr>
          <w:rFonts w:hint="cs"/>
          <w:b/>
          <w:bCs/>
          <w:sz w:val="20"/>
          <w:szCs w:val="20"/>
          <w:rtl/>
        </w:rPr>
        <w:t>ש"ך</w:t>
      </w:r>
      <w:r>
        <w:rPr>
          <w:rFonts w:hint="cs"/>
          <w:sz w:val="20"/>
          <w:szCs w:val="20"/>
          <w:rtl/>
        </w:rPr>
        <w:t>. צ"ע לדינא האם להקל כב"י כשטבלה ושימשה ביום ז'.</w:t>
      </w:r>
      <w:r>
        <w:rPr>
          <w:rFonts w:hint="cs"/>
          <w:sz w:val="20"/>
          <w:szCs w:val="20"/>
          <w:rtl/>
        </w:rPr>
        <w:br/>
        <w:t xml:space="preserve">3. </w:t>
      </w:r>
      <w:r w:rsidRPr="00832680">
        <w:rPr>
          <w:rFonts w:hint="cs"/>
          <w:b/>
          <w:bCs/>
          <w:sz w:val="20"/>
          <w:szCs w:val="20"/>
          <w:rtl/>
        </w:rPr>
        <w:t>ב"י</w:t>
      </w:r>
      <w:r>
        <w:rPr>
          <w:rFonts w:hint="cs"/>
          <w:sz w:val="20"/>
          <w:szCs w:val="20"/>
          <w:rtl/>
        </w:rPr>
        <w:t>. אע"פ שיש הפסק בין הנקיים, כיוון שהוא אינו מחמת טומאת זיבה אלא מחמת ש"ז, אינו כלום.</w:t>
      </w:r>
      <w:r>
        <w:rPr>
          <w:rFonts w:hint="cs"/>
          <w:sz w:val="20"/>
          <w:szCs w:val="20"/>
          <w:rtl/>
        </w:rPr>
        <w:br/>
        <w:t xml:space="preserve">4. </w:t>
      </w:r>
      <w:r w:rsidRPr="00931625">
        <w:rPr>
          <w:rFonts w:hint="cs"/>
          <w:b/>
          <w:bCs/>
          <w:sz w:val="20"/>
          <w:szCs w:val="20"/>
          <w:rtl/>
        </w:rPr>
        <w:t>מחבר</w:t>
      </w:r>
      <w:r>
        <w:rPr>
          <w:rFonts w:hint="cs"/>
          <w:sz w:val="20"/>
          <w:szCs w:val="20"/>
          <w:rtl/>
        </w:rPr>
        <w:t xml:space="preserve">. טעתה יום אחד ושימשה </w:t>
      </w:r>
      <w:r>
        <w:rPr>
          <w:sz w:val="20"/>
          <w:szCs w:val="20"/>
          <w:rtl/>
        </w:rPr>
        <w:t>–</w:t>
      </w:r>
      <w:r>
        <w:rPr>
          <w:rFonts w:hint="cs"/>
          <w:sz w:val="20"/>
          <w:szCs w:val="20"/>
          <w:rtl/>
        </w:rPr>
        <w:t xml:space="preserve"> תמתין ו' עונות ויום נקי ותטבול. אירעה טעות בטבילה </w:t>
      </w:r>
      <w:r>
        <w:rPr>
          <w:sz w:val="20"/>
          <w:szCs w:val="20"/>
          <w:rtl/>
        </w:rPr>
        <w:t>–</w:t>
      </w:r>
      <w:r>
        <w:rPr>
          <w:rFonts w:hint="cs"/>
          <w:sz w:val="20"/>
          <w:szCs w:val="20"/>
          <w:rtl/>
        </w:rPr>
        <w:t xml:space="preserve"> טובלת כשתרצה</w:t>
      </w:r>
      <w:r>
        <w:rPr>
          <w:rFonts w:hint="cs"/>
          <w:sz w:val="20"/>
          <w:szCs w:val="20"/>
          <w:rtl/>
        </w:rPr>
        <w:br/>
        <w:t xml:space="preserve">5. </w:t>
      </w:r>
      <w:r w:rsidRPr="00832680">
        <w:rPr>
          <w:rFonts w:hint="cs"/>
          <w:b/>
          <w:bCs/>
          <w:sz w:val="20"/>
          <w:szCs w:val="20"/>
          <w:rtl/>
        </w:rPr>
        <w:t>ט"ז</w:t>
      </w:r>
      <w:r>
        <w:rPr>
          <w:rFonts w:hint="cs"/>
          <w:sz w:val="20"/>
          <w:szCs w:val="20"/>
          <w:rtl/>
        </w:rPr>
        <w:t>. אין חוששים שמא ראתה טיפת דם כחרדל וחיפהו ש"ז כבבתולים, הואיל ואין דמים מצויים בה.</w:t>
      </w:r>
      <w:r>
        <w:rPr>
          <w:sz w:val="20"/>
          <w:szCs w:val="20"/>
          <w:rtl/>
        </w:rPr>
        <w:br/>
      </w:r>
      <w:r>
        <w:rPr>
          <w:rFonts w:hint="cs"/>
          <w:sz w:val="20"/>
          <w:szCs w:val="20"/>
          <w:rtl/>
        </w:rPr>
        <w:t xml:space="preserve">6. </w:t>
      </w:r>
      <w:r w:rsidRPr="00832680">
        <w:rPr>
          <w:rFonts w:hint="cs"/>
          <w:b/>
          <w:bCs/>
          <w:sz w:val="20"/>
          <w:szCs w:val="20"/>
          <w:rtl/>
        </w:rPr>
        <w:t>ט"ז</w:t>
      </w:r>
      <w:r>
        <w:rPr>
          <w:rFonts w:hint="cs"/>
          <w:sz w:val="20"/>
          <w:szCs w:val="20"/>
          <w:rtl/>
        </w:rPr>
        <w:t xml:space="preserve">. אם בעלה לא היה מצוי לה צ' יום קודם הטעות, צריכה להמתין צ' יום להבחין בין זרע כשר לפסול, וצ"ע לדינא. </w:t>
      </w:r>
      <w:r w:rsidRPr="00832680">
        <w:rPr>
          <w:rFonts w:hint="cs"/>
          <w:b/>
          <w:bCs/>
          <w:sz w:val="20"/>
          <w:szCs w:val="20"/>
          <w:rtl/>
        </w:rPr>
        <w:t>נקה"כ</w:t>
      </w:r>
      <w:r>
        <w:rPr>
          <w:rFonts w:hint="cs"/>
          <w:sz w:val="20"/>
          <w:szCs w:val="20"/>
          <w:rtl/>
        </w:rPr>
        <w:t>. רק בזרע של גוי יש להמתין הואיל והוא פסול, משא"כ כאן שאף בן נידה הוא כישראל גמור.</w:t>
      </w:r>
      <w:r>
        <w:rPr>
          <w:rFonts w:hint="cs"/>
          <w:sz w:val="20"/>
          <w:szCs w:val="20"/>
          <w:rtl/>
        </w:rPr>
        <w:br/>
        <w:t xml:space="preserve">7. </w:t>
      </w:r>
      <w:r w:rsidRPr="00832680">
        <w:rPr>
          <w:rFonts w:hint="cs"/>
          <w:b/>
          <w:bCs/>
          <w:sz w:val="20"/>
          <w:szCs w:val="20"/>
          <w:rtl/>
        </w:rPr>
        <w:t>ש"ך</w:t>
      </w:r>
      <w:r>
        <w:rPr>
          <w:rFonts w:hint="cs"/>
          <w:sz w:val="20"/>
          <w:szCs w:val="20"/>
          <w:rtl/>
        </w:rPr>
        <w:t>. הטועה וסופרת יום נקי לאחר ו' עונות, אינה צריכה להוסיף יום מחשש ביה"ש, לא גזרו בדבר לא מצוי.</w:t>
      </w:r>
    </w:p>
    <w:p w:rsidR="00620060" w:rsidRDefault="00620060" w:rsidP="00620060">
      <w:pPr>
        <w:rPr>
          <w:sz w:val="20"/>
          <w:szCs w:val="20"/>
          <w:rtl/>
        </w:rPr>
      </w:pPr>
      <w:r>
        <w:rPr>
          <w:rFonts w:hint="cs"/>
          <w:sz w:val="20"/>
          <w:szCs w:val="20"/>
          <w:rtl/>
        </w:rPr>
        <w:br/>
      </w:r>
      <w:r>
        <w:rPr>
          <w:rFonts w:hint="cs"/>
          <w:b/>
          <w:bCs/>
          <w:sz w:val="20"/>
          <w:szCs w:val="20"/>
          <w:rtl/>
        </w:rPr>
        <w:t xml:space="preserve">סעיף יג </w:t>
      </w:r>
      <w:r>
        <w:rPr>
          <w:b/>
          <w:bCs/>
          <w:sz w:val="20"/>
          <w:szCs w:val="20"/>
          <w:rtl/>
        </w:rPr>
        <w:t>–</w:t>
      </w:r>
      <w:r>
        <w:rPr>
          <w:rFonts w:hint="cs"/>
          <w:b/>
          <w:bCs/>
          <w:sz w:val="20"/>
          <w:szCs w:val="20"/>
          <w:rtl/>
        </w:rPr>
        <w:t xml:space="preserve"> הפלטת שכבת זרע באופן יזום</w:t>
      </w:r>
      <w:r>
        <w:rPr>
          <w:rFonts w:hint="cs"/>
          <w:b/>
          <w:bCs/>
          <w:sz w:val="20"/>
          <w:szCs w:val="20"/>
          <w:rtl/>
        </w:rPr>
        <w:br/>
        <w:t>מקורות הדין</w:t>
      </w:r>
      <w:r>
        <w:rPr>
          <w:b/>
          <w:bCs/>
          <w:sz w:val="20"/>
          <w:szCs w:val="20"/>
          <w:rtl/>
        </w:rPr>
        <w:br/>
      </w:r>
      <w:r>
        <w:rPr>
          <w:rFonts w:hint="cs"/>
          <w:sz w:val="20"/>
          <w:szCs w:val="20"/>
          <w:rtl/>
        </w:rPr>
        <w:t xml:space="preserve">א. </w:t>
      </w:r>
      <w:r>
        <w:rPr>
          <w:rFonts w:hint="cs"/>
          <w:b/>
          <w:bCs/>
          <w:sz w:val="20"/>
          <w:szCs w:val="20"/>
          <w:rtl/>
        </w:rPr>
        <w:t xml:space="preserve">גמרא </w:t>
      </w:r>
      <w:r>
        <w:rPr>
          <w:rFonts w:hint="cs"/>
          <w:sz w:val="20"/>
          <w:szCs w:val="20"/>
          <w:rtl/>
        </w:rPr>
        <w:t>נידה (מא:) "</w:t>
      </w:r>
      <w:r w:rsidRPr="0080048C">
        <w:rPr>
          <w:rFonts w:cs="Arial"/>
          <w:sz w:val="20"/>
          <w:szCs w:val="20"/>
          <w:rtl/>
        </w:rPr>
        <w:t>למימרא דמשמשת בטומאת ערב סגי לה? והא אמר רבא: משמשת - כל שלשה ימים אסורה לאכול בתרומה, שאי אפשר לה שלא תפלוט! הכא במאי עסקינן - שהטבילוה במטה. מכלל דכי קאמר רבא - דאזלה איהי בכרעה וטבלה, דילמא בהדי דקאזלה שדיתא?</w:t>
      </w:r>
      <w:r>
        <w:rPr>
          <w:rFonts w:cs="Arial" w:hint="cs"/>
          <w:sz w:val="20"/>
          <w:szCs w:val="20"/>
          <w:rtl/>
        </w:rPr>
        <w:t>"</w:t>
      </w:r>
      <w:r>
        <w:rPr>
          <w:rFonts w:hint="cs"/>
          <w:sz w:val="20"/>
          <w:szCs w:val="20"/>
          <w:rtl/>
        </w:rPr>
        <w:br/>
        <w:t xml:space="preserve">ב. </w:t>
      </w:r>
      <w:r w:rsidRPr="0080048C">
        <w:rPr>
          <w:rFonts w:hint="cs"/>
          <w:b/>
          <w:bCs/>
          <w:sz w:val="20"/>
          <w:szCs w:val="20"/>
          <w:rtl/>
        </w:rPr>
        <w:t>משנה</w:t>
      </w:r>
      <w:r>
        <w:rPr>
          <w:rFonts w:hint="cs"/>
          <w:sz w:val="20"/>
          <w:szCs w:val="20"/>
          <w:rtl/>
        </w:rPr>
        <w:t xml:space="preserve"> מקוואות (ח, ד) "</w:t>
      </w:r>
      <w:r w:rsidRPr="0080048C">
        <w:rPr>
          <w:rFonts w:cs="Arial"/>
          <w:sz w:val="20"/>
          <w:szCs w:val="20"/>
          <w:rtl/>
        </w:rPr>
        <w:t>האשה ששמשה ביתה וירדה וטבלה ולא כבדה את הבית כאילו לא טבלה</w:t>
      </w:r>
      <w:r>
        <w:rPr>
          <w:rFonts w:cs="Arial" w:hint="cs"/>
          <w:sz w:val="20"/>
          <w:szCs w:val="20"/>
          <w:rtl/>
        </w:rPr>
        <w:t>".</w:t>
      </w:r>
    </w:p>
    <w:p w:rsidR="00620060" w:rsidRDefault="00620060" w:rsidP="00620060">
      <w:pPr>
        <w:rPr>
          <w:sz w:val="20"/>
          <w:szCs w:val="20"/>
          <w:rtl/>
        </w:rPr>
      </w:pPr>
      <w:r>
        <w:rPr>
          <w:rFonts w:hint="cs"/>
          <w:b/>
          <w:bCs/>
          <w:sz w:val="20"/>
          <w:szCs w:val="20"/>
          <w:rtl/>
        </w:rPr>
        <w:t>שיטות הראשונים</w:t>
      </w:r>
      <w:r>
        <w:rPr>
          <w:rFonts w:hint="cs"/>
          <w:b/>
          <w:bCs/>
          <w:sz w:val="20"/>
          <w:szCs w:val="20"/>
          <w:rtl/>
        </w:rPr>
        <w:br/>
      </w:r>
      <w:r>
        <w:rPr>
          <w:rFonts w:hint="cs"/>
          <w:sz w:val="20"/>
          <w:szCs w:val="20"/>
          <w:rtl/>
        </w:rPr>
        <w:t>מה יכולה אשה לעשות כדי להפליט את הזרע ולהתחיל למנות מייד ז"נ למרות שלא עברו שש עונות?</w:t>
      </w:r>
      <w:r>
        <w:rPr>
          <w:b/>
          <w:bCs/>
          <w:sz w:val="20"/>
          <w:szCs w:val="20"/>
          <w:rtl/>
        </w:rPr>
        <w:br/>
      </w:r>
      <w:r>
        <w:rPr>
          <w:rFonts w:hint="cs"/>
          <w:sz w:val="20"/>
          <w:szCs w:val="20"/>
          <w:rtl/>
        </w:rPr>
        <w:t xml:space="preserve">א. </w:t>
      </w:r>
      <w:r w:rsidRPr="00804E27">
        <w:rPr>
          <w:rFonts w:hint="cs"/>
          <w:b/>
          <w:bCs/>
          <w:sz w:val="20"/>
          <w:szCs w:val="20"/>
          <w:rtl/>
        </w:rPr>
        <w:t>רא"ש</w:t>
      </w:r>
      <w:r>
        <w:rPr>
          <w:rFonts w:hint="cs"/>
          <w:sz w:val="20"/>
          <w:szCs w:val="20"/>
          <w:rtl/>
        </w:rPr>
        <w:t xml:space="preserve"> </w:t>
      </w:r>
      <w:r>
        <w:rPr>
          <w:sz w:val="20"/>
          <w:szCs w:val="20"/>
          <w:rtl/>
        </w:rPr>
        <w:t>–</w:t>
      </w:r>
      <w:r>
        <w:rPr>
          <w:rFonts w:hint="cs"/>
          <w:sz w:val="20"/>
          <w:szCs w:val="20"/>
          <w:rtl/>
        </w:rPr>
        <w:t xml:space="preserve"> יכולה לנקות את אותו מקום במוך, או לרחוץ במים חמים שיפליטו את הזרע, וכ"פ </w:t>
      </w:r>
      <w:r w:rsidRPr="006E5613">
        <w:rPr>
          <w:rFonts w:hint="cs"/>
          <w:b/>
          <w:bCs/>
          <w:sz w:val="20"/>
          <w:szCs w:val="20"/>
          <w:rtl/>
        </w:rPr>
        <w:t>המחבר</w:t>
      </w:r>
      <w:r>
        <w:rPr>
          <w:rFonts w:hint="cs"/>
          <w:sz w:val="20"/>
          <w:szCs w:val="20"/>
          <w:rtl/>
        </w:rPr>
        <w:t>.</w:t>
      </w:r>
      <w:r>
        <w:rPr>
          <w:sz w:val="20"/>
          <w:szCs w:val="20"/>
          <w:rtl/>
        </w:rPr>
        <w:br/>
      </w:r>
      <w:r w:rsidRPr="00804E27">
        <w:rPr>
          <w:rFonts w:hint="cs"/>
          <w:b/>
          <w:bCs/>
          <w:sz w:val="20"/>
          <w:szCs w:val="20"/>
          <w:rtl/>
        </w:rPr>
        <w:t>ראיה</w:t>
      </w:r>
      <w:r>
        <w:rPr>
          <w:rFonts w:hint="cs"/>
          <w:sz w:val="20"/>
          <w:szCs w:val="20"/>
          <w:rtl/>
        </w:rPr>
        <w:t xml:space="preserve"> </w:t>
      </w:r>
      <w:r>
        <w:rPr>
          <w:sz w:val="20"/>
          <w:szCs w:val="20"/>
          <w:rtl/>
        </w:rPr>
        <w:t>–</w:t>
      </w:r>
      <w:r>
        <w:rPr>
          <w:rFonts w:hint="cs"/>
          <w:sz w:val="20"/>
          <w:szCs w:val="20"/>
          <w:rtl/>
        </w:rPr>
        <w:t xml:space="preserve"> נאמר במשנה שאם לא כיבדה את הבית כאילו לא טבלה, משמע שניתן לקנח את אותו מקום ומהני.</w:t>
      </w:r>
      <w:r>
        <w:rPr>
          <w:sz w:val="20"/>
          <w:szCs w:val="20"/>
          <w:rtl/>
        </w:rPr>
        <w:br/>
      </w:r>
      <w:r>
        <w:rPr>
          <w:rFonts w:hint="cs"/>
          <w:sz w:val="20"/>
          <w:szCs w:val="20"/>
          <w:rtl/>
        </w:rPr>
        <w:t xml:space="preserve">ב. </w:t>
      </w:r>
      <w:r w:rsidRPr="00AE3362">
        <w:rPr>
          <w:rFonts w:hint="cs"/>
          <w:b/>
          <w:bCs/>
          <w:sz w:val="20"/>
          <w:szCs w:val="20"/>
          <w:rtl/>
        </w:rPr>
        <w:t>רשב"א ותרומה</w:t>
      </w:r>
      <w:r>
        <w:rPr>
          <w:rFonts w:hint="cs"/>
          <w:sz w:val="20"/>
          <w:szCs w:val="20"/>
          <w:rtl/>
        </w:rPr>
        <w:t xml:space="preserve"> </w:t>
      </w:r>
      <w:r>
        <w:rPr>
          <w:sz w:val="20"/>
          <w:szCs w:val="20"/>
          <w:rtl/>
        </w:rPr>
        <w:t>–</w:t>
      </w:r>
      <w:r>
        <w:rPr>
          <w:rFonts w:hint="cs"/>
          <w:sz w:val="20"/>
          <w:szCs w:val="20"/>
          <w:rtl/>
        </w:rPr>
        <w:t xml:space="preserve"> צריכה לנקות את אותו מקום במוך ובנוסף לרחוץ בחמים.</w:t>
      </w:r>
      <w:r>
        <w:rPr>
          <w:rFonts w:hint="cs"/>
          <w:sz w:val="20"/>
          <w:szCs w:val="20"/>
          <w:rtl/>
        </w:rPr>
        <w:br/>
        <w:t xml:space="preserve">ג. </w:t>
      </w:r>
      <w:r w:rsidRPr="007636D1">
        <w:rPr>
          <w:rFonts w:hint="cs"/>
          <w:b/>
          <w:bCs/>
          <w:sz w:val="20"/>
          <w:szCs w:val="20"/>
          <w:rtl/>
        </w:rPr>
        <w:t>רמב"ן</w:t>
      </w:r>
      <w:r>
        <w:rPr>
          <w:rFonts w:hint="cs"/>
          <w:sz w:val="20"/>
          <w:szCs w:val="20"/>
          <w:rtl/>
        </w:rPr>
        <w:t xml:space="preserve"> </w:t>
      </w:r>
      <w:r>
        <w:rPr>
          <w:sz w:val="20"/>
          <w:szCs w:val="20"/>
          <w:rtl/>
        </w:rPr>
        <w:t>–</w:t>
      </w:r>
      <w:r>
        <w:rPr>
          <w:rFonts w:hint="cs"/>
          <w:sz w:val="20"/>
          <w:szCs w:val="20"/>
          <w:rtl/>
        </w:rPr>
        <w:t xml:space="preserve"> יכולה ללכת ברגליה, וע"י כך תפלוט את הזרע.</w:t>
      </w:r>
      <w:r>
        <w:rPr>
          <w:rFonts w:hint="cs"/>
          <w:sz w:val="20"/>
          <w:szCs w:val="20"/>
          <w:rtl/>
        </w:rPr>
        <w:br/>
      </w:r>
      <w:r w:rsidRPr="00997D89">
        <w:rPr>
          <w:rFonts w:hint="cs"/>
          <w:b/>
          <w:bCs/>
          <w:sz w:val="20"/>
          <w:szCs w:val="20"/>
          <w:rtl/>
        </w:rPr>
        <w:t xml:space="preserve">ראיה </w:t>
      </w:r>
      <w:r>
        <w:rPr>
          <w:sz w:val="20"/>
          <w:szCs w:val="20"/>
          <w:rtl/>
        </w:rPr>
        <w:t>–</w:t>
      </w:r>
      <w:r>
        <w:rPr>
          <w:rFonts w:hint="cs"/>
          <w:sz w:val="20"/>
          <w:szCs w:val="20"/>
          <w:rtl/>
        </w:rPr>
        <w:t xml:space="preserve"> כך נאמר בגמרא "</w:t>
      </w:r>
      <w:r w:rsidRPr="003F3A13">
        <w:rPr>
          <w:rFonts w:cs="Arial"/>
          <w:sz w:val="20"/>
          <w:szCs w:val="20"/>
          <w:rtl/>
        </w:rPr>
        <w:t>אי דאזלא בכרעא בהדי דאזלא שדיתיה</w:t>
      </w:r>
      <w:r>
        <w:rPr>
          <w:rFonts w:cs="Arial" w:hint="cs"/>
          <w:sz w:val="20"/>
          <w:szCs w:val="20"/>
          <w:rtl/>
        </w:rPr>
        <w:t>". ואע"פ שבמשנה נאמר שצריכה לכבד את הבית, במשנה מדובר שלא הלכה ברגליה ולכן צריכה לנקות את אותו מקום.</w:t>
      </w:r>
      <w:r>
        <w:rPr>
          <w:rStyle w:val="a5"/>
          <w:rFonts w:cs="Arial"/>
          <w:sz w:val="20"/>
          <w:szCs w:val="20"/>
          <w:rtl/>
        </w:rPr>
        <w:footnoteReference w:id="552"/>
      </w:r>
      <w:r>
        <w:rPr>
          <w:rFonts w:hint="cs"/>
          <w:sz w:val="20"/>
          <w:szCs w:val="20"/>
          <w:rtl/>
        </w:rPr>
        <w:br/>
        <w:t xml:space="preserve">דוחה </w:t>
      </w:r>
      <w:r w:rsidRPr="00997D89">
        <w:rPr>
          <w:rFonts w:hint="cs"/>
          <w:b/>
          <w:bCs/>
          <w:sz w:val="20"/>
          <w:szCs w:val="20"/>
          <w:rtl/>
        </w:rPr>
        <w:t>הרא"ש</w:t>
      </w:r>
      <w:r>
        <w:rPr>
          <w:rFonts w:hint="cs"/>
          <w:sz w:val="20"/>
          <w:szCs w:val="20"/>
          <w:rtl/>
        </w:rPr>
        <w:t xml:space="preserve"> </w:t>
      </w:r>
      <w:r>
        <w:rPr>
          <w:sz w:val="20"/>
          <w:szCs w:val="20"/>
          <w:rtl/>
        </w:rPr>
        <w:t>–</w:t>
      </w:r>
      <w:r>
        <w:rPr>
          <w:rFonts w:hint="cs"/>
          <w:sz w:val="20"/>
          <w:szCs w:val="20"/>
          <w:rtl/>
        </w:rPr>
        <w:t xml:space="preserve"> דברי </w:t>
      </w:r>
      <w:r w:rsidRPr="00997D89">
        <w:rPr>
          <w:rFonts w:hint="cs"/>
          <w:b/>
          <w:bCs/>
          <w:sz w:val="20"/>
          <w:szCs w:val="20"/>
          <w:rtl/>
        </w:rPr>
        <w:t>הרמב"ן</w:t>
      </w:r>
      <w:r>
        <w:rPr>
          <w:rFonts w:hint="cs"/>
          <w:sz w:val="20"/>
          <w:szCs w:val="20"/>
          <w:rtl/>
        </w:rPr>
        <w:t xml:space="preserve"> אינם נכונים, משום שכוונת הגמרא היא רק לדחות שמא ע"י ההילוך ברגליה פולטת את הזרע</w:t>
      </w:r>
      <w:r>
        <w:rPr>
          <w:rStyle w:val="a5"/>
          <w:sz w:val="20"/>
          <w:szCs w:val="20"/>
          <w:rtl/>
        </w:rPr>
        <w:footnoteReference w:id="553"/>
      </w:r>
      <w:r>
        <w:rPr>
          <w:rFonts w:hint="cs"/>
          <w:sz w:val="20"/>
          <w:szCs w:val="20"/>
          <w:rtl/>
        </w:rPr>
        <w:t>.</w:t>
      </w:r>
    </w:p>
    <w:p w:rsidR="00620060" w:rsidRDefault="00620060" w:rsidP="00620060">
      <w:pPr>
        <w:rPr>
          <w:sz w:val="20"/>
          <w:szCs w:val="20"/>
          <w:rtl/>
        </w:rPr>
      </w:pPr>
      <w:r>
        <w:rPr>
          <w:rFonts w:hint="cs"/>
          <w:b/>
          <w:bCs/>
          <w:sz w:val="20"/>
          <w:szCs w:val="20"/>
          <w:rtl/>
        </w:rPr>
        <w:t>האם ניתן לסמוך על הפלטת הזרע הנעשית באופן יזום?</w:t>
      </w:r>
      <w:r>
        <w:rPr>
          <w:rFonts w:hint="cs"/>
          <w:b/>
          <w:bCs/>
          <w:sz w:val="20"/>
          <w:szCs w:val="20"/>
          <w:rtl/>
        </w:rPr>
        <w:br/>
      </w:r>
      <w:r>
        <w:rPr>
          <w:rFonts w:hint="cs"/>
          <w:sz w:val="20"/>
          <w:szCs w:val="20"/>
          <w:rtl/>
        </w:rPr>
        <w:t xml:space="preserve">א. </w:t>
      </w:r>
      <w:r w:rsidRPr="00015570">
        <w:rPr>
          <w:rFonts w:hint="cs"/>
          <w:b/>
          <w:bCs/>
          <w:sz w:val="20"/>
          <w:szCs w:val="20"/>
          <w:rtl/>
        </w:rPr>
        <w:t xml:space="preserve">סמ"ק </w:t>
      </w:r>
      <w:r>
        <w:rPr>
          <w:sz w:val="20"/>
          <w:szCs w:val="20"/>
          <w:rtl/>
        </w:rPr>
        <w:t>–</w:t>
      </w:r>
      <w:r>
        <w:rPr>
          <w:rFonts w:hint="cs"/>
          <w:sz w:val="20"/>
          <w:szCs w:val="20"/>
          <w:rtl/>
        </w:rPr>
        <w:t xml:space="preserve"> אין לסמוך על הפלטת הזרע הנעשית באופן יזום, וכ"פ </w:t>
      </w:r>
      <w:r w:rsidRPr="00015570">
        <w:rPr>
          <w:rFonts w:hint="cs"/>
          <w:b/>
          <w:bCs/>
          <w:sz w:val="20"/>
          <w:szCs w:val="20"/>
          <w:rtl/>
        </w:rPr>
        <w:t>הרמ"א</w:t>
      </w:r>
      <w:r>
        <w:rPr>
          <w:rFonts w:hint="cs"/>
          <w:sz w:val="20"/>
          <w:szCs w:val="20"/>
          <w:rtl/>
        </w:rPr>
        <w:t>.</w:t>
      </w:r>
      <w:r>
        <w:rPr>
          <w:sz w:val="20"/>
          <w:szCs w:val="20"/>
          <w:rtl/>
        </w:rPr>
        <w:br/>
      </w:r>
      <w:r w:rsidRPr="00015570">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איננו בקיאים בכך, איננו יודעים עד היכן צריך להכניס את המוך ועד היכן צריכים המים להיכנס.</w:t>
      </w:r>
      <w:r>
        <w:rPr>
          <w:rFonts w:hint="cs"/>
          <w:sz w:val="20"/>
          <w:szCs w:val="20"/>
          <w:rtl/>
        </w:rPr>
        <w:br/>
      </w:r>
      <w:r>
        <w:rPr>
          <w:rFonts w:hint="cs"/>
          <w:sz w:val="20"/>
          <w:szCs w:val="20"/>
          <w:rtl/>
        </w:rPr>
        <w:lastRenderedPageBreak/>
        <w:t xml:space="preserve">ב. </w:t>
      </w:r>
      <w:r w:rsidRPr="00015570">
        <w:rPr>
          <w:rFonts w:hint="cs"/>
          <w:b/>
          <w:bCs/>
          <w:sz w:val="20"/>
          <w:szCs w:val="20"/>
          <w:rtl/>
        </w:rPr>
        <w:t>בית יוסף</w:t>
      </w:r>
      <w:r>
        <w:rPr>
          <w:rFonts w:hint="cs"/>
          <w:sz w:val="20"/>
          <w:szCs w:val="20"/>
          <w:rtl/>
        </w:rPr>
        <w:t xml:space="preserve"> </w:t>
      </w:r>
      <w:r>
        <w:rPr>
          <w:sz w:val="20"/>
          <w:szCs w:val="20"/>
          <w:rtl/>
        </w:rPr>
        <w:t>–</w:t>
      </w:r>
      <w:r>
        <w:rPr>
          <w:rFonts w:hint="cs"/>
          <w:sz w:val="20"/>
          <w:szCs w:val="20"/>
          <w:rtl/>
        </w:rPr>
        <w:t xml:space="preserve"> ניתן לסמוך על הפלטת הזרע הנעשית באופנים המבוארים לעיל</w:t>
      </w:r>
      <w:r>
        <w:rPr>
          <w:rStyle w:val="a5"/>
          <w:sz w:val="20"/>
          <w:szCs w:val="20"/>
          <w:rtl/>
        </w:rPr>
        <w:footnoteReference w:id="554"/>
      </w:r>
      <w:r>
        <w:rPr>
          <w:rFonts w:hint="cs"/>
          <w:sz w:val="20"/>
          <w:szCs w:val="20"/>
          <w:rtl/>
        </w:rPr>
        <w:t>.</w:t>
      </w:r>
      <w:r>
        <w:rPr>
          <w:sz w:val="20"/>
          <w:szCs w:val="20"/>
          <w:rtl/>
        </w:rPr>
        <w:br/>
      </w:r>
      <w:r w:rsidRPr="00015570">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מלבד הסמ"ק אין שום פוסק שכתב לא לסמוך על כך.</w:t>
      </w:r>
    </w:p>
    <w:p w:rsidR="00620060" w:rsidRDefault="00620060" w:rsidP="00620060">
      <w:pPr>
        <w:rPr>
          <w:rFonts w:cs="Arial"/>
          <w:sz w:val="18"/>
          <w:szCs w:val="18"/>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9E682B">
        <w:rPr>
          <w:rFonts w:cs="Arial"/>
          <w:sz w:val="20"/>
          <w:szCs w:val="20"/>
          <w:rtl/>
        </w:rPr>
        <w:t xml:space="preserve">האשה ששמשה מטתה וראתה אחר כך ופסקה, ורוצה לספור מיום מחרת ראייתה, תקנח יפה יפה אותו מקום במוך או בבגד להפליט כל הזרע או תרחוץ במים חמין והם יפליטו כל הזרע. </w:t>
      </w:r>
      <w:r>
        <w:rPr>
          <w:rFonts w:cs="Arial" w:hint="cs"/>
          <w:sz w:val="18"/>
          <w:szCs w:val="18"/>
          <w:rtl/>
        </w:rPr>
        <w:br/>
      </w:r>
      <w:r w:rsidRPr="009E682B">
        <w:rPr>
          <w:rFonts w:cs="Arial"/>
          <w:sz w:val="18"/>
          <w:szCs w:val="18"/>
          <w:rtl/>
        </w:rPr>
        <w:t>הגה: ויש אומרים דאין אנו בקיאין בזמן הזה ואין לסמוך על זה, והכי נהוג דהרי כבר נתבאר שאנו נוהגין להמתין אפילו לא שמשה כלל, כדי שלא לחלק בין ספירה לספירה, כ</w:t>
      </w:r>
      <w:r>
        <w:rPr>
          <w:rFonts w:cs="Arial" w:hint="cs"/>
          <w:sz w:val="18"/>
          <w:szCs w:val="18"/>
          <w:rtl/>
        </w:rPr>
        <w:t>ל שכן</w:t>
      </w:r>
      <w:r w:rsidRPr="009E682B">
        <w:rPr>
          <w:rFonts w:cs="Arial"/>
          <w:sz w:val="18"/>
          <w:szCs w:val="18"/>
          <w:rtl/>
        </w:rPr>
        <w:t xml:space="preserve"> בכהאי גוונא</w:t>
      </w:r>
      <w:r>
        <w:rPr>
          <w:rStyle w:val="a5"/>
          <w:rFonts w:cs="Arial"/>
          <w:sz w:val="18"/>
          <w:szCs w:val="18"/>
          <w:rtl/>
        </w:rPr>
        <w:footnoteReference w:id="555"/>
      </w:r>
      <w:r w:rsidRPr="009E682B">
        <w:rPr>
          <w:rFonts w:cs="Arial"/>
          <w:sz w:val="18"/>
          <w:szCs w:val="18"/>
          <w:rtl/>
        </w:rPr>
        <w:t>; וכל הפורץ גדר בדברים אלו במקום שנהגו להחמיר, ישכנו נחש</w:t>
      </w:r>
      <w:r w:rsidRPr="009E682B">
        <w:rPr>
          <w:rFonts w:cs="Arial" w:hint="cs"/>
          <w:sz w:val="18"/>
          <w:szCs w:val="18"/>
          <w:rtl/>
        </w:rPr>
        <w:t>".</w:t>
      </w:r>
    </w:p>
    <w:p w:rsidR="00620060" w:rsidRPr="00E623E6" w:rsidRDefault="00620060" w:rsidP="00620060">
      <w:pPr>
        <w:rPr>
          <w:rFonts w:cs="Arial"/>
          <w:sz w:val="20"/>
          <w:szCs w:val="20"/>
          <w:rtl/>
        </w:rPr>
      </w:pPr>
      <w:r w:rsidRPr="00E623E6">
        <w:rPr>
          <w:rFonts w:cs="Arial" w:hint="cs"/>
          <w:b/>
          <w:bCs/>
          <w:sz w:val="20"/>
          <w:szCs w:val="20"/>
          <w:rtl/>
        </w:rPr>
        <w:t>סיכום</w:t>
      </w:r>
      <w:r w:rsidRPr="00E623E6">
        <w:rPr>
          <w:rFonts w:cs="Arial"/>
          <w:b/>
          <w:bCs/>
          <w:sz w:val="20"/>
          <w:szCs w:val="20"/>
          <w:rtl/>
        </w:rPr>
        <w:br/>
      </w:r>
      <w:r>
        <w:rPr>
          <w:rFonts w:cs="Arial" w:hint="cs"/>
          <w:sz w:val="20"/>
          <w:szCs w:val="20"/>
          <w:rtl/>
        </w:rPr>
        <w:t xml:space="preserve">1. </w:t>
      </w:r>
      <w:r w:rsidRPr="00E623E6">
        <w:rPr>
          <w:rFonts w:cs="Arial" w:hint="cs"/>
          <w:b/>
          <w:bCs/>
          <w:sz w:val="20"/>
          <w:szCs w:val="20"/>
          <w:rtl/>
        </w:rPr>
        <w:t>גמרא</w:t>
      </w:r>
      <w:r>
        <w:rPr>
          <w:rFonts w:cs="Arial" w:hint="cs"/>
          <w:sz w:val="20"/>
          <w:szCs w:val="20"/>
          <w:rtl/>
        </w:rPr>
        <w:t xml:space="preserve">. אשה יכולה להוציא את הזרע מגופה ע"י הליכה. </w:t>
      </w:r>
      <w:r w:rsidRPr="00E623E6">
        <w:rPr>
          <w:rFonts w:cs="Arial" w:hint="cs"/>
          <w:b/>
          <w:bCs/>
          <w:sz w:val="20"/>
          <w:szCs w:val="20"/>
          <w:rtl/>
        </w:rPr>
        <w:t>משנה</w:t>
      </w:r>
      <w:r>
        <w:rPr>
          <w:rFonts w:cs="Arial" w:hint="cs"/>
          <w:sz w:val="20"/>
          <w:szCs w:val="20"/>
          <w:rtl/>
        </w:rPr>
        <w:t>. ניתן להוציא את הזרע ע"י כיבוד המקום.</w:t>
      </w:r>
      <w:r>
        <w:rPr>
          <w:rFonts w:cs="Arial"/>
          <w:sz w:val="20"/>
          <w:szCs w:val="20"/>
          <w:rtl/>
        </w:rPr>
        <w:br/>
      </w:r>
      <w:r w:rsidRPr="00DB205F">
        <w:rPr>
          <w:rFonts w:cs="Arial" w:hint="cs"/>
          <w:sz w:val="20"/>
          <w:szCs w:val="20"/>
          <w:rtl/>
        </w:rPr>
        <w:t xml:space="preserve">2. כיצד ניתן לנקות את המקום מזרע? </w:t>
      </w:r>
      <w:r w:rsidRPr="00DB205F">
        <w:rPr>
          <w:rFonts w:cs="Arial" w:hint="cs"/>
          <w:b/>
          <w:bCs/>
          <w:sz w:val="20"/>
          <w:szCs w:val="20"/>
          <w:rtl/>
        </w:rPr>
        <w:t>רא</w:t>
      </w:r>
      <w:r w:rsidRPr="00E623E6">
        <w:rPr>
          <w:rFonts w:cs="Arial" w:hint="cs"/>
          <w:b/>
          <w:bCs/>
          <w:sz w:val="20"/>
          <w:szCs w:val="20"/>
          <w:rtl/>
        </w:rPr>
        <w:t>"ש</w:t>
      </w:r>
      <w:r>
        <w:rPr>
          <w:rFonts w:cs="Arial" w:hint="cs"/>
          <w:sz w:val="20"/>
          <w:szCs w:val="20"/>
          <w:rtl/>
        </w:rPr>
        <w:t xml:space="preserve">. ע"י מוך או רחצה בחמים, וכ"פ </w:t>
      </w:r>
      <w:r w:rsidRPr="00E623E6">
        <w:rPr>
          <w:rFonts w:cs="Arial" w:hint="cs"/>
          <w:b/>
          <w:bCs/>
          <w:sz w:val="20"/>
          <w:szCs w:val="20"/>
          <w:rtl/>
        </w:rPr>
        <w:t>המחבר</w:t>
      </w:r>
      <w:r>
        <w:rPr>
          <w:rFonts w:cs="Arial" w:hint="cs"/>
          <w:sz w:val="20"/>
          <w:szCs w:val="20"/>
          <w:rtl/>
        </w:rPr>
        <w:t xml:space="preserve">. </w:t>
      </w:r>
      <w:r w:rsidRPr="00E623E6">
        <w:rPr>
          <w:rFonts w:cs="Arial" w:hint="cs"/>
          <w:b/>
          <w:bCs/>
          <w:sz w:val="20"/>
          <w:szCs w:val="20"/>
          <w:rtl/>
        </w:rPr>
        <w:t>רשב"א ותרומה</w:t>
      </w:r>
      <w:r>
        <w:rPr>
          <w:rFonts w:cs="Arial" w:hint="cs"/>
          <w:sz w:val="20"/>
          <w:szCs w:val="20"/>
          <w:rtl/>
        </w:rPr>
        <w:t xml:space="preserve">. מוך ורחצה ביחד. </w:t>
      </w:r>
      <w:r w:rsidRPr="00E623E6">
        <w:rPr>
          <w:rFonts w:cs="Arial" w:hint="cs"/>
          <w:b/>
          <w:bCs/>
          <w:sz w:val="20"/>
          <w:szCs w:val="20"/>
          <w:rtl/>
        </w:rPr>
        <w:t>רמב"ן</w:t>
      </w:r>
      <w:r>
        <w:rPr>
          <w:rFonts w:cs="Arial" w:hint="cs"/>
          <w:sz w:val="20"/>
          <w:szCs w:val="20"/>
          <w:rtl/>
        </w:rPr>
        <w:t xml:space="preserve">. ע"י הליכה, אך </w:t>
      </w:r>
      <w:r w:rsidRPr="00E623E6">
        <w:rPr>
          <w:rFonts w:cs="Arial" w:hint="cs"/>
          <w:b/>
          <w:bCs/>
          <w:sz w:val="20"/>
          <w:szCs w:val="20"/>
          <w:rtl/>
        </w:rPr>
        <w:t>הרא"ש</w:t>
      </w:r>
      <w:r>
        <w:rPr>
          <w:rFonts w:cs="Arial" w:hint="cs"/>
          <w:sz w:val="20"/>
          <w:szCs w:val="20"/>
          <w:rtl/>
        </w:rPr>
        <w:t xml:space="preserve"> דוחה ומחלוקתם תלויה בגרסות שונות בגמרא.</w:t>
      </w:r>
      <w:r>
        <w:rPr>
          <w:rFonts w:cs="Arial"/>
          <w:sz w:val="20"/>
          <w:szCs w:val="20"/>
          <w:rtl/>
        </w:rPr>
        <w:br/>
      </w:r>
      <w:r>
        <w:rPr>
          <w:rFonts w:cs="Arial" w:hint="cs"/>
          <w:sz w:val="20"/>
          <w:szCs w:val="20"/>
          <w:rtl/>
        </w:rPr>
        <w:t xml:space="preserve">3. </w:t>
      </w:r>
      <w:r w:rsidRPr="00E623E6">
        <w:rPr>
          <w:rFonts w:cs="Arial" w:hint="cs"/>
          <w:b/>
          <w:bCs/>
          <w:sz w:val="20"/>
          <w:szCs w:val="20"/>
          <w:rtl/>
        </w:rPr>
        <w:t>סמ"ק</w:t>
      </w:r>
      <w:r>
        <w:rPr>
          <w:rFonts w:cs="Arial" w:hint="cs"/>
          <w:sz w:val="20"/>
          <w:szCs w:val="20"/>
          <w:rtl/>
        </w:rPr>
        <w:t xml:space="preserve">. אין לסמוך על הפלטת זרע, וכ"פ </w:t>
      </w:r>
      <w:r w:rsidRPr="00E623E6">
        <w:rPr>
          <w:rFonts w:cs="Arial" w:hint="cs"/>
          <w:b/>
          <w:bCs/>
          <w:sz w:val="20"/>
          <w:szCs w:val="20"/>
          <w:rtl/>
        </w:rPr>
        <w:t>הרמ"א</w:t>
      </w:r>
      <w:r>
        <w:rPr>
          <w:rFonts w:cs="Arial" w:hint="cs"/>
          <w:sz w:val="20"/>
          <w:szCs w:val="20"/>
          <w:rtl/>
        </w:rPr>
        <w:t xml:space="preserve">. </w:t>
      </w:r>
      <w:r w:rsidRPr="00E623E6">
        <w:rPr>
          <w:rFonts w:cs="Arial" w:hint="cs"/>
          <w:b/>
          <w:bCs/>
          <w:sz w:val="20"/>
          <w:szCs w:val="20"/>
          <w:rtl/>
        </w:rPr>
        <w:t>טעם</w:t>
      </w:r>
      <w:r>
        <w:rPr>
          <w:rFonts w:cs="Arial" w:hint="cs"/>
          <w:sz w:val="20"/>
          <w:szCs w:val="20"/>
          <w:rtl/>
        </w:rPr>
        <w:t xml:space="preserve">. איננו בקיאים. </w:t>
      </w:r>
      <w:r w:rsidRPr="00E623E6">
        <w:rPr>
          <w:rFonts w:cs="Arial" w:hint="cs"/>
          <w:b/>
          <w:bCs/>
          <w:sz w:val="20"/>
          <w:szCs w:val="20"/>
          <w:rtl/>
        </w:rPr>
        <w:t>ב"י</w:t>
      </w:r>
      <w:r>
        <w:rPr>
          <w:rFonts w:cs="Arial" w:hint="cs"/>
          <w:sz w:val="20"/>
          <w:szCs w:val="20"/>
          <w:rtl/>
        </w:rPr>
        <w:t>. ניתן לסמוך על כך.</w:t>
      </w:r>
      <w:r>
        <w:rPr>
          <w:rFonts w:cs="Arial"/>
          <w:sz w:val="20"/>
          <w:szCs w:val="20"/>
          <w:rtl/>
        </w:rPr>
        <w:br/>
      </w:r>
      <w:r>
        <w:rPr>
          <w:rFonts w:cs="Arial" w:hint="cs"/>
          <w:sz w:val="20"/>
          <w:szCs w:val="20"/>
          <w:rtl/>
        </w:rPr>
        <w:t xml:space="preserve">4. </w:t>
      </w:r>
      <w:r w:rsidRPr="00E623E6">
        <w:rPr>
          <w:rFonts w:cs="Arial" w:hint="cs"/>
          <w:b/>
          <w:bCs/>
          <w:sz w:val="20"/>
          <w:szCs w:val="20"/>
          <w:rtl/>
        </w:rPr>
        <w:t>מחבר</w:t>
      </w:r>
      <w:r>
        <w:rPr>
          <w:rFonts w:cs="Arial" w:hint="cs"/>
          <w:sz w:val="20"/>
          <w:szCs w:val="20"/>
          <w:rtl/>
        </w:rPr>
        <w:t xml:space="preserve">. ניתן לפלוט את הזרע ע"י מוך או רחצה בחמים. </w:t>
      </w:r>
      <w:r w:rsidRPr="00E623E6">
        <w:rPr>
          <w:rFonts w:cs="Arial" w:hint="cs"/>
          <w:b/>
          <w:bCs/>
          <w:sz w:val="20"/>
          <w:szCs w:val="20"/>
          <w:rtl/>
        </w:rPr>
        <w:t>רמ"א</w:t>
      </w:r>
      <w:r>
        <w:rPr>
          <w:rFonts w:cs="Arial" w:hint="cs"/>
          <w:sz w:val="20"/>
          <w:szCs w:val="20"/>
          <w:rtl/>
        </w:rPr>
        <w:t>. אין להקל בכך, שהרי גזרו אפילו כשלא שימשה כלל, והפורץ גדר במקום שנהגו להחמיר ישכנו נחש.</w:t>
      </w:r>
    </w:p>
    <w:p w:rsidR="00620060" w:rsidRPr="008D57AB" w:rsidRDefault="00620060" w:rsidP="00620060">
      <w:pPr>
        <w:rPr>
          <w:rFonts w:asciiTheme="minorBidi" w:hAnsiTheme="minorBidi"/>
          <w:sz w:val="20"/>
          <w:szCs w:val="20"/>
          <w:rtl/>
        </w:rPr>
      </w:pPr>
      <w:r>
        <w:rPr>
          <w:rFonts w:hint="cs"/>
          <w:u w:val="single"/>
          <w:rtl/>
        </w:rPr>
        <w:br/>
      </w:r>
      <w:r w:rsidRPr="008D57AB">
        <w:rPr>
          <w:rFonts w:asciiTheme="minorBidi" w:hAnsiTheme="minorBidi"/>
          <w:b/>
          <w:bCs/>
          <w:sz w:val="20"/>
          <w:szCs w:val="20"/>
          <w:rtl/>
        </w:rPr>
        <w:t>השחתת זרע</w:t>
      </w:r>
      <w:r w:rsidRPr="008D57AB">
        <w:rPr>
          <w:rStyle w:val="a5"/>
          <w:rFonts w:asciiTheme="minorBidi" w:hAnsiTheme="minorBidi"/>
          <w:sz w:val="20"/>
          <w:szCs w:val="20"/>
          <w:rtl/>
        </w:rPr>
        <w:footnoteReference w:id="556"/>
      </w:r>
      <w:r>
        <w:rPr>
          <w:rFonts w:asciiTheme="minorBidi" w:hAnsiTheme="minorBidi"/>
          <w:b/>
          <w:bCs/>
          <w:sz w:val="20"/>
          <w:szCs w:val="20"/>
          <w:rtl/>
        </w:rPr>
        <w:br/>
      </w:r>
      <w:r w:rsidRPr="008D57AB">
        <w:rPr>
          <w:rFonts w:asciiTheme="minorBidi" w:hAnsiTheme="minorBidi" w:hint="cs"/>
          <w:b/>
          <w:bCs/>
          <w:sz w:val="20"/>
          <w:szCs w:val="20"/>
          <w:rtl/>
        </w:rPr>
        <w:t>כרתי ופלתי</w:t>
      </w:r>
      <w:r>
        <w:rPr>
          <w:rFonts w:asciiTheme="minorBidi" w:hAnsiTheme="minorBidi" w:hint="cs"/>
          <w:sz w:val="20"/>
          <w:szCs w:val="20"/>
          <w:rtl/>
        </w:rPr>
        <w:t xml:space="preserve"> </w:t>
      </w:r>
      <w:r>
        <w:rPr>
          <w:rFonts w:asciiTheme="minorBidi" w:hAnsiTheme="minorBidi"/>
          <w:sz w:val="20"/>
          <w:szCs w:val="20"/>
          <w:rtl/>
        </w:rPr>
        <w:t>–</w:t>
      </w:r>
      <w:r>
        <w:rPr>
          <w:rFonts w:asciiTheme="minorBidi" w:hAnsiTheme="minorBidi" w:hint="cs"/>
          <w:sz w:val="20"/>
          <w:szCs w:val="20"/>
          <w:rtl/>
        </w:rPr>
        <w:t xml:space="preserve"> קשה,</w:t>
      </w:r>
      <w:r w:rsidRPr="008D57AB">
        <w:rPr>
          <w:rFonts w:asciiTheme="minorBidi" w:hAnsiTheme="minorBidi" w:hint="cs"/>
          <w:sz w:val="20"/>
          <w:szCs w:val="20"/>
          <w:rtl/>
        </w:rPr>
        <w:t xml:space="preserve"> כיצד מותרת לקנח לדעת הסבורים שיש איסור של השחתת זרע גם לנשים, ו</w:t>
      </w:r>
      <w:r>
        <w:rPr>
          <w:rFonts w:asciiTheme="minorBidi" w:hAnsiTheme="minorBidi" w:hint="cs"/>
          <w:sz w:val="20"/>
          <w:szCs w:val="20"/>
          <w:rtl/>
        </w:rPr>
        <w:t xml:space="preserve">כן הקשה </w:t>
      </w:r>
      <w:r w:rsidRPr="008D57AB">
        <w:rPr>
          <w:rFonts w:asciiTheme="minorBidi" w:hAnsiTheme="minorBidi" w:hint="cs"/>
          <w:b/>
          <w:bCs/>
          <w:sz w:val="20"/>
          <w:szCs w:val="20"/>
          <w:rtl/>
        </w:rPr>
        <w:t>רעק"א</w:t>
      </w:r>
      <w:r w:rsidRPr="008D57AB">
        <w:rPr>
          <w:rFonts w:asciiTheme="minorBidi" w:hAnsiTheme="minorBidi" w:hint="cs"/>
          <w:sz w:val="20"/>
          <w:szCs w:val="20"/>
          <w:rtl/>
        </w:rPr>
        <w:t xml:space="preserve"> </w:t>
      </w:r>
      <w:r>
        <w:rPr>
          <w:rFonts w:asciiTheme="minorBidi" w:hAnsiTheme="minorBidi" w:hint="cs"/>
          <w:sz w:val="20"/>
          <w:szCs w:val="20"/>
          <w:rtl/>
        </w:rPr>
        <w:t>(</w:t>
      </w:r>
      <w:r w:rsidRPr="008D57AB">
        <w:rPr>
          <w:rFonts w:asciiTheme="minorBidi" w:hAnsiTheme="minorBidi" w:hint="cs"/>
          <w:sz w:val="20"/>
          <w:szCs w:val="20"/>
          <w:rtl/>
        </w:rPr>
        <w:t>סי</w:t>
      </w:r>
      <w:r>
        <w:rPr>
          <w:rFonts w:asciiTheme="minorBidi" w:hAnsiTheme="minorBidi" w:hint="cs"/>
          <w:sz w:val="20"/>
          <w:szCs w:val="20"/>
          <w:rtl/>
        </w:rPr>
        <w:t>מן</w:t>
      </w:r>
      <w:r w:rsidRPr="008D57AB">
        <w:rPr>
          <w:rFonts w:asciiTheme="minorBidi" w:hAnsiTheme="minorBidi" w:hint="cs"/>
          <w:sz w:val="20"/>
          <w:szCs w:val="20"/>
          <w:rtl/>
        </w:rPr>
        <w:t xml:space="preserve"> עב</w:t>
      </w:r>
      <w:r>
        <w:rPr>
          <w:rFonts w:asciiTheme="minorBidi" w:hAnsiTheme="minorBidi" w:hint="cs"/>
          <w:sz w:val="20"/>
          <w:szCs w:val="20"/>
          <w:rtl/>
        </w:rPr>
        <w:t>)</w:t>
      </w:r>
      <w:r w:rsidRPr="008D57AB">
        <w:rPr>
          <w:rFonts w:asciiTheme="minorBidi" w:hAnsiTheme="minorBidi" w:hint="cs"/>
          <w:sz w:val="20"/>
          <w:szCs w:val="20"/>
          <w:rtl/>
        </w:rPr>
        <w:t xml:space="preserve"> על כל בדיקה לאחר תשמיש.</w:t>
      </w:r>
      <w:r>
        <w:rPr>
          <w:rFonts w:asciiTheme="minorBidi" w:hAnsiTheme="minorBidi"/>
          <w:sz w:val="20"/>
          <w:szCs w:val="20"/>
          <w:rtl/>
        </w:rPr>
        <w:br/>
      </w:r>
      <w:r>
        <w:rPr>
          <w:rFonts w:asciiTheme="minorBidi" w:hAnsiTheme="minorBidi" w:hint="cs"/>
          <w:sz w:val="20"/>
          <w:szCs w:val="20"/>
          <w:rtl/>
        </w:rPr>
        <w:t xml:space="preserve">תירוץ - </w:t>
      </w:r>
      <w:r w:rsidRPr="008D57AB">
        <w:rPr>
          <w:rFonts w:asciiTheme="minorBidi" w:hAnsiTheme="minorBidi" w:hint="cs"/>
          <w:sz w:val="20"/>
          <w:szCs w:val="20"/>
          <w:rtl/>
        </w:rPr>
        <w:t>אותו הזרע הראוי להיקלט כבר נקלט בגופה ואינו יוצא ע</w:t>
      </w:r>
      <w:r>
        <w:rPr>
          <w:rFonts w:asciiTheme="minorBidi" w:hAnsiTheme="minorBidi" w:hint="cs"/>
          <w:sz w:val="20"/>
          <w:szCs w:val="20"/>
          <w:rtl/>
        </w:rPr>
        <w:t xml:space="preserve">ל </w:t>
      </w:r>
      <w:r w:rsidRPr="008D57AB">
        <w:rPr>
          <w:rFonts w:asciiTheme="minorBidi" w:hAnsiTheme="minorBidi" w:hint="cs"/>
          <w:sz w:val="20"/>
          <w:szCs w:val="20"/>
          <w:rtl/>
        </w:rPr>
        <w:t>י</w:t>
      </w:r>
      <w:r>
        <w:rPr>
          <w:rFonts w:asciiTheme="minorBidi" w:hAnsiTheme="minorBidi" w:hint="cs"/>
          <w:sz w:val="20"/>
          <w:szCs w:val="20"/>
          <w:rtl/>
        </w:rPr>
        <w:t>די</w:t>
      </w:r>
      <w:r w:rsidRPr="008D57AB">
        <w:rPr>
          <w:rFonts w:asciiTheme="minorBidi" w:hAnsiTheme="minorBidi" w:hint="cs"/>
          <w:sz w:val="20"/>
          <w:szCs w:val="20"/>
          <w:rtl/>
        </w:rPr>
        <w:t xml:space="preserve"> קינוח, ואותו שלא נקלט ויכול לצאת אין סופו להיקלט לעולם, ולכן אין בו איסור השחתה</w:t>
      </w:r>
      <w:r>
        <w:rPr>
          <w:rFonts w:asciiTheme="minorBidi" w:hAnsiTheme="minorBidi" w:hint="cs"/>
          <w:sz w:val="20"/>
          <w:szCs w:val="20"/>
          <w:rtl/>
        </w:rPr>
        <w:t xml:space="preserve">, </w:t>
      </w:r>
      <w:r w:rsidRPr="008D57AB">
        <w:rPr>
          <w:rFonts w:asciiTheme="minorBidi" w:hAnsiTheme="minorBidi" w:hint="cs"/>
          <w:b/>
          <w:bCs/>
          <w:sz w:val="20"/>
          <w:szCs w:val="20"/>
          <w:rtl/>
        </w:rPr>
        <w:t>כרו"פ ונובי"ק</w:t>
      </w:r>
      <w:r w:rsidRPr="008D57AB">
        <w:rPr>
          <w:rFonts w:asciiTheme="minorBidi" w:hAnsiTheme="minorBidi" w:hint="cs"/>
          <w:sz w:val="20"/>
          <w:szCs w:val="20"/>
          <w:rtl/>
        </w:rPr>
        <w:t xml:space="preserve"> אה"ע סי</w:t>
      </w:r>
      <w:r>
        <w:rPr>
          <w:rFonts w:asciiTheme="minorBidi" w:hAnsiTheme="minorBidi" w:hint="cs"/>
          <w:sz w:val="20"/>
          <w:szCs w:val="20"/>
          <w:rtl/>
        </w:rPr>
        <w:t>מן</w:t>
      </w:r>
      <w:r w:rsidRPr="008D57AB">
        <w:rPr>
          <w:rFonts w:asciiTheme="minorBidi" w:hAnsiTheme="minorBidi" w:hint="cs"/>
          <w:sz w:val="20"/>
          <w:szCs w:val="20"/>
          <w:rtl/>
        </w:rPr>
        <w:t xml:space="preserve"> סט.</w:t>
      </w:r>
    </w:p>
    <w:p w:rsidR="00620060" w:rsidRPr="008D57AB" w:rsidRDefault="00620060" w:rsidP="00620060">
      <w:pPr>
        <w:rPr>
          <w:rFonts w:asciiTheme="minorBidi" w:hAnsiTheme="minorBidi"/>
          <w:sz w:val="20"/>
          <w:szCs w:val="20"/>
          <w:rtl/>
        </w:rPr>
      </w:pPr>
      <w:r>
        <w:rPr>
          <w:rFonts w:asciiTheme="minorBidi" w:hAnsiTheme="minorBidi" w:hint="cs"/>
          <w:sz w:val="20"/>
          <w:szCs w:val="20"/>
          <w:rtl/>
        </w:rPr>
        <w:t>מ</w:t>
      </w:r>
      <w:r w:rsidRPr="008D57AB">
        <w:rPr>
          <w:rFonts w:asciiTheme="minorBidi" w:hAnsiTheme="minorBidi" w:hint="cs"/>
          <w:sz w:val="20"/>
          <w:szCs w:val="20"/>
          <w:rtl/>
        </w:rPr>
        <w:t xml:space="preserve">קשה </w:t>
      </w:r>
      <w:r w:rsidRPr="008D57AB">
        <w:rPr>
          <w:rFonts w:asciiTheme="minorBidi" w:hAnsiTheme="minorBidi" w:hint="cs"/>
          <w:b/>
          <w:bCs/>
          <w:sz w:val="20"/>
          <w:szCs w:val="20"/>
          <w:rtl/>
        </w:rPr>
        <w:t>רעק"א</w:t>
      </w:r>
      <w:r w:rsidRPr="008D57AB">
        <w:rPr>
          <w:rFonts w:asciiTheme="minorBidi" w:hAnsiTheme="minorBidi" w:hint="cs"/>
          <w:sz w:val="20"/>
          <w:szCs w:val="20"/>
          <w:rtl/>
        </w:rPr>
        <w:t xml:space="preserve"> </w:t>
      </w:r>
      <w:r w:rsidRPr="008D57AB">
        <w:rPr>
          <w:rFonts w:asciiTheme="minorBidi" w:hAnsiTheme="minorBidi" w:hint="cs"/>
          <w:sz w:val="18"/>
          <w:szCs w:val="18"/>
          <w:rtl/>
        </w:rPr>
        <w:t xml:space="preserve">(סי' צ) </w:t>
      </w:r>
      <w:r>
        <w:rPr>
          <w:rFonts w:asciiTheme="minorBidi" w:hAnsiTheme="minorBidi" w:hint="cs"/>
          <w:sz w:val="20"/>
          <w:szCs w:val="20"/>
          <w:rtl/>
        </w:rPr>
        <w:t xml:space="preserve">- </w:t>
      </w:r>
      <w:r w:rsidRPr="008D57AB">
        <w:rPr>
          <w:rFonts w:asciiTheme="minorBidi" w:hAnsiTheme="minorBidi" w:hint="cs"/>
          <w:sz w:val="20"/>
          <w:szCs w:val="20"/>
          <w:rtl/>
        </w:rPr>
        <w:t>מבואר בגמ</w:t>
      </w:r>
      <w:r>
        <w:rPr>
          <w:rFonts w:asciiTheme="minorBidi" w:hAnsiTheme="minorBidi" w:hint="cs"/>
          <w:sz w:val="20"/>
          <w:szCs w:val="20"/>
          <w:rtl/>
        </w:rPr>
        <w:t>רא</w:t>
      </w:r>
      <w:r w:rsidRPr="008D57AB">
        <w:rPr>
          <w:rFonts w:asciiTheme="minorBidi" w:hAnsiTheme="minorBidi" w:hint="cs"/>
          <w:sz w:val="20"/>
          <w:szCs w:val="20"/>
          <w:rtl/>
        </w:rPr>
        <w:t xml:space="preserve"> שאשה יכולה להתעבר גם לאחר יום או יומיים ששימשה</w:t>
      </w:r>
      <w:r>
        <w:rPr>
          <w:rFonts w:asciiTheme="minorBidi" w:hAnsiTheme="minorBidi" w:hint="cs"/>
          <w:sz w:val="20"/>
          <w:szCs w:val="20"/>
          <w:rtl/>
        </w:rPr>
        <w:t>?</w:t>
      </w:r>
      <w:r w:rsidRPr="008D57AB">
        <w:rPr>
          <w:rFonts w:asciiTheme="minorBidi" w:hAnsiTheme="minorBidi" w:hint="cs"/>
          <w:sz w:val="20"/>
          <w:szCs w:val="20"/>
          <w:rtl/>
        </w:rPr>
        <w:t xml:space="preserve"> וצריך לומר, שזרע שנכנס לרחם אע"פ שעדיין לא נקלט, אינו יכול לצאת משם, ויכולה להתעבר ממנו לאחר יום או יומיים.</w:t>
      </w:r>
    </w:p>
    <w:p w:rsidR="00620060" w:rsidRPr="008D57AB" w:rsidRDefault="00620060" w:rsidP="00620060">
      <w:pPr>
        <w:rPr>
          <w:rFonts w:asciiTheme="minorBidi" w:hAnsiTheme="minorBidi"/>
          <w:sz w:val="20"/>
          <w:szCs w:val="20"/>
          <w:rtl/>
        </w:rPr>
      </w:pPr>
      <w:r w:rsidRPr="008D57AB">
        <w:rPr>
          <w:rFonts w:asciiTheme="minorBidi" w:hAnsiTheme="minorBidi" w:hint="cs"/>
          <w:sz w:val="20"/>
          <w:szCs w:val="20"/>
          <w:rtl/>
        </w:rPr>
        <w:t>אמנם קשה על מהלך זה, ד</w:t>
      </w:r>
      <w:r>
        <w:rPr>
          <w:rFonts w:asciiTheme="minorBidi" w:hAnsiTheme="minorBidi" w:hint="cs"/>
          <w:sz w:val="20"/>
          <w:szCs w:val="20"/>
          <w:rtl/>
        </w:rPr>
        <w:t xml:space="preserve">עיין </w:t>
      </w:r>
      <w:r w:rsidRPr="008D57AB">
        <w:rPr>
          <w:rFonts w:asciiTheme="minorBidi" w:hAnsiTheme="minorBidi" w:hint="cs"/>
          <w:b/>
          <w:bCs/>
          <w:sz w:val="20"/>
          <w:szCs w:val="20"/>
          <w:rtl/>
        </w:rPr>
        <w:t>בבאר הגולה</w:t>
      </w:r>
      <w:r w:rsidRPr="008D57AB">
        <w:rPr>
          <w:rFonts w:asciiTheme="minorBidi" w:hAnsiTheme="minorBidi" w:hint="cs"/>
          <w:sz w:val="20"/>
          <w:szCs w:val="20"/>
          <w:rtl/>
        </w:rPr>
        <w:t xml:space="preserve"> שנהגו הנשים שלא ללכת לבית המרחץ ג</w:t>
      </w:r>
      <w:r>
        <w:rPr>
          <w:rFonts w:asciiTheme="minorBidi" w:hAnsiTheme="minorBidi" w:hint="cs"/>
          <w:sz w:val="20"/>
          <w:szCs w:val="20"/>
          <w:rtl/>
        </w:rPr>
        <w:t>' ימים</w:t>
      </w:r>
      <w:r w:rsidRPr="008D57AB">
        <w:rPr>
          <w:rFonts w:asciiTheme="minorBidi" w:hAnsiTheme="minorBidi" w:hint="cs"/>
          <w:sz w:val="20"/>
          <w:szCs w:val="20"/>
          <w:rtl/>
        </w:rPr>
        <w:t xml:space="preserve"> אחר הטבילה, כדי שלא ייפלט מגופה זרע הראוי לעיבור.  והרי לפי הנ"ל, מה שיכול לצאת על ידי רחיצה אינו ראוי לעיבור.</w:t>
      </w:r>
    </w:p>
    <w:p w:rsidR="00620060" w:rsidRPr="008D57AB" w:rsidRDefault="00620060" w:rsidP="00620060">
      <w:pPr>
        <w:rPr>
          <w:rFonts w:asciiTheme="minorBidi" w:hAnsiTheme="minorBidi"/>
          <w:sz w:val="20"/>
          <w:szCs w:val="20"/>
          <w:rtl/>
        </w:rPr>
      </w:pPr>
      <w:r w:rsidRPr="008D57AB">
        <w:rPr>
          <w:rFonts w:asciiTheme="minorBidi" w:hAnsiTheme="minorBidi" w:hint="cs"/>
          <w:sz w:val="20"/>
          <w:szCs w:val="20"/>
          <w:rtl/>
        </w:rPr>
        <w:t xml:space="preserve">ותרץ </w:t>
      </w:r>
      <w:r w:rsidRPr="008D57AB">
        <w:rPr>
          <w:rFonts w:asciiTheme="minorBidi" w:hAnsiTheme="minorBidi" w:hint="cs"/>
          <w:b/>
          <w:bCs/>
          <w:sz w:val="20"/>
          <w:szCs w:val="20"/>
          <w:rtl/>
        </w:rPr>
        <w:t>בשיעורי טהרה</w:t>
      </w:r>
      <w:r w:rsidRPr="008D57AB">
        <w:rPr>
          <w:rFonts w:asciiTheme="minorBidi" w:hAnsiTheme="minorBidi" w:hint="cs"/>
          <w:sz w:val="20"/>
          <w:szCs w:val="20"/>
          <w:rtl/>
        </w:rPr>
        <w:t xml:space="preserve">, דיש מיעוט שגם זרע שיכול להיפלט על ידי קינוח ורחיצה יכול להיות ראוי להריון. </w:t>
      </w:r>
      <w:r>
        <w:rPr>
          <w:rFonts w:asciiTheme="minorBidi" w:hAnsiTheme="minorBidi"/>
          <w:sz w:val="20"/>
          <w:szCs w:val="20"/>
          <w:rtl/>
        </w:rPr>
        <w:br/>
      </w:r>
      <w:r w:rsidRPr="008D57AB">
        <w:rPr>
          <w:rFonts w:asciiTheme="minorBidi" w:hAnsiTheme="minorBidi" w:hint="cs"/>
          <w:sz w:val="20"/>
          <w:szCs w:val="20"/>
          <w:rtl/>
        </w:rPr>
        <w:t>ולכן איסור של השחתת זרע ליכא דאזלינן בתר רוב, אבל כדי שלא לגרום ביטול פו"ר נהגו הנשים שלא לילך לבית המרחץ.</w:t>
      </w:r>
    </w:p>
    <w:p w:rsidR="00620060" w:rsidRPr="004E5180" w:rsidRDefault="00620060" w:rsidP="00620060">
      <w:pPr>
        <w:rPr>
          <w:u w:val="single"/>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Pr="00AA326D" w:rsidRDefault="00620060" w:rsidP="00620060">
      <w:pPr>
        <w:rPr>
          <w:b/>
          <w:bCs/>
          <w:sz w:val="20"/>
          <w:szCs w:val="20"/>
          <w:rtl/>
        </w:rPr>
      </w:pPr>
      <w:r w:rsidRPr="00AA326D">
        <w:rPr>
          <w:rFonts w:hint="cs"/>
          <w:b/>
          <w:bCs/>
          <w:sz w:val="20"/>
          <w:szCs w:val="20"/>
          <w:rtl/>
        </w:rPr>
        <w:lastRenderedPageBreak/>
        <w:t>בעזרת ה' יתברך</w:t>
      </w:r>
    </w:p>
    <w:p w:rsidR="00620060" w:rsidRPr="00AA326D" w:rsidRDefault="00620060" w:rsidP="00620060">
      <w:pPr>
        <w:rPr>
          <w:b/>
          <w:bCs/>
          <w:sz w:val="20"/>
          <w:szCs w:val="20"/>
          <w:rtl/>
        </w:rPr>
      </w:pPr>
      <w:r w:rsidRPr="00AA326D">
        <w:rPr>
          <w:rFonts w:hint="cs"/>
          <w:b/>
          <w:bCs/>
          <w:sz w:val="20"/>
          <w:szCs w:val="20"/>
          <w:rtl/>
        </w:rPr>
        <w:t xml:space="preserve">סימן קצז </w:t>
      </w:r>
      <w:r w:rsidRPr="00AA326D">
        <w:rPr>
          <w:b/>
          <w:bCs/>
          <w:sz w:val="20"/>
          <w:szCs w:val="20"/>
          <w:rtl/>
        </w:rPr>
        <w:t>–</w:t>
      </w:r>
      <w:r w:rsidRPr="00AA326D">
        <w:rPr>
          <w:rFonts w:hint="cs"/>
          <w:b/>
          <w:bCs/>
          <w:sz w:val="20"/>
          <w:szCs w:val="20"/>
          <w:rtl/>
        </w:rPr>
        <w:t xml:space="preserve"> זמן טבילת הנידה</w:t>
      </w:r>
    </w:p>
    <w:p w:rsidR="00620060" w:rsidRDefault="00620060" w:rsidP="00620060">
      <w:pPr>
        <w:rPr>
          <w:sz w:val="20"/>
          <w:szCs w:val="20"/>
          <w:rtl/>
        </w:rPr>
      </w:pPr>
      <w:r w:rsidRPr="00AA326D">
        <w:rPr>
          <w:rFonts w:hint="cs"/>
          <w:b/>
          <w:bCs/>
          <w:sz w:val="20"/>
          <w:szCs w:val="20"/>
          <w:rtl/>
        </w:rPr>
        <w:t>סעיף א</w:t>
      </w:r>
      <w:r>
        <w:rPr>
          <w:rFonts w:hint="cs"/>
          <w:b/>
          <w:bCs/>
          <w:sz w:val="20"/>
          <w:szCs w:val="20"/>
          <w:rtl/>
        </w:rPr>
        <w:t xml:space="preserve"> </w:t>
      </w:r>
      <w:r>
        <w:rPr>
          <w:b/>
          <w:bCs/>
          <w:sz w:val="20"/>
          <w:szCs w:val="20"/>
          <w:rtl/>
        </w:rPr>
        <w:t>–</w:t>
      </w:r>
      <w:r>
        <w:rPr>
          <w:rFonts w:hint="cs"/>
          <w:b/>
          <w:bCs/>
          <w:sz w:val="20"/>
          <w:szCs w:val="20"/>
          <w:rtl/>
        </w:rPr>
        <w:t xml:space="preserve"> חיוב הטבילה לנידה</w:t>
      </w:r>
      <w:r w:rsidRPr="00AA326D">
        <w:rPr>
          <w:b/>
          <w:b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CA1F8F">
        <w:rPr>
          <w:rFonts w:cs="Arial"/>
          <w:sz w:val="20"/>
          <w:szCs w:val="20"/>
          <w:rtl/>
        </w:rPr>
        <w:t>אין הנדה והזבה והיולדת עולות מטומאתן בלא טבילה, שאפילו אחר כמה שנים חייב כרת הבא על אחת מהן א</w:t>
      </w:r>
      <w:r>
        <w:rPr>
          <w:rFonts w:cs="Arial"/>
          <w:sz w:val="20"/>
          <w:szCs w:val="20"/>
          <w:rtl/>
        </w:rPr>
        <w:t>לא אם כן טבלו כראוי במקו</w:t>
      </w:r>
      <w:r>
        <w:rPr>
          <w:rFonts w:cs="Arial" w:hint="cs"/>
          <w:sz w:val="20"/>
          <w:szCs w:val="20"/>
          <w:rtl/>
        </w:rPr>
        <w:t>ו</w:t>
      </w:r>
      <w:r>
        <w:rPr>
          <w:rFonts w:cs="Arial"/>
          <w:sz w:val="20"/>
          <w:szCs w:val="20"/>
          <w:rtl/>
        </w:rPr>
        <w:t>ה הראוי</w:t>
      </w:r>
      <w:r>
        <w:rPr>
          <w:rFonts w:cs="Arial" w:hint="cs"/>
          <w:sz w:val="20"/>
          <w:szCs w:val="20"/>
          <w:rtl/>
        </w:rPr>
        <w:t>".</w:t>
      </w:r>
    </w:p>
    <w:p w:rsidR="00620060" w:rsidRDefault="00620060" w:rsidP="00620060">
      <w:pPr>
        <w:rPr>
          <w:sz w:val="20"/>
          <w:szCs w:val="20"/>
          <w:rtl/>
        </w:rPr>
      </w:pPr>
      <w:r>
        <w:rPr>
          <w:rFonts w:hint="cs"/>
          <w:sz w:val="20"/>
          <w:szCs w:val="20"/>
          <w:u w:val="single"/>
          <w:rtl/>
        </w:rPr>
        <w:t>הסבר (ע"פ הבית יוסף)</w:t>
      </w:r>
      <w:r>
        <w:rPr>
          <w:rFonts w:hint="cs"/>
          <w:sz w:val="20"/>
          <w:szCs w:val="20"/>
          <w:u w:val="single"/>
          <w:rtl/>
        </w:rPr>
        <w:br/>
      </w:r>
      <w:r>
        <w:rPr>
          <w:rFonts w:hint="cs"/>
          <w:sz w:val="20"/>
          <w:szCs w:val="20"/>
          <w:rtl/>
        </w:rPr>
        <w:t xml:space="preserve">א. 'כראוי' </w:t>
      </w:r>
      <w:r>
        <w:rPr>
          <w:sz w:val="20"/>
          <w:szCs w:val="20"/>
          <w:rtl/>
        </w:rPr>
        <w:t>–</w:t>
      </w:r>
      <w:r>
        <w:rPr>
          <w:rFonts w:hint="cs"/>
          <w:sz w:val="20"/>
          <w:szCs w:val="20"/>
          <w:rtl/>
        </w:rPr>
        <w:t xml:space="preserve"> לאפוקי אם היה עליה דבר חוצץ, וכן אם טבלה לחצאים, שאז הטבילה לא עלתה לה.</w:t>
      </w:r>
      <w:r>
        <w:rPr>
          <w:sz w:val="20"/>
          <w:szCs w:val="20"/>
          <w:rtl/>
        </w:rPr>
        <w:br/>
      </w:r>
      <w:r>
        <w:rPr>
          <w:rFonts w:hint="cs"/>
          <w:sz w:val="20"/>
          <w:szCs w:val="20"/>
          <w:rtl/>
        </w:rPr>
        <w:t xml:space="preserve">ב. 'מקווה הראוי' </w:t>
      </w:r>
      <w:r>
        <w:rPr>
          <w:sz w:val="20"/>
          <w:szCs w:val="20"/>
          <w:rtl/>
        </w:rPr>
        <w:t>–</w:t>
      </w:r>
      <w:r>
        <w:rPr>
          <w:rFonts w:hint="cs"/>
          <w:sz w:val="20"/>
          <w:szCs w:val="20"/>
          <w:rtl/>
        </w:rPr>
        <w:t xml:space="preserve"> לאפוקי אם לא היה במקווה שיעור מ' סאה, או שהיה בו אחד מהדברים הפוסלים, לקמן סימן רא'.</w:t>
      </w:r>
      <w:r>
        <w:rPr>
          <w:rFonts w:hint="cs"/>
          <w:sz w:val="20"/>
          <w:szCs w:val="20"/>
          <w:rtl/>
        </w:rPr>
        <w:br/>
        <w:t>ג. טבילת נידה לפני ז"נ אינה כלום, דינה כטובל ושרץ בידו.</w:t>
      </w:r>
      <w:r>
        <w:rPr>
          <w:sz w:val="20"/>
          <w:szCs w:val="20"/>
          <w:rtl/>
        </w:rPr>
        <w:br/>
      </w:r>
      <w:r>
        <w:rPr>
          <w:rFonts w:hint="cs"/>
          <w:sz w:val="20"/>
          <w:szCs w:val="20"/>
          <w:rtl/>
        </w:rPr>
        <w:br/>
      </w:r>
      <w:r>
        <w:rPr>
          <w:rFonts w:hint="cs"/>
          <w:sz w:val="20"/>
          <w:szCs w:val="20"/>
          <w:u w:val="single"/>
          <w:rtl/>
        </w:rPr>
        <w:t>מניין למדו דין טבילה לנידה</w:t>
      </w:r>
      <w:r>
        <w:rPr>
          <w:sz w:val="20"/>
          <w:szCs w:val="20"/>
          <w:u w:val="single"/>
          <w:rtl/>
        </w:rPr>
        <w:br/>
      </w:r>
      <w:r>
        <w:rPr>
          <w:rFonts w:hint="cs"/>
          <w:sz w:val="20"/>
          <w:szCs w:val="20"/>
          <w:rtl/>
        </w:rPr>
        <w:t xml:space="preserve">המחבר כתב, ע"פ הרמב"ם, שהבא על הנידה שלא טבלה, אפילו לאחר כמה שנים חייב כרת. </w:t>
      </w:r>
      <w:r>
        <w:rPr>
          <w:sz w:val="20"/>
          <w:szCs w:val="20"/>
          <w:rtl/>
        </w:rPr>
        <w:br/>
      </w:r>
      <w:r>
        <w:rPr>
          <w:rFonts w:hint="cs"/>
          <w:sz w:val="20"/>
          <w:szCs w:val="20"/>
          <w:rtl/>
        </w:rPr>
        <w:t xml:space="preserve">ואמנם, דין טבילת נידה אינו מפורש בתורה, ונחלקו הראשונים מה המקור לכך - </w:t>
      </w:r>
      <w:r>
        <w:rPr>
          <w:sz w:val="20"/>
          <w:szCs w:val="20"/>
          <w:rtl/>
        </w:rPr>
        <w:br/>
      </w:r>
      <w:r>
        <w:rPr>
          <w:rFonts w:hint="cs"/>
          <w:sz w:val="20"/>
          <w:szCs w:val="20"/>
          <w:rtl/>
        </w:rPr>
        <w:t xml:space="preserve">א. </w:t>
      </w:r>
      <w:r w:rsidRPr="006A0E1A">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נאמר</w:t>
      </w:r>
      <w:r w:rsidRPr="006A0E1A">
        <w:rPr>
          <w:rFonts w:hint="cs"/>
          <w:b/>
          <w:bCs/>
          <w:sz w:val="20"/>
          <w:szCs w:val="20"/>
          <w:rtl/>
        </w:rPr>
        <w:t xml:space="preserve"> בתורה</w:t>
      </w:r>
      <w:r>
        <w:rPr>
          <w:rFonts w:hint="cs"/>
          <w:sz w:val="20"/>
          <w:szCs w:val="20"/>
          <w:rtl/>
        </w:rPr>
        <w:t xml:space="preserve"> </w:t>
      </w:r>
      <w:r w:rsidRPr="006A0E1A">
        <w:rPr>
          <w:rFonts w:hint="cs"/>
          <w:sz w:val="18"/>
          <w:szCs w:val="18"/>
          <w:rtl/>
        </w:rPr>
        <w:t>(ויקרא, טו, יח)</w:t>
      </w:r>
      <w:r>
        <w:rPr>
          <w:rFonts w:hint="cs"/>
          <w:sz w:val="20"/>
          <w:szCs w:val="20"/>
          <w:rtl/>
        </w:rPr>
        <w:t xml:space="preserve"> "</w:t>
      </w:r>
      <w:r w:rsidRPr="000D1C02">
        <w:rPr>
          <w:rFonts w:cs="Arial"/>
          <w:sz w:val="20"/>
          <w:szCs w:val="20"/>
          <w:rtl/>
        </w:rPr>
        <w:t>ואשה אשר ישכב איש אתה שכבת זרע</w:t>
      </w:r>
      <w:r>
        <w:rPr>
          <w:rFonts w:cs="Arial" w:hint="cs"/>
          <w:sz w:val="20"/>
          <w:szCs w:val="20"/>
          <w:rtl/>
        </w:rPr>
        <w:t>,</w:t>
      </w:r>
      <w:r w:rsidRPr="000D1C02">
        <w:rPr>
          <w:rFonts w:cs="Arial"/>
          <w:sz w:val="20"/>
          <w:szCs w:val="20"/>
          <w:rtl/>
        </w:rPr>
        <w:t xml:space="preserve"> ורחצו במים וטמאו עד הערב</w:t>
      </w:r>
      <w:r>
        <w:rPr>
          <w:rFonts w:cs="Arial" w:hint="cs"/>
          <w:sz w:val="20"/>
          <w:szCs w:val="20"/>
          <w:rtl/>
        </w:rPr>
        <w:t>", וזה בנין אב לכל הטמאים שאינם עולים מטומאתם עד שיטבלו לטהרתם.</w:t>
      </w:r>
      <w:r>
        <w:rPr>
          <w:rFonts w:cs="Arial"/>
          <w:sz w:val="20"/>
          <w:szCs w:val="20"/>
          <w:rtl/>
        </w:rPr>
        <w:br/>
      </w:r>
      <w:r>
        <w:rPr>
          <w:rFonts w:cs="Arial" w:hint="cs"/>
          <w:sz w:val="20"/>
          <w:szCs w:val="20"/>
          <w:rtl/>
        </w:rPr>
        <w:t xml:space="preserve">ב. </w:t>
      </w:r>
      <w:r w:rsidRPr="006A0E1A">
        <w:rPr>
          <w:rFonts w:hint="cs"/>
          <w:b/>
          <w:bCs/>
          <w:sz w:val="20"/>
          <w:szCs w:val="20"/>
          <w:rtl/>
        </w:rPr>
        <w:t>סמ"ק</w:t>
      </w:r>
      <w:r>
        <w:rPr>
          <w:rFonts w:hint="cs"/>
          <w:sz w:val="20"/>
          <w:szCs w:val="20"/>
          <w:rtl/>
        </w:rPr>
        <w:t xml:space="preserve"> </w:t>
      </w:r>
      <w:r>
        <w:rPr>
          <w:sz w:val="20"/>
          <w:szCs w:val="20"/>
          <w:rtl/>
        </w:rPr>
        <w:t>–</w:t>
      </w:r>
      <w:r>
        <w:rPr>
          <w:rFonts w:hint="cs"/>
          <w:sz w:val="20"/>
          <w:szCs w:val="20"/>
          <w:rtl/>
        </w:rPr>
        <w:t xml:space="preserve"> נאמר </w:t>
      </w:r>
      <w:r w:rsidRPr="006A0E1A">
        <w:rPr>
          <w:rFonts w:hint="cs"/>
          <w:b/>
          <w:bCs/>
          <w:sz w:val="20"/>
          <w:szCs w:val="20"/>
          <w:rtl/>
        </w:rPr>
        <w:t xml:space="preserve">בגמרא </w:t>
      </w:r>
      <w:r w:rsidRPr="006A0E1A">
        <w:rPr>
          <w:rFonts w:hint="cs"/>
          <w:sz w:val="18"/>
          <w:szCs w:val="18"/>
          <w:rtl/>
        </w:rPr>
        <w:t xml:space="preserve">(שבת, סד:) </w:t>
      </w:r>
      <w:r>
        <w:rPr>
          <w:rFonts w:hint="cs"/>
          <w:sz w:val="20"/>
          <w:szCs w:val="20"/>
          <w:rtl/>
        </w:rPr>
        <w:t>"</w:t>
      </w:r>
      <w:r w:rsidRPr="006A0E1A">
        <w:rPr>
          <w:rFonts w:cs="Arial"/>
          <w:sz w:val="20"/>
          <w:szCs w:val="20"/>
          <w:rtl/>
        </w:rPr>
        <w:t>והדוה בנדתה - בנדתה תהא עד שתבא במים</w:t>
      </w:r>
      <w:r>
        <w:rPr>
          <w:rFonts w:cs="Arial" w:hint="cs"/>
          <w:sz w:val="20"/>
          <w:szCs w:val="20"/>
          <w:rtl/>
        </w:rPr>
        <w:t>". ומכאן יש ללמוד דין טבילה דאורייתא לנידה.</w:t>
      </w:r>
      <w:r>
        <w:rPr>
          <w:rStyle w:val="a5"/>
          <w:rFonts w:cs="Arial"/>
          <w:sz w:val="20"/>
          <w:szCs w:val="20"/>
          <w:rtl/>
        </w:rPr>
        <w:footnoteReference w:id="557"/>
      </w:r>
      <w:r>
        <w:rPr>
          <w:rFonts w:hint="cs"/>
          <w:sz w:val="20"/>
          <w:szCs w:val="20"/>
          <w:rtl/>
        </w:rPr>
        <w:br/>
        <w:t xml:space="preserve">ג. </w:t>
      </w:r>
      <w:r w:rsidRPr="00B41DED">
        <w:rPr>
          <w:rFonts w:hint="cs"/>
          <w:b/>
          <w:bCs/>
          <w:sz w:val="20"/>
          <w:szCs w:val="20"/>
          <w:rtl/>
        </w:rPr>
        <w:t>רב האי</w:t>
      </w:r>
      <w:r>
        <w:rPr>
          <w:rFonts w:hint="cs"/>
          <w:sz w:val="20"/>
          <w:szCs w:val="20"/>
          <w:rtl/>
        </w:rPr>
        <w:t xml:space="preserve"> </w:t>
      </w:r>
      <w:r>
        <w:rPr>
          <w:sz w:val="20"/>
          <w:szCs w:val="20"/>
          <w:rtl/>
        </w:rPr>
        <w:t>–</w:t>
      </w:r>
      <w:r>
        <w:rPr>
          <w:rFonts w:hint="cs"/>
          <w:sz w:val="20"/>
          <w:szCs w:val="20"/>
          <w:rtl/>
        </w:rPr>
        <w:t xml:space="preserve"> נאמר </w:t>
      </w:r>
      <w:r w:rsidRPr="00B41DED">
        <w:rPr>
          <w:rFonts w:hint="cs"/>
          <w:b/>
          <w:bCs/>
          <w:sz w:val="20"/>
          <w:szCs w:val="20"/>
          <w:rtl/>
        </w:rPr>
        <w:t>בתורה</w:t>
      </w:r>
      <w:r>
        <w:rPr>
          <w:rFonts w:hint="cs"/>
          <w:sz w:val="20"/>
          <w:szCs w:val="20"/>
          <w:rtl/>
        </w:rPr>
        <w:t xml:space="preserve"> (ויקרא, טו, כא) לגבי נידה "</w:t>
      </w:r>
      <w:r w:rsidRPr="00C14558">
        <w:rPr>
          <w:rFonts w:cs="Arial"/>
          <w:sz w:val="20"/>
          <w:szCs w:val="20"/>
          <w:rtl/>
        </w:rPr>
        <w:t>וכל הנגע במשכבה יכבס בגדיו ורחץ במים וטמא עד הערב</w:t>
      </w:r>
      <w:r>
        <w:rPr>
          <w:rFonts w:hint="cs"/>
          <w:sz w:val="20"/>
          <w:szCs w:val="20"/>
          <w:rtl/>
        </w:rPr>
        <w:t>". ויש ללמוד בקל וחומר שאם מגעה צריך טבילה, כל שכן שהיא עצמה צריכה טבילה.</w:t>
      </w:r>
      <w:r>
        <w:rPr>
          <w:sz w:val="20"/>
          <w:szCs w:val="20"/>
          <w:rtl/>
        </w:rPr>
        <w:br/>
      </w:r>
      <w:r>
        <w:rPr>
          <w:rFonts w:hint="cs"/>
          <w:sz w:val="20"/>
          <w:szCs w:val="20"/>
          <w:rtl/>
        </w:rPr>
        <w:t xml:space="preserve">ד. </w:t>
      </w:r>
      <w:r w:rsidRPr="00B41DED">
        <w:rPr>
          <w:rFonts w:hint="cs"/>
          <w:b/>
          <w:bCs/>
          <w:sz w:val="20"/>
          <w:szCs w:val="20"/>
          <w:rtl/>
        </w:rPr>
        <w:t>רבינו יעקב</w:t>
      </w:r>
      <w:r>
        <w:rPr>
          <w:rFonts w:hint="cs"/>
          <w:sz w:val="20"/>
          <w:szCs w:val="20"/>
          <w:rtl/>
        </w:rPr>
        <w:t xml:space="preserve"> </w:t>
      </w:r>
      <w:r>
        <w:rPr>
          <w:sz w:val="20"/>
          <w:szCs w:val="20"/>
          <w:rtl/>
        </w:rPr>
        <w:t>–</w:t>
      </w:r>
      <w:r>
        <w:rPr>
          <w:rFonts w:hint="cs"/>
          <w:sz w:val="20"/>
          <w:szCs w:val="20"/>
          <w:rtl/>
        </w:rPr>
        <w:t xml:space="preserve"> נאמר </w:t>
      </w:r>
      <w:r w:rsidRPr="00B41DED">
        <w:rPr>
          <w:rFonts w:hint="cs"/>
          <w:b/>
          <w:bCs/>
          <w:sz w:val="20"/>
          <w:szCs w:val="20"/>
          <w:rtl/>
        </w:rPr>
        <w:t xml:space="preserve">בגמרא </w:t>
      </w:r>
      <w:r w:rsidRPr="00B41DED">
        <w:rPr>
          <w:rFonts w:hint="cs"/>
          <w:sz w:val="18"/>
          <w:szCs w:val="18"/>
          <w:rtl/>
        </w:rPr>
        <w:t xml:space="preserve">(עבודה זרה, עה:) </w:t>
      </w:r>
      <w:r>
        <w:rPr>
          <w:rFonts w:hint="cs"/>
          <w:sz w:val="20"/>
          <w:szCs w:val="20"/>
          <w:rtl/>
        </w:rPr>
        <w:t>"</w:t>
      </w:r>
      <w:r w:rsidRPr="00B41DED">
        <w:rPr>
          <w:rFonts w:cs="Arial"/>
          <w:sz w:val="20"/>
          <w:szCs w:val="20"/>
          <w:rtl/>
        </w:rPr>
        <w:t>מה ת</w:t>
      </w:r>
      <w:r>
        <w:rPr>
          <w:rFonts w:cs="Arial" w:hint="cs"/>
          <w:sz w:val="20"/>
          <w:szCs w:val="20"/>
          <w:rtl/>
        </w:rPr>
        <w:t>למוד לומר</w:t>
      </w:r>
      <w:r w:rsidRPr="00B41DED">
        <w:rPr>
          <w:rFonts w:cs="Arial"/>
          <w:sz w:val="20"/>
          <w:szCs w:val="20"/>
          <w:rtl/>
        </w:rPr>
        <w:t xml:space="preserve"> במי נדה? מים שנדה טובלת בהן, הוי אומר: ארבעים סאה</w:t>
      </w:r>
      <w:r>
        <w:rPr>
          <w:rFonts w:cs="Arial" w:hint="cs"/>
          <w:sz w:val="20"/>
          <w:szCs w:val="20"/>
          <w:rtl/>
        </w:rPr>
        <w:t>"</w:t>
      </w:r>
      <w:r>
        <w:rPr>
          <w:rFonts w:hint="cs"/>
          <w:sz w:val="20"/>
          <w:szCs w:val="20"/>
          <w:rtl/>
        </w:rPr>
        <w:t>. ופסוק זה נאמר לגבי כלי מדין, ולמדו מהתם לעניין נידה.</w:t>
      </w:r>
    </w:p>
    <w:p w:rsidR="00620060" w:rsidRPr="00673D62" w:rsidRDefault="00620060" w:rsidP="00620060">
      <w:pPr>
        <w:rPr>
          <w:sz w:val="20"/>
          <w:szCs w:val="20"/>
          <w:rtl/>
        </w:rPr>
      </w:pPr>
      <w:r>
        <w:rPr>
          <w:sz w:val="20"/>
          <w:szCs w:val="20"/>
          <w:rtl/>
        </w:rPr>
        <w:br/>
      </w:r>
      <w:r>
        <w:rPr>
          <w:rFonts w:hint="cs"/>
          <w:b/>
          <w:bCs/>
          <w:sz w:val="20"/>
          <w:szCs w:val="20"/>
          <w:rtl/>
        </w:rPr>
        <w:t xml:space="preserve">סעיף ב </w:t>
      </w:r>
      <w:r>
        <w:rPr>
          <w:b/>
          <w:bCs/>
          <w:sz w:val="20"/>
          <w:szCs w:val="20"/>
          <w:rtl/>
        </w:rPr>
        <w:t>–</w:t>
      </w:r>
      <w:r>
        <w:rPr>
          <w:rFonts w:hint="cs"/>
          <w:b/>
          <w:bCs/>
          <w:sz w:val="20"/>
          <w:szCs w:val="20"/>
          <w:rtl/>
        </w:rPr>
        <w:t xml:space="preserve"> טבילה בזמנה מצווה ודין טבילה בשבת</w:t>
      </w:r>
      <w:r>
        <w:rPr>
          <w:b/>
          <w:bCs/>
          <w:sz w:val="20"/>
          <w:szCs w:val="20"/>
          <w:rtl/>
        </w:rPr>
        <w:br/>
      </w:r>
      <w:r w:rsidRPr="000D7939">
        <w:rPr>
          <w:rStyle w:val="10"/>
          <w:rFonts w:hint="cs"/>
          <w:sz w:val="22"/>
          <w:szCs w:val="22"/>
          <w:rtl/>
        </w:rPr>
        <w:t>א.</w:t>
      </w:r>
      <w:r w:rsidRPr="000D7939">
        <w:rPr>
          <w:rFonts w:hint="cs"/>
          <w:b/>
          <w:bCs/>
          <w:sz w:val="16"/>
          <w:szCs w:val="16"/>
          <w:rtl/>
        </w:rPr>
        <w:t xml:space="preserve"> </w:t>
      </w:r>
      <w:r>
        <w:rPr>
          <w:rFonts w:hint="cs"/>
          <w:b/>
          <w:bCs/>
          <w:sz w:val="20"/>
          <w:szCs w:val="20"/>
          <w:rtl/>
        </w:rPr>
        <w:t xml:space="preserve">טבילה בזמנה מצווה </w:t>
      </w:r>
      <w:r>
        <w:rPr>
          <w:b/>
          <w:bCs/>
          <w:sz w:val="20"/>
          <w:szCs w:val="20"/>
          <w:rtl/>
        </w:rPr>
        <w:t>–</w:t>
      </w:r>
      <w:r>
        <w:rPr>
          <w:rFonts w:hint="cs"/>
          <w:b/>
          <w:bCs/>
          <w:sz w:val="20"/>
          <w:szCs w:val="20"/>
          <w:rtl/>
        </w:rPr>
        <w:t xml:space="preserve"> מקורות הדין</w:t>
      </w:r>
      <w:r>
        <w:rPr>
          <w:b/>
          <w:bCs/>
          <w:sz w:val="20"/>
          <w:szCs w:val="20"/>
          <w:rtl/>
        </w:rPr>
        <w:br/>
      </w:r>
      <w:r>
        <w:rPr>
          <w:rFonts w:hint="cs"/>
          <w:sz w:val="20"/>
          <w:szCs w:val="20"/>
          <w:rtl/>
        </w:rPr>
        <w:t xml:space="preserve">א. </w:t>
      </w:r>
      <w:r w:rsidRPr="00673D62">
        <w:rPr>
          <w:rFonts w:hint="cs"/>
          <w:b/>
          <w:bCs/>
          <w:sz w:val="20"/>
          <w:szCs w:val="20"/>
          <w:rtl/>
        </w:rPr>
        <w:t>גמרא</w:t>
      </w:r>
      <w:r>
        <w:rPr>
          <w:rFonts w:hint="cs"/>
          <w:sz w:val="20"/>
          <w:szCs w:val="20"/>
          <w:rtl/>
        </w:rPr>
        <w:t xml:space="preserve"> נידה (ל.) "</w:t>
      </w:r>
      <w:r w:rsidRPr="00673D62">
        <w:rPr>
          <w:rFonts w:cs="Arial"/>
          <w:sz w:val="20"/>
          <w:szCs w:val="20"/>
          <w:rtl/>
        </w:rPr>
        <w:t>אשה שיצתה מלאה ובאה ריקנית, והביאה לפנינו שלשה שבועין טהורין, ועשרה שבועות אחד טמא ואחד טהור - משמשת לאור שלשים וחמש, ומטבילין אותה תשעים וחמש טבילות - דברי ב</w:t>
      </w:r>
      <w:r>
        <w:rPr>
          <w:rFonts w:cs="Arial" w:hint="cs"/>
          <w:sz w:val="20"/>
          <w:szCs w:val="20"/>
          <w:rtl/>
        </w:rPr>
        <w:t>ית שמאי</w:t>
      </w:r>
      <w:r w:rsidRPr="00673D62">
        <w:rPr>
          <w:rFonts w:cs="Arial"/>
          <w:sz w:val="20"/>
          <w:szCs w:val="20"/>
          <w:rtl/>
        </w:rPr>
        <w:t>, וב</w:t>
      </w:r>
      <w:r>
        <w:rPr>
          <w:rFonts w:cs="Arial" w:hint="cs"/>
          <w:sz w:val="20"/>
          <w:szCs w:val="20"/>
          <w:rtl/>
        </w:rPr>
        <w:t>ית הלל</w:t>
      </w:r>
      <w:r w:rsidRPr="00673D62">
        <w:rPr>
          <w:rFonts w:cs="Arial"/>
          <w:sz w:val="20"/>
          <w:szCs w:val="20"/>
          <w:rtl/>
        </w:rPr>
        <w:t xml:space="preserve"> אומרים: של</w:t>
      </w:r>
      <w:r>
        <w:rPr>
          <w:rFonts w:cs="Arial" w:hint="cs"/>
          <w:sz w:val="20"/>
          <w:szCs w:val="20"/>
          <w:rtl/>
        </w:rPr>
        <w:t>ו</w:t>
      </w:r>
      <w:r w:rsidRPr="00673D62">
        <w:rPr>
          <w:rFonts w:cs="Arial"/>
          <w:sz w:val="20"/>
          <w:szCs w:val="20"/>
          <w:rtl/>
        </w:rPr>
        <w:t>שים וחמש</w:t>
      </w:r>
      <w:r>
        <w:rPr>
          <w:rStyle w:val="a5"/>
          <w:rFonts w:cs="Arial"/>
          <w:sz w:val="20"/>
          <w:szCs w:val="20"/>
          <w:rtl/>
        </w:rPr>
        <w:footnoteReference w:id="558"/>
      </w:r>
      <w:r w:rsidRPr="00673D62">
        <w:rPr>
          <w:rFonts w:cs="Arial"/>
          <w:sz w:val="20"/>
          <w:szCs w:val="20"/>
          <w:rtl/>
        </w:rPr>
        <w:t>, רבי יוסי בר' יהודה</w:t>
      </w:r>
      <w:r>
        <w:rPr>
          <w:rFonts w:cs="Arial"/>
          <w:sz w:val="20"/>
          <w:szCs w:val="20"/>
          <w:rtl/>
        </w:rPr>
        <w:t xml:space="preserve"> אומר: דיה לטבילה שתהא באחרונה.</w:t>
      </w:r>
      <w:r>
        <w:rPr>
          <w:rFonts w:cs="Arial" w:hint="cs"/>
          <w:sz w:val="20"/>
          <w:szCs w:val="20"/>
          <w:rtl/>
        </w:rPr>
        <w:t>..</w:t>
      </w:r>
      <w:r>
        <w:rPr>
          <w:rFonts w:cs="Arial"/>
          <w:sz w:val="20"/>
          <w:szCs w:val="20"/>
          <w:rtl/>
        </w:rPr>
        <w:br/>
      </w:r>
      <w:r w:rsidRPr="00673D62">
        <w:rPr>
          <w:rFonts w:cs="Arial"/>
          <w:sz w:val="20"/>
          <w:szCs w:val="20"/>
          <w:rtl/>
        </w:rPr>
        <w:t>ש</w:t>
      </w:r>
      <w:r>
        <w:rPr>
          <w:rFonts w:cs="Arial" w:hint="cs"/>
          <w:sz w:val="20"/>
          <w:szCs w:val="20"/>
          <w:rtl/>
        </w:rPr>
        <w:t>מע מינה</w:t>
      </w:r>
      <w:r w:rsidRPr="00673D62">
        <w:rPr>
          <w:rFonts w:cs="Arial"/>
          <w:sz w:val="20"/>
          <w:szCs w:val="20"/>
          <w:rtl/>
        </w:rPr>
        <w:t xml:space="preserve"> תלת</w:t>
      </w:r>
      <w:r>
        <w:rPr>
          <w:rFonts w:cs="Arial" w:hint="cs"/>
          <w:sz w:val="20"/>
          <w:szCs w:val="20"/>
          <w:rtl/>
        </w:rPr>
        <w:t xml:space="preserve">... </w:t>
      </w:r>
      <w:r w:rsidRPr="00673D62">
        <w:rPr>
          <w:rFonts w:cs="Arial"/>
          <w:sz w:val="20"/>
          <w:szCs w:val="20"/>
          <w:rtl/>
        </w:rPr>
        <w:t>וש</w:t>
      </w:r>
      <w:r>
        <w:rPr>
          <w:rFonts w:cs="Arial" w:hint="cs"/>
          <w:sz w:val="20"/>
          <w:szCs w:val="20"/>
          <w:rtl/>
        </w:rPr>
        <w:t>מע מינה</w:t>
      </w:r>
      <w:r w:rsidRPr="00673D62">
        <w:rPr>
          <w:rFonts w:cs="Arial"/>
          <w:sz w:val="20"/>
          <w:szCs w:val="20"/>
          <w:rtl/>
        </w:rPr>
        <w:t xml:space="preserve"> - טבילה בזמנה מצוה. ורבי יוסי בר' יהודה אומר: דיה לטבילה באחרונה, ולא אמרינן טבילה בזמנה מצוה</w:t>
      </w:r>
      <w:r>
        <w:rPr>
          <w:rFonts w:cs="Arial" w:hint="cs"/>
          <w:sz w:val="20"/>
          <w:szCs w:val="20"/>
          <w:rtl/>
        </w:rPr>
        <w:t>"</w:t>
      </w:r>
      <w:r w:rsidRPr="00673D62">
        <w:rPr>
          <w:rFonts w:cs="Arial"/>
          <w:sz w:val="20"/>
          <w:szCs w:val="20"/>
          <w:rtl/>
        </w:rPr>
        <w:t>.</w:t>
      </w:r>
      <w:r>
        <w:rPr>
          <w:sz w:val="20"/>
          <w:szCs w:val="20"/>
          <w:rtl/>
        </w:rPr>
        <w:br/>
      </w:r>
      <w:r>
        <w:rPr>
          <w:rFonts w:hint="cs"/>
          <w:sz w:val="20"/>
          <w:szCs w:val="20"/>
          <w:rtl/>
        </w:rPr>
        <w:t xml:space="preserve">ב. </w:t>
      </w:r>
      <w:r w:rsidRPr="00675284">
        <w:rPr>
          <w:rFonts w:hint="cs"/>
          <w:b/>
          <w:bCs/>
          <w:sz w:val="20"/>
          <w:szCs w:val="20"/>
          <w:rtl/>
        </w:rPr>
        <w:t>ירושלמי</w:t>
      </w:r>
      <w:r>
        <w:rPr>
          <w:rFonts w:hint="cs"/>
          <w:sz w:val="20"/>
          <w:szCs w:val="20"/>
          <w:rtl/>
        </w:rPr>
        <w:t xml:space="preserve"> נידה (ב, ד) </w:t>
      </w:r>
      <w:r w:rsidRPr="00675284">
        <w:rPr>
          <w:rFonts w:hint="cs"/>
          <w:b/>
          <w:bCs/>
          <w:sz w:val="20"/>
          <w:szCs w:val="20"/>
          <w:rtl/>
        </w:rPr>
        <w:t>משנה</w:t>
      </w:r>
      <w:r w:rsidRPr="00675284">
        <w:rPr>
          <w:rtl/>
        </w:rPr>
        <w:t xml:space="preserve"> </w:t>
      </w:r>
      <w:r>
        <w:rPr>
          <w:rFonts w:cs="Arial" w:hint="cs"/>
          <w:sz w:val="20"/>
          <w:szCs w:val="20"/>
          <w:rtl/>
        </w:rPr>
        <w:t>"</w:t>
      </w:r>
      <w:r w:rsidRPr="00675284">
        <w:rPr>
          <w:rFonts w:cs="Arial"/>
          <w:sz w:val="20"/>
          <w:szCs w:val="20"/>
          <w:rtl/>
        </w:rPr>
        <w:t>כל הנשים בחזקת טהרה לבעליהן הבאין מן הדרך נשיהן להן בחזקת טהרה</w:t>
      </w:r>
      <w:r>
        <w:rPr>
          <w:rFonts w:cs="Arial" w:hint="cs"/>
          <w:sz w:val="20"/>
          <w:szCs w:val="20"/>
          <w:rtl/>
        </w:rPr>
        <w:t xml:space="preserve">... </w:t>
      </w:r>
      <w:r w:rsidRPr="00675284">
        <w:rPr>
          <w:rFonts w:cs="Arial" w:hint="cs"/>
          <w:b/>
          <w:bCs/>
          <w:sz w:val="20"/>
          <w:szCs w:val="20"/>
          <w:rtl/>
        </w:rPr>
        <w:t>גמרא</w:t>
      </w:r>
      <w:r>
        <w:rPr>
          <w:rFonts w:cs="Arial" w:hint="cs"/>
          <w:sz w:val="20"/>
          <w:szCs w:val="20"/>
          <w:rtl/>
        </w:rPr>
        <w:t xml:space="preserve"> </w:t>
      </w:r>
      <w:r w:rsidRPr="00675284">
        <w:rPr>
          <w:rFonts w:cs="Arial"/>
          <w:sz w:val="20"/>
          <w:szCs w:val="20"/>
          <w:rtl/>
        </w:rPr>
        <w:t>אמר רבי חנינה זאת אומרת שאסור לאשה לשהות בטומאתה</w:t>
      </w:r>
      <w:r>
        <w:rPr>
          <w:rFonts w:cs="Arial" w:hint="cs"/>
          <w:sz w:val="20"/>
          <w:szCs w:val="20"/>
          <w:rtl/>
        </w:rPr>
        <w:t>".</w:t>
      </w:r>
    </w:p>
    <w:p w:rsidR="00620060" w:rsidRDefault="00620060" w:rsidP="00620060">
      <w:pPr>
        <w:rPr>
          <w:sz w:val="20"/>
          <w:szCs w:val="20"/>
          <w:rtl/>
        </w:rPr>
      </w:pPr>
      <w:r>
        <w:rPr>
          <w:rFonts w:hint="cs"/>
          <w:b/>
          <w:bCs/>
          <w:sz w:val="20"/>
          <w:szCs w:val="20"/>
          <w:rtl/>
        </w:rPr>
        <w:t>שיטות הראשונים</w:t>
      </w:r>
      <w:r>
        <w:rPr>
          <w:sz w:val="20"/>
          <w:szCs w:val="20"/>
          <w:rtl/>
        </w:rPr>
        <w:br/>
      </w:r>
      <w:r>
        <w:rPr>
          <w:rFonts w:hint="cs"/>
          <w:sz w:val="20"/>
          <w:szCs w:val="20"/>
          <w:rtl/>
        </w:rPr>
        <w:t xml:space="preserve">א. </w:t>
      </w:r>
      <w:r w:rsidRPr="00223AAA">
        <w:rPr>
          <w:rFonts w:hint="cs"/>
          <w:b/>
          <w:bCs/>
          <w:sz w:val="20"/>
          <w:szCs w:val="20"/>
          <w:rtl/>
        </w:rPr>
        <w:t>רבינו חננאל</w:t>
      </w:r>
      <w:r>
        <w:rPr>
          <w:rFonts w:hint="cs"/>
          <w:sz w:val="20"/>
          <w:szCs w:val="20"/>
          <w:rtl/>
        </w:rPr>
        <w:t xml:space="preserve"> </w:t>
      </w:r>
      <w:r>
        <w:rPr>
          <w:sz w:val="20"/>
          <w:szCs w:val="20"/>
          <w:rtl/>
        </w:rPr>
        <w:t>–</w:t>
      </w:r>
      <w:r>
        <w:rPr>
          <w:rFonts w:hint="cs"/>
          <w:sz w:val="20"/>
          <w:szCs w:val="20"/>
          <w:rtl/>
        </w:rPr>
        <w:t xml:space="preserve"> טבילה בזמנה מצווה.</w:t>
      </w:r>
      <w:r>
        <w:rPr>
          <w:sz w:val="20"/>
          <w:szCs w:val="20"/>
          <w:rtl/>
        </w:rPr>
        <w:br/>
      </w:r>
      <w:r w:rsidRPr="00C11129">
        <w:rPr>
          <w:rFonts w:hint="cs"/>
          <w:b/>
          <w:bCs/>
          <w:sz w:val="20"/>
          <w:szCs w:val="20"/>
          <w:rtl/>
        </w:rPr>
        <w:t xml:space="preserve">טעם </w:t>
      </w:r>
      <w:r>
        <w:rPr>
          <w:sz w:val="20"/>
          <w:szCs w:val="20"/>
          <w:rtl/>
        </w:rPr>
        <w:t>–</w:t>
      </w:r>
      <w:r>
        <w:rPr>
          <w:rFonts w:hint="cs"/>
          <w:sz w:val="20"/>
          <w:szCs w:val="20"/>
          <w:rtl/>
        </w:rPr>
        <w:t xml:space="preserve"> כך סוברים בית הלל ובית שמאי, ולכן הלכה כמותם, וכן מוכח גם בירושלמי הנ"ל</w:t>
      </w:r>
      <w:r>
        <w:rPr>
          <w:rStyle w:val="a5"/>
          <w:sz w:val="20"/>
          <w:szCs w:val="20"/>
          <w:rtl/>
        </w:rPr>
        <w:footnoteReference w:id="559"/>
      </w:r>
      <w:r>
        <w:rPr>
          <w:rFonts w:hint="cs"/>
          <w:sz w:val="20"/>
          <w:szCs w:val="20"/>
          <w:rtl/>
        </w:rPr>
        <w:t>.</w:t>
      </w:r>
      <w:r>
        <w:rPr>
          <w:rFonts w:hint="cs"/>
          <w:sz w:val="20"/>
          <w:szCs w:val="20"/>
          <w:rtl/>
        </w:rPr>
        <w:br/>
        <w:t xml:space="preserve">מסביר </w:t>
      </w:r>
      <w:r w:rsidRPr="00D607B7">
        <w:rPr>
          <w:rFonts w:hint="cs"/>
          <w:b/>
          <w:bCs/>
          <w:sz w:val="20"/>
          <w:szCs w:val="20"/>
          <w:rtl/>
        </w:rPr>
        <w:t>הבית יוסף</w:t>
      </w:r>
      <w:r>
        <w:rPr>
          <w:rFonts w:hint="cs"/>
          <w:sz w:val="20"/>
          <w:szCs w:val="20"/>
          <w:rtl/>
        </w:rPr>
        <w:t xml:space="preserve"> </w:t>
      </w:r>
      <w:r>
        <w:rPr>
          <w:sz w:val="20"/>
          <w:szCs w:val="20"/>
          <w:rtl/>
        </w:rPr>
        <w:t>–</w:t>
      </w:r>
      <w:r>
        <w:rPr>
          <w:rFonts w:hint="cs"/>
          <w:sz w:val="20"/>
          <w:szCs w:val="20"/>
          <w:rtl/>
        </w:rPr>
        <w:t xml:space="preserve"> למרות שטבילת נידה היום אינה מתקיימת בזמנה הראוי לה מדאורייתא, שהרי מדאורייתא נידה טובלת בשביעי לראייתה, ואילו נשי דידן טובלות תמיד לאחר ז' נקיים, מכל מקום כיוון שהעיכוב בטבילה נובע מתקנת חכמים, נחשב הדבר כטבילה בזמנה.</w:t>
      </w:r>
      <w:r>
        <w:rPr>
          <w:sz w:val="20"/>
          <w:szCs w:val="20"/>
          <w:rtl/>
        </w:rPr>
        <w:br/>
      </w:r>
      <w:r>
        <w:rPr>
          <w:rFonts w:hint="cs"/>
          <w:sz w:val="20"/>
          <w:szCs w:val="20"/>
          <w:rtl/>
        </w:rPr>
        <w:t xml:space="preserve">ב. </w:t>
      </w:r>
      <w:r w:rsidRPr="00223AAA">
        <w:rPr>
          <w:rFonts w:hint="cs"/>
          <w:b/>
          <w:bCs/>
          <w:sz w:val="20"/>
          <w:szCs w:val="20"/>
          <w:rtl/>
        </w:rPr>
        <w:t xml:space="preserve">רבינו תם </w:t>
      </w:r>
      <w:r>
        <w:rPr>
          <w:sz w:val="20"/>
          <w:szCs w:val="20"/>
          <w:rtl/>
        </w:rPr>
        <w:t>–</w:t>
      </w:r>
      <w:r>
        <w:rPr>
          <w:rFonts w:hint="cs"/>
          <w:sz w:val="20"/>
          <w:szCs w:val="20"/>
          <w:rtl/>
        </w:rPr>
        <w:t xml:space="preserve"> טבילה בזמנה אינה מצווה.</w:t>
      </w:r>
      <w:r>
        <w:rPr>
          <w:sz w:val="20"/>
          <w:szCs w:val="20"/>
          <w:rtl/>
        </w:rPr>
        <w:br/>
      </w:r>
      <w:r>
        <w:rPr>
          <w:rFonts w:hint="cs"/>
          <w:sz w:val="20"/>
          <w:szCs w:val="20"/>
          <w:rtl/>
        </w:rPr>
        <w:t xml:space="preserve">ואת ראיית </w:t>
      </w:r>
      <w:r w:rsidRPr="00F701FE">
        <w:rPr>
          <w:rFonts w:hint="cs"/>
          <w:b/>
          <w:bCs/>
          <w:sz w:val="20"/>
          <w:szCs w:val="20"/>
          <w:rtl/>
        </w:rPr>
        <w:t>ר"ח</w:t>
      </w:r>
      <w:r>
        <w:rPr>
          <w:rFonts w:hint="cs"/>
          <w:sz w:val="20"/>
          <w:szCs w:val="20"/>
          <w:rtl/>
        </w:rPr>
        <w:t xml:space="preserve"> יש לדחות </w:t>
      </w:r>
      <w:r>
        <w:rPr>
          <w:sz w:val="20"/>
          <w:szCs w:val="20"/>
          <w:rtl/>
        </w:rPr>
        <w:t>–</w:t>
      </w:r>
      <w:r>
        <w:rPr>
          <w:rFonts w:hint="cs"/>
          <w:sz w:val="20"/>
          <w:szCs w:val="20"/>
          <w:rtl/>
        </w:rPr>
        <w:t xml:space="preserve"> ודאי שרבי יוסי בר' יהודה אינו חולק על ב"ה וב"ש, אלא סבירא ליה שלא נחלקו כלל בדבר זה.</w:t>
      </w:r>
      <w:r>
        <w:rPr>
          <w:b/>
          <w:bCs/>
          <w:sz w:val="20"/>
          <w:szCs w:val="20"/>
          <w:rtl/>
        </w:rPr>
        <w:br/>
      </w:r>
      <w:r>
        <w:rPr>
          <w:rFonts w:hint="cs"/>
          <w:b/>
          <w:bCs/>
          <w:sz w:val="20"/>
          <w:szCs w:val="20"/>
          <w:rtl/>
        </w:rPr>
        <w:t xml:space="preserve">ראיה </w:t>
      </w:r>
      <w:r>
        <w:rPr>
          <w:sz w:val="20"/>
          <w:szCs w:val="20"/>
          <w:rtl/>
        </w:rPr>
        <w:t>–</w:t>
      </w:r>
      <w:r>
        <w:rPr>
          <w:rFonts w:hint="cs"/>
          <w:sz w:val="20"/>
          <w:szCs w:val="20"/>
          <w:rtl/>
        </w:rPr>
        <w:t xml:space="preserve"> מנהג העולם הוא שהנשים אינו מקפידות לטבול במוצאי ז' לראייתן, ואף בימי חז"ל משמע שלא הקפידו </w:t>
      </w:r>
      <w:r>
        <w:rPr>
          <w:rFonts w:hint="cs"/>
          <w:sz w:val="20"/>
          <w:szCs w:val="20"/>
          <w:rtl/>
        </w:rPr>
        <w:lastRenderedPageBreak/>
        <w:t>לטבול בזמן הראוי להן מדאורייתא</w:t>
      </w:r>
      <w:r>
        <w:rPr>
          <w:rStyle w:val="a5"/>
          <w:sz w:val="20"/>
          <w:szCs w:val="20"/>
          <w:rtl/>
        </w:rPr>
        <w:footnoteReference w:id="560"/>
      </w:r>
      <w:r>
        <w:rPr>
          <w:rFonts w:hint="cs"/>
          <w:sz w:val="20"/>
          <w:szCs w:val="20"/>
          <w:rtl/>
        </w:rPr>
        <w:t>, משמע שטבילה בזמנה אינה מצווה.</w:t>
      </w:r>
      <w:r>
        <w:rPr>
          <w:sz w:val="20"/>
          <w:szCs w:val="20"/>
          <w:rtl/>
        </w:rPr>
        <w:br/>
      </w:r>
      <w:r>
        <w:rPr>
          <w:rFonts w:hint="cs"/>
          <w:sz w:val="20"/>
          <w:szCs w:val="20"/>
          <w:rtl/>
        </w:rPr>
        <w:t xml:space="preserve">ג. </w:t>
      </w:r>
      <w:r w:rsidRPr="00A50D8F">
        <w:rPr>
          <w:rFonts w:hint="cs"/>
          <w:b/>
          <w:bCs/>
          <w:sz w:val="20"/>
          <w:szCs w:val="20"/>
          <w:rtl/>
        </w:rPr>
        <w:t>מהרי"ק</w:t>
      </w:r>
      <w:r>
        <w:rPr>
          <w:rFonts w:hint="cs"/>
          <w:sz w:val="20"/>
          <w:szCs w:val="20"/>
          <w:rtl/>
        </w:rPr>
        <w:t xml:space="preserve"> </w:t>
      </w:r>
      <w:r>
        <w:rPr>
          <w:sz w:val="20"/>
          <w:szCs w:val="20"/>
          <w:rtl/>
        </w:rPr>
        <w:t>–</w:t>
      </w:r>
      <w:r>
        <w:rPr>
          <w:rFonts w:hint="cs"/>
          <w:sz w:val="20"/>
          <w:szCs w:val="20"/>
          <w:rtl/>
        </w:rPr>
        <w:t xml:space="preserve"> היום טבילה בזמנה אינה מצווה.</w:t>
      </w:r>
      <w:r>
        <w:rPr>
          <w:sz w:val="20"/>
          <w:szCs w:val="20"/>
          <w:rtl/>
        </w:rPr>
        <w:br/>
      </w:r>
      <w:r w:rsidRPr="00A50D8F">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הנשים שלנו אינן טובלות בזמנן, ממילא זו אינה טבילה בזמנה.</w:t>
      </w:r>
      <w:r>
        <w:rPr>
          <w:b/>
          <w:bCs/>
          <w:sz w:val="20"/>
          <w:szCs w:val="20"/>
          <w:rtl/>
        </w:rPr>
        <w:br/>
      </w:r>
      <w:r>
        <w:rPr>
          <w:sz w:val="20"/>
          <w:szCs w:val="20"/>
          <w:rtl/>
        </w:rPr>
        <w:br/>
      </w:r>
      <w:r>
        <w:rPr>
          <w:rFonts w:hint="cs"/>
          <w:sz w:val="20"/>
          <w:szCs w:val="20"/>
          <w:rtl/>
        </w:rPr>
        <w:t>הכרעת</w:t>
      </w:r>
      <w:r w:rsidRPr="00223AAA">
        <w:rPr>
          <w:rFonts w:hint="cs"/>
          <w:b/>
          <w:bCs/>
          <w:sz w:val="20"/>
          <w:szCs w:val="20"/>
          <w:rtl/>
        </w:rPr>
        <w:t xml:space="preserve"> הבית יוסף </w:t>
      </w:r>
      <w:r>
        <w:rPr>
          <w:sz w:val="20"/>
          <w:szCs w:val="20"/>
          <w:rtl/>
        </w:rPr>
        <w:t>–</w:t>
      </w:r>
      <w:r>
        <w:rPr>
          <w:rFonts w:hint="cs"/>
          <w:sz w:val="20"/>
          <w:szCs w:val="20"/>
          <w:rtl/>
        </w:rPr>
        <w:t xml:space="preserve"> טבילה בזמנה אינה מצווה, שהרי לא מצאנו אשה טובלת בשעה שבעלה לא נמצא בעיר. אמנם, אם בעלה בעיר מצווה עליה לטבול, ואם אינה טובלת כדי לצער את בעלה עבירה היא </w:t>
      </w:r>
      <w:r w:rsidRPr="00161683">
        <w:rPr>
          <w:rFonts w:hint="cs"/>
          <w:sz w:val="18"/>
          <w:szCs w:val="18"/>
          <w:rtl/>
        </w:rPr>
        <w:t>בידה (ע"פ הזוהר)</w:t>
      </w:r>
      <w:r>
        <w:rPr>
          <w:rFonts w:hint="cs"/>
          <w:sz w:val="20"/>
          <w:szCs w:val="20"/>
          <w:rtl/>
        </w:rPr>
        <w:t xml:space="preserve">. </w:t>
      </w:r>
      <w:r>
        <w:rPr>
          <w:sz w:val="20"/>
          <w:szCs w:val="20"/>
          <w:rtl/>
        </w:rPr>
        <w:br/>
      </w:r>
      <w:r w:rsidRPr="007109CC">
        <w:rPr>
          <w:rFonts w:hint="cs"/>
          <w:b/>
          <w:bCs/>
          <w:sz w:val="20"/>
          <w:szCs w:val="20"/>
          <w:rtl/>
        </w:rPr>
        <w:t>ראיה</w:t>
      </w:r>
      <w:r>
        <w:rPr>
          <w:rFonts w:hint="cs"/>
          <w:sz w:val="20"/>
          <w:szCs w:val="20"/>
          <w:rtl/>
        </w:rPr>
        <w:t xml:space="preserve"> </w:t>
      </w:r>
      <w:r>
        <w:rPr>
          <w:sz w:val="20"/>
          <w:szCs w:val="20"/>
          <w:rtl/>
        </w:rPr>
        <w:t>–</w:t>
      </w:r>
      <w:r>
        <w:rPr>
          <w:rFonts w:hint="cs"/>
          <w:sz w:val="20"/>
          <w:szCs w:val="20"/>
          <w:rtl/>
        </w:rPr>
        <w:t xml:space="preserve"> יהושע נענש על כך שביטל את ישראל לילה אחד מפריה ורביה</w:t>
      </w:r>
      <w:r>
        <w:rPr>
          <w:rStyle w:val="a5"/>
          <w:sz w:val="20"/>
          <w:szCs w:val="20"/>
          <w:rtl/>
        </w:rPr>
        <w:footnoteReference w:id="561"/>
      </w:r>
      <w:r>
        <w:rPr>
          <w:rFonts w:hint="cs"/>
          <w:sz w:val="20"/>
          <w:szCs w:val="20"/>
          <w:rtl/>
        </w:rPr>
        <w:t xml:space="preserve">. </w:t>
      </w:r>
      <w:r>
        <w:rPr>
          <w:rFonts w:hint="cs"/>
          <w:sz w:val="20"/>
          <w:szCs w:val="20"/>
          <w:rtl/>
        </w:rPr>
        <w:br/>
      </w:r>
      <w:r>
        <w:rPr>
          <w:sz w:val="20"/>
          <w:szCs w:val="20"/>
          <w:rtl/>
        </w:rPr>
        <w:br/>
      </w:r>
      <w:r w:rsidRPr="005E76A8">
        <w:rPr>
          <w:rFonts w:hint="cs"/>
          <w:sz w:val="20"/>
          <w:szCs w:val="20"/>
          <w:u w:val="single"/>
          <w:rtl/>
        </w:rPr>
        <w:t>ההשלכות של מחלוקת זו</w:t>
      </w:r>
      <w:r w:rsidRPr="005E76A8">
        <w:rPr>
          <w:rStyle w:val="a5"/>
          <w:sz w:val="20"/>
          <w:szCs w:val="20"/>
          <w:u w:val="single"/>
          <w:rtl/>
        </w:rPr>
        <w:footnoteReference w:id="562"/>
      </w:r>
      <w:r w:rsidRPr="005E76A8">
        <w:rPr>
          <w:sz w:val="20"/>
          <w:szCs w:val="20"/>
          <w:u w:val="single"/>
          <w:rtl/>
        </w:rPr>
        <w:br/>
      </w:r>
      <w:r>
        <w:rPr>
          <w:rFonts w:hint="cs"/>
          <w:sz w:val="20"/>
          <w:szCs w:val="20"/>
          <w:rtl/>
        </w:rPr>
        <w:t xml:space="preserve">לשאלה האם טבילה בזמנה מצווה ישנן כמה השלכות הלכתיות - </w:t>
      </w:r>
      <w:r>
        <w:rPr>
          <w:rFonts w:hint="cs"/>
          <w:sz w:val="20"/>
          <w:szCs w:val="20"/>
          <w:rtl/>
        </w:rPr>
        <w:br/>
        <w:t>א. האם אשה מצווה לטבול בזמנה או שהיא רשאית לדחות את הטבילה.</w:t>
      </w:r>
      <w:r>
        <w:rPr>
          <w:sz w:val="20"/>
          <w:szCs w:val="20"/>
          <w:rtl/>
        </w:rPr>
        <w:br/>
      </w:r>
      <w:r>
        <w:rPr>
          <w:rFonts w:hint="cs"/>
          <w:sz w:val="20"/>
          <w:szCs w:val="20"/>
          <w:rtl/>
        </w:rPr>
        <w:t>א. האם מותר לטבול בשבת.</w:t>
      </w:r>
      <w:r>
        <w:rPr>
          <w:sz w:val="20"/>
          <w:szCs w:val="20"/>
          <w:rtl/>
        </w:rPr>
        <w:br/>
      </w:r>
      <w:r>
        <w:rPr>
          <w:rFonts w:hint="cs"/>
          <w:sz w:val="20"/>
          <w:szCs w:val="20"/>
          <w:rtl/>
        </w:rPr>
        <w:t>ב. האם מותר לטבול ביום הכיפורים ותשעה באב.</w:t>
      </w:r>
      <w:r>
        <w:rPr>
          <w:sz w:val="20"/>
          <w:szCs w:val="20"/>
          <w:rtl/>
        </w:rPr>
        <w:br/>
      </w:r>
      <w:r>
        <w:rPr>
          <w:rFonts w:hint="cs"/>
          <w:sz w:val="20"/>
          <w:szCs w:val="20"/>
          <w:rtl/>
        </w:rPr>
        <w:t>ג. האם אשה שבעלה אינו נמצא בעיר צריכה לטבול.</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BE46D3">
        <w:rPr>
          <w:rFonts w:cs="Arial"/>
          <w:sz w:val="20"/>
          <w:szCs w:val="20"/>
          <w:rtl/>
        </w:rPr>
        <w:t xml:space="preserve">אם בעלה בעיר, מצוה לטבול בזמנה שלא </w:t>
      </w:r>
      <w:r>
        <w:rPr>
          <w:rFonts w:cs="Arial"/>
          <w:sz w:val="20"/>
          <w:szCs w:val="20"/>
          <w:rtl/>
        </w:rPr>
        <w:t>לבטל מפריה ורביה אפילו לילה אחת</w:t>
      </w:r>
      <w:r>
        <w:rPr>
          <w:rStyle w:val="a5"/>
          <w:rFonts w:cs="Arial"/>
          <w:sz w:val="20"/>
          <w:szCs w:val="20"/>
          <w:rtl/>
        </w:rPr>
        <w:footnoteReference w:id="563"/>
      </w:r>
      <w:r>
        <w:rPr>
          <w:rFonts w:cs="Arial" w:hint="cs"/>
          <w:sz w:val="20"/>
          <w:szCs w:val="20"/>
          <w:rtl/>
        </w:rPr>
        <w:t>".</w:t>
      </w:r>
    </w:p>
    <w:p w:rsidR="00620060" w:rsidRDefault="00620060" w:rsidP="00620060">
      <w:pPr>
        <w:rPr>
          <w:sz w:val="20"/>
          <w:szCs w:val="20"/>
          <w:rtl/>
        </w:rPr>
      </w:pPr>
      <w:r w:rsidRPr="000D7939">
        <w:rPr>
          <w:rStyle w:val="10"/>
          <w:rFonts w:hint="cs"/>
          <w:sz w:val="22"/>
          <w:szCs w:val="22"/>
          <w:rtl/>
        </w:rPr>
        <w:t>ב.</w:t>
      </w:r>
      <w:r w:rsidRPr="000D7939">
        <w:rPr>
          <w:rFonts w:hint="cs"/>
          <w:b/>
          <w:bCs/>
          <w:sz w:val="16"/>
          <w:szCs w:val="16"/>
          <w:rtl/>
        </w:rPr>
        <w:t xml:space="preserve"> </w:t>
      </w:r>
      <w:r>
        <w:rPr>
          <w:rFonts w:hint="cs"/>
          <w:b/>
          <w:bCs/>
          <w:sz w:val="20"/>
          <w:szCs w:val="20"/>
          <w:rtl/>
        </w:rPr>
        <w:t>טבילה בשבת</w:t>
      </w:r>
      <w:r>
        <w:rPr>
          <w:b/>
          <w:bCs/>
          <w:sz w:val="20"/>
          <w:szCs w:val="20"/>
          <w:rtl/>
        </w:rPr>
        <w:br/>
      </w:r>
      <w:r>
        <w:rPr>
          <w:rFonts w:hint="cs"/>
          <w:b/>
          <w:bCs/>
          <w:sz w:val="20"/>
          <w:szCs w:val="20"/>
          <w:rtl/>
        </w:rPr>
        <w:t xml:space="preserve">משנה </w:t>
      </w:r>
      <w:r>
        <w:rPr>
          <w:rFonts w:hint="cs"/>
          <w:sz w:val="20"/>
          <w:szCs w:val="20"/>
          <w:rtl/>
        </w:rPr>
        <w:t>ביצה (יז:) "</w:t>
      </w:r>
      <w:r w:rsidRPr="005E76A8">
        <w:rPr>
          <w:rFonts w:cs="Arial"/>
          <w:sz w:val="20"/>
          <w:szCs w:val="20"/>
          <w:rtl/>
        </w:rPr>
        <w:t>חל להיות אחר השבת, בית שמאי אומרים: מטבילין את הכל מלפני השבת, ובית הלל אומרים: כלים מלפני השבת, ואדם בשבת</w:t>
      </w:r>
      <w:r>
        <w:rPr>
          <w:rFonts w:hint="cs"/>
          <w:sz w:val="20"/>
          <w:szCs w:val="20"/>
          <w:rtl/>
        </w:rPr>
        <w:t>".</w:t>
      </w:r>
      <w:r>
        <w:rPr>
          <w:sz w:val="20"/>
          <w:szCs w:val="20"/>
          <w:rtl/>
        </w:rPr>
        <w:br/>
      </w:r>
      <w:r w:rsidRPr="005E76A8">
        <w:rPr>
          <w:rFonts w:hint="cs"/>
          <w:b/>
          <w:bCs/>
          <w:sz w:val="20"/>
          <w:szCs w:val="20"/>
          <w:rtl/>
        </w:rPr>
        <w:t>גמרא</w:t>
      </w:r>
      <w:r>
        <w:rPr>
          <w:rFonts w:hint="cs"/>
          <w:sz w:val="20"/>
          <w:szCs w:val="20"/>
          <w:rtl/>
        </w:rPr>
        <w:t xml:space="preserve"> (שם </w:t>
      </w:r>
      <w:r>
        <w:rPr>
          <w:sz w:val="20"/>
          <w:szCs w:val="20"/>
          <w:rtl/>
        </w:rPr>
        <w:t>–</w:t>
      </w:r>
      <w:r>
        <w:rPr>
          <w:rFonts w:hint="cs"/>
          <w:sz w:val="20"/>
          <w:szCs w:val="20"/>
          <w:rtl/>
        </w:rPr>
        <w:t xml:space="preserve"> יח.) "</w:t>
      </w:r>
      <w:r w:rsidRPr="005E76A8">
        <w:rPr>
          <w:rFonts w:cs="Arial"/>
          <w:sz w:val="20"/>
          <w:szCs w:val="20"/>
          <w:rtl/>
        </w:rPr>
        <w:t>דכולי עלמא מיהת כלי בשבת לא, מאי טעמא? - רבא אמר: מפני שנראה כמתקן כלי. - אי ה</w:t>
      </w:r>
      <w:r>
        <w:rPr>
          <w:rFonts w:cs="Arial"/>
          <w:sz w:val="20"/>
          <w:szCs w:val="20"/>
          <w:rtl/>
        </w:rPr>
        <w:t>כי אדם נמי! - אדם נראה כמיקר</w:t>
      </w:r>
      <w:r>
        <w:rPr>
          <w:rFonts w:cs="Arial" w:hint="cs"/>
          <w:sz w:val="20"/>
          <w:szCs w:val="20"/>
          <w:rtl/>
        </w:rPr>
        <w:t>".</w:t>
      </w:r>
      <w:r>
        <w:rPr>
          <w:rStyle w:val="a5"/>
          <w:rFonts w:cs="Arial"/>
          <w:sz w:val="20"/>
          <w:szCs w:val="20"/>
          <w:rtl/>
        </w:rPr>
        <w:footnoteReference w:id="564"/>
      </w:r>
    </w:p>
    <w:p w:rsidR="00620060" w:rsidRDefault="00620060" w:rsidP="00620060">
      <w:pPr>
        <w:rPr>
          <w:rFonts w:cs="Arial"/>
          <w:sz w:val="18"/>
          <w:szCs w:val="18"/>
          <w:rtl/>
        </w:rPr>
      </w:pPr>
      <w:r w:rsidRPr="006B22F3">
        <w:rPr>
          <w:rFonts w:hint="cs"/>
          <w:b/>
          <w:bCs/>
          <w:sz w:val="20"/>
          <w:szCs w:val="20"/>
          <w:rtl/>
        </w:rPr>
        <w:t xml:space="preserve">האם מותר לנידה לטבול בשבת? </w:t>
      </w:r>
      <w:r w:rsidRPr="006B22F3">
        <w:rPr>
          <w:b/>
          <w:bCs/>
          <w:sz w:val="20"/>
          <w:szCs w:val="20"/>
          <w:rtl/>
        </w:rPr>
        <w:t>–</w:t>
      </w:r>
      <w:r w:rsidRPr="006B22F3">
        <w:rPr>
          <w:rFonts w:hint="cs"/>
          <w:b/>
          <w:bCs/>
          <w:sz w:val="20"/>
          <w:szCs w:val="20"/>
          <w:rtl/>
        </w:rPr>
        <w:t xml:space="preserve"> שיטות הראשונים</w:t>
      </w:r>
      <w:r>
        <w:rPr>
          <w:rFonts w:hint="cs"/>
          <w:sz w:val="20"/>
          <w:szCs w:val="20"/>
          <w:u w:val="single"/>
          <w:rtl/>
        </w:rPr>
        <w:br/>
      </w:r>
      <w:r>
        <w:rPr>
          <w:rFonts w:hint="cs"/>
          <w:sz w:val="20"/>
          <w:szCs w:val="20"/>
          <w:rtl/>
        </w:rPr>
        <w:t xml:space="preserve">א. </w:t>
      </w:r>
      <w:r w:rsidRPr="00E44B02">
        <w:rPr>
          <w:rFonts w:hint="cs"/>
          <w:b/>
          <w:bCs/>
          <w:sz w:val="20"/>
          <w:szCs w:val="20"/>
          <w:rtl/>
        </w:rPr>
        <w:t>מרדכי</w:t>
      </w:r>
      <w:r>
        <w:rPr>
          <w:rFonts w:hint="cs"/>
          <w:sz w:val="20"/>
          <w:szCs w:val="20"/>
          <w:rtl/>
        </w:rPr>
        <w:t xml:space="preserve"> </w:t>
      </w:r>
      <w:r w:rsidRPr="0054444D">
        <w:rPr>
          <w:rFonts w:hint="cs"/>
          <w:sz w:val="18"/>
          <w:szCs w:val="18"/>
          <w:rtl/>
        </w:rPr>
        <w:t xml:space="preserve">(בדעת </w:t>
      </w:r>
      <w:r w:rsidRPr="0054444D">
        <w:rPr>
          <w:rFonts w:hint="cs"/>
          <w:b/>
          <w:bCs/>
          <w:sz w:val="18"/>
          <w:szCs w:val="18"/>
          <w:rtl/>
        </w:rPr>
        <w:t>ר"ת</w:t>
      </w:r>
      <w:r w:rsidRPr="0054444D">
        <w:rPr>
          <w:rFonts w:hint="cs"/>
          <w:sz w:val="18"/>
          <w:szCs w:val="18"/>
          <w:rtl/>
        </w:rPr>
        <w:t xml:space="preserve">) </w:t>
      </w:r>
      <w:r>
        <w:rPr>
          <w:sz w:val="20"/>
          <w:szCs w:val="20"/>
          <w:rtl/>
        </w:rPr>
        <w:t>–</w:t>
      </w:r>
      <w:r>
        <w:rPr>
          <w:rFonts w:hint="cs"/>
          <w:sz w:val="20"/>
          <w:szCs w:val="20"/>
          <w:rtl/>
        </w:rPr>
        <w:t xml:space="preserve"> אסור לטבול בשבת בכל אופן.</w:t>
      </w:r>
      <w:r>
        <w:rPr>
          <w:sz w:val="20"/>
          <w:szCs w:val="20"/>
          <w:rtl/>
        </w:rPr>
        <w:br/>
      </w:r>
      <w:r w:rsidRPr="00E44B02">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טבילה בזמנה אינה מצווה.</w:t>
      </w:r>
      <w:r>
        <w:rPr>
          <w:rFonts w:hint="cs"/>
          <w:sz w:val="20"/>
          <w:szCs w:val="20"/>
          <w:u w:val="single"/>
          <w:rtl/>
        </w:rPr>
        <w:br/>
      </w:r>
      <w:r>
        <w:rPr>
          <w:rFonts w:hint="cs"/>
          <w:sz w:val="20"/>
          <w:szCs w:val="20"/>
          <w:rtl/>
        </w:rPr>
        <w:t xml:space="preserve">ב. </w:t>
      </w:r>
      <w:r>
        <w:rPr>
          <w:rFonts w:hint="cs"/>
          <w:b/>
          <w:bCs/>
          <w:sz w:val="20"/>
          <w:szCs w:val="20"/>
          <w:rtl/>
        </w:rPr>
        <w:t>רמב"ם ו</w:t>
      </w:r>
      <w:r w:rsidRPr="003221D0">
        <w:rPr>
          <w:rFonts w:hint="cs"/>
          <w:b/>
          <w:bCs/>
          <w:sz w:val="20"/>
          <w:szCs w:val="20"/>
          <w:rtl/>
        </w:rPr>
        <w:t>בית יוסף</w:t>
      </w:r>
      <w:r>
        <w:rPr>
          <w:rFonts w:hint="cs"/>
          <w:sz w:val="20"/>
          <w:szCs w:val="20"/>
          <w:rtl/>
        </w:rPr>
        <w:t xml:space="preserve"> </w:t>
      </w:r>
      <w:r>
        <w:rPr>
          <w:sz w:val="20"/>
          <w:szCs w:val="20"/>
          <w:rtl/>
        </w:rPr>
        <w:t>–</w:t>
      </w:r>
      <w:r>
        <w:rPr>
          <w:rFonts w:hint="cs"/>
          <w:sz w:val="20"/>
          <w:szCs w:val="20"/>
          <w:rtl/>
        </w:rPr>
        <w:t xml:space="preserve"> מותר לטבול בשבת בכל אופן.</w:t>
      </w:r>
      <w:r>
        <w:rPr>
          <w:sz w:val="20"/>
          <w:szCs w:val="20"/>
          <w:rtl/>
        </w:rPr>
        <w:br/>
      </w:r>
      <w:r w:rsidRPr="003221D0">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למרות שכיום אין לנו טבילה בזמנה וממילא היא אינה מצווה, מכל מקום מותר ע"פ האמור בגמרא ביצה שאדם נראה כמיקר</w:t>
      </w:r>
      <w:r w:rsidRPr="004B3253">
        <w:rPr>
          <w:rFonts w:hint="cs"/>
          <w:sz w:val="20"/>
          <w:szCs w:val="20"/>
          <w:rtl/>
        </w:rPr>
        <w:t>.</w:t>
      </w:r>
      <w:r w:rsidRPr="004B3253">
        <w:rPr>
          <w:rStyle w:val="a5"/>
          <w:sz w:val="20"/>
          <w:szCs w:val="20"/>
          <w:rtl/>
        </w:rPr>
        <w:footnoteReference w:id="565"/>
      </w:r>
      <w:r w:rsidRPr="004B3253">
        <w:rPr>
          <w:rFonts w:hint="cs"/>
          <w:sz w:val="20"/>
          <w:szCs w:val="20"/>
          <w:rtl/>
        </w:rPr>
        <w:t xml:space="preserve"> </w:t>
      </w:r>
      <w:r w:rsidRPr="004B3253">
        <w:rPr>
          <w:rStyle w:val="a5"/>
          <w:sz w:val="20"/>
          <w:szCs w:val="20"/>
          <w:rtl/>
        </w:rPr>
        <w:footnoteReference w:id="566"/>
      </w:r>
      <w:r w:rsidRPr="004B3253">
        <w:rPr>
          <w:rFonts w:cs="Arial" w:hint="cs"/>
          <w:sz w:val="20"/>
          <w:szCs w:val="20"/>
          <w:rtl/>
        </w:rPr>
        <w:t xml:space="preserve"> </w:t>
      </w:r>
      <w:r w:rsidRPr="004B3253">
        <w:rPr>
          <w:rStyle w:val="a5"/>
          <w:rFonts w:cs="Arial"/>
          <w:sz w:val="20"/>
          <w:szCs w:val="20"/>
          <w:rtl/>
        </w:rPr>
        <w:footnoteReference w:id="567"/>
      </w:r>
      <w:r>
        <w:rPr>
          <w:rFonts w:cs="Arial" w:hint="cs"/>
          <w:sz w:val="18"/>
          <w:szCs w:val="18"/>
          <w:rtl/>
        </w:rPr>
        <w:br/>
      </w:r>
      <w:r>
        <w:rPr>
          <w:rFonts w:cs="Arial" w:hint="cs"/>
          <w:sz w:val="20"/>
          <w:szCs w:val="20"/>
          <w:rtl/>
        </w:rPr>
        <w:t>ג</w:t>
      </w:r>
      <w:r w:rsidRPr="00985A8F">
        <w:rPr>
          <w:rFonts w:cs="Arial" w:hint="cs"/>
          <w:sz w:val="20"/>
          <w:szCs w:val="20"/>
          <w:rtl/>
        </w:rPr>
        <w:t xml:space="preserve">. </w:t>
      </w:r>
      <w:r w:rsidRPr="00985A8F">
        <w:rPr>
          <w:rFonts w:cs="Arial" w:hint="cs"/>
          <w:b/>
          <w:bCs/>
          <w:sz w:val="20"/>
          <w:szCs w:val="20"/>
          <w:rtl/>
        </w:rPr>
        <w:t>ר"ח</w:t>
      </w:r>
      <w:r w:rsidRPr="00985A8F">
        <w:rPr>
          <w:rFonts w:cs="Arial" w:hint="cs"/>
          <w:sz w:val="20"/>
          <w:szCs w:val="20"/>
          <w:rtl/>
        </w:rPr>
        <w:t xml:space="preserve"> </w:t>
      </w:r>
      <w:r w:rsidRPr="00985A8F">
        <w:rPr>
          <w:rFonts w:cs="Arial"/>
          <w:sz w:val="20"/>
          <w:szCs w:val="20"/>
          <w:rtl/>
        </w:rPr>
        <w:t>–</w:t>
      </w:r>
      <w:r w:rsidRPr="00985A8F">
        <w:rPr>
          <w:rFonts w:cs="Arial" w:hint="cs"/>
          <w:sz w:val="20"/>
          <w:szCs w:val="20"/>
          <w:rtl/>
        </w:rPr>
        <w:t xml:space="preserve"> מותר לטבול בשבת.</w:t>
      </w:r>
      <w:r w:rsidRPr="00985A8F">
        <w:rPr>
          <w:rFonts w:cs="Arial"/>
          <w:sz w:val="20"/>
          <w:szCs w:val="20"/>
          <w:rtl/>
        </w:rPr>
        <w:br/>
      </w:r>
      <w:r w:rsidRPr="00985A8F">
        <w:rPr>
          <w:rFonts w:cs="Arial" w:hint="cs"/>
          <w:b/>
          <w:bCs/>
          <w:sz w:val="20"/>
          <w:szCs w:val="20"/>
          <w:rtl/>
        </w:rPr>
        <w:t>טעם</w:t>
      </w:r>
      <w:r w:rsidRPr="00985A8F">
        <w:rPr>
          <w:rFonts w:cs="Arial" w:hint="cs"/>
          <w:sz w:val="20"/>
          <w:szCs w:val="20"/>
          <w:rtl/>
        </w:rPr>
        <w:t xml:space="preserve"> </w:t>
      </w:r>
      <w:r w:rsidRPr="00985A8F">
        <w:rPr>
          <w:rFonts w:cs="Arial"/>
          <w:sz w:val="20"/>
          <w:szCs w:val="20"/>
          <w:rtl/>
        </w:rPr>
        <w:t>–</w:t>
      </w:r>
      <w:r w:rsidRPr="00985A8F">
        <w:rPr>
          <w:rFonts w:cs="Arial" w:hint="cs"/>
          <w:sz w:val="20"/>
          <w:szCs w:val="20"/>
          <w:rtl/>
        </w:rPr>
        <w:t xml:space="preserve"> טבילה בזמנה מצווה.</w:t>
      </w:r>
      <w:r>
        <w:rPr>
          <w:sz w:val="20"/>
          <w:szCs w:val="20"/>
          <w:u w:val="single"/>
          <w:rtl/>
        </w:rPr>
        <w:br/>
      </w:r>
      <w:r>
        <w:rPr>
          <w:rFonts w:hint="cs"/>
          <w:sz w:val="20"/>
          <w:szCs w:val="20"/>
          <w:rtl/>
        </w:rPr>
        <w:lastRenderedPageBreak/>
        <w:t xml:space="preserve">ד. </w:t>
      </w:r>
      <w:r w:rsidRPr="00374160">
        <w:rPr>
          <w:rFonts w:hint="cs"/>
          <w:b/>
          <w:bCs/>
          <w:sz w:val="20"/>
          <w:szCs w:val="20"/>
          <w:rtl/>
        </w:rPr>
        <w:t>אגור ומהרי"ל</w:t>
      </w:r>
      <w:r>
        <w:rPr>
          <w:rFonts w:hint="cs"/>
          <w:sz w:val="20"/>
          <w:szCs w:val="20"/>
          <w:rtl/>
        </w:rPr>
        <w:t xml:space="preserve"> </w:t>
      </w:r>
      <w:r>
        <w:rPr>
          <w:sz w:val="20"/>
          <w:szCs w:val="20"/>
          <w:rtl/>
        </w:rPr>
        <w:t>–</w:t>
      </w:r>
      <w:r>
        <w:rPr>
          <w:rFonts w:hint="cs"/>
          <w:sz w:val="20"/>
          <w:szCs w:val="20"/>
          <w:rtl/>
        </w:rPr>
        <w:t xml:space="preserve"> מותר לנידה לטבול בשבת רק אם טובלת בזמנה, אך אם זמן טבילתה חל בליל שישי ונאנסה ולא טבלה </w:t>
      </w:r>
      <w:r w:rsidRPr="005E6729">
        <w:rPr>
          <w:rFonts w:hint="cs"/>
          <w:sz w:val="18"/>
          <w:szCs w:val="18"/>
          <w:rtl/>
        </w:rPr>
        <w:t>(וכל שכן אם לא נאנסה)</w:t>
      </w:r>
      <w:r>
        <w:rPr>
          <w:rFonts w:hint="cs"/>
          <w:sz w:val="20"/>
          <w:szCs w:val="20"/>
          <w:rtl/>
        </w:rPr>
        <w:t>, אינה יכולה לטבול בשבת.</w:t>
      </w:r>
      <w:r>
        <w:rPr>
          <w:sz w:val="20"/>
          <w:szCs w:val="20"/>
          <w:rtl/>
        </w:rPr>
        <w:br/>
      </w:r>
      <w:r>
        <w:rPr>
          <w:rFonts w:hint="cs"/>
          <w:sz w:val="20"/>
          <w:szCs w:val="20"/>
          <w:rtl/>
        </w:rPr>
        <w:t xml:space="preserve">ה. </w:t>
      </w:r>
      <w:r w:rsidRPr="003221D0">
        <w:rPr>
          <w:rFonts w:hint="cs"/>
          <w:b/>
          <w:bCs/>
          <w:sz w:val="20"/>
          <w:szCs w:val="20"/>
          <w:rtl/>
        </w:rPr>
        <w:t>תרומת הדשן</w:t>
      </w:r>
      <w:r>
        <w:rPr>
          <w:rFonts w:hint="cs"/>
          <w:sz w:val="20"/>
          <w:szCs w:val="20"/>
          <w:rtl/>
        </w:rPr>
        <w:t xml:space="preserve"> </w:t>
      </w:r>
      <w:r>
        <w:rPr>
          <w:sz w:val="20"/>
          <w:szCs w:val="20"/>
          <w:rtl/>
        </w:rPr>
        <w:t>–</w:t>
      </w:r>
      <w:r>
        <w:rPr>
          <w:rFonts w:hint="cs"/>
          <w:sz w:val="20"/>
          <w:szCs w:val="20"/>
          <w:rtl/>
        </w:rPr>
        <w:t xml:space="preserve"> מותר לטבול בשבת רק בהצטרף שני תנאים: א. בעלה בעיר. ב. לא היתה יכולה לטבול לפני כן</w:t>
      </w:r>
      <w:r>
        <w:rPr>
          <w:rStyle w:val="a5"/>
          <w:sz w:val="20"/>
          <w:szCs w:val="20"/>
          <w:rtl/>
        </w:rPr>
        <w:footnoteReference w:id="568"/>
      </w:r>
      <w:r>
        <w:rPr>
          <w:rFonts w:hint="cs"/>
          <w:sz w:val="20"/>
          <w:szCs w:val="20"/>
          <w:rtl/>
        </w:rPr>
        <w:t xml:space="preserve">. וכ"פ </w:t>
      </w:r>
      <w:r w:rsidRPr="00BE46D3">
        <w:rPr>
          <w:rFonts w:hint="cs"/>
          <w:b/>
          <w:bCs/>
          <w:sz w:val="20"/>
          <w:szCs w:val="20"/>
          <w:rtl/>
        </w:rPr>
        <w:t>הרמ"א</w:t>
      </w:r>
      <w:r>
        <w:rPr>
          <w:rFonts w:hint="cs"/>
          <w:sz w:val="20"/>
          <w:szCs w:val="20"/>
          <w:rtl/>
        </w:rPr>
        <w:t xml:space="preserve"> לעיקר הדין </w:t>
      </w:r>
      <w:r w:rsidRPr="00E2161A">
        <w:rPr>
          <w:rFonts w:hint="cs"/>
          <w:sz w:val="18"/>
          <w:szCs w:val="18"/>
          <w:rtl/>
        </w:rPr>
        <w:t>(ועיין בסמוך מה הדין כשלא טבלה מחמת שלא ידעה שבעלה יבוא לעיר לשבת)</w:t>
      </w:r>
      <w:r>
        <w:rPr>
          <w:rFonts w:hint="cs"/>
          <w:sz w:val="20"/>
          <w:szCs w:val="20"/>
          <w:rtl/>
        </w:rPr>
        <w:t>.</w:t>
      </w:r>
      <w:r>
        <w:rPr>
          <w:rFonts w:hint="cs"/>
          <w:sz w:val="20"/>
          <w:szCs w:val="20"/>
          <w:rtl/>
        </w:rPr>
        <w:br/>
      </w:r>
      <w:r>
        <w:rPr>
          <w:rFonts w:cs="Arial" w:hint="cs"/>
          <w:sz w:val="18"/>
          <w:szCs w:val="18"/>
          <w:rtl/>
        </w:rPr>
        <w:br/>
      </w:r>
      <w:r>
        <w:rPr>
          <w:rFonts w:hint="cs"/>
          <w:b/>
          <w:bCs/>
          <w:sz w:val="20"/>
          <w:szCs w:val="20"/>
          <w:rtl/>
        </w:rPr>
        <w:t>פסיקת הלכה</w:t>
      </w:r>
      <w:r>
        <w:rPr>
          <w:rFonts w:cs="Arial" w:hint="cs"/>
          <w:sz w:val="18"/>
          <w:szCs w:val="18"/>
          <w:rtl/>
        </w:rPr>
        <w:br/>
      </w:r>
      <w:r>
        <w:rPr>
          <w:rFonts w:cs="Arial" w:hint="cs"/>
          <w:sz w:val="20"/>
          <w:szCs w:val="20"/>
          <w:rtl/>
        </w:rPr>
        <w:t xml:space="preserve">א. </w:t>
      </w:r>
      <w:r w:rsidRPr="00FB0DD0">
        <w:rPr>
          <w:rFonts w:cs="Arial" w:hint="cs"/>
          <w:b/>
          <w:bCs/>
          <w:sz w:val="20"/>
          <w:szCs w:val="20"/>
          <w:rtl/>
        </w:rPr>
        <w:t>רמ"א</w:t>
      </w:r>
      <w:r w:rsidRPr="000B3D86">
        <w:rPr>
          <w:rFonts w:cs="Arial" w:hint="cs"/>
          <w:sz w:val="20"/>
          <w:szCs w:val="20"/>
          <w:rtl/>
        </w:rPr>
        <w:t xml:space="preserve"> </w:t>
      </w:r>
      <w:r>
        <w:rPr>
          <w:rFonts w:cs="Arial"/>
          <w:sz w:val="18"/>
          <w:szCs w:val="18"/>
          <w:rtl/>
        </w:rPr>
        <w:t>–</w:t>
      </w:r>
      <w:r w:rsidRPr="00BE46D3">
        <w:rPr>
          <w:rFonts w:cs="Arial"/>
          <w:sz w:val="18"/>
          <w:szCs w:val="18"/>
          <w:rtl/>
        </w:rPr>
        <w:t xml:space="preserve"> </w:t>
      </w:r>
      <w:r>
        <w:rPr>
          <w:rFonts w:cs="Arial" w:hint="cs"/>
          <w:sz w:val="18"/>
          <w:szCs w:val="18"/>
          <w:rtl/>
        </w:rPr>
        <w:t>"</w:t>
      </w:r>
      <w:r w:rsidRPr="00BE46D3">
        <w:rPr>
          <w:rFonts w:cs="Arial"/>
          <w:sz w:val="18"/>
          <w:szCs w:val="18"/>
          <w:rtl/>
        </w:rPr>
        <w:t>ומותרת לטבול ליל שבת</w:t>
      </w:r>
      <w:r>
        <w:rPr>
          <w:rFonts w:cs="Arial"/>
          <w:sz w:val="18"/>
          <w:szCs w:val="18"/>
          <w:rtl/>
        </w:rPr>
        <w:t xml:space="preserve"> אם לא יכלה לטבול קודם לכן</w:t>
      </w:r>
      <w:r w:rsidRPr="00BE46D3">
        <w:rPr>
          <w:rFonts w:cs="Arial"/>
          <w:sz w:val="18"/>
          <w:szCs w:val="18"/>
          <w:rtl/>
        </w:rPr>
        <w:t>. ודו</w:t>
      </w:r>
      <w:r>
        <w:rPr>
          <w:rFonts w:cs="Arial" w:hint="cs"/>
          <w:sz w:val="18"/>
          <w:szCs w:val="18"/>
          <w:rtl/>
        </w:rPr>
        <w:t>ו</w:t>
      </w:r>
      <w:r w:rsidRPr="00BE46D3">
        <w:rPr>
          <w:rFonts w:cs="Arial"/>
          <w:sz w:val="18"/>
          <w:szCs w:val="18"/>
          <w:rtl/>
        </w:rPr>
        <w:t xml:space="preserve">קא אם בעלה בעיר, אבל בלאו הכי אסור. </w:t>
      </w:r>
      <w:r>
        <w:rPr>
          <w:rFonts w:cs="Arial" w:hint="cs"/>
          <w:sz w:val="18"/>
          <w:szCs w:val="18"/>
          <w:rtl/>
        </w:rPr>
        <w:br/>
      </w:r>
      <w:r w:rsidRPr="00BE46D3">
        <w:rPr>
          <w:rFonts w:cs="Arial"/>
          <w:sz w:val="18"/>
          <w:szCs w:val="18"/>
          <w:rtl/>
        </w:rPr>
        <w:t>ואם היה אפשר לה לטבול קודם לכן, כגון שהיה אחר לידה או שלא היה בעלה בעיר ובא בערב שבת, י</w:t>
      </w:r>
      <w:r>
        <w:rPr>
          <w:rFonts w:cs="Arial" w:hint="cs"/>
          <w:sz w:val="18"/>
          <w:szCs w:val="18"/>
          <w:rtl/>
        </w:rPr>
        <w:t>ש אומרים</w:t>
      </w:r>
      <w:r w:rsidRPr="00BE46D3">
        <w:rPr>
          <w:rFonts w:cs="Arial"/>
          <w:sz w:val="18"/>
          <w:szCs w:val="18"/>
          <w:rtl/>
        </w:rPr>
        <w:t xml:space="preserve"> שאסורה לטבול; וכן נהגו במקצת מקומות, אבל במקום שאין מנהג אין להחמיר</w:t>
      </w:r>
      <w:r>
        <w:rPr>
          <w:rFonts w:cs="Arial" w:hint="cs"/>
          <w:sz w:val="18"/>
          <w:szCs w:val="18"/>
          <w:rtl/>
        </w:rPr>
        <w:t>".</w:t>
      </w:r>
      <w:r>
        <w:rPr>
          <w:rFonts w:cs="Arial"/>
          <w:sz w:val="18"/>
          <w:szCs w:val="18"/>
          <w:rtl/>
        </w:rPr>
        <w:br/>
      </w:r>
      <w:r w:rsidRPr="005D05AA">
        <w:rPr>
          <w:rFonts w:cs="Arial" w:hint="cs"/>
          <w:sz w:val="20"/>
          <w:szCs w:val="20"/>
          <w:rtl/>
        </w:rPr>
        <w:t xml:space="preserve">ב. </w:t>
      </w:r>
      <w:r w:rsidRPr="00534A90">
        <w:rPr>
          <w:rFonts w:cs="Arial" w:hint="cs"/>
          <w:b/>
          <w:bCs/>
          <w:sz w:val="20"/>
          <w:szCs w:val="20"/>
          <w:rtl/>
        </w:rPr>
        <w:t>ב"ח</w:t>
      </w:r>
      <w:r w:rsidRPr="005D05AA">
        <w:rPr>
          <w:rFonts w:cs="Arial" w:hint="cs"/>
          <w:sz w:val="20"/>
          <w:szCs w:val="20"/>
          <w:rtl/>
        </w:rPr>
        <w:t xml:space="preserve"> </w:t>
      </w:r>
      <w:r w:rsidRPr="005D05AA">
        <w:rPr>
          <w:rFonts w:cs="Arial"/>
          <w:sz w:val="20"/>
          <w:szCs w:val="20"/>
          <w:rtl/>
        </w:rPr>
        <w:t>–</w:t>
      </w:r>
      <w:r w:rsidRPr="005D05AA">
        <w:rPr>
          <w:rFonts w:cs="Arial" w:hint="cs"/>
          <w:sz w:val="20"/>
          <w:szCs w:val="20"/>
          <w:rtl/>
        </w:rPr>
        <w:t xml:space="preserve"> המנהג להחמיר ולא לטבול בשבת במקרה זה.</w:t>
      </w:r>
      <w:r>
        <w:rPr>
          <w:rFonts w:cs="Arial" w:hint="cs"/>
          <w:sz w:val="18"/>
          <w:szCs w:val="18"/>
          <w:rtl/>
        </w:rPr>
        <w:br/>
      </w:r>
      <w:r w:rsidRPr="003E0EDF">
        <w:rPr>
          <w:rFonts w:cs="Arial" w:hint="cs"/>
          <w:b/>
          <w:bCs/>
          <w:sz w:val="20"/>
          <w:szCs w:val="20"/>
          <w:rtl/>
        </w:rPr>
        <w:t>טעם</w:t>
      </w:r>
      <w:r>
        <w:rPr>
          <w:rFonts w:cs="Arial" w:hint="cs"/>
          <w:sz w:val="20"/>
          <w:szCs w:val="20"/>
          <w:rtl/>
        </w:rPr>
        <w:t xml:space="preserve"> </w:t>
      </w:r>
      <w:r w:rsidRPr="00724150">
        <w:rPr>
          <w:rFonts w:cs="Arial" w:hint="cs"/>
          <w:sz w:val="18"/>
          <w:szCs w:val="18"/>
          <w:rtl/>
        </w:rPr>
        <w:t xml:space="preserve">(ע"פ דברי </w:t>
      </w:r>
      <w:r w:rsidRPr="00724150">
        <w:rPr>
          <w:rFonts w:cs="Arial" w:hint="cs"/>
          <w:b/>
          <w:bCs/>
          <w:sz w:val="18"/>
          <w:szCs w:val="18"/>
          <w:rtl/>
        </w:rPr>
        <w:t>תרומת הדשן</w:t>
      </w:r>
      <w:r w:rsidRPr="00724150">
        <w:rPr>
          <w:rFonts w:cs="Arial" w:hint="cs"/>
          <w:sz w:val="18"/>
          <w:szCs w:val="18"/>
          <w:rtl/>
        </w:rPr>
        <w:t xml:space="preserve">) </w:t>
      </w:r>
      <w:r w:rsidRPr="003E0EDF">
        <w:rPr>
          <w:rFonts w:cs="Arial"/>
          <w:sz w:val="20"/>
          <w:szCs w:val="20"/>
          <w:rtl/>
        </w:rPr>
        <w:t>–</w:t>
      </w:r>
      <w:r w:rsidRPr="003E0EDF">
        <w:rPr>
          <w:rFonts w:cs="Arial" w:hint="cs"/>
          <w:sz w:val="20"/>
          <w:szCs w:val="20"/>
          <w:rtl/>
        </w:rPr>
        <w:t xml:space="preserve"> אין נוהגים לטבול אפילו כדי להקר, ולכן נראה כמתקן בטבילה זו.</w:t>
      </w:r>
    </w:p>
    <w:p w:rsidR="00620060" w:rsidRPr="009A1D91" w:rsidRDefault="00620060" w:rsidP="00620060">
      <w:pPr>
        <w:spacing w:line="300" w:lineRule="exact"/>
        <w:rPr>
          <w:rFonts w:asciiTheme="minorBidi" w:hAnsiTheme="minorBidi"/>
          <w:sz w:val="20"/>
          <w:szCs w:val="20"/>
          <w:rtl/>
        </w:rPr>
      </w:pPr>
      <w:r>
        <w:rPr>
          <w:rFonts w:cs="Arial" w:hint="cs"/>
          <w:noProof/>
          <w:sz w:val="20"/>
          <w:szCs w:val="20"/>
          <w:u w:val="single"/>
          <w:rtl/>
        </w:rPr>
        <mc:AlternateContent>
          <mc:Choice Requires="wps">
            <w:drawing>
              <wp:anchor distT="0" distB="0" distL="114300" distR="114300" simplePos="0" relativeHeight="251663360" behindDoc="0" locked="0" layoutInCell="1" allowOverlap="1" wp14:anchorId="6D32B66B" wp14:editId="4D8D067B">
                <wp:simplePos x="0" y="0"/>
                <wp:positionH relativeFrom="column">
                  <wp:posOffset>4600575</wp:posOffset>
                </wp:positionH>
                <wp:positionV relativeFrom="paragraph">
                  <wp:posOffset>1421130</wp:posOffset>
                </wp:positionV>
                <wp:extent cx="45719" cy="266700"/>
                <wp:effectExtent l="19050" t="0" r="31115" b="38100"/>
                <wp:wrapNone/>
                <wp:docPr id="3" name="חץ למטה 3"/>
                <wp:cNvGraphicFramePr/>
                <a:graphic xmlns:a="http://schemas.openxmlformats.org/drawingml/2006/main">
                  <a:graphicData uri="http://schemas.microsoft.com/office/word/2010/wordprocessingShape">
                    <wps:wsp>
                      <wps:cNvSpPr/>
                      <wps:spPr>
                        <a:xfrm>
                          <a:off x="0" y="0"/>
                          <a:ext cx="45719" cy="266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חץ למטה 3" o:spid="_x0000_s1026" type="#_x0000_t67" style="position:absolute;left:0;text-align:left;margin-left:362.25pt;margin-top:111.9pt;width:3.6pt;height:2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" adj="19749" fillcolor="#4f81bd [3204]" strokecolor="#243f60 [1604]" strokeweight="2pt"/>
            </w:pict>
          </mc:Fallback>
        </mc:AlternateContent>
      </w:r>
      <w:r w:rsidRPr="00C92770">
        <w:rPr>
          <w:rFonts w:cs="Arial" w:hint="cs"/>
          <w:sz w:val="20"/>
          <w:szCs w:val="20"/>
          <w:u w:val="single"/>
          <w:rtl/>
        </w:rPr>
        <w:t>לא טבלה מחמת שבעלה לא היה בעיר</w:t>
      </w:r>
      <w:r>
        <w:rPr>
          <w:rFonts w:cs="Arial"/>
          <w:sz w:val="20"/>
          <w:szCs w:val="20"/>
          <w:u w:val="single"/>
          <w:rtl/>
        </w:rPr>
        <w:br/>
      </w:r>
      <w:r>
        <w:rPr>
          <w:rFonts w:cs="Arial" w:hint="cs"/>
          <w:sz w:val="20"/>
          <w:szCs w:val="20"/>
          <w:rtl/>
        </w:rPr>
        <w:t xml:space="preserve">המקרה </w:t>
      </w:r>
      <w:r>
        <w:rPr>
          <w:rFonts w:cs="Arial"/>
          <w:sz w:val="20"/>
          <w:szCs w:val="20"/>
          <w:rtl/>
        </w:rPr>
        <w:t>–</w:t>
      </w:r>
      <w:r>
        <w:rPr>
          <w:rFonts w:cs="Arial" w:hint="cs"/>
          <w:sz w:val="20"/>
          <w:szCs w:val="20"/>
          <w:rtl/>
        </w:rPr>
        <w:t xml:space="preserve"> אשה שהיתה יכולה לטבול לפני שבת, אך דחתה את הטבילה מחמת שבעלה לא היה בעיר, וכעת בערב שבת בעלה הגיע לעיר, האם מותר לה לטבול בליל שבת? </w:t>
      </w:r>
      <w:r w:rsidRPr="00A731A6">
        <w:rPr>
          <w:rFonts w:cs="Arial" w:hint="cs"/>
          <w:b/>
          <w:bCs/>
          <w:sz w:val="20"/>
          <w:szCs w:val="20"/>
          <w:rtl/>
        </w:rPr>
        <w:t>הרמ"א</w:t>
      </w:r>
      <w:r>
        <w:rPr>
          <w:rFonts w:cs="Arial" w:hint="cs"/>
          <w:sz w:val="20"/>
          <w:szCs w:val="20"/>
          <w:rtl/>
        </w:rPr>
        <w:t xml:space="preserve"> כתב להדיא שיש להתיר בכה"ג במקום שאין מנהג להחמיר, אלא </w:t>
      </w:r>
      <w:r w:rsidRPr="00A731A6">
        <w:rPr>
          <w:rFonts w:cs="Arial" w:hint="cs"/>
          <w:b/>
          <w:bCs/>
          <w:sz w:val="20"/>
          <w:szCs w:val="20"/>
          <w:rtl/>
        </w:rPr>
        <w:t>שהט"ז</w:t>
      </w:r>
      <w:r>
        <w:rPr>
          <w:rFonts w:cs="Arial" w:hint="cs"/>
          <w:sz w:val="20"/>
          <w:szCs w:val="20"/>
          <w:rtl/>
        </w:rPr>
        <w:t xml:space="preserve"> משיג על פסק זה, ויסוד מחלוקתם תלוי בפירוש לשון </w:t>
      </w:r>
      <w:r w:rsidRPr="0046408A">
        <w:rPr>
          <w:rFonts w:cs="Arial" w:hint="cs"/>
          <w:b/>
          <w:bCs/>
          <w:sz w:val="20"/>
          <w:szCs w:val="20"/>
          <w:rtl/>
        </w:rPr>
        <w:t>תרומת הדשן</w:t>
      </w:r>
      <w:r>
        <w:rPr>
          <w:rFonts w:cs="Arial" w:hint="cs"/>
          <w:sz w:val="20"/>
          <w:szCs w:val="20"/>
          <w:rtl/>
        </w:rPr>
        <w:t xml:space="preserve"> - </w:t>
      </w:r>
      <w:r>
        <w:rPr>
          <w:rFonts w:cs="Arial"/>
          <w:sz w:val="20"/>
          <w:szCs w:val="20"/>
          <w:rtl/>
        </w:rPr>
        <w:br/>
      </w:r>
      <w:r>
        <w:rPr>
          <w:rFonts w:cs="Arial" w:hint="cs"/>
          <w:sz w:val="20"/>
          <w:szCs w:val="20"/>
          <w:rtl/>
        </w:rPr>
        <w:t>"</w:t>
      </w:r>
      <w:r w:rsidRPr="0046408A">
        <w:rPr>
          <w:rFonts w:cs="Arial"/>
          <w:sz w:val="20"/>
          <w:szCs w:val="20"/>
          <w:rtl/>
        </w:rPr>
        <w:t>נהגו הנשים ליזהר שלא לטבול בשבת אלא א</w:t>
      </w:r>
      <w:r>
        <w:rPr>
          <w:rFonts w:cs="Arial" w:hint="cs"/>
          <w:sz w:val="20"/>
          <w:szCs w:val="20"/>
          <w:rtl/>
        </w:rPr>
        <w:t>ם כן</w:t>
      </w:r>
      <w:r w:rsidRPr="0046408A">
        <w:rPr>
          <w:rFonts w:cs="Arial"/>
          <w:sz w:val="20"/>
          <w:szCs w:val="20"/>
          <w:rtl/>
        </w:rPr>
        <w:t xml:space="preserve"> בעלה בעיר ולא היה אפשר קודם</w:t>
      </w:r>
      <w:r>
        <w:rPr>
          <w:rFonts w:cs="Arial" w:hint="cs"/>
          <w:sz w:val="20"/>
          <w:szCs w:val="20"/>
          <w:rtl/>
        </w:rPr>
        <w:t>,</w:t>
      </w:r>
      <w:r w:rsidRPr="0046408A">
        <w:rPr>
          <w:rFonts w:cs="Arial"/>
          <w:sz w:val="20"/>
          <w:szCs w:val="20"/>
          <w:rtl/>
        </w:rPr>
        <w:t xml:space="preserve"> דבכהאי גוונא הוה טבילת מצוה משום עונה</w:t>
      </w:r>
      <w:r>
        <w:rPr>
          <w:rFonts w:cs="Arial" w:hint="cs"/>
          <w:sz w:val="20"/>
          <w:szCs w:val="20"/>
          <w:rtl/>
        </w:rPr>
        <w:t>.</w:t>
      </w:r>
      <w:r w:rsidRPr="0046408A">
        <w:rPr>
          <w:rFonts w:cs="Arial"/>
          <w:sz w:val="20"/>
          <w:szCs w:val="20"/>
          <w:rtl/>
        </w:rPr>
        <w:t xml:space="preserve"> ואף על גב דבפ</w:t>
      </w:r>
      <w:r>
        <w:rPr>
          <w:rFonts w:cs="Arial" w:hint="cs"/>
          <w:sz w:val="20"/>
          <w:szCs w:val="20"/>
          <w:rtl/>
        </w:rPr>
        <w:t>רק</w:t>
      </w:r>
      <w:r w:rsidRPr="0046408A">
        <w:rPr>
          <w:rFonts w:cs="Arial"/>
          <w:sz w:val="20"/>
          <w:szCs w:val="20"/>
          <w:rtl/>
        </w:rPr>
        <w:t xml:space="preserve"> שני דביצה אמרינן דכל טמא טובל בשבת משום דנראה כמיקר עצמו האידנא שאני דלא נהיג למיקר עצמו בשבת בשום מים</w:t>
      </w:r>
      <w:r>
        <w:rPr>
          <w:rFonts w:cs="Arial" w:hint="cs"/>
          <w:sz w:val="20"/>
          <w:szCs w:val="20"/>
          <w:rtl/>
        </w:rPr>
        <w:t>,</w:t>
      </w:r>
      <w:r w:rsidRPr="0046408A">
        <w:rPr>
          <w:rFonts w:cs="Arial"/>
          <w:sz w:val="20"/>
          <w:szCs w:val="20"/>
          <w:rtl/>
        </w:rPr>
        <w:t xml:space="preserve"> א</w:t>
      </w:r>
      <w:r>
        <w:rPr>
          <w:rFonts w:cs="Arial" w:hint="cs"/>
          <w:sz w:val="20"/>
          <w:szCs w:val="20"/>
          <w:rtl/>
        </w:rPr>
        <w:t>ם כן</w:t>
      </w:r>
      <w:r w:rsidRPr="0046408A">
        <w:rPr>
          <w:rFonts w:cs="Arial"/>
          <w:sz w:val="20"/>
          <w:szCs w:val="20"/>
          <w:rtl/>
        </w:rPr>
        <w:t xml:space="preserve"> לא נראה כמיקר</w:t>
      </w:r>
      <w:r>
        <w:rPr>
          <w:rFonts w:cs="Arial" w:hint="cs"/>
          <w:sz w:val="20"/>
          <w:szCs w:val="20"/>
          <w:rtl/>
        </w:rPr>
        <w:t>".</w:t>
      </w:r>
      <w:r>
        <w:rPr>
          <w:rFonts w:cs="Arial"/>
          <w:sz w:val="20"/>
          <w:szCs w:val="20"/>
          <w:rtl/>
        </w:rPr>
        <w:br/>
      </w:r>
      <w:r>
        <w:rPr>
          <w:rFonts w:cs="Arial"/>
          <w:sz w:val="20"/>
          <w:szCs w:val="20"/>
          <w:rtl/>
        </w:rPr>
        <w:br/>
      </w:r>
      <w:r>
        <w:rPr>
          <w:rFonts w:cs="Arial" w:hint="cs"/>
          <w:sz w:val="20"/>
          <w:szCs w:val="20"/>
          <w:rtl/>
        </w:rPr>
        <w:br/>
        <w:t xml:space="preserve">א. </w:t>
      </w:r>
      <w:r w:rsidRPr="000C3F53">
        <w:rPr>
          <w:rFonts w:cs="Arial" w:hint="cs"/>
          <w:b/>
          <w:bCs/>
          <w:sz w:val="20"/>
          <w:szCs w:val="20"/>
          <w:rtl/>
        </w:rPr>
        <w:t>ט"ז</w:t>
      </w:r>
      <w:r>
        <w:rPr>
          <w:rFonts w:cs="Arial" w:hint="cs"/>
          <w:sz w:val="20"/>
          <w:szCs w:val="20"/>
          <w:rtl/>
        </w:rPr>
        <w:t xml:space="preserve"> </w:t>
      </w:r>
      <w:r>
        <w:rPr>
          <w:rFonts w:cs="Arial"/>
          <w:sz w:val="20"/>
          <w:szCs w:val="20"/>
          <w:rtl/>
        </w:rPr>
        <w:t>–</w:t>
      </w:r>
      <w:r>
        <w:rPr>
          <w:rFonts w:cs="Arial" w:hint="cs"/>
          <w:sz w:val="20"/>
          <w:szCs w:val="20"/>
          <w:rtl/>
        </w:rPr>
        <w:t xml:space="preserve"> מוכח מדברי ת"ה שהתיר רק אם נאנסה קודם שבת ובעלה לא היה בעיר, אך לא די בכך שבעלה לא </w:t>
      </w:r>
      <w:r w:rsidRPr="009A1D91">
        <w:rPr>
          <w:rFonts w:asciiTheme="minorBidi" w:hAnsiTheme="minorBidi"/>
          <w:sz w:val="20"/>
          <w:szCs w:val="20"/>
          <w:rtl/>
        </w:rPr>
        <w:t>היה בעיר כדי להתיר לה לטבול בשבת.</w:t>
      </w:r>
      <w:r w:rsidRPr="009A1D91">
        <w:rPr>
          <w:rFonts w:asciiTheme="minorBidi" w:hAnsiTheme="minorBidi"/>
          <w:sz w:val="20"/>
          <w:szCs w:val="20"/>
          <w:rtl/>
        </w:rPr>
        <w:br/>
        <w:t xml:space="preserve">ב. </w:t>
      </w:r>
      <w:r w:rsidRPr="009A1D91">
        <w:rPr>
          <w:rFonts w:asciiTheme="minorBidi" w:hAnsiTheme="minorBidi"/>
          <w:b/>
          <w:bCs/>
          <w:sz w:val="20"/>
          <w:szCs w:val="20"/>
          <w:rtl/>
        </w:rPr>
        <w:t>ב"ח</w:t>
      </w:r>
      <w:r>
        <w:rPr>
          <w:rStyle w:val="a5"/>
          <w:rFonts w:asciiTheme="minorBidi" w:hAnsiTheme="minorBidi"/>
          <w:b/>
          <w:bCs/>
          <w:sz w:val="20"/>
          <w:szCs w:val="20"/>
          <w:rtl/>
        </w:rPr>
        <w:footnoteReference w:id="569"/>
      </w:r>
      <w:r w:rsidRPr="009A1D91">
        <w:rPr>
          <w:rFonts w:asciiTheme="minorBidi" w:hAnsiTheme="minorBidi"/>
          <w:b/>
          <w:bCs/>
          <w:sz w:val="20"/>
          <w:szCs w:val="20"/>
          <w:rtl/>
        </w:rPr>
        <w:t xml:space="preserve"> וש"ך</w:t>
      </w:r>
      <w:r w:rsidRPr="009A1D91">
        <w:rPr>
          <w:rFonts w:asciiTheme="minorBidi" w:hAnsiTheme="minorBidi"/>
          <w:sz w:val="20"/>
          <w:szCs w:val="20"/>
          <w:rtl/>
        </w:rPr>
        <w:t xml:space="preserve"> – ת"ה התיר לטבול גם בכה"ג שדחתה את הטבילה מחמת שבעלה לא היה בעיר</w:t>
      </w:r>
      <w:r>
        <w:rPr>
          <w:rFonts w:asciiTheme="minorBidi" w:hAnsiTheme="minorBidi" w:hint="cs"/>
          <w:sz w:val="20"/>
          <w:szCs w:val="20"/>
          <w:rtl/>
        </w:rPr>
        <w:t xml:space="preserve">, </w:t>
      </w:r>
      <w:r w:rsidRPr="0056128D">
        <w:rPr>
          <w:rFonts w:asciiTheme="minorBidi" w:hAnsiTheme="minorBidi" w:hint="cs"/>
          <w:b/>
          <w:bCs/>
          <w:sz w:val="20"/>
          <w:szCs w:val="20"/>
          <w:rtl/>
        </w:rPr>
        <w:t>כרמ"א</w:t>
      </w:r>
      <w:r w:rsidRPr="009A1D91">
        <w:rPr>
          <w:rFonts w:asciiTheme="minorBidi" w:hAnsiTheme="minorBidi"/>
          <w:sz w:val="20"/>
          <w:szCs w:val="20"/>
          <w:rtl/>
        </w:rPr>
        <w:t>.</w:t>
      </w:r>
      <w:r w:rsidRPr="009A1D91">
        <w:rPr>
          <w:rFonts w:asciiTheme="minorBidi" w:hAnsiTheme="minorBidi"/>
          <w:sz w:val="20"/>
          <w:szCs w:val="20"/>
          <w:rtl/>
        </w:rPr>
        <w:br/>
      </w:r>
      <w:r w:rsidRPr="009A1D91">
        <w:rPr>
          <w:rFonts w:asciiTheme="minorBidi" w:hAnsiTheme="minorBidi"/>
          <w:b/>
          <w:bCs/>
          <w:sz w:val="20"/>
          <w:szCs w:val="20"/>
          <w:rtl/>
        </w:rPr>
        <w:t>טעם</w:t>
      </w:r>
      <w:r w:rsidRPr="009A1D91">
        <w:rPr>
          <w:rFonts w:asciiTheme="minorBidi" w:hAnsiTheme="minorBidi"/>
          <w:sz w:val="20"/>
          <w:szCs w:val="20"/>
          <w:rtl/>
        </w:rPr>
        <w:t xml:space="preserve"> – העיכוב בטבילה לא נבע מפשיעה.</w:t>
      </w:r>
      <w:r w:rsidRPr="009A1D91">
        <w:rPr>
          <w:rFonts w:asciiTheme="minorBidi" w:hAnsiTheme="minorBidi"/>
          <w:sz w:val="20"/>
          <w:szCs w:val="20"/>
          <w:rtl/>
        </w:rPr>
        <w:br/>
        <w:t>למעשה - נוהגים להקל בכל מקרה</w:t>
      </w:r>
      <w:r>
        <w:rPr>
          <w:rFonts w:asciiTheme="minorBidi" w:hAnsiTheme="minorBidi" w:hint="cs"/>
          <w:sz w:val="20"/>
          <w:szCs w:val="20"/>
          <w:rtl/>
        </w:rPr>
        <w:t>, ונחשב כמקום שלא נהגו להחמיר</w:t>
      </w:r>
      <w:r w:rsidRPr="009A1D91">
        <w:rPr>
          <w:rFonts w:asciiTheme="minorBidi" w:hAnsiTheme="minorBidi"/>
          <w:sz w:val="20"/>
          <w:szCs w:val="20"/>
          <w:rtl/>
        </w:rPr>
        <w:t xml:space="preserve">, אלא אם כן פשעה </w:t>
      </w:r>
      <w:r>
        <w:rPr>
          <w:rFonts w:asciiTheme="minorBidi" w:hAnsiTheme="minorBidi" w:hint="cs"/>
          <w:sz w:val="20"/>
          <w:szCs w:val="20"/>
          <w:rtl/>
        </w:rPr>
        <w:t xml:space="preserve">ממש, אך אין לחפש חומרות ולמנוע טבילה, </w:t>
      </w:r>
      <w:r w:rsidRPr="002E783D">
        <w:rPr>
          <w:rFonts w:asciiTheme="minorBidi" w:hAnsiTheme="minorBidi" w:hint="cs"/>
          <w:b/>
          <w:bCs/>
          <w:sz w:val="20"/>
          <w:szCs w:val="20"/>
          <w:rtl/>
        </w:rPr>
        <w:t>ששבה"ל</w:t>
      </w:r>
      <w:r>
        <w:rPr>
          <w:rFonts w:asciiTheme="minorBidi" w:hAnsiTheme="minorBidi" w:hint="cs"/>
          <w:sz w:val="20"/>
          <w:szCs w:val="20"/>
          <w:rtl/>
        </w:rPr>
        <w:t>.</w:t>
      </w:r>
    </w:p>
    <w:p w:rsidR="00620060" w:rsidRDefault="00620060" w:rsidP="00620060">
      <w:pPr>
        <w:rPr>
          <w:sz w:val="20"/>
          <w:szCs w:val="20"/>
          <w:rtl/>
        </w:rPr>
      </w:pPr>
      <w:r w:rsidRPr="009A1D91">
        <w:rPr>
          <w:sz w:val="20"/>
          <w:szCs w:val="20"/>
          <w:u w:val="single"/>
          <w:rtl/>
        </w:rPr>
        <w:t xml:space="preserve">טבלה </w:t>
      </w:r>
      <w:r w:rsidRPr="009A1D91">
        <w:rPr>
          <w:rFonts w:hint="cs"/>
          <w:sz w:val="20"/>
          <w:szCs w:val="20"/>
          <w:u w:val="single"/>
          <w:rtl/>
        </w:rPr>
        <w:t>בליל שישי לא כראוי</w:t>
      </w:r>
      <w:r>
        <w:rPr>
          <w:rFonts w:hint="cs"/>
          <w:sz w:val="20"/>
          <w:szCs w:val="20"/>
          <w:u w:val="single"/>
          <w:rtl/>
        </w:rPr>
        <w:br/>
      </w:r>
      <w:r>
        <w:rPr>
          <w:rFonts w:hint="cs"/>
          <w:sz w:val="20"/>
          <w:szCs w:val="20"/>
          <w:rtl/>
        </w:rPr>
        <w:t>למנהג מקצת מקומות שכתב הרמ"א לא לטבול בליל שבת</w:t>
      </w:r>
      <w:r w:rsidRPr="000900D4">
        <w:rPr>
          <w:rFonts w:hint="cs"/>
          <w:sz w:val="20"/>
          <w:szCs w:val="20"/>
          <w:rtl/>
        </w:rPr>
        <w:t xml:space="preserve"> כשהיתה</w:t>
      </w:r>
      <w:r>
        <w:rPr>
          <w:rFonts w:hint="cs"/>
          <w:sz w:val="20"/>
          <w:szCs w:val="20"/>
          <w:rtl/>
        </w:rPr>
        <w:t xml:space="preserve"> יכולה לטבול לפני כן - </w:t>
      </w:r>
      <w:r w:rsidRPr="009A1D91">
        <w:rPr>
          <w:sz w:val="20"/>
          <w:szCs w:val="20"/>
          <w:u w:val="single"/>
          <w:rtl/>
        </w:rPr>
        <w:br/>
      </w:r>
      <w:r w:rsidRPr="009A1D91">
        <w:rPr>
          <w:rFonts w:hint="cs"/>
          <w:sz w:val="20"/>
          <w:szCs w:val="20"/>
          <w:rtl/>
        </w:rPr>
        <w:t>א.</w:t>
      </w:r>
      <w:r w:rsidRPr="009A1D91">
        <w:rPr>
          <w:rFonts w:hint="cs"/>
          <w:b/>
          <w:bCs/>
          <w:sz w:val="20"/>
          <w:szCs w:val="20"/>
          <w:rtl/>
        </w:rPr>
        <w:t xml:space="preserve"> ש"ך </w:t>
      </w:r>
      <w:r w:rsidRPr="009A1D91">
        <w:rPr>
          <w:rFonts w:hint="cs"/>
          <w:sz w:val="18"/>
          <w:szCs w:val="18"/>
          <w:rtl/>
        </w:rPr>
        <w:t xml:space="preserve">(ע"פ </w:t>
      </w:r>
      <w:r w:rsidRPr="009A1D91">
        <w:rPr>
          <w:rFonts w:hint="cs"/>
          <w:b/>
          <w:bCs/>
          <w:sz w:val="18"/>
          <w:szCs w:val="18"/>
          <w:rtl/>
        </w:rPr>
        <w:t>מהר"ם מלובלין</w:t>
      </w:r>
      <w:r w:rsidRPr="009A1D91">
        <w:rPr>
          <w:rFonts w:hint="cs"/>
          <w:sz w:val="18"/>
          <w:szCs w:val="18"/>
          <w:rtl/>
        </w:rPr>
        <w:t xml:space="preserve">) </w:t>
      </w:r>
      <w:r w:rsidRPr="009A1D91">
        <w:rPr>
          <w:sz w:val="20"/>
          <w:szCs w:val="20"/>
          <w:rtl/>
        </w:rPr>
        <w:t>–</w:t>
      </w:r>
      <w:r w:rsidRPr="009A1D91">
        <w:rPr>
          <w:rFonts w:hint="cs"/>
          <w:sz w:val="20"/>
          <w:szCs w:val="20"/>
          <w:rtl/>
        </w:rPr>
        <w:t xml:space="preserve"> מי שטבלה בליל שיש</w:t>
      </w:r>
      <w:r>
        <w:rPr>
          <w:rFonts w:hint="cs"/>
          <w:sz w:val="20"/>
          <w:szCs w:val="20"/>
          <w:rtl/>
        </w:rPr>
        <w:t>י</w:t>
      </w:r>
      <w:r w:rsidRPr="009A1D91">
        <w:rPr>
          <w:rFonts w:hint="cs"/>
          <w:sz w:val="20"/>
          <w:szCs w:val="20"/>
          <w:rtl/>
        </w:rPr>
        <w:t xml:space="preserve"> ולמחרת מצאה לכלוך תחת הציפורן וצריכה טבילה שנית, מותרת לטבול בשבת, ובכה"ג לא שייכת החומרה שכתב הרמ"א במקצת מקומות.</w:t>
      </w:r>
      <w:r w:rsidRPr="009A1D91">
        <w:rPr>
          <w:sz w:val="20"/>
          <w:szCs w:val="20"/>
          <w:rtl/>
        </w:rPr>
        <w:br/>
      </w:r>
      <w:r w:rsidRPr="009A1D91">
        <w:rPr>
          <w:rFonts w:hint="cs"/>
          <w:b/>
          <w:bCs/>
          <w:sz w:val="20"/>
          <w:szCs w:val="20"/>
          <w:rtl/>
        </w:rPr>
        <w:t>טעם</w:t>
      </w:r>
      <w:r w:rsidRPr="009A1D91">
        <w:rPr>
          <w:rFonts w:hint="cs"/>
          <w:sz w:val="20"/>
          <w:szCs w:val="20"/>
          <w:rtl/>
        </w:rPr>
        <w:t xml:space="preserve"> </w:t>
      </w:r>
      <w:r w:rsidRPr="009A1D91">
        <w:rPr>
          <w:sz w:val="20"/>
          <w:szCs w:val="20"/>
          <w:rtl/>
        </w:rPr>
        <w:t>–</w:t>
      </w:r>
      <w:r w:rsidRPr="009A1D91">
        <w:rPr>
          <w:rFonts w:hint="cs"/>
          <w:sz w:val="20"/>
          <w:szCs w:val="20"/>
          <w:rtl/>
        </w:rPr>
        <w:t xml:space="preserve"> הוי כאונס, ואין לדמות את דינה ליולדת שלא טבלה בזמנה.</w:t>
      </w:r>
      <w:r>
        <w:rPr>
          <w:rStyle w:val="10"/>
          <w:rFonts w:asciiTheme="minorBidi" w:hAnsiTheme="minorBidi"/>
          <w:rtl/>
        </w:rPr>
        <w:br/>
      </w:r>
      <w:r w:rsidRPr="009A1D91">
        <w:rPr>
          <w:rFonts w:hint="cs"/>
          <w:sz w:val="20"/>
          <w:szCs w:val="20"/>
          <w:rtl/>
        </w:rPr>
        <w:t xml:space="preserve">ב. </w:t>
      </w:r>
      <w:r w:rsidRPr="00197A3F">
        <w:rPr>
          <w:rFonts w:hint="cs"/>
          <w:b/>
          <w:bCs/>
          <w:sz w:val="20"/>
          <w:szCs w:val="20"/>
          <w:rtl/>
        </w:rPr>
        <w:t>ש"ך</w:t>
      </w:r>
      <w:r w:rsidRPr="009A1D91">
        <w:rPr>
          <w:rFonts w:hint="cs"/>
          <w:sz w:val="20"/>
          <w:szCs w:val="20"/>
          <w:rtl/>
        </w:rPr>
        <w:t xml:space="preserve"> –</w:t>
      </w:r>
      <w:r>
        <w:rPr>
          <w:rFonts w:hint="cs"/>
          <w:sz w:val="20"/>
          <w:szCs w:val="20"/>
          <w:rtl/>
        </w:rPr>
        <w:t xml:space="preserve"> נידה שטבלה בליל שישי ושכחה ליטול אחת מציפורניה, מותרת לטבול בליל שבת. ואע"פ שמעיקר הדין עלתה לה טבילה קמייתא, מכל מקום מותרת לטבול שנית, וכמה טעמים בדבר:</w:t>
      </w:r>
      <w:r>
        <w:rPr>
          <w:rFonts w:hint="cs"/>
          <w:sz w:val="20"/>
          <w:szCs w:val="20"/>
          <w:rtl/>
        </w:rPr>
        <w:br/>
        <w:t>א. מעיקר הדין כל טבילה מותרת בשבת, ואע"פ שנהגו להחמיר בכך, ע"פ מה שכתב ת"ה שלא נהגו לרחוץ להקר בשבת, יש לומר שבכה"ג לא נהגו להחמיר.</w:t>
      </w:r>
      <w:r>
        <w:rPr>
          <w:sz w:val="20"/>
          <w:szCs w:val="20"/>
          <w:rtl/>
        </w:rPr>
        <w:br/>
      </w:r>
      <w:r>
        <w:rPr>
          <w:rFonts w:hint="cs"/>
          <w:sz w:val="20"/>
          <w:szCs w:val="20"/>
          <w:rtl/>
        </w:rPr>
        <w:t>ב. כיוון שכבר נהגו להחמיר להצריכה טבילה שנית, אם כן זו טבילה של מצווה.</w:t>
      </w:r>
      <w:r>
        <w:rPr>
          <w:sz w:val="20"/>
          <w:szCs w:val="20"/>
          <w:rtl/>
        </w:rPr>
        <w:br/>
      </w:r>
      <w:r>
        <w:rPr>
          <w:rFonts w:hint="cs"/>
          <w:sz w:val="20"/>
          <w:szCs w:val="20"/>
          <w:rtl/>
        </w:rPr>
        <w:t xml:space="preserve">ג. דעת </w:t>
      </w:r>
      <w:r w:rsidRPr="00197A3F">
        <w:rPr>
          <w:rFonts w:hint="cs"/>
          <w:b/>
          <w:bCs/>
          <w:sz w:val="20"/>
          <w:szCs w:val="20"/>
          <w:rtl/>
        </w:rPr>
        <w:t>ראב"ן</w:t>
      </w:r>
      <w:r>
        <w:rPr>
          <w:rFonts w:hint="cs"/>
          <w:sz w:val="20"/>
          <w:szCs w:val="20"/>
          <w:rtl/>
        </w:rPr>
        <w:t xml:space="preserve"> שהציפורן מעכבת אף בדיעבד.</w:t>
      </w:r>
      <w:r>
        <w:rPr>
          <w:sz w:val="20"/>
          <w:szCs w:val="20"/>
          <w:rtl/>
        </w:rPr>
        <w:br/>
      </w:r>
      <w:r>
        <w:rPr>
          <w:rFonts w:hint="cs"/>
          <w:sz w:val="20"/>
          <w:szCs w:val="20"/>
          <w:rtl/>
        </w:rPr>
        <w:t xml:space="preserve">ד. יש להתיר ממה נפשך </w:t>
      </w:r>
      <w:r>
        <w:rPr>
          <w:sz w:val="20"/>
          <w:szCs w:val="20"/>
          <w:rtl/>
        </w:rPr>
        <w:t>–</w:t>
      </w:r>
      <w:r>
        <w:rPr>
          <w:rFonts w:hint="cs"/>
          <w:sz w:val="20"/>
          <w:szCs w:val="20"/>
          <w:rtl/>
        </w:rPr>
        <w:t xml:space="preserve"> אם הטבילה הראשונה עלתה לה, הרי שאין בטבילה השנייה משום מתקן גברא כלל ומותרת לטבול. ואם הטבילה הראשונה לא עלתה לה, הרי מדינא צריכה לטבול טבילה שנייה וזו טבילת מצווה.</w:t>
      </w:r>
    </w:p>
    <w:p w:rsidR="00620060" w:rsidRDefault="00620060" w:rsidP="00620060">
      <w:pPr>
        <w:rPr>
          <w:sz w:val="20"/>
          <w:szCs w:val="20"/>
          <w:rtl/>
        </w:rPr>
      </w:pPr>
      <w:r>
        <w:rPr>
          <w:rFonts w:hint="cs"/>
          <w:sz w:val="20"/>
          <w:szCs w:val="20"/>
          <w:u w:val="single"/>
          <w:rtl/>
        </w:rPr>
        <w:t>טבילה לאחר לידה</w:t>
      </w:r>
      <w:r>
        <w:rPr>
          <w:sz w:val="20"/>
          <w:szCs w:val="20"/>
          <w:u w:val="single"/>
          <w:rtl/>
        </w:rPr>
        <w:br/>
      </w:r>
      <w:r w:rsidRPr="007D46B4">
        <w:rPr>
          <w:rFonts w:hint="cs"/>
          <w:b/>
          <w:bCs/>
          <w:sz w:val="20"/>
          <w:szCs w:val="20"/>
          <w:rtl/>
        </w:rPr>
        <w:t>הרמ"א</w:t>
      </w:r>
      <w:r>
        <w:rPr>
          <w:rFonts w:hint="cs"/>
          <w:sz w:val="20"/>
          <w:szCs w:val="20"/>
          <w:rtl/>
        </w:rPr>
        <w:t xml:space="preserve"> כתב לגבי יולדת שיכלה לטבול אך היא התעכבה ללא אונס, שיש נהגו להחמיר שלא תטבול בשבת.</w:t>
      </w:r>
      <w:r>
        <w:rPr>
          <w:sz w:val="20"/>
          <w:szCs w:val="20"/>
          <w:rtl/>
        </w:rPr>
        <w:br/>
      </w:r>
      <w:r>
        <w:rPr>
          <w:rFonts w:hint="cs"/>
          <w:sz w:val="20"/>
          <w:szCs w:val="20"/>
          <w:rtl/>
        </w:rPr>
        <w:t xml:space="preserve">א. </w:t>
      </w:r>
      <w:r w:rsidRPr="007D46B4">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יולדת בתוך מ' לזכר ופ' לנקבה לא תטבול בשבת.</w:t>
      </w:r>
      <w:r>
        <w:rPr>
          <w:sz w:val="20"/>
          <w:szCs w:val="20"/>
          <w:rtl/>
        </w:rPr>
        <w:br/>
      </w:r>
      <w:r w:rsidRPr="00963BF5">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מדאורייתא יכלה לטבול גם לפני שבת, כיוון שהוא דם טוהר, ולכן שבת אינו זמן טבילתה.</w:t>
      </w:r>
      <w:r>
        <w:rPr>
          <w:sz w:val="20"/>
          <w:szCs w:val="20"/>
          <w:rtl/>
        </w:rPr>
        <w:br/>
      </w:r>
      <w:r>
        <w:rPr>
          <w:rFonts w:hint="cs"/>
          <w:sz w:val="20"/>
          <w:szCs w:val="20"/>
          <w:rtl/>
        </w:rPr>
        <w:t xml:space="preserve">ב. מקשה </w:t>
      </w:r>
      <w:r w:rsidRPr="007D46B4">
        <w:rPr>
          <w:rFonts w:hint="cs"/>
          <w:b/>
          <w:bCs/>
          <w:sz w:val="20"/>
          <w:szCs w:val="20"/>
          <w:rtl/>
        </w:rPr>
        <w:t>הדגמ"ר</w:t>
      </w:r>
      <w:r>
        <w:rPr>
          <w:rFonts w:hint="cs"/>
          <w:sz w:val="20"/>
          <w:szCs w:val="20"/>
          <w:rtl/>
        </w:rPr>
        <w:t xml:space="preserve"> </w:t>
      </w:r>
      <w:r>
        <w:rPr>
          <w:sz w:val="20"/>
          <w:szCs w:val="20"/>
          <w:rtl/>
        </w:rPr>
        <w:t>–</w:t>
      </w:r>
      <w:r>
        <w:rPr>
          <w:rFonts w:hint="cs"/>
          <w:sz w:val="20"/>
          <w:szCs w:val="20"/>
          <w:rtl/>
        </w:rPr>
        <w:t xml:space="preserve"> קשה לומר כך, שהרי חכמים החמירו עליה להצריכה ז"נ אף בכה"ג, ואם כן כיצד ייתכן </w:t>
      </w:r>
      <w:r>
        <w:rPr>
          <w:rFonts w:hint="cs"/>
          <w:sz w:val="20"/>
          <w:szCs w:val="20"/>
          <w:rtl/>
        </w:rPr>
        <w:lastRenderedPageBreak/>
        <w:t>להחמיר עליה שלא תטבול בשבת?</w:t>
      </w:r>
      <w:r>
        <w:rPr>
          <w:rStyle w:val="a5"/>
          <w:sz w:val="20"/>
          <w:szCs w:val="20"/>
          <w:rtl/>
        </w:rPr>
        <w:footnoteReference w:id="570"/>
      </w:r>
      <w:r>
        <w:rPr>
          <w:rFonts w:hint="cs"/>
          <w:sz w:val="20"/>
          <w:szCs w:val="20"/>
          <w:rtl/>
        </w:rPr>
        <w:br/>
        <w:t xml:space="preserve">ולכן, </w:t>
      </w:r>
      <w:r w:rsidRPr="007D46B4">
        <w:rPr>
          <w:rFonts w:hint="cs"/>
          <w:b/>
          <w:bCs/>
          <w:sz w:val="20"/>
          <w:szCs w:val="20"/>
          <w:rtl/>
        </w:rPr>
        <w:t>הדגמ"ר</w:t>
      </w:r>
      <w:r>
        <w:rPr>
          <w:rFonts w:hint="cs"/>
          <w:sz w:val="20"/>
          <w:szCs w:val="20"/>
          <w:rtl/>
        </w:rPr>
        <w:t xml:space="preserve"> פוסק להתיר לאשה לטבול בשבת כאשר העיכוב בטבילה נבע מחומרת חכמים, ודינה זהה לגמרי לדין אשה שראתה דם טמא וזמן טבילתה חל בליל שבת.</w:t>
      </w:r>
    </w:p>
    <w:p w:rsidR="00620060" w:rsidRDefault="00620060" w:rsidP="00620060">
      <w:pPr>
        <w:rPr>
          <w:sz w:val="20"/>
          <w:szCs w:val="20"/>
          <w:rtl/>
        </w:rPr>
      </w:pPr>
      <w:r w:rsidRPr="00A03C77">
        <w:rPr>
          <w:rFonts w:hint="cs"/>
          <w:sz w:val="20"/>
          <w:szCs w:val="20"/>
          <w:u w:val="single"/>
          <w:rtl/>
        </w:rPr>
        <w:t>לא טבלה מחמת טעות (פת"ש)</w:t>
      </w:r>
      <w:r>
        <w:rPr>
          <w:rFonts w:hint="cs"/>
          <w:sz w:val="20"/>
          <w:szCs w:val="20"/>
          <w:rtl/>
        </w:rPr>
        <w:br/>
      </w:r>
      <w:r w:rsidRPr="00FE7947">
        <w:rPr>
          <w:rFonts w:hint="cs"/>
          <w:b/>
          <w:bCs/>
          <w:sz w:val="20"/>
          <w:szCs w:val="20"/>
          <w:rtl/>
        </w:rPr>
        <w:t>נודע ביהודה</w:t>
      </w:r>
      <w:r>
        <w:rPr>
          <w:rFonts w:hint="cs"/>
          <w:sz w:val="20"/>
          <w:szCs w:val="20"/>
          <w:rtl/>
        </w:rPr>
        <w:t xml:space="preserve"> </w:t>
      </w:r>
      <w:r>
        <w:rPr>
          <w:sz w:val="20"/>
          <w:szCs w:val="20"/>
          <w:rtl/>
        </w:rPr>
        <w:t>–</w:t>
      </w:r>
      <w:r>
        <w:rPr>
          <w:rFonts w:hint="cs"/>
          <w:sz w:val="20"/>
          <w:szCs w:val="20"/>
          <w:rtl/>
        </w:rPr>
        <w:t xml:space="preserve"> אשה שהיה זמנה ללבוש לבנים ביום ה' והתאחרה לשוב לביתה מהשוק כי חשבה שעוד היום גדול, ומחמת כן לא יכלה ללבוש לבנים באותו יום אלא רק למחרת. האם מותר לה לטבול בליל שבת </w:t>
      </w:r>
      <w:r w:rsidRPr="00FE7947">
        <w:rPr>
          <w:rFonts w:hint="cs"/>
          <w:sz w:val="18"/>
          <w:szCs w:val="18"/>
          <w:rtl/>
        </w:rPr>
        <w:t xml:space="preserve">(הבאה) </w:t>
      </w:r>
      <w:r>
        <w:rPr>
          <w:rFonts w:hint="cs"/>
          <w:sz w:val="20"/>
          <w:szCs w:val="20"/>
          <w:rtl/>
        </w:rPr>
        <w:t>או שנחשבת כפושעת ושייך לגבה מנהג מקצת המקומות להחמיר?</w:t>
      </w:r>
      <w:r>
        <w:rPr>
          <w:rFonts w:hint="cs"/>
          <w:sz w:val="20"/>
          <w:szCs w:val="20"/>
          <w:rtl/>
        </w:rPr>
        <w:br/>
        <w:t xml:space="preserve">תשובה </w:t>
      </w:r>
      <w:r>
        <w:rPr>
          <w:sz w:val="20"/>
          <w:szCs w:val="20"/>
          <w:rtl/>
        </w:rPr>
        <w:t>–</w:t>
      </w:r>
      <w:r>
        <w:rPr>
          <w:rFonts w:hint="cs"/>
          <w:sz w:val="20"/>
          <w:szCs w:val="20"/>
          <w:rtl/>
        </w:rPr>
        <w:t xml:space="preserve"> מותר לה לטבול בליל שבת ונחשבת כאנוסה.</w:t>
      </w:r>
      <w:r>
        <w:rPr>
          <w:sz w:val="20"/>
          <w:szCs w:val="20"/>
          <w:rtl/>
        </w:rPr>
        <w:br/>
      </w:r>
      <w:r w:rsidRPr="00FE7947">
        <w:rPr>
          <w:rFonts w:hint="cs"/>
          <w:b/>
          <w:bCs/>
          <w:sz w:val="20"/>
          <w:szCs w:val="20"/>
          <w:rtl/>
        </w:rPr>
        <w:t>לבושי שרד</w:t>
      </w:r>
      <w:r>
        <w:rPr>
          <w:rFonts w:hint="cs"/>
          <w:sz w:val="20"/>
          <w:szCs w:val="20"/>
          <w:rtl/>
        </w:rPr>
        <w:t xml:space="preserve"> </w:t>
      </w:r>
      <w:r>
        <w:rPr>
          <w:sz w:val="20"/>
          <w:szCs w:val="20"/>
          <w:rtl/>
        </w:rPr>
        <w:t>–</w:t>
      </w:r>
      <w:r>
        <w:rPr>
          <w:rFonts w:hint="cs"/>
          <w:sz w:val="20"/>
          <w:szCs w:val="20"/>
          <w:rtl/>
        </w:rPr>
        <w:t xml:space="preserve"> הוא הדין בשאר אונס קטן, כגון שהיתה חולה או היה לה כאב או שהדרך למקווה היתה ארוכה עבורה. בכל המקרים האלו אינה פושעת ומותרת לטבול בשופי כשבעלה בעיר.</w:t>
      </w:r>
    </w:p>
    <w:p w:rsidR="00620060" w:rsidRDefault="00620060" w:rsidP="00620060">
      <w:pPr>
        <w:rPr>
          <w:sz w:val="20"/>
          <w:szCs w:val="20"/>
          <w:rtl/>
        </w:rPr>
      </w:pPr>
      <w:r>
        <w:rPr>
          <w:rFonts w:hint="cs"/>
          <w:sz w:val="20"/>
          <w:szCs w:val="20"/>
          <w:u w:val="single"/>
          <w:rtl/>
        </w:rPr>
        <w:t>היוצא לדרך (פת"ש)</w:t>
      </w:r>
      <w:r>
        <w:rPr>
          <w:rFonts w:hint="cs"/>
          <w:sz w:val="20"/>
          <w:szCs w:val="20"/>
          <w:u w:val="single"/>
          <w:rtl/>
        </w:rPr>
        <w:br/>
      </w:r>
      <w:r w:rsidRPr="003E4480">
        <w:rPr>
          <w:rFonts w:hint="cs"/>
          <w:b/>
          <w:bCs/>
          <w:sz w:val="20"/>
          <w:szCs w:val="20"/>
          <w:rtl/>
        </w:rPr>
        <w:t>חמודי דניאל</w:t>
      </w:r>
      <w:r>
        <w:rPr>
          <w:rFonts w:hint="cs"/>
          <w:sz w:val="20"/>
          <w:szCs w:val="20"/>
          <w:rtl/>
        </w:rPr>
        <w:t xml:space="preserve"> </w:t>
      </w:r>
      <w:r>
        <w:rPr>
          <w:sz w:val="20"/>
          <w:szCs w:val="20"/>
          <w:rtl/>
        </w:rPr>
        <w:t>–</w:t>
      </w:r>
      <w:r>
        <w:rPr>
          <w:rFonts w:hint="cs"/>
          <w:sz w:val="20"/>
          <w:szCs w:val="20"/>
          <w:rtl/>
        </w:rPr>
        <w:t xml:space="preserve"> היוצא לדרך במוצאי שבת, מותר לאשתו לטבול בליל שבת למרות שפשעה בכך שלא טבלה עד עתה, ואפשר שאף מותר לה לטבול ביום ח'.</w:t>
      </w:r>
    </w:p>
    <w:p w:rsidR="00620060" w:rsidRDefault="00620060" w:rsidP="00620060">
      <w:pPr>
        <w:rPr>
          <w:sz w:val="20"/>
          <w:szCs w:val="20"/>
          <w:rtl/>
        </w:rPr>
      </w:pPr>
      <w:r>
        <w:rPr>
          <w:rFonts w:hint="cs"/>
          <w:sz w:val="20"/>
          <w:szCs w:val="20"/>
          <w:u w:val="single"/>
          <w:rtl/>
        </w:rPr>
        <w:t>לא טבלה מחמת חומרה (פת"ש)</w:t>
      </w:r>
      <w:r>
        <w:rPr>
          <w:rFonts w:hint="cs"/>
          <w:sz w:val="20"/>
          <w:szCs w:val="20"/>
          <w:u w:val="single"/>
          <w:rtl/>
        </w:rPr>
        <w:br/>
      </w:r>
      <w:r>
        <w:rPr>
          <w:rFonts w:hint="cs"/>
          <w:sz w:val="20"/>
          <w:szCs w:val="20"/>
          <w:rtl/>
        </w:rPr>
        <w:t>מי שהחמירה על עצמה לאיזו סיבה בספירת ז"נ, ומחמת כן אירע שליל טבילתה בשבת, אסורה לטבול בשבת.</w:t>
      </w:r>
      <w:r>
        <w:rPr>
          <w:rFonts w:hint="cs"/>
          <w:sz w:val="20"/>
          <w:szCs w:val="20"/>
          <w:rtl/>
        </w:rPr>
        <w:br/>
      </w:r>
      <w:r w:rsidRPr="00B73493">
        <w:rPr>
          <w:rFonts w:hint="cs"/>
          <w:sz w:val="18"/>
          <w:szCs w:val="18"/>
          <w:rtl/>
        </w:rPr>
        <w:t xml:space="preserve">[ולכאורה לפי דברי </w:t>
      </w:r>
      <w:r w:rsidRPr="00B73493">
        <w:rPr>
          <w:rFonts w:hint="cs"/>
          <w:b/>
          <w:bCs/>
          <w:sz w:val="18"/>
          <w:szCs w:val="18"/>
          <w:rtl/>
        </w:rPr>
        <w:t>ששבה"ל</w:t>
      </w:r>
      <w:r w:rsidRPr="00B73493">
        <w:rPr>
          <w:rFonts w:hint="cs"/>
          <w:sz w:val="18"/>
          <w:szCs w:val="18"/>
          <w:rtl/>
        </w:rPr>
        <w:t xml:space="preserve"> לעיל, גם כאן מותר לה לטבול].</w:t>
      </w:r>
    </w:p>
    <w:p w:rsidR="00620060" w:rsidRPr="00E14C4C" w:rsidRDefault="00620060" w:rsidP="00620060">
      <w:pPr>
        <w:rPr>
          <w:rFonts w:cs="Arial"/>
          <w:sz w:val="20"/>
          <w:szCs w:val="20"/>
          <w:rtl/>
        </w:rPr>
      </w:pPr>
      <w:r>
        <w:rPr>
          <w:rFonts w:hint="cs"/>
          <w:sz w:val="20"/>
          <w:szCs w:val="20"/>
          <w:u w:val="single"/>
          <w:rtl/>
        </w:rPr>
        <w:t>טבלה שלא כדין (פת"ש)</w:t>
      </w:r>
      <w:r>
        <w:rPr>
          <w:rFonts w:hint="cs"/>
          <w:sz w:val="20"/>
          <w:szCs w:val="20"/>
          <w:u w:val="single"/>
          <w:rtl/>
        </w:rPr>
        <w:br/>
      </w:r>
      <w:r>
        <w:rPr>
          <w:rFonts w:hint="cs"/>
          <w:sz w:val="20"/>
          <w:szCs w:val="20"/>
          <w:rtl/>
        </w:rPr>
        <w:t xml:space="preserve">למנהג אותם מקומות שאין האשה טובלת בליל שבת כשלא נאנסה, נחלקו האחרונים מה דינה כאשר טבלה כנגד המנהג - </w:t>
      </w:r>
      <w:r>
        <w:rPr>
          <w:sz w:val="20"/>
          <w:szCs w:val="20"/>
          <w:rtl/>
        </w:rPr>
        <w:br/>
      </w:r>
      <w:r>
        <w:rPr>
          <w:rFonts w:hint="cs"/>
          <w:sz w:val="20"/>
          <w:szCs w:val="20"/>
          <w:rtl/>
        </w:rPr>
        <w:t xml:space="preserve">א. </w:t>
      </w:r>
      <w:r w:rsidRPr="008A3241">
        <w:rPr>
          <w:rFonts w:hint="cs"/>
          <w:b/>
          <w:bCs/>
          <w:sz w:val="20"/>
          <w:szCs w:val="20"/>
          <w:rtl/>
        </w:rPr>
        <w:t>חוט השני</w:t>
      </w:r>
      <w:r>
        <w:rPr>
          <w:rFonts w:hint="cs"/>
          <w:sz w:val="20"/>
          <w:szCs w:val="20"/>
          <w:rtl/>
        </w:rPr>
        <w:t xml:space="preserve"> </w:t>
      </w:r>
      <w:r>
        <w:rPr>
          <w:sz w:val="20"/>
          <w:szCs w:val="20"/>
          <w:rtl/>
        </w:rPr>
        <w:t>–</w:t>
      </w:r>
      <w:r>
        <w:rPr>
          <w:rFonts w:hint="cs"/>
          <w:sz w:val="20"/>
          <w:szCs w:val="20"/>
          <w:rtl/>
        </w:rPr>
        <w:t xml:space="preserve"> בשוגג מותרת לבעלה, במזיד אסורה עד מוצ"ש, וביו"ט נראה להקל, אך למעשה יש להחמיר.</w:t>
      </w:r>
      <w:r>
        <w:rPr>
          <w:rFonts w:hint="cs"/>
          <w:sz w:val="20"/>
          <w:szCs w:val="20"/>
          <w:rtl/>
        </w:rPr>
        <w:br/>
        <w:t>ומכל מקום, מותרים בשאר מיני קרבה.</w:t>
      </w:r>
      <w:r>
        <w:rPr>
          <w:sz w:val="20"/>
          <w:szCs w:val="20"/>
          <w:rtl/>
        </w:rPr>
        <w:br/>
      </w:r>
      <w:r>
        <w:rPr>
          <w:rFonts w:hint="cs"/>
          <w:sz w:val="20"/>
          <w:szCs w:val="20"/>
          <w:rtl/>
        </w:rPr>
        <w:t xml:space="preserve">ב. </w:t>
      </w:r>
      <w:r w:rsidRPr="008A3241">
        <w:rPr>
          <w:rFonts w:hint="cs"/>
          <w:b/>
          <w:bCs/>
          <w:sz w:val="20"/>
          <w:szCs w:val="20"/>
          <w:rtl/>
        </w:rPr>
        <w:t>סדרי טהרה</w:t>
      </w:r>
      <w:r>
        <w:rPr>
          <w:rFonts w:hint="cs"/>
          <w:sz w:val="20"/>
          <w:szCs w:val="20"/>
          <w:rtl/>
        </w:rPr>
        <w:t xml:space="preserve"> </w:t>
      </w:r>
      <w:r>
        <w:rPr>
          <w:sz w:val="20"/>
          <w:szCs w:val="20"/>
          <w:rtl/>
        </w:rPr>
        <w:t>–</w:t>
      </w:r>
      <w:r>
        <w:rPr>
          <w:rFonts w:hint="cs"/>
          <w:sz w:val="20"/>
          <w:szCs w:val="20"/>
          <w:rtl/>
        </w:rPr>
        <w:t xml:space="preserve"> אף במזיד בשבת מותרת.</w:t>
      </w:r>
      <w:r>
        <w:rPr>
          <w:sz w:val="20"/>
          <w:szCs w:val="20"/>
          <w:rtl/>
        </w:rPr>
        <w:br/>
      </w:r>
      <w:r>
        <w:rPr>
          <w:rStyle w:val="10"/>
          <w:rFonts w:asciiTheme="minorBidi" w:hAnsiTheme="minorBidi" w:hint="cs"/>
          <w:rtl/>
        </w:rPr>
        <w:br/>
      </w:r>
      <w:r w:rsidRPr="009A1D91">
        <w:rPr>
          <w:rStyle w:val="10"/>
          <w:rFonts w:asciiTheme="minorBidi" w:hAnsiTheme="minorBidi"/>
          <w:rtl/>
        </w:rPr>
        <w:t>ג.</w:t>
      </w:r>
      <w:r w:rsidRPr="009A1D91">
        <w:rPr>
          <w:rFonts w:asciiTheme="minorBidi" w:hAnsiTheme="minorBidi"/>
          <w:b/>
          <w:bCs/>
          <w:sz w:val="20"/>
          <w:szCs w:val="20"/>
          <w:rtl/>
        </w:rPr>
        <w:t xml:space="preserve"> טבילה במוצאי שבת כאשר לא טבלה בליל שבת</w:t>
      </w:r>
      <w:r w:rsidRPr="009A1D91">
        <w:rPr>
          <w:rFonts w:asciiTheme="minorBidi" w:hAnsiTheme="minorBidi"/>
          <w:sz w:val="20"/>
          <w:szCs w:val="20"/>
          <w:rtl/>
        </w:rPr>
        <w:br/>
      </w:r>
      <w:r w:rsidRPr="009A1D91">
        <w:rPr>
          <w:rFonts w:asciiTheme="minorBidi" w:hAnsiTheme="minorBidi"/>
          <w:b/>
          <w:bCs/>
          <w:sz w:val="20"/>
          <w:szCs w:val="20"/>
          <w:rtl/>
        </w:rPr>
        <w:t>שיטות הראשונים</w:t>
      </w:r>
      <w:r w:rsidRPr="009A1D91">
        <w:rPr>
          <w:rFonts w:asciiTheme="minorBidi" w:hAnsiTheme="minorBidi"/>
          <w:b/>
          <w:bCs/>
          <w:sz w:val="20"/>
          <w:szCs w:val="20"/>
          <w:rtl/>
        </w:rPr>
        <w:br/>
      </w:r>
      <w:r w:rsidRPr="009A1D91">
        <w:rPr>
          <w:rFonts w:asciiTheme="minorBidi" w:hAnsiTheme="minorBidi"/>
          <w:sz w:val="20"/>
          <w:szCs w:val="20"/>
          <w:rtl/>
        </w:rPr>
        <w:t>המקרה – אשה שליל טבילתה</w:t>
      </w:r>
      <w:r>
        <w:rPr>
          <w:rFonts w:cs="Arial" w:hint="cs"/>
          <w:sz w:val="20"/>
          <w:szCs w:val="20"/>
          <w:rtl/>
        </w:rPr>
        <w:t xml:space="preserve"> חל בליל שישי ונאנסה ולא טבלה. לשיטת המרדכי והאגור האוסרים לטבול בכה"ג בשבת, האם מותר לה לטבול בליל מוצאי שבת?</w:t>
      </w:r>
      <w:r>
        <w:rPr>
          <w:rFonts w:cs="Arial" w:hint="cs"/>
          <w:b/>
          <w:bCs/>
          <w:sz w:val="20"/>
          <w:szCs w:val="20"/>
          <w:rtl/>
        </w:rPr>
        <w:t xml:space="preserve"> </w:t>
      </w:r>
      <w:r>
        <w:rPr>
          <w:rFonts w:cs="Arial"/>
          <w:b/>
          <w:bCs/>
          <w:sz w:val="20"/>
          <w:szCs w:val="20"/>
          <w:rtl/>
        </w:rPr>
        <w:br/>
      </w:r>
      <w:r w:rsidRPr="00E14C4C">
        <w:rPr>
          <w:rFonts w:cs="Arial" w:hint="cs"/>
          <w:sz w:val="20"/>
          <w:szCs w:val="20"/>
          <w:rtl/>
        </w:rPr>
        <w:t>וכן</w:t>
      </w:r>
      <w:r>
        <w:rPr>
          <w:rFonts w:cs="Arial" w:hint="cs"/>
          <w:sz w:val="20"/>
          <w:szCs w:val="20"/>
          <w:rtl/>
        </w:rPr>
        <w:t xml:space="preserve"> יש להסתפק לגבי אלמנה שאסור לבוא עליה ביאה ראשונה בשבת וממילא אין לה לטבול בליל שבת, האם מותר לה לטבול בליל מוצאי שבת?</w:t>
      </w:r>
      <w:r w:rsidRPr="00E14C4C">
        <w:rPr>
          <w:rFonts w:cs="Arial"/>
          <w:sz w:val="20"/>
          <w:szCs w:val="20"/>
          <w:rtl/>
        </w:rPr>
        <w:br/>
      </w:r>
      <w:r>
        <w:rPr>
          <w:rFonts w:cs="Arial" w:hint="cs"/>
          <w:sz w:val="20"/>
          <w:szCs w:val="20"/>
          <w:rtl/>
        </w:rPr>
        <w:t xml:space="preserve">א. </w:t>
      </w:r>
      <w:r w:rsidRPr="00E14C4C">
        <w:rPr>
          <w:rFonts w:cs="Arial" w:hint="cs"/>
          <w:b/>
          <w:bCs/>
          <w:sz w:val="20"/>
          <w:szCs w:val="20"/>
          <w:rtl/>
        </w:rPr>
        <w:t>מהרי"ל</w:t>
      </w:r>
      <w:r>
        <w:rPr>
          <w:rFonts w:cs="Arial" w:hint="cs"/>
          <w:sz w:val="20"/>
          <w:szCs w:val="20"/>
          <w:rtl/>
        </w:rPr>
        <w:t xml:space="preserve">, </w:t>
      </w:r>
      <w:r w:rsidRPr="00E14C4C">
        <w:rPr>
          <w:rFonts w:cs="Arial" w:hint="cs"/>
          <w:b/>
          <w:bCs/>
          <w:sz w:val="20"/>
          <w:szCs w:val="20"/>
          <w:rtl/>
        </w:rPr>
        <w:t>אגור ומהרי"ו</w:t>
      </w:r>
      <w:r>
        <w:rPr>
          <w:rFonts w:cs="Arial" w:hint="cs"/>
          <w:sz w:val="20"/>
          <w:szCs w:val="20"/>
          <w:rtl/>
        </w:rPr>
        <w:t xml:space="preserve"> </w:t>
      </w:r>
      <w:r w:rsidRPr="006B22F3">
        <w:rPr>
          <w:rFonts w:cs="Arial"/>
          <w:sz w:val="20"/>
          <w:szCs w:val="20"/>
          <w:rtl/>
        </w:rPr>
        <w:t>–</w:t>
      </w:r>
      <w:r w:rsidRPr="006B22F3">
        <w:rPr>
          <w:rFonts w:cs="Arial" w:hint="cs"/>
          <w:sz w:val="20"/>
          <w:szCs w:val="20"/>
          <w:rtl/>
        </w:rPr>
        <w:t xml:space="preserve"> לא.</w:t>
      </w:r>
      <w:r>
        <w:rPr>
          <w:rFonts w:cs="Arial"/>
          <w:sz w:val="18"/>
          <w:szCs w:val="18"/>
          <w:rtl/>
        </w:rPr>
        <w:br/>
      </w:r>
      <w:r w:rsidRPr="00E14C4C">
        <w:rPr>
          <w:rFonts w:cs="Arial" w:hint="cs"/>
          <w:b/>
          <w:bCs/>
          <w:sz w:val="20"/>
          <w:szCs w:val="20"/>
          <w:rtl/>
        </w:rPr>
        <w:t>טעם</w:t>
      </w:r>
      <w:r w:rsidRPr="00E14C4C">
        <w:rPr>
          <w:rFonts w:cs="Arial" w:hint="cs"/>
          <w:sz w:val="20"/>
          <w:szCs w:val="20"/>
          <w:rtl/>
        </w:rPr>
        <w:t xml:space="preserve"> </w:t>
      </w:r>
      <w:r w:rsidRPr="00E14C4C">
        <w:rPr>
          <w:rFonts w:cs="Arial"/>
          <w:sz w:val="20"/>
          <w:szCs w:val="20"/>
          <w:rtl/>
        </w:rPr>
        <w:t>–</w:t>
      </w:r>
      <w:r w:rsidRPr="00E14C4C">
        <w:rPr>
          <w:rFonts w:cs="Arial" w:hint="cs"/>
          <w:sz w:val="20"/>
          <w:szCs w:val="20"/>
          <w:rtl/>
        </w:rPr>
        <w:t xml:space="preserve"> שיטת רש"י היא</w:t>
      </w:r>
      <w:r>
        <w:rPr>
          <w:rFonts w:cs="Arial" w:hint="cs"/>
          <w:sz w:val="20"/>
          <w:szCs w:val="20"/>
          <w:rtl/>
        </w:rPr>
        <w:t xml:space="preserve"> שלכתחילה אין לחפוף ביום ולטבול בלילה, הואיל והטבילה מרוחקת מהחפיפה. משום כך בשני המקרים הנ"ל יש לדחות את הטבילה לליל ב'.</w:t>
      </w:r>
      <w:r>
        <w:rPr>
          <w:rFonts w:cs="Arial"/>
          <w:sz w:val="20"/>
          <w:szCs w:val="20"/>
          <w:rtl/>
        </w:rPr>
        <w:br/>
      </w:r>
      <w:r>
        <w:rPr>
          <w:rFonts w:cs="Arial" w:hint="cs"/>
          <w:sz w:val="20"/>
          <w:szCs w:val="20"/>
          <w:rtl/>
        </w:rPr>
        <w:t xml:space="preserve">ב. </w:t>
      </w:r>
      <w:r w:rsidRPr="007B1DA2">
        <w:rPr>
          <w:rFonts w:cs="Arial" w:hint="cs"/>
          <w:b/>
          <w:bCs/>
          <w:sz w:val="20"/>
          <w:szCs w:val="20"/>
          <w:rtl/>
        </w:rPr>
        <w:t xml:space="preserve">בית יוסף </w:t>
      </w:r>
      <w:r>
        <w:rPr>
          <w:rFonts w:cs="Arial"/>
          <w:sz w:val="20"/>
          <w:szCs w:val="20"/>
          <w:rtl/>
        </w:rPr>
        <w:t>–</w:t>
      </w:r>
      <w:r>
        <w:rPr>
          <w:rFonts w:cs="Arial" w:hint="cs"/>
          <w:sz w:val="20"/>
          <w:szCs w:val="20"/>
          <w:rtl/>
        </w:rPr>
        <w:t xml:space="preserve"> כן.</w:t>
      </w:r>
      <w:r>
        <w:rPr>
          <w:rFonts w:cs="Arial"/>
          <w:sz w:val="20"/>
          <w:szCs w:val="20"/>
          <w:rtl/>
        </w:rPr>
        <w:br/>
      </w:r>
      <w:r w:rsidRPr="00314D6A">
        <w:rPr>
          <w:rFonts w:cs="Arial" w:hint="cs"/>
          <w:b/>
          <w:bCs/>
          <w:sz w:val="20"/>
          <w:szCs w:val="20"/>
          <w:rtl/>
        </w:rPr>
        <w:t xml:space="preserve">טעם </w:t>
      </w:r>
      <w:r>
        <w:rPr>
          <w:rFonts w:cs="Arial"/>
          <w:sz w:val="20"/>
          <w:szCs w:val="20"/>
          <w:rtl/>
        </w:rPr>
        <w:t>–</w:t>
      </w:r>
      <w:r>
        <w:rPr>
          <w:rFonts w:cs="Arial" w:hint="cs"/>
          <w:sz w:val="20"/>
          <w:szCs w:val="20"/>
          <w:rtl/>
        </w:rPr>
        <w:t xml:space="preserve"> רש"י התיר כאשר אין אפשרות אחרת, ובמקרים הנ"ל כיוון שהיא רוצה לטבול באותו לילה הוי כלא אפשר ומותר.</w:t>
      </w:r>
    </w:p>
    <w:p w:rsidR="00620060" w:rsidRDefault="00620060" w:rsidP="00620060">
      <w:pPr>
        <w:rPr>
          <w:sz w:val="20"/>
          <w:szCs w:val="20"/>
          <w:rtl/>
        </w:rPr>
      </w:pPr>
      <w:r w:rsidRPr="00E14C4C">
        <w:rPr>
          <w:rFonts w:cs="Arial" w:hint="cs"/>
          <w:b/>
          <w:bCs/>
          <w:sz w:val="20"/>
          <w:szCs w:val="20"/>
          <w:rtl/>
        </w:rPr>
        <w:t>פסיקת הלכה</w:t>
      </w:r>
      <w:r>
        <w:rPr>
          <w:rFonts w:cs="Arial"/>
          <w:sz w:val="18"/>
          <w:szCs w:val="18"/>
          <w:rtl/>
        </w:rPr>
        <w:br/>
      </w:r>
      <w:r w:rsidRPr="00E14C4C">
        <w:rPr>
          <w:rFonts w:cs="Arial" w:hint="cs"/>
          <w:b/>
          <w:bCs/>
          <w:sz w:val="20"/>
          <w:szCs w:val="20"/>
          <w:rtl/>
        </w:rPr>
        <w:t>רמ"א</w:t>
      </w:r>
      <w:r w:rsidRPr="00FE0087">
        <w:rPr>
          <w:rFonts w:cs="Arial" w:hint="cs"/>
          <w:sz w:val="20"/>
          <w:szCs w:val="20"/>
          <w:rtl/>
        </w:rPr>
        <w:t xml:space="preserve"> - </w:t>
      </w:r>
      <w:r>
        <w:rPr>
          <w:rFonts w:cs="Arial" w:hint="cs"/>
          <w:sz w:val="18"/>
          <w:szCs w:val="18"/>
          <w:rtl/>
        </w:rPr>
        <w:t>"</w:t>
      </w:r>
      <w:r w:rsidRPr="00BE46D3">
        <w:rPr>
          <w:rFonts w:cs="Arial"/>
          <w:sz w:val="18"/>
          <w:szCs w:val="18"/>
          <w:rtl/>
        </w:rPr>
        <w:t>ובמקום שנהגו להחמיר, גם במוצאי שבת לא תטבול דמאחר שהיה אפשר לה לטבול קודם לכן אין מרחיקין הטבילה מן החפיפה. וכן אלמנה שאסורה לטבול טבילה ראשונה בליל שבת, משום דאסור לבא עליה ביאה ראשונה בשבת, אסורה לטבול ג</w:t>
      </w:r>
      <w:r>
        <w:rPr>
          <w:rFonts w:cs="Arial" w:hint="cs"/>
          <w:sz w:val="18"/>
          <w:szCs w:val="18"/>
          <w:rtl/>
        </w:rPr>
        <w:t>ם כן</w:t>
      </w:r>
      <w:r w:rsidRPr="00BE46D3">
        <w:rPr>
          <w:rFonts w:cs="Arial"/>
          <w:sz w:val="18"/>
          <w:szCs w:val="18"/>
          <w:rtl/>
        </w:rPr>
        <w:t xml:space="preserve"> במוצאי שבת. ויש מקילין ומתירין לטבול במ</w:t>
      </w:r>
      <w:r>
        <w:rPr>
          <w:rFonts w:cs="Arial" w:hint="cs"/>
          <w:sz w:val="18"/>
          <w:szCs w:val="18"/>
          <w:rtl/>
        </w:rPr>
        <w:t>וצאי שבת</w:t>
      </w:r>
      <w:r w:rsidRPr="00BE46D3">
        <w:rPr>
          <w:rFonts w:cs="Arial"/>
          <w:sz w:val="18"/>
          <w:szCs w:val="18"/>
          <w:rtl/>
        </w:rPr>
        <w:t>, הואיל שלא טבלה בשבת משום חשש איסור</w:t>
      </w:r>
      <w:r>
        <w:rPr>
          <w:rFonts w:cs="Arial" w:hint="cs"/>
          <w:sz w:val="18"/>
          <w:szCs w:val="18"/>
          <w:rtl/>
        </w:rPr>
        <w:t>"</w:t>
      </w:r>
      <w:r w:rsidRPr="00BE46D3">
        <w:rPr>
          <w:rFonts w:cs="Arial"/>
          <w:sz w:val="18"/>
          <w:szCs w:val="18"/>
          <w:rtl/>
        </w:rPr>
        <w:t>.</w:t>
      </w:r>
    </w:p>
    <w:p w:rsidR="00620060" w:rsidRPr="007B56AA" w:rsidRDefault="00620060" w:rsidP="00620060">
      <w:pPr>
        <w:spacing w:line="300" w:lineRule="exact"/>
        <w:rPr>
          <w:rFonts w:ascii="Arial" w:hAnsi="Arial" w:cs="Arial"/>
          <w:sz w:val="20"/>
          <w:szCs w:val="20"/>
          <w:rtl/>
        </w:rPr>
      </w:pPr>
      <w:r>
        <w:rPr>
          <w:rFonts w:ascii="Arial" w:hAnsi="Arial" w:cs="Arial" w:hint="cs"/>
          <w:sz w:val="20"/>
          <w:szCs w:val="20"/>
          <w:rtl/>
        </w:rPr>
        <w:t xml:space="preserve">הכרעת </w:t>
      </w:r>
      <w:r w:rsidRPr="007B56AA">
        <w:rPr>
          <w:rFonts w:ascii="Arial" w:hAnsi="Arial" w:cs="Arial"/>
          <w:b/>
          <w:bCs/>
          <w:sz w:val="20"/>
          <w:szCs w:val="20"/>
          <w:rtl/>
        </w:rPr>
        <w:t>שבה"ל</w:t>
      </w:r>
      <w:r w:rsidRPr="007B56AA">
        <w:rPr>
          <w:rFonts w:ascii="Arial" w:hAnsi="Arial" w:cs="Arial"/>
          <w:sz w:val="20"/>
          <w:szCs w:val="20"/>
          <w:rtl/>
        </w:rPr>
        <w:t xml:space="preserve"> </w:t>
      </w:r>
      <w:r>
        <w:rPr>
          <w:rFonts w:ascii="Arial" w:hAnsi="Arial" w:cs="Arial" w:hint="cs"/>
          <w:sz w:val="20"/>
          <w:szCs w:val="20"/>
          <w:rtl/>
        </w:rPr>
        <w:t xml:space="preserve">- </w:t>
      </w:r>
      <w:r w:rsidRPr="007B56AA">
        <w:rPr>
          <w:rFonts w:ascii="Arial" w:hAnsi="Arial" w:cs="Arial"/>
          <w:sz w:val="20"/>
          <w:szCs w:val="20"/>
          <w:rtl/>
        </w:rPr>
        <w:t>בזמננו שנשים רבות חופפות בלילה ולא חוששות לשיטת רש"י, פשיטא שהדבר מותר גם במוצ</w:t>
      </w:r>
      <w:r>
        <w:rPr>
          <w:rFonts w:ascii="Arial" w:hAnsi="Arial" w:cs="Arial" w:hint="cs"/>
          <w:sz w:val="20"/>
          <w:szCs w:val="20"/>
          <w:rtl/>
        </w:rPr>
        <w:t xml:space="preserve">אי </w:t>
      </w:r>
      <w:r w:rsidRPr="007B56AA">
        <w:rPr>
          <w:rFonts w:ascii="Arial" w:hAnsi="Arial" w:cs="Arial"/>
          <w:sz w:val="20"/>
          <w:szCs w:val="20"/>
          <w:rtl/>
        </w:rPr>
        <w:t>ש</w:t>
      </w:r>
      <w:r>
        <w:rPr>
          <w:rFonts w:ascii="Arial" w:hAnsi="Arial" w:cs="Arial" w:hint="cs"/>
          <w:sz w:val="20"/>
          <w:szCs w:val="20"/>
          <w:rtl/>
        </w:rPr>
        <w:t>בת</w:t>
      </w:r>
      <w:r w:rsidRPr="007B56AA">
        <w:rPr>
          <w:rFonts w:ascii="Arial" w:hAnsi="Arial" w:cs="Arial"/>
          <w:sz w:val="20"/>
          <w:szCs w:val="20"/>
          <w:rtl/>
        </w:rPr>
        <w:t>.</w:t>
      </w:r>
    </w:p>
    <w:p w:rsidR="00620060" w:rsidRDefault="00620060" w:rsidP="00620060">
      <w:pPr>
        <w:rPr>
          <w:sz w:val="20"/>
          <w:szCs w:val="20"/>
          <w:rtl/>
        </w:rPr>
      </w:pPr>
      <w:r>
        <w:rPr>
          <w:rFonts w:hint="cs"/>
          <w:sz w:val="20"/>
          <w:szCs w:val="20"/>
          <w:u w:val="single"/>
          <w:rtl/>
        </w:rPr>
        <w:t xml:space="preserve">קניין אלמנה בשבת </w:t>
      </w:r>
      <w:r>
        <w:rPr>
          <w:sz w:val="20"/>
          <w:szCs w:val="20"/>
          <w:u w:val="single"/>
          <w:rtl/>
        </w:rPr>
        <w:t>–</w:t>
      </w:r>
      <w:r>
        <w:rPr>
          <w:rFonts w:hint="cs"/>
          <w:sz w:val="20"/>
          <w:szCs w:val="20"/>
          <w:u w:val="single"/>
          <w:rtl/>
        </w:rPr>
        <w:t xml:space="preserve"> הסבר </w:t>
      </w:r>
      <w:r>
        <w:rPr>
          <w:sz w:val="20"/>
          <w:szCs w:val="20"/>
          <w:u w:val="single"/>
          <w:rtl/>
        </w:rPr>
        <w:br/>
      </w:r>
      <w:r>
        <w:rPr>
          <w:rFonts w:hint="cs"/>
          <w:sz w:val="20"/>
          <w:szCs w:val="20"/>
          <w:rtl/>
        </w:rPr>
        <w:t xml:space="preserve">חכמים אסרו לעשות קניין בשבת. אלמנה אינה נקנית בחופה </w:t>
      </w:r>
      <w:r w:rsidRPr="000C06B5">
        <w:rPr>
          <w:rFonts w:hint="cs"/>
          <w:sz w:val="18"/>
          <w:szCs w:val="18"/>
          <w:rtl/>
        </w:rPr>
        <w:t xml:space="preserve">(לשיטת רוב האחרונים) </w:t>
      </w:r>
      <w:r>
        <w:rPr>
          <w:rFonts w:hint="cs"/>
          <w:sz w:val="20"/>
          <w:szCs w:val="20"/>
          <w:rtl/>
        </w:rPr>
        <w:t xml:space="preserve">אלא רק בביאה. </w:t>
      </w:r>
      <w:r>
        <w:rPr>
          <w:sz w:val="20"/>
          <w:szCs w:val="20"/>
          <w:rtl/>
        </w:rPr>
        <w:br/>
      </w:r>
      <w:r>
        <w:rPr>
          <w:rFonts w:hint="cs"/>
          <w:sz w:val="20"/>
          <w:szCs w:val="20"/>
          <w:rtl/>
        </w:rPr>
        <w:t xml:space="preserve">קניין אשה נאסר אף הוא בשבת, ולכן אין לבוא ביאה ראשונה על אלמנה בשבת. מכיוון שאין לבוא עליה בשבת, </w:t>
      </w:r>
      <w:r>
        <w:rPr>
          <w:rFonts w:hint="cs"/>
          <w:sz w:val="20"/>
          <w:szCs w:val="20"/>
          <w:rtl/>
        </w:rPr>
        <w:lastRenderedPageBreak/>
        <w:t xml:space="preserve">ממילא אסור לה לטבול שהרי אסורה לשמש. לעומת זאת, חופה קונה בבתולה, ולכן אם כנסה לחופה ביום שישי מותר לבוא עליה ביאה ראשונה בשבת ולכן גם מותרת לטבול. </w:t>
      </w:r>
      <w:r>
        <w:rPr>
          <w:sz w:val="20"/>
          <w:szCs w:val="20"/>
          <w:rtl/>
        </w:rPr>
        <w:br/>
      </w:r>
      <w:r>
        <w:rPr>
          <w:rFonts w:hint="cs"/>
          <w:sz w:val="20"/>
          <w:szCs w:val="20"/>
          <w:rtl/>
        </w:rPr>
        <w:t xml:space="preserve">מוסיף </w:t>
      </w:r>
      <w:r w:rsidRPr="000C06B5">
        <w:rPr>
          <w:rFonts w:hint="cs"/>
          <w:b/>
          <w:bCs/>
          <w:sz w:val="20"/>
          <w:szCs w:val="20"/>
          <w:rtl/>
        </w:rPr>
        <w:t>הט"ז</w:t>
      </w:r>
      <w:r>
        <w:rPr>
          <w:rFonts w:hint="cs"/>
          <w:sz w:val="20"/>
          <w:szCs w:val="20"/>
          <w:rtl/>
        </w:rPr>
        <w:t xml:space="preserve"> </w:t>
      </w:r>
      <w:r>
        <w:rPr>
          <w:sz w:val="20"/>
          <w:szCs w:val="20"/>
          <w:rtl/>
        </w:rPr>
        <w:t>–</w:t>
      </w:r>
      <w:r>
        <w:rPr>
          <w:rFonts w:hint="cs"/>
          <w:sz w:val="20"/>
          <w:szCs w:val="20"/>
          <w:rtl/>
        </w:rPr>
        <w:t xml:space="preserve"> למרות שנהגו לא לבעול בעילה ראשונה בשבת אפילו בבתולה</w:t>
      </w:r>
      <w:r>
        <w:rPr>
          <w:rStyle w:val="a5"/>
          <w:sz w:val="20"/>
          <w:szCs w:val="20"/>
          <w:rtl/>
        </w:rPr>
        <w:footnoteReference w:id="571"/>
      </w:r>
      <w:r>
        <w:rPr>
          <w:rFonts w:hint="cs"/>
          <w:sz w:val="20"/>
          <w:szCs w:val="20"/>
          <w:rtl/>
        </w:rPr>
        <w:t>, מכל מקום מותרת לטבול כיוון שמותרים בשאר מיני קורבות. מה שאין כן באלמנה, שאסורים גם בשאר מיני קרבות מחמת איסור בעילה</w:t>
      </w:r>
      <w:r>
        <w:rPr>
          <w:rStyle w:val="a5"/>
          <w:sz w:val="20"/>
          <w:szCs w:val="20"/>
          <w:rtl/>
        </w:rPr>
        <w:footnoteReference w:id="572"/>
      </w:r>
      <w:r>
        <w:rPr>
          <w:rFonts w:hint="cs"/>
          <w:sz w:val="20"/>
          <w:szCs w:val="20"/>
          <w:rtl/>
        </w:rPr>
        <w:t>.</w:t>
      </w:r>
      <w:r>
        <w:rPr>
          <w:rFonts w:hint="cs"/>
          <w:sz w:val="20"/>
          <w:szCs w:val="20"/>
          <w:rtl/>
        </w:rPr>
        <w:br/>
      </w:r>
      <w:r w:rsidRPr="00705DDC">
        <w:rPr>
          <w:rFonts w:hint="cs"/>
          <w:sz w:val="18"/>
          <w:szCs w:val="18"/>
          <w:rtl/>
        </w:rPr>
        <w:t>[</w:t>
      </w:r>
      <w:r w:rsidRPr="00705DDC">
        <w:rPr>
          <w:rFonts w:hint="cs"/>
          <w:b/>
          <w:bCs/>
          <w:sz w:val="18"/>
          <w:szCs w:val="18"/>
          <w:rtl/>
        </w:rPr>
        <w:t>והפת"ש</w:t>
      </w:r>
      <w:r w:rsidRPr="00705DDC">
        <w:rPr>
          <w:rFonts w:hint="cs"/>
          <w:sz w:val="18"/>
          <w:szCs w:val="18"/>
          <w:rtl/>
        </w:rPr>
        <w:t xml:space="preserve"> הוסיף בשם תשובת </w:t>
      </w:r>
      <w:r w:rsidRPr="00571615">
        <w:rPr>
          <w:rFonts w:hint="cs"/>
          <w:b/>
          <w:bCs/>
          <w:sz w:val="18"/>
          <w:szCs w:val="18"/>
          <w:rtl/>
        </w:rPr>
        <w:t>אבן שוהם</w:t>
      </w:r>
      <w:r w:rsidRPr="00705DDC">
        <w:rPr>
          <w:rFonts w:hint="cs"/>
          <w:sz w:val="18"/>
          <w:szCs w:val="18"/>
          <w:rtl/>
        </w:rPr>
        <w:t xml:space="preserve">, להתיר מהאי טעמא טבילה לאשה שבעלה אבל ויום ז' לאבלו חל ביום השבת. שאע"פ שאסור לשמש עמה בלילה, וכן אסור לשמש עמה ביום </w:t>
      </w:r>
      <w:r w:rsidRPr="00705DDC">
        <w:rPr>
          <w:rFonts w:hint="cs"/>
          <w:sz w:val="16"/>
          <w:szCs w:val="16"/>
          <w:rtl/>
        </w:rPr>
        <w:t>(מחמת איסור תשמיש ביום הנוהג בכל הנשים)</w:t>
      </w:r>
      <w:r w:rsidRPr="00705DDC">
        <w:rPr>
          <w:rFonts w:hint="cs"/>
          <w:sz w:val="18"/>
          <w:szCs w:val="18"/>
          <w:rtl/>
        </w:rPr>
        <w:t xml:space="preserve">, מכל מקום מותרים בשאר מיני קריבות. </w:t>
      </w:r>
      <w:r>
        <w:rPr>
          <w:sz w:val="18"/>
          <w:szCs w:val="18"/>
          <w:rtl/>
        </w:rPr>
        <w:br/>
      </w:r>
      <w:r w:rsidRPr="00705DDC">
        <w:rPr>
          <w:rFonts w:hint="cs"/>
          <w:sz w:val="18"/>
          <w:szCs w:val="18"/>
          <w:rtl/>
        </w:rPr>
        <w:t xml:space="preserve">ועוד הוסיף להתיר משום שאם לא תטבול בליל שבת, אף במוצ"ש אסורה לטבול ע"פ דברי הרמ"א כאן. ברם, </w:t>
      </w:r>
      <w:r w:rsidRPr="00571615">
        <w:rPr>
          <w:rFonts w:hint="cs"/>
          <w:b/>
          <w:bCs/>
          <w:sz w:val="18"/>
          <w:szCs w:val="18"/>
          <w:rtl/>
        </w:rPr>
        <w:t>הפת"ש</w:t>
      </w:r>
      <w:r w:rsidRPr="00705DDC">
        <w:rPr>
          <w:rFonts w:hint="cs"/>
          <w:sz w:val="18"/>
          <w:szCs w:val="18"/>
          <w:rtl/>
        </w:rPr>
        <w:t xml:space="preserve"> חולק על טעמו האחרון, שכיוון שמה שאינה טובלת הוא משום שאנחנו אוסרים זאת עליה, ולכן מותרת לטבול במוצ"ש].</w:t>
      </w:r>
    </w:p>
    <w:p w:rsidR="00620060" w:rsidRPr="00527C3E" w:rsidRDefault="00620060" w:rsidP="00620060">
      <w:pPr>
        <w:rPr>
          <w:sz w:val="20"/>
          <w:szCs w:val="20"/>
          <w:rtl/>
        </w:rPr>
      </w:pPr>
      <w:r>
        <w:rPr>
          <w:rFonts w:hint="cs"/>
          <w:sz w:val="20"/>
          <w:szCs w:val="20"/>
          <w:u w:val="single"/>
          <w:rtl/>
        </w:rPr>
        <w:t>ביאור סוף דברי הרמ"א</w:t>
      </w:r>
      <w:r>
        <w:rPr>
          <w:sz w:val="20"/>
          <w:szCs w:val="20"/>
          <w:u w:val="single"/>
          <w:rtl/>
        </w:rPr>
        <w:br/>
      </w:r>
      <w:r>
        <w:rPr>
          <w:rFonts w:hint="cs"/>
          <w:sz w:val="20"/>
          <w:szCs w:val="20"/>
          <w:rtl/>
        </w:rPr>
        <w:t xml:space="preserve">א. </w:t>
      </w:r>
      <w:r w:rsidRPr="00A52E72">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שיטת המקלים לטבול במוצ"ש, היא רק במקרה של אלמנה שלא יכלה לטבול לפני כן, אך במקרה של אשה שלא טבלה לפני שבת באותם מקומות שנהגו שלא לטבול בכה"ג בשבת, אין להקל לטבול במוצ"ש. </w:t>
      </w:r>
      <w:r>
        <w:rPr>
          <w:rFonts w:hint="cs"/>
          <w:sz w:val="20"/>
          <w:szCs w:val="20"/>
          <w:rtl/>
        </w:rPr>
        <w:br/>
        <w:t xml:space="preserve">ב. </w:t>
      </w:r>
      <w:r w:rsidRPr="00730200">
        <w:rPr>
          <w:rFonts w:hint="cs"/>
          <w:b/>
          <w:bCs/>
          <w:sz w:val="20"/>
          <w:szCs w:val="20"/>
          <w:rtl/>
        </w:rPr>
        <w:t xml:space="preserve">תשובת מקום שמואל </w:t>
      </w:r>
      <w:r>
        <w:rPr>
          <w:sz w:val="20"/>
          <w:szCs w:val="20"/>
          <w:rtl/>
        </w:rPr>
        <w:t>–</w:t>
      </w:r>
      <w:r>
        <w:rPr>
          <w:rFonts w:hint="cs"/>
          <w:sz w:val="20"/>
          <w:szCs w:val="20"/>
          <w:rtl/>
        </w:rPr>
        <w:t xml:space="preserve"> אין חילוק בין אלמנה לשאר הנשים, בכל אופן יש מקלים, ויש להורות להקל.</w:t>
      </w:r>
    </w:p>
    <w:p w:rsidR="00620060" w:rsidRDefault="00620060" w:rsidP="00620060">
      <w:pPr>
        <w:rPr>
          <w:sz w:val="20"/>
          <w:szCs w:val="20"/>
          <w:rtl/>
        </w:rPr>
      </w:pPr>
      <w:r>
        <w:rPr>
          <w:rFonts w:hint="cs"/>
          <w:b/>
          <w:bCs/>
          <w:sz w:val="20"/>
          <w:szCs w:val="20"/>
          <w:rtl/>
        </w:rPr>
        <w:t>דינים נוספים</w:t>
      </w:r>
      <w:r>
        <w:rPr>
          <w:b/>
          <w:bCs/>
          <w:sz w:val="20"/>
          <w:szCs w:val="20"/>
          <w:rtl/>
        </w:rPr>
        <w:br/>
      </w:r>
      <w:r>
        <w:rPr>
          <w:rFonts w:hint="cs"/>
          <w:sz w:val="20"/>
          <w:szCs w:val="20"/>
          <w:u w:val="single"/>
          <w:rtl/>
        </w:rPr>
        <w:t>טבילה במים חמים בשבת (פת"ש)</w:t>
      </w:r>
      <w:r>
        <w:rPr>
          <w:sz w:val="20"/>
          <w:szCs w:val="20"/>
          <w:u w:val="single"/>
          <w:rtl/>
        </w:rPr>
        <w:br/>
      </w:r>
      <w:r w:rsidRPr="0067329B">
        <w:rPr>
          <w:rFonts w:hint="cs"/>
          <w:b/>
          <w:bCs/>
          <w:sz w:val="20"/>
          <w:szCs w:val="20"/>
          <w:rtl/>
        </w:rPr>
        <w:t>שולחן ערוך</w:t>
      </w:r>
      <w:r w:rsidRPr="0067329B">
        <w:rPr>
          <w:rFonts w:hint="cs"/>
          <w:sz w:val="18"/>
          <w:szCs w:val="18"/>
          <w:rtl/>
        </w:rPr>
        <w:t xml:space="preserve"> (או"ח, שכו</w:t>
      </w:r>
      <w:r>
        <w:rPr>
          <w:rFonts w:hint="cs"/>
          <w:sz w:val="18"/>
          <w:szCs w:val="18"/>
          <w:rtl/>
        </w:rPr>
        <w:t>, א</w:t>
      </w:r>
      <w:r w:rsidRPr="0067329B">
        <w:rPr>
          <w:rFonts w:hint="cs"/>
          <w:sz w:val="18"/>
          <w:szCs w:val="18"/>
          <w:rtl/>
        </w:rPr>
        <w:t xml:space="preserve">) </w:t>
      </w:r>
      <w:r>
        <w:rPr>
          <w:sz w:val="20"/>
          <w:szCs w:val="20"/>
          <w:rtl/>
        </w:rPr>
        <w:t>–</w:t>
      </w:r>
      <w:r>
        <w:rPr>
          <w:rFonts w:hint="cs"/>
          <w:sz w:val="20"/>
          <w:szCs w:val="20"/>
          <w:rtl/>
        </w:rPr>
        <w:t xml:space="preserve"> "</w:t>
      </w:r>
      <w:r w:rsidRPr="0067329B">
        <w:rPr>
          <w:rFonts w:cs="Arial"/>
          <w:sz w:val="20"/>
          <w:szCs w:val="20"/>
          <w:rtl/>
        </w:rPr>
        <w:t>אסור לרחוץ כל גופו, אפי</w:t>
      </w:r>
      <w:r>
        <w:rPr>
          <w:rFonts w:cs="Arial" w:hint="cs"/>
          <w:sz w:val="20"/>
          <w:szCs w:val="20"/>
          <w:rtl/>
        </w:rPr>
        <w:t>לו</w:t>
      </w:r>
      <w:r w:rsidRPr="0067329B">
        <w:rPr>
          <w:rFonts w:cs="Arial"/>
          <w:sz w:val="20"/>
          <w:szCs w:val="20"/>
          <w:rtl/>
        </w:rPr>
        <w:t xml:space="preserve"> כל אבר ואבר לבד, אפילו במים שהוחמו מערב שבת, בין אם הם בכלי בין אם הם בקרקע</w:t>
      </w:r>
      <w:r>
        <w:rPr>
          <w:rFonts w:cs="Arial" w:hint="cs"/>
          <w:sz w:val="20"/>
          <w:szCs w:val="20"/>
          <w:rtl/>
        </w:rPr>
        <w:t>".</w:t>
      </w:r>
      <w:r>
        <w:rPr>
          <w:sz w:val="20"/>
          <w:szCs w:val="20"/>
          <w:rtl/>
        </w:rPr>
        <w:br/>
      </w:r>
      <w:r>
        <w:rPr>
          <w:rFonts w:hint="cs"/>
          <w:sz w:val="20"/>
          <w:szCs w:val="20"/>
          <w:rtl/>
        </w:rPr>
        <w:t xml:space="preserve">ולפי"ז, לכאורה אסור לאשה לטבול במקווה מחומם בשבת, ונחלקו האחרונים בדין זה - </w:t>
      </w:r>
      <w:r>
        <w:rPr>
          <w:sz w:val="20"/>
          <w:szCs w:val="20"/>
          <w:rtl/>
        </w:rPr>
        <w:br/>
      </w:r>
      <w:r>
        <w:rPr>
          <w:rFonts w:hint="cs"/>
          <w:sz w:val="20"/>
          <w:szCs w:val="20"/>
          <w:rtl/>
        </w:rPr>
        <w:t xml:space="preserve">א. </w:t>
      </w:r>
      <w:r w:rsidRPr="008D2042">
        <w:rPr>
          <w:rFonts w:hint="cs"/>
          <w:b/>
          <w:bCs/>
          <w:sz w:val="20"/>
          <w:szCs w:val="20"/>
          <w:rtl/>
        </w:rPr>
        <w:t>נודע ביהודה</w:t>
      </w:r>
      <w:r>
        <w:rPr>
          <w:rFonts w:hint="cs"/>
          <w:sz w:val="20"/>
          <w:szCs w:val="20"/>
          <w:rtl/>
        </w:rPr>
        <w:t xml:space="preserve"> - הטובלת בשבת במים חמים עוברת על דברי חכמים מותר לה לקרוא לה בשם "עבריין".</w:t>
      </w:r>
      <w:r>
        <w:rPr>
          <w:sz w:val="20"/>
          <w:szCs w:val="20"/>
          <w:rtl/>
        </w:rPr>
        <w:br/>
      </w:r>
      <w:r>
        <w:rPr>
          <w:rFonts w:hint="cs"/>
          <w:sz w:val="20"/>
          <w:szCs w:val="20"/>
          <w:rtl/>
        </w:rPr>
        <w:t xml:space="preserve">ואמנם, מותר לחמם מעט את המים שלא יהיו קרים. </w:t>
      </w:r>
      <w:r w:rsidRPr="00B5027D">
        <w:rPr>
          <w:rFonts w:hint="cs"/>
          <w:sz w:val="18"/>
          <w:szCs w:val="18"/>
          <w:rtl/>
        </w:rPr>
        <w:t>(וכמו כן, מותר לחם את המים בעוד יום גדול, עד שבשעת הטבילה לא יהיו חמים אלא רק פושרים).</w:t>
      </w:r>
      <w:r>
        <w:rPr>
          <w:sz w:val="20"/>
          <w:szCs w:val="20"/>
          <w:rtl/>
        </w:rPr>
        <w:br/>
      </w:r>
      <w:r>
        <w:rPr>
          <w:rFonts w:hint="cs"/>
          <w:sz w:val="20"/>
          <w:szCs w:val="20"/>
          <w:rtl/>
        </w:rPr>
        <w:t>אם הדבר אינו אפשרי, תידחה הטבילה למוצאי שבת.</w:t>
      </w:r>
      <w:r>
        <w:rPr>
          <w:rStyle w:val="a5"/>
          <w:sz w:val="20"/>
          <w:szCs w:val="20"/>
          <w:rtl/>
        </w:rPr>
        <w:footnoteReference w:id="573"/>
      </w:r>
      <w:r>
        <w:rPr>
          <w:sz w:val="20"/>
          <w:szCs w:val="20"/>
          <w:rtl/>
        </w:rPr>
        <w:br/>
      </w:r>
      <w:r>
        <w:rPr>
          <w:rFonts w:hint="cs"/>
          <w:sz w:val="20"/>
          <w:szCs w:val="20"/>
          <w:rtl/>
        </w:rPr>
        <w:t>אם הדבר אינו אפשרי, יש להורות לה לטבול במים חמים בבין השמשות</w:t>
      </w:r>
      <w:r>
        <w:rPr>
          <w:rStyle w:val="a5"/>
          <w:sz w:val="20"/>
          <w:szCs w:val="20"/>
          <w:rtl/>
        </w:rPr>
        <w:footnoteReference w:id="574"/>
      </w:r>
      <w:r>
        <w:rPr>
          <w:rFonts w:hint="cs"/>
          <w:sz w:val="20"/>
          <w:szCs w:val="20"/>
          <w:rtl/>
        </w:rPr>
        <w:t xml:space="preserve">, אך תקפיד שלא לחזור לביתה מבעוד יום אלא רק משתחשך. </w:t>
      </w:r>
      <w:r>
        <w:rPr>
          <w:sz w:val="20"/>
          <w:szCs w:val="20"/>
          <w:rtl/>
        </w:rPr>
        <w:br/>
      </w:r>
      <w:r>
        <w:rPr>
          <w:rFonts w:hint="cs"/>
          <w:sz w:val="20"/>
          <w:szCs w:val="20"/>
          <w:rtl/>
        </w:rPr>
        <w:t xml:space="preserve">ב. </w:t>
      </w:r>
      <w:r w:rsidRPr="00572CAE">
        <w:rPr>
          <w:rFonts w:hint="cs"/>
          <w:b/>
          <w:bCs/>
          <w:sz w:val="20"/>
          <w:szCs w:val="20"/>
          <w:rtl/>
        </w:rPr>
        <w:t>חוט השני</w:t>
      </w:r>
      <w:r>
        <w:rPr>
          <w:rFonts w:hint="cs"/>
          <w:sz w:val="20"/>
          <w:szCs w:val="20"/>
          <w:rtl/>
        </w:rPr>
        <w:t xml:space="preserve"> </w:t>
      </w:r>
      <w:r>
        <w:rPr>
          <w:sz w:val="20"/>
          <w:szCs w:val="20"/>
          <w:rtl/>
        </w:rPr>
        <w:t>–</w:t>
      </w:r>
      <w:r>
        <w:rPr>
          <w:rFonts w:hint="cs"/>
          <w:sz w:val="20"/>
          <w:szCs w:val="20"/>
          <w:rtl/>
        </w:rPr>
        <w:t xml:space="preserve"> אין להתיר לטבול מבעוד יום, אלא רק במקום שנהגו כן, ובכפוף לכך שהיתר זה יהיה רק בשבת ורק לאחר שאמרו הקהל 'ברכו' וקיבלו בכך שבת.</w:t>
      </w:r>
      <w:r>
        <w:rPr>
          <w:sz w:val="20"/>
          <w:szCs w:val="20"/>
          <w:rtl/>
        </w:rPr>
        <w:br/>
      </w:r>
      <w:r>
        <w:rPr>
          <w:rFonts w:hint="cs"/>
          <w:sz w:val="20"/>
          <w:szCs w:val="20"/>
          <w:rtl/>
        </w:rPr>
        <w:t xml:space="preserve">ג. </w:t>
      </w:r>
      <w:r w:rsidRPr="00572CAE">
        <w:rPr>
          <w:rFonts w:hint="cs"/>
          <w:b/>
          <w:bCs/>
          <w:sz w:val="20"/>
          <w:szCs w:val="20"/>
          <w:rtl/>
        </w:rPr>
        <w:t>חינוך בית יהודה</w:t>
      </w:r>
      <w:r>
        <w:rPr>
          <w:rFonts w:hint="cs"/>
          <w:sz w:val="20"/>
          <w:szCs w:val="20"/>
          <w:rtl/>
        </w:rPr>
        <w:t xml:space="preserve"> </w:t>
      </w:r>
      <w:r>
        <w:rPr>
          <w:sz w:val="20"/>
          <w:szCs w:val="20"/>
          <w:rtl/>
        </w:rPr>
        <w:t>–</w:t>
      </w:r>
      <w:r>
        <w:rPr>
          <w:rFonts w:hint="cs"/>
          <w:sz w:val="20"/>
          <w:szCs w:val="20"/>
          <w:rtl/>
        </w:rPr>
        <w:t xml:space="preserve"> אין להתיר כלל לטבול מבעוד יום.</w:t>
      </w:r>
    </w:p>
    <w:p w:rsidR="00620060" w:rsidRDefault="00620060" w:rsidP="00620060">
      <w:pPr>
        <w:spacing w:line="300" w:lineRule="exact"/>
        <w:rPr>
          <w:sz w:val="20"/>
          <w:szCs w:val="20"/>
          <w:rtl/>
        </w:rPr>
      </w:pPr>
      <w:r>
        <w:rPr>
          <w:rFonts w:hint="cs"/>
          <w:sz w:val="20"/>
          <w:szCs w:val="20"/>
          <w:rtl/>
        </w:rPr>
        <w:t>באחרונים נאמרו שתי סברות להקל לטבול במים חמים בשבת:</w:t>
      </w:r>
      <w:r>
        <w:rPr>
          <w:rFonts w:hint="cs"/>
          <w:sz w:val="20"/>
          <w:szCs w:val="20"/>
          <w:rtl/>
        </w:rPr>
        <w:br/>
        <w:t xml:space="preserve">א. </w:t>
      </w:r>
      <w:r w:rsidRPr="008D2042">
        <w:rPr>
          <w:rFonts w:hint="cs"/>
          <w:b/>
          <w:bCs/>
          <w:sz w:val="20"/>
          <w:szCs w:val="20"/>
          <w:rtl/>
        </w:rPr>
        <w:t>קרבן נתנאל</w:t>
      </w:r>
      <w:r>
        <w:rPr>
          <w:rFonts w:hint="cs"/>
          <w:sz w:val="20"/>
          <w:szCs w:val="20"/>
          <w:rtl/>
        </w:rPr>
        <w:t xml:space="preserve"> </w:t>
      </w:r>
      <w:r w:rsidRPr="008D2042">
        <w:rPr>
          <w:rFonts w:hint="cs"/>
          <w:sz w:val="18"/>
          <w:szCs w:val="18"/>
          <w:rtl/>
        </w:rPr>
        <w:t xml:space="preserve">(שבת, ב, כב) </w:t>
      </w:r>
      <w:r>
        <w:rPr>
          <w:sz w:val="20"/>
          <w:szCs w:val="20"/>
          <w:rtl/>
        </w:rPr>
        <w:t>–</w:t>
      </w:r>
      <w:r>
        <w:rPr>
          <w:rFonts w:hint="cs"/>
          <w:sz w:val="20"/>
          <w:szCs w:val="20"/>
          <w:rtl/>
        </w:rPr>
        <w:t xml:space="preserve"> גזירת מרחצאות לא נגזרה על מקווה וטבילת מצווה</w:t>
      </w:r>
      <w:r>
        <w:rPr>
          <w:rStyle w:val="a5"/>
          <w:sz w:val="20"/>
          <w:szCs w:val="20"/>
          <w:rtl/>
        </w:rPr>
        <w:footnoteReference w:id="575"/>
      </w:r>
      <w:r>
        <w:rPr>
          <w:rFonts w:hint="cs"/>
          <w:sz w:val="20"/>
          <w:szCs w:val="20"/>
          <w:rtl/>
        </w:rPr>
        <w:t>.</w:t>
      </w:r>
      <w:r>
        <w:rPr>
          <w:sz w:val="20"/>
          <w:szCs w:val="20"/>
          <w:rtl/>
        </w:rPr>
        <w:br/>
      </w:r>
      <w:r>
        <w:rPr>
          <w:rFonts w:hint="cs"/>
          <w:sz w:val="20"/>
          <w:szCs w:val="20"/>
          <w:rtl/>
        </w:rPr>
        <w:t xml:space="preserve">ב. </w:t>
      </w:r>
      <w:r w:rsidRPr="008D2042">
        <w:rPr>
          <w:rFonts w:hint="cs"/>
          <w:b/>
          <w:bCs/>
          <w:sz w:val="20"/>
          <w:szCs w:val="20"/>
          <w:rtl/>
        </w:rPr>
        <w:t>סדרי טהרה</w:t>
      </w:r>
      <w:r>
        <w:rPr>
          <w:rFonts w:hint="cs"/>
          <w:sz w:val="20"/>
          <w:szCs w:val="20"/>
          <w:rtl/>
        </w:rPr>
        <w:t xml:space="preserve"> </w:t>
      </w:r>
      <w:r>
        <w:rPr>
          <w:sz w:val="20"/>
          <w:szCs w:val="20"/>
          <w:rtl/>
        </w:rPr>
        <w:t>–</w:t>
      </w:r>
      <w:r>
        <w:rPr>
          <w:rFonts w:hint="cs"/>
          <w:sz w:val="20"/>
          <w:szCs w:val="20"/>
          <w:rtl/>
        </w:rPr>
        <w:t xml:space="preserve"> יש להקל משום שירדה חולשה לעולם.</w:t>
      </w:r>
    </w:p>
    <w:p w:rsidR="00620060" w:rsidRPr="009C56C5" w:rsidRDefault="00620060" w:rsidP="00620060">
      <w:pPr>
        <w:spacing w:line="300" w:lineRule="exact"/>
        <w:rPr>
          <w:sz w:val="20"/>
          <w:szCs w:val="20"/>
          <w:rtl/>
        </w:rPr>
      </w:pPr>
      <w:r w:rsidRPr="008D2042">
        <w:rPr>
          <w:rFonts w:hint="cs"/>
          <w:sz w:val="20"/>
          <w:szCs w:val="20"/>
          <w:u w:val="single"/>
          <w:rtl/>
        </w:rPr>
        <w:t>הכרעת הפוסקים</w:t>
      </w:r>
      <w:r>
        <w:rPr>
          <w:sz w:val="20"/>
          <w:szCs w:val="20"/>
          <w:rtl/>
        </w:rPr>
        <w:br/>
      </w:r>
      <w:r>
        <w:rPr>
          <w:rFonts w:hint="cs"/>
          <w:sz w:val="20"/>
          <w:szCs w:val="20"/>
          <w:rtl/>
        </w:rPr>
        <w:t xml:space="preserve">א. </w:t>
      </w:r>
      <w:r w:rsidRPr="008D2042">
        <w:rPr>
          <w:rFonts w:hint="cs"/>
          <w:b/>
          <w:bCs/>
          <w:sz w:val="20"/>
          <w:szCs w:val="20"/>
          <w:rtl/>
        </w:rPr>
        <w:t xml:space="preserve">ששבה"ל </w:t>
      </w:r>
      <w:r>
        <w:rPr>
          <w:sz w:val="20"/>
          <w:szCs w:val="20"/>
          <w:rtl/>
        </w:rPr>
        <w:t>–</w:t>
      </w:r>
      <w:r>
        <w:rPr>
          <w:rFonts w:hint="cs"/>
          <w:sz w:val="20"/>
          <w:szCs w:val="20"/>
          <w:rtl/>
        </w:rPr>
        <w:t xml:space="preserve"> העולם נהגו להתיר, והגדולים שתקו על זה ולא מחו בידם.</w:t>
      </w:r>
      <w:r>
        <w:rPr>
          <w:rFonts w:hint="cs"/>
          <w:sz w:val="20"/>
          <w:szCs w:val="20"/>
          <w:rtl/>
        </w:rPr>
        <w:br/>
      </w:r>
      <w:r>
        <w:rPr>
          <w:rFonts w:hint="cs"/>
          <w:sz w:val="20"/>
          <w:szCs w:val="20"/>
          <w:rtl/>
        </w:rPr>
        <w:lastRenderedPageBreak/>
        <w:t xml:space="preserve">ב. </w:t>
      </w:r>
      <w:r w:rsidRPr="008D2042">
        <w:rPr>
          <w:rFonts w:hint="cs"/>
          <w:b/>
          <w:bCs/>
          <w:sz w:val="20"/>
          <w:szCs w:val="20"/>
          <w:rtl/>
        </w:rPr>
        <w:t>טה"ב</w:t>
      </w:r>
      <w:r>
        <w:rPr>
          <w:rFonts w:hint="cs"/>
          <w:sz w:val="20"/>
          <w:szCs w:val="20"/>
          <w:rtl/>
        </w:rPr>
        <w:t xml:space="preserve"> </w:t>
      </w:r>
      <w:r>
        <w:rPr>
          <w:sz w:val="20"/>
          <w:szCs w:val="20"/>
          <w:rtl/>
        </w:rPr>
        <w:t>–</w:t>
      </w:r>
      <w:r>
        <w:rPr>
          <w:rFonts w:hint="cs"/>
          <w:sz w:val="20"/>
          <w:szCs w:val="20"/>
          <w:rtl/>
        </w:rPr>
        <w:t xml:space="preserve"> יש להורות לנשים לטבול בביה"ש </w:t>
      </w:r>
      <w:r w:rsidRPr="008D2042">
        <w:rPr>
          <w:rFonts w:hint="cs"/>
          <w:sz w:val="18"/>
          <w:szCs w:val="18"/>
          <w:rtl/>
        </w:rPr>
        <w:t>(עד 18 דקות מהשקיעה)</w:t>
      </w:r>
      <w:r>
        <w:rPr>
          <w:rFonts w:hint="cs"/>
          <w:sz w:val="20"/>
          <w:szCs w:val="20"/>
          <w:rtl/>
        </w:rPr>
        <w:t>, ואמנם אם הדבר לא התאפשר אין להימנע מטבילה משום כך.</w:t>
      </w:r>
      <w:r>
        <w:rPr>
          <w:sz w:val="20"/>
          <w:szCs w:val="20"/>
          <w:rtl/>
        </w:rPr>
        <w:br/>
      </w:r>
      <w:r>
        <w:rPr>
          <w:rFonts w:hint="cs"/>
          <w:sz w:val="20"/>
          <w:szCs w:val="20"/>
          <w:rtl/>
        </w:rPr>
        <w:br/>
      </w:r>
      <w:r>
        <w:rPr>
          <w:rFonts w:hint="cs"/>
          <w:sz w:val="20"/>
          <w:szCs w:val="20"/>
          <w:u w:val="single"/>
          <w:rtl/>
        </w:rPr>
        <w:t>טבילת כלה בלילה שחפפה בו (פת"ש)</w:t>
      </w:r>
      <w:r>
        <w:rPr>
          <w:rFonts w:hint="cs"/>
          <w:sz w:val="20"/>
          <w:szCs w:val="20"/>
          <w:u w:val="single"/>
          <w:rtl/>
        </w:rPr>
        <w:br/>
      </w:r>
      <w:r w:rsidRPr="009C56C5">
        <w:rPr>
          <w:rFonts w:hint="cs"/>
          <w:b/>
          <w:bCs/>
          <w:sz w:val="20"/>
          <w:szCs w:val="20"/>
          <w:rtl/>
        </w:rPr>
        <w:t>נודע ביהודה</w:t>
      </w:r>
      <w:r>
        <w:rPr>
          <w:rFonts w:hint="cs"/>
          <w:sz w:val="20"/>
          <w:szCs w:val="20"/>
          <w:rtl/>
        </w:rPr>
        <w:t xml:space="preserve"> </w:t>
      </w:r>
      <w:r>
        <w:rPr>
          <w:sz w:val="20"/>
          <w:szCs w:val="20"/>
          <w:rtl/>
        </w:rPr>
        <w:t>–</w:t>
      </w:r>
      <w:r>
        <w:rPr>
          <w:rFonts w:hint="cs"/>
          <w:sz w:val="20"/>
          <w:szCs w:val="20"/>
          <w:rtl/>
        </w:rPr>
        <w:t xml:space="preserve"> בכלה יש להתיר שתחפוף ותטבול באותו לילה.</w:t>
      </w:r>
      <w:r>
        <w:rPr>
          <w:sz w:val="20"/>
          <w:szCs w:val="20"/>
          <w:rtl/>
        </w:rPr>
        <w:br/>
      </w:r>
      <w:r w:rsidRPr="009C56C5">
        <w:rPr>
          <w:rFonts w:hint="cs"/>
          <w:b/>
          <w:bCs/>
          <w:sz w:val="20"/>
          <w:szCs w:val="20"/>
          <w:rtl/>
        </w:rPr>
        <w:t xml:space="preserve">טעם </w:t>
      </w:r>
      <w:r>
        <w:rPr>
          <w:sz w:val="20"/>
          <w:szCs w:val="20"/>
          <w:rtl/>
        </w:rPr>
        <w:t>–</w:t>
      </w:r>
      <w:r>
        <w:rPr>
          <w:rFonts w:hint="cs"/>
          <w:sz w:val="20"/>
          <w:szCs w:val="20"/>
          <w:rtl/>
        </w:rPr>
        <w:t xml:space="preserve"> הסיבה שאין לחפוף ולטבול באותו הלילה היא משום שאשה ממהרת לביתה ואינה חופפת כראוי, אך בכלה לא שייך טעם זה.</w:t>
      </w:r>
    </w:p>
    <w:p w:rsidR="00620060"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087CE7">
        <w:rPr>
          <w:rFonts w:hint="cs"/>
          <w:b/>
          <w:bCs/>
          <w:sz w:val="20"/>
          <w:szCs w:val="20"/>
          <w:rtl/>
        </w:rPr>
        <w:t>גמרא</w:t>
      </w:r>
      <w:r>
        <w:rPr>
          <w:rFonts w:hint="cs"/>
          <w:sz w:val="20"/>
          <w:szCs w:val="20"/>
          <w:rtl/>
        </w:rPr>
        <w:t xml:space="preserve">. </w:t>
      </w:r>
      <w:r w:rsidRPr="00087CE7">
        <w:rPr>
          <w:rFonts w:hint="cs"/>
          <w:sz w:val="20"/>
          <w:szCs w:val="20"/>
          <w:u w:val="single"/>
          <w:rtl/>
        </w:rPr>
        <w:t>ב"ש וב"ה</w:t>
      </w:r>
      <w:r>
        <w:rPr>
          <w:rFonts w:hint="cs"/>
          <w:sz w:val="20"/>
          <w:szCs w:val="20"/>
          <w:rtl/>
        </w:rPr>
        <w:t xml:space="preserve">. טבילה בזמנה מצווה. </w:t>
      </w:r>
      <w:r w:rsidRPr="00087CE7">
        <w:rPr>
          <w:rFonts w:hint="cs"/>
          <w:sz w:val="20"/>
          <w:szCs w:val="20"/>
          <w:u w:val="single"/>
          <w:rtl/>
        </w:rPr>
        <w:t>רבי יוסי בר יהודה</w:t>
      </w:r>
      <w:r>
        <w:rPr>
          <w:rFonts w:hint="cs"/>
          <w:sz w:val="20"/>
          <w:szCs w:val="20"/>
          <w:rtl/>
        </w:rPr>
        <w:t xml:space="preserve">. טבילה בזמנה אינה מצווה. </w:t>
      </w:r>
      <w:r w:rsidRPr="00087CE7">
        <w:rPr>
          <w:rFonts w:hint="cs"/>
          <w:b/>
          <w:bCs/>
          <w:sz w:val="20"/>
          <w:szCs w:val="20"/>
          <w:rtl/>
        </w:rPr>
        <w:t>ירושלמי</w:t>
      </w:r>
      <w:r>
        <w:rPr>
          <w:rFonts w:hint="cs"/>
          <w:sz w:val="20"/>
          <w:szCs w:val="20"/>
          <w:rtl/>
        </w:rPr>
        <w:t>. אסור לא</w:t>
      </w:r>
      <w:r w:rsidRPr="006B22F3">
        <w:rPr>
          <w:rFonts w:hint="cs"/>
          <w:sz w:val="20"/>
          <w:szCs w:val="20"/>
          <w:rtl/>
        </w:rPr>
        <w:t>שה לעמוד בטומאתה.</w:t>
      </w:r>
      <w:r w:rsidRPr="006B22F3">
        <w:rPr>
          <w:sz w:val="20"/>
          <w:szCs w:val="20"/>
          <w:rtl/>
        </w:rPr>
        <w:br/>
      </w:r>
      <w:r w:rsidRPr="006B22F3">
        <w:rPr>
          <w:rFonts w:hint="cs"/>
          <w:sz w:val="20"/>
          <w:szCs w:val="20"/>
          <w:rtl/>
        </w:rPr>
        <w:t xml:space="preserve">2. </w:t>
      </w:r>
      <w:r w:rsidRPr="006B22F3">
        <w:rPr>
          <w:rFonts w:hint="cs"/>
          <w:b/>
          <w:bCs/>
          <w:sz w:val="20"/>
          <w:szCs w:val="20"/>
          <w:rtl/>
        </w:rPr>
        <w:t>ר"ח</w:t>
      </w:r>
      <w:r w:rsidRPr="006B22F3">
        <w:rPr>
          <w:rFonts w:hint="cs"/>
          <w:sz w:val="20"/>
          <w:szCs w:val="20"/>
          <w:rtl/>
        </w:rPr>
        <w:t xml:space="preserve">. טבילה בזמנה מצווה, כב"ש וב"ה וכירושלמי. מסביר </w:t>
      </w:r>
      <w:r w:rsidRPr="006B22F3">
        <w:rPr>
          <w:rFonts w:hint="cs"/>
          <w:b/>
          <w:bCs/>
          <w:sz w:val="20"/>
          <w:szCs w:val="20"/>
          <w:rtl/>
        </w:rPr>
        <w:t>הב"י</w:t>
      </w:r>
      <w:r w:rsidRPr="006B22F3">
        <w:rPr>
          <w:rFonts w:hint="cs"/>
          <w:sz w:val="20"/>
          <w:szCs w:val="20"/>
          <w:rtl/>
        </w:rPr>
        <w:t xml:space="preserve">. דברי </w:t>
      </w:r>
      <w:r w:rsidRPr="006B22F3">
        <w:rPr>
          <w:rFonts w:hint="cs"/>
          <w:b/>
          <w:bCs/>
          <w:sz w:val="20"/>
          <w:szCs w:val="20"/>
          <w:rtl/>
        </w:rPr>
        <w:t>ר"ח</w:t>
      </w:r>
      <w:r w:rsidRPr="006B22F3">
        <w:rPr>
          <w:rFonts w:hint="cs"/>
          <w:sz w:val="20"/>
          <w:szCs w:val="20"/>
          <w:rtl/>
        </w:rPr>
        <w:t xml:space="preserve"> נכונים אף בזמנינו שאין הנידה טובלת בזמן הראוי לה מדאורייתא. </w:t>
      </w:r>
      <w:r w:rsidRPr="006B22F3">
        <w:rPr>
          <w:rFonts w:hint="cs"/>
          <w:b/>
          <w:bCs/>
          <w:sz w:val="20"/>
          <w:szCs w:val="20"/>
          <w:rtl/>
        </w:rPr>
        <w:t>ר"ת</w:t>
      </w:r>
      <w:r w:rsidRPr="006B22F3">
        <w:rPr>
          <w:rFonts w:hint="cs"/>
          <w:sz w:val="20"/>
          <w:szCs w:val="20"/>
          <w:rtl/>
        </w:rPr>
        <w:t xml:space="preserve">. טבילה בזמנה אינה מצווה. </w:t>
      </w:r>
      <w:r w:rsidRPr="006B22F3">
        <w:rPr>
          <w:rFonts w:hint="cs"/>
          <w:b/>
          <w:bCs/>
          <w:sz w:val="20"/>
          <w:szCs w:val="20"/>
          <w:rtl/>
        </w:rPr>
        <w:t>ראיה</w:t>
      </w:r>
      <w:r w:rsidRPr="006B22F3">
        <w:rPr>
          <w:rFonts w:hint="cs"/>
          <w:sz w:val="20"/>
          <w:szCs w:val="20"/>
          <w:rtl/>
        </w:rPr>
        <w:t xml:space="preserve">. לא נהגו הנשים לטבול במוצאי ז' לראייתן כדין תורה. </w:t>
      </w:r>
      <w:r w:rsidRPr="006B22F3">
        <w:rPr>
          <w:rFonts w:hint="cs"/>
          <w:b/>
          <w:bCs/>
          <w:sz w:val="20"/>
          <w:szCs w:val="20"/>
          <w:rtl/>
        </w:rPr>
        <w:t>מהרי"ק</w:t>
      </w:r>
      <w:r w:rsidRPr="006B22F3">
        <w:rPr>
          <w:rFonts w:hint="cs"/>
          <w:sz w:val="20"/>
          <w:szCs w:val="20"/>
          <w:rtl/>
        </w:rPr>
        <w:t>. בזמנינו שאין טובלות בזמן הראוי להן מדאורייתא, אין טבילה בזמנה מצווה.</w:t>
      </w:r>
      <w:r w:rsidRPr="006B22F3">
        <w:rPr>
          <w:sz w:val="20"/>
          <w:szCs w:val="20"/>
          <w:rtl/>
        </w:rPr>
        <w:br/>
      </w:r>
      <w:r w:rsidRPr="006B22F3">
        <w:rPr>
          <w:rFonts w:hint="cs"/>
          <w:sz w:val="20"/>
          <w:szCs w:val="20"/>
          <w:rtl/>
        </w:rPr>
        <w:t xml:space="preserve">הכרעת </w:t>
      </w:r>
      <w:r w:rsidRPr="006B22F3">
        <w:rPr>
          <w:rFonts w:hint="cs"/>
          <w:b/>
          <w:bCs/>
          <w:sz w:val="20"/>
          <w:szCs w:val="20"/>
          <w:rtl/>
        </w:rPr>
        <w:t>הבית יוסף</w:t>
      </w:r>
      <w:r w:rsidRPr="006B22F3">
        <w:rPr>
          <w:rFonts w:hint="cs"/>
          <w:sz w:val="20"/>
          <w:szCs w:val="20"/>
          <w:rtl/>
        </w:rPr>
        <w:t>. טבילה בזמנה אינה מצווה, אלא שאם בעלה בעיר מצווה עליה לטבול משום פר"ו.</w:t>
      </w:r>
      <w:r w:rsidRPr="006B22F3">
        <w:rPr>
          <w:sz w:val="20"/>
          <w:szCs w:val="20"/>
          <w:rtl/>
        </w:rPr>
        <w:br/>
      </w:r>
      <w:r w:rsidRPr="006B22F3">
        <w:rPr>
          <w:rFonts w:hint="cs"/>
          <w:sz w:val="20"/>
          <w:szCs w:val="20"/>
          <w:rtl/>
        </w:rPr>
        <w:t>3. השלכות דין זה. האם רשאית לדחות טבילה. טבילה בשבת. טבילה ביוה"כ ות"ב. אשה שבעלה אינו בעיר.</w:t>
      </w:r>
      <w:r w:rsidRPr="006B22F3">
        <w:rPr>
          <w:sz w:val="20"/>
          <w:szCs w:val="20"/>
          <w:rtl/>
        </w:rPr>
        <w:br/>
      </w:r>
      <w:r w:rsidRPr="006B22F3">
        <w:rPr>
          <w:rFonts w:hint="cs"/>
          <w:sz w:val="20"/>
          <w:szCs w:val="20"/>
          <w:rtl/>
        </w:rPr>
        <w:t xml:space="preserve">4. </w:t>
      </w:r>
      <w:r w:rsidRPr="006B22F3">
        <w:rPr>
          <w:rFonts w:hint="cs"/>
          <w:b/>
          <w:bCs/>
          <w:sz w:val="20"/>
          <w:szCs w:val="20"/>
          <w:rtl/>
        </w:rPr>
        <w:t>מחבר</w:t>
      </w:r>
      <w:r w:rsidRPr="006B22F3">
        <w:rPr>
          <w:rFonts w:hint="cs"/>
          <w:sz w:val="20"/>
          <w:szCs w:val="20"/>
          <w:rtl/>
        </w:rPr>
        <w:t>. אם בעלה בעיר מצווה עליה לטבול, שלא לבטל מצוות פר"ו.</w:t>
      </w:r>
      <w:r w:rsidRPr="006B22F3">
        <w:rPr>
          <w:sz w:val="20"/>
          <w:szCs w:val="20"/>
          <w:rtl/>
        </w:rPr>
        <w:br/>
      </w:r>
      <w:r w:rsidRPr="006B22F3">
        <w:rPr>
          <w:rFonts w:hint="cs"/>
          <w:sz w:val="20"/>
          <w:szCs w:val="20"/>
          <w:rtl/>
        </w:rPr>
        <w:t xml:space="preserve">5. טבילת נידה בשבת. </w:t>
      </w:r>
      <w:r w:rsidRPr="006B22F3">
        <w:rPr>
          <w:rFonts w:hint="cs"/>
          <w:b/>
          <w:bCs/>
          <w:sz w:val="20"/>
          <w:szCs w:val="20"/>
          <w:rtl/>
        </w:rPr>
        <w:t>גמ</w:t>
      </w:r>
      <w:r w:rsidRPr="006B22F3">
        <w:rPr>
          <w:rFonts w:hint="cs"/>
          <w:sz w:val="20"/>
          <w:szCs w:val="20"/>
          <w:rtl/>
        </w:rPr>
        <w:t>'. אין לטבול כלי בשבת משום מחזי כמתקן, אדם מותר לטבול משום שנראה כמיקר.</w:t>
      </w:r>
      <w:r w:rsidRPr="006B22F3">
        <w:rPr>
          <w:sz w:val="20"/>
          <w:szCs w:val="20"/>
          <w:rtl/>
        </w:rPr>
        <w:br/>
      </w:r>
      <w:r w:rsidRPr="006B22F3">
        <w:rPr>
          <w:rFonts w:hint="cs"/>
          <w:sz w:val="20"/>
          <w:szCs w:val="20"/>
          <w:rtl/>
        </w:rPr>
        <w:t xml:space="preserve">6. </w:t>
      </w:r>
      <w:r w:rsidRPr="006B22F3">
        <w:rPr>
          <w:rFonts w:hint="cs"/>
          <w:b/>
          <w:bCs/>
          <w:sz w:val="20"/>
          <w:szCs w:val="20"/>
          <w:rtl/>
        </w:rPr>
        <w:t>מרדכי</w:t>
      </w:r>
      <w:r w:rsidRPr="006B22F3">
        <w:rPr>
          <w:rFonts w:hint="cs"/>
          <w:sz w:val="20"/>
          <w:szCs w:val="20"/>
          <w:rtl/>
        </w:rPr>
        <w:t xml:space="preserve">. אין לטבול בשבת. </w:t>
      </w:r>
      <w:r w:rsidRPr="006B22F3">
        <w:rPr>
          <w:rFonts w:hint="cs"/>
          <w:b/>
          <w:bCs/>
          <w:sz w:val="20"/>
          <w:szCs w:val="20"/>
          <w:rtl/>
        </w:rPr>
        <w:t>טעם</w:t>
      </w:r>
      <w:r w:rsidRPr="006B22F3">
        <w:rPr>
          <w:rFonts w:hint="cs"/>
          <w:sz w:val="20"/>
          <w:szCs w:val="20"/>
          <w:rtl/>
        </w:rPr>
        <w:t xml:space="preserve">. טבילה בזמנה אינה מצווה. </w:t>
      </w:r>
      <w:r w:rsidRPr="006B22F3">
        <w:rPr>
          <w:rFonts w:hint="cs"/>
          <w:b/>
          <w:bCs/>
          <w:sz w:val="20"/>
          <w:szCs w:val="20"/>
          <w:rtl/>
        </w:rPr>
        <w:t>רמב"ם וב"י</w:t>
      </w:r>
      <w:r w:rsidRPr="006B22F3">
        <w:rPr>
          <w:rFonts w:hint="cs"/>
          <w:sz w:val="20"/>
          <w:szCs w:val="20"/>
          <w:rtl/>
        </w:rPr>
        <w:t xml:space="preserve">. מותר. </w:t>
      </w:r>
      <w:r w:rsidRPr="006B22F3">
        <w:rPr>
          <w:rFonts w:hint="cs"/>
          <w:b/>
          <w:bCs/>
          <w:sz w:val="20"/>
          <w:szCs w:val="20"/>
          <w:rtl/>
        </w:rPr>
        <w:t>טעם</w:t>
      </w:r>
      <w:r w:rsidRPr="006B22F3">
        <w:rPr>
          <w:rFonts w:hint="cs"/>
          <w:sz w:val="20"/>
          <w:szCs w:val="20"/>
          <w:rtl/>
        </w:rPr>
        <w:t xml:space="preserve">. נראה כמיקר. </w:t>
      </w:r>
      <w:r w:rsidRPr="006B22F3">
        <w:rPr>
          <w:rFonts w:hint="cs"/>
          <w:b/>
          <w:bCs/>
          <w:sz w:val="20"/>
          <w:szCs w:val="20"/>
          <w:rtl/>
        </w:rPr>
        <w:t>ר"ח</w:t>
      </w:r>
      <w:r w:rsidRPr="006B22F3">
        <w:rPr>
          <w:rFonts w:hint="cs"/>
          <w:sz w:val="20"/>
          <w:szCs w:val="20"/>
          <w:rtl/>
        </w:rPr>
        <w:t xml:space="preserve">. מותר לטבול. </w:t>
      </w:r>
      <w:r w:rsidRPr="006B22F3">
        <w:rPr>
          <w:rFonts w:hint="cs"/>
          <w:b/>
          <w:bCs/>
          <w:sz w:val="20"/>
          <w:szCs w:val="20"/>
          <w:rtl/>
        </w:rPr>
        <w:t>טעם</w:t>
      </w:r>
      <w:r w:rsidRPr="006B22F3">
        <w:rPr>
          <w:rFonts w:hint="cs"/>
          <w:sz w:val="20"/>
          <w:szCs w:val="20"/>
          <w:rtl/>
        </w:rPr>
        <w:t xml:space="preserve">. טבילה בזמנה מצווה. </w:t>
      </w:r>
      <w:r w:rsidRPr="006B22F3">
        <w:rPr>
          <w:rFonts w:hint="cs"/>
          <w:b/>
          <w:bCs/>
          <w:sz w:val="20"/>
          <w:szCs w:val="20"/>
          <w:rtl/>
        </w:rPr>
        <w:t>אגור ומהרי"ל</w:t>
      </w:r>
      <w:r w:rsidRPr="006B22F3">
        <w:rPr>
          <w:rFonts w:hint="cs"/>
          <w:sz w:val="20"/>
          <w:szCs w:val="20"/>
          <w:rtl/>
        </w:rPr>
        <w:t xml:space="preserve">. טבילה בזמנה מותרת, אך אם נדחתה אפילו באונס, אסורה לטבול. </w:t>
      </w:r>
      <w:r w:rsidRPr="006B22F3">
        <w:rPr>
          <w:rFonts w:hint="cs"/>
          <w:b/>
          <w:bCs/>
          <w:sz w:val="20"/>
          <w:szCs w:val="20"/>
          <w:rtl/>
        </w:rPr>
        <w:t>ת"ה</w:t>
      </w:r>
      <w:r w:rsidRPr="006B22F3">
        <w:rPr>
          <w:rFonts w:hint="cs"/>
          <w:sz w:val="20"/>
          <w:szCs w:val="20"/>
          <w:rtl/>
        </w:rPr>
        <w:t xml:space="preserve">. מותר רק אם: א. בעלה בעיר. ב. לא יכלה לטבול לפני כן, וכ"פ </w:t>
      </w:r>
      <w:r w:rsidRPr="006B22F3">
        <w:rPr>
          <w:rFonts w:hint="cs"/>
          <w:b/>
          <w:bCs/>
          <w:sz w:val="20"/>
          <w:szCs w:val="20"/>
          <w:rtl/>
        </w:rPr>
        <w:t>הרמ"א</w:t>
      </w:r>
      <w:r w:rsidRPr="006B22F3">
        <w:rPr>
          <w:rFonts w:hint="cs"/>
          <w:sz w:val="20"/>
          <w:szCs w:val="20"/>
          <w:rtl/>
        </w:rPr>
        <w:t>.</w:t>
      </w:r>
      <w:r w:rsidRPr="006B22F3">
        <w:rPr>
          <w:sz w:val="20"/>
          <w:szCs w:val="20"/>
          <w:rtl/>
        </w:rPr>
        <w:br/>
      </w:r>
      <w:r w:rsidRPr="006B22F3">
        <w:rPr>
          <w:rFonts w:hint="cs"/>
          <w:sz w:val="20"/>
          <w:szCs w:val="20"/>
          <w:rtl/>
        </w:rPr>
        <w:t xml:space="preserve">7. </w:t>
      </w:r>
      <w:r w:rsidRPr="006B22F3">
        <w:rPr>
          <w:rFonts w:hint="cs"/>
          <w:b/>
          <w:bCs/>
          <w:sz w:val="20"/>
          <w:szCs w:val="20"/>
          <w:rtl/>
        </w:rPr>
        <w:t>רמ"א</w:t>
      </w:r>
      <w:r w:rsidRPr="006B22F3">
        <w:rPr>
          <w:rFonts w:hint="cs"/>
          <w:sz w:val="20"/>
          <w:szCs w:val="20"/>
          <w:rtl/>
        </w:rPr>
        <w:t xml:space="preserve">. אם </w:t>
      </w:r>
      <w:r>
        <w:rPr>
          <w:rFonts w:hint="cs"/>
          <w:sz w:val="20"/>
          <w:szCs w:val="20"/>
          <w:rtl/>
        </w:rPr>
        <w:t>נאנסה ולא טבלה</w:t>
      </w:r>
      <w:r w:rsidRPr="006B22F3">
        <w:rPr>
          <w:rFonts w:hint="cs"/>
          <w:sz w:val="20"/>
          <w:szCs w:val="20"/>
          <w:rtl/>
        </w:rPr>
        <w:t xml:space="preserve"> לפני שבת ובעלה בעיר, מותרת לטבול. </w:t>
      </w:r>
      <w:r w:rsidRPr="006B22F3">
        <w:rPr>
          <w:rFonts w:hint="cs"/>
          <w:b/>
          <w:bCs/>
          <w:sz w:val="20"/>
          <w:szCs w:val="20"/>
          <w:rtl/>
        </w:rPr>
        <w:t>ב"ח</w:t>
      </w:r>
      <w:r w:rsidRPr="006B22F3">
        <w:rPr>
          <w:rFonts w:hint="cs"/>
          <w:sz w:val="20"/>
          <w:szCs w:val="20"/>
          <w:rtl/>
        </w:rPr>
        <w:t>. המנהג להחמיר.</w:t>
      </w:r>
      <w:r w:rsidRPr="006B22F3">
        <w:rPr>
          <w:rFonts w:hint="cs"/>
          <w:sz w:val="20"/>
          <w:szCs w:val="20"/>
          <w:rtl/>
        </w:rPr>
        <w:br/>
        <w:t xml:space="preserve">8. לא </w:t>
      </w:r>
      <w:r>
        <w:rPr>
          <w:rFonts w:hint="cs"/>
          <w:sz w:val="20"/>
          <w:szCs w:val="20"/>
          <w:rtl/>
        </w:rPr>
        <w:t xml:space="preserve">נאנסה אלא דחתה </w:t>
      </w:r>
      <w:r w:rsidRPr="006B22F3">
        <w:rPr>
          <w:rFonts w:hint="cs"/>
          <w:sz w:val="20"/>
          <w:szCs w:val="20"/>
          <w:rtl/>
        </w:rPr>
        <w:t>טב</w:t>
      </w:r>
      <w:r>
        <w:rPr>
          <w:rFonts w:hint="cs"/>
          <w:sz w:val="20"/>
          <w:szCs w:val="20"/>
          <w:rtl/>
        </w:rPr>
        <w:t>י</w:t>
      </w:r>
      <w:r w:rsidRPr="006B22F3">
        <w:rPr>
          <w:rFonts w:hint="cs"/>
          <w:sz w:val="20"/>
          <w:szCs w:val="20"/>
          <w:rtl/>
        </w:rPr>
        <w:t xml:space="preserve">לה מחמת שבעלה לא היה בעיר. </w:t>
      </w:r>
      <w:r w:rsidRPr="006B22F3">
        <w:rPr>
          <w:rFonts w:hint="cs"/>
          <w:b/>
          <w:bCs/>
          <w:sz w:val="20"/>
          <w:szCs w:val="20"/>
          <w:rtl/>
        </w:rPr>
        <w:t>רמ"</w:t>
      </w:r>
      <w:r w:rsidRPr="004561E4">
        <w:rPr>
          <w:rFonts w:hint="cs"/>
          <w:b/>
          <w:bCs/>
          <w:sz w:val="20"/>
          <w:szCs w:val="20"/>
          <w:rtl/>
        </w:rPr>
        <w:t>א וש"ך</w:t>
      </w:r>
      <w:r>
        <w:rPr>
          <w:rFonts w:hint="cs"/>
          <w:sz w:val="20"/>
          <w:szCs w:val="20"/>
          <w:rtl/>
        </w:rPr>
        <w:t xml:space="preserve">. מותרת לטבול, אך יש מקומות שנהגו להחמיר. </w:t>
      </w:r>
      <w:r w:rsidRPr="004561E4">
        <w:rPr>
          <w:rFonts w:hint="cs"/>
          <w:b/>
          <w:bCs/>
          <w:sz w:val="20"/>
          <w:szCs w:val="20"/>
          <w:rtl/>
        </w:rPr>
        <w:t>ט"ז</w:t>
      </w:r>
      <w:r>
        <w:rPr>
          <w:rFonts w:hint="cs"/>
          <w:sz w:val="20"/>
          <w:szCs w:val="20"/>
          <w:rtl/>
        </w:rPr>
        <w:t xml:space="preserve">. אסור. נחלקו בהבנת דברי </w:t>
      </w:r>
      <w:r w:rsidRPr="004561E4">
        <w:rPr>
          <w:rFonts w:hint="cs"/>
          <w:b/>
          <w:bCs/>
          <w:sz w:val="20"/>
          <w:szCs w:val="20"/>
          <w:rtl/>
        </w:rPr>
        <w:t>ת"ה</w:t>
      </w:r>
      <w:r>
        <w:rPr>
          <w:rFonts w:hint="cs"/>
          <w:sz w:val="20"/>
          <w:szCs w:val="20"/>
          <w:rtl/>
        </w:rPr>
        <w:t xml:space="preserve">. למעשה. נוהגים להקל, אלא אם כן פשעה, </w:t>
      </w:r>
      <w:r w:rsidRPr="004561E4">
        <w:rPr>
          <w:rFonts w:hint="cs"/>
          <w:b/>
          <w:bCs/>
          <w:sz w:val="20"/>
          <w:szCs w:val="20"/>
          <w:rtl/>
        </w:rPr>
        <w:t>שבה"ל</w:t>
      </w:r>
      <w:r>
        <w:rPr>
          <w:rFonts w:hint="cs"/>
          <w:sz w:val="20"/>
          <w:szCs w:val="20"/>
          <w:rtl/>
        </w:rPr>
        <w:t>.</w:t>
      </w:r>
      <w:r>
        <w:rPr>
          <w:rFonts w:hint="cs"/>
          <w:sz w:val="20"/>
          <w:szCs w:val="20"/>
          <w:rtl/>
        </w:rPr>
        <w:br/>
        <w:t xml:space="preserve">9. למנהג המחמירים לא לטבול בשבת כאשר היתה יכולה לטבול לפני כן </w:t>
      </w:r>
      <w:r>
        <w:rPr>
          <w:sz w:val="20"/>
          <w:szCs w:val="20"/>
          <w:rtl/>
        </w:rPr>
        <w:t>–</w:t>
      </w:r>
      <w:r>
        <w:rPr>
          <w:rFonts w:hint="cs"/>
          <w:sz w:val="20"/>
          <w:szCs w:val="20"/>
          <w:rtl/>
        </w:rPr>
        <w:t xml:space="preserve"> </w:t>
      </w:r>
      <w:r w:rsidRPr="004561E4">
        <w:rPr>
          <w:rFonts w:hint="cs"/>
          <w:b/>
          <w:bCs/>
          <w:sz w:val="20"/>
          <w:szCs w:val="20"/>
          <w:rtl/>
        </w:rPr>
        <w:t>ש"ך</w:t>
      </w:r>
      <w:r>
        <w:rPr>
          <w:rFonts w:hint="cs"/>
          <w:sz w:val="20"/>
          <w:szCs w:val="20"/>
          <w:rtl/>
        </w:rPr>
        <w:t xml:space="preserve">. אם טבלה ליל ו' ומצאה למחרת לכלוך תחת הציפורן, מותרת לטבול שנית. </w:t>
      </w:r>
      <w:r w:rsidRPr="004561E4">
        <w:rPr>
          <w:rFonts w:hint="cs"/>
          <w:b/>
          <w:bCs/>
          <w:sz w:val="20"/>
          <w:szCs w:val="20"/>
          <w:rtl/>
        </w:rPr>
        <w:t>טעם</w:t>
      </w:r>
      <w:r>
        <w:rPr>
          <w:rFonts w:hint="cs"/>
          <w:sz w:val="20"/>
          <w:szCs w:val="20"/>
          <w:rtl/>
        </w:rPr>
        <w:t xml:space="preserve">. הוי כאונס. </w:t>
      </w:r>
      <w:r w:rsidRPr="004561E4">
        <w:rPr>
          <w:rFonts w:hint="cs"/>
          <w:b/>
          <w:bCs/>
          <w:sz w:val="20"/>
          <w:szCs w:val="20"/>
          <w:rtl/>
        </w:rPr>
        <w:t>ש"ך</w:t>
      </w:r>
      <w:r>
        <w:rPr>
          <w:rFonts w:hint="cs"/>
          <w:sz w:val="20"/>
          <w:szCs w:val="20"/>
          <w:rtl/>
        </w:rPr>
        <w:t xml:space="preserve">. הוא הדין אם שכחה ליטול אחת מציפורניה שמותרת לטבול שנית בליל שבת. </w:t>
      </w:r>
      <w:r w:rsidRPr="004561E4">
        <w:rPr>
          <w:rFonts w:hint="cs"/>
          <w:b/>
          <w:bCs/>
          <w:sz w:val="20"/>
          <w:szCs w:val="20"/>
          <w:rtl/>
        </w:rPr>
        <w:t>טעם</w:t>
      </w:r>
      <w:r>
        <w:rPr>
          <w:rFonts w:hint="cs"/>
          <w:sz w:val="20"/>
          <w:szCs w:val="20"/>
          <w:rtl/>
        </w:rPr>
        <w:t xml:space="preserve">. מעיקה"ד מותר לטבול בשבת אלא שנהגו להחמיר, ובכה"ג לא החמירו. וכיוון שנהגו להחמיר הוי טבילת מצווה, ובפרט </w:t>
      </w:r>
      <w:r w:rsidRPr="00E1534E">
        <w:rPr>
          <w:rFonts w:hint="cs"/>
          <w:b/>
          <w:bCs/>
          <w:sz w:val="20"/>
          <w:szCs w:val="20"/>
          <w:rtl/>
        </w:rPr>
        <w:t>לראב"ן</w:t>
      </w:r>
      <w:r>
        <w:rPr>
          <w:rFonts w:hint="cs"/>
          <w:sz w:val="20"/>
          <w:szCs w:val="20"/>
          <w:rtl/>
        </w:rPr>
        <w:t xml:space="preserve"> שהציפורן מעכבת. וכן מותרת ממ"נ וכו'.</w:t>
      </w:r>
      <w:r>
        <w:rPr>
          <w:sz w:val="20"/>
          <w:szCs w:val="20"/>
          <w:rtl/>
        </w:rPr>
        <w:br/>
      </w:r>
      <w:r>
        <w:rPr>
          <w:rFonts w:hint="cs"/>
          <w:sz w:val="20"/>
          <w:szCs w:val="20"/>
          <w:rtl/>
        </w:rPr>
        <w:t xml:space="preserve">10. כתב </w:t>
      </w:r>
      <w:r w:rsidRPr="004561E4">
        <w:rPr>
          <w:rFonts w:hint="cs"/>
          <w:b/>
          <w:bCs/>
          <w:sz w:val="20"/>
          <w:szCs w:val="20"/>
          <w:rtl/>
        </w:rPr>
        <w:t>הרמ"א</w:t>
      </w:r>
      <w:r>
        <w:rPr>
          <w:rFonts w:hint="cs"/>
          <w:sz w:val="20"/>
          <w:szCs w:val="20"/>
          <w:rtl/>
        </w:rPr>
        <w:t xml:space="preserve"> שיש מחמירים ביולדת שיכלה לטבול לפני שבת שלא תטבול בשבת. </w:t>
      </w:r>
      <w:r w:rsidRPr="004561E4">
        <w:rPr>
          <w:rFonts w:hint="cs"/>
          <w:b/>
          <w:bCs/>
          <w:sz w:val="20"/>
          <w:szCs w:val="20"/>
          <w:rtl/>
        </w:rPr>
        <w:t>ש"ך</w:t>
      </w:r>
      <w:r>
        <w:rPr>
          <w:rFonts w:hint="cs"/>
          <w:sz w:val="20"/>
          <w:szCs w:val="20"/>
          <w:rtl/>
        </w:rPr>
        <w:t xml:space="preserve">. </w:t>
      </w:r>
      <w:r w:rsidRPr="004561E4">
        <w:rPr>
          <w:rFonts w:hint="cs"/>
          <w:b/>
          <w:bCs/>
          <w:sz w:val="20"/>
          <w:szCs w:val="20"/>
          <w:rtl/>
        </w:rPr>
        <w:t>הרמ"א</w:t>
      </w:r>
      <w:r>
        <w:rPr>
          <w:rFonts w:hint="cs"/>
          <w:sz w:val="20"/>
          <w:szCs w:val="20"/>
          <w:rtl/>
        </w:rPr>
        <w:t xml:space="preserve"> החמיר רק בדם טוהר, אך בדם טמא לא החמיר. </w:t>
      </w:r>
      <w:r w:rsidRPr="004561E4">
        <w:rPr>
          <w:rFonts w:hint="cs"/>
          <w:b/>
          <w:bCs/>
          <w:sz w:val="20"/>
          <w:szCs w:val="20"/>
          <w:rtl/>
        </w:rPr>
        <w:t>דגמ"ר</w:t>
      </w:r>
      <w:r>
        <w:rPr>
          <w:rFonts w:hint="cs"/>
          <w:sz w:val="20"/>
          <w:szCs w:val="20"/>
          <w:rtl/>
        </w:rPr>
        <w:t xml:space="preserve">. משמע </w:t>
      </w:r>
      <w:r w:rsidRPr="004561E4">
        <w:rPr>
          <w:rFonts w:hint="cs"/>
          <w:b/>
          <w:bCs/>
          <w:sz w:val="20"/>
          <w:szCs w:val="20"/>
          <w:rtl/>
        </w:rPr>
        <w:t>מהש"ך</w:t>
      </w:r>
      <w:r>
        <w:rPr>
          <w:rFonts w:hint="cs"/>
          <w:sz w:val="20"/>
          <w:szCs w:val="20"/>
          <w:rtl/>
        </w:rPr>
        <w:t xml:space="preserve"> להחמיר בראתה דם טוהר שלא תטבול בשבת, ולא ייתכן לומר זאת שהרי חכמים החמירו עליה, וא"כ זו טבילה בזמנה ומותרת לטבול בשבת.</w:t>
      </w:r>
      <w:r>
        <w:rPr>
          <w:sz w:val="20"/>
          <w:szCs w:val="20"/>
          <w:rtl/>
        </w:rPr>
        <w:br/>
      </w:r>
      <w:r>
        <w:rPr>
          <w:rFonts w:hint="cs"/>
          <w:sz w:val="20"/>
          <w:szCs w:val="20"/>
          <w:rtl/>
        </w:rPr>
        <w:t xml:space="preserve">11. </w:t>
      </w:r>
      <w:r w:rsidRPr="004561E4">
        <w:rPr>
          <w:rFonts w:hint="cs"/>
          <w:b/>
          <w:bCs/>
          <w:sz w:val="20"/>
          <w:szCs w:val="20"/>
          <w:rtl/>
        </w:rPr>
        <w:t>נוב"י</w:t>
      </w:r>
      <w:r>
        <w:rPr>
          <w:rFonts w:hint="cs"/>
          <w:sz w:val="20"/>
          <w:szCs w:val="20"/>
          <w:rtl/>
        </w:rPr>
        <w:t xml:space="preserve">. מי שטעתה ומחמת כן התחילה ז"נ באיחור ול"ט בשבת מותר לה לטבול בשבת. </w:t>
      </w:r>
      <w:r w:rsidRPr="004561E4">
        <w:rPr>
          <w:rFonts w:hint="cs"/>
          <w:b/>
          <w:bCs/>
          <w:sz w:val="20"/>
          <w:szCs w:val="20"/>
          <w:rtl/>
        </w:rPr>
        <w:t>לבושי שרד</w:t>
      </w:r>
      <w:r>
        <w:rPr>
          <w:rFonts w:hint="cs"/>
          <w:sz w:val="20"/>
          <w:szCs w:val="20"/>
          <w:rtl/>
        </w:rPr>
        <w:t>. הוא הדין לכל אונס קטן שאירע לה ומחמתו נדחה ל"ט שמותרת לטבול בשבת.</w:t>
      </w:r>
      <w:r>
        <w:rPr>
          <w:sz w:val="20"/>
          <w:szCs w:val="20"/>
          <w:rtl/>
        </w:rPr>
        <w:br/>
      </w:r>
      <w:r>
        <w:rPr>
          <w:rFonts w:hint="cs"/>
          <w:sz w:val="20"/>
          <w:szCs w:val="20"/>
          <w:rtl/>
        </w:rPr>
        <w:t xml:space="preserve">12. </w:t>
      </w:r>
      <w:r w:rsidRPr="004561E4">
        <w:rPr>
          <w:rFonts w:hint="cs"/>
          <w:b/>
          <w:bCs/>
          <w:sz w:val="20"/>
          <w:szCs w:val="20"/>
          <w:rtl/>
        </w:rPr>
        <w:t>חמודי דניאל</w:t>
      </w:r>
      <w:r>
        <w:rPr>
          <w:rFonts w:hint="cs"/>
          <w:sz w:val="20"/>
          <w:szCs w:val="20"/>
          <w:rtl/>
        </w:rPr>
        <w:t>. היוצא לדרך במוצ"ש, מותר לאשתו לטבול בליל שבת למרות שפשעה עד עתה.</w:t>
      </w:r>
      <w:r>
        <w:rPr>
          <w:sz w:val="20"/>
          <w:szCs w:val="20"/>
          <w:rtl/>
        </w:rPr>
        <w:br/>
      </w:r>
      <w:r>
        <w:rPr>
          <w:rFonts w:hint="cs"/>
          <w:sz w:val="20"/>
          <w:szCs w:val="20"/>
          <w:rtl/>
        </w:rPr>
        <w:t xml:space="preserve">13. </w:t>
      </w:r>
      <w:r w:rsidRPr="004561E4">
        <w:rPr>
          <w:rFonts w:hint="cs"/>
          <w:b/>
          <w:bCs/>
          <w:sz w:val="20"/>
          <w:szCs w:val="20"/>
          <w:rtl/>
        </w:rPr>
        <w:t>פת"ש</w:t>
      </w:r>
      <w:r>
        <w:rPr>
          <w:rFonts w:hint="cs"/>
          <w:sz w:val="20"/>
          <w:szCs w:val="20"/>
          <w:rtl/>
        </w:rPr>
        <w:t xml:space="preserve">. אם החמירה על עצמה ומחמת כן נדחה ל"ט לשבת, אסורה לטבול. </w:t>
      </w:r>
      <w:r w:rsidRPr="004561E4">
        <w:rPr>
          <w:rFonts w:hint="cs"/>
          <w:b/>
          <w:bCs/>
          <w:sz w:val="20"/>
          <w:szCs w:val="20"/>
          <w:rtl/>
        </w:rPr>
        <w:t>לשבה"ל</w:t>
      </w:r>
      <w:r>
        <w:rPr>
          <w:rFonts w:hint="cs"/>
          <w:sz w:val="20"/>
          <w:szCs w:val="20"/>
          <w:rtl/>
        </w:rPr>
        <w:t xml:space="preserve"> מסתבר שמותר.</w:t>
      </w:r>
      <w:r>
        <w:rPr>
          <w:rFonts w:hint="cs"/>
          <w:sz w:val="20"/>
          <w:szCs w:val="20"/>
          <w:rtl/>
        </w:rPr>
        <w:br/>
        <w:t xml:space="preserve">14. </w:t>
      </w:r>
      <w:r w:rsidRPr="006B22F3">
        <w:rPr>
          <w:rFonts w:hint="cs"/>
          <w:sz w:val="20"/>
          <w:szCs w:val="20"/>
          <w:rtl/>
        </w:rPr>
        <w:t xml:space="preserve">למחמירים שלא לטבול, מה הדין כשטבלה? </w:t>
      </w:r>
      <w:r w:rsidRPr="006B22F3">
        <w:rPr>
          <w:rFonts w:hint="cs"/>
          <w:b/>
          <w:bCs/>
          <w:sz w:val="20"/>
          <w:szCs w:val="20"/>
          <w:rtl/>
        </w:rPr>
        <w:t>חוה</w:t>
      </w:r>
      <w:r w:rsidRPr="004561E4">
        <w:rPr>
          <w:rFonts w:hint="cs"/>
          <w:b/>
          <w:bCs/>
          <w:sz w:val="20"/>
          <w:szCs w:val="20"/>
          <w:rtl/>
        </w:rPr>
        <w:t>"ש</w:t>
      </w:r>
      <w:r>
        <w:rPr>
          <w:rFonts w:hint="cs"/>
          <w:sz w:val="20"/>
          <w:szCs w:val="20"/>
          <w:rtl/>
        </w:rPr>
        <w:t xml:space="preserve">. בשוגג מותרת, במזיד אסורה. </w:t>
      </w:r>
      <w:r w:rsidRPr="004561E4">
        <w:rPr>
          <w:rFonts w:hint="cs"/>
          <w:b/>
          <w:bCs/>
          <w:sz w:val="20"/>
          <w:szCs w:val="20"/>
          <w:rtl/>
        </w:rPr>
        <w:t>סד"ט</w:t>
      </w:r>
      <w:r>
        <w:rPr>
          <w:rFonts w:hint="cs"/>
          <w:sz w:val="20"/>
          <w:szCs w:val="20"/>
          <w:rtl/>
        </w:rPr>
        <w:t>. מותרת.</w:t>
      </w:r>
      <w:r>
        <w:rPr>
          <w:rFonts w:hint="cs"/>
          <w:sz w:val="20"/>
          <w:szCs w:val="20"/>
          <w:rtl/>
        </w:rPr>
        <w:br/>
        <w:t xml:space="preserve">15. לשיטת המחמירים שלא לטבול בשבת אפילו כשנאנסה בליל ו', האם מותר לטבול במוצ"ש? </w:t>
      </w:r>
      <w:r w:rsidRPr="004561E4">
        <w:rPr>
          <w:rFonts w:hint="cs"/>
          <w:b/>
          <w:bCs/>
          <w:sz w:val="20"/>
          <w:szCs w:val="20"/>
          <w:rtl/>
        </w:rPr>
        <w:t>אגור</w:t>
      </w:r>
      <w:r>
        <w:rPr>
          <w:rFonts w:hint="cs"/>
          <w:sz w:val="20"/>
          <w:szCs w:val="20"/>
          <w:rtl/>
        </w:rPr>
        <w:t xml:space="preserve">. לא. </w:t>
      </w:r>
      <w:r w:rsidRPr="004561E4">
        <w:rPr>
          <w:rFonts w:hint="cs"/>
          <w:b/>
          <w:bCs/>
          <w:sz w:val="20"/>
          <w:szCs w:val="20"/>
          <w:rtl/>
        </w:rPr>
        <w:t>טעם</w:t>
      </w:r>
      <w:r>
        <w:rPr>
          <w:rFonts w:hint="cs"/>
          <w:sz w:val="20"/>
          <w:szCs w:val="20"/>
          <w:rtl/>
        </w:rPr>
        <w:t xml:space="preserve">. לחוש לרש"י שאין לחפוף ולטבול באותו לילה. </w:t>
      </w:r>
      <w:r w:rsidRPr="004561E4">
        <w:rPr>
          <w:rFonts w:hint="cs"/>
          <w:b/>
          <w:bCs/>
          <w:sz w:val="20"/>
          <w:szCs w:val="20"/>
          <w:rtl/>
        </w:rPr>
        <w:t>ב"י</w:t>
      </w:r>
      <w:r>
        <w:rPr>
          <w:rFonts w:hint="cs"/>
          <w:sz w:val="20"/>
          <w:szCs w:val="20"/>
          <w:rtl/>
        </w:rPr>
        <w:t xml:space="preserve">. כן. </w:t>
      </w:r>
      <w:r w:rsidRPr="004561E4">
        <w:rPr>
          <w:rFonts w:hint="cs"/>
          <w:b/>
          <w:bCs/>
          <w:sz w:val="20"/>
          <w:szCs w:val="20"/>
          <w:rtl/>
        </w:rPr>
        <w:t>טעם</w:t>
      </w:r>
      <w:r>
        <w:rPr>
          <w:rFonts w:hint="cs"/>
          <w:sz w:val="20"/>
          <w:szCs w:val="20"/>
          <w:rtl/>
        </w:rPr>
        <w:t>. רש"י התיר בדיעבד, וכאן הוי דיעבד.</w:t>
      </w:r>
      <w:r>
        <w:rPr>
          <w:sz w:val="20"/>
          <w:szCs w:val="20"/>
          <w:rtl/>
        </w:rPr>
        <w:br/>
      </w:r>
      <w:r>
        <w:rPr>
          <w:rFonts w:hint="cs"/>
          <w:sz w:val="20"/>
          <w:szCs w:val="20"/>
          <w:rtl/>
        </w:rPr>
        <w:t xml:space="preserve">16. </w:t>
      </w:r>
      <w:r w:rsidRPr="004561E4">
        <w:rPr>
          <w:rFonts w:hint="cs"/>
          <w:b/>
          <w:bCs/>
          <w:sz w:val="20"/>
          <w:szCs w:val="20"/>
          <w:rtl/>
        </w:rPr>
        <w:t>רמ"א</w:t>
      </w:r>
      <w:r>
        <w:rPr>
          <w:rFonts w:hint="cs"/>
          <w:sz w:val="20"/>
          <w:szCs w:val="20"/>
          <w:rtl/>
        </w:rPr>
        <w:t xml:space="preserve">. יש מחמירים במקרה הנ"ל, וכן באלמנה שאסורה לטבול ולהיבעל בשבת, שגם במוצ"ש לא יטבלו, אך יש מקלים משום שלא טבלה מחמת חשש איסור. הכרעת </w:t>
      </w:r>
      <w:r w:rsidRPr="004561E4">
        <w:rPr>
          <w:rFonts w:hint="cs"/>
          <w:b/>
          <w:bCs/>
          <w:sz w:val="20"/>
          <w:szCs w:val="20"/>
          <w:rtl/>
        </w:rPr>
        <w:t>ששבה"ל</w:t>
      </w:r>
      <w:r>
        <w:rPr>
          <w:rFonts w:hint="cs"/>
          <w:sz w:val="20"/>
          <w:szCs w:val="20"/>
          <w:rtl/>
        </w:rPr>
        <w:t>. בזמנינו שנשים רבות אינן חוששות לשיטת רש"י, פשיטא שמותר.</w:t>
      </w:r>
      <w:r>
        <w:rPr>
          <w:sz w:val="20"/>
          <w:szCs w:val="20"/>
          <w:rtl/>
        </w:rPr>
        <w:br/>
      </w:r>
      <w:r>
        <w:rPr>
          <w:rFonts w:hint="cs"/>
          <w:sz w:val="20"/>
          <w:szCs w:val="20"/>
          <w:rtl/>
        </w:rPr>
        <w:t xml:space="preserve">17. חכמים אסרו לקנות בשבת ולכן אין לאלמנה להיבעל בשבת משום שהבעילה קונה אותה. ואע"פ שנהגו העולם גם לא לבעול בתולה בשבת, מכל מקום מותרת לטבול משום שמותרים בשאר מיני קרבה, </w:t>
      </w:r>
      <w:r w:rsidRPr="004561E4">
        <w:rPr>
          <w:rFonts w:hint="cs"/>
          <w:b/>
          <w:bCs/>
          <w:sz w:val="20"/>
          <w:szCs w:val="20"/>
          <w:rtl/>
        </w:rPr>
        <w:t>ט"ז</w:t>
      </w:r>
      <w:r>
        <w:rPr>
          <w:rFonts w:hint="cs"/>
          <w:sz w:val="20"/>
          <w:szCs w:val="20"/>
          <w:rtl/>
        </w:rPr>
        <w:t>.</w:t>
      </w:r>
      <w:r>
        <w:rPr>
          <w:sz w:val="20"/>
          <w:szCs w:val="20"/>
          <w:rtl/>
        </w:rPr>
        <w:br/>
      </w:r>
      <w:r>
        <w:rPr>
          <w:rFonts w:hint="cs"/>
          <w:sz w:val="20"/>
          <w:szCs w:val="20"/>
          <w:rtl/>
        </w:rPr>
        <w:t xml:space="preserve">18 </w:t>
      </w:r>
      <w:r w:rsidRPr="004561E4">
        <w:rPr>
          <w:rFonts w:hint="cs"/>
          <w:b/>
          <w:bCs/>
          <w:sz w:val="20"/>
          <w:szCs w:val="20"/>
          <w:rtl/>
        </w:rPr>
        <w:t>שו"ע</w:t>
      </w:r>
      <w:r>
        <w:rPr>
          <w:rFonts w:hint="cs"/>
          <w:sz w:val="20"/>
          <w:szCs w:val="20"/>
          <w:rtl/>
        </w:rPr>
        <w:t xml:space="preserve"> הלכות שבת. אין לרחוץ כל גופו במים חמים בשבת. ולפי"ז אסור לאשה לטבול במקווה מחומם בשבת. </w:t>
      </w:r>
      <w:r w:rsidRPr="004561E4">
        <w:rPr>
          <w:rFonts w:hint="cs"/>
          <w:b/>
          <w:bCs/>
          <w:sz w:val="20"/>
          <w:szCs w:val="20"/>
          <w:rtl/>
        </w:rPr>
        <w:t>נוב"י</w:t>
      </w:r>
      <w:r>
        <w:rPr>
          <w:rFonts w:hint="cs"/>
          <w:sz w:val="20"/>
          <w:szCs w:val="20"/>
          <w:rtl/>
        </w:rPr>
        <w:t xml:space="preserve">. מותר לחמם את המים שיהיו פושרים. ניתן לדחות את הטבילה למוצ"ש. ניתן לטבול בביה"ש במים חמים, ותחזור לביתה לאחר חשיכה. </w:t>
      </w:r>
      <w:r w:rsidRPr="004561E4">
        <w:rPr>
          <w:rFonts w:hint="cs"/>
          <w:b/>
          <w:bCs/>
          <w:sz w:val="20"/>
          <w:szCs w:val="20"/>
          <w:rtl/>
        </w:rPr>
        <w:t>חוה"ש</w:t>
      </w:r>
      <w:r>
        <w:rPr>
          <w:rFonts w:hint="cs"/>
          <w:sz w:val="20"/>
          <w:szCs w:val="20"/>
          <w:rtl/>
        </w:rPr>
        <w:t xml:space="preserve">. אין לטבול מבעו"י אלא רק במקום שנהגו, ורק לאחר שהקהל אמרו 'ברכו'. </w:t>
      </w:r>
      <w:r w:rsidRPr="004561E4">
        <w:rPr>
          <w:rFonts w:hint="cs"/>
          <w:b/>
          <w:bCs/>
          <w:sz w:val="20"/>
          <w:szCs w:val="20"/>
          <w:rtl/>
        </w:rPr>
        <w:t>חינוך בית יהודה</w:t>
      </w:r>
      <w:r>
        <w:rPr>
          <w:rFonts w:hint="cs"/>
          <w:sz w:val="20"/>
          <w:szCs w:val="20"/>
          <w:rtl/>
        </w:rPr>
        <w:t>. אין להתיר טבילה מבעו"י.</w:t>
      </w:r>
      <w:r>
        <w:rPr>
          <w:sz w:val="20"/>
          <w:szCs w:val="20"/>
          <w:rtl/>
        </w:rPr>
        <w:br/>
      </w:r>
      <w:r>
        <w:rPr>
          <w:rFonts w:hint="cs"/>
          <w:sz w:val="20"/>
          <w:szCs w:val="20"/>
          <w:rtl/>
        </w:rPr>
        <w:t xml:space="preserve">19. </w:t>
      </w:r>
      <w:r w:rsidRPr="00A90E96">
        <w:rPr>
          <w:rFonts w:hint="cs"/>
          <w:b/>
          <w:bCs/>
          <w:sz w:val="20"/>
          <w:szCs w:val="20"/>
          <w:rtl/>
        </w:rPr>
        <w:t>ק"נ</w:t>
      </w:r>
      <w:r>
        <w:rPr>
          <w:rFonts w:hint="cs"/>
          <w:sz w:val="20"/>
          <w:szCs w:val="20"/>
          <w:rtl/>
        </w:rPr>
        <w:t xml:space="preserve">. גזרת מרחצאות לא נאמרה על טבילת מצווה במקווה. </w:t>
      </w:r>
      <w:r w:rsidRPr="00A90E96">
        <w:rPr>
          <w:rFonts w:hint="cs"/>
          <w:b/>
          <w:bCs/>
          <w:sz w:val="20"/>
          <w:szCs w:val="20"/>
          <w:rtl/>
        </w:rPr>
        <w:t>סד"ט</w:t>
      </w:r>
      <w:r>
        <w:rPr>
          <w:rFonts w:hint="cs"/>
          <w:sz w:val="20"/>
          <w:szCs w:val="20"/>
          <w:rtl/>
        </w:rPr>
        <w:t>. יש להקל משום שירדה חולשה לעולם.</w:t>
      </w:r>
      <w:r>
        <w:rPr>
          <w:sz w:val="20"/>
          <w:szCs w:val="20"/>
          <w:rtl/>
        </w:rPr>
        <w:br/>
      </w:r>
      <w:r>
        <w:rPr>
          <w:rFonts w:hint="cs"/>
          <w:sz w:val="20"/>
          <w:szCs w:val="20"/>
          <w:rtl/>
        </w:rPr>
        <w:t xml:space="preserve">הכרעת האחרונים. </w:t>
      </w:r>
      <w:r w:rsidRPr="004561E4">
        <w:rPr>
          <w:rFonts w:hint="cs"/>
          <w:b/>
          <w:bCs/>
          <w:sz w:val="20"/>
          <w:szCs w:val="20"/>
          <w:rtl/>
        </w:rPr>
        <w:t>ששבה"ל</w:t>
      </w:r>
      <w:r>
        <w:rPr>
          <w:rFonts w:hint="cs"/>
          <w:sz w:val="20"/>
          <w:szCs w:val="20"/>
          <w:rtl/>
        </w:rPr>
        <w:t xml:space="preserve">. העולם נהגו להקל והגדולים לא מחו. </w:t>
      </w:r>
      <w:r w:rsidRPr="004561E4">
        <w:rPr>
          <w:rFonts w:hint="cs"/>
          <w:b/>
          <w:bCs/>
          <w:sz w:val="20"/>
          <w:szCs w:val="20"/>
          <w:rtl/>
        </w:rPr>
        <w:t>טה"ב</w:t>
      </w:r>
      <w:r>
        <w:rPr>
          <w:rFonts w:hint="cs"/>
          <w:sz w:val="20"/>
          <w:szCs w:val="20"/>
          <w:rtl/>
        </w:rPr>
        <w:t>. לכתחילה תטבול בביה"ש.</w:t>
      </w:r>
      <w:r>
        <w:rPr>
          <w:sz w:val="20"/>
          <w:szCs w:val="20"/>
          <w:rtl/>
        </w:rPr>
        <w:br/>
      </w:r>
      <w:r>
        <w:rPr>
          <w:rFonts w:hint="cs"/>
          <w:sz w:val="20"/>
          <w:szCs w:val="20"/>
          <w:rtl/>
        </w:rPr>
        <w:t xml:space="preserve">20. </w:t>
      </w:r>
      <w:r w:rsidRPr="004561E4">
        <w:rPr>
          <w:rFonts w:hint="cs"/>
          <w:b/>
          <w:bCs/>
          <w:sz w:val="20"/>
          <w:szCs w:val="20"/>
          <w:rtl/>
        </w:rPr>
        <w:t>נוב"י</w:t>
      </w:r>
      <w:r>
        <w:rPr>
          <w:rFonts w:hint="cs"/>
          <w:sz w:val="20"/>
          <w:szCs w:val="20"/>
          <w:rtl/>
        </w:rPr>
        <w:t xml:space="preserve">. מותר לכלה לחפוף ולטבול באותו לילה. </w:t>
      </w:r>
      <w:r w:rsidRPr="004561E4">
        <w:rPr>
          <w:rFonts w:hint="cs"/>
          <w:b/>
          <w:bCs/>
          <w:sz w:val="20"/>
          <w:szCs w:val="20"/>
          <w:rtl/>
        </w:rPr>
        <w:t>טעם</w:t>
      </w:r>
      <w:r>
        <w:rPr>
          <w:rFonts w:hint="cs"/>
          <w:sz w:val="20"/>
          <w:szCs w:val="20"/>
          <w:rtl/>
        </w:rPr>
        <w:t>. לא שייך בה טעם שממהרת לביתה.</w:t>
      </w:r>
    </w:p>
    <w:p w:rsidR="00620060" w:rsidRDefault="00620060" w:rsidP="00620060">
      <w:pPr>
        <w:rPr>
          <w:sz w:val="20"/>
          <w:szCs w:val="20"/>
          <w:rtl/>
        </w:rPr>
      </w:pPr>
    </w:p>
    <w:p w:rsidR="00620060" w:rsidRDefault="00620060" w:rsidP="00620060">
      <w:pPr>
        <w:rPr>
          <w:sz w:val="20"/>
          <w:szCs w:val="20"/>
          <w:rtl/>
        </w:rPr>
      </w:pPr>
      <w:r>
        <w:rPr>
          <w:rFonts w:hint="cs"/>
          <w:b/>
          <w:bCs/>
          <w:sz w:val="20"/>
          <w:szCs w:val="20"/>
          <w:rtl/>
        </w:rPr>
        <w:lastRenderedPageBreak/>
        <w:t xml:space="preserve">סעיף ג </w:t>
      </w:r>
      <w:r>
        <w:rPr>
          <w:b/>
          <w:bCs/>
          <w:sz w:val="20"/>
          <w:szCs w:val="20"/>
          <w:rtl/>
        </w:rPr>
        <w:t>–</w:t>
      </w:r>
      <w:r>
        <w:rPr>
          <w:rFonts w:hint="cs"/>
          <w:b/>
          <w:bCs/>
          <w:sz w:val="20"/>
          <w:szCs w:val="20"/>
          <w:rtl/>
        </w:rPr>
        <w:t xml:space="preserve"> זמן הטבילה וטבילה ביום</w:t>
      </w:r>
      <w:r>
        <w:rPr>
          <w:b/>
          <w:bCs/>
          <w:sz w:val="20"/>
          <w:szCs w:val="20"/>
          <w:rtl/>
        </w:rPr>
        <w:br/>
      </w:r>
      <w:r>
        <w:rPr>
          <w:rFonts w:hint="cs"/>
          <w:b/>
          <w:bCs/>
          <w:sz w:val="20"/>
          <w:szCs w:val="20"/>
          <w:rtl/>
        </w:rPr>
        <w:t>טבילת נידה</w:t>
      </w:r>
      <w:r>
        <w:rPr>
          <w:b/>
          <w:bCs/>
          <w:sz w:val="20"/>
          <w:szCs w:val="20"/>
          <w:rtl/>
        </w:rPr>
        <w:br/>
      </w:r>
      <w:r>
        <w:rPr>
          <w:rFonts w:hint="cs"/>
          <w:sz w:val="20"/>
          <w:szCs w:val="20"/>
          <w:u w:val="single"/>
          <w:rtl/>
        </w:rPr>
        <w:t>זמן הטבילה מדאורייתא</w:t>
      </w:r>
      <w:r>
        <w:rPr>
          <w:sz w:val="20"/>
          <w:szCs w:val="20"/>
          <w:u w:val="single"/>
          <w:rtl/>
        </w:rPr>
        <w:br/>
      </w:r>
      <w:r w:rsidRPr="00355304">
        <w:rPr>
          <w:rFonts w:hint="cs"/>
          <w:b/>
          <w:bCs/>
          <w:sz w:val="20"/>
          <w:szCs w:val="20"/>
          <w:rtl/>
        </w:rPr>
        <w:t>גמרא</w:t>
      </w:r>
      <w:r>
        <w:rPr>
          <w:rFonts w:hint="cs"/>
          <w:sz w:val="20"/>
          <w:szCs w:val="20"/>
          <w:rtl/>
        </w:rPr>
        <w:t xml:space="preserve"> יומא (ו:) "</w:t>
      </w:r>
      <w:r w:rsidRPr="00355304">
        <w:rPr>
          <w:rFonts w:cs="Arial"/>
          <w:sz w:val="20"/>
          <w:szCs w:val="20"/>
          <w:rtl/>
        </w:rPr>
        <w:t>תני רבי חייא: הזב והזבה והמצורע והמצורעת ובועל נדה וטמא מת - טבילתן ביום, נדה ויולדת - טבילתן בלילה</w:t>
      </w:r>
      <w:r>
        <w:rPr>
          <w:rFonts w:cs="Arial" w:hint="cs"/>
          <w:sz w:val="20"/>
          <w:szCs w:val="20"/>
          <w:rtl/>
        </w:rPr>
        <w:t>".</w:t>
      </w:r>
      <w:r>
        <w:rPr>
          <w:rFonts w:hint="cs"/>
          <w:sz w:val="20"/>
          <w:szCs w:val="20"/>
          <w:rtl/>
        </w:rPr>
        <w:br/>
        <w:t xml:space="preserve">ודין זה נובע ממה שנאמר בתורה </w:t>
      </w:r>
      <w:r w:rsidRPr="00355304">
        <w:rPr>
          <w:rFonts w:hint="cs"/>
          <w:sz w:val="18"/>
          <w:szCs w:val="18"/>
          <w:rtl/>
        </w:rPr>
        <w:t>(ויקרא, טו, יט)</w:t>
      </w:r>
      <w:r>
        <w:rPr>
          <w:rFonts w:hint="cs"/>
          <w:sz w:val="20"/>
          <w:szCs w:val="20"/>
          <w:rtl/>
        </w:rPr>
        <w:t>: "</w:t>
      </w:r>
      <w:r w:rsidRPr="00355304">
        <w:rPr>
          <w:rFonts w:cs="Arial"/>
          <w:sz w:val="20"/>
          <w:szCs w:val="20"/>
          <w:rtl/>
        </w:rPr>
        <w:t>ואשה כי תהיה זבה דם יהיה זבה בבשרה שבעת ימים תהיה בנדתה</w:t>
      </w:r>
      <w:r>
        <w:rPr>
          <w:rFonts w:cs="Arial" w:hint="cs"/>
          <w:sz w:val="20"/>
          <w:szCs w:val="20"/>
          <w:rtl/>
        </w:rPr>
        <w:t>".</w:t>
      </w:r>
      <w:r>
        <w:rPr>
          <w:rFonts w:hint="cs"/>
          <w:sz w:val="20"/>
          <w:szCs w:val="20"/>
          <w:rtl/>
        </w:rPr>
        <w:t xml:space="preserve"> </w:t>
      </w:r>
      <w:r>
        <w:rPr>
          <w:sz w:val="20"/>
          <w:szCs w:val="20"/>
          <w:rtl/>
        </w:rPr>
        <w:br/>
      </w:r>
      <w:r>
        <w:rPr>
          <w:rFonts w:hint="cs"/>
          <w:sz w:val="20"/>
          <w:szCs w:val="20"/>
          <w:rtl/>
        </w:rPr>
        <w:t>כלומר, שבעה ימים שלמים תהיה נידה, ולכן אינה יכולה לטבול ביום.</w:t>
      </w:r>
      <w:r>
        <w:rPr>
          <w:sz w:val="20"/>
          <w:szCs w:val="20"/>
          <w:rtl/>
        </w:rPr>
        <w:br/>
      </w:r>
      <w:r>
        <w:rPr>
          <w:rFonts w:hint="cs"/>
          <w:sz w:val="20"/>
          <w:szCs w:val="20"/>
          <w:rtl/>
        </w:rPr>
        <w:t xml:space="preserve">ודין היולדת אף הוא נלמד ממה שנאמר בתורה </w:t>
      </w:r>
      <w:r w:rsidRPr="00355304">
        <w:rPr>
          <w:rFonts w:hint="cs"/>
          <w:sz w:val="18"/>
          <w:szCs w:val="18"/>
          <w:rtl/>
        </w:rPr>
        <w:t>(שם, יב, ב)</w:t>
      </w:r>
      <w:r>
        <w:rPr>
          <w:rFonts w:hint="cs"/>
          <w:sz w:val="20"/>
          <w:szCs w:val="20"/>
          <w:rtl/>
        </w:rPr>
        <w:t>: "</w:t>
      </w:r>
      <w:r w:rsidRPr="00355304">
        <w:rPr>
          <w:rFonts w:cs="Arial"/>
          <w:sz w:val="20"/>
          <w:szCs w:val="20"/>
          <w:rtl/>
        </w:rPr>
        <w:t>אשה כי תזריע וילדה זכר וטמאה שבעת ימים כימי נדת דותה תטמא</w:t>
      </w:r>
      <w:r>
        <w:rPr>
          <w:rFonts w:cs="Arial" w:hint="cs"/>
          <w:sz w:val="20"/>
          <w:szCs w:val="20"/>
          <w:rtl/>
        </w:rPr>
        <w:t>".</w:t>
      </w:r>
      <w:r>
        <w:rPr>
          <w:rFonts w:hint="cs"/>
          <w:sz w:val="20"/>
          <w:szCs w:val="20"/>
          <w:rtl/>
        </w:rPr>
        <w:br/>
        <w:t>כלומר, התורה משווה את דין יולדת לדין נידה, ושתיהן טובלות רק בליל מוצאי טומאתן.</w:t>
      </w:r>
      <w:r>
        <w:rPr>
          <w:sz w:val="20"/>
          <w:szCs w:val="20"/>
          <w:rtl/>
        </w:rPr>
        <w:br/>
      </w:r>
      <w:r>
        <w:rPr>
          <w:sz w:val="20"/>
          <w:szCs w:val="20"/>
          <w:rtl/>
        </w:rPr>
        <w:br/>
      </w:r>
      <w:r>
        <w:rPr>
          <w:rFonts w:hint="cs"/>
          <w:sz w:val="20"/>
          <w:szCs w:val="20"/>
          <w:rtl/>
        </w:rPr>
        <w:t>ואמנם, מדאורייתא מותר לנידה וליולדת לטבול לאחר ימי טומאתן ביום. קרי, נידה מותרת לטבול מדאורייתא ביום השמיני, וכן יולדת זכר יכולה לטבול ביום השמיני ויולדת נקבה יכולה לטבול ביום החמישה עשר.</w:t>
      </w:r>
      <w:r>
        <w:rPr>
          <w:sz w:val="20"/>
          <w:szCs w:val="20"/>
          <w:rtl/>
        </w:rPr>
        <w:br/>
      </w:r>
      <w:r>
        <w:rPr>
          <w:rFonts w:hint="cs"/>
          <w:sz w:val="20"/>
          <w:szCs w:val="20"/>
          <w:rtl/>
        </w:rPr>
        <w:t>הוי אומר, מדאורייתא אין הקפדה שהטבילה תהיה דווקא בלילה, ובלבד שתהיה לאחר ימי טומאתה.</w:t>
      </w:r>
    </w:p>
    <w:p w:rsidR="00620060" w:rsidRDefault="00620060" w:rsidP="00620060">
      <w:pPr>
        <w:rPr>
          <w:sz w:val="20"/>
          <w:szCs w:val="20"/>
          <w:rtl/>
        </w:rPr>
      </w:pPr>
      <w:r>
        <w:rPr>
          <w:rFonts w:hint="cs"/>
          <w:sz w:val="20"/>
          <w:szCs w:val="20"/>
          <w:u w:val="single"/>
          <w:rtl/>
        </w:rPr>
        <w:t xml:space="preserve">טבילה ביום השמיני </w:t>
      </w:r>
      <w:r>
        <w:rPr>
          <w:sz w:val="20"/>
          <w:szCs w:val="20"/>
          <w:u w:val="single"/>
          <w:rtl/>
        </w:rPr>
        <w:t>–</w:t>
      </w:r>
      <w:r>
        <w:rPr>
          <w:rFonts w:hint="cs"/>
          <w:sz w:val="20"/>
          <w:szCs w:val="20"/>
          <w:u w:val="single"/>
          <w:rtl/>
        </w:rPr>
        <w:t xml:space="preserve"> גזירת סרך ביתה</w:t>
      </w:r>
      <w:r>
        <w:rPr>
          <w:sz w:val="20"/>
          <w:szCs w:val="20"/>
          <w:u w:val="single"/>
          <w:rtl/>
        </w:rPr>
        <w:br/>
      </w:r>
      <w:r w:rsidRPr="001F4AA1">
        <w:rPr>
          <w:rFonts w:hint="cs"/>
          <w:b/>
          <w:bCs/>
          <w:sz w:val="20"/>
          <w:szCs w:val="20"/>
          <w:rtl/>
        </w:rPr>
        <w:t>גמרא</w:t>
      </w:r>
      <w:r>
        <w:rPr>
          <w:rFonts w:hint="cs"/>
          <w:sz w:val="20"/>
          <w:szCs w:val="20"/>
          <w:rtl/>
        </w:rPr>
        <w:t xml:space="preserve"> נידה (סז:) </w:t>
      </w:r>
      <w:r>
        <w:rPr>
          <w:rFonts w:cs="Arial" w:hint="cs"/>
          <w:sz w:val="20"/>
          <w:szCs w:val="20"/>
          <w:rtl/>
        </w:rPr>
        <w:t>"</w:t>
      </w:r>
      <w:r w:rsidRPr="001F4AA1">
        <w:rPr>
          <w:rFonts w:cs="Arial"/>
          <w:sz w:val="20"/>
          <w:szCs w:val="20"/>
          <w:rtl/>
        </w:rPr>
        <w:t>אמר רב: נדה, בין בזמנה בין שלא בזמנה - אינה טובלת אלא בלילה, משום סרך בתה</w:t>
      </w:r>
      <w:r>
        <w:rPr>
          <w:rFonts w:cs="Arial" w:hint="cs"/>
          <w:sz w:val="20"/>
          <w:szCs w:val="20"/>
          <w:rtl/>
        </w:rPr>
        <w:t>"</w:t>
      </w:r>
      <w:r w:rsidRPr="001F4AA1">
        <w:rPr>
          <w:rFonts w:cs="Arial"/>
          <w:sz w:val="20"/>
          <w:szCs w:val="20"/>
          <w:rtl/>
        </w:rPr>
        <w:t>.</w:t>
      </w:r>
      <w:r>
        <w:rPr>
          <w:rStyle w:val="a5"/>
          <w:sz w:val="20"/>
          <w:szCs w:val="20"/>
          <w:rtl/>
        </w:rPr>
        <w:footnoteReference w:id="576"/>
      </w:r>
      <w:r>
        <w:rPr>
          <w:sz w:val="20"/>
          <w:szCs w:val="20"/>
          <w:rtl/>
        </w:rPr>
        <w:br/>
      </w:r>
      <w:r>
        <w:rPr>
          <w:rFonts w:hint="cs"/>
          <w:sz w:val="20"/>
          <w:szCs w:val="20"/>
          <w:rtl/>
        </w:rPr>
        <w:t xml:space="preserve">כלומר </w:t>
      </w:r>
      <w:r>
        <w:rPr>
          <w:sz w:val="20"/>
          <w:szCs w:val="20"/>
          <w:rtl/>
        </w:rPr>
        <w:t>–</w:t>
      </w:r>
      <w:r>
        <w:rPr>
          <w:rFonts w:hint="cs"/>
          <w:sz w:val="20"/>
          <w:szCs w:val="20"/>
          <w:rtl/>
        </w:rPr>
        <w:t xml:space="preserve"> חששו חכמים שבתה תראה את אמה טובלת ביום ותחשוב שמותר לטבול ביום ז', ולא תדע שאמה טבלה ביום ח'. משום כך אסרו חכמים לטבול ביום בכל אופן, אפילו ביום ח' </w:t>
      </w:r>
      <w:r w:rsidRPr="00277E65">
        <w:rPr>
          <w:rFonts w:hint="cs"/>
          <w:sz w:val="18"/>
          <w:szCs w:val="18"/>
          <w:rtl/>
        </w:rPr>
        <w:t>(וכן בשאר הימים)</w:t>
      </w:r>
      <w:r>
        <w:rPr>
          <w:rFonts w:hint="cs"/>
          <w:sz w:val="20"/>
          <w:szCs w:val="20"/>
          <w:rtl/>
        </w:rPr>
        <w:t>.</w:t>
      </w:r>
    </w:p>
    <w:p w:rsidR="00620060" w:rsidRDefault="00620060" w:rsidP="00620060">
      <w:pPr>
        <w:rPr>
          <w:sz w:val="20"/>
          <w:szCs w:val="20"/>
          <w:rtl/>
        </w:rPr>
      </w:pPr>
      <w:r>
        <w:rPr>
          <w:rFonts w:hint="cs"/>
          <w:b/>
          <w:bCs/>
          <w:sz w:val="20"/>
          <w:szCs w:val="20"/>
          <w:rtl/>
        </w:rPr>
        <w:t>טבילת זבה</w:t>
      </w:r>
      <w:r>
        <w:rPr>
          <w:rFonts w:hint="cs"/>
          <w:b/>
          <w:bCs/>
          <w:sz w:val="20"/>
          <w:szCs w:val="20"/>
          <w:rtl/>
        </w:rPr>
        <w:br/>
      </w:r>
      <w:r>
        <w:rPr>
          <w:rFonts w:hint="cs"/>
          <w:sz w:val="20"/>
          <w:szCs w:val="20"/>
          <w:u w:val="single"/>
          <w:rtl/>
        </w:rPr>
        <w:t>זמן הטבילה מדאורייתא</w:t>
      </w:r>
      <w:r>
        <w:rPr>
          <w:b/>
          <w:bCs/>
          <w:sz w:val="20"/>
          <w:szCs w:val="20"/>
          <w:rtl/>
        </w:rPr>
        <w:br/>
      </w:r>
      <w:r>
        <w:rPr>
          <w:rFonts w:hint="cs"/>
          <w:sz w:val="20"/>
          <w:szCs w:val="20"/>
          <w:rtl/>
        </w:rPr>
        <w:t xml:space="preserve">כפי שנאמר בגמרא המצוטטת לעיל, זבה טובלת ביום מדאורייתא. </w:t>
      </w:r>
      <w:r>
        <w:rPr>
          <w:sz w:val="20"/>
          <w:szCs w:val="20"/>
          <w:rtl/>
        </w:rPr>
        <w:br/>
      </w:r>
      <w:r>
        <w:rPr>
          <w:rFonts w:hint="cs"/>
          <w:sz w:val="20"/>
          <w:szCs w:val="20"/>
          <w:rtl/>
        </w:rPr>
        <w:t>כלומר, למרות שאסורה לשמש עם בעלה עד הערב, מכל מקום יכולה לטבול ביום ותהיה מותרת בערב.</w:t>
      </w:r>
      <w:r>
        <w:rPr>
          <w:sz w:val="20"/>
          <w:szCs w:val="20"/>
          <w:rtl/>
        </w:rPr>
        <w:br/>
      </w:r>
      <w:r>
        <w:rPr>
          <w:rFonts w:hint="cs"/>
          <w:sz w:val="20"/>
          <w:szCs w:val="20"/>
          <w:rtl/>
        </w:rPr>
        <w:t>דין זה נובע ממה שנאמר בתורה (ויקרא, טו, כח) "</w:t>
      </w:r>
      <w:r w:rsidRPr="00F313BC">
        <w:rPr>
          <w:rFonts w:cs="Arial"/>
          <w:sz w:val="20"/>
          <w:szCs w:val="20"/>
          <w:rtl/>
        </w:rPr>
        <w:t>וספרה לה שבעת ימים ואחר תטהר</w:t>
      </w:r>
      <w:r>
        <w:rPr>
          <w:rFonts w:cs="Arial" w:hint="cs"/>
          <w:sz w:val="20"/>
          <w:szCs w:val="20"/>
          <w:rtl/>
        </w:rPr>
        <w:t>". וכיוון שעבר מקצת יום ז' הוי ספירה, כיוון שמקצת היום ככולו.</w:t>
      </w:r>
    </w:p>
    <w:p w:rsidR="00620060" w:rsidRDefault="00620060" w:rsidP="00620060">
      <w:pPr>
        <w:rPr>
          <w:sz w:val="20"/>
          <w:szCs w:val="20"/>
          <w:rtl/>
        </w:rPr>
      </w:pPr>
      <w:r>
        <w:rPr>
          <w:rFonts w:hint="cs"/>
          <w:sz w:val="20"/>
          <w:szCs w:val="20"/>
          <w:u w:val="single"/>
          <w:rtl/>
        </w:rPr>
        <w:t xml:space="preserve">זמן הטבילה </w:t>
      </w:r>
      <w:r w:rsidRPr="00A40D4C">
        <w:rPr>
          <w:rFonts w:hint="cs"/>
          <w:sz w:val="20"/>
          <w:szCs w:val="20"/>
          <w:u w:val="single"/>
          <w:rtl/>
        </w:rPr>
        <w:t xml:space="preserve">מדרבנן </w:t>
      </w:r>
      <w:r w:rsidRPr="00A40D4C">
        <w:rPr>
          <w:sz w:val="20"/>
          <w:szCs w:val="20"/>
          <w:u w:val="single"/>
          <w:rtl/>
        </w:rPr>
        <w:t>–</w:t>
      </w:r>
      <w:r w:rsidRPr="00A40D4C">
        <w:rPr>
          <w:rFonts w:hint="cs"/>
          <w:sz w:val="20"/>
          <w:szCs w:val="20"/>
          <w:u w:val="single"/>
          <w:rtl/>
        </w:rPr>
        <w:t xml:space="preserve"> טביל</w:t>
      </w:r>
      <w:r>
        <w:rPr>
          <w:rFonts w:hint="cs"/>
          <w:sz w:val="20"/>
          <w:szCs w:val="20"/>
          <w:u w:val="single"/>
          <w:rtl/>
        </w:rPr>
        <w:t>ה ביום השביעי</w:t>
      </w:r>
      <w:r>
        <w:rPr>
          <w:sz w:val="20"/>
          <w:szCs w:val="20"/>
          <w:u w:val="single"/>
          <w:rtl/>
        </w:rPr>
        <w:br/>
      </w:r>
      <w:r w:rsidRPr="00055560">
        <w:rPr>
          <w:rFonts w:hint="cs"/>
          <w:b/>
          <w:bCs/>
          <w:sz w:val="20"/>
          <w:szCs w:val="20"/>
          <w:rtl/>
        </w:rPr>
        <w:t xml:space="preserve">גמרא </w:t>
      </w:r>
      <w:r>
        <w:rPr>
          <w:rFonts w:hint="cs"/>
          <w:sz w:val="20"/>
          <w:szCs w:val="20"/>
          <w:rtl/>
        </w:rPr>
        <w:t>נידה (סז:) "</w:t>
      </w:r>
      <w:r w:rsidRPr="00055560">
        <w:rPr>
          <w:rFonts w:cs="Arial"/>
          <w:sz w:val="20"/>
          <w:szCs w:val="20"/>
          <w:rtl/>
        </w:rPr>
        <w:t xml:space="preserve">אמר ליה רב פפא לרבא ולאביי: מכדי האידנא כולהו ספק זבות שוינהו רבנן, ליטבלינהו ביממא </w:t>
      </w:r>
      <w:r>
        <w:rPr>
          <w:rFonts w:cs="Arial"/>
          <w:sz w:val="20"/>
          <w:szCs w:val="20"/>
          <w:rtl/>
        </w:rPr>
        <w:t>דשביעאה? משום דרבי שמעון, דתניא</w:t>
      </w:r>
      <w:r>
        <w:rPr>
          <w:rFonts w:cs="Arial" w:hint="cs"/>
          <w:sz w:val="20"/>
          <w:szCs w:val="20"/>
          <w:rtl/>
        </w:rPr>
        <w:t xml:space="preserve">... </w:t>
      </w:r>
      <w:r w:rsidRPr="00055560">
        <w:rPr>
          <w:rFonts w:cs="Arial"/>
          <w:sz w:val="20"/>
          <w:szCs w:val="20"/>
          <w:rtl/>
        </w:rPr>
        <w:t>ר</w:t>
      </w:r>
      <w:r>
        <w:rPr>
          <w:rFonts w:cs="Arial" w:hint="cs"/>
          <w:sz w:val="20"/>
          <w:szCs w:val="20"/>
          <w:rtl/>
        </w:rPr>
        <w:t xml:space="preserve">בי </w:t>
      </w:r>
      <w:r w:rsidRPr="00055560">
        <w:rPr>
          <w:rFonts w:cs="Arial"/>
          <w:sz w:val="20"/>
          <w:szCs w:val="20"/>
          <w:rtl/>
        </w:rPr>
        <w:t>שמעון אומר: אחר תטהר - אחר מעשה תטהר. אבל אמרו חכמים: אסור לעשות כן, שמא תב</w:t>
      </w:r>
      <w:r>
        <w:rPr>
          <w:rFonts w:cs="Arial" w:hint="cs"/>
          <w:sz w:val="20"/>
          <w:szCs w:val="20"/>
          <w:rtl/>
        </w:rPr>
        <w:t>ו</w:t>
      </w:r>
      <w:r w:rsidRPr="00055560">
        <w:rPr>
          <w:rFonts w:cs="Arial"/>
          <w:sz w:val="20"/>
          <w:szCs w:val="20"/>
          <w:rtl/>
        </w:rPr>
        <w:t>א לידי ספק</w:t>
      </w:r>
      <w:r>
        <w:rPr>
          <w:rFonts w:cs="Arial" w:hint="cs"/>
          <w:sz w:val="20"/>
          <w:szCs w:val="20"/>
          <w:rtl/>
        </w:rPr>
        <w:t>"</w:t>
      </w:r>
      <w:r w:rsidRPr="00055560">
        <w:rPr>
          <w:rFonts w:cs="Arial"/>
          <w:sz w:val="20"/>
          <w:szCs w:val="20"/>
          <w:rtl/>
        </w:rPr>
        <w:t>.</w:t>
      </w:r>
    </w:p>
    <w:p w:rsidR="00620060" w:rsidRDefault="00620060" w:rsidP="00620060">
      <w:pPr>
        <w:rPr>
          <w:sz w:val="20"/>
          <w:szCs w:val="20"/>
          <w:rtl/>
        </w:rPr>
      </w:pPr>
      <w:r>
        <w:rPr>
          <w:rFonts w:hint="cs"/>
          <w:sz w:val="20"/>
          <w:szCs w:val="20"/>
          <w:u w:val="single"/>
          <w:rtl/>
        </w:rPr>
        <w:t xml:space="preserve">מה גזרו חכמים </w:t>
      </w:r>
      <w:r>
        <w:rPr>
          <w:sz w:val="20"/>
          <w:szCs w:val="20"/>
          <w:u w:val="single"/>
          <w:rtl/>
        </w:rPr>
        <w:t>–</w:t>
      </w:r>
      <w:r>
        <w:rPr>
          <w:rFonts w:hint="cs"/>
          <w:sz w:val="20"/>
          <w:szCs w:val="20"/>
          <w:u w:val="single"/>
          <w:rtl/>
        </w:rPr>
        <w:t xml:space="preserve"> שיטות הראשונים</w:t>
      </w:r>
      <w:r>
        <w:rPr>
          <w:sz w:val="20"/>
          <w:szCs w:val="20"/>
          <w:u w:val="single"/>
          <w:rtl/>
        </w:rPr>
        <w:br/>
      </w:r>
      <w:r>
        <w:rPr>
          <w:rFonts w:hint="cs"/>
          <w:sz w:val="20"/>
          <w:szCs w:val="20"/>
          <w:rtl/>
        </w:rPr>
        <w:t xml:space="preserve">א. </w:t>
      </w:r>
      <w:r w:rsidRPr="00AF0BC9">
        <w:rPr>
          <w:rFonts w:hint="cs"/>
          <w:b/>
          <w:bCs/>
          <w:sz w:val="20"/>
          <w:szCs w:val="20"/>
          <w:rtl/>
        </w:rPr>
        <w:t>רש"י</w:t>
      </w:r>
      <w:r>
        <w:rPr>
          <w:rFonts w:hint="cs"/>
          <w:sz w:val="20"/>
          <w:szCs w:val="20"/>
          <w:rtl/>
        </w:rPr>
        <w:t xml:space="preserve">, </w:t>
      </w:r>
      <w:r w:rsidRPr="00AF0BC9">
        <w:rPr>
          <w:rFonts w:hint="cs"/>
          <w:b/>
          <w:bCs/>
          <w:sz w:val="20"/>
          <w:szCs w:val="20"/>
          <w:rtl/>
        </w:rPr>
        <w:t>תוספות</w:t>
      </w:r>
      <w:r>
        <w:rPr>
          <w:rFonts w:hint="cs"/>
          <w:sz w:val="20"/>
          <w:szCs w:val="20"/>
          <w:rtl/>
        </w:rPr>
        <w:t xml:space="preserve">, </w:t>
      </w:r>
      <w:r w:rsidRPr="00AF0BC9">
        <w:rPr>
          <w:rFonts w:hint="cs"/>
          <w:b/>
          <w:bCs/>
          <w:sz w:val="20"/>
          <w:szCs w:val="20"/>
          <w:rtl/>
        </w:rPr>
        <w:t>רשב"א</w:t>
      </w:r>
      <w:r>
        <w:rPr>
          <w:rFonts w:hint="cs"/>
          <w:sz w:val="20"/>
          <w:szCs w:val="20"/>
          <w:rtl/>
        </w:rPr>
        <w:t xml:space="preserve"> ורוב הראשונים </w:t>
      </w:r>
      <w:r>
        <w:rPr>
          <w:sz w:val="20"/>
          <w:szCs w:val="20"/>
          <w:rtl/>
        </w:rPr>
        <w:t>–</w:t>
      </w:r>
      <w:r>
        <w:rPr>
          <w:rFonts w:hint="cs"/>
          <w:sz w:val="20"/>
          <w:szCs w:val="20"/>
          <w:rtl/>
        </w:rPr>
        <w:t xml:space="preserve"> חכמים אסרו לטבול ביום השביעי.</w:t>
      </w:r>
      <w:r>
        <w:rPr>
          <w:sz w:val="20"/>
          <w:szCs w:val="20"/>
          <w:rtl/>
        </w:rPr>
        <w:br/>
      </w:r>
      <w:r w:rsidRPr="00AF0BC9">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שמא תשמש ותבוא לידי ספק, שהרי אם תראה דם באותו יום תסתור מניינה למפרע ונמצא ששימשה עם בעלה בהיותה זבה.</w:t>
      </w:r>
      <w:r>
        <w:rPr>
          <w:sz w:val="20"/>
          <w:szCs w:val="20"/>
          <w:rtl/>
        </w:rPr>
        <w:br/>
      </w:r>
      <w:r>
        <w:rPr>
          <w:rFonts w:hint="cs"/>
          <w:sz w:val="20"/>
          <w:szCs w:val="20"/>
          <w:rtl/>
        </w:rPr>
        <w:t xml:space="preserve">ב. </w:t>
      </w:r>
      <w:r w:rsidRPr="00AF0BC9">
        <w:rPr>
          <w:rFonts w:hint="cs"/>
          <w:b/>
          <w:bCs/>
          <w:sz w:val="20"/>
          <w:szCs w:val="20"/>
          <w:rtl/>
        </w:rPr>
        <w:t>רז"ה</w:t>
      </w:r>
      <w:r>
        <w:rPr>
          <w:rFonts w:hint="cs"/>
          <w:sz w:val="20"/>
          <w:szCs w:val="20"/>
          <w:rtl/>
        </w:rPr>
        <w:t xml:space="preserve"> </w:t>
      </w:r>
      <w:r>
        <w:rPr>
          <w:sz w:val="20"/>
          <w:szCs w:val="20"/>
          <w:rtl/>
        </w:rPr>
        <w:t>–</w:t>
      </w:r>
      <w:r>
        <w:rPr>
          <w:rFonts w:hint="cs"/>
          <w:sz w:val="20"/>
          <w:szCs w:val="20"/>
          <w:rtl/>
        </w:rPr>
        <w:t xml:space="preserve"> חכמים אסרו לשמש ביום השביעי, אך מותרת לטבול ביום השביעי.</w:t>
      </w:r>
      <w:r>
        <w:rPr>
          <w:sz w:val="20"/>
          <w:szCs w:val="20"/>
          <w:rtl/>
        </w:rPr>
        <w:br/>
      </w:r>
      <w:r>
        <w:rPr>
          <w:rFonts w:hint="cs"/>
          <w:sz w:val="20"/>
          <w:szCs w:val="20"/>
          <w:rtl/>
        </w:rPr>
        <w:t>ואע"פ שמתוך לשון השאלה של רב פפא משמע שקושייתו היתה על עצם הטבילה ולא רק על תשמיש, יש לומר שנקט לישנא מעליא, אך כוונתו היתה על תשמיש בלבד ולא על טבילה ומותר לטבול ביום השביעי.</w:t>
      </w:r>
      <w:r>
        <w:rPr>
          <w:rStyle w:val="a5"/>
          <w:sz w:val="20"/>
          <w:szCs w:val="20"/>
          <w:rtl/>
        </w:rPr>
        <w:footnoteReference w:id="577"/>
      </w:r>
      <w:r>
        <w:rPr>
          <w:rFonts w:hint="cs"/>
          <w:sz w:val="20"/>
          <w:szCs w:val="20"/>
          <w:rtl/>
        </w:rPr>
        <w:t xml:space="preserve"> </w:t>
      </w:r>
      <w:r>
        <w:rPr>
          <w:sz w:val="20"/>
          <w:szCs w:val="20"/>
          <w:rtl/>
        </w:rPr>
        <w:br/>
      </w:r>
      <w:r>
        <w:rPr>
          <w:sz w:val="20"/>
          <w:szCs w:val="20"/>
          <w:rtl/>
        </w:rPr>
        <w:br/>
      </w:r>
      <w:r>
        <w:rPr>
          <w:rFonts w:hint="cs"/>
          <w:sz w:val="20"/>
          <w:szCs w:val="20"/>
          <w:rtl/>
        </w:rPr>
        <w:t xml:space="preserve">הכרעת </w:t>
      </w:r>
      <w:r w:rsidRPr="00AE44A6">
        <w:rPr>
          <w:rFonts w:hint="cs"/>
          <w:b/>
          <w:bCs/>
          <w:sz w:val="20"/>
          <w:szCs w:val="20"/>
          <w:rtl/>
        </w:rPr>
        <w:t>הבית יוסף</w:t>
      </w:r>
      <w:r>
        <w:rPr>
          <w:rFonts w:hint="cs"/>
          <w:sz w:val="20"/>
          <w:szCs w:val="20"/>
          <w:rtl/>
        </w:rPr>
        <w:t xml:space="preserve"> </w:t>
      </w:r>
      <w:r>
        <w:rPr>
          <w:sz w:val="20"/>
          <w:szCs w:val="20"/>
          <w:rtl/>
        </w:rPr>
        <w:t>–</w:t>
      </w:r>
      <w:r>
        <w:rPr>
          <w:rFonts w:hint="cs"/>
          <w:sz w:val="20"/>
          <w:szCs w:val="20"/>
          <w:rtl/>
        </w:rPr>
        <w:t xml:space="preserve"> הלכה כדברי רוב הראשונים ולא </w:t>
      </w:r>
      <w:r w:rsidRPr="00AE44A6">
        <w:rPr>
          <w:rFonts w:hint="cs"/>
          <w:b/>
          <w:bCs/>
          <w:sz w:val="20"/>
          <w:szCs w:val="20"/>
          <w:rtl/>
        </w:rPr>
        <w:t>כרז"ה</w:t>
      </w:r>
      <w:r>
        <w:rPr>
          <w:rFonts w:hint="cs"/>
          <w:sz w:val="20"/>
          <w:szCs w:val="20"/>
          <w:rtl/>
        </w:rPr>
        <w:t xml:space="preserve"> שהתיר לטבול ביום השביעי.</w:t>
      </w:r>
    </w:p>
    <w:p w:rsidR="00620060" w:rsidRPr="00065F3D" w:rsidRDefault="00620060" w:rsidP="00620060">
      <w:pPr>
        <w:rPr>
          <w:sz w:val="20"/>
          <w:szCs w:val="20"/>
          <w:rtl/>
        </w:rPr>
      </w:pPr>
      <w:r>
        <w:rPr>
          <w:rFonts w:hint="cs"/>
          <w:b/>
          <w:bCs/>
          <w:sz w:val="20"/>
          <w:szCs w:val="20"/>
          <w:rtl/>
        </w:rPr>
        <w:t xml:space="preserve">טבילת נידה של זמנינו ביום השמיני </w:t>
      </w:r>
      <w:r>
        <w:rPr>
          <w:b/>
          <w:bCs/>
          <w:sz w:val="20"/>
          <w:szCs w:val="20"/>
          <w:rtl/>
        </w:rPr>
        <w:t>–</w:t>
      </w:r>
      <w:r>
        <w:rPr>
          <w:rFonts w:hint="cs"/>
          <w:b/>
          <w:bCs/>
          <w:sz w:val="20"/>
          <w:szCs w:val="20"/>
          <w:rtl/>
        </w:rPr>
        <w:t xml:space="preserve"> שיטות הראשונים</w:t>
      </w:r>
      <w:r>
        <w:rPr>
          <w:b/>
          <w:bCs/>
          <w:sz w:val="20"/>
          <w:szCs w:val="20"/>
          <w:rtl/>
        </w:rPr>
        <w:br/>
      </w:r>
      <w:r>
        <w:rPr>
          <w:rFonts w:hint="cs"/>
          <w:sz w:val="20"/>
          <w:szCs w:val="20"/>
          <w:rtl/>
        </w:rPr>
        <w:t xml:space="preserve">א. </w:t>
      </w:r>
      <w:r w:rsidRPr="00960380">
        <w:rPr>
          <w:rFonts w:hint="cs"/>
          <w:b/>
          <w:bCs/>
          <w:sz w:val="20"/>
          <w:szCs w:val="20"/>
          <w:rtl/>
        </w:rPr>
        <w:t xml:space="preserve">ראבי"ה ורבינו שמחה </w:t>
      </w:r>
      <w:r>
        <w:rPr>
          <w:sz w:val="20"/>
          <w:szCs w:val="20"/>
          <w:rtl/>
        </w:rPr>
        <w:t>–</w:t>
      </w:r>
      <w:r>
        <w:rPr>
          <w:rFonts w:hint="cs"/>
          <w:sz w:val="20"/>
          <w:szCs w:val="20"/>
          <w:rtl/>
        </w:rPr>
        <w:t xml:space="preserve"> מותר לנידה בזמנינו לטבול ביום השמיני ולא שייכת בה גזרת סרך בתה.</w:t>
      </w:r>
      <w:r>
        <w:rPr>
          <w:sz w:val="20"/>
          <w:szCs w:val="20"/>
          <w:rtl/>
        </w:rPr>
        <w:br/>
      </w:r>
      <w:r w:rsidRPr="00960380">
        <w:rPr>
          <w:rFonts w:hint="cs"/>
          <w:b/>
          <w:bCs/>
          <w:sz w:val="20"/>
          <w:szCs w:val="20"/>
          <w:rtl/>
        </w:rPr>
        <w:lastRenderedPageBreak/>
        <w:t>טעם</w:t>
      </w:r>
      <w:r>
        <w:rPr>
          <w:rFonts w:hint="cs"/>
          <w:sz w:val="20"/>
          <w:szCs w:val="20"/>
          <w:rtl/>
        </w:rPr>
        <w:t xml:space="preserve"> </w:t>
      </w:r>
      <w:r>
        <w:rPr>
          <w:sz w:val="20"/>
          <w:szCs w:val="20"/>
          <w:rtl/>
        </w:rPr>
        <w:t>–</w:t>
      </w:r>
      <w:r>
        <w:rPr>
          <w:rFonts w:hint="cs"/>
          <w:sz w:val="20"/>
          <w:szCs w:val="20"/>
          <w:rtl/>
        </w:rPr>
        <w:t xml:space="preserve"> רק בנידה דאורייתא שייכת גזרה זו, שמא בתה תטבול ביום ז' ולא תדע שטבילתה אינה כלום. </w:t>
      </w:r>
      <w:r>
        <w:rPr>
          <w:sz w:val="20"/>
          <w:szCs w:val="20"/>
          <w:rtl/>
        </w:rPr>
        <w:br/>
      </w:r>
      <w:r>
        <w:rPr>
          <w:rFonts w:hint="cs"/>
          <w:sz w:val="20"/>
          <w:szCs w:val="20"/>
          <w:rtl/>
        </w:rPr>
        <w:t xml:space="preserve">ברם, בזמנינו שמחמירים כרבי זירא וכל נשותינו יושבות ז"נ על כל דם כדין זבה, אפילו אם בתה תטעה לטבול ביום ז' אין בכך מכשול גדול, כיוון שהחשש רחוק </w:t>
      </w:r>
      <w:r>
        <w:rPr>
          <w:sz w:val="20"/>
          <w:szCs w:val="20"/>
          <w:rtl/>
        </w:rPr>
        <w:t>–</w:t>
      </w:r>
      <w:r>
        <w:rPr>
          <w:rFonts w:hint="cs"/>
          <w:sz w:val="20"/>
          <w:szCs w:val="20"/>
          <w:rtl/>
        </w:rPr>
        <w:t xml:space="preserve"> שמא תשמש ושמא תראה דם ותסתור מניינה  </w:t>
      </w:r>
      <w:r>
        <w:rPr>
          <w:sz w:val="20"/>
          <w:szCs w:val="20"/>
          <w:rtl/>
        </w:rPr>
        <w:br/>
      </w:r>
      <w:r w:rsidRPr="00357145">
        <w:rPr>
          <w:rFonts w:hint="cs"/>
          <w:sz w:val="18"/>
          <w:szCs w:val="18"/>
          <w:rtl/>
        </w:rPr>
        <w:t>(במילים אחרות, גזרת סרך בתה נאמרה בנידה אך לא בזבה).</w:t>
      </w:r>
      <w:r>
        <w:rPr>
          <w:rFonts w:hint="cs"/>
          <w:sz w:val="20"/>
          <w:szCs w:val="20"/>
          <w:rtl/>
        </w:rPr>
        <w:br/>
      </w:r>
      <w:r>
        <w:rPr>
          <w:sz w:val="20"/>
          <w:szCs w:val="20"/>
          <w:rtl/>
        </w:rPr>
        <w:br/>
      </w:r>
      <w:r>
        <w:rPr>
          <w:rFonts w:hint="cs"/>
          <w:sz w:val="20"/>
          <w:szCs w:val="20"/>
          <w:rtl/>
        </w:rPr>
        <w:t xml:space="preserve">ב. </w:t>
      </w:r>
      <w:r w:rsidRPr="00960380">
        <w:rPr>
          <w:rFonts w:hint="cs"/>
          <w:b/>
          <w:bCs/>
          <w:sz w:val="20"/>
          <w:szCs w:val="20"/>
          <w:rtl/>
        </w:rPr>
        <w:t>תוספות</w:t>
      </w:r>
      <w:r>
        <w:rPr>
          <w:rFonts w:hint="cs"/>
          <w:sz w:val="20"/>
          <w:szCs w:val="20"/>
          <w:rtl/>
        </w:rPr>
        <w:t xml:space="preserve"> ורוב הראשונים </w:t>
      </w:r>
      <w:r>
        <w:rPr>
          <w:sz w:val="20"/>
          <w:szCs w:val="20"/>
          <w:rtl/>
        </w:rPr>
        <w:t>–</w:t>
      </w:r>
      <w:r>
        <w:rPr>
          <w:rFonts w:hint="cs"/>
          <w:sz w:val="20"/>
          <w:szCs w:val="20"/>
          <w:rtl/>
        </w:rPr>
        <w:t xml:space="preserve"> גם נידה בזמנינו אינה טובלת ביום השביעי משום סרך בתה, וכ"פ </w:t>
      </w:r>
      <w:r w:rsidRPr="00065F3D">
        <w:rPr>
          <w:rFonts w:hint="cs"/>
          <w:b/>
          <w:bCs/>
          <w:sz w:val="20"/>
          <w:szCs w:val="20"/>
          <w:rtl/>
        </w:rPr>
        <w:t>המחבר</w:t>
      </w:r>
      <w:r>
        <w:rPr>
          <w:rFonts w:hint="cs"/>
          <w:sz w:val="20"/>
          <w:szCs w:val="20"/>
          <w:rtl/>
        </w:rPr>
        <w:t>.</w:t>
      </w:r>
      <w:r>
        <w:rPr>
          <w:sz w:val="20"/>
          <w:szCs w:val="20"/>
          <w:rtl/>
        </w:rPr>
        <w:br/>
      </w:r>
      <w:r w:rsidRPr="00960380">
        <w:rPr>
          <w:rFonts w:hint="cs"/>
          <w:b/>
          <w:bCs/>
          <w:sz w:val="20"/>
          <w:szCs w:val="20"/>
          <w:rtl/>
        </w:rPr>
        <w:t>ראיה</w:t>
      </w:r>
      <w:r>
        <w:rPr>
          <w:rFonts w:hint="cs"/>
          <w:sz w:val="20"/>
          <w:szCs w:val="20"/>
          <w:rtl/>
        </w:rPr>
        <w:t xml:space="preserve"> </w:t>
      </w:r>
      <w:r>
        <w:rPr>
          <w:sz w:val="20"/>
          <w:szCs w:val="20"/>
          <w:rtl/>
        </w:rPr>
        <w:t>–</w:t>
      </w:r>
      <w:r>
        <w:rPr>
          <w:rFonts w:hint="cs"/>
          <w:sz w:val="20"/>
          <w:szCs w:val="20"/>
          <w:rtl/>
        </w:rPr>
        <w:t xml:space="preserve"> כך נאמר בגמרא (שם, סז:) "</w:t>
      </w:r>
      <w:r w:rsidRPr="00960380">
        <w:rPr>
          <w:rFonts w:cs="Arial"/>
          <w:sz w:val="20"/>
          <w:szCs w:val="20"/>
          <w:rtl/>
        </w:rPr>
        <w:t>אמר רב: נדה, בין בזמנה בין שלא בזמנה - אינה טובלת אלא בלילה, משום סרך בתה. אתקין רב אידי בנרש ל</w:t>
      </w:r>
      <w:r>
        <w:rPr>
          <w:rFonts w:cs="Arial"/>
          <w:sz w:val="20"/>
          <w:szCs w:val="20"/>
          <w:rtl/>
        </w:rPr>
        <w:t>מטבל ביומא דתמניא, משום אריותא.</w:t>
      </w:r>
      <w:r>
        <w:rPr>
          <w:rFonts w:cs="Arial" w:hint="cs"/>
          <w:sz w:val="20"/>
          <w:szCs w:val="20"/>
          <w:rtl/>
        </w:rPr>
        <w:t xml:space="preserve">.. </w:t>
      </w:r>
      <w:r w:rsidRPr="00960380">
        <w:rPr>
          <w:rFonts w:cs="Arial"/>
          <w:sz w:val="20"/>
          <w:szCs w:val="20"/>
          <w:rtl/>
        </w:rPr>
        <w:t>רבא במחוזא משום אבולאי. אמר ליה רב פפא לרבא ולאביי: מכדי האידנא כולהו ספק זבות שוינהו רבנן, ליטבלינהו ביממא דשביעאה?</w:t>
      </w:r>
      <w:r>
        <w:rPr>
          <w:rFonts w:cs="Arial" w:hint="cs"/>
          <w:sz w:val="20"/>
          <w:szCs w:val="20"/>
          <w:rtl/>
        </w:rPr>
        <w:t>"</w:t>
      </w:r>
      <w:r>
        <w:rPr>
          <w:sz w:val="20"/>
          <w:szCs w:val="20"/>
          <w:rtl/>
        </w:rPr>
        <w:br/>
      </w:r>
      <w:r w:rsidRPr="007F7CBE">
        <w:rPr>
          <w:rFonts w:hint="cs"/>
          <w:sz w:val="20"/>
          <w:szCs w:val="20"/>
          <w:u w:val="single"/>
          <w:rtl/>
        </w:rPr>
        <w:t>הסבר הראיה</w:t>
      </w:r>
      <w:r>
        <w:rPr>
          <w:rFonts w:hint="cs"/>
          <w:sz w:val="20"/>
          <w:szCs w:val="20"/>
          <w:rtl/>
        </w:rPr>
        <w:t xml:space="preserve"> </w:t>
      </w:r>
      <w:r>
        <w:rPr>
          <w:sz w:val="20"/>
          <w:szCs w:val="20"/>
          <w:rtl/>
        </w:rPr>
        <w:t>–</w:t>
      </w:r>
      <w:r>
        <w:rPr>
          <w:rFonts w:hint="cs"/>
          <w:sz w:val="20"/>
          <w:szCs w:val="20"/>
          <w:rtl/>
        </w:rPr>
        <w:t xml:space="preserve"> בימי רבא כבר נהגה חומרת רבי זירא, ואעפ"כ רבא התיר לנידה לטבול ביום השמיני רק בדוחק. אך אם נאמר שגזרת סרך בתה אינה נוהגת בנידה דידן, רבא אינו צריך להתיר טבילה בשמיני רק בדוחק שהרי לכתחילה ניתן לטבול ביום השמיני! אלא על כורחך שאין לטבול ביום השמיני אף בנידה דידן.</w:t>
      </w:r>
      <w:r w:rsidRPr="007F3725">
        <w:rPr>
          <w:rFonts w:hint="cs"/>
          <w:sz w:val="20"/>
          <w:szCs w:val="20"/>
          <w:rtl/>
        </w:rPr>
        <w:br/>
      </w:r>
      <w:r w:rsidRPr="007F3725">
        <w:rPr>
          <w:sz w:val="20"/>
          <w:szCs w:val="20"/>
          <w:rtl/>
        </w:rPr>
        <w:br/>
      </w: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065F3D">
        <w:rPr>
          <w:rFonts w:cs="Arial"/>
          <w:sz w:val="20"/>
          <w:szCs w:val="20"/>
          <w:rtl/>
        </w:rPr>
        <w:t xml:space="preserve">אסורה לטבול ביום ז'; ואפילו אם ממתנת מלטבול עד יום ח' או ט' אינה יכולה לטבול ביום משום סרך בתה. </w:t>
      </w:r>
      <w:r w:rsidRPr="00065F3D">
        <w:rPr>
          <w:rFonts w:cs="Arial"/>
          <w:sz w:val="18"/>
          <w:szCs w:val="18"/>
          <w:rtl/>
        </w:rPr>
        <w:t>(פי</w:t>
      </w:r>
      <w:r>
        <w:rPr>
          <w:rFonts w:cs="Arial" w:hint="cs"/>
          <w:sz w:val="18"/>
          <w:szCs w:val="18"/>
          <w:rtl/>
        </w:rPr>
        <w:t xml:space="preserve">רוש </w:t>
      </w:r>
      <w:r w:rsidRPr="00065F3D">
        <w:rPr>
          <w:rFonts w:cs="Arial"/>
          <w:sz w:val="18"/>
          <w:szCs w:val="18"/>
          <w:rtl/>
        </w:rPr>
        <w:t>דבוק הבת וקורבתה לעשות כמעשה האם שתטבול ביום כמוה ולא תבחין שאמה לאחר שבעה טבלה ולא בשביעי עצמו)</w:t>
      </w:r>
      <w:r>
        <w:rPr>
          <w:rFonts w:cs="Arial" w:hint="cs"/>
          <w:sz w:val="18"/>
          <w:szCs w:val="18"/>
          <w:rtl/>
        </w:rPr>
        <w:t>"</w:t>
      </w:r>
      <w:r w:rsidRPr="00065F3D">
        <w:rPr>
          <w:rFonts w:cs="Arial"/>
          <w:sz w:val="18"/>
          <w:szCs w:val="18"/>
          <w:rtl/>
        </w:rPr>
        <w:t xml:space="preserve">. </w:t>
      </w:r>
    </w:p>
    <w:p w:rsidR="00620060" w:rsidRDefault="00620060" w:rsidP="00620060">
      <w:pPr>
        <w:rPr>
          <w:sz w:val="20"/>
          <w:szCs w:val="20"/>
          <w:rtl/>
        </w:rPr>
      </w:pPr>
      <w:r>
        <w:rPr>
          <w:rFonts w:hint="cs"/>
          <w:b/>
          <w:bCs/>
          <w:sz w:val="20"/>
          <w:szCs w:val="20"/>
          <w:rtl/>
        </w:rPr>
        <w:t xml:space="preserve">גזרת סרך בתה כשהאמא חוזרת לביתה משחשיכה </w:t>
      </w:r>
      <w:r>
        <w:rPr>
          <w:b/>
          <w:bCs/>
          <w:sz w:val="20"/>
          <w:szCs w:val="20"/>
          <w:rtl/>
        </w:rPr>
        <w:t>–</w:t>
      </w:r>
      <w:r>
        <w:rPr>
          <w:rFonts w:hint="cs"/>
          <w:b/>
          <w:bCs/>
          <w:sz w:val="20"/>
          <w:szCs w:val="20"/>
          <w:rtl/>
        </w:rPr>
        <w:t xml:space="preserve"> שיטת רבינו תם</w:t>
      </w:r>
      <w:r>
        <w:rPr>
          <w:b/>
          <w:bCs/>
          <w:sz w:val="20"/>
          <w:szCs w:val="20"/>
          <w:rtl/>
        </w:rPr>
        <w:br/>
      </w:r>
      <w:r>
        <w:rPr>
          <w:rFonts w:hint="cs"/>
          <w:sz w:val="20"/>
          <w:szCs w:val="20"/>
          <w:rtl/>
        </w:rPr>
        <w:t>בגזרת סרך בתה חששו חכמים שמא הבת תראה שאמה טובלת ביום ותבוא אף היא לטבול ביום, ותטעה הבת לטבול ביום השביעי והיא אינה יודעת שאמה טבלה ביום השמיני.</w:t>
      </w:r>
      <w:r>
        <w:rPr>
          <w:sz w:val="20"/>
          <w:szCs w:val="20"/>
          <w:rtl/>
        </w:rPr>
        <w:br/>
      </w:r>
      <w:r>
        <w:rPr>
          <w:rFonts w:hint="cs"/>
          <w:sz w:val="20"/>
          <w:szCs w:val="20"/>
          <w:rtl/>
        </w:rPr>
        <w:t xml:space="preserve">על פי זה נחלקו הראשונים כדלהלן - </w:t>
      </w:r>
      <w:r>
        <w:rPr>
          <w:sz w:val="20"/>
          <w:szCs w:val="20"/>
          <w:rtl/>
        </w:rPr>
        <w:br/>
      </w:r>
      <w:r>
        <w:rPr>
          <w:rFonts w:hint="cs"/>
          <w:sz w:val="20"/>
          <w:szCs w:val="20"/>
          <w:rtl/>
        </w:rPr>
        <w:t xml:space="preserve">א. </w:t>
      </w:r>
      <w:r>
        <w:rPr>
          <w:rFonts w:hint="cs"/>
          <w:b/>
          <w:bCs/>
          <w:sz w:val="20"/>
          <w:szCs w:val="20"/>
          <w:rtl/>
        </w:rPr>
        <w:t>ר"ת</w:t>
      </w:r>
      <w:r>
        <w:rPr>
          <w:rFonts w:hint="cs"/>
          <w:sz w:val="20"/>
          <w:szCs w:val="20"/>
          <w:rtl/>
        </w:rPr>
        <w:t xml:space="preserve"> </w:t>
      </w:r>
      <w:r>
        <w:rPr>
          <w:sz w:val="20"/>
          <w:szCs w:val="20"/>
          <w:rtl/>
        </w:rPr>
        <w:t>–</w:t>
      </w:r>
      <w:r>
        <w:rPr>
          <w:rFonts w:hint="cs"/>
          <w:sz w:val="20"/>
          <w:szCs w:val="20"/>
          <w:rtl/>
        </w:rPr>
        <w:t xml:space="preserve"> מותר לטבול ביום כאשר האשה חוזרת לביתה לאחר חשיכה, וכתב </w:t>
      </w:r>
      <w:r w:rsidRPr="00732D3C">
        <w:rPr>
          <w:rFonts w:hint="cs"/>
          <w:b/>
          <w:bCs/>
          <w:sz w:val="20"/>
          <w:szCs w:val="20"/>
          <w:rtl/>
        </w:rPr>
        <w:t>האגור</w:t>
      </w:r>
      <w:r>
        <w:rPr>
          <w:rFonts w:hint="cs"/>
          <w:sz w:val="20"/>
          <w:szCs w:val="20"/>
          <w:rtl/>
        </w:rPr>
        <w:t xml:space="preserve"> שכך מנהג אשכנז</w:t>
      </w:r>
      <w:r>
        <w:rPr>
          <w:rStyle w:val="a5"/>
          <w:sz w:val="20"/>
          <w:szCs w:val="20"/>
          <w:rtl/>
        </w:rPr>
        <w:footnoteReference w:id="578"/>
      </w:r>
      <w:r>
        <w:rPr>
          <w:rFonts w:hint="cs"/>
          <w:sz w:val="20"/>
          <w:szCs w:val="20"/>
          <w:rtl/>
        </w:rPr>
        <w:t xml:space="preserve"> </w:t>
      </w:r>
      <w:r>
        <w:rPr>
          <w:rStyle w:val="a5"/>
          <w:sz w:val="20"/>
          <w:szCs w:val="20"/>
          <w:rtl/>
        </w:rPr>
        <w:footnoteReference w:id="579"/>
      </w:r>
      <w:r>
        <w:rPr>
          <w:rFonts w:hint="cs"/>
          <w:sz w:val="20"/>
          <w:szCs w:val="20"/>
          <w:rtl/>
        </w:rPr>
        <w:t>.</w:t>
      </w:r>
      <w:r>
        <w:rPr>
          <w:sz w:val="20"/>
          <w:szCs w:val="20"/>
          <w:rtl/>
        </w:rPr>
        <w:br/>
      </w:r>
      <w:r w:rsidRPr="00850818">
        <w:rPr>
          <w:rFonts w:hint="cs"/>
          <w:b/>
          <w:bCs/>
          <w:sz w:val="20"/>
          <w:szCs w:val="20"/>
          <w:rtl/>
        </w:rPr>
        <w:t xml:space="preserve">טעם </w:t>
      </w:r>
      <w:r>
        <w:rPr>
          <w:sz w:val="20"/>
          <w:szCs w:val="20"/>
          <w:rtl/>
        </w:rPr>
        <w:t>–</w:t>
      </w:r>
      <w:r>
        <w:rPr>
          <w:rFonts w:hint="cs"/>
          <w:sz w:val="20"/>
          <w:szCs w:val="20"/>
          <w:rtl/>
        </w:rPr>
        <w:t xml:space="preserve"> באופן כזה לא תטעה הבת ולא תבוא לטבול בעוד היום גדול.</w:t>
      </w:r>
      <w:r>
        <w:rPr>
          <w:sz w:val="20"/>
          <w:szCs w:val="20"/>
          <w:rtl/>
        </w:rPr>
        <w:br/>
      </w:r>
      <w:r>
        <w:rPr>
          <w:rFonts w:hint="cs"/>
          <w:sz w:val="20"/>
          <w:szCs w:val="20"/>
          <w:rtl/>
        </w:rPr>
        <w:t xml:space="preserve">ב. </w:t>
      </w:r>
      <w:r w:rsidRPr="00C53C35">
        <w:rPr>
          <w:rFonts w:hint="cs"/>
          <w:b/>
          <w:bCs/>
          <w:sz w:val="20"/>
          <w:szCs w:val="20"/>
          <w:rtl/>
        </w:rPr>
        <w:t>רשב"ם</w:t>
      </w:r>
      <w:r>
        <w:rPr>
          <w:rFonts w:hint="cs"/>
          <w:sz w:val="20"/>
          <w:szCs w:val="20"/>
          <w:rtl/>
        </w:rPr>
        <w:t xml:space="preserve"> </w:t>
      </w:r>
      <w:r>
        <w:rPr>
          <w:sz w:val="20"/>
          <w:szCs w:val="20"/>
          <w:rtl/>
        </w:rPr>
        <w:t>–</w:t>
      </w:r>
      <w:r>
        <w:rPr>
          <w:rFonts w:hint="cs"/>
          <w:sz w:val="20"/>
          <w:szCs w:val="20"/>
          <w:rtl/>
        </w:rPr>
        <w:t xml:space="preserve"> אין לטבול ביום בכל אופן, וכ"פ </w:t>
      </w:r>
      <w:r w:rsidRPr="00732D3C">
        <w:rPr>
          <w:rFonts w:hint="cs"/>
          <w:b/>
          <w:bCs/>
          <w:sz w:val="20"/>
          <w:szCs w:val="20"/>
          <w:rtl/>
        </w:rPr>
        <w:t>הש"ך</w:t>
      </w:r>
      <w:r>
        <w:rPr>
          <w:rFonts w:hint="cs"/>
          <w:sz w:val="20"/>
          <w:szCs w:val="20"/>
          <w:rtl/>
        </w:rPr>
        <w:t>.</w:t>
      </w:r>
      <w:r>
        <w:rPr>
          <w:sz w:val="20"/>
          <w:szCs w:val="20"/>
          <w:rtl/>
        </w:rPr>
        <w:br/>
      </w:r>
      <w:r w:rsidRPr="00C53C35">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גם בכה"ג שתשוב האם לביתה משחשיכה, תשער הבת שיעור ההליכה מהמקווה לבית ותדע שאמה טבלה ביום.</w:t>
      </w:r>
    </w:p>
    <w:p w:rsidR="00620060" w:rsidRDefault="00620060" w:rsidP="00620060">
      <w:pPr>
        <w:rPr>
          <w:sz w:val="20"/>
          <w:szCs w:val="20"/>
          <w:u w:val="single"/>
          <w:rtl/>
        </w:rPr>
      </w:pPr>
      <w:r>
        <w:rPr>
          <w:rFonts w:hint="cs"/>
          <w:sz w:val="20"/>
          <w:szCs w:val="20"/>
          <w:u w:val="single"/>
          <w:rtl/>
        </w:rPr>
        <w:t>דיון בשיטת רשב"ם</w:t>
      </w:r>
      <w:r>
        <w:rPr>
          <w:sz w:val="20"/>
          <w:szCs w:val="20"/>
          <w:u w:val="single"/>
          <w:rtl/>
        </w:rPr>
        <w:br/>
      </w:r>
      <w:r w:rsidRPr="00515DFC">
        <w:rPr>
          <w:rFonts w:hint="cs"/>
          <w:b/>
          <w:bCs/>
          <w:sz w:val="20"/>
          <w:szCs w:val="20"/>
          <w:rtl/>
        </w:rPr>
        <w:t xml:space="preserve">בית יוסף </w:t>
      </w:r>
      <w:r w:rsidRPr="00515DFC">
        <w:rPr>
          <w:sz w:val="20"/>
          <w:szCs w:val="20"/>
          <w:rtl/>
        </w:rPr>
        <w:t>–</w:t>
      </w:r>
      <w:r w:rsidRPr="00515DFC">
        <w:rPr>
          <w:rFonts w:hint="cs"/>
          <w:sz w:val="20"/>
          <w:szCs w:val="20"/>
          <w:rtl/>
        </w:rPr>
        <w:t xml:space="preserve"> האם צריכה להקפיד שלא לצאת מביתה למקווה עד שחשיכה?</w:t>
      </w:r>
      <w:r w:rsidRPr="00515DFC">
        <w:rPr>
          <w:rFonts w:hint="cs"/>
          <w:sz w:val="20"/>
          <w:szCs w:val="20"/>
          <w:rtl/>
        </w:rPr>
        <w:br/>
      </w:r>
      <w:r>
        <w:rPr>
          <w:rFonts w:hint="cs"/>
          <w:sz w:val="20"/>
          <w:szCs w:val="20"/>
          <w:rtl/>
        </w:rPr>
        <w:t xml:space="preserve">א. </w:t>
      </w:r>
      <w:r w:rsidRPr="00515DFC">
        <w:rPr>
          <w:rFonts w:hint="cs"/>
          <w:sz w:val="20"/>
          <w:szCs w:val="20"/>
          <w:rtl/>
        </w:rPr>
        <w:t xml:space="preserve">מדברי </w:t>
      </w:r>
      <w:r w:rsidRPr="00515DFC">
        <w:rPr>
          <w:rFonts w:hint="cs"/>
          <w:b/>
          <w:bCs/>
          <w:sz w:val="20"/>
          <w:szCs w:val="20"/>
          <w:rtl/>
        </w:rPr>
        <w:t>המרדכי וסמ"ג</w:t>
      </w:r>
      <w:r w:rsidRPr="00515DFC">
        <w:rPr>
          <w:rFonts w:hint="cs"/>
          <w:sz w:val="20"/>
          <w:szCs w:val="20"/>
          <w:rtl/>
        </w:rPr>
        <w:t xml:space="preserve"> משמע שיש להחמיר בכך</w:t>
      </w:r>
      <w:r>
        <w:rPr>
          <w:rFonts w:hint="cs"/>
          <w:sz w:val="20"/>
          <w:szCs w:val="20"/>
          <w:rtl/>
        </w:rPr>
        <w:t xml:space="preserve">, וכ"פ </w:t>
      </w:r>
      <w:r w:rsidRPr="00732D3C">
        <w:rPr>
          <w:rFonts w:hint="cs"/>
          <w:b/>
          <w:bCs/>
          <w:sz w:val="20"/>
          <w:szCs w:val="20"/>
          <w:rtl/>
        </w:rPr>
        <w:t>הב"ח</w:t>
      </w:r>
      <w:r w:rsidRPr="00515DFC">
        <w:rPr>
          <w:rFonts w:hint="cs"/>
          <w:sz w:val="20"/>
          <w:szCs w:val="20"/>
          <w:rtl/>
        </w:rPr>
        <w:t>.</w:t>
      </w:r>
      <w:r w:rsidRPr="00515DFC">
        <w:rPr>
          <w:sz w:val="20"/>
          <w:szCs w:val="20"/>
          <w:rtl/>
        </w:rPr>
        <w:br/>
      </w:r>
      <w:r w:rsidRPr="00515DFC">
        <w:rPr>
          <w:rFonts w:hint="cs"/>
          <w:b/>
          <w:bCs/>
          <w:sz w:val="20"/>
          <w:szCs w:val="20"/>
          <w:rtl/>
        </w:rPr>
        <w:t>טעם</w:t>
      </w:r>
      <w:r w:rsidRPr="00515DFC">
        <w:rPr>
          <w:rFonts w:hint="cs"/>
          <w:sz w:val="20"/>
          <w:szCs w:val="20"/>
          <w:rtl/>
        </w:rPr>
        <w:t xml:space="preserve"> </w:t>
      </w:r>
      <w:r w:rsidRPr="00515DFC">
        <w:rPr>
          <w:sz w:val="20"/>
          <w:szCs w:val="20"/>
          <w:rtl/>
        </w:rPr>
        <w:t>–</w:t>
      </w:r>
      <w:r w:rsidRPr="00515DFC">
        <w:rPr>
          <w:rFonts w:hint="cs"/>
          <w:sz w:val="20"/>
          <w:szCs w:val="20"/>
          <w:rtl/>
        </w:rPr>
        <w:t xml:space="preserve"> אם תצא מביתה </w:t>
      </w:r>
      <w:r>
        <w:rPr>
          <w:rFonts w:hint="cs"/>
          <w:sz w:val="20"/>
          <w:szCs w:val="20"/>
          <w:rtl/>
        </w:rPr>
        <w:t xml:space="preserve">לפני </w:t>
      </w:r>
      <w:r w:rsidRPr="00515DFC">
        <w:rPr>
          <w:rFonts w:hint="cs"/>
          <w:sz w:val="20"/>
          <w:szCs w:val="20"/>
          <w:rtl/>
        </w:rPr>
        <w:t>חשיכה, תחשוב הבת שמותר לטבול מבעוד יום, אלא שבמקרה המקווה נמצא רחוק מביתם ולכן אמה טבלה ביום. לכן צריכה לצאת מביתה לאחר חשיכה, כך הבת תדע שמותר לטבול רק בלילה.</w:t>
      </w:r>
      <w:r>
        <w:rPr>
          <w:rFonts w:hint="cs"/>
          <w:sz w:val="24"/>
          <w:szCs w:val="24"/>
          <w:rtl/>
        </w:rPr>
        <w:br/>
      </w:r>
      <w:r>
        <w:rPr>
          <w:rFonts w:hint="cs"/>
          <w:sz w:val="20"/>
          <w:szCs w:val="20"/>
          <w:rtl/>
        </w:rPr>
        <w:t xml:space="preserve">ואמנם, חומרה זו נוהגת רק כשהאשה חופפת ורוחצת בביתה, אך אם יש מרחץ סמוך למקווה, מותר לאשה לצאת מביתה שעה או שתיים לפני החשיכה, כיוון שבתה יודעת שאמה משתהה במרחץ לפני הטבילה, </w:t>
      </w:r>
      <w:r w:rsidRPr="00732D3C">
        <w:rPr>
          <w:rFonts w:hint="cs"/>
          <w:b/>
          <w:bCs/>
          <w:sz w:val="20"/>
          <w:szCs w:val="20"/>
          <w:rtl/>
        </w:rPr>
        <w:t>ש"ך</w:t>
      </w:r>
      <w:r>
        <w:rPr>
          <w:rFonts w:hint="cs"/>
          <w:sz w:val="20"/>
          <w:szCs w:val="20"/>
          <w:rtl/>
        </w:rPr>
        <w:t>.</w:t>
      </w:r>
      <w:r w:rsidRPr="00732D3C">
        <w:rPr>
          <w:rFonts w:hint="cs"/>
          <w:sz w:val="20"/>
          <w:szCs w:val="20"/>
          <w:rtl/>
        </w:rPr>
        <w:t xml:space="preserve"> </w:t>
      </w:r>
      <w:r w:rsidRPr="00515DFC">
        <w:rPr>
          <w:sz w:val="24"/>
          <w:szCs w:val="24"/>
          <w:rtl/>
        </w:rPr>
        <w:br/>
      </w:r>
      <w:r>
        <w:rPr>
          <w:rFonts w:hint="cs"/>
          <w:sz w:val="20"/>
          <w:szCs w:val="20"/>
          <w:rtl/>
        </w:rPr>
        <w:t xml:space="preserve">ב. </w:t>
      </w:r>
      <w:r w:rsidRPr="00515DFC">
        <w:rPr>
          <w:rFonts w:hint="cs"/>
          <w:sz w:val="20"/>
          <w:szCs w:val="20"/>
          <w:rtl/>
        </w:rPr>
        <w:t xml:space="preserve">אמנם, מדברי </w:t>
      </w:r>
      <w:r w:rsidRPr="00515DFC">
        <w:rPr>
          <w:rFonts w:hint="cs"/>
          <w:b/>
          <w:bCs/>
          <w:sz w:val="20"/>
          <w:szCs w:val="20"/>
          <w:rtl/>
        </w:rPr>
        <w:t>הרא"ש</w:t>
      </w:r>
      <w:r w:rsidRPr="00515DFC">
        <w:rPr>
          <w:rFonts w:hint="cs"/>
          <w:sz w:val="20"/>
          <w:szCs w:val="20"/>
          <w:rtl/>
        </w:rPr>
        <w:t xml:space="preserve"> משמע שאין להקפיד בכך, אלא העיקר הוא שתטבול משחשיכה, אך אין להחמיר שתצא מביתה לאחר חשיכה.</w:t>
      </w:r>
    </w:p>
    <w:p w:rsidR="00620060" w:rsidRPr="00D247D6" w:rsidRDefault="00620060" w:rsidP="00620060">
      <w:pPr>
        <w:rPr>
          <w:sz w:val="20"/>
          <w:szCs w:val="20"/>
          <w:rtl/>
        </w:rPr>
      </w:pPr>
      <w:r>
        <w:rPr>
          <w:rFonts w:hint="cs"/>
          <w:sz w:val="20"/>
          <w:szCs w:val="20"/>
          <w:u w:val="single"/>
          <w:rtl/>
        </w:rPr>
        <w:t>טבילה ביום השביעי בשעת הדחק (פת"ש)</w:t>
      </w:r>
      <w:r>
        <w:rPr>
          <w:sz w:val="20"/>
          <w:szCs w:val="20"/>
          <w:u w:val="single"/>
          <w:rtl/>
        </w:rPr>
        <w:br/>
      </w:r>
      <w:r>
        <w:rPr>
          <w:rFonts w:hint="cs"/>
          <w:b/>
          <w:bCs/>
          <w:sz w:val="20"/>
          <w:szCs w:val="20"/>
          <w:rtl/>
        </w:rPr>
        <w:t>סדרי טהרה ו</w:t>
      </w:r>
      <w:r w:rsidRPr="00D247D6">
        <w:rPr>
          <w:rFonts w:hint="cs"/>
          <w:b/>
          <w:bCs/>
          <w:sz w:val="20"/>
          <w:szCs w:val="20"/>
          <w:rtl/>
        </w:rPr>
        <w:t>חתם סופר</w:t>
      </w:r>
      <w:r>
        <w:rPr>
          <w:rFonts w:hint="cs"/>
          <w:sz w:val="20"/>
          <w:szCs w:val="20"/>
          <w:rtl/>
        </w:rPr>
        <w:t xml:space="preserve"> </w:t>
      </w:r>
      <w:r>
        <w:rPr>
          <w:sz w:val="20"/>
          <w:szCs w:val="20"/>
          <w:rtl/>
        </w:rPr>
        <w:t>–</w:t>
      </w:r>
      <w:r>
        <w:rPr>
          <w:rFonts w:hint="cs"/>
          <w:sz w:val="20"/>
          <w:szCs w:val="20"/>
          <w:rtl/>
        </w:rPr>
        <w:t xml:space="preserve"> במקום שיש לחוש לביטול מצוות עונה אם לא תטבול ביום ז', כגון שלא תוכל לטבול גם בלילה הבא </w:t>
      </w:r>
      <w:r w:rsidRPr="0020487F">
        <w:rPr>
          <w:rFonts w:hint="cs"/>
          <w:sz w:val="18"/>
          <w:szCs w:val="18"/>
          <w:rtl/>
        </w:rPr>
        <w:t>(ליל ט')</w:t>
      </w:r>
      <w:r>
        <w:rPr>
          <w:rFonts w:hint="cs"/>
          <w:sz w:val="20"/>
          <w:szCs w:val="20"/>
          <w:rtl/>
        </w:rPr>
        <w:t xml:space="preserve">, ניתן להקל כדעת ר"ת ולהתיר זאת ובלבד שלא תבוא לביתה עד הערב. ואין להתיר לה ללכת לבית חברתה, משום שאין לחלק בין ביתה לבין בית אחר. ואמנם, המחמיר שלא לסמוך על ר"ת תבוא עליו ברכה </w:t>
      </w:r>
      <w:r w:rsidRPr="00277E65">
        <w:rPr>
          <w:rFonts w:hint="cs"/>
          <w:sz w:val="18"/>
          <w:szCs w:val="18"/>
          <w:rtl/>
        </w:rPr>
        <w:t>(וכן כתב הש"ך להדיא שאין להקל כר"ת ביום ז'</w:t>
      </w:r>
      <w:r>
        <w:rPr>
          <w:rFonts w:hint="cs"/>
          <w:sz w:val="18"/>
          <w:szCs w:val="18"/>
          <w:rtl/>
        </w:rPr>
        <w:t>, ויש למחות במקלות)</w:t>
      </w:r>
      <w:r>
        <w:rPr>
          <w:rFonts w:hint="cs"/>
          <w:sz w:val="20"/>
          <w:szCs w:val="20"/>
          <w:rtl/>
        </w:rPr>
        <w:t>.</w:t>
      </w:r>
      <w:r>
        <w:rPr>
          <w:rFonts w:hint="cs"/>
          <w:sz w:val="20"/>
          <w:szCs w:val="20"/>
          <w:rtl/>
        </w:rPr>
        <w:br/>
      </w:r>
      <w:r>
        <w:rPr>
          <w:sz w:val="20"/>
          <w:szCs w:val="20"/>
          <w:rtl/>
        </w:rPr>
        <w:br/>
      </w:r>
      <w:r w:rsidRPr="005A5F4E">
        <w:rPr>
          <w:rFonts w:hint="cs"/>
          <w:b/>
          <w:bCs/>
          <w:sz w:val="20"/>
          <w:szCs w:val="20"/>
          <w:rtl/>
        </w:rPr>
        <w:t>והאג"מ</w:t>
      </w:r>
      <w:r>
        <w:rPr>
          <w:rFonts w:hint="cs"/>
          <w:sz w:val="20"/>
          <w:szCs w:val="20"/>
          <w:rtl/>
        </w:rPr>
        <w:t xml:space="preserve"> </w:t>
      </w:r>
      <w:r w:rsidRPr="005A5F4E">
        <w:rPr>
          <w:rFonts w:hint="cs"/>
          <w:sz w:val="18"/>
          <w:szCs w:val="18"/>
          <w:rtl/>
        </w:rPr>
        <w:t xml:space="preserve">(יו"ד, ג, ס) </w:t>
      </w:r>
      <w:r>
        <w:rPr>
          <w:rFonts w:hint="cs"/>
          <w:sz w:val="20"/>
          <w:szCs w:val="20"/>
          <w:rtl/>
        </w:rPr>
        <w:t xml:space="preserve">כתב אף הוא שיש לסמוך להקל </w:t>
      </w:r>
      <w:r w:rsidRPr="005A5F4E">
        <w:rPr>
          <w:rFonts w:hint="cs"/>
          <w:b/>
          <w:bCs/>
          <w:sz w:val="20"/>
          <w:szCs w:val="20"/>
          <w:rtl/>
        </w:rPr>
        <w:t>כר"ת</w:t>
      </w:r>
      <w:r>
        <w:rPr>
          <w:rFonts w:hint="cs"/>
          <w:sz w:val="20"/>
          <w:szCs w:val="20"/>
          <w:rtl/>
        </w:rPr>
        <w:t xml:space="preserve">. ולגבי החזרה לביתה מבעוד יום בערב שבת כתב, שאם הבעל ילך לבית הכנסת זמן מועט לפני הדלקת נרות והיא תיכנס לביתה תכף לזמן הדלקת נרות </w:t>
      </w:r>
      <w:r>
        <w:rPr>
          <w:sz w:val="20"/>
          <w:szCs w:val="20"/>
          <w:rtl/>
        </w:rPr>
        <w:t>–</w:t>
      </w:r>
      <w:r>
        <w:rPr>
          <w:rFonts w:hint="cs"/>
          <w:sz w:val="20"/>
          <w:szCs w:val="20"/>
          <w:rtl/>
        </w:rPr>
        <w:t xml:space="preserve"> אין </w:t>
      </w:r>
      <w:r>
        <w:rPr>
          <w:rFonts w:hint="cs"/>
          <w:sz w:val="20"/>
          <w:szCs w:val="20"/>
          <w:rtl/>
        </w:rPr>
        <w:lastRenderedPageBreak/>
        <w:t>לחוש ומותר</w:t>
      </w:r>
      <w:r>
        <w:rPr>
          <w:rStyle w:val="a5"/>
          <w:sz w:val="20"/>
          <w:szCs w:val="20"/>
          <w:rtl/>
        </w:rPr>
        <w:footnoteReference w:id="580"/>
      </w:r>
      <w:r>
        <w:rPr>
          <w:rFonts w:hint="cs"/>
          <w:sz w:val="20"/>
          <w:szCs w:val="20"/>
          <w:rtl/>
        </w:rPr>
        <w:t>. כמו כן כתב להקל אם אינם יכולים להתייחד עד הלילה, כגון שיש ילדים בבית</w:t>
      </w:r>
      <w:r>
        <w:rPr>
          <w:rStyle w:val="a5"/>
          <w:sz w:val="20"/>
          <w:szCs w:val="20"/>
          <w:rtl/>
        </w:rPr>
        <w:footnoteReference w:id="581"/>
      </w:r>
      <w:r>
        <w:rPr>
          <w:rFonts w:hint="cs"/>
          <w:sz w:val="20"/>
          <w:szCs w:val="20"/>
          <w:rtl/>
        </w:rPr>
        <w:t>.</w:t>
      </w:r>
      <w:r>
        <w:rPr>
          <w:sz w:val="20"/>
          <w:szCs w:val="20"/>
          <w:rtl/>
        </w:rPr>
        <w:br/>
      </w:r>
      <w:r>
        <w:rPr>
          <w:rFonts w:hint="cs"/>
          <w:sz w:val="20"/>
          <w:szCs w:val="20"/>
          <w:rtl/>
        </w:rPr>
        <w:br/>
        <w:t xml:space="preserve">ואמנם, לאשה הנוהגת </w:t>
      </w:r>
      <w:r w:rsidRPr="005A5F4E">
        <w:rPr>
          <w:rFonts w:hint="cs"/>
          <w:b/>
          <w:bCs/>
          <w:sz w:val="20"/>
          <w:szCs w:val="20"/>
          <w:rtl/>
        </w:rPr>
        <w:t>כרמ"א</w:t>
      </w:r>
      <w:r>
        <w:rPr>
          <w:rFonts w:hint="cs"/>
          <w:sz w:val="20"/>
          <w:szCs w:val="20"/>
          <w:rtl/>
        </w:rPr>
        <w:t xml:space="preserve">, מציע </w:t>
      </w:r>
      <w:r w:rsidRPr="005A5F4E">
        <w:rPr>
          <w:rFonts w:hint="cs"/>
          <w:b/>
          <w:bCs/>
          <w:sz w:val="20"/>
          <w:szCs w:val="20"/>
          <w:rtl/>
        </w:rPr>
        <w:t>החת"ס</w:t>
      </w:r>
      <w:r>
        <w:rPr>
          <w:rFonts w:hint="cs"/>
          <w:sz w:val="20"/>
          <w:szCs w:val="20"/>
          <w:rtl/>
        </w:rPr>
        <w:t xml:space="preserve"> עצה נוספת </w:t>
      </w:r>
      <w:r>
        <w:rPr>
          <w:sz w:val="20"/>
          <w:szCs w:val="20"/>
          <w:rtl/>
        </w:rPr>
        <w:t>–</w:t>
      </w:r>
      <w:r>
        <w:rPr>
          <w:rFonts w:hint="cs"/>
          <w:sz w:val="20"/>
          <w:szCs w:val="20"/>
          <w:rtl/>
        </w:rPr>
        <w:t xml:space="preserve"> בנוסף להפסק טהרה שעושה ביום ה' לראייתה, תעשה הפסק נוסף ביום ד' לראייתה. באופן זה יוצא שאינה טובלת ביום ז' אלא ביום ח' לדעת המחבר, ותשוב לביתה משחשיכה</w:t>
      </w:r>
      <w:r>
        <w:rPr>
          <w:rStyle w:val="a5"/>
          <w:sz w:val="20"/>
          <w:szCs w:val="20"/>
          <w:rtl/>
        </w:rPr>
        <w:footnoteReference w:id="582"/>
      </w:r>
      <w:r>
        <w:rPr>
          <w:rFonts w:hint="cs"/>
          <w:sz w:val="20"/>
          <w:szCs w:val="20"/>
          <w:rtl/>
        </w:rPr>
        <w:t>.</w:t>
      </w:r>
    </w:p>
    <w:p w:rsidR="00620060" w:rsidRDefault="00620060" w:rsidP="00620060">
      <w:pPr>
        <w:rPr>
          <w:sz w:val="20"/>
          <w:szCs w:val="20"/>
          <w:rtl/>
        </w:rPr>
      </w:pPr>
      <w:r>
        <w:rPr>
          <w:rFonts w:hint="cs"/>
          <w:b/>
          <w:bCs/>
          <w:sz w:val="20"/>
          <w:szCs w:val="20"/>
          <w:rtl/>
        </w:rPr>
        <w:t>דינים נוספים</w:t>
      </w:r>
      <w:r>
        <w:rPr>
          <w:b/>
          <w:bCs/>
          <w:sz w:val="20"/>
          <w:szCs w:val="20"/>
          <w:rtl/>
        </w:rPr>
        <w:br/>
      </w:r>
      <w:r>
        <w:rPr>
          <w:rFonts w:hint="cs"/>
          <w:sz w:val="20"/>
          <w:szCs w:val="20"/>
          <w:u w:val="single"/>
          <w:rtl/>
        </w:rPr>
        <w:t>אשה שאין לה בת</w:t>
      </w:r>
      <w:r>
        <w:rPr>
          <w:sz w:val="20"/>
          <w:szCs w:val="20"/>
          <w:u w:val="single"/>
          <w:rtl/>
        </w:rPr>
        <w:br/>
      </w:r>
      <w:r w:rsidRPr="00A1390B">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גם אשה שאין לה בת אסורה לטבול ביום.</w:t>
      </w:r>
      <w:r>
        <w:rPr>
          <w:sz w:val="20"/>
          <w:szCs w:val="20"/>
          <w:rtl/>
        </w:rPr>
        <w:br/>
      </w:r>
      <w:r w:rsidRPr="00A1390B">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לא פלוג רבנן בגזירתם.</w:t>
      </w:r>
    </w:p>
    <w:p w:rsidR="00620060" w:rsidRDefault="00620060" w:rsidP="00620060">
      <w:pPr>
        <w:rPr>
          <w:sz w:val="20"/>
          <w:szCs w:val="20"/>
          <w:rtl/>
        </w:rPr>
      </w:pPr>
      <w:r>
        <w:rPr>
          <w:rFonts w:hint="cs"/>
          <w:sz w:val="20"/>
          <w:szCs w:val="20"/>
          <w:u w:val="single"/>
          <w:rtl/>
        </w:rPr>
        <w:t>סרך בתה בטבילה שנייה</w:t>
      </w:r>
      <w:r>
        <w:rPr>
          <w:sz w:val="20"/>
          <w:szCs w:val="20"/>
          <w:u w:val="single"/>
          <w:rtl/>
        </w:rPr>
        <w:br/>
      </w:r>
      <w:r>
        <w:rPr>
          <w:rFonts w:hint="cs"/>
          <w:sz w:val="20"/>
          <w:szCs w:val="20"/>
          <w:rtl/>
        </w:rPr>
        <w:t xml:space="preserve">א. </w:t>
      </w:r>
      <w:r w:rsidRPr="00657102">
        <w:rPr>
          <w:rFonts w:hint="cs"/>
          <w:b/>
          <w:bCs/>
          <w:sz w:val="20"/>
          <w:szCs w:val="20"/>
          <w:rtl/>
        </w:rPr>
        <w:t>מהר"ם מלובלין</w:t>
      </w:r>
      <w:r>
        <w:rPr>
          <w:rFonts w:hint="cs"/>
          <w:sz w:val="20"/>
          <w:szCs w:val="20"/>
          <w:rtl/>
        </w:rPr>
        <w:t xml:space="preserve"> </w:t>
      </w:r>
      <w:r>
        <w:rPr>
          <w:sz w:val="20"/>
          <w:szCs w:val="20"/>
          <w:rtl/>
        </w:rPr>
        <w:t>–</w:t>
      </w:r>
      <w:r>
        <w:rPr>
          <w:rFonts w:hint="cs"/>
          <w:sz w:val="20"/>
          <w:szCs w:val="20"/>
          <w:rtl/>
        </w:rPr>
        <w:t xml:space="preserve"> מעשה באשה שטבלה והתברר לה לאחר כמה ימים שטבילתה לא היתה כראוי וצריכה לטבול שנית. השאלה היא האם מותר לה לטבול ביום, או שיש לחוש גם בכה"ג משום סרך בתה?</w:t>
      </w:r>
      <w:r>
        <w:rPr>
          <w:rFonts w:hint="cs"/>
          <w:sz w:val="20"/>
          <w:szCs w:val="20"/>
          <w:rtl/>
        </w:rPr>
        <w:br/>
        <w:t>בנוסף יש להסתפק האם מותר לה לטבול למרות שלא ספרה ז"נ, שהרי בתה תראה שאמה טובלת ללא ז"נ ותטעה אף היא לא לספור ז"נ?</w:t>
      </w:r>
      <w:r>
        <w:rPr>
          <w:rFonts w:hint="cs"/>
          <w:sz w:val="20"/>
          <w:szCs w:val="20"/>
          <w:rtl/>
        </w:rPr>
        <w:br/>
      </w:r>
      <w:r w:rsidRPr="00657102">
        <w:rPr>
          <w:rFonts w:hint="cs"/>
          <w:b/>
          <w:bCs/>
          <w:sz w:val="20"/>
          <w:szCs w:val="20"/>
          <w:rtl/>
        </w:rPr>
        <w:t>מהר"ם</w:t>
      </w:r>
      <w:r>
        <w:rPr>
          <w:rFonts w:hint="cs"/>
          <w:sz w:val="20"/>
          <w:szCs w:val="20"/>
          <w:rtl/>
        </w:rPr>
        <w:t xml:space="preserve"> עצמו לא השיב על שאלה זו.</w:t>
      </w:r>
      <w:r>
        <w:rPr>
          <w:sz w:val="20"/>
          <w:szCs w:val="20"/>
          <w:rtl/>
        </w:rPr>
        <w:br/>
      </w:r>
      <w:r>
        <w:rPr>
          <w:rFonts w:hint="cs"/>
          <w:sz w:val="20"/>
          <w:szCs w:val="20"/>
          <w:rtl/>
        </w:rPr>
        <w:t xml:space="preserve">ב. </w:t>
      </w:r>
      <w:r w:rsidRPr="00657102">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לגבי טבילה ביום, לכתחילה יש להחמיר, אך בדיעבד יש להקל.</w:t>
      </w:r>
      <w:r>
        <w:rPr>
          <w:sz w:val="20"/>
          <w:szCs w:val="20"/>
          <w:rtl/>
        </w:rPr>
        <w:br/>
      </w:r>
      <w:r>
        <w:rPr>
          <w:rFonts w:hint="cs"/>
          <w:sz w:val="20"/>
          <w:szCs w:val="20"/>
          <w:rtl/>
        </w:rPr>
        <w:t>ולעניין ספירת ז"נ אין להחמיר, מכיוון שחז"ל חששו לסרך בתה רק בנוגע לטבילה ביום.</w:t>
      </w:r>
      <w:r>
        <w:rPr>
          <w:rStyle w:val="a5"/>
          <w:sz w:val="20"/>
          <w:szCs w:val="20"/>
          <w:rtl/>
        </w:rPr>
        <w:footnoteReference w:id="583"/>
      </w:r>
      <w:r>
        <w:rPr>
          <w:sz w:val="20"/>
          <w:szCs w:val="20"/>
          <w:rtl/>
        </w:rPr>
        <w:br/>
      </w:r>
      <w:r>
        <w:rPr>
          <w:sz w:val="20"/>
          <w:szCs w:val="20"/>
          <w:rtl/>
        </w:rPr>
        <w:br/>
      </w:r>
      <w:r>
        <w:rPr>
          <w:rFonts w:hint="cs"/>
          <w:b/>
          <w:bCs/>
          <w:sz w:val="20"/>
          <w:szCs w:val="20"/>
          <w:rtl/>
        </w:rPr>
        <w:t>זמן טבילת כלה</w:t>
      </w:r>
      <w:r>
        <w:rPr>
          <w:b/>
          <w:b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רמ"א </w:t>
      </w:r>
      <w:r w:rsidRPr="00023E61">
        <w:rPr>
          <w:rFonts w:hint="cs"/>
          <w:sz w:val="18"/>
          <w:szCs w:val="18"/>
          <w:rtl/>
        </w:rPr>
        <w:t xml:space="preserve">(ע"פ </w:t>
      </w:r>
      <w:r w:rsidRPr="00023E61">
        <w:rPr>
          <w:rFonts w:hint="cs"/>
          <w:b/>
          <w:bCs/>
          <w:sz w:val="18"/>
          <w:szCs w:val="18"/>
          <w:rtl/>
        </w:rPr>
        <w:t>מהרי"ל</w:t>
      </w:r>
      <w:r w:rsidRPr="00023E61">
        <w:rPr>
          <w:rFonts w:hint="cs"/>
          <w:sz w:val="18"/>
          <w:szCs w:val="18"/>
          <w:rtl/>
        </w:rPr>
        <w:t xml:space="preserve">) </w:t>
      </w:r>
      <w:r>
        <w:rPr>
          <w:sz w:val="20"/>
          <w:szCs w:val="20"/>
          <w:rtl/>
        </w:rPr>
        <w:t>–</w:t>
      </w:r>
      <w:r>
        <w:rPr>
          <w:rFonts w:hint="cs"/>
          <w:sz w:val="20"/>
          <w:szCs w:val="20"/>
          <w:rtl/>
        </w:rPr>
        <w:t xml:space="preserve"> </w:t>
      </w:r>
      <w:r w:rsidRPr="00023E61">
        <w:rPr>
          <w:rFonts w:hint="cs"/>
          <w:sz w:val="18"/>
          <w:szCs w:val="18"/>
          <w:rtl/>
        </w:rPr>
        <w:t>"</w:t>
      </w:r>
      <w:r w:rsidRPr="00023E61">
        <w:rPr>
          <w:rFonts w:cs="Arial"/>
          <w:sz w:val="18"/>
          <w:szCs w:val="18"/>
          <w:rtl/>
        </w:rPr>
        <w:t>והכלות הטובלות קודם החופה יכולות לטבול ביום דהא לא באין אצל החתן עד הלילה, אבל אחר החופה דינן כשאר נשים</w:t>
      </w:r>
      <w:r w:rsidRPr="00023E61">
        <w:rPr>
          <w:rFonts w:cs="Arial" w:hint="cs"/>
          <w:sz w:val="18"/>
          <w:szCs w:val="18"/>
          <w:rtl/>
        </w:rPr>
        <w:t>".</w:t>
      </w:r>
    </w:p>
    <w:p w:rsidR="00620060" w:rsidRPr="00515842" w:rsidRDefault="00620060" w:rsidP="00620060">
      <w:pPr>
        <w:rPr>
          <w:sz w:val="20"/>
          <w:szCs w:val="20"/>
          <w:rtl/>
        </w:rPr>
      </w:pPr>
      <w:r>
        <w:rPr>
          <w:rFonts w:hint="cs"/>
          <w:sz w:val="20"/>
          <w:szCs w:val="20"/>
          <w:u w:val="single"/>
          <w:rtl/>
        </w:rPr>
        <w:t>טבילת כלה ביום השביעי</w:t>
      </w:r>
      <w:r>
        <w:rPr>
          <w:sz w:val="20"/>
          <w:szCs w:val="20"/>
          <w:u w:val="single"/>
          <w:rtl/>
        </w:rPr>
        <w:br/>
      </w:r>
      <w:r>
        <w:rPr>
          <w:rFonts w:hint="cs"/>
          <w:sz w:val="20"/>
          <w:szCs w:val="20"/>
          <w:rtl/>
        </w:rPr>
        <w:t xml:space="preserve">א. </w:t>
      </w:r>
      <w:r>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גם לכלה אסור לטבול ביום ז'.</w:t>
      </w:r>
      <w:r>
        <w:rPr>
          <w:sz w:val="20"/>
          <w:szCs w:val="20"/>
          <w:rtl/>
        </w:rPr>
        <w:br/>
      </w:r>
      <w:r w:rsidRPr="00515842">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שמא תראה ותסתור ונמצאת זבה למפרע.</w:t>
      </w:r>
      <w:r>
        <w:rPr>
          <w:sz w:val="20"/>
          <w:szCs w:val="20"/>
          <w:rtl/>
        </w:rPr>
        <w:br/>
      </w:r>
      <w:r>
        <w:rPr>
          <w:rFonts w:hint="cs"/>
          <w:sz w:val="20"/>
          <w:szCs w:val="20"/>
          <w:rtl/>
        </w:rPr>
        <w:t xml:space="preserve">ב. </w:t>
      </w:r>
      <w:r w:rsidRPr="00515842">
        <w:rPr>
          <w:rFonts w:hint="cs"/>
          <w:b/>
          <w:bCs/>
          <w:sz w:val="20"/>
          <w:szCs w:val="20"/>
          <w:rtl/>
        </w:rPr>
        <w:t>דגמ"ר</w:t>
      </w:r>
      <w:r>
        <w:rPr>
          <w:rFonts w:hint="cs"/>
          <w:sz w:val="20"/>
          <w:szCs w:val="20"/>
          <w:rtl/>
        </w:rPr>
        <w:t xml:space="preserve"> </w:t>
      </w:r>
      <w:r>
        <w:rPr>
          <w:sz w:val="20"/>
          <w:szCs w:val="20"/>
          <w:rtl/>
        </w:rPr>
        <w:t>–</w:t>
      </w:r>
      <w:r>
        <w:rPr>
          <w:rFonts w:hint="cs"/>
          <w:sz w:val="20"/>
          <w:szCs w:val="20"/>
          <w:rtl/>
        </w:rPr>
        <w:t xml:space="preserve"> מותר לכלה לטבול ביום ז'.</w:t>
      </w:r>
      <w:r>
        <w:rPr>
          <w:sz w:val="20"/>
          <w:szCs w:val="20"/>
          <w:rtl/>
        </w:rPr>
        <w:br/>
      </w:r>
      <w:r w:rsidRPr="00515842">
        <w:rPr>
          <w:rFonts w:hint="cs"/>
          <w:b/>
          <w:bCs/>
          <w:sz w:val="20"/>
          <w:szCs w:val="20"/>
          <w:rtl/>
        </w:rPr>
        <w:t xml:space="preserve">טעם </w:t>
      </w:r>
      <w:r>
        <w:rPr>
          <w:sz w:val="20"/>
          <w:szCs w:val="20"/>
          <w:rtl/>
        </w:rPr>
        <w:t>–</w:t>
      </w:r>
      <w:r>
        <w:rPr>
          <w:rFonts w:hint="cs"/>
          <w:sz w:val="20"/>
          <w:szCs w:val="20"/>
          <w:rtl/>
        </w:rPr>
        <w:t xml:space="preserve"> דברי </w:t>
      </w:r>
      <w:r>
        <w:rPr>
          <w:rFonts w:hint="cs"/>
          <w:b/>
          <w:bCs/>
          <w:sz w:val="20"/>
          <w:szCs w:val="20"/>
          <w:rtl/>
        </w:rPr>
        <w:t>הש"ך</w:t>
      </w:r>
      <w:r>
        <w:rPr>
          <w:rFonts w:hint="cs"/>
          <w:sz w:val="20"/>
          <w:szCs w:val="20"/>
          <w:rtl/>
        </w:rPr>
        <w:t xml:space="preserve"> תמוהים, שהרי אין מביאים את הכלה אצל החתן עד הלילה ואם כן אי אפשר לבוא לידי בעילת זבה. ואמנם, יש להקל רק באופן שהחופה מתקיימת לאחר צאת הכוכבים, אך אין לכנוס לחופה מבעוד יום ולסמוך על כך שמתייחדים רק בלילה</w:t>
      </w:r>
      <w:r>
        <w:rPr>
          <w:rStyle w:val="a5"/>
          <w:sz w:val="20"/>
          <w:szCs w:val="20"/>
          <w:rtl/>
        </w:rPr>
        <w:footnoteReference w:id="584"/>
      </w:r>
      <w:r>
        <w:rPr>
          <w:rFonts w:hint="cs"/>
          <w:sz w:val="20"/>
          <w:szCs w:val="20"/>
          <w:rtl/>
        </w:rPr>
        <w:t>.</w:t>
      </w:r>
    </w:p>
    <w:p w:rsidR="00620060" w:rsidRDefault="00620060" w:rsidP="00620060">
      <w:pPr>
        <w:rPr>
          <w:sz w:val="20"/>
          <w:szCs w:val="20"/>
          <w:rtl/>
        </w:rPr>
      </w:pPr>
      <w:r w:rsidRPr="007F3BB0">
        <w:rPr>
          <w:rFonts w:hint="cs"/>
          <w:b/>
          <w:bCs/>
          <w:sz w:val="20"/>
          <w:szCs w:val="20"/>
          <w:rtl/>
        </w:rPr>
        <w:t>סיכום</w:t>
      </w:r>
      <w:r>
        <w:rPr>
          <w:sz w:val="20"/>
          <w:szCs w:val="20"/>
          <w:rtl/>
        </w:rPr>
        <w:br/>
      </w:r>
      <w:r>
        <w:rPr>
          <w:rFonts w:hint="cs"/>
          <w:sz w:val="20"/>
          <w:szCs w:val="20"/>
          <w:rtl/>
        </w:rPr>
        <w:t>1.</w:t>
      </w:r>
      <w:r w:rsidRPr="004C103A">
        <w:rPr>
          <w:rFonts w:hint="cs"/>
          <w:sz w:val="20"/>
          <w:szCs w:val="20"/>
          <w:rtl/>
        </w:rPr>
        <w:t xml:space="preserve"> דין נידה. מדאורייתא מותרת לטבול ממוצאי ז' ואילך. </w:t>
      </w:r>
      <w:r w:rsidRPr="004C103A">
        <w:rPr>
          <w:rFonts w:hint="cs"/>
          <w:b/>
          <w:bCs/>
          <w:sz w:val="20"/>
          <w:szCs w:val="20"/>
          <w:rtl/>
        </w:rPr>
        <w:t>גמרא</w:t>
      </w:r>
      <w:r w:rsidRPr="004C103A">
        <w:rPr>
          <w:rFonts w:hint="cs"/>
          <w:sz w:val="20"/>
          <w:szCs w:val="20"/>
          <w:rtl/>
        </w:rPr>
        <w:t xml:space="preserve">. גזרו חכמים שנידה לא תטבול ביום, אפילו בח'. </w:t>
      </w:r>
      <w:r w:rsidRPr="004C103A">
        <w:rPr>
          <w:rFonts w:hint="cs"/>
          <w:b/>
          <w:bCs/>
          <w:sz w:val="20"/>
          <w:szCs w:val="20"/>
          <w:rtl/>
        </w:rPr>
        <w:lastRenderedPageBreak/>
        <w:t>טעם</w:t>
      </w:r>
      <w:r w:rsidRPr="004C103A">
        <w:rPr>
          <w:rFonts w:hint="cs"/>
          <w:sz w:val="20"/>
          <w:szCs w:val="20"/>
          <w:rtl/>
        </w:rPr>
        <w:t>. משום סרך בתה שתחשוב שאמה טבלה ביום ז' ותטבול כן אף היא.</w:t>
      </w:r>
      <w:r w:rsidRPr="004C103A">
        <w:rPr>
          <w:sz w:val="20"/>
          <w:szCs w:val="20"/>
          <w:rtl/>
        </w:rPr>
        <w:br/>
      </w:r>
      <w:r w:rsidRPr="004C103A">
        <w:rPr>
          <w:rFonts w:hint="cs"/>
          <w:sz w:val="20"/>
          <w:szCs w:val="20"/>
          <w:rtl/>
        </w:rPr>
        <w:t xml:space="preserve">2. דין זבה. מדאורייתא טובלת ביום ז' ומותרת בערב לבעלה. </w:t>
      </w:r>
      <w:r w:rsidRPr="004C103A">
        <w:rPr>
          <w:rFonts w:hint="cs"/>
          <w:b/>
          <w:bCs/>
          <w:sz w:val="20"/>
          <w:szCs w:val="20"/>
          <w:rtl/>
        </w:rPr>
        <w:t>גמרא</w:t>
      </w:r>
      <w:r w:rsidRPr="004C103A">
        <w:rPr>
          <w:rFonts w:hint="cs"/>
          <w:sz w:val="20"/>
          <w:szCs w:val="20"/>
          <w:rtl/>
        </w:rPr>
        <w:t xml:space="preserve">. חכמים גזרו על יום ז'. </w:t>
      </w:r>
      <w:r w:rsidRPr="004C103A">
        <w:rPr>
          <w:rFonts w:hint="cs"/>
          <w:b/>
          <w:bCs/>
          <w:sz w:val="20"/>
          <w:szCs w:val="20"/>
          <w:rtl/>
        </w:rPr>
        <w:t>טעם</w:t>
      </w:r>
      <w:r w:rsidRPr="004C103A">
        <w:rPr>
          <w:rFonts w:hint="cs"/>
          <w:sz w:val="20"/>
          <w:szCs w:val="20"/>
          <w:rtl/>
        </w:rPr>
        <w:t xml:space="preserve">. חשש שמא תראה ותסתור מניינה. </w:t>
      </w:r>
      <w:r w:rsidRPr="004C103A">
        <w:rPr>
          <w:rFonts w:hint="cs"/>
          <w:b/>
          <w:bCs/>
          <w:sz w:val="20"/>
          <w:szCs w:val="20"/>
          <w:rtl/>
        </w:rPr>
        <w:t>רש"י</w:t>
      </w:r>
      <w:r w:rsidRPr="004C103A">
        <w:rPr>
          <w:rFonts w:hint="cs"/>
          <w:sz w:val="20"/>
          <w:szCs w:val="20"/>
          <w:rtl/>
        </w:rPr>
        <w:t xml:space="preserve">, רוב הראשונים, וכן דעת </w:t>
      </w:r>
      <w:r w:rsidRPr="004C103A">
        <w:rPr>
          <w:rFonts w:hint="cs"/>
          <w:b/>
          <w:bCs/>
          <w:sz w:val="20"/>
          <w:szCs w:val="20"/>
          <w:rtl/>
        </w:rPr>
        <w:t>הב"י</w:t>
      </w:r>
      <w:r w:rsidRPr="004C103A">
        <w:rPr>
          <w:rFonts w:hint="cs"/>
          <w:sz w:val="20"/>
          <w:szCs w:val="20"/>
          <w:rtl/>
        </w:rPr>
        <w:t xml:space="preserve">. חכמים אסרו לטבול ביום ז' שמא תשמש ותראה ותסתור, ונמצא </w:t>
      </w:r>
      <w:r>
        <w:rPr>
          <w:rFonts w:hint="cs"/>
          <w:sz w:val="20"/>
          <w:szCs w:val="20"/>
          <w:rtl/>
        </w:rPr>
        <w:t>ש</w:t>
      </w:r>
      <w:r w:rsidRPr="004C103A">
        <w:rPr>
          <w:rFonts w:hint="cs"/>
          <w:sz w:val="20"/>
          <w:szCs w:val="20"/>
          <w:rtl/>
        </w:rPr>
        <w:t xml:space="preserve">שימשו בזוב. </w:t>
      </w:r>
      <w:r w:rsidRPr="004C103A">
        <w:rPr>
          <w:rFonts w:hint="cs"/>
          <w:b/>
          <w:bCs/>
          <w:sz w:val="20"/>
          <w:szCs w:val="20"/>
          <w:rtl/>
        </w:rPr>
        <w:t>רז"ה</w:t>
      </w:r>
      <w:r w:rsidRPr="004C103A">
        <w:rPr>
          <w:rFonts w:hint="cs"/>
          <w:sz w:val="20"/>
          <w:szCs w:val="20"/>
          <w:rtl/>
        </w:rPr>
        <w:t>. חכמים אסור לשמש ביום ז' מפני החשש הנ"ל, מותר לטבול.</w:t>
      </w:r>
      <w:r w:rsidRPr="004C103A">
        <w:rPr>
          <w:sz w:val="20"/>
          <w:szCs w:val="20"/>
          <w:rtl/>
        </w:rPr>
        <w:br/>
      </w:r>
      <w:r w:rsidRPr="004C103A">
        <w:rPr>
          <w:rFonts w:hint="cs"/>
          <w:sz w:val="20"/>
          <w:szCs w:val="20"/>
          <w:rtl/>
        </w:rPr>
        <w:t xml:space="preserve">3. דין נידה של זמנינו. </w:t>
      </w:r>
      <w:r w:rsidRPr="004C103A">
        <w:rPr>
          <w:rFonts w:hint="cs"/>
          <w:b/>
          <w:bCs/>
          <w:sz w:val="20"/>
          <w:szCs w:val="20"/>
          <w:rtl/>
        </w:rPr>
        <w:t>ראבי"ה</w:t>
      </w:r>
      <w:r w:rsidRPr="004C103A">
        <w:rPr>
          <w:rFonts w:hint="cs"/>
          <w:sz w:val="20"/>
          <w:szCs w:val="20"/>
          <w:rtl/>
        </w:rPr>
        <w:t xml:space="preserve">. מותר לטבול ביום ח'. </w:t>
      </w:r>
      <w:r w:rsidRPr="004C103A">
        <w:rPr>
          <w:rFonts w:hint="cs"/>
          <w:b/>
          <w:bCs/>
          <w:sz w:val="20"/>
          <w:szCs w:val="20"/>
          <w:rtl/>
        </w:rPr>
        <w:t>טעם</w:t>
      </w:r>
      <w:r w:rsidRPr="004C103A">
        <w:rPr>
          <w:rFonts w:hint="cs"/>
          <w:sz w:val="20"/>
          <w:szCs w:val="20"/>
          <w:rtl/>
        </w:rPr>
        <w:t xml:space="preserve">. גם אם בתה תטבול ביום ז' עדיין אין בכך מכשול גדול </w:t>
      </w:r>
      <w:r w:rsidRPr="004C103A">
        <w:rPr>
          <w:rFonts w:hint="cs"/>
          <w:sz w:val="18"/>
          <w:szCs w:val="18"/>
          <w:rtl/>
        </w:rPr>
        <w:t xml:space="preserve">(קרי </w:t>
      </w:r>
      <w:r w:rsidRPr="004C103A">
        <w:rPr>
          <w:sz w:val="18"/>
          <w:szCs w:val="18"/>
          <w:rtl/>
        </w:rPr>
        <w:t>–</w:t>
      </w:r>
      <w:r w:rsidRPr="004C103A">
        <w:rPr>
          <w:rFonts w:hint="cs"/>
          <w:sz w:val="18"/>
          <w:szCs w:val="18"/>
          <w:rtl/>
        </w:rPr>
        <w:t xml:space="preserve"> סרך בתה שייך רק בנידה אך לא בזבה)</w:t>
      </w:r>
      <w:r w:rsidRPr="004C103A">
        <w:rPr>
          <w:rFonts w:hint="cs"/>
          <w:sz w:val="20"/>
          <w:szCs w:val="20"/>
          <w:rtl/>
        </w:rPr>
        <w:t xml:space="preserve">. </w:t>
      </w:r>
      <w:r w:rsidRPr="004C103A">
        <w:rPr>
          <w:rFonts w:hint="cs"/>
          <w:b/>
          <w:bCs/>
          <w:sz w:val="20"/>
          <w:szCs w:val="20"/>
          <w:rtl/>
        </w:rPr>
        <w:t>תוספות</w:t>
      </w:r>
      <w:r w:rsidRPr="004C103A">
        <w:rPr>
          <w:rFonts w:hint="cs"/>
          <w:sz w:val="20"/>
          <w:szCs w:val="20"/>
          <w:rtl/>
        </w:rPr>
        <w:t xml:space="preserve"> ורוב הראשונים. גם בנידה דידן שייך גזרת סרך בתה, וכן מוכח בגמרא, וכ"פ </w:t>
      </w:r>
      <w:r w:rsidRPr="004C103A">
        <w:rPr>
          <w:rFonts w:hint="cs"/>
          <w:b/>
          <w:bCs/>
          <w:sz w:val="20"/>
          <w:szCs w:val="20"/>
          <w:rtl/>
        </w:rPr>
        <w:t>המחבר</w:t>
      </w:r>
      <w:r w:rsidRPr="004C103A">
        <w:rPr>
          <w:rFonts w:hint="cs"/>
          <w:sz w:val="20"/>
          <w:szCs w:val="20"/>
          <w:rtl/>
        </w:rPr>
        <w:t>.</w:t>
      </w:r>
      <w:r w:rsidRPr="004C103A">
        <w:rPr>
          <w:sz w:val="20"/>
          <w:szCs w:val="20"/>
          <w:rtl/>
        </w:rPr>
        <w:br/>
      </w:r>
      <w:r w:rsidRPr="004C103A">
        <w:rPr>
          <w:rFonts w:hint="cs"/>
          <w:sz w:val="20"/>
          <w:szCs w:val="20"/>
          <w:rtl/>
        </w:rPr>
        <w:t xml:space="preserve">4. </w:t>
      </w:r>
      <w:r w:rsidRPr="004C103A">
        <w:rPr>
          <w:rFonts w:hint="cs"/>
          <w:b/>
          <w:bCs/>
          <w:sz w:val="20"/>
          <w:szCs w:val="20"/>
          <w:rtl/>
        </w:rPr>
        <w:t>מחבר</w:t>
      </w:r>
      <w:r w:rsidRPr="004C103A">
        <w:rPr>
          <w:rFonts w:hint="cs"/>
          <w:sz w:val="20"/>
          <w:szCs w:val="20"/>
          <w:rtl/>
        </w:rPr>
        <w:t>. אין לטבול ביום, מפני חשש סרך בתה. כדעת רוב הראשונים שגם בזבה שייך סרך בתה.</w:t>
      </w:r>
      <w:r w:rsidRPr="004C103A">
        <w:rPr>
          <w:sz w:val="20"/>
          <w:szCs w:val="20"/>
          <w:rtl/>
        </w:rPr>
        <w:br/>
      </w:r>
      <w:r w:rsidRPr="004C103A">
        <w:rPr>
          <w:rFonts w:hint="cs"/>
          <w:sz w:val="20"/>
          <w:szCs w:val="20"/>
          <w:rtl/>
        </w:rPr>
        <w:t xml:space="preserve">5. </w:t>
      </w:r>
      <w:r w:rsidRPr="004C103A">
        <w:rPr>
          <w:rFonts w:hint="cs"/>
          <w:b/>
          <w:bCs/>
          <w:sz w:val="20"/>
          <w:szCs w:val="20"/>
          <w:rtl/>
        </w:rPr>
        <w:t>ר"ת</w:t>
      </w:r>
      <w:r w:rsidRPr="004C103A">
        <w:rPr>
          <w:rFonts w:hint="cs"/>
          <w:sz w:val="20"/>
          <w:szCs w:val="20"/>
          <w:rtl/>
        </w:rPr>
        <w:t xml:space="preserve">. מותר לנידה לטבול בעוד יום ובלבד שתחזור לביתה משחשיכה. </w:t>
      </w:r>
      <w:r w:rsidRPr="004C103A">
        <w:rPr>
          <w:rFonts w:hint="cs"/>
          <w:b/>
          <w:bCs/>
          <w:sz w:val="20"/>
          <w:szCs w:val="20"/>
          <w:rtl/>
        </w:rPr>
        <w:t>טעם</w:t>
      </w:r>
      <w:r w:rsidRPr="004C103A">
        <w:rPr>
          <w:rFonts w:hint="cs"/>
          <w:sz w:val="20"/>
          <w:szCs w:val="20"/>
          <w:rtl/>
        </w:rPr>
        <w:t xml:space="preserve">. בכה"ג הבת לא תטעה. </w:t>
      </w:r>
      <w:r w:rsidRPr="004C103A">
        <w:rPr>
          <w:rFonts w:hint="cs"/>
          <w:b/>
          <w:bCs/>
          <w:sz w:val="20"/>
          <w:szCs w:val="20"/>
          <w:rtl/>
        </w:rPr>
        <w:t>רשב"ם</w:t>
      </w:r>
      <w:r w:rsidRPr="004C103A">
        <w:rPr>
          <w:rFonts w:hint="cs"/>
          <w:sz w:val="20"/>
          <w:szCs w:val="20"/>
          <w:rtl/>
        </w:rPr>
        <w:t xml:space="preserve">. אין לטבול ביום בכל אופן. </w:t>
      </w:r>
      <w:r w:rsidRPr="004C103A">
        <w:rPr>
          <w:rFonts w:hint="cs"/>
          <w:b/>
          <w:bCs/>
          <w:sz w:val="20"/>
          <w:szCs w:val="20"/>
          <w:rtl/>
        </w:rPr>
        <w:t>טעם</w:t>
      </w:r>
      <w:r w:rsidRPr="004C103A">
        <w:rPr>
          <w:rFonts w:hint="cs"/>
          <w:sz w:val="20"/>
          <w:szCs w:val="20"/>
          <w:rtl/>
        </w:rPr>
        <w:t>. הבת תשער שיעור ההליכה למקווה ותדע שאמה טבלה ביום.</w:t>
      </w:r>
      <w:r w:rsidRPr="004C103A">
        <w:rPr>
          <w:rFonts w:hint="cs"/>
          <w:sz w:val="20"/>
          <w:szCs w:val="20"/>
          <w:rtl/>
        </w:rPr>
        <w:br/>
        <w:t>6. דיון בדעת רשב"ם.</w:t>
      </w:r>
      <w:r>
        <w:rPr>
          <w:rFonts w:hint="cs"/>
          <w:sz w:val="20"/>
          <w:szCs w:val="20"/>
          <w:rtl/>
        </w:rPr>
        <w:t xml:space="preserve"> </w:t>
      </w:r>
      <w:r w:rsidRPr="007F3BB0">
        <w:rPr>
          <w:rFonts w:hint="cs"/>
          <w:b/>
          <w:bCs/>
          <w:sz w:val="20"/>
          <w:szCs w:val="20"/>
          <w:rtl/>
        </w:rPr>
        <w:t>מרדכי וסמ"ג</w:t>
      </w:r>
      <w:r>
        <w:rPr>
          <w:rFonts w:hint="cs"/>
          <w:sz w:val="20"/>
          <w:szCs w:val="20"/>
          <w:rtl/>
        </w:rPr>
        <w:t xml:space="preserve">. צריכה לצאת מביתה למקווה רק משחשיכה, וכ"פ </w:t>
      </w:r>
      <w:r w:rsidRPr="007F3BB0">
        <w:rPr>
          <w:rFonts w:hint="cs"/>
          <w:b/>
          <w:bCs/>
          <w:sz w:val="20"/>
          <w:szCs w:val="20"/>
          <w:rtl/>
        </w:rPr>
        <w:t>הב"ח</w:t>
      </w:r>
      <w:r>
        <w:rPr>
          <w:rFonts w:hint="cs"/>
          <w:sz w:val="20"/>
          <w:szCs w:val="20"/>
          <w:rtl/>
        </w:rPr>
        <w:t xml:space="preserve">. </w:t>
      </w:r>
      <w:r w:rsidRPr="007F3BB0">
        <w:rPr>
          <w:rFonts w:hint="cs"/>
          <w:b/>
          <w:bCs/>
          <w:sz w:val="20"/>
          <w:szCs w:val="20"/>
          <w:rtl/>
        </w:rPr>
        <w:t>טעם</w:t>
      </w:r>
      <w:r>
        <w:rPr>
          <w:rFonts w:hint="cs"/>
          <w:sz w:val="20"/>
          <w:szCs w:val="20"/>
          <w:rtl/>
        </w:rPr>
        <w:t xml:space="preserve">. אם תצא מוקדם, הבת תטעה שמותר לטבול ביום, אך אם יש מרחץ במקווה מותר לצאת לפני חשיכה, משום שהבת יודעת שאמה רוחצת, </w:t>
      </w:r>
      <w:r w:rsidRPr="007F3BB0">
        <w:rPr>
          <w:rFonts w:hint="cs"/>
          <w:b/>
          <w:bCs/>
          <w:sz w:val="20"/>
          <w:szCs w:val="20"/>
          <w:rtl/>
        </w:rPr>
        <w:t>ש"ך</w:t>
      </w:r>
      <w:r>
        <w:rPr>
          <w:rFonts w:hint="cs"/>
          <w:sz w:val="20"/>
          <w:szCs w:val="20"/>
          <w:rtl/>
        </w:rPr>
        <w:t xml:space="preserve">. </w:t>
      </w:r>
      <w:r w:rsidRPr="007F3BB0">
        <w:rPr>
          <w:rFonts w:hint="cs"/>
          <w:b/>
          <w:bCs/>
          <w:sz w:val="20"/>
          <w:szCs w:val="20"/>
          <w:rtl/>
        </w:rPr>
        <w:t>רא"ש</w:t>
      </w:r>
      <w:r>
        <w:rPr>
          <w:rFonts w:hint="cs"/>
          <w:sz w:val="20"/>
          <w:szCs w:val="20"/>
          <w:rtl/>
        </w:rPr>
        <w:t>. מותר לצאת מביתה לפני חשיכה.</w:t>
      </w:r>
      <w:r>
        <w:rPr>
          <w:rFonts w:hint="cs"/>
          <w:sz w:val="20"/>
          <w:szCs w:val="20"/>
          <w:rtl/>
        </w:rPr>
        <w:br/>
        <w:t xml:space="preserve">7. </w:t>
      </w:r>
      <w:r w:rsidRPr="005A5F4E">
        <w:rPr>
          <w:rFonts w:hint="cs"/>
          <w:b/>
          <w:bCs/>
          <w:sz w:val="20"/>
          <w:szCs w:val="20"/>
          <w:rtl/>
        </w:rPr>
        <w:t>סד"ט וחת"ס</w:t>
      </w:r>
      <w:r>
        <w:rPr>
          <w:rFonts w:hint="cs"/>
          <w:sz w:val="20"/>
          <w:szCs w:val="20"/>
          <w:rtl/>
        </w:rPr>
        <w:t xml:space="preserve">. בשעת הדחק, כגון במקום ביטול מצוות עונה, יש להקל </w:t>
      </w:r>
      <w:r w:rsidRPr="005A5F4E">
        <w:rPr>
          <w:rFonts w:hint="cs"/>
          <w:b/>
          <w:bCs/>
          <w:sz w:val="20"/>
          <w:szCs w:val="20"/>
          <w:rtl/>
        </w:rPr>
        <w:t xml:space="preserve">כר"ת </w:t>
      </w:r>
      <w:r>
        <w:rPr>
          <w:rFonts w:hint="cs"/>
          <w:sz w:val="20"/>
          <w:szCs w:val="20"/>
          <w:rtl/>
        </w:rPr>
        <w:t xml:space="preserve">ולהתיר טבילה ביום ז' ותשוב לביתה משחשיכה. והנוהגת </w:t>
      </w:r>
      <w:r w:rsidRPr="005A5F4E">
        <w:rPr>
          <w:rFonts w:hint="cs"/>
          <w:b/>
          <w:bCs/>
          <w:sz w:val="20"/>
          <w:szCs w:val="20"/>
          <w:rtl/>
        </w:rPr>
        <w:t>כרמ"א</w:t>
      </w:r>
      <w:r>
        <w:rPr>
          <w:rFonts w:hint="cs"/>
          <w:sz w:val="20"/>
          <w:szCs w:val="20"/>
          <w:rtl/>
        </w:rPr>
        <w:t xml:space="preserve"> יכולה לעשות הפס"ט נוסף ביום ד' לראייתה וכך להקדים טבילתה ביום.</w:t>
      </w:r>
      <w:r>
        <w:rPr>
          <w:sz w:val="20"/>
          <w:szCs w:val="20"/>
          <w:rtl/>
        </w:rPr>
        <w:br/>
      </w:r>
      <w:r>
        <w:rPr>
          <w:rFonts w:hint="cs"/>
          <w:sz w:val="20"/>
          <w:szCs w:val="20"/>
          <w:rtl/>
        </w:rPr>
        <w:t xml:space="preserve">7. </w:t>
      </w:r>
      <w:r w:rsidRPr="007F3BB0">
        <w:rPr>
          <w:rFonts w:hint="cs"/>
          <w:b/>
          <w:bCs/>
          <w:sz w:val="20"/>
          <w:szCs w:val="20"/>
          <w:rtl/>
        </w:rPr>
        <w:t>ש"ך</w:t>
      </w:r>
      <w:r>
        <w:rPr>
          <w:rFonts w:hint="cs"/>
          <w:sz w:val="20"/>
          <w:szCs w:val="20"/>
          <w:rtl/>
        </w:rPr>
        <w:t xml:space="preserve">. גם באשה שאין לה בת גזרו חכמים. </w:t>
      </w:r>
      <w:r w:rsidRPr="007F3BB0">
        <w:rPr>
          <w:rFonts w:hint="cs"/>
          <w:b/>
          <w:bCs/>
          <w:sz w:val="20"/>
          <w:szCs w:val="20"/>
          <w:rtl/>
        </w:rPr>
        <w:t>טעם</w:t>
      </w:r>
      <w:r>
        <w:rPr>
          <w:rFonts w:hint="cs"/>
          <w:sz w:val="20"/>
          <w:szCs w:val="20"/>
          <w:rtl/>
        </w:rPr>
        <w:t>. לא פלוג.</w:t>
      </w:r>
      <w:r>
        <w:rPr>
          <w:sz w:val="20"/>
          <w:szCs w:val="20"/>
          <w:rtl/>
        </w:rPr>
        <w:br/>
      </w:r>
      <w:r>
        <w:rPr>
          <w:rFonts w:hint="cs"/>
          <w:sz w:val="20"/>
          <w:szCs w:val="20"/>
          <w:rtl/>
        </w:rPr>
        <w:t xml:space="preserve">8. טבלה והתברר שצריכה לטבול שנית, האם יש סרך בתה בכך שתטבול ביום וכן האם יש סרך בתה במה שאינה סופרת ז"נ? </w:t>
      </w:r>
      <w:r w:rsidRPr="007F3BB0">
        <w:rPr>
          <w:rFonts w:hint="cs"/>
          <w:b/>
          <w:bCs/>
          <w:sz w:val="20"/>
          <w:szCs w:val="20"/>
          <w:rtl/>
        </w:rPr>
        <w:t>ש"ך</w:t>
      </w:r>
      <w:r>
        <w:rPr>
          <w:rFonts w:hint="cs"/>
          <w:sz w:val="20"/>
          <w:szCs w:val="20"/>
          <w:rtl/>
        </w:rPr>
        <w:t>. לכתחילה לא תטבול ביום, בדיעבד מותר. לגבי ז"נ אין חשש סרך בתה.</w:t>
      </w:r>
      <w:r>
        <w:rPr>
          <w:sz w:val="20"/>
          <w:szCs w:val="20"/>
          <w:rtl/>
        </w:rPr>
        <w:br/>
      </w:r>
      <w:r>
        <w:rPr>
          <w:rFonts w:hint="cs"/>
          <w:sz w:val="20"/>
          <w:szCs w:val="20"/>
          <w:rtl/>
        </w:rPr>
        <w:t xml:space="preserve">9. </w:t>
      </w:r>
      <w:r w:rsidRPr="007F3BB0">
        <w:rPr>
          <w:rFonts w:hint="cs"/>
          <w:b/>
          <w:bCs/>
          <w:sz w:val="20"/>
          <w:szCs w:val="20"/>
          <w:rtl/>
        </w:rPr>
        <w:t>רמ"א</w:t>
      </w:r>
      <w:r>
        <w:rPr>
          <w:rFonts w:hint="cs"/>
          <w:sz w:val="20"/>
          <w:szCs w:val="20"/>
          <w:rtl/>
        </w:rPr>
        <w:t xml:space="preserve">. כלה יכולה לטבול ביום. </w:t>
      </w:r>
      <w:r w:rsidRPr="007F3BB0">
        <w:rPr>
          <w:rFonts w:hint="cs"/>
          <w:b/>
          <w:bCs/>
          <w:sz w:val="20"/>
          <w:szCs w:val="20"/>
          <w:rtl/>
        </w:rPr>
        <w:t>טעם</w:t>
      </w:r>
      <w:r>
        <w:rPr>
          <w:rFonts w:hint="cs"/>
          <w:sz w:val="20"/>
          <w:szCs w:val="20"/>
          <w:rtl/>
        </w:rPr>
        <w:t xml:space="preserve">. באה אל החתן רק בלילה. </w:t>
      </w:r>
      <w:r>
        <w:rPr>
          <w:rFonts w:hint="cs"/>
          <w:b/>
          <w:bCs/>
          <w:sz w:val="20"/>
          <w:szCs w:val="20"/>
          <w:rtl/>
        </w:rPr>
        <w:t>ש"ך</w:t>
      </w:r>
      <w:r>
        <w:rPr>
          <w:rFonts w:hint="cs"/>
          <w:sz w:val="20"/>
          <w:szCs w:val="20"/>
          <w:rtl/>
        </w:rPr>
        <w:t xml:space="preserve">. גם לכלה אסור לטבול ביום ז'. </w:t>
      </w:r>
      <w:r>
        <w:rPr>
          <w:b/>
          <w:bCs/>
          <w:sz w:val="20"/>
          <w:szCs w:val="20"/>
          <w:rtl/>
        </w:rPr>
        <w:br/>
      </w:r>
      <w:r w:rsidRPr="007F3BB0">
        <w:rPr>
          <w:rFonts w:hint="cs"/>
          <w:b/>
          <w:bCs/>
          <w:sz w:val="20"/>
          <w:szCs w:val="20"/>
          <w:rtl/>
        </w:rPr>
        <w:t>טעם</w:t>
      </w:r>
      <w:r>
        <w:rPr>
          <w:rFonts w:hint="cs"/>
          <w:sz w:val="20"/>
          <w:szCs w:val="20"/>
          <w:rtl/>
        </w:rPr>
        <w:t xml:space="preserve">. שמא תראה ותסתור. </w:t>
      </w:r>
      <w:r w:rsidRPr="007F3BB0">
        <w:rPr>
          <w:rFonts w:hint="cs"/>
          <w:b/>
          <w:bCs/>
          <w:sz w:val="20"/>
          <w:szCs w:val="20"/>
          <w:rtl/>
        </w:rPr>
        <w:t>דגמ"ר</w:t>
      </w:r>
      <w:r>
        <w:rPr>
          <w:rFonts w:hint="cs"/>
          <w:sz w:val="20"/>
          <w:szCs w:val="20"/>
          <w:rtl/>
        </w:rPr>
        <w:t xml:space="preserve">. מותר לכלה לטבול ביום ז'. </w:t>
      </w:r>
      <w:r w:rsidRPr="007F3BB0">
        <w:rPr>
          <w:rFonts w:hint="cs"/>
          <w:b/>
          <w:bCs/>
          <w:sz w:val="20"/>
          <w:szCs w:val="20"/>
          <w:rtl/>
        </w:rPr>
        <w:t>טעם</w:t>
      </w:r>
      <w:r>
        <w:rPr>
          <w:rFonts w:hint="cs"/>
          <w:sz w:val="20"/>
          <w:szCs w:val="20"/>
          <w:rtl/>
        </w:rPr>
        <w:t xml:space="preserve">. היא מגיעה לחתן רק בלילה, ולכן אין כלל חשש, ודברי </w:t>
      </w:r>
      <w:r w:rsidRPr="007F3BB0">
        <w:rPr>
          <w:rFonts w:hint="cs"/>
          <w:b/>
          <w:bCs/>
          <w:sz w:val="20"/>
          <w:szCs w:val="20"/>
          <w:rtl/>
        </w:rPr>
        <w:t>ה</w:t>
      </w:r>
      <w:r>
        <w:rPr>
          <w:rFonts w:hint="cs"/>
          <w:b/>
          <w:bCs/>
          <w:sz w:val="20"/>
          <w:szCs w:val="20"/>
          <w:rtl/>
        </w:rPr>
        <w:t>ש"ך</w:t>
      </w:r>
      <w:r>
        <w:rPr>
          <w:rFonts w:hint="cs"/>
          <w:sz w:val="20"/>
          <w:szCs w:val="20"/>
          <w:rtl/>
        </w:rPr>
        <w:t xml:space="preserve"> תמוהים. אמנם, יש להקפיד במקרה זה שהחופה תהיה רק משחשיכה ולא לפני כן.</w:t>
      </w:r>
    </w:p>
    <w:p w:rsidR="00620060" w:rsidRDefault="00620060" w:rsidP="00620060">
      <w:pPr>
        <w:rPr>
          <w:sz w:val="20"/>
          <w:szCs w:val="20"/>
          <w:rtl/>
        </w:rPr>
      </w:pPr>
      <w:r>
        <w:rPr>
          <w:sz w:val="20"/>
          <w:szCs w:val="20"/>
          <w:rtl/>
        </w:rPr>
        <w:br/>
      </w:r>
      <w:r>
        <w:rPr>
          <w:rFonts w:hint="cs"/>
          <w:b/>
          <w:bCs/>
          <w:sz w:val="20"/>
          <w:szCs w:val="20"/>
          <w:rtl/>
        </w:rPr>
        <w:t xml:space="preserve">סעיף ד </w:t>
      </w:r>
      <w:r>
        <w:rPr>
          <w:b/>
          <w:bCs/>
          <w:sz w:val="20"/>
          <w:szCs w:val="20"/>
          <w:rtl/>
        </w:rPr>
        <w:t>–</w:t>
      </w:r>
      <w:r>
        <w:rPr>
          <w:rFonts w:hint="cs"/>
          <w:b/>
          <w:bCs/>
          <w:sz w:val="20"/>
          <w:szCs w:val="20"/>
          <w:rtl/>
        </w:rPr>
        <w:t xml:space="preserve"> טבילה ביום השמיני </w:t>
      </w:r>
      <w:r>
        <w:rPr>
          <w:b/>
          <w:bCs/>
          <w:sz w:val="20"/>
          <w:szCs w:val="20"/>
          <w:rtl/>
        </w:rPr>
        <w:br/>
      </w:r>
      <w:r>
        <w:rPr>
          <w:rFonts w:hint="cs"/>
          <w:b/>
          <w:bCs/>
          <w:sz w:val="20"/>
          <w:szCs w:val="20"/>
          <w:rtl/>
        </w:rPr>
        <w:t xml:space="preserve">טבילה ביום השמיני </w:t>
      </w:r>
      <w:r>
        <w:rPr>
          <w:b/>
          <w:bCs/>
          <w:sz w:val="20"/>
          <w:szCs w:val="20"/>
          <w:rtl/>
        </w:rPr>
        <w:t>–</w:t>
      </w:r>
      <w:r>
        <w:rPr>
          <w:rFonts w:hint="cs"/>
          <w:b/>
          <w:bCs/>
          <w:sz w:val="20"/>
          <w:szCs w:val="20"/>
          <w:rtl/>
        </w:rPr>
        <w:t xml:space="preserve"> מקור הדין</w:t>
      </w:r>
      <w:r>
        <w:rPr>
          <w:b/>
          <w:bCs/>
          <w:sz w:val="20"/>
          <w:szCs w:val="20"/>
          <w:rtl/>
        </w:rPr>
        <w:br/>
      </w:r>
      <w:r>
        <w:rPr>
          <w:rFonts w:hint="cs"/>
          <w:b/>
          <w:bCs/>
          <w:sz w:val="20"/>
          <w:szCs w:val="20"/>
          <w:rtl/>
        </w:rPr>
        <w:t xml:space="preserve">גמרא </w:t>
      </w:r>
      <w:r>
        <w:rPr>
          <w:rFonts w:hint="cs"/>
          <w:sz w:val="20"/>
          <w:szCs w:val="20"/>
          <w:rtl/>
        </w:rPr>
        <w:t>נידה (סז:) "</w:t>
      </w:r>
      <w:r w:rsidRPr="00715361">
        <w:rPr>
          <w:rFonts w:cs="Arial"/>
          <w:sz w:val="20"/>
          <w:szCs w:val="20"/>
          <w:rtl/>
        </w:rPr>
        <w:t>אתקין רב אידי בנרש למטבל ביומא דתמניא, משום אריותא. רב אחא בר יעקב בפפוניא משום גנבי. רב יהודה בפומבדיתא מ</w:t>
      </w:r>
      <w:r>
        <w:rPr>
          <w:rFonts w:cs="Arial"/>
          <w:sz w:val="20"/>
          <w:szCs w:val="20"/>
          <w:rtl/>
        </w:rPr>
        <w:t>שום צנה. רבא במחוזא משום אבולאי</w:t>
      </w:r>
      <w:r>
        <w:rPr>
          <w:rFonts w:cs="Arial" w:hint="cs"/>
          <w:sz w:val="20"/>
          <w:szCs w:val="20"/>
          <w:rtl/>
        </w:rPr>
        <w:t xml:space="preserve"> </w:t>
      </w:r>
      <w:r w:rsidRPr="00715361">
        <w:rPr>
          <w:rFonts w:cs="Arial" w:hint="cs"/>
          <w:sz w:val="18"/>
          <w:szCs w:val="18"/>
          <w:rtl/>
        </w:rPr>
        <w:t>(שוערי העיר שהיו גויים)</w:t>
      </w:r>
      <w:r>
        <w:rPr>
          <w:rFonts w:cs="Arial" w:hint="cs"/>
          <w:sz w:val="20"/>
          <w:szCs w:val="20"/>
          <w:rtl/>
        </w:rPr>
        <w:t>".</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715361">
        <w:rPr>
          <w:rFonts w:cs="Arial"/>
          <w:sz w:val="20"/>
          <w:szCs w:val="20"/>
          <w:rtl/>
        </w:rPr>
        <w:t>היכא דאיכא אונס, כגון שיראה לטבול בלילה מחמת צינה או פחד גנבים וכיוצא בו, או שסוגרין שערי העיר, יכולה לטבול בשמיני מבעוד יום; אבל בשביעי לא תטבו</w:t>
      </w:r>
      <w:r>
        <w:rPr>
          <w:rFonts w:cs="Arial"/>
          <w:sz w:val="20"/>
          <w:szCs w:val="20"/>
          <w:rtl/>
        </w:rPr>
        <w:t>ל מבעוד יום אף על גב דאיכא אונס</w:t>
      </w:r>
      <w:r>
        <w:rPr>
          <w:rFonts w:cs="Arial" w:hint="cs"/>
          <w:sz w:val="20"/>
          <w:szCs w:val="20"/>
          <w:rtl/>
        </w:rPr>
        <w:t>".</w:t>
      </w:r>
      <w:r>
        <w:rPr>
          <w:rFonts w:cs="Arial"/>
          <w:sz w:val="20"/>
          <w:szCs w:val="20"/>
          <w:rtl/>
        </w:rPr>
        <w:br/>
      </w:r>
      <w:r>
        <w:rPr>
          <w:rFonts w:cs="Arial" w:hint="cs"/>
          <w:sz w:val="20"/>
          <w:szCs w:val="20"/>
          <w:rtl/>
        </w:rPr>
        <w:t xml:space="preserve">מסביר </w:t>
      </w:r>
      <w:r w:rsidRPr="00715361">
        <w:rPr>
          <w:rFonts w:cs="Arial" w:hint="cs"/>
          <w:b/>
          <w:bCs/>
          <w:sz w:val="20"/>
          <w:szCs w:val="20"/>
          <w:rtl/>
        </w:rPr>
        <w:t>הבית יוסף</w:t>
      </w:r>
      <w:r>
        <w:rPr>
          <w:rFonts w:cs="Arial" w:hint="cs"/>
          <w:sz w:val="20"/>
          <w:szCs w:val="20"/>
          <w:rtl/>
        </w:rPr>
        <w:t xml:space="preserve"> </w:t>
      </w:r>
      <w:r>
        <w:rPr>
          <w:rFonts w:cs="Arial"/>
          <w:sz w:val="20"/>
          <w:szCs w:val="20"/>
          <w:rtl/>
        </w:rPr>
        <w:t>–</w:t>
      </w:r>
      <w:r>
        <w:rPr>
          <w:rFonts w:cs="Arial" w:hint="cs"/>
          <w:sz w:val="20"/>
          <w:szCs w:val="20"/>
          <w:rtl/>
        </w:rPr>
        <w:t xml:space="preserve"> מוכח בגמרא שביום השביעי אסור לה לטבול בכל אופן, שהרי האמוראים תיקנו שתטבול ביום השמיני מחמת אונס אך לא תיקנו שתטבול ביום השביעי.</w:t>
      </w:r>
      <w:r>
        <w:rPr>
          <w:rStyle w:val="a5"/>
          <w:rFonts w:cs="Arial"/>
          <w:sz w:val="20"/>
          <w:szCs w:val="20"/>
          <w:rtl/>
        </w:rPr>
        <w:footnoteReference w:id="585"/>
      </w:r>
    </w:p>
    <w:p w:rsidR="00620060" w:rsidRPr="008E6968" w:rsidRDefault="00620060" w:rsidP="00620060">
      <w:pPr>
        <w:rPr>
          <w:sz w:val="20"/>
          <w:szCs w:val="20"/>
        </w:rPr>
      </w:pPr>
      <w:r>
        <w:rPr>
          <w:rFonts w:hint="cs"/>
          <w:sz w:val="20"/>
          <w:szCs w:val="20"/>
          <w:u w:val="single"/>
          <w:rtl/>
        </w:rPr>
        <w:t xml:space="preserve">האם מדובר באונס כללי או באונס פרטי </w:t>
      </w:r>
      <w:r>
        <w:rPr>
          <w:sz w:val="20"/>
          <w:szCs w:val="20"/>
          <w:u w:val="single"/>
          <w:rtl/>
        </w:rPr>
        <w:br/>
      </w:r>
      <w:r>
        <w:rPr>
          <w:rFonts w:hint="cs"/>
          <w:sz w:val="20"/>
          <w:szCs w:val="20"/>
          <w:rtl/>
        </w:rPr>
        <w:t xml:space="preserve">א. </w:t>
      </w:r>
      <w:r w:rsidRPr="008E6968">
        <w:rPr>
          <w:rFonts w:hint="cs"/>
          <w:b/>
          <w:bCs/>
          <w:sz w:val="20"/>
          <w:szCs w:val="20"/>
          <w:rtl/>
        </w:rPr>
        <w:t xml:space="preserve">חמודי דניאל </w:t>
      </w:r>
      <w:r w:rsidRPr="008E6968">
        <w:rPr>
          <w:rFonts w:hint="cs"/>
          <w:sz w:val="18"/>
          <w:szCs w:val="18"/>
          <w:rtl/>
        </w:rPr>
        <w:t xml:space="preserve">(פת"ש) </w:t>
      </w:r>
      <w:r>
        <w:rPr>
          <w:sz w:val="20"/>
          <w:szCs w:val="20"/>
          <w:rtl/>
        </w:rPr>
        <w:t>–</w:t>
      </w:r>
      <w:r>
        <w:rPr>
          <w:rFonts w:hint="cs"/>
          <w:sz w:val="20"/>
          <w:szCs w:val="20"/>
          <w:rtl/>
        </w:rPr>
        <w:t xml:space="preserve"> רק באונס כללי לכל הנשים התירו לטבול ביום.</w:t>
      </w:r>
      <w:r>
        <w:rPr>
          <w:sz w:val="20"/>
          <w:szCs w:val="20"/>
          <w:rtl/>
        </w:rPr>
        <w:br/>
      </w:r>
      <w:r w:rsidRPr="008E6968">
        <w:rPr>
          <w:rFonts w:hint="cs"/>
          <w:b/>
          <w:bCs/>
          <w:sz w:val="20"/>
          <w:szCs w:val="20"/>
          <w:rtl/>
        </w:rPr>
        <w:t>ראיה</w:t>
      </w:r>
      <w:r>
        <w:rPr>
          <w:rFonts w:hint="cs"/>
          <w:sz w:val="20"/>
          <w:szCs w:val="20"/>
          <w:rtl/>
        </w:rPr>
        <w:t xml:space="preserve"> </w:t>
      </w:r>
      <w:r>
        <w:rPr>
          <w:sz w:val="20"/>
          <w:szCs w:val="20"/>
          <w:rtl/>
        </w:rPr>
        <w:t>–</w:t>
      </w:r>
      <w:r>
        <w:rPr>
          <w:rFonts w:hint="cs"/>
          <w:sz w:val="20"/>
          <w:szCs w:val="20"/>
          <w:rtl/>
        </w:rPr>
        <w:t xml:space="preserve"> בגמרא נאמר "</w:t>
      </w:r>
      <w:r w:rsidRPr="008E6968">
        <w:rPr>
          <w:rFonts w:cs="Arial"/>
          <w:sz w:val="20"/>
          <w:szCs w:val="20"/>
          <w:rtl/>
        </w:rPr>
        <w:t xml:space="preserve"> </w:t>
      </w:r>
      <w:r w:rsidRPr="00715361">
        <w:rPr>
          <w:rFonts w:cs="Arial"/>
          <w:sz w:val="20"/>
          <w:szCs w:val="20"/>
          <w:rtl/>
        </w:rPr>
        <w:t xml:space="preserve">אתקין רב אידי </w:t>
      </w:r>
      <w:r w:rsidRPr="008E6968">
        <w:rPr>
          <w:rFonts w:cs="Arial"/>
          <w:sz w:val="20"/>
          <w:szCs w:val="20"/>
          <w:u w:val="single"/>
          <w:rtl/>
        </w:rPr>
        <w:t>בנרש</w:t>
      </w:r>
      <w:r>
        <w:rPr>
          <w:rFonts w:cs="Arial" w:hint="cs"/>
          <w:sz w:val="20"/>
          <w:szCs w:val="20"/>
          <w:rtl/>
        </w:rPr>
        <w:t>..</w:t>
      </w:r>
      <w:r>
        <w:rPr>
          <w:rFonts w:cs="Arial"/>
          <w:sz w:val="20"/>
          <w:szCs w:val="20"/>
          <w:rtl/>
        </w:rPr>
        <w:t xml:space="preserve">. רב אחא בר יעקב </w:t>
      </w:r>
      <w:r w:rsidRPr="008E6968">
        <w:rPr>
          <w:rFonts w:cs="Arial"/>
          <w:sz w:val="20"/>
          <w:szCs w:val="20"/>
          <w:u w:val="single"/>
          <w:rtl/>
        </w:rPr>
        <w:t>בפפוניא</w:t>
      </w:r>
      <w:r>
        <w:rPr>
          <w:rFonts w:cs="Arial" w:hint="cs"/>
          <w:sz w:val="20"/>
          <w:szCs w:val="20"/>
          <w:rtl/>
        </w:rPr>
        <w:t xml:space="preserve">... </w:t>
      </w:r>
      <w:r>
        <w:rPr>
          <w:rFonts w:cs="Arial"/>
          <w:sz w:val="20"/>
          <w:szCs w:val="20"/>
          <w:rtl/>
        </w:rPr>
        <w:t xml:space="preserve">רב יהודה </w:t>
      </w:r>
      <w:r w:rsidRPr="008E6968">
        <w:rPr>
          <w:rFonts w:cs="Arial"/>
          <w:sz w:val="20"/>
          <w:szCs w:val="20"/>
          <w:u w:val="single"/>
          <w:rtl/>
        </w:rPr>
        <w:t>בפומבדיתא</w:t>
      </w:r>
      <w:r>
        <w:rPr>
          <w:rFonts w:cs="Arial" w:hint="cs"/>
          <w:sz w:val="20"/>
          <w:szCs w:val="20"/>
          <w:rtl/>
        </w:rPr>
        <w:t xml:space="preserve">... </w:t>
      </w:r>
      <w:r>
        <w:rPr>
          <w:rFonts w:cs="Arial"/>
          <w:sz w:val="20"/>
          <w:szCs w:val="20"/>
          <w:rtl/>
        </w:rPr>
        <w:t xml:space="preserve">רבא </w:t>
      </w:r>
      <w:r w:rsidRPr="008E6968">
        <w:rPr>
          <w:rFonts w:cs="Arial"/>
          <w:sz w:val="20"/>
          <w:szCs w:val="20"/>
          <w:u w:val="single"/>
          <w:rtl/>
        </w:rPr>
        <w:t>במחוזא</w:t>
      </w:r>
      <w:r>
        <w:rPr>
          <w:rFonts w:hint="cs"/>
          <w:sz w:val="20"/>
          <w:szCs w:val="20"/>
          <w:rtl/>
        </w:rPr>
        <w:t>". ומכך שכל האמוראים תיקנו עבור כל העיר, מוכח שבאונס של אשה אחת אין להיתר.</w:t>
      </w:r>
      <w:r>
        <w:rPr>
          <w:sz w:val="20"/>
          <w:szCs w:val="20"/>
          <w:rtl/>
        </w:rPr>
        <w:br/>
      </w:r>
      <w:r>
        <w:rPr>
          <w:rFonts w:hint="cs"/>
          <w:sz w:val="20"/>
          <w:szCs w:val="20"/>
          <w:rtl/>
        </w:rPr>
        <w:t xml:space="preserve">ב. </w:t>
      </w:r>
      <w:r w:rsidRPr="008E6968">
        <w:rPr>
          <w:rFonts w:hint="cs"/>
          <w:b/>
          <w:bCs/>
          <w:sz w:val="20"/>
          <w:szCs w:val="20"/>
          <w:rtl/>
        </w:rPr>
        <w:t>לחם ושמלה</w:t>
      </w:r>
      <w:r>
        <w:rPr>
          <w:rFonts w:hint="cs"/>
          <w:sz w:val="20"/>
          <w:szCs w:val="20"/>
          <w:rtl/>
        </w:rPr>
        <w:t xml:space="preserve"> </w:t>
      </w:r>
      <w:r>
        <w:rPr>
          <w:sz w:val="20"/>
          <w:szCs w:val="20"/>
          <w:rtl/>
        </w:rPr>
        <w:t>–</w:t>
      </w:r>
      <w:r>
        <w:rPr>
          <w:rFonts w:hint="cs"/>
          <w:sz w:val="20"/>
          <w:szCs w:val="20"/>
          <w:rtl/>
        </w:rPr>
        <w:t xml:space="preserve"> גם באונס של אשה אחת מותר לה לטבול ביום השמיני, וכ"פ </w:t>
      </w:r>
      <w:r w:rsidRPr="008E6968">
        <w:rPr>
          <w:rFonts w:hint="cs"/>
          <w:b/>
          <w:bCs/>
          <w:sz w:val="20"/>
          <w:szCs w:val="20"/>
          <w:rtl/>
        </w:rPr>
        <w:t>טה"ב</w:t>
      </w:r>
      <w:r>
        <w:rPr>
          <w:rFonts w:hint="cs"/>
          <w:sz w:val="20"/>
          <w:szCs w:val="20"/>
          <w:rtl/>
        </w:rPr>
        <w:t>.</w:t>
      </w:r>
      <w:r>
        <w:rPr>
          <w:sz w:val="20"/>
          <w:szCs w:val="20"/>
          <w:rtl/>
        </w:rPr>
        <w:br/>
      </w:r>
      <w:r w:rsidRPr="008E6968">
        <w:rPr>
          <w:rFonts w:hint="cs"/>
          <w:b/>
          <w:bCs/>
          <w:sz w:val="20"/>
          <w:szCs w:val="20"/>
          <w:rtl/>
        </w:rPr>
        <w:t>ראיה</w:t>
      </w:r>
      <w:r>
        <w:rPr>
          <w:rFonts w:hint="cs"/>
          <w:sz w:val="20"/>
          <w:szCs w:val="20"/>
          <w:rtl/>
        </w:rPr>
        <w:t xml:space="preserve"> </w:t>
      </w:r>
      <w:r>
        <w:rPr>
          <w:sz w:val="20"/>
          <w:szCs w:val="20"/>
          <w:rtl/>
        </w:rPr>
        <w:t>–</w:t>
      </w:r>
      <w:r>
        <w:rPr>
          <w:rFonts w:hint="cs"/>
          <w:sz w:val="20"/>
          <w:szCs w:val="20"/>
          <w:rtl/>
        </w:rPr>
        <w:t xml:space="preserve"> כך מורה לשון </w:t>
      </w:r>
      <w:r w:rsidRPr="008E6968">
        <w:rPr>
          <w:rFonts w:hint="cs"/>
          <w:b/>
          <w:bCs/>
          <w:sz w:val="20"/>
          <w:szCs w:val="20"/>
          <w:rtl/>
        </w:rPr>
        <w:t>הרמב"ם</w:t>
      </w:r>
      <w:r>
        <w:rPr>
          <w:rFonts w:hint="cs"/>
          <w:sz w:val="20"/>
          <w:szCs w:val="20"/>
          <w:rtl/>
        </w:rPr>
        <w:t xml:space="preserve"> שכתב להתיר אם "היתה חולה", וכך מורה גם לשון </w:t>
      </w:r>
      <w:r w:rsidRPr="008E6968">
        <w:rPr>
          <w:rFonts w:hint="cs"/>
          <w:b/>
          <w:bCs/>
          <w:sz w:val="20"/>
          <w:szCs w:val="20"/>
          <w:rtl/>
        </w:rPr>
        <w:t xml:space="preserve">המחבר </w:t>
      </w:r>
      <w:r>
        <w:rPr>
          <w:rFonts w:hint="cs"/>
          <w:sz w:val="20"/>
          <w:szCs w:val="20"/>
          <w:rtl/>
        </w:rPr>
        <w:t>שכתב "</w:t>
      </w:r>
      <w:r w:rsidRPr="00715361">
        <w:rPr>
          <w:rFonts w:cs="Arial"/>
          <w:sz w:val="20"/>
          <w:szCs w:val="20"/>
          <w:rtl/>
        </w:rPr>
        <w:t>כגון שיראה לטבול בלילה</w:t>
      </w:r>
      <w:r>
        <w:rPr>
          <w:rFonts w:cs="Arial" w:hint="cs"/>
          <w:sz w:val="20"/>
          <w:szCs w:val="20"/>
          <w:rtl/>
        </w:rPr>
        <w:t>", משמע שרק היא יראה ולא כל הנשים.</w:t>
      </w:r>
      <w:r>
        <w:rPr>
          <w:rFonts w:hint="cs"/>
          <w:sz w:val="20"/>
          <w:szCs w:val="20"/>
          <w:rtl/>
        </w:rPr>
        <w:t xml:space="preserve"> </w:t>
      </w:r>
    </w:p>
    <w:p w:rsidR="00620060" w:rsidRDefault="00620060" w:rsidP="00620060">
      <w:pPr>
        <w:rPr>
          <w:sz w:val="20"/>
          <w:szCs w:val="20"/>
          <w:rtl/>
        </w:rPr>
      </w:pPr>
      <w:r>
        <w:rPr>
          <w:rFonts w:hint="cs"/>
          <w:sz w:val="20"/>
          <w:szCs w:val="20"/>
          <w:u w:val="single"/>
          <w:rtl/>
        </w:rPr>
        <w:t>טבילה ביום השמיני משום צניעות</w:t>
      </w:r>
      <w:r>
        <w:rPr>
          <w:sz w:val="20"/>
          <w:szCs w:val="20"/>
          <w:u w:val="single"/>
          <w:rtl/>
        </w:rPr>
        <w:br/>
      </w:r>
      <w:r w:rsidRPr="00433C0D">
        <w:rPr>
          <w:rFonts w:hint="cs"/>
          <w:b/>
          <w:bCs/>
          <w:sz w:val="20"/>
          <w:szCs w:val="20"/>
          <w:rtl/>
        </w:rPr>
        <w:t xml:space="preserve">גמרא </w:t>
      </w:r>
      <w:r>
        <w:rPr>
          <w:rFonts w:hint="cs"/>
          <w:sz w:val="20"/>
          <w:szCs w:val="20"/>
          <w:rtl/>
        </w:rPr>
        <w:t>עירובין (נה:) "</w:t>
      </w:r>
      <w:r w:rsidRPr="0006277C">
        <w:rPr>
          <w:rFonts w:cs="Arial"/>
          <w:sz w:val="20"/>
          <w:szCs w:val="20"/>
          <w:rtl/>
        </w:rPr>
        <w:t>תניא אליעזר איש ביריא אומר: יושבי צריפין כיושבי קברים, ועל בנותיהם הוא אומר ארור שכב עם כל בהמה. מאי טעמא? מפני שמרגישין זה לזה בטבילה</w:t>
      </w:r>
      <w:r>
        <w:rPr>
          <w:rFonts w:cs="Arial" w:hint="cs"/>
          <w:sz w:val="20"/>
          <w:szCs w:val="20"/>
          <w:rtl/>
        </w:rPr>
        <w:t>".</w:t>
      </w:r>
      <w:r>
        <w:rPr>
          <w:rFonts w:cs="Arial"/>
          <w:sz w:val="20"/>
          <w:szCs w:val="20"/>
          <w:rtl/>
        </w:rPr>
        <w:br/>
      </w:r>
      <w:r>
        <w:rPr>
          <w:rFonts w:cs="Arial" w:hint="cs"/>
          <w:sz w:val="20"/>
          <w:szCs w:val="20"/>
          <w:rtl/>
        </w:rPr>
        <w:t xml:space="preserve">ולפי זה כתב </w:t>
      </w:r>
      <w:r w:rsidRPr="0006277C">
        <w:rPr>
          <w:rFonts w:cs="Arial" w:hint="cs"/>
          <w:b/>
          <w:bCs/>
          <w:sz w:val="20"/>
          <w:szCs w:val="20"/>
          <w:rtl/>
        </w:rPr>
        <w:t>האגודה</w:t>
      </w:r>
      <w:r>
        <w:rPr>
          <w:rFonts w:cs="Arial" w:hint="cs"/>
          <w:sz w:val="20"/>
          <w:szCs w:val="20"/>
          <w:rtl/>
        </w:rPr>
        <w:t xml:space="preserve"> </w:t>
      </w:r>
      <w:r>
        <w:rPr>
          <w:rFonts w:cs="Arial"/>
          <w:sz w:val="20"/>
          <w:szCs w:val="20"/>
          <w:rtl/>
        </w:rPr>
        <w:t>–</w:t>
      </w:r>
      <w:r>
        <w:rPr>
          <w:rFonts w:cs="Arial" w:hint="cs"/>
          <w:sz w:val="20"/>
          <w:szCs w:val="20"/>
          <w:rtl/>
        </w:rPr>
        <w:t xml:space="preserve"> "</w:t>
      </w:r>
      <w:r w:rsidRPr="0006277C">
        <w:rPr>
          <w:rFonts w:cs="Arial"/>
          <w:sz w:val="20"/>
          <w:szCs w:val="20"/>
          <w:rtl/>
        </w:rPr>
        <w:t>ונראה בשביל זה נהגו הנשים להיות צנועות בליל טבילתן שלא לילך במהומה</w:t>
      </w:r>
      <w:r>
        <w:rPr>
          <w:rFonts w:cs="Arial" w:hint="cs"/>
          <w:sz w:val="20"/>
          <w:szCs w:val="20"/>
          <w:rtl/>
        </w:rPr>
        <w:t>"</w:t>
      </w:r>
      <w:r>
        <w:rPr>
          <w:rFonts w:hint="cs"/>
          <w:sz w:val="20"/>
          <w:szCs w:val="20"/>
          <w:rtl/>
        </w:rPr>
        <w:t>.</w:t>
      </w:r>
    </w:p>
    <w:p w:rsidR="00620060" w:rsidRDefault="00620060" w:rsidP="00620060">
      <w:pPr>
        <w:rPr>
          <w:sz w:val="20"/>
          <w:szCs w:val="20"/>
          <w:rtl/>
        </w:rPr>
      </w:pPr>
      <w:r>
        <w:rPr>
          <w:rFonts w:hint="cs"/>
          <w:sz w:val="20"/>
          <w:szCs w:val="20"/>
          <w:rtl/>
        </w:rPr>
        <w:lastRenderedPageBreak/>
        <w:t xml:space="preserve">לפי"ז, כתב </w:t>
      </w:r>
      <w:r w:rsidRPr="00433C0D">
        <w:rPr>
          <w:rFonts w:hint="cs"/>
          <w:b/>
          <w:bCs/>
          <w:sz w:val="20"/>
          <w:szCs w:val="20"/>
          <w:rtl/>
        </w:rPr>
        <w:t>הרמ"א</w:t>
      </w:r>
      <w:r>
        <w:rPr>
          <w:rFonts w:hint="cs"/>
          <w:sz w:val="20"/>
          <w:szCs w:val="20"/>
          <w:rtl/>
        </w:rPr>
        <w:t xml:space="preserve"> בשו"ת</w:t>
      </w:r>
      <w:r>
        <w:rPr>
          <w:rFonts w:hint="cs"/>
          <w:sz w:val="18"/>
          <w:szCs w:val="18"/>
          <w:rtl/>
        </w:rPr>
        <w:t xml:space="preserve"> </w:t>
      </w:r>
      <w:r w:rsidRPr="00433C0D">
        <w:rPr>
          <w:rFonts w:hint="cs"/>
          <w:sz w:val="18"/>
          <w:szCs w:val="18"/>
          <w:rtl/>
        </w:rPr>
        <w:t xml:space="preserve">(סימן יט') </w:t>
      </w:r>
      <w:r>
        <w:rPr>
          <w:rFonts w:hint="cs"/>
          <w:sz w:val="20"/>
          <w:szCs w:val="20"/>
          <w:rtl/>
        </w:rPr>
        <w:t>שאשה החוששת לטבול בלילה מפני החשש שמא יכירו בה שכניה או בני ביתה, מותרת לטבול ביום השמיני לכתחילה</w:t>
      </w:r>
      <w:r>
        <w:rPr>
          <w:rStyle w:val="a5"/>
          <w:sz w:val="20"/>
          <w:szCs w:val="20"/>
          <w:rtl/>
        </w:rPr>
        <w:footnoteReference w:id="586"/>
      </w:r>
      <w:r>
        <w:rPr>
          <w:rFonts w:hint="cs"/>
          <w:sz w:val="20"/>
          <w:szCs w:val="20"/>
          <w:rtl/>
        </w:rPr>
        <w:t xml:space="preserve">, וכן כתבו אחרונים נוספים </w:t>
      </w:r>
      <w:r w:rsidRPr="00433C0D">
        <w:rPr>
          <w:rFonts w:hint="cs"/>
          <w:sz w:val="18"/>
          <w:szCs w:val="18"/>
          <w:rtl/>
        </w:rPr>
        <w:t xml:space="preserve">(עיין </w:t>
      </w:r>
      <w:r w:rsidRPr="00EB6275">
        <w:rPr>
          <w:rFonts w:hint="cs"/>
          <w:b/>
          <w:bCs/>
          <w:sz w:val="18"/>
          <w:szCs w:val="18"/>
          <w:rtl/>
        </w:rPr>
        <w:t>טה"ב</w:t>
      </w:r>
      <w:r w:rsidRPr="00433C0D">
        <w:rPr>
          <w:rFonts w:hint="cs"/>
          <w:sz w:val="18"/>
          <w:szCs w:val="18"/>
          <w:rtl/>
        </w:rPr>
        <w:t xml:space="preserve"> עמ' תקטו')</w:t>
      </w:r>
      <w:r>
        <w:rPr>
          <w:rFonts w:hint="cs"/>
          <w:sz w:val="20"/>
          <w:szCs w:val="20"/>
          <w:rtl/>
        </w:rPr>
        <w:t>.</w:t>
      </w:r>
    </w:p>
    <w:p w:rsidR="00620060"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1D7A03">
        <w:rPr>
          <w:rFonts w:hint="cs"/>
          <w:b/>
          <w:bCs/>
          <w:sz w:val="20"/>
          <w:szCs w:val="20"/>
          <w:rtl/>
        </w:rPr>
        <w:t>גמרא</w:t>
      </w:r>
      <w:r>
        <w:rPr>
          <w:rFonts w:hint="cs"/>
          <w:sz w:val="20"/>
          <w:szCs w:val="20"/>
          <w:rtl/>
        </w:rPr>
        <w:t xml:space="preserve">. במקום שיש אונס ואינה יכולה לטבול בליל ז', התירו אמוראים לטבול ביום ח', וכ"פ </w:t>
      </w:r>
      <w:r w:rsidRPr="001D7A03">
        <w:rPr>
          <w:rFonts w:hint="cs"/>
          <w:b/>
          <w:bCs/>
          <w:sz w:val="20"/>
          <w:szCs w:val="20"/>
          <w:rtl/>
        </w:rPr>
        <w:t>המחבר</w:t>
      </w:r>
      <w:r>
        <w:rPr>
          <w:rFonts w:hint="cs"/>
          <w:sz w:val="20"/>
          <w:szCs w:val="20"/>
          <w:rtl/>
        </w:rPr>
        <w:t>.</w:t>
      </w:r>
      <w:r>
        <w:rPr>
          <w:sz w:val="20"/>
          <w:szCs w:val="20"/>
          <w:rtl/>
        </w:rPr>
        <w:br/>
      </w:r>
      <w:r>
        <w:rPr>
          <w:rFonts w:hint="cs"/>
          <w:sz w:val="20"/>
          <w:szCs w:val="20"/>
          <w:rtl/>
        </w:rPr>
        <w:t xml:space="preserve">2. </w:t>
      </w:r>
      <w:r w:rsidRPr="001D7A03">
        <w:rPr>
          <w:rFonts w:hint="cs"/>
          <w:b/>
          <w:bCs/>
          <w:sz w:val="20"/>
          <w:szCs w:val="20"/>
          <w:rtl/>
        </w:rPr>
        <w:t>חמודי דניאל</w:t>
      </w:r>
      <w:r>
        <w:rPr>
          <w:rFonts w:hint="cs"/>
          <w:sz w:val="20"/>
          <w:szCs w:val="20"/>
          <w:rtl/>
        </w:rPr>
        <w:t xml:space="preserve">. רק באונס כללי מותר. </w:t>
      </w:r>
      <w:r w:rsidRPr="001D7A03">
        <w:rPr>
          <w:rFonts w:hint="cs"/>
          <w:b/>
          <w:bCs/>
          <w:sz w:val="20"/>
          <w:szCs w:val="20"/>
          <w:rtl/>
        </w:rPr>
        <w:t>לחו"ש</w:t>
      </w:r>
      <w:r>
        <w:rPr>
          <w:rFonts w:hint="cs"/>
          <w:sz w:val="20"/>
          <w:szCs w:val="20"/>
          <w:rtl/>
        </w:rPr>
        <w:t>. גם באונס של אשה אחת מותר.</w:t>
      </w:r>
      <w:r>
        <w:rPr>
          <w:sz w:val="20"/>
          <w:szCs w:val="20"/>
          <w:rtl/>
        </w:rPr>
        <w:br/>
      </w:r>
      <w:r>
        <w:rPr>
          <w:rFonts w:hint="cs"/>
          <w:sz w:val="20"/>
          <w:szCs w:val="20"/>
          <w:rtl/>
        </w:rPr>
        <w:t xml:space="preserve">3. </w:t>
      </w:r>
      <w:r w:rsidRPr="001D7A03">
        <w:rPr>
          <w:rFonts w:hint="cs"/>
          <w:b/>
          <w:bCs/>
          <w:sz w:val="20"/>
          <w:szCs w:val="20"/>
          <w:rtl/>
        </w:rPr>
        <w:t>גמרא</w:t>
      </w:r>
      <w:r>
        <w:rPr>
          <w:rFonts w:hint="cs"/>
          <w:sz w:val="20"/>
          <w:szCs w:val="20"/>
          <w:rtl/>
        </w:rPr>
        <w:t xml:space="preserve">. יש חוסר צניעות בכך שאנשים יודעים מתי אשה טובלת. </w:t>
      </w:r>
      <w:r w:rsidRPr="001D7A03">
        <w:rPr>
          <w:rFonts w:hint="cs"/>
          <w:b/>
          <w:bCs/>
          <w:sz w:val="20"/>
          <w:szCs w:val="20"/>
          <w:rtl/>
        </w:rPr>
        <w:t>רמ"א</w:t>
      </w:r>
      <w:r>
        <w:rPr>
          <w:rFonts w:hint="cs"/>
          <w:sz w:val="20"/>
          <w:szCs w:val="20"/>
          <w:rtl/>
        </w:rPr>
        <w:t>. לפי"ז, אשה החוששת לכך שיבחינו בטבילתה בלילה, מותרת לטבול ביום ח'.</w:t>
      </w:r>
    </w:p>
    <w:p w:rsidR="00620060" w:rsidRPr="00B45803" w:rsidRDefault="00620060" w:rsidP="00620060">
      <w:pPr>
        <w:rPr>
          <w:b/>
          <w:bCs/>
          <w:sz w:val="20"/>
          <w:szCs w:val="20"/>
          <w:rtl/>
        </w:rPr>
      </w:pPr>
      <w:r>
        <w:rPr>
          <w:rFonts w:hint="cs"/>
          <w:sz w:val="20"/>
          <w:szCs w:val="20"/>
          <w:rtl/>
        </w:rPr>
        <w:br/>
      </w:r>
      <w:r>
        <w:rPr>
          <w:rFonts w:hint="cs"/>
          <w:b/>
          <w:bCs/>
          <w:sz w:val="20"/>
          <w:szCs w:val="20"/>
          <w:rtl/>
        </w:rPr>
        <w:t xml:space="preserve">סעיף ה </w:t>
      </w:r>
      <w:r>
        <w:rPr>
          <w:b/>
          <w:bCs/>
          <w:sz w:val="20"/>
          <w:szCs w:val="20"/>
          <w:rtl/>
        </w:rPr>
        <w:t>–</w:t>
      </w:r>
      <w:r>
        <w:rPr>
          <w:rFonts w:hint="cs"/>
          <w:b/>
          <w:bCs/>
          <w:sz w:val="20"/>
          <w:szCs w:val="20"/>
          <w:rtl/>
        </w:rPr>
        <w:t xml:space="preserve"> עברה וטבלה ביום השמיני או השביעי</w:t>
      </w:r>
      <w:r>
        <w:rPr>
          <w:b/>
          <w:bCs/>
          <w:sz w:val="20"/>
          <w:szCs w:val="20"/>
          <w:rtl/>
        </w:rPr>
        <w:br/>
      </w:r>
      <w:r w:rsidRPr="0015235D">
        <w:rPr>
          <w:rFonts w:hint="cs"/>
          <w:b/>
          <w:bCs/>
          <w:sz w:val="20"/>
          <w:szCs w:val="20"/>
          <w:rtl/>
        </w:rPr>
        <w:t xml:space="preserve">עברה וטבלה ביום השביעי </w:t>
      </w:r>
      <w:r w:rsidRPr="0015235D">
        <w:rPr>
          <w:b/>
          <w:bCs/>
          <w:sz w:val="20"/>
          <w:szCs w:val="20"/>
          <w:rtl/>
        </w:rPr>
        <w:t>–</w:t>
      </w:r>
      <w:r w:rsidRPr="0015235D">
        <w:rPr>
          <w:rFonts w:hint="cs"/>
          <w:b/>
          <w:bCs/>
          <w:sz w:val="20"/>
          <w:szCs w:val="20"/>
          <w:rtl/>
        </w:rPr>
        <w:t xml:space="preserve"> שיטות הראשונים</w:t>
      </w:r>
      <w:r>
        <w:rPr>
          <w:b/>
          <w:bCs/>
          <w:sz w:val="20"/>
          <w:szCs w:val="20"/>
          <w:rtl/>
        </w:rPr>
        <w:br/>
      </w:r>
      <w:r>
        <w:rPr>
          <w:rFonts w:hint="cs"/>
          <w:sz w:val="20"/>
          <w:szCs w:val="20"/>
          <w:rtl/>
        </w:rPr>
        <w:t>לשיטת רוב הראשונים הסוברים שחכמים אסרו לטבול ביום השביעי, מה הדין כאשר טבלה ביום השביעי ועברה על תקנת חכמים?</w:t>
      </w:r>
      <w:r>
        <w:rPr>
          <w:rFonts w:hint="cs"/>
          <w:sz w:val="20"/>
          <w:szCs w:val="20"/>
          <w:rtl/>
        </w:rPr>
        <w:br/>
        <w:t xml:space="preserve">א. </w:t>
      </w:r>
      <w:r w:rsidRPr="00354096">
        <w:rPr>
          <w:rFonts w:hint="cs"/>
          <w:b/>
          <w:bCs/>
          <w:sz w:val="20"/>
          <w:szCs w:val="20"/>
          <w:rtl/>
        </w:rPr>
        <w:t>ראב"ד</w:t>
      </w:r>
      <w:r>
        <w:rPr>
          <w:rFonts w:hint="cs"/>
          <w:sz w:val="20"/>
          <w:szCs w:val="20"/>
          <w:rtl/>
        </w:rPr>
        <w:t xml:space="preserve"> </w:t>
      </w:r>
      <w:r w:rsidRPr="002A5B3B">
        <w:rPr>
          <w:rFonts w:hint="cs"/>
          <w:sz w:val="18"/>
          <w:szCs w:val="18"/>
          <w:rtl/>
        </w:rPr>
        <w:t xml:space="preserve">(בשם רב אחא משבחא) </w:t>
      </w:r>
      <w:r>
        <w:rPr>
          <w:sz w:val="20"/>
          <w:szCs w:val="20"/>
          <w:rtl/>
        </w:rPr>
        <w:t>–</w:t>
      </w:r>
      <w:r>
        <w:rPr>
          <w:rFonts w:hint="cs"/>
          <w:sz w:val="20"/>
          <w:szCs w:val="20"/>
          <w:rtl/>
        </w:rPr>
        <w:t xml:space="preserve"> לא עלתה לה טבילה, וכ"פ </w:t>
      </w:r>
      <w:r w:rsidRPr="00CE6729">
        <w:rPr>
          <w:rFonts w:hint="cs"/>
          <w:b/>
          <w:bCs/>
          <w:sz w:val="20"/>
          <w:szCs w:val="20"/>
          <w:rtl/>
        </w:rPr>
        <w:t>הב"ח</w:t>
      </w:r>
      <w:r>
        <w:rPr>
          <w:rFonts w:hint="cs"/>
          <w:sz w:val="20"/>
          <w:szCs w:val="20"/>
          <w:rtl/>
        </w:rPr>
        <w:t xml:space="preserve">. </w:t>
      </w:r>
      <w:r>
        <w:rPr>
          <w:sz w:val="20"/>
          <w:szCs w:val="20"/>
          <w:rtl/>
        </w:rPr>
        <w:br/>
      </w:r>
      <w:r>
        <w:rPr>
          <w:rFonts w:hint="cs"/>
          <w:sz w:val="20"/>
          <w:szCs w:val="20"/>
          <w:rtl/>
        </w:rPr>
        <w:t xml:space="preserve">ב. </w:t>
      </w:r>
      <w:r w:rsidRPr="00354096">
        <w:rPr>
          <w:rFonts w:hint="cs"/>
          <w:b/>
          <w:bCs/>
          <w:sz w:val="20"/>
          <w:szCs w:val="20"/>
          <w:rtl/>
        </w:rPr>
        <w:t xml:space="preserve">רשב"א </w:t>
      </w:r>
      <w:r>
        <w:rPr>
          <w:sz w:val="20"/>
          <w:szCs w:val="20"/>
          <w:rtl/>
        </w:rPr>
        <w:t>–</w:t>
      </w:r>
      <w:r>
        <w:rPr>
          <w:rFonts w:hint="cs"/>
          <w:sz w:val="20"/>
          <w:szCs w:val="20"/>
          <w:rtl/>
        </w:rPr>
        <w:t xml:space="preserve"> עלתה לה טבילה, וכ"פ </w:t>
      </w:r>
      <w:r w:rsidRPr="00CE6729">
        <w:rPr>
          <w:rFonts w:hint="cs"/>
          <w:b/>
          <w:bCs/>
          <w:sz w:val="20"/>
          <w:szCs w:val="20"/>
          <w:rtl/>
        </w:rPr>
        <w:t>המחבר</w:t>
      </w:r>
      <w:r>
        <w:rPr>
          <w:rFonts w:hint="cs"/>
          <w:sz w:val="20"/>
          <w:szCs w:val="20"/>
          <w:rtl/>
        </w:rPr>
        <w:t>.</w:t>
      </w:r>
      <w:r>
        <w:rPr>
          <w:sz w:val="20"/>
          <w:szCs w:val="20"/>
          <w:rtl/>
        </w:rPr>
        <w:br/>
      </w:r>
      <w:r w:rsidRPr="00567D33">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גזרה זו כוללת בתוכה כמה חששות רחוקים - </w:t>
      </w:r>
      <w:r>
        <w:rPr>
          <w:sz w:val="20"/>
          <w:szCs w:val="20"/>
          <w:rtl/>
        </w:rPr>
        <w:br/>
      </w:r>
      <w:r>
        <w:rPr>
          <w:rFonts w:hint="cs"/>
          <w:sz w:val="20"/>
          <w:szCs w:val="20"/>
          <w:rtl/>
        </w:rPr>
        <w:t xml:space="preserve">שמא היא זבה </w:t>
      </w:r>
      <w:r w:rsidRPr="00567D33">
        <w:rPr>
          <w:rFonts w:hint="cs"/>
          <w:sz w:val="18"/>
          <w:szCs w:val="18"/>
          <w:rtl/>
        </w:rPr>
        <w:t xml:space="preserve">(שהרי אם היא נידה מותרת לטבול </w:t>
      </w:r>
      <w:r>
        <w:rPr>
          <w:rFonts w:hint="cs"/>
          <w:sz w:val="18"/>
          <w:szCs w:val="18"/>
          <w:rtl/>
        </w:rPr>
        <w:t>במוצאי ז' לתחילת ראייתה</w:t>
      </w:r>
      <w:r w:rsidRPr="00567D33">
        <w:rPr>
          <w:rFonts w:hint="cs"/>
          <w:sz w:val="18"/>
          <w:szCs w:val="18"/>
          <w:rtl/>
        </w:rPr>
        <w:t xml:space="preserve"> ואינה צריכה ז"נ)</w:t>
      </w:r>
      <w:r>
        <w:rPr>
          <w:rFonts w:hint="cs"/>
          <w:sz w:val="20"/>
          <w:szCs w:val="20"/>
          <w:rtl/>
        </w:rPr>
        <w:t>.</w:t>
      </w:r>
      <w:r>
        <w:rPr>
          <w:sz w:val="20"/>
          <w:szCs w:val="20"/>
          <w:rtl/>
        </w:rPr>
        <w:br/>
      </w:r>
      <w:r>
        <w:rPr>
          <w:rFonts w:hint="cs"/>
          <w:sz w:val="20"/>
          <w:szCs w:val="20"/>
          <w:rtl/>
        </w:rPr>
        <w:t>שמא תשמש עם בעלה.</w:t>
      </w:r>
      <w:r>
        <w:rPr>
          <w:sz w:val="20"/>
          <w:szCs w:val="20"/>
          <w:rtl/>
        </w:rPr>
        <w:br/>
      </w:r>
      <w:r>
        <w:rPr>
          <w:rFonts w:hint="cs"/>
          <w:sz w:val="20"/>
          <w:szCs w:val="20"/>
          <w:rtl/>
        </w:rPr>
        <w:t>שמא תראה דם ותסתור מניינה.</w:t>
      </w:r>
    </w:p>
    <w:p w:rsidR="00620060" w:rsidRDefault="00620060" w:rsidP="00620060">
      <w:pPr>
        <w:rPr>
          <w:b/>
          <w:bCs/>
          <w:sz w:val="20"/>
          <w:szCs w:val="20"/>
          <w:rtl/>
        </w:rPr>
      </w:pPr>
      <w:r w:rsidRPr="0015235D">
        <w:rPr>
          <w:rFonts w:hint="cs"/>
          <w:b/>
          <w:bCs/>
          <w:sz w:val="20"/>
          <w:szCs w:val="20"/>
          <w:rtl/>
        </w:rPr>
        <w:t>עברה וטבלה ביום השמיני</w:t>
      </w:r>
      <w:r>
        <w:rPr>
          <w:rFonts w:hint="cs"/>
          <w:b/>
          <w:bCs/>
          <w:sz w:val="20"/>
          <w:szCs w:val="20"/>
          <w:rtl/>
        </w:rPr>
        <w:br/>
        <w:t xml:space="preserve">טור </w:t>
      </w:r>
      <w:r>
        <w:rPr>
          <w:sz w:val="20"/>
          <w:szCs w:val="20"/>
          <w:rtl/>
        </w:rPr>
        <w:t>–</w:t>
      </w:r>
      <w:r>
        <w:rPr>
          <w:rFonts w:hint="cs"/>
          <w:sz w:val="20"/>
          <w:szCs w:val="20"/>
          <w:rtl/>
        </w:rPr>
        <w:t xml:space="preserve"> נידה שעברה על דברי חכמים וטבלה ביום השמיני, לכו"ע עלתה לה טבילה.</w:t>
      </w:r>
      <w:r>
        <w:rPr>
          <w:sz w:val="20"/>
          <w:szCs w:val="20"/>
          <w:rtl/>
        </w:rPr>
        <w:br/>
      </w:r>
      <w:r w:rsidRPr="00E07C76">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מכיוון שבאופנים מסויימים התירו חכמים אף לכתחילה לטבול ביום השמיני, יש לומר שלא גזרו לאסור לעניין דיעבד.</w:t>
      </w:r>
    </w:p>
    <w:p w:rsidR="00620060" w:rsidRPr="00CE6729" w:rsidRDefault="00620060" w:rsidP="00620060">
      <w:pPr>
        <w:rPr>
          <w:sz w:val="20"/>
          <w:szCs w:val="20"/>
          <w:rtl/>
        </w:rPr>
      </w:pPr>
      <w:r>
        <w:rPr>
          <w:rFonts w:hint="cs"/>
          <w:b/>
          <w:bCs/>
          <w:sz w:val="20"/>
          <w:szCs w:val="20"/>
          <w:rtl/>
        </w:rPr>
        <w:t>פסיקת הלכה</w:t>
      </w:r>
      <w:r>
        <w:rPr>
          <w:b/>
          <w:bCs/>
          <w:sz w:val="20"/>
          <w:szCs w:val="20"/>
          <w:rtl/>
        </w:rPr>
        <w:br/>
      </w:r>
      <w:r>
        <w:rPr>
          <w:rFonts w:hint="cs"/>
          <w:sz w:val="20"/>
          <w:szCs w:val="20"/>
          <w:rtl/>
        </w:rPr>
        <w:t xml:space="preserve">א. </w:t>
      </w:r>
      <w:r>
        <w:rPr>
          <w:rFonts w:hint="cs"/>
          <w:b/>
          <w:bCs/>
          <w:sz w:val="20"/>
          <w:szCs w:val="20"/>
          <w:rtl/>
        </w:rPr>
        <w:t xml:space="preserve">שולחן ערוך </w:t>
      </w:r>
      <w:r>
        <w:rPr>
          <w:sz w:val="20"/>
          <w:szCs w:val="20"/>
          <w:rtl/>
        </w:rPr>
        <w:t>–</w:t>
      </w:r>
      <w:r>
        <w:rPr>
          <w:rFonts w:hint="cs"/>
          <w:sz w:val="20"/>
          <w:szCs w:val="20"/>
          <w:rtl/>
        </w:rPr>
        <w:t xml:space="preserve"> "</w:t>
      </w:r>
      <w:r w:rsidRPr="00B45803">
        <w:rPr>
          <w:rFonts w:cs="Arial"/>
          <w:sz w:val="20"/>
          <w:szCs w:val="20"/>
          <w:rtl/>
        </w:rPr>
        <w:t>אם עברה וטבלה בח' ביום בלא אונס, אפילו הכי עלתה לה טבילה; וכן אם עברה וטבלה בז' ביום, עלתה לה טבילה</w:t>
      </w:r>
      <w:r>
        <w:rPr>
          <w:rFonts w:cs="Arial" w:hint="cs"/>
          <w:sz w:val="20"/>
          <w:szCs w:val="20"/>
          <w:rtl/>
        </w:rPr>
        <w:t>".</w:t>
      </w:r>
      <w:r>
        <w:rPr>
          <w:b/>
          <w:bCs/>
          <w:sz w:val="20"/>
          <w:szCs w:val="20"/>
          <w:rtl/>
        </w:rPr>
        <w:br/>
      </w:r>
      <w:r>
        <w:rPr>
          <w:rFonts w:hint="cs"/>
          <w:sz w:val="20"/>
          <w:szCs w:val="20"/>
          <w:rtl/>
        </w:rPr>
        <w:t xml:space="preserve">ב. </w:t>
      </w:r>
      <w:r w:rsidRPr="00CE6729">
        <w:rPr>
          <w:rFonts w:hint="cs"/>
          <w:b/>
          <w:bCs/>
          <w:sz w:val="20"/>
          <w:szCs w:val="20"/>
          <w:rtl/>
        </w:rPr>
        <w:t>ב"ח</w:t>
      </w:r>
      <w:r>
        <w:rPr>
          <w:rFonts w:hint="cs"/>
          <w:sz w:val="20"/>
          <w:szCs w:val="20"/>
          <w:rtl/>
        </w:rPr>
        <w:t xml:space="preserve"> </w:t>
      </w:r>
      <w:r>
        <w:rPr>
          <w:sz w:val="20"/>
          <w:szCs w:val="20"/>
          <w:rtl/>
        </w:rPr>
        <w:t>–</w:t>
      </w:r>
      <w:r>
        <w:rPr>
          <w:rFonts w:hint="cs"/>
          <w:sz w:val="20"/>
          <w:szCs w:val="20"/>
          <w:rtl/>
        </w:rPr>
        <w:t xml:space="preserve"> הטובלת ביום ז' לא עלתה לה טבילה, וכתב </w:t>
      </w:r>
      <w:r w:rsidRPr="00CE6729">
        <w:rPr>
          <w:rFonts w:hint="cs"/>
          <w:b/>
          <w:bCs/>
          <w:sz w:val="20"/>
          <w:szCs w:val="20"/>
          <w:rtl/>
        </w:rPr>
        <w:t>הש"ך</w:t>
      </w:r>
      <w:r>
        <w:rPr>
          <w:rFonts w:hint="cs"/>
          <w:sz w:val="20"/>
          <w:szCs w:val="20"/>
          <w:rtl/>
        </w:rPr>
        <w:t xml:space="preserve"> שטוב להחמיר במקום שאפשר שתטבול שנית</w:t>
      </w:r>
      <w:r>
        <w:rPr>
          <w:rStyle w:val="a5"/>
          <w:sz w:val="20"/>
          <w:szCs w:val="20"/>
          <w:rtl/>
        </w:rPr>
        <w:footnoteReference w:id="587"/>
      </w:r>
      <w:r>
        <w:rPr>
          <w:rFonts w:hint="cs"/>
          <w:sz w:val="20"/>
          <w:szCs w:val="20"/>
          <w:rtl/>
        </w:rPr>
        <w:t>.</w:t>
      </w:r>
    </w:p>
    <w:p w:rsidR="00620060" w:rsidRDefault="00620060" w:rsidP="00620060">
      <w:pPr>
        <w:rPr>
          <w:sz w:val="20"/>
          <w:szCs w:val="20"/>
          <w:rtl/>
        </w:rPr>
      </w:pPr>
      <w:r>
        <w:rPr>
          <w:rFonts w:hint="cs"/>
          <w:b/>
          <w:bCs/>
          <w:sz w:val="20"/>
          <w:szCs w:val="20"/>
          <w:rtl/>
        </w:rPr>
        <w:t>הסתרת הטבילה מבעלה</w:t>
      </w:r>
      <w:r>
        <w:rPr>
          <w:b/>
          <w:bCs/>
          <w:sz w:val="20"/>
          <w:szCs w:val="20"/>
          <w:rtl/>
        </w:rPr>
        <w:br/>
      </w:r>
      <w:r>
        <w:rPr>
          <w:rFonts w:hint="cs"/>
          <w:b/>
          <w:bCs/>
          <w:sz w:val="20"/>
          <w:szCs w:val="20"/>
          <w:rtl/>
        </w:rPr>
        <w:t xml:space="preserve">אגור </w:t>
      </w:r>
      <w:r>
        <w:rPr>
          <w:sz w:val="20"/>
          <w:szCs w:val="20"/>
          <w:rtl/>
        </w:rPr>
        <w:t>–</w:t>
      </w:r>
      <w:r>
        <w:rPr>
          <w:rFonts w:hint="cs"/>
          <w:sz w:val="20"/>
          <w:szCs w:val="20"/>
          <w:rtl/>
        </w:rPr>
        <w:t xml:space="preserve"> "</w:t>
      </w:r>
      <w:r w:rsidRPr="004A7E6C">
        <w:rPr>
          <w:rFonts w:cs="Arial"/>
          <w:sz w:val="20"/>
          <w:szCs w:val="20"/>
          <w:rtl/>
        </w:rPr>
        <w:t>אותן נשים שטובלות ביום צריכות להסתיר טבילתן מבעליהן שלא ישמשו עמה ביום ויבואו לידי ספק דאורייתא</w:t>
      </w:r>
      <w:r>
        <w:rPr>
          <w:rFonts w:cs="Arial" w:hint="cs"/>
          <w:sz w:val="20"/>
          <w:szCs w:val="20"/>
          <w:rtl/>
        </w:rPr>
        <w:t xml:space="preserve">", וכ"פ </w:t>
      </w:r>
      <w:r w:rsidRPr="00D829EC">
        <w:rPr>
          <w:rFonts w:cs="Arial" w:hint="cs"/>
          <w:b/>
          <w:bCs/>
          <w:sz w:val="20"/>
          <w:szCs w:val="20"/>
          <w:rtl/>
        </w:rPr>
        <w:t>הרמ"א</w:t>
      </w:r>
      <w:r>
        <w:rPr>
          <w:rFonts w:cs="Arial" w:hint="cs"/>
          <w:sz w:val="20"/>
          <w:szCs w:val="20"/>
          <w:rtl/>
        </w:rPr>
        <w:t>.</w:t>
      </w:r>
      <w:r>
        <w:rPr>
          <w:rFonts w:cs="Arial"/>
          <w:sz w:val="20"/>
          <w:szCs w:val="20"/>
          <w:rtl/>
        </w:rPr>
        <w:br/>
      </w:r>
      <w:r w:rsidRPr="00583B59">
        <w:rPr>
          <w:rFonts w:cs="Arial" w:hint="cs"/>
          <w:b/>
          <w:bCs/>
          <w:sz w:val="20"/>
          <w:szCs w:val="20"/>
          <w:rtl/>
        </w:rPr>
        <w:t>בית יוסף</w:t>
      </w:r>
      <w:r>
        <w:rPr>
          <w:rFonts w:cs="Arial" w:hint="cs"/>
          <w:sz w:val="20"/>
          <w:szCs w:val="20"/>
          <w:rtl/>
        </w:rPr>
        <w:t xml:space="preserve"> </w:t>
      </w:r>
      <w:r>
        <w:rPr>
          <w:rFonts w:cs="Arial"/>
          <w:sz w:val="20"/>
          <w:szCs w:val="20"/>
          <w:rtl/>
        </w:rPr>
        <w:t>–</w:t>
      </w:r>
      <w:r>
        <w:rPr>
          <w:rFonts w:cs="Arial" w:hint="cs"/>
          <w:sz w:val="20"/>
          <w:szCs w:val="20"/>
          <w:rtl/>
        </w:rPr>
        <w:t xml:space="preserve"> דברי האגור טעונים ביאור. אם כוונתו לנשים הטובלות ביום השמיני, לא מובן מה שייך ספק דאורייתא, הרי איסור הטבילה בכה"ג מדרבנן. ואם כוונתו לטבילה ביום השביעי, היה צריך לומר "אם </w:t>
      </w:r>
      <w:r w:rsidRPr="00D829EC">
        <w:rPr>
          <w:rFonts w:cs="Arial" w:hint="cs"/>
          <w:sz w:val="20"/>
          <w:szCs w:val="20"/>
          <w:u w:val="single"/>
          <w:rtl/>
        </w:rPr>
        <w:t>עברה</w:t>
      </w:r>
      <w:r>
        <w:rPr>
          <w:rFonts w:cs="Arial" w:hint="cs"/>
          <w:sz w:val="20"/>
          <w:szCs w:val="20"/>
          <w:rtl/>
        </w:rPr>
        <w:t xml:space="preserve"> וטבלה".</w:t>
      </w:r>
      <w:r>
        <w:rPr>
          <w:rFonts w:cs="Arial"/>
          <w:sz w:val="20"/>
          <w:szCs w:val="20"/>
          <w:rtl/>
        </w:rPr>
        <w:br/>
      </w:r>
      <w:r>
        <w:rPr>
          <w:rFonts w:cs="Arial" w:hint="cs"/>
          <w:sz w:val="20"/>
          <w:szCs w:val="20"/>
          <w:rtl/>
        </w:rPr>
        <w:t>לכן, יש לומר שכוונתו אפילו לטובלת ביום השמיני, ואע"פ שאינה יכולה לבוא לידי ספק דאורייתא, יש להחמיר משום שבטבילת יום ז' יכולה לבוא לספק דאורייתא.</w:t>
      </w:r>
      <w:r>
        <w:rPr>
          <w:rFonts w:cs="Arial"/>
          <w:sz w:val="20"/>
          <w:szCs w:val="20"/>
          <w:rtl/>
        </w:rPr>
        <w:br/>
      </w:r>
      <w:r>
        <w:rPr>
          <w:rFonts w:cs="Arial" w:hint="cs"/>
          <w:sz w:val="20"/>
          <w:szCs w:val="20"/>
          <w:rtl/>
        </w:rPr>
        <w:t xml:space="preserve">אמנם, </w:t>
      </w:r>
      <w:r w:rsidRPr="00D829EC">
        <w:rPr>
          <w:rFonts w:cs="Arial" w:hint="cs"/>
          <w:b/>
          <w:bCs/>
          <w:sz w:val="20"/>
          <w:szCs w:val="20"/>
          <w:rtl/>
        </w:rPr>
        <w:t>הבית יוסף</w:t>
      </w:r>
      <w:r>
        <w:rPr>
          <w:rFonts w:cs="Arial" w:hint="cs"/>
          <w:sz w:val="20"/>
          <w:szCs w:val="20"/>
          <w:rtl/>
        </w:rPr>
        <w:t xml:space="preserve"> מסיים שאם זו כוונת </w:t>
      </w:r>
      <w:r w:rsidRPr="00D829EC">
        <w:rPr>
          <w:rFonts w:cs="Arial" w:hint="cs"/>
          <w:b/>
          <w:bCs/>
          <w:sz w:val="20"/>
          <w:szCs w:val="20"/>
          <w:rtl/>
        </w:rPr>
        <w:t>האגור</w:t>
      </w:r>
      <w:r w:rsidRPr="00D829EC">
        <w:rPr>
          <w:rFonts w:hint="cs"/>
          <w:b/>
          <w:bCs/>
          <w:sz w:val="20"/>
          <w:szCs w:val="20"/>
          <w:rtl/>
        </w:rPr>
        <w:t xml:space="preserve"> </w:t>
      </w:r>
      <w:r>
        <w:rPr>
          <w:rFonts w:hint="cs"/>
          <w:sz w:val="20"/>
          <w:szCs w:val="20"/>
          <w:rtl/>
        </w:rPr>
        <w:t>הרי שזו חומרה יתרה.</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רמ"א </w:t>
      </w:r>
      <w:r>
        <w:rPr>
          <w:sz w:val="20"/>
          <w:szCs w:val="20"/>
          <w:rtl/>
        </w:rPr>
        <w:t>–</w:t>
      </w:r>
      <w:r>
        <w:rPr>
          <w:rFonts w:hint="cs"/>
          <w:sz w:val="20"/>
          <w:szCs w:val="20"/>
          <w:rtl/>
        </w:rPr>
        <w:t xml:space="preserve"> </w:t>
      </w:r>
      <w:r w:rsidRPr="00274E54">
        <w:rPr>
          <w:rFonts w:hint="cs"/>
          <w:sz w:val="18"/>
          <w:szCs w:val="18"/>
          <w:rtl/>
        </w:rPr>
        <w:t>"</w:t>
      </w:r>
      <w:r w:rsidRPr="00274E54">
        <w:rPr>
          <w:rFonts w:cs="Arial"/>
          <w:sz w:val="18"/>
          <w:szCs w:val="18"/>
          <w:rtl/>
        </w:rPr>
        <w:t>ומכל מקום לא תשמש אפילו בשמיני עד הלילה, ותסתיר טבילתה מבעלה עד הלילה</w:t>
      </w:r>
      <w:r w:rsidRPr="00274E54">
        <w:rPr>
          <w:rFonts w:cs="Arial" w:hint="cs"/>
          <w:sz w:val="18"/>
          <w:szCs w:val="18"/>
          <w:rtl/>
        </w:rPr>
        <w:t>".</w:t>
      </w:r>
      <w:r>
        <w:rPr>
          <w:rFonts w:hint="cs"/>
          <w:sz w:val="20"/>
          <w:szCs w:val="20"/>
          <w:rtl/>
        </w:rPr>
        <w:br/>
        <w:t xml:space="preserve">ודעת </w:t>
      </w:r>
      <w:r w:rsidRPr="00CE6729">
        <w:rPr>
          <w:rFonts w:hint="cs"/>
          <w:b/>
          <w:bCs/>
          <w:sz w:val="20"/>
          <w:szCs w:val="20"/>
          <w:rtl/>
        </w:rPr>
        <w:t>הבית יוסף</w:t>
      </w:r>
      <w:r>
        <w:rPr>
          <w:rFonts w:hint="cs"/>
          <w:sz w:val="20"/>
          <w:szCs w:val="20"/>
          <w:rtl/>
        </w:rPr>
        <w:t xml:space="preserve">, כמבואר לעיל בסמוך, שהטובלת ביום ח' אינה צריכה להסתיר את טבילתה מבעלה. </w:t>
      </w:r>
    </w:p>
    <w:p w:rsidR="00620060"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7C3086">
        <w:rPr>
          <w:rFonts w:hint="cs"/>
          <w:sz w:val="20"/>
          <w:szCs w:val="20"/>
          <w:rtl/>
        </w:rPr>
        <w:t xml:space="preserve">עברה וטבלה ביום ז'. </w:t>
      </w:r>
      <w:r w:rsidRPr="007C3086">
        <w:rPr>
          <w:rFonts w:hint="cs"/>
          <w:b/>
          <w:bCs/>
          <w:sz w:val="20"/>
          <w:szCs w:val="20"/>
          <w:rtl/>
        </w:rPr>
        <w:t>ראב"ד</w:t>
      </w:r>
      <w:r w:rsidRPr="007C3086">
        <w:rPr>
          <w:rFonts w:hint="cs"/>
          <w:sz w:val="20"/>
          <w:szCs w:val="20"/>
          <w:rtl/>
        </w:rPr>
        <w:t xml:space="preserve">. לא עלתה לה טבילה. </w:t>
      </w:r>
      <w:r w:rsidRPr="007C3086">
        <w:rPr>
          <w:rFonts w:hint="cs"/>
          <w:b/>
          <w:bCs/>
          <w:sz w:val="20"/>
          <w:szCs w:val="20"/>
          <w:rtl/>
        </w:rPr>
        <w:t>רשב"א</w:t>
      </w:r>
      <w:r w:rsidRPr="007C3086">
        <w:rPr>
          <w:rFonts w:hint="cs"/>
          <w:sz w:val="20"/>
          <w:szCs w:val="20"/>
          <w:rtl/>
        </w:rPr>
        <w:t xml:space="preserve">. עלתה לה טבילה. </w:t>
      </w:r>
      <w:r w:rsidRPr="007C3086">
        <w:rPr>
          <w:rFonts w:hint="cs"/>
          <w:b/>
          <w:bCs/>
          <w:sz w:val="20"/>
          <w:szCs w:val="20"/>
          <w:rtl/>
        </w:rPr>
        <w:t>טעם</w:t>
      </w:r>
      <w:r w:rsidRPr="007C3086">
        <w:rPr>
          <w:rFonts w:hint="cs"/>
          <w:sz w:val="20"/>
          <w:szCs w:val="20"/>
          <w:rtl/>
        </w:rPr>
        <w:t xml:space="preserve">. איסור הטבילה מורכב </w:t>
      </w:r>
      <w:r w:rsidRPr="007C3086">
        <w:rPr>
          <w:rFonts w:hint="cs"/>
          <w:sz w:val="20"/>
          <w:szCs w:val="20"/>
          <w:rtl/>
        </w:rPr>
        <w:lastRenderedPageBreak/>
        <w:t>מכמה חששות רחוקים. עברה וטבלה ביום ח'.</w:t>
      </w:r>
      <w:r>
        <w:rPr>
          <w:rFonts w:hint="cs"/>
          <w:sz w:val="20"/>
          <w:szCs w:val="20"/>
          <w:rtl/>
        </w:rPr>
        <w:t xml:space="preserve"> </w:t>
      </w:r>
      <w:r w:rsidRPr="00EB6275">
        <w:rPr>
          <w:rFonts w:hint="cs"/>
          <w:b/>
          <w:bCs/>
          <w:sz w:val="20"/>
          <w:szCs w:val="20"/>
          <w:rtl/>
        </w:rPr>
        <w:t>טור</w:t>
      </w:r>
      <w:r>
        <w:rPr>
          <w:rFonts w:hint="cs"/>
          <w:sz w:val="20"/>
          <w:szCs w:val="20"/>
          <w:rtl/>
        </w:rPr>
        <w:t>. לכו"ע עלתה לה טבילה.</w:t>
      </w:r>
      <w:r>
        <w:rPr>
          <w:sz w:val="20"/>
          <w:szCs w:val="20"/>
          <w:rtl/>
        </w:rPr>
        <w:br/>
      </w:r>
      <w:r>
        <w:rPr>
          <w:rFonts w:hint="cs"/>
          <w:sz w:val="20"/>
          <w:szCs w:val="20"/>
          <w:rtl/>
        </w:rPr>
        <w:t xml:space="preserve">2. </w:t>
      </w:r>
      <w:r w:rsidRPr="00EB6275">
        <w:rPr>
          <w:rFonts w:hint="cs"/>
          <w:b/>
          <w:bCs/>
          <w:sz w:val="20"/>
          <w:szCs w:val="20"/>
          <w:rtl/>
        </w:rPr>
        <w:t>מחבר</w:t>
      </w:r>
      <w:r>
        <w:rPr>
          <w:rFonts w:hint="cs"/>
          <w:sz w:val="20"/>
          <w:szCs w:val="20"/>
          <w:rtl/>
        </w:rPr>
        <w:t xml:space="preserve">. הטובלת ביום ז' או ח' עלתה לה טבילה. </w:t>
      </w:r>
      <w:r w:rsidRPr="00EB6275">
        <w:rPr>
          <w:rFonts w:hint="cs"/>
          <w:b/>
          <w:bCs/>
          <w:sz w:val="20"/>
          <w:szCs w:val="20"/>
          <w:rtl/>
        </w:rPr>
        <w:t>ב"ח</w:t>
      </w:r>
      <w:r>
        <w:rPr>
          <w:rFonts w:hint="cs"/>
          <w:sz w:val="20"/>
          <w:szCs w:val="20"/>
          <w:rtl/>
        </w:rPr>
        <w:t xml:space="preserve">. ביום ז' לא עלתה לה טבילה, וכ"כ </w:t>
      </w:r>
      <w:r w:rsidRPr="00EB6275">
        <w:rPr>
          <w:rFonts w:hint="cs"/>
          <w:b/>
          <w:bCs/>
          <w:sz w:val="20"/>
          <w:szCs w:val="20"/>
          <w:rtl/>
        </w:rPr>
        <w:t>הש"ך</w:t>
      </w:r>
      <w:r>
        <w:rPr>
          <w:rFonts w:hint="cs"/>
          <w:sz w:val="20"/>
          <w:szCs w:val="20"/>
          <w:rtl/>
        </w:rPr>
        <w:t xml:space="preserve"> לכתחילה.</w:t>
      </w:r>
      <w:r>
        <w:rPr>
          <w:sz w:val="20"/>
          <w:szCs w:val="20"/>
          <w:rtl/>
        </w:rPr>
        <w:br/>
      </w:r>
      <w:r>
        <w:rPr>
          <w:rFonts w:hint="cs"/>
          <w:sz w:val="20"/>
          <w:szCs w:val="20"/>
          <w:rtl/>
        </w:rPr>
        <w:t xml:space="preserve">3. </w:t>
      </w:r>
      <w:r w:rsidRPr="00EB6275">
        <w:rPr>
          <w:rFonts w:hint="cs"/>
          <w:b/>
          <w:bCs/>
          <w:sz w:val="20"/>
          <w:szCs w:val="20"/>
          <w:rtl/>
        </w:rPr>
        <w:t>אגור</w:t>
      </w:r>
      <w:r>
        <w:rPr>
          <w:rFonts w:hint="cs"/>
          <w:sz w:val="20"/>
          <w:szCs w:val="20"/>
          <w:rtl/>
        </w:rPr>
        <w:t xml:space="preserve">. הטובלת ביום צריכה להסתיר את טבילתה מבעלה עד הלילה. </w:t>
      </w:r>
      <w:r w:rsidRPr="00EB6275">
        <w:rPr>
          <w:rFonts w:hint="cs"/>
          <w:b/>
          <w:bCs/>
          <w:sz w:val="20"/>
          <w:szCs w:val="20"/>
          <w:rtl/>
        </w:rPr>
        <w:t>ב"י</w:t>
      </w:r>
      <w:r>
        <w:rPr>
          <w:rFonts w:hint="cs"/>
          <w:sz w:val="20"/>
          <w:szCs w:val="20"/>
          <w:rtl/>
        </w:rPr>
        <w:t xml:space="preserve">. לא מובן האם האגור החמיר רק בז' או גם בח', ונראה שכוונתו לח' וזו חומרה גדולה ואין לחוש לה </w:t>
      </w:r>
      <w:r w:rsidRPr="00EB6275">
        <w:rPr>
          <w:rFonts w:hint="cs"/>
          <w:sz w:val="18"/>
          <w:szCs w:val="18"/>
          <w:rtl/>
        </w:rPr>
        <w:t>(משמע שביום ז' קיבל את חומרת האגור)</w:t>
      </w:r>
      <w:r>
        <w:rPr>
          <w:rFonts w:hint="cs"/>
          <w:sz w:val="20"/>
          <w:szCs w:val="20"/>
          <w:rtl/>
        </w:rPr>
        <w:t xml:space="preserve">. </w:t>
      </w:r>
      <w:r>
        <w:rPr>
          <w:sz w:val="20"/>
          <w:szCs w:val="20"/>
          <w:rtl/>
        </w:rPr>
        <w:br/>
      </w:r>
      <w:r w:rsidRPr="00EB6275">
        <w:rPr>
          <w:rFonts w:hint="cs"/>
          <w:b/>
          <w:bCs/>
          <w:sz w:val="20"/>
          <w:szCs w:val="20"/>
          <w:rtl/>
        </w:rPr>
        <w:t>רמ"א</w:t>
      </w:r>
      <w:r>
        <w:rPr>
          <w:rFonts w:hint="cs"/>
          <w:sz w:val="20"/>
          <w:szCs w:val="20"/>
          <w:rtl/>
        </w:rPr>
        <w:t>. הטובלת ביום ז' או ח' תסתיר את טבילתה מבעלה.</w:t>
      </w: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Pr="00BB7FB5" w:rsidRDefault="00620060" w:rsidP="00620060">
      <w:pPr>
        <w:rPr>
          <w:b/>
          <w:bCs/>
          <w:sz w:val="20"/>
          <w:szCs w:val="20"/>
          <w:rtl/>
        </w:rPr>
      </w:pPr>
      <w:r w:rsidRPr="00BB7FB5">
        <w:rPr>
          <w:rFonts w:hint="cs"/>
          <w:b/>
          <w:bCs/>
          <w:sz w:val="20"/>
          <w:szCs w:val="20"/>
          <w:rtl/>
        </w:rPr>
        <w:lastRenderedPageBreak/>
        <w:t>בעזרת ה' יתברך</w:t>
      </w:r>
    </w:p>
    <w:p w:rsidR="00620060" w:rsidRPr="00BB7FB5" w:rsidRDefault="00620060" w:rsidP="00620060">
      <w:pPr>
        <w:rPr>
          <w:b/>
          <w:bCs/>
          <w:sz w:val="20"/>
          <w:szCs w:val="20"/>
          <w:rtl/>
        </w:rPr>
      </w:pPr>
      <w:r w:rsidRPr="00BB7FB5">
        <w:rPr>
          <w:rFonts w:hint="cs"/>
          <w:b/>
          <w:bCs/>
          <w:sz w:val="20"/>
          <w:szCs w:val="20"/>
          <w:rtl/>
        </w:rPr>
        <w:t xml:space="preserve">סימן קצח </w:t>
      </w:r>
      <w:r w:rsidRPr="00BB7FB5">
        <w:rPr>
          <w:b/>
          <w:bCs/>
          <w:sz w:val="20"/>
          <w:szCs w:val="20"/>
          <w:rtl/>
        </w:rPr>
        <w:t>–</w:t>
      </w:r>
      <w:r w:rsidRPr="00BB7FB5">
        <w:rPr>
          <w:rFonts w:hint="cs"/>
          <w:b/>
          <w:bCs/>
          <w:sz w:val="20"/>
          <w:szCs w:val="20"/>
          <w:rtl/>
        </w:rPr>
        <w:t xml:space="preserve"> דיני הטבילה וחציצה</w:t>
      </w:r>
    </w:p>
    <w:p w:rsidR="00620060" w:rsidRPr="006D6295" w:rsidRDefault="00620060" w:rsidP="00620060">
      <w:pPr>
        <w:rPr>
          <w:rFonts w:cs="Arial"/>
          <w:sz w:val="20"/>
          <w:szCs w:val="20"/>
          <w:rtl/>
        </w:rPr>
      </w:pPr>
      <w:r w:rsidRPr="00BB7FB5">
        <w:rPr>
          <w:rFonts w:hint="cs"/>
          <w:b/>
          <w:bCs/>
          <w:sz w:val="20"/>
          <w:szCs w:val="20"/>
          <w:rtl/>
        </w:rPr>
        <w:t>סעיף א</w:t>
      </w:r>
      <w:r>
        <w:rPr>
          <w:rFonts w:hint="cs"/>
          <w:b/>
          <w:bCs/>
          <w:sz w:val="20"/>
          <w:szCs w:val="20"/>
          <w:rtl/>
        </w:rPr>
        <w:t xml:space="preserve"> </w:t>
      </w:r>
      <w:r>
        <w:rPr>
          <w:b/>
          <w:bCs/>
          <w:sz w:val="20"/>
          <w:szCs w:val="20"/>
          <w:rtl/>
        </w:rPr>
        <w:t>–</w:t>
      </w:r>
      <w:r>
        <w:rPr>
          <w:rFonts w:hint="cs"/>
          <w:b/>
          <w:bCs/>
          <w:sz w:val="20"/>
          <w:szCs w:val="20"/>
          <w:rtl/>
        </w:rPr>
        <w:t xml:space="preserve"> דין מיעוטו שמקפיד עליו</w:t>
      </w:r>
      <w:r>
        <w:rPr>
          <w:b/>
          <w:bCs/>
          <w:sz w:val="20"/>
          <w:szCs w:val="20"/>
          <w:rtl/>
        </w:rPr>
        <w:br/>
      </w:r>
      <w:r>
        <w:rPr>
          <w:rFonts w:hint="cs"/>
          <w:b/>
          <w:bCs/>
          <w:sz w:val="20"/>
          <w:szCs w:val="20"/>
          <w:rtl/>
        </w:rPr>
        <w:t>מקור הדין שחציצה מעכבת</w:t>
      </w:r>
      <w:r>
        <w:rPr>
          <w:rFonts w:hint="cs"/>
          <w:b/>
          <w:bCs/>
          <w:sz w:val="20"/>
          <w:szCs w:val="20"/>
          <w:rtl/>
        </w:rPr>
        <w:br/>
      </w:r>
      <w:r>
        <w:rPr>
          <w:rFonts w:hint="cs"/>
          <w:sz w:val="20"/>
          <w:szCs w:val="20"/>
          <w:rtl/>
        </w:rPr>
        <w:t xml:space="preserve">ספר </w:t>
      </w:r>
      <w:r w:rsidRPr="00BB7FB5">
        <w:rPr>
          <w:rFonts w:hint="cs"/>
          <w:b/>
          <w:bCs/>
          <w:sz w:val="20"/>
          <w:szCs w:val="20"/>
          <w:rtl/>
        </w:rPr>
        <w:t>ויקרא</w:t>
      </w:r>
      <w:r>
        <w:rPr>
          <w:rFonts w:hint="cs"/>
          <w:sz w:val="20"/>
          <w:szCs w:val="20"/>
          <w:rtl/>
        </w:rPr>
        <w:t xml:space="preserve"> (כב, ה) "</w:t>
      </w:r>
      <w:r w:rsidRPr="006D6295">
        <w:rPr>
          <w:rFonts w:cs="Arial"/>
          <w:sz w:val="20"/>
          <w:szCs w:val="20"/>
          <w:rtl/>
        </w:rPr>
        <w:t>אוֹ אִישׁ אֲשֶׁר יִגַּע בְּכָל שֶׁרֶץ אֲשֶׁר יִטְמָא לוֹ אוֹ בְאָדָם אֲשֶׁר יִטְמָא לוֹ לְכֹל טֻמְאָתוֹ:</w:t>
      </w:r>
      <w:r>
        <w:rPr>
          <w:rFonts w:cs="Arial" w:hint="cs"/>
          <w:sz w:val="20"/>
          <w:szCs w:val="20"/>
          <w:rtl/>
        </w:rPr>
        <w:t xml:space="preserve"> </w:t>
      </w:r>
      <w:r w:rsidRPr="006D6295">
        <w:rPr>
          <w:rFonts w:cs="Arial"/>
          <w:sz w:val="20"/>
          <w:szCs w:val="20"/>
          <w:rtl/>
        </w:rPr>
        <w:t>נֶפֶשׁ אֲשֶׁר תִּגַּע בּוֹ וְטָמְאָה עַד הָעָרֶב וְלֹא יֹאכַל מִן הַקֳּדָשִׁים כִּי אִם רָחַץ בְּשָׂרוֹ בַּמָּיִם:</w:t>
      </w:r>
      <w:r>
        <w:rPr>
          <w:rFonts w:cs="Arial" w:hint="cs"/>
          <w:sz w:val="20"/>
          <w:szCs w:val="20"/>
          <w:rtl/>
        </w:rPr>
        <w:t xml:space="preserve"> </w:t>
      </w:r>
      <w:r w:rsidRPr="006D6295">
        <w:rPr>
          <w:rFonts w:cs="Arial"/>
          <w:sz w:val="20"/>
          <w:szCs w:val="20"/>
          <w:rtl/>
        </w:rPr>
        <w:t>וּבָא הַשֶּׁמֶשׁ וְטָהֵר וְאַחַר יֹאכַל מִן</w:t>
      </w:r>
      <w:r>
        <w:rPr>
          <w:rFonts w:cs="Arial"/>
          <w:sz w:val="20"/>
          <w:szCs w:val="20"/>
          <w:rtl/>
        </w:rPr>
        <w:t xml:space="preserve"> הַקֳּדָשִׁים כִּי לַחְמוֹ הוּא</w:t>
      </w:r>
      <w:r>
        <w:rPr>
          <w:rFonts w:cs="Arial" w:hint="cs"/>
          <w:sz w:val="20"/>
          <w:szCs w:val="20"/>
          <w:rtl/>
        </w:rPr>
        <w:t>"</w:t>
      </w:r>
      <w:r>
        <w:rPr>
          <w:rFonts w:hint="cs"/>
          <w:sz w:val="20"/>
          <w:szCs w:val="20"/>
          <w:rtl/>
        </w:rPr>
        <w:t>.</w:t>
      </w:r>
      <w:r>
        <w:rPr>
          <w:rFonts w:hint="cs"/>
          <w:sz w:val="20"/>
          <w:szCs w:val="20"/>
          <w:rtl/>
        </w:rPr>
        <w:br/>
      </w:r>
      <w:r w:rsidRPr="00BB7FB5">
        <w:rPr>
          <w:rFonts w:hint="cs"/>
          <w:b/>
          <w:bCs/>
          <w:sz w:val="20"/>
          <w:szCs w:val="20"/>
          <w:rtl/>
        </w:rPr>
        <w:t>ספרא</w:t>
      </w:r>
      <w:r>
        <w:rPr>
          <w:rFonts w:hint="cs"/>
          <w:sz w:val="20"/>
          <w:szCs w:val="20"/>
          <w:rtl/>
        </w:rPr>
        <w:t xml:space="preserve"> </w:t>
      </w:r>
      <w:r>
        <w:rPr>
          <w:sz w:val="20"/>
          <w:szCs w:val="20"/>
          <w:rtl/>
        </w:rPr>
        <w:t>–</w:t>
      </w:r>
      <w:r>
        <w:rPr>
          <w:rFonts w:hint="cs"/>
          <w:sz w:val="20"/>
          <w:szCs w:val="20"/>
          <w:rtl/>
        </w:rPr>
        <w:t xml:space="preserve"> "</w:t>
      </w:r>
      <w:r w:rsidRPr="00BB7FB5">
        <w:rPr>
          <w:rFonts w:cs="Arial"/>
          <w:sz w:val="20"/>
          <w:szCs w:val="20"/>
          <w:rtl/>
        </w:rPr>
        <w:t>כי אם רחץ בשרו, יכול יהיה מרחיץ אבר אבר</w:t>
      </w:r>
      <w:r>
        <w:rPr>
          <w:rFonts w:cs="Arial" w:hint="cs"/>
          <w:sz w:val="20"/>
          <w:szCs w:val="20"/>
          <w:rtl/>
        </w:rPr>
        <w:t>?</w:t>
      </w:r>
      <w:r w:rsidRPr="00BB7FB5">
        <w:rPr>
          <w:rFonts w:cs="Arial"/>
          <w:sz w:val="20"/>
          <w:szCs w:val="20"/>
          <w:rtl/>
        </w:rPr>
        <w:t xml:space="preserve"> ת</w:t>
      </w:r>
      <w:r>
        <w:rPr>
          <w:rFonts w:cs="Arial" w:hint="cs"/>
          <w:sz w:val="20"/>
          <w:szCs w:val="20"/>
          <w:rtl/>
        </w:rPr>
        <w:t>למוד לומר:</w:t>
      </w:r>
      <w:r w:rsidRPr="00BB7FB5">
        <w:rPr>
          <w:rFonts w:cs="Arial"/>
          <w:sz w:val="20"/>
          <w:szCs w:val="20"/>
          <w:rtl/>
        </w:rPr>
        <w:t xml:space="preserve"> </w:t>
      </w:r>
      <w:r>
        <w:rPr>
          <w:rFonts w:cs="Arial" w:hint="cs"/>
          <w:sz w:val="20"/>
          <w:szCs w:val="20"/>
          <w:rtl/>
        </w:rPr>
        <w:t>"</w:t>
      </w:r>
      <w:r w:rsidRPr="00BB7FB5">
        <w:rPr>
          <w:rFonts w:cs="Arial"/>
          <w:sz w:val="20"/>
          <w:szCs w:val="20"/>
          <w:rtl/>
        </w:rPr>
        <w:t>ובא השמש וטהר</w:t>
      </w:r>
      <w:r>
        <w:rPr>
          <w:rFonts w:cs="Arial" w:hint="cs"/>
          <w:sz w:val="20"/>
          <w:szCs w:val="20"/>
          <w:rtl/>
        </w:rPr>
        <w:t>"</w:t>
      </w:r>
      <w:r w:rsidRPr="00BB7FB5">
        <w:rPr>
          <w:rFonts w:cs="Arial"/>
          <w:sz w:val="20"/>
          <w:szCs w:val="20"/>
          <w:rtl/>
        </w:rPr>
        <w:t xml:space="preserve"> מה ביאת ש</w:t>
      </w:r>
      <w:r>
        <w:rPr>
          <w:rFonts w:cs="Arial"/>
          <w:sz w:val="20"/>
          <w:szCs w:val="20"/>
          <w:rtl/>
        </w:rPr>
        <w:t>משו כולן כאחת</w:t>
      </w:r>
      <w:r>
        <w:rPr>
          <w:rFonts w:cs="Arial" w:hint="cs"/>
          <w:sz w:val="20"/>
          <w:szCs w:val="20"/>
          <w:rtl/>
        </w:rPr>
        <w:t>,</w:t>
      </w:r>
      <w:r>
        <w:rPr>
          <w:rFonts w:cs="Arial"/>
          <w:sz w:val="20"/>
          <w:szCs w:val="20"/>
          <w:rtl/>
        </w:rPr>
        <w:t xml:space="preserve"> אף במים כולן כאחת</w:t>
      </w:r>
      <w:r>
        <w:rPr>
          <w:rFonts w:cs="Arial" w:hint="cs"/>
          <w:sz w:val="20"/>
          <w:szCs w:val="20"/>
          <w:rtl/>
        </w:rPr>
        <w:t>".</w:t>
      </w:r>
    </w:p>
    <w:p w:rsidR="00620060" w:rsidRDefault="00620060" w:rsidP="00620060">
      <w:pPr>
        <w:rPr>
          <w:sz w:val="20"/>
          <w:szCs w:val="20"/>
          <w:rtl/>
        </w:rPr>
      </w:pPr>
      <w:r>
        <w:rPr>
          <w:rFonts w:hint="cs"/>
          <w:sz w:val="20"/>
          <w:szCs w:val="20"/>
          <w:u w:val="single"/>
          <w:rtl/>
        </w:rPr>
        <w:t>הסבר</w:t>
      </w:r>
      <w:r>
        <w:rPr>
          <w:sz w:val="20"/>
          <w:szCs w:val="20"/>
          <w:u w:val="single"/>
          <w:rtl/>
        </w:rPr>
        <w:br/>
      </w:r>
      <w:r>
        <w:rPr>
          <w:rFonts w:hint="cs"/>
          <w:sz w:val="20"/>
          <w:szCs w:val="20"/>
          <w:rtl/>
        </w:rPr>
        <w:t>על פי האמור בספרא, יש ללמוד שאם יש חציצה על גוף הטובל ומחמת כן טבילתו פסולה, אין מועיל שיסיר את החציצה ויכניס את אותו המקום בלבד למים, משום שצריך כל גופו לבוא במים כאחד.</w:t>
      </w:r>
    </w:p>
    <w:p w:rsidR="00620060" w:rsidRPr="005308A8" w:rsidRDefault="00620060" w:rsidP="00620060">
      <w:pPr>
        <w:rPr>
          <w:sz w:val="20"/>
          <w:szCs w:val="20"/>
          <w:rtl/>
        </w:rPr>
      </w:pPr>
      <w:r>
        <w:rPr>
          <w:rFonts w:hint="cs"/>
          <w:b/>
          <w:bCs/>
          <w:sz w:val="20"/>
          <w:szCs w:val="20"/>
          <w:rtl/>
        </w:rPr>
        <w:t>חציצה דאורייתא / הלכה למשה מסיני</w:t>
      </w:r>
      <w:r>
        <w:rPr>
          <w:b/>
          <w:bCs/>
          <w:sz w:val="20"/>
          <w:szCs w:val="20"/>
          <w:rtl/>
        </w:rPr>
        <w:br/>
      </w:r>
      <w:r>
        <w:rPr>
          <w:rFonts w:hint="cs"/>
          <w:b/>
          <w:bCs/>
          <w:sz w:val="20"/>
          <w:szCs w:val="20"/>
          <w:rtl/>
        </w:rPr>
        <w:t xml:space="preserve">גמרא </w:t>
      </w:r>
      <w:r>
        <w:rPr>
          <w:rFonts w:hint="cs"/>
          <w:sz w:val="20"/>
          <w:szCs w:val="20"/>
          <w:rtl/>
        </w:rPr>
        <w:t>סוכה (ה: - ו:) "</w:t>
      </w:r>
      <w:r w:rsidRPr="005308A8">
        <w:rPr>
          <w:rFonts w:cs="Arial"/>
          <w:sz w:val="20"/>
          <w:szCs w:val="20"/>
          <w:rtl/>
        </w:rPr>
        <w:t>אמר רבי חייא בר אשי אמר רב: שיעורין חציצין ומחיצין הלכה למשה מסיני</w:t>
      </w:r>
      <w:r>
        <w:rPr>
          <w:rFonts w:hint="cs"/>
          <w:sz w:val="20"/>
          <w:szCs w:val="20"/>
          <w:rtl/>
        </w:rPr>
        <w:t xml:space="preserve">... </w:t>
      </w:r>
      <w:r>
        <w:rPr>
          <w:sz w:val="20"/>
          <w:szCs w:val="20"/>
          <w:rtl/>
        </w:rPr>
        <w:br/>
      </w:r>
      <w:r w:rsidRPr="005308A8">
        <w:rPr>
          <w:rFonts w:cs="Arial"/>
          <w:sz w:val="20"/>
          <w:szCs w:val="20"/>
          <w:rtl/>
        </w:rPr>
        <w:t>חציצין דאורייתא נינהו, דכתיב ורחץ במים - שלא יהא דבר חוצץ בינו לבין המים! - כי אתאי הלכתא לשערו, כדרבה בר בר חנה. דאמר רבה בר בר חנה: נימא אחת קשורה - חוצצת, שלש - אינן חוצצות. שתים איני יודע. - שערו נמי דאורייתא נינהו, דכתיב ורחץ את בשרו במים - את הטפל לבשרו, ומאי ניהו - שערו! - כי אתאי הלכתא - לכדרבי יצחק. דאמר רבי יצחק:</w:t>
      </w:r>
      <w:r w:rsidRPr="005308A8">
        <w:rPr>
          <w:rtl/>
        </w:rPr>
        <w:t xml:space="preserve"> </w:t>
      </w:r>
      <w:r w:rsidRPr="005308A8">
        <w:rPr>
          <w:rFonts w:cs="Arial"/>
          <w:sz w:val="20"/>
          <w:szCs w:val="20"/>
          <w:rtl/>
        </w:rPr>
        <w:t>דבר תורה, רובו ומקפיד עליו - חוצץ, ושאינו מקפיד עליו - אינו חוצץ. וגזרו על רובו שאינו מקפיד משום רובו המקפיד, ועל</w:t>
      </w:r>
      <w:r>
        <w:rPr>
          <w:rFonts w:cs="Arial"/>
          <w:sz w:val="20"/>
          <w:szCs w:val="20"/>
          <w:rtl/>
        </w:rPr>
        <w:t xml:space="preserve"> מיעוטו המקפיד משום רובו המקפיד</w:t>
      </w:r>
      <w:r>
        <w:rPr>
          <w:rFonts w:cs="Arial" w:hint="cs"/>
          <w:sz w:val="20"/>
          <w:szCs w:val="20"/>
          <w:rtl/>
        </w:rPr>
        <w:t>".</w:t>
      </w:r>
    </w:p>
    <w:p w:rsidR="00620060" w:rsidRDefault="00620060" w:rsidP="00620060">
      <w:pPr>
        <w:rPr>
          <w:rFonts w:cs="Arial"/>
          <w:sz w:val="20"/>
          <w:szCs w:val="20"/>
          <w:rtl/>
        </w:rPr>
      </w:pPr>
      <w:r>
        <w:rPr>
          <w:rFonts w:hint="cs"/>
          <w:b/>
          <w:bCs/>
          <w:sz w:val="20"/>
          <w:szCs w:val="20"/>
          <w:rtl/>
        </w:rPr>
        <w:t>דין רוב, מיעוט והקפדה</w:t>
      </w:r>
      <w:r>
        <w:rPr>
          <w:b/>
          <w:bCs/>
          <w:sz w:val="20"/>
          <w:szCs w:val="20"/>
          <w:rtl/>
        </w:rPr>
        <w:br/>
      </w:r>
      <w:r>
        <w:rPr>
          <w:rFonts w:hint="cs"/>
          <w:b/>
          <w:bCs/>
          <w:sz w:val="20"/>
          <w:szCs w:val="20"/>
          <w:rtl/>
        </w:rPr>
        <w:t xml:space="preserve">גמרא </w:t>
      </w:r>
      <w:r>
        <w:rPr>
          <w:rFonts w:hint="cs"/>
          <w:sz w:val="20"/>
          <w:szCs w:val="20"/>
          <w:rtl/>
        </w:rPr>
        <w:t>נידה (סז:) "</w:t>
      </w:r>
      <w:r w:rsidRPr="00D00369">
        <w:rPr>
          <w:rFonts w:cs="Arial"/>
          <w:sz w:val="20"/>
          <w:szCs w:val="20"/>
          <w:rtl/>
        </w:rPr>
        <w:t>אמר ר</w:t>
      </w:r>
      <w:r>
        <w:rPr>
          <w:rFonts w:cs="Arial" w:hint="cs"/>
          <w:sz w:val="20"/>
          <w:szCs w:val="20"/>
          <w:rtl/>
        </w:rPr>
        <w:t>בי</w:t>
      </w:r>
      <w:r w:rsidRPr="00D00369">
        <w:rPr>
          <w:rFonts w:cs="Arial"/>
          <w:sz w:val="20"/>
          <w:szCs w:val="20"/>
          <w:rtl/>
        </w:rPr>
        <w:t xml:space="preserve"> יצחק, דבר תורה: רובו המקפיד עליו - חוצץ, רובו ואינו מקפיד עליו - אינו חוצץ. וגזרו על רובו שאינו מקפיד - משום רובו המקפיד, וגזרו על מיעוטו המקפיד - משום רובו המקפיד. </w:t>
      </w:r>
      <w:r>
        <w:rPr>
          <w:rFonts w:cs="Arial" w:hint="cs"/>
          <w:sz w:val="20"/>
          <w:szCs w:val="20"/>
          <w:rtl/>
        </w:rPr>
        <w:br/>
      </w:r>
      <w:r w:rsidRPr="00D00369">
        <w:rPr>
          <w:rFonts w:cs="Arial"/>
          <w:sz w:val="20"/>
          <w:szCs w:val="20"/>
          <w:rtl/>
        </w:rPr>
        <w:t>ולגזור נמי על מיעוטו שאינו מקפיד משום מיעוטו המקפיד! היא גופה גזרה, ואנן ניקום ונגזור גזרה לגזרה?</w:t>
      </w:r>
      <w:r>
        <w:rPr>
          <w:rFonts w:cs="Arial" w:hint="cs"/>
          <w:sz w:val="20"/>
          <w:szCs w:val="20"/>
          <w:rtl/>
        </w:rPr>
        <w:t>!"</w:t>
      </w:r>
    </w:p>
    <w:p w:rsidR="00620060" w:rsidRDefault="00620060" w:rsidP="00620060">
      <w:pPr>
        <w:rPr>
          <w:sz w:val="20"/>
          <w:szCs w:val="20"/>
          <w:rtl/>
        </w:rPr>
      </w:pPr>
      <w:r w:rsidRPr="00E460AF">
        <w:rPr>
          <w:rFonts w:cs="Arial" w:hint="cs"/>
          <w:b/>
          <w:bCs/>
          <w:sz w:val="20"/>
          <w:szCs w:val="20"/>
          <w:rtl/>
        </w:rPr>
        <w:t>שיטות הראשונים</w:t>
      </w:r>
      <w:r>
        <w:rPr>
          <w:rFonts w:cs="Arial"/>
          <w:sz w:val="20"/>
          <w:szCs w:val="20"/>
          <w:u w:val="single"/>
          <w:rtl/>
        </w:rPr>
        <w:br/>
      </w:r>
      <w:r>
        <w:rPr>
          <w:rFonts w:cs="Arial" w:hint="cs"/>
          <w:sz w:val="20"/>
          <w:szCs w:val="20"/>
          <w:rtl/>
        </w:rPr>
        <w:t xml:space="preserve">א. </w:t>
      </w:r>
      <w:r w:rsidRPr="00453484">
        <w:rPr>
          <w:rFonts w:cs="Arial" w:hint="cs"/>
          <w:b/>
          <w:bCs/>
          <w:sz w:val="20"/>
          <w:szCs w:val="20"/>
          <w:rtl/>
        </w:rPr>
        <w:t>רש"י</w:t>
      </w:r>
      <w:r>
        <w:rPr>
          <w:rFonts w:cs="Arial" w:hint="cs"/>
          <w:sz w:val="20"/>
          <w:szCs w:val="20"/>
          <w:rtl/>
        </w:rPr>
        <w:t xml:space="preserve"> </w:t>
      </w:r>
      <w:r>
        <w:rPr>
          <w:rFonts w:cs="Arial"/>
          <w:sz w:val="20"/>
          <w:szCs w:val="20"/>
          <w:rtl/>
        </w:rPr>
        <w:t>–</w:t>
      </w:r>
      <w:r>
        <w:rPr>
          <w:rFonts w:cs="Arial" w:hint="cs"/>
          <w:sz w:val="20"/>
          <w:szCs w:val="20"/>
          <w:rtl/>
        </w:rPr>
        <w:t xml:space="preserve"> גמרא זו נאמרה לגבי חציצה בשערו בלבד, אך בבשרו אפילו מיעוטו שאינו מקפיד עליו חוצץ.</w:t>
      </w:r>
      <w:r>
        <w:rPr>
          <w:rFonts w:hint="cs"/>
          <w:sz w:val="20"/>
          <w:szCs w:val="20"/>
          <w:rtl/>
        </w:rPr>
        <w:t xml:space="preserve"> </w:t>
      </w:r>
      <w:r>
        <w:rPr>
          <w:rFonts w:hint="cs"/>
          <w:sz w:val="20"/>
          <w:szCs w:val="20"/>
          <w:rtl/>
        </w:rPr>
        <w:br/>
        <w:t xml:space="preserve">ב. </w:t>
      </w:r>
      <w:r w:rsidRPr="00453484">
        <w:rPr>
          <w:rFonts w:hint="cs"/>
          <w:b/>
          <w:bCs/>
          <w:sz w:val="20"/>
          <w:szCs w:val="20"/>
          <w:rtl/>
        </w:rPr>
        <w:t>ר"ת</w:t>
      </w:r>
      <w:r>
        <w:rPr>
          <w:rFonts w:hint="cs"/>
          <w:sz w:val="20"/>
          <w:szCs w:val="20"/>
          <w:rtl/>
        </w:rPr>
        <w:t xml:space="preserve"> </w:t>
      </w:r>
      <w:r>
        <w:rPr>
          <w:sz w:val="20"/>
          <w:szCs w:val="20"/>
          <w:rtl/>
        </w:rPr>
        <w:t>–</w:t>
      </w:r>
      <w:r>
        <w:rPr>
          <w:rFonts w:hint="cs"/>
          <w:sz w:val="20"/>
          <w:szCs w:val="20"/>
          <w:rtl/>
        </w:rPr>
        <w:t xml:space="preserve"> גמרא זו נאמרה לגבי כל גופו של הטובל, מיעוטו שאינו מקפיד עליו אף בגופו אינו חוצץ</w:t>
      </w:r>
      <w:r>
        <w:rPr>
          <w:rStyle w:val="a5"/>
          <w:rFonts w:cs="Arial"/>
          <w:sz w:val="20"/>
          <w:szCs w:val="20"/>
          <w:rtl/>
        </w:rPr>
        <w:footnoteReference w:id="588"/>
      </w:r>
      <w:r>
        <w:rPr>
          <w:rFonts w:hint="cs"/>
          <w:sz w:val="20"/>
          <w:szCs w:val="20"/>
          <w:rtl/>
        </w:rPr>
        <w:t>.</w:t>
      </w:r>
    </w:p>
    <w:p w:rsidR="00620060" w:rsidRDefault="00620060" w:rsidP="00620060">
      <w:pPr>
        <w:rPr>
          <w:sz w:val="20"/>
          <w:szCs w:val="20"/>
          <w:rtl/>
        </w:rPr>
      </w:pPr>
      <w:r>
        <w:rPr>
          <w:rFonts w:hint="cs"/>
          <w:b/>
          <w:bCs/>
          <w:sz w:val="20"/>
          <w:szCs w:val="20"/>
          <w:rtl/>
        </w:rPr>
        <w:t>הגדרת הקפדה</w:t>
      </w:r>
      <w:r>
        <w:rPr>
          <w:rFonts w:hint="cs"/>
          <w:b/>
          <w:bCs/>
          <w:sz w:val="20"/>
          <w:szCs w:val="20"/>
          <w:rtl/>
        </w:rPr>
        <w:br/>
      </w:r>
      <w:r>
        <w:rPr>
          <w:rFonts w:hint="cs"/>
          <w:sz w:val="20"/>
          <w:szCs w:val="20"/>
          <w:u w:val="single"/>
          <w:rtl/>
        </w:rPr>
        <w:t>העולם מקפיד אך היא אינה מקפידה</w:t>
      </w:r>
      <w:r>
        <w:rPr>
          <w:rFonts w:hint="cs"/>
          <w:b/>
          <w:bCs/>
          <w:sz w:val="20"/>
          <w:szCs w:val="20"/>
          <w:rtl/>
        </w:rPr>
        <w:br/>
      </w:r>
      <w:r>
        <w:rPr>
          <w:rFonts w:hint="cs"/>
          <w:sz w:val="20"/>
          <w:szCs w:val="20"/>
          <w:rtl/>
        </w:rPr>
        <w:t>מה דין דבר שהעולם מקפיד עליו אך היא אינה מקפידה?</w:t>
      </w:r>
      <w:r>
        <w:rPr>
          <w:b/>
          <w:bCs/>
          <w:sz w:val="20"/>
          <w:szCs w:val="20"/>
          <w:rtl/>
        </w:rPr>
        <w:br/>
      </w:r>
      <w:r>
        <w:rPr>
          <w:rFonts w:hint="cs"/>
          <w:sz w:val="20"/>
          <w:szCs w:val="20"/>
          <w:rtl/>
        </w:rPr>
        <w:t xml:space="preserve">א. </w:t>
      </w:r>
      <w:r>
        <w:rPr>
          <w:rFonts w:hint="cs"/>
          <w:b/>
          <w:bCs/>
          <w:sz w:val="20"/>
          <w:szCs w:val="20"/>
          <w:rtl/>
        </w:rPr>
        <w:t xml:space="preserve">רשב"א ורבינו ירוחם </w:t>
      </w:r>
      <w:r>
        <w:rPr>
          <w:rFonts w:hint="cs"/>
          <w:sz w:val="20"/>
          <w:szCs w:val="20"/>
          <w:rtl/>
        </w:rPr>
        <w:t>- חוצץ,</w:t>
      </w:r>
      <w:r w:rsidRPr="00F35D28">
        <w:rPr>
          <w:rFonts w:hint="cs"/>
          <w:sz w:val="20"/>
          <w:szCs w:val="20"/>
          <w:rtl/>
        </w:rPr>
        <w:t xml:space="preserve"> </w:t>
      </w:r>
      <w:r>
        <w:rPr>
          <w:rFonts w:hint="cs"/>
          <w:sz w:val="20"/>
          <w:szCs w:val="20"/>
          <w:rtl/>
        </w:rPr>
        <w:t xml:space="preserve">ואפילו אם אינה מקפידה על כך לעולם, וכ"פ </w:t>
      </w:r>
      <w:r w:rsidRPr="00790035">
        <w:rPr>
          <w:rFonts w:hint="cs"/>
          <w:b/>
          <w:bCs/>
          <w:sz w:val="20"/>
          <w:szCs w:val="20"/>
          <w:rtl/>
        </w:rPr>
        <w:t>המחבר</w:t>
      </w:r>
      <w:r>
        <w:rPr>
          <w:rFonts w:hint="cs"/>
          <w:sz w:val="20"/>
          <w:szCs w:val="20"/>
          <w:rtl/>
        </w:rPr>
        <w:t>.</w:t>
      </w:r>
      <w:r>
        <w:rPr>
          <w:sz w:val="20"/>
          <w:szCs w:val="20"/>
          <w:rtl/>
        </w:rPr>
        <w:br/>
      </w:r>
      <w:r w:rsidRPr="00121BB9">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בטלה דעתה אצל שאר העולם, וכן משום שאם לא כן נתת דבריך לשיעורים.</w:t>
      </w:r>
      <w:r>
        <w:rPr>
          <w:rFonts w:hint="cs"/>
          <w:sz w:val="20"/>
          <w:szCs w:val="20"/>
          <w:rtl/>
        </w:rPr>
        <w:br/>
        <w:t xml:space="preserve">[ב. אולי משמע </w:t>
      </w:r>
      <w:r w:rsidRPr="006D6295">
        <w:rPr>
          <w:rFonts w:hint="cs"/>
          <w:b/>
          <w:bCs/>
          <w:sz w:val="20"/>
          <w:szCs w:val="20"/>
          <w:rtl/>
        </w:rPr>
        <w:t>ב</w:t>
      </w:r>
      <w:r w:rsidRPr="00121BB9">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אינו חוצץ, ועיין הערה</w:t>
      </w:r>
      <w:r>
        <w:rPr>
          <w:rStyle w:val="a5"/>
          <w:sz w:val="20"/>
          <w:szCs w:val="20"/>
          <w:rtl/>
        </w:rPr>
        <w:footnoteReference w:id="589"/>
      </w:r>
      <w:r>
        <w:rPr>
          <w:rFonts w:hint="cs"/>
          <w:sz w:val="20"/>
          <w:szCs w:val="20"/>
          <w:rtl/>
        </w:rPr>
        <w:t>.</w:t>
      </w:r>
      <w:r>
        <w:rPr>
          <w:sz w:val="20"/>
          <w:szCs w:val="20"/>
          <w:rtl/>
        </w:rPr>
        <w:br/>
      </w:r>
      <w:r w:rsidRPr="00F35D28">
        <w:rPr>
          <w:rFonts w:hint="cs"/>
          <w:b/>
          <w:bCs/>
          <w:sz w:val="20"/>
          <w:szCs w:val="20"/>
          <w:rtl/>
        </w:rPr>
        <w:t>טעם</w:t>
      </w:r>
      <w:r>
        <w:rPr>
          <w:rFonts w:hint="cs"/>
          <w:sz w:val="20"/>
          <w:szCs w:val="20"/>
          <w:rtl/>
        </w:rPr>
        <w:t xml:space="preserve"> -</w:t>
      </w:r>
      <w:r w:rsidRPr="00F35D28">
        <w:rPr>
          <w:rFonts w:hint="cs"/>
          <w:sz w:val="20"/>
          <w:szCs w:val="20"/>
          <w:rtl/>
        </w:rPr>
        <w:t xml:space="preserve"> </w:t>
      </w:r>
      <w:r>
        <w:rPr>
          <w:rFonts w:hint="cs"/>
          <w:sz w:val="20"/>
          <w:szCs w:val="20"/>
          <w:rtl/>
        </w:rPr>
        <w:t>הדבר תלוי בדעתה של הטובלת בלבד, ואם היא אינה מקפידה אינו חוצץ].</w:t>
      </w:r>
    </w:p>
    <w:p w:rsidR="00620060" w:rsidRDefault="00620060" w:rsidP="00620060">
      <w:pPr>
        <w:rPr>
          <w:sz w:val="20"/>
          <w:szCs w:val="20"/>
          <w:rtl/>
        </w:rPr>
      </w:pPr>
      <w:r w:rsidRPr="00121BB9">
        <w:rPr>
          <w:rFonts w:hint="cs"/>
          <w:sz w:val="20"/>
          <w:szCs w:val="20"/>
          <w:u w:val="single"/>
          <w:rtl/>
        </w:rPr>
        <w:t xml:space="preserve">היא מקפידה </w:t>
      </w:r>
      <w:r>
        <w:rPr>
          <w:rFonts w:hint="cs"/>
          <w:sz w:val="20"/>
          <w:szCs w:val="20"/>
          <w:u w:val="single"/>
          <w:rtl/>
        </w:rPr>
        <w:t xml:space="preserve">אך </w:t>
      </w:r>
      <w:r w:rsidRPr="00121BB9">
        <w:rPr>
          <w:rFonts w:hint="cs"/>
          <w:sz w:val="20"/>
          <w:szCs w:val="20"/>
          <w:u w:val="single"/>
          <w:rtl/>
        </w:rPr>
        <w:t>העולם אינו מקפיד</w:t>
      </w:r>
      <w:r>
        <w:rPr>
          <w:sz w:val="20"/>
          <w:szCs w:val="20"/>
          <w:u w:val="single"/>
          <w:rtl/>
        </w:rPr>
        <w:br/>
      </w:r>
      <w:r>
        <w:rPr>
          <w:rFonts w:hint="cs"/>
          <w:sz w:val="20"/>
          <w:szCs w:val="20"/>
          <w:rtl/>
        </w:rPr>
        <w:t>מה דין דבר שהיא מקפידה עליו אך רוב העולם אינו מקפיד?</w:t>
      </w:r>
      <w:r>
        <w:rPr>
          <w:sz w:val="20"/>
          <w:szCs w:val="20"/>
          <w:rtl/>
        </w:rPr>
        <w:br/>
      </w:r>
      <w:r>
        <w:rPr>
          <w:rFonts w:hint="cs"/>
          <w:sz w:val="20"/>
          <w:szCs w:val="20"/>
          <w:rtl/>
        </w:rPr>
        <w:lastRenderedPageBreak/>
        <w:t xml:space="preserve">הבית יוסף מסתפק בשאלה זו, ולמעשה תולה אותה במחלוקת ראשונים - </w:t>
      </w:r>
      <w:r>
        <w:rPr>
          <w:rFonts w:hint="cs"/>
          <w:sz w:val="20"/>
          <w:szCs w:val="20"/>
          <w:rtl/>
        </w:rPr>
        <w:br/>
        <w:t>א.</w:t>
      </w:r>
      <w:r w:rsidRPr="00E460AF">
        <w:rPr>
          <w:rFonts w:hint="cs"/>
          <w:b/>
          <w:bCs/>
          <w:sz w:val="20"/>
          <w:szCs w:val="20"/>
          <w:rtl/>
        </w:rPr>
        <w:t xml:space="preserve"> </w:t>
      </w:r>
      <w:r w:rsidRPr="00F35D28">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אינו חוצץ.</w:t>
      </w:r>
      <w:r>
        <w:rPr>
          <w:sz w:val="20"/>
          <w:szCs w:val="20"/>
          <w:rtl/>
        </w:rPr>
        <w:br/>
      </w:r>
      <w:r>
        <w:rPr>
          <w:rFonts w:hint="cs"/>
          <w:sz w:val="20"/>
          <w:szCs w:val="20"/>
          <w:rtl/>
        </w:rPr>
        <w:t xml:space="preserve">ב. </w:t>
      </w:r>
      <w:r w:rsidRPr="00F35D28">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חוצץ, וכ"פ </w:t>
      </w:r>
      <w:r w:rsidRPr="00790035">
        <w:rPr>
          <w:rFonts w:hint="cs"/>
          <w:b/>
          <w:bCs/>
          <w:sz w:val="20"/>
          <w:szCs w:val="20"/>
          <w:rtl/>
        </w:rPr>
        <w:t>הדרכ"מ והב"ח</w:t>
      </w:r>
      <w:r>
        <w:rPr>
          <w:rFonts w:hint="cs"/>
          <w:sz w:val="20"/>
          <w:szCs w:val="20"/>
          <w:rtl/>
        </w:rPr>
        <w:t>.</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790035">
        <w:rPr>
          <w:rFonts w:cs="Arial"/>
          <w:sz w:val="20"/>
          <w:szCs w:val="20"/>
          <w:rtl/>
        </w:rPr>
        <w:t>צריכה שתטבול כל גופה בפעם אחת; לפיכך צריך שלא יהיה עליה שום דבר החוצץ. ואפילו כל שהוא אם דרך בני אדם לפעמים להקפיד עליו חוצץ אפילו אם אינה מקפדת עליו עתה, או אפילו אינה מקפדת עליו לעולם כיון שדרך רוב בני אדם להקפיד עליו חוצץ; ואם הוא חופה רוב הגוף, אפילו אין דרך בני אדם להקפיד בכך, חוצץ</w:t>
      </w:r>
      <w:r>
        <w:rPr>
          <w:rFonts w:cs="Arial" w:hint="cs"/>
          <w:sz w:val="20"/>
          <w:szCs w:val="20"/>
          <w:rtl/>
        </w:rPr>
        <w:t>".</w:t>
      </w:r>
    </w:p>
    <w:p w:rsidR="00620060" w:rsidRPr="00F2248B" w:rsidRDefault="00620060" w:rsidP="00620060">
      <w:pPr>
        <w:rPr>
          <w:sz w:val="20"/>
          <w:szCs w:val="20"/>
          <w:rtl/>
        </w:rPr>
      </w:pPr>
      <w:r>
        <w:rPr>
          <w:rFonts w:hint="cs"/>
          <w:sz w:val="20"/>
          <w:szCs w:val="20"/>
          <w:u w:val="single"/>
          <w:rtl/>
        </w:rPr>
        <w:t xml:space="preserve">ביאור לשון המחבר </w:t>
      </w:r>
      <w:r>
        <w:rPr>
          <w:sz w:val="20"/>
          <w:szCs w:val="20"/>
          <w:u w:val="single"/>
          <w:rtl/>
        </w:rPr>
        <w:t>–</w:t>
      </w:r>
      <w:r>
        <w:rPr>
          <w:rFonts w:hint="cs"/>
          <w:sz w:val="20"/>
          <w:szCs w:val="20"/>
          <w:u w:val="single"/>
          <w:rtl/>
        </w:rPr>
        <w:t xml:space="preserve"> ט"ז</w:t>
      </w:r>
      <w:r>
        <w:rPr>
          <w:sz w:val="20"/>
          <w:szCs w:val="20"/>
          <w:u w:val="single"/>
          <w:rtl/>
        </w:rPr>
        <w:br/>
      </w:r>
      <w:r>
        <w:rPr>
          <w:rFonts w:hint="cs"/>
          <w:sz w:val="20"/>
          <w:szCs w:val="20"/>
          <w:rtl/>
        </w:rPr>
        <w:t>א. "</w:t>
      </w:r>
      <w:r w:rsidRPr="00790035">
        <w:rPr>
          <w:rFonts w:cs="Arial"/>
          <w:sz w:val="20"/>
          <w:szCs w:val="20"/>
          <w:rtl/>
        </w:rPr>
        <w:t>אם דרך בני אדם לפעמים להקפיד עליו חוצץ אפילו אם אינה מקפדת עליו עתה</w:t>
      </w:r>
      <w:r>
        <w:rPr>
          <w:rFonts w:hint="cs"/>
          <w:sz w:val="20"/>
          <w:szCs w:val="20"/>
          <w:rtl/>
        </w:rPr>
        <w:t>".</w:t>
      </w:r>
      <w:r>
        <w:rPr>
          <w:sz w:val="20"/>
          <w:szCs w:val="20"/>
          <w:rtl/>
        </w:rPr>
        <w:br/>
      </w:r>
      <w:r>
        <w:rPr>
          <w:rFonts w:hint="cs"/>
          <w:sz w:val="20"/>
          <w:szCs w:val="20"/>
          <w:rtl/>
        </w:rPr>
        <w:t xml:space="preserve">הסבר </w:t>
      </w:r>
      <w:r>
        <w:rPr>
          <w:sz w:val="20"/>
          <w:szCs w:val="20"/>
          <w:rtl/>
        </w:rPr>
        <w:t>–</w:t>
      </w:r>
      <w:r>
        <w:rPr>
          <w:rFonts w:hint="cs"/>
          <w:sz w:val="20"/>
          <w:szCs w:val="20"/>
          <w:rtl/>
        </w:rPr>
        <w:t xml:space="preserve"> אע"פ שאין רוב בני האדם מקפידים אלא רק קצתם, ואשה זו רגילה גם היא להקפיד על כך בפעמים אחרות רק שעכשיו אינה מקפדת, חוצץ.</w:t>
      </w:r>
      <w:r>
        <w:rPr>
          <w:rFonts w:hint="cs"/>
          <w:sz w:val="20"/>
          <w:szCs w:val="20"/>
          <w:rtl/>
        </w:rPr>
        <w:br/>
        <w:t>ב. "</w:t>
      </w:r>
      <w:r w:rsidRPr="00790035">
        <w:rPr>
          <w:rFonts w:cs="Arial"/>
          <w:sz w:val="20"/>
          <w:szCs w:val="20"/>
          <w:rtl/>
        </w:rPr>
        <w:t>או אפילו אינה מקפדת עליו לעולם כיון שדרך רוב בני אדם להקפיד עליו חוצץ</w:t>
      </w:r>
      <w:r>
        <w:rPr>
          <w:rFonts w:cs="Arial" w:hint="cs"/>
          <w:sz w:val="20"/>
          <w:szCs w:val="20"/>
          <w:rtl/>
        </w:rPr>
        <w:t>".</w:t>
      </w:r>
      <w:r>
        <w:rPr>
          <w:rFonts w:cs="Arial"/>
          <w:sz w:val="20"/>
          <w:szCs w:val="20"/>
          <w:rtl/>
        </w:rPr>
        <w:br/>
      </w:r>
      <w:r>
        <w:rPr>
          <w:rFonts w:cs="Arial" w:hint="cs"/>
          <w:sz w:val="20"/>
          <w:szCs w:val="20"/>
          <w:rtl/>
        </w:rPr>
        <w:t xml:space="preserve">הסבר </w:t>
      </w:r>
      <w:r>
        <w:rPr>
          <w:rFonts w:cs="Arial"/>
          <w:sz w:val="20"/>
          <w:szCs w:val="20"/>
          <w:rtl/>
        </w:rPr>
        <w:t>–</w:t>
      </w:r>
      <w:r>
        <w:rPr>
          <w:rFonts w:cs="Arial" w:hint="cs"/>
          <w:sz w:val="20"/>
          <w:szCs w:val="20"/>
          <w:rtl/>
        </w:rPr>
        <w:t xml:space="preserve"> היא אינה מקפידה לעולם, אך רוב בני האדם מקפידים, חוצץ.</w:t>
      </w:r>
      <w:r>
        <w:rPr>
          <w:rFonts w:cs="Arial"/>
          <w:sz w:val="20"/>
          <w:szCs w:val="20"/>
          <w:rtl/>
        </w:rPr>
        <w:br/>
      </w:r>
      <w:r>
        <w:rPr>
          <w:rFonts w:cs="Arial" w:hint="cs"/>
          <w:sz w:val="20"/>
          <w:szCs w:val="20"/>
          <w:rtl/>
        </w:rPr>
        <w:t xml:space="preserve">ג. היוצא מזה </w:t>
      </w:r>
      <w:r>
        <w:rPr>
          <w:rFonts w:cs="Arial"/>
          <w:sz w:val="20"/>
          <w:szCs w:val="20"/>
          <w:rtl/>
        </w:rPr>
        <w:t>–</w:t>
      </w:r>
      <w:r>
        <w:rPr>
          <w:rFonts w:cs="Arial" w:hint="cs"/>
          <w:sz w:val="20"/>
          <w:szCs w:val="20"/>
          <w:rtl/>
        </w:rPr>
        <w:t xml:space="preserve"> אם רק מקצת בני אדם מקפידים, ואילו היא אינה מקפידה לעולם, אינו חוצץ.</w:t>
      </w:r>
    </w:p>
    <w:p w:rsidR="00620060" w:rsidRDefault="00620060" w:rsidP="00620060">
      <w:pPr>
        <w:rPr>
          <w:sz w:val="20"/>
          <w:szCs w:val="20"/>
          <w:rtl/>
        </w:rPr>
      </w:pPr>
      <w:r w:rsidRPr="00B50912">
        <w:rPr>
          <w:rFonts w:hint="cs"/>
          <w:sz w:val="20"/>
          <w:szCs w:val="20"/>
          <w:u w:val="single"/>
          <w:rtl/>
        </w:rPr>
        <w:t>הגדרת "לפעמים"</w:t>
      </w:r>
      <w:r>
        <w:rPr>
          <w:sz w:val="20"/>
          <w:szCs w:val="20"/>
          <w:rtl/>
        </w:rPr>
        <w:br/>
      </w:r>
      <w:r w:rsidRPr="006742F0">
        <w:rPr>
          <w:rFonts w:hint="cs"/>
          <w:b/>
          <w:bCs/>
          <w:sz w:val="20"/>
          <w:szCs w:val="20"/>
          <w:rtl/>
        </w:rPr>
        <w:t>זכרון יוסף</w:t>
      </w:r>
      <w:r>
        <w:rPr>
          <w:rFonts w:hint="cs"/>
          <w:sz w:val="20"/>
          <w:szCs w:val="20"/>
          <w:rtl/>
        </w:rPr>
        <w:t xml:space="preserve"> </w:t>
      </w:r>
      <w:r w:rsidRPr="006742F0">
        <w:rPr>
          <w:rFonts w:hint="cs"/>
          <w:sz w:val="18"/>
          <w:szCs w:val="18"/>
          <w:rtl/>
        </w:rPr>
        <w:t xml:space="preserve">(הו"ד </w:t>
      </w:r>
      <w:r w:rsidRPr="007135A3">
        <w:rPr>
          <w:rFonts w:hint="cs"/>
          <w:b/>
          <w:bCs/>
          <w:sz w:val="18"/>
          <w:szCs w:val="18"/>
          <w:rtl/>
        </w:rPr>
        <w:t>בפת"ש</w:t>
      </w:r>
      <w:r w:rsidRPr="006742F0">
        <w:rPr>
          <w:rFonts w:hint="cs"/>
          <w:sz w:val="18"/>
          <w:szCs w:val="18"/>
          <w:rtl/>
        </w:rPr>
        <w:t xml:space="preserve">) </w:t>
      </w:r>
      <w:r>
        <w:rPr>
          <w:sz w:val="20"/>
          <w:szCs w:val="20"/>
          <w:rtl/>
        </w:rPr>
        <w:t>–</w:t>
      </w:r>
      <w:r>
        <w:rPr>
          <w:rFonts w:hint="cs"/>
          <w:sz w:val="20"/>
          <w:szCs w:val="20"/>
          <w:rtl/>
        </w:rPr>
        <w:t xml:space="preserve"> כתב </w:t>
      </w:r>
      <w:r w:rsidRPr="007135A3">
        <w:rPr>
          <w:rFonts w:hint="cs"/>
          <w:b/>
          <w:bCs/>
          <w:sz w:val="20"/>
          <w:szCs w:val="20"/>
          <w:rtl/>
        </w:rPr>
        <w:t>השו"ע</w:t>
      </w:r>
      <w:r>
        <w:rPr>
          <w:rFonts w:hint="cs"/>
          <w:sz w:val="20"/>
          <w:szCs w:val="20"/>
          <w:rtl/>
        </w:rPr>
        <w:t xml:space="preserve"> "</w:t>
      </w:r>
      <w:r w:rsidRPr="00790035">
        <w:rPr>
          <w:rFonts w:cs="Arial"/>
          <w:sz w:val="20"/>
          <w:szCs w:val="20"/>
          <w:rtl/>
        </w:rPr>
        <w:t xml:space="preserve">אם דרך בני אדם </w:t>
      </w:r>
      <w:r w:rsidRPr="006742F0">
        <w:rPr>
          <w:rFonts w:cs="Arial"/>
          <w:sz w:val="20"/>
          <w:szCs w:val="20"/>
          <w:u w:val="single"/>
          <w:rtl/>
        </w:rPr>
        <w:t>לפעמים</w:t>
      </w:r>
      <w:r w:rsidRPr="006742F0">
        <w:rPr>
          <w:rFonts w:cs="Arial"/>
          <w:sz w:val="20"/>
          <w:szCs w:val="20"/>
          <w:rtl/>
        </w:rPr>
        <w:t xml:space="preserve"> </w:t>
      </w:r>
      <w:r w:rsidRPr="00790035">
        <w:rPr>
          <w:rFonts w:cs="Arial"/>
          <w:sz w:val="20"/>
          <w:szCs w:val="20"/>
          <w:rtl/>
        </w:rPr>
        <w:t>להקפיד עליו חוצץ</w:t>
      </w:r>
      <w:r>
        <w:rPr>
          <w:rFonts w:cs="Arial" w:hint="cs"/>
          <w:sz w:val="20"/>
          <w:szCs w:val="20"/>
          <w:rtl/>
        </w:rPr>
        <w:t>"</w:t>
      </w:r>
      <w:r>
        <w:rPr>
          <w:rFonts w:hint="cs"/>
          <w:sz w:val="20"/>
          <w:szCs w:val="20"/>
          <w:rtl/>
        </w:rPr>
        <w:t xml:space="preserve">. </w:t>
      </w:r>
      <w:r>
        <w:rPr>
          <w:sz w:val="20"/>
          <w:szCs w:val="20"/>
          <w:rtl/>
        </w:rPr>
        <w:br/>
      </w:r>
      <w:r>
        <w:rPr>
          <w:rFonts w:hint="cs"/>
          <w:sz w:val="20"/>
          <w:szCs w:val="20"/>
          <w:rtl/>
        </w:rPr>
        <w:t xml:space="preserve">ביאור דבריו </w:t>
      </w:r>
      <w:r>
        <w:rPr>
          <w:sz w:val="20"/>
          <w:szCs w:val="20"/>
          <w:rtl/>
        </w:rPr>
        <w:t>–</w:t>
      </w:r>
      <w:r>
        <w:rPr>
          <w:rFonts w:hint="cs"/>
          <w:sz w:val="20"/>
          <w:szCs w:val="20"/>
          <w:rtl/>
        </w:rPr>
        <w:t xml:space="preserve"> מדובר שמקפידה לעיתים מזומנות, כגון טבעת שמסירה בשעת לישה, אך מה שמזדמן רק לזמן מרובה אינו נחשב הקפדה.</w:t>
      </w:r>
    </w:p>
    <w:p w:rsidR="00620060" w:rsidRPr="00DF4CCE" w:rsidRDefault="00620060" w:rsidP="00620060">
      <w:pPr>
        <w:rPr>
          <w:sz w:val="20"/>
          <w:szCs w:val="20"/>
          <w:rtl/>
        </w:rPr>
      </w:pPr>
      <w:r>
        <w:rPr>
          <w:rFonts w:hint="cs"/>
          <w:b/>
          <w:bCs/>
          <w:sz w:val="20"/>
          <w:szCs w:val="20"/>
          <w:rtl/>
        </w:rPr>
        <w:t>טבילה לכתחילה בדברים שאינם חוצצים</w:t>
      </w:r>
      <w:r>
        <w:rPr>
          <w:b/>
          <w:b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רמ"א </w:t>
      </w:r>
      <w:r>
        <w:rPr>
          <w:sz w:val="20"/>
          <w:szCs w:val="20"/>
          <w:rtl/>
        </w:rPr>
        <w:t>–</w:t>
      </w:r>
      <w:r>
        <w:rPr>
          <w:rFonts w:hint="cs"/>
          <w:sz w:val="20"/>
          <w:szCs w:val="20"/>
          <w:rtl/>
        </w:rPr>
        <w:t xml:space="preserve"> </w:t>
      </w:r>
      <w:r w:rsidRPr="00DF4CCE">
        <w:rPr>
          <w:rFonts w:hint="cs"/>
          <w:sz w:val="18"/>
          <w:szCs w:val="18"/>
          <w:rtl/>
        </w:rPr>
        <w:t>"</w:t>
      </w:r>
      <w:r w:rsidRPr="00DF4CCE">
        <w:rPr>
          <w:rFonts w:cs="Arial"/>
          <w:sz w:val="18"/>
          <w:szCs w:val="18"/>
          <w:rtl/>
        </w:rPr>
        <w:t>ולכתח</w:t>
      </w:r>
      <w:r w:rsidRPr="00DF4CCE">
        <w:rPr>
          <w:rFonts w:cs="Arial" w:hint="cs"/>
          <w:sz w:val="18"/>
          <w:szCs w:val="18"/>
          <w:rtl/>
        </w:rPr>
        <w:t>י</w:t>
      </w:r>
      <w:r w:rsidRPr="00DF4CCE">
        <w:rPr>
          <w:rFonts w:cs="Arial"/>
          <w:sz w:val="18"/>
          <w:szCs w:val="18"/>
          <w:rtl/>
        </w:rPr>
        <w:t>לה לא תטבול אפילו בדברים שאינם חוצצין, גזרה אטו דברים החוצצים</w:t>
      </w:r>
      <w:r w:rsidRPr="00DF4CCE">
        <w:rPr>
          <w:rFonts w:cs="Arial" w:hint="cs"/>
          <w:sz w:val="18"/>
          <w:szCs w:val="18"/>
          <w:rtl/>
        </w:rPr>
        <w:t>"</w:t>
      </w:r>
      <w:r>
        <w:rPr>
          <w:rStyle w:val="a5"/>
          <w:rFonts w:cs="Arial"/>
          <w:sz w:val="18"/>
          <w:szCs w:val="18"/>
          <w:rtl/>
        </w:rPr>
        <w:footnoteReference w:id="590"/>
      </w:r>
      <w:r w:rsidRPr="00DF4CCE">
        <w:rPr>
          <w:rFonts w:cs="Arial" w:hint="cs"/>
          <w:sz w:val="18"/>
          <w:szCs w:val="18"/>
          <w:rtl/>
        </w:rPr>
        <w:t>.</w:t>
      </w:r>
      <w:r>
        <w:rPr>
          <w:rFonts w:hint="cs"/>
          <w:sz w:val="20"/>
          <w:szCs w:val="20"/>
          <w:rtl/>
        </w:rPr>
        <w:br/>
      </w:r>
      <w:r w:rsidRPr="00FB185A">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אין זו גזירה לגזירה, מכיוון שדברי הרמ"א נאמרו רק לעניין לכתחילה אך לא לעניין דיעבד.</w:t>
      </w:r>
    </w:p>
    <w:p w:rsidR="00620060"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8059E9">
        <w:rPr>
          <w:rFonts w:hint="cs"/>
          <w:b/>
          <w:bCs/>
          <w:sz w:val="20"/>
          <w:szCs w:val="20"/>
          <w:rtl/>
        </w:rPr>
        <w:t>ספרא</w:t>
      </w:r>
      <w:r>
        <w:rPr>
          <w:rFonts w:hint="cs"/>
          <w:sz w:val="20"/>
          <w:szCs w:val="20"/>
          <w:rtl/>
        </w:rPr>
        <w:t>. בטבילה צריך כל גופו כאחד להיות במים, ואם יש חציצה אין מועיל להסירה ולטבול אותו מקום לבד.</w:t>
      </w:r>
      <w:r>
        <w:rPr>
          <w:sz w:val="20"/>
          <w:szCs w:val="20"/>
          <w:rtl/>
        </w:rPr>
        <w:br/>
      </w:r>
      <w:r>
        <w:rPr>
          <w:rFonts w:hint="cs"/>
          <w:sz w:val="20"/>
          <w:szCs w:val="20"/>
          <w:rtl/>
        </w:rPr>
        <w:t xml:space="preserve">2. </w:t>
      </w:r>
      <w:r w:rsidRPr="007135A3">
        <w:rPr>
          <w:rFonts w:hint="cs"/>
          <w:b/>
          <w:bCs/>
          <w:sz w:val="20"/>
          <w:szCs w:val="20"/>
          <w:rtl/>
        </w:rPr>
        <w:t>גמרא</w:t>
      </w:r>
      <w:r>
        <w:rPr>
          <w:rFonts w:hint="cs"/>
          <w:sz w:val="20"/>
          <w:szCs w:val="20"/>
          <w:rtl/>
        </w:rPr>
        <w:t xml:space="preserve">. </w:t>
      </w:r>
      <w:r w:rsidRPr="00E460AF">
        <w:rPr>
          <w:rFonts w:hint="cs"/>
          <w:sz w:val="20"/>
          <w:szCs w:val="20"/>
          <w:rtl/>
        </w:rPr>
        <w:t xml:space="preserve">דאורייתא. רוב ומקפיד </w:t>
      </w:r>
      <w:r w:rsidRPr="00E460AF">
        <w:rPr>
          <w:sz w:val="20"/>
          <w:szCs w:val="20"/>
          <w:rtl/>
        </w:rPr>
        <w:t>–</w:t>
      </w:r>
      <w:r w:rsidRPr="00E460AF">
        <w:rPr>
          <w:rFonts w:hint="cs"/>
          <w:sz w:val="20"/>
          <w:szCs w:val="20"/>
          <w:rtl/>
        </w:rPr>
        <w:t xml:space="preserve"> חוצץ; אינו מקפיד </w:t>
      </w:r>
      <w:r w:rsidRPr="00E460AF">
        <w:rPr>
          <w:sz w:val="20"/>
          <w:szCs w:val="20"/>
          <w:rtl/>
        </w:rPr>
        <w:t>–</w:t>
      </w:r>
      <w:r w:rsidRPr="00E460AF">
        <w:rPr>
          <w:rFonts w:hint="cs"/>
          <w:sz w:val="20"/>
          <w:szCs w:val="20"/>
          <w:rtl/>
        </w:rPr>
        <w:t xml:space="preserve"> אינו חוצץ. רבנן. רוב</w:t>
      </w:r>
      <w:r>
        <w:rPr>
          <w:rFonts w:hint="cs"/>
          <w:sz w:val="20"/>
          <w:szCs w:val="20"/>
          <w:rtl/>
        </w:rPr>
        <w:t xml:space="preserve"> שאינו מקפיד </w:t>
      </w:r>
      <w:r>
        <w:rPr>
          <w:sz w:val="20"/>
          <w:szCs w:val="20"/>
          <w:rtl/>
        </w:rPr>
        <w:t>–</w:t>
      </w:r>
      <w:r>
        <w:rPr>
          <w:rFonts w:hint="cs"/>
          <w:sz w:val="20"/>
          <w:szCs w:val="20"/>
          <w:rtl/>
        </w:rPr>
        <w:t xml:space="preserve"> חוצץ; מיעוט </w:t>
      </w:r>
      <w:r w:rsidRPr="006420A3">
        <w:rPr>
          <w:rFonts w:hint="cs"/>
          <w:sz w:val="20"/>
          <w:szCs w:val="20"/>
          <w:rtl/>
        </w:rPr>
        <w:t xml:space="preserve">ומקפיד </w:t>
      </w:r>
      <w:r w:rsidRPr="006420A3">
        <w:rPr>
          <w:sz w:val="20"/>
          <w:szCs w:val="20"/>
          <w:rtl/>
        </w:rPr>
        <w:t>–</w:t>
      </w:r>
      <w:r w:rsidRPr="006420A3">
        <w:rPr>
          <w:rFonts w:hint="cs"/>
          <w:sz w:val="20"/>
          <w:szCs w:val="20"/>
          <w:rtl/>
        </w:rPr>
        <w:t xml:space="preserve"> חוצץ. ולא גזרו על מיעוטו שאינו מקפיד, כיוון שמיעוטו גופא גזרה ואין גוזרים גזירה לגזירה.</w:t>
      </w:r>
      <w:r w:rsidRPr="006420A3">
        <w:rPr>
          <w:sz w:val="20"/>
          <w:szCs w:val="20"/>
          <w:rtl/>
        </w:rPr>
        <w:br/>
      </w:r>
      <w:r w:rsidRPr="006420A3">
        <w:rPr>
          <w:rFonts w:hint="cs"/>
          <w:sz w:val="20"/>
          <w:szCs w:val="20"/>
          <w:rtl/>
        </w:rPr>
        <w:t xml:space="preserve">3. מיעוטו שאינו מקפיד עליו בגופו. </w:t>
      </w:r>
      <w:r w:rsidRPr="006420A3">
        <w:rPr>
          <w:rFonts w:hint="cs"/>
          <w:b/>
          <w:bCs/>
          <w:sz w:val="20"/>
          <w:szCs w:val="20"/>
          <w:rtl/>
        </w:rPr>
        <w:t>רש"י</w:t>
      </w:r>
      <w:r w:rsidRPr="006420A3">
        <w:rPr>
          <w:rFonts w:hint="cs"/>
          <w:sz w:val="20"/>
          <w:szCs w:val="20"/>
          <w:rtl/>
        </w:rPr>
        <w:t xml:space="preserve">. חוצץ, הגמ' רק לגבי שערו. </w:t>
      </w:r>
      <w:r w:rsidRPr="006420A3">
        <w:rPr>
          <w:rFonts w:hint="cs"/>
          <w:b/>
          <w:bCs/>
          <w:sz w:val="20"/>
          <w:szCs w:val="20"/>
          <w:rtl/>
        </w:rPr>
        <w:t>ר"ת</w:t>
      </w:r>
      <w:r w:rsidRPr="006420A3">
        <w:rPr>
          <w:rFonts w:hint="cs"/>
          <w:sz w:val="20"/>
          <w:szCs w:val="20"/>
          <w:rtl/>
        </w:rPr>
        <w:t>. אינו חוצץ, הגמ' לגבי כל גופו.</w:t>
      </w:r>
      <w:r w:rsidRPr="006420A3">
        <w:rPr>
          <w:sz w:val="20"/>
          <w:szCs w:val="20"/>
        </w:rPr>
        <w:t xml:space="preserve">  </w:t>
      </w:r>
      <w:r w:rsidRPr="006420A3">
        <w:rPr>
          <w:rFonts w:hint="cs"/>
          <w:sz w:val="20"/>
          <w:szCs w:val="20"/>
          <w:rtl/>
        </w:rPr>
        <w:t xml:space="preserve"> </w:t>
      </w:r>
      <w:r w:rsidRPr="006420A3">
        <w:rPr>
          <w:sz w:val="20"/>
          <w:szCs w:val="20"/>
          <w:rtl/>
        </w:rPr>
        <w:br/>
      </w:r>
      <w:r w:rsidRPr="006420A3">
        <w:rPr>
          <w:rFonts w:hint="cs"/>
          <w:sz w:val="20"/>
          <w:szCs w:val="20"/>
          <w:rtl/>
        </w:rPr>
        <w:t xml:space="preserve">4. העולם מקפיד אך היא אינה מקפידה. </w:t>
      </w:r>
      <w:r>
        <w:rPr>
          <w:rFonts w:hint="cs"/>
          <w:b/>
          <w:bCs/>
          <w:sz w:val="20"/>
          <w:szCs w:val="20"/>
          <w:rtl/>
        </w:rPr>
        <w:t>רשב"א</w:t>
      </w:r>
      <w:r w:rsidRPr="006420A3">
        <w:rPr>
          <w:rFonts w:hint="cs"/>
          <w:sz w:val="20"/>
          <w:szCs w:val="20"/>
          <w:rtl/>
        </w:rPr>
        <w:t xml:space="preserve">. חוצץ, בטלה דעתה, וכ"פ </w:t>
      </w:r>
      <w:r w:rsidRPr="006420A3">
        <w:rPr>
          <w:rFonts w:hint="cs"/>
          <w:b/>
          <w:bCs/>
          <w:sz w:val="20"/>
          <w:szCs w:val="20"/>
          <w:rtl/>
        </w:rPr>
        <w:t>המחבר</w:t>
      </w:r>
      <w:r w:rsidRPr="006420A3">
        <w:rPr>
          <w:rFonts w:hint="cs"/>
          <w:sz w:val="20"/>
          <w:szCs w:val="20"/>
          <w:rtl/>
        </w:rPr>
        <w:t xml:space="preserve">. </w:t>
      </w:r>
      <w:r w:rsidRPr="006B0681">
        <w:rPr>
          <w:rFonts w:hint="cs"/>
          <w:sz w:val="18"/>
          <w:szCs w:val="18"/>
          <w:rtl/>
        </w:rPr>
        <w:t>[</w:t>
      </w:r>
      <w:r w:rsidRPr="006B0681">
        <w:rPr>
          <w:rFonts w:hint="cs"/>
          <w:b/>
          <w:bCs/>
          <w:sz w:val="18"/>
          <w:szCs w:val="18"/>
          <w:rtl/>
        </w:rPr>
        <w:t>רמב"ם</w:t>
      </w:r>
      <w:r w:rsidRPr="006B0681">
        <w:rPr>
          <w:rFonts w:hint="cs"/>
          <w:sz w:val="18"/>
          <w:szCs w:val="18"/>
          <w:rtl/>
        </w:rPr>
        <w:t>. אינו חוצץ, וצ"ע]</w:t>
      </w:r>
      <w:r w:rsidRPr="006B0681">
        <w:rPr>
          <w:rFonts w:hint="cs"/>
          <w:sz w:val="20"/>
          <w:szCs w:val="20"/>
          <w:rtl/>
        </w:rPr>
        <w:t>.</w:t>
      </w:r>
      <w:r w:rsidRPr="006420A3">
        <w:rPr>
          <w:sz w:val="20"/>
          <w:szCs w:val="20"/>
          <w:rtl/>
        </w:rPr>
        <w:br/>
      </w:r>
      <w:r w:rsidRPr="006420A3">
        <w:rPr>
          <w:rFonts w:hint="cs"/>
          <w:sz w:val="20"/>
          <w:szCs w:val="20"/>
          <w:rtl/>
        </w:rPr>
        <w:t xml:space="preserve">5. היא מקפידה אך העולם אינו מקפיד. </w:t>
      </w:r>
      <w:r w:rsidRPr="007135A3">
        <w:rPr>
          <w:rFonts w:hint="cs"/>
          <w:b/>
          <w:bCs/>
          <w:sz w:val="20"/>
          <w:szCs w:val="20"/>
          <w:rtl/>
        </w:rPr>
        <w:t>רשב"א</w:t>
      </w:r>
      <w:r>
        <w:rPr>
          <w:rFonts w:hint="cs"/>
          <w:sz w:val="20"/>
          <w:szCs w:val="20"/>
          <w:rtl/>
        </w:rPr>
        <w:t>. אינו חוצץ.</w:t>
      </w:r>
      <w:r w:rsidRPr="00E460AF">
        <w:rPr>
          <w:rFonts w:hint="cs"/>
          <w:b/>
          <w:bCs/>
          <w:sz w:val="20"/>
          <w:szCs w:val="20"/>
          <w:rtl/>
        </w:rPr>
        <w:t xml:space="preserve"> </w:t>
      </w:r>
      <w:r w:rsidRPr="006420A3">
        <w:rPr>
          <w:rFonts w:hint="cs"/>
          <w:b/>
          <w:bCs/>
          <w:sz w:val="20"/>
          <w:szCs w:val="20"/>
          <w:rtl/>
        </w:rPr>
        <w:t>רמב</w:t>
      </w:r>
      <w:r w:rsidRPr="007135A3">
        <w:rPr>
          <w:rFonts w:hint="cs"/>
          <w:b/>
          <w:bCs/>
          <w:sz w:val="20"/>
          <w:szCs w:val="20"/>
          <w:rtl/>
        </w:rPr>
        <w:t>"ם</w:t>
      </w:r>
      <w:r>
        <w:rPr>
          <w:rFonts w:hint="cs"/>
          <w:sz w:val="20"/>
          <w:szCs w:val="20"/>
          <w:rtl/>
        </w:rPr>
        <w:t xml:space="preserve">. חוצץ, וכ"פ </w:t>
      </w:r>
      <w:r w:rsidRPr="007135A3">
        <w:rPr>
          <w:rFonts w:hint="cs"/>
          <w:b/>
          <w:bCs/>
          <w:sz w:val="20"/>
          <w:szCs w:val="20"/>
          <w:rtl/>
        </w:rPr>
        <w:t>הדרכ"מ והב"ח</w:t>
      </w:r>
      <w:r>
        <w:rPr>
          <w:rFonts w:hint="cs"/>
          <w:sz w:val="20"/>
          <w:szCs w:val="20"/>
          <w:rtl/>
        </w:rPr>
        <w:t>.</w:t>
      </w:r>
      <w:r>
        <w:rPr>
          <w:sz w:val="20"/>
          <w:szCs w:val="20"/>
          <w:rtl/>
        </w:rPr>
        <w:br/>
      </w:r>
      <w:r>
        <w:rPr>
          <w:rFonts w:hint="cs"/>
          <w:sz w:val="20"/>
          <w:szCs w:val="20"/>
          <w:rtl/>
        </w:rPr>
        <w:t xml:space="preserve">6. </w:t>
      </w:r>
      <w:r w:rsidRPr="007135A3">
        <w:rPr>
          <w:rFonts w:hint="cs"/>
          <w:b/>
          <w:bCs/>
          <w:sz w:val="20"/>
          <w:szCs w:val="20"/>
          <w:rtl/>
        </w:rPr>
        <w:t>מחבר</w:t>
      </w:r>
      <w:r>
        <w:rPr>
          <w:rFonts w:hint="cs"/>
          <w:sz w:val="20"/>
          <w:szCs w:val="20"/>
          <w:rtl/>
        </w:rPr>
        <w:t>. צריכה לטבול כל גופה כאחד, ולכן חציצה מעכבת. וחציצה ברוב הגוף מעכבת אפילו אם אין כלל מי שמקפיד בכך.</w:t>
      </w:r>
      <w:r>
        <w:rPr>
          <w:sz w:val="20"/>
          <w:szCs w:val="20"/>
          <w:rtl/>
        </w:rPr>
        <w:br/>
      </w:r>
      <w:r>
        <w:rPr>
          <w:rFonts w:hint="cs"/>
          <w:sz w:val="20"/>
          <w:szCs w:val="20"/>
          <w:rtl/>
        </w:rPr>
        <w:t>7</w:t>
      </w:r>
      <w:r w:rsidRPr="006B0681">
        <w:rPr>
          <w:rFonts w:hint="cs"/>
          <w:sz w:val="20"/>
          <w:szCs w:val="20"/>
          <w:rtl/>
        </w:rPr>
        <w:t xml:space="preserve">. </w:t>
      </w:r>
      <w:r w:rsidRPr="007135A3">
        <w:rPr>
          <w:rFonts w:hint="cs"/>
          <w:b/>
          <w:bCs/>
          <w:sz w:val="20"/>
          <w:szCs w:val="20"/>
          <w:rtl/>
        </w:rPr>
        <w:t>ט"ז</w:t>
      </w:r>
      <w:r>
        <w:rPr>
          <w:rFonts w:hint="cs"/>
          <w:sz w:val="20"/>
          <w:szCs w:val="20"/>
          <w:rtl/>
        </w:rPr>
        <w:t xml:space="preserve">. </w:t>
      </w:r>
      <w:r>
        <w:rPr>
          <w:rFonts w:hint="cs"/>
          <w:sz w:val="20"/>
          <w:szCs w:val="20"/>
          <w:vertAlign w:val="superscript"/>
          <w:rtl/>
        </w:rPr>
        <w:t>1</w:t>
      </w:r>
      <w:r>
        <w:rPr>
          <w:rFonts w:hint="cs"/>
          <w:sz w:val="20"/>
          <w:szCs w:val="20"/>
          <w:rtl/>
        </w:rPr>
        <w:t xml:space="preserve">מקצת מקפידים וגם היא מקפידה בפעמים אחרות, חוצץ. </w:t>
      </w:r>
      <w:r>
        <w:rPr>
          <w:rFonts w:hint="cs"/>
          <w:sz w:val="20"/>
          <w:szCs w:val="20"/>
          <w:vertAlign w:val="superscript"/>
          <w:rtl/>
        </w:rPr>
        <w:t>2</w:t>
      </w:r>
      <w:r>
        <w:rPr>
          <w:rFonts w:hint="cs"/>
          <w:sz w:val="20"/>
          <w:szCs w:val="20"/>
          <w:rtl/>
        </w:rPr>
        <w:t xml:space="preserve">רוב העולם מקפיד, אפילו אם היא אינה מקפידה לעולם, חוצץ. </w:t>
      </w:r>
      <w:r>
        <w:rPr>
          <w:rFonts w:hint="cs"/>
          <w:sz w:val="20"/>
          <w:szCs w:val="20"/>
          <w:vertAlign w:val="superscript"/>
          <w:rtl/>
        </w:rPr>
        <w:t>3</w:t>
      </w:r>
      <w:r>
        <w:rPr>
          <w:rFonts w:hint="cs"/>
          <w:sz w:val="20"/>
          <w:szCs w:val="20"/>
          <w:rtl/>
        </w:rPr>
        <w:t xml:space="preserve">מקצת מקפידים והיא לא מקפידה לעולם, אינו חוצץ. </w:t>
      </w:r>
      <w:r>
        <w:rPr>
          <w:b/>
          <w:bCs/>
          <w:sz w:val="20"/>
          <w:szCs w:val="20"/>
          <w:rtl/>
        </w:rPr>
        <w:br/>
      </w:r>
      <w:r>
        <w:rPr>
          <w:rFonts w:hint="cs"/>
          <w:sz w:val="20"/>
          <w:szCs w:val="20"/>
          <w:rtl/>
        </w:rPr>
        <w:t xml:space="preserve">8. </w:t>
      </w:r>
      <w:r w:rsidRPr="007135A3">
        <w:rPr>
          <w:rFonts w:hint="cs"/>
          <w:b/>
          <w:bCs/>
          <w:sz w:val="20"/>
          <w:szCs w:val="20"/>
          <w:rtl/>
        </w:rPr>
        <w:t>פת"ש</w:t>
      </w:r>
      <w:r>
        <w:rPr>
          <w:rFonts w:hint="cs"/>
          <w:sz w:val="20"/>
          <w:szCs w:val="20"/>
          <w:rtl/>
        </w:rPr>
        <w:t>. המחבר כתב שאם בני אדם מקפידים לפעמים הוי חציצה, וכוונתו שמקפידים לעיתים קרובות.</w:t>
      </w:r>
      <w:r>
        <w:rPr>
          <w:sz w:val="20"/>
          <w:szCs w:val="20"/>
          <w:rtl/>
        </w:rPr>
        <w:br/>
      </w:r>
      <w:r>
        <w:rPr>
          <w:rFonts w:hint="cs"/>
          <w:sz w:val="20"/>
          <w:szCs w:val="20"/>
          <w:rtl/>
        </w:rPr>
        <w:t xml:space="preserve">9. </w:t>
      </w:r>
      <w:r w:rsidRPr="007135A3">
        <w:rPr>
          <w:rFonts w:hint="cs"/>
          <w:b/>
          <w:bCs/>
          <w:sz w:val="20"/>
          <w:szCs w:val="20"/>
          <w:rtl/>
        </w:rPr>
        <w:t>רמ"א</w:t>
      </w:r>
      <w:r>
        <w:rPr>
          <w:rFonts w:hint="cs"/>
          <w:sz w:val="20"/>
          <w:szCs w:val="20"/>
          <w:rtl/>
        </w:rPr>
        <w:t xml:space="preserve">. לכתחילה אין לטבול אפילו בדבר שאינו חוצץ. </w:t>
      </w:r>
      <w:r w:rsidRPr="00FB185A">
        <w:rPr>
          <w:rFonts w:hint="cs"/>
          <w:b/>
          <w:bCs/>
          <w:sz w:val="20"/>
          <w:szCs w:val="20"/>
          <w:rtl/>
        </w:rPr>
        <w:t>ט"ז</w:t>
      </w:r>
      <w:r>
        <w:rPr>
          <w:rFonts w:hint="cs"/>
          <w:sz w:val="20"/>
          <w:szCs w:val="20"/>
          <w:rtl/>
        </w:rPr>
        <w:t>. בדיעבד עלתה טבילה ולכן אין זו גזירה לגזירה.</w:t>
      </w:r>
    </w:p>
    <w:p w:rsidR="00620060" w:rsidRDefault="00620060" w:rsidP="00620060">
      <w:pPr>
        <w:rPr>
          <w:sz w:val="20"/>
          <w:szCs w:val="20"/>
          <w:rtl/>
        </w:rPr>
      </w:pPr>
      <w:r>
        <w:rPr>
          <w:sz w:val="20"/>
          <w:szCs w:val="20"/>
          <w:rtl/>
        </w:rPr>
        <w:br/>
      </w:r>
      <w:r>
        <w:rPr>
          <w:rFonts w:hint="cs"/>
          <w:b/>
          <w:bCs/>
          <w:sz w:val="20"/>
          <w:szCs w:val="20"/>
          <w:rtl/>
        </w:rPr>
        <w:t xml:space="preserve">סעיף ב </w:t>
      </w:r>
      <w:r>
        <w:rPr>
          <w:b/>
          <w:bCs/>
          <w:sz w:val="20"/>
          <w:szCs w:val="20"/>
          <w:rtl/>
        </w:rPr>
        <w:t>–</w:t>
      </w:r>
      <w:r>
        <w:rPr>
          <w:rFonts w:hint="cs"/>
          <w:b/>
          <w:bCs/>
          <w:sz w:val="20"/>
          <w:szCs w:val="20"/>
          <w:rtl/>
        </w:rPr>
        <w:t xml:space="preserve"> דין חוטי צמר ופשתן</w:t>
      </w:r>
      <w:r>
        <w:rPr>
          <w:b/>
          <w:bCs/>
          <w:sz w:val="20"/>
          <w:szCs w:val="20"/>
          <w:rtl/>
        </w:rPr>
        <w:br/>
      </w:r>
      <w:r>
        <w:rPr>
          <w:rFonts w:hint="cs"/>
          <w:b/>
          <w:bCs/>
          <w:sz w:val="20"/>
          <w:szCs w:val="20"/>
          <w:rtl/>
        </w:rPr>
        <w:t>מקורות הדין</w:t>
      </w:r>
      <w:r>
        <w:rPr>
          <w:b/>
          <w:bCs/>
          <w:sz w:val="20"/>
          <w:szCs w:val="20"/>
          <w:rtl/>
        </w:rPr>
        <w:br/>
      </w:r>
      <w:r>
        <w:rPr>
          <w:rFonts w:hint="cs"/>
          <w:sz w:val="20"/>
          <w:szCs w:val="20"/>
          <w:rtl/>
        </w:rPr>
        <w:t xml:space="preserve">א. </w:t>
      </w:r>
      <w:r>
        <w:rPr>
          <w:rFonts w:hint="cs"/>
          <w:b/>
          <w:bCs/>
          <w:sz w:val="20"/>
          <w:szCs w:val="20"/>
          <w:rtl/>
        </w:rPr>
        <w:t xml:space="preserve">משנה </w:t>
      </w:r>
      <w:r>
        <w:rPr>
          <w:rFonts w:hint="cs"/>
          <w:sz w:val="20"/>
          <w:szCs w:val="20"/>
          <w:rtl/>
        </w:rPr>
        <w:t>מקוואות (ט, א) "</w:t>
      </w:r>
      <w:r w:rsidRPr="00C55C4A">
        <w:rPr>
          <w:rFonts w:cs="Arial"/>
          <w:sz w:val="20"/>
          <w:szCs w:val="20"/>
          <w:rtl/>
        </w:rPr>
        <w:t>אלו חוצצין באדם חוטי צמר וחוטי פשתן והרצועות שבראשי הבנות</w:t>
      </w:r>
      <w:r>
        <w:rPr>
          <w:rFonts w:cs="Arial" w:hint="cs"/>
          <w:sz w:val="20"/>
          <w:szCs w:val="20"/>
          <w:rtl/>
        </w:rPr>
        <w:t>".</w:t>
      </w:r>
      <w:r>
        <w:rPr>
          <w:rFonts w:cs="Arial"/>
          <w:sz w:val="20"/>
          <w:szCs w:val="20"/>
          <w:rtl/>
        </w:rPr>
        <w:br/>
      </w:r>
      <w:r>
        <w:rPr>
          <w:rFonts w:cs="Arial" w:hint="cs"/>
          <w:sz w:val="20"/>
          <w:szCs w:val="20"/>
          <w:rtl/>
        </w:rPr>
        <w:t xml:space="preserve">ב. </w:t>
      </w:r>
      <w:r w:rsidRPr="00C55C4A">
        <w:rPr>
          <w:rFonts w:cs="Arial" w:hint="cs"/>
          <w:b/>
          <w:bCs/>
          <w:sz w:val="20"/>
          <w:szCs w:val="20"/>
          <w:rtl/>
        </w:rPr>
        <w:t>משנה</w:t>
      </w:r>
      <w:r>
        <w:rPr>
          <w:rFonts w:cs="Arial" w:hint="cs"/>
          <w:sz w:val="20"/>
          <w:szCs w:val="20"/>
          <w:rtl/>
        </w:rPr>
        <w:t xml:space="preserve"> שבת (נז.) "</w:t>
      </w:r>
      <w:r w:rsidRPr="00C55C4A">
        <w:rPr>
          <w:rFonts w:cs="Arial"/>
          <w:sz w:val="20"/>
          <w:szCs w:val="20"/>
          <w:rtl/>
        </w:rPr>
        <w:t>במה אשה יוצאה ובמה אינה יוצאה? לא תצא אשה לא בחוטי צמר, ולא בחוטי פשתן, ולא ברצועות שבראשה. ולא תטבול בהן עד שתרפם</w:t>
      </w:r>
      <w:r>
        <w:rPr>
          <w:rFonts w:cs="Arial" w:hint="cs"/>
          <w:sz w:val="20"/>
          <w:szCs w:val="20"/>
          <w:rtl/>
        </w:rPr>
        <w:t>".</w:t>
      </w:r>
    </w:p>
    <w:p w:rsidR="00620060" w:rsidRDefault="00620060" w:rsidP="00620060">
      <w:pPr>
        <w:rPr>
          <w:sz w:val="20"/>
          <w:szCs w:val="20"/>
          <w:rtl/>
        </w:rPr>
      </w:pPr>
      <w:r w:rsidRPr="00027F32">
        <w:rPr>
          <w:rFonts w:hint="cs"/>
          <w:b/>
          <w:bCs/>
          <w:sz w:val="20"/>
          <w:szCs w:val="20"/>
          <w:rtl/>
        </w:rPr>
        <w:lastRenderedPageBreak/>
        <w:t>באילו חוטים מדובר</w:t>
      </w:r>
      <w:r>
        <w:rPr>
          <w:rFonts w:hint="cs"/>
          <w:b/>
          <w:bCs/>
          <w:sz w:val="20"/>
          <w:szCs w:val="20"/>
          <w:rtl/>
        </w:rPr>
        <w:t xml:space="preserve"> </w:t>
      </w:r>
      <w:r>
        <w:rPr>
          <w:b/>
          <w:bCs/>
          <w:sz w:val="20"/>
          <w:szCs w:val="20"/>
          <w:rtl/>
        </w:rPr>
        <w:t>–</w:t>
      </w:r>
      <w:r>
        <w:rPr>
          <w:rFonts w:hint="cs"/>
          <w:b/>
          <w:bCs/>
          <w:sz w:val="20"/>
          <w:szCs w:val="20"/>
          <w:rtl/>
        </w:rPr>
        <w:t xml:space="preserve"> שיטות הראשונים</w:t>
      </w:r>
      <w:r>
        <w:rPr>
          <w:sz w:val="20"/>
          <w:szCs w:val="20"/>
          <w:u w:val="single"/>
          <w:rtl/>
        </w:rPr>
        <w:br/>
      </w:r>
      <w:r>
        <w:rPr>
          <w:rFonts w:hint="cs"/>
          <w:sz w:val="20"/>
          <w:szCs w:val="20"/>
          <w:rtl/>
        </w:rPr>
        <w:t xml:space="preserve">א. </w:t>
      </w:r>
      <w:r w:rsidRPr="00C55C4A">
        <w:rPr>
          <w:rFonts w:hint="cs"/>
          <w:b/>
          <w:bCs/>
          <w:sz w:val="20"/>
          <w:szCs w:val="20"/>
          <w:rtl/>
        </w:rPr>
        <w:t>רש"י</w:t>
      </w:r>
      <w:r>
        <w:rPr>
          <w:rFonts w:hint="cs"/>
          <w:sz w:val="20"/>
          <w:szCs w:val="20"/>
          <w:rtl/>
        </w:rPr>
        <w:t xml:space="preserve"> </w:t>
      </w:r>
      <w:r>
        <w:rPr>
          <w:sz w:val="20"/>
          <w:szCs w:val="20"/>
          <w:rtl/>
        </w:rPr>
        <w:t>–</w:t>
      </w:r>
      <w:r>
        <w:rPr>
          <w:rFonts w:hint="cs"/>
          <w:sz w:val="20"/>
          <w:szCs w:val="20"/>
          <w:rtl/>
        </w:rPr>
        <w:t xml:space="preserve"> מדובר בחוטים שקולעת בקליעת ראשה, ואם מרפה אותם טבילתה טבילה.</w:t>
      </w:r>
      <w:r>
        <w:rPr>
          <w:sz w:val="20"/>
          <w:szCs w:val="20"/>
          <w:rtl/>
        </w:rPr>
        <w:br/>
      </w:r>
      <w:r>
        <w:rPr>
          <w:rFonts w:hint="cs"/>
          <w:sz w:val="20"/>
          <w:szCs w:val="20"/>
          <w:rtl/>
        </w:rPr>
        <w:t xml:space="preserve">ב. </w:t>
      </w:r>
      <w:r w:rsidRPr="00C55C4A">
        <w:rPr>
          <w:rFonts w:hint="cs"/>
          <w:b/>
          <w:bCs/>
          <w:sz w:val="20"/>
          <w:szCs w:val="20"/>
          <w:rtl/>
        </w:rPr>
        <w:t>תוספות</w:t>
      </w:r>
      <w:r>
        <w:rPr>
          <w:rFonts w:hint="cs"/>
          <w:sz w:val="20"/>
          <w:szCs w:val="20"/>
          <w:rtl/>
        </w:rPr>
        <w:t xml:space="preserve"> </w:t>
      </w:r>
      <w:r>
        <w:rPr>
          <w:sz w:val="20"/>
          <w:szCs w:val="20"/>
          <w:rtl/>
        </w:rPr>
        <w:t>–</w:t>
      </w:r>
      <w:r>
        <w:rPr>
          <w:rFonts w:hint="cs"/>
          <w:sz w:val="20"/>
          <w:szCs w:val="20"/>
          <w:rtl/>
        </w:rPr>
        <w:t xml:space="preserve"> מדובר בחוטים הנתונים על שערות ראשה ובהם מועיל רפיון, אך בחוטים הקלועים בראשה אין מועיל רפיון, וכ"פ </w:t>
      </w:r>
      <w:r w:rsidRPr="002F77D6">
        <w:rPr>
          <w:rFonts w:hint="cs"/>
          <w:b/>
          <w:bCs/>
          <w:sz w:val="20"/>
          <w:szCs w:val="20"/>
          <w:rtl/>
        </w:rPr>
        <w:t>המחבר</w:t>
      </w:r>
      <w:r>
        <w:rPr>
          <w:rFonts w:hint="cs"/>
          <w:sz w:val="20"/>
          <w:szCs w:val="20"/>
          <w:rtl/>
        </w:rPr>
        <w:t>.</w:t>
      </w:r>
      <w:r>
        <w:rPr>
          <w:rStyle w:val="a5"/>
          <w:sz w:val="20"/>
          <w:szCs w:val="20"/>
          <w:rtl/>
        </w:rPr>
        <w:footnoteReference w:id="591"/>
      </w:r>
      <w:r>
        <w:rPr>
          <w:rFonts w:hint="cs"/>
          <w:sz w:val="20"/>
          <w:szCs w:val="20"/>
          <w:rtl/>
        </w:rPr>
        <w:br/>
      </w:r>
      <w:r w:rsidRPr="002F77D6">
        <w:rPr>
          <w:rFonts w:hint="cs"/>
          <w:b/>
          <w:bCs/>
          <w:sz w:val="20"/>
          <w:szCs w:val="20"/>
          <w:rtl/>
        </w:rPr>
        <w:t xml:space="preserve">טעם </w:t>
      </w:r>
      <w:r>
        <w:rPr>
          <w:sz w:val="20"/>
          <w:szCs w:val="20"/>
          <w:rtl/>
        </w:rPr>
        <w:t>–</w:t>
      </w:r>
      <w:r>
        <w:rPr>
          <w:rFonts w:hint="cs"/>
          <w:sz w:val="20"/>
          <w:szCs w:val="20"/>
          <w:rtl/>
        </w:rPr>
        <w:t xml:space="preserve"> בחוטים שבראשה ע"י רפיון נכנסים בהם המים, אך חוטים שבקליעה אין נכנסים בהם המים עד שתסתור לגמרי את הקליעה.</w:t>
      </w:r>
    </w:p>
    <w:p w:rsidR="00620060" w:rsidRDefault="00620060" w:rsidP="00620060">
      <w:pPr>
        <w:rPr>
          <w:sz w:val="20"/>
          <w:szCs w:val="20"/>
          <w:rtl/>
        </w:rPr>
      </w:pPr>
      <w:r>
        <w:rPr>
          <w:rFonts w:hint="cs"/>
          <w:b/>
          <w:bCs/>
          <w:sz w:val="20"/>
          <w:szCs w:val="20"/>
          <w:rtl/>
        </w:rPr>
        <w:t>דין חציצה בצוואר</w:t>
      </w:r>
      <w:r>
        <w:rPr>
          <w:b/>
          <w:bCs/>
          <w:sz w:val="20"/>
          <w:szCs w:val="20"/>
          <w:rtl/>
        </w:rPr>
        <w:br/>
      </w:r>
      <w:r>
        <w:rPr>
          <w:rFonts w:hint="cs"/>
          <w:b/>
          <w:bCs/>
          <w:sz w:val="20"/>
          <w:szCs w:val="20"/>
          <w:rtl/>
        </w:rPr>
        <w:t xml:space="preserve">גמרא </w:t>
      </w:r>
      <w:r>
        <w:rPr>
          <w:rFonts w:hint="cs"/>
          <w:sz w:val="20"/>
          <w:szCs w:val="20"/>
          <w:rtl/>
        </w:rPr>
        <w:t>(שם) "</w:t>
      </w:r>
      <w:r w:rsidRPr="00E43FD2">
        <w:rPr>
          <w:rFonts w:cs="Arial"/>
          <w:sz w:val="20"/>
          <w:szCs w:val="20"/>
          <w:rtl/>
        </w:rPr>
        <w:t>אמר רב הונא: וכולן</w:t>
      </w:r>
      <w:r>
        <w:rPr>
          <w:rFonts w:cs="Arial" w:hint="cs"/>
          <w:sz w:val="20"/>
          <w:szCs w:val="20"/>
          <w:rtl/>
        </w:rPr>
        <w:t xml:space="preserve"> </w:t>
      </w:r>
      <w:r w:rsidRPr="00E43FD2">
        <w:rPr>
          <w:rFonts w:cs="Arial" w:hint="cs"/>
          <w:sz w:val="18"/>
          <w:szCs w:val="18"/>
          <w:rtl/>
        </w:rPr>
        <w:t>(כל החוטים החוצצים, כמבואר במשנה מקוואות)</w:t>
      </w:r>
      <w:r w:rsidRPr="00E43FD2">
        <w:rPr>
          <w:rFonts w:cs="Arial"/>
          <w:sz w:val="18"/>
          <w:szCs w:val="18"/>
          <w:rtl/>
        </w:rPr>
        <w:t xml:space="preserve"> </w:t>
      </w:r>
      <w:r w:rsidRPr="00E43FD2">
        <w:rPr>
          <w:rFonts w:cs="Arial"/>
          <w:sz w:val="20"/>
          <w:szCs w:val="20"/>
          <w:rtl/>
        </w:rPr>
        <w:t xml:space="preserve">בראשי הבנות שנינו. </w:t>
      </w:r>
      <w:r>
        <w:rPr>
          <w:rFonts w:cs="Arial" w:hint="cs"/>
          <w:sz w:val="20"/>
          <w:szCs w:val="20"/>
          <w:rtl/>
        </w:rPr>
        <w:br/>
      </w:r>
      <w:r w:rsidRPr="00E43FD2">
        <w:rPr>
          <w:rFonts w:cs="Arial"/>
          <w:sz w:val="20"/>
          <w:szCs w:val="20"/>
          <w:rtl/>
        </w:rPr>
        <w:t>מתקיף לה רב יוסף: למעוטי מאי? אילימא למעוטי דצואר, ודמאי? אילימא למעוטי דצמר, השתא רך על גבי קשה חוצץ</w:t>
      </w:r>
      <w:r>
        <w:rPr>
          <w:rStyle w:val="a5"/>
          <w:rFonts w:cs="Arial"/>
          <w:sz w:val="20"/>
          <w:szCs w:val="20"/>
          <w:rtl/>
        </w:rPr>
        <w:footnoteReference w:id="592"/>
      </w:r>
      <w:r w:rsidRPr="00E43FD2">
        <w:rPr>
          <w:rFonts w:cs="Arial"/>
          <w:sz w:val="20"/>
          <w:szCs w:val="20"/>
          <w:rtl/>
        </w:rPr>
        <w:t xml:space="preserve"> - רך על גבי רך מיבעיא! ואלא למעוטי דחוטי פשתן, השתא קשה על גבי קשה חוצץ, קשה על גב רך מיבעיא! אלא אמר רב יוסף: היינו טעמא דרב הונא, לפי שאין אשה חונקת את עצמה. </w:t>
      </w:r>
      <w:r>
        <w:rPr>
          <w:rFonts w:cs="Arial" w:hint="cs"/>
          <w:sz w:val="20"/>
          <w:szCs w:val="20"/>
          <w:rtl/>
        </w:rPr>
        <w:br/>
      </w:r>
      <w:r w:rsidRPr="00E43FD2">
        <w:rPr>
          <w:rFonts w:cs="Arial"/>
          <w:sz w:val="20"/>
          <w:szCs w:val="20"/>
          <w:rtl/>
        </w:rPr>
        <w:t>איתיביה אביי: הבנות יוצאות בחוטין שבאזניהן, אבל לא בחבקין שבצואריהן, ואי אמרת אין אשה חונקת עצמה חבקין שבצואריהן אמאי לא? - אמר רבינא:</w:t>
      </w:r>
      <w:r w:rsidRPr="00E43FD2">
        <w:rPr>
          <w:rtl/>
        </w:rPr>
        <w:t xml:space="preserve"> </w:t>
      </w:r>
      <w:r w:rsidRPr="00E43FD2">
        <w:rPr>
          <w:rFonts w:cs="Arial"/>
          <w:sz w:val="20"/>
          <w:szCs w:val="20"/>
          <w:rtl/>
        </w:rPr>
        <w:t>הכא בקטלא עסקינן, דאשה חונקת את</w:t>
      </w:r>
      <w:r>
        <w:rPr>
          <w:rFonts w:cs="Arial"/>
          <w:sz w:val="20"/>
          <w:szCs w:val="20"/>
          <w:rtl/>
        </w:rPr>
        <w:t xml:space="preserve"> עצמה, דניחא לה שתראה כבעלת בשר</w:t>
      </w:r>
      <w:r>
        <w:rPr>
          <w:rFonts w:cs="Arial" w:hint="cs"/>
          <w:sz w:val="20"/>
          <w:szCs w:val="20"/>
          <w:rtl/>
        </w:rPr>
        <w:t>".</w:t>
      </w:r>
    </w:p>
    <w:p w:rsidR="00620060" w:rsidRDefault="00620060" w:rsidP="00620060">
      <w:pPr>
        <w:rPr>
          <w:sz w:val="20"/>
          <w:szCs w:val="20"/>
          <w:rtl/>
        </w:rPr>
      </w:pPr>
      <w:r>
        <w:rPr>
          <w:rFonts w:hint="cs"/>
          <w:sz w:val="20"/>
          <w:szCs w:val="20"/>
          <w:u w:val="single"/>
          <w:rtl/>
        </w:rPr>
        <w:t>דינים היוצאים מגמרא זו</w:t>
      </w:r>
      <w:r>
        <w:rPr>
          <w:sz w:val="20"/>
          <w:szCs w:val="20"/>
          <w:u w:val="single"/>
          <w:rtl/>
        </w:rPr>
        <w:br/>
      </w:r>
      <w:r>
        <w:rPr>
          <w:rFonts w:hint="cs"/>
          <w:sz w:val="20"/>
          <w:szCs w:val="20"/>
          <w:rtl/>
        </w:rPr>
        <w:t>א. חוטים שבצווארה אינם חוצצים.</w:t>
      </w:r>
      <w:r>
        <w:rPr>
          <w:sz w:val="20"/>
          <w:szCs w:val="20"/>
          <w:rtl/>
        </w:rPr>
        <w:br/>
      </w:r>
      <w:r w:rsidRPr="009006F8">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אשה אינה קושרת חוטים אלו בצווארה בחוזק אלא ברפיון.</w:t>
      </w:r>
      <w:r>
        <w:rPr>
          <w:sz w:val="20"/>
          <w:szCs w:val="20"/>
          <w:rtl/>
        </w:rPr>
        <w:br/>
      </w:r>
      <w:r>
        <w:rPr>
          <w:rFonts w:hint="cs"/>
          <w:sz w:val="20"/>
          <w:szCs w:val="20"/>
          <w:rtl/>
        </w:rPr>
        <w:t>ב. חוטים אלו חוצצים בכל מקום אחר בגוף, לאו דווקא בשער.</w:t>
      </w:r>
      <w:r>
        <w:rPr>
          <w:sz w:val="20"/>
          <w:szCs w:val="20"/>
          <w:rtl/>
        </w:rPr>
        <w:br/>
      </w:r>
      <w:r w:rsidRPr="009006F8">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רק בצווארה נאמר שאינם חוצצים מטעם שאינה חונקת עצמה, משמע שבשאר מקומות בגוף חוצצים.</w:t>
      </w:r>
      <w:r>
        <w:rPr>
          <w:sz w:val="20"/>
          <w:szCs w:val="20"/>
          <w:rtl/>
        </w:rPr>
        <w:br/>
      </w:r>
      <w:r>
        <w:rPr>
          <w:rFonts w:hint="cs"/>
          <w:sz w:val="20"/>
          <w:szCs w:val="20"/>
          <w:rtl/>
        </w:rPr>
        <w:t xml:space="preserve">ועוד </w:t>
      </w:r>
      <w:r>
        <w:rPr>
          <w:sz w:val="20"/>
          <w:szCs w:val="20"/>
          <w:rtl/>
        </w:rPr>
        <w:t>–</w:t>
      </w:r>
      <w:r>
        <w:rPr>
          <w:rFonts w:hint="cs"/>
          <w:sz w:val="20"/>
          <w:szCs w:val="20"/>
          <w:rtl/>
        </w:rPr>
        <w:t xml:space="preserve"> אם על גבי שער, שהוא קשה, חוצצים, על גבי בשרה שהוא רק בוודאי חוצצים.</w:t>
      </w:r>
      <w:r>
        <w:rPr>
          <w:sz w:val="20"/>
          <w:szCs w:val="20"/>
          <w:rtl/>
        </w:rPr>
        <w:br/>
      </w:r>
      <w:r>
        <w:rPr>
          <w:rFonts w:hint="cs"/>
          <w:sz w:val="20"/>
          <w:szCs w:val="20"/>
          <w:rtl/>
        </w:rPr>
        <w:t>ג. בגד המיוחד ללבישת הצוואר, חוצץ.</w:t>
      </w:r>
      <w:r>
        <w:rPr>
          <w:sz w:val="20"/>
          <w:szCs w:val="20"/>
          <w:rtl/>
        </w:rPr>
        <w:br/>
      </w:r>
      <w:r w:rsidRPr="009006F8">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אשה קושרת אותו בחוזק כדי שתיראה בעלת בשר.</w:t>
      </w:r>
    </w:p>
    <w:p w:rsidR="00620060" w:rsidRPr="004735A9" w:rsidRDefault="00620060" w:rsidP="00620060">
      <w:pPr>
        <w:rPr>
          <w:sz w:val="20"/>
          <w:szCs w:val="20"/>
          <w:rtl/>
        </w:rPr>
      </w:pPr>
      <w:r>
        <w:rPr>
          <w:rFonts w:hint="cs"/>
          <w:sz w:val="20"/>
          <w:szCs w:val="20"/>
          <w:u w:val="single"/>
          <w:rtl/>
        </w:rPr>
        <w:t>מדוע חוט חוצץ</w:t>
      </w:r>
      <w:r>
        <w:rPr>
          <w:sz w:val="20"/>
          <w:szCs w:val="20"/>
          <w:u w:val="single"/>
          <w:rtl/>
        </w:rPr>
        <w:br/>
      </w:r>
      <w:r w:rsidRPr="004735A9">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אע"פ שחוט על בשר הוא מיעוט שאינה מקפדת ולכאורה אינו חוצץ, מכל מקום כיוון שמקפידה להסירו בשעת רחיצה כדי שייכנסו שם מים </w:t>
      </w:r>
      <w:r>
        <w:rPr>
          <w:sz w:val="20"/>
          <w:szCs w:val="20"/>
          <w:rtl/>
        </w:rPr>
        <w:t>–</w:t>
      </w:r>
      <w:r>
        <w:rPr>
          <w:rFonts w:hint="cs"/>
          <w:sz w:val="20"/>
          <w:szCs w:val="20"/>
          <w:rtl/>
        </w:rPr>
        <w:t xml:space="preserve"> חוצץ.</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A53B85">
        <w:rPr>
          <w:rFonts w:cs="Arial"/>
          <w:sz w:val="20"/>
          <w:szCs w:val="20"/>
          <w:rtl/>
        </w:rPr>
        <w:t>אלו הדברים שחוצצין,</w:t>
      </w:r>
      <w:r>
        <w:rPr>
          <w:rFonts w:cs="Arial" w:hint="cs"/>
          <w:sz w:val="20"/>
          <w:szCs w:val="20"/>
          <w:rtl/>
        </w:rPr>
        <w:t xml:space="preserve"> </w:t>
      </w:r>
      <w:r w:rsidRPr="00A53B85">
        <w:rPr>
          <w:rFonts w:cs="Arial"/>
          <w:sz w:val="20"/>
          <w:szCs w:val="20"/>
          <w:rtl/>
        </w:rPr>
        <w:t>חוטי צמר וחוטי פשתן ורצועות שכורכין בהם השיער בראש, לא תטבול בהם עד שתרפם; ואם הם בתוך קליעת שערה אינו מועיל בהם רפיון. ואם הם כרוכים בשאר מקומות בגוף, לא תטבול בהם עד שתרפם</w:t>
      </w:r>
      <w:r>
        <w:rPr>
          <w:rStyle w:val="a5"/>
          <w:rFonts w:cs="Arial"/>
          <w:sz w:val="20"/>
          <w:szCs w:val="20"/>
          <w:rtl/>
        </w:rPr>
        <w:footnoteReference w:id="593"/>
      </w:r>
      <w:r w:rsidRPr="00A53B85">
        <w:rPr>
          <w:rFonts w:cs="Arial"/>
          <w:sz w:val="20"/>
          <w:szCs w:val="20"/>
          <w:rtl/>
        </w:rPr>
        <w:t>, חוץ מאם הם כרוכים בצואר שאינם חוצצין לפי שאינה מהדקן; אבל קטלא, שהיא רצועה חלקה ורחבה שכורכת סביב צוארה, חוצצת, מפני שחונקת עצמה בחוזק כדי שיהיה בשרה בולט ותראה בעלת בשר, ומתוך שהרצועה חלקה ורחבה אינה מזיקתה</w:t>
      </w:r>
      <w:r>
        <w:rPr>
          <w:rFonts w:cs="Arial" w:hint="cs"/>
          <w:sz w:val="20"/>
          <w:szCs w:val="20"/>
          <w:rtl/>
        </w:rPr>
        <w:t>".</w:t>
      </w:r>
    </w:p>
    <w:p w:rsidR="00620060" w:rsidRDefault="00620060" w:rsidP="00620060">
      <w:pPr>
        <w:rPr>
          <w:sz w:val="20"/>
          <w:szCs w:val="20"/>
          <w:u w:val="single"/>
          <w:rtl/>
        </w:rPr>
      </w:pPr>
      <w:r>
        <w:rPr>
          <w:rFonts w:hint="cs"/>
          <w:sz w:val="20"/>
          <w:szCs w:val="20"/>
          <w:u w:val="single"/>
          <w:rtl/>
        </w:rPr>
        <w:t>טבילה לכתחילה בחוטי שער</w:t>
      </w:r>
      <w:r>
        <w:rPr>
          <w:sz w:val="20"/>
          <w:szCs w:val="20"/>
          <w:u w:val="single"/>
          <w:rtl/>
        </w:rPr>
        <w:br/>
      </w:r>
      <w:r>
        <w:rPr>
          <w:rFonts w:hint="cs"/>
          <w:sz w:val="20"/>
          <w:szCs w:val="20"/>
          <w:rtl/>
        </w:rPr>
        <w:t xml:space="preserve">לדעת </w:t>
      </w:r>
      <w:r w:rsidRPr="00456D87">
        <w:rPr>
          <w:rFonts w:hint="cs"/>
          <w:b/>
          <w:bCs/>
          <w:sz w:val="20"/>
          <w:szCs w:val="20"/>
          <w:rtl/>
        </w:rPr>
        <w:t xml:space="preserve">הרמ"א </w:t>
      </w:r>
      <w:r>
        <w:rPr>
          <w:rFonts w:hint="cs"/>
          <w:sz w:val="20"/>
          <w:szCs w:val="20"/>
          <w:rtl/>
        </w:rPr>
        <w:t xml:space="preserve">לעיל, מבואר שגם דבר שאינו חוצץ יש להסיר לכתחילה. </w:t>
      </w:r>
      <w:r>
        <w:rPr>
          <w:sz w:val="20"/>
          <w:szCs w:val="20"/>
          <w:rtl/>
        </w:rPr>
        <w:br/>
      </w:r>
      <w:r>
        <w:rPr>
          <w:rFonts w:hint="cs"/>
          <w:sz w:val="20"/>
          <w:szCs w:val="20"/>
          <w:rtl/>
        </w:rPr>
        <w:t xml:space="preserve">ברם, לדעת </w:t>
      </w:r>
      <w:r w:rsidRPr="00456D87">
        <w:rPr>
          <w:rFonts w:hint="cs"/>
          <w:b/>
          <w:bCs/>
          <w:sz w:val="20"/>
          <w:szCs w:val="20"/>
          <w:rtl/>
        </w:rPr>
        <w:t>המחבר</w:t>
      </w:r>
      <w:r>
        <w:rPr>
          <w:rFonts w:hint="cs"/>
          <w:sz w:val="20"/>
          <w:szCs w:val="20"/>
          <w:rtl/>
        </w:rPr>
        <w:t xml:space="preserve"> שלא כתב זאת, וכתב כאן להדיא שברפוי מותר, משמע שאינו סובר כרמ"א ואף לכתחילה מותר לטבול בחוטים שאינם חוצצים, וכן כתב </w:t>
      </w:r>
      <w:r w:rsidRPr="00D918EA">
        <w:rPr>
          <w:rFonts w:hint="cs"/>
          <w:b/>
          <w:bCs/>
          <w:sz w:val="20"/>
          <w:szCs w:val="20"/>
          <w:rtl/>
        </w:rPr>
        <w:t>טהרת הבית</w:t>
      </w:r>
      <w:r>
        <w:rPr>
          <w:rFonts w:hint="cs"/>
          <w:sz w:val="20"/>
          <w:szCs w:val="20"/>
          <w:rtl/>
        </w:rPr>
        <w:t xml:space="preserve"> </w:t>
      </w:r>
      <w:r w:rsidRPr="00D918EA">
        <w:rPr>
          <w:rFonts w:hint="cs"/>
          <w:sz w:val="18"/>
          <w:szCs w:val="18"/>
          <w:rtl/>
        </w:rPr>
        <w:t xml:space="preserve">(חלק ג', עמ' ו </w:t>
      </w:r>
      <w:r w:rsidRPr="00D918EA">
        <w:rPr>
          <w:sz w:val="18"/>
          <w:szCs w:val="18"/>
          <w:rtl/>
        </w:rPr>
        <w:t>–</w:t>
      </w:r>
      <w:r>
        <w:rPr>
          <w:rFonts w:hint="cs"/>
          <w:sz w:val="18"/>
          <w:szCs w:val="18"/>
          <w:rtl/>
        </w:rPr>
        <w:t xml:space="preserve"> </w:t>
      </w:r>
      <w:r w:rsidRPr="00D918EA">
        <w:rPr>
          <w:rFonts w:hint="cs"/>
          <w:sz w:val="18"/>
          <w:szCs w:val="18"/>
          <w:rtl/>
        </w:rPr>
        <w:t>ז)</w:t>
      </w:r>
      <w:r>
        <w:rPr>
          <w:rFonts w:hint="cs"/>
          <w:sz w:val="20"/>
          <w:szCs w:val="20"/>
          <w:rtl/>
        </w:rPr>
        <w:t>.</w:t>
      </w:r>
      <w:r>
        <w:rPr>
          <w:rFonts w:hint="cs"/>
          <w:sz w:val="20"/>
          <w:szCs w:val="20"/>
          <w:rtl/>
        </w:rPr>
        <w:br/>
      </w:r>
      <w:r>
        <w:rPr>
          <w:rFonts w:hint="cs"/>
          <w:sz w:val="20"/>
          <w:szCs w:val="20"/>
          <w:rtl/>
        </w:rPr>
        <w:br/>
      </w:r>
      <w:r>
        <w:rPr>
          <w:rFonts w:hint="cs"/>
          <w:sz w:val="20"/>
          <w:szCs w:val="20"/>
          <w:u w:val="single"/>
          <w:rtl/>
        </w:rPr>
        <w:t>דין חציצה בקליעת שער</w:t>
      </w:r>
      <w:r>
        <w:rPr>
          <w:sz w:val="20"/>
          <w:szCs w:val="20"/>
          <w:u w:val="single"/>
          <w:rtl/>
        </w:rPr>
        <w:br/>
      </w:r>
      <w:r w:rsidRPr="00A712E4">
        <w:rPr>
          <w:rFonts w:asciiTheme="minorBidi" w:hAnsiTheme="minorBidi"/>
          <w:sz w:val="20"/>
          <w:szCs w:val="20"/>
          <w:rtl/>
        </w:rPr>
        <w:t xml:space="preserve">דעת רוב </w:t>
      </w:r>
      <w:r>
        <w:rPr>
          <w:rFonts w:asciiTheme="minorBidi" w:hAnsiTheme="minorBidi" w:hint="cs"/>
          <w:sz w:val="20"/>
          <w:szCs w:val="20"/>
          <w:rtl/>
        </w:rPr>
        <w:t>ה</w:t>
      </w:r>
      <w:r w:rsidRPr="00A712E4">
        <w:rPr>
          <w:rFonts w:asciiTheme="minorBidi" w:hAnsiTheme="minorBidi"/>
          <w:sz w:val="20"/>
          <w:szCs w:val="20"/>
          <w:rtl/>
        </w:rPr>
        <w:t>אחרונים</w:t>
      </w:r>
      <w:r>
        <w:rPr>
          <w:rFonts w:asciiTheme="minorBidi" w:hAnsiTheme="minorBidi" w:hint="cs"/>
          <w:sz w:val="20"/>
          <w:szCs w:val="20"/>
          <w:rtl/>
        </w:rPr>
        <w:t xml:space="preserve"> היא</w:t>
      </w:r>
      <w:r w:rsidRPr="00A712E4">
        <w:rPr>
          <w:rFonts w:asciiTheme="minorBidi" w:hAnsiTheme="minorBidi"/>
          <w:sz w:val="20"/>
          <w:szCs w:val="20"/>
          <w:rtl/>
        </w:rPr>
        <w:t xml:space="preserve">, שכאשר נמצאים </w:t>
      </w:r>
      <w:r>
        <w:rPr>
          <w:rFonts w:asciiTheme="minorBidi" w:hAnsiTheme="minorBidi" w:hint="cs"/>
          <w:sz w:val="20"/>
          <w:szCs w:val="20"/>
          <w:rtl/>
        </w:rPr>
        <w:t xml:space="preserve">חוטים </w:t>
      </w:r>
      <w:r w:rsidRPr="00A712E4">
        <w:rPr>
          <w:rFonts w:asciiTheme="minorBidi" w:hAnsiTheme="minorBidi"/>
          <w:sz w:val="20"/>
          <w:szCs w:val="20"/>
          <w:rtl/>
        </w:rPr>
        <w:t xml:space="preserve">בקליעת שערה, אם הוציאה </w:t>
      </w:r>
      <w:r>
        <w:rPr>
          <w:rFonts w:asciiTheme="minorBidi" w:hAnsiTheme="minorBidi" w:hint="cs"/>
          <w:sz w:val="20"/>
          <w:szCs w:val="20"/>
          <w:rtl/>
        </w:rPr>
        <w:t xml:space="preserve">אותם </w:t>
      </w:r>
      <w:r w:rsidRPr="00A712E4">
        <w:rPr>
          <w:rFonts w:asciiTheme="minorBidi" w:hAnsiTheme="minorBidi"/>
          <w:sz w:val="20"/>
          <w:szCs w:val="20"/>
          <w:rtl/>
        </w:rPr>
        <w:t>לגמרי סגי בכך ואי</w:t>
      </w:r>
      <w:r>
        <w:rPr>
          <w:rFonts w:asciiTheme="minorBidi" w:hAnsiTheme="minorBidi" w:hint="cs"/>
          <w:sz w:val="20"/>
          <w:szCs w:val="20"/>
          <w:rtl/>
        </w:rPr>
        <w:t>נה</w:t>
      </w:r>
      <w:r w:rsidRPr="00A712E4">
        <w:rPr>
          <w:rFonts w:asciiTheme="minorBidi" w:hAnsiTheme="minorBidi"/>
          <w:sz w:val="20"/>
          <w:szCs w:val="20"/>
          <w:rtl/>
        </w:rPr>
        <w:t xml:space="preserve"> צרי</w:t>
      </w:r>
      <w:r>
        <w:rPr>
          <w:rFonts w:asciiTheme="minorBidi" w:hAnsiTheme="minorBidi" w:hint="cs"/>
          <w:sz w:val="20"/>
          <w:szCs w:val="20"/>
          <w:rtl/>
        </w:rPr>
        <w:t>כה</w:t>
      </w:r>
      <w:r w:rsidRPr="00A712E4">
        <w:rPr>
          <w:rFonts w:asciiTheme="minorBidi" w:hAnsiTheme="minorBidi"/>
          <w:sz w:val="20"/>
          <w:szCs w:val="20"/>
          <w:rtl/>
        </w:rPr>
        <w:t xml:space="preserve"> לרפות את הקליעה</w:t>
      </w:r>
      <w:r>
        <w:rPr>
          <w:rFonts w:asciiTheme="minorBidi" w:hAnsiTheme="minorBidi" w:hint="cs"/>
          <w:sz w:val="20"/>
          <w:szCs w:val="20"/>
          <w:rtl/>
        </w:rPr>
        <w:t>.</w:t>
      </w:r>
      <w:r>
        <w:rPr>
          <w:rFonts w:asciiTheme="minorBidi" w:hAnsiTheme="minorBidi"/>
          <w:sz w:val="20"/>
          <w:szCs w:val="20"/>
          <w:rtl/>
        </w:rPr>
        <w:br/>
      </w:r>
      <w:r w:rsidRPr="00A712E4">
        <w:rPr>
          <w:rFonts w:asciiTheme="minorBidi" w:hAnsiTheme="minorBidi" w:hint="cs"/>
          <w:b/>
          <w:bCs/>
          <w:sz w:val="20"/>
          <w:szCs w:val="20"/>
          <w:rtl/>
        </w:rPr>
        <w:lastRenderedPageBreak/>
        <w:t>טעם</w:t>
      </w:r>
      <w:r>
        <w:rPr>
          <w:rFonts w:asciiTheme="minorBidi" w:hAnsiTheme="minorBidi" w:hint="cs"/>
          <w:sz w:val="20"/>
          <w:szCs w:val="20"/>
          <w:rtl/>
        </w:rPr>
        <w:t xml:space="preserve"> - </w:t>
      </w:r>
      <w:r w:rsidRPr="00A712E4">
        <w:rPr>
          <w:rFonts w:asciiTheme="minorBidi" w:hAnsiTheme="minorBidi"/>
          <w:sz w:val="20"/>
          <w:szCs w:val="20"/>
          <w:rtl/>
        </w:rPr>
        <w:t xml:space="preserve">אין הקליעה חמורה יותר מקשירת שערותיה, דקיי"ל </w:t>
      </w:r>
      <w:r>
        <w:rPr>
          <w:rFonts w:asciiTheme="minorBidi" w:hAnsiTheme="minorBidi" w:hint="cs"/>
          <w:sz w:val="20"/>
          <w:szCs w:val="20"/>
          <w:rtl/>
        </w:rPr>
        <w:t xml:space="preserve">לקמן </w:t>
      </w:r>
      <w:r w:rsidRPr="00A712E4">
        <w:rPr>
          <w:rFonts w:asciiTheme="minorBidi" w:hAnsiTheme="minorBidi"/>
          <w:sz w:val="20"/>
          <w:szCs w:val="20"/>
          <w:rtl/>
        </w:rPr>
        <w:t xml:space="preserve">שמשלוש ומעלה אינו חוצץ </w:t>
      </w:r>
      <w:r w:rsidRPr="00A712E4">
        <w:rPr>
          <w:rFonts w:asciiTheme="minorBidi" w:hAnsiTheme="minorBidi"/>
          <w:sz w:val="18"/>
          <w:szCs w:val="18"/>
          <w:rtl/>
        </w:rPr>
        <w:t>(וכאשר החוטים בקליעת שערה, החציצה היא בגלל החוטים ולא בגלל הקליעה)</w:t>
      </w:r>
      <w:r w:rsidRPr="00A712E4">
        <w:rPr>
          <w:rFonts w:asciiTheme="minorBidi" w:hAnsiTheme="minorBidi"/>
          <w:sz w:val="20"/>
          <w:szCs w:val="20"/>
          <w:rtl/>
        </w:rPr>
        <w:t>.</w:t>
      </w:r>
    </w:p>
    <w:p w:rsidR="00620060" w:rsidRDefault="00620060" w:rsidP="00620060">
      <w:pPr>
        <w:rPr>
          <w:sz w:val="20"/>
          <w:szCs w:val="20"/>
          <w:rtl/>
        </w:rPr>
      </w:pPr>
      <w:r>
        <w:rPr>
          <w:rFonts w:hint="cs"/>
          <w:sz w:val="20"/>
          <w:szCs w:val="20"/>
          <w:u w:val="single"/>
          <w:rtl/>
        </w:rPr>
        <w:t>ספוג באוזן (פת"ש)</w:t>
      </w:r>
      <w:r>
        <w:rPr>
          <w:rFonts w:hint="cs"/>
          <w:sz w:val="20"/>
          <w:szCs w:val="20"/>
          <w:u w:val="single"/>
          <w:rtl/>
        </w:rPr>
        <w:br/>
      </w:r>
      <w:r w:rsidRPr="005261CD">
        <w:rPr>
          <w:rFonts w:hint="cs"/>
          <w:b/>
          <w:bCs/>
          <w:sz w:val="20"/>
          <w:szCs w:val="20"/>
          <w:rtl/>
        </w:rPr>
        <w:t>שו"ת פני אריה</w:t>
      </w:r>
      <w:r>
        <w:rPr>
          <w:rFonts w:hint="cs"/>
          <w:sz w:val="20"/>
          <w:szCs w:val="20"/>
          <w:rtl/>
        </w:rPr>
        <w:t xml:space="preserve"> </w:t>
      </w:r>
      <w:r>
        <w:rPr>
          <w:sz w:val="20"/>
          <w:szCs w:val="20"/>
          <w:rtl/>
        </w:rPr>
        <w:t>–</w:t>
      </w:r>
      <w:r>
        <w:rPr>
          <w:rFonts w:hint="cs"/>
          <w:sz w:val="20"/>
          <w:szCs w:val="20"/>
          <w:rtl/>
        </w:rPr>
        <w:t xml:space="preserve"> אשה שרגילה להניח מוך באוזן לשאוב את הזוהמה ושכחה להסירו לפני הטבילה, תחזור ותטבול שנית ללא ברכה מחמת הספק.</w:t>
      </w:r>
    </w:p>
    <w:p w:rsidR="00620060"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003553">
        <w:rPr>
          <w:rFonts w:hint="cs"/>
          <w:b/>
          <w:bCs/>
          <w:sz w:val="20"/>
          <w:szCs w:val="20"/>
          <w:rtl/>
        </w:rPr>
        <w:t>משנה</w:t>
      </w:r>
      <w:r>
        <w:rPr>
          <w:rFonts w:hint="cs"/>
          <w:sz w:val="20"/>
          <w:szCs w:val="20"/>
          <w:rtl/>
        </w:rPr>
        <w:t xml:space="preserve"> מקוואות </w:t>
      </w:r>
      <w:r w:rsidRPr="00003553">
        <w:rPr>
          <w:rFonts w:hint="cs"/>
          <w:b/>
          <w:bCs/>
          <w:sz w:val="20"/>
          <w:szCs w:val="20"/>
          <w:rtl/>
        </w:rPr>
        <w:t xml:space="preserve">ומשנה </w:t>
      </w:r>
      <w:r>
        <w:rPr>
          <w:rFonts w:hint="cs"/>
          <w:sz w:val="20"/>
          <w:szCs w:val="20"/>
          <w:rtl/>
        </w:rPr>
        <w:t>בשבת. חוטים שבראש חוצצים בטבילה ולכן צריכה להרפות אותם בטבילה.</w:t>
      </w:r>
      <w:r>
        <w:rPr>
          <w:sz w:val="20"/>
          <w:szCs w:val="20"/>
          <w:rtl/>
        </w:rPr>
        <w:br/>
      </w:r>
      <w:r>
        <w:rPr>
          <w:rFonts w:hint="cs"/>
          <w:sz w:val="20"/>
          <w:szCs w:val="20"/>
          <w:rtl/>
        </w:rPr>
        <w:t xml:space="preserve">2. </w:t>
      </w:r>
      <w:r w:rsidRPr="00003553">
        <w:rPr>
          <w:rFonts w:hint="cs"/>
          <w:b/>
          <w:bCs/>
          <w:sz w:val="20"/>
          <w:szCs w:val="20"/>
          <w:rtl/>
        </w:rPr>
        <w:t>רש"י</w:t>
      </w:r>
      <w:r>
        <w:rPr>
          <w:rFonts w:hint="cs"/>
          <w:sz w:val="20"/>
          <w:szCs w:val="20"/>
          <w:rtl/>
        </w:rPr>
        <w:t xml:space="preserve">. מדובר בחוטים שקולעת בקליעת ראשה. </w:t>
      </w:r>
      <w:r w:rsidRPr="00003553">
        <w:rPr>
          <w:rFonts w:hint="cs"/>
          <w:b/>
          <w:bCs/>
          <w:sz w:val="20"/>
          <w:szCs w:val="20"/>
          <w:rtl/>
        </w:rPr>
        <w:t>תוספות</w:t>
      </w:r>
      <w:r>
        <w:rPr>
          <w:rFonts w:hint="cs"/>
          <w:sz w:val="20"/>
          <w:szCs w:val="20"/>
          <w:rtl/>
        </w:rPr>
        <w:t xml:space="preserve">. מדובר בחוטים הנתונים על שערות ראשה, אך חוטים הקלועים בשערותיה אין מועיל בהם רפיון, וכ"פ </w:t>
      </w:r>
      <w:r w:rsidRPr="00003553">
        <w:rPr>
          <w:rFonts w:hint="cs"/>
          <w:b/>
          <w:bCs/>
          <w:sz w:val="20"/>
          <w:szCs w:val="20"/>
          <w:rtl/>
        </w:rPr>
        <w:t>המחבר</w:t>
      </w:r>
      <w:r>
        <w:rPr>
          <w:rFonts w:hint="cs"/>
          <w:sz w:val="20"/>
          <w:szCs w:val="20"/>
          <w:rtl/>
        </w:rPr>
        <w:t xml:space="preserve">. </w:t>
      </w:r>
      <w:r w:rsidRPr="00003553">
        <w:rPr>
          <w:rFonts w:hint="cs"/>
          <w:b/>
          <w:bCs/>
          <w:sz w:val="20"/>
          <w:szCs w:val="20"/>
          <w:rtl/>
        </w:rPr>
        <w:t>טעם</w:t>
      </w:r>
      <w:r>
        <w:rPr>
          <w:rFonts w:hint="cs"/>
          <w:sz w:val="20"/>
          <w:szCs w:val="20"/>
          <w:rtl/>
        </w:rPr>
        <w:t>. המים לא נכנסים עד שתסתור לגמרי.</w:t>
      </w:r>
      <w:r>
        <w:rPr>
          <w:sz w:val="20"/>
          <w:szCs w:val="20"/>
          <w:rtl/>
        </w:rPr>
        <w:br/>
      </w:r>
      <w:r>
        <w:rPr>
          <w:rFonts w:hint="cs"/>
          <w:sz w:val="20"/>
          <w:szCs w:val="20"/>
          <w:rtl/>
        </w:rPr>
        <w:t xml:space="preserve">3. </w:t>
      </w:r>
      <w:r w:rsidRPr="00003553">
        <w:rPr>
          <w:rFonts w:hint="cs"/>
          <w:b/>
          <w:bCs/>
          <w:sz w:val="20"/>
          <w:szCs w:val="20"/>
          <w:rtl/>
        </w:rPr>
        <w:t>גמרא</w:t>
      </w:r>
      <w:r>
        <w:rPr>
          <w:rFonts w:hint="cs"/>
          <w:sz w:val="20"/>
          <w:szCs w:val="20"/>
          <w:rtl/>
        </w:rPr>
        <w:t xml:space="preserve">. חוטים חוצצים בכל מקום בגוף, מלבד בצוואר. </w:t>
      </w:r>
      <w:r w:rsidRPr="00003553">
        <w:rPr>
          <w:rFonts w:hint="cs"/>
          <w:b/>
          <w:bCs/>
          <w:sz w:val="20"/>
          <w:szCs w:val="20"/>
          <w:rtl/>
        </w:rPr>
        <w:t>טעם</w:t>
      </w:r>
      <w:r>
        <w:rPr>
          <w:rFonts w:hint="cs"/>
          <w:sz w:val="20"/>
          <w:szCs w:val="20"/>
          <w:rtl/>
        </w:rPr>
        <w:t xml:space="preserve">. אינה קושרת בחוזק בצוואר. בגד המיוחד לצוואר חוצץ. </w:t>
      </w:r>
      <w:r w:rsidRPr="00003553">
        <w:rPr>
          <w:rFonts w:hint="cs"/>
          <w:b/>
          <w:bCs/>
          <w:sz w:val="20"/>
          <w:szCs w:val="20"/>
          <w:rtl/>
        </w:rPr>
        <w:t>טעם</w:t>
      </w:r>
      <w:r>
        <w:rPr>
          <w:rFonts w:hint="cs"/>
          <w:sz w:val="20"/>
          <w:szCs w:val="20"/>
          <w:rtl/>
        </w:rPr>
        <w:t>. קושרת אותו בחוזק.</w:t>
      </w:r>
      <w:r>
        <w:rPr>
          <w:sz w:val="20"/>
          <w:szCs w:val="20"/>
          <w:rtl/>
        </w:rPr>
        <w:br/>
      </w:r>
      <w:r>
        <w:rPr>
          <w:rFonts w:hint="cs"/>
          <w:sz w:val="20"/>
          <w:szCs w:val="20"/>
          <w:rtl/>
        </w:rPr>
        <w:t xml:space="preserve">4. </w:t>
      </w:r>
      <w:r w:rsidRPr="004735A9">
        <w:rPr>
          <w:rFonts w:hint="cs"/>
          <w:b/>
          <w:bCs/>
          <w:sz w:val="20"/>
          <w:szCs w:val="20"/>
          <w:rtl/>
        </w:rPr>
        <w:t>ט"ז</w:t>
      </w:r>
      <w:r>
        <w:rPr>
          <w:rFonts w:hint="cs"/>
          <w:sz w:val="20"/>
          <w:szCs w:val="20"/>
          <w:rtl/>
        </w:rPr>
        <w:t>. חוט חוצץ כיוון שמקפידה להסירו בשעת רחיצה כדי שייכנסו שם המים.</w:t>
      </w:r>
      <w:r>
        <w:rPr>
          <w:rFonts w:hint="cs"/>
          <w:sz w:val="20"/>
          <w:szCs w:val="20"/>
          <w:rtl/>
        </w:rPr>
        <w:br/>
        <w:t xml:space="preserve">5. </w:t>
      </w:r>
      <w:r w:rsidRPr="00003553">
        <w:rPr>
          <w:rFonts w:hint="cs"/>
          <w:b/>
          <w:bCs/>
          <w:sz w:val="20"/>
          <w:szCs w:val="20"/>
          <w:rtl/>
        </w:rPr>
        <w:t>מחבר</w:t>
      </w:r>
      <w:r>
        <w:rPr>
          <w:rFonts w:hint="cs"/>
          <w:sz w:val="20"/>
          <w:szCs w:val="20"/>
          <w:rtl/>
        </w:rPr>
        <w:t>. חוטים שכורכת בהם שערותיה צריכה להרפות, אך חוטים שבקליעת שערותיה אין מועיל בהם רפיון. חוטים חוצצים גם בשאר מקומות שבגוף, מלבד בצוואר. בגד המיוחד לצוואר חוצץ מפני שהוא מהודק.</w:t>
      </w:r>
      <w:r>
        <w:rPr>
          <w:sz w:val="20"/>
          <w:szCs w:val="20"/>
          <w:rtl/>
        </w:rPr>
        <w:br/>
      </w:r>
      <w:r>
        <w:rPr>
          <w:rFonts w:hint="cs"/>
          <w:sz w:val="20"/>
          <w:szCs w:val="20"/>
          <w:rtl/>
        </w:rPr>
        <w:t xml:space="preserve">6. </w:t>
      </w:r>
      <w:r w:rsidRPr="00003553">
        <w:rPr>
          <w:rFonts w:hint="cs"/>
          <w:b/>
          <w:bCs/>
          <w:sz w:val="20"/>
          <w:szCs w:val="20"/>
          <w:rtl/>
        </w:rPr>
        <w:t>רמ"א</w:t>
      </w:r>
      <w:r>
        <w:rPr>
          <w:rFonts w:hint="cs"/>
          <w:sz w:val="20"/>
          <w:szCs w:val="20"/>
          <w:rtl/>
        </w:rPr>
        <w:t xml:space="preserve">. מבואר לעיל שגם דבר שאינו חוצץ יש להסיר. לדעת </w:t>
      </w:r>
      <w:r w:rsidRPr="00003553">
        <w:rPr>
          <w:rFonts w:hint="cs"/>
          <w:b/>
          <w:bCs/>
          <w:sz w:val="20"/>
          <w:szCs w:val="20"/>
          <w:rtl/>
        </w:rPr>
        <w:t>המחבר</w:t>
      </w:r>
      <w:r>
        <w:rPr>
          <w:rFonts w:hint="cs"/>
          <w:sz w:val="20"/>
          <w:szCs w:val="20"/>
          <w:rtl/>
        </w:rPr>
        <w:t xml:space="preserve"> מותר לכתחילה לטבול ע"י רפיון.</w:t>
      </w:r>
      <w:r>
        <w:rPr>
          <w:sz w:val="20"/>
          <w:szCs w:val="20"/>
          <w:rtl/>
        </w:rPr>
        <w:br/>
      </w:r>
      <w:r>
        <w:rPr>
          <w:rFonts w:hint="cs"/>
          <w:sz w:val="20"/>
          <w:szCs w:val="20"/>
          <w:rtl/>
        </w:rPr>
        <w:t>7. מותר לאשה לטבול כאשר שערותיה קלועות ללא חוטים אחרים.</w:t>
      </w:r>
      <w:r>
        <w:rPr>
          <w:sz w:val="20"/>
          <w:szCs w:val="20"/>
          <w:rtl/>
        </w:rPr>
        <w:br/>
      </w:r>
      <w:r>
        <w:rPr>
          <w:rFonts w:hint="cs"/>
          <w:sz w:val="20"/>
          <w:szCs w:val="20"/>
          <w:rtl/>
        </w:rPr>
        <w:t xml:space="preserve">8. </w:t>
      </w:r>
      <w:r w:rsidRPr="00003553">
        <w:rPr>
          <w:rFonts w:hint="cs"/>
          <w:b/>
          <w:bCs/>
          <w:sz w:val="20"/>
          <w:szCs w:val="20"/>
          <w:rtl/>
        </w:rPr>
        <w:t>פת"ש</w:t>
      </w:r>
      <w:r>
        <w:rPr>
          <w:rFonts w:hint="cs"/>
          <w:sz w:val="20"/>
          <w:szCs w:val="20"/>
          <w:rtl/>
        </w:rPr>
        <w:t>. אשה שטבלה עם מוך באוזנה, תטבול שנית ללא ברכה.</w:t>
      </w:r>
    </w:p>
    <w:p w:rsidR="00620060" w:rsidRDefault="00620060" w:rsidP="00620060">
      <w:pPr>
        <w:rPr>
          <w:sz w:val="20"/>
          <w:szCs w:val="20"/>
          <w:rtl/>
        </w:rPr>
      </w:pPr>
      <w:r>
        <w:rPr>
          <w:sz w:val="20"/>
          <w:szCs w:val="20"/>
          <w:rtl/>
        </w:rPr>
        <w:br/>
      </w:r>
      <w:r>
        <w:rPr>
          <w:rFonts w:hint="cs"/>
          <w:b/>
          <w:bCs/>
          <w:sz w:val="20"/>
          <w:szCs w:val="20"/>
          <w:rtl/>
        </w:rPr>
        <w:t xml:space="preserve">סעיף ג </w:t>
      </w:r>
      <w:r>
        <w:rPr>
          <w:b/>
          <w:bCs/>
          <w:sz w:val="20"/>
          <w:szCs w:val="20"/>
          <w:rtl/>
        </w:rPr>
        <w:t>–</w:t>
      </w:r>
      <w:r>
        <w:rPr>
          <w:rFonts w:hint="cs"/>
          <w:b/>
          <w:bCs/>
          <w:sz w:val="20"/>
          <w:szCs w:val="20"/>
          <w:rtl/>
        </w:rPr>
        <w:t xml:space="preserve"> חציצה ברשת</w:t>
      </w:r>
      <w:r>
        <w:rPr>
          <w:rFonts w:hint="cs"/>
          <w:b/>
          <w:bCs/>
          <w:sz w:val="20"/>
          <w:szCs w:val="20"/>
          <w:rtl/>
        </w:rPr>
        <w:br/>
        <w:t>מקור הדין</w:t>
      </w:r>
      <w:r>
        <w:rPr>
          <w:b/>
          <w:bCs/>
          <w:sz w:val="20"/>
          <w:szCs w:val="20"/>
          <w:rtl/>
        </w:rPr>
        <w:br/>
      </w:r>
      <w:r>
        <w:rPr>
          <w:rFonts w:hint="cs"/>
          <w:b/>
          <w:bCs/>
          <w:sz w:val="20"/>
          <w:szCs w:val="20"/>
          <w:rtl/>
        </w:rPr>
        <w:t xml:space="preserve">גמרא </w:t>
      </w:r>
      <w:r>
        <w:rPr>
          <w:rFonts w:hint="cs"/>
          <w:sz w:val="20"/>
          <w:szCs w:val="20"/>
          <w:rtl/>
        </w:rPr>
        <w:t>שבת (נז.) "</w:t>
      </w:r>
      <w:r w:rsidRPr="00002BC5">
        <w:rPr>
          <w:rFonts w:cs="Arial"/>
          <w:sz w:val="20"/>
          <w:szCs w:val="20"/>
          <w:rtl/>
        </w:rPr>
        <w:t xml:space="preserve">בעא מיניה רב כהנא מרב: תיכי חלילתא </w:t>
      </w:r>
      <w:r w:rsidRPr="00A67B6F">
        <w:rPr>
          <w:rFonts w:cs="Arial" w:hint="cs"/>
          <w:sz w:val="18"/>
          <w:szCs w:val="18"/>
          <w:rtl/>
        </w:rPr>
        <w:t xml:space="preserve">(רש"י - </w:t>
      </w:r>
      <w:r w:rsidRPr="00A67B6F">
        <w:rPr>
          <w:rFonts w:cs="Arial"/>
          <w:sz w:val="18"/>
          <w:szCs w:val="18"/>
          <w:rtl/>
        </w:rPr>
        <w:t>שרשרות של חוטין חלולות ועגולות</w:t>
      </w:r>
      <w:r w:rsidRPr="00A67B6F">
        <w:rPr>
          <w:rFonts w:cs="Arial" w:hint="cs"/>
          <w:sz w:val="18"/>
          <w:szCs w:val="18"/>
          <w:rtl/>
        </w:rPr>
        <w:t xml:space="preserve">) </w:t>
      </w:r>
      <w:r w:rsidRPr="00002BC5">
        <w:rPr>
          <w:rFonts w:cs="Arial"/>
          <w:sz w:val="20"/>
          <w:szCs w:val="20"/>
          <w:rtl/>
        </w:rPr>
        <w:t>מאי? אמר ליה: אריג קאמרת? כל שהוא אריג - לא גזרו</w:t>
      </w:r>
      <w:r>
        <w:rPr>
          <w:rFonts w:cs="Arial" w:hint="cs"/>
          <w:sz w:val="20"/>
          <w:szCs w:val="20"/>
          <w:rtl/>
        </w:rPr>
        <w:t xml:space="preserve"> </w:t>
      </w:r>
      <w:r w:rsidRPr="00A67B6F">
        <w:rPr>
          <w:rFonts w:cs="Arial" w:hint="cs"/>
          <w:sz w:val="18"/>
          <w:szCs w:val="18"/>
          <w:rtl/>
        </w:rPr>
        <w:t>(רש"י - ל</w:t>
      </w:r>
      <w:r w:rsidRPr="00A67B6F">
        <w:rPr>
          <w:rFonts w:cs="Arial"/>
          <w:sz w:val="18"/>
          <w:szCs w:val="18"/>
          <w:rtl/>
        </w:rPr>
        <w:t>צאת בו בשבת, דלענין חציצה לא חייץ, דלא מצי לאהדוקי שפיר</w:t>
      </w:r>
      <w:r w:rsidRPr="00A67B6F">
        <w:rPr>
          <w:rFonts w:cs="Arial" w:hint="cs"/>
          <w:sz w:val="18"/>
          <w:szCs w:val="18"/>
          <w:rtl/>
        </w:rPr>
        <w:t>)</w:t>
      </w:r>
      <w:r w:rsidRPr="00002BC5">
        <w:rPr>
          <w:rFonts w:cs="Arial"/>
          <w:sz w:val="20"/>
          <w:szCs w:val="20"/>
          <w:rtl/>
        </w:rPr>
        <w:t>. איתמר נמי, אמר רב הונא בריה דרב יהושע: כל שהוא אריג - לא גזרו. ואיכא דאמרי, אמר רב הונא בריה דרב יהושע: חזינא לאחוותי דלא קפדן עלייהו</w:t>
      </w:r>
      <w:r>
        <w:rPr>
          <w:rFonts w:cs="Arial" w:hint="cs"/>
          <w:sz w:val="20"/>
          <w:szCs w:val="20"/>
          <w:rtl/>
        </w:rPr>
        <w:t xml:space="preserve">. </w:t>
      </w:r>
      <w:r w:rsidRPr="00002BC5">
        <w:rPr>
          <w:rFonts w:cs="Arial"/>
          <w:sz w:val="20"/>
          <w:szCs w:val="20"/>
          <w:rtl/>
        </w:rPr>
        <w:t>מאי איכא בין הך לישנא ובין הך לישנא? איכא בינייהו - דטניפן; להך לישנא דאמר כל שהוא אריג לא גזרו - הני נמי ארוג, ולהך לישנא דאמרת משום קפידא;</w:t>
      </w:r>
      <w:r>
        <w:rPr>
          <w:rFonts w:cs="Arial"/>
          <w:sz w:val="20"/>
          <w:szCs w:val="20"/>
          <w:rtl/>
        </w:rPr>
        <w:t xml:space="preserve"> כיון דטניפא - מקפד קפדא עלייהו</w:t>
      </w:r>
      <w:r>
        <w:rPr>
          <w:rFonts w:cs="Arial" w:hint="cs"/>
          <w:sz w:val="20"/>
          <w:szCs w:val="20"/>
          <w:rtl/>
        </w:rPr>
        <w:t>".</w:t>
      </w:r>
    </w:p>
    <w:p w:rsidR="00620060" w:rsidRDefault="00620060" w:rsidP="00620060">
      <w:pPr>
        <w:rPr>
          <w:sz w:val="20"/>
          <w:szCs w:val="20"/>
          <w:rtl/>
        </w:rPr>
      </w:pPr>
      <w:r>
        <w:rPr>
          <w:rFonts w:hint="cs"/>
          <w:b/>
          <w:bCs/>
          <w:sz w:val="20"/>
          <w:szCs w:val="20"/>
          <w:rtl/>
        </w:rPr>
        <w:t>שיטת הראב"ד בתיכי חלילתא</w:t>
      </w:r>
      <w:r>
        <w:rPr>
          <w:b/>
          <w:bCs/>
          <w:sz w:val="20"/>
          <w:szCs w:val="20"/>
          <w:rtl/>
        </w:rPr>
        <w:br/>
      </w:r>
      <w:r w:rsidRPr="00563905">
        <w:rPr>
          <w:rFonts w:hint="cs"/>
          <w:b/>
          <w:bCs/>
          <w:sz w:val="20"/>
          <w:szCs w:val="20"/>
          <w:rtl/>
        </w:rPr>
        <w:t>ראב"ד</w:t>
      </w:r>
      <w:r>
        <w:rPr>
          <w:rFonts w:hint="cs"/>
          <w:sz w:val="20"/>
          <w:szCs w:val="20"/>
          <w:rtl/>
        </w:rPr>
        <w:t xml:space="preserve"> </w:t>
      </w:r>
      <w:r>
        <w:rPr>
          <w:sz w:val="20"/>
          <w:szCs w:val="20"/>
          <w:rtl/>
        </w:rPr>
        <w:t>–</w:t>
      </w:r>
      <w:r>
        <w:rPr>
          <w:rFonts w:hint="cs"/>
          <w:sz w:val="20"/>
          <w:szCs w:val="20"/>
          <w:rtl/>
        </w:rPr>
        <w:t xml:space="preserve"> גם חוטים ארוגים חוצצים, רק אם החוטים עשויים </w:t>
      </w:r>
      <w:r w:rsidRPr="008F3B66">
        <w:rPr>
          <w:rFonts w:hint="cs"/>
          <w:sz w:val="20"/>
          <w:szCs w:val="20"/>
          <w:u w:val="single"/>
          <w:rtl/>
        </w:rPr>
        <w:t>כרשת</w:t>
      </w:r>
      <w:r>
        <w:rPr>
          <w:rFonts w:hint="cs"/>
          <w:sz w:val="20"/>
          <w:szCs w:val="20"/>
          <w:rtl/>
        </w:rPr>
        <w:t xml:space="preserve"> אינם חוצצים, וכ"פ </w:t>
      </w:r>
      <w:r w:rsidRPr="00563905">
        <w:rPr>
          <w:rFonts w:hint="cs"/>
          <w:b/>
          <w:bCs/>
          <w:sz w:val="20"/>
          <w:szCs w:val="20"/>
          <w:rtl/>
        </w:rPr>
        <w:t>המחבר</w:t>
      </w:r>
      <w:r>
        <w:rPr>
          <w:rFonts w:hint="cs"/>
          <w:sz w:val="20"/>
          <w:szCs w:val="20"/>
          <w:rtl/>
        </w:rPr>
        <w:t>.</w:t>
      </w:r>
      <w:r>
        <w:rPr>
          <w:sz w:val="20"/>
          <w:szCs w:val="20"/>
          <w:rtl/>
        </w:rPr>
        <w:br/>
      </w:r>
      <w:r w:rsidRPr="00563905">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באריגת שתי וערב כל החוטים מהודקים היטב, אך רשת רפויה והמים נכנסים בתוכה</w:t>
      </w:r>
      <w:r w:rsidRPr="00563905">
        <w:rPr>
          <w:rFonts w:hint="cs"/>
          <w:sz w:val="20"/>
          <w:szCs w:val="20"/>
          <w:rtl/>
        </w:rPr>
        <w:t xml:space="preserve"> </w:t>
      </w:r>
      <w:r>
        <w:rPr>
          <w:rFonts w:hint="cs"/>
          <w:sz w:val="20"/>
          <w:szCs w:val="20"/>
          <w:rtl/>
        </w:rPr>
        <w:t>היטב, וזה הפירוש לדין 'תיכי חלילתא' שלא גזרו בה.</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8F3B66">
        <w:rPr>
          <w:rFonts w:cs="Arial"/>
          <w:sz w:val="20"/>
          <w:szCs w:val="20"/>
          <w:rtl/>
        </w:rPr>
        <w:t>אם החוטין האלו חלולין, עשוין מעשה רשת, אינם חוצצין</w:t>
      </w:r>
      <w:r>
        <w:rPr>
          <w:rFonts w:cs="Arial" w:hint="cs"/>
          <w:sz w:val="20"/>
          <w:szCs w:val="20"/>
          <w:rtl/>
        </w:rPr>
        <w:t>".</w:t>
      </w:r>
    </w:p>
    <w:p w:rsidR="00620060" w:rsidRPr="00DD1029" w:rsidRDefault="00620060" w:rsidP="00620060">
      <w:pPr>
        <w:rPr>
          <w:sz w:val="20"/>
          <w:szCs w:val="20"/>
          <w:rtl/>
        </w:rPr>
      </w:pPr>
      <w:r>
        <w:rPr>
          <w:rFonts w:hint="cs"/>
          <w:sz w:val="20"/>
          <w:szCs w:val="20"/>
          <w:u w:val="single"/>
          <w:rtl/>
        </w:rPr>
        <w:t>קושיית הש"ך</w:t>
      </w:r>
      <w:r>
        <w:rPr>
          <w:sz w:val="20"/>
          <w:szCs w:val="20"/>
          <w:u w:val="single"/>
          <w:rtl/>
        </w:rPr>
        <w:br/>
      </w:r>
      <w:r>
        <w:rPr>
          <w:rFonts w:hint="cs"/>
          <w:sz w:val="20"/>
          <w:szCs w:val="20"/>
          <w:rtl/>
        </w:rPr>
        <w:t xml:space="preserve">דברי </w:t>
      </w:r>
      <w:r w:rsidRPr="00DD1029">
        <w:rPr>
          <w:rFonts w:hint="cs"/>
          <w:b/>
          <w:bCs/>
          <w:sz w:val="20"/>
          <w:szCs w:val="20"/>
          <w:rtl/>
        </w:rPr>
        <w:t xml:space="preserve">המחבר </w:t>
      </w:r>
      <w:r>
        <w:rPr>
          <w:rFonts w:hint="cs"/>
          <w:sz w:val="20"/>
          <w:szCs w:val="20"/>
          <w:rtl/>
        </w:rPr>
        <w:t xml:space="preserve">כאן נראים כסותרים לדבריו בהלכות שבת </w:t>
      </w:r>
      <w:r w:rsidRPr="00DD1029">
        <w:rPr>
          <w:rFonts w:hint="cs"/>
          <w:sz w:val="18"/>
          <w:szCs w:val="18"/>
          <w:rtl/>
        </w:rPr>
        <w:t xml:space="preserve">(או"ח, שג, א) </w:t>
      </w:r>
      <w:r>
        <w:rPr>
          <w:sz w:val="20"/>
          <w:szCs w:val="20"/>
          <w:rtl/>
        </w:rPr>
        <w:t>–</w:t>
      </w:r>
      <w:r>
        <w:rPr>
          <w:rFonts w:hint="cs"/>
          <w:sz w:val="20"/>
          <w:szCs w:val="20"/>
          <w:rtl/>
        </w:rPr>
        <w:t xml:space="preserve"> "</w:t>
      </w:r>
      <w:r w:rsidRPr="00DD1029">
        <w:rPr>
          <w:rFonts w:cs="Arial"/>
          <w:sz w:val="20"/>
          <w:szCs w:val="20"/>
          <w:rtl/>
        </w:rPr>
        <w:t xml:space="preserve">לא תצא אשה בחוטי צמר ולא בחוטי פשתן ולא ברצועות שבראשה, מפני שצריכה להסירם בשעת טבילה חיישינן שמא תוליכם ד' אמות ברשות הרבים. ואם הם קלועות בשערה, מותר. ויש מי שאוסר. </w:t>
      </w:r>
      <w:r w:rsidRPr="00DD1029">
        <w:rPr>
          <w:rFonts w:cs="Arial"/>
          <w:sz w:val="20"/>
          <w:szCs w:val="20"/>
          <w:u w:val="single"/>
          <w:rtl/>
        </w:rPr>
        <w:t>ואם הם מעשה אריגה, מותר שא</w:t>
      </w:r>
      <w:r>
        <w:rPr>
          <w:rFonts w:cs="Arial" w:hint="cs"/>
          <w:sz w:val="20"/>
          <w:szCs w:val="20"/>
          <w:u w:val="single"/>
          <w:rtl/>
        </w:rPr>
        <w:t>ין צריך</w:t>
      </w:r>
      <w:r w:rsidRPr="00DD1029">
        <w:rPr>
          <w:rFonts w:cs="Arial"/>
          <w:sz w:val="20"/>
          <w:szCs w:val="20"/>
          <w:u w:val="single"/>
          <w:rtl/>
        </w:rPr>
        <w:t xml:space="preserve"> להסירם בשעת טבילה</w:t>
      </w:r>
      <w:r>
        <w:rPr>
          <w:rFonts w:hint="cs"/>
          <w:sz w:val="20"/>
          <w:szCs w:val="20"/>
          <w:rtl/>
        </w:rPr>
        <w:t>".</w:t>
      </w:r>
      <w:r>
        <w:rPr>
          <w:rFonts w:hint="cs"/>
          <w:sz w:val="20"/>
          <w:szCs w:val="20"/>
          <w:rtl/>
        </w:rPr>
        <w:br/>
      </w:r>
      <w:r w:rsidRPr="00EB5254">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מדברי המחבר באו"ח משמע שכל חוט ארוג אינו חוצץ אפילו אם אינו מעשה רשת, ועיין הערה</w:t>
      </w:r>
      <w:r>
        <w:rPr>
          <w:rStyle w:val="a5"/>
          <w:sz w:val="20"/>
          <w:szCs w:val="20"/>
          <w:rtl/>
        </w:rPr>
        <w:footnoteReference w:id="594"/>
      </w:r>
      <w:r>
        <w:rPr>
          <w:rFonts w:hint="cs"/>
          <w:sz w:val="20"/>
          <w:szCs w:val="20"/>
          <w:rtl/>
        </w:rPr>
        <w:t>.</w:t>
      </w:r>
    </w:p>
    <w:p w:rsidR="00620060" w:rsidRDefault="00620060" w:rsidP="00620060">
      <w:pPr>
        <w:rPr>
          <w:sz w:val="20"/>
          <w:szCs w:val="20"/>
          <w:rtl/>
        </w:rPr>
      </w:pPr>
      <w:r w:rsidRPr="00986384">
        <w:rPr>
          <w:rFonts w:hint="cs"/>
          <w:b/>
          <w:bCs/>
          <w:sz w:val="20"/>
          <w:szCs w:val="20"/>
          <w:rtl/>
        </w:rPr>
        <w:t>סיכום</w:t>
      </w:r>
      <w:r>
        <w:rPr>
          <w:sz w:val="20"/>
          <w:szCs w:val="20"/>
          <w:rtl/>
        </w:rPr>
        <w:br/>
      </w:r>
      <w:r>
        <w:rPr>
          <w:rFonts w:hint="cs"/>
          <w:sz w:val="20"/>
          <w:szCs w:val="20"/>
          <w:rtl/>
        </w:rPr>
        <w:t xml:space="preserve">1. </w:t>
      </w:r>
      <w:r w:rsidRPr="00484721">
        <w:rPr>
          <w:rFonts w:hint="cs"/>
          <w:b/>
          <w:bCs/>
          <w:sz w:val="20"/>
          <w:szCs w:val="20"/>
          <w:rtl/>
        </w:rPr>
        <w:t>גמרא</w:t>
      </w:r>
      <w:r>
        <w:rPr>
          <w:rFonts w:hint="cs"/>
          <w:sz w:val="20"/>
          <w:szCs w:val="20"/>
          <w:rtl/>
        </w:rPr>
        <w:t>. תיכי חלילתא מאי?</w:t>
      </w:r>
      <w:r w:rsidRPr="00545839">
        <w:rPr>
          <w:rFonts w:hint="cs"/>
          <w:sz w:val="20"/>
          <w:szCs w:val="20"/>
          <w:rtl/>
        </w:rPr>
        <w:t xml:space="preserve"> לישנא קמא. לא גזרו בחוטים ארוגים. לישנא בתרא. לא מקפידים עליהם. נפק"מ. </w:t>
      </w:r>
      <w:r>
        <w:rPr>
          <w:rFonts w:hint="cs"/>
          <w:sz w:val="20"/>
          <w:szCs w:val="20"/>
          <w:rtl/>
        </w:rPr>
        <w:t>מטונף, לל"ק לא גזרו, לל"ב גזרו.</w:t>
      </w:r>
      <w:r>
        <w:rPr>
          <w:sz w:val="20"/>
          <w:szCs w:val="20"/>
          <w:rtl/>
        </w:rPr>
        <w:br/>
      </w:r>
      <w:r>
        <w:rPr>
          <w:rFonts w:hint="cs"/>
          <w:sz w:val="20"/>
          <w:szCs w:val="20"/>
          <w:rtl/>
        </w:rPr>
        <w:t xml:space="preserve">2. </w:t>
      </w:r>
      <w:r w:rsidRPr="00484721">
        <w:rPr>
          <w:rFonts w:hint="cs"/>
          <w:b/>
          <w:bCs/>
          <w:sz w:val="20"/>
          <w:szCs w:val="20"/>
          <w:rtl/>
        </w:rPr>
        <w:t>ראב"ד</w:t>
      </w:r>
      <w:r>
        <w:rPr>
          <w:rFonts w:hint="cs"/>
          <w:sz w:val="20"/>
          <w:szCs w:val="20"/>
          <w:rtl/>
        </w:rPr>
        <w:t xml:space="preserve">. כל אריג חוצץ, מלבד אריג עשוי מעשה רשת שאינו חוצץ, וכ"פ </w:t>
      </w:r>
      <w:r w:rsidRPr="00484721">
        <w:rPr>
          <w:rFonts w:hint="cs"/>
          <w:b/>
          <w:bCs/>
          <w:sz w:val="20"/>
          <w:szCs w:val="20"/>
          <w:rtl/>
        </w:rPr>
        <w:t>המחבר</w:t>
      </w:r>
      <w:r>
        <w:rPr>
          <w:rFonts w:hint="cs"/>
          <w:sz w:val="20"/>
          <w:szCs w:val="20"/>
          <w:rtl/>
        </w:rPr>
        <w:t>.</w:t>
      </w:r>
      <w:r w:rsidRPr="00484721">
        <w:rPr>
          <w:rFonts w:hint="cs"/>
          <w:b/>
          <w:bCs/>
          <w:sz w:val="20"/>
          <w:szCs w:val="20"/>
          <w:rtl/>
        </w:rPr>
        <w:t xml:space="preserve"> טעם</w:t>
      </w:r>
      <w:r>
        <w:rPr>
          <w:rFonts w:hint="cs"/>
          <w:sz w:val="20"/>
          <w:szCs w:val="20"/>
          <w:rtl/>
        </w:rPr>
        <w:t xml:space="preserve">. אריג שתי וערב </w:t>
      </w:r>
      <w:r>
        <w:rPr>
          <w:rFonts w:hint="cs"/>
          <w:sz w:val="20"/>
          <w:szCs w:val="20"/>
          <w:rtl/>
        </w:rPr>
        <w:lastRenderedPageBreak/>
        <w:t>מתהדק על הגוף, רשת אינה מתהדקת.</w:t>
      </w:r>
      <w:r>
        <w:rPr>
          <w:rFonts w:hint="cs"/>
          <w:sz w:val="20"/>
          <w:szCs w:val="20"/>
          <w:rtl/>
        </w:rPr>
        <w:br/>
        <w:t xml:space="preserve">3. </w:t>
      </w:r>
      <w:r w:rsidRPr="00C61BD3">
        <w:rPr>
          <w:rFonts w:hint="cs"/>
          <w:b/>
          <w:bCs/>
          <w:sz w:val="20"/>
          <w:szCs w:val="20"/>
          <w:rtl/>
        </w:rPr>
        <w:t>ש"ך</w:t>
      </w:r>
      <w:r>
        <w:rPr>
          <w:rFonts w:hint="cs"/>
          <w:sz w:val="20"/>
          <w:szCs w:val="20"/>
          <w:rtl/>
        </w:rPr>
        <w:t xml:space="preserve">. מדברי </w:t>
      </w:r>
      <w:r w:rsidRPr="00C61BD3">
        <w:rPr>
          <w:rFonts w:hint="cs"/>
          <w:b/>
          <w:bCs/>
          <w:sz w:val="20"/>
          <w:szCs w:val="20"/>
          <w:rtl/>
        </w:rPr>
        <w:t>המחבר</w:t>
      </w:r>
      <w:r>
        <w:rPr>
          <w:rFonts w:hint="cs"/>
          <w:sz w:val="20"/>
          <w:szCs w:val="20"/>
          <w:rtl/>
        </w:rPr>
        <w:t xml:space="preserve"> באו"ח משמע שכל אריג אינו חוצץ אפילו אם אינו מעשה רשת, ויש ליישב.</w:t>
      </w:r>
    </w:p>
    <w:p w:rsidR="00620060" w:rsidRDefault="00620060" w:rsidP="00620060">
      <w:pPr>
        <w:rPr>
          <w:sz w:val="20"/>
          <w:szCs w:val="20"/>
          <w:rtl/>
        </w:rPr>
      </w:pPr>
      <w:r>
        <w:rPr>
          <w:sz w:val="20"/>
          <w:szCs w:val="20"/>
          <w:rtl/>
        </w:rPr>
        <w:br/>
      </w:r>
      <w:r>
        <w:rPr>
          <w:rFonts w:hint="cs"/>
          <w:b/>
          <w:bCs/>
          <w:sz w:val="20"/>
          <w:szCs w:val="20"/>
          <w:rtl/>
        </w:rPr>
        <w:t xml:space="preserve">סעיף ד </w:t>
      </w:r>
      <w:r>
        <w:rPr>
          <w:b/>
          <w:bCs/>
          <w:sz w:val="20"/>
          <w:szCs w:val="20"/>
          <w:rtl/>
        </w:rPr>
        <w:t>–</w:t>
      </w:r>
      <w:r>
        <w:rPr>
          <w:rFonts w:hint="cs"/>
          <w:b/>
          <w:bCs/>
          <w:sz w:val="20"/>
          <w:szCs w:val="20"/>
          <w:rtl/>
        </w:rPr>
        <w:t xml:space="preserve"> חוטי שער וחוט מוזהב או מטונף</w:t>
      </w:r>
      <w:r>
        <w:rPr>
          <w:b/>
          <w:bCs/>
          <w:sz w:val="20"/>
          <w:szCs w:val="20"/>
          <w:rtl/>
        </w:rPr>
        <w:br/>
      </w:r>
      <w:r>
        <w:rPr>
          <w:rFonts w:hint="cs"/>
          <w:b/>
          <w:bCs/>
          <w:sz w:val="20"/>
          <w:szCs w:val="20"/>
          <w:rtl/>
        </w:rPr>
        <w:t>חוטי שער - מקורות הדין</w:t>
      </w:r>
      <w:r>
        <w:rPr>
          <w:b/>
          <w:bCs/>
          <w:sz w:val="20"/>
          <w:szCs w:val="20"/>
          <w:rtl/>
        </w:rPr>
        <w:br/>
      </w:r>
      <w:r>
        <w:rPr>
          <w:rFonts w:hint="cs"/>
          <w:sz w:val="20"/>
          <w:szCs w:val="20"/>
          <w:rtl/>
        </w:rPr>
        <w:t xml:space="preserve">א. </w:t>
      </w:r>
      <w:r>
        <w:rPr>
          <w:rFonts w:hint="cs"/>
          <w:b/>
          <w:bCs/>
          <w:sz w:val="20"/>
          <w:szCs w:val="20"/>
          <w:rtl/>
        </w:rPr>
        <w:t xml:space="preserve">משנה </w:t>
      </w:r>
      <w:r>
        <w:rPr>
          <w:rFonts w:hint="cs"/>
          <w:sz w:val="20"/>
          <w:szCs w:val="20"/>
          <w:rtl/>
        </w:rPr>
        <w:t>מקוואות (ט, א) "</w:t>
      </w:r>
      <w:r w:rsidRPr="009C738A">
        <w:rPr>
          <w:rFonts w:cs="Arial"/>
          <w:sz w:val="20"/>
          <w:szCs w:val="20"/>
          <w:rtl/>
        </w:rPr>
        <w:t>אלו חוצצין באדם</w:t>
      </w:r>
      <w:r>
        <w:rPr>
          <w:rFonts w:cs="Arial" w:hint="cs"/>
          <w:sz w:val="20"/>
          <w:szCs w:val="20"/>
          <w:rtl/>
        </w:rPr>
        <w:t>:</w:t>
      </w:r>
      <w:r w:rsidRPr="009C738A">
        <w:rPr>
          <w:rFonts w:cs="Arial"/>
          <w:sz w:val="20"/>
          <w:szCs w:val="20"/>
          <w:rtl/>
        </w:rPr>
        <w:t xml:space="preserve"> חוטי צמר וחוטי פשתן והרצועות שבראשי הבנות</w:t>
      </w:r>
      <w:r>
        <w:rPr>
          <w:rFonts w:cs="Arial" w:hint="cs"/>
          <w:sz w:val="20"/>
          <w:szCs w:val="20"/>
          <w:rtl/>
        </w:rPr>
        <w:t>.</w:t>
      </w:r>
      <w:r w:rsidRPr="009C738A">
        <w:rPr>
          <w:rFonts w:cs="Arial"/>
          <w:sz w:val="20"/>
          <w:szCs w:val="20"/>
          <w:rtl/>
        </w:rPr>
        <w:t xml:space="preserve"> רבי יהודה אומר</w:t>
      </w:r>
      <w:r>
        <w:rPr>
          <w:rFonts w:cs="Arial" w:hint="cs"/>
          <w:sz w:val="20"/>
          <w:szCs w:val="20"/>
          <w:rtl/>
        </w:rPr>
        <w:t>:</w:t>
      </w:r>
      <w:r w:rsidRPr="009C738A">
        <w:rPr>
          <w:rFonts w:cs="Arial"/>
          <w:sz w:val="20"/>
          <w:szCs w:val="20"/>
          <w:rtl/>
        </w:rPr>
        <w:t xml:space="preserve"> של צמר ושל שער </w:t>
      </w:r>
      <w:r>
        <w:rPr>
          <w:rFonts w:cs="Arial" w:hint="cs"/>
          <w:sz w:val="20"/>
          <w:szCs w:val="20"/>
          <w:rtl/>
        </w:rPr>
        <w:t xml:space="preserve">- </w:t>
      </w:r>
      <w:r>
        <w:rPr>
          <w:rFonts w:cs="Arial"/>
          <w:sz w:val="20"/>
          <w:szCs w:val="20"/>
          <w:rtl/>
        </w:rPr>
        <w:t>אינם חוצצין</w:t>
      </w:r>
      <w:r>
        <w:rPr>
          <w:rFonts w:cs="Arial" w:hint="cs"/>
          <w:sz w:val="20"/>
          <w:szCs w:val="20"/>
          <w:rtl/>
        </w:rPr>
        <w:t>,</w:t>
      </w:r>
      <w:r>
        <w:rPr>
          <w:rFonts w:cs="Arial"/>
          <w:sz w:val="20"/>
          <w:szCs w:val="20"/>
          <w:rtl/>
        </w:rPr>
        <w:t xml:space="preserve"> מפני שהמים באין בהם</w:t>
      </w:r>
      <w:r>
        <w:rPr>
          <w:rFonts w:cs="Arial" w:hint="cs"/>
          <w:sz w:val="20"/>
          <w:szCs w:val="20"/>
          <w:rtl/>
        </w:rPr>
        <w:t>".</w:t>
      </w:r>
      <w:r>
        <w:rPr>
          <w:rFonts w:hint="cs"/>
          <w:sz w:val="20"/>
          <w:szCs w:val="20"/>
          <w:rtl/>
        </w:rPr>
        <w:br/>
        <w:t xml:space="preserve">ב. </w:t>
      </w:r>
      <w:r w:rsidRPr="009C738A">
        <w:rPr>
          <w:rFonts w:hint="cs"/>
          <w:b/>
          <w:bCs/>
          <w:sz w:val="20"/>
          <w:szCs w:val="20"/>
          <w:rtl/>
        </w:rPr>
        <w:t>גמרא</w:t>
      </w:r>
      <w:r>
        <w:rPr>
          <w:rFonts w:hint="cs"/>
          <w:sz w:val="20"/>
          <w:szCs w:val="20"/>
          <w:rtl/>
        </w:rPr>
        <w:t xml:space="preserve"> שבת (שם, ע"ב) "</w:t>
      </w:r>
      <w:r w:rsidRPr="009C738A">
        <w:rPr>
          <w:rFonts w:cs="Arial"/>
          <w:sz w:val="20"/>
          <w:szCs w:val="20"/>
          <w:rtl/>
        </w:rPr>
        <w:t>אמר רב נחמן אמר שמואל: מ</w:t>
      </w:r>
      <w:r>
        <w:rPr>
          <w:rFonts w:cs="Arial"/>
          <w:sz w:val="20"/>
          <w:szCs w:val="20"/>
          <w:rtl/>
        </w:rPr>
        <w:t>ודים חכמים לרבי יהודה בחוטי שער</w:t>
      </w:r>
      <w:r>
        <w:rPr>
          <w:rFonts w:cs="Arial" w:hint="cs"/>
          <w:sz w:val="20"/>
          <w:szCs w:val="20"/>
          <w:rtl/>
        </w:rPr>
        <w:t>".</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Pr>
          <w:rFonts w:cs="Arial"/>
          <w:sz w:val="20"/>
          <w:szCs w:val="20"/>
          <w:rtl/>
        </w:rPr>
        <w:t>חוטי שער אינם חוצצין</w:t>
      </w:r>
      <w:r>
        <w:rPr>
          <w:rFonts w:cs="Arial" w:hint="cs"/>
          <w:sz w:val="20"/>
          <w:szCs w:val="20"/>
          <w:rtl/>
        </w:rPr>
        <w:t>".</w:t>
      </w:r>
    </w:p>
    <w:p w:rsidR="00620060" w:rsidRPr="007C4A1A" w:rsidRDefault="00620060" w:rsidP="00620060">
      <w:pPr>
        <w:rPr>
          <w:sz w:val="20"/>
          <w:szCs w:val="20"/>
          <w:rtl/>
        </w:rPr>
      </w:pPr>
      <w:r>
        <w:rPr>
          <w:rFonts w:hint="cs"/>
          <w:sz w:val="20"/>
          <w:szCs w:val="20"/>
          <w:u w:val="single"/>
          <w:rtl/>
        </w:rPr>
        <w:t>הסבר</w:t>
      </w:r>
      <w:r>
        <w:rPr>
          <w:sz w:val="20"/>
          <w:szCs w:val="20"/>
          <w:u w:val="single"/>
          <w:rtl/>
        </w:rPr>
        <w:br/>
      </w:r>
      <w:r w:rsidRPr="002D429A">
        <w:rPr>
          <w:rFonts w:hint="cs"/>
          <w:b/>
          <w:bCs/>
          <w:sz w:val="20"/>
          <w:szCs w:val="20"/>
          <w:rtl/>
        </w:rPr>
        <w:t>בדי השולחן</w:t>
      </w:r>
      <w:r>
        <w:rPr>
          <w:rFonts w:hint="cs"/>
          <w:sz w:val="20"/>
          <w:szCs w:val="20"/>
          <w:rtl/>
        </w:rPr>
        <w:t xml:space="preserve"> </w:t>
      </w:r>
      <w:r>
        <w:rPr>
          <w:sz w:val="20"/>
          <w:szCs w:val="20"/>
          <w:rtl/>
        </w:rPr>
        <w:t>–</w:t>
      </w:r>
      <w:r>
        <w:rPr>
          <w:rFonts w:hint="cs"/>
          <w:sz w:val="20"/>
          <w:szCs w:val="20"/>
          <w:rtl/>
        </w:rPr>
        <w:t xml:space="preserve"> כוונת המחבר היא, שלקחה חוטי שער וכרכה אותם סביב שערות ראשה, והם לא חוצצים מכיוון שאינם מתהדקים היטב על שערותיה.</w:t>
      </w:r>
      <w:r>
        <w:rPr>
          <w:sz w:val="20"/>
          <w:szCs w:val="20"/>
          <w:rtl/>
        </w:rPr>
        <w:br/>
      </w:r>
      <w:r w:rsidRPr="00973130">
        <w:rPr>
          <w:rFonts w:hint="cs"/>
          <w:b/>
          <w:bCs/>
          <w:sz w:val="20"/>
          <w:szCs w:val="20"/>
          <w:rtl/>
        </w:rPr>
        <w:t>ט"ז</w:t>
      </w:r>
      <w:r>
        <w:rPr>
          <w:rFonts w:hint="cs"/>
          <w:sz w:val="20"/>
          <w:szCs w:val="20"/>
          <w:rtl/>
        </w:rPr>
        <w:t xml:space="preserve"> </w:t>
      </w:r>
      <w:r w:rsidRPr="00241139">
        <w:rPr>
          <w:rFonts w:hint="cs"/>
          <w:sz w:val="18"/>
          <w:szCs w:val="18"/>
          <w:rtl/>
        </w:rPr>
        <w:t xml:space="preserve">(ע"פ </w:t>
      </w:r>
      <w:r w:rsidRPr="00241139">
        <w:rPr>
          <w:rFonts w:hint="cs"/>
          <w:b/>
          <w:bCs/>
          <w:sz w:val="18"/>
          <w:szCs w:val="18"/>
          <w:rtl/>
        </w:rPr>
        <w:t>בדה"ש</w:t>
      </w:r>
      <w:r w:rsidRPr="00241139">
        <w:rPr>
          <w:rFonts w:hint="cs"/>
          <w:sz w:val="18"/>
          <w:szCs w:val="18"/>
          <w:rtl/>
        </w:rPr>
        <w:t xml:space="preserve">) </w:t>
      </w:r>
      <w:r>
        <w:rPr>
          <w:rFonts w:hint="cs"/>
          <w:sz w:val="20"/>
          <w:szCs w:val="20"/>
          <w:rtl/>
        </w:rPr>
        <w:t xml:space="preserve">- דין זה נאמר דווקא כשהחוט נעשה משתי שערות או יותר, משום שאז הקשר של שערה אחת בחברתה אינו מהודק והמים נכנסים תחתיו. אך אם החוט עשוי משערה אחת בלבד שכרכה סביב שערה וקשרה שני קצותיו </w:t>
      </w:r>
      <w:r>
        <w:rPr>
          <w:sz w:val="20"/>
          <w:szCs w:val="20"/>
          <w:rtl/>
        </w:rPr>
        <w:t>–</w:t>
      </w:r>
      <w:r>
        <w:rPr>
          <w:rFonts w:hint="cs"/>
          <w:sz w:val="20"/>
          <w:szCs w:val="20"/>
          <w:rtl/>
        </w:rPr>
        <w:t xml:space="preserve"> חוצץ, מכיוון שהקשר מהודק היטב והמים אינם נכנסים תחתיו. </w:t>
      </w:r>
      <w:r>
        <w:rPr>
          <w:sz w:val="20"/>
          <w:szCs w:val="20"/>
          <w:rtl/>
        </w:rPr>
        <w:br/>
      </w:r>
      <w:r w:rsidRPr="0070476A">
        <w:rPr>
          <w:rFonts w:hint="cs"/>
          <w:sz w:val="18"/>
          <w:szCs w:val="18"/>
          <w:rtl/>
        </w:rPr>
        <w:t>(וחילוק זה בין שערה אחת לשתיים, כתבו המחבר להדיא לקמן בסעיף ה'. ומה שהמחבר כאן לא חילק זאת, משום שסתם חוטי שער שהאשה כורכת על שערה עשויים מכמה שערות ולא משערה אחת).</w:t>
      </w:r>
      <w:r>
        <w:rPr>
          <w:sz w:val="20"/>
          <w:szCs w:val="20"/>
          <w:rtl/>
        </w:rPr>
        <w:br/>
      </w:r>
      <w:r>
        <w:rPr>
          <w:rFonts w:hint="cs"/>
          <w:sz w:val="20"/>
          <w:szCs w:val="20"/>
          <w:rtl/>
        </w:rPr>
        <w:t>ובדין זה אין חילוק בין שער אדם לשער בהמה. אמנם, שער של זנב הסוס אינו חוצץ אפילו בשערה אחת, משום שהוא עב ביותר ואינו מתהדק.</w:t>
      </w:r>
    </w:p>
    <w:p w:rsidR="00620060" w:rsidRDefault="00620060" w:rsidP="00620060">
      <w:pPr>
        <w:rPr>
          <w:sz w:val="20"/>
          <w:szCs w:val="20"/>
          <w:rtl/>
        </w:rPr>
      </w:pPr>
      <w:r>
        <w:rPr>
          <w:rFonts w:hint="cs"/>
          <w:b/>
          <w:bCs/>
          <w:sz w:val="20"/>
          <w:szCs w:val="20"/>
          <w:rtl/>
        </w:rPr>
        <w:t>חוט מוזהב או מלוכלך - מקור הדין</w:t>
      </w:r>
      <w:r>
        <w:rPr>
          <w:b/>
          <w:bCs/>
          <w:sz w:val="20"/>
          <w:szCs w:val="20"/>
          <w:rtl/>
        </w:rPr>
        <w:br/>
      </w:r>
      <w:r>
        <w:rPr>
          <w:rFonts w:hint="cs"/>
          <w:b/>
          <w:bCs/>
          <w:sz w:val="20"/>
          <w:szCs w:val="20"/>
          <w:rtl/>
        </w:rPr>
        <w:t xml:space="preserve">גמרא </w:t>
      </w:r>
      <w:r>
        <w:rPr>
          <w:rFonts w:hint="cs"/>
          <w:sz w:val="20"/>
          <w:szCs w:val="20"/>
          <w:rtl/>
        </w:rPr>
        <w:t>שבת (נז.) "</w:t>
      </w:r>
      <w:r w:rsidRPr="00002BC5">
        <w:rPr>
          <w:rFonts w:cs="Arial"/>
          <w:sz w:val="20"/>
          <w:szCs w:val="20"/>
          <w:rtl/>
        </w:rPr>
        <w:t xml:space="preserve">בעא מיניה רב כהנא מרב: תיכי חלילתא </w:t>
      </w:r>
      <w:r w:rsidRPr="00A67B6F">
        <w:rPr>
          <w:rFonts w:cs="Arial" w:hint="cs"/>
          <w:sz w:val="18"/>
          <w:szCs w:val="18"/>
          <w:rtl/>
        </w:rPr>
        <w:t xml:space="preserve">(רש"י - </w:t>
      </w:r>
      <w:r w:rsidRPr="00A67B6F">
        <w:rPr>
          <w:rFonts w:cs="Arial"/>
          <w:sz w:val="18"/>
          <w:szCs w:val="18"/>
          <w:rtl/>
        </w:rPr>
        <w:t>שרשרות של חוטין חלולות ועגולות</w:t>
      </w:r>
      <w:r w:rsidRPr="00A67B6F">
        <w:rPr>
          <w:rFonts w:cs="Arial" w:hint="cs"/>
          <w:sz w:val="18"/>
          <w:szCs w:val="18"/>
          <w:rtl/>
        </w:rPr>
        <w:t xml:space="preserve">) </w:t>
      </w:r>
      <w:r w:rsidRPr="00002BC5">
        <w:rPr>
          <w:rFonts w:cs="Arial"/>
          <w:sz w:val="20"/>
          <w:szCs w:val="20"/>
          <w:rtl/>
        </w:rPr>
        <w:t>מאי? אמר ליה: אריג קאמרת? כל שהוא אריג - לא גזרו</w:t>
      </w:r>
      <w:r>
        <w:rPr>
          <w:rFonts w:cs="Arial" w:hint="cs"/>
          <w:sz w:val="20"/>
          <w:szCs w:val="20"/>
          <w:rtl/>
        </w:rPr>
        <w:t xml:space="preserve"> </w:t>
      </w:r>
      <w:r w:rsidRPr="00A67B6F">
        <w:rPr>
          <w:rFonts w:cs="Arial" w:hint="cs"/>
          <w:sz w:val="18"/>
          <w:szCs w:val="18"/>
          <w:rtl/>
        </w:rPr>
        <w:t>(רש"י - ל</w:t>
      </w:r>
      <w:r w:rsidRPr="00A67B6F">
        <w:rPr>
          <w:rFonts w:cs="Arial"/>
          <w:sz w:val="18"/>
          <w:szCs w:val="18"/>
          <w:rtl/>
        </w:rPr>
        <w:t>צאת בו בשבת, דלענין חציצה לא חייץ, דלא מצי לאהדוקי שפיר</w:t>
      </w:r>
      <w:r w:rsidRPr="00A67B6F">
        <w:rPr>
          <w:rFonts w:cs="Arial" w:hint="cs"/>
          <w:sz w:val="18"/>
          <w:szCs w:val="18"/>
          <w:rtl/>
        </w:rPr>
        <w:t>)</w:t>
      </w:r>
      <w:r w:rsidRPr="00002BC5">
        <w:rPr>
          <w:rFonts w:cs="Arial"/>
          <w:sz w:val="20"/>
          <w:szCs w:val="20"/>
          <w:rtl/>
        </w:rPr>
        <w:t xml:space="preserve">. איתמר נמי, אמר רב הונא בריה דרב יהושע: כל שהוא אריג - לא גזרו. </w:t>
      </w:r>
      <w:r>
        <w:rPr>
          <w:rFonts w:cs="Arial" w:hint="cs"/>
          <w:sz w:val="20"/>
          <w:szCs w:val="20"/>
          <w:rtl/>
        </w:rPr>
        <w:br/>
      </w:r>
      <w:r w:rsidRPr="00002BC5">
        <w:rPr>
          <w:rFonts w:cs="Arial"/>
          <w:sz w:val="20"/>
          <w:szCs w:val="20"/>
          <w:rtl/>
        </w:rPr>
        <w:t>ואיכא דאמרי, אמר רב הונא בריה דרב יהושע: חזינא לאחוותי דלא קפדן עלייהו</w:t>
      </w:r>
      <w:r>
        <w:rPr>
          <w:rFonts w:cs="Arial" w:hint="cs"/>
          <w:sz w:val="20"/>
          <w:szCs w:val="20"/>
          <w:rtl/>
        </w:rPr>
        <w:t xml:space="preserve">. </w:t>
      </w:r>
      <w:r>
        <w:rPr>
          <w:rFonts w:cs="Arial"/>
          <w:sz w:val="20"/>
          <w:szCs w:val="20"/>
          <w:rtl/>
        </w:rPr>
        <w:br/>
      </w:r>
      <w:r w:rsidRPr="00002BC5">
        <w:rPr>
          <w:rFonts w:cs="Arial"/>
          <w:sz w:val="20"/>
          <w:szCs w:val="20"/>
          <w:rtl/>
        </w:rPr>
        <w:t>מאי איכא בין הך לישנא ובין הך לישנא? איכא בינייהו - דטניפן; להך לישנא דאמר כל שהוא אריג לא גזרו - הני נמי ארוג, ולהך לישנא דאמרת משום קפידא;</w:t>
      </w:r>
      <w:r>
        <w:rPr>
          <w:rFonts w:cs="Arial"/>
          <w:sz w:val="20"/>
          <w:szCs w:val="20"/>
          <w:rtl/>
        </w:rPr>
        <w:t xml:space="preserve"> כיון דטניפא - מקפד קפדא עלייהו</w:t>
      </w:r>
      <w:r>
        <w:rPr>
          <w:rFonts w:cs="Arial" w:hint="cs"/>
          <w:sz w:val="20"/>
          <w:szCs w:val="20"/>
          <w:rtl/>
        </w:rPr>
        <w:t>".</w:t>
      </w:r>
    </w:p>
    <w:p w:rsidR="00620060" w:rsidRDefault="00620060" w:rsidP="00620060">
      <w:pPr>
        <w:rPr>
          <w:sz w:val="20"/>
          <w:szCs w:val="20"/>
          <w:rtl/>
        </w:rPr>
      </w:pPr>
      <w:r>
        <w:rPr>
          <w:rFonts w:hint="cs"/>
          <w:b/>
          <w:bCs/>
          <w:sz w:val="20"/>
          <w:szCs w:val="20"/>
          <w:rtl/>
        </w:rPr>
        <w:t>שיטות הראשונים</w:t>
      </w:r>
      <w:r>
        <w:rPr>
          <w:b/>
          <w:bCs/>
          <w:sz w:val="20"/>
          <w:szCs w:val="20"/>
          <w:rtl/>
        </w:rPr>
        <w:br/>
      </w:r>
      <w:r>
        <w:rPr>
          <w:rFonts w:hint="cs"/>
          <w:sz w:val="20"/>
          <w:szCs w:val="20"/>
          <w:rtl/>
        </w:rPr>
        <w:t xml:space="preserve">א. </w:t>
      </w:r>
      <w:r w:rsidRPr="00A67B6F">
        <w:rPr>
          <w:rFonts w:hint="cs"/>
          <w:b/>
          <w:bCs/>
          <w:sz w:val="20"/>
          <w:szCs w:val="20"/>
          <w:rtl/>
        </w:rPr>
        <w:t>רש"י</w:t>
      </w:r>
      <w:r>
        <w:rPr>
          <w:rFonts w:hint="cs"/>
          <w:sz w:val="20"/>
          <w:szCs w:val="20"/>
          <w:rtl/>
        </w:rPr>
        <w:t xml:space="preserve"> </w:t>
      </w:r>
      <w:r>
        <w:rPr>
          <w:sz w:val="20"/>
          <w:szCs w:val="20"/>
          <w:rtl/>
        </w:rPr>
        <w:t>–</w:t>
      </w:r>
      <w:r>
        <w:rPr>
          <w:rFonts w:hint="cs"/>
          <w:sz w:val="20"/>
          <w:szCs w:val="20"/>
          <w:rtl/>
        </w:rPr>
        <w:t xml:space="preserve"> חוט ארוג אינו חוצץ בטבילה בשום אופן.</w:t>
      </w:r>
      <w:r>
        <w:rPr>
          <w:rFonts w:hint="cs"/>
          <w:sz w:val="20"/>
          <w:szCs w:val="20"/>
          <w:rtl/>
        </w:rPr>
        <w:br/>
      </w:r>
      <w:r w:rsidRPr="00A67B6F">
        <w:rPr>
          <w:rFonts w:hint="cs"/>
          <w:b/>
          <w:bCs/>
          <w:sz w:val="20"/>
          <w:szCs w:val="20"/>
          <w:rtl/>
        </w:rPr>
        <w:t xml:space="preserve">טעם </w:t>
      </w:r>
      <w:r>
        <w:rPr>
          <w:sz w:val="20"/>
          <w:szCs w:val="20"/>
          <w:rtl/>
        </w:rPr>
        <w:t>–</w:t>
      </w:r>
      <w:r>
        <w:rPr>
          <w:rFonts w:hint="cs"/>
          <w:sz w:val="20"/>
          <w:szCs w:val="20"/>
          <w:rtl/>
        </w:rPr>
        <w:t xml:space="preserve"> חוט זה אינו מהודק לבשר, והדיון בגמרא הוא רק האם גזרו לאסור לצאת בו בשבת לרה"ר. </w:t>
      </w:r>
      <w:r>
        <w:rPr>
          <w:sz w:val="18"/>
          <w:szCs w:val="18"/>
          <w:rtl/>
        </w:rPr>
        <w:br/>
      </w:r>
      <w:r w:rsidRPr="00DF7B60">
        <w:rPr>
          <w:rFonts w:hint="cs"/>
          <w:sz w:val="18"/>
          <w:szCs w:val="18"/>
          <w:rtl/>
        </w:rPr>
        <w:t>(ואע"פ שאין לצאת בהם, זה רק משום שהחוטים מלכלכים אותן בשעת הטבילה אך אין זה מטעם חציצה</w:t>
      </w:r>
      <w:r>
        <w:rPr>
          <w:rStyle w:val="a5"/>
          <w:sz w:val="18"/>
          <w:szCs w:val="18"/>
          <w:rtl/>
        </w:rPr>
        <w:footnoteReference w:id="595"/>
      </w:r>
      <w:r w:rsidRPr="00DF7B60">
        <w:rPr>
          <w:rFonts w:hint="cs"/>
          <w:sz w:val="18"/>
          <w:szCs w:val="18"/>
          <w:rtl/>
        </w:rPr>
        <w:t>)</w:t>
      </w:r>
      <w:r>
        <w:rPr>
          <w:rFonts w:hint="cs"/>
          <w:sz w:val="20"/>
          <w:szCs w:val="20"/>
          <w:rtl/>
        </w:rPr>
        <w:t>.</w:t>
      </w:r>
      <w:r>
        <w:rPr>
          <w:rFonts w:hint="cs"/>
          <w:sz w:val="20"/>
          <w:szCs w:val="20"/>
          <w:rtl/>
        </w:rPr>
        <w:br/>
        <w:t>ב.</w:t>
      </w:r>
      <w:r w:rsidRPr="00A67B6F">
        <w:rPr>
          <w:rFonts w:hint="cs"/>
          <w:b/>
          <w:bCs/>
          <w:sz w:val="20"/>
          <w:szCs w:val="20"/>
          <w:rtl/>
        </w:rPr>
        <w:t xml:space="preserve"> רבותיו של רש"י</w:t>
      </w:r>
      <w:r>
        <w:rPr>
          <w:rFonts w:hint="cs"/>
          <w:sz w:val="20"/>
          <w:szCs w:val="20"/>
          <w:rtl/>
        </w:rPr>
        <w:t xml:space="preserve"> </w:t>
      </w:r>
      <w:r>
        <w:rPr>
          <w:sz w:val="20"/>
          <w:szCs w:val="20"/>
          <w:rtl/>
        </w:rPr>
        <w:t>–</w:t>
      </w:r>
      <w:r>
        <w:rPr>
          <w:rFonts w:hint="cs"/>
          <w:sz w:val="20"/>
          <w:szCs w:val="20"/>
          <w:rtl/>
        </w:rPr>
        <w:t xml:space="preserve"> חוט ארוג מטונף חוצץ בטבילה.</w:t>
      </w:r>
      <w:r>
        <w:rPr>
          <w:sz w:val="20"/>
          <w:szCs w:val="20"/>
          <w:rtl/>
        </w:rPr>
        <w:br/>
      </w:r>
      <w:r w:rsidRPr="00986384">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הדיון בגמרא הוא האם חוט ארוג חוצץ בטבילה או אינו חוצץ.</w:t>
      </w:r>
    </w:p>
    <w:p w:rsidR="00620060" w:rsidRDefault="00620060" w:rsidP="00620060">
      <w:pPr>
        <w:rPr>
          <w:sz w:val="20"/>
          <w:szCs w:val="20"/>
          <w:rtl/>
        </w:rPr>
      </w:pPr>
      <w:r>
        <w:rPr>
          <w:rFonts w:hint="cs"/>
          <w:sz w:val="20"/>
          <w:szCs w:val="20"/>
          <w:u w:val="single"/>
          <w:rtl/>
        </w:rPr>
        <w:t>קושיית רש"י על רבותיו</w:t>
      </w:r>
      <w:r>
        <w:rPr>
          <w:sz w:val="20"/>
          <w:szCs w:val="20"/>
          <w:u w:val="single"/>
          <w:rtl/>
        </w:rPr>
        <w:br/>
      </w:r>
      <w:r w:rsidRPr="008F3B66">
        <w:rPr>
          <w:rFonts w:hint="cs"/>
          <w:b/>
          <w:bCs/>
          <w:sz w:val="20"/>
          <w:szCs w:val="20"/>
          <w:rtl/>
        </w:rPr>
        <w:t>רש"י</w:t>
      </w:r>
      <w:r>
        <w:rPr>
          <w:rFonts w:hint="cs"/>
          <w:sz w:val="20"/>
          <w:szCs w:val="20"/>
          <w:rtl/>
        </w:rPr>
        <w:t xml:space="preserve"> מקשה על פירוש </w:t>
      </w:r>
      <w:r w:rsidRPr="008F3B66">
        <w:rPr>
          <w:rFonts w:hint="cs"/>
          <w:b/>
          <w:bCs/>
          <w:sz w:val="20"/>
          <w:szCs w:val="20"/>
          <w:rtl/>
        </w:rPr>
        <w:t>רבותיו</w:t>
      </w:r>
      <w:r>
        <w:rPr>
          <w:rFonts w:hint="cs"/>
          <w:sz w:val="20"/>
          <w:szCs w:val="20"/>
          <w:rtl/>
        </w:rPr>
        <w:t xml:space="preserve"> </w:t>
      </w:r>
      <w:r>
        <w:rPr>
          <w:sz w:val="20"/>
          <w:szCs w:val="20"/>
          <w:rtl/>
        </w:rPr>
        <w:t>–</w:t>
      </w:r>
      <w:r>
        <w:rPr>
          <w:rFonts w:hint="cs"/>
          <w:sz w:val="20"/>
          <w:szCs w:val="20"/>
          <w:rtl/>
        </w:rPr>
        <w:t xml:space="preserve"> חציצה שייכת רק בדבר שמהודק לגוף, אך דבר שאינו מהודק אינו חוצץ.</w:t>
      </w:r>
      <w:r>
        <w:rPr>
          <w:sz w:val="20"/>
          <w:szCs w:val="20"/>
          <w:rtl/>
        </w:rPr>
        <w:br/>
      </w:r>
      <w:r>
        <w:rPr>
          <w:rFonts w:hint="cs"/>
          <w:sz w:val="20"/>
          <w:szCs w:val="20"/>
          <w:rtl/>
        </w:rPr>
        <w:t>ואם תרצה לומר שגם דבר שאינו חוצץ בפני המים פוסל את הטבילה משום שמקפיד עליו להסירו, כיצד אמרה הגמרא בלישנא קמא "כל שהוא אריג לא גזרו", הרי כיוון שמקפיד עליו בשעה שהוא מלוכלך חוצץ!</w:t>
      </w:r>
      <w:r>
        <w:rPr>
          <w:rFonts w:hint="cs"/>
          <w:sz w:val="20"/>
          <w:szCs w:val="20"/>
          <w:rtl/>
        </w:rPr>
        <w:br/>
        <w:t>אלא על כורחך לומר, שכל דבר שאינו מונע את המים מלבוא על בשר הטובל אינו חוצץ, ואפילו אם מקפיד עליו להסירו אינו חוצץ.</w:t>
      </w:r>
    </w:p>
    <w:p w:rsidR="00620060" w:rsidRDefault="00620060" w:rsidP="00620060">
      <w:pPr>
        <w:rPr>
          <w:sz w:val="20"/>
          <w:szCs w:val="20"/>
          <w:rtl/>
        </w:rPr>
      </w:pPr>
      <w:r>
        <w:rPr>
          <w:rFonts w:hint="cs"/>
          <w:sz w:val="20"/>
          <w:szCs w:val="20"/>
          <w:u w:val="single"/>
          <w:rtl/>
        </w:rPr>
        <w:lastRenderedPageBreak/>
        <w:t>יישוב שיטת רבותיו של רש"י</w:t>
      </w:r>
      <w:r>
        <w:rPr>
          <w:sz w:val="20"/>
          <w:szCs w:val="20"/>
          <w:u w:val="single"/>
          <w:rtl/>
        </w:rPr>
        <w:br/>
      </w:r>
      <w:r>
        <w:rPr>
          <w:rFonts w:hint="cs"/>
          <w:sz w:val="20"/>
          <w:szCs w:val="20"/>
          <w:rtl/>
        </w:rPr>
        <w:t xml:space="preserve">א. </w:t>
      </w:r>
      <w:r w:rsidRPr="002218D6">
        <w:rPr>
          <w:rFonts w:hint="cs"/>
          <w:b/>
          <w:bCs/>
          <w:sz w:val="20"/>
          <w:szCs w:val="20"/>
          <w:rtl/>
        </w:rPr>
        <w:t>בית יוסף</w:t>
      </w:r>
      <w:r>
        <w:rPr>
          <w:rFonts w:hint="cs"/>
          <w:sz w:val="20"/>
          <w:szCs w:val="20"/>
          <w:rtl/>
        </w:rPr>
        <w:t xml:space="preserve"> </w:t>
      </w:r>
      <w:r>
        <w:rPr>
          <w:sz w:val="20"/>
          <w:szCs w:val="20"/>
          <w:rtl/>
        </w:rPr>
        <w:t>–</w:t>
      </w:r>
      <w:r>
        <w:rPr>
          <w:rFonts w:hint="cs"/>
          <w:sz w:val="20"/>
          <w:szCs w:val="20"/>
          <w:rtl/>
        </w:rPr>
        <w:t xml:space="preserve"> בנקודה זו נחלקו שתי הלישנות. ללישנא קמא כל דבר שאינו מונע את המים לבוא אינו חוצץ אע"פ שמקפידים עליו. אך ללישנא בתרא, כל דבר שמקפידים עליו אפילו אם אינו מונע את המים לבוא, חוצץ. </w:t>
      </w:r>
      <w:r>
        <w:rPr>
          <w:sz w:val="20"/>
          <w:szCs w:val="20"/>
          <w:rtl/>
        </w:rPr>
        <w:br/>
      </w:r>
      <w:r>
        <w:rPr>
          <w:rFonts w:hint="cs"/>
          <w:sz w:val="20"/>
          <w:szCs w:val="20"/>
          <w:rtl/>
        </w:rPr>
        <w:t xml:space="preserve">ב. </w:t>
      </w:r>
      <w:r w:rsidRPr="00563905">
        <w:rPr>
          <w:rFonts w:hint="cs"/>
          <w:b/>
          <w:bCs/>
          <w:sz w:val="20"/>
          <w:szCs w:val="20"/>
          <w:rtl/>
        </w:rPr>
        <w:t>בית יוסף</w:t>
      </w:r>
      <w:r>
        <w:rPr>
          <w:rFonts w:hint="cs"/>
          <w:sz w:val="20"/>
          <w:szCs w:val="20"/>
          <w:rtl/>
        </w:rPr>
        <w:t xml:space="preserve"> </w:t>
      </w:r>
      <w:r>
        <w:rPr>
          <w:sz w:val="20"/>
          <w:szCs w:val="20"/>
          <w:rtl/>
        </w:rPr>
        <w:t>–</w:t>
      </w:r>
      <w:r>
        <w:rPr>
          <w:rFonts w:hint="cs"/>
          <w:sz w:val="20"/>
          <w:szCs w:val="20"/>
          <w:rtl/>
        </w:rPr>
        <w:t xml:space="preserve"> לישנא בתרא סוברת שבדרך כלל חוטים ארוגים אינם חוצצים, אבל כאשר החוטים מתלכלכים או אם הם מוזהבים, דרכם להיצמד לבשר וחוצצים.</w:t>
      </w:r>
      <w:r>
        <w:rPr>
          <w:rStyle w:val="a5"/>
          <w:sz w:val="20"/>
          <w:szCs w:val="20"/>
          <w:rtl/>
        </w:rPr>
        <w:footnoteReference w:id="596"/>
      </w:r>
    </w:p>
    <w:p w:rsidR="00620060" w:rsidRDefault="00620060" w:rsidP="00620060">
      <w:pPr>
        <w:rPr>
          <w:sz w:val="20"/>
          <w:szCs w:val="20"/>
          <w:rtl/>
        </w:rPr>
      </w:pPr>
      <w:r>
        <w:rPr>
          <w:rFonts w:hint="cs"/>
          <w:b/>
          <w:bCs/>
          <w:sz w:val="20"/>
          <w:szCs w:val="20"/>
          <w:rtl/>
        </w:rPr>
        <w:t xml:space="preserve">שיטות ראשונים נוספות שחוטים ארוגים חוצצים </w:t>
      </w:r>
      <w:r>
        <w:rPr>
          <w:b/>
          <w:bCs/>
          <w:sz w:val="20"/>
          <w:szCs w:val="20"/>
          <w:rtl/>
        </w:rPr>
        <w:t>–</w:t>
      </w:r>
      <w:r>
        <w:rPr>
          <w:rFonts w:hint="cs"/>
          <w:b/>
          <w:bCs/>
          <w:sz w:val="20"/>
          <w:szCs w:val="20"/>
          <w:rtl/>
        </w:rPr>
        <w:t xml:space="preserve"> שיטת הבית יוסף</w:t>
      </w:r>
      <w:r>
        <w:rPr>
          <w:rFonts w:hint="cs"/>
          <w:b/>
          <w:bCs/>
          <w:sz w:val="20"/>
          <w:szCs w:val="20"/>
          <w:rtl/>
        </w:rPr>
        <w:br/>
      </w:r>
      <w:r>
        <w:rPr>
          <w:rFonts w:hint="cs"/>
          <w:sz w:val="20"/>
          <w:szCs w:val="20"/>
          <w:rtl/>
        </w:rPr>
        <w:t>שיטת רש"י, כאמור לעיל, היא שחוטים ארוגים אינם חוצצים בשום אופן מכיוון שהמים נכנסים ביניהם.</w:t>
      </w:r>
      <w:r>
        <w:rPr>
          <w:sz w:val="20"/>
          <w:szCs w:val="20"/>
          <w:rtl/>
        </w:rPr>
        <w:br/>
      </w:r>
      <w:r>
        <w:rPr>
          <w:rFonts w:hint="cs"/>
          <w:sz w:val="20"/>
          <w:szCs w:val="20"/>
          <w:rtl/>
        </w:rPr>
        <w:t xml:space="preserve">רבותיו של רש"י סוברים שהחוטים חוצצים, וכן סוברים ראשונים נוספים - </w:t>
      </w:r>
      <w:r>
        <w:rPr>
          <w:sz w:val="20"/>
          <w:szCs w:val="20"/>
          <w:rtl/>
        </w:rPr>
        <w:br/>
      </w:r>
      <w:r>
        <w:rPr>
          <w:rFonts w:hint="cs"/>
          <w:sz w:val="20"/>
          <w:szCs w:val="20"/>
          <w:rtl/>
        </w:rPr>
        <w:t xml:space="preserve">א. </w:t>
      </w:r>
      <w:r w:rsidRPr="00025B6B">
        <w:rPr>
          <w:rFonts w:hint="cs"/>
          <w:b/>
          <w:bCs/>
          <w:sz w:val="20"/>
          <w:szCs w:val="20"/>
          <w:rtl/>
        </w:rPr>
        <w:t>רא"ש</w:t>
      </w:r>
      <w:r>
        <w:rPr>
          <w:rFonts w:hint="cs"/>
          <w:sz w:val="20"/>
          <w:szCs w:val="20"/>
          <w:rtl/>
        </w:rPr>
        <w:t xml:space="preserve"> </w:t>
      </w:r>
      <w:r>
        <w:rPr>
          <w:sz w:val="20"/>
          <w:szCs w:val="20"/>
          <w:rtl/>
        </w:rPr>
        <w:t>–</w:t>
      </w:r>
      <w:r>
        <w:rPr>
          <w:rFonts w:hint="cs"/>
          <w:sz w:val="20"/>
          <w:szCs w:val="20"/>
          <w:rtl/>
        </w:rPr>
        <w:t xml:space="preserve"> חוטים ארוגים </w:t>
      </w:r>
      <w:r w:rsidRPr="008F3B66">
        <w:rPr>
          <w:rFonts w:hint="cs"/>
          <w:sz w:val="20"/>
          <w:szCs w:val="20"/>
          <w:u w:val="single"/>
          <w:rtl/>
        </w:rPr>
        <w:t>מוזהבים</w:t>
      </w:r>
      <w:r>
        <w:rPr>
          <w:rFonts w:hint="cs"/>
          <w:sz w:val="20"/>
          <w:szCs w:val="20"/>
          <w:rtl/>
        </w:rPr>
        <w:t xml:space="preserve"> חוצצים מכיוון שהם מיטנפים בטבילה ומקפידה להסירם.</w:t>
      </w:r>
      <w:r>
        <w:rPr>
          <w:sz w:val="20"/>
          <w:szCs w:val="20"/>
          <w:rtl/>
        </w:rPr>
        <w:br/>
      </w:r>
      <w:r>
        <w:rPr>
          <w:rFonts w:hint="cs"/>
          <w:sz w:val="20"/>
          <w:szCs w:val="20"/>
          <w:rtl/>
        </w:rPr>
        <w:t xml:space="preserve">ב. </w:t>
      </w:r>
      <w:r w:rsidRPr="00025B6B">
        <w:rPr>
          <w:rFonts w:hint="cs"/>
          <w:b/>
          <w:bCs/>
          <w:sz w:val="20"/>
          <w:szCs w:val="20"/>
          <w:rtl/>
        </w:rPr>
        <w:t>טור</w:t>
      </w:r>
      <w:r>
        <w:rPr>
          <w:rFonts w:hint="cs"/>
          <w:sz w:val="20"/>
          <w:szCs w:val="20"/>
          <w:rtl/>
        </w:rPr>
        <w:t xml:space="preserve"> </w:t>
      </w:r>
      <w:r>
        <w:rPr>
          <w:sz w:val="20"/>
          <w:szCs w:val="20"/>
          <w:rtl/>
        </w:rPr>
        <w:t>–</w:t>
      </w:r>
      <w:r>
        <w:rPr>
          <w:rFonts w:hint="cs"/>
          <w:sz w:val="20"/>
          <w:szCs w:val="20"/>
          <w:rtl/>
        </w:rPr>
        <w:t xml:space="preserve"> חוטים ארוגים </w:t>
      </w:r>
      <w:r w:rsidRPr="008F3B66">
        <w:rPr>
          <w:rFonts w:hint="cs"/>
          <w:sz w:val="20"/>
          <w:szCs w:val="20"/>
          <w:u w:val="single"/>
          <w:rtl/>
        </w:rPr>
        <w:t>מוזהבים</w:t>
      </w:r>
      <w:r>
        <w:rPr>
          <w:rFonts w:hint="cs"/>
          <w:sz w:val="20"/>
          <w:szCs w:val="20"/>
          <w:rtl/>
        </w:rPr>
        <w:t xml:space="preserve"> או </w:t>
      </w:r>
      <w:r w:rsidRPr="008F3B66">
        <w:rPr>
          <w:rFonts w:hint="cs"/>
          <w:sz w:val="20"/>
          <w:szCs w:val="20"/>
          <w:u w:val="single"/>
          <w:rtl/>
        </w:rPr>
        <w:t>מטונפים</w:t>
      </w:r>
      <w:r>
        <w:rPr>
          <w:rFonts w:hint="cs"/>
          <w:sz w:val="20"/>
          <w:szCs w:val="20"/>
          <w:rtl/>
        </w:rPr>
        <w:t xml:space="preserve"> חוצצים מכיוון שהיא מקפידה עליהם, וכ"פ </w:t>
      </w:r>
      <w:r w:rsidRPr="00433818">
        <w:rPr>
          <w:rFonts w:hint="cs"/>
          <w:b/>
          <w:bCs/>
          <w:sz w:val="20"/>
          <w:szCs w:val="20"/>
          <w:rtl/>
        </w:rPr>
        <w:t>הרמ"א</w:t>
      </w:r>
      <w:r>
        <w:rPr>
          <w:rFonts w:hint="cs"/>
          <w:sz w:val="20"/>
          <w:szCs w:val="20"/>
          <w:rtl/>
        </w:rPr>
        <w:t>.</w:t>
      </w:r>
      <w:r>
        <w:rPr>
          <w:b/>
          <w:bCs/>
          <w:sz w:val="20"/>
          <w:szCs w:val="20"/>
          <w:rtl/>
        </w:rPr>
        <w:br/>
      </w:r>
      <w:r>
        <w:rPr>
          <w:rFonts w:hint="cs"/>
          <w:b/>
          <w:bCs/>
          <w:sz w:val="20"/>
          <w:szCs w:val="20"/>
          <w:rtl/>
        </w:rPr>
        <w:br/>
        <w:t>פסיקת הלכה</w:t>
      </w:r>
      <w:r>
        <w:rPr>
          <w:b/>
          <w:bCs/>
          <w:sz w:val="20"/>
          <w:szCs w:val="20"/>
          <w:rtl/>
        </w:rPr>
        <w:br/>
      </w:r>
      <w:r>
        <w:rPr>
          <w:rFonts w:hint="cs"/>
          <w:b/>
          <w:bCs/>
          <w:sz w:val="20"/>
          <w:szCs w:val="20"/>
          <w:rtl/>
        </w:rPr>
        <w:t xml:space="preserve">רמ"א </w:t>
      </w:r>
      <w:r>
        <w:rPr>
          <w:sz w:val="20"/>
          <w:szCs w:val="20"/>
          <w:rtl/>
        </w:rPr>
        <w:t>–</w:t>
      </w:r>
      <w:r>
        <w:rPr>
          <w:rFonts w:hint="cs"/>
          <w:sz w:val="20"/>
          <w:szCs w:val="20"/>
          <w:rtl/>
        </w:rPr>
        <w:t xml:space="preserve"> </w:t>
      </w:r>
      <w:r w:rsidRPr="007C4A1A">
        <w:rPr>
          <w:rFonts w:hint="cs"/>
          <w:sz w:val="18"/>
          <w:szCs w:val="18"/>
          <w:rtl/>
        </w:rPr>
        <w:t>"</w:t>
      </w:r>
      <w:r w:rsidRPr="007C4A1A">
        <w:rPr>
          <w:rFonts w:cs="Arial"/>
          <w:sz w:val="18"/>
          <w:szCs w:val="18"/>
          <w:rtl/>
        </w:rPr>
        <w:t>ואם היו מוזהבות, חוצצין, דמקפדת עליהם שלא תטנפם; וכן אם היו מטונפים תחלה, מקפדת עליהם שלא תתלכלך מהן במים, וחוצצין</w:t>
      </w:r>
      <w:r w:rsidRPr="007C4A1A">
        <w:rPr>
          <w:rFonts w:cs="Arial" w:hint="cs"/>
          <w:sz w:val="18"/>
          <w:szCs w:val="18"/>
          <w:rtl/>
        </w:rPr>
        <w:t>".</w:t>
      </w:r>
      <w:r>
        <w:rPr>
          <w:sz w:val="20"/>
          <w:szCs w:val="20"/>
          <w:rtl/>
        </w:rPr>
        <w:br/>
      </w:r>
      <w:r>
        <w:rPr>
          <w:rFonts w:hint="cs"/>
          <w:sz w:val="20"/>
          <w:szCs w:val="20"/>
          <w:rtl/>
        </w:rPr>
        <w:t>הרמ"א פוסק כרבותיו של רש"י, חציצה היא בכל דבר שמקפיד עליו להסירו אפילו אם אינו מונע את המים לבוא.</w:t>
      </w:r>
    </w:p>
    <w:p w:rsidR="00620060" w:rsidRDefault="00620060" w:rsidP="00620060">
      <w:pPr>
        <w:rPr>
          <w:sz w:val="20"/>
          <w:szCs w:val="20"/>
          <w:rtl/>
        </w:rPr>
      </w:pPr>
      <w:r>
        <w:rPr>
          <w:rFonts w:hint="cs"/>
          <w:b/>
          <w:bCs/>
          <w:sz w:val="20"/>
          <w:szCs w:val="20"/>
          <w:rtl/>
        </w:rPr>
        <w:t xml:space="preserve">שיטת הדרישה והפתחי תשובה </w:t>
      </w:r>
      <w:r>
        <w:rPr>
          <w:b/>
          <w:bCs/>
          <w:sz w:val="20"/>
          <w:szCs w:val="20"/>
          <w:rtl/>
        </w:rPr>
        <w:t>–</w:t>
      </w:r>
      <w:r>
        <w:rPr>
          <w:rFonts w:hint="cs"/>
          <w:b/>
          <w:bCs/>
          <w:sz w:val="20"/>
          <w:szCs w:val="20"/>
          <w:rtl/>
        </w:rPr>
        <w:t xml:space="preserve"> הלכה כרש"י</w:t>
      </w:r>
      <w:r>
        <w:rPr>
          <w:rFonts w:hint="cs"/>
          <w:b/>
          <w:bCs/>
          <w:sz w:val="20"/>
          <w:szCs w:val="20"/>
          <w:rtl/>
        </w:rPr>
        <w:br/>
      </w:r>
      <w:r w:rsidRPr="007E6761">
        <w:rPr>
          <w:rFonts w:hint="cs"/>
          <w:sz w:val="20"/>
          <w:szCs w:val="20"/>
          <w:u w:val="single"/>
          <w:rtl/>
        </w:rPr>
        <w:t>ביאור שיטת הבית יוס</w:t>
      </w:r>
      <w:r w:rsidRPr="006E7F9F">
        <w:rPr>
          <w:rFonts w:hint="cs"/>
          <w:sz w:val="20"/>
          <w:szCs w:val="20"/>
          <w:u w:val="single"/>
          <w:rtl/>
        </w:rPr>
        <w:t>ף בטור וביאור שיטת רבותיו של רש"י</w:t>
      </w:r>
      <w:r>
        <w:rPr>
          <w:rFonts w:hint="cs"/>
          <w:b/>
          <w:bCs/>
          <w:sz w:val="20"/>
          <w:szCs w:val="20"/>
          <w:rtl/>
        </w:rPr>
        <w:br/>
      </w:r>
      <w:r w:rsidRPr="006C13F6">
        <w:rPr>
          <w:rFonts w:hint="cs"/>
          <w:b/>
          <w:bCs/>
          <w:sz w:val="20"/>
          <w:szCs w:val="20"/>
          <w:rtl/>
        </w:rPr>
        <w:t>לבושי שרד</w:t>
      </w:r>
      <w:r w:rsidRPr="007E6761">
        <w:rPr>
          <w:rFonts w:hint="cs"/>
          <w:sz w:val="20"/>
          <w:szCs w:val="20"/>
          <w:rtl/>
        </w:rPr>
        <w:t xml:space="preserve"> </w:t>
      </w:r>
      <w:r>
        <w:rPr>
          <w:sz w:val="20"/>
          <w:szCs w:val="20"/>
          <w:rtl/>
        </w:rPr>
        <w:t>–</w:t>
      </w:r>
      <w:r>
        <w:rPr>
          <w:rFonts w:hint="cs"/>
          <w:sz w:val="20"/>
          <w:szCs w:val="20"/>
          <w:rtl/>
        </w:rPr>
        <w:t xml:space="preserve"> הטור כתב שחוט מוזהב או מטונף חוצץ, וביאר </w:t>
      </w:r>
      <w:r w:rsidRPr="00135FE8">
        <w:rPr>
          <w:rFonts w:hint="cs"/>
          <w:b/>
          <w:bCs/>
          <w:sz w:val="20"/>
          <w:szCs w:val="20"/>
          <w:rtl/>
        </w:rPr>
        <w:t>הבית יוסף</w:t>
      </w:r>
      <w:r>
        <w:rPr>
          <w:rFonts w:hint="cs"/>
          <w:sz w:val="20"/>
          <w:szCs w:val="20"/>
          <w:rtl/>
        </w:rPr>
        <w:t xml:space="preserve"> שהטור פוסק כרבותיו של רש"י שכל דבר שמקפידה עליו חוצץ למרות שהמים נכנסים תחתיו.</w:t>
      </w:r>
      <w:r>
        <w:rPr>
          <w:sz w:val="20"/>
          <w:szCs w:val="20"/>
          <w:rtl/>
        </w:rPr>
        <w:br/>
      </w:r>
      <w:r>
        <w:rPr>
          <w:rFonts w:hint="cs"/>
          <w:sz w:val="20"/>
          <w:szCs w:val="20"/>
          <w:rtl/>
        </w:rPr>
        <w:br/>
      </w:r>
      <w:r>
        <w:rPr>
          <w:rFonts w:hint="cs"/>
          <w:sz w:val="20"/>
          <w:szCs w:val="20"/>
          <w:u w:val="single"/>
          <w:rtl/>
        </w:rPr>
        <w:t>שיטת הדרישה בביאור דברי הטור</w:t>
      </w:r>
      <w:r>
        <w:rPr>
          <w:rFonts w:hint="cs"/>
          <w:sz w:val="20"/>
          <w:szCs w:val="20"/>
          <w:u w:val="single"/>
          <w:rtl/>
        </w:rPr>
        <w:br/>
      </w:r>
      <w:r w:rsidRPr="00433818">
        <w:rPr>
          <w:rFonts w:hint="cs"/>
          <w:b/>
          <w:bCs/>
          <w:sz w:val="20"/>
          <w:szCs w:val="20"/>
          <w:rtl/>
        </w:rPr>
        <w:t>דר</w:t>
      </w:r>
      <w:r>
        <w:rPr>
          <w:rFonts w:hint="cs"/>
          <w:b/>
          <w:bCs/>
          <w:sz w:val="20"/>
          <w:szCs w:val="20"/>
          <w:rtl/>
        </w:rPr>
        <w:t>יש</w:t>
      </w:r>
      <w:r w:rsidRPr="00433818">
        <w:rPr>
          <w:rFonts w:hint="cs"/>
          <w:b/>
          <w:bCs/>
          <w:sz w:val="20"/>
          <w:szCs w:val="20"/>
          <w:rtl/>
        </w:rPr>
        <w:t>ה</w:t>
      </w:r>
      <w:r>
        <w:rPr>
          <w:rFonts w:hint="cs"/>
          <w:sz w:val="20"/>
          <w:szCs w:val="20"/>
          <w:rtl/>
        </w:rPr>
        <w:t xml:space="preserve"> - הטור שהחמיר בחוט מוזהב או מטונף אינו סובר כרבותיו של רש"י אלא כרש"י, וכל דבר שאינו מונע את המים לבוא אינו חוצץ אע"פ שמקפידה עליו. והטעם שחוט מוזהב או מלוכלך חוצץ הוא, משום שהאשה יראה לטבול בחוט מוזהב שלא יתלכלך ובחוט מטונף שמא יטנף אותה.</w:t>
      </w:r>
      <w:r>
        <w:rPr>
          <w:rFonts w:hint="cs"/>
          <w:sz w:val="20"/>
          <w:szCs w:val="20"/>
          <w:rtl/>
        </w:rPr>
        <w:br/>
      </w:r>
      <w:r>
        <w:rPr>
          <w:sz w:val="20"/>
          <w:szCs w:val="20"/>
          <w:u w:val="single"/>
          <w:rtl/>
        </w:rPr>
        <w:br/>
      </w:r>
      <w:r>
        <w:rPr>
          <w:rFonts w:hint="cs"/>
          <w:sz w:val="20"/>
          <w:szCs w:val="20"/>
          <w:u w:val="single"/>
          <w:rtl/>
        </w:rPr>
        <w:t>פסיקת הפתחי תשובה במחלוקת זו</w:t>
      </w:r>
      <w:r>
        <w:rPr>
          <w:sz w:val="20"/>
          <w:szCs w:val="20"/>
          <w:u w:val="single"/>
          <w:rtl/>
        </w:rPr>
        <w:br/>
      </w:r>
      <w:r w:rsidRPr="003D76F7">
        <w:rPr>
          <w:rFonts w:hint="cs"/>
          <w:b/>
          <w:bCs/>
          <w:sz w:val="20"/>
          <w:szCs w:val="20"/>
          <w:rtl/>
        </w:rPr>
        <w:t>פתחי תשובה</w:t>
      </w:r>
      <w:r>
        <w:rPr>
          <w:rFonts w:hint="cs"/>
          <w:sz w:val="20"/>
          <w:szCs w:val="20"/>
          <w:rtl/>
        </w:rPr>
        <w:t xml:space="preserve"> - העיקר לדינא </w:t>
      </w:r>
      <w:r w:rsidRPr="003D76F7">
        <w:rPr>
          <w:rFonts w:hint="cs"/>
          <w:b/>
          <w:bCs/>
          <w:sz w:val="20"/>
          <w:szCs w:val="20"/>
          <w:rtl/>
        </w:rPr>
        <w:t xml:space="preserve">כפרישה </w:t>
      </w:r>
      <w:r>
        <w:rPr>
          <w:rFonts w:hint="cs"/>
          <w:sz w:val="20"/>
          <w:szCs w:val="20"/>
          <w:rtl/>
        </w:rPr>
        <w:t xml:space="preserve">ולא </w:t>
      </w:r>
      <w:r w:rsidRPr="003D76F7">
        <w:rPr>
          <w:rFonts w:hint="cs"/>
          <w:b/>
          <w:bCs/>
          <w:sz w:val="20"/>
          <w:szCs w:val="20"/>
          <w:rtl/>
        </w:rPr>
        <w:t>כרמ"א</w:t>
      </w:r>
      <w:r>
        <w:rPr>
          <w:rFonts w:hint="cs"/>
          <w:sz w:val="20"/>
          <w:szCs w:val="20"/>
          <w:rtl/>
        </w:rPr>
        <w:t xml:space="preserve">, כלומר שהלכה </w:t>
      </w:r>
      <w:r w:rsidRPr="003D76F7">
        <w:rPr>
          <w:rFonts w:hint="cs"/>
          <w:b/>
          <w:bCs/>
          <w:sz w:val="20"/>
          <w:szCs w:val="20"/>
          <w:rtl/>
        </w:rPr>
        <w:t>כרש"י</w:t>
      </w:r>
      <w:r>
        <w:rPr>
          <w:rFonts w:hint="cs"/>
          <w:sz w:val="20"/>
          <w:szCs w:val="20"/>
          <w:rtl/>
        </w:rPr>
        <w:t xml:space="preserve"> ולא </w:t>
      </w:r>
      <w:r w:rsidRPr="003D76F7">
        <w:rPr>
          <w:rFonts w:hint="cs"/>
          <w:b/>
          <w:bCs/>
          <w:sz w:val="20"/>
          <w:szCs w:val="20"/>
          <w:rtl/>
        </w:rPr>
        <w:t>כרבותיו</w:t>
      </w:r>
      <w:r>
        <w:rPr>
          <w:rFonts w:hint="cs"/>
          <w:sz w:val="20"/>
          <w:szCs w:val="20"/>
          <w:rtl/>
        </w:rPr>
        <w:t>.</w:t>
      </w:r>
      <w:r>
        <w:rPr>
          <w:sz w:val="20"/>
          <w:szCs w:val="20"/>
          <w:rtl/>
        </w:rPr>
        <w:br/>
      </w:r>
      <w:r>
        <w:rPr>
          <w:rFonts w:hint="cs"/>
          <w:sz w:val="20"/>
          <w:szCs w:val="20"/>
          <w:rtl/>
        </w:rPr>
        <w:t>ולכן, כל דבר שאינו מונע את המים לבוא על בשר הטובלת אינו חוצץ אע"פ שמקפידה להסירו בדרך כלל.</w:t>
      </w:r>
    </w:p>
    <w:p w:rsidR="00620060" w:rsidRDefault="00620060" w:rsidP="00620060">
      <w:pPr>
        <w:rPr>
          <w:sz w:val="20"/>
          <w:szCs w:val="20"/>
          <w:rtl/>
        </w:rPr>
      </w:pPr>
      <w:r>
        <w:rPr>
          <w:rFonts w:hint="cs"/>
          <w:sz w:val="20"/>
          <w:szCs w:val="20"/>
          <w:u w:val="single"/>
          <w:rtl/>
        </w:rPr>
        <w:t>ראיות לפסק זה</w:t>
      </w:r>
      <w:r>
        <w:rPr>
          <w:sz w:val="20"/>
          <w:szCs w:val="20"/>
          <w:u w:val="single"/>
          <w:rtl/>
        </w:rPr>
        <w:br/>
      </w:r>
      <w:r>
        <w:rPr>
          <w:rFonts w:hint="cs"/>
          <w:sz w:val="20"/>
          <w:szCs w:val="20"/>
          <w:rtl/>
        </w:rPr>
        <w:t xml:space="preserve">א. סעיף כג </w:t>
      </w:r>
      <w:r>
        <w:rPr>
          <w:sz w:val="20"/>
          <w:szCs w:val="20"/>
          <w:rtl/>
        </w:rPr>
        <w:t>–</w:t>
      </w:r>
      <w:r>
        <w:rPr>
          <w:rFonts w:hint="cs"/>
          <w:sz w:val="20"/>
          <w:szCs w:val="20"/>
          <w:rtl/>
        </w:rPr>
        <w:t xml:space="preserve"> מבואר התם שטבעות אינן חוצצות, למרות שמקפידה להסירן בשעת לישה.</w:t>
      </w:r>
      <w:r>
        <w:rPr>
          <w:sz w:val="20"/>
          <w:szCs w:val="20"/>
          <w:rtl/>
        </w:rPr>
        <w:br/>
      </w:r>
      <w:r>
        <w:rPr>
          <w:rFonts w:hint="cs"/>
          <w:sz w:val="20"/>
          <w:szCs w:val="20"/>
          <w:rtl/>
        </w:rPr>
        <w:t xml:space="preserve">ב. סעיף מ </w:t>
      </w:r>
      <w:r>
        <w:rPr>
          <w:sz w:val="20"/>
          <w:szCs w:val="20"/>
          <w:rtl/>
        </w:rPr>
        <w:t>–</w:t>
      </w:r>
      <w:r>
        <w:rPr>
          <w:rFonts w:hint="cs"/>
          <w:sz w:val="20"/>
          <w:szCs w:val="20"/>
          <w:rtl/>
        </w:rPr>
        <w:t xml:space="preserve"> מבואר שנידה בעלת שער ארוך הטובלת ללא בלנית תקשור בגד רפוי על שערה ובהכי עולה לה טבילה. והרי בגד זה מקפידה עליו להסירו לאחר טבילה.</w:t>
      </w:r>
      <w:r>
        <w:rPr>
          <w:sz w:val="20"/>
          <w:szCs w:val="20"/>
          <w:rtl/>
        </w:rPr>
        <w:br/>
      </w:r>
      <w:r>
        <w:rPr>
          <w:rFonts w:hint="cs"/>
          <w:sz w:val="20"/>
          <w:szCs w:val="20"/>
          <w:rtl/>
        </w:rPr>
        <w:t xml:space="preserve">[ג. סעיף מו </w:t>
      </w:r>
      <w:r>
        <w:rPr>
          <w:sz w:val="20"/>
          <w:szCs w:val="20"/>
          <w:rtl/>
        </w:rPr>
        <w:t>–</w:t>
      </w:r>
      <w:r>
        <w:rPr>
          <w:rFonts w:hint="cs"/>
          <w:sz w:val="20"/>
          <w:szCs w:val="20"/>
          <w:rtl/>
        </w:rPr>
        <w:t xml:space="preserve"> נידה טבלה בבגדיה עלתה לה טבילה, ובגד על גופה הוא רוב ואפילו אם תאמר שאינה מקפדת עליו מכל מקום הוא חציצה מחמת שנמצא על רוב הגוף].</w:t>
      </w:r>
    </w:p>
    <w:p w:rsidR="00620060" w:rsidRDefault="00620060" w:rsidP="00620060">
      <w:pPr>
        <w:rPr>
          <w:sz w:val="20"/>
          <w:szCs w:val="20"/>
          <w:rtl/>
        </w:rPr>
      </w:pPr>
      <w:r>
        <w:rPr>
          <w:rFonts w:hint="cs"/>
          <w:sz w:val="20"/>
          <w:szCs w:val="20"/>
          <w:rtl/>
        </w:rPr>
        <w:t>לכן, העיקר לדינא כפרישה הסובר שאף הטור אינו סובר כרבותיו של רש"י, וכל דבר שאינו מונע את המים לבוא על בשר הטובלת אינו חוצץ למרות שמקפידה עליו להסירו.</w:t>
      </w:r>
      <w:r>
        <w:rPr>
          <w:sz w:val="20"/>
          <w:szCs w:val="20"/>
          <w:rtl/>
        </w:rPr>
        <w:br/>
      </w:r>
      <w:r>
        <w:rPr>
          <w:rFonts w:hint="cs"/>
          <w:sz w:val="20"/>
          <w:szCs w:val="20"/>
          <w:rtl/>
        </w:rPr>
        <w:t xml:space="preserve">ואמנם, לכתחילה יש להסיר גם חציצה רפויה שהמים נכנסים תחתיה, אך בדיעבד שטבלה בהם </w:t>
      </w:r>
      <w:r>
        <w:rPr>
          <w:sz w:val="20"/>
          <w:szCs w:val="20"/>
          <w:rtl/>
        </w:rPr>
        <w:t>–</w:t>
      </w:r>
      <w:r>
        <w:rPr>
          <w:rFonts w:hint="cs"/>
          <w:sz w:val="20"/>
          <w:szCs w:val="20"/>
          <w:rtl/>
        </w:rPr>
        <w:t xml:space="preserve"> טהורה.</w:t>
      </w:r>
      <w:r>
        <w:rPr>
          <w:sz w:val="20"/>
          <w:szCs w:val="20"/>
          <w:rtl/>
        </w:rPr>
        <w:br/>
      </w:r>
      <w:r>
        <w:rPr>
          <w:sz w:val="20"/>
          <w:szCs w:val="20"/>
          <w:rtl/>
        </w:rPr>
        <w:br/>
      </w:r>
      <w:r>
        <w:rPr>
          <w:rFonts w:hint="cs"/>
          <w:b/>
          <w:bCs/>
          <w:sz w:val="20"/>
          <w:szCs w:val="20"/>
          <w:rtl/>
        </w:rPr>
        <w:t xml:space="preserve">רובו שאינו מקפיד עליו </w:t>
      </w:r>
      <w:r>
        <w:rPr>
          <w:b/>
          <w:bCs/>
          <w:sz w:val="20"/>
          <w:szCs w:val="20"/>
          <w:rtl/>
        </w:rPr>
        <w:t>–</w:t>
      </w:r>
      <w:r>
        <w:rPr>
          <w:rFonts w:hint="cs"/>
          <w:b/>
          <w:bCs/>
          <w:sz w:val="20"/>
          <w:szCs w:val="20"/>
          <w:rtl/>
        </w:rPr>
        <w:t xml:space="preserve"> לשיטת רבותיו של רש"י</w:t>
      </w:r>
      <w:r>
        <w:rPr>
          <w:rFonts w:hint="cs"/>
          <w:b/>
          <w:bCs/>
          <w:sz w:val="20"/>
          <w:szCs w:val="20"/>
          <w:rtl/>
        </w:rPr>
        <w:br/>
      </w:r>
      <w:r>
        <w:rPr>
          <w:rFonts w:hint="cs"/>
          <w:sz w:val="20"/>
          <w:szCs w:val="20"/>
          <w:rtl/>
        </w:rPr>
        <w:t xml:space="preserve">שאלה </w:t>
      </w:r>
      <w:r>
        <w:rPr>
          <w:sz w:val="20"/>
          <w:szCs w:val="20"/>
          <w:rtl/>
        </w:rPr>
        <w:t>–</w:t>
      </w:r>
      <w:r>
        <w:rPr>
          <w:rFonts w:hint="cs"/>
          <w:sz w:val="20"/>
          <w:szCs w:val="20"/>
          <w:rtl/>
        </w:rPr>
        <w:t xml:space="preserve"> רובו שאינו מקפיד עליו אך המים נכנסים תחתיו היטב, האם חוצץ לדעת רבותיו של רש"י?</w:t>
      </w:r>
      <w:r>
        <w:rPr>
          <w:b/>
          <w:bCs/>
          <w:sz w:val="20"/>
          <w:szCs w:val="20"/>
          <w:rtl/>
        </w:rPr>
        <w:br/>
      </w:r>
      <w:r>
        <w:rPr>
          <w:rFonts w:hint="cs"/>
          <w:sz w:val="20"/>
          <w:szCs w:val="20"/>
          <w:rtl/>
        </w:rPr>
        <w:t xml:space="preserve">א. </w:t>
      </w:r>
      <w:r w:rsidRPr="005D71A5">
        <w:rPr>
          <w:rFonts w:hint="cs"/>
          <w:b/>
          <w:bCs/>
          <w:sz w:val="20"/>
          <w:szCs w:val="20"/>
          <w:rtl/>
        </w:rPr>
        <w:t>פתחי תשובה</w:t>
      </w:r>
      <w:r>
        <w:rPr>
          <w:rFonts w:hint="cs"/>
          <w:sz w:val="20"/>
          <w:szCs w:val="20"/>
          <w:rtl/>
        </w:rPr>
        <w:t xml:space="preserve"> </w:t>
      </w:r>
      <w:r>
        <w:rPr>
          <w:sz w:val="20"/>
          <w:szCs w:val="20"/>
          <w:rtl/>
        </w:rPr>
        <w:t>–</w:t>
      </w:r>
      <w:r>
        <w:rPr>
          <w:rFonts w:hint="cs"/>
          <w:sz w:val="20"/>
          <w:szCs w:val="20"/>
          <w:rtl/>
        </w:rPr>
        <w:t xml:space="preserve"> כן.</w:t>
      </w:r>
      <w:r>
        <w:rPr>
          <w:sz w:val="20"/>
          <w:szCs w:val="20"/>
          <w:rtl/>
        </w:rPr>
        <w:br/>
      </w:r>
      <w:r w:rsidRPr="00E11694">
        <w:rPr>
          <w:rFonts w:hint="cs"/>
          <w:b/>
          <w:bCs/>
          <w:sz w:val="20"/>
          <w:szCs w:val="20"/>
          <w:rtl/>
        </w:rPr>
        <w:t xml:space="preserve">טעם </w:t>
      </w:r>
      <w:r>
        <w:rPr>
          <w:sz w:val="20"/>
          <w:szCs w:val="20"/>
          <w:rtl/>
        </w:rPr>
        <w:t>–</w:t>
      </w:r>
      <w:r>
        <w:rPr>
          <w:rFonts w:hint="cs"/>
          <w:sz w:val="20"/>
          <w:szCs w:val="20"/>
          <w:rtl/>
        </w:rPr>
        <w:t xml:space="preserve"> כפי שבמיעוטו שמקפיד עליו חוצץ אפילו כשהמים באים תחתיו, הוא הדין ברובו שאינו מקפיד עליו, דמאי שנא? זה וזה גזרת חז"ל</w:t>
      </w:r>
      <w:r>
        <w:rPr>
          <w:rStyle w:val="a5"/>
          <w:sz w:val="20"/>
          <w:szCs w:val="20"/>
          <w:rtl/>
        </w:rPr>
        <w:footnoteReference w:id="597"/>
      </w:r>
      <w:r>
        <w:rPr>
          <w:rFonts w:hint="cs"/>
          <w:sz w:val="20"/>
          <w:szCs w:val="20"/>
          <w:rtl/>
        </w:rPr>
        <w:t xml:space="preserve">. </w:t>
      </w:r>
      <w:r>
        <w:rPr>
          <w:rFonts w:hint="cs"/>
          <w:sz w:val="20"/>
          <w:szCs w:val="20"/>
          <w:rtl/>
        </w:rPr>
        <w:br/>
      </w:r>
      <w:r>
        <w:rPr>
          <w:rFonts w:hint="cs"/>
          <w:sz w:val="20"/>
          <w:szCs w:val="20"/>
          <w:rtl/>
        </w:rPr>
        <w:lastRenderedPageBreak/>
        <w:t xml:space="preserve">ב. </w:t>
      </w:r>
      <w:r w:rsidRPr="00E11694">
        <w:rPr>
          <w:rFonts w:hint="cs"/>
          <w:b/>
          <w:bCs/>
          <w:sz w:val="20"/>
          <w:szCs w:val="20"/>
          <w:rtl/>
        </w:rPr>
        <w:t>סדרי טהרה</w:t>
      </w:r>
      <w:r>
        <w:rPr>
          <w:rFonts w:hint="cs"/>
          <w:sz w:val="20"/>
          <w:szCs w:val="20"/>
          <w:rtl/>
        </w:rPr>
        <w:t xml:space="preserve"> </w:t>
      </w:r>
      <w:r>
        <w:rPr>
          <w:sz w:val="20"/>
          <w:szCs w:val="20"/>
          <w:rtl/>
        </w:rPr>
        <w:t>–</w:t>
      </w:r>
      <w:r>
        <w:rPr>
          <w:rFonts w:hint="cs"/>
          <w:sz w:val="20"/>
          <w:szCs w:val="20"/>
          <w:rtl/>
        </w:rPr>
        <w:t xml:space="preserve"> לא.</w:t>
      </w:r>
      <w:r>
        <w:rPr>
          <w:rFonts w:hint="cs"/>
          <w:sz w:val="20"/>
          <w:szCs w:val="20"/>
          <w:rtl/>
        </w:rPr>
        <w:br/>
      </w:r>
      <w:r w:rsidRPr="00DD1C92">
        <w:rPr>
          <w:rFonts w:hint="cs"/>
          <w:b/>
          <w:bCs/>
          <w:sz w:val="20"/>
          <w:szCs w:val="20"/>
          <w:rtl/>
        </w:rPr>
        <w:t>טעם</w:t>
      </w:r>
      <w:r>
        <w:rPr>
          <w:rFonts w:hint="cs"/>
          <w:sz w:val="20"/>
          <w:szCs w:val="20"/>
          <w:rtl/>
        </w:rPr>
        <w:t xml:space="preserve"> </w:t>
      </w:r>
      <w:r w:rsidRPr="00DD1C92">
        <w:rPr>
          <w:rFonts w:hint="cs"/>
          <w:sz w:val="18"/>
          <w:szCs w:val="18"/>
          <w:rtl/>
        </w:rPr>
        <w:t xml:space="preserve">(ע"פ </w:t>
      </w:r>
      <w:r w:rsidRPr="00DD1C92">
        <w:rPr>
          <w:rFonts w:hint="cs"/>
          <w:b/>
          <w:bCs/>
          <w:sz w:val="18"/>
          <w:szCs w:val="18"/>
          <w:rtl/>
        </w:rPr>
        <w:t>ששבה"ל</w:t>
      </w:r>
      <w:r w:rsidRPr="00DD1C92">
        <w:rPr>
          <w:rFonts w:hint="cs"/>
          <w:sz w:val="18"/>
          <w:szCs w:val="18"/>
          <w:rtl/>
        </w:rPr>
        <w:t xml:space="preserve">) </w:t>
      </w:r>
      <w:r>
        <w:rPr>
          <w:sz w:val="20"/>
          <w:szCs w:val="20"/>
          <w:rtl/>
        </w:rPr>
        <w:t>–</w:t>
      </w:r>
      <w:r>
        <w:rPr>
          <w:rFonts w:hint="cs"/>
          <w:sz w:val="20"/>
          <w:szCs w:val="20"/>
          <w:rtl/>
        </w:rPr>
        <w:t xml:space="preserve"> בדין מיעוטו המקפיד התחדש שהקפדה זו יכולה להיות מחמת שמונע את המים להיכנס, ויכולה להיות מחמת שמקפידה להסיר, אך ברובו שאינו מקפיד אין כלל חציצה</w:t>
      </w:r>
      <w:r>
        <w:rPr>
          <w:rStyle w:val="a5"/>
          <w:sz w:val="20"/>
          <w:szCs w:val="20"/>
          <w:rtl/>
        </w:rPr>
        <w:footnoteReference w:id="598"/>
      </w:r>
      <w:r>
        <w:rPr>
          <w:rFonts w:hint="cs"/>
          <w:sz w:val="20"/>
          <w:szCs w:val="20"/>
          <w:rtl/>
        </w:rPr>
        <w:t>.</w:t>
      </w:r>
      <w:r>
        <w:rPr>
          <w:rFonts w:hint="cs"/>
          <w:sz w:val="20"/>
          <w:szCs w:val="20"/>
          <w:rtl/>
        </w:rPr>
        <w:br/>
      </w:r>
      <w:r>
        <w:rPr>
          <w:sz w:val="20"/>
          <w:szCs w:val="20"/>
          <w:rtl/>
        </w:rPr>
        <w:br/>
      </w:r>
      <w:r>
        <w:rPr>
          <w:rFonts w:hint="cs"/>
          <w:b/>
          <w:bCs/>
          <w:sz w:val="20"/>
          <w:szCs w:val="20"/>
          <w:rtl/>
        </w:rPr>
        <w:t>סיכום</w:t>
      </w:r>
      <w:r>
        <w:rPr>
          <w:rFonts w:hint="cs"/>
          <w:sz w:val="20"/>
          <w:szCs w:val="20"/>
          <w:rtl/>
        </w:rPr>
        <w:br/>
        <w:t xml:space="preserve">1. </w:t>
      </w:r>
      <w:r w:rsidRPr="00B153A8">
        <w:rPr>
          <w:rFonts w:hint="cs"/>
          <w:b/>
          <w:bCs/>
          <w:sz w:val="20"/>
          <w:szCs w:val="20"/>
          <w:rtl/>
        </w:rPr>
        <w:t>משנה</w:t>
      </w:r>
      <w:r>
        <w:rPr>
          <w:rFonts w:hint="cs"/>
          <w:sz w:val="20"/>
          <w:szCs w:val="20"/>
          <w:rtl/>
        </w:rPr>
        <w:t xml:space="preserve">. רבי יהודה חוטי שער אינם חוצצים. </w:t>
      </w:r>
      <w:r w:rsidRPr="00B153A8">
        <w:rPr>
          <w:rFonts w:hint="cs"/>
          <w:b/>
          <w:bCs/>
          <w:sz w:val="20"/>
          <w:szCs w:val="20"/>
          <w:rtl/>
        </w:rPr>
        <w:t>גמרא</w:t>
      </w:r>
      <w:r>
        <w:rPr>
          <w:rFonts w:hint="cs"/>
          <w:sz w:val="20"/>
          <w:szCs w:val="20"/>
          <w:rtl/>
        </w:rPr>
        <w:t>. מודים חכמים לרבי יהודה.</w:t>
      </w:r>
      <w:r>
        <w:rPr>
          <w:sz w:val="20"/>
          <w:szCs w:val="20"/>
          <w:rtl/>
        </w:rPr>
        <w:br/>
      </w:r>
      <w:r>
        <w:rPr>
          <w:rFonts w:hint="cs"/>
          <w:sz w:val="20"/>
          <w:szCs w:val="20"/>
          <w:rtl/>
        </w:rPr>
        <w:t xml:space="preserve">2. </w:t>
      </w:r>
      <w:r w:rsidRPr="00B153A8">
        <w:rPr>
          <w:rFonts w:hint="cs"/>
          <w:b/>
          <w:bCs/>
          <w:sz w:val="20"/>
          <w:szCs w:val="20"/>
          <w:rtl/>
        </w:rPr>
        <w:t>מחבר</w:t>
      </w:r>
      <w:r>
        <w:rPr>
          <w:rFonts w:hint="cs"/>
          <w:sz w:val="20"/>
          <w:szCs w:val="20"/>
          <w:rtl/>
        </w:rPr>
        <w:t xml:space="preserve">. חוטי שער אינם חוצצים. </w:t>
      </w:r>
      <w:r w:rsidRPr="00B153A8">
        <w:rPr>
          <w:rFonts w:hint="cs"/>
          <w:b/>
          <w:bCs/>
          <w:sz w:val="20"/>
          <w:szCs w:val="20"/>
          <w:rtl/>
        </w:rPr>
        <w:t>בדה"ש</w:t>
      </w:r>
      <w:r>
        <w:rPr>
          <w:rFonts w:hint="cs"/>
          <w:sz w:val="20"/>
          <w:szCs w:val="20"/>
          <w:rtl/>
        </w:rPr>
        <w:t>. מדובר בשתי שערות או יותר, אך שערה אחת מתהדקת וחוצצת.</w:t>
      </w:r>
      <w:r>
        <w:rPr>
          <w:sz w:val="20"/>
          <w:szCs w:val="20"/>
          <w:rtl/>
        </w:rPr>
        <w:br/>
      </w:r>
      <w:r>
        <w:rPr>
          <w:rFonts w:hint="cs"/>
          <w:sz w:val="20"/>
          <w:szCs w:val="20"/>
          <w:rtl/>
        </w:rPr>
        <w:t xml:space="preserve">3. </w:t>
      </w:r>
      <w:r w:rsidRPr="00484721">
        <w:rPr>
          <w:rFonts w:hint="cs"/>
          <w:b/>
          <w:bCs/>
          <w:sz w:val="20"/>
          <w:szCs w:val="20"/>
          <w:rtl/>
        </w:rPr>
        <w:t>גמרא</w:t>
      </w:r>
      <w:r>
        <w:rPr>
          <w:rFonts w:hint="cs"/>
          <w:sz w:val="20"/>
          <w:szCs w:val="20"/>
          <w:rtl/>
        </w:rPr>
        <w:t>. תיכי חלילתא מאי?</w:t>
      </w:r>
      <w:r w:rsidRPr="00FD62C5">
        <w:rPr>
          <w:rFonts w:hint="cs"/>
          <w:sz w:val="20"/>
          <w:szCs w:val="20"/>
          <w:rtl/>
        </w:rPr>
        <w:t xml:space="preserve"> לישנא קמא. לא גזרו בחוטים ארוגים. לישנא בתרא. לא מקפידים עליהם. נפק"מ. מטונף, </w:t>
      </w:r>
      <w:r>
        <w:rPr>
          <w:rFonts w:hint="cs"/>
          <w:sz w:val="20"/>
          <w:szCs w:val="20"/>
          <w:rtl/>
        </w:rPr>
        <w:t>לל"ק לא גזרו, לל"ב גזרו.</w:t>
      </w:r>
      <w:r w:rsidRPr="00FD62C5">
        <w:rPr>
          <w:sz w:val="20"/>
          <w:szCs w:val="20"/>
          <w:rtl/>
        </w:rPr>
        <w:br/>
      </w:r>
      <w:r w:rsidRPr="00FD62C5">
        <w:rPr>
          <w:rFonts w:hint="cs"/>
          <w:sz w:val="20"/>
          <w:szCs w:val="20"/>
          <w:rtl/>
        </w:rPr>
        <w:t xml:space="preserve">4. </w:t>
      </w:r>
      <w:r w:rsidRPr="00FD62C5">
        <w:rPr>
          <w:rFonts w:hint="cs"/>
          <w:b/>
          <w:bCs/>
          <w:sz w:val="20"/>
          <w:szCs w:val="20"/>
          <w:rtl/>
        </w:rPr>
        <w:t>רש"י</w:t>
      </w:r>
      <w:r w:rsidRPr="00FD62C5">
        <w:rPr>
          <w:rFonts w:hint="cs"/>
          <w:sz w:val="20"/>
          <w:szCs w:val="20"/>
          <w:rtl/>
        </w:rPr>
        <w:t xml:space="preserve">. כל אריג אינו חוצץ אפילו מטונף. </w:t>
      </w:r>
      <w:r w:rsidRPr="00FD62C5">
        <w:rPr>
          <w:rFonts w:hint="cs"/>
          <w:b/>
          <w:bCs/>
          <w:sz w:val="20"/>
          <w:szCs w:val="20"/>
          <w:rtl/>
        </w:rPr>
        <w:t>טעם</w:t>
      </w:r>
      <w:r w:rsidRPr="00FD62C5">
        <w:rPr>
          <w:rFonts w:hint="cs"/>
          <w:sz w:val="20"/>
          <w:szCs w:val="20"/>
          <w:rtl/>
        </w:rPr>
        <w:t xml:space="preserve">. הגמרא איירי לעניין יציאה לרה"ר, אך בחציצה אינו חוצץ כיוון שאריג אינו מהודק. </w:t>
      </w:r>
      <w:r w:rsidRPr="00FD62C5">
        <w:rPr>
          <w:rFonts w:hint="cs"/>
          <w:b/>
          <w:bCs/>
          <w:sz w:val="20"/>
          <w:szCs w:val="20"/>
          <w:rtl/>
        </w:rPr>
        <w:t>רבותיו של רש"י</w:t>
      </w:r>
      <w:r w:rsidRPr="00FD62C5">
        <w:rPr>
          <w:rFonts w:hint="cs"/>
          <w:sz w:val="20"/>
          <w:szCs w:val="20"/>
          <w:rtl/>
        </w:rPr>
        <w:t xml:space="preserve">. אריג מטונף חוצץ. </w:t>
      </w:r>
      <w:r w:rsidRPr="00FD62C5">
        <w:rPr>
          <w:rFonts w:hint="cs"/>
          <w:b/>
          <w:bCs/>
          <w:sz w:val="20"/>
          <w:szCs w:val="20"/>
          <w:rtl/>
        </w:rPr>
        <w:t>טעם</w:t>
      </w:r>
      <w:r w:rsidRPr="00FD62C5">
        <w:rPr>
          <w:rFonts w:hint="cs"/>
          <w:sz w:val="20"/>
          <w:szCs w:val="20"/>
          <w:rtl/>
        </w:rPr>
        <w:t>. מקפידה להסירו בשעת הטבילה.</w:t>
      </w:r>
      <w:r w:rsidRPr="00FD62C5">
        <w:rPr>
          <w:sz w:val="20"/>
          <w:szCs w:val="20"/>
          <w:rtl/>
        </w:rPr>
        <w:br/>
      </w:r>
      <w:r w:rsidRPr="00FD62C5">
        <w:rPr>
          <w:rFonts w:hint="cs"/>
          <w:sz w:val="20"/>
          <w:szCs w:val="20"/>
          <w:rtl/>
        </w:rPr>
        <w:t xml:space="preserve">5. </w:t>
      </w:r>
      <w:r w:rsidRPr="00FD62C5">
        <w:rPr>
          <w:rFonts w:hint="cs"/>
          <w:b/>
          <w:bCs/>
          <w:sz w:val="20"/>
          <w:szCs w:val="20"/>
          <w:rtl/>
        </w:rPr>
        <w:t>רש"י</w:t>
      </w:r>
      <w:r w:rsidRPr="00FD62C5">
        <w:rPr>
          <w:rFonts w:hint="cs"/>
          <w:sz w:val="20"/>
          <w:szCs w:val="20"/>
          <w:rtl/>
        </w:rPr>
        <w:t xml:space="preserve">. כיצד דבר שאינו מהודק חוצץ? ומה בכך שמקפידה להסירו, בל"ק נאמר להדיא שאריג אינו חוצץ! </w:t>
      </w:r>
      <w:r w:rsidRPr="00FD62C5">
        <w:rPr>
          <w:sz w:val="20"/>
          <w:szCs w:val="20"/>
          <w:rtl/>
        </w:rPr>
        <w:br/>
      </w:r>
      <w:r w:rsidRPr="00FD62C5">
        <w:rPr>
          <w:rFonts w:hint="cs"/>
          <w:sz w:val="20"/>
          <w:szCs w:val="20"/>
          <w:rtl/>
        </w:rPr>
        <w:t xml:space="preserve">6. יישוב שיטת רבותיו. </w:t>
      </w:r>
      <w:r w:rsidRPr="00FD62C5">
        <w:rPr>
          <w:rFonts w:hint="cs"/>
          <w:b/>
          <w:bCs/>
          <w:sz w:val="20"/>
          <w:szCs w:val="20"/>
          <w:rtl/>
        </w:rPr>
        <w:t>ב"י</w:t>
      </w:r>
      <w:r w:rsidRPr="00FD62C5">
        <w:rPr>
          <w:rFonts w:hint="cs"/>
          <w:sz w:val="20"/>
          <w:szCs w:val="20"/>
          <w:rtl/>
        </w:rPr>
        <w:t>. א. זו גופא המחלוקת בין הלישנות, לל"ב כל דבר שמקפיד חוצץ. ב. לל"ב החוטים מתהדקים לגוף מחמת הלכלוך.</w:t>
      </w:r>
      <w:r w:rsidRPr="00FD62C5">
        <w:rPr>
          <w:sz w:val="20"/>
          <w:szCs w:val="20"/>
          <w:rtl/>
        </w:rPr>
        <w:br/>
      </w:r>
      <w:r w:rsidRPr="00FD62C5">
        <w:rPr>
          <w:rFonts w:hint="cs"/>
          <w:sz w:val="20"/>
          <w:szCs w:val="20"/>
          <w:rtl/>
        </w:rPr>
        <w:t xml:space="preserve">7. ראשונים נוספים הסוברים כרבותיו של רש"י </w:t>
      </w:r>
      <w:r w:rsidRPr="00FD62C5">
        <w:rPr>
          <w:rFonts w:hint="cs"/>
          <w:sz w:val="18"/>
          <w:szCs w:val="18"/>
          <w:rtl/>
        </w:rPr>
        <w:t>(להבנת הבית יוסף)</w:t>
      </w:r>
      <w:r w:rsidRPr="00FD62C5">
        <w:rPr>
          <w:rFonts w:hint="cs"/>
          <w:sz w:val="20"/>
          <w:szCs w:val="20"/>
          <w:rtl/>
        </w:rPr>
        <w:t xml:space="preserve">. </w:t>
      </w:r>
      <w:r w:rsidRPr="00FD62C5">
        <w:rPr>
          <w:rFonts w:hint="cs"/>
          <w:b/>
          <w:bCs/>
          <w:sz w:val="20"/>
          <w:szCs w:val="20"/>
          <w:rtl/>
        </w:rPr>
        <w:t>רא"ש</w:t>
      </w:r>
      <w:r w:rsidRPr="00FD62C5">
        <w:rPr>
          <w:rFonts w:hint="cs"/>
          <w:sz w:val="20"/>
          <w:szCs w:val="20"/>
          <w:rtl/>
        </w:rPr>
        <w:t xml:space="preserve">. אריג מוזהב חוצץ. </w:t>
      </w:r>
      <w:r w:rsidRPr="00FD62C5">
        <w:rPr>
          <w:rFonts w:hint="cs"/>
          <w:b/>
          <w:bCs/>
          <w:sz w:val="20"/>
          <w:szCs w:val="20"/>
          <w:rtl/>
        </w:rPr>
        <w:t>טעם</w:t>
      </w:r>
      <w:r w:rsidRPr="00FD62C5">
        <w:rPr>
          <w:rFonts w:hint="cs"/>
          <w:sz w:val="20"/>
          <w:szCs w:val="20"/>
          <w:rtl/>
        </w:rPr>
        <w:t xml:space="preserve">. מיטנפים בטבילה ומקפידה להסירם. </w:t>
      </w:r>
      <w:r w:rsidRPr="00FD62C5">
        <w:rPr>
          <w:rFonts w:hint="cs"/>
          <w:b/>
          <w:bCs/>
          <w:sz w:val="20"/>
          <w:szCs w:val="20"/>
          <w:rtl/>
        </w:rPr>
        <w:t>טור</w:t>
      </w:r>
      <w:r w:rsidRPr="00FD62C5">
        <w:rPr>
          <w:rFonts w:hint="cs"/>
          <w:sz w:val="20"/>
          <w:szCs w:val="20"/>
          <w:rtl/>
        </w:rPr>
        <w:t xml:space="preserve">. אריג מוזהב או מטונף חוצץ. </w:t>
      </w:r>
      <w:r w:rsidRPr="00FD62C5">
        <w:rPr>
          <w:rFonts w:hint="cs"/>
          <w:b/>
          <w:bCs/>
          <w:sz w:val="20"/>
          <w:szCs w:val="20"/>
          <w:rtl/>
        </w:rPr>
        <w:t>טעם</w:t>
      </w:r>
      <w:r w:rsidRPr="00FD62C5">
        <w:rPr>
          <w:rFonts w:hint="cs"/>
          <w:sz w:val="20"/>
          <w:szCs w:val="20"/>
          <w:rtl/>
        </w:rPr>
        <w:t>. כנ"ל.</w:t>
      </w:r>
      <w:r w:rsidRPr="00FD62C5">
        <w:rPr>
          <w:rFonts w:hint="cs"/>
          <w:b/>
          <w:bCs/>
          <w:sz w:val="20"/>
          <w:szCs w:val="20"/>
          <w:rtl/>
        </w:rPr>
        <w:br/>
      </w:r>
      <w:r w:rsidRPr="00FD62C5">
        <w:rPr>
          <w:rFonts w:hint="cs"/>
          <w:sz w:val="20"/>
          <w:szCs w:val="20"/>
          <w:rtl/>
        </w:rPr>
        <w:t xml:space="preserve">8. </w:t>
      </w:r>
      <w:r w:rsidRPr="00FD62C5">
        <w:rPr>
          <w:rFonts w:hint="cs"/>
          <w:b/>
          <w:bCs/>
          <w:sz w:val="20"/>
          <w:szCs w:val="20"/>
          <w:rtl/>
        </w:rPr>
        <w:t>רמ"א</w:t>
      </w:r>
      <w:r w:rsidRPr="00FD62C5">
        <w:rPr>
          <w:rFonts w:hint="cs"/>
          <w:sz w:val="20"/>
          <w:szCs w:val="20"/>
          <w:rtl/>
        </w:rPr>
        <w:t xml:space="preserve">. חוט מוזהב או מטונף חוצץ. </w:t>
      </w:r>
      <w:r w:rsidRPr="00FD62C5">
        <w:rPr>
          <w:rFonts w:hint="cs"/>
          <w:b/>
          <w:bCs/>
          <w:sz w:val="20"/>
          <w:szCs w:val="20"/>
          <w:rtl/>
        </w:rPr>
        <w:t>טעם</w:t>
      </w:r>
      <w:r w:rsidRPr="00FD62C5">
        <w:rPr>
          <w:rFonts w:hint="cs"/>
          <w:sz w:val="20"/>
          <w:szCs w:val="20"/>
          <w:rtl/>
        </w:rPr>
        <w:t>. מקפידה עליהם, כרבותיו של רש"י.</w:t>
      </w:r>
      <w:r w:rsidRPr="00FD62C5">
        <w:rPr>
          <w:sz w:val="20"/>
          <w:szCs w:val="20"/>
          <w:rtl/>
        </w:rPr>
        <w:br/>
      </w:r>
      <w:r w:rsidRPr="00FD62C5">
        <w:rPr>
          <w:rFonts w:hint="cs"/>
          <w:sz w:val="20"/>
          <w:szCs w:val="20"/>
          <w:rtl/>
        </w:rPr>
        <w:t xml:space="preserve">9. </w:t>
      </w:r>
      <w:r w:rsidRPr="00FD62C5">
        <w:rPr>
          <w:rFonts w:hint="cs"/>
          <w:b/>
          <w:bCs/>
          <w:sz w:val="20"/>
          <w:szCs w:val="20"/>
          <w:rtl/>
        </w:rPr>
        <w:t>פת"ש</w:t>
      </w:r>
      <w:r w:rsidRPr="00FD62C5">
        <w:rPr>
          <w:rFonts w:hint="cs"/>
          <w:sz w:val="20"/>
          <w:szCs w:val="20"/>
          <w:rtl/>
        </w:rPr>
        <w:t xml:space="preserve">. </w:t>
      </w:r>
      <w:r w:rsidRPr="00FD62C5">
        <w:rPr>
          <w:rFonts w:hint="cs"/>
          <w:b/>
          <w:bCs/>
          <w:sz w:val="20"/>
          <w:szCs w:val="20"/>
          <w:rtl/>
        </w:rPr>
        <w:t>הב"י</w:t>
      </w:r>
      <w:r w:rsidRPr="00FD62C5">
        <w:rPr>
          <w:rFonts w:hint="cs"/>
          <w:sz w:val="20"/>
          <w:szCs w:val="20"/>
          <w:rtl/>
        </w:rPr>
        <w:t xml:space="preserve"> הסביר בטור שפוסק כרבותיו של רש"י, אך יש לומר שסובר כרש"י, ואעפ"כ חוט מוזהב או מטונף חוצץ משום שהאשה יראה לטבול במוזהב שלא ייטנף ובמטונף שלא ילכלך אותה. לדינא. הלכה כרש"י.</w:t>
      </w:r>
      <w:r w:rsidRPr="00FD62C5">
        <w:rPr>
          <w:sz w:val="20"/>
          <w:szCs w:val="20"/>
          <w:rtl/>
        </w:rPr>
        <w:br/>
      </w:r>
      <w:r w:rsidRPr="00FD62C5">
        <w:rPr>
          <w:rFonts w:hint="cs"/>
          <w:sz w:val="20"/>
          <w:szCs w:val="20"/>
          <w:rtl/>
        </w:rPr>
        <w:t xml:space="preserve">10. ראיות. טבעת </w:t>
      </w:r>
      <w:r>
        <w:rPr>
          <w:rFonts w:hint="cs"/>
          <w:sz w:val="20"/>
          <w:szCs w:val="20"/>
          <w:rtl/>
        </w:rPr>
        <w:t xml:space="preserve">אינה חוצצת. נידה בעלת שער ארוך יכולה לקשור בגד רפוי על ראשה ולטבול. </w:t>
      </w:r>
      <w:r>
        <w:rPr>
          <w:sz w:val="20"/>
          <w:szCs w:val="20"/>
          <w:rtl/>
        </w:rPr>
        <w:br/>
      </w:r>
      <w:r>
        <w:rPr>
          <w:rFonts w:hint="cs"/>
          <w:sz w:val="20"/>
          <w:szCs w:val="20"/>
          <w:rtl/>
        </w:rPr>
        <w:t xml:space="preserve">11. רובו שאינו מקפיד עליו אך המים נכנסים תחתיו, האם חוצץ לדעת רבותיו של רש"י? </w:t>
      </w:r>
      <w:r w:rsidRPr="0048638B">
        <w:rPr>
          <w:rFonts w:hint="cs"/>
          <w:b/>
          <w:bCs/>
          <w:sz w:val="20"/>
          <w:szCs w:val="20"/>
          <w:rtl/>
        </w:rPr>
        <w:t>פת"ש</w:t>
      </w:r>
      <w:r>
        <w:rPr>
          <w:rFonts w:hint="cs"/>
          <w:sz w:val="20"/>
          <w:szCs w:val="20"/>
          <w:rtl/>
        </w:rPr>
        <w:t xml:space="preserve">. כן. </w:t>
      </w:r>
      <w:r w:rsidRPr="0048638B">
        <w:rPr>
          <w:rFonts w:hint="cs"/>
          <w:b/>
          <w:bCs/>
          <w:sz w:val="20"/>
          <w:szCs w:val="20"/>
          <w:rtl/>
        </w:rPr>
        <w:t>טעם</w:t>
      </w:r>
      <w:r>
        <w:rPr>
          <w:rFonts w:hint="cs"/>
          <w:sz w:val="20"/>
          <w:szCs w:val="20"/>
          <w:rtl/>
        </w:rPr>
        <w:t xml:space="preserve">. כדין מיעוטו שמקפיד עליו. </w:t>
      </w:r>
      <w:r w:rsidRPr="0048638B">
        <w:rPr>
          <w:rFonts w:hint="cs"/>
          <w:b/>
          <w:bCs/>
          <w:sz w:val="20"/>
          <w:szCs w:val="20"/>
          <w:rtl/>
        </w:rPr>
        <w:t>סד"ט</w:t>
      </w:r>
      <w:r>
        <w:rPr>
          <w:rFonts w:hint="cs"/>
          <w:sz w:val="20"/>
          <w:szCs w:val="20"/>
          <w:rtl/>
        </w:rPr>
        <w:t xml:space="preserve">. לא. </w:t>
      </w:r>
      <w:r w:rsidRPr="0048638B">
        <w:rPr>
          <w:rFonts w:hint="cs"/>
          <w:b/>
          <w:bCs/>
          <w:sz w:val="20"/>
          <w:szCs w:val="20"/>
          <w:rtl/>
        </w:rPr>
        <w:t>טעם</w:t>
      </w:r>
      <w:r>
        <w:rPr>
          <w:rFonts w:hint="cs"/>
          <w:sz w:val="20"/>
          <w:szCs w:val="20"/>
          <w:rtl/>
        </w:rPr>
        <w:t>. רק הקפדה חוצצת ואפילו ההקפדה אינה מונעת את המים לבוא.</w:t>
      </w:r>
    </w:p>
    <w:p w:rsidR="00620060" w:rsidRDefault="00620060" w:rsidP="00620060">
      <w:pPr>
        <w:rPr>
          <w:sz w:val="20"/>
          <w:szCs w:val="20"/>
          <w:rtl/>
        </w:rPr>
      </w:pPr>
      <w:r>
        <w:rPr>
          <w:sz w:val="20"/>
          <w:szCs w:val="20"/>
          <w:rtl/>
        </w:rPr>
        <w:br/>
      </w:r>
      <w:r>
        <w:rPr>
          <w:rFonts w:hint="cs"/>
          <w:b/>
          <w:bCs/>
          <w:sz w:val="20"/>
          <w:szCs w:val="20"/>
          <w:rtl/>
        </w:rPr>
        <w:t xml:space="preserve">סעיף ה </w:t>
      </w:r>
      <w:r>
        <w:rPr>
          <w:b/>
          <w:bCs/>
          <w:sz w:val="20"/>
          <w:szCs w:val="20"/>
          <w:rtl/>
        </w:rPr>
        <w:t>–</w:t>
      </w:r>
      <w:r>
        <w:rPr>
          <w:rFonts w:hint="cs"/>
          <w:b/>
          <w:bCs/>
          <w:sz w:val="20"/>
          <w:szCs w:val="20"/>
          <w:rtl/>
        </w:rPr>
        <w:t xml:space="preserve"> חציצה בשערות קשורות</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גמרא </w:t>
      </w:r>
      <w:r>
        <w:rPr>
          <w:rFonts w:hint="cs"/>
          <w:sz w:val="20"/>
          <w:szCs w:val="20"/>
          <w:rtl/>
        </w:rPr>
        <w:t>נידה (סז.- סז:) "</w:t>
      </w:r>
      <w:r w:rsidRPr="00D01B59">
        <w:rPr>
          <w:rFonts w:cs="Arial"/>
          <w:sz w:val="20"/>
          <w:szCs w:val="20"/>
          <w:rtl/>
        </w:rPr>
        <w:t>אמר רבה בר רב הונא: נימא אחת קשורה - חוצצת,</w:t>
      </w:r>
      <w:r w:rsidRPr="00D01B59">
        <w:rPr>
          <w:rtl/>
        </w:rPr>
        <w:t xml:space="preserve"> </w:t>
      </w:r>
      <w:r w:rsidRPr="00D01B59">
        <w:rPr>
          <w:rFonts w:cs="Arial"/>
          <w:sz w:val="20"/>
          <w:szCs w:val="20"/>
          <w:rtl/>
        </w:rPr>
        <w:t>של</w:t>
      </w:r>
      <w:r>
        <w:rPr>
          <w:rFonts w:cs="Arial" w:hint="cs"/>
          <w:sz w:val="20"/>
          <w:szCs w:val="20"/>
          <w:rtl/>
        </w:rPr>
        <w:t>ו</w:t>
      </w:r>
      <w:r w:rsidRPr="00D01B59">
        <w:rPr>
          <w:rFonts w:cs="Arial"/>
          <w:sz w:val="20"/>
          <w:szCs w:val="20"/>
          <w:rtl/>
        </w:rPr>
        <w:t>ש - אינן חוצצות, שתים - איני יודע. ור</w:t>
      </w:r>
      <w:r>
        <w:rPr>
          <w:rFonts w:cs="Arial" w:hint="cs"/>
          <w:sz w:val="20"/>
          <w:szCs w:val="20"/>
          <w:rtl/>
        </w:rPr>
        <w:t>בי</w:t>
      </w:r>
      <w:r>
        <w:rPr>
          <w:rFonts w:cs="Arial"/>
          <w:sz w:val="20"/>
          <w:szCs w:val="20"/>
          <w:rtl/>
        </w:rPr>
        <w:t xml:space="preserve"> יוחנן אמר: אנו אין לנו אלא אחת</w:t>
      </w:r>
      <w:r>
        <w:rPr>
          <w:rFonts w:cs="Arial" w:hint="cs"/>
          <w:sz w:val="20"/>
          <w:szCs w:val="20"/>
          <w:rtl/>
        </w:rPr>
        <w:t>".</w:t>
      </w:r>
    </w:p>
    <w:p w:rsidR="00620060" w:rsidRDefault="00620060" w:rsidP="00620060">
      <w:pPr>
        <w:rPr>
          <w:sz w:val="20"/>
          <w:szCs w:val="20"/>
          <w:rtl/>
        </w:rPr>
      </w:pPr>
      <w:r>
        <w:rPr>
          <w:rFonts w:hint="cs"/>
          <w:b/>
          <w:bCs/>
          <w:sz w:val="20"/>
          <w:szCs w:val="20"/>
          <w:rtl/>
        </w:rPr>
        <w:t>שיטות הראשונים</w:t>
      </w:r>
      <w:r>
        <w:rPr>
          <w:b/>
          <w:bCs/>
          <w:sz w:val="20"/>
          <w:szCs w:val="20"/>
          <w:rtl/>
        </w:rPr>
        <w:br/>
      </w:r>
      <w:r>
        <w:rPr>
          <w:rFonts w:hint="cs"/>
          <w:sz w:val="20"/>
          <w:szCs w:val="20"/>
          <w:rtl/>
        </w:rPr>
        <w:t xml:space="preserve">א. </w:t>
      </w:r>
      <w:r w:rsidRPr="00D01B59">
        <w:rPr>
          <w:rFonts w:hint="cs"/>
          <w:b/>
          <w:bCs/>
          <w:sz w:val="20"/>
          <w:szCs w:val="20"/>
          <w:rtl/>
        </w:rPr>
        <w:t>רמב"ם וטור</w:t>
      </w:r>
      <w:r>
        <w:rPr>
          <w:rFonts w:hint="cs"/>
          <w:sz w:val="20"/>
          <w:szCs w:val="20"/>
          <w:rtl/>
        </w:rPr>
        <w:t xml:space="preserve"> </w:t>
      </w:r>
      <w:r>
        <w:rPr>
          <w:sz w:val="20"/>
          <w:szCs w:val="20"/>
          <w:rtl/>
        </w:rPr>
        <w:t>–</w:t>
      </w:r>
      <w:r>
        <w:rPr>
          <w:rFonts w:hint="cs"/>
          <w:sz w:val="20"/>
          <w:szCs w:val="20"/>
          <w:rtl/>
        </w:rPr>
        <w:t xml:space="preserve"> הלכה כרבי יוחנן, שתי שערות אינן חוצצות, וכ"פ </w:t>
      </w:r>
      <w:r w:rsidRPr="00BE4D54">
        <w:rPr>
          <w:rFonts w:hint="cs"/>
          <w:b/>
          <w:bCs/>
          <w:sz w:val="20"/>
          <w:szCs w:val="20"/>
          <w:rtl/>
        </w:rPr>
        <w:t>המחבר</w:t>
      </w:r>
      <w:r>
        <w:rPr>
          <w:rFonts w:hint="cs"/>
          <w:sz w:val="20"/>
          <w:szCs w:val="20"/>
          <w:rtl/>
        </w:rPr>
        <w:t>.</w:t>
      </w:r>
      <w:r>
        <w:rPr>
          <w:sz w:val="20"/>
          <w:szCs w:val="20"/>
          <w:rtl/>
        </w:rPr>
        <w:br/>
      </w:r>
      <w:r>
        <w:rPr>
          <w:rFonts w:hint="cs"/>
          <w:sz w:val="20"/>
          <w:szCs w:val="20"/>
          <w:rtl/>
        </w:rPr>
        <w:t xml:space="preserve">ב. </w:t>
      </w:r>
      <w:r w:rsidRPr="00D01B59">
        <w:rPr>
          <w:rFonts w:hint="cs"/>
          <w:b/>
          <w:bCs/>
          <w:sz w:val="20"/>
          <w:szCs w:val="20"/>
          <w:rtl/>
        </w:rPr>
        <w:t>רשב"א ור"ן</w:t>
      </w:r>
      <w:r>
        <w:rPr>
          <w:rFonts w:hint="cs"/>
          <w:sz w:val="20"/>
          <w:szCs w:val="20"/>
          <w:rtl/>
        </w:rPr>
        <w:t xml:space="preserve"> </w:t>
      </w:r>
      <w:r>
        <w:rPr>
          <w:sz w:val="20"/>
          <w:szCs w:val="20"/>
          <w:rtl/>
        </w:rPr>
        <w:t>–</w:t>
      </w:r>
      <w:r>
        <w:rPr>
          <w:rFonts w:hint="cs"/>
          <w:sz w:val="20"/>
          <w:szCs w:val="20"/>
          <w:rtl/>
        </w:rPr>
        <w:t xml:space="preserve"> הלכה כרבב"ח, שתי שערות קשורות דינן ספק.</w:t>
      </w:r>
    </w:p>
    <w:p w:rsidR="00620060" w:rsidRPr="00D20952" w:rsidRDefault="00620060" w:rsidP="00620060">
      <w:pPr>
        <w:rPr>
          <w:sz w:val="20"/>
          <w:szCs w:val="20"/>
          <w:rtl/>
        </w:rPr>
      </w:pPr>
      <w:r w:rsidRPr="00D20952">
        <w:rPr>
          <w:rFonts w:hint="cs"/>
          <w:b/>
          <w:bCs/>
          <w:sz w:val="20"/>
          <w:szCs w:val="20"/>
          <w:rtl/>
        </w:rPr>
        <w:t>חציצה ברוב השער</w:t>
      </w:r>
      <w:r>
        <w:rPr>
          <w:b/>
          <w:bCs/>
          <w:sz w:val="20"/>
          <w:szCs w:val="20"/>
          <w:rtl/>
        </w:rPr>
        <w:br/>
      </w:r>
      <w:r>
        <w:rPr>
          <w:rFonts w:hint="cs"/>
          <w:sz w:val="20"/>
          <w:szCs w:val="20"/>
          <w:rtl/>
        </w:rPr>
        <w:t>האם שער נידון כגוף בפני עצמו?</w:t>
      </w:r>
      <w:r>
        <w:rPr>
          <w:rFonts w:hint="cs"/>
          <w:sz w:val="20"/>
          <w:szCs w:val="20"/>
          <w:rtl/>
        </w:rPr>
        <w:br/>
        <w:t xml:space="preserve">א. </w:t>
      </w:r>
      <w:r w:rsidRPr="00D20952">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לא, לכן אע"פ שרוב שערותיה קשורות יחד, אם אינה מקפידה אינה חציצה, מכיוון שאם נצרף את שערותיה לשאר גופה נמצא ששערותיה הן מיעוט.</w:t>
      </w:r>
      <w:r>
        <w:rPr>
          <w:sz w:val="20"/>
          <w:szCs w:val="20"/>
          <w:rtl/>
        </w:rPr>
        <w:br/>
      </w:r>
      <w:r>
        <w:rPr>
          <w:rFonts w:hint="cs"/>
          <w:sz w:val="20"/>
          <w:szCs w:val="20"/>
          <w:rtl/>
        </w:rPr>
        <w:t xml:space="preserve">ב. </w:t>
      </w:r>
      <w:r w:rsidRPr="00D20952">
        <w:rPr>
          <w:rFonts w:hint="cs"/>
          <w:b/>
          <w:bCs/>
          <w:sz w:val="20"/>
          <w:szCs w:val="20"/>
          <w:rtl/>
        </w:rPr>
        <w:t xml:space="preserve">גאונים </w:t>
      </w:r>
      <w:r>
        <w:rPr>
          <w:sz w:val="20"/>
          <w:szCs w:val="20"/>
          <w:rtl/>
        </w:rPr>
        <w:t>–</w:t>
      </w:r>
      <w:r>
        <w:rPr>
          <w:rFonts w:hint="cs"/>
          <w:sz w:val="20"/>
          <w:szCs w:val="20"/>
          <w:rtl/>
        </w:rPr>
        <w:t xml:space="preserve"> כן, לכן אם רוב שערותיה קשורות אע"פ שאינה מקפידה עליהן, חוצץ, וכ"פ </w:t>
      </w:r>
      <w:r w:rsidRPr="008D12D6">
        <w:rPr>
          <w:rFonts w:hint="cs"/>
          <w:b/>
          <w:bCs/>
          <w:sz w:val="20"/>
          <w:szCs w:val="20"/>
          <w:rtl/>
        </w:rPr>
        <w:t>המחבר</w:t>
      </w:r>
      <w:r>
        <w:rPr>
          <w:rFonts w:hint="cs"/>
          <w:sz w:val="20"/>
          <w:szCs w:val="20"/>
          <w:rtl/>
        </w:rPr>
        <w:t>.</w:t>
      </w:r>
      <w:r>
        <w:rPr>
          <w:rFonts w:hint="cs"/>
          <w:sz w:val="20"/>
          <w:szCs w:val="20"/>
          <w:rtl/>
        </w:rPr>
        <w:br/>
        <w:t xml:space="preserve">והוסיף </w:t>
      </w:r>
      <w:r w:rsidRPr="00005248">
        <w:rPr>
          <w:rFonts w:hint="cs"/>
          <w:b/>
          <w:bCs/>
          <w:sz w:val="20"/>
          <w:szCs w:val="20"/>
          <w:rtl/>
        </w:rPr>
        <w:t>בבית יוסף</w:t>
      </w:r>
      <w:r>
        <w:rPr>
          <w:rFonts w:hint="cs"/>
          <w:sz w:val="20"/>
          <w:szCs w:val="20"/>
          <w:rtl/>
        </w:rPr>
        <w:t xml:space="preserve"> שהוא הדין אם מיעוט שערה קשור אך מקפדת עליו, שחוצץ.</w:t>
      </w:r>
    </w:p>
    <w:p w:rsidR="00620060" w:rsidRDefault="00620060" w:rsidP="00620060">
      <w:pPr>
        <w:rPr>
          <w:sz w:val="20"/>
          <w:szCs w:val="20"/>
          <w:rtl/>
        </w:rPr>
      </w:pPr>
      <w:r>
        <w:rPr>
          <w:rFonts w:hint="cs"/>
          <w:b/>
          <w:bCs/>
          <w:sz w:val="20"/>
          <w:szCs w:val="20"/>
          <w:rtl/>
        </w:rPr>
        <w:t>אופן הקשירה</w:t>
      </w:r>
      <w:r>
        <w:rPr>
          <w:b/>
          <w:bCs/>
          <w:sz w:val="20"/>
          <w:szCs w:val="20"/>
          <w:rtl/>
        </w:rPr>
        <w:br/>
      </w:r>
      <w:r w:rsidRPr="002825DF">
        <w:rPr>
          <w:rFonts w:hint="cs"/>
          <w:b/>
          <w:bCs/>
          <w:sz w:val="20"/>
          <w:szCs w:val="20"/>
          <w:rtl/>
        </w:rPr>
        <w:t>רמב"ם</w:t>
      </w:r>
      <w:r>
        <w:rPr>
          <w:rFonts w:hint="cs"/>
          <w:sz w:val="20"/>
          <w:szCs w:val="20"/>
          <w:rtl/>
        </w:rPr>
        <w:t xml:space="preserve"> </w:t>
      </w:r>
      <w:r w:rsidRPr="002825DF">
        <w:rPr>
          <w:rFonts w:hint="cs"/>
          <w:sz w:val="18"/>
          <w:szCs w:val="18"/>
          <w:rtl/>
        </w:rPr>
        <w:t xml:space="preserve">(ע"פ </w:t>
      </w:r>
      <w:r w:rsidRPr="002825DF">
        <w:rPr>
          <w:rFonts w:hint="cs"/>
          <w:b/>
          <w:bCs/>
          <w:sz w:val="18"/>
          <w:szCs w:val="18"/>
          <w:rtl/>
        </w:rPr>
        <w:t>הבית יוסף</w:t>
      </w:r>
      <w:r w:rsidRPr="002825DF">
        <w:rPr>
          <w:rFonts w:hint="cs"/>
          <w:sz w:val="18"/>
          <w:szCs w:val="18"/>
          <w:rtl/>
        </w:rPr>
        <w:t xml:space="preserve">) </w:t>
      </w:r>
      <w:r>
        <w:rPr>
          <w:sz w:val="20"/>
          <w:szCs w:val="20"/>
          <w:rtl/>
        </w:rPr>
        <w:t>–</w:t>
      </w:r>
      <w:r>
        <w:rPr>
          <w:rFonts w:hint="cs"/>
          <w:sz w:val="20"/>
          <w:szCs w:val="20"/>
          <w:rtl/>
        </w:rPr>
        <w:t xml:space="preserve"> שערה אחת קשורה בעצמה, חוצצת.</w:t>
      </w:r>
      <w:r>
        <w:rPr>
          <w:sz w:val="20"/>
          <w:szCs w:val="20"/>
          <w:rtl/>
        </w:rPr>
        <w:br/>
      </w:r>
      <w:r>
        <w:rPr>
          <w:rFonts w:hint="cs"/>
          <w:sz w:val="20"/>
          <w:szCs w:val="20"/>
          <w:rtl/>
        </w:rPr>
        <w:t>שתי שערות קשורות אחת אל אחת, חוצצות כדין שערה אחת.</w:t>
      </w:r>
      <w:r>
        <w:rPr>
          <w:sz w:val="20"/>
          <w:szCs w:val="20"/>
          <w:rtl/>
        </w:rPr>
        <w:br/>
      </w:r>
      <w:r>
        <w:rPr>
          <w:rFonts w:hint="cs"/>
          <w:sz w:val="20"/>
          <w:szCs w:val="20"/>
          <w:rtl/>
        </w:rPr>
        <w:t>ברם, שתי שערות הקשורות יחד אינן חוצצות.</w:t>
      </w:r>
    </w:p>
    <w:p w:rsidR="00620060" w:rsidRDefault="00620060" w:rsidP="00620060">
      <w:pPr>
        <w:rPr>
          <w:sz w:val="20"/>
          <w:szCs w:val="20"/>
          <w:rtl/>
        </w:rPr>
      </w:pPr>
      <w:r>
        <w:rPr>
          <w:rFonts w:hint="cs"/>
          <w:b/>
          <w:bCs/>
          <w:sz w:val="20"/>
          <w:szCs w:val="20"/>
          <w:rtl/>
        </w:rPr>
        <w:t>שתי שערות קשורות עם שתי שערות</w:t>
      </w:r>
      <w:r>
        <w:rPr>
          <w:rFonts w:hint="cs"/>
          <w:b/>
          <w:bCs/>
          <w:sz w:val="20"/>
          <w:szCs w:val="20"/>
          <w:rtl/>
        </w:rPr>
        <w:br/>
      </w:r>
      <w:r>
        <w:rPr>
          <w:rFonts w:hint="cs"/>
          <w:sz w:val="20"/>
          <w:szCs w:val="20"/>
          <w:rtl/>
        </w:rPr>
        <w:t>כיצד יש לדון שתי שערות הקשורות לשערה אחת או לשתיים אחרות?</w:t>
      </w:r>
      <w:r>
        <w:rPr>
          <w:rFonts w:hint="cs"/>
          <w:sz w:val="20"/>
          <w:szCs w:val="20"/>
          <w:rtl/>
        </w:rPr>
        <w:br/>
        <w:t xml:space="preserve">א. </w:t>
      </w:r>
      <w:r w:rsidRPr="00BF43D6">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דינן כשלוש שערות וגם לרבב"ח אינן חוצצות.</w:t>
      </w:r>
      <w:r>
        <w:rPr>
          <w:sz w:val="20"/>
          <w:szCs w:val="20"/>
          <w:rtl/>
        </w:rPr>
        <w:br/>
      </w:r>
      <w:r>
        <w:rPr>
          <w:rFonts w:hint="cs"/>
          <w:sz w:val="20"/>
          <w:szCs w:val="20"/>
          <w:rtl/>
        </w:rPr>
        <w:t xml:space="preserve">ב. </w:t>
      </w:r>
      <w:r w:rsidRPr="00BF43D6">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דינן כשתי שערות ולרבב"ח חוצצות.</w:t>
      </w:r>
    </w:p>
    <w:p w:rsidR="00620060" w:rsidRDefault="00620060" w:rsidP="00620060">
      <w:pPr>
        <w:rPr>
          <w:sz w:val="20"/>
          <w:szCs w:val="20"/>
          <w:rtl/>
        </w:rPr>
      </w:pPr>
      <w:r>
        <w:rPr>
          <w:rFonts w:hint="cs"/>
          <w:b/>
          <w:bCs/>
          <w:sz w:val="20"/>
          <w:szCs w:val="20"/>
          <w:rtl/>
        </w:rPr>
        <w:lastRenderedPageBreak/>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BF43D6">
        <w:rPr>
          <w:rFonts w:cs="Arial"/>
          <w:sz w:val="20"/>
          <w:szCs w:val="20"/>
          <w:rtl/>
        </w:rPr>
        <w:t xml:space="preserve">שתי שערות או יותר שהיו קשורים ביחד קשר אחד, אינם חוצצין. </w:t>
      </w:r>
      <w:r w:rsidRPr="00BF43D6">
        <w:rPr>
          <w:rFonts w:cs="Arial"/>
          <w:sz w:val="18"/>
          <w:szCs w:val="18"/>
          <w:rtl/>
        </w:rPr>
        <w:t>הגה: ואין חלוק בין אם קשר ב' שערות עם שתי שע</w:t>
      </w:r>
      <w:r>
        <w:rPr>
          <w:rFonts w:cs="Arial"/>
          <w:sz w:val="18"/>
          <w:szCs w:val="18"/>
          <w:rtl/>
        </w:rPr>
        <w:t>רות, או שקשר ב' שערות בפני עצמן</w:t>
      </w:r>
      <w:r w:rsidRPr="00BF43D6">
        <w:rPr>
          <w:rFonts w:cs="Arial"/>
          <w:sz w:val="20"/>
          <w:szCs w:val="20"/>
          <w:rtl/>
        </w:rPr>
        <w:t>; ושערה אחת שנקשרה, חוצצת והוא שתהא מקפדת עליה, אבל אם אינה מקפדת עליה עלתה לה טבילה עד שיהא רוב שערה קשור נימא נימא בפני עצמו</w:t>
      </w:r>
      <w:r>
        <w:rPr>
          <w:rFonts w:cs="Arial" w:hint="cs"/>
          <w:sz w:val="20"/>
          <w:szCs w:val="20"/>
          <w:rtl/>
        </w:rPr>
        <w:t>"</w:t>
      </w:r>
      <w:r w:rsidRPr="00BF43D6">
        <w:rPr>
          <w:rFonts w:cs="Arial"/>
          <w:sz w:val="20"/>
          <w:szCs w:val="20"/>
          <w:rtl/>
        </w:rPr>
        <w:t>.</w:t>
      </w:r>
      <w:r>
        <w:rPr>
          <w:sz w:val="20"/>
          <w:szCs w:val="20"/>
          <w:rtl/>
        </w:rPr>
        <w:br/>
      </w:r>
      <w:r w:rsidRPr="00EC4DCF">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הוא הדין אם היא אינה מקפדת אך רוב העולם מקפיד, חוצץ.</w:t>
      </w:r>
    </w:p>
    <w:p w:rsidR="00620060" w:rsidRPr="00A77DFE" w:rsidRDefault="00620060" w:rsidP="00620060">
      <w:pPr>
        <w:rPr>
          <w:sz w:val="20"/>
          <w:szCs w:val="20"/>
          <w:rtl/>
        </w:rPr>
      </w:pPr>
      <w:r>
        <w:rPr>
          <w:rFonts w:hint="cs"/>
          <w:sz w:val="20"/>
          <w:szCs w:val="20"/>
          <w:u w:val="single"/>
          <w:rtl/>
        </w:rPr>
        <w:t>באילו שערות מדובר</w:t>
      </w:r>
      <w:r>
        <w:rPr>
          <w:sz w:val="20"/>
          <w:szCs w:val="20"/>
          <w:u w:val="single"/>
          <w:rtl/>
        </w:rPr>
        <w:br/>
      </w:r>
      <w:r w:rsidRPr="009E5C93">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כאן מדובר בשערות האשה עצמה, בניגוד לסעיף הקודם שמדובר בשערות דעלמא.</w:t>
      </w:r>
      <w:r>
        <w:rPr>
          <w:sz w:val="20"/>
          <w:szCs w:val="20"/>
          <w:rtl/>
        </w:rPr>
        <w:br/>
      </w:r>
      <w:r>
        <w:rPr>
          <w:rFonts w:hint="cs"/>
          <w:sz w:val="20"/>
          <w:szCs w:val="20"/>
          <w:rtl/>
        </w:rPr>
        <w:t xml:space="preserve">לכן </w:t>
      </w:r>
      <w:r>
        <w:rPr>
          <w:sz w:val="20"/>
          <w:szCs w:val="20"/>
          <w:rtl/>
        </w:rPr>
        <w:t>–</w:t>
      </w:r>
      <w:r>
        <w:rPr>
          <w:rFonts w:hint="cs"/>
          <w:sz w:val="20"/>
          <w:szCs w:val="20"/>
          <w:rtl/>
        </w:rPr>
        <w:t xml:space="preserve"> בסעיף הקודם אם קשרה שערה אחת בראשה הוי חציצה אפילו אם היא לא מקפידה, כדין חוטי צמר וכו' שחוצצים מטעם שמסירתם בשעת רחצה. לעומת זאת כאן, מדובר בשערות ראשה ולכן רק אם מקפידה חוצצות </w:t>
      </w:r>
      <w:r w:rsidRPr="00917EF4">
        <w:rPr>
          <w:rFonts w:hint="cs"/>
          <w:sz w:val="18"/>
          <w:szCs w:val="18"/>
          <w:rtl/>
        </w:rPr>
        <w:t>(או רוב ראשה אפי</w:t>
      </w:r>
      <w:r>
        <w:rPr>
          <w:rFonts w:hint="cs"/>
          <w:sz w:val="18"/>
          <w:szCs w:val="18"/>
          <w:rtl/>
        </w:rPr>
        <w:t>לו</w:t>
      </w:r>
      <w:r w:rsidRPr="00917EF4">
        <w:rPr>
          <w:rFonts w:hint="cs"/>
          <w:sz w:val="18"/>
          <w:szCs w:val="18"/>
          <w:rtl/>
        </w:rPr>
        <w:t xml:space="preserve"> </w:t>
      </w:r>
      <w:r>
        <w:rPr>
          <w:rFonts w:hint="cs"/>
          <w:sz w:val="18"/>
          <w:szCs w:val="18"/>
          <w:rtl/>
        </w:rPr>
        <w:t>כש</w:t>
      </w:r>
      <w:r w:rsidRPr="00917EF4">
        <w:rPr>
          <w:rFonts w:hint="cs"/>
          <w:sz w:val="18"/>
          <w:szCs w:val="18"/>
          <w:rtl/>
        </w:rPr>
        <w:t>אינה מקפדת</w:t>
      </w:r>
      <w:r>
        <w:rPr>
          <w:rFonts w:hint="cs"/>
          <w:sz w:val="18"/>
          <w:szCs w:val="18"/>
          <w:rtl/>
        </w:rPr>
        <w:t>, כגאונים</w:t>
      </w:r>
      <w:r w:rsidRPr="00917EF4">
        <w:rPr>
          <w:rFonts w:hint="cs"/>
          <w:sz w:val="18"/>
          <w:szCs w:val="18"/>
          <w:rtl/>
        </w:rPr>
        <w:t>)</w:t>
      </w:r>
      <w:r>
        <w:rPr>
          <w:rFonts w:hint="cs"/>
          <w:sz w:val="20"/>
          <w:szCs w:val="20"/>
          <w:rtl/>
        </w:rPr>
        <w:t>.</w:t>
      </w:r>
    </w:p>
    <w:p w:rsidR="00620060" w:rsidRPr="003E3ECE"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ED5685">
        <w:rPr>
          <w:rFonts w:hint="cs"/>
          <w:b/>
          <w:bCs/>
          <w:sz w:val="20"/>
          <w:szCs w:val="20"/>
          <w:rtl/>
        </w:rPr>
        <w:t>גמרא</w:t>
      </w:r>
      <w:r>
        <w:rPr>
          <w:rFonts w:hint="cs"/>
          <w:sz w:val="20"/>
          <w:szCs w:val="20"/>
          <w:rtl/>
        </w:rPr>
        <w:t xml:space="preserve">. </w:t>
      </w:r>
      <w:r w:rsidRPr="00ED5685">
        <w:rPr>
          <w:rFonts w:hint="cs"/>
          <w:sz w:val="20"/>
          <w:szCs w:val="20"/>
          <w:u w:val="single"/>
          <w:rtl/>
        </w:rPr>
        <w:t>רבב"ח</w:t>
      </w:r>
      <w:r>
        <w:rPr>
          <w:rFonts w:hint="cs"/>
          <w:sz w:val="20"/>
          <w:szCs w:val="20"/>
          <w:rtl/>
        </w:rPr>
        <w:t xml:space="preserve">. שערה אחת חוצצת, שתיים איני יודע, שלוש אינן חוצצות. </w:t>
      </w:r>
      <w:r w:rsidRPr="00ED5685">
        <w:rPr>
          <w:rFonts w:hint="cs"/>
          <w:sz w:val="20"/>
          <w:szCs w:val="20"/>
          <w:u w:val="single"/>
          <w:rtl/>
        </w:rPr>
        <w:t>ר"י</w:t>
      </w:r>
      <w:r>
        <w:rPr>
          <w:rFonts w:hint="cs"/>
          <w:sz w:val="20"/>
          <w:szCs w:val="20"/>
          <w:rtl/>
        </w:rPr>
        <w:t>. רק אחת חוצצת.</w:t>
      </w:r>
      <w:r>
        <w:rPr>
          <w:rFonts w:hint="cs"/>
          <w:b/>
          <w:bCs/>
          <w:sz w:val="20"/>
          <w:szCs w:val="20"/>
          <w:rtl/>
        </w:rPr>
        <w:br/>
      </w:r>
      <w:r>
        <w:rPr>
          <w:rFonts w:hint="cs"/>
          <w:sz w:val="20"/>
          <w:szCs w:val="20"/>
          <w:rtl/>
        </w:rPr>
        <w:t xml:space="preserve">2. </w:t>
      </w:r>
      <w:r w:rsidRPr="00ED5685">
        <w:rPr>
          <w:rFonts w:hint="cs"/>
          <w:b/>
          <w:bCs/>
          <w:sz w:val="20"/>
          <w:szCs w:val="20"/>
          <w:rtl/>
        </w:rPr>
        <w:t>רמב"ם</w:t>
      </w:r>
      <w:r>
        <w:rPr>
          <w:rFonts w:hint="cs"/>
          <w:sz w:val="20"/>
          <w:szCs w:val="20"/>
          <w:rtl/>
        </w:rPr>
        <w:t xml:space="preserve">. הלכה כר"י, שתיים אינן חוצצות, וכ"פ </w:t>
      </w:r>
      <w:r w:rsidRPr="005828FC">
        <w:rPr>
          <w:rFonts w:hint="cs"/>
          <w:b/>
          <w:bCs/>
          <w:sz w:val="20"/>
          <w:szCs w:val="20"/>
          <w:rtl/>
        </w:rPr>
        <w:t>המחבר</w:t>
      </w:r>
      <w:r>
        <w:rPr>
          <w:rFonts w:hint="cs"/>
          <w:sz w:val="20"/>
          <w:szCs w:val="20"/>
          <w:rtl/>
        </w:rPr>
        <w:t xml:space="preserve">. </w:t>
      </w:r>
      <w:r w:rsidRPr="00ED5685">
        <w:rPr>
          <w:rFonts w:hint="cs"/>
          <w:b/>
          <w:bCs/>
          <w:sz w:val="20"/>
          <w:szCs w:val="20"/>
          <w:rtl/>
        </w:rPr>
        <w:t>רשב"א ור"ן</w:t>
      </w:r>
      <w:r>
        <w:rPr>
          <w:rFonts w:hint="cs"/>
          <w:sz w:val="20"/>
          <w:szCs w:val="20"/>
          <w:rtl/>
        </w:rPr>
        <w:t>. הלכה כרבב"ח, שתיים דינן ספק.</w:t>
      </w:r>
      <w:r>
        <w:rPr>
          <w:rFonts w:hint="cs"/>
          <w:sz w:val="20"/>
          <w:szCs w:val="20"/>
          <w:rtl/>
        </w:rPr>
        <w:br/>
        <w:t xml:space="preserve">3. </w:t>
      </w:r>
      <w:r w:rsidRPr="00F75F18">
        <w:rPr>
          <w:rFonts w:hint="cs"/>
          <w:b/>
          <w:bCs/>
          <w:sz w:val="20"/>
          <w:szCs w:val="20"/>
          <w:rtl/>
        </w:rPr>
        <w:t>רמב"ם</w:t>
      </w:r>
      <w:r>
        <w:rPr>
          <w:rFonts w:hint="cs"/>
          <w:sz w:val="20"/>
          <w:szCs w:val="20"/>
          <w:rtl/>
        </w:rPr>
        <w:t xml:space="preserve">. שער דינו כחלק מהגוף. </w:t>
      </w:r>
      <w:r w:rsidRPr="00F75F18">
        <w:rPr>
          <w:rFonts w:hint="cs"/>
          <w:b/>
          <w:bCs/>
          <w:sz w:val="20"/>
          <w:szCs w:val="20"/>
          <w:rtl/>
        </w:rPr>
        <w:t>גאונים</w:t>
      </w:r>
      <w:r>
        <w:rPr>
          <w:rFonts w:hint="cs"/>
          <w:sz w:val="20"/>
          <w:szCs w:val="20"/>
          <w:rtl/>
        </w:rPr>
        <w:t>. שער נידון בפ"ע, ולכן אם רובו קשור אע"פ שאינה מקפידה חוצץ.</w:t>
      </w:r>
      <w:r>
        <w:rPr>
          <w:sz w:val="20"/>
          <w:szCs w:val="20"/>
          <w:rtl/>
        </w:rPr>
        <w:br/>
      </w:r>
      <w:r>
        <w:rPr>
          <w:rFonts w:hint="cs"/>
          <w:sz w:val="20"/>
          <w:szCs w:val="20"/>
          <w:rtl/>
        </w:rPr>
        <w:t xml:space="preserve">4. </w:t>
      </w:r>
      <w:r w:rsidRPr="00E33344">
        <w:rPr>
          <w:rFonts w:hint="cs"/>
          <w:sz w:val="20"/>
          <w:szCs w:val="20"/>
          <w:rtl/>
        </w:rPr>
        <w:t xml:space="preserve">אופן הקשירה. </w:t>
      </w:r>
      <w:r w:rsidRPr="00E33344">
        <w:rPr>
          <w:rFonts w:hint="cs"/>
          <w:b/>
          <w:bCs/>
          <w:sz w:val="20"/>
          <w:szCs w:val="20"/>
          <w:rtl/>
        </w:rPr>
        <w:t>רמב"ם</w:t>
      </w:r>
      <w:r w:rsidRPr="00E33344">
        <w:rPr>
          <w:rFonts w:hint="cs"/>
          <w:sz w:val="20"/>
          <w:szCs w:val="20"/>
          <w:rtl/>
        </w:rPr>
        <w:t xml:space="preserve">. שערה אחת קשורה </w:t>
      </w:r>
      <w:r>
        <w:rPr>
          <w:rFonts w:hint="cs"/>
          <w:sz w:val="20"/>
          <w:szCs w:val="20"/>
          <w:rtl/>
        </w:rPr>
        <w:t>ב</w:t>
      </w:r>
      <w:r w:rsidRPr="00E33344">
        <w:rPr>
          <w:rFonts w:hint="cs"/>
          <w:sz w:val="20"/>
          <w:szCs w:val="20"/>
          <w:rtl/>
        </w:rPr>
        <w:t xml:space="preserve">עצמה - חוצצת. שתיים קשורות אחת אל אחת - חוצצות. </w:t>
      </w:r>
      <w:r w:rsidRPr="00E33344">
        <w:rPr>
          <w:sz w:val="20"/>
          <w:szCs w:val="20"/>
          <w:rtl/>
        </w:rPr>
        <w:br/>
      </w:r>
      <w:r w:rsidRPr="00E33344">
        <w:rPr>
          <w:rFonts w:hint="cs"/>
          <w:sz w:val="20"/>
          <w:szCs w:val="20"/>
          <w:rtl/>
        </w:rPr>
        <w:t>שתיים קשורות יחד - אינן חוצצות.</w:t>
      </w:r>
      <w:r w:rsidRPr="00E33344">
        <w:rPr>
          <w:rFonts w:hint="cs"/>
          <w:b/>
          <w:bCs/>
          <w:sz w:val="20"/>
          <w:szCs w:val="20"/>
          <w:rtl/>
        </w:rPr>
        <w:br/>
      </w:r>
      <w:r>
        <w:rPr>
          <w:rFonts w:hint="cs"/>
          <w:sz w:val="20"/>
          <w:szCs w:val="20"/>
          <w:rtl/>
        </w:rPr>
        <w:t>5</w:t>
      </w:r>
      <w:r w:rsidRPr="00E33344">
        <w:rPr>
          <w:rFonts w:hint="cs"/>
          <w:sz w:val="20"/>
          <w:szCs w:val="20"/>
          <w:rtl/>
        </w:rPr>
        <w:t>. שתיים קשורות לשתיים.</w:t>
      </w:r>
      <w:r>
        <w:rPr>
          <w:rFonts w:hint="cs"/>
          <w:sz w:val="20"/>
          <w:szCs w:val="20"/>
          <w:rtl/>
        </w:rPr>
        <w:t xml:space="preserve"> </w:t>
      </w:r>
      <w:r w:rsidRPr="00ED5685">
        <w:rPr>
          <w:rFonts w:hint="cs"/>
          <w:b/>
          <w:bCs/>
          <w:sz w:val="20"/>
          <w:szCs w:val="20"/>
          <w:rtl/>
        </w:rPr>
        <w:t>רמב"ם</w:t>
      </w:r>
      <w:r>
        <w:rPr>
          <w:rFonts w:hint="cs"/>
          <w:sz w:val="20"/>
          <w:szCs w:val="20"/>
          <w:rtl/>
        </w:rPr>
        <w:t xml:space="preserve">. דינן כשלוש וגם לרבב"ח אינן חוצצות. </w:t>
      </w:r>
      <w:r w:rsidRPr="00ED5685">
        <w:rPr>
          <w:rFonts w:hint="cs"/>
          <w:b/>
          <w:bCs/>
          <w:sz w:val="20"/>
          <w:szCs w:val="20"/>
          <w:rtl/>
        </w:rPr>
        <w:t>רשב"א</w:t>
      </w:r>
      <w:r>
        <w:rPr>
          <w:rFonts w:hint="cs"/>
          <w:sz w:val="20"/>
          <w:szCs w:val="20"/>
          <w:rtl/>
        </w:rPr>
        <w:t>. דינן כשתיים.</w:t>
      </w:r>
      <w:r>
        <w:rPr>
          <w:rFonts w:hint="cs"/>
          <w:b/>
          <w:bCs/>
          <w:sz w:val="20"/>
          <w:szCs w:val="20"/>
          <w:rtl/>
        </w:rPr>
        <w:br/>
      </w:r>
      <w:r>
        <w:rPr>
          <w:rFonts w:hint="cs"/>
          <w:sz w:val="20"/>
          <w:szCs w:val="20"/>
          <w:rtl/>
        </w:rPr>
        <w:t xml:space="preserve">6. </w:t>
      </w:r>
      <w:r w:rsidRPr="00EC4DCF">
        <w:rPr>
          <w:rFonts w:hint="cs"/>
          <w:b/>
          <w:bCs/>
          <w:sz w:val="20"/>
          <w:szCs w:val="20"/>
          <w:rtl/>
        </w:rPr>
        <w:t>מחבר</w:t>
      </w:r>
      <w:r>
        <w:rPr>
          <w:rFonts w:hint="cs"/>
          <w:sz w:val="20"/>
          <w:szCs w:val="20"/>
          <w:rtl/>
        </w:rPr>
        <w:t xml:space="preserve">. שתי שערות או יותר קשורות יחד, אינן חוצצות. שערה אחת חוצצת, ובלבד שמקפדת או שרוב שערה קשור, </w:t>
      </w:r>
      <w:r w:rsidRPr="00615550">
        <w:rPr>
          <w:rFonts w:hint="cs"/>
          <w:b/>
          <w:bCs/>
          <w:sz w:val="20"/>
          <w:szCs w:val="20"/>
          <w:rtl/>
        </w:rPr>
        <w:t>כגאונים</w:t>
      </w:r>
      <w:r>
        <w:rPr>
          <w:rFonts w:hint="cs"/>
          <w:sz w:val="20"/>
          <w:szCs w:val="20"/>
          <w:rtl/>
        </w:rPr>
        <w:t xml:space="preserve">. </w:t>
      </w:r>
      <w:r w:rsidRPr="00EC4DCF">
        <w:rPr>
          <w:rFonts w:hint="cs"/>
          <w:b/>
          <w:bCs/>
          <w:sz w:val="20"/>
          <w:szCs w:val="20"/>
          <w:rtl/>
        </w:rPr>
        <w:t>ש"ך</w:t>
      </w:r>
      <w:r>
        <w:rPr>
          <w:rFonts w:hint="cs"/>
          <w:sz w:val="20"/>
          <w:szCs w:val="20"/>
          <w:rtl/>
        </w:rPr>
        <w:t>. הוא הדין אם היא אינה מקפידה אך רוב העולם מקפיד, חוצץ.</w:t>
      </w:r>
      <w:r>
        <w:rPr>
          <w:rFonts w:hint="cs"/>
          <w:b/>
          <w:bCs/>
          <w:sz w:val="20"/>
          <w:szCs w:val="20"/>
          <w:rtl/>
        </w:rPr>
        <w:br/>
      </w:r>
      <w:r>
        <w:rPr>
          <w:rFonts w:hint="cs"/>
          <w:sz w:val="20"/>
          <w:szCs w:val="20"/>
          <w:rtl/>
        </w:rPr>
        <w:t xml:space="preserve">7. </w:t>
      </w:r>
      <w:r w:rsidRPr="003E3ECE">
        <w:rPr>
          <w:rFonts w:hint="cs"/>
          <w:b/>
          <w:bCs/>
          <w:sz w:val="20"/>
          <w:szCs w:val="20"/>
          <w:rtl/>
        </w:rPr>
        <w:t>ט"ז</w:t>
      </w:r>
      <w:r>
        <w:rPr>
          <w:rFonts w:hint="cs"/>
          <w:sz w:val="20"/>
          <w:szCs w:val="20"/>
          <w:rtl/>
        </w:rPr>
        <w:t>. כאן מדובר בשערות האשה עצמה ולכן רק במקפדת חוצצות, בסעיף הקודם מדובר על שערות דעלמא ולכן שערה אחת חוצצת אפילו אינה מקפדת, כדין חוטי צמר.</w:t>
      </w:r>
    </w:p>
    <w:p w:rsidR="00620060" w:rsidRDefault="00620060" w:rsidP="00620060">
      <w:pPr>
        <w:rPr>
          <w:sz w:val="20"/>
          <w:szCs w:val="20"/>
          <w:rtl/>
        </w:rPr>
      </w:pPr>
      <w:r>
        <w:rPr>
          <w:b/>
          <w:bCs/>
          <w:sz w:val="20"/>
          <w:szCs w:val="20"/>
          <w:rtl/>
        </w:rPr>
        <w:br/>
      </w:r>
      <w:r>
        <w:rPr>
          <w:rFonts w:hint="cs"/>
          <w:b/>
          <w:bCs/>
          <w:sz w:val="20"/>
          <w:szCs w:val="20"/>
          <w:rtl/>
        </w:rPr>
        <w:t xml:space="preserve">סעיף ו </w:t>
      </w:r>
      <w:r>
        <w:rPr>
          <w:b/>
          <w:bCs/>
          <w:sz w:val="20"/>
          <w:szCs w:val="20"/>
          <w:rtl/>
        </w:rPr>
        <w:t>–</w:t>
      </w:r>
      <w:r>
        <w:rPr>
          <w:rFonts w:hint="cs"/>
          <w:b/>
          <w:bCs/>
          <w:sz w:val="20"/>
          <w:szCs w:val="20"/>
          <w:rtl/>
        </w:rPr>
        <w:t xml:space="preserve"> שערות דבוקות</w:t>
      </w:r>
      <w:r>
        <w:rPr>
          <w:rFonts w:hint="cs"/>
          <w:b/>
          <w:bCs/>
          <w:sz w:val="20"/>
          <w:szCs w:val="20"/>
          <w:rtl/>
        </w:rPr>
        <w:br/>
        <w:t>מקורות הדין</w:t>
      </w:r>
      <w:r>
        <w:rPr>
          <w:b/>
          <w:bCs/>
          <w:sz w:val="20"/>
          <w:szCs w:val="20"/>
          <w:rtl/>
        </w:rPr>
        <w:br/>
      </w:r>
      <w:r>
        <w:rPr>
          <w:rFonts w:hint="cs"/>
          <w:sz w:val="20"/>
          <w:szCs w:val="20"/>
          <w:rtl/>
        </w:rPr>
        <w:t xml:space="preserve">א. </w:t>
      </w:r>
      <w:r>
        <w:rPr>
          <w:rFonts w:hint="cs"/>
          <w:b/>
          <w:bCs/>
          <w:sz w:val="20"/>
          <w:szCs w:val="20"/>
          <w:rtl/>
        </w:rPr>
        <w:t xml:space="preserve">משנה </w:t>
      </w:r>
      <w:r>
        <w:rPr>
          <w:rFonts w:hint="cs"/>
          <w:sz w:val="20"/>
          <w:szCs w:val="20"/>
          <w:rtl/>
        </w:rPr>
        <w:t>מקוואות (ט, א - ג) "</w:t>
      </w:r>
      <w:r>
        <w:rPr>
          <w:rFonts w:cs="Arial"/>
          <w:sz w:val="20"/>
          <w:szCs w:val="20"/>
          <w:rtl/>
        </w:rPr>
        <w:t>אלו חוצצין באדם</w:t>
      </w:r>
      <w:r>
        <w:rPr>
          <w:rFonts w:cs="Arial" w:hint="cs"/>
          <w:sz w:val="20"/>
          <w:szCs w:val="20"/>
          <w:rtl/>
        </w:rPr>
        <w:t xml:space="preserve">:... </w:t>
      </w:r>
      <w:r w:rsidRPr="008D12D6">
        <w:rPr>
          <w:rFonts w:cs="Arial"/>
          <w:sz w:val="20"/>
          <w:szCs w:val="20"/>
          <w:rtl/>
        </w:rPr>
        <w:t>קלקי הלב והזקן</w:t>
      </w:r>
      <w:r>
        <w:rPr>
          <w:rFonts w:cs="Arial" w:hint="cs"/>
          <w:sz w:val="20"/>
          <w:szCs w:val="20"/>
          <w:rtl/>
        </w:rPr>
        <w:t>,</w:t>
      </w:r>
      <w:r w:rsidRPr="008D12D6">
        <w:rPr>
          <w:rFonts w:cs="Arial"/>
          <w:sz w:val="20"/>
          <w:szCs w:val="20"/>
          <w:rtl/>
        </w:rPr>
        <w:t xml:space="preserve"> ובית הסתרים באשה</w:t>
      </w:r>
      <w:r>
        <w:rPr>
          <w:rFonts w:cs="Arial" w:hint="cs"/>
          <w:sz w:val="20"/>
          <w:szCs w:val="20"/>
          <w:rtl/>
        </w:rPr>
        <w:t xml:space="preserve">... </w:t>
      </w:r>
      <w:r w:rsidRPr="00A044C4">
        <w:rPr>
          <w:rFonts w:cs="Arial"/>
          <w:sz w:val="20"/>
          <w:szCs w:val="20"/>
          <w:rtl/>
        </w:rPr>
        <w:t>אלו שאין חוצצין</w:t>
      </w:r>
      <w:r>
        <w:rPr>
          <w:rFonts w:cs="Arial" w:hint="cs"/>
          <w:sz w:val="20"/>
          <w:szCs w:val="20"/>
          <w:rtl/>
        </w:rPr>
        <w:t>:</w:t>
      </w:r>
      <w:r w:rsidRPr="00A044C4">
        <w:rPr>
          <w:rFonts w:cs="Arial"/>
          <w:sz w:val="20"/>
          <w:szCs w:val="20"/>
          <w:rtl/>
        </w:rPr>
        <w:t xml:space="preserve"> קלקי </w:t>
      </w:r>
      <w:r>
        <w:rPr>
          <w:rFonts w:cs="Arial"/>
          <w:sz w:val="20"/>
          <w:szCs w:val="20"/>
          <w:rtl/>
        </w:rPr>
        <w:t>הראש ובית השחי</w:t>
      </w:r>
      <w:r>
        <w:rPr>
          <w:rFonts w:cs="Arial" w:hint="cs"/>
          <w:sz w:val="20"/>
          <w:szCs w:val="20"/>
          <w:rtl/>
        </w:rPr>
        <w:t>,</w:t>
      </w:r>
      <w:r>
        <w:rPr>
          <w:rFonts w:cs="Arial"/>
          <w:sz w:val="20"/>
          <w:szCs w:val="20"/>
          <w:rtl/>
        </w:rPr>
        <w:t xml:space="preserve"> ובית הסתרים באיש</w:t>
      </w:r>
      <w:r>
        <w:rPr>
          <w:rFonts w:cs="Arial" w:hint="cs"/>
          <w:sz w:val="20"/>
          <w:szCs w:val="20"/>
          <w:rtl/>
        </w:rPr>
        <w:t>".</w:t>
      </w:r>
      <w:r>
        <w:rPr>
          <w:rFonts w:hint="cs"/>
          <w:b/>
          <w:bCs/>
          <w:sz w:val="20"/>
          <w:szCs w:val="20"/>
          <w:rtl/>
        </w:rPr>
        <w:br/>
      </w:r>
      <w:r w:rsidRPr="00A044C4">
        <w:rPr>
          <w:rFonts w:hint="cs"/>
          <w:sz w:val="20"/>
          <w:szCs w:val="20"/>
          <w:rtl/>
        </w:rPr>
        <w:t xml:space="preserve">פירוש קלקי </w:t>
      </w:r>
      <w:r w:rsidRPr="00A044C4">
        <w:rPr>
          <w:sz w:val="20"/>
          <w:szCs w:val="20"/>
          <w:rtl/>
        </w:rPr>
        <w:t>–</w:t>
      </w:r>
      <w:r w:rsidRPr="00A044C4">
        <w:rPr>
          <w:rFonts w:hint="cs"/>
          <w:sz w:val="20"/>
          <w:szCs w:val="20"/>
          <w:rtl/>
        </w:rPr>
        <w:t xml:space="preserve"> שער הדבוק יחד מחמת זיעה.</w:t>
      </w:r>
      <w:r>
        <w:rPr>
          <w:sz w:val="20"/>
          <w:szCs w:val="20"/>
          <w:rtl/>
        </w:rPr>
        <w:br/>
      </w:r>
      <w:r w:rsidRPr="00A044C4">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שער הדבוק בזקן ובלב מקפידים עליו, אך שער הדבוק בראש ובבית השחי אין מקפידים עליו.</w:t>
      </w:r>
      <w:r>
        <w:rPr>
          <w:rFonts w:hint="cs"/>
          <w:sz w:val="20"/>
          <w:szCs w:val="20"/>
          <w:rtl/>
        </w:rPr>
        <w:br/>
        <w:t xml:space="preserve">ב. </w:t>
      </w:r>
      <w:r w:rsidRPr="00A044C4">
        <w:rPr>
          <w:rFonts w:hint="cs"/>
          <w:b/>
          <w:bCs/>
          <w:sz w:val="20"/>
          <w:szCs w:val="20"/>
          <w:rtl/>
        </w:rPr>
        <w:t>תוספתא</w:t>
      </w:r>
      <w:r>
        <w:rPr>
          <w:rFonts w:hint="cs"/>
          <w:sz w:val="20"/>
          <w:szCs w:val="20"/>
          <w:rtl/>
        </w:rPr>
        <w:t xml:space="preserve"> מקוואות (ו, ח) "</w:t>
      </w:r>
      <w:r w:rsidRPr="00A044C4">
        <w:rPr>
          <w:rFonts w:cs="Arial"/>
          <w:sz w:val="20"/>
          <w:szCs w:val="20"/>
          <w:rtl/>
        </w:rPr>
        <w:t>ר' שמעון שזורי אומר בית הס</w:t>
      </w:r>
      <w:r>
        <w:rPr>
          <w:rFonts w:cs="Arial"/>
          <w:sz w:val="20"/>
          <w:szCs w:val="20"/>
          <w:rtl/>
        </w:rPr>
        <w:t>תרים באשה</w:t>
      </w:r>
      <w:r w:rsidRPr="00A044C4">
        <w:rPr>
          <w:rFonts w:cs="Arial" w:hint="cs"/>
          <w:sz w:val="18"/>
          <w:szCs w:val="18"/>
          <w:rtl/>
        </w:rPr>
        <w:t xml:space="preserve"> (נשואה)</w:t>
      </w:r>
      <w:r w:rsidRPr="00A044C4">
        <w:rPr>
          <w:rFonts w:cs="Arial"/>
          <w:sz w:val="18"/>
          <w:szCs w:val="18"/>
          <w:rtl/>
        </w:rPr>
        <w:t xml:space="preserve"> </w:t>
      </w:r>
      <w:r>
        <w:rPr>
          <w:rFonts w:cs="Arial"/>
          <w:sz w:val="20"/>
          <w:szCs w:val="20"/>
          <w:rtl/>
        </w:rPr>
        <w:t xml:space="preserve">חוצץ ופיגיע </w:t>
      </w:r>
      <w:r w:rsidRPr="00A044C4">
        <w:rPr>
          <w:rFonts w:cs="Arial" w:hint="cs"/>
          <w:sz w:val="18"/>
          <w:szCs w:val="18"/>
          <w:rtl/>
        </w:rPr>
        <w:t>(</w:t>
      </w:r>
      <w:r>
        <w:rPr>
          <w:rFonts w:cs="Arial" w:hint="cs"/>
          <w:sz w:val="18"/>
          <w:szCs w:val="18"/>
          <w:rtl/>
        </w:rPr>
        <w:t>פנויה</w:t>
      </w:r>
      <w:r w:rsidRPr="00A044C4">
        <w:rPr>
          <w:rFonts w:cs="Arial" w:hint="cs"/>
          <w:sz w:val="18"/>
          <w:szCs w:val="18"/>
          <w:rtl/>
        </w:rPr>
        <w:t xml:space="preserve">) </w:t>
      </w:r>
      <w:r>
        <w:rPr>
          <w:rFonts w:cs="Arial"/>
          <w:sz w:val="20"/>
          <w:szCs w:val="20"/>
          <w:rtl/>
        </w:rPr>
        <w:t>אינו חוצץ</w:t>
      </w:r>
      <w:r>
        <w:rPr>
          <w:rFonts w:cs="Arial" w:hint="cs"/>
          <w:sz w:val="20"/>
          <w:szCs w:val="20"/>
          <w:rtl/>
        </w:rPr>
        <w:t>".</w:t>
      </w:r>
      <w:r>
        <w:rPr>
          <w:rFonts w:hint="cs"/>
          <w:sz w:val="20"/>
          <w:szCs w:val="20"/>
          <w:rtl/>
        </w:rPr>
        <w:br/>
      </w:r>
      <w:r w:rsidRPr="00A044C4">
        <w:rPr>
          <w:rFonts w:hint="cs"/>
          <w:b/>
          <w:bCs/>
          <w:sz w:val="20"/>
          <w:szCs w:val="20"/>
          <w:rtl/>
        </w:rPr>
        <w:t xml:space="preserve">טעם </w:t>
      </w:r>
      <w:r>
        <w:rPr>
          <w:rFonts w:hint="cs"/>
          <w:sz w:val="20"/>
          <w:szCs w:val="20"/>
          <w:rtl/>
        </w:rPr>
        <w:t>- נשואה מקפידה לנקות גם את בית הסתרים כדי שלא תתגנה על בעלה, אך פנויה אינה מקפידה.</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A044C4">
        <w:rPr>
          <w:rFonts w:cs="Arial"/>
          <w:sz w:val="20"/>
          <w:szCs w:val="20"/>
          <w:rtl/>
        </w:rPr>
        <w:t>שיער שכנגד הלב ושבזקן הנדבק זה בזה מחמת זיעה, חוצץ; שבראש ושבבית השחי, אינו חוצץ; ושבאותו מקום, באיש אינו חוצץ; ובאשה</w:t>
      </w:r>
      <w:r>
        <w:rPr>
          <w:rFonts w:cs="Arial"/>
          <w:sz w:val="20"/>
          <w:szCs w:val="20"/>
          <w:rtl/>
        </w:rPr>
        <w:t>, בנשואה חוצץ, בפנויה אינו חוצץ</w:t>
      </w:r>
      <w:r>
        <w:rPr>
          <w:rStyle w:val="a5"/>
          <w:rFonts w:cs="Arial"/>
          <w:sz w:val="20"/>
          <w:szCs w:val="20"/>
          <w:rtl/>
        </w:rPr>
        <w:footnoteReference w:id="599"/>
      </w:r>
      <w:r>
        <w:rPr>
          <w:rFonts w:cs="Arial" w:hint="cs"/>
          <w:sz w:val="20"/>
          <w:szCs w:val="20"/>
          <w:rtl/>
        </w:rPr>
        <w:t>".</w:t>
      </w:r>
    </w:p>
    <w:p w:rsidR="00620060" w:rsidRDefault="00620060" w:rsidP="00620060">
      <w:pPr>
        <w:rPr>
          <w:sz w:val="20"/>
          <w:szCs w:val="20"/>
          <w:rtl/>
        </w:rPr>
      </w:pPr>
      <w:r>
        <w:rPr>
          <w:rFonts w:hint="cs"/>
          <w:b/>
          <w:bCs/>
          <w:sz w:val="20"/>
          <w:szCs w:val="20"/>
          <w:rtl/>
        </w:rPr>
        <w:t>קליעות שער הדבוקות על ידי שד</w:t>
      </w:r>
      <w:r>
        <w:rPr>
          <w:b/>
          <w:b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רמ"א </w:t>
      </w:r>
      <w:r>
        <w:rPr>
          <w:sz w:val="20"/>
          <w:szCs w:val="20"/>
          <w:rtl/>
        </w:rPr>
        <w:t>–</w:t>
      </w:r>
      <w:r>
        <w:rPr>
          <w:rFonts w:hint="cs"/>
          <w:sz w:val="20"/>
          <w:szCs w:val="20"/>
          <w:rtl/>
        </w:rPr>
        <w:t xml:space="preserve"> </w:t>
      </w:r>
      <w:r w:rsidRPr="00A044C4">
        <w:rPr>
          <w:rFonts w:hint="cs"/>
          <w:sz w:val="18"/>
          <w:szCs w:val="18"/>
          <w:rtl/>
        </w:rPr>
        <w:t>"</w:t>
      </w:r>
      <w:r w:rsidRPr="00A044C4">
        <w:rPr>
          <w:rFonts w:cs="Arial"/>
          <w:sz w:val="18"/>
          <w:szCs w:val="18"/>
          <w:rtl/>
        </w:rPr>
        <w:t>ואותן שיש להן כמין קליעות שערות דבוקות זו בזו, ונעשית בלילה על ידי שד וסכנה להסירם, לא חייצי</w:t>
      </w:r>
      <w:r w:rsidRPr="00A044C4">
        <w:rPr>
          <w:rFonts w:cs="Arial" w:hint="cs"/>
          <w:sz w:val="18"/>
          <w:szCs w:val="18"/>
          <w:rtl/>
        </w:rPr>
        <w:t>".</w:t>
      </w:r>
    </w:p>
    <w:p w:rsidR="00620060" w:rsidRDefault="00620060" w:rsidP="00620060">
      <w:pPr>
        <w:rPr>
          <w:sz w:val="20"/>
          <w:szCs w:val="20"/>
          <w:rtl/>
        </w:rPr>
      </w:pPr>
      <w:r>
        <w:rPr>
          <w:rFonts w:hint="cs"/>
          <w:sz w:val="20"/>
          <w:szCs w:val="20"/>
          <w:u w:val="single"/>
          <w:rtl/>
        </w:rPr>
        <w:t>טעם הדין (גליון מהרש"א)</w:t>
      </w:r>
      <w:r>
        <w:rPr>
          <w:rFonts w:hint="cs"/>
          <w:sz w:val="20"/>
          <w:szCs w:val="20"/>
          <w:u w:val="single"/>
          <w:rtl/>
        </w:rPr>
        <w:br/>
      </w:r>
      <w:r>
        <w:rPr>
          <w:rFonts w:hint="cs"/>
          <w:sz w:val="20"/>
          <w:szCs w:val="20"/>
          <w:rtl/>
        </w:rPr>
        <w:t>ישנם כמה טעמים להקל בשערות הנ"ל:</w:t>
      </w:r>
      <w:r>
        <w:rPr>
          <w:rFonts w:hint="cs"/>
          <w:sz w:val="20"/>
          <w:szCs w:val="20"/>
          <w:rtl/>
        </w:rPr>
        <w:br/>
        <w:t xml:space="preserve">א. משום שאינה מקפידה על כך </w:t>
      </w:r>
      <w:r w:rsidRPr="00105E04">
        <w:rPr>
          <w:rFonts w:hint="cs"/>
          <w:sz w:val="18"/>
          <w:szCs w:val="18"/>
          <w:rtl/>
        </w:rPr>
        <w:t>(ולמרות ש</w:t>
      </w:r>
      <w:r>
        <w:rPr>
          <w:rFonts w:hint="cs"/>
          <w:sz w:val="18"/>
          <w:szCs w:val="18"/>
          <w:rtl/>
        </w:rPr>
        <w:t>אי</w:t>
      </w:r>
      <w:r w:rsidRPr="00105E04">
        <w:rPr>
          <w:rFonts w:hint="cs"/>
          <w:sz w:val="18"/>
          <w:szCs w:val="18"/>
          <w:rtl/>
        </w:rPr>
        <w:t>נה רוצה בכך, הרי מוכרחת היא להשאיר זאת מפני הסכנה)</w:t>
      </w:r>
      <w:r>
        <w:rPr>
          <w:rStyle w:val="a5"/>
          <w:sz w:val="20"/>
          <w:szCs w:val="20"/>
          <w:rtl/>
        </w:rPr>
        <w:footnoteReference w:id="600"/>
      </w:r>
      <w:r>
        <w:rPr>
          <w:rFonts w:hint="cs"/>
          <w:sz w:val="20"/>
          <w:szCs w:val="20"/>
          <w:rtl/>
        </w:rPr>
        <w:t>.</w:t>
      </w:r>
      <w:r>
        <w:rPr>
          <w:sz w:val="20"/>
          <w:szCs w:val="20"/>
          <w:rtl/>
        </w:rPr>
        <w:br/>
      </w:r>
      <w:r>
        <w:rPr>
          <w:rFonts w:hint="cs"/>
          <w:sz w:val="20"/>
          <w:szCs w:val="20"/>
          <w:rtl/>
        </w:rPr>
        <w:lastRenderedPageBreak/>
        <w:t>ב. כיוון שזה יותר משערה אחת, כמבואר לעיל בסעיף ה' ששתי שערות מהודקות אינן חוצצות.</w:t>
      </w:r>
      <w:r>
        <w:rPr>
          <w:sz w:val="20"/>
          <w:szCs w:val="20"/>
          <w:rtl/>
        </w:rPr>
        <w:br/>
      </w:r>
      <w:r>
        <w:rPr>
          <w:rFonts w:hint="cs"/>
          <w:sz w:val="20"/>
          <w:szCs w:val="20"/>
          <w:rtl/>
        </w:rPr>
        <w:t xml:space="preserve">ג. כיוון שמהודק היטב הוי כבית הבליעה, והיינו שההידוק הוא באופן שנהיה כגוף אחד והשערות הן כבלוע וכבית הסתרים </w:t>
      </w:r>
      <w:r w:rsidRPr="000C38F6">
        <w:rPr>
          <w:rFonts w:hint="cs"/>
          <w:sz w:val="18"/>
          <w:szCs w:val="18"/>
          <w:rtl/>
        </w:rPr>
        <w:t xml:space="preserve">(ע"פ ביאור </w:t>
      </w:r>
      <w:r w:rsidRPr="0015160D">
        <w:rPr>
          <w:rFonts w:hint="cs"/>
          <w:b/>
          <w:bCs/>
          <w:sz w:val="18"/>
          <w:szCs w:val="18"/>
          <w:rtl/>
        </w:rPr>
        <w:t>ששבה"ל</w:t>
      </w:r>
      <w:r w:rsidRPr="000C38F6">
        <w:rPr>
          <w:rFonts w:hint="cs"/>
          <w:sz w:val="18"/>
          <w:szCs w:val="18"/>
          <w:rtl/>
        </w:rPr>
        <w:t>)</w:t>
      </w:r>
      <w:r>
        <w:rPr>
          <w:rFonts w:hint="cs"/>
          <w:sz w:val="20"/>
          <w:szCs w:val="20"/>
          <w:rtl/>
        </w:rPr>
        <w:t>.</w:t>
      </w:r>
      <w:r>
        <w:rPr>
          <w:rFonts w:hint="cs"/>
          <w:sz w:val="20"/>
          <w:szCs w:val="20"/>
          <w:rtl/>
        </w:rPr>
        <w:br/>
        <w:t xml:space="preserve">ד. כיוון שאינה יכולה לגלח מפני הסכנה הוי רביתא </w:t>
      </w:r>
      <w:r w:rsidRPr="0015160D">
        <w:rPr>
          <w:rFonts w:hint="cs"/>
          <w:sz w:val="18"/>
          <w:szCs w:val="18"/>
          <w:rtl/>
        </w:rPr>
        <w:t>(גידולה</w:t>
      </w:r>
      <w:r>
        <w:rPr>
          <w:rStyle w:val="a5"/>
          <w:sz w:val="18"/>
          <w:szCs w:val="18"/>
          <w:rtl/>
        </w:rPr>
        <w:footnoteReference w:id="601"/>
      </w:r>
      <w:r w:rsidRPr="0015160D">
        <w:rPr>
          <w:rFonts w:hint="cs"/>
          <w:sz w:val="18"/>
          <w:szCs w:val="18"/>
          <w:rtl/>
        </w:rPr>
        <w:t>)</w:t>
      </w:r>
      <w:r>
        <w:rPr>
          <w:rFonts w:hint="cs"/>
          <w:sz w:val="20"/>
          <w:szCs w:val="20"/>
          <w:rtl/>
        </w:rPr>
        <w:t xml:space="preserve">. וכפי שנאמר בטעם הדין של גיורת שטבלה בהיותה מעוברת שהעובר אינו צריך טבילה, ואמו אינה חוצצת משום שהיא 'רביתיה' </w:t>
      </w:r>
      <w:r>
        <w:rPr>
          <w:sz w:val="20"/>
          <w:szCs w:val="20"/>
          <w:rtl/>
        </w:rPr>
        <w:t>–</w:t>
      </w:r>
      <w:r>
        <w:rPr>
          <w:rFonts w:hint="cs"/>
          <w:sz w:val="20"/>
          <w:szCs w:val="20"/>
          <w:rtl/>
        </w:rPr>
        <w:t xml:space="preserve"> גידולו. </w:t>
      </w:r>
      <w:r>
        <w:rPr>
          <w:sz w:val="20"/>
          <w:szCs w:val="20"/>
          <w:rtl/>
        </w:rPr>
        <w:br/>
      </w:r>
      <w:r>
        <w:rPr>
          <w:rFonts w:hint="cs"/>
          <w:sz w:val="20"/>
          <w:szCs w:val="20"/>
          <w:rtl/>
        </w:rPr>
        <w:t>כלומר, כיוון שהעובר צריך את גוף האם כדי לחיות, היא אינה חציצה עבורו.</w:t>
      </w:r>
      <w:r>
        <w:rPr>
          <w:rStyle w:val="a5"/>
          <w:sz w:val="20"/>
          <w:szCs w:val="20"/>
          <w:rtl/>
        </w:rPr>
        <w:footnoteReference w:id="602"/>
      </w:r>
    </w:p>
    <w:p w:rsidR="00620060" w:rsidRDefault="00620060" w:rsidP="00620060">
      <w:pPr>
        <w:rPr>
          <w:sz w:val="20"/>
          <w:szCs w:val="20"/>
          <w:rtl/>
        </w:rPr>
      </w:pPr>
      <w:r>
        <w:rPr>
          <w:rFonts w:hint="cs"/>
          <w:sz w:val="20"/>
          <w:szCs w:val="20"/>
          <w:u w:val="single"/>
          <w:rtl/>
        </w:rPr>
        <w:t>נפקא מינה</w:t>
      </w:r>
      <w:r>
        <w:rPr>
          <w:sz w:val="20"/>
          <w:szCs w:val="20"/>
          <w:u w:val="single"/>
          <w:rtl/>
        </w:rPr>
        <w:br/>
      </w:r>
      <w:r>
        <w:rPr>
          <w:rFonts w:hint="cs"/>
          <w:sz w:val="20"/>
          <w:szCs w:val="20"/>
          <w:rtl/>
        </w:rPr>
        <w:t xml:space="preserve">נפקא מינה בין הטעמים </w:t>
      </w:r>
      <w:r>
        <w:rPr>
          <w:sz w:val="20"/>
          <w:szCs w:val="20"/>
          <w:rtl/>
        </w:rPr>
        <w:t>–</w:t>
      </w:r>
      <w:r>
        <w:rPr>
          <w:rFonts w:hint="cs"/>
          <w:sz w:val="20"/>
          <w:szCs w:val="20"/>
          <w:rtl/>
        </w:rPr>
        <w:t xml:space="preserve"> כאשר רוב השערות קלועות, לטעם הראשון הוי חציצה אע"פ שאינה מקפידה, כדין רובו שאינו מקפיד.</w:t>
      </w:r>
    </w:p>
    <w:p w:rsidR="00620060" w:rsidRDefault="00620060" w:rsidP="00620060">
      <w:pPr>
        <w:rPr>
          <w:sz w:val="20"/>
          <w:szCs w:val="20"/>
          <w:rtl/>
        </w:rPr>
      </w:pPr>
      <w:r w:rsidRPr="00CF3D3E">
        <w:rPr>
          <w:rFonts w:hint="cs"/>
          <w:sz w:val="20"/>
          <w:szCs w:val="20"/>
          <w:u w:val="single"/>
          <w:rtl/>
        </w:rPr>
        <w:t>בלילת השער לצורך רפואה</w:t>
      </w:r>
      <w:r>
        <w:rPr>
          <w:rFonts w:hint="cs"/>
          <w:sz w:val="20"/>
          <w:szCs w:val="20"/>
          <w:u w:val="single"/>
          <w:rtl/>
        </w:rPr>
        <w:t xml:space="preserve"> (פת"ש)</w:t>
      </w:r>
      <w:r>
        <w:rPr>
          <w:rFonts w:hint="cs"/>
          <w:sz w:val="20"/>
          <w:szCs w:val="20"/>
          <w:u w:val="single"/>
          <w:rtl/>
        </w:rPr>
        <w:br/>
      </w:r>
      <w:r w:rsidRPr="008265D4">
        <w:rPr>
          <w:rFonts w:hint="cs"/>
          <w:b/>
          <w:bCs/>
          <w:sz w:val="20"/>
          <w:szCs w:val="20"/>
          <w:rtl/>
        </w:rPr>
        <w:t>פנים מאירות</w:t>
      </w:r>
      <w:r>
        <w:rPr>
          <w:rFonts w:hint="cs"/>
          <w:sz w:val="20"/>
          <w:szCs w:val="20"/>
          <w:rtl/>
        </w:rPr>
        <w:t xml:space="preserve"> - בלילת השער ע"י סמים חוצצת, אלא אם כן זה במיעוט השער שאינה מקפידה ואז אינו חוצץ.</w:t>
      </w:r>
      <w:r>
        <w:rPr>
          <w:sz w:val="20"/>
          <w:szCs w:val="20"/>
          <w:rtl/>
        </w:rPr>
        <w:br/>
      </w:r>
      <w:r w:rsidRPr="00CC455C">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שני הטעמים הראשונים של המרדכי שייכים רק בבלילה הנעשית שלא ע"י דבר חיצוני, וגם לגבי שני הטעמים הנוספים יש לפקפק בנידון דידן. ולכן רק במיעוטו שאינה מקפידה יש להקל.</w:t>
      </w:r>
    </w:p>
    <w:p w:rsidR="00620060" w:rsidRDefault="00620060" w:rsidP="00620060">
      <w:pPr>
        <w:rPr>
          <w:sz w:val="20"/>
          <w:szCs w:val="20"/>
          <w:rtl/>
        </w:rPr>
      </w:pPr>
      <w:r>
        <w:rPr>
          <w:rFonts w:hint="cs"/>
          <w:sz w:val="20"/>
          <w:szCs w:val="20"/>
          <w:u w:val="single"/>
          <w:rtl/>
        </w:rPr>
        <w:t>בלילת השער על ידי שעווה (פת"ש)</w:t>
      </w:r>
      <w:r>
        <w:rPr>
          <w:rFonts w:hint="cs"/>
          <w:sz w:val="20"/>
          <w:szCs w:val="20"/>
          <w:u w:val="single"/>
          <w:rtl/>
        </w:rPr>
        <w:br/>
      </w:r>
      <w:r w:rsidRPr="00CC455C">
        <w:rPr>
          <w:rFonts w:hint="cs"/>
          <w:b/>
          <w:bCs/>
          <w:sz w:val="20"/>
          <w:szCs w:val="20"/>
          <w:rtl/>
        </w:rPr>
        <w:t>חתם סופר</w:t>
      </w:r>
      <w:r>
        <w:rPr>
          <w:rFonts w:hint="cs"/>
          <w:sz w:val="20"/>
          <w:szCs w:val="20"/>
          <w:rtl/>
        </w:rPr>
        <w:t xml:space="preserve"> </w:t>
      </w:r>
      <w:r>
        <w:rPr>
          <w:sz w:val="20"/>
          <w:szCs w:val="20"/>
          <w:rtl/>
        </w:rPr>
        <w:t>–</w:t>
      </w:r>
      <w:r>
        <w:rPr>
          <w:rFonts w:hint="cs"/>
          <w:sz w:val="20"/>
          <w:szCs w:val="20"/>
          <w:rtl/>
        </w:rPr>
        <w:t xml:space="preserve"> דיבוק השער ע"י שעווה חוצץ אפילו אם נעשה לצורך רפואי.</w:t>
      </w:r>
      <w:r>
        <w:rPr>
          <w:sz w:val="20"/>
          <w:szCs w:val="20"/>
          <w:rtl/>
        </w:rPr>
        <w:br/>
      </w:r>
      <w:r w:rsidRPr="00CC455C">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הדיון באחרונים לגבי בלילת שער לצורך רפואי נאמרה רק בבלילה הנעשית ע"י סמים שונים שאינם מהווים חציצה, והדיון היה האם השער חוצץ, אך בשעווה היא עצמה מהווה חציצה ואין לטבול כך.</w:t>
      </w:r>
      <w:r>
        <w:rPr>
          <w:rFonts w:hint="cs"/>
          <w:sz w:val="20"/>
          <w:szCs w:val="20"/>
          <w:rtl/>
        </w:rPr>
        <w:br/>
      </w:r>
      <w:r>
        <w:rPr>
          <w:sz w:val="20"/>
          <w:szCs w:val="20"/>
          <w:rtl/>
        </w:rPr>
        <w:br/>
      </w:r>
      <w:r w:rsidRPr="00890DED">
        <w:rPr>
          <w:rFonts w:hint="cs"/>
          <w:b/>
          <w:bCs/>
          <w:sz w:val="20"/>
          <w:szCs w:val="20"/>
          <w:rtl/>
        </w:rPr>
        <w:t>סיכום</w:t>
      </w:r>
      <w:r>
        <w:rPr>
          <w:sz w:val="20"/>
          <w:szCs w:val="20"/>
          <w:rtl/>
        </w:rPr>
        <w:br/>
      </w:r>
      <w:r>
        <w:rPr>
          <w:rFonts w:hint="cs"/>
          <w:sz w:val="20"/>
          <w:szCs w:val="20"/>
          <w:rtl/>
        </w:rPr>
        <w:t xml:space="preserve">1. </w:t>
      </w:r>
      <w:r w:rsidRPr="00890DED">
        <w:rPr>
          <w:rFonts w:hint="cs"/>
          <w:b/>
          <w:bCs/>
          <w:sz w:val="20"/>
          <w:szCs w:val="20"/>
          <w:rtl/>
        </w:rPr>
        <w:t>משנה</w:t>
      </w:r>
      <w:r>
        <w:rPr>
          <w:rFonts w:hint="cs"/>
          <w:sz w:val="20"/>
          <w:szCs w:val="20"/>
          <w:rtl/>
        </w:rPr>
        <w:t xml:space="preserve">. דין חציצה בשער דבוק. כנגד הלב והזקן, וכן בבית הסתרים של אשה חוצץ. בראש ובבית השחי אינו חוצץ. והחילוק תלוי בין מקום שמקפיד למקום שאינו מקפיד. </w:t>
      </w:r>
      <w:r w:rsidRPr="00890DED">
        <w:rPr>
          <w:rFonts w:hint="cs"/>
          <w:b/>
          <w:bCs/>
          <w:sz w:val="20"/>
          <w:szCs w:val="20"/>
          <w:rtl/>
        </w:rPr>
        <w:t>תוספתא</w:t>
      </w:r>
      <w:r>
        <w:rPr>
          <w:rFonts w:hint="cs"/>
          <w:sz w:val="20"/>
          <w:szCs w:val="20"/>
          <w:rtl/>
        </w:rPr>
        <w:t xml:space="preserve">. בית הסתרים באשה חוצץ רק בנשואה, בפנויה אינו חוצץ. </w:t>
      </w:r>
      <w:r w:rsidRPr="00C126EF">
        <w:rPr>
          <w:rFonts w:hint="cs"/>
          <w:b/>
          <w:bCs/>
          <w:sz w:val="20"/>
          <w:szCs w:val="20"/>
          <w:rtl/>
        </w:rPr>
        <w:t>טעם</w:t>
      </w:r>
      <w:r>
        <w:rPr>
          <w:rFonts w:hint="cs"/>
          <w:sz w:val="20"/>
          <w:szCs w:val="20"/>
          <w:rtl/>
        </w:rPr>
        <w:t>. בנשואה בעלה מקפיד.</w:t>
      </w:r>
      <w:r>
        <w:rPr>
          <w:sz w:val="20"/>
          <w:szCs w:val="20"/>
          <w:rtl/>
        </w:rPr>
        <w:br/>
      </w:r>
      <w:r>
        <w:rPr>
          <w:rFonts w:hint="cs"/>
          <w:sz w:val="20"/>
          <w:szCs w:val="20"/>
          <w:rtl/>
        </w:rPr>
        <w:t xml:space="preserve">2. </w:t>
      </w:r>
      <w:r w:rsidRPr="00890DED">
        <w:rPr>
          <w:rFonts w:hint="cs"/>
          <w:b/>
          <w:bCs/>
          <w:sz w:val="20"/>
          <w:szCs w:val="20"/>
          <w:rtl/>
        </w:rPr>
        <w:t>מחבר</w:t>
      </w:r>
      <w:r>
        <w:rPr>
          <w:rFonts w:hint="cs"/>
          <w:sz w:val="20"/>
          <w:szCs w:val="20"/>
          <w:rtl/>
        </w:rPr>
        <w:t xml:space="preserve">. דין שיער דבוק. כנגד הלב, הזקן ושבאותו מקום באשה חוצץ. בראש ובבית השחי ובאותו מקום בפנויה אינו חוצץ. </w:t>
      </w:r>
      <w:r w:rsidRPr="00BD28C7">
        <w:rPr>
          <w:rFonts w:hint="cs"/>
          <w:sz w:val="18"/>
          <w:szCs w:val="18"/>
          <w:rtl/>
        </w:rPr>
        <w:t>[</w:t>
      </w:r>
      <w:r w:rsidRPr="00BD28C7">
        <w:rPr>
          <w:rFonts w:hint="cs"/>
          <w:b/>
          <w:bCs/>
          <w:sz w:val="18"/>
          <w:szCs w:val="18"/>
          <w:rtl/>
        </w:rPr>
        <w:t>ב"ח</w:t>
      </w:r>
      <w:r w:rsidRPr="00BD28C7">
        <w:rPr>
          <w:rFonts w:hint="cs"/>
          <w:sz w:val="18"/>
          <w:szCs w:val="18"/>
          <w:rtl/>
        </w:rPr>
        <w:t>. שער דבוק באותו מקום חוצץ אפילו כשבעלה אינו מקפיד, רק בפנויה אינו חוצץ].</w:t>
      </w:r>
      <w:r>
        <w:rPr>
          <w:rFonts w:hint="cs"/>
          <w:sz w:val="20"/>
          <w:szCs w:val="20"/>
          <w:rtl/>
        </w:rPr>
        <w:br/>
        <w:t xml:space="preserve">3. </w:t>
      </w:r>
      <w:r w:rsidRPr="00890DED">
        <w:rPr>
          <w:rFonts w:hint="cs"/>
          <w:b/>
          <w:bCs/>
          <w:sz w:val="20"/>
          <w:szCs w:val="20"/>
          <w:rtl/>
        </w:rPr>
        <w:t>רמ"א</w:t>
      </w:r>
      <w:r>
        <w:rPr>
          <w:rFonts w:hint="cs"/>
          <w:sz w:val="20"/>
          <w:szCs w:val="20"/>
          <w:rtl/>
        </w:rPr>
        <w:t>. קליעת שער הנעשית ע"י שד וסכנה להסיר, אינו חוצץ.</w:t>
      </w:r>
      <w:r>
        <w:rPr>
          <w:sz w:val="20"/>
          <w:szCs w:val="20"/>
          <w:rtl/>
        </w:rPr>
        <w:br/>
      </w:r>
      <w:r>
        <w:rPr>
          <w:rFonts w:hint="cs"/>
          <w:sz w:val="20"/>
          <w:szCs w:val="20"/>
          <w:rtl/>
        </w:rPr>
        <w:t xml:space="preserve">4. </w:t>
      </w:r>
      <w:r w:rsidRPr="00890DED">
        <w:rPr>
          <w:rFonts w:hint="cs"/>
          <w:b/>
          <w:bCs/>
          <w:sz w:val="20"/>
          <w:szCs w:val="20"/>
          <w:rtl/>
        </w:rPr>
        <w:t>טעמי הדין</w:t>
      </w:r>
      <w:r>
        <w:rPr>
          <w:rFonts w:hint="cs"/>
          <w:sz w:val="20"/>
          <w:szCs w:val="20"/>
          <w:rtl/>
        </w:rPr>
        <w:t>. א. אינה מקפידה. ב. שתי שערות או יותר מהודקות יחד אינן חוצצות. ג ע"י ההידוק הוי כבלוע. ד. הוי רביתיה, כמו עובר שטבל בבטן אמו ועלתה לו טבילה מהאי טעמא.</w:t>
      </w:r>
      <w:r>
        <w:rPr>
          <w:rFonts w:hint="cs"/>
          <w:sz w:val="20"/>
          <w:szCs w:val="20"/>
          <w:rtl/>
        </w:rPr>
        <w:br/>
        <w:t xml:space="preserve">5. </w:t>
      </w:r>
      <w:r w:rsidRPr="00CC455C">
        <w:rPr>
          <w:rFonts w:hint="cs"/>
          <w:b/>
          <w:bCs/>
          <w:sz w:val="20"/>
          <w:szCs w:val="20"/>
          <w:rtl/>
        </w:rPr>
        <w:t>פת"ש</w:t>
      </w:r>
      <w:r>
        <w:rPr>
          <w:rFonts w:hint="cs"/>
          <w:sz w:val="20"/>
          <w:szCs w:val="20"/>
          <w:rtl/>
        </w:rPr>
        <w:t>. בלילת השער ע"י סמים חוצצת אלא אם כן זה במיעוטו שאינה מקפידה.</w:t>
      </w:r>
      <w:r>
        <w:rPr>
          <w:rFonts w:hint="cs"/>
          <w:sz w:val="20"/>
          <w:szCs w:val="20"/>
          <w:rtl/>
        </w:rPr>
        <w:br/>
        <w:t xml:space="preserve">6. </w:t>
      </w:r>
      <w:r w:rsidRPr="00CC455C">
        <w:rPr>
          <w:rFonts w:hint="cs"/>
          <w:b/>
          <w:bCs/>
          <w:sz w:val="20"/>
          <w:szCs w:val="20"/>
          <w:rtl/>
        </w:rPr>
        <w:t>חת"ס</w:t>
      </w:r>
      <w:r>
        <w:rPr>
          <w:rFonts w:hint="cs"/>
          <w:sz w:val="20"/>
          <w:szCs w:val="20"/>
          <w:rtl/>
        </w:rPr>
        <w:t>. בלילת השער ע"י שעווה חוצצת מחמת השעווה.</w:t>
      </w:r>
    </w:p>
    <w:p w:rsidR="00620060" w:rsidRPr="00EB1BE4" w:rsidRDefault="00620060" w:rsidP="00620060">
      <w:pPr>
        <w:rPr>
          <w:sz w:val="20"/>
          <w:szCs w:val="20"/>
          <w:rtl/>
        </w:rPr>
      </w:pPr>
      <w:r>
        <w:rPr>
          <w:rFonts w:hint="cs"/>
          <w:b/>
          <w:bCs/>
          <w:sz w:val="20"/>
          <w:szCs w:val="20"/>
          <w:rtl/>
        </w:rPr>
        <w:t>הוספה</w:t>
      </w:r>
      <w:r>
        <w:rPr>
          <w:b/>
          <w:bCs/>
          <w:sz w:val="20"/>
          <w:szCs w:val="20"/>
          <w:rtl/>
        </w:rPr>
        <w:br/>
      </w:r>
      <w:r>
        <w:rPr>
          <w:rFonts w:hint="cs"/>
          <w:sz w:val="20"/>
          <w:szCs w:val="20"/>
          <w:u w:val="single"/>
          <w:rtl/>
        </w:rPr>
        <w:t xml:space="preserve">אשה ששכחה להסיר שער אותו מקום או במקום אחר בגופה (טה"ב עמ' כ </w:t>
      </w:r>
      <w:r>
        <w:rPr>
          <w:sz w:val="20"/>
          <w:szCs w:val="20"/>
          <w:u w:val="single"/>
          <w:rtl/>
        </w:rPr>
        <w:t>–</w:t>
      </w:r>
      <w:r>
        <w:rPr>
          <w:rFonts w:hint="cs"/>
          <w:sz w:val="20"/>
          <w:szCs w:val="20"/>
          <w:u w:val="single"/>
          <w:rtl/>
        </w:rPr>
        <w:t xml:space="preserve"> כד)</w:t>
      </w:r>
      <w:r>
        <w:rPr>
          <w:rFonts w:hint="cs"/>
          <w:sz w:val="20"/>
          <w:szCs w:val="20"/>
          <w:u w:val="single"/>
          <w:rtl/>
        </w:rPr>
        <w:br/>
      </w:r>
      <w:r>
        <w:rPr>
          <w:rFonts w:hint="cs"/>
          <w:sz w:val="20"/>
          <w:szCs w:val="20"/>
          <w:rtl/>
        </w:rPr>
        <w:t>אשה שרגילה להסיר שער הערווה ושכחה ולא הסירתו, האם עלתה לה טבילה?</w:t>
      </w:r>
      <w:r>
        <w:rPr>
          <w:sz w:val="20"/>
          <w:szCs w:val="20"/>
          <w:rtl/>
        </w:rPr>
        <w:br/>
      </w:r>
      <w:r>
        <w:rPr>
          <w:rFonts w:hint="cs"/>
          <w:sz w:val="20"/>
          <w:szCs w:val="20"/>
          <w:rtl/>
        </w:rPr>
        <w:t xml:space="preserve">א. </w:t>
      </w:r>
      <w:r w:rsidRPr="000F7D6B">
        <w:rPr>
          <w:rFonts w:hint="cs"/>
          <w:b/>
          <w:bCs/>
          <w:sz w:val="20"/>
          <w:szCs w:val="20"/>
          <w:rtl/>
        </w:rPr>
        <w:t>שו"ת אדמת הקודש</w:t>
      </w:r>
      <w:r>
        <w:rPr>
          <w:rFonts w:hint="cs"/>
          <w:sz w:val="20"/>
          <w:szCs w:val="20"/>
          <w:rtl/>
        </w:rPr>
        <w:t xml:space="preserve"> </w:t>
      </w:r>
      <w:r>
        <w:rPr>
          <w:sz w:val="20"/>
          <w:szCs w:val="20"/>
          <w:rtl/>
        </w:rPr>
        <w:t>–</w:t>
      </w:r>
      <w:r>
        <w:rPr>
          <w:rFonts w:hint="cs"/>
          <w:sz w:val="20"/>
          <w:szCs w:val="20"/>
          <w:rtl/>
        </w:rPr>
        <w:t xml:space="preserve"> לאשה ספרדיי</w:t>
      </w:r>
      <w:r>
        <w:rPr>
          <w:rFonts w:hint="eastAsia"/>
          <w:sz w:val="20"/>
          <w:szCs w:val="20"/>
          <w:rtl/>
        </w:rPr>
        <w:t>ה</w:t>
      </w:r>
      <w:r>
        <w:rPr>
          <w:rFonts w:hint="cs"/>
          <w:sz w:val="20"/>
          <w:szCs w:val="20"/>
          <w:rtl/>
        </w:rPr>
        <w:t xml:space="preserve"> לא עלתה טבילה</w:t>
      </w:r>
      <w:r>
        <w:rPr>
          <w:rStyle w:val="a5"/>
          <w:sz w:val="20"/>
          <w:szCs w:val="20"/>
          <w:rtl/>
        </w:rPr>
        <w:footnoteReference w:id="603"/>
      </w:r>
      <w:r>
        <w:rPr>
          <w:rFonts w:hint="cs"/>
          <w:sz w:val="20"/>
          <w:szCs w:val="20"/>
          <w:rtl/>
        </w:rPr>
        <w:t>.</w:t>
      </w:r>
      <w:r>
        <w:rPr>
          <w:sz w:val="20"/>
          <w:szCs w:val="20"/>
          <w:rtl/>
        </w:rPr>
        <w:br/>
      </w:r>
      <w:r w:rsidRPr="000F7D6B">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רוב הנשים הספרדיות מקפידות על שער זה, ולכן אפילו אם היא אינה מקפידה לא עלתה לה טבילה.</w:t>
      </w:r>
      <w:r>
        <w:rPr>
          <w:sz w:val="20"/>
          <w:szCs w:val="20"/>
          <w:rtl/>
        </w:rPr>
        <w:br/>
      </w:r>
      <w:r>
        <w:rPr>
          <w:rFonts w:hint="cs"/>
          <w:sz w:val="20"/>
          <w:szCs w:val="20"/>
          <w:rtl/>
        </w:rPr>
        <w:t xml:space="preserve">ב. </w:t>
      </w:r>
      <w:r w:rsidRPr="00D641B5">
        <w:rPr>
          <w:rFonts w:hint="cs"/>
          <w:b/>
          <w:bCs/>
          <w:sz w:val="20"/>
          <w:szCs w:val="20"/>
          <w:rtl/>
        </w:rPr>
        <w:t>שו"ת שדה הארץ</w:t>
      </w:r>
      <w:r>
        <w:rPr>
          <w:rFonts w:hint="cs"/>
          <w:sz w:val="20"/>
          <w:szCs w:val="20"/>
          <w:rtl/>
        </w:rPr>
        <w:t xml:space="preserve"> </w:t>
      </w:r>
      <w:r>
        <w:rPr>
          <w:sz w:val="20"/>
          <w:szCs w:val="20"/>
          <w:rtl/>
        </w:rPr>
        <w:t>–</w:t>
      </w:r>
      <w:r>
        <w:rPr>
          <w:rFonts w:hint="cs"/>
          <w:sz w:val="20"/>
          <w:szCs w:val="20"/>
          <w:rtl/>
        </w:rPr>
        <w:t xml:space="preserve"> אם לנה עם בעלה עלתה לה טבילה, אך לכתחילה מורים לה לחזור ולטבול.</w:t>
      </w:r>
      <w:r>
        <w:rPr>
          <w:sz w:val="20"/>
          <w:szCs w:val="20"/>
          <w:rtl/>
        </w:rPr>
        <w:br/>
      </w:r>
      <w:r w:rsidRPr="00D641B5">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דין זה דומה לדין ציפורן ששכחה ליטול, שפסק הרמ"א לטבול שנית. ואעפ"כ כתב הט"ז שאם לנה עם בעלה לא תטבול שנית, ודין זה להא דמיא.</w:t>
      </w:r>
      <w:r>
        <w:rPr>
          <w:sz w:val="20"/>
          <w:szCs w:val="20"/>
          <w:rtl/>
        </w:rPr>
        <w:br/>
      </w:r>
      <w:r>
        <w:rPr>
          <w:rFonts w:hint="cs"/>
          <w:sz w:val="20"/>
          <w:szCs w:val="20"/>
          <w:rtl/>
        </w:rPr>
        <w:t xml:space="preserve">ג. </w:t>
      </w:r>
      <w:r w:rsidRPr="00D641B5">
        <w:rPr>
          <w:rFonts w:hint="cs"/>
          <w:b/>
          <w:bCs/>
          <w:sz w:val="20"/>
          <w:szCs w:val="20"/>
          <w:rtl/>
        </w:rPr>
        <w:t>חיד"א</w:t>
      </w:r>
      <w:r>
        <w:rPr>
          <w:rFonts w:hint="cs"/>
          <w:sz w:val="20"/>
          <w:szCs w:val="20"/>
          <w:rtl/>
        </w:rPr>
        <w:t xml:space="preserve"> </w:t>
      </w:r>
      <w:r>
        <w:rPr>
          <w:sz w:val="20"/>
          <w:szCs w:val="20"/>
          <w:rtl/>
        </w:rPr>
        <w:t>–</w:t>
      </w:r>
      <w:r>
        <w:rPr>
          <w:rFonts w:hint="cs"/>
          <w:sz w:val="20"/>
          <w:szCs w:val="20"/>
          <w:rtl/>
        </w:rPr>
        <w:t xml:space="preserve"> עלתה לה טבילה.</w:t>
      </w:r>
      <w:r>
        <w:rPr>
          <w:sz w:val="20"/>
          <w:szCs w:val="20"/>
          <w:rtl/>
        </w:rPr>
        <w:br/>
      </w:r>
      <w:r w:rsidRPr="00D641B5">
        <w:rPr>
          <w:rFonts w:hint="cs"/>
          <w:b/>
          <w:bCs/>
          <w:sz w:val="20"/>
          <w:szCs w:val="20"/>
          <w:rtl/>
        </w:rPr>
        <w:t xml:space="preserve">טעם </w:t>
      </w:r>
      <w:r>
        <w:rPr>
          <w:sz w:val="20"/>
          <w:szCs w:val="20"/>
          <w:rtl/>
        </w:rPr>
        <w:t>–</w:t>
      </w:r>
      <w:r>
        <w:rPr>
          <w:rFonts w:hint="cs"/>
          <w:sz w:val="20"/>
          <w:szCs w:val="20"/>
          <w:rtl/>
        </w:rPr>
        <w:t xml:space="preserve"> הקפדתה אינה הקפדה, שהרי עד עתה לא הקפידה ורק לפני הטבילה הקפידה.</w:t>
      </w:r>
      <w:r>
        <w:rPr>
          <w:sz w:val="20"/>
          <w:szCs w:val="20"/>
          <w:rtl/>
        </w:rPr>
        <w:br/>
      </w:r>
      <w:r>
        <w:rPr>
          <w:rFonts w:hint="cs"/>
          <w:sz w:val="20"/>
          <w:szCs w:val="20"/>
          <w:rtl/>
        </w:rPr>
        <w:lastRenderedPageBreak/>
        <w:t xml:space="preserve">ומבאר </w:t>
      </w:r>
      <w:r w:rsidRPr="00D641B5">
        <w:rPr>
          <w:rFonts w:hint="cs"/>
          <w:b/>
          <w:bCs/>
          <w:sz w:val="20"/>
          <w:szCs w:val="20"/>
          <w:rtl/>
        </w:rPr>
        <w:t>טה"ב</w:t>
      </w:r>
      <w:r>
        <w:rPr>
          <w:rFonts w:hint="cs"/>
          <w:sz w:val="20"/>
          <w:szCs w:val="20"/>
          <w:rtl/>
        </w:rPr>
        <w:t xml:space="preserve"> </w:t>
      </w:r>
      <w:r>
        <w:rPr>
          <w:sz w:val="20"/>
          <w:szCs w:val="20"/>
          <w:rtl/>
        </w:rPr>
        <w:t>–</w:t>
      </w:r>
      <w:r>
        <w:rPr>
          <w:rFonts w:hint="cs"/>
          <w:sz w:val="20"/>
          <w:szCs w:val="20"/>
          <w:rtl/>
        </w:rPr>
        <w:t xml:space="preserve"> אע"פ שלעתים מקפידה, כיוון שזו קפידה לעיתים רחוקות אינה קפידה.</w:t>
      </w:r>
      <w:r>
        <w:rPr>
          <w:rStyle w:val="a5"/>
          <w:sz w:val="20"/>
          <w:szCs w:val="20"/>
          <w:rtl/>
        </w:rPr>
        <w:footnoteReference w:id="604"/>
      </w:r>
      <w:r>
        <w:rPr>
          <w:sz w:val="20"/>
          <w:szCs w:val="20"/>
          <w:rtl/>
        </w:rPr>
        <w:br/>
      </w:r>
      <w:r>
        <w:rPr>
          <w:rFonts w:hint="cs"/>
          <w:sz w:val="20"/>
          <w:szCs w:val="20"/>
          <w:rtl/>
        </w:rPr>
        <w:t xml:space="preserve">וכן פסק </w:t>
      </w:r>
      <w:r w:rsidRPr="00D641B5">
        <w:rPr>
          <w:rFonts w:hint="cs"/>
          <w:b/>
          <w:bCs/>
          <w:sz w:val="20"/>
          <w:szCs w:val="20"/>
          <w:rtl/>
        </w:rPr>
        <w:t>בשו"ת תפארת אדם</w:t>
      </w:r>
      <w:r>
        <w:rPr>
          <w:rFonts w:hint="cs"/>
          <w:sz w:val="20"/>
          <w:szCs w:val="20"/>
          <w:rtl/>
        </w:rPr>
        <w:t xml:space="preserve"> שאינה צריכה לטבול שנית. טעמו, שאין לדמות כלל לדין מיעוטו ומקפיד, כיוון שמיעוטו ומקפיד נאמר רק על דבר שאינו גופו אך דבר שהוא גופו אפילו מיעוטו ומקפיד אינו כלום.</w:t>
      </w:r>
      <w:r>
        <w:rPr>
          <w:sz w:val="20"/>
          <w:szCs w:val="20"/>
          <w:rtl/>
        </w:rPr>
        <w:br/>
      </w:r>
      <w:r>
        <w:rPr>
          <w:rFonts w:hint="cs"/>
          <w:sz w:val="20"/>
          <w:szCs w:val="20"/>
          <w:rtl/>
        </w:rPr>
        <w:t xml:space="preserve">וכן כתב </w:t>
      </w:r>
      <w:r w:rsidRPr="00D641B5">
        <w:rPr>
          <w:rFonts w:hint="cs"/>
          <w:b/>
          <w:bCs/>
          <w:sz w:val="20"/>
          <w:szCs w:val="20"/>
          <w:rtl/>
        </w:rPr>
        <w:t>טה"ב</w:t>
      </w:r>
      <w:r>
        <w:rPr>
          <w:rFonts w:hint="cs"/>
          <w:sz w:val="20"/>
          <w:szCs w:val="20"/>
          <w:rtl/>
        </w:rPr>
        <w:t xml:space="preserve"> להקל בשאר שערות שבגוף ששכחה להסירן, וטעמו משום דעיילו בהו מיא שפיר</w:t>
      </w:r>
      <w:r>
        <w:rPr>
          <w:rStyle w:val="a5"/>
          <w:sz w:val="20"/>
          <w:szCs w:val="20"/>
          <w:rtl/>
        </w:rPr>
        <w:footnoteReference w:id="605"/>
      </w:r>
      <w:r>
        <w:rPr>
          <w:rFonts w:hint="cs"/>
          <w:sz w:val="20"/>
          <w:szCs w:val="20"/>
          <w:rtl/>
        </w:rPr>
        <w:t>.</w:t>
      </w:r>
    </w:p>
    <w:p w:rsidR="00620060" w:rsidRDefault="00620060" w:rsidP="00620060">
      <w:pPr>
        <w:rPr>
          <w:sz w:val="20"/>
          <w:szCs w:val="20"/>
          <w:rtl/>
        </w:rPr>
      </w:pPr>
      <w:r>
        <w:rPr>
          <w:b/>
          <w:bCs/>
          <w:sz w:val="20"/>
          <w:szCs w:val="20"/>
          <w:rtl/>
        </w:rPr>
        <w:br/>
      </w:r>
      <w:r>
        <w:rPr>
          <w:rFonts w:hint="cs"/>
          <w:b/>
          <w:bCs/>
          <w:sz w:val="20"/>
          <w:szCs w:val="20"/>
          <w:rtl/>
        </w:rPr>
        <w:t>הקדמה לדיני חציצה שבסעיפים הבאים</w:t>
      </w:r>
      <w:r>
        <w:rPr>
          <w:rFonts w:hint="cs"/>
          <w:b/>
          <w:bCs/>
          <w:sz w:val="20"/>
          <w:szCs w:val="20"/>
          <w:rtl/>
        </w:rPr>
        <w:br/>
        <w:t xml:space="preserve">גמרא </w:t>
      </w:r>
      <w:r>
        <w:rPr>
          <w:rFonts w:hint="cs"/>
          <w:sz w:val="20"/>
          <w:szCs w:val="20"/>
          <w:rtl/>
        </w:rPr>
        <w:t>נידה (סו: - סז.) "</w:t>
      </w:r>
      <w:r>
        <w:rPr>
          <w:rFonts w:hint="cs"/>
          <w:vertAlign w:val="superscript"/>
          <w:rtl/>
        </w:rPr>
        <w:t>1</w:t>
      </w:r>
      <w:r w:rsidRPr="00376FDD">
        <w:rPr>
          <w:rFonts w:cs="Arial"/>
          <w:sz w:val="20"/>
          <w:szCs w:val="20"/>
          <w:rtl/>
        </w:rPr>
        <w:t>אמר רבא: אשה לא תעמוד על גבי כלי חרס ותטבול</w:t>
      </w:r>
      <w:r>
        <w:rPr>
          <w:rFonts w:cs="Arial" w:hint="cs"/>
          <w:sz w:val="20"/>
          <w:szCs w:val="20"/>
          <w:rtl/>
        </w:rPr>
        <w:t xml:space="preserve"> </w:t>
      </w:r>
      <w:r w:rsidRPr="00C708D3">
        <w:rPr>
          <w:rFonts w:cs="Arial" w:hint="cs"/>
          <w:sz w:val="18"/>
          <w:szCs w:val="18"/>
          <w:rtl/>
        </w:rPr>
        <w:t>(סעיף לא)</w:t>
      </w:r>
      <w:r w:rsidRPr="00376FDD">
        <w:rPr>
          <w:rFonts w:cs="Arial"/>
          <w:sz w:val="20"/>
          <w:szCs w:val="20"/>
          <w:rtl/>
        </w:rPr>
        <w:t xml:space="preserve">. </w:t>
      </w:r>
      <w:r>
        <w:rPr>
          <w:rFonts w:cs="Arial" w:hint="cs"/>
          <w:sz w:val="20"/>
          <w:szCs w:val="20"/>
          <w:rtl/>
        </w:rPr>
        <w:br/>
      </w:r>
      <w:r w:rsidRPr="00376FDD">
        <w:rPr>
          <w:rFonts w:cs="Arial" w:hint="cs"/>
          <w:sz w:val="20"/>
          <w:szCs w:val="20"/>
          <w:vertAlign w:val="superscript"/>
          <w:rtl/>
        </w:rPr>
        <w:t>2</w:t>
      </w:r>
      <w:r w:rsidRPr="00376FDD">
        <w:rPr>
          <w:rFonts w:cs="Arial"/>
          <w:sz w:val="20"/>
          <w:szCs w:val="20"/>
          <w:rtl/>
        </w:rPr>
        <w:t>אמר רב שמואל בר רב יצחק: אשה לא תטבול</w:t>
      </w:r>
      <w:r w:rsidRPr="00376FDD">
        <w:rPr>
          <w:rtl/>
        </w:rPr>
        <w:t xml:space="preserve"> </w:t>
      </w:r>
      <w:r>
        <w:rPr>
          <w:rFonts w:cs="Arial"/>
          <w:sz w:val="20"/>
          <w:szCs w:val="20"/>
          <w:rtl/>
        </w:rPr>
        <w:t>בנמל</w:t>
      </w:r>
      <w:r>
        <w:rPr>
          <w:rFonts w:cs="Arial" w:hint="cs"/>
          <w:sz w:val="20"/>
          <w:szCs w:val="20"/>
          <w:rtl/>
        </w:rPr>
        <w:t xml:space="preserve">... </w:t>
      </w:r>
      <w:r w:rsidRPr="00376FDD">
        <w:rPr>
          <w:rFonts w:cs="Arial"/>
          <w:sz w:val="20"/>
          <w:szCs w:val="20"/>
          <w:rtl/>
        </w:rPr>
        <w:t>אבוה דשמואל עבד לבנתיה מקוואות ביומי ניסן, ומפצי ביומי תשרי</w:t>
      </w:r>
      <w:r>
        <w:rPr>
          <w:rFonts w:cs="Arial" w:hint="cs"/>
          <w:sz w:val="20"/>
          <w:szCs w:val="20"/>
          <w:rtl/>
        </w:rPr>
        <w:t xml:space="preserve"> </w:t>
      </w:r>
      <w:r w:rsidRPr="00C708D3">
        <w:rPr>
          <w:rFonts w:cs="Arial" w:hint="cs"/>
          <w:sz w:val="18"/>
          <w:szCs w:val="18"/>
          <w:rtl/>
        </w:rPr>
        <w:t xml:space="preserve">(סעיפים לג </w:t>
      </w:r>
      <w:r w:rsidRPr="00C708D3">
        <w:rPr>
          <w:rFonts w:cs="Arial"/>
          <w:sz w:val="18"/>
          <w:szCs w:val="18"/>
          <w:rtl/>
        </w:rPr>
        <w:t>–</w:t>
      </w:r>
      <w:r w:rsidRPr="00C708D3">
        <w:rPr>
          <w:rFonts w:cs="Arial" w:hint="cs"/>
          <w:sz w:val="18"/>
          <w:szCs w:val="18"/>
          <w:rtl/>
        </w:rPr>
        <w:t xml:space="preserve"> לד)</w:t>
      </w:r>
      <w:r w:rsidRPr="00376FDD">
        <w:rPr>
          <w:rFonts w:cs="Arial"/>
          <w:sz w:val="20"/>
          <w:szCs w:val="20"/>
          <w:rtl/>
        </w:rPr>
        <w:t xml:space="preserve">. </w:t>
      </w:r>
      <w:r>
        <w:rPr>
          <w:rFonts w:cs="Arial" w:hint="cs"/>
          <w:sz w:val="20"/>
          <w:szCs w:val="20"/>
          <w:rtl/>
        </w:rPr>
        <w:br/>
      </w:r>
      <w:r>
        <w:rPr>
          <w:rFonts w:cs="Arial" w:hint="cs"/>
          <w:sz w:val="20"/>
          <w:szCs w:val="20"/>
          <w:vertAlign w:val="superscript"/>
          <w:rtl/>
        </w:rPr>
        <w:t>3</w:t>
      </w:r>
      <w:r w:rsidRPr="00376FDD">
        <w:rPr>
          <w:rFonts w:cs="Arial"/>
          <w:sz w:val="20"/>
          <w:szCs w:val="20"/>
          <w:rtl/>
        </w:rPr>
        <w:t>אמר רב גידל אמר רב: נתנה תבשיל לבנה וטבלה ועלתה - לא עלתה לה טבילה</w:t>
      </w:r>
      <w:r>
        <w:rPr>
          <w:rFonts w:cs="Arial" w:hint="cs"/>
          <w:sz w:val="20"/>
          <w:szCs w:val="20"/>
          <w:rtl/>
        </w:rPr>
        <w:t xml:space="preserve"> </w:t>
      </w:r>
      <w:r w:rsidRPr="00C708D3">
        <w:rPr>
          <w:rFonts w:cs="Arial" w:hint="cs"/>
          <w:sz w:val="18"/>
          <w:szCs w:val="18"/>
          <w:rtl/>
        </w:rPr>
        <w:t>(סימן קצט', סעיף יג)</w:t>
      </w:r>
      <w:r>
        <w:rPr>
          <w:rFonts w:cs="Arial" w:hint="cs"/>
          <w:sz w:val="20"/>
          <w:szCs w:val="20"/>
          <w:rtl/>
        </w:rPr>
        <w:t>.</w:t>
      </w:r>
      <w:r>
        <w:rPr>
          <w:rFonts w:cs="Arial"/>
          <w:sz w:val="20"/>
          <w:szCs w:val="20"/>
          <w:rtl/>
        </w:rPr>
        <w:br/>
      </w:r>
      <w:r>
        <w:rPr>
          <w:rFonts w:cs="Arial" w:hint="cs"/>
          <w:sz w:val="20"/>
          <w:szCs w:val="20"/>
          <w:vertAlign w:val="superscript"/>
          <w:rtl/>
        </w:rPr>
        <w:t xml:space="preserve"> 4</w:t>
      </w:r>
      <w:r w:rsidRPr="00376FDD">
        <w:rPr>
          <w:rFonts w:cs="Arial"/>
          <w:sz w:val="20"/>
          <w:szCs w:val="20"/>
          <w:rtl/>
        </w:rPr>
        <w:t xml:space="preserve">אמר רמי בר אבא: הני רבדי דכוסילתא, עד תלתא יומי - לא חייצי, מכאן ואילך </w:t>
      </w:r>
      <w:r>
        <w:rPr>
          <w:rFonts w:cs="Arial"/>
          <w:sz w:val="20"/>
          <w:szCs w:val="20"/>
          <w:rtl/>
        </w:rPr>
        <w:t>–</w:t>
      </w:r>
      <w:r w:rsidRPr="00376FDD">
        <w:rPr>
          <w:rFonts w:cs="Arial"/>
          <w:sz w:val="20"/>
          <w:szCs w:val="20"/>
          <w:rtl/>
        </w:rPr>
        <w:t xml:space="preserve"> חייצי</w:t>
      </w:r>
      <w:r>
        <w:rPr>
          <w:rFonts w:cs="Arial" w:hint="cs"/>
          <w:sz w:val="20"/>
          <w:szCs w:val="20"/>
          <w:rtl/>
        </w:rPr>
        <w:t xml:space="preserve"> </w:t>
      </w:r>
      <w:r w:rsidRPr="00C708D3">
        <w:rPr>
          <w:rFonts w:cs="Arial" w:hint="cs"/>
          <w:sz w:val="18"/>
          <w:szCs w:val="18"/>
          <w:rtl/>
        </w:rPr>
        <w:t>(סעיף ט)</w:t>
      </w:r>
      <w:r w:rsidRPr="00376FDD">
        <w:rPr>
          <w:rFonts w:cs="Arial"/>
          <w:sz w:val="20"/>
          <w:szCs w:val="20"/>
          <w:rtl/>
        </w:rPr>
        <w:t xml:space="preserve">. </w:t>
      </w:r>
      <w:r>
        <w:rPr>
          <w:rFonts w:cs="Arial" w:hint="cs"/>
          <w:sz w:val="20"/>
          <w:szCs w:val="20"/>
          <w:rtl/>
        </w:rPr>
        <w:br/>
      </w:r>
      <w:r>
        <w:rPr>
          <w:rFonts w:cs="Arial" w:hint="cs"/>
          <w:sz w:val="20"/>
          <w:szCs w:val="20"/>
          <w:vertAlign w:val="superscript"/>
          <w:rtl/>
        </w:rPr>
        <w:t>5</w:t>
      </w:r>
      <w:r>
        <w:rPr>
          <w:rFonts w:cs="Arial" w:hint="cs"/>
          <w:sz w:val="20"/>
          <w:szCs w:val="20"/>
          <w:rtl/>
        </w:rPr>
        <w:t xml:space="preserve"> </w:t>
      </w:r>
      <w:r w:rsidRPr="00376FDD">
        <w:rPr>
          <w:rFonts w:cs="Arial"/>
          <w:sz w:val="20"/>
          <w:szCs w:val="20"/>
          <w:rtl/>
        </w:rPr>
        <w:t xml:space="preserve">אמר מר עוקבא: לפלוף שבעין, לח - אינו חוצץ, יבש </w:t>
      </w:r>
      <w:r>
        <w:rPr>
          <w:rFonts w:cs="Arial"/>
          <w:sz w:val="20"/>
          <w:szCs w:val="20"/>
          <w:rtl/>
        </w:rPr>
        <w:t>–</w:t>
      </w:r>
      <w:r w:rsidRPr="00376FDD">
        <w:rPr>
          <w:rFonts w:cs="Arial"/>
          <w:sz w:val="20"/>
          <w:szCs w:val="20"/>
          <w:rtl/>
        </w:rPr>
        <w:t xml:space="preserve"> חוצץ</w:t>
      </w:r>
      <w:r>
        <w:rPr>
          <w:rFonts w:cs="Arial" w:hint="cs"/>
          <w:sz w:val="20"/>
          <w:szCs w:val="20"/>
          <w:rtl/>
        </w:rPr>
        <w:t>.</w:t>
      </w:r>
      <w:r w:rsidRPr="00376FDD">
        <w:rPr>
          <w:rFonts w:cs="Arial"/>
          <w:sz w:val="20"/>
          <w:szCs w:val="20"/>
          <w:rtl/>
        </w:rPr>
        <w:t xml:space="preserve"> אימתי נקרא יבש - משעה שמתחיל לירק. </w:t>
      </w:r>
      <w:r>
        <w:rPr>
          <w:rFonts w:cs="Arial" w:hint="cs"/>
          <w:sz w:val="20"/>
          <w:szCs w:val="20"/>
          <w:rtl/>
        </w:rPr>
        <w:br/>
      </w:r>
      <w:r>
        <w:rPr>
          <w:rFonts w:cs="Arial" w:hint="cs"/>
          <w:sz w:val="20"/>
          <w:szCs w:val="20"/>
          <w:vertAlign w:val="superscript"/>
          <w:rtl/>
        </w:rPr>
        <w:t>6</w:t>
      </w:r>
      <w:r w:rsidRPr="00376FDD">
        <w:rPr>
          <w:rFonts w:cs="Arial"/>
          <w:sz w:val="20"/>
          <w:szCs w:val="20"/>
          <w:rtl/>
        </w:rPr>
        <w:t>אמר שמואל: כחול שבתוך העין - אינו חוצץ. ושעל גבי העין - חוצץ. אם היו עיניה פורחות - אפי</w:t>
      </w:r>
      <w:r>
        <w:rPr>
          <w:rFonts w:cs="Arial" w:hint="cs"/>
          <w:sz w:val="20"/>
          <w:szCs w:val="20"/>
          <w:rtl/>
        </w:rPr>
        <w:t>לו</w:t>
      </w:r>
      <w:r w:rsidRPr="00376FDD">
        <w:rPr>
          <w:rFonts w:cs="Arial"/>
          <w:sz w:val="20"/>
          <w:szCs w:val="20"/>
          <w:rtl/>
        </w:rPr>
        <w:t xml:space="preserve"> על גבי העין אינו חוצץ</w:t>
      </w:r>
      <w:r>
        <w:rPr>
          <w:rFonts w:cs="Arial" w:hint="cs"/>
          <w:sz w:val="20"/>
          <w:szCs w:val="20"/>
          <w:rtl/>
        </w:rPr>
        <w:t xml:space="preserve"> </w:t>
      </w:r>
      <w:r w:rsidRPr="00C708D3">
        <w:rPr>
          <w:rFonts w:cs="Arial" w:hint="cs"/>
          <w:sz w:val="18"/>
          <w:szCs w:val="18"/>
          <w:rtl/>
        </w:rPr>
        <w:t>(סעיף ח)</w:t>
      </w:r>
      <w:r w:rsidRPr="00376FDD">
        <w:rPr>
          <w:rFonts w:cs="Arial"/>
          <w:sz w:val="20"/>
          <w:szCs w:val="20"/>
          <w:rtl/>
        </w:rPr>
        <w:t xml:space="preserve">. </w:t>
      </w:r>
      <w:r>
        <w:rPr>
          <w:rFonts w:cs="Arial" w:hint="cs"/>
          <w:sz w:val="20"/>
          <w:szCs w:val="20"/>
          <w:rtl/>
        </w:rPr>
        <w:br/>
      </w:r>
      <w:r>
        <w:rPr>
          <w:rFonts w:cs="Arial" w:hint="cs"/>
          <w:sz w:val="20"/>
          <w:szCs w:val="20"/>
          <w:vertAlign w:val="superscript"/>
          <w:rtl/>
        </w:rPr>
        <w:t>7</w:t>
      </w:r>
      <w:r w:rsidRPr="00376FDD">
        <w:rPr>
          <w:rFonts w:cs="Arial"/>
          <w:sz w:val="20"/>
          <w:szCs w:val="20"/>
          <w:rtl/>
        </w:rPr>
        <w:t>א</w:t>
      </w:r>
      <w:r>
        <w:rPr>
          <w:rFonts w:cs="Arial" w:hint="cs"/>
          <w:sz w:val="20"/>
          <w:szCs w:val="20"/>
          <w:rtl/>
        </w:rPr>
        <w:t>מר רבי</w:t>
      </w:r>
      <w:r w:rsidRPr="00376FDD">
        <w:rPr>
          <w:rFonts w:cs="Arial"/>
          <w:sz w:val="20"/>
          <w:szCs w:val="20"/>
          <w:rtl/>
        </w:rPr>
        <w:t xml:space="preserve"> יוחנן: פתחה עיניה ביותר, או עצמה עיניה ביותר - לא עלתה לה טבילה</w:t>
      </w:r>
      <w:r>
        <w:rPr>
          <w:rFonts w:cs="Arial" w:hint="cs"/>
          <w:sz w:val="20"/>
          <w:szCs w:val="20"/>
          <w:rtl/>
        </w:rPr>
        <w:t xml:space="preserve"> </w:t>
      </w:r>
      <w:r w:rsidRPr="00C708D3">
        <w:rPr>
          <w:rFonts w:cs="Arial" w:hint="cs"/>
          <w:sz w:val="18"/>
          <w:szCs w:val="18"/>
          <w:rtl/>
        </w:rPr>
        <w:t>(סעיף לט)</w:t>
      </w:r>
      <w:r w:rsidRPr="00376FDD">
        <w:rPr>
          <w:rFonts w:cs="Arial"/>
          <w:sz w:val="20"/>
          <w:szCs w:val="20"/>
          <w:rtl/>
        </w:rPr>
        <w:t xml:space="preserve">. </w:t>
      </w:r>
      <w:r>
        <w:rPr>
          <w:rFonts w:cs="Arial"/>
          <w:sz w:val="20"/>
          <w:szCs w:val="20"/>
          <w:rtl/>
        </w:rPr>
        <w:br/>
      </w:r>
      <w:r>
        <w:rPr>
          <w:rFonts w:cs="Arial" w:hint="cs"/>
          <w:sz w:val="20"/>
          <w:szCs w:val="20"/>
          <w:rtl/>
        </w:rPr>
        <w:t>(</w:t>
      </w:r>
      <w:r w:rsidRPr="00376FDD">
        <w:rPr>
          <w:rFonts w:cs="Arial"/>
          <w:sz w:val="20"/>
          <w:szCs w:val="20"/>
          <w:rtl/>
        </w:rPr>
        <w:t>ולית הלכתא ככל הני שמעתתא דכי איתמר הני לטהרות אבל לבעלה טהורה כי הא ד</w:t>
      </w:r>
      <w:r>
        <w:rPr>
          <w:rFonts w:cs="Arial" w:hint="cs"/>
          <w:sz w:val="20"/>
          <w:szCs w:val="20"/>
          <w:rtl/>
        </w:rPr>
        <w:t>)</w:t>
      </w:r>
      <w:r>
        <w:rPr>
          <w:rFonts w:cs="Arial" w:hint="cs"/>
          <w:sz w:val="20"/>
          <w:szCs w:val="20"/>
          <w:rtl/>
        </w:rPr>
        <w:br/>
      </w:r>
      <w:r w:rsidRPr="00376FDD">
        <w:rPr>
          <w:rFonts w:cs="Arial"/>
          <w:sz w:val="20"/>
          <w:szCs w:val="20"/>
          <w:rtl/>
        </w:rPr>
        <w:t>אמר ריש לקיש: האשה לא תטבול אלא דרך גדילתה.</w:t>
      </w:r>
    </w:p>
    <w:p w:rsidR="00620060" w:rsidRDefault="00620060" w:rsidP="00620060">
      <w:pPr>
        <w:rPr>
          <w:sz w:val="20"/>
          <w:szCs w:val="20"/>
          <w:rtl/>
        </w:rPr>
      </w:pPr>
      <w:r>
        <w:rPr>
          <w:rFonts w:hint="cs"/>
          <w:b/>
          <w:bCs/>
          <w:sz w:val="20"/>
          <w:szCs w:val="20"/>
          <w:rtl/>
        </w:rPr>
        <w:t>שיטות הראשונים</w:t>
      </w:r>
      <w:r>
        <w:rPr>
          <w:b/>
          <w:bCs/>
          <w:sz w:val="20"/>
          <w:szCs w:val="20"/>
          <w:rtl/>
        </w:rPr>
        <w:br/>
      </w:r>
      <w:r>
        <w:rPr>
          <w:rFonts w:hint="cs"/>
          <w:sz w:val="20"/>
          <w:szCs w:val="20"/>
          <w:rtl/>
        </w:rPr>
        <w:t xml:space="preserve">קיימת מחלוקת ראשונים האם יש לגרוס את הקטע המוקף בסוגריים, וממילא האם כל הדינים שנאמרו בגמרא נוהגים גם בטבילת אשה לבעלה. </w:t>
      </w:r>
      <w:r w:rsidRPr="001F7B58">
        <w:rPr>
          <w:rFonts w:hint="cs"/>
          <w:b/>
          <w:bCs/>
          <w:sz w:val="20"/>
          <w:szCs w:val="20"/>
          <w:rtl/>
        </w:rPr>
        <w:t>רש"י</w:t>
      </w:r>
      <w:r>
        <w:rPr>
          <w:rFonts w:hint="cs"/>
          <w:sz w:val="20"/>
          <w:szCs w:val="20"/>
          <w:rtl/>
        </w:rPr>
        <w:t xml:space="preserve">, </w:t>
      </w:r>
      <w:r w:rsidRPr="001F7B58">
        <w:rPr>
          <w:rFonts w:hint="cs"/>
          <w:b/>
          <w:bCs/>
          <w:sz w:val="20"/>
          <w:szCs w:val="20"/>
          <w:rtl/>
        </w:rPr>
        <w:t>תוספות והרא"ש</w:t>
      </w:r>
      <w:r>
        <w:rPr>
          <w:rFonts w:hint="cs"/>
          <w:sz w:val="20"/>
          <w:szCs w:val="20"/>
          <w:rtl/>
        </w:rPr>
        <w:t xml:space="preserve"> סוברים שאין לגרוס זאת, וכל ההלכות האלו נוהגות גם בטבילת אשה לבעלה. אמנם, ראשונים אחרים חולקים וגורסים זאת, אלא שגם בין הגורסים זאת קיימת מחלוקת על אילו הלכות מוסבת מימרא זו - </w:t>
      </w:r>
    </w:p>
    <w:p w:rsidR="00620060" w:rsidRDefault="00620060" w:rsidP="00620060">
      <w:pPr>
        <w:rPr>
          <w:sz w:val="20"/>
          <w:szCs w:val="20"/>
          <w:rtl/>
        </w:rPr>
      </w:pPr>
      <w:r>
        <w:rPr>
          <w:rFonts w:hint="cs"/>
          <w:sz w:val="20"/>
          <w:szCs w:val="20"/>
          <w:rtl/>
        </w:rPr>
        <w:t xml:space="preserve">א. </w:t>
      </w:r>
      <w:r w:rsidRPr="00222C7C">
        <w:rPr>
          <w:rFonts w:hint="cs"/>
          <w:b/>
          <w:bCs/>
          <w:sz w:val="20"/>
          <w:szCs w:val="20"/>
          <w:rtl/>
        </w:rPr>
        <w:t>רבינו ירוחם</w:t>
      </w:r>
      <w:r>
        <w:rPr>
          <w:rFonts w:hint="cs"/>
          <w:sz w:val="20"/>
          <w:szCs w:val="20"/>
          <w:rtl/>
        </w:rPr>
        <w:t xml:space="preserve"> </w:t>
      </w:r>
      <w:r>
        <w:rPr>
          <w:sz w:val="20"/>
          <w:szCs w:val="20"/>
          <w:rtl/>
        </w:rPr>
        <w:t>–</w:t>
      </w:r>
      <w:r>
        <w:rPr>
          <w:rFonts w:hint="cs"/>
          <w:sz w:val="20"/>
          <w:szCs w:val="20"/>
          <w:rtl/>
        </w:rPr>
        <w:t xml:space="preserve"> דין כחול שבעין נוהג רק בטהרות, שאר הדינים נוהגים גם לגבי בעלה</w:t>
      </w:r>
      <w:r>
        <w:rPr>
          <w:rStyle w:val="a5"/>
          <w:sz w:val="20"/>
          <w:szCs w:val="20"/>
          <w:rtl/>
        </w:rPr>
        <w:footnoteReference w:id="606"/>
      </w:r>
      <w:r>
        <w:rPr>
          <w:rFonts w:hint="cs"/>
          <w:sz w:val="20"/>
          <w:szCs w:val="20"/>
          <w:rtl/>
        </w:rPr>
        <w:t>.</w:t>
      </w:r>
      <w:r>
        <w:rPr>
          <w:sz w:val="20"/>
          <w:szCs w:val="20"/>
          <w:rtl/>
        </w:rPr>
        <w:br/>
      </w:r>
      <w:r>
        <w:rPr>
          <w:rFonts w:hint="cs"/>
          <w:sz w:val="20"/>
          <w:szCs w:val="20"/>
          <w:rtl/>
        </w:rPr>
        <w:t xml:space="preserve">ב. </w:t>
      </w:r>
      <w:r>
        <w:rPr>
          <w:rFonts w:hint="cs"/>
          <w:b/>
          <w:bCs/>
          <w:sz w:val="20"/>
          <w:szCs w:val="20"/>
          <w:rtl/>
        </w:rPr>
        <w:t>ראב"ד ו</w:t>
      </w:r>
      <w:r w:rsidRPr="009979B8">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מדין </w:t>
      </w:r>
      <w:r>
        <w:rPr>
          <w:rFonts w:cs="Arial" w:hint="cs"/>
          <w:sz w:val="20"/>
          <w:szCs w:val="20"/>
          <w:rtl/>
        </w:rPr>
        <w:t>'</w:t>
      </w:r>
      <w:r w:rsidRPr="00376FDD">
        <w:rPr>
          <w:rFonts w:cs="Arial"/>
          <w:sz w:val="20"/>
          <w:szCs w:val="20"/>
          <w:rtl/>
        </w:rPr>
        <w:t>רבדי דכוסילתא</w:t>
      </w:r>
      <w:r>
        <w:rPr>
          <w:rFonts w:cs="Arial" w:hint="cs"/>
          <w:sz w:val="20"/>
          <w:szCs w:val="20"/>
          <w:rtl/>
        </w:rPr>
        <w:t>'</w:t>
      </w:r>
      <w:r>
        <w:rPr>
          <w:rFonts w:hint="cs"/>
          <w:sz w:val="20"/>
          <w:szCs w:val="20"/>
          <w:rtl/>
        </w:rPr>
        <w:t xml:space="preserve"> נוהג רק לגבי טהרות אך לא לבעלה, ודברי רבי יוחנן גם לבעלה.</w:t>
      </w:r>
      <w:r>
        <w:rPr>
          <w:rStyle w:val="a5"/>
          <w:sz w:val="20"/>
          <w:szCs w:val="20"/>
          <w:rtl/>
        </w:rPr>
        <w:footnoteReference w:id="607"/>
      </w:r>
      <w:r>
        <w:rPr>
          <w:rFonts w:hint="cs"/>
          <w:sz w:val="20"/>
          <w:szCs w:val="20"/>
          <w:rtl/>
        </w:rPr>
        <w:br/>
      </w:r>
      <w:r w:rsidRPr="001F7B58">
        <w:rPr>
          <w:rFonts w:hint="cs"/>
          <w:sz w:val="18"/>
          <w:szCs w:val="18"/>
          <w:rtl/>
        </w:rPr>
        <w:t>(רבדי דכוסליתא, לפלוף שבעין וכחול שבעין נוהג רק לטהרות אך לא לבעלה).</w:t>
      </w:r>
      <w:r w:rsidRPr="001F7B58">
        <w:rPr>
          <w:sz w:val="18"/>
          <w:szCs w:val="18"/>
          <w:rtl/>
        </w:rPr>
        <w:br/>
      </w:r>
      <w:r>
        <w:rPr>
          <w:rFonts w:hint="cs"/>
          <w:sz w:val="20"/>
          <w:szCs w:val="20"/>
          <w:rtl/>
        </w:rPr>
        <w:t xml:space="preserve">ג. </w:t>
      </w:r>
      <w:r w:rsidRPr="00222C7C">
        <w:rPr>
          <w:rFonts w:hint="cs"/>
          <w:b/>
          <w:bCs/>
          <w:sz w:val="20"/>
          <w:szCs w:val="20"/>
          <w:rtl/>
        </w:rPr>
        <w:t>רמב"ם</w:t>
      </w:r>
      <w:r>
        <w:rPr>
          <w:rFonts w:hint="cs"/>
          <w:b/>
          <w:bCs/>
          <w:sz w:val="20"/>
          <w:szCs w:val="20"/>
          <w:rtl/>
        </w:rPr>
        <w:t xml:space="preserve"> </w:t>
      </w:r>
      <w:r>
        <w:rPr>
          <w:rFonts w:hint="cs"/>
          <w:sz w:val="20"/>
          <w:szCs w:val="20"/>
          <w:rtl/>
        </w:rPr>
        <w:t xml:space="preserve">- מההלכה "נתנה תבשיל לבנה" נוהג רק לטהרות </w:t>
      </w:r>
      <w:r w:rsidRPr="001F7B58">
        <w:rPr>
          <w:rFonts w:hint="cs"/>
          <w:sz w:val="18"/>
          <w:szCs w:val="18"/>
          <w:rtl/>
        </w:rPr>
        <w:t>(הוסיף על הראב"ד את דין נתנה תבשיל)</w:t>
      </w:r>
      <w:r>
        <w:rPr>
          <w:rFonts w:hint="cs"/>
          <w:sz w:val="20"/>
          <w:szCs w:val="20"/>
          <w:rtl/>
        </w:rPr>
        <w:t>.</w:t>
      </w:r>
      <w:r>
        <w:rPr>
          <w:rFonts w:hint="cs"/>
          <w:sz w:val="20"/>
          <w:szCs w:val="20"/>
          <w:rtl/>
        </w:rPr>
        <w:br/>
        <w:t xml:space="preserve">ד. </w:t>
      </w:r>
      <w:r>
        <w:rPr>
          <w:rFonts w:hint="cs"/>
          <w:b/>
          <w:bCs/>
          <w:sz w:val="20"/>
          <w:szCs w:val="20"/>
          <w:rtl/>
        </w:rPr>
        <w:t>סמ"ג</w:t>
      </w:r>
      <w:r>
        <w:rPr>
          <w:rFonts w:hint="cs"/>
          <w:sz w:val="20"/>
          <w:szCs w:val="20"/>
          <w:rtl/>
        </w:rPr>
        <w:t xml:space="preserve"> </w:t>
      </w:r>
      <w:r>
        <w:rPr>
          <w:sz w:val="20"/>
          <w:szCs w:val="20"/>
          <w:rtl/>
        </w:rPr>
        <w:t>–</w:t>
      </w:r>
      <w:r>
        <w:rPr>
          <w:rFonts w:hint="cs"/>
          <w:sz w:val="20"/>
          <w:szCs w:val="20"/>
          <w:rtl/>
        </w:rPr>
        <w:t xml:space="preserve"> כל החומרות האלו נאמרו רק לטהרות, ואמנם לכתחילה יש להיזהר גם לבעלה.</w:t>
      </w:r>
    </w:p>
    <w:p w:rsidR="00620060" w:rsidRDefault="00620060" w:rsidP="00620060">
      <w:pPr>
        <w:rPr>
          <w:sz w:val="20"/>
          <w:szCs w:val="20"/>
          <w:rtl/>
        </w:rPr>
      </w:pPr>
      <w:r w:rsidRPr="0075299D">
        <w:rPr>
          <w:rFonts w:hint="cs"/>
          <w:b/>
          <w:bCs/>
          <w:sz w:val="20"/>
          <w:szCs w:val="20"/>
          <w:rtl/>
        </w:rPr>
        <w:t>הכרעת הפוסקים</w:t>
      </w:r>
      <w:r>
        <w:rPr>
          <w:sz w:val="20"/>
          <w:szCs w:val="20"/>
          <w:rtl/>
        </w:rPr>
        <w:br/>
      </w:r>
      <w:r>
        <w:rPr>
          <w:rFonts w:hint="cs"/>
          <w:sz w:val="20"/>
          <w:szCs w:val="20"/>
          <w:rtl/>
        </w:rPr>
        <w:t xml:space="preserve">א. </w:t>
      </w:r>
      <w:r w:rsidRPr="0075299D">
        <w:rPr>
          <w:rFonts w:hint="cs"/>
          <w:b/>
          <w:bCs/>
          <w:sz w:val="20"/>
          <w:szCs w:val="20"/>
          <w:rtl/>
        </w:rPr>
        <w:t xml:space="preserve">מחבר </w:t>
      </w:r>
      <w:r>
        <w:rPr>
          <w:rFonts w:hint="cs"/>
          <w:sz w:val="20"/>
          <w:szCs w:val="20"/>
          <w:rtl/>
        </w:rPr>
        <w:t xml:space="preserve">- בהמשך הסימן, המחבר פוסק את כל הדינים האלו, ולכן נראה שהוא סובר כרש"י, </w:t>
      </w:r>
      <w:r w:rsidRPr="0075299D">
        <w:rPr>
          <w:rFonts w:hint="cs"/>
          <w:sz w:val="20"/>
          <w:szCs w:val="20"/>
          <w:rtl/>
        </w:rPr>
        <w:t>תוספות והרא"ש</w:t>
      </w:r>
      <w:r>
        <w:rPr>
          <w:rFonts w:hint="cs"/>
          <w:sz w:val="20"/>
          <w:szCs w:val="20"/>
          <w:rtl/>
        </w:rPr>
        <w:t>.</w:t>
      </w:r>
      <w:r>
        <w:rPr>
          <w:rFonts w:hint="cs"/>
          <w:sz w:val="20"/>
          <w:szCs w:val="20"/>
          <w:rtl/>
        </w:rPr>
        <w:br/>
        <w:t xml:space="preserve">ב. </w:t>
      </w:r>
      <w:r w:rsidRPr="0075299D">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לכתחילה יש להחמיר בכל הני ואם אפשר תחזור ותטבול, בדיעבד אינו מעכב.</w:t>
      </w:r>
      <w:r>
        <w:rPr>
          <w:sz w:val="20"/>
          <w:szCs w:val="20"/>
          <w:rtl/>
        </w:rPr>
        <w:br/>
      </w:r>
      <w:r>
        <w:rPr>
          <w:sz w:val="20"/>
          <w:szCs w:val="20"/>
          <w:rtl/>
        </w:rPr>
        <w:br/>
      </w:r>
      <w:r>
        <w:rPr>
          <w:rFonts w:hint="cs"/>
          <w:b/>
          <w:bCs/>
          <w:sz w:val="20"/>
          <w:szCs w:val="20"/>
          <w:rtl/>
        </w:rPr>
        <w:t>ראיות רש"י לשיטתו</w:t>
      </w:r>
      <w:r>
        <w:rPr>
          <w:b/>
          <w:bCs/>
          <w:sz w:val="20"/>
          <w:szCs w:val="20"/>
          <w:rtl/>
        </w:rPr>
        <w:br/>
      </w:r>
      <w:r>
        <w:rPr>
          <w:rFonts w:hint="cs"/>
          <w:sz w:val="20"/>
          <w:szCs w:val="20"/>
          <w:rtl/>
        </w:rPr>
        <w:t>א. הקטע הנ"ל לא מתחבר לסוגייה מבחינה תוכנית, מה עניין ריש לקיש לכך שלית הלכתא ככל הני שמעתתא?</w:t>
      </w:r>
      <w:r>
        <w:rPr>
          <w:rFonts w:hint="cs"/>
          <w:sz w:val="20"/>
          <w:szCs w:val="20"/>
          <w:rtl/>
        </w:rPr>
        <w:br/>
        <w:t xml:space="preserve">ב. כל הלכות אלו נאמרו ע"י אמוראי בבל, בבבל לא נהגו טהרות! </w:t>
      </w:r>
      <w:r w:rsidRPr="00E41236">
        <w:rPr>
          <w:rFonts w:hint="cs"/>
          <w:sz w:val="18"/>
          <w:szCs w:val="18"/>
          <w:rtl/>
        </w:rPr>
        <w:t>(ולא מסתבר שהורו הלכה לבני ארץ ישראל)</w:t>
      </w:r>
      <w:r>
        <w:rPr>
          <w:rFonts w:hint="cs"/>
          <w:sz w:val="20"/>
          <w:szCs w:val="20"/>
          <w:rtl/>
        </w:rPr>
        <w:t>.</w:t>
      </w:r>
      <w:r>
        <w:rPr>
          <w:rFonts w:hint="cs"/>
          <w:sz w:val="20"/>
          <w:szCs w:val="20"/>
          <w:rtl/>
        </w:rPr>
        <w:br/>
        <w:t>ג. הגמרא מספרת שאבוה דשמואל עשה לבנותיו מקוואות בבבל.</w:t>
      </w:r>
      <w:r>
        <w:rPr>
          <w:sz w:val="20"/>
          <w:szCs w:val="20"/>
          <w:rtl/>
        </w:rPr>
        <w:br/>
      </w:r>
      <w:r>
        <w:rPr>
          <w:rFonts w:hint="cs"/>
          <w:sz w:val="20"/>
          <w:szCs w:val="20"/>
          <w:rtl/>
        </w:rPr>
        <w:t>ד. הגמרא מנוסחת בהוראה לנקבה, ואם מדובר על טהרות ניתן להתנסח גם בלשון זכר.</w:t>
      </w:r>
      <w:r>
        <w:rPr>
          <w:sz w:val="20"/>
          <w:szCs w:val="20"/>
          <w:rtl/>
        </w:rPr>
        <w:br/>
      </w:r>
      <w:r>
        <w:rPr>
          <w:rFonts w:hint="cs"/>
          <w:sz w:val="20"/>
          <w:szCs w:val="20"/>
          <w:rtl/>
        </w:rPr>
        <w:t>ה. נאמר בגמרא יבמות (מז:) "</w:t>
      </w:r>
      <w:r w:rsidRPr="004B1CE1">
        <w:rPr>
          <w:rFonts w:cs="Arial"/>
          <w:sz w:val="20"/>
          <w:szCs w:val="20"/>
          <w:rtl/>
        </w:rPr>
        <w:t xml:space="preserve">כל דבר שחוצץ בטבילה, חוצץ בגר ובעבד משוחרר </w:t>
      </w:r>
      <w:r w:rsidRPr="004B1CE1">
        <w:rPr>
          <w:rFonts w:cs="Arial"/>
          <w:sz w:val="20"/>
          <w:szCs w:val="20"/>
          <w:u w:val="single"/>
          <w:rtl/>
        </w:rPr>
        <w:t>ובנדה</w:t>
      </w:r>
      <w:r>
        <w:rPr>
          <w:rFonts w:cs="Arial" w:hint="cs"/>
          <w:sz w:val="20"/>
          <w:szCs w:val="20"/>
          <w:rtl/>
        </w:rPr>
        <w:t xml:space="preserve">". על כורחך הכוונה </w:t>
      </w:r>
      <w:r>
        <w:rPr>
          <w:rFonts w:cs="Arial" w:hint="cs"/>
          <w:sz w:val="20"/>
          <w:szCs w:val="20"/>
          <w:rtl/>
        </w:rPr>
        <w:lastRenderedPageBreak/>
        <w:t>בטבילת נידה לבעלה, שהרי אם זה נאמר לגבי טהרות מדוע ציינו במיוחד את נידה ולא את שאר הטמאים?</w:t>
      </w:r>
      <w:r>
        <w:rPr>
          <w:rFonts w:hint="cs"/>
          <w:sz w:val="20"/>
          <w:szCs w:val="20"/>
          <w:rtl/>
        </w:rPr>
        <w:br/>
        <w:t>ו. דומיא דגר ועבד משוחרר שמדובר על טבילת איסור והיתר, כך גם בנידה מדובר על איסור והיתר.</w:t>
      </w:r>
    </w:p>
    <w:p w:rsidR="00620060" w:rsidRDefault="00620060" w:rsidP="00620060">
      <w:pPr>
        <w:rPr>
          <w:sz w:val="20"/>
          <w:szCs w:val="20"/>
          <w:rtl/>
        </w:rPr>
      </w:pPr>
      <w:r>
        <w:rPr>
          <w:rFonts w:hint="cs"/>
          <w:b/>
          <w:bCs/>
          <w:sz w:val="20"/>
          <w:szCs w:val="20"/>
          <w:rtl/>
        </w:rPr>
        <w:t>דחיית חלק מהקושיות</w:t>
      </w:r>
      <w:r>
        <w:rPr>
          <w:b/>
          <w:bCs/>
          <w:sz w:val="20"/>
          <w:szCs w:val="20"/>
          <w:rtl/>
        </w:rPr>
        <w:br/>
      </w:r>
      <w:r w:rsidRPr="009979B8">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כוונת הגמרא היא שאין להחמיר בכל חומרות האלו, אלא רק כחומרת ריש לקיש. ואע"פ שאין סתירה בין חומרת ר"ל לשאר החומרות וניתן לקיים את שתיהן, מכל מקום לפעמים כך היא דרך הגמרא להתנסח.</w:t>
      </w:r>
    </w:p>
    <w:p w:rsidR="00620060" w:rsidRDefault="00620060" w:rsidP="00620060">
      <w:pPr>
        <w:rPr>
          <w:sz w:val="20"/>
          <w:szCs w:val="20"/>
          <w:rtl/>
        </w:rPr>
      </w:pPr>
      <w:r>
        <w:rPr>
          <w:sz w:val="20"/>
          <w:szCs w:val="20"/>
          <w:rtl/>
        </w:rPr>
        <w:br/>
      </w:r>
      <w:r>
        <w:rPr>
          <w:rFonts w:hint="cs"/>
          <w:b/>
          <w:bCs/>
          <w:sz w:val="20"/>
          <w:szCs w:val="20"/>
          <w:rtl/>
        </w:rPr>
        <w:t xml:space="preserve">סעיף ז </w:t>
      </w:r>
      <w:r>
        <w:rPr>
          <w:b/>
          <w:bCs/>
          <w:sz w:val="20"/>
          <w:szCs w:val="20"/>
          <w:rtl/>
        </w:rPr>
        <w:t>–</w:t>
      </w:r>
      <w:r>
        <w:rPr>
          <w:rFonts w:hint="cs"/>
          <w:b/>
          <w:bCs/>
          <w:sz w:val="20"/>
          <w:szCs w:val="20"/>
          <w:rtl/>
        </w:rPr>
        <w:t xml:space="preserve"> חציצה בצואת העיניים</w:t>
      </w:r>
      <w:r>
        <w:rPr>
          <w:b/>
          <w:bCs/>
          <w:sz w:val="20"/>
          <w:szCs w:val="20"/>
          <w:rtl/>
        </w:rPr>
        <w:br/>
      </w:r>
      <w:r>
        <w:rPr>
          <w:rFonts w:hint="cs"/>
          <w:b/>
          <w:bCs/>
          <w:sz w:val="20"/>
          <w:szCs w:val="20"/>
          <w:rtl/>
        </w:rPr>
        <w:t>מקורו הדין</w:t>
      </w:r>
      <w:r>
        <w:rPr>
          <w:b/>
          <w:bCs/>
          <w:sz w:val="20"/>
          <w:szCs w:val="20"/>
          <w:rtl/>
        </w:rPr>
        <w:br/>
      </w:r>
      <w:r>
        <w:rPr>
          <w:rFonts w:hint="cs"/>
          <w:sz w:val="20"/>
          <w:szCs w:val="20"/>
          <w:rtl/>
        </w:rPr>
        <w:t xml:space="preserve">א. </w:t>
      </w:r>
      <w:r w:rsidRPr="00A03D65">
        <w:rPr>
          <w:rFonts w:hint="cs"/>
          <w:b/>
          <w:bCs/>
          <w:sz w:val="20"/>
          <w:szCs w:val="20"/>
          <w:rtl/>
        </w:rPr>
        <w:t xml:space="preserve">משנה </w:t>
      </w:r>
      <w:r>
        <w:rPr>
          <w:rFonts w:hint="cs"/>
          <w:sz w:val="20"/>
          <w:szCs w:val="20"/>
          <w:rtl/>
        </w:rPr>
        <w:t>מקוואות (פרק ט') "</w:t>
      </w:r>
      <w:r>
        <w:rPr>
          <w:rFonts w:cs="Arial"/>
          <w:sz w:val="20"/>
          <w:szCs w:val="20"/>
          <w:rtl/>
        </w:rPr>
        <w:t>אלו חוצצין</w:t>
      </w:r>
      <w:r>
        <w:rPr>
          <w:rFonts w:cs="Arial" w:hint="cs"/>
          <w:sz w:val="20"/>
          <w:szCs w:val="20"/>
          <w:rtl/>
        </w:rPr>
        <w:t xml:space="preserve"> </w:t>
      </w:r>
      <w:r w:rsidRPr="00A03D65">
        <w:rPr>
          <w:rFonts w:cs="Arial"/>
          <w:sz w:val="20"/>
          <w:szCs w:val="20"/>
          <w:rtl/>
        </w:rPr>
        <w:t>באדם</w:t>
      </w:r>
      <w:r>
        <w:rPr>
          <w:rFonts w:cs="Arial" w:hint="cs"/>
          <w:sz w:val="20"/>
          <w:szCs w:val="20"/>
          <w:rtl/>
        </w:rPr>
        <w:t xml:space="preserve">:... </w:t>
      </w:r>
      <w:r>
        <w:rPr>
          <w:rFonts w:cs="Arial"/>
          <w:sz w:val="20"/>
          <w:szCs w:val="20"/>
          <w:rtl/>
        </w:rPr>
        <w:t>לפלוף שחוץ לעין</w:t>
      </w:r>
      <w:r>
        <w:rPr>
          <w:rFonts w:cs="Arial" w:hint="cs"/>
          <w:sz w:val="20"/>
          <w:szCs w:val="20"/>
          <w:rtl/>
        </w:rPr>
        <w:t xml:space="preserve">... </w:t>
      </w:r>
      <w:r w:rsidRPr="00A03D65">
        <w:rPr>
          <w:rFonts w:cs="Arial"/>
          <w:sz w:val="20"/>
          <w:szCs w:val="20"/>
          <w:rtl/>
        </w:rPr>
        <w:t>אלו שאין חוצצין</w:t>
      </w:r>
      <w:r>
        <w:rPr>
          <w:rFonts w:cs="Arial" w:hint="cs"/>
          <w:sz w:val="20"/>
          <w:szCs w:val="20"/>
          <w:rtl/>
        </w:rPr>
        <w:t xml:space="preserve">:... </w:t>
      </w:r>
      <w:r w:rsidRPr="00A03D65">
        <w:rPr>
          <w:rFonts w:cs="Arial"/>
          <w:sz w:val="20"/>
          <w:szCs w:val="20"/>
          <w:rtl/>
        </w:rPr>
        <w:t>לפלוף שבעין</w:t>
      </w:r>
      <w:r>
        <w:rPr>
          <w:rFonts w:hint="cs"/>
          <w:sz w:val="20"/>
          <w:szCs w:val="20"/>
          <w:rtl/>
        </w:rPr>
        <w:t>".</w:t>
      </w:r>
      <w:r>
        <w:rPr>
          <w:sz w:val="20"/>
          <w:szCs w:val="20"/>
          <w:rtl/>
        </w:rPr>
        <w:br/>
      </w:r>
      <w:r>
        <w:rPr>
          <w:rFonts w:hint="cs"/>
          <w:sz w:val="20"/>
          <w:szCs w:val="20"/>
          <w:rtl/>
        </w:rPr>
        <w:t>ב.</w:t>
      </w:r>
      <w:r w:rsidRPr="00A03D65">
        <w:rPr>
          <w:rFonts w:hint="cs"/>
          <w:b/>
          <w:bCs/>
          <w:sz w:val="20"/>
          <w:szCs w:val="20"/>
          <w:rtl/>
        </w:rPr>
        <w:t xml:space="preserve"> גמרא</w:t>
      </w:r>
      <w:r>
        <w:rPr>
          <w:rFonts w:hint="cs"/>
          <w:sz w:val="20"/>
          <w:szCs w:val="20"/>
          <w:rtl/>
        </w:rPr>
        <w:t xml:space="preserve"> נידה (סז.) "</w:t>
      </w:r>
      <w:r w:rsidRPr="00A03D65">
        <w:rPr>
          <w:rFonts w:cs="Arial"/>
          <w:sz w:val="20"/>
          <w:szCs w:val="20"/>
          <w:rtl/>
        </w:rPr>
        <w:t>אמר מר עוקבא: לפלוף שבעין, לח - אינו חוצץ, יבש - חוצץ אימתי נקרא יבש - משעה שמתחיל לירק</w:t>
      </w:r>
      <w:r>
        <w:rPr>
          <w:rFonts w:cs="Arial" w:hint="cs"/>
          <w:sz w:val="20"/>
          <w:szCs w:val="20"/>
          <w:rtl/>
        </w:rPr>
        <w:t>".</w:t>
      </w:r>
      <w:r>
        <w:rPr>
          <w:rFonts w:hint="cs"/>
          <w:sz w:val="20"/>
          <w:szCs w:val="20"/>
          <w:rtl/>
        </w:rPr>
        <w:t xml:space="preserve"> </w:t>
      </w:r>
    </w:p>
    <w:p w:rsidR="00620060" w:rsidRDefault="00620060" w:rsidP="00620060">
      <w:pPr>
        <w:rPr>
          <w:sz w:val="20"/>
          <w:szCs w:val="20"/>
          <w:rtl/>
        </w:rPr>
      </w:pPr>
      <w:r>
        <w:rPr>
          <w:rFonts w:hint="cs"/>
          <w:b/>
          <w:bCs/>
          <w:sz w:val="20"/>
          <w:szCs w:val="20"/>
          <w:rtl/>
        </w:rPr>
        <w:t>שיטות הראשונים</w:t>
      </w:r>
      <w:r>
        <w:rPr>
          <w:b/>
          <w:bCs/>
          <w:sz w:val="20"/>
          <w:szCs w:val="20"/>
          <w:rtl/>
        </w:rPr>
        <w:br/>
      </w:r>
      <w:r>
        <w:rPr>
          <w:rFonts w:hint="cs"/>
          <w:sz w:val="20"/>
          <w:szCs w:val="20"/>
          <w:rtl/>
        </w:rPr>
        <w:t xml:space="preserve">א. </w:t>
      </w:r>
      <w:r w:rsidRPr="00795F98">
        <w:rPr>
          <w:rFonts w:hint="cs"/>
          <w:b/>
          <w:bCs/>
          <w:sz w:val="20"/>
          <w:szCs w:val="20"/>
          <w:rtl/>
        </w:rPr>
        <w:t>תוס</w:t>
      </w:r>
      <w:r>
        <w:rPr>
          <w:rFonts w:hint="cs"/>
          <w:b/>
          <w:bCs/>
          <w:sz w:val="20"/>
          <w:szCs w:val="20"/>
          <w:rtl/>
        </w:rPr>
        <w:t>'</w:t>
      </w:r>
      <w:r w:rsidRPr="00795F98">
        <w:rPr>
          <w:rFonts w:hint="cs"/>
          <w:b/>
          <w:bCs/>
          <w:sz w:val="20"/>
          <w:szCs w:val="20"/>
          <w:rtl/>
        </w:rPr>
        <w:t xml:space="preserve"> ורמב"ם</w:t>
      </w:r>
      <w:r>
        <w:rPr>
          <w:rFonts w:hint="cs"/>
          <w:sz w:val="20"/>
          <w:szCs w:val="20"/>
          <w:rtl/>
        </w:rPr>
        <w:t xml:space="preserve"> </w:t>
      </w:r>
      <w:r>
        <w:rPr>
          <w:sz w:val="20"/>
          <w:szCs w:val="20"/>
          <w:rtl/>
        </w:rPr>
        <w:t>–</w:t>
      </w:r>
      <w:r>
        <w:rPr>
          <w:rFonts w:hint="cs"/>
          <w:sz w:val="20"/>
          <w:szCs w:val="20"/>
          <w:rtl/>
        </w:rPr>
        <w:t xml:space="preserve"> לפלוף שחוץ לעין חוצץ תמיד; לפלוף בתוך העין </w:t>
      </w:r>
      <w:r>
        <w:rPr>
          <w:sz w:val="20"/>
          <w:szCs w:val="20"/>
          <w:rtl/>
        </w:rPr>
        <w:t>–</w:t>
      </w:r>
      <w:r>
        <w:rPr>
          <w:rFonts w:hint="cs"/>
          <w:sz w:val="20"/>
          <w:szCs w:val="20"/>
          <w:rtl/>
        </w:rPr>
        <w:t xml:space="preserve"> יבש חוצץ, לח אינו חוצץ, וכ"פ </w:t>
      </w:r>
      <w:r w:rsidRPr="00E61486">
        <w:rPr>
          <w:rFonts w:hint="cs"/>
          <w:b/>
          <w:bCs/>
          <w:sz w:val="20"/>
          <w:szCs w:val="20"/>
          <w:rtl/>
        </w:rPr>
        <w:t>המחבר</w:t>
      </w:r>
      <w:r>
        <w:rPr>
          <w:rFonts w:hint="cs"/>
          <w:sz w:val="20"/>
          <w:szCs w:val="20"/>
          <w:rtl/>
        </w:rPr>
        <w:t>.</w:t>
      </w:r>
      <w:r>
        <w:rPr>
          <w:sz w:val="20"/>
          <w:szCs w:val="20"/>
          <w:rtl/>
        </w:rPr>
        <w:br/>
      </w:r>
      <w:r w:rsidRPr="00795F98">
        <w:rPr>
          <w:rFonts w:hint="cs"/>
          <w:b/>
          <w:bCs/>
          <w:sz w:val="20"/>
          <w:szCs w:val="20"/>
          <w:rtl/>
        </w:rPr>
        <w:t>הסבר</w:t>
      </w:r>
      <w:r>
        <w:rPr>
          <w:rFonts w:hint="cs"/>
          <w:sz w:val="20"/>
          <w:szCs w:val="20"/>
          <w:rtl/>
        </w:rPr>
        <w:t xml:space="preserve"> </w:t>
      </w:r>
      <w:r>
        <w:rPr>
          <w:sz w:val="20"/>
          <w:szCs w:val="20"/>
          <w:rtl/>
        </w:rPr>
        <w:t>–</w:t>
      </w:r>
      <w:r>
        <w:rPr>
          <w:rFonts w:hint="cs"/>
          <w:sz w:val="20"/>
          <w:szCs w:val="20"/>
          <w:rtl/>
        </w:rPr>
        <w:t xml:space="preserve"> חילוק זה נרמז בלשון המשנה, משום שבלפלוף החוצץ נאמר: "שחוץ לעין" ובלפלוף שאינו חוצץ נאמר: "שבעין". ויש לפרש שהמשנה מדברת על לפלוף לח, אך יבש חוצץ אפילו בתוך העין. </w:t>
      </w:r>
      <w:r>
        <w:rPr>
          <w:sz w:val="20"/>
          <w:szCs w:val="20"/>
          <w:rtl/>
        </w:rPr>
        <w:br/>
      </w:r>
      <w:r>
        <w:rPr>
          <w:rFonts w:hint="cs"/>
          <w:sz w:val="20"/>
          <w:szCs w:val="20"/>
          <w:rtl/>
        </w:rPr>
        <w:t xml:space="preserve">ב. </w:t>
      </w:r>
      <w:r w:rsidRPr="001D2851">
        <w:rPr>
          <w:rFonts w:hint="cs"/>
          <w:b/>
          <w:bCs/>
          <w:sz w:val="20"/>
          <w:szCs w:val="20"/>
          <w:rtl/>
        </w:rPr>
        <w:t>רא"ש</w:t>
      </w:r>
      <w:r>
        <w:rPr>
          <w:rFonts w:hint="cs"/>
          <w:sz w:val="20"/>
          <w:szCs w:val="20"/>
          <w:rtl/>
        </w:rPr>
        <w:t xml:space="preserve"> </w:t>
      </w:r>
      <w:r>
        <w:rPr>
          <w:sz w:val="20"/>
          <w:szCs w:val="20"/>
          <w:rtl/>
        </w:rPr>
        <w:t>–</w:t>
      </w:r>
      <w:r>
        <w:rPr>
          <w:rFonts w:hint="cs"/>
          <w:sz w:val="20"/>
          <w:szCs w:val="20"/>
          <w:rtl/>
        </w:rPr>
        <w:t xml:space="preserve"> לפלוף לח אינו חוצץ, לפלוף יבש חוצץ, ולפלוף בתוך העין הוא תמיד לח. </w:t>
      </w:r>
      <w:r>
        <w:rPr>
          <w:sz w:val="20"/>
          <w:szCs w:val="20"/>
          <w:rtl/>
        </w:rPr>
        <w:br/>
      </w:r>
      <w:r w:rsidRPr="001D2851">
        <w:rPr>
          <w:rFonts w:hint="cs"/>
          <w:b/>
          <w:bCs/>
          <w:sz w:val="20"/>
          <w:szCs w:val="20"/>
          <w:rtl/>
        </w:rPr>
        <w:t>הסבר</w:t>
      </w:r>
      <w:r>
        <w:rPr>
          <w:rFonts w:hint="cs"/>
          <w:sz w:val="20"/>
          <w:szCs w:val="20"/>
          <w:rtl/>
        </w:rPr>
        <w:t xml:space="preserve"> </w:t>
      </w:r>
      <w:r>
        <w:rPr>
          <w:sz w:val="20"/>
          <w:szCs w:val="20"/>
          <w:rtl/>
        </w:rPr>
        <w:t>–</w:t>
      </w:r>
      <w:r>
        <w:rPr>
          <w:rFonts w:hint="cs"/>
          <w:sz w:val="20"/>
          <w:szCs w:val="20"/>
          <w:rtl/>
        </w:rPr>
        <w:t xml:space="preserve"> החילוק של מר עוקבא בין לח ליבש, הוא החילוק עצמו שנאמר במשנה. כוונת המשנה שבדרך כלל לפלוף חוץ לעין יבש ואילו לפלוף בתוך העין הוא לח, מפני שהדמעה מלחלחתו. לפי"ז, המשנה עוסקת בלפלוף יבש ודינו שמחוץ לעין חוצץ, אך לפלוף לח אפילו חוץ לעין אינו חוצץ.</w:t>
      </w:r>
      <w:r>
        <w:rPr>
          <w:sz w:val="20"/>
          <w:szCs w:val="20"/>
          <w:rtl/>
        </w:rPr>
        <w:br/>
      </w:r>
      <w:r>
        <w:rPr>
          <w:rFonts w:hint="cs"/>
          <w:sz w:val="20"/>
          <w:szCs w:val="20"/>
          <w:rtl/>
        </w:rPr>
        <w:t xml:space="preserve">ג. </w:t>
      </w:r>
      <w:r w:rsidRPr="001D2851">
        <w:rPr>
          <w:rFonts w:hint="cs"/>
          <w:b/>
          <w:bCs/>
          <w:sz w:val="20"/>
          <w:szCs w:val="20"/>
          <w:rtl/>
        </w:rPr>
        <w:t>סמ"ג</w:t>
      </w:r>
      <w:r>
        <w:rPr>
          <w:rFonts w:hint="cs"/>
          <w:sz w:val="20"/>
          <w:szCs w:val="20"/>
          <w:rtl/>
        </w:rPr>
        <w:t xml:space="preserve"> </w:t>
      </w:r>
      <w:r>
        <w:rPr>
          <w:sz w:val="20"/>
          <w:szCs w:val="20"/>
          <w:rtl/>
        </w:rPr>
        <w:t>–</w:t>
      </w:r>
      <w:r>
        <w:rPr>
          <w:rFonts w:hint="cs"/>
          <w:sz w:val="20"/>
          <w:szCs w:val="20"/>
          <w:rtl/>
        </w:rPr>
        <w:t xml:space="preserve"> לפלוף יבש חוצץ, לפלוף לח אינו חוצץ.</w:t>
      </w:r>
      <w:r>
        <w:rPr>
          <w:sz w:val="20"/>
          <w:szCs w:val="20"/>
          <w:rtl/>
        </w:rPr>
        <w:br/>
      </w:r>
      <w:r w:rsidRPr="001D2851">
        <w:rPr>
          <w:rFonts w:hint="cs"/>
          <w:b/>
          <w:bCs/>
          <w:sz w:val="20"/>
          <w:szCs w:val="20"/>
          <w:rtl/>
        </w:rPr>
        <w:t xml:space="preserve">הסבר </w:t>
      </w:r>
      <w:r>
        <w:rPr>
          <w:sz w:val="20"/>
          <w:szCs w:val="20"/>
          <w:rtl/>
        </w:rPr>
        <w:t>–</w:t>
      </w:r>
      <w:r>
        <w:rPr>
          <w:rFonts w:hint="cs"/>
          <w:sz w:val="20"/>
          <w:szCs w:val="20"/>
          <w:rtl/>
        </w:rPr>
        <w:t xml:space="preserve"> מר עוקבא והמשנה אמרו דבר אחד, אך המשנה התנסחה באופן זה משום שלפלוף מחוץ לעין הוא בדרך כלל יבש, ואילו לפלוף בתוך העין הוא בדרך כלל לח.</w:t>
      </w:r>
    </w:p>
    <w:p w:rsidR="00620060" w:rsidRDefault="00620060" w:rsidP="00620060">
      <w:pPr>
        <w:rPr>
          <w:sz w:val="20"/>
          <w:szCs w:val="20"/>
          <w:rtl/>
        </w:rPr>
      </w:pPr>
      <w:r>
        <w:rPr>
          <w:rFonts w:hint="cs"/>
          <w:b/>
          <w:bCs/>
          <w:sz w:val="20"/>
          <w:szCs w:val="20"/>
          <w:rtl/>
        </w:rPr>
        <w:t>שיעור היבשות</w:t>
      </w:r>
      <w:r>
        <w:rPr>
          <w:b/>
          <w:bCs/>
          <w:sz w:val="20"/>
          <w:szCs w:val="20"/>
          <w:rtl/>
        </w:rPr>
        <w:br/>
      </w:r>
      <w:r>
        <w:rPr>
          <w:rFonts w:hint="cs"/>
          <w:sz w:val="20"/>
          <w:szCs w:val="20"/>
          <w:rtl/>
        </w:rPr>
        <w:t xml:space="preserve">א. </w:t>
      </w:r>
      <w:r w:rsidRPr="002E02B1">
        <w:rPr>
          <w:rFonts w:hint="cs"/>
          <w:b/>
          <w:bCs/>
          <w:sz w:val="20"/>
          <w:szCs w:val="20"/>
          <w:rtl/>
        </w:rPr>
        <w:t>טור</w:t>
      </w:r>
      <w:r>
        <w:rPr>
          <w:rFonts w:hint="cs"/>
          <w:sz w:val="20"/>
          <w:szCs w:val="20"/>
          <w:rtl/>
        </w:rPr>
        <w:t xml:space="preserve"> </w:t>
      </w:r>
      <w:r w:rsidRPr="002E02B1">
        <w:rPr>
          <w:rFonts w:hint="cs"/>
          <w:sz w:val="18"/>
          <w:szCs w:val="18"/>
          <w:rtl/>
        </w:rPr>
        <w:t xml:space="preserve">(בדעת </w:t>
      </w:r>
      <w:r w:rsidRPr="002E02B1">
        <w:rPr>
          <w:rFonts w:hint="cs"/>
          <w:b/>
          <w:bCs/>
          <w:sz w:val="18"/>
          <w:szCs w:val="18"/>
          <w:rtl/>
        </w:rPr>
        <w:t>הרמב"ם</w:t>
      </w:r>
      <w:r w:rsidRPr="002E02B1">
        <w:rPr>
          <w:rFonts w:hint="cs"/>
          <w:sz w:val="18"/>
          <w:szCs w:val="18"/>
          <w:rtl/>
        </w:rPr>
        <w:t xml:space="preserve">) </w:t>
      </w:r>
      <w:r>
        <w:rPr>
          <w:sz w:val="20"/>
          <w:szCs w:val="20"/>
          <w:rtl/>
        </w:rPr>
        <w:t>–</w:t>
      </w:r>
      <w:r>
        <w:rPr>
          <w:rFonts w:hint="cs"/>
          <w:sz w:val="20"/>
          <w:szCs w:val="20"/>
          <w:rtl/>
        </w:rPr>
        <w:t xml:space="preserve"> בתוך ג' ימים הלפלוף לח, לאחר ג' ימים הוא יבש.</w:t>
      </w:r>
      <w:r>
        <w:rPr>
          <w:sz w:val="20"/>
          <w:szCs w:val="20"/>
          <w:rtl/>
        </w:rPr>
        <w:br/>
      </w:r>
      <w:r>
        <w:rPr>
          <w:rFonts w:hint="cs"/>
          <w:sz w:val="20"/>
          <w:szCs w:val="20"/>
          <w:rtl/>
        </w:rPr>
        <w:t xml:space="preserve">ב. </w:t>
      </w:r>
      <w:r w:rsidRPr="002E02B1">
        <w:rPr>
          <w:rFonts w:hint="cs"/>
          <w:b/>
          <w:bCs/>
          <w:sz w:val="20"/>
          <w:szCs w:val="20"/>
          <w:rtl/>
        </w:rPr>
        <w:t>בית יוסף</w:t>
      </w:r>
      <w:r>
        <w:rPr>
          <w:rFonts w:hint="cs"/>
          <w:sz w:val="20"/>
          <w:szCs w:val="20"/>
          <w:rtl/>
        </w:rPr>
        <w:t xml:space="preserve"> </w:t>
      </w:r>
      <w:r w:rsidRPr="002E02B1">
        <w:rPr>
          <w:rFonts w:hint="cs"/>
          <w:sz w:val="18"/>
          <w:szCs w:val="18"/>
          <w:rtl/>
        </w:rPr>
        <w:t xml:space="preserve">(בדעת </w:t>
      </w:r>
      <w:r w:rsidRPr="002E02B1">
        <w:rPr>
          <w:rFonts w:hint="cs"/>
          <w:b/>
          <w:bCs/>
          <w:sz w:val="18"/>
          <w:szCs w:val="18"/>
          <w:rtl/>
        </w:rPr>
        <w:t>הרמב"ם</w:t>
      </w:r>
      <w:r w:rsidRPr="002E02B1">
        <w:rPr>
          <w:rFonts w:hint="cs"/>
          <w:sz w:val="18"/>
          <w:szCs w:val="18"/>
          <w:rtl/>
        </w:rPr>
        <w:t xml:space="preserve">) </w:t>
      </w:r>
      <w:r>
        <w:rPr>
          <w:sz w:val="20"/>
          <w:szCs w:val="20"/>
          <w:rtl/>
        </w:rPr>
        <w:t>–</w:t>
      </w:r>
      <w:r>
        <w:rPr>
          <w:rFonts w:hint="cs"/>
          <w:sz w:val="20"/>
          <w:szCs w:val="20"/>
          <w:rtl/>
        </w:rPr>
        <w:t xml:space="preserve"> לפלוף שלא הוריק הוא לח, אם התחיל להוריק הוא יבש.</w:t>
      </w:r>
      <w:r>
        <w:rPr>
          <w:rStyle w:val="a5"/>
          <w:sz w:val="20"/>
          <w:szCs w:val="20"/>
          <w:rtl/>
        </w:rPr>
        <w:footnoteReference w:id="608"/>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sz w:val="20"/>
          <w:szCs w:val="20"/>
          <w:rtl/>
        </w:rPr>
        <w:t xml:space="preserve">א. </w:t>
      </w:r>
      <w:r>
        <w:rPr>
          <w:rFonts w:hint="cs"/>
          <w:b/>
          <w:bCs/>
          <w:sz w:val="20"/>
          <w:szCs w:val="20"/>
          <w:rtl/>
        </w:rPr>
        <w:t xml:space="preserve">שולחן ערוך </w:t>
      </w:r>
      <w:r>
        <w:rPr>
          <w:sz w:val="20"/>
          <w:szCs w:val="20"/>
          <w:rtl/>
        </w:rPr>
        <w:t>–</w:t>
      </w:r>
      <w:r>
        <w:rPr>
          <w:rFonts w:hint="cs"/>
          <w:sz w:val="20"/>
          <w:szCs w:val="20"/>
          <w:rtl/>
        </w:rPr>
        <w:t xml:space="preserve"> "</w:t>
      </w:r>
      <w:r w:rsidRPr="00E61486">
        <w:rPr>
          <w:rFonts w:cs="Arial"/>
          <w:sz w:val="20"/>
          <w:szCs w:val="20"/>
          <w:rtl/>
        </w:rPr>
        <w:t xml:space="preserve">לפלוף </w:t>
      </w:r>
      <w:r>
        <w:rPr>
          <w:rFonts w:cs="Arial"/>
          <w:sz w:val="18"/>
          <w:szCs w:val="18"/>
          <w:rtl/>
        </w:rPr>
        <w:t>(פי</w:t>
      </w:r>
      <w:r>
        <w:rPr>
          <w:rFonts w:cs="Arial" w:hint="cs"/>
          <w:sz w:val="18"/>
          <w:szCs w:val="18"/>
          <w:rtl/>
        </w:rPr>
        <w:t xml:space="preserve">רוש </w:t>
      </w:r>
      <w:r w:rsidRPr="00E61486">
        <w:rPr>
          <w:rFonts w:cs="Arial"/>
          <w:sz w:val="18"/>
          <w:szCs w:val="18"/>
          <w:rtl/>
        </w:rPr>
        <w:t xml:space="preserve">צואת העין) </w:t>
      </w:r>
      <w:r w:rsidRPr="00E61486">
        <w:rPr>
          <w:rFonts w:cs="Arial"/>
          <w:sz w:val="20"/>
          <w:szCs w:val="20"/>
          <w:rtl/>
        </w:rPr>
        <w:t>שחוץ לעין, חוצץ אפילו הוא לח; ולפלוף שבעין אינו חוצץ, ואם היה יבש, חוצץ; והוא שהתחיל להוריק</w:t>
      </w:r>
      <w:r>
        <w:rPr>
          <w:rFonts w:cs="Arial" w:hint="cs"/>
          <w:sz w:val="20"/>
          <w:szCs w:val="20"/>
          <w:rtl/>
        </w:rPr>
        <w:t>".</w:t>
      </w:r>
      <w:r>
        <w:rPr>
          <w:sz w:val="20"/>
          <w:szCs w:val="20"/>
          <w:rtl/>
        </w:rPr>
        <w:br/>
      </w:r>
      <w:r>
        <w:rPr>
          <w:rFonts w:hint="cs"/>
          <w:sz w:val="20"/>
          <w:szCs w:val="20"/>
          <w:rtl/>
        </w:rPr>
        <w:t xml:space="preserve">ב. </w:t>
      </w:r>
      <w:r w:rsidRPr="004F72B9">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בדיעבד לפלוף בתוך העין אינו מעכב, אלא שלכתחילה יש להורות לה לחזור ולטבול אם הדבר אפשרי. אך לפלוף שחוץ לעין חוצץ בכל עניין, כדברי המחבר.</w:t>
      </w:r>
      <w:r>
        <w:rPr>
          <w:rStyle w:val="a5"/>
          <w:sz w:val="20"/>
          <w:szCs w:val="20"/>
          <w:rtl/>
        </w:rPr>
        <w:footnoteReference w:id="609"/>
      </w:r>
    </w:p>
    <w:p w:rsidR="00620060"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EB68C6">
        <w:rPr>
          <w:rFonts w:hint="cs"/>
          <w:b/>
          <w:bCs/>
          <w:sz w:val="20"/>
          <w:szCs w:val="20"/>
          <w:rtl/>
        </w:rPr>
        <w:t>משנה</w:t>
      </w:r>
      <w:r>
        <w:rPr>
          <w:rFonts w:hint="cs"/>
          <w:sz w:val="20"/>
          <w:szCs w:val="20"/>
          <w:rtl/>
        </w:rPr>
        <w:t>. לפלוף שחוץ לעין חוצץ, בתוך העין אינו חוצץ. גמרא. לפלוף יבש חוצץ, לח אינו חוצץ.</w:t>
      </w:r>
      <w:r>
        <w:rPr>
          <w:sz w:val="20"/>
          <w:szCs w:val="20"/>
          <w:rtl/>
        </w:rPr>
        <w:br/>
      </w:r>
      <w:r>
        <w:rPr>
          <w:rFonts w:hint="cs"/>
          <w:sz w:val="20"/>
          <w:szCs w:val="20"/>
          <w:rtl/>
        </w:rPr>
        <w:t xml:space="preserve">2. </w:t>
      </w:r>
      <w:r w:rsidRPr="00EB68C6">
        <w:rPr>
          <w:rFonts w:hint="cs"/>
          <w:b/>
          <w:bCs/>
          <w:sz w:val="20"/>
          <w:szCs w:val="20"/>
          <w:rtl/>
        </w:rPr>
        <w:t>תוס' ורמב"ם</w:t>
      </w:r>
      <w:r>
        <w:rPr>
          <w:rFonts w:hint="cs"/>
          <w:sz w:val="20"/>
          <w:szCs w:val="20"/>
          <w:rtl/>
        </w:rPr>
        <w:t xml:space="preserve">. רק לח בתוך העין אינו חוצץ </w:t>
      </w:r>
      <w:r w:rsidRPr="00833170">
        <w:rPr>
          <w:rFonts w:hint="cs"/>
          <w:sz w:val="18"/>
          <w:szCs w:val="18"/>
          <w:rtl/>
        </w:rPr>
        <w:t>(רק תרי למעליותא אינו חוצץ)</w:t>
      </w:r>
      <w:r>
        <w:rPr>
          <w:rFonts w:hint="cs"/>
          <w:sz w:val="20"/>
          <w:szCs w:val="20"/>
          <w:rtl/>
        </w:rPr>
        <w:t xml:space="preserve">, וכ"פ </w:t>
      </w:r>
      <w:r w:rsidRPr="00EB68C6">
        <w:rPr>
          <w:rFonts w:hint="cs"/>
          <w:b/>
          <w:bCs/>
          <w:sz w:val="20"/>
          <w:szCs w:val="20"/>
          <w:rtl/>
        </w:rPr>
        <w:t>המחבר</w:t>
      </w:r>
      <w:r>
        <w:rPr>
          <w:rFonts w:hint="cs"/>
          <w:sz w:val="20"/>
          <w:szCs w:val="20"/>
          <w:rtl/>
        </w:rPr>
        <w:t xml:space="preserve">. </w:t>
      </w:r>
      <w:r w:rsidRPr="00EB68C6">
        <w:rPr>
          <w:rFonts w:hint="cs"/>
          <w:b/>
          <w:bCs/>
          <w:sz w:val="20"/>
          <w:szCs w:val="20"/>
          <w:rtl/>
        </w:rPr>
        <w:t>רא"ש</w:t>
      </w:r>
      <w:r>
        <w:rPr>
          <w:rFonts w:hint="cs"/>
          <w:sz w:val="20"/>
          <w:szCs w:val="20"/>
          <w:rtl/>
        </w:rPr>
        <w:t xml:space="preserve">. רק יבש מחוץ לעין חוצץ </w:t>
      </w:r>
      <w:r w:rsidRPr="00833170">
        <w:rPr>
          <w:rFonts w:hint="cs"/>
          <w:sz w:val="18"/>
          <w:szCs w:val="18"/>
          <w:rtl/>
        </w:rPr>
        <w:t>(רק תרי לריעותא חוצץ)</w:t>
      </w:r>
      <w:r>
        <w:rPr>
          <w:rFonts w:hint="cs"/>
          <w:sz w:val="20"/>
          <w:szCs w:val="20"/>
          <w:rtl/>
        </w:rPr>
        <w:t xml:space="preserve">. </w:t>
      </w:r>
      <w:r w:rsidRPr="00EB68C6">
        <w:rPr>
          <w:rFonts w:hint="cs"/>
          <w:b/>
          <w:bCs/>
          <w:sz w:val="20"/>
          <w:szCs w:val="20"/>
          <w:rtl/>
        </w:rPr>
        <w:t>סמ"ג</w:t>
      </w:r>
      <w:r>
        <w:rPr>
          <w:rFonts w:hint="cs"/>
          <w:sz w:val="20"/>
          <w:szCs w:val="20"/>
          <w:rtl/>
        </w:rPr>
        <w:t xml:space="preserve">. לח חוצץ, יבש אינו חוצץ. </w:t>
      </w:r>
      <w:r>
        <w:rPr>
          <w:sz w:val="20"/>
          <w:szCs w:val="20"/>
          <w:rtl/>
        </w:rPr>
        <w:br/>
      </w:r>
      <w:r>
        <w:rPr>
          <w:rFonts w:hint="cs"/>
          <w:sz w:val="20"/>
          <w:szCs w:val="20"/>
          <w:rtl/>
        </w:rPr>
        <w:t xml:space="preserve">3. </w:t>
      </w:r>
      <w:r w:rsidRPr="000C29F4">
        <w:rPr>
          <w:rFonts w:hint="cs"/>
          <w:sz w:val="20"/>
          <w:szCs w:val="20"/>
          <w:rtl/>
        </w:rPr>
        <w:t>מהו גדר יבש.</w:t>
      </w:r>
      <w:r>
        <w:rPr>
          <w:rFonts w:hint="cs"/>
          <w:sz w:val="20"/>
          <w:szCs w:val="20"/>
          <w:rtl/>
        </w:rPr>
        <w:t xml:space="preserve"> </w:t>
      </w:r>
      <w:r w:rsidRPr="00EB68C6">
        <w:rPr>
          <w:rFonts w:hint="cs"/>
          <w:b/>
          <w:bCs/>
          <w:sz w:val="20"/>
          <w:szCs w:val="20"/>
          <w:rtl/>
        </w:rPr>
        <w:t>טור</w:t>
      </w:r>
      <w:r>
        <w:rPr>
          <w:rFonts w:hint="cs"/>
          <w:sz w:val="20"/>
          <w:szCs w:val="20"/>
          <w:rtl/>
        </w:rPr>
        <w:t xml:space="preserve">. לאחר ג' ימים. </w:t>
      </w:r>
      <w:r w:rsidRPr="00EB68C6">
        <w:rPr>
          <w:rFonts w:hint="cs"/>
          <w:b/>
          <w:bCs/>
          <w:sz w:val="20"/>
          <w:szCs w:val="20"/>
          <w:rtl/>
        </w:rPr>
        <w:t>בית יוסף</w:t>
      </w:r>
      <w:r>
        <w:rPr>
          <w:rFonts w:hint="cs"/>
          <w:sz w:val="20"/>
          <w:szCs w:val="20"/>
          <w:rtl/>
        </w:rPr>
        <w:t>. התחיל להוריק.</w:t>
      </w:r>
      <w:r>
        <w:rPr>
          <w:sz w:val="20"/>
          <w:szCs w:val="20"/>
          <w:rtl/>
        </w:rPr>
        <w:br/>
      </w:r>
      <w:r>
        <w:rPr>
          <w:rFonts w:hint="cs"/>
          <w:sz w:val="20"/>
          <w:szCs w:val="20"/>
          <w:rtl/>
        </w:rPr>
        <w:t xml:space="preserve">4. </w:t>
      </w:r>
      <w:r w:rsidRPr="00EB68C6">
        <w:rPr>
          <w:rFonts w:hint="cs"/>
          <w:b/>
          <w:bCs/>
          <w:sz w:val="20"/>
          <w:szCs w:val="20"/>
          <w:rtl/>
        </w:rPr>
        <w:t>מחבר</w:t>
      </w:r>
      <w:r>
        <w:rPr>
          <w:rFonts w:hint="cs"/>
          <w:sz w:val="20"/>
          <w:szCs w:val="20"/>
          <w:rtl/>
        </w:rPr>
        <w:t xml:space="preserve">. לפלוף שחוץ לעין חוצץ תמיד, בתוך העין: יבש חוצץ, לח אינו חוצץ. ויבש הוא כשהתחיל להוריק. </w:t>
      </w:r>
      <w:r w:rsidRPr="00EB68C6">
        <w:rPr>
          <w:rFonts w:hint="cs"/>
          <w:b/>
          <w:bCs/>
          <w:sz w:val="20"/>
          <w:szCs w:val="20"/>
          <w:rtl/>
        </w:rPr>
        <w:t>ש"ך</w:t>
      </w:r>
      <w:r>
        <w:rPr>
          <w:rFonts w:hint="cs"/>
          <w:sz w:val="20"/>
          <w:szCs w:val="20"/>
          <w:rtl/>
        </w:rPr>
        <w:t>. לפלוף בעין אפילו יבש אינו מעכב בדיעבד, לכתחילה תטבול שנית. לפלוף חוץ לעין מעכב.</w:t>
      </w:r>
    </w:p>
    <w:p w:rsidR="00620060" w:rsidRDefault="00620060" w:rsidP="00620060">
      <w:pPr>
        <w:rPr>
          <w:sz w:val="20"/>
          <w:szCs w:val="20"/>
          <w:rtl/>
        </w:rPr>
      </w:pPr>
      <w:r>
        <w:rPr>
          <w:sz w:val="20"/>
          <w:szCs w:val="20"/>
          <w:rtl/>
        </w:rPr>
        <w:lastRenderedPageBreak/>
        <w:br/>
      </w:r>
      <w:r>
        <w:rPr>
          <w:rFonts w:hint="cs"/>
          <w:b/>
          <w:bCs/>
          <w:sz w:val="20"/>
          <w:szCs w:val="20"/>
          <w:rtl/>
        </w:rPr>
        <w:t xml:space="preserve">סעיף ח </w:t>
      </w:r>
      <w:r>
        <w:rPr>
          <w:b/>
          <w:bCs/>
          <w:sz w:val="20"/>
          <w:szCs w:val="20"/>
          <w:rtl/>
        </w:rPr>
        <w:t>–</w:t>
      </w:r>
      <w:r>
        <w:rPr>
          <w:rFonts w:hint="cs"/>
          <w:b/>
          <w:bCs/>
          <w:sz w:val="20"/>
          <w:szCs w:val="20"/>
          <w:rtl/>
        </w:rPr>
        <w:t xml:space="preserve"> כחול שבעין</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גמרא </w:t>
      </w:r>
      <w:r>
        <w:rPr>
          <w:rFonts w:hint="cs"/>
          <w:sz w:val="20"/>
          <w:szCs w:val="20"/>
          <w:rtl/>
        </w:rPr>
        <w:t>נידה (סז.) "</w:t>
      </w:r>
      <w:r w:rsidRPr="00225258">
        <w:rPr>
          <w:rFonts w:cs="Arial"/>
          <w:sz w:val="20"/>
          <w:szCs w:val="20"/>
          <w:rtl/>
        </w:rPr>
        <w:t>אמר שמואל: כחול שבתוך העין - אינו חוצץ. ושעל גבי העין - חוצץ. אם היו עיניה פורחות - אפי</w:t>
      </w:r>
      <w:r>
        <w:rPr>
          <w:rFonts w:cs="Arial" w:hint="cs"/>
          <w:sz w:val="20"/>
          <w:szCs w:val="20"/>
          <w:rtl/>
        </w:rPr>
        <w:t>לו</w:t>
      </w:r>
      <w:r w:rsidRPr="00225258">
        <w:rPr>
          <w:rFonts w:cs="Arial"/>
          <w:sz w:val="20"/>
          <w:szCs w:val="20"/>
          <w:rtl/>
        </w:rPr>
        <w:t xml:space="preserve"> על גבי העין אינו חוצץ</w:t>
      </w:r>
      <w:r>
        <w:rPr>
          <w:rFonts w:cs="Arial" w:hint="cs"/>
          <w:sz w:val="20"/>
          <w:szCs w:val="20"/>
          <w:rtl/>
        </w:rPr>
        <w:t>".</w:t>
      </w:r>
    </w:p>
    <w:p w:rsidR="00620060" w:rsidRDefault="00620060" w:rsidP="00620060">
      <w:pPr>
        <w:rPr>
          <w:sz w:val="20"/>
          <w:szCs w:val="20"/>
          <w:rtl/>
        </w:rPr>
      </w:pPr>
      <w:r>
        <w:rPr>
          <w:rFonts w:hint="cs"/>
          <w:b/>
          <w:bCs/>
          <w:sz w:val="20"/>
          <w:szCs w:val="20"/>
          <w:rtl/>
        </w:rPr>
        <w:t>הסבר וטעם הדין</w:t>
      </w:r>
      <w:r>
        <w:rPr>
          <w:b/>
          <w:bCs/>
          <w:sz w:val="20"/>
          <w:szCs w:val="20"/>
          <w:rtl/>
        </w:rPr>
        <w:br/>
      </w:r>
      <w:r>
        <w:rPr>
          <w:rFonts w:hint="cs"/>
          <w:sz w:val="20"/>
          <w:szCs w:val="20"/>
          <w:rtl/>
        </w:rPr>
        <w:t xml:space="preserve">א. </w:t>
      </w:r>
      <w:r w:rsidRPr="00DB3477">
        <w:rPr>
          <w:rFonts w:hint="cs"/>
          <w:b/>
          <w:bCs/>
          <w:sz w:val="20"/>
          <w:szCs w:val="20"/>
          <w:rtl/>
        </w:rPr>
        <w:t>רש"י</w:t>
      </w:r>
      <w:r>
        <w:rPr>
          <w:rFonts w:hint="cs"/>
          <w:sz w:val="20"/>
          <w:szCs w:val="20"/>
          <w:rtl/>
        </w:rPr>
        <w:t xml:space="preserve"> </w:t>
      </w:r>
      <w:r>
        <w:rPr>
          <w:sz w:val="20"/>
          <w:szCs w:val="20"/>
          <w:rtl/>
        </w:rPr>
        <w:t>–</w:t>
      </w:r>
      <w:r>
        <w:rPr>
          <w:rFonts w:hint="cs"/>
          <w:sz w:val="20"/>
          <w:szCs w:val="20"/>
          <w:rtl/>
        </w:rPr>
        <w:t xml:space="preserve"> אם פותחת ועוצמת עיניה תדיר, אינו חוצץ, משום שפעולה זו מסירה את הכחול, וכ"פ </w:t>
      </w:r>
      <w:r w:rsidRPr="00DB3477">
        <w:rPr>
          <w:rFonts w:hint="cs"/>
          <w:b/>
          <w:bCs/>
          <w:sz w:val="20"/>
          <w:szCs w:val="20"/>
          <w:rtl/>
        </w:rPr>
        <w:t>המחבר</w:t>
      </w:r>
      <w:r>
        <w:rPr>
          <w:rFonts w:hint="cs"/>
          <w:sz w:val="20"/>
          <w:szCs w:val="20"/>
          <w:rtl/>
        </w:rPr>
        <w:t>.</w:t>
      </w:r>
      <w:r>
        <w:rPr>
          <w:sz w:val="20"/>
          <w:szCs w:val="20"/>
          <w:rtl/>
        </w:rPr>
        <w:br/>
      </w:r>
      <w:r>
        <w:rPr>
          <w:rFonts w:hint="cs"/>
          <w:sz w:val="20"/>
          <w:szCs w:val="20"/>
          <w:rtl/>
        </w:rPr>
        <w:t xml:space="preserve">ב. </w:t>
      </w:r>
      <w:r w:rsidRPr="00DB3477">
        <w:rPr>
          <w:rFonts w:hint="cs"/>
          <w:b/>
          <w:bCs/>
          <w:sz w:val="20"/>
          <w:szCs w:val="20"/>
          <w:rtl/>
        </w:rPr>
        <w:t>רש"י</w:t>
      </w:r>
      <w:r>
        <w:rPr>
          <w:rFonts w:hint="cs"/>
          <w:sz w:val="20"/>
          <w:szCs w:val="20"/>
          <w:rtl/>
        </w:rPr>
        <w:t xml:space="preserve"> </w:t>
      </w:r>
      <w:r>
        <w:rPr>
          <w:sz w:val="20"/>
          <w:szCs w:val="20"/>
          <w:rtl/>
        </w:rPr>
        <w:t>–</w:t>
      </w:r>
      <w:r>
        <w:rPr>
          <w:rFonts w:hint="cs"/>
          <w:sz w:val="20"/>
          <w:szCs w:val="20"/>
          <w:rtl/>
        </w:rPr>
        <w:t xml:space="preserve"> אם דומעת הכחול אינו חוצץ משום שהדמעה מלחלחתו.</w:t>
      </w:r>
      <w:r>
        <w:rPr>
          <w:sz w:val="20"/>
          <w:szCs w:val="20"/>
          <w:rtl/>
        </w:rPr>
        <w:br/>
      </w:r>
      <w:r>
        <w:rPr>
          <w:rFonts w:hint="cs"/>
          <w:sz w:val="20"/>
          <w:szCs w:val="20"/>
          <w:rtl/>
        </w:rPr>
        <w:t xml:space="preserve">ג. </w:t>
      </w:r>
      <w:r w:rsidRPr="008941AA">
        <w:rPr>
          <w:rFonts w:hint="cs"/>
          <w:b/>
          <w:bCs/>
          <w:sz w:val="20"/>
          <w:szCs w:val="20"/>
          <w:rtl/>
        </w:rPr>
        <w:t>רמב"ם</w:t>
      </w:r>
      <w:r w:rsidRPr="008941AA">
        <w:rPr>
          <w:rFonts w:hint="cs"/>
          <w:sz w:val="18"/>
          <w:szCs w:val="18"/>
          <w:rtl/>
        </w:rPr>
        <w:t xml:space="preserve"> (לפי נוסחת </w:t>
      </w:r>
      <w:r w:rsidRPr="008941AA">
        <w:rPr>
          <w:rFonts w:hint="cs"/>
          <w:b/>
          <w:bCs/>
          <w:sz w:val="18"/>
          <w:szCs w:val="18"/>
          <w:rtl/>
        </w:rPr>
        <w:t>הטור</w:t>
      </w:r>
      <w:r>
        <w:rPr>
          <w:rStyle w:val="a5"/>
          <w:sz w:val="18"/>
          <w:szCs w:val="18"/>
          <w:rtl/>
        </w:rPr>
        <w:footnoteReference w:id="610"/>
      </w:r>
      <w:r w:rsidRPr="008941AA">
        <w:rPr>
          <w:rFonts w:hint="cs"/>
          <w:sz w:val="18"/>
          <w:szCs w:val="18"/>
          <w:rtl/>
        </w:rPr>
        <w:t xml:space="preserve">) </w:t>
      </w:r>
      <w:r>
        <w:rPr>
          <w:sz w:val="20"/>
          <w:szCs w:val="20"/>
          <w:rtl/>
        </w:rPr>
        <w:t>–</w:t>
      </w:r>
      <w:r>
        <w:rPr>
          <w:rFonts w:hint="cs"/>
          <w:sz w:val="20"/>
          <w:szCs w:val="20"/>
          <w:rtl/>
        </w:rPr>
        <w:t xml:space="preserve"> </w:t>
      </w:r>
      <w:r>
        <w:rPr>
          <w:rFonts w:cs="Arial" w:hint="cs"/>
          <w:sz w:val="20"/>
          <w:szCs w:val="20"/>
          <w:rtl/>
        </w:rPr>
        <w:t>"</w:t>
      </w:r>
      <w:r w:rsidRPr="008941AA">
        <w:rPr>
          <w:rFonts w:cs="Arial"/>
          <w:sz w:val="20"/>
          <w:szCs w:val="20"/>
          <w:rtl/>
        </w:rPr>
        <w:t>היו עיניה פתוחות אף שחוץ לעין אינו חוצץ</w:t>
      </w:r>
      <w:r>
        <w:rPr>
          <w:rFonts w:hint="cs"/>
          <w:sz w:val="20"/>
          <w:szCs w:val="20"/>
          <w:rtl/>
        </w:rPr>
        <w:t>".</w:t>
      </w:r>
      <w:r>
        <w:rPr>
          <w:sz w:val="20"/>
          <w:szCs w:val="20"/>
          <w:rtl/>
        </w:rPr>
        <w:br/>
      </w:r>
      <w:r>
        <w:rPr>
          <w:rFonts w:hint="cs"/>
          <w:sz w:val="20"/>
          <w:szCs w:val="20"/>
          <w:rtl/>
        </w:rPr>
        <w:t xml:space="preserve">הסבר </w:t>
      </w:r>
      <w:r w:rsidRPr="008941AA">
        <w:rPr>
          <w:rFonts w:hint="cs"/>
          <w:b/>
          <w:bCs/>
          <w:sz w:val="20"/>
          <w:szCs w:val="20"/>
          <w:rtl/>
        </w:rPr>
        <w:t>הבית יוסף</w:t>
      </w:r>
      <w:r>
        <w:rPr>
          <w:rFonts w:hint="cs"/>
          <w:sz w:val="20"/>
          <w:szCs w:val="20"/>
          <w:rtl/>
        </w:rPr>
        <w:t xml:space="preserve"> </w:t>
      </w:r>
      <w:r>
        <w:rPr>
          <w:sz w:val="20"/>
          <w:szCs w:val="20"/>
          <w:rtl/>
        </w:rPr>
        <w:t>–</w:t>
      </w:r>
      <w:r>
        <w:rPr>
          <w:rFonts w:hint="cs"/>
          <w:sz w:val="20"/>
          <w:szCs w:val="20"/>
          <w:rtl/>
        </w:rPr>
        <w:t xml:space="preserve"> כוונת הרמב"ם כרש"י בפירושו הראשון.</w:t>
      </w:r>
      <w:r>
        <w:rPr>
          <w:sz w:val="20"/>
          <w:szCs w:val="20"/>
          <w:rtl/>
        </w:rPr>
        <w:br/>
      </w:r>
      <w:r>
        <w:rPr>
          <w:rFonts w:hint="cs"/>
          <w:sz w:val="20"/>
          <w:szCs w:val="20"/>
          <w:rtl/>
        </w:rPr>
        <w:t xml:space="preserve">הסבר </w:t>
      </w:r>
      <w:r w:rsidRPr="008941AA">
        <w:rPr>
          <w:rFonts w:hint="cs"/>
          <w:b/>
          <w:bCs/>
          <w:sz w:val="20"/>
          <w:szCs w:val="20"/>
          <w:rtl/>
        </w:rPr>
        <w:t>הב"ח והט"ז</w:t>
      </w:r>
      <w:r>
        <w:rPr>
          <w:rFonts w:hint="cs"/>
          <w:sz w:val="20"/>
          <w:szCs w:val="20"/>
          <w:rtl/>
        </w:rPr>
        <w:t xml:space="preserve"> </w:t>
      </w:r>
      <w:r>
        <w:rPr>
          <w:sz w:val="20"/>
          <w:szCs w:val="20"/>
          <w:rtl/>
        </w:rPr>
        <w:t>–</w:t>
      </w:r>
      <w:r>
        <w:rPr>
          <w:rFonts w:hint="cs"/>
          <w:sz w:val="20"/>
          <w:szCs w:val="20"/>
          <w:rtl/>
        </w:rPr>
        <w:t xml:space="preserve"> כוונת הרמב"ם שאם טבלה בעיניים פתוחות עלתה לה טבילה, לפי שפתיחת העיניים מעבירה את הכחול ואינו חוצץ.</w:t>
      </w:r>
    </w:p>
    <w:p w:rsidR="00620060" w:rsidRDefault="00620060" w:rsidP="00620060">
      <w:pPr>
        <w:rPr>
          <w:sz w:val="20"/>
          <w:szCs w:val="20"/>
          <w:rtl/>
        </w:rPr>
      </w:pPr>
      <w:r>
        <w:rPr>
          <w:rFonts w:hint="cs"/>
          <w:b/>
          <w:bCs/>
          <w:sz w:val="20"/>
          <w:szCs w:val="20"/>
          <w:rtl/>
        </w:rPr>
        <w:t>פסיקת הלכה</w:t>
      </w:r>
      <w:r w:rsidRPr="004D74DC">
        <w:rPr>
          <w:rStyle w:val="a5"/>
          <w:sz w:val="20"/>
          <w:szCs w:val="20"/>
          <w:rtl/>
        </w:rPr>
        <w:footnoteReference w:id="611"/>
      </w:r>
      <w:r>
        <w:rPr>
          <w:b/>
          <w:bCs/>
          <w:sz w:val="20"/>
          <w:szCs w:val="20"/>
          <w:rtl/>
        </w:rPr>
        <w:br/>
      </w:r>
      <w:r>
        <w:rPr>
          <w:rFonts w:hint="cs"/>
          <w:sz w:val="20"/>
          <w:szCs w:val="20"/>
          <w:rtl/>
        </w:rPr>
        <w:t xml:space="preserve">א. </w:t>
      </w:r>
      <w:r>
        <w:rPr>
          <w:rFonts w:hint="cs"/>
          <w:b/>
          <w:bCs/>
          <w:sz w:val="20"/>
          <w:szCs w:val="20"/>
          <w:rtl/>
        </w:rPr>
        <w:t xml:space="preserve">שולחן ערוך </w:t>
      </w:r>
      <w:r>
        <w:rPr>
          <w:sz w:val="20"/>
          <w:szCs w:val="20"/>
          <w:rtl/>
        </w:rPr>
        <w:t>–</w:t>
      </w:r>
      <w:r>
        <w:rPr>
          <w:rFonts w:hint="cs"/>
          <w:sz w:val="20"/>
          <w:szCs w:val="20"/>
          <w:rtl/>
        </w:rPr>
        <w:t xml:space="preserve"> "</w:t>
      </w:r>
      <w:r w:rsidRPr="00DB3477">
        <w:rPr>
          <w:rFonts w:cs="Arial"/>
          <w:sz w:val="20"/>
          <w:szCs w:val="20"/>
          <w:rtl/>
        </w:rPr>
        <w:t xml:space="preserve">כחול שבעין אינו חוצץ, ושחוץ לעין חוצץ; ואם היתה פותחת ועוצמת </w:t>
      </w:r>
      <w:r w:rsidRPr="00DB3477">
        <w:rPr>
          <w:rFonts w:cs="Arial"/>
          <w:sz w:val="18"/>
          <w:szCs w:val="18"/>
          <w:rtl/>
        </w:rPr>
        <w:t xml:space="preserve">(פירוש סוגרת) </w:t>
      </w:r>
      <w:r w:rsidRPr="00DB3477">
        <w:rPr>
          <w:rFonts w:cs="Arial"/>
          <w:sz w:val="20"/>
          <w:szCs w:val="20"/>
          <w:rtl/>
        </w:rPr>
        <w:t>עינ</w:t>
      </w:r>
      <w:r>
        <w:rPr>
          <w:rFonts w:cs="Arial"/>
          <w:sz w:val="20"/>
          <w:szCs w:val="20"/>
          <w:rtl/>
        </w:rPr>
        <w:t>יה תדיר, אף שחוץ לעין אינו חוצץ</w:t>
      </w:r>
      <w:r>
        <w:rPr>
          <w:rFonts w:cs="Arial" w:hint="cs"/>
          <w:sz w:val="20"/>
          <w:szCs w:val="20"/>
          <w:rtl/>
        </w:rPr>
        <w:t>".</w:t>
      </w:r>
      <w:r>
        <w:rPr>
          <w:rFonts w:hint="cs"/>
          <w:sz w:val="20"/>
          <w:szCs w:val="20"/>
          <w:rtl/>
        </w:rPr>
        <w:br/>
        <w:t xml:space="preserve">ב. </w:t>
      </w:r>
      <w:r w:rsidRPr="008941AA">
        <w:rPr>
          <w:rFonts w:hint="cs"/>
          <w:b/>
          <w:bCs/>
          <w:sz w:val="20"/>
          <w:szCs w:val="20"/>
          <w:rtl/>
        </w:rPr>
        <w:t>ב"ח וט"ז</w:t>
      </w:r>
      <w:r>
        <w:rPr>
          <w:rFonts w:hint="cs"/>
          <w:sz w:val="20"/>
          <w:szCs w:val="20"/>
          <w:rtl/>
        </w:rPr>
        <w:t xml:space="preserve"> </w:t>
      </w:r>
      <w:r>
        <w:rPr>
          <w:sz w:val="20"/>
          <w:szCs w:val="20"/>
          <w:rtl/>
        </w:rPr>
        <w:t>–</w:t>
      </w:r>
      <w:r>
        <w:rPr>
          <w:rFonts w:hint="cs"/>
          <w:sz w:val="20"/>
          <w:szCs w:val="20"/>
          <w:rtl/>
        </w:rPr>
        <w:t xml:space="preserve"> גם אם טבלה בעיניים פתוחות עלתה לה טבילה.</w:t>
      </w:r>
    </w:p>
    <w:p w:rsidR="00620060" w:rsidRDefault="00620060" w:rsidP="00620060">
      <w:pPr>
        <w:rPr>
          <w:sz w:val="20"/>
          <w:szCs w:val="20"/>
          <w:rtl/>
        </w:rPr>
      </w:pPr>
      <w:r>
        <w:rPr>
          <w:rFonts w:hint="cs"/>
          <w:sz w:val="20"/>
          <w:szCs w:val="20"/>
          <w:u w:val="single"/>
          <w:rtl/>
        </w:rPr>
        <w:t>מדוע כחול שבעין אינו חוצץ (בדה"ש)</w:t>
      </w:r>
      <w:r>
        <w:rPr>
          <w:sz w:val="20"/>
          <w:szCs w:val="20"/>
          <w:u w:val="single"/>
          <w:rtl/>
        </w:rPr>
        <w:br/>
      </w:r>
      <w:r>
        <w:rPr>
          <w:rFonts w:hint="cs"/>
          <w:sz w:val="20"/>
          <w:szCs w:val="20"/>
          <w:rtl/>
        </w:rPr>
        <w:t>מדוע אין האשה מקפידה על הכחול שבתוך העין?</w:t>
      </w:r>
      <w:r>
        <w:rPr>
          <w:rFonts w:hint="cs"/>
          <w:sz w:val="20"/>
          <w:szCs w:val="20"/>
          <w:u w:val="single"/>
          <w:rtl/>
        </w:rPr>
        <w:br/>
      </w:r>
      <w:r>
        <w:rPr>
          <w:rFonts w:hint="cs"/>
          <w:sz w:val="20"/>
          <w:szCs w:val="20"/>
          <w:rtl/>
        </w:rPr>
        <w:t xml:space="preserve">א. </w:t>
      </w:r>
      <w:r w:rsidRPr="0048160F">
        <w:rPr>
          <w:rFonts w:hint="cs"/>
          <w:b/>
          <w:bCs/>
          <w:sz w:val="20"/>
          <w:szCs w:val="20"/>
          <w:rtl/>
        </w:rPr>
        <w:t xml:space="preserve">לבוש </w:t>
      </w:r>
      <w:r>
        <w:rPr>
          <w:sz w:val="20"/>
          <w:szCs w:val="20"/>
          <w:rtl/>
        </w:rPr>
        <w:t>–</w:t>
      </w:r>
      <w:r>
        <w:rPr>
          <w:rFonts w:hint="cs"/>
          <w:sz w:val="20"/>
          <w:szCs w:val="20"/>
          <w:rtl/>
        </w:rPr>
        <w:t xml:space="preserve"> לחות העין מעבירה את הכחול, ומה שנשאר אין בו ממש ואין דרך להקפיד עליו.</w:t>
      </w:r>
      <w:r>
        <w:rPr>
          <w:rFonts w:hint="cs"/>
          <w:sz w:val="20"/>
          <w:szCs w:val="20"/>
          <w:rtl/>
        </w:rPr>
        <w:br/>
        <w:t xml:space="preserve">ב. </w:t>
      </w:r>
      <w:r w:rsidRPr="0048160F">
        <w:rPr>
          <w:rFonts w:hint="cs"/>
          <w:b/>
          <w:bCs/>
          <w:sz w:val="20"/>
          <w:szCs w:val="20"/>
          <w:rtl/>
        </w:rPr>
        <w:t>מאירי</w:t>
      </w:r>
      <w:r>
        <w:rPr>
          <w:rFonts w:hint="cs"/>
          <w:sz w:val="20"/>
          <w:szCs w:val="20"/>
          <w:rtl/>
        </w:rPr>
        <w:t xml:space="preserve"> </w:t>
      </w:r>
      <w:r>
        <w:rPr>
          <w:sz w:val="20"/>
          <w:szCs w:val="20"/>
          <w:rtl/>
        </w:rPr>
        <w:t>–</w:t>
      </w:r>
      <w:r>
        <w:rPr>
          <w:rFonts w:hint="cs"/>
          <w:sz w:val="20"/>
          <w:szCs w:val="20"/>
          <w:rtl/>
        </w:rPr>
        <w:t xml:space="preserve"> נוח לה ורוצה שיישאר הכחול בעיניה.</w:t>
      </w:r>
    </w:p>
    <w:p w:rsidR="00620060" w:rsidRDefault="00620060" w:rsidP="00620060">
      <w:pPr>
        <w:rPr>
          <w:sz w:val="20"/>
          <w:szCs w:val="20"/>
          <w:rtl/>
        </w:rPr>
      </w:pPr>
      <w:r w:rsidRPr="009E4ED3">
        <w:rPr>
          <w:rFonts w:hint="cs"/>
          <w:sz w:val="20"/>
          <w:szCs w:val="20"/>
          <w:u w:val="single"/>
          <w:rtl/>
        </w:rPr>
        <w:t>הכרעת הפוסקים</w:t>
      </w:r>
      <w:r>
        <w:rPr>
          <w:sz w:val="20"/>
          <w:szCs w:val="20"/>
          <w:rtl/>
        </w:rPr>
        <w:br/>
      </w:r>
      <w:r>
        <w:rPr>
          <w:rFonts w:hint="cs"/>
          <w:sz w:val="20"/>
          <w:szCs w:val="20"/>
          <w:rtl/>
        </w:rPr>
        <w:t xml:space="preserve">א. </w:t>
      </w:r>
      <w:r w:rsidRPr="009E4ED3">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כתב בשם בה"ג שכחול לרפואה חוצץ, אך לקישוט אינו חוצץ. משמע כמאירי.</w:t>
      </w:r>
      <w:r>
        <w:rPr>
          <w:sz w:val="20"/>
          <w:szCs w:val="20"/>
          <w:rtl/>
        </w:rPr>
        <w:br/>
      </w:r>
      <w:r>
        <w:rPr>
          <w:rFonts w:hint="cs"/>
          <w:sz w:val="20"/>
          <w:szCs w:val="20"/>
          <w:rtl/>
        </w:rPr>
        <w:t xml:space="preserve">ב. </w:t>
      </w:r>
      <w:r w:rsidRPr="009E4ED3">
        <w:rPr>
          <w:rFonts w:hint="cs"/>
          <w:b/>
          <w:bCs/>
          <w:sz w:val="20"/>
          <w:szCs w:val="20"/>
          <w:rtl/>
        </w:rPr>
        <w:t>בדה"ש</w:t>
      </w:r>
      <w:r>
        <w:rPr>
          <w:rFonts w:hint="cs"/>
          <w:sz w:val="20"/>
          <w:szCs w:val="20"/>
          <w:rtl/>
        </w:rPr>
        <w:t xml:space="preserve"> </w:t>
      </w:r>
      <w:r>
        <w:rPr>
          <w:sz w:val="20"/>
          <w:szCs w:val="20"/>
          <w:rtl/>
        </w:rPr>
        <w:t>–</w:t>
      </w:r>
      <w:r>
        <w:rPr>
          <w:rFonts w:hint="cs"/>
          <w:sz w:val="20"/>
          <w:szCs w:val="20"/>
          <w:rtl/>
        </w:rPr>
        <w:t xml:space="preserve"> הפוסקים לא העתיקו את דברי הש"ך, ונראה שיש להקל אף כשהכחול לרפואה.</w:t>
      </w:r>
    </w:p>
    <w:p w:rsidR="00620060" w:rsidRDefault="00620060" w:rsidP="00620060">
      <w:pPr>
        <w:rPr>
          <w:sz w:val="20"/>
          <w:szCs w:val="20"/>
          <w:rtl/>
        </w:rPr>
      </w:pPr>
      <w:r>
        <w:rPr>
          <w:rFonts w:hint="cs"/>
          <w:sz w:val="20"/>
          <w:szCs w:val="20"/>
          <w:u w:val="single"/>
          <w:rtl/>
        </w:rPr>
        <w:t>משיחת שמן (ש"ך)</w:t>
      </w:r>
      <w:r>
        <w:rPr>
          <w:rFonts w:hint="cs"/>
          <w:sz w:val="20"/>
          <w:szCs w:val="20"/>
          <w:u w:val="single"/>
          <w:rtl/>
        </w:rPr>
        <w:br/>
      </w:r>
      <w:r w:rsidRPr="00A74162">
        <w:rPr>
          <w:rFonts w:hint="cs"/>
          <w:b/>
          <w:bCs/>
          <w:sz w:val="20"/>
          <w:szCs w:val="20"/>
          <w:rtl/>
        </w:rPr>
        <w:t>בה"ג</w:t>
      </w:r>
      <w:r>
        <w:rPr>
          <w:rFonts w:hint="cs"/>
          <w:sz w:val="20"/>
          <w:szCs w:val="20"/>
          <w:rtl/>
        </w:rPr>
        <w:t xml:space="preserve"> </w:t>
      </w:r>
      <w:r>
        <w:rPr>
          <w:sz w:val="20"/>
          <w:szCs w:val="20"/>
          <w:rtl/>
        </w:rPr>
        <w:t>–</w:t>
      </w:r>
      <w:r>
        <w:rPr>
          <w:rFonts w:hint="cs"/>
          <w:sz w:val="20"/>
          <w:szCs w:val="20"/>
          <w:rtl/>
        </w:rPr>
        <w:t xml:space="preserve"> "</w:t>
      </w:r>
      <w:r w:rsidRPr="00A74162">
        <w:rPr>
          <w:rFonts w:cs="Arial"/>
          <w:sz w:val="20"/>
          <w:szCs w:val="20"/>
          <w:rtl/>
        </w:rPr>
        <w:t>אמר רבי יהוד</w:t>
      </w:r>
      <w:r>
        <w:rPr>
          <w:rFonts w:cs="Arial" w:hint="cs"/>
          <w:sz w:val="20"/>
          <w:szCs w:val="20"/>
          <w:rtl/>
        </w:rPr>
        <w:t>ה:</w:t>
      </w:r>
      <w:r w:rsidRPr="00A74162">
        <w:rPr>
          <w:rFonts w:cs="Arial"/>
          <w:sz w:val="20"/>
          <w:szCs w:val="20"/>
          <w:rtl/>
        </w:rPr>
        <w:t xml:space="preserve"> כל השמנים אין חוצצים חוץ משמן המור</w:t>
      </w:r>
      <w:r>
        <w:rPr>
          <w:rFonts w:cs="Arial" w:hint="cs"/>
          <w:sz w:val="20"/>
          <w:szCs w:val="20"/>
          <w:rtl/>
        </w:rPr>
        <w:t>,</w:t>
      </w:r>
      <w:r w:rsidRPr="00A74162">
        <w:rPr>
          <w:rFonts w:cs="Arial"/>
          <w:sz w:val="20"/>
          <w:szCs w:val="20"/>
          <w:rtl/>
        </w:rPr>
        <w:t xml:space="preserve"> ונהגו בנות ישראל בעצמן שאין סכות שמן בשעת טבילה כל עיקר</w:t>
      </w:r>
      <w:r>
        <w:rPr>
          <w:rFonts w:cs="Arial" w:hint="cs"/>
          <w:sz w:val="20"/>
          <w:szCs w:val="20"/>
          <w:rtl/>
        </w:rPr>
        <w:t>".</w:t>
      </w:r>
    </w:p>
    <w:p w:rsidR="00620060" w:rsidRPr="00187702" w:rsidRDefault="00620060" w:rsidP="00620060">
      <w:pPr>
        <w:rPr>
          <w:sz w:val="20"/>
          <w:szCs w:val="20"/>
        </w:rPr>
      </w:pPr>
      <w:r w:rsidRPr="000A019D">
        <w:rPr>
          <w:rFonts w:hint="cs"/>
          <w:b/>
          <w:bCs/>
          <w:sz w:val="20"/>
          <w:szCs w:val="20"/>
          <w:rtl/>
        </w:rPr>
        <w:t>סיכום</w:t>
      </w:r>
      <w:r>
        <w:rPr>
          <w:sz w:val="20"/>
          <w:szCs w:val="20"/>
          <w:rtl/>
        </w:rPr>
        <w:br/>
      </w:r>
      <w:r>
        <w:rPr>
          <w:rFonts w:hint="cs"/>
          <w:sz w:val="20"/>
          <w:szCs w:val="20"/>
          <w:rtl/>
        </w:rPr>
        <w:t xml:space="preserve">1. </w:t>
      </w:r>
      <w:r w:rsidRPr="000A019D">
        <w:rPr>
          <w:rFonts w:hint="cs"/>
          <w:b/>
          <w:bCs/>
          <w:sz w:val="20"/>
          <w:szCs w:val="20"/>
          <w:rtl/>
        </w:rPr>
        <w:t>גמרא</w:t>
      </w:r>
      <w:r>
        <w:rPr>
          <w:rFonts w:hint="cs"/>
          <w:sz w:val="20"/>
          <w:szCs w:val="20"/>
          <w:rtl/>
        </w:rPr>
        <w:t>. כחול שבתוך העין אינו חוצץ. שעל גב העין חוצץ, אך אם היו עיניה פורחות אינו חוצץ.</w:t>
      </w:r>
      <w:r>
        <w:rPr>
          <w:sz w:val="20"/>
          <w:szCs w:val="20"/>
          <w:rtl/>
        </w:rPr>
        <w:br/>
      </w:r>
      <w:r>
        <w:rPr>
          <w:rFonts w:hint="cs"/>
          <w:sz w:val="20"/>
          <w:szCs w:val="20"/>
          <w:rtl/>
        </w:rPr>
        <w:t xml:space="preserve">2. ביאור 'עיניה פורחות'. </w:t>
      </w:r>
      <w:r w:rsidRPr="000A019D">
        <w:rPr>
          <w:rFonts w:hint="cs"/>
          <w:b/>
          <w:bCs/>
          <w:sz w:val="20"/>
          <w:szCs w:val="20"/>
          <w:rtl/>
        </w:rPr>
        <w:t>רש"י</w:t>
      </w:r>
      <w:r>
        <w:rPr>
          <w:rFonts w:hint="cs"/>
          <w:sz w:val="20"/>
          <w:szCs w:val="20"/>
          <w:rtl/>
        </w:rPr>
        <w:t xml:space="preserve">. ממצמצת, מסיר את הכחול. </w:t>
      </w:r>
      <w:r w:rsidRPr="000A019D">
        <w:rPr>
          <w:rFonts w:hint="cs"/>
          <w:b/>
          <w:bCs/>
          <w:sz w:val="20"/>
          <w:szCs w:val="20"/>
          <w:rtl/>
        </w:rPr>
        <w:t>רש"י</w:t>
      </w:r>
      <w:r>
        <w:rPr>
          <w:rFonts w:hint="cs"/>
          <w:sz w:val="20"/>
          <w:szCs w:val="20"/>
          <w:rtl/>
        </w:rPr>
        <w:t>. דומעת, הדמעה מלחלחת את הכחול.</w:t>
      </w:r>
      <w:r>
        <w:rPr>
          <w:sz w:val="20"/>
          <w:szCs w:val="20"/>
          <w:rtl/>
        </w:rPr>
        <w:br/>
      </w:r>
      <w:r w:rsidRPr="000A019D">
        <w:rPr>
          <w:rFonts w:hint="cs"/>
          <w:b/>
          <w:bCs/>
          <w:sz w:val="20"/>
          <w:szCs w:val="20"/>
          <w:rtl/>
        </w:rPr>
        <w:t>רמב"ם</w:t>
      </w:r>
      <w:r>
        <w:rPr>
          <w:rFonts w:hint="cs"/>
          <w:sz w:val="20"/>
          <w:szCs w:val="20"/>
          <w:rtl/>
        </w:rPr>
        <w:t xml:space="preserve">. אם עיניה פתוחות אינו חוצץ. </w:t>
      </w:r>
      <w:r w:rsidRPr="000A019D">
        <w:rPr>
          <w:rFonts w:hint="cs"/>
          <w:sz w:val="20"/>
          <w:szCs w:val="20"/>
          <w:u w:val="single"/>
          <w:rtl/>
        </w:rPr>
        <w:t>ביאור הרמב"ם</w:t>
      </w:r>
      <w:r>
        <w:rPr>
          <w:rFonts w:hint="cs"/>
          <w:sz w:val="20"/>
          <w:szCs w:val="20"/>
          <w:rtl/>
        </w:rPr>
        <w:t xml:space="preserve">. </w:t>
      </w:r>
      <w:r w:rsidRPr="000A019D">
        <w:rPr>
          <w:rFonts w:hint="cs"/>
          <w:b/>
          <w:bCs/>
          <w:sz w:val="20"/>
          <w:szCs w:val="20"/>
          <w:rtl/>
        </w:rPr>
        <w:t>ב"י</w:t>
      </w:r>
      <w:r>
        <w:rPr>
          <w:rFonts w:hint="cs"/>
          <w:sz w:val="20"/>
          <w:szCs w:val="20"/>
          <w:rtl/>
        </w:rPr>
        <w:t xml:space="preserve">. כרש"י בפירוש א'. </w:t>
      </w:r>
      <w:r w:rsidRPr="000A019D">
        <w:rPr>
          <w:rFonts w:hint="cs"/>
          <w:b/>
          <w:bCs/>
          <w:sz w:val="20"/>
          <w:szCs w:val="20"/>
          <w:rtl/>
        </w:rPr>
        <w:t>ב"ח</w:t>
      </w:r>
      <w:r>
        <w:rPr>
          <w:rFonts w:hint="cs"/>
          <w:sz w:val="20"/>
          <w:szCs w:val="20"/>
          <w:rtl/>
        </w:rPr>
        <w:t>. טבילה בעיניים פתוחות.</w:t>
      </w:r>
      <w:r>
        <w:rPr>
          <w:rFonts w:hint="cs"/>
          <w:sz w:val="20"/>
          <w:szCs w:val="20"/>
          <w:rtl/>
        </w:rPr>
        <w:br/>
        <w:t xml:space="preserve">3. </w:t>
      </w:r>
      <w:r w:rsidRPr="000A019D">
        <w:rPr>
          <w:rFonts w:hint="cs"/>
          <w:b/>
          <w:bCs/>
          <w:sz w:val="20"/>
          <w:szCs w:val="20"/>
          <w:rtl/>
        </w:rPr>
        <w:t>מחבר</w:t>
      </w:r>
      <w:r>
        <w:rPr>
          <w:rFonts w:hint="cs"/>
          <w:sz w:val="20"/>
          <w:szCs w:val="20"/>
          <w:rtl/>
        </w:rPr>
        <w:t xml:space="preserve">. כחול שבעין אינו חוצץ, שחוץ לעין חוצץ אא"כ ממצמצת תדיר שאינו חוצץ. </w:t>
      </w:r>
      <w:r w:rsidRPr="000A019D">
        <w:rPr>
          <w:rFonts w:hint="cs"/>
          <w:b/>
          <w:bCs/>
          <w:sz w:val="20"/>
          <w:szCs w:val="20"/>
          <w:rtl/>
        </w:rPr>
        <w:t>ט"ז</w:t>
      </w:r>
      <w:r>
        <w:rPr>
          <w:rFonts w:hint="cs"/>
          <w:sz w:val="20"/>
          <w:szCs w:val="20"/>
          <w:rtl/>
        </w:rPr>
        <w:t>. אם טבלה בעיניים פתוחות אינו חוצץ.</w:t>
      </w:r>
      <w:r>
        <w:rPr>
          <w:rFonts w:hint="cs"/>
          <w:sz w:val="20"/>
          <w:szCs w:val="20"/>
          <w:rtl/>
        </w:rPr>
        <w:br/>
        <w:t xml:space="preserve">4. טעם שכחול בעין אינו חוצץ. </w:t>
      </w:r>
      <w:r w:rsidRPr="000A019D">
        <w:rPr>
          <w:rFonts w:hint="cs"/>
          <w:b/>
          <w:bCs/>
          <w:sz w:val="20"/>
          <w:szCs w:val="20"/>
          <w:rtl/>
        </w:rPr>
        <w:t>לבוש</w:t>
      </w:r>
      <w:r>
        <w:rPr>
          <w:rFonts w:hint="cs"/>
          <w:sz w:val="20"/>
          <w:szCs w:val="20"/>
          <w:rtl/>
        </w:rPr>
        <w:t xml:space="preserve">. הלחות מעבירה את הכחול. </w:t>
      </w:r>
      <w:r w:rsidRPr="000A019D">
        <w:rPr>
          <w:rFonts w:hint="cs"/>
          <w:b/>
          <w:bCs/>
          <w:sz w:val="20"/>
          <w:szCs w:val="20"/>
          <w:rtl/>
        </w:rPr>
        <w:t>מאירי</w:t>
      </w:r>
      <w:r>
        <w:rPr>
          <w:rFonts w:hint="cs"/>
          <w:sz w:val="20"/>
          <w:szCs w:val="20"/>
          <w:rtl/>
        </w:rPr>
        <w:t>. נוח לה בכחול.</w:t>
      </w:r>
      <w:r>
        <w:rPr>
          <w:sz w:val="20"/>
          <w:szCs w:val="20"/>
          <w:rtl/>
        </w:rPr>
        <w:br/>
      </w:r>
      <w:r>
        <w:rPr>
          <w:rFonts w:hint="cs"/>
          <w:sz w:val="20"/>
          <w:szCs w:val="20"/>
          <w:rtl/>
        </w:rPr>
        <w:t xml:space="preserve">5. הכרעה. </w:t>
      </w:r>
      <w:r w:rsidRPr="000A019D">
        <w:rPr>
          <w:rFonts w:hint="cs"/>
          <w:b/>
          <w:bCs/>
          <w:sz w:val="20"/>
          <w:szCs w:val="20"/>
          <w:rtl/>
        </w:rPr>
        <w:t>ש"ך</w:t>
      </w:r>
      <w:r>
        <w:rPr>
          <w:rFonts w:hint="cs"/>
          <w:sz w:val="20"/>
          <w:szCs w:val="20"/>
          <w:rtl/>
        </w:rPr>
        <w:t xml:space="preserve">. כמאירי, לרפואה חוצץ אך לקישוט אינו חוצץ. </w:t>
      </w:r>
      <w:r w:rsidRPr="000A019D">
        <w:rPr>
          <w:rFonts w:hint="cs"/>
          <w:b/>
          <w:bCs/>
          <w:sz w:val="20"/>
          <w:szCs w:val="20"/>
          <w:rtl/>
        </w:rPr>
        <w:t>בדה"ש</w:t>
      </w:r>
      <w:r>
        <w:rPr>
          <w:rFonts w:hint="cs"/>
          <w:sz w:val="20"/>
          <w:szCs w:val="20"/>
          <w:rtl/>
        </w:rPr>
        <w:t>. יש להקל גם בכחול לרפואה.</w:t>
      </w:r>
      <w:r>
        <w:rPr>
          <w:sz w:val="20"/>
          <w:szCs w:val="20"/>
          <w:rtl/>
        </w:rPr>
        <w:br/>
      </w:r>
      <w:r>
        <w:rPr>
          <w:rFonts w:hint="cs"/>
          <w:sz w:val="20"/>
          <w:szCs w:val="20"/>
          <w:rtl/>
        </w:rPr>
        <w:t xml:space="preserve">6. </w:t>
      </w:r>
      <w:r w:rsidRPr="000A019D">
        <w:rPr>
          <w:rFonts w:hint="cs"/>
          <w:b/>
          <w:bCs/>
          <w:sz w:val="20"/>
          <w:szCs w:val="20"/>
          <w:rtl/>
        </w:rPr>
        <w:t>בה"ג</w:t>
      </w:r>
      <w:r>
        <w:rPr>
          <w:rFonts w:hint="cs"/>
          <w:sz w:val="20"/>
          <w:szCs w:val="20"/>
          <w:rtl/>
        </w:rPr>
        <w:t>. סיכה בשמן חוצצת רק בשמן המור, אך נהגו בנות ישראל לא לסוך כלל בשמן.</w:t>
      </w:r>
    </w:p>
    <w:p w:rsidR="00620060" w:rsidRDefault="00620060" w:rsidP="00620060">
      <w:pPr>
        <w:rPr>
          <w:sz w:val="20"/>
          <w:szCs w:val="20"/>
          <w:rtl/>
        </w:rPr>
      </w:pPr>
      <w:r>
        <w:rPr>
          <w:rFonts w:hint="cs"/>
          <w:sz w:val="20"/>
          <w:szCs w:val="20"/>
          <w:u w:val="single"/>
          <w:rtl/>
        </w:rPr>
        <w:t xml:space="preserve">דינים נוספים (טהרת הבית חלק ג, עמ כה </w:t>
      </w:r>
      <w:r>
        <w:rPr>
          <w:sz w:val="20"/>
          <w:szCs w:val="20"/>
          <w:u w:val="single"/>
          <w:rtl/>
        </w:rPr>
        <w:t>–</w:t>
      </w:r>
      <w:r>
        <w:rPr>
          <w:rFonts w:hint="cs"/>
          <w:sz w:val="20"/>
          <w:szCs w:val="20"/>
          <w:u w:val="single"/>
          <w:rtl/>
        </w:rPr>
        <w:t xml:space="preserve"> כח)</w:t>
      </w:r>
      <w:r>
        <w:rPr>
          <w:sz w:val="20"/>
          <w:szCs w:val="20"/>
          <w:u w:val="single"/>
          <w:rtl/>
        </w:rPr>
        <w:br/>
      </w:r>
      <w:r>
        <w:rPr>
          <w:rFonts w:hint="cs"/>
          <w:sz w:val="20"/>
          <w:szCs w:val="20"/>
          <w:rtl/>
        </w:rPr>
        <w:t>א. אשה שטבלה עם עדשות מגע שרגילה להסירן בשעת השינה, אם לנה עם בעלה לא תטבול שנית.</w:t>
      </w:r>
      <w:r>
        <w:rPr>
          <w:sz w:val="20"/>
          <w:szCs w:val="20"/>
          <w:rtl/>
        </w:rPr>
        <w:br/>
      </w:r>
      <w:r w:rsidRPr="00505713">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הסיבה שמסירה את העדשות כל לילה אינה משום הקפדה ולכן בדיעבד אינה חציצה. </w:t>
      </w:r>
      <w:r>
        <w:rPr>
          <w:sz w:val="20"/>
          <w:szCs w:val="20"/>
          <w:rtl/>
        </w:rPr>
        <w:br/>
      </w:r>
      <w:r>
        <w:rPr>
          <w:rFonts w:hint="cs"/>
          <w:sz w:val="20"/>
          <w:szCs w:val="20"/>
          <w:rtl/>
        </w:rPr>
        <w:t xml:space="preserve">אמנם, יש לדון מצד עצמה עיניה ביותר, אך יש לומר שהעדשות אינן מהודקות היטב ולכן אינן חוצצות. </w:t>
      </w:r>
      <w:r>
        <w:rPr>
          <w:sz w:val="20"/>
          <w:szCs w:val="20"/>
          <w:rtl/>
        </w:rPr>
        <w:br/>
      </w:r>
      <w:r>
        <w:rPr>
          <w:rFonts w:hint="cs"/>
          <w:sz w:val="20"/>
          <w:szCs w:val="20"/>
          <w:rtl/>
        </w:rPr>
        <w:t xml:space="preserve">ועוד יש לומר שהעדשות נמצאות בבית הסתרים שאינו צריך לביאת מים רק שיהיה ראוי לביאת מים, וכיוון </w:t>
      </w:r>
      <w:r>
        <w:rPr>
          <w:rFonts w:hint="cs"/>
          <w:sz w:val="20"/>
          <w:szCs w:val="20"/>
          <w:rtl/>
        </w:rPr>
        <w:lastRenderedPageBreak/>
        <w:t>שהעדשות אינן מודבקות בדבק הוי ראוי לביאת מים.</w:t>
      </w:r>
      <w:r>
        <w:rPr>
          <w:sz w:val="20"/>
          <w:szCs w:val="20"/>
          <w:rtl/>
        </w:rPr>
        <w:br/>
      </w:r>
      <w:r>
        <w:rPr>
          <w:rFonts w:hint="cs"/>
          <w:sz w:val="20"/>
          <w:szCs w:val="20"/>
          <w:rtl/>
        </w:rPr>
        <w:t>ואמנם, לכתחילה יש להסירן לפני הטבילה כיוון שהדרך להסירן כל לילה לפני השינה.</w:t>
      </w:r>
    </w:p>
    <w:p w:rsidR="00620060" w:rsidRDefault="00620060" w:rsidP="00620060">
      <w:pPr>
        <w:rPr>
          <w:sz w:val="20"/>
          <w:szCs w:val="20"/>
          <w:rtl/>
        </w:rPr>
      </w:pPr>
      <w:r>
        <w:rPr>
          <w:rFonts w:hint="cs"/>
          <w:sz w:val="20"/>
          <w:szCs w:val="20"/>
          <w:rtl/>
        </w:rPr>
        <w:t>ב. אשה שאינה מסירה את העדשות לזמן ממושך ואף רגילה לרחוץ עמהם, טובלת עמהם לכתחילה.</w:t>
      </w:r>
      <w:r>
        <w:rPr>
          <w:sz w:val="20"/>
          <w:szCs w:val="20"/>
          <w:rtl/>
        </w:rPr>
        <w:br/>
      </w:r>
      <w:r w:rsidRPr="00254FDD">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הוי מיעוטו שאינה מקפידה עליו, וכן הדין בסתימה זמנית בשיניים</w:t>
      </w:r>
      <w:r>
        <w:rPr>
          <w:rStyle w:val="a5"/>
          <w:sz w:val="20"/>
          <w:szCs w:val="20"/>
          <w:rtl/>
        </w:rPr>
        <w:footnoteReference w:id="612"/>
      </w:r>
      <w:r>
        <w:rPr>
          <w:rFonts w:hint="cs"/>
          <w:sz w:val="20"/>
          <w:szCs w:val="20"/>
          <w:rtl/>
        </w:rPr>
        <w:t>.</w:t>
      </w:r>
    </w:p>
    <w:p w:rsidR="00620060" w:rsidRDefault="00620060" w:rsidP="00620060">
      <w:pPr>
        <w:rPr>
          <w:sz w:val="20"/>
          <w:szCs w:val="20"/>
          <w:rtl/>
        </w:rPr>
      </w:pPr>
      <w:r>
        <w:rPr>
          <w:rFonts w:hint="cs"/>
          <w:sz w:val="20"/>
          <w:szCs w:val="20"/>
          <w:rtl/>
        </w:rPr>
        <w:t>ג. אודם בשפתיים אינו חוצץ, אך לכתחילה יש להסירו לפני טבילה.</w:t>
      </w:r>
      <w:r>
        <w:rPr>
          <w:sz w:val="20"/>
          <w:szCs w:val="20"/>
          <w:rtl/>
        </w:rPr>
        <w:br/>
      </w:r>
      <w:r w:rsidRPr="002115E7">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דינו ממש כדין כחול הנ"ל, שכיוון שעשוי לנוי אינו חוצץ.</w:t>
      </w:r>
    </w:p>
    <w:p w:rsidR="00620060" w:rsidRDefault="00620060" w:rsidP="00620060">
      <w:pPr>
        <w:rPr>
          <w:sz w:val="20"/>
          <w:szCs w:val="20"/>
          <w:rtl/>
        </w:rPr>
      </w:pPr>
      <w:r>
        <w:rPr>
          <w:sz w:val="20"/>
          <w:szCs w:val="20"/>
          <w:rtl/>
        </w:rPr>
        <w:br/>
      </w:r>
      <w:r>
        <w:rPr>
          <w:rFonts w:hint="cs"/>
          <w:b/>
          <w:bCs/>
          <w:sz w:val="20"/>
          <w:szCs w:val="20"/>
          <w:rtl/>
        </w:rPr>
        <w:t xml:space="preserve">סעיף ט </w:t>
      </w:r>
      <w:r>
        <w:rPr>
          <w:b/>
          <w:bCs/>
          <w:sz w:val="20"/>
          <w:szCs w:val="20"/>
          <w:rtl/>
        </w:rPr>
        <w:t>–</w:t>
      </w:r>
      <w:r>
        <w:rPr>
          <w:rFonts w:hint="cs"/>
          <w:b/>
          <w:bCs/>
          <w:sz w:val="20"/>
          <w:szCs w:val="20"/>
          <w:rtl/>
        </w:rPr>
        <w:t xml:space="preserve"> דם וריר שבמכה</w:t>
      </w:r>
      <w:r>
        <w:rPr>
          <w:b/>
          <w:bCs/>
          <w:sz w:val="20"/>
          <w:szCs w:val="20"/>
          <w:rtl/>
        </w:rPr>
        <w:br/>
      </w:r>
      <w:r>
        <w:rPr>
          <w:rFonts w:hint="cs"/>
          <w:b/>
          <w:bCs/>
          <w:sz w:val="20"/>
          <w:szCs w:val="20"/>
          <w:rtl/>
        </w:rPr>
        <w:t>מקורות הדין</w:t>
      </w:r>
      <w:r>
        <w:rPr>
          <w:b/>
          <w:bCs/>
          <w:sz w:val="20"/>
          <w:szCs w:val="20"/>
          <w:rtl/>
        </w:rPr>
        <w:br/>
      </w:r>
      <w:r>
        <w:rPr>
          <w:rFonts w:hint="cs"/>
          <w:sz w:val="20"/>
          <w:szCs w:val="20"/>
          <w:rtl/>
        </w:rPr>
        <w:t xml:space="preserve">א. </w:t>
      </w:r>
      <w:r w:rsidRPr="00E9672D">
        <w:rPr>
          <w:rFonts w:hint="cs"/>
          <w:b/>
          <w:bCs/>
          <w:sz w:val="20"/>
          <w:szCs w:val="20"/>
          <w:rtl/>
        </w:rPr>
        <w:t>תוספתא</w:t>
      </w:r>
      <w:r>
        <w:rPr>
          <w:rFonts w:hint="cs"/>
          <w:sz w:val="20"/>
          <w:szCs w:val="20"/>
          <w:rtl/>
        </w:rPr>
        <w:t xml:space="preserve"> מקוואות (ו, ט) "</w:t>
      </w:r>
      <w:r>
        <w:rPr>
          <w:rFonts w:cs="Arial"/>
          <w:sz w:val="20"/>
          <w:szCs w:val="20"/>
          <w:rtl/>
        </w:rPr>
        <w:t>הדם</w:t>
      </w:r>
      <w:r>
        <w:rPr>
          <w:rFonts w:cs="Arial" w:hint="cs"/>
          <w:sz w:val="20"/>
          <w:szCs w:val="20"/>
          <w:rtl/>
        </w:rPr>
        <w:t xml:space="preserve">... </w:t>
      </w:r>
      <w:r w:rsidRPr="00FF44FC">
        <w:rPr>
          <w:rFonts w:cs="Arial"/>
          <w:sz w:val="20"/>
          <w:szCs w:val="20"/>
          <w:rtl/>
        </w:rPr>
        <w:t>יבשין חוצצין לחין אין חוצצין</w:t>
      </w:r>
      <w:r>
        <w:rPr>
          <w:rFonts w:cs="Arial" w:hint="cs"/>
          <w:sz w:val="20"/>
          <w:szCs w:val="20"/>
          <w:rtl/>
        </w:rPr>
        <w:t>".</w:t>
      </w:r>
      <w:r>
        <w:rPr>
          <w:sz w:val="20"/>
          <w:szCs w:val="20"/>
          <w:rtl/>
        </w:rPr>
        <w:br/>
      </w:r>
      <w:r>
        <w:rPr>
          <w:rFonts w:hint="cs"/>
          <w:sz w:val="20"/>
          <w:szCs w:val="20"/>
          <w:rtl/>
        </w:rPr>
        <w:t xml:space="preserve">ב. </w:t>
      </w:r>
      <w:r w:rsidRPr="00E9672D">
        <w:rPr>
          <w:rFonts w:hint="cs"/>
          <w:b/>
          <w:bCs/>
          <w:sz w:val="20"/>
          <w:szCs w:val="20"/>
          <w:rtl/>
        </w:rPr>
        <w:t>משנה</w:t>
      </w:r>
      <w:r>
        <w:rPr>
          <w:rFonts w:hint="cs"/>
          <w:sz w:val="20"/>
          <w:szCs w:val="20"/>
          <w:rtl/>
        </w:rPr>
        <w:t xml:space="preserve"> מקוואות (ב, ט) "</w:t>
      </w:r>
      <w:r w:rsidRPr="00E9672D">
        <w:rPr>
          <w:rFonts w:cs="Arial"/>
          <w:sz w:val="20"/>
          <w:szCs w:val="20"/>
          <w:rtl/>
        </w:rPr>
        <w:t>אלו חוצצין באדם</w:t>
      </w:r>
      <w:r>
        <w:rPr>
          <w:rFonts w:cs="Arial" w:hint="cs"/>
          <w:sz w:val="20"/>
          <w:szCs w:val="20"/>
          <w:rtl/>
        </w:rPr>
        <w:t xml:space="preserve">... </w:t>
      </w:r>
      <w:r>
        <w:rPr>
          <w:rFonts w:cs="Arial"/>
          <w:sz w:val="20"/>
          <w:szCs w:val="20"/>
          <w:rtl/>
        </w:rPr>
        <w:t>גלד שחוץ למכה</w:t>
      </w:r>
      <w:r>
        <w:rPr>
          <w:rFonts w:cs="Arial" w:hint="cs"/>
          <w:sz w:val="20"/>
          <w:szCs w:val="20"/>
          <w:rtl/>
        </w:rPr>
        <w:t xml:space="preserve">... </w:t>
      </w:r>
      <w:r>
        <w:rPr>
          <w:rFonts w:cs="Arial"/>
          <w:sz w:val="20"/>
          <w:szCs w:val="20"/>
          <w:rtl/>
        </w:rPr>
        <w:t>אלו שאין חוצצין</w:t>
      </w:r>
      <w:r>
        <w:rPr>
          <w:rFonts w:cs="Arial" w:hint="cs"/>
          <w:sz w:val="20"/>
          <w:szCs w:val="20"/>
          <w:rtl/>
        </w:rPr>
        <w:t xml:space="preserve">... </w:t>
      </w:r>
      <w:r w:rsidRPr="00E9672D">
        <w:rPr>
          <w:rFonts w:cs="Arial"/>
          <w:sz w:val="20"/>
          <w:szCs w:val="20"/>
          <w:rtl/>
        </w:rPr>
        <w:t>גלד שעל המכה</w:t>
      </w:r>
      <w:r>
        <w:rPr>
          <w:rFonts w:cs="Arial" w:hint="cs"/>
          <w:sz w:val="20"/>
          <w:szCs w:val="20"/>
          <w:rtl/>
        </w:rPr>
        <w:t>".</w:t>
      </w:r>
      <w:r>
        <w:rPr>
          <w:rFonts w:hint="cs"/>
          <w:sz w:val="20"/>
          <w:szCs w:val="20"/>
          <w:rtl/>
        </w:rPr>
        <w:br/>
        <w:t xml:space="preserve">ג. </w:t>
      </w:r>
      <w:r w:rsidRPr="00E9672D">
        <w:rPr>
          <w:rFonts w:hint="cs"/>
          <w:b/>
          <w:bCs/>
          <w:sz w:val="20"/>
          <w:szCs w:val="20"/>
          <w:rtl/>
        </w:rPr>
        <w:t>גמרא</w:t>
      </w:r>
      <w:r>
        <w:rPr>
          <w:rFonts w:hint="cs"/>
          <w:sz w:val="20"/>
          <w:szCs w:val="20"/>
          <w:rtl/>
        </w:rPr>
        <w:t xml:space="preserve"> נידה (סז.) "</w:t>
      </w:r>
      <w:r w:rsidRPr="00E9672D">
        <w:rPr>
          <w:rFonts w:cs="Arial"/>
          <w:sz w:val="20"/>
          <w:szCs w:val="20"/>
          <w:rtl/>
        </w:rPr>
        <w:t>אמר רמי בר אבא: הני רבדי דכוסילתא</w:t>
      </w:r>
      <w:r>
        <w:rPr>
          <w:rFonts w:cs="Arial" w:hint="cs"/>
          <w:sz w:val="20"/>
          <w:szCs w:val="20"/>
          <w:rtl/>
        </w:rPr>
        <w:t xml:space="preserve"> </w:t>
      </w:r>
      <w:r w:rsidRPr="00E9672D">
        <w:rPr>
          <w:rFonts w:cs="Arial" w:hint="cs"/>
          <w:sz w:val="18"/>
          <w:szCs w:val="18"/>
          <w:rtl/>
        </w:rPr>
        <w:t>(גלד הנגרם מדק</w:t>
      </w:r>
      <w:r>
        <w:rPr>
          <w:rFonts w:cs="Arial" w:hint="cs"/>
          <w:sz w:val="18"/>
          <w:szCs w:val="18"/>
          <w:rtl/>
        </w:rPr>
        <w:t>יר</w:t>
      </w:r>
      <w:r w:rsidRPr="00E9672D">
        <w:rPr>
          <w:rFonts w:cs="Arial" w:hint="cs"/>
          <w:sz w:val="18"/>
          <w:szCs w:val="18"/>
          <w:rtl/>
        </w:rPr>
        <w:t>ת הקזת דם)</w:t>
      </w:r>
      <w:r w:rsidRPr="00E9672D">
        <w:rPr>
          <w:rFonts w:cs="Arial"/>
          <w:sz w:val="20"/>
          <w:szCs w:val="20"/>
          <w:rtl/>
        </w:rPr>
        <w:t xml:space="preserve">, עד תלתא יומי - לא חייצי, מכאן ואילך </w:t>
      </w:r>
      <w:r>
        <w:rPr>
          <w:rFonts w:cs="Arial"/>
          <w:sz w:val="20"/>
          <w:szCs w:val="20"/>
          <w:rtl/>
        </w:rPr>
        <w:t>–</w:t>
      </w:r>
      <w:r w:rsidRPr="00E9672D">
        <w:rPr>
          <w:rFonts w:cs="Arial"/>
          <w:sz w:val="20"/>
          <w:szCs w:val="20"/>
          <w:rtl/>
        </w:rPr>
        <w:t xml:space="preserve"> חייצי</w:t>
      </w:r>
      <w:r>
        <w:rPr>
          <w:rFonts w:cs="Arial" w:hint="cs"/>
          <w:sz w:val="20"/>
          <w:szCs w:val="20"/>
          <w:rtl/>
        </w:rPr>
        <w:t>"</w:t>
      </w:r>
      <w:r w:rsidRPr="00E9672D">
        <w:rPr>
          <w:rFonts w:cs="Arial"/>
          <w:sz w:val="20"/>
          <w:szCs w:val="20"/>
          <w:rtl/>
        </w:rPr>
        <w:t>.</w:t>
      </w:r>
    </w:p>
    <w:p w:rsidR="00620060" w:rsidRDefault="00620060" w:rsidP="00620060">
      <w:pPr>
        <w:rPr>
          <w:sz w:val="20"/>
          <w:szCs w:val="20"/>
          <w:rtl/>
        </w:rPr>
      </w:pPr>
      <w:r>
        <w:rPr>
          <w:rFonts w:hint="cs"/>
          <w:b/>
          <w:bCs/>
          <w:sz w:val="20"/>
          <w:szCs w:val="20"/>
          <w:rtl/>
        </w:rPr>
        <w:t>שיטות הראשונים</w:t>
      </w:r>
      <w:r>
        <w:rPr>
          <w:rFonts w:hint="cs"/>
          <w:b/>
          <w:bCs/>
          <w:sz w:val="20"/>
          <w:szCs w:val="20"/>
          <w:rtl/>
        </w:rPr>
        <w:br/>
      </w:r>
      <w:r w:rsidRPr="004E383B">
        <w:rPr>
          <w:rFonts w:hint="cs"/>
          <w:sz w:val="20"/>
          <w:szCs w:val="20"/>
          <w:u w:val="single"/>
          <w:rtl/>
        </w:rPr>
        <w:t>ריר שעלה על גבי המכה</w:t>
      </w:r>
      <w:r>
        <w:rPr>
          <w:b/>
          <w:bCs/>
          <w:sz w:val="20"/>
          <w:szCs w:val="20"/>
          <w:rtl/>
        </w:rPr>
        <w:br/>
      </w:r>
      <w:r>
        <w:rPr>
          <w:rFonts w:hint="cs"/>
          <w:sz w:val="20"/>
          <w:szCs w:val="20"/>
          <w:rtl/>
        </w:rPr>
        <w:t xml:space="preserve">א. </w:t>
      </w:r>
      <w:r w:rsidRPr="004E383B">
        <w:rPr>
          <w:rFonts w:hint="cs"/>
          <w:b/>
          <w:bCs/>
          <w:sz w:val="20"/>
          <w:szCs w:val="20"/>
          <w:rtl/>
        </w:rPr>
        <w:t>רא"ש</w:t>
      </w:r>
      <w:r>
        <w:rPr>
          <w:rFonts w:hint="cs"/>
          <w:sz w:val="20"/>
          <w:szCs w:val="20"/>
          <w:rtl/>
        </w:rPr>
        <w:t xml:space="preserve"> </w:t>
      </w:r>
      <w:r>
        <w:rPr>
          <w:sz w:val="20"/>
          <w:szCs w:val="20"/>
          <w:rtl/>
        </w:rPr>
        <w:t>–</w:t>
      </w:r>
      <w:r>
        <w:rPr>
          <w:rFonts w:hint="cs"/>
          <w:sz w:val="20"/>
          <w:szCs w:val="20"/>
          <w:rtl/>
        </w:rPr>
        <w:t xml:space="preserve"> בתוך ג' ימים אינו חוצץ, לאחר ג' ימים חוצץ, וכ"פ </w:t>
      </w:r>
      <w:r w:rsidRPr="005F1D83">
        <w:rPr>
          <w:rFonts w:hint="cs"/>
          <w:b/>
          <w:bCs/>
          <w:sz w:val="20"/>
          <w:szCs w:val="20"/>
          <w:rtl/>
        </w:rPr>
        <w:t>המחבר</w:t>
      </w:r>
      <w:r>
        <w:rPr>
          <w:rFonts w:hint="cs"/>
          <w:sz w:val="20"/>
          <w:szCs w:val="20"/>
          <w:rtl/>
        </w:rPr>
        <w:t>.</w:t>
      </w:r>
      <w:r>
        <w:rPr>
          <w:sz w:val="20"/>
          <w:szCs w:val="20"/>
          <w:rtl/>
        </w:rPr>
        <w:br/>
      </w:r>
      <w:r w:rsidRPr="004E383B">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כדין רבדי דכוסילתא.</w:t>
      </w:r>
      <w:r>
        <w:rPr>
          <w:sz w:val="20"/>
          <w:szCs w:val="20"/>
          <w:rtl/>
        </w:rPr>
        <w:br/>
      </w:r>
      <w:r>
        <w:rPr>
          <w:rFonts w:hint="cs"/>
          <w:sz w:val="20"/>
          <w:szCs w:val="20"/>
          <w:rtl/>
        </w:rPr>
        <w:t xml:space="preserve">ב. </w:t>
      </w:r>
      <w:r w:rsidRPr="004E383B">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לעולם אינו חוצץ.</w:t>
      </w:r>
      <w:r>
        <w:rPr>
          <w:rFonts w:hint="cs"/>
          <w:sz w:val="20"/>
          <w:szCs w:val="20"/>
          <w:rtl/>
        </w:rPr>
        <w:br/>
      </w:r>
      <w:r w:rsidRPr="004E383B">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כדין גלד שעל המכה שאינו חוצץ.</w:t>
      </w:r>
    </w:p>
    <w:p w:rsidR="00620060" w:rsidRDefault="00620060" w:rsidP="00620060">
      <w:pPr>
        <w:rPr>
          <w:sz w:val="20"/>
          <w:szCs w:val="20"/>
          <w:rtl/>
        </w:rPr>
      </w:pPr>
      <w:r>
        <w:rPr>
          <w:rFonts w:hint="cs"/>
          <w:sz w:val="20"/>
          <w:szCs w:val="20"/>
          <w:rtl/>
        </w:rPr>
        <w:t xml:space="preserve">ביאור המחלוקת </w:t>
      </w:r>
      <w:r>
        <w:rPr>
          <w:sz w:val="20"/>
          <w:szCs w:val="20"/>
          <w:rtl/>
        </w:rPr>
        <w:t>–</w:t>
      </w:r>
      <w:r>
        <w:rPr>
          <w:rFonts w:hint="cs"/>
          <w:sz w:val="20"/>
          <w:szCs w:val="20"/>
          <w:rtl/>
        </w:rPr>
        <w:t xml:space="preserve"> נאמר במשנה שגלד שעל המכה אינו חוצץ.</w:t>
      </w:r>
      <w:r>
        <w:rPr>
          <w:sz w:val="20"/>
          <w:szCs w:val="20"/>
          <w:rtl/>
        </w:rPr>
        <w:br/>
      </w:r>
      <w:r w:rsidRPr="007E532B">
        <w:rPr>
          <w:rFonts w:hint="cs"/>
          <w:b/>
          <w:bCs/>
          <w:sz w:val="20"/>
          <w:szCs w:val="20"/>
          <w:rtl/>
        </w:rPr>
        <w:t>רא"ש</w:t>
      </w:r>
      <w:r>
        <w:rPr>
          <w:rFonts w:hint="cs"/>
          <w:sz w:val="20"/>
          <w:szCs w:val="20"/>
          <w:rtl/>
        </w:rPr>
        <w:t xml:space="preserve"> </w:t>
      </w:r>
      <w:r>
        <w:rPr>
          <w:sz w:val="20"/>
          <w:szCs w:val="20"/>
          <w:rtl/>
        </w:rPr>
        <w:t>–</w:t>
      </w:r>
      <w:r>
        <w:rPr>
          <w:rFonts w:hint="cs"/>
          <w:sz w:val="20"/>
          <w:szCs w:val="20"/>
          <w:rtl/>
        </w:rPr>
        <w:t xml:space="preserve"> דווקא בתוך המכה אינו חוצץ, אך כשיצא מהמכה חוצץ לאחר ג' ימים.</w:t>
      </w:r>
      <w:r>
        <w:rPr>
          <w:sz w:val="20"/>
          <w:szCs w:val="20"/>
          <w:rtl/>
        </w:rPr>
        <w:br/>
      </w:r>
      <w:r w:rsidRPr="007E532B">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כל שהוא מכוון כנגד פי המכה לעולם אינו חוצץ.</w:t>
      </w:r>
    </w:p>
    <w:p w:rsidR="00620060" w:rsidRDefault="00620060" w:rsidP="00620060">
      <w:pPr>
        <w:rPr>
          <w:sz w:val="20"/>
          <w:szCs w:val="20"/>
          <w:rtl/>
        </w:rPr>
      </w:pPr>
      <w:r>
        <w:rPr>
          <w:rFonts w:hint="cs"/>
          <w:sz w:val="20"/>
          <w:szCs w:val="20"/>
          <w:u w:val="single"/>
          <w:rtl/>
        </w:rPr>
        <w:t>ריר שהתפשט מחוץ למכה</w:t>
      </w:r>
      <w:r>
        <w:rPr>
          <w:sz w:val="20"/>
          <w:szCs w:val="20"/>
          <w:u w:val="single"/>
          <w:rtl/>
        </w:rPr>
        <w:br/>
      </w:r>
      <w:r>
        <w:rPr>
          <w:rFonts w:hint="cs"/>
          <w:sz w:val="20"/>
          <w:szCs w:val="20"/>
          <w:rtl/>
        </w:rPr>
        <w:t xml:space="preserve">א. </w:t>
      </w:r>
      <w:r w:rsidRPr="004E383B">
        <w:rPr>
          <w:rFonts w:hint="cs"/>
          <w:b/>
          <w:bCs/>
          <w:sz w:val="20"/>
          <w:szCs w:val="20"/>
          <w:rtl/>
        </w:rPr>
        <w:t>רא"ש</w:t>
      </w:r>
      <w:r>
        <w:rPr>
          <w:rFonts w:hint="cs"/>
          <w:sz w:val="20"/>
          <w:szCs w:val="20"/>
          <w:rtl/>
        </w:rPr>
        <w:t xml:space="preserve"> </w:t>
      </w:r>
      <w:r>
        <w:rPr>
          <w:sz w:val="20"/>
          <w:szCs w:val="20"/>
          <w:rtl/>
        </w:rPr>
        <w:t>–</w:t>
      </w:r>
      <w:r>
        <w:rPr>
          <w:rFonts w:hint="cs"/>
          <w:sz w:val="20"/>
          <w:szCs w:val="20"/>
          <w:rtl/>
        </w:rPr>
        <w:t xml:space="preserve"> בתוך ג' ימים אינו חוצץ, לאחר ג' ימים חוצץ, וכ"פ </w:t>
      </w:r>
      <w:r w:rsidRPr="005F1D83">
        <w:rPr>
          <w:rFonts w:hint="cs"/>
          <w:b/>
          <w:bCs/>
          <w:sz w:val="20"/>
          <w:szCs w:val="20"/>
          <w:rtl/>
        </w:rPr>
        <w:t>המחבר</w:t>
      </w:r>
      <w:r>
        <w:rPr>
          <w:rFonts w:hint="cs"/>
          <w:sz w:val="20"/>
          <w:szCs w:val="20"/>
          <w:rtl/>
        </w:rPr>
        <w:t>.</w:t>
      </w:r>
      <w:r>
        <w:rPr>
          <w:rFonts w:hint="cs"/>
          <w:sz w:val="20"/>
          <w:szCs w:val="20"/>
          <w:rtl/>
        </w:rPr>
        <w:br/>
        <w:t xml:space="preserve">ב. </w:t>
      </w:r>
      <w:r w:rsidRPr="004E383B">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תמיד חוצץ.</w:t>
      </w:r>
      <w:r>
        <w:rPr>
          <w:sz w:val="20"/>
          <w:szCs w:val="20"/>
          <w:rtl/>
        </w:rPr>
        <w:br/>
      </w:r>
      <w:r w:rsidRPr="004E383B">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כדין גלד שחוץ למכה.</w:t>
      </w:r>
    </w:p>
    <w:p w:rsidR="00620060" w:rsidRDefault="00620060" w:rsidP="00620060">
      <w:pPr>
        <w:rPr>
          <w:sz w:val="20"/>
          <w:szCs w:val="20"/>
          <w:rtl/>
        </w:rPr>
      </w:pPr>
      <w:r>
        <w:rPr>
          <w:rFonts w:hint="cs"/>
          <w:sz w:val="20"/>
          <w:szCs w:val="20"/>
          <w:rtl/>
        </w:rPr>
        <w:t xml:space="preserve">ביאור המחלוקת </w:t>
      </w:r>
      <w:r>
        <w:rPr>
          <w:sz w:val="20"/>
          <w:szCs w:val="20"/>
          <w:rtl/>
        </w:rPr>
        <w:t>–</w:t>
      </w:r>
      <w:r>
        <w:rPr>
          <w:rFonts w:hint="cs"/>
          <w:sz w:val="20"/>
          <w:szCs w:val="20"/>
          <w:rtl/>
        </w:rPr>
        <w:t xml:space="preserve"> נאמר במשנה שגלד חוץ למכה חוצץ.</w:t>
      </w:r>
      <w:r>
        <w:rPr>
          <w:sz w:val="20"/>
          <w:szCs w:val="20"/>
          <w:rtl/>
        </w:rPr>
        <w:br/>
      </w:r>
      <w:r w:rsidRPr="00434E16">
        <w:rPr>
          <w:rFonts w:hint="cs"/>
          <w:b/>
          <w:bCs/>
          <w:sz w:val="20"/>
          <w:szCs w:val="20"/>
          <w:rtl/>
        </w:rPr>
        <w:t>רא"ש</w:t>
      </w:r>
      <w:r>
        <w:rPr>
          <w:rFonts w:hint="cs"/>
          <w:sz w:val="20"/>
          <w:szCs w:val="20"/>
          <w:rtl/>
        </w:rPr>
        <w:t xml:space="preserve"> </w:t>
      </w:r>
      <w:r>
        <w:rPr>
          <w:sz w:val="20"/>
          <w:szCs w:val="20"/>
          <w:rtl/>
        </w:rPr>
        <w:t>–</w:t>
      </w:r>
      <w:r>
        <w:rPr>
          <w:rFonts w:hint="cs"/>
          <w:sz w:val="20"/>
          <w:szCs w:val="20"/>
          <w:rtl/>
        </w:rPr>
        <w:t xml:space="preserve"> דווקא לאחר ג' ימים, משום שהחילוק בריבדא דכוסילתא קאי גם על מכה זו.</w:t>
      </w:r>
      <w:r>
        <w:rPr>
          <w:sz w:val="20"/>
          <w:szCs w:val="20"/>
          <w:rtl/>
        </w:rPr>
        <w:br/>
      </w:r>
      <w:r w:rsidRPr="00434E16">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אפילו תוך ג' ימים, משום שהחילוק בגמרא נאמר רק לגבי שריטה שבבשרה.</w:t>
      </w:r>
    </w:p>
    <w:p w:rsidR="00620060" w:rsidRPr="00372CBE" w:rsidRDefault="00620060" w:rsidP="00620060">
      <w:pPr>
        <w:rPr>
          <w:sz w:val="20"/>
          <w:szCs w:val="20"/>
          <w:rtl/>
        </w:rPr>
      </w:pPr>
      <w:r>
        <w:rPr>
          <w:rFonts w:hint="cs"/>
          <w:sz w:val="20"/>
          <w:szCs w:val="20"/>
          <w:u w:val="single"/>
          <w:rtl/>
        </w:rPr>
        <w:t>הכרעת האחרונים</w:t>
      </w:r>
      <w:r>
        <w:rPr>
          <w:sz w:val="20"/>
          <w:szCs w:val="20"/>
          <w:u w:val="single"/>
          <w:rtl/>
        </w:rPr>
        <w:br/>
      </w:r>
      <w:r>
        <w:rPr>
          <w:rFonts w:hint="cs"/>
          <w:sz w:val="20"/>
          <w:szCs w:val="20"/>
          <w:rtl/>
        </w:rPr>
        <w:t xml:space="preserve">א. </w:t>
      </w:r>
      <w:r w:rsidRPr="00B30CAE">
        <w:rPr>
          <w:rFonts w:hint="cs"/>
          <w:b/>
          <w:bCs/>
          <w:sz w:val="20"/>
          <w:szCs w:val="20"/>
          <w:rtl/>
        </w:rPr>
        <w:t>סדרי טהרה</w:t>
      </w:r>
      <w:r>
        <w:rPr>
          <w:rFonts w:hint="cs"/>
          <w:sz w:val="20"/>
          <w:szCs w:val="20"/>
          <w:rtl/>
        </w:rPr>
        <w:t xml:space="preserve"> </w:t>
      </w:r>
      <w:r>
        <w:rPr>
          <w:sz w:val="20"/>
          <w:szCs w:val="20"/>
          <w:rtl/>
        </w:rPr>
        <w:t>–</w:t>
      </w:r>
      <w:r>
        <w:rPr>
          <w:rFonts w:hint="cs"/>
          <w:sz w:val="20"/>
          <w:szCs w:val="20"/>
          <w:rtl/>
        </w:rPr>
        <w:t xml:space="preserve"> הלכה כרא"ש, ריכוך מהני אפילו לריר שיצא חוץ למכה. ולכן אשה שיש לה פצע ויצא ממנו ריר חוץ למכה תרכך אותו היטב במים חמים ותטבול, וכ"פ טה"ב </w:t>
      </w:r>
      <w:r w:rsidRPr="00B30CAE">
        <w:rPr>
          <w:rFonts w:hint="cs"/>
          <w:sz w:val="18"/>
          <w:szCs w:val="18"/>
          <w:rtl/>
        </w:rPr>
        <w:t>(ח"ג, עמ' לג)</w:t>
      </w:r>
      <w:r>
        <w:rPr>
          <w:rFonts w:hint="cs"/>
          <w:sz w:val="20"/>
          <w:szCs w:val="20"/>
          <w:rtl/>
        </w:rPr>
        <w:t>.</w:t>
      </w:r>
      <w:r>
        <w:rPr>
          <w:rFonts w:hint="cs"/>
          <w:sz w:val="20"/>
          <w:szCs w:val="20"/>
          <w:rtl/>
        </w:rPr>
        <w:br/>
        <w:t xml:space="preserve">ב. </w:t>
      </w:r>
      <w:r w:rsidRPr="00B30CAE">
        <w:rPr>
          <w:rFonts w:hint="cs"/>
          <w:b/>
          <w:bCs/>
          <w:sz w:val="20"/>
          <w:szCs w:val="20"/>
          <w:rtl/>
        </w:rPr>
        <w:t>דרכי טהרה</w:t>
      </w:r>
      <w:r>
        <w:rPr>
          <w:rFonts w:hint="cs"/>
          <w:sz w:val="20"/>
          <w:szCs w:val="20"/>
          <w:rtl/>
        </w:rPr>
        <w:t xml:space="preserve"> </w:t>
      </w:r>
      <w:r>
        <w:rPr>
          <w:sz w:val="20"/>
          <w:szCs w:val="20"/>
          <w:rtl/>
        </w:rPr>
        <w:t>–</w:t>
      </w:r>
      <w:r>
        <w:rPr>
          <w:rFonts w:hint="cs"/>
          <w:sz w:val="20"/>
          <w:szCs w:val="20"/>
          <w:rtl/>
        </w:rPr>
        <w:t xml:space="preserve"> הלכה כרמב"ם, ריר שיצא חוץ למכה חוצץ בין לח ובין יבש.</w:t>
      </w:r>
    </w:p>
    <w:p w:rsidR="00620060" w:rsidRDefault="00620060" w:rsidP="00620060">
      <w:pPr>
        <w:rPr>
          <w:rFonts w:cs="Arial"/>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Pr>
          <w:rFonts w:cs="Arial" w:hint="cs"/>
          <w:sz w:val="20"/>
          <w:szCs w:val="20"/>
          <w:vertAlign w:val="superscript"/>
          <w:rtl/>
        </w:rPr>
        <w:t>1</w:t>
      </w:r>
      <w:r w:rsidRPr="00A5606D">
        <w:rPr>
          <w:rFonts w:cs="Arial"/>
          <w:sz w:val="20"/>
          <w:szCs w:val="20"/>
          <w:rtl/>
        </w:rPr>
        <w:t xml:space="preserve">דם יבש שעל המכה, חוצץ; </w:t>
      </w:r>
      <w:r>
        <w:rPr>
          <w:rFonts w:cs="Arial" w:hint="cs"/>
          <w:sz w:val="20"/>
          <w:szCs w:val="20"/>
          <w:vertAlign w:val="superscript"/>
          <w:rtl/>
        </w:rPr>
        <w:t>2</w:t>
      </w:r>
      <w:r w:rsidRPr="00A5606D">
        <w:rPr>
          <w:rFonts w:cs="Arial"/>
          <w:sz w:val="20"/>
          <w:szCs w:val="20"/>
          <w:rtl/>
        </w:rPr>
        <w:t xml:space="preserve">וריר שבתוכה, אינו חוצץ. </w:t>
      </w:r>
      <w:r>
        <w:rPr>
          <w:rFonts w:cs="Arial" w:hint="cs"/>
          <w:sz w:val="20"/>
          <w:szCs w:val="20"/>
          <w:vertAlign w:val="superscript"/>
          <w:rtl/>
        </w:rPr>
        <w:t>3</w:t>
      </w:r>
      <w:r w:rsidRPr="00A5606D">
        <w:rPr>
          <w:rFonts w:cs="Arial"/>
          <w:sz w:val="20"/>
          <w:szCs w:val="20"/>
          <w:rtl/>
        </w:rPr>
        <w:t xml:space="preserve">יצא הריר מתוכה, כל תוך ג' ימים לח הוא ואינו חוצץ; </w:t>
      </w:r>
      <w:r>
        <w:rPr>
          <w:rFonts w:cs="Arial"/>
          <w:sz w:val="20"/>
          <w:szCs w:val="20"/>
          <w:rtl/>
        </w:rPr>
        <w:t>לאחר מכאן, יבש הוא וחוצץ</w:t>
      </w:r>
      <w:r>
        <w:rPr>
          <w:rFonts w:cs="Arial" w:hint="cs"/>
          <w:sz w:val="20"/>
          <w:szCs w:val="20"/>
          <w:rtl/>
        </w:rPr>
        <w:t>".</w:t>
      </w:r>
      <w:r>
        <w:rPr>
          <w:rFonts w:cs="Arial" w:hint="cs"/>
          <w:sz w:val="20"/>
          <w:szCs w:val="20"/>
          <w:rtl/>
        </w:rPr>
        <w:br/>
      </w:r>
      <w:r w:rsidRPr="00397C3B">
        <w:rPr>
          <w:rFonts w:cs="Arial" w:hint="cs"/>
          <w:b/>
          <w:bCs/>
          <w:sz w:val="20"/>
          <w:szCs w:val="20"/>
          <w:rtl/>
        </w:rPr>
        <w:t>ט"ז וש"ך</w:t>
      </w:r>
      <w:r>
        <w:rPr>
          <w:rFonts w:cs="Arial" w:hint="cs"/>
          <w:sz w:val="20"/>
          <w:szCs w:val="20"/>
          <w:rtl/>
        </w:rPr>
        <w:t xml:space="preserve"> </w:t>
      </w:r>
      <w:r>
        <w:rPr>
          <w:rFonts w:cs="Arial"/>
          <w:sz w:val="20"/>
          <w:szCs w:val="20"/>
          <w:rtl/>
        </w:rPr>
        <w:t>–</w:t>
      </w:r>
      <w:r>
        <w:rPr>
          <w:rFonts w:cs="Arial" w:hint="cs"/>
          <w:sz w:val="20"/>
          <w:szCs w:val="20"/>
          <w:rtl/>
        </w:rPr>
        <w:t xml:space="preserve"> גלד שמעלה המכה של מקיזי הדם, עד ג' ימים אינו חוצץ מכאן ואילך חוצץ, כאמור בגמרא. </w:t>
      </w:r>
    </w:p>
    <w:p w:rsidR="00620060" w:rsidRDefault="00620060" w:rsidP="00620060">
      <w:pPr>
        <w:rPr>
          <w:sz w:val="20"/>
          <w:szCs w:val="20"/>
          <w:rtl/>
        </w:rPr>
      </w:pPr>
      <w:r>
        <w:rPr>
          <w:rFonts w:hint="cs"/>
          <w:sz w:val="20"/>
          <w:szCs w:val="20"/>
          <w:u w:val="single"/>
          <w:rtl/>
        </w:rPr>
        <w:t>מדוע גלד רך אינו חוצץ</w:t>
      </w:r>
      <w:r>
        <w:rPr>
          <w:sz w:val="20"/>
          <w:szCs w:val="20"/>
          <w:u w:val="single"/>
          <w:rtl/>
        </w:rPr>
        <w:br/>
      </w:r>
      <w:r>
        <w:rPr>
          <w:rFonts w:hint="cs"/>
          <w:sz w:val="20"/>
          <w:szCs w:val="20"/>
          <w:rtl/>
        </w:rPr>
        <w:t xml:space="preserve">א. </w:t>
      </w:r>
      <w:r w:rsidRPr="00331228">
        <w:rPr>
          <w:rFonts w:hint="cs"/>
          <w:b/>
          <w:bCs/>
          <w:sz w:val="20"/>
          <w:szCs w:val="20"/>
          <w:rtl/>
        </w:rPr>
        <w:t>רש"י</w:t>
      </w:r>
      <w:r>
        <w:rPr>
          <w:rFonts w:hint="cs"/>
          <w:sz w:val="20"/>
          <w:szCs w:val="20"/>
          <w:rtl/>
        </w:rPr>
        <w:t xml:space="preserve"> </w:t>
      </w:r>
      <w:r>
        <w:rPr>
          <w:sz w:val="20"/>
          <w:szCs w:val="20"/>
          <w:rtl/>
        </w:rPr>
        <w:t>–</w:t>
      </w:r>
      <w:r>
        <w:rPr>
          <w:rFonts w:hint="cs"/>
          <w:sz w:val="20"/>
          <w:szCs w:val="20"/>
          <w:rtl/>
        </w:rPr>
        <w:t xml:space="preserve"> גלד רך מחובר לגוף ודינו כבשר עצמו, גלד יבש נפרד מהגוף וחוצץ.</w:t>
      </w:r>
      <w:r>
        <w:rPr>
          <w:sz w:val="20"/>
          <w:szCs w:val="20"/>
          <w:rtl/>
        </w:rPr>
        <w:br/>
      </w:r>
      <w:r>
        <w:rPr>
          <w:rFonts w:hint="cs"/>
          <w:sz w:val="20"/>
          <w:szCs w:val="20"/>
          <w:rtl/>
        </w:rPr>
        <w:t xml:space="preserve">ב. </w:t>
      </w:r>
      <w:r w:rsidRPr="00331228">
        <w:rPr>
          <w:rFonts w:hint="cs"/>
          <w:b/>
          <w:bCs/>
          <w:sz w:val="20"/>
          <w:szCs w:val="20"/>
          <w:rtl/>
        </w:rPr>
        <w:t>מרדכי</w:t>
      </w:r>
      <w:r>
        <w:rPr>
          <w:rFonts w:hint="cs"/>
          <w:sz w:val="20"/>
          <w:szCs w:val="20"/>
          <w:rtl/>
        </w:rPr>
        <w:t xml:space="preserve"> </w:t>
      </w:r>
      <w:r>
        <w:rPr>
          <w:sz w:val="20"/>
          <w:szCs w:val="20"/>
          <w:rtl/>
        </w:rPr>
        <w:t>–</w:t>
      </w:r>
      <w:r>
        <w:rPr>
          <w:rFonts w:hint="cs"/>
          <w:sz w:val="20"/>
          <w:szCs w:val="20"/>
          <w:rtl/>
        </w:rPr>
        <w:t xml:space="preserve"> המים יכולים להיכנס דרך גלד רך, אך אינם יכולים להיכנס בגלד יבש.</w:t>
      </w:r>
      <w:r w:rsidRPr="009E4ED3">
        <w:rPr>
          <w:sz w:val="20"/>
          <w:szCs w:val="20"/>
          <w:rtl/>
        </w:rPr>
        <w:t xml:space="preserve"> </w:t>
      </w:r>
      <w:r>
        <w:rPr>
          <w:sz w:val="20"/>
          <w:szCs w:val="20"/>
          <w:rtl/>
        </w:rPr>
        <w:br/>
      </w:r>
      <w:r>
        <w:rPr>
          <w:rFonts w:hint="cs"/>
          <w:sz w:val="20"/>
          <w:szCs w:val="20"/>
          <w:rtl/>
        </w:rPr>
        <w:br/>
      </w:r>
      <w:r>
        <w:rPr>
          <w:rFonts w:hint="cs"/>
          <w:sz w:val="20"/>
          <w:szCs w:val="20"/>
          <w:u w:val="single"/>
          <w:rtl/>
        </w:rPr>
        <w:lastRenderedPageBreak/>
        <w:t>חישוב שלושת הימים (פת"ש)</w:t>
      </w:r>
      <w:r>
        <w:rPr>
          <w:rFonts w:hint="cs"/>
          <w:sz w:val="20"/>
          <w:szCs w:val="20"/>
          <w:u w:val="single"/>
          <w:rtl/>
        </w:rPr>
        <w:br/>
      </w:r>
      <w:r w:rsidRPr="00A16386">
        <w:rPr>
          <w:rFonts w:hint="cs"/>
          <w:b/>
          <w:bCs/>
          <w:sz w:val="20"/>
          <w:szCs w:val="20"/>
          <w:rtl/>
        </w:rPr>
        <w:t>חת"ס</w:t>
      </w:r>
      <w:r>
        <w:rPr>
          <w:rFonts w:hint="cs"/>
          <w:sz w:val="20"/>
          <w:szCs w:val="20"/>
          <w:rtl/>
        </w:rPr>
        <w:t xml:space="preserve"> </w:t>
      </w:r>
      <w:r>
        <w:rPr>
          <w:sz w:val="20"/>
          <w:szCs w:val="20"/>
          <w:rtl/>
        </w:rPr>
        <w:t>–</w:t>
      </w:r>
      <w:r>
        <w:rPr>
          <w:rFonts w:hint="cs"/>
          <w:sz w:val="20"/>
          <w:szCs w:val="20"/>
          <w:rtl/>
        </w:rPr>
        <w:t xml:space="preserve"> מסתבר לומר ששלושה ימים הם מעת לעת, והמחמיר להחשיב מקצת היום ככולו תבוא עליו ברכה.</w:t>
      </w:r>
    </w:p>
    <w:p w:rsidR="00620060" w:rsidRDefault="00620060" w:rsidP="00620060">
      <w:pPr>
        <w:rPr>
          <w:sz w:val="20"/>
          <w:szCs w:val="20"/>
          <w:rtl/>
        </w:rPr>
      </w:pPr>
      <w:r>
        <w:rPr>
          <w:rFonts w:hint="cs"/>
          <w:sz w:val="20"/>
          <w:szCs w:val="20"/>
          <w:u w:val="single"/>
          <w:rtl/>
        </w:rPr>
        <w:t>גלד שמצטערת להסירו (בית יוסף, וט"ז סקי"ד)</w:t>
      </w:r>
      <w:r>
        <w:rPr>
          <w:sz w:val="20"/>
          <w:szCs w:val="20"/>
          <w:u w:val="single"/>
          <w:rtl/>
        </w:rPr>
        <w:br/>
      </w:r>
      <w:r>
        <w:rPr>
          <w:rFonts w:hint="cs"/>
          <w:sz w:val="20"/>
          <w:szCs w:val="20"/>
          <w:rtl/>
        </w:rPr>
        <w:t>האם מותר לאשה לטבול בגלד יבש שהיא מצטערת להסירו מחמת שגורם לה כאב?</w:t>
      </w:r>
      <w:r>
        <w:rPr>
          <w:rFonts w:hint="cs"/>
          <w:sz w:val="20"/>
          <w:szCs w:val="20"/>
          <w:rtl/>
        </w:rPr>
        <w:br/>
      </w:r>
      <w:r w:rsidRPr="00A51297">
        <w:rPr>
          <w:rFonts w:hint="cs"/>
          <w:sz w:val="20"/>
          <w:szCs w:val="20"/>
          <w:rtl/>
        </w:rPr>
        <w:t xml:space="preserve">א. </w:t>
      </w:r>
      <w:r w:rsidRPr="00A51297">
        <w:rPr>
          <w:rFonts w:hint="cs"/>
          <w:b/>
          <w:bCs/>
          <w:sz w:val="20"/>
          <w:szCs w:val="20"/>
          <w:rtl/>
        </w:rPr>
        <w:t xml:space="preserve">מרדכי </w:t>
      </w:r>
      <w:r w:rsidRPr="00FC165E">
        <w:rPr>
          <w:rFonts w:hint="cs"/>
          <w:b/>
          <w:bCs/>
          <w:sz w:val="20"/>
          <w:szCs w:val="20"/>
          <w:rtl/>
        </w:rPr>
        <w:t>ומהרש"ל</w:t>
      </w:r>
      <w:r>
        <w:rPr>
          <w:rFonts w:hint="cs"/>
          <w:sz w:val="20"/>
          <w:szCs w:val="20"/>
          <w:rtl/>
        </w:rPr>
        <w:t xml:space="preserve"> </w:t>
      </w:r>
      <w:r>
        <w:rPr>
          <w:sz w:val="20"/>
          <w:szCs w:val="20"/>
          <w:rtl/>
        </w:rPr>
        <w:t>–</w:t>
      </w:r>
      <w:r>
        <w:rPr>
          <w:rFonts w:hint="cs"/>
          <w:sz w:val="20"/>
          <w:szCs w:val="20"/>
          <w:rtl/>
        </w:rPr>
        <w:t xml:space="preserve"> לא, וכ"פ </w:t>
      </w:r>
      <w:r w:rsidRPr="007562F2">
        <w:rPr>
          <w:rFonts w:hint="cs"/>
          <w:b/>
          <w:bCs/>
          <w:sz w:val="20"/>
          <w:szCs w:val="20"/>
          <w:rtl/>
        </w:rPr>
        <w:t>הט"ז</w:t>
      </w:r>
      <w:r>
        <w:rPr>
          <w:rFonts w:hint="cs"/>
          <w:sz w:val="20"/>
          <w:szCs w:val="20"/>
          <w:rtl/>
        </w:rPr>
        <w:t>.</w:t>
      </w:r>
      <w:r>
        <w:rPr>
          <w:rStyle w:val="a5"/>
          <w:sz w:val="20"/>
          <w:szCs w:val="20"/>
          <w:rtl/>
        </w:rPr>
        <w:footnoteReference w:id="613"/>
      </w:r>
      <w:r>
        <w:rPr>
          <w:sz w:val="20"/>
          <w:szCs w:val="20"/>
          <w:rtl/>
        </w:rPr>
        <w:br/>
      </w:r>
      <w:r w:rsidRPr="00A51297">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אע"פ שזה מיעוט שאין מקפיד עליו, מכל מקום הרגילות היא להסירו.</w:t>
      </w:r>
      <w:r>
        <w:rPr>
          <w:sz w:val="20"/>
          <w:szCs w:val="20"/>
          <w:rtl/>
        </w:rPr>
        <w:br/>
      </w:r>
      <w:r>
        <w:rPr>
          <w:rFonts w:hint="cs"/>
          <w:sz w:val="20"/>
          <w:szCs w:val="20"/>
          <w:rtl/>
        </w:rPr>
        <w:t xml:space="preserve">ב. </w:t>
      </w:r>
      <w:r w:rsidRPr="00A51297">
        <w:rPr>
          <w:rFonts w:hint="cs"/>
          <w:b/>
          <w:bCs/>
          <w:sz w:val="20"/>
          <w:szCs w:val="20"/>
          <w:rtl/>
        </w:rPr>
        <w:t>סמ"ק</w:t>
      </w:r>
      <w:r>
        <w:rPr>
          <w:rFonts w:hint="cs"/>
          <w:sz w:val="20"/>
          <w:szCs w:val="20"/>
          <w:rtl/>
        </w:rPr>
        <w:t xml:space="preserve"> </w:t>
      </w:r>
      <w:r>
        <w:rPr>
          <w:sz w:val="20"/>
          <w:szCs w:val="20"/>
          <w:rtl/>
        </w:rPr>
        <w:t>–</w:t>
      </w:r>
      <w:r>
        <w:rPr>
          <w:rFonts w:hint="cs"/>
          <w:sz w:val="20"/>
          <w:szCs w:val="20"/>
          <w:rtl/>
        </w:rPr>
        <w:t xml:space="preserve"> כן.</w:t>
      </w:r>
      <w:r>
        <w:rPr>
          <w:sz w:val="20"/>
          <w:szCs w:val="20"/>
          <w:rtl/>
        </w:rPr>
        <w:br/>
      </w:r>
      <w:r w:rsidRPr="00A51297">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מן הדין אין הגלד חוצץ כדין מיעוטו שאין מקפיד עליו.</w:t>
      </w:r>
    </w:p>
    <w:p w:rsidR="00620060" w:rsidRDefault="00620060" w:rsidP="00620060">
      <w:pPr>
        <w:rPr>
          <w:sz w:val="20"/>
          <w:szCs w:val="20"/>
          <w:rtl/>
        </w:rPr>
      </w:pPr>
      <w:r>
        <w:rPr>
          <w:rFonts w:hint="cs"/>
          <w:b/>
          <w:bCs/>
          <w:sz w:val="20"/>
          <w:szCs w:val="20"/>
          <w:rtl/>
        </w:rPr>
        <w:t>טבילה לאשה בעלת חטטים בראש</w:t>
      </w:r>
      <w:r>
        <w:rPr>
          <w:b/>
          <w:bCs/>
          <w:sz w:val="20"/>
          <w:szCs w:val="20"/>
          <w:rtl/>
        </w:rPr>
        <w:br/>
      </w:r>
      <w:r>
        <w:rPr>
          <w:rFonts w:hint="cs"/>
          <w:b/>
          <w:bCs/>
          <w:sz w:val="20"/>
          <w:szCs w:val="20"/>
          <w:rtl/>
        </w:rPr>
        <w:t xml:space="preserve">פסיקת הלכה </w:t>
      </w:r>
      <w:r>
        <w:rPr>
          <w:sz w:val="20"/>
          <w:szCs w:val="20"/>
          <w:rtl/>
        </w:rPr>
        <w:t>–</w:t>
      </w:r>
      <w:r>
        <w:rPr>
          <w:rFonts w:hint="cs"/>
          <w:sz w:val="20"/>
          <w:szCs w:val="20"/>
          <w:rtl/>
        </w:rPr>
        <w:t xml:space="preserve"> "</w:t>
      </w:r>
      <w:r w:rsidRPr="0016599C">
        <w:rPr>
          <w:rFonts w:cs="Arial"/>
          <w:sz w:val="20"/>
          <w:szCs w:val="20"/>
          <w:rtl/>
        </w:rPr>
        <w:t>לפיכך אשה בעלת ח</w:t>
      </w:r>
      <w:r>
        <w:rPr>
          <w:rFonts w:cs="Arial"/>
          <w:sz w:val="20"/>
          <w:szCs w:val="20"/>
          <w:rtl/>
        </w:rPr>
        <w:t>טטים צריכה לחוף במים עד שיתרככו</w:t>
      </w:r>
      <w:r>
        <w:rPr>
          <w:rFonts w:cs="Arial" w:hint="cs"/>
          <w:sz w:val="20"/>
          <w:szCs w:val="20"/>
          <w:rtl/>
        </w:rPr>
        <w:t>".</w:t>
      </w:r>
      <w:r>
        <w:rPr>
          <w:rFonts w:cs="Arial"/>
          <w:sz w:val="20"/>
          <w:szCs w:val="20"/>
          <w:rtl/>
        </w:rPr>
        <w:br/>
      </w:r>
      <w:r>
        <w:rPr>
          <w:rFonts w:cs="Arial" w:hint="cs"/>
          <w:sz w:val="20"/>
          <w:szCs w:val="20"/>
          <w:rtl/>
        </w:rPr>
        <w:t xml:space="preserve">מדברי המחבר משמע שפסק כדעת </w:t>
      </w:r>
      <w:r w:rsidRPr="0016599C">
        <w:rPr>
          <w:rFonts w:cs="Arial" w:hint="cs"/>
          <w:b/>
          <w:bCs/>
          <w:sz w:val="20"/>
          <w:szCs w:val="20"/>
          <w:rtl/>
        </w:rPr>
        <w:t>הסמ"ק</w:t>
      </w:r>
      <w:r>
        <w:rPr>
          <w:rFonts w:cs="Arial" w:hint="cs"/>
          <w:sz w:val="20"/>
          <w:szCs w:val="20"/>
          <w:rtl/>
        </w:rPr>
        <w:t xml:space="preserve"> שמותר לטבול גם כשלא הסירה את הגלד, ובלבד שתרכך, וכן כתב </w:t>
      </w:r>
      <w:r w:rsidRPr="00D54A86">
        <w:rPr>
          <w:rFonts w:cs="Arial" w:hint="cs"/>
          <w:b/>
          <w:bCs/>
          <w:sz w:val="20"/>
          <w:szCs w:val="20"/>
          <w:rtl/>
        </w:rPr>
        <w:t>ששבה"ל</w:t>
      </w:r>
      <w:r>
        <w:rPr>
          <w:rFonts w:cs="Arial" w:hint="cs"/>
          <w:sz w:val="20"/>
          <w:szCs w:val="20"/>
          <w:rtl/>
        </w:rPr>
        <w:t xml:space="preserve"> שיש לנהוג למעשה. אמנם אם מדובר בגלד קטן שאפשר להסירו בקל ללא כאב ודם, יש להסיר.</w:t>
      </w:r>
    </w:p>
    <w:p w:rsidR="00620060" w:rsidRPr="000B05AF" w:rsidRDefault="00620060" w:rsidP="00620060">
      <w:pPr>
        <w:rPr>
          <w:sz w:val="20"/>
          <w:szCs w:val="20"/>
        </w:rPr>
      </w:pPr>
      <w:r w:rsidRPr="00EA76C8">
        <w:rPr>
          <w:rFonts w:hint="cs"/>
          <w:b/>
          <w:bCs/>
          <w:sz w:val="20"/>
          <w:szCs w:val="20"/>
          <w:rtl/>
        </w:rPr>
        <w:t>סיכום</w:t>
      </w:r>
      <w:r>
        <w:rPr>
          <w:rFonts w:hint="cs"/>
          <w:sz w:val="20"/>
          <w:szCs w:val="20"/>
          <w:rtl/>
        </w:rPr>
        <w:br/>
        <w:t xml:space="preserve">1. ריר שעלה על גבי המכה. </w:t>
      </w:r>
      <w:r w:rsidRPr="000A0346">
        <w:rPr>
          <w:rFonts w:hint="cs"/>
          <w:b/>
          <w:bCs/>
          <w:sz w:val="20"/>
          <w:szCs w:val="20"/>
          <w:rtl/>
        </w:rPr>
        <w:t>רא"ש</w:t>
      </w:r>
      <w:r>
        <w:rPr>
          <w:rFonts w:hint="cs"/>
          <w:sz w:val="20"/>
          <w:szCs w:val="20"/>
          <w:rtl/>
        </w:rPr>
        <w:t xml:space="preserve">. בתוך ג' אינו חוצץ. </w:t>
      </w:r>
      <w:r w:rsidRPr="000A0346">
        <w:rPr>
          <w:rFonts w:hint="cs"/>
          <w:b/>
          <w:bCs/>
          <w:sz w:val="20"/>
          <w:szCs w:val="20"/>
          <w:rtl/>
        </w:rPr>
        <w:t>טעם</w:t>
      </w:r>
      <w:r>
        <w:rPr>
          <w:rFonts w:hint="cs"/>
          <w:sz w:val="20"/>
          <w:szCs w:val="20"/>
          <w:rtl/>
        </w:rPr>
        <w:t xml:space="preserve">. כדין ריבדא דכוסילתא. </w:t>
      </w:r>
      <w:r w:rsidRPr="000A0346">
        <w:rPr>
          <w:rFonts w:hint="cs"/>
          <w:b/>
          <w:bCs/>
          <w:sz w:val="20"/>
          <w:szCs w:val="20"/>
          <w:rtl/>
        </w:rPr>
        <w:t>רמב"ם</w:t>
      </w:r>
      <w:r>
        <w:rPr>
          <w:rFonts w:hint="cs"/>
          <w:sz w:val="20"/>
          <w:szCs w:val="20"/>
          <w:rtl/>
        </w:rPr>
        <w:t xml:space="preserve">. לעולם אינו חוצץ. </w:t>
      </w:r>
      <w:r w:rsidRPr="000A0346">
        <w:rPr>
          <w:rFonts w:hint="cs"/>
          <w:b/>
          <w:bCs/>
          <w:sz w:val="20"/>
          <w:szCs w:val="20"/>
          <w:rtl/>
        </w:rPr>
        <w:t>טעם</w:t>
      </w:r>
      <w:r>
        <w:rPr>
          <w:rFonts w:hint="cs"/>
          <w:sz w:val="20"/>
          <w:szCs w:val="20"/>
          <w:rtl/>
        </w:rPr>
        <w:t xml:space="preserve">. כדין גלד שעל המכה. ריר שהתפשט מחוץ למכה. </w:t>
      </w:r>
      <w:r w:rsidRPr="000A0346">
        <w:rPr>
          <w:rFonts w:hint="cs"/>
          <w:b/>
          <w:bCs/>
          <w:sz w:val="20"/>
          <w:szCs w:val="20"/>
          <w:rtl/>
        </w:rPr>
        <w:t>רא"ש</w:t>
      </w:r>
      <w:r>
        <w:rPr>
          <w:rFonts w:hint="cs"/>
          <w:sz w:val="20"/>
          <w:szCs w:val="20"/>
          <w:rtl/>
        </w:rPr>
        <w:t xml:space="preserve">. בתוך ג' ימים אינו חוצץ. </w:t>
      </w:r>
      <w:r w:rsidRPr="000A0346">
        <w:rPr>
          <w:rFonts w:hint="cs"/>
          <w:b/>
          <w:bCs/>
          <w:sz w:val="20"/>
          <w:szCs w:val="20"/>
          <w:rtl/>
        </w:rPr>
        <w:t>רמב"ם</w:t>
      </w:r>
      <w:r>
        <w:rPr>
          <w:rFonts w:hint="cs"/>
          <w:sz w:val="20"/>
          <w:szCs w:val="20"/>
          <w:rtl/>
        </w:rPr>
        <w:t xml:space="preserve">. תמיד חוצץ. </w:t>
      </w:r>
      <w:r w:rsidRPr="000A0346">
        <w:rPr>
          <w:rFonts w:hint="cs"/>
          <w:b/>
          <w:bCs/>
          <w:sz w:val="20"/>
          <w:szCs w:val="20"/>
          <w:rtl/>
        </w:rPr>
        <w:t>טעם</w:t>
      </w:r>
      <w:r>
        <w:rPr>
          <w:rFonts w:hint="cs"/>
          <w:sz w:val="20"/>
          <w:szCs w:val="20"/>
          <w:rtl/>
        </w:rPr>
        <w:t>. כדין גלד שחוץ למכה.</w:t>
      </w:r>
      <w:r w:rsidRPr="000A0346">
        <w:rPr>
          <w:rFonts w:hint="cs"/>
          <w:b/>
          <w:bCs/>
          <w:sz w:val="20"/>
          <w:szCs w:val="20"/>
          <w:rtl/>
        </w:rPr>
        <w:t xml:space="preserve"> המחבר</w:t>
      </w:r>
      <w:r>
        <w:rPr>
          <w:rFonts w:hint="cs"/>
          <w:sz w:val="20"/>
          <w:szCs w:val="20"/>
          <w:rtl/>
        </w:rPr>
        <w:t xml:space="preserve"> פוסק בשתי המחלוקות כרא"ש, וכ"פ </w:t>
      </w:r>
      <w:r w:rsidRPr="00826D6B">
        <w:rPr>
          <w:rFonts w:hint="cs"/>
          <w:b/>
          <w:bCs/>
          <w:sz w:val="20"/>
          <w:szCs w:val="20"/>
          <w:rtl/>
        </w:rPr>
        <w:t>הסד"ט וטה"ב</w:t>
      </w:r>
      <w:r>
        <w:rPr>
          <w:rFonts w:hint="cs"/>
          <w:sz w:val="20"/>
          <w:szCs w:val="20"/>
          <w:rtl/>
        </w:rPr>
        <w:t xml:space="preserve">. </w:t>
      </w:r>
      <w:r w:rsidRPr="00826D6B">
        <w:rPr>
          <w:rFonts w:hint="cs"/>
          <w:b/>
          <w:bCs/>
          <w:sz w:val="20"/>
          <w:szCs w:val="20"/>
          <w:rtl/>
        </w:rPr>
        <w:t>דרכ"ט</w:t>
      </w:r>
      <w:r>
        <w:rPr>
          <w:rFonts w:hint="cs"/>
          <w:sz w:val="20"/>
          <w:szCs w:val="20"/>
          <w:rtl/>
        </w:rPr>
        <w:t xml:space="preserve">. ריר שיצא חוץ למכה חוצץ בין לח ובין יבש. </w:t>
      </w:r>
      <w:r>
        <w:rPr>
          <w:sz w:val="20"/>
          <w:szCs w:val="20"/>
          <w:rtl/>
        </w:rPr>
        <w:br/>
      </w:r>
      <w:r>
        <w:rPr>
          <w:rFonts w:hint="cs"/>
          <w:sz w:val="20"/>
          <w:szCs w:val="20"/>
          <w:rtl/>
        </w:rPr>
        <w:t xml:space="preserve">2. </w:t>
      </w:r>
      <w:r>
        <w:rPr>
          <w:rFonts w:hint="cs"/>
          <w:sz w:val="20"/>
          <w:szCs w:val="20"/>
          <w:vertAlign w:val="superscript"/>
          <w:rtl/>
        </w:rPr>
        <w:t>1</w:t>
      </w:r>
      <w:r>
        <w:rPr>
          <w:rFonts w:hint="cs"/>
          <w:sz w:val="20"/>
          <w:szCs w:val="20"/>
          <w:rtl/>
        </w:rPr>
        <w:t xml:space="preserve">דם יבש חוצץ, לח אינו חוצץ. </w:t>
      </w:r>
      <w:r>
        <w:rPr>
          <w:rFonts w:hint="cs"/>
          <w:sz w:val="20"/>
          <w:szCs w:val="20"/>
          <w:vertAlign w:val="superscript"/>
          <w:rtl/>
        </w:rPr>
        <w:t>2</w:t>
      </w:r>
      <w:r>
        <w:rPr>
          <w:rFonts w:hint="cs"/>
          <w:sz w:val="20"/>
          <w:szCs w:val="20"/>
          <w:rtl/>
        </w:rPr>
        <w:t xml:space="preserve">ריר בתוך המכה אינו חוצץ, כגון מוגלה. </w:t>
      </w:r>
      <w:r>
        <w:rPr>
          <w:rFonts w:hint="cs"/>
          <w:sz w:val="20"/>
          <w:szCs w:val="20"/>
          <w:vertAlign w:val="superscript"/>
          <w:rtl/>
        </w:rPr>
        <w:t>3</w:t>
      </w:r>
      <w:r>
        <w:rPr>
          <w:rFonts w:hint="cs"/>
          <w:sz w:val="20"/>
          <w:szCs w:val="20"/>
          <w:rtl/>
        </w:rPr>
        <w:t xml:space="preserve">ריר מחוץ למכה </w:t>
      </w:r>
      <w:r>
        <w:rPr>
          <w:sz w:val="20"/>
          <w:szCs w:val="20"/>
          <w:rtl/>
        </w:rPr>
        <w:t>–</w:t>
      </w:r>
      <w:r>
        <w:rPr>
          <w:rFonts w:hint="cs"/>
          <w:sz w:val="20"/>
          <w:szCs w:val="20"/>
          <w:rtl/>
        </w:rPr>
        <w:t xml:space="preserve"> לאחר ג' ימים יבש וחוצץ, בתוך ג' ימים לח ואינו חוצץ. ג' ימים מחושבים מעת לעת.</w:t>
      </w:r>
      <w:r>
        <w:rPr>
          <w:rFonts w:hint="cs"/>
          <w:sz w:val="20"/>
          <w:szCs w:val="20"/>
          <w:rtl/>
        </w:rPr>
        <w:br/>
        <w:t xml:space="preserve">3. טעם שריר לח אינו חוצץ. </w:t>
      </w:r>
      <w:r w:rsidRPr="00CD49E1">
        <w:rPr>
          <w:rFonts w:hint="cs"/>
          <w:b/>
          <w:bCs/>
          <w:sz w:val="20"/>
          <w:szCs w:val="20"/>
          <w:rtl/>
        </w:rPr>
        <w:t>רש"י</w:t>
      </w:r>
      <w:r>
        <w:rPr>
          <w:rFonts w:hint="cs"/>
          <w:sz w:val="20"/>
          <w:szCs w:val="20"/>
          <w:rtl/>
        </w:rPr>
        <w:t xml:space="preserve">. מחובר לגוף ודינו כבשר עצמו. </w:t>
      </w:r>
      <w:r w:rsidRPr="00CD49E1">
        <w:rPr>
          <w:rFonts w:hint="cs"/>
          <w:b/>
          <w:bCs/>
          <w:sz w:val="20"/>
          <w:szCs w:val="20"/>
          <w:rtl/>
        </w:rPr>
        <w:t>מרדכי</w:t>
      </w:r>
      <w:r>
        <w:rPr>
          <w:rFonts w:hint="cs"/>
          <w:sz w:val="20"/>
          <w:szCs w:val="20"/>
          <w:rtl/>
        </w:rPr>
        <w:t>. המים יכולים להיכנס דרכו.</w:t>
      </w:r>
      <w:r>
        <w:rPr>
          <w:rFonts w:hint="cs"/>
          <w:sz w:val="20"/>
          <w:szCs w:val="20"/>
          <w:rtl/>
        </w:rPr>
        <w:br/>
        <w:t xml:space="preserve">4. גלד שמצטערת להסירו האם מותר לטבול כשלא הסירתו? </w:t>
      </w:r>
      <w:r w:rsidRPr="00CD49E1">
        <w:rPr>
          <w:rFonts w:hint="cs"/>
          <w:b/>
          <w:bCs/>
          <w:sz w:val="20"/>
          <w:szCs w:val="20"/>
          <w:rtl/>
        </w:rPr>
        <w:t>מרדכי</w:t>
      </w:r>
      <w:r>
        <w:rPr>
          <w:rFonts w:hint="cs"/>
          <w:sz w:val="20"/>
          <w:szCs w:val="20"/>
          <w:rtl/>
        </w:rPr>
        <w:t xml:space="preserve">, </w:t>
      </w:r>
      <w:r w:rsidRPr="00CD49E1">
        <w:rPr>
          <w:rFonts w:hint="cs"/>
          <w:b/>
          <w:bCs/>
          <w:sz w:val="20"/>
          <w:szCs w:val="20"/>
          <w:rtl/>
        </w:rPr>
        <w:t>מהרש"ל וט"ז</w:t>
      </w:r>
      <w:r>
        <w:rPr>
          <w:rFonts w:hint="cs"/>
          <w:sz w:val="20"/>
          <w:szCs w:val="20"/>
          <w:rtl/>
        </w:rPr>
        <w:t xml:space="preserve">. לא. </w:t>
      </w:r>
      <w:r w:rsidRPr="00CD49E1">
        <w:rPr>
          <w:rFonts w:hint="cs"/>
          <w:b/>
          <w:bCs/>
          <w:sz w:val="20"/>
          <w:szCs w:val="20"/>
          <w:rtl/>
        </w:rPr>
        <w:t>סמ"ק</w:t>
      </w:r>
      <w:r>
        <w:rPr>
          <w:rFonts w:hint="cs"/>
          <w:sz w:val="20"/>
          <w:szCs w:val="20"/>
          <w:rtl/>
        </w:rPr>
        <w:t>. כן.</w:t>
      </w:r>
      <w:r>
        <w:rPr>
          <w:rFonts w:hint="cs"/>
          <w:sz w:val="20"/>
          <w:szCs w:val="20"/>
          <w:rtl/>
        </w:rPr>
        <w:br/>
        <w:t xml:space="preserve">5. </w:t>
      </w:r>
      <w:r w:rsidRPr="00CD49E1">
        <w:rPr>
          <w:rFonts w:hint="cs"/>
          <w:b/>
          <w:bCs/>
          <w:sz w:val="20"/>
          <w:szCs w:val="20"/>
          <w:rtl/>
        </w:rPr>
        <w:t>מחבר</w:t>
      </w:r>
      <w:r>
        <w:rPr>
          <w:rFonts w:hint="cs"/>
          <w:sz w:val="20"/>
          <w:szCs w:val="20"/>
          <w:rtl/>
        </w:rPr>
        <w:t>. אשה בעלת חטטים תרככם ותטבול, משמע דעתו שבמקום צער מהני ריכוך וא"צ להסיר.</w:t>
      </w:r>
    </w:p>
    <w:p w:rsidR="00620060" w:rsidRDefault="00620060" w:rsidP="00620060">
      <w:pPr>
        <w:rPr>
          <w:sz w:val="20"/>
          <w:szCs w:val="20"/>
          <w:rtl/>
        </w:rPr>
      </w:pPr>
      <w:r>
        <w:rPr>
          <w:rFonts w:hint="cs"/>
          <w:sz w:val="20"/>
          <w:szCs w:val="20"/>
          <w:u w:val="single"/>
          <w:rtl/>
        </w:rPr>
        <w:t>דינים נוספים (ע"פ טה"ב וששבה"ל)</w:t>
      </w:r>
      <w:r>
        <w:rPr>
          <w:sz w:val="20"/>
          <w:szCs w:val="20"/>
          <w:u w:val="single"/>
          <w:rtl/>
        </w:rPr>
        <w:br/>
      </w:r>
      <w:r>
        <w:rPr>
          <w:rFonts w:hint="cs"/>
          <w:sz w:val="20"/>
          <w:szCs w:val="20"/>
          <w:rtl/>
        </w:rPr>
        <w:t xml:space="preserve">א. פצע מוגלתי </w:t>
      </w:r>
      <w:r>
        <w:rPr>
          <w:sz w:val="20"/>
          <w:szCs w:val="20"/>
          <w:rtl/>
        </w:rPr>
        <w:t>–</w:t>
      </w:r>
      <w:r>
        <w:rPr>
          <w:rFonts w:hint="cs"/>
          <w:sz w:val="20"/>
          <w:szCs w:val="20"/>
          <w:rtl/>
        </w:rPr>
        <w:t xml:space="preserve"> אין צריך להסירו, משום שהוא ריר שבתוך המכה. אך אם הפצע נפתח והמוגלה יצאה, בתוך שלושה ימים </w:t>
      </w:r>
      <w:r w:rsidRPr="000E0BE9">
        <w:rPr>
          <w:rFonts w:hint="cs"/>
          <w:sz w:val="18"/>
          <w:szCs w:val="18"/>
          <w:rtl/>
        </w:rPr>
        <w:t xml:space="preserve">(72 שעות) </w:t>
      </w:r>
      <w:r>
        <w:rPr>
          <w:rFonts w:hint="cs"/>
          <w:sz w:val="20"/>
          <w:szCs w:val="20"/>
          <w:rtl/>
        </w:rPr>
        <w:t>אינו חוצץ משום הוא לח, אך לאחר שלושה ימים חוצץ משום שהוא יבש.</w:t>
      </w:r>
      <w:r>
        <w:rPr>
          <w:rStyle w:val="a5"/>
          <w:sz w:val="20"/>
          <w:szCs w:val="20"/>
          <w:rtl/>
        </w:rPr>
        <w:footnoteReference w:id="614"/>
      </w:r>
      <w:r>
        <w:rPr>
          <w:rFonts w:hint="cs"/>
          <w:sz w:val="20"/>
          <w:szCs w:val="20"/>
          <w:rtl/>
        </w:rPr>
        <w:br/>
        <w:t xml:space="preserve">ב. דם הנצרר תחת העור </w:t>
      </w:r>
      <w:r w:rsidRPr="00D26BA1">
        <w:rPr>
          <w:rFonts w:hint="cs"/>
          <w:sz w:val="18"/>
          <w:szCs w:val="18"/>
          <w:rtl/>
        </w:rPr>
        <w:t xml:space="preserve">(שטף דם) </w:t>
      </w:r>
      <w:r>
        <w:rPr>
          <w:rFonts w:hint="cs"/>
          <w:sz w:val="20"/>
          <w:szCs w:val="20"/>
          <w:rtl/>
        </w:rPr>
        <w:t>אינו חוצץ.</w:t>
      </w:r>
      <w:r>
        <w:rPr>
          <w:rFonts w:hint="cs"/>
          <w:sz w:val="20"/>
          <w:szCs w:val="20"/>
          <w:rtl/>
        </w:rPr>
        <w:br/>
        <w:t>ג. ריכוך ע"י מים חמים מהני גם לדם יבש וגם לגלד שעל המכה.</w:t>
      </w:r>
    </w:p>
    <w:p w:rsidR="00620060" w:rsidRDefault="00620060" w:rsidP="00620060">
      <w:pPr>
        <w:rPr>
          <w:rFonts w:cs="Arial"/>
          <w:sz w:val="20"/>
          <w:szCs w:val="20"/>
          <w:rtl/>
        </w:rPr>
      </w:pPr>
      <w:r>
        <w:rPr>
          <w:sz w:val="20"/>
          <w:szCs w:val="20"/>
          <w:rtl/>
        </w:rPr>
        <w:br/>
      </w:r>
      <w:r>
        <w:rPr>
          <w:rFonts w:hint="cs"/>
          <w:b/>
          <w:bCs/>
          <w:sz w:val="20"/>
          <w:szCs w:val="20"/>
          <w:rtl/>
        </w:rPr>
        <w:t xml:space="preserve">סעיף י </w:t>
      </w:r>
      <w:r>
        <w:rPr>
          <w:b/>
          <w:bCs/>
          <w:sz w:val="20"/>
          <w:szCs w:val="20"/>
          <w:rtl/>
        </w:rPr>
        <w:t>–</w:t>
      </w:r>
      <w:r>
        <w:rPr>
          <w:rFonts w:hint="cs"/>
          <w:b/>
          <w:bCs/>
          <w:sz w:val="20"/>
          <w:szCs w:val="20"/>
          <w:rtl/>
        </w:rPr>
        <w:t xml:space="preserve"> רטייה שעל המכה</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משנה </w:t>
      </w:r>
      <w:r>
        <w:rPr>
          <w:rFonts w:hint="cs"/>
          <w:sz w:val="20"/>
          <w:szCs w:val="20"/>
          <w:rtl/>
        </w:rPr>
        <w:t>מקוואות (ט, ב) "</w:t>
      </w:r>
      <w:r>
        <w:rPr>
          <w:rFonts w:cs="Arial"/>
          <w:sz w:val="20"/>
          <w:szCs w:val="20"/>
          <w:rtl/>
        </w:rPr>
        <w:t>אלו חוצצין באדם</w:t>
      </w:r>
      <w:r>
        <w:rPr>
          <w:rFonts w:cs="Arial" w:hint="cs"/>
          <w:sz w:val="20"/>
          <w:szCs w:val="20"/>
          <w:rtl/>
        </w:rPr>
        <w:t xml:space="preserve">... </w:t>
      </w:r>
      <w:r w:rsidRPr="00A93879">
        <w:rPr>
          <w:rFonts w:cs="Arial"/>
          <w:sz w:val="20"/>
          <w:szCs w:val="20"/>
          <w:rtl/>
        </w:rPr>
        <w:t>וגלד שחוץ למכה והרטי</w:t>
      </w:r>
      <w:r>
        <w:rPr>
          <w:rFonts w:cs="Arial" w:hint="cs"/>
          <w:sz w:val="20"/>
          <w:szCs w:val="20"/>
          <w:rtl/>
        </w:rPr>
        <w:t>י</w:t>
      </w:r>
      <w:r w:rsidRPr="00A93879">
        <w:rPr>
          <w:rFonts w:cs="Arial"/>
          <w:sz w:val="20"/>
          <w:szCs w:val="20"/>
          <w:rtl/>
        </w:rPr>
        <w:t>ה שעליה</w:t>
      </w:r>
      <w:r>
        <w:rPr>
          <w:rFonts w:cs="Arial" w:hint="cs"/>
          <w:sz w:val="20"/>
          <w:szCs w:val="20"/>
          <w:rtl/>
        </w:rPr>
        <w:t>".</w:t>
      </w:r>
    </w:p>
    <w:p w:rsidR="00620060" w:rsidRDefault="00620060" w:rsidP="00620060">
      <w:pPr>
        <w:rPr>
          <w:rFonts w:cs="Arial"/>
          <w:sz w:val="20"/>
          <w:szCs w:val="20"/>
          <w:rtl/>
        </w:rPr>
      </w:pPr>
      <w:r>
        <w:rPr>
          <w:rFonts w:cs="Arial" w:hint="cs"/>
          <w:b/>
          <w:bCs/>
          <w:sz w:val="20"/>
          <w:szCs w:val="20"/>
          <w:rtl/>
        </w:rPr>
        <w:t>פסיקת הלכה</w:t>
      </w:r>
      <w:r>
        <w:rPr>
          <w:rFonts w:cs="Arial"/>
          <w:b/>
          <w:bCs/>
          <w:sz w:val="20"/>
          <w:szCs w:val="20"/>
          <w:rtl/>
        </w:rPr>
        <w:br/>
      </w:r>
      <w:r>
        <w:rPr>
          <w:rFonts w:cs="Arial" w:hint="cs"/>
          <w:b/>
          <w:bCs/>
          <w:sz w:val="20"/>
          <w:szCs w:val="20"/>
          <w:rtl/>
        </w:rPr>
        <w:t xml:space="preserve">שולחן ערוך </w:t>
      </w:r>
      <w:r>
        <w:rPr>
          <w:rFonts w:cs="Arial"/>
          <w:sz w:val="20"/>
          <w:szCs w:val="20"/>
          <w:rtl/>
        </w:rPr>
        <w:t>–</w:t>
      </w:r>
      <w:r>
        <w:rPr>
          <w:rFonts w:cs="Arial" w:hint="cs"/>
          <w:sz w:val="20"/>
          <w:szCs w:val="20"/>
          <w:rtl/>
        </w:rPr>
        <w:t xml:space="preserve"> "</w:t>
      </w:r>
      <w:r w:rsidRPr="00A93879">
        <w:rPr>
          <w:rFonts w:cs="Arial"/>
          <w:sz w:val="20"/>
          <w:szCs w:val="20"/>
          <w:rtl/>
        </w:rPr>
        <w:t>רט</w:t>
      </w:r>
      <w:r>
        <w:rPr>
          <w:rFonts w:cs="Arial" w:hint="cs"/>
          <w:sz w:val="20"/>
          <w:szCs w:val="20"/>
          <w:rtl/>
        </w:rPr>
        <w:t>י</w:t>
      </w:r>
      <w:r w:rsidRPr="00A93879">
        <w:rPr>
          <w:rFonts w:cs="Arial"/>
          <w:sz w:val="20"/>
          <w:szCs w:val="20"/>
          <w:rtl/>
        </w:rPr>
        <w:t>יה שעל המכה, חוצצת</w:t>
      </w:r>
      <w:r>
        <w:rPr>
          <w:rFonts w:cs="Arial" w:hint="cs"/>
          <w:sz w:val="20"/>
          <w:szCs w:val="20"/>
          <w:rtl/>
        </w:rPr>
        <w:t>"</w:t>
      </w:r>
      <w:r w:rsidRPr="00A93879">
        <w:rPr>
          <w:rFonts w:cs="Arial"/>
          <w:sz w:val="20"/>
          <w:szCs w:val="20"/>
          <w:rtl/>
        </w:rPr>
        <w:t>.</w:t>
      </w:r>
    </w:p>
    <w:p w:rsidR="00620060" w:rsidRDefault="00620060" w:rsidP="00620060">
      <w:pPr>
        <w:rPr>
          <w:sz w:val="20"/>
          <w:szCs w:val="20"/>
          <w:rtl/>
        </w:rPr>
      </w:pPr>
      <w:r>
        <w:rPr>
          <w:rFonts w:cs="Arial" w:hint="cs"/>
          <w:sz w:val="20"/>
          <w:szCs w:val="20"/>
          <w:u w:val="single"/>
          <w:rtl/>
        </w:rPr>
        <w:t>רטייה לזמן ארוך (טה"ב עמ' לו)</w:t>
      </w:r>
      <w:r>
        <w:rPr>
          <w:rFonts w:cs="Arial"/>
          <w:sz w:val="20"/>
          <w:szCs w:val="20"/>
          <w:u w:val="single"/>
          <w:rtl/>
        </w:rPr>
        <w:br/>
      </w:r>
      <w:r w:rsidRPr="00F5232B">
        <w:rPr>
          <w:rFonts w:cs="Arial" w:hint="cs"/>
          <w:b/>
          <w:bCs/>
          <w:sz w:val="20"/>
          <w:szCs w:val="20"/>
          <w:rtl/>
        </w:rPr>
        <w:t>טהרת הבית</w:t>
      </w:r>
      <w:r>
        <w:rPr>
          <w:rFonts w:cs="Arial" w:hint="cs"/>
          <w:sz w:val="20"/>
          <w:szCs w:val="20"/>
          <w:rtl/>
        </w:rPr>
        <w:t xml:space="preserve"> </w:t>
      </w:r>
      <w:r>
        <w:rPr>
          <w:rFonts w:cs="Arial"/>
          <w:sz w:val="20"/>
          <w:szCs w:val="20"/>
          <w:rtl/>
        </w:rPr>
        <w:t>–</w:t>
      </w:r>
      <w:r>
        <w:rPr>
          <w:rFonts w:cs="Arial" w:hint="cs"/>
          <w:sz w:val="20"/>
          <w:szCs w:val="20"/>
          <w:rtl/>
        </w:rPr>
        <w:t xml:space="preserve"> רטייה העשויה לזמן מרובה ויש צער וכאב להסירה, אינה חוצצת. ודברי המחבר שרטייה חוצצת נאמרו רק ביחס לרטייה שהדרך להחליפה תדיר ואין שום צער בהסרתה, לכן הוי ליה מיעוט המקפיד וחוצץ.</w:t>
      </w:r>
      <w:r>
        <w:rPr>
          <w:rFonts w:cs="Arial" w:hint="cs"/>
          <w:sz w:val="20"/>
          <w:szCs w:val="20"/>
          <w:u w:val="single"/>
          <w:rtl/>
        </w:rPr>
        <w:br/>
      </w:r>
      <w:r>
        <w:rPr>
          <w:rFonts w:hint="cs"/>
          <w:sz w:val="20"/>
          <w:szCs w:val="20"/>
          <w:rtl/>
        </w:rPr>
        <w:t>ואמנם יש חולקים על סברה זו, ולכן אם נותרו כמה ימים בודדים עד להסרת הרטייה, ראוי להחמיר.</w:t>
      </w:r>
      <w:r>
        <w:rPr>
          <w:rStyle w:val="a5"/>
          <w:sz w:val="20"/>
          <w:szCs w:val="20"/>
          <w:rtl/>
        </w:rPr>
        <w:footnoteReference w:id="615"/>
      </w:r>
      <w:r>
        <w:rPr>
          <w:rFonts w:hint="cs"/>
          <w:sz w:val="20"/>
          <w:szCs w:val="20"/>
          <w:rtl/>
        </w:rPr>
        <w:br/>
        <w:t>ואמנם, גם באופן שטובלת עם רטייה, צריכה להסיר מהרטייה כל דבר חוצץ.</w:t>
      </w:r>
    </w:p>
    <w:p w:rsidR="00620060" w:rsidRPr="00827544" w:rsidRDefault="00620060" w:rsidP="00620060">
      <w:pPr>
        <w:rPr>
          <w:sz w:val="20"/>
          <w:szCs w:val="20"/>
          <w:rtl/>
        </w:rPr>
      </w:pPr>
      <w:r>
        <w:rPr>
          <w:rFonts w:hint="cs"/>
          <w:sz w:val="20"/>
          <w:szCs w:val="20"/>
          <w:u w:val="single"/>
          <w:rtl/>
        </w:rPr>
        <w:lastRenderedPageBreak/>
        <w:t>רטייה שיש צער בהסרתה (טה"ב עמ' נז)</w:t>
      </w:r>
      <w:r>
        <w:rPr>
          <w:rFonts w:hint="cs"/>
          <w:sz w:val="20"/>
          <w:szCs w:val="20"/>
          <w:u w:val="single"/>
          <w:rtl/>
        </w:rPr>
        <w:br/>
      </w:r>
      <w:r w:rsidRPr="00827544">
        <w:rPr>
          <w:rFonts w:hint="cs"/>
          <w:b/>
          <w:bCs/>
          <w:sz w:val="20"/>
          <w:szCs w:val="20"/>
          <w:rtl/>
        </w:rPr>
        <w:t>טהרת הבית</w:t>
      </w:r>
      <w:r>
        <w:rPr>
          <w:rFonts w:hint="cs"/>
          <w:sz w:val="20"/>
          <w:szCs w:val="20"/>
          <w:rtl/>
        </w:rPr>
        <w:t xml:space="preserve"> </w:t>
      </w:r>
      <w:r>
        <w:rPr>
          <w:sz w:val="20"/>
          <w:szCs w:val="20"/>
          <w:rtl/>
        </w:rPr>
        <w:t>–</w:t>
      </w:r>
      <w:r>
        <w:rPr>
          <w:rFonts w:hint="cs"/>
          <w:sz w:val="20"/>
          <w:szCs w:val="20"/>
          <w:rtl/>
        </w:rPr>
        <w:t xml:space="preserve"> כל שנעשה לרפואה ואי אפשר להסירו מחמת כאב וצער, אינו חוצץ לטבילה, כיוון שדינו כמיעוטו שאינו מקפיד. ומדבריו בהערה משמע שפסק כן רק בדבר שעשוי להיות כך לעולם, אך דבר שעתידים להסירו לאחר זמן מה, מבואר דינו לעיל.</w:t>
      </w:r>
    </w:p>
    <w:p w:rsidR="00620060" w:rsidRDefault="00620060" w:rsidP="00620060">
      <w:pPr>
        <w:rPr>
          <w:sz w:val="20"/>
          <w:szCs w:val="20"/>
          <w:rtl/>
        </w:rPr>
      </w:pPr>
      <w:r>
        <w:rPr>
          <w:rFonts w:hint="cs"/>
          <w:sz w:val="20"/>
          <w:szCs w:val="20"/>
          <w:u w:val="single"/>
          <w:rtl/>
        </w:rPr>
        <w:t>סיכום</w:t>
      </w:r>
      <w:r>
        <w:rPr>
          <w:sz w:val="20"/>
          <w:szCs w:val="20"/>
          <w:u w:val="single"/>
          <w:rtl/>
        </w:rPr>
        <w:br/>
      </w:r>
      <w:r>
        <w:rPr>
          <w:rFonts w:hint="cs"/>
          <w:sz w:val="20"/>
          <w:szCs w:val="20"/>
          <w:rtl/>
        </w:rPr>
        <w:t xml:space="preserve">1. </w:t>
      </w:r>
      <w:r w:rsidRPr="00DA5363">
        <w:rPr>
          <w:rFonts w:hint="cs"/>
          <w:b/>
          <w:bCs/>
          <w:sz w:val="20"/>
          <w:szCs w:val="20"/>
          <w:rtl/>
        </w:rPr>
        <w:t>משנה ומחבר</w:t>
      </w:r>
      <w:r>
        <w:rPr>
          <w:rFonts w:hint="cs"/>
          <w:sz w:val="20"/>
          <w:szCs w:val="20"/>
          <w:rtl/>
        </w:rPr>
        <w:t>. רטייה חוצצת.</w:t>
      </w:r>
      <w:r>
        <w:rPr>
          <w:sz w:val="20"/>
          <w:szCs w:val="20"/>
          <w:rtl/>
        </w:rPr>
        <w:br/>
      </w:r>
      <w:r>
        <w:rPr>
          <w:rFonts w:hint="cs"/>
          <w:sz w:val="20"/>
          <w:szCs w:val="20"/>
          <w:rtl/>
        </w:rPr>
        <w:t xml:space="preserve">2. </w:t>
      </w:r>
      <w:r w:rsidRPr="00DA5363">
        <w:rPr>
          <w:rFonts w:hint="cs"/>
          <w:b/>
          <w:bCs/>
          <w:sz w:val="20"/>
          <w:szCs w:val="20"/>
          <w:rtl/>
        </w:rPr>
        <w:t>טה"ב</w:t>
      </w:r>
      <w:r>
        <w:rPr>
          <w:rFonts w:hint="cs"/>
          <w:sz w:val="20"/>
          <w:szCs w:val="20"/>
          <w:rtl/>
        </w:rPr>
        <w:t>. רטייה לזמן מרובה ויש צער בהסרתה אינה חוצצת, ודברי המחבר נאמרו ברטייה שהדרך להסירה תדיר. ואף בכה"ג אם נותרו ימים ספורים להסרתה ראוי להחמיר. ואם נעשתה רטייה לקבע, ודאי אינה חוצצת.</w:t>
      </w:r>
    </w:p>
    <w:p w:rsidR="00620060" w:rsidRDefault="00620060" w:rsidP="00620060">
      <w:pPr>
        <w:rPr>
          <w:sz w:val="20"/>
          <w:szCs w:val="20"/>
          <w:rtl/>
        </w:rPr>
      </w:pPr>
      <w:r>
        <w:rPr>
          <w:sz w:val="20"/>
          <w:szCs w:val="20"/>
          <w:rtl/>
        </w:rPr>
        <w:br/>
      </w:r>
      <w:r>
        <w:rPr>
          <w:rFonts w:hint="cs"/>
          <w:b/>
          <w:bCs/>
          <w:sz w:val="20"/>
          <w:szCs w:val="20"/>
          <w:rtl/>
        </w:rPr>
        <w:t xml:space="preserve">סעיף יא </w:t>
      </w:r>
      <w:r>
        <w:rPr>
          <w:b/>
          <w:bCs/>
          <w:sz w:val="20"/>
          <w:szCs w:val="20"/>
          <w:rtl/>
        </w:rPr>
        <w:t>–</w:t>
      </w:r>
      <w:r>
        <w:rPr>
          <w:rFonts w:hint="cs"/>
          <w:b/>
          <w:bCs/>
          <w:sz w:val="20"/>
          <w:szCs w:val="20"/>
          <w:rtl/>
        </w:rPr>
        <w:t xml:space="preserve"> דין קוץ שנכנס לגוף</w:t>
      </w:r>
      <w:r>
        <w:rPr>
          <w:b/>
          <w:bCs/>
          <w:sz w:val="20"/>
          <w:szCs w:val="20"/>
          <w:rtl/>
        </w:rPr>
        <w:br/>
      </w:r>
      <w:r>
        <w:rPr>
          <w:rFonts w:hint="cs"/>
          <w:b/>
          <w:bCs/>
          <w:sz w:val="20"/>
          <w:szCs w:val="20"/>
          <w:rtl/>
        </w:rPr>
        <w:t>מקורות הדין</w:t>
      </w:r>
      <w:r>
        <w:rPr>
          <w:b/>
          <w:bCs/>
          <w:sz w:val="20"/>
          <w:szCs w:val="20"/>
          <w:rtl/>
        </w:rPr>
        <w:br/>
      </w:r>
      <w:r>
        <w:rPr>
          <w:rFonts w:hint="cs"/>
          <w:sz w:val="20"/>
          <w:szCs w:val="20"/>
          <w:rtl/>
        </w:rPr>
        <w:t xml:space="preserve">א. </w:t>
      </w:r>
      <w:r w:rsidRPr="008951B9">
        <w:rPr>
          <w:rFonts w:hint="cs"/>
          <w:b/>
          <w:bCs/>
          <w:sz w:val="20"/>
          <w:szCs w:val="20"/>
          <w:rtl/>
        </w:rPr>
        <w:t>משנה</w:t>
      </w:r>
      <w:r>
        <w:rPr>
          <w:rFonts w:hint="cs"/>
          <w:sz w:val="20"/>
          <w:szCs w:val="20"/>
          <w:rtl/>
        </w:rPr>
        <w:t xml:space="preserve"> מקוואות (י, ח) "</w:t>
      </w:r>
      <w:r w:rsidRPr="008951B9">
        <w:rPr>
          <w:rFonts w:cs="Arial"/>
          <w:sz w:val="20"/>
          <w:szCs w:val="20"/>
          <w:rtl/>
        </w:rPr>
        <w:t>חץ שהוא תחוב באדם</w:t>
      </w:r>
      <w:r>
        <w:rPr>
          <w:rFonts w:cs="Arial" w:hint="cs"/>
          <w:sz w:val="20"/>
          <w:szCs w:val="20"/>
          <w:rtl/>
        </w:rPr>
        <w:t>,</w:t>
      </w:r>
      <w:r w:rsidRPr="008951B9">
        <w:rPr>
          <w:rFonts w:cs="Arial"/>
          <w:sz w:val="20"/>
          <w:szCs w:val="20"/>
          <w:rtl/>
        </w:rPr>
        <w:t xml:space="preserve"> בזמן שהוא נראה</w:t>
      </w:r>
      <w:r>
        <w:rPr>
          <w:rFonts w:cs="Arial" w:hint="cs"/>
          <w:sz w:val="20"/>
          <w:szCs w:val="20"/>
          <w:rtl/>
        </w:rPr>
        <w:t xml:space="preserve"> </w:t>
      </w:r>
      <w:r>
        <w:rPr>
          <w:rFonts w:cs="Arial"/>
          <w:sz w:val="20"/>
          <w:szCs w:val="20"/>
          <w:rtl/>
        </w:rPr>
        <w:t>–</w:t>
      </w:r>
      <w:r w:rsidRPr="008951B9">
        <w:rPr>
          <w:rFonts w:cs="Arial"/>
          <w:sz w:val="20"/>
          <w:szCs w:val="20"/>
          <w:rtl/>
        </w:rPr>
        <w:t xml:space="preserve"> חוצץ</w:t>
      </w:r>
      <w:r>
        <w:rPr>
          <w:rFonts w:cs="Arial" w:hint="cs"/>
          <w:sz w:val="20"/>
          <w:szCs w:val="20"/>
          <w:rtl/>
        </w:rPr>
        <w:t>,</w:t>
      </w:r>
      <w:r w:rsidRPr="008951B9">
        <w:rPr>
          <w:rFonts w:cs="Arial"/>
          <w:sz w:val="20"/>
          <w:szCs w:val="20"/>
          <w:rtl/>
        </w:rPr>
        <w:t xml:space="preserve"> ואם אינו נראה </w:t>
      </w:r>
      <w:r>
        <w:rPr>
          <w:rFonts w:cs="Arial" w:hint="cs"/>
          <w:sz w:val="20"/>
          <w:szCs w:val="20"/>
          <w:rtl/>
        </w:rPr>
        <w:t xml:space="preserve">- </w:t>
      </w:r>
      <w:r w:rsidRPr="008951B9">
        <w:rPr>
          <w:rFonts w:cs="Arial"/>
          <w:sz w:val="20"/>
          <w:szCs w:val="20"/>
          <w:rtl/>
        </w:rPr>
        <w:t>טובל ואוכל בתרומתו</w:t>
      </w:r>
      <w:r>
        <w:rPr>
          <w:rFonts w:cs="Arial" w:hint="cs"/>
          <w:sz w:val="20"/>
          <w:szCs w:val="20"/>
          <w:rtl/>
        </w:rPr>
        <w:t>".</w:t>
      </w:r>
      <w:r>
        <w:rPr>
          <w:rFonts w:cs="Arial"/>
          <w:sz w:val="20"/>
          <w:szCs w:val="20"/>
          <w:rtl/>
        </w:rPr>
        <w:br/>
      </w:r>
      <w:r>
        <w:rPr>
          <w:rFonts w:cs="Arial" w:hint="cs"/>
          <w:sz w:val="20"/>
          <w:szCs w:val="20"/>
          <w:rtl/>
        </w:rPr>
        <w:t xml:space="preserve">ב. </w:t>
      </w:r>
      <w:r w:rsidRPr="008951B9">
        <w:rPr>
          <w:rFonts w:cs="Arial" w:hint="cs"/>
          <w:b/>
          <w:bCs/>
          <w:sz w:val="20"/>
          <w:szCs w:val="20"/>
          <w:rtl/>
        </w:rPr>
        <w:t>תוספתא</w:t>
      </w:r>
      <w:r>
        <w:rPr>
          <w:rFonts w:cs="Arial" w:hint="cs"/>
          <w:sz w:val="20"/>
          <w:szCs w:val="20"/>
          <w:rtl/>
        </w:rPr>
        <w:t xml:space="preserve"> מקוואות (ז, ט) "</w:t>
      </w:r>
      <w:r>
        <w:rPr>
          <w:rFonts w:cs="Arial"/>
          <w:sz w:val="20"/>
          <w:szCs w:val="20"/>
          <w:rtl/>
        </w:rPr>
        <w:t>נכנס לו חץ ביר</w:t>
      </w:r>
      <w:r w:rsidRPr="008951B9">
        <w:rPr>
          <w:rFonts w:cs="Arial"/>
          <w:sz w:val="20"/>
          <w:szCs w:val="20"/>
          <w:rtl/>
        </w:rPr>
        <w:t>כו</w:t>
      </w:r>
      <w:r>
        <w:rPr>
          <w:rFonts w:cs="Arial" w:hint="cs"/>
          <w:sz w:val="20"/>
          <w:szCs w:val="20"/>
          <w:rtl/>
        </w:rPr>
        <w:t>,</w:t>
      </w:r>
      <w:r w:rsidRPr="008951B9">
        <w:rPr>
          <w:rFonts w:cs="Arial"/>
          <w:sz w:val="20"/>
          <w:szCs w:val="20"/>
          <w:rtl/>
        </w:rPr>
        <w:t xml:space="preserve"> ר</w:t>
      </w:r>
      <w:r>
        <w:rPr>
          <w:rFonts w:cs="Arial" w:hint="cs"/>
          <w:sz w:val="20"/>
          <w:szCs w:val="20"/>
          <w:rtl/>
        </w:rPr>
        <w:t>בי</w:t>
      </w:r>
      <w:r w:rsidRPr="008951B9">
        <w:rPr>
          <w:rFonts w:cs="Arial"/>
          <w:sz w:val="20"/>
          <w:szCs w:val="20"/>
          <w:rtl/>
        </w:rPr>
        <w:t xml:space="preserve"> אומר</w:t>
      </w:r>
      <w:r>
        <w:rPr>
          <w:rFonts w:cs="Arial" w:hint="cs"/>
          <w:sz w:val="20"/>
          <w:szCs w:val="20"/>
          <w:rtl/>
        </w:rPr>
        <w:t>:</w:t>
      </w:r>
      <w:r w:rsidRPr="008951B9">
        <w:rPr>
          <w:rFonts w:cs="Arial"/>
          <w:sz w:val="20"/>
          <w:szCs w:val="20"/>
          <w:rtl/>
        </w:rPr>
        <w:t xml:space="preserve"> אינו חוצץ</w:t>
      </w:r>
      <w:r>
        <w:rPr>
          <w:rFonts w:cs="Arial" w:hint="cs"/>
          <w:sz w:val="20"/>
          <w:szCs w:val="20"/>
          <w:rtl/>
        </w:rPr>
        <w:t>,</w:t>
      </w:r>
      <w:r w:rsidRPr="008951B9">
        <w:rPr>
          <w:rFonts w:cs="Arial"/>
          <w:sz w:val="20"/>
          <w:szCs w:val="20"/>
          <w:rtl/>
        </w:rPr>
        <w:t xml:space="preserve"> וחכמים אומרים</w:t>
      </w:r>
      <w:r>
        <w:rPr>
          <w:rFonts w:cs="Arial" w:hint="cs"/>
          <w:sz w:val="20"/>
          <w:szCs w:val="20"/>
          <w:rtl/>
        </w:rPr>
        <w:t>:</w:t>
      </w:r>
      <w:r w:rsidRPr="008951B9">
        <w:rPr>
          <w:rFonts w:cs="Arial"/>
          <w:sz w:val="20"/>
          <w:szCs w:val="20"/>
          <w:rtl/>
        </w:rPr>
        <w:t xml:space="preserve"> הרי זה חוצץ</w:t>
      </w:r>
      <w:r>
        <w:rPr>
          <w:rFonts w:cs="Arial" w:hint="cs"/>
          <w:sz w:val="20"/>
          <w:szCs w:val="20"/>
          <w:rtl/>
        </w:rPr>
        <w:t>.</w:t>
      </w:r>
      <w:r w:rsidRPr="008951B9">
        <w:rPr>
          <w:rFonts w:cs="Arial"/>
          <w:sz w:val="20"/>
          <w:szCs w:val="20"/>
          <w:rtl/>
        </w:rPr>
        <w:t xml:space="preserve"> </w:t>
      </w:r>
      <w:r>
        <w:rPr>
          <w:rFonts w:cs="Arial" w:hint="cs"/>
          <w:sz w:val="20"/>
          <w:szCs w:val="20"/>
          <w:rtl/>
        </w:rPr>
        <w:br/>
      </w:r>
      <w:r w:rsidRPr="008951B9">
        <w:rPr>
          <w:rFonts w:cs="Arial"/>
          <w:sz w:val="20"/>
          <w:szCs w:val="20"/>
          <w:rtl/>
        </w:rPr>
        <w:t>במה דברים אמורים</w:t>
      </w:r>
      <w:r>
        <w:rPr>
          <w:rFonts w:cs="Arial" w:hint="cs"/>
          <w:sz w:val="20"/>
          <w:szCs w:val="20"/>
          <w:rtl/>
        </w:rPr>
        <w:t>?</w:t>
      </w:r>
      <w:r w:rsidRPr="008951B9">
        <w:rPr>
          <w:rFonts w:cs="Arial"/>
          <w:sz w:val="20"/>
          <w:szCs w:val="20"/>
          <w:rtl/>
        </w:rPr>
        <w:t xml:space="preserve"> בשל מתכת</w:t>
      </w:r>
      <w:r>
        <w:rPr>
          <w:rFonts w:cs="Arial" w:hint="cs"/>
          <w:sz w:val="20"/>
          <w:szCs w:val="20"/>
          <w:rtl/>
        </w:rPr>
        <w:t>,</w:t>
      </w:r>
      <w:r w:rsidRPr="008951B9">
        <w:rPr>
          <w:rFonts w:cs="Arial"/>
          <w:sz w:val="20"/>
          <w:szCs w:val="20"/>
          <w:rtl/>
        </w:rPr>
        <w:t xml:space="preserve"> אבל בשל עץ הרי זה חוצץ</w:t>
      </w:r>
      <w:r>
        <w:rPr>
          <w:rFonts w:cs="Arial" w:hint="cs"/>
          <w:sz w:val="20"/>
          <w:szCs w:val="20"/>
          <w:rtl/>
        </w:rPr>
        <w:t>.</w:t>
      </w:r>
      <w:r w:rsidRPr="008951B9">
        <w:rPr>
          <w:rFonts w:cs="Arial"/>
          <w:sz w:val="20"/>
          <w:szCs w:val="20"/>
          <w:rtl/>
        </w:rPr>
        <w:t xml:space="preserve"> ואם קרם עליו העור מלמעלה </w:t>
      </w:r>
      <w:r>
        <w:rPr>
          <w:rFonts w:cs="Arial" w:hint="cs"/>
          <w:sz w:val="20"/>
          <w:szCs w:val="20"/>
          <w:rtl/>
        </w:rPr>
        <w:t xml:space="preserve">- </w:t>
      </w:r>
      <w:r w:rsidRPr="008951B9">
        <w:rPr>
          <w:rFonts w:cs="Arial"/>
          <w:sz w:val="20"/>
          <w:szCs w:val="20"/>
          <w:rtl/>
        </w:rPr>
        <w:t>הכל מודים שאינו חוצץ</w:t>
      </w:r>
      <w:r>
        <w:rPr>
          <w:rFonts w:cs="Arial" w:hint="cs"/>
          <w:sz w:val="20"/>
          <w:szCs w:val="20"/>
          <w:rtl/>
        </w:rPr>
        <w:t>".</w:t>
      </w:r>
    </w:p>
    <w:p w:rsidR="00620060" w:rsidRDefault="00620060" w:rsidP="00620060">
      <w:pPr>
        <w:rPr>
          <w:sz w:val="20"/>
          <w:szCs w:val="20"/>
          <w:rtl/>
        </w:rPr>
      </w:pPr>
      <w:r>
        <w:rPr>
          <w:rFonts w:hint="cs"/>
          <w:b/>
          <w:bCs/>
          <w:sz w:val="20"/>
          <w:szCs w:val="20"/>
          <w:rtl/>
        </w:rPr>
        <w:t>יישוב המקורות</w:t>
      </w:r>
      <w:r>
        <w:rPr>
          <w:b/>
          <w:bCs/>
          <w:sz w:val="20"/>
          <w:szCs w:val="20"/>
          <w:rtl/>
        </w:rPr>
        <w:br/>
      </w:r>
      <w:r>
        <w:rPr>
          <w:rFonts w:hint="cs"/>
          <w:sz w:val="20"/>
          <w:szCs w:val="20"/>
          <w:u w:val="single"/>
          <w:rtl/>
        </w:rPr>
        <w:t>באיזה אופן עוסקת התוספתא?</w:t>
      </w:r>
      <w:r>
        <w:rPr>
          <w:rFonts w:hint="cs"/>
          <w:sz w:val="20"/>
          <w:szCs w:val="20"/>
          <w:u w:val="single"/>
          <w:rtl/>
        </w:rPr>
        <w:br/>
      </w:r>
      <w:r>
        <w:rPr>
          <w:rFonts w:hint="cs"/>
          <w:sz w:val="20"/>
          <w:szCs w:val="20"/>
          <w:rtl/>
        </w:rPr>
        <w:t xml:space="preserve">מה המציאות שבה עוסקת התוספתא? אם בחץ שאינו נראה יש שתי קושיות - </w:t>
      </w:r>
      <w:r>
        <w:rPr>
          <w:sz w:val="20"/>
          <w:szCs w:val="20"/>
          <w:u w:val="single"/>
          <w:rtl/>
        </w:rPr>
        <w:br/>
      </w:r>
      <w:r>
        <w:rPr>
          <w:rFonts w:hint="cs"/>
          <w:sz w:val="20"/>
          <w:szCs w:val="20"/>
          <w:rtl/>
        </w:rPr>
        <w:t>א. המשנה כשיטת רבי בלבד!</w:t>
      </w:r>
      <w:r>
        <w:rPr>
          <w:rStyle w:val="a5"/>
          <w:sz w:val="20"/>
          <w:szCs w:val="20"/>
          <w:rtl/>
        </w:rPr>
        <w:footnoteReference w:id="616"/>
      </w:r>
      <w:r>
        <w:rPr>
          <w:rFonts w:hint="cs"/>
          <w:sz w:val="20"/>
          <w:szCs w:val="20"/>
          <w:rtl/>
        </w:rPr>
        <w:t xml:space="preserve"> </w:t>
      </w:r>
      <w:r>
        <w:rPr>
          <w:rStyle w:val="a5"/>
          <w:sz w:val="20"/>
          <w:szCs w:val="20"/>
          <w:rtl/>
        </w:rPr>
        <w:footnoteReference w:id="617"/>
      </w:r>
      <w:r>
        <w:rPr>
          <w:rFonts w:hint="cs"/>
          <w:sz w:val="20"/>
          <w:szCs w:val="20"/>
          <w:rtl/>
        </w:rPr>
        <w:br/>
        <w:t>ב. מהי סברת חכמים לומר שחץ שאינו נראה חוצץ בכל עניין?</w:t>
      </w:r>
      <w:r>
        <w:rPr>
          <w:rFonts w:hint="cs"/>
          <w:sz w:val="20"/>
          <w:szCs w:val="20"/>
          <w:rtl/>
        </w:rPr>
        <w:br/>
      </w:r>
      <w:r>
        <w:rPr>
          <w:rFonts w:hint="cs"/>
          <w:sz w:val="20"/>
          <w:szCs w:val="20"/>
          <w:rtl/>
        </w:rPr>
        <w:br/>
        <w:t>על כורחך צריך לומר שהתוספתא איירי בחץ נראה, ומעתה המשנה אתיא כחכמים שחץ נראה חוצץ בין במתכת ובין בעץ.</w:t>
      </w:r>
    </w:p>
    <w:p w:rsidR="00620060" w:rsidRDefault="00620060" w:rsidP="00620060">
      <w:pPr>
        <w:rPr>
          <w:sz w:val="20"/>
          <w:szCs w:val="20"/>
          <w:rtl/>
        </w:rPr>
      </w:pPr>
      <w:r>
        <w:rPr>
          <w:rFonts w:hint="cs"/>
          <w:sz w:val="20"/>
          <w:szCs w:val="20"/>
          <w:u w:val="single"/>
          <w:rtl/>
        </w:rPr>
        <w:t>הגדרת נראה ואינו נראה</w:t>
      </w:r>
      <w:r>
        <w:rPr>
          <w:rFonts w:hint="cs"/>
          <w:sz w:val="20"/>
          <w:szCs w:val="20"/>
          <w:u w:val="single"/>
          <w:rtl/>
        </w:rPr>
        <w:br/>
      </w:r>
      <w:r>
        <w:rPr>
          <w:rFonts w:hint="cs"/>
          <w:sz w:val="20"/>
          <w:szCs w:val="20"/>
          <w:rtl/>
        </w:rPr>
        <w:t xml:space="preserve">א. 'נראה' - אינו בולט ואפילו אינו שווה לבשר </w:t>
      </w:r>
      <w:r w:rsidRPr="005B35AA">
        <w:rPr>
          <w:rFonts w:hint="cs"/>
          <w:sz w:val="18"/>
          <w:szCs w:val="18"/>
          <w:rtl/>
        </w:rPr>
        <w:t>(שקוע)</w:t>
      </w:r>
      <w:r>
        <w:rPr>
          <w:rFonts w:hint="cs"/>
          <w:sz w:val="20"/>
          <w:szCs w:val="20"/>
          <w:rtl/>
        </w:rPr>
        <w:t>.</w:t>
      </w:r>
      <w:r>
        <w:rPr>
          <w:sz w:val="20"/>
          <w:szCs w:val="20"/>
          <w:rtl/>
        </w:rPr>
        <w:br/>
      </w:r>
      <w:r w:rsidRPr="00D42B39">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אם 'נראה' הוא בולט מאי טעמיה דרבי שאינו חוצץ?</w:t>
      </w:r>
      <w:r>
        <w:rPr>
          <w:rFonts w:hint="cs"/>
          <w:sz w:val="20"/>
          <w:szCs w:val="20"/>
          <w:rtl/>
        </w:rPr>
        <w:br/>
        <w:t>אלא על כורחך מדובר שמשוקע בבשר ואפ"ה גזרו חכמים אטו אינו משוקע, ורבי לא גזר.</w:t>
      </w:r>
      <w:r>
        <w:rPr>
          <w:rFonts w:hint="cs"/>
          <w:sz w:val="20"/>
          <w:szCs w:val="20"/>
          <w:rtl/>
        </w:rPr>
        <w:br/>
        <w:t>ואמנם אם קרם עליו עור מלמעלה אף חכמים לא גזרו.</w:t>
      </w:r>
    </w:p>
    <w:p w:rsidR="00620060" w:rsidRDefault="00620060" w:rsidP="00620060">
      <w:pPr>
        <w:rPr>
          <w:sz w:val="20"/>
          <w:szCs w:val="20"/>
          <w:rtl/>
        </w:rPr>
      </w:pPr>
      <w:r>
        <w:rPr>
          <w:rFonts w:hint="cs"/>
          <w:sz w:val="20"/>
          <w:szCs w:val="20"/>
          <w:rtl/>
        </w:rPr>
        <w:t xml:space="preserve">ב. 'נראה' </w:t>
      </w:r>
      <w:r>
        <w:rPr>
          <w:sz w:val="20"/>
          <w:szCs w:val="20"/>
          <w:rtl/>
        </w:rPr>
        <w:t>–</w:t>
      </w:r>
      <w:r>
        <w:rPr>
          <w:rFonts w:hint="cs"/>
          <w:sz w:val="20"/>
          <w:szCs w:val="20"/>
          <w:rtl/>
        </w:rPr>
        <w:t xml:space="preserve"> שווה לבשר.</w:t>
      </w:r>
      <w:r>
        <w:rPr>
          <w:sz w:val="20"/>
          <w:szCs w:val="20"/>
          <w:rtl/>
        </w:rPr>
        <w:br/>
      </w:r>
      <w:r>
        <w:rPr>
          <w:rFonts w:hint="cs"/>
          <w:sz w:val="20"/>
          <w:szCs w:val="20"/>
          <w:rtl/>
        </w:rPr>
        <w:t xml:space="preserve">הסבר </w:t>
      </w:r>
      <w:r>
        <w:rPr>
          <w:sz w:val="20"/>
          <w:szCs w:val="20"/>
          <w:rtl/>
        </w:rPr>
        <w:t>–</w:t>
      </w:r>
      <w:r>
        <w:rPr>
          <w:rFonts w:hint="cs"/>
          <w:sz w:val="20"/>
          <w:szCs w:val="20"/>
          <w:rtl/>
        </w:rPr>
        <w:t xml:space="preserve"> לחכמים חוצץ כיוון שאי אפשר שלא יהיה מיעוטו על הבשר, רבי סובר שאפשר שאינו כלל על הבשר.</w:t>
      </w:r>
      <w:r>
        <w:rPr>
          <w:rFonts w:hint="cs"/>
          <w:sz w:val="20"/>
          <w:szCs w:val="20"/>
          <w:rtl/>
        </w:rPr>
        <w:br/>
        <w:t>ואמנם אם קרם עליו עור מודים חכמים שאינו חוצץ, כיוון שזה מיעוטו שאינו מקפיד עליו.</w:t>
      </w:r>
    </w:p>
    <w:p w:rsidR="00620060" w:rsidRPr="00C302AC" w:rsidRDefault="00620060" w:rsidP="00620060">
      <w:pPr>
        <w:rPr>
          <w:sz w:val="20"/>
          <w:szCs w:val="20"/>
          <w:rtl/>
        </w:rPr>
      </w:pPr>
      <w:r>
        <w:rPr>
          <w:rFonts w:hint="cs"/>
          <w:sz w:val="20"/>
          <w:szCs w:val="20"/>
          <w:u w:val="single"/>
          <w:rtl/>
        </w:rPr>
        <w:t>הכרעת הש"ך</w:t>
      </w:r>
      <w:r>
        <w:rPr>
          <w:sz w:val="20"/>
          <w:szCs w:val="20"/>
          <w:u w:val="single"/>
          <w:rtl/>
        </w:rPr>
        <w:br/>
      </w:r>
      <w:r>
        <w:rPr>
          <w:rFonts w:hint="cs"/>
          <w:sz w:val="20"/>
          <w:szCs w:val="20"/>
          <w:rtl/>
        </w:rPr>
        <w:t>יש להקל</w:t>
      </w:r>
      <w:r>
        <w:rPr>
          <w:rStyle w:val="a5"/>
          <w:sz w:val="20"/>
          <w:szCs w:val="20"/>
          <w:rtl/>
        </w:rPr>
        <w:footnoteReference w:id="618"/>
      </w:r>
      <w:r>
        <w:rPr>
          <w:rFonts w:hint="cs"/>
          <w:sz w:val="20"/>
          <w:szCs w:val="20"/>
          <w:rtl/>
        </w:rPr>
        <w:t xml:space="preserve">, דהיינו שאם הוא שווה לבשר דינו נראה, אך כשמשוקע בבשר דינו אינו נראה </w:t>
      </w:r>
      <w:r w:rsidRPr="00C302AC">
        <w:rPr>
          <w:rFonts w:hint="cs"/>
          <w:sz w:val="18"/>
          <w:szCs w:val="18"/>
          <w:rtl/>
        </w:rPr>
        <w:t>(אע"פ שרואים אותו).</w:t>
      </w:r>
    </w:p>
    <w:p w:rsidR="00620060" w:rsidRDefault="00620060" w:rsidP="00620060">
      <w:pPr>
        <w:rPr>
          <w:sz w:val="20"/>
          <w:szCs w:val="20"/>
          <w:rtl/>
        </w:rPr>
      </w:pPr>
      <w:r>
        <w:rPr>
          <w:rFonts w:hint="cs"/>
          <w:b/>
          <w:bCs/>
          <w:sz w:val="20"/>
          <w:szCs w:val="20"/>
          <w:rtl/>
        </w:rPr>
        <w:lastRenderedPageBreak/>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C302AC">
        <w:rPr>
          <w:rFonts w:cs="Arial"/>
          <w:sz w:val="20"/>
          <w:szCs w:val="20"/>
          <w:rtl/>
        </w:rPr>
        <w:t>חץ או קוץ התחוב בבשר, אם נראה מבחוץ,</w:t>
      </w:r>
      <w:r>
        <w:rPr>
          <w:rFonts w:cs="Arial"/>
          <w:sz w:val="20"/>
          <w:szCs w:val="20"/>
          <w:rtl/>
        </w:rPr>
        <w:t xml:space="preserve"> חוצץ; ואם אינו נראה, אינו חוצץ</w:t>
      </w:r>
      <w:r>
        <w:rPr>
          <w:rFonts w:cs="Arial" w:hint="cs"/>
          <w:sz w:val="20"/>
          <w:szCs w:val="20"/>
          <w:rtl/>
        </w:rPr>
        <w:t>".</w:t>
      </w:r>
      <w:r>
        <w:rPr>
          <w:rFonts w:cs="Arial"/>
          <w:sz w:val="20"/>
          <w:szCs w:val="20"/>
          <w:rtl/>
        </w:rPr>
        <w:br/>
      </w:r>
      <w:r w:rsidRPr="00C302AC">
        <w:rPr>
          <w:rFonts w:cs="Arial" w:hint="cs"/>
          <w:b/>
          <w:bCs/>
          <w:sz w:val="20"/>
          <w:szCs w:val="20"/>
          <w:rtl/>
        </w:rPr>
        <w:t>ט"ז</w:t>
      </w:r>
      <w:r>
        <w:rPr>
          <w:rFonts w:cs="Arial" w:hint="cs"/>
          <w:sz w:val="20"/>
          <w:szCs w:val="20"/>
          <w:rtl/>
        </w:rPr>
        <w:t xml:space="preserve"> </w:t>
      </w:r>
      <w:r>
        <w:rPr>
          <w:rFonts w:cs="Arial"/>
          <w:sz w:val="20"/>
          <w:szCs w:val="20"/>
          <w:rtl/>
        </w:rPr>
        <w:t>–</w:t>
      </w:r>
      <w:r>
        <w:rPr>
          <w:rFonts w:cs="Arial" w:hint="cs"/>
          <w:sz w:val="20"/>
          <w:szCs w:val="20"/>
          <w:rtl/>
        </w:rPr>
        <w:t xml:space="preserve"> אם עלה עליו קרום, בכל עניין אינו חוצץ.</w:t>
      </w:r>
    </w:p>
    <w:p w:rsidR="00620060" w:rsidRDefault="00620060" w:rsidP="00620060">
      <w:pPr>
        <w:rPr>
          <w:sz w:val="20"/>
          <w:szCs w:val="20"/>
          <w:rtl/>
        </w:rPr>
      </w:pPr>
      <w:r w:rsidRPr="00351C0B">
        <w:rPr>
          <w:rFonts w:hint="cs"/>
          <w:b/>
          <w:bCs/>
          <w:sz w:val="20"/>
          <w:szCs w:val="20"/>
          <w:rtl/>
        </w:rPr>
        <w:t>סיכום</w:t>
      </w:r>
      <w:r>
        <w:rPr>
          <w:sz w:val="20"/>
          <w:szCs w:val="20"/>
          <w:rtl/>
        </w:rPr>
        <w:br/>
      </w:r>
      <w:r>
        <w:rPr>
          <w:rFonts w:hint="cs"/>
          <w:sz w:val="20"/>
          <w:szCs w:val="20"/>
          <w:rtl/>
        </w:rPr>
        <w:t xml:space="preserve">1. </w:t>
      </w:r>
      <w:r w:rsidRPr="00351C0B">
        <w:rPr>
          <w:rFonts w:hint="cs"/>
          <w:b/>
          <w:bCs/>
          <w:sz w:val="20"/>
          <w:szCs w:val="20"/>
          <w:rtl/>
        </w:rPr>
        <w:t>משנה</w:t>
      </w:r>
      <w:r>
        <w:rPr>
          <w:rFonts w:hint="cs"/>
          <w:sz w:val="20"/>
          <w:szCs w:val="20"/>
          <w:rtl/>
        </w:rPr>
        <w:t>. חץ שהוא תחוב באדם, אם הוא נראה חוצץ, אם אינו נראה אינו חוצץ.</w:t>
      </w:r>
      <w:r>
        <w:rPr>
          <w:sz w:val="20"/>
          <w:szCs w:val="20"/>
          <w:rtl/>
        </w:rPr>
        <w:br/>
      </w:r>
      <w:r>
        <w:rPr>
          <w:rFonts w:hint="cs"/>
          <w:sz w:val="20"/>
          <w:szCs w:val="20"/>
          <w:rtl/>
        </w:rPr>
        <w:t xml:space="preserve">2. הגדרת 'נראה'. א. אינו בולט ואפילו אינו שווה לבשר. ב. שווה לבשר. </w:t>
      </w:r>
      <w:r w:rsidRPr="00351C0B">
        <w:rPr>
          <w:rFonts w:hint="cs"/>
          <w:b/>
          <w:bCs/>
          <w:sz w:val="20"/>
          <w:szCs w:val="20"/>
          <w:rtl/>
        </w:rPr>
        <w:t>ש"ך</w:t>
      </w:r>
      <w:r>
        <w:rPr>
          <w:rFonts w:hint="cs"/>
          <w:sz w:val="20"/>
          <w:szCs w:val="20"/>
          <w:rtl/>
        </w:rPr>
        <w:t xml:space="preserve">. יש להקל </w:t>
      </w:r>
      <w:r w:rsidRPr="00526908">
        <w:rPr>
          <w:rFonts w:hint="cs"/>
          <w:sz w:val="18"/>
          <w:szCs w:val="18"/>
          <w:rtl/>
        </w:rPr>
        <w:t>(ב)</w:t>
      </w:r>
      <w:r>
        <w:rPr>
          <w:rFonts w:hint="cs"/>
          <w:sz w:val="20"/>
          <w:szCs w:val="20"/>
          <w:rtl/>
        </w:rPr>
        <w:t>.</w:t>
      </w:r>
      <w:r>
        <w:rPr>
          <w:rFonts w:hint="cs"/>
          <w:sz w:val="20"/>
          <w:szCs w:val="20"/>
          <w:rtl/>
        </w:rPr>
        <w:br/>
        <w:t xml:space="preserve">3. </w:t>
      </w:r>
      <w:r w:rsidRPr="00351C0B">
        <w:rPr>
          <w:rFonts w:hint="cs"/>
          <w:b/>
          <w:bCs/>
          <w:sz w:val="20"/>
          <w:szCs w:val="20"/>
          <w:rtl/>
        </w:rPr>
        <w:t>מחבר</w:t>
      </w:r>
      <w:r>
        <w:rPr>
          <w:rFonts w:hint="cs"/>
          <w:sz w:val="20"/>
          <w:szCs w:val="20"/>
          <w:rtl/>
        </w:rPr>
        <w:t xml:space="preserve">. חץ או קוץ תחוב בשר, אם נראה </w:t>
      </w:r>
      <w:r w:rsidRPr="005003FF">
        <w:rPr>
          <w:rFonts w:hint="cs"/>
          <w:sz w:val="18"/>
          <w:szCs w:val="18"/>
          <w:rtl/>
        </w:rPr>
        <w:t xml:space="preserve">(שווה לבשר) </w:t>
      </w:r>
      <w:r>
        <w:rPr>
          <w:rFonts w:hint="cs"/>
          <w:sz w:val="20"/>
          <w:szCs w:val="20"/>
          <w:rtl/>
        </w:rPr>
        <w:t xml:space="preserve">חוצץ, אינו נראה </w:t>
      </w:r>
      <w:r w:rsidRPr="005003FF">
        <w:rPr>
          <w:rFonts w:hint="cs"/>
          <w:sz w:val="18"/>
          <w:szCs w:val="18"/>
          <w:rtl/>
        </w:rPr>
        <w:t xml:space="preserve">(משוקע) </w:t>
      </w:r>
      <w:r>
        <w:rPr>
          <w:rFonts w:hint="cs"/>
          <w:sz w:val="20"/>
          <w:szCs w:val="20"/>
          <w:rtl/>
        </w:rPr>
        <w:t>אינו חוצץ.</w:t>
      </w:r>
      <w:r>
        <w:rPr>
          <w:sz w:val="20"/>
          <w:szCs w:val="20"/>
          <w:rtl/>
        </w:rPr>
        <w:br/>
      </w:r>
      <w:r>
        <w:rPr>
          <w:rFonts w:hint="cs"/>
          <w:sz w:val="20"/>
          <w:szCs w:val="20"/>
          <w:rtl/>
        </w:rPr>
        <w:t xml:space="preserve">4. </w:t>
      </w:r>
      <w:r w:rsidRPr="008308F0">
        <w:rPr>
          <w:rFonts w:hint="cs"/>
          <w:b/>
          <w:bCs/>
          <w:sz w:val="20"/>
          <w:szCs w:val="20"/>
          <w:rtl/>
        </w:rPr>
        <w:t>ב"י</w:t>
      </w:r>
      <w:r>
        <w:rPr>
          <w:rFonts w:hint="cs"/>
          <w:sz w:val="20"/>
          <w:szCs w:val="20"/>
          <w:rtl/>
        </w:rPr>
        <w:t>. אע"פ שבתוספתא חילקו בין מתכת לעץ, העיקר לדינא שאין לחלק בכך.</w:t>
      </w:r>
      <w:r>
        <w:rPr>
          <w:rFonts w:hint="cs"/>
          <w:sz w:val="20"/>
          <w:szCs w:val="20"/>
          <w:rtl/>
        </w:rPr>
        <w:br/>
        <w:t xml:space="preserve">5. </w:t>
      </w:r>
      <w:r w:rsidRPr="00351C0B">
        <w:rPr>
          <w:rFonts w:hint="cs"/>
          <w:b/>
          <w:bCs/>
          <w:sz w:val="20"/>
          <w:szCs w:val="20"/>
          <w:rtl/>
        </w:rPr>
        <w:t>ט"ז</w:t>
      </w:r>
      <w:r>
        <w:rPr>
          <w:rFonts w:hint="cs"/>
          <w:sz w:val="20"/>
          <w:szCs w:val="20"/>
          <w:rtl/>
        </w:rPr>
        <w:t>. אם עלה עליו עור, אפילו אם נראה אינו חוצץ.</w:t>
      </w:r>
    </w:p>
    <w:p w:rsidR="00620060" w:rsidRDefault="00620060" w:rsidP="00620060">
      <w:pPr>
        <w:rPr>
          <w:sz w:val="20"/>
          <w:szCs w:val="20"/>
          <w:rtl/>
        </w:rPr>
      </w:pPr>
      <w:r w:rsidRPr="00FC3CF6">
        <w:rPr>
          <w:rFonts w:hint="cs"/>
          <w:sz w:val="20"/>
          <w:szCs w:val="20"/>
          <w:u w:val="single"/>
          <w:rtl/>
        </w:rPr>
        <w:t>דין תפרים</w:t>
      </w:r>
      <w:r>
        <w:rPr>
          <w:rFonts w:hint="cs"/>
          <w:sz w:val="20"/>
          <w:szCs w:val="20"/>
          <w:u w:val="single"/>
          <w:rtl/>
        </w:rPr>
        <w:br/>
      </w:r>
      <w:r>
        <w:rPr>
          <w:rFonts w:hint="cs"/>
          <w:sz w:val="20"/>
          <w:szCs w:val="20"/>
          <w:rtl/>
        </w:rPr>
        <w:t xml:space="preserve">א. </w:t>
      </w:r>
      <w:r w:rsidRPr="00FC3CF6">
        <w:rPr>
          <w:rFonts w:hint="cs"/>
          <w:b/>
          <w:bCs/>
          <w:sz w:val="20"/>
          <w:szCs w:val="20"/>
          <w:rtl/>
        </w:rPr>
        <w:t>ששבה"ל</w:t>
      </w:r>
      <w:r>
        <w:rPr>
          <w:rFonts w:hint="cs"/>
          <w:sz w:val="20"/>
          <w:szCs w:val="20"/>
          <w:rtl/>
        </w:rPr>
        <w:t xml:space="preserve"> </w:t>
      </w:r>
      <w:r>
        <w:rPr>
          <w:sz w:val="20"/>
          <w:szCs w:val="20"/>
          <w:rtl/>
        </w:rPr>
        <w:t>–</w:t>
      </w:r>
      <w:r>
        <w:rPr>
          <w:rFonts w:hint="cs"/>
          <w:sz w:val="20"/>
          <w:szCs w:val="20"/>
          <w:rtl/>
        </w:rPr>
        <w:t xml:space="preserve"> חוטי תפירה שנמצאים בגוף לאחר ניתוח, אם הם חוטים הנמסים מאליהם, אינם חוצצים. </w:t>
      </w:r>
      <w:r>
        <w:rPr>
          <w:sz w:val="20"/>
          <w:szCs w:val="20"/>
          <w:rtl/>
        </w:rPr>
        <w:br/>
      </w:r>
      <w:r>
        <w:rPr>
          <w:rFonts w:hint="cs"/>
          <w:sz w:val="20"/>
          <w:szCs w:val="20"/>
          <w:rtl/>
        </w:rPr>
        <w:t>אך חוטים שאינם נמסים מאליהם חוצצים, ואף אם יחתכנו לא מהני כיוון שצריך להשאיר חלק קטן שיוכלו למשוך את החוט ולהוציאו. ואמנם, בחוטי תפירה שבשיניים</w:t>
      </w:r>
      <w:r>
        <w:rPr>
          <w:rStyle w:val="a5"/>
          <w:sz w:val="20"/>
          <w:szCs w:val="20"/>
          <w:rtl/>
        </w:rPr>
        <w:footnoteReference w:id="619"/>
      </w:r>
      <w:r>
        <w:rPr>
          <w:rFonts w:hint="cs"/>
          <w:sz w:val="20"/>
          <w:szCs w:val="20"/>
          <w:rtl/>
        </w:rPr>
        <w:t xml:space="preserve"> בשעת הדחק יש להקל.</w:t>
      </w:r>
      <w:r>
        <w:rPr>
          <w:rFonts w:hint="cs"/>
          <w:sz w:val="20"/>
          <w:szCs w:val="20"/>
          <w:rtl/>
        </w:rPr>
        <w:br/>
        <w:t xml:space="preserve">ב. </w:t>
      </w:r>
      <w:r w:rsidRPr="00FC3CF6">
        <w:rPr>
          <w:rFonts w:hint="cs"/>
          <w:b/>
          <w:bCs/>
          <w:sz w:val="20"/>
          <w:szCs w:val="20"/>
          <w:rtl/>
        </w:rPr>
        <w:t>טה"ב</w:t>
      </w:r>
      <w:r>
        <w:rPr>
          <w:rFonts w:hint="cs"/>
          <w:sz w:val="20"/>
          <w:szCs w:val="20"/>
          <w:rtl/>
        </w:rPr>
        <w:t xml:space="preserve"> </w:t>
      </w:r>
      <w:r w:rsidRPr="00FC3CF6">
        <w:rPr>
          <w:rFonts w:hint="cs"/>
          <w:sz w:val="18"/>
          <w:szCs w:val="18"/>
          <w:rtl/>
        </w:rPr>
        <w:t xml:space="preserve">(עמ סב') </w:t>
      </w:r>
      <w:r>
        <w:rPr>
          <w:sz w:val="20"/>
          <w:szCs w:val="20"/>
          <w:rtl/>
        </w:rPr>
        <w:t>–</w:t>
      </w:r>
      <w:r>
        <w:rPr>
          <w:rFonts w:hint="cs"/>
          <w:sz w:val="20"/>
          <w:szCs w:val="20"/>
          <w:rtl/>
        </w:rPr>
        <w:t xml:space="preserve"> יש להקל בתפרים שעומדים להיות שבוע ימים.</w:t>
      </w:r>
      <w:r>
        <w:rPr>
          <w:sz w:val="20"/>
          <w:szCs w:val="20"/>
          <w:rtl/>
        </w:rPr>
        <w:br/>
      </w:r>
      <w:r w:rsidRPr="009D25DB">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כעת יש לה צער להסירם ולכן מקרי אינו מקפיד.</w:t>
      </w:r>
    </w:p>
    <w:p w:rsidR="00620060" w:rsidRDefault="00620060" w:rsidP="00620060">
      <w:pPr>
        <w:rPr>
          <w:sz w:val="20"/>
          <w:szCs w:val="20"/>
          <w:rtl/>
        </w:rPr>
      </w:pPr>
      <w:r>
        <w:rPr>
          <w:sz w:val="20"/>
          <w:szCs w:val="20"/>
          <w:rtl/>
        </w:rPr>
        <w:br/>
      </w:r>
      <w:r>
        <w:rPr>
          <w:rFonts w:hint="cs"/>
          <w:b/>
          <w:bCs/>
          <w:sz w:val="20"/>
          <w:szCs w:val="20"/>
          <w:rtl/>
        </w:rPr>
        <w:t>סעיף יב - חציצה בזיעה</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משנה </w:t>
      </w:r>
      <w:r>
        <w:rPr>
          <w:rFonts w:hint="cs"/>
          <w:sz w:val="20"/>
          <w:szCs w:val="20"/>
          <w:rtl/>
        </w:rPr>
        <w:t xml:space="preserve">מקוואות (ט, א </w:t>
      </w:r>
      <w:r>
        <w:rPr>
          <w:sz w:val="20"/>
          <w:szCs w:val="20"/>
          <w:rtl/>
        </w:rPr>
        <w:t>–</w:t>
      </w:r>
      <w:r>
        <w:rPr>
          <w:rFonts w:hint="cs"/>
          <w:sz w:val="20"/>
          <w:szCs w:val="20"/>
          <w:rtl/>
        </w:rPr>
        <w:t xml:space="preserve"> ד) "</w:t>
      </w:r>
      <w:r>
        <w:rPr>
          <w:rFonts w:cs="Arial"/>
          <w:sz w:val="20"/>
          <w:szCs w:val="20"/>
          <w:rtl/>
        </w:rPr>
        <w:t>אלו חוצצין באדם</w:t>
      </w:r>
      <w:r>
        <w:rPr>
          <w:rFonts w:cs="Arial" w:hint="cs"/>
          <w:sz w:val="20"/>
          <w:szCs w:val="20"/>
          <w:rtl/>
        </w:rPr>
        <w:t xml:space="preserve">: </w:t>
      </w:r>
      <w:r w:rsidRPr="009D25DB">
        <w:rPr>
          <w:rFonts w:cs="Arial"/>
          <w:sz w:val="20"/>
          <w:szCs w:val="20"/>
          <w:rtl/>
        </w:rPr>
        <w:t>גלדי צואה שעל בשרו</w:t>
      </w:r>
      <w:r>
        <w:rPr>
          <w:rFonts w:cs="Arial" w:hint="cs"/>
          <w:sz w:val="20"/>
          <w:szCs w:val="20"/>
          <w:rtl/>
        </w:rPr>
        <w:t xml:space="preserve">... </w:t>
      </w:r>
      <w:r>
        <w:rPr>
          <w:rFonts w:cs="Arial"/>
          <w:sz w:val="20"/>
          <w:szCs w:val="20"/>
          <w:rtl/>
        </w:rPr>
        <w:t>אלו שאין חוצצין</w:t>
      </w:r>
      <w:r>
        <w:rPr>
          <w:rFonts w:cs="Arial" w:hint="cs"/>
          <w:sz w:val="20"/>
          <w:szCs w:val="20"/>
          <w:rtl/>
        </w:rPr>
        <w:t xml:space="preserve">: </w:t>
      </w:r>
      <w:r>
        <w:rPr>
          <w:rFonts w:cs="Arial"/>
          <w:sz w:val="20"/>
          <w:szCs w:val="20"/>
          <w:rtl/>
        </w:rPr>
        <w:t>לכלוכי צואה שעל בשרו</w:t>
      </w:r>
      <w:r>
        <w:rPr>
          <w:rFonts w:cs="Arial" w:hint="cs"/>
          <w:sz w:val="20"/>
          <w:szCs w:val="20"/>
          <w:rtl/>
        </w:rPr>
        <w:t>".</w:t>
      </w:r>
      <w:r>
        <w:rPr>
          <w:rFonts w:hint="cs"/>
          <w:sz w:val="20"/>
          <w:szCs w:val="20"/>
          <w:rtl/>
        </w:rPr>
        <w:br/>
      </w:r>
      <w:r w:rsidRPr="006E2337">
        <w:rPr>
          <w:rFonts w:hint="cs"/>
          <w:b/>
          <w:bCs/>
          <w:sz w:val="20"/>
          <w:szCs w:val="20"/>
          <w:rtl/>
        </w:rPr>
        <w:t>ר"ש</w:t>
      </w:r>
      <w:r>
        <w:rPr>
          <w:rFonts w:hint="cs"/>
          <w:sz w:val="20"/>
          <w:szCs w:val="20"/>
          <w:rtl/>
        </w:rPr>
        <w:t xml:space="preserve"> </w:t>
      </w:r>
      <w:r>
        <w:rPr>
          <w:sz w:val="20"/>
          <w:szCs w:val="20"/>
          <w:rtl/>
        </w:rPr>
        <w:t>–</w:t>
      </w:r>
      <w:r>
        <w:rPr>
          <w:rFonts w:hint="cs"/>
          <w:sz w:val="20"/>
          <w:szCs w:val="20"/>
          <w:rtl/>
        </w:rPr>
        <w:t xml:space="preserve"> גלדי צואה הם זיעה שהתייבשה וחוצצים, אך זיעה עצמה אינה חוצצת.</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9D25DB">
        <w:rPr>
          <w:rFonts w:cs="Arial"/>
          <w:sz w:val="20"/>
          <w:szCs w:val="20"/>
          <w:rtl/>
        </w:rPr>
        <w:t>לכלוכי צואה שעל הבשר מחמת זיעה, אינם חוצצין; נגלד כגליד, חוצץ</w:t>
      </w:r>
      <w:r>
        <w:rPr>
          <w:rFonts w:cs="Arial" w:hint="cs"/>
          <w:sz w:val="20"/>
          <w:szCs w:val="20"/>
          <w:rtl/>
        </w:rPr>
        <w:t>"</w:t>
      </w:r>
      <w:r w:rsidRPr="009D25DB">
        <w:rPr>
          <w:rFonts w:cs="Arial"/>
          <w:sz w:val="20"/>
          <w:szCs w:val="20"/>
          <w:rtl/>
        </w:rPr>
        <w:t>.</w:t>
      </w:r>
      <w:r>
        <w:rPr>
          <w:rStyle w:val="a5"/>
          <w:sz w:val="20"/>
          <w:szCs w:val="20"/>
          <w:rtl/>
        </w:rPr>
        <w:footnoteReference w:id="620"/>
      </w:r>
    </w:p>
    <w:p w:rsidR="00620060" w:rsidRPr="00072B1B" w:rsidRDefault="00620060" w:rsidP="00620060">
      <w:pPr>
        <w:rPr>
          <w:sz w:val="20"/>
          <w:szCs w:val="20"/>
          <w:rtl/>
        </w:rPr>
      </w:pPr>
      <w:r>
        <w:rPr>
          <w:sz w:val="20"/>
          <w:szCs w:val="20"/>
          <w:rtl/>
        </w:rPr>
        <w:br/>
      </w:r>
      <w:r>
        <w:rPr>
          <w:rFonts w:hint="cs"/>
          <w:b/>
          <w:bCs/>
          <w:sz w:val="20"/>
          <w:szCs w:val="20"/>
          <w:rtl/>
        </w:rPr>
        <w:t xml:space="preserve">סעיף יג </w:t>
      </w:r>
      <w:r>
        <w:rPr>
          <w:b/>
          <w:bCs/>
          <w:sz w:val="20"/>
          <w:szCs w:val="20"/>
          <w:rtl/>
        </w:rPr>
        <w:t>–</w:t>
      </w:r>
      <w:r>
        <w:rPr>
          <w:rFonts w:hint="cs"/>
          <w:b/>
          <w:bCs/>
          <w:sz w:val="20"/>
          <w:szCs w:val="20"/>
          <w:rtl/>
        </w:rPr>
        <w:t xml:space="preserve"> מלמולין שעל הבשר</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משנה </w:t>
      </w:r>
      <w:r>
        <w:rPr>
          <w:rFonts w:hint="cs"/>
          <w:sz w:val="20"/>
          <w:szCs w:val="20"/>
          <w:rtl/>
        </w:rPr>
        <w:t>מקוואות (שם) "</w:t>
      </w:r>
      <w:r>
        <w:rPr>
          <w:rFonts w:cs="Arial"/>
          <w:sz w:val="20"/>
          <w:szCs w:val="20"/>
          <w:rtl/>
        </w:rPr>
        <w:t>אלו חוצצין באדם</w:t>
      </w:r>
      <w:r>
        <w:rPr>
          <w:rFonts w:cs="Arial" w:hint="cs"/>
          <w:sz w:val="20"/>
          <w:szCs w:val="20"/>
          <w:rtl/>
        </w:rPr>
        <w:t>:...</w:t>
      </w:r>
      <w:r w:rsidRPr="00072B1B">
        <w:rPr>
          <w:rFonts w:cs="Arial"/>
          <w:sz w:val="20"/>
          <w:szCs w:val="20"/>
          <w:rtl/>
        </w:rPr>
        <w:t>המלמולין</w:t>
      </w:r>
      <w:r>
        <w:rPr>
          <w:rFonts w:hint="cs"/>
          <w:sz w:val="20"/>
          <w:szCs w:val="20"/>
          <w:rtl/>
        </w:rPr>
        <w:t>".</w:t>
      </w:r>
      <w:r>
        <w:rPr>
          <w:sz w:val="20"/>
          <w:szCs w:val="20"/>
          <w:rtl/>
        </w:rPr>
        <w:br/>
      </w:r>
      <w:r w:rsidRPr="00072B1B">
        <w:rPr>
          <w:rFonts w:hint="cs"/>
          <w:b/>
          <w:bCs/>
          <w:sz w:val="20"/>
          <w:szCs w:val="20"/>
          <w:rtl/>
        </w:rPr>
        <w:t>טור</w:t>
      </w:r>
      <w:r>
        <w:rPr>
          <w:rFonts w:hint="cs"/>
          <w:sz w:val="20"/>
          <w:szCs w:val="20"/>
          <w:rtl/>
        </w:rPr>
        <w:t xml:space="preserve"> </w:t>
      </w:r>
      <w:r>
        <w:rPr>
          <w:sz w:val="20"/>
          <w:szCs w:val="20"/>
          <w:rtl/>
        </w:rPr>
        <w:t>–</w:t>
      </w:r>
      <w:r>
        <w:rPr>
          <w:rFonts w:hint="cs"/>
          <w:sz w:val="20"/>
          <w:szCs w:val="20"/>
          <w:rtl/>
        </w:rPr>
        <w:t xml:space="preserve"> </w:t>
      </w:r>
      <w:r>
        <w:rPr>
          <w:rFonts w:cs="Arial" w:hint="cs"/>
          <w:sz w:val="20"/>
          <w:szCs w:val="20"/>
          <w:rtl/>
        </w:rPr>
        <w:t>"</w:t>
      </w:r>
      <w:r w:rsidRPr="00072B1B">
        <w:rPr>
          <w:rFonts w:cs="Arial"/>
          <w:sz w:val="20"/>
          <w:szCs w:val="20"/>
          <w:rtl/>
        </w:rPr>
        <w:t>מלמולין שעל הבשר חוצצין</w:t>
      </w:r>
      <w:r>
        <w:rPr>
          <w:rFonts w:cs="Arial" w:hint="cs"/>
          <w:sz w:val="20"/>
          <w:szCs w:val="20"/>
          <w:rtl/>
        </w:rPr>
        <w:t>.</w:t>
      </w:r>
      <w:r w:rsidRPr="00072B1B">
        <w:rPr>
          <w:rFonts w:cs="Arial"/>
          <w:sz w:val="20"/>
          <w:szCs w:val="20"/>
          <w:rtl/>
        </w:rPr>
        <w:t xml:space="preserve"> פירוש</w:t>
      </w:r>
      <w:r>
        <w:rPr>
          <w:rFonts w:cs="Arial" w:hint="cs"/>
          <w:sz w:val="20"/>
          <w:szCs w:val="20"/>
          <w:rtl/>
        </w:rPr>
        <w:t>,</w:t>
      </w:r>
      <w:r w:rsidRPr="00072B1B">
        <w:rPr>
          <w:rFonts w:cs="Arial"/>
          <w:sz w:val="20"/>
          <w:szCs w:val="20"/>
          <w:rtl/>
        </w:rPr>
        <w:t xml:space="preserve"> כשאדם לש עיסה או מגבל טיט ומשפשף ידיו זו בזו נופל מהן כמו חוטין</w:t>
      </w:r>
      <w:r>
        <w:rPr>
          <w:rFonts w:cs="Arial" w:hint="cs"/>
          <w:sz w:val="20"/>
          <w:szCs w:val="20"/>
          <w:rtl/>
        </w:rPr>
        <w:t>,</w:t>
      </w:r>
      <w:r w:rsidRPr="00072B1B">
        <w:rPr>
          <w:rFonts w:cs="Arial"/>
          <w:sz w:val="20"/>
          <w:szCs w:val="20"/>
          <w:rtl/>
        </w:rPr>
        <w:t xml:space="preserve"> אם נופלין על בשרו חוצצין</w:t>
      </w:r>
      <w:r>
        <w:rPr>
          <w:rFonts w:hint="cs"/>
          <w:sz w:val="20"/>
          <w:szCs w:val="20"/>
          <w:rtl/>
        </w:rPr>
        <w:t>".</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072B1B">
        <w:rPr>
          <w:rFonts w:cs="Arial"/>
          <w:sz w:val="20"/>
          <w:szCs w:val="20"/>
          <w:rtl/>
        </w:rPr>
        <w:t>מלמולין שעל הבשר, חוצצין.</w:t>
      </w:r>
      <w:r>
        <w:rPr>
          <w:rFonts w:cs="Arial" w:hint="cs"/>
          <w:sz w:val="20"/>
          <w:szCs w:val="20"/>
          <w:rtl/>
        </w:rPr>
        <w:t>"</w:t>
      </w:r>
      <w:r>
        <w:rPr>
          <w:rFonts w:hint="cs"/>
          <w:sz w:val="20"/>
          <w:szCs w:val="20"/>
          <w:rtl/>
        </w:rPr>
        <w:br/>
      </w:r>
      <w:r w:rsidRPr="00072B1B">
        <w:rPr>
          <w:rFonts w:hint="cs"/>
          <w:b/>
          <w:bCs/>
          <w:sz w:val="20"/>
          <w:szCs w:val="20"/>
          <w:rtl/>
        </w:rPr>
        <w:t>ששבה"ל</w:t>
      </w:r>
      <w:r>
        <w:rPr>
          <w:rFonts w:hint="cs"/>
          <w:sz w:val="20"/>
          <w:szCs w:val="20"/>
          <w:rtl/>
        </w:rPr>
        <w:t xml:space="preserve"> </w:t>
      </w:r>
      <w:r>
        <w:rPr>
          <w:sz w:val="20"/>
          <w:szCs w:val="20"/>
          <w:rtl/>
        </w:rPr>
        <w:t>–</w:t>
      </w:r>
      <w:r>
        <w:rPr>
          <w:rFonts w:hint="cs"/>
          <w:sz w:val="20"/>
          <w:szCs w:val="20"/>
          <w:rtl/>
        </w:rPr>
        <w:t xml:space="preserve"> אע"פ שמלמולין אלו רפויים, מכיוון שלפעמים הם מהודקים לא חילקו ואסרו בכל עניין.</w:t>
      </w:r>
    </w:p>
    <w:p w:rsidR="00620060" w:rsidRDefault="00620060" w:rsidP="00620060">
      <w:pPr>
        <w:rPr>
          <w:sz w:val="20"/>
          <w:szCs w:val="20"/>
          <w:rtl/>
        </w:rPr>
      </w:pPr>
      <w:r>
        <w:rPr>
          <w:rFonts w:cs="Arial" w:hint="cs"/>
          <w:sz w:val="20"/>
          <w:szCs w:val="20"/>
          <w:rtl/>
        </w:rPr>
        <w:br/>
      </w:r>
      <w:r>
        <w:rPr>
          <w:rFonts w:cs="Arial" w:hint="cs"/>
          <w:b/>
          <w:bCs/>
          <w:sz w:val="20"/>
          <w:szCs w:val="20"/>
          <w:rtl/>
        </w:rPr>
        <w:t xml:space="preserve">סעיף יד </w:t>
      </w:r>
      <w:r>
        <w:rPr>
          <w:rFonts w:cs="Arial"/>
          <w:b/>
          <w:bCs/>
          <w:sz w:val="20"/>
          <w:szCs w:val="20"/>
          <w:rtl/>
        </w:rPr>
        <w:t>–</w:t>
      </w:r>
      <w:r>
        <w:rPr>
          <w:rFonts w:cs="Arial" w:hint="cs"/>
          <w:b/>
          <w:bCs/>
          <w:sz w:val="20"/>
          <w:szCs w:val="20"/>
          <w:rtl/>
        </w:rPr>
        <w:t xml:space="preserve"> חציצה בטיט</w:t>
      </w:r>
      <w:r>
        <w:rPr>
          <w:rFonts w:cs="Arial"/>
          <w:sz w:val="20"/>
          <w:szCs w:val="20"/>
          <w:rtl/>
        </w:rPr>
        <w:br/>
      </w:r>
      <w:r>
        <w:rPr>
          <w:rFonts w:hint="cs"/>
          <w:b/>
          <w:bCs/>
          <w:sz w:val="20"/>
          <w:szCs w:val="20"/>
          <w:rtl/>
        </w:rPr>
        <w:t>מקור הדין</w:t>
      </w:r>
      <w:r>
        <w:rPr>
          <w:b/>
          <w:bCs/>
          <w:sz w:val="20"/>
          <w:szCs w:val="20"/>
          <w:rtl/>
        </w:rPr>
        <w:br/>
      </w:r>
      <w:r>
        <w:rPr>
          <w:rFonts w:hint="cs"/>
          <w:b/>
          <w:bCs/>
          <w:sz w:val="20"/>
          <w:szCs w:val="20"/>
          <w:rtl/>
        </w:rPr>
        <w:t xml:space="preserve">משנה </w:t>
      </w:r>
      <w:r>
        <w:rPr>
          <w:rFonts w:hint="cs"/>
          <w:sz w:val="20"/>
          <w:szCs w:val="20"/>
          <w:rtl/>
        </w:rPr>
        <w:t>מקוואות (שם) "</w:t>
      </w:r>
      <w:r>
        <w:rPr>
          <w:rFonts w:cs="Arial"/>
          <w:sz w:val="20"/>
          <w:szCs w:val="20"/>
          <w:rtl/>
        </w:rPr>
        <w:t>אלו חוצצין באדם</w:t>
      </w:r>
      <w:r>
        <w:rPr>
          <w:rFonts w:cs="Arial" w:hint="cs"/>
          <w:sz w:val="20"/>
          <w:szCs w:val="20"/>
          <w:rtl/>
        </w:rPr>
        <w:t xml:space="preserve">:... </w:t>
      </w:r>
      <w:r w:rsidRPr="00277D7E">
        <w:rPr>
          <w:rFonts w:cs="Arial"/>
          <w:sz w:val="20"/>
          <w:szCs w:val="20"/>
          <w:rtl/>
        </w:rPr>
        <w:t>וטיט היון וטיט היוצרים וגץ יוני</w:t>
      </w:r>
      <w:r>
        <w:rPr>
          <w:rFonts w:hint="cs"/>
          <w:sz w:val="20"/>
          <w:szCs w:val="20"/>
          <w:rtl/>
        </w:rPr>
        <w:t>".</w:t>
      </w:r>
    </w:p>
    <w:p w:rsidR="00620060" w:rsidRDefault="00620060" w:rsidP="00620060">
      <w:pPr>
        <w:rPr>
          <w:sz w:val="20"/>
          <w:szCs w:val="20"/>
          <w:rtl/>
        </w:rPr>
      </w:pPr>
      <w:r>
        <w:rPr>
          <w:rFonts w:hint="cs"/>
          <w:b/>
          <w:bCs/>
          <w:sz w:val="20"/>
          <w:szCs w:val="20"/>
          <w:rtl/>
        </w:rPr>
        <w:t>שיטות הראשונים</w:t>
      </w:r>
      <w:r>
        <w:rPr>
          <w:b/>
          <w:bCs/>
          <w:sz w:val="20"/>
          <w:szCs w:val="20"/>
          <w:rtl/>
        </w:rPr>
        <w:br/>
      </w:r>
      <w:r>
        <w:rPr>
          <w:rFonts w:hint="cs"/>
          <w:sz w:val="20"/>
          <w:szCs w:val="20"/>
          <w:rtl/>
        </w:rPr>
        <w:t>המשנה מנתה רק שלושה מיני טיט ויש להבין מדוע.</w:t>
      </w:r>
      <w:r>
        <w:rPr>
          <w:sz w:val="20"/>
          <w:szCs w:val="20"/>
          <w:rtl/>
        </w:rPr>
        <w:br/>
      </w:r>
      <w:r>
        <w:rPr>
          <w:rFonts w:hint="cs"/>
          <w:sz w:val="20"/>
          <w:szCs w:val="20"/>
          <w:rtl/>
        </w:rPr>
        <w:t xml:space="preserve">א. </w:t>
      </w:r>
      <w:r w:rsidRPr="00277D7E">
        <w:rPr>
          <w:rFonts w:hint="cs"/>
          <w:b/>
          <w:bCs/>
          <w:sz w:val="20"/>
          <w:szCs w:val="20"/>
          <w:rtl/>
        </w:rPr>
        <w:t>טור</w:t>
      </w:r>
      <w:r>
        <w:rPr>
          <w:rFonts w:hint="cs"/>
          <w:sz w:val="20"/>
          <w:szCs w:val="20"/>
          <w:rtl/>
        </w:rPr>
        <w:t xml:space="preserve"> </w:t>
      </w:r>
      <w:r>
        <w:rPr>
          <w:sz w:val="20"/>
          <w:szCs w:val="20"/>
          <w:rtl/>
        </w:rPr>
        <w:t>–</w:t>
      </w:r>
      <w:r>
        <w:rPr>
          <w:rFonts w:hint="cs"/>
          <w:sz w:val="20"/>
          <w:szCs w:val="20"/>
          <w:rtl/>
        </w:rPr>
        <w:t xml:space="preserve"> שאר מינים אינם חוצצים אפילו יבשים, מינים אלו חוצצים רק כשהם יבשים. טיט לח כלל אינו חוצץ.</w:t>
      </w:r>
      <w:r>
        <w:rPr>
          <w:sz w:val="20"/>
          <w:szCs w:val="20"/>
          <w:rtl/>
        </w:rPr>
        <w:br/>
      </w:r>
      <w:r w:rsidRPr="00277D7E">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כל טיט לח נמחה מייד כשטובלת, ולכן יש לפרש את המשנה בטיט יבש. ומכך שרק מינים אלו שנויים כאן, משמע ששאר טיט אינו חוצץ אפילו יבש. </w:t>
      </w:r>
      <w:r>
        <w:rPr>
          <w:rFonts w:hint="cs"/>
          <w:sz w:val="20"/>
          <w:szCs w:val="20"/>
          <w:rtl/>
        </w:rPr>
        <w:br/>
      </w:r>
      <w:r>
        <w:rPr>
          <w:rFonts w:hint="cs"/>
          <w:sz w:val="20"/>
          <w:szCs w:val="20"/>
          <w:rtl/>
        </w:rPr>
        <w:lastRenderedPageBreak/>
        <w:t xml:space="preserve">ב. </w:t>
      </w:r>
      <w:r w:rsidRPr="00431EE9">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שאר מינים חוצצים רק יבשים, מינים אלו חוצצים אפילו לחים, וכ"פ </w:t>
      </w:r>
      <w:r w:rsidRPr="00FC35D2">
        <w:rPr>
          <w:rFonts w:hint="cs"/>
          <w:b/>
          <w:bCs/>
          <w:sz w:val="20"/>
          <w:szCs w:val="20"/>
          <w:rtl/>
        </w:rPr>
        <w:t>המחבר</w:t>
      </w:r>
      <w:r>
        <w:rPr>
          <w:rFonts w:hint="cs"/>
          <w:sz w:val="20"/>
          <w:szCs w:val="20"/>
          <w:rtl/>
        </w:rPr>
        <w:t>.</w:t>
      </w:r>
      <w:r>
        <w:rPr>
          <w:sz w:val="20"/>
          <w:szCs w:val="20"/>
          <w:rtl/>
        </w:rPr>
        <w:br/>
      </w:r>
      <w:r w:rsidRPr="00431EE9">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כל טיט יבש אינו נמחה במים וחוצץ. המינים הנ"ל אפילו בהיותם לחים אינם נמחים במים וחוצצים.</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FC35D2">
        <w:rPr>
          <w:rFonts w:cs="Arial"/>
          <w:sz w:val="20"/>
          <w:szCs w:val="20"/>
          <w:rtl/>
        </w:rPr>
        <w:t>טיט היון וטיט היוצרים וטיט דרכים הנמצא שם תמיד, אפילו מימות החמה, כל אלו חוצצין; ושאר כל הטיט, כשהוא לח אינו חוצץ שהרי הוא נמחה במים; וכשהוא יבש, חוצץ</w:t>
      </w:r>
      <w:r>
        <w:rPr>
          <w:rFonts w:hint="cs"/>
          <w:sz w:val="20"/>
          <w:szCs w:val="20"/>
          <w:rtl/>
        </w:rPr>
        <w:t>".</w:t>
      </w:r>
      <w:r>
        <w:rPr>
          <w:rFonts w:hint="cs"/>
          <w:sz w:val="20"/>
          <w:szCs w:val="20"/>
          <w:rtl/>
        </w:rPr>
        <w:br/>
      </w:r>
      <w:r w:rsidRPr="009F2E15">
        <w:rPr>
          <w:rFonts w:hint="cs"/>
          <w:b/>
          <w:bCs/>
          <w:sz w:val="20"/>
          <w:szCs w:val="20"/>
          <w:rtl/>
        </w:rPr>
        <w:t>ב"ח</w:t>
      </w:r>
      <w:r>
        <w:rPr>
          <w:rFonts w:hint="cs"/>
          <w:sz w:val="20"/>
          <w:szCs w:val="20"/>
          <w:rtl/>
        </w:rPr>
        <w:t xml:space="preserve"> </w:t>
      </w:r>
      <w:r>
        <w:rPr>
          <w:sz w:val="20"/>
          <w:szCs w:val="20"/>
          <w:rtl/>
        </w:rPr>
        <w:t>–</w:t>
      </w:r>
      <w:r>
        <w:rPr>
          <w:rFonts w:hint="cs"/>
          <w:sz w:val="20"/>
          <w:szCs w:val="20"/>
          <w:rtl/>
        </w:rPr>
        <w:t xml:space="preserve"> כיוון שאיננו בקיאים במיני טיט אלו, כל טיט לח חוצץ כיוון שיש מין טיט שחוצץ אפילו לח</w:t>
      </w:r>
      <w:r>
        <w:rPr>
          <w:rStyle w:val="a5"/>
          <w:sz w:val="20"/>
          <w:szCs w:val="20"/>
          <w:rtl/>
        </w:rPr>
        <w:footnoteReference w:id="621"/>
      </w:r>
      <w:r>
        <w:rPr>
          <w:rFonts w:hint="cs"/>
          <w:sz w:val="20"/>
          <w:szCs w:val="20"/>
          <w:rtl/>
        </w:rPr>
        <w:t>.</w:t>
      </w:r>
    </w:p>
    <w:p w:rsidR="00620060" w:rsidRPr="0088455D" w:rsidRDefault="00620060" w:rsidP="00620060">
      <w:pPr>
        <w:rPr>
          <w:sz w:val="20"/>
          <w:szCs w:val="20"/>
          <w:rtl/>
        </w:rPr>
      </w:pPr>
      <w:r>
        <w:rPr>
          <w:rFonts w:hint="cs"/>
          <w:b/>
          <w:bCs/>
          <w:sz w:val="20"/>
          <w:szCs w:val="20"/>
          <w:rtl/>
        </w:rPr>
        <w:t>דבר לח שמקפידה עליו</w:t>
      </w:r>
      <w:r>
        <w:rPr>
          <w:rFonts w:hint="cs"/>
          <w:b/>
          <w:bCs/>
          <w:sz w:val="20"/>
          <w:szCs w:val="20"/>
          <w:rtl/>
        </w:rPr>
        <w:br/>
        <w:t xml:space="preserve">גמרא </w:t>
      </w:r>
      <w:r>
        <w:rPr>
          <w:rFonts w:hint="cs"/>
          <w:sz w:val="20"/>
          <w:szCs w:val="20"/>
          <w:rtl/>
        </w:rPr>
        <w:t>מנחות (כא.) "</w:t>
      </w:r>
      <w:r w:rsidRPr="0088455D">
        <w:rPr>
          <w:rFonts w:cs="Arial"/>
          <w:sz w:val="20"/>
          <w:szCs w:val="20"/>
          <w:rtl/>
        </w:rPr>
        <w:t>הדם והדיו, והדבש והחלב - יבשין חוצצין, לחין אינן חוצצין</w:t>
      </w:r>
      <w:r>
        <w:rPr>
          <w:rFonts w:hint="cs"/>
          <w:sz w:val="20"/>
          <w:szCs w:val="20"/>
          <w:rtl/>
        </w:rPr>
        <w:t>".</w:t>
      </w:r>
      <w:r>
        <w:rPr>
          <w:sz w:val="20"/>
          <w:szCs w:val="20"/>
          <w:rtl/>
        </w:rPr>
        <w:br/>
      </w:r>
      <w:r w:rsidRPr="00D80815">
        <w:rPr>
          <w:rFonts w:hint="cs"/>
          <w:b/>
          <w:bCs/>
          <w:sz w:val="20"/>
          <w:szCs w:val="20"/>
          <w:rtl/>
        </w:rPr>
        <w:t>מרדכי</w:t>
      </w:r>
      <w:r>
        <w:rPr>
          <w:rFonts w:hint="cs"/>
          <w:sz w:val="20"/>
          <w:szCs w:val="20"/>
          <w:rtl/>
        </w:rPr>
        <w:t xml:space="preserve"> </w:t>
      </w:r>
      <w:r>
        <w:rPr>
          <w:sz w:val="20"/>
          <w:szCs w:val="20"/>
          <w:rtl/>
        </w:rPr>
        <w:t>–</w:t>
      </w:r>
      <w:r>
        <w:rPr>
          <w:rFonts w:hint="cs"/>
          <w:sz w:val="20"/>
          <w:szCs w:val="20"/>
          <w:rtl/>
        </w:rPr>
        <w:t xml:space="preserve"> יבש חוצץ משום שדרך בני אדם להקפיד עליו, לח אינו חוצץ משום שאינם מקפידים על כך.</w:t>
      </w:r>
      <w:r>
        <w:rPr>
          <w:sz w:val="20"/>
          <w:szCs w:val="20"/>
          <w:rtl/>
        </w:rPr>
        <w:br/>
      </w:r>
      <w:r>
        <w:rPr>
          <w:rFonts w:hint="cs"/>
          <w:sz w:val="20"/>
          <w:szCs w:val="20"/>
          <w:rtl/>
        </w:rPr>
        <w:t xml:space="preserve">אמנם אם היא מקפידה, אפילו לח חוצץ, וכ"פ </w:t>
      </w:r>
      <w:r w:rsidRPr="0088455D">
        <w:rPr>
          <w:rFonts w:hint="cs"/>
          <w:b/>
          <w:bCs/>
          <w:sz w:val="20"/>
          <w:szCs w:val="20"/>
          <w:rtl/>
        </w:rPr>
        <w:t>הרמ"א</w:t>
      </w:r>
      <w:r>
        <w:rPr>
          <w:rFonts w:hint="cs"/>
          <w:sz w:val="20"/>
          <w:szCs w:val="20"/>
          <w:rtl/>
        </w:rPr>
        <w:t xml:space="preserve">. </w:t>
      </w:r>
    </w:p>
    <w:p w:rsidR="00620060" w:rsidRDefault="00620060" w:rsidP="00620060">
      <w:pPr>
        <w:rPr>
          <w:sz w:val="20"/>
          <w:szCs w:val="20"/>
          <w:rtl/>
        </w:rPr>
      </w:pPr>
      <w:r>
        <w:rPr>
          <w:rFonts w:hint="cs"/>
          <w:b/>
          <w:bCs/>
          <w:sz w:val="20"/>
          <w:szCs w:val="20"/>
          <w:rtl/>
        </w:rPr>
        <w:t>פסיקת הלכה</w:t>
      </w:r>
      <w:r>
        <w:rPr>
          <w:rFonts w:hint="cs"/>
          <w:sz w:val="20"/>
          <w:szCs w:val="20"/>
          <w:rtl/>
        </w:rPr>
        <w:br/>
      </w:r>
      <w:r w:rsidRPr="00D80815">
        <w:rPr>
          <w:rFonts w:hint="cs"/>
          <w:b/>
          <w:bCs/>
          <w:sz w:val="20"/>
          <w:szCs w:val="20"/>
          <w:rtl/>
        </w:rPr>
        <w:t>רמ"א</w:t>
      </w:r>
      <w:r>
        <w:rPr>
          <w:rFonts w:hint="cs"/>
          <w:sz w:val="20"/>
          <w:szCs w:val="20"/>
          <w:rtl/>
        </w:rPr>
        <w:t xml:space="preserve"> </w:t>
      </w:r>
      <w:r>
        <w:rPr>
          <w:sz w:val="20"/>
          <w:szCs w:val="20"/>
          <w:rtl/>
        </w:rPr>
        <w:t>–</w:t>
      </w:r>
      <w:r w:rsidRPr="0088455D">
        <w:rPr>
          <w:rFonts w:hint="cs"/>
          <w:sz w:val="18"/>
          <w:szCs w:val="18"/>
          <w:rtl/>
        </w:rPr>
        <w:t xml:space="preserve"> "</w:t>
      </w:r>
      <w:r w:rsidRPr="0088455D">
        <w:rPr>
          <w:rFonts w:cs="Arial"/>
          <w:sz w:val="18"/>
          <w:szCs w:val="18"/>
          <w:rtl/>
        </w:rPr>
        <w:t>ומיהו אם היא מקפדת אפילו בדבר לח חוצץ</w:t>
      </w:r>
      <w:r w:rsidRPr="0088455D">
        <w:rPr>
          <w:rFonts w:cs="Arial" w:hint="cs"/>
          <w:sz w:val="18"/>
          <w:szCs w:val="18"/>
          <w:rtl/>
        </w:rPr>
        <w:t>".</w:t>
      </w:r>
      <w:r>
        <w:rPr>
          <w:sz w:val="20"/>
          <w:szCs w:val="20"/>
          <w:rtl/>
        </w:rPr>
        <w:br/>
      </w:r>
      <w:r w:rsidRPr="00423EFE">
        <w:rPr>
          <w:rFonts w:hint="cs"/>
          <w:b/>
          <w:bCs/>
          <w:sz w:val="20"/>
          <w:szCs w:val="20"/>
          <w:rtl/>
        </w:rPr>
        <w:t>ערוך השולחן</w:t>
      </w:r>
      <w:r>
        <w:rPr>
          <w:rFonts w:hint="cs"/>
          <w:sz w:val="20"/>
          <w:szCs w:val="20"/>
          <w:rtl/>
        </w:rPr>
        <w:t xml:space="preserve"> </w:t>
      </w:r>
      <w:r>
        <w:rPr>
          <w:sz w:val="20"/>
          <w:szCs w:val="20"/>
          <w:rtl/>
        </w:rPr>
        <w:t>–</w:t>
      </w:r>
      <w:r>
        <w:rPr>
          <w:rFonts w:hint="cs"/>
          <w:sz w:val="20"/>
          <w:szCs w:val="20"/>
          <w:rtl/>
        </w:rPr>
        <w:t xml:space="preserve"> מה בכך שהיא מקפדת, הרי דבר לח נמחה מייד במים ואינו חוצץ!</w:t>
      </w:r>
      <w:r>
        <w:rPr>
          <w:sz w:val="20"/>
          <w:szCs w:val="20"/>
          <w:rtl/>
        </w:rPr>
        <w:br/>
      </w:r>
      <w:r>
        <w:rPr>
          <w:rFonts w:hint="cs"/>
          <w:sz w:val="20"/>
          <w:szCs w:val="20"/>
          <w:rtl/>
        </w:rPr>
        <w:t xml:space="preserve">יש לומר </w:t>
      </w:r>
      <w:r w:rsidRPr="00423EFE">
        <w:rPr>
          <w:rFonts w:hint="cs"/>
          <w:b/>
          <w:bCs/>
          <w:sz w:val="20"/>
          <w:szCs w:val="20"/>
          <w:rtl/>
        </w:rPr>
        <w:t>שהרמ"א</w:t>
      </w:r>
      <w:r>
        <w:rPr>
          <w:rFonts w:hint="cs"/>
          <w:sz w:val="20"/>
          <w:szCs w:val="20"/>
          <w:rtl/>
        </w:rPr>
        <w:t xml:space="preserve"> סובר שאף לאחר שהטיט נמחה הוא מותיר רושם בבשר, ולכן אם היא מקפידה חוצץ אלא אם כן תשפשף היטב שלא יחצוץ.</w:t>
      </w:r>
    </w:p>
    <w:p w:rsidR="00620060" w:rsidRDefault="00620060" w:rsidP="00620060">
      <w:pPr>
        <w:rPr>
          <w:b/>
          <w:bCs/>
          <w:sz w:val="20"/>
          <w:szCs w:val="20"/>
          <w:rtl/>
        </w:rPr>
      </w:pPr>
      <w:r>
        <w:rPr>
          <w:sz w:val="20"/>
          <w:szCs w:val="20"/>
          <w:rtl/>
        </w:rPr>
        <w:br/>
      </w:r>
      <w:r>
        <w:rPr>
          <w:rFonts w:hint="cs"/>
          <w:b/>
          <w:bCs/>
          <w:sz w:val="20"/>
          <w:szCs w:val="20"/>
          <w:rtl/>
        </w:rPr>
        <w:t xml:space="preserve">סעיף טו </w:t>
      </w:r>
      <w:r>
        <w:rPr>
          <w:b/>
          <w:bCs/>
          <w:sz w:val="20"/>
          <w:szCs w:val="20"/>
          <w:rtl/>
        </w:rPr>
        <w:t>–</w:t>
      </w:r>
      <w:r>
        <w:rPr>
          <w:rFonts w:hint="cs"/>
          <w:b/>
          <w:bCs/>
          <w:sz w:val="20"/>
          <w:szCs w:val="20"/>
          <w:rtl/>
        </w:rPr>
        <w:t xml:space="preserve"> חציצה בשרפים</w:t>
      </w:r>
      <w:r>
        <w:rPr>
          <w:rFonts w:hint="cs"/>
          <w:b/>
          <w:bCs/>
          <w:sz w:val="20"/>
          <w:szCs w:val="20"/>
          <w:rtl/>
        </w:rPr>
        <w:br/>
        <w:t>מקור הדין</w:t>
      </w:r>
      <w:r>
        <w:rPr>
          <w:b/>
          <w:bCs/>
          <w:sz w:val="20"/>
          <w:szCs w:val="20"/>
          <w:rtl/>
        </w:rPr>
        <w:br/>
      </w:r>
      <w:r>
        <w:rPr>
          <w:rFonts w:hint="cs"/>
          <w:b/>
          <w:bCs/>
          <w:sz w:val="20"/>
          <w:szCs w:val="20"/>
          <w:rtl/>
        </w:rPr>
        <w:t xml:space="preserve">תוספתא </w:t>
      </w:r>
      <w:r>
        <w:rPr>
          <w:rFonts w:hint="cs"/>
          <w:sz w:val="20"/>
          <w:szCs w:val="20"/>
          <w:rtl/>
        </w:rPr>
        <w:t>מקוואות (ו, ט) "</w:t>
      </w:r>
      <w:r w:rsidRPr="000C6DDA">
        <w:rPr>
          <w:rFonts w:cs="Arial"/>
          <w:sz w:val="20"/>
          <w:szCs w:val="20"/>
          <w:rtl/>
        </w:rPr>
        <w:t>הדם והדיו והדבש והחלב ושרף התות ושרף התאינה ושרף השקמה ושרף החרוב</w:t>
      </w:r>
      <w:r>
        <w:rPr>
          <w:rFonts w:cs="Arial" w:hint="cs"/>
          <w:sz w:val="20"/>
          <w:szCs w:val="20"/>
          <w:rtl/>
        </w:rPr>
        <w:t>,</w:t>
      </w:r>
      <w:r w:rsidRPr="000C6DDA">
        <w:rPr>
          <w:rFonts w:cs="Arial"/>
          <w:sz w:val="20"/>
          <w:szCs w:val="20"/>
          <w:rtl/>
        </w:rPr>
        <w:t xml:space="preserve"> יבשין</w:t>
      </w:r>
      <w:r>
        <w:rPr>
          <w:rFonts w:cs="Arial" w:hint="cs"/>
          <w:sz w:val="20"/>
          <w:szCs w:val="20"/>
          <w:rtl/>
        </w:rPr>
        <w:t xml:space="preserve"> </w:t>
      </w:r>
      <w:r>
        <w:rPr>
          <w:rFonts w:cs="Arial"/>
          <w:sz w:val="20"/>
          <w:szCs w:val="20"/>
          <w:rtl/>
        </w:rPr>
        <w:t>–</w:t>
      </w:r>
      <w:r w:rsidRPr="000C6DDA">
        <w:rPr>
          <w:rFonts w:cs="Arial"/>
          <w:sz w:val="20"/>
          <w:szCs w:val="20"/>
          <w:rtl/>
        </w:rPr>
        <w:t xml:space="preserve"> חוצצין</w:t>
      </w:r>
      <w:r>
        <w:rPr>
          <w:rFonts w:cs="Arial" w:hint="cs"/>
          <w:sz w:val="20"/>
          <w:szCs w:val="20"/>
          <w:rtl/>
        </w:rPr>
        <w:t>,</w:t>
      </w:r>
      <w:r w:rsidRPr="000C6DDA">
        <w:rPr>
          <w:rFonts w:cs="Arial"/>
          <w:sz w:val="20"/>
          <w:szCs w:val="20"/>
          <w:rtl/>
        </w:rPr>
        <w:t xml:space="preserve"> לחין </w:t>
      </w:r>
      <w:r>
        <w:rPr>
          <w:rFonts w:cs="Arial" w:hint="cs"/>
          <w:sz w:val="20"/>
          <w:szCs w:val="20"/>
          <w:rtl/>
        </w:rPr>
        <w:t xml:space="preserve">- </w:t>
      </w:r>
      <w:r w:rsidRPr="000C6DDA">
        <w:rPr>
          <w:rFonts w:cs="Arial"/>
          <w:sz w:val="20"/>
          <w:szCs w:val="20"/>
          <w:rtl/>
        </w:rPr>
        <w:t>אין חוצצין</w:t>
      </w:r>
      <w:r>
        <w:rPr>
          <w:rFonts w:cs="Arial" w:hint="cs"/>
          <w:sz w:val="20"/>
          <w:szCs w:val="20"/>
          <w:rtl/>
        </w:rPr>
        <w:t>.</w:t>
      </w:r>
      <w:r w:rsidRPr="000C6DDA">
        <w:rPr>
          <w:rFonts w:cs="Arial"/>
          <w:sz w:val="20"/>
          <w:szCs w:val="20"/>
          <w:rtl/>
        </w:rPr>
        <w:t xml:space="preserve"> ושאר כל השרפין</w:t>
      </w:r>
      <w:r>
        <w:rPr>
          <w:rFonts w:cs="Arial" w:hint="cs"/>
          <w:sz w:val="20"/>
          <w:szCs w:val="20"/>
          <w:rtl/>
        </w:rPr>
        <w:t xml:space="preserve"> -</w:t>
      </w:r>
      <w:r w:rsidRPr="000C6DDA">
        <w:rPr>
          <w:rFonts w:cs="Arial"/>
          <w:sz w:val="20"/>
          <w:szCs w:val="20"/>
          <w:rtl/>
        </w:rPr>
        <w:t xml:space="preserve"> בין לחין בין יבשין הרי אלו חוצצין</w:t>
      </w:r>
      <w:r>
        <w:rPr>
          <w:rFonts w:cs="Arial" w:hint="cs"/>
          <w:sz w:val="20"/>
          <w:szCs w:val="20"/>
          <w:rtl/>
        </w:rPr>
        <w:t>".</w:t>
      </w:r>
    </w:p>
    <w:p w:rsidR="00620060" w:rsidRPr="000C6DDA" w:rsidRDefault="00620060" w:rsidP="00620060">
      <w:pPr>
        <w:rPr>
          <w:b/>
          <w:bCs/>
          <w:rtl/>
        </w:rPr>
      </w:pPr>
      <w:r>
        <w:rPr>
          <w:rFonts w:hint="cs"/>
          <w:b/>
          <w:bCs/>
          <w:sz w:val="20"/>
          <w:szCs w:val="20"/>
          <w:rtl/>
        </w:rPr>
        <w:t>שיטות הראשונים</w:t>
      </w:r>
      <w:r>
        <w:rPr>
          <w:sz w:val="20"/>
          <w:szCs w:val="20"/>
          <w:rtl/>
        </w:rPr>
        <w:br/>
      </w:r>
      <w:r w:rsidRPr="000C6DDA">
        <w:rPr>
          <w:rFonts w:hint="cs"/>
          <w:sz w:val="20"/>
          <w:szCs w:val="20"/>
          <w:rtl/>
        </w:rPr>
        <w:t>דין שאר שרפים</w:t>
      </w:r>
      <w:r>
        <w:rPr>
          <w:rFonts w:hint="cs"/>
          <w:sz w:val="20"/>
          <w:szCs w:val="20"/>
          <w:rtl/>
        </w:rPr>
        <w:t xml:space="preserve"> שאינם מנויים בשמותיהם בתוספתא,</w:t>
      </w:r>
      <w:r w:rsidRPr="000C6DDA">
        <w:rPr>
          <w:rFonts w:hint="cs"/>
          <w:sz w:val="20"/>
          <w:szCs w:val="20"/>
          <w:rtl/>
        </w:rPr>
        <w:t xml:space="preserve"> מצוי במחלוקת קוטבית בין ראשונים -  </w:t>
      </w:r>
      <w:r w:rsidRPr="000C6DDA">
        <w:rPr>
          <w:sz w:val="20"/>
          <w:szCs w:val="20"/>
          <w:rtl/>
        </w:rPr>
        <w:br/>
      </w:r>
      <w:r>
        <w:rPr>
          <w:rFonts w:hint="cs"/>
          <w:sz w:val="20"/>
          <w:szCs w:val="20"/>
          <w:rtl/>
        </w:rPr>
        <w:t xml:space="preserve">א. </w:t>
      </w:r>
      <w:r w:rsidRPr="000C6DDA">
        <w:rPr>
          <w:rFonts w:hint="cs"/>
          <w:b/>
          <w:bCs/>
          <w:sz w:val="20"/>
          <w:szCs w:val="20"/>
          <w:rtl/>
        </w:rPr>
        <w:t>טור</w:t>
      </w:r>
      <w:r w:rsidRPr="000C6DDA">
        <w:rPr>
          <w:rFonts w:hint="cs"/>
          <w:sz w:val="20"/>
          <w:szCs w:val="20"/>
          <w:rtl/>
        </w:rPr>
        <w:t xml:space="preserve"> - אינם חוצצים אפילו יבשים.</w:t>
      </w:r>
      <w:r w:rsidRPr="000C6DDA">
        <w:rPr>
          <w:sz w:val="20"/>
          <w:szCs w:val="20"/>
          <w:rtl/>
        </w:rPr>
        <w:br/>
      </w:r>
      <w:r>
        <w:rPr>
          <w:rFonts w:hint="cs"/>
          <w:sz w:val="20"/>
          <w:szCs w:val="20"/>
          <w:rtl/>
        </w:rPr>
        <w:t xml:space="preserve">ב. </w:t>
      </w:r>
      <w:r w:rsidRPr="000C6DDA">
        <w:rPr>
          <w:rFonts w:hint="cs"/>
          <w:b/>
          <w:bCs/>
          <w:sz w:val="20"/>
          <w:szCs w:val="20"/>
          <w:rtl/>
        </w:rPr>
        <w:t>רמב"ם</w:t>
      </w:r>
      <w:r w:rsidRPr="000C6DDA">
        <w:rPr>
          <w:rFonts w:hint="cs"/>
          <w:sz w:val="20"/>
          <w:szCs w:val="20"/>
          <w:rtl/>
        </w:rPr>
        <w:t xml:space="preserve"> </w:t>
      </w:r>
      <w:r>
        <w:rPr>
          <w:rFonts w:hint="cs"/>
          <w:sz w:val="20"/>
          <w:szCs w:val="20"/>
          <w:rtl/>
        </w:rPr>
        <w:t xml:space="preserve">- </w:t>
      </w:r>
      <w:r w:rsidRPr="000C6DDA">
        <w:rPr>
          <w:rFonts w:hint="cs"/>
          <w:sz w:val="20"/>
          <w:szCs w:val="20"/>
          <w:rtl/>
        </w:rPr>
        <w:t xml:space="preserve">חוצצים אפילו לחים. </w:t>
      </w:r>
      <w:r w:rsidRPr="000C6DDA">
        <w:rPr>
          <w:sz w:val="20"/>
          <w:szCs w:val="20"/>
          <w:rtl/>
        </w:rPr>
        <w:br/>
      </w:r>
      <w:r w:rsidRPr="000C6DDA">
        <w:rPr>
          <w:rFonts w:hint="cs"/>
          <w:b/>
          <w:bCs/>
          <w:sz w:val="20"/>
          <w:szCs w:val="20"/>
          <w:rtl/>
        </w:rPr>
        <w:t>בית יוסף</w:t>
      </w:r>
      <w:r w:rsidRPr="000C6DDA">
        <w:rPr>
          <w:rFonts w:hint="cs"/>
          <w:sz w:val="20"/>
          <w:szCs w:val="20"/>
          <w:rtl/>
        </w:rPr>
        <w:t xml:space="preserve"> - הכריע כרמב"ם משום שכך כתוב בתוספתא, וכנראה שהטור לא ראה תוספתא זאת.  </w:t>
      </w:r>
    </w:p>
    <w:p w:rsidR="00620060" w:rsidRDefault="00620060" w:rsidP="00620060">
      <w:pPr>
        <w:rPr>
          <w:sz w:val="20"/>
          <w:szCs w:val="20"/>
          <w:rtl/>
        </w:rPr>
      </w:pPr>
      <w:r>
        <w:rPr>
          <w:rFonts w:hint="cs"/>
          <w:b/>
          <w:bCs/>
          <w:sz w:val="20"/>
          <w:szCs w:val="20"/>
          <w:rtl/>
        </w:rPr>
        <w:t xml:space="preserve">פסיקת הלכה </w:t>
      </w:r>
      <w:r>
        <w:rPr>
          <w:sz w:val="18"/>
          <w:szCs w:val="18"/>
          <w:rtl/>
        </w:rPr>
        <w:br/>
      </w:r>
      <w:r w:rsidRPr="00D80815">
        <w:rPr>
          <w:rFonts w:hint="cs"/>
          <w:b/>
          <w:bCs/>
          <w:sz w:val="20"/>
          <w:szCs w:val="20"/>
          <w:rtl/>
        </w:rPr>
        <w:t>שולחן ערוך</w:t>
      </w:r>
      <w:r w:rsidRPr="00D80815">
        <w:rPr>
          <w:rFonts w:hint="cs"/>
          <w:sz w:val="20"/>
          <w:szCs w:val="20"/>
          <w:rtl/>
        </w:rPr>
        <w:t xml:space="preserve"> </w:t>
      </w:r>
      <w:r w:rsidRPr="00D80815">
        <w:rPr>
          <w:rFonts w:hint="cs"/>
          <w:sz w:val="18"/>
          <w:szCs w:val="18"/>
          <w:rtl/>
        </w:rPr>
        <w:t xml:space="preserve">(ע"פ </w:t>
      </w:r>
      <w:r w:rsidRPr="00D80815">
        <w:rPr>
          <w:rFonts w:hint="cs"/>
          <w:b/>
          <w:bCs/>
          <w:sz w:val="18"/>
          <w:szCs w:val="18"/>
          <w:rtl/>
        </w:rPr>
        <w:t>התוספתא</w:t>
      </w:r>
      <w:r w:rsidRPr="00D80815">
        <w:rPr>
          <w:rFonts w:hint="cs"/>
          <w:sz w:val="18"/>
          <w:szCs w:val="18"/>
          <w:rtl/>
        </w:rPr>
        <w:t>)</w:t>
      </w:r>
      <w:r>
        <w:rPr>
          <w:rFonts w:hint="cs"/>
          <w:sz w:val="18"/>
          <w:szCs w:val="18"/>
          <w:rtl/>
        </w:rPr>
        <w:t xml:space="preserve"> -</w:t>
      </w:r>
      <w:r w:rsidRPr="00D80815">
        <w:rPr>
          <w:rFonts w:hint="cs"/>
          <w:sz w:val="18"/>
          <w:szCs w:val="18"/>
          <w:rtl/>
        </w:rPr>
        <w:t xml:space="preserve"> </w:t>
      </w:r>
      <w:r w:rsidRPr="00D80815">
        <w:rPr>
          <w:rFonts w:hint="cs"/>
          <w:sz w:val="20"/>
          <w:szCs w:val="20"/>
          <w:rtl/>
        </w:rPr>
        <w:t>"</w:t>
      </w:r>
      <w:r w:rsidRPr="00D80815">
        <w:rPr>
          <w:rFonts w:cs="Arial"/>
          <w:sz w:val="20"/>
          <w:szCs w:val="20"/>
          <w:rtl/>
        </w:rPr>
        <w:t xml:space="preserve">הדיו, החלב והדבש והדם, שרף התאנה ושרף התות ושרף החרוב ושרף השקמה </w:t>
      </w:r>
      <w:r w:rsidRPr="00D80815">
        <w:rPr>
          <w:rFonts w:cs="Arial"/>
          <w:sz w:val="18"/>
          <w:szCs w:val="18"/>
          <w:rtl/>
        </w:rPr>
        <w:t>(פירוש מין ממיני התאנים)</w:t>
      </w:r>
      <w:r w:rsidRPr="00D80815">
        <w:rPr>
          <w:rFonts w:cs="Arial"/>
          <w:sz w:val="20"/>
          <w:szCs w:val="20"/>
          <w:rtl/>
        </w:rPr>
        <w:t>, יבשים, חוצצין; לחים, אינם חוצצין. ושאר כל השרפים, אפילו לחים, חוצצין</w:t>
      </w:r>
      <w:r w:rsidRPr="00D80815">
        <w:rPr>
          <w:rFonts w:cs="Arial" w:hint="cs"/>
          <w:sz w:val="20"/>
          <w:szCs w:val="20"/>
          <w:rtl/>
        </w:rPr>
        <w:t>".</w:t>
      </w:r>
      <w:r>
        <w:rPr>
          <w:rFonts w:hint="cs"/>
          <w:b/>
          <w:bCs/>
          <w:sz w:val="20"/>
          <w:szCs w:val="20"/>
          <w:rtl/>
        </w:rPr>
        <w:br/>
        <w:t xml:space="preserve">חכמת אדם </w:t>
      </w:r>
      <w:r>
        <w:rPr>
          <w:sz w:val="20"/>
          <w:szCs w:val="20"/>
          <w:rtl/>
        </w:rPr>
        <w:t>–</w:t>
      </w:r>
      <w:r>
        <w:rPr>
          <w:rFonts w:hint="cs"/>
          <w:sz w:val="20"/>
          <w:szCs w:val="20"/>
          <w:rtl/>
        </w:rPr>
        <w:t xml:space="preserve"> איננו בקיאים במיני השרפים ולכן כולם חוצצים אפילו לחים. אבל הדיו, חלב, דבש ומי פירות לחים אינם חוצצים. </w:t>
      </w:r>
      <w:r>
        <w:rPr>
          <w:sz w:val="20"/>
          <w:szCs w:val="20"/>
          <w:rtl/>
        </w:rPr>
        <w:br/>
      </w:r>
      <w:r>
        <w:rPr>
          <w:rFonts w:hint="cs"/>
          <w:sz w:val="20"/>
          <w:szCs w:val="20"/>
          <w:rtl/>
        </w:rPr>
        <w:t xml:space="preserve">ואמנם, אם היא מקפידה עליהם אפילו לחים חוצצים </w:t>
      </w:r>
      <w:r w:rsidRPr="00D80815">
        <w:rPr>
          <w:rFonts w:hint="cs"/>
          <w:sz w:val="18"/>
          <w:szCs w:val="18"/>
          <w:rtl/>
        </w:rPr>
        <w:t>(משום שהרמ"א בסוף הסעיף הקודם קאי גם על סעיף זה).</w:t>
      </w:r>
    </w:p>
    <w:p w:rsidR="00620060" w:rsidRDefault="00620060" w:rsidP="00620060">
      <w:pPr>
        <w:rPr>
          <w:sz w:val="20"/>
          <w:szCs w:val="20"/>
          <w:rtl/>
        </w:rPr>
      </w:pPr>
      <w:r>
        <w:rPr>
          <w:sz w:val="20"/>
          <w:szCs w:val="20"/>
          <w:rtl/>
        </w:rPr>
        <w:br/>
      </w:r>
      <w:r>
        <w:rPr>
          <w:rFonts w:hint="cs"/>
          <w:b/>
          <w:bCs/>
          <w:sz w:val="20"/>
          <w:szCs w:val="20"/>
          <w:rtl/>
        </w:rPr>
        <w:t xml:space="preserve">סעיף טז </w:t>
      </w:r>
      <w:r>
        <w:rPr>
          <w:b/>
          <w:bCs/>
          <w:sz w:val="20"/>
          <w:szCs w:val="20"/>
          <w:rtl/>
        </w:rPr>
        <w:t>–</w:t>
      </w:r>
      <w:r>
        <w:rPr>
          <w:rFonts w:hint="cs"/>
          <w:b/>
          <w:bCs/>
          <w:sz w:val="20"/>
          <w:szCs w:val="20"/>
          <w:rtl/>
        </w:rPr>
        <w:t xml:space="preserve"> חציצה בדם</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גמרא </w:t>
      </w:r>
      <w:r>
        <w:rPr>
          <w:rFonts w:hint="cs"/>
          <w:sz w:val="20"/>
          <w:szCs w:val="20"/>
          <w:rtl/>
        </w:rPr>
        <w:t>(מנחות כא.) "</w:t>
      </w:r>
      <w:r w:rsidRPr="005810EE">
        <w:rPr>
          <w:rFonts w:cs="Arial"/>
          <w:sz w:val="20"/>
          <w:szCs w:val="20"/>
          <w:rtl/>
        </w:rPr>
        <w:t>אמר רב גידל אמר זעירי: דם, בין לח בין יבש חוצץ. מיתיבי: הדם והדיו, והדבש והחלב - יבשין חוצצין, לחין אינן חוצצין! לא קשיא: הא דסריך, הא דלא סריך</w:t>
      </w:r>
      <w:r>
        <w:rPr>
          <w:rFonts w:cs="Arial" w:hint="cs"/>
          <w:sz w:val="20"/>
          <w:szCs w:val="20"/>
          <w:rtl/>
        </w:rPr>
        <w:t>".</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sidRPr="005810EE">
        <w:rPr>
          <w:rFonts w:hint="cs"/>
          <w:sz w:val="18"/>
          <w:szCs w:val="18"/>
          <w:rtl/>
        </w:rPr>
        <w:t xml:space="preserve">(ע"פ הרמב"ם) </w:t>
      </w:r>
      <w:r>
        <w:rPr>
          <w:sz w:val="20"/>
          <w:szCs w:val="20"/>
          <w:rtl/>
        </w:rPr>
        <w:t>–</w:t>
      </w:r>
      <w:r>
        <w:rPr>
          <w:rFonts w:hint="cs"/>
          <w:sz w:val="20"/>
          <w:szCs w:val="20"/>
          <w:rtl/>
        </w:rPr>
        <w:t xml:space="preserve"> "</w:t>
      </w:r>
      <w:r w:rsidRPr="005810EE">
        <w:rPr>
          <w:rFonts w:cs="Arial"/>
          <w:sz w:val="20"/>
          <w:szCs w:val="20"/>
          <w:rtl/>
        </w:rPr>
        <w:t>דם שנסרך בבשר, אפילו</w:t>
      </w:r>
      <w:r>
        <w:rPr>
          <w:rFonts w:cs="Arial"/>
          <w:sz w:val="20"/>
          <w:szCs w:val="20"/>
          <w:rtl/>
        </w:rPr>
        <w:t xml:space="preserve"> לח, חוצץ</w:t>
      </w:r>
      <w:r>
        <w:rPr>
          <w:rFonts w:cs="Arial" w:hint="cs"/>
          <w:sz w:val="20"/>
          <w:szCs w:val="20"/>
          <w:rtl/>
        </w:rPr>
        <w:t>".</w:t>
      </w:r>
      <w:r>
        <w:rPr>
          <w:rStyle w:val="a5"/>
          <w:sz w:val="20"/>
          <w:szCs w:val="20"/>
          <w:rtl/>
        </w:rPr>
        <w:footnoteReference w:id="622"/>
      </w:r>
    </w:p>
    <w:p w:rsidR="00620060" w:rsidRDefault="00620060" w:rsidP="00620060">
      <w:pPr>
        <w:rPr>
          <w:sz w:val="20"/>
          <w:szCs w:val="20"/>
          <w:rtl/>
        </w:rPr>
      </w:pPr>
      <w:r>
        <w:rPr>
          <w:rFonts w:hint="cs"/>
          <w:sz w:val="20"/>
          <w:szCs w:val="20"/>
          <w:u w:val="single"/>
          <w:rtl/>
        </w:rPr>
        <w:t>הגדרת סריך</w:t>
      </w:r>
      <w:r>
        <w:rPr>
          <w:sz w:val="20"/>
          <w:szCs w:val="20"/>
          <w:u w:val="single"/>
          <w:rtl/>
        </w:rPr>
        <w:br/>
      </w:r>
      <w:r w:rsidRPr="00E42BEF">
        <w:rPr>
          <w:rFonts w:hint="cs"/>
          <w:b/>
          <w:bCs/>
          <w:sz w:val="20"/>
          <w:szCs w:val="20"/>
          <w:rtl/>
        </w:rPr>
        <w:t>ש"ך</w:t>
      </w:r>
      <w:r>
        <w:rPr>
          <w:rFonts w:hint="cs"/>
          <w:sz w:val="20"/>
          <w:szCs w:val="20"/>
          <w:rtl/>
        </w:rPr>
        <w:t xml:space="preserve"> </w:t>
      </w:r>
      <w:r w:rsidRPr="00E42BEF">
        <w:rPr>
          <w:rFonts w:hint="cs"/>
          <w:sz w:val="18"/>
          <w:szCs w:val="18"/>
          <w:rtl/>
        </w:rPr>
        <w:t xml:space="preserve">(ע"פ רש"י במנחות) </w:t>
      </w:r>
      <w:r>
        <w:rPr>
          <w:sz w:val="20"/>
          <w:szCs w:val="20"/>
          <w:rtl/>
        </w:rPr>
        <w:t>–</w:t>
      </w:r>
      <w:r>
        <w:rPr>
          <w:rFonts w:hint="cs"/>
          <w:sz w:val="20"/>
          <w:szCs w:val="20"/>
          <w:rtl/>
        </w:rPr>
        <w:t xml:space="preserve"> "</w:t>
      </w:r>
      <w:r w:rsidRPr="00E42BEF">
        <w:rPr>
          <w:rFonts w:cs="Arial"/>
          <w:sz w:val="20"/>
          <w:szCs w:val="20"/>
          <w:rtl/>
        </w:rPr>
        <w:t>שמתחיל להתייבש ולהדבק קצת שכשתולים בו אצבע נמשך והולך חוט ממנו</w:t>
      </w:r>
      <w:r>
        <w:rPr>
          <w:rFonts w:cs="Arial" w:hint="cs"/>
          <w:sz w:val="20"/>
          <w:szCs w:val="20"/>
          <w:rtl/>
        </w:rPr>
        <w:t>".</w:t>
      </w:r>
    </w:p>
    <w:p w:rsidR="00620060" w:rsidRPr="00E679EB" w:rsidRDefault="00620060" w:rsidP="00620060">
      <w:pPr>
        <w:rPr>
          <w:sz w:val="20"/>
          <w:szCs w:val="20"/>
          <w:rtl/>
        </w:rPr>
      </w:pPr>
      <w:r>
        <w:rPr>
          <w:rFonts w:hint="cs"/>
          <w:sz w:val="20"/>
          <w:szCs w:val="20"/>
          <w:u w:val="single"/>
          <w:rtl/>
        </w:rPr>
        <w:lastRenderedPageBreak/>
        <w:t>דם שהתבשל</w:t>
      </w:r>
      <w:r>
        <w:rPr>
          <w:sz w:val="20"/>
          <w:szCs w:val="20"/>
          <w:u w:val="single"/>
          <w:rtl/>
        </w:rPr>
        <w:br/>
      </w:r>
      <w:r w:rsidRPr="00E679EB">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כתב </w:t>
      </w:r>
      <w:r w:rsidRPr="00E679EB">
        <w:rPr>
          <w:rFonts w:hint="cs"/>
          <w:b/>
          <w:bCs/>
          <w:sz w:val="20"/>
          <w:szCs w:val="20"/>
          <w:rtl/>
        </w:rPr>
        <w:t>בה"ג</w:t>
      </w:r>
      <w:r>
        <w:rPr>
          <w:rFonts w:hint="cs"/>
          <w:sz w:val="20"/>
          <w:szCs w:val="20"/>
          <w:rtl/>
        </w:rPr>
        <w:t xml:space="preserve"> שדם שהתבשל חוצץ אפילו לח.</w:t>
      </w:r>
    </w:p>
    <w:p w:rsidR="00620060" w:rsidRDefault="00620060" w:rsidP="00620060">
      <w:pPr>
        <w:rPr>
          <w:sz w:val="18"/>
          <w:szCs w:val="18"/>
          <w:rtl/>
        </w:rPr>
      </w:pPr>
      <w:r w:rsidRPr="000418A1">
        <w:rPr>
          <w:rFonts w:hint="cs"/>
          <w:b/>
          <w:bCs/>
          <w:sz w:val="20"/>
          <w:szCs w:val="20"/>
          <w:rtl/>
        </w:rPr>
        <w:t>סיכום</w:t>
      </w:r>
      <w:r>
        <w:rPr>
          <w:rFonts w:hint="cs"/>
          <w:sz w:val="20"/>
          <w:szCs w:val="20"/>
          <w:rtl/>
        </w:rPr>
        <w:t xml:space="preserve"> </w:t>
      </w:r>
      <w:r w:rsidRPr="007E05AA">
        <w:rPr>
          <w:rFonts w:hint="cs"/>
          <w:sz w:val="16"/>
          <w:szCs w:val="16"/>
          <w:rtl/>
        </w:rPr>
        <w:t>(מסעיף יב)</w:t>
      </w:r>
      <w:r>
        <w:rPr>
          <w:sz w:val="20"/>
          <w:szCs w:val="20"/>
          <w:rtl/>
        </w:rPr>
        <w:br/>
      </w:r>
      <w:r>
        <w:rPr>
          <w:rFonts w:hint="cs"/>
          <w:sz w:val="20"/>
          <w:szCs w:val="20"/>
          <w:rtl/>
        </w:rPr>
        <w:t xml:space="preserve">1. זיעה לחה אינה חוצצת </w:t>
      </w:r>
      <w:r w:rsidRPr="0040207D">
        <w:rPr>
          <w:rFonts w:hint="cs"/>
          <w:sz w:val="18"/>
          <w:szCs w:val="18"/>
          <w:rtl/>
        </w:rPr>
        <w:t>(</w:t>
      </w:r>
      <w:r w:rsidRPr="000418A1">
        <w:rPr>
          <w:rFonts w:hint="cs"/>
          <w:b/>
          <w:bCs/>
          <w:sz w:val="18"/>
          <w:szCs w:val="18"/>
          <w:rtl/>
        </w:rPr>
        <w:t>טעם</w:t>
      </w:r>
      <w:r w:rsidRPr="0040207D">
        <w:rPr>
          <w:rFonts w:hint="cs"/>
          <w:sz w:val="18"/>
          <w:szCs w:val="18"/>
          <w:rtl/>
        </w:rPr>
        <w:t xml:space="preserve">. </w:t>
      </w:r>
      <w:r w:rsidRPr="000418A1">
        <w:rPr>
          <w:rFonts w:hint="cs"/>
          <w:b/>
          <w:bCs/>
          <w:sz w:val="18"/>
          <w:szCs w:val="18"/>
          <w:rtl/>
        </w:rPr>
        <w:t>ב"ח</w:t>
      </w:r>
      <w:r w:rsidRPr="0040207D">
        <w:rPr>
          <w:rFonts w:hint="cs"/>
          <w:sz w:val="18"/>
          <w:szCs w:val="18"/>
          <w:rtl/>
        </w:rPr>
        <w:t xml:space="preserve">. </w:t>
      </w:r>
      <w:r>
        <w:rPr>
          <w:rFonts w:hint="cs"/>
          <w:sz w:val="18"/>
          <w:szCs w:val="18"/>
          <w:rtl/>
        </w:rPr>
        <w:t>המים נכנסים היטב</w:t>
      </w:r>
      <w:r w:rsidRPr="0040207D">
        <w:rPr>
          <w:rFonts w:hint="cs"/>
          <w:sz w:val="18"/>
          <w:szCs w:val="18"/>
          <w:rtl/>
        </w:rPr>
        <w:t xml:space="preserve">. </w:t>
      </w:r>
      <w:r w:rsidRPr="000418A1">
        <w:rPr>
          <w:rFonts w:hint="cs"/>
          <w:b/>
          <w:bCs/>
          <w:sz w:val="18"/>
          <w:szCs w:val="18"/>
          <w:rtl/>
        </w:rPr>
        <w:t>ששבה"ל</w:t>
      </w:r>
      <w:r w:rsidRPr="0040207D">
        <w:rPr>
          <w:rFonts w:hint="cs"/>
          <w:sz w:val="18"/>
          <w:szCs w:val="18"/>
          <w:rtl/>
        </w:rPr>
        <w:t>. אין מקפידים)</w:t>
      </w:r>
      <w:r>
        <w:rPr>
          <w:rFonts w:hint="cs"/>
          <w:sz w:val="20"/>
          <w:szCs w:val="20"/>
          <w:rtl/>
        </w:rPr>
        <w:t>, אם הגלידה חוצצת.</w:t>
      </w:r>
      <w:r>
        <w:rPr>
          <w:sz w:val="20"/>
          <w:szCs w:val="20"/>
          <w:rtl/>
        </w:rPr>
        <w:br/>
      </w:r>
      <w:r>
        <w:rPr>
          <w:rFonts w:hint="cs"/>
          <w:sz w:val="20"/>
          <w:szCs w:val="20"/>
          <w:rtl/>
        </w:rPr>
        <w:t xml:space="preserve">2. מלמולין </w:t>
      </w:r>
      <w:r w:rsidRPr="0040207D">
        <w:rPr>
          <w:rFonts w:hint="cs"/>
          <w:sz w:val="18"/>
          <w:szCs w:val="18"/>
          <w:rtl/>
        </w:rPr>
        <w:t xml:space="preserve">(חוטים הנופלים מידי האדם לאחר שלש עיסה ומשפשף ידיו) </w:t>
      </w:r>
      <w:r>
        <w:rPr>
          <w:rFonts w:hint="cs"/>
          <w:sz w:val="20"/>
          <w:szCs w:val="20"/>
          <w:rtl/>
        </w:rPr>
        <w:t>שעל הבשר חוצצים.</w:t>
      </w:r>
      <w:r>
        <w:rPr>
          <w:rFonts w:hint="cs"/>
          <w:sz w:val="20"/>
          <w:szCs w:val="20"/>
          <w:rtl/>
        </w:rPr>
        <w:br/>
        <w:t xml:space="preserve">3. טיט. </w:t>
      </w:r>
      <w:r w:rsidRPr="000418A1">
        <w:rPr>
          <w:rFonts w:hint="cs"/>
          <w:b/>
          <w:bCs/>
          <w:sz w:val="20"/>
          <w:szCs w:val="20"/>
          <w:rtl/>
        </w:rPr>
        <w:t>משנה</w:t>
      </w:r>
      <w:r>
        <w:rPr>
          <w:rFonts w:hint="cs"/>
          <w:sz w:val="20"/>
          <w:szCs w:val="20"/>
          <w:rtl/>
        </w:rPr>
        <w:t xml:space="preserve">. ג' סוגים חוצצים. מדוע לא נמנו מינים נוספים? </w:t>
      </w:r>
      <w:r w:rsidRPr="000418A1">
        <w:rPr>
          <w:rFonts w:hint="cs"/>
          <w:b/>
          <w:bCs/>
          <w:sz w:val="20"/>
          <w:szCs w:val="20"/>
          <w:rtl/>
        </w:rPr>
        <w:t>רמב"ם</w:t>
      </w:r>
      <w:r>
        <w:rPr>
          <w:rFonts w:hint="cs"/>
          <w:sz w:val="20"/>
          <w:szCs w:val="20"/>
          <w:rtl/>
        </w:rPr>
        <w:t xml:space="preserve">. הללו חמורים שחוצצים גם לחים, השאר חוצצים רק יבשים, וכ"פ </w:t>
      </w:r>
      <w:r w:rsidRPr="000418A1">
        <w:rPr>
          <w:rFonts w:hint="cs"/>
          <w:b/>
          <w:bCs/>
          <w:sz w:val="20"/>
          <w:szCs w:val="20"/>
          <w:rtl/>
        </w:rPr>
        <w:t>המחבר</w:t>
      </w:r>
      <w:r>
        <w:rPr>
          <w:rFonts w:hint="cs"/>
          <w:sz w:val="20"/>
          <w:szCs w:val="20"/>
          <w:rtl/>
        </w:rPr>
        <w:t xml:space="preserve">. </w:t>
      </w:r>
      <w:r w:rsidRPr="000418A1">
        <w:rPr>
          <w:rFonts w:hint="cs"/>
          <w:b/>
          <w:bCs/>
          <w:sz w:val="20"/>
          <w:szCs w:val="20"/>
          <w:rtl/>
        </w:rPr>
        <w:t>טור</w:t>
      </w:r>
      <w:r>
        <w:rPr>
          <w:rFonts w:hint="cs"/>
          <w:sz w:val="20"/>
          <w:szCs w:val="20"/>
          <w:rtl/>
        </w:rPr>
        <w:t>. הללו חמורים שחוצצים יבשים, השאר לא חוצצים אפילו יבשים.</w:t>
      </w:r>
      <w:r>
        <w:rPr>
          <w:sz w:val="20"/>
          <w:szCs w:val="20"/>
          <w:rtl/>
        </w:rPr>
        <w:br/>
      </w:r>
      <w:r>
        <w:rPr>
          <w:rFonts w:hint="cs"/>
          <w:sz w:val="20"/>
          <w:szCs w:val="20"/>
          <w:rtl/>
        </w:rPr>
        <w:t xml:space="preserve">4. </w:t>
      </w:r>
      <w:r w:rsidRPr="000418A1">
        <w:rPr>
          <w:rFonts w:hint="cs"/>
          <w:b/>
          <w:bCs/>
          <w:sz w:val="20"/>
          <w:szCs w:val="20"/>
          <w:rtl/>
        </w:rPr>
        <w:t>מחבר</w:t>
      </w:r>
      <w:r>
        <w:rPr>
          <w:rFonts w:hint="cs"/>
          <w:sz w:val="20"/>
          <w:szCs w:val="20"/>
          <w:rtl/>
        </w:rPr>
        <w:t xml:space="preserve">. ג' חוצצים תמיד, השאר רק כשיבשים. </w:t>
      </w:r>
      <w:r w:rsidRPr="000418A1">
        <w:rPr>
          <w:rFonts w:hint="cs"/>
          <w:b/>
          <w:bCs/>
          <w:sz w:val="20"/>
          <w:szCs w:val="20"/>
          <w:rtl/>
        </w:rPr>
        <w:t>ב"ח</w:t>
      </w:r>
      <w:r>
        <w:rPr>
          <w:rFonts w:hint="cs"/>
          <w:sz w:val="20"/>
          <w:szCs w:val="20"/>
          <w:rtl/>
        </w:rPr>
        <w:t>. יש להחמיר כיום בכל טיט לח, איננו בקיאים.</w:t>
      </w:r>
      <w:r>
        <w:rPr>
          <w:sz w:val="20"/>
          <w:szCs w:val="20"/>
          <w:rtl/>
        </w:rPr>
        <w:br/>
      </w:r>
      <w:r>
        <w:rPr>
          <w:rFonts w:hint="cs"/>
          <w:sz w:val="20"/>
          <w:szCs w:val="20"/>
          <w:rtl/>
        </w:rPr>
        <w:t xml:space="preserve">5. </w:t>
      </w:r>
      <w:r w:rsidRPr="000418A1">
        <w:rPr>
          <w:rFonts w:hint="cs"/>
          <w:b/>
          <w:bCs/>
          <w:sz w:val="20"/>
          <w:szCs w:val="20"/>
          <w:rtl/>
        </w:rPr>
        <w:t>רמ"א</w:t>
      </w:r>
      <w:r>
        <w:rPr>
          <w:rFonts w:hint="cs"/>
          <w:sz w:val="20"/>
          <w:szCs w:val="20"/>
          <w:rtl/>
        </w:rPr>
        <w:t xml:space="preserve">. טיט לח שאינו חוצץ מעיקה"ד אך מקפידה, חוצץ. </w:t>
      </w:r>
      <w:r w:rsidRPr="0040207D">
        <w:rPr>
          <w:rFonts w:hint="cs"/>
          <w:sz w:val="18"/>
          <w:szCs w:val="18"/>
          <w:rtl/>
        </w:rPr>
        <w:t>(</w:t>
      </w:r>
      <w:r w:rsidRPr="000418A1">
        <w:rPr>
          <w:rFonts w:hint="cs"/>
          <w:b/>
          <w:bCs/>
          <w:sz w:val="18"/>
          <w:szCs w:val="18"/>
          <w:rtl/>
        </w:rPr>
        <w:t>ערוה"ש</w:t>
      </w:r>
      <w:r w:rsidRPr="0040207D">
        <w:rPr>
          <w:rFonts w:hint="cs"/>
          <w:sz w:val="18"/>
          <w:szCs w:val="18"/>
          <w:rtl/>
        </w:rPr>
        <w:t xml:space="preserve">. </w:t>
      </w:r>
      <w:r w:rsidRPr="000418A1">
        <w:rPr>
          <w:rFonts w:hint="cs"/>
          <w:b/>
          <w:bCs/>
          <w:sz w:val="18"/>
          <w:szCs w:val="18"/>
          <w:rtl/>
        </w:rPr>
        <w:t>הרמ"א</w:t>
      </w:r>
      <w:r w:rsidRPr="0040207D">
        <w:rPr>
          <w:rFonts w:hint="cs"/>
          <w:sz w:val="18"/>
          <w:szCs w:val="18"/>
          <w:rtl/>
        </w:rPr>
        <w:t xml:space="preserve"> סובר שלאחר שנמחה מותיר רושם)</w:t>
      </w:r>
      <w:r w:rsidRPr="0040207D">
        <w:rPr>
          <w:rFonts w:hint="cs"/>
          <w:sz w:val="20"/>
          <w:szCs w:val="20"/>
          <w:rtl/>
        </w:rPr>
        <w:t>.</w:t>
      </w:r>
      <w:r>
        <w:rPr>
          <w:rFonts w:hint="cs"/>
          <w:sz w:val="18"/>
          <w:szCs w:val="18"/>
          <w:rtl/>
        </w:rPr>
        <w:br/>
      </w:r>
      <w:r w:rsidRPr="0040207D">
        <w:rPr>
          <w:rFonts w:hint="cs"/>
          <w:sz w:val="20"/>
          <w:szCs w:val="20"/>
          <w:rtl/>
        </w:rPr>
        <w:t xml:space="preserve">6. </w:t>
      </w:r>
      <w:r w:rsidRPr="00D51C94">
        <w:rPr>
          <w:rFonts w:hint="cs"/>
          <w:b/>
          <w:bCs/>
          <w:sz w:val="20"/>
          <w:szCs w:val="20"/>
          <w:rtl/>
        </w:rPr>
        <w:t>רמב"ם</w:t>
      </w:r>
      <w:r>
        <w:rPr>
          <w:rFonts w:hint="cs"/>
          <w:sz w:val="20"/>
          <w:szCs w:val="20"/>
          <w:rtl/>
        </w:rPr>
        <w:t>. כל השרפים חוצצים</w:t>
      </w:r>
      <w:r>
        <w:rPr>
          <w:rFonts w:hint="cs"/>
          <w:b/>
          <w:bCs/>
          <w:sz w:val="20"/>
          <w:szCs w:val="20"/>
          <w:rtl/>
        </w:rPr>
        <w:t xml:space="preserve"> </w:t>
      </w:r>
      <w:r>
        <w:rPr>
          <w:rFonts w:hint="cs"/>
          <w:sz w:val="20"/>
          <w:szCs w:val="20"/>
          <w:rtl/>
        </w:rPr>
        <w:t xml:space="preserve">אפילו לחים, למעט חלקם שחוצצים רק יבשים, וכ"פ </w:t>
      </w:r>
      <w:r w:rsidRPr="00D51C94">
        <w:rPr>
          <w:rFonts w:hint="cs"/>
          <w:b/>
          <w:bCs/>
          <w:sz w:val="20"/>
          <w:szCs w:val="20"/>
          <w:rtl/>
        </w:rPr>
        <w:t>המחבר</w:t>
      </w:r>
      <w:r>
        <w:rPr>
          <w:rFonts w:hint="cs"/>
          <w:sz w:val="20"/>
          <w:szCs w:val="20"/>
          <w:rtl/>
        </w:rPr>
        <w:t xml:space="preserve">. </w:t>
      </w:r>
      <w:r w:rsidRPr="00D51C94">
        <w:rPr>
          <w:rFonts w:hint="cs"/>
          <w:b/>
          <w:bCs/>
          <w:sz w:val="20"/>
          <w:szCs w:val="20"/>
          <w:rtl/>
        </w:rPr>
        <w:t>טור</w:t>
      </w:r>
      <w:r>
        <w:rPr>
          <w:rFonts w:hint="cs"/>
          <w:sz w:val="20"/>
          <w:szCs w:val="20"/>
          <w:rtl/>
        </w:rPr>
        <w:t>. כל השרפים אינם חוצצים אפילו יבשים, למעט חלקם שחוצצים רק יבשים.</w:t>
      </w:r>
      <w:r>
        <w:rPr>
          <w:b/>
          <w:bCs/>
          <w:sz w:val="20"/>
          <w:szCs w:val="20"/>
          <w:rtl/>
        </w:rPr>
        <w:br/>
      </w:r>
      <w:r>
        <w:rPr>
          <w:rFonts w:hint="cs"/>
          <w:sz w:val="20"/>
          <w:szCs w:val="20"/>
          <w:rtl/>
        </w:rPr>
        <w:t xml:space="preserve">7. </w:t>
      </w:r>
      <w:r w:rsidRPr="000418A1">
        <w:rPr>
          <w:rFonts w:hint="cs"/>
          <w:b/>
          <w:bCs/>
          <w:sz w:val="20"/>
          <w:szCs w:val="20"/>
          <w:rtl/>
        </w:rPr>
        <w:t>מחבר</w:t>
      </w:r>
      <w:r w:rsidRPr="0040207D">
        <w:rPr>
          <w:rFonts w:hint="cs"/>
          <w:sz w:val="20"/>
          <w:szCs w:val="20"/>
          <w:rtl/>
        </w:rPr>
        <w:t xml:space="preserve">. דיו, חלב, דבש ודם. וכן שרף תאנה, תות, חרוב ושקמה, חוצצים רק כשיבשים. שאר שרפים חוצצים אפילו לחים. </w:t>
      </w:r>
      <w:r w:rsidRPr="00D51C94">
        <w:rPr>
          <w:rFonts w:hint="cs"/>
          <w:b/>
          <w:bCs/>
          <w:sz w:val="20"/>
          <w:szCs w:val="20"/>
          <w:rtl/>
        </w:rPr>
        <w:t>חכמת אדם</w:t>
      </w:r>
      <w:r w:rsidRPr="0040207D">
        <w:rPr>
          <w:rFonts w:hint="cs"/>
          <w:sz w:val="20"/>
          <w:szCs w:val="20"/>
          <w:rtl/>
        </w:rPr>
        <w:t>. איננו בקיאים בשרפים אלו וכל שרף חוצץ אפילו לח.</w:t>
      </w:r>
      <w:r>
        <w:rPr>
          <w:rFonts w:hint="cs"/>
          <w:sz w:val="18"/>
          <w:szCs w:val="18"/>
          <w:rtl/>
        </w:rPr>
        <w:br/>
      </w:r>
      <w:r>
        <w:rPr>
          <w:rFonts w:hint="cs"/>
          <w:sz w:val="20"/>
          <w:szCs w:val="20"/>
          <w:rtl/>
        </w:rPr>
        <w:t>8</w:t>
      </w:r>
      <w:r w:rsidRPr="00B94E4B">
        <w:rPr>
          <w:rFonts w:hint="cs"/>
          <w:sz w:val="20"/>
          <w:szCs w:val="20"/>
          <w:rtl/>
        </w:rPr>
        <w:t>. דם שנסרך בבשר חוצץ.</w:t>
      </w:r>
      <w:r>
        <w:rPr>
          <w:rFonts w:hint="cs"/>
          <w:sz w:val="20"/>
          <w:szCs w:val="20"/>
          <w:rtl/>
        </w:rPr>
        <w:t xml:space="preserve"> הגדרת סריך. מתחיל להתייבש ולהידבק קצת. </w:t>
      </w:r>
      <w:r w:rsidRPr="00E679EB">
        <w:rPr>
          <w:rFonts w:hint="cs"/>
          <w:b/>
          <w:bCs/>
          <w:sz w:val="20"/>
          <w:szCs w:val="20"/>
          <w:rtl/>
        </w:rPr>
        <w:t>ש"ך</w:t>
      </w:r>
      <w:r>
        <w:rPr>
          <w:rFonts w:hint="cs"/>
          <w:sz w:val="20"/>
          <w:szCs w:val="20"/>
          <w:rtl/>
        </w:rPr>
        <w:t>. דם שהתבשל חוצץ אפילו לח.</w:t>
      </w:r>
    </w:p>
    <w:p w:rsidR="00620060" w:rsidRDefault="00620060" w:rsidP="00620060">
      <w:pPr>
        <w:rPr>
          <w:sz w:val="20"/>
          <w:szCs w:val="20"/>
          <w:rtl/>
        </w:rPr>
      </w:pPr>
      <w:r>
        <w:rPr>
          <w:sz w:val="18"/>
          <w:szCs w:val="18"/>
          <w:rtl/>
        </w:rPr>
        <w:br/>
      </w:r>
      <w:r w:rsidRPr="00BF353C">
        <w:rPr>
          <w:rFonts w:hint="cs"/>
          <w:b/>
          <w:bCs/>
          <w:sz w:val="20"/>
          <w:szCs w:val="20"/>
          <w:rtl/>
        </w:rPr>
        <w:t xml:space="preserve">סעיף יז </w:t>
      </w:r>
      <w:r w:rsidRPr="00BF353C">
        <w:rPr>
          <w:b/>
          <w:bCs/>
          <w:sz w:val="20"/>
          <w:szCs w:val="20"/>
          <w:rtl/>
        </w:rPr>
        <w:t>–</w:t>
      </w:r>
      <w:r w:rsidRPr="00BF353C">
        <w:rPr>
          <w:rFonts w:hint="cs"/>
          <w:b/>
          <w:bCs/>
          <w:sz w:val="20"/>
          <w:szCs w:val="20"/>
          <w:rtl/>
        </w:rPr>
        <w:t xml:space="preserve"> צבע על הגוף ועל השער</w:t>
      </w:r>
      <w:r>
        <w:rPr>
          <w:b/>
          <w:bCs/>
          <w:sz w:val="20"/>
          <w:szCs w:val="20"/>
          <w:rtl/>
        </w:rPr>
        <w:br/>
      </w:r>
      <w:r>
        <w:rPr>
          <w:rFonts w:hint="cs"/>
          <w:b/>
          <w:bCs/>
          <w:sz w:val="20"/>
          <w:szCs w:val="20"/>
          <w:rtl/>
        </w:rPr>
        <w:t>מקור הדין</w:t>
      </w:r>
      <w:r>
        <w:rPr>
          <w:rFonts w:hint="cs"/>
          <w:b/>
          <w:bCs/>
          <w:sz w:val="20"/>
          <w:szCs w:val="20"/>
          <w:rtl/>
        </w:rPr>
        <w:br/>
        <w:t xml:space="preserve">רשב"א ורא"ש </w:t>
      </w:r>
      <w:r>
        <w:rPr>
          <w:sz w:val="20"/>
          <w:szCs w:val="20"/>
          <w:rtl/>
        </w:rPr>
        <w:t>–</w:t>
      </w:r>
      <w:r>
        <w:rPr>
          <w:rFonts w:hint="cs"/>
          <w:sz w:val="20"/>
          <w:szCs w:val="20"/>
          <w:rtl/>
        </w:rPr>
        <w:t xml:space="preserve"> צבע שצובעות בו הנשים את גופן או שערן אינו חוצץ.</w:t>
      </w:r>
    </w:p>
    <w:p w:rsidR="00620060" w:rsidRDefault="00620060" w:rsidP="00620060">
      <w:pPr>
        <w:rPr>
          <w:sz w:val="20"/>
          <w:szCs w:val="20"/>
          <w:rtl/>
        </w:rPr>
      </w:pPr>
      <w:r w:rsidRPr="00F55B12">
        <w:rPr>
          <w:rFonts w:hint="cs"/>
          <w:b/>
          <w:bCs/>
          <w:sz w:val="20"/>
          <w:szCs w:val="20"/>
          <w:rtl/>
        </w:rPr>
        <w:t>טעמי ההיתר</w:t>
      </w:r>
      <w:r>
        <w:rPr>
          <w:sz w:val="20"/>
          <w:szCs w:val="20"/>
          <w:u w:val="single"/>
          <w:rtl/>
        </w:rPr>
        <w:br/>
      </w:r>
      <w:r>
        <w:rPr>
          <w:rFonts w:hint="cs"/>
          <w:sz w:val="20"/>
          <w:szCs w:val="20"/>
          <w:rtl/>
        </w:rPr>
        <w:t>א. הצבע הוא נוי להן ואינן מקפידות עליו.</w:t>
      </w:r>
      <w:r>
        <w:rPr>
          <w:sz w:val="20"/>
          <w:szCs w:val="20"/>
          <w:rtl/>
        </w:rPr>
        <w:br/>
      </w:r>
      <w:r>
        <w:rPr>
          <w:rFonts w:hint="cs"/>
          <w:sz w:val="20"/>
          <w:szCs w:val="20"/>
          <w:rtl/>
        </w:rPr>
        <w:t>ב. אין בצבע ממש אלא מראה בלבד.</w:t>
      </w:r>
      <w:r>
        <w:rPr>
          <w:rStyle w:val="a5"/>
          <w:sz w:val="20"/>
          <w:szCs w:val="20"/>
          <w:rtl/>
        </w:rPr>
        <w:footnoteReference w:id="623"/>
      </w:r>
      <w:r>
        <w:rPr>
          <w:rFonts w:hint="cs"/>
          <w:sz w:val="20"/>
          <w:szCs w:val="20"/>
          <w:rtl/>
        </w:rPr>
        <w:t xml:space="preserve"> </w:t>
      </w:r>
      <w:r>
        <w:rPr>
          <w:rStyle w:val="a5"/>
          <w:sz w:val="20"/>
          <w:szCs w:val="20"/>
          <w:rtl/>
        </w:rPr>
        <w:footnoteReference w:id="624"/>
      </w:r>
      <w:r>
        <w:rPr>
          <w:rFonts w:hint="cs"/>
          <w:sz w:val="20"/>
          <w:szCs w:val="20"/>
          <w:rtl/>
        </w:rPr>
        <w:br/>
        <w:t>ג. אפילו אם הצבע חופה את רוב שער הראש, אין זה רובו שאינו מקפיד עליו שחוצץ.</w:t>
      </w:r>
      <w:r>
        <w:rPr>
          <w:sz w:val="20"/>
          <w:szCs w:val="20"/>
          <w:rtl/>
        </w:rPr>
        <w:br/>
      </w:r>
      <w:r w:rsidRPr="00FD55ED">
        <w:rPr>
          <w:rFonts w:hint="cs"/>
          <w:b/>
          <w:bCs/>
          <w:sz w:val="20"/>
          <w:szCs w:val="20"/>
          <w:rtl/>
        </w:rPr>
        <w:t xml:space="preserve">טעם </w:t>
      </w:r>
      <w:r>
        <w:rPr>
          <w:sz w:val="20"/>
          <w:szCs w:val="20"/>
          <w:rtl/>
        </w:rPr>
        <w:t>–</w:t>
      </w:r>
      <w:r>
        <w:rPr>
          <w:rFonts w:hint="cs"/>
          <w:sz w:val="20"/>
          <w:szCs w:val="20"/>
          <w:rtl/>
        </w:rPr>
        <w:t xml:space="preserve"> צבע זה הוא כאילו חלק מהגוף עצמו, כמו בגד צבוע שאין הצבע דבר חיצוני אלא חלק מהבגד עצמו.</w:t>
      </w:r>
      <w:r>
        <w:rPr>
          <w:sz w:val="20"/>
          <w:szCs w:val="20"/>
          <w:rtl/>
        </w:rPr>
        <w:br/>
      </w:r>
      <w:r w:rsidRPr="00FD55ED">
        <w:rPr>
          <w:rFonts w:hint="cs"/>
          <w:b/>
          <w:bCs/>
          <w:sz w:val="20"/>
          <w:szCs w:val="20"/>
          <w:rtl/>
        </w:rPr>
        <w:t>ראיה</w:t>
      </w:r>
      <w:r>
        <w:rPr>
          <w:rFonts w:hint="cs"/>
          <w:sz w:val="20"/>
          <w:szCs w:val="20"/>
          <w:rtl/>
        </w:rPr>
        <w:t xml:space="preserve"> </w:t>
      </w:r>
      <w:r>
        <w:rPr>
          <w:sz w:val="20"/>
          <w:szCs w:val="20"/>
          <w:rtl/>
        </w:rPr>
        <w:t>–</w:t>
      </w:r>
      <w:r>
        <w:rPr>
          <w:rFonts w:hint="cs"/>
          <w:sz w:val="20"/>
          <w:szCs w:val="20"/>
          <w:rtl/>
        </w:rPr>
        <w:t xml:space="preserve"> מצינו שהטבילו את הפרוכת שהיתה במקדש אע"פ שהיתה צבועה.</w:t>
      </w:r>
    </w:p>
    <w:p w:rsidR="00620060" w:rsidRDefault="00620060" w:rsidP="00620060">
      <w:pPr>
        <w:rPr>
          <w:sz w:val="20"/>
          <w:szCs w:val="20"/>
          <w:rtl/>
        </w:rPr>
      </w:pPr>
      <w:r>
        <w:rPr>
          <w:rFonts w:hint="cs"/>
          <w:b/>
          <w:bCs/>
          <w:sz w:val="20"/>
          <w:szCs w:val="20"/>
          <w:rtl/>
        </w:rPr>
        <w:t>אשה צבעית</w:t>
      </w:r>
      <w:r>
        <w:rPr>
          <w:b/>
          <w:bCs/>
          <w:sz w:val="20"/>
          <w:szCs w:val="20"/>
          <w:rtl/>
        </w:rPr>
        <w:br/>
      </w:r>
      <w:r>
        <w:rPr>
          <w:rFonts w:hint="cs"/>
          <w:b/>
          <w:bCs/>
          <w:sz w:val="20"/>
          <w:szCs w:val="20"/>
          <w:rtl/>
        </w:rPr>
        <w:t xml:space="preserve">רשב"א ורא"ש </w:t>
      </w:r>
      <w:r>
        <w:rPr>
          <w:sz w:val="20"/>
          <w:szCs w:val="20"/>
          <w:rtl/>
        </w:rPr>
        <w:t>–</w:t>
      </w:r>
      <w:r>
        <w:rPr>
          <w:rFonts w:hint="cs"/>
          <w:sz w:val="20"/>
          <w:szCs w:val="20"/>
          <w:rtl/>
        </w:rPr>
        <w:t xml:space="preserve"> אשה שדרכה לצבוע ונמצא צבע על גופה, אינו חוצץ.</w:t>
      </w:r>
      <w:r>
        <w:rPr>
          <w:sz w:val="20"/>
          <w:szCs w:val="20"/>
          <w:rtl/>
        </w:rPr>
        <w:br/>
      </w:r>
      <w:r w:rsidRPr="00450F88">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כיוון שדרכה בכך אינה מקפידה.</w:t>
      </w:r>
      <w:r>
        <w:rPr>
          <w:sz w:val="20"/>
          <w:szCs w:val="20"/>
          <w:rtl/>
        </w:rPr>
        <w:br/>
      </w:r>
      <w:r w:rsidRPr="00450F88">
        <w:rPr>
          <w:rFonts w:hint="cs"/>
          <w:b/>
          <w:bCs/>
          <w:sz w:val="20"/>
          <w:szCs w:val="20"/>
          <w:rtl/>
        </w:rPr>
        <w:t>ראיה</w:t>
      </w:r>
      <w:r>
        <w:rPr>
          <w:rFonts w:hint="cs"/>
          <w:sz w:val="20"/>
          <w:szCs w:val="20"/>
          <w:rtl/>
        </w:rPr>
        <w:t xml:space="preserve"> </w:t>
      </w:r>
      <w:r>
        <w:rPr>
          <w:sz w:val="20"/>
          <w:szCs w:val="20"/>
          <w:rtl/>
        </w:rPr>
        <w:t>–</w:t>
      </w:r>
      <w:r>
        <w:rPr>
          <w:rFonts w:hint="cs"/>
          <w:sz w:val="20"/>
          <w:szCs w:val="20"/>
          <w:rtl/>
        </w:rPr>
        <w:t xml:space="preserve"> גמרא זבחים (צח:) "</w:t>
      </w:r>
      <w:r w:rsidRPr="00450F88">
        <w:rPr>
          <w:rFonts w:cs="Arial"/>
          <w:sz w:val="20"/>
          <w:szCs w:val="20"/>
          <w:rtl/>
        </w:rPr>
        <w:t>דם על בגדו חוצץ, ואם טבח הוא - אינו חוצץ, רבב על בגדו חוצץ, ואם מוכר רבב הוא - אינו חוצץ</w:t>
      </w:r>
      <w:r>
        <w:rPr>
          <w:rFonts w:cs="Arial" w:hint="cs"/>
          <w:sz w:val="20"/>
          <w:szCs w:val="20"/>
          <w:rtl/>
        </w:rPr>
        <w:t>".</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450F88">
        <w:rPr>
          <w:rFonts w:cs="Arial"/>
          <w:sz w:val="20"/>
          <w:szCs w:val="20"/>
          <w:rtl/>
        </w:rPr>
        <w:t xml:space="preserve">צבע שצובעות הנשים על פניהן וידיהן ושער ראשן, אינו חוצץ. וכן מי שהוא צבע וידיו צבועות, אינו חוצץ. </w:t>
      </w:r>
      <w:r w:rsidRPr="00450F88">
        <w:rPr>
          <w:rFonts w:cs="Arial"/>
          <w:sz w:val="18"/>
          <w:szCs w:val="18"/>
          <w:rtl/>
        </w:rPr>
        <w:t>הגה: וכן מי שאומנתו להיות שוחט או קצב וידיו תמיד מלוכלכות בדם, אינו חוצץ, שרוב בני אומנות זו אינן מקפידים</w:t>
      </w:r>
      <w:r>
        <w:rPr>
          <w:rFonts w:cs="Arial" w:hint="cs"/>
          <w:sz w:val="20"/>
          <w:szCs w:val="20"/>
          <w:rtl/>
        </w:rPr>
        <w:t>".</w:t>
      </w:r>
    </w:p>
    <w:p w:rsidR="00620060" w:rsidRDefault="00620060" w:rsidP="00620060">
      <w:pPr>
        <w:rPr>
          <w:sz w:val="20"/>
          <w:szCs w:val="20"/>
          <w:rtl/>
        </w:rPr>
      </w:pPr>
      <w:r>
        <w:rPr>
          <w:rFonts w:hint="cs"/>
          <w:sz w:val="20"/>
          <w:szCs w:val="20"/>
          <w:u w:val="single"/>
          <w:rtl/>
        </w:rPr>
        <w:t>התפחמו ידיה</w:t>
      </w:r>
      <w:r>
        <w:rPr>
          <w:sz w:val="20"/>
          <w:szCs w:val="20"/>
          <w:u w:val="single"/>
          <w:rtl/>
        </w:rPr>
        <w:br/>
      </w:r>
      <w:r w:rsidRPr="007E14A0">
        <w:rPr>
          <w:rFonts w:hint="cs"/>
          <w:b/>
          <w:bCs/>
          <w:sz w:val="20"/>
          <w:szCs w:val="20"/>
          <w:rtl/>
        </w:rPr>
        <w:t>רוקח</w:t>
      </w:r>
      <w:r>
        <w:rPr>
          <w:rFonts w:hint="cs"/>
          <w:sz w:val="20"/>
          <w:szCs w:val="20"/>
          <w:rtl/>
        </w:rPr>
        <w:t xml:space="preserve"> </w:t>
      </w:r>
      <w:r w:rsidRPr="007E14A0">
        <w:rPr>
          <w:rFonts w:hint="cs"/>
          <w:sz w:val="18"/>
          <w:szCs w:val="18"/>
          <w:rtl/>
        </w:rPr>
        <w:t xml:space="preserve">(הו"ד </w:t>
      </w:r>
      <w:r w:rsidRPr="007E14A0">
        <w:rPr>
          <w:rFonts w:hint="cs"/>
          <w:b/>
          <w:bCs/>
          <w:sz w:val="18"/>
          <w:szCs w:val="18"/>
          <w:rtl/>
        </w:rPr>
        <w:t>בב"י</w:t>
      </w:r>
      <w:r w:rsidRPr="007E14A0">
        <w:rPr>
          <w:rFonts w:hint="cs"/>
          <w:sz w:val="18"/>
          <w:szCs w:val="18"/>
          <w:rtl/>
        </w:rPr>
        <w:t xml:space="preserve">) </w:t>
      </w:r>
      <w:r>
        <w:rPr>
          <w:sz w:val="20"/>
          <w:szCs w:val="20"/>
          <w:rtl/>
        </w:rPr>
        <w:t>–</w:t>
      </w:r>
      <w:r>
        <w:rPr>
          <w:rFonts w:hint="cs"/>
          <w:sz w:val="20"/>
          <w:szCs w:val="20"/>
          <w:rtl/>
        </w:rPr>
        <w:t xml:space="preserve"> "</w:t>
      </w:r>
      <w:r w:rsidRPr="007E14A0">
        <w:rPr>
          <w:rFonts w:cs="Arial"/>
          <w:sz w:val="20"/>
          <w:szCs w:val="20"/>
          <w:rtl/>
        </w:rPr>
        <w:t>אם אשה נגעה ביורה או בקדרה ונתפחמה בבשר מעט</w:t>
      </w:r>
      <w:r>
        <w:rPr>
          <w:rFonts w:cs="Arial" w:hint="cs"/>
          <w:sz w:val="20"/>
          <w:szCs w:val="20"/>
          <w:rtl/>
        </w:rPr>
        <w:t>,</w:t>
      </w:r>
      <w:r w:rsidRPr="007E14A0">
        <w:rPr>
          <w:rFonts w:cs="Arial"/>
          <w:sz w:val="20"/>
          <w:szCs w:val="20"/>
          <w:rtl/>
        </w:rPr>
        <w:t xml:space="preserve"> זה אינו קפידא אף על פי שמעט נדבק בבשר</w:t>
      </w:r>
      <w:r>
        <w:rPr>
          <w:rFonts w:cs="Arial" w:hint="cs"/>
          <w:sz w:val="20"/>
          <w:szCs w:val="20"/>
          <w:rtl/>
        </w:rPr>
        <w:t>".</w:t>
      </w:r>
      <w:r>
        <w:rPr>
          <w:rFonts w:hint="cs"/>
          <w:sz w:val="20"/>
          <w:szCs w:val="20"/>
          <w:rtl/>
        </w:rPr>
        <w:br/>
        <w:t xml:space="preserve">מוסיף </w:t>
      </w:r>
      <w:r w:rsidRPr="009B0674">
        <w:rPr>
          <w:rFonts w:hint="cs"/>
          <w:b/>
          <w:bCs/>
          <w:sz w:val="20"/>
          <w:szCs w:val="20"/>
          <w:rtl/>
        </w:rPr>
        <w:t>הט"ז</w:t>
      </w:r>
      <w:r>
        <w:rPr>
          <w:rFonts w:hint="cs"/>
          <w:sz w:val="20"/>
          <w:szCs w:val="20"/>
          <w:rtl/>
        </w:rPr>
        <w:t xml:space="preserve"> </w:t>
      </w:r>
      <w:r>
        <w:rPr>
          <w:sz w:val="20"/>
          <w:szCs w:val="20"/>
          <w:rtl/>
        </w:rPr>
        <w:t>–</w:t>
      </w:r>
      <w:r>
        <w:rPr>
          <w:rFonts w:hint="cs"/>
          <w:sz w:val="20"/>
          <w:szCs w:val="20"/>
          <w:rtl/>
        </w:rPr>
        <w:t xml:space="preserve"> לפי זה הורתי להיתר באשה שלאחר טבילתה מצאה מעט שחרורית על גופה מחמת כותלי המרחץ שהיו שחורים. והוראה זו נלמדת בקל וחומר מכאן, שהרי ידיה צריכות להיות נקיות יותר מגופה</w:t>
      </w:r>
      <w:r>
        <w:rPr>
          <w:rStyle w:val="a5"/>
          <w:sz w:val="20"/>
          <w:szCs w:val="20"/>
          <w:rtl/>
        </w:rPr>
        <w:footnoteReference w:id="625"/>
      </w:r>
      <w:r>
        <w:rPr>
          <w:rFonts w:hint="cs"/>
          <w:sz w:val="20"/>
          <w:szCs w:val="20"/>
          <w:rtl/>
        </w:rPr>
        <w:t>.</w:t>
      </w:r>
    </w:p>
    <w:p w:rsidR="00620060" w:rsidRPr="009B0674" w:rsidRDefault="00620060" w:rsidP="00620060">
      <w:pPr>
        <w:rPr>
          <w:sz w:val="20"/>
          <w:szCs w:val="20"/>
        </w:rPr>
      </w:pPr>
      <w:r>
        <w:rPr>
          <w:rFonts w:hint="cs"/>
          <w:b/>
          <w:bCs/>
          <w:sz w:val="20"/>
          <w:szCs w:val="20"/>
          <w:rtl/>
        </w:rPr>
        <w:lastRenderedPageBreak/>
        <w:t>סיכום</w:t>
      </w:r>
      <w:r>
        <w:rPr>
          <w:b/>
          <w:bCs/>
          <w:sz w:val="20"/>
          <w:szCs w:val="20"/>
          <w:rtl/>
        </w:rPr>
        <w:br/>
      </w:r>
      <w:r>
        <w:rPr>
          <w:rFonts w:hint="cs"/>
          <w:sz w:val="20"/>
          <w:szCs w:val="20"/>
          <w:rtl/>
        </w:rPr>
        <w:t xml:space="preserve">1. איפור אינו חוצץ. </w:t>
      </w:r>
      <w:r w:rsidRPr="009B0674">
        <w:rPr>
          <w:rFonts w:hint="cs"/>
          <w:b/>
          <w:bCs/>
          <w:sz w:val="20"/>
          <w:szCs w:val="20"/>
          <w:rtl/>
        </w:rPr>
        <w:t>טעמים</w:t>
      </w:r>
      <w:r>
        <w:rPr>
          <w:rFonts w:hint="cs"/>
          <w:sz w:val="20"/>
          <w:szCs w:val="20"/>
          <w:rtl/>
        </w:rPr>
        <w:t xml:space="preserve">. נוי. אין בו ממש. שיער צבוע אינו חוצץ אפילו ברובו. </w:t>
      </w:r>
      <w:r w:rsidRPr="009B0674">
        <w:rPr>
          <w:rFonts w:hint="cs"/>
          <w:b/>
          <w:bCs/>
          <w:sz w:val="20"/>
          <w:szCs w:val="20"/>
          <w:rtl/>
        </w:rPr>
        <w:t>טעם</w:t>
      </w:r>
      <w:r>
        <w:rPr>
          <w:rFonts w:hint="cs"/>
          <w:sz w:val="20"/>
          <w:szCs w:val="20"/>
          <w:rtl/>
        </w:rPr>
        <w:t>. הוי כגוף השער.</w:t>
      </w:r>
      <w:r>
        <w:rPr>
          <w:rFonts w:hint="cs"/>
          <w:sz w:val="20"/>
          <w:szCs w:val="20"/>
          <w:rtl/>
        </w:rPr>
        <w:br/>
        <w:t xml:space="preserve">2. אשה צבעית שנמצא מעט צבע על בשרה, אינו חוצץ. </w:t>
      </w:r>
      <w:r w:rsidRPr="00F55B12">
        <w:rPr>
          <w:rFonts w:hint="cs"/>
          <w:b/>
          <w:bCs/>
          <w:sz w:val="20"/>
          <w:szCs w:val="20"/>
          <w:rtl/>
        </w:rPr>
        <w:t>טעם</w:t>
      </w:r>
      <w:r>
        <w:rPr>
          <w:rFonts w:hint="cs"/>
          <w:sz w:val="20"/>
          <w:szCs w:val="20"/>
          <w:rtl/>
        </w:rPr>
        <w:t>. אינה מקפידה.</w:t>
      </w:r>
      <w:r>
        <w:rPr>
          <w:sz w:val="20"/>
          <w:szCs w:val="20"/>
          <w:rtl/>
        </w:rPr>
        <w:br/>
      </w:r>
      <w:r>
        <w:rPr>
          <w:rFonts w:hint="cs"/>
          <w:sz w:val="20"/>
          <w:szCs w:val="20"/>
          <w:rtl/>
        </w:rPr>
        <w:t xml:space="preserve">3. </w:t>
      </w:r>
      <w:r w:rsidRPr="009B0674">
        <w:rPr>
          <w:rFonts w:hint="cs"/>
          <w:b/>
          <w:bCs/>
          <w:sz w:val="20"/>
          <w:szCs w:val="20"/>
          <w:rtl/>
        </w:rPr>
        <w:t>רוקח</w:t>
      </w:r>
      <w:r>
        <w:rPr>
          <w:rFonts w:hint="cs"/>
          <w:sz w:val="20"/>
          <w:szCs w:val="20"/>
          <w:rtl/>
        </w:rPr>
        <w:t xml:space="preserve">. אם התפחמו ידיה מעט אינה מקפידה ואינו חוצץ. </w:t>
      </w:r>
      <w:r w:rsidRPr="009B0674">
        <w:rPr>
          <w:rFonts w:hint="cs"/>
          <w:b/>
          <w:bCs/>
          <w:sz w:val="20"/>
          <w:szCs w:val="20"/>
          <w:rtl/>
        </w:rPr>
        <w:t>ט"ז</w:t>
      </w:r>
      <w:r>
        <w:rPr>
          <w:rFonts w:hint="cs"/>
          <w:sz w:val="20"/>
          <w:szCs w:val="20"/>
          <w:rtl/>
        </w:rPr>
        <w:t>. הוא הדין לשאר מקומות שבגופה.</w:t>
      </w:r>
    </w:p>
    <w:p w:rsidR="00620060" w:rsidRDefault="00620060" w:rsidP="00620060">
      <w:pPr>
        <w:rPr>
          <w:sz w:val="20"/>
          <w:szCs w:val="20"/>
          <w:rtl/>
        </w:rPr>
      </w:pPr>
      <w:r w:rsidRPr="0073301A">
        <w:rPr>
          <w:sz w:val="20"/>
          <w:szCs w:val="20"/>
          <w:rtl/>
        </w:rPr>
        <w:br/>
      </w:r>
      <w:r w:rsidRPr="0073301A">
        <w:rPr>
          <w:rFonts w:hint="cs"/>
          <w:b/>
          <w:bCs/>
          <w:sz w:val="20"/>
          <w:szCs w:val="20"/>
          <w:rtl/>
        </w:rPr>
        <w:t xml:space="preserve">סעיף יח </w:t>
      </w:r>
      <w:r w:rsidRPr="0073301A">
        <w:rPr>
          <w:b/>
          <w:bCs/>
          <w:sz w:val="20"/>
          <w:szCs w:val="20"/>
          <w:rtl/>
        </w:rPr>
        <w:t>–</w:t>
      </w:r>
      <w:r w:rsidRPr="0073301A">
        <w:rPr>
          <w:rFonts w:hint="cs"/>
          <w:b/>
          <w:bCs/>
          <w:sz w:val="20"/>
          <w:szCs w:val="20"/>
          <w:rtl/>
        </w:rPr>
        <w:t xml:space="preserve"> לכלוך שתחת הציפורן</w:t>
      </w:r>
      <w:r>
        <w:rPr>
          <w:b/>
          <w:bCs/>
          <w:sz w:val="20"/>
          <w:szCs w:val="20"/>
          <w:rtl/>
        </w:rPr>
        <w:br/>
      </w:r>
      <w:r>
        <w:rPr>
          <w:rFonts w:hint="cs"/>
          <w:b/>
          <w:bCs/>
          <w:sz w:val="20"/>
          <w:szCs w:val="20"/>
          <w:rtl/>
        </w:rPr>
        <w:t>מקורות הדין</w:t>
      </w:r>
      <w:r>
        <w:rPr>
          <w:b/>
          <w:bCs/>
          <w:sz w:val="20"/>
          <w:szCs w:val="20"/>
          <w:rtl/>
        </w:rPr>
        <w:br/>
      </w:r>
      <w:r>
        <w:rPr>
          <w:rFonts w:hint="cs"/>
          <w:sz w:val="20"/>
          <w:szCs w:val="20"/>
          <w:rtl/>
        </w:rPr>
        <w:t xml:space="preserve">א. </w:t>
      </w:r>
      <w:r w:rsidRPr="0073301A">
        <w:rPr>
          <w:rFonts w:hint="cs"/>
          <w:b/>
          <w:bCs/>
          <w:sz w:val="20"/>
          <w:szCs w:val="20"/>
          <w:rtl/>
        </w:rPr>
        <w:t>משנה</w:t>
      </w:r>
      <w:r>
        <w:rPr>
          <w:rFonts w:hint="cs"/>
          <w:sz w:val="20"/>
          <w:szCs w:val="20"/>
          <w:rtl/>
        </w:rPr>
        <w:t xml:space="preserve"> מקואות (ט, א </w:t>
      </w:r>
      <w:r>
        <w:rPr>
          <w:sz w:val="20"/>
          <w:szCs w:val="20"/>
          <w:rtl/>
        </w:rPr>
        <w:t>–</w:t>
      </w:r>
      <w:r>
        <w:rPr>
          <w:rFonts w:hint="cs"/>
          <w:sz w:val="20"/>
          <w:szCs w:val="20"/>
          <w:rtl/>
        </w:rPr>
        <w:t xml:space="preserve"> ד) "</w:t>
      </w:r>
      <w:r>
        <w:rPr>
          <w:rFonts w:cs="Arial"/>
          <w:sz w:val="20"/>
          <w:szCs w:val="20"/>
          <w:rtl/>
        </w:rPr>
        <w:t>אלו חוצצין באדם</w:t>
      </w:r>
      <w:r>
        <w:rPr>
          <w:rFonts w:cs="Arial" w:hint="cs"/>
          <w:sz w:val="20"/>
          <w:szCs w:val="20"/>
          <w:rtl/>
        </w:rPr>
        <w:t xml:space="preserve">:... </w:t>
      </w:r>
      <w:r>
        <w:rPr>
          <w:rFonts w:cs="Arial"/>
          <w:sz w:val="20"/>
          <w:szCs w:val="20"/>
          <w:rtl/>
        </w:rPr>
        <w:t>בצק שתחת הצ</w:t>
      </w:r>
      <w:r>
        <w:rPr>
          <w:rFonts w:cs="Arial" w:hint="cs"/>
          <w:sz w:val="20"/>
          <w:szCs w:val="20"/>
          <w:rtl/>
        </w:rPr>
        <w:t>י</w:t>
      </w:r>
      <w:r>
        <w:rPr>
          <w:rFonts w:cs="Arial"/>
          <w:sz w:val="20"/>
          <w:szCs w:val="20"/>
          <w:rtl/>
        </w:rPr>
        <w:t>פורן</w:t>
      </w:r>
      <w:r>
        <w:rPr>
          <w:rFonts w:cs="Arial" w:hint="cs"/>
          <w:sz w:val="20"/>
          <w:szCs w:val="20"/>
          <w:rtl/>
        </w:rPr>
        <w:t xml:space="preserve">... </w:t>
      </w:r>
      <w:r>
        <w:rPr>
          <w:rFonts w:cs="Arial"/>
          <w:sz w:val="20"/>
          <w:szCs w:val="20"/>
          <w:rtl/>
        </w:rPr>
        <w:t>אלו שאין חוצצין</w:t>
      </w:r>
      <w:r>
        <w:rPr>
          <w:rFonts w:cs="Arial" w:hint="cs"/>
          <w:sz w:val="20"/>
          <w:szCs w:val="20"/>
          <w:rtl/>
        </w:rPr>
        <w:t xml:space="preserve">:... </w:t>
      </w:r>
      <w:r w:rsidRPr="0073301A">
        <w:rPr>
          <w:rFonts w:cs="Arial"/>
          <w:sz w:val="20"/>
          <w:szCs w:val="20"/>
          <w:rtl/>
        </w:rPr>
        <w:t>וצואה שתחת הצ</w:t>
      </w:r>
      <w:r>
        <w:rPr>
          <w:rFonts w:cs="Arial" w:hint="cs"/>
          <w:sz w:val="20"/>
          <w:szCs w:val="20"/>
          <w:rtl/>
        </w:rPr>
        <w:t>י</w:t>
      </w:r>
      <w:r w:rsidRPr="0073301A">
        <w:rPr>
          <w:rFonts w:cs="Arial"/>
          <w:sz w:val="20"/>
          <w:szCs w:val="20"/>
          <w:rtl/>
        </w:rPr>
        <w:t>פורן</w:t>
      </w:r>
      <w:r>
        <w:rPr>
          <w:rFonts w:hint="cs"/>
          <w:sz w:val="20"/>
          <w:szCs w:val="20"/>
          <w:rtl/>
        </w:rPr>
        <w:t>".</w:t>
      </w:r>
      <w:r>
        <w:rPr>
          <w:sz w:val="20"/>
          <w:szCs w:val="20"/>
          <w:rtl/>
        </w:rPr>
        <w:br/>
      </w:r>
      <w:r>
        <w:rPr>
          <w:rFonts w:hint="cs"/>
          <w:sz w:val="20"/>
          <w:szCs w:val="20"/>
          <w:rtl/>
        </w:rPr>
        <w:t xml:space="preserve">ב. </w:t>
      </w:r>
      <w:r w:rsidRPr="0073301A">
        <w:rPr>
          <w:rFonts w:hint="cs"/>
          <w:b/>
          <w:bCs/>
          <w:sz w:val="20"/>
          <w:szCs w:val="20"/>
          <w:rtl/>
        </w:rPr>
        <w:t>תוספתא</w:t>
      </w:r>
      <w:r>
        <w:rPr>
          <w:rFonts w:hint="cs"/>
          <w:sz w:val="20"/>
          <w:szCs w:val="20"/>
          <w:rtl/>
        </w:rPr>
        <w:t xml:space="preserve"> מקוואות (ו, י) "</w:t>
      </w:r>
      <w:r w:rsidRPr="0073301A">
        <w:rPr>
          <w:rFonts w:cs="Arial"/>
          <w:sz w:val="20"/>
          <w:szCs w:val="20"/>
          <w:rtl/>
        </w:rPr>
        <w:t>צואה שתחת הצ</w:t>
      </w:r>
      <w:r>
        <w:rPr>
          <w:rFonts w:cs="Arial" w:hint="cs"/>
          <w:sz w:val="20"/>
          <w:szCs w:val="20"/>
          <w:rtl/>
        </w:rPr>
        <w:t>י</w:t>
      </w:r>
      <w:r w:rsidRPr="0073301A">
        <w:rPr>
          <w:rFonts w:cs="Arial"/>
          <w:sz w:val="20"/>
          <w:szCs w:val="20"/>
          <w:rtl/>
        </w:rPr>
        <w:t>פורן שלא כנגד הבשר</w:t>
      </w:r>
      <w:r>
        <w:rPr>
          <w:rFonts w:cs="Arial" w:hint="cs"/>
          <w:sz w:val="20"/>
          <w:szCs w:val="20"/>
          <w:rtl/>
        </w:rPr>
        <w:t>,</w:t>
      </w:r>
      <w:r w:rsidRPr="0073301A">
        <w:rPr>
          <w:rFonts w:cs="Arial"/>
          <w:sz w:val="20"/>
          <w:szCs w:val="20"/>
          <w:rtl/>
        </w:rPr>
        <w:t xml:space="preserve"> והטיט והבצק שתחת הצ</w:t>
      </w:r>
      <w:r>
        <w:rPr>
          <w:rFonts w:cs="Arial" w:hint="cs"/>
          <w:sz w:val="20"/>
          <w:szCs w:val="20"/>
          <w:rtl/>
        </w:rPr>
        <w:t>י</w:t>
      </w:r>
      <w:r w:rsidRPr="0073301A">
        <w:rPr>
          <w:rFonts w:cs="Arial"/>
          <w:sz w:val="20"/>
          <w:szCs w:val="20"/>
          <w:rtl/>
        </w:rPr>
        <w:t xml:space="preserve">פורן אפילו כנגד הבשר </w:t>
      </w:r>
      <w:r>
        <w:rPr>
          <w:rFonts w:cs="Arial"/>
          <w:sz w:val="20"/>
          <w:szCs w:val="20"/>
          <w:rtl/>
        </w:rPr>
        <w:t>–</w:t>
      </w:r>
      <w:r w:rsidRPr="0073301A">
        <w:rPr>
          <w:rFonts w:cs="Arial"/>
          <w:sz w:val="20"/>
          <w:szCs w:val="20"/>
          <w:rtl/>
        </w:rPr>
        <w:t xml:space="preserve"> חוצצין</w:t>
      </w:r>
      <w:r>
        <w:rPr>
          <w:rStyle w:val="a5"/>
          <w:sz w:val="20"/>
          <w:szCs w:val="20"/>
          <w:rtl/>
        </w:rPr>
        <w:footnoteReference w:id="626"/>
      </w:r>
      <w:r>
        <w:rPr>
          <w:rFonts w:hint="cs"/>
          <w:sz w:val="20"/>
          <w:szCs w:val="20"/>
          <w:rtl/>
        </w:rPr>
        <w:t>".</w:t>
      </w:r>
    </w:p>
    <w:p w:rsidR="00620060" w:rsidRDefault="00620060" w:rsidP="00620060">
      <w:pPr>
        <w:rPr>
          <w:sz w:val="20"/>
          <w:szCs w:val="20"/>
          <w:rtl/>
        </w:rPr>
      </w:pPr>
      <w:r>
        <w:rPr>
          <w:rFonts w:hint="cs"/>
          <w:b/>
          <w:bCs/>
          <w:sz w:val="20"/>
          <w:szCs w:val="20"/>
          <w:rtl/>
        </w:rPr>
        <w:t>שיטות הראשונים</w:t>
      </w:r>
      <w:r>
        <w:rPr>
          <w:b/>
          <w:bCs/>
          <w:sz w:val="20"/>
          <w:szCs w:val="20"/>
          <w:rtl/>
        </w:rPr>
        <w:br/>
      </w:r>
      <w:r>
        <w:rPr>
          <w:rFonts w:hint="cs"/>
          <w:sz w:val="20"/>
          <w:szCs w:val="20"/>
          <w:rtl/>
        </w:rPr>
        <w:t xml:space="preserve">המשנה והתוספתא נראות סותרות. המשנה מחלקת בין בצק שחוצץ לבין צואה שאינה חוצצת, אך התוספתא מחלקת חילוק נוסף </w:t>
      </w:r>
      <w:r>
        <w:rPr>
          <w:sz w:val="20"/>
          <w:szCs w:val="20"/>
          <w:rtl/>
        </w:rPr>
        <w:t>–</w:t>
      </w:r>
      <w:r>
        <w:rPr>
          <w:rFonts w:hint="cs"/>
          <w:sz w:val="20"/>
          <w:szCs w:val="20"/>
          <w:rtl/>
        </w:rPr>
        <w:t xml:space="preserve"> צואה אינה חוצצת רק כשהיא שלא כנגד הבשר, אך כנגד הבשר וכן טיט ובצק חוצצים בכל אופן. בראשונים יש כמה שיטות להלכה - </w:t>
      </w:r>
      <w:r>
        <w:rPr>
          <w:sz w:val="20"/>
          <w:szCs w:val="20"/>
          <w:rtl/>
        </w:rPr>
        <w:br/>
      </w:r>
      <w:r>
        <w:rPr>
          <w:rFonts w:hint="cs"/>
          <w:sz w:val="20"/>
          <w:szCs w:val="20"/>
          <w:rtl/>
        </w:rPr>
        <w:t xml:space="preserve">א. </w:t>
      </w:r>
      <w:r w:rsidRPr="00F16BBC">
        <w:rPr>
          <w:rFonts w:hint="cs"/>
          <w:b/>
          <w:bCs/>
          <w:sz w:val="20"/>
          <w:szCs w:val="20"/>
          <w:rtl/>
        </w:rPr>
        <w:t>ר"ש ורא"ש</w:t>
      </w:r>
      <w:r>
        <w:rPr>
          <w:rFonts w:hint="cs"/>
          <w:sz w:val="20"/>
          <w:szCs w:val="20"/>
          <w:rtl/>
        </w:rPr>
        <w:t xml:space="preserve"> </w:t>
      </w:r>
      <w:r>
        <w:rPr>
          <w:sz w:val="20"/>
          <w:szCs w:val="20"/>
          <w:rtl/>
        </w:rPr>
        <w:t>–</w:t>
      </w:r>
      <w:r>
        <w:rPr>
          <w:rFonts w:hint="cs"/>
          <w:sz w:val="20"/>
          <w:szCs w:val="20"/>
          <w:rtl/>
        </w:rPr>
        <w:t xml:space="preserve"> צואה חוצצת רק שלא כנגד הבשר, בצק חוצץ תמיד, וכ"פ </w:t>
      </w:r>
      <w:r w:rsidRPr="000727D3">
        <w:rPr>
          <w:rFonts w:hint="cs"/>
          <w:b/>
          <w:bCs/>
          <w:sz w:val="20"/>
          <w:szCs w:val="20"/>
          <w:rtl/>
        </w:rPr>
        <w:t>המחבר</w:t>
      </w:r>
      <w:r>
        <w:rPr>
          <w:rFonts w:hint="cs"/>
          <w:sz w:val="20"/>
          <w:szCs w:val="20"/>
          <w:rtl/>
        </w:rPr>
        <w:t>.</w:t>
      </w:r>
      <w:r>
        <w:rPr>
          <w:sz w:val="20"/>
          <w:szCs w:val="20"/>
          <w:rtl/>
        </w:rPr>
        <w:br/>
      </w:r>
      <w:r w:rsidRPr="00F16BBC">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התוספתא מסבירה את המשנה.</w:t>
      </w:r>
      <w:r>
        <w:rPr>
          <w:sz w:val="20"/>
          <w:szCs w:val="20"/>
          <w:rtl/>
        </w:rPr>
        <w:br/>
      </w:r>
      <w:r>
        <w:rPr>
          <w:rFonts w:hint="cs"/>
          <w:sz w:val="20"/>
          <w:szCs w:val="20"/>
          <w:rtl/>
        </w:rPr>
        <w:t xml:space="preserve">ב. </w:t>
      </w:r>
      <w:r w:rsidRPr="00F16BBC">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צואה אינה חוצצת, בצק חוצץ.</w:t>
      </w:r>
      <w:r>
        <w:rPr>
          <w:sz w:val="20"/>
          <w:szCs w:val="20"/>
          <w:rtl/>
        </w:rPr>
        <w:br/>
      </w:r>
      <w:r w:rsidRPr="00F16BBC">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התוספתא חולקת על המשנה, והעיקר כדברי המשנה.</w:t>
      </w:r>
      <w:r>
        <w:rPr>
          <w:sz w:val="20"/>
          <w:szCs w:val="20"/>
          <w:rtl/>
        </w:rPr>
        <w:br/>
      </w:r>
      <w:r>
        <w:rPr>
          <w:rFonts w:hint="cs"/>
          <w:sz w:val="20"/>
          <w:szCs w:val="20"/>
          <w:rtl/>
        </w:rPr>
        <w:t xml:space="preserve">ג. </w:t>
      </w:r>
      <w:r w:rsidRPr="00F16BBC">
        <w:rPr>
          <w:rFonts w:hint="cs"/>
          <w:b/>
          <w:bCs/>
          <w:sz w:val="20"/>
          <w:szCs w:val="20"/>
          <w:rtl/>
        </w:rPr>
        <w:t>מרדכי</w:t>
      </w:r>
      <w:r>
        <w:rPr>
          <w:rFonts w:hint="cs"/>
          <w:sz w:val="20"/>
          <w:szCs w:val="20"/>
          <w:rtl/>
        </w:rPr>
        <w:t xml:space="preserve"> </w:t>
      </w:r>
      <w:r>
        <w:rPr>
          <w:sz w:val="20"/>
          <w:szCs w:val="20"/>
          <w:rtl/>
        </w:rPr>
        <w:t>–</w:t>
      </w:r>
      <w:r>
        <w:rPr>
          <w:rFonts w:hint="cs"/>
          <w:sz w:val="20"/>
          <w:szCs w:val="20"/>
          <w:rtl/>
        </w:rPr>
        <w:t xml:space="preserve"> צואה לחה אינה חוצצת, צואה יבשה חוצצת.</w:t>
      </w:r>
      <w:r>
        <w:rPr>
          <w:sz w:val="20"/>
          <w:szCs w:val="20"/>
          <w:rtl/>
        </w:rPr>
        <w:br/>
      </w:r>
      <w:r w:rsidRPr="00D423E9">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המשנה מדברת בצואה לחה, התוספתא מדברת בצואה יבשה.</w:t>
      </w:r>
      <w:r>
        <w:rPr>
          <w:sz w:val="20"/>
          <w:szCs w:val="20"/>
          <w:rtl/>
        </w:rPr>
        <w:br/>
      </w:r>
      <w:r>
        <w:rPr>
          <w:rFonts w:hint="cs"/>
          <w:sz w:val="20"/>
          <w:szCs w:val="20"/>
          <w:rtl/>
        </w:rPr>
        <w:t xml:space="preserve">ד. </w:t>
      </w:r>
      <w:r>
        <w:rPr>
          <w:rFonts w:hint="cs"/>
          <w:b/>
          <w:bCs/>
          <w:sz w:val="20"/>
          <w:szCs w:val="20"/>
          <w:rtl/>
        </w:rPr>
        <w:t>ר"ת</w:t>
      </w:r>
      <w:r>
        <w:rPr>
          <w:rFonts w:hint="cs"/>
          <w:sz w:val="20"/>
          <w:szCs w:val="20"/>
          <w:rtl/>
        </w:rPr>
        <w:t xml:space="preserve"> </w:t>
      </w:r>
      <w:r>
        <w:rPr>
          <w:sz w:val="20"/>
          <w:szCs w:val="20"/>
          <w:rtl/>
        </w:rPr>
        <w:t>–</w:t>
      </w:r>
      <w:r>
        <w:rPr>
          <w:rFonts w:hint="cs"/>
          <w:sz w:val="20"/>
          <w:szCs w:val="20"/>
          <w:rtl/>
        </w:rPr>
        <w:t xml:space="preserve"> צואה דבוקה חוצצת, צואה שאינה דבוקה אינה חוצצת.</w:t>
      </w:r>
      <w:r>
        <w:rPr>
          <w:sz w:val="20"/>
          <w:szCs w:val="20"/>
          <w:rtl/>
        </w:rPr>
        <w:br/>
      </w:r>
      <w:r w:rsidRPr="00D423E9">
        <w:rPr>
          <w:rFonts w:hint="cs"/>
          <w:b/>
          <w:bCs/>
          <w:sz w:val="20"/>
          <w:szCs w:val="20"/>
          <w:rtl/>
        </w:rPr>
        <w:t xml:space="preserve">טעם </w:t>
      </w:r>
      <w:r>
        <w:rPr>
          <w:sz w:val="20"/>
          <w:szCs w:val="20"/>
          <w:rtl/>
        </w:rPr>
        <w:t>–</w:t>
      </w:r>
      <w:r>
        <w:rPr>
          <w:rFonts w:hint="cs"/>
          <w:sz w:val="20"/>
          <w:szCs w:val="20"/>
          <w:rtl/>
        </w:rPr>
        <w:t xml:space="preserve"> המשנה מדברת בצואה לחה, התוספתא מדברת בצואה יבשה.</w:t>
      </w:r>
    </w:p>
    <w:p w:rsidR="00620060" w:rsidRDefault="00620060" w:rsidP="00620060">
      <w:pPr>
        <w:rPr>
          <w:sz w:val="20"/>
          <w:szCs w:val="20"/>
          <w:rtl/>
        </w:rPr>
      </w:pPr>
      <w:r>
        <w:rPr>
          <w:rFonts w:hint="cs"/>
          <w:b/>
          <w:bCs/>
          <w:sz w:val="20"/>
          <w:szCs w:val="20"/>
          <w:rtl/>
        </w:rPr>
        <w:t>הקפדה על צואה ובצק</w:t>
      </w:r>
      <w:r>
        <w:rPr>
          <w:b/>
          <w:bCs/>
          <w:sz w:val="20"/>
          <w:szCs w:val="20"/>
          <w:rtl/>
        </w:rPr>
        <w:br/>
      </w:r>
      <w:r>
        <w:rPr>
          <w:rFonts w:hint="cs"/>
          <w:sz w:val="20"/>
          <w:szCs w:val="20"/>
          <w:rtl/>
        </w:rPr>
        <w:t xml:space="preserve">א. </w:t>
      </w:r>
      <w:r w:rsidRPr="00366545">
        <w:rPr>
          <w:rFonts w:hint="cs"/>
          <w:b/>
          <w:bCs/>
          <w:sz w:val="20"/>
          <w:szCs w:val="20"/>
          <w:rtl/>
        </w:rPr>
        <w:t xml:space="preserve">טור </w:t>
      </w:r>
      <w:r>
        <w:rPr>
          <w:sz w:val="20"/>
          <w:szCs w:val="20"/>
          <w:rtl/>
        </w:rPr>
        <w:t>–</w:t>
      </w:r>
      <w:r>
        <w:rPr>
          <w:rFonts w:hint="cs"/>
          <w:sz w:val="20"/>
          <w:szCs w:val="20"/>
          <w:rtl/>
        </w:rPr>
        <w:t xml:space="preserve"> אין דרך בני אדם להקפיד בצואה ובבצק שתחת הציפורן, ולמי שאינה מקפידה אין זו חציצה.</w:t>
      </w:r>
      <w:r>
        <w:rPr>
          <w:sz w:val="20"/>
          <w:szCs w:val="20"/>
          <w:rtl/>
        </w:rPr>
        <w:br/>
      </w:r>
      <w:r>
        <w:rPr>
          <w:rFonts w:hint="cs"/>
          <w:sz w:val="20"/>
          <w:szCs w:val="20"/>
          <w:rtl/>
        </w:rPr>
        <w:t xml:space="preserve">דוחה </w:t>
      </w:r>
      <w:r w:rsidRPr="00366545">
        <w:rPr>
          <w:rFonts w:hint="cs"/>
          <w:b/>
          <w:bCs/>
          <w:sz w:val="20"/>
          <w:szCs w:val="20"/>
          <w:rtl/>
        </w:rPr>
        <w:t>הבית יוסף</w:t>
      </w:r>
      <w:r>
        <w:rPr>
          <w:rFonts w:hint="cs"/>
          <w:sz w:val="20"/>
          <w:szCs w:val="20"/>
          <w:rtl/>
        </w:rPr>
        <w:t xml:space="preserve"> </w:t>
      </w:r>
      <w:r>
        <w:rPr>
          <w:sz w:val="20"/>
          <w:szCs w:val="20"/>
          <w:rtl/>
        </w:rPr>
        <w:t>–</w:t>
      </w:r>
      <w:r>
        <w:rPr>
          <w:rFonts w:hint="cs"/>
          <w:sz w:val="20"/>
          <w:szCs w:val="20"/>
          <w:rtl/>
        </w:rPr>
        <w:t xml:space="preserve"> אם כך, המשנה והתוספתא לא היו סותמות לאיסור אלא היו מחלקות כנ"ל.</w:t>
      </w:r>
      <w:r>
        <w:rPr>
          <w:sz w:val="20"/>
          <w:szCs w:val="20"/>
          <w:rtl/>
        </w:rPr>
        <w:br/>
      </w:r>
      <w:r>
        <w:rPr>
          <w:rFonts w:hint="cs"/>
          <w:sz w:val="20"/>
          <w:szCs w:val="20"/>
          <w:rtl/>
        </w:rPr>
        <w:t xml:space="preserve">ב. </w:t>
      </w:r>
      <w:r w:rsidRPr="00366545">
        <w:rPr>
          <w:rFonts w:hint="cs"/>
          <w:b/>
          <w:bCs/>
          <w:sz w:val="20"/>
          <w:szCs w:val="20"/>
          <w:rtl/>
        </w:rPr>
        <w:t>בית יוסף</w:t>
      </w:r>
      <w:r>
        <w:rPr>
          <w:rFonts w:hint="cs"/>
          <w:sz w:val="20"/>
          <w:szCs w:val="20"/>
          <w:rtl/>
        </w:rPr>
        <w:t xml:space="preserve"> </w:t>
      </w:r>
      <w:r>
        <w:rPr>
          <w:sz w:val="20"/>
          <w:szCs w:val="20"/>
          <w:rtl/>
        </w:rPr>
        <w:t>–</w:t>
      </w:r>
      <w:r>
        <w:rPr>
          <w:rFonts w:hint="cs"/>
          <w:sz w:val="20"/>
          <w:szCs w:val="20"/>
          <w:rtl/>
        </w:rPr>
        <w:t xml:space="preserve"> דרך נשים נשואות להקפיד על צואה שתחת הציפורן שלא כנגד הבשר כדי שלא יאמרו שלא רחצו מצואתן. וכן דרכן להקפיד על כל בצק, אפילו כנגד הבשר, כדי שלא יאמרו שמאכילה את בעלה זוהמה. </w:t>
      </w:r>
      <w:r>
        <w:rPr>
          <w:sz w:val="20"/>
          <w:szCs w:val="20"/>
          <w:rtl/>
        </w:rPr>
        <w:br/>
      </w:r>
      <w:r>
        <w:rPr>
          <w:rFonts w:hint="cs"/>
          <w:sz w:val="20"/>
          <w:szCs w:val="20"/>
          <w:rtl/>
        </w:rPr>
        <w:t>ואף אם יש אחת שאינה מקפידה, בטלה דעתה אצל שאר הנשים.</w:t>
      </w:r>
      <w:r>
        <w:rPr>
          <w:sz w:val="20"/>
          <w:szCs w:val="20"/>
          <w:rtl/>
        </w:rPr>
        <w:br/>
      </w:r>
      <w:r>
        <w:rPr>
          <w:rFonts w:hint="cs"/>
          <w:sz w:val="20"/>
          <w:szCs w:val="20"/>
          <w:rtl/>
        </w:rPr>
        <w:t xml:space="preserve">אמנם, אם מדובר בכמות מועטה כל כך של טיט או צואה, שאין דרך הנשים להקפיד בכך, אינה חציצה, </w:t>
      </w:r>
      <w:r w:rsidRPr="007B0D81">
        <w:rPr>
          <w:rFonts w:hint="cs"/>
          <w:b/>
          <w:bCs/>
          <w:sz w:val="20"/>
          <w:szCs w:val="20"/>
          <w:rtl/>
        </w:rPr>
        <w:t>ר"ת</w:t>
      </w:r>
      <w:r>
        <w:rPr>
          <w:rFonts w:hint="cs"/>
          <w:sz w:val="20"/>
          <w:szCs w:val="20"/>
          <w:rtl/>
        </w:rPr>
        <w:t>.</w:t>
      </w:r>
    </w:p>
    <w:p w:rsidR="00620060" w:rsidRDefault="00620060" w:rsidP="00620060">
      <w:pPr>
        <w:rPr>
          <w:sz w:val="20"/>
          <w:szCs w:val="20"/>
          <w:rtl/>
        </w:rPr>
      </w:pPr>
      <w:r>
        <w:rPr>
          <w:rFonts w:hint="cs"/>
          <w:b/>
          <w:bCs/>
          <w:sz w:val="20"/>
          <w:szCs w:val="20"/>
          <w:rtl/>
        </w:rPr>
        <w:t>מנהג הנשים</w:t>
      </w:r>
      <w:r>
        <w:rPr>
          <w:b/>
          <w:bCs/>
          <w:sz w:val="20"/>
          <w:szCs w:val="20"/>
          <w:rtl/>
        </w:rPr>
        <w:br/>
      </w:r>
      <w:r>
        <w:rPr>
          <w:rFonts w:hint="cs"/>
          <w:b/>
          <w:bCs/>
          <w:sz w:val="20"/>
          <w:szCs w:val="20"/>
          <w:rtl/>
        </w:rPr>
        <w:t xml:space="preserve">טור </w:t>
      </w:r>
      <w:r>
        <w:rPr>
          <w:sz w:val="20"/>
          <w:szCs w:val="20"/>
          <w:rtl/>
        </w:rPr>
        <w:t>–</w:t>
      </w:r>
      <w:r>
        <w:rPr>
          <w:rFonts w:hint="cs"/>
          <w:sz w:val="20"/>
          <w:szCs w:val="20"/>
          <w:rtl/>
        </w:rPr>
        <w:t xml:space="preserve"> נהגו הנשים לגזור ציפורניהן לפני טבילה, וכ"כ </w:t>
      </w:r>
      <w:r w:rsidRPr="000727D3">
        <w:rPr>
          <w:rFonts w:hint="cs"/>
          <w:b/>
          <w:bCs/>
          <w:sz w:val="20"/>
          <w:szCs w:val="20"/>
          <w:rtl/>
        </w:rPr>
        <w:t>המחבר</w:t>
      </w:r>
      <w:r>
        <w:rPr>
          <w:rFonts w:hint="cs"/>
          <w:sz w:val="20"/>
          <w:szCs w:val="20"/>
          <w:rtl/>
        </w:rPr>
        <w:t>.</w:t>
      </w:r>
      <w:r>
        <w:rPr>
          <w:sz w:val="20"/>
          <w:szCs w:val="20"/>
          <w:rtl/>
        </w:rPr>
        <w:br/>
      </w:r>
      <w:r w:rsidRPr="00BB17BD">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אינן יכולות לכוון במדויק מה נקרא כנגד הבשר ומה אינו כנגד הבשר.</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0727D3">
        <w:rPr>
          <w:rFonts w:cs="Arial"/>
          <w:sz w:val="20"/>
          <w:szCs w:val="20"/>
          <w:rtl/>
        </w:rPr>
        <w:t>צואה שתחת הצ</w:t>
      </w:r>
      <w:r>
        <w:rPr>
          <w:rFonts w:cs="Arial" w:hint="cs"/>
          <w:sz w:val="20"/>
          <w:szCs w:val="20"/>
          <w:rtl/>
        </w:rPr>
        <w:t>י</w:t>
      </w:r>
      <w:r w:rsidRPr="000727D3">
        <w:rPr>
          <w:rFonts w:cs="Arial"/>
          <w:sz w:val="20"/>
          <w:szCs w:val="20"/>
          <w:rtl/>
        </w:rPr>
        <w:t>פורן שלא כנגד הבשר, חוצץ; כנגד הבשר, אינו חוצץ. ובצק שתחת הצ</w:t>
      </w:r>
      <w:r>
        <w:rPr>
          <w:rFonts w:cs="Arial" w:hint="cs"/>
          <w:sz w:val="20"/>
          <w:szCs w:val="20"/>
          <w:rtl/>
        </w:rPr>
        <w:t>י</w:t>
      </w:r>
      <w:r w:rsidRPr="000727D3">
        <w:rPr>
          <w:rFonts w:cs="Arial"/>
          <w:sz w:val="20"/>
          <w:szCs w:val="20"/>
          <w:rtl/>
        </w:rPr>
        <w:t>פורן, אפילו כנגד הבשר חוצץ. ואיזהו שלא כנגד הבשר, זה שהצ</w:t>
      </w:r>
      <w:r>
        <w:rPr>
          <w:rFonts w:cs="Arial" w:hint="cs"/>
          <w:sz w:val="20"/>
          <w:szCs w:val="20"/>
          <w:rtl/>
        </w:rPr>
        <w:t>י</w:t>
      </w:r>
      <w:r w:rsidRPr="000727D3">
        <w:rPr>
          <w:rFonts w:cs="Arial"/>
          <w:sz w:val="20"/>
          <w:szCs w:val="20"/>
          <w:rtl/>
        </w:rPr>
        <w:t>פורן עודף על הבשר. ולפי שאינן יכולות לכו</w:t>
      </w:r>
      <w:r>
        <w:rPr>
          <w:rFonts w:cs="Arial" w:hint="cs"/>
          <w:sz w:val="20"/>
          <w:szCs w:val="20"/>
          <w:rtl/>
        </w:rPr>
        <w:t>ו</w:t>
      </w:r>
      <w:r w:rsidRPr="000727D3">
        <w:rPr>
          <w:rFonts w:cs="Arial"/>
          <w:sz w:val="20"/>
          <w:szCs w:val="20"/>
          <w:rtl/>
        </w:rPr>
        <w:t>ן מה נקרא כנגד הבשר או שלא כנגדו, נהגו הנשים ליטול צ</w:t>
      </w:r>
      <w:r>
        <w:rPr>
          <w:rFonts w:cs="Arial" w:hint="cs"/>
          <w:sz w:val="20"/>
          <w:szCs w:val="20"/>
          <w:rtl/>
        </w:rPr>
        <w:t>י</w:t>
      </w:r>
      <w:r w:rsidRPr="000727D3">
        <w:rPr>
          <w:rFonts w:cs="Arial"/>
          <w:sz w:val="20"/>
          <w:szCs w:val="20"/>
          <w:rtl/>
        </w:rPr>
        <w:t>פ</w:t>
      </w:r>
      <w:r>
        <w:rPr>
          <w:rFonts w:cs="Arial" w:hint="cs"/>
          <w:sz w:val="20"/>
          <w:szCs w:val="20"/>
          <w:rtl/>
        </w:rPr>
        <w:t>ו</w:t>
      </w:r>
      <w:r w:rsidRPr="000727D3">
        <w:rPr>
          <w:rFonts w:cs="Arial"/>
          <w:sz w:val="20"/>
          <w:szCs w:val="20"/>
          <w:rtl/>
        </w:rPr>
        <w:t>רניהם בשעת טבילה</w:t>
      </w:r>
      <w:r>
        <w:rPr>
          <w:rFonts w:cs="Arial" w:hint="cs"/>
          <w:sz w:val="20"/>
          <w:szCs w:val="20"/>
          <w:rtl/>
        </w:rPr>
        <w:t>"</w:t>
      </w:r>
      <w:r w:rsidRPr="000727D3">
        <w:rPr>
          <w:rFonts w:cs="Arial"/>
          <w:sz w:val="20"/>
          <w:szCs w:val="20"/>
          <w:rtl/>
        </w:rPr>
        <w:t>.</w:t>
      </w:r>
    </w:p>
    <w:p w:rsidR="00620060" w:rsidRDefault="00620060" w:rsidP="00620060">
      <w:pPr>
        <w:rPr>
          <w:sz w:val="20"/>
          <w:szCs w:val="20"/>
          <w:rtl/>
        </w:rPr>
      </w:pPr>
      <w:r>
        <w:rPr>
          <w:rFonts w:hint="cs"/>
          <w:sz w:val="20"/>
          <w:szCs w:val="20"/>
          <w:u w:val="single"/>
          <w:rtl/>
        </w:rPr>
        <w:t>חציצת ידיים בצואה לנטילת ידיים</w:t>
      </w:r>
      <w:r>
        <w:rPr>
          <w:sz w:val="20"/>
          <w:szCs w:val="20"/>
          <w:u w:val="single"/>
          <w:rtl/>
        </w:rPr>
        <w:br/>
      </w:r>
      <w:r w:rsidRPr="006F336B">
        <w:rPr>
          <w:rFonts w:hint="cs"/>
          <w:b/>
          <w:bCs/>
          <w:sz w:val="20"/>
          <w:szCs w:val="20"/>
          <w:rtl/>
        </w:rPr>
        <w:t>רשב"א</w:t>
      </w:r>
      <w:r w:rsidRPr="006F336B">
        <w:rPr>
          <w:rFonts w:hint="cs"/>
          <w:sz w:val="20"/>
          <w:szCs w:val="20"/>
          <w:rtl/>
        </w:rPr>
        <w:t xml:space="preserve"> </w:t>
      </w:r>
      <w:r w:rsidRPr="006F336B">
        <w:rPr>
          <w:sz w:val="20"/>
          <w:szCs w:val="20"/>
          <w:rtl/>
        </w:rPr>
        <w:t>–</w:t>
      </w:r>
      <w:r w:rsidRPr="006F336B">
        <w:rPr>
          <w:rFonts w:hint="cs"/>
          <w:sz w:val="20"/>
          <w:szCs w:val="20"/>
          <w:rtl/>
        </w:rPr>
        <w:t xml:space="preserve"> צואה חוצצת רק בטבילה, אך אינה חוצצת בנט"י לסעודה.</w:t>
      </w:r>
      <w:r w:rsidRPr="006F336B">
        <w:rPr>
          <w:sz w:val="20"/>
          <w:szCs w:val="20"/>
          <w:rtl/>
        </w:rPr>
        <w:br/>
      </w:r>
      <w:r w:rsidRPr="006F336B">
        <w:rPr>
          <w:rFonts w:hint="cs"/>
          <w:b/>
          <w:bCs/>
          <w:sz w:val="20"/>
          <w:szCs w:val="20"/>
          <w:rtl/>
        </w:rPr>
        <w:t>בית יוסף</w:t>
      </w:r>
      <w:r w:rsidRPr="006F336B">
        <w:rPr>
          <w:rFonts w:hint="cs"/>
          <w:sz w:val="20"/>
          <w:szCs w:val="20"/>
          <w:rtl/>
        </w:rPr>
        <w:t xml:space="preserve"> </w:t>
      </w:r>
      <w:r w:rsidRPr="006F336B">
        <w:rPr>
          <w:sz w:val="20"/>
          <w:szCs w:val="20"/>
          <w:rtl/>
        </w:rPr>
        <w:t>–</w:t>
      </w:r>
      <w:r w:rsidRPr="006F336B">
        <w:rPr>
          <w:rFonts w:hint="cs"/>
          <w:sz w:val="20"/>
          <w:szCs w:val="20"/>
          <w:rtl/>
        </w:rPr>
        <w:t xml:space="preserve"> הרשב"א הקל בנט"י כיוון שהיא דרבנן, אך בטבילה החמיר כיוון שהיא דאורייתא.</w:t>
      </w:r>
      <w:r w:rsidRPr="006F336B">
        <w:rPr>
          <w:sz w:val="20"/>
          <w:szCs w:val="20"/>
          <w:rtl/>
        </w:rPr>
        <w:br/>
      </w:r>
      <w:r>
        <w:rPr>
          <w:sz w:val="20"/>
          <w:szCs w:val="20"/>
          <w:rtl/>
        </w:rPr>
        <w:br/>
      </w:r>
      <w:r>
        <w:rPr>
          <w:rFonts w:hint="cs"/>
          <w:sz w:val="20"/>
          <w:szCs w:val="20"/>
          <w:rtl/>
        </w:rPr>
        <w:t>אך קשה -</w:t>
      </w:r>
      <w:r w:rsidRPr="006F336B">
        <w:rPr>
          <w:rFonts w:hint="cs"/>
          <w:sz w:val="20"/>
          <w:szCs w:val="20"/>
          <w:rtl/>
        </w:rPr>
        <w:t xml:space="preserve"> כלל בידנו שדיני נט"י זהים לדיני טבילה ומדוע הקל בנט"י?</w:t>
      </w:r>
      <w:r>
        <w:rPr>
          <w:rFonts w:hint="cs"/>
          <w:sz w:val="20"/>
          <w:szCs w:val="20"/>
          <w:rtl/>
        </w:rPr>
        <w:br/>
        <w:t xml:space="preserve">תירוצים - </w:t>
      </w:r>
      <w:r w:rsidRPr="006F336B">
        <w:rPr>
          <w:sz w:val="20"/>
          <w:szCs w:val="20"/>
          <w:rtl/>
        </w:rPr>
        <w:br/>
      </w:r>
      <w:r>
        <w:rPr>
          <w:rFonts w:hint="cs"/>
          <w:sz w:val="20"/>
          <w:szCs w:val="20"/>
          <w:rtl/>
        </w:rPr>
        <w:t xml:space="preserve">א. </w:t>
      </w:r>
      <w:r w:rsidRPr="006F336B">
        <w:rPr>
          <w:rFonts w:hint="cs"/>
          <w:sz w:val="20"/>
          <w:szCs w:val="20"/>
          <w:rtl/>
        </w:rPr>
        <w:t>לפי הטעם שכתב לעיל שצואה חוצצת כדי שלא יאמרו שלא רחצה יפה, אתי שפיר שבנט"י ליכא חשש זה.</w:t>
      </w:r>
      <w:r w:rsidRPr="006F336B">
        <w:rPr>
          <w:sz w:val="20"/>
          <w:szCs w:val="20"/>
          <w:rtl/>
        </w:rPr>
        <w:br/>
      </w:r>
      <w:r>
        <w:rPr>
          <w:rFonts w:hint="cs"/>
          <w:sz w:val="20"/>
          <w:szCs w:val="20"/>
          <w:rtl/>
        </w:rPr>
        <w:t xml:space="preserve">ב. </w:t>
      </w:r>
      <w:r w:rsidRPr="006F336B">
        <w:rPr>
          <w:rFonts w:hint="cs"/>
          <w:sz w:val="20"/>
          <w:szCs w:val="20"/>
          <w:rtl/>
        </w:rPr>
        <w:t xml:space="preserve"> אפילו אם היא מקפידה, מכל מקום כיוון שמצווה זו מוטלת גם על גברים והם אינם מקפידים, לא פלוג.</w:t>
      </w:r>
      <w:r w:rsidRPr="006F336B">
        <w:rPr>
          <w:sz w:val="24"/>
          <w:szCs w:val="24"/>
          <w:rtl/>
        </w:rPr>
        <w:br/>
      </w:r>
      <w:r>
        <w:rPr>
          <w:sz w:val="20"/>
          <w:szCs w:val="20"/>
          <w:rtl/>
        </w:rPr>
        <w:br/>
      </w:r>
      <w:r w:rsidRPr="006F336B">
        <w:rPr>
          <w:rFonts w:hint="cs"/>
          <w:sz w:val="20"/>
          <w:szCs w:val="20"/>
          <w:rtl/>
        </w:rPr>
        <w:lastRenderedPageBreak/>
        <w:t>ואע"פ שחז"ל מסרו לנו שדיני חציצה בטבילה ובנט"י זהים, היינו רק לגבי מה שחוצץ מחמת שנדבק לגוף הדינים זהים, אך אין זה עניין לגבי הקפדה.</w:t>
      </w:r>
      <w:r w:rsidRPr="006F336B">
        <w:rPr>
          <w:sz w:val="20"/>
          <w:szCs w:val="20"/>
          <w:rtl/>
        </w:rPr>
        <w:br/>
      </w:r>
      <w:r w:rsidRPr="006F336B">
        <w:rPr>
          <w:rFonts w:hint="cs"/>
          <w:sz w:val="20"/>
          <w:szCs w:val="20"/>
          <w:rtl/>
        </w:rPr>
        <w:t xml:space="preserve">ברם, מהלך זה לא א"ש </w:t>
      </w:r>
      <w:r w:rsidRPr="006F336B">
        <w:rPr>
          <w:rFonts w:hint="cs"/>
          <w:b/>
          <w:bCs/>
          <w:sz w:val="20"/>
          <w:szCs w:val="20"/>
          <w:rtl/>
        </w:rPr>
        <w:t>לרשב"א</w:t>
      </w:r>
      <w:r w:rsidRPr="006F336B">
        <w:rPr>
          <w:rFonts w:hint="cs"/>
          <w:sz w:val="20"/>
          <w:szCs w:val="20"/>
          <w:rtl/>
        </w:rPr>
        <w:t>, כיוון שהוא כתב להדיא לגבי נט"י שצואה אינה חוצצת משום שהיא אינה מהודקת לבשר, ואם כן הוא הדין לפי דבריו גם לגבי טבילה, וצ"ע.</w:t>
      </w:r>
      <w:r w:rsidRPr="006F336B">
        <w:rPr>
          <w:sz w:val="24"/>
          <w:szCs w:val="24"/>
          <w:rtl/>
        </w:rPr>
        <w:br/>
      </w:r>
      <w:r>
        <w:rPr>
          <w:b/>
          <w:bCs/>
          <w:sz w:val="20"/>
          <w:szCs w:val="20"/>
          <w:rtl/>
        </w:rPr>
        <w:br/>
      </w:r>
      <w:r>
        <w:rPr>
          <w:rFonts w:hint="cs"/>
          <w:sz w:val="20"/>
          <w:szCs w:val="20"/>
          <w:rtl/>
        </w:rPr>
        <w:t xml:space="preserve">ג. </w:t>
      </w:r>
      <w:r>
        <w:rPr>
          <w:rFonts w:hint="cs"/>
          <w:b/>
          <w:bCs/>
          <w:sz w:val="20"/>
          <w:szCs w:val="20"/>
          <w:rtl/>
        </w:rPr>
        <w:t>ט"ז ו</w:t>
      </w:r>
      <w:r w:rsidRPr="006F336B">
        <w:rPr>
          <w:rFonts w:hint="cs"/>
          <w:b/>
          <w:bCs/>
          <w:sz w:val="20"/>
          <w:szCs w:val="20"/>
          <w:rtl/>
        </w:rPr>
        <w:t>ש"ך</w:t>
      </w:r>
      <w:r>
        <w:rPr>
          <w:rFonts w:hint="cs"/>
          <w:sz w:val="20"/>
          <w:szCs w:val="20"/>
          <w:rtl/>
        </w:rPr>
        <w:t xml:space="preserve"> </w:t>
      </w:r>
      <w:r w:rsidRPr="006F336B">
        <w:rPr>
          <w:sz w:val="20"/>
          <w:szCs w:val="20"/>
          <w:rtl/>
        </w:rPr>
        <w:t>–</w:t>
      </w:r>
      <w:r w:rsidRPr="006F336B">
        <w:rPr>
          <w:rFonts w:hint="cs"/>
          <w:sz w:val="20"/>
          <w:szCs w:val="20"/>
          <w:rtl/>
        </w:rPr>
        <w:t xml:space="preserve"> </w:t>
      </w:r>
      <w:r>
        <w:rPr>
          <w:rFonts w:hint="cs"/>
          <w:sz w:val="20"/>
          <w:szCs w:val="20"/>
          <w:rtl/>
        </w:rPr>
        <w:t>הרשב"א סובר כר"ת שרק צואה דבוקה חוצצת, וסתם צואה אינה דבוקה ויש להקל בנט"י.</w:t>
      </w:r>
      <w:r>
        <w:rPr>
          <w:sz w:val="20"/>
          <w:szCs w:val="20"/>
          <w:rtl/>
        </w:rPr>
        <w:br/>
      </w:r>
      <w:r>
        <w:rPr>
          <w:b/>
          <w:bCs/>
          <w:sz w:val="20"/>
          <w:szCs w:val="20"/>
          <w:rtl/>
        </w:rPr>
        <w:br/>
      </w:r>
      <w:r w:rsidRPr="00F7738D">
        <w:rPr>
          <w:rFonts w:hint="cs"/>
          <w:b/>
          <w:bCs/>
          <w:sz w:val="20"/>
          <w:szCs w:val="20"/>
          <w:rtl/>
        </w:rPr>
        <w:t>סיכום</w:t>
      </w:r>
      <w:r>
        <w:rPr>
          <w:sz w:val="20"/>
          <w:szCs w:val="20"/>
          <w:rtl/>
        </w:rPr>
        <w:br/>
      </w:r>
      <w:r>
        <w:rPr>
          <w:rFonts w:hint="cs"/>
          <w:sz w:val="20"/>
          <w:szCs w:val="20"/>
          <w:rtl/>
        </w:rPr>
        <w:t xml:space="preserve">1. חציצה תחת הציפורן. </w:t>
      </w:r>
      <w:r w:rsidRPr="00F7738D">
        <w:rPr>
          <w:rFonts w:hint="cs"/>
          <w:b/>
          <w:bCs/>
          <w:sz w:val="20"/>
          <w:szCs w:val="20"/>
          <w:rtl/>
        </w:rPr>
        <w:t>משנה</w:t>
      </w:r>
      <w:r>
        <w:rPr>
          <w:rFonts w:hint="cs"/>
          <w:sz w:val="20"/>
          <w:szCs w:val="20"/>
          <w:rtl/>
        </w:rPr>
        <w:t xml:space="preserve">. בצק חוצץ, צואה אינה חוצצת. </w:t>
      </w:r>
      <w:r w:rsidRPr="00F7738D">
        <w:rPr>
          <w:rFonts w:hint="cs"/>
          <w:b/>
          <w:bCs/>
          <w:sz w:val="20"/>
          <w:szCs w:val="20"/>
          <w:rtl/>
        </w:rPr>
        <w:t>תוספתא</w:t>
      </w:r>
      <w:r>
        <w:rPr>
          <w:rFonts w:hint="cs"/>
          <w:sz w:val="20"/>
          <w:szCs w:val="20"/>
          <w:rtl/>
        </w:rPr>
        <w:t>. צואה שלא כנגד הבשר חוצצת, כנגד הבשר אינה חוצצת, בצק חוצץ תמיד.</w:t>
      </w:r>
      <w:r>
        <w:rPr>
          <w:sz w:val="20"/>
          <w:szCs w:val="20"/>
          <w:rtl/>
        </w:rPr>
        <w:br/>
      </w:r>
      <w:r>
        <w:rPr>
          <w:rFonts w:hint="cs"/>
          <w:sz w:val="20"/>
          <w:szCs w:val="20"/>
          <w:rtl/>
        </w:rPr>
        <w:t xml:space="preserve">2. שיטות הראשונים. </w:t>
      </w:r>
      <w:r w:rsidRPr="00F7738D">
        <w:rPr>
          <w:rFonts w:hint="cs"/>
          <w:b/>
          <w:bCs/>
          <w:sz w:val="20"/>
          <w:szCs w:val="20"/>
          <w:rtl/>
        </w:rPr>
        <w:t>רא"ש</w:t>
      </w:r>
      <w:r>
        <w:rPr>
          <w:rFonts w:hint="cs"/>
          <w:sz w:val="20"/>
          <w:szCs w:val="20"/>
          <w:rtl/>
        </w:rPr>
        <w:t xml:space="preserve">. כתוספתא, וכ"פ </w:t>
      </w:r>
      <w:r w:rsidRPr="00F7738D">
        <w:rPr>
          <w:rFonts w:hint="cs"/>
          <w:b/>
          <w:bCs/>
          <w:sz w:val="20"/>
          <w:szCs w:val="20"/>
          <w:rtl/>
        </w:rPr>
        <w:t>המחבר</w:t>
      </w:r>
      <w:r>
        <w:rPr>
          <w:rFonts w:hint="cs"/>
          <w:sz w:val="20"/>
          <w:szCs w:val="20"/>
          <w:rtl/>
        </w:rPr>
        <w:t xml:space="preserve">. </w:t>
      </w:r>
      <w:r w:rsidRPr="00F7738D">
        <w:rPr>
          <w:rFonts w:hint="cs"/>
          <w:b/>
          <w:bCs/>
          <w:sz w:val="20"/>
          <w:szCs w:val="20"/>
          <w:rtl/>
        </w:rPr>
        <w:t>רמב"ם</w:t>
      </w:r>
      <w:r>
        <w:rPr>
          <w:rFonts w:hint="cs"/>
          <w:sz w:val="20"/>
          <w:szCs w:val="20"/>
          <w:rtl/>
        </w:rPr>
        <w:t xml:space="preserve">. כמשנה. </w:t>
      </w:r>
      <w:r w:rsidRPr="00F7738D">
        <w:rPr>
          <w:rFonts w:hint="cs"/>
          <w:b/>
          <w:bCs/>
          <w:sz w:val="20"/>
          <w:szCs w:val="20"/>
          <w:rtl/>
        </w:rPr>
        <w:t>מרדכי</w:t>
      </w:r>
      <w:r>
        <w:rPr>
          <w:rFonts w:hint="cs"/>
          <w:sz w:val="20"/>
          <w:szCs w:val="20"/>
          <w:rtl/>
        </w:rPr>
        <w:t xml:space="preserve">. צואה לחה אינה חוצצת. </w:t>
      </w:r>
      <w:r>
        <w:rPr>
          <w:b/>
          <w:bCs/>
          <w:sz w:val="20"/>
          <w:szCs w:val="20"/>
          <w:rtl/>
        </w:rPr>
        <w:br/>
      </w:r>
      <w:r>
        <w:rPr>
          <w:rFonts w:hint="cs"/>
          <w:b/>
          <w:bCs/>
          <w:sz w:val="20"/>
          <w:szCs w:val="20"/>
          <w:rtl/>
        </w:rPr>
        <w:t>ר"ת</w:t>
      </w:r>
      <w:r>
        <w:rPr>
          <w:rFonts w:hint="cs"/>
          <w:sz w:val="20"/>
          <w:szCs w:val="20"/>
          <w:rtl/>
        </w:rPr>
        <w:t>. צואה שאינה דבוקה אינה חוצצת.</w:t>
      </w:r>
      <w:r>
        <w:rPr>
          <w:rFonts w:hint="cs"/>
          <w:sz w:val="20"/>
          <w:szCs w:val="20"/>
          <w:rtl/>
        </w:rPr>
        <w:br/>
        <w:t xml:space="preserve">3. </w:t>
      </w:r>
      <w:r w:rsidRPr="00F7738D">
        <w:rPr>
          <w:rFonts w:hint="cs"/>
          <w:b/>
          <w:bCs/>
          <w:sz w:val="20"/>
          <w:szCs w:val="20"/>
          <w:rtl/>
        </w:rPr>
        <w:t>טור</w:t>
      </w:r>
      <w:r>
        <w:rPr>
          <w:rFonts w:hint="cs"/>
          <w:sz w:val="20"/>
          <w:szCs w:val="20"/>
          <w:rtl/>
        </w:rPr>
        <w:t xml:space="preserve">. למי שאינה מקפידה על צואה ובצק, אין זו חציצה. </w:t>
      </w:r>
      <w:r w:rsidRPr="004252C3">
        <w:rPr>
          <w:rFonts w:hint="cs"/>
          <w:b/>
          <w:bCs/>
          <w:sz w:val="20"/>
          <w:szCs w:val="20"/>
          <w:rtl/>
        </w:rPr>
        <w:t>ב"י</w:t>
      </w:r>
      <w:r>
        <w:rPr>
          <w:rFonts w:hint="cs"/>
          <w:sz w:val="20"/>
          <w:szCs w:val="20"/>
          <w:rtl/>
        </w:rPr>
        <w:t>. אשה מקפידה על צואה שלא יאמרו שלא רחצה. מקפידה גם על בצק שלא יאמרו שמאכילה את בעלה זוהמה. מי שאינה מקפידה, בטלה דעתה. אך בכמות מועטה מאוד אינן מקפידות.</w:t>
      </w:r>
      <w:r>
        <w:rPr>
          <w:sz w:val="20"/>
          <w:szCs w:val="20"/>
          <w:rtl/>
        </w:rPr>
        <w:br/>
      </w:r>
      <w:r>
        <w:rPr>
          <w:rFonts w:hint="cs"/>
          <w:sz w:val="20"/>
          <w:szCs w:val="20"/>
          <w:rtl/>
        </w:rPr>
        <w:t xml:space="preserve">4. מנהג הנשים לגזור ציפורניים לפני הטבילה. </w:t>
      </w:r>
      <w:r w:rsidRPr="004252C3">
        <w:rPr>
          <w:rFonts w:hint="cs"/>
          <w:b/>
          <w:bCs/>
          <w:sz w:val="20"/>
          <w:szCs w:val="20"/>
          <w:rtl/>
        </w:rPr>
        <w:t>טעם</w:t>
      </w:r>
      <w:r>
        <w:rPr>
          <w:rFonts w:hint="cs"/>
          <w:sz w:val="20"/>
          <w:szCs w:val="20"/>
          <w:rtl/>
        </w:rPr>
        <w:t>. אינן יכולות לכוון בדיוק מה אינו כנגד הבשר.</w:t>
      </w:r>
      <w:r>
        <w:rPr>
          <w:sz w:val="20"/>
          <w:szCs w:val="20"/>
          <w:rtl/>
        </w:rPr>
        <w:br/>
      </w:r>
      <w:r>
        <w:rPr>
          <w:rFonts w:hint="cs"/>
          <w:sz w:val="20"/>
          <w:szCs w:val="20"/>
          <w:rtl/>
        </w:rPr>
        <w:t xml:space="preserve">5. </w:t>
      </w:r>
      <w:r w:rsidRPr="004252C3">
        <w:rPr>
          <w:rFonts w:hint="cs"/>
          <w:b/>
          <w:bCs/>
          <w:sz w:val="20"/>
          <w:szCs w:val="20"/>
          <w:rtl/>
        </w:rPr>
        <w:t>מחבר</w:t>
      </w:r>
      <w:r>
        <w:rPr>
          <w:rFonts w:hint="cs"/>
          <w:sz w:val="20"/>
          <w:szCs w:val="20"/>
          <w:rtl/>
        </w:rPr>
        <w:t>. צואה שתחת הציפורן שלא כנגד הבשר חוצצת, כנגד הבשר אינה חוצצת. בצק חוצץ אפילו כנגד הבשר. ולפי שקשה לדייק מה כנגד הבשר ומה אינו כנגד הבשר נהגו לגזור ציפורניים.</w:t>
      </w:r>
      <w:r>
        <w:rPr>
          <w:rFonts w:hint="cs"/>
          <w:sz w:val="20"/>
          <w:szCs w:val="20"/>
          <w:rtl/>
        </w:rPr>
        <w:br/>
        <w:t xml:space="preserve">6. </w:t>
      </w:r>
      <w:r w:rsidRPr="00A0170A">
        <w:rPr>
          <w:rFonts w:hint="cs"/>
          <w:b/>
          <w:bCs/>
          <w:sz w:val="20"/>
          <w:szCs w:val="20"/>
          <w:rtl/>
        </w:rPr>
        <w:t>רשב"א</w:t>
      </w:r>
      <w:r>
        <w:rPr>
          <w:rFonts w:hint="cs"/>
          <w:sz w:val="20"/>
          <w:szCs w:val="20"/>
          <w:rtl/>
        </w:rPr>
        <w:t xml:space="preserve">. צואה אינה חוצצת בנט"י. </w:t>
      </w:r>
      <w:r w:rsidRPr="00A0170A">
        <w:rPr>
          <w:rFonts w:hint="cs"/>
          <w:b/>
          <w:bCs/>
          <w:sz w:val="20"/>
          <w:szCs w:val="20"/>
          <w:rtl/>
        </w:rPr>
        <w:t>ב"י</w:t>
      </w:r>
      <w:r>
        <w:rPr>
          <w:rFonts w:hint="cs"/>
          <w:sz w:val="20"/>
          <w:szCs w:val="20"/>
          <w:rtl/>
        </w:rPr>
        <w:t>. הרשב"א הקל בדרבנן.</w:t>
      </w:r>
      <w:r>
        <w:rPr>
          <w:sz w:val="20"/>
          <w:szCs w:val="20"/>
          <w:rtl/>
        </w:rPr>
        <w:br/>
      </w:r>
      <w:r>
        <w:rPr>
          <w:rFonts w:hint="cs"/>
          <w:sz w:val="20"/>
          <w:szCs w:val="20"/>
          <w:rtl/>
        </w:rPr>
        <w:t xml:space="preserve">7. קשה. כלל בידינו שנט"י וטבילה זהים בדיניהם. תירוצים. א. בנט"י ליכא חשש שיאמרו שלא רחצה יפה. </w:t>
      </w:r>
      <w:r>
        <w:rPr>
          <w:sz w:val="20"/>
          <w:szCs w:val="20"/>
          <w:rtl/>
        </w:rPr>
        <w:br/>
      </w:r>
      <w:r>
        <w:rPr>
          <w:rFonts w:hint="cs"/>
          <w:sz w:val="20"/>
          <w:szCs w:val="20"/>
          <w:rtl/>
        </w:rPr>
        <w:t xml:space="preserve">ב. גברים אינם מקפידים ולא פלוג. ג. </w:t>
      </w:r>
      <w:r w:rsidRPr="00A0170A">
        <w:rPr>
          <w:rFonts w:hint="cs"/>
          <w:b/>
          <w:bCs/>
          <w:sz w:val="20"/>
          <w:szCs w:val="20"/>
          <w:rtl/>
        </w:rPr>
        <w:t>ט"ז וש"ך</w:t>
      </w:r>
      <w:r>
        <w:rPr>
          <w:rFonts w:hint="cs"/>
          <w:sz w:val="20"/>
          <w:szCs w:val="20"/>
          <w:rtl/>
        </w:rPr>
        <w:t xml:space="preserve">. סתם צואה אינה דבוקה ויש להקל כר"ת. </w:t>
      </w:r>
      <w:r>
        <w:rPr>
          <w:b/>
          <w:bCs/>
          <w:sz w:val="20"/>
          <w:szCs w:val="20"/>
          <w:rtl/>
        </w:rPr>
        <w:br/>
      </w:r>
      <w:r>
        <w:rPr>
          <w:rFonts w:hint="cs"/>
          <w:sz w:val="20"/>
          <w:szCs w:val="20"/>
          <w:rtl/>
        </w:rPr>
        <w:br/>
      </w:r>
      <w:r>
        <w:rPr>
          <w:sz w:val="20"/>
          <w:szCs w:val="20"/>
          <w:rtl/>
        </w:rPr>
        <w:br/>
      </w:r>
      <w:r>
        <w:rPr>
          <w:rFonts w:hint="cs"/>
          <w:b/>
          <w:bCs/>
          <w:sz w:val="20"/>
          <w:szCs w:val="20"/>
          <w:rtl/>
        </w:rPr>
        <w:t xml:space="preserve">סעיף יט </w:t>
      </w:r>
      <w:r>
        <w:rPr>
          <w:b/>
          <w:bCs/>
          <w:sz w:val="20"/>
          <w:szCs w:val="20"/>
          <w:rtl/>
        </w:rPr>
        <w:t>–</w:t>
      </w:r>
      <w:r>
        <w:rPr>
          <w:rFonts w:hint="cs"/>
          <w:b/>
          <w:bCs/>
          <w:sz w:val="20"/>
          <w:szCs w:val="20"/>
          <w:rtl/>
        </w:rPr>
        <w:t xml:space="preserve"> נפיחות במקום הציפורן</w:t>
      </w:r>
      <w:r>
        <w:rPr>
          <w:b/>
          <w:b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שולחן ערוך </w:t>
      </w:r>
      <w:r w:rsidRPr="00723F2E">
        <w:rPr>
          <w:rFonts w:hint="cs"/>
          <w:sz w:val="18"/>
          <w:szCs w:val="18"/>
          <w:rtl/>
        </w:rPr>
        <w:t xml:space="preserve">(ע"פ </w:t>
      </w:r>
      <w:r w:rsidRPr="00723F2E">
        <w:rPr>
          <w:rFonts w:hint="cs"/>
          <w:b/>
          <w:bCs/>
          <w:sz w:val="18"/>
          <w:szCs w:val="18"/>
          <w:rtl/>
        </w:rPr>
        <w:t>המרדכי</w:t>
      </w:r>
      <w:r w:rsidRPr="00723F2E">
        <w:rPr>
          <w:rFonts w:hint="cs"/>
          <w:sz w:val="18"/>
          <w:szCs w:val="18"/>
          <w:rtl/>
        </w:rPr>
        <w:t xml:space="preserve">) </w:t>
      </w:r>
      <w:r>
        <w:rPr>
          <w:sz w:val="20"/>
          <w:szCs w:val="20"/>
          <w:rtl/>
        </w:rPr>
        <w:t>–</w:t>
      </w:r>
      <w:r>
        <w:rPr>
          <w:rFonts w:hint="cs"/>
          <w:sz w:val="20"/>
          <w:szCs w:val="20"/>
          <w:rtl/>
        </w:rPr>
        <w:t xml:space="preserve"> "</w:t>
      </w:r>
      <w:r w:rsidRPr="00723F2E">
        <w:rPr>
          <w:rFonts w:cs="Arial"/>
          <w:sz w:val="20"/>
          <w:szCs w:val="20"/>
          <w:rtl/>
        </w:rPr>
        <w:t>אם יש לה נפח על מקום הצ</w:t>
      </w:r>
      <w:r>
        <w:rPr>
          <w:rFonts w:cs="Arial" w:hint="cs"/>
          <w:sz w:val="20"/>
          <w:szCs w:val="20"/>
          <w:rtl/>
        </w:rPr>
        <w:t>י</w:t>
      </w:r>
      <w:r w:rsidRPr="00723F2E">
        <w:rPr>
          <w:rFonts w:cs="Arial"/>
          <w:sz w:val="20"/>
          <w:szCs w:val="20"/>
          <w:rtl/>
        </w:rPr>
        <w:t>פורן ואינה יכולה לא לחתוך ולא לחטט, אם נפוחה כל כך שאין הטיט שתחת הצ</w:t>
      </w:r>
      <w:r>
        <w:rPr>
          <w:rFonts w:cs="Arial" w:hint="cs"/>
          <w:sz w:val="20"/>
          <w:szCs w:val="20"/>
          <w:rtl/>
        </w:rPr>
        <w:t>י</w:t>
      </w:r>
      <w:r w:rsidRPr="00723F2E">
        <w:rPr>
          <w:rFonts w:cs="Arial"/>
          <w:sz w:val="20"/>
          <w:szCs w:val="20"/>
          <w:rtl/>
        </w:rPr>
        <w:t>פורן נראה, אינו חוצץ</w:t>
      </w:r>
      <w:r>
        <w:rPr>
          <w:rFonts w:cs="Arial" w:hint="cs"/>
          <w:sz w:val="20"/>
          <w:szCs w:val="20"/>
          <w:rtl/>
        </w:rPr>
        <w:t>"</w:t>
      </w:r>
      <w:r w:rsidRPr="00723F2E">
        <w:rPr>
          <w:rFonts w:cs="Arial"/>
          <w:sz w:val="20"/>
          <w:szCs w:val="20"/>
          <w:rtl/>
        </w:rPr>
        <w:t>.</w:t>
      </w:r>
      <w:r>
        <w:rPr>
          <w:rFonts w:hint="cs"/>
          <w:sz w:val="20"/>
          <w:szCs w:val="20"/>
          <w:rtl/>
        </w:rPr>
        <w:br/>
      </w:r>
      <w:r w:rsidRPr="00172044">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בבית יוסף כתב שדין זה נלמד מדין חץ התחוב בבשר שאם אינו נראה אינו חוצץ, ולפי"ז אין צריך שיקרום עור על הציפורן אלא כל שאין הטיט נראה אינו חוצץ, כדין חץ.</w:t>
      </w:r>
    </w:p>
    <w:p w:rsidR="00620060" w:rsidRDefault="00620060" w:rsidP="00620060">
      <w:pPr>
        <w:rPr>
          <w:sz w:val="20"/>
          <w:szCs w:val="20"/>
          <w:rtl/>
        </w:rPr>
      </w:pPr>
      <w:r>
        <w:rPr>
          <w:sz w:val="20"/>
          <w:szCs w:val="20"/>
          <w:rtl/>
        </w:rPr>
        <w:br/>
      </w:r>
      <w:r>
        <w:rPr>
          <w:rFonts w:hint="cs"/>
          <w:b/>
          <w:bCs/>
          <w:sz w:val="20"/>
          <w:szCs w:val="20"/>
          <w:rtl/>
        </w:rPr>
        <w:t xml:space="preserve">סעיף כ </w:t>
      </w:r>
      <w:r>
        <w:rPr>
          <w:b/>
          <w:bCs/>
          <w:sz w:val="20"/>
          <w:szCs w:val="20"/>
          <w:rtl/>
        </w:rPr>
        <w:t>–</w:t>
      </w:r>
      <w:r>
        <w:rPr>
          <w:rFonts w:hint="cs"/>
          <w:b/>
          <w:bCs/>
          <w:sz w:val="20"/>
          <w:szCs w:val="20"/>
          <w:rtl/>
        </w:rPr>
        <w:t xml:space="preserve"> חציצה בציפורן עצמה</w:t>
      </w:r>
      <w:r>
        <w:rPr>
          <w:b/>
          <w:b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שולחן ערוך </w:t>
      </w:r>
      <w:r w:rsidRPr="00CB6094">
        <w:rPr>
          <w:rFonts w:hint="cs"/>
          <w:sz w:val="18"/>
          <w:szCs w:val="18"/>
          <w:rtl/>
        </w:rPr>
        <w:t xml:space="preserve">(ע"פ </w:t>
      </w:r>
      <w:r w:rsidRPr="00CB6094">
        <w:rPr>
          <w:rFonts w:hint="cs"/>
          <w:b/>
          <w:bCs/>
          <w:sz w:val="18"/>
          <w:szCs w:val="18"/>
          <w:rtl/>
        </w:rPr>
        <w:t>ראבי"ה</w:t>
      </w:r>
      <w:r w:rsidRPr="00CB6094">
        <w:rPr>
          <w:rFonts w:hint="cs"/>
          <w:sz w:val="18"/>
          <w:szCs w:val="18"/>
          <w:rtl/>
        </w:rPr>
        <w:t xml:space="preserve">) </w:t>
      </w:r>
      <w:r>
        <w:rPr>
          <w:sz w:val="20"/>
          <w:szCs w:val="20"/>
          <w:rtl/>
        </w:rPr>
        <w:t>–</w:t>
      </w:r>
      <w:r>
        <w:rPr>
          <w:rFonts w:hint="cs"/>
          <w:sz w:val="20"/>
          <w:szCs w:val="20"/>
          <w:rtl/>
        </w:rPr>
        <w:t xml:space="preserve"> "</w:t>
      </w:r>
      <w:r w:rsidRPr="00E04DC8">
        <w:rPr>
          <w:rFonts w:cs="Arial"/>
          <w:sz w:val="20"/>
          <w:szCs w:val="20"/>
          <w:rtl/>
        </w:rPr>
        <w:t>דו</w:t>
      </w:r>
      <w:r>
        <w:rPr>
          <w:rFonts w:cs="Arial" w:hint="cs"/>
          <w:sz w:val="20"/>
          <w:szCs w:val="20"/>
          <w:rtl/>
        </w:rPr>
        <w:t>ו</w:t>
      </w:r>
      <w:r w:rsidRPr="00E04DC8">
        <w:rPr>
          <w:rFonts w:cs="Arial"/>
          <w:sz w:val="20"/>
          <w:szCs w:val="20"/>
          <w:rtl/>
        </w:rPr>
        <w:t>קא בצק שתחת הצ</w:t>
      </w:r>
      <w:r>
        <w:rPr>
          <w:rFonts w:cs="Arial" w:hint="cs"/>
          <w:sz w:val="20"/>
          <w:szCs w:val="20"/>
          <w:rtl/>
        </w:rPr>
        <w:t>י</w:t>
      </w:r>
      <w:r w:rsidRPr="00E04DC8">
        <w:rPr>
          <w:rFonts w:cs="Arial"/>
          <w:sz w:val="20"/>
          <w:szCs w:val="20"/>
          <w:rtl/>
        </w:rPr>
        <w:t>פורן חוצץ, אבל הצ</w:t>
      </w:r>
      <w:r>
        <w:rPr>
          <w:rFonts w:cs="Arial" w:hint="cs"/>
          <w:sz w:val="20"/>
          <w:szCs w:val="20"/>
          <w:rtl/>
        </w:rPr>
        <w:t>י</w:t>
      </w:r>
      <w:r w:rsidRPr="00E04DC8">
        <w:rPr>
          <w:rFonts w:cs="Arial"/>
          <w:sz w:val="20"/>
          <w:szCs w:val="20"/>
          <w:rtl/>
        </w:rPr>
        <w:t>פורן עצמה אינה חוצצת. ואפילו אם היתה גדולה ועומדת ליחתך ופורחת ועוברת מכנגד הבשר, אינה חוצצת.</w:t>
      </w:r>
      <w:r w:rsidRPr="00E04DC8">
        <w:rPr>
          <w:rFonts w:cs="Arial"/>
          <w:sz w:val="18"/>
          <w:szCs w:val="18"/>
          <w:rtl/>
        </w:rPr>
        <w:t xml:space="preserve"> </w:t>
      </w:r>
      <w:r>
        <w:rPr>
          <w:rFonts w:cs="Arial" w:hint="cs"/>
          <w:sz w:val="18"/>
          <w:szCs w:val="18"/>
          <w:rtl/>
        </w:rPr>
        <w:br/>
      </w:r>
      <w:r w:rsidRPr="00E04DC8">
        <w:rPr>
          <w:rFonts w:cs="Arial"/>
          <w:sz w:val="18"/>
          <w:szCs w:val="18"/>
          <w:rtl/>
        </w:rPr>
        <w:t>הגה: מיהו כל זה דו</w:t>
      </w:r>
      <w:r w:rsidRPr="00E04DC8">
        <w:rPr>
          <w:rFonts w:cs="Arial" w:hint="cs"/>
          <w:sz w:val="18"/>
          <w:szCs w:val="18"/>
          <w:rtl/>
        </w:rPr>
        <w:t>ו</w:t>
      </w:r>
      <w:r w:rsidRPr="00E04DC8">
        <w:rPr>
          <w:rFonts w:cs="Arial"/>
          <w:sz w:val="18"/>
          <w:szCs w:val="18"/>
          <w:rtl/>
        </w:rPr>
        <w:t>קא שאין צואה או בצק תחתיו בשעה שטבלה. ומאחר דכבר נהגו ליטול הצ</w:t>
      </w:r>
      <w:r w:rsidRPr="00E04DC8">
        <w:rPr>
          <w:rFonts w:cs="Arial" w:hint="cs"/>
          <w:sz w:val="18"/>
          <w:szCs w:val="18"/>
          <w:rtl/>
        </w:rPr>
        <w:t>י</w:t>
      </w:r>
      <w:r w:rsidRPr="00E04DC8">
        <w:rPr>
          <w:rFonts w:cs="Arial"/>
          <w:sz w:val="18"/>
          <w:szCs w:val="18"/>
          <w:rtl/>
        </w:rPr>
        <w:t>פ</w:t>
      </w:r>
      <w:r w:rsidRPr="00E04DC8">
        <w:rPr>
          <w:rFonts w:cs="Arial" w:hint="cs"/>
          <w:sz w:val="18"/>
          <w:szCs w:val="18"/>
          <w:rtl/>
        </w:rPr>
        <w:t>ו</w:t>
      </w:r>
      <w:r w:rsidRPr="00E04DC8">
        <w:rPr>
          <w:rFonts w:cs="Arial"/>
          <w:sz w:val="18"/>
          <w:szCs w:val="18"/>
          <w:rtl/>
        </w:rPr>
        <w:t>רנים, אפילו אם צ</w:t>
      </w:r>
      <w:r w:rsidRPr="00E04DC8">
        <w:rPr>
          <w:rFonts w:cs="Arial" w:hint="cs"/>
          <w:sz w:val="18"/>
          <w:szCs w:val="18"/>
          <w:rtl/>
        </w:rPr>
        <w:t>י</w:t>
      </w:r>
      <w:r w:rsidRPr="00E04DC8">
        <w:rPr>
          <w:rFonts w:cs="Arial"/>
          <w:sz w:val="18"/>
          <w:szCs w:val="18"/>
          <w:rtl/>
        </w:rPr>
        <w:t>פורן אחת נשאר בידה וטבלה, צריכה טבילה אחרת. וכן נוהגין</w:t>
      </w:r>
      <w:r w:rsidRPr="00E04DC8">
        <w:rPr>
          <w:rFonts w:cs="Arial" w:hint="cs"/>
          <w:sz w:val="18"/>
          <w:szCs w:val="18"/>
          <w:rtl/>
        </w:rPr>
        <w:t>".</w:t>
      </w:r>
    </w:p>
    <w:p w:rsidR="00620060" w:rsidRDefault="00620060" w:rsidP="00620060">
      <w:pPr>
        <w:rPr>
          <w:sz w:val="20"/>
          <w:szCs w:val="20"/>
          <w:rtl/>
        </w:rPr>
      </w:pPr>
      <w:r>
        <w:rPr>
          <w:rFonts w:hint="cs"/>
          <w:b/>
          <w:bCs/>
          <w:sz w:val="20"/>
          <w:szCs w:val="20"/>
          <w:rtl/>
        </w:rPr>
        <w:t>פסיקת האחרונים בפסק הרמ"א</w:t>
      </w:r>
      <w:r w:rsidRPr="00897EBC">
        <w:rPr>
          <w:rStyle w:val="a5"/>
          <w:sz w:val="20"/>
          <w:szCs w:val="20"/>
          <w:rtl/>
        </w:rPr>
        <w:footnoteReference w:id="627"/>
      </w:r>
      <w:r>
        <w:rPr>
          <w:b/>
          <w:bCs/>
          <w:sz w:val="20"/>
          <w:szCs w:val="20"/>
          <w:rtl/>
        </w:rPr>
        <w:br/>
      </w:r>
      <w:r>
        <w:rPr>
          <w:rFonts w:hint="cs"/>
          <w:sz w:val="20"/>
          <w:szCs w:val="20"/>
          <w:u w:val="single"/>
          <w:rtl/>
        </w:rPr>
        <w:t>ט"ז</w:t>
      </w:r>
      <w:r>
        <w:rPr>
          <w:sz w:val="20"/>
          <w:szCs w:val="20"/>
          <w:u w:val="single"/>
          <w:rtl/>
        </w:rPr>
        <w:br/>
      </w:r>
      <w:r>
        <w:rPr>
          <w:rFonts w:hint="cs"/>
          <w:sz w:val="20"/>
          <w:szCs w:val="20"/>
          <w:rtl/>
        </w:rPr>
        <w:t>דין זה הוא חומרה בלבד, שהרי מעיקר הדין ציפורן נקייה אינה חוצצת.</w:t>
      </w:r>
      <w:r>
        <w:rPr>
          <w:sz w:val="20"/>
          <w:szCs w:val="20"/>
          <w:rtl/>
        </w:rPr>
        <w:br/>
      </w:r>
      <w:r>
        <w:rPr>
          <w:rFonts w:hint="cs"/>
          <w:sz w:val="20"/>
          <w:szCs w:val="20"/>
          <w:rtl/>
        </w:rPr>
        <w:t xml:space="preserve">ולכן, מסתבר שאף </w:t>
      </w:r>
      <w:r w:rsidRPr="00E04DC8">
        <w:rPr>
          <w:rFonts w:hint="cs"/>
          <w:b/>
          <w:bCs/>
          <w:sz w:val="20"/>
          <w:szCs w:val="20"/>
          <w:rtl/>
        </w:rPr>
        <w:t>הרמ"א</w:t>
      </w:r>
      <w:r>
        <w:rPr>
          <w:rFonts w:hint="cs"/>
          <w:sz w:val="20"/>
          <w:szCs w:val="20"/>
          <w:rtl/>
        </w:rPr>
        <w:t xml:space="preserve"> יקל אם כבר </w:t>
      </w:r>
      <w:r w:rsidRPr="00885E73">
        <w:rPr>
          <w:rFonts w:hint="cs"/>
          <w:sz w:val="20"/>
          <w:szCs w:val="20"/>
          <w:u w:val="single"/>
          <w:rtl/>
        </w:rPr>
        <w:t>שימשה</w:t>
      </w:r>
      <w:r>
        <w:rPr>
          <w:rFonts w:hint="cs"/>
          <w:sz w:val="20"/>
          <w:szCs w:val="20"/>
          <w:rtl/>
        </w:rPr>
        <w:t xml:space="preserve"> עם בעלה, משום שמא התעברה ויוציאו לעז על בנה.</w:t>
      </w:r>
      <w:r>
        <w:rPr>
          <w:sz w:val="20"/>
          <w:szCs w:val="20"/>
          <w:rtl/>
        </w:rPr>
        <w:br/>
      </w:r>
      <w:r w:rsidRPr="00E04DC8">
        <w:rPr>
          <w:rFonts w:hint="cs"/>
          <w:b/>
          <w:bCs/>
          <w:sz w:val="20"/>
          <w:szCs w:val="20"/>
          <w:rtl/>
        </w:rPr>
        <w:t>ומהר"ם מלובלין</w:t>
      </w:r>
      <w:r>
        <w:rPr>
          <w:rFonts w:hint="cs"/>
          <w:sz w:val="20"/>
          <w:szCs w:val="20"/>
          <w:rtl/>
        </w:rPr>
        <w:t xml:space="preserve"> כתב שאפילו רק </w:t>
      </w:r>
      <w:r w:rsidRPr="00885E73">
        <w:rPr>
          <w:rFonts w:hint="cs"/>
          <w:sz w:val="20"/>
          <w:szCs w:val="20"/>
          <w:u w:val="single"/>
          <w:rtl/>
        </w:rPr>
        <w:t>לנה</w:t>
      </w:r>
      <w:r>
        <w:rPr>
          <w:rFonts w:hint="cs"/>
          <w:sz w:val="20"/>
          <w:szCs w:val="20"/>
          <w:rtl/>
        </w:rPr>
        <w:t xml:space="preserve"> אצל בעלה אין להחמיר, משום שזהו דבר מכוער להצריכה טבילה שנית. </w:t>
      </w:r>
      <w:r>
        <w:rPr>
          <w:rFonts w:hint="cs"/>
          <w:sz w:val="20"/>
          <w:szCs w:val="20"/>
          <w:rtl/>
        </w:rPr>
        <w:br/>
      </w:r>
      <w:r>
        <w:rPr>
          <w:sz w:val="20"/>
          <w:szCs w:val="20"/>
          <w:rtl/>
        </w:rPr>
        <w:br/>
      </w:r>
      <w:r>
        <w:rPr>
          <w:rFonts w:hint="cs"/>
          <w:sz w:val="20"/>
          <w:szCs w:val="20"/>
          <w:rtl/>
        </w:rPr>
        <w:t xml:space="preserve">ואמנם, אם לא שימשה, אז אפילו אם רק מסופק לה שמא הציפורן היתה מלוכלכת, צריכה לטבול. </w:t>
      </w:r>
      <w:r>
        <w:rPr>
          <w:sz w:val="20"/>
          <w:szCs w:val="20"/>
          <w:rtl/>
        </w:rPr>
        <w:br/>
      </w:r>
      <w:r>
        <w:rPr>
          <w:rFonts w:hint="cs"/>
          <w:sz w:val="20"/>
          <w:szCs w:val="20"/>
          <w:rtl/>
        </w:rPr>
        <w:t>אבל אם שימשה אין לה לחזור ולטבול מחמת ספק שמא היה לכלוך, כיוון שמיעוטו ומקפיד הוי חומרה דרבנן בלבד, וכן משום שר"ת הקל בטיט שאינו דבוק.</w:t>
      </w:r>
    </w:p>
    <w:p w:rsidR="00620060" w:rsidRPr="00885E73" w:rsidRDefault="00620060" w:rsidP="00620060">
      <w:pPr>
        <w:rPr>
          <w:sz w:val="20"/>
          <w:szCs w:val="20"/>
        </w:rPr>
      </w:pPr>
      <w:r w:rsidRPr="00885E73">
        <w:rPr>
          <w:rFonts w:hint="cs"/>
          <w:sz w:val="20"/>
          <w:szCs w:val="20"/>
          <w:u w:val="single"/>
          <w:rtl/>
        </w:rPr>
        <w:lastRenderedPageBreak/>
        <w:t>ב"ח וש"ך</w:t>
      </w:r>
      <w:r>
        <w:rPr>
          <w:rFonts w:hint="cs"/>
          <w:sz w:val="20"/>
          <w:szCs w:val="20"/>
          <w:u w:val="single"/>
          <w:rtl/>
        </w:rPr>
        <w:br/>
      </w:r>
      <w:r>
        <w:rPr>
          <w:rFonts w:hint="cs"/>
          <w:sz w:val="20"/>
          <w:szCs w:val="20"/>
          <w:rtl/>
        </w:rPr>
        <w:t xml:space="preserve">דברי </w:t>
      </w:r>
      <w:r w:rsidRPr="00885E73">
        <w:rPr>
          <w:rFonts w:hint="cs"/>
          <w:b/>
          <w:bCs/>
          <w:sz w:val="20"/>
          <w:szCs w:val="20"/>
          <w:rtl/>
        </w:rPr>
        <w:t>הרמ"א</w:t>
      </w:r>
      <w:r>
        <w:rPr>
          <w:rFonts w:hint="cs"/>
          <w:sz w:val="20"/>
          <w:szCs w:val="20"/>
          <w:rtl/>
        </w:rPr>
        <w:t xml:space="preserve"> אינם חומרה אלא כך יש לנהוג.</w:t>
      </w:r>
      <w:r>
        <w:rPr>
          <w:rStyle w:val="a5"/>
          <w:sz w:val="20"/>
          <w:szCs w:val="20"/>
          <w:rtl/>
        </w:rPr>
        <w:footnoteReference w:id="628"/>
      </w:r>
      <w:r>
        <w:rPr>
          <w:sz w:val="20"/>
          <w:szCs w:val="20"/>
          <w:rtl/>
        </w:rPr>
        <w:br/>
      </w:r>
      <w:r w:rsidRPr="00885E73">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w:t>
      </w:r>
      <w:r w:rsidRPr="00885E73">
        <w:rPr>
          <w:rFonts w:hint="cs"/>
          <w:b/>
          <w:bCs/>
          <w:sz w:val="20"/>
          <w:szCs w:val="20"/>
          <w:rtl/>
        </w:rPr>
        <w:t>ראב"ן</w:t>
      </w:r>
      <w:r>
        <w:rPr>
          <w:rFonts w:hint="cs"/>
          <w:sz w:val="20"/>
          <w:szCs w:val="20"/>
          <w:rtl/>
        </w:rPr>
        <w:t xml:space="preserve"> כתב שכיוון שעתידה לגזור ציפורניה, הרי שכעת הן חוצצות.</w:t>
      </w:r>
      <w:r>
        <w:rPr>
          <w:rFonts w:hint="cs"/>
          <w:sz w:val="20"/>
          <w:szCs w:val="20"/>
          <w:rtl/>
        </w:rPr>
        <w:br/>
        <w:t xml:space="preserve">אמנם, אם עבר הלילה וכעת אין אפשרות לטבול שנית </w:t>
      </w:r>
      <w:r>
        <w:rPr>
          <w:sz w:val="20"/>
          <w:szCs w:val="20"/>
          <w:rtl/>
        </w:rPr>
        <w:t>–</w:t>
      </w:r>
      <w:r>
        <w:rPr>
          <w:rFonts w:hint="cs"/>
          <w:sz w:val="20"/>
          <w:szCs w:val="20"/>
          <w:rtl/>
        </w:rPr>
        <w:t xml:space="preserve"> לא תטבול.</w:t>
      </w:r>
    </w:p>
    <w:p w:rsidR="00620060" w:rsidRDefault="00620060" w:rsidP="00620060">
      <w:pPr>
        <w:rPr>
          <w:sz w:val="20"/>
          <w:szCs w:val="20"/>
          <w:u w:val="single"/>
          <w:rtl/>
        </w:rPr>
      </w:pPr>
      <w:r>
        <w:rPr>
          <w:rFonts w:hint="cs"/>
          <w:b/>
          <w:bCs/>
          <w:sz w:val="20"/>
          <w:szCs w:val="20"/>
          <w:rtl/>
        </w:rPr>
        <w:t>נטילת הציפורניים בחול המועד ובשבת</w:t>
      </w:r>
      <w:r>
        <w:rPr>
          <w:b/>
          <w:bCs/>
          <w:sz w:val="20"/>
          <w:szCs w:val="20"/>
          <w:rtl/>
        </w:rPr>
        <w:br/>
      </w:r>
      <w:r>
        <w:rPr>
          <w:rFonts w:hint="cs"/>
          <w:sz w:val="20"/>
          <w:szCs w:val="20"/>
          <w:u w:val="single"/>
          <w:rtl/>
        </w:rPr>
        <w:t>האם ובאיזה אופן מותר לגזור ציפורניים בחול המועד?</w:t>
      </w:r>
      <w:r>
        <w:rPr>
          <w:rFonts w:hint="cs"/>
          <w:sz w:val="20"/>
          <w:szCs w:val="20"/>
          <w:u w:val="single"/>
          <w:rtl/>
        </w:rPr>
        <w:br/>
      </w:r>
      <w:r>
        <w:rPr>
          <w:rFonts w:hint="cs"/>
          <w:sz w:val="20"/>
          <w:szCs w:val="20"/>
          <w:rtl/>
        </w:rPr>
        <w:t xml:space="preserve">א. </w:t>
      </w:r>
      <w:r w:rsidRPr="00BA2057">
        <w:rPr>
          <w:rFonts w:hint="cs"/>
          <w:b/>
          <w:bCs/>
          <w:sz w:val="20"/>
          <w:szCs w:val="20"/>
          <w:rtl/>
        </w:rPr>
        <w:t>רי"ף</w:t>
      </w:r>
      <w:r>
        <w:rPr>
          <w:rFonts w:hint="cs"/>
          <w:sz w:val="20"/>
          <w:szCs w:val="20"/>
          <w:rtl/>
        </w:rPr>
        <w:t xml:space="preserve">, </w:t>
      </w:r>
      <w:r w:rsidRPr="00BA2057">
        <w:rPr>
          <w:rFonts w:hint="cs"/>
          <w:b/>
          <w:bCs/>
          <w:sz w:val="20"/>
          <w:szCs w:val="20"/>
          <w:rtl/>
        </w:rPr>
        <w:t>רמב"ם</w:t>
      </w:r>
      <w:r>
        <w:rPr>
          <w:rFonts w:hint="cs"/>
          <w:sz w:val="20"/>
          <w:szCs w:val="20"/>
          <w:rtl/>
        </w:rPr>
        <w:t xml:space="preserve"> </w:t>
      </w:r>
      <w:r w:rsidRPr="00BA2057">
        <w:rPr>
          <w:rFonts w:hint="cs"/>
          <w:b/>
          <w:bCs/>
          <w:sz w:val="20"/>
          <w:szCs w:val="20"/>
          <w:rtl/>
        </w:rPr>
        <w:t>ורא"ש</w:t>
      </w:r>
      <w:r>
        <w:rPr>
          <w:rFonts w:hint="cs"/>
          <w:sz w:val="20"/>
          <w:szCs w:val="20"/>
          <w:rtl/>
        </w:rPr>
        <w:t xml:space="preserve"> </w:t>
      </w:r>
      <w:r>
        <w:rPr>
          <w:sz w:val="20"/>
          <w:szCs w:val="20"/>
          <w:rtl/>
        </w:rPr>
        <w:t>–</w:t>
      </w:r>
      <w:r>
        <w:rPr>
          <w:rFonts w:hint="cs"/>
          <w:sz w:val="20"/>
          <w:szCs w:val="20"/>
          <w:rtl/>
        </w:rPr>
        <w:t xml:space="preserve"> מותר לגזור אפילו בכלי, וכ"פ </w:t>
      </w:r>
      <w:r w:rsidRPr="00BA2057">
        <w:rPr>
          <w:rFonts w:hint="cs"/>
          <w:b/>
          <w:bCs/>
          <w:sz w:val="20"/>
          <w:szCs w:val="20"/>
          <w:rtl/>
        </w:rPr>
        <w:t>ה</w:t>
      </w:r>
      <w:r>
        <w:rPr>
          <w:rFonts w:hint="cs"/>
          <w:b/>
          <w:bCs/>
          <w:sz w:val="20"/>
          <w:szCs w:val="20"/>
          <w:rtl/>
        </w:rPr>
        <w:t xml:space="preserve">מחבר </w:t>
      </w:r>
      <w:r w:rsidRPr="00BA2057">
        <w:rPr>
          <w:rFonts w:hint="cs"/>
          <w:sz w:val="18"/>
          <w:szCs w:val="18"/>
          <w:rtl/>
        </w:rPr>
        <w:t xml:space="preserve">(באו"ח) </w:t>
      </w:r>
      <w:r>
        <w:rPr>
          <w:rFonts w:hint="cs"/>
          <w:b/>
          <w:bCs/>
          <w:sz w:val="20"/>
          <w:szCs w:val="20"/>
          <w:rtl/>
        </w:rPr>
        <w:t>ו</w:t>
      </w:r>
      <w:r w:rsidRPr="00BA2057">
        <w:rPr>
          <w:rFonts w:hint="cs"/>
          <w:b/>
          <w:bCs/>
          <w:sz w:val="20"/>
          <w:szCs w:val="20"/>
          <w:rtl/>
        </w:rPr>
        <w:t>ט"ז</w:t>
      </w:r>
      <w:r>
        <w:rPr>
          <w:rFonts w:hint="cs"/>
          <w:sz w:val="20"/>
          <w:szCs w:val="20"/>
          <w:rtl/>
        </w:rPr>
        <w:t xml:space="preserve"> </w:t>
      </w:r>
      <w:r w:rsidRPr="00BA2057">
        <w:rPr>
          <w:rFonts w:hint="cs"/>
          <w:sz w:val="18"/>
          <w:szCs w:val="18"/>
          <w:rtl/>
        </w:rPr>
        <w:t>(כאן)</w:t>
      </w:r>
      <w:r>
        <w:rPr>
          <w:rFonts w:hint="cs"/>
          <w:sz w:val="20"/>
          <w:szCs w:val="20"/>
          <w:rtl/>
        </w:rPr>
        <w:t>.</w:t>
      </w:r>
      <w:r>
        <w:rPr>
          <w:sz w:val="20"/>
          <w:szCs w:val="20"/>
          <w:rtl/>
        </w:rPr>
        <w:br/>
      </w:r>
      <w:r>
        <w:rPr>
          <w:rFonts w:hint="cs"/>
          <w:sz w:val="20"/>
          <w:szCs w:val="20"/>
          <w:rtl/>
        </w:rPr>
        <w:t xml:space="preserve">ב. </w:t>
      </w:r>
      <w:r w:rsidRPr="00BA2057">
        <w:rPr>
          <w:rFonts w:hint="cs"/>
          <w:b/>
          <w:bCs/>
          <w:sz w:val="20"/>
          <w:szCs w:val="20"/>
          <w:rtl/>
        </w:rPr>
        <w:t xml:space="preserve">מרדכי </w:t>
      </w:r>
      <w:r>
        <w:rPr>
          <w:sz w:val="20"/>
          <w:szCs w:val="20"/>
          <w:rtl/>
        </w:rPr>
        <w:t>–</w:t>
      </w:r>
      <w:r>
        <w:rPr>
          <w:rFonts w:hint="cs"/>
          <w:sz w:val="20"/>
          <w:szCs w:val="20"/>
          <w:rtl/>
        </w:rPr>
        <w:t xml:space="preserve"> אסור לגזור ציפורניים בחוה"מ, אך לצורך טבילה שהיא מצווה מותר לומר לגויה לגזור.</w:t>
      </w:r>
      <w:r>
        <w:rPr>
          <w:sz w:val="20"/>
          <w:szCs w:val="20"/>
          <w:rtl/>
        </w:rPr>
        <w:br/>
      </w:r>
      <w:r w:rsidRPr="00BA2057">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אמירה לגוי שבות, ובמקום מצווה מותר.</w:t>
      </w:r>
      <w:r w:rsidRPr="00B55921">
        <w:rPr>
          <w:rFonts w:hint="cs"/>
          <w:sz w:val="20"/>
          <w:szCs w:val="20"/>
          <w:rtl/>
        </w:rPr>
        <w:t xml:space="preserve"> </w:t>
      </w:r>
      <w:r>
        <w:rPr>
          <w:rFonts w:hint="cs"/>
          <w:sz w:val="20"/>
          <w:szCs w:val="20"/>
          <w:rtl/>
        </w:rPr>
        <w:t>אך אם אין גויה תנקה את ציפורניה היטב ודי בכך.</w:t>
      </w:r>
      <w:r>
        <w:rPr>
          <w:rFonts w:hint="cs"/>
          <w:sz w:val="20"/>
          <w:szCs w:val="20"/>
          <w:u w:val="single"/>
          <w:rtl/>
        </w:rPr>
        <w:br/>
      </w:r>
      <w:r>
        <w:rPr>
          <w:rFonts w:hint="cs"/>
          <w:sz w:val="20"/>
          <w:szCs w:val="20"/>
          <w:rtl/>
        </w:rPr>
        <w:t xml:space="preserve">ג. </w:t>
      </w:r>
      <w:r w:rsidRPr="00BA2057">
        <w:rPr>
          <w:rFonts w:hint="cs"/>
          <w:b/>
          <w:bCs/>
          <w:sz w:val="20"/>
          <w:szCs w:val="20"/>
          <w:rtl/>
        </w:rPr>
        <w:t>סמ"ג</w:t>
      </w:r>
      <w:r>
        <w:rPr>
          <w:rFonts w:hint="cs"/>
          <w:sz w:val="20"/>
          <w:szCs w:val="20"/>
          <w:rtl/>
        </w:rPr>
        <w:t xml:space="preserve"> </w:t>
      </w:r>
      <w:r>
        <w:rPr>
          <w:sz w:val="20"/>
          <w:szCs w:val="20"/>
          <w:rtl/>
        </w:rPr>
        <w:t>–</w:t>
      </w:r>
      <w:r>
        <w:rPr>
          <w:rFonts w:hint="cs"/>
          <w:sz w:val="20"/>
          <w:szCs w:val="20"/>
          <w:rtl/>
        </w:rPr>
        <w:t xml:space="preserve"> מותר לחתוך בשינוי</w:t>
      </w:r>
      <w:r>
        <w:rPr>
          <w:rStyle w:val="a5"/>
          <w:sz w:val="20"/>
          <w:szCs w:val="20"/>
          <w:rtl/>
        </w:rPr>
        <w:footnoteReference w:id="629"/>
      </w:r>
      <w:r>
        <w:rPr>
          <w:rFonts w:hint="cs"/>
          <w:sz w:val="20"/>
          <w:szCs w:val="20"/>
          <w:rtl/>
        </w:rPr>
        <w:t xml:space="preserve"> או לומר לגויה, ואם אינה יכולה בשני אופנים אלו תסתפק בניקוי יסודי.</w:t>
      </w:r>
    </w:p>
    <w:p w:rsidR="00620060" w:rsidRPr="00C23459" w:rsidRDefault="00620060" w:rsidP="00620060">
      <w:pPr>
        <w:rPr>
          <w:sz w:val="20"/>
          <w:szCs w:val="20"/>
          <w:rtl/>
        </w:rPr>
      </w:pPr>
      <w:r>
        <w:rPr>
          <w:rFonts w:hint="cs"/>
          <w:sz w:val="20"/>
          <w:szCs w:val="20"/>
          <w:u w:val="single"/>
          <w:rtl/>
        </w:rPr>
        <w:t>המנהג למעשה</w:t>
      </w:r>
      <w:r>
        <w:rPr>
          <w:rFonts w:hint="cs"/>
          <w:sz w:val="20"/>
          <w:szCs w:val="20"/>
          <w:rtl/>
        </w:rPr>
        <w:t xml:space="preserve"> </w:t>
      </w:r>
      <w:r>
        <w:rPr>
          <w:sz w:val="20"/>
          <w:szCs w:val="20"/>
          <w:rtl/>
        </w:rPr>
        <w:t>–</w:t>
      </w:r>
      <w:r>
        <w:rPr>
          <w:rFonts w:hint="cs"/>
          <w:sz w:val="20"/>
          <w:szCs w:val="20"/>
          <w:rtl/>
        </w:rPr>
        <w:t xml:space="preserve"> נהגו להקל ליטול את הציפורניים בחול המועד לצורך טבילה </w:t>
      </w:r>
      <w:r w:rsidRPr="00C23459">
        <w:rPr>
          <w:rFonts w:hint="cs"/>
          <w:sz w:val="18"/>
          <w:szCs w:val="18"/>
          <w:rtl/>
        </w:rPr>
        <w:t>(וכן נהגו גם באשה אבלה)</w:t>
      </w:r>
      <w:r>
        <w:rPr>
          <w:rFonts w:hint="cs"/>
          <w:sz w:val="20"/>
          <w:szCs w:val="20"/>
          <w:rtl/>
        </w:rPr>
        <w:t>.</w:t>
      </w:r>
    </w:p>
    <w:p w:rsidR="00620060" w:rsidRDefault="00620060" w:rsidP="00620060">
      <w:pPr>
        <w:rPr>
          <w:sz w:val="20"/>
          <w:szCs w:val="20"/>
          <w:rtl/>
        </w:rPr>
      </w:pPr>
      <w:r>
        <w:rPr>
          <w:rFonts w:hint="cs"/>
          <w:sz w:val="20"/>
          <w:szCs w:val="20"/>
          <w:u w:val="single"/>
          <w:rtl/>
        </w:rPr>
        <w:t>גזירת ציפורניים בשבת</w:t>
      </w:r>
      <w:r>
        <w:rPr>
          <w:rFonts w:hint="cs"/>
          <w:sz w:val="20"/>
          <w:szCs w:val="20"/>
          <w:u w:val="single"/>
          <w:rtl/>
        </w:rPr>
        <w:br/>
      </w:r>
      <w:r w:rsidRPr="00B55921">
        <w:rPr>
          <w:rFonts w:hint="cs"/>
          <w:sz w:val="20"/>
          <w:szCs w:val="20"/>
          <w:rtl/>
        </w:rPr>
        <w:t>מה תעשה אשה שליל טבילתה חל בשבת ושכחה ליטול ציפורניה מבעוד יום?</w:t>
      </w:r>
      <w:r>
        <w:rPr>
          <w:sz w:val="20"/>
          <w:szCs w:val="20"/>
          <w:u w:val="single"/>
          <w:rtl/>
        </w:rPr>
        <w:br/>
      </w:r>
      <w:r>
        <w:rPr>
          <w:rFonts w:hint="cs"/>
          <w:sz w:val="20"/>
          <w:szCs w:val="20"/>
          <w:rtl/>
        </w:rPr>
        <w:t xml:space="preserve">א. </w:t>
      </w:r>
      <w:r w:rsidRPr="00B55921">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תנקה את הציפורן היטב ותו לא.</w:t>
      </w:r>
      <w:r>
        <w:rPr>
          <w:sz w:val="20"/>
          <w:szCs w:val="20"/>
          <w:rtl/>
        </w:rPr>
        <w:br/>
      </w:r>
      <w:r w:rsidRPr="00B55921">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אין להקל באמירה לגויה, כיוון שאמירה לגוי אסורה מדרבנן ואין להקל כשניתן לנקות.</w:t>
      </w:r>
      <w:r>
        <w:rPr>
          <w:sz w:val="20"/>
          <w:szCs w:val="20"/>
          <w:rtl/>
        </w:rPr>
        <w:br/>
      </w:r>
      <w:r>
        <w:rPr>
          <w:rFonts w:hint="cs"/>
          <w:sz w:val="20"/>
          <w:szCs w:val="20"/>
          <w:rtl/>
        </w:rPr>
        <w:t>ועוד, בהכרח שהאשה תסייע מעט לגויה ע"י כך שתטה מעט את ידה, ומסייע אסור.</w:t>
      </w:r>
      <w:r>
        <w:rPr>
          <w:rFonts w:hint="cs"/>
          <w:sz w:val="20"/>
          <w:szCs w:val="20"/>
          <w:rtl/>
        </w:rPr>
        <w:br/>
        <w:t xml:space="preserve">ראיה לכך שמסייע אסור </w:t>
      </w:r>
      <w:r>
        <w:rPr>
          <w:sz w:val="20"/>
          <w:szCs w:val="20"/>
          <w:rtl/>
        </w:rPr>
        <w:t>–</w:t>
      </w:r>
      <w:r>
        <w:rPr>
          <w:rFonts w:hint="cs"/>
          <w:sz w:val="20"/>
          <w:szCs w:val="20"/>
          <w:rtl/>
        </w:rPr>
        <w:t xml:space="preserve"> לגבי הקפת הראש נאמר שגם הניקף חייב אם סייע מעט ע"י הטיית ראשו וכה"ג.</w:t>
      </w:r>
      <w:r>
        <w:rPr>
          <w:sz w:val="20"/>
          <w:szCs w:val="20"/>
          <w:rtl/>
        </w:rPr>
        <w:br/>
      </w:r>
      <w:r>
        <w:rPr>
          <w:rFonts w:hint="cs"/>
          <w:sz w:val="20"/>
          <w:szCs w:val="20"/>
          <w:rtl/>
        </w:rPr>
        <w:br/>
        <w:t xml:space="preserve">ב. </w:t>
      </w:r>
      <w:r w:rsidRPr="004B6E43">
        <w:rPr>
          <w:rFonts w:hint="cs"/>
          <w:b/>
          <w:bCs/>
          <w:sz w:val="20"/>
          <w:szCs w:val="20"/>
          <w:rtl/>
        </w:rPr>
        <w:t xml:space="preserve">נקודות הכסף </w:t>
      </w:r>
      <w:r>
        <w:rPr>
          <w:sz w:val="20"/>
          <w:szCs w:val="20"/>
          <w:rtl/>
        </w:rPr>
        <w:t>–</w:t>
      </w:r>
      <w:r>
        <w:rPr>
          <w:rFonts w:hint="cs"/>
          <w:sz w:val="20"/>
          <w:szCs w:val="20"/>
          <w:rtl/>
        </w:rPr>
        <w:t xml:space="preserve"> תאמר לגויה ליטול את ציפורניה ביד או בשיניים, ועיין הערה.</w:t>
      </w:r>
      <w:r>
        <w:rPr>
          <w:rStyle w:val="a5"/>
          <w:sz w:val="20"/>
          <w:szCs w:val="20"/>
          <w:rtl/>
        </w:rPr>
        <w:footnoteReference w:id="630"/>
      </w:r>
      <w:r>
        <w:rPr>
          <w:rFonts w:hint="cs"/>
          <w:sz w:val="20"/>
          <w:szCs w:val="20"/>
          <w:rtl/>
        </w:rPr>
        <w:br/>
      </w:r>
      <w:r w:rsidRPr="004B6E43">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נטילת הציפורניים היא מצווה, ובוודאי לדעת ראב"ן הסובר שהיא חוצצת לגמרי הוי דין גמור, ובכה"ג מותר לומר לגויה ליטול אותן בשינוי, כדין כל אמירה לגוי בשבת שהותרה בשבות דשבות במקום מצווה.</w:t>
      </w:r>
      <w:r>
        <w:rPr>
          <w:rFonts w:hint="cs"/>
          <w:sz w:val="20"/>
          <w:szCs w:val="20"/>
          <w:rtl/>
        </w:rPr>
        <w:br/>
        <w:t xml:space="preserve">ולעניין מסייע לא קשה מידי </w:t>
      </w:r>
      <w:r>
        <w:rPr>
          <w:sz w:val="20"/>
          <w:szCs w:val="20"/>
          <w:rtl/>
        </w:rPr>
        <w:t>–</w:t>
      </w:r>
      <w:r>
        <w:rPr>
          <w:rFonts w:hint="cs"/>
          <w:sz w:val="20"/>
          <w:szCs w:val="20"/>
          <w:rtl/>
        </w:rPr>
        <w:t xml:space="preserve"> קיי"ל במסכת שבת "מסייע אין בו ממש" ואפילו לכתחילה מותר. ולעניין הקפת הראש הוי דין מיוחד, כיוון ש"אחד המקיף ואחד הניקף במשמע".</w:t>
      </w:r>
    </w:p>
    <w:p w:rsidR="00620060" w:rsidRPr="001B7B2A" w:rsidRDefault="00620060" w:rsidP="00620060">
      <w:pPr>
        <w:rPr>
          <w:sz w:val="20"/>
          <w:szCs w:val="20"/>
          <w:rtl/>
        </w:rPr>
      </w:pPr>
      <w:r>
        <w:rPr>
          <w:rFonts w:hint="cs"/>
          <w:sz w:val="20"/>
          <w:szCs w:val="20"/>
          <w:u w:val="single"/>
          <w:rtl/>
        </w:rPr>
        <w:t>הכרעת הפוסקים</w:t>
      </w:r>
      <w:r>
        <w:rPr>
          <w:rFonts w:hint="cs"/>
          <w:sz w:val="20"/>
          <w:szCs w:val="20"/>
          <w:rtl/>
        </w:rPr>
        <w:t xml:space="preserve"> </w:t>
      </w:r>
      <w:r>
        <w:rPr>
          <w:sz w:val="20"/>
          <w:szCs w:val="20"/>
          <w:rtl/>
        </w:rPr>
        <w:t>–</w:t>
      </w:r>
      <w:r>
        <w:rPr>
          <w:rFonts w:hint="cs"/>
          <w:sz w:val="20"/>
          <w:szCs w:val="20"/>
          <w:rtl/>
        </w:rPr>
        <w:t xml:space="preserve"> </w:t>
      </w:r>
      <w:r>
        <w:rPr>
          <w:sz w:val="20"/>
          <w:szCs w:val="20"/>
          <w:rtl/>
        </w:rPr>
        <w:br/>
      </w:r>
      <w:r w:rsidRPr="00897EBC">
        <w:rPr>
          <w:rFonts w:hint="cs"/>
          <w:b/>
          <w:bCs/>
          <w:sz w:val="20"/>
          <w:szCs w:val="20"/>
          <w:rtl/>
        </w:rPr>
        <w:t>מגן אברהם ומשנה ברורה</w:t>
      </w:r>
      <w:r>
        <w:rPr>
          <w:rFonts w:hint="cs"/>
          <w:sz w:val="20"/>
          <w:szCs w:val="20"/>
          <w:rtl/>
        </w:rPr>
        <w:t xml:space="preserve"> - תאמר לגויה ליטול בשינוי, אם אי אפשר תיטול בכלי. אם אין גויה תנקה היטב.</w:t>
      </w:r>
      <w:r>
        <w:rPr>
          <w:rStyle w:val="a5"/>
          <w:sz w:val="20"/>
          <w:szCs w:val="20"/>
          <w:rtl/>
        </w:rPr>
        <w:footnoteReference w:id="631"/>
      </w:r>
      <w:r>
        <w:rPr>
          <w:rFonts w:hint="cs"/>
          <w:sz w:val="20"/>
          <w:szCs w:val="20"/>
          <w:rtl/>
        </w:rPr>
        <w:br/>
      </w:r>
      <w:r w:rsidRPr="00897EBC">
        <w:rPr>
          <w:rFonts w:hint="cs"/>
          <w:b/>
          <w:bCs/>
          <w:sz w:val="20"/>
          <w:szCs w:val="20"/>
          <w:rtl/>
        </w:rPr>
        <w:t>פת"ש</w:t>
      </w:r>
      <w:r>
        <w:rPr>
          <w:rFonts w:hint="cs"/>
          <w:sz w:val="20"/>
          <w:szCs w:val="20"/>
          <w:rtl/>
        </w:rPr>
        <w:t xml:space="preserve"> </w:t>
      </w:r>
      <w:r>
        <w:rPr>
          <w:sz w:val="20"/>
          <w:szCs w:val="20"/>
          <w:rtl/>
        </w:rPr>
        <w:t>–</w:t>
      </w:r>
      <w:r>
        <w:rPr>
          <w:rFonts w:hint="cs"/>
          <w:sz w:val="20"/>
          <w:szCs w:val="20"/>
          <w:rtl/>
        </w:rPr>
        <w:t xml:space="preserve"> אין להקל בכלי אלא רק בשינוי, דהיינו בידיה או בשיניה.</w:t>
      </w:r>
    </w:p>
    <w:p w:rsidR="00620060" w:rsidRDefault="00620060" w:rsidP="00620060">
      <w:pPr>
        <w:rPr>
          <w:sz w:val="20"/>
          <w:szCs w:val="20"/>
          <w:u w:val="single"/>
          <w:rtl/>
        </w:rPr>
      </w:pPr>
      <w:r>
        <w:rPr>
          <w:rFonts w:hint="cs"/>
          <w:sz w:val="20"/>
          <w:szCs w:val="20"/>
          <w:u w:val="single"/>
          <w:rtl/>
        </w:rPr>
        <w:t>ציפורני הרגליים (פת"ש)</w:t>
      </w:r>
      <w:r>
        <w:rPr>
          <w:rFonts w:hint="cs"/>
          <w:sz w:val="20"/>
          <w:szCs w:val="20"/>
          <w:u w:val="single"/>
          <w:rtl/>
        </w:rPr>
        <w:br/>
      </w:r>
      <w:r w:rsidRPr="00286E5A">
        <w:rPr>
          <w:rFonts w:hint="cs"/>
          <w:b/>
          <w:bCs/>
          <w:sz w:val="20"/>
          <w:szCs w:val="20"/>
          <w:rtl/>
        </w:rPr>
        <w:t>חמודי דניאל</w:t>
      </w:r>
      <w:r>
        <w:rPr>
          <w:rFonts w:hint="cs"/>
          <w:sz w:val="20"/>
          <w:szCs w:val="20"/>
          <w:rtl/>
        </w:rPr>
        <w:t xml:space="preserve"> </w:t>
      </w:r>
      <w:r>
        <w:rPr>
          <w:sz w:val="20"/>
          <w:szCs w:val="20"/>
          <w:rtl/>
        </w:rPr>
        <w:t>–</w:t>
      </w:r>
      <w:r>
        <w:rPr>
          <w:rFonts w:hint="cs"/>
          <w:sz w:val="20"/>
          <w:szCs w:val="20"/>
          <w:rtl/>
        </w:rPr>
        <w:t xml:space="preserve"> אשה שלא נטלה את ציפורני רגליה, בדיעבד יש להקל אפילו אם אינה יודעת אם היו נקיות, ואפשר שיש להקל אפילו אם יודעת בוודאי שלא היו נקיות.</w:t>
      </w:r>
      <w:r>
        <w:rPr>
          <w:sz w:val="20"/>
          <w:szCs w:val="20"/>
          <w:rtl/>
        </w:rPr>
        <w:br/>
      </w:r>
      <w:r w:rsidRPr="0040530F">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אין דרך הנשים להקפיד על ציפורני הרגליים.</w:t>
      </w:r>
      <w:r>
        <w:rPr>
          <w:rStyle w:val="a5"/>
          <w:sz w:val="20"/>
          <w:szCs w:val="20"/>
          <w:rtl/>
        </w:rPr>
        <w:footnoteReference w:id="632"/>
      </w:r>
    </w:p>
    <w:p w:rsidR="00620060" w:rsidRDefault="00620060" w:rsidP="00620060">
      <w:pPr>
        <w:rPr>
          <w:rFonts w:cs="David"/>
          <w:rtl/>
        </w:rPr>
      </w:pPr>
      <w:r>
        <w:rPr>
          <w:rFonts w:hint="cs"/>
          <w:sz w:val="20"/>
          <w:szCs w:val="20"/>
          <w:u w:val="single"/>
          <w:rtl/>
        </w:rPr>
        <w:t>נשים שאינן רוצות ליטול את ציפורניהן</w:t>
      </w:r>
      <w:r>
        <w:rPr>
          <w:sz w:val="20"/>
          <w:szCs w:val="20"/>
          <w:u w:val="single"/>
          <w:rtl/>
        </w:rPr>
        <w:br/>
      </w:r>
      <w:r w:rsidRPr="00286E5A">
        <w:rPr>
          <w:rFonts w:hint="cs"/>
          <w:b/>
          <w:bCs/>
          <w:sz w:val="20"/>
          <w:szCs w:val="20"/>
          <w:rtl/>
        </w:rPr>
        <w:t>אחיעזר</w:t>
      </w:r>
      <w:r>
        <w:rPr>
          <w:rFonts w:hint="cs"/>
          <w:sz w:val="20"/>
          <w:szCs w:val="20"/>
          <w:rtl/>
        </w:rPr>
        <w:t xml:space="preserve"> </w:t>
      </w:r>
      <w:r w:rsidRPr="00286E5A">
        <w:rPr>
          <w:rFonts w:hint="cs"/>
          <w:sz w:val="18"/>
          <w:szCs w:val="18"/>
          <w:rtl/>
        </w:rPr>
        <w:t xml:space="preserve">(ג, לג) </w:t>
      </w:r>
      <w:r>
        <w:rPr>
          <w:sz w:val="20"/>
          <w:szCs w:val="20"/>
          <w:rtl/>
        </w:rPr>
        <w:t>–</w:t>
      </w:r>
      <w:r>
        <w:rPr>
          <w:rFonts w:hint="cs"/>
          <w:sz w:val="20"/>
          <w:szCs w:val="20"/>
          <w:rtl/>
        </w:rPr>
        <w:t xml:space="preserve"> לכתחילה יש לנסות להשפיע על נשים אלו לגזור את הציפורניים. ואמנם אם הדבר אינו אפשרי ויש חשש שמא יימנעו לגמרי מטבילה, יש להקל שיטבלו כך ובלבד שיקפידו היטב על ניקיון הציפורניים.</w:t>
      </w:r>
      <w:r>
        <w:rPr>
          <w:rFonts w:hint="cs"/>
          <w:sz w:val="20"/>
          <w:szCs w:val="20"/>
          <w:rtl/>
        </w:rPr>
        <w:br/>
        <w:t>ועוד סייג את דבריו שלא להורות כך ברבים, אלא רק להורות זאת לבלנית.</w:t>
      </w:r>
      <w:r>
        <w:rPr>
          <w:rStyle w:val="a5"/>
          <w:sz w:val="20"/>
          <w:szCs w:val="20"/>
          <w:rtl/>
        </w:rPr>
        <w:footnoteReference w:id="633"/>
      </w:r>
    </w:p>
    <w:p w:rsidR="00620060" w:rsidRDefault="00620060" w:rsidP="00620060">
      <w:pPr>
        <w:rPr>
          <w:sz w:val="20"/>
          <w:szCs w:val="20"/>
          <w:rtl/>
        </w:rPr>
      </w:pPr>
      <w:r w:rsidRPr="00BF799C">
        <w:rPr>
          <w:rFonts w:hint="cs"/>
          <w:b/>
          <w:bCs/>
          <w:sz w:val="20"/>
          <w:szCs w:val="20"/>
          <w:rtl/>
        </w:rPr>
        <w:lastRenderedPageBreak/>
        <w:t>סיכום</w:t>
      </w:r>
      <w:r>
        <w:rPr>
          <w:sz w:val="20"/>
          <w:szCs w:val="20"/>
          <w:rtl/>
        </w:rPr>
        <w:br/>
      </w:r>
      <w:r>
        <w:rPr>
          <w:rFonts w:hint="cs"/>
          <w:sz w:val="20"/>
          <w:szCs w:val="20"/>
          <w:rtl/>
        </w:rPr>
        <w:t xml:space="preserve">1. </w:t>
      </w:r>
      <w:r w:rsidRPr="00086B82">
        <w:rPr>
          <w:rFonts w:hint="cs"/>
          <w:b/>
          <w:bCs/>
          <w:sz w:val="20"/>
          <w:szCs w:val="20"/>
          <w:rtl/>
        </w:rPr>
        <w:t>מחבר</w:t>
      </w:r>
      <w:r>
        <w:rPr>
          <w:rFonts w:hint="cs"/>
          <w:sz w:val="20"/>
          <w:szCs w:val="20"/>
          <w:rtl/>
        </w:rPr>
        <w:t xml:space="preserve">. ציפורן נקייה אינה חוצצת אפילו אם היא ארוכה מאוד. </w:t>
      </w:r>
      <w:r w:rsidRPr="00086B82">
        <w:rPr>
          <w:rFonts w:hint="cs"/>
          <w:b/>
          <w:bCs/>
          <w:sz w:val="20"/>
          <w:szCs w:val="20"/>
          <w:rtl/>
        </w:rPr>
        <w:t>רמ"א</w:t>
      </w:r>
      <w:r>
        <w:rPr>
          <w:rFonts w:hint="cs"/>
          <w:sz w:val="20"/>
          <w:szCs w:val="20"/>
          <w:rtl/>
        </w:rPr>
        <w:t>. חוצצת כיוון שנהגו ליטול, ותטבול שוב.</w:t>
      </w:r>
      <w:r>
        <w:rPr>
          <w:rFonts w:hint="cs"/>
          <w:sz w:val="20"/>
          <w:szCs w:val="20"/>
          <w:rtl/>
        </w:rPr>
        <w:br/>
        <w:t xml:space="preserve">2. פסק </w:t>
      </w:r>
      <w:r w:rsidRPr="00BF799C">
        <w:rPr>
          <w:rFonts w:hint="cs"/>
          <w:b/>
          <w:bCs/>
          <w:sz w:val="20"/>
          <w:szCs w:val="20"/>
          <w:rtl/>
        </w:rPr>
        <w:t>הרמ"א</w:t>
      </w:r>
      <w:r>
        <w:rPr>
          <w:rFonts w:hint="cs"/>
          <w:sz w:val="20"/>
          <w:szCs w:val="20"/>
          <w:rtl/>
        </w:rPr>
        <w:t xml:space="preserve">. </w:t>
      </w:r>
      <w:r w:rsidRPr="00BF799C">
        <w:rPr>
          <w:rFonts w:hint="cs"/>
          <w:b/>
          <w:bCs/>
          <w:sz w:val="20"/>
          <w:szCs w:val="20"/>
          <w:rtl/>
        </w:rPr>
        <w:t>ט"ז</w:t>
      </w:r>
      <w:r>
        <w:rPr>
          <w:rFonts w:hint="cs"/>
          <w:sz w:val="20"/>
          <w:szCs w:val="20"/>
          <w:rtl/>
        </w:rPr>
        <w:t xml:space="preserve">. אם שימשה עם בעלה יש להקל. </w:t>
      </w:r>
      <w:r w:rsidRPr="00BF799C">
        <w:rPr>
          <w:rFonts w:hint="cs"/>
          <w:b/>
          <w:bCs/>
          <w:sz w:val="20"/>
          <w:szCs w:val="20"/>
          <w:rtl/>
        </w:rPr>
        <w:t>מהר"ם</w:t>
      </w:r>
      <w:r>
        <w:rPr>
          <w:rFonts w:hint="cs"/>
          <w:sz w:val="20"/>
          <w:szCs w:val="20"/>
          <w:rtl/>
        </w:rPr>
        <w:t xml:space="preserve">. אפילו רק לנה עמו יש להקל. </w:t>
      </w:r>
      <w:r w:rsidRPr="00BF799C">
        <w:rPr>
          <w:rFonts w:hint="cs"/>
          <w:b/>
          <w:bCs/>
          <w:sz w:val="20"/>
          <w:szCs w:val="20"/>
          <w:rtl/>
        </w:rPr>
        <w:t>ש"ך וב"ח</w:t>
      </w:r>
      <w:r>
        <w:rPr>
          <w:rFonts w:hint="cs"/>
          <w:sz w:val="20"/>
          <w:szCs w:val="20"/>
          <w:rtl/>
        </w:rPr>
        <w:t xml:space="preserve">. אין להקל. </w:t>
      </w:r>
      <w:r w:rsidRPr="00BF799C">
        <w:rPr>
          <w:rFonts w:hint="cs"/>
          <w:b/>
          <w:bCs/>
          <w:sz w:val="20"/>
          <w:szCs w:val="20"/>
          <w:rtl/>
        </w:rPr>
        <w:t>טעם</w:t>
      </w:r>
      <w:r>
        <w:rPr>
          <w:rFonts w:hint="cs"/>
          <w:sz w:val="20"/>
          <w:szCs w:val="20"/>
          <w:rtl/>
        </w:rPr>
        <w:t xml:space="preserve">. עתידה לקצצן ולכן הוי חציצה. אך אם עבר הלילה ואינה יכולה לטבול שוב, טהורה בדיעבד. </w:t>
      </w:r>
      <w:r>
        <w:rPr>
          <w:rFonts w:hint="cs"/>
          <w:sz w:val="20"/>
          <w:szCs w:val="20"/>
          <w:rtl/>
        </w:rPr>
        <w:br/>
        <w:t xml:space="preserve">3. </w:t>
      </w:r>
      <w:r w:rsidRPr="00B60205">
        <w:rPr>
          <w:rFonts w:hint="cs"/>
          <w:sz w:val="20"/>
          <w:szCs w:val="20"/>
          <w:rtl/>
        </w:rPr>
        <w:t>חוה"מ.</w:t>
      </w:r>
      <w:r>
        <w:rPr>
          <w:rFonts w:hint="cs"/>
          <w:sz w:val="20"/>
          <w:szCs w:val="20"/>
          <w:rtl/>
        </w:rPr>
        <w:t xml:space="preserve"> </w:t>
      </w:r>
      <w:r w:rsidRPr="00BF799C">
        <w:rPr>
          <w:rFonts w:hint="cs"/>
          <w:b/>
          <w:bCs/>
          <w:sz w:val="20"/>
          <w:szCs w:val="20"/>
          <w:rtl/>
        </w:rPr>
        <w:t>רי"ף</w:t>
      </w:r>
      <w:r>
        <w:rPr>
          <w:rFonts w:hint="cs"/>
          <w:sz w:val="20"/>
          <w:szCs w:val="20"/>
          <w:rtl/>
        </w:rPr>
        <w:t xml:space="preserve">, </w:t>
      </w:r>
      <w:r w:rsidRPr="00BF799C">
        <w:rPr>
          <w:rFonts w:hint="cs"/>
          <w:b/>
          <w:bCs/>
          <w:sz w:val="20"/>
          <w:szCs w:val="20"/>
          <w:rtl/>
        </w:rPr>
        <w:t>רמב"ם ורא"ש</w:t>
      </w:r>
      <w:r>
        <w:rPr>
          <w:rFonts w:hint="cs"/>
          <w:sz w:val="20"/>
          <w:szCs w:val="20"/>
          <w:rtl/>
        </w:rPr>
        <w:t xml:space="preserve">. מותר אפילו בכלי, וכ"פ </w:t>
      </w:r>
      <w:r w:rsidRPr="00BF799C">
        <w:rPr>
          <w:rFonts w:hint="cs"/>
          <w:b/>
          <w:bCs/>
          <w:sz w:val="20"/>
          <w:szCs w:val="20"/>
          <w:rtl/>
        </w:rPr>
        <w:t>המחבר והט"ז</w:t>
      </w:r>
      <w:r>
        <w:rPr>
          <w:rFonts w:hint="cs"/>
          <w:sz w:val="20"/>
          <w:szCs w:val="20"/>
          <w:rtl/>
        </w:rPr>
        <w:t xml:space="preserve">, וכן המנהג </w:t>
      </w:r>
      <w:r w:rsidRPr="00086B82">
        <w:rPr>
          <w:rFonts w:hint="cs"/>
          <w:sz w:val="18"/>
          <w:szCs w:val="18"/>
          <w:rtl/>
        </w:rPr>
        <w:t>(וכן בימי אבלה)</w:t>
      </w:r>
      <w:r>
        <w:rPr>
          <w:rFonts w:hint="cs"/>
          <w:sz w:val="20"/>
          <w:szCs w:val="20"/>
          <w:rtl/>
        </w:rPr>
        <w:t xml:space="preserve">. </w:t>
      </w:r>
      <w:r>
        <w:rPr>
          <w:b/>
          <w:bCs/>
          <w:sz w:val="20"/>
          <w:szCs w:val="20"/>
          <w:rtl/>
        </w:rPr>
        <w:br/>
      </w:r>
      <w:r w:rsidRPr="00BF799C">
        <w:rPr>
          <w:rFonts w:hint="cs"/>
          <w:b/>
          <w:bCs/>
          <w:sz w:val="20"/>
          <w:szCs w:val="20"/>
          <w:rtl/>
        </w:rPr>
        <w:t>מרדכי</w:t>
      </w:r>
      <w:r>
        <w:rPr>
          <w:rFonts w:hint="cs"/>
          <w:sz w:val="20"/>
          <w:szCs w:val="20"/>
          <w:rtl/>
        </w:rPr>
        <w:t xml:space="preserve">. יש לומר לגויה, או לכה"פ לנקות היטב. </w:t>
      </w:r>
      <w:r w:rsidRPr="00BF799C">
        <w:rPr>
          <w:rFonts w:hint="cs"/>
          <w:b/>
          <w:bCs/>
          <w:sz w:val="20"/>
          <w:szCs w:val="20"/>
          <w:rtl/>
        </w:rPr>
        <w:t>סמ"ג</w:t>
      </w:r>
      <w:r>
        <w:rPr>
          <w:rFonts w:hint="cs"/>
          <w:sz w:val="20"/>
          <w:szCs w:val="20"/>
          <w:rtl/>
        </w:rPr>
        <w:t xml:space="preserve">. מותר לחתוך בשינוי אך לא בכלי, וכן יכולה לומר לגויה. </w:t>
      </w:r>
      <w:r>
        <w:rPr>
          <w:sz w:val="20"/>
          <w:szCs w:val="20"/>
          <w:rtl/>
        </w:rPr>
        <w:br/>
      </w:r>
      <w:r>
        <w:rPr>
          <w:rFonts w:hint="cs"/>
          <w:sz w:val="20"/>
          <w:szCs w:val="20"/>
          <w:rtl/>
        </w:rPr>
        <w:t xml:space="preserve">4. </w:t>
      </w:r>
      <w:r w:rsidRPr="00B60205">
        <w:rPr>
          <w:rFonts w:hint="cs"/>
          <w:sz w:val="20"/>
          <w:szCs w:val="20"/>
          <w:rtl/>
        </w:rPr>
        <w:t>שבת</w:t>
      </w:r>
      <w:r>
        <w:rPr>
          <w:rFonts w:hint="cs"/>
          <w:sz w:val="20"/>
          <w:szCs w:val="20"/>
          <w:rtl/>
        </w:rPr>
        <w:t xml:space="preserve">. </w:t>
      </w:r>
      <w:r w:rsidRPr="00BF799C">
        <w:rPr>
          <w:rFonts w:hint="cs"/>
          <w:b/>
          <w:bCs/>
          <w:sz w:val="20"/>
          <w:szCs w:val="20"/>
          <w:rtl/>
        </w:rPr>
        <w:t>ט"ז</w:t>
      </w:r>
      <w:r>
        <w:rPr>
          <w:rFonts w:hint="cs"/>
          <w:sz w:val="20"/>
          <w:szCs w:val="20"/>
          <w:rtl/>
        </w:rPr>
        <w:t xml:space="preserve">. תנקה היטב ותו לא. </w:t>
      </w:r>
      <w:r w:rsidRPr="00BF799C">
        <w:rPr>
          <w:rFonts w:hint="cs"/>
          <w:b/>
          <w:bCs/>
          <w:sz w:val="20"/>
          <w:szCs w:val="20"/>
          <w:rtl/>
        </w:rPr>
        <w:t>טעם</w:t>
      </w:r>
      <w:r>
        <w:rPr>
          <w:rFonts w:hint="cs"/>
          <w:sz w:val="20"/>
          <w:szCs w:val="20"/>
          <w:rtl/>
        </w:rPr>
        <w:t xml:space="preserve">. אמירה לגוי אסורה בכה"ג משום שניתן לנקות, וכן משום מסייע. </w:t>
      </w:r>
      <w:r w:rsidRPr="00BF799C">
        <w:rPr>
          <w:rFonts w:hint="cs"/>
          <w:b/>
          <w:bCs/>
          <w:sz w:val="20"/>
          <w:szCs w:val="20"/>
          <w:rtl/>
        </w:rPr>
        <w:t>נקה"כ</w:t>
      </w:r>
      <w:r>
        <w:rPr>
          <w:rFonts w:hint="cs"/>
          <w:sz w:val="20"/>
          <w:szCs w:val="20"/>
          <w:rtl/>
        </w:rPr>
        <w:t xml:space="preserve">. תאמר לגויה ליטול בשינוי. </w:t>
      </w:r>
      <w:r w:rsidRPr="00BF799C">
        <w:rPr>
          <w:rFonts w:hint="cs"/>
          <w:b/>
          <w:bCs/>
          <w:sz w:val="20"/>
          <w:szCs w:val="20"/>
          <w:rtl/>
        </w:rPr>
        <w:t>טעם</w:t>
      </w:r>
      <w:r>
        <w:rPr>
          <w:rFonts w:hint="cs"/>
          <w:sz w:val="20"/>
          <w:szCs w:val="20"/>
          <w:rtl/>
        </w:rPr>
        <w:t xml:space="preserve">. זו מצווה גמורה, שבות דשבות. </w:t>
      </w:r>
      <w:r w:rsidRPr="005A76EF">
        <w:rPr>
          <w:rFonts w:hint="cs"/>
          <w:b/>
          <w:bCs/>
          <w:sz w:val="20"/>
          <w:szCs w:val="20"/>
          <w:rtl/>
        </w:rPr>
        <w:t>מג"א ומ"ב</w:t>
      </w:r>
      <w:r>
        <w:rPr>
          <w:rFonts w:hint="cs"/>
          <w:sz w:val="20"/>
          <w:szCs w:val="20"/>
          <w:rtl/>
        </w:rPr>
        <w:t>. אפילו בכלי שרי ע"י גויה.</w:t>
      </w:r>
      <w:r>
        <w:rPr>
          <w:rFonts w:hint="cs"/>
          <w:sz w:val="20"/>
          <w:szCs w:val="20"/>
          <w:rtl/>
        </w:rPr>
        <w:br/>
        <w:t xml:space="preserve">5. </w:t>
      </w:r>
      <w:r w:rsidRPr="00BF799C">
        <w:rPr>
          <w:rFonts w:hint="cs"/>
          <w:b/>
          <w:bCs/>
          <w:sz w:val="20"/>
          <w:szCs w:val="20"/>
          <w:rtl/>
        </w:rPr>
        <w:t>פת"ש</w:t>
      </w:r>
      <w:r>
        <w:rPr>
          <w:rFonts w:hint="cs"/>
          <w:sz w:val="20"/>
          <w:szCs w:val="20"/>
          <w:rtl/>
        </w:rPr>
        <w:t xml:space="preserve">. ציפורני רגליה קיל טפי, ואולי יש להקל אף אם בוודאי היו מלוכלכות. </w:t>
      </w:r>
      <w:r w:rsidRPr="00BF799C">
        <w:rPr>
          <w:rFonts w:hint="cs"/>
          <w:b/>
          <w:bCs/>
          <w:sz w:val="20"/>
          <w:szCs w:val="20"/>
          <w:rtl/>
        </w:rPr>
        <w:t>טעם</w:t>
      </w:r>
      <w:r>
        <w:rPr>
          <w:rFonts w:hint="cs"/>
          <w:sz w:val="20"/>
          <w:szCs w:val="20"/>
          <w:rtl/>
        </w:rPr>
        <w:t>. אינן מקפידות.</w:t>
      </w:r>
      <w:r>
        <w:rPr>
          <w:sz w:val="20"/>
          <w:szCs w:val="20"/>
          <w:rtl/>
        </w:rPr>
        <w:br/>
      </w:r>
      <w:r>
        <w:rPr>
          <w:rFonts w:hint="cs"/>
          <w:sz w:val="20"/>
          <w:szCs w:val="20"/>
          <w:rtl/>
        </w:rPr>
        <w:t xml:space="preserve">6. </w:t>
      </w:r>
      <w:r w:rsidRPr="00BF799C">
        <w:rPr>
          <w:rFonts w:hint="cs"/>
          <w:b/>
          <w:bCs/>
          <w:sz w:val="20"/>
          <w:szCs w:val="20"/>
          <w:rtl/>
        </w:rPr>
        <w:t>אחיעזר</w:t>
      </w:r>
      <w:r>
        <w:rPr>
          <w:rFonts w:hint="cs"/>
          <w:sz w:val="20"/>
          <w:szCs w:val="20"/>
          <w:rtl/>
        </w:rPr>
        <w:t>. נשים שאינן רוצות ליטול ציפורניהן, בדיעבד ניתן להקל.</w:t>
      </w:r>
    </w:p>
    <w:p w:rsidR="00620060" w:rsidRDefault="00620060" w:rsidP="00620060">
      <w:pPr>
        <w:rPr>
          <w:rFonts w:cs="Arial"/>
          <w:sz w:val="20"/>
          <w:szCs w:val="20"/>
          <w:rtl/>
        </w:rPr>
      </w:pPr>
      <w:r>
        <w:rPr>
          <w:sz w:val="20"/>
          <w:szCs w:val="20"/>
          <w:rtl/>
        </w:rPr>
        <w:br/>
      </w:r>
      <w:r>
        <w:rPr>
          <w:rFonts w:hint="cs"/>
          <w:b/>
          <w:bCs/>
          <w:sz w:val="20"/>
          <w:szCs w:val="20"/>
          <w:rtl/>
        </w:rPr>
        <w:t xml:space="preserve">סעיף כא </w:t>
      </w:r>
      <w:r>
        <w:rPr>
          <w:b/>
          <w:bCs/>
          <w:sz w:val="20"/>
          <w:szCs w:val="20"/>
          <w:rtl/>
        </w:rPr>
        <w:t>–</w:t>
      </w:r>
      <w:r>
        <w:rPr>
          <w:rFonts w:hint="cs"/>
          <w:b/>
          <w:bCs/>
          <w:sz w:val="20"/>
          <w:szCs w:val="20"/>
          <w:rtl/>
        </w:rPr>
        <w:t xml:space="preserve"> ציפורן המדולדלת</w:t>
      </w:r>
      <w:r>
        <w:rPr>
          <w:b/>
          <w:bCs/>
          <w:sz w:val="20"/>
          <w:szCs w:val="20"/>
          <w:rtl/>
        </w:rPr>
        <w:br/>
      </w:r>
      <w:r>
        <w:rPr>
          <w:rFonts w:hint="cs"/>
          <w:b/>
          <w:bCs/>
          <w:sz w:val="20"/>
          <w:szCs w:val="20"/>
          <w:rtl/>
        </w:rPr>
        <w:t>מקורות הדין</w:t>
      </w:r>
      <w:r>
        <w:rPr>
          <w:b/>
          <w:bCs/>
          <w:sz w:val="20"/>
          <w:szCs w:val="20"/>
          <w:rtl/>
        </w:rPr>
        <w:br/>
      </w:r>
      <w:r>
        <w:rPr>
          <w:rFonts w:hint="cs"/>
          <w:sz w:val="20"/>
          <w:szCs w:val="20"/>
          <w:rtl/>
        </w:rPr>
        <w:t xml:space="preserve">א. </w:t>
      </w:r>
      <w:r w:rsidRPr="00463226">
        <w:rPr>
          <w:rFonts w:hint="cs"/>
          <w:b/>
          <w:bCs/>
          <w:sz w:val="20"/>
          <w:szCs w:val="20"/>
          <w:rtl/>
        </w:rPr>
        <w:t>משנה</w:t>
      </w:r>
      <w:r>
        <w:rPr>
          <w:rFonts w:hint="cs"/>
          <w:sz w:val="20"/>
          <w:szCs w:val="20"/>
          <w:rtl/>
        </w:rPr>
        <w:t xml:space="preserve"> מקוואות (ט, ג </w:t>
      </w:r>
      <w:r>
        <w:rPr>
          <w:sz w:val="20"/>
          <w:szCs w:val="20"/>
          <w:rtl/>
        </w:rPr>
        <w:t>–</w:t>
      </w:r>
      <w:r>
        <w:rPr>
          <w:rFonts w:hint="cs"/>
          <w:sz w:val="20"/>
          <w:szCs w:val="20"/>
          <w:rtl/>
        </w:rPr>
        <w:t xml:space="preserve"> ד) "</w:t>
      </w:r>
      <w:r>
        <w:rPr>
          <w:rFonts w:cs="Arial"/>
          <w:sz w:val="20"/>
          <w:szCs w:val="20"/>
          <w:rtl/>
        </w:rPr>
        <w:t>אלו שאין חוצצין</w:t>
      </w:r>
      <w:r>
        <w:rPr>
          <w:rFonts w:cs="Arial" w:hint="cs"/>
          <w:sz w:val="20"/>
          <w:szCs w:val="20"/>
          <w:rtl/>
        </w:rPr>
        <w:t>:...</w:t>
      </w:r>
      <w:r>
        <w:rPr>
          <w:rFonts w:cs="Arial"/>
          <w:sz w:val="20"/>
          <w:szCs w:val="20"/>
          <w:rtl/>
        </w:rPr>
        <w:t xml:space="preserve"> וצ</w:t>
      </w:r>
      <w:r>
        <w:rPr>
          <w:rFonts w:cs="Arial" w:hint="cs"/>
          <w:sz w:val="20"/>
          <w:szCs w:val="20"/>
          <w:rtl/>
        </w:rPr>
        <w:t>י</w:t>
      </w:r>
      <w:r>
        <w:rPr>
          <w:rFonts w:cs="Arial"/>
          <w:sz w:val="20"/>
          <w:szCs w:val="20"/>
          <w:rtl/>
        </w:rPr>
        <w:t>פורן המדולדלת</w:t>
      </w:r>
      <w:r>
        <w:rPr>
          <w:rFonts w:cs="Arial" w:hint="cs"/>
          <w:sz w:val="20"/>
          <w:szCs w:val="20"/>
          <w:rtl/>
        </w:rPr>
        <w:t>".</w:t>
      </w:r>
      <w:r>
        <w:rPr>
          <w:rFonts w:hint="cs"/>
          <w:sz w:val="20"/>
          <w:szCs w:val="20"/>
          <w:rtl/>
        </w:rPr>
        <w:br/>
        <w:t xml:space="preserve">ב. </w:t>
      </w:r>
      <w:r w:rsidRPr="00463226">
        <w:rPr>
          <w:rFonts w:hint="cs"/>
          <w:b/>
          <w:bCs/>
          <w:sz w:val="20"/>
          <w:szCs w:val="20"/>
          <w:rtl/>
        </w:rPr>
        <w:t>תוספתא</w:t>
      </w:r>
      <w:r>
        <w:rPr>
          <w:rFonts w:hint="cs"/>
          <w:sz w:val="20"/>
          <w:szCs w:val="20"/>
          <w:rtl/>
        </w:rPr>
        <w:t xml:space="preserve"> מקוואות "</w:t>
      </w:r>
      <w:r w:rsidRPr="00ED1F00">
        <w:rPr>
          <w:rFonts w:cs="Arial"/>
          <w:sz w:val="20"/>
          <w:szCs w:val="20"/>
          <w:rtl/>
        </w:rPr>
        <w:t>האבר והבשר המ</w:t>
      </w:r>
      <w:r>
        <w:rPr>
          <w:rFonts w:cs="Arial"/>
          <w:sz w:val="20"/>
          <w:szCs w:val="20"/>
          <w:rtl/>
        </w:rPr>
        <w:t>דולדלין באדם הרי אלו חוצצין</w:t>
      </w:r>
      <w:r>
        <w:rPr>
          <w:rStyle w:val="a5"/>
          <w:rFonts w:cs="Arial"/>
          <w:sz w:val="20"/>
          <w:szCs w:val="20"/>
          <w:rtl/>
        </w:rPr>
        <w:footnoteReference w:id="634"/>
      </w:r>
      <w:r>
        <w:rPr>
          <w:rFonts w:cs="Arial" w:hint="cs"/>
          <w:sz w:val="20"/>
          <w:szCs w:val="20"/>
          <w:rtl/>
        </w:rPr>
        <w:t xml:space="preserve">... </w:t>
      </w:r>
      <w:r w:rsidRPr="00ED1F00">
        <w:rPr>
          <w:rFonts w:cs="Arial"/>
          <w:sz w:val="20"/>
          <w:szCs w:val="20"/>
          <w:rtl/>
        </w:rPr>
        <w:t>ר</w:t>
      </w:r>
      <w:r>
        <w:rPr>
          <w:rFonts w:cs="Arial" w:hint="cs"/>
          <w:sz w:val="20"/>
          <w:szCs w:val="20"/>
          <w:rtl/>
        </w:rPr>
        <w:t>בי</w:t>
      </w:r>
      <w:r w:rsidRPr="00ED1F00">
        <w:rPr>
          <w:rFonts w:cs="Arial"/>
          <w:sz w:val="20"/>
          <w:szCs w:val="20"/>
          <w:rtl/>
        </w:rPr>
        <w:t xml:space="preserve"> יו</w:t>
      </w:r>
      <w:r>
        <w:rPr>
          <w:rFonts w:cs="Arial" w:hint="cs"/>
          <w:sz w:val="20"/>
          <w:szCs w:val="20"/>
          <w:rtl/>
        </w:rPr>
        <w:t>נת</w:t>
      </w:r>
      <w:r w:rsidRPr="00ED1F00">
        <w:rPr>
          <w:rFonts w:cs="Arial"/>
          <w:sz w:val="20"/>
          <w:szCs w:val="20"/>
          <w:rtl/>
        </w:rPr>
        <w:t>ן</w:t>
      </w:r>
      <w:r>
        <w:rPr>
          <w:rStyle w:val="a5"/>
          <w:rFonts w:cs="Arial"/>
          <w:sz w:val="20"/>
          <w:szCs w:val="20"/>
          <w:rtl/>
        </w:rPr>
        <w:footnoteReference w:id="635"/>
      </w:r>
      <w:r w:rsidRPr="00ED1F00">
        <w:rPr>
          <w:rFonts w:cs="Arial"/>
          <w:sz w:val="20"/>
          <w:szCs w:val="20"/>
          <w:rtl/>
        </w:rPr>
        <w:t xml:space="preserve"> בן יוסף אמר צ</w:t>
      </w:r>
      <w:r>
        <w:rPr>
          <w:rFonts w:cs="Arial" w:hint="cs"/>
          <w:sz w:val="20"/>
          <w:szCs w:val="20"/>
          <w:rtl/>
        </w:rPr>
        <w:t>י</w:t>
      </w:r>
      <w:r w:rsidRPr="00ED1F00">
        <w:rPr>
          <w:rFonts w:cs="Arial"/>
          <w:sz w:val="20"/>
          <w:szCs w:val="20"/>
          <w:rtl/>
        </w:rPr>
        <w:t>פורן שפירש רובה הרי זה אינה חוצצת</w:t>
      </w:r>
      <w:r>
        <w:rPr>
          <w:rFonts w:cs="Arial" w:hint="cs"/>
          <w:sz w:val="20"/>
          <w:szCs w:val="20"/>
          <w:rtl/>
        </w:rPr>
        <w:t>".</w:t>
      </w:r>
    </w:p>
    <w:p w:rsidR="00620060" w:rsidRPr="00ED1F00" w:rsidRDefault="00620060" w:rsidP="00620060">
      <w:pPr>
        <w:rPr>
          <w:sz w:val="20"/>
          <w:szCs w:val="20"/>
        </w:rPr>
      </w:pPr>
      <w:r w:rsidRPr="00B30182">
        <w:rPr>
          <w:rFonts w:cs="Arial" w:hint="cs"/>
          <w:b/>
          <w:bCs/>
          <w:sz w:val="20"/>
          <w:szCs w:val="20"/>
          <w:rtl/>
        </w:rPr>
        <w:t xml:space="preserve">ביאור היחס בין המקורות </w:t>
      </w:r>
      <w:r w:rsidRPr="00B30182">
        <w:rPr>
          <w:rFonts w:cs="Arial"/>
          <w:b/>
          <w:bCs/>
          <w:sz w:val="20"/>
          <w:szCs w:val="20"/>
          <w:rtl/>
        </w:rPr>
        <w:t>–</w:t>
      </w:r>
      <w:r w:rsidRPr="00B30182">
        <w:rPr>
          <w:rFonts w:cs="Arial" w:hint="cs"/>
          <w:b/>
          <w:bCs/>
          <w:sz w:val="20"/>
          <w:szCs w:val="20"/>
          <w:rtl/>
        </w:rPr>
        <w:t xml:space="preserve"> שיטות הראשונים</w:t>
      </w:r>
      <w:r>
        <w:rPr>
          <w:rFonts w:cs="Arial"/>
          <w:sz w:val="20"/>
          <w:szCs w:val="20"/>
          <w:u w:val="single"/>
          <w:rtl/>
        </w:rPr>
        <w:br/>
      </w:r>
      <w:r>
        <w:rPr>
          <w:rFonts w:cs="Arial" w:hint="cs"/>
          <w:sz w:val="20"/>
          <w:szCs w:val="20"/>
          <w:rtl/>
        </w:rPr>
        <w:t>במשנה נאמר שציפורן מדולדלת אינה חוצצת, אך בתוספתא נאמר שרק אם פירשה רובה אינה חוצצת!</w:t>
      </w:r>
      <w:r>
        <w:rPr>
          <w:sz w:val="20"/>
          <w:szCs w:val="20"/>
          <w:rtl/>
        </w:rPr>
        <w:br/>
      </w:r>
      <w:r>
        <w:rPr>
          <w:rFonts w:hint="cs"/>
          <w:sz w:val="20"/>
          <w:szCs w:val="20"/>
          <w:rtl/>
        </w:rPr>
        <w:br/>
        <w:t xml:space="preserve">א. </w:t>
      </w:r>
      <w:r w:rsidRPr="00E705AE">
        <w:rPr>
          <w:rFonts w:hint="cs"/>
          <w:b/>
          <w:bCs/>
          <w:sz w:val="20"/>
          <w:szCs w:val="20"/>
          <w:rtl/>
        </w:rPr>
        <w:t>טור</w:t>
      </w:r>
      <w:r>
        <w:rPr>
          <w:rFonts w:hint="cs"/>
          <w:sz w:val="20"/>
          <w:szCs w:val="20"/>
          <w:rtl/>
        </w:rPr>
        <w:t xml:space="preserve"> </w:t>
      </w:r>
      <w:r>
        <w:rPr>
          <w:sz w:val="20"/>
          <w:szCs w:val="20"/>
          <w:rtl/>
        </w:rPr>
        <w:t>–</w:t>
      </w:r>
      <w:r>
        <w:rPr>
          <w:rFonts w:hint="cs"/>
          <w:sz w:val="20"/>
          <w:szCs w:val="20"/>
          <w:rtl/>
        </w:rPr>
        <w:t xml:space="preserve"> ציפורן שפירשה רובה אינה חוצצת, פירשה מיעוטה חוצצת, וכ"פ </w:t>
      </w:r>
      <w:r w:rsidRPr="00D70BB8">
        <w:rPr>
          <w:rFonts w:hint="cs"/>
          <w:b/>
          <w:bCs/>
          <w:sz w:val="20"/>
          <w:szCs w:val="20"/>
          <w:rtl/>
        </w:rPr>
        <w:t>המחבר</w:t>
      </w:r>
      <w:r>
        <w:rPr>
          <w:rFonts w:hint="cs"/>
          <w:sz w:val="20"/>
          <w:szCs w:val="20"/>
          <w:rtl/>
        </w:rPr>
        <w:t>.</w:t>
      </w:r>
      <w:r>
        <w:rPr>
          <w:sz w:val="20"/>
          <w:szCs w:val="20"/>
          <w:rtl/>
        </w:rPr>
        <w:br/>
      </w:r>
      <w:r w:rsidRPr="00E705AE">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הלכה כרבי יונתן שבא לפרש את המשנה.</w:t>
      </w:r>
      <w:r>
        <w:rPr>
          <w:sz w:val="20"/>
          <w:szCs w:val="20"/>
          <w:rtl/>
        </w:rPr>
        <w:br/>
      </w:r>
      <w:r>
        <w:rPr>
          <w:rFonts w:hint="cs"/>
          <w:sz w:val="20"/>
          <w:szCs w:val="20"/>
          <w:rtl/>
        </w:rPr>
        <w:t xml:space="preserve">ב. </w:t>
      </w:r>
      <w:r w:rsidRPr="00E705AE">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ציפורן מדולדלת אינה חוצצת, משמע בין פירשה רובה ובין פירשה מיעוטה.</w:t>
      </w:r>
      <w:r>
        <w:rPr>
          <w:sz w:val="20"/>
          <w:szCs w:val="20"/>
          <w:rtl/>
        </w:rPr>
        <w:br/>
      </w:r>
      <w:r w:rsidRPr="00E705AE">
        <w:rPr>
          <w:rFonts w:hint="cs"/>
          <w:b/>
          <w:bCs/>
          <w:sz w:val="20"/>
          <w:szCs w:val="20"/>
          <w:rtl/>
        </w:rPr>
        <w:t>טעם</w:t>
      </w:r>
      <w:r w:rsidRPr="00463226">
        <w:rPr>
          <w:rStyle w:val="a5"/>
          <w:sz w:val="20"/>
          <w:szCs w:val="20"/>
          <w:rtl/>
        </w:rPr>
        <w:footnoteReference w:id="636"/>
      </w:r>
      <w:r>
        <w:rPr>
          <w:rFonts w:hint="cs"/>
          <w:sz w:val="20"/>
          <w:szCs w:val="20"/>
          <w:rtl/>
        </w:rPr>
        <w:t xml:space="preserve"> </w:t>
      </w:r>
      <w:r>
        <w:rPr>
          <w:sz w:val="20"/>
          <w:szCs w:val="20"/>
          <w:rtl/>
        </w:rPr>
        <w:t>–</w:t>
      </w:r>
      <w:r>
        <w:rPr>
          <w:rFonts w:hint="cs"/>
          <w:sz w:val="20"/>
          <w:szCs w:val="20"/>
          <w:rtl/>
        </w:rPr>
        <w:t xml:space="preserve"> </w:t>
      </w:r>
      <w:r>
        <w:rPr>
          <w:rFonts w:hint="cs"/>
          <w:sz w:val="20"/>
          <w:szCs w:val="20"/>
          <w:vertAlign w:val="superscript"/>
          <w:rtl/>
        </w:rPr>
        <w:t>1</w:t>
      </w:r>
      <w:r>
        <w:rPr>
          <w:rFonts w:hint="cs"/>
          <w:sz w:val="20"/>
          <w:szCs w:val="20"/>
          <w:rtl/>
        </w:rPr>
        <w:t>הלכה כרבי יונתן, וכוונתו שאפילו פירשה רובה אינה חוצצת, כל שכן אם פירשה מיעוטה.</w:t>
      </w:r>
      <w:r>
        <w:rPr>
          <w:rFonts w:hint="cs"/>
          <w:sz w:val="20"/>
          <w:szCs w:val="20"/>
          <w:rtl/>
        </w:rPr>
        <w:br/>
      </w:r>
      <w:r>
        <w:rPr>
          <w:rFonts w:hint="cs"/>
          <w:sz w:val="20"/>
          <w:szCs w:val="20"/>
          <w:vertAlign w:val="superscript"/>
          <w:rtl/>
        </w:rPr>
        <w:t>2</w:t>
      </w:r>
      <w:r>
        <w:rPr>
          <w:rFonts w:hint="cs"/>
          <w:sz w:val="20"/>
          <w:szCs w:val="20"/>
          <w:rtl/>
        </w:rPr>
        <w:t>רבי יונתן מחמיר בפירשה מיעוטה, אך חכמים חולקים וסוברים שבכל עניין אינה חוצצת, כמשנה.</w:t>
      </w:r>
      <w:r>
        <w:rPr>
          <w:rStyle w:val="a5"/>
          <w:sz w:val="20"/>
          <w:szCs w:val="20"/>
          <w:rtl/>
        </w:rPr>
        <w:footnoteReference w:id="637"/>
      </w:r>
    </w:p>
    <w:p w:rsidR="00620060" w:rsidRDefault="00620060" w:rsidP="00620060">
      <w:pPr>
        <w:rPr>
          <w:sz w:val="20"/>
          <w:szCs w:val="20"/>
          <w:rtl/>
        </w:rPr>
      </w:pPr>
      <w:r>
        <w:rPr>
          <w:rFonts w:hint="cs"/>
          <w:b/>
          <w:bCs/>
          <w:sz w:val="20"/>
          <w:szCs w:val="20"/>
          <w:rtl/>
        </w:rPr>
        <w:t>מדוע אבר, בשר וציפורן מדולדלים חוצצים?</w:t>
      </w:r>
      <w:r>
        <w:rPr>
          <w:rFonts w:hint="cs"/>
          <w:b/>
          <w:bCs/>
          <w:sz w:val="20"/>
          <w:szCs w:val="20"/>
          <w:rtl/>
        </w:rPr>
        <w:br/>
      </w:r>
      <w:r>
        <w:rPr>
          <w:rFonts w:hint="cs"/>
          <w:sz w:val="20"/>
          <w:szCs w:val="20"/>
          <w:u w:val="single"/>
          <w:rtl/>
        </w:rPr>
        <w:t>שאלה</w:t>
      </w:r>
      <w:r>
        <w:rPr>
          <w:b/>
          <w:bCs/>
          <w:sz w:val="20"/>
          <w:szCs w:val="20"/>
          <w:rtl/>
        </w:rPr>
        <w:br/>
      </w:r>
      <w:r>
        <w:rPr>
          <w:rFonts w:hint="cs"/>
          <w:b/>
          <w:bCs/>
          <w:sz w:val="20"/>
          <w:szCs w:val="20"/>
          <w:rtl/>
        </w:rPr>
        <w:t xml:space="preserve">בית יוסף </w:t>
      </w:r>
      <w:r>
        <w:rPr>
          <w:sz w:val="20"/>
          <w:szCs w:val="20"/>
          <w:rtl/>
        </w:rPr>
        <w:t>–</w:t>
      </w:r>
      <w:r>
        <w:rPr>
          <w:rFonts w:hint="cs"/>
          <w:sz w:val="20"/>
          <w:szCs w:val="20"/>
          <w:rtl/>
        </w:rPr>
        <w:t xml:space="preserve"> יש לתת טעם מדוע אבר ובשר מדולדלים, וכן ציפורן מדולדלת במיעוטה לדעת הטור, חוצצים.</w:t>
      </w:r>
      <w:r>
        <w:rPr>
          <w:sz w:val="20"/>
          <w:szCs w:val="20"/>
          <w:rtl/>
        </w:rPr>
        <w:br/>
      </w:r>
      <w:r>
        <w:rPr>
          <w:rFonts w:hint="cs"/>
          <w:sz w:val="20"/>
          <w:szCs w:val="20"/>
          <w:rtl/>
        </w:rPr>
        <w:t xml:space="preserve">ואין לדמות זאת לכל דבר אחר הנדבק על העור ומונע מים לבוא, כיוון שהתם העור היה מגולה וראוי לביאת מים וע"י חציצה זו אינו ראוי לביאת מים, אך מקום חיבור האבר והציפורן לא היה ראוי מעולם לביאת מים! </w:t>
      </w:r>
    </w:p>
    <w:p w:rsidR="00620060" w:rsidRDefault="00620060" w:rsidP="00620060">
      <w:pPr>
        <w:rPr>
          <w:sz w:val="20"/>
          <w:szCs w:val="20"/>
          <w:rtl/>
        </w:rPr>
      </w:pPr>
      <w:r>
        <w:rPr>
          <w:rFonts w:hint="cs"/>
          <w:sz w:val="20"/>
          <w:szCs w:val="20"/>
          <w:u w:val="single"/>
          <w:rtl/>
        </w:rPr>
        <w:t>תשובה</w:t>
      </w:r>
      <w:r>
        <w:rPr>
          <w:rFonts w:hint="cs"/>
          <w:sz w:val="20"/>
          <w:szCs w:val="20"/>
          <w:u w:val="single"/>
          <w:rtl/>
        </w:rPr>
        <w:br/>
      </w:r>
      <w:r>
        <w:rPr>
          <w:rFonts w:hint="cs"/>
          <w:sz w:val="20"/>
          <w:szCs w:val="20"/>
          <w:rtl/>
        </w:rPr>
        <w:t>מעת שהבשר התחיל להיתלש ואינו יונק מהגוף הוא נידון כתלוש. לכן, מקום חיבור האבר או הציפורן לגוף נידון כגלוי וצריך להיות ראוי לביאת מים. בשעת הטבילה, הבשר או הציפורן נמצאים על מקום החיבור ודין מקום החיבור כבית הסתרים שצריך להיות ראוי לביאת מים</w:t>
      </w:r>
      <w:r>
        <w:rPr>
          <w:rStyle w:val="a5"/>
          <w:sz w:val="20"/>
          <w:szCs w:val="20"/>
          <w:rtl/>
        </w:rPr>
        <w:footnoteReference w:id="638"/>
      </w:r>
      <w:r>
        <w:rPr>
          <w:rFonts w:hint="cs"/>
          <w:sz w:val="20"/>
          <w:szCs w:val="20"/>
          <w:rtl/>
        </w:rPr>
        <w:t xml:space="preserve"> </w:t>
      </w:r>
      <w:r w:rsidRPr="00DC69F7">
        <w:rPr>
          <w:rFonts w:hint="cs"/>
          <w:sz w:val="18"/>
          <w:szCs w:val="18"/>
          <w:rtl/>
        </w:rPr>
        <w:t xml:space="preserve">(לביאור </w:t>
      </w:r>
      <w:r>
        <w:rPr>
          <w:rFonts w:hint="cs"/>
          <w:sz w:val="18"/>
          <w:szCs w:val="18"/>
          <w:rtl/>
        </w:rPr>
        <w:t xml:space="preserve">דעת </w:t>
      </w:r>
      <w:r w:rsidRPr="00DC69F7">
        <w:rPr>
          <w:rFonts w:hint="cs"/>
          <w:sz w:val="18"/>
          <w:szCs w:val="18"/>
          <w:rtl/>
        </w:rPr>
        <w:t>הרמב"ם בדין ציפורן, ראה הערה</w:t>
      </w:r>
      <w:r>
        <w:rPr>
          <w:rStyle w:val="a5"/>
          <w:sz w:val="18"/>
          <w:szCs w:val="18"/>
          <w:rtl/>
        </w:rPr>
        <w:footnoteReference w:id="639"/>
      </w:r>
      <w:r w:rsidRPr="00DC69F7">
        <w:rPr>
          <w:rFonts w:hint="cs"/>
          <w:sz w:val="18"/>
          <w:szCs w:val="18"/>
          <w:rtl/>
        </w:rPr>
        <w:t>)</w:t>
      </w:r>
      <w:r>
        <w:rPr>
          <w:rFonts w:hint="cs"/>
          <w:sz w:val="20"/>
          <w:szCs w:val="20"/>
          <w:rtl/>
        </w:rPr>
        <w:t>.</w:t>
      </w:r>
    </w:p>
    <w:p w:rsidR="00620060" w:rsidRPr="003F28B0" w:rsidRDefault="00620060" w:rsidP="00620060">
      <w:pPr>
        <w:rPr>
          <w:sz w:val="20"/>
          <w:szCs w:val="20"/>
          <w:rtl/>
        </w:rPr>
      </w:pPr>
      <w:r>
        <w:rPr>
          <w:rFonts w:hint="cs"/>
          <w:b/>
          <w:bCs/>
          <w:sz w:val="20"/>
          <w:szCs w:val="20"/>
          <w:rtl/>
        </w:rPr>
        <w:t>הסבר ה</w:t>
      </w:r>
      <w:r w:rsidRPr="00D67F59">
        <w:rPr>
          <w:rFonts w:hint="cs"/>
          <w:b/>
          <w:bCs/>
          <w:sz w:val="20"/>
          <w:szCs w:val="20"/>
          <w:rtl/>
        </w:rPr>
        <w:t xml:space="preserve">חילוק </w:t>
      </w:r>
      <w:r>
        <w:rPr>
          <w:rFonts w:hint="cs"/>
          <w:b/>
          <w:bCs/>
          <w:sz w:val="20"/>
          <w:szCs w:val="20"/>
          <w:rtl/>
        </w:rPr>
        <w:t xml:space="preserve">בין </w:t>
      </w:r>
      <w:r w:rsidRPr="00D67F59">
        <w:rPr>
          <w:rFonts w:hint="cs"/>
          <w:b/>
          <w:bCs/>
          <w:sz w:val="20"/>
          <w:szCs w:val="20"/>
          <w:rtl/>
        </w:rPr>
        <w:t>פירשה מיעוטה ל</w:t>
      </w:r>
      <w:r>
        <w:rPr>
          <w:rFonts w:hint="cs"/>
          <w:b/>
          <w:bCs/>
          <w:sz w:val="20"/>
          <w:szCs w:val="20"/>
          <w:rtl/>
        </w:rPr>
        <w:t xml:space="preserve">בין </w:t>
      </w:r>
      <w:r w:rsidRPr="00D67F59">
        <w:rPr>
          <w:rFonts w:hint="cs"/>
          <w:b/>
          <w:bCs/>
          <w:sz w:val="20"/>
          <w:szCs w:val="20"/>
          <w:rtl/>
        </w:rPr>
        <w:t>פירשה רובה</w:t>
      </w:r>
      <w:r>
        <w:rPr>
          <w:rFonts w:hint="cs"/>
          <w:sz w:val="20"/>
          <w:szCs w:val="20"/>
          <w:rtl/>
        </w:rPr>
        <w:br/>
      </w:r>
      <w:r w:rsidRPr="00D41676">
        <w:rPr>
          <w:rFonts w:hint="cs"/>
          <w:b/>
          <w:bCs/>
          <w:sz w:val="20"/>
          <w:szCs w:val="20"/>
          <w:rtl/>
        </w:rPr>
        <w:t>בית יוסף</w:t>
      </w:r>
      <w:r>
        <w:rPr>
          <w:rFonts w:hint="cs"/>
          <w:sz w:val="20"/>
          <w:szCs w:val="20"/>
          <w:rtl/>
        </w:rPr>
        <w:t xml:space="preserve"> </w:t>
      </w:r>
      <w:r>
        <w:rPr>
          <w:sz w:val="20"/>
          <w:szCs w:val="20"/>
          <w:rtl/>
        </w:rPr>
        <w:t>–</w:t>
      </w:r>
      <w:r>
        <w:rPr>
          <w:rFonts w:hint="cs"/>
          <w:sz w:val="20"/>
          <w:szCs w:val="20"/>
          <w:rtl/>
        </w:rPr>
        <w:t xml:space="preserve"> החילוק של הטור בין ציפורן שפירשה רובה לפירשה מיעוטה אינו מובן, הרי קיי"ל חציצה חוצצת אפילו בשיעור חרדל, ואם כן מדוע ציפורן שפירשה רובה אינה חוצצת?</w:t>
      </w:r>
      <w:r>
        <w:rPr>
          <w:rFonts w:hint="cs"/>
          <w:sz w:val="20"/>
          <w:szCs w:val="20"/>
          <w:rtl/>
        </w:rPr>
        <w:br/>
        <w:t xml:space="preserve">א. </w:t>
      </w:r>
      <w:r w:rsidRPr="00872D0E">
        <w:rPr>
          <w:rFonts w:hint="cs"/>
          <w:sz w:val="20"/>
          <w:szCs w:val="20"/>
          <w:rtl/>
        </w:rPr>
        <w:t>כאשר פירשה רוב</w:t>
      </w:r>
      <w:r>
        <w:rPr>
          <w:rFonts w:hint="cs"/>
          <w:sz w:val="20"/>
          <w:szCs w:val="20"/>
          <w:rtl/>
        </w:rPr>
        <w:t xml:space="preserve"> הציפורן, האשה יכולה</w:t>
      </w:r>
      <w:r w:rsidRPr="00872D0E">
        <w:rPr>
          <w:rFonts w:hint="cs"/>
          <w:sz w:val="20"/>
          <w:szCs w:val="20"/>
          <w:rtl/>
        </w:rPr>
        <w:t xml:space="preserve"> להסיר אותה בידה, ומכך שאינה מסירה מוכח </w:t>
      </w:r>
      <w:r w:rsidRPr="005361FD">
        <w:rPr>
          <w:rFonts w:hint="cs"/>
          <w:sz w:val="20"/>
          <w:szCs w:val="20"/>
          <w:u w:val="single"/>
          <w:rtl/>
        </w:rPr>
        <w:t>שאינה מקפידה</w:t>
      </w:r>
      <w:r w:rsidRPr="00872D0E">
        <w:rPr>
          <w:rFonts w:hint="cs"/>
          <w:sz w:val="20"/>
          <w:szCs w:val="20"/>
          <w:rtl/>
        </w:rPr>
        <w:t xml:space="preserve">, אך כאשר פירשה מיעוטה ואינה מסירה אינה ראייה שאינה מקפידה, אלא פשוט אינה </w:t>
      </w:r>
      <w:r w:rsidRPr="00872D0E">
        <w:rPr>
          <w:rFonts w:hint="cs"/>
          <w:sz w:val="20"/>
          <w:szCs w:val="20"/>
          <w:u w:val="single"/>
          <w:rtl/>
        </w:rPr>
        <w:t>יכולה</w:t>
      </w:r>
      <w:r w:rsidRPr="00872D0E">
        <w:rPr>
          <w:rFonts w:hint="cs"/>
          <w:sz w:val="20"/>
          <w:szCs w:val="20"/>
          <w:rtl/>
        </w:rPr>
        <w:t xml:space="preserve"> להסיר ולכן חוצצת</w:t>
      </w:r>
      <w:r>
        <w:rPr>
          <w:rFonts w:hint="cs"/>
          <w:sz w:val="20"/>
          <w:szCs w:val="20"/>
          <w:rtl/>
        </w:rPr>
        <w:t>.</w:t>
      </w:r>
      <w:r>
        <w:rPr>
          <w:rStyle w:val="a5"/>
          <w:sz w:val="20"/>
          <w:szCs w:val="20"/>
          <w:rtl/>
        </w:rPr>
        <w:footnoteReference w:id="640"/>
      </w:r>
      <w:r>
        <w:rPr>
          <w:sz w:val="20"/>
          <w:szCs w:val="20"/>
          <w:rtl/>
        </w:rPr>
        <w:br/>
      </w:r>
      <w:r>
        <w:rPr>
          <w:rFonts w:hint="cs"/>
          <w:sz w:val="20"/>
          <w:szCs w:val="20"/>
          <w:rtl/>
        </w:rPr>
        <w:lastRenderedPageBreak/>
        <w:t xml:space="preserve">ב. דין חציצה בציפורן </w:t>
      </w:r>
      <w:r w:rsidRPr="00872D0E">
        <w:rPr>
          <w:rFonts w:hint="cs"/>
          <w:sz w:val="18"/>
          <w:szCs w:val="18"/>
          <w:rtl/>
        </w:rPr>
        <w:t xml:space="preserve">(וכן באבר ובשר מדולדלים) </w:t>
      </w:r>
      <w:r>
        <w:rPr>
          <w:rFonts w:hint="cs"/>
          <w:sz w:val="20"/>
          <w:szCs w:val="20"/>
          <w:rtl/>
        </w:rPr>
        <w:t xml:space="preserve">נאמר רק כשיש דבר חוצץ </w:t>
      </w:r>
      <w:r w:rsidRPr="00D41676">
        <w:rPr>
          <w:rFonts w:hint="cs"/>
          <w:sz w:val="20"/>
          <w:szCs w:val="20"/>
          <w:u w:val="single"/>
          <w:rtl/>
        </w:rPr>
        <w:t>על הציפורן עצמה</w:t>
      </w:r>
      <w:r>
        <w:rPr>
          <w:rStyle w:val="a5"/>
          <w:sz w:val="20"/>
          <w:szCs w:val="20"/>
          <w:u w:val="single"/>
          <w:rtl/>
        </w:rPr>
        <w:footnoteReference w:id="641"/>
      </w:r>
      <w:r>
        <w:rPr>
          <w:rFonts w:hint="cs"/>
          <w:sz w:val="20"/>
          <w:szCs w:val="20"/>
          <w:rtl/>
        </w:rPr>
        <w:t xml:space="preserve">. </w:t>
      </w:r>
      <w:r>
        <w:rPr>
          <w:sz w:val="20"/>
          <w:szCs w:val="20"/>
          <w:rtl/>
        </w:rPr>
        <w:br/>
      </w:r>
      <w:r>
        <w:rPr>
          <w:rFonts w:hint="cs"/>
          <w:sz w:val="20"/>
          <w:szCs w:val="20"/>
          <w:rtl/>
        </w:rPr>
        <w:t xml:space="preserve">אם פירשה רובה אינה חלק מהגוף ולכן חציצה שנמצאת עליה אינה חוצצת </w:t>
      </w:r>
      <w:r w:rsidRPr="00462FF7">
        <w:rPr>
          <w:rFonts w:hint="cs"/>
          <w:sz w:val="18"/>
          <w:szCs w:val="18"/>
          <w:rtl/>
        </w:rPr>
        <w:t>(אפילו אם החציצה על החל</w:t>
      </w:r>
      <w:r>
        <w:rPr>
          <w:rFonts w:hint="cs"/>
          <w:sz w:val="18"/>
          <w:szCs w:val="18"/>
          <w:rtl/>
        </w:rPr>
        <w:t>ק</w:t>
      </w:r>
      <w:r w:rsidRPr="00462FF7">
        <w:rPr>
          <w:rFonts w:hint="cs"/>
          <w:sz w:val="18"/>
          <w:szCs w:val="18"/>
          <w:rtl/>
        </w:rPr>
        <w:t xml:space="preserve"> המחובר שלה)</w:t>
      </w:r>
      <w:r>
        <w:rPr>
          <w:rFonts w:hint="cs"/>
          <w:sz w:val="20"/>
          <w:szCs w:val="20"/>
          <w:rtl/>
        </w:rPr>
        <w:t>, אך אם פירשה מיעוטה היא חלק מהגוף</w:t>
      </w:r>
      <w:r w:rsidRPr="00462FF7">
        <w:rPr>
          <w:rFonts w:hint="cs"/>
          <w:sz w:val="18"/>
          <w:szCs w:val="18"/>
          <w:rtl/>
        </w:rPr>
        <w:t xml:space="preserve"> </w:t>
      </w:r>
      <w:r w:rsidRPr="00DC69F7">
        <w:rPr>
          <w:rFonts w:hint="cs"/>
          <w:sz w:val="18"/>
          <w:szCs w:val="18"/>
          <w:rtl/>
        </w:rPr>
        <w:t xml:space="preserve">(לביאור </w:t>
      </w:r>
      <w:r>
        <w:rPr>
          <w:rFonts w:hint="cs"/>
          <w:sz w:val="18"/>
          <w:szCs w:val="18"/>
          <w:rtl/>
        </w:rPr>
        <w:t xml:space="preserve">דעת </w:t>
      </w:r>
      <w:r w:rsidRPr="00DC69F7">
        <w:rPr>
          <w:rFonts w:hint="cs"/>
          <w:sz w:val="18"/>
          <w:szCs w:val="18"/>
          <w:rtl/>
        </w:rPr>
        <w:t>הרמב"ם בדין ציפורן, ראה הערה</w:t>
      </w:r>
      <w:r>
        <w:rPr>
          <w:rStyle w:val="a5"/>
          <w:sz w:val="20"/>
          <w:szCs w:val="20"/>
          <w:rtl/>
        </w:rPr>
        <w:footnoteReference w:id="642"/>
      </w:r>
      <w:r>
        <w:rPr>
          <w:rFonts w:hint="cs"/>
          <w:sz w:val="18"/>
          <w:szCs w:val="18"/>
          <w:rtl/>
        </w:rPr>
        <w:t>)</w:t>
      </w:r>
      <w:r>
        <w:rPr>
          <w:rFonts w:hint="cs"/>
          <w:sz w:val="20"/>
          <w:szCs w:val="20"/>
          <w:rtl/>
        </w:rPr>
        <w:t>.</w:t>
      </w:r>
      <w:r>
        <w:rPr>
          <w:rFonts w:hint="cs"/>
          <w:sz w:val="20"/>
          <w:szCs w:val="20"/>
          <w:rtl/>
        </w:rPr>
        <w:br/>
        <w:t xml:space="preserve">ג. </w:t>
      </w:r>
      <w:r w:rsidRPr="003A32F5">
        <w:rPr>
          <w:rFonts w:hint="cs"/>
          <w:b/>
          <w:bCs/>
          <w:sz w:val="20"/>
          <w:szCs w:val="20"/>
          <w:rtl/>
        </w:rPr>
        <w:t xml:space="preserve">ט"ז </w:t>
      </w:r>
      <w:r>
        <w:rPr>
          <w:sz w:val="20"/>
          <w:szCs w:val="20"/>
          <w:rtl/>
        </w:rPr>
        <w:t>–</w:t>
      </w:r>
      <w:r>
        <w:rPr>
          <w:rFonts w:hint="cs"/>
          <w:sz w:val="20"/>
          <w:szCs w:val="20"/>
          <w:rtl/>
        </w:rPr>
        <w:t xml:space="preserve"> אם פירשה מיעוטה אין המים יכולים לבוא יפה במקום הסדק כיוון שהוא צר, אך אם פירשה רובה מקום הסדק רחב והמים באים יפה באותו מקום.</w:t>
      </w:r>
    </w:p>
    <w:p w:rsidR="00620060" w:rsidRDefault="00620060" w:rsidP="00620060">
      <w:pPr>
        <w:rPr>
          <w:sz w:val="20"/>
          <w:szCs w:val="20"/>
          <w:rtl/>
        </w:rPr>
      </w:pPr>
      <w:r w:rsidRPr="003F28B0">
        <w:rPr>
          <w:rFonts w:hint="cs"/>
          <w:b/>
          <w:bCs/>
          <w:sz w:val="20"/>
          <w:szCs w:val="20"/>
          <w:rtl/>
        </w:rPr>
        <w:t>פסיקת הלכה</w:t>
      </w:r>
      <w:r w:rsidRPr="003F28B0">
        <w:rPr>
          <w:b/>
          <w:bCs/>
          <w:sz w:val="20"/>
          <w:szCs w:val="20"/>
          <w:rtl/>
        </w:rPr>
        <w:br/>
      </w:r>
      <w:r w:rsidRPr="003F28B0">
        <w:rPr>
          <w:rFonts w:hint="cs"/>
          <w:b/>
          <w:bCs/>
          <w:sz w:val="20"/>
          <w:szCs w:val="20"/>
          <w:rtl/>
        </w:rPr>
        <w:t xml:space="preserve">שולחן ערוך </w:t>
      </w:r>
      <w:r w:rsidRPr="003F28B0">
        <w:rPr>
          <w:sz w:val="20"/>
          <w:szCs w:val="20"/>
          <w:rtl/>
        </w:rPr>
        <w:t>–</w:t>
      </w:r>
      <w:r w:rsidRPr="003F28B0">
        <w:rPr>
          <w:rFonts w:hint="cs"/>
          <w:sz w:val="20"/>
          <w:szCs w:val="20"/>
          <w:rtl/>
        </w:rPr>
        <w:t xml:space="preserve"> "</w:t>
      </w:r>
      <w:r w:rsidRPr="003F28B0">
        <w:rPr>
          <w:rFonts w:cs="Arial"/>
          <w:sz w:val="20"/>
          <w:szCs w:val="20"/>
          <w:rtl/>
        </w:rPr>
        <w:t>צ</w:t>
      </w:r>
      <w:r>
        <w:rPr>
          <w:rFonts w:cs="Arial" w:hint="cs"/>
          <w:sz w:val="20"/>
          <w:szCs w:val="20"/>
          <w:rtl/>
        </w:rPr>
        <w:t>י</w:t>
      </w:r>
      <w:r w:rsidRPr="003F28B0">
        <w:rPr>
          <w:rFonts w:cs="Arial"/>
          <w:sz w:val="20"/>
          <w:szCs w:val="20"/>
          <w:rtl/>
        </w:rPr>
        <w:t>פורן המדולדלת שפירשה מיעוטה, חוצצת; פירשה רובה, אינה חוצצת</w:t>
      </w:r>
      <w:r w:rsidRPr="003F28B0">
        <w:rPr>
          <w:rFonts w:cs="Arial" w:hint="cs"/>
          <w:sz w:val="20"/>
          <w:szCs w:val="20"/>
          <w:rtl/>
        </w:rPr>
        <w:t>".</w:t>
      </w:r>
      <w:r>
        <w:rPr>
          <w:rFonts w:hint="cs"/>
          <w:sz w:val="20"/>
          <w:szCs w:val="20"/>
          <w:rtl/>
        </w:rPr>
        <w:br/>
      </w:r>
      <w:r w:rsidRPr="003A32F5">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לדידן שמחמירים כרמ"א להצריכה טבילה שנית אם לא קצצה ציפורניה, הוא הדין כאן. </w:t>
      </w:r>
      <w:r w:rsidRPr="003A32F5">
        <w:rPr>
          <w:rFonts w:hint="cs"/>
          <w:sz w:val="18"/>
          <w:szCs w:val="18"/>
          <w:rtl/>
        </w:rPr>
        <w:t>(ואמנם, היה מקום לחלק שדברי הרמ"א נאמרו רק על כל הציפורן משא"כ הכא שרק מיעוטה מחוברת ורובה תלושה, ודוחק).</w:t>
      </w:r>
    </w:p>
    <w:p w:rsidR="00620060" w:rsidRDefault="00620060" w:rsidP="00620060">
      <w:pPr>
        <w:spacing w:line="300" w:lineRule="exact"/>
        <w:rPr>
          <w:rFonts w:cs="David"/>
          <w:rtl/>
        </w:rPr>
      </w:pPr>
      <w:r w:rsidRPr="00474231">
        <w:rPr>
          <w:rFonts w:hint="cs"/>
          <w:sz w:val="20"/>
          <w:szCs w:val="20"/>
          <w:u w:val="single"/>
          <w:rtl/>
        </w:rPr>
        <w:t>הכרעת האחרונים</w:t>
      </w:r>
      <w:r>
        <w:rPr>
          <w:rFonts w:hint="cs"/>
          <w:sz w:val="20"/>
          <w:szCs w:val="20"/>
          <w:rtl/>
        </w:rPr>
        <w:t xml:space="preserve"> </w:t>
      </w:r>
      <w:r>
        <w:rPr>
          <w:sz w:val="18"/>
          <w:szCs w:val="18"/>
          <w:rtl/>
        </w:rPr>
        <w:br/>
      </w:r>
      <w:r w:rsidRPr="00FA164B">
        <w:rPr>
          <w:rFonts w:hint="cs"/>
          <w:b/>
          <w:bCs/>
          <w:sz w:val="20"/>
          <w:szCs w:val="20"/>
          <w:rtl/>
        </w:rPr>
        <w:t>בדה"ש</w:t>
      </w:r>
      <w:r w:rsidRPr="00FA164B">
        <w:rPr>
          <w:rFonts w:hint="cs"/>
          <w:sz w:val="20"/>
          <w:szCs w:val="20"/>
          <w:rtl/>
        </w:rPr>
        <w:t xml:space="preserve"> </w:t>
      </w:r>
      <w:r>
        <w:rPr>
          <w:rFonts w:hint="cs"/>
          <w:sz w:val="18"/>
          <w:szCs w:val="18"/>
          <w:rtl/>
        </w:rPr>
        <w:t>(סק</w:t>
      </w:r>
      <w:r w:rsidRPr="00474231">
        <w:rPr>
          <w:rFonts w:hint="cs"/>
          <w:sz w:val="18"/>
          <w:szCs w:val="18"/>
          <w:rtl/>
        </w:rPr>
        <w:t>קנ</w:t>
      </w:r>
      <w:r>
        <w:rPr>
          <w:rFonts w:hint="cs"/>
          <w:sz w:val="18"/>
          <w:szCs w:val="18"/>
          <w:rtl/>
        </w:rPr>
        <w:t>''</w:t>
      </w:r>
      <w:r w:rsidRPr="00474231">
        <w:rPr>
          <w:rFonts w:hint="cs"/>
          <w:sz w:val="18"/>
          <w:szCs w:val="18"/>
          <w:rtl/>
        </w:rPr>
        <w:t xml:space="preserve">ו) </w:t>
      </w:r>
      <w:r w:rsidRPr="00474231">
        <w:rPr>
          <w:rFonts w:asciiTheme="minorBidi" w:hAnsiTheme="minorBidi"/>
          <w:sz w:val="20"/>
          <w:szCs w:val="20"/>
          <w:rtl/>
        </w:rPr>
        <w:t>- מכיוון שלדעת הרמב"ם גם כאשר פירשה מיעוטה אינה חוצצת, לכן אם טבלה ולנה אצל בעלה או כשאי אפשר לה לטבול פעם נוספת, אינה צריכה לחזור ולטבול.</w:t>
      </w:r>
    </w:p>
    <w:p w:rsidR="00620060" w:rsidRPr="00D6032C" w:rsidRDefault="00620060" w:rsidP="00620060">
      <w:pPr>
        <w:rPr>
          <w:sz w:val="20"/>
          <w:szCs w:val="20"/>
        </w:rPr>
      </w:pPr>
      <w:r>
        <w:rPr>
          <w:rFonts w:asciiTheme="minorBidi" w:hAnsiTheme="minorBidi" w:hint="cs"/>
          <w:sz w:val="20"/>
          <w:szCs w:val="20"/>
          <w:u w:val="single"/>
          <w:rtl/>
        </w:rPr>
        <w:t>חציצה בשיער של כלה (פת"ש)</w:t>
      </w:r>
      <w:r>
        <w:rPr>
          <w:rFonts w:asciiTheme="minorBidi" w:hAnsiTheme="minorBidi"/>
          <w:sz w:val="20"/>
          <w:szCs w:val="20"/>
          <w:u w:val="single"/>
          <w:rtl/>
        </w:rPr>
        <w:br/>
      </w:r>
      <w:r w:rsidRPr="00203450">
        <w:rPr>
          <w:rFonts w:asciiTheme="minorBidi" w:hAnsiTheme="minorBidi" w:hint="cs"/>
          <w:b/>
          <w:bCs/>
          <w:sz w:val="20"/>
          <w:szCs w:val="20"/>
          <w:rtl/>
        </w:rPr>
        <w:t>חתם סופר</w:t>
      </w:r>
      <w:r>
        <w:rPr>
          <w:rFonts w:asciiTheme="minorBidi" w:hAnsiTheme="minorBidi" w:hint="cs"/>
          <w:sz w:val="20"/>
          <w:szCs w:val="20"/>
          <w:rtl/>
        </w:rPr>
        <w:t xml:space="preserve"> </w:t>
      </w:r>
      <w:r>
        <w:rPr>
          <w:rFonts w:asciiTheme="minorBidi" w:hAnsiTheme="minorBidi"/>
          <w:sz w:val="20"/>
          <w:szCs w:val="20"/>
          <w:rtl/>
        </w:rPr>
        <w:t>–</w:t>
      </w:r>
      <w:r>
        <w:rPr>
          <w:rFonts w:asciiTheme="minorBidi" w:hAnsiTheme="minorBidi" w:hint="cs"/>
          <w:sz w:val="20"/>
          <w:szCs w:val="20"/>
          <w:rtl/>
        </w:rPr>
        <w:t xml:space="preserve"> כלה שעומדת להסתפר לאחר החתונה, אין השיער חוצץ בטבילה.</w:t>
      </w:r>
      <w:r>
        <w:rPr>
          <w:rFonts w:asciiTheme="minorBidi" w:hAnsiTheme="minorBidi"/>
          <w:sz w:val="20"/>
          <w:szCs w:val="20"/>
          <w:rtl/>
        </w:rPr>
        <w:br/>
      </w:r>
      <w:r w:rsidRPr="00203450">
        <w:rPr>
          <w:rFonts w:asciiTheme="minorBidi" w:hAnsiTheme="minorBidi" w:hint="cs"/>
          <w:b/>
          <w:bCs/>
          <w:sz w:val="20"/>
          <w:szCs w:val="20"/>
          <w:rtl/>
        </w:rPr>
        <w:t>טעם</w:t>
      </w:r>
      <w:r>
        <w:rPr>
          <w:rFonts w:asciiTheme="minorBidi" w:hAnsiTheme="minorBidi" w:hint="cs"/>
          <w:sz w:val="20"/>
          <w:szCs w:val="20"/>
          <w:rtl/>
        </w:rPr>
        <w:t xml:space="preserve"> </w:t>
      </w:r>
      <w:r>
        <w:rPr>
          <w:rFonts w:asciiTheme="minorBidi" w:hAnsiTheme="minorBidi"/>
          <w:sz w:val="20"/>
          <w:szCs w:val="20"/>
          <w:rtl/>
        </w:rPr>
        <w:t>–</w:t>
      </w:r>
      <w:r>
        <w:rPr>
          <w:rFonts w:asciiTheme="minorBidi" w:hAnsiTheme="minorBidi" w:hint="cs"/>
          <w:sz w:val="20"/>
          <w:szCs w:val="20"/>
          <w:rtl/>
        </w:rPr>
        <w:t xml:space="preserve"> אע"פ שכלל בידינו "כל העומד להיקצץ כקצוץ דמי", הכוונה היא שהדבר עומד להיקצץ מייד ללא שהות. כאן אין השערות עתידות להיקצץ מייד אלא רק לאחר החתונה ובעילת מצווה, ולכן אינן חוצצות, שלא כדברי רב אחד שרצה להחמיר בדין זה.</w:t>
      </w:r>
      <w:r>
        <w:rPr>
          <w:rFonts w:asciiTheme="minorBidi" w:hAnsiTheme="minorBidi"/>
          <w:sz w:val="20"/>
          <w:szCs w:val="20"/>
          <w:u w:val="single"/>
          <w:rtl/>
        </w:rPr>
        <w:br/>
      </w:r>
      <w:r>
        <w:rPr>
          <w:rFonts w:asciiTheme="minorBidi" w:hAnsiTheme="minorBidi" w:hint="cs"/>
          <w:sz w:val="20"/>
          <w:szCs w:val="20"/>
          <w:u w:val="single"/>
          <w:rtl/>
        </w:rPr>
        <w:br/>
      </w:r>
      <w:r w:rsidRPr="00CC4D59">
        <w:rPr>
          <w:rFonts w:hint="cs"/>
          <w:b/>
          <w:bCs/>
          <w:sz w:val="20"/>
          <w:szCs w:val="20"/>
          <w:rtl/>
        </w:rPr>
        <w:t>סיכום</w:t>
      </w:r>
      <w:r>
        <w:rPr>
          <w:sz w:val="20"/>
          <w:szCs w:val="20"/>
          <w:rtl/>
        </w:rPr>
        <w:br/>
      </w:r>
      <w:r>
        <w:rPr>
          <w:rFonts w:hint="cs"/>
          <w:sz w:val="20"/>
          <w:szCs w:val="20"/>
          <w:rtl/>
        </w:rPr>
        <w:t xml:space="preserve">1. ציפורן מדולדלת. </w:t>
      </w:r>
      <w:r w:rsidRPr="00CC4D59">
        <w:rPr>
          <w:rFonts w:hint="cs"/>
          <w:b/>
          <w:bCs/>
          <w:sz w:val="20"/>
          <w:szCs w:val="20"/>
          <w:rtl/>
        </w:rPr>
        <w:t>משנה</w:t>
      </w:r>
      <w:r>
        <w:rPr>
          <w:rFonts w:hint="cs"/>
          <w:sz w:val="20"/>
          <w:szCs w:val="20"/>
          <w:rtl/>
        </w:rPr>
        <w:t xml:space="preserve">. אינה חוצצת. </w:t>
      </w:r>
      <w:r w:rsidRPr="00CC4D59">
        <w:rPr>
          <w:rFonts w:hint="cs"/>
          <w:b/>
          <w:bCs/>
          <w:sz w:val="20"/>
          <w:szCs w:val="20"/>
          <w:rtl/>
        </w:rPr>
        <w:t>תוספתא</w:t>
      </w:r>
      <w:r>
        <w:rPr>
          <w:rFonts w:hint="cs"/>
          <w:sz w:val="20"/>
          <w:szCs w:val="20"/>
          <w:rtl/>
        </w:rPr>
        <w:t xml:space="preserve">. </w:t>
      </w:r>
      <w:r w:rsidRPr="00CC4D59">
        <w:rPr>
          <w:rFonts w:hint="cs"/>
          <w:sz w:val="20"/>
          <w:szCs w:val="20"/>
          <w:u w:val="single"/>
          <w:rtl/>
        </w:rPr>
        <w:t>רבי יונתן</w:t>
      </w:r>
      <w:r>
        <w:rPr>
          <w:rFonts w:hint="cs"/>
          <w:sz w:val="20"/>
          <w:szCs w:val="20"/>
          <w:rtl/>
        </w:rPr>
        <w:t>. אם פירשה רובה אינה חוצצת.</w:t>
      </w:r>
      <w:r>
        <w:rPr>
          <w:sz w:val="20"/>
          <w:szCs w:val="20"/>
          <w:rtl/>
        </w:rPr>
        <w:br/>
      </w:r>
      <w:r>
        <w:rPr>
          <w:rFonts w:hint="cs"/>
          <w:sz w:val="20"/>
          <w:szCs w:val="20"/>
          <w:rtl/>
        </w:rPr>
        <w:t xml:space="preserve">2. </w:t>
      </w:r>
      <w:r w:rsidRPr="00CC4D59">
        <w:rPr>
          <w:rFonts w:hint="cs"/>
          <w:b/>
          <w:bCs/>
          <w:sz w:val="20"/>
          <w:szCs w:val="20"/>
          <w:rtl/>
        </w:rPr>
        <w:t>טור</w:t>
      </w:r>
      <w:r>
        <w:rPr>
          <w:rFonts w:hint="cs"/>
          <w:sz w:val="20"/>
          <w:szCs w:val="20"/>
          <w:rtl/>
        </w:rPr>
        <w:t xml:space="preserve">. פירשה רובה אינה חוצצת, מיעוטה חוצצת. כתוספתא. </w:t>
      </w:r>
      <w:r w:rsidRPr="00CC4D59">
        <w:rPr>
          <w:rFonts w:hint="cs"/>
          <w:b/>
          <w:bCs/>
          <w:sz w:val="20"/>
          <w:szCs w:val="20"/>
          <w:rtl/>
        </w:rPr>
        <w:t>רמב"ם</w:t>
      </w:r>
      <w:r>
        <w:rPr>
          <w:rFonts w:hint="cs"/>
          <w:sz w:val="20"/>
          <w:szCs w:val="20"/>
          <w:rtl/>
        </w:rPr>
        <w:t>. תמיד אינה חוצצת, כמשנה.</w:t>
      </w:r>
      <w:r>
        <w:rPr>
          <w:sz w:val="20"/>
          <w:szCs w:val="20"/>
          <w:rtl/>
        </w:rPr>
        <w:br/>
      </w:r>
      <w:r>
        <w:rPr>
          <w:rFonts w:hint="cs"/>
          <w:sz w:val="20"/>
          <w:szCs w:val="20"/>
          <w:rtl/>
        </w:rPr>
        <w:t xml:space="preserve">3. </w:t>
      </w:r>
      <w:r w:rsidRPr="00CC4D59">
        <w:rPr>
          <w:rFonts w:hint="cs"/>
          <w:b/>
          <w:bCs/>
          <w:sz w:val="20"/>
          <w:szCs w:val="20"/>
          <w:rtl/>
        </w:rPr>
        <w:t>ב"י</w:t>
      </w:r>
      <w:r>
        <w:rPr>
          <w:rFonts w:hint="cs"/>
          <w:sz w:val="20"/>
          <w:szCs w:val="20"/>
          <w:rtl/>
        </w:rPr>
        <w:t xml:space="preserve">. מדוע ציפורן </w:t>
      </w:r>
      <w:r w:rsidRPr="00D6032C">
        <w:rPr>
          <w:rFonts w:hint="cs"/>
          <w:sz w:val="18"/>
          <w:szCs w:val="18"/>
          <w:rtl/>
        </w:rPr>
        <w:t xml:space="preserve">(ואבר ובשר) </w:t>
      </w:r>
      <w:r>
        <w:rPr>
          <w:rFonts w:hint="cs"/>
          <w:sz w:val="20"/>
          <w:szCs w:val="20"/>
          <w:rtl/>
        </w:rPr>
        <w:t>מדולדלת חוצצת? משום שמקום החיבור לגוף אינו ראוי לביאת מים.</w:t>
      </w:r>
      <w:r>
        <w:rPr>
          <w:rFonts w:hint="cs"/>
          <w:sz w:val="20"/>
          <w:szCs w:val="20"/>
          <w:rtl/>
        </w:rPr>
        <w:br/>
        <w:t xml:space="preserve">4. ביאור החילוק בין פירשה רובה למיעוטה. </w:t>
      </w:r>
      <w:r w:rsidRPr="00CC4D59">
        <w:rPr>
          <w:rFonts w:hint="cs"/>
          <w:b/>
          <w:bCs/>
          <w:sz w:val="20"/>
          <w:szCs w:val="20"/>
          <w:rtl/>
        </w:rPr>
        <w:t>ב"י</w:t>
      </w:r>
      <w:r>
        <w:rPr>
          <w:rFonts w:hint="cs"/>
          <w:sz w:val="20"/>
          <w:szCs w:val="20"/>
          <w:rtl/>
        </w:rPr>
        <w:t xml:space="preserve">. א. ברובה שאינה מסירה מוכח שאינה מקפדת, במיעוטה לא הוי הוכחה משום שאינה יכולה להסירה. ב. החציצה היא רק כשיש לכלוך, כשפירשה רובה הוי כתלושה ואינה חלק מהגוף. ג. </w:t>
      </w:r>
      <w:r w:rsidRPr="00CC4D59">
        <w:rPr>
          <w:rFonts w:hint="cs"/>
          <w:b/>
          <w:bCs/>
          <w:sz w:val="20"/>
          <w:szCs w:val="20"/>
          <w:rtl/>
        </w:rPr>
        <w:t>ט"ז</w:t>
      </w:r>
      <w:r>
        <w:rPr>
          <w:rFonts w:hint="cs"/>
          <w:sz w:val="20"/>
          <w:szCs w:val="20"/>
          <w:rtl/>
        </w:rPr>
        <w:t>. כשפירשה מיעוטה מקום הסדק צר ואין המים יכולים לבוא.</w:t>
      </w:r>
      <w:r>
        <w:rPr>
          <w:sz w:val="20"/>
          <w:szCs w:val="20"/>
          <w:rtl/>
        </w:rPr>
        <w:br/>
      </w:r>
      <w:r>
        <w:rPr>
          <w:rFonts w:hint="cs"/>
          <w:sz w:val="20"/>
          <w:szCs w:val="20"/>
          <w:rtl/>
        </w:rPr>
        <w:t xml:space="preserve">5. </w:t>
      </w:r>
      <w:r w:rsidRPr="00D6032C">
        <w:rPr>
          <w:rFonts w:hint="cs"/>
          <w:b/>
          <w:bCs/>
          <w:sz w:val="20"/>
          <w:szCs w:val="20"/>
          <w:rtl/>
        </w:rPr>
        <w:t>מחבר</w:t>
      </w:r>
      <w:r>
        <w:rPr>
          <w:rFonts w:hint="cs"/>
          <w:sz w:val="20"/>
          <w:szCs w:val="20"/>
          <w:rtl/>
        </w:rPr>
        <w:t xml:space="preserve">. ציפורן שפירשה רובה אינה חוצצת, פירשה מיעוטה חוצצת, כטור. </w:t>
      </w:r>
      <w:r w:rsidRPr="00D6032C">
        <w:rPr>
          <w:rFonts w:hint="cs"/>
          <w:b/>
          <w:bCs/>
          <w:sz w:val="20"/>
          <w:szCs w:val="20"/>
          <w:rtl/>
        </w:rPr>
        <w:t>ש"ך</w:t>
      </w:r>
      <w:r>
        <w:rPr>
          <w:rFonts w:hint="cs"/>
          <w:sz w:val="20"/>
          <w:szCs w:val="20"/>
          <w:rtl/>
        </w:rPr>
        <w:t xml:space="preserve">. </w:t>
      </w:r>
      <w:r w:rsidRPr="00D6032C">
        <w:rPr>
          <w:rFonts w:hint="cs"/>
          <w:b/>
          <w:bCs/>
          <w:sz w:val="20"/>
          <w:szCs w:val="20"/>
          <w:rtl/>
        </w:rPr>
        <w:t>לרמ"א</w:t>
      </w:r>
      <w:r>
        <w:rPr>
          <w:rFonts w:hint="cs"/>
          <w:sz w:val="20"/>
          <w:szCs w:val="20"/>
          <w:rtl/>
        </w:rPr>
        <w:t xml:space="preserve"> בעיא טבילה שנית.</w:t>
      </w:r>
      <w:r>
        <w:rPr>
          <w:rFonts w:hint="cs"/>
          <w:sz w:val="20"/>
          <w:szCs w:val="20"/>
          <w:rtl/>
        </w:rPr>
        <w:br/>
        <w:t xml:space="preserve">6. </w:t>
      </w:r>
      <w:r w:rsidRPr="00FA164B">
        <w:rPr>
          <w:rFonts w:hint="cs"/>
          <w:sz w:val="20"/>
          <w:szCs w:val="20"/>
          <w:rtl/>
        </w:rPr>
        <w:t>הכרעת האחרונים.</w:t>
      </w:r>
      <w:r>
        <w:rPr>
          <w:rFonts w:hint="cs"/>
          <w:sz w:val="20"/>
          <w:szCs w:val="20"/>
          <w:rtl/>
        </w:rPr>
        <w:t xml:space="preserve"> אם לנה עם בעלה או שאי אפשר לטבול שנית, יש להקל כרמב"ם.</w:t>
      </w:r>
      <w:r>
        <w:rPr>
          <w:sz w:val="20"/>
          <w:szCs w:val="20"/>
          <w:rtl/>
        </w:rPr>
        <w:br/>
      </w:r>
      <w:r>
        <w:rPr>
          <w:rFonts w:hint="cs"/>
          <w:sz w:val="20"/>
          <w:szCs w:val="20"/>
          <w:rtl/>
        </w:rPr>
        <w:t xml:space="preserve">7. </w:t>
      </w:r>
      <w:r w:rsidRPr="00CC4D59">
        <w:rPr>
          <w:rFonts w:hint="cs"/>
          <w:b/>
          <w:bCs/>
          <w:sz w:val="20"/>
          <w:szCs w:val="20"/>
          <w:rtl/>
        </w:rPr>
        <w:t>חת"ס</w:t>
      </w:r>
      <w:r>
        <w:rPr>
          <w:rFonts w:hint="cs"/>
          <w:sz w:val="20"/>
          <w:szCs w:val="20"/>
          <w:rtl/>
        </w:rPr>
        <w:t xml:space="preserve">. כלה שעומדת להסתפר לאחר החתונה, אין השיער חוצץ. </w:t>
      </w:r>
      <w:r w:rsidRPr="00CC4D59">
        <w:rPr>
          <w:rFonts w:hint="cs"/>
          <w:b/>
          <w:bCs/>
          <w:sz w:val="20"/>
          <w:szCs w:val="20"/>
          <w:rtl/>
        </w:rPr>
        <w:t>טעם</w:t>
      </w:r>
      <w:r>
        <w:rPr>
          <w:rFonts w:hint="cs"/>
          <w:sz w:val="20"/>
          <w:szCs w:val="20"/>
          <w:rtl/>
        </w:rPr>
        <w:t>. יש שהות בין הטבילה לתספורת.</w:t>
      </w:r>
    </w:p>
    <w:p w:rsidR="00620060" w:rsidRDefault="00620060" w:rsidP="00620060">
      <w:pPr>
        <w:spacing w:line="300" w:lineRule="exact"/>
        <w:rPr>
          <w:rFonts w:asciiTheme="minorBidi" w:hAnsiTheme="minorBidi"/>
          <w:sz w:val="20"/>
          <w:szCs w:val="20"/>
          <w:rtl/>
        </w:rPr>
      </w:pPr>
      <w:r>
        <w:rPr>
          <w:rFonts w:asciiTheme="minorBidi" w:hAnsiTheme="minorBidi"/>
          <w:sz w:val="20"/>
          <w:szCs w:val="20"/>
          <w:u w:val="single"/>
          <w:rtl/>
        </w:rPr>
        <w:br/>
      </w:r>
      <w:r>
        <w:rPr>
          <w:rFonts w:asciiTheme="minorBidi" w:hAnsiTheme="minorBidi" w:hint="cs"/>
          <w:b/>
          <w:bCs/>
          <w:sz w:val="20"/>
          <w:szCs w:val="20"/>
          <w:rtl/>
        </w:rPr>
        <w:t xml:space="preserve">סעיף כב </w:t>
      </w:r>
      <w:r>
        <w:rPr>
          <w:rFonts w:asciiTheme="minorBidi" w:hAnsiTheme="minorBidi"/>
          <w:b/>
          <w:bCs/>
          <w:sz w:val="20"/>
          <w:szCs w:val="20"/>
          <w:rtl/>
        </w:rPr>
        <w:t>–</w:t>
      </w:r>
      <w:r>
        <w:rPr>
          <w:rFonts w:asciiTheme="minorBidi" w:hAnsiTheme="minorBidi" w:hint="cs"/>
          <w:b/>
          <w:bCs/>
          <w:sz w:val="20"/>
          <w:szCs w:val="20"/>
          <w:rtl/>
        </w:rPr>
        <w:t xml:space="preserve"> אבר ובשר המדולדלים </w:t>
      </w:r>
      <w:r>
        <w:rPr>
          <w:rFonts w:asciiTheme="minorBidi" w:hAnsiTheme="minorBidi"/>
          <w:b/>
          <w:bCs/>
          <w:sz w:val="20"/>
          <w:szCs w:val="20"/>
          <w:rtl/>
        </w:rPr>
        <w:br/>
      </w:r>
      <w:r>
        <w:rPr>
          <w:rFonts w:asciiTheme="minorBidi" w:hAnsiTheme="minorBidi" w:hint="cs"/>
          <w:b/>
          <w:bCs/>
          <w:sz w:val="20"/>
          <w:szCs w:val="20"/>
          <w:rtl/>
        </w:rPr>
        <w:t>שיטות הראשונים</w:t>
      </w:r>
      <w:r>
        <w:rPr>
          <w:rFonts w:asciiTheme="minorBidi" w:hAnsiTheme="minorBidi"/>
          <w:b/>
          <w:bCs/>
          <w:sz w:val="20"/>
          <w:szCs w:val="20"/>
          <w:rtl/>
        </w:rPr>
        <w:br/>
      </w:r>
      <w:r>
        <w:rPr>
          <w:rFonts w:asciiTheme="minorBidi" w:hAnsiTheme="minorBidi" w:hint="cs"/>
          <w:sz w:val="20"/>
          <w:szCs w:val="20"/>
          <w:rtl/>
        </w:rPr>
        <w:t>האם אבר ובשר המדולדלים באדם חוצצים?</w:t>
      </w:r>
      <w:r>
        <w:rPr>
          <w:rFonts w:asciiTheme="minorBidi" w:hAnsiTheme="minorBidi" w:hint="cs"/>
          <w:b/>
          <w:bCs/>
          <w:sz w:val="20"/>
          <w:szCs w:val="20"/>
          <w:rtl/>
        </w:rPr>
        <w:br/>
      </w:r>
      <w:r w:rsidRPr="00AA3C41">
        <w:rPr>
          <w:rFonts w:asciiTheme="minorBidi" w:hAnsiTheme="minorBidi" w:hint="cs"/>
          <w:sz w:val="20"/>
          <w:szCs w:val="20"/>
          <w:rtl/>
        </w:rPr>
        <w:t xml:space="preserve">א. </w:t>
      </w:r>
      <w:r w:rsidRPr="00AA3C41">
        <w:rPr>
          <w:rFonts w:asciiTheme="minorBidi" w:hAnsiTheme="minorBidi" w:hint="cs"/>
          <w:b/>
          <w:bCs/>
          <w:sz w:val="20"/>
          <w:szCs w:val="20"/>
          <w:rtl/>
        </w:rPr>
        <w:t>סמ"ג</w:t>
      </w:r>
      <w:r w:rsidRPr="00AA3C41">
        <w:rPr>
          <w:rFonts w:asciiTheme="minorBidi" w:hAnsiTheme="minorBidi" w:hint="cs"/>
          <w:sz w:val="20"/>
          <w:szCs w:val="20"/>
          <w:rtl/>
        </w:rPr>
        <w:t xml:space="preserve"> </w:t>
      </w:r>
      <w:r w:rsidRPr="00AA3C41">
        <w:rPr>
          <w:rFonts w:asciiTheme="minorBidi" w:hAnsiTheme="minorBidi"/>
          <w:sz w:val="20"/>
          <w:szCs w:val="20"/>
          <w:rtl/>
        </w:rPr>
        <w:t>–</w:t>
      </w:r>
      <w:r w:rsidRPr="00AA3C41">
        <w:rPr>
          <w:rFonts w:asciiTheme="minorBidi" w:hAnsiTheme="minorBidi" w:hint="cs"/>
          <w:sz w:val="20"/>
          <w:szCs w:val="20"/>
          <w:rtl/>
        </w:rPr>
        <w:t xml:space="preserve"> לא.</w:t>
      </w:r>
      <w:r w:rsidRPr="00AA3C41">
        <w:rPr>
          <w:rFonts w:asciiTheme="minorBidi" w:hAnsiTheme="minorBidi"/>
          <w:sz w:val="20"/>
          <w:szCs w:val="20"/>
          <w:rtl/>
        </w:rPr>
        <w:br/>
      </w:r>
      <w:r w:rsidRPr="00AA3C41">
        <w:rPr>
          <w:rFonts w:asciiTheme="minorBidi" w:hAnsiTheme="minorBidi" w:hint="cs"/>
          <w:sz w:val="20"/>
          <w:szCs w:val="20"/>
          <w:rtl/>
        </w:rPr>
        <w:t xml:space="preserve">ב. </w:t>
      </w:r>
      <w:r w:rsidRPr="00AA3C41">
        <w:rPr>
          <w:rFonts w:asciiTheme="minorBidi" w:hAnsiTheme="minorBidi" w:hint="cs"/>
          <w:b/>
          <w:bCs/>
          <w:sz w:val="20"/>
          <w:szCs w:val="20"/>
          <w:rtl/>
        </w:rPr>
        <w:t>רא"ש</w:t>
      </w:r>
      <w:r w:rsidRPr="00AA3C41">
        <w:rPr>
          <w:rFonts w:asciiTheme="minorBidi" w:hAnsiTheme="minorBidi" w:hint="cs"/>
          <w:sz w:val="20"/>
          <w:szCs w:val="20"/>
          <w:rtl/>
        </w:rPr>
        <w:t xml:space="preserve"> </w:t>
      </w:r>
      <w:r w:rsidRPr="00AA3C41">
        <w:rPr>
          <w:rFonts w:asciiTheme="minorBidi" w:hAnsiTheme="minorBidi"/>
          <w:sz w:val="20"/>
          <w:szCs w:val="20"/>
          <w:rtl/>
        </w:rPr>
        <w:t>–</w:t>
      </w:r>
      <w:r w:rsidRPr="00AA3C41">
        <w:rPr>
          <w:rFonts w:asciiTheme="minorBidi" w:hAnsiTheme="minorBidi" w:hint="cs"/>
          <w:sz w:val="20"/>
          <w:szCs w:val="20"/>
          <w:rtl/>
        </w:rPr>
        <w:t xml:space="preserve"> כן, וכ"פ </w:t>
      </w:r>
      <w:r w:rsidRPr="00AA3C41">
        <w:rPr>
          <w:rFonts w:asciiTheme="minorBidi" w:hAnsiTheme="minorBidi" w:hint="cs"/>
          <w:b/>
          <w:bCs/>
          <w:sz w:val="20"/>
          <w:szCs w:val="20"/>
          <w:rtl/>
        </w:rPr>
        <w:t>המחבר</w:t>
      </w:r>
      <w:r w:rsidRPr="00AA3C41">
        <w:rPr>
          <w:rFonts w:asciiTheme="minorBidi" w:hAnsiTheme="minorBidi" w:hint="cs"/>
          <w:sz w:val="20"/>
          <w:szCs w:val="20"/>
          <w:rtl/>
        </w:rPr>
        <w:t>.</w:t>
      </w:r>
      <w:r>
        <w:rPr>
          <w:rFonts w:asciiTheme="minorBidi" w:hAnsiTheme="minorBidi" w:hint="cs"/>
          <w:b/>
          <w:bCs/>
          <w:sz w:val="20"/>
          <w:szCs w:val="20"/>
          <w:rtl/>
        </w:rPr>
        <w:br/>
        <w:t xml:space="preserve">טעם </w:t>
      </w:r>
      <w:r>
        <w:rPr>
          <w:rFonts w:asciiTheme="minorBidi" w:hAnsiTheme="minorBidi"/>
          <w:sz w:val="20"/>
          <w:szCs w:val="20"/>
          <w:rtl/>
        </w:rPr>
        <w:t>–</w:t>
      </w:r>
      <w:r>
        <w:rPr>
          <w:rFonts w:asciiTheme="minorBidi" w:hAnsiTheme="minorBidi" w:hint="cs"/>
          <w:sz w:val="20"/>
          <w:szCs w:val="20"/>
          <w:rtl/>
        </w:rPr>
        <w:t xml:space="preserve"> זו מחלוקת גרסות בתוספתא, האם אבר ובשר מדולדלים חוצצים או אינם חוצצים.</w:t>
      </w:r>
      <w:r>
        <w:rPr>
          <w:rFonts w:asciiTheme="minorBidi" w:hAnsiTheme="minorBidi"/>
          <w:sz w:val="20"/>
          <w:szCs w:val="20"/>
          <w:rtl/>
        </w:rPr>
        <w:br/>
      </w:r>
      <w:r>
        <w:rPr>
          <w:rFonts w:asciiTheme="minorBidi" w:hAnsiTheme="minorBidi"/>
          <w:b/>
          <w:bCs/>
          <w:sz w:val="20"/>
          <w:szCs w:val="20"/>
          <w:rtl/>
        </w:rPr>
        <w:br/>
      </w:r>
      <w:r>
        <w:rPr>
          <w:rFonts w:asciiTheme="minorBidi" w:hAnsiTheme="minorBidi" w:hint="cs"/>
          <w:b/>
          <w:bCs/>
          <w:sz w:val="20"/>
          <w:szCs w:val="20"/>
          <w:rtl/>
        </w:rPr>
        <w:t>פסיקת הלכה</w:t>
      </w:r>
      <w:r>
        <w:rPr>
          <w:rFonts w:asciiTheme="minorBidi" w:hAnsiTheme="minorBidi"/>
          <w:b/>
          <w:bCs/>
          <w:sz w:val="20"/>
          <w:szCs w:val="20"/>
          <w:rtl/>
        </w:rPr>
        <w:br/>
      </w:r>
      <w:r>
        <w:rPr>
          <w:rFonts w:asciiTheme="minorBidi" w:hAnsiTheme="minorBidi" w:hint="cs"/>
          <w:b/>
          <w:bCs/>
          <w:sz w:val="20"/>
          <w:szCs w:val="20"/>
          <w:rtl/>
        </w:rPr>
        <w:t>שולחן ערוך</w:t>
      </w:r>
      <w:r>
        <w:rPr>
          <w:rFonts w:asciiTheme="minorBidi" w:hAnsiTheme="minorBidi" w:hint="cs"/>
          <w:sz w:val="20"/>
          <w:szCs w:val="20"/>
          <w:rtl/>
        </w:rPr>
        <w:t xml:space="preserve"> </w:t>
      </w:r>
      <w:r>
        <w:rPr>
          <w:rFonts w:asciiTheme="minorBidi" w:hAnsiTheme="minorBidi"/>
          <w:sz w:val="20"/>
          <w:szCs w:val="20"/>
          <w:rtl/>
        </w:rPr>
        <w:t>–</w:t>
      </w:r>
      <w:r>
        <w:rPr>
          <w:rFonts w:asciiTheme="minorBidi" w:hAnsiTheme="minorBidi" w:hint="cs"/>
          <w:sz w:val="20"/>
          <w:szCs w:val="20"/>
          <w:rtl/>
        </w:rPr>
        <w:t xml:space="preserve"> "</w:t>
      </w:r>
      <w:r w:rsidRPr="0070371A">
        <w:rPr>
          <w:rFonts w:asciiTheme="minorBidi" w:hAnsiTheme="minorBidi" w:cs="Arial"/>
          <w:sz w:val="20"/>
          <w:szCs w:val="20"/>
          <w:rtl/>
        </w:rPr>
        <w:t>אבר ובש</w:t>
      </w:r>
      <w:r>
        <w:rPr>
          <w:rFonts w:asciiTheme="minorBidi" w:hAnsiTheme="minorBidi" w:cs="Arial"/>
          <w:sz w:val="20"/>
          <w:szCs w:val="20"/>
          <w:rtl/>
        </w:rPr>
        <w:t>ר המדולדלים, חוצצים</w:t>
      </w:r>
      <w:r>
        <w:rPr>
          <w:rFonts w:asciiTheme="minorBidi" w:hAnsiTheme="minorBidi" w:cs="Arial" w:hint="cs"/>
          <w:sz w:val="20"/>
          <w:szCs w:val="20"/>
          <w:rtl/>
        </w:rPr>
        <w:t>".</w:t>
      </w:r>
    </w:p>
    <w:p w:rsidR="00620060" w:rsidRDefault="00620060" w:rsidP="00620060">
      <w:pPr>
        <w:spacing w:line="300" w:lineRule="exact"/>
        <w:rPr>
          <w:rFonts w:asciiTheme="minorBidi" w:hAnsiTheme="minorBidi"/>
          <w:sz w:val="20"/>
          <w:szCs w:val="20"/>
          <w:rtl/>
        </w:rPr>
      </w:pPr>
      <w:r w:rsidRPr="00F3770A">
        <w:rPr>
          <w:rFonts w:asciiTheme="minorBidi" w:hAnsiTheme="minorBidi" w:hint="cs"/>
          <w:b/>
          <w:bCs/>
          <w:sz w:val="20"/>
          <w:szCs w:val="20"/>
          <w:rtl/>
        </w:rPr>
        <w:t>טעם הדין</w:t>
      </w:r>
      <w:r>
        <w:rPr>
          <w:rFonts w:asciiTheme="minorBidi" w:hAnsiTheme="minorBidi"/>
          <w:sz w:val="20"/>
          <w:szCs w:val="20"/>
          <w:u w:val="single"/>
          <w:rtl/>
        </w:rPr>
        <w:br/>
      </w:r>
      <w:r>
        <w:rPr>
          <w:rFonts w:asciiTheme="minorBidi" w:hAnsiTheme="minorBidi" w:hint="cs"/>
          <w:sz w:val="20"/>
          <w:szCs w:val="20"/>
          <w:rtl/>
        </w:rPr>
        <w:t xml:space="preserve">א. </w:t>
      </w:r>
      <w:r w:rsidRPr="00940276">
        <w:rPr>
          <w:rFonts w:asciiTheme="minorBidi" w:hAnsiTheme="minorBidi" w:hint="cs"/>
          <w:b/>
          <w:bCs/>
          <w:sz w:val="20"/>
          <w:szCs w:val="20"/>
          <w:rtl/>
        </w:rPr>
        <w:t>ט"ז</w:t>
      </w:r>
      <w:r>
        <w:rPr>
          <w:rFonts w:asciiTheme="minorBidi" w:hAnsiTheme="minorBidi" w:hint="cs"/>
          <w:sz w:val="20"/>
          <w:szCs w:val="20"/>
          <w:rtl/>
        </w:rPr>
        <w:t xml:space="preserve"> </w:t>
      </w:r>
      <w:r>
        <w:rPr>
          <w:rFonts w:asciiTheme="minorBidi" w:hAnsiTheme="minorBidi"/>
          <w:sz w:val="20"/>
          <w:szCs w:val="20"/>
          <w:rtl/>
        </w:rPr>
        <w:t>–</w:t>
      </w:r>
      <w:r>
        <w:rPr>
          <w:rFonts w:asciiTheme="minorBidi" w:hAnsiTheme="minorBidi" w:hint="cs"/>
          <w:sz w:val="20"/>
          <w:szCs w:val="20"/>
          <w:rtl/>
        </w:rPr>
        <w:t xml:space="preserve"> אבר ובשר לעולם אינם רפויים מאוד מהגוף, אלא היא מהדקת אותם ככל יכולתה לגוף כדי שלא יכאב לה, וטעם החציצה הוא משום שהמים אינם באים יפה במקום ההידוק לגוף </w:t>
      </w:r>
      <w:r w:rsidRPr="00940276">
        <w:rPr>
          <w:rFonts w:asciiTheme="minorBidi" w:hAnsiTheme="minorBidi" w:hint="cs"/>
          <w:sz w:val="18"/>
          <w:szCs w:val="18"/>
          <w:rtl/>
        </w:rPr>
        <w:t>(</w:t>
      </w:r>
      <w:r>
        <w:rPr>
          <w:rFonts w:asciiTheme="minorBidi" w:hAnsiTheme="minorBidi" w:hint="cs"/>
          <w:sz w:val="18"/>
          <w:szCs w:val="18"/>
          <w:rtl/>
        </w:rPr>
        <w:t>כ</w:t>
      </w:r>
      <w:r w:rsidRPr="00940276">
        <w:rPr>
          <w:rFonts w:asciiTheme="minorBidi" w:hAnsiTheme="minorBidi" w:hint="cs"/>
          <w:sz w:val="18"/>
          <w:szCs w:val="18"/>
          <w:rtl/>
        </w:rPr>
        <w:t>שיטתו בציפורן)</w:t>
      </w:r>
      <w:r>
        <w:rPr>
          <w:rFonts w:asciiTheme="minorBidi" w:hAnsiTheme="minorBidi" w:hint="cs"/>
          <w:sz w:val="20"/>
          <w:szCs w:val="20"/>
          <w:rtl/>
        </w:rPr>
        <w:t>.</w:t>
      </w:r>
      <w:r>
        <w:rPr>
          <w:rFonts w:asciiTheme="minorBidi" w:hAnsiTheme="minorBidi"/>
          <w:sz w:val="20"/>
          <w:szCs w:val="20"/>
          <w:rtl/>
        </w:rPr>
        <w:br/>
      </w:r>
      <w:r>
        <w:rPr>
          <w:rFonts w:asciiTheme="minorBidi" w:hAnsiTheme="minorBidi" w:hint="cs"/>
          <w:sz w:val="20"/>
          <w:szCs w:val="20"/>
          <w:rtl/>
        </w:rPr>
        <w:t xml:space="preserve">ב. </w:t>
      </w:r>
      <w:r w:rsidRPr="005361FD">
        <w:rPr>
          <w:rFonts w:asciiTheme="minorBidi" w:hAnsiTheme="minorBidi" w:hint="cs"/>
          <w:b/>
          <w:bCs/>
          <w:sz w:val="20"/>
          <w:szCs w:val="20"/>
          <w:rtl/>
        </w:rPr>
        <w:t>ב"י</w:t>
      </w:r>
      <w:r>
        <w:rPr>
          <w:rFonts w:asciiTheme="minorBidi" w:hAnsiTheme="minorBidi" w:hint="cs"/>
          <w:sz w:val="20"/>
          <w:szCs w:val="20"/>
          <w:rtl/>
        </w:rPr>
        <w:t xml:space="preserve"> </w:t>
      </w:r>
      <w:r>
        <w:rPr>
          <w:rFonts w:asciiTheme="minorBidi" w:hAnsiTheme="minorBidi"/>
          <w:sz w:val="20"/>
          <w:szCs w:val="20"/>
          <w:rtl/>
        </w:rPr>
        <w:t>–</w:t>
      </w:r>
      <w:r>
        <w:rPr>
          <w:rFonts w:asciiTheme="minorBidi" w:hAnsiTheme="minorBidi" w:hint="cs"/>
          <w:sz w:val="20"/>
          <w:szCs w:val="20"/>
          <w:rtl/>
        </w:rPr>
        <w:t xml:space="preserve"> כיוון שעתידים להיתלש מחמת שאינם יונקים עוד מהגוף, נחשבים חציצה במקום חיבורם בגוף.</w:t>
      </w:r>
      <w:r>
        <w:rPr>
          <w:rFonts w:asciiTheme="minorBidi" w:hAnsiTheme="minorBidi"/>
          <w:sz w:val="20"/>
          <w:szCs w:val="20"/>
          <w:rtl/>
        </w:rPr>
        <w:br/>
      </w:r>
      <w:r>
        <w:rPr>
          <w:rFonts w:asciiTheme="minorBidi" w:hAnsiTheme="minorBidi" w:hint="cs"/>
          <w:sz w:val="20"/>
          <w:szCs w:val="20"/>
          <w:rtl/>
        </w:rPr>
        <w:t xml:space="preserve">ג. </w:t>
      </w:r>
      <w:r w:rsidRPr="000C07BC">
        <w:rPr>
          <w:rFonts w:asciiTheme="minorBidi" w:hAnsiTheme="minorBidi" w:hint="cs"/>
          <w:b/>
          <w:bCs/>
          <w:sz w:val="20"/>
          <w:szCs w:val="20"/>
          <w:rtl/>
        </w:rPr>
        <w:t>ב"י</w:t>
      </w:r>
      <w:r>
        <w:rPr>
          <w:rFonts w:asciiTheme="minorBidi" w:hAnsiTheme="minorBidi" w:hint="cs"/>
          <w:sz w:val="20"/>
          <w:szCs w:val="20"/>
          <w:rtl/>
        </w:rPr>
        <w:t xml:space="preserve"> </w:t>
      </w:r>
      <w:r>
        <w:rPr>
          <w:rFonts w:asciiTheme="minorBidi" w:hAnsiTheme="minorBidi"/>
          <w:sz w:val="20"/>
          <w:szCs w:val="20"/>
          <w:rtl/>
        </w:rPr>
        <w:t>–</w:t>
      </w:r>
      <w:r>
        <w:rPr>
          <w:rFonts w:asciiTheme="minorBidi" w:hAnsiTheme="minorBidi" w:hint="cs"/>
          <w:sz w:val="20"/>
          <w:szCs w:val="20"/>
          <w:rtl/>
        </w:rPr>
        <w:t xml:space="preserve"> מדובר שיש על האבר דבר חוצץ, וכיוון שהאבר נחשב גם כעת חלק מהגוף, הוי חציצה.</w:t>
      </w:r>
    </w:p>
    <w:p w:rsidR="00620060" w:rsidRDefault="00620060" w:rsidP="00620060">
      <w:pPr>
        <w:spacing w:line="300" w:lineRule="exact"/>
        <w:rPr>
          <w:rFonts w:asciiTheme="minorBidi" w:hAnsiTheme="minorBidi"/>
          <w:sz w:val="20"/>
          <w:szCs w:val="20"/>
          <w:rtl/>
        </w:rPr>
      </w:pPr>
      <w:r>
        <w:rPr>
          <w:rFonts w:asciiTheme="minorBidi" w:hAnsiTheme="minorBidi" w:hint="cs"/>
          <w:b/>
          <w:bCs/>
          <w:sz w:val="20"/>
          <w:szCs w:val="20"/>
          <w:rtl/>
        </w:rPr>
        <w:lastRenderedPageBreak/>
        <w:t>דין יבלת ויתרת</w:t>
      </w:r>
      <w:r>
        <w:rPr>
          <w:rFonts w:asciiTheme="minorBidi" w:hAnsiTheme="minorBidi"/>
          <w:b/>
          <w:bCs/>
          <w:sz w:val="20"/>
          <w:szCs w:val="20"/>
          <w:rtl/>
        </w:rPr>
        <w:br/>
      </w:r>
      <w:r>
        <w:rPr>
          <w:rFonts w:asciiTheme="minorBidi" w:hAnsiTheme="minorBidi" w:hint="cs"/>
          <w:b/>
          <w:bCs/>
          <w:sz w:val="20"/>
          <w:szCs w:val="20"/>
          <w:rtl/>
        </w:rPr>
        <w:t>פסיקת הלכה</w:t>
      </w:r>
      <w:r>
        <w:rPr>
          <w:rFonts w:asciiTheme="minorBidi" w:hAnsiTheme="minorBidi"/>
          <w:b/>
          <w:bCs/>
          <w:sz w:val="20"/>
          <w:szCs w:val="20"/>
          <w:rtl/>
        </w:rPr>
        <w:br/>
      </w:r>
      <w:r>
        <w:rPr>
          <w:rFonts w:asciiTheme="minorBidi" w:hAnsiTheme="minorBidi" w:hint="cs"/>
          <w:b/>
          <w:bCs/>
          <w:sz w:val="20"/>
          <w:szCs w:val="20"/>
          <w:rtl/>
        </w:rPr>
        <w:t xml:space="preserve">רמ"א </w:t>
      </w:r>
      <w:r>
        <w:rPr>
          <w:rFonts w:asciiTheme="minorBidi" w:hAnsiTheme="minorBidi"/>
          <w:sz w:val="20"/>
          <w:szCs w:val="20"/>
          <w:rtl/>
        </w:rPr>
        <w:t>–</w:t>
      </w:r>
      <w:r>
        <w:rPr>
          <w:rFonts w:asciiTheme="minorBidi" w:hAnsiTheme="minorBidi" w:hint="cs"/>
          <w:sz w:val="20"/>
          <w:szCs w:val="20"/>
          <w:rtl/>
        </w:rPr>
        <w:t xml:space="preserve"> </w:t>
      </w:r>
      <w:r w:rsidRPr="000C07BC">
        <w:rPr>
          <w:rFonts w:asciiTheme="minorBidi" w:hAnsiTheme="minorBidi" w:hint="cs"/>
          <w:sz w:val="18"/>
          <w:szCs w:val="18"/>
          <w:rtl/>
        </w:rPr>
        <w:t>"</w:t>
      </w:r>
      <w:r w:rsidRPr="000C07BC">
        <w:rPr>
          <w:rFonts w:asciiTheme="minorBidi" w:hAnsiTheme="minorBidi" w:cs="Arial"/>
          <w:sz w:val="18"/>
          <w:szCs w:val="18"/>
          <w:rtl/>
        </w:rPr>
        <w:t>אבל יבלת או יתרת ואינן מדולדלין, אינם חוצצים</w:t>
      </w:r>
      <w:r w:rsidRPr="000C07BC">
        <w:rPr>
          <w:rFonts w:asciiTheme="minorBidi" w:hAnsiTheme="minorBidi" w:cs="Arial" w:hint="cs"/>
          <w:sz w:val="18"/>
          <w:szCs w:val="18"/>
          <w:rtl/>
        </w:rPr>
        <w:t>".</w:t>
      </w:r>
      <w:r>
        <w:rPr>
          <w:rFonts w:asciiTheme="minorBidi" w:hAnsiTheme="minorBidi"/>
          <w:sz w:val="20"/>
          <w:szCs w:val="20"/>
          <w:rtl/>
        </w:rPr>
        <w:br/>
      </w:r>
      <w:r w:rsidRPr="00F21639">
        <w:rPr>
          <w:rFonts w:asciiTheme="minorBidi" w:hAnsiTheme="minorBidi" w:hint="cs"/>
          <w:b/>
          <w:bCs/>
          <w:sz w:val="20"/>
          <w:szCs w:val="20"/>
          <w:rtl/>
        </w:rPr>
        <w:t>ששבה"ל</w:t>
      </w:r>
      <w:r>
        <w:rPr>
          <w:rFonts w:asciiTheme="minorBidi" w:hAnsiTheme="minorBidi" w:hint="cs"/>
          <w:sz w:val="20"/>
          <w:szCs w:val="20"/>
          <w:rtl/>
        </w:rPr>
        <w:t xml:space="preserve"> </w:t>
      </w:r>
      <w:r>
        <w:rPr>
          <w:rFonts w:asciiTheme="minorBidi" w:hAnsiTheme="minorBidi"/>
          <w:sz w:val="20"/>
          <w:szCs w:val="20"/>
          <w:rtl/>
        </w:rPr>
        <w:t>–</w:t>
      </w:r>
      <w:r>
        <w:rPr>
          <w:rFonts w:asciiTheme="minorBidi" w:hAnsiTheme="minorBidi" w:hint="cs"/>
          <w:sz w:val="20"/>
          <w:szCs w:val="20"/>
          <w:rtl/>
        </w:rPr>
        <w:t xml:space="preserve"> טעם הדין הוא, משום שזהו חיבור טבעי, ולכן אפילו אם עשוי להורידו פעם אינו חוצץ. </w:t>
      </w:r>
    </w:p>
    <w:p w:rsidR="00620060" w:rsidRPr="00BE2911" w:rsidRDefault="00620060" w:rsidP="00620060">
      <w:pPr>
        <w:spacing w:line="300" w:lineRule="exact"/>
        <w:rPr>
          <w:rFonts w:asciiTheme="minorBidi" w:hAnsiTheme="minorBidi"/>
          <w:sz w:val="20"/>
          <w:szCs w:val="20"/>
          <w:rtl/>
        </w:rPr>
      </w:pPr>
      <w:r>
        <w:rPr>
          <w:rFonts w:asciiTheme="minorBidi" w:hAnsiTheme="minorBidi" w:hint="cs"/>
          <w:b/>
          <w:bCs/>
          <w:sz w:val="20"/>
          <w:szCs w:val="20"/>
          <w:rtl/>
        </w:rPr>
        <w:t>סיכום</w:t>
      </w:r>
      <w:r>
        <w:rPr>
          <w:rFonts w:asciiTheme="minorBidi" w:hAnsiTheme="minorBidi"/>
          <w:b/>
          <w:bCs/>
          <w:sz w:val="20"/>
          <w:szCs w:val="20"/>
          <w:rtl/>
        </w:rPr>
        <w:br/>
      </w:r>
      <w:r>
        <w:rPr>
          <w:rFonts w:asciiTheme="minorBidi" w:hAnsiTheme="minorBidi" w:hint="cs"/>
          <w:sz w:val="20"/>
          <w:szCs w:val="20"/>
          <w:rtl/>
        </w:rPr>
        <w:t xml:space="preserve">1. האם אבר ובשר מדולדלים חוצצים? </w:t>
      </w:r>
      <w:r w:rsidRPr="00BE2911">
        <w:rPr>
          <w:rFonts w:asciiTheme="minorBidi" w:hAnsiTheme="minorBidi" w:hint="cs"/>
          <w:b/>
          <w:bCs/>
          <w:sz w:val="20"/>
          <w:szCs w:val="20"/>
          <w:rtl/>
        </w:rPr>
        <w:t>סמ"ג</w:t>
      </w:r>
      <w:r>
        <w:rPr>
          <w:rFonts w:asciiTheme="minorBidi" w:hAnsiTheme="minorBidi" w:hint="cs"/>
          <w:sz w:val="20"/>
          <w:szCs w:val="20"/>
          <w:rtl/>
        </w:rPr>
        <w:t xml:space="preserve">. לא. </w:t>
      </w:r>
      <w:r w:rsidRPr="00BE2911">
        <w:rPr>
          <w:rFonts w:asciiTheme="minorBidi" w:hAnsiTheme="minorBidi" w:hint="cs"/>
          <w:b/>
          <w:bCs/>
          <w:sz w:val="20"/>
          <w:szCs w:val="20"/>
          <w:rtl/>
        </w:rPr>
        <w:t>רא"ש</w:t>
      </w:r>
      <w:r>
        <w:rPr>
          <w:rFonts w:asciiTheme="minorBidi" w:hAnsiTheme="minorBidi" w:hint="cs"/>
          <w:sz w:val="20"/>
          <w:szCs w:val="20"/>
          <w:rtl/>
        </w:rPr>
        <w:t xml:space="preserve">. כן, וכ"פ </w:t>
      </w:r>
      <w:r w:rsidRPr="00BE2911">
        <w:rPr>
          <w:rFonts w:asciiTheme="minorBidi" w:hAnsiTheme="minorBidi" w:hint="cs"/>
          <w:b/>
          <w:bCs/>
          <w:sz w:val="20"/>
          <w:szCs w:val="20"/>
          <w:rtl/>
        </w:rPr>
        <w:t>המחבר</w:t>
      </w:r>
      <w:r>
        <w:rPr>
          <w:rFonts w:asciiTheme="minorBidi" w:hAnsiTheme="minorBidi" w:hint="cs"/>
          <w:sz w:val="20"/>
          <w:szCs w:val="20"/>
          <w:rtl/>
        </w:rPr>
        <w:t xml:space="preserve">. </w:t>
      </w:r>
      <w:r w:rsidRPr="00BE2911">
        <w:rPr>
          <w:rFonts w:asciiTheme="minorBidi" w:hAnsiTheme="minorBidi" w:hint="cs"/>
          <w:b/>
          <w:bCs/>
          <w:sz w:val="20"/>
          <w:szCs w:val="20"/>
          <w:rtl/>
        </w:rPr>
        <w:t>טעם</w:t>
      </w:r>
      <w:r>
        <w:rPr>
          <w:rFonts w:asciiTheme="minorBidi" w:hAnsiTheme="minorBidi" w:hint="cs"/>
          <w:sz w:val="20"/>
          <w:szCs w:val="20"/>
          <w:rtl/>
        </w:rPr>
        <w:t>. גרסות שונות בתוספתא.</w:t>
      </w:r>
      <w:r>
        <w:rPr>
          <w:rFonts w:asciiTheme="minorBidi" w:hAnsiTheme="minorBidi"/>
          <w:sz w:val="20"/>
          <w:szCs w:val="20"/>
          <w:rtl/>
        </w:rPr>
        <w:br/>
      </w:r>
      <w:r>
        <w:rPr>
          <w:rFonts w:asciiTheme="minorBidi" w:hAnsiTheme="minorBidi" w:hint="cs"/>
          <w:sz w:val="20"/>
          <w:szCs w:val="20"/>
          <w:rtl/>
        </w:rPr>
        <w:t xml:space="preserve">2. טעמי הדין. א. </w:t>
      </w:r>
      <w:r w:rsidRPr="00F21639">
        <w:rPr>
          <w:rFonts w:asciiTheme="minorBidi" w:hAnsiTheme="minorBidi" w:hint="cs"/>
          <w:b/>
          <w:bCs/>
          <w:sz w:val="20"/>
          <w:szCs w:val="20"/>
          <w:rtl/>
        </w:rPr>
        <w:t>ט"ז</w:t>
      </w:r>
      <w:r>
        <w:rPr>
          <w:rFonts w:asciiTheme="minorBidi" w:hAnsiTheme="minorBidi" w:hint="cs"/>
          <w:sz w:val="20"/>
          <w:szCs w:val="20"/>
          <w:rtl/>
        </w:rPr>
        <w:t xml:space="preserve">. הדרך היא להדק לגוף אבר ובשר כדי שלא יכאיבו, מונע ביאת מים וחוצץ. </w:t>
      </w:r>
      <w:r>
        <w:rPr>
          <w:rFonts w:asciiTheme="minorBidi" w:hAnsiTheme="minorBidi"/>
          <w:sz w:val="20"/>
          <w:szCs w:val="20"/>
          <w:rtl/>
        </w:rPr>
        <w:br/>
      </w:r>
      <w:r>
        <w:rPr>
          <w:rFonts w:asciiTheme="minorBidi" w:hAnsiTheme="minorBidi" w:hint="cs"/>
          <w:sz w:val="20"/>
          <w:szCs w:val="20"/>
          <w:rtl/>
        </w:rPr>
        <w:t xml:space="preserve">ב. </w:t>
      </w:r>
      <w:r w:rsidRPr="00F21639">
        <w:rPr>
          <w:rFonts w:asciiTheme="minorBidi" w:hAnsiTheme="minorBidi" w:hint="cs"/>
          <w:b/>
          <w:bCs/>
          <w:sz w:val="20"/>
          <w:szCs w:val="20"/>
          <w:rtl/>
        </w:rPr>
        <w:t>ב"י</w:t>
      </w:r>
      <w:r>
        <w:rPr>
          <w:rFonts w:asciiTheme="minorBidi" w:hAnsiTheme="minorBidi" w:hint="cs"/>
          <w:sz w:val="20"/>
          <w:szCs w:val="20"/>
          <w:rtl/>
        </w:rPr>
        <w:t xml:space="preserve">. עתידים להיתלש ומהווים חציצה במקום חיבורם. ג. </w:t>
      </w:r>
      <w:r w:rsidRPr="00F21639">
        <w:rPr>
          <w:rFonts w:asciiTheme="minorBidi" w:hAnsiTheme="minorBidi" w:hint="cs"/>
          <w:b/>
          <w:bCs/>
          <w:sz w:val="20"/>
          <w:szCs w:val="20"/>
          <w:rtl/>
        </w:rPr>
        <w:t>ב"י</w:t>
      </w:r>
      <w:r>
        <w:rPr>
          <w:rFonts w:asciiTheme="minorBidi" w:hAnsiTheme="minorBidi" w:hint="cs"/>
          <w:sz w:val="20"/>
          <w:szCs w:val="20"/>
          <w:rtl/>
        </w:rPr>
        <w:t>. יש על האבר או הבשר דבר חוצץ.</w:t>
      </w:r>
      <w:r>
        <w:rPr>
          <w:rFonts w:asciiTheme="minorBidi" w:hAnsiTheme="minorBidi"/>
          <w:sz w:val="20"/>
          <w:szCs w:val="20"/>
          <w:rtl/>
        </w:rPr>
        <w:br/>
      </w:r>
      <w:r>
        <w:rPr>
          <w:rFonts w:asciiTheme="minorBidi" w:hAnsiTheme="minorBidi" w:hint="cs"/>
          <w:sz w:val="20"/>
          <w:szCs w:val="20"/>
          <w:rtl/>
        </w:rPr>
        <w:t xml:space="preserve">3. </w:t>
      </w:r>
      <w:r w:rsidRPr="00F21639">
        <w:rPr>
          <w:rFonts w:asciiTheme="minorBidi" w:hAnsiTheme="minorBidi" w:hint="cs"/>
          <w:b/>
          <w:bCs/>
          <w:sz w:val="20"/>
          <w:szCs w:val="20"/>
          <w:rtl/>
        </w:rPr>
        <w:t>רמ"א</w:t>
      </w:r>
      <w:r>
        <w:rPr>
          <w:rFonts w:asciiTheme="minorBidi" w:hAnsiTheme="minorBidi" w:hint="cs"/>
          <w:sz w:val="20"/>
          <w:szCs w:val="20"/>
          <w:rtl/>
        </w:rPr>
        <w:t>. יתרת או יבלת אינם חוצצים.</w:t>
      </w:r>
    </w:p>
    <w:p w:rsidR="00620060" w:rsidRDefault="00620060" w:rsidP="00620060">
      <w:pPr>
        <w:spacing w:line="300" w:lineRule="exact"/>
        <w:rPr>
          <w:rFonts w:asciiTheme="minorBidi" w:hAnsiTheme="minorBidi"/>
          <w:sz w:val="20"/>
          <w:szCs w:val="20"/>
          <w:rtl/>
        </w:rPr>
      </w:pPr>
      <w:r w:rsidRPr="00E12868">
        <w:rPr>
          <w:rFonts w:ascii="Arial" w:hAnsi="Arial" w:cs="Arial"/>
          <w:b/>
          <w:bCs/>
          <w:sz w:val="20"/>
          <w:szCs w:val="20"/>
          <w:rtl/>
        </w:rPr>
        <w:t>הוספות</w:t>
      </w:r>
      <w:r>
        <w:rPr>
          <w:rFonts w:asciiTheme="minorBidi" w:hAnsiTheme="minorBidi"/>
          <w:sz w:val="20"/>
          <w:szCs w:val="20"/>
          <w:u w:val="single"/>
          <w:rtl/>
        </w:rPr>
        <w:br/>
      </w:r>
      <w:r>
        <w:rPr>
          <w:rFonts w:asciiTheme="minorBidi" w:hAnsiTheme="minorBidi" w:hint="cs"/>
          <w:sz w:val="20"/>
          <w:szCs w:val="20"/>
          <w:u w:val="single"/>
          <w:rtl/>
        </w:rPr>
        <w:t xml:space="preserve">דין עור מקולף (טה"ב עמ' עט </w:t>
      </w:r>
      <w:r>
        <w:rPr>
          <w:rFonts w:asciiTheme="minorBidi" w:hAnsiTheme="minorBidi"/>
          <w:sz w:val="20"/>
          <w:szCs w:val="20"/>
          <w:u w:val="single"/>
          <w:rtl/>
        </w:rPr>
        <w:t>–</w:t>
      </w:r>
      <w:r>
        <w:rPr>
          <w:rFonts w:asciiTheme="minorBidi" w:hAnsiTheme="minorBidi" w:hint="cs"/>
          <w:sz w:val="20"/>
          <w:szCs w:val="20"/>
          <w:u w:val="single"/>
          <w:rtl/>
        </w:rPr>
        <w:t xml:space="preserve"> פ)</w:t>
      </w:r>
      <w:r>
        <w:rPr>
          <w:rFonts w:asciiTheme="minorBidi" w:hAnsiTheme="minorBidi" w:hint="cs"/>
          <w:sz w:val="20"/>
          <w:szCs w:val="20"/>
          <w:u w:val="single"/>
          <w:rtl/>
        </w:rPr>
        <w:br/>
      </w:r>
      <w:r>
        <w:rPr>
          <w:rFonts w:asciiTheme="minorBidi" w:hAnsiTheme="minorBidi" w:hint="cs"/>
          <w:sz w:val="20"/>
          <w:szCs w:val="20"/>
          <w:rtl/>
        </w:rPr>
        <w:t>אשה שעורה מתקלף מחמת שיזוף, אינו חוצץ בטבילה.</w:t>
      </w:r>
      <w:r>
        <w:rPr>
          <w:rFonts w:asciiTheme="minorBidi" w:hAnsiTheme="minorBidi"/>
          <w:sz w:val="20"/>
          <w:szCs w:val="20"/>
          <w:rtl/>
        </w:rPr>
        <w:br/>
      </w:r>
      <w:r w:rsidRPr="006D1390">
        <w:rPr>
          <w:rFonts w:asciiTheme="minorBidi" w:hAnsiTheme="minorBidi" w:hint="cs"/>
          <w:b/>
          <w:bCs/>
          <w:sz w:val="20"/>
          <w:szCs w:val="20"/>
          <w:rtl/>
        </w:rPr>
        <w:t>טעם</w:t>
      </w:r>
      <w:r>
        <w:rPr>
          <w:rFonts w:asciiTheme="minorBidi" w:hAnsiTheme="minorBidi" w:hint="cs"/>
          <w:sz w:val="20"/>
          <w:szCs w:val="20"/>
          <w:rtl/>
        </w:rPr>
        <w:t xml:space="preserve"> </w:t>
      </w:r>
      <w:r>
        <w:rPr>
          <w:rFonts w:asciiTheme="minorBidi" w:hAnsiTheme="minorBidi"/>
          <w:sz w:val="20"/>
          <w:szCs w:val="20"/>
          <w:rtl/>
        </w:rPr>
        <w:t>–</w:t>
      </w:r>
      <w:r>
        <w:rPr>
          <w:rFonts w:asciiTheme="minorBidi" w:hAnsiTheme="minorBidi" w:hint="cs"/>
          <w:sz w:val="20"/>
          <w:szCs w:val="20"/>
          <w:rtl/>
        </w:rPr>
        <w:t xml:space="preserve"> הוי מיעוטו שאינו מקפיד עליו. ועוד, </w:t>
      </w:r>
      <w:r w:rsidRPr="006D1390">
        <w:rPr>
          <w:rFonts w:asciiTheme="minorBidi" w:hAnsiTheme="minorBidi" w:hint="cs"/>
          <w:b/>
          <w:bCs/>
          <w:sz w:val="20"/>
          <w:szCs w:val="20"/>
          <w:rtl/>
        </w:rPr>
        <w:t>הסמ"ג</w:t>
      </w:r>
      <w:r>
        <w:rPr>
          <w:rFonts w:asciiTheme="minorBidi" w:hAnsiTheme="minorBidi" w:hint="cs"/>
          <w:sz w:val="20"/>
          <w:szCs w:val="20"/>
          <w:rtl/>
        </w:rPr>
        <w:t xml:space="preserve"> כתב להדיא </w:t>
      </w:r>
      <w:r w:rsidRPr="006D1390">
        <w:rPr>
          <w:rFonts w:asciiTheme="minorBidi" w:hAnsiTheme="minorBidi" w:hint="cs"/>
          <w:sz w:val="18"/>
          <w:szCs w:val="18"/>
          <w:rtl/>
        </w:rPr>
        <w:t xml:space="preserve">(והו"ד </w:t>
      </w:r>
      <w:r w:rsidRPr="00BE2911">
        <w:rPr>
          <w:rFonts w:asciiTheme="minorBidi" w:hAnsiTheme="minorBidi" w:hint="cs"/>
          <w:b/>
          <w:bCs/>
          <w:sz w:val="18"/>
          <w:szCs w:val="18"/>
          <w:rtl/>
        </w:rPr>
        <w:t>בב"י</w:t>
      </w:r>
      <w:r w:rsidRPr="006D1390">
        <w:rPr>
          <w:rFonts w:asciiTheme="minorBidi" w:hAnsiTheme="minorBidi" w:hint="cs"/>
          <w:sz w:val="18"/>
          <w:szCs w:val="18"/>
          <w:rtl/>
        </w:rPr>
        <w:t xml:space="preserve">) </w:t>
      </w:r>
      <w:r>
        <w:rPr>
          <w:rFonts w:asciiTheme="minorBidi" w:hAnsiTheme="minorBidi" w:hint="cs"/>
          <w:sz w:val="20"/>
          <w:szCs w:val="20"/>
          <w:rtl/>
        </w:rPr>
        <w:t>שתלתולים של בשר אינם חוצצים</w:t>
      </w:r>
      <w:r>
        <w:rPr>
          <w:rStyle w:val="a5"/>
          <w:rFonts w:asciiTheme="minorBidi" w:hAnsiTheme="minorBidi"/>
          <w:sz w:val="20"/>
          <w:szCs w:val="20"/>
          <w:rtl/>
        </w:rPr>
        <w:footnoteReference w:id="643"/>
      </w:r>
      <w:r>
        <w:rPr>
          <w:rFonts w:asciiTheme="minorBidi" w:hAnsiTheme="minorBidi" w:hint="cs"/>
          <w:sz w:val="20"/>
          <w:szCs w:val="20"/>
          <w:rtl/>
        </w:rPr>
        <w:t xml:space="preserve">, ודין עור קלוף דומה לזה. וכן </w:t>
      </w:r>
      <w:r w:rsidRPr="006D1390">
        <w:rPr>
          <w:rFonts w:asciiTheme="minorBidi" w:hAnsiTheme="minorBidi" w:hint="cs"/>
          <w:b/>
          <w:bCs/>
          <w:sz w:val="20"/>
          <w:szCs w:val="20"/>
          <w:rtl/>
        </w:rPr>
        <w:t>החכמת אדם</w:t>
      </w:r>
      <w:r>
        <w:rPr>
          <w:rFonts w:asciiTheme="minorBidi" w:hAnsiTheme="minorBidi" w:hint="cs"/>
          <w:sz w:val="20"/>
          <w:szCs w:val="20"/>
          <w:rtl/>
        </w:rPr>
        <w:t xml:space="preserve"> כתב להתיר זאת משום שאין העור הקלוף מונע את המים לבוא על הבשר. וכן כתב </w:t>
      </w:r>
      <w:r w:rsidRPr="006D1390">
        <w:rPr>
          <w:rFonts w:asciiTheme="minorBidi" w:hAnsiTheme="minorBidi" w:hint="cs"/>
          <w:b/>
          <w:bCs/>
          <w:sz w:val="20"/>
          <w:szCs w:val="20"/>
          <w:rtl/>
        </w:rPr>
        <w:t>בשו"ת הר צבי</w:t>
      </w:r>
      <w:r>
        <w:rPr>
          <w:rFonts w:asciiTheme="minorBidi" w:hAnsiTheme="minorBidi" w:hint="cs"/>
          <w:sz w:val="20"/>
          <w:szCs w:val="20"/>
          <w:rtl/>
        </w:rPr>
        <w:t xml:space="preserve"> להתיר ואפילו אם רוב הגוף מקולף, משום שהמקום בו המים אינם יכולים לבוא הוא מיעוט שאינו מקפיד עליו. אמנם, </w:t>
      </w:r>
      <w:r w:rsidRPr="006D1390">
        <w:rPr>
          <w:rFonts w:asciiTheme="minorBidi" w:hAnsiTheme="minorBidi" w:hint="cs"/>
          <w:b/>
          <w:bCs/>
          <w:sz w:val="20"/>
          <w:szCs w:val="20"/>
          <w:rtl/>
        </w:rPr>
        <w:t>בששבה"ל</w:t>
      </w:r>
      <w:r>
        <w:rPr>
          <w:rFonts w:asciiTheme="minorBidi" w:hAnsiTheme="minorBidi" w:hint="cs"/>
          <w:sz w:val="20"/>
          <w:szCs w:val="20"/>
          <w:rtl/>
        </w:rPr>
        <w:t xml:space="preserve"> כתב שמה שאפשר להסיר ללא כאב, יש להסיר.</w:t>
      </w:r>
    </w:p>
    <w:p w:rsidR="00620060" w:rsidRPr="00FD2D7A" w:rsidRDefault="00620060" w:rsidP="00620060">
      <w:pPr>
        <w:spacing w:line="300" w:lineRule="exact"/>
        <w:rPr>
          <w:rFonts w:asciiTheme="minorBidi" w:hAnsiTheme="minorBidi"/>
          <w:sz w:val="20"/>
          <w:szCs w:val="20"/>
          <w:rtl/>
        </w:rPr>
      </w:pPr>
      <w:r>
        <w:rPr>
          <w:rFonts w:asciiTheme="minorBidi" w:hAnsiTheme="minorBidi" w:hint="cs"/>
          <w:sz w:val="20"/>
          <w:szCs w:val="20"/>
          <w:u w:val="single"/>
          <w:rtl/>
        </w:rPr>
        <w:t>דין עור קשה שיש ברגל</w:t>
      </w:r>
      <w:r>
        <w:rPr>
          <w:rFonts w:asciiTheme="minorBidi" w:hAnsiTheme="minorBidi"/>
          <w:sz w:val="20"/>
          <w:szCs w:val="20"/>
          <w:u w:val="single"/>
          <w:rtl/>
        </w:rPr>
        <w:br/>
      </w:r>
      <w:r w:rsidRPr="00FD2D7A">
        <w:rPr>
          <w:rFonts w:asciiTheme="minorBidi" w:hAnsiTheme="minorBidi" w:hint="cs"/>
          <w:b/>
          <w:bCs/>
          <w:sz w:val="20"/>
          <w:szCs w:val="20"/>
          <w:rtl/>
        </w:rPr>
        <w:t>ששבה"ל</w:t>
      </w:r>
      <w:r>
        <w:rPr>
          <w:rFonts w:asciiTheme="minorBidi" w:hAnsiTheme="minorBidi" w:hint="cs"/>
          <w:sz w:val="20"/>
          <w:szCs w:val="20"/>
          <w:rtl/>
        </w:rPr>
        <w:t xml:space="preserve"> </w:t>
      </w:r>
      <w:r>
        <w:rPr>
          <w:rFonts w:asciiTheme="minorBidi" w:hAnsiTheme="minorBidi"/>
          <w:sz w:val="20"/>
          <w:szCs w:val="20"/>
          <w:rtl/>
        </w:rPr>
        <w:t>–</w:t>
      </w:r>
      <w:r>
        <w:rPr>
          <w:rFonts w:asciiTheme="minorBidi" w:hAnsiTheme="minorBidi" w:hint="cs"/>
          <w:sz w:val="20"/>
          <w:szCs w:val="20"/>
          <w:rtl/>
        </w:rPr>
        <w:t xml:space="preserve"> עור קשה המצוי בכף הרגל אינו חוצץ</w:t>
      </w:r>
      <w:r>
        <w:rPr>
          <w:rFonts w:asciiTheme="minorBidi" w:hAnsiTheme="minorBidi"/>
          <w:sz w:val="20"/>
          <w:szCs w:val="20"/>
          <w:rtl/>
        </w:rPr>
        <w:br/>
      </w:r>
      <w:r w:rsidRPr="00FD2D7A">
        <w:rPr>
          <w:rFonts w:asciiTheme="minorBidi" w:hAnsiTheme="minorBidi" w:hint="cs"/>
          <w:b/>
          <w:bCs/>
          <w:sz w:val="20"/>
          <w:szCs w:val="20"/>
          <w:rtl/>
        </w:rPr>
        <w:t>טעם</w:t>
      </w:r>
      <w:r>
        <w:rPr>
          <w:rFonts w:asciiTheme="minorBidi" w:hAnsiTheme="minorBidi" w:hint="cs"/>
          <w:sz w:val="20"/>
          <w:szCs w:val="20"/>
          <w:rtl/>
        </w:rPr>
        <w:t xml:space="preserve"> </w:t>
      </w:r>
      <w:r>
        <w:rPr>
          <w:rFonts w:asciiTheme="minorBidi" w:hAnsiTheme="minorBidi"/>
          <w:sz w:val="20"/>
          <w:szCs w:val="20"/>
          <w:rtl/>
        </w:rPr>
        <w:t>–</w:t>
      </w:r>
      <w:r>
        <w:rPr>
          <w:rFonts w:asciiTheme="minorBidi" w:hAnsiTheme="minorBidi" w:hint="cs"/>
          <w:sz w:val="20"/>
          <w:szCs w:val="20"/>
          <w:rtl/>
        </w:rPr>
        <w:t xml:space="preserve"> כיוון שהוא חלק מהגוף ואינו פסולת כציפורניים ושער.</w:t>
      </w:r>
      <w:r>
        <w:rPr>
          <w:rFonts w:asciiTheme="minorBidi" w:hAnsiTheme="minorBidi"/>
          <w:sz w:val="20"/>
          <w:szCs w:val="20"/>
          <w:rtl/>
        </w:rPr>
        <w:br/>
      </w:r>
      <w:r>
        <w:rPr>
          <w:rFonts w:asciiTheme="minorBidi" w:hAnsiTheme="minorBidi" w:hint="cs"/>
          <w:sz w:val="20"/>
          <w:szCs w:val="20"/>
          <w:rtl/>
        </w:rPr>
        <w:t>אמנם, אם רגילה להסירו כל פעם יש מקום להסתפק, ולכן יש להורות שלא תתרגל להסירו תמיד.</w:t>
      </w:r>
    </w:p>
    <w:p w:rsidR="00620060" w:rsidRPr="00AA3C41" w:rsidRDefault="00620060" w:rsidP="00620060">
      <w:pPr>
        <w:spacing w:line="300" w:lineRule="exact"/>
        <w:rPr>
          <w:rFonts w:asciiTheme="minorBidi" w:hAnsiTheme="minorBidi"/>
          <w:sz w:val="20"/>
          <w:szCs w:val="20"/>
          <w:rtl/>
        </w:rPr>
      </w:pPr>
      <w:r>
        <w:rPr>
          <w:rFonts w:asciiTheme="minorBidi" w:hAnsiTheme="minorBidi" w:hint="cs"/>
          <w:sz w:val="20"/>
          <w:szCs w:val="20"/>
          <w:u w:val="single"/>
          <w:rtl/>
        </w:rPr>
        <w:t xml:space="preserve">דין שן מתנדנדת (טה"ב עמ' קכה </w:t>
      </w:r>
      <w:r>
        <w:rPr>
          <w:rFonts w:asciiTheme="minorBidi" w:hAnsiTheme="minorBidi"/>
          <w:sz w:val="20"/>
          <w:szCs w:val="20"/>
          <w:u w:val="single"/>
          <w:rtl/>
        </w:rPr>
        <w:t>–</w:t>
      </w:r>
      <w:r>
        <w:rPr>
          <w:rFonts w:asciiTheme="minorBidi" w:hAnsiTheme="minorBidi" w:hint="cs"/>
          <w:sz w:val="20"/>
          <w:szCs w:val="20"/>
          <w:u w:val="single"/>
          <w:rtl/>
        </w:rPr>
        <w:t xml:space="preserve"> קכז ובדה"ש קסב)</w:t>
      </w:r>
      <w:r>
        <w:rPr>
          <w:rFonts w:asciiTheme="minorBidi" w:hAnsiTheme="minorBidi" w:hint="cs"/>
          <w:sz w:val="20"/>
          <w:szCs w:val="20"/>
          <w:u w:val="single"/>
          <w:rtl/>
        </w:rPr>
        <w:br/>
      </w:r>
      <w:r>
        <w:rPr>
          <w:rFonts w:asciiTheme="minorBidi" w:hAnsiTheme="minorBidi" w:hint="cs"/>
          <w:sz w:val="20"/>
          <w:szCs w:val="20"/>
          <w:rtl/>
        </w:rPr>
        <w:t>אשה שיש בפיה שן מתנדנדת, האם השן חוצצת?</w:t>
      </w:r>
      <w:r>
        <w:rPr>
          <w:rFonts w:asciiTheme="minorBidi" w:hAnsiTheme="minorBidi" w:hint="cs"/>
          <w:sz w:val="20"/>
          <w:szCs w:val="20"/>
          <w:rtl/>
        </w:rPr>
        <w:br/>
        <w:t xml:space="preserve">א. </w:t>
      </w:r>
      <w:r w:rsidRPr="00AA3C41">
        <w:rPr>
          <w:rFonts w:asciiTheme="minorBidi" w:hAnsiTheme="minorBidi" w:hint="cs"/>
          <w:b/>
          <w:bCs/>
          <w:sz w:val="20"/>
          <w:szCs w:val="20"/>
          <w:rtl/>
        </w:rPr>
        <w:t>בדה"ש</w:t>
      </w:r>
      <w:r>
        <w:rPr>
          <w:rFonts w:asciiTheme="minorBidi" w:hAnsiTheme="minorBidi" w:hint="cs"/>
          <w:sz w:val="20"/>
          <w:szCs w:val="20"/>
          <w:rtl/>
        </w:rPr>
        <w:t xml:space="preserve"> </w:t>
      </w:r>
      <w:r>
        <w:rPr>
          <w:rFonts w:asciiTheme="minorBidi" w:hAnsiTheme="minorBidi"/>
          <w:sz w:val="20"/>
          <w:szCs w:val="20"/>
          <w:rtl/>
        </w:rPr>
        <w:t>–</w:t>
      </w:r>
      <w:r>
        <w:rPr>
          <w:rFonts w:asciiTheme="minorBidi" w:hAnsiTheme="minorBidi" w:hint="cs"/>
          <w:sz w:val="20"/>
          <w:szCs w:val="20"/>
          <w:rtl/>
        </w:rPr>
        <w:t xml:space="preserve"> אם החליטה להוציא את השן חוצצת אפילו אם היא ראויה למלאכתה, אך כל זמן שלא החליטה להוציאה אינה חוצצת.</w:t>
      </w:r>
      <w:r>
        <w:rPr>
          <w:rFonts w:asciiTheme="minorBidi" w:hAnsiTheme="minorBidi" w:hint="cs"/>
          <w:sz w:val="20"/>
          <w:szCs w:val="20"/>
          <w:rtl/>
        </w:rPr>
        <w:br/>
        <w:t xml:space="preserve">ב. </w:t>
      </w:r>
      <w:r w:rsidRPr="00AA3C41">
        <w:rPr>
          <w:rFonts w:asciiTheme="minorBidi" w:hAnsiTheme="minorBidi" w:hint="cs"/>
          <w:b/>
          <w:bCs/>
          <w:sz w:val="20"/>
          <w:szCs w:val="20"/>
          <w:rtl/>
        </w:rPr>
        <w:t>טה"ב</w:t>
      </w:r>
      <w:r>
        <w:rPr>
          <w:rFonts w:asciiTheme="minorBidi" w:hAnsiTheme="minorBidi" w:hint="cs"/>
          <w:sz w:val="20"/>
          <w:szCs w:val="20"/>
          <w:rtl/>
        </w:rPr>
        <w:t xml:space="preserve"> </w:t>
      </w:r>
      <w:r>
        <w:rPr>
          <w:rFonts w:asciiTheme="minorBidi" w:hAnsiTheme="minorBidi"/>
          <w:sz w:val="20"/>
          <w:szCs w:val="20"/>
          <w:rtl/>
        </w:rPr>
        <w:t>–</w:t>
      </w:r>
      <w:r>
        <w:rPr>
          <w:rFonts w:asciiTheme="minorBidi" w:hAnsiTheme="minorBidi" w:hint="cs"/>
          <w:sz w:val="20"/>
          <w:szCs w:val="20"/>
          <w:rtl/>
        </w:rPr>
        <w:t xml:space="preserve"> בכל עניין אינה חוצצת.</w:t>
      </w:r>
      <w:r>
        <w:rPr>
          <w:rFonts w:asciiTheme="minorBidi" w:hAnsiTheme="minorBidi"/>
          <w:sz w:val="20"/>
          <w:szCs w:val="20"/>
          <w:rtl/>
        </w:rPr>
        <w:br/>
      </w:r>
      <w:r w:rsidRPr="00AA3C41">
        <w:rPr>
          <w:rFonts w:asciiTheme="minorBidi" w:hAnsiTheme="minorBidi" w:hint="cs"/>
          <w:b/>
          <w:bCs/>
          <w:sz w:val="20"/>
          <w:szCs w:val="20"/>
          <w:rtl/>
        </w:rPr>
        <w:t>טעם</w:t>
      </w:r>
      <w:r>
        <w:rPr>
          <w:rFonts w:asciiTheme="minorBidi" w:hAnsiTheme="minorBidi" w:hint="cs"/>
          <w:sz w:val="20"/>
          <w:szCs w:val="20"/>
          <w:rtl/>
        </w:rPr>
        <w:t xml:space="preserve"> </w:t>
      </w:r>
      <w:r>
        <w:rPr>
          <w:rFonts w:asciiTheme="minorBidi" w:hAnsiTheme="minorBidi"/>
          <w:sz w:val="20"/>
          <w:szCs w:val="20"/>
          <w:rtl/>
        </w:rPr>
        <w:t>–</w:t>
      </w:r>
      <w:r>
        <w:rPr>
          <w:rFonts w:asciiTheme="minorBidi" w:hAnsiTheme="minorBidi" w:hint="cs"/>
          <w:sz w:val="20"/>
          <w:szCs w:val="20"/>
          <w:rtl/>
        </w:rPr>
        <w:t xml:space="preserve"> דין שן דומה לאבר ובשר המדולדלים באדם. בעיקר דין זה מצאנו ראשונים המקלים. גם בשיטת המחמירים ביאר הבית יוסף שחציצה זו נאמרה רק כשיש על האבר דבר חוצץ, אך האבר עצמו אינו חוצץ.</w:t>
      </w:r>
      <w:r>
        <w:rPr>
          <w:rFonts w:asciiTheme="minorBidi" w:hAnsiTheme="minorBidi"/>
          <w:sz w:val="20"/>
          <w:szCs w:val="20"/>
          <w:rtl/>
        </w:rPr>
        <w:br/>
      </w:r>
      <w:r>
        <w:rPr>
          <w:rFonts w:asciiTheme="minorBidi" w:hAnsiTheme="minorBidi" w:hint="cs"/>
          <w:sz w:val="20"/>
          <w:szCs w:val="20"/>
          <w:rtl/>
        </w:rPr>
        <w:t xml:space="preserve">מהאי טעמא יש להקל כשאין על השן דבר חוצץ, כיוון שהוא ספק ספקא </w:t>
      </w:r>
      <w:r>
        <w:rPr>
          <w:rFonts w:asciiTheme="minorBidi" w:hAnsiTheme="minorBidi"/>
          <w:sz w:val="20"/>
          <w:szCs w:val="20"/>
          <w:rtl/>
        </w:rPr>
        <w:t>–</w:t>
      </w:r>
      <w:r>
        <w:rPr>
          <w:rFonts w:asciiTheme="minorBidi" w:hAnsiTheme="minorBidi" w:hint="cs"/>
          <w:sz w:val="20"/>
          <w:szCs w:val="20"/>
          <w:rtl/>
        </w:rPr>
        <w:t xml:space="preserve"> ספק האם הגרסה כראשונים שאין זו חציצה, ואת"ל שהגרסה כראשונים שזו חציצה שמא רק כשיש על השן דבר חוצץ.</w:t>
      </w:r>
      <w:r>
        <w:rPr>
          <w:rFonts w:asciiTheme="minorBidi" w:hAnsiTheme="minorBidi"/>
          <w:sz w:val="20"/>
          <w:szCs w:val="20"/>
          <w:rtl/>
        </w:rPr>
        <w:br/>
      </w:r>
      <w:r>
        <w:rPr>
          <w:rFonts w:asciiTheme="minorBidi" w:hAnsiTheme="minorBidi" w:hint="cs"/>
          <w:sz w:val="20"/>
          <w:szCs w:val="20"/>
          <w:rtl/>
        </w:rPr>
        <w:t>ומלבד זאת, כיוון שהיא מצטערת בהסרת השן וממתינה לטיפול רפואי שיוציאו את השן, הוי מיעוטו שאינה מקפידה ואינו חוצץ.</w:t>
      </w:r>
    </w:p>
    <w:p w:rsidR="00620060" w:rsidRDefault="00620060" w:rsidP="00620060">
      <w:pPr>
        <w:spacing w:after="0" w:line="300" w:lineRule="exact"/>
        <w:rPr>
          <w:rFonts w:ascii="Arial" w:hAnsi="Arial" w:cs="Arial"/>
          <w:sz w:val="20"/>
          <w:szCs w:val="20"/>
          <w:rtl/>
        </w:rPr>
      </w:pPr>
      <w:r w:rsidRPr="00FD2D7A">
        <w:rPr>
          <w:rFonts w:ascii="Arial" w:hAnsi="Arial" w:cs="Arial"/>
          <w:sz w:val="20"/>
          <w:szCs w:val="20"/>
          <w:u w:val="single"/>
          <w:rtl/>
        </w:rPr>
        <w:t>רצועות עור סביב לצ</w:t>
      </w:r>
      <w:r w:rsidRPr="00FD2D7A">
        <w:rPr>
          <w:rFonts w:ascii="Arial" w:hAnsi="Arial" w:cs="Arial" w:hint="cs"/>
          <w:sz w:val="20"/>
          <w:szCs w:val="20"/>
          <w:u w:val="single"/>
          <w:rtl/>
        </w:rPr>
        <w:t>י</w:t>
      </w:r>
      <w:r w:rsidRPr="00FD2D7A">
        <w:rPr>
          <w:rFonts w:ascii="Arial" w:hAnsi="Arial" w:cs="Arial"/>
          <w:sz w:val="20"/>
          <w:szCs w:val="20"/>
          <w:u w:val="single"/>
          <w:rtl/>
        </w:rPr>
        <w:t>פורן</w:t>
      </w:r>
      <w:r>
        <w:rPr>
          <w:rStyle w:val="a5"/>
          <w:rFonts w:ascii="Arial" w:hAnsi="Arial" w:cs="Arial"/>
          <w:sz w:val="20"/>
          <w:szCs w:val="20"/>
          <w:rtl/>
        </w:rPr>
        <w:footnoteReference w:id="644"/>
      </w:r>
      <w:r>
        <w:rPr>
          <w:rFonts w:ascii="Arial" w:hAnsi="Arial" w:cs="Arial"/>
          <w:sz w:val="20"/>
          <w:szCs w:val="20"/>
          <w:rtl/>
        </w:rPr>
        <w:br/>
      </w:r>
      <w:r w:rsidRPr="00E12868">
        <w:rPr>
          <w:rFonts w:ascii="Arial" w:hAnsi="Arial" w:cs="Arial"/>
          <w:sz w:val="20"/>
          <w:szCs w:val="20"/>
          <w:rtl/>
        </w:rPr>
        <w:t xml:space="preserve">יש שהקלו, כיון שאין מקפידים על כך </w:t>
      </w:r>
      <w:r w:rsidRPr="007200BC">
        <w:rPr>
          <w:rFonts w:ascii="Arial" w:hAnsi="Arial" w:cs="Arial"/>
          <w:sz w:val="18"/>
          <w:szCs w:val="18"/>
          <w:rtl/>
        </w:rPr>
        <w:t xml:space="preserve">(לדעת </w:t>
      </w:r>
      <w:r w:rsidRPr="00594B8F">
        <w:rPr>
          <w:rFonts w:ascii="Arial" w:hAnsi="Arial" w:cs="Arial"/>
          <w:b/>
          <w:bCs/>
          <w:sz w:val="18"/>
          <w:szCs w:val="18"/>
          <w:rtl/>
        </w:rPr>
        <w:t>הב"י</w:t>
      </w:r>
      <w:r w:rsidRPr="007200BC">
        <w:rPr>
          <w:rFonts w:ascii="Arial" w:hAnsi="Arial" w:cs="Arial"/>
          <w:sz w:val="18"/>
          <w:szCs w:val="18"/>
          <w:rtl/>
        </w:rPr>
        <w:t xml:space="preserve">) </w:t>
      </w:r>
      <w:r w:rsidRPr="00E12868">
        <w:rPr>
          <w:rFonts w:ascii="Arial" w:hAnsi="Arial" w:cs="Arial"/>
          <w:sz w:val="20"/>
          <w:szCs w:val="20"/>
          <w:rtl/>
        </w:rPr>
        <w:t xml:space="preserve">וגם המים נכנסים מתחתיהם </w:t>
      </w:r>
      <w:r w:rsidRPr="007200BC">
        <w:rPr>
          <w:rFonts w:ascii="Arial" w:hAnsi="Arial" w:cs="Arial"/>
          <w:sz w:val="18"/>
          <w:szCs w:val="18"/>
          <w:rtl/>
        </w:rPr>
        <w:t xml:space="preserve">(לדעת </w:t>
      </w:r>
      <w:r w:rsidRPr="00594B8F">
        <w:rPr>
          <w:rFonts w:ascii="Arial" w:hAnsi="Arial" w:cs="Arial"/>
          <w:b/>
          <w:bCs/>
          <w:sz w:val="18"/>
          <w:szCs w:val="18"/>
          <w:rtl/>
        </w:rPr>
        <w:t>הט"ז</w:t>
      </w:r>
      <w:r w:rsidRPr="007200BC">
        <w:rPr>
          <w:rFonts w:ascii="Arial" w:hAnsi="Arial" w:cs="Arial"/>
          <w:sz w:val="18"/>
          <w:szCs w:val="18"/>
          <w:rtl/>
        </w:rPr>
        <w:t>)</w:t>
      </w:r>
      <w:r w:rsidRPr="00E12868">
        <w:rPr>
          <w:rFonts w:ascii="Arial" w:hAnsi="Arial" w:cs="Arial"/>
          <w:sz w:val="20"/>
          <w:szCs w:val="20"/>
          <w:rtl/>
        </w:rPr>
        <w:t xml:space="preserve">, ויש שהחמירו כיון שכן מקפידים. ויש שהכריעו שלכתחילה יש לחתוך כאשר הרצועות הן ארוכות שאז </w:t>
      </w:r>
      <w:r>
        <w:rPr>
          <w:rFonts w:ascii="Arial" w:hAnsi="Arial" w:cs="Arial" w:hint="cs"/>
          <w:sz w:val="20"/>
          <w:szCs w:val="20"/>
          <w:rtl/>
        </w:rPr>
        <w:t>י</w:t>
      </w:r>
      <w:r w:rsidRPr="00E12868">
        <w:rPr>
          <w:rFonts w:ascii="Arial" w:hAnsi="Arial" w:cs="Arial"/>
          <w:sz w:val="20"/>
          <w:szCs w:val="20"/>
          <w:rtl/>
        </w:rPr>
        <w:t>יתכן שמקפידות על כך. ו</w:t>
      </w:r>
      <w:r>
        <w:rPr>
          <w:rFonts w:ascii="Arial" w:hAnsi="Arial" w:cs="Arial" w:hint="cs"/>
          <w:sz w:val="20"/>
          <w:szCs w:val="20"/>
          <w:rtl/>
        </w:rPr>
        <w:t xml:space="preserve">אמנם, </w:t>
      </w:r>
      <w:r w:rsidRPr="00E12868">
        <w:rPr>
          <w:rFonts w:ascii="Arial" w:hAnsi="Arial" w:cs="Arial"/>
          <w:sz w:val="20"/>
          <w:szCs w:val="20"/>
          <w:rtl/>
        </w:rPr>
        <w:t>באצבעות הרגליים מקפידים הרבה פחות.</w:t>
      </w:r>
    </w:p>
    <w:p w:rsidR="00620060" w:rsidRDefault="00620060" w:rsidP="00620060">
      <w:pPr>
        <w:spacing w:after="0" w:line="300" w:lineRule="exact"/>
        <w:rPr>
          <w:rFonts w:ascii="Arial" w:hAnsi="Arial" w:cs="Arial"/>
          <w:sz w:val="20"/>
          <w:szCs w:val="20"/>
          <w:rtl/>
        </w:rPr>
      </w:pPr>
      <w:r>
        <w:rPr>
          <w:rFonts w:ascii="Arial" w:hAnsi="Arial" w:cs="Arial"/>
          <w:sz w:val="20"/>
          <w:szCs w:val="20"/>
          <w:rtl/>
        </w:rPr>
        <w:br/>
      </w:r>
    </w:p>
    <w:p w:rsidR="00620060" w:rsidRDefault="00620060" w:rsidP="00620060">
      <w:pPr>
        <w:spacing w:after="0" w:line="300" w:lineRule="exact"/>
        <w:rPr>
          <w:rFonts w:ascii="Arial" w:hAnsi="Arial" w:cs="Arial"/>
          <w:b/>
          <w:bCs/>
          <w:sz w:val="20"/>
          <w:szCs w:val="20"/>
          <w:rtl/>
        </w:rPr>
      </w:pPr>
      <w:r>
        <w:rPr>
          <w:rFonts w:ascii="Arial" w:hAnsi="Arial" w:cs="Arial" w:hint="cs"/>
          <w:b/>
          <w:bCs/>
          <w:sz w:val="20"/>
          <w:szCs w:val="20"/>
          <w:rtl/>
        </w:rPr>
        <w:t xml:space="preserve">סעיף כג </w:t>
      </w:r>
      <w:r>
        <w:rPr>
          <w:rFonts w:ascii="Arial" w:hAnsi="Arial" w:cs="Arial"/>
          <w:b/>
          <w:bCs/>
          <w:sz w:val="20"/>
          <w:szCs w:val="20"/>
          <w:rtl/>
        </w:rPr>
        <w:t>–</w:t>
      </w:r>
      <w:r>
        <w:rPr>
          <w:rFonts w:ascii="Arial" w:hAnsi="Arial" w:cs="Arial" w:hint="cs"/>
          <w:b/>
          <w:bCs/>
          <w:sz w:val="20"/>
          <w:szCs w:val="20"/>
          <w:rtl/>
        </w:rPr>
        <w:t xml:space="preserve"> חציצה בתכשיטים ותחבושת</w:t>
      </w:r>
      <w:r>
        <w:rPr>
          <w:rFonts w:ascii="Arial" w:hAnsi="Arial" w:cs="Arial"/>
          <w:b/>
          <w:bCs/>
          <w:sz w:val="20"/>
          <w:szCs w:val="20"/>
          <w:rtl/>
        </w:rPr>
        <w:br/>
      </w:r>
      <w:r>
        <w:rPr>
          <w:rFonts w:ascii="Arial" w:hAnsi="Arial" w:cs="Arial" w:hint="cs"/>
          <w:b/>
          <w:bCs/>
          <w:sz w:val="20"/>
          <w:szCs w:val="20"/>
          <w:rtl/>
        </w:rPr>
        <w:t>מקור הדין</w:t>
      </w:r>
      <w:r>
        <w:rPr>
          <w:rFonts w:ascii="Arial" w:hAnsi="Arial" w:cs="Arial"/>
          <w:b/>
          <w:bCs/>
          <w:sz w:val="20"/>
          <w:szCs w:val="20"/>
          <w:rtl/>
        </w:rPr>
        <w:br/>
      </w:r>
      <w:r>
        <w:rPr>
          <w:rFonts w:ascii="Arial" w:hAnsi="Arial" w:cs="Arial" w:hint="cs"/>
          <w:b/>
          <w:bCs/>
          <w:sz w:val="20"/>
          <w:szCs w:val="20"/>
          <w:rtl/>
        </w:rPr>
        <w:lastRenderedPageBreak/>
        <w:t xml:space="preserve">תוספתא </w:t>
      </w:r>
      <w:r w:rsidRPr="00CE29A9">
        <w:rPr>
          <w:rFonts w:ascii="Arial" w:hAnsi="Arial" w:cs="Arial" w:hint="cs"/>
          <w:sz w:val="20"/>
          <w:szCs w:val="20"/>
          <w:rtl/>
        </w:rPr>
        <w:t xml:space="preserve">מקוואות (ו, ח) </w:t>
      </w:r>
      <w:r w:rsidRPr="00CE29A9">
        <w:rPr>
          <w:rFonts w:ascii="Arial" w:hAnsi="Arial" w:cs="Arial"/>
          <w:sz w:val="20"/>
          <w:szCs w:val="20"/>
          <w:rtl/>
        </w:rPr>
        <w:t>–</w:t>
      </w:r>
      <w:r w:rsidRPr="00CE29A9">
        <w:rPr>
          <w:rFonts w:ascii="Arial" w:hAnsi="Arial" w:cs="Arial" w:hint="cs"/>
          <w:sz w:val="20"/>
          <w:szCs w:val="20"/>
          <w:rtl/>
        </w:rPr>
        <w:t xml:space="preserve"> "</w:t>
      </w:r>
      <w:r w:rsidRPr="00CE29A9">
        <w:rPr>
          <w:rFonts w:ascii="Arial" w:hAnsi="Arial" w:cs="Arial"/>
          <w:sz w:val="20"/>
          <w:szCs w:val="20"/>
          <w:rtl/>
        </w:rPr>
        <w:t xml:space="preserve">ושאמרו חוצצין ושאמרו אין חוצצין </w:t>
      </w:r>
      <w:r>
        <w:rPr>
          <w:rFonts w:ascii="Arial" w:hAnsi="Arial" w:cs="Arial" w:hint="cs"/>
          <w:sz w:val="20"/>
          <w:szCs w:val="20"/>
          <w:rtl/>
        </w:rPr>
        <w:t xml:space="preserve">- </w:t>
      </w:r>
      <w:r w:rsidRPr="00CE29A9">
        <w:rPr>
          <w:rFonts w:ascii="Arial" w:hAnsi="Arial" w:cs="Arial"/>
          <w:sz w:val="20"/>
          <w:szCs w:val="20"/>
          <w:rtl/>
        </w:rPr>
        <w:t>לא מטמא</w:t>
      </w:r>
      <w:r>
        <w:rPr>
          <w:rFonts w:ascii="Arial" w:hAnsi="Arial" w:cs="Arial" w:hint="cs"/>
          <w:sz w:val="20"/>
          <w:szCs w:val="20"/>
          <w:rtl/>
        </w:rPr>
        <w:t xml:space="preserve"> </w:t>
      </w:r>
      <w:r w:rsidRPr="00BD12A1">
        <w:rPr>
          <w:rFonts w:ascii="Arial" w:hAnsi="Arial" w:cs="Arial" w:hint="cs"/>
          <w:sz w:val="18"/>
          <w:szCs w:val="18"/>
          <w:rtl/>
        </w:rPr>
        <w:t>(אם היו על זב וטהור נגע בהם)</w:t>
      </w:r>
      <w:r w:rsidRPr="00BD12A1">
        <w:rPr>
          <w:rFonts w:ascii="Arial" w:hAnsi="Arial" w:cs="Arial"/>
          <w:sz w:val="18"/>
          <w:szCs w:val="18"/>
          <w:rtl/>
        </w:rPr>
        <w:t xml:space="preserve"> </w:t>
      </w:r>
      <w:r w:rsidRPr="00CE29A9">
        <w:rPr>
          <w:rFonts w:ascii="Arial" w:hAnsi="Arial" w:cs="Arial"/>
          <w:sz w:val="20"/>
          <w:szCs w:val="20"/>
          <w:rtl/>
        </w:rPr>
        <w:t>ולא מטמאין</w:t>
      </w:r>
      <w:r>
        <w:rPr>
          <w:rFonts w:ascii="Arial" w:hAnsi="Arial" w:cs="Arial" w:hint="cs"/>
          <w:sz w:val="20"/>
          <w:szCs w:val="20"/>
          <w:rtl/>
        </w:rPr>
        <w:t xml:space="preserve"> </w:t>
      </w:r>
      <w:r w:rsidRPr="00BD12A1">
        <w:rPr>
          <w:rFonts w:ascii="Arial" w:hAnsi="Arial" w:cs="Arial" w:hint="cs"/>
          <w:sz w:val="18"/>
          <w:szCs w:val="18"/>
          <w:rtl/>
        </w:rPr>
        <w:t>(אם היו על טהור וטמא נגע בהם)</w:t>
      </w:r>
      <w:r>
        <w:rPr>
          <w:rFonts w:ascii="Arial" w:hAnsi="Arial" w:cs="Arial" w:hint="cs"/>
          <w:sz w:val="18"/>
          <w:szCs w:val="18"/>
          <w:rtl/>
        </w:rPr>
        <w:t>,</w:t>
      </w:r>
      <w:r w:rsidRPr="00BD12A1">
        <w:rPr>
          <w:rFonts w:ascii="Arial" w:hAnsi="Arial" w:cs="Arial"/>
          <w:sz w:val="18"/>
          <w:szCs w:val="18"/>
          <w:rtl/>
        </w:rPr>
        <w:t xml:space="preserve"> </w:t>
      </w:r>
      <w:r w:rsidRPr="00CE29A9">
        <w:rPr>
          <w:rFonts w:ascii="Arial" w:hAnsi="Arial" w:cs="Arial"/>
          <w:sz w:val="20"/>
          <w:szCs w:val="20"/>
          <w:rtl/>
        </w:rPr>
        <w:t>חוץ מקרום שעל גבי המ</w:t>
      </w:r>
      <w:r>
        <w:rPr>
          <w:rFonts w:ascii="Arial" w:hAnsi="Arial" w:cs="Arial" w:hint="cs"/>
          <w:sz w:val="20"/>
          <w:szCs w:val="20"/>
          <w:rtl/>
        </w:rPr>
        <w:t>כה,</w:t>
      </w:r>
      <w:r w:rsidRPr="00CE29A9">
        <w:rPr>
          <w:rFonts w:ascii="Arial" w:hAnsi="Arial" w:cs="Arial"/>
          <w:sz w:val="20"/>
          <w:szCs w:val="20"/>
          <w:rtl/>
        </w:rPr>
        <w:t xml:space="preserve"> והאגד שעל גבי ה</w:t>
      </w:r>
      <w:r>
        <w:rPr>
          <w:rFonts w:ascii="Arial" w:hAnsi="Arial" w:cs="Arial" w:hint="cs"/>
          <w:sz w:val="20"/>
          <w:szCs w:val="20"/>
          <w:rtl/>
        </w:rPr>
        <w:t>מכה</w:t>
      </w:r>
      <w:r w:rsidRPr="00CE29A9">
        <w:rPr>
          <w:rFonts w:ascii="Arial" w:hAnsi="Arial" w:cs="Arial"/>
          <w:sz w:val="20"/>
          <w:szCs w:val="20"/>
          <w:rtl/>
        </w:rPr>
        <w:t xml:space="preserve"> והקשקשים שעל גבי השבר</w:t>
      </w:r>
      <w:r>
        <w:rPr>
          <w:rStyle w:val="a5"/>
          <w:rFonts w:ascii="Arial" w:hAnsi="Arial" w:cs="Arial"/>
          <w:sz w:val="20"/>
          <w:szCs w:val="20"/>
          <w:rtl/>
        </w:rPr>
        <w:footnoteReference w:id="645"/>
      </w:r>
      <w:r>
        <w:rPr>
          <w:rFonts w:ascii="Arial" w:hAnsi="Arial" w:cs="Arial" w:hint="cs"/>
          <w:sz w:val="20"/>
          <w:szCs w:val="20"/>
          <w:rtl/>
        </w:rPr>
        <w:t>,</w:t>
      </w:r>
      <w:r w:rsidRPr="00CE29A9">
        <w:rPr>
          <w:rFonts w:ascii="Arial" w:hAnsi="Arial" w:cs="Arial"/>
          <w:sz w:val="20"/>
          <w:szCs w:val="20"/>
          <w:rtl/>
        </w:rPr>
        <w:t xml:space="preserve"> והשירים והנזמים והקטלאות והטבעות</w:t>
      </w:r>
      <w:r>
        <w:rPr>
          <w:rFonts w:ascii="Arial" w:hAnsi="Arial" w:cs="Arial" w:hint="cs"/>
          <w:sz w:val="20"/>
          <w:szCs w:val="20"/>
          <w:rtl/>
        </w:rPr>
        <w:t>:</w:t>
      </w:r>
      <w:r w:rsidRPr="00CE29A9">
        <w:rPr>
          <w:rFonts w:ascii="Arial" w:hAnsi="Arial" w:cs="Arial"/>
          <w:sz w:val="20"/>
          <w:szCs w:val="20"/>
          <w:rtl/>
        </w:rPr>
        <w:t xml:space="preserve"> אוצין </w:t>
      </w:r>
      <w:r w:rsidRPr="00BD12A1">
        <w:rPr>
          <w:rFonts w:ascii="Arial" w:hAnsi="Arial" w:cs="Arial" w:hint="cs"/>
          <w:sz w:val="18"/>
          <w:szCs w:val="18"/>
          <w:rtl/>
        </w:rPr>
        <w:t xml:space="preserve">(מהודקים) </w:t>
      </w:r>
      <w:r>
        <w:rPr>
          <w:rFonts w:ascii="Arial" w:hAnsi="Arial" w:cs="Arial"/>
          <w:sz w:val="20"/>
          <w:szCs w:val="20"/>
          <w:rtl/>
        </w:rPr>
        <w:t>–</w:t>
      </w:r>
      <w:r>
        <w:rPr>
          <w:rFonts w:ascii="Arial" w:hAnsi="Arial" w:cs="Arial" w:hint="cs"/>
          <w:sz w:val="20"/>
          <w:szCs w:val="20"/>
          <w:rtl/>
        </w:rPr>
        <w:t xml:space="preserve"> </w:t>
      </w:r>
      <w:r w:rsidRPr="00CE29A9">
        <w:rPr>
          <w:rFonts w:ascii="Arial" w:hAnsi="Arial" w:cs="Arial"/>
          <w:sz w:val="20"/>
          <w:szCs w:val="20"/>
          <w:rtl/>
        </w:rPr>
        <w:t>חוצצין</w:t>
      </w:r>
      <w:r>
        <w:rPr>
          <w:rFonts w:ascii="Arial" w:hAnsi="Arial" w:cs="Arial" w:hint="cs"/>
          <w:sz w:val="20"/>
          <w:szCs w:val="20"/>
          <w:rtl/>
        </w:rPr>
        <w:t>,</w:t>
      </w:r>
      <w:r w:rsidRPr="00CE29A9">
        <w:rPr>
          <w:rFonts w:ascii="Arial" w:hAnsi="Arial" w:cs="Arial"/>
          <w:sz w:val="20"/>
          <w:szCs w:val="20"/>
          <w:rtl/>
        </w:rPr>
        <w:t xml:space="preserve"> רפין</w:t>
      </w:r>
      <w:r>
        <w:rPr>
          <w:rFonts w:ascii="Arial" w:hAnsi="Arial" w:cs="Arial" w:hint="cs"/>
          <w:sz w:val="20"/>
          <w:szCs w:val="20"/>
          <w:rtl/>
        </w:rPr>
        <w:t xml:space="preserve"> -</w:t>
      </w:r>
      <w:r w:rsidRPr="00CE29A9">
        <w:rPr>
          <w:rFonts w:ascii="Arial" w:hAnsi="Arial" w:cs="Arial"/>
          <w:sz w:val="20"/>
          <w:szCs w:val="20"/>
          <w:rtl/>
        </w:rPr>
        <w:t xml:space="preserve"> אין חוצצין</w:t>
      </w:r>
      <w:r w:rsidRPr="00CE29A9">
        <w:rPr>
          <w:rFonts w:ascii="Arial" w:hAnsi="Arial" w:cs="Arial" w:hint="cs"/>
          <w:sz w:val="20"/>
          <w:szCs w:val="20"/>
          <w:rtl/>
        </w:rPr>
        <w:t>".</w:t>
      </w:r>
    </w:p>
    <w:p w:rsidR="00620060" w:rsidRDefault="00620060" w:rsidP="00620060">
      <w:pPr>
        <w:spacing w:after="0"/>
        <w:rPr>
          <w:rFonts w:ascii="Arial" w:hAnsi="Arial" w:cs="Arial"/>
          <w:sz w:val="20"/>
          <w:szCs w:val="20"/>
          <w:rtl/>
        </w:rPr>
      </w:pPr>
      <w:r>
        <w:rPr>
          <w:rFonts w:ascii="Arial" w:hAnsi="Arial" w:cs="Arial"/>
          <w:b/>
          <w:bCs/>
          <w:sz w:val="20"/>
          <w:szCs w:val="20"/>
          <w:rtl/>
        </w:rPr>
        <w:br/>
      </w:r>
      <w:r>
        <w:rPr>
          <w:rFonts w:ascii="Arial" w:hAnsi="Arial" w:cs="Arial" w:hint="cs"/>
          <w:b/>
          <w:bCs/>
          <w:sz w:val="20"/>
          <w:szCs w:val="20"/>
          <w:rtl/>
        </w:rPr>
        <w:t>שיטות הראשונים</w:t>
      </w:r>
      <w:r>
        <w:rPr>
          <w:rFonts w:ascii="Arial" w:hAnsi="Arial" w:cs="Arial" w:hint="cs"/>
          <w:b/>
          <w:bCs/>
          <w:sz w:val="20"/>
          <w:szCs w:val="20"/>
          <w:rtl/>
        </w:rPr>
        <w:br/>
      </w:r>
      <w:r>
        <w:rPr>
          <w:rFonts w:ascii="Arial" w:hAnsi="Arial" w:cs="Arial" w:hint="cs"/>
          <w:sz w:val="20"/>
          <w:szCs w:val="20"/>
          <w:rtl/>
        </w:rPr>
        <w:t xml:space="preserve">הראשונים נחלקו על מה נאמר החילוק של התוספתא בין מהודק לרפוי - </w:t>
      </w:r>
      <w:r>
        <w:rPr>
          <w:rFonts w:ascii="Arial" w:hAnsi="Arial" w:cs="Arial"/>
          <w:b/>
          <w:bCs/>
          <w:sz w:val="20"/>
          <w:szCs w:val="20"/>
          <w:rtl/>
        </w:rPr>
        <w:br/>
      </w:r>
      <w:r>
        <w:rPr>
          <w:rFonts w:ascii="Arial" w:hAnsi="Arial" w:cs="Arial" w:hint="cs"/>
          <w:sz w:val="20"/>
          <w:szCs w:val="20"/>
          <w:rtl/>
        </w:rPr>
        <w:t xml:space="preserve">א. </w:t>
      </w:r>
      <w:r w:rsidRPr="00BD12A1">
        <w:rPr>
          <w:rFonts w:ascii="Arial" w:hAnsi="Arial" w:cs="Arial" w:hint="cs"/>
          <w:b/>
          <w:bCs/>
          <w:sz w:val="20"/>
          <w:szCs w:val="20"/>
          <w:rtl/>
        </w:rPr>
        <w:t>ר"ש</w:t>
      </w:r>
      <w:r>
        <w:rPr>
          <w:rFonts w:ascii="Arial" w:hAnsi="Arial" w:cs="Arial" w:hint="cs"/>
          <w:sz w:val="20"/>
          <w:szCs w:val="20"/>
          <w:rtl/>
        </w:rPr>
        <w:t xml:space="preserve"> </w:t>
      </w:r>
      <w:r>
        <w:rPr>
          <w:rFonts w:ascii="Arial" w:hAnsi="Arial" w:cs="Arial"/>
          <w:sz w:val="20"/>
          <w:szCs w:val="20"/>
          <w:rtl/>
        </w:rPr>
        <w:t>–</w:t>
      </w:r>
      <w:r>
        <w:rPr>
          <w:rFonts w:ascii="Arial" w:hAnsi="Arial" w:cs="Arial" w:hint="cs"/>
          <w:sz w:val="20"/>
          <w:szCs w:val="20"/>
          <w:rtl/>
        </w:rPr>
        <w:t xml:space="preserve"> רק משירים ואילך.</w:t>
      </w:r>
      <w:r>
        <w:rPr>
          <w:rFonts w:ascii="Arial" w:hAnsi="Arial" w:cs="Arial"/>
          <w:sz w:val="20"/>
          <w:szCs w:val="20"/>
          <w:rtl/>
        </w:rPr>
        <w:br/>
      </w:r>
      <w:r>
        <w:rPr>
          <w:rFonts w:ascii="Arial" w:hAnsi="Arial" w:cs="Arial" w:hint="cs"/>
          <w:sz w:val="20"/>
          <w:szCs w:val="20"/>
          <w:rtl/>
        </w:rPr>
        <w:t xml:space="preserve">ב. </w:t>
      </w:r>
      <w:r w:rsidRPr="00BD12A1">
        <w:rPr>
          <w:rFonts w:ascii="Arial" w:hAnsi="Arial" w:cs="Arial" w:hint="cs"/>
          <w:b/>
          <w:bCs/>
          <w:sz w:val="20"/>
          <w:szCs w:val="20"/>
          <w:rtl/>
        </w:rPr>
        <w:t>רמב"ם</w:t>
      </w:r>
      <w:r>
        <w:rPr>
          <w:rFonts w:ascii="Arial" w:hAnsi="Arial" w:cs="Arial" w:hint="cs"/>
          <w:sz w:val="20"/>
          <w:szCs w:val="20"/>
          <w:rtl/>
        </w:rPr>
        <w:t xml:space="preserve"> </w:t>
      </w:r>
      <w:r>
        <w:rPr>
          <w:rFonts w:ascii="Arial" w:hAnsi="Arial" w:cs="Arial"/>
          <w:sz w:val="20"/>
          <w:szCs w:val="20"/>
          <w:rtl/>
        </w:rPr>
        <w:t>–</w:t>
      </w:r>
      <w:r>
        <w:rPr>
          <w:rFonts w:ascii="Arial" w:hAnsi="Arial" w:cs="Arial" w:hint="cs"/>
          <w:sz w:val="20"/>
          <w:szCs w:val="20"/>
          <w:rtl/>
        </w:rPr>
        <w:t xml:space="preserve"> מאגד ואילך.</w:t>
      </w:r>
      <w:r>
        <w:rPr>
          <w:rFonts w:ascii="Arial" w:hAnsi="Arial" w:cs="Arial"/>
          <w:sz w:val="20"/>
          <w:szCs w:val="20"/>
          <w:rtl/>
        </w:rPr>
        <w:br/>
      </w:r>
      <w:r>
        <w:rPr>
          <w:rFonts w:ascii="Arial" w:hAnsi="Arial" w:cs="Arial" w:hint="cs"/>
          <w:sz w:val="20"/>
          <w:szCs w:val="20"/>
          <w:rtl/>
        </w:rPr>
        <w:t>אמנם, הבית יוסף מסביר שלא ברור שיש בכך נפק"מ לדינא, וייתכן שר"ש מודה לרמב"ם שאגד וכו' חוצצים רק כשהם מהודקים, אלא שלדעתו אין זה פירוש התוספתא.</w:t>
      </w:r>
      <w:r>
        <w:rPr>
          <w:rFonts w:ascii="Arial" w:hAnsi="Arial" w:cs="Arial"/>
          <w:sz w:val="20"/>
          <w:szCs w:val="20"/>
          <w:rtl/>
        </w:rPr>
        <w:br/>
      </w:r>
    </w:p>
    <w:p w:rsidR="00620060" w:rsidRPr="008851CB" w:rsidRDefault="00620060" w:rsidP="00620060">
      <w:pPr>
        <w:spacing w:after="0"/>
        <w:rPr>
          <w:rFonts w:ascii="Arial" w:hAnsi="Arial" w:cs="Arial"/>
          <w:sz w:val="20"/>
          <w:szCs w:val="20"/>
          <w:rtl/>
        </w:rPr>
      </w:pPr>
      <w:r>
        <w:rPr>
          <w:rFonts w:ascii="Arial" w:hAnsi="Arial" w:cs="Arial" w:hint="cs"/>
          <w:sz w:val="20"/>
          <w:szCs w:val="20"/>
          <w:u w:val="single"/>
          <w:rtl/>
        </w:rPr>
        <w:t>מדוע טבעת מהודקת חוצצת? (בית יוסף)</w:t>
      </w:r>
      <w:r>
        <w:rPr>
          <w:rFonts w:ascii="Arial" w:hAnsi="Arial" w:cs="Arial" w:hint="cs"/>
          <w:sz w:val="20"/>
          <w:szCs w:val="20"/>
          <w:u w:val="single"/>
          <w:rtl/>
        </w:rPr>
        <w:br/>
      </w:r>
      <w:r w:rsidRPr="00706393">
        <w:rPr>
          <w:rFonts w:ascii="Arial" w:hAnsi="Arial" w:cs="Arial" w:hint="cs"/>
          <w:b/>
          <w:bCs/>
          <w:sz w:val="20"/>
          <w:szCs w:val="20"/>
          <w:rtl/>
        </w:rPr>
        <w:t>רא"ש</w:t>
      </w:r>
      <w:r w:rsidRPr="008851CB">
        <w:rPr>
          <w:rFonts w:ascii="Arial" w:hAnsi="Arial" w:cs="Arial" w:hint="cs"/>
          <w:sz w:val="20"/>
          <w:szCs w:val="20"/>
          <w:rtl/>
        </w:rPr>
        <w:t xml:space="preserve"> </w:t>
      </w:r>
      <w:r>
        <w:rPr>
          <w:rFonts w:ascii="Arial" w:hAnsi="Arial" w:cs="Arial"/>
          <w:sz w:val="20"/>
          <w:szCs w:val="20"/>
          <w:rtl/>
        </w:rPr>
        <w:t>–</w:t>
      </w:r>
      <w:r w:rsidRPr="008851CB">
        <w:rPr>
          <w:rFonts w:ascii="Arial" w:hAnsi="Arial" w:cs="Arial" w:hint="cs"/>
          <w:sz w:val="20"/>
          <w:szCs w:val="20"/>
          <w:rtl/>
        </w:rPr>
        <w:t xml:space="preserve"> </w:t>
      </w:r>
      <w:r>
        <w:rPr>
          <w:rFonts w:ascii="Arial" w:hAnsi="Arial" w:cs="Arial" w:hint="cs"/>
          <w:sz w:val="20"/>
          <w:szCs w:val="20"/>
          <w:rtl/>
        </w:rPr>
        <w:t>מדוע טבעת מהודקת חוצצת, הרי זה מיעוטו שאינה מקפידה עליו?</w:t>
      </w:r>
      <w:r>
        <w:rPr>
          <w:rFonts w:ascii="Arial" w:hAnsi="Arial" w:cs="Arial" w:hint="cs"/>
          <w:sz w:val="20"/>
          <w:szCs w:val="20"/>
          <w:rtl/>
        </w:rPr>
        <w:br/>
        <w:t>ויש לומר שבשעת לישה מקפידה להסירה, וכיוון שיש זמן בו מקפידה הוי חציצה.</w:t>
      </w:r>
    </w:p>
    <w:p w:rsidR="00620060" w:rsidRDefault="00620060" w:rsidP="00620060">
      <w:pPr>
        <w:spacing w:after="0"/>
        <w:rPr>
          <w:rFonts w:ascii="Arial" w:hAnsi="Arial" w:cs="Arial"/>
          <w:b/>
          <w:bCs/>
          <w:sz w:val="20"/>
          <w:szCs w:val="20"/>
          <w:rtl/>
        </w:rPr>
      </w:pPr>
      <w:r>
        <w:rPr>
          <w:rFonts w:ascii="Arial" w:hAnsi="Arial" w:cs="Arial"/>
          <w:b/>
          <w:bCs/>
          <w:sz w:val="20"/>
          <w:szCs w:val="20"/>
          <w:rtl/>
        </w:rPr>
        <w:br/>
      </w:r>
      <w:r>
        <w:rPr>
          <w:rFonts w:ascii="Arial" w:hAnsi="Arial" w:cs="Arial" w:hint="cs"/>
          <w:b/>
          <w:bCs/>
          <w:sz w:val="20"/>
          <w:szCs w:val="20"/>
          <w:rtl/>
        </w:rPr>
        <w:t>פסיקת הלכה</w:t>
      </w:r>
      <w:r>
        <w:rPr>
          <w:rFonts w:ascii="Arial" w:hAnsi="Arial" w:cs="Arial" w:hint="cs"/>
          <w:b/>
          <w:bCs/>
          <w:sz w:val="20"/>
          <w:szCs w:val="20"/>
          <w:rtl/>
        </w:rPr>
        <w:br/>
        <w:t xml:space="preserve">שולחן ערוך </w:t>
      </w:r>
      <w:r>
        <w:rPr>
          <w:rFonts w:ascii="Arial" w:hAnsi="Arial" w:cs="Arial"/>
          <w:sz w:val="20"/>
          <w:szCs w:val="20"/>
          <w:rtl/>
        </w:rPr>
        <w:t>–</w:t>
      </w:r>
      <w:r>
        <w:rPr>
          <w:rFonts w:ascii="Arial" w:hAnsi="Arial" w:cs="Arial" w:hint="cs"/>
          <w:sz w:val="20"/>
          <w:szCs w:val="20"/>
          <w:rtl/>
        </w:rPr>
        <w:t xml:space="preserve"> "</w:t>
      </w:r>
      <w:r w:rsidRPr="00BD12A1">
        <w:rPr>
          <w:rFonts w:ascii="Arial" w:hAnsi="Arial" w:cs="Arial"/>
          <w:sz w:val="20"/>
          <w:szCs w:val="20"/>
          <w:rtl/>
        </w:rPr>
        <w:t>השירים והנזמים והטבעות והקטלאות אם הם רפו</w:t>
      </w:r>
      <w:r>
        <w:rPr>
          <w:rFonts w:ascii="Arial" w:hAnsi="Arial" w:cs="Arial" w:hint="cs"/>
          <w:sz w:val="20"/>
          <w:szCs w:val="20"/>
          <w:rtl/>
        </w:rPr>
        <w:t>י</w:t>
      </w:r>
      <w:r w:rsidRPr="00BD12A1">
        <w:rPr>
          <w:rFonts w:ascii="Arial" w:hAnsi="Arial" w:cs="Arial"/>
          <w:sz w:val="20"/>
          <w:szCs w:val="20"/>
          <w:rtl/>
        </w:rPr>
        <w:t>ים</w:t>
      </w:r>
      <w:r>
        <w:rPr>
          <w:rStyle w:val="a5"/>
          <w:rFonts w:ascii="Arial" w:hAnsi="Arial" w:cs="Arial"/>
          <w:sz w:val="20"/>
          <w:szCs w:val="20"/>
          <w:rtl/>
        </w:rPr>
        <w:footnoteReference w:id="646"/>
      </w:r>
      <w:r w:rsidRPr="00BD12A1">
        <w:rPr>
          <w:rFonts w:ascii="Arial" w:hAnsi="Arial" w:cs="Arial"/>
          <w:sz w:val="20"/>
          <w:szCs w:val="20"/>
          <w:rtl/>
        </w:rPr>
        <w:t>, אינם חוצצים; ואם הם מהודקים, חוצצים. וכן הדין</w:t>
      </w:r>
      <w:r>
        <w:rPr>
          <w:rFonts w:ascii="Arial" w:hAnsi="Arial" w:cs="Arial"/>
          <w:sz w:val="20"/>
          <w:szCs w:val="20"/>
          <w:rtl/>
        </w:rPr>
        <w:t xml:space="preserve"> באגד שעל המכה וקשקשים שעל השבר</w:t>
      </w:r>
      <w:r>
        <w:rPr>
          <w:rFonts w:ascii="Arial" w:hAnsi="Arial" w:cs="Arial" w:hint="cs"/>
          <w:sz w:val="20"/>
          <w:szCs w:val="20"/>
          <w:rtl/>
        </w:rPr>
        <w:t>"</w:t>
      </w:r>
      <w:r>
        <w:rPr>
          <w:rStyle w:val="a5"/>
          <w:rFonts w:ascii="Arial" w:hAnsi="Arial" w:cs="Arial"/>
          <w:sz w:val="20"/>
          <w:szCs w:val="20"/>
          <w:rtl/>
        </w:rPr>
        <w:footnoteReference w:id="647"/>
      </w:r>
      <w:r>
        <w:rPr>
          <w:rFonts w:ascii="Arial" w:hAnsi="Arial" w:cs="Arial" w:hint="cs"/>
          <w:sz w:val="20"/>
          <w:szCs w:val="20"/>
          <w:rtl/>
        </w:rPr>
        <w:t>.</w:t>
      </w:r>
    </w:p>
    <w:p w:rsidR="00620060" w:rsidRDefault="00620060" w:rsidP="00620060">
      <w:pPr>
        <w:spacing w:after="0"/>
        <w:rPr>
          <w:rFonts w:ascii="Arial" w:hAnsi="Arial" w:cs="Arial"/>
          <w:b/>
          <w:bCs/>
          <w:sz w:val="20"/>
          <w:szCs w:val="20"/>
          <w:rtl/>
        </w:rPr>
      </w:pPr>
    </w:p>
    <w:p w:rsidR="00620060" w:rsidRDefault="00620060" w:rsidP="00620060">
      <w:pPr>
        <w:spacing w:after="0"/>
        <w:rPr>
          <w:rFonts w:ascii="Arial" w:hAnsi="Arial" w:cs="Arial"/>
          <w:sz w:val="20"/>
          <w:szCs w:val="20"/>
          <w:rtl/>
        </w:rPr>
      </w:pPr>
      <w:r>
        <w:rPr>
          <w:rFonts w:ascii="Arial" w:hAnsi="Arial" w:cs="Arial" w:hint="cs"/>
          <w:b/>
          <w:bCs/>
          <w:sz w:val="20"/>
          <w:szCs w:val="20"/>
          <w:rtl/>
        </w:rPr>
        <w:t>פסיקת האחרונים</w:t>
      </w:r>
      <w:r>
        <w:rPr>
          <w:rFonts w:ascii="Arial" w:hAnsi="Arial" w:cs="Arial"/>
          <w:b/>
          <w:bCs/>
          <w:sz w:val="20"/>
          <w:szCs w:val="20"/>
          <w:rtl/>
        </w:rPr>
        <w:br/>
      </w:r>
      <w:r w:rsidRPr="0087011A">
        <w:rPr>
          <w:rFonts w:ascii="Arial" w:hAnsi="Arial" w:cs="Arial" w:hint="cs"/>
          <w:sz w:val="20"/>
          <w:szCs w:val="20"/>
          <w:u w:val="single"/>
          <w:rtl/>
        </w:rPr>
        <w:t>פסיקת האחרונים בתכשיטים (פת"ש)</w:t>
      </w:r>
      <w:r>
        <w:rPr>
          <w:rFonts w:ascii="Arial" w:hAnsi="Arial" w:cs="Arial" w:hint="cs"/>
          <w:sz w:val="20"/>
          <w:szCs w:val="20"/>
          <w:rtl/>
        </w:rPr>
        <w:br/>
        <w:t xml:space="preserve">נחלקו האחרונים בדין תכשיט רפוי האם הלכה כמחבר שאינו חוצץ - </w:t>
      </w:r>
      <w:r>
        <w:rPr>
          <w:rFonts w:ascii="Arial" w:hAnsi="Arial" w:cs="Arial"/>
          <w:sz w:val="20"/>
          <w:szCs w:val="20"/>
          <w:rtl/>
        </w:rPr>
        <w:br/>
      </w:r>
      <w:r>
        <w:rPr>
          <w:rFonts w:ascii="Arial" w:hAnsi="Arial" w:cs="Arial" w:hint="cs"/>
          <w:sz w:val="20"/>
          <w:szCs w:val="20"/>
          <w:rtl/>
        </w:rPr>
        <w:t xml:space="preserve">א. </w:t>
      </w:r>
      <w:r w:rsidRPr="0087011A">
        <w:rPr>
          <w:rFonts w:ascii="Arial" w:hAnsi="Arial" w:cs="Arial" w:hint="cs"/>
          <w:b/>
          <w:bCs/>
          <w:sz w:val="20"/>
          <w:szCs w:val="20"/>
          <w:rtl/>
        </w:rPr>
        <w:t>ב"ח</w:t>
      </w:r>
      <w:r>
        <w:rPr>
          <w:rFonts w:ascii="Arial" w:hAnsi="Arial" w:cs="Arial" w:hint="cs"/>
          <w:sz w:val="20"/>
          <w:szCs w:val="20"/>
          <w:rtl/>
        </w:rPr>
        <w:t xml:space="preserve"> </w:t>
      </w:r>
      <w:r>
        <w:rPr>
          <w:rFonts w:ascii="Arial" w:hAnsi="Arial" w:cs="Arial"/>
          <w:sz w:val="20"/>
          <w:szCs w:val="20"/>
          <w:rtl/>
        </w:rPr>
        <w:t>–</w:t>
      </w:r>
      <w:r>
        <w:rPr>
          <w:rFonts w:ascii="Arial" w:hAnsi="Arial" w:cs="Arial" w:hint="cs"/>
          <w:sz w:val="20"/>
          <w:szCs w:val="20"/>
          <w:rtl/>
        </w:rPr>
        <w:t xml:space="preserve"> הלכה כמחבר שאינו חוצץ.</w:t>
      </w:r>
      <w:r>
        <w:rPr>
          <w:rFonts w:ascii="Arial" w:hAnsi="Arial" w:cs="Arial"/>
          <w:sz w:val="20"/>
          <w:szCs w:val="20"/>
          <w:rtl/>
        </w:rPr>
        <w:br/>
      </w:r>
      <w:r>
        <w:rPr>
          <w:rFonts w:ascii="Arial" w:hAnsi="Arial" w:cs="Arial" w:hint="cs"/>
          <w:sz w:val="20"/>
          <w:szCs w:val="20"/>
          <w:rtl/>
        </w:rPr>
        <w:t xml:space="preserve">ב. </w:t>
      </w:r>
      <w:r w:rsidRPr="0087011A">
        <w:rPr>
          <w:rFonts w:ascii="Arial" w:hAnsi="Arial" w:cs="Arial" w:hint="cs"/>
          <w:b/>
          <w:bCs/>
          <w:sz w:val="20"/>
          <w:szCs w:val="20"/>
          <w:rtl/>
        </w:rPr>
        <w:t>בית הלל</w:t>
      </w:r>
      <w:r>
        <w:rPr>
          <w:rFonts w:ascii="Arial" w:hAnsi="Arial" w:cs="Arial" w:hint="cs"/>
          <w:sz w:val="20"/>
          <w:szCs w:val="20"/>
          <w:rtl/>
        </w:rPr>
        <w:t xml:space="preserve"> </w:t>
      </w:r>
      <w:r>
        <w:rPr>
          <w:rFonts w:ascii="Arial" w:hAnsi="Arial" w:cs="Arial"/>
          <w:sz w:val="20"/>
          <w:szCs w:val="20"/>
          <w:rtl/>
        </w:rPr>
        <w:t>–</w:t>
      </w:r>
      <w:r>
        <w:rPr>
          <w:rFonts w:ascii="Arial" w:hAnsi="Arial" w:cs="Arial" w:hint="cs"/>
          <w:sz w:val="20"/>
          <w:szCs w:val="20"/>
          <w:rtl/>
        </w:rPr>
        <w:t xml:space="preserve"> חוצץ אפילו בדיעבד, אך אם שימשה אינה צריכה טבילה שנית.</w:t>
      </w:r>
      <w:r>
        <w:rPr>
          <w:rFonts w:ascii="Arial" w:hAnsi="Arial" w:cs="Arial"/>
          <w:sz w:val="20"/>
          <w:szCs w:val="20"/>
          <w:rtl/>
        </w:rPr>
        <w:br/>
      </w:r>
      <w:r>
        <w:rPr>
          <w:rFonts w:ascii="Arial" w:hAnsi="Arial" w:cs="Arial" w:hint="cs"/>
          <w:sz w:val="20"/>
          <w:szCs w:val="20"/>
          <w:rtl/>
        </w:rPr>
        <w:t xml:space="preserve">ג. </w:t>
      </w:r>
      <w:r w:rsidRPr="0087011A">
        <w:rPr>
          <w:rFonts w:ascii="Arial" w:hAnsi="Arial" w:cs="Arial" w:hint="cs"/>
          <w:b/>
          <w:bCs/>
          <w:sz w:val="20"/>
          <w:szCs w:val="20"/>
          <w:rtl/>
        </w:rPr>
        <w:t>הרב דניאל</w:t>
      </w:r>
      <w:r>
        <w:rPr>
          <w:rFonts w:ascii="Arial" w:hAnsi="Arial" w:cs="Arial" w:hint="cs"/>
          <w:sz w:val="20"/>
          <w:szCs w:val="20"/>
          <w:rtl/>
        </w:rPr>
        <w:t xml:space="preserve"> </w:t>
      </w:r>
      <w:r>
        <w:rPr>
          <w:rFonts w:ascii="Arial" w:hAnsi="Arial" w:cs="Arial"/>
          <w:sz w:val="20"/>
          <w:szCs w:val="20"/>
          <w:rtl/>
        </w:rPr>
        <w:t>–</w:t>
      </w:r>
      <w:r>
        <w:rPr>
          <w:rFonts w:ascii="Arial" w:hAnsi="Arial" w:cs="Arial" w:hint="cs"/>
          <w:sz w:val="20"/>
          <w:szCs w:val="20"/>
          <w:rtl/>
        </w:rPr>
        <w:t xml:space="preserve"> חוצץ אפילו אם שימשה עם בעלה, אך אם היה רפוי מאוד יש להקל.</w:t>
      </w:r>
      <w:r>
        <w:rPr>
          <w:rFonts w:ascii="Arial" w:hAnsi="Arial" w:cs="Arial"/>
          <w:sz w:val="20"/>
          <w:szCs w:val="20"/>
          <w:rtl/>
        </w:rPr>
        <w:br/>
      </w:r>
    </w:p>
    <w:p w:rsidR="00620060" w:rsidRDefault="00620060" w:rsidP="00620060">
      <w:pPr>
        <w:spacing w:after="0"/>
        <w:rPr>
          <w:rFonts w:ascii="Arial" w:hAnsi="Arial" w:cs="Arial"/>
          <w:sz w:val="20"/>
          <w:szCs w:val="20"/>
          <w:rtl/>
        </w:rPr>
      </w:pPr>
      <w:r>
        <w:rPr>
          <w:rFonts w:ascii="Arial" w:hAnsi="Arial" w:cs="Arial" w:hint="cs"/>
          <w:sz w:val="20"/>
          <w:szCs w:val="20"/>
          <w:u w:val="single"/>
          <w:rtl/>
        </w:rPr>
        <w:t>פסיקת האחרונים בקשקשים שעל השבר (ש"ך)</w:t>
      </w:r>
      <w:r>
        <w:rPr>
          <w:rFonts w:ascii="Arial" w:hAnsi="Arial" w:cs="Arial" w:hint="cs"/>
          <w:sz w:val="20"/>
          <w:szCs w:val="20"/>
          <w:u w:val="single"/>
          <w:rtl/>
        </w:rPr>
        <w:br/>
      </w:r>
      <w:r w:rsidRPr="00B76E73">
        <w:rPr>
          <w:rFonts w:ascii="Arial" w:hAnsi="Arial" w:cs="Arial" w:hint="cs"/>
          <w:b/>
          <w:bCs/>
          <w:sz w:val="20"/>
          <w:szCs w:val="20"/>
          <w:rtl/>
        </w:rPr>
        <w:t xml:space="preserve">ב"ח </w:t>
      </w:r>
      <w:r>
        <w:rPr>
          <w:rFonts w:ascii="Arial" w:hAnsi="Arial" w:cs="Arial"/>
          <w:sz w:val="20"/>
          <w:szCs w:val="20"/>
          <w:rtl/>
        </w:rPr>
        <w:t>–</w:t>
      </w:r>
      <w:r>
        <w:rPr>
          <w:rFonts w:ascii="Arial" w:hAnsi="Arial" w:cs="Arial" w:hint="cs"/>
          <w:sz w:val="20"/>
          <w:szCs w:val="20"/>
          <w:rtl/>
        </w:rPr>
        <w:t xml:space="preserve"> אפילו רפוי חוצץ.</w:t>
      </w:r>
      <w:r>
        <w:rPr>
          <w:rFonts w:ascii="Arial" w:hAnsi="Arial" w:cs="Arial"/>
          <w:sz w:val="20"/>
          <w:szCs w:val="20"/>
          <w:rtl/>
        </w:rPr>
        <w:br/>
      </w:r>
      <w:r w:rsidRPr="00B76E73">
        <w:rPr>
          <w:rFonts w:ascii="Arial" w:hAnsi="Arial" w:cs="Arial" w:hint="cs"/>
          <w:b/>
          <w:bCs/>
          <w:sz w:val="20"/>
          <w:szCs w:val="20"/>
          <w:rtl/>
        </w:rPr>
        <w:t xml:space="preserve">טעם </w:t>
      </w:r>
      <w:r>
        <w:rPr>
          <w:rFonts w:ascii="Arial" w:hAnsi="Arial" w:cs="Arial"/>
          <w:sz w:val="20"/>
          <w:szCs w:val="20"/>
          <w:rtl/>
        </w:rPr>
        <w:t>–</w:t>
      </w:r>
      <w:r>
        <w:rPr>
          <w:rFonts w:ascii="Arial" w:hAnsi="Arial" w:cs="Arial" w:hint="cs"/>
          <w:sz w:val="20"/>
          <w:szCs w:val="20"/>
          <w:rtl/>
        </w:rPr>
        <w:t xml:space="preserve"> המים אינם נכנסים היטב.</w:t>
      </w:r>
      <w:r>
        <w:rPr>
          <w:rFonts w:ascii="Arial" w:hAnsi="Arial" w:cs="Arial"/>
          <w:sz w:val="20"/>
          <w:szCs w:val="20"/>
          <w:rtl/>
        </w:rPr>
        <w:br/>
      </w:r>
      <w:r>
        <w:rPr>
          <w:rFonts w:ascii="Arial" w:hAnsi="Arial" w:cs="Arial" w:hint="cs"/>
          <w:sz w:val="20"/>
          <w:szCs w:val="20"/>
          <w:rtl/>
        </w:rPr>
        <w:t xml:space="preserve">אמנם, עיין לעיל בסעיף י' ובהערה, </w:t>
      </w:r>
      <w:r w:rsidRPr="00530FE1">
        <w:rPr>
          <w:rFonts w:ascii="Arial" w:hAnsi="Arial" w:cs="Arial" w:hint="cs"/>
          <w:b/>
          <w:bCs/>
          <w:sz w:val="20"/>
          <w:szCs w:val="20"/>
          <w:rtl/>
        </w:rPr>
        <w:t xml:space="preserve">שטה"ב </w:t>
      </w:r>
      <w:r>
        <w:rPr>
          <w:rFonts w:ascii="Arial" w:hAnsi="Arial" w:cs="Arial" w:hint="cs"/>
          <w:sz w:val="20"/>
          <w:szCs w:val="20"/>
          <w:rtl/>
        </w:rPr>
        <w:t>הקל בכך, ומהאי טעמא התיר גם לטבול עם גבס, עיי"ש.</w:t>
      </w:r>
    </w:p>
    <w:p w:rsidR="00620060" w:rsidRDefault="00620060" w:rsidP="00620060">
      <w:pPr>
        <w:spacing w:after="0"/>
        <w:rPr>
          <w:rFonts w:ascii="Arial" w:hAnsi="Arial" w:cs="Arial"/>
          <w:sz w:val="20"/>
          <w:szCs w:val="20"/>
          <w:rtl/>
        </w:rPr>
      </w:pPr>
      <w:r>
        <w:rPr>
          <w:rFonts w:ascii="Arial" w:hAnsi="Arial" w:cs="Arial"/>
          <w:sz w:val="20"/>
          <w:szCs w:val="20"/>
          <w:rtl/>
        </w:rPr>
        <w:br/>
      </w:r>
      <w:r>
        <w:rPr>
          <w:rFonts w:ascii="Arial" w:hAnsi="Arial" w:cs="Arial" w:hint="cs"/>
          <w:sz w:val="20"/>
          <w:szCs w:val="20"/>
          <w:u w:val="single"/>
          <w:rtl/>
        </w:rPr>
        <w:t>אשה חשובה (פת"ש)</w:t>
      </w:r>
      <w:r>
        <w:rPr>
          <w:rFonts w:ascii="Arial" w:hAnsi="Arial" w:cs="Arial"/>
          <w:sz w:val="20"/>
          <w:szCs w:val="20"/>
          <w:u w:val="single"/>
          <w:rtl/>
        </w:rPr>
        <w:br/>
      </w:r>
      <w:r>
        <w:rPr>
          <w:rFonts w:ascii="Arial" w:hAnsi="Arial" w:cs="Arial" w:hint="cs"/>
          <w:sz w:val="20"/>
          <w:szCs w:val="20"/>
          <w:rtl/>
        </w:rPr>
        <w:t>אשה שאין דרכה ללוש בעצמה ואינה מסירה את טבעתה, האם חוצצת כשהיא מהודקת?</w:t>
      </w:r>
      <w:r>
        <w:rPr>
          <w:rFonts w:ascii="Arial" w:hAnsi="Arial" w:cs="Arial"/>
          <w:sz w:val="20"/>
          <w:szCs w:val="20"/>
          <w:u w:val="single"/>
          <w:rtl/>
        </w:rPr>
        <w:br/>
      </w:r>
      <w:r>
        <w:rPr>
          <w:rFonts w:ascii="Arial" w:hAnsi="Arial" w:cs="Arial" w:hint="cs"/>
          <w:sz w:val="20"/>
          <w:szCs w:val="20"/>
          <w:rtl/>
        </w:rPr>
        <w:t xml:space="preserve">א. </w:t>
      </w:r>
      <w:r w:rsidRPr="00D9622C">
        <w:rPr>
          <w:rFonts w:ascii="Arial" w:hAnsi="Arial" w:cs="Arial" w:hint="cs"/>
          <w:b/>
          <w:bCs/>
          <w:sz w:val="20"/>
          <w:szCs w:val="20"/>
          <w:rtl/>
        </w:rPr>
        <w:t>שיורי טהרה</w:t>
      </w:r>
      <w:r>
        <w:rPr>
          <w:rFonts w:ascii="Arial" w:hAnsi="Arial" w:cs="Arial" w:hint="cs"/>
          <w:sz w:val="20"/>
          <w:szCs w:val="20"/>
          <w:rtl/>
        </w:rPr>
        <w:t xml:space="preserve"> </w:t>
      </w:r>
      <w:r>
        <w:rPr>
          <w:rFonts w:ascii="Arial" w:hAnsi="Arial" w:cs="Arial"/>
          <w:sz w:val="20"/>
          <w:szCs w:val="20"/>
          <w:rtl/>
        </w:rPr>
        <w:t>–</w:t>
      </w:r>
      <w:r>
        <w:rPr>
          <w:rFonts w:ascii="Arial" w:hAnsi="Arial" w:cs="Arial" w:hint="cs"/>
          <w:sz w:val="20"/>
          <w:szCs w:val="20"/>
          <w:rtl/>
        </w:rPr>
        <w:t xml:space="preserve"> חוצצת, משום לא פלוג, אך בדיעבד אם שימשה יש להקל, וכ"פ </w:t>
      </w:r>
      <w:r w:rsidRPr="00D9622C">
        <w:rPr>
          <w:rFonts w:ascii="Arial" w:hAnsi="Arial" w:cs="Arial" w:hint="cs"/>
          <w:b/>
          <w:bCs/>
          <w:sz w:val="20"/>
          <w:szCs w:val="20"/>
          <w:rtl/>
        </w:rPr>
        <w:t>הפת"ש</w:t>
      </w:r>
      <w:r>
        <w:rPr>
          <w:rFonts w:ascii="Arial" w:hAnsi="Arial" w:cs="Arial" w:hint="cs"/>
          <w:sz w:val="20"/>
          <w:szCs w:val="20"/>
          <w:rtl/>
        </w:rPr>
        <w:t>.</w:t>
      </w:r>
      <w:r>
        <w:rPr>
          <w:rStyle w:val="a5"/>
          <w:rFonts w:ascii="Arial" w:hAnsi="Arial" w:cs="Arial"/>
          <w:sz w:val="20"/>
          <w:szCs w:val="20"/>
          <w:rtl/>
        </w:rPr>
        <w:footnoteReference w:id="648"/>
      </w:r>
      <w:r>
        <w:rPr>
          <w:rFonts w:ascii="Arial" w:hAnsi="Arial" w:cs="Arial" w:hint="cs"/>
          <w:sz w:val="20"/>
          <w:szCs w:val="20"/>
          <w:u w:val="single"/>
          <w:rtl/>
        </w:rPr>
        <w:br/>
      </w:r>
      <w:r>
        <w:rPr>
          <w:rFonts w:ascii="Arial" w:hAnsi="Arial" w:cs="Arial" w:hint="cs"/>
          <w:sz w:val="20"/>
          <w:szCs w:val="20"/>
          <w:rtl/>
        </w:rPr>
        <w:t xml:space="preserve">ב. </w:t>
      </w:r>
      <w:r w:rsidRPr="00E81AF2">
        <w:rPr>
          <w:rFonts w:ascii="Arial" w:hAnsi="Arial" w:cs="Arial" w:hint="cs"/>
          <w:b/>
          <w:bCs/>
          <w:sz w:val="20"/>
          <w:szCs w:val="20"/>
          <w:rtl/>
        </w:rPr>
        <w:t>גן המלך</w:t>
      </w:r>
      <w:r w:rsidRPr="00E81AF2">
        <w:rPr>
          <w:rFonts w:ascii="Arial" w:hAnsi="Arial" w:cs="Arial" w:hint="cs"/>
          <w:sz w:val="20"/>
          <w:szCs w:val="20"/>
          <w:rtl/>
        </w:rPr>
        <w:t xml:space="preserve"> </w:t>
      </w:r>
      <w:r w:rsidRPr="00E81AF2">
        <w:rPr>
          <w:rFonts w:ascii="Arial" w:hAnsi="Arial" w:cs="Arial"/>
          <w:sz w:val="20"/>
          <w:szCs w:val="20"/>
          <w:rtl/>
        </w:rPr>
        <w:t>–</w:t>
      </w:r>
      <w:r>
        <w:rPr>
          <w:rFonts w:ascii="Arial" w:hAnsi="Arial" w:cs="Arial" w:hint="cs"/>
          <w:sz w:val="20"/>
          <w:szCs w:val="20"/>
          <w:rtl/>
        </w:rPr>
        <w:t xml:space="preserve"> </w:t>
      </w:r>
      <w:r w:rsidRPr="00E81AF2">
        <w:rPr>
          <w:rFonts w:ascii="Arial" w:hAnsi="Arial" w:cs="Arial" w:hint="cs"/>
          <w:sz w:val="20"/>
          <w:szCs w:val="20"/>
          <w:rtl/>
        </w:rPr>
        <w:t>אינה חוצצת</w:t>
      </w:r>
      <w:r>
        <w:rPr>
          <w:rFonts w:ascii="Arial" w:hAnsi="Arial" w:cs="Arial" w:hint="cs"/>
          <w:sz w:val="20"/>
          <w:szCs w:val="20"/>
          <w:rtl/>
        </w:rPr>
        <w:t xml:space="preserve">, וכ"פ </w:t>
      </w:r>
      <w:r w:rsidRPr="00D9622C">
        <w:rPr>
          <w:rFonts w:ascii="Arial" w:hAnsi="Arial" w:cs="Arial" w:hint="cs"/>
          <w:b/>
          <w:bCs/>
          <w:sz w:val="20"/>
          <w:szCs w:val="20"/>
          <w:rtl/>
        </w:rPr>
        <w:t>טה"ב</w:t>
      </w:r>
      <w:r>
        <w:rPr>
          <w:rFonts w:ascii="Arial" w:hAnsi="Arial" w:cs="Arial" w:hint="cs"/>
          <w:b/>
          <w:bCs/>
          <w:sz w:val="20"/>
          <w:szCs w:val="20"/>
          <w:rtl/>
        </w:rPr>
        <w:t xml:space="preserve"> </w:t>
      </w:r>
      <w:r w:rsidRPr="00E614A4">
        <w:rPr>
          <w:rFonts w:ascii="Arial" w:hAnsi="Arial" w:cs="Arial" w:hint="cs"/>
          <w:sz w:val="18"/>
          <w:szCs w:val="18"/>
          <w:rtl/>
        </w:rPr>
        <w:t>(עמ' קיא)</w:t>
      </w:r>
      <w:r w:rsidRPr="00E614A4">
        <w:rPr>
          <w:rStyle w:val="a5"/>
          <w:rFonts w:ascii="Arial" w:hAnsi="Arial" w:cs="Arial"/>
          <w:sz w:val="20"/>
          <w:szCs w:val="20"/>
          <w:rtl/>
        </w:rPr>
        <w:footnoteReference w:id="649"/>
      </w:r>
      <w:r w:rsidRPr="00E81AF2">
        <w:rPr>
          <w:rFonts w:ascii="Arial" w:hAnsi="Arial" w:cs="Arial" w:hint="cs"/>
          <w:sz w:val="20"/>
          <w:szCs w:val="20"/>
          <w:rtl/>
        </w:rPr>
        <w:t>.</w:t>
      </w:r>
      <w:r w:rsidRPr="00E81AF2">
        <w:rPr>
          <w:rFonts w:ascii="Arial" w:hAnsi="Arial" w:cs="Arial"/>
          <w:sz w:val="20"/>
          <w:szCs w:val="20"/>
          <w:rtl/>
        </w:rPr>
        <w:br/>
      </w:r>
      <w:r>
        <w:rPr>
          <w:rFonts w:ascii="Arial" w:hAnsi="Arial" w:cs="Arial"/>
          <w:sz w:val="20"/>
          <w:szCs w:val="20"/>
          <w:rtl/>
        </w:rPr>
        <w:br/>
      </w:r>
      <w:r>
        <w:rPr>
          <w:rFonts w:ascii="Arial" w:hAnsi="Arial" w:cs="Arial" w:hint="cs"/>
          <w:sz w:val="20"/>
          <w:szCs w:val="20"/>
          <w:u w:val="single"/>
          <w:rtl/>
        </w:rPr>
        <w:t>אשה שאסור לה להרטיב את עיניה (פת"ש)</w:t>
      </w:r>
      <w:r>
        <w:rPr>
          <w:rFonts w:ascii="Arial" w:hAnsi="Arial" w:cs="Arial" w:hint="cs"/>
          <w:sz w:val="20"/>
          <w:szCs w:val="20"/>
          <w:u w:val="single"/>
          <w:rtl/>
        </w:rPr>
        <w:br/>
      </w:r>
      <w:r>
        <w:rPr>
          <w:rFonts w:ascii="Arial" w:hAnsi="Arial" w:cs="Arial" w:hint="cs"/>
          <w:sz w:val="20"/>
          <w:szCs w:val="20"/>
          <w:rtl/>
        </w:rPr>
        <w:t>מעשה באשה שהורה לה רופא לא להרטיב את עיניה, ושאם תעשה כן עלולה לאבד מאור עיניה, כיצד תנהג?</w:t>
      </w:r>
      <w:r>
        <w:rPr>
          <w:rFonts w:ascii="Arial" w:hAnsi="Arial" w:cs="Arial" w:hint="cs"/>
          <w:sz w:val="20"/>
          <w:szCs w:val="20"/>
          <w:rtl/>
        </w:rPr>
        <w:br/>
      </w:r>
      <w:r w:rsidRPr="0037413F">
        <w:rPr>
          <w:rFonts w:ascii="Arial" w:hAnsi="Arial" w:cs="Arial" w:hint="cs"/>
          <w:b/>
          <w:bCs/>
          <w:sz w:val="20"/>
          <w:szCs w:val="20"/>
          <w:rtl/>
        </w:rPr>
        <w:t>שו"ת שיבת ציון</w:t>
      </w:r>
      <w:r>
        <w:rPr>
          <w:rFonts w:ascii="Arial" w:hAnsi="Arial" w:cs="Arial" w:hint="cs"/>
          <w:sz w:val="20"/>
          <w:szCs w:val="20"/>
          <w:rtl/>
        </w:rPr>
        <w:t xml:space="preserve"> </w:t>
      </w:r>
      <w:r>
        <w:rPr>
          <w:rFonts w:ascii="Arial" w:hAnsi="Arial" w:cs="Arial"/>
          <w:sz w:val="20"/>
          <w:szCs w:val="20"/>
          <w:rtl/>
        </w:rPr>
        <w:t>–</w:t>
      </w:r>
      <w:r>
        <w:rPr>
          <w:rFonts w:ascii="Arial" w:hAnsi="Arial" w:cs="Arial" w:hint="cs"/>
          <w:sz w:val="20"/>
          <w:szCs w:val="20"/>
          <w:rtl/>
        </w:rPr>
        <w:t xml:space="preserve"> אין להקל ע"י אגד רפוי שיהיה מונח על עיניה, כיוון שמחמת פחד עלולה להדקו.</w:t>
      </w:r>
      <w:r>
        <w:rPr>
          <w:rFonts w:ascii="Arial" w:hAnsi="Arial" w:cs="Arial"/>
          <w:sz w:val="20"/>
          <w:szCs w:val="20"/>
          <w:rtl/>
        </w:rPr>
        <w:br/>
      </w:r>
      <w:r>
        <w:rPr>
          <w:rFonts w:ascii="Arial" w:hAnsi="Arial" w:cs="Arial" w:hint="cs"/>
          <w:sz w:val="20"/>
          <w:szCs w:val="20"/>
          <w:rtl/>
        </w:rPr>
        <w:t>והעצה הנכונה לאשה זו היא, שאשה אחרת תדיח את ידיה ותניח אותן על עיניה של זו בשעת הטבילה</w:t>
      </w:r>
      <w:r>
        <w:rPr>
          <w:rStyle w:val="a5"/>
          <w:rFonts w:ascii="Arial" w:hAnsi="Arial" w:cs="Arial"/>
          <w:sz w:val="20"/>
          <w:szCs w:val="20"/>
          <w:rtl/>
        </w:rPr>
        <w:footnoteReference w:id="650"/>
      </w:r>
      <w:r>
        <w:rPr>
          <w:rFonts w:ascii="Arial" w:hAnsi="Arial" w:cs="Arial" w:hint="cs"/>
          <w:sz w:val="20"/>
          <w:szCs w:val="20"/>
          <w:rtl/>
        </w:rPr>
        <w:t xml:space="preserve">. </w:t>
      </w:r>
      <w:r w:rsidRPr="002B36C9">
        <w:rPr>
          <w:rFonts w:ascii="Arial" w:hAnsi="Arial" w:cs="Arial" w:hint="cs"/>
          <w:sz w:val="18"/>
          <w:szCs w:val="18"/>
          <w:rtl/>
        </w:rPr>
        <w:t>(כפי שהמחבר פוסק לקמן בסעיף כח' לגבי נגיעה של אשה אחרת בה)</w:t>
      </w:r>
      <w:r>
        <w:rPr>
          <w:rFonts w:ascii="Arial" w:hAnsi="Arial" w:cs="Arial" w:hint="cs"/>
          <w:sz w:val="20"/>
          <w:szCs w:val="20"/>
          <w:rtl/>
        </w:rPr>
        <w:t>.</w:t>
      </w:r>
      <w:r>
        <w:rPr>
          <w:rFonts w:ascii="Arial" w:hAnsi="Arial" w:cs="Arial"/>
          <w:sz w:val="20"/>
          <w:szCs w:val="20"/>
          <w:rtl/>
        </w:rPr>
        <w:br/>
      </w:r>
    </w:p>
    <w:p w:rsidR="00620060" w:rsidRPr="00871273" w:rsidRDefault="00620060" w:rsidP="00620060">
      <w:pPr>
        <w:rPr>
          <w:sz w:val="20"/>
          <w:szCs w:val="20"/>
        </w:rPr>
      </w:pPr>
      <w:r w:rsidRPr="00645124">
        <w:rPr>
          <w:rFonts w:hint="cs"/>
          <w:b/>
          <w:bCs/>
          <w:sz w:val="20"/>
          <w:szCs w:val="20"/>
          <w:rtl/>
        </w:rPr>
        <w:lastRenderedPageBreak/>
        <w:t>סיכום</w:t>
      </w:r>
      <w:r>
        <w:rPr>
          <w:sz w:val="20"/>
          <w:szCs w:val="20"/>
          <w:rtl/>
        </w:rPr>
        <w:br/>
      </w:r>
      <w:r>
        <w:rPr>
          <w:rFonts w:hint="cs"/>
          <w:sz w:val="20"/>
          <w:szCs w:val="20"/>
          <w:rtl/>
        </w:rPr>
        <w:t xml:space="preserve">1. </w:t>
      </w:r>
      <w:r w:rsidRPr="00645124">
        <w:rPr>
          <w:rFonts w:hint="cs"/>
          <w:b/>
          <w:bCs/>
          <w:sz w:val="20"/>
          <w:szCs w:val="20"/>
          <w:rtl/>
        </w:rPr>
        <w:t>תוספתא</w:t>
      </w:r>
      <w:r>
        <w:rPr>
          <w:rFonts w:hint="cs"/>
          <w:sz w:val="20"/>
          <w:szCs w:val="20"/>
          <w:rtl/>
        </w:rPr>
        <w:t xml:space="preserve">. תכשיטים מהודקים חוצצים, רפויים אינם חוצצים. אגד וקשקשים שעל המכה. מחלוקת בפירוש התוספתא האם הדין כנ"ל. הכרעת </w:t>
      </w:r>
      <w:r w:rsidRPr="00645124">
        <w:rPr>
          <w:rFonts w:hint="cs"/>
          <w:b/>
          <w:bCs/>
          <w:sz w:val="20"/>
          <w:szCs w:val="20"/>
          <w:rtl/>
        </w:rPr>
        <w:t>הב"י</w:t>
      </w:r>
      <w:r>
        <w:rPr>
          <w:rFonts w:hint="cs"/>
          <w:sz w:val="20"/>
          <w:szCs w:val="20"/>
          <w:rtl/>
        </w:rPr>
        <w:t xml:space="preserve">. אותו הדין </w:t>
      </w:r>
      <w:r w:rsidRPr="00871273">
        <w:rPr>
          <w:rFonts w:hint="cs"/>
          <w:sz w:val="18"/>
          <w:szCs w:val="18"/>
          <w:rtl/>
        </w:rPr>
        <w:t>(משום שייתכן שגם ר"ש סוב</w:t>
      </w:r>
      <w:r>
        <w:rPr>
          <w:rFonts w:hint="cs"/>
          <w:sz w:val="18"/>
          <w:szCs w:val="18"/>
          <w:rtl/>
        </w:rPr>
        <w:t>ר כך לדינא ונח' רק בפירוש התוס'</w:t>
      </w:r>
      <w:r w:rsidRPr="00871273">
        <w:rPr>
          <w:rFonts w:hint="cs"/>
          <w:sz w:val="18"/>
          <w:szCs w:val="18"/>
          <w:rtl/>
        </w:rPr>
        <w:t>).</w:t>
      </w:r>
      <w:r>
        <w:rPr>
          <w:rFonts w:hint="cs"/>
          <w:sz w:val="20"/>
          <w:szCs w:val="20"/>
          <w:rtl/>
        </w:rPr>
        <w:br/>
        <w:t xml:space="preserve">2. </w:t>
      </w:r>
      <w:r w:rsidRPr="00645124">
        <w:rPr>
          <w:rFonts w:hint="cs"/>
          <w:b/>
          <w:bCs/>
          <w:sz w:val="20"/>
          <w:szCs w:val="20"/>
          <w:rtl/>
        </w:rPr>
        <w:t>רא"ש</w:t>
      </w:r>
      <w:r>
        <w:rPr>
          <w:rFonts w:hint="cs"/>
          <w:sz w:val="20"/>
          <w:szCs w:val="20"/>
          <w:rtl/>
        </w:rPr>
        <w:t>. טבעת מהודקת חוצצת משום שבשעת לישה מקפידה להסירה.</w:t>
      </w:r>
      <w:r>
        <w:rPr>
          <w:rFonts w:hint="cs"/>
          <w:sz w:val="20"/>
          <w:szCs w:val="20"/>
          <w:rtl/>
        </w:rPr>
        <w:br/>
        <w:t xml:space="preserve">3. </w:t>
      </w:r>
      <w:r w:rsidRPr="000B6866">
        <w:rPr>
          <w:rFonts w:hint="cs"/>
          <w:sz w:val="20"/>
          <w:szCs w:val="20"/>
          <w:rtl/>
        </w:rPr>
        <w:t xml:space="preserve">מחלוקת אחרונים בתכשיטים רפויים. </w:t>
      </w:r>
      <w:r w:rsidRPr="000B6866">
        <w:rPr>
          <w:rFonts w:hint="cs"/>
          <w:b/>
          <w:bCs/>
          <w:sz w:val="20"/>
          <w:szCs w:val="20"/>
          <w:rtl/>
        </w:rPr>
        <w:t>ב"ח</w:t>
      </w:r>
      <w:r w:rsidRPr="000B6866">
        <w:rPr>
          <w:rFonts w:hint="cs"/>
          <w:sz w:val="20"/>
          <w:szCs w:val="20"/>
          <w:rtl/>
        </w:rPr>
        <w:t xml:space="preserve">. הלכה כמחבר שרפוי אינו חוצץ. </w:t>
      </w:r>
      <w:r w:rsidRPr="000B6866">
        <w:rPr>
          <w:rFonts w:hint="cs"/>
          <w:b/>
          <w:bCs/>
          <w:sz w:val="20"/>
          <w:szCs w:val="20"/>
          <w:rtl/>
        </w:rPr>
        <w:t>ב"ה</w:t>
      </w:r>
      <w:r w:rsidRPr="000B6866">
        <w:rPr>
          <w:rFonts w:hint="cs"/>
          <w:sz w:val="20"/>
          <w:szCs w:val="20"/>
          <w:rtl/>
        </w:rPr>
        <w:t xml:space="preserve">. חוצץ, אך אם שימשה עם בעלה לא תטבול שנית. </w:t>
      </w:r>
      <w:r w:rsidRPr="000B6866">
        <w:rPr>
          <w:rFonts w:hint="cs"/>
          <w:b/>
          <w:bCs/>
          <w:sz w:val="20"/>
          <w:szCs w:val="20"/>
          <w:rtl/>
        </w:rPr>
        <w:t>הרב דניאל</w:t>
      </w:r>
      <w:r w:rsidRPr="000B6866">
        <w:rPr>
          <w:rFonts w:hint="cs"/>
          <w:sz w:val="20"/>
          <w:szCs w:val="20"/>
          <w:rtl/>
        </w:rPr>
        <w:t>. חוצץ אפילו אם שימשה, אך אם היה רפוי מאוד יש להקל.</w:t>
      </w:r>
      <w:r w:rsidRPr="000B6866">
        <w:rPr>
          <w:sz w:val="20"/>
          <w:szCs w:val="20"/>
          <w:rtl/>
        </w:rPr>
        <w:br/>
      </w:r>
      <w:r w:rsidRPr="000B6866">
        <w:rPr>
          <w:rFonts w:hint="cs"/>
          <w:sz w:val="20"/>
          <w:szCs w:val="20"/>
          <w:rtl/>
        </w:rPr>
        <w:t>4. קשקשים שעל המכה</w:t>
      </w:r>
      <w:r>
        <w:rPr>
          <w:rFonts w:hint="cs"/>
          <w:sz w:val="20"/>
          <w:szCs w:val="20"/>
          <w:rtl/>
        </w:rPr>
        <w:t xml:space="preserve">. </w:t>
      </w:r>
      <w:r w:rsidRPr="00645124">
        <w:rPr>
          <w:rFonts w:hint="cs"/>
          <w:b/>
          <w:bCs/>
          <w:sz w:val="20"/>
          <w:szCs w:val="20"/>
          <w:rtl/>
        </w:rPr>
        <w:t>מחבר</w:t>
      </w:r>
      <w:r>
        <w:rPr>
          <w:rFonts w:hint="cs"/>
          <w:sz w:val="20"/>
          <w:szCs w:val="20"/>
          <w:rtl/>
        </w:rPr>
        <w:t xml:space="preserve">. הקל ברפוי, כנ"ל. </w:t>
      </w:r>
      <w:r w:rsidRPr="00645124">
        <w:rPr>
          <w:rFonts w:hint="cs"/>
          <w:b/>
          <w:bCs/>
          <w:sz w:val="20"/>
          <w:szCs w:val="20"/>
          <w:rtl/>
        </w:rPr>
        <w:t>ב"ח</w:t>
      </w:r>
      <w:r>
        <w:rPr>
          <w:rFonts w:hint="cs"/>
          <w:sz w:val="20"/>
          <w:szCs w:val="20"/>
          <w:rtl/>
        </w:rPr>
        <w:t>. החמיר אפילו ברפוי.</w:t>
      </w:r>
      <w:r>
        <w:rPr>
          <w:rFonts w:hint="cs"/>
          <w:sz w:val="20"/>
          <w:szCs w:val="20"/>
          <w:rtl/>
        </w:rPr>
        <w:br/>
        <w:t xml:space="preserve">5. </w:t>
      </w:r>
      <w:r w:rsidRPr="00E614A4">
        <w:rPr>
          <w:rFonts w:hint="cs"/>
          <w:sz w:val="20"/>
          <w:szCs w:val="20"/>
          <w:rtl/>
        </w:rPr>
        <w:t xml:space="preserve">אשה חשובה שאינה לשה, האם הטבעת חוצצת? </w:t>
      </w:r>
      <w:r w:rsidRPr="00E614A4">
        <w:rPr>
          <w:rFonts w:hint="cs"/>
          <w:b/>
          <w:bCs/>
          <w:sz w:val="20"/>
          <w:szCs w:val="20"/>
          <w:rtl/>
        </w:rPr>
        <w:t>שיו"ט</w:t>
      </w:r>
      <w:r w:rsidRPr="00E614A4">
        <w:rPr>
          <w:rFonts w:hint="cs"/>
          <w:sz w:val="20"/>
          <w:szCs w:val="20"/>
          <w:rtl/>
        </w:rPr>
        <w:t>. כן, מ</w:t>
      </w:r>
      <w:r>
        <w:rPr>
          <w:rFonts w:hint="cs"/>
          <w:sz w:val="20"/>
          <w:szCs w:val="20"/>
          <w:rtl/>
        </w:rPr>
        <w:t>שו</w:t>
      </w:r>
      <w:r w:rsidRPr="00E614A4">
        <w:rPr>
          <w:rFonts w:hint="cs"/>
          <w:sz w:val="20"/>
          <w:szCs w:val="20"/>
          <w:rtl/>
        </w:rPr>
        <w:t xml:space="preserve">ם לא פלוג. </w:t>
      </w:r>
      <w:r w:rsidRPr="00E614A4">
        <w:rPr>
          <w:rFonts w:hint="cs"/>
          <w:b/>
          <w:bCs/>
          <w:sz w:val="20"/>
          <w:szCs w:val="20"/>
          <w:rtl/>
        </w:rPr>
        <w:t>גן המלך וטה"ב</w:t>
      </w:r>
      <w:r w:rsidRPr="00E614A4">
        <w:rPr>
          <w:rFonts w:hint="cs"/>
          <w:sz w:val="20"/>
          <w:szCs w:val="20"/>
          <w:rtl/>
        </w:rPr>
        <w:t>. לא.</w:t>
      </w:r>
      <w:r>
        <w:rPr>
          <w:sz w:val="20"/>
          <w:szCs w:val="20"/>
          <w:rtl/>
        </w:rPr>
        <w:br/>
      </w:r>
      <w:r>
        <w:rPr>
          <w:rFonts w:hint="cs"/>
          <w:sz w:val="20"/>
          <w:szCs w:val="20"/>
          <w:rtl/>
        </w:rPr>
        <w:t xml:space="preserve">6. </w:t>
      </w:r>
      <w:r w:rsidRPr="00645124">
        <w:rPr>
          <w:rFonts w:hint="cs"/>
          <w:b/>
          <w:bCs/>
          <w:sz w:val="20"/>
          <w:szCs w:val="20"/>
          <w:rtl/>
        </w:rPr>
        <w:t>שיבת ציון</w:t>
      </w:r>
      <w:r>
        <w:rPr>
          <w:rFonts w:hint="cs"/>
          <w:sz w:val="20"/>
          <w:szCs w:val="20"/>
          <w:rtl/>
        </w:rPr>
        <w:t>. מי שאסור לה להרטיב עיניה כלל, תטבול ע"י שאחרת תדיח ידיה ותניח אותן על עיניה.</w:t>
      </w:r>
    </w:p>
    <w:p w:rsidR="00620060" w:rsidRDefault="00620060" w:rsidP="00620060">
      <w:pPr>
        <w:spacing w:after="0"/>
        <w:rPr>
          <w:rFonts w:ascii="Arial" w:hAnsi="Arial" w:cs="Arial"/>
          <w:sz w:val="20"/>
          <w:szCs w:val="20"/>
          <w:rtl/>
        </w:rPr>
      </w:pPr>
      <w:r w:rsidRPr="00EC63F5">
        <w:rPr>
          <w:rFonts w:ascii="Arial" w:hAnsi="Arial" w:cs="Arial" w:hint="cs"/>
          <w:b/>
          <w:bCs/>
          <w:sz w:val="20"/>
          <w:szCs w:val="20"/>
          <w:rtl/>
        </w:rPr>
        <w:t>הוספה</w:t>
      </w:r>
      <w:r>
        <w:rPr>
          <w:rFonts w:ascii="Arial" w:hAnsi="Arial" w:cs="Arial"/>
          <w:sz w:val="20"/>
          <w:szCs w:val="20"/>
          <w:rtl/>
        </w:rPr>
        <w:br/>
      </w:r>
      <w:r w:rsidRPr="00E614A4">
        <w:rPr>
          <w:rFonts w:ascii="Arial" w:hAnsi="Arial" w:cs="Arial" w:hint="cs"/>
          <w:sz w:val="20"/>
          <w:szCs w:val="20"/>
          <w:u w:val="single"/>
          <w:rtl/>
        </w:rPr>
        <w:t>טבעת שאי אפשר להסירה כלל מחמת דם או פצע</w:t>
      </w:r>
      <w:r>
        <w:rPr>
          <w:rFonts w:ascii="Arial" w:hAnsi="Arial" w:cs="Arial"/>
          <w:sz w:val="20"/>
          <w:szCs w:val="20"/>
          <w:rtl/>
        </w:rPr>
        <w:br/>
      </w:r>
      <w:r>
        <w:rPr>
          <w:rFonts w:ascii="Arial" w:hAnsi="Arial" w:cs="Arial" w:hint="cs"/>
          <w:sz w:val="20"/>
          <w:szCs w:val="20"/>
          <w:rtl/>
        </w:rPr>
        <w:t xml:space="preserve">א. </w:t>
      </w:r>
      <w:r w:rsidRPr="00EC63F5">
        <w:rPr>
          <w:rFonts w:ascii="Arial" w:hAnsi="Arial" w:cs="Arial" w:hint="cs"/>
          <w:b/>
          <w:bCs/>
          <w:sz w:val="20"/>
          <w:szCs w:val="20"/>
          <w:rtl/>
        </w:rPr>
        <w:t>ששבה"ל</w:t>
      </w:r>
      <w:r>
        <w:rPr>
          <w:rFonts w:ascii="Arial" w:hAnsi="Arial" w:cs="Arial" w:hint="cs"/>
          <w:b/>
          <w:bCs/>
          <w:sz w:val="20"/>
          <w:szCs w:val="20"/>
          <w:rtl/>
        </w:rPr>
        <w:t xml:space="preserve"> </w:t>
      </w:r>
      <w:r w:rsidRPr="00E614A4">
        <w:rPr>
          <w:rFonts w:ascii="Arial" w:hAnsi="Arial" w:cs="Arial" w:hint="cs"/>
          <w:sz w:val="20"/>
          <w:szCs w:val="20"/>
          <w:rtl/>
        </w:rPr>
        <w:t xml:space="preserve">- </w:t>
      </w:r>
      <w:r>
        <w:rPr>
          <w:rFonts w:ascii="Arial" w:hAnsi="Arial" w:cs="Arial" w:hint="cs"/>
          <w:sz w:val="20"/>
          <w:szCs w:val="20"/>
          <w:rtl/>
        </w:rPr>
        <w:t>יש לחתכה. אם קשה לחתוך אותה, יכולה להקל ע"י שתסובב את הטבעת כשהיא בתוך המים ותהיה רפויה ומהני בשעת הדחק. אם אינה יכולה לסובב אותה, יש להחמיר שחוצצת, אך בשעת דחק גדולה יש לשאול לחכם אם יכולה להקל ולהחשיבה כבטלה לגוף.</w:t>
      </w:r>
      <w:r>
        <w:rPr>
          <w:rFonts w:ascii="Arial" w:hAnsi="Arial" w:cs="Arial"/>
          <w:sz w:val="20"/>
          <w:szCs w:val="20"/>
          <w:rtl/>
        </w:rPr>
        <w:br/>
      </w:r>
      <w:r>
        <w:rPr>
          <w:rFonts w:ascii="Arial" w:hAnsi="Arial" w:cs="Arial" w:hint="cs"/>
          <w:sz w:val="20"/>
          <w:szCs w:val="20"/>
          <w:rtl/>
        </w:rPr>
        <w:t xml:space="preserve">ב. </w:t>
      </w:r>
      <w:r w:rsidRPr="00E614A4">
        <w:rPr>
          <w:rFonts w:ascii="Arial" w:hAnsi="Arial" w:cs="Arial" w:hint="cs"/>
          <w:b/>
          <w:bCs/>
          <w:sz w:val="20"/>
          <w:szCs w:val="20"/>
          <w:rtl/>
        </w:rPr>
        <w:t>טה"ב</w:t>
      </w:r>
      <w:r>
        <w:rPr>
          <w:rFonts w:ascii="Arial" w:hAnsi="Arial" w:cs="Arial" w:hint="cs"/>
          <w:sz w:val="20"/>
          <w:szCs w:val="20"/>
          <w:rtl/>
        </w:rPr>
        <w:t xml:space="preserve"> </w:t>
      </w:r>
      <w:r w:rsidRPr="00E614A4">
        <w:rPr>
          <w:rFonts w:ascii="Arial" w:hAnsi="Arial" w:cs="Arial" w:hint="cs"/>
          <w:sz w:val="18"/>
          <w:szCs w:val="18"/>
          <w:rtl/>
        </w:rPr>
        <w:t xml:space="preserve">(עמ' קיב) </w:t>
      </w:r>
      <w:r>
        <w:rPr>
          <w:rFonts w:ascii="Arial" w:hAnsi="Arial" w:cs="Arial"/>
          <w:sz w:val="20"/>
          <w:szCs w:val="20"/>
          <w:rtl/>
        </w:rPr>
        <w:t>–</w:t>
      </w:r>
      <w:r>
        <w:rPr>
          <w:rFonts w:ascii="Arial" w:hAnsi="Arial" w:cs="Arial" w:hint="cs"/>
          <w:sz w:val="20"/>
          <w:szCs w:val="20"/>
          <w:rtl/>
        </w:rPr>
        <w:t xml:space="preserve"> מותר לטבול בה לכתחילה.</w:t>
      </w:r>
      <w:r>
        <w:rPr>
          <w:rFonts w:ascii="Arial" w:hAnsi="Arial" w:cs="Arial"/>
          <w:sz w:val="20"/>
          <w:szCs w:val="20"/>
          <w:rtl/>
        </w:rPr>
        <w:br/>
      </w:r>
      <w:r w:rsidRPr="00E614A4">
        <w:rPr>
          <w:rFonts w:ascii="Arial" w:hAnsi="Arial" w:cs="Arial" w:hint="cs"/>
          <w:b/>
          <w:bCs/>
          <w:sz w:val="20"/>
          <w:szCs w:val="20"/>
          <w:rtl/>
        </w:rPr>
        <w:t>טעם</w:t>
      </w:r>
      <w:r>
        <w:rPr>
          <w:rFonts w:ascii="Arial" w:hAnsi="Arial" w:cs="Arial" w:hint="cs"/>
          <w:sz w:val="20"/>
          <w:szCs w:val="20"/>
          <w:rtl/>
        </w:rPr>
        <w:t xml:space="preserve"> </w:t>
      </w:r>
      <w:r>
        <w:rPr>
          <w:rFonts w:ascii="Arial" w:hAnsi="Arial" w:cs="Arial"/>
          <w:sz w:val="20"/>
          <w:szCs w:val="20"/>
          <w:rtl/>
        </w:rPr>
        <w:t>–</w:t>
      </w:r>
      <w:r>
        <w:rPr>
          <w:rFonts w:ascii="Arial" w:hAnsi="Arial" w:cs="Arial" w:hint="cs"/>
          <w:sz w:val="20"/>
          <w:szCs w:val="20"/>
          <w:rtl/>
        </w:rPr>
        <w:t xml:space="preserve"> דינה זהה לדין אשה שמלאכתה נקייה ואינה מסירה את טבעתה. ואת דברי ששבה"ל המחמיר יש ליישב ע"פ חומרת הרמ"א בסעיף א' שלא לטבול לכתחילה אפילו בדבר שאינו חוצץ.</w:t>
      </w:r>
    </w:p>
    <w:p w:rsidR="00620060" w:rsidRDefault="00620060" w:rsidP="00620060">
      <w:pPr>
        <w:spacing w:after="0"/>
        <w:rPr>
          <w:rFonts w:ascii="Arial" w:hAnsi="Arial" w:cs="Arial"/>
          <w:sz w:val="20"/>
          <w:szCs w:val="20"/>
          <w:rtl/>
        </w:rPr>
      </w:pPr>
    </w:p>
    <w:p w:rsidR="00620060" w:rsidRDefault="00620060" w:rsidP="00620060">
      <w:pPr>
        <w:spacing w:after="0"/>
        <w:rPr>
          <w:rFonts w:ascii="Arial" w:hAnsi="Arial" w:cs="Arial"/>
          <w:sz w:val="20"/>
          <w:szCs w:val="20"/>
          <w:rtl/>
        </w:rPr>
      </w:pPr>
    </w:p>
    <w:p w:rsidR="00620060" w:rsidRDefault="00620060" w:rsidP="00620060">
      <w:pPr>
        <w:spacing w:after="0"/>
        <w:rPr>
          <w:rFonts w:ascii="Arial" w:hAnsi="Arial" w:cs="Arial"/>
          <w:sz w:val="20"/>
          <w:szCs w:val="20"/>
          <w:rtl/>
        </w:rPr>
      </w:pPr>
      <w:r>
        <w:rPr>
          <w:rFonts w:ascii="Arial" w:hAnsi="Arial" w:cs="Arial" w:hint="cs"/>
          <w:b/>
          <w:bCs/>
          <w:sz w:val="20"/>
          <w:szCs w:val="20"/>
          <w:rtl/>
        </w:rPr>
        <w:t xml:space="preserve">סעיף כד </w:t>
      </w:r>
      <w:r>
        <w:rPr>
          <w:rFonts w:ascii="Arial" w:hAnsi="Arial" w:cs="Arial"/>
          <w:b/>
          <w:bCs/>
          <w:sz w:val="20"/>
          <w:szCs w:val="20"/>
          <w:rtl/>
        </w:rPr>
        <w:t>–</w:t>
      </w:r>
      <w:r>
        <w:rPr>
          <w:rFonts w:ascii="Arial" w:hAnsi="Arial" w:cs="Arial" w:hint="cs"/>
          <w:b/>
          <w:bCs/>
          <w:sz w:val="20"/>
          <w:szCs w:val="20"/>
          <w:rtl/>
        </w:rPr>
        <w:t xml:space="preserve"> חציצה בשיניים</w:t>
      </w:r>
      <w:r>
        <w:rPr>
          <w:rFonts w:ascii="Arial" w:hAnsi="Arial" w:cs="Arial"/>
          <w:b/>
          <w:bCs/>
          <w:sz w:val="20"/>
          <w:szCs w:val="20"/>
          <w:rtl/>
        </w:rPr>
        <w:br/>
      </w:r>
      <w:r>
        <w:rPr>
          <w:rFonts w:ascii="Arial" w:hAnsi="Arial" w:cs="Arial" w:hint="cs"/>
          <w:b/>
          <w:bCs/>
          <w:sz w:val="20"/>
          <w:szCs w:val="20"/>
          <w:rtl/>
        </w:rPr>
        <w:t>מקור הדין</w:t>
      </w:r>
      <w:r>
        <w:rPr>
          <w:rFonts w:ascii="Arial" w:hAnsi="Arial" w:cs="Arial"/>
          <w:b/>
          <w:bCs/>
          <w:sz w:val="20"/>
          <w:szCs w:val="20"/>
          <w:rtl/>
        </w:rPr>
        <w:br/>
      </w:r>
      <w:r>
        <w:rPr>
          <w:rFonts w:ascii="Arial" w:hAnsi="Arial" w:cs="Arial" w:hint="cs"/>
          <w:b/>
          <w:bCs/>
          <w:sz w:val="20"/>
          <w:szCs w:val="20"/>
          <w:rtl/>
        </w:rPr>
        <w:t xml:space="preserve">גמרא </w:t>
      </w:r>
      <w:r>
        <w:rPr>
          <w:rFonts w:ascii="Arial" w:hAnsi="Arial" w:cs="Arial" w:hint="cs"/>
          <w:sz w:val="20"/>
          <w:szCs w:val="20"/>
          <w:rtl/>
        </w:rPr>
        <w:t>קידושין (כה.) "</w:t>
      </w:r>
      <w:r w:rsidRPr="00DF4C4F">
        <w:rPr>
          <w:rFonts w:ascii="Arial" w:hAnsi="Arial" w:cs="Arial"/>
          <w:sz w:val="20"/>
          <w:szCs w:val="20"/>
          <w:rtl/>
        </w:rPr>
        <w:t>מעשה בשפחה של בית רבי, שטבלה ועלתה ונמצא עצם בין שיניה, והצריכה רבי טבילה אחרת! נהי דביאת מים לא בעינן, מקום הראוי לבוא בו מים בעינן; כדרבי זירא, דאמר רבי זירא: כל הראוי לבילה - אין בילה מעכבת בו, ושאינו ראוי לבילה - בילה מעכבת בו</w:t>
      </w:r>
      <w:r>
        <w:rPr>
          <w:rFonts w:ascii="Arial" w:hAnsi="Arial" w:cs="Arial" w:hint="cs"/>
          <w:sz w:val="20"/>
          <w:szCs w:val="20"/>
          <w:rtl/>
        </w:rPr>
        <w:t>".</w:t>
      </w:r>
      <w:r>
        <w:rPr>
          <w:rFonts w:ascii="Arial" w:hAnsi="Arial" w:cs="Arial"/>
          <w:sz w:val="20"/>
          <w:szCs w:val="20"/>
          <w:rtl/>
        </w:rPr>
        <w:br/>
      </w:r>
      <w:r w:rsidRPr="00353B17">
        <w:rPr>
          <w:rFonts w:ascii="Arial" w:hAnsi="Arial" w:cs="Arial" w:hint="cs"/>
          <w:b/>
          <w:bCs/>
          <w:sz w:val="20"/>
          <w:szCs w:val="20"/>
          <w:rtl/>
        </w:rPr>
        <w:t>סמ"ג</w:t>
      </w:r>
      <w:r>
        <w:rPr>
          <w:rFonts w:ascii="Arial" w:hAnsi="Arial" w:cs="Arial" w:hint="cs"/>
          <w:sz w:val="20"/>
          <w:szCs w:val="20"/>
          <w:rtl/>
        </w:rPr>
        <w:t xml:space="preserve"> </w:t>
      </w:r>
      <w:r>
        <w:rPr>
          <w:rFonts w:ascii="Arial" w:hAnsi="Arial" w:cs="Arial"/>
          <w:sz w:val="20"/>
          <w:szCs w:val="20"/>
          <w:rtl/>
        </w:rPr>
        <w:t>–</w:t>
      </w:r>
      <w:r>
        <w:rPr>
          <w:rFonts w:ascii="Arial" w:hAnsi="Arial" w:cs="Arial" w:hint="cs"/>
          <w:sz w:val="20"/>
          <w:szCs w:val="20"/>
          <w:rtl/>
        </w:rPr>
        <w:t xml:space="preserve"> הוא הדין אם נמצא בין השיניים פירורים או בשר, וכן כל דבר הנמצא בין השיניים חוצץ.</w:t>
      </w:r>
      <w:r>
        <w:rPr>
          <w:rFonts w:ascii="Arial" w:hAnsi="Arial" w:cs="Arial"/>
          <w:sz w:val="20"/>
          <w:szCs w:val="20"/>
          <w:rtl/>
        </w:rPr>
        <w:br/>
      </w:r>
      <w:r w:rsidRPr="006F398A">
        <w:rPr>
          <w:rFonts w:ascii="Arial" w:hAnsi="Arial" w:cs="Arial" w:hint="cs"/>
          <w:b/>
          <w:bCs/>
          <w:sz w:val="20"/>
          <w:szCs w:val="20"/>
          <w:rtl/>
        </w:rPr>
        <w:t>רא"ש</w:t>
      </w:r>
      <w:r>
        <w:rPr>
          <w:rFonts w:ascii="Arial" w:hAnsi="Arial" w:cs="Arial" w:hint="cs"/>
          <w:sz w:val="20"/>
          <w:szCs w:val="20"/>
          <w:rtl/>
        </w:rPr>
        <w:t xml:space="preserve"> </w:t>
      </w:r>
      <w:r>
        <w:rPr>
          <w:rFonts w:ascii="Arial" w:hAnsi="Arial" w:cs="Arial"/>
          <w:sz w:val="20"/>
          <w:szCs w:val="20"/>
          <w:rtl/>
        </w:rPr>
        <w:t>–</w:t>
      </w:r>
      <w:r>
        <w:rPr>
          <w:rFonts w:ascii="Arial" w:hAnsi="Arial" w:cs="Arial" w:hint="cs"/>
          <w:sz w:val="20"/>
          <w:szCs w:val="20"/>
          <w:rtl/>
        </w:rPr>
        <w:t xml:space="preserve"> לפי זה, צריכה האשה לנקות בין שיניה לפני טבילה כדי שלא יהיה בהן דבר חוצץ.</w:t>
      </w:r>
    </w:p>
    <w:p w:rsidR="00620060" w:rsidRDefault="00620060" w:rsidP="00620060">
      <w:pPr>
        <w:spacing w:after="0"/>
        <w:rPr>
          <w:rFonts w:ascii="Arial" w:hAnsi="Arial" w:cs="Arial"/>
          <w:sz w:val="20"/>
          <w:szCs w:val="20"/>
          <w:rtl/>
        </w:rPr>
      </w:pPr>
    </w:p>
    <w:p w:rsidR="00620060" w:rsidRDefault="00620060" w:rsidP="00620060">
      <w:pPr>
        <w:spacing w:after="0"/>
        <w:rPr>
          <w:rFonts w:ascii="Arial" w:hAnsi="Arial" w:cs="Arial"/>
          <w:sz w:val="20"/>
          <w:szCs w:val="20"/>
          <w:rtl/>
        </w:rPr>
      </w:pPr>
      <w:r>
        <w:rPr>
          <w:rFonts w:ascii="Arial" w:hAnsi="Arial" w:cs="Arial" w:hint="cs"/>
          <w:sz w:val="20"/>
          <w:szCs w:val="20"/>
          <w:u w:val="single"/>
          <w:rtl/>
        </w:rPr>
        <w:t>מדוע אין החציצה בטלה?</w:t>
      </w:r>
      <w:r>
        <w:rPr>
          <w:rFonts w:ascii="Arial" w:hAnsi="Arial" w:cs="Arial"/>
          <w:sz w:val="20"/>
          <w:szCs w:val="20"/>
          <w:u w:val="single"/>
          <w:rtl/>
        </w:rPr>
        <w:br/>
      </w:r>
      <w:r>
        <w:rPr>
          <w:rFonts w:ascii="Arial" w:hAnsi="Arial" w:cs="Arial" w:hint="cs"/>
          <w:sz w:val="20"/>
          <w:szCs w:val="20"/>
          <w:rtl/>
        </w:rPr>
        <w:t>לכאורה חציצה זו הוי מיעוטו שאינה מקפדת ואינה חוצצת?</w:t>
      </w:r>
      <w:r>
        <w:rPr>
          <w:rFonts w:ascii="Arial" w:hAnsi="Arial" w:cs="Arial" w:hint="cs"/>
          <w:sz w:val="20"/>
          <w:szCs w:val="20"/>
          <w:rtl/>
        </w:rPr>
        <w:br/>
        <w:t xml:space="preserve">מיישב </w:t>
      </w:r>
      <w:r w:rsidRPr="00EB4646">
        <w:rPr>
          <w:rFonts w:ascii="Arial" w:hAnsi="Arial" w:cs="Arial" w:hint="cs"/>
          <w:b/>
          <w:bCs/>
          <w:sz w:val="20"/>
          <w:szCs w:val="20"/>
          <w:rtl/>
        </w:rPr>
        <w:t>ר"ש</w:t>
      </w:r>
      <w:r>
        <w:rPr>
          <w:rFonts w:ascii="Arial" w:hAnsi="Arial" w:cs="Arial" w:hint="cs"/>
          <w:sz w:val="20"/>
          <w:szCs w:val="20"/>
          <w:rtl/>
        </w:rPr>
        <w:t xml:space="preserve"> - </w:t>
      </w:r>
      <w:r>
        <w:rPr>
          <w:rFonts w:ascii="Arial" w:hAnsi="Arial" w:cs="Arial"/>
          <w:sz w:val="20"/>
          <w:szCs w:val="20"/>
          <w:rtl/>
        </w:rPr>
        <w:br/>
      </w:r>
      <w:r>
        <w:rPr>
          <w:rFonts w:ascii="Arial" w:hAnsi="Arial" w:cs="Arial" w:hint="cs"/>
          <w:sz w:val="20"/>
          <w:szCs w:val="20"/>
          <w:rtl/>
        </w:rPr>
        <w:t>א. מדובר בשפחה נשואה ומקפדת כדי שלא תתגנה על בעלה.</w:t>
      </w:r>
      <w:r>
        <w:rPr>
          <w:rFonts w:ascii="Arial" w:hAnsi="Arial" w:cs="Arial"/>
          <w:sz w:val="20"/>
          <w:szCs w:val="20"/>
          <w:rtl/>
        </w:rPr>
        <w:br/>
      </w:r>
      <w:r>
        <w:rPr>
          <w:rFonts w:ascii="Arial" w:hAnsi="Arial" w:cs="Arial" w:hint="cs"/>
          <w:sz w:val="20"/>
          <w:szCs w:val="20"/>
          <w:rtl/>
        </w:rPr>
        <w:t>ב. כולי עלמא מקפידים על חציצה בשיניים.</w:t>
      </w:r>
      <w:r>
        <w:rPr>
          <w:rFonts w:ascii="Arial" w:hAnsi="Arial" w:cs="Arial"/>
          <w:sz w:val="20"/>
          <w:szCs w:val="20"/>
          <w:rtl/>
        </w:rPr>
        <w:br/>
      </w:r>
    </w:p>
    <w:p w:rsidR="00620060" w:rsidRDefault="00620060" w:rsidP="00620060">
      <w:pPr>
        <w:spacing w:after="0"/>
        <w:rPr>
          <w:rFonts w:ascii="Arial" w:hAnsi="Arial" w:cs="Arial"/>
          <w:sz w:val="20"/>
          <w:szCs w:val="20"/>
          <w:rtl/>
        </w:rPr>
      </w:pPr>
      <w:r>
        <w:rPr>
          <w:rFonts w:ascii="Arial" w:hAnsi="Arial" w:cs="Arial" w:hint="cs"/>
          <w:b/>
          <w:bCs/>
          <w:sz w:val="20"/>
          <w:szCs w:val="20"/>
          <w:rtl/>
        </w:rPr>
        <w:t>פסיקת הלכה</w:t>
      </w:r>
      <w:r>
        <w:rPr>
          <w:rFonts w:ascii="Arial" w:hAnsi="Arial" w:cs="Arial"/>
          <w:b/>
          <w:bCs/>
          <w:sz w:val="20"/>
          <w:szCs w:val="20"/>
          <w:rtl/>
        </w:rPr>
        <w:br/>
      </w:r>
      <w:r>
        <w:rPr>
          <w:rFonts w:ascii="Arial" w:hAnsi="Arial" w:cs="Arial" w:hint="cs"/>
          <w:b/>
          <w:bCs/>
          <w:sz w:val="20"/>
          <w:szCs w:val="20"/>
          <w:rtl/>
        </w:rPr>
        <w:t xml:space="preserve">שולחן ערוך </w:t>
      </w:r>
      <w:r>
        <w:rPr>
          <w:rFonts w:ascii="Arial" w:hAnsi="Arial" w:cs="Arial"/>
          <w:sz w:val="20"/>
          <w:szCs w:val="20"/>
          <w:rtl/>
        </w:rPr>
        <w:t>–</w:t>
      </w:r>
      <w:r>
        <w:rPr>
          <w:rFonts w:ascii="Arial" w:hAnsi="Arial" w:cs="Arial" w:hint="cs"/>
          <w:sz w:val="20"/>
          <w:szCs w:val="20"/>
          <w:rtl/>
        </w:rPr>
        <w:t xml:space="preserve"> "</w:t>
      </w:r>
      <w:r w:rsidRPr="0037104A">
        <w:rPr>
          <w:rFonts w:ascii="Arial" w:hAnsi="Arial" w:cs="Arial"/>
          <w:sz w:val="20"/>
          <w:szCs w:val="20"/>
          <w:rtl/>
        </w:rPr>
        <w:t>צריכה לחצוץ שיניה שלא יהא בהם דבר חוצץ, שאם טבלה ונמצא שום דבר דבק בהם לא עלתה לה טבילה.</w:t>
      </w:r>
    </w:p>
    <w:p w:rsidR="00620060" w:rsidRDefault="00620060" w:rsidP="00620060">
      <w:pPr>
        <w:spacing w:after="0"/>
        <w:rPr>
          <w:rFonts w:ascii="Arial" w:hAnsi="Arial" w:cs="Arial"/>
          <w:sz w:val="20"/>
          <w:szCs w:val="20"/>
          <w:rtl/>
        </w:rPr>
      </w:pPr>
    </w:p>
    <w:p w:rsidR="00620060" w:rsidRDefault="00620060" w:rsidP="00620060">
      <w:pPr>
        <w:spacing w:after="0"/>
        <w:rPr>
          <w:rFonts w:ascii="Arial" w:hAnsi="Arial" w:cs="Arial"/>
          <w:sz w:val="20"/>
          <w:szCs w:val="20"/>
          <w:rtl/>
        </w:rPr>
      </w:pPr>
      <w:r>
        <w:rPr>
          <w:rFonts w:ascii="Arial" w:hAnsi="Arial" w:cs="Arial" w:hint="cs"/>
          <w:sz w:val="20"/>
          <w:szCs w:val="20"/>
          <w:u w:val="single"/>
          <w:rtl/>
        </w:rPr>
        <w:t>האם ניקוי השיניים הוא חובה גמורה?</w:t>
      </w:r>
      <w:r>
        <w:rPr>
          <w:rFonts w:ascii="Arial" w:hAnsi="Arial" w:cs="Arial" w:hint="cs"/>
          <w:sz w:val="20"/>
          <w:szCs w:val="20"/>
          <w:u w:val="single"/>
          <w:rtl/>
        </w:rPr>
        <w:br/>
      </w:r>
      <w:r>
        <w:rPr>
          <w:rFonts w:ascii="Arial" w:hAnsi="Arial" w:cs="Arial" w:hint="cs"/>
          <w:sz w:val="20"/>
          <w:szCs w:val="20"/>
          <w:rtl/>
        </w:rPr>
        <w:t xml:space="preserve">נחלקו האחרונים האם ניקיון השיניים לפני הטבילה הוא חובה גמורה - </w:t>
      </w:r>
      <w:r>
        <w:rPr>
          <w:rFonts w:ascii="Arial" w:hAnsi="Arial" w:cs="Arial"/>
          <w:sz w:val="20"/>
          <w:szCs w:val="20"/>
          <w:rtl/>
        </w:rPr>
        <w:br/>
      </w:r>
      <w:r>
        <w:rPr>
          <w:rFonts w:ascii="Arial" w:hAnsi="Arial" w:cs="Arial" w:hint="cs"/>
          <w:sz w:val="20"/>
          <w:szCs w:val="20"/>
          <w:rtl/>
        </w:rPr>
        <w:t xml:space="preserve">א. </w:t>
      </w:r>
      <w:r w:rsidRPr="00652F22">
        <w:rPr>
          <w:rFonts w:ascii="Arial" w:hAnsi="Arial" w:cs="Arial" w:hint="cs"/>
          <w:b/>
          <w:bCs/>
          <w:sz w:val="20"/>
          <w:szCs w:val="20"/>
          <w:rtl/>
        </w:rPr>
        <w:t>ב"ח</w:t>
      </w:r>
      <w:r>
        <w:rPr>
          <w:rFonts w:ascii="Arial" w:hAnsi="Arial" w:cs="Arial" w:hint="cs"/>
          <w:sz w:val="20"/>
          <w:szCs w:val="20"/>
          <w:rtl/>
        </w:rPr>
        <w:t xml:space="preserve"> </w:t>
      </w:r>
      <w:r>
        <w:rPr>
          <w:rFonts w:ascii="Arial" w:hAnsi="Arial" w:cs="Arial"/>
          <w:sz w:val="20"/>
          <w:szCs w:val="20"/>
          <w:rtl/>
        </w:rPr>
        <w:t>–</w:t>
      </w:r>
      <w:r>
        <w:rPr>
          <w:rFonts w:ascii="Arial" w:hAnsi="Arial" w:cs="Arial" w:hint="cs"/>
          <w:sz w:val="20"/>
          <w:szCs w:val="20"/>
          <w:rtl/>
        </w:rPr>
        <w:t xml:space="preserve"> אינו חובה גמורה, אלא לטובתה, שאם תמצא אחר כך דבר חוצץ תדע שהוא הגיע לאחר הטבילה.</w:t>
      </w:r>
      <w:r>
        <w:rPr>
          <w:rFonts w:ascii="Arial" w:hAnsi="Arial" w:cs="Arial"/>
          <w:sz w:val="20"/>
          <w:szCs w:val="20"/>
          <w:rtl/>
        </w:rPr>
        <w:br/>
      </w:r>
      <w:r>
        <w:rPr>
          <w:rFonts w:ascii="Arial" w:hAnsi="Arial" w:cs="Arial" w:hint="cs"/>
          <w:sz w:val="20"/>
          <w:szCs w:val="20"/>
          <w:rtl/>
        </w:rPr>
        <w:t xml:space="preserve">ב. </w:t>
      </w:r>
      <w:r w:rsidRPr="00285B37">
        <w:rPr>
          <w:rFonts w:ascii="Arial" w:hAnsi="Arial" w:cs="Arial" w:hint="cs"/>
          <w:b/>
          <w:bCs/>
          <w:sz w:val="20"/>
          <w:szCs w:val="20"/>
          <w:rtl/>
        </w:rPr>
        <w:t>ש"ך</w:t>
      </w:r>
      <w:r>
        <w:rPr>
          <w:rFonts w:ascii="Arial" w:hAnsi="Arial" w:cs="Arial" w:hint="cs"/>
          <w:sz w:val="20"/>
          <w:szCs w:val="20"/>
          <w:rtl/>
        </w:rPr>
        <w:t xml:space="preserve"> </w:t>
      </w:r>
      <w:r>
        <w:rPr>
          <w:rFonts w:ascii="Arial" w:hAnsi="Arial" w:cs="Arial"/>
          <w:sz w:val="20"/>
          <w:szCs w:val="20"/>
          <w:rtl/>
        </w:rPr>
        <w:t>–</w:t>
      </w:r>
      <w:r>
        <w:rPr>
          <w:rFonts w:ascii="Arial" w:hAnsi="Arial" w:cs="Arial" w:hint="cs"/>
          <w:sz w:val="20"/>
          <w:szCs w:val="20"/>
          <w:rtl/>
        </w:rPr>
        <w:t xml:space="preserve"> זו חובה גמורה, כיוון שאם לא תעשה כן, ייתכן שטבלה בשעה שהיתה חציצה בין שיניה, אך היא לא תדע זאת לעולם משום שאין חובה לבדוק את השיניים לאחר הטבילה, ועיין הערה.</w:t>
      </w:r>
      <w:r>
        <w:rPr>
          <w:rStyle w:val="a5"/>
          <w:rFonts w:ascii="Arial" w:hAnsi="Arial" w:cs="Arial"/>
          <w:sz w:val="20"/>
          <w:szCs w:val="20"/>
          <w:rtl/>
        </w:rPr>
        <w:footnoteReference w:id="651"/>
      </w:r>
      <w:r>
        <w:rPr>
          <w:rFonts w:ascii="Arial" w:hAnsi="Arial" w:cs="Arial" w:hint="cs"/>
          <w:sz w:val="20"/>
          <w:szCs w:val="20"/>
          <w:rtl/>
        </w:rPr>
        <w:br/>
        <w:t>ולמעשה יש לפסוק כש"ך, שישנו חיוב לבדוק.</w:t>
      </w:r>
      <w:r>
        <w:rPr>
          <w:rFonts w:ascii="Arial" w:hAnsi="Arial" w:cs="Arial"/>
          <w:sz w:val="20"/>
          <w:szCs w:val="20"/>
          <w:rtl/>
        </w:rPr>
        <w:br/>
      </w:r>
    </w:p>
    <w:p w:rsidR="00620060" w:rsidRDefault="00620060" w:rsidP="00620060">
      <w:pPr>
        <w:spacing w:after="0"/>
        <w:rPr>
          <w:rFonts w:ascii="Arial" w:hAnsi="Arial" w:cs="Arial"/>
          <w:sz w:val="20"/>
          <w:szCs w:val="20"/>
          <w:rtl/>
        </w:rPr>
      </w:pPr>
      <w:r>
        <w:rPr>
          <w:rFonts w:ascii="Arial" w:hAnsi="Arial" w:cs="Arial" w:hint="cs"/>
          <w:b/>
          <w:bCs/>
          <w:sz w:val="20"/>
          <w:szCs w:val="20"/>
          <w:rtl/>
        </w:rPr>
        <w:lastRenderedPageBreak/>
        <w:t>מנהגי הנשים באכילה ביום הטבילה</w:t>
      </w:r>
      <w:r>
        <w:rPr>
          <w:rFonts w:ascii="Arial" w:hAnsi="Arial" w:cs="Arial"/>
          <w:b/>
          <w:bCs/>
          <w:sz w:val="20"/>
          <w:szCs w:val="20"/>
          <w:rtl/>
        </w:rPr>
        <w:br/>
      </w:r>
      <w:r>
        <w:rPr>
          <w:rFonts w:ascii="Arial" w:hAnsi="Arial" w:cs="Arial" w:hint="cs"/>
          <w:sz w:val="20"/>
          <w:szCs w:val="20"/>
          <w:rtl/>
        </w:rPr>
        <w:t xml:space="preserve">א. </w:t>
      </w:r>
      <w:r w:rsidRPr="0037104A">
        <w:rPr>
          <w:rFonts w:ascii="Arial" w:hAnsi="Arial" w:cs="Arial" w:hint="cs"/>
          <w:b/>
          <w:bCs/>
          <w:sz w:val="20"/>
          <w:szCs w:val="20"/>
          <w:rtl/>
        </w:rPr>
        <w:t>שולחן ערוך</w:t>
      </w:r>
      <w:r>
        <w:rPr>
          <w:rFonts w:ascii="Arial" w:hAnsi="Arial" w:cs="Arial" w:hint="cs"/>
          <w:sz w:val="20"/>
          <w:szCs w:val="20"/>
          <w:rtl/>
        </w:rPr>
        <w:t xml:space="preserve"> </w:t>
      </w:r>
      <w:r>
        <w:rPr>
          <w:rFonts w:ascii="Arial" w:hAnsi="Arial" w:cs="Arial"/>
          <w:sz w:val="20"/>
          <w:szCs w:val="20"/>
          <w:rtl/>
        </w:rPr>
        <w:t>–</w:t>
      </w:r>
      <w:r>
        <w:rPr>
          <w:rFonts w:ascii="Arial" w:hAnsi="Arial" w:cs="Arial" w:hint="cs"/>
          <w:sz w:val="20"/>
          <w:szCs w:val="20"/>
          <w:rtl/>
        </w:rPr>
        <w:t xml:space="preserve"> "</w:t>
      </w:r>
      <w:r w:rsidRPr="0037104A">
        <w:rPr>
          <w:rFonts w:ascii="Arial" w:hAnsi="Arial" w:cs="Arial"/>
          <w:sz w:val="20"/>
          <w:szCs w:val="20"/>
          <w:rtl/>
        </w:rPr>
        <w:t>ויש נוהגים שלא לאכול בשר ביום לכתן לבית הטבילה, מפני שהוא נכנס בין השיני</w:t>
      </w:r>
      <w:r>
        <w:rPr>
          <w:rFonts w:ascii="Arial" w:hAnsi="Arial" w:cs="Arial" w:hint="cs"/>
          <w:sz w:val="20"/>
          <w:szCs w:val="20"/>
          <w:rtl/>
        </w:rPr>
        <w:t>י</w:t>
      </w:r>
      <w:r w:rsidRPr="0037104A">
        <w:rPr>
          <w:rFonts w:ascii="Arial" w:hAnsi="Arial" w:cs="Arial"/>
          <w:sz w:val="20"/>
          <w:szCs w:val="20"/>
          <w:rtl/>
        </w:rPr>
        <w:t xml:space="preserve">ם יותר ממאכל אחר; </w:t>
      </w:r>
      <w:r>
        <w:rPr>
          <w:rFonts w:ascii="Arial" w:hAnsi="Arial" w:cs="Arial" w:hint="cs"/>
          <w:sz w:val="20"/>
          <w:szCs w:val="20"/>
          <w:rtl/>
        </w:rPr>
        <w:t>ואע"פ</w:t>
      </w:r>
      <w:r w:rsidRPr="0037104A">
        <w:rPr>
          <w:rFonts w:ascii="Arial" w:hAnsi="Arial" w:cs="Arial"/>
          <w:sz w:val="20"/>
          <w:szCs w:val="20"/>
          <w:rtl/>
        </w:rPr>
        <w:t xml:space="preserve"> שבודקות וחוצצות השיני</w:t>
      </w:r>
      <w:r>
        <w:rPr>
          <w:rFonts w:ascii="Arial" w:hAnsi="Arial" w:cs="Arial" w:hint="cs"/>
          <w:sz w:val="20"/>
          <w:szCs w:val="20"/>
          <w:rtl/>
        </w:rPr>
        <w:t>י</w:t>
      </w:r>
      <w:r w:rsidRPr="0037104A">
        <w:rPr>
          <w:rFonts w:ascii="Arial" w:hAnsi="Arial" w:cs="Arial"/>
          <w:sz w:val="20"/>
          <w:szCs w:val="20"/>
          <w:rtl/>
        </w:rPr>
        <w:t>ם, חוששת דילמא תשתייר מיניה ולאו אדעתה, ומנהג יפה הוא</w:t>
      </w:r>
      <w:r>
        <w:rPr>
          <w:rFonts w:ascii="Arial" w:hAnsi="Arial" w:cs="Arial" w:hint="cs"/>
          <w:sz w:val="20"/>
          <w:szCs w:val="20"/>
          <w:rtl/>
        </w:rPr>
        <w:t>"</w:t>
      </w:r>
      <w:r w:rsidRPr="0037104A">
        <w:rPr>
          <w:rFonts w:ascii="Arial" w:hAnsi="Arial" w:cs="Arial"/>
          <w:sz w:val="20"/>
          <w:szCs w:val="20"/>
          <w:rtl/>
        </w:rPr>
        <w:t xml:space="preserve">. </w:t>
      </w:r>
      <w:r>
        <w:rPr>
          <w:rFonts w:ascii="Arial" w:hAnsi="Arial" w:cs="Arial"/>
          <w:sz w:val="20"/>
          <w:szCs w:val="20"/>
          <w:rtl/>
        </w:rPr>
        <w:br/>
      </w:r>
      <w:r w:rsidRPr="0079668C">
        <w:rPr>
          <w:rFonts w:ascii="Arial" w:hAnsi="Arial" w:cs="Arial" w:hint="cs"/>
          <w:b/>
          <w:bCs/>
          <w:sz w:val="20"/>
          <w:szCs w:val="20"/>
          <w:rtl/>
        </w:rPr>
        <w:t>ט"ז</w:t>
      </w:r>
      <w:r>
        <w:rPr>
          <w:rFonts w:ascii="Arial" w:hAnsi="Arial" w:cs="Arial" w:hint="cs"/>
          <w:sz w:val="20"/>
          <w:szCs w:val="20"/>
          <w:rtl/>
        </w:rPr>
        <w:t xml:space="preserve"> </w:t>
      </w:r>
      <w:r>
        <w:rPr>
          <w:rFonts w:ascii="Arial" w:hAnsi="Arial" w:cs="Arial"/>
          <w:sz w:val="20"/>
          <w:szCs w:val="20"/>
          <w:rtl/>
        </w:rPr>
        <w:t>–</w:t>
      </w:r>
      <w:r>
        <w:rPr>
          <w:rFonts w:ascii="Arial" w:hAnsi="Arial" w:cs="Arial" w:hint="cs"/>
          <w:sz w:val="20"/>
          <w:szCs w:val="20"/>
          <w:rtl/>
        </w:rPr>
        <w:t xml:space="preserve"> פשוט שאם לא נהגה כן אלא אכלה בשר, עלתה לה הטבילה ובלבד שתנקה היטב את שיניה.</w:t>
      </w:r>
      <w:r>
        <w:rPr>
          <w:rFonts w:ascii="Arial" w:hAnsi="Arial" w:cs="Arial"/>
          <w:sz w:val="20"/>
          <w:szCs w:val="20"/>
          <w:rtl/>
        </w:rPr>
        <w:br/>
      </w:r>
      <w:r>
        <w:rPr>
          <w:rFonts w:ascii="Arial" w:hAnsi="Arial" w:cs="Arial" w:hint="cs"/>
          <w:sz w:val="20"/>
          <w:szCs w:val="20"/>
          <w:rtl/>
        </w:rPr>
        <w:t>כמו כן, בשבת ויום טוב אין נמנעים מאכילת בשר, אלא מנקים אחר כך היטב את השיניים.</w:t>
      </w:r>
      <w:r>
        <w:rPr>
          <w:rFonts w:ascii="Arial" w:hAnsi="Arial" w:cs="Arial"/>
          <w:sz w:val="20"/>
          <w:szCs w:val="20"/>
          <w:rtl/>
        </w:rPr>
        <w:br/>
      </w:r>
      <w:r>
        <w:rPr>
          <w:rFonts w:ascii="Arial" w:hAnsi="Arial" w:cs="Arial" w:hint="cs"/>
          <w:sz w:val="20"/>
          <w:szCs w:val="20"/>
          <w:rtl/>
        </w:rPr>
        <w:t>וכן מקלים בחול המועד ובפורים, ורבים מקלים גם בסעודות מצווה. ובתבשיל שנתבשל עם בשר אין להחמיר.</w:t>
      </w:r>
    </w:p>
    <w:p w:rsidR="00620060" w:rsidRDefault="00620060" w:rsidP="00620060">
      <w:pPr>
        <w:spacing w:after="0"/>
        <w:rPr>
          <w:rFonts w:ascii="Arial" w:hAnsi="Arial" w:cs="Arial"/>
          <w:sz w:val="20"/>
          <w:szCs w:val="20"/>
          <w:rtl/>
        </w:rPr>
      </w:pPr>
      <w:r w:rsidRPr="00C93D62">
        <w:rPr>
          <w:rFonts w:ascii="Arial" w:hAnsi="Arial" w:cs="Arial" w:hint="cs"/>
          <w:sz w:val="20"/>
          <w:szCs w:val="20"/>
          <w:rtl/>
        </w:rPr>
        <w:t xml:space="preserve">ב. </w:t>
      </w:r>
      <w:r w:rsidRPr="00C93D62">
        <w:rPr>
          <w:rFonts w:ascii="Arial" w:hAnsi="Arial" w:cs="Arial" w:hint="cs"/>
          <w:b/>
          <w:bCs/>
          <w:sz w:val="20"/>
          <w:szCs w:val="20"/>
          <w:rtl/>
        </w:rPr>
        <w:t>רמ"א</w:t>
      </w:r>
      <w:r w:rsidRPr="00C93D62">
        <w:rPr>
          <w:rFonts w:ascii="Arial" w:hAnsi="Arial" w:cs="Arial" w:hint="cs"/>
          <w:sz w:val="20"/>
          <w:szCs w:val="20"/>
          <w:rtl/>
        </w:rPr>
        <w:t xml:space="preserve"> </w:t>
      </w:r>
      <w:r w:rsidRPr="00C93D62">
        <w:rPr>
          <w:rFonts w:ascii="Arial" w:hAnsi="Arial" w:cs="Arial"/>
          <w:sz w:val="20"/>
          <w:szCs w:val="20"/>
          <w:rtl/>
        </w:rPr>
        <w:t xml:space="preserve">– </w:t>
      </w:r>
      <w:r>
        <w:rPr>
          <w:rFonts w:ascii="Arial" w:hAnsi="Arial" w:cs="Arial" w:hint="cs"/>
          <w:sz w:val="18"/>
          <w:szCs w:val="18"/>
          <w:rtl/>
        </w:rPr>
        <w:t>"</w:t>
      </w:r>
      <w:r w:rsidRPr="0037104A">
        <w:rPr>
          <w:rFonts w:ascii="Arial" w:hAnsi="Arial" w:cs="Arial"/>
          <w:sz w:val="18"/>
          <w:szCs w:val="18"/>
          <w:rtl/>
        </w:rPr>
        <w:t>ואין לה לאכ</w:t>
      </w:r>
      <w:r>
        <w:rPr>
          <w:rFonts w:ascii="Arial" w:hAnsi="Arial" w:cs="Arial"/>
          <w:sz w:val="18"/>
          <w:szCs w:val="18"/>
          <w:rtl/>
        </w:rPr>
        <w:t>ול בין הרחיצה לטבילה</w:t>
      </w:r>
      <w:r>
        <w:rPr>
          <w:rStyle w:val="a5"/>
          <w:rFonts w:ascii="Arial" w:hAnsi="Arial" w:cs="Arial"/>
          <w:sz w:val="18"/>
          <w:szCs w:val="18"/>
          <w:rtl/>
        </w:rPr>
        <w:footnoteReference w:id="652"/>
      </w:r>
      <w:r>
        <w:rPr>
          <w:rFonts w:ascii="Arial" w:hAnsi="Arial" w:cs="Arial" w:hint="cs"/>
          <w:sz w:val="18"/>
          <w:szCs w:val="18"/>
          <w:rtl/>
        </w:rPr>
        <w:t xml:space="preserve"> (רא"ש)</w:t>
      </w:r>
      <w:r w:rsidRPr="0037104A">
        <w:rPr>
          <w:rFonts w:ascii="Arial" w:hAnsi="Arial" w:cs="Arial"/>
          <w:sz w:val="18"/>
          <w:szCs w:val="18"/>
          <w:rtl/>
        </w:rPr>
        <w:t xml:space="preserve">; </w:t>
      </w:r>
      <w:r>
        <w:rPr>
          <w:rFonts w:ascii="Arial" w:hAnsi="Arial" w:cs="Arial" w:hint="cs"/>
          <w:sz w:val="18"/>
          <w:szCs w:val="18"/>
          <w:rtl/>
        </w:rPr>
        <w:br/>
      </w:r>
      <w:r w:rsidRPr="00C93D62">
        <w:rPr>
          <w:rFonts w:ascii="Arial" w:hAnsi="Arial" w:cs="Arial" w:hint="cs"/>
          <w:sz w:val="20"/>
          <w:szCs w:val="20"/>
          <w:rtl/>
        </w:rPr>
        <w:t xml:space="preserve">ג. </w:t>
      </w:r>
      <w:r w:rsidRPr="0037104A">
        <w:rPr>
          <w:rFonts w:ascii="Arial" w:hAnsi="Arial" w:cs="Arial"/>
          <w:sz w:val="18"/>
          <w:szCs w:val="18"/>
          <w:rtl/>
        </w:rPr>
        <w:t>ואין לה לעסוק כל היום קודם הטבילה בבצק</w:t>
      </w:r>
      <w:r>
        <w:rPr>
          <w:rFonts w:ascii="Arial" w:hAnsi="Arial" w:cs="Arial"/>
          <w:sz w:val="18"/>
          <w:szCs w:val="18"/>
          <w:rtl/>
        </w:rPr>
        <w:t xml:space="preserve"> או בנרות של שעו</w:t>
      </w:r>
      <w:r>
        <w:rPr>
          <w:rFonts w:ascii="Arial" w:hAnsi="Arial" w:cs="Arial" w:hint="cs"/>
          <w:sz w:val="18"/>
          <w:szCs w:val="18"/>
          <w:rtl/>
        </w:rPr>
        <w:t>ו</w:t>
      </w:r>
      <w:r>
        <w:rPr>
          <w:rFonts w:ascii="Arial" w:hAnsi="Arial" w:cs="Arial"/>
          <w:sz w:val="18"/>
          <w:szCs w:val="18"/>
          <w:rtl/>
        </w:rPr>
        <w:t>ה, שלא ידבק בה</w:t>
      </w:r>
      <w:r w:rsidRPr="0037104A">
        <w:rPr>
          <w:rFonts w:ascii="Arial" w:hAnsi="Arial" w:cs="Arial"/>
          <w:sz w:val="18"/>
          <w:szCs w:val="18"/>
          <w:rtl/>
        </w:rPr>
        <w:t>, וכן נהגו</w:t>
      </w:r>
      <w:r>
        <w:rPr>
          <w:rFonts w:ascii="Arial" w:hAnsi="Arial" w:cs="Arial" w:hint="cs"/>
          <w:sz w:val="18"/>
          <w:szCs w:val="18"/>
          <w:rtl/>
        </w:rPr>
        <w:t xml:space="preserve"> (שערי דורא)"</w:t>
      </w:r>
      <w:r w:rsidRPr="0037104A">
        <w:rPr>
          <w:rFonts w:ascii="Arial" w:hAnsi="Arial" w:cs="Arial"/>
          <w:sz w:val="18"/>
          <w:szCs w:val="18"/>
          <w:rtl/>
        </w:rPr>
        <w:t>.</w:t>
      </w:r>
    </w:p>
    <w:p w:rsidR="00620060" w:rsidRPr="006F398A" w:rsidRDefault="00620060" w:rsidP="00620060">
      <w:pPr>
        <w:spacing w:after="0"/>
        <w:rPr>
          <w:rFonts w:ascii="Arial" w:hAnsi="Arial" w:cs="Arial"/>
          <w:sz w:val="20"/>
          <w:szCs w:val="20"/>
          <w:rtl/>
        </w:rPr>
      </w:pPr>
    </w:p>
    <w:p w:rsidR="00620060" w:rsidRDefault="00620060" w:rsidP="00620060">
      <w:pPr>
        <w:rPr>
          <w:sz w:val="20"/>
          <w:szCs w:val="20"/>
          <w:rtl/>
        </w:rPr>
      </w:pPr>
      <w:r w:rsidRPr="00C93D62">
        <w:rPr>
          <w:rFonts w:hint="cs"/>
          <w:b/>
          <w:bCs/>
          <w:sz w:val="20"/>
          <w:szCs w:val="20"/>
          <w:rtl/>
        </w:rPr>
        <w:t>סיכום</w:t>
      </w:r>
      <w:r>
        <w:rPr>
          <w:sz w:val="20"/>
          <w:szCs w:val="20"/>
          <w:rtl/>
        </w:rPr>
        <w:br/>
      </w:r>
      <w:r>
        <w:rPr>
          <w:rFonts w:hint="cs"/>
          <w:sz w:val="20"/>
          <w:szCs w:val="20"/>
          <w:rtl/>
        </w:rPr>
        <w:t xml:space="preserve">1. </w:t>
      </w:r>
      <w:r w:rsidRPr="00C93D62">
        <w:rPr>
          <w:rFonts w:hint="cs"/>
          <w:b/>
          <w:bCs/>
          <w:sz w:val="20"/>
          <w:szCs w:val="20"/>
          <w:rtl/>
        </w:rPr>
        <w:t>גמרא</w:t>
      </w:r>
      <w:r>
        <w:rPr>
          <w:rFonts w:hint="cs"/>
          <w:sz w:val="20"/>
          <w:szCs w:val="20"/>
          <w:rtl/>
        </w:rPr>
        <w:t xml:space="preserve">. עצם בשיניים חוצצת. אע"פ שבית הסתרים אינו טעון מים, צריך להיות ראוי לביאת מים. </w:t>
      </w:r>
      <w:r>
        <w:rPr>
          <w:sz w:val="20"/>
          <w:szCs w:val="20"/>
          <w:rtl/>
        </w:rPr>
        <w:br/>
      </w:r>
      <w:r w:rsidRPr="00C93D62">
        <w:rPr>
          <w:rFonts w:hint="cs"/>
          <w:b/>
          <w:bCs/>
          <w:sz w:val="20"/>
          <w:szCs w:val="20"/>
          <w:rtl/>
        </w:rPr>
        <w:t>סמ"ג</w:t>
      </w:r>
      <w:r>
        <w:rPr>
          <w:rFonts w:hint="cs"/>
          <w:sz w:val="20"/>
          <w:szCs w:val="20"/>
          <w:rtl/>
        </w:rPr>
        <w:t xml:space="preserve">. הוא הדין לכל דבר בין השיניים שחוצץ. </w:t>
      </w:r>
      <w:r>
        <w:rPr>
          <w:sz w:val="20"/>
          <w:szCs w:val="20"/>
          <w:rtl/>
        </w:rPr>
        <w:br/>
      </w:r>
      <w:r>
        <w:rPr>
          <w:rFonts w:hint="cs"/>
          <w:sz w:val="20"/>
          <w:szCs w:val="20"/>
          <w:rtl/>
        </w:rPr>
        <w:t>2</w:t>
      </w:r>
      <w:r w:rsidRPr="00F14B45">
        <w:rPr>
          <w:rFonts w:hint="cs"/>
          <w:sz w:val="20"/>
          <w:szCs w:val="20"/>
          <w:rtl/>
        </w:rPr>
        <w:t>. מדוע אינ</w:t>
      </w:r>
      <w:r>
        <w:rPr>
          <w:rFonts w:hint="cs"/>
          <w:sz w:val="20"/>
          <w:szCs w:val="20"/>
          <w:rtl/>
        </w:rPr>
        <w:t>ן החציצה</w:t>
      </w:r>
      <w:r w:rsidRPr="00F14B45">
        <w:rPr>
          <w:rFonts w:hint="cs"/>
          <w:sz w:val="20"/>
          <w:szCs w:val="20"/>
          <w:rtl/>
        </w:rPr>
        <w:t xml:space="preserve"> בטלה</w:t>
      </w:r>
      <w:r>
        <w:rPr>
          <w:rFonts w:hint="cs"/>
          <w:sz w:val="20"/>
          <w:szCs w:val="20"/>
          <w:rtl/>
        </w:rPr>
        <w:t xml:space="preserve"> מדין מיעוטו שאין מקפיד</w:t>
      </w:r>
      <w:r w:rsidRPr="00F14B45">
        <w:rPr>
          <w:rFonts w:hint="cs"/>
          <w:sz w:val="20"/>
          <w:szCs w:val="20"/>
          <w:rtl/>
        </w:rPr>
        <w:t xml:space="preserve">? </w:t>
      </w:r>
      <w:r w:rsidRPr="00F14B45">
        <w:rPr>
          <w:rFonts w:hint="cs"/>
          <w:b/>
          <w:bCs/>
          <w:sz w:val="20"/>
          <w:szCs w:val="20"/>
          <w:rtl/>
        </w:rPr>
        <w:t>ר"ש</w:t>
      </w:r>
      <w:r w:rsidRPr="00F14B45">
        <w:rPr>
          <w:rFonts w:hint="cs"/>
          <w:sz w:val="20"/>
          <w:szCs w:val="20"/>
          <w:rtl/>
        </w:rPr>
        <w:t>. א. נשואה מקפידה. ב. כו"ע מקפידים.</w:t>
      </w:r>
      <w:r w:rsidRPr="00F14B45">
        <w:rPr>
          <w:sz w:val="20"/>
          <w:szCs w:val="20"/>
          <w:rtl/>
        </w:rPr>
        <w:br/>
      </w:r>
      <w:r w:rsidRPr="00F14B45">
        <w:rPr>
          <w:rFonts w:hint="cs"/>
          <w:sz w:val="20"/>
          <w:szCs w:val="20"/>
          <w:rtl/>
        </w:rPr>
        <w:t xml:space="preserve">3. </w:t>
      </w:r>
      <w:r w:rsidRPr="00F14B45">
        <w:rPr>
          <w:rFonts w:hint="cs"/>
          <w:b/>
          <w:bCs/>
          <w:sz w:val="20"/>
          <w:szCs w:val="20"/>
          <w:rtl/>
        </w:rPr>
        <w:t>רא"ש</w:t>
      </w:r>
      <w:r w:rsidRPr="00F14B45">
        <w:rPr>
          <w:rFonts w:hint="cs"/>
          <w:sz w:val="20"/>
          <w:szCs w:val="20"/>
          <w:rtl/>
        </w:rPr>
        <w:t xml:space="preserve">. צריכה לנקות בין שיניה לפני </w:t>
      </w:r>
      <w:r>
        <w:rPr>
          <w:rFonts w:hint="cs"/>
          <w:sz w:val="20"/>
          <w:szCs w:val="20"/>
          <w:rtl/>
        </w:rPr>
        <w:t>ה</w:t>
      </w:r>
      <w:r w:rsidRPr="00F14B45">
        <w:rPr>
          <w:rFonts w:hint="cs"/>
          <w:sz w:val="20"/>
          <w:szCs w:val="20"/>
          <w:rtl/>
        </w:rPr>
        <w:t xml:space="preserve">טבילה, וכ"פ </w:t>
      </w:r>
      <w:r w:rsidRPr="00F14B45">
        <w:rPr>
          <w:rFonts w:hint="cs"/>
          <w:b/>
          <w:bCs/>
          <w:sz w:val="20"/>
          <w:szCs w:val="20"/>
          <w:rtl/>
        </w:rPr>
        <w:t>המחבר</w:t>
      </w:r>
      <w:r w:rsidRPr="00F14B45">
        <w:rPr>
          <w:rFonts w:hint="cs"/>
          <w:sz w:val="20"/>
          <w:szCs w:val="20"/>
          <w:rtl/>
        </w:rPr>
        <w:t xml:space="preserve">. </w:t>
      </w:r>
      <w:r w:rsidRPr="00F14B45">
        <w:rPr>
          <w:rFonts w:hint="cs"/>
          <w:b/>
          <w:bCs/>
          <w:sz w:val="20"/>
          <w:szCs w:val="20"/>
          <w:rtl/>
        </w:rPr>
        <w:t>ב"ח</w:t>
      </w:r>
      <w:r w:rsidRPr="00F14B45">
        <w:rPr>
          <w:rFonts w:hint="cs"/>
          <w:sz w:val="20"/>
          <w:szCs w:val="20"/>
          <w:rtl/>
        </w:rPr>
        <w:t xml:space="preserve">. אינו חובה אלא עצה טובה שלא </w:t>
      </w:r>
      <w:r>
        <w:rPr>
          <w:rFonts w:hint="cs"/>
          <w:sz w:val="20"/>
          <w:szCs w:val="20"/>
          <w:rtl/>
        </w:rPr>
        <w:t>תצטרך ל</w:t>
      </w:r>
      <w:r w:rsidRPr="00F14B45">
        <w:rPr>
          <w:rFonts w:hint="cs"/>
          <w:sz w:val="20"/>
          <w:szCs w:val="20"/>
          <w:rtl/>
        </w:rPr>
        <w:t xml:space="preserve">טבול שנית. </w:t>
      </w:r>
      <w:r w:rsidRPr="00F14B45">
        <w:rPr>
          <w:rFonts w:hint="cs"/>
          <w:b/>
          <w:bCs/>
          <w:sz w:val="20"/>
          <w:szCs w:val="20"/>
          <w:rtl/>
        </w:rPr>
        <w:t>ש"ך</w:t>
      </w:r>
      <w:r w:rsidRPr="00F14B45">
        <w:rPr>
          <w:rFonts w:hint="cs"/>
          <w:sz w:val="20"/>
          <w:szCs w:val="20"/>
          <w:rtl/>
        </w:rPr>
        <w:t>. זו חובה גמורה שמא לא תדע שהיתה חציצה וטבילתה פסולה.</w:t>
      </w:r>
      <w:r w:rsidRPr="00F14B45">
        <w:rPr>
          <w:rFonts w:hint="cs"/>
          <w:sz w:val="20"/>
          <w:szCs w:val="20"/>
          <w:rtl/>
        </w:rPr>
        <w:br/>
        <w:t xml:space="preserve">4. מנהגים. </w:t>
      </w:r>
      <w:r w:rsidRPr="00F14B45">
        <w:rPr>
          <w:rFonts w:hint="cs"/>
          <w:b/>
          <w:bCs/>
          <w:sz w:val="20"/>
          <w:szCs w:val="20"/>
          <w:rtl/>
        </w:rPr>
        <w:t>מחבר</w:t>
      </w:r>
      <w:r>
        <w:rPr>
          <w:rFonts w:hint="cs"/>
          <w:sz w:val="20"/>
          <w:szCs w:val="20"/>
          <w:rtl/>
        </w:rPr>
        <w:t xml:space="preserve">. לא אוכלים בשר ביום הטבילה. </w:t>
      </w:r>
      <w:r w:rsidRPr="00C93D62">
        <w:rPr>
          <w:rFonts w:hint="cs"/>
          <w:b/>
          <w:bCs/>
          <w:sz w:val="20"/>
          <w:szCs w:val="20"/>
          <w:rtl/>
        </w:rPr>
        <w:t>ט"ז</w:t>
      </w:r>
      <w:r>
        <w:rPr>
          <w:rFonts w:hint="cs"/>
          <w:sz w:val="20"/>
          <w:szCs w:val="20"/>
          <w:rtl/>
        </w:rPr>
        <w:t xml:space="preserve">. אם אכלה אך ניקתה שיניה עלתה לה טבילה. בשבת ויו"ט נהגו לאכול בשר. </w:t>
      </w:r>
      <w:r w:rsidRPr="00C93D62">
        <w:rPr>
          <w:rFonts w:hint="cs"/>
          <w:b/>
          <w:bCs/>
          <w:sz w:val="20"/>
          <w:szCs w:val="20"/>
          <w:rtl/>
        </w:rPr>
        <w:t>רמ"א</w:t>
      </w:r>
      <w:r>
        <w:rPr>
          <w:rFonts w:hint="cs"/>
          <w:sz w:val="20"/>
          <w:szCs w:val="20"/>
          <w:rtl/>
        </w:rPr>
        <w:t xml:space="preserve">. אין לאכול בין רחצה לטבילה. </w:t>
      </w:r>
      <w:r w:rsidRPr="00C93D62">
        <w:rPr>
          <w:rFonts w:hint="cs"/>
          <w:b/>
          <w:bCs/>
          <w:sz w:val="20"/>
          <w:szCs w:val="20"/>
          <w:rtl/>
        </w:rPr>
        <w:t>רמ"א</w:t>
      </w:r>
      <w:r>
        <w:rPr>
          <w:rFonts w:hint="cs"/>
          <w:sz w:val="20"/>
          <w:szCs w:val="20"/>
          <w:rtl/>
        </w:rPr>
        <w:t xml:space="preserve">. לא תעסוק באותו יום בבצק או שעווה. </w:t>
      </w:r>
    </w:p>
    <w:p w:rsidR="00620060" w:rsidRDefault="00620060" w:rsidP="00620060">
      <w:pPr>
        <w:rPr>
          <w:sz w:val="20"/>
          <w:szCs w:val="20"/>
          <w:rtl/>
        </w:rPr>
      </w:pPr>
      <w:r>
        <w:rPr>
          <w:sz w:val="20"/>
          <w:szCs w:val="20"/>
          <w:rtl/>
        </w:rPr>
        <w:br/>
      </w:r>
      <w:r>
        <w:rPr>
          <w:rFonts w:hint="cs"/>
          <w:b/>
          <w:bCs/>
          <w:sz w:val="20"/>
          <w:szCs w:val="20"/>
          <w:rtl/>
        </w:rPr>
        <w:t xml:space="preserve">סעיף כה </w:t>
      </w:r>
      <w:r>
        <w:rPr>
          <w:b/>
          <w:bCs/>
          <w:sz w:val="20"/>
          <w:szCs w:val="20"/>
          <w:rtl/>
        </w:rPr>
        <w:t>–</w:t>
      </w:r>
      <w:r>
        <w:rPr>
          <w:rFonts w:hint="cs"/>
          <w:b/>
          <w:bCs/>
          <w:sz w:val="20"/>
          <w:szCs w:val="20"/>
          <w:rtl/>
        </w:rPr>
        <w:t xml:space="preserve"> לא בדקה את בית הסתרים לפני טבילה</w:t>
      </w:r>
      <w:r>
        <w:rPr>
          <w:b/>
          <w:b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שולחן ערוך </w:t>
      </w:r>
      <w:r w:rsidRPr="00E63310">
        <w:rPr>
          <w:rFonts w:hint="cs"/>
          <w:sz w:val="18"/>
          <w:szCs w:val="18"/>
          <w:rtl/>
        </w:rPr>
        <w:t xml:space="preserve">(ע"פ </w:t>
      </w:r>
      <w:r w:rsidRPr="00E63310">
        <w:rPr>
          <w:rFonts w:hint="cs"/>
          <w:b/>
          <w:bCs/>
          <w:sz w:val="18"/>
          <w:szCs w:val="18"/>
          <w:rtl/>
        </w:rPr>
        <w:t>הראב"ד</w:t>
      </w:r>
      <w:r w:rsidRPr="00E63310">
        <w:rPr>
          <w:rFonts w:hint="cs"/>
          <w:sz w:val="18"/>
          <w:szCs w:val="18"/>
          <w:rtl/>
        </w:rPr>
        <w:t xml:space="preserve">) </w:t>
      </w:r>
      <w:r>
        <w:rPr>
          <w:sz w:val="20"/>
          <w:szCs w:val="20"/>
          <w:rtl/>
        </w:rPr>
        <w:t>–</w:t>
      </w:r>
      <w:r>
        <w:rPr>
          <w:rFonts w:hint="cs"/>
          <w:sz w:val="20"/>
          <w:szCs w:val="20"/>
          <w:rtl/>
        </w:rPr>
        <w:t xml:space="preserve"> "</w:t>
      </w:r>
      <w:r w:rsidRPr="00E63310">
        <w:rPr>
          <w:rFonts w:cs="Arial"/>
          <w:sz w:val="20"/>
          <w:szCs w:val="20"/>
          <w:rtl/>
        </w:rPr>
        <w:t>אם לא הדיחה בית הסתרים ובית הקמטים</w:t>
      </w:r>
      <w:r>
        <w:rPr>
          <w:rStyle w:val="a5"/>
          <w:rFonts w:cs="Arial"/>
          <w:sz w:val="20"/>
          <w:szCs w:val="20"/>
          <w:rtl/>
        </w:rPr>
        <w:footnoteReference w:id="653"/>
      </w:r>
      <w:r w:rsidRPr="00E63310">
        <w:rPr>
          <w:rFonts w:cs="Arial"/>
          <w:sz w:val="20"/>
          <w:szCs w:val="20"/>
          <w:rtl/>
        </w:rPr>
        <w:t xml:space="preserve"> שלה ונמצא בהם דבר חוצץ, לא עלתה לה טבילה. ואם לא נמצא עליה דבר חוצץ, אף על פי שלא בדקה קודם טבילה עלתה לה טבילה</w:t>
      </w:r>
      <w:r>
        <w:rPr>
          <w:rStyle w:val="a5"/>
          <w:rFonts w:cs="Arial"/>
          <w:sz w:val="20"/>
          <w:szCs w:val="20"/>
          <w:rtl/>
        </w:rPr>
        <w:footnoteReference w:id="654"/>
      </w:r>
      <w:r w:rsidRPr="00E63310">
        <w:rPr>
          <w:rFonts w:cs="Arial"/>
          <w:sz w:val="20"/>
          <w:szCs w:val="20"/>
          <w:rtl/>
        </w:rPr>
        <w:t>; ואי</w:t>
      </w:r>
      <w:r>
        <w:rPr>
          <w:rFonts w:cs="Arial"/>
          <w:sz w:val="20"/>
          <w:szCs w:val="20"/>
          <w:rtl/>
        </w:rPr>
        <w:t>נו דומה לבדיקת הגוף וחפיפת הראש</w:t>
      </w:r>
      <w:r>
        <w:rPr>
          <w:rFonts w:cs="Arial" w:hint="cs"/>
          <w:sz w:val="20"/>
          <w:szCs w:val="20"/>
          <w:rtl/>
        </w:rPr>
        <w:t>".</w:t>
      </w:r>
      <w:r>
        <w:rPr>
          <w:rFonts w:cs="Arial"/>
          <w:sz w:val="20"/>
          <w:szCs w:val="20"/>
          <w:rtl/>
        </w:rPr>
        <w:br/>
      </w:r>
      <w:r w:rsidRPr="00E63310">
        <w:rPr>
          <w:rFonts w:cs="Arial" w:hint="cs"/>
          <w:b/>
          <w:bCs/>
          <w:sz w:val="20"/>
          <w:szCs w:val="20"/>
          <w:rtl/>
        </w:rPr>
        <w:t>בית יוסף</w:t>
      </w:r>
      <w:r>
        <w:rPr>
          <w:rFonts w:cs="Arial" w:hint="cs"/>
          <w:sz w:val="20"/>
          <w:szCs w:val="20"/>
          <w:rtl/>
        </w:rPr>
        <w:t xml:space="preserve"> </w:t>
      </w:r>
      <w:r>
        <w:rPr>
          <w:rFonts w:cs="Arial"/>
          <w:sz w:val="20"/>
          <w:szCs w:val="20"/>
          <w:rtl/>
        </w:rPr>
        <w:t>–</w:t>
      </w:r>
      <w:r>
        <w:rPr>
          <w:rFonts w:cs="Arial" w:hint="cs"/>
          <w:sz w:val="20"/>
          <w:szCs w:val="20"/>
          <w:rtl/>
        </w:rPr>
        <w:t xml:space="preserve"> דין זה נלמד ממעשה דרבי. רבי הצריך אותה טבילה שנייה רק משום שנמצא עצם בין שיניה, הא לאו הכי אינה צריכה טבילה נוספת למרות שלא בדקה בין שיניה לפני כן.</w:t>
      </w:r>
    </w:p>
    <w:p w:rsidR="00620060" w:rsidRDefault="00620060" w:rsidP="00620060">
      <w:pPr>
        <w:rPr>
          <w:sz w:val="20"/>
          <w:szCs w:val="20"/>
          <w:rtl/>
        </w:rPr>
      </w:pPr>
      <w:r>
        <w:rPr>
          <w:rFonts w:hint="cs"/>
          <w:sz w:val="20"/>
          <w:szCs w:val="20"/>
          <w:u w:val="single"/>
          <w:rtl/>
        </w:rPr>
        <w:t>הבדל בין בדיקת הגוף לבדיקת בית הסתרים</w:t>
      </w:r>
      <w:r>
        <w:rPr>
          <w:rFonts w:hint="cs"/>
          <w:sz w:val="20"/>
          <w:szCs w:val="20"/>
          <w:u w:val="single"/>
          <w:rtl/>
        </w:rPr>
        <w:br/>
      </w:r>
      <w:r>
        <w:rPr>
          <w:rFonts w:hint="cs"/>
          <w:sz w:val="20"/>
          <w:szCs w:val="20"/>
          <w:rtl/>
        </w:rPr>
        <w:t>כפי שמובן מהמחבר, אם לא בדקה את הגוף לפני טבילה לא עלתה לה טבילה, מדוע דין בית הסתרים שונה?</w:t>
      </w:r>
      <w:r>
        <w:rPr>
          <w:rFonts w:hint="cs"/>
          <w:sz w:val="20"/>
          <w:szCs w:val="20"/>
          <w:rtl/>
        </w:rPr>
        <w:br/>
        <w:t xml:space="preserve">א. </w:t>
      </w:r>
      <w:r w:rsidRPr="00F3791F">
        <w:rPr>
          <w:rFonts w:hint="cs"/>
          <w:b/>
          <w:bCs/>
          <w:sz w:val="20"/>
          <w:szCs w:val="20"/>
          <w:rtl/>
        </w:rPr>
        <w:t>לבוש</w:t>
      </w:r>
      <w:r>
        <w:rPr>
          <w:rFonts w:hint="cs"/>
          <w:sz w:val="20"/>
          <w:szCs w:val="20"/>
          <w:rtl/>
        </w:rPr>
        <w:t xml:space="preserve"> </w:t>
      </w:r>
      <w:r>
        <w:rPr>
          <w:sz w:val="20"/>
          <w:szCs w:val="20"/>
          <w:rtl/>
        </w:rPr>
        <w:t>–</w:t>
      </w:r>
      <w:r>
        <w:rPr>
          <w:rFonts w:hint="cs"/>
          <w:sz w:val="20"/>
          <w:szCs w:val="20"/>
          <w:rtl/>
        </w:rPr>
        <w:t xml:space="preserve"> בבית הסתרים יש מקום ללכלוך להידבק ולכן אם כעת לאחר הטבילה הוא נקי, מסתמא גם לפני כן היה נקי, משום שאם היה לכלוך הוא היה נשאר דבוק. אך לכלוך שבגופה אינו נדבק וייתכן שנפל ממנה לאחר עלייתה מהמקווה, ולכן אם לא עיינה / ניקתה את גופה לפני הטבילה, אינה טהורה.</w:t>
      </w:r>
      <w:r>
        <w:rPr>
          <w:sz w:val="20"/>
          <w:szCs w:val="20"/>
          <w:rtl/>
        </w:rPr>
        <w:br/>
      </w:r>
      <w:r>
        <w:rPr>
          <w:rFonts w:hint="cs"/>
          <w:sz w:val="20"/>
          <w:szCs w:val="20"/>
          <w:rtl/>
        </w:rPr>
        <w:t xml:space="preserve">ב. </w:t>
      </w:r>
      <w:r w:rsidRPr="00F3791F">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בית הסתרים קל משום שא"צ לבוא במים אלא רק להיות ראוי לביאת מים, ולכן אין מחמירים בו. </w:t>
      </w:r>
    </w:p>
    <w:p w:rsidR="00620060" w:rsidRPr="00F1485D" w:rsidRDefault="00620060" w:rsidP="00620060">
      <w:pPr>
        <w:rPr>
          <w:sz w:val="20"/>
          <w:szCs w:val="20"/>
        </w:rPr>
      </w:pPr>
      <w:r>
        <w:rPr>
          <w:rFonts w:hint="cs"/>
          <w:sz w:val="20"/>
          <w:szCs w:val="20"/>
          <w:u w:val="single"/>
          <w:rtl/>
        </w:rPr>
        <w:t>טבעת שעווה בעומק הפרוזדור (פת"ש)</w:t>
      </w:r>
      <w:r>
        <w:rPr>
          <w:rFonts w:hint="cs"/>
          <w:sz w:val="20"/>
          <w:szCs w:val="20"/>
          <w:u w:val="single"/>
          <w:rtl/>
        </w:rPr>
        <w:br/>
      </w:r>
      <w:r w:rsidRPr="00F1485D">
        <w:rPr>
          <w:rFonts w:hint="cs"/>
          <w:b/>
          <w:bCs/>
          <w:sz w:val="20"/>
          <w:szCs w:val="20"/>
          <w:rtl/>
        </w:rPr>
        <w:t>נודע ביהודה</w:t>
      </w:r>
      <w:r>
        <w:rPr>
          <w:rFonts w:hint="cs"/>
          <w:sz w:val="20"/>
          <w:szCs w:val="20"/>
          <w:rtl/>
        </w:rPr>
        <w:t xml:space="preserve"> </w:t>
      </w:r>
      <w:r>
        <w:rPr>
          <w:sz w:val="20"/>
          <w:szCs w:val="20"/>
          <w:rtl/>
        </w:rPr>
        <w:t>–</w:t>
      </w:r>
      <w:r>
        <w:rPr>
          <w:rFonts w:hint="cs"/>
          <w:sz w:val="20"/>
          <w:szCs w:val="20"/>
          <w:rtl/>
        </w:rPr>
        <w:t xml:space="preserve"> אשה שמחמת צורך רפואי הכניסו טבעת שעווה בפרוזדור, חוצצת משום שמתלכלכת תמיד מדם נידותה ומקפידה עלה. אמנם, אם אומרת שהיא כל כך בעומק עד שאבר התשמיש אינו מגיע אליה בגמר ביאה אינה חוצצת, כיוון שבעומק כל כך אינו נקרא בית הסתרים אלא בלוע ואינו צריך להיות ראוי לביאת מים</w:t>
      </w:r>
      <w:r>
        <w:rPr>
          <w:rStyle w:val="a5"/>
          <w:sz w:val="20"/>
          <w:szCs w:val="20"/>
          <w:rtl/>
        </w:rPr>
        <w:footnoteReference w:id="655"/>
      </w:r>
      <w:r>
        <w:rPr>
          <w:rFonts w:hint="cs"/>
          <w:sz w:val="20"/>
          <w:szCs w:val="20"/>
          <w:rtl/>
        </w:rPr>
        <w:t>.</w:t>
      </w:r>
    </w:p>
    <w:p w:rsidR="00620060" w:rsidRDefault="00620060" w:rsidP="00620060">
      <w:pPr>
        <w:rPr>
          <w:sz w:val="20"/>
          <w:szCs w:val="20"/>
          <w:rtl/>
        </w:rPr>
      </w:pPr>
      <w:r>
        <w:rPr>
          <w:rFonts w:ascii="Arial" w:hAnsi="Arial" w:cs="Arial"/>
          <w:sz w:val="20"/>
          <w:szCs w:val="20"/>
          <w:rtl/>
        </w:rPr>
        <w:br/>
      </w:r>
      <w:r>
        <w:rPr>
          <w:rFonts w:ascii="Arial" w:hAnsi="Arial" w:cs="Arial" w:hint="cs"/>
          <w:b/>
          <w:bCs/>
          <w:sz w:val="20"/>
          <w:szCs w:val="20"/>
          <w:rtl/>
        </w:rPr>
        <w:t xml:space="preserve">סעיף כו </w:t>
      </w:r>
      <w:r>
        <w:rPr>
          <w:rFonts w:ascii="Arial" w:hAnsi="Arial" w:cs="Arial"/>
          <w:b/>
          <w:bCs/>
          <w:sz w:val="20"/>
          <w:szCs w:val="20"/>
          <w:rtl/>
        </w:rPr>
        <w:t>–</w:t>
      </w:r>
      <w:r>
        <w:rPr>
          <w:rFonts w:ascii="Arial" w:hAnsi="Arial" w:cs="Arial" w:hint="cs"/>
          <w:b/>
          <w:bCs/>
          <w:sz w:val="20"/>
          <w:szCs w:val="20"/>
          <w:rtl/>
        </w:rPr>
        <w:t xml:space="preserve"> לא בדקה כנ"ל והתעסקה בדברים חוצצים</w:t>
      </w:r>
      <w:r>
        <w:rPr>
          <w:rFonts w:ascii="Arial" w:hAnsi="Arial" w:cs="Arial"/>
          <w:b/>
          <w:bCs/>
          <w:sz w:val="20"/>
          <w:szCs w:val="20"/>
          <w:rtl/>
        </w:rPr>
        <w:br/>
      </w:r>
      <w:r>
        <w:rPr>
          <w:rFonts w:ascii="Arial" w:hAnsi="Arial" w:cs="Arial" w:hint="cs"/>
          <w:b/>
          <w:bCs/>
          <w:sz w:val="20"/>
          <w:szCs w:val="20"/>
          <w:rtl/>
        </w:rPr>
        <w:t>פסיקת הלכה</w:t>
      </w:r>
      <w:r>
        <w:rPr>
          <w:rFonts w:ascii="Arial" w:hAnsi="Arial" w:cs="Arial"/>
          <w:b/>
          <w:bCs/>
          <w:sz w:val="20"/>
          <w:szCs w:val="20"/>
          <w:rtl/>
        </w:rPr>
        <w:br/>
      </w:r>
      <w:r w:rsidRPr="0030350D">
        <w:rPr>
          <w:rFonts w:ascii="Arial" w:hAnsi="Arial" w:cs="Arial" w:hint="cs"/>
          <w:sz w:val="20"/>
          <w:szCs w:val="20"/>
          <w:rtl/>
        </w:rPr>
        <w:t xml:space="preserve">א. </w:t>
      </w:r>
      <w:r w:rsidRPr="0030350D">
        <w:rPr>
          <w:rFonts w:ascii="Arial" w:hAnsi="Arial" w:cs="Arial" w:hint="cs"/>
          <w:b/>
          <w:bCs/>
          <w:sz w:val="20"/>
          <w:szCs w:val="20"/>
          <w:rtl/>
        </w:rPr>
        <w:t>שולחן ערוך</w:t>
      </w:r>
      <w:r w:rsidRPr="0030350D">
        <w:rPr>
          <w:rFonts w:ascii="Arial" w:hAnsi="Arial" w:cs="Arial" w:hint="cs"/>
          <w:sz w:val="20"/>
          <w:szCs w:val="20"/>
          <w:rtl/>
        </w:rPr>
        <w:t xml:space="preserve"> </w:t>
      </w:r>
      <w:r>
        <w:rPr>
          <w:rFonts w:ascii="Arial" w:hAnsi="Arial" w:cs="Arial"/>
          <w:sz w:val="20"/>
          <w:szCs w:val="20"/>
          <w:rtl/>
        </w:rPr>
        <w:t>–</w:t>
      </w:r>
      <w:r w:rsidRPr="0030350D">
        <w:rPr>
          <w:rFonts w:ascii="Arial" w:hAnsi="Arial" w:cs="Arial" w:hint="cs"/>
          <w:sz w:val="20"/>
          <w:szCs w:val="20"/>
          <w:rtl/>
        </w:rPr>
        <w:t xml:space="preserve"> </w:t>
      </w:r>
      <w:r>
        <w:rPr>
          <w:rFonts w:ascii="Arial" w:hAnsi="Arial" w:cs="Arial" w:hint="cs"/>
          <w:sz w:val="20"/>
          <w:szCs w:val="20"/>
          <w:rtl/>
        </w:rPr>
        <w:t>"</w:t>
      </w:r>
      <w:r w:rsidRPr="0030350D">
        <w:rPr>
          <w:rFonts w:ascii="Arial" w:hAnsi="Arial" w:cs="Arial"/>
          <w:sz w:val="20"/>
          <w:szCs w:val="20"/>
          <w:rtl/>
        </w:rPr>
        <w:t>אם לא בדקה קודם טבילה בין שיניה ולא בית הסתרים שלה, ואחר טבילה נמי לא בדקה עד שנתעסקה בכתמים ובתבשילין, ואחר כך בדקה ומצאה עצם בין שיניה או דבר חוצץ בין סתריה, תלינן לקולא ואמרינן דבתר טבילה עיילי בה</w:t>
      </w:r>
      <w:r>
        <w:rPr>
          <w:rFonts w:ascii="Arial" w:hAnsi="Arial" w:cs="Arial" w:hint="cs"/>
          <w:sz w:val="20"/>
          <w:szCs w:val="20"/>
          <w:rtl/>
        </w:rPr>
        <w:t>"</w:t>
      </w:r>
      <w:r w:rsidRPr="0030350D">
        <w:rPr>
          <w:rFonts w:ascii="Arial" w:hAnsi="Arial" w:cs="Arial"/>
          <w:sz w:val="20"/>
          <w:szCs w:val="20"/>
          <w:rtl/>
        </w:rPr>
        <w:t>.</w:t>
      </w:r>
      <w:r w:rsidRPr="0030350D">
        <w:rPr>
          <w:rFonts w:ascii="Arial" w:hAnsi="Arial" w:cs="Arial" w:hint="cs"/>
          <w:sz w:val="20"/>
          <w:szCs w:val="20"/>
          <w:rtl/>
        </w:rPr>
        <w:br/>
      </w:r>
      <w:r w:rsidRPr="0030350D">
        <w:rPr>
          <w:rFonts w:ascii="Arial" w:hAnsi="Arial" w:cs="Arial" w:hint="cs"/>
          <w:sz w:val="20"/>
          <w:szCs w:val="20"/>
          <w:rtl/>
        </w:rPr>
        <w:lastRenderedPageBreak/>
        <w:t xml:space="preserve">ב. </w:t>
      </w:r>
      <w:r w:rsidRPr="0030350D">
        <w:rPr>
          <w:rFonts w:ascii="Arial" w:hAnsi="Arial" w:cs="Arial" w:hint="cs"/>
          <w:b/>
          <w:bCs/>
          <w:sz w:val="20"/>
          <w:szCs w:val="20"/>
          <w:rtl/>
        </w:rPr>
        <w:t>רוקח</w:t>
      </w:r>
      <w:r w:rsidRPr="0030350D">
        <w:rPr>
          <w:rFonts w:ascii="Arial" w:hAnsi="Arial" w:cs="Arial" w:hint="cs"/>
          <w:sz w:val="20"/>
          <w:szCs w:val="20"/>
          <w:rtl/>
        </w:rPr>
        <w:t xml:space="preserve"> </w:t>
      </w:r>
      <w:r w:rsidRPr="0030350D">
        <w:rPr>
          <w:rFonts w:ascii="Arial" w:hAnsi="Arial" w:cs="Arial"/>
          <w:sz w:val="20"/>
          <w:szCs w:val="20"/>
          <w:rtl/>
        </w:rPr>
        <w:t>–</w:t>
      </w:r>
      <w:r w:rsidRPr="0030350D">
        <w:rPr>
          <w:rFonts w:ascii="Arial" w:hAnsi="Arial" w:cs="Arial" w:hint="cs"/>
          <w:sz w:val="20"/>
          <w:szCs w:val="20"/>
          <w:rtl/>
        </w:rPr>
        <w:t xml:space="preserve"> לא עלתה לה טבילה, וכ"פ </w:t>
      </w:r>
      <w:r w:rsidRPr="0030350D">
        <w:rPr>
          <w:rFonts w:ascii="Arial" w:hAnsi="Arial" w:cs="Arial" w:hint="cs"/>
          <w:b/>
          <w:bCs/>
          <w:sz w:val="20"/>
          <w:szCs w:val="20"/>
          <w:rtl/>
        </w:rPr>
        <w:t>הש"ך</w:t>
      </w:r>
      <w:r w:rsidRPr="0030350D">
        <w:rPr>
          <w:rFonts w:ascii="Arial" w:hAnsi="Arial" w:cs="Arial" w:hint="cs"/>
          <w:sz w:val="20"/>
          <w:szCs w:val="20"/>
          <w:rtl/>
        </w:rPr>
        <w:t>.</w:t>
      </w:r>
      <w:r>
        <w:rPr>
          <w:rFonts w:ascii="Arial" w:hAnsi="Arial" w:cs="Arial" w:hint="cs"/>
          <w:sz w:val="20"/>
          <w:szCs w:val="20"/>
          <w:rtl/>
        </w:rPr>
        <w:br/>
      </w:r>
      <w:r>
        <w:rPr>
          <w:rFonts w:ascii="Arial" w:hAnsi="Arial" w:cs="Arial" w:hint="cs"/>
          <w:b/>
          <w:bCs/>
          <w:sz w:val="20"/>
          <w:szCs w:val="20"/>
          <w:rtl/>
        </w:rPr>
        <w:br/>
      </w:r>
      <w:r w:rsidRPr="006A737F">
        <w:rPr>
          <w:rFonts w:hint="cs"/>
          <w:b/>
          <w:bCs/>
          <w:sz w:val="20"/>
          <w:szCs w:val="20"/>
          <w:rtl/>
        </w:rPr>
        <w:t>סיכום</w:t>
      </w:r>
      <w:r>
        <w:rPr>
          <w:rFonts w:hint="cs"/>
          <w:sz w:val="20"/>
          <w:szCs w:val="20"/>
          <w:rtl/>
        </w:rPr>
        <w:t xml:space="preserve"> </w:t>
      </w:r>
      <w:r w:rsidRPr="00C82323">
        <w:rPr>
          <w:rFonts w:hint="cs"/>
          <w:sz w:val="18"/>
          <w:szCs w:val="18"/>
          <w:rtl/>
        </w:rPr>
        <w:t>(מסעיף כה)</w:t>
      </w:r>
      <w:r>
        <w:rPr>
          <w:sz w:val="20"/>
          <w:szCs w:val="20"/>
          <w:rtl/>
        </w:rPr>
        <w:br/>
      </w:r>
      <w:r>
        <w:rPr>
          <w:rFonts w:hint="cs"/>
          <w:sz w:val="20"/>
          <w:szCs w:val="20"/>
          <w:rtl/>
        </w:rPr>
        <w:t xml:space="preserve">1. לא הדיחה בית הסתרים. אם מצאה דבר חוצץ </w:t>
      </w:r>
      <w:r>
        <w:rPr>
          <w:sz w:val="20"/>
          <w:szCs w:val="20"/>
          <w:rtl/>
        </w:rPr>
        <w:t>–</w:t>
      </w:r>
      <w:r>
        <w:rPr>
          <w:rFonts w:hint="cs"/>
          <w:sz w:val="20"/>
          <w:szCs w:val="20"/>
          <w:rtl/>
        </w:rPr>
        <w:t xml:space="preserve"> טמאה, לא מצאה דבר חוצץ </w:t>
      </w:r>
      <w:r>
        <w:rPr>
          <w:sz w:val="20"/>
          <w:szCs w:val="20"/>
          <w:rtl/>
        </w:rPr>
        <w:t>–</w:t>
      </w:r>
      <w:r>
        <w:rPr>
          <w:rFonts w:hint="cs"/>
          <w:sz w:val="20"/>
          <w:szCs w:val="20"/>
          <w:rtl/>
        </w:rPr>
        <w:t xml:space="preserve"> טהורה. </w:t>
      </w:r>
      <w:r w:rsidRPr="00005F57">
        <w:rPr>
          <w:rFonts w:hint="cs"/>
          <w:b/>
          <w:bCs/>
          <w:sz w:val="20"/>
          <w:szCs w:val="20"/>
          <w:rtl/>
        </w:rPr>
        <w:t>ראיה</w:t>
      </w:r>
      <w:r>
        <w:rPr>
          <w:rFonts w:hint="cs"/>
          <w:sz w:val="20"/>
          <w:szCs w:val="20"/>
          <w:rtl/>
        </w:rPr>
        <w:t xml:space="preserve">. מעשה דרבי.  </w:t>
      </w:r>
      <w:r>
        <w:rPr>
          <w:sz w:val="20"/>
          <w:szCs w:val="20"/>
          <w:rtl/>
        </w:rPr>
        <w:br/>
      </w:r>
      <w:r>
        <w:rPr>
          <w:rFonts w:hint="cs"/>
          <w:sz w:val="20"/>
          <w:szCs w:val="20"/>
          <w:rtl/>
        </w:rPr>
        <w:t xml:space="preserve">2. אם לא בדקה את </w:t>
      </w:r>
      <w:r w:rsidRPr="00005F57">
        <w:rPr>
          <w:rFonts w:hint="cs"/>
          <w:sz w:val="20"/>
          <w:szCs w:val="20"/>
          <w:u w:val="single"/>
          <w:rtl/>
        </w:rPr>
        <w:t>גופה</w:t>
      </w:r>
      <w:r>
        <w:rPr>
          <w:rFonts w:hint="cs"/>
          <w:sz w:val="20"/>
          <w:szCs w:val="20"/>
          <w:rtl/>
        </w:rPr>
        <w:t xml:space="preserve"> לפני טבילה לא עלתה לה טבילה. </w:t>
      </w:r>
      <w:r w:rsidRPr="00005F57">
        <w:rPr>
          <w:rFonts w:hint="cs"/>
          <w:b/>
          <w:bCs/>
          <w:sz w:val="20"/>
          <w:szCs w:val="20"/>
          <w:rtl/>
        </w:rPr>
        <w:t>טעם</w:t>
      </w:r>
      <w:r>
        <w:rPr>
          <w:rFonts w:hint="cs"/>
          <w:sz w:val="20"/>
          <w:szCs w:val="20"/>
          <w:rtl/>
        </w:rPr>
        <w:t xml:space="preserve">. </w:t>
      </w:r>
      <w:r w:rsidRPr="00005F57">
        <w:rPr>
          <w:rFonts w:hint="cs"/>
          <w:b/>
          <w:bCs/>
          <w:sz w:val="20"/>
          <w:szCs w:val="20"/>
          <w:rtl/>
        </w:rPr>
        <w:t>לבוש</w:t>
      </w:r>
      <w:r>
        <w:rPr>
          <w:rFonts w:hint="cs"/>
          <w:sz w:val="20"/>
          <w:szCs w:val="20"/>
          <w:rtl/>
        </w:rPr>
        <w:t xml:space="preserve">. לכלוך בגופה יורד מהר ואע"פ שכעת הוא נקי שמא בשעת טבילה היה מלוכלך. </w:t>
      </w:r>
      <w:r w:rsidRPr="00005F57">
        <w:rPr>
          <w:rFonts w:hint="cs"/>
          <w:b/>
          <w:bCs/>
          <w:sz w:val="20"/>
          <w:szCs w:val="20"/>
          <w:rtl/>
        </w:rPr>
        <w:t>ש"ך</w:t>
      </w:r>
      <w:r>
        <w:rPr>
          <w:rFonts w:hint="cs"/>
          <w:sz w:val="20"/>
          <w:szCs w:val="20"/>
          <w:rtl/>
        </w:rPr>
        <w:t>. בית הסתרים קל טפי לפי שאינו צריך ביאת מים.</w:t>
      </w:r>
      <w:r>
        <w:rPr>
          <w:rFonts w:hint="cs"/>
          <w:sz w:val="20"/>
          <w:szCs w:val="20"/>
          <w:rtl/>
        </w:rPr>
        <w:br/>
        <w:t xml:space="preserve">3. </w:t>
      </w:r>
      <w:r w:rsidRPr="006A737F">
        <w:rPr>
          <w:rFonts w:hint="cs"/>
          <w:b/>
          <w:bCs/>
          <w:sz w:val="20"/>
          <w:szCs w:val="20"/>
          <w:rtl/>
        </w:rPr>
        <w:t>מחבר</w:t>
      </w:r>
      <w:r>
        <w:rPr>
          <w:rFonts w:hint="cs"/>
          <w:sz w:val="20"/>
          <w:szCs w:val="20"/>
          <w:rtl/>
        </w:rPr>
        <w:t xml:space="preserve">. לא בדקה לפני טבילה ואח"כ התעסקה בדבר חוצץ ונמצא עליה, טהורה. </w:t>
      </w:r>
      <w:r w:rsidRPr="00005F57">
        <w:rPr>
          <w:rFonts w:hint="cs"/>
          <w:b/>
          <w:bCs/>
          <w:sz w:val="20"/>
          <w:szCs w:val="20"/>
          <w:rtl/>
        </w:rPr>
        <w:t>רוקח</w:t>
      </w:r>
      <w:r>
        <w:rPr>
          <w:rFonts w:hint="cs"/>
          <w:sz w:val="20"/>
          <w:szCs w:val="20"/>
          <w:rtl/>
        </w:rPr>
        <w:t xml:space="preserve">. טמאה, וכ"פ </w:t>
      </w:r>
      <w:r w:rsidRPr="00005F57">
        <w:rPr>
          <w:rFonts w:hint="cs"/>
          <w:b/>
          <w:bCs/>
          <w:sz w:val="20"/>
          <w:szCs w:val="20"/>
          <w:rtl/>
        </w:rPr>
        <w:t>הש"ך</w:t>
      </w:r>
      <w:r>
        <w:rPr>
          <w:rFonts w:hint="cs"/>
          <w:sz w:val="20"/>
          <w:szCs w:val="20"/>
          <w:rtl/>
        </w:rPr>
        <w:t>.</w:t>
      </w:r>
    </w:p>
    <w:p w:rsidR="00620060" w:rsidRDefault="00620060" w:rsidP="00620060">
      <w:pPr>
        <w:rPr>
          <w:sz w:val="20"/>
          <w:szCs w:val="20"/>
          <w:rtl/>
        </w:rPr>
      </w:pPr>
      <w:r>
        <w:rPr>
          <w:sz w:val="20"/>
          <w:szCs w:val="20"/>
          <w:rtl/>
        </w:rPr>
        <w:br/>
      </w:r>
      <w:r>
        <w:rPr>
          <w:rFonts w:hint="cs"/>
          <w:b/>
          <w:bCs/>
          <w:sz w:val="20"/>
          <w:szCs w:val="20"/>
          <w:rtl/>
        </w:rPr>
        <w:t xml:space="preserve">סעיף כז </w:t>
      </w:r>
      <w:r>
        <w:rPr>
          <w:b/>
          <w:bCs/>
          <w:sz w:val="20"/>
          <w:szCs w:val="20"/>
          <w:rtl/>
        </w:rPr>
        <w:t>–</w:t>
      </w:r>
      <w:r>
        <w:rPr>
          <w:rFonts w:hint="cs"/>
          <w:b/>
          <w:bCs/>
          <w:sz w:val="20"/>
          <w:szCs w:val="20"/>
          <w:rtl/>
        </w:rPr>
        <w:t xml:space="preserve"> דברים החוצצים בטבילה</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משנה </w:t>
      </w:r>
      <w:r>
        <w:rPr>
          <w:rFonts w:hint="cs"/>
          <w:sz w:val="20"/>
          <w:szCs w:val="20"/>
          <w:rtl/>
        </w:rPr>
        <w:t>מקוואות (ח, ה) "</w:t>
      </w:r>
      <w:r w:rsidRPr="002B5C67">
        <w:rPr>
          <w:rFonts w:cs="Arial"/>
          <w:sz w:val="20"/>
          <w:szCs w:val="20"/>
          <w:rtl/>
        </w:rPr>
        <w:t xml:space="preserve">נתנה שערה בפיה </w:t>
      </w:r>
      <w:r w:rsidRPr="002B5C67">
        <w:rPr>
          <w:rFonts w:cs="Arial" w:hint="cs"/>
          <w:sz w:val="18"/>
          <w:szCs w:val="18"/>
          <w:rtl/>
        </w:rPr>
        <w:t>(ר"ש - ולא באו המים בשערה)</w:t>
      </w:r>
      <w:r>
        <w:rPr>
          <w:rFonts w:cs="Arial" w:hint="cs"/>
          <w:sz w:val="18"/>
          <w:szCs w:val="18"/>
          <w:rtl/>
        </w:rPr>
        <w:t>,</w:t>
      </w:r>
      <w:r w:rsidRPr="002B5C67">
        <w:rPr>
          <w:rFonts w:cs="Arial" w:hint="cs"/>
          <w:sz w:val="18"/>
          <w:szCs w:val="18"/>
          <w:rtl/>
        </w:rPr>
        <w:t xml:space="preserve"> </w:t>
      </w:r>
      <w:r w:rsidRPr="002B5C67">
        <w:rPr>
          <w:rFonts w:cs="Arial"/>
          <w:sz w:val="20"/>
          <w:szCs w:val="20"/>
          <w:rtl/>
        </w:rPr>
        <w:t>קפצה ידה</w:t>
      </w:r>
      <w:r>
        <w:rPr>
          <w:rFonts w:cs="Arial" w:hint="cs"/>
          <w:sz w:val="20"/>
          <w:szCs w:val="20"/>
          <w:rtl/>
        </w:rPr>
        <w:t>,</w:t>
      </w:r>
      <w:r w:rsidRPr="002B5C67">
        <w:rPr>
          <w:rFonts w:cs="Arial"/>
          <w:sz w:val="20"/>
          <w:szCs w:val="20"/>
          <w:rtl/>
        </w:rPr>
        <w:t xml:space="preserve"> קרצה שפתותיה</w:t>
      </w:r>
      <w:r>
        <w:rPr>
          <w:rFonts w:cs="Arial" w:hint="cs"/>
          <w:sz w:val="20"/>
          <w:szCs w:val="20"/>
          <w:rtl/>
        </w:rPr>
        <w:t xml:space="preserve"> - </w:t>
      </w:r>
      <w:r w:rsidRPr="002B5C67">
        <w:rPr>
          <w:rFonts w:cs="Arial"/>
          <w:sz w:val="20"/>
          <w:szCs w:val="20"/>
          <w:rtl/>
        </w:rPr>
        <w:t>כאילו לא טבלה</w:t>
      </w:r>
      <w:r>
        <w:rPr>
          <w:rFonts w:cs="Arial" w:hint="cs"/>
          <w:sz w:val="20"/>
          <w:szCs w:val="20"/>
          <w:rtl/>
        </w:rPr>
        <w:t>"</w:t>
      </w:r>
      <w:r>
        <w:rPr>
          <w:rStyle w:val="a5"/>
          <w:rFonts w:cs="Arial"/>
          <w:sz w:val="20"/>
          <w:szCs w:val="20"/>
          <w:rtl/>
        </w:rPr>
        <w:footnoteReference w:id="656"/>
      </w:r>
      <w:r>
        <w:rPr>
          <w:rFonts w:cs="Arial" w:hint="cs"/>
          <w:sz w:val="20"/>
          <w:szCs w:val="20"/>
          <w:rtl/>
        </w:rPr>
        <w:t>.</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2B5C67">
        <w:rPr>
          <w:rFonts w:cs="Arial"/>
          <w:sz w:val="20"/>
          <w:szCs w:val="20"/>
          <w:rtl/>
        </w:rPr>
        <w:t>נתנה שערה בפיה או קרצה שפתותיה או קפצה ידה בענ</w:t>
      </w:r>
      <w:r>
        <w:rPr>
          <w:rFonts w:cs="Arial" w:hint="cs"/>
          <w:sz w:val="20"/>
          <w:szCs w:val="20"/>
          <w:rtl/>
        </w:rPr>
        <w:t>י</w:t>
      </w:r>
      <w:r w:rsidRPr="002B5C67">
        <w:rPr>
          <w:rFonts w:cs="Arial"/>
          <w:sz w:val="20"/>
          <w:szCs w:val="20"/>
          <w:rtl/>
        </w:rPr>
        <w:t>ין שלא</w:t>
      </w:r>
      <w:r>
        <w:rPr>
          <w:rFonts w:cs="Arial"/>
          <w:sz w:val="20"/>
          <w:szCs w:val="20"/>
          <w:rtl/>
        </w:rPr>
        <w:t xml:space="preserve"> באו המים בהם, לא עלתה לה טבילה</w:t>
      </w:r>
      <w:r>
        <w:rPr>
          <w:rFonts w:cs="Arial" w:hint="cs"/>
          <w:sz w:val="20"/>
          <w:szCs w:val="20"/>
          <w:rtl/>
        </w:rPr>
        <w:t>".</w:t>
      </w:r>
    </w:p>
    <w:p w:rsidR="00620060" w:rsidRPr="00EE0B3E" w:rsidRDefault="00620060" w:rsidP="00620060">
      <w:pPr>
        <w:rPr>
          <w:sz w:val="20"/>
          <w:szCs w:val="20"/>
          <w:rtl/>
        </w:rPr>
      </w:pPr>
      <w:r>
        <w:rPr>
          <w:rFonts w:hint="cs"/>
          <w:sz w:val="20"/>
          <w:szCs w:val="20"/>
          <w:u w:val="single"/>
          <w:rtl/>
        </w:rPr>
        <w:t>קרצה שפתותיה</w:t>
      </w:r>
      <w:r>
        <w:rPr>
          <w:sz w:val="20"/>
          <w:szCs w:val="20"/>
          <w:u w:val="single"/>
          <w:rtl/>
        </w:rPr>
        <w:br/>
      </w:r>
      <w:r w:rsidRPr="00EE0B3E">
        <w:rPr>
          <w:rFonts w:hint="cs"/>
          <w:b/>
          <w:bCs/>
          <w:sz w:val="20"/>
          <w:szCs w:val="20"/>
          <w:rtl/>
        </w:rPr>
        <w:t>ר"ש</w:t>
      </w:r>
      <w:r>
        <w:rPr>
          <w:rFonts w:hint="cs"/>
          <w:sz w:val="20"/>
          <w:szCs w:val="20"/>
          <w:rtl/>
        </w:rPr>
        <w:t xml:space="preserve"> כתב שני פירושים לדין זה - </w:t>
      </w:r>
      <w:r>
        <w:rPr>
          <w:sz w:val="20"/>
          <w:szCs w:val="20"/>
          <w:rtl/>
        </w:rPr>
        <w:br/>
      </w:r>
      <w:r>
        <w:rPr>
          <w:rFonts w:hint="cs"/>
          <w:sz w:val="20"/>
          <w:szCs w:val="20"/>
          <w:rtl/>
        </w:rPr>
        <w:t>א. דיבקה שפתותיה בחוזק אחת אל השנייה ולא נכנסו המים לתוך פיה.</w:t>
      </w:r>
      <w:r>
        <w:rPr>
          <w:sz w:val="20"/>
          <w:szCs w:val="20"/>
          <w:rtl/>
        </w:rPr>
        <w:br/>
      </w:r>
      <w:r>
        <w:rPr>
          <w:rFonts w:hint="cs"/>
          <w:sz w:val="20"/>
          <w:szCs w:val="20"/>
          <w:rtl/>
        </w:rPr>
        <w:t>ב. דחקה שפתה אחת על גבי שפתה השנייה, ופירוש זה עיקר.</w:t>
      </w:r>
      <w:r>
        <w:rPr>
          <w:rFonts w:hint="cs"/>
          <w:sz w:val="20"/>
          <w:szCs w:val="20"/>
          <w:rtl/>
        </w:rPr>
        <w:br/>
        <w:t>ואע"פ שלשני הפירושים זהו בית הסתרים, מכל מקום צריך להיות ראוי לביאת מים.</w:t>
      </w:r>
    </w:p>
    <w:p w:rsidR="00620060" w:rsidRPr="00DA68BA" w:rsidRDefault="00620060" w:rsidP="00620060">
      <w:pPr>
        <w:rPr>
          <w:sz w:val="20"/>
          <w:szCs w:val="20"/>
          <w:rtl/>
        </w:rPr>
      </w:pPr>
      <w:r>
        <w:rPr>
          <w:rFonts w:hint="cs"/>
          <w:sz w:val="20"/>
          <w:szCs w:val="20"/>
          <w:u w:val="single"/>
          <w:rtl/>
        </w:rPr>
        <w:t>הידוק שיניים (פת"ש ובדה"ש)</w:t>
      </w:r>
      <w:r>
        <w:rPr>
          <w:rFonts w:hint="cs"/>
          <w:sz w:val="20"/>
          <w:szCs w:val="20"/>
          <w:u w:val="single"/>
          <w:rtl/>
        </w:rPr>
        <w:br/>
      </w:r>
      <w:r>
        <w:rPr>
          <w:rFonts w:hint="cs"/>
          <w:sz w:val="20"/>
          <w:szCs w:val="20"/>
          <w:rtl/>
        </w:rPr>
        <w:t>מה דין אשה שטבלה והידקה את שיניה בשעת הטבילה?</w:t>
      </w:r>
      <w:r>
        <w:rPr>
          <w:rFonts w:hint="cs"/>
          <w:sz w:val="20"/>
          <w:szCs w:val="20"/>
          <w:rtl/>
        </w:rPr>
        <w:br/>
        <w:t xml:space="preserve">א. </w:t>
      </w:r>
      <w:r w:rsidRPr="00DA68BA">
        <w:rPr>
          <w:rFonts w:hint="cs"/>
          <w:b/>
          <w:bCs/>
          <w:sz w:val="20"/>
          <w:szCs w:val="20"/>
          <w:rtl/>
        </w:rPr>
        <w:t>חמודי דניאל</w:t>
      </w:r>
      <w:r>
        <w:rPr>
          <w:rFonts w:hint="cs"/>
          <w:sz w:val="20"/>
          <w:szCs w:val="20"/>
          <w:rtl/>
        </w:rPr>
        <w:t xml:space="preserve"> </w:t>
      </w:r>
      <w:r>
        <w:rPr>
          <w:sz w:val="20"/>
          <w:szCs w:val="20"/>
          <w:rtl/>
        </w:rPr>
        <w:t>–</w:t>
      </w:r>
      <w:r>
        <w:rPr>
          <w:rFonts w:hint="cs"/>
          <w:sz w:val="20"/>
          <w:szCs w:val="20"/>
          <w:rtl/>
        </w:rPr>
        <w:t xml:space="preserve"> עלתה לה טבילה, וכ"פ </w:t>
      </w:r>
      <w:r w:rsidRPr="003B55A7">
        <w:rPr>
          <w:rFonts w:hint="cs"/>
          <w:b/>
          <w:bCs/>
          <w:sz w:val="20"/>
          <w:szCs w:val="20"/>
          <w:rtl/>
        </w:rPr>
        <w:t>הפת"ש</w:t>
      </w:r>
      <w:r>
        <w:rPr>
          <w:rFonts w:hint="cs"/>
          <w:sz w:val="20"/>
          <w:szCs w:val="20"/>
          <w:rtl/>
        </w:rPr>
        <w:t>.</w:t>
      </w:r>
      <w:r>
        <w:rPr>
          <w:rStyle w:val="a5"/>
          <w:sz w:val="20"/>
          <w:szCs w:val="20"/>
          <w:rtl/>
        </w:rPr>
        <w:footnoteReference w:id="657"/>
      </w:r>
      <w:r>
        <w:rPr>
          <w:sz w:val="20"/>
          <w:szCs w:val="20"/>
          <w:rtl/>
        </w:rPr>
        <w:br/>
      </w:r>
      <w:r>
        <w:rPr>
          <w:rFonts w:hint="cs"/>
          <w:sz w:val="20"/>
          <w:szCs w:val="20"/>
          <w:rtl/>
        </w:rPr>
        <w:t xml:space="preserve">ב. </w:t>
      </w:r>
      <w:r w:rsidRPr="00DA68BA">
        <w:rPr>
          <w:rFonts w:hint="cs"/>
          <w:b/>
          <w:bCs/>
          <w:sz w:val="20"/>
          <w:szCs w:val="20"/>
          <w:rtl/>
        </w:rPr>
        <w:t>לחם ושמלה</w:t>
      </w:r>
      <w:r>
        <w:rPr>
          <w:rFonts w:hint="cs"/>
          <w:sz w:val="20"/>
          <w:szCs w:val="20"/>
          <w:rtl/>
        </w:rPr>
        <w:t xml:space="preserve"> </w:t>
      </w:r>
      <w:r>
        <w:rPr>
          <w:sz w:val="20"/>
          <w:szCs w:val="20"/>
          <w:rtl/>
        </w:rPr>
        <w:t>–</w:t>
      </w:r>
      <w:r>
        <w:rPr>
          <w:rFonts w:hint="cs"/>
          <w:sz w:val="20"/>
          <w:szCs w:val="20"/>
          <w:rtl/>
        </w:rPr>
        <w:t xml:space="preserve"> לא עלתה לה טבילה.</w:t>
      </w:r>
      <w:r>
        <w:rPr>
          <w:rStyle w:val="a5"/>
          <w:sz w:val="20"/>
          <w:szCs w:val="20"/>
          <w:rtl/>
        </w:rPr>
        <w:footnoteReference w:id="658"/>
      </w:r>
      <w:r>
        <w:rPr>
          <w:sz w:val="20"/>
          <w:szCs w:val="20"/>
          <w:rtl/>
        </w:rPr>
        <w:br/>
      </w:r>
      <w:r>
        <w:rPr>
          <w:rFonts w:hint="cs"/>
          <w:sz w:val="20"/>
          <w:szCs w:val="20"/>
          <w:rtl/>
        </w:rPr>
        <w:t xml:space="preserve">הכרעת </w:t>
      </w:r>
      <w:r w:rsidRPr="00DA68BA">
        <w:rPr>
          <w:rFonts w:hint="cs"/>
          <w:b/>
          <w:bCs/>
          <w:sz w:val="20"/>
          <w:szCs w:val="20"/>
          <w:rtl/>
        </w:rPr>
        <w:t>בדה"ש</w:t>
      </w:r>
      <w:r>
        <w:rPr>
          <w:rFonts w:hint="cs"/>
          <w:sz w:val="20"/>
          <w:szCs w:val="20"/>
          <w:rtl/>
        </w:rPr>
        <w:t xml:space="preserve"> </w:t>
      </w:r>
      <w:r>
        <w:rPr>
          <w:sz w:val="20"/>
          <w:szCs w:val="20"/>
          <w:rtl/>
        </w:rPr>
        <w:t>–</w:t>
      </w:r>
      <w:r>
        <w:rPr>
          <w:rFonts w:hint="cs"/>
          <w:sz w:val="20"/>
          <w:szCs w:val="20"/>
          <w:rtl/>
        </w:rPr>
        <w:t xml:space="preserve"> לכתחילה אין להקל בזה.</w:t>
      </w:r>
    </w:p>
    <w:p w:rsidR="00620060"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01009A">
        <w:rPr>
          <w:rFonts w:hint="cs"/>
          <w:b/>
          <w:bCs/>
          <w:sz w:val="20"/>
          <w:szCs w:val="20"/>
          <w:rtl/>
        </w:rPr>
        <w:t>משנה ומחבר</w:t>
      </w:r>
      <w:r>
        <w:rPr>
          <w:rFonts w:hint="cs"/>
          <w:sz w:val="20"/>
          <w:szCs w:val="20"/>
          <w:rtl/>
        </w:rPr>
        <w:t xml:space="preserve">. נתנה שערה בפיה, הידקה ידיה, הידקה שפתותיה </w:t>
      </w:r>
      <w:r>
        <w:rPr>
          <w:sz w:val="20"/>
          <w:szCs w:val="20"/>
          <w:rtl/>
        </w:rPr>
        <w:t>–</w:t>
      </w:r>
      <w:r>
        <w:rPr>
          <w:rFonts w:hint="cs"/>
          <w:sz w:val="20"/>
          <w:szCs w:val="20"/>
          <w:rtl/>
        </w:rPr>
        <w:t xml:space="preserve"> לא עלתה לה טבילה.</w:t>
      </w:r>
      <w:r>
        <w:rPr>
          <w:sz w:val="20"/>
          <w:szCs w:val="20"/>
          <w:rtl/>
        </w:rPr>
        <w:br/>
      </w:r>
      <w:r>
        <w:rPr>
          <w:rFonts w:hint="cs"/>
          <w:sz w:val="20"/>
          <w:szCs w:val="20"/>
          <w:rtl/>
        </w:rPr>
        <w:t xml:space="preserve">2. הידקה שיניה. </w:t>
      </w:r>
      <w:r w:rsidRPr="0001009A">
        <w:rPr>
          <w:rFonts w:hint="cs"/>
          <w:b/>
          <w:bCs/>
          <w:sz w:val="20"/>
          <w:szCs w:val="20"/>
          <w:rtl/>
        </w:rPr>
        <w:t>פת"ש</w:t>
      </w:r>
      <w:r>
        <w:rPr>
          <w:rFonts w:hint="cs"/>
          <w:sz w:val="20"/>
          <w:szCs w:val="20"/>
          <w:rtl/>
        </w:rPr>
        <w:t xml:space="preserve">. טהורה. </w:t>
      </w:r>
      <w:r w:rsidRPr="0001009A">
        <w:rPr>
          <w:rFonts w:hint="cs"/>
          <w:b/>
          <w:bCs/>
          <w:sz w:val="20"/>
          <w:szCs w:val="20"/>
          <w:rtl/>
        </w:rPr>
        <w:t>לחו"ש</w:t>
      </w:r>
      <w:r>
        <w:rPr>
          <w:rFonts w:hint="cs"/>
          <w:sz w:val="20"/>
          <w:szCs w:val="20"/>
          <w:rtl/>
        </w:rPr>
        <w:t xml:space="preserve">. טמאה. </w:t>
      </w:r>
      <w:r w:rsidRPr="0001009A">
        <w:rPr>
          <w:rFonts w:hint="cs"/>
          <w:b/>
          <w:bCs/>
          <w:sz w:val="20"/>
          <w:szCs w:val="20"/>
          <w:rtl/>
        </w:rPr>
        <w:t>בדה"ש</w:t>
      </w:r>
      <w:r>
        <w:rPr>
          <w:rFonts w:hint="cs"/>
          <w:sz w:val="20"/>
          <w:szCs w:val="20"/>
          <w:rtl/>
        </w:rPr>
        <w:t>. לכתחילה לא תעשה כן.</w:t>
      </w:r>
    </w:p>
    <w:p w:rsidR="00620060" w:rsidRDefault="00620060" w:rsidP="00620060">
      <w:pPr>
        <w:rPr>
          <w:sz w:val="20"/>
          <w:szCs w:val="20"/>
          <w:rtl/>
        </w:rPr>
      </w:pPr>
      <w:r>
        <w:rPr>
          <w:sz w:val="20"/>
          <w:szCs w:val="20"/>
          <w:rtl/>
        </w:rPr>
        <w:br/>
      </w:r>
      <w:r>
        <w:rPr>
          <w:rFonts w:hint="cs"/>
          <w:b/>
          <w:bCs/>
          <w:sz w:val="20"/>
          <w:szCs w:val="20"/>
          <w:rtl/>
        </w:rPr>
        <w:t xml:space="preserve">סעיף כח </w:t>
      </w:r>
      <w:r>
        <w:rPr>
          <w:b/>
          <w:bCs/>
          <w:sz w:val="20"/>
          <w:szCs w:val="20"/>
          <w:rtl/>
        </w:rPr>
        <w:t>–</w:t>
      </w:r>
      <w:r>
        <w:rPr>
          <w:rFonts w:hint="cs"/>
          <w:b/>
          <w:bCs/>
          <w:sz w:val="20"/>
          <w:szCs w:val="20"/>
          <w:rtl/>
        </w:rPr>
        <w:t xml:space="preserve"> טבילה כשחברתה אוחזת בה</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משנה </w:t>
      </w:r>
      <w:r>
        <w:rPr>
          <w:rFonts w:hint="cs"/>
          <w:sz w:val="20"/>
          <w:szCs w:val="20"/>
          <w:rtl/>
        </w:rPr>
        <w:t>מקוואות (ח, ה) "</w:t>
      </w:r>
      <w:r w:rsidRPr="00961C36">
        <w:rPr>
          <w:rFonts w:cs="Arial"/>
          <w:sz w:val="20"/>
          <w:szCs w:val="20"/>
          <w:rtl/>
        </w:rPr>
        <w:t xml:space="preserve">האוחז באדם ובכלים ומטבילן </w:t>
      </w:r>
      <w:r>
        <w:rPr>
          <w:rFonts w:cs="Arial"/>
          <w:sz w:val="20"/>
          <w:szCs w:val="20"/>
          <w:rtl/>
        </w:rPr>
        <w:t>–</w:t>
      </w:r>
      <w:r>
        <w:rPr>
          <w:rFonts w:cs="Arial" w:hint="cs"/>
          <w:sz w:val="20"/>
          <w:szCs w:val="20"/>
          <w:rtl/>
        </w:rPr>
        <w:t xml:space="preserve"> </w:t>
      </w:r>
      <w:r w:rsidRPr="00961C36">
        <w:rPr>
          <w:rFonts w:cs="Arial"/>
          <w:sz w:val="20"/>
          <w:szCs w:val="20"/>
          <w:rtl/>
        </w:rPr>
        <w:t>טמאין</w:t>
      </w:r>
      <w:r>
        <w:rPr>
          <w:rFonts w:cs="Arial" w:hint="cs"/>
          <w:sz w:val="20"/>
          <w:szCs w:val="20"/>
          <w:rtl/>
        </w:rPr>
        <w:t>,</w:t>
      </w:r>
      <w:r w:rsidRPr="00961C36">
        <w:rPr>
          <w:rFonts w:cs="Arial"/>
          <w:sz w:val="20"/>
          <w:szCs w:val="20"/>
          <w:rtl/>
        </w:rPr>
        <w:t xml:space="preserve"> ואם הדיח את ידו במים </w:t>
      </w:r>
      <w:r>
        <w:rPr>
          <w:rFonts w:cs="Arial" w:hint="cs"/>
          <w:sz w:val="20"/>
          <w:szCs w:val="20"/>
          <w:rtl/>
        </w:rPr>
        <w:t xml:space="preserve">- </w:t>
      </w:r>
      <w:r w:rsidRPr="00961C36">
        <w:rPr>
          <w:rFonts w:cs="Arial"/>
          <w:sz w:val="20"/>
          <w:szCs w:val="20"/>
          <w:rtl/>
        </w:rPr>
        <w:t>טהורים</w:t>
      </w:r>
      <w:r>
        <w:rPr>
          <w:rFonts w:cs="Arial" w:hint="cs"/>
          <w:sz w:val="20"/>
          <w:szCs w:val="20"/>
          <w:rtl/>
        </w:rPr>
        <w:t>.</w:t>
      </w:r>
      <w:r w:rsidRPr="00961C36">
        <w:rPr>
          <w:rFonts w:cs="Arial"/>
          <w:sz w:val="20"/>
          <w:szCs w:val="20"/>
          <w:rtl/>
        </w:rPr>
        <w:t xml:space="preserve"> רבי שמעון אומר</w:t>
      </w:r>
      <w:r>
        <w:rPr>
          <w:rFonts w:cs="Arial" w:hint="cs"/>
          <w:sz w:val="20"/>
          <w:szCs w:val="20"/>
          <w:rtl/>
        </w:rPr>
        <w:t>:</w:t>
      </w:r>
      <w:r w:rsidRPr="00961C36">
        <w:rPr>
          <w:rFonts w:cs="Arial"/>
          <w:sz w:val="20"/>
          <w:szCs w:val="20"/>
          <w:rtl/>
        </w:rPr>
        <w:t xml:space="preserve"> ירפה כדי שיבואו בהם מים</w:t>
      </w:r>
      <w:r>
        <w:rPr>
          <w:rFonts w:cs="Arial" w:hint="cs"/>
          <w:sz w:val="20"/>
          <w:szCs w:val="20"/>
          <w:rtl/>
        </w:rPr>
        <w:t>".</w:t>
      </w:r>
    </w:p>
    <w:p w:rsidR="00620060" w:rsidRDefault="00620060" w:rsidP="00620060">
      <w:pPr>
        <w:rPr>
          <w:sz w:val="20"/>
          <w:szCs w:val="20"/>
          <w:rtl/>
        </w:rPr>
      </w:pPr>
      <w:r>
        <w:rPr>
          <w:rFonts w:hint="cs"/>
          <w:b/>
          <w:bCs/>
          <w:sz w:val="20"/>
          <w:szCs w:val="20"/>
          <w:rtl/>
        </w:rPr>
        <w:t>שיטות הראשונים</w:t>
      </w:r>
      <w:r>
        <w:rPr>
          <w:b/>
          <w:bCs/>
          <w:sz w:val="20"/>
          <w:szCs w:val="20"/>
          <w:rtl/>
        </w:rPr>
        <w:br/>
      </w:r>
      <w:r>
        <w:rPr>
          <w:rFonts w:hint="cs"/>
          <w:sz w:val="20"/>
          <w:szCs w:val="20"/>
          <w:rtl/>
        </w:rPr>
        <w:t xml:space="preserve">א. </w:t>
      </w:r>
      <w:r w:rsidRPr="005C562B">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חברתה יכולה לאחוז בה רק אם הדיחה ידיה תחילה, רפיון אינו מועיל גזרה אטו לא תרפה. </w:t>
      </w:r>
      <w:r>
        <w:rPr>
          <w:sz w:val="20"/>
          <w:szCs w:val="20"/>
          <w:rtl/>
        </w:rPr>
        <w:br/>
      </w:r>
      <w:r w:rsidRPr="00E7723C">
        <w:rPr>
          <w:rFonts w:hint="cs"/>
          <w:b/>
          <w:bCs/>
          <w:sz w:val="20"/>
          <w:szCs w:val="20"/>
          <w:rtl/>
        </w:rPr>
        <w:t xml:space="preserve">טעם </w:t>
      </w:r>
      <w:r>
        <w:rPr>
          <w:sz w:val="20"/>
          <w:szCs w:val="20"/>
          <w:rtl/>
        </w:rPr>
        <w:t>–</w:t>
      </w:r>
      <w:r>
        <w:rPr>
          <w:rFonts w:hint="cs"/>
          <w:sz w:val="20"/>
          <w:szCs w:val="20"/>
          <w:rtl/>
        </w:rPr>
        <w:t xml:space="preserve"> ת"ק ור"ש נחלקו האם רפיון מועיל, ת"ק סובר שאינו מועיל וכוותיה קיי"ל. </w:t>
      </w:r>
      <w:r>
        <w:rPr>
          <w:sz w:val="20"/>
          <w:szCs w:val="20"/>
          <w:rtl/>
        </w:rPr>
        <w:br/>
      </w:r>
      <w:r>
        <w:rPr>
          <w:rFonts w:hint="cs"/>
          <w:sz w:val="20"/>
          <w:szCs w:val="20"/>
          <w:rtl/>
        </w:rPr>
        <w:t>אמנם, הדחת הידיים מועילה מחמת שמשקה טופח הוי חיבור למי המקווה.</w:t>
      </w:r>
      <w:r>
        <w:rPr>
          <w:sz w:val="20"/>
          <w:szCs w:val="20"/>
          <w:rtl/>
        </w:rPr>
        <w:br/>
      </w:r>
      <w:r>
        <w:rPr>
          <w:rFonts w:hint="cs"/>
          <w:sz w:val="20"/>
          <w:szCs w:val="20"/>
          <w:rtl/>
        </w:rPr>
        <w:t xml:space="preserve">ב. </w:t>
      </w:r>
      <w:r w:rsidRPr="00E7723C">
        <w:rPr>
          <w:rFonts w:hint="cs"/>
          <w:b/>
          <w:bCs/>
          <w:sz w:val="20"/>
          <w:szCs w:val="20"/>
          <w:rtl/>
        </w:rPr>
        <w:t>רשב"א</w:t>
      </w:r>
      <w:r>
        <w:rPr>
          <w:rFonts w:hint="cs"/>
          <w:sz w:val="20"/>
          <w:szCs w:val="20"/>
          <w:rtl/>
        </w:rPr>
        <w:t xml:space="preserve"> </w:t>
      </w:r>
      <w:r w:rsidRPr="005B5FF1">
        <w:rPr>
          <w:rFonts w:hint="cs"/>
          <w:sz w:val="18"/>
          <w:szCs w:val="18"/>
          <w:rtl/>
        </w:rPr>
        <w:t xml:space="preserve">(ע"פ הסבר </w:t>
      </w:r>
      <w:r>
        <w:rPr>
          <w:rFonts w:hint="cs"/>
          <w:b/>
          <w:bCs/>
          <w:sz w:val="18"/>
          <w:szCs w:val="18"/>
          <w:rtl/>
        </w:rPr>
        <w:t>הב"י</w:t>
      </w:r>
      <w:r w:rsidRPr="005B5FF1">
        <w:rPr>
          <w:rFonts w:hint="cs"/>
          <w:sz w:val="18"/>
          <w:szCs w:val="18"/>
          <w:rtl/>
        </w:rPr>
        <w:t xml:space="preserve">) </w:t>
      </w:r>
      <w:r>
        <w:rPr>
          <w:sz w:val="20"/>
          <w:szCs w:val="20"/>
          <w:rtl/>
        </w:rPr>
        <w:t>–</w:t>
      </w:r>
      <w:r>
        <w:rPr>
          <w:rFonts w:hint="cs"/>
          <w:sz w:val="20"/>
          <w:szCs w:val="20"/>
          <w:rtl/>
        </w:rPr>
        <w:t xml:space="preserve"> חברתה יכולה לאחוז בה לאחר הדחת ידיה או שתרפה אותן, וכ"פ </w:t>
      </w:r>
      <w:r w:rsidRPr="006309AA">
        <w:rPr>
          <w:rFonts w:hint="cs"/>
          <w:b/>
          <w:bCs/>
          <w:sz w:val="20"/>
          <w:szCs w:val="20"/>
          <w:rtl/>
        </w:rPr>
        <w:t>המחבר</w:t>
      </w:r>
      <w:r>
        <w:rPr>
          <w:rFonts w:hint="cs"/>
          <w:sz w:val="20"/>
          <w:szCs w:val="20"/>
          <w:rtl/>
        </w:rPr>
        <w:t>.</w:t>
      </w:r>
      <w:r>
        <w:rPr>
          <w:sz w:val="20"/>
          <w:szCs w:val="20"/>
          <w:rtl/>
        </w:rPr>
        <w:br/>
      </w:r>
      <w:r w:rsidRPr="00696FC4">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ר"ש חולק על ת"ק וסובר שהדחה לחוד אינה מועילה אלא צריכה גם לרפות ידיה. </w:t>
      </w:r>
      <w:r>
        <w:rPr>
          <w:sz w:val="20"/>
          <w:szCs w:val="20"/>
          <w:rtl/>
        </w:rPr>
        <w:br/>
      </w:r>
      <w:r>
        <w:rPr>
          <w:rFonts w:hint="cs"/>
          <w:sz w:val="20"/>
          <w:szCs w:val="20"/>
          <w:rtl/>
        </w:rPr>
        <w:t>קיי"ל כת"ק שהדחה מועילה אפילו אם מהדקת ידיה, ואם כן כל שכן שרפיון מועיל שהרי המים באים כרגיל.</w:t>
      </w:r>
    </w:p>
    <w:p w:rsidR="00620060" w:rsidRPr="0050107C" w:rsidRDefault="00620060" w:rsidP="00620060">
      <w:pPr>
        <w:rPr>
          <w:sz w:val="20"/>
          <w:szCs w:val="20"/>
          <w:rtl/>
        </w:rPr>
      </w:pPr>
      <w:r>
        <w:rPr>
          <w:rFonts w:hint="cs"/>
          <w:b/>
          <w:bCs/>
          <w:sz w:val="20"/>
          <w:szCs w:val="20"/>
          <w:rtl/>
        </w:rPr>
        <w:lastRenderedPageBreak/>
        <w:t>פסיקת הלכה</w:t>
      </w:r>
      <w:r>
        <w:rPr>
          <w:b/>
          <w:bCs/>
          <w:sz w:val="20"/>
          <w:szCs w:val="20"/>
          <w:rtl/>
        </w:rPr>
        <w:br/>
      </w:r>
      <w:r>
        <w:rPr>
          <w:rFonts w:hint="cs"/>
          <w:sz w:val="20"/>
          <w:szCs w:val="20"/>
          <w:rtl/>
        </w:rPr>
        <w:t xml:space="preserve">א. </w:t>
      </w:r>
      <w:r>
        <w:rPr>
          <w:rFonts w:hint="cs"/>
          <w:b/>
          <w:bCs/>
          <w:sz w:val="20"/>
          <w:szCs w:val="20"/>
          <w:rtl/>
        </w:rPr>
        <w:t xml:space="preserve">שולחן ערוך </w:t>
      </w:r>
      <w:r>
        <w:rPr>
          <w:sz w:val="20"/>
          <w:szCs w:val="20"/>
          <w:rtl/>
        </w:rPr>
        <w:t>–</w:t>
      </w:r>
      <w:r>
        <w:rPr>
          <w:rFonts w:hint="cs"/>
          <w:sz w:val="20"/>
          <w:szCs w:val="20"/>
          <w:rtl/>
        </w:rPr>
        <w:t xml:space="preserve"> "</w:t>
      </w:r>
      <w:r w:rsidRPr="0050107C">
        <w:rPr>
          <w:rFonts w:cs="Arial"/>
          <w:sz w:val="20"/>
          <w:szCs w:val="20"/>
          <w:rtl/>
        </w:rPr>
        <w:t>לא תאחוז בה חבירתה בידיה בשעת טבילה אלא אם כן רפתה ידה, כדי שיבואו המים במקום אחיזת ידיה; ואם הדיחה ידיה במים תחלה, שרי, שמש</w:t>
      </w:r>
      <w:r>
        <w:rPr>
          <w:rFonts w:cs="Arial"/>
          <w:sz w:val="20"/>
          <w:szCs w:val="20"/>
          <w:rtl/>
        </w:rPr>
        <w:t>קה טופח שעל ידיה ח</w:t>
      </w:r>
      <w:r>
        <w:rPr>
          <w:rFonts w:cs="Arial" w:hint="cs"/>
          <w:sz w:val="20"/>
          <w:szCs w:val="20"/>
          <w:rtl/>
        </w:rPr>
        <w:t>י</w:t>
      </w:r>
      <w:r>
        <w:rPr>
          <w:rFonts w:cs="Arial"/>
          <w:sz w:val="20"/>
          <w:szCs w:val="20"/>
          <w:rtl/>
        </w:rPr>
        <w:t>בור למי המק</w:t>
      </w:r>
      <w:r>
        <w:rPr>
          <w:rFonts w:cs="Arial" w:hint="cs"/>
          <w:sz w:val="20"/>
          <w:szCs w:val="20"/>
          <w:rtl/>
        </w:rPr>
        <w:t>ו</w:t>
      </w:r>
      <w:r>
        <w:rPr>
          <w:rFonts w:cs="Arial"/>
          <w:sz w:val="20"/>
          <w:szCs w:val="20"/>
          <w:rtl/>
        </w:rPr>
        <w:t>וה</w:t>
      </w:r>
      <w:r>
        <w:rPr>
          <w:rFonts w:cs="Arial" w:hint="cs"/>
          <w:sz w:val="20"/>
          <w:szCs w:val="20"/>
          <w:rtl/>
        </w:rPr>
        <w:t>".</w:t>
      </w:r>
      <w:r>
        <w:rPr>
          <w:sz w:val="20"/>
          <w:szCs w:val="20"/>
          <w:rtl/>
        </w:rPr>
        <w:br/>
      </w:r>
      <w:r>
        <w:rPr>
          <w:rFonts w:hint="cs"/>
          <w:sz w:val="20"/>
          <w:szCs w:val="20"/>
          <w:rtl/>
        </w:rPr>
        <w:t xml:space="preserve">ב. </w:t>
      </w:r>
      <w:r w:rsidRPr="00C26F79">
        <w:rPr>
          <w:rFonts w:hint="cs"/>
          <w:b/>
          <w:bCs/>
          <w:sz w:val="20"/>
          <w:szCs w:val="20"/>
          <w:rtl/>
        </w:rPr>
        <w:t xml:space="preserve">ב"ח </w:t>
      </w:r>
      <w:r>
        <w:rPr>
          <w:sz w:val="20"/>
          <w:szCs w:val="20"/>
          <w:rtl/>
        </w:rPr>
        <w:t>–</w:t>
      </w:r>
      <w:r>
        <w:rPr>
          <w:rFonts w:hint="cs"/>
          <w:sz w:val="20"/>
          <w:szCs w:val="20"/>
          <w:rtl/>
        </w:rPr>
        <w:t xml:space="preserve"> הלכה כרמב"ם, יש לגזור כאן רפוי אטו אינו רפוי. ואע"פ שבעלמא אין גוזרים, כאן יש חשש שמתוך שהיא נבהלת ומפחדת שחברתה תישמט מידה אוחזה בה חזק.</w:t>
      </w:r>
      <w:r>
        <w:rPr>
          <w:rStyle w:val="a5"/>
          <w:sz w:val="20"/>
          <w:szCs w:val="20"/>
          <w:rtl/>
        </w:rPr>
        <w:footnoteReference w:id="659"/>
      </w:r>
    </w:p>
    <w:p w:rsidR="00620060" w:rsidRDefault="00620060" w:rsidP="00620060">
      <w:pPr>
        <w:rPr>
          <w:sz w:val="20"/>
          <w:szCs w:val="20"/>
          <w:rtl/>
        </w:rPr>
      </w:pPr>
      <w:r>
        <w:rPr>
          <w:rFonts w:hint="cs"/>
          <w:sz w:val="20"/>
          <w:szCs w:val="20"/>
          <w:u w:val="single"/>
          <w:rtl/>
        </w:rPr>
        <w:t>הדחה במים תלושים</w:t>
      </w:r>
      <w:r>
        <w:rPr>
          <w:sz w:val="20"/>
          <w:szCs w:val="20"/>
          <w:u w:val="single"/>
          <w:rtl/>
        </w:rPr>
        <w:br/>
      </w:r>
      <w:r w:rsidRPr="00461145">
        <w:rPr>
          <w:rFonts w:hint="cs"/>
          <w:sz w:val="20"/>
          <w:szCs w:val="20"/>
          <w:rtl/>
        </w:rPr>
        <w:t>האם</w:t>
      </w:r>
      <w:r>
        <w:rPr>
          <w:rFonts w:hint="cs"/>
          <w:sz w:val="20"/>
          <w:szCs w:val="20"/>
          <w:rtl/>
        </w:rPr>
        <w:t xml:space="preserve"> הדחת הידיים יכולה להיות גם במים תלושים, או דווקא במי המקווה?</w:t>
      </w:r>
      <w:r>
        <w:rPr>
          <w:rFonts w:hint="cs"/>
          <w:sz w:val="20"/>
          <w:szCs w:val="20"/>
          <w:rtl/>
        </w:rPr>
        <w:br/>
        <w:t xml:space="preserve">א. </w:t>
      </w:r>
      <w:r w:rsidRPr="00461145">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גם במים תלושים.</w:t>
      </w:r>
      <w:r>
        <w:rPr>
          <w:sz w:val="20"/>
          <w:szCs w:val="20"/>
          <w:rtl/>
        </w:rPr>
        <w:br/>
      </w:r>
      <w:r>
        <w:rPr>
          <w:rFonts w:hint="cs"/>
          <w:sz w:val="20"/>
          <w:szCs w:val="20"/>
          <w:rtl/>
        </w:rPr>
        <w:t xml:space="preserve">ב. </w:t>
      </w:r>
      <w:r w:rsidRPr="00461145">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דווקא במי המקווה.</w:t>
      </w:r>
      <w:r>
        <w:rPr>
          <w:sz w:val="20"/>
          <w:szCs w:val="20"/>
          <w:rtl/>
        </w:rPr>
        <w:br/>
      </w:r>
      <w:r>
        <w:rPr>
          <w:rFonts w:hint="cs"/>
          <w:sz w:val="20"/>
          <w:szCs w:val="20"/>
          <w:rtl/>
        </w:rPr>
        <w:t xml:space="preserve">ולפי"ז כתב </w:t>
      </w:r>
      <w:r w:rsidRPr="00461145">
        <w:rPr>
          <w:rFonts w:hint="cs"/>
          <w:b/>
          <w:bCs/>
          <w:sz w:val="20"/>
          <w:szCs w:val="20"/>
          <w:rtl/>
        </w:rPr>
        <w:t>הסד"ט</w:t>
      </w:r>
      <w:r>
        <w:rPr>
          <w:rFonts w:hint="cs"/>
          <w:sz w:val="20"/>
          <w:szCs w:val="20"/>
          <w:rtl/>
        </w:rPr>
        <w:t xml:space="preserve"> שאינה יכולה להוציא את ידיה ממי המקווה, כיוון שאם תוציא הרי הם כתלושים.</w:t>
      </w:r>
    </w:p>
    <w:p w:rsidR="00620060" w:rsidRPr="00F473D5" w:rsidRDefault="00620060" w:rsidP="00620060">
      <w:pPr>
        <w:rPr>
          <w:sz w:val="20"/>
          <w:szCs w:val="20"/>
        </w:rPr>
      </w:pPr>
      <w:r>
        <w:rPr>
          <w:rFonts w:hint="cs"/>
          <w:sz w:val="20"/>
          <w:szCs w:val="20"/>
          <w:u w:val="single"/>
          <w:rtl/>
        </w:rPr>
        <w:t>הידוק חזק</w:t>
      </w:r>
      <w:r>
        <w:rPr>
          <w:sz w:val="20"/>
          <w:szCs w:val="20"/>
          <w:u w:val="single"/>
          <w:rtl/>
        </w:rPr>
        <w:br/>
      </w:r>
      <w:r w:rsidRPr="00B24F74">
        <w:rPr>
          <w:rFonts w:hint="cs"/>
          <w:b/>
          <w:bCs/>
          <w:sz w:val="20"/>
          <w:szCs w:val="20"/>
          <w:rtl/>
        </w:rPr>
        <w:t>הט"ז</w:t>
      </w:r>
      <w:r>
        <w:rPr>
          <w:rFonts w:hint="cs"/>
          <w:sz w:val="20"/>
          <w:szCs w:val="20"/>
          <w:rtl/>
        </w:rPr>
        <w:t xml:space="preserve"> מדייק מדברי </w:t>
      </w:r>
      <w:r w:rsidRPr="00B24F74">
        <w:rPr>
          <w:rFonts w:hint="cs"/>
          <w:b/>
          <w:bCs/>
          <w:sz w:val="20"/>
          <w:szCs w:val="20"/>
          <w:rtl/>
        </w:rPr>
        <w:t>הרמב"ם והרשב"א</w:t>
      </w:r>
      <w:r>
        <w:rPr>
          <w:rFonts w:hint="cs"/>
          <w:sz w:val="20"/>
          <w:szCs w:val="20"/>
          <w:rtl/>
        </w:rPr>
        <w:t xml:space="preserve"> שיש ביניהם מחלוקת נוספת - </w:t>
      </w:r>
      <w:r>
        <w:rPr>
          <w:sz w:val="20"/>
          <w:szCs w:val="20"/>
          <w:rtl/>
        </w:rPr>
        <w:br/>
      </w:r>
      <w:r>
        <w:rPr>
          <w:rFonts w:hint="cs"/>
          <w:sz w:val="20"/>
          <w:szCs w:val="20"/>
          <w:rtl/>
        </w:rPr>
        <w:t>האם מותר לחברתה לאחוז את הטובלת הידוק חזק?</w:t>
      </w:r>
      <w:r>
        <w:rPr>
          <w:rFonts w:hint="cs"/>
          <w:sz w:val="20"/>
          <w:szCs w:val="20"/>
          <w:rtl/>
        </w:rPr>
        <w:br/>
        <w:t xml:space="preserve">א. </w:t>
      </w:r>
      <w:r w:rsidRPr="00B24F74">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כן, לאחר שהדיחה ידיה במים מותר לה להדק ידיה היטב.</w:t>
      </w:r>
      <w:r>
        <w:rPr>
          <w:rFonts w:hint="cs"/>
          <w:sz w:val="20"/>
          <w:szCs w:val="20"/>
          <w:rtl/>
        </w:rPr>
        <w:br/>
      </w:r>
      <w:r w:rsidRPr="00BD4C2C">
        <w:rPr>
          <w:rFonts w:hint="cs"/>
          <w:b/>
          <w:bCs/>
          <w:sz w:val="20"/>
          <w:szCs w:val="20"/>
          <w:rtl/>
        </w:rPr>
        <w:t>ראיה</w:t>
      </w:r>
      <w:r>
        <w:rPr>
          <w:rFonts w:hint="cs"/>
          <w:sz w:val="20"/>
          <w:szCs w:val="20"/>
          <w:rtl/>
        </w:rPr>
        <w:t xml:space="preserve"> </w:t>
      </w:r>
      <w:r>
        <w:rPr>
          <w:sz w:val="20"/>
          <w:szCs w:val="20"/>
          <w:rtl/>
        </w:rPr>
        <w:t>–</w:t>
      </w:r>
      <w:r>
        <w:rPr>
          <w:rFonts w:hint="cs"/>
          <w:sz w:val="20"/>
          <w:szCs w:val="20"/>
          <w:rtl/>
        </w:rPr>
        <w:t xml:space="preserve"> ע"כ שמותר להדק חזק, דאלת"ה מה מועיל הדחת ידיים, אכתי יש לגזור שמא תהדק היטב.</w:t>
      </w:r>
      <w:r>
        <w:rPr>
          <w:sz w:val="20"/>
          <w:szCs w:val="20"/>
          <w:rtl/>
        </w:rPr>
        <w:br/>
      </w:r>
      <w:r>
        <w:rPr>
          <w:rFonts w:hint="cs"/>
          <w:sz w:val="20"/>
          <w:szCs w:val="20"/>
          <w:rtl/>
        </w:rPr>
        <w:t xml:space="preserve">ב. </w:t>
      </w:r>
      <w:r w:rsidRPr="00B24F74">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לא, רק הידוק בינוני מותר אך הידוק חזק הוי חציצה</w:t>
      </w:r>
      <w:r>
        <w:rPr>
          <w:rStyle w:val="a5"/>
          <w:sz w:val="20"/>
          <w:szCs w:val="20"/>
          <w:rtl/>
        </w:rPr>
        <w:footnoteReference w:id="660"/>
      </w:r>
      <w:r>
        <w:rPr>
          <w:rFonts w:hint="cs"/>
          <w:sz w:val="20"/>
          <w:szCs w:val="20"/>
          <w:rtl/>
        </w:rPr>
        <w:t>.</w:t>
      </w:r>
      <w:r>
        <w:rPr>
          <w:sz w:val="20"/>
          <w:szCs w:val="20"/>
          <w:rtl/>
        </w:rPr>
        <w:br/>
      </w:r>
      <w:r>
        <w:rPr>
          <w:rFonts w:hint="cs"/>
          <w:sz w:val="20"/>
          <w:szCs w:val="20"/>
          <w:rtl/>
        </w:rPr>
        <w:br/>
      </w:r>
      <w:r>
        <w:rPr>
          <w:rFonts w:hint="cs"/>
          <w:sz w:val="20"/>
          <w:szCs w:val="20"/>
          <w:u w:val="single"/>
          <w:rtl/>
        </w:rPr>
        <w:t>אחיזת חברתה לכתחילה</w:t>
      </w:r>
      <w:r>
        <w:rPr>
          <w:sz w:val="20"/>
          <w:szCs w:val="20"/>
          <w:u w:val="single"/>
          <w:rtl/>
        </w:rPr>
        <w:br/>
      </w:r>
      <w:r>
        <w:rPr>
          <w:rFonts w:hint="cs"/>
          <w:sz w:val="20"/>
          <w:szCs w:val="20"/>
          <w:rtl/>
        </w:rPr>
        <w:t>האם מותר לאשה לאחוז ביד חברתה לכתחילה בשעת טבילה?</w:t>
      </w:r>
      <w:r>
        <w:rPr>
          <w:sz w:val="20"/>
          <w:szCs w:val="20"/>
          <w:rtl/>
        </w:rPr>
        <w:br/>
      </w:r>
      <w:r>
        <w:rPr>
          <w:rFonts w:hint="cs"/>
          <w:sz w:val="20"/>
          <w:szCs w:val="20"/>
          <w:rtl/>
        </w:rPr>
        <w:t xml:space="preserve">א. </w:t>
      </w:r>
      <w:r w:rsidRPr="00F473D5">
        <w:rPr>
          <w:rFonts w:hint="cs"/>
          <w:b/>
          <w:bCs/>
          <w:sz w:val="20"/>
          <w:szCs w:val="20"/>
          <w:rtl/>
        </w:rPr>
        <w:t xml:space="preserve">דרישה </w:t>
      </w:r>
      <w:r>
        <w:rPr>
          <w:rFonts w:hint="cs"/>
          <w:b/>
          <w:bCs/>
          <w:sz w:val="20"/>
          <w:szCs w:val="20"/>
          <w:rtl/>
        </w:rPr>
        <w:t>ו</w:t>
      </w:r>
      <w:r w:rsidRPr="00F473D5">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כן, כפי שמבואר כאן.</w:t>
      </w:r>
      <w:r>
        <w:rPr>
          <w:sz w:val="20"/>
          <w:szCs w:val="20"/>
          <w:rtl/>
        </w:rPr>
        <w:br/>
      </w:r>
      <w:r>
        <w:rPr>
          <w:rFonts w:hint="cs"/>
          <w:sz w:val="20"/>
          <w:szCs w:val="20"/>
          <w:rtl/>
        </w:rPr>
        <w:t xml:space="preserve">ב. </w:t>
      </w:r>
      <w:r w:rsidRPr="00F473D5">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לא.</w:t>
      </w:r>
      <w:r>
        <w:rPr>
          <w:sz w:val="20"/>
          <w:szCs w:val="20"/>
          <w:rtl/>
        </w:rPr>
        <w:br/>
      </w:r>
      <w:r>
        <w:rPr>
          <w:rFonts w:hint="cs"/>
          <w:sz w:val="20"/>
          <w:szCs w:val="20"/>
          <w:rtl/>
        </w:rPr>
        <w:t xml:space="preserve">נימוקי </w:t>
      </w:r>
      <w:r w:rsidRPr="00F473D5">
        <w:rPr>
          <w:rFonts w:hint="cs"/>
          <w:b/>
          <w:bCs/>
          <w:sz w:val="20"/>
          <w:szCs w:val="20"/>
          <w:rtl/>
        </w:rPr>
        <w:t>הש"ך</w:t>
      </w:r>
      <w:r>
        <w:rPr>
          <w:rFonts w:hint="cs"/>
          <w:sz w:val="20"/>
          <w:szCs w:val="20"/>
          <w:rtl/>
        </w:rPr>
        <w:t xml:space="preserve"> - </w:t>
      </w:r>
      <w:r>
        <w:rPr>
          <w:sz w:val="20"/>
          <w:szCs w:val="20"/>
          <w:rtl/>
        </w:rPr>
        <w:br/>
      </w:r>
      <w:r>
        <w:rPr>
          <w:rFonts w:hint="cs"/>
          <w:sz w:val="20"/>
          <w:szCs w:val="20"/>
          <w:vertAlign w:val="superscript"/>
          <w:rtl/>
        </w:rPr>
        <w:t xml:space="preserve">1 </w:t>
      </w:r>
      <w:r>
        <w:rPr>
          <w:rFonts w:hint="cs"/>
          <w:sz w:val="20"/>
          <w:szCs w:val="20"/>
          <w:rtl/>
        </w:rPr>
        <w:t xml:space="preserve">דין אחיזה רפויה נאמר רק בדיעבד, לכתחילה אין לה לאחוז כלל בחברתה. </w:t>
      </w:r>
      <w:r>
        <w:rPr>
          <w:sz w:val="20"/>
          <w:szCs w:val="20"/>
          <w:rtl/>
        </w:rPr>
        <w:br/>
      </w:r>
      <w:r>
        <w:rPr>
          <w:rFonts w:hint="cs"/>
          <w:sz w:val="20"/>
          <w:szCs w:val="20"/>
          <w:vertAlign w:val="superscript"/>
          <w:rtl/>
        </w:rPr>
        <w:t xml:space="preserve">2 </w:t>
      </w:r>
      <w:r>
        <w:rPr>
          <w:rFonts w:hint="cs"/>
          <w:sz w:val="20"/>
          <w:szCs w:val="20"/>
          <w:rtl/>
        </w:rPr>
        <w:t>מכיוון שנהגו הנשים להחמיר בדין זה, הוי כדברם המותרים שאחרים נהגו בהם איסור.</w:t>
      </w:r>
      <w:r>
        <w:rPr>
          <w:sz w:val="20"/>
          <w:szCs w:val="20"/>
          <w:rtl/>
        </w:rPr>
        <w:br/>
      </w:r>
      <w:r>
        <w:rPr>
          <w:rFonts w:hint="cs"/>
          <w:sz w:val="20"/>
          <w:szCs w:val="20"/>
          <w:vertAlign w:val="superscript"/>
          <w:rtl/>
        </w:rPr>
        <w:t xml:space="preserve">3 </w:t>
      </w:r>
      <w:r>
        <w:rPr>
          <w:rFonts w:hint="cs"/>
          <w:sz w:val="20"/>
          <w:szCs w:val="20"/>
          <w:rtl/>
        </w:rPr>
        <w:t>מצאנו כמה דברים בהלכות נידה שהחמירו חכמים בדבר המותר.</w:t>
      </w:r>
      <w:r>
        <w:rPr>
          <w:sz w:val="20"/>
          <w:szCs w:val="20"/>
          <w:rtl/>
        </w:rPr>
        <w:br/>
      </w:r>
      <w:r>
        <w:rPr>
          <w:sz w:val="20"/>
          <w:szCs w:val="20"/>
          <w:rtl/>
        </w:rPr>
        <w:br/>
      </w:r>
      <w:r>
        <w:rPr>
          <w:rFonts w:hint="cs"/>
          <w:sz w:val="20"/>
          <w:szCs w:val="20"/>
          <w:u w:val="single"/>
          <w:rtl/>
        </w:rPr>
        <w:t>טבילת נכה</w:t>
      </w:r>
      <w:r>
        <w:rPr>
          <w:sz w:val="20"/>
          <w:szCs w:val="20"/>
          <w:rtl/>
        </w:rPr>
        <w:br/>
      </w:r>
      <w:r w:rsidRPr="00A4005F">
        <w:rPr>
          <w:rFonts w:hint="cs"/>
          <w:b/>
          <w:bCs/>
          <w:sz w:val="20"/>
          <w:szCs w:val="20"/>
          <w:rtl/>
        </w:rPr>
        <w:t>ש"ך</w:t>
      </w:r>
      <w:r>
        <w:rPr>
          <w:rFonts w:hint="cs"/>
          <w:sz w:val="20"/>
          <w:szCs w:val="20"/>
          <w:rtl/>
        </w:rPr>
        <w:t xml:space="preserve"> - אשה נכה שאינה יכולה לטבול אם לא יאחזו בה, מותר לאוחזה לכתחילה. אמנם, אין מועיל מה שיניחו אותה בתוך סדין ויטבילוה בו, כיוון שהסדין מקבל טומאה ואין טובלים בדבר המקבל טומאה </w:t>
      </w:r>
      <w:r w:rsidRPr="00F473D5">
        <w:rPr>
          <w:rFonts w:hint="cs"/>
          <w:sz w:val="18"/>
          <w:szCs w:val="18"/>
          <w:rtl/>
        </w:rPr>
        <w:t>(יבואר בסעיף לא')</w:t>
      </w:r>
      <w:r>
        <w:rPr>
          <w:rFonts w:hint="cs"/>
          <w:sz w:val="20"/>
          <w:szCs w:val="20"/>
          <w:rtl/>
        </w:rPr>
        <w:t>.</w:t>
      </w:r>
      <w:r>
        <w:rPr>
          <w:rFonts w:hint="cs"/>
          <w:sz w:val="20"/>
          <w:szCs w:val="20"/>
          <w:rtl/>
        </w:rPr>
        <w:br/>
      </w:r>
      <w:r w:rsidRPr="00A31AC1">
        <w:rPr>
          <w:rFonts w:hint="cs"/>
          <w:b/>
          <w:bCs/>
          <w:sz w:val="20"/>
          <w:szCs w:val="20"/>
          <w:rtl/>
        </w:rPr>
        <w:t>ששבה"ל</w:t>
      </w:r>
      <w:r>
        <w:rPr>
          <w:rFonts w:hint="cs"/>
          <w:sz w:val="20"/>
          <w:szCs w:val="20"/>
          <w:rtl/>
        </w:rPr>
        <w:t xml:space="preserve"> </w:t>
      </w:r>
      <w:r>
        <w:rPr>
          <w:sz w:val="20"/>
          <w:szCs w:val="20"/>
          <w:rtl/>
        </w:rPr>
        <w:t>–</w:t>
      </w:r>
      <w:r>
        <w:rPr>
          <w:rFonts w:hint="cs"/>
          <w:sz w:val="20"/>
          <w:szCs w:val="20"/>
          <w:rtl/>
        </w:rPr>
        <w:t xml:space="preserve"> סדין ניילון אינו מקבל טומאה ושפיר ניתן להטביל בו. </w:t>
      </w:r>
      <w:r>
        <w:rPr>
          <w:sz w:val="20"/>
          <w:szCs w:val="20"/>
          <w:rtl/>
        </w:rPr>
        <w:br/>
      </w:r>
      <w:r>
        <w:rPr>
          <w:rFonts w:hint="cs"/>
          <w:sz w:val="20"/>
          <w:szCs w:val="20"/>
          <w:rtl/>
        </w:rPr>
        <w:t>כמו כן, כתבו הפוסקים שניתן לטבול</w:t>
      </w:r>
      <w:r w:rsidRPr="005066CC">
        <w:rPr>
          <w:rFonts w:ascii="Open Sans Hebrew" w:hAnsi="Open Sans Hebrew"/>
          <w:sz w:val="20"/>
          <w:szCs w:val="20"/>
          <w:shd w:val="clear" w:color="auto" w:fill="FFFFFF"/>
        </w:rPr>
        <w:t> </w:t>
      </w:r>
      <w:r w:rsidRPr="005066CC">
        <w:rPr>
          <w:rFonts w:ascii="Open Sans Hebrew" w:hAnsi="Open Sans Hebrew"/>
          <w:sz w:val="20"/>
          <w:szCs w:val="20"/>
          <w:shd w:val="clear" w:color="auto" w:fill="FFFFFF"/>
          <w:rtl/>
        </w:rPr>
        <w:t>על ידי מעלית מחומר פלסטי</w:t>
      </w:r>
      <w:r>
        <w:rPr>
          <w:rFonts w:ascii="Open Sans Hebrew" w:hAnsi="Open Sans Hebrew" w:hint="cs"/>
          <w:sz w:val="20"/>
          <w:szCs w:val="20"/>
          <w:shd w:val="clear" w:color="auto" w:fill="FFFFFF"/>
          <w:rtl/>
        </w:rPr>
        <w:t>ק</w:t>
      </w:r>
      <w:r w:rsidRPr="005066CC">
        <w:rPr>
          <w:rFonts w:ascii="Open Sans Hebrew" w:hAnsi="Open Sans Hebrew"/>
          <w:sz w:val="20"/>
          <w:szCs w:val="20"/>
          <w:shd w:val="clear" w:color="auto" w:fill="FFFFFF"/>
          <w:rtl/>
        </w:rPr>
        <w:t xml:space="preserve"> עם נקבים גדולים אשר מחוברת למסילות ברזל</w:t>
      </w:r>
      <w:r>
        <w:rPr>
          <w:rFonts w:ascii="Open Sans Hebrew" w:hAnsi="Open Sans Hebrew" w:hint="cs"/>
          <w:sz w:val="20"/>
          <w:szCs w:val="20"/>
          <w:shd w:val="clear" w:color="auto" w:fill="FFFFFF"/>
          <w:rtl/>
        </w:rPr>
        <w:t>,</w:t>
      </w:r>
      <w:r w:rsidRPr="005066CC">
        <w:rPr>
          <w:rFonts w:ascii="Open Sans Hebrew" w:hAnsi="Open Sans Hebrew"/>
          <w:sz w:val="20"/>
          <w:szCs w:val="20"/>
          <w:shd w:val="clear" w:color="auto" w:fill="FFFFFF"/>
          <w:rtl/>
        </w:rPr>
        <w:t xml:space="preserve"> האישה תטבול על גבי המעלית בשעה שהמעלית תהיה שקועה במים</w:t>
      </w:r>
      <w:r>
        <w:rPr>
          <w:rFonts w:ascii="Open Sans Hebrew" w:hAnsi="Open Sans Hebrew" w:hint="cs"/>
          <w:sz w:val="20"/>
          <w:szCs w:val="20"/>
          <w:shd w:val="clear" w:color="auto" w:fill="FFFFFF"/>
          <w:rtl/>
        </w:rPr>
        <w:t>.</w:t>
      </w:r>
      <w:r>
        <w:rPr>
          <w:rStyle w:val="a5"/>
          <w:rFonts w:ascii="Open Sans Hebrew" w:hAnsi="Open Sans Hebrew"/>
          <w:sz w:val="20"/>
          <w:szCs w:val="20"/>
          <w:shd w:val="clear" w:color="auto" w:fill="FFFFFF"/>
          <w:rtl/>
        </w:rPr>
        <w:footnoteReference w:id="661"/>
      </w:r>
    </w:p>
    <w:p w:rsidR="00620060" w:rsidRPr="0030350D" w:rsidRDefault="00620060" w:rsidP="00620060">
      <w:pPr>
        <w:spacing w:before="240" w:after="0"/>
        <w:rPr>
          <w:rFonts w:ascii="Arial" w:hAnsi="Arial" w:cs="Arial"/>
          <w:b/>
          <w:bCs/>
          <w:sz w:val="20"/>
          <w:szCs w:val="20"/>
          <w:rtl/>
        </w:rPr>
      </w:pPr>
      <w:r w:rsidRPr="00232E6A">
        <w:rPr>
          <w:rFonts w:hint="cs"/>
          <w:b/>
          <w:bCs/>
          <w:sz w:val="20"/>
          <w:szCs w:val="20"/>
          <w:rtl/>
        </w:rPr>
        <w:t>סיכום</w:t>
      </w:r>
      <w:r>
        <w:rPr>
          <w:sz w:val="20"/>
          <w:szCs w:val="20"/>
          <w:rtl/>
        </w:rPr>
        <w:br/>
      </w:r>
      <w:r>
        <w:rPr>
          <w:rFonts w:hint="cs"/>
          <w:sz w:val="20"/>
          <w:szCs w:val="20"/>
          <w:rtl/>
        </w:rPr>
        <w:t xml:space="preserve">1. </w:t>
      </w:r>
      <w:r w:rsidRPr="00232E6A">
        <w:rPr>
          <w:rFonts w:hint="cs"/>
          <w:b/>
          <w:bCs/>
          <w:sz w:val="20"/>
          <w:szCs w:val="20"/>
          <w:rtl/>
        </w:rPr>
        <w:t>משנה</w:t>
      </w:r>
      <w:r>
        <w:rPr>
          <w:rFonts w:hint="cs"/>
          <w:sz w:val="20"/>
          <w:szCs w:val="20"/>
          <w:rtl/>
        </w:rPr>
        <w:t xml:space="preserve">. טבילה ע"י שאדם אוחז בטובל. </w:t>
      </w:r>
      <w:r w:rsidRPr="00232E6A">
        <w:rPr>
          <w:rFonts w:hint="cs"/>
          <w:sz w:val="20"/>
          <w:szCs w:val="20"/>
          <w:u w:val="single"/>
          <w:rtl/>
        </w:rPr>
        <w:t>ת"ק</w:t>
      </w:r>
      <w:r>
        <w:rPr>
          <w:rFonts w:hint="cs"/>
          <w:sz w:val="20"/>
          <w:szCs w:val="20"/>
          <w:rtl/>
        </w:rPr>
        <w:t xml:space="preserve">. אם הדיח ידיו מהני. </w:t>
      </w:r>
      <w:r w:rsidRPr="00232E6A">
        <w:rPr>
          <w:rFonts w:hint="cs"/>
          <w:sz w:val="20"/>
          <w:szCs w:val="20"/>
          <w:u w:val="single"/>
          <w:rtl/>
        </w:rPr>
        <w:t>ר"ש</w:t>
      </w:r>
      <w:r>
        <w:rPr>
          <w:rFonts w:hint="cs"/>
          <w:sz w:val="20"/>
          <w:szCs w:val="20"/>
          <w:rtl/>
        </w:rPr>
        <w:t>. ירפה ידיו ומהני.</w:t>
      </w:r>
      <w:r>
        <w:rPr>
          <w:sz w:val="20"/>
          <w:szCs w:val="20"/>
          <w:rtl/>
        </w:rPr>
        <w:br/>
      </w:r>
      <w:r>
        <w:rPr>
          <w:rFonts w:hint="cs"/>
          <w:sz w:val="20"/>
          <w:szCs w:val="20"/>
          <w:rtl/>
        </w:rPr>
        <w:t xml:space="preserve">2. </w:t>
      </w:r>
      <w:r w:rsidRPr="00232E6A">
        <w:rPr>
          <w:rFonts w:hint="cs"/>
          <w:b/>
          <w:bCs/>
          <w:sz w:val="20"/>
          <w:szCs w:val="20"/>
          <w:rtl/>
        </w:rPr>
        <w:t>רמב"ם</w:t>
      </w:r>
      <w:r>
        <w:rPr>
          <w:rFonts w:hint="cs"/>
          <w:sz w:val="20"/>
          <w:szCs w:val="20"/>
          <w:rtl/>
        </w:rPr>
        <w:t xml:space="preserve">. הלכה כת"ק, רפיון אינו מועיל אלא רק הדחה. </w:t>
      </w:r>
      <w:r w:rsidRPr="00232E6A">
        <w:rPr>
          <w:rFonts w:hint="cs"/>
          <w:b/>
          <w:bCs/>
          <w:sz w:val="20"/>
          <w:szCs w:val="20"/>
          <w:rtl/>
        </w:rPr>
        <w:t>רשב"א</w:t>
      </w:r>
      <w:r>
        <w:rPr>
          <w:rFonts w:hint="cs"/>
          <w:sz w:val="20"/>
          <w:szCs w:val="20"/>
          <w:rtl/>
        </w:rPr>
        <w:t xml:space="preserve">. גם רפיון הידיים מועיל. </w:t>
      </w:r>
      <w:r w:rsidRPr="00232E6A">
        <w:rPr>
          <w:rFonts w:hint="cs"/>
          <w:b/>
          <w:bCs/>
          <w:sz w:val="20"/>
          <w:szCs w:val="20"/>
          <w:rtl/>
        </w:rPr>
        <w:t>טעם</w:t>
      </w:r>
      <w:r>
        <w:rPr>
          <w:rFonts w:hint="cs"/>
          <w:sz w:val="20"/>
          <w:szCs w:val="20"/>
          <w:rtl/>
        </w:rPr>
        <w:t>. ת"ק מודה לר"ש שרפיון מועיל, אך ר"ש מחמיר שאף בהדחה בעי רפיון, הלכה כת"ק ולכן הדחה מועילה אפילו בהידוק.</w:t>
      </w:r>
      <w:r>
        <w:rPr>
          <w:rFonts w:hint="cs"/>
          <w:sz w:val="20"/>
          <w:szCs w:val="20"/>
          <w:rtl/>
        </w:rPr>
        <w:br/>
        <w:t xml:space="preserve">3. </w:t>
      </w:r>
      <w:r w:rsidRPr="00232E6A">
        <w:rPr>
          <w:rFonts w:hint="cs"/>
          <w:b/>
          <w:bCs/>
          <w:sz w:val="20"/>
          <w:szCs w:val="20"/>
          <w:rtl/>
        </w:rPr>
        <w:t>מחבר</w:t>
      </w:r>
      <w:r>
        <w:rPr>
          <w:rFonts w:hint="cs"/>
          <w:sz w:val="20"/>
          <w:szCs w:val="20"/>
          <w:rtl/>
        </w:rPr>
        <w:t xml:space="preserve">. כרשב"א. הדחה או רפיון מועיל. </w:t>
      </w:r>
      <w:r w:rsidRPr="00232E6A">
        <w:rPr>
          <w:rFonts w:hint="cs"/>
          <w:b/>
          <w:bCs/>
          <w:sz w:val="20"/>
          <w:szCs w:val="20"/>
          <w:rtl/>
        </w:rPr>
        <w:t>ב"ח</w:t>
      </w:r>
      <w:r>
        <w:rPr>
          <w:rFonts w:hint="cs"/>
          <w:sz w:val="20"/>
          <w:szCs w:val="20"/>
          <w:rtl/>
        </w:rPr>
        <w:t>. כרמב"ם, רק הדחה מועילה, ברפיון גזרו אטו אינו רפוי.</w:t>
      </w:r>
      <w:r>
        <w:rPr>
          <w:sz w:val="20"/>
          <w:szCs w:val="20"/>
          <w:rtl/>
        </w:rPr>
        <w:br/>
      </w:r>
      <w:r>
        <w:rPr>
          <w:rFonts w:hint="cs"/>
          <w:sz w:val="20"/>
          <w:szCs w:val="20"/>
          <w:rtl/>
        </w:rPr>
        <w:t xml:space="preserve">4. הדחה במי מקווה או אף בתלושים? </w:t>
      </w:r>
      <w:r w:rsidRPr="00C45B99">
        <w:rPr>
          <w:rFonts w:hint="cs"/>
          <w:b/>
          <w:bCs/>
          <w:sz w:val="20"/>
          <w:szCs w:val="20"/>
          <w:rtl/>
        </w:rPr>
        <w:t>ט"ז</w:t>
      </w:r>
      <w:r>
        <w:rPr>
          <w:rFonts w:hint="cs"/>
          <w:sz w:val="20"/>
          <w:szCs w:val="20"/>
          <w:rtl/>
        </w:rPr>
        <w:t xml:space="preserve">. גם בתלושים. </w:t>
      </w:r>
      <w:r w:rsidRPr="00C45B99">
        <w:rPr>
          <w:rFonts w:hint="cs"/>
          <w:b/>
          <w:bCs/>
          <w:sz w:val="20"/>
          <w:szCs w:val="20"/>
          <w:rtl/>
        </w:rPr>
        <w:t>ש"ך</w:t>
      </w:r>
      <w:r>
        <w:rPr>
          <w:rFonts w:hint="cs"/>
          <w:sz w:val="20"/>
          <w:szCs w:val="20"/>
          <w:rtl/>
        </w:rPr>
        <w:t xml:space="preserve">. רק במי מקווה </w:t>
      </w:r>
      <w:r w:rsidRPr="00C45B99">
        <w:rPr>
          <w:rFonts w:hint="cs"/>
          <w:sz w:val="18"/>
          <w:szCs w:val="18"/>
          <w:rtl/>
        </w:rPr>
        <w:t>(סד"ט לכן לא תוציא ידיה מהמים)</w:t>
      </w:r>
      <w:r>
        <w:rPr>
          <w:rFonts w:hint="cs"/>
          <w:sz w:val="20"/>
          <w:szCs w:val="20"/>
          <w:rtl/>
        </w:rPr>
        <w:t>.</w:t>
      </w:r>
      <w:r>
        <w:rPr>
          <w:rFonts w:hint="cs"/>
          <w:sz w:val="20"/>
          <w:szCs w:val="20"/>
          <w:rtl/>
        </w:rPr>
        <w:br/>
        <w:t xml:space="preserve">5. האם לאחר שהדיחה יכולה להדק בחוזק? </w:t>
      </w:r>
      <w:r w:rsidRPr="00232E6A">
        <w:rPr>
          <w:rFonts w:hint="cs"/>
          <w:b/>
          <w:bCs/>
          <w:sz w:val="20"/>
          <w:szCs w:val="20"/>
          <w:rtl/>
        </w:rPr>
        <w:t>רמב"ם</w:t>
      </w:r>
      <w:r>
        <w:rPr>
          <w:rFonts w:hint="cs"/>
          <w:sz w:val="20"/>
          <w:szCs w:val="20"/>
          <w:rtl/>
        </w:rPr>
        <w:t xml:space="preserve">. כן. </w:t>
      </w:r>
      <w:r w:rsidRPr="00232E6A">
        <w:rPr>
          <w:rFonts w:hint="cs"/>
          <w:b/>
          <w:bCs/>
          <w:sz w:val="20"/>
          <w:szCs w:val="20"/>
          <w:rtl/>
        </w:rPr>
        <w:t>רשב"א</w:t>
      </w:r>
      <w:r>
        <w:rPr>
          <w:rFonts w:hint="cs"/>
          <w:sz w:val="20"/>
          <w:szCs w:val="20"/>
          <w:rtl/>
        </w:rPr>
        <w:t>. לא, רק הידוק בינוני מותר.</w:t>
      </w:r>
      <w:r>
        <w:rPr>
          <w:rFonts w:hint="cs"/>
          <w:sz w:val="20"/>
          <w:szCs w:val="20"/>
          <w:rtl/>
        </w:rPr>
        <w:br/>
      </w:r>
      <w:r>
        <w:rPr>
          <w:rFonts w:hint="cs"/>
          <w:sz w:val="20"/>
          <w:szCs w:val="20"/>
          <w:rtl/>
        </w:rPr>
        <w:lastRenderedPageBreak/>
        <w:t xml:space="preserve">6. האם מותר לחברתה לאחוז בידה לכתחילה? </w:t>
      </w:r>
      <w:r w:rsidRPr="00232E6A">
        <w:rPr>
          <w:rFonts w:hint="cs"/>
          <w:b/>
          <w:bCs/>
          <w:sz w:val="20"/>
          <w:szCs w:val="20"/>
          <w:rtl/>
        </w:rPr>
        <w:t>דרישה וט"ז</w:t>
      </w:r>
      <w:r>
        <w:rPr>
          <w:rFonts w:hint="cs"/>
          <w:sz w:val="20"/>
          <w:szCs w:val="20"/>
          <w:rtl/>
        </w:rPr>
        <w:t xml:space="preserve">. כן. </w:t>
      </w:r>
      <w:r w:rsidRPr="00232E6A">
        <w:rPr>
          <w:rFonts w:hint="cs"/>
          <w:b/>
          <w:bCs/>
          <w:sz w:val="20"/>
          <w:szCs w:val="20"/>
          <w:rtl/>
        </w:rPr>
        <w:t>ש"ך</w:t>
      </w:r>
      <w:r>
        <w:rPr>
          <w:rFonts w:hint="cs"/>
          <w:sz w:val="20"/>
          <w:szCs w:val="20"/>
          <w:rtl/>
        </w:rPr>
        <w:t>. לא, אחיזה הותרה רק בדיעבד.</w:t>
      </w:r>
      <w:r>
        <w:rPr>
          <w:rFonts w:hint="cs"/>
          <w:sz w:val="20"/>
          <w:szCs w:val="20"/>
          <w:rtl/>
        </w:rPr>
        <w:br/>
        <w:t xml:space="preserve">7. טבילת נכה. </w:t>
      </w:r>
      <w:r w:rsidRPr="00901453">
        <w:rPr>
          <w:rFonts w:hint="cs"/>
          <w:b/>
          <w:bCs/>
          <w:sz w:val="20"/>
          <w:szCs w:val="20"/>
          <w:rtl/>
        </w:rPr>
        <w:t>ש"ך</w:t>
      </w:r>
      <w:r>
        <w:rPr>
          <w:rFonts w:hint="cs"/>
          <w:sz w:val="20"/>
          <w:szCs w:val="20"/>
          <w:rtl/>
        </w:rPr>
        <w:t>. נכה טובלת לכתחילה ע"י שחברותיה יאחזו אותה, אך לא מהני שתטבול בכלי המק"ט.</w:t>
      </w:r>
    </w:p>
    <w:p w:rsidR="00620060" w:rsidRPr="008851CB" w:rsidRDefault="00620060" w:rsidP="00620060">
      <w:pPr>
        <w:rPr>
          <w:sz w:val="20"/>
          <w:szCs w:val="20"/>
          <w:rtl/>
        </w:rPr>
      </w:pPr>
    </w:p>
    <w:p w:rsidR="00620060" w:rsidRDefault="00620060" w:rsidP="00620060">
      <w:pPr>
        <w:rPr>
          <w:rFonts w:cs="Arial"/>
          <w:sz w:val="20"/>
          <w:szCs w:val="20"/>
          <w:rtl/>
        </w:rPr>
      </w:pPr>
      <w:r w:rsidRPr="00522008">
        <w:rPr>
          <w:rFonts w:hint="cs"/>
          <w:b/>
          <w:bCs/>
          <w:sz w:val="20"/>
          <w:szCs w:val="20"/>
          <w:rtl/>
        </w:rPr>
        <w:t xml:space="preserve">סעיף כט </w:t>
      </w:r>
      <w:r w:rsidRPr="00522008">
        <w:rPr>
          <w:b/>
          <w:bCs/>
          <w:sz w:val="20"/>
          <w:szCs w:val="20"/>
          <w:rtl/>
        </w:rPr>
        <w:t>–</w:t>
      </w:r>
      <w:r w:rsidRPr="00522008">
        <w:rPr>
          <w:rFonts w:hint="cs"/>
          <w:b/>
          <w:bCs/>
          <w:sz w:val="20"/>
          <w:szCs w:val="20"/>
          <w:rtl/>
        </w:rPr>
        <w:t xml:space="preserve"> טבילה במ' סאה מצומצמ</w:t>
      </w:r>
      <w:r>
        <w:rPr>
          <w:rFonts w:hint="cs"/>
          <w:b/>
          <w:bCs/>
          <w:sz w:val="20"/>
          <w:szCs w:val="20"/>
          <w:rtl/>
        </w:rPr>
        <w:t>ות</w:t>
      </w:r>
      <w:r>
        <w:rPr>
          <w:rFonts w:hint="cs"/>
          <w:b/>
          <w:bCs/>
          <w:sz w:val="20"/>
          <w:szCs w:val="20"/>
          <w:rtl/>
        </w:rPr>
        <w:br/>
        <w:t>מקור הדין</w:t>
      </w:r>
      <w:r>
        <w:rPr>
          <w:b/>
          <w:bCs/>
          <w:sz w:val="20"/>
          <w:szCs w:val="20"/>
          <w:rtl/>
        </w:rPr>
        <w:br/>
      </w:r>
      <w:r>
        <w:rPr>
          <w:rFonts w:hint="cs"/>
          <w:b/>
          <w:bCs/>
          <w:sz w:val="20"/>
          <w:szCs w:val="20"/>
          <w:rtl/>
        </w:rPr>
        <w:t xml:space="preserve">תוספתא </w:t>
      </w:r>
      <w:r>
        <w:rPr>
          <w:rFonts w:hint="cs"/>
          <w:sz w:val="20"/>
          <w:szCs w:val="20"/>
          <w:rtl/>
        </w:rPr>
        <w:t>מקוואות (ה, יד) "</w:t>
      </w:r>
      <w:r>
        <w:rPr>
          <w:rFonts w:cs="Arial" w:hint="cs"/>
          <w:sz w:val="20"/>
          <w:szCs w:val="20"/>
          <w:rtl/>
        </w:rPr>
        <w:t>ה</w:t>
      </w:r>
      <w:r w:rsidRPr="00522008">
        <w:rPr>
          <w:rFonts w:cs="Arial"/>
          <w:sz w:val="20"/>
          <w:szCs w:val="20"/>
          <w:rtl/>
        </w:rPr>
        <w:t>אומר לחברו כבוש ידך עלי במק</w:t>
      </w:r>
      <w:r>
        <w:rPr>
          <w:rFonts w:cs="Arial" w:hint="cs"/>
          <w:sz w:val="20"/>
          <w:szCs w:val="20"/>
          <w:rtl/>
        </w:rPr>
        <w:t>ו</w:t>
      </w:r>
      <w:r w:rsidRPr="00522008">
        <w:rPr>
          <w:rFonts w:cs="Arial"/>
          <w:sz w:val="20"/>
          <w:szCs w:val="20"/>
          <w:rtl/>
        </w:rPr>
        <w:t xml:space="preserve">וה </w:t>
      </w:r>
      <w:r>
        <w:rPr>
          <w:rFonts w:cs="Arial" w:hint="cs"/>
          <w:sz w:val="20"/>
          <w:szCs w:val="20"/>
          <w:rtl/>
        </w:rPr>
        <w:t xml:space="preserve">- </w:t>
      </w:r>
      <w:r w:rsidRPr="00522008">
        <w:rPr>
          <w:rFonts w:cs="Arial"/>
          <w:sz w:val="20"/>
          <w:szCs w:val="20"/>
          <w:rtl/>
        </w:rPr>
        <w:t>הרי זה מגונה</w:t>
      </w:r>
      <w:r>
        <w:rPr>
          <w:rFonts w:cs="Arial" w:hint="cs"/>
          <w:sz w:val="20"/>
          <w:szCs w:val="20"/>
          <w:rtl/>
        </w:rPr>
        <w:t>".</w:t>
      </w:r>
      <w:r>
        <w:rPr>
          <w:rFonts w:cs="Arial"/>
          <w:sz w:val="20"/>
          <w:szCs w:val="20"/>
          <w:rtl/>
        </w:rPr>
        <w:br/>
      </w:r>
      <w:r>
        <w:rPr>
          <w:rFonts w:cs="Arial" w:hint="cs"/>
          <w:b/>
          <w:bCs/>
          <w:sz w:val="20"/>
          <w:szCs w:val="20"/>
          <w:rtl/>
        </w:rPr>
        <w:t>טעם</w:t>
      </w:r>
      <w:r>
        <w:rPr>
          <w:rFonts w:cs="Arial" w:hint="cs"/>
          <w:sz w:val="20"/>
          <w:szCs w:val="20"/>
          <w:rtl/>
        </w:rPr>
        <w:t xml:space="preserve"> </w:t>
      </w:r>
      <w:r>
        <w:rPr>
          <w:rFonts w:cs="Arial"/>
          <w:sz w:val="20"/>
          <w:szCs w:val="20"/>
          <w:rtl/>
        </w:rPr>
        <w:t>–</w:t>
      </w:r>
      <w:r>
        <w:rPr>
          <w:rFonts w:cs="Arial" w:hint="cs"/>
          <w:sz w:val="20"/>
          <w:szCs w:val="20"/>
          <w:rtl/>
        </w:rPr>
        <w:t xml:space="preserve"> שמא בשעה שזה טובל יוציא חברו את ידו ונמצא טובל במקווה חסר שאין בו מ' סאה,</w:t>
      </w:r>
      <w:r w:rsidRPr="009A3587">
        <w:rPr>
          <w:rFonts w:cs="Arial" w:hint="cs"/>
          <w:b/>
          <w:bCs/>
          <w:sz w:val="20"/>
          <w:szCs w:val="20"/>
          <w:rtl/>
        </w:rPr>
        <w:t xml:space="preserve"> </w:t>
      </w:r>
      <w:r w:rsidRPr="00920B71">
        <w:rPr>
          <w:rFonts w:cs="Arial" w:hint="cs"/>
          <w:b/>
          <w:bCs/>
          <w:sz w:val="20"/>
          <w:szCs w:val="20"/>
          <w:rtl/>
        </w:rPr>
        <w:t>בית יוסף</w:t>
      </w:r>
      <w:r>
        <w:rPr>
          <w:rFonts w:cs="Arial" w:hint="cs"/>
          <w:sz w:val="20"/>
          <w:szCs w:val="20"/>
          <w:rtl/>
        </w:rPr>
        <w:t>.</w:t>
      </w:r>
      <w:r>
        <w:rPr>
          <w:rStyle w:val="a5"/>
          <w:rFonts w:cs="Arial"/>
          <w:sz w:val="20"/>
          <w:szCs w:val="20"/>
          <w:rtl/>
        </w:rPr>
        <w:footnoteReference w:id="662"/>
      </w:r>
      <w:r>
        <w:rPr>
          <w:rFonts w:cs="Arial" w:hint="cs"/>
          <w:sz w:val="20"/>
          <w:szCs w:val="20"/>
          <w:rtl/>
        </w:rPr>
        <w:br/>
      </w:r>
      <w:r>
        <w:rPr>
          <w:rFonts w:cs="Arial"/>
          <w:sz w:val="20"/>
          <w:szCs w:val="20"/>
          <w:rtl/>
        </w:rPr>
        <w:br/>
      </w:r>
      <w:r>
        <w:rPr>
          <w:rFonts w:hint="cs"/>
          <w:b/>
          <w:bCs/>
          <w:sz w:val="20"/>
          <w:szCs w:val="20"/>
          <w:rtl/>
        </w:rPr>
        <w:t>פסיקת הלכה</w:t>
      </w:r>
      <w:r>
        <w:rPr>
          <w:b/>
          <w:bCs/>
          <w:sz w:val="20"/>
          <w:szCs w:val="20"/>
          <w:rtl/>
        </w:rPr>
        <w:br/>
      </w:r>
      <w:r>
        <w:rPr>
          <w:rFonts w:hint="cs"/>
          <w:b/>
          <w:bCs/>
          <w:sz w:val="20"/>
          <w:szCs w:val="20"/>
          <w:rtl/>
        </w:rPr>
        <w:t>שולחן ערוך</w:t>
      </w:r>
      <w:r>
        <w:rPr>
          <w:rFonts w:hint="cs"/>
          <w:sz w:val="20"/>
          <w:szCs w:val="20"/>
          <w:rtl/>
        </w:rPr>
        <w:t xml:space="preserve"> </w:t>
      </w:r>
      <w:r w:rsidRPr="00522008">
        <w:rPr>
          <w:sz w:val="20"/>
          <w:szCs w:val="20"/>
          <w:rtl/>
        </w:rPr>
        <w:t>–</w:t>
      </w:r>
      <w:r w:rsidRPr="00522008">
        <w:rPr>
          <w:rFonts w:hint="cs"/>
          <w:sz w:val="20"/>
          <w:szCs w:val="20"/>
          <w:rtl/>
        </w:rPr>
        <w:t xml:space="preserve"> "ה</w:t>
      </w:r>
      <w:r w:rsidRPr="00522008">
        <w:rPr>
          <w:rFonts w:cs="Arial"/>
          <w:sz w:val="20"/>
          <w:szCs w:val="20"/>
          <w:rtl/>
        </w:rPr>
        <w:t>טובל במקו</w:t>
      </w:r>
      <w:r>
        <w:rPr>
          <w:rFonts w:cs="Arial" w:hint="cs"/>
          <w:sz w:val="20"/>
          <w:szCs w:val="20"/>
          <w:rtl/>
        </w:rPr>
        <w:t>ו</w:t>
      </w:r>
      <w:r w:rsidRPr="00522008">
        <w:rPr>
          <w:rFonts w:cs="Arial"/>
          <w:sz w:val="20"/>
          <w:szCs w:val="20"/>
          <w:rtl/>
        </w:rPr>
        <w:t>ה שאין בה אלא מ' סאה מצומצמין, אם אמר לחברו: כבוש ידיך עלי במקו</w:t>
      </w:r>
      <w:r>
        <w:rPr>
          <w:rFonts w:cs="Arial" w:hint="cs"/>
          <w:sz w:val="20"/>
          <w:szCs w:val="20"/>
          <w:rtl/>
        </w:rPr>
        <w:t>ו</w:t>
      </w:r>
      <w:r w:rsidRPr="00522008">
        <w:rPr>
          <w:rFonts w:cs="Arial"/>
          <w:sz w:val="20"/>
          <w:szCs w:val="20"/>
          <w:rtl/>
        </w:rPr>
        <w:t>ה, הרי זה מגונה</w:t>
      </w:r>
      <w:r w:rsidRPr="00522008">
        <w:rPr>
          <w:rFonts w:cs="Arial" w:hint="cs"/>
          <w:sz w:val="20"/>
          <w:szCs w:val="20"/>
          <w:rtl/>
        </w:rPr>
        <w:t>".</w:t>
      </w:r>
    </w:p>
    <w:p w:rsidR="00620060" w:rsidRDefault="00620060" w:rsidP="00620060">
      <w:pPr>
        <w:rPr>
          <w:rFonts w:cs="Arial"/>
          <w:sz w:val="20"/>
          <w:szCs w:val="20"/>
          <w:rtl/>
        </w:rPr>
      </w:pPr>
      <w:r>
        <w:rPr>
          <w:rFonts w:cs="Arial" w:hint="cs"/>
          <w:b/>
          <w:bCs/>
          <w:sz w:val="20"/>
          <w:szCs w:val="20"/>
          <w:rtl/>
        </w:rPr>
        <w:t>סיכום</w:t>
      </w:r>
      <w:r>
        <w:rPr>
          <w:rFonts w:cs="Arial"/>
          <w:b/>
          <w:bCs/>
          <w:sz w:val="20"/>
          <w:szCs w:val="20"/>
          <w:rtl/>
        </w:rPr>
        <w:br/>
      </w:r>
      <w:r>
        <w:rPr>
          <w:rFonts w:cs="Arial" w:hint="cs"/>
          <w:sz w:val="20"/>
          <w:szCs w:val="20"/>
          <w:rtl/>
        </w:rPr>
        <w:t xml:space="preserve">הטובל בשעה שחברו מניח עליו ידו </w:t>
      </w:r>
      <w:r>
        <w:rPr>
          <w:rFonts w:cs="Arial"/>
          <w:sz w:val="20"/>
          <w:szCs w:val="20"/>
          <w:rtl/>
        </w:rPr>
        <w:t>–</w:t>
      </w:r>
      <w:r>
        <w:rPr>
          <w:rFonts w:cs="Arial" w:hint="cs"/>
          <w:sz w:val="20"/>
          <w:szCs w:val="20"/>
          <w:rtl/>
        </w:rPr>
        <w:t xml:space="preserve"> מגונה. </w:t>
      </w:r>
      <w:r w:rsidRPr="00B15CA8">
        <w:rPr>
          <w:rFonts w:cs="Arial" w:hint="cs"/>
          <w:b/>
          <w:bCs/>
          <w:sz w:val="20"/>
          <w:szCs w:val="20"/>
          <w:rtl/>
        </w:rPr>
        <w:t>טעם</w:t>
      </w:r>
      <w:r>
        <w:rPr>
          <w:rFonts w:cs="Arial" w:hint="cs"/>
          <w:sz w:val="20"/>
          <w:szCs w:val="20"/>
          <w:rtl/>
        </w:rPr>
        <w:t xml:space="preserve">. </w:t>
      </w:r>
      <w:r w:rsidRPr="00B15CA8">
        <w:rPr>
          <w:rFonts w:cs="Arial" w:hint="cs"/>
          <w:b/>
          <w:bCs/>
          <w:sz w:val="20"/>
          <w:szCs w:val="20"/>
          <w:rtl/>
        </w:rPr>
        <w:t>בית יוסף</w:t>
      </w:r>
      <w:r>
        <w:rPr>
          <w:rFonts w:cs="Arial" w:hint="cs"/>
          <w:sz w:val="20"/>
          <w:szCs w:val="20"/>
          <w:rtl/>
        </w:rPr>
        <w:t xml:space="preserve">. מקווה מצומצם, שמא יוציא את ידו וחסר ממ' סאה. </w:t>
      </w:r>
      <w:r w:rsidRPr="00B15CA8">
        <w:rPr>
          <w:rFonts w:cs="Arial" w:hint="cs"/>
          <w:b/>
          <w:bCs/>
          <w:sz w:val="20"/>
          <w:szCs w:val="20"/>
          <w:rtl/>
        </w:rPr>
        <w:t>ש"ך</w:t>
      </w:r>
      <w:r>
        <w:rPr>
          <w:rFonts w:cs="Arial" w:hint="cs"/>
          <w:sz w:val="20"/>
          <w:szCs w:val="20"/>
          <w:rtl/>
        </w:rPr>
        <w:t xml:space="preserve"> </w:t>
      </w:r>
      <w:r w:rsidRPr="00B15CA8">
        <w:rPr>
          <w:rFonts w:cs="Arial" w:hint="cs"/>
          <w:sz w:val="18"/>
          <w:szCs w:val="18"/>
          <w:rtl/>
        </w:rPr>
        <w:t xml:space="preserve">(ע"פ </w:t>
      </w:r>
      <w:r w:rsidRPr="00B15CA8">
        <w:rPr>
          <w:rFonts w:cs="Arial" w:hint="cs"/>
          <w:b/>
          <w:bCs/>
          <w:sz w:val="18"/>
          <w:szCs w:val="18"/>
          <w:rtl/>
        </w:rPr>
        <w:t>הריב"ש</w:t>
      </w:r>
      <w:r w:rsidRPr="00B15CA8">
        <w:rPr>
          <w:rFonts w:cs="Arial" w:hint="cs"/>
          <w:sz w:val="18"/>
          <w:szCs w:val="18"/>
          <w:rtl/>
        </w:rPr>
        <w:t>)</w:t>
      </w:r>
      <w:r>
        <w:rPr>
          <w:rFonts w:cs="Arial" w:hint="cs"/>
          <w:sz w:val="20"/>
          <w:szCs w:val="20"/>
          <w:rtl/>
        </w:rPr>
        <w:t>. נראה מזלזל בטבילה.</w:t>
      </w:r>
    </w:p>
    <w:p w:rsidR="00620060" w:rsidRDefault="00620060" w:rsidP="00620060">
      <w:pPr>
        <w:rPr>
          <w:rFonts w:cs="Arial"/>
          <w:sz w:val="20"/>
          <w:szCs w:val="20"/>
          <w:rtl/>
        </w:rPr>
      </w:pPr>
      <w:r>
        <w:rPr>
          <w:rFonts w:cs="Arial"/>
          <w:sz w:val="20"/>
          <w:szCs w:val="20"/>
          <w:rtl/>
        </w:rPr>
        <w:br/>
      </w:r>
      <w:r>
        <w:rPr>
          <w:rFonts w:cs="Arial" w:hint="cs"/>
          <w:b/>
          <w:bCs/>
          <w:sz w:val="20"/>
          <w:szCs w:val="20"/>
          <w:rtl/>
        </w:rPr>
        <w:t xml:space="preserve">סעיף ל </w:t>
      </w:r>
      <w:r>
        <w:rPr>
          <w:rFonts w:cs="Arial"/>
          <w:b/>
          <w:bCs/>
          <w:sz w:val="20"/>
          <w:szCs w:val="20"/>
          <w:rtl/>
        </w:rPr>
        <w:t>–</w:t>
      </w:r>
      <w:r>
        <w:rPr>
          <w:rFonts w:cs="Arial" w:hint="cs"/>
          <w:b/>
          <w:bCs/>
          <w:sz w:val="20"/>
          <w:szCs w:val="20"/>
          <w:rtl/>
        </w:rPr>
        <w:t xml:space="preserve"> הגבהת רגליה בשעת טבילה</w:t>
      </w:r>
      <w:r>
        <w:rPr>
          <w:rFonts w:cs="Arial" w:hint="cs"/>
          <w:b/>
          <w:bCs/>
          <w:sz w:val="20"/>
          <w:szCs w:val="20"/>
          <w:rtl/>
        </w:rPr>
        <w:br/>
        <w:t>מקור הדין</w:t>
      </w:r>
      <w:r>
        <w:rPr>
          <w:rFonts w:cs="Arial"/>
          <w:b/>
          <w:bCs/>
          <w:sz w:val="20"/>
          <w:szCs w:val="20"/>
          <w:rtl/>
        </w:rPr>
        <w:br/>
      </w:r>
      <w:r>
        <w:rPr>
          <w:rFonts w:cs="Arial" w:hint="cs"/>
          <w:b/>
          <w:bCs/>
          <w:sz w:val="20"/>
          <w:szCs w:val="20"/>
          <w:rtl/>
        </w:rPr>
        <w:t xml:space="preserve">משנה </w:t>
      </w:r>
      <w:r>
        <w:rPr>
          <w:rFonts w:cs="Arial" w:hint="cs"/>
          <w:sz w:val="20"/>
          <w:szCs w:val="20"/>
          <w:rtl/>
        </w:rPr>
        <w:t>מקוואות (ז, ז) "</w:t>
      </w:r>
      <w:r w:rsidRPr="008A7137">
        <w:rPr>
          <w:rFonts w:cs="Arial"/>
          <w:sz w:val="20"/>
          <w:szCs w:val="20"/>
          <w:rtl/>
        </w:rPr>
        <w:t xml:space="preserve">הטביל בו את המטה אף על פי שרגליה שוקעות בטיט העבה </w:t>
      </w:r>
      <w:r>
        <w:rPr>
          <w:rFonts w:cs="Arial"/>
          <w:sz w:val="20"/>
          <w:szCs w:val="20"/>
          <w:rtl/>
        </w:rPr>
        <w:t>–</w:t>
      </w:r>
      <w:r>
        <w:rPr>
          <w:rFonts w:cs="Arial" w:hint="cs"/>
          <w:sz w:val="20"/>
          <w:szCs w:val="20"/>
          <w:rtl/>
        </w:rPr>
        <w:t xml:space="preserve"> </w:t>
      </w:r>
      <w:r w:rsidRPr="008A7137">
        <w:rPr>
          <w:rFonts w:cs="Arial"/>
          <w:sz w:val="20"/>
          <w:szCs w:val="20"/>
          <w:rtl/>
        </w:rPr>
        <w:t>טהורה</w:t>
      </w:r>
      <w:r>
        <w:rPr>
          <w:rFonts w:cs="Arial" w:hint="cs"/>
          <w:sz w:val="20"/>
          <w:szCs w:val="20"/>
          <w:rtl/>
        </w:rPr>
        <w:t>,</w:t>
      </w:r>
      <w:r w:rsidRPr="008A7137">
        <w:rPr>
          <w:rFonts w:cs="Arial"/>
          <w:sz w:val="20"/>
          <w:szCs w:val="20"/>
          <w:rtl/>
        </w:rPr>
        <w:t xml:space="preserve"> מפני שהמים מקדמין</w:t>
      </w:r>
      <w:r>
        <w:rPr>
          <w:rFonts w:cs="Arial" w:hint="cs"/>
          <w:sz w:val="20"/>
          <w:szCs w:val="20"/>
          <w:rtl/>
        </w:rPr>
        <w:t>".</w:t>
      </w:r>
      <w:r>
        <w:rPr>
          <w:rFonts w:cs="Arial" w:hint="cs"/>
          <w:sz w:val="20"/>
          <w:szCs w:val="20"/>
          <w:rtl/>
        </w:rPr>
        <w:br/>
      </w:r>
      <w:r w:rsidRPr="008A7137">
        <w:rPr>
          <w:rFonts w:cs="Arial" w:hint="cs"/>
          <w:b/>
          <w:bCs/>
          <w:sz w:val="20"/>
          <w:szCs w:val="20"/>
          <w:rtl/>
        </w:rPr>
        <w:t>רא"ש</w:t>
      </w:r>
      <w:r>
        <w:rPr>
          <w:rFonts w:cs="Arial" w:hint="cs"/>
          <w:sz w:val="20"/>
          <w:szCs w:val="20"/>
          <w:rtl/>
        </w:rPr>
        <w:t xml:space="preserve"> </w:t>
      </w:r>
      <w:r>
        <w:rPr>
          <w:rFonts w:cs="Arial"/>
          <w:sz w:val="20"/>
          <w:szCs w:val="20"/>
          <w:rtl/>
        </w:rPr>
        <w:t>–</w:t>
      </w:r>
      <w:r>
        <w:rPr>
          <w:rFonts w:cs="Arial" w:hint="cs"/>
          <w:sz w:val="20"/>
          <w:szCs w:val="20"/>
          <w:rtl/>
        </w:rPr>
        <w:t xml:space="preserve"> טעם ההיתר הוא, מפני שרגלי המיטה נגעו תחילה במים ומים אלו מחוברים למקווה</w:t>
      </w:r>
      <w:r>
        <w:rPr>
          <w:rStyle w:val="a5"/>
          <w:rFonts w:cs="Arial"/>
          <w:sz w:val="20"/>
          <w:szCs w:val="20"/>
          <w:rtl/>
        </w:rPr>
        <w:footnoteReference w:id="663"/>
      </w:r>
      <w:r>
        <w:rPr>
          <w:rFonts w:cs="Arial" w:hint="cs"/>
          <w:sz w:val="20"/>
          <w:szCs w:val="20"/>
          <w:rtl/>
        </w:rPr>
        <w:t>.</w:t>
      </w:r>
      <w:r>
        <w:rPr>
          <w:rFonts w:cs="Arial"/>
          <w:sz w:val="20"/>
          <w:szCs w:val="20"/>
          <w:rtl/>
        </w:rPr>
        <w:br/>
      </w:r>
      <w:r>
        <w:rPr>
          <w:rFonts w:cs="Arial" w:hint="cs"/>
          <w:sz w:val="20"/>
          <w:szCs w:val="20"/>
          <w:rtl/>
        </w:rPr>
        <w:t xml:space="preserve">ויש טעם נוסף להתיר </w:t>
      </w:r>
      <w:r>
        <w:rPr>
          <w:rFonts w:cs="Arial"/>
          <w:sz w:val="20"/>
          <w:szCs w:val="20"/>
          <w:rtl/>
        </w:rPr>
        <w:t>–</w:t>
      </w:r>
      <w:r>
        <w:rPr>
          <w:rFonts w:cs="Arial" w:hint="cs"/>
          <w:sz w:val="20"/>
          <w:szCs w:val="20"/>
          <w:rtl/>
        </w:rPr>
        <w:t xml:space="preserve"> כיוון שרגלי המיטה מלוחלחות במים שיש בהם טופח על מנת להטפיח, לא הוי חציצה.</w:t>
      </w:r>
    </w:p>
    <w:p w:rsidR="00620060" w:rsidRDefault="00620060" w:rsidP="00620060">
      <w:pPr>
        <w:rPr>
          <w:rFonts w:cs="Arial"/>
          <w:sz w:val="20"/>
          <w:szCs w:val="20"/>
          <w:rtl/>
        </w:rPr>
      </w:pPr>
      <w:r>
        <w:rPr>
          <w:rFonts w:cs="Arial" w:hint="cs"/>
          <w:b/>
          <w:bCs/>
          <w:sz w:val="20"/>
          <w:szCs w:val="20"/>
          <w:rtl/>
        </w:rPr>
        <w:t>פסיקת הלכה</w:t>
      </w:r>
      <w:r>
        <w:rPr>
          <w:rFonts w:cs="Arial"/>
          <w:b/>
          <w:bCs/>
          <w:sz w:val="20"/>
          <w:szCs w:val="20"/>
          <w:rtl/>
        </w:rPr>
        <w:br/>
      </w:r>
      <w:r>
        <w:rPr>
          <w:rFonts w:cs="Arial" w:hint="cs"/>
          <w:b/>
          <w:bCs/>
          <w:sz w:val="20"/>
          <w:szCs w:val="20"/>
          <w:rtl/>
        </w:rPr>
        <w:t xml:space="preserve">שולחן ערוך </w:t>
      </w:r>
      <w:r>
        <w:rPr>
          <w:rFonts w:cs="Arial"/>
          <w:sz w:val="20"/>
          <w:szCs w:val="20"/>
          <w:rtl/>
        </w:rPr>
        <w:t>–</w:t>
      </w:r>
      <w:r>
        <w:rPr>
          <w:rFonts w:cs="Arial" w:hint="cs"/>
          <w:sz w:val="20"/>
          <w:szCs w:val="20"/>
          <w:rtl/>
        </w:rPr>
        <w:t xml:space="preserve"> "</w:t>
      </w:r>
      <w:r w:rsidRPr="008A7137">
        <w:rPr>
          <w:rFonts w:cs="Arial"/>
          <w:sz w:val="20"/>
          <w:szCs w:val="20"/>
          <w:rtl/>
        </w:rPr>
        <w:t>אינה צריכה להגביה רגליה בשעת טבילתה אם אין שם טיט</w:t>
      </w:r>
      <w:r>
        <w:rPr>
          <w:rStyle w:val="a5"/>
          <w:rFonts w:cs="Arial"/>
          <w:sz w:val="20"/>
          <w:szCs w:val="20"/>
          <w:rtl/>
        </w:rPr>
        <w:footnoteReference w:id="664"/>
      </w:r>
      <w:r w:rsidRPr="008A7137">
        <w:rPr>
          <w:rFonts w:cs="Arial"/>
          <w:sz w:val="20"/>
          <w:szCs w:val="20"/>
          <w:rtl/>
        </w:rPr>
        <w:t xml:space="preserve">, </w:t>
      </w:r>
      <w:r>
        <w:rPr>
          <w:rFonts w:cs="Arial" w:hint="cs"/>
          <w:sz w:val="20"/>
          <w:szCs w:val="20"/>
          <w:rtl/>
        </w:rPr>
        <w:t>אף על פי</w:t>
      </w:r>
      <w:r w:rsidRPr="008A7137">
        <w:rPr>
          <w:rFonts w:cs="Arial"/>
          <w:sz w:val="20"/>
          <w:szCs w:val="20"/>
          <w:rtl/>
        </w:rPr>
        <w:t xml:space="preserve"> שדורסת על הרצפה אין כאן </w:t>
      </w:r>
      <w:r>
        <w:rPr>
          <w:rFonts w:cs="Arial"/>
          <w:sz w:val="20"/>
          <w:szCs w:val="20"/>
          <w:rtl/>
        </w:rPr>
        <w:t>חציצה, מפני שהמים מקדמים לרגליה</w:t>
      </w:r>
      <w:r>
        <w:rPr>
          <w:rFonts w:cs="Arial" w:hint="cs"/>
          <w:sz w:val="20"/>
          <w:szCs w:val="20"/>
          <w:rtl/>
        </w:rPr>
        <w:t>".</w:t>
      </w:r>
    </w:p>
    <w:p w:rsidR="00620060" w:rsidRDefault="00620060" w:rsidP="00620060">
      <w:pPr>
        <w:rPr>
          <w:rFonts w:cs="Arial"/>
          <w:sz w:val="20"/>
          <w:szCs w:val="20"/>
          <w:rtl/>
        </w:rPr>
      </w:pPr>
      <w:r>
        <w:rPr>
          <w:rFonts w:cs="Arial" w:hint="cs"/>
          <w:sz w:val="20"/>
          <w:szCs w:val="20"/>
          <w:u w:val="single"/>
          <w:rtl/>
        </w:rPr>
        <w:t>לחלוח הרגליים במים תלושים</w:t>
      </w:r>
      <w:r>
        <w:rPr>
          <w:rFonts w:cs="Arial"/>
          <w:sz w:val="20"/>
          <w:szCs w:val="20"/>
          <w:u w:val="single"/>
          <w:rtl/>
        </w:rPr>
        <w:br/>
      </w:r>
      <w:r w:rsidRPr="00977D50">
        <w:rPr>
          <w:rFonts w:cs="Arial" w:hint="cs"/>
          <w:b/>
          <w:bCs/>
          <w:sz w:val="20"/>
          <w:szCs w:val="20"/>
          <w:rtl/>
        </w:rPr>
        <w:t>ט"ז</w:t>
      </w:r>
      <w:r>
        <w:rPr>
          <w:rFonts w:cs="Arial" w:hint="cs"/>
          <w:sz w:val="20"/>
          <w:szCs w:val="20"/>
          <w:rtl/>
        </w:rPr>
        <w:t xml:space="preserve"> </w:t>
      </w:r>
      <w:r>
        <w:rPr>
          <w:rFonts w:cs="Arial"/>
          <w:sz w:val="20"/>
          <w:szCs w:val="20"/>
          <w:rtl/>
        </w:rPr>
        <w:t>–</w:t>
      </w:r>
      <w:r>
        <w:rPr>
          <w:rFonts w:cs="Arial" w:hint="cs"/>
          <w:sz w:val="20"/>
          <w:szCs w:val="20"/>
          <w:rtl/>
        </w:rPr>
        <w:t xml:space="preserve"> המחבר כתב שטעם ההיתר הוא מפני שמי המקווה מקדמים. מה הדין אם לחלחה רגליה בתלושים?</w:t>
      </w:r>
      <w:r>
        <w:rPr>
          <w:rStyle w:val="a5"/>
          <w:rFonts w:cs="Arial"/>
          <w:sz w:val="20"/>
          <w:szCs w:val="20"/>
          <w:rtl/>
        </w:rPr>
        <w:footnoteReference w:id="665"/>
      </w:r>
      <w:r>
        <w:rPr>
          <w:rFonts w:cs="Arial" w:hint="cs"/>
          <w:sz w:val="20"/>
          <w:szCs w:val="20"/>
          <w:rtl/>
        </w:rPr>
        <w:br/>
        <w:t xml:space="preserve">א. </w:t>
      </w:r>
      <w:r w:rsidRPr="00977D50">
        <w:rPr>
          <w:rFonts w:cs="Arial" w:hint="cs"/>
          <w:b/>
          <w:bCs/>
          <w:sz w:val="20"/>
          <w:szCs w:val="20"/>
          <w:rtl/>
        </w:rPr>
        <w:t>רא"ש</w:t>
      </w:r>
      <w:r>
        <w:rPr>
          <w:rFonts w:cs="Arial" w:hint="cs"/>
          <w:sz w:val="20"/>
          <w:szCs w:val="20"/>
          <w:rtl/>
        </w:rPr>
        <w:t xml:space="preserve"> </w:t>
      </w:r>
      <w:r>
        <w:rPr>
          <w:rFonts w:cs="Arial"/>
          <w:sz w:val="20"/>
          <w:szCs w:val="20"/>
          <w:rtl/>
        </w:rPr>
        <w:t>–</w:t>
      </w:r>
      <w:r>
        <w:rPr>
          <w:rFonts w:cs="Arial" w:hint="cs"/>
          <w:sz w:val="20"/>
          <w:szCs w:val="20"/>
          <w:rtl/>
        </w:rPr>
        <w:t xml:space="preserve"> לא מועיל.</w:t>
      </w:r>
      <w:r>
        <w:rPr>
          <w:rFonts w:cs="Arial"/>
          <w:sz w:val="20"/>
          <w:szCs w:val="20"/>
          <w:rtl/>
        </w:rPr>
        <w:br/>
      </w:r>
      <w:r w:rsidRPr="000F31D9">
        <w:rPr>
          <w:rFonts w:cs="Arial" w:hint="cs"/>
          <w:b/>
          <w:bCs/>
          <w:sz w:val="20"/>
          <w:szCs w:val="20"/>
          <w:rtl/>
        </w:rPr>
        <w:t xml:space="preserve">ראיה </w:t>
      </w:r>
      <w:r>
        <w:rPr>
          <w:rFonts w:cs="Arial"/>
          <w:sz w:val="20"/>
          <w:szCs w:val="20"/>
          <w:rtl/>
        </w:rPr>
        <w:t>–</w:t>
      </w:r>
      <w:r>
        <w:rPr>
          <w:rFonts w:cs="Arial" w:hint="cs"/>
          <w:sz w:val="20"/>
          <w:szCs w:val="20"/>
          <w:rtl/>
        </w:rPr>
        <w:t xml:space="preserve"> המחבר העתיק לשון הרא"ש, שטעם ההיתר הוא רק מפני שמי המקווה מקדמים.</w:t>
      </w:r>
      <w:r>
        <w:rPr>
          <w:rFonts w:cs="Arial"/>
          <w:sz w:val="20"/>
          <w:szCs w:val="20"/>
          <w:rtl/>
        </w:rPr>
        <w:br/>
      </w:r>
      <w:r>
        <w:rPr>
          <w:rFonts w:cs="Arial" w:hint="cs"/>
          <w:sz w:val="20"/>
          <w:szCs w:val="20"/>
          <w:rtl/>
        </w:rPr>
        <w:t xml:space="preserve">וכן גם דעת </w:t>
      </w:r>
      <w:r w:rsidRPr="00AA0D9C">
        <w:rPr>
          <w:rFonts w:cs="Arial" w:hint="cs"/>
          <w:b/>
          <w:bCs/>
          <w:sz w:val="20"/>
          <w:szCs w:val="20"/>
          <w:rtl/>
        </w:rPr>
        <w:t>המרדכי</w:t>
      </w:r>
      <w:r>
        <w:rPr>
          <w:rFonts w:cs="Arial" w:hint="cs"/>
          <w:sz w:val="20"/>
          <w:szCs w:val="20"/>
          <w:rtl/>
        </w:rPr>
        <w:t xml:space="preserve"> שמים תלושים לא מהני, שהרי כתב שאין להטביל כלי בתוך כלי מחמת שכובד הכלי הפנימי חוצץ, והרי בכה"ג הכלי הפנימי התלחלח במי הכלי החיצוני, אלא ע"כ אינו מועיל.</w:t>
      </w:r>
      <w:r>
        <w:rPr>
          <w:rFonts w:cs="Arial"/>
          <w:sz w:val="20"/>
          <w:szCs w:val="20"/>
          <w:rtl/>
        </w:rPr>
        <w:br/>
      </w:r>
      <w:r>
        <w:rPr>
          <w:rFonts w:cs="Arial" w:hint="cs"/>
          <w:sz w:val="20"/>
          <w:szCs w:val="20"/>
          <w:rtl/>
        </w:rPr>
        <w:t xml:space="preserve">ב. </w:t>
      </w:r>
      <w:r w:rsidRPr="00977D50">
        <w:rPr>
          <w:rFonts w:cs="Arial" w:hint="cs"/>
          <w:b/>
          <w:bCs/>
          <w:sz w:val="20"/>
          <w:szCs w:val="20"/>
          <w:rtl/>
        </w:rPr>
        <w:t>רמב"ם ורמב"ן</w:t>
      </w:r>
      <w:r>
        <w:rPr>
          <w:rFonts w:cs="Arial" w:hint="cs"/>
          <w:sz w:val="20"/>
          <w:szCs w:val="20"/>
          <w:rtl/>
        </w:rPr>
        <w:t xml:space="preserve"> </w:t>
      </w:r>
      <w:r>
        <w:rPr>
          <w:rFonts w:cs="Arial"/>
          <w:sz w:val="20"/>
          <w:szCs w:val="20"/>
          <w:rtl/>
        </w:rPr>
        <w:t>–</w:t>
      </w:r>
      <w:r>
        <w:rPr>
          <w:rFonts w:cs="Arial" w:hint="cs"/>
          <w:sz w:val="20"/>
          <w:szCs w:val="20"/>
          <w:rtl/>
        </w:rPr>
        <w:t xml:space="preserve"> מועיל.</w:t>
      </w:r>
      <w:r>
        <w:rPr>
          <w:rFonts w:cs="Arial"/>
          <w:sz w:val="20"/>
          <w:szCs w:val="20"/>
          <w:rtl/>
        </w:rPr>
        <w:br/>
      </w:r>
      <w:r w:rsidRPr="00977D50">
        <w:rPr>
          <w:rFonts w:cs="Arial" w:hint="cs"/>
          <w:b/>
          <w:bCs/>
          <w:sz w:val="20"/>
          <w:szCs w:val="20"/>
          <w:rtl/>
        </w:rPr>
        <w:t>ראיה</w:t>
      </w:r>
      <w:r>
        <w:rPr>
          <w:rFonts w:cs="Arial" w:hint="cs"/>
          <w:sz w:val="20"/>
          <w:szCs w:val="20"/>
          <w:rtl/>
        </w:rPr>
        <w:t xml:space="preserve"> </w:t>
      </w:r>
      <w:r>
        <w:rPr>
          <w:rFonts w:cs="Arial"/>
          <w:sz w:val="20"/>
          <w:szCs w:val="20"/>
          <w:rtl/>
        </w:rPr>
        <w:t>–</w:t>
      </w:r>
      <w:r>
        <w:rPr>
          <w:rFonts w:cs="Arial" w:hint="cs"/>
          <w:sz w:val="20"/>
          <w:szCs w:val="20"/>
          <w:rtl/>
        </w:rPr>
        <w:t xml:space="preserve"> התירו לעיל להטביל ע"י לחלוח ידיים אפילו אם מהדק בחוזק.</w:t>
      </w:r>
    </w:p>
    <w:p w:rsidR="00620060" w:rsidRDefault="00620060" w:rsidP="00620060">
      <w:pPr>
        <w:rPr>
          <w:rFonts w:cs="Arial"/>
          <w:sz w:val="20"/>
          <w:szCs w:val="20"/>
          <w:rtl/>
        </w:rPr>
      </w:pPr>
      <w:r>
        <w:rPr>
          <w:rFonts w:cs="Arial" w:hint="cs"/>
          <w:b/>
          <w:bCs/>
          <w:sz w:val="20"/>
          <w:szCs w:val="20"/>
          <w:rtl/>
        </w:rPr>
        <w:t>סיכום</w:t>
      </w:r>
      <w:r>
        <w:rPr>
          <w:rFonts w:cs="Arial"/>
          <w:b/>
          <w:bCs/>
          <w:sz w:val="20"/>
          <w:szCs w:val="20"/>
          <w:rtl/>
        </w:rPr>
        <w:br/>
      </w:r>
      <w:r>
        <w:rPr>
          <w:rFonts w:cs="Arial" w:hint="cs"/>
          <w:sz w:val="20"/>
          <w:szCs w:val="20"/>
          <w:rtl/>
        </w:rPr>
        <w:t xml:space="preserve">1. </w:t>
      </w:r>
      <w:r w:rsidRPr="00BF7474">
        <w:rPr>
          <w:rFonts w:cs="Arial" w:hint="cs"/>
          <w:b/>
          <w:bCs/>
          <w:sz w:val="20"/>
          <w:szCs w:val="20"/>
          <w:rtl/>
        </w:rPr>
        <w:t>מחבר</w:t>
      </w:r>
      <w:r>
        <w:rPr>
          <w:rFonts w:cs="Arial" w:hint="cs"/>
          <w:sz w:val="20"/>
          <w:szCs w:val="20"/>
          <w:rtl/>
        </w:rPr>
        <w:t xml:space="preserve">. אינה צריכה להגביה רגליה בשעת טבילה. </w:t>
      </w:r>
      <w:r w:rsidRPr="0081144F">
        <w:rPr>
          <w:rFonts w:cs="Arial" w:hint="cs"/>
          <w:b/>
          <w:bCs/>
          <w:sz w:val="20"/>
          <w:szCs w:val="20"/>
          <w:rtl/>
        </w:rPr>
        <w:t>טעם</w:t>
      </w:r>
      <w:r>
        <w:rPr>
          <w:rFonts w:cs="Arial" w:hint="cs"/>
          <w:sz w:val="20"/>
          <w:szCs w:val="20"/>
          <w:rtl/>
        </w:rPr>
        <w:t>. המים מקדמים לבוא.</w:t>
      </w:r>
      <w:r>
        <w:rPr>
          <w:rFonts w:cs="Arial"/>
          <w:sz w:val="20"/>
          <w:szCs w:val="20"/>
          <w:rtl/>
        </w:rPr>
        <w:br/>
      </w:r>
      <w:r>
        <w:rPr>
          <w:rFonts w:cs="Arial" w:hint="cs"/>
          <w:sz w:val="20"/>
          <w:szCs w:val="20"/>
          <w:rtl/>
        </w:rPr>
        <w:t xml:space="preserve">2. </w:t>
      </w:r>
      <w:r w:rsidRPr="00BF7474">
        <w:rPr>
          <w:rFonts w:cs="Arial" w:hint="cs"/>
          <w:b/>
          <w:bCs/>
          <w:sz w:val="20"/>
          <w:szCs w:val="20"/>
          <w:rtl/>
        </w:rPr>
        <w:t>ט"ז</w:t>
      </w:r>
      <w:r>
        <w:rPr>
          <w:rFonts w:cs="Arial" w:hint="cs"/>
          <w:sz w:val="20"/>
          <w:szCs w:val="20"/>
          <w:rtl/>
        </w:rPr>
        <w:t xml:space="preserve">. לחלוח רגליים בתלוש, מועיל? </w:t>
      </w:r>
      <w:r w:rsidRPr="00BF7474">
        <w:rPr>
          <w:rFonts w:cs="Arial" w:hint="cs"/>
          <w:b/>
          <w:bCs/>
          <w:sz w:val="20"/>
          <w:szCs w:val="20"/>
          <w:rtl/>
        </w:rPr>
        <w:t>רא"ש</w:t>
      </w:r>
      <w:r>
        <w:rPr>
          <w:rFonts w:cs="Arial" w:hint="cs"/>
          <w:sz w:val="20"/>
          <w:szCs w:val="20"/>
          <w:rtl/>
        </w:rPr>
        <w:t xml:space="preserve">. לא. </w:t>
      </w:r>
      <w:r w:rsidRPr="00BF7474">
        <w:rPr>
          <w:rFonts w:cs="Arial" w:hint="cs"/>
          <w:b/>
          <w:bCs/>
          <w:sz w:val="20"/>
          <w:szCs w:val="20"/>
          <w:rtl/>
        </w:rPr>
        <w:t>רמב"ם ורמב"ן</w:t>
      </w:r>
      <w:r>
        <w:rPr>
          <w:rFonts w:cs="Arial" w:hint="cs"/>
          <w:sz w:val="20"/>
          <w:szCs w:val="20"/>
          <w:rtl/>
        </w:rPr>
        <w:t>. כן.</w:t>
      </w:r>
    </w:p>
    <w:p w:rsidR="00620060" w:rsidRDefault="00620060" w:rsidP="00620060">
      <w:pPr>
        <w:rPr>
          <w:rFonts w:cs="Arial"/>
          <w:sz w:val="20"/>
          <w:szCs w:val="20"/>
          <w:rtl/>
        </w:rPr>
      </w:pPr>
      <w:r>
        <w:rPr>
          <w:rFonts w:cs="Arial"/>
          <w:sz w:val="20"/>
          <w:szCs w:val="20"/>
          <w:rtl/>
        </w:rPr>
        <w:br/>
      </w:r>
      <w:r>
        <w:rPr>
          <w:rFonts w:cs="Arial" w:hint="cs"/>
          <w:b/>
          <w:bCs/>
          <w:sz w:val="20"/>
          <w:szCs w:val="20"/>
          <w:rtl/>
        </w:rPr>
        <w:t xml:space="preserve">סעיף לא </w:t>
      </w:r>
      <w:r>
        <w:rPr>
          <w:rFonts w:cs="Arial"/>
          <w:b/>
          <w:bCs/>
          <w:sz w:val="20"/>
          <w:szCs w:val="20"/>
          <w:rtl/>
        </w:rPr>
        <w:t>–</w:t>
      </w:r>
      <w:r>
        <w:rPr>
          <w:rFonts w:cs="Arial" w:hint="cs"/>
          <w:b/>
          <w:bCs/>
          <w:sz w:val="20"/>
          <w:szCs w:val="20"/>
          <w:rtl/>
        </w:rPr>
        <w:t xml:space="preserve"> טבילה על גבי כלי</w:t>
      </w:r>
      <w:r>
        <w:rPr>
          <w:rFonts w:cs="Arial"/>
          <w:b/>
          <w:bCs/>
          <w:sz w:val="20"/>
          <w:szCs w:val="20"/>
          <w:rtl/>
        </w:rPr>
        <w:br/>
      </w:r>
      <w:r w:rsidRPr="0026531C">
        <w:rPr>
          <w:rStyle w:val="10"/>
          <w:rFonts w:hint="cs"/>
          <w:rtl/>
        </w:rPr>
        <w:t>א.</w:t>
      </w:r>
      <w:r w:rsidRPr="0026531C">
        <w:rPr>
          <w:rFonts w:cs="Arial" w:hint="cs"/>
          <w:b/>
          <w:bCs/>
          <w:sz w:val="16"/>
          <w:szCs w:val="16"/>
          <w:rtl/>
        </w:rPr>
        <w:t xml:space="preserve"> </w:t>
      </w:r>
      <w:r>
        <w:rPr>
          <w:rFonts w:cs="Arial" w:hint="cs"/>
          <w:b/>
          <w:bCs/>
          <w:sz w:val="20"/>
          <w:szCs w:val="20"/>
          <w:rtl/>
        </w:rPr>
        <w:t>חשש מפני נפילה - מקור הדין</w:t>
      </w:r>
      <w:r>
        <w:rPr>
          <w:rFonts w:cs="Arial" w:hint="cs"/>
          <w:b/>
          <w:bCs/>
          <w:sz w:val="20"/>
          <w:szCs w:val="20"/>
          <w:rtl/>
        </w:rPr>
        <w:br/>
        <w:t xml:space="preserve">גמרא </w:t>
      </w:r>
      <w:r>
        <w:rPr>
          <w:rFonts w:cs="Arial" w:hint="cs"/>
          <w:sz w:val="20"/>
          <w:szCs w:val="20"/>
          <w:rtl/>
        </w:rPr>
        <w:t>נידה (סו:) "א</w:t>
      </w:r>
      <w:r w:rsidRPr="00B351E1">
        <w:rPr>
          <w:rFonts w:cs="Arial"/>
          <w:sz w:val="20"/>
          <w:szCs w:val="20"/>
          <w:rtl/>
        </w:rPr>
        <w:t>מר רבא: אשה לא תעמוד על גבי כלי חרס ותטבול. סבר רב כהנא למימר: טעמא מאי - משום גזירת מרחצאות, הא על גבי סילתא - שפיר דמי. א</w:t>
      </w:r>
      <w:r>
        <w:rPr>
          <w:rFonts w:cs="Arial" w:hint="cs"/>
          <w:sz w:val="20"/>
          <w:szCs w:val="20"/>
          <w:rtl/>
        </w:rPr>
        <w:t xml:space="preserve">מר </w:t>
      </w:r>
      <w:r w:rsidRPr="00B351E1">
        <w:rPr>
          <w:rFonts w:cs="Arial"/>
          <w:sz w:val="20"/>
          <w:szCs w:val="20"/>
          <w:rtl/>
        </w:rPr>
        <w:t>ל</w:t>
      </w:r>
      <w:r>
        <w:rPr>
          <w:rFonts w:cs="Arial" w:hint="cs"/>
          <w:sz w:val="20"/>
          <w:szCs w:val="20"/>
          <w:rtl/>
        </w:rPr>
        <w:t>יה</w:t>
      </w:r>
      <w:r w:rsidRPr="00B351E1">
        <w:rPr>
          <w:rFonts w:cs="Arial"/>
          <w:sz w:val="20"/>
          <w:szCs w:val="20"/>
          <w:rtl/>
        </w:rPr>
        <w:t xml:space="preserve"> רב חנן מנהרדעא: התם טעמא מאי - משום </w:t>
      </w:r>
      <w:r w:rsidRPr="00B351E1">
        <w:rPr>
          <w:rFonts w:cs="Arial"/>
          <w:sz w:val="20"/>
          <w:szCs w:val="20"/>
          <w:rtl/>
        </w:rPr>
        <w:lastRenderedPageBreak/>
        <w:t>דבעית</w:t>
      </w:r>
      <w:r>
        <w:rPr>
          <w:rFonts w:cs="Arial" w:hint="cs"/>
          <w:sz w:val="20"/>
          <w:szCs w:val="20"/>
          <w:rtl/>
        </w:rPr>
        <w:t xml:space="preserve"> </w:t>
      </w:r>
      <w:r w:rsidRPr="00B351E1">
        <w:rPr>
          <w:rFonts w:cs="Arial" w:hint="cs"/>
          <w:sz w:val="18"/>
          <w:szCs w:val="18"/>
          <w:rtl/>
        </w:rPr>
        <w:t xml:space="preserve">(רש"י - </w:t>
      </w:r>
      <w:r w:rsidRPr="00B351E1">
        <w:rPr>
          <w:rFonts w:cs="Arial"/>
          <w:sz w:val="18"/>
          <w:szCs w:val="18"/>
          <w:rtl/>
        </w:rPr>
        <w:t>שלא תפול ולא טבלה שפיר</w:t>
      </w:r>
      <w:r w:rsidRPr="00B351E1">
        <w:rPr>
          <w:rFonts w:cs="Arial" w:hint="cs"/>
          <w:sz w:val="18"/>
          <w:szCs w:val="18"/>
          <w:rtl/>
        </w:rPr>
        <w:t>)</w:t>
      </w:r>
      <w:r w:rsidRPr="00B351E1">
        <w:rPr>
          <w:rFonts w:cs="Arial"/>
          <w:sz w:val="20"/>
          <w:szCs w:val="20"/>
          <w:rtl/>
        </w:rPr>
        <w:t>, סילתא נמי בעיתא</w:t>
      </w:r>
      <w:r>
        <w:rPr>
          <w:rFonts w:cs="Arial" w:hint="cs"/>
          <w:sz w:val="20"/>
          <w:szCs w:val="20"/>
          <w:rtl/>
        </w:rPr>
        <w:t>"</w:t>
      </w:r>
      <w:r w:rsidRPr="00B351E1">
        <w:rPr>
          <w:rFonts w:cs="Arial"/>
          <w:sz w:val="20"/>
          <w:szCs w:val="20"/>
          <w:rtl/>
        </w:rPr>
        <w:t>.</w:t>
      </w:r>
      <w:r>
        <w:rPr>
          <w:rFonts w:cs="Arial"/>
          <w:sz w:val="20"/>
          <w:szCs w:val="20"/>
          <w:rtl/>
        </w:rPr>
        <w:br/>
      </w:r>
      <w:r w:rsidRPr="00B351E1">
        <w:rPr>
          <w:rFonts w:cs="Arial" w:hint="cs"/>
          <w:b/>
          <w:bCs/>
          <w:sz w:val="20"/>
          <w:szCs w:val="20"/>
          <w:rtl/>
        </w:rPr>
        <w:t>ראב"ד</w:t>
      </w:r>
      <w:r>
        <w:rPr>
          <w:rFonts w:cs="Arial" w:hint="cs"/>
          <w:sz w:val="20"/>
          <w:szCs w:val="20"/>
          <w:rtl/>
        </w:rPr>
        <w:t xml:space="preserve"> </w:t>
      </w:r>
      <w:r>
        <w:rPr>
          <w:rFonts w:cs="Arial"/>
          <w:sz w:val="20"/>
          <w:szCs w:val="20"/>
          <w:rtl/>
        </w:rPr>
        <w:t>–</w:t>
      </w:r>
      <w:r>
        <w:rPr>
          <w:rFonts w:cs="Arial" w:hint="cs"/>
          <w:sz w:val="20"/>
          <w:szCs w:val="20"/>
          <w:rtl/>
        </w:rPr>
        <w:t xml:space="preserve"> בדיעבד אם טבלה כך, עלתה לה טבילה</w:t>
      </w:r>
      <w:r>
        <w:rPr>
          <w:rStyle w:val="a5"/>
          <w:rFonts w:cs="Arial"/>
          <w:sz w:val="20"/>
          <w:szCs w:val="20"/>
          <w:rtl/>
        </w:rPr>
        <w:footnoteReference w:id="666"/>
      </w:r>
      <w:r>
        <w:rPr>
          <w:rFonts w:cs="Arial" w:hint="cs"/>
          <w:sz w:val="20"/>
          <w:szCs w:val="20"/>
          <w:rtl/>
        </w:rPr>
        <w:t xml:space="preserve">, וכ"פ </w:t>
      </w:r>
      <w:r w:rsidRPr="00B351E1">
        <w:rPr>
          <w:rFonts w:cs="Arial" w:hint="cs"/>
          <w:b/>
          <w:bCs/>
          <w:sz w:val="20"/>
          <w:szCs w:val="20"/>
          <w:rtl/>
        </w:rPr>
        <w:t>המחבר</w:t>
      </w:r>
      <w:r>
        <w:rPr>
          <w:rFonts w:cs="Arial" w:hint="cs"/>
          <w:sz w:val="20"/>
          <w:szCs w:val="20"/>
          <w:rtl/>
        </w:rPr>
        <w:t>.</w:t>
      </w:r>
    </w:p>
    <w:p w:rsidR="00620060" w:rsidRDefault="00620060" w:rsidP="00620060">
      <w:pPr>
        <w:rPr>
          <w:rFonts w:cs="Arial"/>
          <w:sz w:val="20"/>
          <w:szCs w:val="20"/>
          <w:rtl/>
        </w:rPr>
      </w:pPr>
      <w:r>
        <w:rPr>
          <w:rFonts w:cs="Arial" w:hint="cs"/>
          <w:b/>
          <w:bCs/>
          <w:sz w:val="20"/>
          <w:szCs w:val="20"/>
          <w:rtl/>
        </w:rPr>
        <w:t>פסיקת הלכה</w:t>
      </w:r>
      <w:r>
        <w:rPr>
          <w:rFonts w:cs="Arial"/>
          <w:b/>
          <w:bCs/>
          <w:sz w:val="20"/>
          <w:szCs w:val="20"/>
          <w:rtl/>
        </w:rPr>
        <w:br/>
      </w:r>
      <w:r>
        <w:rPr>
          <w:rFonts w:cs="Arial" w:hint="cs"/>
          <w:sz w:val="20"/>
          <w:szCs w:val="20"/>
          <w:rtl/>
        </w:rPr>
        <w:t xml:space="preserve">א. </w:t>
      </w:r>
      <w:r>
        <w:rPr>
          <w:rFonts w:cs="Arial" w:hint="cs"/>
          <w:b/>
          <w:bCs/>
          <w:sz w:val="20"/>
          <w:szCs w:val="20"/>
          <w:rtl/>
        </w:rPr>
        <w:t xml:space="preserve">שולחן ערוך </w:t>
      </w:r>
      <w:r>
        <w:rPr>
          <w:rFonts w:cs="Arial"/>
          <w:sz w:val="20"/>
          <w:szCs w:val="20"/>
          <w:rtl/>
        </w:rPr>
        <w:t>–</w:t>
      </w:r>
      <w:r>
        <w:rPr>
          <w:rFonts w:cs="Arial" w:hint="cs"/>
          <w:sz w:val="20"/>
          <w:szCs w:val="20"/>
          <w:rtl/>
        </w:rPr>
        <w:t xml:space="preserve"> "</w:t>
      </w:r>
      <w:r w:rsidRPr="00B351E1">
        <w:rPr>
          <w:rFonts w:cs="Arial"/>
          <w:sz w:val="20"/>
          <w:szCs w:val="20"/>
          <w:rtl/>
        </w:rPr>
        <w:t>וכן לא תעמוד על גבי כלי חרס ולא על גבי בקעת ותטבול; ואף על פי שאין כלי חרס מטמא מגבו ולא ראוי למדרס חשש חכמים הוא שמא תפחד שלא ת</w:t>
      </w:r>
      <w:r>
        <w:rPr>
          <w:rFonts w:cs="Arial" w:hint="cs"/>
          <w:sz w:val="20"/>
          <w:szCs w:val="20"/>
          <w:rtl/>
        </w:rPr>
        <w:t>י</w:t>
      </w:r>
      <w:r w:rsidRPr="00B351E1">
        <w:rPr>
          <w:rFonts w:cs="Arial"/>
          <w:sz w:val="20"/>
          <w:szCs w:val="20"/>
          <w:rtl/>
        </w:rPr>
        <w:t>פול ולא תטבול כראוי. עברה וטבלה על גבי אלו, עלתה לה טבילה</w:t>
      </w:r>
      <w:r>
        <w:rPr>
          <w:rFonts w:cs="Arial" w:hint="cs"/>
          <w:sz w:val="20"/>
          <w:szCs w:val="20"/>
          <w:rtl/>
        </w:rPr>
        <w:t>".</w:t>
      </w:r>
      <w:r>
        <w:rPr>
          <w:rFonts w:cs="Arial" w:hint="cs"/>
          <w:sz w:val="20"/>
          <w:szCs w:val="20"/>
          <w:rtl/>
        </w:rPr>
        <w:br/>
        <w:t xml:space="preserve">ב. </w:t>
      </w:r>
      <w:r w:rsidRPr="00C75AC6">
        <w:rPr>
          <w:rFonts w:cs="Arial" w:hint="cs"/>
          <w:b/>
          <w:bCs/>
          <w:sz w:val="20"/>
          <w:szCs w:val="20"/>
          <w:rtl/>
        </w:rPr>
        <w:t>ב"ח</w:t>
      </w:r>
      <w:r>
        <w:rPr>
          <w:rFonts w:cs="Arial" w:hint="cs"/>
          <w:sz w:val="20"/>
          <w:szCs w:val="20"/>
          <w:rtl/>
        </w:rPr>
        <w:t xml:space="preserve"> </w:t>
      </w:r>
      <w:r>
        <w:rPr>
          <w:rFonts w:cs="Arial"/>
          <w:sz w:val="20"/>
          <w:szCs w:val="20"/>
          <w:rtl/>
        </w:rPr>
        <w:t>–</w:t>
      </w:r>
      <w:r>
        <w:rPr>
          <w:rFonts w:cs="Arial" w:hint="cs"/>
          <w:sz w:val="20"/>
          <w:szCs w:val="20"/>
          <w:rtl/>
        </w:rPr>
        <w:t xml:space="preserve"> אפילו על גבי כלי חרס לא עלתה לה טבילה.</w:t>
      </w:r>
      <w:r>
        <w:rPr>
          <w:rFonts w:cs="Arial"/>
          <w:sz w:val="20"/>
          <w:szCs w:val="20"/>
          <w:rtl/>
        </w:rPr>
        <w:br/>
      </w:r>
      <w:r w:rsidRPr="00C75AC6">
        <w:rPr>
          <w:rFonts w:cs="Arial" w:hint="cs"/>
          <w:b/>
          <w:bCs/>
          <w:sz w:val="20"/>
          <w:szCs w:val="20"/>
          <w:rtl/>
        </w:rPr>
        <w:t>טעם</w:t>
      </w:r>
      <w:r>
        <w:rPr>
          <w:rFonts w:cs="Arial" w:hint="cs"/>
          <w:sz w:val="20"/>
          <w:szCs w:val="20"/>
          <w:rtl/>
        </w:rPr>
        <w:t xml:space="preserve"> </w:t>
      </w:r>
      <w:r>
        <w:rPr>
          <w:rFonts w:cs="Arial"/>
          <w:sz w:val="20"/>
          <w:szCs w:val="20"/>
          <w:rtl/>
        </w:rPr>
        <w:t>–</w:t>
      </w:r>
      <w:r>
        <w:rPr>
          <w:rFonts w:cs="Arial" w:hint="cs"/>
          <w:sz w:val="20"/>
          <w:szCs w:val="20"/>
          <w:rtl/>
        </w:rPr>
        <w:t xml:space="preserve"> מכוח גזרת מרחצאות. אך </w:t>
      </w:r>
      <w:r w:rsidRPr="00C75AC6">
        <w:rPr>
          <w:rFonts w:cs="Arial" w:hint="cs"/>
          <w:b/>
          <w:bCs/>
          <w:sz w:val="20"/>
          <w:szCs w:val="20"/>
          <w:rtl/>
        </w:rPr>
        <w:t>הש"ך</w:t>
      </w:r>
      <w:r>
        <w:rPr>
          <w:rFonts w:cs="Arial" w:hint="cs"/>
          <w:sz w:val="20"/>
          <w:szCs w:val="20"/>
          <w:rtl/>
        </w:rPr>
        <w:t xml:space="preserve"> דחה את הב"ח משום שהוא בנה את ראייתו על ההוה אמינא בגמרא.</w:t>
      </w:r>
    </w:p>
    <w:p w:rsidR="00620060" w:rsidRDefault="00620060" w:rsidP="00620060">
      <w:pPr>
        <w:rPr>
          <w:rFonts w:cs="Arial"/>
          <w:sz w:val="20"/>
          <w:szCs w:val="20"/>
          <w:rtl/>
        </w:rPr>
      </w:pPr>
      <w:r w:rsidRPr="0026531C">
        <w:rPr>
          <w:rStyle w:val="10"/>
          <w:rFonts w:hint="cs"/>
          <w:rtl/>
        </w:rPr>
        <w:t>ב.</w:t>
      </w:r>
      <w:r w:rsidRPr="0026531C">
        <w:rPr>
          <w:rFonts w:cs="Arial" w:hint="cs"/>
          <w:b/>
          <w:bCs/>
          <w:sz w:val="16"/>
          <w:szCs w:val="16"/>
          <w:rtl/>
        </w:rPr>
        <w:t xml:space="preserve"> </w:t>
      </w:r>
      <w:r>
        <w:rPr>
          <w:rFonts w:cs="Arial" w:hint="cs"/>
          <w:b/>
          <w:bCs/>
          <w:sz w:val="20"/>
          <w:szCs w:val="20"/>
          <w:rtl/>
        </w:rPr>
        <w:t xml:space="preserve">טבילה על גבי כלי המקבל טומאה </w:t>
      </w:r>
      <w:r>
        <w:rPr>
          <w:rFonts w:cs="Arial"/>
          <w:b/>
          <w:bCs/>
          <w:sz w:val="20"/>
          <w:szCs w:val="20"/>
          <w:rtl/>
        </w:rPr>
        <w:t>–</w:t>
      </w:r>
      <w:r>
        <w:rPr>
          <w:rFonts w:cs="Arial" w:hint="cs"/>
          <w:b/>
          <w:bCs/>
          <w:sz w:val="20"/>
          <w:szCs w:val="20"/>
          <w:rtl/>
        </w:rPr>
        <w:t xml:space="preserve"> מקור הדין</w:t>
      </w:r>
      <w:r>
        <w:rPr>
          <w:rFonts w:cs="Arial" w:hint="cs"/>
          <w:b/>
          <w:bCs/>
          <w:sz w:val="20"/>
          <w:szCs w:val="20"/>
          <w:rtl/>
        </w:rPr>
        <w:br/>
        <w:t xml:space="preserve">משנה </w:t>
      </w:r>
      <w:r>
        <w:rPr>
          <w:rFonts w:cs="Arial" w:hint="cs"/>
          <w:sz w:val="20"/>
          <w:szCs w:val="20"/>
          <w:rtl/>
        </w:rPr>
        <w:t>מקוואות (ה, ב) "</w:t>
      </w:r>
      <w:r w:rsidRPr="00710FD5">
        <w:rPr>
          <w:rFonts w:cs="Arial"/>
          <w:sz w:val="20"/>
          <w:szCs w:val="20"/>
          <w:rtl/>
        </w:rPr>
        <w:t xml:space="preserve">העבירו </w:t>
      </w:r>
      <w:r w:rsidRPr="00710FD5">
        <w:rPr>
          <w:rFonts w:cs="Arial" w:hint="cs"/>
          <w:sz w:val="18"/>
          <w:szCs w:val="18"/>
          <w:rtl/>
        </w:rPr>
        <w:t xml:space="preserve">(את המעיין) </w:t>
      </w:r>
      <w:r w:rsidRPr="00710FD5">
        <w:rPr>
          <w:rFonts w:cs="Arial"/>
          <w:sz w:val="20"/>
          <w:szCs w:val="20"/>
          <w:rtl/>
        </w:rPr>
        <w:t>על גבי כלים או על גבי ספסל</w:t>
      </w:r>
      <w:r>
        <w:rPr>
          <w:rFonts w:cs="Arial" w:hint="cs"/>
          <w:sz w:val="20"/>
          <w:szCs w:val="20"/>
          <w:rtl/>
        </w:rPr>
        <w:t>,</w:t>
      </w:r>
      <w:r w:rsidRPr="00710FD5">
        <w:rPr>
          <w:rFonts w:cs="Arial"/>
          <w:sz w:val="20"/>
          <w:szCs w:val="20"/>
          <w:rtl/>
        </w:rPr>
        <w:t xml:space="preserve"> ר' יהודה אומר</w:t>
      </w:r>
      <w:r>
        <w:rPr>
          <w:rFonts w:cs="Arial" w:hint="cs"/>
          <w:sz w:val="20"/>
          <w:szCs w:val="20"/>
          <w:rtl/>
        </w:rPr>
        <w:t>:</w:t>
      </w:r>
      <w:r w:rsidRPr="00710FD5">
        <w:rPr>
          <w:rFonts w:cs="Arial"/>
          <w:sz w:val="20"/>
          <w:szCs w:val="20"/>
          <w:rtl/>
        </w:rPr>
        <w:t xml:space="preserve"> הרי הוא כמו שהיה</w:t>
      </w:r>
      <w:r>
        <w:rPr>
          <w:rFonts w:cs="Arial" w:hint="cs"/>
          <w:sz w:val="20"/>
          <w:szCs w:val="20"/>
          <w:rtl/>
        </w:rPr>
        <w:t>.</w:t>
      </w:r>
      <w:r w:rsidRPr="00710FD5">
        <w:rPr>
          <w:rFonts w:cs="Arial"/>
          <w:sz w:val="20"/>
          <w:szCs w:val="20"/>
          <w:rtl/>
        </w:rPr>
        <w:t xml:space="preserve"> ר' יוסי אומר</w:t>
      </w:r>
      <w:r>
        <w:rPr>
          <w:rFonts w:cs="Arial" w:hint="cs"/>
          <w:sz w:val="20"/>
          <w:szCs w:val="20"/>
          <w:rtl/>
        </w:rPr>
        <w:t>:</w:t>
      </w:r>
      <w:r w:rsidRPr="00710FD5">
        <w:rPr>
          <w:rFonts w:cs="Arial"/>
          <w:sz w:val="20"/>
          <w:szCs w:val="20"/>
          <w:rtl/>
        </w:rPr>
        <w:t xml:space="preserve"> הרי הוא כמק</w:t>
      </w:r>
      <w:r>
        <w:rPr>
          <w:rFonts w:cs="Arial" w:hint="cs"/>
          <w:sz w:val="20"/>
          <w:szCs w:val="20"/>
          <w:rtl/>
        </w:rPr>
        <w:t>ו</w:t>
      </w:r>
      <w:r w:rsidRPr="00710FD5">
        <w:rPr>
          <w:rFonts w:cs="Arial"/>
          <w:sz w:val="20"/>
          <w:szCs w:val="20"/>
          <w:rtl/>
        </w:rPr>
        <w:t>וה</w:t>
      </w:r>
      <w:r>
        <w:rPr>
          <w:rFonts w:cs="Arial" w:hint="cs"/>
          <w:sz w:val="20"/>
          <w:szCs w:val="20"/>
          <w:rtl/>
        </w:rPr>
        <w:t>,</w:t>
      </w:r>
      <w:r w:rsidRPr="00710FD5">
        <w:rPr>
          <w:rFonts w:cs="Arial"/>
          <w:sz w:val="20"/>
          <w:szCs w:val="20"/>
          <w:rtl/>
        </w:rPr>
        <w:t xml:space="preserve"> ובלבד שלא יטביל על גבי הס</w:t>
      </w:r>
      <w:r>
        <w:rPr>
          <w:rFonts w:cs="Arial"/>
          <w:sz w:val="20"/>
          <w:szCs w:val="20"/>
          <w:rtl/>
        </w:rPr>
        <w:t>פסל</w:t>
      </w:r>
      <w:r>
        <w:rPr>
          <w:rFonts w:cs="Arial" w:hint="cs"/>
          <w:sz w:val="20"/>
          <w:szCs w:val="20"/>
          <w:rtl/>
        </w:rPr>
        <w:t>".</w:t>
      </w:r>
    </w:p>
    <w:p w:rsidR="00620060" w:rsidRDefault="00620060" w:rsidP="00620060">
      <w:pPr>
        <w:rPr>
          <w:rFonts w:cs="Arial"/>
          <w:sz w:val="20"/>
          <w:szCs w:val="20"/>
          <w:rtl/>
        </w:rPr>
      </w:pPr>
      <w:r w:rsidRPr="00E52A38">
        <w:rPr>
          <w:rFonts w:cs="Arial" w:hint="cs"/>
          <w:b/>
          <w:bCs/>
          <w:sz w:val="20"/>
          <w:szCs w:val="20"/>
          <w:rtl/>
        </w:rPr>
        <w:t>שיטות הראשונים</w:t>
      </w:r>
      <w:r>
        <w:rPr>
          <w:rFonts w:cs="Arial" w:hint="cs"/>
          <w:sz w:val="20"/>
          <w:szCs w:val="20"/>
          <w:u w:val="single"/>
          <w:rtl/>
        </w:rPr>
        <w:br/>
      </w:r>
      <w:r>
        <w:rPr>
          <w:rFonts w:cs="Arial" w:hint="cs"/>
          <w:sz w:val="20"/>
          <w:szCs w:val="20"/>
          <w:rtl/>
        </w:rPr>
        <w:t xml:space="preserve">מדוע </w:t>
      </w:r>
      <w:r w:rsidRPr="00AF0320">
        <w:rPr>
          <w:rFonts w:cs="Arial" w:hint="cs"/>
          <w:sz w:val="20"/>
          <w:szCs w:val="20"/>
          <w:rtl/>
        </w:rPr>
        <w:t>אין לט</w:t>
      </w:r>
      <w:r>
        <w:rPr>
          <w:rFonts w:cs="Arial" w:hint="cs"/>
          <w:sz w:val="20"/>
          <w:szCs w:val="20"/>
          <w:rtl/>
        </w:rPr>
        <w:t>בו</w:t>
      </w:r>
      <w:r w:rsidRPr="00AF0320">
        <w:rPr>
          <w:rFonts w:cs="Arial" w:hint="cs"/>
          <w:sz w:val="20"/>
          <w:szCs w:val="20"/>
          <w:rtl/>
        </w:rPr>
        <w:t>ל על גבי ספסל?</w:t>
      </w:r>
      <w:r w:rsidRPr="00AF0320">
        <w:rPr>
          <w:rFonts w:cs="Arial"/>
          <w:sz w:val="20"/>
          <w:szCs w:val="20"/>
          <w:u w:val="single"/>
          <w:rtl/>
        </w:rPr>
        <w:br/>
      </w:r>
      <w:r w:rsidRPr="00AF0320">
        <w:rPr>
          <w:rFonts w:cs="Arial" w:hint="cs"/>
          <w:sz w:val="20"/>
          <w:szCs w:val="20"/>
          <w:rtl/>
        </w:rPr>
        <w:t xml:space="preserve">א. </w:t>
      </w:r>
      <w:r>
        <w:rPr>
          <w:rFonts w:cs="Arial" w:hint="cs"/>
          <w:b/>
          <w:bCs/>
          <w:sz w:val="20"/>
          <w:szCs w:val="20"/>
          <w:rtl/>
        </w:rPr>
        <w:t>ראב"ד ורשב"א</w:t>
      </w:r>
      <w:r>
        <w:rPr>
          <w:rFonts w:cs="Arial" w:hint="cs"/>
          <w:sz w:val="20"/>
          <w:szCs w:val="20"/>
          <w:rtl/>
        </w:rPr>
        <w:t xml:space="preserve"> </w:t>
      </w:r>
      <w:r>
        <w:rPr>
          <w:rFonts w:cs="Arial"/>
          <w:sz w:val="20"/>
          <w:szCs w:val="20"/>
          <w:rtl/>
        </w:rPr>
        <w:t>–</w:t>
      </w:r>
      <w:r>
        <w:rPr>
          <w:rFonts w:cs="Arial" w:hint="cs"/>
          <w:sz w:val="20"/>
          <w:szCs w:val="20"/>
          <w:rtl/>
        </w:rPr>
        <w:t xml:space="preserve"> אין טובלים בכלי משום שנאמר בתורה מעיין ומקווה מים. הוסיפו חכמים וגזרו שלא תטבול על גבי כלי המקבל טומאה, אטו טבילה בכלי עצמו. </w:t>
      </w:r>
      <w:r w:rsidRPr="00564188">
        <w:rPr>
          <w:rFonts w:cs="Arial" w:hint="cs"/>
          <w:sz w:val="18"/>
          <w:szCs w:val="18"/>
          <w:rtl/>
        </w:rPr>
        <w:t xml:space="preserve">[מוכח במשנה שאין הטעם משום פחד של הטובל, שהרי מדובר כאן </w:t>
      </w:r>
      <w:r>
        <w:rPr>
          <w:rFonts w:cs="Arial" w:hint="cs"/>
          <w:sz w:val="18"/>
          <w:szCs w:val="18"/>
          <w:rtl/>
        </w:rPr>
        <w:t>ב</w:t>
      </w:r>
      <w:r w:rsidRPr="00564188">
        <w:rPr>
          <w:rFonts w:cs="Arial" w:hint="cs"/>
          <w:sz w:val="18"/>
          <w:szCs w:val="18"/>
          <w:rtl/>
        </w:rPr>
        <w:t xml:space="preserve">טבילת כלים ולא </w:t>
      </w:r>
      <w:r>
        <w:rPr>
          <w:rFonts w:cs="Arial" w:hint="cs"/>
          <w:sz w:val="18"/>
          <w:szCs w:val="18"/>
          <w:rtl/>
        </w:rPr>
        <w:t>ב</w:t>
      </w:r>
      <w:r w:rsidRPr="00564188">
        <w:rPr>
          <w:rFonts w:cs="Arial" w:hint="cs"/>
          <w:sz w:val="18"/>
          <w:szCs w:val="18"/>
          <w:rtl/>
        </w:rPr>
        <w:t>טבילת אדם].</w:t>
      </w:r>
      <w:r>
        <w:rPr>
          <w:rFonts w:cs="Arial" w:hint="cs"/>
          <w:sz w:val="20"/>
          <w:szCs w:val="20"/>
          <w:rtl/>
        </w:rPr>
        <w:t xml:space="preserve"> ואף בדיעבד אין טבילה על גבי כלי מועילה, וכ"פ </w:t>
      </w:r>
      <w:r w:rsidRPr="0079293E">
        <w:rPr>
          <w:rFonts w:cs="Arial" w:hint="cs"/>
          <w:b/>
          <w:bCs/>
          <w:sz w:val="20"/>
          <w:szCs w:val="20"/>
          <w:rtl/>
        </w:rPr>
        <w:t>המחבר</w:t>
      </w:r>
      <w:r>
        <w:rPr>
          <w:rFonts w:cs="Arial" w:hint="cs"/>
          <w:sz w:val="20"/>
          <w:szCs w:val="20"/>
          <w:rtl/>
        </w:rPr>
        <w:t>.</w:t>
      </w:r>
      <w:r>
        <w:rPr>
          <w:rFonts w:cs="Arial" w:hint="cs"/>
          <w:sz w:val="20"/>
          <w:szCs w:val="20"/>
          <w:rtl/>
        </w:rPr>
        <w:br/>
        <w:t xml:space="preserve">ב. </w:t>
      </w:r>
      <w:r w:rsidRPr="00AF0320">
        <w:rPr>
          <w:rFonts w:cs="Arial" w:hint="cs"/>
          <w:b/>
          <w:bCs/>
          <w:sz w:val="20"/>
          <w:szCs w:val="20"/>
          <w:rtl/>
        </w:rPr>
        <w:t>רא"ש</w:t>
      </w:r>
      <w:r w:rsidRPr="00AF2EFF">
        <w:rPr>
          <w:rStyle w:val="a5"/>
          <w:rFonts w:cs="Arial"/>
          <w:sz w:val="20"/>
          <w:szCs w:val="20"/>
          <w:rtl/>
        </w:rPr>
        <w:footnoteReference w:id="667"/>
      </w:r>
      <w:r w:rsidRPr="00AF2EFF">
        <w:rPr>
          <w:rFonts w:cs="Arial" w:hint="cs"/>
          <w:sz w:val="20"/>
          <w:szCs w:val="20"/>
          <w:rtl/>
        </w:rPr>
        <w:t xml:space="preserve"> </w:t>
      </w:r>
      <w:r>
        <w:rPr>
          <w:rFonts w:cs="Arial"/>
          <w:sz w:val="20"/>
          <w:szCs w:val="20"/>
          <w:rtl/>
        </w:rPr>
        <w:t>–</w:t>
      </w:r>
      <w:r>
        <w:rPr>
          <w:rFonts w:cs="Arial" w:hint="cs"/>
          <w:sz w:val="20"/>
          <w:szCs w:val="20"/>
          <w:rtl/>
        </w:rPr>
        <w:t xml:space="preserve"> אין טובלים על אחורי הכלי אטו טבילה תוך הכלי </w:t>
      </w:r>
      <w:r w:rsidRPr="00B10820">
        <w:rPr>
          <w:rFonts w:cs="Arial" w:hint="cs"/>
          <w:sz w:val="18"/>
          <w:szCs w:val="18"/>
          <w:rtl/>
        </w:rPr>
        <w:t>(ועיין הערה</w:t>
      </w:r>
      <w:r w:rsidRPr="00B10820">
        <w:rPr>
          <w:rStyle w:val="a5"/>
          <w:rFonts w:cs="Arial"/>
          <w:sz w:val="18"/>
          <w:szCs w:val="18"/>
          <w:rtl/>
        </w:rPr>
        <w:footnoteReference w:id="668"/>
      </w:r>
      <w:r w:rsidRPr="00B10820">
        <w:rPr>
          <w:rFonts w:cs="Arial" w:hint="cs"/>
          <w:sz w:val="18"/>
          <w:szCs w:val="18"/>
          <w:rtl/>
        </w:rPr>
        <w:t xml:space="preserve">) </w:t>
      </w:r>
      <w:r>
        <w:rPr>
          <w:rFonts w:cs="Arial" w:hint="cs"/>
          <w:sz w:val="20"/>
          <w:szCs w:val="20"/>
          <w:rtl/>
        </w:rPr>
        <w:t>ואפילו בדיעבד לא מהני.</w:t>
      </w:r>
      <w:r>
        <w:rPr>
          <w:rFonts w:cs="Arial"/>
          <w:sz w:val="20"/>
          <w:szCs w:val="20"/>
          <w:rtl/>
        </w:rPr>
        <w:br/>
      </w:r>
      <w:r w:rsidRPr="00BA6DC7">
        <w:rPr>
          <w:rFonts w:cs="Arial" w:hint="cs"/>
          <w:b/>
          <w:bCs/>
          <w:sz w:val="20"/>
          <w:szCs w:val="20"/>
          <w:rtl/>
        </w:rPr>
        <w:t>טעם</w:t>
      </w:r>
      <w:r>
        <w:rPr>
          <w:rFonts w:cs="Arial" w:hint="cs"/>
          <w:sz w:val="20"/>
          <w:szCs w:val="20"/>
          <w:rtl/>
        </w:rPr>
        <w:t xml:space="preserve"> </w:t>
      </w:r>
      <w:r>
        <w:rPr>
          <w:rFonts w:cs="Arial"/>
          <w:sz w:val="20"/>
          <w:szCs w:val="20"/>
          <w:rtl/>
        </w:rPr>
        <w:t>–</w:t>
      </w:r>
      <w:r>
        <w:rPr>
          <w:rFonts w:cs="Arial" w:hint="cs"/>
          <w:sz w:val="20"/>
          <w:szCs w:val="20"/>
          <w:rtl/>
        </w:rPr>
        <w:t xml:space="preserve"> מסקנת הגמרא היא שאין דין גזרת מרחצאות, ולכן יש לפרש את הטעם במשנה האוסרת לטבול אחורי ספסל משום אטו תוך הכלי.</w:t>
      </w:r>
      <w:r>
        <w:rPr>
          <w:rFonts w:cs="Arial" w:hint="cs"/>
          <w:sz w:val="20"/>
          <w:szCs w:val="20"/>
          <w:rtl/>
        </w:rPr>
        <w:br/>
        <w:t xml:space="preserve">ג. </w:t>
      </w:r>
      <w:r w:rsidRPr="001310B1">
        <w:rPr>
          <w:rFonts w:cs="Arial" w:hint="cs"/>
          <w:b/>
          <w:bCs/>
          <w:sz w:val="20"/>
          <w:szCs w:val="20"/>
          <w:rtl/>
        </w:rPr>
        <w:t>ר"ש</w:t>
      </w:r>
      <w:r>
        <w:rPr>
          <w:rFonts w:cs="Arial" w:hint="cs"/>
          <w:sz w:val="20"/>
          <w:szCs w:val="20"/>
          <w:rtl/>
        </w:rPr>
        <w:t xml:space="preserve"> </w:t>
      </w:r>
      <w:r>
        <w:rPr>
          <w:rFonts w:cs="Arial"/>
          <w:sz w:val="20"/>
          <w:szCs w:val="20"/>
          <w:rtl/>
        </w:rPr>
        <w:t>–</w:t>
      </w:r>
      <w:r>
        <w:rPr>
          <w:rFonts w:cs="Arial" w:hint="cs"/>
          <w:sz w:val="20"/>
          <w:szCs w:val="20"/>
          <w:rtl/>
        </w:rPr>
        <w:t xml:space="preserve"> אין לטבול בכלי הקבוע באדמה, אך מותר לטבול בכלי תלוש המחובר למעיין </w:t>
      </w:r>
      <w:r w:rsidRPr="004439BE">
        <w:rPr>
          <w:rFonts w:cs="Arial" w:hint="cs"/>
          <w:sz w:val="18"/>
          <w:szCs w:val="18"/>
          <w:rtl/>
        </w:rPr>
        <w:t>(משמע אפילו אם מק"ט).</w:t>
      </w:r>
      <w:r>
        <w:rPr>
          <w:rFonts w:cs="Arial"/>
          <w:sz w:val="20"/>
          <w:szCs w:val="20"/>
          <w:rtl/>
        </w:rPr>
        <w:br/>
      </w:r>
      <w:r w:rsidRPr="001310B1">
        <w:rPr>
          <w:rFonts w:cs="Arial" w:hint="cs"/>
          <w:b/>
          <w:bCs/>
          <w:sz w:val="20"/>
          <w:szCs w:val="20"/>
          <w:rtl/>
        </w:rPr>
        <w:t>טעם</w:t>
      </w:r>
      <w:r>
        <w:rPr>
          <w:rFonts w:cs="Arial" w:hint="cs"/>
          <w:sz w:val="20"/>
          <w:szCs w:val="20"/>
          <w:rtl/>
        </w:rPr>
        <w:t xml:space="preserve"> </w:t>
      </w:r>
      <w:r>
        <w:rPr>
          <w:rFonts w:cs="Arial"/>
          <w:sz w:val="20"/>
          <w:szCs w:val="20"/>
          <w:rtl/>
        </w:rPr>
        <w:t>–</w:t>
      </w:r>
      <w:r>
        <w:rPr>
          <w:rFonts w:cs="Arial" w:hint="cs"/>
          <w:sz w:val="20"/>
          <w:szCs w:val="20"/>
          <w:rtl/>
        </w:rPr>
        <w:t xml:space="preserve"> בכלי מחובר יש חשש שמא יקבעוהו במקום מוצא המים ולא יהיה נקב כשפופרת הנאד בינו למעיין ובכה"ג ייפסל המעיין כולו, אך בכלי תלוש לא גזרו.</w:t>
      </w:r>
    </w:p>
    <w:p w:rsidR="00620060" w:rsidRPr="008479B3" w:rsidRDefault="00620060" w:rsidP="00620060">
      <w:pPr>
        <w:rPr>
          <w:rFonts w:cs="Arial"/>
          <w:sz w:val="20"/>
          <w:szCs w:val="20"/>
          <w:rtl/>
        </w:rPr>
      </w:pPr>
      <w:r>
        <w:rPr>
          <w:rFonts w:cs="Arial" w:hint="cs"/>
          <w:b/>
          <w:bCs/>
          <w:sz w:val="20"/>
          <w:szCs w:val="20"/>
          <w:rtl/>
        </w:rPr>
        <w:t xml:space="preserve">נפקא מינה בין הראב"ד לרא"ש </w:t>
      </w:r>
      <w:r>
        <w:rPr>
          <w:rFonts w:cs="Arial"/>
          <w:sz w:val="20"/>
          <w:szCs w:val="20"/>
          <w:rtl/>
        </w:rPr>
        <w:t>–</w:t>
      </w:r>
      <w:r>
        <w:rPr>
          <w:rFonts w:cs="Arial" w:hint="cs"/>
          <w:sz w:val="20"/>
          <w:szCs w:val="20"/>
          <w:rtl/>
        </w:rPr>
        <w:t xml:space="preserve"> טבילה על גבי אחורי כלי חרס.</w:t>
      </w:r>
      <w:r>
        <w:rPr>
          <w:rFonts w:cs="Arial"/>
          <w:sz w:val="20"/>
          <w:szCs w:val="20"/>
          <w:rtl/>
        </w:rPr>
        <w:br/>
      </w:r>
      <w:r>
        <w:rPr>
          <w:rFonts w:cs="Arial" w:hint="cs"/>
          <w:sz w:val="20"/>
          <w:szCs w:val="20"/>
          <w:rtl/>
        </w:rPr>
        <w:t xml:space="preserve">א. </w:t>
      </w:r>
      <w:r w:rsidRPr="008479B3">
        <w:rPr>
          <w:rFonts w:cs="Arial" w:hint="cs"/>
          <w:b/>
          <w:bCs/>
          <w:sz w:val="20"/>
          <w:szCs w:val="20"/>
          <w:rtl/>
        </w:rPr>
        <w:t>ראב"ד</w:t>
      </w:r>
      <w:r>
        <w:rPr>
          <w:rFonts w:cs="Arial" w:hint="cs"/>
          <w:sz w:val="20"/>
          <w:szCs w:val="20"/>
          <w:rtl/>
        </w:rPr>
        <w:t xml:space="preserve"> </w:t>
      </w:r>
      <w:r>
        <w:rPr>
          <w:rFonts w:cs="Arial"/>
          <w:sz w:val="20"/>
          <w:szCs w:val="20"/>
          <w:rtl/>
        </w:rPr>
        <w:t>–</w:t>
      </w:r>
      <w:r>
        <w:rPr>
          <w:rFonts w:cs="Arial" w:hint="cs"/>
          <w:sz w:val="20"/>
          <w:szCs w:val="20"/>
          <w:rtl/>
        </w:rPr>
        <w:t xml:space="preserve"> כשרה, וכ"פ </w:t>
      </w:r>
      <w:r w:rsidRPr="000D39DF">
        <w:rPr>
          <w:rFonts w:cs="Arial" w:hint="cs"/>
          <w:b/>
          <w:bCs/>
          <w:sz w:val="20"/>
          <w:szCs w:val="20"/>
          <w:rtl/>
        </w:rPr>
        <w:t>המחבר</w:t>
      </w:r>
      <w:r>
        <w:rPr>
          <w:rFonts w:cs="Arial" w:hint="cs"/>
          <w:sz w:val="20"/>
          <w:szCs w:val="20"/>
          <w:rtl/>
        </w:rPr>
        <w:t>.</w:t>
      </w:r>
      <w:r>
        <w:rPr>
          <w:rFonts w:cs="Arial"/>
          <w:sz w:val="20"/>
          <w:szCs w:val="20"/>
          <w:rtl/>
        </w:rPr>
        <w:br/>
      </w:r>
      <w:r w:rsidRPr="008479B3">
        <w:rPr>
          <w:rFonts w:cs="Arial" w:hint="cs"/>
          <w:b/>
          <w:bCs/>
          <w:sz w:val="20"/>
          <w:szCs w:val="20"/>
          <w:rtl/>
        </w:rPr>
        <w:t>טעם</w:t>
      </w:r>
      <w:r>
        <w:rPr>
          <w:rFonts w:cs="Arial" w:hint="cs"/>
          <w:sz w:val="20"/>
          <w:szCs w:val="20"/>
          <w:rtl/>
        </w:rPr>
        <w:t xml:space="preserve"> </w:t>
      </w:r>
      <w:r>
        <w:rPr>
          <w:rFonts w:cs="Arial"/>
          <w:sz w:val="20"/>
          <w:szCs w:val="20"/>
          <w:rtl/>
        </w:rPr>
        <w:t>–</w:t>
      </w:r>
      <w:r>
        <w:rPr>
          <w:rFonts w:cs="Arial" w:hint="cs"/>
          <w:sz w:val="20"/>
          <w:szCs w:val="20"/>
          <w:rtl/>
        </w:rPr>
        <w:t xml:space="preserve"> אחורי כלי חרס אינו מק"ט.</w:t>
      </w:r>
      <w:r>
        <w:rPr>
          <w:rFonts w:cs="Arial"/>
          <w:sz w:val="20"/>
          <w:szCs w:val="20"/>
          <w:rtl/>
        </w:rPr>
        <w:br/>
      </w:r>
      <w:r>
        <w:rPr>
          <w:rFonts w:cs="Arial" w:hint="cs"/>
          <w:sz w:val="20"/>
          <w:szCs w:val="20"/>
          <w:rtl/>
        </w:rPr>
        <w:t xml:space="preserve">ב. </w:t>
      </w:r>
      <w:r w:rsidRPr="008479B3">
        <w:rPr>
          <w:rFonts w:cs="Arial" w:hint="cs"/>
          <w:b/>
          <w:bCs/>
          <w:sz w:val="20"/>
          <w:szCs w:val="20"/>
          <w:rtl/>
        </w:rPr>
        <w:t>רא"ש</w:t>
      </w:r>
      <w:r>
        <w:rPr>
          <w:rFonts w:cs="Arial" w:hint="cs"/>
          <w:sz w:val="20"/>
          <w:szCs w:val="20"/>
          <w:rtl/>
        </w:rPr>
        <w:t xml:space="preserve"> </w:t>
      </w:r>
      <w:r>
        <w:rPr>
          <w:rFonts w:cs="Arial"/>
          <w:sz w:val="20"/>
          <w:szCs w:val="20"/>
          <w:rtl/>
        </w:rPr>
        <w:t>–</w:t>
      </w:r>
      <w:r>
        <w:rPr>
          <w:rFonts w:cs="Arial" w:hint="cs"/>
          <w:sz w:val="20"/>
          <w:szCs w:val="20"/>
          <w:rtl/>
        </w:rPr>
        <w:t xml:space="preserve"> פסולה</w:t>
      </w:r>
      <w:r>
        <w:rPr>
          <w:rStyle w:val="a5"/>
          <w:rFonts w:cs="Arial"/>
          <w:sz w:val="20"/>
          <w:szCs w:val="20"/>
          <w:rtl/>
        </w:rPr>
        <w:footnoteReference w:id="669"/>
      </w:r>
      <w:r>
        <w:rPr>
          <w:rFonts w:cs="Arial" w:hint="cs"/>
          <w:sz w:val="20"/>
          <w:szCs w:val="20"/>
          <w:rtl/>
        </w:rPr>
        <w:t>.</w:t>
      </w:r>
      <w:r>
        <w:rPr>
          <w:rStyle w:val="a5"/>
          <w:rFonts w:cs="Arial"/>
          <w:sz w:val="20"/>
          <w:szCs w:val="20"/>
          <w:rtl/>
        </w:rPr>
        <w:footnoteReference w:id="670"/>
      </w:r>
      <w:r>
        <w:rPr>
          <w:rFonts w:cs="Arial"/>
          <w:sz w:val="20"/>
          <w:szCs w:val="20"/>
          <w:rtl/>
        </w:rPr>
        <w:br/>
      </w:r>
      <w:r w:rsidRPr="008479B3">
        <w:rPr>
          <w:rFonts w:cs="Arial" w:hint="cs"/>
          <w:b/>
          <w:bCs/>
          <w:sz w:val="20"/>
          <w:szCs w:val="20"/>
          <w:rtl/>
        </w:rPr>
        <w:t>טעם</w:t>
      </w:r>
      <w:r>
        <w:rPr>
          <w:rFonts w:cs="Arial" w:hint="cs"/>
          <w:sz w:val="20"/>
          <w:szCs w:val="20"/>
          <w:rtl/>
        </w:rPr>
        <w:t xml:space="preserve"> </w:t>
      </w:r>
      <w:r>
        <w:rPr>
          <w:rFonts w:cs="Arial"/>
          <w:sz w:val="20"/>
          <w:szCs w:val="20"/>
          <w:rtl/>
        </w:rPr>
        <w:t>–</w:t>
      </w:r>
      <w:r>
        <w:rPr>
          <w:rFonts w:cs="Arial" w:hint="cs"/>
          <w:sz w:val="20"/>
          <w:szCs w:val="20"/>
          <w:rtl/>
        </w:rPr>
        <w:t xml:space="preserve"> גזרה אטו תוכו </w:t>
      </w:r>
      <w:r w:rsidRPr="008479B3">
        <w:rPr>
          <w:rFonts w:cs="Arial" w:hint="cs"/>
          <w:sz w:val="18"/>
          <w:szCs w:val="18"/>
          <w:rtl/>
        </w:rPr>
        <w:t xml:space="preserve">(ולכן אפילו </w:t>
      </w:r>
      <w:r>
        <w:rPr>
          <w:rFonts w:cs="Arial" w:hint="cs"/>
          <w:sz w:val="18"/>
          <w:szCs w:val="18"/>
          <w:rtl/>
        </w:rPr>
        <w:t xml:space="preserve">על גבי אחורי </w:t>
      </w:r>
      <w:r w:rsidRPr="008479B3">
        <w:rPr>
          <w:rFonts w:cs="Arial" w:hint="cs"/>
          <w:sz w:val="18"/>
          <w:szCs w:val="18"/>
          <w:rtl/>
        </w:rPr>
        <w:t xml:space="preserve">כלי תלוש אסור, חמור גם </w:t>
      </w:r>
      <w:r w:rsidRPr="00C3401C">
        <w:rPr>
          <w:rFonts w:cs="Arial" w:hint="cs"/>
          <w:b/>
          <w:bCs/>
          <w:sz w:val="18"/>
          <w:szCs w:val="18"/>
          <w:rtl/>
        </w:rPr>
        <w:t>מר"ש</w:t>
      </w:r>
      <w:r w:rsidRPr="008479B3">
        <w:rPr>
          <w:rFonts w:cs="Arial" w:hint="cs"/>
          <w:sz w:val="18"/>
          <w:szCs w:val="18"/>
          <w:rtl/>
        </w:rPr>
        <w:t>)</w:t>
      </w:r>
      <w:r>
        <w:rPr>
          <w:rFonts w:cs="Arial" w:hint="cs"/>
          <w:sz w:val="20"/>
          <w:szCs w:val="20"/>
          <w:rtl/>
        </w:rPr>
        <w:t>.</w:t>
      </w:r>
    </w:p>
    <w:p w:rsidR="00620060" w:rsidRPr="0026531C"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26531C">
        <w:rPr>
          <w:rFonts w:cs="Arial"/>
          <w:sz w:val="20"/>
          <w:szCs w:val="20"/>
          <w:rtl/>
        </w:rPr>
        <w:t xml:space="preserve">אין טובלין בכלים. לפיכך אם היה טיט במקום שטובלת, לא תעמוד על גבי כלי עץ שמקבלין טומאה מגבן, ולא על גבי נסרים שראויים למדרסות ולא על שום כלי הראוי למדרס ותטבול, משום גזירת מרחצאות של כלים; עברה וטבלה, לא עלתה לה טבילה. אבל נותנת היא חבילי זמורות תחת רגליה, מפני הטיט. וכן לא תעמוד על גבי כלי חרס ולא על גבי בקעת ותטבול; ואף על פי שאין כלי חרס מטמא מגבו ולא ראוי </w:t>
      </w:r>
      <w:r w:rsidRPr="0026531C">
        <w:rPr>
          <w:rFonts w:cs="Arial"/>
          <w:sz w:val="20"/>
          <w:szCs w:val="20"/>
          <w:rtl/>
        </w:rPr>
        <w:lastRenderedPageBreak/>
        <w:t xml:space="preserve">למדרס חשש חכמים הוא שמא תפחד שלא תפול ולא תטבול כראוי. עברה </w:t>
      </w:r>
      <w:r>
        <w:rPr>
          <w:rFonts w:cs="Arial"/>
          <w:sz w:val="20"/>
          <w:szCs w:val="20"/>
          <w:rtl/>
        </w:rPr>
        <w:t>וטבלה על גבי אלו, עלתה לה טבילה</w:t>
      </w:r>
      <w:r>
        <w:rPr>
          <w:rFonts w:cs="Arial" w:hint="cs"/>
          <w:sz w:val="20"/>
          <w:szCs w:val="20"/>
          <w:rtl/>
        </w:rPr>
        <w:t>".</w:t>
      </w:r>
      <w:r>
        <w:rPr>
          <w:rFonts w:hint="cs"/>
          <w:sz w:val="20"/>
          <w:szCs w:val="20"/>
          <w:rtl/>
        </w:rPr>
        <w:br/>
      </w:r>
      <w:r>
        <w:rPr>
          <w:rStyle w:val="10"/>
          <w:rtl/>
        </w:rPr>
        <w:br/>
      </w:r>
      <w:r w:rsidRPr="00F55081">
        <w:rPr>
          <w:rStyle w:val="10"/>
          <w:rFonts w:hint="cs"/>
          <w:rtl/>
        </w:rPr>
        <w:t>ג.</w:t>
      </w:r>
      <w:r w:rsidRPr="00F55081">
        <w:rPr>
          <w:rFonts w:hint="cs"/>
          <w:b/>
          <w:bCs/>
          <w:sz w:val="16"/>
          <w:szCs w:val="16"/>
          <w:rtl/>
        </w:rPr>
        <w:t xml:space="preserve"> </w:t>
      </w:r>
      <w:r w:rsidRPr="00F55081">
        <w:rPr>
          <w:rFonts w:hint="cs"/>
          <w:b/>
          <w:bCs/>
          <w:sz w:val="20"/>
          <w:szCs w:val="20"/>
          <w:rtl/>
        </w:rPr>
        <w:t>טבילה בסולם הקבוע במקווה</w:t>
      </w:r>
      <w:r>
        <w:rPr>
          <w:rFonts w:hint="cs"/>
          <w:b/>
          <w:bCs/>
          <w:sz w:val="20"/>
          <w:szCs w:val="20"/>
          <w:rtl/>
        </w:rPr>
        <w:br/>
        <w:t>פסיקת הלכה</w:t>
      </w:r>
      <w:r>
        <w:rPr>
          <w:b/>
          <w:bCs/>
          <w:sz w:val="20"/>
          <w:szCs w:val="20"/>
          <w:rtl/>
        </w:rPr>
        <w:br/>
      </w:r>
      <w:r>
        <w:rPr>
          <w:rFonts w:hint="cs"/>
          <w:sz w:val="20"/>
          <w:szCs w:val="20"/>
          <w:rtl/>
        </w:rPr>
        <w:t xml:space="preserve">א. </w:t>
      </w:r>
      <w:r>
        <w:rPr>
          <w:rFonts w:hint="cs"/>
          <w:b/>
          <w:bCs/>
          <w:sz w:val="20"/>
          <w:szCs w:val="20"/>
          <w:rtl/>
        </w:rPr>
        <w:t xml:space="preserve">שולחן ערוך </w:t>
      </w:r>
      <w:r w:rsidRPr="004F43B8">
        <w:rPr>
          <w:rFonts w:hint="cs"/>
          <w:sz w:val="18"/>
          <w:szCs w:val="18"/>
          <w:rtl/>
        </w:rPr>
        <w:t xml:space="preserve">(ע"פ </w:t>
      </w:r>
      <w:r w:rsidRPr="004F43B8">
        <w:rPr>
          <w:rFonts w:hint="cs"/>
          <w:b/>
          <w:bCs/>
          <w:sz w:val="18"/>
          <w:szCs w:val="18"/>
          <w:rtl/>
        </w:rPr>
        <w:t>הרשב"א</w:t>
      </w:r>
      <w:r w:rsidRPr="004F43B8">
        <w:rPr>
          <w:rFonts w:hint="cs"/>
          <w:sz w:val="18"/>
          <w:szCs w:val="18"/>
          <w:rtl/>
        </w:rPr>
        <w:t xml:space="preserve">) </w:t>
      </w:r>
      <w:r>
        <w:rPr>
          <w:sz w:val="20"/>
          <w:szCs w:val="20"/>
          <w:rtl/>
        </w:rPr>
        <w:t>–</w:t>
      </w:r>
      <w:r>
        <w:rPr>
          <w:rFonts w:hint="cs"/>
          <w:sz w:val="20"/>
          <w:szCs w:val="20"/>
          <w:rtl/>
        </w:rPr>
        <w:t xml:space="preserve"> "</w:t>
      </w:r>
      <w:r w:rsidRPr="004F43B8">
        <w:rPr>
          <w:rFonts w:cs="Arial"/>
          <w:sz w:val="20"/>
          <w:szCs w:val="20"/>
          <w:rtl/>
        </w:rPr>
        <w:t>ולפי זה מקו</w:t>
      </w:r>
      <w:r>
        <w:rPr>
          <w:rFonts w:cs="Arial" w:hint="cs"/>
          <w:sz w:val="20"/>
          <w:szCs w:val="20"/>
          <w:rtl/>
        </w:rPr>
        <w:t>ו</w:t>
      </w:r>
      <w:r w:rsidRPr="004F43B8">
        <w:rPr>
          <w:rFonts w:cs="Arial"/>
          <w:sz w:val="20"/>
          <w:szCs w:val="20"/>
          <w:rtl/>
        </w:rPr>
        <w:t xml:space="preserve">ה שיש בו שליבות </w:t>
      </w:r>
      <w:r w:rsidRPr="004F43B8">
        <w:rPr>
          <w:rFonts w:cs="Arial"/>
          <w:sz w:val="18"/>
          <w:szCs w:val="18"/>
          <w:rtl/>
        </w:rPr>
        <w:t>(פי</w:t>
      </w:r>
      <w:r w:rsidRPr="004F43B8">
        <w:rPr>
          <w:rFonts w:cs="Arial" w:hint="cs"/>
          <w:sz w:val="18"/>
          <w:szCs w:val="18"/>
          <w:rtl/>
        </w:rPr>
        <w:t>רוש</w:t>
      </w:r>
      <w:r w:rsidRPr="004F43B8">
        <w:rPr>
          <w:rFonts w:cs="Arial"/>
          <w:sz w:val="18"/>
          <w:szCs w:val="18"/>
          <w:rtl/>
        </w:rPr>
        <w:t xml:space="preserve"> מדרגות) </w:t>
      </w:r>
      <w:r w:rsidRPr="004F43B8">
        <w:rPr>
          <w:rFonts w:cs="Arial"/>
          <w:sz w:val="20"/>
          <w:szCs w:val="20"/>
          <w:rtl/>
        </w:rPr>
        <w:t xml:space="preserve">של עץ, אם טבלה על גבי השליבות </w:t>
      </w:r>
      <w:r w:rsidRPr="004F43B8">
        <w:rPr>
          <w:rFonts w:cs="Arial"/>
          <w:sz w:val="18"/>
          <w:szCs w:val="18"/>
          <w:rtl/>
        </w:rPr>
        <w:t>(אפילו אם הם מחוברים לכותלי המק</w:t>
      </w:r>
      <w:r>
        <w:rPr>
          <w:rFonts w:cs="Arial" w:hint="cs"/>
          <w:sz w:val="18"/>
          <w:szCs w:val="18"/>
          <w:rtl/>
        </w:rPr>
        <w:t>וו</w:t>
      </w:r>
      <w:r w:rsidRPr="004F43B8">
        <w:rPr>
          <w:rFonts w:cs="Arial"/>
          <w:sz w:val="18"/>
          <w:szCs w:val="18"/>
          <w:rtl/>
        </w:rPr>
        <w:t xml:space="preserve">ה) </w:t>
      </w:r>
      <w:r w:rsidRPr="004F43B8">
        <w:rPr>
          <w:rFonts w:cs="Arial"/>
          <w:sz w:val="20"/>
          <w:szCs w:val="20"/>
          <w:rtl/>
        </w:rPr>
        <w:t>לא עלתה לה טבילה דפשוטי כלי עץ הם, וצריך לעשות במקומן מדרגה של אבנים ותהיה המדרגה רחבה ד', מקום הנחת הרגל, כדי שיהא בה שיעור מקום לבל תפ</w:t>
      </w:r>
      <w:r>
        <w:rPr>
          <w:rFonts w:cs="Arial"/>
          <w:sz w:val="20"/>
          <w:szCs w:val="20"/>
          <w:rtl/>
        </w:rPr>
        <w:t>חד ליפול ממנה</w:t>
      </w:r>
      <w:r>
        <w:rPr>
          <w:rFonts w:cs="Arial" w:hint="cs"/>
          <w:sz w:val="20"/>
          <w:szCs w:val="20"/>
          <w:rtl/>
        </w:rPr>
        <w:t>".</w:t>
      </w:r>
      <w:r>
        <w:rPr>
          <w:rStyle w:val="a5"/>
          <w:sz w:val="20"/>
          <w:szCs w:val="20"/>
          <w:rtl/>
        </w:rPr>
        <w:footnoteReference w:id="671"/>
      </w:r>
      <w:r>
        <w:rPr>
          <w:rFonts w:hint="cs"/>
          <w:sz w:val="20"/>
          <w:szCs w:val="20"/>
          <w:rtl/>
        </w:rPr>
        <w:br/>
        <w:t xml:space="preserve">ב. </w:t>
      </w:r>
      <w:r w:rsidRPr="000D39DF">
        <w:rPr>
          <w:rFonts w:hint="cs"/>
          <w:b/>
          <w:bCs/>
          <w:sz w:val="20"/>
          <w:szCs w:val="20"/>
          <w:rtl/>
        </w:rPr>
        <w:t>מהר"ל מפראג</w:t>
      </w:r>
      <w:r>
        <w:rPr>
          <w:rFonts w:hint="cs"/>
          <w:sz w:val="20"/>
          <w:szCs w:val="20"/>
          <w:rtl/>
        </w:rPr>
        <w:t xml:space="preserve"> </w:t>
      </w:r>
      <w:r>
        <w:rPr>
          <w:sz w:val="20"/>
          <w:szCs w:val="20"/>
          <w:rtl/>
        </w:rPr>
        <w:t>–</w:t>
      </w:r>
      <w:r>
        <w:rPr>
          <w:rFonts w:hint="cs"/>
          <w:sz w:val="20"/>
          <w:szCs w:val="20"/>
          <w:rtl/>
        </w:rPr>
        <w:t xml:space="preserve"> מותר לטבול על גבי מדרגות עץ </w:t>
      </w:r>
      <w:r w:rsidRPr="000D39DF">
        <w:rPr>
          <w:rFonts w:hint="cs"/>
          <w:sz w:val="18"/>
          <w:szCs w:val="18"/>
          <w:rtl/>
        </w:rPr>
        <w:t>(ועיין בשיטת הט"ז ביאור לדברי המהר"ל)</w:t>
      </w:r>
      <w:r>
        <w:rPr>
          <w:rFonts w:hint="cs"/>
          <w:sz w:val="20"/>
          <w:szCs w:val="20"/>
          <w:rtl/>
        </w:rPr>
        <w:t>.</w:t>
      </w:r>
    </w:p>
    <w:p w:rsidR="00620060" w:rsidRDefault="00620060" w:rsidP="00620060">
      <w:pPr>
        <w:rPr>
          <w:sz w:val="20"/>
          <w:szCs w:val="20"/>
          <w:rtl/>
        </w:rPr>
      </w:pPr>
      <w:r>
        <w:rPr>
          <w:rFonts w:hint="cs"/>
          <w:b/>
          <w:bCs/>
          <w:sz w:val="20"/>
          <w:szCs w:val="20"/>
          <w:rtl/>
        </w:rPr>
        <w:t>טבילה על גבי נסרים שבמקווה</w:t>
      </w:r>
      <w:r>
        <w:rPr>
          <w:b/>
          <w:bCs/>
          <w:sz w:val="20"/>
          <w:szCs w:val="20"/>
          <w:rtl/>
        </w:rPr>
        <w:br/>
      </w:r>
      <w:r>
        <w:rPr>
          <w:rFonts w:hint="cs"/>
          <w:sz w:val="20"/>
          <w:szCs w:val="20"/>
          <w:rtl/>
        </w:rPr>
        <w:t>האחרונים מתחבטים למצוא היתר למציאות שנהגה בזמנם שהטבילה היתה נעשית על גבי נסרים הקבועים בקרקע המקווה, שהרי לכאורה אין לטבול עליהם משום שהם ראויים למדרס ומקבלים טומאה!</w:t>
      </w:r>
      <w:r>
        <w:rPr>
          <w:rFonts w:hint="cs"/>
          <w:sz w:val="20"/>
          <w:szCs w:val="20"/>
          <w:rtl/>
        </w:rPr>
        <w:br/>
        <w:t xml:space="preserve">ביישוב שאלה זו נאמרו הסברים רבים </w:t>
      </w:r>
      <w:r>
        <w:rPr>
          <w:sz w:val="20"/>
          <w:szCs w:val="20"/>
          <w:rtl/>
        </w:rPr>
        <w:t>–</w:t>
      </w:r>
      <w:r>
        <w:rPr>
          <w:rFonts w:hint="cs"/>
          <w:sz w:val="20"/>
          <w:szCs w:val="20"/>
          <w:rtl/>
        </w:rPr>
        <w:t xml:space="preserve"> </w:t>
      </w:r>
    </w:p>
    <w:p w:rsidR="00620060" w:rsidRPr="00EF7B0A" w:rsidRDefault="00620060" w:rsidP="00620060">
      <w:pPr>
        <w:rPr>
          <w:sz w:val="20"/>
          <w:szCs w:val="20"/>
          <w:rtl/>
        </w:rPr>
      </w:pPr>
      <w:r>
        <w:rPr>
          <w:rFonts w:hint="cs"/>
          <w:sz w:val="20"/>
          <w:szCs w:val="20"/>
          <w:u w:val="single"/>
          <w:rtl/>
        </w:rPr>
        <w:t>שיטת הט"ז</w:t>
      </w:r>
      <w:r>
        <w:rPr>
          <w:rFonts w:hint="cs"/>
          <w:sz w:val="20"/>
          <w:szCs w:val="20"/>
          <w:u w:val="single"/>
          <w:rtl/>
        </w:rPr>
        <w:br/>
      </w:r>
      <w:r>
        <w:rPr>
          <w:rFonts w:hint="cs"/>
          <w:sz w:val="20"/>
          <w:szCs w:val="20"/>
          <w:rtl/>
        </w:rPr>
        <w:t xml:space="preserve">בראשית דבריו, מוכיח </w:t>
      </w:r>
      <w:r w:rsidRPr="001F4AEE">
        <w:rPr>
          <w:rFonts w:hint="cs"/>
          <w:sz w:val="20"/>
          <w:szCs w:val="20"/>
          <w:rtl/>
        </w:rPr>
        <w:t>הט"ז</w:t>
      </w:r>
      <w:r>
        <w:rPr>
          <w:rFonts w:hint="cs"/>
          <w:sz w:val="20"/>
          <w:szCs w:val="20"/>
          <w:rtl/>
        </w:rPr>
        <w:t xml:space="preserve"> שאין לטבול על גבי נסרים כלל, אפילו אם כעת אינם מקבלים טומאה, עיין הערה</w:t>
      </w:r>
      <w:r>
        <w:rPr>
          <w:rStyle w:val="a5"/>
          <w:sz w:val="20"/>
          <w:szCs w:val="20"/>
          <w:rtl/>
        </w:rPr>
        <w:footnoteReference w:id="672"/>
      </w:r>
      <w:r>
        <w:rPr>
          <w:rFonts w:hint="cs"/>
          <w:sz w:val="20"/>
          <w:szCs w:val="20"/>
          <w:rtl/>
        </w:rPr>
        <w:t>.</w:t>
      </w:r>
      <w:r>
        <w:rPr>
          <w:sz w:val="20"/>
          <w:szCs w:val="20"/>
          <w:rtl/>
        </w:rPr>
        <w:br/>
      </w:r>
      <w:r w:rsidRPr="001F4AEE">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כיוון שנסרים אלו ראויים לקבל טומאת מדרס אם יחשוב עליהם לכך, עלול הרואה לטעות ולחשוב שמותר לטבול אף על גבי נסרים המקבלים טומאה, הלכך גזרו לאסור טבילה אף ע"ג נסרים שכעת אינם מק"ט.</w:t>
      </w:r>
      <w:r>
        <w:rPr>
          <w:sz w:val="20"/>
          <w:szCs w:val="20"/>
          <w:rtl/>
        </w:rPr>
        <w:br/>
      </w:r>
      <w:r>
        <w:rPr>
          <w:sz w:val="20"/>
          <w:szCs w:val="20"/>
          <w:u w:val="single"/>
          <w:rtl/>
        </w:rPr>
        <w:br/>
      </w:r>
      <w:r>
        <w:rPr>
          <w:rFonts w:hint="cs"/>
          <w:sz w:val="20"/>
          <w:szCs w:val="20"/>
          <w:rtl/>
        </w:rPr>
        <w:t>לדעת הראב"ד והרשב"א הסוברים שאין לטבול על גבי נסרים משום שהם מק"ט, אכן אין היתר לטבילה זו.</w:t>
      </w:r>
      <w:r>
        <w:rPr>
          <w:sz w:val="20"/>
          <w:szCs w:val="20"/>
          <w:rtl/>
        </w:rPr>
        <w:br/>
      </w:r>
      <w:r>
        <w:rPr>
          <w:rFonts w:hint="cs"/>
          <w:sz w:val="20"/>
          <w:szCs w:val="20"/>
          <w:rtl/>
        </w:rPr>
        <w:t xml:space="preserve">ברם, מדברי הרא"ש והר"ש בטעם הגזרה נראה להקל, ביאור - </w:t>
      </w:r>
      <w:r>
        <w:rPr>
          <w:sz w:val="20"/>
          <w:szCs w:val="20"/>
          <w:rtl/>
        </w:rPr>
        <w:br/>
      </w:r>
      <w:r>
        <w:rPr>
          <w:rFonts w:hint="cs"/>
          <w:sz w:val="20"/>
          <w:szCs w:val="20"/>
          <w:rtl/>
        </w:rPr>
        <w:t xml:space="preserve">במשנה מקוואות נאמר שאם העביר מעיין על גבי כלי אבן </w:t>
      </w:r>
      <w:r w:rsidRPr="007B33A6">
        <w:rPr>
          <w:rFonts w:hint="cs"/>
          <w:sz w:val="18"/>
          <w:szCs w:val="18"/>
          <w:rtl/>
        </w:rPr>
        <w:t>(שוקת)</w:t>
      </w:r>
      <w:r>
        <w:rPr>
          <w:rFonts w:hint="cs"/>
          <w:sz w:val="20"/>
          <w:szCs w:val="20"/>
          <w:rtl/>
        </w:rPr>
        <w:t>, המעיין פסול.</w:t>
      </w:r>
      <w:r>
        <w:rPr>
          <w:sz w:val="20"/>
          <w:szCs w:val="20"/>
          <w:rtl/>
        </w:rPr>
        <w:br/>
      </w:r>
      <w:r>
        <w:rPr>
          <w:rFonts w:hint="cs"/>
          <w:sz w:val="20"/>
          <w:szCs w:val="20"/>
          <w:rtl/>
        </w:rPr>
        <w:t>מאידך, בגמרא (חגיגה) נאמר להדיא שמותר לטבול כלי בתוך כלי ובלבד שהכלי החיצון מנוקב כשפ"ה.</w:t>
      </w:r>
      <w:r>
        <w:rPr>
          <w:sz w:val="20"/>
          <w:szCs w:val="20"/>
          <w:rtl/>
        </w:rPr>
        <w:br/>
      </w:r>
      <w:r>
        <w:rPr>
          <w:rFonts w:hint="cs"/>
          <w:sz w:val="20"/>
          <w:szCs w:val="20"/>
          <w:rtl/>
        </w:rPr>
        <w:t xml:space="preserve">מעתה יקשה </w:t>
      </w:r>
      <w:r>
        <w:rPr>
          <w:sz w:val="20"/>
          <w:szCs w:val="20"/>
          <w:rtl/>
        </w:rPr>
        <w:t>–</w:t>
      </w:r>
      <w:r>
        <w:rPr>
          <w:rFonts w:hint="cs"/>
          <w:sz w:val="20"/>
          <w:szCs w:val="20"/>
          <w:rtl/>
        </w:rPr>
        <w:t xml:space="preserve"> אם מותר להטביל בתוך כלי מחמת חיבורו למקווה, מדוע ייאסר לטבול במעיין העובר על כלי?</w:t>
      </w:r>
      <w:r>
        <w:rPr>
          <w:sz w:val="20"/>
          <w:szCs w:val="20"/>
          <w:rtl/>
        </w:rPr>
        <w:br/>
      </w:r>
      <w:r>
        <w:rPr>
          <w:rFonts w:hint="cs"/>
          <w:sz w:val="20"/>
          <w:szCs w:val="20"/>
          <w:rtl/>
        </w:rPr>
        <w:br/>
        <w:t xml:space="preserve">א. </w:t>
      </w:r>
      <w:r w:rsidRPr="00EF7B0A">
        <w:rPr>
          <w:rFonts w:hint="cs"/>
          <w:b/>
          <w:bCs/>
          <w:sz w:val="20"/>
          <w:szCs w:val="20"/>
          <w:rtl/>
        </w:rPr>
        <w:t>ר"ש</w:t>
      </w:r>
      <w:r w:rsidRPr="00EF7B0A">
        <w:rPr>
          <w:rFonts w:hint="cs"/>
          <w:sz w:val="20"/>
          <w:szCs w:val="20"/>
          <w:rtl/>
        </w:rPr>
        <w:t xml:space="preserve"> - רק בכלי תלוש מותר לטבול, בכלי מחובר אסור.</w:t>
      </w:r>
      <w:r w:rsidRPr="00EF7B0A">
        <w:rPr>
          <w:sz w:val="20"/>
          <w:szCs w:val="20"/>
          <w:rtl/>
        </w:rPr>
        <w:br/>
      </w:r>
      <w:r w:rsidRPr="00EF7B0A">
        <w:rPr>
          <w:rFonts w:hint="cs"/>
          <w:b/>
          <w:bCs/>
          <w:sz w:val="20"/>
          <w:szCs w:val="20"/>
          <w:rtl/>
        </w:rPr>
        <w:t xml:space="preserve">טעם </w:t>
      </w:r>
      <w:r w:rsidRPr="00EF7B0A">
        <w:rPr>
          <w:sz w:val="20"/>
          <w:szCs w:val="20"/>
          <w:rtl/>
        </w:rPr>
        <w:t>–</w:t>
      </w:r>
      <w:r w:rsidRPr="00EF7B0A">
        <w:rPr>
          <w:rFonts w:hint="cs"/>
          <w:sz w:val="20"/>
          <w:szCs w:val="20"/>
          <w:rtl/>
        </w:rPr>
        <w:t xml:space="preserve"> חשש שמא יקבעו אותו במקום מוצא המים ולא יהיה בו נקב כשפ"ה וכל המעיין ייפסל.</w:t>
      </w:r>
      <w:r>
        <w:rPr>
          <w:sz w:val="20"/>
          <w:szCs w:val="20"/>
          <w:rtl/>
        </w:rPr>
        <w:br/>
      </w:r>
      <w:r>
        <w:rPr>
          <w:rFonts w:hint="cs"/>
          <w:sz w:val="20"/>
          <w:szCs w:val="20"/>
          <w:rtl/>
        </w:rPr>
        <w:t>ומטעם זה נאסר לטבול על גבי ספסל, והיינו טעמא דגזרת מרחצאות.</w:t>
      </w:r>
      <w:r>
        <w:rPr>
          <w:sz w:val="20"/>
          <w:szCs w:val="20"/>
          <w:rtl/>
        </w:rPr>
        <w:br/>
      </w:r>
      <w:r>
        <w:rPr>
          <w:rFonts w:hint="cs"/>
          <w:sz w:val="20"/>
          <w:szCs w:val="20"/>
          <w:rtl/>
        </w:rPr>
        <w:t xml:space="preserve">ב. </w:t>
      </w:r>
      <w:r w:rsidRPr="00932869">
        <w:rPr>
          <w:rFonts w:hint="cs"/>
          <w:b/>
          <w:bCs/>
          <w:sz w:val="20"/>
          <w:szCs w:val="20"/>
          <w:rtl/>
        </w:rPr>
        <w:t>רא"ש</w:t>
      </w:r>
      <w:r>
        <w:rPr>
          <w:rFonts w:hint="cs"/>
          <w:sz w:val="20"/>
          <w:szCs w:val="20"/>
          <w:rtl/>
        </w:rPr>
        <w:t xml:space="preserve"> </w:t>
      </w:r>
      <w:r>
        <w:rPr>
          <w:sz w:val="20"/>
          <w:szCs w:val="20"/>
          <w:rtl/>
        </w:rPr>
        <w:t>–</w:t>
      </w:r>
      <w:r>
        <w:rPr>
          <w:rFonts w:hint="cs"/>
          <w:sz w:val="20"/>
          <w:szCs w:val="20"/>
          <w:rtl/>
        </w:rPr>
        <w:t xml:space="preserve"> טבילת כלי בתוך כלי לא תבוא לעולם לידי תקלה שיטבול במקווה פסול, משא"כ במעיין העובר על גבי כלי, שמא יבוא לטבול במים היוצאים מהכלי אפילו כשאין חיבור למקור המעיין והמקווה כולו פסול.</w:t>
      </w:r>
    </w:p>
    <w:p w:rsidR="00620060" w:rsidRDefault="00620060" w:rsidP="00620060">
      <w:pPr>
        <w:rPr>
          <w:sz w:val="20"/>
          <w:szCs w:val="20"/>
          <w:rtl/>
        </w:rPr>
      </w:pPr>
      <w:r>
        <w:rPr>
          <w:rFonts w:hint="cs"/>
          <w:sz w:val="20"/>
          <w:szCs w:val="20"/>
          <w:rtl/>
        </w:rPr>
        <w:t xml:space="preserve">ע"פ הנ"ל, כתב </w:t>
      </w:r>
      <w:r w:rsidRPr="007B33A6">
        <w:rPr>
          <w:rFonts w:hint="cs"/>
          <w:b/>
          <w:bCs/>
          <w:sz w:val="20"/>
          <w:szCs w:val="20"/>
          <w:rtl/>
        </w:rPr>
        <w:t>הרא"ש</w:t>
      </w:r>
      <w:r>
        <w:rPr>
          <w:rFonts w:hint="cs"/>
          <w:sz w:val="20"/>
          <w:szCs w:val="20"/>
          <w:rtl/>
        </w:rPr>
        <w:t xml:space="preserve"> שאף </w:t>
      </w:r>
      <w:r w:rsidRPr="007B33A6">
        <w:rPr>
          <w:rFonts w:hint="cs"/>
          <w:b/>
          <w:bCs/>
          <w:sz w:val="20"/>
          <w:szCs w:val="20"/>
          <w:rtl/>
        </w:rPr>
        <w:t>לר"ש</w:t>
      </w:r>
      <w:r>
        <w:rPr>
          <w:rFonts w:hint="cs"/>
          <w:sz w:val="20"/>
          <w:szCs w:val="20"/>
          <w:rtl/>
        </w:rPr>
        <w:t xml:space="preserve"> מותר לעמוד על גבי סילון הנמצא בקרקע המקווה.</w:t>
      </w:r>
      <w:r>
        <w:rPr>
          <w:sz w:val="20"/>
          <w:szCs w:val="20"/>
          <w:rtl/>
        </w:rPr>
        <w:br/>
      </w:r>
      <w:r>
        <w:rPr>
          <w:rFonts w:hint="cs"/>
          <w:sz w:val="20"/>
          <w:szCs w:val="20"/>
          <w:rtl/>
        </w:rPr>
        <w:t xml:space="preserve">מסביר </w:t>
      </w:r>
      <w:r w:rsidRPr="007B33A6">
        <w:rPr>
          <w:rFonts w:hint="cs"/>
          <w:b/>
          <w:bCs/>
          <w:sz w:val="20"/>
          <w:szCs w:val="20"/>
          <w:rtl/>
        </w:rPr>
        <w:t>הט"ז</w:t>
      </w:r>
      <w:r>
        <w:rPr>
          <w:rFonts w:hint="cs"/>
          <w:sz w:val="20"/>
          <w:szCs w:val="20"/>
          <w:rtl/>
        </w:rPr>
        <w:t xml:space="preserve"> </w:t>
      </w:r>
      <w:r>
        <w:rPr>
          <w:sz w:val="20"/>
          <w:szCs w:val="20"/>
          <w:rtl/>
        </w:rPr>
        <w:t>–</w:t>
      </w:r>
      <w:r>
        <w:rPr>
          <w:rFonts w:hint="cs"/>
          <w:sz w:val="20"/>
          <w:szCs w:val="20"/>
          <w:rtl/>
        </w:rPr>
        <w:t xml:space="preserve"> </w:t>
      </w:r>
      <w:r w:rsidRPr="007B33A6">
        <w:rPr>
          <w:rFonts w:hint="cs"/>
          <w:b/>
          <w:bCs/>
          <w:sz w:val="20"/>
          <w:szCs w:val="20"/>
          <w:rtl/>
        </w:rPr>
        <w:t>לר"ש</w:t>
      </w:r>
      <w:r>
        <w:rPr>
          <w:rFonts w:hint="cs"/>
          <w:sz w:val="20"/>
          <w:szCs w:val="20"/>
          <w:rtl/>
        </w:rPr>
        <w:t xml:space="preserve"> אין לחוש, משום שאף אם יקבעוהו במקום מוצא המים תמיד יהיה בו נקב כשפ"ה.</w:t>
      </w:r>
      <w:r>
        <w:rPr>
          <w:rStyle w:val="a5"/>
          <w:sz w:val="20"/>
          <w:szCs w:val="20"/>
          <w:rtl/>
        </w:rPr>
        <w:footnoteReference w:id="673"/>
      </w:r>
      <w:r>
        <w:rPr>
          <w:sz w:val="20"/>
          <w:szCs w:val="20"/>
          <w:rtl/>
        </w:rPr>
        <w:br/>
      </w:r>
      <w:r w:rsidRPr="007B33A6">
        <w:rPr>
          <w:rFonts w:hint="cs"/>
          <w:b/>
          <w:bCs/>
          <w:sz w:val="20"/>
          <w:szCs w:val="20"/>
          <w:rtl/>
        </w:rPr>
        <w:t>לרא"ש</w:t>
      </w:r>
      <w:r>
        <w:rPr>
          <w:rFonts w:hint="cs"/>
          <w:sz w:val="20"/>
          <w:szCs w:val="20"/>
          <w:rtl/>
        </w:rPr>
        <w:t xml:space="preserve"> אין לחוש, משום שאם לא יהיה חיבור למעיין לא יהיו כלל מים בסילון ולא יוכל לטבול בו שלא כדין (</w:t>
      </w:r>
      <w:r w:rsidRPr="007B33A6">
        <w:rPr>
          <w:rFonts w:hint="cs"/>
          <w:sz w:val="18"/>
          <w:szCs w:val="18"/>
          <w:rtl/>
        </w:rPr>
        <w:t>משא"כ בשוקת שהיא כלי, ולכן אף אם אין חיבור למעיין יש לחוש שיישארו בה מים ויבוא לטבול בה)</w:t>
      </w:r>
      <w:r>
        <w:rPr>
          <w:rFonts w:hint="cs"/>
          <w:sz w:val="20"/>
          <w:szCs w:val="20"/>
          <w:rtl/>
        </w:rPr>
        <w:t>.</w:t>
      </w:r>
      <w:r>
        <w:rPr>
          <w:rFonts w:hint="cs"/>
          <w:sz w:val="20"/>
          <w:szCs w:val="20"/>
          <w:rtl/>
        </w:rPr>
        <w:br/>
      </w:r>
      <w:r>
        <w:rPr>
          <w:rFonts w:hint="cs"/>
          <w:sz w:val="20"/>
          <w:szCs w:val="20"/>
          <w:rtl/>
        </w:rPr>
        <w:br/>
      </w:r>
      <w:r>
        <w:rPr>
          <w:rFonts w:hint="cs"/>
          <w:sz w:val="20"/>
          <w:szCs w:val="20"/>
          <w:rtl/>
        </w:rPr>
        <w:lastRenderedPageBreak/>
        <w:t xml:space="preserve">מעתה אתי שפיר דין נסרים </w:t>
      </w:r>
      <w:r>
        <w:rPr>
          <w:sz w:val="20"/>
          <w:szCs w:val="20"/>
          <w:rtl/>
        </w:rPr>
        <w:t>–</w:t>
      </w:r>
      <w:r>
        <w:rPr>
          <w:rFonts w:hint="cs"/>
          <w:sz w:val="20"/>
          <w:szCs w:val="20"/>
          <w:rtl/>
        </w:rPr>
        <w:t xml:space="preserve"> אינם גרועים מסילון הנ"ל, וטעמי ההיתר הנ"ל שייכם אף בנסרים.</w:t>
      </w:r>
      <w:r>
        <w:rPr>
          <w:rFonts w:hint="cs"/>
          <w:sz w:val="20"/>
          <w:szCs w:val="20"/>
          <w:rtl/>
        </w:rPr>
        <w:br/>
        <w:t xml:space="preserve">מוסיף </w:t>
      </w:r>
      <w:r w:rsidRPr="001C38AC">
        <w:rPr>
          <w:rFonts w:hint="cs"/>
          <w:b/>
          <w:bCs/>
          <w:sz w:val="20"/>
          <w:szCs w:val="20"/>
          <w:rtl/>
        </w:rPr>
        <w:t xml:space="preserve">הט"ז </w:t>
      </w:r>
      <w:r>
        <w:rPr>
          <w:sz w:val="20"/>
          <w:szCs w:val="20"/>
          <w:rtl/>
        </w:rPr>
        <w:t>–</w:t>
      </w:r>
      <w:r>
        <w:rPr>
          <w:rFonts w:hint="cs"/>
          <w:sz w:val="20"/>
          <w:szCs w:val="20"/>
          <w:rtl/>
        </w:rPr>
        <w:t xml:space="preserve"> </w:t>
      </w:r>
      <w:r w:rsidRPr="001C38AC">
        <w:rPr>
          <w:rFonts w:hint="cs"/>
          <w:b/>
          <w:bCs/>
          <w:sz w:val="20"/>
          <w:szCs w:val="20"/>
          <w:rtl/>
        </w:rPr>
        <w:t>מהר"ל מפראג</w:t>
      </w:r>
      <w:r>
        <w:rPr>
          <w:rFonts w:hint="cs"/>
          <w:sz w:val="20"/>
          <w:szCs w:val="20"/>
          <w:rtl/>
        </w:rPr>
        <w:t xml:space="preserve"> התיר לטבול על גבי מדרגות עץ, ומשמע שטעמו כטעם ההיתר הנ"ל בנסרים </w:t>
      </w:r>
      <w:r w:rsidRPr="000D39DF">
        <w:rPr>
          <w:rFonts w:hint="cs"/>
          <w:sz w:val="18"/>
          <w:szCs w:val="18"/>
          <w:rtl/>
        </w:rPr>
        <w:t xml:space="preserve">(בניגוד לשיטת המחבר האוסר זאת, וע"כ שאינו </w:t>
      </w:r>
      <w:r>
        <w:rPr>
          <w:rFonts w:hint="cs"/>
          <w:sz w:val="18"/>
          <w:szCs w:val="18"/>
          <w:rtl/>
        </w:rPr>
        <w:t>חושש ל</w:t>
      </w:r>
      <w:r w:rsidRPr="000D39DF">
        <w:rPr>
          <w:rFonts w:hint="cs"/>
          <w:sz w:val="18"/>
          <w:szCs w:val="18"/>
          <w:rtl/>
        </w:rPr>
        <w:t>ראב"ד)</w:t>
      </w:r>
      <w:r>
        <w:rPr>
          <w:rFonts w:hint="cs"/>
          <w:sz w:val="20"/>
          <w:szCs w:val="20"/>
          <w:rtl/>
        </w:rPr>
        <w:t>.</w:t>
      </w:r>
    </w:p>
    <w:p w:rsidR="00620060" w:rsidRDefault="00620060" w:rsidP="00620060">
      <w:pPr>
        <w:rPr>
          <w:sz w:val="20"/>
          <w:szCs w:val="20"/>
          <w:rtl/>
        </w:rPr>
      </w:pPr>
      <w:r>
        <w:rPr>
          <w:rFonts w:hint="cs"/>
          <w:sz w:val="20"/>
          <w:szCs w:val="20"/>
          <w:u w:val="single"/>
          <w:rtl/>
        </w:rPr>
        <w:t>תירוצים נוספים</w:t>
      </w:r>
      <w:r>
        <w:rPr>
          <w:rStyle w:val="a5"/>
          <w:sz w:val="20"/>
          <w:szCs w:val="20"/>
          <w:u w:val="single"/>
          <w:rtl/>
        </w:rPr>
        <w:footnoteReference w:id="674"/>
      </w:r>
      <w:r>
        <w:rPr>
          <w:rFonts w:hint="cs"/>
          <w:sz w:val="20"/>
          <w:szCs w:val="20"/>
          <w:u w:val="single"/>
          <w:rtl/>
        </w:rPr>
        <w:t xml:space="preserve"> </w:t>
      </w:r>
      <w:r>
        <w:rPr>
          <w:sz w:val="20"/>
          <w:szCs w:val="20"/>
          <w:u w:val="single"/>
          <w:rtl/>
        </w:rPr>
        <w:br/>
      </w:r>
      <w:r>
        <w:rPr>
          <w:rFonts w:hint="cs"/>
          <w:sz w:val="20"/>
          <w:szCs w:val="20"/>
          <w:rtl/>
        </w:rPr>
        <w:t xml:space="preserve">א. </w:t>
      </w:r>
      <w:r w:rsidRPr="00BD3DB0">
        <w:rPr>
          <w:rFonts w:hint="cs"/>
          <w:b/>
          <w:bCs/>
          <w:sz w:val="20"/>
          <w:szCs w:val="20"/>
          <w:rtl/>
        </w:rPr>
        <w:t>מהר"ם פדאווה</w:t>
      </w:r>
      <w:r>
        <w:rPr>
          <w:rFonts w:hint="cs"/>
          <w:sz w:val="20"/>
          <w:szCs w:val="20"/>
          <w:rtl/>
        </w:rPr>
        <w:t xml:space="preserve"> </w:t>
      </w:r>
      <w:r>
        <w:rPr>
          <w:sz w:val="20"/>
          <w:szCs w:val="20"/>
          <w:rtl/>
        </w:rPr>
        <w:t>–</w:t>
      </w:r>
      <w:r>
        <w:rPr>
          <w:rFonts w:hint="cs"/>
          <w:sz w:val="20"/>
          <w:szCs w:val="20"/>
          <w:rtl/>
        </w:rPr>
        <w:t xml:space="preserve"> הנסרים יצאו מתורת כלי ודינם כתקרת הבית, וכן משום שלא היה עליהם שם כלי מתחילה אלא קבעום במקווה מעיקרא, ואפילו אם היה שם כלי מתחילה ע"י שבנו אותם במקווה בטלים לבניין.</w:t>
      </w:r>
      <w:r>
        <w:rPr>
          <w:rFonts w:hint="cs"/>
          <w:sz w:val="20"/>
          <w:szCs w:val="20"/>
          <w:rtl/>
        </w:rPr>
        <w:br/>
      </w:r>
      <w:r w:rsidRPr="00BD3DB0">
        <w:rPr>
          <w:rFonts w:hint="cs"/>
          <w:b/>
          <w:bCs/>
          <w:sz w:val="20"/>
          <w:szCs w:val="20"/>
          <w:rtl/>
        </w:rPr>
        <w:t>הט"ז</w:t>
      </w:r>
      <w:r>
        <w:rPr>
          <w:rFonts w:hint="cs"/>
          <w:sz w:val="20"/>
          <w:szCs w:val="20"/>
          <w:rtl/>
        </w:rPr>
        <w:t xml:space="preserve"> דוחה </w:t>
      </w:r>
      <w:r>
        <w:rPr>
          <w:sz w:val="20"/>
          <w:szCs w:val="20"/>
          <w:rtl/>
        </w:rPr>
        <w:t>–</w:t>
      </w:r>
      <w:r>
        <w:rPr>
          <w:rFonts w:hint="cs"/>
          <w:sz w:val="20"/>
          <w:szCs w:val="20"/>
          <w:rtl/>
        </w:rPr>
        <w:t xml:space="preserve"> לא מהני שלא היה עליהם שם כלי מתחילה, סוף סוף יש לגזור מפני הרואים. ולא שייך לומר שבניין מבטל כלי. </w:t>
      </w:r>
      <w:r>
        <w:rPr>
          <w:rFonts w:hint="cs"/>
          <w:sz w:val="20"/>
          <w:szCs w:val="20"/>
          <w:rtl/>
        </w:rPr>
        <w:br/>
        <w:t xml:space="preserve">ועוד כתב </w:t>
      </w:r>
      <w:r w:rsidRPr="00BD3DB0">
        <w:rPr>
          <w:rFonts w:hint="cs"/>
          <w:b/>
          <w:bCs/>
          <w:sz w:val="20"/>
          <w:szCs w:val="20"/>
          <w:rtl/>
        </w:rPr>
        <w:t>מהר"פ</w:t>
      </w:r>
      <w:r>
        <w:rPr>
          <w:rFonts w:hint="cs"/>
          <w:sz w:val="20"/>
          <w:szCs w:val="20"/>
          <w:rtl/>
        </w:rPr>
        <w:t xml:space="preserve"> ליישב </w:t>
      </w:r>
      <w:r>
        <w:rPr>
          <w:sz w:val="20"/>
          <w:szCs w:val="20"/>
          <w:rtl/>
        </w:rPr>
        <w:t>–</w:t>
      </w:r>
      <w:r>
        <w:rPr>
          <w:rFonts w:hint="cs"/>
          <w:sz w:val="20"/>
          <w:szCs w:val="20"/>
          <w:rtl/>
        </w:rPr>
        <w:t xml:space="preserve"> ס"ל כמ"ד שאין פשוטי כלי עץ מק"ט, וכן סוברים הרבה ראשונים. </w:t>
      </w:r>
      <w:r>
        <w:rPr>
          <w:sz w:val="20"/>
          <w:szCs w:val="20"/>
          <w:rtl/>
        </w:rPr>
        <w:br/>
      </w:r>
      <w:r w:rsidRPr="00BD3DB0">
        <w:rPr>
          <w:rFonts w:hint="cs"/>
          <w:b/>
          <w:bCs/>
          <w:sz w:val="20"/>
          <w:szCs w:val="20"/>
          <w:rtl/>
        </w:rPr>
        <w:t>הט"ז</w:t>
      </w:r>
      <w:r>
        <w:rPr>
          <w:rFonts w:hint="cs"/>
          <w:sz w:val="20"/>
          <w:szCs w:val="20"/>
          <w:rtl/>
        </w:rPr>
        <w:t xml:space="preserve"> דוחה </w:t>
      </w:r>
      <w:r>
        <w:rPr>
          <w:sz w:val="20"/>
          <w:szCs w:val="20"/>
          <w:rtl/>
        </w:rPr>
        <w:t>–</w:t>
      </w:r>
      <w:r>
        <w:rPr>
          <w:rFonts w:hint="cs"/>
          <w:sz w:val="20"/>
          <w:szCs w:val="20"/>
          <w:rtl/>
        </w:rPr>
        <w:t xml:space="preserve"> לראב"ד לא מהני, שהרי הוא כתב להדיא שפשוטי כלי עץ מק"ט.</w:t>
      </w:r>
    </w:p>
    <w:p w:rsidR="00620060" w:rsidRDefault="00620060" w:rsidP="00620060">
      <w:pPr>
        <w:rPr>
          <w:sz w:val="20"/>
          <w:szCs w:val="20"/>
          <w:rtl/>
        </w:rPr>
      </w:pPr>
      <w:r>
        <w:rPr>
          <w:rFonts w:hint="cs"/>
          <w:sz w:val="20"/>
          <w:szCs w:val="20"/>
          <w:rtl/>
        </w:rPr>
        <w:t xml:space="preserve">ב. </w:t>
      </w:r>
      <w:r w:rsidRPr="00C75AC6">
        <w:rPr>
          <w:rFonts w:hint="cs"/>
          <w:b/>
          <w:bCs/>
          <w:sz w:val="20"/>
          <w:szCs w:val="20"/>
          <w:rtl/>
        </w:rPr>
        <w:t>מהר"י כץ</w:t>
      </w:r>
      <w:r>
        <w:rPr>
          <w:rFonts w:hint="cs"/>
          <w:sz w:val="20"/>
          <w:szCs w:val="20"/>
          <w:rtl/>
        </w:rPr>
        <w:t xml:space="preserve"> </w:t>
      </w:r>
      <w:r>
        <w:rPr>
          <w:sz w:val="20"/>
          <w:szCs w:val="20"/>
          <w:rtl/>
        </w:rPr>
        <w:t>–</w:t>
      </w:r>
      <w:r>
        <w:rPr>
          <w:rFonts w:hint="cs"/>
          <w:sz w:val="20"/>
          <w:szCs w:val="20"/>
          <w:rtl/>
        </w:rPr>
        <w:t xml:space="preserve"> נסרים אלו הוי כלי העשוי לנחת שאינו מק"ט.</w:t>
      </w:r>
      <w:r>
        <w:rPr>
          <w:sz w:val="20"/>
          <w:szCs w:val="20"/>
          <w:rtl/>
        </w:rPr>
        <w:br/>
      </w:r>
      <w:r w:rsidRPr="00C75AC6">
        <w:rPr>
          <w:rFonts w:hint="cs"/>
          <w:b/>
          <w:bCs/>
          <w:sz w:val="20"/>
          <w:szCs w:val="20"/>
          <w:rtl/>
        </w:rPr>
        <w:t>הט"ז</w:t>
      </w:r>
      <w:r>
        <w:rPr>
          <w:rFonts w:hint="cs"/>
          <w:sz w:val="20"/>
          <w:szCs w:val="20"/>
          <w:rtl/>
        </w:rPr>
        <w:t xml:space="preserve"> דוחה </w:t>
      </w:r>
      <w:r>
        <w:rPr>
          <w:sz w:val="20"/>
          <w:szCs w:val="20"/>
          <w:rtl/>
        </w:rPr>
        <w:t>–</w:t>
      </w:r>
      <w:r>
        <w:rPr>
          <w:rFonts w:hint="cs"/>
          <w:sz w:val="20"/>
          <w:szCs w:val="20"/>
          <w:rtl/>
        </w:rPr>
        <w:t xml:space="preserve"> אע"פ שאינם מק"ט מגע, מכל מקום מק"ט מדרס.</w:t>
      </w:r>
    </w:p>
    <w:p w:rsidR="00620060" w:rsidRDefault="00620060" w:rsidP="00620060">
      <w:pPr>
        <w:rPr>
          <w:sz w:val="20"/>
          <w:szCs w:val="20"/>
          <w:rtl/>
        </w:rPr>
      </w:pPr>
      <w:r>
        <w:rPr>
          <w:rFonts w:hint="cs"/>
          <w:sz w:val="20"/>
          <w:szCs w:val="20"/>
          <w:rtl/>
        </w:rPr>
        <w:t xml:space="preserve">ג. </w:t>
      </w:r>
      <w:r w:rsidRPr="002C5CB5">
        <w:rPr>
          <w:rFonts w:hint="cs"/>
          <w:b/>
          <w:bCs/>
          <w:sz w:val="20"/>
          <w:szCs w:val="20"/>
          <w:rtl/>
        </w:rPr>
        <w:t>שארית יוסף</w:t>
      </w:r>
      <w:r>
        <w:rPr>
          <w:rFonts w:hint="cs"/>
          <w:sz w:val="20"/>
          <w:szCs w:val="20"/>
          <w:rtl/>
        </w:rPr>
        <w:t xml:space="preserve"> </w:t>
      </w:r>
      <w:r>
        <w:rPr>
          <w:sz w:val="20"/>
          <w:szCs w:val="20"/>
          <w:rtl/>
        </w:rPr>
        <w:t>–</w:t>
      </w:r>
      <w:r>
        <w:rPr>
          <w:rFonts w:hint="cs"/>
          <w:sz w:val="20"/>
          <w:szCs w:val="20"/>
          <w:rtl/>
        </w:rPr>
        <w:t xml:space="preserve"> הם אינם מק"ט משום שאינם מיועדים למדרס אלא רק לעמוד עליהם בשעת טבילה, וכ"פ </w:t>
      </w:r>
      <w:r w:rsidRPr="002C5CB5">
        <w:rPr>
          <w:rFonts w:hint="cs"/>
          <w:b/>
          <w:bCs/>
          <w:sz w:val="20"/>
          <w:szCs w:val="20"/>
          <w:rtl/>
        </w:rPr>
        <w:t>הש"ך</w:t>
      </w:r>
      <w:r>
        <w:rPr>
          <w:rFonts w:hint="cs"/>
          <w:sz w:val="20"/>
          <w:szCs w:val="20"/>
          <w:rtl/>
        </w:rPr>
        <w:t>, והוסיף שטעם זה מוכרח מכך שהמחבר בסעיף הבא מתיר לטבול ע"ג סילונות שהם פשוטי כל עץ.</w:t>
      </w:r>
    </w:p>
    <w:p w:rsidR="00620060" w:rsidRPr="00662349" w:rsidRDefault="00620060" w:rsidP="00620060">
      <w:pPr>
        <w:rPr>
          <w:sz w:val="20"/>
          <w:szCs w:val="20"/>
          <w:rtl/>
        </w:rPr>
      </w:pPr>
      <w:r>
        <w:rPr>
          <w:rFonts w:hint="cs"/>
          <w:sz w:val="20"/>
          <w:szCs w:val="20"/>
          <w:rtl/>
        </w:rPr>
        <w:t xml:space="preserve">ד. </w:t>
      </w:r>
      <w:r w:rsidRPr="00662349">
        <w:rPr>
          <w:rFonts w:hint="cs"/>
          <w:b/>
          <w:bCs/>
          <w:sz w:val="20"/>
          <w:szCs w:val="20"/>
          <w:rtl/>
        </w:rPr>
        <w:t>מהר"ם מלובלין</w:t>
      </w:r>
      <w:r>
        <w:rPr>
          <w:rFonts w:hint="cs"/>
          <w:sz w:val="20"/>
          <w:szCs w:val="20"/>
          <w:rtl/>
        </w:rPr>
        <w:t xml:space="preserve"> </w:t>
      </w:r>
      <w:r>
        <w:rPr>
          <w:sz w:val="20"/>
          <w:szCs w:val="20"/>
          <w:rtl/>
        </w:rPr>
        <w:t>–</w:t>
      </w:r>
      <w:r>
        <w:rPr>
          <w:rFonts w:hint="cs"/>
          <w:sz w:val="20"/>
          <w:szCs w:val="20"/>
          <w:rtl/>
        </w:rPr>
        <w:t xml:space="preserve"> אין לשנות המנהג כדי שלא להוציא לעז על הראשונים. אמנם, בכל פעם שהיה מזדמן לו שמתקנים איזה מקווה, היה מורה להם לתקן באופן שאינו מק"ט לכו"ע.</w:t>
      </w:r>
      <w:r>
        <w:rPr>
          <w:rFonts w:hint="cs"/>
          <w:sz w:val="20"/>
          <w:szCs w:val="20"/>
          <w:rtl/>
        </w:rPr>
        <w:br/>
      </w:r>
      <w:r>
        <w:rPr>
          <w:sz w:val="20"/>
          <w:szCs w:val="20"/>
          <w:rtl/>
        </w:rPr>
        <w:br/>
      </w:r>
      <w:r>
        <w:rPr>
          <w:rFonts w:hint="cs"/>
          <w:sz w:val="20"/>
          <w:szCs w:val="20"/>
          <w:u w:val="single"/>
          <w:rtl/>
        </w:rPr>
        <w:t>המנהג כיום</w:t>
      </w:r>
      <w:r>
        <w:rPr>
          <w:sz w:val="20"/>
          <w:szCs w:val="20"/>
          <w:u w:val="single"/>
          <w:rtl/>
        </w:rPr>
        <w:br/>
      </w:r>
      <w:r w:rsidRPr="000D39DF">
        <w:rPr>
          <w:rFonts w:hint="cs"/>
          <w:b/>
          <w:bCs/>
          <w:sz w:val="20"/>
          <w:szCs w:val="20"/>
          <w:rtl/>
        </w:rPr>
        <w:t>ששבה"ל</w:t>
      </w:r>
      <w:r>
        <w:rPr>
          <w:rFonts w:hint="cs"/>
          <w:sz w:val="20"/>
          <w:szCs w:val="20"/>
          <w:rtl/>
        </w:rPr>
        <w:t xml:space="preserve"> </w:t>
      </w:r>
      <w:r>
        <w:rPr>
          <w:sz w:val="20"/>
          <w:szCs w:val="20"/>
          <w:rtl/>
        </w:rPr>
        <w:t>–</w:t>
      </w:r>
      <w:r>
        <w:rPr>
          <w:rFonts w:hint="cs"/>
          <w:sz w:val="20"/>
          <w:szCs w:val="20"/>
          <w:rtl/>
        </w:rPr>
        <w:t xml:space="preserve"> במקוואות הבנויים כיום, אין שאלות כאלו מתעוררות, כיוון שאין עושים מדרגות עץ אלא כל המקווה בבניין שאינו מק"ט.</w:t>
      </w:r>
      <w:r>
        <w:rPr>
          <w:sz w:val="20"/>
          <w:szCs w:val="20"/>
          <w:rtl/>
        </w:rPr>
        <w:br/>
      </w:r>
      <w:r>
        <w:rPr>
          <w:rFonts w:hint="cs"/>
          <w:sz w:val="20"/>
          <w:szCs w:val="20"/>
          <w:rtl/>
        </w:rPr>
        <w:t>ומה שמניחים ברזל ביציקה, דנו בזה האחרונים והעלו להקל, משום שהברזל לצורך הבניין ובנוי בתוכו.</w:t>
      </w:r>
    </w:p>
    <w:p w:rsidR="00620060" w:rsidRDefault="00620060" w:rsidP="00620060">
      <w:pPr>
        <w:rPr>
          <w:sz w:val="20"/>
          <w:szCs w:val="20"/>
          <w:rtl/>
        </w:rPr>
      </w:pPr>
      <w:r w:rsidRPr="000D39DF">
        <w:rPr>
          <w:rFonts w:hint="cs"/>
          <w:b/>
          <w:bCs/>
          <w:sz w:val="20"/>
          <w:szCs w:val="20"/>
          <w:rtl/>
        </w:rPr>
        <w:t>סיכום</w:t>
      </w:r>
      <w:r>
        <w:rPr>
          <w:sz w:val="20"/>
          <w:szCs w:val="20"/>
          <w:rtl/>
        </w:rPr>
        <w:br/>
      </w:r>
      <w:r>
        <w:rPr>
          <w:rFonts w:hint="cs"/>
          <w:sz w:val="20"/>
          <w:szCs w:val="20"/>
          <w:rtl/>
        </w:rPr>
        <w:t xml:space="preserve">1. </w:t>
      </w:r>
      <w:r w:rsidRPr="000D39DF">
        <w:rPr>
          <w:rFonts w:hint="cs"/>
          <w:b/>
          <w:bCs/>
          <w:sz w:val="20"/>
          <w:szCs w:val="20"/>
          <w:rtl/>
        </w:rPr>
        <w:t>גמרא</w:t>
      </w:r>
      <w:r>
        <w:rPr>
          <w:rFonts w:hint="cs"/>
          <w:sz w:val="20"/>
          <w:szCs w:val="20"/>
          <w:rtl/>
        </w:rPr>
        <w:t xml:space="preserve">. אין לטבול על גבי כלי או בקעת. </w:t>
      </w:r>
      <w:r w:rsidRPr="000D39DF">
        <w:rPr>
          <w:rFonts w:hint="cs"/>
          <w:b/>
          <w:bCs/>
          <w:sz w:val="20"/>
          <w:szCs w:val="20"/>
          <w:rtl/>
        </w:rPr>
        <w:t>טעם</w:t>
      </w:r>
      <w:r>
        <w:rPr>
          <w:rFonts w:hint="cs"/>
          <w:sz w:val="20"/>
          <w:szCs w:val="20"/>
          <w:rtl/>
        </w:rPr>
        <w:t xml:space="preserve">. חוששת ליפול ואינה טובלת כדין. </w:t>
      </w:r>
      <w:r>
        <w:rPr>
          <w:sz w:val="20"/>
          <w:szCs w:val="20"/>
          <w:rtl/>
        </w:rPr>
        <w:br/>
      </w:r>
      <w:r>
        <w:rPr>
          <w:rFonts w:hint="cs"/>
          <w:sz w:val="20"/>
          <w:szCs w:val="20"/>
          <w:rtl/>
        </w:rPr>
        <w:t xml:space="preserve">2. </w:t>
      </w:r>
      <w:r w:rsidRPr="000D39DF">
        <w:rPr>
          <w:rFonts w:hint="cs"/>
          <w:b/>
          <w:bCs/>
          <w:sz w:val="20"/>
          <w:szCs w:val="20"/>
          <w:rtl/>
        </w:rPr>
        <w:t>ראב"ד</w:t>
      </w:r>
      <w:r>
        <w:rPr>
          <w:rFonts w:hint="cs"/>
          <w:sz w:val="20"/>
          <w:szCs w:val="20"/>
          <w:rtl/>
        </w:rPr>
        <w:t xml:space="preserve">. בדיעבד עלתה לה טבילה, וכ"פ </w:t>
      </w:r>
      <w:r w:rsidRPr="000D39DF">
        <w:rPr>
          <w:rFonts w:hint="cs"/>
          <w:b/>
          <w:bCs/>
          <w:sz w:val="20"/>
          <w:szCs w:val="20"/>
          <w:rtl/>
        </w:rPr>
        <w:t>המחבר</w:t>
      </w:r>
      <w:r>
        <w:rPr>
          <w:rFonts w:hint="cs"/>
          <w:sz w:val="20"/>
          <w:szCs w:val="20"/>
          <w:rtl/>
        </w:rPr>
        <w:t xml:space="preserve">. </w:t>
      </w:r>
      <w:r w:rsidRPr="000D39DF">
        <w:rPr>
          <w:rFonts w:hint="cs"/>
          <w:b/>
          <w:bCs/>
          <w:sz w:val="20"/>
          <w:szCs w:val="20"/>
          <w:rtl/>
        </w:rPr>
        <w:t>ב"ח</w:t>
      </w:r>
      <w:r>
        <w:rPr>
          <w:rFonts w:hint="cs"/>
          <w:sz w:val="20"/>
          <w:szCs w:val="20"/>
          <w:rtl/>
        </w:rPr>
        <w:t xml:space="preserve">. לא עלתה לה טבילה, </w:t>
      </w:r>
      <w:r w:rsidRPr="000D39DF">
        <w:rPr>
          <w:rFonts w:hint="cs"/>
          <w:b/>
          <w:bCs/>
          <w:sz w:val="20"/>
          <w:szCs w:val="20"/>
          <w:rtl/>
        </w:rPr>
        <w:t>הש"ך</w:t>
      </w:r>
      <w:r>
        <w:rPr>
          <w:rFonts w:hint="cs"/>
          <w:sz w:val="20"/>
          <w:szCs w:val="20"/>
          <w:rtl/>
        </w:rPr>
        <w:t xml:space="preserve"> דוחה.</w:t>
      </w:r>
      <w:r>
        <w:rPr>
          <w:sz w:val="20"/>
          <w:szCs w:val="20"/>
          <w:rtl/>
        </w:rPr>
        <w:br/>
      </w:r>
      <w:r>
        <w:rPr>
          <w:rFonts w:hint="cs"/>
          <w:sz w:val="20"/>
          <w:szCs w:val="20"/>
          <w:rtl/>
        </w:rPr>
        <w:t xml:space="preserve">3. </w:t>
      </w:r>
      <w:r w:rsidRPr="000D39DF">
        <w:rPr>
          <w:rFonts w:hint="cs"/>
          <w:b/>
          <w:bCs/>
          <w:sz w:val="20"/>
          <w:szCs w:val="20"/>
          <w:rtl/>
        </w:rPr>
        <w:t>משנה</w:t>
      </w:r>
      <w:r>
        <w:rPr>
          <w:rFonts w:hint="cs"/>
          <w:sz w:val="20"/>
          <w:szCs w:val="20"/>
          <w:rtl/>
        </w:rPr>
        <w:t xml:space="preserve">. אין לטבול על גבי ספסל. מדוע? </w:t>
      </w:r>
      <w:r w:rsidRPr="000D39DF">
        <w:rPr>
          <w:rFonts w:hint="cs"/>
          <w:b/>
          <w:bCs/>
          <w:sz w:val="20"/>
          <w:szCs w:val="20"/>
          <w:rtl/>
        </w:rPr>
        <w:t>ראב"ד</w:t>
      </w:r>
      <w:r>
        <w:rPr>
          <w:rFonts w:hint="cs"/>
          <w:sz w:val="20"/>
          <w:szCs w:val="20"/>
          <w:rtl/>
        </w:rPr>
        <w:t xml:space="preserve">. גזרו לא לטבול בכלי המק"ט אטו טבילה תוך הכלי. </w:t>
      </w:r>
      <w:r>
        <w:rPr>
          <w:sz w:val="20"/>
          <w:szCs w:val="20"/>
          <w:rtl/>
        </w:rPr>
        <w:br/>
      </w:r>
      <w:r w:rsidRPr="00EE2AA9">
        <w:rPr>
          <w:rFonts w:hint="cs"/>
          <w:b/>
          <w:bCs/>
          <w:sz w:val="20"/>
          <w:szCs w:val="20"/>
          <w:rtl/>
        </w:rPr>
        <w:t>רא"ש</w:t>
      </w:r>
      <w:r>
        <w:rPr>
          <w:rFonts w:hint="cs"/>
          <w:sz w:val="20"/>
          <w:szCs w:val="20"/>
          <w:rtl/>
        </w:rPr>
        <w:t xml:space="preserve">. אטו טבילה תוך הכלי. </w:t>
      </w:r>
      <w:r w:rsidRPr="00EE2AA9">
        <w:rPr>
          <w:rFonts w:hint="cs"/>
          <w:b/>
          <w:bCs/>
          <w:sz w:val="20"/>
          <w:szCs w:val="20"/>
          <w:rtl/>
        </w:rPr>
        <w:t>ר"ש</w:t>
      </w:r>
      <w:r>
        <w:rPr>
          <w:rFonts w:hint="cs"/>
          <w:sz w:val="20"/>
          <w:szCs w:val="20"/>
          <w:rtl/>
        </w:rPr>
        <w:t>. רק בכלי קבוע אסור, שמא יקבעו במקום מוצא המים ולא יהיה בו שפ"ה.</w:t>
      </w:r>
      <w:r>
        <w:rPr>
          <w:sz w:val="20"/>
          <w:szCs w:val="20"/>
          <w:rtl/>
        </w:rPr>
        <w:br/>
      </w:r>
      <w:r>
        <w:rPr>
          <w:rFonts w:hint="cs"/>
          <w:sz w:val="20"/>
          <w:szCs w:val="20"/>
          <w:rtl/>
        </w:rPr>
        <w:t xml:space="preserve">4. טבלה ע"ג אחורי כלי חרס. </w:t>
      </w:r>
      <w:r w:rsidRPr="000D39DF">
        <w:rPr>
          <w:rFonts w:hint="cs"/>
          <w:b/>
          <w:bCs/>
          <w:sz w:val="20"/>
          <w:szCs w:val="20"/>
          <w:rtl/>
        </w:rPr>
        <w:t>ראב"ד</w:t>
      </w:r>
      <w:r>
        <w:rPr>
          <w:rFonts w:hint="cs"/>
          <w:sz w:val="20"/>
          <w:szCs w:val="20"/>
          <w:rtl/>
        </w:rPr>
        <w:t>. כשר</w:t>
      </w:r>
      <w:r>
        <w:rPr>
          <w:rFonts w:cs="Arial" w:hint="cs"/>
          <w:sz w:val="20"/>
          <w:szCs w:val="20"/>
          <w:rtl/>
        </w:rPr>
        <w:t xml:space="preserve">, וכ"פ </w:t>
      </w:r>
      <w:r w:rsidRPr="000D39DF">
        <w:rPr>
          <w:rFonts w:cs="Arial" w:hint="cs"/>
          <w:b/>
          <w:bCs/>
          <w:sz w:val="20"/>
          <w:szCs w:val="20"/>
          <w:rtl/>
        </w:rPr>
        <w:t>המחבר</w:t>
      </w:r>
      <w:r>
        <w:rPr>
          <w:rFonts w:cs="Arial" w:hint="cs"/>
          <w:sz w:val="20"/>
          <w:szCs w:val="20"/>
          <w:rtl/>
        </w:rPr>
        <w:t>.</w:t>
      </w:r>
      <w:r>
        <w:rPr>
          <w:rFonts w:hint="cs"/>
          <w:sz w:val="20"/>
          <w:szCs w:val="20"/>
          <w:rtl/>
        </w:rPr>
        <w:t xml:space="preserve"> </w:t>
      </w:r>
      <w:r w:rsidRPr="000D39DF">
        <w:rPr>
          <w:rFonts w:hint="cs"/>
          <w:b/>
          <w:bCs/>
          <w:sz w:val="20"/>
          <w:szCs w:val="20"/>
          <w:rtl/>
        </w:rPr>
        <w:t>טעם</w:t>
      </w:r>
      <w:r>
        <w:rPr>
          <w:rFonts w:hint="cs"/>
          <w:sz w:val="20"/>
          <w:szCs w:val="20"/>
          <w:rtl/>
        </w:rPr>
        <w:t xml:space="preserve">. אינו מק"ט. </w:t>
      </w:r>
      <w:r w:rsidRPr="000D39DF">
        <w:rPr>
          <w:rFonts w:hint="cs"/>
          <w:b/>
          <w:bCs/>
          <w:sz w:val="20"/>
          <w:szCs w:val="20"/>
          <w:rtl/>
        </w:rPr>
        <w:t>רא"ש</w:t>
      </w:r>
      <w:r>
        <w:rPr>
          <w:rFonts w:hint="cs"/>
          <w:sz w:val="20"/>
          <w:szCs w:val="20"/>
          <w:rtl/>
        </w:rPr>
        <w:t>. פסול.</w:t>
      </w:r>
      <w:r>
        <w:rPr>
          <w:sz w:val="20"/>
          <w:szCs w:val="20"/>
          <w:rtl/>
        </w:rPr>
        <w:br/>
      </w:r>
      <w:r>
        <w:rPr>
          <w:rFonts w:hint="cs"/>
          <w:sz w:val="20"/>
          <w:szCs w:val="20"/>
          <w:rtl/>
        </w:rPr>
        <w:t xml:space="preserve">5. </w:t>
      </w:r>
      <w:r w:rsidRPr="000D39DF">
        <w:rPr>
          <w:rFonts w:hint="cs"/>
          <w:b/>
          <w:bCs/>
          <w:sz w:val="20"/>
          <w:szCs w:val="20"/>
          <w:rtl/>
        </w:rPr>
        <w:t>מחבר</w:t>
      </w:r>
      <w:r>
        <w:rPr>
          <w:rFonts w:hint="cs"/>
          <w:sz w:val="20"/>
          <w:szCs w:val="20"/>
          <w:rtl/>
        </w:rPr>
        <w:t>. אין טובלים ע"ג כלי הראוי לטומאת מדרס, ואף בדיעבד לא מהני. לא תעמוד אף על דבר שאינו מק"ט, חשש שמא תיפול, אך בדיעבד עלתה טבילה. ע"ג אחורי כלי חרס מהני בדיעבד, שהרי אינו מק"ט.</w:t>
      </w:r>
      <w:r>
        <w:rPr>
          <w:rFonts w:hint="cs"/>
          <w:sz w:val="20"/>
          <w:szCs w:val="20"/>
          <w:rtl/>
        </w:rPr>
        <w:br/>
        <w:t xml:space="preserve">6. </w:t>
      </w:r>
      <w:r w:rsidRPr="000D39DF">
        <w:rPr>
          <w:rFonts w:hint="cs"/>
          <w:b/>
          <w:bCs/>
          <w:sz w:val="20"/>
          <w:szCs w:val="20"/>
          <w:rtl/>
        </w:rPr>
        <w:t>מחבר</w:t>
      </w:r>
      <w:r>
        <w:rPr>
          <w:rFonts w:hint="cs"/>
          <w:sz w:val="20"/>
          <w:szCs w:val="20"/>
          <w:rtl/>
        </w:rPr>
        <w:t xml:space="preserve">. ע"פ הנ"ל, אין לה לטבול ע"ג סולם הקבוע במקווה. </w:t>
      </w:r>
      <w:r w:rsidRPr="000D39DF">
        <w:rPr>
          <w:rFonts w:hint="cs"/>
          <w:b/>
          <w:bCs/>
          <w:sz w:val="20"/>
          <w:szCs w:val="20"/>
          <w:rtl/>
        </w:rPr>
        <w:t>מהר"ל</w:t>
      </w:r>
      <w:r>
        <w:rPr>
          <w:rFonts w:hint="cs"/>
          <w:sz w:val="20"/>
          <w:szCs w:val="20"/>
          <w:rtl/>
        </w:rPr>
        <w:t>. מותר.</w:t>
      </w:r>
      <w:r>
        <w:rPr>
          <w:sz w:val="20"/>
          <w:szCs w:val="20"/>
          <w:rtl/>
        </w:rPr>
        <w:br/>
      </w:r>
      <w:r>
        <w:rPr>
          <w:rFonts w:hint="cs"/>
          <w:sz w:val="20"/>
          <w:szCs w:val="20"/>
          <w:rtl/>
        </w:rPr>
        <w:t xml:space="preserve">7. טבילה ע"ג נסרים שבמקווה. </w:t>
      </w:r>
      <w:r w:rsidRPr="000D39DF">
        <w:rPr>
          <w:rFonts w:hint="cs"/>
          <w:b/>
          <w:bCs/>
          <w:sz w:val="20"/>
          <w:szCs w:val="20"/>
          <w:rtl/>
        </w:rPr>
        <w:t>ט"ז</w:t>
      </w:r>
      <w:r>
        <w:rPr>
          <w:rFonts w:hint="cs"/>
          <w:sz w:val="20"/>
          <w:szCs w:val="20"/>
          <w:rtl/>
        </w:rPr>
        <w:t xml:space="preserve">. אין לטבול אף ע"ג דבר שכעת אינו מק"ט אך ראוי לקבל טומאה. לדעת </w:t>
      </w:r>
      <w:r w:rsidRPr="000D39DF">
        <w:rPr>
          <w:rFonts w:hint="cs"/>
          <w:b/>
          <w:bCs/>
          <w:sz w:val="20"/>
          <w:szCs w:val="20"/>
          <w:rtl/>
        </w:rPr>
        <w:t>הראב"ד</w:t>
      </w:r>
      <w:r>
        <w:rPr>
          <w:rFonts w:hint="cs"/>
          <w:sz w:val="20"/>
          <w:szCs w:val="20"/>
          <w:rtl/>
        </w:rPr>
        <w:t xml:space="preserve"> אין היתר לנסרים אלו. לדעת </w:t>
      </w:r>
      <w:r w:rsidRPr="000D39DF">
        <w:rPr>
          <w:rFonts w:hint="cs"/>
          <w:b/>
          <w:bCs/>
          <w:sz w:val="20"/>
          <w:szCs w:val="20"/>
          <w:rtl/>
        </w:rPr>
        <w:t>רא"ש ור"ש</w:t>
      </w:r>
      <w:r>
        <w:rPr>
          <w:rFonts w:hint="cs"/>
          <w:sz w:val="20"/>
          <w:szCs w:val="20"/>
          <w:rtl/>
        </w:rPr>
        <w:t xml:space="preserve"> יש להתיר. </w:t>
      </w:r>
      <w:r w:rsidRPr="000D39DF">
        <w:rPr>
          <w:rFonts w:hint="cs"/>
          <w:b/>
          <w:bCs/>
          <w:sz w:val="20"/>
          <w:szCs w:val="20"/>
          <w:rtl/>
        </w:rPr>
        <w:t>לר"ש</w:t>
      </w:r>
      <w:r>
        <w:rPr>
          <w:rFonts w:hint="cs"/>
          <w:sz w:val="20"/>
          <w:szCs w:val="20"/>
          <w:rtl/>
        </w:rPr>
        <w:t xml:space="preserve">. תמיד יהיה נקב כשפ"ה. </w:t>
      </w:r>
      <w:r w:rsidRPr="000D39DF">
        <w:rPr>
          <w:rFonts w:hint="cs"/>
          <w:b/>
          <w:bCs/>
          <w:sz w:val="20"/>
          <w:szCs w:val="20"/>
          <w:rtl/>
        </w:rPr>
        <w:t>לרא"ש</w:t>
      </w:r>
      <w:r>
        <w:rPr>
          <w:rFonts w:hint="cs"/>
          <w:sz w:val="20"/>
          <w:szCs w:val="20"/>
          <w:rtl/>
        </w:rPr>
        <w:t xml:space="preserve"> אין חשש משום שלא תהיה אפשרות לעולם לטבול בכלי עצמו כשאינו מחובר למעיין. </w:t>
      </w:r>
      <w:r w:rsidRPr="000D39DF">
        <w:rPr>
          <w:rFonts w:hint="cs"/>
          <w:b/>
          <w:bCs/>
          <w:sz w:val="20"/>
          <w:szCs w:val="20"/>
          <w:rtl/>
        </w:rPr>
        <w:t>סיכום</w:t>
      </w:r>
      <w:r>
        <w:rPr>
          <w:rFonts w:hint="cs"/>
          <w:sz w:val="20"/>
          <w:szCs w:val="20"/>
          <w:rtl/>
        </w:rPr>
        <w:t xml:space="preserve">. לדעת </w:t>
      </w:r>
      <w:r w:rsidRPr="000D39DF">
        <w:rPr>
          <w:rFonts w:hint="cs"/>
          <w:b/>
          <w:bCs/>
          <w:sz w:val="20"/>
          <w:szCs w:val="20"/>
          <w:rtl/>
        </w:rPr>
        <w:t>המחבר</w:t>
      </w:r>
      <w:r>
        <w:rPr>
          <w:rFonts w:hint="cs"/>
          <w:sz w:val="20"/>
          <w:szCs w:val="20"/>
          <w:rtl/>
        </w:rPr>
        <w:t xml:space="preserve"> שפסק </w:t>
      </w:r>
      <w:r w:rsidRPr="000D39DF">
        <w:rPr>
          <w:rFonts w:hint="cs"/>
          <w:b/>
          <w:bCs/>
          <w:sz w:val="20"/>
          <w:szCs w:val="20"/>
          <w:rtl/>
        </w:rPr>
        <w:t>כראב"ד</w:t>
      </w:r>
      <w:r>
        <w:rPr>
          <w:rFonts w:hint="cs"/>
          <w:sz w:val="20"/>
          <w:szCs w:val="20"/>
          <w:rtl/>
        </w:rPr>
        <w:t xml:space="preserve"> אין למצוא היתר לנסרים, רק לשאר הראשונים יש להתיר זאת.</w:t>
      </w:r>
      <w:r>
        <w:rPr>
          <w:sz w:val="20"/>
          <w:szCs w:val="20"/>
          <w:rtl/>
        </w:rPr>
        <w:br/>
      </w:r>
      <w:r>
        <w:rPr>
          <w:rFonts w:hint="cs"/>
          <w:sz w:val="20"/>
          <w:szCs w:val="20"/>
          <w:rtl/>
        </w:rPr>
        <w:t xml:space="preserve">8. </w:t>
      </w:r>
      <w:r w:rsidRPr="000D39DF">
        <w:rPr>
          <w:rFonts w:hint="cs"/>
          <w:b/>
          <w:bCs/>
          <w:sz w:val="20"/>
          <w:szCs w:val="20"/>
          <w:rtl/>
        </w:rPr>
        <w:t>מהר"פ</w:t>
      </w:r>
      <w:r>
        <w:rPr>
          <w:rFonts w:hint="cs"/>
          <w:sz w:val="20"/>
          <w:szCs w:val="20"/>
          <w:rtl/>
        </w:rPr>
        <w:t>. הנסרים יצאו מתורת כלי. לא היה עליהם שם כלי בתלוש.</w:t>
      </w:r>
      <w:r>
        <w:rPr>
          <w:sz w:val="20"/>
          <w:szCs w:val="20"/>
        </w:rPr>
        <w:t xml:space="preserve"> </w:t>
      </w:r>
      <w:r>
        <w:rPr>
          <w:rFonts w:hint="cs"/>
          <w:sz w:val="20"/>
          <w:szCs w:val="20"/>
          <w:rtl/>
        </w:rPr>
        <w:t xml:space="preserve">ע"י שבנו אותם בטל שם כלי. ס"ל כמ"ד שאין פשוטי כלי עץ מק"ט. </w:t>
      </w:r>
      <w:r w:rsidRPr="000D39DF">
        <w:rPr>
          <w:rFonts w:hint="cs"/>
          <w:b/>
          <w:bCs/>
          <w:sz w:val="20"/>
          <w:szCs w:val="20"/>
          <w:rtl/>
        </w:rPr>
        <w:t>מהרי" כץ</w:t>
      </w:r>
      <w:r>
        <w:rPr>
          <w:rFonts w:hint="cs"/>
          <w:sz w:val="20"/>
          <w:szCs w:val="20"/>
          <w:rtl/>
        </w:rPr>
        <w:t xml:space="preserve">. אלו כלים העשויים לנחת שאינם מק"ט. </w:t>
      </w:r>
      <w:r w:rsidRPr="000D39DF">
        <w:rPr>
          <w:rFonts w:hint="cs"/>
          <w:b/>
          <w:bCs/>
          <w:sz w:val="20"/>
          <w:szCs w:val="20"/>
          <w:rtl/>
        </w:rPr>
        <w:t>שארית יוסף</w:t>
      </w:r>
      <w:r>
        <w:rPr>
          <w:rFonts w:hint="cs"/>
          <w:sz w:val="20"/>
          <w:szCs w:val="20"/>
          <w:rtl/>
        </w:rPr>
        <w:t xml:space="preserve">. אינם מק"ט כי אינם ראויים למדרס אלא רק לעמוד עליהם בשעת הטבילה, וכ"פ </w:t>
      </w:r>
      <w:r w:rsidRPr="000D39DF">
        <w:rPr>
          <w:rFonts w:hint="cs"/>
          <w:b/>
          <w:bCs/>
          <w:sz w:val="20"/>
          <w:szCs w:val="20"/>
          <w:rtl/>
        </w:rPr>
        <w:t>הש"ך</w:t>
      </w:r>
      <w:r>
        <w:rPr>
          <w:rFonts w:hint="cs"/>
          <w:sz w:val="20"/>
          <w:szCs w:val="20"/>
          <w:rtl/>
        </w:rPr>
        <w:t>.</w:t>
      </w:r>
    </w:p>
    <w:p w:rsidR="00620060" w:rsidRDefault="00620060" w:rsidP="00620060">
      <w:pPr>
        <w:rPr>
          <w:sz w:val="20"/>
          <w:szCs w:val="20"/>
          <w:rtl/>
        </w:rPr>
      </w:pPr>
      <w:r>
        <w:rPr>
          <w:sz w:val="20"/>
          <w:szCs w:val="20"/>
          <w:rtl/>
        </w:rPr>
        <w:br/>
      </w:r>
      <w:r>
        <w:rPr>
          <w:rFonts w:hint="cs"/>
          <w:b/>
          <w:bCs/>
          <w:sz w:val="20"/>
          <w:szCs w:val="20"/>
          <w:rtl/>
        </w:rPr>
        <w:t xml:space="preserve">סעיף לב </w:t>
      </w:r>
      <w:r>
        <w:rPr>
          <w:b/>
          <w:bCs/>
          <w:sz w:val="20"/>
          <w:szCs w:val="20"/>
          <w:rtl/>
        </w:rPr>
        <w:t>–</w:t>
      </w:r>
      <w:r>
        <w:rPr>
          <w:rFonts w:hint="cs"/>
          <w:b/>
          <w:bCs/>
          <w:sz w:val="20"/>
          <w:szCs w:val="20"/>
          <w:rtl/>
        </w:rPr>
        <w:t xml:space="preserve"> טבילה על גבי סילונות של עץ</w:t>
      </w:r>
      <w:r>
        <w:rPr>
          <w:b/>
          <w:b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שולחן ערוך </w:t>
      </w:r>
      <w:r w:rsidRPr="00EA3635">
        <w:rPr>
          <w:rFonts w:hint="cs"/>
          <w:sz w:val="18"/>
          <w:szCs w:val="18"/>
          <w:rtl/>
        </w:rPr>
        <w:t xml:space="preserve">(ע"פ </w:t>
      </w:r>
      <w:r w:rsidRPr="006E76A1">
        <w:rPr>
          <w:rFonts w:hint="cs"/>
          <w:b/>
          <w:bCs/>
          <w:sz w:val="18"/>
          <w:szCs w:val="18"/>
          <w:rtl/>
        </w:rPr>
        <w:t>תשובת הרא"ש</w:t>
      </w:r>
      <w:r w:rsidRPr="00EA3635">
        <w:rPr>
          <w:rFonts w:hint="cs"/>
          <w:sz w:val="18"/>
          <w:szCs w:val="18"/>
          <w:rtl/>
        </w:rPr>
        <w:t xml:space="preserve">) </w:t>
      </w:r>
      <w:r>
        <w:rPr>
          <w:sz w:val="20"/>
          <w:szCs w:val="20"/>
          <w:rtl/>
        </w:rPr>
        <w:t>–</w:t>
      </w:r>
      <w:r>
        <w:rPr>
          <w:rFonts w:hint="cs"/>
          <w:sz w:val="20"/>
          <w:szCs w:val="20"/>
          <w:rtl/>
        </w:rPr>
        <w:t xml:space="preserve"> "</w:t>
      </w:r>
      <w:r w:rsidRPr="00EA3635">
        <w:rPr>
          <w:rFonts w:cs="Arial"/>
          <w:sz w:val="20"/>
          <w:szCs w:val="20"/>
          <w:rtl/>
        </w:rPr>
        <w:t xml:space="preserve">סילון של עץ הקבוע בקרקעית הטבילה, אם אין לו לבזבז </w:t>
      </w:r>
      <w:r w:rsidRPr="00EA3635">
        <w:rPr>
          <w:rFonts w:cs="Arial"/>
          <w:sz w:val="18"/>
          <w:szCs w:val="18"/>
          <w:rtl/>
        </w:rPr>
        <w:t>(פירש מסגרת שאז אין לו בית ק</w:t>
      </w:r>
      <w:r>
        <w:rPr>
          <w:rFonts w:cs="Arial" w:hint="cs"/>
          <w:sz w:val="18"/>
          <w:szCs w:val="18"/>
          <w:rtl/>
        </w:rPr>
        <w:t>י</w:t>
      </w:r>
      <w:r w:rsidRPr="00EA3635">
        <w:rPr>
          <w:rFonts w:cs="Arial"/>
          <w:sz w:val="18"/>
          <w:szCs w:val="18"/>
          <w:rtl/>
        </w:rPr>
        <w:t>בול)</w:t>
      </w:r>
      <w:r>
        <w:rPr>
          <w:rFonts w:cs="Arial"/>
          <w:sz w:val="20"/>
          <w:szCs w:val="20"/>
          <w:rtl/>
        </w:rPr>
        <w:t>, מותרת לעמוד עליו ולטבול</w:t>
      </w:r>
      <w:r>
        <w:rPr>
          <w:rFonts w:cs="Arial" w:hint="cs"/>
          <w:sz w:val="20"/>
          <w:szCs w:val="20"/>
          <w:rtl/>
        </w:rPr>
        <w:t>".</w:t>
      </w:r>
    </w:p>
    <w:p w:rsidR="00620060" w:rsidRDefault="00620060" w:rsidP="00620060">
      <w:pPr>
        <w:rPr>
          <w:sz w:val="20"/>
          <w:szCs w:val="20"/>
          <w:rtl/>
        </w:rPr>
      </w:pPr>
      <w:r>
        <w:rPr>
          <w:rFonts w:hint="cs"/>
          <w:b/>
          <w:bCs/>
          <w:sz w:val="20"/>
          <w:szCs w:val="20"/>
          <w:rtl/>
        </w:rPr>
        <w:t xml:space="preserve">הסבר </w:t>
      </w:r>
      <w:r w:rsidRPr="000D5219">
        <w:rPr>
          <w:rFonts w:hint="cs"/>
          <w:sz w:val="18"/>
          <w:szCs w:val="18"/>
          <w:rtl/>
        </w:rPr>
        <w:t>(בית יוסף)</w:t>
      </w:r>
      <w:r>
        <w:rPr>
          <w:rFonts w:hint="cs"/>
          <w:b/>
          <w:bCs/>
          <w:sz w:val="20"/>
          <w:szCs w:val="20"/>
          <w:rtl/>
        </w:rPr>
        <w:br/>
      </w:r>
      <w:r>
        <w:rPr>
          <w:rFonts w:hint="cs"/>
          <w:sz w:val="20"/>
          <w:szCs w:val="20"/>
          <w:rtl/>
        </w:rPr>
        <w:t>א. אין לאסור מפני חשש נפילה, שהרי כאן אינה חוששת ליפול.</w:t>
      </w:r>
      <w:r>
        <w:rPr>
          <w:sz w:val="20"/>
          <w:szCs w:val="20"/>
          <w:rtl/>
        </w:rPr>
        <w:br/>
      </w:r>
      <w:r>
        <w:rPr>
          <w:rFonts w:hint="cs"/>
          <w:sz w:val="20"/>
          <w:szCs w:val="20"/>
          <w:rtl/>
        </w:rPr>
        <w:lastRenderedPageBreak/>
        <w:t xml:space="preserve">ב. לדעת </w:t>
      </w:r>
      <w:r w:rsidRPr="00ED4E60">
        <w:rPr>
          <w:rFonts w:hint="cs"/>
          <w:b/>
          <w:bCs/>
          <w:sz w:val="20"/>
          <w:szCs w:val="20"/>
          <w:rtl/>
        </w:rPr>
        <w:t>ר"ש</w:t>
      </w:r>
      <w:r>
        <w:rPr>
          <w:rFonts w:hint="cs"/>
          <w:sz w:val="20"/>
          <w:szCs w:val="20"/>
          <w:rtl/>
        </w:rPr>
        <w:t xml:space="preserve"> שגזר אטו שיקבע במקום מוצא המים ולא יהיה נקב כשפ"ה, כאן לא שייך לחוש שלא יהיה נקב.</w:t>
      </w:r>
      <w:r>
        <w:rPr>
          <w:sz w:val="20"/>
          <w:szCs w:val="20"/>
          <w:rtl/>
        </w:rPr>
        <w:br/>
      </w:r>
      <w:r>
        <w:rPr>
          <w:rFonts w:hint="cs"/>
          <w:sz w:val="20"/>
          <w:szCs w:val="20"/>
          <w:rtl/>
        </w:rPr>
        <w:t>ועוד, כיוון שאין להם בית קיבול אינם יכולים לפסול בשאיבה וכן אינם מקבלים טומאה.</w:t>
      </w:r>
      <w:r>
        <w:rPr>
          <w:sz w:val="20"/>
          <w:szCs w:val="20"/>
          <w:rtl/>
        </w:rPr>
        <w:br/>
      </w:r>
      <w:r>
        <w:rPr>
          <w:rFonts w:hint="cs"/>
          <w:sz w:val="20"/>
          <w:szCs w:val="20"/>
          <w:rtl/>
        </w:rPr>
        <w:t xml:space="preserve">ג. אף לדעת </w:t>
      </w:r>
      <w:r w:rsidRPr="00ED4E60">
        <w:rPr>
          <w:rFonts w:hint="cs"/>
          <w:b/>
          <w:bCs/>
          <w:sz w:val="20"/>
          <w:szCs w:val="20"/>
          <w:rtl/>
        </w:rPr>
        <w:t>הראב"ד</w:t>
      </w:r>
      <w:r>
        <w:rPr>
          <w:rFonts w:hint="cs"/>
          <w:sz w:val="20"/>
          <w:szCs w:val="20"/>
          <w:rtl/>
        </w:rPr>
        <w:t xml:space="preserve"> לעיל אין לאסור משום שסילונות אינם ראויים למדרס. </w:t>
      </w:r>
      <w:r>
        <w:rPr>
          <w:rFonts w:hint="cs"/>
          <w:sz w:val="20"/>
          <w:szCs w:val="20"/>
          <w:rtl/>
        </w:rPr>
        <w:br/>
        <w:t xml:space="preserve">מסביר </w:t>
      </w:r>
      <w:r w:rsidRPr="000D5219">
        <w:rPr>
          <w:rFonts w:hint="cs"/>
          <w:b/>
          <w:bCs/>
          <w:sz w:val="20"/>
          <w:szCs w:val="20"/>
          <w:rtl/>
        </w:rPr>
        <w:t>בדה"ש</w:t>
      </w:r>
      <w:r>
        <w:rPr>
          <w:rFonts w:hint="cs"/>
          <w:sz w:val="20"/>
          <w:szCs w:val="20"/>
          <w:rtl/>
        </w:rPr>
        <w:t xml:space="preserve"> </w:t>
      </w:r>
      <w:r>
        <w:rPr>
          <w:sz w:val="20"/>
          <w:szCs w:val="20"/>
          <w:rtl/>
        </w:rPr>
        <w:t>–</w:t>
      </w:r>
      <w:r>
        <w:rPr>
          <w:rFonts w:hint="cs"/>
          <w:sz w:val="20"/>
          <w:szCs w:val="20"/>
          <w:rtl/>
        </w:rPr>
        <w:t xml:space="preserve"> סילונות אלו אינם מיוחדים למדרס ולכן אינם מק"ט.</w:t>
      </w:r>
    </w:p>
    <w:p w:rsidR="00620060" w:rsidRPr="001A3830" w:rsidRDefault="00620060" w:rsidP="00620060">
      <w:pPr>
        <w:rPr>
          <w:sz w:val="20"/>
          <w:szCs w:val="20"/>
          <w:rtl/>
        </w:rPr>
      </w:pPr>
      <w:r w:rsidRPr="001A3830">
        <w:rPr>
          <w:rFonts w:cs="Arial"/>
          <w:sz w:val="20"/>
          <w:szCs w:val="20"/>
          <w:u w:val="single"/>
          <w:rtl/>
        </w:rPr>
        <w:t>לבזבז</w:t>
      </w:r>
      <w:r>
        <w:rPr>
          <w:rFonts w:hint="cs"/>
          <w:sz w:val="20"/>
          <w:szCs w:val="20"/>
          <w:u w:val="single"/>
          <w:rtl/>
        </w:rPr>
        <w:br/>
      </w:r>
      <w:r w:rsidRPr="001A3830">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הטור לא כתב את התנאי שלא יהיה לו לבזבז. הסיבה לכך היא, משום שהוא תפס כטעם הראשון של הרא"ש, שאין לחוש שמא לא יהיה נקב כשפ"ה, ולכן אין נפק"מ בלבזבז. ברם, המחבר סובר כטעם השני של הרא"ש, שכיוון שאין בית קיבול אינו פוסל, ולכן הצריך שלא יהיה לבזבז.</w:t>
      </w:r>
    </w:p>
    <w:p w:rsidR="00620060" w:rsidRDefault="00620060" w:rsidP="00620060">
      <w:pPr>
        <w:rPr>
          <w:sz w:val="20"/>
          <w:szCs w:val="20"/>
          <w:rtl/>
        </w:rPr>
      </w:pPr>
      <w:r>
        <w:rPr>
          <w:rFonts w:hint="cs"/>
          <w:b/>
          <w:bCs/>
          <w:sz w:val="20"/>
          <w:szCs w:val="20"/>
          <w:rtl/>
        </w:rPr>
        <w:t xml:space="preserve">סיכום </w:t>
      </w:r>
      <w:r>
        <w:rPr>
          <w:b/>
          <w:bCs/>
          <w:sz w:val="20"/>
          <w:szCs w:val="20"/>
          <w:rtl/>
        </w:rPr>
        <w:br/>
      </w:r>
      <w:r>
        <w:rPr>
          <w:rFonts w:hint="cs"/>
          <w:sz w:val="20"/>
          <w:szCs w:val="20"/>
          <w:rtl/>
        </w:rPr>
        <w:t xml:space="preserve">1. מותר לטבול ע"ג סילונות הקבועים בקרקע המקווה. </w:t>
      </w:r>
      <w:r w:rsidRPr="001A3830">
        <w:rPr>
          <w:rFonts w:hint="cs"/>
          <w:b/>
          <w:bCs/>
          <w:sz w:val="20"/>
          <w:szCs w:val="20"/>
          <w:rtl/>
        </w:rPr>
        <w:t>טעמים</w:t>
      </w:r>
      <w:r>
        <w:rPr>
          <w:rFonts w:hint="cs"/>
          <w:sz w:val="20"/>
          <w:szCs w:val="20"/>
          <w:rtl/>
        </w:rPr>
        <w:t>. אין חשש נפילה. אין חשש שלא יהיה נקב כשפ"ה. אינו כלי ולכן אינו פוסל בשאיבה ואינו מק"ט. אינו ראוי למדרס.</w:t>
      </w:r>
      <w:r>
        <w:rPr>
          <w:sz w:val="20"/>
          <w:szCs w:val="20"/>
          <w:rtl/>
        </w:rPr>
        <w:br/>
      </w:r>
      <w:r>
        <w:rPr>
          <w:rFonts w:hint="cs"/>
          <w:sz w:val="20"/>
          <w:szCs w:val="20"/>
          <w:rtl/>
        </w:rPr>
        <w:t xml:space="preserve">2. </w:t>
      </w:r>
      <w:r w:rsidRPr="001A3830">
        <w:rPr>
          <w:rFonts w:hint="cs"/>
          <w:b/>
          <w:bCs/>
          <w:sz w:val="20"/>
          <w:szCs w:val="20"/>
          <w:rtl/>
        </w:rPr>
        <w:t>טור</w:t>
      </w:r>
      <w:r>
        <w:rPr>
          <w:rFonts w:hint="cs"/>
          <w:sz w:val="20"/>
          <w:szCs w:val="20"/>
          <w:rtl/>
        </w:rPr>
        <w:t xml:space="preserve">. אפילו בסילון שיש לבזבז שרי. </w:t>
      </w:r>
      <w:r w:rsidRPr="001A3830">
        <w:rPr>
          <w:rFonts w:hint="cs"/>
          <w:b/>
          <w:bCs/>
          <w:sz w:val="20"/>
          <w:szCs w:val="20"/>
          <w:rtl/>
        </w:rPr>
        <w:t>טעם</w:t>
      </w:r>
      <w:r>
        <w:rPr>
          <w:rFonts w:hint="cs"/>
          <w:sz w:val="20"/>
          <w:szCs w:val="20"/>
          <w:rtl/>
        </w:rPr>
        <w:t xml:space="preserve">. אין חשש שלא יהיה נקב כשפ"ה. </w:t>
      </w:r>
      <w:r w:rsidRPr="001A3830">
        <w:rPr>
          <w:rFonts w:hint="cs"/>
          <w:b/>
          <w:bCs/>
          <w:sz w:val="20"/>
          <w:szCs w:val="20"/>
          <w:rtl/>
        </w:rPr>
        <w:t>מחבר</w:t>
      </w:r>
      <w:r>
        <w:rPr>
          <w:rFonts w:hint="cs"/>
          <w:sz w:val="20"/>
          <w:szCs w:val="20"/>
          <w:rtl/>
        </w:rPr>
        <w:t xml:space="preserve">. רק כשאין לבזבז שרי. </w:t>
      </w:r>
      <w:r w:rsidRPr="001A3830">
        <w:rPr>
          <w:rFonts w:hint="cs"/>
          <w:b/>
          <w:bCs/>
          <w:sz w:val="20"/>
          <w:szCs w:val="20"/>
          <w:rtl/>
        </w:rPr>
        <w:t>טעם</w:t>
      </w:r>
      <w:r>
        <w:rPr>
          <w:rFonts w:hint="cs"/>
          <w:sz w:val="20"/>
          <w:szCs w:val="20"/>
          <w:rtl/>
        </w:rPr>
        <w:t>. כשיש לבזבז זו כלי ופוסל בשאיבה.</w:t>
      </w:r>
    </w:p>
    <w:p w:rsidR="00620060" w:rsidRPr="00995C58" w:rsidRDefault="00620060" w:rsidP="00620060">
      <w:pPr>
        <w:rPr>
          <w:sz w:val="20"/>
          <w:szCs w:val="20"/>
          <w:rtl/>
        </w:rPr>
      </w:pPr>
      <w:r>
        <w:rPr>
          <w:sz w:val="20"/>
          <w:szCs w:val="20"/>
          <w:rtl/>
        </w:rPr>
        <w:br/>
      </w:r>
      <w:r>
        <w:rPr>
          <w:rFonts w:hint="cs"/>
          <w:b/>
          <w:bCs/>
          <w:sz w:val="20"/>
          <w:szCs w:val="20"/>
          <w:rtl/>
        </w:rPr>
        <w:t xml:space="preserve">סעיף לג </w:t>
      </w:r>
      <w:r>
        <w:rPr>
          <w:b/>
          <w:bCs/>
          <w:sz w:val="20"/>
          <w:szCs w:val="20"/>
          <w:rtl/>
        </w:rPr>
        <w:t>–</w:t>
      </w:r>
      <w:r>
        <w:rPr>
          <w:rFonts w:hint="cs"/>
          <w:b/>
          <w:bCs/>
          <w:sz w:val="20"/>
          <w:szCs w:val="20"/>
          <w:rtl/>
        </w:rPr>
        <w:t xml:space="preserve"> טבילה במקווה שיש בקרקעיתו טיט </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גמרא </w:t>
      </w:r>
      <w:r>
        <w:rPr>
          <w:rFonts w:hint="cs"/>
          <w:sz w:val="20"/>
          <w:szCs w:val="20"/>
          <w:rtl/>
        </w:rPr>
        <w:t>נידה (סו:) "</w:t>
      </w:r>
      <w:r w:rsidRPr="00995C58">
        <w:rPr>
          <w:rFonts w:cs="Arial"/>
          <w:sz w:val="20"/>
          <w:szCs w:val="20"/>
          <w:rtl/>
        </w:rPr>
        <w:t>אמר רב שמואל בר רב יצחק: אשה לא תטבול</w:t>
      </w:r>
      <w:r w:rsidRPr="00995C58">
        <w:rPr>
          <w:rtl/>
        </w:rPr>
        <w:t xml:space="preserve"> </w:t>
      </w:r>
      <w:r w:rsidRPr="00995C58">
        <w:rPr>
          <w:rFonts w:cs="Arial"/>
          <w:sz w:val="20"/>
          <w:szCs w:val="20"/>
          <w:rtl/>
        </w:rPr>
        <w:t>בנמל</w:t>
      </w:r>
      <w:r>
        <w:rPr>
          <w:rFonts w:cs="Arial" w:hint="cs"/>
          <w:sz w:val="20"/>
          <w:szCs w:val="20"/>
          <w:rtl/>
        </w:rPr>
        <w:t xml:space="preserve"> </w:t>
      </w:r>
      <w:r w:rsidRPr="00995C58">
        <w:rPr>
          <w:rFonts w:cs="Arial" w:hint="cs"/>
          <w:sz w:val="18"/>
          <w:szCs w:val="18"/>
          <w:rtl/>
        </w:rPr>
        <w:t xml:space="preserve">(רש"י - </w:t>
      </w:r>
      <w:r w:rsidRPr="00995C58">
        <w:rPr>
          <w:rFonts w:cs="Arial"/>
          <w:sz w:val="18"/>
          <w:szCs w:val="18"/>
          <w:rtl/>
        </w:rPr>
        <w:t>שהספינות מעלות טיט וחוצץ</w:t>
      </w:r>
      <w:r w:rsidRPr="00995C58">
        <w:rPr>
          <w:rFonts w:cs="Arial" w:hint="cs"/>
          <w:sz w:val="18"/>
          <w:szCs w:val="18"/>
          <w:rtl/>
        </w:rPr>
        <w:t>)</w:t>
      </w:r>
      <w:r w:rsidRPr="00995C58">
        <w:rPr>
          <w:rFonts w:cs="Arial"/>
          <w:sz w:val="20"/>
          <w:szCs w:val="20"/>
          <w:rtl/>
        </w:rPr>
        <w:t>, אף על גב דהשתא ליכא - אימר</w:t>
      </w:r>
      <w:r>
        <w:rPr>
          <w:rFonts w:cs="Arial"/>
          <w:sz w:val="20"/>
          <w:szCs w:val="20"/>
          <w:rtl/>
        </w:rPr>
        <w:t xml:space="preserve"> ברדיוני נפל</w:t>
      </w:r>
      <w:r>
        <w:rPr>
          <w:rFonts w:cs="Arial" w:hint="cs"/>
          <w:sz w:val="20"/>
          <w:szCs w:val="20"/>
          <w:rtl/>
        </w:rPr>
        <w:t xml:space="preserve"> </w:t>
      </w:r>
      <w:r w:rsidRPr="00995C58">
        <w:rPr>
          <w:rFonts w:cs="Arial" w:hint="cs"/>
          <w:sz w:val="18"/>
          <w:szCs w:val="18"/>
          <w:rtl/>
        </w:rPr>
        <w:t xml:space="preserve">(רש"י - </w:t>
      </w:r>
      <w:r w:rsidRPr="00995C58">
        <w:rPr>
          <w:rFonts w:cs="Arial"/>
          <w:sz w:val="18"/>
          <w:szCs w:val="18"/>
          <w:rtl/>
        </w:rPr>
        <w:t>הטיט מעליה</w:t>
      </w:r>
      <w:r>
        <w:rPr>
          <w:rFonts w:cs="Arial" w:hint="cs"/>
          <w:sz w:val="18"/>
          <w:szCs w:val="18"/>
          <w:rtl/>
        </w:rPr>
        <w:t>,</w:t>
      </w:r>
      <w:r w:rsidRPr="00995C58">
        <w:rPr>
          <w:rFonts w:cs="Arial"/>
          <w:sz w:val="18"/>
          <w:szCs w:val="18"/>
          <w:rtl/>
        </w:rPr>
        <w:t xml:space="preserve"> שכששכשכה רגליה במים בצאתה נפל</w:t>
      </w:r>
      <w:r w:rsidRPr="00995C58">
        <w:rPr>
          <w:rFonts w:cs="Arial" w:hint="cs"/>
          <w:sz w:val="18"/>
          <w:szCs w:val="18"/>
          <w:rtl/>
        </w:rPr>
        <w:t>)</w:t>
      </w:r>
      <w:r>
        <w:rPr>
          <w:rFonts w:cs="Arial" w:hint="cs"/>
          <w:sz w:val="20"/>
          <w:szCs w:val="20"/>
          <w:rtl/>
        </w:rPr>
        <w:t>".</w:t>
      </w:r>
    </w:p>
    <w:p w:rsidR="00620060" w:rsidRDefault="00620060" w:rsidP="00620060">
      <w:pPr>
        <w:rPr>
          <w:sz w:val="20"/>
          <w:szCs w:val="20"/>
          <w:rtl/>
        </w:rPr>
      </w:pPr>
      <w:r>
        <w:rPr>
          <w:rFonts w:hint="cs"/>
          <w:b/>
          <w:bCs/>
          <w:sz w:val="20"/>
          <w:szCs w:val="20"/>
          <w:rtl/>
        </w:rPr>
        <w:t>משא ומתן בפירוש רש"י</w:t>
      </w:r>
      <w:r>
        <w:rPr>
          <w:b/>
          <w:bCs/>
          <w:sz w:val="20"/>
          <w:szCs w:val="20"/>
          <w:rtl/>
        </w:rPr>
        <w:br/>
      </w:r>
      <w:r>
        <w:rPr>
          <w:rFonts w:hint="cs"/>
          <w:sz w:val="20"/>
          <w:szCs w:val="20"/>
          <w:u w:val="single"/>
          <w:rtl/>
        </w:rPr>
        <w:t>קושייה על פירושו</w:t>
      </w:r>
      <w:r>
        <w:rPr>
          <w:sz w:val="20"/>
          <w:szCs w:val="20"/>
          <w:u w:val="single"/>
          <w:rtl/>
        </w:rPr>
        <w:br/>
      </w:r>
      <w:r w:rsidRPr="00995C58">
        <w:rPr>
          <w:rFonts w:hint="cs"/>
          <w:b/>
          <w:bCs/>
          <w:sz w:val="20"/>
          <w:szCs w:val="20"/>
          <w:rtl/>
        </w:rPr>
        <w:t>משנה</w:t>
      </w:r>
      <w:r>
        <w:rPr>
          <w:rFonts w:hint="cs"/>
          <w:sz w:val="20"/>
          <w:szCs w:val="20"/>
          <w:rtl/>
        </w:rPr>
        <w:t xml:space="preserve"> מקוואות (ז, ז) "</w:t>
      </w:r>
      <w:r w:rsidRPr="00995C58">
        <w:rPr>
          <w:rFonts w:cs="Arial"/>
          <w:sz w:val="20"/>
          <w:szCs w:val="20"/>
          <w:rtl/>
        </w:rPr>
        <w:t>הטביל בו את המטה</w:t>
      </w:r>
      <w:r>
        <w:rPr>
          <w:rFonts w:cs="Arial" w:hint="cs"/>
          <w:sz w:val="20"/>
          <w:szCs w:val="20"/>
          <w:rtl/>
        </w:rPr>
        <w:t>,</w:t>
      </w:r>
      <w:r w:rsidRPr="00995C58">
        <w:rPr>
          <w:rFonts w:cs="Arial"/>
          <w:sz w:val="20"/>
          <w:szCs w:val="20"/>
          <w:rtl/>
        </w:rPr>
        <w:t xml:space="preserve"> אף על פי שרגליה שוקעות בטיט העבה </w:t>
      </w:r>
      <w:r>
        <w:rPr>
          <w:rFonts w:cs="Arial"/>
          <w:sz w:val="20"/>
          <w:szCs w:val="20"/>
          <w:rtl/>
        </w:rPr>
        <w:t>–</w:t>
      </w:r>
      <w:r>
        <w:rPr>
          <w:rFonts w:cs="Arial" w:hint="cs"/>
          <w:sz w:val="20"/>
          <w:szCs w:val="20"/>
          <w:rtl/>
        </w:rPr>
        <w:t xml:space="preserve"> </w:t>
      </w:r>
      <w:r w:rsidRPr="00995C58">
        <w:rPr>
          <w:rFonts w:cs="Arial"/>
          <w:sz w:val="20"/>
          <w:szCs w:val="20"/>
          <w:rtl/>
        </w:rPr>
        <w:t>טהורה</w:t>
      </w:r>
      <w:r>
        <w:rPr>
          <w:rFonts w:cs="Arial" w:hint="cs"/>
          <w:sz w:val="20"/>
          <w:szCs w:val="20"/>
          <w:rtl/>
        </w:rPr>
        <w:t>,</w:t>
      </w:r>
      <w:r w:rsidRPr="00995C58">
        <w:rPr>
          <w:rFonts w:cs="Arial"/>
          <w:sz w:val="20"/>
          <w:szCs w:val="20"/>
          <w:rtl/>
        </w:rPr>
        <w:t xml:space="preserve"> מפני שהמים מקדמין</w:t>
      </w:r>
      <w:r>
        <w:rPr>
          <w:rFonts w:cs="Arial" w:hint="cs"/>
          <w:sz w:val="20"/>
          <w:szCs w:val="20"/>
          <w:rtl/>
        </w:rPr>
        <w:t>".</w:t>
      </w:r>
      <w:r>
        <w:rPr>
          <w:rFonts w:hint="cs"/>
          <w:sz w:val="20"/>
          <w:szCs w:val="20"/>
          <w:rtl/>
        </w:rPr>
        <w:br/>
        <w:t xml:space="preserve">ומעתה יקשה על רש"י </w:t>
      </w:r>
      <w:r>
        <w:rPr>
          <w:sz w:val="20"/>
          <w:szCs w:val="20"/>
          <w:rtl/>
        </w:rPr>
        <w:t>–</w:t>
      </w:r>
      <w:r>
        <w:rPr>
          <w:rFonts w:hint="cs"/>
          <w:sz w:val="20"/>
          <w:szCs w:val="20"/>
          <w:rtl/>
        </w:rPr>
        <w:t xml:space="preserve"> מדוע הטיט חוצץ, הרי המים מקדמים את רגליה!</w:t>
      </w:r>
      <w:r>
        <w:rPr>
          <w:rFonts w:hint="cs"/>
          <w:sz w:val="20"/>
          <w:szCs w:val="20"/>
          <w:rtl/>
        </w:rPr>
        <w:br/>
        <w:t xml:space="preserve">ואכן </w:t>
      </w:r>
      <w:r w:rsidRPr="00DA25ED">
        <w:rPr>
          <w:rFonts w:hint="cs"/>
          <w:b/>
          <w:bCs/>
          <w:sz w:val="20"/>
          <w:szCs w:val="20"/>
          <w:rtl/>
        </w:rPr>
        <w:t xml:space="preserve">הטור </w:t>
      </w:r>
      <w:r>
        <w:rPr>
          <w:rFonts w:hint="cs"/>
          <w:sz w:val="20"/>
          <w:szCs w:val="20"/>
          <w:rtl/>
        </w:rPr>
        <w:t>כתב על פירוש רש"י שהוא "לא נהירא".</w:t>
      </w:r>
    </w:p>
    <w:p w:rsidR="00620060" w:rsidRPr="00995C58" w:rsidRDefault="00620060" w:rsidP="00620060">
      <w:pPr>
        <w:rPr>
          <w:sz w:val="20"/>
          <w:szCs w:val="20"/>
          <w:rtl/>
        </w:rPr>
      </w:pPr>
      <w:r>
        <w:rPr>
          <w:rFonts w:hint="cs"/>
          <w:sz w:val="20"/>
          <w:szCs w:val="20"/>
          <w:u w:val="single"/>
          <w:rtl/>
        </w:rPr>
        <w:t>יישוב שיטת רש"י</w:t>
      </w:r>
      <w:r>
        <w:rPr>
          <w:rFonts w:hint="cs"/>
          <w:sz w:val="20"/>
          <w:szCs w:val="20"/>
          <w:u w:val="single"/>
          <w:rtl/>
        </w:rPr>
        <w:br/>
      </w:r>
      <w:r>
        <w:rPr>
          <w:rFonts w:hint="cs"/>
          <w:sz w:val="20"/>
          <w:szCs w:val="20"/>
          <w:rtl/>
        </w:rPr>
        <w:t xml:space="preserve">א. </w:t>
      </w:r>
      <w:r w:rsidRPr="00EE61B4">
        <w:rPr>
          <w:rFonts w:hint="cs"/>
          <w:b/>
          <w:bCs/>
          <w:sz w:val="20"/>
          <w:szCs w:val="20"/>
          <w:rtl/>
        </w:rPr>
        <w:t>רא"ש</w:t>
      </w:r>
      <w:r>
        <w:rPr>
          <w:rFonts w:hint="cs"/>
          <w:sz w:val="20"/>
          <w:szCs w:val="20"/>
          <w:rtl/>
        </w:rPr>
        <w:t xml:space="preserve"> </w:t>
      </w:r>
      <w:r>
        <w:rPr>
          <w:sz w:val="20"/>
          <w:szCs w:val="20"/>
          <w:rtl/>
        </w:rPr>
        <w:t>–</w:t>
      </w:r>
      <w:r>
        <w:rPr>
          <w:rFonts w:hint="cs"/>
          <w:sz w:val="20"/>
          <w:szCs w:val="20"/>
          <w:rtl/>
        </w:rPr>
        <w:t xml:space="preserve"> אדם כבד מכלים ולכן הטיט נדבק בו יותר וחוצץ.</w:t>
      </w:r>
      <w:r>
        <w:rPr>
          <w:sz w:val="20"/>
          <w:szCs w:val="20"/>
          <w:u w:val="single"/>
          <w:rtl/>
        </w:rPr>
        <w:br/>
      </w:r>
      <w:r>
        <w:rPr>
          <w:rFonts w:hint="cs"/>
          <w:sz w:val="20"/>
          <w:szCs w:val="20"/>
          <w:rtl/>
        </w:rPr>
        <w:t xml:space="preserve">ב. </w:t>
      </w:r>
      <w:r w:rsidRPr="006B16FF">
        <w:rPr>
          <w:rFonts w:hint="cs"/>
          <w:b/>
          <w:bCs/>
          <w:sz w:val="20"/>
          <w:szCs w:val="20"/>
          <w:rtl/>
        </w:rPr>
        <w:t>ר"ן</w:t>
      </w:r>
      <w:r>
        <w:rPr>
          <w:rFonts w:hint="cs"/>
          <w:sz w:val="20"/>
          <w:szCs w:val="20"/>
          <w:rtl/>
        </w:rPr>
        <w:t xml:space="preserve"> </w:t>
      </w:r>
      <w:r>
        <w:rPr>
          <w:sz w:val="20"/>
          <w:szCs w:val="20"/>
          <w:rtl/>
        </w:rPr>
        <w:t>–</w:t>
      </w:r>
      <w:r>
        <w:rPr>
          <w:rFonts w:hint="cs"/>
          <w:sz w:val="20"/>
          <w:szCs w:val="20"/>
          <w:rtl/>
        </w:rPr>
        <w:t xml:space="preserve"> אדם שאני לפי שהטיט נכנס בין אצבעות רגליו וחוצץ.</w:t>
      </w:r>
      <w:r>
        <w:rPr>
          <w:sz w:val="20"/>
          <w:szCs w:val="20"/>
          <w:rtl/>
        </w:rPr>
        <w:br/>
      </w:r>
      <w:r w:rsidRPr="006B16FF">
        <w:rPr>
          <w:rFonts w:hint="cs"/>
          <w:b/>
          <w:bCs/>
          <w:sz w:val="20"/>
          <w:szCs w:val="20"/>
          <w:rtl/>
        </w:rPr>
        <w:t>הב"י</w:t>
      </w:r>
      <w:r>
        <w:rPr>
          <w:rFonts w:hint="cs"/>
          <w:sz w:val="20"/>
          <w:szCs w:val="20"/>
          <w:rtl/>
        </w:rPr>
        <w:t xml:space="preserve"> דוחה </w:t>
      </w:r>
      <w:r>
        <w:rPr>
          <w:sz w:val="20"/>
          <w:szCs w:val="20"/>
          <w:rtl/>
        </w:rPr>
        <w:t>–</w:t>
      </w:r>
      <w:r>
        <w:rPr>
          <w:rFonts w:hint="cs"/>
          <w:sz w:val="20"/>
          <w:szCs w:val="20"/>
          <w:rtl/>
        </w:rPr>
        <w:t xml:space="preserve"> לטעם שהמים מקדמים לא שייך לומר שני תירוצים אלו.</w:t>
      </w:r>
      <w:r>
        <w:rPr>
          <w:sz w:val="20"/>
          <w:szCs w:val="20"/>
          <w:rtl/>
        </w:rPr>
        <w:br/>
      </w:r>
      <w:r>
        <w:rPr>
          <w:rFonts w:hint="cs"/>
          <w:sz w:val="20"/>
          <w:szCs w:val="20"/>
          <w:rtl/>
        </w:rPr>
        <w:t xml:space="preserve">ג. </w:t>
      </w:r>
      <w:r w:rsidRPr="006B16FF">
        <w:rPr>
          <w:rFonts w:hint="cs"/>
          <w:b/>
          <w:bCs/>
          <w:sz w:val="20"/>
          <w:szCs w:val="20"/>
          <w:rtl/>
        </w:rPr>
        <w:t>ר"ש</w:t>
      </w:r>
      <w:r>
        <w:rPr>
          <w:rFonts w:hint="cs"/>
          <w:sz w:val="20"/>
          <w:szCs w:val="20"/>
          <w:rtl/>
        </w:rPr>
        <w:t xml:space="preserve"> </w:t>
      </w:r>
      <w:r>
        <w:rPr>
          <w:sz w:val="20"/>
          <w:szCs w:val="20"/>
          <w:rtl/>
        </w:rPr>
        <w:t>–</w:t>
      </w:r>
      <w:r>
        <w:rPr>
          <w:rFonts w:hint="cs"/>
          <w:sz w:val="20"/>
          <w:szCs w:val="20"/>
          <w:rtl/>
        </w:rPr>
        <w:t xml:space="preserve"> בנמל יש טיט עבה שלא מהני בו קדימת מים </w:t>
      </w:r>
      <w:r w:rsidRPr="006B16FF">
        <w:rPr>
          <w:rFonts w:hint="cs"/>
          <w:sz w:val="18"/>
          <w:szCs w:val="18"/>
          <w:rtl/>
        </w:rPr>
        <w:t>(משום שסוף סוף בשעת הטבילה הוי חציצה)</w:t>
      </w:r>
      <w:r>
        <w:rPr>
          <w:rFonts w:hint="cs"/>
          <w:sz w:val="20"/>
          <w:szCs w:val="20"/>
          <w:rtl/>
        </w:rPr>
        <w:t>.</w:t>
      </w:r>
      <w:r>
        <w:rPr>
          <w:sz w:val="20"/>
          <w:szCs w:val="20"/>
          <w:rtl/>
        </w:rPr>
        <w:br/>
      </w:r>
      <w:r w:rsidRPr="00E97D6C">
        <w:rPr>
          <w:rFonts w:hint="cs"/>
          <w:b/>
          <w:bCs/>
          <w:sz w:val="20"/>
          <w:szCs w:val="20"/>
          <w:rtl/>
        </w:rPr>
        <w:t>הב"י</w:t>
      </w:r>
      <w:r>
        <w:rPr>
          <w:rFonts w:hint="cs"/>
          <w:sz w:val="20"/>
          <w:szCs w:val="20"/>
          <w:rtl/>
        </w:rPr>
        <w:t xml:space="preserve"> דוחה </w:t>
      </w:r>
      <w:r w:rsidRPr="00EE61B4">
        <w:rPr>
          <w:rFonts w:hint="cs"/>
          <w:sz w:val="18"/>
          <w:szCs w:val="18"/>
          <w:rtl/>
        </w:rPr>
        <w:t xml:space="preserve">(מסביר את תמיהת הטור על רש"י) </w:t>
      </w:r>
      <w:r>
        <w:rPr>
          <w:sz w:val="20"/>
          <w:szCs w:val="20"/>
          <w:rtl/>
        </w:rPr>
        <w:t>–</w:t>
      </w:r>
      <w:r>
        <w:rPr>
          <w:rFonts w:hint="cs"/>
          <w:sz w:val="20"/>
          <w:szCs w:val="20"/>
          <w:rtl/>
        </w:rPr>
        <w:t xml:space="preserve"> אין בנמל טיט עבה יותר מטיט שנמצא בשאר נהרות.</w:t>
      </w:r>
      <w:r>
        <w:rPr>
          <w:rFonts w:hint="cs"/>
          <w:sz w:val="20"/>
          <w:szCs w:val="20"/>
          <w:rtl/>
        </w:rPr>
        <w:br/>
        <w:t xml:space="preserve">ד. </w:t>
      </w:r>
      <w:r w:rsidRPr="006B16FF">
        <w:rPr>
          <w:rFonts w:hint="cs"/>
          <w:b/>
          <w:bCs/>
          <w:sz w:val="20"/>
          <w:szCs w:val="20"/>
          <w:rtl/>
        </w:rPr>
        <w:t>ראב"ד</w:t>
      </w:r>
      <w:r>
        <w:rPr>
          <w:rFonts w:hint="cs"/>
          <w:sz w:val="20"/>
          <w:szCs w:val="20"/>
          <w:rtl/>
        </w:rPr>
        <w:t xml:space="preserve"> </w:t>
      </w:r>
      <w:r>
        <w:rPr>
          <w:sz w:val="20"/>
          <w:szCs w:val="20"/>
          <w:rtl/>
        </w:rPr>
        <w:t>–</w:t>
      </w:r>
      <w:r>
        <w:rPr>
          <w:rFonts w:hint="cs"/>
          <w:sz w:val="20"/>
          <w:szCs w:val="20"/>
          <w:rtl/>
        </w:rPr>
        <w:t xml:space="preserve"> רש"י אוסר משום שבדרכה לטבול יש טיט בשפת הנהר ובו לא שייכת סברת 'מים מקדמים'.</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2A6566">
        <w:rPr>
          <w:rFonts w:cs="Arial"/>
          <w:sz w:val="20"/>
          <w:szCs w:val="20"/>
          <w:rtl/>
        </w:rPr>
        <w:t>לא תטבול במקו</w:t>
      </w:r>
      <w:r>
        <w:rPr>
          <w:rFonts w:cs="Arial" w:hint="cs"/>
          <w:sz w:val="20"/>
          <w:szCs w:val="20"/>
          <w:rtl/>
        </w:rPr>
        <w:t>ו</w:t>
      </w:r>
      <w:r w:rsidRPr="002A6566">
        <w:rPr>
          <w:rFonts w:cs="Arial"/>
          <w:sz w:val="20"/>
          <w:szCs w:val="20"/>
          <w:rtl/>
        </w:rPr>
        <w:t>ה שיש בקרקעיתו טיט, משום חציצה, אלא אם כן תתן עליו זמורות וכיוצא בהם, דבר שאינו מקבל שום טומאה; ואם טבלה, י</w:t>
      </w:r>
      <w:r>
        <w:rPr>
          <w:rFonts w:cs="Arial" w:hint="cs"/>
          <w:sz w:val="20"/>
          <w:szCs w:val="20"/>
          <w:rtl/>
        </w:rPr>
        <w:t>ש אומרים</w:t>
      </w:r>
      <w:r w:rsidRPr="002A6566">
        <w:rPr>
          <w:rFonts w:cs="Arial"/>
          <w:sz w:val="20"/>
          <w:szCs w:val="20"/>
          <w:rtl/>
        </w:rPr>
        <w:t xml:space="preserve"> שלא עלתה לה טבילה (</w:t>
      </w:r>
      <w:r w:rsidRPr="00B44566">
        <w:rPr>
          <w:rFonts w:cs="Arial"/>
          <w:sz w:val="18"/>
          <w:szCs w:val="18"/>
          <w:rtl/>
        </w:rPr>
        <w:t>ראב"ד ורש"י אבל רוב הפוסקים מתירין)</w:t>
      </w:r>
      <w:r>
        <w:rPr>
          <w:rFonts w:cs="Arial" w:hint="cs"/>
          <w:sz w:val="20"/>
          <w:szCs w:val="20"/>
          <w:rtl/>
        </w:rPr>
        <w:t>".</w:t>
      </w:r>
      <w:r>
        <w:rPr>
          <w:sz w:val="20"/>
          <w:szCs w:val="20"/>
          <w:rtl/>
        </w:rPr>
        <w:br/>
      </w:r>
      <w:r w:rsidRPr="00B44566">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המחבר מיירי דווקא בטיט עבה </w:t>
      </w:r>
      <w:r w:rsidRPr="00DA25ED">
        <w:rPr>
          <w:rFonts w:hint="cs"/>
          <w:sz w:val="18"/>
          <w:szCs w:val="18"/>
          <w:rtl/>
        </w:rPr>
        <w:t xml:space="preserve">(טיט היון) </w:t>
      </w:r>
      <w:r>
        <w:rPr>
          <w:rFonts w:hint="cs"/>
          <w:sz w:val="20"/>
          <w:szCs w:val="20"/>
          <w:rtl/>
        </w:rPr>
        <w:t>הנדבק, אך טיט לח שאינו עבה אינו חוצץ.</w:t>
      </w:r>
      <w:r>
        <w:rPr>
          <w:rStyle w:val="a5"/>
          <w:sz w:val="20"/>
          <w:szCs w:val="20"/>
          <w:rtl/>
        </w:rPr>
        <w:footnoteReference w:id="675"/>
      </w:r>
      <w:r>
        <w:rPr>
          <w:sz w:val="20"/>
          <w:szCs w:val="20"/>
          <w:rtl/>
        </w:rPr>
        <w:br/>
      </w:r>
      <w:r>
        <w:rPr>
          <w:rFonts w:hint="cs"/>
          <w:sz w:val="20"/>
          <w:szCs w:val="20"/>
          <w:rtl/>
        </w:rPr>
        <w:t>ואפשר שעל זה סמכו העולם לטבול במקום שיש טיט, משום שסתם טיט אינו עבה כל כך, וכן משום שרוב הפוסקים מתירים, דלא כרש"י.</w:t>
      </w:r>
    </w:p>
    <w:p w:rsidR="00620060"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DA25ED">
        <w:rPr>
          <w:rFonts w:hint="cs"/>
          <w:b/>
          <w:bCs/>
          <w:sz w:val="20"/>
          <w:szCs w:val="20"/>
          <w:rtl/>
        </w:rPr>
        <w:t>גמרא</w:t>
      </w:r>
      <w:r>
        <w:rPr>
          <w:rFonts w:hint="cs"/>
          <w:sz w:val="20"/>
          <w:szCs w:val="20"/>
          <w:rtl/>
        </w:rPr>
        <w:t xml:space="preserve">. אשה לא תטבול בנמל. </w:t>
      </w:r>
      <w:r w:rsidRPr="00DA25ED">
        <w:rPr>
          <w:rFonts w:hint="cs"/>
          <w:b/>
          <w:bCs/>
          <w:sz w:val="20"/>
          <w:szCs w:val="20"/>
          <w:rtl/>
        </w:rPr>
        <w:t>רש"י</w:t>
      </w:r>
      <w:r>
        <w:rPr>
          <w:rFonts w:hint="cs"/>
          <w:sz w:val="20"/>
          <w:szCs w:val="20"/>
          <w:rtl/>
        </w:rPr>
        <w:t>. מפני הטיט שנדבק ברגליה, ואע"פ שכעת אין טיט ברגליה, כנראה נפל בעלייתה מהמים.</w:t>
      </w:r>
      <w:r>
        <w:rPr>
          <w:sz w:val="20"/>
          <w:szCs w:val="20"/>
          <w:rtl/>
        </w:rPr>
        <w:br/>
      </w:r>
      <w:r>
        <w:rPr>
          <w:rFonts w:hint="cs"/>
          <w:sz w:val="20"/>
          <w:szCs w:val="20"/>
          <w:rtl/>
        </w:rPr>
        <w:t xml:space="preserve">2. קשה, קיי"ל בטבילת מיטה בטיט שסברת מים מקדמים מהני. ולכן </w:t>
      </w:r>
      <w:r w:rsidRPr="00DA25ED">
        <w:rPr>
          <w:rFonts w:hint="cs"/>
          <w:b/>
          <w:bCs/>
          <w:sz w:val="20"/>
          <w:szCs w:val="20"/>
          <w:rtl/>
        </w:rPr>
        <w:t>הטור</w:t>
      </w:r>
      <w:r>
        <w:rPr>
          <w:rFonts w:hint="cs"/>
          <w:sz w:val="20"/>
          <w:szCs w:val="20"/>
          <w:rtl/>
        </w:rPr>
        <w:t xml:space="preserve"> דחה את פירוש רש"י.</w:t>
      </w:r>
      <w:r>
        <w:rPr>
          <w:sz w:val="20"/>
          <w:szCs w:val="20"/>
          <w:rtl/>
        </w:rPr>
        <w:br/>
      </w:r>
      <w:r>
        <w:rPr>
          <w:rFonts w:hint="cs"/>
          <w:sz w:val="20"/>
          <w:szCs w:val="20"/>
          <w:rtl/>
        </w:rPr>
        <w:t xml:space="preserve">3. יישוב שיטת רש"י. </w:t>
      </w:r>
      <w:r w:rsidRPr="00DA25ED">
        <w:rPr>
          <w:rFonts w:hint="cs"/>
          <w:b/>
          <w:bCs/>
          <w:sz w:val="20"/>
          <w:szCs w:val="20"/>
          <w:rtl/>
        </w:rPr>
        <w:t>רא"ש</w:t>
      </w:r>
      <w:r>
        <w:rPr>
          <w:rFonts w:hint="cs"/>
          <w:sz w:val="20"/>
          <w:szCs w:val="20"/>
          <w:rtl/>
        </w:rPr>
        <w:t xml:space="preserve">. אדם כבד מכלים. </w:t>
      </w:r>
      <w:r w:rsidRPr="00DA25ED">
        <w:rPr>
          <w:rFonts w:hint="cs"/>
          <w:b/>
          <w:bCs/>
          <w:sz w:val="20"/>
          <w:szCs w:val="20"/>
          <w:rtl/>
        </w:rPr>
        <w:t>ר"ן</w:t>
      </w:r>
      <w:r>
        <w:rPr>
          <w:rFonts w:hint="cs"/>
          <w:sz w:val="20"/>
          <w:szCs w:val="20"/>
          <w:rtl/>
        </w:rPr>
        <w:t xml:space="preserve">. אדם שאני לפי שהמים נכנסים בין אצבעות רגליו. </w:t>
      </w:r>
      <w:r>
        <w:rPr>
          <w:sz w:val="20"/>
          <w:szCs w:val="20"/>
          <w:rtl/>
        </w:rPr>
        <w:br/>
      </w:r>
      <w:r w:rsidRPr="00DA25ED">
        <w:rPr>
          <w:rFonts w:hint="cs"/>
          <w:b/>
          <w:bCs/>
          <w:sz w:val="20"/>
          <w:szCs w:val="20"/>
          <w:rtl/>
        </w:rPr>
        <w:t xml:space="preserve">ב"י </w:t>
      </w:r>
      <w:r>
        <w:rPr>
          <w:rFonts w:hint="cs"/>
          <w:sz w:val="20"/>
          <w:szCs w:val="20"/>
          <w:rtl/>
        </w:rPr>
        <w:t xml:space="preserve">דוחה. סברת מים מקדמים דוחה תירוצים אלו. </w:t>
      </w:r>
      <w:r w:rsidRPr="00DA25ED">
        <w:rPr>
          <w:rFonts w:hint="cs"/>
          <w:b/>
          <w:bCs/>
          <w:sz w:val="20"/>
          <w:szCs w:val="20"/>
          <w:rtl/>
        </w:rPr>
        <w:t>ר"ש</w:t>
      </w:r>
      <w:r>
        <w:rPr>
          <w:rFonts w:hint="cs"/>
          <w:sz w:val="20"/>
          <w:szCs w:val="20"/>
          <w:rtl/>
        </w:rPr>
        <w:t xml:space="preserve">. בנמל יש טיט עבה ולא מהני בו קדימת מים, וכ"כ </w:t>
      </w:r>
      <w:r w:rsidRPr="00DA25ED">
        <w:rPr>
          <w:rFonts w:hint="cs"/>
          <w:b/>
          <w:bCs/>
          <w:sz w:val="20"/>
          <w:szCs w:val="20"/>
          <w:rtl/>
        </w:rPr>
        <w:lastRenderedPageBreak/>
        <w:t>הש"ך</w:t>
      </w:r>
      <w:r>
        <w:rPr>
          <w:rFonts w:hint="cs"/>
          <w:sz w:val="20"/>
          <w:szCs w:val="20"/>
          <w:rtl/>
        </w:rPr>
        <w:t xml:space="preserve">. </w:t>
      </w:r>
      <w:r w:rsidRPr="00DA25ED">
        <w:rPr>
          <w:rFonts w:hint="cs"/>
          <w:b/>
          <w:bCs/>
          <w:sz w:val="20"/>
          <w:szCs w:val="20"/>
          <w:rtl/>
        </w:rPr>
        <w:t>ב"י</w:t>
      </w:r>
      <w:r>
        <w:rPr>
          <w:rFonts w:hint="cs"/>
          <w:sz w:val="20"/>
          <w:szCs w:val="20"/>
          <w:rtl/>
        </w:rPr>
        <w:t xml:space="preserve"> דוחה. מנ"ל שבנמל יש טיט עבה יותר משאר נהרות? </w:t>
      </w:r>
      <w:r w:rsidRPr="00DA25ED">
        <w:rPr>
          <w:rFonts w:hint="cs"/>
          <w:b/>
          <w:bCs/>
          <w:sz w:val="20"/>
          <w:szCs w:val="20"/>
          <w:rtl/>
        </w:rPr>
        <w:t>ראב"ד</w:t>
      </w:r>
      <w:r>
        <w:rPr>
          <w:rFonts w:hint="cs"/>
          <w:sz w:val="20"/>
          <w:szCs w:val="20"/>
          <w:rtl/>
        </w:rPr>
        <w:t>. בדרכה לטבילה נדבק טיט ברגליה.</w:t>
      </w:r>
      <w:r>
        <w:rPr>
          <w:sz w:val="20"/>
          <w:szCs w:val="20"/>
          <w:rtl/>
        </w:rPr>
        <w:br/>
      </w:r>
      <w:r>
        <w:rPr>
          <w:rFonts w:hint="cs"/>
          <w:sz w:val="20"/>
          <w:szCs w:val="20"/>
          <w:rtl/>
        </w:rPr>
        <w:t xml:space="preserve">4. </w:t>
      </w:r>
      <w:r w:rsidRPr="00DA25ED">
        <w:rPr>
          <w:rFonts w:hint="cs"/>
          <w:b/>
          <w:bCs/>
          <w:sz w:val="20"/>
          <w:szCs w:val="20"/>
          <w:rtl/>
        </w:rPr>
        <w:t>מחבר</w:t>
      </w:r>
      <w:r>
        <w:rPr>
          <w:rFonts w:hint="cs"/>
          <w:sz w:val="20"/>
          <w:szCs w:val="20"/>
          <w:rtl/>
        </w:rPr>
        <w:t xml:space="preserve">. לא תטבול במקווה שיש בקרקעיתו טיט אלא אם כן תניח תחתיה דבר שאינו מק"ט, ובדיעבד </w:t>
      </w:r>
      <w:r w:rsidRPr="00DA25ED">
        <w:rPr>
          <w:rFonts w:hint="cs"/>
          <w:b/>
          <w:bCs/>
          <w:sz w:val="20"/>
          <w:szCs w:val="20"/>
          <w:rtl/>
        </w:rPr>
        <w:t>לרש"י</w:t>
      </w:r>
      <w:r>
        <w:rPr>
          <w:rFonts w:hint="cs"/>
          <w:sz w:val="20"/>
          <w:szCs w:val="20"/>
          <w:rtl/>
        </w:rPr>
        <w:t xml:space="preserve"> פסול אך שאר הפוסקים מכשירים. </w:t>
      </w:r>
      <w:r w:rsidRPr="00DA25ED">
        <w:rPr>
          <w:rFonts w:hint="cs"/>
          <w:b/>
          <w:bCs/>
          <w:sz w:val="20"/>
          <w:szCs w:val="20"/>
          <w:rtl/>
        </w:rPr>
        <w:t>ש"ך</w:t>
      </w:r>
      <w:r>
        <w:rPr>
          <w:rFonts w:hint="cs"/>
          <w:sz w:val="20"/>
          <w:szCs w:val="20"/>
          <w:rtl/>
        </w:rPr>
        <w:t>. מדובר בטיט עבה, אך טיט לח אינו חוצץ ולכן העולם לא מקפידים.</w:t>
      </w:r>
    </w:p>
    <w:p w:rsidR="00620060" w:rsidRDefault="00620060" w:rsidP="00620060">
      <w:pPr>
        <w:rPr>
          <w:sz w:val="20"/>
          <w:szCs w:val="20"/>
          <w:rtl/>
        </w:rPr>
      </w:pPr>
      <w:r>
        <w:rPr>
          <w:sz w:val="20"/>
          <w:szCs w:val="20"/>
          <w:rtl/>
        </w:rPr>
        <w:br/>
      </w:r>
      <w:r>
        <w:rPr>
          <w:rFonts w:hint="cs"/>
          <w:sz w:val="20"/>
          <w:szCs w:val="20"/>
          <w:rtl/>
        </w:rPr>
        <w:br/>
      </w:r>
      <w:r>
        <w:rPr>
          <w:rFonts w:hint="cs"/>
          <w:b/>
          <w:bCs/>
          <w:sz w:val="20"/>
          <w:szCs w:val="20"/>
          <w:rtl/>
        </w:rPr>
        <w:t xml:space="preserve">סעיף לד </w:t>
      </w:r>
      <w:r>
        <w:rPr>
          <w:b/>
          <w:bCs/>
          <w:sz w:val="20"/>
          <w:szCs w:val="20"/>
          <w:rtl/>
        </w:rPr>
        <w:t>–</w:t>
      </w:r>
      <w:r>
        <w:rPr>
          <w:rFonts w:hint="cs"/>
          <w:b/>
          <w:bCs/>
          <w:sz w:val="20"/>
          <w:szCs w:val="20"/>
          <w:rtl/>
        </w:rPr>
        <w:t xml:space="preserve"> טבילה במקום צנוע</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גמרא </w:t>
      </w:r>
      <w:r>
        <w:rPr>
          <w:rFonts w:hint="cs"/>
          <w:sz w:val="20"/>
          <w:szCs w:val="20"/>
          <w:rtl/>
        </w:rPr>
        <w:t>נידה (סו:) "</w:t>
      </w:r>
      <w:r w:rsidRPr="00995C58">
        <w:rPr>
          <w:rFonts w:cs="Arial"/>
          <w:sz w:val="20"/>
          <w:szCs w:val="20"/>
          <w:rtl/>
        </w:rPr>
        <w:t>אמר רב שמואל בר רב יצחק: אשה לא תטבול</w:t>
      </w:r>
      <w:r w:rsidRPr="00995C58">
        <w:rPr>
          <w:rtl/>
        </w:rPr>
        <w:t xml:space="preserve"> </w:t>
      </w:r>
      <w:r w:rsidRPr="00995C58">
        <w:rPr>
          <w:rFonts w:cs="Arial"/>
          <w:sz w:val="20"/>
          <w:szCs w:val="20"/>
          <w:rtl/>
        </w:rPr>
        <w:t>בנמל</w:t>
      </w:r>
      <w:r>
        <w:rPr>
          <w:rFonts w:hint="cs"/>
          <w:sz w:val="20"/>
          <w:szCs w:val="20"/>
          <w:rtl/>
        </w:rPr>
        <w:t>".</w:t>
      </w:r>
      <w:r>
        <w:rPr>
          <w:sz w:val="20"/>
          <w:szCs w:val="20"/>
          <w:rtl/>
        </w:rPr>
        <w:br/>
      </w:r>
      <w:r w:rsidRPr="008D42E1">
        <w:rPr>
          <w:rFonts w:hint="cs"/>
          <w:b/>
          <w:bCs/>
          <w:sz w:val="20"/>
          <w:szCs w:val="20"/>
          <w:rtl/>
        </w:rPr>
        <w:t>רבינו תם</w:t>
      </w:r>
      <w:r>
        <w:rPr>
          <w:rFonts w:hint="cs"/>
          <w:sz w:val="20"/>
          <w:szCs w:val="20"/>
          <w:rtl/>
        </w:rPr>
        <w:t xml:space="preserve"> </w:t>
      </w:r>
      <w:r>
        <w:rPr>
          <w:sz w:val="20"/>
          <w:szCs w:val="20"/>
          <w:rtl/>
        </w:rPr>
        <w:t>–</w:t>
      </w:r>
      <w:r>
        <w:rPr>
          <w:rFonts w:hint="cs"/>
          <w:sz w:val="20"/>
          <w:szCs w:val="20"/>
          <w:rtl/>
        </w:rPr>
        <w:t xml:space="preserve"> כוונת הגמרא היא שאין לטבול במקום שבני אדם עלולים לראות אותה, משום שאז ממהרת לטבול ואינה טובלת כהוגן.</w:t>
      </w:r>
      <w:r>
        <w:rPr>
          <w:sz w:val="20"/>
          <w:szCs w:val="20"/>
          <w:rtl/>
        </w:rPr>
        <w:br/>
      </w:r>
      <w:r w:rsidRPr="008D42E1">
        <w:rPr>
          <w:rFonts w:hint="cs"/>
          <w:b/>
          <w:bCs/>
          <w:sz w:val="20"/>
          <w:szCs w:val="20"/>
          <w:rtl/>
        </w:rPr>
        <w:t>טור</w:t>
      </w:r>
      <w:r>
        <w:rPr>
          <w:rFonts w:hint="cs"/>
          <w:sz w:val="20"/>
          <w:szCs w:val="20"/>
          <w:rtl/>
        </w:rPr>
        <w:t xml:space="preserve"> </w:t>
      </w:r>
      <w:r>
        <w:rPr>
          <w:sz w:val="20"/>
          <w:szCs w:val="20"/>
          <w:rtl/>
        </w:rPr>
        <w:t>–</w:t>
      </w:r>
      <w:r>
        <w:rPr>
          <w:rFonts w:hint="cs"/>
          <w:sz w:val="20"/>
          <w:szCs w:val="20"/>
          <w:rtl/>
        </w:rPr>
        <w:t xml:space="preserve"> לפי"ז, בדיעבד עלתה לה טבילה</w:t>
      </w:r>
      <w:r>
        <w:rPr>
          <w:rStyle w:val="a5"/>
          <w:sz w:val="20"/>
          <w:szCs w:val="20"/>
          <w:rtl/>
        </w:rPr>
        <w:footnoteReference w:id="676"/>
      </w:r>
      <w:r>
        <w:rPr>
          <w:rFonts w:hint="cs"/>
          <w:sz w:val="20"/>
          <w:szCs w:val="20"/>
          <w:rtl/>
        </w:rPr>
        <w:t>. ואמנם אם עשתה גדר סביב מקום הטבילה, טובלת לכתחילה.</w:t>
      </w:r>
      <w:r>
        <w:rPr>
          <w:rStyle w:val="a5"/>
          <w:sz w:val="20"/>
          <w:szCs w:val="20"/>
          <w:rtl/>
        </w:rPr>
        <w:footnoteReference w:id="677"/>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E64FA5">
        <w:rPr>
          <w:rFonts w:cs="Arial"/>
          <w:sz w:val="20"/>
          <w:szCs w:val="20"/>
          <w:rtl/>
        </w:rPr>
        <w:t>לא תטבול במקום שיש חשש שיראוה בני אדם, מפני שמתוך כך ממהרת לטבול ואינה מדקדקת בטבי</w:t>
      </w:r>
      <w:r>
        <w:rPr>
          <w:rFonts w:cs="Arial"/>
          <w:sz w:val="20"/>
          <w:szCs w:val="20"/>
          <w:rtl/>
        </w:rPr>
        <w:t>לה; ומיהו בדיעבד, עלתה לה טבילה</w:t>
      </w:r>
      <w:r>
        <w:rPr>
          <w:rFonts w:cs="Arial" w:hint="cs"/>
          <w:sz w:val="20"/>
          <w:szCs w:val="20"/>
          <w:rtl/>
        </w:rPr>
        <w:t>".</w:t>
      </w:r>
    </w:p>
    <w:p w:rsidR="00620060" w:rsidRDefault="00620060" w:rsidP="00620060">
      <w:pPr>
        <w:rPr>
          <w:sz w:val="20"/>
          <w:szCs w:val="20"/>
          <w:rtl/>
        </w:rPr>
      </w:pPr>
      <w:r>
        <w:rPr>
          <w:sz w:val="20"/>
          <w:szCs w:val="20"/>
          <w:rtl/>
        </w:rPr>
        <w:br/>
      </w:r>
      <w:r>
        <w:rPr>
          <w:rFonts w:hint="cs"/>
          <w:b/>
          <w:bCs/>
          <w:sz w:val="20"/>
          <w:szCs w:val="20"/>
          <w:rtl/>
        </w:rPr>
        <w:t xml:space="preserve">סעיף לה </w:t>
      </w:r>
      <w:r>
        <w:rPr>
          <w:b/>
          <w:bCs/>
          <w:sz w:val="20"/>
          <w:szCs w:val="20"/>
          <w:rtl/>
        </w:rPr>
        <w:t>–</w:t>
      </w:r>
      <w:r>
        <w:rPr>
          <w:rFonts w:hint="cs"/>
          <w:b/>
          <w:bCs/>
          <w:sz w:val="20"/>
          <w:szCs w:val="20"/>
          <w:rtl/>
        </w:rPr>
        <w:t xml:space="preserve"> צורת הטובלת בשעת הטבילה</w:t>
      </w:r>
      <w:r>
        <w:rPr>
          <w:b/>
          <w:bCs/>
          <w:sz w:val="20"/>
          <w:szCs w:val="20"/>
          <w:rtl/>
        </w:rPr>
        <w:br/>
      </w:r>
      <w:r>
        <w:rPr>
          <w:rFonts w:hint="cs"/>
          <w:b/>
          <w:bCs/>
          <w:sz w:val="20"/>
          <w:szCs w:val="20"/>
          <w:rtl/>
        </w:rPr>
        <w:t>מקורות הדין</w:t>
      </w:r>
      <w:r>
        <w:rPr>
          <w:b/>
          <w:bCs/>
          <w:sz w:val="20"/>
          <w:szCs w:val="20"/>
          <w:rtl/>
        </w:rPr>
        <w:br/>
      </w:r>
      <w:r>
        <w:rPr>
          <w:rFonts w:hint="cs"/>
          <w:sz w:val="20"/>
          <w:szCs w:val="20"/>
          <w:rtl/>
        </w:rPr>
        <w:t xml:space="preserve">א. </w:t>
      </w:r>
      <w:r>
        <w:rPr>
          <w:rFonts w:hint="cs"/>
          <w:b/>
          <w:bCs/>
          <w:sz w:val="20"/>
          <w:szCs w:val="20"/>
          <w:rtl/>
        </w:rPr>
        <w:t xml:space="preserve">גמרא </w:t>
      </w:r>
      <w:r>
        <w:rPr>
          <w:rFonts w:hint="cs"/>
          <w:sz w:val="20"/>
          <w:szCs w:val="20"/>
          <w:rtl/>
        </w:rPr>
        <w:t>נידה (סז.) "</w:t>
      </w:r>
      <w:r w:rsidRPr="00403FCE">
        <w:rPr>
          <w:rFonts w:cs="Arial"/>
          <w:sz w:val="20"/>
          <w:szCs w:val="20"/>
          <w:rtl/>
        </w:rPr>
        <w:t>אמר ריש לקיש: האשה לא תטבול אלא דרך גדילתה</w:t>
      </w:r>
      <w:r>
        <w:rPr>
          <w:rFonts w:cs="Arial" w:hint="cs"/>
          <w:sz w:val="20"/>
          <w:szCs w:val="20"/>
          <w:rtl/>
        </w:rPr>
        <w:t xml:space="preserve"> </w:t>
      </w:r>
      <w:r w:rsidRPr="00403FCE">
        <w:rPr>
          <w:rFonts w:cs="Arial" w:hint="cs"/>
          <w:sz w:val="18"/>
          <w:szCs w:val="18"/>
          <w:rtl/>
        </w:rPr>
        <w:t xml:space="preserve">(רש"י - </w:t>
      </w:r>
      <w:r w:rsidRPr="00403FCE">
        <w:rPr>
          <w:rFonts w:cs="Arial"/>
          <w:sz w:val="18"/>
          <w:szCs w:val="18"/>
          <w:rtl/>
        </w:rPr>
        <w:t>כלומר לא תדחק זרועותיה על בשרה ולא רגליה ושוקיה זה בזה אלא כדרך הליכתה ושמושה תמיד</w:t>
      </w:r>
      <w:r>
        <w:rPr>
          <w:rFonts w:cs="Arial" w:hint="cs"/>
          <w:sz w:val="18"/>
          <w:szCs w:val="18"/>
          <w:rtl/>
        </w:rPr>
        <w:t>,</w:t>
      </w:r>
      <w:r w:rsidRPr="00403FCE">
        <w:rPr>
          <w:rFonts w:cs="Arial"/>
          <w:sz w:val="18"/>
          <w:szCs w:val="18"/>
          <w:rtl/>
        </w:rPr>
        <w:t xml:space="preserve"> ומה שנכסה וקמוט ואין מים באין בו לא איכפת לן</w:t>
      </w:r>
      <w:r>
        <w:rPr>
          <w:rFonts w:cs="Arial" w:hint="cs"/>
          <w:sz w:val="18"/>
          <w:szCs w:val="18"/>
          <w:rtl/>
        </w:rPr>
        <w:t>,</w:t>
      </w:r>
      <w:r w:rsidRPr="00403FCE">
        <w:rPr>
          <w:rFonts w:cs="Arial"/>
          <w:sz w:val="18"/>
          <w:szCs w:val="18"/>
          <w:rtl/>
        </w:rPr>
        <w:t xml:space="preserve"> ואינה צריכה לפשט בית קמטיה וסתריה אלא כדרכן תמיד</w:t>
      </w:r>
      <w:r w:rsidRPr="00403FCE">
        <w:rPr>
          <w:rFonts w:cs="Arial" w:hint="cs"/>
          <w:sz w:val="18"/>
          <w:szCs w:val="18"/>
          <w:rtl/>
        </w:rPr>
        <w:t>)</w:t>
      </w:r>
      <w:r w:rsidRPr="00403FCE">
        <w:rPr>
          <w:rFonts w:cs="Arial"/>
          <w:sz w:val="20"/>
          <w:szCs w:val="20"/>
          <w:rtl/>
        </w:rPr>
        <w:t>. כדתנן: האיש נראה כעודר ומוסק זיתים,</w:t>
      </w:r>
      <w:r>
        <w:rPr>
          <w:rFonts w:cs="Arial"/>
          <w:sz w:val="20"/>
          <w:szCs w:val="20"/>
          <w:rtl/>
        </w:rPr>
        <w:t xml:space="preserve"> אשה נרא</w:t>
      </w:r>
      <w:r>
        <w:rPr>
          <w:rFonts w:cs="Arial" w:hint="cs"/>
          <w:sz w:val="20"/>
          <w:szCs w:val="20"/>
          <w:rtl/>
        </w:rPr>
        <w:t>י</w:t>
      </w:r>
      <w:r>
        <w:rPr>
          <w:rFonts w:cs="Arial"/>
          <w:sz w:val="20"/>
          <w:szCs w:val="20"/>
          <w:rtl/>
        </w:rPr>
        <w:t>ת כאורגת וכמניקה את בנה</w:t>
      </w:r>
      <w:r>
        <w:rPr>
          <w:rFonts w:cs="Arial" w:hint="cs"/>
          <w:sz w:val="20"/>
          <w:szCs w:val="20"/>
          <w:rtl/>
        </w:rPr>
        <w:t>".</w:t>
      </w:r>
    </w:p>
    <w:p w:rsidR="00620060" w:rsidRDefault="00620060" w:rsidP="00620060">
      <w:pPr>
        <w:rPr>
          <w:sz w:val="20"/>
          <w:szCs w:val="20"/>
          <w:rtl/>
        </w:rPr>
      </w:pPr>
      <w:r>
        <w:rPr>
          <w:rFonts w:hint="cs"/>
          <w:sz w:val="20"/>
          <w:szCs w:val="20"/>
          <w:rtl/>
        </w:rPr>
        <w:t xml:space="preserve">ב. </w:t>
      </w:r>
      <w:r w:rsidRPr="004E2438">
        <w:rPr>
          <w:rFonts w:hint="cs"/>
          <w:b/>
          <w:bCs/>
          <w:sz w:val="20"/>
          <w:szCs w:val="20"/>
          <w:rtl/>
        </w:rPr>
        <w:t>משנה</w:t>
      </w:r>
      <w:r>
        <w:rPr>
          <w:rFonts w:hint="cs"/>
          <w:sz w:val="20"/>
          <w:szCs w:val="20"/>
          <w:rtl/>
        </w:rPr>
        <w:t xml:space="preserve"> נגעים (ב, ד) "</w:t>
      </w:r>
      <w:r w:rsidRPr="004E2438">
        <w:rPr>
          <w:rFonts w:cs="Arial"/>
          <w:sz w:val="20"/>
          <w:szCs w:val="20"/>
          <w:rtl/>
        </w:rPr>
        <w:t>כיצד ראיית הנגע</w:t>
      </w:r>
      <w:r>
        <w:rPr>
          <w:rFonts w:cs="Arial" w:hint="cs"/>
          <w:sz w:val="20"/>
          <w:szCs w:val="20"/>
          <w:rtl/>
        </w:rPr>
        <w:t>?</w:t>
      </w:r>
      <w:r w:rsidRPr="004E2438">
        <w:rPr>
          <w:rFonts w:cs="Arial"/>
          <w:sz w:val="20"/>
          <w:szCs w:val="20"/>
          <w:rtl/>
        </w:rPr>
        <w:t xml:space="preserve"> האיש נראה כעודר וכמוסק זיתים</w:t>
      </w:r>
      <w:r>
        <w:rPr>
          <w:rFonts w:cs="Arial" w:hint="cs"/>
          <w:sz w:val="20"/>
          <w:szCs w:val="20"/>
          <w:rtl/>
        </w:rPr>
        <w:t>,</w:t>
      </w:r>
      <w:r w:rsidRPr="004E2438">
        <w:rPr>
          <w:rFonts w:cs="Arial"/>
          <w:sz w:val="20"/>
          <w:szCs w:val="20"/>
          <w:rtl/>
        </w:rPr>
        <w:t xml:space="preserve"> האשה כעורכת וכמניקה את בנה</w:t>
      </w:r>
      <w:r>
        <w:rPr>
          <w:rFonts w:cs="Arial" w:hint="cs"/>
          <w:sz w:val="20"/>
          <w:szCs w:val="20"/>
          <w:rtl/>
        </w:rPr>
        <w:t>,</w:t>
      </w:r>
      <w:r w:rsidRPr="004E2438">
        <w:rPr>
          <w:rFonts w:cs="Arial"/>
          <w:sz w:val="20"/>
          <w:szCs w:val="20"/>
          <w:rtl/>
        </w:rPr>
        <w:t xml:space="preserve"> כאורגת בעומדין לשחי ליד הימנית</w:t>
      </w:r>
      <w:r>
        <w:rPr>
          <w:rFonts w:cs="Arial" w:hint="cs"/>
          <w:sz w:val="20"/>
          <w:szCs w:val="20"/>
          <w:rtl/>
        </w:rPr>
        <w:t>.</w:t>
      </w:r>
      <w:r w:rsidRPr="004E2438">
        <w:rPr>
          <w:rFonts w:cs="Arial"/>
          <w:sz w:val="20"/>
          <w:szCs w:val="20"/>
          <w:rtl/>
        </w:rPr>
        <w:t xml:space="preserve"> רבי יהודה אומר</w:t>
      </w:r>
      <w:r>
        <w:rPr>
          <w:rFonts w:cs="Arial" w:hint="cs"/>
          <w:sz w:val="20"/>
          <w:szCs w:val="20"/>
          <w:rtl/>
        </w:rPr>
        <w:t>:</w:t>
      </w:r>
      <w:r w:rsidRPr="004E2438">
        <w:rPr>
          <w:rFonts w:cs="Arial"/>
          <w:sz w:val="20"/>
          <w:szCs w:val="20"/>
          <w:rtl/>
        </w:rPr>
        <w:t xml:space="preserve"> אף כטווה בפשתן לשמאלית</w:t>
      </w:r>
      <w:r>
        <w:rPr>
          <w:rFonts w:cs="Arial" w:hint="cs"/>
          <w:sz w:val="20"/>
          <w:szCs w:val="20"/>
          <w:rtl/>
        </w:rPr>
        <w:t>".</w:t>
      </w:r>
    </w:p>
    <w:p w:rsidR="00620060" w:rsidRDefault="00620060" w:rsidP="00620060">
      <w:pPr>
        <w:rPr>
          <w:sz w:val="20"/>
          <w:szCs w:val="20"/>
          <w:rtl/>
        </w:rPr>
      </w:pPr>
      <w:r>
        <w:rPr>
          <w:rFonts w:hint="cs"/>
          <w:b/>
          <w:bCs/>
          <w:sz w:val="20"/>
          <w:szCs w:val="20"/>
          <w:rtl/>
        </w:rPr>
        <w:t>הסבר</w:t>
      </w:r>
      <w:r>
        <w:rPr>
          <w:b/>
          <w:bCs/>
          <w:sz w:val="20"/>
          <w:szCs w:val="20"/>
          <w:rtl/>
        </w:rPr>
        <w:br/>
      </w:r>
      <w:r>
        <w:rPr>
          <w:rFonts w:hint="cs"/>
          <w:sz w:val="20"/>
          <w:szCs w:val="20"/>
          <w:rtl/>
        </w:rPr>
        <w:t>כל מקום המתגלה בשעה שהאשה עסוקה במלאכתה, אינו בית הסתרים ולכן המים צריכים לבוא שם.</w:t>
      </w:r>
      <w:r>
        <w:rPr>
          <w:sz w:val="20"/>
          <w:szCs w:val="20"/>
          <w:rtl/>
        </w:rPr>
        <w:br/>
      </w:r>
      <w:r>
        <w:rPr>
          <w:sz w:val="20"/>
          <w:szCs w:val="20"/>
          <w:rtl/>
        </w:rPr>
        <w:br/>
      </w:r>
      <w:r>
        <w:rPr>
          <w:rFonts w:hint="cs"/>
          <w:b/>
          <w:bCs/>
          <w:sz w:val="20"/>
          <w:szCs w:val="20"/>
          <w:rtl/>
        </w:rPr>
        <w:t>שיטות הראשונים</w:t>
      </w:r>
      <w:r>
        <w:rPr>
          <w:rFonts w:hint="cs"/>
          <w:sz w:val="20"/>
          <w:szCs w:val="20"/>
          <w:rtl/>
        </w:rPr>
        <w:br/>
        <w:t xml:space="preserve">א. אורגת </w:t>
      </w:r>
      <w:r>
        <w:rPr>
          <w:sz w:val="20"/>
          <w:szCs w:val="20"/>
          <w:rtl/>
        </w:rPr>
        <w:t>–</w:t>
      </w:r>
      <w:r>
        <w:rPr>
          <w:rFonts w:hint="cs"/>
          <w:sz w:val="20"/>
          <w:szCs w:val="20"/>
          <w:rtl/>
        </w:rPr>
        <w:t xml:space="preserve"> לבית השחי.</w:t>
      </w:r>
      <w:r>
        <w:rPr>
          <w:sz w:val="20"/>
          <w:szCs w:val="20"/>
          <w:rtl/>
        </w:rPr>
        <w:br/>
      </w:r>
      <w:r>
        <w:rPr>
          <w:rFonts w:hint="cs"/>
          <w:sz w:val="20"/>
          <w:szCs w:val="20"/>
          <w:rtl/>
        </w:rPr>
        <w:t xml:space="preserve">ב. מניקה - </w:t>
      </w:r>
      <w:r>
        <w:rPr>
          <w:sz w:val="20"/>
          <w:szCs w:val="20"/>
          <w:rtl/>
        </w:rPr>
        <w:br/>
      </w:r>
      <w:r w:rsidRPr="00DB79D1">
        <w:rPr>
          <w:rFonts w:hint="cs"/>
          <w:b/>
          <w:bCs/>
          <w:sz w:val="20"/>
          <w:szCs w:val="20"/>
          <w:rtl/>
        </w:rPr>
        <w:t>רש"י</w:t>
      </w:r>
      <w:r>
        <w:rPr>
          <w:rFonts w:hint="cs"/>
          <w:sz w:val="20"/>
          <w:szCs w:val="20"/>
          <w:rtl/>
        </w:rPr>
        <w:t xml:space="preserve"> </w:t>
      </w:r>
      <w:r>
        <w:rPr>
          <w:sz w:val="20"/>
          <w:szCs w:val="20"/>
          <w:rtl/>
        </w:rPr>
        <w:t>–</w:t>
      </w:r>
      <w:r>
        <w:rPr>
          <w:rFonts w:hint="cs"/>
          <w:sz w:val="20"/>
          <w:szCs w:val="20"/>
          <w:rtl/>
        </w:rPr>
        <w:t xml:space="preserve"> למקום הערווה.</w:t>
      </w:r>
      <w:r>
        <w:rPr>
          <w:sz w:val="20"/>
          <w:szCs w:val="20"/>
          <w:rtl/>
        </w:rPr>
        <w:br/>
      </w:r>
      <w:r w:rsidRPr="00DB79D1">
        <w:rPr>
          <w:rFonts w:hint="cs"/>
          <w:b/>
          <w:bCs/>
          <w:sz w:val="20"/>
          <w:szCs w:val="20"/>
          <w:rtl/>
        </w:rPr>
        <w:t>תוספות</w:t>
      </w:r>
      <w:r>
        <w:rPr>
          <w:rFonts w:hint="cs"/>
          <w:sz w:val="20"/>
          <w:szCs w:val="20"/>
          <w:rtl/>
        </w:rPr>
        <w:t xml:space="preserve"> </w:t>
      </w:r>
      <w:r>
        <w:rPr>
          <w:sz w:val="20"/>
          <w:szCs w:val="20"/>
          <w:rtl/>
        </w:rPr>
        <w:t>–</w:t>
      </w:r>
      <w:r>
        <w:rPr>
          <w:rFonts w:hint="cs"/>
          <w:sz w:val="20"/>
          <w:szCs w:val="20"/>
          <w:rtl/>
        </w:rPr>
        <w:t xml:space="preserve"> לתחת הדד, וכ"כ </w:t>
      </w:r>
      <w:r w:rsidRPr="003D1877">
        <w:rPr>
          <w:rFonts w:hint="cs"/>
          <w:b/>
          <w:bCs/>
          <w:sz w:val="20"/>
          <w:szCs w:val="20"/>
          <w:rtl/>
        </w:rPr>
        <w:t>המחבר</w:t>
      </w:r>
      <w:r>
        <w:rPr>
          <w:rFonts w:hint="cs"/>
          <w:sz w:val="20"/>
          <w:szCs w:val="20"/>
          <w:rtl/>
        </w:rPr>
        <w:t>.</w:t>
      </w:r>
      <w:r>
        <w:rPr>
          <w:sz w:val="20"/>
          <w:szCs w:val="20"/>
          <w:rtl/>
        </w:rPr>
        <w:br/>
      </w:r>
      <w:r>
        <w:rPr>
          <w:rFonts w:hint="cs"/>
          <w:sz w:val="20"/>
          <w:szCs w:val="20"/>
          <w:rtl/>
        </w:rPr>
        <w:t xml:space="preserve">ג. כעורכת </w:t>
      </w:r>
      <w:r>
        <w:rPr>
          <w:sz w:val="20"/>
          <w:szCs w:val="20"/>
          <w:rtl/>
        </w:rPr>
        <w:t>–</w:t>
      </w:r>
      <w:r>
        <w:rPr>
          <w:rFonts w:hint="cs"/>
          <w:sz w:val="20"/>
          <w:szCs w:val="20"/>
          <w:rtl/>
        </w:rPr>
        <w:t xml:space="preserve"> </w:t>
      </w:r>
      <w:r>
        <w:rPr>
          <w:sz w:val="20"/>
          <w:szCs w:val="20"/>
          <w:rtl/>
        </w:rPr>
        <w:br/>
      </w:r>
      <w:r w:rsidRPr="001F765F">
        <w:rPr>
          <w:rFonts w:hint="cs"/>
          <w:b/>
          <w:bCs/>
          <w:sz w:val="20"/>
          <w:szCs w:val="20"/>
          <w:rtl/>
        </w:rPr>
        <w:t>סמ"ג</w:t>
      </w:r>
      <w:r>
        <w:rPr>
          <w:rFonts w:hint="cs"/>
          <w:sz w:val="20"/>
          <w:szCs w:val="20"/>
          <w:rtl/>
        </w:rPr>
        <w:t xml:space="preserve"> - להרחיב ירכותיה שלא ייגעו זו בזו, ולפשוט זרועותיה מעל גופה כדי שייכנסו המים בכל מקום.</w:t>
      </w:r>
      <w:r>
        <w:rPr>
          <w:sz w:val="20"/>
          <w:szCs w:val="20"/>
          <w:rtl/>
        </w:rPr>
        <w:br/>
      </w:r>
      <w:r w:rsidRPr="001F765F">
        <w:rPr>
          <w:rFonts w:hint="cs"/>
          <w:b/>
          <w:bCs/>
          <w:sz w:val="20"/>
          <w:szCs w:val="20"/>
          <w:rtl/>
        </w:rPr>
        <w:t>רא"ש</w:t>
      </w:r>
      <w:r>
        <w:rPr>
          <w:rFonts w:hint="cs"/>
          <w:sz w:val="20"/>
          <w:szCs w:val="20"/>
          <w:rtl/>
        </w:rPr>
        <w:t xml:space="preserve"> </w:t>
      </w:r>
      <w:r>
        <w:rPr>
          <w:sz w:val="20"/>
          <w:szCs w:val="20"/>
          <w:rtl/>
        </w:rPr>
        <w:t>–</w:t>
      </w:r>
      <w:r>
        <w:rPr>
          <w:rFonts w:hint="cs"/>
          <w:sz w:val="20"/>
          <w:szCs w:val="20"/>
          <w:rtl/>
        </w:rPr>
        <w:t xml:space="preserve"> אינה צריכה להרחיב ירכותיה זו מזו יותר מדי, וכן אינה צריכה להגביה זרועותיה יותר מדי, אלא כמו שרגילה תמיד. וכן לא תעצום ולא תפתח את עיניה יותר מדי.  </w:t>
      </w:r>
      <w:r>
        <w:rPr>
          <w:sz w:val="20"/>
          <w:szCs w:val="20"/>
          <w:rtl/>
        </w:rPr>
        <w:br/>
      </w:r>
      <w:r>
        <w:rPr>
          <w:rFonts w:hint="cs"/>
          <w:sz w:val="20"/>
          <w:szCs w:val="20"/>
          <w:rtl/>
        </w:rPr>
        <w:t xml:space="preserve">ד. דרך גדילתה </w:t>
      </w:r>
      <w:r>
        <w:rPr>
          <w:sz w:val="20"/>
          <w:szCs w:val="20"/>
          <w:rtl/>
        </w:rPr>
        <w:t>–</w:t>
      </w:r>
      <w:r>
        <w:rPr>
          <w:rFonts w:hint="cs"/>
          <w:sz w:val="20"/>
          <w:szCs w:val="20"/>
          <w:rtl/>
        </w:rPr>
        <w:t xml:space="preserve"> שלא תעמוד בקומה זקופה, אך גם לא תתכופף יותר מדי, </w:t>
      </w:r>
      <w:r w:rsidRPr="00A6666E">
        <w:rPr>
          <w:rFonts w:hint="cs"/>
          <w:b/>
          <w:bCs/>
          <w:sz w:val="20"/>
          <w:szCs w:val="20"/>
          <w:rtl/>
        </w:rPr>
        <w:t>גר"א</w:t>
      </w:r>
      <w:r>
        <w:rPr>
          <w:rFonts w:hint="cs"/>
          <w:sz w:val="20"/>
          <w:szCs w:val="20"/>
          <w:rtl/>
        </w:rPr>
        <w:t>.</w:t>
      </w:r>
    </w:p>
    <w:p w:rsidR="00620060" w:rsidRPr="00BC197E" w:rsidRDefault="00620060" w:rsidP="00620060">
      <w:pPr>
        <w:rPr>
          <w:sz w:val="20"/>
          <w:szCs w:val="20"/>
          <w:rtl/>
        </w:rPr>
      </w:pPr>
      <w:r>
        <w:rPr>
          <w:rFonts w:hint="cs"/>
          <w:b/>
          <w:bCs/>
          <w:sz w:val="20"/>
          <w:szCs w:val="20"/>
          <w:rtl/>
        </w:rPr>
        <w:t>הגבהת הידיים</w:t>
      </w:r>
      <w:r>
        <w:rPr>
          <w:b/>
          <w:bCs/>
          <w:sz w:val="20"/>
          <w:szCs w:val="20"/>
          <w:rtl/>
        </w:rPr>
        <w:br/>
      </w:r>
      <w:r>
        <w:rPr>
          <w:rFonts w:hint="cs"/>
          <w:b/>
          <w:bCs/>
          <w:sz w:val="20"/>
          <w:szCs w:val="20"/>
          <w:rtl/>
        </w:rPr>
        <w:t xml:space="preserve">בית יוסף </w:t>
      </w:r>
      <w:r>
        <w:rPr>
          <w:sz w:val="20"/>
          <w:szCs w:val="20"/>
          <w:rtl/>
        </w:rPr>
        <w:t>–</w:t>
      </w:r>
      <w:r>
        <w:rPr>
          <w:rFonts w:hint="cs"/>
          <w:sz w:val="20"/>
          <w:szCs w:val="20"/>
          <w:rtl/>
        </w:rPr>
        <w:t xml:space="preserve"> מדברי </w:t>
      </w:r>
      <w:r w:rsidRPr="00BC197E">
        <w:rPr>
          <w:rFonts w:hint="cs"/>
          <w:b/>
          <w:bCs/>
          <w:sz w:val="20"/>
          <w:szCs w:val="20"/>
          <w:rtl/>
        </w:rPr>
        <w:t>רש"י ו</w:t>
      </w:r>
      <w:r>
        <w:rPr>
          <w:rFonts w:hint="cs"/>
          <w:b/>
          <w:bCs/>
          <w:sz w:val="20"/>
          <w:szCs w:val="20"/>
          <w:rtl/>
        </w:rPr>
        <w:t>ה</w:t>
      </w:r>
      <w:r w:rsidRPr="00BC197E">
        <w:rPr>
          <w:rFonts w:hint="cs"/>
          <w:b/>
          <w:bCs/>
          <w:sz w:val="20"/>
          <w:szCs w:val="20"/>
          <w:rtl/>
        </w:rPr>
        <w:t>רא"ש</w:t>
      </w:r>
      <w:r>
        <w:rPr>
          <w:rFonts w:hint="cs"/>
          <w:sz w:val="20"/>
          <w:szCs w:val="20"/>
          <w:rtl/>
        </w:rPr>
        <w:t xml:space="preserve"> בביאור דברי ר"ל "כדרך גדילתה" משמע שתטבול כדרך הילוכה תמיד, ובשעת הילוכה אין הדרך להגביה זרועותיה. מאידך, במשנה משמע שצריכה להגביה את ידיה! </w:t>
      </w:r>
      <w:r>
        <w:rPr>
          <w:rFonts w:hint="cs"/>
          <w:sz w:val="20"/>
          <w:szCs w:val="20"/>
          <w:rtl/>
        </w:rPr>
        <w:br/>
        <w:t xml:space="preserve">תשובה </w:t>
      </w:r>
      <w:r>
        <w:rPr>
          <w:sz w:val="20"/>
          <w:szCs w:val="20"/>
          <w:rtl/>
        </w:rPr>
        <w:t>–</w:t>
      </w:r>
      <w:r>
        <w:rPr>
          <w:rFonts w:hint="cs"/>
          <w:sz w:val="20"/>
          <w:szCs w:val="20"/>
          <w:rtl/>
        </w:rPr>
        <w:t xml:space="preserve"> המשנה לא התכוונה להגבהת הידיים, אלא להרחקת הזרוע מהגוף קרי הגבהת ידיה, וקמ"ל שאינה צריכה להרחיק ידיה מהגוף יותר מדי אלא כפי דרכה בשעת הילוכה, וכ"פ </w:t>
      </w:r>
      <w:r w:rsidRPr="00BC197E">
        <w:rPr>
          <w:rFonts w:hint="cs"/>
          <w:b/>
          <w:bCs/>
          <w:sz w:val="20"/>
          <w:szCs w:val="20"/>
          <w:rtl/>
        </w:rPr>
        <w:t>בשו"ע</w:t>
      </w:r>
      <w:r>
        <w:rPr>
          <w:rFonts w:hint="cs"/>
          <w:sz w:val="20"/>
          <w:szCs w:val="20"/>
          <w:rtl/>
        </w:rPr>
        <w:t>.</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722038">
        <w:rPr>
          <w:rFonts w:cs="Arial"/>
          <w:sz w:val="20"/>
          <w:szCs w:val="20"/>
          <w:rtl/>
        </w:rPr>
        <w:t>לא תטבול בקומה זקופה, מפני שיש מקומות שמסתתרים בה; ואל תשחה הרבה עד שידבקו סתריה זה בזה, אלא שוחה מעט עד שיהיו סתרי בית הער</w:t>
      </w:r>
      <w:r>
        <w:rPr>
          <w:rFonts w:cs="Arial" w:hint="cs"/>
          <w:sz w:val="20"/>
          <w:szCs w:val="20"/>
          <w:rtl/>
        </w:rPr>
        <w:t>ו</w:t>
      </w:r>
      <w:r w:rsidRPr="00722038">
        <w:rPr>
          <w:rFonts w:cs="Arial"/>
          <w:sz w:val="20"/>
          <w:szCs w:val="20"/>
          <w:rtl/>
        </w:rPr>
        <w:t xml:space="preserve">וה נראים כדרך שנראית בשעה שהיא עורכת; ויהיה </w:t>
      </w:r>
      <w:r w:rsidRPr="00722038">
        <w:rPr>
          <w:rFonts w:cs="Arial"/>
          <w:sz w:val="20"/>
          <w:szCs w:val="20"/>
          <w:rtl/>
        </w:rPr>
        <w:lastRenderedPageBreak/>
        <w:t>תחת דדיה נרא</w:t>
      </w:r>
      <w:r>
        <w:rPr>
          <w:rFonts w:cs="Arial" w:hint="cs"/>
          <w:sz w:val="20"/>
          <w:szCs w:val="20"/>
          <w:rtl/>
        </w:rPr>
        <w:t>ית</w:t>
      </w:r>
      <w:r w:rsidRPr="00722038">
        <w:rPr>
          <w:rFonts w:cs="Arial"/>
          <w:sz w:val="20"/>
          <w:szCs w:val="20"/>
          <w:rtl/>
        </w:rPr>
        <w:t xml:space="preserve"> כדרך שנראה בשעה שמניקה את בנה; ויהיה תחת בית השחי נראה כדרך שנראה כשאורגת בעומדין, ואינה צריכה להרחיק ירכותיה זו מזו יותר מדאי וגם לא להרחיק זרועותיה מהגוף יותר מדאי, אלא כדרך שהם בעת הילוכה</w:t>
      </w:r>
      <w:r>
        <w:rPr>
          <w:rFonts w:cs="Arial" w:hint="cs"/>
          <w:sz w:val="20"/>
          <w:szCs w:val="20"/>
          <w:rtl/>
        </w:rPr>
        <w:t>".</w:t>
      </w:r>
    </w:p>
    <w:p w:rsidR="00620060" w:rsidRDefault="00620060" w:rsidP="00620060">
      <w:pPr>
        <w:rPr>
          <w:sz w:val="20"/>
          <w:szCs w:val="20"/>
          <w:rtl/>
        </w:rPr>
      </w:pPr>
      <w:r w:rsidRPr="009705EB">
        <w:rPr>
          <w:rFonts w:hint="cs"/>
          <w:sz w:val="20"/>
          <w:szCs w:val="20"/>
          <w:u w:val="single"/>
          <w:rtl/>
        </w:rPr>
        <w:t>הערות הבית יוסף</w:t>
      </w:r>
      <w:r>
        <w:rPr>
          <w:b/>
          <w:bCs/>
          <w:sz w:val="20"/>
          <w:szCs w:val="20"/>
          <w:rtl/>
        </w:rPr>
        <w:br/>
      </w:r>
      <w:r>
        <w:rPr>
          <w:rFonts w:hint="cs"/>
          <w:sz w:val="20"/>
          <w:szCs w:val="20"/>
          <w:rtl/>
        </w:rPr>
        <w:t xml:space="preserve">א. ריש לקיש השמיט את 'כעורכת' אך ודאי אינו חולק אלא נקט תרי </w:t>
      </w:r>
      <w:r w:rsidRPr="00960A0B">
        <w:rPr>
          <w:rFonts w:hint="cs"/>
          <w:sz w:val="18"/>
          <w:szCs w:val="18"/>
          <w:rtl/>
        </w:rPr>
        <w:t xml:space="preserve">(אורגת ומניקה) </w:t>
      </w:r>
      <w:r>
        <w:rPr>
          <w:rFonts w:hint="cs"/>
          <w:sz w:val="20"/>
          <w:szCs w:val="20"/>
          <w:rtl/>
        </w:rPr>
        <w:t>מתלתא.</w:t>
      </w:r>
      <w:r>
        <w:rPr>
          <w:sz w:val="20"/>
          <w:szCs w:val="20"/>
          <w:rtl/>
        </w:rPr>
        <w:br/>
      </w:r>
      <w:r>
        <w:rPr>
          <w:rFonts w:hint="cs"/>
          <w:sz w:val="20"/>
          <w:szCs w:val="20"/>
          <w:rtl/>
        </w:rPr>
        <w:t>ב. נאמר במשנה שהאשה נראית כאורגת ליד ימין, לכאורה משמע שזה בדווקא, דהיינו שאינה צריכה להרחיק את יד שמאל כלל מכיוון שמלאכתה נעשית בימין. ואע"פ שבשעת טוויה מתגלה ידה השמאלית, סובר ת"ק שהולכים אחר מלאכתה העיקרית</w:t>
      </w:r>
      <w:r>
        <w:rPr>
          <w:rStyle w:val="a5"/>
          <w:sz w:val="20"/>
          <w:szCs w:val="20"/>
          <w:rtl/>
        </w:rPr>
        <w:footnoteReference w:id="678"/>
      </w:r>
      <w:r>
        <w:rPr>
          <w:rFonts w:hint="cs"/>
          <w:sz w:val="20"/>
          <w:szCs w:val="20"/>
          <w:rtl/>
        </w:rPr>
        <w:t xml:space="preserve">. אמנם, מדברי הטור שכתב לגבי אשה שצריכה להגביה את ידיה כשיעור מוסקת משמע שאין חילוק בין יד ימין לשמאל, והכי קיי"ל. </w:t>
      </w:r>
      <w:r>
        <w:rPr>
          <w:sz w:val="20"/>
          <w:szCs w:val="20"/>
          <w:rtl/>
        </w:rPr>
        <w:br/>
      </w:r>
      <w:r>
        <w:rPr>
          <w:rFonts w:hint="cs"/>
          <w:sz w:val="20"/>
          <w:szCs w:val="20"/>
          <w:rtl/>
        </w:rPr>
        <w:t>ומשום כך נקט הטור שיעור זה ולא נקט את שיעור אורגת שנאמר במשנה לגבי אשה, כדי ללמדנו שאין הבדל בין יד ימין לשמאל. ולפי"ז יש לומר שגם ת"ק התכוון לומר שכל מה שנגלה בשעת אריגה בידה הימנית, צריך להיות גלוי בשעת טבילה בשתי ידיה.</w:t>
      </w:r>
      <w:r>
        <w:rPr>
          <w:rFonts w:hint="cs"/>
          <w:sz w:val="20"/>
          <w:szCs w:val="20"/>
          <w:rtl/>
        </w:rPr>
        <w:br/>
        <w:t>ג. אין חילוק בין איש לאשה לעניין גילוי בית השחי, ואע"פ שלגבי איש נאמר ששיעורו כמוסק זיתים ואילו באשה נאמר שיעור אורגת, יש לומר ששיעורים אלו הם היינו הך.</w:t>
      </w:r>
    </w:p>
    <w:p w:rsidR="00620060" w:rsidRPr="009705EB" w:rsidRDefault="00620060" w:rsidP="00620060">
      <w:pPr>
        <w:rPr>
          <w:sz w:val="20"/>
          <w:szCs w:val="20"/>
          <w:rtl/>
        </w:rPr>
      </w:pPr>
      <w:r>
        <w:rPr>
          <w:rFonts w:hint="cs"/>
          <w:b/>
          <w:bCs/>
          <w:sz w:val="20"/>
          <w:szCs w:val="20"/>
          <w:rtl/>
        </w:rPr>
        <w:t>טבלה שלא כדרך גדילתה</w:t>
      </w:r>
      <w:r>
        <w:rPr>
          <w:rFonts w:hint="cs"/>
          <w:b/>
          <w:bCs/>
          <w:sz w:val="20"/>
          <w:szCs w:val="20"/>
          <w:rtl/>
        </w:rPr>
        <w:br/>
        <w:t>שיטות הראשונים</w:t>
      </w:r>
      <w:r>
        <w:rPr>
          <w:b/>
          <w:bCs/>
          <w:sz w:val="20"/>
          <w:szCs w:val="20"/>
          <w:rtl/>
        </w:rPr>
        <w:br/>
      </w:r>
      <w:r>
        <w:rPr>
          <w:rFonts w:hint="cs"/>
          <w:sz w:val="20"/>
          <w:szCs w:val="20"/>
          <w:rtl/>
        </w:rPr>
        <w:t>אשה שטבלה שלא כדרך גדילתה, האם עלתה לה טבילה?</w:t>
      </w:r>
      <w:r>
        <w:rPr>
          <w:rFonts w:hint="cs"/>
          <w:sz w:val="20"/>
          <w:szCs w:val="20"/>
          <w:rtl/>
        </w:rPr>
        <w:br/>
        <w:t xml:space="preserve">א. </w:t>
      </w:r>
      <w:r w:rsidRPr="009705EB">
        <w:rPr>
          <w:rFonts w:hint="cs"/>
          <w:b/>
          <w:bCs/>
          <w:sz w:val="20"/>
          <w:szCs w:val="20"/>
          <w:rtl/>
        </w:rPr>
        <w:t>סמ"ג וערוך</w:t>
      </w:r>
      <w:r>
        <w:rPr>
          <w:rFonts w:hint="cs"/>
          <w:sz w:val="20"/>
          <w:szCs w:val="20"/>
          <w:rtl/>
        </w:rPr>
        <w:t xml:space="preserve"> </w:t>
      </w:r>
      <w:r>
        <w:rPr>
          <w:sz w:val="20"/>
          <w:szCs w:val="20"/>
          <w:rtl/>
        </w:rPr>
        <w:t>–</w:t>
      </w:r>
      <w:r>
        <w:rPr>
          <w:rFonts w:hint="cs"/>
          <w:sz w:val="20"/>
          <w:szCs w:val="20"/>
          <w:rtl/>
        </w:rPr>
        <w:t xml:space="preserve"> כן, ואפילו לכתחילה.</w:t>
      </w:r>
      <w:r>
        <w:rPr>
          <w:sz w:val="20"/>
          <w:szCs w:val="20"/>
          <w:rtl/>
        </w:rPr>
        <w:br/>
      </w:r>
      <w:r w:rsidRPr="009705EB">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דין טבילה כדרך גדילתה נאמר לטהרות אך לא לבעלה.</w:t>
      </w:r>
      <w:r>
        <w:rPr>
          <w:rStyle w:val="a5"/>
          <w:sz w:val="20"/>
          <w:szCs w:val="20"/>
          <w:rtl/>
        </w:rPr>
        <w:footnoteReference w:id="679"/>
      </w:r>
      <w:r>
        <w:rPr>
          <w:rFonts w:hint="cs"/>
          <w:sz w:val="20"/>
          <w:szCs w:val="20"/>
          <w:rtl/>
        </w:rPr>
        <w:br/>
        <w:t xml:space="preserve">ב. </w:t>
      </w:r>
      <w:r w:rsidRPr="00120B41">
        <w:rPr>
          <w:rFonts w:hint="cs"/>
          <w:b/>
          <w:bCs/>
          <w:sz w:val="20"/>
          <w:szCs w:val="20"/>
          <w:rtl/>
        </w:rPr>
        <w:t>ראב"ד</w:t>
      </w:r>
      <w:r>
        <w:rPr>
          <w:rFonts w:hint="cs"/>
          <w:sz w:val="20"/>
          <w:szCs w:val="20"/>
          <w:rtl/>
        </w:rPr>
        <w:t xml:space="preserve"> </w:t>
      </w:r>
      <w:r>
        <w:rPr>
          <w:sz w:val="20"/>
          <w:szCs w:val="20"/>
          <w:rtl/>
        </w:rPr>
        <w:t>–</w:t>
      </w:r>
      <w:r>
        <w:rPr>
          <w:rFonts w:hint="cs"/>
          <w:sz w:val="20"/>
          <w:szCs w:val="20"/>
          <w:rtl/>
        </w:rPr>
        <w:t xml:space="preserve"> לא.</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120B41">
        <w:rPr>
          <w:rFonts w:cs="Arial"/>
          <w:sz w:val="20"/>
          <w:szCs w:val="20"/>
          <w:rtl/>
        </w:rPr>
        <w:t>ואם שינתה, כגון ששחתה ביותר או זקפה ביותר, עלתה לה טבילה</w:t>
      </w:r>
      <w:r>
        <w:rPr>
          <w:rFonts w:cs="Arial"/>
          <w:sz w:val="20"/>
          <w:szCs w:val="20"/>
          <w:rtl/>
        </w:rPr>
        <w:t>; ויש מי שאומר שלא עלתה</w:t>
      </w:r>
      <w:r>
        <w:rPr>
          <w:rFonts w:cs="Arial" w:hint="cs"/>
          <w:sz w:val="20"/>
          <w:szCs w:val="20"/>
          <w:rtl/>
        </w:rPr>
        <w:t>".</w:t>
      </w:r>
      <w:r>
        <w:rPr>
          <w:rStyle w:val="a5"/>
          <w:sz w:val="20"/>
          <w:szCs w:val="20"/>
          <w:rtl/>
        </w:rPr>
        <w:footnoteReference w:id="680"/>
      </w:r>
    </w:p>
    <w:p w:rsidR="00620060" w:rsidRDefault="00620060" w:rsidP="00620060">
      <w:pPr>
        <w:rPr>
          <w:sz w:val="20"/>
          <w:szCs w:val="20"/>
          <w:rtl/>
        </w:rPr>
      </w:pPr>
      <w:r w:rsidRPr="003F439A">
        <w:rPr>
          <w:rFonts w:hint="cs"/>
          <w:sz w:val="20"/>
          <w:szCs w:val="20"/>
          <w:u w:val="single"/>
          <w:rtl/>
        </w:rPr>
        <w:t>מדוע אין להקל מטעם מים מקדמים?</w:t>
      </w:r>
      <w:r>
        <w:rPr>
          <w:rFonts w:hint="cs"/>
          <w:sz w:val="20"/>
          <w:szCs w:val="20"/>
          <w:rtl/>
        </w:rPr>
        <w:br/>
        <w:t xml:space="preserve">א. </w:t>
      </w:r>
      <w:r w:rsidRPr="003F439A">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שיטת הפוסלים טבילה בקומה זקופה וכו' אפילו בדיעבד, קשה.</w:t>
      </w:r>
      <w:r>
        <w:rPr>
          <w:sz w:val="20"/>
          <w:szCs w:val="20"/>
          <w:rtl/>
        </w:rPr>
        <w:br/>
      </w:r>
      <w:r>
        <w:rPr>
          <w:rFonts w:hint="cs"/>
          <w:sz w:val="20"/>
          <w:szCs w:val="20"/>
          <w:rtl/>
        </w:rPr>
        <w:t xml:space="preserve">הסבר </w:t>
      </w:r>
      <w:r>
        <w:rPr>
          <w:sz w:val="20"/>
          <w:szCs w:val="20"/>
          <w:rtl/>
        </w:rPr>
        <w:t>–</w:t>
      </w:r>
      <w:r>
        <w:rPr>
          <w:rFonts w:hint="cs"/>
          <w:sz w:val="20"/>
          <w:szCs w:val="20"/>
          <w:rtl/>
        </w:rPr>
        <w:t xml:space="preserve"> לגבי טבילה במקווה שיש טיט בקרקעיתו, נפסק שהמים מקדמים לרגליים ולכן אין הטיט חוצץ.</w:t>
      </w:r>
      <w:r>
        <w:rPr>
          <w:sz w:val="20"/>
          <w:szCs w:val="20"/>
          <w:rtl/>
        </w:rPr>
        <w:br/>
      </w:r>
      <w:r>
        <w:rPr>
          <w:rFonts w:hint="cs"/>
          <w:sz w:val="20"/>
          <w:szCs w:val="20"/>
          <w:rtl/>
        </w:rPr>
        <w:t>מעתה יקשה מדוע כאן לא נאמר שאף אם טבלה בקומה זקופה המים מקדמים ואין הקמטים חוצצים?</w:t>
      </w:r>
      <w:r>
        <w:rPr>
          <w:rFonts w:hint="cs"/>
          <w:sz w:val="20"/>
          <w:szCs w:val="20"/>
          <w:rtl/>
        </w:rPr>
        <w:br/>
        <w:t xml:space="preserve">תירוץ </w:t>
      </w:r>
      <w:r>
        <w:rPr>
          <w:sz w:val="20"/>
          <w:szCs w:val="20"/>
          <w:rtl/>
        </w:rPr>
        <w:t>–</w:t>
      </w:r>
      <w:r>
        <w:rPr>
          <w:rFonts w:hint="cs"/>
          <w:sz w:val="20"/>
          <w:szCs w:val="20"/>
          <w:rtl/>
        </w:rPr>
        <w:t xml:space="preserve"> יש חשש שיידבקו הקמטים בגוף שהם למעלה מגובה המים, ולכן לא יהיה בהם מים מקדמים.</w:t>
      </w:r>
      <w:r>
        <w:rPr>
          <w:sz w:val="20"/>
          <w:szCs w:val="20"/>
          <w:rtl/>
        </w:rPr>
        <w:br/>
      </w:r>
      <w:r>
        <w:rPr>
          <w:rFonts w:hint="cs"/>
          <w:sz w:val="20"/>
          <w:szCs w:val="20"/>
          <w:rtl/>
        </w:rPr>
        <w:t>לפי"ז, מייעץ הט"ז לכל אשה להיכנס למים תחילה עד צווארה לפני הטבילה, ורק אח"כ לטבול, ובכה"ג אפילו אם צורת הטבילה אינה כדין, מכל מקום עלתה לה טבילה לכתחילה.</w:t>
      </w:r>
      <w:r>
        <w:rPr>
          <w:rFonts w:hint="cs"/>
          <w:sz w:val="20"/>
          <w:szCs w:val="20"/>
          <w:rtl/>
        </w:rPr>
        <w:br/>
      </w:r>
      <w:r w:rsidRPr="000E2F5D">
        <w:rPr>
          <w:rFonts w:hint="cs"/>
          <w:b/>
          <w:bCs/>
          <w:sz w:val="20"/>
          <w:szCs w:val="20"/>
          <w:rtl/>
        </w:rPr>
        <w:t>ששבה"ל</w:t>
      </w:r>
      <w:r>
        <w:rPr>
          <w:rFonts w:hint="cs"/>
          <w:sz w:val="20"/>
          <w:szCs w:val="20"/>
          <w:rtl/>
        </w:rPr>
        <w:t xml:space="preserve"> </w:t>
      </w:r>
      <w:r>
        <w:rPr>
          <w:sz w:val="20"/>
          <w:szCs w:val="20"/>
          <w:rtl/>
        </w:rPr>
        <w:t>–</w:t>
      </w:r>
      <w:r>
        <w:rPr>
          <w:rFonts w:hint="cs"/>
          <w:sz w:val="20"/>
          <w:szCs w:val="20"/>
          <w:rtl/>
        </w:rPr>
        <w:t xml:space="preserve"> כנראה שמטעם זה נהגו בנות ישראל לטבול ג' או ז' טבילות, משום שבכל טבילה משתנה תנוחת הטובלת, ולכן יש לומר שפיר על כל מקום בגוף שהמים מקדמים.</w:t>
      </w:r>
      <w:r>
        <w:rPr>
          <w:rFonts w:hint="cs"/>
          <w:sz w:val="20"/>
          <w:szCs w:val="20"/>
          <w:rtl/>
        </w:rPr>
        <w:br/>
        <w:t xml:space="preserve">ב. </w:t>
      </w:r>
      <w:r w:rsidRPr="00F9224E">
        <w:rPr>
          <w:rFonts w:hint="cs"/>
          <w:b/>
          <w:bCs/>
          <w:sz w:val="20"/>
          <w:szCs w:val="20"/>
          <w:rtl/>
        </w:rPr>
        <w:t>נקה"כ</w:t>
      </w:r>
      <w:r>
        <w:rPr>
          <w:rFonts w:hint="cs"/>
          <w:sz w:val="20"/>
          <w:szCs w:val="20"/>
          <w:rtl/>
        </w:rPr>
        <w:t xml:space="preserve"> </w:t>
      </w:r>
      <w:r>
        <w:rPr>
          <w:sz w:val="20"/>
          <w:szCs w:val="20"/>
          <w:rtl/>
        </w:rPr>
        <w:t>–</w:t>
      </w:r>
      <w:r>
        <w:rPr>
          <w:rFonts w:hint="cs"/>
          <w:sz w:val="20"/>
          <w:szCs w:val="20"/>
          <w:rtl/>
        </w:rPr>
        <w:t xml:space="preserve"> הקמטים שבגוף מהודקים מאוד ויש חשש שהמים בקמטים לא יתחברו למי המקווה, וכך מובנת סברת המחמירים אפילו בדיעבד.</w:t>
      </w:r>
    </w:p>
    <w:p w:rsidR="00620060" w:rsidRDefault="00620060" w:rsidP="00620060">
      <w:pPr>
        <w:rPr>
          <w:sz w:val="20"/>
          <w:szCs w:val="20"/>
          <w:rtl/>
        </w:rPr>
      </w:pPr>
      <w:r>
        <w:rPr>
          <w:rFonts w:hint="cs"/>
          <w:sz w:val="20"/>
          <w:szCs w:val="20"/>
          <w:u w:val="single"/>
          <w:rtl/>
        </w:rPr>
        <w:t>תמיהת הש"ך על פסק המחבר</w:t>
      </w:r>
      <w:r>
        <w:rPr>
          <w:rFonts w:hint="cs"/>
          <w:sz w:val="20"/>
          <w:szCs w:val="20"/>
          <w:u w:val="single"/>
          <w:rtl/>
        </w:rPr>
        <w:br/>
      </w:r>
      <w:r w:rsidRPr="001F0F0A">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תמוה כיצד פסק המחבר להקל בדיעבד, הרי היתר זה נאמר רק למי שגורס בגמרא: "ולית הלכתא ככל הני שמעתתא" וכו', אך המחבר לא פוסק כך, שהרי פסק לעיל בסעיפים ח - ט את החציצות שנאמרו התם לעיל, ולגירסה הנ"ל אין חציצות אלו מעכבות כלל! וצ"ע.</w:t>
      </w:r>
      <w:r>
        <w:rPr>
          <w:rStyle w:val="a5"/>
          <w:sz w:val="20"/>
          <w:szCs w:val="20"/>
          <w:rtl/>
        </w:rPr>
        <w:footnoteReference w:id="681"/>
      </w:r>
    </w:p>
    <w:p w:rsidR="00620060" w:rsidRDefault="00620060" w:rsidP="00620060">
      <w:pPr>
        <w:rPr>
          <w:rFonts w:cs="Arial"/>
          <w:sz w:val="20"/>
          <w:szCs w:val="20"/>
          <w:rtl/>
        </w:rPr>
      </w:pPr>
      <w:r>
        <w:rPr>
          <w:rFonts w:hint="cs"/>
          <w:b/>
          <w:bCs/>
          <w:sz w:val="20"/>
          <w:szCs w:val="20"/>
          <w:rtl/>
        </w:rPr>
        <w:t>טבילה בישיבה</w:t>
      </w:r>
      <w:r>
        <w:rPr>
          <w:b/>
          <w:bCs/>
          <w:sz w:val="20"/>
          <w:szCs w:val="20"/>
          <w:rtl/>
        </w:rPr>
        <w:br/>
      </w:r>
      <w:r w:rsidRPr="001F7E39">
        <w:rPr>
          <w:rFonts w:cs="Arial"/>
          <w:b/>
          <w:bCs/>
          <w:sz w:val="20"/>
          <w:szCs w:val="20"/>
          <w:rtl/>
        </w:rPr>
        <w:t>רמב"ם</w:t>
      </w:r>
      <w:r>
        <w:rPr>
          <w:rFonts w:cs="Arial" w:hint="cs"/>
          <w:sz w:val="20"/>
          <w:szCs w:val="20"/>
          <w:rtl/>
        </w:rPr>
        <w:t xml:space="preserve"> </w:t>
      </w:r>
      <w:r w:rsidRPr="001F7E39">
        <w:rPr>
          <w:rFonts w:cs="Arial" w:hint="cs"/>
          <w:sz w:val="18"/>
          <w:szCs w:val="18"/>
          <w:rtl/>
        </w:rPr>
        <w:t xml:space="preserve">(ע"פ </w:t>
      </w:r>
      <w:r w:rsidRPr="001F7E39">
        <w:rPr>
          <w:rFonts w:cs="Arial" w:hint="cs"/>
          <w:b/>
          <w:bCs/>
          <w:sz w:val="18"/>
          <w:szCs w:val="18"/>
          <w:rtl/>
        </w:rPr>
        <w:t>התוספתא</w:t>
      </w:r>
      <w:r w:rsidRPr="001F7E39">
        <w:rPr>
          <w:rFonts w:cs="Arial" w:hint="cs"/>
          <w:sz w:val="18"/>
          <w:szCs w:val="18"/>
          <w:rtl/>
        </w:rPr>
        <w:t xml:space="preserve">) </w:t>
      </w:r>
      <w:r>
        <w:rPr>
          <w:rFonts w:cs="Arial"/>
          <w:sz w:val="20"/>
          <w:szCs w:val="20"/>
          <w:rtl/>
        </w:rPr>
        <w:t>–</w:t>
      </w:r>
      <w:r>
        <w:rPr>
          <w:rFonts w:cs="Arial" w:hint="cs"/>
          <w:sz w:val="20"/>
          <w:szCs w:val="20"/>
          <w:rtl/>
        </w:rPr>
        <w:t xml:space="preserve"> "</w:t>
      </w:r>
      <w:r w:rsidRPr="001F7E39">
        <w:rPr>
          <w:rFonts w:cs="Arial"/>
          <w:sz w:val="20"/>
          <w:szCs w:val="20"/>
          <w:rtl/>
        </w:rPr>
        <w:t>הכופת ידיו ורגליו וישב לו באמת המים אם נכנסו מים דרך כולו טהור</w:t>
      </w:r>
      <w:r>
        <w:rPr>
          <w:rFonts w:cs="Arial" w:hint="cs"/>
          <w:sz w:val="20"/>
          <w:szCs w:val="20"/>
          <w:rtl/>
        </w:rPr>
        <w:t>".</w:t>
      </w:r>
      <w:r w:rsidRPr="001F7E39">
        <w:rPr>
          <w:rFonts w:cs="Arial"/>
          <w:sz w:val="20"/>
          <w:szCs w:val="20"/>
          <w:rtl/>
        </w:rPr>
        <w:t xml:space="preserve"> </w:t>
      </w:r>
      <w:r>
        <w:rPr>
          <w:rFonts w:cs="Arial" w:hint="cs"/>
          <w:sz w:val="20"/>
          <w:szCs w:val="20"/>
          <w:rtl/>
        </w:rPr>
        <w:br/>
      </w:r>
      <w:r w:rsidRPr="001F7E39">
        <w:rPr>
          <w:rFonts w:cs="Arial" w:hint="cs"/>
          <w:b/>
          <w:bCs/>
          <w:sz w:val="20"/>
          <w:szCs w:val="20"/>
          <w:rtl/>
        </w:rPr>
        <w:lastRenderedPageBreak/>
        <w:t>בית יוסף</w:t>
      </w:r>
      <w:r>
        <w:rPr>
          <w:rFonts w:cs="Arial" w:hint="cs"/>
          <w:sz w:val="20"/>
          <w:szCs w:val="20"/>
          <w:rtl/>
        </w:rPr>
        <w:t xml:space="preserve"> </w:t>
      </w:r>
      <w:r>
        <w:rPr>
          <w:rFonts w:cs="Arial"/>
          <w:sz w:val="20"/>
          <w:szCs w:val="20"/>
          <w:rtl/>
        </w:rPr>
        <w:t>–</w:t>
      </w:r>
      <w:r>
        <w:rPr>
          <w:rFonts w:cs="Arial" w:hint="cs"/>
          <w:sz w:val="20"/>
          <w:szCs w:val="20"/>
          <w:rtl/>
        </w:rPr>
        <w:t xml:space="preserve"> התוספתא קמ"ל שאע"פ שלא טבל כדרך גדילתו, בודקים אותו אם נכנסו מים בכל המקומות שהיו נכנסים אילו היה טובל כדרך גדילתו, טהור.</w:t>
      </w:r>
      <w:r>
        <w:rPr>
          <w:rStyle w:val="a5"/>
          <w:rFonts w:cs="Arial"/>
          <w:sz w:val="20"/>
          <w:szCs w:val="20"/>
          <w:rtl/>
        </w:rPr>
        <w:footnoteReference w:id="682"/>
      </w:r>
    </w:p>
    <w:p w:rsidR="00620060" w:rsidRDefault="00620060" w:rsidP="00620060">
      <w:pPr>
        <w:rPr>
          <w:sz w:val="20"/>
          <w:szCs w:val="20"/>
          <w:rtl/>
        </w:rPr>
      </w:pPr>
      <w:r w:rsidRPr="00295663">
        <w:rPr>
          <w:rFonts w:hint="cs"/>
          <w:b/>
          <w:bCs/>
          <w:sz w:val="20"/>
          <w:szCs w:val="20"/>
          <w:rtl/>
        </w:rPr>
        <w:t>סיכום</w:t>
      </w:r>
      <w:r>
        <w:rPr>
          <w:sz w:val="20"/>
          <w:szCs w:val="20"/>
          <w:rtl/>
        </w:rPr>
        <w:br/>
      </w:r>
      <w:r>
        <w:rPr>
          <w:rFonts w:hint="cs"/>
          <w:sz w:val="20"/>
          <w:szCs w:val="20"/>
          <w:rtl/>
        </w:rPr>
        <w:t xml:space="preserve">1. </w:t>
      </w:r>
      <w:r w:rsidRPr="001B4FF0">
        <w:rPr>
          <w:rFonts w:hint="cs"/>
          <w:b/>
          <w:bCs/>
          <w:sz w:val="20"/>
          <w:szCs w:val="20"/>
          <w:rtl/>
        </w:rPr>
        <w:t>גמרא</w:t>
      </w:r>
      <w:r>
        <w:rPr>
          <w:rFonts w:hint="cs"/>
          <w:sz w:val="20"/>
          <w:szCs w:val="20"/>
          <w:rtl/>
        </w:rPr>
        <w:t>. תטבול כדרך הילוכה, לא כשהיא מכווצת ולא כשהיא זקופה, ומה שאינו גלוי הוי בית הסתרים.</w:t>
      </w:r>
      <w:r>
        <w:rPr>
          <w:rFonts w:hint="cs"/>
          <w:sz w:val="20"/>
          <w:szCs w:val="20"/>
          <w:rtl/>
        </w:rPr>
        <w:br/>
        <w:t xml:space="preserve">2. </w:t>
      </w:r>
      <w:r w:rsidRPr="001B4FF0">
        <w:rPr>
          <w:rFonts w:hint="cs"/>
          <w:b/>
          <w:bCs/>
          <w:sz w:val="20"/>
          <w:szCs w:val="20"/>
          <w:rtl/>
        </w:rPr>
        <w:t>משנה</w:t>
      </w:r>
      <w:r>
        <w:rPr>
          <w:rFonts w:hint="cs"/>
          <w:sz w:val="20"/>
          <w:szCs w:val="20"/>
          <w:rtl/>
        </w:rPr>
        <w:t>. האשה נראית כאורגת ביד ימין, כמניקה וכעורכת.</w:t>
      </w:r>
      <w:r>
        <w:rPr>
          <w:sz w:val="20"/>
          <w:szCs w:val="20"/>
          <w:rtl/>
        </w:rPr>
        <w:br/>
      </w:r>
      <w:r>
        <w:rPr>
          <w:rFonts w:hint="cs"/>
          <w:sz w:val="20"/>
          <w:szCs w:val="20"/>
          <w:rtl/>
        </w:rPr>
        <w:t>3. אורגת. לבית השחי. מניקה. למקום הערווה או הדד. כעורכת. להרחיב ירכותיה מעט וכן להגביה זרועותיה.</w:t>
      </w:r>
      <w:r>
        <w:rPr>
          <w:sz w:val="20"/>
          <w:szCs w:val="20"/>
          <w:rtl/>
        </w:rPr>
        <w:br/>
      </w:r>
      <w:r>
        <w:rPr>
          <w:rFonts w:hint="cs"/>
          <w:sz w:val="20"/>
          <w:szCs w:val="20"/>
          <w:rtl/>
        </w:rPr>
        <w:t xml:space="preserve">4. </w:t>
      </w:r>
      <w:r w:rsidRPr="001B4FF0">
        <w:rPr>
          <w:rFonts w:hint="cs"/>
          <w:b/>
          <w:bCs/>
          <w:sz w:val="20"/>
          <w:szCs w:val="20"/>
          <w:rtl/>
        </w:rPr>
        <w:t>ב"י</w:t>
      </w:r>
      <w:r>
        <w:rPr>
          <w:rFonts w:hint="cs"/>
          <w:sz w:val="20"/>
          <w:szCs w:val="20"/>
          <w:rtl/>
        </w:rPr>
        <w:t xml:space="preserve">. </w:t>
      </w:r>
      <w:r w:rsidRPr="00986B41">
        <w:rPr>
          <w:rFonts w:hint="cs"/>
          <w:b/>
          <w:bCs/>
          <w:sz w:val="20"/>
          <w:szCs w:val="20"/>
          <w:rtl/>
        </w:rPr>
        <w:t>גמרא</w:t>
      </w:r>
      <w:r>
        <w:rPr>
          <w:rFonts w:hint="cs"/>
          <w:sz w:val="20"/>
          <w:szCs w:val="20"/>
          <w:rtl/>
        </w:rPr>
        <w:t xml:space="preserve">. דרך הילוכה. </w:t>
      </w:r>
      <w:r w:rsidRPr="00986B41">
        <w:rPr>
          <w:rFonts w:hint="cs"/>
          <w:b/>
          <w:bCs/>
          <w:sz w:val="20"/>
          <w:szCs w:val="20"/>
          <w:rtl/>
        </w:rPr>
        <w:t>משנה</w:t>
      </w:r>
      <w:r>
        <w:rPr>
          <w:rFonts w:hint="cs"/>
          <w:sz w:val="20"/>
          <w:szCs w:val="20"/>
          <w:rtl/>
        </w:rPr>
        <w:t xml:space="preserve">. תגביה. קשה. י"ל. אין צריך להגביה אלא להרחיק מעט מהגוף. </w:t>
      </w:r>
      <w:r>
        <w:rPr>
          <w:rFonts w:hint="cs"/>
          <w:sz w:val="20"/>
          <w:szCs w:val="20"/>
          <w:rtl/>
        </w:rPr>
        <w:br/>
        <w:t xml:space="preserve">5. </w:t>
      </w:r>
      <w:r w:rsidRPr="001B4FF0">
        <w:rPr>
          <w:rFonts w:hint="cs"/>
          <w:b/>
          <w:bCs/>
          <w:sz w:val="20"/>
          <w:szCs w:val="20"/>
          <w:rtl/>
        </w:rPr>
        <w:t>ב"י</w:t>
      </w:r>
      <w:r>
        <w:rPr>
          <w:rFonts w:hint="cs"/>
          <w:sz w:val="20"/>
          <w:szCs w:val="20"/>
          <w:rtl/>
        </w:rPr>
        <w:t xml:space="preserve">. אע"פ שבמשנה נאמר כאורגת ליד ימין, הוא הדין ליד שמאל. ומטעם זה נקט </w:t>
      </w:r>
      <w:r w:rsidRPr="00986B41">
        <w:rPr>
          <w:rFonts w:hint="cs"/>
          <w:b/>
          <w:bCs/>
          <w:sz w:val="20"/>
          <w:szCs w:val="20"/>
          <w:rtl/>
        </w:rPr>
        <w:t xml:space="preserve">הטור </w:t>
      </w:r>
      <w:r>
        <w:rPr>
          <w:rFonts w:hint="cs"/>
          <w:sz w:val="20"/>
          <w:szCs w:val="20"/>
          <w:rtl/>
        </w:rPr>
        <w:t>שיעור 'מוסקת'.</w:t>
      </w:r>
      <w:r>
        <w:rPr>
          <w:sz w:val="20"/>
          <w:szCs w:val="20"/>
          <w:rtl/>
        </w:rPr>
        <w:br/>
      </w:r>
      <w:r>
        <w:rPr>
          <w:rFonts w:hint="cs"/>
          <w:sz w:val="20"/>
          <w:szCs w:val="20"/>
          <w:rtl/>
        </w:rPr>
        <w:t>6. טבלה שלא כדרך גדילתה בדיעבד, האם עלתה לה טבילה?</w:t>
      </w:r>
      <w:r w:rsidRPr="00782C72">
        <w:rPr>
          <w:rFonts w:hint="cs"/>
          <w:sz w:val="20"/>
          <w:szCs w:val="20"/>
          <w:rtl/>
        </w:rPr>
        <w:t xml:space="preserve"> </w:t>
      </w:r>
      <w:r w:rsidRPr="001B4FF0">
        <w:rPr>
          <w:rFonts w:hint="cs"/>
          <w:b/>
          <w:bCs/>
          <w:sz w:val="20"/>
          <w:szCs w:val="20"/>
          <w:rtl/>
        </w:rPr>
        <w:t>ראב"ד</w:t>
      </w:r>
      <w:r>
        <w:rPr>
          <w:rFonts w:hint="cs"/>
          <w:sz w:val="20"/>
          <w:szCs w:val="20"/>
          <w:rtl/>
        </w:rPr>
        <w:t xml:space="preserve">. לא. </w:t>
      </w:r>
      <w:r w:rsidRPr="001B4FF0">
        <w:rPr>
          <w:rFonts w:hint="cs"/>
          <w:b/>
          <w:bCs/>
          <w:sz w:val="20"/>
          <w:szCs w:val="20"/>
          <w:rtl/>
        </w:rPr>
        <w:t>סמ"ג</w:t>
      </w:r>
      <w:r>
        <w:rPr>
          <w:rFonts w:hint="cs"/>
          <w:sz w:val="20"/>
          <w:szCs w:val="20"/>
          <w:rtl/>
        </w:rPr>
        <w:t xml:space="preserve">. אפילו לכתחילה. </w:t>
      </w:r>
      <w:r>
        <w:rPr>
          <w:rFonts w:hint="cs"/>
          <w:sz w:val="20"/>
          <w:szCs w:val="20"/>
          <w:rtl/>
        </w:rPr>
        <w:br/>
        <w:t xml:space="preserve">7. </w:t>
      </w:r>
      <w:r w:rsidRPr="001B4FF0">
        <w:rPr>
          <w:rFonts w:hint="cs"/>
          <w:b/>
          <w:bCs/>
          <w:sz w:val="20"/>
          <w:szCs w:val="20"/>
          <w:rtl/>
        </w:rPr>
        <w:t>מחבר</w:t>
      </w:r>
      <w:r>
        <w:rPr>
          <w:rFonts w:hint="cs"/>
          <w:sz w:val="20"/>
          <w:szCs w:val="20"/>
          <w:rtl/>
        </w:rPr>
        <w:t>. בדיעבד עלתה לה טבילה.</w:t>
      </w:r>
      <w:r>
        <w:rPr>
          <w:sz w:val="20"/>
          <w:szCs w:val="20"/>
          <w:rtl/>
        </w:rPr>
        <w:br/>
      </w:r>
      <w:r>
        <w:rPr>
          <w:rFonts w:hint="cs"/>
          <w:sz w:val="20"/>
          <w:szCs w:val="20"/>
          <w:rtl/>
        </w:rPr>
        <w:t xml:space="preserve">8. </w:t>
      </w:r>
      <w:r w:rsidRPr="001B4FF0">
        <w:rPr>
          <w:rFonts w:hint="cs"/>
          <w:b/>
          <w:bCs/>
          <w:sz w:val="20"/>
          <w:szCs w:val="20"/>
          <w:rtl/>
        </w:rPr>
        <w:t>ט"ז</w:t>
      </w:r>
      <w:r>
        <w:rPr>
          <w:rFonts w:hint="cs"/>
          <w:sz w:val="20"/>
          <w:szCs w:val="20"/>
          <w:rtl/>
        </w:rPr>
        <w:t xml:space="preserve">. קשה על הפוסלים בדיעבד, הרי המים מקדמים. י"ל. שמא יידבקו קמטים במקום גבוה מהמים ובהם אין המים מקדמים. ולפי"ז טוב לכל טובלת להיכנס עד צווארה במים ואח"כ לטבול. </w:t>
      </w:r>
      <w:r w:rsidRPr="001B4FF0">
        <w:rPr>
          <w:rFonts w:hint="cs"/>
          <w:b/>
          <w:bCs/>
          <w:sz w:val="20"/>
          <w:szCs w:val="20"/>
          <w:rtl/>
        </w:rPr>
        <w:t>נקה"כ</w:t>
      </w:r>
      <w:r>
        <w:rPr>
          <w:rFonts w:hint="cs"/>
          <w:sz w:val="20"/>
          <w:szCs w:val="20"/>
          <w:rtl/>
        </w:rPr>
        <w:t>. לא קשה, פוסלים בדיעבד משום שהקמטים מהודקים מאוד.</w:t>
      </w:r>
      <w:r>
        <w:rPr>
          <w:sz w:val="20"/>
          <w:szCs w:val="20"/>
          <w:rtl/>
        </w:rPr>
        <w:br/>
      </w:r>
      <w:r>
        <w:rPr>
          <w:rFonts w:hint="cs"/>
          <w:sz w:val="20"/>
          <w:szCs w:val="20"/>
          <w:rtl/>
        </w:rPr>
        <w:t xml:space="preserve">9. </w:t>
      </w:r>
      <w:r w:rsidRPr="007F6D17">
        <w:rPr>
          <w:rFonts w:hint="cs"/>
          <w:b/>
          <w:bCs/>
          <w:sz w:val="20"/>
          <w:szCs w:val="20"/>
          <w:rtl/>
        </w:rPr>
        <w:t>ש"ך</w:t>
      </w:r>
      <w:r>
        <w:rPr>
          <w:rFonts w:hint="cs"/>
          <w:sz w:val="20"/>
          <w:szCs w:val="20"/>
          <w:rtl/>
        </w:rPr>
        <w:t>. תמוה מדוע המחבר הקל בדיעבד, הרי הוא פסק את כל דיני חציצה שבאותה סוגייה, וצ"ע.</w:t>
      </w:r>
      <w:r>
        <w:rPr>
          <w:sz w:val="20"/>
          <w:szCs w:val="20"/>
          <w:rtl/>
        </w:rPr>
        <w:br/>
      </w:r>
      <w:r>
        <w:rPr>
          <w:rFonts w:hint="cs"/>
          <w:sz w:val="20"/>
          <w:szCs w:val="20"/>
          <w:rtl/>
        </w:rPr>
        <w:t xml:space="preserve">10. </w:t>
      </w:r>
      <w:r w:rsidRPr="007F6D17">
        <w:rPr>
          <w:rFonts w:hint="cs"/>
          <w:b/>
          <w:bCs/>
          <w:sz w:val="20"/>
          <w:szCs w:val="20"/>
          <w:rtl/>
        </w:rPr>
        <w:t>רמב"ם</w:t>
      </w:r>
      <w:r>
        <w:rPr>
          <w:rFonts w:hint="cs"/>
          <w:sz w:val="20"/>
          <w:szCs w:val="20"/>
          <w:rtl/>
        </w:rPr>
        <w:t>. טבילה בישיבה מהני רק אם המים הגיעו לכל מקום שהיו מגיעים אם היתה טובלת כדין.</w:t>
      </w:r>
    </w:p>
    <w:p w:rsidR="00620060" w:rsidRDefault="00620060" w:rsidP="00620060">
      <w:pPr>
        <w:rPr>
          <w:sz w:val="20"/>
          <w:szCs w:val="20"/>
          <w:rtl/>
        </w:rPr>
      </w:pPr>
      <w:r>
        <w:rPr>
          <w:sz w:val="20"/>
          <w:szCs w:val="20"/>
          <w:rtl/>
        </w:rPr>
        <w:br/>
      </w:r>
      <w:r>
        <w:rPr>
          <w:rFonts w:hint="cs"/>
          <w:b/>
          <w:bCs/>
          <w:sz w:val="20"/>
          <w:szCs w:val="20"/>
          <w:rtl/>
        </w:rPr>
        <w:t xml:space="preserve">סעיף לו </w:t>
      </w:r>
      <w:r>
        <w:rPr>
          <w:b/>
          <w:bCs/>
          <w:sz w:val="20"/>
          <w:szCs w:val="20"/>
          <w:rtl/>
        </w:rPr>
        <w:t>–</w:t>
      </w:r>
      <w:r>
        <w:rPr>
          <w:rFonts w:hint="cs"/>
          <w:b/>
          <w:bCs/>
          <w:sz w:val="20"/>
          <w:szCs w:val="20"/>
          <w:rtl/>
        </w:rPr>
        <w:t xml:space="preserve"> גובה מי המקווה</w:t>
      </w:r>
      <w:r>
        <w:rPr>
          <w:b/>
          <w:b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AA732C">
        <w:rPr>
          <w:rFonts w:cs="Arial"/>
          <w:sz w:val="20"/>
          <w:szCs w:val="20"/>
          <w:rtl/>
        </w:rPr>
        <w:t>צריך שיהיה המק</w:t>
      </w:r>
      <w:r>
        <w:rPr>
          <w:rFonts w:cs="Arial"/>
          <w:sz w:val="20"/>
          <w:szCs w:val="20"/>
          <w:rtl/>
        </w:rPr>
        <w:t>ו</w:t>
      </w:r>
      <w:r>
        <w:rPr>
          <w:rFonts w:cs="Arial" w:hint="cs"/>
          <w:sz w:val="20"/>
          <w:szCs w:val="20"/>
          <w:rtl/>
        </w:rPr>
        <w:t>ו</w:t>
      </w:r>
      <w:r>
        <w:rPr>
          <w:rFonts w:cs="Arial"/>
          <w:sz w:val="20"/>
          <w:szCs w:val="20"/>
          <w:rtl/>
        </w:rPr>
        <w:t>ה גבוה ממעל לטיבורה זרת, לפחות</w:t>
      </w:r>
      <w:r>
        <w:rPr>
          <w:rFonts w:cs="Arial" w:hint="cs"/>
          <w:sz w:val="20"/>
          <w:szCs w:val="20"/>
          <w:rtl/>
        </w:rPr>
        <w:t>".</w:t>
      </w:r>
      <w:r>
        <w:rPr>
          <w:rFonts w:cs="Arial"/>
          <w:sz w:val="20"/>
          <w:szCs w:val="20"/>
          <w:rtl/>
        </w:rPr>
        <w:br/>
      </w:r>
      <w:r w:rsidRPr="00AA732C">
        <w:rPr>
          <w:rFonts w:cs="Arial" w:hint="cs"/>
          <w:b/>
          <w:bCs/>
          <w:sz w:val="20"/>
          <w:szCs w:val="20"/>
          <w:rtl/>
        </w:rPr>
        <w:t>טעם</w:t>
      </w:r>
      <w:r>
        <w:rPr>
          <w:rFonts w:cs="Arial" w:hint="cs"/>
          <w:sz w:val="20"/>
          <w:szCs w:val="20"/>
          <w:rtl/>
        </w:rPr>
        <w:t xml:space="preserve"> </w:t>
      </w:r>
      <w:r>
        <w:rPr>
          <w:rFonts w:cs="Arial"/>
          <w:sz w:val="20"/>
          <w:szCs w:val="20"/>
          <w:rtl/>
        </w:rPr>
        <w:t>–</w:t>
      </w:r>
      <w:r>
        <w:rPr>
          <w:rFonts w:cs="Arial" w:hint="cs"/>
          <w:sz w:val="20"/>
          <w:szCs w:val="20"/>
          <w:rtl/>
        </w:rPr>
        <w:t xml:space="preserve"> אם המקווה נמוך משיעור זה תצטרך לשחות הרבה, וקיי"ל שצריכה לטבול כדך גדילתה, </w:t>
      </w:r>
      <w:r w:rsidRPr="00AA732C">
        <w:rPr>
          <w:rFonts w:cs="Arial" w:hint="cs"/>
          <w:b/>
          <w:bCs/>
          <w:sz w:val="20"/>
          <w:szCs w:val="20"/>
          <w:rtl/>
        </w:rPr>
        <w:t>גר"א</w:t>
      </w:r>
      <w:r>
        <w:rPr>
          <w:rFonts w:cs="Arial" w:hint="cs"/>
          <w:sz w:val="20"/>
          <w:szCs w:val="20"/>
          <w:rtl/>
        </w:rPr>
        <w:t>.</w:t>
      </w:r>
    </w:p>
    <w:p w:rsidR="00620060" w:rsidRPr="00B5192A" w:rsidRDefault="00620060" w:rsidP="00620060">
      <w:pPr>
        <w:rPr>
          <w:sz w:val="20"/>
          <w:szCs w:val="20"/>
          <w:rtl/>
        </w:rPr>
      </w:pPr>
      <w:r>
        <w:rPr>
          <w:rFonts w:hint="cs"/>
          <w:sz w:val="20"/>
          <w:szCs w:val="20"/>
          <w:u w:val="single"/>
          <w:rtl/>
        </w:rPr>
        <w:t>שיעור זרת</w:t>
      </w:r>
      <w:r>
        <w:rPr>
          <w:sz w:val="20"/>
          <w:szCs w:val="20"/>
          <w:u w:val="single"/>
          <w:rtl/>
        </w:rPr>
        <w:br/>
      </w:r>
      <w:r w:rsidRPr="00B5192A">
        <w:rPr>
          <w:rFonts w:hint="cs"/>
          <w:b/>
          <w:bCs/>
          <w:sz w:val="20"/>
          <w:szCs w:val="20"/>
          <w:rtl/>
        </w:rPr>
        <w:t>באר הגולה</w:t>
      </w:r>
      <w:r>
        <w:rPr>
          <w:rFonts w:hint="cs"/>
          <w:sz w:val="20"/>
          <w:szCs w:val="20"/>
          <w:rtl/>
        </w:rPr>
        <w:t xml:space="preserve"> </w:t>
      </w:r>
      <w:r>
        <w:rPr>
          <w:sz w:val="20"/>
          <w:szCs w:val="20"/>
          <w:rtl/>
        </w:rPr>
        <w:t>–</w:t>
      </w:r>
      <w:r>
        <w:rPr>
          <w:rFonts w:hint="cs"/>
          <w:sz w:val="20"/>
          <w:szCs w:val="20"/>
          <w:rtl/>
        </w:rPr>
        <w:t xml:space="preserve"> שיעור זרת הוא חצי אמה של שישה טפחים.</w:t>
      </w:r>
      <w:r>
        <w:rPr>
          <w:rStyle w:val="a5"/>
          <w:sz w:val="20"/>
          <w:szCs w:val="20"/>
          <w:rtl/>
        </w:rPr>
        <w:footnoteReference w:id="683"/>
      </w:r>
    </w:p>
    <w:p w:rsidR="00620060" w:rsidRDefault="00620060" w:rsidP="00620060">
      <w:pPr>
        <w:rPr>
          <w:sz w:val="20"/>
          <w:szCs w:val="20"/>
          <w:rtl/>
        </w:rPr>
      </w:pPr>
      <w:r>
        <w:rPr>
          <w:rFonts w:hint="cs"/>
          <w:sz w:val="20"/>
          <w:szCs w:val="20"/>
          <w:u w:val="single"/>
          <w:rtl/>
        </w:rPr>
        <w:t>הדין בדיעבד</w:t>
      </w:r>
      <w:r>
        <w:rPr>
          <w:sz w:val="20"/>
          <w:szCs w:val="20"/>
          <w:u w:val="single"/>
          <w:rtl/>
        </w:rPr>
        <w:br/>
      </w:r>
      <w:r w:rsidRPr="00FF5F84">
        <w:rPr>
          <w:rFonts w:hint="cs"/>
          <w:b/>
          <w:bCs/>
          <w:sz w:val="20"/>
          <w:szCs w:val="20"/>
          <w:rtl/>
        </w:rPr>
        <w:t>ש"ך</w:t>
      </w:r>
      <w:r>
        <w:rPr>
          <w:rFonts w:hint="cs"/>
          <w:sz w:val="20"/>
          <w:szCs w:val="20"/>
          <w:rtl/>
        </w:rPr>
        <w:t xml:space="preserve"> </w:t>
      </w:r>
      <w:r w:rsidRPr="00FF5F84">
        <w:rPr>
          <w:rFonts w:hint="cs"/>
          <w:sz w:val="18"/>
          <w:szCs w:val="18"/>
          <w:rtl/>
        </w:rPr>
        <w:t xml:space="preserve">(ע"פ </w:t>
      </w:r>
      <w:r w:rsidRPr="00FF5F84">
        <w:rPr>
          <w:rFonts w:hint="cs"/>
          <w:b/>
          <w:bCs/>
          <w:sz w:val="18"/>
          <w:szCs w:val="18"/>
          <w:rtl/>
        </w:rPr>
        <w:t>הפת"ש</w:t>
      </w:r>
      <w:r w:rsidRPr="00FF5F84">
        <w:rPr>
          <w:rFonts w:hint="cs"/>
          <w:sz w:val="18"/>
          <w:szCs w:val="18"/>
          <w:rtl/>
        </w:rPr>
        <w:t xml:space="preserve">) </w:t>
      </w:r>
      <w:r>
        <w:rPr>
          <w:sz w:val="20"/>
          <w:szCs w:val="20"/>
          <w:rtl/>
        </w:rPr>
        <w:t>–</w:t>
      </w:r>
      <w:r>
        <w:rPr>
          <w:rFonts w:hint="cs"/>
          <w:sz w:val="20"/>
          <w:szCs w:val="20"/>
          <w:rtl/>
        </w:rPr>
        <w:t xml:space="preserve"> קמטים מעכבים אפילו בדיעבד, ולכן אם אין שיעור זה יש לחשוש שטבילתה פסולה.</w:t>
      </w:r>
      <w:r>
        <w:rPr>
          <w:rFonts w:hint="cs"/>
          <w:sz w:val="20"/>
          <w:szCs w:val="20"/>
          <w:rtl/>
        </w:rPr>
        <w:br/>
      </w:r>
      <w:r>
        <w:rPr>
          <w:rFonts w:hint="cs"/>
          <w:sz w:val="20"/>
          <w:szCs w:val="20"/>
          <w:rtl/>
        </w:rPr>
        <w:br/>
      </w:r>
      <w:r>
        <w:rPr>
          <w:sz w:val="20"/>
          <w:szCs w:val="20"/>
          <w:rtl/>
        </w:rPr>
        <w:br/>
      </w:r>
      <w:r>
        <w:rPr>
          <w:rFonts w:hint="cs"/>
          <w:b/>
          <w:bCs/>
          <w:sz w:val="20"/>
          <w:szCs w:val="20"/>
          <w:rtl/>
        </w:rPr>
        <w:t xml:space="preserve">סעיף לז </w:t>
      </w:r>
      <w:r>
        <w:rPr>
          <w:b/>
          <w:bCs/>
          <w:sz w:val="20"/>
          <w:szCs w:val="20"/>
          <w:rtl/>
        </w:rPr>
        <w:t>–</w:t>
      </w:r>
      <w:r>
        <w:rPr>
          <w:rFonts w:hint="cs"/>
          <w:b/>
          <w:bCs/>
          <w:sz w:val="20"/>
          <w:szCs w:val="20"/>
          <w:rtl/>
        </w:rPr>
        <w:t xml:space="preserve"> טבילה במקווה רדוד</w:t>
      </w:r>
      <w:r>
        <w:rPr>
          <w:b/>
          <w:b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6E7940">
        <w:rPr>
          <w:rFonts w:cs="Arial"/>
          <w:sz w:val="20"/>
          <w:szCs w:val="20"/>
          <w:rtl/>
        </w:rPr>
        <w:t>יש מי שאומר שא</w:t>
      </w:r>
      <w:r>
        <w:rPr>
          <w:rFonts w:cs="Arial" w:hint="cs"/>
          <w:sz w:val="20"/>
          <w:szCs w:val="20"/>
          <w:rtl/>
        </w:rPr>
        <w:t xml:space="preserve">ף על פי </w:t>
      </w:r>
      <w:r w:rsidRPr="006E7940">
        <w:rPr>
          <w:rFonts w:cs="Arial"/>
          <w:sz w:val="20"/>
          <w:szCs w:val="20"/>
          <w:rtl/>
        </w:rPr>
        <w:t>שאין בגובה מי המק</w:t>
      </w:r>
      <w:r>
        <w:rPr>
          <w:rFonts w:cs="Arial" w:hint="cs"/>
          <w:sz w:val="20"/>
          <w:szCs w:val="20"/>
          <w:rtl/>
        </w:rPr>
        <w:t>ו</w:t>
      </w:r>
      <w:r w:rsidRPr="006E7940">
        <w:rPr>
          <w:rFonts w:cs="Arial"/>
          <w:sz w:val="20"/>
          <w:szCs w:val="20"/>
          <w:rtl/>
        </w:rPr>
        <w:t>וה לעלות בהם כל גופה אלא אם כן פניה וגופה כבושים בקרקע, שפיר דמי</w:t>
      </w:r>
      <w:r>
        <w:rPr>
          <w:rFonts w:cs="Arial" w:hint="cs"/>
          <w:sz w:val="20"/>
          <w:szCs w:val="20"/>
          <w:rtl/>
        </w:rPr>
        <w:t>".</w:t>
      </w:r>
      <w:r>
        <w:rPr>
          <w:rStyle w:val="a5"/>
          <w:sz w:val="20"/>
          <w:szCs w:val="20"/>
        </w:rPr>
        <w:footnoteReference w:id="684"/>
      </w:r>
    </w:p>
    <w:p w:rsidR="00620060" w:rsidRPr="00240452" w:rsidRDefault="00620060" w:rsidP="00620060">
      <w:pPr>
        <w:rPr>
          <w:sz w:val="20"/>
          <w:szCs w:val="20"/>
          <w:rtl/>
        </w:rPr>
      </w:pPr>
      <w:r>
        <w:rPr>
          <w:rFonts w:hint="cs"/>
          <w:sz w:val="20"/>
          <w:szCs w:val="20"/>
          <w:u w:val="single"/>
          <w:rtl/>
        </w:rPr>
        <w:t>דין לכתחילה</w:t>
      </w:r>
      <w:r>
        <w:rPr>
          <w:sz w:val="20"/>
          <w:szCs w:val="20"/>
          <w:u w:val="single"/>
          <w:rtl/>
        </w:rPr>
        <w:br/>
      </w:r>
      <w:r w:rsidRPr="00240452">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לכתחילה אין לסמוך על כך שהטובלת תשכב במים ויבואו בה בכל גופה, שמא לא תפשט את גופה יפה ובחלק מגופה לא יבואו מים.</w:t>
      </w:r>
    </w:p>
    <w:p w:rsidR="00620060" w:rsidRDefault="00620060" w:rsidP="00620060">
      <w:pPr>
        <w:rPr>
          <w:sz w:val="20"/>
          <w:szCs w:val="20"/>
          <w:rtl/>
        </w:rPr>
      </w:pPr>
      <w:r>
        <w:rPr>
          <w:sz w:val="20"/>
          <w:szCs w:val="20"/>
          <w:rtl/>
        </w:rPr>
        <w:br/>
      </w:r>
      <w:r>
        <w:rPr>
          <w:rFonts w:hint="cs"/>
          <w:b/>
          <w:bCs/>
          <w:sz w:val="20"/>
          <w:szCs w:val="20"/>
          <w:rtl/>
        </w:rPr>
        <w:t xml:space="preserve">סעיף לח </w:t>
      </w:r>
      <w:r>
        <w:rPr>
          <w:b/>
          <w:bCs/>
          <w:sz w:val="20"/>
          <w:szCs w:val="20"/>
          <w:rtl/>
        </w:rPr>
        <w:t>–</w:t>
      </w:r>
      <w:r>
        <w:rPr>
          <w:rFonts w:hint="cs"/>
          <w:b/>
          <w:bCs/>
          <w:sz w:val="20"/>
          <w:szCs w:val="20"/>
          <w:rtl/>
        </w:rPr>
        <w:t xml:space="preserve"> צורת הפה בשעת הטבילה</w:t>
      </w:r>
      <w:r>
        <w:rPr>
          <w:b/>
          <w:bCs/>
          <w:sz w:val="20"/>
          <w:szCs w:val="20"/>
          <w:rtl/>
        </w:rPr>
        <w:br/>
      </w:r>
      <w:r>
        <w:rPr>
          <w:rFonts w:hint="cs"/>
          <w:b/>
          <w:bCs/>
          <w:sz w:val="20"/>
          <w:szCs w:val="20"/>
          <w:rtl/>
        </w:rPr>
        <w:t>מקורות הדין</w:t>
      </w:r>
      <w:r>
        <w:rPr>
          <w:b/>
          <w:bCs/>
          <w:sz w:val="20"/>
          <w:szCs w:val="20"/>
          <w:rtl/>
        </w:rPr>
        <w:br/>
      </w:r>
      <w:r>
        <w:rPr>
          <w:rFonts w:hint="cs"/>
          <w:sz w:val="20"/>
          <w:szCs w:val="20"/>
          <w:rtl/>
        </w:rPr>
        <w:t xml:space="preserve">א. </w:t>
      </w:r>
      <w:r w:rsidRPr="00C70EA8">
        <w:rPr>
          <w:rFonts w:hint="cs"/>
          <w:b/>
          <w:bCs/>
          <w:sz w:val="20"/>
          <w:szCs w:val="20"/>
          <w:rtl/>
        </w:rPr>
        <w:t xml:space="preserve">גמרא </w:t>
      </w:r>
      <w:r>
        <w:rPr>
          <w:rFonts w:hint="cs"/>
          <w:sz w:val="20"/>
          <w:szCs w:val="20"/>
          <w:rtl/>
        </w:rPr>
        <w:t>קידושין (כה.) "</w:t>
      </w:r>
      <w:r w:rsidRPr="00C70EA8">
        <w:rPr>
          <w:rFonts w:cs="Arial"/>
          <w:sz w:val="20"/>
          <w:szCs w:val="20"/>
          <w:rtl/>
        </w:rPr>
        <w:t>אמר עולא: הכל מודים בלשון לענין טבילה - כטמון דמי</w:t>
      </w:r>
      <w:r>
        <w:rPr>
          <w:rFonts w:cs="Arial" w:hint="cs"/>
          <w:sz w:val="20"/>
          <w:szCs w:val="20"/>
          <w:rtl/>
        </w:rPr>
        <w:t xml:space="preserve"> </w:t>
      </w:r>
      <w:r w:rsidRPr="00C70EA8">
        <w:rPr>
          <w:rFonts w:cs="Arial" w:hint="cs"/>
          <w:sz w:val="18"/>
          <w:szCs w:val="18"/>
          <w:rtl/>
        </w:rPr>
        <w:t>(רש"י - ואין צריך ביאת מים בתוך הפה)</w:t>
      </w:r>
      <w:r w:rsidRPr="00C70EA8">
        <w:rPr>
          <w:rFonts w:cs="Arial"/>
          <w:sz w:val="20"/>
          <w:szCs w:val="20"/>
          <w:rtl/>
        </w:rPr>
        <w:t>, מ</w:t>
      </w:r>
      <w:r>
        <w:rPr>
          <w:rFonts w:cs="Arial" w:hint="cs"/>
          <w:sz w:val="20"/>
          <w:szCs w:val="20"/>
          <w:rtl/>
        </w:rPr>
        <w:t>אי טעמא</w:t>
      </w:r>
      <w:r w:rsidRPr="00C70EA8">
        <w:rPr>
          <w:rFonts w:cs="Arial"/>
          <w:sz w:val="20"/>
          <w:szCs w:val="20"/>
          <w:rtl/>
        </w:rPr>
        <w:t>? ורחץ בשרו במים אמר רחמנא, מה בשרו מאבראי אף כל מאבראי</w:t>
      </w:r>
      <w:r>
        <w:rPr>
          <w:rFonts w:cs="Arial" w:hint="cs"/>
          <w:sz w:val="20"/>
          <w:szCs w:val="20"/>
          <w:rtl/>
        </w:rPr>
        <w:t>".</w:t>
      </w:r>
      <w:r>
        <w:rPr>
          <w:rFonts w:hint="cs"/>
          <w:sz w:val="20"/>
          <w:szCs w:val="20"/>
          <w:rtl/>
        </w:rPr>
        <w:br/>
      </w:r>
      <w:r>
        <w:rPr>
          <w:rFonts w:hint="cs"/>
          <w:sz w:val="20"/>
          <w:szCs w:val="20"/>
          <w:rtl/>
        </w:rPr>
        <w:lastRenderedPageBreak/>
        <w:t xml:space="preserve">ב. </w:t>
      </w:r>
      <w:r w:rsidRPr="006C48AF">
        <w:rPr>
          <w:rFonts w:hint="cs"/>
          <w:b/>
          <w:bCs/>
          <w:sz w:val="20"/>
          <w:szCs w:val="20"/>
          <w:rtl/>
        </w:rPr>
        <w:t xml:space="preserve">משנה </w:t>
      </w:r>
      <w:r>
        <w:rPr>
          <w:rFonts w:hint="cs"/>
          <w:sz w:val="20"/>
          <w:szCs w:val="20"/>
          <w:rtl/>
        </w:rPr>
        <w:t>מקוואות (ח, ה) "</w:t>
      </w:r>
      <w:r w:rsidRPr="006C48AF">
        <w:rPr>
          <w:rFonts w:cs="Arial"/>
          <w:sz w:val="20"/>
          <w:szCs w:val="20"/>
          <w:rtl/>
        </w:rPr>
        <w:t>קרצה שפתותיה כאילו לא טבלה</w:t>
      </w:r>
      <w:r>
        <w:rPr>
          <w:rFonts w:cs="Arial" w:hint="cs"/>
          <w:sz w:val="20"/>
          <w:szCs w:val="20"/>
          <w:rtl/>
        </w:rPr>
        <w:t>".</w:t>
      </w:r>
      <w:r>
        <w:rPr>
          <w:rFonts w:hint="cs"/>
          <w:sz w:val="20"/>
          <w:szCs w:val="20"/>
          <w:rtl/>
        </w:rPr>
        <w:br/>
      </w:r>
      <w:r w:rsidRPr="00E038DD">
        <w:rPr>
          <w:rFonts w:hint="cs"/>
          <w:b/>
          <w:bCs/>
          <w:sz w:val="20"/>
          <w:szCs w:val="20"/>
          <w:rtl/>
        </w:rPr>
        <w:t>רא"ש</w:t>
      </w:r>
      <w:r>
        <w:rPr>
          <w:rFonts w:hint="cs"/>
          <w:sz w:val="20"/>
          <w:szCs w:val="20"/>
          <w:rtl/>
        </w:rPr>
        <w:t xml:space="preserve"> </w:t>
      </w:r>
      <w:r>
        <w:rPr>
          <w:sz w:val="20"/>
          <w:szCs w:val="20"/>
          <w:rtl/>
        </w:rPr>
        <w:t>–</w:t>
      </w:r>
      <w:r>
        <w:rPr>
          <w:rFonts w:hint="cs"/>
          <w:sz w:val="20"/>
          <w:szCs w:val="20"/>
          <w:rtl/>
        </w:rPr>
        <w:t xml:space="preserve"> צריכה להדק את שפתיה בדיבוק בינוני.</w:t>
      </w:r>
      <w:r>
        <w:rPr>
          <w:rStyle w:val="a5"/>
          <w:sz w:val="20"/>
          <w:szCs w:val="20"/>
          <w:rtl/>
        </w:rPr>
        <w:footnoteReference w:id="685"/>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533122">
        <w:rPr>
          <w:rFonts w:cs="Arial"/>
          <w:sz w:val="20"/>
          <w:szCs w:val="20"/>
          <w:rtl/>
        </w:rPr>
        <w:t>אינה צריכה לפתוח פיה כדי שיכנסו בה המים, ולא תקפוץ אותה יותר מדאי; ואם קפצה, לא עלתה לה טבילה, אלא תשיק שפתותי</w:t>
      </w:r>
      <w:r>
        <w:rPr>
          <w:rFonts w:cs="Arial"/>
          <w:sz w:val="20"/>
          <w:szCs w:val="20"/>
          <w:rtl/>
        </w:rPr>
        <w:t>ה זו לזו דיבוק בינוני</w:t>
      </w:r>
      <w:r>
        <w:rPr>
          <w:rFonts w:cs="Arial" w:hint="cs"/>
          <w:sz w:val="20"/>
          <w:szCs w:val="20"/>
          <w:rtl/>
        </w:rPr>
        <w:t>".</w:t>
      </w:r>
    </w:p>
    <w:p w:rsidR="00620060" w:rsidRDefault="00620060" w:rsidP="00620060">
      <w:pPr>
        <w:rPr>
          <w:sz w:val="20"/>
          <w:szCs w:val="20"/>
          <w:rtl/>
        </w:rPr>
      </w:pPr>
      <w:r>
        <w:rPr>
          <w:sz w:val="20"/>
          <w:szCs w:val="20"/>
          <w:rtl/>
        </w:rPr>
        <w:br/>
      </w:r>
      <w:r>
        <w:rPr>
          <w:rFonts w:hint="cs"/>
          <w:b/>
          <w:bCs/>
          <w:sz w:val="20"/>
          <w:szCs w:val="20"/>
          <w:rtl/>
        </w:rPr>
        <w:t xml:space="preserve">סעיף לט </w:t>
      </w:r>
      <w:r>
        <w:rPr>
          <w:b/>
          <w:bCs/>
          <w:sz w:val="20"/>
          <w:szCs w:val="20"/>
          <w:rtl/>
        </w:rPr>
        <w:t>–</w:t>
      </w:r>
      <w:r>
        <w:rPr>
          <w:rFonts w:hint="cs"/>
          <w:b/>
          <w:bCs/>
          <w:sz w:val="20"/>
          <w:szCs w:val="20"/>
          <w:rtl/>
        </w:rPr>
        <w:t xml:space="preserve"> מצב העין בשעת הטבילה</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גמרא </w:t>
      </w:r>
      <w:r>
        <w:rPr>
          <w:rFonts w:hint="cs"/>
          <w:sz w:val="20"/>
          <w:szCs w:val="20"/>
          <w:rtl/>
        </w:rPr>
        <w:t>נידה (סז.) "</w:t>
      </w:r>
      <w:r>
        <w:rPr>
          <w:rFonts w:cs="Arial" w:hint="cs"/>
          <w:sz w:val="20"/>
          <w:szCs w:val="20"/>
          <w:rtl/>
        </w:rPr>
        <w:t xml:space="preserve">אמר רבי </w:t>
      </w:r>
      <w:r w:rsidRPr="00C708D3">
        <w:rPr>
          <w:rFonts w:cs="Arial"/>
          <w:sz w:val="20"/>
          <w:szCs w:val="20"/>
          <w:rtl/>
        </w:rPr>
        <w:t>יוחנן: פתחה עיניה ביותר, או עצמה</w:t>
      </w:r>
      <w:r>
        <w:rPr>
          <w:rFonts w:cs="Arial"/>
          <w:sz w:val="20"/>
          <w:szCs w:val="20"/>
          <w:rtl/>
        </w:rPr>
        <w:t xml:space="preserve"> עיניה ביותר - לא עלתה לה טבילה</w:t>
      </w:r>
      <w:r>
        <w:rPr>
          <w:rFonts w:cs="Arial" w:hint="cs"/>
          <w:sz w:val="20"/>
          <w:szCs w:val="20"/>
          <w:rtl/>
        </w:rPr>
        <w:t>".</w:t>
      </w:r>
      <w:r>
        <w:rPr>
          <w:rFonts w:hint="cs"/>
          <w:sz w:val="20"/>
          <w:szCs w:val="20"/>
          <w:rtl/>
        </w:rPr>
        <w:br/>
      </w:r>
      <w:r w:rsidRPr="00C708D3">
        <w:rPr>
          <w:rFonts w:hint="cs"/>
          <w:b/>
          <w:bCs/>
          <w:sz w:val="20"/>
          <w:szCs w:val="20"/>
          <w:rtl/>
        </w:rPr>
        <w:t>רש"י</w:t>
      </w:r>
      <w:r>
        <w:rPr>
          <w:rFonts w:hint="cs"/>
          <w:sz w:val="20"/>
          <w:szCs w:val="20"/>
          <w:rtl/>
        </w:rPr>
        <w:t xml:space="preserve"> </w:t>
      </w:r>
      <w:r>
        <w:rPr>
          <w:sz w:val="20"/>
          <w:szCs w:val="20"/>
          <w:rtl/>
        </w:rPr>
        <w:t>–</w:t>
      </w:r>
      <w:r>
        <w:rPr>
          <w:rFonts w:hint="cs"/>
          <w:sz w:val="20"/>
          <w:szCs w:val="20"/>
          <w:rtl/>
        </w:rPr>
        <w:t xml:space="preserve"> "</w:t>
      </w:r>
      <w:r w:rsidRPr="00C708D3">
        <w:rPr>
          <w:rFonts w:cs="Arial"/>
          <w:sz w:val="20"/>
          <w:szCs w:val="20"/>
          <w:rtl/>
        </w:rPr>
        <w:t>פתחה עיניה ביותר - הויא חציצה למעלה</w:t>
      </w:r>
      <w:r>
        <w:rPr>
          <w:rFonts w:cs="Arial" w:hint="cs"/>
          <w:sz w:val="20"/>
          <w:szCs w:val="20"/>
          <w:rtl/>
        </w:rPr>
        <w:t xml:space="preserve">; </w:t>
      </w:r>
      <w:r w:rsidRPr="00C708D3">
        <w:rPr>
          <w:rFonts w:cs="Arial"/>
          <w:sz w:val="20"/>
          <w:szCs w:val="20"/>
          <w:rtl/>
        </w:rPr>
        <w:t>עצמה עיניה ביותר - הויא חציצה למטה</w:t>
      </w:r>
      <w:r>
        <w:rPr>
          <w:rFonts w:cs="Arial" w:hint="cs"/>
          <w:sz w:val="20"/>
          <w:szCs w:val="20"/>
          <w:rtl/>
        </w:rPr>
        <w:t>"</w:t>
      </w:r>
      <w:r w:rsidRPr="00C708D3">
        <w:rPr>
          <w:rFonts w:cs="Arial"/>
          <w:sz w:val="20"/>
          <w:szCs w:val="20"/>
          <w:rtl/>
        </w:rPr>
        <w:t>.</w:t>
      </w:r>
    </w:p>
    <w:p w:rsidR="00620060" w:rsidRDefault="00620060" w:rsidP="00620060">
      <w:pPr>
        <w:rPr>
          <w:b/>
          <w:bCs/>
          <w:sz w:val="20"/>
          <w:szCs w:val="20"/>
          <w:rtl/>
        </w:rPr>
      </w:pPr>
      <w:r>
        <w:rPr>
          <w:rFonts w:hint="cs"/>
          <w:b/>
          <w:bCs/>
          <w:sz w:val="20"/>
          <w:szCs w:val="20"/>
          <w:rtl/>
        </w:rPr>
        <w:t>שיטות הראשונים</w:t>
      </w:r>
      <w:r w:rsidRPr="00C708D3">
        <w:rPr>
          <w:rStyle w:val="a5"/>
          <w:sz w:val="20"/>
          <w:szCs w:val="20"/>
          <w:rtl/>
        </w:rPr>
        <w:footnoteReference w:id="686"/>
      </w:r>
      <w:r>
        <w:rPr>
          <w:rFonts w:hint="cs"/>
          <w:b/>
          <w:bCs/>
          <w:sz w:val="20"/>
          <w:szCs w:val="20"/>
          <w:rtl/>
        </w:rPr>
        <w:br/>
      </w:r>
      <w:r>
        <w:rPr>
          <w:rFonts w:hint="cs"/>
          <w:sz w:val="20"/>
          <w:szCs w:val="20"/>
          <w:rtl/>
        </w:rPr>
        <w:t>מה הדין באשה שטבלה ועצמה או פתחה עיניה ביותר?</w:t>
      </w:r>
      <w:r>
        <w:rPr>
          <w:rFonts w:hint="cs"/>
          <w:sz w:val="20"/>
          <w:szCs w:val="20"/>
          <w:rtl/>
        </w:rPr>
        <w:br/>
        <w:t xml:space="preserve">א. </w:t>
      </w:r>
      <w:r w:rsidRPr="0039735D">
        <w:rPr>
          <w:rFonts w:hint="cs"/>
          <w:b/>
          <w:bCs/>
          <w:sz w:val="20"/>
          <w:szCs w:val="20"/>
          <w:rtl/>
        </w:rPr>
        <w:t>רש"י</w:t>
      </w:r>
      <w:r>
        <w:rPr>
          <w:rFonts w:hint="cs"/>
          <w:sz w:val="20"/>
          <w:szCs w:val="20"/>
          <w:rtl/>
        </w:rPr>
        <w:t xml:space="preserve"> </w:t>
      </w:r>
      <w:r>
        <w:rPr>
          <w:sz w:val="20"/>
          <w:szCs w:val="20"/>
          <w:rtl/>
        </w:rPr>
        <w:t>–</w:t>
      </w:r>
      <w:r>
        <w:rPr>
          <w:rFonts w:hint="cs"/>
          <w:sz w:val="20"/>
          <w:szCs w:val="20"/>
          <w:rtl/>
        </w:rPr>
        <w:t xml:space="preserve"> לא עלתה לה טבילה.</w:t>
      </w:r>
      <w:r>
        <w:rPr>
          <w:sz w:val="20"/>
          <w:szCs w:val="20"/>
          <w:rtl/>
        </w:rPr>
        <w:br/>
      </w:r>
      <w:r>
        <w:rPr>
          <w:rFonts w:hint="cs"/>
          <w:sz w:val="20"/>
          <w:szCs w:val="20"/>
          <w:rtl/>
        </w:rPr>
        <w:t xml:space="preserve">ב. </w:t>
      </w:r>
      <w:r w:rsidRPr="0039735D">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בדיעבד עלתה לה טבילה.</w:t>
      </w:r>
      <w:r>
        <w:rPr>
          <w:sz w:val="20"/>
          <w:szCs w:val="20"/>
          <w:rtl/>
        </w:rPr>
        <w:br/>
      </w:r>
      <w:r>
        <w:rPr>
          <w:rFonts w:hint="cs"/>
          <w:sz w:val="20"/>
          <w:szCs w:val="20"/>
          <w:rtl/>
        </w:rPr>
        <w:t>ומחלוקתם תלויה בגרסות, האם גורסים בסוף הסוגייה (סז.) "ולית הלכתא ככל הני שמעתתא".</w:t>
      </w:r>
      <w:r>
        <w:rPr>
          <w:sz w:val="20"/>
          <w:szCs w:val="20"/>
          <w:rtl/>
        </w:rPr>
        <w:br/>
      </w:r>
      <w:r w:rsidRPr="00C708D3">
        <w:rPr>
          <w:rFonts w:hint="cs"/>
          <w:b/>
          <w:bCs/>
          <w:sz w:val="20"/>
          <w:szCs w:val="20"/>
          <w:rtl/>
        </w:rPr>
        <w:t>רש"י</w:t>
      </w:r>
      <w:r>
        <w:rPr>
          <w:rFonts w:hint="cs"/>
          <w:sz w:val="20"/>
          <w:szCs w:val="20"/>
          <w:rtl/>
        </w:rPr>
        <w:t xml:space="preserve"> אינו גורס ולכן הלכה כרבי יוחנן אף לעכב, </w:t>
      </w:r>
      <w:r w:rsidRPr="00C708D3">
        <w:rPr>
          <w:rFonts w:hint="cs"/>
          <w:b/>
          <w:bCs/>
          <w:sz w:val="20"/>
          <w:szCs w:val="20"/>
          <w:rtl/>
        </w:rPr>
        <w:t>הרמב"ם</w:t>
      </w:r>
      <w:r>
        <w:rPr>
          <w:rFonts w:hint="cs"/>
          <w:sz w:val="20"/>
          <w:szCs w:val="20"/>
          <w:rtl/>
        </w:rPr>
        <w:t xml:space="preserve"> גורס ורק לטהרות מעכב, לבעלה הוי לכתחילה בלבד</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2E0E9D">
        <w:rPr>
          <w:rFonts w:cs="Arial"/>
          <w:sz w:val="20"/>
          <w:szCs w:val="20"/>
          <w:rtl/>
        </w:rPr>
        <w:t>לא תעצים עיניה ביותר ואל תפתחם ביותר, ואם עשתה כן יש אומרים שלא עלתה לה טבילה</w:t>
      </w:r>
      <w:r>
        <w:rPr>
          <w:rFonts w:cs="Arial" w:hint="cs"/>
          <w:sz w:val="20"/>
          <w:szCs w:val="20"/>
          <w:rtl/>
        </w:rPr>
        <w:t>".</w:t>
      </w:r>
    </w:p>
    <w:p w:rsidR="00620060" w:rsidRPr="00653501" w:rsidRDefault="00620060" w:rsidP="00620060">
      <w:pPr>
        <w:rPr>
          <w:sz w:val="20"/>
          <w:szCs w:val="20"/>
        </w:rPr>
      </w:pPr>
      <w:r>
        <w:rPr>
          <w:rFonts w:hint="cs"/>
          <w:sz w:val="20"/>
          <w:szCs w:val="20"/>
          <w:u w:val="single"/>
          <w:rtl/>
        </w:rPr>
        <w:t>חילוק בין קרצה שפתיה לעצמה עיניה</w:t>
      </w:r>
      <w:r>
        <w:rPr>
          <w:sz w:val="20"/>
          <w:szCs w:val="20"/>
          <w:u w:val="single"/>
          <w:rtl/>
        </w:rPr>
        <w:br/>
      </w:r>
      <w:r w:rsidRPr="00653501">
        <w:rPr>
          <w:rFonts w:hint="cs"/>
          <w:b/>
          <w:bCs/>
          <w:sz w:val="20"/>
          <w:szCs w:val="20"/>
          <w:rtl/>
        </w:rPr>
        <w:t>מעדני מלך</w:t>
      </w:r>
      <w:r>
        <w:rPr>
          <w:rFonts w:hint="cs"/>
          <w:sz w:val="20"/>
          <w:szCs w:val="20"/>
          <w:rtl/>
        </w:rPr>
        <w:t xml:space="preserve"> </w:t>
      </w:r>
      <w:r>
        <w:rPr>
          <w:sz w:val="20"/>
          <w:szCs w:val="20"/>
          <w:rtl/>
        </w:rPr>
        <w:t>–</w:t>
      </w:r>
      <w:r>
        <w:rPr>
          <w:rFonts w:hint="cs"/>
          <w:sz w:val="20"/>
          <w:szCs w:val="20"/>
          <w:rtl/>
        </w:rPr>
        <w:t xml:space="preserve"> תימה מדוע המחבר לא הכריע כאן לאיסור, הרי בדין קרצה שפתיה פסל אף בדיעבד!</w:t>
      </w:r>
      <w:r>
        <w:rPr>
          <w:rFonts w:hint="cs"/>
          <w:sz w:val="20"/>
          <w:szCs w:val="20"/>
          <w:rtl/>
        </w:rPr>
        <w:br/>
      </w:r>
      <w:r w:rsidRPr="00653501">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לא קשה, קרצה שפתיה הוא דין השנוי במשנה ולכן חמור יותר.</w:t>
      </w:r>
      <w:r>
        <w:rPr>
          <w:sz w:val="20"/>
          <w:szCs w:val="20"/>
          <w:rtl/>
        </w:rPr>
        <w:br/>
      </w:r>
      <w:r>
        <w:rPr>
          <w:rFonts w:hint="cs"/>
          <w:sz w:val="20"/>
          <w:szCs w:val="20"/>
          <w:rtl/>
        </w:rPr>
        <w:t xml:space="preserve">בטעם החילוק כתב </w:t>
      </w:r>
      <w:r w:rsidRPr="00653501">
        <w:rPr>
          <w:rFonts w:hint="cs"/>
          <w:b/>
          <w:bCs/>
          <w:sz w:val="20"/>
          <w:szCs w:val="20"/>
          <w:rtl/>
        </w:rPr>
        <w:t>הר"ן</w:t>
      </w:r>
      <w:r>
        <w:rPr>
          <w:rFonts w:hint="cs"/>
          <w:sz w:val="20"/>
          <w:szCs w:val="20"/>
          <w:rtl/>
        </w:rPr>
        <w:t xml:space="preserve"> - בעצמה עיניה אין הקמטים מעכבים כל כך כמו בקרצה שפתיה.</w:t>
      </w:r>
    </w:p>
    <w:p w:rsidR="00620060" w:rsidRDefault="00620060" w:rsidP="00620060">
      <w:pPr>
        <w:rPr>
          <w:sz w:val="20"/>
          <w:szCs w:val="20"/>
          <w:rtl/>
        </w:rPr>
      </w:pPr>
      <w:r w:rsidRPr="00416578">
        <w:rPr>
          <w:rFonts w:hint="cs"/>
          <w:b/>
          <w:bCs/>
          <w:sz w:val="20"/>
          <w:szCs w:val="20"/>
          <w:rtl/>
        </w:rPr>
        <w:t>סיכום</w:t>
      </w:r>
      <w:r>
        <w:rPr>
          <w:rFonts w:hint="cs"/>
          <w:sz w:val="20"/>
          <w:szCs w:val="20"/>
          <w:rtl/>
        </w:rPr>
        <w:t xml:space="preserve"> </w:t>
      </w:r>
      <w:r w:rsidRPr="00416578">
        <w:rPr>
          <w:rFonts w:hint="cs"/>
          <w:sz w:val="18"/>
          <w:szCs w:val="18"/>
          <w:rtl/>
        </w:rPr>
        <w:t>(מסעיף לו)</w:t>
      </w:r>
      <w:r>
        <w:rPr>
          <w:rFonts w:hint="cs"/>
          <w:sz w:val="20"/>
          <w:szCs w:val="20"/>
          <w:rtl/>
        </w:rPr>
        <w:br/>
        <w:t>1. צריך שהמקווה יהיה גבוה מטבורה זרת, דאי לאו הכי תצטרך לשחות ביותר ואין זה כדרך גדילתה.</w:t>
      </w:r>
      <w:r>
        <w:rPr>
          <w:rFonts w:hint="cs"/>
          <w:sz w:val="20"/>
          <w:szCs w:val="20"/>
          <w:rtl/>
        </w:rPr>
        <w:br/>
        <w:t xml:space="preserve">2. </w:t>
      </w:r>
      <w:r w:rsidRPr="00416578">
        <w:rPr>
          <w:rFonts w:hint="cs"/>
          <w:b/>
          <w:bCs/>
          <w:sz w:val="20"/>
          <w:szCs w:val="20"/>
          <w:rtl/>
        </w:rPr>
        <w:t>ש"ך</w:t>
      </w:r>
      <w:r>
        <w:rPr>
          <w:rFonts w:hint="cs"/>
          <w:sz w:val="20"/>
          <w:szCs w:val="20"/>
          <w:rtl/>
        </w:rPr>
        <w:t xml:space="preserve">. אם אין שיעור זה, מעכב אף בדיעבד </w:t>
      </w:r>
      <w:r w:rsidRPr="004D180A">
        <w:rPr>
          <w:rFonts w:hint="cs"/>
          <w:sz w:val="18"/>
          <w:szCs w:val="18"/>
          <w:rtl/>
        </w:rPr>
        <w:t>(אם שחתה ולא שכבה בפישוט כל גופה)</w:t>
      </w:r>
      <w:r>
        <w:rPr>
          <w:rFonts w:hint="cs"/>
          <w:sz w:val="20"/>
          <w:szCs w:val="20"/>
          <w:rtl/>
        </w:rPr>
        <w:t xml:space="preserve">. </w:t>
      </w:r>
      <w:r>
        <w:rPr>
          <w:sz w:val="20"/>
          <w:szCs w:val="20"/>
          <w:rtl/>
        </w:rPr>
        <w:br/>
      </w:r>
      <w:r>
        <w:rPr>
          <w:rFonts w:hint="cs"/>
          <w:sz w:val="20"/>
          <w:szCs w:val="20"/>
          <w:rtl/>
        </w:rPr>
        <w:t xml:space="preserve">3. </w:t>
      </w:r>
      <w:r w:rsidRPr="00416578">
        <w:rPr>
          <w:rFonts w:hint="cs"/>
          <w:b/>
          <w:bCs/>
          <w:sz w:val="20"/>
          <w:szCs w:val="20"/>
          <w:rtl/>
        </w:rPr>
        <w:t>מחבר</w:t>
      </w:r>
      <w:r>
        <w:rPr>
          <w:rFonts w:hint="cs"/>
          <w:sz w:val="20"/>
          <w:szCs w:val="20"/>
          <w:rtl/>
        </w:rPr>
        <w:t>. אם אין שיעור זה, יכולה לשכב במקווה ולטבול כשאינה כפופה.</w:t>
      </w:r>
      <w:r>
        <w:rPr>
          <w:rFonts w:hint="cs"/>
          <w:sz w:val="20"/>
          <w:szCs w:val="20"/>
          <w:rtl/>
        </w:rPr>
        <w:br/>
        <w:t xml:space="preserve">4. </w:t>
      </w:r>
      <w:r w:rsidRPr="00416578">
        <w:rPr>
          <w:rFonts w:hint="cs"/>
          <w:b/>
          <w:bCs/>
          <w:sz w:val="20"/>
          <w:szCs w:val="20"/>
          <w:rtl/>
        </w:rPr>
        <w:t>גמרא</w:t>
      </w:r>
      <w:r>
        <w:rPr>
          <w:rFonts w:hint="cs"/>
          <w:sz w:val="20"/>
          <w:szCs w:val="20"/>
          <w:rtl/>
        </w:rPr>
        <w:t xml:space="preserve">. פה א"צ ביאת מים, הוי כטמון. </w:t>
      </w:r>
      <w:r w:rsidRPr="00416578">
        <w:rPr>
          <w:rFonts w:hint="cs"/>
          <w:b/>
          <w:bCs/>
          <w:sz w:val="20"/>
          <w:szCs w:val="20"/>
          <w:rtl/>
        </w:rPr>
        <w:t>מחבר</w:t>
      </w:r>
      <w:r>
        <w:rPr>
          <w:rFonts w:hint="cs"/>
          <w:sz w:val="20"/>
          <w:szCs w:val="20"/>
          <w:rtl/>
        </w:rPr>
        <w:t>. אין להדק השפתיים בחוזק, אלא תדבקן דיבוק בינוני.</w:t>
      </w:r>
      <w:r>
        <w:rPr>
          <w:sz w:val="20"/>
          <w:szCs w:val="20"/>
          <w:rtl/>
        </w:rPr>
        <w:br/>
      </w:r>
      <w:r>
        <w:rPr>
          <w:rFonts w:hint="cs"/>
          <w:sz w:val="20"/>
          <w:szCs w:val="20"/>
          <w:rtl/>
        </w:rPr>
        <w:t xml:space="preserve">5. </w:t>
      </w:r>
      <w:r w:rsidRPr="00416578">
        <w:rPr>
          <w:rFonts w:hint="cs"/>
          <w:b/>
          <w:bCs/>
          <w:sz w:val="20"/>
          <w:szCs w:val="20"/>
          <w:rtl/>
        </w:rPr>
        <w:t>גמרא</w:t>
      </w:r>
      <w:r>
        <w:rPr>
          <w:rFonts w:hint="cs"/>
          <w:sz w:val="20"/>
          <w:szCs w:val="20"/>
          <w:rtl/>
        </w:rPr>
        <w:t xml:space="preserve">. עצמה עיניה ביותר או פתחתן ביותר, לא עלתה לה טבילה. </w:t>
      </w:r>
      <w:r w:rsidRPr="00416578">
        <w:rPr>
          <w:rFonts w:hint="cs"/>
          <w:b/>
          <w:bCs/>
          <w:sz w:val="20"/>
          <w:szCs w:val="20"/>
          <w:rtl/>
        </w:rPr>
        <w:t>רש"י</w:t>
      </w:r>
      <w:r>
        <w:rPr>
          <w:rFonts w:hint="cs"/>
          <w:sz w:val="20"/>
          <w:szCs w:val="20"/>
          <w:rtl/>
        </w:rPr>
        <w:t xml:space="preserve">. כן הלכה. </w:t>
      </w:r>
      <w:r w:rsidRPr="00416578">
        <w:rPr>
          <w:rFonts w:hint="cs"/>
          <w:b/>
          <w:bCs/>
          <w:sz w:val="20"/>
          <w:szCs w:val="20"/>
          <w:rtl/>
        </w:rPr>
        <w:t>רמב"ם</w:t>
      </w:r>
      <w:r>
        <w:rPr>
          <w:rFonts w:hint="cs"/>
          <w:sz w:val="20"/>
          <w:szCs w:val="20"/>
          <w:rtl/>
        </w:rPr>
        <w:t>. בדיעבד מהני.</w:t>
      </w:r>
      <w:r>
        <w:rPr>
          <w:sz w:val="20"/>
          <w:szCs w:val="20"/>
          <w:rtl/>
        </w:rPr>
        <w:br/>
      </w:r>
      <w:r>
        <w:rPr>
          <w:rFonts w:hint="cs"/>
          <w:sz w:val="20"/>
          <w:szCs w:val="20"/>
          <w:rtl/>
        </w:rPr>
        <w:t xml:space="preserve">6. </w:t>
      </w:r>
      <w:r w:rsidRPr="00416578">
        <w:rPr>
          <w:rFonts w:hint="cs"/>
          <w:b/>
          <w:bCs/>
          <w:sz w:val="20"/>
          <w:szCs w:val="20"/>
          <w:rtl/>
        </w:rPr>
        <w:t>מחבר</w:t>
      </w:r>
      <w:r>
        <w:rPr>
          <w:rFonts w:hint="cs"/>
          <w:sz w:val="20"/>
          <w:szCs w:val="20"/>
          <w:rtl/>
        </w:rPr>
        <w:t>. יש אומרים שאם עצמה עיניה או פתחתן ביותר, לא עלתה לה טבילה.</w:t>
      </w:r>
      <w:r>
        <w:rPr>
          <w:sz w:val="20"/>
          <w:szCs w:val="20"/>
          <w:rtl/>
        </w:rPr>
        <w:br/>
      </w:r>
      <w:r>
        <w:rPr>
          <w:rFonts w:hint="cs"/>
          <w:sz w:val="20"/>
          <w:szCs w:val="20"/>
          <w:rtl/>
        </w:rPr>
        <w:t xml:space="preserve">7. קשה, מדוע בדיבוק שפתיים כתב שמעכב ואילו בעיניים כתב כן רק בשם יש אומרים? </w:t>
      </w:r>
      <w:r w:rsidRPr="00416578">
        <w:rPr>
          <w:rFonts w:hint="cs"/>
          <w:b/>
          <w:bCs/>
          <w:sz w:val="20"/>
          <w:szCs w:val="20"/>
          <w:rtl/>
        </w:rPr>
        <w:t>ש"ך</w:t>
      </w:r>
      <w:r>
        <w:rPr>
          <w:rFonts w:hint="cs"/>
          <w:sz w:val="20"/>
          <w:szCs w:val="20"/>
          <w:rtl/>
        </w:rPr>
        <w:t xml:space="preserve">. דיבוק שפתיים הוא דינא דמתניתין וחמיר טפי. </w:t>
      </w:r>
      <w:r w:rsidRPr="00416578">
        <w:rPr>
          <w:rFonts w:hint="cs"/>
          <w:b/>
          <w:bCs/>
          <w:sz w:val="20"/>
          <w:szCs w:val="20"/>
          <w:rtl/>
        </w:rPr>
        <w:t>טעם</w:t>
      </w:r>
      <w:r>
        <w:rPr>
          <w:rFonts w:hint="cs"/>
          <w:sz w:val="20"/>
          <w:szCs w:val="20"/>
          <w:rtl/>
        </w:rPr>
        <w:t>. כשעצמה עיניה אין הקמטים מעכבים כמו כשדיבקה שפתיה.</w:t>
      </w:r>
    </w:p>
    <w:p w:rsidR="00620060" w:rsidRDefault="00620060" w:rsidP="00620060">
      <w:pPr>
        <w:rPr>
          <w:sz w:val="20"/>
          <w:szCs w:val="20"/>
          <w:rtl/>
        </w:rPr>
      </w:pPr>
      <w:r>
        <w:rPr>
          <w:sz w:val="20"/>
          <w:szCs w:val="20"/>
          <w:rtl/>
        </w:rPr>
        <w:br/>
      </w:r>
      <w:r>
        <w:rPr>
          <w:rFonts w:hint="cs"/>
          <w:b/>
          <w:bCs/>
          <w:sz w:val="20"/>
          <w:szCs w:val="20"/>
          <w:rtl/>
        </w:rPr>
        <w:t xml:space="preserve">סעיף מ </w:t>
      </w:r>
      <w:r>
        <w:rPr>
          <w:b/>
          <w:bCs/>
          <w:sz w:val="20"/>
          <w:szCs w:val="20"/>
          <w:rtl/>
        </w:rPr>
        <w:t>–</w:t>
      </w:r>
      <w:r>
        <w:rPr>
          <w:rFonts w:hint="cs"/>
          <w:b/>
          <w:bCs/>
          <w:sz w:val="20"/>
          <w:szCs w:val="20"/>
          <w:rtl/>
        </w:rPr>
        <w:t xml:space="preserve"> העמדת יהודייה שתשגיח על הטבילה</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רא"ש </w:t>
      </w:r>
      <w:r>
        <w:rPr>
          <w:sz w:val="20"/>
          <w:szCs w:val="20"/>
          <w:rtl/>
        </w:rPr>
        <w:t>–</w:t>
      </w:r>
      <w:r>
        <w:rPr>
          <w:rFonts w:hint="cs"/>
          <w:sz w:val="20"/>
          <w:szCs w:val="20"/>
          <w:rtl/>
        </w:rPr>
        <w:t xml:space="preserve"> הטובלת צריכה להעמיד על גבה אשה שתראה שלא נשאר משערות ראשה מחוץ למים.</w:t>
      </w:r>
      <w:r>
        <w:rPr>
          <w:rStyle w:val="a5"/>
          <w:sz w:val="20"/>
          <w:szCs w:val="20"/>
          <w:rtl/>
        </w:rPr>
        <w:footnoteReference w:id="687"/>
      </w:r>
      <w:r>
        <w:rPr>
          <w:sz w:val="20"/>
          <w:szCs w:val="20"/>
          <w:rtl/>
        </w:rPr>
        <w:br/>
      </w:r>
      <w:r w:rsidRPr="00347257">
        <w:rPr>
          <w:rFonts w:hint="cs"/>
          <w:b/>
          <w:bCs/>
          <w:sz w:val="20"/>
          <w:szCs w:val="20"/>
          <w:rtl/>
        </w:rPr>
        <w:t>כלבו</w:t>
      </w:r>
      <w:r>
        <w:rPr>
          <w:rFonts w:hint="cs"/>
          <w:sz w:val="20"/>
          <w:szCs w:val="20"/>
          <w:rtl/>
        </w:rPr>
        <w:t xml:space="preserve"> </w:t>
      </w:r>
      <w:r>
        <w:rPr>
          <w:sz w:val="20"/>
          <w:szCs w:val="20"/>
          <w:rtl/>
        </w:rPr>
        <w:t>–</w:t>
      </w:r>
      <w:r>
        <w:rPr>
          <w:rFonts w:hint="cs"/>
          <w:sz w:val="20"/>
          <w:szCs w:val="20"/>
          <w:rtl/>
        </w:rPr>
        <w:t xml:space="preserve"> גם נערה בת יב' שנים או בעלה יכולים להשגיח על הטבילה, אך גויה אינה נאמנת.</w:t>
      </w:r>
      <w:r>
        <w:rPr>
          <w:sz w:val="20"/>
          <w:szCs w:val="20"/>
          <w:rtl/>
        </w:rPr>
        <w:br/>
      </w:r>
      <w:r w:rsidRPr="00347257">
        <w:rPr>
          <w:rFonts w:hint="cs"/>
          <w:b/>
          <w:bCs/>
          <w:sz w:val="20"/>
          <w:szCs w:val="20"/>
          <w:rtl/>
        </w:rPr>
        <w:t xml:space="preserve">טעם </w:t>
      </w:r>
      <w:r>
        <w:rPr>
          <w:sz w:val="20"/>
          <w:szCs w:val="20"/>
          <w:rtl/>
        </w:rPr>
        <w:t>–</w:t>
      </w:r>
      <w:r>
        <w:rPr>
          <w:rFonts w:hint="cs"/>
          <w:sz w:val="20"/>
          <w:szCs w:val="20"/>
          <w:rtl/>
        </w:rPr>
        <w:t xml:space="preserve"> קטן וגוי אינם נאמנים במקום שהוחזק איסור.</w:t>
      </w:r>
      <w:r>
        <w:rPr>
          <w:rStyle w:val="a5"/>
          <w:sz w:val="20"/>
          <w:szCs w:val="20"/>
          <w:rtl/>
        </w:rPr>
        <w:footnoteReference w:id="688"/>
      </w:r>
    </w:p>
    <w:p w:rsidR="00620060" w:rsidRDefault="00620060" w:rsidP="00620060">
      <w:pPr>
        <w:rPr>
          <w:sz w:val="20"/>
          <w:szCs w:val="20"/>
          <w:rtl/>
        </w:rPr>
      </w:pPr>
      <w:r>
        <w:rPr>
          <w:rFonts w:hint="cs"/>
          <w:b/>
          <w:bCs/>
          <w:sz w:val="20"/>
          <w:szCs w:val="20"/>
          <w:rtl/>
        </w:rPr>
        <w:t>טבילה ללא השגחת יהודייה</w:t>
      </w:r>
      <w:r>
        <w:rPr>
          <w:b/>
          <w:bCs/>
          <w:sz w:val="20"/>
          <w:szCs w:val="20"/>
          <w:rtl/>
        </w:rPr>
        <w:br/>
      </w:r>
      <w:r>
        <w:rPr>
          <w:rFonts w:hint="cs"/>
          <w:b/>
          <w:bCs/>
          <w:sz w:val="20"/>
          <w:szCs w:val="20"/>
          <w:rtl/>
        </w:rPr>
        <w:t xml:space="preserve">ראב"ד </w:t>
      </w:r>
      <w:r>
        <w:rPr>
          <w:sz w:val="20"/>
          <w:szCs w:val="20"/>
          <w:rtl/>
        </w:rPr>
        <w:t>–</w:t>
      </w:r>
      <w:r>
        <w:rPr>
          <w:rFonts w:hint="cs"/>
          <w:sz w:val="20"/>
          <w:szCs w:val="20"/>
          <w:rtl/>
        </w:rPr>
        <w:t xml:space="preserve"> ניתן לטבול ללא השגחת אשה אחרת, ובלבד שתקשור על ראשה חוטי צמר או רצועות לכריכת השער </w:t>
      </w:r>
      <w:r>
        <w:rPr>
          <w:rFonts w:hint="cs"/>
          <w:sz w:val="20"/>
          <w:szCs w:val="20"/>
          <w:rtl/>
        </w:rPr>
        <w:lastRenderedPageBreak/>
        <w:t xml:space="preserve">ותרפה אותם, או תקשור חוטי שער ואינה צריכה להרפותם </w:t>
      </w:r>
      <w:r w:rsidRPr="005642BB">
        <w:rPr>
          <w:rFonts w:hint="cs"/>
          <w:sz w:val="18"/>
          <w:szCs w:val="18"/>
          <w:rtl/>
        </w:rPr>
        <w:t xml:space="preserve">(סעיפים ב </w:t>
      </w:r>
      <w:r w:rsidRPr="005642BB">
        <w:rPr>
          <w:sz w:val="18"/>
          <w:szCs w:val="18"/>
          <w:rtl/>
        </w:rPr>
        <w:t>–</w:t>
      </w:r>
      <w:r w:rsidRPr="005642BB">
        <w:rPr>
          <w:rFonts w:hint="cs"/>
          <w:sz w:val="18"/>
          <w:szCs w:val="18"/>
          <w:rtl/>
        </w:rPr>
        <w:t xml:space="preserve"> ד)</w:t>
      </w:r>
      <w:r>
        <w:rPr>
          <w:rFonts w:hint="cs"/>
          <w:sz w:val="20"/>
          <w:szCs w:val="20"/>
          <w:rtl/>
        </w:rPr>
        <w:t>.</w:t>
      </w:r>
      <w:r>
        <w:rPr>
          <w:rStyle w:val="a5"/>
          <w:sz w:val="20"/>
          <w:szCs w:val="20"/>
        </w:rPr>
        <w:footnoteReference w:id="689"/>
      </w:r>
      <w:r>
        <w:rPr>
          <w:rFonts w:hint="cs"/>
          <w:sz w:val="20"/>
          <w:szCs w:val="20"/>
          <w:rtl/>
        </w:rPr>
        <w:br/>
      </w:r>
      <w:r w:rsidRPr="001B46B2">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קשירת חוטים אלו על ראשה מוודאת שלא יישארו שערות מחוץ למים בשעת טבילה.</w:t>
      </w:r>
      <w:r>
        <w:rPr>
          <w:rFonts w:hint="cs"/>
          <w:sz w:val="20"/>
          <w:szCs w:val="20"/>
          <w:rtl/>
        </w:rPr>
        <w:br/>
      </w:r>
      <w:r w:rsidRPr="001B46B2">
        <w:rPr>
          <w:rFonts w:hint="cs"/>
          <w:b/>
          <w:bCs/>
          <w:sz w:val="20"/>
          <w:szCs w:val="20"/>
          <w:rtl/>
        </w:rPr>
        <w:t>בית יוסף</w:t>
      </w:r>
      <w:r>
        <w:rPr>
          <w:rFonts w:hint="cs"/>
          <w:sz w:val="20"/>
          <w:szCs w:val="20"/>
          <w:rtl/>
        </w:rPr>
        <w:t xml:space="preserve"> </w:t>
      </w:r>
      <w:r>
        <w:rPr>
          <w:sz w:val="20"/>
          <w:szCs w:val="20"/>
          <w:rtl/>
        </w:rPr>
        <w:t>–</w:t>
      </w:r>
      <w:r>
        <w:rPr>
          <w:rFonts w:hint="cs"/>
          <w:sz w:val="20"/>
          <w:szCs w:val="20"/>
          <w:rtl/>
        </w:rPr>
        <w:t xml:space="preserve"> משמע שאין מחלוקת ראשונים, וגם הרא"ש מסכים לעצה של הראב"ד.</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3F69D7">
        <w:rPr>
          <w:rFonts w:cs="Arial"/>
          <w:sz w:val="20"/>
          <w:szCs w:val="20"/>
          <w:rtl/>
        </w:rPr>
        <w:t>צריך לעמוד על גבה יהודית גדולה יותר מי"ב שנה ויום אחד בשעה שהיא טובלת שתראה שלא י</w:t>
      </w:r>
      <w:r>
        <w:rPr>
          <w:rFonts w:cs="Arial" w:hint="cs"/>
          <w:sz w:val="20"/>
          <w:szCs w:val="20"/>
          <w:rtl/>
        </w:rPr>
        <w:t>י</w:t>
      </w:r>
      <w:r w:rsidRPr="003F69D7">
        <w:rPr>
          <w:rFonts w:cs="Arial"/>
          <w:sz w:val="20"/>
          <w:szCs w:val="20"/>
          <w:rtl/>
        </w:rPr>
        <w:t>שאר משער ראשה צף על פני המים; ואם אין לה מי שתעמוד על גבה, או שהוא בלילה, תכרוך שערה על ראשה בחוטי צמר או ברצועה שבראשה, ובלבד שתרפם או בשרשרות של חוטים חלול</w:t>
      </w:r>
      <w:r>
        <w:rPr>
          <w:rFonts w:cs="Arial"/>
          <w:sz w:val="20"/>
          <w:szCs w:val="20"/>
          <w:rtl/>
        </w:rPr>
        <w:t>ות או קושרת בגד רפוי על שערותיה</w:t>
      </w:r>
      <w:r>
        <w:rPr>
          <w:rFonts w:cs="Arial" w:hint="cs"/>
          <w:sz w:val="20"/>
          <w:szCs w:val="20"/>
          <w:rtl/>
        </w:rPr>
        <w:t>".</w:t>
      </w:r>
      <w:r>
        <w:rPr>
          <w:rFonts w:hint="cs"/>
          <w:sz w:val="20"/>
          <w:szCs w:val="20"/>
          <w:rtl/>
        </w:rPr>
        <w:br/>
      </w:r>
      <w:r w:rsidRPr="004B56A5">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''שרשרות של חוטים חלולות'' </w:t>
      </w:r>
      <w:r>
        <w:rPr>
          <w:sz w:val="20"/>
          <w:szCs w:val="20"/>
          <w:rtl/>
        </w:rPr>
        <w:t>–</w:t>
      </w:r>
      <w:r>
        <w:rPr>
          <w:rFonts w:hint="cs"/>
          <w:sz w:val="20"/>
          <w:szCs w:val="20"/>
          <w:rtl/>
        </w:rPr>
        <w:t xml:space="preserve"> עשויות מעשה רשת, כדלעיל סעיף ג'.</w:t>
      </w:r>
    </w:p>
    <w:p w:rsidR="00620060" w:rsidRDefault="00620060" w:rsidP="00620060">
      <w:pPr>
        <w:rPr>
          <w:sz w:val="20"/>
          <w:szCs w:val="20"/>
          <w:rtl/>
        </w:rPr>
      </w:pPr>
      <w:r>
        <w:rPr>
          <w:rFonts w:hint="cs"/>
          <w:sz w:val="20"/>
          <w:szCs w:val="20"/>
          <w:u w:val="single"/>
          <w:rtl/>
        </w:rPr>
        <w:t>הדין בדיעבד (פת"ש)</w:t>
      </w:r>
      <w:r>
        <w:rPr>
          <w:rFonts w:hint="cs"/>
          <w:sz w:val="20"/>
          <w:szCs w:val="20"/>
          <w:u w:val="single"/>
          <w:rtl/>
        </w:rPr>
        <w:br/>
      </w:r>
      <w:r>
        <w:rPr>
          <w:rFonts w:hint="cs"/>
          <w:sz w:val="20"/>
          <w:szCs w:val="20"/>
          <w:rtl/>
        </w:rPr>
        <w:t>טבלה בינה לבין עצמה ללא שכרכה שערות ראשה כנ"ל, האם עלתה לה טבילה.</w:t>
      </w:r>
      <w:r>
        <w:rPr>
          <w:sz w:val="20"/>
          <w:szCs w:val="20"/>
          <w:u w:val="single"/>
          <w:rtl/>
        </w:rPr>
        <w:br/>
      </w:r>
      <w:r>
        <w:rPr>
          <w:rFonts w:hint="cs"/>
          <w:sz w:val="20"/>
          <w:szCs w:val="20"/>
          <w:rtl/>
        </w:rPr>
        <w:t xml:space="preserve">א. </w:t>
      </w:r>
      <w:r w:rsidRPr="0046247C">
        <w:rPr>
          <w:rFonts w:hint="cs"/>
          <w:b/>
          <w:bCs/>
          <w:sz w:val="20"/>
          <w:szCs w:val="20"/>
          <w:rtl/>
        </w:rPr>
        <w:t>רעק"א</w:t>
      </w:r>
      <w:r>
        <w:rPr>
          <w:rFonts w:hint="cs"/>
          <w:sz w:val="20"/>
          <w:szCs w:val="20"/>
          <w:rtl/>
        </w:rPr>
        <w:t xml:space="preserve"> </w:t>
      </w:r>
      <w:r>
        <w:rPr>
          <w:sz w:val="20"/>
          <w:szCs w:val="20"/>
          <w:rtl/>
        </w:rPr>
        <w:t>–</w:t>
      </w:r>
      <w:r>
        <w:rPr>
          <w:rFonts w:hint="cs"/>
          <w:b/>
          <w:bCs/>
          <w:sz w:val="20"/>
          <w:szCs w:val="20"/>
          <w:rtl/>
        </w:rPr>
        <w:t xml:space="preserve"> </w:t>
      </w:r>
      <w:r w:rsidRPr="004E1B58">
        <w:rPr>
          <w:rFonts w:hint="cs"/>
          <w:sz w:val="20"/>
          <w:szCs w:val="20"/>
          <w:rtl/>
        </w:rPr>
        <w:t>לא.</w:t>
      </w:r>
      <w:r>
        <w:rPr>
          <w:b/>
          <w:bCs/>
          <w:sz w:val="20"/>
          <w:szCs w:val="20"/>
          <w:rtl/>
        </w:rPr>
        <w:br/>
      </w:r>
      <w:r w:rsidRPr="004E1B58">
        <w:rPr>
          <w:rFonts w:hint="cs"/>
          <w:b/>
          <w:bCs/>
          <w:sz w:val="20"/>
          <w:szCs w:val="20"/>
          <w:rtl/>
        </w:rPr>
        <w:t xml:space="preserve">ראיה </w:t>
      </w:r>
      <w:r>
        <w:rPr>
          <w:sz w:val="20"/>
          <w:szCs w:val="20"/>
          <w:rtl/>
        </w:rPr>
        <w:t>–</w:t>
      </w:r>
      <w:r>
        <w:rPr>
          <w:rFonts w:hint="cs"/>
          <w:sz w:val="20"/>
          <w:szCs w:val="20"/>
          <w:rtl/>
        </w:rPr>
        <w:t xml:space="preserve"> כך מדויק בטור, שהתיר לטבול בינה לבין עצמה רק אם כרכה שערות ראשה, הא לאו הכי אינה טבילה.</w:t>
      </w:r>
      <w:r>
        <w:rPr>
          <w:rFonts w:hint="cs"/>
          <w:sz w:val="20"/>
          <w:szCs w:val="20"/>
          <w:rtl/>
        </w:rPr>
        <w:br/>
        <w:t xml:space="preserve">ב. </w:t>
      </w:r>
      <w:r w:rsidRPr="005A4567">
        <w:rPr>
          <w:rFonts w:hint="cs"/>
          <w:b/>
          <w:bCs/>
          <w:sz w:val="20"/>
          <w:szCs w:val="20"/>
          <w:rtl/>
        </w:rPr>
        <w:t>סד"ט</w:t>
      </w:r>
      <w:r>
        <w:rPr>
          <w:rFonts w:hint="cs"/>
          <w:sz w:val="20"/>
          <w:szCs w:val="20"/>
          <w:rtl/>
        </w:rPr>
        <w:t xml:space="preserve"> </w:t>
      </w:r>
      <w:r>
        <w:rPr>
          <w:sz w:val="20"/>
          <w:szCs w:val="20"/>
          <w:rtl/>
        </w:rPr>
        <w:t>–</w:t>
      </w:r>
      <w:r>
        <w:rPr>
          <w:rFonts w:hint="cs"/>
          <w:sz w:val="20"/>
          <w:szCs w:val="20"/>
          <w:rtl/>
        </w:rPr>
        <w:t xml:space="preserve"> כן, ובלבד שהיא אשה זריזה שאינה נבהלת מהמים, וכשטבלה תפסה את שערות ראשה בידה והשגיחה שהמים יעלו עליהן כהוגן, ולאחר מכן פתחה את ידה.</w:t>
      </w:r>
    </w:p>
    <w:p w:rsidR="00620060"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15083A">
        <w:rPr>
          <w:rFonts w:hint="cs"/>
          <w:b/>
          <w:bCs/>
          <w:sz w:val="20"/>
          <w:szCs w:val="20"/>
          <w:rtl/>
        </w:rPr>
        <w:t>רא"ש</w:t>
      </w:r>
      <w:r>
        <w:rPr>
          <w:rFonts w:hint="cs"/>
          <w:sz w:val="20"/>
          <w:szCs w:val="20"/>
          <w:rtl/>
        </w:rPr>
        <w:t xml:space="preserve">. צריכה להעמיד ע"ג יהודייה גדולה שתראה שלא נשארו שערות ראשה בחוץ. </w:t>
      </w:r>
      <w:r w:rsidRPr="00104EA5">
        <w:rPr>
          <w:rFonts w:hint="cs"/>
          <w:b/>
          <w:bCs/>
          <w:sz w:val="20"/>
          <w:szCs w:val="20"/>
          <w:rtl/>
        </w:rPr>
        <w:t>כלבו</w:t>
      </w:r>
      <w:r>
        <w:rPr>
          <w:rFonts w:hint="cs"/>
          <w:sz w:val="20"/>
          <w:szCs w:val="20"/>
          <w:rtl/>
        </w:rPr>
        <w:t xml:space="preserve">. גם נערה או בעלה נאמנים, למעט קטנה או גויה שאינם נאמנים במקום שהוחזק איסור </w:t>
      </w:r>
      <w:r>
        <w:rPr>
          <w:rFonts w:hint="cs"/>
          <w:sz w:val="18"/>
          <w:szCs w:val="18"/>
          <w:rtl/>
        </w:rPr>
        <w:t>(</w:t>
      </w:r>
      <w:r w:rsidRPr="00104EA5">
        <w:rPr>
          <w:rFonts w:hint="cs"/>
          <w:b/>
          <w:bCs/>
          <w:sz w:val="18"/>
          <w:szCs w:val="18"/>
          <w:rtl/>
        </w:rPr>
        <w:t>גר"א</w:t>
      </w:r>
      <w:r>
        <w:rPr>
          <w:rFonts w:hint="cs"/>
          <w:sz w:val="18"/>
          <w:szCs w:val="18"/>
          <w:rtl/>
        </w:rPr>
        <w:t xml:space="preserve">. </w:t>
      </w:r>
      <w:r w:rsidRPr="00104EA5">
        <w:rPr>
          <w:rFonts w:hint="cs"/>
          <w:sz w:val="18"/>
          <w:szCs w:val="18"/>
          <w:rtl/>
        </w:rPr>
        <w:t>אפי</w:t>
      </w:r>
      <w:r>
        <w:rPr>
          <w:rFonts w:hint="cs"/>
          <w:sz w:val="18"/>
          <w:szCs w:val="18"/>
          <w:rtl/>
        </w:rPr>
        <w:t xml:space="preserve">' </w:t>
      </w:r>
      <w:r w:rsidRPr="00104EA5">
        <w:rPr>
          <w:rFonts w:hint="cs"/>
          <w:sz w:val="18"/>
          <w:szCs w:val="18"/>
          <w:rtl/>
        </w:rPr>
        <w:t>בטבילה לכתם אי</w:t>
      </w:r>
      <w:r>
        <w:rPr>
          <w:rFonts w:hint="cs"/>
          <w:sz w:val="18"/>
          <w:szCs w:val="18"/>
          <w:rtl/>
        </w:rPr>
        <w:t xml:space="preserve">ן </w:t>
      </w:r>
      <w:r w:rsidRPr="00104EA5">
        <w:rPr>
          <w:rFonts w:hint="cs"/>
          <w:sz w:val="18"/>
          <w:szCs w:val="18"/>
          <w:rtl/>
        </w:rPr>
        <w:t>נאמנים).</w:t>
      </w:r>
      <w:r>
        <w:rPr>
          <w:rFonts w:hint="cs"/>
          <w:sz w:val="18"/>
          <w:szCs w:val="18"/>
          <w:rtl/>
        </w:rPr>
        <w:br/>
      </w:r>
      <w:r>
        <w:rPr>
          <w:rFonts w:hint="cs"/>
          <w:sz w:val="20"/>
          <w:szCs w:val="20"/>
          <w:rtl/>
        </w:rPr>
        <w:t xml:space="preserve">2. </w:t>
      </w:r>
      <w:r w:rsidRPr="00104EA5">
        <w:rPr>
          <w:rFonts w:hint="cs"/>
          <w:b/>
          <w:bCs/>
          <w:sz w:val="20"/>
          <w:szCs w:val="20"/>
          <w:rtl/>
        </w:rPr>
        <w:t>ראב"ד</w:t>
      </w:r>
      <w:r>
        <w:rPr>
          <w:rFonts w:hint="cs"/>
          <w:sz w:val="20"/>
          <w:szCs w:val="20"/>
          <w:rtl/>
        </w:rPr>
        <w:t xml:space="preserve">. ניתן לטבול ללא השגחת אשה אחרת, ע"י שתקשור שערות ראשה בדבר שאינו חוצץ, וכ"פ </w:t>
      </w:r>
      <w:r w:rsidRPr="00104EA5">
        <w:rPr>
          <w:rFonts w:hint="cs"/>
          <w:b/>
          <w:bCs/>
          <w:sz w:val="20"/>
          <w:szCs w:val="20"/>
          <w:rtl/>
        </w:rPr>
        <w:t>המחבר</w:t>
      </w:r>
      <w:r>
        <w:rPr>
          <w:rFonts w:hint="cs"/>
          <w:sz w:val="20"/>
          <w:szCs w:val="20"/>
          <w:rtl/>
        </w:rPr>
        <w:t>.</w:t>
      </w:r>
      <w:r>
        <w:rPr>
          <w:rFonts w:hint="cs"/>
          <w:sz w:val="20"/>
          <w:szCs w:val="20"/>
          <w:rtl/>
        </w:rPr>
        <w:br/>
        <w:t xml:space="preserve">3. טבלה בינה לבין עצמה ללא שכרכה שערות ראשה, האם עלתה לה טבילה? </w:t>
      </w:r>
      <w:r w:rsidRPr="00104EA5">
        <w:rPr>
          <w:rFonts w:hint="cs"/>
          <w:b/>
          <w:bCs/>
          <w:sz w:val="20"/>
          <w:szCs w:val="20"/>
          <w:rtl/>
        </w:rPr>
        <w:t>רעק"א</w:t>
      </w:r>
      <w:r>
        <w:rPr>
          <w:rFonts w:hint="cs"/>
          <w:sz w:val="20"/>
          <w:szCs w:val="20"/>
          <w:rtl/>
        </w:rPr>
        <w:t xml:space="preserve">. לא. </w:t>
      </w:r>
      <w:r w:rsidRPr="00104EA5">
        <w:rPr>
          <w:rFonts w:hint="cs"/>
          <w:b/>
          <w:bCs/>
          <w:sz w:val="20"/>
          <w:szCs w:val="20"/>
          <w:rtl/>
        </w:rPr>
        <w:t>סד"ט</w:t>
      </w:r>
      <w:r>
        <w:rPr>
          <w:rFonts w:hint="cs"/>
          <w:sz w:val="20"/>
          <w:szCs w:val="20"/>
          <w:rtl/>
        </w:rPr>
        <w:t>. כן.</w:t>
      </w:r>
      <w:r w:rsidRPr="00104EA5">
        <w:rPr>
          <w:sz w:val="20"/>
          <w:szCs w:val="20"/>
          <w:rtl/>
        </w:rPr>
        <w:br/>
      </w:r>
      <w:r>
        <w:rPr>
          <w:sz w:val="20"/>
          <w:szCs w:val="20"/>
          <w:rtl/>
        </w:rPr>
        <w:br/>
      </w:r>
      <w:r>
        <w:rPr>
          <w:rFonts w:hint="cs"/>
          <w:b/>
          <w:bCs/>
          <w:sz w:val="20"/>
          <w:szCs w:val="20"/>
          <w:rtl/>
        </w:rPr>
        <w:t>הוספות</w:t>
      </w:r>
      <w:r>
        <w:rPr>
          <w:rFonts w:hint="cs"/>
          <w:sz w:val="20"/>
          <w:szCs w:val="20"/>
          <w:rtl/>
        </w:rPr>
        <w:br/>
      </w:r>
      <w:r>
        <w:rPr>
          <w:rFonts w:hint="cs"/>
          <w:sz w:val="20"/>
          <w:szCs w:val="20"/>
          <w:u w:val="single"/>
          <w:rtl/>
        </w:rPr>
        <w:t>נאמנות אשה שאינה יראת שמיים (טה"ב עמ' קסו)</w:t>
      </w:r>
      <w:r>
        <w:rPr>
          <w:rFonts w:hint="cs"/>
          <w:sz w:val="20"/>
          <w:szCs w:val="20"/>
          <w:rtl/>
        </w:rPr>
        <w:br/>
      </w:r>
      <w:r w:rsidRPr="00BB5253">
        <w:rPr>
          <w:rFonts w:hint="cs"/>
          <w:b/>
          <w:bCs/>
          <w:sz w:val="20"/>
          <w:szCs w:val="20"/>
          <w:rtl/>
        </w:rPr>
        <w:t>טה"ב</w:t>
      </w:r>
      <w:r>
        <w:rPr>
          <w:rFonts w:hint="cs"/>
          <w:sz w:val="20"/>
          <w:szCs w:val="20"/>
          <w:rtl/>
        </w:rPr>
        <w:t xml:space="preserve"> </w:t>
      </w:r>
      <w:r>
        <w:rPr>
          <w:sz w:val="20"/>
          <w:szCs w:val="20"/>
          <w:rtl/>
        </w:rPr>
        <w:t>–</w:t>
      </w:r>
      <w:r>
        <w:rPr>
          <w:rFonts w:hint="cs"/>
          <w:sz w:val="20"/>
          <w:szCs w:val="20"/>
          <w:rtl/>
        </w:rPr>
        <w:t xml:space="preserve"> אשה שמחללת שבת בפרהסיה אינה נאמנת להשגיח על הטבילה.</w:t>
      </w:r>
      <w:r>
        <w:rPr>
          <w:rFonts w:hint="cs"/>
          <w:sz w:val="20"/>
          <w:szCs w:val="20"/>
          <w:rtl/>
        </w:rPr>
        <w:br/>
      </w:r>
      <w:r w:rsidRPr="00BB5253">
        <w:rPr>
          <w:rFonts w:hint="cs"/>
          <w:b/>
          <w:bCs/>
          <w:sz w:val="20"/>
          <w:szCs w:val="20"/>
          <w:rtl/>
        </w:rPr>
        <w:t>אגרות משה</w:t>
      </w:r>
      <w:r>
        <w:rPr>
          <w:rFonts w:hint="cs"/>
          <w:sz w:val="20"/>
          <w:szCs w:val="20"/>
          <w:rtl/>
        </w:rPr>
        <w:t xml:space="preserve"> </w:t>
      </w:r>
      <w:r>
        <w:rPr>
          <w:sz w:val="20"/>
          <w:szCs w:val="20"/>
          <w:rtl/>
        </w:rPr>
        <w:t>–</w:t>
      </w:r>
      <w:r>
        <w:rPr>
          <w:rFonts w:hint="cs"/>
          <w:sz w:val="20"/>
          <w:szCs w:val="20"/>
          <w:rtl/>
        </w:rPr>
        <w:t xml:space="preserve"> אשה שאינה שומרת טהרת המשפחה אינה נאמנת.</w:t>
      </w:r>
      <w:r>
        <w:rPr>
          <w:sz w:val="20"/>
          <w:szCs w:val="20"/>
          <w:rtl/>
        </w:rPr>
        <w:br/>
      </w:r>
      <w:r w:rsidRPr="00BB5253">
        <w:rPr>
          <w:rFonts w:hint="cs"/>
          <w:b/>
          <w:bCs/>
          <w:sz w:val="20"/>
          <w:szCs w:val="20"/>
          <w:rtl/>
        </w:rPr>
        <w:t>נטע שורק</w:t>
      </w:r>
      <w:r>
        <w:rPr>
          <w:rFonts w:hint="cs"/>
          <w:sz w:val="20"/>
          <w:szCs w:val="20"/>
          <w:rtl/>
        </w:rPr>
        <w:t xml:space="preserve"> </w:t>
      </w:r>
      <w:r>
        <w:rPr>
          <w:sz w:val="20"/>
          <w:szCs w:val="20"/>
          <w:rtl/>
        </w:rPr>
        <w:t>–</w:t>
      </w:r>
      <w:r>
        <w:rPr>
          <w:rFonts w:hint="cs"/>
          <w:sz w:val="20"/>
          <w:szCs w:val="20"/>
          <w:rtl/>
        </w:rPr>
        <w:t xml:space="preserve"> אשה שהולכת ברה"ר בגילוי ראש אינה נאמנת, ואם נתמנית צריך להשתדל להחליפה.</w:t>
      </w:r>
      <w:r>
        <w:rPr>
          <w:sz w:val="20"/>
          <w:szCs w:val="20"/>
          <w:rtl/>
        </w:rPr>
        <w:br/>
      </w:r>
      <w:r>
        <w:rPr>
          <w:rFonts w:hint="cs"/>
          <w:sz w:val="20"/>
          <w:szCs w:val="20"/>
          <w:rtl/>
        </w:rPr>
        <w:br/>
      </w:r>
      <w:r>
        <w:rPr>
          <w:rFonts w:hint="cs"/>
          <w:sz w:val="20"/>
          <w:szCs w:val="20"/>
          <w:u w:val="single"/>
          <w:rtl/>
        </w:rPr>
        <w:t>אשה בעלת שער קצר</w:t>
      </w:r>
      <w:r>
        <w:rPr>
          <w:sz w:val="20"/>
          <w:szCs w:val="20"/>
          <w:u w:val="single"/>
          <w:rtl/>
        </w:rPr>
        <w:br/>
      </w:r>
      <w:r w:rsidRPr="007F42CF">
        <w:rPr>
          <w:rFonts w:hint="cs"/>
          <w:b/>
          <w:bCs/>
          <w:sz w:val="20"/>
          <w:szCs w:val="20"/>
          <w:rtl/>
        </w:rPr>
        <w:t>דרכי טהרה</w:t>
      </w:r>
      <w:r>
        <w:rPr>
          <w:rFonts w:hint="cs"/>
          <w:sz w:val="20"/>
          <w:szCs w:val="20"/>
          <w:rtl/>
        </w:rPr>
        <w:t xml:space="preserve"> </w:t>
      </w:r>
      <w:r w:rsidRPr="007F42CF">
        <w:rPr>
          <w:rFonts w:hint="cs"/>
          <w:sz w:val="18"/>
          <w:szCs w:val="18"/>
          <w:rtl/>
        </w:rPr>
        <w:t xml:space="preserve">(עמ' 242, תשובה ה) </w:t>
      </w:r>
      <w:r>
        <w:rPr>
          <w:sz w:val="20"/>
          <w:szCs w:val="20"/>
          <w:rtl/>
        </w:rPr>
        <w:t>–</w:t>
      </w:r>
      <w:r>
        <w:rPr>
          <w:rFonts w:hint="cs"/>
          <w:sz w:val="20"/>
          <w:szCs w:val="20"/>
          <w:rtl/>
        </w:rPr>
        <w:t xml:space="preserve"> אשה ששערה קצר, יכולה לטבול ללא בלנית, ובלבד שברור לה שכל שערה נכנס לתוך המים.</w:t>
      </w:r>
    </w:p>
    <w:p w:rsidR="00620060" w:rsidRDefault="00620060" w:rsidP="00620060">
      <w:pPr>
        <w:rPr>
          <w:sz w:val="20"/>
          <w:szCs w:val="20"/>
          <w:rtl/>
        </w:rPr>
      </w:pPr>
      <w:r>
        <w:rPr>
          <w:sz w:val="20"/>
          <w:szCs w:val="20"/>
          <w:rtl/>
        </w:rPr>
        <w:br/>
      </w:r>
      <w:r>
        <w:rPr>
          <w:rFonts w:hint="cs"/>
          <w:b/>
          <w:bCs/>
          <w:sz w:val="20"/>
          <w:szCs w:val="20"/>
          <w:rtl/>
        </w:rPr>
        <w:t xml:space="preserve">סעיף מא </w:t>
      </w:r>
      <w:r>
        <w:rPr>
          <w:b/>
          <w:bCs/>
          <w:sz w:val="20"/>
          <w:szCs w:val="20"/>
          <w:rtl/>
        </w:rPr>
        <w:t>–</w:t>
      </w:r>
      <w:r>
        <w:rPr>
          <w:rFonts w:hint="cs"/>
          <w:b/>
          <w:bCs/>
          <w:sz w:val="20"/>
          <w:szCs w:val="20"/>
          <w:rtl/>
        </w:rPr>
        <w:t xml:space="preserve"> הפשילה את בנה לאחוריה וטבלה</w:t>
      </w:r>
      <w:r>
        <w:rPr>
          <w:b/>
          <w:bCs/>
          <w:sz w:val="20"/>
          <w:szCs w:val="20"/>
          <w:rtl/>
        </w:rPr>
        <w:br/>
      </w:r>
      <w:r>
        <w:rPr>
          <w:rFonts w:hint="cs"/>
          <w:b/>
          <w:bCs/>
          <w:sz w:val="20"/>
          <w:szCs w:val="20"/>
          <w:rtl/>
        </w:rPr>
        <w:t>מקור הדין</w:t>
      </w:r>
      <w:r>
        <w:rPr>
          <w:b/>
          <w:bCs/>
          <w:sz w:val="20"/>
          <w:szCs w:val="20"/>
          <w:rtl/>
        </w:rPr>
        <w:br/>
      </w:r>
      <w:r>
        <w:rPr>
          <w:rFonts w:hint="cs"/>
          <w:b/>
          <w:bCs/>
          <w:sz w:val="20"/>
          <w:szCs w:val="20"/>
          <w:rtl/>
        </w:rPr>
        <w:t>תוספות</w:t>
      </w:r>
      <w:r w:rsidRPr="009F79A8">
        <w:rPr>
          <w:rFonts w:hint="cs"/>
          <w:b/>
          <w:bCs/>
          <w:sz w:val="18"/>
          <w:szCs w:val="18"/>
          <w:rtl/>
        </w:rPr>
        <w:t xml:space="preserve"> </w:t>
      </w:r>
      <w:r w:rsidRPr="009F79A8">
        <w:rPr>
          <w:rFonts w:hint="cs"/>
          <w:sz w:val="18"/>
          <w:szCs w:val="18"/>
          <w:rtl/>
        </w:rPr>
        <w:t xml:space="preserve">(נידה סז. ד"ה נתנה תבשיל לבנה) </w:t>
      </w:r>
      <w:r>
        <w:rPr>
          <w:rFonts w:hint="cs"/>
          <w:sz w:val="20"/>
          <w:szCs w:val="20"/>
          <w:rtl/>
        </w:rPr>
        <w:t>"</w:t>
      </w:r>
      <w:r w:rsidRPr="009F79A8">
        <w:rPr>
          <w:rFonts w:cs="Arial"/>
          <w:sz w:val="20"/>
          <w:szCs w:val="20"/>
          <w:rtl/>
        </w:rPr>
        <w:t>בפירוש ר</w:t>
      </w:r>
      <w:r>
        <w:rPr>
          <w:rFonts w:cs="Arial" w:hint="cs"/>
          <w:sz w:val="20"/>
          <w:szCs w:val="20"/>
          <w:rtl/>
        </w:rPr>
        <w:t>בינו חננאל</w:t>
      </w:r>
      <w:r w:rsidRPr="009F79A8">
        <w:rPr>
          <w:rFonts w:cs="Arial"/>
          <w:sz w:val="20"/>
          <w:szCs w:val="20"/>
          <w:rtl/>
        </w:rPr>
        <w:t xml:space="preserve"> כתוב עוד מימרא אחרת שאינה כתובה בספרים שלנו וזו היא</w:t>
      </w:r>
      <w:r>
        <w:rPr>
          <w:rFonts w:cs="Arial" w:hint="cs"/>
          <w:sz w:val="20"/>
          <w:szCs w:val="20"/>
          <w:rtl/>
        </w:rPr>
        <w:t>:</w:t>
      </w:r>
      <w:r w:rsidRPr="009F79A8">
        <w:rPr>
          <w:rFonts w:cs="Arial"/>
          <w:sz w:val="20"/>
          <w:szCs w:val="20"/>
          <w:rtl/>
        </w:rPr>
        <w:t xml:space="preserve"> מפשלת את בנה וטובלת לא עלתה לה טבילה</w:t>
      </w:r>
      <w:r>
        <w:rPr>
          <w:rFonts w:cs="Arial" w:hint="cs"/>
          <w:sz w:val="20"/>
          <w:szCs w:val="20"/>
          <w:rtl/>
        </w:rPr>
        <w:t>.</w:t>
      </w:r>
      <w:r w:rsidRPr="009F79A8">
        <w:rPr>
          <w:rFonts w:cs="Arial"/>
          <w:sz w:val="20"/>
          <w:szCs w:val="20"/>
          <w:rtl/>
        </w:rPr>
        <w:t xml:space="preserve"> ויש לפרש מפשלת את בנה לאחוריה והיא ערומה ולא היו בגדיה עליה וטבלה</w:t>
      </w:r>
      <w:r>
        <w:rPr>
          <w:rFonts w:cs="Arial" w:hint="cs"/>
          <w:sz w:val="20"/>
          <w:szCs w:val="20"/>
          <w:rtl/>
        </w:rPr>
        <w:t>,</w:t>
      </w:r>
      <w:r w:rsidRPr="009F79A8">
        <w:rPr>
          <w:rFonts w:cs="Arial"/>
          <w:sz w:val="20"/>
          <w:szCs w:val="20"/>
          <w:rtl/>
        </w:rPr>
        <w:t xml:space="preserve"> לא עלתה לה טבילה דחיישינן שמא הוה עליה דינוקא טיט וכיוצא בו ונדבק באמו וחוצץ בטבילתה ולא ידעה לה</w:t>
      </w:r>
      <w:r>
        <w:rPr>
          <w:rFonts w:cs="Arial" w:hint="cs"/>
          <w:sz w:val="20"/>
          <w:szCs w:val="20"/>
          <w:rtl/>
        </w:rPr>
        <w:t>.</w:t>
      </w:r>
      <w:r w:rsidRPr="009F79A8">
        <w:rPr>
          <w:rFonts w:cs="Arial"/>
          <w:sz w:val="20"/>
          <w:szCs w:val="20"/>
          <w:rtl/>
        </w:rPr>
        <w:t xml:space="preserve"> אף על גב דחזינן לה השתא דליכא מידי עליה</w:t>
      </w:r>
      <w:r>
        <w:rPr>
          <w:rFonts w:cs="Arial" w:hint="cs"/>
          <w:sz w:val="20"/>
          <w:szCs w:val="20"/>
          <w:rtl/>
        </w:rPr>
        <w:t>,</w:t>
      </w:r>
      <w:r w:rsidRPr="009F79A8">
        <w:rPr>
          <w:rFonts w:cs="Arial"/>
          <w:sz w:val="20"/>
          <w:szCs w:val="20"/>
          <w:rtl/>
        </w:rPr>
        <w:t xml:space="preserve"> חיישינן דלמא בעלייתה מן הטבילה נפל ברדיוני</w:t>
      </w:r>
      <w:r>
        <w:rPr>
          <w:rFonts w:cs="Arial" w:hint="cs"/>
          <w:sz w:val="20"/>
          <w:szCs w:val="20"/>
          <w:rtl/>
        </w:rPr>
        <w:t>,</w:t>
      </w:r>
      <w:r>
        <w:rPr>
          <w:rFonts w:cs="Arial"/>
          <w:sz w:val="20"/>
          <w:szCs w:val="20"/>
          <w:rtl/>
        </w:rPr>
        <w:t xml:space="preserve"> הוחלק ונפל דרך ירידה</w:t>
      </w:r>
      <w:r>
        <w:rPr>
          <w:rFonts w:cs="Arial" w:hint="cs"/>
          <w:sz w:val="20"/>
          <w:szCs w:val="20"/>
          <w:rtl/>
        </w:rPr>
        <w:t xml:space="preserve">. </w:t>
      </w:r>
      <w:r>
        <w:rPr>
          <w:rFonts w:cs="Arial"/>
          <w:sz w:val="20"/>
          <w:szCs w:val="20"/>
          <w:rtl/>
        </w:rPr>
        <w:t>וצ</w:t>
      </w:r>
      <w:r>
        <w:rPr>
          <w:rFonts w:cs="Arial" w:hint="cs"/>
          <w:sz w:val="20"/>
          <w:szCs w:val="20"/>
          <w:rtl/>
        </w:rPr>
        <w:t xml:space="preserve">ריך </w:t>
      </w:r>
      <w:r w:rsidRPr="009F79A8">
        <w:rPr>
          <w:rFonts w:cs="Arial"/>
          <w:sz w:val="20"/>
          <w:szCs w:val="20"/>
          <w:rtl/>
        </w:rPr>
        <w:t>ל</w:t>
      </w:r>
      <w:r>
        <w:rPr>
          <w:rFonts w:cs="Arial" w:hint="cs"/>
          <w:sz w:val="20"/>
          <w:szCs w:val="20"/>
          <w:rtl/>
        </w:rPr>
        <w:t>ומר</w:t>
      </w:r>
      <w:r w:rsidRPr="009F79A8">
        <w:rPr>
          <w:rFonts w:cs="Arial"/>
          <w:sz w:val="20"/>
          <w:szCs w:val="20"/>
          <w:rtl/>
        </w:rPr>
        <w:t xml:space="preserve"> שהיתה מפשלת בנה אפי</w:t>
      </w:r>
      <w:r>
        <w:rPr>
          <w:rFonts w:cs="Arial" w:hint="cs"/>
          <w:sz w:val="20"/>
          <w:szCs w:val="20"/>
          <w:rtl/>
        </w:rPr>
        <w:t>לו</w:t>
      </w:r>
      <w:r w:rsidRPr="009F79A8">
        <w:rPr>
          <w:rFonts w:cs="Arial"/>
          <w:sz w:val="20"/>
          <w:szCs w:val="20"/>
          <w:rtl/>
        </w:rPr>
        <w:t xml:space="preserve"> לפני טבילתה בסמוך ולאו ד</w:t>
      </w:r>
      <w:r>
        <w:rPr>
          <w:rFonts w:cs="Arial" w:hint="cs"/>
          <w:sz w:val="20"/>
          <w:szCs w:val="20"/>
          <w:rtl/>
        </w:rPr>
        <w:t>ו</w:t>
      </w:r>
      <w:r w:rsidRPr="009F79A8">
        <w:rPr>
          <w:rFonts w:cs="Arial"/>
          <w:sz w:val="20"/>
          <w:szCs w:val="20"/>
          <w:rtl/>
        </w:rPr>
        <w:t>וקא בטבילתה</w:t>
      </w:r>
      <w:r>
        <w:rPr>
          <w:rFonts w:cs="Arial" w:hint="cs"/>
          <w:sz w:val="20"/>
          <w:szCs w:val="20"/>
          <w:rtl/>
        </w:rPr>
        <w:t>"</w:t>
      </w:r>
      <w:r w:rsidRPr="009F79A8">
        <w:rPr>
          <w:rFonts w:cs="Arial"/>
          <w:sz w:val="20"/>
          <w:szCs w:val="20"/>
          <w:rtl/>
        </w:rPr>
        <w:t>.</w:t>
      </w:r>
    </w:p>
    <w:p w:rsidR="00620060" w:rsidRDefault="00620060" w:rsidP="00620060">
      <w:pPr>
        <w:rPr>
          <w:sz w:val="20"/>
          <w:szCs w:val="20"/>
          <w:rtl/>
        </w:rPr>
      </w:pPr>
      <w:r>
        <w:rPr>
          <w:rFonts w:hint="cs"/>
          <w:b/>
          <w:bCs/>
          <w:sz w:val="20"/>
          <w:szCs w:val="20"/>
          <w:rtl/>
        </w:rPr>
        <w:t>פסיקת הלכה</w:t>
      </w:r>
      <w:r w:rsidRPr="001D1BCD">
        <w:rPr>
          <w:rStyle w:val="a5"/>
          <w:sz w:val="20"/>
          <w:szCs w:val="20"/>
          <w:rtl/>
        </w:rPr>
        <w:footnoteReference w:id="690"/>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9F79A8">
        <w:rPr>
          <w:rFonts w:cs="Arial"/>
          <w:sz w:val="20"/>
          <w:szCs w:val="20"/>
          <w:rtl/>
        </w:rPr>
        <w:t xml:space="preserve">המפשלת בנה לאחוריה כשהיא ערומה, וטבלה, לא עלתה לה טבילה שמא היה טיט ברגלי </w:t>
      </w:r>
      <w:r w:rsidRPr="009F79A8">
        <w:rPr>
          <w:rFonts w:cs="Arial"/>
          <w:sz w:val="20"/>
          <w:szCs w:val="20"/>
          <w:rtl/>
        </w:rPr>
        <w:lastRenderedPageBreak/>
        <w:t>התינוק או בידיו ונדבק באמו</w:t>
      </w:r>
      <w:r>
        <w:rPr>
          <w:rFonts w:cs="Arial"/>
          <w:sz w:val="20"/>
          <w:szCs w:val="20"/>
          <w:rtl/>
        </w:rPr>
        <w:t xml:space="preserve"> וחצץ בשעת טבילה ואחר שעלתה נפל</w:t>
      </w:r>
      <w:r>
        <w:rPr>
          <w:rFonts w:cs="Arial" w:hint="cs"/>
          <w:sz w:val="20"/>
          <w:szCs w:val="20"/>
          <w:rtl/>
        </w:rPr>
        <w:t>".</w:t>
      </w:r>
      <w:r>
        <w:rPr>
          <w:rFonts w:hint="cs"/>
          <w:sz w:val="20"/>
          <w:szCs w:val="20"/>
          <w:rtl/>
        </w:rPr>
        <w:br/>
        <w:t xml:space="preserve">ב. </w:t>
      </w:r>
      <w:r w:rsidRPr="00966BF8">
        <w:rPr>
          <w:rFonts w:hint="cs"/>
          <w:b/>
          <w:bCs/>
          <w:sz w:val="20"/>
          <w:szCs w:val="20"/>
          <w:rtl/>
        </w:rPr>
        <w:t>ב"ח</w:t>
      </w:r>
      <w:r>
        <w:rPr>
          <w:rFonts w:hint="cs"/>
          <w:sz w:val="20"/>
          <w:szCs w:val="20"/>
          <w:rtl/>
        </w:rPr>
        <w:t xml:space="preserve"> </w:t>
      </w:r>
      <w:r w:rsidRPr="00341CA3">
        <w:rPr>
          <w:rFonts w:hint="cs"/>
          <w:sz w:val="18"/>
          <w:szCs w:val="18"/>
          <w:rtl/>
        </w:rPr>
        <w:t xml:space="preserve">(הו"ד </w:t>
      </w:r>
      <w:r w:rsidRPr="00341CA3">
        <w:rPr>
          <w:rFonts w:hint="cs"/>
          <w:b/>
          <w:bCs/>
          <w:sz w:val="18"/>
          <w:szCs w:val="18"/>
          <w:rtl/>
        </w:rPr>
        <w:t>בש"ך</w:t>
      </w:r>
      <w:r w:rsidRPr="00341CA3">
        <w:rPr>
          <w:rFonts w:hint="cs"/>
          <w:sz w:val="18"/>
          <w:szCs w:val="18"/>
          <w:rtl/>
        </w:rPr>
        <w:t xml:space="preserve">) </w:t>
      </w:r>
      <w:r>
        <w:rPr>
          <w:sz w:val="20"/>
          <w:szCs w:val="20"/>
          <w:rtl/>
        </w:rPr>
        <w:t>–</w:t>
      </w:r>
      <w:r>
        <w:rPr>
          <w:rFonts w:hint="cs"/>
          <w:sz w:val="20"/>
          <w:szCs w:val="20"/>
          <w:rtl/>
        </w:rPr>
        <w:t xml:space="preserve"> עלתה לה טבילה, אא"כ בנה היה מלוכלך בטיט או תבשיל ולא עיינה בגופה לפני טבילה.</w:t>
      </w:r>
      <w:r>
        <w:rPr>
          <w:sz w:val="20"/>
          <w:szCs w:val="20"/>
          <w:rtl/>
        </w:rPr>
        <w:br/>
      </w:r>
      <w:r w:rsidRPr="00966BF8">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הפוסקים לא כתבו את דין מפשלת את בנה, ומשמע שאינם סוברים זאת, אלא החמירו רק בנתנה תבשיל לבנה. אמנם, כאשר בנה מלוכלך בטיט או תבשיל הוי כמו שנתנה לו תבשיל ולכן חוצץ.</w:t>
      </w:r>
    </w:p>
    <w:p w:rsidR="00620060" w:rsidRDefault="00620060" w:rsidP="00620060">
      <w:pPr>
        <w:rPr>
          <w:sz w:val="20"/>
          <w:szCs w:val="20"/>
          <w:rtl/>
        </w:rPr>
      </w:pPr>
      <w:r>
        <w:rPr>
          <w:sz w:val="20"/>
          <w:szCs w:val="20"/>
          <w:rtl/>
        </w:rPr>
        <w:br/>
      </w:r>
      <w:r>
        <w:rPr>
          <w:rFonts w:hint="cs"/>
          <w:b/>
          <w:bCs/>
          <w:sz w:val="20"/>
          <w:szCs w:val="20"/>
          <w:rtl/>
        </w:rPr>
        <w:t xml:space="preserve">סעיף מב </w:t>
      </w:r>
      <w:r>
        <w:rPr>
          <w:b/>
          <w:bCs/>
          <w:sz w:val="20"/>
          <w:szCs w:val="20"/>
          <w:rtl/>
        </w:rPr>
        <w:t>–</w:t>
      </w:r>
      <w:r>
        <w:rPr>
          <w:rFonts w:hint="cs"/>
          <w:b/>
          <w:bCs/>
          <w:sz w:val="20"/>
          <w:szCs w:val="20"/>
          <w:rtl/>
        </w:rPr>
        <w:t xml:space="preserve"> צרורות וקסמים ברגליים</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תוספתא </w:t>
      </w:r>
      <w:r>
        <w:rPr>
          <w:rFonts w:hint="cs"/>
          <w:sz w:val="20"/>
          <w:szCs w:val="20"/>
          <w:rtl/>
        </w:rPr>
        <w:t>מקוואות (ז, ט) "</w:t>
      </w:r>
      <w:r w:rsidRPr="002944E7">
        <w:rPr>
          <w:rFonts w:cs="Arial"/>
          <w:sz w:val="20"/>
          <w:szCs w:val="20"/>
          <w:rtl/>
        </w:rPr>
        <w:t>נכנסו צרורות וקיסמין בסידקי רגליו מלמטה</w:t>
      </w:r>
      <w:r>
        <w:rPr>
          <w:rFonts w:cs="Arial" w:hint="cs"/>
          <w:sz w:val="20"/>
          <w:szCs w:val="20"/>
          <w:rtl/>
        </w:rPr>
        <w:t>,</w:t>
      </w:r>
      <w:r w:rsidRPr="002944E7">
        <w:rPr>
          <w:rFonts w:cs="Arial"/>
          <w:sz w:val="20"/>
          <w:szCs w:val="20"/>
          <w:rtl/>
        </w:rPr>
        <w:t xml:space="preserve"> ר</w:t>
      </w:r>
      <w:r>
        <w:rPr>
          <w:rFonts w:cs="Arial" w:hint="cs"/>
          <w:sz w:val="20"/>
          <w:szCs w:val="20"/>
          <w:rtl/>
        </w:rPr>
        <w:t xml:space="preserve">בי </w:t>
      </w:r>
      <w:r w:rsidRPr="002944E7">
        <w:rPr>
          <w:rFonts w:cs="Arial"/>
          <w:sz w:val="20"/>
          <w:szCs w:val="20"/>
          <w:rtl/>
        </w:rPr>
        <w:t>עקיבא אומר</w:t>
      </w:r>
      <w:r>
        <w:rPr>
          <w:rFonts w:cs="Arial" w:hint="cs"/>
          <w:sz w:val="20"/>
          <w:szCs w:val="20"/>
          <w:rtl/>
        </w:rPr>
        <w:t>:</w:t>
      </w:r>
      <w:r w:rsidRPr="002944E7">
        <w:rPr>
          <w:rFonts w:cs="Arial"/>
          <w:sz w:val="20"/>
          <w:szCs w:val="20"/>
          <w:rtl/>
        </w:rPr>
        <w:t xml:space="preserve"> אינו חוצץ מפני שהוא </w:t>
      </w:r>
      <w:r>
        <w:rPr>
          <w:rFonts w:cs="Arial"/>
          <w:sz w:val="20"/>
          <w:szCs w:val="20"/>
          <w:rtl/>
        </w:rPr>
        <w:t>כבית הסתרים</w:t>
      </w:r>
      <w:r>
        <w:rPr>
          <w:rFonts w:cs="Arial" w:hint="cs"/>
          <w:sz w:val="20"/>
          <w:szCs w:val="20"/>
          <w:rtl/>
        </w:rPr>
        <w:t>".</w:t>
      </w:r>
      <w:r>
        <w:rPr>
          <w:rFonts w:hint="cs"/>
          <w:sz w:val="20"/>
          <w:szCs w:val="20"/>
          <w:rtl/>
        </w:rPr>
        <w:br/>
      </w:r>
      <w:r w:rsidRPr="002944E7">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צרורות וקסמים שנכנסו בסדקי הרגליים, חוצצים, וכ"פ </w:t>
      </w:r>
      <w:r w:rsidRPr="002944E7">
        <w:rPr>
          <w:rFonts w:hint="cs"/>
          <w:b/>
          <w:bCs/>
          <w:sz w:val="20"/>
          <w:szCs w:val="20"/>
          <w:rtl/>
        </w:rPr>
        <w:t>המחבר</w:t>
      </w:r>
      <w:r>
        <w:rPr>
          <w:rFonts w:hint="cs"/>
          <w:sz w:val="20"/>
          <w:szCs w:val="20"/>
          <w:rtl/>
        </w:rPr>
        <w:t>.</w:t>
      </w:r>
      <w:r>
        <w:rPr>
          <w:sz w:val="20"/>
          <w:szCs w:val="20"/>
          <w:rtl/>
        </w:rPr>
        <w:br/>
      </w:r>
      <w:r w:rsidRPr="002944E7">
        <w:rPr>
          <w:rFonts w:hint="cs"/>
          <w:b/>
          <w:bCs/>
          <w:sz w:val="20"/>
          <w:szCs w:val="20"/>
          <w:rtl/>
        </w:rPr>
        <w:t>בית יוסף</w:t>
      </w:r>
      <w:r>
        <w:rPr>
          <w:rFonts w:hint="cs"/>
          <w:sz w:val="20"/>
          <w:szCs w:val="20"/>
          <w:rtl/>
        </w:rPr>
        <w:t xml:space="preserve"> </w:t>
      </w:r>
      <w:r>
        <w:rPr>
          <w:sz w:val="20"/>
          <w:szCs w:val="20"/>
          <w:rtl/>
        </w:rPr>
        <w:t>–</w:t>
      </w:r>
      <w:r>
        <w:rPr>
          <w:rFonts w:hint="cs"/>
          <w:sz w:val="20"/>
          <w:szCs w:val="20"/>
          <w:rtl/>
        </w:rPr>
        <w:t xml:space="preserve"> תמוה, מדוע הרמב"ם פסק כך כנגד דברי רבי עקיבא שנשנו ללא מחלוקת?</w:t>
      </w:r>
      <w:r>
        <w:rPr>
          <w:rFonts w:hint="cs"/>
          <w:sz w:val="20"/>
          <w:szCs w:val="20"/>
          <w:rtl/>
        </w:rPr>
        <w:br/>
        <w:t xml:space="preserve">ויש לומר </w:t>
      </w:r>
      <w:r>
        <w:rPr>
          <w:sz w:val="20"/>
          <w:szCs w:val="20"/>
          <w:rtl/>
        </w:rPr>
        <w:t>–</w:t>
      </w:r>
      <w:r>
        <w:rPr>
          <w:rFonts w:hint="cs"/>
          <w:sz w:val="20"/>
          <w:szCs w:val="20"/>
          <w:rtl/>
        </w:rPr>
        <w:t xml:space="preserve"> כיוון שהתנא שנה דין זה בשם רבי עקיבא בלבד, משמע ששאר התנאים חולקים.</w:t>
      </w:r>
      <w:r>
        <w:rPr>
          <w:rStyle w:val="a5"/>
          <w:sz w:val="20"/>
          <w:szCs w:val="20"/>
          <w:rtl/>
        </w:rPr>
        <w:footnoteReference w:id="691"/>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שולחן ערוך</w:t>
      </w:r>
      <w:r>
        <w:rPr>
          <w:rFonts w:hint="cs"/>
          <w:sz w:val="20"/>
          <w:szCs w:val="20"/>
          <w:rtl/>
        </w:rPr>
        <w:t xml:space="preserve"> </w:t>
      </w:r>
      <w:r>
        <w:rPr>
          <w:sz w:val="20"/>
          <w:szCs w:val="20"/>
          <w:rtl/>
        </w:rPr>
        <w:t>–</w:t>
      </w:r>
      <w:r>
        <w:rPr>
          <w:rFonts w:hint="cs"/>
          <w:sz w:val="20"/>
          <w:szCs w:val="20"/>
          <w:rtl/>
        </w:rPr>
        <w:t xml:space="preserve"> "</w:t>
      </w:r>
      <w:r w:rsidRPr="002944E7">
        <w:rPr>
          <w:rFonts w:cs="Arial"/>
          <w:sz w:val="20"/>
          <w:szCs w:val="20"/>
          <w:rtl/>
        </w:rPr>
        <w:t>נכנסו צרורות ו</w:t>
      </w:r>
      <w:r>
        <w:rPr>
          <w:rFonts w:cs="Arial"/>
          <w:sz w:val="20"/>
          <w:szCs w:val="20"/>
          <w:rtl/>
        </w:rPr>
        <w:t>קסמים בסדקי רגליה מלמטה, חוצצים</w:t>
      </w:r>
      <w:r>
        <w:rPr>
          <w:rFonts w:cs="Arial" w:hint="cs"/>
          <w:sz w:val="20"/>
          <w:szCs w:val="20"/>
          <w:rtl/>
        </w:rPr>
        <w:t>".</w:t>
      </w:r>
      <w:r>
        <w:rPr>
          <w:rFonts w:hint="cs"/>
          <w:sz w:val="20"/>
          <w:szCs w:val="20"/>
          <w:rtl/>
        </w:rPr>
        <w:br/>
      </w:r>
      <w:r w:rsidRPr="00E84D9A">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אע"פ שהסדקים הם בית הסתרים שאינו צריך ביאת מים, מכל מקום צריך להיות ראוי לביאת מים.</w:t>
      </w:r>
      <w:r>
        <w:rPr>
          <w:rFonts w:hint="cs"/>
          <w:sz w:val="20"/>
          <w:szCs w:val="20"/>
          <w:rtl/>
        </w:rPr>
        <w:br/>
      </w:r>
      <w:r w:rsidRPr="006512F9">
        <w:rPr>
          <w:rFonts w:hint="cs"/>
          <w:b/>
          <w:bCs/>
          <w:sz w:val="20"/>
          <w:szCs w:val="20"/>
          <w:rtl/>
        </w:rPr>
        <w:t>ששבה"ל</w:t>
      </w:r>
      <w:r>
        <w:rPr>
          <w:rFonts w:hint="cs"/>
          <w:sz w:val="20"/>
          <w:szCs w:val="20"/>
          <w:rtl/>
        </w:rPr>
        <w:t xml:space="preserve"> </w:t>
      </w:r>
      <w:r>
        <w:rPr>
          <w:sz w:val="20"/>
          <w:szCs w:val="20"/>
          <w:rtl/>
        </w:rPr>
        <w:t>–</w:t>
      </w:r>
      <w:r>
        <w:rPr>
          <w:rFonts w:hint="cs"/>
          <w:sz w:val="20"/>
          <w:szCs w:val="20"/>
          <w:rtl/>
        </w:rPr>
        <w:t xml:space="preserve"> חול הים אינו חוצץ, כיוון שאינו מעכב ביאת מים.</w:t>
      </w:r>
    </w:p>
    <w:p w:rsidR="00620060" w:rsidRDefault="00620060" w:rsidP="00620060">
      <w:pPr>
        <w:rPr>
          <w:sz w:val="20"/>
          <w:szCs w:val="20"/>
          <w:rtl/>
        </w:rPr>
      </w:pPr>
      <w:r>
        <w:rPr>
          <w:sz w:val="20"/>
          <w:szCs w:val="20"/>
          <w:rtl/>
        </w:rPr>
        <w:br/>
      </w:r>
      <w:r>
        <w:rPr>
          <w:rFonts w:hint="cs"/>
          <w:b/>
          <w:bCs/>
          <w:sz w:val="20"/>
          <w:szCs w:val="20"/>
          <w:rtl/>
        </w:rPr>
        <w:t>סעיף מג - תחבושת או צואה בבית הסתרים</w:t>
      </w:r>
      <w:r>
        <w:rPr>
          <w:rFonts w:hint="cs"/>
          <w:b/>
          <w:bCs/>
          <w:sz w:val="20"/>
          <w:szCs w:val="20"/>
          <w:rtl/>
        </w:rPr>
        <w:br/>
        <w:t xml:space="preserve">תחבושת </w:t>
      </w:r>
      <w:r>
        <w:rPr>
          <w:b/>
          <w:bCs/>
          <w:sz w:val="20"/>
          <w:szCs w:val="20"/>
          <w:rtl/>
        </w:rPr>
        <w:t>–</w:t>
      </w:r>
      <w:r>
        <w:rPr>
          <w:rFonts w:hint="cs"/>
          <w:b/>
          <w:bCs/>
          <w:sz w:val="20"/>
          <w:szCs w:val="20"/>
          <w:rtl/>
        </w:rPr>
        <w:t xml:space="preserve"> מקור הדין</w:t>
      </w:r>
      <w:r>
        <w:rPr>
          <w:b/>
          <w:bCs/>
          <w:sz w:val="20"/>
          <w:szCs w:val="20"/>
          <w:rtl/>
        </w:rPr>
        <w:br/>
      </w:r>
      <w:r>
        <w:rPr>
          <w:rFonts w:hint="cs"/>
          <w:b/>
          <w:bCs/>
          <w:sz w:val="20"/>
          <w:szCs w:val="20"/>
          <w:rtl/>
        </w:rPr>
        <w:t xml:space="preserve">תוספתא </w:t>
      </w:r>
      <w:r>
        <w:rPr>
          <w:rFonts w:hint="cs"/>
          <w:sz w:val="20"/>
          <w:szCs w:val="20"/>
          <w:rtl/>
        </w:rPr>
        <w:t>מקוואות (ז, ה) "</w:t>
      </w:r>
      <w:r w:rsidRPr="00BB43BA">
        <w:rPr>
          <w:rFonts w:cs="Arial"/>
          <w:sz w:val="20"/>
          <w:szCs w:val="20"/>
          <w:rtl/>
        </w:rPr>
        <w:t>אספלנית</w:t>
      </w:r>
      <w:r>
        <w:rPr>
          <w:rFonts w:cs="Arial" w:hint="cs"/>
          <w:sz w:val="20"/>
          <w:szCs w:val="20"/>
          <w:rtl/>
        </w:rPr>
        <w:t>,</w:t>
      </w:r>
      <w:r w:rsidRPr="00BB43BA">
        <w:rPr>
          <w:rFonts w:cs="Arial"/>
          <w:sz w:val="20"/>
          <w:szCs w:val="20"/>
          <w:rtl/>
        </w:rPr>
        <w:t xml:space="preserve"> מלוגמא ורטייה שעל בית הסתרים </w:t>
      </w:r>
      <w:r>
        <w:rPr>
          <w:rFonts w:cs="Arial" w:hint="cs"/>
          <w:sz w:val="20"/>
          <w:szCs w:val="20"/>
          <w:rtl/>
        </w:rPr>
        <w:t xml:space="preserve">- </w:t>
      </w:r>
      <w:r w:rsidRPr="00BB43BA">
        <w:rPr>
          <w:rFonts w:cs="Arial"/>
          <w:sz w:val="20"/>
          <w:szCs w:val="20"/>
          <w:rtl/>
        </w:rPr>
        <w:t>ר</w:t>
      </w:r>
      <w:r>
        <w:rPr>
          <w:rFonts w:cs="Arial" w:hint="cs"/>
          <w:sz w:val="20"/>
          <w:szCs w:val="20"/>
          <w:rtl/>
        </w:rPr>
        <w:t>בי</w:t>
      </w:r>
      <w:r w:rsidRPr="00BB43BA">
        <w:rPr>
          <w:rFonts w:cs="Arial"/>
          <w:sz w:val="20"/>
          <w:szCs w:val="20"/>
          <w:rtl/>
        </w:rPr>
        <w:t xml:space="preserve"> אומר</w:t>
      </w:r>
      <w:r>
        <w:rPr>
          <w:rFonts w:cs="Arial" w:hint="cs"/>
          <w:sz w:val="20"/>
          <w:szCs w:val="20"/>
          <w:rtl/>
        </w:rPr>
        <w:t>:</w:t>
      </w:r>
      <w:r w:rsidRPr="00BB43BA">
        <w:rPr>
          <w:rFonts w:cs="Arial"/>
          <w:sz w:val="20"/>
          <w:szCs w:val="20"/>
          <w:rtl/>
        </w:rPr>
        <w:t xml:space="preserve"> חוצץ</w:t>
      </w:r>
      <w:r>
        <w:rPr>
          <w:rFonts w:cs="Arial" w:hint="cs"/>
          <w:sz w:val="20"/>
          <w:szCs w:val="20"/>
          <w:rtl/>
        </w:rPr>
        <w:t>,</w:t>
      </w:r>
      <w:r w:rsidRPr="00BB43BA">
        <w:rPr>
          <w:rFonts w:cs="Arial"/>
          <w:sz w:val="20"/>
          <w:szCs w:val="20"/>
          <w:rtl/>
        </w:rPr>
        <w:t xml:space="preserve"> ור</w:t>
      </w:r>
      <w:r>
        <w:rPr>
          <w:rFonts w:cs="Arial" w:hint="cs"/>
          <w:sz w:val="20"/>
          <w:szCs w:val="20"/>
          <w:rtl/>
        </w:rPr>
        <w:t>בי</w:t>
      </w:r>
      <w:r w:rsidRPr="00BB43BA">
        <w:rPr>
          <w:rFonts w:cs="Arial"/>
          <w:sz w:val="20"/>
          <w:szCs w:val="20"/>
          <w:rtl/>
        </w:rPr>
        <w:t xml:space="preserve"> יוסי בר</w:t>
      </w:r>
      <w:r>
        <w:rPr>
          <w:rFonts w:cs="Arial" w:hint="cs"/>
          <w:sz w:val="20"/>
          <w:szCs w:val="20"/>
          <w:rtl/>
        </w:rPr>
        <w:t>בי</w:t>
      </w:r>
      <w:r w:rsidRPr="00BB43BA">
        <w:rPr>
          <w:rFonts w:cs="Arial"/>
          <w:sz w:val="20"/>
          <w:szCs w:val="20"/>
          <w:rtl/>
        </w:rPr>
        <w:t xml:space="preserve"> יהודה אומר</w:t>
      </w:r>
      <w:r>
        <w:rPr>
          <w:rFonts w:cs="Arial" w:hint="cs"/>
          <w:sz w:val="20"/>
          <w:szCs w:val="20"/>
          <w:rtl/>
        </w:rPr>
        <w:t>:</w:t>
      </w:r>
      <w:r w:rsidRPr="00BB43BA">
        <w:rPr>
          <w:rFonts w:cs="Arial"/>
          <w:sz w:val="20"/>
          <w:szCs w:val="20"/>
          <w:rtl/>
        </w:rPr>
        <w:t xml:space="preserve"> אינו חוצץ</w:t>
      </w:r>
      <w:r>
        <w:rPr>
          <w:rFonts w:cs="Arial" w:hint="cs"/>
          <w:sz w:val="20"/>
          <w:szCs w:val="20"/>
          <w:rtl/>
        </w:rPr>
        <w:t>".</w:t>
      </w:r>
      <w:r>
        <w:rPr>
          <w:rFonts w:hint="cs"/>
          <w:sz w:val="20"/>
          <w:szCs w:val="20"/>
          <w:rtl/>
        </w:rPr>
        <w:br/>
      </w:r>
      <w:r w:rsidRPr="00BB43BA">
        <w:rPr>
          <w:rFonts w:hint="cs"/>
          <w:b/>
          <w:bCs/>
          <w:sz w:val="20"/>
          <w:szCs w:val="20"/>
          <w:rtl/>
        </w:rPr>
        <w:t>בית יוסף</w:t>
      </w:r>
      <w:r>
        <w:rPr>
          <w:rFonts w:hint="cs"/>
          <w:sz w:val="20"/>
          <w:szCs w:val="20"/>
          <w:rtl/>
        </w:rPr>
        <w:t xml:space="preserve"> </w:t>
      </w:r>
      <w:r>
        <w:rPr>
          <w:sz w:val="20"/>
          <w:szCs w:val="20"/>
          <w:rtl/>
        </w:rPr>
        <w:t>–</w:t>
      </w:r>
      <w:r>
        <w:rPr>
          <w:rFonts w:hint="cs"/>
          <w:sz w:val="20"/>
          <w:szCs w:val="20"/>
          <w:rtl/>
        </w:rPr>
        <w:t xml:space="preserve"> מחלוקתם היא האם בית הסתרים צריך להיות ראוי לביאת מים, רבי סובר שצריך להיות ראוי ולכן התחבושת מעכבת, רבי יוסי חולק וסובר שאינו צריך להיות ראוי לביאת מים ולכן תחבושת אינה חוצצת.</w:t>
      </w:r>
      <w:r>
        <w:rPr>
          <w:sz w:val="20"/>
          <w:szCs w:val="20"/>
          <w:rtl/>
        </w:rPr>
        <w:br/>
      </w:r>
      <w:r>
        <w:rPr>
          <w:rFonts w:hint="cs"/>
          <w:sz w:val="20"/>
          <w:szCs w:val="20"/>
          <w:rtl/>
        </w:rPr>
        <w:t>לדינא, קיי"ל שבית הסתרים צריך להיות ראוי לביאת מים ותחבושת מעכבת.</w:t>
      </w:r>
    </w:p>
    <w:p w:rsidR="00620060" w:rsidRDefault="00620060" w:rsidP="00620060">
      <w:pPr>
        <w:rPr>
          <w:rFonts w:cs="Arial"/>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BB43BA">
        <w:rPr>
          <w:rFonts w:cs="Arial"/>
          <w:sz w:val="20"/>
          <w:szCs w:val="20"/>
          <w:rtl/>
        </w:rPr>
        <w:t>אספלנית, מלוגמא ורטיה שעל בית הסתרים, חוצצין; אף על פי שאינם צריכים שיכנסו בהם המים, צריכים ש</w:t>
      </w:r>
      <w:r>
        <w:rPr>
          <w:rFonts w:cs="Arial"/>
          <w:sz w:val="20"/>
          <w:szCs w:val="20"/>
          <w:rtl/>
        </w:rPr>
        <w:t>יהיו ראוים ולא יהא בהם דבר חוצץ</w:t>
      </w:r>
      <w:r>
        <w:rPr>
          <w:rFonts w:cs="Arial" w:hint="cs"/>
          <w:sz w:val="20"/>
          <w:szCs w:val="20"/>
          <w:rtl/>
        </w:rPr>
        <w:t>".</w:t>
      </w:r>
    </w:p>
    <w:p w:rsidR="00620060" w:rsidRPr="00BB43BA" w:rsidRDefault="00620060" w:rsidP="00620060">
      <w:pPr>
        <w:rPr>
          <w:sz w:val="20"/>
          <w:szCs w:val="20"/>
        </w:rPr>
      </w:pPr>
      <w:r>
        <w:rPr>
          <w:rFonts w:hint="cs"/>
          <w:b/>
          <w:bCs/>
          <w:sz w:val="20"/>
          <w:szCs w:val="20"/>
          <w:rtl/>
        </w:rPr>
        <w:t>צואה בבית הסתרים</w:t>
      </w:r>
      <w:r>
        <w:rPr>
          <w:rFonts w:cs="Arial"/>
          <w:b/>
          <w:bCs/>
          <w:sz w:val="20"/>
          <w:szCs w:val="20"/>
          <w:rtl/>
        </w:rPr>
        <w:br/>
      </w:r>
      <w:r>
        <w:rPr>
          <w:rFonts w:cs="Arial" w:hint="cs"/>
          <w:b/>
          <w:bCs/>
          <w:sz w:val="20"/>
          <w:szCs w:val="20"/>
          <w:rtl/>
        </w:rPr>
        <w:t>פסיקת הלכה</w:t>
      </w:r>
      <w:r>
        <w:rPr>
          <w:rFonts w:cs="Arial"/>
          <w:b/>
          <w:bCs/>
          <w:sz w:val="20"/>
          <w:szCs w:val="20"/>
          <w:rtl/>
        </w:rPr>
        <w:br/>
      </w:r>
      <w:r>
        <w:rPr>
          <w:rFonts w:cs="Arial" w:hint="cs"/>
          <w:b/>
          <w:bCs/>
          <w:sz w:val="20"/>
          <w:szCs w:val="20"/>
          <w:rtl/>
        </w:rPr>
        <w:t xml:space="preserve">רמ"א </w:t>
      </w:r>
      <w:r w:rsidRPr="00BB43BA">
        <w:rPr>
          <w:rFonts w:cs="Arial" w:hint="cs"/>
          <w:sz w:val="18"/>
          <w:szCs w:val="18"/>
          <w:rtl/>
        </w:rPr>
        <w:t xml:space="preserve">(ע"פ </w:t>
      </w:r>
      <w:r w:rsidRPr="00BB43BA">
        <w:rPr>
          <w:rFonts w:cs="Arial" w:hint="cs"/>
          <w:b/>
          <w:bCs/>
          <w:sz w:val="18"/>
          <w:szCs w:val="18"/>
          <w:rtl/>
        </w:rPr>
        <w:t>שערי דורא וראב"ן</w:t>
      </w:r>
      <w:r w:rsidRPr="00BB43BA">
        <w:rPr>
          <w:rFonts w:cs="Arial" w:hint="cs"/>
          <w:sz w:val="18"/>
          <w:szCs w:val="18"/>
          <w:rtl/>
        </w:rPr>
        <w:t>)</w:t>
      </w:r>
      <w:r w:rsidRPr="00BB43BA">
        <w:rPr>
          <w:rFonts w:cs="Arial" w:hint="cs"/>
          <w:b/>
          <w:bCs/>
          <w:sz w:val="18"/>
          <w:szCs w:val="18"/>
          <w:rtl/>
        </w:rPr>
        <w:t xml:space="preserve"> </w:t>
      </w:r>
      <w:r w:rsidRPr="00BB43BA">
        <w:rPr>
          <w:rFonts w:cs="Arial"/>
          <w:sz w:val="18"/>
          <w:szCs w:val="18"/>
          <w:rtl/>
        </w:rPr>
        <w:t>–</w:t>
      </w:r>
      <w:r w:rsidRPr="00BB43BA">
        <w:rPr>
          <w:rFonts w:cs="Arial" w:hint="cs"/>
          <w:sz w:val="18"/>
          <w:szCs w:val="18"/>
          <w:rtl/>
        </w:rPr>
        <w:t xml:space="preserve"> "</w:t>
      </w:r>
      <w:r w:rsidRPr="00BB43BA">
        <w:rPr>
          <w:rFonts w:cs="Arial"/>
          <w:sz w:val="18"/>
          <w:szCs w:val="18"/>
          <w:rtl/>
        </w:rPr>
        <w:t>יש אומרים שהאשה צריכה להטיל מים קודם טבילה אם היא צריכה לכך. גם צריכה לבדוק עצמה בגדולים ובקטנים שלא תהא צריכה לעצור עצמה ולא יהיו ראוי</w:t>
      </w:r>
      <w:r>
        <w:rPr>
          <w:rFonts w:cs="Arial" w:hint="cs"/>
          <w:sz w:val="18"/>
          <w:szCs w:val="18"/>
          <w:rtl/>
        </w:rPr>
        <w:t>י</w:t>
      </w:r>
      <w:r w:rsidRPr="00BB43BA">
        <w:rPr>
          <w:rFonts w:cs="Arial"/>
          <w:sz w:val="18"/>
          <w:szCs w:val="18"/>
          <w:rtl/>
        </w:rPr>
        <w:t>ם לביאת מים. גם צריכה להסיר צואת החוטם</w:t>
      </w:r>
      <w:r>
        <w:rPr>
          <w:rFonts w:hint="cs"/>
          <w:sz w:val="20"/>
          <w:szCs w:val="20"/>
          <w:rtl/>
        </w:rPr>
        <w:t>".</w:t>
      </w:r>
      <w:r>
        <w:rPr>
          <w:rStyle w:val="a5"/>
          <w:sz w:val="20"/>
          <w:szCs w:val="20"/>
          <w:rtl/>
        </w:rPr>
        <w:footnoteReference w:id="692"/>
      </w:r>
      <w:r>
        <w:rPr>
          <w:rFonts w:hint="cs"/>
          <w:sz w:val="20"/>
          <w:szCs w:val="20"/>
          <w:rtl/>
        </w:rPr>
        <w:br/>
      </w:r>
      <w:r w:rsidRPr="00D62171">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חציצות אלו אינן מעכבות בדיעבד </w:t>
      </w:r>
      <w:r w:rsidRPr="00D62171">
        <w:rPr>
          <w:rFonts w:hint="cs"/>
          <w:sz w:val="18"/>
          <w:szCs w:val="18"/>
          <w:rtl/>
        </w:rPr>
        <w:t>(והאחרונים הוסיפו שכך הדין אף אם באמת היתה צריכה לנקביה)</w:t>
      </w:r>
      <w:r>
        <w:rPr>
          <w:rFonts w:hint="cs"/>
          <w:sz w:val="20"/>
          <w:szCs w:val="20"/>
          <w:rtl/>
        </w:rPr>
        <w:t>.</w:t>
      </w:r>
      <w:r>
        <w:rPr>
          <w:rStyle w:val="a5"/>
          <w:sz w:val="20"/>
          <w:szCs w:val="20"/>
        </w:rPr>
        <w:footnoteReference w:id="693"/>
      </w:r>
    </w:p>
    <w:p w:rsidR="00620060" w:rsidRDefault="00620060" w:rsidP="00620060">
      <w:pPr>
        <w:spacing w:line="300" w:lineRule="exact"/>
        <w:rPr>
          <w:rFonts w:asciiTheme="minorBidi" w:hAnsiTheme="minorBidi"/>
          <w:sz w:val="20"/>
          <w:szCs w:val="20"/>
          <w:rtl/>
        </w:rPr>
      </w:pPr>
      <w:r w:rsidRPr="00A8404F">
        <w:rPr>
          <w:rFonts w:asciiTheme="minorBidi" w:hAnsiTheme="minorBidi"/>
          <w:sz w:val="20"/>
          <w:szCs w:val="20"/>
          <w:u w:val="single"/>
          <w:rtl/>
        </w:rPr>
        <w:t>צואת החוטם</w:t>
      </w:r>
      <w:r>
        <w:rPr>
          <w:rFonts w:asciiTheme="minorBidi" w:hAnsiTheme="minorBidi" w:hint="cs"/>
          <w:b/>
          <w:bCs/>
          <w:sz w:val="20"/>
          <w:szCs w:val="20"/>
          <w:rtl/>
        </w:rPr>
        <w:br/>
      </w:r>
      <w:r>
        <w:rPr>
          <w:rFonts w:asciiTheme="minorBidi" w:hAnsiTheme="minorBidi" w:hint="cs"/>
          <w:sz w:val="20"/>
          <w:szCs w:val="20"/>
          <w:rtl/>
        </w:rPr>
        <w:t xml:space="preserve">א. </w:t>
      </w:r>
      <w:r w:rsidRPr="00A8404F">
        <w:rPr>
          <w:rFonts w:asciiTheme="minorBidi" w:hAnsiTheme="minorBidi"/>
          <w:b/>
          <w:bCs/>
          <w:sz w:val="20"/>
          <w:szCs w:val="20"/>
          <w:rtl/>
        </w:rPr>
        <w:t>קיצור שולחן ערוך</w:t>
      </w:r>
      <w:r w:rsidRPr="00D62171">
        <w:rPr>
          <w:rFonts w:asciiTheme="minorBidi" w:hAnsiTheme="minorBidi"/>
          <w:sz w:val="20"/>
          <w:szCs w:val="20"/>
          <w:rtl/>
        </w:rPr>
        <w:t xml:space="preserve"> - רק מה שנמצא בשפת החוטם מבפנים </w:t>
      </w:r>
      <w:r>
        <w:rPr>
          <w:rFonts w:asciiTheme="minorBidi" w:hAnsiTheme="minorBidi" w:hint="cs"/>
          <w:sz w:val="20"/>
          <w:szCs w:val="20"/>
          <w:rtl/>
        </w:rPr>
        <w:t xml:space="preserve">חוצץ, </w:t>
      </w:r>
      <w:r w:rsidRPr="00D62171">
        <w:rPr>
          <w:rFonts w:asciiTheme="minorBidi" w:hAnsiTheme="minorBidi"/>
          <w:sz w:val="20"/>
          <w:szCs w:val="20"/>
          <w:rtl/>
        </w:rPr>
        <w:t>אבל מה ש</w:t>
      </w:r>
      <w:r>
        <w:rPr>
          <w:rFonts w:asciiTheme="minorBidi" w:hAnsiTheme="minorBidi" w:hint="cs"/>
          <w:sz w:val="20"/>
          <w:szCs w:val="20"/>
          <w:rtl/>
        </w:rPr>
        <w:t xml:space="preserve">עמוק </w:t>
      </w:r>
      <w:r w:rsidRPr="00D62171">
        <w:rPr>
          <w:rFonts w:asciiTheme="minorBidi" w:hAnsiTheme="minorBidi"/>
          <w:sz w:val="20"/>
          <w:szCs w:val="20"/>
          <w:rtl/>
        </w:rPr>
        <w:t>ממנו אי</w:t>
      </w:r>
      <w:r>
        <w:rPr>
          <w:rFonts w:asciiTheme="minorBidi" w:hAnsiTheme="minorBidi" w:hint="cs"/>
          <w:sz w:val="20"/>
          <w:szCs w:val="20"/>
          <w:rtl/>
        </w:rPr>
        <w:t>נו חוצץ.</w:t>
      </w:r>
      <w:r>
        <w:rPr>
          <w:rFonts w:asciiTheme="minorBidi" w:hAnsiTheme="minorBidi"/>
          <w:sz w:val="20"/>
          <w:szCs w:val="20"/>
          <w:rtl/>
        </w:rPr>
        <w:br/>
      </w:r>
      <w:r w:rsidRPr="00A8404F">
        <w:rPr>
          <w:rFonts w:asciiTheme="minorBidi" w:hAnsiTheme="minorBidi" w:hint="cs"/>
          <w:b/>
          <w:bCs/>
          <w:sz w:val="20"/>
          <w:szCs w:val="20"/>
          <w:rtl/>
        </w:rPr>
        <w:t>טעם</w:t>
      </w:r>
      <w:r>
        <w:rPr>
          <w:rFonts w:asciiTheme="minorBidi" w:hAnsiTheme="minorBidi" w:hint="cs"/>
          <w:sz w:val="20"/>
          <w:szCs w:val="20"/>
          <w:rtl/>
        </w:rPr>
        <w:t xml:space="preserve"> - </w:t>
      </w:r>
      <w:r w:rsidRPr="00D62171">
        <w:rPr>
          <w:rFonts w:asciiTheme="minorBidi" w:hAnsiTheme="minorBidi"/>
          <w:sz w:val="20"/>
          <w:szCs w:val="20"/>
          <w:rtl/>
        </w:rPr>
        <w:t>או בגלל שאין מקפידים על כך</w:t>
      </w:r>
      <w:r>
        <w:rPr>
          <w:rFonts w:asciiTheme="minorBidi" w:hAnsiTheme="minorBidi" w:hint="cs"/>
          <w:sz w:val="20"/>
          <w:szCs w:val="20"/>
          <w:rtl/>
        </w:rPr>
        <w:t>,</w:t>
      </w:r>
      <w:r w:rsidRPr="00D62171">
        <w:rPr>
          <w:rFonts w:asciiTheme="minorBidi" w:hAnsiTheme="minorBidi"/>
          <w:sz w:val="20"/>
          <w:szCs w:val="20"/>
          <w:rtl/>
        </w:rPr>
        <w:t xml:space="preserve"> או בגלל שכל דין של בית הסתרים הוא רק במקום שדרכן להתגלות לפעמים כגון הפה והעין, אבל מה שאינו מתגלה לעולם אין צריך אף ראוי לביאת מים</w:t>
      </w:r>
      <w:r>
        <w:rPr>
          <w:rFonts w:asciiTheme="minorBidi" w:hAnsiTheme="minorBidi" w:hint="cs"/>
          <w:sz w:val="20"/>
          <w:szCs w:val="20"/>
          <w:rtl/>
        </w:rPr>
        <w:t>.</w:t>
      </w:r>
      <w:r>
        <w:rPr>
          <w:rFonts w:asciiTheme="minorBidi" w:hAnsiTheme="minorBidi" w:hint="cs"/>
          <w:sz w:val="20"/>
          <w:szCs w:val="20"/>
          <w:rtl/>
        </w:rPr>
        <w:br/>
        <w:t xml:space="preserve">ב. </w:t>
      </w:r>
      <w:r w:rsidRPr="00A8404F">
        <w:rPr>
          <w:rFonts w:asciiTheme="minorBidi" w:hAnsiTheme="minorBidi" w:hint="cs"/>
          <w:b/>
          <w:bCs/>
          <w:sz w:val="20"/>
          <w:szCs w:val="20"/>
          <w:rtl/>
        </w:rPr>
        <w:t xml:space="preserve">חכמת אדם </w:t>
      </w:r>
      <w:r>
        <w:rPr>
          <w:rFonts w:asciiTheme="minorBidi" w:hAnsiTheme="minorBidi"/>
          <w:sz w:val="20"/>
          <w:szCs w:val="20"/>
          <w:rtl/>
        </w:rPr>
        <w:t>–</w:t>
      </w:r>
      <w:r>
        <w:rPr>
          <w:rFonts w:asciiTheme="minorBidi" w:hAnsiTheme="minorBidi" w:hint="cs"/>
          <w:sz w:val="20"/>
          <w:szCs w:val="20"/>
          <w:rtl/>
        </w:rPr>
        <w:t xml:space="preserve"> צואת האף חוצצת במקום</w:t>
      </w:r>
      <w:r w:rsidRPr="00D62171">
        <w:rPr>
          <w:rFonts w:asciiTheme="minorBidi" w:hAnsiTheme="minorBidi"/>
          <w:sz w:val="20"/>
          <w:szCs w:val="20"/>
          <w:rtl/>
        </w:rPr>
        <w:t xml:space="preserve"> שמגיעה אליו</w:t>
      </w:r>
      <w:r>
        <w:rPr>
          <w:rFonts w:asciiTheme="minorBidi" w:hAnsiTheme="minorBidi" w:hint="cs"/>
          <w:sz w:val="20"/>
          <w:szCs w:val="20"/>
          <w:rtl/>
        </w:rPr>
        <w:t xml:space="preserve">, </w:t>
      </w:r>
      <w:r w:rsidRPr="00D62171">
        <w:rPr>
          <w:rFonts w:asciiTheme="minorBidi" w:hAnsiTheme="minorBidi"/>
          <w:sz w:val="20"/>
          <w:szCs w:val="20"/>
          <w:rtl/>
        </w:rPr>
        <w:t>אבל מה שאין</w:t>
      </w:r>
      <w:r>
        <w:rPr>
          <w:rFonts w:asciiTheme="minorBidi" w:hAnsiTheme="minorBidi"/>
          <w:sz w:val="20"/>
          <w:szCs w:val="20"/>
          <w:rtl/>
        </w:rPr>
        <w:t xml:space="preserve"> מגיעה אליו אלא בקושי </w:t>
      </w:r>
      <w:r>
        <w:rPr>
          <w:rFonts w:asciiTheme="minorBidi" w:hAnsiTheme="minorBidi" w:hint="cs"/>
          <w:sz w:val="20"/>
          <w:szCs w:val="20"/>
          <w:rtl/>
        </w:rPr>
        <w:t>אינו חוצץ.</w:t>
      </w:r>
    </w:p>
    <w:p w:rsidR="00620060" w:rsidRDefault="00620060" w:rsidP="00620060">
      <w:pPr>
        <w:spacing w:line="300" w:lineRule="exact"/>
        <w:rPr>
          <w:rFonts w:cs="David"/>
          <w:rtl/>
        </w:rPr>
      </w:pPr>
      <w:r>
        <w:rPr>
          <w:rFonts w:asciiTheme="minorBidi" w:hAnsiTheme="minorBidi" w:hint="cs"/>
          <w:sz w:val="20"/>
          <w:szCs w:val="20"/>
          <w:u w:val="single"/>
          <w:rtl/>
        </w:rPr>
        <w:lastRenderedPageBreak/>
        <w:t>צואת האוזן</w:t>
      </w:r>
      <w:r>
        <w:rPr>
          <w:rFonts w:asciiTheme="minorBidi" w:hAnsiTheme="minorBidi"/>
          <w:sz w:val="20"/>
          <w:szCs w:val="20"/>
          <w:u w:val="single"/>
          <w:rtl/>
        </w:rPr>
        <w:br/>
      </w:r>
      <w:r w:rsidRPr="009312F9">
        <w:rPr>
          <w:rFonts w:ascii="Arial" w:hAnsi="Arial" w:cs="Arial"/>
          <w:sz w:val="20"/>
          <w:szCs w:val="20"/>
          <w:rtl/>
        </w:rPr>
        <w:t>כתבו האחרונים שכל דינים אלו נכונים גם לגבי צואת האוזן.</w:t>
      </w:r>
    </w:p>
    <w:p w:rsidR="00620060" w:rsidRDefault="00620060" w:rsidP="00620060">
      <w:pPr>
        <w:spacing w:line="300" w:lineRule="exact"/>
        <w:rPr>
          <w:rFonts w:asciiTheme="minorBidi" w:hAnsiTheme="minorBidi"/>
          <w:sz w:val="20"/>
          <w:szCs w:val="20"/>
          <w:rtl/>
        </w:rPr>
      </w:pPr>
      <w:r>
        <w:rPr>
          <w:rFonts w:asciiTheme="minorBidi" w:hAnsiTheme="minorBidi"/>
          <w:sz w:val="20"/>
          <w:szCs w:val="20"/>
          <w:rtl/>
        </w:rPr>
        <w:br/>
      </w:r>
      <w:r>
        <w:rPr>
          <w:rFonts w:asciiTheme="minorBidi" w:hAnsiTheme="minorBidi" w:hint="cs"/>
          <w:b/>
          <w:bCs/>
          <w:sz w:val="20"/>
          <w:szCs w:val="20"/>
          <w:rtl/>
        </w:rPr>
        <w:t xml:space="preserve">סעיף מד </w:t>
      </w:r>
      <w:r>
        <w:rPr>
          <w:rFonts w:asciiTheme="minorBidi" w:hAnsiTheme="minorBidi"/>
          <w:b/>
          <w:bCs/>
          <w:sz w:val="20"/>
          <w:szCs w:val="20"/>
          <w:rtl/>
        </w:rPr>
        <w:t>–</w:t>
      </w:r>
      <w:r>
        <w:rPr>
          <w:rFonts w:asciiTheme="minorBidi" w:hAnsiTheme="minorBidi" w:hint="cs"/>
          <w:b/>
          <w:bCs/>
          <w:sz w:val="20"/>
          <w:szCs w:val="20"/>
          <w:rtl/>
        </w:rPr>
        <w:t xml:space="preserve"> חציצה בשערות</w:t>
      </w:r>
      <w:r>
        <w:rPr>
          <w:rFonts w:asciiTheme="minorBidi" w:hAnsiTheme="minorBidi"/>
          <w:b/>
          <w:bCs/>
          <w:sz w:val="20"/>
          <w:szCs w:val="20"/>
          <w:rtl/>
        </w:rPr>
        <w:br/>
      </w:r>
      <w:r>
        <w:rPr>
          <w:rFonts w:asciiTheme="minorBidi" w:hAnsiTheme="minorBidi" w:hint="cs"/>
          <w:b/>
          <w:bCs/>
          <w:sz w:val="20"/>
          <w:szCs w:val="20"/>
          <w:rtl/>
        </w:rPr>
        <w:t>פסיקת הלכה</w:t>
      </w:r>
      <w:r>
        <w:rPr>
          <w:rFonts w:asciiTheme="minorBidi" w:hAnsiTheme="minorBidi"/>
          <w:b/>
          <w:bCs/>
          <w:sz w:val="20"/>
          <w:szCs w:val="20"/>
          <w:rtl/>
        </w:rPr>
        <w:br/>
      </w:r>
      <w:r>
        <w:rPr>
          <w:rFonts w:asciiTheme="minorBidi" w:hAnsiTheme="minorBidi" w:hint="cs"/>
          <w:b/>
          <w:bCs/>
          <w:sz w:val="20"/>
          <w:szCs w:val="20"/>
          <w:rtl/>
        </w:rPr>
        <w:t xml:space="preserve">שולחן ערוך </w:t>
      </w:r>
      <w:r w:rsidRPr="00625D3E">
        <w:rPr>
          <w:rFonts w:asciiTheme="minorBidi" w:hAnsiTheme="minorBidi" w:hint="cs"/>
          <w:sz w:val="18"/>
          <w:szCs w:val="18"/>
          <w:rtl/>
        </w:rPr>
        <w:t xml:space="preserve">(ע"פ </w:t>
      </w:r>
      <w:r w:rsidRPr="00625D3E">
        <w:rPr>
          <w:rFonts w:asciiTheme="minorBidi" w:hAnsiTheme="minorBidi" w:hint="cs"/>
          <w:b/>
          <w:bCs/>
          <w:sz w:val="18"/>
          <w:szCs w:val="18"/>
          <w:rtl/>
        </w:rPr>
        <w:t>התוספתא</w:t>
      </w:r>
      <w:r w:rsidRPr="00625D3E">
        <w:rPr>
          <w:rFonts w:asciiTheme="minorBidi" w:hAnsiTheme="minorBidi" w:hint="cs"/>
          <w:sz w:val="18"/>
          <w:szCs w:val="18"/>
          <w:rtl/>
        </w:rPr>
        <w:t xml:space="preserve">) </w:t>
      </w:r>
      <w:r>
        <w:rPr>
          <w:rFonts w:asciiTheme="minorBidi" w:hAnsiTheme="minorBidi"/>
          <w:sz w:val="20"/>
          <w:szCs w:val="20"/>
          <w:rtl/>
        </w:rPr>
        <w:t>–</w:t>
      </w:r>
      <w:r>
        <w:rPr>
          <w:rFonts w:asciiTheme="minorBidi" w:hAnsiTheme="minorBidi" w:hint="cs"/>
          <w:sz w:val="20"/>
          <w:szCs w:val="20"/>
          <w:rtl/>
        </w:rPr>
        <w:t xml:space="preserve"> "</w:t>
      </w:r>
      <w:r w:rsidRPr="00625D3E">
        <w:rPr>
          <w:rFonts w:asciiTheme="minorBidi" w:hAnsiTheme="minorBidi" w:cs="Arial"/>
          <w:sz w:val="20"/>
          <w:szCs w:val="20"/>
          <w:rtl/>
        </w:rPr>
        <w:t>היתה בה שערה אחת או שתים חוץ למכ</w:t>
      </w:r>
      <w:r>
        <w:rPr>
          <w:rFonts w:asciiTheme="minorBidi" w:hAnsiTheme="minorBidi" w:cs="Arial" w:hint="cs"/>
          <w:sz w:val="20"/>
          <w:szCs w:val="20"/>
          <w:rtl/>
        </w:rPr>
        <w:t>ה</w:t>
      </w:r>
      <w:r w:rsidRPr="00625D3E">
        <w:rPr>
          <w:rFonts w:asciiTheme="minorBidi" w:hAnsiTheme="minorBidi" w:cs="Arial"/>
          <w:sz w:val="20"/>
          <w:szCs w:val="20"/>
          <w:rtl/>
        </w:rPr>
        <w:t xml:space="preserve"> </w:t>
      </w:r>
      <w:r>
        <w:rPr>
          <w:rFonts w:asciiTheme="minorBidi" w:hAnsiTheme="minorBidi" w:cs="Arial" w:hint="cs"/>
          <w:sz w:val="20"/>
          <w:szCs w:val="20"/>
          <w:rtl/>
        </w:rPr>
        <w:t>ו</w:t>
      </w:r>
      <w:r w:rsidRPr="00625D3E">
        <w:rPr>
          <w:rFonts w:asciiTheme="minorBidi" w:hAnsiTheme="minorBidi" w:cs="Arial"/>
          <w:sz w:val="20"/>
          <w:szCs w:val="20"/>
          <w:rtl/>
        </w:rPr>
        <w:t>ראש</w:t>
      </w:r>
      <w:r>
        <w:rPr>
          <w:rFonts w:asciiTheme="minorBidi" w:hAnsiTheme="minorBidi" w:cs="Arial" w:hint="cs"/>
          <w:sz w:val="20"/>
          <w:szCs w:val="20"/>
          <w:rtl/>
        </w:rPr>
        <w:t>ן</w:t>
      </w:r>
      <w:r w:rsidRPr="00625D3E">
        <w:rPr>
          <w:rFonts w:asciiTheme="minorBidi" w:hAnsiTheme="minorBidi" w:cs="Arial"/>
          <w:sz w:val="20"/>
          <w:szCs w:val="20"/>
          <w:rtl/>
        </w:rPr>
        <w:t xml:space="preserve"> מודבק למכה, או שהיו שתי שערות ראשה מודבקות בטיט או בצואה, או שהיו שתי שערות בריסי עיניה מלמטה ונקבו והוציאתן בריסי עיניה מלמעלה וכן אם היו ב' שערות ריסי עיניה של מטה מדובקות בריסי עיניה שלמעלה, הרי אלו חוצצים</w:t>
      </w:r>
      <w:r>
        <w:rPr>
          <w:rFonts w:asciiTheme="minorBidi" w:hAnsiTheme="minorBidi" w:cs="Arial" w:hint="cs"/>
          <w:sz w:val="20"/>
          <w:szCs w:val="20"/>
          <w:rtl/>
        </w:rPr>
        <w:t>"</w:t>
      </w:r>
      <w:r>
        <w:rPr>
          <w:rStyle w:val="a5"/>
          <w:rFonts w:asciiTheme="minorBidi" w:hAnsiTheme="minorBidi" w:cs="Arial"/>
          <w:sz w:val="20"/>
          <w:szCs w:val="20"/>
          <w:rtl/>
        </w:rPr>
        <w:footnoteReference w:id="694"/>
      </w:r>
      <w:r w:rsidRPr="00625D3E">
        <w:rPr>
          <w:rFonts w:asciiTheme="minorBidi" w:hAnsiTheme="minorBidi" w:cs="Arial"/>
          <w:sz w:val="20"/>
          <w:szCs w:val="20"/>
          <w:rtl/>
        </w:rPr>
        <w:t>.</w:t>
      </w:r>
      <w:r>
        <w:rPr>
          <w:rFonts w:asciiTheme="minorBidi" w:hAnsiTheme="minorBidi" w:hint="cs"/>
          <w:sz w:val="20"/>
          <w:szCs w:val="20"/>
          <w:rtl/>
        </w:rPr>
        <w:br/>
      </w:r>
      <w:r w:rsidRPr="009312F9">
        <w:rPr>
          <w:rFonts w:asciiTheme="minorBidi" w:hAnsiTheme="minorBidi" w:hint="cs"/>
          <w:b/>
          <w:bCs/>
          <w:sz w:val="20"/>
          <w:szCs w:val="20"/>
          <w:rtl/>
        </w:rPr>
        <w:t>דרכי משה</w:t>
      </w:r>
      <w:r>
        <w:rPr>
          <w:rFonts w:asciiTheme="minorBidi" w:hAnsiTheme="minorBidi" w:hint="cs"/>
          <w:sz w:val="20"/>
          <w:szCs w:val="20"/>
          <w:rtl/>
        </w:rPr>
        <w:t xml:space="preserve"> </w:t>
      </w:r>
      <w:r>
        <w:rPr>
          <w:rFonts w:asciiTheme="minorBidi" w:hAnsiTheme="minorBidi"/>
          <w:sz w:val="20"/>
          <w:szCs w:val="20"/>
          <w:rtl/>
        </w:rPr>
        <w:t>–</w:t>
      </w:r>
      <w:r>
        <w:rPr>
          <w:rFonts w:asciiTheme="minorBidi" w:hAnsiTheme="minorBidi" w:hint="cs"/>
          <w:sz w:val="20"/>
          <w:szCs w:val="20"/>
          <w:rtl/>
        </w:rPr>
        <w:t xml:space="preserve"> חציצות אלו הוי חציצה לכו"ע משום שהם מיעוטו ומקפיד עליו.</w:t>
      </w:r>
      <w:r>
        <w:rPr>
          <w:rStyle w:val="a5"/>
          <w:rFonts w:asciiTheme="minorBidi" w:hAnsiTheme="minorBidi"/>
          <w:sz w:val="20"/>
          <w:szCs w:val="20"/>
          <w:rtl/>
        </w:rPr>
        <w:footnoteReference w:id="695"/>
      </w:r>
    </w:p>
    <w:p w:rsidR="00620060" w:rsidRDefault="00620060" w:rsidP="00620060">
      <w:pPr>
        <w:spacing w:line="300" w:lineRule="exact"/>
        <w:rPr>
          <w:rFonts w:asciiTheme="minorBidi" w:hAnsiTheme="minorBidi"/>
          <w:b/>
          <w:bCs/>
          <w:sz w:val="20"/>
          <w:szCs w:val="20"/>
          <w:rtl/>
        </w:rPr>
      </w:pPr>
      <w:r>
        <w:rPr>
          <w:rFonts w:asciiTheme="minorBidi" w:hAnsiTheme="minorBidi"/>
          <w:sz w:val="20"/>
          <w:szCs w:val="20"/>
          <w:rtl/>
        </w:rPr>
        <w:br/>
      </w:r>
      <w:r>
        <w:rPr>
          <w:rFonts w:asciiTheme="minorBidi" w:hAnsiTheme="minorBidi" w:hint="cs"/>
          <w:b/>
          <w:bCs/>
          <w:sz w:val="20"/>
          <w:szCs w:val="20"/>
          <w:rtl/>
        </w:rPr>
        <w:t xml:space="preserve">סעיף מה </w:t>
      </w:r>
      <w:r>
        <w:rPr>
          <w:rFonts w:asciiTheme="minorBidi" w:hAnsiTheme="minorBidi"/>
          <w:b/>
          <w:bCs/>
          <w:sz w:val="20"/>
          <w:szCs w:val="20"/>
          <w:rtl/>
        </w:rPr>
        <w:t>–</w:t>
      </w:r>
      <w:r>
        <w:rPr>
          <w:rFonts w:asciiTheme="minorBidi" w:hAnsiTheme="minorBidi" w:hint="cs"/>
          <w:b/>
          <w:bCs/>
          <w:sz w:val="20"/>
          <w:szCs w:val="20"/>
          <w:rtl/>
        </w:rPr>
        <w:t xml:space="preserve"> טבילה באבק שעל רגליה</w:t>
      </w:r>
      <w:r>
        <w:rPr>
          <w:rFonts w:asciiTheme="minorBidi" w:hAnsiTheme="minorBidi"/>
          <w:b/>
          <w:bCs/>
          <w:sz w:val="20"/>
          <w:szCs w:val="20"/>
          <w:rtl/>
        </w:rPr>
        <w:br/>
      </w:r>
      <w:r>
        <w:rPr>
          <w:rFonts w:asciiTheme="minorBidi" w:hAnsiTheme="minorBidi" w:hint="cs"/>
          <w:b/>
          <w:bCs/>
          <w:sz w:val="20"/>
          <w:szCs w:val="20"/>
          <w:rtl/>
        </w:rPr>
        <w:t>שיטות הראשונים</w:t>
      </w:r>
      <w:r>
        <w:rPr>
          <w:rFonts w:asciiTheme="minorBidi" w:hAnsiTheme="minorBidi" w:hint="cs"/>
          <w:b/>
          <w:bCs/>
          <w:sz w:val="20"/>
          <w:szCs w:val="20"/>
          <w:rtl/>
        </w:rPr>
        <w:br/>
      </w:r>
      <w:r>
        <w:rPr>
          <w:rFonts w:asciiTheme="minorBidi" w:hAnsiTheme="minorBidi" w:hint="cs"/>
          <w:sz w:val="20"/>
          <w:szCs w:val="20"/>
          <w:rtl/>
        </w:rPr>
        <w:t xml:space="preserve">א. </w:t>
      </w:r>
      <w:r w:rsidRPr="0026762C">
        <w:rPr>
          <w:rFonts w:asciiTheme="minorBidi" w:hAnsiTheme="minorBidi" w:hint="cs"/>
          <w:b/>
          <w:bCs/>
          <w:sz w:val="20"/>
          <w:szCs w:val="20"/>
          <w:rtl/>
        </w:rPr>
        <w:t>רמב"ם</w:t>
      </w:r>
      <w:r>
        <w:rPr>
          <w:rFonts w:asciiTheme="minorBidi" w:hAnsiTheme="minorBidi" w:hint="cs"/>
          <w:sz w:val="20"/>
          <w:szCs w:val="20"/>
          <w:rtl/>
        </w:rPr>
        <w:t xml:space="preserve"> </w:t>
      </w:r>
      <w:r>
        <w:rPr>
          <w:rFonts w:asciiTheme="minorBidi" w:hAnsiTheme="minorBidi"/>
          <w:sz w:val="20"/>
          <w:szCs w:val="20"/>
          <w:rtl/>
        </w:rPr>
        <w:t>–</w:t>
      </w:r>
      <w:r>
        <w:rPr>
          <w:rFonts w:asciiTheme="minorBidi" w:hAnsiTheme="minorBidi" w:hint="cs"/>
          <w:sz w:val="20"/>
          <w:szCs w:val="20"/>
          <w:rtl/>
        </w:rPr>
        <w:t xml:space="preserve"> לכתחילה לא תטבול באבק שעל רגליה, בדיעבד אין זו חציצה.</w:t>
      </w:r>
      <w:r>
        <w:rPr>
          <w:rFonts w:asciiTheme="minorBidi" w:hAnsiTheme="minorBidi"/>
          <w:sz w:val="20"/>
          <w:szCs w:val="20"/>
          <w:rtl/>
        </w:rPr>
        <w:br/>
      </w:r>
      <w:r>
        <w:rPr>
          <w:rFonts w:asciiTheme="minorBidi" w:hAnsiTheme="minorBidi" w:hint="cs"/>
          <w:sz w:val="20"/>
          <w:szCs w:val="20"/>
          <w:rtl/>
        </w:rPr>
        <w:t xml:space="preserve">ב. </w:t>
      </w:r>
      <w:r w:rsidRPr="0026762C">
        <w:rPr>
          <w:rFonts w:asciiTheme="minorBidi" w:hAnsiTheme="minorBidi" w:hint="cs"/>
          <w:b/>
          <w:bCs/>
          <w:sz w:val="20"/>
          <w:szCs w:val="20"/>
          <w:rtl/>
        </w:rPr>
        <w:t>ר"ש</w:t>
      </w:r>
      <w:r>
        <w:rPr>
          <w:rFonts w:asciiTheme="minorBidi" w:hAnsiTheme="minorBidi" w:hint="cs"/>
          <w:sz w:val="20"/>
          <w:szCs w:val="20"/>
          <w:rtl/>
        </w:rPr>
        <w:t xml:space="preserve"> </w:t>
      </w:r>
      <w:r>
        <w:rPr>
          <w:rFonts w:asciiTheme="minorBidi" w:hAnsiTheme="minorBidi"/>
          <w:sz w:val="20"/>
          <w:szCs w:val="20"/>
          <w:rtl/>
        </w:rPr>
        <w:t>–</w:t>
      </w:r>
      <w:r>
        <w:rPr>
          <w:rFonts w:asciiTheme="minorBidi" w:hAnsiTheme="minorBidi" w:hint="cs"/>
          <w:sz w:val="20"/>
          <w:szCs w:val="20"/>
          <w:rtl/>
        </w:rPr>
        <w:t xml:space="preserve"> אף בדיעבד לא עלתה לה טבילה, אלא אם כן טבלה במים חמים או ששפשפה רגליה מהאבק לפני.</w:t>
      </w:r>
      <w:r>
        <w:rPr>
          <w:rFonts w:asciiTheme="minorBidi" w:hAnsiTheme="minorBidi"/>
          <w:sz w:val="20"/>
          <w:szCs w:val="20"/>
          <w:rtl/>
        </w:rPr>
        <w:br/>
      </w:r>
      <w:r>
        <w:rPr>
          <w:rFonts w:asciiTheme="minorBidi" w:hAnsiTheme="minorBidi"/>
          <w:sz w:val="20"/>
          <w:szCs w:val="20"/>
          <w:rtl/>
        </w:rPr>
        <w:br/>
      </w:r>
      <w:r>
        <w:rPr>
          <w:rFonts w:asciiTheme="minorBidi" w:hAnsiTheme="minorBidi" w:hint="cs"/>
          <w:sz w:val="20"/>
          <w:szCs w:val="20"/>
          <w:u w:val="single"/>
          <w:rtl/>
        </w:rPr>
        <w:t>טעמי השיטות</w:t>
      </w:r>
      <w:r>
        <w:rPr>
          <w:rFonts w:asciiTheme="minorBidi" w:hAnsiTheme="minorBidi"/>
          <w:sz w:val="20"/>
          <w:szCs w:val="20"/>
          <w:u w:val="single"/>
          <w:rtl/>
        </w:rPr>
        <w:br/>
      </w:r>
      <w:r>
        <w:rPr>
          <w:rFonts w:asciiTheme="minorBidi" w:hAnsiTheme="minorBidi" w:hint="cs"/>
          <w:sz w:val="20"/>
          <w:szCs w:val="20"/>
          <w:rtl/>
        </w:rPr>
        <w:t xml:space="preserve">א. </w:t>
      </w:r>
      <w:r w:rsidRPr="0026762C">
        <w:rPr>
          <w:rFonts w:asciiTheme="minorBidi" w:hAnsiTheme="minorBidi" w:hint="cs"/>
          <w:b/>
          <w:bCs/>
          <w:sz w:val="20"/>
          <w:szCs w:val="20"/>
          <w:rtl/>
        </w:rPr>
        <w:t>רמב"ם</w:t>
      </w:r>
      <w:r>
        <w:rPr>
          <w:rFonts w:asciiTheme="minorBidi" w:hAnsiTheme="minorBidi" w:hint="cs"/>
          <w:sz w:val="20"/>
          <w:szCs w:val="20"/>
          <w:rtl/>
        </w:rPr>
        <w:t xml:space="preserve"> </w:t>
      </w:r>
      <w:r>
        <w:rPr>
          <w:rFonts w:asciiTheme="minorBidi" w:hAnsiTheme="minorBidi"/>
          <w:sz w:val="20"/>
          <w:szCs w:val="20"/>
          <w:rtl/>
        </w:rPr>
        <w:t>–</w:t>
      </w:r>
      <w:r>
        <w:rPr>
          <w:rFonts w:asciiTheme="minorBidi" w:hAnsiTheme="minorBidi" w:hint="cs"/>
          <w:sz w:val="20"/>
          <w:szCs w:val="20"/>
          <w:rtl/>
        </w:rPr>
        <w:t xml:space="preserve"> גירסתו בתוספתא </w:t>
      </w:r>
      <w:r>
        <w:rPr>
          <w:rFonts w:asciiTheme="minorBidi" w:hAnsiTheme="minorBidi"/>
          <w:sz w:val="20"/>
          <w:szCs w:val="20"/>
          <w:rtl/>
        </w:rPr>
        <w:t>–</w:t>
      </w:r>
      <w:r>
        <w:rPr>
          <w:rFonts w:asciiTheme="minorBidi" w:hAnsiTheme="minorBidi" w:hint="cs"/>
          <w:sz w:val="20"/>
          <w:szCs w:val="20"/>
          <w:rtl/>
        </w:rPr>
        <w:t xml:space="preserve"> "</w:t>
      </w:r>
      <w:r w:rsidRPr="0026762C">
        <w:rPr>
          <w:rFonts w:asciiTheme="minorBidi" w:hAnsiTheme="minorBidi" w:cs="Arial"/>
          <w:sz w:val="20"/>
          <w:szCs w:val="20"/>
          <w:rtl/>
        </w:rPr>
        <w:t>היו רגליו מליאות אבק וירד וט</w:t>
      </w:r>
      <w:r>
        <w:rPr>
          <w:rFonts w:asciiTheme="minorBidi" w:hAnsiTheme="minorBidi" w:cs="Arial"/>
          <w:sz w:val="20"/>
          <w:szCs w:val="20"/>
          <w:rtl/>
        </w:rPr>
        <w:t>בל במק</w:t>
      </w:r>
      <w:r>
        <w:rPr>
          <w:rFonts w:asciiTheme="minorBidi" w:hAnsiTheme="minorBidi" w:cs="Arial" w:hint="cs"/>
          <w:sz w:val="20"/>
          <w:szCs w:val="20"/>
          <w:rtl/>
        </w:rPr>
        <w:t>ו</w:t>
      </w:r>
      <w:r>
        <w:rPr>
          <w:rFonts w:asciiTheme="minorBidi" w:hAnsiTheme="minorBidi" w:cs="Arial"/>
          <w:sz w:val="20"/>
          <w:szCs w:val="20"/>
          <w:rtl/>
        </w:rPr>
        <w:t xml:space="preserve">וה שיש בו ארבעים סאה </w:t>
      </w:r>
      <w:r>
        <w:rPr>
          <w:rFonts w:asciiTheme="minorBidi" w:hAnsiTheme="minorBidi" w:cs="Arial" w:hint="cs"/>
          <w:sz w:val="20"/>
          <w:szCs w:val="20"/>
          <w:rtl/>
        </w:rPr>
        <w:t xml:space="preserve">- </w:t>
      </w:r>
      <w:r>
        <w:rPr>
          <w:rFonts w:asciiTheme="minorBidi" w:hAnsiTheme="minorBidi" w:cs="Arial"/>
          <w:sz w:val="20"/>
          <w:szCs w:val="20"/>
          <w:rtl/>
        </w:rPr>
        <w:t>טהור</w:t>
      </w:r>
      <w:r>
        <w:rPr>
          <w:rFonts w:asciiTheme="minorBidi" w:hAnsiTheme="minorBidi" w:cs="Arial" w:hint="cs"/>
          <w:sz w:val="20"/>
          <w:szCs w:val="20"/>
          <w:rtl/>
        </w:rPr>
        <w:t>".</w:t>
      </w:r>
      <w:r>
        <w:rPr>
          <w:rFonts w:asciiTheme="minorBidi" w:hAnsiTheme="minorBidi"/>
          <w:sz w:val="20"/>
          <w:szCs w:val="20"/>
          <w:rtl/>
        </w:rPr>
        <w:br/>
      </w:r>
      <w:r>
        <w:rPr>
          <w:rFonts w:asciiTheme="minorBidi" w:hAnsiTheme="minorBidi" w:hint="cs"/>
          <w:sz w:val="20"/>
          <w:szCs w:val="20"/>
          <w:rtl/>
        </w:rPr>
        <w:t xml:space="preserve">ב. </w:t>
      </w:r>
      <w:r w:rsidRPr="0026762C">
        <w:rPr>
          <w:rFonts w:asciiTheme="minorBidi" w:hAnsiTheme="minorBidi" w:hint="cs"/>
          <w:b/>
          <w:bCs/>
          <w:sz w:val="20"/>
          <w:szCs w:val="20"/>
          <w:rtl/>
        </w:rPr>
        <w:t>ר"ש</w:t>
      </w:r>
      <w:r>
        <w:rPr>
          <w:rFonts w:asciiTheme="minorBidi" w:hAnsiTheme="minorBidi" w:hint="cs"/>
          <w:sz w:val="20"/>
          <w:szCs w:val="20"/>
          <w:rtl/>
        </w:rPr>
        <w:t xml:space="preserve"> </w:t>
      </w:r>
      <w:r>
        <w:rPr>
          <w:rFonts w:asciiTheme="minorBidi" w:hAnsiTheme="minorBidi"/>
          <w:sz w:val="20"/>
          <w:szCs w:val="20"/>
          <w:rtl/>
        </w:rPr>
        <w:t>–</w:t>
      </w:r>
      <w:r>
        <w:rPr>
          <w:rFonts w:asciiTheme="minorBidi" w:hAnsiTheme="minorBidi" w:hint="cs"/>
          <w:sz w:val="20"/>
          <w:szCs w:val="20"/>
          <w:rtl/>
        </w:rPr>
        <w:t xml:space="preserve"> גירסתו בתוספתא </w:t>
      </w:r>
      <w:r>
        <w:rPr>
          <w:rFonts w:asciiTheme="minorBidi" w:hAnsiTheme="minorBidi"/>
          <w:sz w:val="20"/>
          <w:szCs w:val="20"/>
          <w:rtl/>
        </w:rPr>
        <w:t>–</w:t>
      </w:r>
      <w:r>
        <w:rPr>
          <w:rFonts w:asciiTheme="minorBidi" w:hAnsiTheme="minorBidi" w:hint="cs"/>
          <w:sz w:val="20"/>
          <w:szCs w:val="20"/>
          <w:rtl/>
        </w:rPr>
        <w:t xml:space="preserve"> "</w:t>
      </w:r>
      <w:r w:rsidRPr="0026762C">
        <w:rPr>
          <w:rFonts w:asciiTheme="minorBidi" w:hAnsiTheme="minorBidi" w:cs="Arial"/>
          <w:sz w:val="20"/>
          <w:szCs w:val="20"/>
          <w:rtl/>
        </w:rPr>
        <w:t>היו רגליו מליאות אבק וירד וטבל במקוה שיש בו מ' סאה טמא שפשף או שטבל בחמין טהור</w:t>
      </w:r>
      <w:r>
        <w:rPr>
          <w:rFonts w:asciiTheme="minorBidi" w:hAnsiTheme="minorBidi" w:cs="Arial" w:hint="cs"/>
          <w:sz w:val="20"/>
          <w:szCs w:val="20"/>
          <w:rtl/>
        </w:rPr>
        <w:t>".</w:t>
      </w:r>
      <w:r>
        <w:rPr>
          <w:rFonts w:asciiTheme="minorBidi" w:hAnsiTheme="minorBidi" w:cs="Arial"/>
          <w:sz w:val="20"/>
          <w:szCs w:val="20"/>
          <w:rtl/>
        </w:rPr>
        <w:br/>
      </w:r>
      <w:r w:rsidRPr="0026762C">
        <w:rPr>
          <w:rFonts w:asciiTheme="minorBidi" w:hAnsiTheme="minorBidi" w:cs="Arial" w:hint="cs"/>
          <w:b/>
          <w:bCs/>
          <w:sz w:val="20"/>
          <w:szCs w:val="20"/>
          <w:rtl/>
        </w:rPr>
        <w:t>טעם</w:t>
      </w:r>
      <w:r>
        <w:rPr>
          <w:rFonts w:asciiTheme="minorBidi" w:hAnsiTheme="minorBidi" w:cs="Arial" w:hint="cs"/>
          <w:sz w:val="20"/>
          <w:szCs w:val="20"/>
          <w:rtl/>
        </w:rPr>
        <w:t xml:space="preserve"> </w:t>
      </w:r>
      <w:r>
        <w:rPr>
          <w:rFonts w:asciiTheme="minorBidi" w:hAnsiTheme="minorBidi" w:cs="Arial"/>
          <w:sz w:val="20"/>
          <w:szCs w:val="20"/>
          <w:rtl/>
        </w:rPr>
        <w:t>–</w:t>
      </w:r>
      <w:r>
        <w:rPr>
          <w:rFonts w:asciiTheme="minorBidi" w:hAnsiTheme="minorBidi" w:cs="Arial" w:hint="cs"/>
          <w:sz w:val="20"/>
          <w:szCs w:val="20"/>
          <w:rtl/>
        </w:rPr>
        <w:t xml:space="preserve"> מים חמים מעבירים את האבק כפי ששפשוף מעביר אותו, אך אם לא שפשף האבק נעשה טיט וחוצץ.</w:t>
      </w:r>
    </w:p>
    <w:p w:rsidR="00620060" w:rsidRDefault="00620060" w:rsidP="00620060">
      <w:pPr>
        <w:spacing w:line="300" w:lineRule="exact"/>
        <w:rPr>
          <w:rFonts w:asciiTheme="minorBidi" w:hAnsiTheme="minorBidi"/>
          <w:b/>
          <w:bCs/>
          <w:sz w:val="20"/>
          <w:szCs w:val="20"/>
          <w:rtl/>
        </w:rPr>
      </w:pPr>
      <w:r>
        <w:rPr>
          <w:rFonts w:asciiTheme="minorBidi" w:hAnsiTheme="minorBidi" w:hint="cs"/>
          <w:b/>
          <w:bCs/>
          <w:sz w:val="20"/>
          <w:szCs w:val="20"/>
          <w:rtl/>
        </w:rPr>
        <w:t>פסיקת הלכה</w:t>
      </w:r>
      <w:r>
        <w:rPr>
          <w:rFonts w:asciiTheme="minorBidi" w:hAnsiTheme="minorBidi"/>
          <w:b/>
          <w:bCs/>
          <w:sz w:val="20"/>
          <w:szCs w:val="20"/>
          <w:rtl/>
        </w:rPr>
        <w:br/>
      </w:r>
      <w:r>
        <w:rPr>
          <w:rFonts w:asciiTheme="minorBidi" w:hAnsiTheme="minorBidi" w:hint="cs"/>
          <w:b/>
          <w:bCs/>
          <w:sz w:val="20"/>
          <w:szCs w:val="20"/>
          <w:rtl/>
        </w:rPr>
        <w:t xml:space="preserve">שולחן ערוך </w:t>
      </w:r>
      <w:r>
        <w:rPr>
          <w:rFonts w:asciiTheme="minorBidi" w:hAnsiTheme="minorBidi"/>
          <w:sz w:val="20"/>
          <w:szCs w:val="20"/>
          <w:rtl/>
        </w:rPr>
        <w:t>–</w:t>
      </w:r>
      <w:r>
        <w:rPr>
          <w:rFonts w:asciiTheme="minorBidi" w:hAnsiTheme="minorBidi" w:hint="cs"/>
          <w:sz w:val="20"/>
          <w:szCs w:val="20"/>
          <w:rtl/>
        </w:rPr>
        <w:t xml:space="preserve"> "</w:t>
      </w:r>
      <w:r w:rsidRPr="00C963C7">
        <w:rPr>
          <w:rFonts w:asciiTheme="minorBidi" w:hAnsiTheme="minorBidi" w:cs="Arial"/>
          <w:sz w:val="20"/>
          <w:szCs w:val="20"/>
          <w:rtl/>
        </w:rPr>
        <w:t>לא תטבול באבק של רגליה; ואם טבלה, יש מי שאומר שאינו חוצץ ויש מי שאומר שחוצץ,</w:t>
      </w:r>
      <w:r>
        <w:rPr>
          <w:rFonts w:asciiTheme="minorBidi" w:hAnsiTheme="minorBidi" w:cs="Arial"/>
          <w:sz w:val="20"/>
          <w:szCs w:val="20"/>
          <w:rtl/>
        </w:rPr>
        <w:t xml:space="preserve"> אלא אם כן שפשפה או שטבלה בחמין</w:t>
      </w:r>
      <w:r>
        <w:rPr>
          <w:rFonts w:asciiTheme="minorBidi" w:hAnsiTheme="minorBidi" w:cs="Arial" w:hint="cs"/>
          <w:sz w:val="20"/>
          <w:szCs w:val="20"/>
          <w:rtl/>
        </w:rPr>
        <w:t>".</w:t>
      </w:r>
    </w:p>
    <w:p w:rsidR="00620060" w:rsidRDefault="00620060" w:rsidP="00620060">
      <w:pPr>
        <w:spacing w:line="300" w:lineRule="exact"/>
        <w:rPr>
          <w:rFonts w:asciiTheme="minorBidi" w:hAnsiTheme="minorBidi"/>
          <w:sz w:val="20"/>
          <w:szCs w:val="20"/>
          <w:rtl/>
        </w:rPr>
      </w:pPr>
      <w:r>
        <w:rPr>
          <w:rFonts w:asciiTheme="minorBidi" w:hAnsiTheme="minorBidi" w:hint="cs"/>
          <w:sz w:val="20"/>
          <w:szCs w:val="20"/>
          <w:u w:val="single"/>
          <w:rtl/>
        </w:rPr>
        <w:t>אבק שבראשה (פת"ש)</w:t>
      </w:r>
      <w:r>
        <w:rPr>
          <w:rFonts w:asciiTheme="minorBidi" w:hAnsiTheme="minorBidi" w:hint="cs"/>
          <w:sz w:val="20"/>
          <w:szCs w:val="20"/>
          <w:u w:val="single"/>
          <w:rtl/>
        </w:rPr>
        <w:br/>
      </w:r>
      <w:r w:rsidRPr="00E3792A">
        <w:rPr>
          <w:rFonts w:asciiTheme="minorBidi" w:hAnsiTheme="minorBidi" w:hint="cs"/>
          <w:b/>
          <w:bCs/>
          <w:sz w:val="20"/>
          <w:szCs w:val="20"/>
          <w:rtl/>
        </w:rPr>
        <w:t xml:space="preserve">שו"ת </w:t>
      </w:r>
      <w:r w:rsidRPr="00476E34">
        <w:rPr>
          <w:rFonts w:asciiTheme="minorBidi" w:hAnsiTheme="minorBidi" w:hint="cs"/>
          <w:b/>
          <w:bCs/>
          <w:sz w:val="20"/>
          <w:szCs w:val="20"/>
          <w:rtl/>
        </w:rPr>
        <w:t>פני אריה</w:t>
      </w:r>
      <w:r w:rsidRPr="00476E34">
        <w:rPr>
          <w:rFonts w:asciiTheme="minorBidi" w:hAnsiTheme="minorBidi" w:hint="cs"/>
          <w:sz w:val="20"/>
          <w:szCs w:val="20"/>
          <w:rtl/>
        </w:rPr>
        <w:t xml:space="preserve"> </w:t>
      </w:r>
      <w:r w:rsidRPr="00476E34">
        <w:rPr>
          <w:rFonts w:asciiTheme="minorBidi" w:hAnsiTheme="minorBidi"/>
          <w:sz w:val="20"/>
          <w:szCs w:val="20"/>
          <w:rtl/>
        </w:rPr>
        <w:t>–</w:t>
      </w:r>
      <w:r w:rsidRPr="00476E34">
        <w:rPr>
          <w:rFonts w:asciiTheme="minorBidi" w:hAnsiTheme="minorBidi" w:hint="cs"/>
          <w:sz w:val="20"/>
          <w:szCs w:val="20"/>
          <w:rtl/>
        </w:rPr>
        <w:t xml:space="preserve"> אבקת פודרה</w:t>
      </w:r>
      <w:r w:rsidRPr="00677AE8">
        <w:rPr>
          <w:rFonts w:asciiTheme="minorBidi" w:hAnsiTheme="minorBidi" w:hint="cs"/>
          <w:sz w:val="18"/>
          <w:szCs w:val="18"/>
          <w:rtl/>
        </w:rPr>
        <w:t xml:space="preserve"> </w:t>
      </w:r>
      <w:r>
        <w:rPr>
          <w:rFonts w:asciiTheme="minorBidi" w:hAnsiTheme="minorBidi" w:hint="cs"/>
          <w:sz w:val="20"/>
          <w:szCs w:val="20"/>
          <w:rtl/>
        </w:rPr>
        <w:t>שנתנה בראשה חוצץ לכולי עלמא.</w:t>
      </w:r>
      <w:r>
        <w:rPr>
          <w:rStyle w:val="a5"/>
          <w:rFonts w:asciiTheme="minorBidi" w:hAnsiTheme="minorBidi"/>
          <w:sz w:val="20"/>
          <w:szCs w:val="20"/>
          <w:rtl/>
        </w:rPr>
        <w:footnoteReference w:id="696"/>
      </w:r>
      <w:r>
        <w:rPr>
          <w:rFonts w:asciiTheme="minorBidi" w:hAnsiTheme="minorBidi"/>
          <w:sz w:val="20"/>
          <w:szCs w:val="20"/>
          <w:rtl/>
        </w:rPr>
        <w:br/>
      </w:r>
      <w:r w:rsidRPr="00E3792A">
        <w:rPr>
          <w:rFonts w:asciiTheme="minorBidi" w:hAnsiTheme="minorBidi" w:hint="cs"/>
          <w:b/>
          <w:bCs/>
          <w:sz w:val="20"/>
          <w:szCs w:val="20"/>
          <w:rtl/>
        </w:rPr>
        <w:t>טעם</w:t>
      </w:r>
      <w:r>
        <w:rPr>
          <w:rFonts w:asciiTheme="minorBidi" w:hAnsiTheme="minorBidi" w:hint="cs"/>
          <w:sz w:val="20"/>
          <w:szCs w:val="20"/>
          <w:rtl/>
        </w:rPr>
        <w:t xml:space="preserve"> </w:t>
      </w:r>
      <w:r>
        <w:rPr>
          <w:rFonts w:asciiTheme="minorBidi" w:hAnsiTheme="minorBidi"/>
          <w:sz w:val="20"/>
          <w:szCs w:val="20"/>
          <w:rtl/>
        </w:rPr>
        <w:t>–</w:t>
      </w:r>
      <w:r>
        <w:rPr>
          <w:rFonts w:asciiTheme="minorBidi" w:hAnsiTheme="minorBidi" w:hint="cs"/>
          <w:sz w:val="20"/>
          <w:szCs w:val="20"/>
          <w:rtl/>
        </w:rPr>
        <w:t xml:space="preserve"> החוש מעיד שהאבק שבראש נדבק בשער וחוצץ </w:t>
      </w:r>
      <w:r w:rsidRPr="00E3792A">
        <w:rPr>
          <w:rFonts w:asciiTheme="minorBidi" w:hAnsiTheme="minorBidi" w:hint="cs"/>
          <w:sz w:val="18"/>
          <w:szCs w:val="18"/>
          <w:rtl/>
        </w:rPr>
        <w:t xml:space="preserve">(ע"פ </w:t>
      </w:r>
      <w:r w:rsidRPr="00E3792A">
        <w:rPr>
          <w:rFonts w:asciiTheme="minorBidi" w:hAnsiTheme="minorBidi" w:hint="cs"/>
          <w:b/>
          <w:bCs/>
          <w:sz w:val="18"/>
          <w:szCs w:val="18"/>
          <w:rtl/>
        </w:rPr>
        <w:t>בדה"ש</w:t>
      </w:r>
      <w:r w:rsidRPr="00E3792A">
        <w:rPr>
          <w:rFonts w:asciiTheme="minorBidi" w:hAnsiTheme="minorBidi" w:hint="cs"/>
          <w:sz w:val="18"/>
          <w:szCs w:val="18"/>
          <w:rtl/>
        </w:rPr>
        <w:t>)</w:t>
      </w:r>
      <w:r>
        <w:rPr>
          <w:rFonts w:asciiTheme="minorBidi" w:hAnsiTheme="minorBidi" w:hint="cs"/>
          <w:sz w:val="20"/>
          <w:szCs w:val="20"/>
          <w:rtl/>
        </w:rPr>
        <w:t>.</w:t>
      </w:r>
    </w:p>
    <w:p w:rsidR="00620060" w:rsidRDefault="00620060" w:rsidP="00620060">
      <w:pPr>
        <w:spacing w:line="300" w:lineRule="exact"/>
        <w:rPr>
          <w:rFonts w:asciiTheme="minorBidi" w:hAnsiTheme="minorBidi"/>
          <w:sz w:val="20"/>
          <w:szCs w:val="20"/>
          <w:rtl/>
        </w:rPr>
      </w:pPr>
      <w:r>
        <w:rPr>
          <w:rFonts w:asciiTheme="minorBidi" w:hAnsiTheme="minorBidi"/>
          <w:sz w:val="20"/>
          <w:szCs w:val="20"/>
          <w:rtl/>
        </w:rPr>
        <w:br/>
      </w:r>
      <w:r>
        <w:rPr>
          <w:rFonts w:asciiTheme="minorBidi" w:hAnsiTheme="minorBidi" w:hint="cs"/>
          <w:b/>
          <w:bCs/>
          <w:sz w:val="20"/>
          <w:szCs w:val="20"/>
          <w:rtl/>
        </w:rPr>
        <w:t xml:space="preserve">סעיף מו </w:t>
      </w:r>
      <w:r>
        <w:rPr>
          <w:rFonts w:asciiTheme="minorBidi" w:hAnsiTheme="minorBidi"/>
          <w:b/>
          <w:bCs/>
          <w:sz w:val="20"/>
          <w:szCs w:val="20"/>
          <w:rtl/>
        </w:rPr>
        <w:t>–</w:t>
      </w:r>
      <w:r>
        <w:rPr>
          <w:rFonts w:asciiTheme="minorBidi" w:hAnsiTheme="minorBidi" w:hint="cs"/>
          <w:b/>
          <w:bCs/>
          <w:sz w:val="20"/>
          <w:szCs w:val="20"/>
          <w:rtl/>
        </w:rPr>
        <w:t xml:space="preserve"> טבילה כשלבושה בבגדיה</w:t>
      </w:r>
      <w:r>
        <w:rPr>
          <w:rFonts w:asciiTheme="minorBidi" w:hAnsiTheme="minorBidi" w:hint="cs"/>
          <w:sz w:val="20"/>
          <w:szCs w:val="20"/>
          <w:rtl/>
        </w:rPr>
        <w:br/>
      </w:r>
      <w:r w:rsidRPr="004566E8">
        <w:rPr>
          <w:rFonts w:asciiTheme="minorBidi" w:hAnsiTheme="minorBidi" w:hint="cs"/>
          <w:b/>
          <w:bCs/>
          <w:sz w:val="20"/>
          <w:szCs w:val="20"/>
          <w:rtl/>
        </w:rPr>
        <w:t>מקור הדין</w:t>
      </w:r>
      <w:r w:rsidRPr="004566E8">
        <w:rPr>
          <w:rFonts w:asciiTheme="minorBidi" w:hAnsiTheme="minorBidi"/>
          <w:b/>
          <w:bCs/>
          <w:sz w:val="20"/>
          <w:szCs w:val="20"/>
          <w:rtl/>
        </w:rPr>
        <w:br/>
      </w:r>
      <w:r w:rsidRPr="004566E8">
        <w:rPr>
          <w:rFonts w:asciiTheme="minorBidi" w:hAnsiTheme="minorBidi" w:hint="cs"/>
          <w:b/>
          <w:bCs/>
          <w:sz w:val="20"/>
          <w:szCs w:val="20"/>
          <w:rtl/>
        </w:rPr>
        <w:t>גמרא</w:t>
      </w:r>
      <w:r>
        <w:rPr>
          <w:rFonts w:asciiTheme="minorBidi" w:hAnsiTheme="minorBidi" w:hint="cs"/>
          <w:sz w:val="20"/>
          <w:szCs w:val="20"/>
          <w:rtl/>
        </w:rPr>
        <w:t xml:space="preserve"> ביצה (יח.) "</w:t>
      </w:r>
      <w:r w:rsidRPr="004566E8">
        <w:rPr>
          <w:rFonts w:asciiTheme="minorBidi" w:hAnsiTheme="minorBidi" w:cs="Arial"/>
          <w:sz w:val="20"/>
          <w:szCs w:val="20"/>
          <w:rtl/>
        </w:rPr>
        <w:t>אמר רב חייא בר אשי אמר רב: נדה שאין</w:t>
      </w:r>
      <w:r>
        <w:rPr>
          <w:rFonts w:asciiTheme="minorBidi" w:hAnsiTheme="minorBidi" w:cs="Arial"/>
          <w:sz w:val="20"/>
          <w:szCs w:val="20"/>
          <w:rtl/>
        </w:rPr>
        <w:t xml:space="preserve"> לה בגדים - מערמת וטובלת בבגדיה</w:t>
      </w:r>
      <w:r>
        <w:rPr>
          <w:rFonts w:asciiTheme="minorBidi" w:hAnsiTheme="minorBidi" w:cs="Arial" w:hint="cs"/>
          <w:sz w:val="20"/>
          <w:szCs w:val="20"/>
          <w:rtl/>
        </w:rPr>
        <w:t>".</w:t>
      </w:r>
      <w:r>
        <w:rPr>
          <w:rStyle w:val="a5"/>
          <w:rFonts w:asciiTheme="minorBidi" w:hAnsiTheme="minorBidi"/>
          <w:sz w:val="20"/>
          <w:szCs w:val="20"/>
          <w:rtl/>
        </w:rPr>
        <w:footnoteReference w:id="697"/>
      </w:r>
    </w:p>
    <w:p w:rsidR="00620060" w:rsidRPr="00E3792A" w:rsidRDefault="00620060" w:rsidP="00620060">
      <w:pPr>
        <w:spacing w:line="300" w:lineRule="exact"/>
        <w:rPr>
          <w:rFonts w:asciiTheme="minorBidi" w:hAnsiTheme="minorBidi"/>
          <w:sz w:val="20"/>
          <w:szCs w:val="20"/>
          <w:rtl/>
        </w:rPr>
      </w:pPr>
      <w:r>
        <w:rPr>
          <w:rFonts w:asciiTheme="minorBidi" w:hAnsiTheme="minorBidi" w:hint="cs"/>
          <w:b/>
          <w:bCs/>
          <w:sz w:val="20"/>
          <w:szCs w:val="20"/>
          <w:rtl/>
        </w:rPr>
        <w:t>פסיקת הלכה</w:t>
      </w:r>
      <w:r>
        <w:rPr>
          <w:rFonts w:asciiTheme="minorBidi" w:hAnsiTheme="minorBidi"/>
          <w:b/>
          <w:bCs/>
          <w:sz w:val="20"/>
          <w:szCs w:val="20"/>
          <w:rtl/>
        </w:rPr>
        <w:br/>
      </w:r>
      <w:r>
        <w:rPr>
          <w:rFonts w:asciiTheme="minorBidi" w:hAnsiTheme="minorBidi" w:hint="cs"/>
          <w:b/>
          <w:bCs/>
          <w:sz w:val="20"/>
          <w:szCs w:val="20"/>
          <w:rtl/>
        </w:rPr>
        <w:t xml:space="preserve">שולחן ערוך </w:t>
      </w:r>
      <w:r>
        <w:rPr>
          <w:rFonts w:asciiTheme="minorBidi" w:hAnsiTheme="minorBidi"/>
          <w:sz w:val="20"/>
          <w:szCs w:val="20"/>
          <w:rtl/>
        </w:rPr>
        <w:t>–</w:t>
      </w:r>
      <w:r>
        <w:rPr>
          <w:rFonts w:asciiTheme="minorBidi" w:hAnsiTheme="minorBidi" w:hint="cs"/>
          <w:sz w:val="20"/>
          <w:szCs w:val="20"/>
          <w:rtl/>
        </w:rPr>
        <w:t xml:space="preserve"> "</w:t>
      </w:r>
      <w:r w:rsidRPr="004566E8">
        <w:rPr>
          <w:rFonts w:asciiTheme="minorBidi" w:hAnsiTheme="minorBidi" w:cs="Arial"/>
          <w:sz w:val="20"/>
          <w:szCs w:val="20"/>
          <w:rtl/>
        </w:rPr>
        <w:t>נדה שט</w:t>
      </w:r>
      <w:r>
        <w:rPr>
          <w:rFonts w:asciiTheme="minorBidi" w:hAnsiTheme="minorBidi" w:cs="Arial"/>
          <w:sz w:val="20"/>
          <w:szCs w:val="20"/>
          <w:rtl/>
        </w:rPr>
        <w:t>בלה בבגדיה מותרת לבעלה</w:t>
      </w:r>
      <w:r>
        <w:rPr>
          <w:rFonts w:asciiTheme="minorBidi" w:hAnsiTheme="minorBidi" w:cs="Arial" w:hint="cs"/>
          <w:sz w:val="20"/>
          <w:szCs w:val="20"/>
          <w:rtl/>
        </w:rPr>
        <w:t>".</w:t>
      </w:r>
      <w:r>
        <w:rPr>
          <w:rStyle w:val="a5"/>
          <w:rFonts w:asciiTheme="minorBidi" w:hAnsiTheme="minorBidi" w:cs="Arial"/>
          <w:sz w:val="20"/>
          <w:szCs w:val="20"/>
          <w:rtl/>
        </w:rPr>
        <w:footnoteReference w:id="698"/>
      </w:r>
      <w:r>
        <w:rPr>
          <w:rFonts w:asciiTheme="minorBidi" w:hAnsiTheme="minorBidi" w:hint="cs"/>
          <w:sz w:val="20"/>
          <w:szCs w:val="20"/>
          <w:rtl/>
        </w:rPr>
        <w:br/>
      </w:r>
      <w:r w:rsidRPr="004E33BC">
        <w:rPr>
          <w:rFonts w:asciiTheme="minorBidi" w:hAnsiTheme="minorBidi" w:hint="cs"/>
          <w:b/>
          <w:bCs/>
          <w:sz w:val="20"/>
          <w:szCs w:val="20"/>
          <w:rtl/>
        </w:rPr>
        <w:lastRenderedPageBreak/>
        <w:t>ש"ך</w:t>
      </w:r>
      <w:r>
        <w:rPr>
          <w:rFonts w:asciiTheme="minorBidi" w:hAnsiTheme="minorBidi" w:hint="cs"/>
          <w:sz w:val="20"/>
          <w:szCs w:val="20"/>
          <w:rtl/>
        </w:rPr>
        <w:t xml:space="preserve"> </w:t>
      </w:r>
      <w:r>
        <w:rPr>
          <w:rFonts w:asciiTheme="minorBidi" w:hAnsiTheme="minorBidi"/>
          <w:sz w:val="20"/>
          <w:szCs w:val="20"/>
          <w:rtl/>
        </w:rPr>
        <w:t>–</w:t>
      </w:r>
      <w:r>
        <w:rPr>
          <w:rFonts w:asciiTheme="minorBidi" w:hAnsiTheme="minorBidi" w:hint="cs"/>
          <w:sz w:val="20"/>
          <w:szCs w:val="20"/>
          <w:rtl/>
        </w:rPr>
        <w:t xml:space="preserve"> מדובר בבגדים רחבים שאינם צמודים לגוף, אך בבגדים הצמודים לגוף לא עלתה לה טבילה.</w:t>
      </w:r>
      <w:r w:rsidRPr="00E3792A">
        <w:rPr>
          <w:rFonts w:asciiTheme="minorBidi" w:hAnsiTheme="minorBidi"/>
          <w:sz w:val="20"/>
          <w:szCs w:val="20"/>
          <w:rtl/>
        </w:rPr>
        <w:br/>
      </w:r>
    </w:p>
    <w:p w:rsidR="00620060" w:rsidRDefault="00620060" w:rsidP="00620060">
      <w:pPr>
        <w:rPr>
          <w:rFonts w:cs="Arial"/>
          <w:sz w:val="20"/>
          <w:szCs w:val="20"/>
          <w:rtl/>
        </w:rPr>
      </w:pPr>
      <w:r>
        <w:rPr>
          <w:rFonts w:cs="Arial" w:hint="cs"/>
          <w:b/>
          <w:bCs/>
          <w:sz w:val="20"/>
          <w:szCs w:val="20"/>
          <w:rtl/>
        </w:rPr>
        <w:t xml:space="preserve">סעיף מז </w:t>
      </w:r>
      <w:r>
        <w:rPr>
          <w:rFonts w:cs="Arial"/>
          <w:b/>
          <w:bCs/>
          <w:sz w:val="20"/>
          <w:szCs w:val="20"/>
          <w:rtl/>
        </w:rPr>
        <w:t>–</w:t>
      </w:r>
      <w:r>
        <w:rPr>
          <w:rFonts w:cs="Arial" w:hint="cs"/>
          <w:b/>
          <w:bCs/>
          <w:sz w:val="20"/>
          <w:szCs w:val="20"/>
          <w:rtl/>
        </w:rPr>
        <w:t xml:space="preserve"> חציצה בכינים</w:t>
      </w:r>
      <w:r>
        <w:rPr>
          <w:rFonts w:cs="Arial"/>
          <w:b/>
          <w:bCs/>
          <w:sz w:val="20"/>
          <w:szCs w:val="20"/>
          <w:rtl/>
        </w:rPr>
        <w:br/>
      </w:r>
      <w:r>
        <w:rPr>
          <w:rFonts w:cs="Arial" w:hint="cs"/>
          <w:b/>
          <w:bCs/>
          <w:sz w:val="20"/>
          <w:szCs w:val="20"/>
          <w:rtl/>
        </w:rPr>
        <w:t>פסיקת הלכה</w:t>
      </w:r>
      <w:r>
        <w:rPr>
          <w:rFonts w:cs="Arial"/>
          <w:b/>
          <w:bCs/>
          <w:sz w:val="20"/>
          <w:szCs w:val="20"/>
          <w:rtl/>
        </w:rPr>
        <w:br/>
      </w:r>
      <w:r>
        <w:rPr>
          <w:rFonts w:cs="Arial" w:hint="cs"/>
          <w:b/>
          <w:bCs/>
          <w:sz w:val="20"/>
          <w:szCs w:val="20"/>
          <w:rtl/>
        </w:rPr>
        <w:t xml:space="preserve">שולחן ערוך </w:t>
      </w:r>
      <w:r w:rsidRPr="00211EB0">
        <w:rPr>
          <w:rFonts w:cs="Arial" w:hint="cs"/>
          <w:sz w:val="18"/>
          <w:szCs w:val="18"/>
          <w:rtl/>
        </w:rPr>
        <w:t xml:space="preserve">(ע"פ </w:t>
      </w:r>
      <w:r w:rsidRPr="00211EB0">
        <w:rPr>
          <w:rFonts w:cs="Arial" w:hint="cs"/>
          <w:b/>
          <w:bCs/>
          <w:sz w:val="18"/>
          <w:szCs w:val="18"/>
          <w:rtl/>
        </w:rPr>
        <w:t>הרוקח</w:t>
      </w:r>
      <w:r w:rsidRPr="00211EB0">
        <w:rPr>
          <w:rFonts w:cs="Arial" w:hint="cs"/>
          <w:sz w:val="18"/>
          <w:szCs w:val="18"/>
          <w:rtl/>
        </w:rPr>
        <w:t xml:space="preserve">) </w:t>
      </w:r>
      <w:r>
        <w:rPr>
          <w:rFonts w:cs="Arial"/>
          <w:sz w:val="20"/>
          <w:szCs w:val="20"/>
          <w:rtl/>
        </w:rPr>
        <w:t>–</w:t>
      </w:r>
      <w:r>
        <w:rPr>
          <w:rFonts w:cs="Arial" w:hint="cs"/>
          <w:sz w:val="20"/>
          <w:szCs w:val="20"/>
          <w:rtl/>
        </w:rPr>
        <w:t xml:space="preserve"> "</w:t>
      </w:r>
      <w:r w:rsidRPr="00211EB0">
        <w:rPr>
          <w:rFonts w:cs="Arial"/>
          <w:sz w:val="20"/>
          <w:szCs w:val="20"/>
          <w:rtl/>
        </w:rPr>
        <w:t>מין כנים שדבוקים בבשר ונושכים בעור במקום שיער ונדבקים בחוזק בבשר, צריך להסירן ע</w:t>
      </w:r>
      <w:r>
        <w:rPr>
          <w:rFonts w:cs="Arial" w:hint="cs"/>
          <w:sz w:val="20"/>
          <w:szCs w:val="20"/>
          <w:rtl/>
        </w:rPr>
        <w:t>ל ידי</w:t>
      </w:r>
      <w:r w:rsidRPr="00211EB0">
        <w:rPr>
          <w:rFonts w:cs="Arial"/>
          <w:sz w:val="20"/>
          <w:szCs w:val="20"/>
          <w:rtl/>
        </w:rPr>
        <w:t xml:space="preserve"> חמין ולגורדן בצפורן; </w:t>
      </w:r>
      <w:r>
        <w:rPr>
          <w:rFonts w:cs="Arial"/>
          <w:sz w:val="20"/>
          <w:szCs w:val="20"/>
          <w:rtl/>
        </w:rPr>
        <w:t>ואם אינו יכול להסירן, אינו חוצץ</w:t>
      </w:r>
      <w:r>
        <w:rPr>
          <w:rFonts w:cs="Arial" w:hint="cs"/>
          <w:sz w:val="20"/>
          <w:szCs w:val="20"/>
          <w:rtl/>
        </w:rPr>
        <w:t>".</w:t>
      </w:r>
      <w:r>
        <w:rPr>
          <w:rFonts w:cs="Arial" w:hint="cs"/>
          <w:sz w:val="20"/>
          <w:szCs w:val="20"/>
          <w:u w:val="single"/>
          <w:rtl/>
        </w:rPr>
        <w:br/>
      </w:r>
      <w:r>
        <w:rPr>
          <w:rFonts w:cs="Arial" w:hint="cs"/>
          <w:sz w:val="20"/>
          <w:szCs w:val="20"/>
          <w:u w:val="single"/>
          <w:rtl/>
        </w:rPr>
        <w:br/>
        <w:t>הערות האחרונים</w:t>
      </w:r>
      <w:r>
        <w:rPr>
          <w:rFonts w:cs="Arial"/>
          <w:sz w:val="20"/>
          <w:szCs w:val="20"/>
          <w:u w:val="single"/>
          <w:rtl/>
        </w:rPr>
        <w:br/>
      </w:r>
      <w:r>
        <w:rPr>
          <w:rFonts w:cs="Arial" w:hint="cs"/>
          <w:sz w:val="20"/>
          <w:szCs w:val="20"/>
          <w:rtl/>
        </w:rPr>
        <w:t xml:space="preserve">א. </w:t>
      </w:r>
      <w:r w:rsidRPr="008E5E88">
        <w:rPr>
          <w:rFonts w:cs="Arial" w:hint="cs"/>
          <w:b/>
          <w:bCs/>
          <w:sz w:val="20"/>
          <w:szCs w:val="20"/>
          <w:rtl/>
        </w:rPr>
        <w:t>ש"ך</w:t>
      </w:r>
      <w:r>
        <w:rPr>
          <w:rFonts w:cs="Arial" w:hint="cs"/>
          <w:sz w:val="20"/>
          <w:szCs w:val="20"/>
          <w:rtl/>
        </w:rPr>
        <w:t xml:space="preserve"> </w:t>
      </w:r>
      <w:r>
        <w:rPr>
          <w:rFonts w:cs="Arial"/>
          <w:sz w:val="20"/>
          <w:szCs w:val="20"/>
          <w:rtl/>
        </w:rPr>
        <w:t>–</w:t>
      </w:r>
      <w:r>
        <w:rPr>
          <w:rFonts w:cs="Arial" w:hint="cs"/>
          <w:sz w:val="20"/>
          <w:szCs w:val="20"/>
          <w:rtl/>
        </w:rPr>
        <w:t xml:space="preserve"> אם יכולה להסיר ולא הסירה, אף בדיעבד לא עלתה לה טבילה.</w:t>
      </w:r>
      <w:r>
        <w:rPr>
          <w:rFonts w:cs="Arial" w:hint="cs"/>
          <w:sz w:val="20"/>
          <w:szCs w:val="20"/>
          <w:u w:val="single"/>
          <w:rtl/>
        </w:rPr>
        <w:br/>
      </w:r>
      <w:r>
        <w:rPr>
          <w:rFonts w:cs="Arial" w:hint="cs"/>
          <w:sz w:val="20"/>
          <w:szCs w:val="20"/>
          <w:rtl/>
        </w:rPr>
        <w:t xml:space="preserve">ב. </w:t>
      </w:r>
      <w:r w:rsidRPr="005B1691">
        <w:rPr>
          <w:rFonts w:cs="Arial" w:hint="cs"/>
          <w:b/>
          <w:bCs/>
          <w:sz w:val="20"/>
          <w:szCs w:val="20"/>
          <w:rtl/>
        </w:rPr>
        <w:t>חמודי דניאל</w:t>
      </w:r>
      <w:r>
        <w:rPr>
          <w:rFonts w:cs="Arial" w:hint="cs"/>
          <w:sz w:val="20"/>
          <w:szCs w:val="20"/>
          <w:rtl/>
        </w:rPr>
        <w:t xml:space="preserve"> </w:t>
      </w:r>
      <w:r w:rsidRPr="005B1691">
        <w:rPr>
          <w:rFonts w:cs="Arial" w:hint="cs"/>
          <w:sz w:val="18"/>
          <w:szCs w:val="18"/>
          <w:rtl/>
        </w:rPr>
        <w:t xml:space="preserve">(הו"ד </w:t>
      </w:r>
      <w:r w:rsidRPr="005B1691">
        <w:rPr>
          <w:rFonts w:cs="Arial" w:hint="cs"/>
          <w:b/>
          <w:bCs/>
          <w:sz w:val="18"/>
          <w:szCs w:val="18"/>
          <w:rtl/>
        </w:rPr>
        <w:t>בפת"ש</w:t>
      </w:r>
      <w:r w:rsidRPr="005B1691">
        <w:rPr>
          <w:rFonts w:cs="Arial" w:hint="cs"/>
          <w:sz w:val="18"/>
          <w:szCs w:val="18"/>
          <w:rtl/>
        </w:rPr>
        <w:t xml:space="preserve">) </w:t>
      </w:r>
      <w:r>
        <w:rPr>
          <w:rFonts w:cs="Arial"/>
          <w:sz w:val="20"/>
          <w:szCs w:val="20"/>
          <w:rtl/>
        </w:rPr>
        <w:t>–</w:t>
      </w:r>
      <w:r>
        <w:rPr>
          <w:rFonts w:cs="Arial" w:hint="cs"/>
          <w:sz w:val="20"/>
          <w:szCs w:val="20"/>
          <w:rtl/>
        </w:rPr>
        <w:t xml:space="preserve"> כינים מתות חוצצות אף כשאינה יכולה להסירן.</w:t>
      </w:r>
      <w:r>
        <w:rPr>
          <w:rStyle w:val="a5"/>
          <w:rFonts w:cs="Arial"/>
          <w:sz w:val="20"/>
          <w:szCs w:val="20"/>
          <w:rtl/>
        </w:rPr>
        <w:footnoteReference w:id="699"/>
      </w:r>
      <w:r w:rsidRPr="00E3792A">
        <w:rPr>
          <w:rFonts w:cs="Arial"/>
          <w:sz w:val="20"/>
          <w:szCs w:val="20"/>
          <w:u w:val="single"/>
          <w:rtl/>
        </w:rPr>
        <w:br/>
      </w:r>
      <w:r>
        <w:rPr>
          <w:rFonts w:cs="Arial" w:hint="cs"/>
          <w:sz w:val="20"/>
          <w:szCs w:val="20"/>
          <w:rtl/>
        </w:rPr>
        <w:t xml:space="preserve">ג. </w:t>
      </w:r>
      <w:r w:rsidRPr="005754F8">
        <w:rPr>
          <w:rFonts w:cs="Arial" w:hint="cs"/>
          <w:b/>
          <w:bCs/>
          <w:sz w:val="20"/>
          <w:szCs w:val="20"/>
          <w:rtl/>
        </w:rPr>
        <w:t>טה"ב</w:t>
      </w:r>
      <w:r>
        <w:rPr>
          <w:rFonts w:cs="Arial" w:hint="cs"/>
          <w:sz w:val="20"/>
          <w:szCs w:val="20"/>
          <w:rtl/>
        </w:rPr>
        <w:t xml:space="preserve"> - כינים שאינן דבוקות בבשר אלא רוחשות בשיער, אינן חוצצות.</w:t>
      </w:r>
      <w:r>
        <w:rPr>
          <w:rFonts w:cs="Arial"/>
          <w:sz w:val="20"/>
          <w:szCs w:val="20"/>
          <w:rtl/>
        </w:rPr>
        <w:br/>
      </w:r>
      <w:r>
        <w:rPr>
          <w:rFonts w:cs="Arial" w:hint="cs"/>
          <w:sz w:val="20"/>
          <w:szCs w:val="20"/>
          <w:rtl/>
        </w:rPr>
        <w:t xml:space="preserve">ד. </w:t>
      </w:r>
      <w:r w:rsidRPr="005A6719">
        <w:rPr>
          <w:rFonts w:cs="Arial" w:hint="cs"/>
          <w:b/>
          <w:bCs/>
          <w:sz w:val="20"/>
          <w:szCs w:val="20"/>
          <w:rtl/>
        </w:rPr>
        <w:t>ששבה"ל</w:t>
      </w:r>
      <w:r>
        <w:rPr>
          <w:rFonts w:cs="Arial" w:hint="cs"/>
          <w:sz w:val="20"/>
          <w:szCs w:val="20"/>
          <w:rtl/>
        </w:rPr>
        <w:t xml:space="preserve"> </w:t>
      </w:r>
      <w:r>
        <w:rPr>
          <w:rFonts w:cs="Arial"/>
          <w:sz w:val="20"/>
          <w:szCs w:val="20"/>
          <w:rtl/>
        </w:rPr>
        <w:t>–</w:t>
      </w:r>
      <w:r>
        <w:rPr>
          <w:rFonts w:cs="Arial" w:hint="cs"/>
          <w:sz w:val="20"/>
          <w:szCs w:val="20"/>
          <w:rtl/>
        </w:rPr>
        <w:t xml:space="preserve"> אשה שלא הוחזקה שיש לה כינים, אינה צריכה לחשוש לכך מן הסתם, כדין מיעוט שאינו שכיח.</w:t>
      </w:r>
      <w:r>
        <w:rPr>
          <w:rFonts w:cs="Arial"/>
          <w:sz w:val="20"/>
          <w:szCs w:val="20"/>
          <w:rtl/>
        </w:rPr>
        <w:br/>
      </w:r>
      <w:r>
        <w:rPr>
          <w:rFonts w:cs="Arial" w:hint="cs"/>
          <w:sz w:val="20"/>
          <w:szCs w:val="20"/>
          <w:rtl/>
        </w:rPr>
        <w:t>ברם, היום ראוי לבדוק משום שבאופן כללי הכינים מצויות והוי כמיעוט השכיח.</w:t>
      </w:r>
    </w:p>
    <w:p w:rsidR="00620060" w:rsidRDefault="00620060" w:rsidP="00620060">
      <w:pPr>
        <w:rPr>
          <w:rFonts w:cs="Arial"/>
          <w:sz w:val="20"/>
          <w:szCs w:val="20"/>
          <w:rtl/>
        </w:rPr>
      </w:pPr>
      <w:r>
        <w:rPr>
          <w:rFonts w:cs="Arial" w:hint="cs"/>
          <w:sz w:val="20"/>
          <w:szCs w:val="20"/>
          <w:u w:val="single"/>
          <w:rtl/>
        </w:rPr>
        <w:t>חציצה בקשקשים (טה"ב עמ' עט)</w:t>
      </w:r>
      <w:r>
        <w:rPr>
          <w:rFonts w:cs="Arial"/>
          <w:sz w:val="20"/>
          <w:szCs w:val="20"/>
          <w:u w:val="single"/>
          <w:rtl/>
        </w:rPr>
        <w:br/>
      </w:r>
      <w:r w:rsidRPr="008E7547">
        <w:rPr>
          <w:rFonts w:cs="Arial" w:hint="cs"/>
          <w:b/>
          <w:bCs/>
          <w:sz w:val="20"/>
          <w:szCs w:val="20"/>
          <w:rtl/>
        </w:rPr>
        <w:t>טהרת הבית</w:t>
      </w:r>
      <w:r>
        <w:rPr>
          <w:rFonts w:cs="Arial" w:hint="cs"/>
          <w:sz w:val="20"/>
          <w:szCs w:val="20"/>
          <w:rtl/>
        </w:rPr>
        <w:t xml:space="preserve"> </w:t>
      </w:r>
      <w:r>
        <w:rPr>
          <w:rFonts w:cs="Arial"/>
          <w:sz w:val="20"/>
          <w:szCs w:val="20"/>
          <w:rtl/>
        </w:rPr>
        <w:t>–</w:t>
      </w:r>
      <w:r>
        <w:rPr>
          <w:rFonts w:cs="Arial" w:hint="cs"/>
          <w:sz w:val="20"/>
          <w:szCs w:val="20"/>
          <w:rtl/>
        </w:rPr>
        <w:t xml:space="preserve"> אשה שיש לה קשקשים בשערה, אם חפפה היטב את ראשה בסבון ובמים חמים כדי להסיר חלק גדול מהקשקשים וכעת התייאשה מלהסיר את השאר, אינם חוצצים.</w:t>
      </w:r>
    </w:p>
    <w:p w:rsidR="00620060" w:rsidRDefault="00620060" w:rsidP="00620060">
      <w:pPr>
        <w:rPr>
          <w:rFonts w:cs="Arial"/>
          <w:sz w:val="20"/>
          <w:szCs w:val="20"/>
          <w:rtl/>
        </w:rPr>
      </w:pPr>
      <w:r>
        <w:rPr>
          <w:rFonts w:cs="Arial"/>
          <w:sz w:val="20"/>
          <w:szCs w:val="20"/>
          <w:rtl/>
        </w:rPr>
        <w:br/>
      </w:r>
      <w:r>
        <w:rPr>
          <w:rFonts w:cs="Arial" w:hint="cs"/>
          <w:b/>
          <w:bCs/>
          <w:sz w:val="20"/>
          <w:szCs w:val="20"/>
          <w:rtl/>
        </w:rPr>
        <w:t xml:space="preserve">סעיף מח </w:t>
      </w:r>
      <w:r>
        <w:rPr>
          <w:rFonts w:cs="Arial"/>
          <w:b/>
          <w:bCs/>
          <w:sz w:val="20"/>
          <w:szCs w:val="20"/>
          <w:rtl/>
        </w:rPr>
        <w:t>–</w:t>
      </w:r>
      <w:r>
        <w:rPr>
          <w:rFonts w:cs="Arial" w:hint="cs"/>
          <w:b/>
          <w:bCs/>
          <w:sz w:val="20"/>
          <w:szCs w:val="20"/>
          <w:rtl/>
        </w:rPr>
        <w:t xml:space="preserve"> כוונה בטבילה</w:t>
      </w:r>
      <w:r>
        <w:rPr>
          <w:rFonts w:cs="Arial"/>
          <w:b/>
          <w:bCs/>
          <w:sz w:val="20"/>
          <w:szCs w:val="20"/>
          <w:rtl/>
        </w:rPr>
        <w:br/>
      </w:r>
      <w:r>
        <w:rPr>
          <w:rFonts w:cs="Arial" w:hint="cs"/>
          <w:b/>
          <w:bCs/>
          <w:sz w:val="20"/>
          <w:szCs w:val="20"/>
          <w:rtl/>
        </w:rPr>
        <w:t>מקור הדין</w:t>
      </w:r>
      <w:r>
        <w:rPr>
          <w:rFonts w:cs="Arial"/>
          <w:b/>
          <w:bCs/>
          <w:sz w:val="20"/>
          <w:szCs w:val="20"/>
          <w:rtl/>
        </w:rPr>
        <w:br/>
      </w:r>
      <w:r>
        <w:rPr>
          <w:rFonts w:cs="Arial" w:hint="cs"/>
          <w:b/>
          <w:bCs/>
          <w:sz w:val="20"/>
          <w:szCs w:val="20"/>
          <w:rtl/>
        </w:rPr>
        <w:t xml:space="preserve">גמרא </w:t>
      </w:r>
      <w:r>
        <w:rPr>
          <w:rFonts w:cs="Arial" w:hint="cs"/>
          <w:sz w:val="20"/>
          <w:szCs w:val="20"/>
          <w:rtl/>
        </w:rPr>
        <w:t xml:space="preserve">חולין (לא. </w:t>
      </w:r>
      <w:r>
        <w:rPr>
          <w:rFonts w:cs="Arial"/>
          <w:sz w:val="20"/>
          <w:szCs w:val="20"/>
          <w:rtl/>
        </w:rPr>
        <w:t>–</w:t>
      </w:r>
      <w:r>
        <w:rPr>
          <w:rFonts w:cs="Arial" w:hint="cs"/>
          <w:sz w:val="20"/>
          <w:szCs w:val="20"/>
          <w:rtl/>
        </w:rPr>
        <w:t xml:space="preserve"> לא:) "</w:t>
      </w:r>
      <w:r w:rsidRPr="004B71D2">
        <w:rPr>
          <w:rFonts w:cs="Arial"/>
          <w:sz w:val="20"/>
          <w:szCs w:val="20"/>
          <w:rtl/>
        </w:rPr>
        <w:t>אתמר: נדה שנאנסה וטבלה - אמר רב יהודה אמר רב: טהורה לביתה ואסורה לאכול בתרומה, ור</w:t>
      </w:r>
      <w:r>
        <w:rPr>
          <w:rFonts w:cs="Arial" w:hint="cs"/>
          <w:sz w:val="20"/>
          <w:szCs w:val="20"/>
          <w:rtl/>
        </w:rPr>
        <w:t>בי</w:t>
      </w:r>
      <w:r w:rsidRPr="004B71D2">
        <w:rPr>
          <w:rFonts w:cs="Arial"/>
          <w:sz w:val="20"/>
          <w:szCs w:val="20"/>
          <w:rtl/>
        </w:rPr>
        <w:t xml:space="preserve"> יוחנן אמר: אף לביתה לא טהרה. א</w:t>
      </w:r>
      <w:r>
        <w:rPr>
          <w:rFonts w:cs="Arial" w:hint="cs"/>
          <w:sz w:val="20"/>
          <w:szCs w:val="20"/>
          <w:rtl/>
        </w:rPr>
        <w:t>מר ליה</w:t>
      </w:r>
      <w:r w:rsidRPr="004B71D2">
        <w:rPr>
          <w:rFonts w:cs="Arial"/>
          <w:sz w:val="20"/>
          <w:szCs w:val="20"/>
          <w:rtl/>
        </w:rPr>
        <w:t xml:space="preserve"> רבא לר</w:t>
      </w:r>
      <w:r>
        <w:rPr>
          <w:rFonts w:cs="Arial" w:hint="cs"/>
          <w:sz w:val="20"/>
          <w:szCs w:val="20"/>
          <w:rtl/>
        </w:rPr>
        <w:t xml:space="preserve">ב </w:t>
      </w:r>
      <w:r w:rsidRPr="004B71D2">
        <w:rPr>
          <w:rFonts w:cs="Arial"/>
          <w:sz w:val="20"/>
          <w:szCs w:val="20"/>
          <w:rtl/>
        </w:rPr>
        <w:t>נ</w:t>
      </w:r>
      <w:r>
        <w:rPr>
          <w:rFonts w:cs="Arial" w:hint="cs"/>
          <w:sz w:val="20"/>
          <w:szCs w:val="20"/>
          <w:rtl/>
        </w:rPr>
        <w:t>חמן</w:t>
      </w:r>
      <w:r w:rsidRPr="004B71D2">
        <w:rPr>
          <w:rFonts w:cs="Arial"/>
          <w:sz w:val="20"/>
          <w:szCs w:val="20"/>
          <w:rtl/>
        </w:rPr>
        <w:t>, לרב דאמר: טהורה לביתה ואסורה לאכול בתרומה, ע</w:t>
      </w:r>
      <w:r>
        <w:rPr>
          <w:rFonts w:cs="Arial" w:hint="cs"/>
          <w:sz w:val="20"/>
          <w:szCs w:val="20"/>
          <w:rtl/>
        </w:rPr>
        <w:t>ו</w:t>
      </w:r>
      <w:r w:rsidRPr="004B71D2">
        <w:rPr>
          <w:rFonts w:cs="Arial"/>
          <w:sz w:val="20"/>
          <w:szCs w:val="20"/>
          <w:rtl/>
        </w:rPr>
        <w:t xml:space="preserve">ון כרת הותרה, איסור מיתה מיבעיא? אמר ליה: בעלה חולין הוא, וחולין לא בעי כוונה. </w:t>
      </w:r>
      <w:r>
        <w:rPr>
          <w:rFonts w:cs="Arial" w:hint="cs"/>
          <w:sz w:val="20"/>
          <w:szCs w:val="20"/>
          <w:rtl/>
        </w:rPr>
        <w:br/>
      </w:r>
      <w:r w:rsidRPr="004B71D2">
        <w:rPr>
          <w:rFonts w:cs="Arial"/>
          <w:sz w:val="20"/>
          <w:szCs w:val="20"/>
          <w:rtl/>
        </w:rPr>
        <w:t>ומנא תימרא? דתנן: גל שנתלש ובו ארבעים סאה, ונפל על האדם ועל הכלים - טהורין; מאי לאו אדם דומיא דכלים, מה כלים דלא מיכווני, אף אדם נמי לא בעי כוונ</w:t>
      </w:r>
      <w:r>
        <w:rPr>
          <w:rFonts w:cs="Arial" w:hint="cs"/>
          <w:sz w:val="20"/>
          <w:szCs w:val="20"/>
          <w:rtl/>
        </w:rPr>
        <w:t xml:space="preserve">ה... </w:t>
      </w:r>
      <w:r>
        <w:rPr>
          <w:rFonts w:cs="Arial" w:hint="cs"/>
          <w:sz w:val="20"/>
          <w:szCs w:val="20"/>
          <w:rtl/>
        </w:rPr>
        <w:br/>
      </w:r>
      <w:r w:rsidRPr="00E00DA8">
        <w:rPr>
          <w:rFonts w:cs="Arial"/>
          <w:sz w:val="20"/>
          <w:szCs w:val="20"/>
          <w:rtl/>
        </w:rPr>
        <w:t xml:space="preserve">היכי דמי נדה שנאנסה וטבלה? </w:t>
      </w:r>
      <w:r>
        <w:rPr>
          <w:rFonts w:cs="Arial" w:hint="cs"/>
          <w:sz w:val="20"/>
          <w:szCs w:val="20"/>
          <w:rtl/>
        </w:rPr>
        <w:t>אמ</w:t>
      </w:r>
      <w:r w:rsidRPr="00E00DA8">
        <w:rPr>
          <w:rFonts w:cs="Arial"/>
          <w:sz w:val="20"/>
          <w:szCs w:val="20"/>
          <w:rtl/>
        </w:rPr>
        <w:t xml:space="preserve">ר </w:t>
      </w:r>
      <w:r>
        <w:rPr>
          <w:rFonts w:cs="Arial" w:hint="cs"/>
          <w:sz w:val="20"/>
          <w:szCs w:val="20"/>
          <w:rtl/>
        </w:rPr>
        <w:t xml:space="preserve">רב </w:t>
      </w:r>
      <w:r w:rsidRPr="00E00DA8">
        <w:rPr>
          <w:rFonts w:cs="Arial"/>
          <w:sz w:val="20"/>
          <w:szCs w:val="20"/>
          <w:rtl/>
        </w:rPr>
        <w:t>פפא: לר</w:t>
      </w:r>
      <w:r>
        <w:rPr>
          <w:rFonts w:cs="Arial" w:hint="cs"/>
          <w:sz w:val="20"/>
          <w:szCs w:val="20"/>
          <w:rtl/>
        </w:rPr>
        <w:t>בי</w:t>
      </w:r>
      <w:r w:rsidRPr="00E00DA8">
        <w:rPr>
          <w:rFonts w:cs="Arial"/>
          <w:sz w:val="20"/>
          <w:szCs w:val="20"/>
          <w:rtl/>
        </w:rPr>
        <w:t xml:space="preserve"> נתן - שנפ</w:t>
      </w:r>
      <w:r>
        <w:rPr>
          <w:rFonts w:cs="Arial"/>
          <w:sz w:val="20"/>
          <w:szCs w:val="20"/>
          <w:rtl/>
        </w:rPr>
        <w:t>לה מן הגשר, ולרבנן - שירדה להקר</w:t>
      </w:r>
      <w:r>
        <w:rPr>
          <w:rFonts w:cs="Arial" w:hint="cs"/>
          <w:sz w:val="20"/>
          <w:szCs w:val="20"/>
          <w:rtl/>
        </w:rPr>
        <w:t>".</w:t>
      </w:r>
      <w:r>
        <w:rPr>
          <w:rStyle w:val="a5"/>
          <w:rFonts w:cs="Arial"/>
          <w:sz w:val="20"/>
          <w:szCs w:val="20"/>
          <w:rtl/>
        </w:rPr>
        <w:footnoteReference w:id="700"/>
      </w:r>
    </w:p>
    <w:p w:rsidR="00620060" w:rsidRDefault="00620060" w:rsidP="00620060">
      <w:pPr>
        <w:rPr>
          <w:rFonts w:cs="Arial"/>
          <w:sz w:val="20"/>
          <w:szCs w:val="20"/>
          <w:rtl/>
        </w:rPr>
      </w:pPr>
      <w:r>
        <w:rPr>
          <w:rFonts w:cs="Arial" w:hint="cs"/>
          <w:b/>
          <w:bCs/>
          <w:sz w:val="20"/>
          <w:szCs w:val="20"/>
          <w:rtl/>
        </w:rPr>
        <w:t>שיטות הראשונים</w:t>
      </w:r>
      <w:r>
        <w:rPr>
          <w:rFonts w:cs="Arial"/>
          <w:b/>
          <w:bCs/>
          <w:sz w:val="20"/>
          <w:szCs w:val="20"/>
          <w:rtl/>
        </w:rPr>
        <w:br/>
      </w:r>
      <w:r>
        <w:rPr>
          <w:rFonts w:cs="Arial" w:hint="cs"/>
          <w:sz w:val="20"/>
          <w:szCs w:val="20"/>
          <w:rtl/>
        </w:rPr>
        <w:t>האם נידה צריכה כוונה בטבילה?</w:t>
      </w:r>
      <w:r>
        <w:rPr>
          <w:rFonts w:cs="Arial"/>
          <w:b/>
          <w:bCs/>
          <w:sz w:val="20"/>
          <w:szCs w:val="20"/>
          <w:rtl/>
        </w:rPr>
        <w:br/>
      </w:r>
      <w:r>
        <w:rPr>
          <w:rFonts w:cs="Arial" w:hint="cs"/>
          <w:sz w:val="20"/>
          <w:szCs w:val="20"/>
          <w:rtl/>
        </w:rPr>
        <w:t xml:space="preserve">א. </w:t>
      </w:r>
      <w:r w:rsidRPr="004B71D2">
        <w:rPr>
          <w:rFonts w:cs="Arial" w:hint="cs"/>
          <w:b/>
          <w:bCs/>
          <w:sz w:val="20"/>
          <w:szCs w:val="20"/>
          <w:rtl/>
        </w:rPr>
        <w:t>רמב"ם</w:t>
      </w:r>
      <w:r>
        <w:rPr>
          <w:rFonts w:cs="Arial" w:hint="cs"/>
          <w:sz w:val="20"/>
          <w:szCs w:val="20"/>
          <w:rtl/>
        </w:rPr>
        <w:t xml:space="preserve"> </w:t>
      </w:r>
      <w:r>
        <w:rPr>
          <w:rFonts w:cs="Arial"/>
          <w:sz w:val="20"/>
          <w:szCs w:val="20"/>
          <w:rtl/>
        </w:rPr>
        <w:t>–</w:t>
      </w:r>
      <w:r>
        <w:rPr>
          <w:rFonts w:cs="Arial" w:hint="cs"/>
          <w:sz w:val="20"/>
          <w:szCs w:val="20"/>
          <w:rtl/>
        </w:rPr>
        <w:t xml:space="preserve"> לא, וכ"פ </w:t>
      </w:r>
      <w:r w:rsidRPr="0069593D">
        <w:rPr>
          <w:rFonts w:cs="Arial" w:hint="cs"/>
          <w:b/>
          <w:bCs/>
          <w:sz w:val="20"/>
          <w:szCs w:val="20"/>
          <w:rtl/>
        </w:rPr>
        <w:t>המחבר</w:t>
      </w:r>
      <w:r>
        <w:rPr>
          <w:rFonts w:cs="Arial" w:hint="cs"/>
          <w:sz w:val="20"/>
          <w:szCs w:val="20"/>
          <w:rtl/>
        </w:rPr>
        <w:t>.</w:t>
      </w:r>
      <w:r>
        <w:rPr>
          <w:rFonts w:cs="Arial"/>
          <w:sz w:val="20"/>
          <w:szCs w:val="20"/>
          <w:rtl/>
        </w:rPr>
        <w:br/>
      </w:r>
      <w:r w:rsidRPr="004B71D2">
        <w:rPr>
          <w:rFonts w:cs="Arial" w:hint="cs"/>
          <w:b/>
          <w:bCs/>
          <w:sz w:val="20"/>
          <w:szCs w:val="20"/>
          <w:rtl/>
        </w:rPr>
        <w:t xml:space="preserve">טעם </w:t>
      </w:r>
      <w:r>
        <w:rPr>
          <w:rFonts w:cs="Arial"/>
          <w:sz w:val="20"/>
          <w:szCs w:val="20"/>
          <w:rtl/>
        </w:rPr>
        <w:t>–</w:t>
      </w:r>
      <w:r>
        <w:rPr>
          <w:rFonts w:cs="Arial" w:hint="cs"/>
          <w:sz w:val="20"/>
          <w:szCs w:val="20"/>
          <w:rtl/>
        </w:rPr>
        <w:t xml:space="preserve"> הלכה כרב, שכן משמע מכך שרב נחמן קאי כוותיה.</w:t>
      </w:r>
      <w:r>
        <w:rPr>
          <w:rFonts w:cs="Arial"/>
          <w:sz w:val="20"/>
          <w:szCs w:val="20"/>
          <w:rtl/>
        </w:rPr>
        <w:br/>
      </w:r>
      <w:r w:rsidRPr="004B71D2">
        <w:rPr>
          <w:rFonts w:cs="Arial" w:hint="cs"/>
          <w:b/>
          <w:bCs/>
          <w:sz w:val="20"/>
          <w:szCs w:val="20"/>
          <w:rtl/>
        </w:rPr>
        <w:t>רשב"א</w:t>
      </w:r>
      <w:r>
        <w:rPr>
          <w:rFonts w:cs="Arial" w:hint="cs"/>
          <w:sz w:val="20"/>
          <w:szCs w:val="20"/>
          <w:rtl/>
        </w:rPr>
        <w:t xml:space="preserve"> </w:t>
      </w:r>
      <w:r>
        <w:rPr>
          <w:rFonts w:cs="Arial"/>
          <w:sz w:val="20"/>
          <w:szCs w:val="20"/>
          <w:rtl/>
        </w:rPr>
        <w:t>–</w:t>
      </w:r>
      <w:r>
        <w:rPr>
          <w:rFonts w:cs="Arial" w:hint="cs"/>
          <w:sz w:val="20"/>
          <w:szCs w:val="20"/>
          <w:rtl/>
        </w:rPr>
        <w:t xml:space="preserve"> כן, וכ"פ </w:t>
      </w:r>
      <w:r w:rsidRPr="0069593D">
        <w:rPr>
          <w:rFonts w:cs="Arial" w:hint="cs"/>
          <w:b/>
          <w:bCs/>
          <w:sz w:val="20"/>
          <w:szCs w:val="20"/>
          <w:rtl/>
        </w:rPr>
        <w:t>הרמ"א</w:t>
      </w:r>
      <w:r>
        <w:rPr>
          <w:rFonts w:cs="Arial" w:hint="cs"/>
          <w:sz w:val="20"/>
          <w:szCs w:val="20"/>
          <w:rtl/>
        </w:rPr>
        <w:t xml:space="preserve"> לעיקה"ד.</w:t>
      </w:r>
      <w:r>
        <w:rPr>
          <w:rFonts w:cs="Arial"/>
          <w:sz w:val="20"/>
          <w:szCs w:val="20"/>
          <w:rtl/>
        </w:rPr>
        <w:br/>
      </w:r>
      <w:r w:rsidRPr="004B71D2">
        <w:rPr>
          <w:rFonts w:cs="Arial" w:hint="cs"/>
          <w:b/>
          <w:bCs/>
          <w:sz w:val="20"/>
          <w:szCs w:val="20"/>
          <w:rtl/>
        </w:rPr>
        <w:t>טעם</w:t>
      </w:r>
      <w:r>
        <w:rPr>
          <w:rFonts w:cs="Arial" w:hint="cs"/>
          <w:sz w:val="20"/>
          <w:szCs w:val="20"/>
          <w:rtl/>
        </w:rPr>
        <w:t xml:space="preserve"> - הלכה כרבי יוחנן, שכך קיי"ל במחלוקות רב ורבי יוחנן לפסוק כרבי יוחנן. ועוד, רבה</w:t>
      </w:r>
      <w:r>
        <w:rPr>
          <w:rStyle w:val="a5"/>
          <w:rFonts w:cs="Arial"/>
          <w:sz w:val="20"/>
          <w:szCs w:val="20"/>
          <w:rtl/>
        </w:rPr>
        <w:footnoteReference w:id="701"/>
      </w:r>
      <w:r>
        <w:rPr>
          <w:rFonts w:cs="Arial" w:hint="cs"/>
          <w:sz w:val="20"/>
          <w:szCs w:val="20"/>
          <w:rtl/>
        </w:rPr>
        <w:t xml:space="preserve"> קאי כוותיה וקיי"ל כרבה לגבי רב נחמן, ועוד, זו מחלוקת בדין דאורייתא ולכן יש להחמיר.</w:t>
      </w:r>
    </w:p>
    <w:p w:rsidR="00620060" w:rsidRDefault="00620060" w:rsidP="00620060">
      <w:pPr>
        <w:rPr>
          <w:rFonts w:cs="Arial"/>
          <w:sz w:val="20"/>
          <w:szCs w:val="20"/>
          <w:rtl/>
        </w:rPr>
      </w:pPr>
      <w:r>
        <w:rPr>
          <w:rFonts w:cs="Arial" w:hint="cs"/>
          <w:b/>
          <w:bCs/>
          <w:sz w:val="20"/>
          <w:szCs w:val="20"/>
          <w:rtl/>
        </w:rPr>
        <w:t>פסיקת הלכה</w:t>
      </w:r>
      <w:r>
        <w:rPr>
          <w:rFonts w:cs="Arial"/>
          <w:b/>
          <w:bCs/>
          <w:sz w:val="20"/>
          <w:szCs w:val="20"/>
          <w:rtl/>
        </w:rPr>
        <w:br/>
      </w:r>
      <w:r>
        <w:rPr>
          <w:rFonts w:cs="Arial" w:hint="cs"/>
          <w:b/>
          <w:bCs/>
          <w:sz w:val="20"/>
          <w:szCs w:val="20"/>
          <w:rtl/>
        </w:rPr>
        <w:t xml:space="preserve">שולחן ערוך </w:t>
      </w:r>
      <w:r>
        <w:rPr>
          <w:rFonts w:cs="Arial"/>
          <w:sz w:val="20"/>
          <w:szCs w:val="20"/>
          <w:rtl/>
        </w:rPr>
        <w:t>–</w:t>
      </w:r>
      <w:r>
        <w:rPr>
          <w:rFonts w:cs="Arial" w:hint="cs"/>
          <w:sz w:val="20"/>
          <w:szCs w:val="20"/>
          <w:rtl/>
        </w:rPr>
        <w:t xml:space="preserve"> "</w:t>
      </w:r>
      <w:r w:rsidRPr="00B45B16">
        <w:rPr>
          <w:rFonts w:cs="Arial"/>
          <w:sz w:val="20"/>
          <w:szCs w:val="20"/>
          <w:rtl/>
        </w:rPr>
        <w:t xml:space="preserve">נדה שטבלה בלא כוונה, כגון שנפלה לתוך המים או שירדה להקר, הרי זו מותרת לבעלה. </w:t>
      </w:r>
      <w:r>
        <w:rPr>
          <w:rFonts w:cs="Arial" w:hint="cs"/>
          <w:sz w:val="20"/>
          <w:szCs w:val="20"/>
          <w:rtl/>
        </w:rPr>
        <w:br/>
      </w:r>
      <w:r w:rsidRPr="00B45B16">
        <w:rPr>
          <w:rFonts w:cs="Arial"/>
          <w:sz w:val="18"/>
          <w:szCs w:val="18"/>
          <w:rtl/>
        </w:rPr>
        <w:t>הגה: ויש מחמירין ומצריכין אותה טבילה אחרת; ויש להחמיר לכתח</w:t>
      </w:r>
      <w:r w:rsidRPr="00B45B16">
        <w:rPr>
          <w:rFonts w:cs="Arial" w:hint="cs"/>
          <w:sz w:val="18"/>
          <w:szCs w:val="18"/>
          <w:rtl/>
        </w:rPr>
        <w:t>י</w:t>
      </w:r>
      <w:r w:rsidRPr="00B45B16">
        <w:rPr>
          <w:rFonts w:cs="Arial"/>
          <w:sz w:val="18"/>
          <w:szCs w:val="18"/>
          <w:rtl/>
        </w:rPr>
        <w:t>לה</w:t>
      </w:r>
      <w:r>
        <w:rPr>
          <w:rFonts w:cs="Arial" w:hint="cs"/>
          <w:sz w:val="20"/>
          <w:szCs w:val="20"/>
          <w:rtl/>
        </w:rPr>
        <w:t>".</w:t>
      </w:r>
      <w:r>
        <w:rPr>
          <w:rFonts w:cs="Arial"/>
          <w:sz w:val="20"/>
          <w:szCs w:val="20"/>
          <w:rtl/>
        </w:rPr>
        <w:br/>
      </w:r>
      <w:r>
        <w:rPr>
          <w:rFonts w:cs="Arial" w:hint="cs"/>
          <w:sz w:val="20"/>
          <w:szCs w:val="20"/>
          <w:rtl/>
        </w:rPr>
        <w:br/>
      </w:r>
      <w:r w:rsidRPr="008F18F3">
        <w:rPr>
          <w:rFonts w:cs="Arial" w:hint="cs"/>
          <w:b/>
          <w:bCs/>
          <w:sz w:val="20"/>
          <w:szCs w:val="20"/>
          <w:rtl/>
        </w:rPr>
        <w:t>ש"ך</w:t>
      </w:r>
      <w:r>
        <w:rPr>
          <w:rFonts w:cs="Arial" w:hint="cs"/>
          <w:sz w:val="20"/>
          <w:szCs w:val="20"/>
          <w:rtl/>
        </w:rPr>
        <w:t xml:space="preserve"> </w:t>
      </w:r>
      <w:r>
        <w:rPr>
          <w:rFonts w:cs="Arial"/>
          <w:sz w:val="20"/>
          <w:szCs w:val="20"/>
          <w:rtl/>
        </w:rPr>
        <w:t>–</w:t>
      </w:r>
      <w:r>
        <w:rPr>
          <w:rFonts w:cs="Arial" w:hint="cs"/>
          <w:sz w:val="20"/>
          <w:szCs w:val="20"/>
          <w:rtl/>
        </w:rPr>
        <w:t xml:space="preserve"> כוונת הרמ"א להחמיר לכתחילה שתחזור לטבול שנית אך לא תברך על כך.</w:t>
      </w:r>
      <w:r>
        <w:rPr>
          <w:rFonts w:cs="Arial" w:hint="cs"/>
          <w:sz w:val="20"/>
          <w:szCs w:val="20"/>
          <w:rtl/>
        </w:rPr>
        <w:br/>
      </w:r>
      <w:r w:rsidRPr="00DA346E">
        <w:rPr>
          <w:rFonts w:cs="Arial" w:hint="cs"/>
          <w:b/>
          <w:bCs/>
          <w:sz w:val="20"/>
          <w:szCs w:val="20"/>
          <w:rtl/>
        </w:rPr>
        <w:t>ששבה"ל</w:t>
      </w:r>
      <w:r>
        <w:rPr>
          <w:rFonts w:cs="Arial" w:hint="cs"/>
          <w:sz w:val="20"/>
          <w:szCs w:val="20"/>
          <w:rtl/>
        </w:rPr>
        <w:t xml:space="preserve"> </w:t>
      </w:r>
      <w:r>
        <w:rPr>
          <w:rFonts w:cs="Arial"/>
          <w:sz w:val="20"/>
          <w:szCs w:val="20"/>
          <w:rtl/>
        </w:rPr>
        <w:t>–</w:t>
      </w:r>
      <w:r>
        <w:rPr>
          <w:rFonts w:cs="Arial" w:hint="cs"/>
          <w:sz w:val="20"/>
          <w:szCs w:val="20"/>
          <w:rtl/>
        </w:rPr>
        <w:t xml:space="preserve"> לאחר לינת לילה פשוט שאין להחמיר, וכן אם המקווה נסגר הוי כעבר הלילה.</w:t>
      </w:r>
      <w:r>
        <w:rPr>
          <w:rFonts w:cs="Arial"/>
          <w:sz w:val="20"/>
          <w:szCs w:val="20"/>
          <w:rtl/>
        </w:rPr>
        <w:br/>
      </w:r>
      <w:r w:rsidRPr="00750B6D">
        <w:rPr>
          <w:rFonts w:cs="Arial" w:hint="cs"/>
          <w:b/>
          <w:bCs/>
          <w:sz w:val="20"/>
          <w:szCs w:val="20"/>
          <w:rtl/>
        </w:rPr>
        <w:t>חמודי דניאל</w:t>
      </w:r>
      <w:r>
        <w:rPr>
          <w:rFonts w:cs="Arial" w:hint="cs"/>
          <w:sz w:val="20"/>
          <w:szCs w:val="20"/>
          <w:rtl/>
        </w:rPr>
        <w:t xml:space="preserve"> (הו"ד </w:t>
      </w:r>
      <w:r w:rsidRPr="00750B6D">
        <w:rPr>
          <w:rFonts w:cs="Arial" w:hint="cs"/>
          <w:b/>
          <w:bCs/>
          <w:sz w:val="20"/>
          <w:szCs w:val="20"/>
          <w:rtl/>
        </w:rPr>
        <w:t>בפת"ש</w:t>
      </w:r>
      <w:r>
        <w:rPr>
          <w:rFonts w:cs="Arial" w:hint="cs"/>
          <w:sz w:val="20"/>
          <w:szCs w:val="20"/>
          <w:rtl/>
        </w:rPr>
        <w:t xml:space="preserve">) </w:t>
      </w:r>
      <w:r>
        <w:rPr>
          <w:rFonts w:cs="Arial"/>
          <w:sz w:val="20"/>
          <w:szCs w:val="20"/>
          <w:rtl/>
        </w:rPr>
        <w:t>–</w:t>
      </w:r>
      <w:r>
        <w:rPr>
          <w:rFonts w:cs="Arial" w:hint="cs"/>
          <w:sz w:val="20"/>
          <w:szCs w:val="20"/>
          <w:rtl/>
        </w:rPr>
        <w:t xml:space="preserve"> אם בעלה חולה וטבלה כדי לגעת בו אך לא כדי לשמש, מותרת לשמש.</w:t>
      </w:r>
    </w:p>
    <w:p w:rsidR="00620060" w:rsidRDefault="00620060" w:rsidP="00620060">
      <w:pPr>
        <w:rPr>
          <w:rFonts w:cs="Arial"/>
          <w:sz w:val="20"/>
          <w:szCs w:val="20"/>
          <w:rtl/>
        </w:rPr>
      </w:pPr>
      <w:r>
        <w:rPr>
          <w:rFonts w:cs="Arial" w:hint="cs"/>
          <w:sz w:val="20"/>
          <w:szCs w:val="20"/>
          <w:u w:val="single"/>
          <w:rtl/>
        </w:rPr>
        <w:t>טבלה על ידי אונס חברתה</w:t>
      </w:r>
      <w:r>
        <w:rPr>
          <w:rFonts w:cs="Arial"/>
          <w:sz w:val="20"/>
          <w:szCs w:val="20"/>
          <w:u w:val="single"/>
          <w:rtl/>
        </w:rPr>
        <w:br/>
      </w:r>
      <w:r w:rsidRPr="00B07705">
        <w:rPr>
          <w:rFonts w:cs="Arial" w:hint="cs"/>
          <w:b/>
          <w:bCs/>
          <w:sz w:val="20"/>
          <w:szCs w:val="20"/>
          <w:rtl/>
        </w:rPr>
        <w:t>ט"ז וש"ך</w:t>
      </w:r>
      <w:r>
        <w:rPr>
          <w:rFonts w:cs="Arial" w:hint="cs"/>
          <w:sz w:val="20"/>
          <w:szCs w:val="20"/>
          <w:rtl/>
        </w:rPr>
        <w:t xml:space="preserve"> </w:t>
      </w:r>
      <w:r>
        <w:rPr>
          <w:rFonts w:cs="Arial"/>
          <w:sz w:val="20"/>
          <w:szCs w:val="20"/>
          <w:rtl/>
        </w:rPr>
        <w:t>–</w:t>
      </w:r>
      <w:r>
        <w:rPr>
          <w:rFonts w:cs="Arial" w:hint="cs"/>
          <w:sz w:val="20"/>
          <w:szCs w:val="20"/>
          <w:rtl/>
        </w:rPr>
        <w:t xml:space="preserve"> אם חברתה אנסה אותה לטבול, כגון שדחפה אותה למים, אע"פ שהטובלת לא כיוונה מאומה הוי </w:t>
      </w:r>
      <w:r>
        <w:rPr>
          <w:rFonts w:cs="Arial" w:hint="cs"/>
          <w:sz w:val="20"/>
          <w:szCs w:val="20"/>
          <w:rtl/>
        </w:rPr>
        <w:lastRenderedPageBreak/>
        <w:t>כוונה טובה לכו"ע ואינה צריכה לטבול שנית.</w:t>
      </w:r>
      <w:r>
        <w:rPr>
          <w:rStyle w:val="a5"/>
          <w:rFonts w:cs="Arial"/>
          <w:sz w:val="20"/>
          <w:szCs w:val="20"/>
          <w:rtl/>
        </w:rPr>
        <w:footnoteReference w:id="702"/>
      </w:r>
      <w:r>
        <w:rPr>
          <w:rFonts w:cs="Arial"/>
          <w:sz w:val="20"/>
          <w:szCs w:val="20"/>
          <w:rtl/>
        </w:rPr>
        <w:br/>
      </w:r>
      <w:r w:rsidRPr="00902B50">
        <w:rPr>
          <w:rFonts w:cs="Arial" w:hint="cs"/>
          <w:b/>
          <w:bCs/>
          <w:sz w:val="20"/>
          <w:szCs w:val="20"/>
          <w:rtl/>
        </w:rPr>
        <w:t>ראיה</w:t>
      </w:r>
      <w:r>
        <w:rPr>
          <w:rFonts w:cs="Arial" w:hint="cs"/>
          <w:sz w:val="20"/>
          <w:szCs w:val="20"/>
          <w:rtl/>
        </w:rPr>
        <w:t xml:space="preserve"> </w:t>
      </w:r>
      <w:r>
        <w:rPr>
          <w:rFonts w:cs="Arial"/>
          <w:sz w:val="20"/>
          <w:szCs w:val="20"/>
          <w:rtl/>
        </w:rPr>
        <w:t>–</w:t>
      </w:r>
      <w:r>
        <w:rPr>
          <w:rFonts w:cs="Arial" w:hint="cs"/>
          <w:sz w:val="20"/>
          <w:szCs w:val="20"/>
          <w:rtl/>
        </w:rPr>
        <w:t xml:space="preserve"> </w:t>
      </w:r>
      <w:r w:rsidRPr="00902B50">
        <w:rPr>
          <w:rFonts w:cs="Arial" w:hint="cs"/>
          <w:b/>
          <w:bCs/>
          <w:sz w:val="20"/>
          <w:szCs w:val="20"/>
          <w:rtl/>
        </w:rPr>
        <w:t>גמרא</w:t>
      </w:r>
      <w:r>
        <w:rPr>
          <w:rFonts w:cs="Arial" w:hint="cs"/>
          <w:sz w:val="20"/>
          <w:szCs w:val="20"/>
          <w:rtl/>
        </w:rPr>
        <w:t xml:space="preserve"> (שם) "</w:t>
      </w:r>
      <w:r w:rsidRPr="00902B50">
        <w:rPr>
          <w:rFonts w:cs="Arial"/>
          <w:sz w:val="20"/>
          <w:szCs w:val="20"/>
          <w:rtl/>
        </w:rPr>
        <w:t>היכי דמי נדה שנאנסה וטבלה? אילימא דאנסה חבירתה ואטבלה,</w:t>
      </w:r>
      <w:r>
        <w:rPr>
          <w:rFonts w:cs="Arial"/>
          <w:sz w:val="20"/>
          <w:szCs w:val="20"/>
          <w:rtl/>
        </w:rPr>
        <w:t xml:space="preserve"> כוונה דחברתה כוונה מעלייתא היא</w:t>
      </w:r>
      <w:r>
        <w:rPr>
          <w:rFonts w:cs="Arial" w:hint="cs"/>
          <w:sz w:val="20"/>
          <w:szCs w:val="20"/>
          <w:rtl/>
        </w:rPr>
        <w:t>!".</w:t>
      </w:r>
    </w:p>
    <w:p w:rsidR="00620060" w:rsidRDefault="00620060" w:rsidP="00620060">
      <w:pPr>
        <w:rPr>
          <w:sz w:val="20"/>
          <w:szCs w:val="20"/>
          <w:rtl/>
        </w:rPr>
      </w:pPr>
      <w:r>
        <w:rPr>
          <w:rFonts w:cs="Arial" w:hint="cs"/>
          <w:b/>
          <w:bCs/>
          <w:sz w:val="20"/>
          <w:szCs w:val="20"/>
          <w:rtl/>
        </w:rPr>
        <w:t>הסתרת הטבילה</w:t>
      </w:r>
      <w:r>
        <w:rPr>
          <w:rFonts w:cs="Arial"/>
          <w:b/>
          <w:bCs/>
          <w:sz w:val="20"/>
          <w:szCs w:val="20"/>
          <w:rtl/>
        </w:rPr>
        <w:br/>
      </w:r>
      <w:r w:rsidRPr="00433C0D">
        <w:rPr>
          <w:rFonts w:hint="cs"/>
          <w:b/>
          <w:bCs/>
          <w:sz w:val="20"/>
          <w:szCs w:val="20"/>
          <w:rtl/>
        </w:rPr>
        <w:t xml:space="preserve">גמרא </w:t>
      </w:r>
      <w:r>
        <w:rPr>
          <w:rFonts w:hint="cs"/>
          <w:sz w:val="20"/>
          <w:szCs w:val="20"/>
          <w:rtl/>
        </w:rPr>
        <w:t>עירובין (נה:) "</w:t>
      </w:r>
      <w:r w:rsidRPr="0006277C">
        <w:rPr>
          <w:rFonts w:cs="Arial"/>
          <w:sz w:val="20"/>
          <w:szCs w:val="20"/>
          <w:rtl/>
        </w:rPr>
        <w:t>תניא אליעזר איש ביריא אומר: יושבי צריפין כיושבי קברים, ועל בנותיהם הוא אומר ארור שכב עם כל בהמה. מאי טעמא? מפני שמרגישין זה לזה בטבילה</w:t>
      </w:r>
      <w:r>
        <w:rPr>
          <w:rFonts w:cs="Arial" w:hint="cs"/>
          <w:sz w:val="20"/>
          <w:szCs w:val="20"/>
          <w:rtl/>
        </w:rPr>
        <w:t>".</w:t>
      </w:r>
      <w:r>
        <w:rPr>
          <w:rFonts w:cs="Arial"/>
          <w:sz w:val="20"/>
          <w:szCs w:val="20"/>
          <w:rtl/>
        </w:rPr>
        <w:br/>
      </w:r>
      <w:r>
        <w:rPr>
          <w:rFonts w:cs="Arial" w:hint="cs"/>
          <w:sz w:val="20"/>
          <w:szCs w:val="20"/>
          <w:rtl/>
        </w:rPr>
        <w:t xml:space="preserve">ולפי זה כתב </w:t>
      </w:r>
      <w:r w:rsidRPr="0006277C">
        <w:rPr>
          <w:rFonts w:cs="Arial" w:hint="cs"/>
          <w:b/>
          <w:bCs/>
          <w:sz w:val="20"/>
          <w:szCs w:val="20"/>
          <w:rtl/>
        </w:rPr>
        <w:t>האגודה</w:t>
      </w:r>
      <w:r>
        <w:rPr>
          <w:rFonts w:cs="Arial" w:hint="cs"/>
          <w:sz w:val="20"/>
          <w:szCs w:val="20"/>
          <w:rtl/>
        </w:rPr>
        <w:t xml:space="preserve"> </w:t>
      </w:r>
      <w:r>
        <w:rPr>
          <w:rFonts w:cs="Arial"/>
          <w:sz w:val="20"/>
          <w:szCs w:val="20"/>
          <w:rtl/>
        </w:rPr>
        <w:t>–</w:t>
      </w:r>
      <w:r>
        <w:rPr>
          <w:rFonts w:cs="Arial" w:hint="cs"/>
          <w:sz w:val="20"/>
          <w:szCs w:val="20"/>
          <w:rtl/>
        </w:rPr>
        <w:t xml:space="preserve"> "</w:t>
      </w:r>
      <w:r w:rsidRPr="0006277C">
        <w:rPr>
          <w:rFonts w:cs="Arial"/>
          <w:sz w:val="20"/>
          <w:szCs w:val="20"/>
          <w:rtl/>
        </w:rPr>
        <w:t>ונראה בשביל זה נהגו הנשים להיות צנועות בליל טבילתן שלא לילך במהומה</w:t>
      </w:r>
      <w:r>
        <w:rPr>
          <w:rFonts w:cs="Arial" w:hint="cs"/>
          <w:sz w:val="20"/>
          <w:szCs w:val="20"/>
          <w:rtl/>
        </w:rPr>
        <w:t>"</w:t>
      </w:r>
      <w:r>
        <w:rPr>
          <w:rFonts w:hint="cs"/>
          <w:sz w:val="20"/>
          <w:szCs w:val="20"/>
          <w:rtl/>
        </w:rPr>
        <w:t>.</w:t>
      </w:r>
    </w:p>
    <w:p w:rsidR="00620060" w:rsidRPr="00750B6D" w:rsidRDefault="00620060" w:rsidP="00620060">
      <w:pPr>
        <w:rPr>
          <w:rFonts w:cs="Arial"/>
          <w:sz w:val="20"/>
          <w:szCs w:val="20"/>
          <w:rtl/>
        </w:rPr>
      </w:pPr>
      <w:r>
        <w:rPr>
          <w:rFonts w:hint="cs"/>
          <w:b/>
          <w:bCs/>
          <w:sz w:val="20"/>
          <w:szCs w:val="20"/>
          <w:rtl/>
        </w:rPr>
        <w:t>פסיקת הלכה</w:t>
      </w:r>
      <w:r>
        <w:rPr>
          <w:b/>
          <w:bCs/>
          <w:sz w:val="20"/>
          <w:szCs w:val="20"/>
          <w:rtl/>
        </w:rPr>
        <w:br/>
      </w:r>
      <w:r>
        <w:rPr>
          <w:rFonts w:hint="cs"/>
          <w:b/>
          <w:bCs/>
          <w:sz w:val="20"/>
          <w:szCs w:val="20"/>
          <w:rtl/>
        </w:rPr>
        <w:t xml:space="preserve">רמ"א </w:t>
      </w:r>
      <w:r>
        <w:rPr>
          <w:sz w:val="20"/>
          <w:szCs w:val="20"/>
          <w:rtl/>
        </w:rPr>
        <w:t>–</w:t>
      </w:r>
      <w:r>
        <w:rPr>
          <w:rFonts w:hint="cs"/>
          <w:sz w:val="20"/>
          <w:szCs w:val="20"/>
          <w:rtl/>
        </w:rPr>
        <w:t xml:space="preserve"> </w:t>
      </w:r>
      <w:r w:rsidRPr="00750B6D">
        <w:rPr>
          <w:rFonts w:hint="cs"/>
          <w:sz w:val="18"/>
          <w:szCs w:val="18"/>
          <w:rtl/>
        </w:rPr>
        <w:t>"</w:t>
      </w:r>
      <w:r w:rsidRPr="00750B6D">
        <w:rPr>
          <w:rFonts w:cs="Arial"/>
          <w:sz w:val="18"/>
          <w:szCs w:val="18"/>
          <w:rtl/>
        </w:rPr>
        <w:t>יש שכתבו שיש לאשה להיות צנועה בליל טבילתה, וכן נהגו הנשים להסתיר ליל טבילתן שלא לילך במהומה או בפני הבריות, שלא ירגישו בהן בני אדם; ומי שאינה עושה כן, נאמר עליה: ארור שוכב עם בהמה</w:t>
      </w:r>
      <w:r w:rsidRPr="00750B6D">
        <w:rPr>
          <w:rFonts w:cs="Arial" w:hint="cs"/>
          <w:sz w:val="18"/>
          <w:szCs w:val="18"/>
          <w:rtl/>
        </w:rPr>
        <w:t>".</w:t>
      </w:r>
    </w:p>
    <w:p w:rsidR="00620060" w:rsidRPr="00E3792A" w:rsidRDefault="00620060" w:rsidP="00620060">
      <w:pPr>
        <w:rPr>
          <w:sz w:val="20"/>
          <w:szCs w:val="20"/>
          <w:rtl/>
        </w:rPr>
      </w:pPr>
      <w:r>
        <w:rPr>
          <w:rFonts w:cs="Arial" w:hint="cs"/>
          <w:b/>
          <w:bCs/>
          <w:sz w:val="20"/>
          <w:szCs w:val="20"/>
          <w:rtl/>
        </w:rPr>
        <w:t>שלא לפגוע בדבר טמא לאחר טבילה</w:t>
      </w:r>
      <w:r>
        <w:rPr>
          <w:rFonts w:cs="Arial"/>
          <w:b/>
          <w:bCs/>
          <w:sz w:val="20"/>
          <w:szCs w:val="20"/>
          <w:rtl/>
        </w:rPr>
        <w:br/>
      </w:r>
      <w:r>
        <w:rPr>
          <w:rFonts w:cs="Arial" w:hint="cs"/>
          <w:b/>
          <w:bCs/>
          <w:sz w:val="20"/>
          <w:szCs w:val="20"/>
          <w:rtl/>
        </w:rPr>
        <w:t>פסיקת הלכה</w:t>
      </w:r>
      <w:r>
        <w:rPr>
          <w:rFonts w:cs="Arial"/>
          <w:b/>
          <w:bCs/>
          <w:sz w:val="20"/>
          <w:szCs w:val="20"/>
          <w:rtl/>
        </w:rPr>
        <w:br/>
      </w:r>
      <w:r>
        <w:rPr>
          <w:rFonts w:cs="Arial" w:hint="cs"/>
          <w:b/>
          <w:bCs/>
          <w:sz w:val="20"/>
          <w:szCs w:val="20"/>
          <w:rtl/>
        </w:rPr>
        <w:t xml:space="preserve">רמ"א </w:t>
      </w:r>
      <w:r w:rsidRPr="00DA346E">
        <w:rPr>
          <w:rFonts w:cs="Arial" w:hint="cs"/>
          <w:sz w:val="18"/>
          <w:szCs w:val="18"/>
          <w:rtl/>
        </w:rPr>
        <w:t xml:space="preserve">(ע"פ </w:t>
      </w:r>
      <w:r w:rsidRPr="00DA346E">
        <w:rPr>
          <w:rFonts w:cs="Arial" w:hint="cs"/>
          <w:b/>
          <w:bCs/>
          <w:sz w:val="18"/>
          <w:szCs w:val="18"/>
          <w:rtl/>
        </w:rPr>
        <w:t>שערי דורא</w:t>
      </w:r>
      <w:r w:rsidRPr="00EF76AE">
        <w:rPr>
          <w:rStyle w:val="a5"/>
          <w:rFonts w:cs="Arial"/>
          <w:sz w:val="18"/>
          <w:szCs w:val="18"/>
          <w:rtl/>
        </w:rPr>
        <w:footnoteReference w:id="703"/>
      </w:r>
      <w:r w:rsidRPr="00DA346E">
        <w:rPr>
          <w:rFonts w:cs="Arial" w:hint="cs"/>
          <w:sz w:val="18"/>
          <w:szCs w:val="18"/>
          <w:rtl/>
        </w:rPr>
        <w:t xml:space="preserve">) </w:t>
      </w:r>
      <w:r>
        <w:rPr>
          <w:rFonts w:cs="Arial"/>
          <w:sz w:val="20"/>
          <w:szCs w:val="20"/>
          <w:rtl/>
        </w:rPr>
        <w:t>–</w:t>
      </w:r>
      <w:r>
        <w:rPr>
          <w:rFonts w:cs="Arial" w:hint="cs"/>
          <w:sz w:val="20"/>
          <w:szCs w:val="20"/>
          <w:rtl/>
        </w:rPr>
        <w:t xml:space="preserve"> </w:t>
      </w:r>
      <w:r w:rsidRPr="00DA346E">
        <w:rPr>
          <w:rFonts w:cs="Arial" w:hint="cs"/>
          <w:sz w:val="18"/>
          <w:szCs w:val="18"/>
          <w:rtl/>
        </w:rPr>
        <w:t>"</w:t>
      </w:r>
      <w:r w:rsidRPr="00DA346E">
        <w:rPr>
          <w:rFonts w:cs="Arial"/>
          <w:sz w:val="18"/>
          <w:szCs w:val="18"/>
          <w:rtl/>
        </w:rPr>
        <w:t>ויש לנשים ליזהר כשיוצאות מן הטבילה שיפגע בה חברתה, שלא יפגע בה תחילה דבר טמא או גוי; ואם פגעו בה דברים אלו, אם היא יראת שמים תחזור ותטבול</w:t>
      </w:r>
      <w:r w:rsidRPr="00DA346E">
        <w:rPr>
          <w:rFonts w:cs="Arial" w:hint="cs"/>
          <w:sz w:val="18"/>
          <w:szCs w:val="18"/>
          <w:rtl/>
        </w:rPr>
        <w:t>".</w:t>
      </w:r>
      <w:r w:rsidRPr="00E3792A">
        <w:rPr>
          <w:rFonts w:cs="Arial"/>
          <w:sz w:val="20"/>
          <w:szCs w:val="20"/>
          <w:rtl/>
        </w:rPr>
        <w:br/>
      </w:r>
      <w:r>
        <w:rPr>
          <w:sz w:val="20"/>
          <w:szCs w:val="20"/>
          <w:rtl/>
        </w:rPr>
        <w:br/>
      </w:r>
      <w:r w:rsidRPr="0069593D">
        <w:rPr>
          <w:rFonts w:hint="cs"/>
          <w:b/>
          <w:bCs/>
          <w:sz w:val="20"/>
          <w:szCs w:val="20"/>
          <w:rtl/>
        </w:rPr>
        <w:t xml:space="preserve">סיכום </w:t>
      </w:r>
      <w:r w:rsidRPr="00C82323">
        <w:rPr>
          <w:rFonts w:hint="cs"/>
          <w:sz w:val="18"/>
          <w:szCs w:val="18"/>
          <w:rtl/>
        </w:rPr>
        <w:t>(מסעיף מא)</w:t>
      </w:r>
      <w:r>
        <w:rPr>
          <w:rFonts w:hint="cs"/>
          <w:sz w:val="20"/>
          <w:szCs w:val="20"/>
          <w:rtl/>
        </w:rPr>
        <w:br/>
        <w:t xml:space="preserve">1. </w:t>
      </w:r>
      <w:r w:rsidRPr="00DC2980">
        <w:rPr>
          <w:rFonts w:hint="cs"/>
          <w:b/>
          <w:bCs/>
          <w:sz w:val="20"/>
          <w:szCs w:val="20"/>
          <w:rtl/>
        </w:rPr>
        <w:t>תוספות</w:t>
      </w:r>
      <w:r>
        <w:rPr>
          <w:rFonts w:hint="cs"/>
          <w:sz w:val="20"/>
          <w:szCs w:val="20"/>
          <w:rtl/>
        </w:rPr>
        <w:t xml:space="preserve">. הפשילה בנה לאחוריה וטבלה, לא עלתה לה טבילה, וכ"פ </w:t>
      </w:r>
      <w:r w:rsidRPr="00D51547">
        <w:rPr>
          <w:rFonts w:hint="cs"/>
          <w:b/>
          <w:bCs/>
          <w:sz w:val="20"/>
          <w:szCs w:val="20"/>
          <w:rtl/>
        </w:rPr>
        <w:t>המחבר</w:t>
      </w:r>
      <w:r>
        <w:rPr>
          <w:rFonts w:hint="cs"/>
          <w:sz w:val="20"/>
          <w:szCs w:val="20"/>
          <w:rtl/>
        </w:rPr>
        <w:t xml:space="preserve">. </w:t>
      </w:r>
      <w:r w:rsidRPr="00DC2980">
        <w:rPr>
          <w:rFonts w:hint="cs"/>
          <w:b/>
          <w:bCs/>
          <w:sz w:val="20"/>
          <w:szCs w:val="20"/>
          <w:rtl/>
        </w:rPr>
        <w:t>טעם</w:t>
      </w:r>
      <w:r>
        <w:rPr>
          <w:rFonts w:hint="cs"/>
          <w:sz w:val="20"/>
          <w:szCs w:val="20"/>
          <w:rtl/>
        </w:rPr>
        <w:t xml:space="preserve">. שמא היה טיט ברגלי התינוק ונדבק בה וחצץ ואחר כך נפל ממנה. </w:t>
      </w:r>
      <w:r w:rsidRPr="00DC2980">
        <w:rPr>
          <w:rFonts w:hint="cs"/>
          <w:b/>
          <w:bCs/>
          <w:sz w:val="20"/>
          <w:szCs w:val="20"/>
          <w:rtl/>
        </w:rPr>
        <w:t>ב"ח</w:t>
      </w:r>
      <w:r>
        <w:rPr>
          <w:rFonts w:hint="cs"/>
          <w:sz w:val="20"/>
          <w:szCs w:val="20"/>
          <w:rtl/>
        </w:rPr>
        <w:t xml:space="preserve">. עלתה לה טבילה, אא"כ יודעת שבנה היה מלוכלך ולא עיינה בגופה. </w:t>
      </w:r>
      <w:r w:rsidRPr="00DC2980">
        <w:rPr>
          <w:rFonts w:hint="cs"/>
          <w:b/>
          <w:bCs/>
          <w:sz w:val="20"/>
          <w:szCs w:val="20"/>
          <w:rtl/>
        </w:rPr>
        <w:t>טעם</w:t>
      </w:r>
      <w:r>
        <w:rPr>
          <w:rFonts w:hint="cs"/>
          <w:sz w:val="20"/>
          <w:szCs w:val="20"/>
          <w:rtl/>
        </w:rPr>
        <w:t>. הפוסקים השמיטו דין זה, החמירו רק כשנתנה לו תבשיל, ודין מלוכלך שווה לדין נתנה לו תבשיל.</w:t>
      </w:r>
      <w:r>
        <w:rPr>
          <w:sz w:val="20"/>
          <w:szCs w:val="20"/>
          <w:rtl/>
        </w:rPr>
        <w:br/>
      </w:r>
      <w:r>
        <w:rPr>
          <w:rFonts w:hint="cs"/>
          <w:sz w:val="20"/>
          <w:szCs w:val="20"/>
          <w:rtl/>
        </w:rPr>
        <w:t xml:space="preserve">2. צרורות וקסמים שנכנסו בסדקי הרגליים חוצצים? </w:t>
      </w:r>
      <w:r w:rsidRPr="00F4074A">
        <w:rPr>
          <w:rFonts w:hint="cs"/>
          <w:b/>
          <w:bCs/>
          <w:sz w:val="20"/>
          <w:szCs w:val="20"/>
          <w:rtl/>
        </w:rPr>
        <w:t>תוספתא</w:t>
      </w:r>
      <w:r>
        <w:rPr>
          <w:rFonts w:hint="cs"/>
          <w:sz w:val="20"/>
          <w:szCs w:val="20"/>
          <w:rtl/>
        </w:rPr>
        <w:t xml:space="preserve">. לא. </w:t>
      </w:r>
      <w:r w:rsidRPr="00F4074A">
        <w:rPr>
          <w:rFonts w:hint="cs"/>
          <w:b/>
          <w:bCs/>
          <w:sz w:val="20"/>
          <w:szCs w:val="20"/>
          <w:rtl/>
        </w:rPr>
        <w:t>רמב"ם</w:t>
      </w:r>
      <w:r>
        <w:rPr>
          <w:rFonts w:hint="cs"/>
          <w:sz w:val="20"/>
          <w:szCs w:val="20"/>
          <w:rtl/>
        </w:rPr>
        <w:t xml:space="preserve">. כן, וכ"פ </w:t>
      </w:r>
      <w:r w:rsidRPr="00F4074A">
        <w:rPr>
          <w:rFonts w:hint="cs"/>
          <w:b/>
          <w:bCs/>
          <w:sz w:val="20"/>
          <w:szCs w:val="20"/>
          <w:rtl/>
        </w:rPr>
        <w:t>המחבר</w:t>
      </w:r>
      <w:r>
        <w:rPr>
          <w:rFonts w:hint="cs"/>
          <w:sz w:val="20"/>
          <w:szCs w:val="20"/>
          <w:rtl/>
        </w:rPr>
        <w:t xml:space="preserve">. </w:t>
      </w:r>
      <w:r w:rsidRPr="00F4074A">
        <w:rPr>
          <w:rFonts w:hint="cs"/>
          <w:b/>
          <w:bCs/>
          <w:sz w:val="20"/>
          <w:szCs w:val="20"/>
          <w:rtl/>
        </w:rPr>
        <w:t>ב"י</w:t>
      </w:r>
      <w:r>
        <w:rPr>
          <w:rFonts w:hint="cs"/>
          <w:sz w:val="20"/>
          <w:szCs w:val="20"/>
          <w:rtl/>
        </w:rPr>
        <w:t>. בתוספתא ר"ע דעת יחיד שאין זו חציצה, ומשמע שכו"ע חולקים וסוברים שזו חציצה.</w:t>
      </w:r>
      <w:r>
        <w:rPr>
          <w:rFonts w:hint="cs"/>
          <w:sz w:val="20"/>
          <w:szCs w:val="20"/>
          <w:rtl/>
        </w:rPr>
        <w:br/>
        <w:t xml:space="preserve">3. </w:t>
      </w:r>
      <w:r w:rsidRPr="00F4074A">
        <w:rPr>
          <w:rFonts w:hint="cs"/>
          <w:b/>
          <w:bCs/>
          <w:sz w:val="20"/>
          <w:szCs w:val="20"/>
          <w:rtl/>
        </w:rPr>
        <w:t>ש"ך</w:t>
      </w:r>
      <w:r>
        <w:rPr>
          <w:rFonts w:hint="cs"/>
          <w:sz w:val="20"/>
          <w:szCs w:val="20"/>
          <w:rtl/>
        </w:rPr>
        <w:t xml:space="preserve">. אע"פ שהסדקים הם בית הסתרים, צריך להיות ראוי לביאת מים. </w:t>
      </w:r>
      <w:r w:rsidRPr="00F4074A">
        <w:rPr>
          <w:rFonts w:hint="cs"/>
          <w:b/>
          <w:bCs/>
          <w:sz w:val="20"/>
          <w:szCs w:val="20"/>
          <w:rtl/>
        </w:rPr>
        <w:t>ששבה"ל</w:t>
      </w:r>
      <w:r>
        <w:rPr>
          <w:rFonts w:hint="cs"/>
          <w:sz w:val="20"/>
          <w:szCs w:val="20"/>
          <w:rtl/>
        </w:rPr>
        <w:t>. חול הים אינו חוצץ.</w:t>
      </w:r>
      <w:r>
        <w:rPr>
          <w:sz w:val="20"/>
          <w:szCs w:val="20"/>
          <w:rtl/>
        </w:rPr>
        <w:br/>
      </w:r>
      <w:r>
        <w:rPr>
          <w:rFonts w:hint="cs"/>
          <w:sz w:val="20"/>
          <w:szCs w:val="20"/>
          <w:rtl/>
        </w:rPr>
        <w:t xml:space="preserve">4. </w:t>
      </w:r>
      <w:r w:rsidRPr="00F4074A">
        <w:rPr>
          <w:rFonts w:hint="cs"/>
          <w:b/>
          <w:bCs/>
          <w:sz w:val="20"/>
          <w:szCs w:val="20"/>
          <w:rtl/>
        </w:rPr>
        <w:t>תוספתא</w:t>
      </w:r>
      <w:r>
        <w:rPr>
          <w:rFonts w:hint="cs"/>
          <w:sz w:val="20"/>
          <w:szCs w:val="20"/>
          <w:rtl/>
        </w:rPr>
        <w:t xml:space="preserve">. מחלוקת האם תחבושת בבית הסתרים פוסלת טבילה. </w:t>
      </w:r>
      <w:r w:rsidRPr="00F4074A">
        <w:rPr>
          <w:rFonts w:hint="cs"/>
          <w:b/>
          <w:bCs/>
          <w:sz w:val="20"/>
          <w:szCs w:val="20"/>
          <w:rtl/>
        </w:rPr>
        <w:t>ב"י</w:t>
      </w:r>
      <w:r>
        <w:rPr>
          <w:rFonts w:hint="cs"/>
          <w:sz w:val="20"/>
          <w:szCs w:val="20"/>
          <w:rtl/>
        </w:rPr>
        <w:t xml:space="preserve">. מחלוקתם תלויה בשאלה האם בית הסתרים צריך להיות ראוי לביאת מים, קיי"ל שצריך להיות ראוי, וכ"פ </w:t>
      </w:r>
      <w:r w:rsidRPr="00F4074A">
        <w:rPr>
          <w:rFonts w:hint="cs"/>
          <w:b/>
          <w:bCs/>
          <w:sz w:val="20"/>
          <w:szCs w:val="20"/>
          <w:rtl/>
        </w:rPr>
        <w:t>בשו"ע</w:t>
      </w:r>
      <w:r>
        <w:rPr>
          <w:rFonts w:hint="cs"/>
          <w:sz w:val="20"/>
          <w:szCs w:val="20"/>
          <w:rtl/>
        </w:rPr>
        <w:t>.</w:t>
      </w:r>
      <w:r>
        <w:rPr>
          <w:rFonts w:hint="cs"/>
          <w:sz w:val="20"/>
          <w:szCs w:val="20"/>
          <w:rtl/>
        </w:rPr>
        <w:br/>
        <w:t xml:space="preserve">5. </w:t>
      </w:r>
      <w:r w:rsidRPr="00F4074A">
        <w:rPr>
          <w:rFonts w:hint="cs"/>
          <w:b/>
          <w:bCs/>
          <w:sz w:val="20"/>
          <w:szCs w:val="20"/>
          <w:rtl/>
        </w:rPr>
        <w:t>רמ"א</w:t>
      </w:r>
      <w:r>
        <w:rPr>
          <w:rFonts w:hint="cs"/>
          <w:sz w:val="20"/>
          <w:szCs w:val="20"/>
          <w:rtl/>
        </w:rPr>
        <w:t xml:space="preserve">. יש להתפנות לפני טבילה. </w:t>
      </w:r>
      <w:r w:rsidRPr="00F4074A">
        <w:rPr>
          <w:rFonts w:hint="cs"/>
          <w:b/>
          <w:bCs/>
          <w:sz w:val="20"/>
          <w:szCs w:val="20"/>
          <w:rtl/>
        </w:rPr>
        <w:t>ש"ך</w:t>
      </w:r>
      <w:r>
        <w:rPr>
          <w:rFonts w:hint="cs"/>
          <w:sz w:val="20"/>
          <w:szCs w:val="20"/>
          <w:rtl/>
        </w:rPr>
        <w:t>. בדיעבד אין זה מעכב.</w:t>
      </w:r>
      <w:r>
        <w:rPr>
          <w:sz w:val="20"/>
          <w:szCs w:val="20"/>
          <w:rtl/>
        </w:rPr>
        <w:br/>
      </w:r>
      <w:r>
        <w:rPr>
          <w:rFonts w:hint="cs"/>
          <w:sz w:val="20"/>
          <w:szCs w:val="20"/>
          <w:rtl/>
        </w:rPr>
        <w:t xml:space="preserve">6. </w:t>
      </w:r>
      <w:r w:rsidRPr="00F4074A">
        <w:rPr>
          <w:rFonts w:hint="cs"/>
          <w:b/>
          <w:bCs/>
          <w:sz w:val="20"/>
          <w:szCs w:val="20"/>
          <w:rtl/>
        </w:rPr>
        <w:t>רמ"א</w:t>
      </w:r>
      <w:r>
        <w:rPr>
          <w:rFonts w:hint="cs"/>
          <w:sz w:val="20"/>
          <w:szCs w:val="20"/>
          <w:rtl/>
        </w:rPr>
        <w:t xml:space="preserve">. צואת האף חוצצת. </w:t>
      </w:r>
      <w:r w:rsidRPr="00D51547">
        <w:rPr>
          <w:rFonts w:hint="cs"/>
          <w:b/>
          <w:bCs/>
          <w:sz w:val="20"/>
          <w:szCs w:val="20"/>
          <w:rtl/>
        </w:rPr>
        <w:t>קצ"ש</w:t>
      </w:r>
      <w:r>
        <w:rPr>
          <w:rFonts w:hint="cs"/>
          <w:sz w:val="20"/>
          <w:szCs w:val="20"/>
          <w:rtl/>
        </w:rPr>
        <w:t xml:space="preserve">. בעומק האף אינה חציצה. </w:t>
      </w:r>
      <w:r w:rsidRPr="00F4074A">
        <w:rPr>
          <w:rFonts w:hint="cs"/>
          <w:b/>
          <w:bCs/>
          <w:sz w:val="20"/>
          <w:szCs w:val="20"/>
          <w:rtl/>
        </w:rPr>
        <w:t>חכמ"א</w:t>
      </w:r>
      <w:r>
        <w:rPr>
          <w:rFonts w:hint="cs"/>
          <w:sz w:val="20"/>
          <w:szCs w:val="20"/>
          <w:rtl/>
        </w:rPr>
        <w:t>. כל מקום שמגעת אליו באף חוצץ.</w:t>
      </w:r>
      <w:r>
        <w:rPr>
          <w:rFonts w:hint="cs"/>
          <w:sz w:val="20"/>
          <w:szCs w:val="20"/>
          <w:rtl/>
        </w:rPr>
        <w:br/>
        <w:t xml:space="preserve">7. </w:t>
      </w:r>
      <w:r w:rsidRPr="00F4074A">
        <w:rPr>
          <w:rFonts w:hint="cs"/>
          <w:b/>
          <w:bCs/>
          <w:sz w:val="20"/>
          <w:szCs w:val="20"/>
          <w:rtl/>
        </w:rPr>
        <w:t>מחבר</w:t>
      </w:r>
      <w:r>
        <w:rPr>
          <w:rFonts w:hint="cs"/>
          <w:sz w:val="20"/>
          <w:szCs w:val="20"/>
          <w:rtl/>
        </w:rPr>
        <w:t xml:space="preserve">. שערה או שתיים חוץ למכה וראשן דבוק במכה, וכן אם ריסי עיניה שלמטה מודבקים בריסים למעלה, וכן אם הריסים שלמטה ניקבו בריסים שלמעלה </w:t>
      </w:r>
      <w:r>
        <w:rPr>
          <w:sz w:val="20"/>
          <w:szCs w:val="20"/>
          <w:rtl/>
        </w:rPr>
        <w:t>–</w:t>
      </w:r>
      <w:r>
        <w:rPr>
          <w:rFonts w:hint="cs"/>
          <w:sz w:val="20"/>
          <w:szCs w:val="20"/>
          <w:rtl/>
        </w:rPr>
        <w:t xml:space="preserve"> כל אלו חוצצים. </w:t>
      </w:r>
      <w:r w:rsidRPr="00F4074A">
        <w:rPr>
          <w:rFonts w:hint="cs"/>
          <w:b/>
          <w:bCs/>
          <w:sz w:val="20"/>
          <w:szCs w:val="20"/>
          <w:rtl/>
        </w:rPr>
        <w:t>ד"מ</w:t>
      </w:r>
      <w:r>
        <w:rPr>
          <w:rFonts w:hint="cs"/>
          <w:sz w:val="20"/>
          <w:szCs w:val="20"/>
          <w:rtl/>
        </w:rPr>
        <w:t>. הוי מיעוטו שמקפיד עליו.</w:t>
      </w:r>
      <w:r>
        <w:rPr>
          <w:rFonts w:hint="cs"/>
          <w:sz w:val="20"/>
          <w:szCs w:val="20"/>
          <w:rtl/>
        </w:rPr>
        <w:br/>
        <w:t xml:space="preserve">8. טבילה באבק שעל רגליה. </w:t>
      </w:r>
      <w:r w:rsidRPr="00F4074A">
        <w:rPr>
          <w:rFonts w:hint="cs"/>
          <w:b/>
          <w:bCs/>
          <w:sz w:val="20"/>
          <w:szCs w:val="20"/>
          <w:rtl/>
        </w:rPr>
        <w:t>רמב"ם</w:t>
      </w:r>
      <w:r>
        <w:rPr>
          <w:rFonts w:hint="cs"/>
          <w:sz w:val="20"/>
          <w:szCs w:val="20"/>
          <w:rtl/>
        </w:rPr>
        <w:t xml:space="preserve">. בדיעבד מהני. </w:t>
      </w:r>
      <w:r w:rsidRPr="00F4074A">
        <w:rPr>
          <w:rFonts w:hint="cs"/>
          <w:b/>
          <w:bCs/>
          <w:sz w:val="20"/>
          <w:szCs w:val="20"/>
          <w:rtl/>
        </w:rPr>
        <w:t>ר"ש</w:t>
      </w:r>
      <w:r>
        <w:rPr>
          <w:rFonts w:hint="cs"/>
          <w:sz w:val="20"/>
          <w:szCs w:val="20"/>
          <w:rtl/>
        </w:rPr>
        <w:t xml:space="preserve">. אף בדיעבד לא מהני, אלא אם כן טבלה בחמים או שפשפה רגליה לפני כן. </w:t>
      </w:r>
      <w:r w:rsidRPr="00F4074A">
        <w:rPr>
          <w:rFonts w:hint="cs"/>
          <w:b/>
          <w:bCs/>
          <w:sz w:val="20"/>
          <w:szCs w:val="20"/>
          <w:rtl/>
        </w:rPr>
        <w:t>מחבר</w:t>
      </w:r>
      <w:r>
        <w:rPr>
          <w:rFonts w:hint="cs"/>
          <w:sz w:val="20"/>
          <w:szCs w:val="20"/>
          <w:rtl/>
        </w:rPr>
        <w:t>. הביא את ב' הדעות ולא הכריע.</w:t>
      </w:r>
      <w:r>
        <w:rPr>
          <w:sz w:val="20"/>
          <w:szCs w:val="20"/>
          <w:rtl/>
        </w:rPr>
        <w:br/>
      </w:r>
      <w:r>
        <w:rPr>
          <w:rFonts w:hint="cs"/>
          <w:sz w:val="20"/>
          <w:szCs w:val="20"/>
          <w:rtl/>
        </w:rPr>
        <w:t xml:space="preserve">9. </w:t>
      </w:r>
      <w:r w:rsidRPr="00F4074A">
        <w:rPr>
          <w:rFonts w:hint="cs"/>
          <w:b/>
          <w:bCs/>
          <w:sz w:val="20"/>
          <w:szCs w:val="20"/>
          <w:rtl/>
        </w:rPr>
        <w:t>פת"ש</w:t>
      </w:r>
      <w:r>
        <w:rPr>
          <w:rFonts w:hint="cs"/>
          <w:sz w:val="20"/>
          <w:szCs w:val="20"/>
          <w:rtl/>
        </w:rPr>
        <w:t xml:space="preserve">. אבקת פודרה שבראשה לכו"ע חוצץ. </w:t>
      </w:r>
      <w:r w:rsidRPr="00F4074A">
        <w:rPr>
          <w:rFonts w:hint="cs"/>
          <w:b/>
          <w:bCs/>
          <w:sz w:val="20"/>
          <w:szCs w:val="20"/>
          <w:rtl/>
        </w:rPr>
        <w:t>טעם</w:t>
      </w:r>
      <w:r>
        <w:rPr>
          <w:rFonts w:hint="cs"/>
          <w:sz w:val="20"/>
          <w:szCs w:val="20"/>
          <w:rtl/>
        </w:rPr>
        <w:t>. החוש מעיד שהאבק נדבק בראש וחוצץ.</w:t>
      </w:r>
      <w:r>
        <w:rPr>
          <w:sz w:val="20"/>
          <w:szCs w:val="20"/>
          <w:rtl/>
        </w:rPr>
        <w:br/>
      </w:r>
      <w:r>
        <w:rPr>
          <w:rFonts w:hint="cs"/>
          <w:sz w:val="20"/>
          <w:szCs w:val="20"/>
          <w:rtl/>
        </w:rPr>
        <w:t xml:space="preserve">10. </w:t>
      </w:r>
      <w:r w:rsidRPr="00F4074A">
        <w:rPr>
          <w:rFonts w:hint="cs"/>
          <w:b/>
          <w:bCs/>
          <w:sz w:val="20"/>
          <w:szCs w:val="20"/>
          <w:rtl/>
        </w:rPr>
        <w:t>גמרא ומחבר</w:t>
      </w:r>
      <w:r>
        <w:rPr>
          <w:rFonts w:hint="cs"/>
          <w:sz w:val="20"/>
          <w:szCs w:val="20"/>
          <w:rtl/>
        </w:rPr>
        <w:t xml:space="preserve">. נדה שטבלה בבגדיה </w:t>
      </w:r>
      <w:r>
        <w:rPr>
          <w:sz w:val="20"/>
          <w:szCs w:val="20"/>
          <w:rtl/>
        </w:rPr>
        <w:t>–</w:t>
      </w:r>
      <w:r>
        <w:rPr>
          <w:rFonts w:hint="cs"/>
          <w:sz w:val="20"/>
          <w:szCs w:val="20"/>
          <w:rtl/>
        </w:rPr>
        <w:t xml:space="preserve"> טהורה. </w:t>
      </w:r>
      <w:r w:rsidRPr="00F4074A">
        <w:rPr>
          <w:rFonts w:hint="cs"/>
          <w:b/>
          <w:bCs/>
          <w:sz w:val="20"/>
          <w:szCs w:val="20"/>
          <w:rtl/>
        </w:rPr>
        <w:t>ש"ך</w:t>
      </w:r>
      <w:r>
        <w:rPr>
          <w:rFonts w:hint="cs"/>
          <w:sz w:val="20"/>
          <w:szCs w:val="20"/>
          <w:rtl/>
        </w:rPr>
        <w:t>. מדובר בבגד רחב, בבגד צמוד לא עלתה לה טבילה.</w:t>
      </w:r>
      <w:r>
        <w:rPr>
          <w:rFonts w:hint="cs"/>
          <w:sz w:val="20"/>
          <w:szCs w:val="20"/>
          <w:rtl/>
        </w:rPr>
        <w:br/>
        <w:t xml:space="preserve">11. </w:t>
      </w:r>
      <w:r w:rsidRPr="00F4074A">
        <w:rPr>
          <w:rFonts w:hint="cs"/>
          <w:b/>
          <w:bCs/>
          <w:sz w:val="20"/>
          <w:szCs w:val="20"/>
          <w:rtl/>
        </w:rPr>
        <w:t>מחבר</w:t>
      </w:r>
      <w:r>
        <w:rPr>
          <w:rFonts w:hint="cs"/>
          <w:sz w:val="20"/>
          <w:szCs w:val="20"/>
          <w:rtl/>
        </w:rPr>
        <w:t xml:space="preserve">. כינים שבגוף חוצצות וצריך להסירן, אם אי אפשר אינו חוצץ. </w:t>
      </w:r>
      <w:r>
        <w:rPr>
          <w:sz w:val="20"/>
          <w:szCs w:val="20"/>
          <w:rtl/>
        </w:rPr>
        <w:br/>
      </w:r>
      <w:r>
        <w:rPr>
          <w:rFonts w:hint="cs"/>
          <w:sz w:val="20"/>
          <w:szCs w:val="20"/>
          <w:rtl/>
        </w:rPr>
        <w:t xml:space="preserve">12. </w:t>
      </w:r>
      <w:r w:rsidRPr="00F4074A">
        <w:rPr>
          <w:rFonts w:hint="cs"/>
          <w:b/>
          <w:bCs/>
          <w:sz w:val="20"/>
          <w:szCs w:val="20"/>
          <w:rtl/>
        </w:rPr>
        <w:t>ש"ך</w:t>
      </w:r>
      <w:r>
        <w:rPr>
          <w:rFonts w:hint="cs"/>
          <w:sz w:val="20"/>
          <w:szCs w:val="20"/>
          <w:rtl/>
        </w:rPr>
        <w:t xml:space="preserve">. אם יכולה להסיר ולא הסירה, אף בדיעבד לא מהני טבילתה. </w:t>
      </w:r>
      <w:r w:rsidRPr="00F4074A">
        <w:rPr>
          <w:rFonts w:hint="cs"/>
          <w:b/>
          <w:bCs/>
          <w:sz w:val="20"/>
          <w:szCs w:val="20"/>
          <w:rtl/>
        </w:rPr>
        <w:t>חמו"ד</w:t>
      </w:r>
      <w:r>
        <w:rPr>
          <w:rFonts w:hint="cs"/>
          <w:sz w:val="20"/>
          <w:szCs w:val="20"/>
          <w:rtl/>
        </w:rPr>
        <w:t xml:space="preserve">. כינים מתות חוצצות אף כשאינה יכולה להסירן. </w:t>
      </w:r>
      <w:r w:rsidRPr="00F4074A">
        <w:rPr>
          <w:rFonts w:hint="cs"/>
          <w:b/>
          <w:bCs/>
          <w:sz w:val="20"/>
          <w:szCs w:val="20"/>
          <w:rtl/>
        </w:rPr>
        <w:t>טה"ב</w:t>
      </w:r>
      <w:r>
        <w:rPr>
          <w:rFonts w:hint="cs"/>
          <w:sz w:val="20"/>
          <w:szCs w:val="20"/>
          <w:rtl/>
        </w:rPr>
        <w:t xml:space="preserve">. כינים הרוחשות בשער אינן חוצצות. </w:t>
      </w:r>
      <w:r>
        <w:rPr>
          <w:sz w:val="20"/>
          <w:szCs w:val="20"/>
          <w:rtl/>
        </w:rPr>
        <w:br/>
      </w:r>
      <w:r>
        <w:rPr>
          <w:rFonts w:hint="cs"/>
          <w:sz w:val="20"/>
          <w:szCs w:val="20"/>
          <w:rtl/>
        </w:rPr>
        <w:lastRenderedPageBreak/>
        <w:t xml:space="preserve">13. </w:t>
      </w:r>
      <w:r w:rsidRPr="00F4074A">
        <w:rPr>
          <w:rFonts w:hint="cs"/>
          <w:b/>
          <w:bCs/>
          <w:sz w:val="20"/>
          <w:szCs w:val="20"/>
          <w:rtl/>
        </w:rPr>
        <w:t>גמ'</w:t>
      </w:r>
      <w:r>
        <w:rPr>
          <w:rFonts w:hint="cs"/>
          <w:sz w:val="20"/>
          <w:szCs w:val="20"/>
          <w:rtl/>
        </w:rPr>
        <w:t xml:space="preserve">. האם נדה צריכה כוונה בטבילה? </w:t>
      </w:r>
      <w:r w:rsidRPr="00F4074A">
        <w:rPr>
          <w:rFonts w:hint="cs"/>
          <w:sz w:val="20"/>
          <w:szCs w:val="20"/>
          <w:u w:val="single"/>
          <w:rtl/>
        </w:rPr>
        <w:t>רב</w:t>
      </w:r>
      <w:r>
        <w:rPr>
          <w:rFonts w:hint="cs"/>
          <w:sz w:val="20"/>
          <w:szCs w:val="20"/>
          <w:rtl/>
        </w:rPr>
        <w:t xml:space="preserve">. לא, וכ"פ </w:t>
      </w:r>
      <w:r w:rsidRPr="00F4074A">
        <w:rPr>
          <w:rFonts w:hint="cs"/>
          <w:b/>
          <w:bCs/>
          <w:sz w:val="20"/>
          <w:szCs w:val="20"/>
          <w:rtl/>
        </w:rPr>
        <w:t>הרמב"ם והמחבר</w:t>
      </w:r>
      <w:r>
        <w:rPr>
          <w:rFonts w:hint="cs"/>
          <w:sz w:val="20"/>
          <w:szCs w:val="20"/>
          <w:rtl/>
        </w:rPr>
        <w:t xml:space="preserve">. </w:t>
      </w:r>
      <w:r w:rsidRPr="00F4074A">
        <w:rPr>
          <w:rFonts w:hint="cs"/>
          <w:sz w:val="20"/>
          <w:szCs w:val="20"/>
          <w:u w:val="single"/>
          <w:rtl/>
        </w:rPr>
        <w:t>רבי יוחנן</w:t>
      </w:r>
      <w:r>
        <w:rPr>
          <w:rFonts w:hint="cs"/>
          <w:sz w:val="20"/>
          <w:szCs w:val="20"/>
          <w:rtl/>
        </w:rPr>
        <w:t xml:space="preserve">. כן, וכ"פ </w:t>
      </w:r>
      <w:r w:rsidRPr="00F4074A">
        <w:rPr>
          <w:rFonts w:hint="cs"/>
          <w:b/>
          <w:bCs/>
          <w:sz w:val="20"/>
          <w:szCs w:val="20"/>
          <w:rtl/>
        </w:rPr>
        <w:t>רמ"א</w:t>
      </w:r>
      <w:r>
        <w:rPr>
          <w:rFonts w:hint="cs"/>
          <w:sz w:val="20"/>
          <w:szCs w:val="20"/>
          <w:rtl/>
        </w:rPr>
        <w:t xml:space="preserve"> לעיקה"ד.</w:t>
      </w:r>
      <w:r>
        <w:rPr>
          <w:rFonts w:hint="cs"/>
          <w:sz w:val="20"/>
          <w:szCs w:val="20"/>
          <w:rtl/>
        </w:rPr>
        <w:br/>
        <w:t xml:space="preserve">14. בדעת הרמ"א. </w:t>
      </w:r>
      <w:r w:rsidRPr="00F4074A">
        <w:rPr>
          <w:rFonts w:hint="cs"/>
          <w:b/>
          <w:bCs/>
          <w:sz w:val="20"/>
          <w:szCs w:val="20"/>
          <w:rtl/>
        </w:rPr>
        <w:t>ש"ך</w:t>
      </w:r>
      <w:r>
        <w:rPr>
          <w:rFonts w:hint="cs"/>
          <w:sz w:val="20"/>
          <w:szCs w:val="20"/>
          <w:rtl/>
        </w:rPr>
        <w:t xml:space="preserve">. לא תברך על טבילה שנייה. </w:t>
      </w:r>
      <w:r w:rsidRPr="00F4074A">
        <w:rPr>
          <w:rFonts w:hint="cs"/>
          <w:b/>
          <w:bCs/>
          <w:sz w:val="20"/>
          <w:szCs w:val="20"/>
          <w:rtl/>
        </w:rPr>
        <w:t>ששבה"ל</w:t>
      </w:r>
      <w:r>
        <w:rPr>
          <w:rFonts w:hint="cs"/>
          <w:sz w:val="20"/>
          <w:szCs w:val="20"/>
          <w:rtl/>
        </w:rPr>
        <w:t xml:space="preserve">. לאחר לינת לילה אין להחמיר, ואם המקווה נסגר הוי כלינת לילה. </w:t>
      </w:r>
      <w:r w:rsidRPr="00F4074A">
        <w:rPr>
          <w:rFonts w:hint="cs"/>
          <w:b/>
          <w:bCs/>
          <w:sz w:val="20"/>
          <w:szCs w:val="20"/>
          <w:rtl/>
        </w:rPr>
        <w:t>חמו"ד</w:t>
      </w:r>
      <w:r>
        <w:rPr>
          <w:rFonts w:hint="cs"/>
          <w:sz w:val="20"/>
          <w:szCs w:val="20"/>
          <w:rtl/>
        </w:rPr>
        <w:t>. אם טבלה כדי לגעת בבעלה בלבד, מותרת לשמש.</w:t>
      </w:r>
      <w:r>
        <w:rPr>
          <w:sz w:val="20"/>
          <w:szCs w:val="20"/>
          <w:rtl/>
        </w:rPr>
        <w:br/>
      </w:r>
      <w:r>
        <w:rPr>
          <w:rFonts w:hint="cs"/>
          <w:sz w:val="20"/>
          <w:szCs w:val="20"/>
          <w:rtl/>
        </w:rPr>
        <w:t xml:space="preserve">15. </w:t>
      </w:r>
      <w:r w:rsidRPr="00F4074A">
        <w:rPr>
          <w:rFonts w:hint="cs"/>
          <w:b/>
          <w:bCs/>
          <w:sz w:val="20"/>
          <w:szCs w:val="20"/>
          <w:rtl/>
        </w:rPr>
        <w:t>ט"ז וש"ך</w:t>
      </w:r>
      <w:r>
        <w:rPr>
          <w:rFonts w:hint="cs"/>
          <w:sz w:val="20"/>
          <w:szCs w:val="20"/>
          <w:rtl/>
        </w:rPr>
        <w:t>. אם טבלה ע"י אונס חברתה, לכו"ע הוי טבילה טובה, כוונת חברתה מועילה לה.</w:t>
      </w:r>
      <w:r>
        <w:rPr>
          <w:sz w:val="20"/>
          <w:szCs w:val="20"/>
          <w:rtl/>
        </w:rPr>
        <w:br/>
      </w:r>
      <w:r>
        <w:rPr>
          <w:rFonts w:hint="cs"/>
          <w:sz w:val="20"/>
          <w:szCs w:val="20"/>
          <w:rtl/>
        </w:rPr>
        <w:t xml:space="preserve">16. </w:t>
      </w:r>
      <w:r w:rsidRPr="00F4074A">
        <w:rPr>
          <w:rFonts w:hint="cs"/>
          <w:b/>
          <w:bCs/>
          <w:sz w:val="20"/>
          <w:szCs w:val="20"/>
          <w:rtl/>
        </w:rPr>
        <w:t>רמ"א</w:t>
      </w:r>
      <w:r>
        <w:rPr>
          <w:rFonts w:hint="cs"/>
          <w:sz w:val="20"/>
          <w:szCs w:val="20"/>
          <w:rtl/>
        </w:rPr>
        <w:t>. יש להסתיר את הטבילה.</w:t>
      </w:r>
      <w:r>
        <w:rPr>
          <w:sz w:val="20"/>
          <w:szCs w:val="20"/>
          <w:rtl/>
        </w:rPr>
        <w:br/>
      </w:r>
      <w:r>
        <w:rPr>
          <w:rFonts w:hint="cs"/>
          <w:sz w:val="20"/>
          <w:szCs w:val="20"/>
          <w:rtl/>
        </w:rPr>
        <w:t xml:space="preserve">17. </w:t>
      </w:r>
      <w:r w:rsidRPr="00F4074A">
        <w:rPr>
          <w:rFonts w:hint="cs"/>
          <w:b/>
          <w:bCs/>
          <w:sz w:val="20"/>
          <w:szCs w:val="20"/>
          <w:rtl/>
        </w:rPr>
        <w:t>רמ"א</w:t>
      </w:r>
      <w:r>
        <w:rPr>
          <w:rFonts w:hint="cs"/>
          <w:sz w:val="20"/>
          <w:szCs w:val="20"/>
          <w:rtl/>
        </w:rPr>
        <w:t>. יש לאשה להיזהר ולפגוע לאחר הטבילה בחברתה ולא בדבר טמא או בגוי.</w:t>
      </w: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Pr="009C378D" w:rsidRDefault="00620060" w:rsidP="00620060">
      <w:pPr>
        <w:rPr>
          <w:b/>
          <w:bCs/>
          <w:sz w:val="20"/>
          <w:szCs w:val="20"/>
          <w:rtl/>
        </w:rPr>
      </w:pPr>
      <w:r w:rsidRPr="009C378D">
        <w:rPr>
          <w:rFonts w:hint="cs"/>
          <w:b/>
          <w:bCs/>
          <w:sz w:val="20"/>
          <w:szCs w:val="20"/>
          <w:rtl/>
        </w:rPr>
        <w:lastRenderedPageBreak/>
        <w:t>בעזרת ה' יתברך</w:t>
      </w:r>
    </w:p>
    <w:p w:rsidR="00620060" w:rsidRPr="009C378D" w:rsidRDefault="00620060" w:rsidP="00620060">
      <w:pPr>
        <w:rPr>
          <w:b/>
          <w:bCs/>
          <w:sz w:val="20"/>
          <w:szCs w:val="20"/>
          <w:rtl/>
        </w:rPr>
      </w:pPr>
      <w:r w:rsidRPr="009C378D">
        <w:rPr>
          <w:rFonts w:hint="cs"/>
          <w:b/>
          <w:bCs/>
          <w:sz w:val="20"/>
          <w:szCs w:val="20"/>
          <w:rtl/>
        </w:rPr>
        <w:t xml:space="preserve">סימן קצט </w:t>
      </w:r>
      <w:r w:rsidRPr="009C378D">
        <w:rPr>
          <w:b/>
          <w:bCs/>
          <w:sz w:val="20"/>
          <w:szCs w:val="20"/>
          <w:rtl/>
        </w:rPr>
        <w:t>–</w:t>
      </w:r>
      <w:r w:rsidRPr="009C378D">
        <w:rPr>
          <w:rFonts w:hint="cs"/>
          <w:b/>
          <w:bCs/>
          <w:sz w:val="20"/>
          <w:szCs w:val="20"/>
          <w:rtl/>
        </w:rPr>
        <w:t xml:space="preserve"> דיני חפיפה</w:t>
      </w:r>
    </w:p>
    <w:p w:rsidR="00620060" w:rsidRDefault="00620060" w:rsidP="00620060">
      <w:pPr>
        <w:rPr>
          <w:sz w:val="20"/>
          <w:szCs w:val="20"/>
          <w:rtl/>
        </w:rPr>
      </w:pPr>
      <w:r>
        <w:rPr>
          <w:rFonts w:hint="cs"/>
          <w:b/>
          <w:bCs/>
          <w:noProof/>
          <w:sz w:val="20"/>
          <w:szCs w:val="20"/>
          <w:rtl/>
        </w:rPr>
        <mc:AlternateContent>
          <mc:Choice Requires="wps">
            <w:drawing>
              <wp:anchor distT="0" distB="0" distL="114300" distR="114300" simplePos="0" relativeHeight="251665408" behindDoc="0" locked="0" layoutInCell="1" allowOverlap="1" wp14:anchorId="7E78DDBA" wp14:editId="7DDF1AC2">
                <wp:simplePos x="0" y="0"/>
                <wp:positionH relativeFrom="column">
                  <wp:posOffset>4467225</wp:posOffset>
                </wp:positionH>
                <wp:positionV relativeFrom="paragraph">
                  <wp:posOffset>726440</wp:posOffset>
                </wp:positionV>
                <wp:extent cx="132080" cy="152400"/>
                <wp:effectExtent l="19050" t="0" r="39370" b="38100"/>
                <wp:wrapNone/>
                <wp:docPr id="4" name="חץ למטה 4"/>
                <wp:cNvGraphicFramePr/>
                <a:graphic xmlns:a="http://schemas.openxmlformats.org/drawingml/2006/main">
                  <a:graphicData uri="http://schemas.microsoft.com/office/word/2010/wordprocessingShape">
                    <wps:wsp>
                      <wps:cNvSpPr/>
                      <wps:spPr>
                        <a:xfrm>
                          <a:off x="0" y="0"/>
                          <a:ext cx="132080"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חץ למטה 4" o:spid="_x0000_s1026" type="#_x0000_t67" style="position:absolute;left:0;text-align:left;margin-left:351.75pt;margin-top:57.2pt;width:10.4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" adj="12240" fillcolor="#4f81bd [3204]" strokecolor="#243f60 [1604]" strokeweight="2pt"/>
            </w:pict>
          </mc:Fallback>
        </mc:AlternateContent>
      </w:r>
      <w:r w:rsidRPr="009C378D">
        <w:rPr>
          <w:rFonts w:hint="cs"/>
          <w:b/>
          <w:bCs/>
          <w:sz w:val="20"/>
          <w:szCs w:val="20"/>
          <w:rtl/>
        </w:rPr>
        <w:t xml:space="preserve">סעיף א </w:t>
      </w:r>
      <w:r>
        <w:rPr>
          <w:b/>
          <w:bCs/>
          <w:sz w:val="20"/>
          <w:szCs w:val="20"/>
          <w:rtl/>
        </w:rPr>
        <w:t>–</w:t>
      </w:r>
      <w:r w:rsidRPr="009C378D">
        <w:rPr>
          <w:rFonts w:hint="cs"/>
          <w:b/>
          <w:bCs/>
          <w:sz w:val="20"/>
          <w:szCs w:val="20"/>
          <w:rtl/>
        </w:rPr>
        <w:t xml:space="preserve"> </w:t>
      </w:r>
      <w:r>
        <w:rPr>
          <w:rFonts w:hint="cs"/>
          <w:b/>
          <w:bCs/>
          <w:sz w:val="20"/>
          <w:szCs w:val="20"/>
          <w:rtl/>
        </w:rPr>
        <w:t>דין חפיפה ועיון הגוף</w:t>
      </w:r>
      <w:r w:rsidRPr="009C378D">
        <w:rPr>
          <w:b/>
          <w:bCs/>
          <w:sz w:val="20"/>
          <w:szCs w:val="20"/>
          <w:rtl/>
        </w:rPr>
        <w:br/>
      </w:r>
      <w:r>
        <w:rPr>
          <w:rFonts w:hint="cs"/>
          <w:b/>
          <w:bCs/>
          <w:sz w:val="20"/>
          <w:szCs w:val="20"/>
          <w:rtl/>
        </w:rPr>
        <w:t>הדחת בית הסתרים ובית הקמטים</w:t>
      </w:r>
      <w:r>
        <w:rPr>
          <w:b/>
          <w:bCs/>
          <w:sz w:val="20"/>
          <w:szCs w:val="20"/>
          <w:rtl/>
        </w:rPr>
        <w:br/>
      </w:r>
      <w:r>
        <w:rPr>
          <w:rFonts w:hint="cs"/>
          <w:b/>
          <w:bCs/>
          <w:sz w:val="20"/>
          <w:szCs w:val="20"/>
          <w:rtl/>
        </w:rPr>
        <w:t xml:space="preserve">גמרא </w:t>
      </w:r>
      <w:r>
        <w:rPr>
          <w:rFonts w:hint="cs"/>
          <w:sz w:val="20"/>
          <w:szCs w:val="20"/>
          <w:rtl/>
        </w:rPr>
        <w:t>נידה (סו:) "</w:t>
      </w:r>
      <w:r w:rsidRPr="00D559A0">
        <w:rPr>
          <w:rFonts w:cs="Arial"/>
          <w:sz w:val="20"/>
          <w:szCs w:val="20"/>
          <w:rtl/>
        </w:rPr>
        <w:t xml:space="preserve">אמר רבא: לעולם ילמד אדם בתוך ביתו שתהא אשה מדיחה בית קמטיה במים. מיתיבי: בית הקמטים ובית הסתרים אינן צריכין לביאת מים! נהי דביאת מים - לא בעינן, מקום הראוי לביאת מים </w:t>
      </w:r>
      <w:r>
        <w:rPr>
          <w:rFonts w:cs="Arial"/>
          <w:sz w:val="20"/>
          <w:szCs w:val="20"/>
          <w:rtl/>
        </w:rPr>
        <w:t>–</w:t>
      </w:r>
      <w:r w:rsidRPr="00D559A0">
        <w:rPr>
          <w:rFonts w:cs="Arial"/>
          <w:sz w:val="20"/>
          <w:szCs w:val="20"/>
          <w:rtl/>
        </w:rPr>
        <w:t xml:space="preserve"> בעינן</w:t>
      </w:r>
      <w:r>
        <w:rPr>
          <w:rFonts w:cs="Arial" w:hint="cs"/>
          <w:sz w:val="20"/>
          <w:szCs w:val="20"/>
          <w:rtl/>
        </w:rPr>
        <w:t>".</w:t>
      </w:r>
    </w:p>
    <w:p w:rsidR="00620060" w:rsidRDefault="00620060" w:rsidP="00620060">
      <w:pPr>
        <w:rPr>
          <w:sz w:val="20"/>
          <w:szCs w:val="20"/>
          <w:rtl/>
        </w:rPr>
      </w:pPr>
      <w:r>
        <w:rPr>
          <w:sz w:val="20"/>
          <w:szCs w:val="20"/>
          <w:rtl/>
        </w:rPr>
        <w:br/>
      </w:r>
      <w:r>
        <w:rPr>
          <w:rFonts w:hint="cs"/>
          <w:sz w:val="20"/>
          <w:szCs w:val="20"/>
          <w:rtl/>
        </w:rPr>
        <w:t xml:space="preserve">א. </w:t>
      </w:r>
      <w:r w:rsidRPr="000A703D">
        <w:rPr>
          <w:rFonts w:hint="cs"/>
          <w:b/>
          <w:bCs/>
          <w:sz w:val="20"/>
          <w:szCs w:val="20"/>
          <w:rtl/>
        </w:rPr>
        <w:t>טור</w:t>
      </w:r>
      <w:r>
        <w:rPr>
          <w:rFonts w:hint="cs"/>
          <w:sz w:val="20"/>
          <w:szCs w:val="20"/>
          <w:rtl/>
        </w:rPr>
        <w:t xml:space="preserve"> </w:t>
      </w:r>
      <w:r>
        <w:rPr>
          <w:sz w:val="20"/>
          <w:szCs w:val="20"/>
          <w:rtl/>
        </w:rPr>
        <w:t>–</w:t>
      </w:r>
      <w:r>
        <w:rPr>
          <w:rFonts w:hint="cs"/>
          <w:sz w:val="20"/>
          <w:szCs w:val="20"/>
          <w:rtl/>
        </w:rPr>
        <w:t xml:space="preserve"> "</w:t>
      </w:r>
      <w:r w:rsidRPr="00D559A0">
        <w:rPr>
          <w:rFonts w:cs="Arial"/>
          <w:sz w:val="20"/>
          <w:szCs w:val="20"/>
          <w:rtl/>
        </w:rPr>
        <w:t>לעולם ילמד אדם בתוך ביתו שתהא אשה מדיחה קמטיה וכל בית סתריה במים</w:t>
      </w:r>
      <w:r>
        <w:rPr>
          <w:rFonts w:hint="cs"/>
          <w:sz w:val="20"/>
          <w:szCs w:val="20"/>
          <w:rtl/>
        </w:rPr>
        <w:t>".</w:t>
      </w:r>
      <w:r>
        <w:rPr>
          <w:rFonts w:hint="cs"/>
          <w:sz w:val="20"/>
          <w:szCs w:val="20"/>
          <w:rtl/>
        </w:rPr>
        <w:br/>
        <w:t xml:space="preserve">ב. </w:t>
      </w:r>
      <w:r w:rsidRPr="000A703D">
        <w:rPr>
          <w:rFonts w:hint="cs"/>
          <w:b/>
          <w:bCs/>
          <w:sz w:val="20"/>
          <w:szCs w:val="20"/>
          <w:rtl/>
        </w:rPr>
        <w:t>בית יוסף</w:t>
      </w:r>
      <w:r>
        <w:rPr>
          <w:rFonts w:hint="cs"/>
          <w:sz w:val="20"/>
          <w:szCs w:val="20"/>
          <w:rtl/>
        </w:rPr>
        <w:t xml:space="preserve"> </w:t>
      </w:r>
      <w:r>
        <w:rPr>
          <w:sz w:val="20"/>
          <w:szCs w:val="20"/>
          <w:rtl/>
        </w:rPr>
        <w:t>–</w:t>
      </w:r>
      <w:r>
        <w:rPr>
          <w:rFonts w:hint="cs"/>
          <w:sz w:val="20"/>
          <w:szCs w:val="20"/>
          <w:rtl/>
        </w:rPr>
        <w:t xml:space="preserve"> דברי הטור אינם מדוייקם, משום שבית הסתרים והקמטים הם היינו הך.</w:t>
      </w:r>
      <w:r>
        <w:rPr>
          <w:rFonts w:hint="cs"/>
          <w:sz w:val="20"/>
          <w:szCs w:val="20"/>
          <w:rtl/>
        </w:rPr>
        <w:br/>
        <w:t xml:space="preserve">ג. </w:t>
      </w:r>
      <w:r w:rsidRPr="000A703D">
        <w:rPr>
          <w:rFonts w:hint="cs"/>
          <w:b/>
          <w:bCs/>
          <w:sz w:val="20"/>
          <w:szCs w:val="20"/>
          <w:rtl/>
        </w:rPr>
        <w:t>דרכי משה</w:t>
      </w:r>
      <w:r>
        <w:rPr>
          <w:rFonts w:hint="cs"/>
          <w:sz w:val="20"/>
          <w:szCs w:val="20"/>
          <w:rtl/>
        </w:rPr>
        <w:t xml:space="preserve"> </w:t>
      </w:r>
      <w:r>
        <w:rPr>
          <w:sz w:val="20"/>
          <w:szCs w:val="20"/>
          <w:rtl/>
        </w:rPr>
        <w:t>–</w:t>
      </w:r>
      <w:r>
        <w:rPr>
          <w:rFonts w:hint="cs"/>
          <w:sz w:val="20"/>
          <w:szCs w:val="20"/>
          <w:rtl/>
        </w:rPr>
        <w:t xml:space="preserve"> דברי הטור מדוייקם, בית הסתרים הם חללי הגוף כגון האף והאוזן, אך קמטים הם הקפלים תחת אצילי ידיה ותחת צווארה.</w:t>
      </w:r>
    </w:p>
    <w:p w:rsidR="00620060" w:rsidRDefault="00620060" w:rsidP="00620060">
      <w:pPr>
        <w:rPr>
          <w:sz w:val="20"/>
          <w:szCs w:val="20"/>
          <w:rtl/>
        </w:rPr>
      </w:pPr>
      <w:r>
        <w:rPr>
          <w:rFonts w:hint="cs"/>
          <w:b/>
          <w:bCs/>
          <w:sz w:val="20"/>
          <w:szCs w:val="20"/>
          <w:rtl/>
        </w:rPr>
        <w:t>הדחה במים ובשאר משקים</w:t>
      </w:r>
      <w:r>
        <w:rPr>
          <w:b/>
          <w:bCs/>
          <w:sz w:val="20"/>
          <w:szCs w:val="20"/>
          <w:rtl/>
        </w:rPr>
        <w:br/>
      </w:r>
      <w:r>
        <w:rPr>
          <w:rFonts w:hint="cs"/>
          <w:b/>
          <w:bCs/>
          <w:sz w:val="20"/>
          <w:szCs w:val="20"/>
          <w:rtl/>
        </w:rPr>
        <w:t xml:space="preserve">מהרי"ק </w:t>
      </w:r>
      <w:r>
        <w:rPr>
          <w:sz w:val="20"/>
          <w:szCs w:val="20"/>
          <w:rtl/>
        </w:rPr>
        <w:t>–</w:t>
      </w:r>
      <w:r>
        <w:rPr>
          <w:rFonts w:hint="cs"/>
          <w:sz w:val="20"/>
          <w:szCs w:val="20"/>
          <w:rtl/>
        </w:rPr>
        <w:t xml:space="preserve"> הדחת הקמטים ובית הסתרים נעשית במים דווקא ולא במשקה אחר, וכ"פ</w:t>
      </w:r>
      <w:r w:rsidRPr="000A703D">
        <w:rPr>
          <w:rFonts w:hint="cs"/>
          <w:b/>
          <w:bCs/>
          <w:sz w:val="20"/>
          <w:szCs w:val="20"/>
          <w:rtl/>
        </w:rPr>
        <w:t xml:space="preserve"> ה</w:t>
      </w:r>
      <w:r>
        <w:rPr>
          <w:rFonts w:hint="cs"/>
          <w:b/>
          <w:bCs/>
          <w:sz w:val="20"/>
          <w:szCs w:val="20"/>
          <w:rtl/>
        </w:rPr>
        <w:t>רמ"א</w:t>
      </w:r>
      <w:r>
        <w:rPr>
          <w:rFonts w:hint="cs"/>
          <w:sz w:val="20"/>
          <w:szCs w:val="20"/>
          <w:rtl/>
        </w:rPr>
        <w:t>.</w:t>
      </w:r>
      <w:r>
        <w:rPr>
          <w:sz w:val="20"/>
          <w:szCs w:val="20"/>
          <w:rtl/>
        </w:rPr>
        <w:br/>
      </w:r>
      <w:r w:rsidRPr="00415464">
        <w:rPr>
          <w:rFonts w:hint="cs"/>
          <w:b/>
          <w:bCs/>
          <w:sz w:val="20"/>
          <w:szCs w:val="20"/>
          <w:rtl/>
        </w:rPr>
        <w:t>ראיה</w:t>
      </w:r>
      <w:r>
        <w:rPr>
          <w:rFonts w:hint="cs"/>
          <w:sz w:val="20"/>
          <w:szCs w:val="20"/>
          <w:rtl/>
        </w:rPr>
        <w:t xml:space="preserve"> </w:t>
      </w:r>
      <w:r>
        <w:rPr>
          <w:sz w:val="20"/>
          <w:szCs w:val="20"/>
          <w:rtl/>
        </w:rPr>
        <w:t>–</w:t>
      </w:r>
      <w:r>
        <w:rPr>
          <w:rFonts w:hint="cs"/>
          <w:sz w:val="20"/>
          <w:szCs w:val="20"/>
          <w:rtl/>
        </w:rPr>
        <w:t xml:space="preserve"> כך הורה רבא להדיא: "</w:t>
      </w:r>
      <w:r w:rsidRPr="00D559A0">
        <w:rPr>
          <w:rFonts w:cs="Arial"/>
          <w:sz w:val="20"/>
          <w:szCs w:val="20"/>
          <w:rtl/>
        </w:rPr>
        <w:t>שתהא אשה מדיחה בית קמטיה במים</w:t>
      </w:r>
      <w:r>
        <w:rPr>
          <w:rFonts w:cs="Arial" w:hint="cs"/>
          <w:sz w:val="20"/>
          <w:szCs w:val="20"/>
          <w:rtl/>
        </w:rPr>
        <w:t>".</w:t>
      </w:r>
      <w:r>
        <w:rPr>
          <w:rFonts w:hint="cs"/>
          <w:sz w:val="20"/>
          <w:szCs w:val="20"/>
          <w:rtl/>
        </w:rPr>
        <w:br/>
      </w:r>
      <w:r w:rsidRPr="00415464">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יין ושאר משקים יכולים להשאיר לחלוחית חוצצת בקמטי גופה.</w:t>
      </w:r>
      <w:r>
        <w:rPr>
          <w:sz w:val="20"/>
          <w:szCs w:val="20"/>
          <w:rtl/>
        </w:rPr>
        <w:br/>
      </w:r>
      <w:r w:rsidRPr="00A154F4">
        <w:rPr>
          <w:rFonts w:hint="cs"/>
          <w:b/>
          <w:bCs/>
          <w:sz w:val="20"/>
          <w:szCs w:val="20"/>
          <w:rtl/>
        </w:rPr>
        <w:t>פת"ש</w:t>
      </w:r>
      <w:r>
        <w:rPr>
          <w:rFonts w:hint="cs"/>
          <w:sz w:val="20"/>
          <w:szCs w:val="20"/>
          <w:rtl/>
        </w:rPr>
        <w:t xml:space="preserve"> </w:t>
      </w:r>
      <w:r>
        <w:rPr>
          <w:sz w:val="20"/>
          <w:szCs w:val="20"/>
          <w:rtl/>
        </w:rPr>
        <w:t>–</w:t>
      </w:r>
      <w:r>
        <w:rPr>
          <w:rFonts w:hint="cs"/>
          <w:sz w:val="20"/>
          <w:szCs w:val="20"/>
          <w:rtl/>
        </w:rPr>
        <w:t xml:space="preserve"> במקום שאין קמטים בגוף, מותר לחפוף בשאר משקים.</w:t>
      </w:r>
      <w:r>
        <w:rPr>
          <w:rStyle w:val="a5"/>
          <w:sz w:val="20"/>
          <w:szCs w:val="20"/>
          <w:rtl/>
        </w:rPr>
        <w:footnoteReference w:id="704"/>
      </w:r>
    </w:p>
    <w:p w:rsidR="00620060" w:rsidRDefault="00620060" w:rsidP="00620060">
      <w:pPr>
        <w:rPr>
          <w:sz w:val="20"/>
          <w:szCs w:val="20"/>
          <w:rtl/>
        </w:rPr>
      </w:pPr>
      <w:r>
        <w:rPr>
          <w:rFonts w:hint="cs"/>
          <w:b/>
          <w:bCs/>
          <w:sz w:val="20"/>
          <w:szCs w:val="20"/>
          <w:rtl/>
        </w:rPr>
        <w:t xml:space="preserve">חפיפה ועיון הגוף </w:t>
      </w:r>
      <w:r>
        <w:rPr>
          <w:rFonts w:hint="cs"/>
          <w:b/>
          <w:bCs/>
          <w:sz w:val="20"/>
          <w:szCs w:val="20"/>
          <w:rtl/>
        </w:rPr>
        <w:br/>
        <w:t xml:space="preserve">גמרא </w:t>
      </w:r>
      <w:r>
        <w:rPr>
          <w:rFonts w:hint="cs"/>
          <w:sz w:val="20"/>
          <w:szCs w:val="20"/>
          <w:rtl/>
        </w:rPr>
        <w:t xml:space="preserve">בבא קמא (פב. </w:t>
      </w:r>
      <w:r>
        <w:rPr>
          <w:sz w:val="20"/>
          <w:szCs w:val="20"/>
          <w:rtl/>
        </w:rPr>
        <w:t>–</w:t>
      </w:r>
      <w:r>
        <w:rPr>
          <w:rFonts w:hint="cs"/>
          <w:sz w:val="20"/>
          <w:szCs w:val="20"/>
          <w:rtl/>
        </w:rPr>
        <w:t xml:space="preserve"> פב:) "</w:t>
      </w:r>
      <w:r w:rsidRPr="008649C6">
        <w:rPr>
          <w:rFonts w:cs="Arial"/>
          <w:sz w:val="20"/>
          <w:szCs w:val="20"/>
          <w:rtl/>
        </w:rPr>
        <w:t>עשרה תקנות תיקן עזרא</w:t>
      </w:r>
      <w:r>
        <w:rPr>
          <w:rFonts w:cs="Arial" w:hint="cs"/>
          <w:sz w:val="20"/>
          <w:szCs w:val="20"/>
          <w:rtl/>
        </w:rPr>
        <w:t>...</w:t>
      </w:r>
      <w:r w:rsidRPr="008649C6">
        <w:rPr>
          <w:rtl/>
        </w:rPr>
        <w:t xml:space="preserve"> </w:t>
      </w:r>
      <w:r w:rsidRPr="008649C6">
        <w:rPr>
          <w:rFonts w:cs="Arial"/>
          <w:sz w:val="20"/>
          <w:szCs w:val="20"/>
          <w:rtl/>
        </w:rPr>
        <w:t>שתהא אשה חופפת וטובלת - דאורייתא היא! דתניא: ורחץ את בשרו במים - שלא יהא דבר חוצץ בין בשרו למים, את בשרו - את הטפל לבשרו, ומאי ניהו? שער! אמרי: דאורייתא לעיוני דלמא מיקטר, אי נמי מאוס מידי משום חציצה</w:t>
      </w:r>
      <w:r w:rsidRPr="008649C6">
        <w:rPr>
          <w:rtl/>
        </w:rPr>
        <w:t xml:space="preserve"> </w:t>
      </w:r>
      <w:r w:rsidRPr="008649C6">
        <w:rPr>
          <w:rFonts w:cs="Arial"/>
          <w:sz w:val="20"/>
          <w:szCs w:val="20"/>
          <w:rtl/>
        </w:rPr>
        <w:t>ואתא איהו תיקן חפיפה</w:t>
      </w:r>
      <w:r>
        <w:rPr>
          <w:rFonts w:cs="Arial" w:hint="cs"/>
          <w:sz w:val="20"/>
          <w:szCs w:val="20"/>
          <w:rtl/>
        </w:rPr>
        <w:t>".</w:t>
      </w:r>
    </w:p>
    <w:p w:rsidR="00620060" w:rsidRDefault="00620060" w:rsidP="00620060">
      <w:pPr>
        <w:rPr>
          <w:sz w:val="20"/>
          <w:szCs w:val="20"/>
          <w:rtl/>
        </w:rPr>
      </w:pPr>
      <w:r w:rsidRPr="00837086">
        <w:rPr>
          <w:rFonts w:hint="cs"/>
          <w:b/>
          <w:bCs/>
          <w:sz w:val="20"/>
          <w:szCs w:val="20"/>
          <w:rtl/>
        </w:rPr>
        <w:t>שיטות הראשונים</w:t>
      </w:r>
      <w:r>
        <w:rPr>
          <w:rFonts w:hint="cs"/>
          <w:sz w:val="20"/>
          <w:szCs w:val="20"/>
          <w:u w:val="single"/>
          <w:rtl/>
        </w:rPr>
        <w:br/>
      </w:r>
      <w:r>
        <w:rPr>
          <w:rFonts w:hint="cs"/>
          <w:sz w:val="20"/>
          <w:szCs w:val="20"/>
          <w:rtl/>
        </w:rPr>
        <w:t>אילו מקומות בגוף תיקן עזרא לחפוף?</w:t>
      </w:r>
      <w:r>
        <w:rPr>
          <w:sz w:val="20"/>
          <w:szCs w:val="20"/>
          <w:u w:val="single"/>
          <w:rtl/>
        </w:rPr>
        <w:br/>
      </w:r>
      <w:r>
        <w:rPr>
          <w:rFonts w:hint="cs"/>
          <w:sz w:val="20"/>
          <w:szCs w:val="20"/>
          <w:rtl/>
        </w:rPr>
        <w:t xml:space="preserve">א. </w:t>
      </w:r>
      <w:r w:rsidRPr="009305B8">
        <w:rPr>
          <w:rFonts w:hint="cs"/>
          <w:b/>
          <w:bCs/>
          <w:sz w:val="20"/>
          <w:szCs w:val="20"/>
          <w:rtl/>
        </w:rPr>
        <w:t>רש"י</w:t>
      </w:r>
      <w:r>
        <w:rPr>
          <w:rFonts w:hint="cs"/>
          <w:sz w:val="20"/>
          <w:szCs w:val="20"/>
          <w:rtl/>
        </w:rPr>
        <w:t xml:space="preserve"> </w:t>
      </w:r>
      <w:r w:rsidRPr="00837086">
        <w:rPr>
          <w:rFonts w:hint="cs"/>
          <w:sz w:val="18"/>
          <w:szCs w:val="18"/>
          <w:rtl/>
        </w:rPr>
        <w:t xml:space="preserve">(ע"פ </w:t>
      </w:r>
      <w:r w:rsidRPr="00837086">
        <w:rPr>
          <w:rFonts w:hint="cs"/>
          <w:b/>
          <w:bCs/>
          <w:sz w:val="18"/>
          <w:szCs w:val="18"/>
          <w:rtl/>
        </w:rPr>
        <w:t>רבינו שמעיה</w:t>
      </w:r>
      <w:r w:rsidRPr="00837086">
        <w:rPr>
          <w:rFonts w:hint="cs"/>
          <w:sz w:val="18"/>
          <w:szCs w:val="18"/>
          <w:rtl/>
        </w:rPr>
        <w:t xml:space="preserve">) </w:t>
      </w:r>
      <w:r>
        <w:rPr>
          <w:sz w:val="20"/>
          <w:szCs w:val="20"/>
          <w:rtl/>
        </w:rPr>
        <w:t>–</w:t>
      </w:r>
      <w:r>
        <w:rPr>
          <w:rFonts w:hint="cs"/>
          <w:sz w:val="20"/>
          <w:szCs w:val="20"/>
          <w:rtl/>
        </w:rPr>
        <w:t xml:space="preserve"> את כל הגוף.</w:t>
      </w:r>
      <w:r>
        <w:rPr>
          <w:sz w:val="20"/>
          <w:szCs w:val="20"/>
          <w:rtl/>
        </w:rPr>
        <w:br/>
      </w:r>
      <w:r>
        <w:rPr>
          <w:rFonts w:hint="cs"/>
          <w:sz w:val="20"/>
          <w:szCs w:val="20"/>
          <w:rtl/>
        </w:rPr>
        <w:t xml:space="preserve">ב. </w:t>
      </w:r>
      <w:r w:rsidRPr="009305B8">
        <w:rPr>
          <w:rFonts w:hint="cs"/>
          <w:b/>
          <w:bCs/>
          <w:sz w:val="20"/>
          <w:szCs w:val="20"/>
          <w:rtl/>
        </w:rPr>
        <w:t>תוספות</w:t>
      </w:r>
      <w:r>
        <w:rPr>
          <w:rFonts w:hint="cs"/>
          <w:sz w:val="20"/>
          <w:szCs w:val="20"/>
          <w:rtl/>
        </w:rPr>
        <w:t xml:space="preserve"> </w:t>
      </w:r>
      <w:r>
        <w:rPr>
          <w:sz w:val="20"/>
          <w:szCs w:val="20"/>
          <w:rtl/>
        </w:rPr>
        <w:t>–</w:t>
      </w:r>
      <w:r>
        <w:rPr>
          <w:rFonts w:hint="cs"/>
          <w:sz w:val="20"/>
          <w:szCs w:val="20"/>
          <w:rtl/>
        </w:rPr>
        <w:t xml:space="preserve"> רק את הראש, אך יש להחמיר כרש"י.</w:t>
      </w:r>
      <w:r>
        <w:rPr>
          <w:rStyle w:val="a5"/>
          <w:sz w:val="20"/>
          <w:szCs w:val="20"/>
          <w:rtl/>
        </w:rPr>
        <w:footnoteReference w:id="705"/>
      </w:r>
      <w:r>
        <w:rPr>
          <w:rFonts w:hint="cs"/>
          <w:sz w:val="20"/>
          <w:szCs w:val="20"/>
          <w:rtl/>
        </w:rPr>
        <w:t xml:space="preserve"> </w:t>
      </w:r>
      <w:r>
        <w:rPr>
          <w:sz w:val="20"/>
          <w:szCs w:val="20"/>
          <w:rtl/>
        </w:rPr>
        <w:br/>
      </w:r>
      <w:r>
        <w:rPr>
          <w:rFonts w:hint="cs"/>
          <w:sz w:val="20"/>
          <w:szCs w:val="20"/>
          <w:rtl/>
        </w:rPr>
        <w:t xml:space="preserve">ג. </w:t>
      </w:r>
      <w:r>
        <w:rPr>
          <w:rFonts w:hint="cs"/>
          <w:b/>
          <w:bCs/>
          <w:sz w:val="20"/>
          <w:szCs w:val="20"/>
          <w:rtl/>
        </w:rPr>
        <w:t>רמב"ן ו</w:t>
      </w:r>
      <w:r w:rsidRPr="00EC0170">
        <w:rPr>
          <w:rFonts w:hint="cs"/>
          <w:b/>
          <w:bCs/>
          <w:sz w:val="20"/>
          <w:szCs w:val="20"/>
          <w:rtl/>
        </w:rPr>
        <w:t>ר"ן</w:t>
      </w:r>
      <w:r>
        <w:rPr>
          <w:rFonts w:hint="cs"/>
          <w:sz w:val="20"/>
          <w:szCs w:val="20"/>
          <w:rtl/>
        </w:rPr>
        <w:t xml:space="preserve"> </w:t>
      </w:r>
      <w:r>
        <w:rPr>
          <w:sz w:val="20"/>
          <w:szCs w:val="20"/>
          <w:rtl/>
        </w:rPr>
        <w:t>–</w:t>
      </w:r>
      <w:r>
        <w:rPr>
          <w:rFonts w:hint="cs"/>
          <w:sz w:val="20"/>
          <w:szCs w:val="20"/>
          <w:rtl/>
        </w:rPr>
        <w:t xml:space="preserve"> כל מקום שיער בגוף, וכן צריכה לפספס את השער יפה שלא יהיו בו קשרים, וכ"פ </w:t>
      </w:r>
      <w:r>
        <w:rPr>
          <w:rFonts w:hint="cs"/>
          <w:b/>
          <w:bCs/>
          <w:sz w:val="20"/>
          <w:szCs w:val="20"/>
          <w:rtl/>
        </w:rPr>
        <w:t>ה</w:t>
      </w:r>
      <w:r w:rsidRPr="00154F26">
        <w:rPr>
          <w:rFonts w:hint="cs"/>
          <w:b/>
          <w:bCs/>
          <w:sz w:val="20"/>
          <w:szCs w:val="20"/>
          <w:rtl/>
        </w:rPr>
        <w:t>ש"ך</w:t>
      </w:r>
      <w:r>
        <w:rPr>
          <w:rFonts w:hint="cs"/>
          <w:sz w:val="20"/>
          <w:szCs w:val="20"/>
          <w:rtl/>
        </w:rPr>
        <w:t xml:space="preserve"> </w:t>
      </w:r>
      <w:r w:rsidRPr="00054829">
        <w:rPr>
          <w:rFonts w:hint="cs"/>
          <w:sz w:val="18"/>
          <w:szCs w:val="18"/>
          <w:rtl/>
        </w:rPr>
        <w:t>[והוסיף שכעת נהגו לסרוק שער ראשן במסרק, ואת שאר שערות הגוף מפספסת בידיה יפה יפה]</w:t>
      </w:r>
      <w:r>
        <w:rPr>
          <w:rFonts w:hint="cs"/>
          <w:sz w:val="20"/>
          <w:szCs w:val="20"/>
          <w:rtl/>
        </w:rPr>
        <w:t>.</w:t>
      </w:r>
    </w:p>
    <w:p w:rsidR="00620060" w:rsidRDefault="00620060" w:rsidP="00620060">
      <w:pPr>
        <w:rPr>
          <w:sz w:val="20"/>
          <w:szCs w:val="20"/>
          <w:rtl/>
        </w:rPr>
      </w:pPr>
      <w:r w:rsidRPr="00837086">
        <w:rPr>
          <w:rFonts w:hint="cs"/>
          <w:b/>
          <w:bCs/>
          <w:sz w:val="20"/>
          <w:szCs w:val="20"/>
          <w:rtl/>
        </w:rPr>
        <w:t>מנהג הנשים</w:t>
      </w:r>
      <w:r>
        <w:rPr>
          <w:sz w:val="20"/>
          <w:szCs w:val="20"/>
          <w:rtl/>
        </w:rPr>
        <w:br/>
      </w:r>
      <w:r w:rsidRPr="00F775AC">
        <w:rPr>
          <w:rFonts w:hint="cs"/>
          <w:b/>
          <w:bCs/>
          <w:sz w:val="20"/>
          <w:szCs w:val="20"/>
          <w:rtl/>
        </w:rPr>
        <w:t>תוספות</w:t>
      </w:r>
      <w:r>
        <w:rPr>
          <w:rFonts w:hint="cs"/>
          <w:sz w:val="20"/>
          <w:szCs w:val="20"/>
          <w:rtl/>
        </w:rPr>
        <w:t xml:space="preserve"> </w:t>
      </w:r>
      <w:r w:rsidRPr="003B56F1">
        <w:rPr>
          <w:rFonts w:hint="cs"/>
          <w:b/>
          <w:bCs/>
          <w:sz w:val="20"/>
          <w:szCs w:val="20"/>
          <w:rtl/>
        </w:rPr>
        <w:t xml:space="preserve">ור"ן </w:t>
      </w:r>
      <w:r>
        <w:rPr>
          <w:rFonts w:hint="cs"/>
          <w:sz w:val="20"/>
          <w:szCs w:val="20"/>
          <w:rtl/>
        </w:rPr>
        <w:t xml:space="preserve">- נהגו כל הנשים לחפוף את כל הגוף ולרחוץ במים חמים סמוך לטבילה. </w:t>
      </w:r>
      <w:r>
        <w:rPr>
          <w:sz w:val="20"/>
          <w:szCs w:val="20"/>
          <w:rtl/>
        </w:rPr>
        <w:br/>
      </w:r>
      <w:r w:rsidRPr="00F775AC">
        <w:rPr>
          <w:rFonts w:hint="cs"/>
          <w:b/>
          <w:bCs/>
          <w:sz w:val="20"/>
          <w:szCs w:val="20"/>
          <w:rtl/>
        </w:rPr>
        <w:t>ר"ן</w:t>
      </w:r>
      <w:r>
        <w:rPr>
          <w:rFonts w:hint="cs"/>
          <w:sz w:val="20"/>
          <w:szCs w:val="20"/>
          <w:rtl/>
        </w:rPr>
        <w:t xml:space="preserve"> </w:t>
      </w:r>
      <w:r>
        <w:rPr>
          <w:sz w:val="20"/>
          <w:szCs w:val="20"/>
          <w:rtl/>
        </w:rPr>
        <w:t>–</w:t>
      </w:r>
      <w:r>
        <w:rPr>
          <w:rFonts w:hint="cs"/>
          <w:sz w:val="20"/>
          <w:szCs w:val="20"/>
          <w:rtl/>
        </w:rPr>
        <w:t xml:space="preserve"> מוכח בגמרא שגם בזמנם נהגו הנשים לרחוץ את כל גופן במים חמים - </w:t>
      </w:r>
      <w:r>
        <w:rPr>
          <w:sz w:val="20"/>
          <w:szCs w:val="20"/>
          <w:rtl/>
        </w:rPr>
        <w:br/>
      </w:r>
      <w:r w:rsidRPr="00E768D1">
        <w:rPr>
          <w:rFonts w:hint="cs"/>
          <w:b/>
          <w:bCs/>
          <w:sz w:val="20"/>
          <w:szCs w:val="20"/>
          <w:rtl/>
        </w:rPr>
        <w:t>גמרא</w:t>
      </w:r>
      <w:r>
        <w:rPr>
          <w:rFonts w:hint="cs"/>
          <w:sz w:val="20"/>
          <w:szCs w:val="20"/>
          <w:rtl/>
        </w:rPr>
        <w:t xml:space="preserve"> נידה (סז: - סח.) "</w:t>
      </w:r>
      <w:r w:rsidRPr="00E768D1">
        <w:rPr>
          <w:rFonts w:cs="Arial"/>
          <w:sz w:val="20"/>
          <w:szCs w:val="20"/>
          <w:rtl/>
        </w:rPr>
        <w:t xml:space="preserve">הוה עובדא בדביתהו דאבא מרי ריש גלותא </w:t>
      </w:r>
      <w:r>
        <w:rPr>
          <w:rFonts w:cs="Arial"/>
          <w:sz w:val="20"/>
          <w:szCs w:val="20"/>
          <w:rtl/>
        </w:rPr>
        <w:t>דאיקוט, אזל ר</w:t>
      </w:r>
      <w:r>
        <w:rPr>
          <w:rFonts w:cs="Arial" w:hint="cs"/>
          <w:sz w:val="20"/>
          <w:szCs w:val="20"/>
          <w:rtl/>
        </w:rPr>
        <w:t xml:space="preserve">ב </w:t>
      </w:r>
      <w:r>
        <w:rPr>
          <w:rFonts w:cs="Arial"/>
          <w:sz w:val="20"/>
          <w:szCs w:val="20"/>
          <w:rtl/>
        </w:rPr>
        <w:t>נ</w:t>
      </w:r>
      <w:r>
        <w:rPr>
          <w:rFonts w:cs="Arial" w:hint="cs"/>
          <w:sz w:val="20"/>
          <w:szCs w:val="20"/>
          <w:rtl/>
        </w:rPr>
        <w:t>חמן</w:t>
      </w:r>
      <w:r>
        <w:rPr>
          <w:rFonts w:cs="Arial"/>
          <w:sz w:val="20"/>
          <w:szCs w:val="20"/>
          <w:rtl/>
        </w:rPr>
        <w:t xml:space="preserve"> בר יצחק לפיוסה.</w:t>
      </w:r>
      <w:r>
        <w:rPr>
          <w:rFonts w:cs="Arial" w:hint="cs"/>
          <w:sz w:val="20"/>
          <w:szCs w:val="20"/>
          <w:rtl/>
        </w:rPr>
        <w:t>..</w:t>
      </w:r>
      <w:r>
        <w:rPr>
          <w:rFonts w:cs="Arial"/>
          <w:sz w:val="20"/>
          <w:szCs w:val="20"/>
          <w:rtl/>
        </w:rPr>
        <w:br/>
      </w:r>
      <w:r w:rsidRPr="00E768D1">
        <w:rPr>
          <w:rFonts w:cs="Arial"/>
          <w:sz w:val="20"/>
          <w:szCs w:val="20"/>
          <w:rtl/>
        </w:rPr>
        <w:t>אמר: דודי חסרת, טשטקי חסרת, עבדי חסרת?</w:t>
      </w:r>
      <w:r>
        <w:rPr>
          <w:rFonts w:cs="Arial" w:hint="cs"/>
          <w:sz w:val="20"/>
          <w:szCs w:val="20"/>
          <w:rtl/>
        </w:rPr>
        <w:t>".</w:t>
      </w:r>
      <w:r>
        <w:rPr>
          <w:rFonts w:hint="cs"/>
          <w:sz w:val="20"/>
          <w:szCs w:val="20"/>
          <w:rtl/>
        </w:rPr>
        <w:t xml:space="preserve"> ומכך שהזכיר עבדים לשאת את המים ודודים לחמם בהם את המים, משמע שמדובר בכמות מים גדולה שנועדה לרחיצת כל הגוף.</w:t>
      </w:r>
    </w:p>
    <w:p w:rsidR="00620060" w:rsidRPr="00B003D5" w:rsidRDefault="00620060" w:rsidP="00620060">
      <w:pPr>
        <w:rPr>
          <w:sz w:val="20"/>
          <w:szCs w:val="20"/>
          <w:rtl/>
        </w:rPr>
      </w:pPr>
      <w:r>
        <w:rPr>
          <w:rFonts w:hint="cs"/>
          <w:b/>
          <w:bCs/>
          <w:sz w:val="20"/>
          <w:szCs w:val="20"/>
          <w:rtl/>
        </w:rPr>
        <w:t>הבדל בין חפיפה לעיון הגוף</w:t>
      </w:r>
      <w:r>
        <w:rPr>
          <w:b/>
          <w:bCs/>
          <w:sz w:val="20"/>
          <w:szCs w:val="20"/>
          <w:rtl/>
        </w:rPr>
        <w:br/>
      </w:r>
      <w:r>
        <w:rPr>
          <w:rFonts w:hint="cs"/>
          <w:sz w:val="20"/>
          <w:szCs w:val="20"/>
          <w:rtl/>
        </w:rPr>
        <w:t xml:space="preserve">א. </w:t>
      </w:r>
      <w:r>
        <w:rPr>
          <w:rFonts w:hint="cs"/>
          <w:b/>
          <w:bCs/>
          <w:sz w:val="20"/>
          <w:szCs w:val="20"/>
          <w:rtl/>
        </w:rPr>
        <w:t xml:space="preserve">ר"ן </w:t>
      </w:r>
      <w:r>
        <w:rPr>
          <w:sz w:val="20"/>
          <w:szCs w:val="20"/>
          <w:rtl/>
        </w:rPr>
        <w:t>–</w:t>
      </w:r>
      <w:r>
        <w:rPr>
          <w:rFonts w:hint="cs"/>
          <w:sz w:val="20"/>
          <w:szCs w:val="20"/>
          <w:rtl/>
        </w:rPr>
        <w:t xml:space="preserve"> כיוון שחפיפה היא דין דרבנן, מקלים בה, בניגוד לעיון הגוף שהוא דאורייתא ואין מקלים בו.</w:t>
      </w:r>
      <w:r>
        <w:rPr>
          <w:sz w:val="20"/>
          <w:szCs w:val="20"/>
          <w:rtl/>
        </w:rPr>
        <w:br/>
      </w:r>
      <w:r>
        <w:rPr>
          <w:rFonts w:hint="cs"/>
          <w:sz w:val="20"/>
          <w:szCs w:val="20"/>
          <w:rtl/>
        </w:rPr>
        <w:t xml:space="preserve">כלומר </w:t>
      </w:r>
      <w:r>
        <w:rPr>
          <w:sz w:val="20"/>
          <w:szCs w:val="20"/>
          <w:rtl/>
        </w:rPr>
        <w:t>–</w:t>
      </w:r>
      <w:r>
        <w:rPr>
          <w:rFonts w:hint="cs"/>
          <w:sz w:val="20"/>
          <w:szCs w:val="20"/>
          <w:rtl/>
        </w:rPr>
        <w:t xml:space="preserve"> בהמשך הסימן נראה שמותר לאשה להרחיק את החפיפה מהטבילה, כגון שטבילתה במוצאי שבת מותר לה לחפוף בערב שבת. לעומת זאת בעיון הגוף לא הקלו, ולכן סמוך לטבילה חובה עליה לעיין בגופה.</w:t>
      </w:r>
      <w:r>
        <w:rPr>
          <w:sz w:val="20"/>
          <w:szCs w:val="20"/>
          <w:rtl/>
        </w:rPr>
        <w:br/>
      </w:r>
      <w:r w:rsidRPr="00B003D5">
        <w:rPr>
          <w:rFonts w:hint="cs"/>
          <w:b/>
          <w:bCs/>
          <w:sz w:val="20"/>
          <w:szCs w:val="20"/>
          <w:rtl/>
        </w:rPr>
        <w:t>ראיה</w:t>
      </w:r>
      <w:r>
        <w:rPr>
          <w:rFonts w:hint="cs"/>
          <w:sz w:val="20"/>
          <w:szCs w:val="20"/>
          <w:rtl/>
        </w:rPr>
        <w:t xml:space="preserve"> </w:t>
      </w:r>
      <w:r>
        <w:rPr>
          <w:sz w:val="20"/>
          <w:szCs w:val="20"/>
          <w:rtl/>
        </w:rPr>
        <w:t>–</w:t>
      </w:r>
      <w:r>
        <w:rPr>
          <w:rFonts w:hint="cs"/>
          <w:sz w:val="20"/>
          <w:szCs w:val="20"/>
          <w:rtl/>
        </w:rPr>
        <w:t xml:space="preserve"> </w:t>
      </w:r>
      <w:r w:rsidRPr="00DF3415">
        <w:rPr>
          <w:rFonts w:hint="cs"/>
          <w:b/>
          <w:bCs/>
          <w:sz w:val="20"/>
          <w:szCs w:val="20"/>
          <w:rtl/>
        </w:rPr>
        <w:t>גמרא</w:t>
      </w:r>
      <w:r>
        <w:rPr>
          <w:rFonts w:hint="cs"/>
          <w:sz w:val="20"/>
          <w:szCs w:val="20"/>
          <w:rtl/>
        </w:rPr>
        <w:t xml:space="preserve"> (שם סז.) "</w:t>
      </w:r>
      <w:r w:rsidRPr="00B003D5">
        <w:rPr>
          <w:rFonts w:cs="Arial"/>
          <w:sz w:val="20"/>
          <w:szCs w:val="20"/>
          <w:rtl/>
        </w:rPr>
        <w:t>אמר רב גידל אמר רב: נתנה תבשיל לבנה וטבלה ועלתה - לא עלתה לה טבילה</w:t>
      </w:r>
      <w:r>
        <w:rPr>
          <w:rFonts w:cs="Arial" w:hint="cs"/>
          <w:sz w:val="20"/>
          <w:szCs w:val="20"/>
          <w:rtl/>
        </w:rPr>
        <w:t>"</w:t>
      </w:r>
      <w:r>
        <w:rPr>
          <w:rFonts w:hint="cs"/>
          <w:sz w:val="20"/>
          <w:szCs w:val="20"/>
          <w:rtl/>
        </w:rPr>
        <w:t>.</w:t>
      </w:r>
      <w:r>
        <w:rPr>
          <w:sz w:val="20"/>
          <w:szCs w:val="20"/>
          <w:rtl/>
        </w:rPr>
        <w:br/>
      </w:r>
      <w:r>
        <w:rPr>
          <w:rFonts w:hint="cs"/>
          <w:sz w:val="20"/>
          <w:szCs w:val="20"/>
          <w:rtl/>
        </w:rPr>
        <w:t>וברור שאם חפפה בע"ש וטובלת במוצ"ש מסתבר שנתנה תבשיל לבנה בשבת וכיצד טבילתה כשרה? אלא על כורחך עיינה בגופה סמוך לטבילתה כדין.</w:t>
      </w:r>
    </w:p>
    <w:p w:rsidR="00620060" w:rsidRPr="001C3B0F" w:rsidRDefault="00620060" w:rsidP="00620060">
      <w:pPr>
        <w:rPr>
          <w:sz w:val="20"/>
          <w:szCs w:val="20"/>
          <w:rtl/>
        </w:rPr>
      </w:pPr>
      <w:r>
        <w:rPr>
          <w:rFonts w:hint="cs"/>
          <w:b/>
          <w:bCs/>
          <w:noProof/>
          <w:sz w:val="20"/>
          <w:szCs w:val="20"/>
          <w:rtl/>
        </w:rPr>
        <mc:AlternateContent>
          <mc:Choice Requires="wps">
            <w:drawing>
              <wp:anchor distT="0" distB="0" distL="114300" distR="114300" simplePos="0" relativeHeight="251666432" behindDoc="0" locked="0" layoutInCell="1" allowOverlap="1" wp14:anchorId="5159849F" wp14:editId="7241A44C">
                <wp:simplePos x="0" y="0"/>
                <wp:positionH relativeFrom="column">
                  <wp:posOffset>4931410</wp:posOffset>
                </wp:positionH>
                <wp:positionV relativeFrom="paragraph">
                  <wp:posOffset>502920</wp:posOffset>
                </wp:positionV>
                <wp:extent cx="132080" cy="152400"/>
                <wp:effectExtent l="19050" t="0" r="39370" b="38100"/>
                <wp:wrapNone/>
                <wp:docPr id="5" name="חץ למטה 5"/>
                <wp:cNvGraphicFramePr/>
                <a:graphic xmlns:a="http://schemas.openxmlformats.org/drawingml/2006/main">
                  <a:graphicData uri="http://schemas.microsoft.com/office/word/2010/wordprocessingShape">
                    <wps:wsp>
                      <wps:cNvSpPr/>
                      <wps:spPr>
                        <a:xfrm>
                          <a:off x="0" y="0"/>
                          <a:ext cx="132080"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חץ למטה 5" o:spid="_x0000_s1026" type="#_x0000_t67" style="position:absolute;left:0;text-align:left;margin-left:388.3pt;margin-top:39.6pt;width:10.4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" adj="12240" fillcolor="#4f81bd [3204]" strokecolor="#243f60 [1604]" strokeweight="2pt"/>
            </w:pict>
          </mc:Fallback>
        </mc:AlternateContent>
      </w:r>
      <w:r>
        <w:rPr>
          <w:rFonts w:hint="cs"/>
          <w:sz w:val="20"/>
          <w:szCs w:val="20"/>
          <w:rtl/>
        </w:rPr>
        <w:t xml:space="preserve">ב. לשון </w:t>
      </w:r>
      <w:r w:rsidRPr="001C3B0F">
        <w:rPr>
          <w:rFonts w:hint="cs"/>
          <w:b/>
          <w:bCs/>
          <w:sz w:val="20"/>
          <w:szCs w:val="20"/>
          <w:rtl/>
        </w:rPr>
        <w:t>הרמב"ן</w:t>
      </w:r>
      <w:r>
        <w:rPr>
          <w:rFonts w:hint="cs"/>
          <w:sz w:val="20"/>
          <w:szCs w:val="20"/>
          <w:rtl/>
        </w:rPr>
        <w:t xml:space="preserve"> </w:t>
      </w:r>
      <w:r>
        <w:rPr>
          <w:sz w:val="20"/>
          <w:szCs w:val="20"/>
          <w:rtl/>
        </w:rPr>
        <w:t>–</w:t>
      </w:r>
      <w:r>
        <w:rPr>
          <w:rFonts w:hint="cs"/>
          <w:sz w:val="20"/>
          <w:szCs w:val="20"/>
          <w:rtl/>
        </w:rPr>
        <w:t xml:space="preserve"> "</w:t>
      </w:r>
      <w:r w:rsidRPr="001C3B0F">
        <w:rPr>
          <w:rFonts w:cs="Arial"/>
          <w:sz w:val="20"/>
          <w:szCs w:val="20"/>
          <w:rtl/>
        </w:rPr>
        <w:t>דין תורה שתהא הטובלת מעיינת בעצמה סמוך לטבילה ובודקת כל גופה שמא יש בה דבר שחוצץ בטבילה</w:t>
      </w:r>
      <w:r>
        <w:rPr>
          <w:rFonts w:cs="Arial" w:hint="cs"/>
          <w:sz w:val="20"/>
          <w:szCs w:val="20"/>
          <w:rtl/>
        </w:rPr>
        <w:t>.</w:t>
      </w:r>
      <w:r w:rsidRPr="001C3B0F">
        <w:rPr>
          <w:rFonts w:cs="Arial"/>
          <w:sz w:val="20"/>
          <w:szCs w:val="20"/>
          <w:rtl/>
        </w:rPr>
        <w:t xml:space="preserve"> ועזרא ובית דינו תקנו שתהא חופפת בכ</w:t>
      </w:r>
      <w:r>
        <w:rPr>
          <w:rFonts w:cs="Arial" w:hint="cs"/>
          <w:sz w:val="20"/>
          <w:szCs w:val="20"/>
          <w:rtl/>
        </w:rPr>
        <w:t>ל מקום</w:t>
      </w:r>
      <w:r w:rsidRPr="001C3B0F">
        <w:rPr>
          <w:rFonts w:cs="Arial"/>
          <w:sz w:val="20"/>
          <w:szCs w:val="20"/>
          <w:rtl/>
        </w:rPr>
        <w:t xml:space="preserve"> שער שבה במים חמין וסורקת אותן או מפספסת אותן בידיה יפה יפה</w:t>
      </w:r>
      <w:r>
        <w:rPr>
          <w:rFonts w:cs="Arial" w:hint="cs"/>
          <w:sz w:val="20"/>
          <w:szCs w:val="20"/>
          <w:rtl/>
        </w:rPr>
        <w:t>,</w:t>
      </w:r>
      <w:r w:rsidRPr="001C3B0F">
        <w:rPr>
          <w:rFonts w:cs="Arial"/>
          <w:sz w:val="20"/>
          <w:szCs w:val="20"/>
          <w:rtl/>
        </w:rPr>
        <w:t xml:space="preserve"> כדי שתתיר שערותיה אם יש בהם קשר</w:t>
      </w:r>
      <w:r>
        <w:rPr>
          <w:rFonts w:cs="Arial" w:hint="cs"/>
          <w:sz w:val="20"/>
          <w:szCs w:val="20"/>
          <w:rtl/>
        </w:rPr>
        <w:t>".</w:t>
      </w:r>
      <w:r>
        <w:rPr>
          <w:sz w:val="20"/>
          <w:szCs w:val="20"/>
          <w:rtl/>
        </w:rPr>
        <w:br/>
      </w:r>
      <w:r>
        <w:rPr>
          <w:sz w:val="20"/>
          <w:szCs w:val="20"/>
          <w:rtl/>
        </w:rPr>
        <w:lastRenderedPageBreak/>
        <w:br/>
      </w:r>
      <w:r>
        <w:rPr>
          <w:rFonts w:hint="cs"/>
          <w:sz w:val="20"/>
          <w:szCs w:val="20"/>
          <w:rtl/>
        </w:rPr>
        <w:t>הבנת</w:t>
      </w:r>
      <w:r w:rsidRPr="001C3B0F">
        <w:rPr>
          <w:rFonts w:hint="cs"/>
          <w:b/>
          <w:bCs/>
          <w:sz w:val="20"/>
          <w:szCs w:val="20"/>
          <w:rtl/>
        </w:rPr>
        <w:t xml:space="preserve"> הטור </w:t>
      </w:r>
      <w:r>
        <w:rPr>
          <w:sz w:val="20"/>
          <w:szCs w:val="20"/>
          <w:rtl/>
        </w:rPr>
        <w:t>–</w:t>
      </w:r>
      <w:r>
        <w:rPr>
          <w:rFonts w:hint="cs"/>
          <w:sz w:val="20"/>
          <w:szCs w:val="20"/>
          <w:rtl/>
        </w:rPr>
        <w:t xml:space="preserve"> הרמב"ן החמיר בעיון הגוף יותר מעיון השער.</w:t>
      </w:r>
      <w:r>
        <w:rPr>
          <w:sz w:val="20"/>
          <w:szCs w:val="20"/>
          <w:rtl/>
        </w:rPr>
        <w:br/>
      </w:r>
      <w:r w:rsidRPr="001C3B0F">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עיון הגוף הוא דאורייתא ואילו עיון הראש דרבנן.</w:t>
      </w:r>
      <w:r>
        <w:rPr>
          <w:sz w:val="20"/>
          <w:szCs w:val="20"/>
          <w:rtl/>
        </w:rPr>
        <w:br/>
      </w:r>
      <w:r>
        <w:rPr>
          <w:rFonts w:hint="cs"/>
          <w:sz w:val="20"/>
          <w:szCs w:val="20"/>
          <w:rtl/>
        </w:rPr>
        <w:t xml:space="preserve">דוחה </w:t>
      </w:r>
      <w:r w:rsidRPr="001C3B0F">
        <w:rPr>
          <w:rFonts w:hint="cs"/>
          <w:b/>
          <w:bCs/>
          <w:sz w:val="20"/>
          <w:szCs w:val="20"/>
          <w:rtl/>
        </w:rPr>
        <w:t>הבית יוסף</w:t>
      </w:r>
      <w:r>
        <w:rPr>
          <w:rFonts w:hint="cs"/>
          <w:sz w:val="20"/>
          <w:szCs w:val="20"/>
          <w:rtl/>
        </w:rPr>
        <w:t xml:space="preserve"> </w:t>
      </w:r>
      <w:r>
        <w:rPr>
          <w:sz w:val="20"/>
          <w:szCs w:val="20"/>
          <w:rtl/>
        </w:rPr>
        <w:t>–</w:t>
      </w:r>
      <w:r>
        <w:rPr>
          <w:rFonts w:hint="cs"/>
          <w:sz w:val="20"/>
          <w:szCs w:val="20"/>
          <w:rtl/>
        </w:rPr>
        <w:t xml:space="preserve"> לא ייתכן להחמיר בעיון הגוף יותר מעיון הראש שהרי בראש מצוי יותר חציצה.</w:t>
      </w:r>
      <w:r>
        <w:rPr>
          <w:sz w:val="20"/>
          <w:szCs w:val="20"/>
          <w:rtl/>
        </w:rPr>
        <w:br/>
      </w:r>
      <w:r>
        <w:rPr>
          <w:rFonts w:hint="cs"/>
          <w:sz w:val="20"/>
          <w:szCs w:val="20"/>
          <w:rtl/>
        </w:rPr>
        <w:t xml:space="preserve">ועוד </w:t>
      </w:r>
      <w:r>
        <w:rPr>
          <w:sz w:val="20"/>
          <w:szCs w:val="20"/>
          <w:rtl/>
        </w:rPr>
        <w:t>–</w:t>
      </w:r>
      <w:r>
        <w:rPr>
          <w:rFonts w:hint="cs"/>
          <w:sz w:val="20"/>
          <w:szCs w:val="20"/>
          <w:rtl/>
        </w:rPr>
        <w:t xml:space="preserve"> כיוון שעיון בשער נלמד מריבוי "את בשרו" אין מקום לחלק ביניהם!</w:t>
      </w:r>
      <w:r>
        <w:rPr>
          <w:rFonts w:hint="cs"/>
          <w:sz w:val="20"/>
          <w:szCs w:val="20"/>
          <w:rtl/>
        </w:rPr>
        <w:br/>
        <w:t>אלא כוונת הרמב"ן שעיון בכל הגוף הוא דין תורה, כולל עיון הראש, עזרא תיקן שצריך גם לחפוף בראש.</w:t>
      </w:r>
      <w:r>
        <w:rPr>
          <w:rFonts w:hint="cs"/>
          <w:sz w:val="20"/>
          <w:szCs w:val="20"/>
          <w:rtl/>
        </w:rPr>
        <w:br/>
      </w:r>
      <w:r w:rsidRPr="00054829">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כוונת הטור לומר, שאע"פ שהקלו להרחיק חפיפה מטבילה, אעפ"כ צריכה לעיין בראשה סמוך לטבילה.</w:t>
      </w:r>
      <w:r>
        <w:rPr>
          <w:sz w:val="20"/>
          <w:szCs w:val="20"/>
          <w:rtl/>
        </w:rPr>
        <w:br/>
      </w:r>
      <w:r>
        <w:rPr>
          <w:rFonts w:hint="cs"/>
          <w:sz w:val="20"/>
          <w:szCs w:val="20"/>
          <w:rtl/>
        </w:rPr>
        <w:t>והטעם לכך הוא, משום שחפיפה היא תקנת עזרא, אך עיון הראש שווה לעיון הגוף ותקפו דאורייתא.</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1C3B0F">
        <w:rPr>
          <w:rFonts w:cs="Arial"/>
          <w:sz w:val="20"/>
          <w:szCs w:val="20"/>
          <w:rtl/>
        </w:rPr>
        <w:t xml:space="preserve">צריכה להדיח בית השחי ובית הסתרים שלה במים, </w:t>
      </w:r>
      <w:r w:rsidRPr="001C3B0F">
        <w:rPr>
          <w:rFonts w:cs="Arial"/>
          <w:sz w:val="18"/>
          <w:szCs w:val="18"/>
          <w:rtl/>
        </w:rPr>
        <w:t>(ולא בשאר משקין)</w:t>
      </w:r>
      <w:r w:rsidRPr="001C3B0F">
        <w:rPr>
          <w:rFonts w:cs="Arial"/>
          <w:sz w:val="20"/>
          <w:szCs w:val="20"/>
          <w:rtl/>
        </w:rPr>
        <w:t xml:space="preserve"> ולסרוק שיער ראשה יפה במסרק שלא תהיינה שערותיה נדבקות זו בזו; וכן צריכה האשה לעיין בעצמה ובבשרה ובודקת כל גופה סמוך לטבילתה, שלא יהא עליה שום דבר מיאוס שחוצץ; ותחוף כל גופה ותשטוף </w:t>
      </w:r>
      <w:r>
        <w:rPr>
          <w:rFonts w:cs="Arial"/>
          <w:sz w:val="20"/>
          <w:szCs w:val="20"/>
          <w:rtl/>
        </w:rPr>
        <w:t>במים חמין בשעת חפיפת גופה ושערה</w:t>
      </w:r>
      <w:r>
        <w:rPr>
          <w:rFonts w:cs="Arial" w:hint="cs"/>
          <w:sz w:val="20"/>
          <w:szCs w:val="20"/>
          <w:rtl/>
        </w:rPr>
        <w:t>".</w:t>
      </w:r>
    </w:p>
    <w:p w:rsidR="00620060" w:rsidRDefault="00620060" w:rsidP="00620060">
      <w:pPr>
        <w:rPr>
          <w:sz w:val="20"/>
          <w:szCs w:val="20"/>
          <w:rtl/>
        </w:rPr>
      </w:pPr>
      <w:r>
        <w:rPr>
          <w:rFonts w:hint="cs"/>
          <w:sz w:val="20"/>
          <w:szCs w:val="20"/>
          <w:u w:val="single"/>
          <w:rtl/>
        </w:rPr>
        <w:t>עיון הגוף לאחר חפיפה</w:t>
      </w:r>
      <w:r>
        <w:rPr>
          <w:sz w:val="20"/>
          <w:szCs w:val="20"/>
          <w:u w:val="single"/>
          <w:rtl/>
        </w:rPr>
        <w:br/>
      </w:r>
      <w:r>
        <w:rPr>
          <w:rFonts w:hint="cs"/>
          <w:sz w:val="20"/>
          <w:szCs w:val="20"/>
          <w:rtl/>
        </w:rPr>
        <w:t>אשה שחפפה את כל גופה, האם צריכה לעיין ולבדוק שאין עליה דבר חוצץ?</w:t>
      </w:r>
      <w:r>
        <w:rPr>
          <w:rFonts w:hint="cs"/>
          <w:sz w:val="20"/>
          <w:szCs w:val="20"/>
          <w:rtl/>
        </w:rPr>
        <w:br/>
        <w:t xml:space="preserve">א. </w:t>
      </w:r>
      <w:r w:rsidRPr="008F29BB">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לא.</w:t>
      </w:r>
      <w:r>
        <w:rPr>
          <w:sz w:val="20"/>
          <w:szCs w:val="20"/>
          <w:rtl/>
        </w:rPr>
        <w:br/>
      </w:r>
      <w:r w:rsidRPr="008F29BB">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אין לך עיון גדול יותר מהחפיפה עצמה. ועוד, כיצד תוכל לעיין בראש ובגב? ולא מצאנו שחז"ל הצריכו שאשה אחרת תבדוק אותה אם אין עליה חציצה, אלא על כורחך סגי בחפיפה.</w:t>
      </w:r>
      <w:r>
        <w:rPr>
          <w:rFonts w:hint="cs"/>
          <w:sz w:val="20"/>
          <w:szCs w:val="20"/>
          <w:rtl/>
        </w:rPr>
        <w:br/>
        <w:t xml:space="preserve">ב. </w:t>
      </w:r>
      <w:r w:rsidRPr="00137FF9">
        <w:rPr>
          <w:rFonts w:hint="cs"/>
          <w:b/>
          <w:bCs/>
          <w:sz w:val="20"/>
          <w:szCs w:val="20"/>
          <w:rtl/>
        </w:rPr>
        <w:t>סד"ט</w:t>
      </w:r>
      <w:r>
        <w:rPr>
          <w:rFonts w:hint="cs"/>
          <w:sz w:val="20"/>
          <w:szCs w:val="20"/>
          <w:rtl/>
        </w:rPr>
        <w:t xml:space="preserve"> </w:t>
      </w:r>
      <w:r>
        <w:rPr>
          <w:sz w:val="20"/>
          <w:szCs w:val="20"/>
          <w:rtl/>
        </w:rPr>
        <w:t>–</w:t>
      </w:r>
      <w:r>
        <w:rPr>
          <w:rFonts w:hint="cs"/>
          <w:sz w:val="20"/>
          <w:szCs w:val="20"/>
          <w:rtl/>
        </w:rPr>
        <w:t xml:space="preserve"> כן.</w:t>
      </w:r>
      <w:r>
        <w:rPr>
          <w:sz w:val="20"/>
          <w:szCs w:val="20"/>
          <w:rtl/>
        </w:rPr>
        <w:br/>
      </w:r>
      <w:r w:rsidRPr="00137FF9">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אולי יש דבר חציצה על גופה שאינו עובר על ידי הדחה וסריקה.</w:t>
      </w:r>
      <w:r>
        <w:rPr>
          <w:rStyle w:val="a5"/>
          <w:sz w:val="20"/>
          <w:szCs w:val="20"/>
          <w:rtl/>
        </w:rPr>
        <w:footnoteReference w:id="706"/>
      </w:r>
    </w:p>
    <w:p w:rsidR="00620060" w:rsidRPr="00F527DD" w:rsidRDefault="00620060" w:rsidP="00620060">
      <w:pPr>
        <w:rPr>
          <w:sz w:val="20"/>
          <w:szCs w:val="20"/>
          <w:rtl/>
        </w:rPr>
      </w:pPr>
      <w:r>
        <w:rPr>
          <w:rFonts w:hint="cs"/>
          <w:sz w:val="20"/>
          <w:szCs w:val="20"/>
          <w:u w:val="single"/>
          <w:rtl/>
        </w:rPr>
        <w:t>ספק אם עיינה או סירקה (פת"ש)</w:t>
      </w:r>
      <w:r>
        <w:rPr>
          <w:rFonts w:hint="cs"/>
          <w:sz w:val="20"/>
          <w:szCs w:val="20"/>
          <w:u w:val="single"/>
          <w:rtl/>
        </w:rPr>
        <w:br/>
      </w:r>
      <w:r w:rsidRPr="00F527DD">
        <w:rPr>
          <w:rFonts w:hint="cs"/>
          <w:b/>
          <w:bCs/>
          <w:sz w:val="20"/>
          <w:szCs w:val="20"/>
          <w:rtl/>
        </w:rPr>
        <w:t>נודע ביהודה</w:t>
      </w:r>
      <w:r>
        <w:rPr>
          <w:rFonts w:hint="cs"/>
          <w:sz w:val="20"/>
          <w:szCs w:val="20"/>
          <w:rtl/>
        </w:rPr>
        <w:t xml:space="preserve"> </w:t>
      </w:r>
      <w:r>
        <w:rPr>
          <w:sz w:val="20"/>
          <w:szCs w:val="20"/>
          <w:rtl/>
        </w:rPr>
        <w:t>–</w:t>
      </w:r>
      <w:r>
        <w:rPr>
          <w:rFonts w:hint="cs"/>
          <w:sz w:val="20"/>
          <w:szCs w:val="20"/>
          <w:rtl/>
        </w:rPr>
        <w:t xml:space="preserve"> אשה המסופקת האם עיינה בגופה, הוי ספק דאורייתא ותטבול שנית.</w:t>
      </w:r>
      <w:r>
        <w:rPr>
          <w:rStyle w:val="a5"/>
          <w:sz w:val="20"/>
          <w:szCs w:val="20"/>
          <w:rtl/>
        </w:rPr>
        <w:footnoteReference w:id="707"/>
      </w:r>
      <w:r>
        <w:rPr>
          <w:sz w:val="20"/>
          <w:szCs w:val="20"/>
          <w:rtl/>
        </w:rPr>
        <w:br/>
      </w:r>
      <w:r>
        <w:rPr>
          <w:rFonts w:hint="cs"/>
          <w:sz w:val="20"/>
          <w:szCs w:val="20"/>
          <w:rtl/>
        </w:rPr>
        <w:t>ואף אם ברור לה שעיינה אך מסופקת אם סירקה, למרות שזהו ספק דרבנן תחזור לטבול, כיון שהוחזק איסור.</w:t>
      </w:r>
      <w:r>
        <w:rPr>
          <w:rFonts w:hint="cs"/>
          <w:sz w:val="20"/>
          <w:szCs w:val="20"/>
          <w:rtl/>
        </w:rPr>
        <w:br/>
        <w:t xml:space="preserve">אמנם, בהלכות מליחה התיר </w:t>
      </w:r>
      <w:r w:rsidRPr="00F527DD">
        <w:rPr>
          <w:rFonts w:hint="cs"/>
          <w:b/>
          <w:bCs/>
          <w:sz w:val="20"/>
          <w:szCs w:val="20"/>
          <w:rtl/>
        </w:rPr>
        <w:t>הט"ז</w:t>
      </w:r>
      <w:r>
        <w:rPr>
          <w:rFonts w:hint="cs"/>
          <w:sz w:val="20"/>
          <w:szCs w:val="20"/>
          <w:rtl/>
        </w:rPr>
        <w:t xml:space="preserve"> בשר שאשה מסופקת אם מלחה אותו, מטעם 'סירכא נקיט ואזיל' וה"ה כאן.</w:t>
      </w:r>
      <w:r>
        <w:rPr>
          <w:sz w:val="20"/>
          <w:szCs w:val="20"/>
          <w:rtl/>
        </w:rPr>
        <w:br/>
      </w:r>
      <w:r>
        <w:rPr>
          <w:rFonts w:hint="cs"/>
          <w:sz w:val="20"/>
          <w:szCs w:val="20"/>
          <w:rtl/>
        </w:rPr>
        <w:t>ולכאורה מטעם זה יש להתיר אף בספק אם עיינה.</w:t>
      </w:r>
      <w:r>
        <w:rPr>
          <w:sz w:val="20"/>
          <w:szCs w:val="20"/>
          <w:rtl/>
        </w:rPr>
        <w:br/>
      </w:r>
      <w:r>
        <w:rPr>
          <w:rFonts w:hint="cs"/>
          <w:sz w:val="20"/>
          <w:szCs w:val="20"/>
          <w:rtl/>
        </w:rPr>
        <w:t xml:space="preserve">ברם, </w:t>
      </w:r>
      <w:r w:rsidRPr="00F527DD">
        <w:rPr>
          <w:rFonts w:hint="cs"/>
          <w:b/>
          <w:bCs/>
          <w:sz w:val="20"/>
          <w:szCs w:val="20"/>
          <w:rtl/>
        </w:rPr>
        <w:t>הש"ך</w:t>
      </w:r>
      <w:r>
        <w:rPr>
          <w:rFonts w:hint="cs"/>
          <w:sz w:val="20"/>
          <w:szCs w:val="20"/>
          <w:rtl/>
        </w:rPr>
        <w:t xml:space="preserve"> חולק וסובר שבכה"ג לא אומרים 'סירכא נקיט ואזיל'.</w:t>
      </w:r>
      <w:r>
        <w:rPr>
          <w:sz w:val="20"/>
          <w:szCs w:val="20"/>
          <w:rtl/>
        </w:rPr>
        <w:br/>
      </w:r>
      <w:r>
        <w:rPr>
          <w:rFonts w:hint="cs"/>
          <w:sz w:val="20"/>
          <w:szCs w:val="20"/>
          <w:rtl/>
        </w:rPr>
        <w:t xml:space="preserve">מסקנה </w:t>
      </w:r>
      <w:r>
        <w:rPr>
          <w:sz w:val="20"/>
          <w:szCs w:val="20"/>
          <w:rtl/>
        </w:rPr>
        <w:t>–</w:t>
      </w:r>
      <w:r>
        <w:rPr>
          <w:rFonts w:hint="cs"/>
          <w:sz w:val="20"/>
          <w:szCs w:val="20"/>
          <w:rtl/>
        </w:rPr>
        <w:t xml:space="preserve"> מסתבר להתיר רק בספק אם סירקה, שהוא ספק דרבנן, אך לא בספק אם עיינה שהוא דאורייתא. </w:t>
      </w:r>
    </w:p>
    <w:p w:rsidR="00620060" w:rsidRDefault="00620060" w:rsidP="00620060">
      <w:pPr>
        <w:rPr>
          <w:sz w:val="20"/>
          <w:szCs w:val="20"/>
          <w:rtl/>
        </w:rPr>
      </w:pPr>
      <w:r w:rsidRPr="006E68B9">
        <w:rPr>
          <w:rFonts w:hint="cs"/>
          <w:b/>
          <w:bCs/>
          <w:sz w:val="20"/>
          <w:szCs w:val="20"/>
          <w:rtl/>
        </w:rPr>
        <w:t>סיכום</w:t>
      </w:r>
      <w:r>
        <w:rPr>
          <w:sz w:val="20"/>
          <w:szCs w:val="20"/>
          <w:rtl/>
        </w:rPr>
        <w:br/>
      </w:r>
      <w:r>
        <w:rPr>
          <w:rFonts w:hint="cs"/>
          <w:sz w:val="20"/>
          <w:szCs w:val="20"/>
          <w:rtl/>
        </w:rPr>
        <w:t xml:space="preserve">1. </w:t>
      </w:r>
      <w:r w:rsidRPr="006E68B9">
        <w:rPr>
          <w:rFonts w:hint="cs"/>
          <w:sz w:val="20"/>
          <w:szCs w:val="20"/>
          <w:u w:val="single"/>
          <w:rtl/>
        </w:rPr>
        <w:t>רבא</w:t>
      </w:r>
      <w:r>
        <w:rPr>
          <w:rFonts w:hint="cs"/>
          <w:sz w:val="20"/>
          <w:szCs w:val="20"/>
          <w:rtl/>
        </w:rPr>
        <w:t xml:space="preserve">. לעולם ילמד אדם את אשתו להדיח בית קמטיה במים. </w:t>
      </w:r>
      <w:r w:rsidRPr="006E68B9">
        <w:rPr>
          <w:rFonts w:hint="cs"/>
          <w:b/>
          <w:bCs/>
          <w:sz w:val="20"/>
          <w:szCs w:val="20"/>
          <w:rtl/>
        </w:rPr>
        <w:t>טור</w:t>
      </w:r>
      <w:r>
        <w:rPr>
          <w:rFonts w:hint="cs"/>
          <w:sz w:val="20"/>
          <w:szCs w:val="20"/>
          <w:rtl/>
        </w:rPr>
        <w:t xml:space="preserve">. יש להדיח קמטים ובית הסתרים. </w:t>
      </w:r>
      <w:r w:rsidRPr="006E68B9">
        <w:rPr>
          <w:rFonts w:hint="cs"/>
          <w:b/>
          <w:bCs/>
          <w:sz w:val="20"/>
          <w:szCs w:val="20"/>
          <w:rtl/>
        </w:rPr>
        <w:t>ב"י</w:t>
      </w:r>
      <w:r>
        <w:rPr>
          <w:rFonts w:hint="cs"/>
          <w:sz w:val="20"/>
          <w:szCs w:val="20"/>
          <w:rtl/>
        </w:rPr>
        <w:t xml:space="preserve">. בית הסתרים והקמטים הם היינו הך. </w:t>
      </w:r>
      <w:r w:rsidRPr="006E68B9">
        <w:rPr>
          <w:rFonts w:hint="cs"/>
          <w:b/>
          <w:bCs/>
          <w:sz w:val="20"/>
          <w:szCs w:val="20"/>
          <w:rtl/>
        </w:rPr>
        <w:t>דרכ"מ</w:t>
      </w:r>
      <w:r>
        <w:rPr>
          <w:rFonts w:hint="cs"/>
          <w:sz w:val="20"/>
          <w:szCs w:val="20"/>
          <w:rtl/>
        </w:rPr>
        <w:t xml:space="preserve">. יש הבדל, קמטים </w:t>
      </w:r>
      <w:r>
        <w:rPr>
          <w:sz w:val="20"/>
          <w:szCs w:val="20"/>
          <w:rtl/>
        </w:rPr>
        <w:t>–</w:t>
      </w:r>
      <w:r>
        <w:rPr>
          <w:rFonts w:hint="cs"/>
          <w:sz w:val="20"/>
          <w:szCs w:val="20"/>
          <w:rtl/>
        </w:rPr>
        <w:t xml:space="preserve"> קמטי בשר, בית הסתרים </w:t>
      </w:r>
      <w:r>
        <w:rPr>
          <w:sz w:val="20"/>
          <w:szCs w:val="20"/>
          <w:rtl/>
        </w:rPr>
        <w:t>–</w:t>
      </w:r>
      <w:r>
        <w:rPr>
          <w:rFonts w:hint="cs"/>
          <w:sz w:val="20"/>
          <w:szCs w:val="20"/>
          <w:rtl/>
        </w:rPr>
        <w:t xml:space="preserve"> חללי הגוף.</w:t>
      </w:r>
      <w:r>
        <w:rPr>
          <w:sz w:val="20"/>
          <w:szCs w:val="20"/>
          <w:rtl/>
        </w:rPr>
        <w:br/>
      </w:r>
      <w:r>
        <w:rPr>
          <w:rFonts w:hint="cs"/>
          <w:sz w:val="20"/>
          <w:szCs w:val="20"/>
          <w:rtl/>
        </w:rPr>
        <w:t xml:space="preserve">2. </w:t>
      </w:r>
      <w:r w:rsidRPr="006E68B9">
        <w:rPr>
          <w:rFonts w:hint="cs"/>
          <w:b/>
          <w:bCs/>
          <w:sz w:val="20"/>
          <w:szCs w:val="20"/>
          <w:rtl/>
        </w:rPr>
        <w:t>מהרי"ק</w:t>
      </w:r>
      <w:r>
        <w:rPr>
          <w:rFonts w:hint="cs"/>
          <w:sz w:val="20"/>
          <w:szCs w:val="20"/>
          <w:rtl/>
        </w:rPr>
        <w:t xml:space="preserve">. אין להדיח ביין או שאר משקים, וכ"פ </w:t>
      </w:r>
      <w:r w:rsidRPr="006E68B9">
        <w:rPr>
          <w:rFonts w:hint="cs"/>
          <w:b/>
          <w:bCs/>
          <w:sz w:val="20"/>
          <w:szCs w:val="20"/>
          <w:rtl/>
        </w:rPr>
        <w:t>הרמ"א</w:t>
      </w:r>
      <w:r>
        <w:rPr>
          <w:rFonts w:hint="cs"/>
          <w:sz w:val="20"/>
          <w:szCs w:val="20"/>
          <w:rtl/>
        </w:rPr>
        <w:t>.</w:t>
      </w:r>
      <w:r>
        <w:rPr>
          <w:sz w:val="20"/>
          <w:szCs w:val="20"/>
          <w:rtl/>
        </w:rPr>
        <w:br/>
      </w:r>
      <w:r>
        <w:rPr>
          <w:rFonts w:hint="cs"/>
          <w:sz w:val="20"/>
          <w:szCs w:val="20"/>
          <w:rtl/>
        </w:rPr>
        <w:t xml:space="preserve">3. </w:t>
      </w:r>
      <w:r w:rsidRPr="006E68B9">
        <w:rPr>
          <w:rFonts w:hint="cs"/>
          <w:b/>
          <w:bCs/>
          <w:sz w:val="20"/>
          <w:szCs w:val="20"/>
          <w:rtl/>
        </w:rPr>
        <w:t>גמרא</w:t>
      </w:r>
      <w:r>
        <w:rPr>
          <w:rFonts w:hint="cs"/>
          <w:sz w:val="20"/>
          <w:szCs w:val="20"/>
          <w:rtl/>
        </w:rPr>
        <w:t xml:space="preserve">. מדאורייתא סגי בעיון הגוף לפני טבילה, עזרא תיקן חפיפה. </w:t>
      </w:r>
      <w:r>
        <w:rPr>
          <w:sz w:val="20"/>
          <w:szCs w:val="20"/>
          <w:rtl/>
        </w:rPr>
        <w:br/>
      </w:r>
      <w:r>
        <w:rPr>
          <w:rFonts w:hint="cs"/>
          <w:sz w:val="20"/>
          <w:szCs w:val="20"/>
          <w:rtl/>
        </w:rPr>
        <w:t xml:space="preserve">4. אילו מקומות תיקן עזרא לחפוף? </w:t>
      </w:r>
      <w:r w:rsidRPr="006E68B9">
        <w:rPr>
          <w:rFonts w:hint="cs"/>
          <w:b/>
          <w:bCs/>
          <w:sz w:val="20"/>
          <w:szCs w:val="20"/>
          <w:rtl/>
        </w:rPr>
        <w:t>רש"י</w:t>
      </w:r>
      <w:r>
        <w:rPr>
          <w:rFonts w:hint="cs"/>
          <w:sz w:val="20"/>
          <w:szCs w:val="20"/>
          <w:rtl/>
        </w:rPr>
        <w:t xml:space="preserve">. כל הגוף. </w:t>
      </w:r>
      <w:r w:rsidRPr="006E68B9">
        <w:rPr>
          <w:rFonts w:hint="cs"/>
          <w:b/>
          <w:bCs/>
          <w:sz w:val="20"/>
          <w:szCs w:val="20"/>
          <w:rtl/>
        </w:rPr>
        <w:t>תוס'</w:t>
      </w:r>
      <w:r>
        <w:rPr>
          <w:rFonts w:hint="cs"/>
          <w:sz w:val="20"/>
          <w:szCs w:val="20"/>
          <w:rtl/>
        </w:rPr>
        <w:t xml:space="preserve">. רק את הראש. </w:t>
      </w:r>
      <w:r w:rsidRPr="006E68B9">
        <w:rPr>
          <w:rFonts w:hint="cs"/>
          <w:b/>
          <w:bCs/>
          <w:sz w:val="20"/>
          <w:szCs w:val="20"/>
          <w:rtl/>
        </w:rPr>
        <w:t>ר"ן</w:t>
      </w:r>
      <w:r>
        <w:rPr>
          <w:rFonts w:hint="cs"/>
          <w:sz w:val="20"/>
          <w:szCs w:val="20"/>
          <w:rtl/>
        </w:rPr>
        <w:t xml:space="preserve">. כל מקום שער בגוף, וכ"פ </w:t>
      </w:r>
      <w:r w:rsidRPr="006E68B9">
        <w:rPr>
          <w:rFonts w:hint="cs"/>
          <w:b/>
          <w:bCs/>
          <w:sz w:val="20"/>
          <w:szCs w:val="20"/>
          <w:rtl/>
        </w:rPr>
        <w:t>ש"ך</w:t>
      </w:r>
      <w:r>
        <w:rPr>
          <w:rFonts w:hint="cs"/>
          <w:sz w:val="20"/>
          <w:szCs w:val="20"/>
          <w:rtl/>
        </w:rPr>
        <w:t>.</w:t>
      </w:r>
      <w:r>
        <w:rPr>
          <w:sz w:val="20"/>
          <w:szCs w:val="20"/>
          <w:rtl/>
        </w:rPr>
        <w:br/>
      </w:r>
      <w:r>
        <w:rPr>
          <w:rFonts w:hint="cs"/>
          <w:sz w:val="20"/>
          <w:szCs w:val="20"/>
          <w:rtl/>
        </w:rPr>
        <w:t xml:space="preserve">5. מנהג הנשים. </w:t>
      </w:r>
      <w:r w:rsidRPr="006E68B9">
        <w:rPr>
          <w:rFonts w:hint="cs"/>
          <w:b/>
          <w:bCs/>
          <w:sz w:val="20"/>
          <w:szCs w:val="20"/>
          <w:rtl/>
        </w:rPr>
        <w:t>תוספות ור"ן</w:t>
      </w:r>
      <w:r>
        <w:rPr>
          <w:rFonts w:hint="cs"/>
          <w:sz w:val="20"/>
          <w:szCs w:val="20"/>
          <w:rtl/>
        </w:rPr>
        <w:t xml:space="preserve">. נהגו הנשים לחפוף את כל הגוף ולרחוץ במים חמים, וכ"פ </w:t>
      </w:r>
      <w:r w:rsidRPr="00CC371A">
        <w:rPr>
          <w:rFonts w:hint="cs"/>
          <w:b/>
          <w:bCs/>
          <w:sz w:val="20"/>
          <w:szCs w:val="20"/>
          <w:rtl/>
        </w:rPr>
        <w:t>המחבר</w:t>
      </w:r>
      <w:r>
        <w:rPr>
          <w:rFonts w:hint="cs"/>
          <w:sz w:val="20"/>
          <w:szCs w:val="20"/>
          <w:rtl/>
        </w:rPr>
        <w:t>.</w:t>
      </w:r>
      <w:r>
        <w:rPr>
          <w:sz w:val="20"/>
          <w:szCs w:val="20"/>
          <w:rtl/>
        </w:rPr>
        <w:br/>
      </w:r>
      <w:r>
        <w:rPr>
          <w:rFonts w:hint="cs"/>
          <w:sz w:val="20"/>
          <w:szCs w:val="20"/>
          <w:rtl/>
        </w:rPr>
        <w:t xml:space="preserve">6. </w:t>
      </w:r>
      <w:r w:rsidRPr="006E68B9">
        <w:rPr>
          <w:rFonts w:hint="cs"/>
          <w:b/>
          <w:bCs/>
          <w:sz w:val="20"/>
          <w:szCs w:val="20"/>
          <w:rtl/>
        </w:rPr>
        <w:t>ר"ן</w:t>
      </w:r>
      <w:r>
        <w:rPr>
          <w:rFonts w:hint="cs"/>
          <w:sz w:val="20"/>
          <w:szCs w:val="20"/>
          <w:rtl/>
        </w:rPr>
        <w:t>. חפיפה דרבנן ומקלים בה להרחיקה מטבילה. עיון דאורייתא ולכן חייבת לעיין בגופה סמוך לטבילה.</w:t>
      </w:r>
      <w:r>
        <w:rPr>
          <w:sz w:val="20"/>
          <w:szCs w:val="20"/>
          <w:rtl/>
        </w:rPr>
        <w:br/>
      </w:r>
      <w:r>
        <w:rPr>
          <w:rFonts w:hint="cs"/>
          <w:sz w:val="20"/>
          <w:szCs w:val="20"/>
          <w:rtl/>
        </w:rPr>
        <w:t xml:space="preserve">7. </w:t>
      </w:r>
      <w:r w:rsidRPr="006E68B9">
        <w:rPr>
          <w:rFonts w:hint="cs"/>
          <w:b/>
          <w:bCs/>
          <w:sz w:val="20"/>
          <w:szCs w:val="20"/>
          <w:rtl/>
        </w:rPr>
        <w:t>טור</w:t>
      </w:r>
      <w:r>
        <w:rPr>
          <w:rFonts w:hint="cs"/>
          <w:sz w:val="20"/>
          <w:szCs w:val="20"/>
          <w:rtl/>
        </w:rPr>
        <w:t xml:space="preserve">. משמע ברמב"ן שעיון הגוף חמור מעיון השער. </w:t>
      </w:r>
      <w:r w:rsidRPr="006E68B9">
        <w:rPr>
          <w:rFonts w:hint="cs"/>
          <w:b/>
          <w:bCs/>
          <w:sz w:val="20"/>
          <w:szCs w:val="20"/>
          <w:rtl/>
        </w:rPr>
        <w:t>ב"י</w:t>
      </w:r>
      <w:r>
        <w:rPr>
          <w:rFonts w:hint="cs"/>
          <w:sz w:val="20"/>
          <w:szCs w:val="20"/>
          <w:rtl/>
        </w:rPr>
        <w:t xml:space="preserve">. דוחה, עיון הראש חמור יותר. כוונת הרמב"ן שחפיפת הראש קלה מעיון הגוף. </w:t>
      </w:r>
      <w:r w:rsidRPr="006E68B9">
        <w:rPr>
          <w:rFonts w:hint="cs"/>
          <w:b/>
          <w:bCs/>
          <w:sz w:val="20"/>
          <w:szCs w:val="20"/>
          <w:rtl/>
        </w:rPr>
        <w:t>ט"ז</w:t>
      </w:r>
      <w:r>
        <w:rPr>
          <w:rFonts w:hint="cs"/>
          <w:sz w:val="20"/>
          <w:szCs w:val="20"/>
          <w:rtl/>
        </w:rPr>
        <w:t>. כוונת הטור לומר שיש לעיין בראשה גם אם החפיפה הוקדמה.</w:t>
      </w:r>
      <w:r>
        <w:rPr>
          <w:sz w:val="20"/>
          <w:szCs w:val="20"/>
          <w:rtl/>
        </w:rPr>
        <w:br/>
      </w:r>
      <w:r>
        <w:rPr>
          <w:rFonts w:hint="cs"/>
          <w:sz w:val="20"/>
          <w:szCs w:val="20"/>
          <w:rtl/>
        </w:rPr>
        <w:t xml:space="preserve">8. </w:t>
      </w:r>
      <w:r w:rsidRPr="006E68B9">
        <w:rPr>
          <w:rFonts w:hint="cs"/>
          <w:b/>
          <w:bCs/>
          <w:sz w:val="20"/>
          <w:szCs w:val="20"/>
          <w:rtl/>
        </w:rPr>
        <w:t>מחבר</w:t>
      </w:r>
      <w:r>
        <w:rPr>
          <w:rFonts w:hint="cs"/>
          <w:sz w:val="20"/>
          <w:szCs w:val="20"/>
          <w:rtl/>
        </w:rPr>
        <w:t>. צריך להדיח קמטים ובית הסתרים במים ולא בשאר משקים, וכן לסרק את השערות יפה. יש לעיין בגוף ולחפוף, וכן לרחוץ את הגוף במים חמים.</w:t>
      </w:r>
      <w:r>
        <w:rPr>
          <w:sz w:val="20"/>
          <w:szCs w:val="20"/>
          <w:rtl/>
        </w:rPr>
        <w:br/>
      </w:r>
      <w:r>
        <w:rPr>
          <w:rFonts w:hint="cs"/>
          <w:sz w:val="20"/>
          <w:szCs w:val="20"/>
          <w:rtl/>
        </w:rPr>
        <w:t xml:space="preserve">9. האם בנוסף לחפיפה צריכה גם לעיין בגופה? </w:t>
      </w:r>
      <w:r w:rsidRPr="006E68B9">
        <w:rPr>
          <w:rFonts w:hint="cs"/>
          <w:b/>
          <w:bCs/>
          <w:sz w:val="20"/>
          <w:szCs w:val="20"/>
          <w:rtl/>
        </w:rPr>
        <w:t>ט"ז</w:t>
      </w:r>
      <w:r>
        <w:rPr>
          <w:rFonts w:hint="cs"/>
          <w:sz w:val="20"/>
          <w:szCs w:val="20"/>
          <w:rtl/>
        </w:rPr>
        <w:t xml:space="preserve">. לא. </w:t>
      </w:r>
      <w:r w:rsidRPr="006E68B9">
        <w:rPr>
          <w:rFonts w:hint="cs"/>
          <w:b/>
          <w:bCs/>
          <w:sz w:val="20"/>
          <w:szCs w:val="20"/>
          <w:rtl/>
        </w:rPr>
        <w:t>סד"ט</w:t>
      </w:r>
      <w:r>
        <w:rPr>
          <w:rFonts w:hint="cs"/>
          <w:sz w:val="20"/>
          <w:szCs w:val="20"/>
          <w:rtl/>
        </w:rPr>
        <w:t>. כן.</w:t>
      </w:r>
      <w:r>
        <w:rPr>
          <w:rFonts w:hint="cs"/>
          <w:sz w:val="20"/>
          <w:szCs w:val="20"/>
          <w:rtl/>
        </w:rPr>
        <w:br/>
        <w:t xml:space="preserve">10. </w:t>
      </w:r>
      <w:r w:rsidRPr="00F527DD">
        <w:rPr>
          <w:rFonts w:hint="cs"/>
          <w:b/>
          <w:bCs/>
          <w:sz w:val="20"/>
          <w:szCs w:val="20"/>
          <w:rtl/>
        </w:rPr>
        <w:t>נוב"י</w:t>
      </w:r>
      <w:r>
        <w:rPr>
          <w:rFonts w:hint="cs"/>
          <w:sz w:val="20"/>
          <w:szCs w:val="20"/>
          <w:rtl/>
        </w:rPr>
        <w:t xml:space="preserve">. ספק אם עיינה </w:t>
      </w:r>
      <w:r>
        <w:rPr>
          <w:sz w:val="20"/>
          <w:szCs w:val="20"/>
          <w:rtl/>
        </w:rPr>
        <w:t>–</w:t>
      </w:r>
      <w:r>
        <w:rPr>
          <w:rFonts w:hint="cs"/>
          <w:sz w:val="20"/>
          <w:szCs w:val="20"/>
          <w:rtl/>
        </w:rPr>
        <w:t xml:space="preserve"> תחזור לטבול, ספק אם סירקה </w:t>
      </w:r>
      <w:r>
        <w:rPr>
          <w:sz w:val="20"/>
          <w:szCs w:val="20"/>
          <w:rtl/>
        </w:rPr>
        <w:t>–</w:t>
      </w:r>
      <w:r>
        <w:rPr>
          <w:rFonts w:hint="cs"/>
          <w:sz w:val="20"/>
          <w:szCs w:val="20"/>
          <w:rtl/>
        </w:rPr>
        <w:t xml:space="preserve"> 'סירכא נקיט ואזיל' ומקלים.</w:t>
      </w:r>
    </w:p>
    <w:p w:rsidR="00620060" w:rsidRDefault="00620060" w:rsidP="00620060">
      <w:pPr>
        <w:rPr>
          <w:rFonts w:cs="Arial"/>
          <w:sz w:val="20"/>
          <w:szCs w:val="20"/>
          <w:rtl/>
        </w:rPr>
      </w:pPr>
      <w:r>
        <w:rPr>
          <w:sz w:val="20"/>
          <w:szCs w:val="20"/>
          <w:rtl/>
        </w:rPr>
        <w:br/>
      </w:r>
      <w:r>
        <w:rPr>
          <w:rFonts w:hint="cs"/>
          <w:b/>
          <w:bCs/>
          <w:sz w:val="20"/>
          <w:szCs w:val="20"/>
          <w:rtl/>
        </w:rPr>
        <w:t xml:space="preserve">סעיף ב </w:t>
      </w:r>
      <w:r>
        <w:rPr>
          <w:b/>
          <w:bCs/>
          <w:sz w:val="20"/>
          <w:szCs w:val="20"/>
          <w:rtl/>
        </w:rPr>
        <w:t>–</w:t>
      </w:r>
      <w:r>
        <w:rPr>
          <w:rFonts w:hint="cs"/>
          <w:b/>
          <w:bCs/>
          <w:sz w:val="20"/>
          <w:szCs w:val="20"/>
          <w:rtl/>
        </w:rPr>
        <w:t xml:space="preserve"> אופן החפיפה</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גמרא </w:t>
      </w:r>
      <w:r>
        <w:rPr>
          <w:rFonts w:hint="cs"/>
          <w:sz w:val="20"/>
          <w:szCs w:val="20"/>
          <w:rtl/>
        </w:rPr>
        <w:t xml:space="preserve">נידה (סו:) </w:t>
      </w:r>
      <w:r w:rsidRPr="002B5E2C">
        <w:rPr>
          <w:rFonts w:hint="cs"/>
          <w:sz w:val="20"/>
          <w:szCs w:val="20"/>
          <w:rtl/>
        </w:rPr>
        <w:t>"</w:t>
      </w:r>
      <w:r w:rsidRPr="002B5E2C">
        <w:rPr>
          <w:rFonts w:cs="Arial"/>
          <w:sz w:val="20"/>
          <w:szCs w:val="20"/>
          <w:rtl/>
        </w:rPr>
        <w:t>אמר רבא: אשה לא תחוף לא בנתר ולא בחול. בנתר - משום דמקטף</w:t>
      </w:r>
      <w:r>
        <w:rPr>
          <w:rFonts w:cs="Arial" w:hint="cs"/>
          <w:sz w:val="20"/>
          <w:szCs w:val="20"/>
          <w:rtl/>
        </w:rPr>
        <w:t xml:space="preserve"> </w:t>
      </w:r>
      <w:r>
        <w:rPr>
          <w:rFonts w:cs="Arial" w:hint="cs"/>
          <w:sz w:val="18"/>
          <w:szCs w:val="18"/>
          <w:rtl/>
        </w:rPr>
        <w:t xml:space="preserve">(רש"י - </w:t>
      </w:r>
      <w:r>
        <w:rPr>
          <w:rFonts w:cs="Arial"/>
          <w:sz w:val="18"/>
          <w:szCs w:val="18"/>
          <w:rtl/>
        </w:rPr>
        <w:t xml:space="preserve">נותק שער </w:t>
      </w:r>
      <w:r>
        <w:rPr>
          <w:rFonts w:cs="Arial"/>
          <w:sz w:val="18"/>
          <w:szCs w:val="18"/>
          <w:rtl/>
        </w:rPr>
        <w:lastRenderedPageBreak/>
        <w:t>ומתבלבל וחוצץ</w:t>
      </w:r>
      <w:r>
        <w:rPr>
          <w:rStyle w:val="a5"/>
          <w:rFonts w:cs="Arial"/>
          <w:sz w:val="18"/>
          <w:szCs w:val="18"/>
          <w:rtl/>
        </w:rPr>
        <w:footnoteReference w:id="708"/>
      </w:r>
      <w:r>
        <w:rPr>
          <w:rFonts w:cs="Arial" w:hint="cs"/>
          <w:sz w:val="18"/>
          <w:szCs w:val="18"/>
          <w:rtl/>
        </w:rPr>
        <w:t>)</w:t>
      </w:r>
      <w:r w:rsidRPr="002B5E2C">
        <w:rPr>
          <w:rFonts w:cs="Arial"/>
          <w:sz w:val="20"/>
          <w:szCs w:val="20"/>
          <w:rtl/>
        </w:rPr>
        <w:t>, ובחול - משום דמסריך</w:t>
      </w:r>
      <w:r>
        <w:rPr>
          <w:rFonts w:cs="Arial" w:hint="cs"/>
          <w:sz w:val="20"/>
          <w:szCs w:val="20"/>
          <w:rtl/>
        </w:rPr>
        <w:t xml:space="preserve"> </w:t>
      </w:r>
      <w:r>
        <w:rPr>
          <w:rFonts w:cs="Arial" w:hint="cs"/>
          <w:sz w:val="18"/>
          <w:szCs w:val="18"/>
          <w:rtl/>
        </w:rPr>
        <w:t xml:space="preserve">(רש"י - </w:t>
      </w:r>
      <w:r w:rsidRPr="00DE3EB2">
        <w:rPr>
          <w:rFonts w:cs="Arial"/>
          <w:sz w:val="18"/>
          <w:szCs w:val="18"/>
          <w:rtl/>
        </w:rPr>
        <w:t>מדביק השער וחוצץ</w:t>
      </w:r>
      <w:r>
        <w:rPr>
          <w:rFonts w:cs="Arial" w:hint="cs"/>
          <w:sz w:val="18"/>
          <w:szCs w:val="18"/>
          <w:rtl/>
        </w:rPr>
        <w:t>)</w:t>
      </w:r>
      <w:r>
        <w:rPr>
          <w:rFonts w:cs="Arial" w:hint="cs"/>
          <w:sz w:val="20"/>
          <w:szCs w:val="20"/>
          <w:rtl/>
        </w:rPr>
        <w:t>.</w:t>
      </w:r>
      <w:r w:rsidRPr="002B5E2C">
        <w:rPr>
          <w:rFonts w:cs="Arial"/>
          <w:sz w:val="20"/>
          <w:szCs w:val="20"/>
          <w:rtl/>
        </w:rPr>
        <w:t xml:space="preserve"> ואמר אמימר משמיה דרבא: אשה לא תחוף אלא בחמין, אבל לא בצונן, ואפילו בחמי חמה. צונן מאי טעמא לא - משום דקרירי, ומשרו מזייא</w:t>
      </w:r>
      <w:r>
        <w:rPr>
          <w:rFonts w:cs="Arial" w:hint="cs"/>
          <w:sz w:val="18"/>
          <w:szCs w:val="18"/>
          <w:rtl/>
        </w:rPr>
        <w:t xml:space="preserve"> (רש"י - </w:t>
      </w:r>
      <w:r w:rsidRPr="00DE3EB2">
        <w:rPr>
          <w:rFonts w:cs="Arial"/>
          <w:sz w:val="18"/>
          <w:szCs w:val="18"/>
          <w:rtl/>
        </w:rPr>
        <w:t>מקשין את השערות ואין לכלוכן עובר</w:t>
      </w:r>
      <w:r>
        <w:rPr>
          <w:rFonts w:cs="Arial" w:hint="cs"/>
          <w:sz w:val="18"/>
          <w:szCs w:val="18"/>
          <w:rtl/>
        </w:rPr>
        <w:t>)</w:t>
      </w:r>
      <w:r>
        <w:rPr>
          <w:rFonts w:cs="Arial" w:hint="cs"/>
          <w:sz w:val="20"/>
          <w:szCs w:val="20"/>
          <w:rtl/>
        </w:rPr>
        <w:t>"</w:t>
      </w:r>
      <w:r w:rsidRPr="002B5E2C">
        <w:rPr>
          <w:rFonts w:cs="Arial"/>
          <w:sz w:val="20"/>
          <w:szCs w:val="20"/>
          <w:rtl/>
        </w:rPr>
        <w:t>.</w:t>
      </w:r>
    </w:p>
    <w:p w:rsidR="00620060" w:rsidRDefault="00620060" w:rsidP="00620060">
      <w:pPr>
        <w:rPr>
          <w:rFonts w:cs="Arial"/>
          <w:sz w:val="20"/>
          <w:szCs w:val="20"/>
          <w:rtl/>
        </w:rPr>
      </w:pPr>
      <w:r>
        <w:rPr>
          <w:rFonts w:cs="Arial" w:hint="cs"/>
          <w:b/>
          <w:bCs/>
          <w:sz w:val="20"/>
          <w:szCs w:val="20"/>
          <w:rtl/>
        </w:rPr>
        <w:t>חפיפה בחמי חמה</w:t>
      </w:r>
      <w:r>
        <w:rPr>
          <w:rFonts w:cs="Arial"/>
          <w:b/>
          <w:bCs/>
          <w:sz w:val="20"/>
          <w:szCs w:val="20"/>
          <w:rtl/>
        </w:rPr>
        <w:br/>
      </w:r>
      <w:r>
        <w:rPr>
          <w:rFonts w:cs="Arial" w:hint="cs"/>
          <w:sz w:val="20"/>
          <w:szCs w:val="20"/>
          <w:rtl/>
        </w:rPr>
        <w:t>האם מותר לחפוף במים שהתחממו בשמש?</w:t>
      </w:r>
      <w:r>
        <w:rPr>
          <w:rFonts w:cs="Arial" w:hint="cs"/>
          <w:sz w:val="20"/>
          <w:szCs w:val="20"/>
          <w:rtl/>
        </w:rPr>
        <w:br/>
        <w:t xml:space="preserve">א. </w:t>
      </w:r>
      <w:r w:rsidRPr="001A7334">
        <w:rPr>
          <w:rFonts w:cs="Arial" w:hint="cs"/>
          <w:b/>
          <w:bCs/>
          <w:sz w:val="20"/>
          <w:szCs w:val="20"/>
          <w:rtl/>
        </w:rPr>
        <w:t>רש"י</w:t>
      </w:r>
      <w:r>
        <w:rPr>
          <w:rFonts w:cs="Arial" w:hint="cs"/>
          <w:sz w:val="20"/>
          <w:szCs w:val="20"/>
          <w:rtl/>
        </w:rPr>
        <w:t xml:space="preserve"> </w:t>
      </w:r>
      <w:r>
        <w:rPr>
          <w:rFonts w:cs="Arial"/>
          <w:sz w:val="20"/>
          <w:szCs w:val="20"/>
          <w:rtl/>
        </w:rPr>
        <w:t>–</w:t>
      </w:r>
      <w:r>
        <w:rPr>
          <w:rFonts w:cs="Arial" w:hint="cs"/>
          <w:sz w:val="20"/>
          <w:szCs w:val="20"/>
          <w:rtl/>
        </w:rPr>
        <w:t xml:space="preserve"> כן, וכ"פ </w:t>
      </w:r>
      <w:r w:rsidRPr="001A7334">
        <w:rPr>
          <w:rFonts w:cs="Arial" w:hint="cs"/>
          <w:b/>
          <w:bCs/>
          <w:sz w:val="20"/>
          <w:szCs w:val="20"/>
          <w:rtl/>
        </w:rPr>
        <w:t>המחבר</w:t>
      </w:r>
      <w:r>
        <w:rPr>
          <w:rFonts w:cs="Arial" w:hint="cs"/>
          <w:sz w:val="20"/>
          <w:szCs w:val="20"/>
          <w:rtl/>
        </w:rPr>
        <w:t>.</w:t>
      </w:r>
      <w:r>
        <w:rPr>
          <w:rFonts w:cs="Arial"/>
          <w:sz w:val="20"/>
          <w:szCs w:val="20"/>
          <w:rtl/>
        </w:rPr>
        <w:br/>
      </w:r>
      <w:r>
        <w:rPr>
          <w:rFonts w:cs="Arial" w:hint="cs"/>
          <w:sz w:val="20"/>
          <w:szCs w:val="20"/>
          <w:rtl/>
        </w:rPr>
        <w:t xml:space="preserve">ב. </w:t>
      </w:r>
      <w:r w:rsidRPr="001A7334">
        <w:rPr>
          <w:rFonts w:cs="Arial" w:hint="cs"/>
          <w:b/>
          <w:bCs/>
          <w:sz w:val="20"/>
          <w:szCs w:val="20"/>
          <w:rtl/>
        </w:rPr>
        <w:t>ר"ח</w:t>
      </w:r>
      <w:r>
        <w:rPr>
          <w:rFonts w:cs="Arial" w:hint="cs"/>
          <w:sz w:val="20"/>
          <w:szCs w:val="20"/>
          <w:rtl/>
        </w:rPr>
        <w:t xml:space="preserve"> </w:t>
      </w:r>
      <w:r>
        <w:rPr>
          <w:rFonts w:cs="Arial"/>
          <w:sz w:val="20"/>
          <w:szCs w:val="20"/>
          <w:rtl/>
        </w:rPr>
        <w:t>–</w:t>
      </w:r>
      <w:r>
        <w:rPr>
          <w:rFonts w:cs="Arial" w:hint="cs"/>
          <w:sz w:val="20"/>
          <w:szCs w:val="20"/>
          <w:rtl/>
        </w:rPr>
        <w:t xml:space="preserve"> לא.</w:t>
      </w:r>
      <w:r>
        <w:rPr>
          <w:rFonts w:cs="Arial"/>
          <w:sz w:val="20"/>
          <w:szCs w:val="20"/>
          <w:rtl/>
        </w:rPr>
        <w:br/>
      </w:r>
      <w:r>
        <w:rPr>
          <w:rFonts w:cs="Arial"/>
          <w:sz w:val="20"/>
          <w:szCs w:val="20"/>
          <w:rtl/>
        </w:rPr>
        <w:br/>
      </w:r>
      <w:r>
        <w:rPr>
          <w:rFonts w:cs="Arial" w:hint="cs"/>
          <w:b/>
          <w:bCs/>
          <w:sz w:val="20"/>
          <w:szCs w:val="20"/>
          <w:rtl/>
        </w:rPr>
        <w:t>חפפה בדברים האסורים</w:t>
      </w:r>
      <w:r>
        <w:rPr>
          <w:rFonts w:cs="Arial"/>
          <w:b/>
          <w:bCs/>
          <w:sz w:val="20"/>
          <w:szCs w:val="20"/>
          <w:rtl/>
        </w:rPr>
        <w:br/>
      </w:r>
      <w:r>
        <w:rPr>
          <w:rFonts w:cs="Arial" w:hint="cs"/>
          <w:b/>
          <w:bCs/>
          <w:sz w:val="20"/>
          <w:szCs w:val="20"/>
          <w:rtl/>
        </w:rPr>
        <w:t xml:space="preserve">מהרי"ק </w:t>
      </w:r>
      <w:r>
        <w:rPr>
          <w:rFonts w:cs="Arial"/>
          <w:sz w:val="20"/>
          <w:szCs w:val="20"/>
          <w:rtl/>
        </w:rPr>
        <w:t>–</w:t>
      </w:r>
      <w:r>
        <w:rPr>
          <w:rFonts w:cs="Arial" w:hint="cs"/>
          <w:sz w:val="20"/>
          <w:szCs w:val="20"/>
          <w:rtl/>
        </w:rPr>
        <w:t xml:space="preserve"> דינים אלו נאמרו לרווחא דמילתא, אך בדיעבד חפיפה כשרה בדברים הנ"ל, ובלבד שעיינה בשערה וראתה לאחר החפיפה שאין שערות ראשה נדבקות מחמת כן, וכ"פ </w:t>
      </w:r>
      <w:r w:rsidRPr="00386514">
        <w:rPr>
          <w:rFonts w:cs="Arial" w:hint="cs"/>
          <w:b/>
          <w:bCs/>
          <w:sz w:val="20"/>
          <w:szCs w:val="20"/>
          <w:rtl/>
        </w:rPr>
        <w:t>הרמ"א</w:t>
      </w:r>
      <w:r>
        <w:rPr>
          <w:rFonts w:cs="Arial" w:hint="cs"/>
          <w:sz w:val="20"/>
          <w:szCs w:val="20"/>
          <w:rtl/>
        </w:rPr>
        <w:t>.</w:t>
      </w:r>
    </w:p>
    <w:p w:rsidR="00620060" w:rsidRPr="0072359C" w:rsidRDefault="00620060" w:rsidP="00620060">
      <w:pPr>
        <w:rPr>
          <w:rFonts w:cs="Arial"/>
          <w:sz w:val="20"/>
          <w:szCs w:val="20"/>
          <w:rtl/>
        </w:rPr>
      </w:pPr>
      <w:r>
        <w:rPr>
          <w:rFonts w:cs="Arial" w:hint="cs"/>
          <w:b/>
          <w:bCs/>
          <w:sz w:val="20"/>
          <w:szCs w:val="20"/>
          <w:rtl/>
        </w:rPr>
        <w:t>חפיפה ביין</w:t>
      </w:r>
      <w:r>
        <w:rPr>
          <w:rFonts w:cs="Arial" w:hint="cs"/>
          <w:b/>
          <w:bCs/>
          <w:sz w:val="20"/>
          <w:szCs w:val="20"/>
          <w:rtl/>
        </w:rPr>
        <w:br/>
      </w:r>
      <w:r>
        <w:rPr>
          <w:rFonts w:cs="Arial" w:hint="cs"/>
          <w:sz w:val="20"/>
          <w:szCs w:val="20"/>
          <w:rtl/>
        </w:rPr>
        <w:t>האם מותר לחפוף בשאר משקים העלולים לסבך את השער?</w:t>
      </w:r>
      <w:r>
        <w:rPr>
          <w:rFonts w:cs="Arial" w:hint="cs"/>
          <w:sz w:val="20"/>
          <w:szCs w:val="20"/>
          <w:rtl/>
        </w:rPr>
        <w:br/>
        <w:t xml:space="preserve">א. </w:t>
      </w:r>
      <w:r w:rsidRPr="0072359C">
        <w:rPr>
          <w:rFonts w:cs="Arial" w:hint="cs"/>
          <w:b/>
          <w:bCs/>
          <w:sz w:val="20"/>
          <w:szCs w:val="20"/>
          <w:rtl/>
        </w:rPr>
        <w:t>טור</w:t>
      </w:r>
      <w:r>
        <w:rPr>
          <w:rFonts w:cs="Arial" w:hint="cs"/>
          <w:sz w:val="20"/>
          <w:szCs w:val="20"/>
          <w:rtl/>
        </w:rPr>
        <w:t xml:space="preserve"> </w:t>
      </w:r>
      <w:r>
        <w:rPr>
          <w:rFonts w:cs="Arial"/>
          <w:sz w:val="20"/>
          <w:szCs w:val="20"/>
          <w:rtl/>
        </w:rPr>
        <w:t>–</w:t>
      </w:r>
      <w:r>
        <w:rPr>
          <w:rFonts w:cs="Arial" w:hint="cs"/>
          <w:sz w:val="20"/>
          <w:szCs w:val="20"/>
          <w:rtl/>
        </w:rPr>
        <w:t xml:space="preserve"> לא.</w:t>
      </w:r>
      <w:r>
        <w:rPr>
          <w:rFonts w:cs="Arial"/>
          <w:sz w:val="20"/>
          <w:szCs w:val="20"/>
          <w:rtl/>
        </w:rPr>
        <w:br/>
      </w:r>
      <w:r w:rsidRPr="0072359C">
        <w:rPr>
          <w:rFonts w:cs="Arial" w:hint="cs"/>
          <w:b/>
          <w:bCs/>
          <w:sz w:val="20"/>
          <w:szCs w:val="20"/>
          <w:rtl/>
        </w:rPr>
        <w:t>טעם</w:t>
      </w:r>
      <w:r>
        <w:rPr>
          <w:rFonts w:cs="Arial" w:hint="cs"/>
          <w:sz w:val="20"/>
          <w:szCs w:val="20"/>
          <w:rtl/>
        </w:rPr>
        <w:t xml:space="preserve"> </w:t>
      </w:r>
      <w:r>
        <w:rPr>
          <w:rFonts w:cs="Arial"/>
          <w:sz w:val="20"/>
          <w:szCs w:val="20"/>
          <w:rtl/>
        </w:rPr>
        <w:t>–</w:t>
      </w:r>
      <w:r>
        <w:rPr>
          <w:rFonts w:cs="Arial" w:hint="cs"/>
          <w:sz w:val="20"/>
          <w:szCs w:val="20"/>
          <w:rtl/>
        </w:rPr>
        <w:t xml:space="preserve"> הגמרא נקטה דוגמאות לדברים המסבכים את השיער, והוא הדין לשאר הדברים.</w:t>
      </w:r>
      <w:r>
        <w:rPr>
          <w:rFonts w:cs="Arial"/>
          <w:b/>
          <w:bCs/>
          <w:sz w:val="20"/>
          <w:szCs w:val="20"/>
          <w:rtl/>
        </w:rPr>
        <w:br/>
      </w:r>
      <w:r>
        <w:rPr>
          <w:rFonts w:cs="Arial" w:hint="cs"/>
          <w:sz w:val="20"/>
          <w:szCs w:val="20"/>
          <w:rtl/>
        </w:rPr>
        <w:t xml:space="preserve">ב. </w:t>
      </w:r>
      <w:r w:rsidRPr="0072359C">
        <w:rPr>
          <w:rFonts w:cs="Arial" w:hint="cs"/>
          <w:b/>
          <w:bCs/>
          <w:sz w:val="20"/>
          <w:szCs w:val="20"/>
          <w:rtl/>
        </w:rPr>
        <w:t>מהרי"ק</w:t>
      </w:r>
      <w:r>
        <w:rPr>
          <w:rFonts w:cs="Arial" w:hint="cs"/>
          <w:sz w:val="20"/>
          <w:szCs w:val="20"/>
          <w:rtl/>
        </w:rPr>
        <w:t xml:space="preserve"> </w:t>
      </w:r>
      <w:r>
        <w:rPr>
          <w:rFonts w:cs="Arial"/>
          <w:sz w:val="20"/>
          <w:szCs w:val="20"/>
          <w:rtl/>
        </w:rPr>
        <w:t>–</w:t>
      </w:r>
      <w:r>
        <w:rPr>
          <w:rFonts w:cs="Arial" w:hint="cs"/>
          <w:sz w:val="20"/>
          <w:szCs w:val="20"/>
          <w:rtl/>
        </w:rPr>
        <w:t xml:space="preserve"> כן</w:t>
      </w:r>
      <w:r>
        <w:rPr>
          <w:rStyle w:val="a5"/>
          <w:rFonts w:cs="Arial"/>
          <w:sz w:val="20"/>
          <w:szCs w:val="20"/>
          <w:rtl/>
        </w:rPr>
        <w:footnoteReference w:id="709"/>
      </w:r>
      <w:r>
        <w:rPr>
          <w:rFonts w:cs="Arial" w:hint="cs"/>
          <w:sz w:val="20"/>
          <w:szCs w:val="20"/>
          <w:rtl/>
        </w:rPr>
        <w:t xml:space="preserve">, ובלבד שיש בכך צורך, כגון שרופא הורה לה כן מטעמי בריאות, וכ"פ </w:t>
      </w:r>
      <w:r w:rsidRPr="00D5769C">
        <w:rPr>
          <w:rFonts w:cs="Arial" w:hint="cs"/>
          <w:b/>
          <w:bCs/>
          <w:sz w:val="20"/>
          <w:szCs w:val="20"/>
          <w:rtl/>
        </w:rPr>
        <w:t>הרמ"א</w:t>
      </w:r>
      <w:r>
        <w:rPr>
          <w:rFonts w:cs="Arial" w:hint="cs"/>
          <w:sz w:val="20"/>
          <w:szCs w:val="20"/>
          <w:rtl/>
        </w:rPr>
        <w:t>.</w:t>
      </w:r>
      <w:r>
        <w:rPr>
          <w:rFonts w:cs="Arial" w:hint="cs"/>
          <w:b/>
          <w:bCs/>
          <w:sz w:val="20"/>
          <w:szCs w:val="20"/>
          <w:rtl/>
        </w:rPr>
        <w:br/>
        <w:t xml:space="preserve">טעם </w:t>
      </w:r>
      <w:r>
        <w:rPr>
          <w:rFonts w:cs="Arial"/>
          <w:sz w:val="20"/>
          <w:szCs w:val="20"/>
          <w:rtl/>
        </w:rPr>
        <w:t>–</w:t>
      </w:r>
      <w:r>
        <w:rPr>
          <w:rFonts w:cs="Arial" w:hint="cs"/>
          <w:sz w:val="20"/>
          <w:szCs w:val="20"/>
          <w:rtl/>
        </w:rPr>
        <w:t xml:space="preserve"> אין לנו לאסור אלא מה שאמרו חכמים</w:t>
      </w:r>
      <w:r>
        <w:rPr>
          <w:rStyle w:val="a5"/>
          <w:rFonts w:cs="Arial"/>
          <w:sz w:val="20"/>
          <w:szCs w:val="20"/>
          <w:rtl/>
        </w:rPr>
        <w:footnoteReference w:id="710"/>
      </w:r>
      <w:r>
        <w:rPr>
          <w:rFonts w:cs="Arial" w:hint="cs"/>
          <w:sz w:val="20"/>
          <w:szCs w:val="20"/>
          <w:rtl/>
        </w:rPr>
        <w:t xml:space="preserve">. ועוד, אם אסור לחפוף במשקה אחר היתה הגמרא צריכה לומר "אשה לא תחפוף אלא </w:t>
      </w:r>
      <w:r w:rsidRPr="0072359C">
        <w:rPr>
          <w:rFonts w:cs="Arial" w:hint="cs"/>
          <w:sz w:val="20"/>
          <w:szCs w:val="20"/>
          <w:u w:val="single"/>
          <w:rtl/>
        </w:rPr>
        <w:t>במיא</w:t>
      </w:r>
      <w:r>
        <w:rPr>
          <w:rFonts w:cs="Arial" w:hint="cs"/>
          <w:sz w:val="20"/>
          <w:szCs w:val="20"/>
          <w:rtl/>
        </w:rPr>
        <w:t xml:space="preserve"> חמימי".</w:t>
      </w:r>
      <w:r>
        <w:rPr>
          <w:rFonts w:cs="Arial" w:hint="cs"/>
          <w:sz w:val="20"/>
          <w:szCs w:val="20"/>
          <w:rtl/>
        </w:rPr>
        <w:br/>
        <w:t>אמנם, לפני שחופפת כן תחפוף ג' פעמים לבדוק שהמשקה בו היא רוצה להשתמש אינו מסבך את שערותיה.</w:t>
      </w:r>
      <w:r>
        <w:rPr>
          <w:rFonts w:cs="Arial" w:hint="cs"/>
          <w:sz w:val="20"/>
          <w:szCs w:val="20"/>
          <w:rtl/>
        </w:rPr>
        <w:br/>
        <w:t xml:space="preserve">כמו כן, נכון הוא לשאול את הרופא האם טבע המשקה הזה לסבך את השער.  </w:t>
      </w:r>
      <w:r>
        <w:rPr>
          <w:rFonts w:cs="Arial"/>
          <w:sz w:val="20"/>
          <w:szCs w:val="20"/>
          <w:rtl/>
        </w:rPr>
        <w:br/>
      </w:r>
      <w:r w:rsidRPr="0072359C">
        <w:rPr>
          <w:rFonts w:cs="Arial"/>
          <w:sz w:val="20"/>
          <w:szCs w:val="20"/>
          <w:rtl/>
        </w:rPr>
        <w:br/>
      </w:r>
      <w:r>
        <w:rPr>
          <w:rFonts w:cs="Arial" w:hint="cs"/>
          <w:b/>
          <w:bCs/>
          <w:sz w:val="20"/>
          <w:szCs w:val="20"/>
          <w:rtl/>
        </w:rPr>
        <w:t>פסיקת הלכה</w:t>
      </w:r>
      <w:r>
        <w:rPr>
          <w:rFonts w:cs="Arial"/>
          <w:b/>
          <w:bCs/>
          <w:sz w:val="20"/>
          <w:szCs w:val="20"/>
          <w:rtl/>
        </w:rPr>
        <w:br/>
      </w:r>
      <w:r>
        <w:rPr>
          <w:rFonts w:cs="Arial" w:hint="cs"/>
          <w:b/>
          <w:bCs/>
          <w:sz w:val="20"/>
          <w:szCs w:val="20"/>
          <w:rtl/>
        </w:rPr>
        <w:t xml:space="preserve">שולחן ערוך </w:t>
      </w:r>
      <w:r>
        <w:rPr>
          <w:rFonts w:cs="Arial"/>
          <w:sz w:val="20"/>
          <w:szCs w:val="20"/>
          <w:rtl/>
        </w:rPr>
        <w:t>–</w:t>
      </w:r>
      <w:r>
        <w:rPr>
          <w:rFonts w:cs="Arial" w:hint="cs"/>
          <w:sz w:val="20"/>
          <w:szCs w:val="20"/>
          <w:rtl/>
        </w:rPr>
        <w:t xml:space="preserve"> "</w:t>
      </w:r>
      <w:r w:rsidRPr="0072359C">
        <w:rPr>
          <w:rFonts w:cs="Arial"/>
          <w:sz w:val="20"/>
          <w:szCs w:val="20"/>
          <w:rtl/>
        </w:rPr>
        <w:t>חפיפה שבמקום שיער לא תהיה במים קרים, לפי שמסבכין את השיער, אלא במים חמין</w:t>
      </w:r>
      <w:r>
        <w:rPr>
          <w:rStyle w:val="a5"/>
          <w:rFonts w:cs="Arial"/>
          <w:sz w:val="20"/>
          <w:szCs w:val="20"/>
          <w:rtl/>
        </w:rPr>
        <w:footnoteReference w:id="711"/>
      </w:r>
      <w:r w:rsidRPr="0072359C">
        <w:rPr>
          <w:rFonts w:cs="Arial"/>
          <w:sz w:val="20"/>
          <w:szCs w:val="20"/>
          <w:rtl/>
        </w:rPr>
        <w:t>; ומיהו אפילו בחמי חמה סגי. ולא תחוף בנתר הנקרא בערבי: טפל</w:t>
      </w:r>
      <w:r>
        <w:rPr>
          <w:rFonts w:cs="Arial" w:hint="cs"/>
          <w:sz w:val="20"/>
          <w:szCs w:val="20"/>
          <w:rtl/>
        </w:rPr>
        <w:t>,</w:t>
      </w:r>
      <w:r w:rsidRPr="0072359C">
        <w:rPr>
          <w:rFonts w:cs="Arial"/>
          <w:sz w:val="20"/>
          <w:szCs w:val="20"/>
          <w:rtl/>
        </w:rPr>
        <w:t xml:space="preserve"> לפי שמחתך השיער וחוזר ומסתבך, ולא באהל, לפי שמסבך השיער, ולא בכל דברים המסבכים השיער. </w:t>
      </w:r>
      <w:r>
        <w:rPr>
          <w:rFonts w:cs="Arial" w:hint="cs"/>
          <w:sz w:val="20"/>
          <w:szCs w:val="20"/>
          <w:rtl/>
        </w:rPr>
        <w:br/>
      </w:r>
      <w:r w:rsidRPr="0072359C">
        <w:rPr>
          <w:rFonts w:cs="Arial"/>
          <w:sz w:val="18"/>
          <w:szCs w:val="18"/>
          <w:rtl/>
        </w:rPr>
        <w:t>הגה: וכל זה לכתח</w:t>
      </w:r>
      <w:r>
        <w:rPr>
          <w:rFonts w:cs="Arial" w:hint="cs"/>
          <w:sz w:val="18"/>
          <w:szCs w:val="18"/>
          <w:rtl/>
        </w:rPr>
        <w:t>י</w:t>
      </w:r>
      <w:r w:rsidRPr="0072359C">
        <w:rPr>
          <w:rFonts w:cs="Arial"/>
          <w:sz w:val="18"/>
          <w:szCs w:val="18"/>
          <w:rtl/>
        </w:rPr>
        <w:t>לה, אבל אם חפפה בנתר וכיוצא בו וראתה בעצמה שאין שערות שלה קשורין ומסובכין, שרי. ואשה שצוו אותה הרופאים שלא תחוף ראשה במים, רק ביין, יש לשאול לרופאים אם היין מסבך השערות, ואם אומרים שאינו מסבך יש לסמוך עליהן; ואם אין הרופאים בקיאין בדבר, יש לאשה לנסות עצמה תחילה אם היין אינו מסבך השערות</w:t>
      </w:r>
      <w:r>
        <w:rPr>
          <w:rStyle w:val="a5"/>
          <w:rFonts w:cs="Arial"/>
          <w:sz w:val="18"/>
          <w:szCs w:val="18"/>
          <w:rtl/>
        </w:rPr>
        <w:footnoteReference w:id="712"/>
      </w:r>
      <w:r>
        <w:rPr>
          <w:rFonts w:cs="Arial" w:hint="cs"/>
          <w:sz w:val="20"/>
          <w:szCs w:val="20"/>
          <w:rtl/>
        </w:rPr>
        <w:t>".</w:t>
      </w:r>
    </w:p>
    <w:p w:rsidR="00620060" w:rsidRDefault="00620060" w:rsidP="00620060">
      <w:pPr>
        <w:rPr>
          <w:sz w:val="20"/>
          <w:szCs w:val="20"/>
          <w:rtl/>
        </w:rPr>
      </w:pPr>
      <w:r>
        <w:rPr>
          <w:rFonts w:hint="cs"/>
          <w:sz w:val="20"/>
          <w:szCs w:val="20"/>
          <w:u w:val="single"/>
          <w:rtl/>
        </w:rPr>
        <w:t>חילוק בין נתר ליין</w:t>
      </w:r>
      <w:r>
        <w:rPr>
          <w:sz w:val="20"/>
          <w:szCs w:val="20"/>
          <w:u w:val="single"/>
          <w:rtl/>
        </w:rPr>
        <w:br/>
      </w:r>
      <w:r>
        <w:rPr>
          <w:rFonts w:hint="cs"/>
          <w:sz w:val="20"/>
          <w:szCs w:val="20"/>
          <w:rtl/>
        </w:rPr>
        <w:t xml:space="preserve">א. </w:t>
      </w:r>
      <w:r w:rsidRPr="005A6B54">
        <w:rPr>
          <w:rFonts w:hint="cs"/>
          <w:b/>
          <w:bCs/>
          <w:sz w:val="20"/>
          <w:szCs w:val="20"/>
          <w:rtl/>
        </w:rPr>
        <w:t>ש"ך</w:t>
      </w:r>
      <w:r>
        <w:rPr>
          <w:rFonts w:hint="cs"/>
          <w:sz w:val="20"/>
          <w:szCs w:val="20"/>
          <w:rtl/>
        </w:rPr>
        <w:t xml:space="preserve"> </w:t>
      </w:r>
      <w:r>
        <w:rPr>
          <w:sz w:val="20"/>
          <w:szCs w:val="20"/>
          <w:rtl/>
        </w:rPr>
        <w:t>–</w:t>
      </w:r>
      <w:r>
        <w:rPr>
          <w:rFonts w:hint="cs"/>
          <w:sz w:val="20"/>
          <w:szCs w:val="20"/>
          <w:rtl/>
        </w:rPr>
        <w:t xml:space="preserve"> הרמ"א התיר בנתר, אוהל ומים קרים בדיעבד אם חפפה, אך ביין התיר לכתחילה כשיש בכך צורך.</w:t>
      </w:r>
      <w:r>
        <w:rPr>
          <w:rStyle w:val="a5"/>
          <w:sz w:val="20"/>
          <w:szCs w:val="20"/>
          <w:rtl/>
        </w:rPr>
        <w:footnoteReference w:id="713"/>
      </w:r>
      <w:r>
        <w:rPr>
          <w:sz w:val="20"/>
          <w:szCs w:val="20"/>
          <w:rtl/>
        </w:rPr>
        <w:br/>
      </w:r>
      <w:r w:rsidRPr="005A6B54">
        <w:rPr>
          <w:rFonts w:hint="cs"/>
          <w:b/>
          <w:bCs/>
          <w:sz w:val="20"/>
          <w:szCs w:val="20"/>
          <w:rtl/>
        </w:rPr>
        <w:t xml:space="preserve">טעם </w:t>
      </w:r>
      <w:r>
        <w:rPr>
          <w:sz w:val="20"/>
          <w:szCs w:val="20"/>
          <w:rtl/>
        </w:rPr>
        <w:t>–</w:t>
      </w:r>
      <w:r>
        <w:rPr>
          <w:rFonts w:hint="cs"/>
          <w:sz w:val="20"/>
          <w:szCs w:val="20"/>
          <w:rtl/>
        </w:rPr>
        <w:t xml:space="preserve"> נתר, אוהל ומים קרים הוזכרו בגמרא להדיא לאיסור, אך יין לא הוזכר ולכן יש בו צד קולא.</w:t>
      </w:r>
      <w:r>
        <w:rPr>
          <w:rStyle w:val="a5"/>
          <w:sz w:val="20"/>
          <w:szCs w:val="20"/>
          <w:rtl/>
        </w:rPr>
        <w:footnoteReference w:id="714"/>
      </w:r>
      <w:r>
        <w:rPr>
          <w:rFonts w:hint="cs"/>
          <w:sz w:val="20"/>
          <w:szCs w:val="20"/>
          <w:rtl/>
        </w:rPr>
        <w:br/>
        <w:t xml:space="preserve">ב. </w:t>
      </w:r>
      <w:r w:rsidRPr="00882543">
        <w:rPr>
          <w:rFonts w:hint="cs"/>
          <w:b/>
          <w:bCs/>
          <w:sz w:val="20"/>
          <w:szCs w:val="20"/>
          <w:rtl/>
        </w:rPr>
        <w:t>לבוש</w:t>
      </w:r>
      <w:r>
        <w:rPr>
          <w:rFonts w:hint="cs"/>
          <w:sz w:val="20"/>
          <w:szCs w:val="20"/>
          <w:rtl/>
        </w:rPr>
        <w:t xml:space="preserve"> </w:t>
      </w:r>
      <w:r>
        <w:rPr>
          <w:sz w:val="20"/>
          <w:szCs w:val="20"/>
          <w:rtl/>
        </w:rPr>
        <w:t>–</w:t>
      </w:r>
      <w:r>
        <w:rPr>
          <w:rFonts w:hint="cs"/>
          <w:sz w:val="20"/>
          <w:szCs w:val="20"/>
          <w:rtl/>
        </w:rPr>
        <w:t xml:space="preserve"> אין חילוק בין נתר וכו' ליין, בכולם מותר לחפוף לכתחילה אם יש בכך צורך.</w:t>
      </w:r>
    </w:p>
    <w:p w:rsidR="00620060" w:rsidRDefault="00620060" w:rsidP="00620060">
      <w:pPr>
        <w:rPr>
          <w:sz w:val="20"/>
          <w:szCs w:val="20"/>
          <w:rtl/>
        </w:rPr>
      </w:pPr>
      <w:r w:rsidRPr="00A44677">
        <w:rPr>
          <w:rFonts w:hint="cs"/>
          <w:b/>
          <w:bCs/>
          <w:sz w:val="20"/>
          <w:szCs w:val="20"/>
          <w:rtl/>
        </w:rPr>
        <w:t>סיכום</w:t>
      </w:r>
      <w:r>
        <w:rPr>
          <w:sz w:val="20"/>
          <w:szCs w:val="20"/>
          <w:rtl/>
        </w:rPr>
        <w:br/>
      </w:r>
      <w:r>
        <w:rPr>
          <w:rFonts w:hint="cs"/>
          <w:sz w:val="20"/>
          <w:szCs w:val="20"/>
          <w:rtl/>
        </w:rPr>
        <w:t xml:space="preserve">1. </w:t>
      </w:r>
      <w:r w:rsidRPr="00A44677">
        <w:rPr>
          <w:rFonts w:hint="cs"/>
          <w:b/>
          <w:bCs/>
          <w:sz w:val="20"/>
          <w:szCs w:val="20"/>
          <w:rtl/>
        </w:rPr>
        <w:t>גמרא</w:t>
      </w:r>
      <w:r>
        <w:rPr>
          <w:rFonts w:hint="cs"/>
          <w:sz w:val="20"/>
          <w:szCs w:val="20"/>
          <w:rtl/>
        </w:rPr>
        <w:t>. אשה לא תחפוף בנתר משום שמנתק את השער וחוצץ, ולא בחול משום שמדביק את השער. וכן לא תחפוף במים קרים משום שמקשה את השער.</w:t>
      </w:r>
      <w:r>
        <w:rPr>
          <w:sz w:val="20"/>
          <w:szCs w:val="20"/>
          <w:rtl/>
        </w:rPr>
        <w:br/>
      </w:r>
      <w:r>
        <w:rPr>
          <w:rFonts w:hint="cs"/>
          <w:sz w:val="20"/>
          <w:szCs w:val="20"/>
          <w:rtl/>
        </w:rPr>
        <w:lastRenderedPageBreak/>
        <w:t xml:space="preserve">2. האם מותר לחפוף בחמי חמה? </w:t>
      </w:r>
      <w:r w:rsidRPr="00B55269">
        <w:rPr>
          <w:rFonts w:hint="cs"/>
          <w:b/>
          <w:bCs/>
          <w:sz w:val="20"/>
          <w:szCs w:val="20"/>
          <w:rtl/>
        </w:rPr>
        <w:t>רש"י</w:t>
      </w:r>
      <w:r>
        <w:rPr>
          <w:rFonts w:hint="cs"/>
          <w:sz w:val="20"/>
          <w:szCs w:val="20"/>
          <w:rtl/>
        </w:rPr>
        <w:t xml:space="preserve">. כן, וכ"פ </w:t>
      </w:r>
      <w:r w:rsidRPr="00B55269">
        <w:rPr>
          <w:rFonts w:hint="cs"/>
          <w:b/>
          <w:bCs/>
          <w:sz w:val="20"/>
          <w:szCs w:val="20"/>
          <w:rtl/>
        </w:rPr>
        <w:t>המחבר</w:t>
      </w:r>
      <w:r>
        <w:rPr>
          <w:rFonts w:hint="cs"/>
          <w:sz w:val="20"/>
          <w:szCs w:val="20"/>
          <w:rtl/>
        </w:rPr>
        <w:t xml:space="preserve">. </w:t>
      </w:r>
      <w:r w:rsidRPr="00B55269">
        <w:rPr>
          <w:rFonts w:hint="cs"/>
          <w:b/>
          <w:bCs/>
          <w:sz w:val="20"/>
          <w:szCs w:val="20"/>
          <w:rtl/>
        </w:rPr>
        <w:t>ר"ח</w:t>
      </w:r>
      <w:r>
        <w:rPr>
          <w:rFonts w:hint="cs"/>
          <w:sz w:val="20"/>
          <w:szCs w:val="20"/>
          <w:rtl/>
        </w:rPr>
        <w:t>. לא.</w:t>
      </w:r>
      <w:r>
        <w:rPr>
          <w:sz w:val="20"/>
          <w:szCs w:val="20"/>
          <w:rtl/>
        </w:rPr>
        <w:br/>
      </w:r>
      <w:r>
        <w:rPr>
          <w:rFonts w:hint="cs"/>
          <w:sz w:val="20"/>
          <w:szCs w:val="20"/>
          <w:rtl/>
        </w:rPr>
        <w:t xml:space="preserve">3. </w:t>
      </w:r>
      <w:r w:rsidRPr="00B55269">
        <w:rPr>
          <w:rFonts w:hint="cs"/>
          <w:b/>
          <w:bCs/>
          <w:sz w:val="20"/>
          <w:szCs w:val="20"/>
          <w:rtl/>
        </w:rPr>
        <w:t>מהרי"ק</w:t>
      </w:r>
      <w:r>
        <w:rPr>
          <w:rFonts w:hint="cs"/>
          <w:sz w:val="20"/>
          <w:szCs w:val="20"/>
          <w:rtl/>
        </w:rPr>
        <w:t xml:space="preserve">. בדיעבד אם חפפה בדברים הנ"ל מהני, ובלבד שעיינה לאחר מכן בשערה, וכ"פ </w:t>
      </w:r>
      <w:r w:rsidRPr="00B55269">
        <w:rPr>
          <w:rFonts w:hint="cs"/>
          <w:b/>
          <w:bCs/>
          <w:sz w:val="20"/>
          <w:szCs w:val="20"/>
          <w:rtl/>
        </w:rPr>
        <w:t>הרמ"א</w:t>
      </w:r>
      <w:r>
        <w:rPr>
          <w:rFonts w:hint="cs"/>
          <w:sz w:val="20"/>
          <w:szCs w:val="20"/>
          <w:rtl/>
        </w:rPr>
        <w:t>.</w:t>
      </w:r>
      <w:r>
        <w:rPr>
          <w:rFonts w:hint="cs"/>
          <w:sz w:val="20"/>
          <w:szCs w:val="20"/>
          <w:rtl/>
        </w:rPr>
        <w:br/>
        <w:t xml:space="preserve">4. האם מותר לחפוף בשאר משקים? </w:t>
      </w:r>
      <w:r w:rsidRPr="00B55269">
        <w:rPr>
          <w:rFonts w:hint="cs"/>
          <w:b/>
          <w:bCs/>
          <w:sz w:val="20"/>
          <w:szCs w:val="20"/>
          <w:rtl/>
        </w:rPr>
        <w:t>טור</w:t>
      </w:r>
      <w:r>
        <w:rPr>
          <w:rFonts w:hint="cs"/>
          <w:sz w:val="20"/>
          <w:szCs w:val="20"/>
          <w:rtl/>
        </w:rPr>
        <w:t xml:space="preserve">. לא. </w:t>
      </w:r>
      <w:r w:rsidRPr="00B55269">
        <w:rPr>
          <w:rFonts w:hint="cs"/>
          <w:b/>
          <w:bCs/>
          <w:sz w:val="20"/>
          <w:szCs w:val="20"/>
          <w:rtl/>
        </w:rPr>
        <w:t>מהרי"ק</w:t>
      </w:r>
      <w:r>
        <w:rPr>
          <w:rFonts w:hint="cs"/>
          <w:sz w:val="20"/>
          <w:szCs w:val="20"/>
          <w:rtl/>
        </w:rPr>
        <w:t xml:space="preserve">. כן, אם יש בכך צורך ובלבד שתעיין בשערה, וכן תבדוק לפני כן ג' פעמים שאין המשקה מסבך את שערה, וכ"פ </w:t>
      </w:r>
      <w:r w:rsidRPr="00B55269">
        <w:rPr>
          <w:rFonts w:hint="cs"/>
          <w:b/>
          <w:bCs/>
          <w:sz w:val="20"/>
          <w:szCs w:val="20"/>
          <w:rtl/>
        </w:rPr>
        <w:t>הרמ"א</w:t>
      </w:r>
      <w:r>
        <w:rPr>
          <w:rFonts w:hint="cs"/>
          <w:sz w:val="20"/>
          <w:szCs w:val="20"/>
          <w:rtl/>
        </w:rPr>
        <w:t>.</w:t>
      </w:r>
      <w:r>
        <w:rPr>
          <w:rFonts w:hint="cs"/>
          <w:sz w:val="20"/>
          <w:szCs w:val="20"/>
          <w:rtl/>
        </w:rPr>
        <w:br/>
        <w:t xml:space="preserve">5. </w:t>
      </w:r>
      <w:r w:rsidRPr="00B55269">
        <w:rPr>
          <w:rFonts w:hint="cs"/>
          <w:b/>
          <w:bCs/>
          <w:sz w:val="20"/>
          <w:szCs w:val="20"/>
          <w:rtl/>
        </w:rPr>
        <w:t>ש"ך</w:t>
      </w:r>
      <w:r>
        <w:rPr>
          <w:rFonts w:hint="cs"/>
          <w:sz w:val="20"/>
          <w:szCs w:val="20"/>
          <w:rtl/>
        </w:rPr>
        <w:t>. נתר מותר רק אם כבר חפפה, אך יין מותר לכתחילה אם יש בכך צורך.</w:t>
      </w:r>
    </w:p>
    <w:p w:rsidR="00620060" w:rsidRDefault="00620060" w:rsidP="00620060">
      <w:pPr>
        <w:rPr>
          <w:rFonts w:cs="Arial"/>
          <w:sz w:val="20"/>
          <w:szCs w:val="20"/>
          <w:rtl/>
        </w:rPr>
      </w:pPr>
      <w:r>
        <w:rPr>
          <w:sz w:val="20"/>
          <w:szCs w:val="20"/>
          <w:rtl/>
        </w:rPr>
        <w:br/>
      </w:r>
      <w:r>
        <w:rPr>
          <w:rFonts w:hint="cs"/>
          <w:b/>
          <w:bCs/>
          <w:sz w:val="20"/>
          <w:szCs w:val="20"/>
          <w:rtl/>
        </w:rPr>
        <w:t xml:space="preserve">סעיף ג </w:t>
      </w:r>
      <w:r>
        <w:rPr>
          <w:b/>
          <w:bCs/>
          <w:sz w:val="20"/>
          <w:szCs w:val="20"/>
          <w:rtl/>
        </w:rPr>
        <w:t>–</w:t>
      </w:r>
      <w:r>
        <w:rPr>
          <w:rFonts w:hint="cs"/>
          <w:b/>
          <w:bCs/>
          <w:sz w:val="20"/>
          <w:szCs w:val="20"/>
          <w:rtl/>
        </w:rPr>
        <w:t xml:space="preserve"> זמן החפיפה</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גמרא </w:t>
      </w:r>
      <w:r>
        <w:rPr>
          <w:rFonts w:hint="cs"/>
          <w:sz w:val="20"/>
          <w:szCs w:val="20"/>
          <w:rtl/>
        </w:rPr>
        <w:t>נידה (סח.) "</w:t>
      </w:r>
      <w:r w:rsidRPr="001A4BAD">
        <w:rPr>
          <w:rFonts w:cs="Arial"/>
          <w:sz w:val="20"/>
          <w:szCs w:val="20"/>
          <w:rtl/>
        </w:rPr>
        <w:t xml:space="preserve">והלכתא: אשה חופפת ביום וטובלת בלילה. והלכתא: אשה לא תחוף אלא בלילה. </w:t>
      </w:r>
      <w:r>
        <w:rPr>
          <w:rFonts w:cs="Arial" w:hint="cs"/>
          <w:sz w:val="20"/>
          <w:szCs w:val="20"/>
          <w:rtl/>
        </w:rPr>
        <w:br/>
      </w:r>
      <w:r w:rsidRPr="001A4BAD">
        <w:rPr>
          <w:rFonts w:cs="Arial"/>
          <w:sz w:val="20"/>
          <w:szCs w:val="20"/>
          <w:rtl/>
        </w:rPr>
        <w:t>קשיא הלכתא אהלכתא! לא קשיא, הא - דאפשר, הא - דלא אפשר</w:t>
      </w:r>
      <w:r>
        <w:rPr>
          <w:rFonts w:cs="Arial" w:hint="cs"/>
          <w:sz w:val="20"/>
          <w:szCs w:val="20"/>
          <w:rtl/>
        </w:rPr>
        <w:t>".</w:t>
      </w:r>
    </w:p>
    <w:p w:rsidR="00620060" w:rsidRPr="001A4BAD" w:rsidRDefault="00620060" w:rsidP="00620060">
      <w:pPr>
        <w:rPr>
          <w:rFonts w:cs="Arial"/>
          <w:sz w:val="20"/>
          <w:szCs w:val="20"/>
          <w:rtl/>
        </w:rPr>
      </w:pPr>
      <w:r>
        <w:rPr>
          <w:rFonts w:cs="Arial" w:hint="cs"/>
          <w:b/>
          <w:bCs/>
          <w:sz w:val="20"/>
          <w:szCs w:val="20"/>
          <w:rtl/>
        </w:rPr>
        <w:t>שיטות הראשונים</w:t>
      </w:r>
      <w:r>
        <w:rPr>
          <w:rFonts w:cs="Arial"/>
          <w:b/>
          <w:bCs/>
          <w:sz w:val="20"/>
          <w:szCs w:val="20"/>
          <w:rtl/>
        </w:rPr>
        <w:br/>
      </w:r>
      <w:r>
        <w:rPr>
          <w:rFonts w:cs="Arial" w:hint="cs"/>
          <w:sz w:val="20"/>
          <w:szCs w:val="20"/>
          <w:rtl/>
        </w:rPr>
        <w:t xml:space="preserve">א. </w:t>
      </w:r>
      <w:r w:rsidRPr="001A4BAD">
        <w:rPr>
          <w:rFonts w:cs="Arial" w:hint="cs"/>
          <w:b/>
          <w:bCs/>
          <w:sz w:val="20"/>
          <w:szCs w:val="20"/>
          <w:rtl/>
        </w:rPr>
        <w:t xml:space="preserve">רש"י </w:t>
      </w:r>
      <w:r>
        <w:rPr>
          <w:rFonts w:cs="Arial"/>
          <w:sz w:val="20"/>
          <w:szCs w:val="20"/>
          <w:rtl/>
        </w:rPr>
        <w:t>–</w:t>
      </w:r>
      <w:r>
        <w:rPr>
          <w:rFonts w:cs="Arial" w:hint="cs"/>
          <w:sz w:val="20"/>
          <w:szCs w:val="20"/>
          <w:rtl/>
        </w:rPr>
        <w:t xml:space="preserve"> לכתחילה תחפוף ביום, כשאי אפשר, כגון מוצ"ש, תחפוף בלילה, וכ"פ </w:t>
      </w:r>
      <w:r w:rsidRPr="004261EE">
        <w:rPr>
          <w:rFonts w:cs="Arial" w:hint="cs"/>
          <w:b/>
          <w:bCs/>
          <w:sz w:val="20"/>
          <w:szCs w:val="20"/>
          <w:rtl/>
        </w:rPr>
        <w:t>הש"ך</w:t>
      </w:r>
      <w:r>
        <w:rPr>
          <w:rFonts w:cs="Arial" w:hint="cs"/>
          <w:sz w:val="20"/>
          <w:szCs w:val="20"/>
          <w:rtl/>
        </w:rPr>
        <w:t>.</w:t>
      </w:r>
      <w:r>
        <w:rPr>
          <w:rFonts w:cs="Arial"/>
          <w:sz w:val="20"/>
          <w:szCs w:val="20"/>
          <w:rtl/>
        </w:rPr>
        <w:br/>
      </w:r>
      <w:r w:rsidRPr="001A4BAD">
        <w:rPr>
          <w:rFonts w:cs="Arial" w:hint="cs"/>
          <w:b/>
          <w:bCs/>
          <w:sz w:val="20"/>
          <w:szCs w:val="20"/>
          <w:rtl/>
        </w:rPr>
        <w:t>טעם</w:t>
      </w:r>
      <w:r>
        <w:rPr>
          <w:rFonts w:cs="Arial" w:hint="cs"/>
          <w:sz w:val="20"/>
          <w:szCs w:val="20"/>
          <w:rtl/>
        </w:rPr>
        <w:t xml:space="preserve"> </w:t>
      </w:r>
      <w:r>
        <w:rPr>
          <w:rFonts w:cs="Arial"/>
          <w:sz w:val="20"/>
          <w:szCs w:val="20"/>
          <w:rtl/>
        </w:rPr>
        <w:t>–</w:t>
      </w:r>
      <w:r>
        <w:rPr>
          <w:rFonts w:cs="Arial" w:hint="cs"/>
          <w:sz w:val="20"/>
          <w:szCs w:val="20"/>
          <w:rtl/>
        </w:rPr>
        <w:t xml:space="preserve"> חפיפה בלילה אינה משובחת משום שהאשה ממהרת לשוב לביתה ואינה חופפת היטב.</w:t>
      </w:r>
      <w:r>
        <w:rPr>
          <w:rFonts w:cs="Arial" w:hint="cs"/>
          <w:sz w:val="20"/>
          <w:szCs w:val="20"/>
          <w:rtl/>
        </w:rPr>
        <w:br/>
        <w:t xml:space="preserve">לפי"ז </w:t>
      </w:r>
      <w:r>
        <w:rPr>
          <w:rFonts w:cs="Arial"/>
          <w:sz w:val="20"/>
          <w:szCs w:val="20"/>
          <w:rtl/>
        </w:rPr>
        <w:t>–</w:t>
      </w:r>
      <w:r>
        <w:rPr>
          <w:rFonts w:cs="Arial" w:hint="cs"/>
          <w:sz w:val="20"/>
          <w:szCs w:val="20"/>
          <w:rtl/>
        </w:rPr>
        <w:t xml:space="preserve"> אפשר: טבילה ביום חול, חופפת ביום. אי אפשר: טבילה במוצ"ש, חופפת בלילה.</w:t>
      </w:r>
      <w:r>
        <w:rPr>
          <w:rFonts w:cs="Arial"/>
          <w:sz w:val="20"/>
          <w:szCs w:val="20"/>
          <w:rtl/>
        </w:rPr>
        <w:br/>
      </w:r>
      <w:r>
        <w:rPr>
          <w:rFonts w:cs="Arial" w:hint="cs"/>
          <w:sz w:val="20"/>
          <w:szCs w:val="20"/>
          <w:rtl/>
        </w:rPr>
        <w:t xml:space="preserve">ב. </w:t>
      </w:r>
      <w:r w:rsidRPr="00036A60">
        <w:rPr>
          <w:rFonts w:cs="Arial" w:hint="cs"/>
          <w:b/>
          <w:bCs/>
          <w:sz w:val="20"/>
          <w:szCs w:val="20"/>
          <w:rtl/>
        </w:rPr>
        <w:t>שאילתות</w:t>
      </w:r>
      <w:r>
        <w:rPr>
          <w:rFonts w:cs="Arial" w:hint="cs"/>
          <w:sz w:val="20"/>
          <w:szCs w:val="20"/>
          <w:rtl/>
        </w:rPr>
        <w:t xml:space="preserve">, </w:t>
      </w:r>
      <w:r w:rsidRPr="00036A60">
        <w:rPr>
          <w:rFonts w:cs="Arial" w:hint="cs"/>
          <w:b/>
          <w:bCs/>
          <w:sz w:val="20"/>
          <w:szCs w:val="20"/>
          <w:rtl/>
        </w:rPr>
        <w:t>רמב"ם</w:t>
      </w:r>
      <w:r>
        <w:rPr>
          <w:rFonts w:cs="Arial" w:hint="cs"/>
          <w:sz w:val="20"/>
          <w:szCs w:val="20"/>
          <w:rtl/>
        </w:rPr>
        <w:t xml:space="preserve"> </w:t>
      </w:r>
      <w:r>
        <w:rPr>
          <w:rFonts w:cs="Arial" w:hint="cs"/>
          <w:b/>
          <w:bCs/>
          <w:sz w:val="20"/>
          <w:szCs w:val="20"/>
          <w:rtl/>
        </w:rPr>
        <w:t>ו</w:t>
      </w:r>
      <w:r w:rsidRPr="00036A60">
        <w:rPr>
          <w:rFonts w:cs="Arial" w:hint="cs"/>
          <w:b/>
          <w:bCs/>
          <w:sz w:val="20"/>
          <w:szCs w:val="20"/>
          <w:rtl/>
        </w:rPr>
        <w:t xml:space="preserve">רי"ף </w:t>
      </w:r>
      <w:r>
        <w:rPr>
          <w:rFonts w:cs="Arial" w:hint="cs"/>
          <w:sz w:val="20"/>
          <w:szCs w:val="20"/>
          <w:rtl/>
        </w:rPr>
        <w:t xml:space="preserve"> </w:t>
      </w:r>
      <w:r>
        <w:rPr>
          <w:rFonts w:cs="Arial"/>
          <w:sz w:val="20"/>
          <w:szCs w:val="20"/>
          <w:rtl/>
        </w:rPr>
        <w:t>–</w:t>
      </w:r>
      <w:r>
        <w:rPr>
          <w:rFonts w:cs="Arial" w:hint="cs"/>
          <w:sz w:val="20"/>
          <w:szCs w:val="20"/>
          <w:rtl/>
        </w:rPr>
        <w:t xml:space="preserve"> תחפוף בלילה סמוך לטבילה, כשאי אפשר תחפוף ביום, וכ"פ </w:t>
      </w:r>
      <w:r w:rsidRPr="004261EE">
        <w:rPr>
          <w:rFonts w:cs="Arial" w:hint="cs"/>
          <w:b/>
          <w:bCs/>
          <w:sz w:val="20"/>
          <w:szCs w:val="20"/>
          <w:rtl/>
        </w:rPr>
        <w:t>המחבר</w:t>
      </w:r>
      <w:r>
        <w:rPr>
          <w:rFonts w:cs="Arial" w:hint="cs"/>
          <w:sz w:val="20"/>
          <w:szCs w:val="20"/>
          <w:rtl/>
        </w:rPr>
        <w:t>.</w:t>
      </w:r>
      <w:r>
        <w:rPr>
          <w:rStyle w:val="a5"/>
          <w:rFonts w:cs="Arial"/>
          <w:sz w:val="20"/>
          <w:szCs w:val="20"/>
          <w:rtl/>
        </w:rPr>
        <w:footnoteReference w:id="715"/>
      </w:r>
      <w:r>
        <w:rPr>
          <w:rFonts w:cs="Arial"/>
          <w:sz w:val="20"/>
          <w:szCs w:val="20"/>
          <w:rtl/>
        </w:rPr>
        <w:br/>
      </w:r>
      <w:r w:rsidRPr="006E2BC9">
        <w:rPr>
          <w:rFonts w:cs="Arial" w:hint="cs"/>
          <w:b/>
          <w:bCs/>
          <w:sz w:val="20"/>
          <w:szCs w:val="20"/>
          <w:rtl/>
        </w:rPr>
        <w:t>טעם</w:t>
      </w:r>
      <w:r>
        <w:rPr>
          <w:rFonts w:cs="Arial" w:hint="cs"/>
          <w:sz w:val="20"/>
          <w:szCs w:val="20"/>
          <w:rtl/>
        </w:rPr>
        <w:t xml:space="preserve"> - עדיף לסמוך את החפיפה לטבילה וכך בוודאי שלא תהיה חציצה.</w:t>
      </w:r>
      <w:r>
        <w:rPr>
          <w:rFonts w:cs="Arial" w:hint="cs"/>
          <w:sz w:val="20"/>
          <w:szCs w:val="20"/>
          <w:rtl/>
        </w:rPr>
        <w:br/>
        <w:t xml:space="preserve">לפי"ז </w:t>
      </w:r>
      <w:r>
        <w:rPr>
          <w:rFonts w:cs="Arial"/>
          <w:sz w:val="20"/>
          <w:szCs w:val="20"/>
          <w:rtl/>
        </w:rPr>
        <w:t>–</w:t>
      </w:r>
      <w:r>
        <w:rPr>
          <w:rFonts w:cs="Arial" w:hint="cs"/>
          <w:sz w:val="20"/>
          <w:szCs w:val="20"/>
          <w:rtl/>
        </w:rPr>
        <w:t xml:space="preserve"> אפשר: טבילה ביום חול, חופפת בלילה. אי אפשר: טבילה בשבת, חופפת בערב שבת.</w:t>
      </w:r>
      <w:r>
        <w:rPr>
          <w:rFonts w:cs="Arial"/>
          <w:sz w:val="20"/>
          <w:szCs w:val="20"/>
          <w:rtl/>
        </w:rPr>
        <w:br/>
      </w:r>
      <w:r>
        <w:rPr>
          <w:rFonts w:cs="Arial" w:hint="cs"/>
          <w:sz w:val="20"/>
          <w:szCs w:val="20"/>
          <w:rtl/>
        </w:rPr>
        <w:t xml:space="preserve">מעיר </w:t>
      </w:r>
      <w:r w:rsidRPr="00830897">
        <w:rPr>
          <w:rFonts w:cs="Arial" w:hint="cs"/>
          <w:b/>
          <w:bCs/>
          <w:sz w:val="20"/>
          <w:szCs w:val="20"/>
          <w:rtl/>
        </w:rPr>
        <w:t>הרא"ש</w:t>
      </w:r>
      <w:r>
        <w:rPr>
          <w:rFonts w:cs="Arial" w:hint="cs"/>
          <w:sz w:val="20"/>
          <w:szCs w:val="20"/>
          <w:rtl/>
        </w:rPr>
        <w:t xml:space="preserve"> </w:t>
      </w:r>
      <w:r>
        <w:rPr>
          <w:rFonts w:cs="Arial"/>
          <w:sz w:val="20"/>
          <w:szCs w:val="20"/>
          <w:rtl/>
        </w:rPr>
        <w:t>–</w:t>
      </w:r>
      <w:r>
        <w:rPr>
          <w:rFonts w:cs="Arial" w:hint="cs"/>
          <w:sz w:val="20"/>
          <w:szCs w:val="20"/>
          <w:rtl/>
        </w:rPr>
        <w:t xml:space="preserve"> משמע בסוגייה שלא כפירוש זה: "</w:t>
      </w:r>
      <w:r w:rsidRPr="00830897">
        <w:rPr>
          <w:rFonts w:cs="Arial"/>
          <w:sz w:val="20"/>
          <w:szCs w:val="20"/>
          <w:rtl/>
        </w:rPr>
        <w:t>איבעיא להו: אשה מהו שתחוף בלילה ותטבול בלילה?</w:t>
      </w:r>
      <w:r>
        <w:rPr>
          <w:rFonts w:cs="Arial" w:hint="cs"/>
          <w:sz w:val="20"/>
          <w:szCs w:val="20"/>
          <w:rtl/>
        </w:rPr>
        <w:t>" משמע שלכתחילה לא תעשה כך.</w:t>
      </w:r>
    </w:p>
    <w:p w:rsidR="00620060" w:rsidRDefault="00620060" w:rsidP="00620060">
      <w:pPr>
        <w:rPr>
          <w:sz w:val="20"/>
          <w:szCs w:val="20"/>
          <w:rtl/>
        </w:rPr>
      </w:pPr>
      <w:r w:rsidRPr="004261EE">
        <w:rPr>
          <w:rFonts w:hint="cs"/>
          <w:b/>
          <w:bCs/>
          <w:sz w:val="20"/>
          <w:szCs w:val="20"/>
          <w:rtl/>
        </w:rPr>
        <w:t>מנהג הנשים</w:t>
      </w:r>
      <w:r>
        <w:rPr>
          <w:sz w:val="20"/>
          <w:szCs w:val="20"/>
          <w:u w:val="single"/>
          <w:rtl/>
        </w:rPr>
        <w:br/>
      </w:r>
      <w:r w:rsidRPr="0062300C">
        <w:rPr>
          <w:rFonts w:hint="cs"/>
          <w:b/>
          <w:bCs/>
          <w:sz w:val="20"/>
          <w:szCs w:val="20"/>
          <w:rtl/>
        </w:rPr>
        <w:t>תוספות ורא"ש</w:t>
      </w:r>
      <w:r>
        <w:rPr>
          <w:rFonts w:hint="cs"/>
          <w:sz w:val="20"/>
          <w:szCs w:val="20"/>
          <w:rtl/>
        </w:rPr>
        <w:t xml:space="preserve"> </w:t>
      </w:r>
      <w:r>
        <w:rPr>
          <w:sz w:val="20"/>
          <w:szCs w:val="20"/>
          <w:rtl/>
        </w:rPr>
        <w:t>–</w:t>
      </w:r>
      <w:r>
        <w:rPr>
          <w:rFonts w:hint="cs"/>
          <w:sz w:val="20"/>
          <w:szCs w:val="20"/>
          <w:rtl/>
        </w:rPr>
        <w:t xml:space="preserve"> נהגו הנשים להיכנס למרחץ מבעוד יום ולשהות בו עד הלילה, וכ"כ </w:t>
      </w:r>
      <w:r w:rsidRPr="0062300C">
        <w:rPr>
          <w:rFonts w:hint="cs"/>
          <w:b/>
          <w:bCs/>
          <w:sz w:val="20"/>
          <w:szCs w:val="20"/>
          <w:rtl/>
        </w:rPr>
        <w:t>המחבר</w:t>
      </w:r>
      <w:r>
        <w:rPr>
          <w:rFonts w:hint="cs"/>
          <w:sz w:val="20"/>
          <w:szCs w:val="20"/>
          <w:rtl/>
        </w:rPr>
        <w:t>.</w:t>
      </w:r>
      <w:r>
        <w:rPr>
          <w:sz w:val="20"/>
          <w:szCs w:val="20"/>
          <w:rtl/>
        </w:rPr>
        <w:br/>
      </w:r>
      <w:r>
        <w:rPr>
          <w:rFonts w:hint="cs"/>
          <w:sz w:val="20"/>
          <w:szCs w:val="20"/>
          <w:rtl/>
        </w:rPr>
        <w:t>מנהג זה אתי שפיר אף לשאילתות, כיוון שדעתו היא לאסור רק אם יוצאת מהמרחץ בעוד היום גדול, אך בכה"ג ששוהה בבית הטבילה ועוסקת בחפיפה עד הלילה, פשוט שמותר.</w:t>
      </w:r>
      <w:r>
        <w:rPr>
          <w:sz w:val="20"/>
          <w:szCs w:val="20"/>
          <w:rtl/>
        </w:rPr>
        <w:br/>
      </w:r>
      <w:r>
        <w:rPr>
          <w:rFonts w:hint="cs"/>
          <w:sz w:val="20"/>
          <w:szCs w:val="20"/>
          <w:rtl/>
        </w:rPr>
        <w:t xml:space="preserve">עוד נהגו הנשים, שאע"פ שחפפו בביתן לוקחות מסרק לבית הטבילה וסורקות שם, וכ"כ </w:t>
      </w:r>
      <w:r w:rsidRPr="0062300C">
        <w:rPr>
          <w:rFonts w:hint="cs"/>
          <w:b/>
          <w:bCs/>
          <w:sz w:val="20"/>
          <w:szCs w:val="20"/>
          <w:rtl/>
        </w:rPr>
        <w:t>המחבר</w:t>
      </w:r>
      <w:r>
        <w:rPr>
          <w:rFonts w:hint="cs"/>
          <w:sz w:val="20"/>
          <w:szCs w:val="20"/>
          <w:rtl/>
        </w:rPr>
        <w:t>.</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62300C">
        <w:rPr>
          <w:rFonts w:cs="Arial"/>
          <w:sz w:val="20"/>
          <w:szCs w:val="20"/>
          <w:rtl/>
        </w:rPr>
        <w:t>חפיפה צריכה להיות לכתח</w:t>
      </w:r>
      <w:r>
        <w:rPr>
          <w:rFonts w:cs="Arial" w:hint="cs"/>
          <w:sz w:val="20"/>
          <w:szCs w:val="20"/>
          <w:rtl/>
        </w:rPr>
        <w:t>י</w:t>
      </w:r>
      <w:r w:rsidRPr="0062300C">
        <w:rPr>
          <w:rFonts w:cs="Arial"/>
          <w:sz w:val="20"/>
          <w:szCs w:val="20"/>
          <w:rtl/>
        </w:rPr>
        <w:t>לה סמוך לטבילתה. והמנהג הכשר שתתחיל לחוף מבעוד יום ועוסקת בחפיפה עד שתחשך, ואז תטבול. וכן מנהג כשר שאף על פי שחפפה, ת</w:t>
      </w:r>
      <w:r>
        <w:rPr>
          <w:rFonts w:cs="Arial" w:hint="cs"/>
          <w:sz w:val="20"/>
          <w:szCs w:val="20"/>
          <w:rtl/>
        </w:rPr>
        <w:t>י</w:t>
      </w:r>
      <w:r w:rsidRPr="0062300C">
        <w:rPr>
          <w:rFonts w:cs="Arial"/>
          <w:sz w:val="20"/>
          <w:szCs w:val="20"/>
          <w:rtl/>
        </w:rPr>
        <w:t xml:space="preserve">שא עמה מסרק לבית הטבילה ותסרוק שם. </w:t>
      </w:r>
      <w:r w:rsidRPr="0062300C">
        <w:rPr>
          <w:rFonts w:cs="Arial"/>
          <w:sz w:val="18"/>
          <w:szCs w:val="18"/>
          <w:rtl/>
        </w:rPr>
        <w:t>הגה: ובשעת הדחק שצריכה לחוף ביום</w:t>
      </w:r>
      <w:r>
        <w:rPr>
          <w:rStyle w:val="a5"/>
          <w:rFonts w:cs="Arial"/>
          <w:sz w:val="18"/>
          <w:szCs w:val="18"/>
          <w:rtl/>
        </w:rPr>
        <w:footnoteReference w:id="716"/>
      </w:r>
      <w:r w:rsidRPr="0062300C">
        <w:rPr>
          <w:rFonts w:cs="Arial"/>
          <w:sz w:val="18"/>
          <w:szCs w:val="18"/>
          <w:rtl/>
        </w:rPr>
        <w:t>, או שא</w:t>
      </w:r>
      <w:r w:rsidRPr="0062300C">
        <w:rPr>
          <w:rFonts w:cs="Arial" w:hint="cs"/>
          <w:sz w:val="18"/>
          <w:szCs w:val="18"/>
          <w:rtl/>
        </w:rPr>
        <w:t>י אפשר</w:t>
      </w:r>
      <w:r w:rsidRPr="0062300C">
        <w:rPr>
          <w:rFonts w:cs="Arial"/>
          <w:sz w:val="18"/>
          <w:szCs w:val="18"/>
          <w:rtl/>
        </w:rPr>
        <w:t xml:space="preserve"> לה לחוף ביום וצריכה לחוף בלילה, יכולה לעשות. ובלבד שלא תמהר לביתה ותחוף כראוי</w:t>
      </w:r>
      <w:r>
        <w:rPr>
          <w:rFonts w:cs="Arial" w:hint="cs"/>
          <w:sz w:val="20"/>
          <w:szCs w:val="20"/>
          <w:rtl/>
        </w:rPr>
        <w:t>".</w:t>
      </w:r>
      <w:r>
        <w:rPr>
          <w:rStyle w:val="a5"/>
          <w:sz w:val="20"/>
          <w:szCs w:val="20"/>
          <w:rtl/>
        </w:rPr>
        <w:footnoteReference w:id="717"/>
      </w:r>
    </w:p>
    <w:p w:rsidR="00620060" w:rsidRDefault="00620060" w:rsidP="00620060">
      <w:pPr>
        <w:rPr>
          <w:sz w:val="20"/>
          <w:szCs w:val="20"/>
          <w:rtl/>
        </w:rPr>
      </w:pPr>
      <w:r>
        <w:rPr>
          <w:rFonts w:hint="cs"/>
          <w:sz w:val="20"/>
          <w:szCs w:val="20"/>
          <w:u w:val="single"/>
          <w:rtl/>
        </w:rPr>
        <w:t>הכרעת הש"ך</w:t>
      </w:r>
      <w:r>
        <w:rPr>
          <w:sz w:val="20"/>
          <w:szCs w:val="20"/>
          <w:u w:val="single"/>
          <w:rtl/>
        </w:rPr>
        <w:br/>
      </w:r>
      <w:r>
        <w:rPr>
          <w:rFonts w:hint="cs"/>
          <w:sz w:val="20"/>
          <w:szCs w:val="20"/>
          <w:rtl/>
        </w:rPr>
        <w:t xml:space="preserve">העיקר לדינא </w:t>
      </w:r>
      <w:r w:rsidRPr="00F13058">
        <w:rPr>
          <w:rFonts w:hint="cs"/>
          <w:b/>
          <w:bCs/>
          <w:sz w:val="20"/>
          <w:szCs w:val="20"/>
          <w:rtl/>
        </w:rPr>
        <w:t>כרש"י</w:t>
      </w:r>
      <w:r>
        <w:rPr>
          <w:rFonts w:hint="cs"/>
          <w:sz w:val="20"/>
          <w:szCs w:val="20"/>
          <w:rtl/>
        </w:rPr>
        <w:t>, טוב יותר לחפוף ביום ולא בליל הטבילה.</w:t>
      </w:r>
      <w:r>
        <w:rPr>
          <w:sz w:val="20"/>
          <w:szCs w:val="20"/>
          <w:rtl/>
        </w:rPr>
        <w:br/>
      </w:r>
      <w:r>
        <w:rPr>
          <w:rFonts w:hint="cs"/>
          <w:sz w:val="20"/>
          <w:szCs w:val="20"/>
          <w:rtl/>
        </w:rPr>
        <w:t xml:space="preserve">אמנם, כאשר הטבילה היא במוצ"ש או במוצאי יו"ט שחל אחר השבת, תחפוף פעמיים </w:t>
      </w:r>
      <w:r>
        <w:rPr>
          <w:sz w:val="20"/>
          <w:szCs w:val="20"/>
          <w:rtl/>
        </w:rPr>
        <w:t>–</w:t>
      </w:r>
      <w:r>
        <w:rPr>
          <w:rFonts w:hint="cs"/>
          <w:sz w:val="20"/>
          <w:szCs w:val="20"/>
          <w:rtl/>
        </w:rPr>
        <w:t xml:space="preserve"> אחת ביום חול שלפני הטבילה ואחת בליל הטבילה. ואף כאשר יש שני יו"ט לאחר השבת </w:t>
      </w:r>
      <w:r w:rsidRPr="00F13058">
        <w:rPr>
          <w:rFonts w:hint="cs"/>
          <w:sz w:val="18"/>
          <w:szCs w:val="18"/>
          <w:rtl/>
        </w:rPr>
        <w:t xml:space="preserve">(או לפני השבת) </w:t>
      </w:r>
      <w:r>
        <w:rPr>
          <w:rFonts w:hint="cs"/>
          <w:sz w:val="20"/>
          <w:szCs w:val="20"/>
          <w:rtl/>
        </w:rPr>
        <w:t>תחפוף פעמיים כנ"ל, ואע"פ שחפיפת יום חול לא מהני בכה"ג משום שהיא רחוקה מהטבילה ג' ימים, לא פלוג חכמים.</w:t>
      </w:r>
    </w:p>
    <w:p w:rsidR="00620060" w:rsidRPr="0088193B" w:rsidRDefault="00620060" w:rsidP="00620060">
      <w:pPr>
        <w:rPr>
          <w:sz w:val="20"/>
          <w:szCs w:val="20"/>
        </w:rPr>
      </w:pPr>
      <w:r>
        <w:rPr>
          <w:rFonts w:hint="cs"/>
          <w:sz w:val="20"/>
          <w:szCs w:val="20"/>
          <w:u w:val="single"/>
          <w:rtl/>
        </w:rPr>
        <w:t>תקנה לחפוף בלילה (ש"ך)</w:t>
      </w:r>
      <w:r>
        <w:rPr>
          <w:rFonts w:hint="cs"/>
          <w:sz w:val="20"/>
          <w:szCs w:val="20"/>
          <w:u w:val="single"/>
          <w:rtl/>
        </w:rPr>
        <w:br/>
      </w:r>
      <w:r w:rsidRPr="00B53A51">
        <w:rPr>
          <w:rFonts w:hint="cs"/>
          <w:b/>
          <w:bCs/>
          <w:sz w:val="20"/>
          <w:szCs w:val="20"/>
          <w:rtl/>
        </w:rPr>
        <w:t>מהרש"ל</w:t>
      </w:r>
      <w:r>
        <w:rPr>
          <w:rFonts w:hint="cs"/>
          <w:sz w:val="20"/>
          <w:szCs w:val="20"/>
          <w:rtl/>
        </w:rPr>
        <w:t xml:space="preserve"> </w:t>
      </w:r>
      <w:r>
        <w:rPr>
          <w:sz w:val="20"/>
          <w:szCs w:val="20"/>
          <w:rtl/>
        </w:rPr>
        <w:t>–</w:t>
      </w:r>
      <w:r>
        <w:rPr>
          <w:rFonts w:hint="cs"/>
          <w:sz w:val="20"/>
          <w:szCs w:val="20"/>
          <w:rtl/>
        </w:rPr>
        <w:t xml:space="preserve"> תיקנו לחפוף בלילה בלבד, ותעסוק בחפיפה שעה אחת שלא תהיה מהומה לביתה.</w:t>
      </w:r>
      <w:r>
        <w:rPr>
          <w:rStyle w:val="a5"/>
          <w:sz w:val="20"/>
          <w:szCs w:val="20"/>
          <w:rtl/>
        </w:rPr>
        <w:footnoteReference w:id="718"/>
      </w:r>
      <w:r>
        <w:rPr>
          <w:sz w:val="20"/>
          <w:szCs w:val="20"/>
          <w:rtl/>
        </w:rPr>
        <w:br/>
      </w:r>
      <w:r w:rsidRPr="00B53A51">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חששו שאם תחפוף ביום ירגישו בכך שהיא טובלת, והצנועות עלולות להימנע מטבילה.</w:t>
      </w:r>
      <w:r>
        <w:rPr>
          <w:rFonts w:hint="cs"/>
          <w:sz w:val="20"/>
          <w:szCs w:val="20"/>
          <w:rtl/>
        </w:rPr>
        <w:br/>
      </w:r>
      <w:r>
        <w:rPr>
          <w:rFonts w:hint="cs"/>
          <w:sz w:val="20"/>
          <w:szCs w:val="20"/>
          <w:rtl/>
        </w:rPr>
        <w:br/>
      </w:r>
      <w:r>
        <w:rPr>
          <w:rFonts w:hint="cs"/>
          <w:b/>
          <w:bCs/>
          <w:sz w:val="20"/>
          <w:szCs w:val="20"/>
          <w:rtl/>
        </w:rPr>
        <w:t>סיכום</w:t>
      </w:r>
      <w:r>
        <w:rPr>
          <w:b/>
          <w:bCs/>
          <w:sz w:val="20"/>
          <w:szCs w:val="20"/>
          <w:rtl/>
        </w:rPr>
        <w:br/>
      </w:r>
      <w:r>
        <w:rPr>
          <w:rFonts w:hint="cs"/>
          <w:sz w:val="20"/>
          <w:szCs w:val="20"/>
          <w:rtl/>
        </w:rPr>
        <w:t xml:space="preserve">1. </w:t>
      </w:r>
      <w:r w:rsidRPr="00FA75DC">
        <w:rPr>
          <w:rFonts w:hint="cs"/>
          <w:b/>
          <w:bCs/>
          <w:sz w:val="20"/>
          <w:szCs w:val="20"/>
          <w:rtl/>
        </w:rPr>
        <w:t>גמרא</w:t>
      </w:r>
      <w:r>
        <w:rPr>
          <w:rFonts w:hint="cs"/>
          <w:sz w:val="20"/>
          <w:szCs w:val="20"/>
          <w:rtl/>
        </w:rPr>
        <w:t>. הלכה שחופפת ביום והלכה שחופפת בלילה. לא קשיא, הא דאפשר הא דלא אפשר.</w:t>
      </w:r>
      <w:r>
        <w:rPr>
          <w:sz w:val="20"/>
          <w:szCs w:val="20"/>
          <w:rtl/>
        </w:rPr>
        <w:br/>
      </w:r>
      <w:r>
        <w:rPr>
          <w:rFonts w:hint="cs"/>
          <w:sz w:val="20"/>
          <w:szCs w:val="20"/>
          <w:rtl/>
        </w:rPr>
        <w:lastRenderedPageBreak/>
        <w:t xml:space="preserve">2. </w:t>
      </w:r>
      <w:r w:rsidRPr="00FA75DC">
        <w:rPr>
          <w:rFonts w:hint="cs"/>
          <w:b/>
          <w:bCs/>
          <w:sz w:val="20"/>
          <w:szCs w:val="20"/>
          <w:rtl/>
        </w:rPr>
        <w:t>רש"י</w:t>
      </w:r>
      <w:r>
        <w:rPr>
          <w:rFonts w:hint="cs"/>
          <w:sz w:val="20"/>
          <w:szCs w:val="20"/>
          <w:rtl/>
        </w:rPr>
        <w:t xml:space="preserve">. עדיף לחפוף ביום. </w:t>
      </w:r>
      <w:r w:rsidRPr="00FA75DC">
        <w:rPr>
          <w:rFonts w:hint="cs"/>
          <w:b/>
          <w:bCs/>
          <w:sz w:val="20"/>
          <w:szCs w:val="20"/>
          <w:rtl/>
        </w:rPr>
        <w:t>טעם</w:t>
      </w:r>
      <w:r>
        <w:rPr>
          <w:rFonts w:hint="cs"/>
          <w:sz w:val="20"/>
          <w:szCs w:val="20"/>
          <w:rtl/>
        </w:rPr>
        <w:t xml:space="preserve">. בלילה ממהרת לביתה. </w:t>
      </w:r>
      <w:r w:rsidRPr="00FA75DC">
        <w:rPr>
          <w:rFonts w:hint="cs"/>
          <w:b/>
          <w:bCs/>
          <w:sz w:val="20"/>
          <w:szCs w:val="20"/>
          <w:rtl/>
        </w:rPr>
        <w:t>שאילתות</w:t>
      </w:r>
      <w:r>
        <w:rPr>
          <w:rFonts w:hint="cs"/>
          <w:sz w:val="20"/>
          <w:szCs w:val="20"/>
          <w:rtl/>
        </w:rPr>
        <w:t xml:space="preserve"> ורוב הראשונים. תחפוף בלילה, רק כשאין אפשרות תחפוף ביום. </w:t>
      </w:r>
      <w:r w:rsidRPr="005B3786">
        <w:rPr>
          <w:rFonts w:hint="cs"/>
          <w:b/>
          <w:bCs/>
          <w:sz w:val="20"/>
          <w:szCs w:val="20"/>
          <w:rtl/>
        </w:rPr>
        <w:t>טעם</w:t>
      </w:r>
      <w:r>
        <w:rPr>
          <w:rFonts w:hint="cs"/>
          <w:sz w:val="20"/>
          <w:szCs w:val="20"/>
          <w:rtl/>
        </w:rPr>
        <w:t xml:space="preserve">. עדיף להסמיך חפיפה לטבילה. </w:t>
      </w:r>
      <w:r>
        <w:rPr>
          <w:sz w:val="20"/>
          <w:szCs w:val="20"/>
          <w:rtl/>
        </w:rPr>
        <w:br/>
      </w:r>
      <w:r w:rsidRPr="004261EE">
        <w:rPr>
          <w:rFonts w:hint="cs"/>
          <w:sz w:val="18"/>
          <w:szCs w:val="18"/>
          <w:rtl/>
        </w:rPr>
        <w:t xml:space="preserve">(ביאור תירוץ הגמרא. </w:t>
      </w:r>
      <w:r w:rsidRPr="004261EE">
        <w:rPr>
          <w:rFonts w:hint="cs"/>
          <w:b/>
          <w:bCs/>
          <w:sz w:val="18"/>
          <w:szCs w:val="18"/>
          <w:rtl/>
        </w:rPr>
        <w:t>רש"י</w:t>
      </w:r>
      <w:r w:rsidRPr="004261EE">
        <w:rPr>
          <w:rFonts w:hint="cs"/>
          <w:sz w:val="18"/>
          <w:szCs w:val="18"/>
          <w:rtl/>
        </w:rPr>
        <w:t>. אפשר. טבילה בחול, חופפת ביום. א</w:t>
      </w:r>
      <w:r>
        <w:rPr>
          <w:rFonts w:hint="cs"/>
          <w:sz w:val="18"/>
          <w:szCs w:val="18"/>
          <w:rtl/>
        </w:rPr>
        <w:t xml:space="preserve">י </w:t>
      </w:r>
      <w:r w:rsidRPr="004261EE">
        <w:rPr>
          <w:rFonts w:hint="cs"/>
          <w:sz w:val="18"/>
          <w:szCs w:val="18"/>
          <w:rtl/>
        </w:rPr>
        <w:t>א</w:t>
      </w:r>
      <w:r>
        <w:rPr>
          <w:rFonts w:hint="cs"/>
          <w:sz w:val="18"/>
          <w:szCs w:val="18"/>
          <w:rtl/>
        </w:rPr>
        <w:t>פשר</w:t>
      </w:r>
      <w:r w:rsidRPr="004261EE">
        <w:rPr>
          <w:rFonts w:hint="cs"/>
          <w:sz w:val="18"/>
          <w:szCs w:val="18"/>
          <w:rtl/>
        </w:rPr>
        <w:t xml:space="preserve">. טבילה במוצ"ש, חופפת בלילה. </w:t>
      </w:r>
      <w:r>
        <w:rPr>
          <w:b/>
          <w:bCs/>
          <w:sz w:val="18"/>
          <w:szCs w:val="18"/>
          <w:rtl/>
        </w:rPr>
        <w:br/>
      </w:r>
      <w:r w:rsidRPr="004261EE">
        <w:rPr>
          <w:rFonts w:hint="cs"/>
          <w:b/>
          <w:bCs/>
          <w:sz w:val="18"/>
          <w:szCs w:val="18"/>
          <w:rtl/>
        </w:rPr>
        <w:t>שאילתות</w:t>
      </w:r>
      <w:r w:rsidRPr="004261EE">
        <w:rPr>
          <w:rFonts w:hint="cs"/>
          <w:sz w:val="18"/>
          <w:szCs w:val="18"/>
          <w:rtl/>
        </w:rPr>
        <w:t>. אפשר. טבילה בחול, חופפת בלילה. א</w:t>
      </w:r>
      <w:r>
        <w:rPr>
          <w:rFonts w:hint="cs"/>
          <w:sz w:val="18"/>
          <w:szCs w:val="18"/>
          <w:rtl/>
        </w:rPr>
        <w:t xml:space="preserve">י </w:t>
      </w:r>
      <w:r w:rsidRPr="004261EE">
        <w:rPr>
          <w:rFonts w:hint="cs"/>
          <w:sz w:val="18"/>
          <w:szCs w:val="18"/>
          <w:rtl/>
        </w:rPr>
        <w:t>א</w:t>
      </w:r>
      <w:r>
        <w:rPr>
          <w:rFonts w:hint="cs"/>
          <w:sz w:val="18"/>
          <w:szCs w:val="18"/>
          <w:rtl/>
        </w:rPr>
        <w:t>פשר</w:t>
      </w:r>
      <w:r w:rsidRPr="004261EE">
        <w:rPr>
          <w:rFonts w:hint="cs"/>
          <w:sz w:val="18"/>
          <w:szCs w:val="18"/>
          <w:rtl/>
        </w:rPr>
        <w:t>. טבילה בשבת, חופפת ביום).</w:t>
      </w:r>
      <w:r>
        <w:rPr>
          <w:rFonts w:hint="cs"/>
          <w:sz w:val="20"/>
          <w:szCs w:val="20"/>
          <w:rtl/>
        </w:rPr>
        <w:br/>
        <w:t xml:space="preserve">3. מנהג הנשים. חופפות מבעו"י עד הלילה, ומהני לכו"ע, וכ"פ </w:t>
      </w:r>
      <w:r w:rsidRPr="00BC23C3">
        <w:rPr>
          <w:rFonts w:hint="cs"/>
          <w:b/>
          <w:bCs/>
          <w:sz w:val="20"/>
          <w:szCs w:val="20"/>
          <w:rtl/>
        </w:rPr>
        <w:t>המחבר</w:t>
      </w:r>
      <w:r>
        <w:rPr>
          <w:rFonts w:hint="cs"/>
          <w:sz w:val="20"/>
          <w:szCs w:val="20"/>
          <w:rtl/>
        </w:rPr>
        <w:t xml:space="preserve">. </w:t>
      </w:r>
      <w:r w:rsidRPr="00BC23C3">
        <w:rPr>
          <w:rFonts w:hint="cs"/>
          <w:b/>
          <w:bCs/>
          <w:sz w:val="20"/>
          <w:szCs w:val="20"/>
          <w:rtl/>
        </w:rPr>
        <w:t>רמ"א</w:t>
      </w:r>
      <w:r>
        <w:rPr>
          <w:rFonts w:hint="cs"/>
          <w:sz w:val="20"/>
          <w:szCs w:val="20"/>
          <w:rtl/>
        </w:rPr>
        <w:t xml:space="preserve">. בשעת הדחק יכולה לחפוף ביום או בלילה, ובלבד שלא תמהר לביתה ותחפוף כראוי. </w:t>
      </w:r>
      <w:r w:rsidRPr="00BC23C3">
        <w:rPr>
          <w:rFonts w:hint="cs"/>
          <w:b/>
          <w:bCs/>
          <w:sz w:val="20"/>
          <w:szCs w:val="20"/>
          <w:rtl/>
        </w:rPr>
        <w:t>ט"ז</w:t>
      </w:r>
      <w:r>
        <w:rPr>
          <w:rFonts w:hint="cs"/>
          <w:sz w:val="20"/>
          <w:szCs w:val="20"/>
          <w:rtl/>
        </w:rPr>
        <w:t>. צריכה לעיין בגופה סמוך לטבילה.</w:t>
      </w:r>
      <w:r>
        <w:rPr>
          <w:sz w:val="20"/>
          <w:szCs w:val="20"/>
          <w:rtl/>
        </w:rPr>
        <w:br/>
      </w:r>
      <w:r>
        <w:rPr>
          <w:rFonts w:hint="cs"/>
          <w:sz w:val="20"/>
          <w:szCs w:val="20"/>
          <w:rtl/>
        </w:rPr>
        <w:t>4. מנהג נשים נוסף. אע"פ שחפפו בביתן, נוטלות מסרק לבית הטבילה.</w:t>
      </w:r>
      <w:r>
        <w:rPr>
          <w:sz w:val="20"/>
          <w:szCs w:val="20"/>
          <w:rtl/>
        </w:rPr>
        <w:br/>
      </w:r>
      <w:r>
        <w:rPr>
          <w:rFonts w:hint="cs"/>
          <w:sz w:val="20"/>
          <w:szCs w:val="20"/>
          <w:rtl/>
        </w:rPr>
        <w:t xml:space="preserve">5. </w:t>
      </w:r>
      <w:r w:rsidRPr="00BC23C3">
        <w:rPr>
          <w:rFonts w:hint="cs"/>
          <w:b/>
          <w:bCs/>
          <w:sz w:val="20"/>
          <w:szCs w:val="20"/>
          <w:rtl/>
        </w:rPr>
        <w:t>ש"ך</w:t>
      </w:r>
      <w:r>
        <w:rPr>
          <w:rFonts w:hint="cs"/>
          <w:sz w:val="20"/>
          <w:szCs w:val="20"/>
          <w:rtl/>
        </w:rPr>
        <w:t>. העיקר כרש"י שיש לחפוף ביום, ובטבילה שחלה במוצ"ש תחפוף פעמיים, בע"ש ובמוצ"ש.</w:t>
      </w:r>
      <w:r>
        <w:rPr>
          <w:sz w:val="20"/>
          <w:szCs w:val="20"/>
          <w:rtl/>
        </w:rPr>
        <w:br/>
      </w:r>
      <w:r>
        <w:rPr>
          <w:rFonts w:hint="cs"/>
          <w:sz w:val="20"/>
          <w:szCs w:val="20"/>
          <w:rtl/>
        </w:rPr>
        <w:t xml:space="preserve">6. </w:t>
      </w:r>
      <w:r w:rsidRPr="00BC23C3">
        <w:rPr>
          <w:rFonts w:hint="cs"/>
          <w:b/>
          <w:bCs/>
          <w:sz w:val="20"/>
          <w:szCs w:val="20"/>
          <w:rtl/>
        </w:rPr>
        <w:t>מהרש"ל</w:t>
      </w:r>
      <w:r>
        <w:rPr>
          <w:rFonts w:hint="cs"/>
          <w:sz w:val="20"/>
          <w:szCs w:val="20"/>
          <w:rtl/>
        </w:rPr>
        <w:t xml:space="preserve">. תיקנו לחפוף בלילה ותעסוק בכך שעה אחת. </w:t>
      </w:r>
      <w:r w:rsidRPr="00BC23C3">
        <w:rPr>
          <w:rFonts w:hint="cs"/>
          <w:b/>
          <w:bCs/>
          <w:sz w:val="20"/>
          <w:szCs w:val="20"/>
          <w:rtl/>
        </w:rPr>
        <w:t>טעם</w:t>
      </w:r>
      <w:r>
        <w:rPr>
          <w:rFonts w:hint="cs"/>
          <w:sz w:val="20"/>
          <w:szCs w:val="20"/>
          <w:rtl/>
        </w:rPr>
        <w:t>. חששו שאם תחפוף ביום ירגישו בה.</w:t>
      </w:r>
    </w:p>
    <w:p w:rsidR="00620060" w:rsidRDefault="00620060" w:rsidP="00620060">
      <w:pPr>
        <w:spacing w:line="300" w:lineRule="exact"/>
        <w:rPr>
          <w:rFonts w:asciiTheme="minorBidi" w:hAnsiTheme="minorBidi"/>
          <w:b/>
          <w:bCs/>
          <w:sz w:val="20"/>
          <w:szCs w:val="20"/>
          <w:rtl/>
        </w:rPr>
      </w:pPr>
      <w:r w:rsidRPr="0088193B">
        <w:rPr>
          <w:rFonts w:asciiTheme="minorBidi" w:hAnsiTheme="minorBidi"/>
          <w:b/>
          <w:bCs/>
          <w:sz w:val="20"/>
          <w:szCs w:val="20"/>
          <w:rtl/>
        </w:rPr>
        <w:t>הוספות מהפוסקים</w:t>
      </w:r>
      <w:r>
        <w:rPr>
          <w:rFonts w:asciiTheme="minorBidi" w:hAnsiTheme="minorBidi"/>
          <w:b/>
          <w:bCs/>
          <w:sz w:val="20"/>
          <w:szCs w:val="20"/>
          <w:rtl/>
        </w:rPr>
        <w:br/>
      </w:r>
      <w:r w:rsidRPr="0088193B">
        <w:rPr>
          <w:rFonts w:asciiTheme="minorBidi" w:hAnsiTheme="minorBidi"/>
          <w:sz w:val="20"/>
          <w:szCs w:val="20"/>
          <w:rtl/>
        </w:rPr>
        <w:t>חפפה בתחילת הלילה ונדחתה טבילתה לאחר כמה שעות</w:t>
      </w:r>
      <w:r>
        <w:rPr>
          <w:rFonts w:asciiTheme="minorBidi" w:hAnsiTheme="minorBidi" w:hint="cs"/>
          <w:sz w:val="20"/>
          <w:szCs w:val="20"/>
          <w:rtl/>
        </w:rPr>
        <w:t>,</w:t>
      </w:r>
      <w:r>
        <w:rPr>
          <w:rFonts w:asciiTheme="minorBidi" w:hAnsiTheme="minorBidi"/>
          <w:sz w:val="20"/>
          <w:szCs w:val="20"/>
          <w:rtl/>
        </w:rPr>
        <w:t xml:space="preserve"> אי</w:t>
      </w:r>
      <w:r>
        <w:rPr>
          <w:rFonts w:asciiTheme="minorBidi" w:hAnsiTheme="minorBidi" w:hint="cs"/>
          <w:sz w:val="20"/>
          <w:szCs w:val="20"/>
          <w:rtl/>
        </w:rPr>
        <w:t>נה</w:t>
      </w:r>
      <w:r w:rsidRPr="0088193B">
        <w:rPr>
          <w:rFonts w:asciiTheme="minorBidi" w:hAnsiTheme="minorBidi"/>
          <w:sz w:val="20"/>
          <w:szCs w:val="20"/>
          <w:rtl/>
        </w:rPr>
        <w:t xml:space="preserve"> צריכה לחזור ולחוף.</w:t>
      </w:r>
      <w:r>
        <w:rPr>
          <w:rFonts w:asciiTheme="minorBidi" w:hAnsiTheme="minorBidi"/>
          <w:b/>
          <w:bCs/>
          <w:sz w:val="20"/>
          <w:szCs w:val="20"/>
          <w:rtl/>
        </w:rPr>
        <w:br/>
      </w:r>
      <w:r w:rsidRPr="0088193B">
        <w:rPr>
          <w:rFonts w:asciiTheme="minorBidi" w:hAnsiTheme="minorBidi"/>
          <w:sz w:val="20"/>
          <w:szCs w:val="20"/>
          <w:rtl/>
        </w:rPr>
        <w:t>ורבות נוהגות היום לחוף בביתן ביום</w:t>
      </w:r>
      <w:r>
        <w:rPr>
          <w:rFonts w:asciiTheme="minorBidi" w:hAnsiTheme="minorBidi" w:hint="cs"/>
          <w:sz w:val="20"/>
          <w:szCs w:val="20"/>
          <w:rtl/>
        </w:rPr>
        <w:t>,</w:t>
      </w:r>
      <w:r w:rsidRPr="0088193B">
        <w:rPr>
          <w:rFonts w:asciiTheme="minorBidi" w:hAnsiTheme="minorBidi"/>
          <w:sz w:val="20"/>
          <w:szCs w:val="20"/>
          <w:rtl/>
        </w:rPr>
        <w:t xml:space="preserve"> </w:t>
      </w:r>
      <w:r>
        <w:rPr>
          <w:rFonts w:asciiTheme="minorBidi" w:hAnsiTheme="minorBidi" w:hint="cs"/>
          <w:sz w:val="20"/>
          <w:szCs w:val="20"/>
          <w:rtl/>
        </w:rPr>
        <w:t>וטוב עושות</w:t>
      </w:r>
      <w:r w:rsidRPr="0088193B">
        <w:rPr>
          <w:rFonts w:asciiTheme="minorBidi" w:hAnsiTheme="minorBidi"/>
          <w:sz w:val="20"/>
          <w:szCs w:val="20"/>
          <w:rtl/>
        </w:rPr>
        <w:t xml:space="preserve"> כיון ששם נ</w:t>
      </w:r>
      <w:r>
        <w:rPr>
          <w:rFonts w:asciiTheme="minorBidi" w:hAnsiTheme="minorBidi" w:hint="cs"/>
          <w:sz w:val="20"/>
          <w:szCs w:val="20"/>
          <w:rtl/>
        </w:rPr>
        <w:t>וח</w:t>
      </w:r>
      <w:r w:rsidRPr="0088193B">
        <w:rPr>
          <w:rFonts w:asciiTheme="minorBidi" w:hAnsiTheme="minorBidi"/>
          <w:sz w:val="20"/>
          <w:szCs w:val="20"/>
          <w:rtl/>
        </w:rPr>
        <w:t xml:space="preserve"> יותר. ובבית הטבילה תתקלח ותסרוק שער ראשה.</w:t>
      </w:r>
      <w:r>
        <w:rPr>
          <w:rFonts w:asciiTheme="minorBidi" w:hAnsiTheme="minorBidi"/>
          <w:b/>
          <w:bCs/>
          <w:sz w:val="20"/>
          <w:szCs w:val="20"/>
          <w:rtl/>
        </w:rPr>
        <w:br/>
      </w:r>
      <w:r w:rsidRPr="0088193B">
        <w:rPr>
          <w:rFonts w:asciiTheme="minorBidi" w:hAnsiTheme="minorBidi"/>
          <w:sz w:val="20"/>
          <w:szCs w:val="20"/>
          <w:rtl/>
        </w:rPr>
        <w:t xml:space="preserve">בשעת הצורך </w:t>
      </w:r>
      <w:r w:rsidRPr="0088193B">
        <w:rPr>
          <w:rFonts w:asciiTheme="minorBidi" w:hAnsiTheme="minorBidi"/>
          <w:sz w:val="18"/>
          <w:szCs w:val="18"/>
          <w:rtl/>
        </w:rPr>
        <w:t>(כגון שיש ילדים קטנים בבית וכד</w:t>
      </w:r>
      <w:r>
        <w:rPr>
          <w:rFonts w:asciiTheme="minorBidi" w:hAnsiTheme="minorBidi" w:hint="cs"/>
          <w:sz w:val="18"/>
          <w:szCs w:val="18"/>
          <w:rtl/>
        </w:rPr>
        <w:t>ומה</w:t>
      </w:r>
      <w:r w:rsidRPr="0088193B">
        <w:rPr>
          <w:rFonts w:asciiTheme="minorBidi" w:hAnsiTheme="minorBidi"/>
          <w:sz w:val="18"/>
          <w:szCs w:val="18"/>
          <w:rtl/>
        </w:rPr>
        <w:t>)</w:t>
      </w:r>
      <w:r>
        <w:rPr>
          <w:rFonts w:asciiTheme="minorBidi" w:hAnsiTheme="minorBidi" w:hint="cs"/>
          <w:sz w:val="18"/>
          <w:szCs w:val="18"/>
          <w:rtl/>
        </w:rPr>
        <w:t>,</w:t>
      </w:r>
      <w:r w:rsidRPr="0088193B">
        <w:rPr>
          <w:rFonts w:asciiTheme="minorBidi" w:hAnsiTheme="minorBidi"/>
          <w:sz w:val="18"/>
          <w:szCs w:val="18"/>
          <w:rtl/>
        </w:rPr>
        <w:t xml:space="preserve"> </w:t>
      </w:r>
      <w:r w:rsidRPr="0088193B">
        <w:rPr>
          <w:rFonts w:asciiTheme="minorBidi" w:hAnsiTheme="minorBidi"/>
          <w:sz w:val="20"/>
          <w:szCs w:val="20"/>
          <w:rtl/>
        </w:rPr>
        <w:t>ניתן ל</w:t>
      </w:r>
      <w:r>
        <w:rPr>
          <w:rFonts w:asciiTheme="minorBidi" w:hAnsiTheme="minorBidi" w:hint="cs"/>
          <w:sz w:val="20"/>
          <w:szCs w:val="20"/>
          <w:rtl/>
        </w:rPr>
        <w:t>ו</w:t>
      </w:r>
      <w:r w:rsidRPr="0088193B">
        <w:rPr>
          <w:rFonts w:asciiTheme="minorBidi" w:hAnsiTheme="minorBidi"/>
          <w:sz w:val="20"/>
          <w:szCs w:val="20"/>
          <w:rtl/>
        </w:rPr>
        <w:t xml:space="preserve">ותר על "המנהג הכשר" ולעשות הכל בלילה בניחותא. </w:t>
      </w:r>
    </w:p>
    <w:p w:rsidR="00620060" w:rsidRDefault="00620060" w:rsidP="00620060">
      <w:pPr>
        <w:spacing w:line="300" w:lineRule="exact"/>
        <w:rPr>
          <w:rFonts w:asciiTheme="minorBidi" w:hAnsiTheme="minorBidi"/>
          <w:sz w:val="20"/>
          <w:szCs w:val="20"/>
          <w:rtl/>
        </w:rPr>
      </w:pPr>
      <w:r>
        <w:rPr>
          <w:rFonts w:asciiTheme="minorBidi" w:hAnsiTheme="minorBidi"/>
          <w:b/>
          <w:bCs/>
          <w:sz w:val="20"/>
          <w:szCs w:val="20"/>
          <w:rtl/>
        </w:rPr>
        <w:br/>
      </w:r>
      <w:r>
        <w:rPr>
          <w:rFonts w:asciiTheme="minorBidi" w:hAnsiTheme="minorBidi" w:hint="cs"/>
          <w:b/>
          <w:bCs/>
          <w:sz w:val="20"/>
          <w:szCs w:val="20"/>
          <w:rtl/>
        </w:rPr>
        <w:t xml:space="preserve">סעיף ד </w:t>
      </w:r>
      <w:r>
        <w:rPr>
          <w:rFonts w:asciiTheme="minorBidi" w:hAnsiTheme="minorBidi"/>
          <w:b/>
          <w:bCs/>
          <w:sz w:val="20"/>
          <w:szCs w:val="20"/>
          <w:rtl/>
        </w:rPr>
        <w:t>–</w:t>
      </w:r>
      <w:r>
        <w:rPr>
          <w:rFonts w:asciiTheme="minorBidi" w:hAnsiTheme="minorBidi" w:hint="cs"/>
          <w:b/>
          <w:bCs/>
          <w:sz w:val="20"/>
          <w:szCs w:val="20"/>
          <w:rtl/>
        </w:rPr>
        <w:t xml:space="preserve"> טבילה במוצאי שבת</w:t>
      </w:r>
      <w:r>
        <w:rPr>
          <w:rFonts w:asciiTheme="minorBidi" w:hAnsiTheme="minorBidi"/>
          <w:b/>
          <w:bCs/>
          <w:sz w:val="20"/>
          <w:szCs w:val="20"/>
          <w:rtl/>
        </w:rPr>
        <w:br/>
      </w:r>
      <w:r>
        <w:rPr>
          <w:rFonts w:asciiTheme="minorBidi" w:hAnsiTheme="minorBidi" w:hint="cs"/>
          <w:b/>
          <w:bCs/>
          <w:sz w:val="20"/>
          <w:szCs w:val="20"/>
          <w:rtl/>
        </w:rPr>
        <w:t>פסיקת הלכה</w:t>
      </w:r>
      <w:r>
        <w:rPr>
          <w:rFonts w:asciiTheme="minorBidi" w:hAnsiTheme="minorBidi"/>
          <w:b/>
          <w:bCs/>
          <w:sz w:val="20"/>
          <w:szCs w:val="20"/>
          <w:rtl/>
        </w:rPr>
        <w:br/>
      </w:r>
      <w:r>
        <w:rPr>
          <w:rFonts w:asciiTheme="minorBidi" w:hAnsiTheme="minorBidi" w:hint="cs"/>
          <w:b/>
          <w:bCs/>
          <w:sz w:val="20"/>
          <w:szCs w:val="20"/>
          <w:rtl/>
        </w:rPr>
        <w:t xml:space="preserve">שולחן ערוך </w:t>
      </w:r>
      <w:r>
        <w:rPr>
          <w:rFonts w:asciiTheme="minorBidi" w:hAnsiTheme="minorBidi"/>
          <w:sz w:val="20"/>
          <w:szCs w:val="20"/>
          <w:rtl/>
        </w:rPr>
        <w:t>–</w:t>
      </w:r>
      <w:r>
        <w:rPr>
          <w:rFonts w:asciiTheme="minorBidi" w:hAnsiTheme="minorBidi" w:hint="cs"/>
          <w:sz w:val="20"/>
          <w:szCs w:val="20"/>
          <w:rtl/>
        </w:rPr>
        <w:t xml:space="preserve"> "</w:t>
      </w:r>
      <w:r w:rsidRPr="00DF0D2E">
        <w:rPr>
          <w:rFonts w:asciiTheme="minorBidi" w:hAnsiTheme="minorBidi" w:cs="Arial"/>
          <w:sz w:val="20"/>
          <w:szCs w:val="20"/>
          <w:rtl/>
        </w:rPr>
        <w:t>חל טבילתה במוצאי שבת, שא</w:t>
      </w:r>
      <w:r>
        <w:rPr>
          <w:rFonts w:asciiTheme="minorBidi" w:hAnsiTheme="minorBidi" w:cs="Arial" w:hint="cs"/>
          <w:sz w:val="20"/>
          <w:szCs w:val="20"/>
          <w:rtl/>
        </w:rPr>
        <w:t xml:space="preserve">י </w:t>
      </w:r>
      <w:r w:rsidRPr="00DF0D2E">
        <w:rPr>
          <w:rFonts w:asciiTheme="minorBidi" w:hAnsiTheme="minorBidi" w:cs="Arial"/>
          <w:sz w:val="20"/>
          <w:szCs w:val="20"/>
          <w:rtl/>
        </w:rPr>
        <w:t>א</w:t>
      </w:r>
      <w:r>
        <w:rPr>
          <w:rFonts w:asciiTheme="minorBidi" w:hAnsiTheme="minorBidi" w:cs="Arial" w:hint="cs"/>
          <w:sz w:val="20"/>
          <w:szCs w:val="20"/>
          <w:rtl/>
        </w:rPr>
        <w:t>פשר</w:t>
      </w:r>
      <w:r w:rsidRPr="00DF0D2E">
        <w:rPr>
          <w:rFonts w:asciiTheme="minorBidi" w:hAnsiTheme="minorBidi" w:cs="Arial"/>
          <w:sz w:val="20"/>
          <w:szCs w:val="20"/>
          <w:rtl/>
        </w:rPr>
        <w:t xml:space="preserve"> לחוף מבעוד יום, תחוף בליל טבילתה</w:t>
      </w:r>
      <w:r>
        <w:rPr>
          <w:rFonts w:asciiTheme="minorBidi" w:hAnsiTheme="minorBidi" w:cs="Arial" w:hint="cs"/>
          <w:sz w:val="20"/>
          <w:szCs w:val="20"/>
          <w:rtl/>
        </w:rPr>
        <w:t>"</w:t>
      </w:r>
      <w:r w:rsidRPr="00DF0D2E">
        <w:rPr>
          <w:rFonts w:asciiTheme="minorBidi" w:hAnsiTheme="minorBidi" w:cs="Arial"/>
          <w:sz w:val="20"/>
          <w:szCs w:val="20"/>
          <w:rtl/>
        </w:rPr>
        <w:t xml:space="preserve">. </w:t>
      </w:r>
      <w:r>
        <w:rPr>
          <w:rFonts w:asciiTheme="minorBidi" w:hAnsiTheme="minorBidi" w:cs="Arial" w:hint="cs"/>
          <w:sz w:val="20"/>
          <w:szCs w:val="20"/>
          <w:rtl/>
        </w:rPr>
        <w:br/>
      </w:r>
      <w:r w:rsidRPr="00DF0D2E">
        <w:rPr>
          <w:rFonts w:asciiTheme="minorBidi" w:hAnsiTheme="minorBidi" w:cs="Arial" w:hint="cs"/>
          <w:b/>
          <w:bCs/>
          <w:sz w:val="20"/>
          <w:szCs w:val="20"/>
          <w:rtl/>
        </w:rPr>
        <w:t>ובבית יוסף</w:t>
      </w:r>
      <w:r>
        <w:rPr>
          <w:rFonts w:asciiTheme="minorBidi" w:hAnsiTheme="minorBidi" w:cs="Arial" w:hint="cs"/>
          <w:sz w:val="20"/>
          <w:szCs w:val="20"/>
          <w:rtl/>
        </w:rPr>
        <w:t xml:space="preserve"> מבואר שדין זה ע"פ שיטת השאילתות וסיעתו.</w:t>
      </w:r>
      <w:r>
        <w:rPr>
          <w:rFonts w:asciiTheme="minorBidi" w:hAnsiTheme="minorBidi" w:cs="Arial"/>
          <w:sz w:val="20"/>
          <w:szCs w:val="20"/>
          <w:rtl/>
        </w:rPr>
        <w:br/>
      </w:r>
      <w:r>
        <w:rPr>
          <w:rFonts w:asciiTheme="minorBidi" w:hAnsiTheme="minorBidi" w:cs="Arial" w:hint="cs"/>
          <w:sz w:val="20"/>
          <w:szCs w:val="20"/>
          <w:rtl/>
        </w:rPr>
        <w:br/>
        <w:t xml:space="preserve">אמנם, </w:t>
      </w:r>
      <w:r w:rsidRPr="00DF0D2E">
        <w:rPr>
          <w:rFonts w:asciiTheme="minorBidi" w:hAnsiTheme="minorBidi" w:cs="Arial" w:hint="cs"/>
          <w:b/>
          <w:bCs/>
          <w:sz w:val="20"/>
          <w:szCs w:val="20"/>
          <w:rtl/>
        </w:rPr>
        <w:t>הרמ"א</w:t>
      </w:r>
      <w:r>
        <w:rPr>
          <w:rFonts w:asciiTheme="minorBidi" w:hAnsiTheme="minorBidi" w:cs="Arial" w:hint="cs"/>
          <w:sz w:val="20"/>
          <w:szCs w:val="20"/>
          <w:rtl/>
        </w:rPr>
        <w:t xml:space="preserve"> מוסיף שטוב לחוש גם לשיטת רש"י - </w:t>
      </w:r>
      <w:r>
        <w:rPr>
          <w:rFonts w:asciiTheme="minorBidi" w:hAnsiTheme="minorBidi" w:cs="Arial" w:hint="cs"/>
          <w:sz w:val="20"/>
          <w:szCs w:val="20"/>
          <w:rtl/>
        </w:rPr>
        <w:br/>
      </w:r>
      <w:r w:rsidRPr="00DF0D2E">
        <w:rPr>
          <w:rFonts w:asciiTheme="minorBidi" w:hAnsiTheme="minorBidi" w:cs="Arial" w:hint="cs"/>
          <w:sz w:val="18"/>
          <w:szCs w:val="18"/>
          <w:rtl/>
        </w:rPr>
        <w:t>"</w:t>
      </w:r>
      <w:r w:rsidRPr="00DF0D2E">
        <w:rPr>
          <w:rFonts w:asciiTheme="minorBidi" w:hAnsiTheme="minorBidi" w:cs="Arial"/>
          <w:sz w:val="18"/>
          <w:szCs w:val="18"/>
          <w:rtl/>
        </w:rPr>
        <w:t>הגה: ומ</w:t>
      </w:r>
      <w:r w:rsidRPr="00DF0D2E">
        <w:rPr>
          <w:rFonts w:asciiTheme="minorBidi" w:hAnsiTheme="minorBidi" w:cs="Arial" w:hint="cs"/>
          <w:sz w:val="18"/>
          <w:szCs w:val="18"/>
          <w:rtl/>
        </w:rPr>
        <w:t>כל מקום</w:t>
      </w:r>
      <w:r w:rsidRPr="00DF0D2E">
        <w:rPr>
          <w:rFonts w:asciiTheme="minorBidi" w:hAnsiTheme="minorBidi" w:cs="Arial"/>
          <w:sz w:val="18"/>
          <w:szCs w:val="18"/>
          <w:rtl/>
        </w:rPr>
        <w:t xml:space="preserve"> מנהג יפה הוא שתרחץ היטב בערב שבת, ובמוצ</w:t>
      </w:r>
      <w:r w:rsidRPr="00DF0D2E">
        <w:rPr>
          <w:rFonts w:asciiTheme="minorBidi" w:hAnsiTheme="minorBidi" w:cs="Arial" w:hint="cs"/>
          <w:sz w:val="18"/>
          <w:szCs w:val="18"/>
          <w:rtl/>
        </w:rPr>
        <w:t>אי שבת</w:t>
      </w:r>
      <w:r w:rsidRPr="00DF0D2E">
        <w:rPr>
          <w:rFonts w:asciiTheme="minorBidi" w:hAnsiTheme="minorBidi" w:cs="Arial"/>
          <w:sz w:val="18"/>
          <w:szCs w:val="18"/>
          <w:rtl/>
        </w:rPr>
        <w:t xml:space="preserve"> תחזור ותחוף ותסרוק מעט</w:t>
      </w:r>
      <w:r w:rsidRPr="00DF0D2E">
        <w:rPr>
          <w:rFonts w:asciiTheme="minorBidi" w:hAnsiTheme="minorBidi" w:cs="Arial" w:hint="cs"/>
          <w:sz w:val="18"/>
          <w:szCs w:val="18"/>
          <w:rtl/>
        </w:rPr>
        <w:t>".</w:t>
      </w:r>
      <w:r>
        <w:rPr>
          <w:rFonts w:asciiTheme="minorBidi" w:hAnsiTheme="minorBidi" w:hint="cs"/>
          <w:sz w:val="20"/>
          <w:szCs w:val="20"/>
          <w:rtl/>
        </w:rPr>
        <w:br/>
        <w:t xml:space="preserve">ומבאר </w:t>
      </w:r>
      <w:r w:rsidRPr="002F112E">
        <w:rPr>
          <w:rFonts w:asciiTheme="minorBidi" w:hAnsiTheme="minorBidi" w:hint="cs"/>
          <w:b/>
          <w:bCs/>
          <w:sz w:val="20"/>
          <w:szCs w:val="20"/>
          <w:rtl/>
        </w:rPr>
        <w:t>הבית יוסף</w:t>
      </w:r>
      <w:r>
        <w:rPr>
          <w:rFonts w:asciiTheme="minorBidi" w:hAnsiTheme="minorBidi" w:hint="cs"/>
          <w:sz w:val="20"/>
          <w:szCs w:val="20"/>
          <w:rtl/>
        </w:rPr>
        <w:t xml:space="preserve"> </w:t>
      </w:r>
      <w:r>
        <w:rPr>
          <w:rFonts w:asciiTheme="minorBidi" w:hAnsiTheme="minorBidi"/>
          <w:sz w:val="20"/>
          <w:szCs w:val="20"/>
          <w:rtl/>
        </w:rPr>
        <w:t>–</w:t>
      </w:r>
      <w:r>
        <w:rPr>
          <w:rFonts w:asciiTheme="minorBidi" w:hAnsiTheme="minorBidi" w:hint="cs"/>
          <w:sz w:val="20"/>
          <w:szCs w:val="20"/>
          <w:rtl/>
        </w:rPr>
        <w:t xml:space="preserve"> אפילו לשיטת רש"י שבשעת הדחק יכולה לסמוך על חפיפת לילה, מכל מקום מנהג יפה הוא לתקן כל מה שאפשר ולחפוף גם ביום.</w:t>
      </w:r>
      <w:r>
        <w:rPr>
          <w:rFonts w:asciiTheme="minorBidi" w:hAnsiTheme="minorBidi"/>
          <w:sz w:val="20"/>
          <w:szCs w:val="20"/>
          <w:rtl/>
        </w:rPr>
        <w:br/>
      </w:r>
      <w:r w:rsidRPr="002F112E">
        <w:rPr>
          <w:rFonts w:asciiTheme="minorBidi" w:hAnsiTheme="minorBidi" w:hint="cs"/>
          <w:b/>
          <w:bCs/>
          <w:sz w:val="20"/>
          <w:szCs w:val="20"/>
          <w:rtl/>
        </w:rPr>
        <w:t>ט"ז</w:t>
      </w:r>
      <w:r>
        <w:rPr>
          <w:rFonts w:asciiTheme="minorBidi" w:hAnsiTheme="minorBidi" w:hint="cs"/>
          <w:sz w:val="20"/>
          <w:szCs w:val="20"/>
          <w:rtl/>
        </w:rPr>
        <w:t xml:space="preserve"> </w:t>
      </w:r>
      <w:r>
        <w:rPr>
          <w:rFonts w:asciiTheme="minorBidi" w:hAnsiTheme="minorBidi"/>
          <w:sz w:val="20"/>
          <w:szCs w:val="20"/>
          <w:rtl/>
        </w:rPr>
        <w:t>–</w:t>
      </w:r>
      <w:r>
        <w:rPr>
          <w:rFonts w:asciiTheme="minorBidi" w:hAnsiTheme="minorBidi" w:hint="cs"/>
          <w:sz w:val="20"/>
          <w:szCs w:val="20"/>
          <w:rtl/>
        </w:rPr>
        <w:t xml:space="preserve"> אף לשיטת השאילתות סגי בחפיפה מועטה של מוצ"ש, כיוון שראוי לצרף אותה לחפיפת ערב שבת. </w:t>
      </w:r>
    </w:p>
    <w:p w:rsidR="00620060" w:rsidRPr="009756EC" w:rsidRDefault="00620060" w:rsidP="00620060">
      <w:pPr>
        <w:spacing w:line="300" w:lineRule="exact"/>
        <w:rPr>
          <w:rFonts w:asciiTheme="minorBidi" w:hAnsiTheme="minorBidi"/>
          <w:sz w:val="20"/>
          <w:szCs w:val="20"/>
          <w:rtl/>
        </w:rPr>
      </w:pPr>
      <w:r>
        <w:rPr>
          <w:rFonts w:asciiTheme="minorBidi" w:hAnsiTheme="minorBidi" w:hint="cs"/>
          <w:sz w:val="20"/>
          <w:szCs w:val="20"/>
          <w:u w:val="single"/>
          <w:rtl/>
        </w:rPr>
        <w:t>הלכה למעשה</w:t>
      </w:r>
      <w:r>
        <w:rPr>
          <w:rFonts w:asciiTheme="minorBidi" w:hAnsiTheme="minorBidi"/>
          <w:sz w:val="20"/>
          <w:szCs w:val="20"/>
          <w:u w:val="single"/>
          <w:rtl/>
        </w:rPr>
        <w:br/>
      </w:r>
      <w:r w:rsidRPr="009756EC">
        <w:rPr>
          <w:rFonts w:asciiTheme="minorBidi" w:hAnsiTheme="minorBidi" w:hint="cs"/>
          <w:b/>
          <w:bCs/>
          <w:sz w:val="20"/>
          <w:szCs w:val="20"/>
          <w:rtl/>
        </w:rPr>
        <w:t>דרכי טהרה</w:t>
      </w:r>
      <w:r>
        <w:rPr>
          <w:rFonts w:asciiTheme="minorBidi" w:hAnsiTheme="minorBidi" w:hint="cs"/>
          <w:sz w:val="20"/>
          <w:szCs w:val="20"/>
          <w:rtl/>
        </w:rPr>
        <w:t xml:space="preserve"> </w:t>
      </w:r>
      <w:r>
        <w:rPr>
          <w:rFonts w:asciiTheme="minorBidi" w:hAnsiTheme="minorBidi"/>
          <w:sz w:val="20"/>
          <w:szCs w:val="20"/>
          <w:rtl/>
        </w:rPr>
        <w:t>–</w:t>
      </w:r>
      <w:r>
        <w:rPr>
          <w:rFonts w:asciiTheme="minorBidi" w:hAnsiTheme="minorBidi" w:hint="cs"/>
          <w:sz w:val="20"/>
          <w:szCs w:val="20"/>
          <w:rtl/>
        </w:rPr>
        <w:t xml:space="preserve"> המנהג שכתב הרמ"א אינו חיוב, ולכן כל אשה תחפוף באופן הטוב ביותר עבורה.</w:t>
      </w:r>
    </w:p>
    <w:p w:rsidR="00620060" w:rsidRDefault="00620060" w:rsidP="00620060">
      <w:pPr>
        <w:spacing w:line="300" w:lineRule="exact"/>
        <w:rPr>
          <w:rFonts w:asciiTheme="minorBidi" w:hAnsiTheme="minorBidi"/>
          <w:sz w:val="20"/>
          <w:szCs w:val="20"/>
          <w:rtl/>
        </w:rPr>
      </w:pPr>
      <w:r>
        <w:rPr>
          <w:rFonts w:asciiTheme="minorBidi" w:hAnsiTheme="minorBidi"/>
          <w:sz w:val="20"/>
          <w:szCs w:val="20"/>
          <w:rtl/>
        </w:rPr>
        <w:br/>
      </w:r>
      <w:r>
        <w:rPr>
          <w:rFonts w:asciiTheme="minorBidi" w:hAnsiTheme="minorBidi" w:hint="cs"/>
          <w:b/>
          <w:bCs/>
          <w:sz w:val="20"/>
          <w:szCs w:val="20"/>
          <w:rtl/>
        </w:rPr>
        <w:t xml:space="preserve">סעיף ה </w:t>
      </w:r>
      <w:r>
        <w:rPr>
          <w:rFonts w:asciiTheme="minorBidi" w:hAnsiTheme="minorBidi"/>
          <w:b/>
          <w:bCs/>
          <w:sz w:val="20"/>
          <w:szCs w:val="20"/>
          <w:rtl/>
        </w:rPr>
        <w:t>–</w:t>
      </w:r>
      <w:r>
        <w:rPr>
          <w:rFonts w:asciiTheme="minorBidi" w:hAnsiTheme="minorBidi" w:hint="cs"/>
          <w:b/>
          <w:bCs/>
          <w:sz w:val="20"/>
          <w:szCs w:val="20"/>
          <w:rtl/>
        </w:rPr>
        <w:t xml:space="preserve"> טבילה בליל שבת</w:t>
      </w:r>
      <w:r>
        <w:rPr>
          <w:rFonts w:asciiTheme="minorBidi" w:hAnsiTheme="minorBidi"/>
          <w:b/>
          <w:bCs/>
          <w:sz w:val="20"/>
          <w:szCs w:val="20"/>
          <w:rtl/>
        </w:rPr>
        <w:br/>
      </w:r>
      <w:r>
        <w:rPr>
          <w:rFonts w:asciiTheme="minorBidi" w:hAnsiTheme="minorBidi" w:hint="cs"/>
          <w:b/>
          <w:bCs/>
          <w:sz w:val="20"/>
          <w:szCs w:val="20"/>
          <w:rtl/>
        </w:rPr>
        <w:t>פסיקת הלכה</w:t>
      </w:r>
      <w:r>
        <w:rPr>
          <w:rFonts w:asciiTheme="minorBidi" w:hAnsiTheme="minorBidi"/>
          <w:b/>
          <w:bCs/>
          <w:sz w:val="20"/>
          <w:szCs w:val="20"/>
          <w:rtl/>
        </w:rPr>
        <w:br/>
      </w:r>
      <w:r>
        <w:rPr>
          <w:rFonts w:asciiTheme="minorBidi" w:hAnsiTheme="minorBidi" w:hint="cs"/>
          <w:b/>
          <w:bCs/>
          <w:sz w:val="20"/>
          <w:szCs w:val="20"/>
          <w:rtl/>
        </w:rPr>
        <w:t xml:space="preserve">שולחן ערוך </w:t>
      </w:r>
      <w:r>
        <w:rPr>
          <w:rFonts w:asciiTheme="minorBidi" w:hAnsiTheme="minorBidi"/>
          <w:sz w:val="20"/>
          <w:szCs w:val="20"/>
          <w:rtl/>
        </w:rPr>
        <w:t>–</w:t>
      </w:r>
      <w:r>
        <w:rPr>
          <w:rFonts w:asciiTheme="minorBidi" w:hAnsiTheme="minorBidi" w:hint="cs"/>
          <w:sz w:val="20"/>
          <w:szCs w:val="20"/>
          <w:rtl/>
        </w:rPr>
        <w:t xml:space="preserve"> "</w:t>
      </w:r>
      <w:r w:rsidRPr="000526FB">
        <w:rPr>
          <w:rFonts w:asciiTheme="minorBidi" w:hAnsiTheme="minorBidi" w:cs="Arial"/>
          <w:sz w:val="20"/>
          <w:szCs w:val="20"/>
          <w:rtl/>
        </w:rPr>
        <w:t>נזדמ</w:t>
      </w:r>
      <w:r>
        <w:rPr>
          <w:rFonts w:asciiTheme="minorBidi" w:hAnsiTheme="minorBidi" w:cs="Arial"/>
          <w:sz w:val="20"/>
          <w:szCs w:val="20"/>
          <w:rtl/>
        </w:rPr>
        <w:t>נה לה טבילה בליל שבת, תחוף ביום</w:t>
      </w:r>
      <w:r>
        <w:rPr>
          <w:rFonts w:asciiTheme="minorBidi" w:hAnsiTheme="minorBidi" w:cs="Arial" w:hint="cs"/>
          <w:sz w:val="20"/>
          <w:szCs w:val="20"/>
          <w:rtl/>
        </w:rPr>
        <w:t>".</w:t>
      </w:r>
      <w:r>
        <w:rPr>
          <w:rStyle w:val="a5"/>
          <w:rFonts w:asciiTheme="minorBidi" w:hAnsiTheme="minorBidi" w:cs="Arial"/>
          <w:sz w:val="20"/>
          <w:szCs w:val="20"/>
          <w:rtl/>
        </w:rPr>
        <w:footnoteReference w:id="719"/>
      </w:r>
      <w:r>
        <w:rPr>
          <w:rFonts w:asciiTheme="minorBidi" w:hAnsiTheme="minorBidi" w:cs="Arial"/>
          <w:sz w:val="20"/>
          <w:szCs w:val="20"/>
          <w:rtl/>
        </w:rPr>
        <w:br/>
      </w:r>
      <w:r w:rsidRPr="000526FB">
        <w:rPr>
          <w:rFonts w:asciiTheme="minorBidi" w:hAnsiTheme="minorBidi" w:cs="Arial" w:hint="cs"/>
          <w:b/>
          <w:bCs/>
          <w:sz w:val="20"/>
          <w:szCs w:val="20"/>
          <w:rtl/>
        </w:rPr>
        <w:t>ט"ז</w:t>
      </w:r>
      <w:r>
        <w:rPr>
          <w:rFonts w:asciiTheme="minorBidi" w:hAnsiTheme="minorBidi" w:cs="Arial" w:hint="cs"/>
          <w:sz w:val="20"/>
          <w:szCs w:val="20"/>
          <w:rtl/>
        </w:rPr>
        <w:t xml:space="preserve"> </w:t>
      </w:r>
      <w:r>
        <w:rPr>
          <w:rFonts w:asciiTheme="minorBidi" w:hAnsiTheme="minorBidi" w:cs="Arial"/>
          <w:sz w:val="20"/>
          <w:szCs w:val="20"/>
          <w:rtl/>
        </w:rPr>
        <w:t>–</w:t>
      </w:r>
      <w:r>
        <w:rPr>
          <w:rFonts w:asciiTheme="minorBidi" w:hAnsiTheme="minorBidi" w:cs="Arial" w:hint="cs"/>
          <w:sz w:val="20"/>
          <w:szCs w:val="20"/>
          <w:rtl/>
        </w:rPr>
        <w:t xml:space="preserve"> יש לה להיזהר מלעסוק בדברים מלכלכים בין החפיפה לטבילה, כמבואר בסעיף הבא.</w:t>
      </w:r>
      <w:r>
        <w:rPr>
          <w:rFonts w:asciiTheme="minorBidi" w:hAnsiTheme="minorBidi" w:hint="cs"/>
          <w:sz w:val="20"/>
          <w:szCs w:val="20"/>
          <w:rtl/>
        </w:rPr>
        <w:br/>
      </w:r>
      <w:r>
        <w:rPr>
          <w:rFonts w:asciiTheme="minorBidi" w:hAnsiTheme="minorBidi" w:hint="cs"/>
          <w:sz w:val="20"/>
          <w:szCs w:val="20"/>
          <w:rtl/>
        </w:rPr>
        <w:br/>
      </w:r>
      <w:r>
        <w:rPr>
          <w:rFonts w:asciiTheme="minorBidi" w:hAnsiTheme="minorBidi" w:hint="cs"/>
          <w:b/>
          <w:bCs/>
          <w:sz w:val="20"/>
          <w:szCs w:val="20"/>
          <w:rtl/>
        </w:rPr>
        <w:t>סיכום</w:t>
      </w:r>
      <w:r>
        <w:rPr>
          <w:rFonts w:asciiTheme="minorBidi" w:hAnsiTheme="minorBidi"/>
          <w:b/>
          <w:bCs/>
          <w:sz w:val="20"/>
          <w:szCs w:val="20"/>
          <w:rtl/>
        </w:rPr>
        <w:br/>
      </w:r>
      <w:r>
        <w:rPr>
          <w:rFonts w:asciiTheme="minorBidi" w:hAnsiTheme="minorBidi" w:hint="cs"/>
          <w:sz w:val="20"/>
          <w:szCs w:val="20"/>
          <w:rtl/>
        </w:rPr>
        <w:t xml:space="preserve">1. טבילה במוצ"ש. </w:t>
      </w:r>
      <w:r w:rsidRPr="00D44BFD">
        <w:rPr>
          <w:rFonts w:asciiTheme="minorBidi" w:hAnsiTheme="minorBidi" w:hint="cs"/>
          <w:b/>
          <w:bCs/>
          <w:sz w:val="20"/>
          <w:szCs w:val="20"/>
          <w:rtl/>
        </w:rPr>
        <w:t>מחבר</w:t>
      </w:r>
      <w:r>
        <w:rPr>
          <w:rFonts w:asciiTheme="minorBidi" w:hAnsiTheme="minorBidi" w:hint="cs"/>
          <w:sz w:val="20"/>
          <w:szCs w:val="20"/>
          <w:rtl/>
        </w:rPr>
        <w:t xml:space="preserve">. חופפת בלילה, </w:t>
      </w:r>
      <w:r w:rsidRPr="00D44BFD">
        <w:rPr>
          <w:rFonts w:asciiTheme="minorBidi" w:hAnsiTheme="minorBidi" w:hint="cs"/>
          <w:b/>
          <w:bCs/>
          <w:sz w:val="20"/>
          <w:szCs w:val="20"/>
          <w:rtl/>
        </w:rPr>
        <w:t>כשאילתות</w:t>
      </w:r>
      <w:r>
        <w:rPr>
          <w:rFonts w:asciiTheme="minorBidi" w:hAnsiTheme="minorBidi" w:hint="cs"/>
          <w:sz w:val="20"/>
          <w:szCs w:val="20"/>
          <w:rtl/>
        </w:rPr>
        <w:t>.</w:t>
      </w:r>
      <w:r>
        <w:rPr>
          <w:rFonts w:asciiTheme="minorBidi" w:hAnsiTheme="minorBidi"/>
          <w:sz w:val="20"/>
          <w:szCs w:val="20"/>
          <w:rtl/>
        </w:rPr>
        <w:br/>
      </w:r>
      <w:r>
        <w:rPr>
          <w:rFonts w:asciiTheme="minorBidi" w:hAnsiTheme="minorBidi" w:hint="cs"/>
          <w:sz w:val="20"/>
          <w:szCs w:val="20"/>
          <w:rtl/>
        </w:rPr>
        <w:t xml:space="preserve">2. </w:t>
      </w:r>
      <w:r w:rsidRPr="00D44BFD">
        <w:rPr>
          <w:rFonts w:asciiTheme="minorBidi" w:hAnsiTheme="minorBidi" w:hint="cs"/>
          <w:b/>
          <w:bCs/>
          <w:sz w:val="20"/>
          <w:szCs w:val="20"/>
          <w:rtl/>
        </w:rPr>
        <w:t>רמ"א</w:t>
      </w:r>
      <w:r>
        <w:rPr>
          <w:rFonts w:asciiTheme="minorBidi" w:hAnsiTheme="minorBidi" w:hint="cs"/>
          <w:sz w:val="20"/>
          <w:szCs w:val="20"/>
          <w:rtl/>
        </w:rPr>
        <w:t xml:space="preserve">. תחפוף היטב בע"ש ומעט במוצ"ש, לחשוש </w:t>
      </w:r>
      <w:r w:rsidRPr="00D44BFD">
        <w:rPr>
          <w:rFonts w:asciiTheme="minorBidi" w:hAnsiTheme="minorBidi" w:hint="cs"/>
          <w:b/>
          <w:bCs/>
          <w:sz w:val="20"/>
          <w:szCs w:val="20"/>
          <w:rtl/>
        </w:rPr>
        <w:t>לרש"י</w:t>
      </w:r>
      <w:r>
        <w:rPr>
          <w:rFonts w:asciiTheme="minorBidi" w:hAnsiTheme="minorBidi" w:hint="cs"/>
          <w:sz w:val="20"/>
          <w:szCs w:val="20"/>
          <w:rtl/>
        </w:rPr>
        <w:t xml:space="preserve">. </w:t>
      </w:r>
      <w:r w:rsidRPr="00B86657">
        <w:rPr>
          <w:rFonts w:asciiTheme="minorBidi" w:hAnsiTheme="minorBidi" w:hint="cs"/>
          <w:sz w:val="18"/>
          <w:szCs w:val="18"/>
          <w:rtl/>
        </w:rPr>
        <w:t>(וזה מנהג יפה בלבד, מעיקה"ד סגי בחפיפת לילה).</w:t>
      </w:r>
      <w:r>
        <w:rPr>
          <w:rFonts w:asciiTheme="minorBidi" w:hAnsiTheme="minorBidi"/>
          <w:sz w:val="20"/>
          <w:szCs w:val="20"/>
          <w:rtl/>
        </w:rPr>
        <w:br/>
      </w:r>
      <w:r>
        <w:rPr>
          <w:rFonts w:asciiTheme="minorBidi" w:hAnsiTheme="minorBidi" w:hint="cs"/>
          <w:sz w:val="20"/>
          <w:szCs w:val="20"/>
          <w:rtl/>
        </w:rPr>
        <w:t xml:space="preserve">3. </w:t>
      </w:r>
      <w:r w:rsidRPr="00D44BFD">
        <w:rPr>
          <w:rFonts w:asciiTheme="minorBidi" w:hAnsiTheme="minorBidi" w:hint="cs"/>
          <w:b/>
          <w:bCs/>
          <w:sz w:val="20"/>
          <w:szCs w:val="20"/>
          <w:rtl/>
        </w:rPr>
        <w:t>ט"ז</w:t>
      </w:r>
      <w:r>
        <w:rPr>
          <w:rFonts w:asciiTheme="minorBidi" w:hAnsiTheme="minorBidi" w:hint="cs"/>
          <w:sz w:val="20"/>
          <w:szCs w:val="20"/>
          <w:rtl/>
        </w:rPr>
        <w:t xml:space="preserve">. עצת </w:t>
      </w:r>
      <w:r w:rsidRPr="00D44BFD">
        <w:rPr>
          <w:rFonts w:asciiTheme="minorBidi" w:hAnsiTheme="minorBidi" w:hint="cs"/>
          <w:b/>
          <w:bCs/>
          <w:sz w:val="20"/>
          <w:szCs w:val="20"/>
          <w:rtl/>
        </w:rPr>
        <w:t>הרמ"א</w:t>
      </w:r>
      <w:r>
        <w:rPr>
          <w:rFonts w:asciiTheme="minorBidi" w:hAnsiTheme="minorBidi" w:hint="cs"/>
          <w:sz w:val="20"/>
          <w:szCs w:val="20"/>
          <w:rtl/>
        </w:rPr>
        <w:t xml:space="preserve"> מהני גם </w:t>
      </w:r>
      <w:r w:rsidRPr="00D44BFD">
        <w:rPr>
          <w:rFonts w:asciiTheme="minorBidi" w:hAnsiTheme="minorBidi" w:hint="cs"/>
          <w:b/>
          <w:bCs/>
          <w:sz w:val="20"/>
          <w:szCs w:val="20"/>
          <w:rtl/>
        </w:rPr>
        <w:t>לשאילתות</w:t>
      </w:r>
      <w:r>
        <w:rPr>
          <w:rFonts w:asciiTheme="minorBidi" w:hAnsiTheme="minorBidi" w:hint="cs"/>
          <w:sz w:val="20"/>
          <w:szCs w:val="20"/>
          <w:rtl/>
        </w:rPr>
        <w:t xml:space="preserve"> </w:t>
      </w:r>
      <w:r w:rsidRPr="00B86657">
        <w:rPr>
          <w:rFonts w:asciiTheme="minorBidi" w:hAnsiTheme="minorBidi" w:hint="cs"/>
          <w:sz w:val="18"/>
          <w:szCs w:val="18"/>
          <w:rtl/>
        </w:rPr>
        <w:t>(חפיפת ע"ש מצטרפת לחפיפת מוצ"ש)</w:t>
      </w:r>
      <w:r>
        <w:rPr>
          <w:rFonts w:asciiTheme="minorBidi" w:hAnsiTheme="minorBidi" w:hint="cs"/>
          <w:sz w:val="20"/>
          <w:szCs w:val="20"/>
          <w:rtl/>
        </w:rPr>
        <w:t>.</w:t>
      </w:r>
      <w:r>
        <w:rPr>
          <w:rFonts w:asciiTheme="minorBidi" w:hAnsiTheme="minorBidi"/>
          <w:sz w:val="20"/>
          <w:szCs w:val="20"/>
          <w:rtl/>
        </w:rPr>
        <w:br/>
      </w:r>
      <w:r>
        <w:rPr>
          <w:rFonts w:asciiTheme="minorBidi" w:hAnsiTheme="minorBidi" w:hint="cs"/>
          <w:sz w:val="20"/>
          <w:szCs w:val="20"/>
          <w:rtl/>
        </w:rPr>
        <w:t xml:space="preserve">4. </w:t>
      </w:r>
      <w:r w:rsidRPr="00F72187">
        <w:rPr>
          <w:rFonts w:asciiTheme="minorBidi" w:hAnsiTheme="minorBidi" w:hint="cs"/>
          <w:b/>
          <w:bCs/>
          <w:sz w:val="20"/>
          <w:szCs w:val="20"/>
          <w:rtl/>
        </w:rPr>
        <w:t>ש"ך</w:t>
      </w:r>
      <w:r>
        <w:rPr>
          <w:rFonts w:asciiTheme="minorBidi" w:hAnsiTheme="minorBidi" w:hint="cs"/>
          <w:sz w:val="20"/>
          <w:szCs w:val="20"/>
          <w:rtl/>
        </w:rPr>
        <w:t xml:space="preserve">. עיקר החפיפה היא חפיפת יום שישי, דלא </w:t>
      </w:r>
      <w:r w:rsidRPr="00F72187">
        <w:rPr>
          <w:rFonts w:asciiTheme="minorBidi" w:hAnsiTheme="minorBidi" w:hint="cs"/>
          <w:b/>
          <w:bCs/>
          <w:sz w:val="20"/>
          <w:szCs w:val="20"/>
          <w:rtl/>
        </w:rPr>
        <w:t>כרמ"א</w:t>
      </w:r>
      <w:r>
        <w:rPr>
          <w:rFonts w:asciiTheme="minorBidi" w:hAnsiTheme="minorBidi" w:hint="cs"/>
          <w:sz w:val="20"/>
          <w:szCs w:val="20"/>
          <w:rtl/>
        </w:rPr>
        <w:t xml:space="preserve"> שכתב שזה מנהג יפה בלבד.</w:t>
      </w:r>
      <w:r>
        <w:rPr>
          <w:rFonts w:asciiTheme="minorBidi" w:hAnsiTheme="minorBidi"/>
          <w:sz w:val="20"/>
          <w:szCs w:val="20"/>
          <w:rtl/>
        </w:rPr>
        <w:br/>
      </w:r>
      <w:r>
        <w:rPr>
          <w:rFonts w:asciiTheme="minorBidi" w:hAnsiTheme="minorBidi" w:hint="cs"/>
          <w:sz w:val="20"/>
          <w:szCs w:val="20"/>
          <w:rtl/>
        </w:rPr>
        <w:t xml:space="preserve">5. </w:t>
      </w:r>
      <w:r w:rsidRPr="009756EC">
        <w:rPr>
          <w:rFonts w:asciiTheme="minorBidi" w:hAnsiTheme="minorBidi" w:hint="cs"/>
          <w:b/>
          <w:bCs/>
          <w:sz w:val="20"/>
          <w:szCs w:val="20"/>
          <w:rtl/>
        </w:rPr>
        <w:t>דרכ"ט</w:t>
      </w:r>
      <w:r>
        <w:rPr>
          <w:rFonts w:asciiTheme="minorBidi" w:hAnsiTheme="minorBidi" w:hint="cs"/>
          <w:sz w:val="20"/>
          <w:szCs w:val="20"/>
          <w:rtl/>
        </w:rPr>
        <w:t>. כל אשה תחפוף בצורה הטובה ביותר עבורה.</w:t>
      </w:r>
      <w:r>
        <w:rPr>
          <w:rFonts w:asciiTheme="minorBidi" w:hAnsiTheme="minorBidi"/>
          <w:sz w:val="20"/>
          <w:szCs w:val="20"/>
          <w:rtl/>
        </w:rPr>
        <w:br/>
      </w:r>
      <w:r>
        <w:rPr>
          <w:rFonts w:asciiTheme="minorBidi" w:hAnsiTheme="minorBidi" w:hint="cs"/>
          <w:sz w:val="20"/>
          <w:szCs w:val="20"/>
          <w:rtl/>
        </w:rPr>
        <w:t xml:space="preserve">6. </w:t>
      </w:r>
      <w:r w:rsidRPr="000526FB">
        <w:rPr>
          <w:rFonts w:asciiTheme="minorBidi" w:hAnsiTheme="minorBidi" w:hint="cs"/>
          <w:b/>
          <w:bCs/>
          <w:sz w:val="20"/>
          <w:szCs w:val="20"/>
          <w:rtl/>
        </w:rPr>
        <w:t>מחבר</w:t>
      </w:r>
      <w:r>
        <w:rPr>
          <w:rFonts w:asciiTheme="minorBidi" w:hAnsiTheme="minorBidi" w:hint="cs"/>
          <w:sz w:val="20"/>
          <w:szCs w:val="20"/>
          <w:rtl/>
        </w:rPr>
        <w:t xml:space="preserve">. אשה הטובלת בליל שבת תחפוף ביום. </w:t>
      </w:r>
      <w:r w:rsidRPr="000526FB">
        <w:rPr>
          <w:rFonts w:asciiTheme="minorBidi" w:hAnsiTheme="minorBidi" w:hint="cs"/>
          <w:b/>
          <w:bCs/>
          <w:sz w:val="20"/>
          <w:szCs w:val="20"/>
          <w:rtl/>
        </w:rPr>
        <w:t>ט"ז</w:t>
      </w:r>
      <w:r>
        <w:rPr>
          <w:rFonts w:asciiTheme="minorBidi" w:hAnsiTheme="minorBidi" w:hint="cs"/>
          <w:sz w:val="20"/>
          <w:szCs w:val="20"/>
          <w:rtl/>
        </w:rPr>
        <w:t>. תיזהר מלעסוק בדברים מלכלכים בין החפיפה לטבילה.</w:t>
      </w:r>
    </w:p>
    <w:p w:rsidR="00620060" w:rsidRDefault="00620060" w:rsidP="00620060">
      <w:pPr>
        <w:spacing w:line="300" w:lineRule="exact"/>
        <w:rPr>
          <w:rFonts w:asciiTheme="minorBidi" w:hAnsiTheme="minorBidi"/>
          <w:sz w:val="20"/>
          <w:szCs w:val="20"/>
          <w:rtl/>
        </w:rPr>
      </w:pPr>
      <w:r>
        <w:rPr>
          <w:rFonts w:asciiTheme="minorBidi" w:hAnsiTheme="minorBidi"/>
          <w:sz w:val="20"/>
          <w:szCs w:val="20"/>
          <w:rtl/>
        </w:rPr>
        <w:lastRenderedPageBreak/>
        <w:br/>
      </w:r>
      <w:r>
        <w:rPr>
          <w:rFonts w:asciiTheme="minorBidi" w:hAnsiTheme="minorBidi" w:hint="cs"/>
          <w:b/>
          <w:bCs/>
          <w:sz w:val="20"/>
          <w:szCs w:val="20"/>
          <w:rtl/>
        </w:rPr>
        <w:t xml:space="preserve">סעיף ו </w:t>
      </w:r>
      <w:r>
        <w:rPr>
          <w:rFonts w:asciiTheme="minorBidi" w:hAnsiTheme="minorBidi"/>
          <w:b/>
          <w:bCs/>
          <w:sz w:val="20"/>
          <w:szCs w:val="20"/>
          <w:rtl/>
        </w:rPr>
        <w:t>–</w:t>
      </w:r>
      <w:r>
        <w:rPr>
          <w:rFonts w:asciiTheme="minorBidi" w:hAnsiTheme="minorBidi" w:hint="cs"/>
          <w:b/>
          <w:bCs/>
          <w:sz w:val="20"/>
          <w:szCs w:val="20"/>
          <w:rtl/>
        </w:rPr>
        <w:t xml:space="preserve"> הרחקת חפיפה מטבילה</w:t>
      </w:r>
      <w:r>
        <w:rPr>
          <w:rFonts w:asciiTheme="minorBidi" w:hAnsiTheme="minorBidi"/>
          <w:b/>
          <w:bCs/>
          <w:sz w:val="20"/>
          <w:szCs w:val="20"/>
          <w:rtl/>
        </w:rPr>
        <w:br/>
      </w:r>
      <w:r>
        <w:rPr>
          <w:rFonts w:asciiTheme="minorBidi" w:hAnsiTheme="minorBidi" w:hint="cs"/>
          <w:b/>
          <w:bCs/>
          <w:sz w:val="20"/>
          <w:szCs w:val="20"/>
          <w:rtl/>
        </w:rPr>
        <w:t>מקורות הדין</w:t>
      </w:r>
      <w:r>
        <w:rPr>
          <w:rFonts w:asciiTheme="minorBidi" w:hAnsiTheme="minorBidi"/>
          <w:b/>
          <w:bCs/>
          <w:sz w:val="20"/>
          <w:szCs w:val="20"/>
          <w:rtl/>
        </w:rPr>
        <w:br/>
      </w:r>
      <w:r>
        <w:rPr>
          <w:rFonts w:asciiTheme="minorBidi" w:hAnsiTheme="minorBidi" w:hint="cs"/>
          <w:sz w:val="20"/>
          <w:szCs w:val="20"/>
          <w:rtl/>
        </w:rPr>
        <w:t xml:space="preserve">א. </w:t>
      </w:r>
      <w:r>
        <w:rPr>
          <w:rFonts w:asciiTheme="minorBidi" w:hAnsiTheme="minorBidi" w:hint="cs"/>
          <w:b/>
          <w:bCs/>
          <w:sz w:val="20"/>
          <w:szCs w:val="20"/>
          <w:rtl/>
        </w:rPr>
        <w:t xml:space="preserve">גמרא </w:t>
      </w:r>
      <w:r>
        <w:rPr>
          <w:rFonts w:asciiTheme="minorBidi" w:hAnsiTheme="minorBidi" w:hint="cs"/>
          <w:sz w:val="20"/>
          <w:szCs w:val="20"/>
          <w:rtl/>
        </w:rPr>
        <w:t>נידה (סז:) "</w:t>
      </w:r>
      <w:r>
        <w:rPr>
          <w:rFonts w:asciiTheme="minorBidi" w:hAnsiTheme="minorBidi" w:cs="Arial" w:hint="cs"/>
          <w:sz w:val="20"/>
          <w:szCs w:val="20"/>
          <w:vertAlign w:val="superscript"/>
          <w:rtl/>
        </w:rPr>
        <w:t>1</w:t>
      </w:r>
      <w:r w:rsidRPr="00E36B36">
        <w:rPr>
          <w:rFonts w:asciiTheme="minorBidi" w:hAnsiTheme="minorBidi" w:cs="Arial"/>
          <w:sz w:val="20"/>
          <w:szCs w:val="20"/>
          <w:rtl/>
        </w:rPr>
        <w:t>אמר רב הונא: אשה חופפת באחד בשבת וטובלת בשלישי</w:t>
      </w:r>
      <w:r>
        <w:rPr>
          <w:rFonts w:asciiTheme="minorBidi" w:hAnsiTheme="minorBidi" w:cs="Arial" w:hint="cs"/>
          <w:sz w:val="20"/>
          <w:szCs w:val="20"/>
          <w:rtl/>
        </w:rPr>
        <w:t xml:space="preserve"> </w:t>
      </w:r>
      <w:r w:rsidRPr="00E36B36">
        <w:rPr>
          <w:rFonts w:asciiTheme="minorBidi" w:hAnsiTheme="minorBidi" w:cs="Arial" w:hint="cs"/>
          <w:sz w:val="18"/>
          <w:szCs w:val="18"/>
          <w:rtl/>
        </w:rPr>
        <w:t>(ליל ג')</w:t>
      </w:r>
      <w:r w:rsidRPr="00E36B36">
        <w:rPr>
          <w:rFonts w:asciiTheme="minorBidi" w:hAnsiTheme="minorBidi" w:cs="Arial"/>
          <w:sz w:val="18"/>
          <w:szCs w:val="18"/>
          <w:rtl/>
        </w:rPr>
        <w:t xml:space="preserve"> </w:t>
      </w:r>
      <w:r w:rsidRPr="00E36B36">
        <w:rPr>
          <w:rFonts w:asciiTheme="minorBidi" w:hAnsiTheme="minorBidi" w:cs="Arial"/>
          <w:sz w:val="20"/>
          <w:szCs w:val="20"/>
          <w:rtl/>
        </w:rPr>
        <w:t xml:space="preserve">בשבת - שכן אשה חופפת בערב שבת וטובלת במוצאי שבת. אשה חופפת באחד בשבת וטובלת ברביעי </w:t>
      </w:r>
      <w:r w:rsidRPr="002A6DAD">
        <w:rPr>
          <w:rFonts w:asciiTheme="minorBidi" w:hAnsiTheme="minorBidi" w:cs="Arial" w:hint="cs"/>
          <w:sz w:val="18"/>
          <w:szCs w:val="18"/>
          <w:rtl/>
        </w:rPr>
        <w:t xml:space="preserve">(ליל ד') </w:t>
      </w:r>
      <w:r w:rsidRPr="00E36B36">
        <w:rPr>
          <w:rFonts w:asciiTheme="minorBidi" w:hAnsiTheme="minorBidi" w:cs="Arial"/>
          <w:sz w:val="20"/>
          <w:szCs w:val="20"/>
          <w:rtl/>
        </w:rPr>
        <w:t>בשבת - שכן אשה חופפת בערב שבת וטובלת במוצאי יום טוב שחל להיות אחר השבת. אשה חופפת באחד בשבת וטובלת בחמישי</w:t>
      </w:r>
      <w:r>
        <w:rPr>
          <w:rFonts w:asciiTheme="minorBidi" w:hAnsiTheme="minorBidi" w:cs="Arial" w:hint="cs"/>
          <w:sz w:val="20"/>
          <w:szCs w:val="20"/>
          <w:rtl/>
        </w:rPr>
        <w:t xml:space="preserve"> </w:t>
      </w:r>
      <w:r w:rsidRPr="002A6DAD">
        <w:rPr>
          <w:rFonts w:asciiTheme="minorBidi" w:hAnsiTheme="minorBidi" w:cs="Arial" w:hint="cs"/>
          <w:sz w:val="18"/>
          <w:szCs w:val="18"/>
          <w:rtl/>
        </w:rPr>
        <w:t>(ליל ה')</w:t>
      </w:r>
      <w:r w:rsidRPr="002A6DAD">
        <w:rPr>
          <w:rFonts w:asciiTheme="minorBidi" w:hAnsiTheme="minorBidi" w:cs="Arial"/>
          <w:sz w:val="18"/>
          <w:szCs w:val="18"/>
          <w:rtl/>
        </w:rPr>
        <w:t xml:space="preserve"> </w:t>
      </w:r>
      <w:r w:rsidRPr="00E36B36">
        <w:rPr>
          <w:rFonts w:asciiTheme="minorBidi" w:hAnsiTheme="minorBidi" w:cs="Arial"/>
          <w:sz w:val="20"/>
          <w:szCs w:val="20"/>
          <w:rtl/>
        </w:rPr>
        <w:t xml:space="preserve">בשבת - שכן אשה חופפת בערב שבת וטובלת במוצאי שני ימים טובים של ראש השנה שחל להיות אחר השבת. </w:t>
      </w:r>
      <w:r>
        <w:rPr>
          <w:rFonts w:asciiTheme="minorBidi" w:hAnsiTheme="minorBidi" w:cs="Arial" w:hint="cs"/>
          <w:sz w:val="20"/>
          <w:szCs w:val="20"/>
          <w:rtl/>
        </w:rPr>
        <w:br/>
      </w:r>
      <w:r>
        <w:rPr>
          <w:rFonts w:asciiTheme="minorBidi" w:hAnsiTheme="minorBidi" w:cs="Arial" w:hint="cs"/>
          <w:sz w:val="20"/>
          <w:szCs w:val="20"/>
          <w:vertAlign w:val="superscript"/>
          <w:rtl/>
        </w:rPr>
        <w:t>2</w:t>
      </w:r>
      <w:r w:rsidRPr="00E36B36">
        <w:rPr>
          <w:rFonts w:asciiTheme="minorBidi" w:hAnsiTheme="minorBidi" w:cs="Arial"/>
          <w:sz w:val="20"/>
          <w:szCs w:val="20"/>
          <w:rtl/>
        </w:rPr>
        <w:t xml:space="preserve">ורב חסדא אמר: כולהו - אמרינן, שכן - לא אמרינן, היכא דאפשר - אפשר, היכא דלא אפשר - לא אפשר. </w:t>
      </w:r>
      <w:r>
        <w:rPr>
          <w:rFonts w:asciiTheme="minorBidi" w:hAnsiTheme="minorBidi" w:cs="Arial" w:hint="cs"/>
          <w:sz w:val="20"/>
          <w:szCs w:val="20"/>
          <w:rtl/>
        </w:rPr>
        <w:br/>
      </w:r>
      <w:r>
        <w:rPr>
          <w:rFonts w:asciiTheme="minorBidi" w:hAnsiTheme="minorBidi" w:cs="Arial" w:hint="cs"/>
          <w:sz w:val="20"/>
          <w:szCs w:val="20"/>
          <w:vertAlign w:val="superscript"/>
          <w:rtl/>
        </w:rPr>
        <w:t>3</w:t>
      </w:r>
      <w:r w:rsidRPr="00E36B36">
        <w:rPr>
          <w:rFonts w:asciiTheme="minorBidi" w:hAnsiTheme="minorBidi" w:cs="Arial"/>
          <w:sz w:val="20"/>
          <w:szCs w:val="20"/>
          <w:rtl/>
        </w:rPr>
        <w:t xml:space="preserve">ורב יימר אמר: אפילו שכן - נמי אמרינן, לבר מאשה חופפת באחד בשבת וטובלת בחמישי בשבת, דלמוצאי שני ימים טובים של ראש השנה שלאחר השבת ליתא, דאפשר דחופפת בלילה וטובלת בלילה. </w:t>
      </w:r>
      <w:r>
        <w:rPr>
          <w:rFonts w:asciiTheme="minorBidi" w:hAnsiTheme="minorBidi" w:cs="Arial" w:hint="cs"/>
          <w:sz w:val="20"/>
          <w:szCs w:val="20"/>
          <w:rtl/>
        </w:rPr>
        <w:br/>
      </w:r>
      <w:r>
        <w:rPr>
          <w:rFonts w:asciiTheme="minorBidi" w:hAnsiTheme="minorBidi" w:cs="Arial" w:hint="cs"/>
          <w:sz w:val="20"/>
          <w:szCs w:val="20"/>
          <w:vertAlign w:val="superscript"/>
          <w:rtl/>
        </w:rPr>
        <w:t>4</w:t>
      </w:r>
      <w:r w:rsidRPr="00E36B36">
        <w:rPr>
          <w:rFonts w:asciiTheme="minorBidi" w:hAnsiTheme="minorBidi" w:cs="Arial"/>
          <w:sz w:val="20"/>
          <w:szCs w:val="20"/>
          <w:rtl/>
        </w:rPr>
        <w:t xml:space="preserve">דרש מרימר: </w:t>
      </w:r>
      <w:r>
        <w:rPr>
          <w:rFonts w:asciiTheme="minorBidi" w:hAnsiTheme="minorBidi" w:cs="Arial"/>
          <w:sz w:val="20"/>
          <w:szCs w:val="20"/>
          <w:rtl/>
        </w:rPr>
        <w:t>הלכתא כרב חסדא, וכדמתרץ רב יימר</w:t>
      </w:r>
      <w:r>
        <w:rPr>
          <w:rFonts w:asciiTheme="minorBidi" w:hAnsiTheme="minorBidi" w:cs="Arial" w:hint="cs"/>
          <w:sz w:val="20"/>
          <w:szCs w:val="20"/>
          <w:rtl/>
        </w:rPr>
        <w:t>".</w:t>
      </w:r>
    </w:p>
    <w:p w:rsidR="00620060" w:rsidRDefault="00620060" w:rsidP="00620060">
      <w:pPr>
        <w:spacing w:line="300" w:lineRule="exact"/>
        <w:rPr>
          <w:rFonts w:asciiTheme="minorBidi" w:hAnsiTheme="minorBidi"/>
          <w:sz w:val="20"/>
          <w:szCs w:val="20"/>
          <w:rtl/>
        </w:rPr>
      </w:pPr>
      <w:r w:rsidRPr="00DE6885">
        <w:rPr>
          <w:rFonts w:asciiTheme="minorBidi" w:hAnsiTheme="minorBidi" w:hint="cs"/>
          <w:b/>
          <w:bCs/>
          <w:sz w:val="20"/>
          <w:szCs w:val="20"/>
          <w:rtl/>
        </w:rPr>
        <w:t>הסבר</w:t>
      </w:r>
      <w:r>
        <w:rPr>
          <w:rFonts w:asciiTheme="minorBidi" w:hAnsiTheme="minorBidi" w:hint="cs"/>
          <w:sz w:val="20"/>
          <w:szCs w:val="20"/>
          <w:rtl/>
        </w:rPr>
        <w:t xml:space="preserve">  </w:t>
      </w:r>
      <w:r>
        <w:rPr>
          <w:rFonts w:asciiTheme="minorBidi" w:hAnsiTheme="minorBidi"/>
          <w:sz w:val="20"/>
          <w:szCs w:val="20"/>
          <w:rtl/>
        </w:rPr>
        <w:br/>
      </w:r>
      <w:r>
        <w:rPr>
          <w:rFonts w:asciiTheme="minorBidi" w:hAnsiTheme="minorBidi" w:hint="cs"/>
          <w:sz w:val="20"/>
          <w:szCs w:val="20"/>
          <w:rtl/>
        </w:rPr>
        <w:t>למעשה, הלכה כרב חסדא שאין אומרים את סברת 'שכן' ולא ניתן להרחיק חפיפה מטבילה ביום חול.</w:t>
      </w:r>
      <w:r>
        <w:rPr>
          <w:rFonts w:asciiTheme="minorBidi" w:hAnsiTheme="minorBidi"/>
          <w:sz w:val="20"/>
          <w:szCs w:val="20"/>
          <w:rtl/>
        </w:rPr>
        <w:br/>
      </w:r>
      <w:r>
        <w:rPr>
          <w:rFonts w:asciiTheme="minorBidi" w:hAnsiTheme="minorBidi" w:hint="cs"/>
          <w:sz w:val="20"/>
          <w:szCs w:val="20"/>
          <w:rtl/>
        </w:rPr>
        <w:t>ואמנם, במקום שהדבר הכרחי, כגון כשטבילתה חלה במוצ"ש ניתן להרחיק את החפיפה מהטבילה ביום אחד. והוא הדין להרחקת שני ימים, כגון שטבילתה ביו"ט שאחרי שבת, שחופפת בערב שבת, יומיים לפני טבילתה.</w:t>
      </w:r>
      <w:r>
        <w:rPr>
          <w:rFonts w:asciiTheme="minorBidi" w:hAnsiTheme="minorBidi"/>
          <w:sz w:val="20"/>
          <w:szCs w:val="20"/>
          <w:rtl/>
        </w:rPr>
        <w:br/>
      </w:r>
      <w:r>
        <w:rPr>
          <w:rFonts w:asciiTheme="minorBidi" w:hAnsiTheme="minorBidi" w:hint="cs"/>
          <w:sz w:val="20"/>
          <w:szCs w:val="20"/>
          <w:rtl/>
        </w:rPr>
        <w:t>ברם, הלכה גם כרב יימר בכך שאין להרחיק חפיפה מטבילה שלושה ימים, ולכן אם חלו שני יו"ט של ר"ה ביום א' וב', אינה טובלת על סמך חפיפת ערב שבת אלא חופפת במוצאי יו"ט.</w:t>
      </w:r>
    </w:p>
    <w:p w:rsidR="00620060" w:rsidRPr="00E36B36" w:rsidRDefault="00620060" w:rsidP="00620060">
      <w:pPr>
        <w:spacing w:line="300" w:lineRule="exact"/>
        <w:rPr>
          <w:rFonts w:asciiTheme="minorBidi" w:hAnsiTheme="minorBidi"/>
          <w:sz w:val="20"/>
          <w:szCs w:val="20"/>
          <w:rtl/>
        </w:rPr>
      </w:pPr>
      <w:r>
        <w:rPr>
          <w:rFonts w:asciiTheme="minorBidi" w:hAnsiTheme="minorBidi" w:hint="cs"/>
          <w:sz w:val="20"/>
          <w:szCs w:val="20"/>
          <w:rtl/>
        </w:rPr>
        <w:t xml:space="preserve">ב. </w:t>
      </w:r>
      <w:r w:rsidRPr="00DE6885">
        <w:rPr>
          <w:rFonts w:asciiTheme="minorBidi" w:hAnsiTheme="minorBidi" w:hint="cs"/>
          <w:b/>
          <w:bCs/>
          <w:sz w:val="20"/>
          <w:szCs w:val="20"/>
          <w:rtl/>
        </w:rPr>
        <w:t>גמרא</w:t>
      </w:r>
      <w:r>
        <w:rPr>
          <w:rFonts w:asciiTheme="minorBidi" w:hAnsiTheme="minorBidi" w:hint="cs"/>
          <w:sz w:val="20"/>
          <w:szCs w:val="20"/>
          <w:rtl/>
        </w:rPr>
        <w:t xml:space="preserve"> נדה (סח.) "</w:t>
      </w:r>
      <w:r w:rsidRPr="00E36B36">
        <w:rPr>
          <w:rFonts w:asciiTheme="minorBidi" w:hAnsiTheme="minorBidi" w:cs="Arial"/>
          <w:sz w:val="20"/>
          <w:szCs w:val="20"/>
          <w:rtl/>
        </w:rPr>
        <w:t xml:space="preserve">והלכתא: אשה חופפת ביום וטובלת בלילה. והלכתא: אשה לא תחוף אלא בלילה. </w:t>
      </w:r>
      <w:r>
        <w:rPr>
          <w:rFonts w:asciiTheme="minorBidi" w:hAnsiTheme="minorBidi" w:cs="Arial" w:hint="cs"/>
          <w:sz w:val="20"/>
          <w:szCs w:val="20"/>
          <w:rtl/>
        </w:rPr>
        <w:br/>
      </w:r>
      <w:r w:rsidRPr="00E36B36">
        <w:rPr>
          <w:rFonts w:asciiTheme="minorBidi" w:hAnsiTheme="minorBidi" w:cs="Arial"/>
          <w:sz w:val="20"/>
          <w:szCs w:val="20"/>
          <w:rtl/>
        </w:rPr>
        <w:t>קשיא הלכתא אהלכתא! לא קשיא, הא - דאפשר, הא - דלא אפשר</w:t>
      </w:r>
      <w:r>
        <w:rPr>
          <w:rFonts w:asciiTheme="minorBidi" w:hAnsiTheme="minorBidi" w:cs="Arial" w:hint="cs"/>
          <w:sz w:val="20"/>
          <w:szCs w:val="20"/>
          <w:rtl/>
        </w:rPr>
        <w:t>"</w:t>
      </w:r>
      <w:r w:rsidRPr="00E36B36">
        <w:rPr>
          <w:rFonts w:asciiTheme="minorBidi" w:hAnsiTheme="minorBidi" w:cs="Arial"/>
          <w:sz w:val="20"/>
          <w:szCs w:val="20"/>
          <w:rtl/>
        </w:rPr>
        <w:t>.</w:t>
      </w:r>
      <w:r>
        <w:rPr>
          <w:rFonts w:asciiTheme="minorBidi" w:hAnsiTheme="minorBidi" w:cs="Arial" w:hint="cs"/>
          <w:sz w:val="20"/>
          <w:szCs w:val="20"/>
          <w:rtl/>
        </w:rPr>
        <w:br/>
      </w:r>
      <w:r>
        <w:rPr>
          <w:rFonts w:asciiTheme="minorBidi" w:hAnsiTheme="minorBidi" w:cs="Arial" w:hint="cs"/>
          <w:sz w:val="20"/>
          <w:szCs w:val="20"/>
          <w:rtl/>
        </w:rPr>
        <w:br/>
      </w:r>
      <w:r w:rsidRPr="00DE6885">
        <w:rPr>
          <w:rFonts w:asciiTheme="minorBidi" w:hAnsiTheme="minorBidi" w:cs="Arial" w:hint="cs"/>
          <w:b/>
          <w:bCs/>
          <w:sz w:val="20"/>
          <w:szCs w:val="20"/>
          <w:rtl/>
        </w:rPr>
        <w:t>הסבר</w:t>
      </w:r>
      <w:r>
        <w:rPr>
          <w:rFonts w:asciiTheme="minorBidi" w:hAnsiTheme="minorBidi" w:cs="Arial" w:hint="cs"/>
          <w:sz w:val="20"/>
          <w:szCs w:val="20"/>
          <w:rtl/>
        </w:rPr>
        <w:t xml:space="preserve"> </w:t>
      </w:r>
      <w:r>
        <w:rPr>
          <w:rFonts w:asciiTheme="minorBidi" w:hAnsiTheme="minorBidi" w:cs="Arial"/>
          <w:sz w:val="20"/>
          <w:szCs w:val="20"/>
          <w:rtl/>
        </w:rPr>
        <w:br/>
      </w:r>
      <w:r>
        <w:rPr>
          <w:rFonts w:asciiTheme="minorBidi" w:hAnsiTheme="minorBidi" w:cs="Arial" w:hint="cs"/>
          <w:sz w:val="20"/>
          <w:szCs w:val="20"/>
          <w:rtl/>
        </w:rPr>
        <w:t>כאמור לעיל נחלקו הראשונים בביאור פסק ההלכה בסוגייה -</w:t>
      </w:r>
      <w:r>
        <w:rPr>
          <w:rFonts w:asciiTheme="minorBidi" w:hAnsiTheme="minorBidi" w:cs="Arial" w:hint="cs"/>
          <w:sz w:val="20"/>
          <w:szCs w:val="20"/>
          <w:rtl/>
        </w:rPr>
        <w:br/>
      </w:r>
      <w:r w:rsidRPr="00DE6885">
        <w:rPr>
          <w:rFonts w:asciiTheme="minorBidi" w:hAnsiTheme="minorBidi" w:cs="Arial" w:hint="cs"/>
          <w:b/>
          <w:bCs/>
          <w:sz w:val="20"/>
          <w:szCs w:val="20"/>
          <w:rtl/>
        </w:rPr>
        <w:t>רש"י</w:t>
      </w:r>
      <w:r>
        <w:rPr>
          <w:rFonts w:asciiTheme="minorBidi" w:hAnsiTheme="minorBidi" w:cs="Arial" w:hint="cs"/>
          <w:sz w:val="20"/>
          <w:szCs w:val="20"/>
          <w:rtl/>
        </w:rPr>
        <w:t xml:space="preserve"> </w:t>
      </w:r>
      <w:r>
        <w:rPr>
          <w:rFonts w:asciiTheme="minorBidi" w:hAnsiTheme="minorBidi" w:cs="Arial"/>
          <w:sz w:val="20"/>
          <w:szCs w:val="20"/>
          <w:rtl/>
        </w:rPr>
        <w:t>–</w:t>
      </w:r>
      <w:r>
        <w:rPr>
          <w:rFonts w:asciiTheme="minorBidi" w:hAnsiTheme="minorBidi" w:cs="Arial" w:hint="cs"/>
          <w:sz w:val="20"/>
          <w:szCs w:val="20"/>
          <w:rtl/>
        </w:rPr>
        <w:t xml:space="preserve"> בטבילת יום חול </w:t>
      </w:r>
      <w:r w:rsidRPr="000B1B9F">
        <w:rPr>
          <w:rFonts w:asciiTheme="minorBidi" w:hAnsiTheme="minorBidi" w:cs="Arial" w:hint="cs"/>
          <w:sz w:val="18"/>
          <w:szCs w:val="18"/>
          <w:rtl/>
        </w:rPr>
        <w:t>(</w:t>
      </w:r>
      <w:r>
        <w:rPr>
          <w:rFonts w:asciiTheme="minorBidi" w:hAnsiTheme="minorBidi" w:cs="Arial" w:hint="cs"/>
          <w:sz w:val="18"/>
          <w:szCs w:val="18"/>
          <w:rtl/>
        </w:rPr>
        <w:t>"</w:t>
      </w:r>
      <w:r w:rsidRPr="000B1B9F">
        <w:rPr>
          <w:rFonts w:asciiTheme="minorBidi" w:hAnsiTheme="minorBidi" w:cs="Arial" w:hint="cs"/>
          <w:sz w:val="18"/>
          <w:szCs w:val="18"/>
          <w:rtl/>
        </w:rPr>
        <w:t>אפשר</w:t>
      </w:r>
      <w:r>
        <w:rPr>
          <w:rFonts w:asciiTheme="minorBidi" w:hAnsiTheme="minorBidi" w:cs="Arial" w:hint="cs"/>
          <w:sz w:val="18"/>
          <w:szCs w:val="18"/>
          <w:rtl/>
        </w:rPr>
        <w:t>"</w:t>
      </w:r>
      <w:r w:rsidRPr="000B1B9F">
        <w:rPr>
          <w:rFonts w:asciiTheme="minorBidi" w:hAnsiTheme="minorBidi" w:cs="Arial" w:hint="cs"/>
          <w:sz w:val="18"/>
          <w:szCs w:val="18"/>
          <w:rtl/>
        </w:rPr>
        <w:t xml:space="preserve">) </w:t>
      </w:r>
      <w:r>
        <w:rPr>
          <w:rFonts w:asciiTheme="minorBidi" w:hAnsiTheme="minorBidi" w:cs="Arial" w:hint="cs"/>
          <w:sz w:val="20"/>
          <w:szCs w:val="20"/>
          <w:rtl/>
        </w:rPr>
        <w:t>תחפוף ביום, אך בטבילת מוצ"ש או מוצאי יו"ט תחפוף בליל טבילתה.</w:t>
      </w:r>
      <w:r>
        <w:rPr>
          <w:rFonts w:asciiTheme="minorBidi" w:hAnsiTheme="minorBidi" w:cs="Arial"/>
          <w:sz w:val="20"/>
          <w:szCs w:val="20"/>
          <w:rtl/>
        </w:rPr>
        <w:br/>
      </w:r>
      <w:r w:rsidRPr="00DE6885">
        <w:rPr>
          <w:rFonts w:asciiTheme="minorBidi" w:hAnsiTheme="minorBidi" w:cs="Arial" w:hint="cs"/>
          <w:b/>
          <w:bCs/>
          <w:sz w:val="20"/>
          <w:szCs w:val="20"/>
          <w:rtl/>
        </w:rPr>
        <w:t>שאילתות</w:t>
      </w:r>
      <w:r>
        <w:rPr>
          <w:rFonts w:asciiTheme="minorBidi" w:hAnsiTheme="minorBidi" w:cs="Arial" w:hint="cs"/>
          <w:sz w:val="20"/>
          <w:szCs w:val="20"/>
          <w:rtl/>
        </w:rPr>
        <w:t xml:space="preserve"> </w:t>
      </w:r>
      <w:r>
        <w:rPr>
          <w:rFonts w:asciiTheme="minorBidi" w:hAnsiTheme="minorBidi" w:cs="Arial"/>
          <w:sz w:val="20"/>
          <w:szCs w:val="20"/>
          <w:rtl/>
        </w:rPr>
        <w:t>–</w:t>
      </w:r>
      <w:r>
        <w:rPr>
          <w:rFonts w:asciiTheme="minorBidi" w:hAnsiTheme="minorBidi" w:cs="Arial" w:hint="cs"/>
          <w:sz w:val="20"/>
          <w:szCs w:val="20"/>
          <w:rtl/>
        </w:rPr>
        <w:t xml:space="preserve"> </w:t>
      </w:r>
      <w:r>
        <w:rPr>
          <w:rFonts w:asciiTheme="minorBidi" w:hAnsiTheme="minorBidi" w:hint="cs"/>
          <w:sz w:val="20"/>
          <w:szCs w:val="20"/>
          <w:rtl/>
        </w:rPr>
        <w:t>בטבילת יום חול תחפוף בלילה, בטבילת ליל שבת או יו"ט תחפוף ביום שישי / ערב חג.</w:t>
      </w:r>
    </w:p>
    <w:p w:rsidR="00620060" w:rsidRDefault="00620060" w:rsidP="00620060">
      <w:pPr>
        <w:spacing w:line="300" w:lineRule="exact"/>
        <w:rPr>
          <w:rFonts w:asciiTheme="minorBidi" w:hAnsiTheme="minorBidi"/>
          <w:sz w:val="20"/>
          <w:szCs w:val="20"/>
          <w:rtl/>
        </w:rPr>
      </w:pPr>
      <w:r w:rsidRPr="007556B5">
        <w:rPr>
          <w:rStyle w:val="10"/>
          <w:rFonts w:hint="cs"/>
          <w:rtl/>
        </w:rPr>
        <w:t>א.</w:t>
      </w:r>
      <w:r w:rsidRPr="007556B5">
        <w:rPr>
          <w:rFonts w:asciiTheme="minorBidi" w:hAnsiTheme="minorBidi" w:hint="cs"/>
          <w:b/>
          <w:bCs/>
          <w:sz w:val="16"/>
          <w:szCs w:val="16"/>
          <w:rtl/>
        </w:rPr>
        <w:t xml:space="preserve"> </w:t>
      </w:r>
      <w:r>
        <w:rPr>
          <w:rFonts w:asciiTheme="minorBidi" w:hAnsiTheme="minorBidi" w:hint="cs"/>
          <w:b/>
          <w:bCs/>
          <w:sz w:val="20"/>
          <w:szCs w:val="20"/>
          <w:rtl/>
        </w:rPr>
        <w:t xml:space="preserve">הרחקת חפיפה מטבילה </w:t>
      </w:r>
      <w:r>
        <w:rPr>
          <w:rFonts w:asciiTheme="minorBidi" w:hAnsiTheme="minorBidi"/>
          <w:b/>
          <w:bCs/>
          <w:sz w:val="20"/>
          <w:szCs w:val="20"/>
          <w:rtl/>
        </w:rPr>
        <w:t>–</w:t>
      </w:r>
      <w:r>
        <w:rPr>
          <w:rFonts w:asciiTheme="minorBidi" w:hAnsiTheme="minorBidi" w:hint="cs"/>
          <w:b/>
          <w:bCs/>
          <w:sz w:val="20"/>
          <w:szCs w:val="20"/>
          <w:rtl/>
        </w:rPr>
        <w:t xml:space="preserve"> שיטות הראשונים</w:t>
      </w:r>
      <w:r>
        <w:rPr>
          <w:rFonts w:asciiTheme="minorBidi" w:hAnsiTheme="minorBidi"/>
          <w:b/>
          <w:bCs/>
          <w:sz w:val="20"/>
          <w:szCs w:val="20"/>
          <w:rtl/>
        </w:rPr>
        <w:br/>
      </w:r>
      <w:r>
        <w:rPr>
          <w:rFonts w:asciiTheme="minorBidi" w:hAnsiTheme="minorBidi" w:hint="cs"/>
          <w:sz w:val="20"/>
          <w:szCs w:val="20"/>
          <w:rtl/>
        </w:rPr>
        <w:t>מה דין אשה שליל טבילתה חל במוצאי שבת והוא ליל יום טוב, כך שאינה יכולה לחפוף בלילה?</w:t>
      </w:r>
      <w:r>
        <w:rPr>
          <w:rFonts w:asciiTheme="minorBidi" w:hAnsiTheme="minorBidi"/>
          <w:sz w:val="20"/>
          <w:szCs w:val="20"/>
          <w:rtl/>
        </w:rPr>
        <w:br/>
      </w:r>
      <w:r>
        <w:rPr>
          <w:rFonts w:asciiTheme="minorBidi" w:hAnsiTheme="minorBidi" w:hint="cs"/>
          <w:sz w:val="20"/>
          <w:szCs w:val="20"/>
          <w:rtl/>
        </w:rPr>
        <w:t>וכן מה דין אשה שליל טבילתה חל במוצאי שני יו"ט והוא ליל שבת?</w:t>
      </w:r>
      <w:r>
        <w:rPr>
          <w:rFonts w:asciiTheme="minorBidi" w:hAnsiTheme="minorBidi" w:hint="cs"/>
          <w:sz w:val="20"/>
          <w:szCs w:val="20"/>
          <w:rtl/>
        </w:rPr>
        <w:br/>
        <w:t xml:space="preserve">א. </w:t>
      </w:r>
      <w:r w:rsidRPr="009F6690">
        <w:rPr>
          <w:rFonts w:asciiTheme="minorBidi" w:hAnsiTheme="minorBidi" w:hint="cs"/>
          <w:b/>
          <w:bCs/>
          <w:sz w:val="20"/>
          <w:szCs w:val="20"/>
          <w:rtl/>
        </w:rPr>
        <w:t>תוספות</w:t>
      </w:r>
      <w:r>
        <w:rPr>
          <w:rFonts w:asciiTheme="minorBidi" w:hAnsiTheme="minorBidi" w:hint="cs"/>
          <w:sz w:val="20"/>
          <w:szCs w:val="20"/>
          <w:rtl/>
        </w:rPr>
        <w:t xml:space="preserve"> </w:t>
      </w:r>
      <w:r>
        <w:rPr>
          <w:rFonts w:asciiTheme="minorBidi" w:hAnsiTheme="minorBidi"/>
          <w:sz w:val="20"/>
          <w:szCs w:val="20"/>
          <w:rtl/>
        </w:rPr>
        <w:t>–</w:t>
      </w:r>
      <w:r>
        <w:rPr>
          <w:rFonts w:asciiTheme="minorBidi" w:hAnsiTheme="minorBidi" w:hint="cs"/>
          <w:sz w:val="20"/>
          <w:szCs w:val="20"/>
          <w:rtl/>
        </w:rPr>
        <w:t xml:space="preserve"> בין לרש"י ובין לשאילתות ניתן להרחיק חפיפה מטבילה יומיים, וכ"פ </w:t>
      </w:r>
      <w:r w:rsidRPr="002B3E12">
        <w:rPr>
          <w:rFonts w:asciiTheme="minorBidi" w:hAnsiTheme="minorBidi" w:hint="cs"/>
          <w:b/>
          <w:bCs/>
          <w:sz w:val="20"/>
          <w:szCs w:val="20"/>
          <w:rtl/>
        </w:rPr>
        <w:t>המחבר</w:t>
      </w:r>
      <w:r>
        <w:rPr>
          <w:rFonts w:asciiTheme="minorBidi" w:hAnsiTheme="minorBidi" w:hint="cs"/>
          <w:sz w:val="20"/>
          <w:szCs w:val="20"/>
          <w:rtl/>
        </w:rPr>
        <w:t>.</w:t>
      </w:r>
      <w:r>
        <w:rPr>
          <w:rFonts w:asciiTheme="minorBidi" w:hAnsiTheme="minorBidi" w:hint="cs"/>
          <w:sz w:val="20"/>
          <w:szCs w:val="20"/>
          <w:rtl/>
        </w:rPr>
        <w:br/>
        <w:t>לכן, תחפוף בערב חג / שבת ותטבול בזמנה.</w:t>
      </w:r>
      <w:r>
        <w:rPr>
          <w:rFonts w:asciiTheme="minorBidi" w:hAnsiTheme="minorBidi" w:hint="cs"/>
          <w:sz w:val="20"/>
          <w:szCs w:val="20"/>
          <w:rtl/>
        </w:rPr>
        <w:br/>
        <w:t xml:space="preserve">ב. </w:t>
      </w:r>
      <w:r w:rsidRPr="002A6DAD">
        <w:rPr>
          <w:rFonts w:asciiTheme="minorBidi" w:hAnsiTheme="minorBidi" w:hint="cs"/>
          <w:b/>
          <w:bCs/>
          <w:sz w:val="20"/>
          <w:szCs w:val="20"/>
          <w:rtl/>
        </w:rPr>
        <w:t>רמב"ם</w:t>
      </w:r>
      <w:r>
        <w:rPr>
          <w:rFonts w:asciiTheme="minorBidi" w:hAnsiTheme="minorBidi" w:hint="cs"/>
          <w:sz w:val="20"/>
          <w:szCs w:val="20"/>
          <w:rtl/>
        </w:rPr>
        <w:t xml:space="preserve"> </w:t>
      </w:r>
      <w:r>
        <w:rPr>
          <w:rFonts w:asciiTheme="minorBidi" w:hAnsiTheme="minorBidi"/>
          <w:sz w:val="20"/>
          <w:szCs w:val="20"/>
          <w:rtl/>
        </w:rPr>
        <w:t>–</w:t>
      </w:r>
      <w:r>
        <w:rPr>
          <w:rFonts w:asciiTheme="minorBidi" w:hAnsiTheme="minorBidi" w:hint="cs"/>
          <w:sz w:val="20"/>
          <w:szCs w:val="20"/>
          <w:rtl/>
        </w:rPr>
        <w:t xml:space="preserve"> ניתן להרחיק חפיפה מטבילה יום אחד בלבד, לכן במקרה הראשון תחפוף בערב שבת ותטבול בזמנה, אך במקרה השני תדחה טבילתה ליום חול.</w:t>
      </w:r>
      <w:r>
        <w:rPr>
          <w:rFonts w:asciiTheme="minorBidi" w:hAnsiTheme="minorBidi"/>
          <w:sz w:val="20"/>
          <w:szCs w:val="20"/>
          <w:rtl/>
        </w:rPr>
        <w:br/>
      </w:r>
      <w:r>
        <w:rPr>
          <w:rFonts w:asciiTheme="minorBidi" w:hAnsiTheme="minorBidi" w:hint="cs"/>
          <w:sz w:val="20"/>
          <w:szCs w:val="20"/>
          <w:rtl/>
        </w:rPr>
        <w:t xml:space="preserve">ג. </w:t>
      </w:r>
      <w:r w:rsidRPr="009F6690">
        <w:rPr>
          <w:rFonts w:asciiTheme="minorBidi" w:hAnsiTheme="minorBidi" w:hint="cs"/>
          <w:b/>
          <w:bCs/>
          <w:sz w:val="20"/>
          <w:szCs w:val="20"/>
          <w:rtl/>
        </w:rPr>
        <w:t>רבינו ירוחם ורא"ש</w:t>
      </w:r>
      <w:r>
        <w:rPr>
          <w:rFonts w:asciiTheme="minorBidi" w:hAnsiTheme="minorBidi" w:hint="cs"/>
          <w:sz w:val="20"/>
          <w:szCs w:val="20"/>
          <w:rtl/>
        </w:rPr>
        <w:t xml:space="preserve"> </w:t>
      </w:r>
      <w:r w:rsidRPr="009F6690">
        <w:rPr>
          <w:rFonts w:asciiTheme="minorBidi" w:hAnsiTheme="minorBidi" w:hint="cs"/>
          <w:sz w:val="18"/>
          <w:szCs w:val="18"/>
          <w:rtl/>
        </w:rPr>
        <w:t xml:space="preserve">(לדעת </w:t>
      </w:r>
      <w:r w:rsidRPr="009F6690">
        <w:rPr>
          <w:rFonts w:asciiTheme="minorBidi" w:hAnsiTheme="minorBidi" w:hint="cs"/>
          <w:b/>
          <w:bCs/>
          <w:sz w:val="18"/>
          <w:szCs w:val="18"/>
          <w:rtl/>
        </w:rPr>
        <w:t>רש"י</w:t>
      </w:r>
      <w:r w:rsidRPr="009F6690">
        <w:rPr>
          <w:rFonts w:asciiTheme="minorBidi" w:hAnsiTheme="minorBidi" w:hint="cs"/>
          <w:sz w:val="18"/>
          <w:szCs w:val="18"/>
          <w:rtl/>
        </w:rPr>
        <w:t xml:space="preserve">) </w:t>
      </w:r>
      <w:r>
        <w:rPr>
          <w:rFonts w:asciiTheme="minorBidi" w:hAnsiTheme="minorBidi"/>
          <w:sz w:val="20"/>
          <w:szCs w:val="20"/>
          <w:rtl/>
        </w:rPr>
        <w:t>–</w:t>
      </w:r>
      <w:r>
        <w:rPr>
          <w:rFonts w:asciiTheme="minorBidi" w:hAnsiTheme="minorBidi" w:hint="cs"/>
          <w:sz w:val="20"/>
          <w:szCs w:val="20"/>
          <w:rtl/>
        </w:rPr>
        <w:t xml:space="preserve"> אין להרחיק כלל חפיפה מטבילה, בשני המקרים תדחה טבילתה לחול.</w:t>
      </w:r>
      <w:r>
        <w:rPr>
          <w:rFonts w:asciiTheme="minorBidi" w:hAnsiTheme="minorBidi"/>
          <w:sz w:val="20"/>
          <w:szCs w:val="20"/>
          <w:rtl/>
        </w:rPr>
        <w:br/>
      </w:r>
      <w:r>
        <w:rPr>
          <w:rFonts w:asciiTheme="minorBidi" w:hAnsiTheme="minorBidi"/>
          <w:b/>
          <w:bCs/>
          <w:sz w:val="20"/>
          <w:szCs w:val="20"/>
          <w:rtl/>
        </w:rPr>
        <w:br/>
      </w:r>
      <w:r>
        <w:rPr>
          <w:rFonts w:asciiTheme="minorBidi" w:hAnsiTheme="minorBidi" w:hint="cs"/>
          <w:b/>
          <w:bCs/>
          <w:sz w:val="20"/>
          <w:szCs w:val="20"/>
          <w:rtl/>
        </w:rPr>
        <w:t>הסבר שיטות הראשונים</w:t>
      </w:r>
      <w:r>
        <w:rPr>
          <w:rFonts w:asciiTheme="minorBidi" w:hAnsiTheme="minorBidi"/>
          <w:sz w:val="20"/>
          <w:szCs w:val="20"/>
          <w:u w:val="single"/>
          <w:rtl/>
        </w:rPr>
        <w:br/>
      </w:r>
      <w:r>
        <w:rPr>
          <w:rFonts w:asciiTheme="minorBidi" w:hAnsiTheme="minorBidi" w:hint="cs"/>
          <w:sz w:val="20"/>
          <w:szCs w:val="20"/>
          <w:u w:val="single"/>
          <w:rtl/>
        </w:rPr>
        <w:t>הסבר שיטת תוספות</w:t>
      </w:r>
      <w:r>
        <w:rPr>
          <w:rFonts w:asciiTheme="minorBidi" w:hAnsiTheme="minorBidi"/>
          <w:sz w:val="20"/>
          <w:szCs w:val="20"/>
          <w:u w:val="single"/>
          <w:rtl/>
        </w:rPr>
        <w:br/>
      </w:r>
      <w:r w:rsidRPr="0002642D">
        <w:rPr>
          <w:rFonts w:asciiTheme="minorBidi" w:hAnsiTheme="minorBidi" w:hint="cs"/>
          <w:b/>
          <w:bCs/>
          <w:sz w:val="20"/>
          <w:szCs w:val="20"/>
          <w:rtl/>
        </w:rPr>
        <w:t>תוספות</w:t>
      </w:r>
      <w:r>
        <w:rPr>
          <w:rFonts w:asciiTheme="minorBidi" w:hAnsiTheme="minorBidi" w:hint="cs"/>
          <w:sz w:val="20"/>
          <w:szCs w:val="20"/>
          <w:rtl/>
        </w:rPr>
        <w:t xml:space="preserve"> </w:t>
      </w:r>
      <w:r>
        <w:rPr>
          <w:rFonts w:asciiTheme="minorBidi" w:hAnsiTheme="minorBidi"/>
          <w:sz w:val="20"/>
          <w:szCs w:val="20"/>
          <w:rtl/>
        </w:rPr>
        <w:t>–</w:t>
      </w:r>
      <w:r>
        <w:rPr>
          <w:rFonts w:asciiTheme="minorBidi" w:hAnsiTheme="minorBidi" w:hint="cs"/>
          <w:sz w:val="20"/>
          <w:szCs w:val="20"/>
          <w:rtl/>
        </w:rPr>
        <w:t xml:space="preserve"> הלכה כסוגייה א' שניתן להרחיק את החפיפה יומיים מהטבילה. </w:t>
      </w:r>
      <w:r>
        <w:rPr>
          <w:rFonts w:asciiTheme="minorBidi" w:hAnsiTheme="minorBidi"/>
          <w:sz w:val="20"/>
          <w:szCs w:val="20"/>
          <w:rtl/>
        </w:rPr>
        <w:br/>
      </w:r>
      <w:r>
        <w:rPr>
          <w:rFonts w:asciiTheme="minorBidi" w:hAnsiTheme="minorBidi" w:hint="cs"/>
          <w:sz w:val="20"/>
          <w:szCs w:val="20"/>
          <w:rtl/>
        </w:rPr>
        <w:t>אלא שיש לברר מה היחס בין שתי הסוגיות - בסוגייה א' נפסק שניתן לדחות חפיפה מטבילה כאשר טבילתה חלה במוצאי שבת, אך בסוגייה ב' פירש רש"י שתחפוף במוצאי שבת!</w:t>
      </w:r>
      <w:r>
        <w:rPr>
          <w:rFonts w:asciiTheme="minorBidi" w:hAnsiTheme="minorBidi" w:hint="cs"/>
          <w:sz w:val="20"/>
          <w:szCs w:val="20"/>
          <w:rtl/>
        </w:rPr>
        <w:br/>
        <w:t xml:space="preserve">ויש לומר </w:t>
      </w:r>
      <w:r>
        <w:rPr>
          <w:rFonts w:asciiTheme="minorBidi" w:hAnsiTheme="minorBidi"/>
          <w:sz w:val="20"/>
          <w:szCs w:val="20"/>
          <w:rtl/>
        </w:rPr>
        <w:t>–</w:t>
      </w:r>
      <w:r>
        <w:rPr>
          <w:rFonts w:asciiTheme="minorBidi" w:hAnsiTheme="minorBidi" w:hint="cs"/>
          <w:sz w:val="20"/>
          <w:szCs w:val="20"/>
          <w:rtl/>
        </w:rPr>
        <w:t xml:space="preserve"> הדין של סוגייה א' מתקיים כאשר יו"ט חל במוצאי שבת, בכה"ג טובלת על סמך חפיפת יום חול.</w:t>
      </w:r>
      <w:r>
        <w:rPr>
          <w:rFonts w:asciiTheme="minorBidi" w:hAnsiTheme="minorBidi"/>
          <w:sz w:val="20"/>
          <w:szCs w:val="20"/>
          <w:rtl/>
        </w:rPr>
        <w:br/>
      </w:r>
      <w:r>
        <w:rPr>
          <w:rFonts w:asciiTheme="minorBidi" w:hAnsiTheme="minorBidi" w:hint="cs"/>
          <w:sz w:val="20"/>
          <w:szCs w:val="20"/>
          <w:rtl/>
        </w:rPr>
        <w:t>ולשיטת השאילתות לא קשה, שהרי בסוגייה ב' נאמר בדיוק כמו סוגייה א' שכשאין אפשרות לחפוף בליל טבילה תחפוף יום קודם, ואפילו אם יום לפני טבילתה הוא יו"ט או שבת יכולה להקדים את חפיפה, כסוגייה א'.</w:t>
      </w:r>
    </w:p>
    <w:p w:rsidR="00620060" w:rsidRDefault="00620060" w:rsidP="00620060">
      <w:pPr>
        <w:spacing w:line="300" w:lineRule="exact"/>
        <w:rPr>
          <w:rFonts w:asciiTheme="minorBidi" w:hAnsiTheme="minorBidi"/>
          <w:sz w:val="20"/>
          <w:szCs w:val="20"/>
          <w:rtl/>
        </w:rPr>
      </w:pPr>
      <w:r>
        <w:rPr>
          <w:rFonts w:asciiTheme="minorBidi" w:hAnsiTheme="minorBidi" w:hint="cs"/>
          <w:sz w:val="20"/>
          <w:szCs w:val="20"/>
          <w:rtl/>
        </w:rPr>
        <w:lastRenderedPageBreak/>
        <w:t xml:space="preserve">קרי </w:t>
      </w:r>
      <w:r>
        <w:rPr>
          <w:rFonts w:asciiTheme="minorBidi" w:hAnsiTheme="minorBidi"/>
          <w:sz w:val="20"/>
          <w:szCs w:val="20"/>
          <w:rtl/>
        </w:rPr>
        <w:t>–</w:t>
      </w:r>
      <w:r>
        <w:rPr>
          <w:rFonts w:asciiTheme="minorBidi" w:hAnsiTheme="minorBidi" w:hint="cs"/>
          <w:sz w:val="20"/>
          <w:szCs w:val="20"/>
          <w:rtl/>
        </w:rPr>
        <w:t xml:space="preserve"> שיטת תוספות היא, שלכו"ע ניתן לטבול במוצ"ש שהוא ליל יו"ט על סמך חפיפת יום שישי.</w:t>
      </w:r>
      <w:r>
        <w:rPr>
          <w:rFonts w:asciiTheme="minorBidi" w:hAnsiTheme="minorBidi" w:hint="cs"/>
          <w:sz w:val="20"/>
          <w:szCs w:val="20"/>
          <w:rtl/>
        </w:rPr>
        <w:br/>
        <w:t xml:space="preserve">מוסיף </w:t>
      </w:r>
      <w:r w:rsidRPr="002A6DAD">
        <w:rPr>
          <w:rFonts w:asciiTheme="minorBidi" w:hAnsiTheme="minorBidi" w:hint="cs"/>
          <w:b/>
          <w:bCs/>
          <w:sz w:val="20"/>
          <w:szCs w:val="20"/>
          <w:rtl/>
        </w:rPr>
        <w:t>הבית יוסף</w:t>
      </w:r>
      <w:r>
        <w:rPr>
          <w:rFonts w:asciiTheme="minorBidi" w:hAnsiTheme="minorBidi" w:hint="cs"/>
          <w:sz w:val="20"/>
          <w:szCs w:val="20"/>
          <w:rtl/>
        </w:rPr>
        <w:t xml:space="preserve"> </w:t>
      </w:r>
      <w:r>
        <w:rPr>
          <w:rFonts w:asciiTheme="minorBidi" w:hAnsiTheme="minorBidi"/>
          <w:sz w:val="20"/>
          <w:szCs w:val="20"/>
          <w:rtl/>
        </w:rPr>
        <w:t>–</w:t>
      </w:r>
      <w:r>
        <w:rPr>
          <w:rFonts w:asciiTheme="minorBidi" w:hAnsiTheme="minorBidi" w:hint="cs"/>
          <w:sz w:val="20"/>
          <w:szCs w:val="20"/>
          <w:rtl/>
        </w:rPr>
        <w:t xml:space="preserve"> הוא הדין שניתן להרחיק שני ימים בין החפיפה לטבילה. </w:t>
      </w:r>
      <w:r>
        <w:rPr>
          <w:rFonts w:asciiTheme="minorBidi" w:hAnsiTheme="minorBidi"/>
          <w:sz w:val="20"/>
          <w:szCs w:val="20"/>
          <w:rtl/>
        </w:rPr>
        <w:br/>
      </w:r>
      <w:r>
        <w:rPr>
          <w:rFonts w:hint="cs"/>
          <w:sz w:val="20"/>
          <w:szCs w:val="20"/>
          <w:rtl/>
        </w:rPr>
        <w:t>ואע"פ שתוספות לא כתבו דין זה להדיא, כך יש להסיק מהם. כלומר, מכך שיישבו את סוגייה א' שלא תסתור לפסק סוגייה ב', כך יש לומר שיתירו לטבול במוצאי שני יו"ט שחלו בליל שבת כפי שהורתה סוגייה א'.</w:t>
      </w:r>
    </w:p>
    <w:p w:rsidR="00620060" w:rsidRDefault="00620060" w:rsidP="00620060">
      <w:pPr>
        <w:rPr>
          <w:sz w:val="20"/>
          <w:szCs w:val="20"/>
          <w:rtl/>
        </w:rPr>
      </w:pPr>
      <w:r w:rsidRPr="00A2445A">
        <w:rPr>
          <w:rFonts w:hint="cs"/>
          <w:sz w:val="20"/>
          <w:szCs w:val="20"/>
          <w:u w:val="single"/>
          <w:rtl/>
        </w:rPr>
        <w:t>הסבר שיטת הרמב"ם</w:t>
      </w:r>
      <w:r>
        <w:rPr>
          <w:rFonts w:hint="cs"/>
          <w:sz w:val="20"/>
          <w:szCs w:val="20"/>
          <w:u w:val="single"/>
          <w:rtl/>
        </w:rPr>
        <w:br/>
      </w:r>
      <w:r>
        <w:rPr>
          <w:rFonts w:hint="cs"/>
          <w:sz w:val="20"/>
          <w:szCs w:val="20"/>
          <w:rtl/>
        </w:rPr>
        <w:t>הלכה כסוגייה ב'. בסוגייה ב' משמע להדיא שהיתר הרחקת חפיפה מטבילה נאמר רק כשיש יום אחד בין החפיפה לטבילה, ועיין הערה.</w:t>
      </w:r>
      <w:r>
        <w:rPr>
          <w:rStyle w:val="a5"/>
          <w:sz w:val="20"/>
          <w:szCs w:val="20"/>
          <w:rtl/>
        </w:rPr>
        <w:footnoteReference w:id="720"/>
      </w:r>
    </w:p>
    <w:p w:rsidR="00620060" w:rsidRPr="00902049" w:rsidRDefault="00620060" w:rsidP="00620060">
      <w:pPr>
        <w:spacing w:line="300" w:lineRule="exact"/>
        <w:rPr>
          <w:rFonts w:asciiTheme="minorBidi" w:hAnsiTheme="minorBidi"/>
          <w:sz w:val="20"/>
          <w:szCs w:val="20"/>
          <w:rtl/>
        </w:rPr>
      </w:pPr>
      <w:r>
        <w:rPr>
          <w:rFonts w:asciiTheme="minorBidi" w:hAnsiTheme="minorBidi" w:hint="cs"/>
          <w:sz w:val="20"/>
          <w:szCs w:val="20"/>
          <w:u w:val="single"/>
          <w:rtl/>
        </w:rPr>
        <w:t>הסבר שיטת הרא"ש</w:t>
      </w:r>
      <w:r>
        <w:rPr>
          <w:rFonts w:asciiTheme="minorBidi" w:hAnsiTheme="minorBidi"/>
          <w:sz w:val="20"/>
          <w:szCs w:val="20"/>
          <w:u w:val="single"/>
          <w:rtl/>
        </w:rPr>
        <w:br/>
      </w:r>
      <w:r>
        <w:rPr>
          <w:rFonts w:asciiTheme="minorBidi" w:hAnsiTheme="minorBidi" w:hint="cs"/>
          <w:sz w:val="20"/>
          <w:szCs w:val="20"/>
          <w:rtl/>
        </w:rPr>
        <w:t>הלכה כסוגייה ב'. כלומר, בטבילת מוצ"ש יש לחפוף בליל טבילה לדעת רש"י.</w:t>
      </w:r>
      <w:r>
        <w:rPr>
          <w:rFonts w:asciiTheme="minorBidi" w:hAnsiTheme="minorBidi"/>
          <w:sz w:val="20"/>
          <w:szCs w:val="20"/>
          <w:rtl/>
        </w:rPr>
        <w:br/>
      </w:r>
      <w:r>
        <w:rPr>
          <w:rFonts w:asciiTheme="minorBidi" w:hAnsiTheme="minorBidi" w:hint="cs"/>
          <w:sz w:val="20"/>
          <w:szCs w:val="20"/>
          <w:rtl/>
        </w:rPr>
        <w:t>לכן אם חל יו"ט במוצ"ש שאינה יכולה לחפוף, תידחה טבילתה. ואע"פ שלסוגייה א' טובלת על סמך חפיפת יום שישי, אין הלכה כך.</w:t>
      </w:r>
    </w:p>
    <w:p w:rsidR="00620060" w:rsidRDefault="00620060" w:rsidP="00620060">
      <w:pPr>
        <w:rPr>
          <w:sz w:val="20"/>
          <w:szCs w:val="20"/>
          <w:rtl/>
        </w:rPr>
      </w:pPr>
      <w:r>
        <w:rPr>
          <w:rStyle w:val="10"/>
          <w:rFonts w:hint="cs"/>
          <w:rtl/>
        </w:rPr>
        <w:t>ב</w:t>
      </w:r>
      <w:r w:rsidRPr="009D23D6">
        <w:rPr>
          <w:rStyle w:val="10"/>
          <w:rFonts w:hint="cs"/>
          <w:rtl/>
        </w:rPr>
        <w:t>.</w:t>
      </w:r>
      <w:r w:rsidRPr="009D23D6">
        <w:rPr>
          <w:rFonts w:hint="cs"/>
          <w:sz w:val="16"/>
          <w:szCs w:val="16"/>
          <w:rtl/>
        </w:rPr>
        <w:t xml:space="preserve"> </w:t>
      </w:r>
      <w:r w:rsidRPr="009D23D6">
        <w:rPr>
          <w:rFonts w:hint="cs"/>
          <w:b/>
          <w:bCs/>
          <w:sz w:val="20"/>
          <w:szCs w:val="20"/>
          <w:rtl/>
        </w:rPr>
        <w:t>זהירות בין חפיפה לטבילה מהתעסקות בדברים החוצצים</w:t>
      </w:r>
      <w:r>
        <w:rPr>
          <w:rFonts w:hint="cs"/>
          <w:b/>
          <w:bCs/>
          <w:sz w:val="20"/>
          <w:szCs w:val="20"/>
          <w:rtl/>
        </w:rPr>
        <w:br/>
      </w:r>
      <w:r>
        <w:rPr>
          <w:rFonts w:hint="cs"/>
          <w:sz w:val="20"/>
          <w:szCs w:val="20"/>
          <w:u w:val="single"/>
          <w:rtl/>
        </w:rPr>
        <w:t>נגיעה בתבשילים</w:t>
      </w:r>
      <w:r>
        <w:rPr>
          <w:b/>
          <w:bCs/>
          <w:sz w:val="20"/>
          <w:szCs w:val="20"/>
          <w:rtl/>
        </w:rPr>
        <w:br/>
      </w:r>
      <w:r>
        <w:rPr>
          <w:rFonts w:hint="cs"/>
          <w:sz w:val="20"/>
          <w:szCs w:val="20"/>
          <w:rtl/>
        </w:rPr>
        <w:t xml:space="preserve">אשה שחפפה בערב שבת וטבילתה במוצאי שבת, כיצד תנהג בשבת בזהירות מחציצת תבשיל שיידבק בה? </w:t>
      </w:r>
      <w:r>
        <w:rPr>
          <w:rFonts w:hint="cs"/>
          <w:sz w:val="20"/>
          <w:szCs w:val="20"/>
          <w:rtl/>
        </w:rPr>
        <w:br/>
        <w:t xml:space="preserve">א. </w:t>
      </w:r>
      <w:r w:rsidRPr="00DC3910">
        <w:rPr>
          <w:rFonts w:hint="cs"/>
          <w:b/>
          <w:bCs/>
          <w:sz w:val="20"/>
          <w:szCs w:val="20"/>
          <w:rtl/>
        </w:rPr>
        <w:t xml:space="preserve">רא"ש </w:t>
      </w:r>
      <w:r>
        <w:rPr>
          <w:sz w:val="20"/>
          <w:szCs w:val="20"/>
          <w:rtl/>
        </w:rPr>
        <w:t>–</w:t>
      </w:r>
      <w:r>
        <w:rPr>
          <w:rFonts w:hint="cs"/>
          <w:sz w:val="20"/>
          <w:szCs w:val="20"/>
          <w:rtl/>
        </w:rPr>
        <w:t xml:space="preserve"> מנהג הנשים להיזהר שלא לתת תבשיל לבניהם בשבת זו, וכ"פ </w:t>
      </w:r>
      <w:r w:rsidRPr="00FE5A98">
        <w:rPr>
          <w:rFonts w:hint="cs"/>
          <w:b/>
          <w:bCs/>
          <w:sz w:val="20"/>
          <w:szCs w:val="20"/>
          <w:rtl/>
        </w:rPr>
        <w:t>הרמ"א ו</w:t>
      </w:r>
      <w:r>
        <w:rPr>
          <w:rFonts w:hint="cs"/>
          <w:b/>
          <w:bCs/>
          <w:sz w:val="20"/>
          <w:szCs w:val="20"/>
          <w:rtl/>
        </w:rPr>
        <w:t>ה</w:t>
      </w:r>
      <w:r w:rsidRPr="00FE5A98">
        <w:rPr>
          <w:rFonts w:hint="cs"/>
          <w:b/>
          <w:bCs/>
          <w:sz w:val="20"/>
          <w:szCs w:val="20"/>
          <w:rtl/>
        </w:rPr>
        <w:t>ש"ך</w:t>
      </w:r>
      <w:r>
        <w:rPr>
          <w:rFonts w:hint="cs"/>
          <w:sz w:val="20"/>
          <w:szCs w:val="20"/>
          <w:rtl/>
        </w:rPr>
        <w:t>.</w:t>
      </w:r>
      <w:r>
        <w:rPr>
          <w:sz w:val="20"/>
          <w:szCs w:val="20"/>
          <w:rtl/>
        </w:rPr>
        <w:br/>
      </w:r>
      <w:r>
        <w:rPr>
          <w:rFonts w:hint="cs"/>
          <w:sz w:val="20"/>
          <w:szCs w:val="20"/>
          <w:rtl/>
        </w:rPr>
        <w:t xml:space="preserve">ב. </w:t>
      </w:r>
      <w:r w:rsidRPr="00DC3910">
        <w:rPr>
          <w:rFonts w:hint="cs"/>
          <w:b/>
          <w:bCs/>
          <w:sz w:val="20"/>
          <w:szCs w:val="20"/>
          <w:rtl/>
        </w:rPr>
        <w:t>בית יוסף</w:t>
      </w:r>
      <w:r>
        <w:rPr>
          <w:rFonts w:hint="cs"/>
          <w:sz w:val="20"/>
          <w:szCs w:val="20"/>
          <w:rtl/>
        </w:rPr>
        <w:t xml:space="preserve"> </w:t>
      </w:r>
      <w:r>
        <w:rPr>
          <w:sz w:val="20"/>
          <w:szCs w:val="20"/>
          <w:rtl/>
        </w:rPr>
        <w:t>–</w:t>
      </w:r>
      <w:r>
        <w:rPr>
          <w:rFonts w:hint="cs"/>
          <w:sz w:val="20"/>
          <w:szCs w:val="20"/>
          <w:rtl/>
        </w:rPr>
        <w:t xml:space="preserve"> מנהג זה אינו מועיל, שהרי על כורחה נוגעת היא בתבשיל שאוכלת בעצמה, ואף אם תיזהר בכך מכל מקום ידיים עסקניות הן ואי אפשר שלא תיגע בדבר חוצץ, וכ"פ </w:t>
      </w:r>
      <w:r w:rsidRPr="00FE5A98">
        <w:rPr>
          <w:rFonts w:hint="cs"/>
          <w:b/>
          <w:bCs/>
          <w:sz w:val="20"/>
          <w:szCs w:val="20"/>
          <w:rtl/>
        </w:rPr>
        <w:t>בשו"ע</w:t>
      </w:r>
      <w:r>
        <w:rPr>
          <w:rFonts w:hint="cs"/>
          <w:sz w:val="20"/>
          <w:szCs w:val="20"/>
          <w:rtl/>
        </w:rPr>
        <w:t>.</w:t>
      </w:r>
      <w:r>
        <w:rPr>
          <w:sz w:val="20"/>
          <w:szCs w:val="20"/>
          <w:rtl/>
        </w:rPr>
        <w:br/>
      </w:r>
      <w:r>
        <w:rPr>
          <w:rFonts w:hint="cs"/>
          <w:sz w:val="20"/>
          <w:szCs w:val="20"/>
          <w:rtl/>
        </w:rPr>
        <w:t>ולכן יש ללמד את הנשים לעיין היטב בגופן לפני הטבילה, וכך הן יכולות בשבת לגעת בתבשיל כדרכן.</w:t>
      </w:r>
      <w:r>
        <w:rPr>
          <w:rFonts w:hint="cs"/>
          <w:sz w:val="20"/>
          <w:szCs w:val="20"/>
          <w:rtl/>
        </w:rPr>
        <w:br/>
        <w:t>ועיון זה הוא חיוב גמור מדינא, שהרי עיון הגוף דאורייתא ולא הקלו בו להרחיקו מטבילה, רק בחפיפה שהיא תקנת עזרא הקלו להרחיק מטבילה.</w:t>
      </w:r>
      <w:r>
        <w:rPr>
          <w:rStyle w:val="a5"/>
          <w:sz w:val="20"/>
          <w:szCs w:val="20"/>
          <w:rtl/>
        </w:rPr>
        <w:footnoteReference w:id="721"/>
      </w:r>
      <w:r>
        <w:rPr>
          <w:sz w:val="20"/>
          <w:szCs w:val="20"/>
          <w:rtl/>
        </w:rPr>
        <w:br/>
      </w:r>
      <w:r>
        <w:rPr>
          <w:rFonts w:hint="cs"/>
          <w:sz w:val="20"/>
          <w:szCs w:val="20"/>
          <w:rtl/>
        </w:rPr>
        <w:t>כמו כן הקלו להקדים חפיפה משום שאי אפשר לחפוף בשבת, מה שאין כן עיון הגוף שניתן לעיין בשבת לא הקלו להקדימו.</w:t>
      </w:r>
      <w:r>
        <w:rPr>
          <w:rFonts w:hint="cs"/>
          <w:sz w:val="20"/>
          <w:szCs w:val="20"/>
          <w:rtl/>
        </w:rPr>
        <w:br/>
        <w:t>ועוד יש לומר שאין לה לנהוג בחומרת התבשיל הנ"ל, שמא תבוא לסמוך על זהירות זו ולא תעיין בגופה.</w:t>
      </w:r>
      <w:r>
        <w:rPr>
          <w:rStyle w:val="a5"/>
          <w:sz w:val="20"/>
          <w:szCs w:val="20"/>
          <w:rtl/>
        </w:rPr>
        <w:footnoteReference w:id="722"/>
      </w:r>
      <w:r>
        <w:rPr>
          <w:rFonts w:hint="cs"/>
          <w:sz w:val="20"/>
          <w:szCs w:val="20"/>
          <w:rtl/>
        </w:rPr>
        <w:br/>
      </w:r>
      <w:r>
        <w:rPr>
          <w:sz w:val="20"/>
          <w:szCs w:val="20"/>
          <w:rtl/>
        </w:rPr>
        <w:br/>
      </w:r>
      <w:r>
        <w:rPr>
          <w:rFonts w:hint="cs"/>
          <w:sz w:val="20"/>
          <w:szCs w:val="20"/>
          <w:rtl/>
        </w:rPr>
        <w:t xml:space="preserve">למעשה </w:t>
      </w:r>
      <w:r>
        <w:rPr>
          <w:sz w:val="20"/>
          <w:szCs w:val="20"/>
          <w:rtl/>
        </w:rPr>
        <w:t>–</w:t>
      </w:r>
      <w:r>
        <w:rPr>
          <w:rFonts w:hint="cs"/>
          <w:sz w:val="20"/>
          <w:szCs w:val="20"/>
          <w:rtl/>
        </w:rPr>
        <w:t xml:space="preserve"> טוב שלא להורות לנשים את החומרה הנ"ל, כדי שלא יזלזלו בעיון הגוף הסמוך לטבילה. </w:t>
      </w:r>
      <w:r>
        <w:rPr>
          <w:sz w:val="20"/>
          <w:szCs w:val="20"/>
          <w:rtl/>
        </w:rPr>
        <w:br/>
      </w:r>
      <w:r>
        <w:rPr>
          <w:rFonts w:hint="cs"/>
          <w:sz w:val="20"/>
          <w:szCs w:val="20"/>
          <w:rtl/>
        </w:rPr>
        <w:t>אלא יש להזהיר את הנשים לעיין בגופן סמוך לטבילה.</w:t>
      </w:r>
    </w:p>
    <w:p w:rsidR="00620060" w:rsidRDefault="00620060" w:rsidP="00620060">
      <w:pPr>
        <w:rPr>
          <w:sz w:val="20"/>
          <w:szCs w:val="20"/>
          <w:rtl/>
        </w:rPr>
      </w:pPr>
      <w:r>
        <w:rPr>
          <w:rFonts w:hint="cs"/>
          <w:sz w:val="20"/>
          <w:szCs w:val="20"/>
          <w:u w:val="single"/>
          <w:rtl/>
        </w:rPr>
        <w:t>קשירת שער ראשה</w:t>
      </w:r>
      <w:r>
        <w:rPr>
          <w:sz w:val="20"/>
          <w:szCs w:val="20"/>
          <w:u w:val="single"/>
          <w:rtl/>
        </w:rPr>
        <w:br/>
      </w:r>
      <w:r>
        <w:rPr>
          <w:rFonts w:hint="cs"/>
          <w:sz w:val="20"/>
          <w:szCs w:val="20"/>
          <w:rtl/>
        </w:rPr>
        <w:t xml:space="preserve">נהגו הנשים </w:t>
      </w:r>
      <w:r w:rsidRPr="0020351E">
        <w:rPr>
          <w:rFonts w:hint="cs"/>
          <w:sz w:val="18"/>
          <w:szCs w:val="18"/>
          <w:rtl/>
        </w:rPr>
        <w:t xml:space="preserve">(המקדימות חפיפה, כנ"ל) </w:t>
      </w:r>
      <w:r>
        <w:rPr>
          <w:rFonts w:hint="cs"/>
          <w:sz w:val="20"/>
          <w:szCs w:val="20"/>
          <w:rtl/>
        </w:rPr>
        <w:t xml:space="preserve">לקשור שער ראשן לאחר החפיפה עד שעת הטבילה - </w:t>
      </w:r>
      <w:r>
        <w:rPr>
          <w:sz w:val="20"/>
          <w:szCs w:val="20"/>
          <w:rtl/>
        </w:rPr>
        <w:br/>
      </w:r>
      <w:r>
        <w:rPr>
          <w:rFonts w:hint="cs"/>
          <w:sz w:val="20"/>
          <w:szCs w:val="20"/>
          <w:rtl/>
        </w:rPr>
        <w:t xml:space="preserve">א. </w:t>
      </w:r>
      <w:r w:rsidRPr="00703AB5">
        <w:rPr>
          <w:rFonts w:hint="cs"/>
          <w:b/>
          <w:bCs/>
          <w:sz w:val="20"/>
          <w:szCs w:val="20"/>
          <w:rtl/>
        </w:rPr>
        <w:t>רא"ש</w:t>
      </w:r>
      <w:r>
        <w:rPr>
          <w:rFonts w:hint="cs"/>
          <w:sz w:val="20"/>
          <w:szCs w:val="20"/>
          <w:rtl/>
        </w:rPr>
        <w:t xml:space="preserve"> </w:t>
      </w:r>
      <w:r>
        <w:rPr>
          <w:sz w:val="20"/>
          <w:szCs w:val="20"/>
          <w:rtl/>
        </w:rPr>
        <w:t>–</w:t>
      </w:r>
      <w:r>
        <w:rPr>
          <w:rFonts w:hint="cs"/>
          <w:sz w:val="20"/>
          <w:szCs w:val="20"/>
          <w:rtl/>
        </w:rPr>
        <w:t xml:space="preserve"> נהגו כן כדי שהשער לא יתלכלך.</w:t>
      </w:r>
      <w:r>
        <w:rPr>
          <w:sz w:val="20"/>
          <w:szCs w:val="20"/>
          <w:rtl/>
        </w:rPr>
        <w:br/>
      </w:r>
      <w:r>
        <w:rPr>
          <w:rFonts w:hint="cs"/>
          <w:sz w:val="20"/>
          <w:szCs w:val="20"/>
          <w:rtl/>
        </w:rPr>
        <w:t xml:space="preserve">ב. </w:t>
      </w:r>
      <w:r w:rsidRPr="003C122F">
        <w:rPr>
          <w:rFonts w:hint="cs"/>
          <w:b/>
          <w:bCs/>
          <w:sz w:val="20"/>
          <w:szCs w:val="20"/>
          <w:rtl/>
        </w:rPr>
        <w:t>בית יוסף</w:t>
      </w:r>
      <w:r>
        <w:rPr>
          <w:rFonts w:hint="cs"/>
          <w:sz w:val="20"/>
          <w:szCs w:val="20"/>
          <w:rtl/>
        </w:rPr>
        <w:t xml:space="preserve"> </w:t>
      </w:r>
      <w:r>
        <w:rPr>
          <w:sz w:val="20"/>
          <w:szCs w:val="20"/>
          <w:rtl/>
        </w:rPr>
        <w:t>–</w:t>
      </w:r>
      <w:r>
        <w:rPr>
          <w:rFonts w:hint="cs"/>
          <w:sz w:val="20"/>
          <w:szCs w:val="20"/>
          <w:rtl/>
        </w:rPr>
        <w:t xml:space="preserve"> נהגו כך כדי שהשערות לא יסתבכו זו בזו ויחצצו בטבילה.</w:t>
      </w:r>
      <w:r>
        <w:rPr>
          <w:sz w:val="20"/>
          <w:szCs w:val="20"/>
          <w:rtl/>
        </w:rPr>
        <w:br/>
      </w:r>
      <w:r>
        <w:rPr>
          <w:rFonts w:hint="cs"/>
          <w:sz w:val="20"/>
          <w:szCs w:val="20"/>
          <w:rtl/>
        </w:rPr>
        <w:t xml:space="preserve">ואת דברי הרא"ש יש לדחות </w:t>
      </w:r>
      <w:r>
        <w:rPr>
          <w:sz w:val="20"/>
          <w:szCs w:val="20"/>
          <w:rtl/>
        </w:rPr>
        <w:t>–</w:t>
      </w:r>
      <w:r>
        <w:rPr>
          <w:rFonts w:hint="cs"/>
          <w:sz w:val="20"/>
          <w:szCs w:val="20"/>
          <w:rtl/>
        </w:rPr>
        <w:t xml:space="preserve"> כיוון שמעיינת בגופה לפני הטבילה בוודאי תמצא את הלכלוך ותסירו. </w:t>
      </w:r>
    </w:p>
    <w:p w:rsidR="00620060" w:rsidRDefault="00620060" w:rsidP="00620060">
      <w:pPr>
        <w:rPr>
          <w:sz w:val="20"/>
          <w:szCs w:val="20"/>
          <w:rtl/>
        </w:rPr>
      </w:pPr>
      <w:r>
        <w:rPr>
          <w:rFonts w:hint="cs"/>
          <w:sz w:val="20"/>
          <w:szCs w:val="20"/>
          <w:u w:val="single"/>
          <w:rtl/>
        </w:rPr>
        <w:t>ניקיון השיניים</w:t>
      </w:r>
      <w:r>
        <w:rPr>
          <w:sz w:val="20"/>
          <w:szCs w:val="20"/>
          <w:u w:val="single"/>
          <w:rtl/>
        </w:rPr>
        <w:br/>
      </w:r>
      <w:r w:rsidRPr="002B496B">
        <w:rPr>
          <w:rFonts w:hint="cs"/>
          <w:b/>
          <w:bCs/>
          <w:sz w:val="20"/>
          <w:szCs w:val="20"/>
          <w:rtl/>
        </w:rPr>
        <w:t>סמ"ג</w:t>
      </w:r>
      <w:r>
        <w:rPr>
          <w:rFonts w:hint="cs"/>
          <w:sz w:val="20"/>
          <w:szCs w:val="20"/>
          <w:rtl/>
        </w:rPr>
        <w:t xml:space="preserve"> </w:t>
      </w:r>
      <w:r>
        <w:rPr>
          <w:sz w:val="20"/>
          <w:szCs w:val="20"/>
          <w:rtl/>
        </w:rPr>
        <w:t>–</w:t>
      </w:r>
      <w:r>
        <w:rPr>
          <w:rFonts w:hint="cs"/>
          <w:sz w:val="20"/>
          <w:szCs w:val="20"/>
          <w:rtl/>
        </w:rPr>
        <w:t xml:space="preserve"> אשה שהרחיקה את החפיפה מהטבילה, כאמור לעיל, בליל הטבילה תנקר ותחצוץ את שיניה היטב מפני המאכל שאכלה בימים שבינתיים שלא יישארו בהן פירורי בשר.</w:t>
      </w:r>
    </w:p>
    <w:p w:rsidR="00620060" w:rsidRPr="00866088" w:rsidRDefault="00620060" w:rsidP="00620060">
      <w:pPr>
        <w:rPr>
          <w:sz w:val="20"/>
          <w:szCs w:val="20"/>
          <w:rtl/>
        </w:rPr>
      </w:pPr>
      <w:r>
        <w:rPr>
          <w:rFonts w:hint="cs"/>
          <w:sz w:val="20"/>
          <w:szCs w:val="20"/>
          <w:u w:val="single"/>
          <w:rtl/>
        </w:rPr>
        <w:lastRenderedPageBreak/>
        <w:t>רחיצה במים חמים</w:t>
      </w:r>
      <w:r>
        <w:rPr>
          <w:sz w:val="20"/>
          <w:szCs w:val="20"/>
          <w:u w:val="single"/>
          <w:rtl/>
        </w:rPr>
        <w:br/>
      </w:r>
      <w:r>
        <w:rPr>
          <w:rFonts w:hint="cs"/>
          <w:sz w:val="20"/>
          <w:szCs w:val="20"/>
          <w:rtl/>
        </w:rPr>
        <w:t>כיצד תנהג הטובלת הנ"ל לעניין הדחת הקמטים ובית הסתרים?</w:t>
      </w:r>
      <w:r>
        <w:rPr>
          <w:rFonts w:hint="cs"/>
          <w:sz w:val="20"/>
          <w:szCs w:val="20"/>
          <w:rtl/>
        </w:rPr>
        <w:br/>
      </w:r>
      <w:r w:rsidRPr="003F1587">
        <w:rPr>
          <w:rFonts w:hint="cs"/>
          <w:b/>
          <w:bCs/>
          <w:sz w:val="20"/>
          <w:szCs w:val="20"/>
          <w:rtl/>
        </w:rPr>
        <w:t>רא"ש</w:t>
      </w:r>
      <w:r>
        <w:rPr>
          <w:rFonts w:hint="cs"/>
          <w:sz w:val="20"/>
          <w:szCs w:val="20"/>
          <w:rtl/>
        </w:rPr>
        <w:t xml:space="preserve"> </w:t>
      </w:r>
      <w:r>
        <w:rPr>
          <w:sz w:val="20"/>
          <w:szCs w:val="20"/>
          <w:rtl/>
        </w:rPr>
        <w:t>–</w:t>
      </w:r>
      <w:r>
        <w:rPr>
          <w:rFonts w:hint="cs"/>
          <w:sz w:val="20"/>
          <w:szCs w:val="20"/>
          <w:rtl/>
        </w:rPr>
        <w:t xml:space="preserve"> הטובלת ביום טוב יכולה להשתמש במים שהוחמו בו ביום, הטובלת בליל שבת תשתמש במים שהוחמו מערב שבת.</w:t>
      </w:r>
      <w:r>
        <w:rPr>
          <w:sz w:val="20"/>
          <w:szCs w:val="20"/>
          <w:rtl/>
        </w:rPr>
        <w:br/>
      </w:r>
      <w:r w:rsidRPr="00CD6C60">
        <w:rPr>
          <w:rFonts w:hint="cs"/>
          <w:b/>
          <w:bCs/>
          <w:sz w:val="20"/>
          <w:szCs w:val="20"/>
          <w:rtl/>
        </w:rPr>
        <w:t>דרישה וט"ז</w:t>
      </w:r>
      <w:r>
        <w:rPr>
          <w:rFonts w:hint="cs"/>
          <w:sz w:val="20"/>
          <w:szCs w:val="20"/>
          <w:rtl/>
        </w:rPr>
        <w:t xml:space="preserve"> </w:t>
      </w:r>
      <w:r>
        <w:rPr>
          <w:sz w:val="20"/>
          <w:szCs w:val="20"/>
          <w:rtl/>
        </w:rPr>
        <w:t>–</w:t>
      </w:r>
      <w:r>
        <w:rPr>
          <w:rFonts w:hint="cs"/>
          <w:sz w:val="20"/>
          <w:szCs w:val="20"/>
          <w:rtl/>
        </w:rPr>
        <w:t xml:space="preserve"> הטובלת בליל שבת ויו"ט חל ביום ו', תדיח קמטיה ובית הסתרים ביו"ט ולא בליל שבת </w:t>
      </w:r>
      <w:r w:rsidRPr="008C040E">
        <w:rPr>
          <w:rFonts w:hint="cs"/>
          <w:sz w:val="18"/>
          <w:szCs w:val="18"/>
          <w:rtl/>
        </w:rPr>
        <w:t xml:space="preserve">(משום </w:t>
      </w:r>
      <w:r>
        <w:rPr>
          <w:rFonts w:hint="cs"/>
          <w:sz w:val="18"/>
          <w:szCs w:val="18"/>
          <w:rtl/>
        </w:rPr>
        <w:t>שבלילה היא ממהרת לביתה ולא תדיח היטב</w:t>
      </w:r>
      <w:r w:rsidRPr="008C040E">
        <w:rPr>
          <w:rFonts w:hint="cs"/>
          <w:sz w:val="18"/>
          <w:szCs w:val="18"/>
          <w:rtl/>
        </w:rPr>
        <w:t>)</w:t>
      </w:r>
      <w:r>
        <w:rPr>
          <w:rFonts w:hint="cs"/>
          <w:sz w:val="20"/>
          <w:szCs w:val="20"/>
          <w:rtl/>
        </w:rPr>
        <w:t>.</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260202">
        <w:rPr>
          <w:rFonts w:cs="Arial"/>
          <w:sz w:val="20"/>
          <w:szCs w:val="20"/>
          <w:rtl/>
        </w:rPr>
        <w:t xml:space="preserve">חל ליל טבילתה במוצאי שבת והוא יום טוב שאי אפשר לחוף, אז תחוף בערב שבת; וכן אם חלו ב' ימים טובים ביום חמישי וששי, וחל ליל טבילתה בליל שבת, תחוף ביום רביעי בשבת ותקשור שערותיה כדי שלא יתבלבלו. </w:t>
      </w:r>
      <w:r>
        <w:rPr>
          <w:rFonts w:cs="Arial" w:hint="cs"/>
          <w:sz w:val="18"/>
          <w:szCs w:val="18"/>
          <w:rtl/>
        </w:rPr>
        <w:br/>
      </w:r>
      <w:r w:rsidRPr="00AB61EB">
        <w:rPr>
          <w:rFonts w:cs="Arial"/>
          <w:sz w:val="18"/>
          <w:szCs w:val="18"/>
          <w:rtl/>
        </w:rPr>
        <w:t>הגה: גם תזהר בימים שבין החפיפה לטבילה מכל טינופת, ושלא ידבק בה שום דבר; גם מנגיעת תבשילין, או מנתינתן לבניה הקטנים, תיזהר, אם אפשר לה ליזהר, אם הם דברים</w:t>
      </w:r>
      <w:r>
        <w:rPr>
          <w:rFonts w:cs="Arial" w:hint="cs"/>
          <w:sz w:val="18"/>
          <w:szCs w:val="18"/>
          <w:rtl/>
        </w:rPr>
        <w:t xml:space="preserve"> הנדבקים</w:t>
      </w:r>
      <w:r w:rsidRPr="00AB61EB">
        <w:rPr>
          <w:rFonts w:cs="Arial"/>
          <w:sz w:val="18"/>
          <w:szCs w:val="18"/>
          <w:rtl/>
        </w:rPr>
        <w:t>. ואם אי אפשר לה ליזהר, כגון שאין לה מי שיעשה במקומה או שצריכה ליגע בהן בשעת אכילה, אין לחוש, ומ</w:t>
      </w:r>
      <w:r>
        <w:rPr>
          <w:rFonts w:cs="Arial" w:hint="cs"/>
          <w:sz w:val="18"/>
          <w:szCs w:val="18"/>
          <w:rtl/>
        </w:rPr>
        <w:t xml:space="preserve">כל </w:t>
      </w:r>
      <w:r w:rsidRPr="00AB61EB">
        <w:rPr>
          <w:rFonts w:cs="Arial"/>
          <w:sz w:val="18"/>
          <w:szCs w:val="18"/>
          <w:rtl/>
        </w:rPr>
        <w:t>מ</w:t>
      </w:r>
      <w:r>
        <w:rPr>
          <w:rFonts w:cs="Arial" w:hint="cs"/>
          <w:sz w:val="18"/>
          <w:szCs w:val="18"/>
          <w:rtl/>
        </w:rPr>
        <w:t>קום</w:t>
      </w:r>
      <w:r w:rsidRPr="00AB61EB">
        <w:rPr>
          <w:rFonts w:cs="Arial"/>
          <w:sz w:val="18"/>
          <w:szCs w:val="18"/>
          <w:rtl/>
        </w:rPr>
        <w:t xml:space="preserve"> תרחוץ ידיה כל פעם שלא תב</w:t>
      </w:r>
      <w:r>
        <w:rPr>
          <w:rFonts w:cs="Arial" w:hint="cs"/>
          <w:sz w:val="18"/>
          <w:szCs w:val="18"/>
          <w:rtl/>
        </w:rPr>
        <w:t>ו</w:t>
      </w:r>
      <w:r w:rsidRPr="00AB61EB">
        <w:rPr>
          <w:rFonts w:cs="Arial"/>
          <w:sz w:val="18"/>
          <w:szCs w:val="18"/>
          <w:rtl/>
        </w:rPr>
        <w:t>א לידי חציצה</w:t>
      </w:r>
      <w:r w:rsidRPr="00260202">
        <w:rPr>
          <w:rFonts w:cs="Arial"/>
          <w:sz w:val="20"/>
          <w:szCs w:val="20"/>
          <w:rtl/>
        </w:rPr>
        <w:t xml:space="preserve">. </w:t>
      </w:r>
      <w:r>
        <w:rPr>
          <w:rFonts w:cs="Arial" w:hint="cs"/>
          <w:sz w:val="20"/>
          <w:szCs w:val="20"/>
          <w:rtl/>
        </w:rPr>
        <w:br/>
      </w:r>
      <w:r w:rsidRPr="00260202">
        <w:rPr>
          <w:rFonts w:cs="Arial"/>
          <w:sz w:val="20"/>
          <w:szCs w:val="20"/>
          <w:rtl/>
        </w:rPr>
        <w:t>ובשעת טבילה תעיין ותבדוק היטב כל גופה ושערות ראשה, שלא יהא דבר חוצץ, ותדיח בית הסתרים במים חמים שהוחמו, אפילו ביום טוב, וכן תחצוץ שיניה בטוב בשעת הטבילה שלא י</w:t>
      </w:r>
      <w:r>
        <w:rPr>
          <w:rFonts w:cs="Arial" w:hint="cs"/>
          <w:sz w:val="20"/>
          <w:szCs w:val="20"/>
          <w:rtl/>
        </w:rPr>
        <w:t>י</w:t>
      </w:r>
      <w:r w:rsidRPr="00260202">
        <w:rPr>
          <w:rFonts w:cs="Arial"/>
          <w:sz w:val="20"/>
          <w:szCs w:val="20"/>
          <w:rtl/>
        </w:rPr>
        <w:t>שאר פירורין ולא בשר ולא עצם</w:t>
      </w:r>
      <w:r>
        <w:rPr>
          <w:rFonts w:cs="Arial" w:hint="cs"/>
          <w:sz w:val="20"/>
          <w:szCs w:val="20"/>
          <w:rtl/>
        </w:rPr>
        <w:t>".</w:t>
      </w:r>
    </w:p>
    <w:p w:rsidR="00620060" w:rsidRPr="00FE5A98" w:rsidRDefault="00620060" w:rsidP="00620060">
      <w:pPr>
        <w:rPr>
          <w:sz w:val="20"/>
          <w:szCs w:val="20"/>
          <w:rtl/>
        </w:rPr>
      </w:pPr>
      <w:r>
        <w:rPr>
          <w:rFonts w:hint="cs"/>
          <w:sz w:val="20"/>
          <w:szCs w:val="20"/>
          <w:u w:val="single"/>
          <w:rtl/>
        </w:rPr>
        <w:t>הכרעת הש"ך</w:t>
      </w:r>
      <w:r>
        <w:rPr>
          <w:sz w:val="20"/>
          <w:szCs w:val="20"/>
          <w:u w:val="single"/>
          <w:rtl/>
        </w:rPr>
        <w:br/>
      </w:r>
      <w:r>
        <w:rPr>
          <w:rFonts w:hint="cs"/>
          <w:sz w:val="20"/>
          <w:szCs w:val="20"/>
          <w:rtl/>
        </w:rPr>
        <w:t>הלכה כרמ"א שצריך להיזהר בין חפיפה לטבילה מדברים החוצצים. ואמנם אין לסמוך על זהירות זו בלבד, אלא יש לעיין בשעת חפיפה ובשעת הטבילה.</w:t>
      </w:r>
      <w:r>
        <w:rPr>
          <w:rStyle w:val="a5"/>
          <w:sz w:val="20"/>
          <w:szCs w:val="20"/>
          <w:rtl/>
        </w:rPr>
        <w:footnoteReference w:id="723"/>
      </w:r>
    </w:p>
    <w:p w:rsidR="00620060" w:rsidRPr="00033786" w:rsidRDefault="00620060" w:rsidP="00620060">
      <w:pPr>
        <w:rPr>
          <w:sz w:val="20"/>
          <w:szCs w:val="20"/>
          <w:rtl/>
        </w:rPr>
      </w:pPr>
      <w:r>
        <w:rPr>
          <w:rFonts w:hint="cs"/>
          <w:sz w:val="20"/>
          <w:szCs w:val="20"/>
          <w:u w:val="single"/>
          <w:rtl/>
        </w:rPr>
        <w:t>לא עיינה בגופה סמוך לטבילה</w:t>
      </w:r>
      <w:r>
        <w:rPr>
          <w:sz w:val="20"/>
          <w:szCs w:val="20"/>
          <w:u w:val="single"/>
          <w:rtl/>
        </w:rPr>
        <w:br/>
      </w:r>
      <w:r>
        <w:rPr>
          <w:rFonts w:hint="cs"/>
          <w:sz w:val="20"/>
          <w:szCs w:val="20"/>
          <w:rtl/>
        </w:rPr>
        <w:t>אשה שחפפה כנ"ל אך לא עיינה בגופה סמוך לטבילה, האם עלתה לה טבילה?</w:t>
      </w:r>
      <w:r>
        <w:rPr>
          <w:rFonts w:hint="cs"/>
          <w:sz w:val="20"/>
          <w:szCs w:val="20"/>
          <w:rtl/>
        </w:rPr>
        <w:br/>
        <w:t xml:space="preserve">א. </w:t>
      </w:r>
      <w:r w:rsidRPr="00936E0D">
        <w:rPr>
          <w:rFonts w:hint="cs"/>
          <w:b/>
          <w:bCs/>
          <w:sz w:val="20"/>
          <w:szCs w:val="20"/>
          <w:rtl/>
        </w:rPr>
        <w:t>טור</w:t>
      </w:r>
      <w:r>
        <w:rPr>
          <w:rFonts w:hint="cs"/>
          <w:sz w:val="20"/>
          <w:szCs w:val="20"/>
          <w:rtl/>
        </w:rPr>
        <w:t xml:space="preserve"> </w:t>
      </w:r>
      <w:r>
        <w:rPr>
          <w:sz w:val="20"/>
          <w:szCs w:val="20"/>
          <w:rtl/>
        </w:rPr>
        <w:t>–</w:t>
      </w:r>
      <w:r>
        <w:rPr>
          <w:rFonts w:hint="cs"/>
          <w:sz w:val="20"/>
          <w:szCs w:val="20"/>
          <w:rtl/>
        </w:rPr>
        <w:t xml:space="preserve"> כן.</w:t>
      </w:r>
      <w:r>
        <w:rPr>
          <w:sz w:val="20"/>
          <w:szCs w:val="20"/>
          <w:rtl/>
        </w:rPr>
        <w:br/>
      </w:r>
      <w:r w:rsidRPr="00936E0D">
        <w:rPr>
          <w:rFonts w:hint="cs"/>
          <w:b/>
          <w:bCs/>
          <w:sz w:val="20"/>
          <w:szCs w:val="20"/>
          <w:rtl/>
        </w:rPr>
        <w:t xml:space="preserve">טעם </w:t>
      </w:r>
      <w:r>
        <w:rPr>
          <w:sz w:val="20"/>
          <w:szCs w:val="20"/>
          <w:rtl/>
        </w:rPr>
        <w:t>–</w:t>
      </w:r>
      <w:r>
        <w:rPr>
          <w:rFonts w:hint="cs"/>
          <w:sz w:val="20"/>
          <w:szCs w:val="20"/>
          <w:rtl/>
        </w:rPr>
        <w:t xml:space="preserve"> כיוון שחפפה ובדקה ביום ד' ואחר כך נזהרה מלגעת בתבשיל.</w:t>
      </w:r>
      <w:r>
        <w:rPr>
          <w:sz w:val="20"/>
          <w:szCs w:val="20"/>
          <w:rtl/>
        </w:rPr>
        <w:br/>
      </w:r>
      <w:r>
        <w:rPr>
          <w:rFonts w:hint="cs"/>
          <w:sz w:val="20"/>
          <w:szCs w:val="20"/>
          <w:rtl/>
        </w:rPr>
        <w:t>ב.</w:t>
      </w:r>
      <w:r w:rsidRPr="00936E0D">
        <w:rPr>
          <w:rFonts w:hint="cs"/>
          <w:b/>
          <w:bCs/>
          <w:sz w:val="20"/>
          <w:szCs w:val="20"/>
          <w:rtl/>
        </w:rPr>
        <w:t xml:space="preserve"> ב"ח </w:t>
      </w:r>
      <w:r>
        <w:rPr>
          <w:sz w:val="20"/>
          <w:szCs w:val="20"/>
          <w:rtl/>
        </w:rPr>
        <w:t>–</w:t>
      </w:r>
      <w:r>
        <w:rPr>
          <w:rFonts w:hint="cs"/>
          <w:sz w:val="20"/>
          <w:szCs w:val="20"/>
          <w:rtl/>
        </w:rPr>
        <w:t xml:space="preserve"> לא. </w:t>
      </w:r>
    </w:p>
    <w:p w:rsidR="00620060" w:rsidRDefault="00620060" w:rsidP="00620060">
      <w:pPr>
        <w:spacing w:line="300" w:lineRule="exact"/>
        <w:rPr>
          <w:rFonts w:asciiTheme="minorBidi" w:hAnsiTheme="minorBidi"/>
          <w:sz w:val="20"/>
          <w:szCs w:val="20"/>
          <w:rtl/>
        </w:rPr>
      </w:pPr>
      <w:r w:rsidRPr="00033786">
        <w:rPr>
          <w:rFonts w:asciiTheme="minorBidi" w:hAnsiTheme="minorBidi"/>
          <w:sz w:val="20"/>
          <w:szCs w:val="20"/>
          <w:u w:val="single"/>
          <w:rtl/>
        </w:rPr>
        <w:t>רחיצה בחמין בשבת וביו</w:t>
      </w:r>
      <w:r>
        <w:rPr>
          <w:rFonts w:asciiTheme="minorBidi" w:hAnsiTheme="minorBidi" w:hint="cs"/>
          <w:sz w:val="20"/>
          <w:szCs w:val="20"/>
          <w:u w:val="single"/>
          <w:rtl/>
        </w:rPr>
        <w:t>ם טוב</w:t>
      </w:r>
      <w:r>
        <w:rPr>
          <w:rFonts w:asciiTheme="minorBidi" w:hAnsiTheme="minorBidi"/>
          <w:sz w:val="20"/>
          <w:szCs w:val="20"/>
          <w:u w:val="single"/>
          <w:rtl/>
        </w:rPr>
        <w:br/>
      </w:r>
      <w:r w:rsidRPr="00033786">
        <w:rPr>
          <w:rFonts w:asciiTheme="minorBidi" w:hAnsiTheme="minorBidi" w:hint="cs"/>
          <w:sz w:val="20"/>
          <w:szCs w:val="20"/>
          <w:rtl/>
        </w:rPr>
        <w:t xml:space="preserve">א. </w:t>
      </w:r>
      <w:r w:rsidRPr="00033786">
        <w:rPr>
          <w:rFonts w:asciiTheme="minorBidi" w:hAnsiTheme="minorBidi"/>
          <w:sz w:val="20"/>
          <w:szCs w:val="20"/>
          <w:rtl/>
        </w:rPr>
        <w:t>מים שהוחמו בערב שבת</w:t>
      </w:r>
      <w:r>
        <w:rPr>
          <w:rFonts w:asciiTheme="minorBidi" w:hAnsiTheme="minorBidi" w:hint="cs"/>
          <w:sz w:val="20"/>
          <w:szCs w:val="20"/>
          <w:rtl/>
        </w:rPr>
        <w:t>,</w:t>
      </w:r>
      <w:r w:rsidRPr="00033786">
        <w:rPr>
          <w:rFonts w:asciiTheme="minorBidi" w:hAnsiTheme="minorBidi"/>
          <w:sz w:val="20"/>
          <w:szCs w:val="20"/>
          <w:rtl/>
        </w:rPr>
        <w:t xml:space="preserve"> מותר לרחוץ </w:t>
      </w:r>
      <w:r>
        <w:rPr>
          <w:rFonts w:asciiTheme="minorBidi" w:hAnsiTheme="minorBidi" w:hint="cs"/>
          <w:sz w:val="20"/>
          <w:szCs w:val="20"/>
          <w:rtl/>
        </w:rPr>
        <w:t xml:space="preserve">בהם </w:t>
      </w:r>
      <w:r>
        <w:rPr>
          <w:rFonts w:asciiTheme="minorBidi" w:hAnsiTheme="minorBidi"/>
          <w:sz w:val="20"/>
          <w:szCs w:val="20"/>
          <w:rtl/>
        </w:rPr>
        <w:t>פ</w:t>
      </w:r>
      <w:r>
        <w:rPr>
          <w:rFonts w:asciiTheme="minorBidi" w:hAnsiTheme="minorBidi" w:hint="cs"/>
          <w:sz w:val="20"/>
          <w:szCs w:val="20"/>
          <w:rtl/>
        </w:rPr>
        <w:t>ני ידיו ורגליו</w:t>
      </w:r>
      <w:r w:rsidRPr="00033786">
        <w:rPr>
          <w:rFonts w:asciiTheme="minorBidi" w:hAnsiTheme="minorBidi"/>
          <w:sz w:val="20"/>
          <w:szCs w:val="20"/>
          <w:rtl/>
        </w:rPr>
        <w:t xml:space="preserve"> וכן שאר איברים אבל לא כל גופו או רובו אף לא אבר אבר </w:t>
      </w:r>
      <w:r w:rsidRPr="00033786">
        <w:rPr>
          <w:rFonts w:asciiTheme="minorBidi" w:hAnsiTheme="minorBidi"/>
          <w:sz w:val="18"/>
          <w:szCs w:val="18"/>
          <w:rtl/>
        </w:rPr>
        <w:t>(</w:t>
      </w:r>
      <w:r w:rsidRPr="00033786">
        <w:rPr>
          <w:rFonts w:asciiTheme="minorBidi" w:hAnsiTheme="minorBidi" w:hint="cs"/>
          <w:sz w:val="18"/>
          <w:szCs w:val="18"/>
          <w:rtl/>
        </w:rPr>
        <w:t>או"ח סימן</w:t>
      </w:r>
      <w:r w:rsidRPr="00033786">
        <w:rPr>
          <w:rFonts w:asciiTheme="minorBidi" w:hAnsiTheme="minorBidi"/>
          <w:sz w:val="18"/>
          <w:szCs w:val="18"/>
          <w:rtl/>
        </w:rPr>
        <w:t xml:space="preserve"> שכו)</w:t>
      </w:r>
      <w:r w:rsidRPr="00033786">
        <w:rPr>
          <w:rFonts w:asciiTheme="minorBidi" w:hAnsiTheme="minorBidi"/>
          <w:sz w:val="20"/>
          <w:szCs w:val="20"/>
          <w:rtl/>
        </w:rPr>
        <w:t>.</w:t>
      </w:r>
      <w:r>
        <w:rPr>
          <w:rFonts w:asciiTheme="minorBidi" w:hAnsiTheme="minorBidi"/>
          <w:sz w:val="20"/>
          <w:szCs w:val="20"/>
          <w:u w:val="single"/>
          <w:rtl/>
        </w:rPr>
        <w:br/>
      </w:r>
      <w:r>
        <w:rPr>
          <w:rFonts w:asciiTheme="minorBidi" w:hAnsiTheme="minorBidi" w:hint="cs"/>
          <w:sz w:val="20"/>
          <w:szCs w:val="20"/>
          <w:rtl/>
        </w:rPr>
        <w:t xml:space="preserve">ב. </w:t>
      </w:r>
      <w:r w:rsidRPr="00033786">
        <w:rPr>
          <w:rFonts w:asciiTheme="minorBidi" w:hAnsiTheme="minorBidi"/>
          <w:sz w:val="20"/>
          <w:szCs w:val="20"/>
          <w:rtl/>
        </w:rPr>
        <w:t>מים שהוחמו בערב יו"ט</w:t>
      </w:r>
      <w:r>
        <w:rPr>
          <w:rFonts w:asciiTheme="minorBidi" w:hAnsiTheme="minorBidi" w:hint="cs"/>
          <w:sz w:val="20"/>
          <w:szCs w:val="20"/>
          <w:rtl/>
        </w:rPr>
        <w:t>,</w:t>
      </w:r>
      <w:r w:rsidRPr="00033786">
        <w:rPr>
          <w:rFonts w:asciiTheme="minorBidi" w:hAnsiTheme="minorBidi"/>
          <w:sz w:val="20"/>
          <w:szCs w:val="20"/>
          <w:rtl/>
        </w:rPr>
        <w:t xml:space="preserve"> לדעת המחבר </w:t>
      </w:r>
      <w:r w:rsidRPr="00033786">
        <w:rPr>
          <w:rFonts w:asciiTheme="minorBidi" w:hAnsiTheme="minorBidi"/>
          <w:sz w:val="18"/>
          <w:szCs w:val="18"/>
          <w:rtl/>
        </w:rPr>
        <w:t>(</w:t>
      </w:r>
      <w:r w:rsidRPr="00033786">
        <w:rPr>
          <w:rFonts w:asciiTheme="minorBidi" w:hAnsiTheme="minorBidi" w:hint="cs"/>
          <w:sz w:val="18"/>
          <w:szCs w:val="18"/>
          <w:rtl/>
        </w:rPr>
        <w:t>או"ח סימן</w:t>
      </w:r>
      <w:r w:rsidRPr="00033786">
        <w:rPr>
          <w:rFonts w:asciiTheme="minorBidi" w:hAnsiTheme="minorBidi"/>
          <w:sz w:val="18"/>
          <w:szCs w:val="18"/>
          <w:rtl/>
        </w:rPr>
        <w:t xml:space="preserve"> תקיא) </w:t>
      </w:r>
      <w:r w:rsidRPr="00033786">
        <w:rPr>
          <w:rFonts w:asciiTheme="minorBidi" w:hAnsiTheme="minorBidi"/>
          <w:sz w:val="20"/>
          <w:szCs w:val="20"/>
          <w:rtl/>
        </w:rPr>
        <w:t>מותר לרחוץ כל גופו אפילו כאחד, ולדעת הרמ"א אסור כל גופו כאחד, אבל מותר כל אבר אבר לחודיה.</w:t>
      </w:r>
      <w:r>
        <w:rPr>
          <w:rFonts w:asciiTheme="minorBidi" w:hAnsiTheme="minorBidi"/>
          <w:sz w:val="20"/>
          <w:szCs w:val="20"/>
          <w:u w:val="single"/>
          <w:rtl/>
        </w:rPr>
        <w:br/>
      </w:r>
      <w:r>
        <w:rPr>
          <w:rFonts w:asciiTheme="minorBidi" w:hAnsiTheme="minorBidi" w:hint="cs"/>
          <w:sz w:val="20"/>
          <w:szCs w:val="20"/>
          <w:rtl/>
        </w:rPr>
        <w:t xml:space="preserve">ג. </w:t>
      </w:r>
      <w:r w:rsidRPr="00033786">
        <w:rPr>
          <w:rFonts w:asciiTheme="minorBidi" w:hAnsiTheme="minorBidi"/>
          <w:sz w:val="20"/>
          <w:szCs w:val="20"/>
          <w:rtl/>
        </w:rPr>
        <w:t xml:space="preserve">מים שהוחמו ביו"ט מותר </w:t>
      </w:r>
      <w:r>
        <w:rPr>
          <w:rFonts w:asciiTheme="minorBidi" w:hAnsiTheme="minorBidi" w:hint="cs"/>
          <w:sz w:val="20"/>
          <w:szCs w:val="20"/>
          <w:rtl/>
        </w:rPr>
        <w:t xml:space="preserve">פניו ידיו ורגליו, </w:t>
      </w:r>
      <w:r w:rsidRPr="00033786">
        <w:rPr>
          <w:rFonts w:asciiTheme="minorBidi" w:hAnsiTheme="minorBidi"/>
          <w:sz w:val="20"/>
          <w:szCs w:val="20"/>
          <w:rtl/>
        </w:rPr>
        <w:t xml:space="preserve">נחלקו </w:t>
      </w:r>
      <w:r>
        <w:rPr>
          <w:rFonts w:asciiTheme="minorBidi" w:hAnsiTheme="minorBidi" w:hint="cs"/>
          <w:sz w:val="20"/>
          <w:szCs w:val="20"/>
          <w:rtl/>
        </w:rPr>
        <w:t>ה</w:t>
      </w:r>
      <w:r w:rsidRPr="00033786">
        <w:rPr>
          <w:rFonts w:asciiTheme="minorBidi" w:hAnsiTheme="minorBidi"/>
          <w:sz w:val="20"/>
          <w:szCs w:val="20"/>
          <w:rtl/>
        </w:rPr>
        <w:t>אחרונים האם דווקא איברים אלו או כל איברים</w:t>
      </w:r>
      <w:r>
        <w:rPr>
          <w:rFonts w:asciiTheme="minorBidi" w:hAnsiTheme="minorBidi" w:hint="cs"/>
          <w:sz w:val="20"/>
          <w:szCs w:val="20"/>
          <w:rtl/>
        </w:rPr>
        <w:t xml:space="preserve"> - </w:t>
      </w:r>
      <w:r w:rsidRPr="00033786">
        <w:rPr>
          <w:rFonts w:asciiTheme="minorBidi" w:hAnsiTheme="minorBidi"/>
          <w:sz w:val="20"/>
          <w:szCs w:val="20"/>
          <w:rtl/>
        </w:rPr>
        <w:t xml:space="preserve"> </w:t>
      </w:r>
      <w:r>
        <w:rPr>
          <w:rFonts w:asciiTheme="minorBidi" w:hAnsiTheme="minorBidi" w:hint="cs"/>
          <w:sz w:val="20"/>
          <w:szCs w:val="20"/>
          <w:rtl/>
        </w:rPr>
        <w:br/>
      </w:r>
      <w:r w:rsidRPr="00BE71C3">
        <w:rPr>
          <w:rFonts w:asciiTheme="minorBidi" w:hAnsiTheme="minorBidi"/>
          <w:b/>
          <w:bCs/>
          <w:sz w:val="20"/>
          <w:szCs w:val="20"/>
          <w:rtl/>
        </w:rPr>
        <w:t>משאת בנימין</w:t>
      </w:r>
      <w:r>
        <w:rPr>
          <w:rFonts w:asciiTheme="minorBidi" w:hAnsiTheme="minorBidi" w:hint="cs"/>
          <w:sz w:val="20"/>
          <w:szCs w:val="20"/>
          <w:rtl/>
        </w:rPr>
        <w:t xml:space="preserve"> </w:t>
      </w:r>
      <w:r w:rsidRPr="00A26B9F">
        <w:rPr>
          <w:rFonts w:asciiTheme="minorBidi" w:hAnsiTheme="minorBidi" w:hint="cs"/>
          <w:b/>
          <w:bCs/>
          <w:sz w:val="20"/>
          <w:szCs w:val="20"/>
          <w:rtl/>
        </w:rPr>
        <w:t>וש"ך</w:t>
      </w:r>
      <w:r>
        <w:rPr>
          <w:rFonts w:asciiTheme="minorBidi" w:hAnsiTheme="minorBidi" w:hint="cs"/>
          <w:sz w:val="20"/>
          <w:szCs w:val="20"/>
          <w:rtl/>
        </w:rPr>
        <w:t xml:space="preserve"> </w:t>
      </w:r>
      <w:r>
        <w:rPr>
          <w:rFonts w:asciiTheme="minorBidi" w:hAnsiTheme="minorBidi"/>
          <w:sz w:val="20"/>
          <w:szCs w:val="20"/>
          <w:rtl/>
        </w:rPr>
        <w:t>–</w:t>
      </w:r>
      <w:r>
        <w:rPr>
          <w:rFonts w:asciiTheme="minorBidi" w:hAnsiTheme="minorBidi" w:hint="cs"/>
          <w:sz w:val="20"/>
          <w:szCs w:val="20"/>
          <w:rtl/>
        </w:rPr>
        <w:t xml:space="preserve"> רק איברים אלו.</w:t>
      </w:r>
      <w:r w:rsidRPr="00033786">
        <w:rPr>
          <w:rFonts w:asciiTheme="minorBidi" w:hAnsiTheme="minorBidi"/>
          <w:sz w:val="20"/>
          <w:szCs w:val="20"/>
          <w:rtl/>
        </w:rPr>
        <w:t xml:space="preserve"> </w:t>
      </w:r>
      <w:r>
        <w:rPr>
          <w:rFonts w:asciiTheme="minorBidi" w:hAnsiTheme="minorBidi" w:hint="cs"/>
          <w:sz w:val="20"/>
          <w:szCs w:val="20"/>
          <w:rtl/>
        </w:rPr>
        <w:br/>
        <w:t xml:space="preserve">משמע </w:t>
      </w:r>
      <w:r w:rsidRPr="00A26B9F">
        <w:rPr>
          <w:rFonts w:asciiTheme="minorBidi" w:hAnsiTheme="minorBidi" w:hint="cs"/>
          <w:b/>
          <w:bCs/>
          <w:sz w:val="20"/>
          <w:szCs w:val="20"/>
          <w:rtl/>
        </w:rPr>
        <w:t>מהמחבר</w:t>
      </w:r>
      <w:r>
        <w:rPr>
          <w:rFonts w:asciiTheme="minorBidi" w:hAnsiTheme="minorBidi" w:hint="cs"/>
          <w:sz w:val="20"/>
          <w:szCs w:val="20"/>
          <w:rtl/>
        </w:rPr>
        <w:t xml:space="preserve"> </w:t>
      </w:r>
      <w:r>
        <w:rPr>
          <w:rFonts w:asciiTheme="minorBidi" w:hAnsiTheme="minorBidi"/>
          <w:sz w:val="20"/>
          <w:szCs w:val="20"/>
          <w:rtl/>
        </w:rPr>
        <w:t>–</w:t>
      </w:r>
      <w:r>
        <w:rPr>
          <w:rFonts w:asciiTheme="minorBidi" w:hAnsiTheme="minorBidi" w:hint="cs"/>
          <w:sz w:val="20"/>
          <w:szCs w:val="20"/>
          <w:rtl/>
        </w:rPr>
        <w:t xml:space="preserve"> יש להקל גם בשאר אברים ובלבד שלא תרחץ את רוב הגוף</w:t>
      </w:r>
      <w:r>
        <w:rPr>
          <w:rStyle w:val="a5"/>
          <w:rFonts w:asciiTheme="minorBidi" w:hAnsiTheme="minorBidi"/>
          <w:sz w:val="20"/>
          <w:szCs w:val="20"/>
          <w:rtl/>
        </w:rPr>
        <w:footnoteReference w:id="724"/>
      </w:r>
      <w:r>
        <w:rPr>
          <w:rFonts w:asciiTheme="minorBidi" w:hAnsiTheme="minorBidi" w:hint="cs"/>
          <w:sz w:val="20"/>
          <w:szCs w:val="20"/>
          <w:rtl/>
        </w:rPr>
        <w:t>, וכן פסקו</w:t>
      </w:r>
      <w:r w:rsidRPr="00033786">
        <w:rPr>
          <w:rFonts w:asciiTheme="minorBidi" w:hAnsiTheme="minorBidi"/>
          <w:sz w:val="20"/>
          <w:szCs w:val="20"/>
          <w:rtl/>
        </w:rPr>
        <w:t xml:space="preserve"> רבים להקל לפחות לעניין רחיצת </w:t>
      </w:r>
      <w:r>
        <w:rPr>
          <w:rFonts w:asciiTheme="minorBidi" w:hAnsiTheme="minorBidi"/>
          <w:sz w:val="20"/>
          <w:szCs w:val="20"/>
          <w:rtl/>
        </w:rPr>
        <w:t>המקום לצורך מצוה</w:t>
      </w:r>
      <w:r>
        <w:rPr>
          <w:rFonts w:asciiTheme="minorBidi" w:hAnsiTheme="minorBidi" w:hint="cs"/>
          <w:sz w:val="20"/>
          <w:szCs w:val="20"/>
          <w:rtl/>
        </w:rPr>
        <w:t>.</w:t>
      </w:r>
    </w:p>
    <w:p w:rsidR="00620060" w:rsidRDefault="00620060" w:rsidP="00620060">
      <w:pPr>
        <w:spacing w:line="300" w:lineRule="exact"/>
        <w:rPr>
          <w:rFonts w:asciiTheme="minorBidi" w:hAnsiTheme="minorBidi"/>
          <w:sz w:val="20"/>
          <w:szCs w:val="20"/>
          <w:rtl/>
        </w:rPr>
      </w:pPr>
      <w:r>
        <w:rPr>
          <w:rFonts w:asciiTheme="minorBidi" w:hAnsiTheme="minorBidi" w:hint="cs"/>
          <w:sz w:val="20"/>
          <w:szCs w:val="20"/>
          <w:u w:val="single"/>
          <w:rtl/>
        </w:rPr>
        <w:t>הפסק טהרה בשבת ויום טוב</w:t>
      </w:r>
      <w:r>
        <w:rPr>
          <w:rFonts w:asciiTheme="minorBidi" w:hAnsiTheme="minorBidi"/>
          <w:sz w:val="20"/>
          <w:szCs w:val="20"/>
          <w:u w:val="single"/>
          <w:rtl/>
        </w:rPr>
        <w:br/>
      </w:r>
      <w:r>
        <w:rPr>
          <w:rFonts w:asciiTheme="minorBidi" w:hAnsiTheme="minorBidi" w:hint="cs"/>
          <w:sz w:val="20"/>
          <w:szCs w:val="20"/>
          <w:rtl/>
        </w:rPr>
        <w:t xml:space="preserve">נהגו הנשים שלא לעשות הפסק טהרה בשבת </w:t>
      </w:r>
      <w:r w:rsidRPr="00012860">
        <w:rPr>
          <w:rFonts w:asciiTheme="minorBidi" w:hAnsiTheme="minorBidi" w:hint="cs"/>
          <w:sz w:val="18"/>
          <w:szCs w:val="18"/>
          <w:rtl/>
        </w:rPr>
        <w:t>(שכולל, כמובן, רחצת אותו מקום)</w:t>
      </w:r>
      <w:r w:rsidRPr="003B1D29">
        <w:rPr>
          <w:rFonts w:asciiTheme="minorBidi" w:hAnsiTheme="minorBidi" w:hint="cs"/>
          <w:sz w:val="20"/>
          <w:szCs w:val="20"/>
          <w:rtl/>
        </w:rPr>
        <w:t>,</w:t>
      </w:r>
      <w:r>
        <w:rPr>
          <w:rFonts w:asciiTheme="minorBidi" w:hAnsiTheme="minorBidi" w:hint="cs"/>
          <w:sz w:val="18"/>
          <w:szCs w:val="18"/>
          <w:rtl/>
        </w:rPr>
        <w:t xml:space="preserve"> </w:t>
      </w:r>
      <w:r w:rsidRPr="003B1D29">
        <w:rPr>
          <w:rFonts w:asciiTheme="minorBidi" w:hAnsiTheme="minorBidi" w:hint="cs"/>
          <w:sz w:val="20"/>
          <w:szCs w:val="20"/>
          <w:rtl/>
        </w:rPr>
        <w:t>מדוע?</w:t>
      </w:r>
      <w:r>
        <w:rPr>
          <w:rFonts w:asciiTheme="minorBidi" w:hAnsiTheme="minorBidi"/>
          <w:sz w:val="20"/>
          <w:szCs w:val="20"/>
          <w:rtl/>
        </w:rPr>
        <w:br/>
      </w:r>
      <w:r>
        <w:rPr>
          <w:rFonts w:asciiTheme="minorBidi" w:hAnsiTheme="minorBidi" w:hint="cs"/>
          <w:sz w:val="20"/>
          <w:szCs w:val="20"/>
          <w:rtl/>
        </w:rPr>
        <w:t xml:space="preserve">א. </w:t>
      </w:r>
      <w:r w:rsidRPr="00012860">
        <w:rPr>
          <w:rFonts w:asciiTheme="minorBidi" w:hAnsiTheme="minorBidi" w:hint="cs"/>
          <w:b/>
          <w:bCs/>
          <w:sz w:val="20"/>
          <w:szCs w:val="20"/>
          <w:rtl/>
        </w:rPr>
        <w:t>משאת בנימין</w:t>
      </w:r>
      <w:r>
        <w:rPr>
          <w:rFonts w:asciiTheme="minorBidi" w:hAnsiTheme="minorBidi" w:hint="cs"/>
          <w:sz w:val="20"/>
          <w:szCs w:val="20"/>
          <w:rtl/>
        </w:rPr>
        <w:t xml:space="preserve"> </w:t>
      </w:r>
      <w:r>
        <w:rPr>
          <w:rFonts w:asciiTheme="minorBidi" w:hAnsiTheme="minorBidi"/>
          <w:sz w:val="20"/>
          <w:szCs w:val="20"/>
          <w:rtl/>
        </w:rPr>
        <w:t>–</w:t>
      </w:r>
      <w:r>
        <w:rPr>
          <w:rFonts w:asciiTheme="minorBidi" w:hAnsiTheme="minorBidi" w:hint="cs"/>
          <w:sz w:val="20"/>
          <w:szCs w:val="20"/>
          <w:rtl/>
        </w:rPr>
        <w:t xml:space="preserve">  לא כל אשה בקיאה לחלק בין חמים שהוחמו בשבת לחמים שהוחמו מבעוד יום, וכן ביו"ט. כמו כן, אינן יודעות להיזהר מסחיטת שער.</w:t>
      </w:r>
      <w:r>
        <w:rPr>
          <w:rFonts w:asciiTheme="minorBidi" w:hAnsiTheme="minorBidi" w:hint="cs"/>
          <w:sz w:val="20"/>
          <w:szCs w:val="20"/>
          <w:rtl/>
        </w:rPr>
        <w:br/>
        <w:t xml:space="preserve">ב. </w:t>
      </w:r>
      <w:r w:rsidRPr="00012860">
        <w:rPr>
          <w:rFonts w:asciiTheme="minorBidi" w:hAnsiTheme="minorBidi" w:hint="cs"/>
          <w:b/>
          <w:bCs/>
          <w:sz w:val="20"/>
          <w:szCs w:val="20"/>
          <w:rtl/>
        </w:rPr>
        <w:t>ש"ך</w:t>
      </w:r>
      <w:r>
        <w:rPr>
          <w:rFonts w:asciiTheme="minorBidi" w:hAnsiTheme="minorBidi" w:hint="cs"/>
          <w:sz w:val="20"/>
          <w:szCs w:val="20"/>
          <w:rtl/>
        </w:rPr>
        <w:t xml:space="preserve"> </w:t>
      </w:r>
      <w:r>
        <w:rPr>
          <w:rFonts w:asciiTheme="minorBidi" w:hAnsiTheme="minorBidi"/>
          <w:sz w:val="20"/>
          <w:szCs w:val="20"/>
          <w:rtl/>
        </w:rPr>
        <w:t>–</w:t>
      </w:r>
      <w:r>
        <w:rPr>
          <w:rFonts w:asciiTheme="minorBidi" w:hAnsiTheme="minorBidi" w:hint="cs"/>
          <w:sz w:val="20"/>
          <w:szCs w:val="20"/>
          <w:rtl/>
        </w:rPr>
        <w:t xml:space="preserve"> נהגו כך כדי לא לטבול במוצ"ש לפי שאז מרחיקות חפיפה מטבילה. </w:t>
      </w:r>
      <w:r>
        <w:rPr>
          <w:rFonts w:asciiTheme="minorBidi" w:hAnsiTheme="minorBidi"/>
          <w:sz w:val="20"/>
          <w:szCs w:val="20"/>
          <w:rtl/>
        </w:rPr>
        <w:br/>
      </w:r>
      <w:r w:rsidRPr="00012860">
        <w:rPr>
          <w:rFonts w:asciiTheme="minorBidi" w:hAnsiTheme="minorBidi" w:hint="cs"/>
          <w:b/>
          <w:bCs/>
          <w:sz w:val="20"/>
          <w:szCs w:val="20"/>
          <w:rtl/>
        </w:rPr>
        <w:t>ראיה</w:t>
      </w:r>
      <w:r>
        <w:rPr>
          <w:rFonts w:asciiTheme="minorBidi" w:hAnsiTheme="minorBidi" w:hint="cs"/>
          <w:sz w:val="20"/>
          <w:szCs w:val="20"/>
          <w:rtl/>
        </w:rPr>
        <w:t xml:space="preserve"> </w:t>
      </w:r>
      <w:r>
        <w:rPr>
          <w:rFonts w:asciiTheme="minorBidi" w:hAnsiTheme="minorBidi"/>
          <w:sz w:val="20"/>
          <w:szCs w:val="20"/>
          <w:rtl/>
        </w:rPr>
        <w:t>–</w:t>
      </w:r>
      <w:r>
        <w:rPr>
          <w:rFonts w:asciiTheme="minorBidi" w:hAnsiTheme="minorBidi" w:hint="cs"/>
          <w:sz w:val="20"/>
          <w:szCs w:val="20"/>
          <w:rtl/>
        </w:rPr>
        <w:t xml:space="preserve"> מנהג זה נהגו רק בשבת אך לא ביו"ט. </w:t>
      </w:r>
    </w:p>
    <w:p w:rsidR="00620060" w:rsidRDefault="00620060" w:rsidP="00620060">
      <w:pPr>
        <w:spacing w:line="300" w:lineRule="exact"/>
        <w:rPr>
          <w:sz w:val="20"/>
          <w:szCs w:val="20"/>
          <w:rtl/>
        </w:rPr>
      </w:pPr>
      <w:r>
        <w:rPr>
          <w:rFonts w:asciiTheme="minorBidi" w:hAnsiTheme="minorBidi" w:hint="cs"/>
          <w:sz w:val="20"/>
          <w:szCs w:val="20"/>
          <w:rtl/>
        </w:rPr>
        <w:lastRenderedPageBreak/>
        <w:t xml:space="preserve">הכרעת </w:t>
      </w:r>
      <w:r w:rsidRPr="00B33FB5">
        <w:rPr>
          <w:rFonts w:asciiTheme="minorBidi" w:hAnsiTheme="minorBidi" w:hint="cs"/>
          <w:b/>
          <w:bCs/>
          <w:sz w:val="20"/>
          <w:szCs w:val="20"/>
          <w:rtl/>
        </w:rPr>
        <w:t>ששבה"ל</w:t>
      </w:r>
      <w:r>
        <w:rPr>
          <w:rFonts w:asciiTheme="minorBidi" w:hAnsiTheme="minorBidi" w:hint="cs"/>
          <w:sz w:val="20"/>
          <w:szCs w:val="20"/>
          <w:rtl/>
        </w:rPr>
        <w:t xml:space="preserve"> </w:t>
      </w:r>
      <w:r>
        <w:rPr>
          <w:rFonts w:asciiTheme="minorBidi" w:hAnsiTheme="minorBidi"/>
          <w:sz w:val="20"/>
          <w:szCs w:val="20"/>
          <w:rtl/>
        </w:rPr>
        <w:t>–</w:t>
      </w:r>
      <w:r>
        <w:rPr>
          <w:rFonts w:asciiTheme="minorBidi" w:hAnsiTheme="minorBidi" w:hint="cs"/>
          <w:sz w:val="20"/>
          <w:szCs w:val="20"/>
          <w:rtl/>
        </w:rPr>
        <w:t xml:space="preserve"> כיום המנהג לעשות הפסק טהרה בשבת וביו"ט.</w:t>
      </w:r>
      <w:r>
        <w:rPr>
          <w:rFonts w:asciiTheme="minorBidi" w:hAnsiTheme="minorBidi"/>
          <w:sz w:val="20"/>
          <w:szCs w:val="20"/>
          <w:rtl/>
        </w:rPr>
        <w:br/>
      </w:r>
      <w:r>
        <w:rPr>
          <w:b/>
          <w:bCs/>
          <w:sz w:val="20"/>
          <w:szCs w:val="20"/>
          <w:rtl/>
        </w:rPr>
        <w:br/>
      </w:r>
      <w:r w:rsidRPr="00410353">
        <w:rPr>
          <w:rFonts w:hint="cs"/>
          <w:b/>
          <w:bCs/>
          <w:sz w:val="20"/>
          <w:szCs w:val="20"/>
          <w:rtl/>
        </w:rPr>
        <w:t>סיכום</w:t>
      </w:r>
      <w:r>
        <w:rPr>
          <w:sz w:val="20"/>
          <w:szCs w:val="20"/>
          <w:rtl/>
        </w:rPr>
        <w:br/>
      </w:r>
      <w:r>
        <w:rPr>
          <w:rFonts w:hint="cs"/>
          <w:sz w:val="20"/>
          <w:szCs w:val="20"/>
          <w:rtl/>
        </w:rPr>
        <w:t xml:space="preserve">1. </w:t>
      </w:r>
      <w:r w:rsidRPr="00410353">
        <w:rPr>
          <w:rFonts w:hint="cs"/>
          <w:b/>
          <w:bCs/>
          <w:sz w:val="20"/>
          <w:szCs w:val="20"/>
          <w:rtl/>
        </w:rPr>
        <w:t>גמרא</w:t>
      </w:r>
      <w:r>
        <w:rPr>
          <w:rFonts w:hint="cs"/>
          <w:sz w:val="20"/>
          <w:szCs w:val="20"/>
          <w:rtl/>
        </w:rPr>
        <w:t xml:space="preserve">. לדינא אין אומרים את סברת 'שכן' ואין להרחיק חפיפה מטבילה ביום חול. אמנם, מותר להרחיק את החפיפה יומיים מהטבילה כשיש צורך, כגון במוצאי שני יו"ט. אך מוצ"ש ויו"ט ה - ו, אין להרחיק החפיפה כל כך. </w:t>
      </w:r>
      <w:r>
        <w:rPr>
          <w:rFonts w:hint="cs"/>
          <w:sz w:val="20"/>
          <w:szCs w:val="20"/>
          <w:rtl/>
        </w:rPr>
        <w:br/>
        <w:t xml:space="preserve">2. טבילה בליל יו"ט שהוא גם מוצ"ש וכן טבילה בליל שבת לאחר שני יו"ט. </w:t>
      </w:r>
      <w:r w:rsidRPr="00410353">
        <w:rPr>
          <w:rFonts w:hint="cs"/>
          <w:b/>
          <w:bCs/>
          <w:sz w:val="20"/>
          <w:szCs w:val="20"/>
          <w:rtl/>
        </w:rPr>
        <w:t>תוספות</w:t>
      </w:r>
      <w:r>
        <w:rPr>
          <w:rFonts w:hint="cs"/>
          <w:sz w:val="20"/>
          <w:szCs w:val="20"/>
          <w:rtl/>
        </w:rPr>
        <w:t xml:space="preserve">. בשני המקרים חופפת בחול וטובלת בזמנה. </w:t>
      </w:r>
      <w:r w:rsidRPr="00806AE2">
        <w:rPr>
          <w:rFonts w:hint="cs"/>
          <w:b/>
          <w:bCs/>
          <w:sz w:val="20"/>
          <w:szCs w:val="20"/>
          <w:rtl/>
        </w:rPr>
        <w:t>רמב"ם</w:t>
      </w:r>
      <w:r>
        <w:rPr>
          <w:rFonts w:hint="cs"/>
          <w:sz w:val="20"/>
          <w:szCs w:val="20"/>
          <w:rtl/>
        </w:rPr>
        <w:t xml:space="preserve">. רק יום אחד ניתן להרחיק, במוצאי ב' יו"ט שחל בשבת תדחה טבילתה. </w:t>
      </w:r>
      <w:r>
        <w:rPr>
          <w:b/>
          <w:bCs/>
          <w:sz w:val="20"/>
          <w:szCs w:val="20"/>
          <w:rtl/>
        </w:rPr>
        <w:br/>
      </w:r>
      <w:r w:rsidRPr="00806AE2">
        <w:rPr>
          <w:rFonts w:hint="cs"/>
          <w:b/>
          <w:bCs/>
          <w:sz w:val="20"/>
          <w:szCs w:val="20"/>
          <w:rtl/>
        </w:rPr>
        <w:t>רא"ש</w:t>
      </w:r>
      <w:r>
        <w:rPr>
          <w:rFonts w:hint="cs"/>
          <w:sz w:val="20"/>
          <w:szCs w:val="20"/>
          <w:rtl/>
        </w:rPr>
        <w:t xml:space="preserve"> </w:t>
      </w:r>
      <w:r w:rsidRPr="00806AE2">
        <w:rPr>
          <w:rFonts w:hint="cs"/>
          <w:b/>
          <w:bCs/>
          <w:sz w:val="20"/>
          <w:szCs w:val="20"/>
          <w:rtl/>
        </w:rPr>
        <w:t>ורי"ו</w:t>
      </w:r>
      <w:r>
        <w:rPr>
          <w:rFonts w:hint="cs"/>
          <w:sz w:val="20"/>
          <w:szCs w:val="20"/>
          <w:rtl/>
        </w:rPr>
        <w:t>. אין להרחיק חפיפה מטבילה, בשני המקרים תדחה טבילתה.</w:t>
      </w:r>
      <w:r>
        <w:rPr>
          <w:sz w:val="20"/>
          <w:szCs w:val="20"/>
          <w:rtl/>
        </w:rPr>
        <w:br/>
      </w:r>
      <w:r>
        <w:rPr>
          <w:rFonts w:hint="cs"/>
          <w:sz w:val="20"/>
          <w:szCs w:val="20"/>
          <w:rtl/>
        </w:rPr>
        <w:t xml:space="preserve">3. יסוד המחלוקת. </w:t>
      </w:r>
      <w:r w:rsidRPr="00850EC9">
        <w:rPr>
          <w:rFonts w:hint="cs"/>
          <w:b/>
          <w:bCs/>
          <w:sz w:val="20"/>
          <w:szCs w:val="20"/>
          <w:rtl/>
        </w:rPr>
        <w:t>תוספות</w:t>
      </w:r>
      <w:r>
        <w:rPr>
          <w:rFonts w:hint="cs"/>
          <w:sz w:val="20"/>
          <w:szCs w:val="20"/>
          <w:rtl/>
        </w:rPr>
        <w:t xml:space="preserve">. הלכה כסוגייה א' וההיתרים שנאמרו בה להרחיק חפיפה מטבילה נאמרו לדינא. </w:t>
      </w:r>
      <w:r w:rsidRPr="00850EC9">
        <w:rPr>
          <w:rFonts w:hint="cs"/>
          <w:b/>
          <w:bCs/>
          <w:sz w:val="20"/>
          <w:szCs w:val="20"/>
          <w:rtl/>
        </w:rPr>
        <w:t>רא"ש ורמב"ם</w:t>
      </w:r>
      <w:r>
        <w:rPr>
          <w:rFonts w:hint="cs"/>
          <w:sz w:val="20"/>
          <w:szCs w:val="20"/>
          <w:rtl/>
        </w:rPr>
        <w:t>. הלכה כסוגייה ב'.</w:t>
      </w:r>
      <w:r w:rsidRPr="003B1D29">
        <w:rPr>
          <w:rFonts w:hint="cs"/>
          <w:b/>
          <w:bCs/>
          <w:sz w:val="20"/>
          <w:szCs w:val="20"/>
          <w:rtl/>
        </w:rPr>
        <w:t xml:space="preserve"> </w:t>
      </w:r>
      <w:r w:rsidRPr="00850EC9">
        <w:rPr>
          <w:rFonts w:hint="cs"/>
          <w:b/>
          <w:bCs/>
          <w:sz w:val="20"/>
          <w:szCs w:val="20"/>
          <w:rtl/>
        </w:rPr>
        <w:t>רמב"ם</w:t>
      </w:r>
      <w:r>
        <w:rPr>
          <w:rFonts w:hint="cs"/>
          <w:sz w:val="20"/>
          <w:szCs w:val="20"/>
          <w:rtl/>
        </w:rPr>
        <w:t xml:space="preserve">. בסוגייה ב' התירו להרחיק חפיפה מטבילה רק יום אחד. </w:t>
      </w:r>
      <w:r>
        <w:rPr>
          <w:b/>
          <w:bCs/>
          <w:sz w:val="20"/>
          <w:szCs w:val="20"/>
          <w:rtl/>
        </w:rPr>
        <w:br/>
      </w:r>
      <w:r w:rsidRPr="00850EC9">
        <w:rPr>
          <w:rFonts w:hint="cs"/>
          <w:b/>
          <w:bCs/>
          <w:sz w:val="20"/>
          <w:szCs w:val="20"/>
          <w:rtl/>
        </w:rPr>
        <w:t>רא"ש</w:t>
      </w:r>
      <w:r>
        <w:rPr>
          <w:rFonts w:hint="cs"/>
          <w:sz w:val="20"/>
          <w:szCs w:val="20"/>
          <w:rtl/>
        </w:rPr>
        <w:t xml:space="preserve">. משמע שלרש"י חייבת לחפוף בליל טבילה. </w:t>
      </w:r>
      <w:r>
        <w:rPr>
          <w:sz w:val="20"/>
          <w:szCs w:val="20"/>
          <w:rtl/>
        </w:rPr>
        <w:br/>
      </w:r>
      <w:r>
        <w:rPr>
          <w:rFonts w:hint="cs"/>
          <w:sz w:val="20"/>
          <w:szCs w:val="20"/>
          <w:rtl/>
        </w:rPr>
        <w:t xml:space="preserve">4. זהירות בין חפיפה לטבילה מדברים החוצצים. </w:t>
      </w:r>
      <w:r w:rsidRPr="00410353">
        <w:rPr>
          <w:rFonts w:hint="cs"/>
          <w:b/>
          <w:bCs/>
          <w:sz w:val="20"/>
          <w:szCs w:val="20"/>
          <w:rtl/>
        </w:rPr>
        <w:t>רא"ש</w:t>
      </w:r>
      <w:r>
        <w:rPr>
          <w:rFonts w:hint="cs"/>
          <w:sz w:val="20"/>
          <w:szCs w:val="20"/>
          <w:rtl/>
        </w:rPr>
        <w:t xml:space="preserve">. מנהג הנשים לא לתת תבשיל לבניהם, וכ"פ </w:t>
      </w:r>
      <w:r w:rsidRPr="00410353">
        <w:rPr>
          <w:rFonts w:hint="cs"/>
          <w:b/>
          <w:bCs/>
          <w:sz w:val="20"/>
          <w:szCs w:val="20"/>
          <w:rtl/>
        </w:rPr>
        <w:t>הרמ"א</w:t>
      </w:r>
      <w:r>
        <w:rPr>
          <w:rFonts w:hint="cs"/>
          <w:sz w:val="20"/>
          <w:szCs w:val="20"/>
          <w:rtl/>
        </w:rPr>
        <w:t xml:space="preserve">. </w:t>
      </w:r>
      <w:r w:rsidRPr="00410353">
        <w:rPr>
          <w:rFonts w:hint="cs"/>
          <w:b/>
          <w:bCs/>
          <w:sz w:val="20"/>
          <w:szCs w:val="20"/>
          <w:rtl/>
        </w:rPr>
        <w:t>ב"י</w:t>
      </w:r>
      <w:r>
        <w:rPr>
          <w:rFonts w:hint="cs"/>
          <w:sz w:val="20"/>
          <w:szCs w:val="20"/>
          <w:rtl/>
        </w:rPr>
        <w:t>. המנהג אינו מועיל, ידיים עסקניות. וכן צריכה לעיין לפני הטבילה ולכן אינה צריכה להחמיר כנ"ל. ואף אין להורות חומרה זו, שלא יבואו לזלזל בעיון הגוף סמוך לטבילה.</w:t>
      </w:r>
      <w:r>
        <w:rPr>
          <w:sz w:val="20"/>
          <w:szCs w:val="20"/>
          <w:rtl/>
        </w:rPr>
        <w:br/>
      </w:r>
      <w:r>
        <w:rPr>
          <w:rFonts w:hint="cs"/>
          <w:sz w:val="20"/>
          <w:szCs w:val="20"/>
          <w:rtl/>
        </w:rPr>
        <w:t xml:space="preserve">5. יש לאשה לקשור שער ראשה לאחר החפיפה. </w:t>
      </w:r>
      <w:r w:rsidRPr="00410353">
        <w:rPr>
          <w:rFonts w:hint="cs"/>
          <w:b/>
          <w:bCs/>
          <w:sz w:val="20"/>
          <w:szCs w:val="20"/>
          <w:rtl/>
        </w:rPr>
        <w:t>רא"ש</w:t>
      </w:r>
      <w:r>
        <w:rPr>
          <w:rFonts w:hint="cs"/>
          <w:sz w:val="20"/>
          <w:szCs w:val="20"/>
          <w:rtl/>
        </w:rPr>
        <w:t xml:space="preserve">. שלא יתלכלך. </w:t>
      </w:r>
      <w:r w:rsidRPr="00410353">
        <w:rPr>
          <w:rFonts w:hint="cs"/>
          <w:b/>
          <w:bCs/>
          <w:sz w:val="20"/>
          <w:szCs w:val="20"/>
          <w:rtl/>
        </w:rPr>
        <w:t>ב"י</w:t>
      </w:r>
      <w:r>
        <w:rPr>
          <w:rFonts w:hint="cs"/>
          <w:sz w:val="20"/>
          <w:szCs w:val="20"/>
          <w:rtl/>
        </w:rPr>
        <w:t>. שלא ייקשר.</w:t>
      </w:r>
      <w:r>
        <w:rPr>
          <w:sz w:val="20"/>
          <w:szCs w:val="20"/>
          <w:rtl/>
        </w:rPr>
        <w:br/>
      </w:r>
      <w:r>
        <w:rPr>
          <w:rFonts w:hint="cs"/>
          <w:sz w:val="20"/>
          <w:szCs w:val="20"/>
          <w:rtl/>
        </w:rPr>
        <w:t xml:space="preserve">6. </w:t>
      </w:r>
      <w:r w:rsidRPr="00410353">
        <w:rPr>
          <w:rFonts w:hint="cs"/>
          <w:b/>
          <w:bCs/>
          <w:sz w:val="20"/>
          <w:szCs w:val="20"/>
          <w:rtl/>
        </w:rPr>
        <w:t>סמ"ג</w:t>
      </w:r>
      <w:r>
        <w:rPr>
          <w:rFonts w:hint="cs"/>
          <w:sz w:val="20"/>
          <w:szCs w:val="20"/>
          <w:rtl/>
        </w:rPr>
        <w:t xml:space="preserve">. בליל טבילה יש לה לנקר ולחצוץ את שיניה מפני המאכל הנדבק בהן, וכ"פ </w:t>
      </w:r>
      <w:r w:rsidRPr="00410353">
        <w:rPr>
          <w:rFonts w:hint="cs"/>
          <w:b/>
          <w:bCs/>
          <w:sz w:val="20"/>
          <w:szCs w:val="20"/>
          <w:rtl/>
        </w:rPr>
        <w:t>המחבר</w:t>
      </w:r>
      <w:r>
        <w:rPr>
          <w:rFonts w:hint="cs"/>
          <w:sz w:val="20"/>
          <w:szCs w:val="20"/>
          <w:rtl/>
        </w:rPr>
        <w:t>.</w:t>
      </w:r>
      <w:r>
        <w:rPr>
          <w:sz w:val="20"/>
          <w:szCs w:val="20"/>
          <w:rtl/>
        </w:rPr>
        <w:br/>
      </w:r>
      <w:r>
        <w:rPr>
          <w:rFonts w:hint="cs"/>
          <w:sz w:val="20"/>
          <w:szCs w:val="20"/>
          <w:rtl/>
        </w:rPr>
        <w:t xml:space="preserve">7. </w:t>
      </w:r>
      <w:r w:rsidRPr="00410353">
        <w:rPr>
          <w:rFonts w:hint="cs"/>
          <w:b/>
          <w:bCs/>
          <w:sz w:val="20"/>
          <w:szCs w:val="20"/>
          <w:rtl/>
        </w:rPr>
        <w:t>רא"ש</w:t>
      </w:r>
      <w:r>
        <w:rPr>
          <w:rFonts w:hint="cs"/>
          <w:sz w:val="20"/>
          <w:szCs w:val="20"/>
          <w:rtl/>
        </w:rPr>
        <w:t>. תדיח קמטיה במים חמים, ביו"ט אף שחוממו בו ביום, בשבת בחמים שהוחמו מבעו"י.</w:t>
      </w:r>
      <w:r>
        <w:rPr>
          <w:sz w:val="20"/>
          <w:szCs w:val="20"/>
          <w:rtl/>
        </w:rPr>
        <w:br/>
      </w:r>
      <w:r>
        <w:rPr>
          <w:rFonts w:hint="cs"/>
          <w:sz w:val="20"/>
          <w:szCs w:val="20"/>
          <w:rtl/>
        </w:rPr>
        <w:t xml:space="preserve">8. </w:t>
      </w:r>
      <w:r w:rsidRPr="00410353">
        <w:rPr>
          <w:rFonts w:hint="cs"/>
          <w:b/>
          <w:bCs/>
          <w:sz w:val="20"/>
          <w:szCs w:val="20"/>
          <w:rtl/>
        </w:rPr>
        <w:t>מחבר</w:t>
      </w:r>
      <w:r>
        <w:rPr>
          <w:rFonts w:hint="cs"/>
          <w:sz w:val="20"/>
          <w:szCs w:val="20"/>
          <w:rtl/>
        </w:rPr>
        <w:t>. ל"ט שחל במוצ"ש והוא יו"ט, חופפת בע"ש. וכן אם ל"ט בע"ש והוא לאחר ב' יו"ט, חופפת בעיו"ט. ותקשור שער ראשה, וכן תעיין בגופה סמוך לטבילה. תדיח קמטיה במים חמים, ותחצוץ שיניה היטב.</w:t>
      </w:r>
      <w:r>
        <w:rPr>
          <w:sz w:val="20"/>
          <w:szCs w:val="20"/>
          <w:rtl/>
        </w:rPr>
        <w:br/>
      </w:r>
      <w:r w:rsidRPr="00410353">
        <w:rPr>
          <w:rFonts w:hint="cs"/>
          <w:b/>
          <w:bCs/>
          <w:sz w:val="20"/>
          <w:szCs w:val="20"/>
          <w:rtl/>
        </w:rPr>
        <w:t>רמ"א</w:t>
      </w:r>
      <w:r>
        <w:rPr>
          <w:rFonts w:hint="cs"/>
          <w:sz w:val="20"/>
          <w:szCs w:val="20"/>
          <w:rtl/>
        </w:rPr>
        <w:t>. יש להיזהר מנגיעה בתבשילים וכל דבר חוצץ, ואם אי אפשר תדיח ידיה לאחר כל עיסוק כזה.</w:t>
      </w:r>
      <w:r>
        <w:rPr>
          <w:sz w:val="20"/>
          <w:szCs w:val="20"/>
          <w:rtl/>
        </w:rPr>
        <w:br/>
      </w:r>
      <w:r>
        <w:rPr>
          <w:rFonts w:hint="cs"/>
          <w:sz w:val="20"/>
          <w:szCs w:val="20"/>
          <w:rtl/>
        </w:rPr>
        <w:t xml:space="preserve">9. </w:t>
      </w:r>
      <w:r w:rsidRPr="00410353">
        <w:rPr>
          <w:rFonts w:hint="cs"/>
          <w:b/>
          <w:bCs/>
          <w:sz w:val="20"/>
          <w:szCs w:val="20"/>
          <w:rtl/>
        </w:rPr>
        <w:t>ש"ך</w:t>
      </w:r>
      <w:r>
        <w:rPr>
          <w:rFonts w:hint="cs"/>
          <w:sz w:val="20"/>
          <w:szCs w:val="20"/>
          <w:rtl/>
        </w:rPr>
        <w:t>. הלכה כרמ"א, ואעפ"כ צריכה גם לעיין בגופה סמוך לטבילה, וזו היא גם כוונת הטור.</w:t>
      </w:r>
      <w:r>
        <w:rPr>
          <w:rFonts w:hint="cs"/>
          <w:sz w:val="20"/>
          <w:szCs w:val="20"/>
          <w:rtl/>
        </w:rPr>
        <w:br/>
        <w:t xml:space="preserve">10. לא עיינה בגופה סמוך לטבילה, עלתה לה טבילה? </w:t>
      </w:r>
      <w:r w:rsidRPr="00B91FD4">
        <w:rPr>
          <w:rFonts w:hint="cs"/>
          <w:b/>
          <w:bCs/>
          <w:sz w:val="20"/>
          <w:szCs w:val="20"/>
          <w:rtl/>
        </w:rPr>
        <w:t>טור</w:t>
      </w:r>
      <w:r>
        <w:rPr>
          <w:rFonts w:hint="cs"/>
          <w:sz w:val="20"/>
          <w:szCs w:val="20"/>
          <w:rtl/>
        </w:rPr>
        <w:t xml:space="preserve">. כן. </w:t>
      </w:r>
      <w:r w:rsidRPr="00B91FD4">
        <w:rPr>
          <w:rFonts w:hint="cs"/>
          <w:b/>
          <w:bCs/>
          <w:sz w:val="20"/>
          <w:szCs w:val="20"/>
          <w:rtl/>
        </w:rPr>
        <w:t>טעם</w:t>
      </w:r>
      <w:r>
        <w:rPr>
          <w:rFonts w:hint="cs"/>
          <w:sz w:val="20"/>
          <w:szCs w:val="20"/>
          <w:rtl/>
        </w:rPr>
        <w:t xml:space="preserve">. חפפה ועיינה בחול ונזהרה מלגעת בדבר חוצץ. </w:t>
      </w:r>
      <w:r w:rsidRPr="00B91FD4">
        <w:rPr>
          <w:rFonts w:hint="cs"/>
          <w:b/>
          <w:bCs/>
          <w:sz w:val="20"/>
          <w:szCs w:val="20"/>
          <w:rtl/>
        </w:rPr>
        <w:t>ב"ח</w:t>
      </w:r>
      <w:r>
        <w:rPr>
          <w:rFonts w:hint="cs"/>
          <w:sz w:val="20"/>
          <w:szCs w:val="20"/>
          <w:rtl/>
        </w:rPr>
        <w:t>. לא.</w:t>
      </w:r>
      <w:r>
        <w:rPr>
          <w:rFonts w:hint="cs"/>
          <w:sz w:val="20"/>
          <w:szCs w:val="20"/>
          <w:rtl/>
        </w:rPr>
        <w:br/>
        <w:t xml:space="preserve">11. </w:t>
      </w:r>
      <w:r w:rsidRPr="00410353">
        <w:rPr>
          <w:rFonts w:hint="cs"/>
          <w:b/>
          <w:bCs/>
          <w:sz w:val="20"/>
          <w:szCs w:val="20"/>
          <w:rtl/>
        </w:rPr>
        <w:t>רא"ש</w:t>
      </w:r>
      <w:r>
        <w:rPr>
          <w:rFonts w:hint="cs"/>
          <w:sz w:val="20"/>
          <w:szCs w:val="20"/>
          <w:rtl/>
        </w:rPr>
        <w:t xml:space="preserve">. הטובלת כנ"ל שהרחיקה חפיפה מטבילה צריכה להדיח קמטיה במים חמים סמוך לטבילה, וכ"פ המחבר. ביו"ט בחמים שהוחמו בו ביום, בשבת בחמים שהוחמו מבעו"י. רחצת שאר אברים. </w:t>
      </w:r>
      <w:r w:rsidRPr="00410353">
        <w:rPr>
          <w:rFonts w:hint="cs"/>
          <w:b/>
          <w:bCs/>
          <w:sz w:val="20"/>
          <w:szCs w:val="20"/>
          <w:rtl/>
        </w:rPr>
        <w:t>מ"ב</w:t>
      </w:r>
      <w:r>
        <w:rPr>
          <w:rFonts w:hint="cs"/>
          <w:sz w:val="20"/>
          <w:szCs w:val="20"/>
          <w:rtl/>
        </w:rPr>
        <w:t xml:space="preserve">. אסור, וכן משמע דעת </w:t>
      </w:r>
      <w:r w:rsidRPr="00410353">
        <w:rPr>
          <w:rFonts w:hint="cs"/>
          <w:b/>
          <w:bCs/>
          <w:sz w:val="20"/>
          <w:szCs w:val="20"/>
          <w:rtl/>
        </w:rPr>
        <w:t>הש"ך</w:t>
      </w:r>
      <w:r>
        <w:rPr>
          <w:rFonts w:hint="cs"/>
          <w:sz w:val="20"/>
          <w:szCs w:val="20"/>
          <w:rtl/>
        </w:rPr>
        <w:t>. משמע מהמחבר. להקל, וכן רבים מקלים לרחוץ לפחות באותו מקום.</w:t>
      </w:r>
      <w:r>
        <w:rPr>
          <w:rFonts w:hint="cs"/>
          <w:sz w:val="20"/>
          <w:szCs w:val="20"/>
          <w:rtl/>
        </w:rPr>
        <w:br/>
        <w:t xml:space="preserve">12. מנהג הנשים לא לעשות הפס"ט בשבת ויו"ט. </w:t>
      </w:r>
      <w:r w:rsidRPr="00B33FB5">
        <w:rPr>
          <w:rFonts w:hint="cs"/>
          <w:b/>
          <w:bCs/>
          <w:sz w:val="20"/>
          <w:szCs w:val="20"/>
          <w:rtl/>
        </w:rPr>
        <w:t>מ"ב</w:t>
      </w:r>
      <w:r>
        <w:rPr>
          <w:rFonts w:hint="cs"/>
          <w:sz w:val="20"/>
          <w:szCs w:val="20"/>
          <w:rtl/>
        </w:rPr>
        <w:t xml:space="preserve">. להימנע משאלת השימוש במים חמים וכן להימנע מסחיטת שער. </w:t>
      </w:r>
      <w:r w:rsidRPr="00B33FB5">
        <w:rPr>
          <w:rFonts w:hint="cs"/>
          <w:b/>
          <w:bCs/>
          <w:sz w:val="20"/>
          <w:szCs w:val="20"/>
          <w:rtl/>
        </w:rPr>
        <w:t>ש"ך</w:t>
      </w:r>
      <w:r>
        <w:rPr>
          <w:rFonts w:hint="cs"/>
          <w:sz w:val="20"/>
          <w:szCs w:val="20"/>
          <w:rtl/>
        </w:rPr>
        <w:t xml:space="preserve">. להימנע מהרחקת חפיפה מטבילה הנעשית במוצ"ש, לכן ביו"ט לא החמירו בכך. </w:t>
      </w:r>
      <w:r w:rsidRPr="00B33FB5">
        <w:rPr>
          <w:rFonts w:hint="cs"/>
          <w:b/>
          <w:bCs/>
          <w:sz w:val="20"/>
          <w:szCs w:val="20"/>
          <w:rtl/>
        </w:rPr>
        <w:t>ששבה"ל</w:t>
      </w:r>
      <w:r>
        <w:rPr>
          <w:rFonts w:hint="cs"/>
          <w:sz w:val="20"/>
          <w:szCs w:val="20"/>
          <w:rtl/>
        </w:rPr>
        <w:t>. המנהג כיום לעשות הפס"ט בשבת ויו"ט.</w:t>
      </w:r>
    </w:p>
    <w:p w:rsidR="00620060" w:rsidRPr="007C47D2" w:rsidRDefault="00620060" w:rsidP="00620060">
      <w:pPr>
        <w:spacing w:line="300" w:lineRule="exact"/>
        <w:rPr>
          <w:sz w:val="20"/>
          <w:szCs w:val="20"/>
        </w:rPr>
      </w:pPr>
      <w:r>
        <w:rPr>
          <w:sz w:val="20"/>
          <w:szCs w:val="20"/>
          <w:rtl/>
        </w:rPr>
        <w:br/>
      </w:r>
      <w:r>
        <w:rPr>
          <w:rFonts w:hint="cs"/>
          <w:b/>
          <w:bCs/>
          <w:sz w:val="20"/>
          <w:szCs w:val="20"/>
          <w:rtl/>
        </w:rPr>
        <w:t xml:space="preserve">סעיף ז </w:t>
      </w:r>
      <w:r>
        <w:rPr>
          <w:b/>
          <w:bCs/>
          <w:sz w:val="20"/>
          <w:szCs w:val="20"/>
          <w:rtl/>
        </w:rPr>
        <w:t>–</w:t>
      </w:r>
      <w:r>
        <w:rPr>
          <w:rFonts w:hint="cs"/>
          <w:b/>
          <w:bCs/>
          <w:sz w:val="20"/>
          <w:szCs w:val="20"/>
          <w:rtl/>
        </w:rPr>
        <w:t xml:space="preserve"> שתי קולות בטבילה אחת</w:t>
      </w:r>
      <w:r>
        <w:rPr>
          <w:b/>
          <w:bCs/>
          <w:sz w:val="20"/>
          <w:szCs w:val="20"/>
          <w:rtl/>
        </w:rPr>
        <w:br/>
      </w:r>
      <w:r>
        <w:rPr>
          <w:rFonts w:hint="cs"/>
          <w:b/>
          <w:bCs/>
          <w:sz w:val="20"/>
          <w:szCs w:val="20"/>
          <w:rtl/>
        </w:rPr>
        <w:t>שיטות הראשונים</w:t>
      </w:r>
      <w:r>
        <w:rPr>
          <w:b/>
          <w:bCs/>
          <w:sz w:val="20"/>
          <w:szCs w:val="20"/>
          <w:rtl/>
        </w:rPr>
        <w:br/>
      </w:r>
      <w:r>
        <w:rPr>
          <w:rFonts w:hint="cs"/>
          <w:sz w:val="20"/>
          <w:szCs w:val="20"/>
          <w:rtl/>
        </w:rPr>
        <w:t>אשה של"ט בליל שבת ומפחדת לטבול בלילה, האם מותרת לחפוף מבעוד יום ולטבול ביום השבת?</w:t>
      </w:r>
      <w:r>
        <w:rPr>
          <w:rFonts w:hint="cs"/>
          <w:sz w:val="20"/>
          <w:szCs w:val="20"/>
          <w:rtl/>
        </w:rPr>
        <w:br/>
        <w:t xml:space="preserve">א. </w:t>
      </w:r>
      <w:r w:rsidRPr="007C47D2">
        <w:rPr>
          <w:rFonts w:hint="cs"/>
          <w:b/>
          <w:bCs/>
          <w:sz w:val="20"/>
          <w:szCs w:val="20"/>
          <w:rtl/>
        </w:rPr>
        <w:t>רבינו משולם</w:t>
      </w:r>
      <w:r>
        <w:rPr>
          <w:rFonts w:hint="cs"/>
          <w:sz w:val="20"/>
          <w:szCs w:val="20"/>
          <w:rtl/>
        </w:rPr>
        <w:t xml:space="preserve"> </w:t>
      </w:r>
      <w:r>
        <w:rPr>
          <w:sz w:val="20"/>
          <w:szCs w:val="20"/>
          <w:rtl/>
        </w:rPr>
        <w:t>–</w:t>
      </w:r>
      <w:r>
        <w:rPr>
          <w:rFonts w:hint="cs"/>
          <w:sz w:val="20"/>
          <w:szCs w:val="20"/>
          <w:rtl/>
        </w:rPr>
        <w:t xml:space="preserve"> כן.</w:t>
      </w:r>
      <w:r>
        <w:rPr>
          <w:rFonts w:hint="cs"/>
          <w:sz w:val="20"/>
          <w:szCs w:val="20"/>
          <w:rtl/>
        </w:rPr>
        <w:br/>
      </w:r>
      <w:r w:rsidRPr="00E838FC">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הקלו לטבול ביום השמיני כשיש סיבה, והקלו להרחיק חפיפה מטבילה כשיש סיבה, כדלעיל.</w:t>
      </w:r>
      <w:r>
        <w:rPr>
          <w:sz w:val="20"/>
          <w:szCs w:val="20"/>
          <w:rtl/>
        </w:rPr>
        <w:br/>
      </w:r>
      <w:r>
        <w:rPr>
          <w:rFonts w:hint="cs"/>
          <w:sz w:val="20"/>
          <w:szCs w:val="20"/>
          <w:rtl/>
        </w:rPr>
        <w:t xml:space="preserve">ב. </w:t>
      </w:r>
      <w:r w:rsidRPr="007C47D2">
        <w:rPr>
          <w:rFonts w:hint="cs"/>
          <w:b/>
          <w:bCs/>
          <w:sz w:val="20"/>
          <w:szCs w:val="20"/>
          <w:rtl/>
        </w:rPr>
        <w:t xml:space="preserve">רבינו תם </w:t>
      </w:r>
      <w:r>
        <w:rPr>
          <w:sz w:val="20"/>
          <w:szCs w:val="20"/>
          <w:rtl/>
        </w:rPr>
        <w:t>–</w:t>
      </w:r>
      <w:r>
        <w:rPr>
          <w:rFonts w:hint="cs"/>
          <w:sz w:val="20"/>
          <w:szCs w:val="20"/>
          <w:rtl/>
        </w:rPr>
        <w:t xml:space="preserve"> לא, וכ"פ </w:t>
      </w:r>
      <w:r w:rsidRPr="006B3706">
        <w:rPr>
          <w:rFonts w:hint="cs"/>
          <w:b/>
          <w:bCs/>
          <w:sz w:val="20"/>
          <w:szCs w:val="20"/>
          <w:rtl/>
        </w:rPr>
        <w:t>המחבר</w:t>
      </w:r>
      <w:r>
        <w:rPr>
          <w:rFonts w:hint="cs"/>
          <w:sz w:val="20"/>
          <w:szCs w:val="20"/>
          <w:rtl/>
        </w:rPr>
        <w:t>.</w:t>
      </w:r>
      <w:r>
        <w:rPr>
          <w:sz w:val="20"/>
          <w:szCs w:val="20"/>
          <w:rtl/>
        </w:rPr>
        <w:br/>
      </w:r>
      <w:r w:rsidRPr="007C47D2">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אין להקל שתי קולות בטבילה אחת, קולת הרחקת חפיפה מטבילה וקולת סרך בתה</w:t>
      </w:r>
      <w:r>
        <w:rPr>
          <w:rStyle w:val="a5"/>
          <w:sz w:val="20"/>
          <w:szCs w:val="20"/>
          <w:rtl/>
        </w:rPr>
        <w:footnoteReference w:id="725"/>
      </w:r>
      <w:r>
        <w:rPr>
          <w:rFonts w:hint="cs"/>
          <w:sz w:val="20"/>
          <w:szCs w:val="20"/>
          <w:rtl/>
        </w:rPr>
        <w:t>.</w:t>
      </w:r>
    </w:p>
    <w:p w:rsidR="00620060" w:rsidRPr="00B002B6" w:rsidRDefault="00620060" w:rsidP="00620060">
      <w:pPr>
        <w:rPr>
          <w:sz w:val="20"/>
          <w:szCs w:val="20"/>
          <w:rtl/>
        </w:rPr>
      </w:pPr>
      <w:r>
        <w:rPr>
          <w:rFonts w:hint="cs"/>
          <w:b/>
          <w:bCs/>
          <w:sz w:val="20"/>
          <w:szCs w:val="20"/>
          <w:rtl/>
        </w:rPr>
        <w:lastRenderedPageBreak/>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B002B6">
        <w:rPr>
          <w:rFonts w:cs="Arial"/>
          <w:sz w:val="20"/>
          <w:szCs w:val="20"/>
          <w:rtl/>
        </w:rPr>
        <w:t>במקום שיראות לטבול בלילה, אין להתיר לחוף מערב שבת ולטבול ביום שבת, דתרי קולי בהדדי לא מקילינן; קולא דסרך בתה, וקולא דהרחקת חפיפה מטבילה</w:t>
      </w:r>
      <w:r>
        <w:rPr>
          <w:rFonts w:cs="Arial" w:hint="cs"/>
          <w:sz w:val="20"/>
          <w:szCs w:val="20"/>
          <w:rtl/>
        </w:rPr>
        <w:t>"</w:t>
      </w:r>
      <w:r w:rsidRPr="00B002B6">
        <w:rPr>
          <w:rFonts w:cs="Arial"/>
          <w:sz w:val="20"/>
          <w:szCs w:val="20"/>
          <w:rtl/>
        </w:rPr>
        <w:t>.</w:t>
      </w:r>
    </w:p>
    <w:p w:rsidR="00620060" w:rsidRDefault="00620060" w:rsidP="00620060">
      <w:pPr>
        <w:spacing w:line="300" w:lineRule="exact"/>
        <w:rPr>
          <w:rFonts w:asciiTheme="minorBidi" w:hAnsiTheme="minorBidi"/>
          <w:sz w:val="20"/>
          <w:szCs w:val="20"/>
          <w:rtl/>
        </w:rPr>
      </w:pPr>
      <w:r>
        <w:rPr>
          <w:rFonts w:hint="cs"/>
          <w:sz w:val="20"/>
          <w:szCs w:val="20"/>
          <w:u w:val="single"/>
          <w:rtl/>
        </w:rPr>
        <w:t>הדין בדיעבד</w:t>
      </w:r>
      <w:r>
        <w:rPr>
          <w:sz w:val="20"/>
          <w:szCs w:val="20"/>
          <w:u w:val="single"/>
          <w:rtl/>
        </w:rPr>
        <w:br/>
      </w:r>
      <w:r w:rsidRPr="008C2517">
        <w:rPr>
          <w:rFonts w:asciiTheme="minorBidi" w:hAnsiTheme="minorBidi"/>
          <w:sz w:val="20"/>
          <w:szCs w:val="20"/>
          <w:rtl/>
        </w:rPr>
        <w:t>אם עברה וטבלה עלתה לה טבילה, מכי</w:t>
      </w:r>
      <w:r>
        <w:rPr>
          <w:rFonts w:asciiTheme="minorBidi" w:hAnsiTheme="minorBidi" w:hint="cs"/>
          <w:sz w:val="20"/>
          <w:szCs w:val="20"/>
          <w:rtl/>
        </w:rPr>
        <w:t>ו</w:t>
      </w:r>
      <w:r w:rsidRPr="008C2517">
        <w:rPr>
          <w:rFonts w:asciiTheme="minorBidi" w:hAnsiTheme="minorBidi"/>
          <w:sz w:val="20"/>
          <w:szCs w:val="20"/>
          <w:rtl/>
        </w:rPr>
        <w:t>ון שב</w:t>
      </w:r>
      <w:r>
        <w:rPr>
          <w:rFonts w:asciiTheme="minorBidi" w:hAnsiTheme="minorBidi" w:hint="cs"/>
          <w:sz w:val="20"/>
          <w:szCs w:val="20"/>
          <w:rtl/>
        </w:rPr>
        <w:t>כל אחת מ</w:t>
      </w:r>
      <w:r w:rsidRPr="008C2517">
        <w:rPr>
          <w:rFonts w:asciiTheme="minorBidi" w:hAnsiTheme="minorBidi"/>
          <w:sz w:val="20"/>
          <w:szCs w:val="20"/>
          <w:rtl/>
        </w:rPr>
        <w:t>שתי קולות אלו אם עברה עליה עלתה לה טבילה, אין סברה לומר שהצטרפות שתיהן מבטלת את הטבילה אף בדיעבד</w:t>
      </w:r>
      <w:r>
        <w:rPr>
          <w:rFonts w:asciiTheme="minorBidi" w:hAnsiTheme="minorBidi" w:hint="cs"/>
          <w:sz w:val="20"/>
          <w:szCs w:val="20"/>
          <w:rtl/>
        </w:rPr>
        <w:t xml:space="preserve"> </w:t>
      </w:r>
      <w:r w:rsidRPr="00AF4820">
        <w:rPr>
          <w:rFonts w:asciiTheme="minorBidi" w:hAnsiTheme="minorBidi" w:hint="cs"/>
          <w:sz w:val="18"/>
          <w:szCs w:val="18"/>
          <w:rtl/>
        </w:rPr>
        <w:t>(הרב גדעון)</w:t>
      </w:r>
      <w:r w:rsidRPr="008C2517">
        <w:rPr>
          <w:rFonts w:asciiTheme="minorBidi" w:hAnsiTheme="minorBidi"/>
          <w:sz w:val="20"/>
          <w:szCs w:val="20"/>
          <w:rtl/>
        </w:rPr>
        <w:t>.</w:t>
      </w:r>
    </w:p>
    <w:p w:rsidR="00620060" w:rsidRPr="002D60DB" w:rsidRDefault="00620060" w:rsidP="00620060">
      <w:pPr>
        <w:spacing w:line="300" w:lineRule="exact"/>
        <w:rPr>
          <w:rFonts w:asciiTheme="minorBidi" w:hAnsiTheme="minorBidi"/>
          <w:sz w:val="20"/>
          <w:szCs w:val="20"/>
          <w:rtl/>
        </w:rPr>
      </w:pPr>
      <w:r>
        <w:rPr>
          <w:rFonts w:asciiTheme="minorBidi" w:hAnsiTheme="minorBidi" w:hint="cs"/>
          <w:b/>
          <w:bCs/>
          <w:sz w:val="20"/>
          <w:szCs w:val="20"/>
          <w:rtl/>
        </w:rPr>
        <w:t>סיכום</w:t>
      </w:r>
      <w:r>
        <w:rPr>
          <w:rFonts w:asciiTheme="minorBidi" w:hAnsiTheme="minorBidi"/>
          <w:b/>
          <w:bCs/>
          <w:sz w:val="20"/>
          <w:szCs w:val="20"/>
          <w:rtl/>
        </w:rPr>
        <w:br/>
      </w:r>
      <w:r>
        <w:rPr>
          <w:rFonts w:asciiTheme="minorBidi" w:hAnsiTheme="minorBidi" w:hint="cs"/>
          <w:sz w:val="20"/>
          <w:szCs w:val="20"/>
          <w:rtl/>
        </w:rPr>
        <w:t xml:space="preserve">אשה שטבילתה חלה בליל שבת וחוששת לטבול בלילה. </w:t>
      </w:r>
      <w:r w:rsidRPr="002D60DB">
        <w:rPr>
          <w:rFonts w:asciiTheme="minorBidi" w:hAnsiTheme="minorBidi" w:hint="cs"/>
          <w:b/>
          <w:bCs/>
          <w:sz w:val="20"/>
          <w:szCs w:val="20"/>
          <w:rtl/>
        </w:rPr>
        <w:t>רבינו משולם</w:t>
      </w:r>
      <w:r>
        <w:rPr>
          <w:rFonts w:asciiTheme="minorBidi" w:hAnsiTheme="minorBidi" w:hint="cs"/>
          <w:sz w:val="20"/>
          <w:szCs w:val="20"/>
          <w:rtl/>
        </w:rPr>
        <w:t xml:space="preserve">. מותרת לטבול ביום שבת. </w:t>
      </w:r>
      <w:r w:rsidRPr="002D60DB">
        <w:rPr>
          <w:rFonts w:asciiTheme="minorBidi" w:hAnsiTheme="minorBidi" w:hint="cs"/>
          <w:b/>
          <w:bCs/>
          <w:sz w:val="20"/>
          <w:szCs w:val="20"/>
          <w:rtl/>
        </w:rPr>
        <w:t>ר"ת</w:t>
      </w:r>
      <w:r>
        <w:rPr>
          <w:rFonts w:asciiTheme="minorBidi" w:hAnsiTheme="minorBidi" w:hint="cs"/>
          <w:sz w:val="20"/>
          <w:szCs w:val="20"/>
          <w:rtl/>
        </w:rPr>
        <w:t xml:space="preserve">. אין לה לטבול ביום שבת על סמך חפיפת יום, וכ"פ </w:t>
      </w:r>
      <w:r w:rsidRPr="002D60DB">
        <w:rPr>
          <w:rFonts w:asciiTheme="minorBidi" w:hAnsiTheme="minorBidi" w:hint="cs"/>
          <w:b/>
          <w:bCs/>
          <w:sz w:val="20"/>
          <w:szCs w:val="20"/>
          <w:rtl/>
        </w:rPr>
        <w:t>המחבר</w:t>
      </w:r>
      <w:r>
        <w:rPr>
          <w:rFonts w:asciiTheme="minorBidi" w:hAnsiTheme="minorBidi" w:hint="cs"/>
          <w:sz w:val="20"/>
          <w:szCs w:val="20"/>
          <w:rtl/>
        </w:rPr>
        <w:t xml:space="preserve">. </w:t>
      </w:r>
      <w:r w:rsidRPr="002D60DB">
        <w:rPr>
          <w:rFonts w:asciiTheme="minorBidi" w:hAnsiTheme="minorBidi" w:hint="cs"/>
          <w:b/>
          <w:bCs/>
          <w:sz w:val="20"/>
          <w:szCs w:val="20"/>
          <w:rtl/>
        </w:rPr>
        <w:t>טעם</w:t>
      </w:r>
      <w:r>
        <w:rPr>
          <w:rFonts w:asciiTheme="minorBidi" w:hAnsiTheme="minorBidi" w:hint="cs"/>
          <w:sz w:val="20"/>
          <w:szCs w:val="20"/>
          <w:rtl/>
        </w:rPr>
        <w:t>. אין להקל שתי קולות בטבילה אחת.</w:t>
      </w:r>
      <w:r w:rsidRPr="00E838FC">
        <w:rPr>
          <w:rFonts w:asciiTheme="minorBidi" w:hAnsiTheme="minorBidi" w:hint="cs"/>
          <w:sz w:val="20"/>
          <w:szCs w:val="20"/>
          <w:rtl/>
        </w:rPr>
        <w:t xml:space="preserve"> </w:t>
      </w:r>
      <w:r>
        <w:rPr>
          <w:rFonts w:asciiTheme="minorBidi" w:hAnsiTheme="minorBidi" w:hint="cs"/>
          <w:sz w:val="20"/>
          <w:szCs w:val="20"/>
          <w:rtl/>
        </w:rPr>
        <w:t>ובדיעבד אף למחבר מהני.</w:t>
      </w:r>
    </w:p>
    <w:p w:rsidR="00620060" w:rsidRDefault="00620060" w:rsidP="00620060">
      <w:pPr>
        <w:spacing w:line="300" w:lineRule="exact"/>
        <w:rPr>
          <w:rFonts w:asciiTheme="minorBidi" w:hAnsiTheme="minorBidi"/>
          <w:sz w:val="20"/>
          <w:szCs w:val="20"/>
          <w:rtl/>
        </w:rPr>
      </w:pPr>
      <w:r>
        <w:rPr>
          <w:rFonts w:asciiTheme="minorBidi" w:hAnsiTheme="minorBidi"/>
          <w:sz w:val="20"/>
          <w:szCs w:val="20"/>
          <w:rtl/>
        </w:rPr>
        <w:br/>
      </w:r>
      <w:r>
        <w:rPr>
          <w:rFonts w:asciiTheme="minorBidi" w:hAnsiTheme="minorBidi" w:hint="cs"/>
          <w:b/>
          <w:bCs/>
          <w:sz w:val="20"/>
          <w:szCs w:val="20"/>
          <w:rtl/>
        </w:rPr>
        <w:t xml:space="preserve">סעיף ח </w:t>
      </w:r>
      <w:r>
        <w:rPr>
          <w:rFonts w:asciiTheme="minorBidi" w:hAnsiTheme="minorBidi"/>
          <w:b/>
          <w:bCs/>
          <w:sz w:val="20"/>
          <w:szCs w:val="20"/>
          <w:rtl/>
        </w:rPr>
        <w:t>–</w:t>
      </w:r>
      <w:r>
        <w:rPr>
          <w:rFonts w:asciiTheme="minorBidi" w:hAnsiTheme="minorBidi" w:hint="cs"/>
          <w:b/>
          <w:bCs/>
          <w:sz w:val="20"/>
          <w:szCs w:val="20"/>
          <w:rtl/>
        </w:rPr>
        <w:t xml:space="preserve"> הרחקת חפיפה מטבילה</w:t>
      </w:r>
      <w:r>
        <w:rPr>
          <w:rFonts w:asciiTheme="minorBidi" w:hAnsiTheme="minorBidi" w:hint="cs"/>
          <w:b/>
          <w:bCs/>
          <w:sz w:val="20"/>
          <w:szCs w:val="20"/>
          <w:rtl/>
        </w:rPr>
        <w:br/>
      </w:r>
      <w:r w:rsidRPr="00220989">
        <w:rPr>
          <w:rStyle w:val="10"/>
          <w:rFonts w:hint="cs"/>
          <w:rtl/>
        </w:rPr>
        <w:t>א.</w:t>
      </w:r>
      <w:r w:rsidRPr="00220989">
        <w:rPr>
          <w:rFonts w:asciiTheme="minorBidi" w:hAnsiTheme="minorBidi" w:hint="cs"/>
          <w:b/>
          <w:bCs/>
          <w:sz w:val="16"/>
          <w:szCs w:val="16"/>
          <w:rtl/>
        </w:rPr>
        <w:t xml:space="preserve"> </w:t>
      </w:r>
      <w:r>
        <w:rPr>
          <w:rFonts w:asciiTheme="minorBidi" w:hAnsiTheme="minorBidi" w:hint="cs"/>
          <w:b/>
          <w:bCs/>
          <w:sz w:val="20"/>
          <w:szCs w:val="20"/>
          <w:rtl/>
        </w:rPr>
        <w:t xml:space="preserve">הרחיקה חפיפה מטבילה </w:t>
      </w:r>
      <w:r>
        <w:rPr>
          <w:rFonts w:asciiTheme="minorBidi" w:hAnsiTheme="minorBidi"/>
          <w:b/>
          <w:bCs/>
          <w:sz w:val="20"/>
          <w:szCs w:val="20"/>
          <w:rtl/>
        </w:rPr>
        <w:t>–</w:t>
      </w:r>
      <w:r>
        <w:rPr>
          <w:rFonts w:asciiTheme="minorBidi" w:hAnsiTheme="minorBidi" w:hint="cs"/>
          <w:b/>
          <w:bCs/>
          <w:sz w:val="20"/>
          <w:szCs w:val="20"/>
          <w:rtl/>
        </w:rPr>
        <w:t xml:space="preserve"> מקור הדין</w:t>
      </w:r>
      <w:r>
        <w:rPr>
          <w:rFonts w:asciiTheme="minorBidi" w:hAnsiTheme="minorBidi" w:hint="cs"/>
          <w:b/>
          <w:bCs/>
          <w:sz w:val="20"/>
          <w:szCs w:val="20"/>
          <w:rtl/>
        </w:rPr>
        <w:br/>
        <w:t xml:space="preserve">גמרא </w:t>
      </w:r>
      <w:r>
        <w:rPr>
          <w:rFonts w:asciiTheme="minorBidi" w:hAnsiTheme="minorBidi" w:hint="cs"/>
          <w:sz w:val="20"/>
          <w:szCs w:val="20"/>
          <w:rtl/>
        </w:rPr>
        <w:t>נידה (סו:) "</w:t>
      </w:r>
      <w:r w:rsidRPr="00220989">
        <w:rPr>
          <w:rFonts w:asciiTheme="minorBidi" w:hAnsiTheme="minorBidi" w:cs="Arial"/>
          <w:sz w:val="20"/>
          <w:szCs w:val="20"/>
          <w:rtl/>
        </w:rPr>
        <w:t>אמר רבא: טבלה ועלתה ונמצא עליה דבר חוצץ, אם סמוך לחפיפה טבלה - אינה צריכה לחוף ולטבול, ואם לאו - צריכה לחוף ולטבול. איכא דאמרי: אם באותו יום שחפפה טבלה - אינה צריכה לחוף ולטבול, ואם לאו - צריכה לחוף ולטבול. מאי בינייהו? איכא בינייהו: למסמך לחפיפה טבילה, למיחף ביממא ולמטבל בליליא</w:t>
      </w:r>
      <w:r>
        <w:rPr>
          <w:rFonts w:asciiTheme="minorBidi" w:hAnsiTheme="minorBidi" w:cs="Arial" w:hint="cs"/>
          <w:sz w:val="20"/>
          <w:szCs w:val="20"/>
          <w:rtl/>
        </w:rPr>
        <w:t>".</w:t>
      </w:r>
    </w:p>
    <w:p w:rsidR="00620060" w:rsidRDefault="00620060" w:rsidP="00620060">
      <w:pPr>
        <w:spacing w:line="300" w:lineRule="exact"/>
        <w:rPr>
          <w:rFonts w:asciiTheme="minorBidi" w:hAnsiTheme="minorBidi"/>
          <w:sz w:val="20"/>
          <w:szCs w:val="20"/>
          <w:rtl/>
        </w:rPr>
      </w:pPr>
      <w:r>
        <w:rPr>
          <w:rFonts w:asciiTheme="minorBidi" w:hAnsiTheme="minorBidi" w:hint="cs"/>
          <w:b/>
          <w:bCs/>
          <w:sz w:val="20"/>
          <w:szCs w:val="20"/>
          <w:rtl/>
        </w:rPr>
        <w:t>שיטות הראשונים</w:t>
      </w:r>
      <w:r>
        <w:rPr>
          <w:rFonts w:asciiTheme="minorBidi" w:hAnsiTheme="minorBidi"/>
          <w:b/>
          <w:bCs/>
          <w:sz w:val="20"/>
          <w:szCs w:val="20"/>
          <w:rtl/>
        </w:rPr>
        <w:br/>
      </w:r>
      <w:r>
        <w:rPr>
          <w:rFonts w:asciiTheme="minorBidi" w:hAnsiTheme="minorBidi" w:hint="cs"/>
          <w:sz w:val="20"/>
          <w:szCs w:val="20"/>
          <w:rtl/>
        </w:rPr>
        <w:t>חפפה ועיינה אך טבלה כעבור זמן מה, האם טהורה?</w:t>
      </w:r>
      <w:r>
        <w:rPr>
          <w:rFonts w:asciiTheme="minorBidi" w:hAnsiTheme="minorBidi" w:hint="cs"/>
          <w:sz w:val="20"/>
          <w:szCs w:val="20"/>
          <w:rtl/>
        </w:rPr>
        <w:br/>
        <w:t xml:space="preserve">א. </w:t>
      </w:r>
      <w:r w:rsidRPr="00587A66">
        <w:rPr>
          <w:rFonts w:asciiTheme="minorBidi" w:hAnsiTheme="minorBidi" w:hint="cs"/>
          <w:b/>
          <w:bCs/>
          <w:sz w:val="20"/>
          <w:szCs w:val="20"/>
          <w:rtl/>
        </w:rPr>
        <w:t>רשב"א</w:t>
      </w:r>
      <w:r>
        <w:rPr>
          <w:rFonts w:asciiTheme="minorBidi" w:hAnsiTheme="minorBidi" w:hint="cs"/>
          <w:sz w:val="20"/>
          <w:szCs w:val="20"/>
          <w:rtl/>
        </w:rPr>
        <w:t xml:space="preserve"> </w:t>
      </w:r>
      <w:r w:rsidRPr="007455AA">
        <w:rPr>
          <w:rFonts w:asciiTheme="minorBidi" w:hAnsiTheme="minorBidi" w:hint="cs"/>
          <w:b/>
          <w:bCs/>
          <w:sz w:val="20"/>
          <w:szCs w:val="20"/>
          <w:rtl/>
        </w:rPr>
        <w:t>ור"ן</w:t>
      </w:r>
      <w:r>
        <w:rPr>
          <w:rStyle w:val="a5"/>
          <w:rFonts w:asciiTheme="minorBidi" w:hAnsiTheme="minorBidi"/>
          <w:sz w:val="20"/>
          <w:szCs w:val="20"/>
          <w:rtl/>
        </w:rPr>
        <w:footnoteReference w:id="726"/>
      </w:r>
      <w:r>
        <w:rPr>
          <w:rFonts w:asciiTheme="minorBidi" w:hAnsiTheme="minorBidi" w:hint="cs"/>
          <w:sz w:val="20"/>
          <w:szCs w:val="20"/>
          <w:rtl/>
        </w:rPr>
        <w:t xml:space="preserve"> </w:t>
      </w:r>
      <w:r>
        <w:rPr>
          <w:rFonts w:asciiTheme="minorBidi" w:hAnsiTheme="minorBidi"/>
          <w:sz w:val="20"/>
          <w:szCs w:val="20"/>
          <w:rtl/>
        </w:rPr>
        <w:t>–</w:t>
      </w:r>
      <w:r>
        <w:rPr>
          <w:rFonts w:asciiTheme="minorBidi" w:hAnsiTheme="minorBidi" w:hint="cs"/>
          <w:sz w:val="20"/>
          <w:szCs w:val="20"/>
          <w:rtl/>
        </w:rPr>
        <w:t xml:space="preserve"> כן, וכ"פ </w:t>
      </w:r>
      <w:r w:rsidRPr="007455AA">
        <w:rPr>
          <w:rFonts w:asciiTheme="minorBidi" w:hAnsiTheme="minorBidi" w:hint="cs"/>
          <w:b/>
          <w:bCs/>
          <w:sz w:val="20"/>
          <w:szCs w:val="20"/>
          <w:rtl/>
        </w:rPr>
        <w:t>המחבר</w:t>
      </w:r>
      <w:r>
        <w:rPr>
          <w:rFonts w:asciiTheme="minorBidi" w:hAnsiTheme="minorBidi" w:hint="cs"/>
          <w:sz w:val="20"/>
          <w:szCs w:val="20"/>
          <w:rtl/>
        </w:rPr>
        <w:t>.</w:t>
      </w:r>
      <w:r>
        <w:rPr>
          <w:rFonts w:asciiTheme="minorBidi" w:hAnsiTheme="minorBidi"/>
          <w:sz w:val="20"/>
          <w:szCs w:val="20"/>
          <w:rtl/>
        </w:rPr>
        <w:t xml:space="preserve"> </w:t>
      </w:r>
      <w:r>
        <w:rPr>
          <w:rFonts w:asciiTheme="minorBidi" w:hAnsiTheme="minorBidi"/>
          <w:sz w:val="20"/>
          <w:szCs w:val="20"/>
          <w:rtl/>
        </w:rPr>
        <w:br/>
      </w:r>
      <w:r w:rsidRPr="00587A66">
        <w:rPr>
          <w:rFonts w:asciiTheme="minorBidi" w:hAnsiTheme="minorBidi" w:hint="cs"/>
          <w:b/>
          <w:bCs/>
          <w:sz w:val="20"/>
          <w:szCs w:val="20"/>
          <w:rtl/>
        </w:rPr>
        <w:t>טעם</w:t>
      </w:r>
      <w:r>
        <w:rPr>
          <w:rFonts w:asciiTheme="minorBidi" w:hAnsiTheme="minorBidi" w:hint="cs"/>
          <w:sz w:val="20"/>
          <w:szCs w:val="20"/>
          <w:rtl/>
        </w:rPr>
        <w:t xml:space="preserve"> </w:t>
      </w:r>
      <w:r>
        <w:rPr>
          <w:rFonts w:asciiTheme="minorBidi" w:hAnsiTheme="minorBidi"/>
          <w:sz w:val="20"/>
          <w:szCs w:val="20"/>
          <w:rtl/>
        </w:rPr>
        <w:t>–</w:t>
      </w:r>
      <w:r>
        <w:rPr>
          <w:rFonts w:asciiTheme="minorBidi" w:hAnsiTheme="minorBidi" w:hint="cs"/>
          <w:sz w:val="20"/>
          <w:szCs w:val="20"/>
          <w:rtl/>
        </w:rPr>
        <w:t xml:space="preserve"> כך יש ללמוד מדברי רבא שהורה לחזור ולטבול רק אם נמצא עליה דבר חוצץ, הא לאו הכי אינה צריכה לחזור ולטבול אע"פ שלא סמכה את הטבילה לחפיפה.</w:t>
      </w:r>
      <w:r>
        <w:rPr>
          <w:rFonts w:asciiTheme="minorBidi" w:hAnsiTheme="minorBidi" w:hint="cs"/>
          <w:sz w:val="20"/>
          <w:szCs w:val="20"/>
          <w:rtl/>
        </w:rPr>
        <w:br/>
        <w:t xml:space="preserve">ב. </w:t>
      </w:r>
      <w:r>
        <w:rPr>
          <w:rFonts w:asciiTheme="minorBidi" w:hAnsiTheme="minorBidi" w:hint="cs"/>
          <w:b/>
          <w:bCs/>
          <w:sz w:val="20"/>
          <w:szCs w:val="20"/>
          <w:rtl/>
        </w:rPr>
        <w:t xml:space="preserve">איכא דגרסי </w:t>
      </w:r>
      <w:r w:rsidRPr="00D2398D">
        <w:rPr>
          <w:rFonts w:asciiTheme="minorBidi" w:hAnsiTheme="minorBidi" w:hint="cs"/>
          <w:sz w:val="18"/>
          <w:szCs w:val="18"/>
          <w:rtl/>
        </w:rPr>
        <w:t xml:space="preserve">(הו"ד </w:t>
      </w:r>
      <w:r w:rsidRPr="00D2398D">
        <w:rPr>
          <w:rFonts w:asciiTheme="minorBidi" w:hAnsiTheme="minorBidi" w:hint="cs"/>
          <w:b/>
          <w:bCs/>
          <w:sz w:val="18"/>
          <w:szCs w:val="18"/>
          <w:rtl/>
        </w:rPr>
        <w:t>בר"ן</w:t>
      </w:r>
      <w:r w:rsidRPr="00D2398D">
        <w:rPr>
          <w:rFonts w:asciiTheme="minorBidi" w:hAnsiTheme="minorBidi" w:hint="cs"/>
          <w:sz w:val="18"/>
          <w:szCs w:val="18"/>
          <w:rtl/>
        </w:rPr>
        <w:t xml:space="preserve">) </w:t>
      </w:r>
      <w:r>
        <w:rPr>
          <w:rFonts w:asciiTheme="minorBidi" w:hAnsiTheme="minorBidi"/>
          <w:sz w:val="20"/>
          <w:szCs w:val="20"/>
          <w:rtl/>
        </w:rPr>
        <w:t>–</w:t>
      </w:r>
      <w:r>
        <w:rPr>
          <w:rFonts w:asciiTheme="minorBidi" w:hAnsiTheme="minorBidi" w:hint="cs"/>
          <w:sz w:val="20"/>
          <w:szCs w:val="20"/>
          <w:rtl/>
        </w:rPr>
        <w:t xml:space="preserve"> לא, ואם עשתה כן תחזור לטבול, אך במקום שאין אפשרות לטבול אלא אם כן תרחיק את החפיפה מטבילה, מותר.</w:t>
      </w:r>
      <w:r>
        <w:rPr>
          <w:rStyle w:val="a5"/>
          <w:rFonts w:asciiTheme="minorBidi" w:hAnsiTheme="minorBidi"/>
          <w:sz w:val="20"/>
          <w:szCs w:val="20"/>
        </w:rPr>
        <w:footnoteReference w:id="727"/>
      </w:r>
    </w:p>
    <w:p w:rsidR="00620060" w:rsidRPr="005D733C" w:rsidRDefault="00620060" w:rsidP="00620060">
      <w:pPr>
        <w:spacing w:line="300" w:lineRule="exact"/>
        <w:rPr>
          <w:sz w:val="20"/>
          <w:szCs w:val="20"/>
          <w:rtl/>
        </w:rPr>
      </w:pPr>
      <w:r>
        <w:rPr>
          <w:rFonts w:asciiTheme="minorBidi" w:hAnsiTheme="minorBidi" w:hint="cs"/>
          <w:b/>
          <w:bCs/>
          <w:sz w:val="20"/>
          <w:szCs w:val="20"/>
          <w:rtl/>
        </w:rPr>
        <w:t>פסיקת הלכה</w:t>
      </w:r>
      <w:r>
        <w:rPr>
          <w:rFonts w:asciiTheme="minorBidi" w:hAnsiTheme="minorBidi" w:hint="cs"/>
          <w:b/>
          <w:bCs/>
          <w:sz w:val="20"/>
          <w:szCs w:val="20"/>
          <w:rtl/>
        </w:rPr>
        <w:br/>
        <w:t xml:space="preserve">שולחן ערוך </w:t>
      </w:r>
      <w:r>
        <w:rPr>
          <w:rFonts w:asciiTheme="minorBidi" w:hAnsiTheme="minorBidi"/>
          <w:sz w:val="20"/>
          <w:szCs w:val="20"/>
          <w:rtl/>
        </w:rPr>
        <w:t>–</w:t>
      </w:r>
      <w:r>
        <w:rPr>
          <w:rFonts w:asciiTheme="minorBidi" w:hAnsiTheme="minorBidi" w:hint="cs"/>
          <w:sz w:val="20"/>
          <w:szCs w:val="20"/>
          <w:rtl/>
        </w:rPr>
        <w:t xml:space="preserve"> "</w:t>
      </w:r>
      <w:r w:rsidRPr="00250DA5">
        <w:rPr>
          <w:rFonts w:asciiTheme="minorBidi" w:hAnsiTheme="minorBidi" w:cs="Arial"/>
          <w:sz w:val="20"/>
          <w:szCs w:val="20"/>
          <w:rtl/>
        </w:rPr>
        <w:t xml:space="preserve">בימי חול </w:t>
      </w:r>
      <w:r w:rsidRPr="00250DA5">
        <w:rPr>
          <w:rFonts w:asciiTheme="minorBidi" w:hAnsiTheme="minorBidi" w:cs="Arial"/>
          <w:sz w:val="18"/>
          <w:szCs w:val="18"/>
          <w:rtl/>
        </w:rPr>
        <w:t>(וכל שכן בי</w:t>
      </w:r>
      <w:r w:rsidRPr="00250DA5">
        <w:rPr>
          <w:rFonts w:asciiTheme="minorBidi" w:hAnsiTheme="minorBidi" w:cs="Arial" w:hint="cs"/>
          <w:sz w:val="18"/>
          <w:szCs w:val="18"/>
          <w:rtl/>
        </w:rPr>
        <w:t>ום טוב</w:t>
      </w:r>
      <w:r>
        <w:rPr>
          <w:rStyle w:val="a5"/>
          <w:rFonts w:asciiTheme="minorBidi" w:hAnsiTheme="minorBidi" w:cs="Arial"/>
          <w:sz w:val="18"/>
          <w:szCs w:val="18"/>
          <w:rtl/>
        </w:rPr>
        <w:footnoteReference w:id="728"/>
      </w:r>
      <w:r w:rsidRPr="00250DA5">
        <w:rPr>
          <w:rFonts w:asciiTheme="minorBidi" w:hAnsiTheme="minorBidi" w:cs="Arial" w:hint="cs"/>
          <w:sz w:val="18"/>
          <w:szCs w:val="18"/>
          <w:rtl/>
        </w:rPr>
        <w:t>)</w:t>
      </w:r>
      <w:r w:rsidRPr="00250DA5">
        <w:rPr>
          <w:rFonts w:asciiTheme="minorBidi" w:hAnsiTheme="minorBidi" w:cs="Arial"/>
          <w:sz w:val="18"/>
          <w:szCs w:val="18"/>
          <w:rtl/>
        </w:rPr>
        <w:t xml:space="preserve"> </w:t>
      </w:r>
      <w:r w:rsidRPr="00250DA5">
        <w:rPr>
          <w:rFonts w:asciiTheme="minorBidi" w:hAnsiTheme="minorBidi" w:cs="Arial"/>
          <w:sz w:val="20"/>
          <w:szCs w:val="20"/>
          <w:rtl/>
        </w:rPr>
        <w:t>אם חפפה ועיינה עצמה היום וטבלה בליל יום אחר, עלתה לה טבילה בדיעבד, אף על פי ש</w:t>
      </w:r>
      <w:r>
        <w:rPr>
          <w:rFonts w:asciiTheme="minorBidi" w:hAnsiTheme="minorBidi" w:cs="Arial"/>
          <w:sz w:val="20"/>
          <w:szCs w:val="20"/>
          <w:rtl/>
        </w:rPr>
        <w:t>לא היו חפיפה ובדיקה סמוך לטבילה</w:t>
      </w:r>
      <w:r>
        <w:rPr>
          <w:rFonts w:asciiTheme="minorBidi" w:hAnsiTheme="minorBidi" w:cs="Arial" w:hint="cs"/>
          <w:sz w:val="20"/>
          <w:szCs w:val="20"/>
          <w:rtl/>
        </w:rPr>
        <w:t>".</w:t>
      </w:r>
      <w:r>
        <w:rPr>
          <w:rFonts w:asciiTheme="minorBidi" w:hAnsiTheme="minorBidi" w:hint="cs"/>
          <w:sz w:val="20"/>
          <w:szCs w:val="20"/>
          <w:rtl/>
        </w:rPr>
        <w:br/>
      </w:r>
      <w:r>
        <w:rPr>
          <w:sz w:val="20"/>
          <w:szCs w:val="20"/>
          <w:u w:val="single"/>
          <w:rtl/>
        </w:rPr>
        <w:br/>
      </w:r>
      <w:r>
        <w:rPr>
          <w:rFonts w:hint="cs"/>
          <w:sz w:val="20"/>
          <w:szCs w:val="20"/>
          <w:u w:val="single"/>
          <w:rtl/>
        </w:rPr>
        <w:t>הערות האחרונים (בדה"ש)</w:t>
      </w:r>
      <w:r>
        <w:rPr>
          <w:sz w:val="20"/>
          <w:szCs w:val="20"/>
          <w:u w:val="single"/>
          <w:rtl/>
        </w:rPr>
        <w:br/>
      </w:r>
      <w:r>
        <w:rPr>
          <w:rFonts w:hint="cs"/>
          <w:sz w:val="20"/>
          <w:szCs w:val="20"/>
          <w:rtl/>
        </w:rPr>
        <w:t xml:space="preserve">א. </w:t>
      </w:r>
      <w:r w:rsidRPr="005F7223">
        <w:rPr>
          <w:rFonts w:hint="cs"/>
          <w:b/>
          <w:bCs/>
          <w:sz w:val="20"/>
          <w:szCs w:val="20"/>
          <w:rtl/>
        </w:rPr>
        <w:t>חכמם אדם</w:t>
      </w:r>
      <w:r>
        <w:rPr>
          <w:rFonts w:hint="cs"/>
          <w:sz w:val="20"/>
          <w:szCs w:val="20"/>
          <w:rtl/>
        </w:rPr>
        <w:t xml:space="preserve"> </w:t>
      </w:r>
      <w:r>
        <w:rPr>
          <w:sz w:val="20"/>
          <w:szCs w:val="20"/>
          <w:rtl/>
        </w:rPr>
        <w:t>–</w:t>
      </w:r>
      <w:r>
        <w:rPr>
          <w:rFonts w:hint="cs"/>
          <w:sz w:val="20"/>
          <w:szCs w:val="20"/>
          <w:rtl/>
        </w:rPr>
        <w:t xml:space="preserve"> טעם הדין הוא, משום שהוחזקה בשעת העיון והחפיפה שאין עליה דבר חוצץ, ומעמידים אותה על חזקה זו. </w:t>
      </w:r>
      <w:r>
        <w:rPr>
          <w:rFonts w:hint="cs"/>
          <w:sz w:val="20"/>
          <w:szCs w:val="20"/>
          <w:rtl/>
        </w:rPr>
        <w:br/>
        <w:t>ב. לאחר הטבילה צריכה לעיין בגופה שאין עליה דבר חוצץ, כיוון שכשניתן לברר מבררים.</w:t>
      </w:r>
      <w:r>
        <w:rPr>
          <w:rFonts w:hint="cs"/>
          <w:sz w:val="20"/>
          <w:szCs w:val="20"/>
          <w:rtl/>
        </w:rPr>
        <w:br/>
        <w:t>ג. הני מילי כשלא התעסקה בדברים החוצצים, אך אם נתנה תבשיל לבנה כדומה לא עלתה לה טבילה.</w:t>
      </w:r>
      <w:r>
        <w:rPr>
          <w:sz w:val="20"/>
          <w:szCs w:val="20"/>
          <w:rtl/>
        </w:rPr>
        <w:br/>
      </w:r>
      <w:r>
        <w:rPr>
          <w:rFonts w:hint="cs"/>
          <w:sz w:val="20"/>
          <w:szCs w:val="20"/>
          <w:rtl/>
        </w:rPr>
        <w:t xml:space="preserve">ד. עד כמה הרחיקה חפיפה מטבילה ועלתה לה טבילה? כתבו האחרונים שאם חפפה ביום א' וטבלה ליל ד' עלתה לה טבילה, שכן מצאנו שאם חל יו"ט ביום ה </w:t>
      </w:r>
      <w:r>
        <w:rPr>
          <w:sz w:val="20"/>
          <w:szCs w:val="20"/>
          <w:rtl/>
        </w:rPr>
        <w:t>–</w:t>
      </w:r>
      <w:r>
        <w:rPr>
          <w:rFonts w:hint="cs"/>
          <w:sz w:val="20"/>
          <w:szCs w:val="20"/>
          <w:rtl/>
        </w:rPr>
        <w:t xml:space="preserve"> ו חופפת ביום ד' וטובלת בליל שבת, טפי לא.</w:t>
      </w:r>
      <w:r>
        <w:rPr>
          <w:sz w:val="20"/>
          <w:szCs w:val="20"/>
          <w:rtl/>
        </w:rPr>
        <w:br/>
      </w:r>
      <w:r>
        <w:rPr>
          <w:rStyle w:val="10"/>
          <w:rtl/>
        </w:rPr>
        <w:br/>
      </w:r>
      <w:r w:rsidRPr="007D38AA">
        <w:rPr>
          <w:rStyle w:val="10"/>
          <w:rFonts w:hint="cs"/>
          <w:rtl/>
        </w:rPr>
        <w:lastRenderedPageBreak/>
        <w:t>ב.</w:t>
      </w:r>
      <w:r w:rsidRPr="007D38AA">
        <w:rPr>
          <w:rFonts w:hint="cs"/>
          <w:b/>
          <w:bCs/>
          <w:sz w:val="16"/>
          <w:szCs w:val="16"/>
          <w:rtl/>
        </w:rPr>
        <w:t xml:space="preserve"> </w:t>
      </w:r>
      <w:r w:rsidRPr="007D38AA">
        <w:rPr>
          <w:rFonts w:hint="cs"/>
          <w:b/>
          <w:bCs/>
          <w:sz w:val="20"/>
          <w:szCs w:val="20"/>
          <w:rtl/>
        </w:rPr>
        <w:t>לא חפפה או לא עיינה לפני טבילה</w:t>
      </w:r>
      <w:r w:rsidRPr="007D38AA">
        <w:rPr>
          <w:b/>
          <w:bCs/>
          <w:sz w:val="20"/>
          <w:szCs w:val="20"/>
          <w:rtl/>
        </w:rPr>
        <w:br/>
      </w:r>
      <w:r w:rsidRPr="007D38AA">
        <w:rPr>
          <w:rFonts w:hint="cs"/>
          <w:b/>
          <w:bCs/>
          <w:sz w:val="20"/>
          <w:szCs w:val="20"/>
          <w:rtl/>
        </w:rPr>
        <w:t>פסיקת הלכה</w:t>
      </w:r>
      <w:r>
        <w:rPr>
          <w:sz w:val="20"/>
          <w:szCs w:val="20"/>
          <w:rtl/>
        </w:rPr>
        <w:br/>
      </w:r>
      <w:r w:rsidRPr="007D38AA">
        <w:rPr>
          <w:rFonts w:hint="cs"/>
          <w:b/>
          <w:bCs/>
          <w:sz w:val="20"/>
          <w:szCs w:val="20"/>
          <w:rtl/>
        </w:rPr>
        <w:t>שולחן ערוך</w:t>
      </w:r>
      <w:r>
        <w:rPr>
          <w:rFonts w:hint="cs"/>
          <w:sz w:val="20"/>
          <w:szCs w:val="20"/>
          <w:rtl/>
        </w:rPr>
        <w:t xml:space="preserve"> </w:t>
      </w:r>
      <w:r w:rsidRPr="007D38AA">
        <w:rPr>
          <w:rFonts w:hint="cs"/>
          <w:sz w:val="18"/>
          <w:szCs w:val="18"/>
          <w:rtl/>
        </w:rPr>
        <w:t xml:space="preserve">(ע"פ </w:t>
      </w:r>
      <w:r w:rsidRPr="007D38AA">
        <w:rPr>
          <w:rFonts w:hint="cs"/>
          <w:b/>
          <w:bCs/>
          <w:sz w:val="18"/>
          <w:szCs w:val="18"/>
          <w:rtl/>
        </w:rPr>
        <w:t>הרשב"א</w:t>
      </w:r>
      <w:r w:rsidRPr="007D38AA">
        <w:rPr>
          <w:rFonts w:hint="cs"/>
          <w:sz w:val="18"/>
          <w:szCs w:val="18"/>
          <w:rtl/>
        </w:rPr>
        <w:t xml:space="preserve">) </w:t>
      </w:r>
      <w:r>
        <w:rPr>
          <w:sz w:val="20"/>
          <w:szCs w:val="20"/>
          <w:rtl/>
        </w:rPr>
        <w:t>–</w:t>
      </w:r>
      <w:r>
        <w:rPr>
          <w:rFonts w:hint="cs"/>
          <w:sz w:val="20"/>
          <w:szCs w:val="20"/>
          <w:rtl/>
        </w:rPr>
        <w:t xml:space="preserve"> "</w:t>
      </w:r>
      <w:r w:rsidRPr="007D38AA">
        <w:rPr>
          <w:rFonts w:cs="Arial"/>
          <w:sz w:val="20"/>
          <w:szCs w:val="20"/>
          <w:rtl/>
        </w:rPr>
        <w:t>אבל אם לא חפפה כלל, לא עלתה לה טבילה אף על פי שעיינה בעצמה בגופה, ואפילו חפפה מיד אחר הטבילה וסרקה במסרק ולא מצאה שום נימא קשור, לא עלתה לה טבילה; ואין צ</w:t>
      </w:r>
      <w:r>
        <w:rPr>
          <w:rFonts w:cs="Arial" w:hint="cs"/>
          <w:sz w:val="20"/>
          <w:szCs w:val="20"/>
          <w:rtl/>
        </w:rPr>
        <w:t>ריך לומר</w:t>
      </w:r>
      <w:r w:rsidRPr="007D38AA">
        <w:rPr>
          <w:rFonts w:cs="Arial"/>
          <w:sz w:val="20"/>
          <w:szCs w:val="20"/>
          <w:rtl/>
        </w:rPr>
        <w:t xml:space="preserve"> אם חפפה במקום שיער, ולא עיינה בשאר גופה, שלא עלתה לה</w:t>
      </w:r>
      <w:r>
        <w:rPr>
          <w:rFonts w:cs="Arial"/>
          <w:sz w:val="20"/>
          <w:szCs w:val="20"/>
          <w:rtl/>
        </w:rPr>
        <w:t xml:space="preserve"> טבילה, שעיון הגוף הוא דבר תורה</w:t>
      </w:r>
      <w:r>
        <w:rPr>
          <w:rFonts w:cs="Arial" w:hint="cs"/>
          <w:sz w:val="20"/>
          <w:szCs w:val="20"/>
          <w:rtl/>
        </w:rPr>
        <w:t>".</w:t>
      </w:r>
    </w:p>
    <w:p w:rsidR="00620060" w:rsidRDefault="00620060" w:rsidP="00620060">
      <w:pPr>
        <w:rPr>
          <w:rFonts w:ascii="Arial" w:hAnsi="Arial" w:cs="Arial"/>
          <w:sz w:val="20"/>
          <w:szCs w:val="20"/>
          <w:rtl/>
        </w:rPr>
      </w:pPr>
      <w:r w:rsidRPr="00647FF4">
        <w:rPr>
          <w:rFonts w:hint="cs"/>
          <w:b/>
          <w:bCs/>
          <w:sz w:val="20"/>
          <w:szCs w:val="20"/>
          <w:rtl/>
        </w:rPr>
        <w:t>הערות</w:t>
      </w:r>
      <w:r>
        <w:rPr>
          <w:rFonts w:cs="David" w:hint="cs"/>
          <w:rtl/>
        </w:rPr>
        <w:br/>
      </w:r>
      <w:r>
        <w:rPr>
          <w:rFonts w:ascii="Arial" w:hAnsi="Arial" w:cs="Arial" w:hint="cs"/>
          <w:sz w:val="20"/>
          <w:szCs w:val="20"/>
          <w:rtl/>
        </w:rPr>
        <w:t xml:space="preserve">א. </w:t>
      </w:r>
      <w:r w:rsidRPr="00647FF4">
        <w:rPr>
          <w:rFonts w:ascii="Arial" w:hAnsi="Arial" w:cs="Arial"/>
          <w:sz w:val="20"/>
          <w:szCs w:val="20"/>
          <w:rtl/>
        </w:rPr>
        <w:t xml:space="preserve">"אבל אם לא חפפה" - </w:t>
      </w:r>
      <w:r>
        <w:rPr>
          <w:rFonts w:ascii="Arial" w:hAnsi="Arial" w:cs="Arial" w:hint="cs"/>
          <w:sz w:val="20"/>
          <w:szCs w:val="20"/>
          <w:rtl/>
        </w:rPr>
        <w:t>ד</w:t>
      </w:r>
      <w:r w:rsidRPr="00647FF4">
        <w:rPr>
          <w:rFonts w:ascii="Arial" w:hAnsi="Arial" w:cs="Arial"/>
          <w:sz w:val="20"/>
          <w:szCs w:val="20"/>
          <w:rtl/>
        </w:rPr>
        <w:t xml:space="preserve">היינו שחכמים העמידו דבריהם אף בדיעבד </w:t>
      </w:r>
      <w:r w:rsidRPr="00647FF4">
        <w:rPr>
          <w:rFonts w:ascii="Arial" w:hAnsi="Arial" w:cs="Arial"/>
          <w:sz w:val="18"/>
          <w:szCs w:val="18"/>
          <w:rtl/>
        </w:rPr>
        <w:t>(ואף שמסתמא גם אם היתה חציצה ודאי שלא היתה ברוב הגוף, וא</w:t>
      </w:r>
      <w:r>
        <w:rPr>
          <w:rFonts w:ascii="Arial" w:hAnsi="Arial" w:cs="Arial" w:hint="cs"/>
          <w:sz w:val="18"/>
          <w:szCs w:val="18"/>
          <w:rtl/>
        </w:rPr>
        <w:t>ם כן</w:t>
      </w:r>
      <w:r w:rsidRPr="00647FF4">
        <w:rPr>
          <w:rFonts w:ascii="Arial" w:hAnsi="Arial" w:cs="Arial"/>
          <w:sz w:val="18"/>
          <w:szCs w:val="18"/>
          <w:rtl/>
        </w:rPr>
        <w:t xml:space="preserve"> כל החשש הוא רק מדרבנן)</w:t>
      </w:r>
      <w:r w:rsidRPr="00647FF4">
        <w:rPr>
          <w:rFonts w:ascii="Arial" w:hAnsi="Arial" w:cs="Arial"/>
          <w:sz w:val="20"/>
          <w:szCs w:val="20"/>
          <w:rtl/>
        </w:rPr>
        <w:t xml:space="preserve">. וכתב </w:t>
      </w:r>
      <w:r w:rsidRPr="00647FF4">
        <w:rPr>
          <w:rFonts w:ascii="Arial" w:hAnsi="Arial" w:cs="Arial"/>
          <w:b/>
          <w:bCs/>
          <w:sz w:val="20"/>
          <w:szCs w:val="20"/>
          <w:rtl/>
        </w:rPr>
        <w:t>ב</w:t>
      </w:r>
      <w:r w:rsidRPr="00647FF4">
        <w:rPr>
          <w:rFonts w:ascii="Arial" w:hAnsi="Arial" w:cs="Arial" w:hint="cs"/>
          <w:b/>
          <w:bCs/>
          <w:sz w:val="20"/>
          <w:szCs w:val="20"/>
          <w:rtl/>
        </w:rPr>
        <w:t>ש</w:t>
      </w:r>
      <w:r w:rsidRPr="00647FF4">
        <w:rPr>
          <w:rFonts w:ascii="Arial" w:hAnsi="Arial" w:cs="Arial"/>
          <w:b/>
          <w:bCs/>
          <w:sz w:val="20"/>
          <w:szCs w:val="20"/>
          <w:rtl/>
        </w:rPr>
        <w:t>שבה"ל</w:t>
      </w:r>
      <w:r w:rsidRPr="00647FF4">
        <w:rPr>
          <w:rFonts w:ascii="Arial" w:hAnsi="Arial" w:cs="Arial"/>
          <w:sz w:val="20"/>
          <w:szCs w:val="20"/>
          <w:rtl/>
        </w:rPr>
        <w:t xml:space="preserve"> שחוזרת ומברכת.</w:t>
      </w:r>
      <w:r>
        <w:rPr>
          <w:rFonts w:ascii="Arial" w:hAnsi="Arial" w:cs="Arial"/>
          <w:sz w:val="20"/>
          <w:szCs w:val="20"/>
          <w:rtl/>
        </w:rPr>
        <w:br/>
      </w:r>
      <w:r>
        <w:rPr>
          <w:rFonts w:ascii="Arial" w:hAnsi="Arial" w:cs="Arial" w:hint="cs"/>
          <w:sz w:val="20"/>
          <w:szCs w:val="20"/>
          <w:rtl/>
        </w:rPr>
        <w:t xml:space="preserve">ב. </w:t>
      </w:r>
      <w:r w:rsidRPr="00647FF4">
        <w:rPr>
          <w:rFonts w:ascii="Arial" w:hAnsi="Arial" w:cs="Arial"/>
          <w:sz w:val="20"/>
          <w:szCs w:val="20"/>
          <w:rtl/>
        </w:rPr>
        <w:t>"לא חפפה" –</w:t>
      </w:r>
      <w:r>
        <w:rPr>
          <w:rFonts w:ascii="Arial" w:hAnsi="Arial" w:cs="Arial" w:hint="cs"/>
          <w:sz w:val="20"/>
          <w:szCs w:val="20"/>
          <w:rtl/>
        </w:rPr>
        <w:t xml:space="preserve"> </w:t>
      </w:r>
      <w:r w:rsidRPr="00647FF4">
        <w:rPr>
          <w:rFonts w:ascii="Arial" w:hAnsi="Arial" w:cs="Arial"/>
          <w:sz w:val="20"/>
          <w:szCs w:val="20"/>
          <w:rtl/>
        </w:rPr>
        <w:t>חפיפת הראש, אבל חפיפת שאר הגוף ממנהג בעלמא, ובדיעבד ודאי שעלתה לה טבילה.</w:t>
      </w:r>
      <w:r>
        <w:rPr>
          <w:rFonts w:ascii="Arial" w:hAnsi="Arial" w:cs="Arial"/>
          <w:sz w:val="20"/>
          <w:szCs w:val="20"/>
          <w:rtl/>
        </w:rPr>
        <w:br/>
      </w:r>
      <w:r>
        <w:rPr>
          <w:rFonts w:ascii="Arial" w:hAnsi="Arial" w:cs="Arial" w:hint="cs"/>
          <w:sz w:val="20"/>
          <w:szCs w:val="20"/>
          <w:rtl/>
        </w:rPr>
        <w:t xml:space="preserve">ג. </w:t>
      </w:r>
      <w:r w:rsidRPr="00647FF4">
        <w:rPr>
          <w:rFonts w:ascii="Arial" w:hAnsi="Arial" w:cs="Arial"/>
          <w:sz w:val="20"/>
          <w:szCs w:val="20"/>
          <w:rtl/>
        </w:rPr>
        <w:t>"ואפילו חפפה מיד" – וכל שכן שאם לא עיינה כלל, לא יועיל לה עיון לאחר הטבילה דחיישינן שמא נפל.</w:t>
      </w:r>
    </w:p>
    <w:p w:rsidR="00620060" w:rsidRDefault="00620060" w:rsidP="00620060">
      <w:pPr>
        <w:rPr>
          <w:sz w:val="20"/>
          <w:szCs w:val="20"/>
          <w:rtl/>
        </w:rPr>
      </w:pPr>
      <w:r w:rsidRPr="00E36058">
        <w:rPr>
          <w:rFonts w:hint="cs"/>
          <w:b/>
          <w:bCs/>
          <w:sz w:val="20"/>
          <w:szCs w:val="20"/>
          <w:rtl/>
        </w:rPr>
        <w:t>סיכום</w:t>
      </w:r>
      <w:r>
        <w:rPr>
          <w:sz w:val="20"/>
          <w:szCs w:val="20"/>
          <w:rtl/>
        </w:rPr>
        <w:br/>
      </w:r>
      <w:r>
        <w:rPr>
          <w:rFonts w:hint="cs"/>
          <w:sz w:val="20"/>
          <w:szCs w:val="20"/>
          <w:rtl/>
        </w:rPr>
        <w:t xml:space="preserve">1. </w:t>
      </w:r>
      <w:r>
        <w:rPr>
          <w:rFonts w:asciiTheme="minorBidi" w:hAnsiTheme="minorBidi" w:hint="cs"/>
          <w:sz w:val="20"/>
          <w:szCs w:val="20"/>
          <w:rtl/>
        </w:rPr>
        <w:t>חפפה ועיינה אך טבלה כעבור זמן מה, האם טהורה?</w:t>
      </w:r>
      <w:r>
        <w:rPr>
          <w:rFonts w:hint="cs"/>
          <w:sz w:val="20"/>
          <w:szCs w:val="20"/>
          <w:rtl/>
        </w:rPr>
        <w:t xml:space="preserve"> </w:t>
      </w:r>
      <w:r w:rsidRPr="00E36058">
        <w:rPr>
          <w:rFonts w:hint="cs"/>
          <w:b/>
          <w:bCs/>
          <w:sz w:val="20"/>
          <w:szCs w:val="20"/>
          <w:rtl/>
        </w:rPr>
        <w:t>רשב"א ור"ן</w:t>
      </w:r>
      <w:r>
        <w:rPr>
          <w:rFonts w:hint="cs"/>
          <w:sz w:val="20"/>
          <w:szCs w:val="20"/>
          <w:rtl/>
        </w:rPr>
        <w:t xml:space="preserve">. כן, וכ"פ </w:t>
      </w:r>
      <w:r w:rsidRPr="00E36058">
        <w:rPr>
          <w:rFonts w:hint="cs"/>
          <w:b/>
          <w:bCs/>
          <w:sz w:val="20"/>
          <w:szCs w:val="20"/>
          <w:rtl/>
        </w:rPr>
        <w:t>המחבר</w:t>
      </w:r>
      <w:r>
        <w:rPr>
          <w:rFonts w:hint="cs"/>
          <w:sz w:val="20"/>
          <w:szCs w:val="20"/>
          <w:rtl/>
        </w:rPr>
        <w:t xml:space="preserve">. </w:t>
      </w:r>
      <w:r w:rsidRPr="00E36058">
        <w:rPr>
          <w:rFonts w:hint="cs"/>
          <w:b/>
          <w:bCs/>
          <w:sz w:val="20"/>
          <w:szCs w:val="20"/>
          <w:rtl/>
        </w:rPr>
        <w:t>איכא דגרסי</w:t>
      </w:r>
      <w:r>
        <w:rPr>
          <w:rFonts w:hint="cs"/>
          <w:sz w:val="20"/>
          <w:szCs w:val="20"/>
          <w:rtl/>
        </w:rPr>
        <w:t>. לא.</w:t>
      </w:r>
      <w:r>
        <w:rPr>
          <w:sz w:val="20"/>
          <w:szCs w:val="20"/>
          <w:rtl/>
        </w:rPr>
        <w:br/>
      </w:r>
      <w:r>
        <w:rPr>
          <w:rFonts w:hint="cs"/>
          <w:sz w:val="20"/>
          <w:szCs w:val="20"/>
          <w:rtl/>
        </w:rPr>
        <w:t xml:space="preserve">2. </w:t>
      </w:r>
      <w:r w:rsidRPr="00E36058">
        <w:rPr>
          <w:rFonts w:hint="cs"/>
          <w:b/>
          <w:bCs/>
          <w:sz w:val="20"/>
          <w:szCs w:val="20"/>
          <w:rtl/>
        </w:rPr>
        <w:t>מחבר</w:t>
      </w:r>
      <w:r>
        <w:rPr>
          <w:rFonts w:hint="cs"/>
          <w:sz w:val="20"/>
          <w:szCs w:val="20"/>
          <w:rtl/>
        </w:rPr>
        <w:t xml:space="preserve">. חפפה ועיינה וטבלה כעבור זמן, עלתה לה טבילה. </w:t>
      </w:r>
      <w:r w:rsidRPr="00E36058">
        <w:rPr>
          <w:rFonts w:hint="cs"/>
          <w:b/>
          <w:bCs/>
          <w:sz w:val="20"/>
          <w:szCs w:val="20"/>
          <w:rtl/>
        </w:rPr>
        <w:t>טעם</w:t>
      </w:r>
      <w:r>
        <w:rPr>
          <w:rFonts w:hint="cs"/>
          <w:sz w:val="20"/>
          <w:szCs w:val="20"/>
          <w:rtl/>
        </w:rPr>
        <w:t>. מעמידים על חזקתה, אך צריכה לעיין בגופה לאחר טבילה. והנ"ל רק אם לא התעסקה בדברים חוצצים לאחר החפיפה.</w:t>
      </w:r>
      <w:r>
        <w:rPr>
          <w:sz w:val="20"/>
          <w:szCs w:val="20"/>
          <w:rtl/>
        </w:rPr>
        <w:br/>
      </w:r>
      <w:r>
        <w:rPr>
          <w:rFonts w:hint="cs"/>
          <w:sz w:val="20"/>
          <w:szCs w:val="20"/>
          <w:rtl/>
        </w:rPr>
        <w:t xml:space="preserve">3. הרחקה זו לכל היותר כשחפפה יום א' וטבלה ליל ד'. </w:t>
      </w:r>
      <w:r>
        <w:rPr>
          <w:rFonts w:hint="cs"/>
          <w:sz w:val="20"/>
          <w:szCs w:val="20"/>
          <w:rtl/>
        </w:rPr>
        <w:br/>
        <w:t xml:space="preserve">4. </w:t>
      </w:r>
      <w:r w:rsidRPr="00E36058">
        <w:rPr>
          <w:rFonts w:hint="cs"/>
          <w:b/>
          <w:bCs/>
          <w:sz w:val="20"/>
          <w:szCs w:val="20"/>
          <w:rtl/>
        </w:rPr>
        <w:t>מחבר</w:t>
      </w:r>
      <w:r>
        <w:rPr>
          <w:rFonts w:hint="cs"/>
          <w:sz w:val="20"/>
          <w:szCs w:val="20"/>
          <w:rtl/>
        </w:rPr>
        <w:t xml:space="preserve">. לא חפפה כלל </w:t>
      </w:r>
      <w:r>
        <w:rPr>
          <w:sz w:val="20"/>
          <w:szCs w:val="20"/>
          <w:rtl/>
        </w:rPr>
        <w:t>–</w:t>
      </w:r>
      <w:r>
        <w:rPr>
          <w:rFonts w:hint="cs"/>
          <w:sz w:val="20"/>
          <w:szCs w:val="20"/>
          <w:rtl/>
        </w:rPr>
        <w:t xml:space="preserve"> לא עלתה לה טבילה אפילו אם עיינה לפני הטבילה וחפפה מייד אחר כך ולא מצאה חציצה. וכל שכן אם לא עיינה בכל גופה וטבלה שלא עלתה לה טבילה, למרות שחפפה ראשה לפני הטבילה.</w:t>
      </w:r>
      <w:r>
        <w:rPr>
          <w:sz w:val="20"/>
          <w:szCs w:val="20"/>
          <w:rtl/>
        </w:rPr>
        <w:br/>
      </w:r>
      <w:r>
        <w:rPr>
          <w:rFonts w:hint="cs"/>
          <w:sz w:val="20"/>
          <w:szCs w:val="20"/>
          <w:rtl/>
        </w:rPr>
        <w:t xml:space="preserve">קרי </w:t>
      </w:r>
      <w:r>
        <w:rPr>
          <w:sz w:val="20"/>
          <w:szCs w:val="20"/>
          <w:rtl/>
        </w:rPr>
        <w:t>–</w:t>
      </w:r>
      <w:r>
        <w:rPr>
          <w:rFonts w:hint="cs"/>
          <w:sz w:val="20"/>
          <w:szCs w:val="20"/>
          <w:rtl/>
        </w:rPr>
        <w:t xml:space="preserve"> חפיפה מעכבת ועיון מעכב.</w:t>
      </w:r>
    </w:p>
    <w:p w:rsidR="00620060" w:rsidRDefault="00620060" w:rsidP="00620060">
      <w:pPr>
        <w:rPr>
          <w:sz w:val="20"/>
          <w:szCs w:val="20"/>
          <w:rtl/>
        </w:rPr>
      </w:pPr>
      <w:r>
        <w:rPr>
          <w:sz w:val="20"/>
          <w:szCs w:val="20"/>
          <w:rtl/>
        </w:rPr>
        <w:br/>
      </w:r>
      <w:r>
        <w:rPr>
          <w:rFonts w:hint="cs"/>
          <w:b/>
          <w:bCs/>
          <w:sz w:val="20"/>
          <w:szCs w:val="20"/>
          <w:rtl/>
        </w:rPr>
        <w:t xml:space="preserve">סעיף ט </w:t>
      </w:r>
      <w:r>
        <w:rPr>
          <w:b/>
          <w:bCs/>
          <w:sz w:val="20"/>
          <w:szCs w:val="20"/>
          <w:rtl/>
        </w:rPr>
        <w:t>–</w:t>
      </w:r>
      <w:r>
        <w:rPr>
          <w:rFonts w:hint="cs"/>
          <w:b/>
          <w:bCs/>
          <w:sz w:val="20"/>
          <w:szCs w:val="20"/>
          <w:rtl/>
        </w:rPr>
        <w:t xml:space="preserve"> לא עיינה בבית הסתרים</w:t>
      </w:r>
      <w:r>
        <w:rPr>
          <w:rFonts w:hint="cs"/>
          <w:b/>
          <w:bCs/>
          <w:sz w:val="20"/>
          <w:szCs w:val="20"/>
          <w:rtl/>
        </w:rPr>
        <w:br/>
        <w:t>מקור הדין</w:t>
      </w:r>
      <w:r>
        <w:rPr>
          <w:b/>
          <w:bCs/>
          <w:sz w:val="20"/>
          <w:szCs w:val="20"/>
          <w:rtl/>
        </w:rPr>
        <w:br/>
      </w:r>
      <w:r>
        <w:rPr>
          <w:rFonts w:hint="cs"/>
          <w:b/>
          <w:bCs/>
          <w:sz w:val="20"/>
          <w:szCs w:val="20"/>
          <w:rtl/>
        </w:rPr>
        <w:t xml:space="preserve">גמרא </w:t>
      </w:r>
      <w:r>
        <w:rPr>
          <w:rFonts w:hint="cs"/>
          <w:sz w:val="20"/>
          <w:szCs w:val="20"/>
          <w:rtl/>
        </w:rPr>
        <w:t>קידושין (כה.) "</w:t>
      </w:r>
      <w:r w:rsidRPr="00BE014C">
        <w:rPr>
          <w:rFonts w:cs="Arial"/>
          <w:sz w:val="20"/>
          <w:szCs w:val="20"/>
          <w:rtl/>
        </w:rPr>
        <w:t>מעשה בשפחה של בית רבי, שטבלה ועלתה ונמצא עצם בין שיניה, והצריכה רבי טבילה אחרת!</w:t>
      </w:r>
      <w:r>
        <w:rPr>
          <w:rFonts w:cs="Arial" w:hint="cs"/>
          <w:sz w:val="20"/>
          <w:szCs w:val="20"/>
          <w:rtl/>
        </w:rPr>
        <w:t>"</w:t>
      </w:r>
      <w:r>
        <w:rPr>
          <w:b/>
          <w:bCs/>
          <w:sz w:val="20"/>
          <w:szCs w:val="20"/>
          <w:rtl/>
        </w:rPr>
        <w:br/>
      </w:r>
      <w:r>
        <w:rPr>
          <w:rFonts w:hint="cs"/>
          <w:sz w:val="20"/>
          <w:szCs w:val="20"/>
          <w:rtl/>
        </w:rPr>
        <w:t xml:space="preserve">משמע שאם לא היה נמצא עליה דבר חוצץ לא היתה צריכה טבילה אחרת למרות שמסתמא לא עיינה, </w:t>
      </w:r>
      <w:r w:rsidRPr="009F5297">
        <w:rPr>
          <w:rFonts w:hint="cs"/>
          <w:b/>
          <w:bCs/>
          <w:sz w:val="20"/>
          <w:szCs w:val="20"/>
          <w:rtl/>
        </w:rPr>
        <w:t>גר"א</w:t>
      </w:r>
      <w:r>
        <w:rPr>
          <w:rFonts w:hint="cs"/>
          <w:sz w:val="20"/>
          <w:szCs w:val="20"/>
          <w:rtl/>
        </w:rPr>
        <w:t>.</w:t>
      </w:r>
      <w:r>
        <w:rPr>
          <w:rFonts w:hint="cs"/>
          <w:b/>
          <w:bCs/>
          <w:sz w:val="20"/>
          <w:szCs w:val="20"/>
          <w:rtl/>
        </w:rPr>
        <w:br/>
      </w:r>
      <w:r>
        <w:rPr>
          <w:b/>
          <w:b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שולחן ערוך </w:t>
      </w:r>
      <w:r w:rsidRPr="008667F5">
        <w:rPr>
          <w:rFonts w:hint="cs"/>
          <w:sz w:val="18"/>
          <w:szCs w:val="18"/>
          <w:rtl/>
        </w:rPr>
        <w:t xml:space="preserve">(ע"פ </w:t>
      </w:r>
      <w:r w:rsidRPr="008667F5">
        <w:rPr>
          <w:rFonts w:hint="cs"/>
          <w:b/>
          <w:bCs/>
          <w:sz w:val="18"/>
          <w:szCs w:val="18"/>
          <w:rtl/>
        </w:rPr>
        <w:t>הראב"ד</w:t>
      </w:r>
      <w:r w:rsidRPr="008667F5">
        <w:rPr>
          <w:rFonts w:hint="cs"/>
          <w:sz w:val="18"/>
          <w:szCs w:val="18"/>
          <w:rtl/>
        </w:rPr>
        <w:t xml:space="preserve">) </w:t>
      </w:r>
      <w:r w:rsidRPr="008667F5">
        <w:rPr>
          <w:sz w:val="20"/>
          <w:szCs w:val="20"/>
          <w:rtl/>
        </w:rPr>
        <w:t>–</w:t>
      </w:r>
      <w:r w:rsidRPr="008667F5">
        <w:rPr>
          <w:rFonts w:hint="cs"/>
          <w:sz w:val="20"/>
          <w:szCs w:val="20"/>
          <w:rtl/>
        </w:rPr>
        <w:t xml:space="preserve"> "במה דברים אמורים</w:t>
      </w:r>
      <w:r w:rsidRPr="008667F5">
        <w:rPr>
          <w:rFonts w:cs="Arial"/>
          <w:sz w:val="20"/>
          <w:szCs w:val="20"/>
          <w:rtl/>
        </w:rPr>
        <w:t xml:space="preserve"> בשאר כל הגוף, אבל בבית הסתרים כיון שאין צריכים לביאת מים, אם לא עיינה אותם קודם לכן ואחר כך עיינה אותם ולא </w:t>
      </w:r>
      <w:r>
        <w:rPr>
          <w:rFonts w:cs="Arial"/>
          <w:sz w:val="20"/>
          <w:szCs w:val="20"/>
          <w:rtl/>
        </w:rPr>
        <w:t>מצאה בהם שום דבר, עלתה לה טבילה</w:t>
      </w:r>
      <w:r>
        <w:rPr>
          <w:rFonts w:cs="Arial" w:hint="cs"/>
          <w:sz w:val="20"/>
          <w:szCs w:val="20"/>
          <w:rtl/>
        </w:rPr>
        <w:t>".</w:t>
      </w:r>
    </w:p>
    <w:p w:rsidR="00620060" w:rsidRDefault="00620060" w:rsidP="00620060">
      <w:pPr>
        <w:rPr>
          <w:sz w:val="20"/>
          <w:szCs w:val="20"/>
          <w:rtl/>
        </w:rPr>
      </w:pPr>
      <w:r>
        <w:rPr>
          <w:rFonts w:hint="cs"/>
          <w:sz w:val="20"/>
          <w:szCs w:val="20"/>
          <w:u w:val="single"/>
          <w:rtl/>
        </w:rPr>
        <w:t>מדוע מקלים?</w:t>
      </w:r>
      <w:r>
        <w:rPr>
          <w:sz w:val="20"/>
          <w:szCs w:val="20"/>
          <w:rtl/>
        </w:rPr>
        <w:br/>
      </w:r>
      <w:r>
        <w:rPr>
          <w:rFonts w:hint="cs"/>
          <w:sz w:val="20"/>
          <w:szCs w:val="20"/>
          <w:rtl/>
        </w:rPr>
        <w:t>קשה שהרי בית הסתרים צריך להיות ראוי לביאת מים!</w:t>
      </w:r>
      <w:r>
        <w:rPr>
          <w:rFonts w:hint="cs"/>
          <w:sz w:val="20"/>
          <w:szCs w:val="20"/>
          <w:rtl/>
        </w:rPr>
        <w:br/>
        <w:t xml:space="preserve">א. </w:t>
      </w:r>
      <w:r w:rsidRPr="00291A4A">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כיוון שהוא נסתר אין דרך לבוא לשם דבר חוצץ.</w:t>
      </w:r>
      <w:r>
        <w:rPr>
          <w:rFonts w:hint="cs"/>
          <w:sz w:val="20"/>
          <w:szCs w:val="20"/>
          <w:rtl/>
        </w:rPr>
        <w:br/>
        <w:t xml:space="preserve">ב. </w:t>
      </w:r>
      <w:r w:rsidRPr="00291A4A">
        <w:rPr>
          <w:rFonts w:hint="cs"/>
          <w:b/>
          <w:bCs/>
          <w:sz w:val="20"/>
          <w:szCs w:val="20"/>
          <w:rtl/>
        </w:rPr>
        <w:t>לבוש ומעדני מלך</w:t>
      </w:r>
      <w:r>
        <w:rPr>
          <w:rFonts w:hint="cs"/>
          <w:sz w:val="20"/>
          <w:szCs w:val="20"/>
          <w:rtl/>
        </w:rPr>
        <w:t xml:space="preserve"> </w:t>
      </w:r>
      <w:r w:rsidRPr="00291A4A">
        <w:rPr>
          <w:rFonts w:hint="cs"/>
          <w:sz w:val="18"/>
          <w:szCs w:val="18"/>
          <w:rtl/>
        </w:rPr>
        <w:t xml:space="preserve">(הו"ד בש"ך סימן קצח, סקל"ב) </w:t>
      </w:r>
      <w:r>
        <w:rPr>
          <w:sz w:val="20"/>
          <w:szCs w:val="20"/>
          <w:rtl/>
        </w:rPr>
        <w:t>–</w:t>
      </w:r>
      <w:r>
        <w:rPr>
          <w:rFonts w:hint="cs"/>
          <w:sz w:val="20"/>
          <w:szCs w:val="20"/>
          <w:rtl/>
        </w:rPr>
        <w:t xml:space="preserve"> בבית הסתרים הלכלוך נדבק ואינו יורד בקלות, ולכן אם היה עליה בשעת טבילה היה נמצא עליה גם כעת.</w:t>
      </w:r>
      <w:r>
        <w:rPr>
          <w:sz w:val="20"/>
          <w:szCs w:val="20"/>
          <w:rtl/>
        </w:rPr>
        <w:br/>
      </w:r>
      <w:r>
        <w:rPr>
          <w:rFonts w:hint="cs"/>
          <w:sz w:val="20"/>
          <w:szCs w:val="20"/>
          <w:rtl/>
        </w:rPr>
        <w:t xml:space="preserve">ג. </w:t>
      </w:r>
      <w:r w:rsidRPr="00291A4A">
        <w:rPr>
          <w:rFonts w:hint="cs"/>
          <w:b/>
          <w:bCs/>
          <w:sz w:val="20"/>
          <w:szCs w:val="20"/>
          <w:rtl/>
        </w:rPr>
        <w:t>ש"ך</w:t>
      </w:r>
      <w:r>
        <w:rPr>
          <w:rFonts w:hint="cs"/>
          <w:sz w:val="20"/>
          <w:szCs w:val="20"/>
          <w:rtl/>
        </w:rPr>
        <w:t xml:space="preserve"> </w:t>
      </w:r>
      <w:r w:rsidRPr="00291A4A">
        <w:rPr>
          <w:rFonts w:hint="cs"/>
          <w:sz w:val="18"/>
          <w:szCs w:val="18"/>
          <w:rtl/>
        </w:rPr>
        <w:t xml:space="preserve">(שם) </w:t>
      </w:r>
      <w:r>
        <w:rPr>
          <w:sz w:val="20"/>
          <w:szCs w:val="20"/>
          <w:rtl/>
        </w:rPr>
        <w:t>–</w:t>
      </w:r>
      <w:r>
        <w:rPr>
          <w:rFonts w:hint="cs"/>
          <w:sz w:val="20"/>
          <w:szCs w:val="20"/>
          <w:rtl/>
        </w:rPr>
        <w:t xml:space="preserve"> מכיוון שהמים אינם צריכים לבוא למקומות אלו, תולים להקל. </w:t>
      </w:r>
    </w:p>
    <w:p w:rsidR="00620060" w:rsidRDefault="00620060" w:rsidP="00620060">
      <w:pPr>
        <w:rPr>
          <w:sz w:val="20"/>
          <w:szCs w:val="20"/>
          <w:rtl/>
        </w:rPr>
      </w:pPr>
      <w:r>
        <w:rPr>
          <w:sz w:val="20"/>
          <w:szCs w:val="20"/>
          <w:rtl/>
        </w:rPr>
        <w:br/>
      </w:r>
      <w:r>
        <w:rPr>
          <w:rFonts w:hint="cs"/>
          <w:b/>
          <w:bCs/>
          <w:sz w:val="20"/>
          <w:szCs w:val="20"/>
          <w:rtl/>
        </w:rPr>
        <w:t xml:space="preserve">סעיף י </w:t>
      </w:r>
      <w:r>
        <w:rPr>
          <w:b/>
          <w:bCs/>
          <w:sz w:val="20"/>
          <w:szCs w:val="20"/>
          <w:rtl/>
        </w:rPr>
        <w:t>–</w:t>
      </w:r>
      <w:r>
        <w:rPr>
          <w:rFonts w:hint="cs"/>
          <w:b/>
          <w:bCs/>
          <w:sz w:val="20"/>
          <w:szCs w:val="20"/>
          <w:rtl/>
        </w:rPr>
        <w:t xml:space="preserve"> טבלה ונמצא עליה דבר חוצץ</w:t>
      </w:r>
      <w:r>
        <w:rPr>
          <w:b/>
          <w:bCs/>
          <w:sz w:val="20"/>
          <w:szCs w:val="20"/>
          <w:rtl/>
        </w:rPr>
        <w:br/>
      </w:r>
      <w:r>
        <w:rPr>
          <w:rFonts w:hint="cs"/>
          <w:b/>
          <w:bCs/>
          <w:sz w:val="20"/>
          <w:szCs w:val="20"/>
          <w:rtl/>
        </w:rPr>
        <w:t>מקורות הדין</w:t>
      </w:r>
      <w:r>
        <w:rPr>
          <w:b/>
          <w:bCs/>
          <w:sz w:val="20"/>
          <w:szCs w:val="20"/>
          <w:rtl/>
        </w:rPr>
        <w:br/>
      </w:r>
      <w:r>
        <w:rPr>
          <w:rFonts w:asciiTheme="minorBidi" w:hAnsiTheme="minorBidi" w:hint="cs"/>
          <w:sz w:val="20"/>
          <w:szCs w:val="20"/>
          <w:rtl/>
        </w:rPr>
        <w:t xml:space="preserve">א. </w:t>
      </w:r>
      <w:r>
        <w:rPr>
          <w:rFonts w:asciiTheme="minorBidi" w:hAnsiTheme="minorBidi" w:hint="cs"/>
          <w:b/>
          <w:bCs/>
          <w:sz w:val="20"/>
          <w:szCs w:val="20"/>
          <w:rtl/>
        </w:rPr>
        <w:t xml:space="preserve">גמרא </w:t>
      </w:r>
      <w:r>
        <w:rPr>
          <w:rFonts w:asciiTheme="minorBidi" w:hAnsiTheme="minorBidi" w:hint="cs"/>
          <w:sz w:val="20"/>
          <w:szCs w:val="20"/>
          <w:rtl/>
        </w:rPr>
        <w:t>נידה (סו:) "</w:t>
      </w:r>
      <w:r w:rsidRPr="00220989">
        <w:rPr>
          <w:rFonts w:asciiTheme="minorBidi" w:hAnsiTheme="minorBidi" w:cs="Arial"/>
          <w:sz w:val="20"/>
          <w:szCs w:val="20"/>
          <w:rtl/>
        </w:rPr>
        <w:t>אמר רבא: טבלה ועלתה ונמצא עליה דבר חוצץ, אם סמוך לחפיפה טבלה - אינה צריכה לחוף ולטבול, ואם לאו - צריכה לחוף ולטבול. איכא דאמרי: אם באותו יום שחפפה טבלה - אינה צריכה לחוף ולטבול, ואם לאו - צריכה לחוף ולטבול</w:t>
      </w:r>
      <w:r>
        <w:rPr>
          <w:rFonts w:asciiTheme="minorBidi" w:hAnsiTheme="minorBidi" w:cs="Arial" w:hint="cs"/>
          <w:sz w:val="20"/>
          <w:szCs w:val="20"/>
          <w:rtl/>
        </w:rPr>
        <w:t>".</w:t>
      </w:r>
      <w:r>
        <w:rPr>
          <w:sz w:val="20"/>
          <w:szCs w:val="20"/>
          <w:rtl/>
        </w:rPr>
        <w:br/>
      </w:r>
      <w:r>
        <w:rPr>
          <w:rFonts w:hint="cs"/>
          <w:sz w:val="20"/>
          <w:szCs w:val="20"/>
          <w:rtl/>
        </w:rPr>
        <w:t>ב.</w:t>
      </w:r>
      <w:r w:rsidRPr="00491C42">
        <w:rPr>
          <w:rFonts w:hint="cs"/>
          <w:b/>
          <w:bCs/>
          <w:sz w:val="20"/>
          <w:szCs w:val="20"/>
          <w:rtl/>
        </w:rPr>
        <w:t xml:space="preserve"> גמרא</w:t>
      </w:r>
      <w:r>
        <w:rPr>
          <w:rFonts w:hint="cs"/>
          <w:sz w:val="20"/>
          <w:szCs w:val="20"/>
          <w:rtl/>
        </w:rPr>
        <w:t xml:space="preserve"> חולין (י.) "</w:t>
      </w:r>
      <w:r w:rsidRPr="00491C42">
        <w:rPr>
          <w:rFonts w:cs="Arial"/>
          <w:sz w:val="20"/>
          <w:szCs w:val="20"/>
          <w:rtl/>
        </w:rPr>
        <w:t xml:space="preserve">טבל ועלה ונמצא עליו דבר חוצץ, אף על פי שנתעסק באותו המין כל היום כולו </w:t>
      </w:r>
      <w:r w:rsidRPr="00797526">
        <w:rPr>
          <w:rFonts w:cs="Arial" w:hint="cs"/>
          <w:sz w:val="18"/>
          <w:szCs w:val="18"/>
          <w:rtl/>
        </w:rPr>
        <w:t>(לאחר טבילה)</w:t>
      </w:r>
      <w:r>
        <w:rPr>
          <w:rFonts w:cs="Arial" w:hint="cs"/>
          <w:sz w:val="20"/>
          <w:szCs w:val="20"/>
          <w:rtl/>
        </w:rPr>
        <w:t xml:space="preserve"> </w:t>
      </w:r>
      <w:r w:rsidRPr="00491C42">
        <w:rPr>
          <w:rFonts w:cs="Arial"/>
          <w:sz w:val="20"/>
          <w:szCs w:val="20"/>
          <w:rtl/>
        </w:rPr>
        <w:t>- לא עלתה לו טבילה, עד שיאמר ברי לי שלא היה עלי קודם לכן</w:t>
      </w:r>
      <w:r>
        <w:rPr>
          <w:rFonts w:hint="cs"/>
          <w:sz w:val="20"/>
          <w:szCs w:val="20"/>
          <w:rtl/>
        </w:rPr>
        <w:t>".</w:t>
      </w:r>
    </w:p>
    <w:p w:rsidR="00620060" w:rsidRDefault="00620060" w:rsidP="00620060">
      <w:pPr>
        <w:rPr>
          <w:sz w:val="20"/>
          <w:szCs w:val="20"/>
          <w:rtl/>
        </w:rPr>
      </w:pPr>
      <w:r>
        <w:rPr>
          <w:rFonts w:hint="cs"/>
          <w:b/>
          <w:bCs/>
          <w:sz w:val="20"/>
          <w:szCs w:val="20"/>
          <w:rtl/>
        </w:rPr>
        <w:t>יישוב שני המקורות</w:t>
      </w:r>
      <w:r>
        <w:rPr>
          <w:b/>
          <w:bCs/>
          <w:sz w:val="20"/>
          <w:szCs w:val="20"/>
          <w:rtl/>
        </w:rPr>
        <w:br/>
      </w:r>
      <w:r w:rsidRPr="00763025">
        <w:rPr>
          <w:rFonts w:hint="cs"/>
          <w:b/>
          <w:bCs/>
          <w:sz w:val="20"/>
          <w:szCs w:val="20"/>
          <w:rtl/>
        </w:rPr>
        <w:t>תוספות</w:t>
      </w:r>
      <w:r>
        <w:rPr>
          <w:rFonts w:hint="cs"/>
          <w:sz w:val="20"/>
          <w:szCs w:val="20"/>
          <w:rtl/>
        </w:rPr>
        <w:t xml:space="preserve"> </w:t>
      </w:r>
      <w:r>
        <w:rPr>
          <w:sz w:val="20"/>
          <w:szCs w:val="20"/>
          <w:rtl/>
        </w:rPr>
        <w:t>–</w:t>
      </w:r>
      <w:r>
        <w:rPr>
          <w:rFonts w:hint="cs"/>
          <w:sz w:val="20"/>
          <w:szCs w:val="20"/>
          <w:rtl/>
        </w:rPr>
        <w:t xml:space="preserve"> קשה, מחד נאמר בגמרא נידה שאם חפפה סמוך לטבילה ונמצא עליה דבר חוצץ עלתה לה טבילה, אך מאידך בגמרא חולין נאמר שרק אם טוען ברי עלתה לו טבילה?</w:t>
      </w:r>
      <w:r>
        <w:rPr>
          <w:rFonts w:hint="cs"/>
          <w:sz w:val="20"/>
          <w:szCs w:val="20"/>
          <w:rtl/>
        </w:rPr>
        <w:br/>
        <w:t xml:space="preserve">מתרץ </w:t>
      </w:r>
      <w:r>
        <w:rPr>
          <w:sz w:val="20"/>
          <w:szCs w:val="20"/>
          <w:rtl/>
        </w:rPr>
        <w:t>–</w:t>
      </w:r>
      <w:r>
        <w:rPr>
          <w:rFonts w:hint="cs"/>
          <w:sz w:val="20"/>
          <w:szCs w:val="20"/>
          <w:rtl/>
        </w:rPr>
        <w:t xml:space="preserve"> בגמרא חולין מדובר שלא חפף סמוך לטבילה ולכן רק טענת ברי מהני, אך אין הכי נמי שאם חפף סמוך לטבילה עלתה לו טבילה למרות שנמצא עליו דבר חוצץ וכפי הפסק בגמרא נידה.</w:t>
      </w:r>
    </w:p>
    <w:p w:rsidR="00620060" w:rsidRDefault="00620060" w:rsidP="00620060">
      <w:pPr>
        <w:rPr>
          <w:sz w:val="20"/>
          <w:szCs w:val="20"/>
          <w:rtl/>
        </w:rPr>
      </w:pPr>
      <w:r>
        <w:rPr>
          <w:rFonts w:hint="cs"/>
          <w:b/>
          <w:bCs/>
          <w:sz w:val="20"/>
          <w:szCs w:val="20"/>
          <w:rtl/>
        </w:rPr>
        <w:lastRenderedPageBreak/>
        <w:t>שיטות הראשונים</w:t>
      </w:r>
      <w:r>
        <w:rPr>
          <w:rFonts w:hint="cs"/>
          <w:b/>
          <w:bCs/>
          <w:sz w:val="20"/>
          <w:szCs w:val="20"/>
          <w:rtl/>
        </w:rPr>
        <w:br/>
      </w:r>
      <w:r>
        <w:rPr>
          <w:rFonts w:hint="cs"/>
          <w:sz w:val="20"/>
          <w:szCs w:val="20"/>
          <w:rtl/>
        </w:rPr>
        <w:t>טבלה ונמצא עליה דבר חוצץ, אימתי עלתה לה טבילה?</w:t>
      </w:r>
      <w:r>
        <w:rPr>
          <w:b/>
          <w:bCs/>
          <w:sz w:val="20"/>
          <w:szCs w:val="20"/>
          <w:rtl/>
        </w:rPr>
        <w:br/>
      </w:r>
      <w:r>
        <w:rPr>
          <w:rFonts w:hint="cs"/>
          <w:sz w:val="20"/>
          <w:szCs w:val="20"/>
          <w:rtl/>
        </w:rPr>
        <w:t xml:space="preserve">א. </w:t>
      </w:r>
      <w:r w:rsidRPr="00633256">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הלכה כל"ק בנידה, אם טבלה סמוך לחפיפה עלתה לה טבילה.</w:t>
      </w:r>
      <w:r>
        <w:rPr>
          <w:sz w:val="20"/>
          <w:szCs w:val="20"/>
          <w:rtl/>
        </w:rPr>
        <w:br/>
      </w:r>
      <w:r>
        <w:rPr>
          <w:rFonts w:hint="cs"/>
          <w:sz w:val="20"/>
          <w:szCs w:val="20"/>
          <w:rtl/>
        </w:rPr>
        <w:t>וכמה הוא סמוך? עונה, שאם טבלה באותה עונה שחפפה ונמצא עליה דבר חוצץ עלתה לה טבילה</w:t>
      </w:r>
      <w:r>
        <w:rPr>
          <w:rStyle w:val="a5"/>
          <w:sz w:val="20"/>
          <w:szCs w:val="20"/>
          <w:rtl/>
        </w:rPr>
        <w:footnoteReference w:id="729"/>
      </w:r>
      <w:r>
        <w:rPr>
          <w:rFonts w:hint="cs"/>
          <w:sz w:val="20"/>
          <w:szCs w:val="20"/>
          <w:rtl/>
        </w:rPr>
        <w:t>.</w:t>
      </w:r>
      <w:r>
        <w:rPr>
          <w:rFonts w:hint="cs"/>
          <w:sz w:val="20"/>
          <w:szCs w:val="20"/>
          <w:rtl/>
        </w:rPr>
        <w:br/>
        <w:t>במה דברים אמורים? כשלא התעסקה באותו המין שנמצא עליה לאחר טבילה, אך אם התעסקה בו לאחר טבילה תולה בו אפילו אם טבלה בעונה אחרת מהחפיפה, ועיין הערה.</w:t>
      </w:r>
      <w:r>
        <w:rPr>
          <w:rStyle w:val="a5"/>
          <w:sz w:val="20"/>
          <w:szCs w:val="20"/>
          <w:rtl/>
        </w:rPr>
        <w:footnoteReference w:id="730"/>
      </w:r>
      <w:r>
        <w:rPr>
          <w:rFonts w:hint="cs"/>
          <w:sz w:val="20"/>
          <w:szCs w:val="20"/>
          <w:rtl/>
        </w:rPr>
        <w:br/>
      </w:r>
      <w:r w:rsidRPr="00FD33C2">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הרשב"א מקבל את החילוק של תוספות, ולכן אם חפפה סמוך לטבילה עלתה לה טבילה בכל עניין.</w:t>
      </w:r>
      <w:r>
        <w:rPr>
          <w:rFonts w:hint="cs"/>
          <w:sz w:val="20"/>
          <w:szCs w:val="20"/>
          <w:rtl/>
        </w:rPr>
        <w:br/>
        <w:t xml:space="preserve">ב. </w:t>
      </w:r>
      <w:r w:rsidRPr="00436FCC">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אם חפפה באותו היום חוזרת לטבול ללא חפיפה, אך אם חפפה ביום אחר תחפוף שנית ותטבול.</w:t>
      </w:r>
      <w:r>
        <w:rPr>
          <w:sz w:val="20"/>
          <w:szCs w:val="20"/>
          <w:rtl/>
        </w:rPr>
        <w:br/>
      </w:r>
      <w:r>
        <w:rPr>
          <w:rFonts w:hint="cs"/>
          <w:sz w:val="20"/>
          <w:szCs w:val="20"/>
          <w:rtl/>
        </w:rPr>
        <w:t>ואמנם, אם טוענת ברי שלא היה מין זה היה עלי בשעת טבילה, טהורה.</w:t>
      </w:r>
      <w:r>
        <w:rPr>
          <w:sz w:val="20"/>
          <w:szCs w:val="20"/>
          <w:rtl/>
        </w:rPr>
        <w:br/>
      </w:r>
      <w:r w:rsidRPr="00FD33C2">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בגמרא נידה לא נאמר שיש לפטרה מטבילה מחמת החפיפה הסמוכה לה, אלא נאמר רק שיש לפטרה מחפיפה נוספת, והלכה כלישנא בתרא. ואמנם, אם טוענת ברי נאמנת וטהורה כפי שנאמר בגמרא בחולין.</w:t>
      </w:r>
      <w:r>
        <w:rPr>
          <w:sz w:val="20"/>
          <w:szCs w:val="20"/>
          <w:rtl/>
        </w:rPr>
        <w:br/>
      </w:r>
      <w:r>
        <w:rPr>
          <w:rFonts w:hint="cs"/>
          <w:sz w:val="20"/>
          <w:szCs w:val="20"/>
          <w:rtl/>
        </w:rPr>
        <w:t xml:space="preserve">ג. </w:t>
      </w:r>
      <w:r w:rsidRPr="006222C0">
        <w:rPr>
          <w:rFonts w:hint="cs"/>
          <w:b/>
          <w:bCs/>
          <w:sz w:val="20"/>
          <w:szCs w:val="20"/>
          <w:rtl/>
        </w:rPr>
        <w:t>ראב"ד</w:t>
      </w:r>
      <w:r>
        <w:rPr>
          <w:rFonts w:hint="cs"/>
          <w:sz w:val="20"/>
          <w:szCs w:val="20"/>
          <w:rtl/>
        </w:rPr>
        <w:t xml:space="preserve"> </w:t>
      </w:r>
      <w:r>
        <w:rPr>
          <w:sz w:val="20"/>
          <w:szCs w:val="20"/>
          <w:rtl/>
        </w:rPr>
        <w:t>–</w:t>
      </w:r>
      <w:r>
        <w:rPr>
          <w:rFonts w:hint="cs"/>
          <w:sz w:val="20"/>
          <w:szCs w:val="20"/>
          <w:rtl/>
        </w:rPr>
        <w:t xml:space="preserve"> הלכה כל"ק, וסמוך הוא סמוך ממש. דהיינו שאם חפפה והמתינה ואחר כך טבלה ונמצא עליה דבר חוצץ, צריכה לחפוף ולטבול שנית, וכ"פ </w:t>
      </w:r>
      <w:r w:rsidRPr="006222C0">
        <w:rPr>
          <w:rFonts w:hint="cs"/>
          <w:b/>
          <w:bCs/>
          <w:sz w:val="20"/>
          <w:szCs w:val="20"/>
          <w:rtl/>
        </w:rPr>
        <w:t>הש"ך</w:t>
      </w:r>
      <w:r>
        <w:rPr>
          <w:rFonts w:hint="cs"/>
          <w:sz w:val="20"/>
          <w:szCs w:val="20"/>
          <w:rtl/>
        </w:rPr>
        <w:t xml:space="preserve"> לחומרה.</w:t>
      </w:r>
    </w:p>
    <w:p w:rsidR="00620060" w:rsidRPr="00396709"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396709">
        <w:rPr>
          <w:rFonts w:cs="Arial"/>
          <w:sz w:val="20"/>
          <w:szCs w:val="20"/>
          <w:rtl/>
        </w:rPr>
        <w:t xml:space="preserve">חפפה ועיינה וטבלה, ובעלייתה נמצא עליה דבר חוצץ, אם בתוך עונה שחפפה טבלה, אינה צריכה טבילה אחרת; ואם לאו, צריכה טבילה אחרת. </w:t>
      </w:r>
      <w:r w:rsidRPr="00396709">
        <w:rPr>
          <w:rFonts w:cs="Arial"/>
          <w:sz w:val="18"/>
          <w:szCs w:val="18"/>
          <w:rtl/>
        </w:rPr>
        <w:t>הגה: אף על פי שהיתה החפיפה סמוך לטבילה, כגון שחפפה ביום סמוך לערב וטבלה בתחילת הלילה, הואיל והיה בשתי עונות</w:t>
      </w:r>
      <w:r w:rsidRPr="00396709">
        <w:rPr>
          <w:rFonts w:cs="Arial"/>
          <w:sz w:val="20"/>
          <w:szCs w:val="20"/>
          <w:rtl/>
        </w:rPr>
        <w:t xml:space="preserve">. </w:t>
      </w:r>
      <w:r>
        <w:rPr>
          <w:rFonts w:cs="Arial" w:hint="cs"/>
          <w:sz w:val="20"/>
          <w:szCs w:val="20"/>
          <w:rtl/>
        </w:rPr>
        <w:br/>
      </w:r>
      <w:r w:rsidRPr="00396709">
        <w:rPr>
          <w:rFonts w:cs="Arial"/>
          <w:sz w:val="20"/>
          <w:szCs w:val="20"/>
          <w:rtl/>
        </w:rPr>
        <w:t>ולהרמב"ם, בין כך ובין כך צריכה טבילה אחרת, אלא שזו אינה צריכה לחזור לחוף וזו צריכה</w:t>
      </w:r>
      <w:r>
        <w:rPr>
          <w:rFonts w:cs="Arial" w:hint="cs"/>
          <w:sz w:val="20"/>
          <w:szCs w:val="20"/>
          <w:rtl/>
        </w:rPr>
        <w:t>".</w:t>
      </w:r>
    </w:p>
    <w:p w:rsidR="00620060" w:rsidRDefault="00620060" w:rsidP="00620060">
      <w:pPr>
        <w:rPr>
          <w:sz w:val="20"/>
          <w:szCs w:val="20"/>
          <w:rtl/>
        </w:rPr>
      </w:pPr>
      <w:r>
        <w:rPr>
          <w:rFonts w:hint="cs"/>
          <w:sz w:val="20"/>
          <w:szCs w:val="20"/>
          <w:u w:val="single"/>
          <w:rtl/>
        </w:rPr>
        <w:t>הכרעת הש"ך</w:t>
      </w:r>
      <w:r>
        <w:rPr>
          <w:sz w:val="20"/>
          <w:szCs w:val="20"/>
          <w:u w:val="single"/>
          <w:rtl/>
        </w:rPr>
        <w:br/>
      </w:r>
      <w:r>
        <w:rPr>
          <w:rFonts w:hint="cs"/>
          <w:sz w:val="20"/>
          <w:szCs w:val="20"/>
          <w:rtl/>
        </w:rPr>
        <w:t>הלכה כראב"ד, רק אם טבלה סמוך לחפיפה אינה צריכה טבילה אחת. ואמנם יש להחמיר גם כרשב"א, דהיינו שאם חפפה ביום וטבלה בלילה סמוך לחפיפה ונמצא עליה דבר חוצץ, צריכה לחזור ולטבול אע"פ שהטבילה סמוכה לחפיפה, שהרי לא היה זה באותה עונה.</w:t>
      </w:r>
      <w:r>
        <w:rPr>
          <w:sz w:val="20"/>
          <w:szCs w:val="20"/>
          <w:rtl/>
        </w:rPr>
        <w:br/>
      </w:r>
      <w:r>
        <w:rPr>
          <w:rFonts w:hint="cs"/>
          <w:sz w:val="20"/>
          <w:szCs w:val="20"/>
          <w:rtl/>
        </w:rPr>
        <w:t>ולכן לדינא יש להקל רק אם החפיפה והטבילה היו סמוכות ובאותה עונה.</w:t>
      </w:r>
    </w:p>
    <w:p w:rsidR="00620060" w:rsidRDefault="00620060" w:rsidP="00620060">
      <w:pPr>
        <w:rPr>
          <w:sz w:val="20"/>
          <w:szCs w:val="20"/>
          <w:rtl/>
        </w:rPr>
      </w:pPr>
      <w:r>
        <w:rPr>
          <w:rFonts w:hint="cs"/>
          <w:sz w:val="20"/>
          <w:szCs w:val="20"/>
          <w:u w:val="single"/>
          <w:rtl/>
        </w:rPr>
        <w:t>עיינה בגופה סמוך לטבילה</w:t>
      </w:r>
      <w:r>
        <w:rPr>
          <w:sz w:val="20"/>
          <w:szCs w:val="20"/>
          <w:u w:val="single"/>
          <w:rtl/>
        </w:rPr>
        <w:br/>
      </w:r>
      <w:r w:rsidRPr="00CB1BC2">
        <w:rPr>
          <w:rFonts w:hint="cs"/>
          <w:b/>
          <w:bCs/>
          <w:sz w:val="20"/>
          <w:szCs w:val="20"/>
          <w:rtl/>
        </w:rPr>
        <w:t>ר"ן</w:t>
      </w:r>
      <w:r>
        <w:rPr>
          <w:rFonts w:hint="cs"/>
          <w:sz w:val="20"/>
          <w:szCs w:val="20"/>
          <w:rtl/>
        </w:rPr>
        <w:t xml:space="preserve"> </w:t>
      </w:r>
      <w:r w:rsidRPr="00CB1BC2">
        <w:rPr>
          <w:rFonts w:hint="cs"/>
          <w:sz w:val="18"/>
          <w:szCs w:val="18"/>
          <w:rtl/>
        </w:rPr>
        <w:t xml:space="preserve">(הו"ד </w:t>
      </w:r>
      <w:r w:rsidRPr="00CB1BC2">
        <w:rPr>
          <w:rFonts w:hint="cs"/>
          <w:b/>
          <w:bCs/>
          <w:sz w:val="18"/>
          <w:szCs w:val="18"/>
          <w:rtl/>
        </w:rPr>
        <w:t>בש"ך</w:t>
      </w:r>
      <w:r w:rsidRPr="00CB1BC2">
        <w:rPr>
          <w:rFonts w:hint="cs"/>
          <w:sz w:val="18"/>
          <w:szCs w:val="18"/>
          <w:rtl/>
        </w:rPr>
        <w:t xml:space="preserve">) </w:t>
      </w:r>
      <w:r>
        <w:rPr>
          <w:sz w:val="20"/>
          <w:szCs w:val="20"/>
          <w:rtl/>
        </w:rPr>
        <w:t>–</w:t>
      </w:r>
      <w:r>
        <w:rPr>
          <w:rFonts w:hint="cs"/>
          <w:sz w:val="20"/>
          <w:szCs w:val="20"/>
          <w:rtl/>
        </w:rPr>
        <w:t xml:space="preserve"> אפילו אם עיינה סמוך לטבילה בגופה צריכה לחזור ולטבול, מחמת הרחקת חפיפה מטבילה.</w:t>
      </w:r>
      <w:r>
        <w:rPr>
          <w:sz w:val="20"/>
          <w:szCs w:val="20"/>
          <w:rtl/>
        </w:rPr>
        <w:br/>
      </w:r>
      <w:r w:rsidRPr="00CB1BC2">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יש לחשוש שמא לא עיינה יפה בגופה, מה שאין כן בחפיפה שאין לחוש לכך.</w:t>
      </w:r>
    </w:p>
    <w:p w:rsidR="00620060" w:rsidRDefault="00620060" w:rsidP="00620060">
      <w:pPr>
        <w:rPr>
          <w:rFonts w:cs="Arial"/>
          <w:sz w:val="20"/>
          <w:szCs w:val="20"/>
          <w:rtl/>
        </w:rPr>
      </w:pPr>
      <w:r>
        <w:rPr>
          <w:sz w:val="20"/>
          <w:szCs w:val="20"/>
          <w:rtl/>
        </w:rPr>
        <w:br/>
      </w:r>
      <w:r>
        <w:rPr>
          <w:rFonts w:hint="cs"/>
          <w:b/>
          <w:bCs/>
          <w:sz w:val="20"/>
          <w:szCs w:val="20"/>
          <w:rtl/>
        </w:rPr>
        <w:t xml:space="preserve">סעיף יא </w:t>
      </w:r>
      <w:r>
        <w:rPr>
          <w:b/>
          <w:bCs/>
          <w:sz w:val="20"/>
          <w:szCs w:val="20"/>
          <w:rtl/>
        </w:rPr>
        <w:t>–</w:t>
      </w:r>
      <w:r>
        <w:rPr>
          <w:rFonts w:hint="cs"/>
          <w:b/>
          <w:bCs/>
          <w:sz w:val="20"/>
          <w:szCs w:val="20"/>
          <w:rtl/>
        </w:rPr>
        <w:t xml:space="preserve"> המשך הנ"ל</w:t>
      </w:r>
      <w:r>
        <w:rPr>
          <w:b/>
          <w:bCs/>
          <w:sz w:val="20"/>
          <w:szCs w:val="20"/>
          <w:rtl/>
        </w:rPr>
        <w:br/>
      </w:r>
      <w:r>
        <w:rPr>
          <w:rFonts w:hint="cs"/>
          <w:b/>
          <w:bCs/>
          <w:sz w:val="20"/>
          <w:szCs w:val="20"/>
          <w:rtl/>
        </w:rPr>
        <w:t xml:space="preserve">פסיקת הלכה </w:t>
      </w:r>
      <w:r>
        <w:rPr>
          <w:b/>
          <w:bCs/>
          <w:sz w:val="20"/>
          <w:szCs w:val="20"/>
          <w:rtl/>
        </w:rPr>
        <w:br/>
      </w:r>
      <w:r>
        <w:rPr>
          <w:rFonts w:hint="cs"/>
          <w:sz w:val="20"/>
          <w:szCs w:val="20"/>
          <w:rtl/>
        </w:rPr>
        <w:t xml:space="preserve">א. </w:t>
      </w:r>
      <w:r>
        <w:rPr>
          <w:rFonts w:hint="cs"/>
          <w:b/>
          <w:bCs/>
          <w:sz w:val="20"/>
          <w:szCs w:val="20"/>
          <w:rtl/>
        </w:rPr>
        <w:t xml:space="preserve">שולחן ערוך </w:t>
      </w:r>
      <w:r>
        <w:rPr>
          <w:sz w:val="20"/>
          <w:szCs w:val="20"/>
          <w:rtl/>
        </w:rPr>
        <w:t>–</w:t>
      </w:r>
      <w:r>
        <w:rPr>
          <w:rFonts w:hint="cs"/>
          <w:sz w:val="20"/>
          <w:szCs w:val="20"/>
          <w:rtl/>
        </w:rPr>
        <w:t xml:space="preserve"> "</w:t>
      </w:r>
      <w:r w:rsidRPr="00BF082C">
        <w:rPr>
          <w:rFonts w:cs="Arial"/>
          <w:sz w:val="20"/>
          <w:szCs w:val="20"/>
          <w:rtl/>
        </w:rPr>
        <w:t>במה דברים אמורים, כשלא נתעסקה באותו המין אחר טבילה, אבל אם נתעסקה בו בין טבילה לבדיקה אינה צריכה טבילה אחרת, שאני תולה אותו במין שנתעסקה בו; אבל אם לא חפפה קודם טבילה, אין תולין בו</w:t>
      </w:r>
      <w:r>
        <w:rPr>
          <w:rFonts w:cs="Arial"/>
          <w:sz w:val="20"/>
          <w:szCs w:val="20"/>
          <w:rtl/>
        </w:rPr>
        <w:t xml:space="preserve"> אף על פי שנתעסקה בו אחר טבילה</w:t>
      </w:r>
      <w:r>
        <w:rPr>
          <w:rFonts w:cs="Arial" w:hint="cs"/>
          <w:sz w:val="20"/>
          <w:szCs w:val="20"/>
          <w:rtl/>
        </w:rPr>
        <w:t>".</w:t>
      </w:r>
      <w:r>
        <w:rPr>
          <w:rFonts w:cs="Arial" w:hint="cs"/>
          <w:sz w:val="20"/>
          <w:szCs w:val="20"/>
          <w:rtl/>
        </w:rPr>
        <w:br/>
        <w:t xml:space="preserve">ב. </w:t>
      </w:r>
      <w:r w:rsidRPr="0054223F">
        <w:rPr>
          <w:rFonts w:cs="Arial" w:hint="cs"/>
          <w:b/>
          <w:bCs/>
          <w:sz w:val="20"/>
          <w:szCs w:val="20"/>
          <w:rtl/>
        </w:rPr>
        <w:t>ב"ח וש"ך</w:t>
      </w:r>
      <w:r>
        <w:rPr>
          <w:rFonts w:cs="Arial" w:hint="cs"/>
          <w:sz w:val="20"/>
          <w:szCs w:val="20"/>
          <w:rtl/>
        </w:rPr>
        <w:t xml:space="preserve"> </w:t>
      </w:r>
      <w:r>
        <w:rPr>
          <w:rFonts w:cs="Arial"/>
          <w:sz w:val="20"/>
          <w:szCs w:val="20"/>
          <w:rtl/>
        </w:rPr>
        <w:t>–</w:t>
      </w:r>
      <w:r>
        <w:rPr>
          <w:rFonts w:cs="Arial" w:hint="cs"/>
          <w:sz w:val="20"/>
          <w:szCs w:val="20"/>
          <w:rtl/>
        </w:rPr>
        <w:t xml:space="preserve"> אף אם התעסקה באותו המין, צריכה לטעון ברי שלא היה עליה בשעת טבילה.</w:t>
      </w:r>
    </w:p>
    <w:p w:rsidR="00620060" w:rsidRDefault="00620060" w:rsidP="00620060">
      <w:pPr>
        <w:rPr>
          <w:sz w:val="20"/>
          <w:szCs w:val="20"/>
          <w:rtl/>
        </w:rPr>
      </w:pPr>
      <w:r>
        <w:rPr>
          <w:rFonts w:cs="Arial" w:hint="cs"/>
          <w:sz w:val="20"/>
          <w:szCs w:val="20"/>
          <w:u w:val="single"/>
          <w:rtl/>
        </w:rPr>
        <w:t>קושיית האחרונים</w:t>
      </w:r>
      <w:r>
        <w:rPr>
          <w:rFonts w:cs="Arial"/>
          <w:sz w:val="20"/>
          <w:szCs w:val="20"/>
          <w:u w:val="single"/>
          <w:rtl/>
        </w:rPr>
        <w:br/>
      </w:r>
      <w:r>
        <w:rPr>
          <w:rFonts w:cs="Arial" w:hint="cs"/>
          <w:sz w:val="20"/>
          <w:szCs w:val="20"/>
          <w:rtl/>
        </w:rPr>
        <w:t>דברי המחבר בסיפא אינם ברורים, שהרי אם לא חפפה קודם טבילה לא עלתה לה טבילה אפילו אם לא נמצא עליה דבר חוצץ, כפי שנאמר לעיל בסעיף ח' להדיא!</w:t>
      </w:r>
    </w:p>
    <w:p w:rsidR="00620060" w:rsidRDefault="00620060" w:rsidP="00620060">
      <w:pPr>
        <w:rPr>
          <w:sz w:val="20"/>
          <w:szCs w:val="20"/>
          <w:rtl/>
        </w:rPr>
      </w:pPr>
      <w:r>
        <w:rPr>
          <w:rFonts w:hint="cs"/>
          <w:sz w:val="20"/>
          <w:szCs w:val="20"/>
          <w:u w:val="single"/>
          <w:rtl/>
        </w:rPr>
        <w:t>תירוצים לקושייה</w:t>
      </w:r>
      <w:r>
        <w:rPr>
          <w:rFonts w:hint="cs"/>
          <w:sz w:val="20"/>
          <w:szCs w:val="20"/>
          <w:u w:val="single"/>
          <w:rtl/>
        </w:rPr>
        <w:br/>
      </w:r>
      <w:r>
        <w:rPr>
          <w:rFonts w:hint="cs"/>
          <w:sz w:val="20"/>
          <w:szCs w:val="20"/>
          <w:rtl/>
        </w:rPr>
        <w:t xml:space="preserve">א. </w:t>
      </w:r>
      <w:r w:rsidRPr="00A671F2">
        <w:rPr>
          <w:rFonts w:hint="cs"/>
          <w:b/>
          <w:bCs/>
          <w:sz w:val="20"/>
          <w:szCs w:val="20"/>
          <w:rtl/>
        </w:rPr>
        <w:t>ט"ז</w:t>
      </w:r>
      <w:r>
        <w:rPr>
          <w:rFonts w:hint="cs"/>
          <w:sz w:val="20"/>
          <w:szCs w:val="20"/>
          <w:rtl/>
        </w:rPr>
        <w:t xml:space="preserve"> </w:t>
      </w:r>
      <w:r>
        <w:rPr>
          <w:sz w:val="20"/>
          <w:szCs w:val="20"/>
          <w:rtl/>
        </w:rPr>
        <w:t>–</w:t>
      </w:r>
      <w:r>
        <w:rPr>
          <w:rFonts w:hint="cs"/>
          <w:sz w:val="20"/>
          <w:szCs w:val="20"/>
          <w:rtl/>
        </w:rPr>
        <w:t xml:space="preserve"> מדובר שחפפה בערב שבת וטבלה במוצ"ש, בכה"ג מהני החפיפה כשלא נמצא עליה דבר חוצץ, אך כשנמצא עליה דבר חוצץ אפילו אם התעסקה בו לאחר טבילה לא עלתה לה טבילה.</w:t>
      </w:r>
      <w:r>
        <w:rPr>
          <w:sz w:val="20"/>
          <w:szCs w:val="20"/>
          <w:u w:val="single"/>
          <w:rtl/>
        </w:rPr>
        <w:br/>
      </w:r>
      <w:r w:rsidRPr="00A671F2">
        <w:rPr>
          <w:rFonts w:hint="cs"/>
          <w:sz w:val="18"/>
          <w:szCs w:val="18"/>
          <w:rtl/>
        </w:rPr>
        <w:t xml:space="preserve">[ולפי"ז יש ג' חלוקות </w:t>
      </w:r>
      <w:r w:rsidRPr="00A671F2">
        <w:rPr>
          <w:sz w:val="18"/>
          <w:szCs w:val="18"/>
          <w:rtl/>
        </w:rPr>
        <w:t>–</w:t>
      </w:r>
      <w:r w:rsidRPr="00A671F2">
        <w:rPr>
          <w:rFonts w:hint="cs"/>
          <w:sz w:val="18"/>
          <w:szCs w:val="18"/>
          <w:rtl/>
        </w:rPr>
        <w:t xml:space="preserve"> א. חפפה וטבלה מייד, אפילו נמצא עליה דבר חוצץ עלתה לה טבילה. ב. חפפה וטבלה לאחר עונה ונמצא עליה </w:t>
      </w:r>
      <w:r>
        <w:rPr>
          <w:rFonts w:hint="cs"/>
          <w:sz w:val="18"/>
          <w:szCs w:val="18"/>
          <w:rtl/>
        </w:rPr>
        <w:t>דב</w:t>
      </w:r>
      <w:r w:rsidRPr="00A671F2">
        <w:rPr>
          <w:rFonts w:hint="cs"/>
          <w:sz w:val="18"/>
          <w:szCs w:val="18"/>
          <w:rtl/>
        </w:rPr>
        <w:t>ר חוצץ, רק אם התעסקה לאחר טבילה תולה בו. ג. הדין השנוי כאן שה</w:t>
      </w:r>
      <w:r>
        <w:rPr>
          <w:rFonts w:hint="cs"/>
          <w:sz w:val="18"/>
          <w:szCs w:val="18"/>
          <w:rtl/>
        </w:rPr>
        <w:t>ר</w:t>
      </w:r>
      <w:r w:rsidRPr="00A671F2">
        <w:rPr>
          <w:rFonts w:hint="cs"/>
          <w:sz w:val="18"/>
          <w:szCs w:val="18"/>
          <w:rtl/>
        </w:rPr>
        <w:t>חיקה חפיפה מטבילה שאף אם התעסקה באותו המין אינה תולה בו].</w:t>
      </w:r>
      <w:r>
        <w:rPr>
          <w:sz w:val="20"/>
          <w:szCs w:val="20"/>
          <w:rtl/>
        </w:rPr>
        <w:br/>
      </w:r>
      <w:r>
        <w:rPr>
          <w:rFonts w:hint="cs"/>
          <w:sz w:val="20"/>
          <w:szCs w:val="20"/>
          <w:rtl/>
        </w:rPr>
        <w:t xml:space="preserve">ב. </w:t>
      </w:r>
      <w:r>
        <w:rPr>
          <w:rFonts w:hint="cs"/>
          <w:b/>
          <w:bCs/>
          <w:sz w:val="20"/>
          <w:szCs w:val="20"/>
          <w:rtl/>
        </w:rPr>
        <w:t>פרישה</w:t>
      </w:r>
      <w:r>
        <w:rPr>
          <w:rFonts w:hint="cs"/>
          <w:sz w:val="20"/>
          <w:szCs w:val="20"/>
          <w:rtl/>
        </w:rPr>
        <w:t xml:space="preserve"> </w:t>
      </w:r>
      <w:r>
        <w:rPr>
          <w:sz w:val="20"/>
          <w:szCs w:val="20"/>
          <w:rtl/>
        </w:rPr>
        <w:t>–</w:t>
      </w:r>
      <w:r>
        <w:rPr>
          <w:rFonts w:hint="cs"/>
          <w:sz w:val="20"/>
          <w:szCs w:val="20"/>
          <w:rtl/>
        </w:rPr>
        <w:t xml:space="preserve"> הסיפא כדי נסבה, שהרי אפילו אם לא נמצא עליה דבר חוצץ לא עלתה לה טבילה.</w:t>
      </w:r>
      <w:r>
        <w:rPr>
          <w:sz w:val="20"/>
          <w:szCs w:val="20"/>
          <w:rtl/>
        </w:rPr>
        <w:br/>
      </w:r>
      <w:r>
        <w:rPr>
          <w:rFonts w:hint="cs"/>
          <w:sz w:val="20"/>
          <w:szCs w:val="20"/>
          <w:rtl/>
        </w:rPr>
        <w:lastRenderedPageBreak/>
        <w:t xml:space="preserve">ג. </w:t>
      </w:r>
      <w:r w:rsidRPr="00F14196">
        <w:rPr>
          <w:rFonts w:hint="cs"/>
          <w:b/>
          <w:bCs/>
          <w:sz w:val="20"/>
          <w:szCs w:val="20"/>
          <w:rtl/>
        </w:rPr>
        <w:t xml:space="preserve">ב"ח </w:t>
      </w:r>
      <w:r>
        <w:rPr>
          <w:sz w:val="20"/>
          <w:szCs w:val="20"/>
          <w:rtl/>
        </w:rPr>
        <w:t>–</w:t>
      </w:r>
      <w:r>
        <w:rPr>
          <w:rFonts w:hint="cs"/>
          <w:sz w:val="20"/>
          <w:szCs w:val="20"/>
          <w:rtl/>
        </w:rPr>
        <w:t xml:space="preserve"> בסיפא מדובר שחפפה רק את ראשה אך לא את שאר גופה, בכה"ג מהני החפיפה כשלא נמצא עליה דבר חוצץ. קמ"ל המחבר, שאם נמצא עליה דבר חוצץ לא עלתה לה טבילה אע"פ שהתעסקה באותו המין.</w:t>
      </w:r>
    </w:p>
    <w:p w:rsidR="00620060" w:rsidRPr="0068323D" w:rsidRDefault="00620060" w:rsidP="00620060">
      <w:pPr>
        <w:rPr>
          <w:sz w:val="20"/>
          <w:szCs w:val="20"/>
        </w:rPr>
      </w:pPr>
      <w:r>
        <w:rPr>
          <w:sz w:val="20"/>
          <w:szCs w:val="20"/>
          <w:rtl/>
        </w:rPr>
        <w:br/>
      </w:r>
      <w:r>
        <w:rPr>
          <w:rFonts w:hint="cs"/>
          <w:b/>
          <w:bCs/>
          <w:sz w:val="20"/>
          <w:szCs w:val="20"/>
          <w:rtl/>
        </w:rPr>
        <w:t xml:space="preserve">סעיף יב </w:t>
      </w:r>
      <w:r>
        <w:rPr>
          <w:b/>
          <w:bCs/>
          <w:sz w:val="20"/>
          <w:szCs w:val="20"/>
          <w:rtl/>
        </w:rPr>
        <w:t>–</w:t>
      </w:r>
      <w:r>
        <w:rPr>
          <w:rFonts w:hint="cs"/>
          <w:b/>
          <w:bCs/>
          <w:sz w:val="20"/>
          <w:szCs w:val="20"/>
          <w:rtl/>
        </w:rPr>
        <w:t xml:space="preserve"> דין בית הסתרים לעניין הנ"ל</w:t>
      </w:r>
      <w:r>
        <w:rPr>
          <w:b/>
          <w:bCs/>
          <w:sz w:val="20"/>
          <w:szCs w:val="20"/>
          <w:rtl/>
        </w:rPr>
        <w:br/>
      </w:r>
      <w:r>
        <w:rPr>
          <w:rFonts w:hint="cs"/>
          <w:b/>
          <w:bCs/>
          <w:sz w:val="20"/>
          <w:szCs w:val="20"/>
          <w:rtl/>
        </w:rPr>
        <w:t>פסיקת הלכה</w:t>
      </w:r>
      <w:r>
        <w:rPr>
          <w:b/>
          <w:bCs/>
          <w:sz w:val="20"/>
          <w:szCs w:val="20"/>
          <w:rtl/>
        </w:rPr>
        <w:br/>
      </w:r>
      <w:r>
        <w:rPr>
          <w:rFonts w:hint="cs"/>
          <w:sz w:val="20"/>
          <w:szCs w:val="20"/>
          <w:rtl/>
        </w:rPr>
        <w:t xml:space="preserve">א. </w:t>
      </w:r>
      <w:r>
        <w:rPr>
          <w:rFonts w:hint="cs"/>
          <w:b/>
          <w:bCs/>
          <w:sz w:val="20"/>
          <w:szCs w:val="20"/>
          <w:rtl/>
        </w:rPr>
        <w:t xml:space="preserve">שולחן ערוך </w:t>
      </w:r>
      <w:r w:rsidRPr="00BE014C">
        <w:rPr>
          <w:sz w:val="20"/>
          <w:szCs w:val="20"/>
          <w:rtl/>
        </w:rPr>
        <w:t>–</w:t>
      </w:r>
      <w:r w:rsidRPr="00BE014C">
        <w:rPr>
          <w:rFonts w:hint="cs"/>
          <w:sz w:val="20"/>
          <w:szCs w:val="20"/>
          <w:rtl/>
        </w:rPr>
        <w:t xml:space="preserve"> "במה דברים אמורים</w:t>
      </w:r>
      <w:r w:rsidRPr="0068323D">
        <w:rPr>
          <w:rFonts w:cs="Arial"/>
          <w:sz w:val="20"/>
          <w:szCs w:val="20"/>
          <w:rtl/>
        </w:rPr>
        <w:t xml:space="preserve">, בשאר כל הגוף, אבל בית הסתרים, אם לא עיינה אותם קודם טבילה ואחר טבילה גם כן לא עיינה עד שנתעסקה בדבר החוצץ, ואחר כך </w:t>
      </w:r>
      <w:r>
        <w:rPr>
          <w:rFonts w:cs="Arial"/>
          <w:sz w:val="20"/>
          <w:szCs w:val="20"/>
          <w:rtl/>
        </w:rPr>
        <w:t>נמצא בהם מאותו המין, תולין להקל</w:t>
      </w:r>
      <w:r>
        <w:rPr>
          <w:rFonts w:cs="Arial" w:hint="cs"/>
          <w:sz w:val="20"/>
          <w:szCs w:val="20"/>
          <w:rtl/>
        </w:rPr>
        <w:t>".</w:t>
      </w:r>
      <w:r>
        <w:rPr>
          <w:rFonts w:hint="cs"/>
          <w:sz w:val="20"/>
          <w:szCs w:val="20"/>
          <w:rtl/>
        </w:rPr>
        <w:br/>
        <w:t xml:space="preserve">ב. </w:t>
      </w:r>
      <w:r w:rsidRPr="00BE014C">
        <w:rPr>
          <w:rFonts w:hint="cs"/>
          <w:b/>
          <w:bCs/>
          <w:sz w:val="20"/>
          <w:szCs w:val="20"/>
          <w:rtl/>
        </w:rPr>
        <w:t>רוקח</w:t>
      </w:r>
      <w:r>
        <w:rPr>
          <w:rFonts w:hint="cs"/>
          <w:sz w:val="20"/>
          <w:szCs w:val="20"/>
          <w:rtl/>
        </w:rPr>
        <w:t xml:space="preserve"> </w:t>
      </w:r>
      <w:r>
        <w:rPr>
          <w:sz w:val="20"/>
          <w:szCs w:val="20"/>
          <w:rtl/>
        </w:rPr>
        <w:t>–</w:t>
      </w:r>
      <w:r>
        <w:rPr>
          <w:rFonts w:hint="cs"/>
          <w:sz w:val="20"/>
          <w:szCs w:val="20"/>
          <w:rtl/>
        </w:rPr>
        <w:t xml:space="preserve"> יש להחמיר גם בבית הסתרים, וכ"פ </w:t>
      </w:r>
      <w:r w:rsidRPr="00BE014C">
        <w:rPr>
          <w:rFonts w:hint="cs"/>
          <w:b/>
          <w:bCs/>
          <w:sz w:val="20"/>
          <w:szCs w:val="20"/>
          <w:rtl/>
        </w:rPr>
        <w:t>הש"ך</w:t>
      </w:r>
      <w:r>
        <w:rPr>
          <w:rFonts w:hint="cs"/>
          <w:sz w:val="20"/>
          <w:szCs w:val="20"/>
          <w:rtl/>
        </w:rPr>
        <w:t xml:space="preserve"> </w:t>
      </w:r>
      <w:r w:rsidRPr="00BE014C">
        <w:rPr>
          <w:rFonts w:hint="cs"/>
          <w:sz w:val="18"/>
          <w:szCs w:val="18"/>
          <w:rtl/>
        </w:rPr>
        <w:t>(סימן קצח, סקל"ג)</w:t>
      </w:r>
      <w:r>
        <w:rPr>
          <w:rFonts w:hint="cs"/>
          <w:sz w:val="20"/>
          <w:szCs w:val="20"/>
          <w:rtl/>
        </w:rPr>
        <w:t>.</w:t>
      </w:r>
      <w:r>
        <w:rPr>
          <w:rFonts w:hint="cs"/>
          <w:sz w:val="20"/>
          <w:szCs w:val="20"/>
          <w:rtl/>
        </w:rPr>
        <w:br/>
      </w:r>
      <w:r w:rsidRPr="00BE014C">
        <w:rPr>
          <w:rFonts w:hint="cs"/>
          <w:b/>
          <w:bCs/>
          <w:sz w:val="20"/>
          <w:szCs w:val="20"/>
          <w:rtl/>
        </w:rPr>
        <w:t xml:space="preserve">טעם </w:t>
      </w:r>
      <w:r>
        <w:rPr>
          <w:sz w:val="20"/>
          <w:szCs w:val="20"/>
          <w:rtl/>
        </w:rPr>
        <w:t>–</w:t>
      </w:r>
      <w:r>
        <w:rPr>
          <w:rFonts w:hint="cs"/>
          <w:sz w:val="20"/>
          <w:szCs w:val="20"/>
          <w:rtl/>
        </w:rPr>
        <w:t xml:space="preserve"> כך נאמר בגמרא קידושין (כה.) "</w:t>
      </w:r>
      <w:r w:rsidRPr="00BE014C">
        <w:rPr>
          <w:rFonts w:cs="Arial"/>
          <w:sz w:val="20"/>
          <w:szCs w:val="20"/>
          <w:rtl/>
        </w:rPr>
        <w:t>מעשה בשפחה של בית רבי, שטבלה ועלתה ונמצא עצם בין שיניה, והצריכה רבי טבילה אחרת!</w:t>
      </w:r>
      <w:r>
        <w:rPr>
          <w:rFonts w:cs="Arial" w:hint="cs"/>
          <w:sz w:val="20"/>
          <w:szCs w:val="20"/>
          <w:rtl/>
        </w:rPr>
        <w:t>"</w:t>
      </w:r>
      <w:r>
        <w:rPr>
          <w:rFonts w:hint="cs"/>
          <w:sz w:val="20"/>
          <w:szCs w:val="20"/>
          <w:rtl/>
        </w:rPr>
        <w:t xml:space="preserve"> </w:t>
      </w:r>
      <w:r>
        <w:rPr>
          <w:sz w:val="20"/>
          <w:szCs w:val="20"/>
          <w:rtl/>
        </w:rPr>
        <w:br/>
      </w:r>
      <w:r>
        <w:rPr>
          <w:rFonts w:hint="cs"/>
          <w:sz w:val="20"/>
          <w:szCs w:val="20"/>
          <w:rtl/>
        </w:rPr>
        <w:t>ואין לומר שאם התעסקה באותו המין לאחר טבילה תולים בו, שהרי בגמרא חולין נאמר להדיא שאין תולים.</w:t>
      </w:r>
      <w:r>
        <w:rPr>
          <w:rStyle w:val="a5"/>
          <w:sz w:val="20"/>
          <w:szCs w:val="20"/>
          <w:rtl/>
        </w:rPr>
        <w:footnoteReference w:id="731"/>
      </w:r>
    </w:p>
    <w:p w:rsidR="00620060" w:rsidRDefault="00620060" w:rsidP="00620060">
      <w:pPr>
        <w:rPr>
          <w:sz w:val="20"/>
          <w:szCs w:val="20"/>
          <w:rtl/>
        </w:rPr>
      </w:pPr>
      <w:r w:rsidRPr="00CE3B0A">
        <w:rPr>
          <w:rFonts w:hint="cs"/>
          <w:b/>
          <w:bCs/>
          <w:sz w:val="20"/>
          <w:szCs w:val="20"/>
          <w:rtl/>
        </w:rPr>
        <w:t>סיכום</w:t>
      </w:r>
      <w:r>
        <w:rPr>
          <w:rFonts w:hint="cs"/>
          <w:sz w:val="20"/>
          <w:szCs w:val="20"/>
          <w:rtl/>
        </w:rPr>
        <w:t xml:space="preserve"> (</w:t>
      </w:r>
      <w:r w:rsidRPr="000A172E">
        <w:rPr>
          <w:rFonts w:hint="cs"/>
          <w:sz w:val="18"/>
          <w:szCs w:val="18"/>
          <w:rtl/>
        </w:rPr>
        <w:t>מסעיף י)</w:t>
      </w:r>
      <w:r>
        <w:rPr>
          <w:sz w:val="20"/>
          <w:szCs w:val="20"/>
          <w:rtl/>
        </w:rPr>
        <w:br/>
      </w:r>
      <w:r>
        <w:rPr>
          <w:rFonts w:hint="cs"/>
          <w:sz w:val="20"/>
          <w:szCs w:val="20"/>
          <w:rtl/>
        </w:rPr>
        <w:t xml:space="preserve">1. </w:t>
      </w:r>
      <w:r w:rsidRPr="006166B3">
        <w:rPr>
          <w:rFonts w:hint="cs"/>
          <w:b/>
          <w:bCs/>
          <w:sz w:val="20"/>
          <w:szCs w:val="20"/>
          <w:rtl/>
        </w:rPr>
        <w:t>גמרא</w:t>
      </w:r>
      <w:r>
        <w:rPr>
          <w:rFonts w:hint="cs"/>
          <w:sz w:val="20"/>
          <w:szCs w:val="20"/>
          <w:rtl/>
        </w:rPr>
        <w:t xml:space="preserve"> נידה. טבלה ונמצא עליה דבר חוצץ. </w:t>
      </w:r>
      <w:r w:rsidRPr="006166B3">
        <w:rPr>
          <w:rFonts w:hint="cs"/>
          <w:sz w:val="20"/>
          <w:szCs w:val="20"/>
          <w:u w:val="single"/>
          <w:rtl/>
        </w:rPr>
        <w:t>ל"ק</w:t>
      </w:r>
      <w:r>
        <w:rPr>
          <w:rFonts w:hint="cs"/>
          <w:sz w:val="20"/>
          <w:szCs w:val="20"/>
          <w:rtl/>
        </w:rPr>
        <w:t xml:space="preserve">. אם סמוך לחפיפה טבלה א"צ לחוף ולטבול. </w:t>
      </w:r>
      <w:r w:rsidRPr="006166B3">
        <w:rPr>
          <w:rFonts w:hint="cs"/>
          <w:sz w:val="20"/>
          <w:szCs w:val="20"/>
          <w:u w:val="single"/>
          <w:rtl/>
        </w:rPr>
        <w:t>ל"ב</w:t>
      </w:r>
      <w:r>
        <w:rPr>
          <w:rFonts w:hint="cs"/>
          <w:sz w:val="20"/>
          <w:szCs w:val="20"/>
          <w:rtl/>
        </w:rPr>
        <w:t xml:space="preserve">. אם באותו יום שחפפה טבלה א"צ לחוף ולטבול. </w:t>
      </w:r>
      <w:r w:rsidRPr="006166B3">
        <w:rPr>
          <w:rFonts w:hint="cs"/>
          <w:b/>
          <w:bCs/>
          <w:sz w:val="20"/>
          <w:szCs w:val="20"/>
          <w:rtl/>
        </w:rPr>
        <w:t>גמרא</w:t>
      </w:r>
      <w:r>
        <w:rPr>
          <w:rFonts w:hint="cs"/>
          <w:sz w:val="20"/>
          <w:szCs w:val="20"/>
          <w:rtl/>
        </w:rPr>
        <w:t xml:space="preserve"> חולין. טבל ועלה ונמצא עליו דבר חוצץ, אפילו אם התעסק בו לאחר טבילה חוצץ עד שיאמר ברי לי שלא היה עלי בשעת טבילה.</w:t>
      </w:r>
      <w:r>
        <w:rPr>
          <w:sz w:val="20"/>
          <w:szCs w:val="20"/>
          <w:rtl/>
        </w:rPr>
        <w:br/>
      </w:r>
      <w:r>
        <w:rPr>
          <w:rFonts w:hint="cs"/>
          <w:sz w:val="20"/>
          <w:szCs w:val="20"/>
          <w:rtl/>
        </w:rPr>
        <w:t xml:space="preserve">2. קשה. בנידה משמע שחפיפה סמוך לטבילה מהני גם כשנמצא דבר חוצץ, אך בחולין משמע שצריך לומר ברי. </w:t>
      </w:r>
      <w:r w:rsidRPr="006166B3">
        <w:rPr>
          <w:rFonts w:hint="cs"/>
          <w:b/>
          <w:bCs/>
          <w:sz w:val="20"/>
          <w:szCs w:val="20"/>
          <w:rtl/>
        </w:rPr>
        <w:t>תוספות</w:t>
      </w:r>
      <w:r>
        <w:rPr>
          <w:rFonts w:hint="cs"/>
          <w:sz w:val="20"/>
          <w:szCs w:val="20"/>
          <w:rtl/>
        </w:rPr>
        <w:t>. בחולין מדובר שלא חפף סמוך לטבילה, אך חפיפה סמוך לטבילה מהני בכל עניין.</w:t>
      </w:r>
      <w:r>
        <w:rPr>
          <w:sz w:val="20"/>
          <w:szCs w:val="20"/>
          <w:rtl/>
        </w:rPr>
        <w:br/>
      </w:r>
      <w:r>
        <w:rPr>
          <w:rFonts w:hint="cs"/>
          <w:sz w:val="20"/>
          <w:szCs w:val="20"/>
          <w:rtl/>
        </w:rPr>
        <w:t xml:space="preserve">3. </w:t>
      </w:r>
      <w:r w:rsidRPr="006166B3">
        <w:rPr>
          <w:rFonts w:hint="cs"/>
          <w:b/>
          <w:bCs/>
          <w:sz w:val="20"/>
          <w:szCs w:val="20"/>
          <w:rtl/>
        </w:rPr>
        <w:t>רשב"א</w:t>
      </w:r>
      <w:r>
        <w:rPr>
          <w:rFonts w:hint="cs"/>
          <w:sz w:val="20"/>
          <w:szCs w:val="20"/>
          <w:rtl/>
        </w:rPr>
        <w:t xml:space="preserve">. כתוספות, חפיפה סמוך לטבילה מהני, כל"ק. ואיזהו סמוך? אותה עונה, וכ"פ </w:t>
      </w:r>
      <w:r w:rsidRPr="006166B3">
        <w:rPr>
          <w:rFonts w:hint="cs"/>
          <w:b/>
          <w:bCs/>
          <w:sz w:val="20"/>
          <w:szCs w:val="20"/>
          <w:rtl/>
        </w:rPr>
        <w:t>המחבר</w:t>
      </w:r>
      <w:r>
        <w:rPr>
          <w:rFonts w:hint="cs"/>
          <w:sz w:val="20"/>
          <w:szCs w:val="20"/>
          <w:rtl/>
        </w:rPr>
        <w:t xml:space="preserve">. </w:t>
      </w:r>
      <w:r w:rsidRPr="006166B3">
        <w:rPr>
          <w:rFonts w:hint="cs"/>
          <w:b/>
          <w:bCs/>
          <w:sz w:val="20"/>
          <w:szCs w:val="20"/>
          <w:rtl/>
        </w:rPr>
        <w:t>רמב"ם</w:t>
      </w:r>
      <w:r>
        <w:rPr>
          <w:rFonts w:hint="cs"/>
          <w:sz w:val="20"/>
          <w:szCs w:val="20"/>
          <w:rtl/>
        </w:rPr>
        <w:t xml:space="preserve">. אם באותו יום חפפה א"צ לחפוף אלא טובלת שנית ללא חפיפה. </w:t>
      </w:r>
      <w:r w:rsidRPr="006166B3">
        <w:rPr>
          <w:rFonts w:hint="cs"/>
          <w:b/>
          <w:bCs/>
          <w:sz w:val="20"/>
          <w:szCs w:val="20"/>
          <w:rtl/>
        </w:rPr>
        <w:t>טעם</w:t>
      </w:r>
      <w:r>
        <w:rPr>
          <w:rFonts w:hint="cs"/>
          <w:sz w:val="20"/>
          <w:szCs w:val="20"/>
          <w:rtl/>
        </w:rPr>
        <w:t xml:space="preserve">. כל"ב, והגמרא בנידה פטרה אותה מחפיפה אך לא מטבילה. </w:t>
      </w:r>
      <w:r w:rsidRPr="006166B3">
        <w:rPr>
          <w:rFonts w:hint="cs"/>
          <w:b/>
          <w:bCs/>
          <w:sz w:val="20"/>
          <w:szCs w:val="20"/>
          <w:rtl/>
        </w:rPr>
        <w:t>ראב"ד</w:t>
      </w:r>
      <w:r>
        <w:rPr>
          <w:rFonts w:hint="cs"/>
          <w:sz w:val="20"/>
          <w:szCs w:val="20"/>
          <w:rtl/>
        </w:rPr>
        <w:t xml:space="preserve">. הלכה כל"ק, רק אם סמוך ממש לחפיפה טבלה מהני, הא לא"ה חופפת וטובלת שוב. </w:t>
      </w:r>
      <w:r>
        <w:rPr>
          <w:sz w:val="20"/>
          <w:szCs w:val="20"/>
          <w:rtl/>
        </w:rPr>
        <w:br/>
      </w:r>
      <w:r>
        <w:rPr>
          <w:rFonts w:hint="cs"/>
          <w:sz w:val="20"/>
          <w:szCs w:val="20"/>
          <w:rtl/>
        </w:rPr>
        <w:t xml:space="preserve">4. </w:t>
      </w:r>
      <w:r w:rsidRPr="00F84138">
        <w:rPr>
          <w:rFonts w:hint="cs"/>
          <w:b/>
          <w:bCs/>
          <w:sz w:val="20"/>
          <w:szCs w:val="20"/>
          <w:rtl/>
        </w:rPr>
        <w:t>מחבר</w:t>
      </w:r>
      <w:r>
        <w:rPr>
          <w:rFonts w:hint="cs"/>
          <w:sz w:val="20"/>
          <w:szCs w:val="20"/>
          <w:rtl/>
        </w:rPr>
        <w:t xml:space="preserve">. </w:t>
      </w:r>
      <w:r w:rsidRPr="006166B3">
        <w:rPr>
          <w:rFonts w:hint="cs"/>
          <w:b/>
          <w:bCs/>
          <w:sz w:val="20"/>
          <w:szCs w:val="20"/>
          <w:rtl/>
        </w:rPr>
        <w:t>כרשב"א</w:t>
      </w:r>
      <w:r>
        <w:rPr>
          <w:rFonts w:hint="cs"/>
          <w:sz w:val="20"/>
          <w:szCs w:val="20"/>
          <w:rtl/>
        </w:rPr>
        <w:t xml:space="preserve">, חפפה וטבלה ונמצא עליה דבר חוצץ, אם באותה עונה שחפפה טבלה מהני. מוסיף </w:t>
      </w:r>
      <w:r w:rsidRPr="00F84138">
        <w:rPr>
          <w:rFonts w:hint="cs"/>
          <w:b/>
          <w:bCs/>
          <w:sz w:val="20"/>
          <w:szCs w:val="20"/>
          <w:rtl/>
        </w:rPr>
        <w:t>רמ"א</w:t>
      </w:r>
      <w:r>
        <w:rPr>
          <w:rFonts w:hint="cs"/>
          <w:sz w:val="20"/>
          <w:szCs w:val="20"/>
          <w:rtl/>
        </w:rPr>
        <w:t>. אפילו אם חפפה ביום וטבלה מייד בלילה בסמוך לחפיפה אינו מהני כשנמצא דבר חוצץ דאין זה אותה עונה.</w:t>
      </w:r>
      <w:r>
        <w:rPr>
          <w:sz w:val="20"/>
          <w:szCs w:val="20"/>
          <w:rtl/>
        </w:rPr>
        <w:br/>
      </w:r>
      <w:r w:rsidRPr="006166B3">
        <w:rPr>
          <w:rFonts w:hint="cs"/>
          <w:b/>
          <w:bCs/>
          <w:sz w:val="20"/>
          <w:szCs w:val="20"/>
          <w:rtl/>
        </w:rPr>
        <w:t>ש"ך</w:t>
      </w:r>
      <w:r>
        <w:rPr>
          <w:rFonts w:hint="cs"/>
          <w:sz w:val="20"/>
          <w:szCs w:val="20"/>
          <w:rtl/>
        </w:rPr>
        <w:t xml:space="preserve">. הלכה </w:t>
      </w:r>
      <w:r w:rsidRPr="006166B3">
        <w:rPr>
          <w:rFonts w:hint="cs"/>
          <w:b/>
          <w:bCs/>
          <w:sz w:val="20"/>
          <w:szCs w:val="20"/>
          <w:rtl/>
        </w:rPr>
        <w:t>כראב"ד</w:t>
      </w:r>
      <w:r>
        <w:rPr>
          <w:rFonts w:hint="cs"/>
          <w:sz w:val="20"/>
          <w:szCs w:val="20"/>
          <w:rtl/>
        </w:rPr>
        <w:t xml:space="preserve">, רק אם טבלה סמוך ממש לחפיפה מהני, ויש להחמיר גם </w:t>
      </w:r>
      <w:r w:rsidRPr="006166B3">
        <w:rPr>
          <w:rFonts w:hint="cs"/>
          <w:b/>
          <w:bCs/>
          <w:sz w:val="20"/>
          <w:szCs w:val="20"/>
          <w:rtl/>
        </w:rPr>
        <w:t>כרשב"א</w:t>
      </w:r>
      <w:r>
        <w:rPr>
          <w:rFonts w:hint="cs"/>
          <w:sz w:val="20"/>
          <w:szCs w:val="20"/>
          <w:rtl/>
        </w:rPr>
        <w:t xml:space="preserve"> שדווקא באותה עונה.</w:t>
      </w:r>
      <w:r>
        <w:rPr>
          <w:sz w:val="20"/>
          <w:szCs w:val="20"/>
          <w:rtl/>
        </w:rPr>
        <w:br/>
      </w:r>
      <w:r>
        <w:rPr>
          <w:rFonts w:hint="cs"/>
          <w:sz w:val="20"/>
          <w:szCs w:val="20"/>
          <w:rtl/>
        </w:rPr>
        <w:t xml:space="preserve">5. </w:t>
      </w:r>
      <w:r w:rsidRPr="006166B3">
        <w:rPr>
          <w:rFonts w:hint="cs"/>
          <w:b/>
          <w:bCs/>
          <w:sz w:val="20"/>
          <w:szCs w:val="20"/>
          <w:rtl/>
        </w:rPr>
        <w:t>ר"ן</w:t>
      </w:r>
      <w:r>
        <w:rPr>
          <w:rFonts w:hint="cs"/>
          <w:sz w:val="20"/>
          <w:szCs w:val="20"/>
          <w:rtl/>
        </w:rPr>
        <w:t xml:space="preserve">. דין זה נאמר אפילו אם עיינה סמוך לטבילה. </w:t>
      </w:r>
      <w:r w:rsidRPr="00FE5458">
        <w:rPr>
          <w:rFonts w:hint="cs"/>
          <w:b/>
          <w:bCs/>
          <w:sz w:val="20"/>
          <w:szCs w:val="20"/>
          <w:rtl/>
        </w:rPr>
        <w:t>טעם</w:t>
      </w:r>
      <w:r>
        <w:rPr>
          <w:rFonts w:hint="cs"/>
          <w:sz w:val="20"/>
          <w:szCs w:val="20"/>
          <w:rtl/>
        </w:rPr>
        <w:t>. שמא לא עיינה כראוי, אך בחפיפה לא חוששים.</w:t>
      </w:r>
      <w:r>
        <w:rPr>
          <w:sz w:val="20"/>
          <w:szCs w:val="20"/>
          <w:rtl/>
        </w:rPr>
        <w:br/>
      </w:r>
      <w:r>
        <w:rPr>
          <w:rFonts w:hint="cs"/>
          <w:sz w:val="20"/>
          <w:szCs w:val="20"/>
          <w:rtl/>
        </w:rPr>
        <w:t xml:space="preserve">6. </w:t>
      </w:r>
      <w:r w:rsidRPr="006166B3">
        <w:rPr>
          <w:rFonts w:hint="cs"/>
          <w:b/>
          <w:bCs/>
          <w:sz w:val="20"/>
          <w:szCs w:val="20"/>
          <w:rtl/>
        </w:rPr>
        <w:t>מחבר</w:t>
      </w:r>
      <w:r>
        <w:rPr>
          <w:rFonts w:hint="cs"/>
          <w:sz w:val="20"/>
          <w:szCs w:val="20"/>
          <w:rtl/>
        </w:rPr>
        <w:t xml:space="preserve">. אם לאחר הטבילה התעסקה בדבר שנמצא עליה, תולים בו אפילו אם הרחיקה חפיפה מטבילה </w:t>
      </w:r>
      <w:r>
        <w:rPr>
          <w:sz w:val="20"/>
          <w:szCs w:val="20"/>
          <w:rtl/>
        </w:rPr>
        <w:br/>
      </w:r>
      <w:r w:rsidRPr="00F62749">
        <w:rPr>
          <w:rFonts w:hint="cs"/>
          <w:sz w:val="18"/>
          <w:szCs w:val="18"/>
          <w:rtl/>
        </w:rPr>
        <w:t>(ע"פ הגמרא בחולין, וחפיפה הוי כטענת ברי)</w:t>
      </w:r>
      <w:r>
        <w:rPr>
          <w:rFonts w:hint="cs"/>
          <w:sz w:val="20"/>
          <w:szCs w:val="20"/>
          <w:rtl/>
        </w:rPr>
        <w:t xml:space="preserve">. אם לא חפפה אין תולים בו. </w:t>
      </w:r>
      <w:r w:rsidRPr="0054223F">
        <w:rPr>
          <w:rFonts w:hint="cs"/>
          <w:b/>
          <w:bCs/>
          <w:sz w:val="20"/>
          <w:szCs w:val="20"/>
          <w:rtl/>
        </w:rPr>
        <w:t>ב"ח וש"ך</w:t>
      </w:r>
      <w:r>
        <w:rPr>
          <w:rFonts w:hint="cs"/>
          <w:sz w:val="20"/>
          <w:szCs w:val="20"/>
          <w:rtl/>
        </w:rPr>
        <w:t>. רק אם טוענת ברי מהני לה.</w:t>
      </w:r>
      <w:r>
        <w:rPr>
          <w:rFonts w:hint="cs"/>
          <w:sz w:val="20"/>
          <w:szCs w:val="20"/>
          <w:rtl/>
        </w:rPr>
        <w:br/>
        <w:t xml:space="preserve">7. קושיית האחרונים על המחבר. אם לא חפפה לא עלתה לה טבילה בכל אופן! </w:t>
      </w:r>
      <w:r w:rsidRPr="006166B3">
        <w:rPr>
          <w:rFonts w:hint="cs"/>
          <w:b/>
          <w:bCs/>
          <w:sz w:val="20"/>
          <w:szCs w:val="20"/>
          <w:rtl/>
        </w:rPr>
        <w:t>ט"ז</w:t>
      </w:r>
      <w:r>
        <w:rPr>
          <w:rFonts w:hint="cs"/>
          <w:sz w:val="20"/>
          <w:szCs w:val="20"/>
          <w:rtl/>
        </w:rPr>
        <w:t xml:space="preserve">. מדובר שחפפה ביום שישי וטבלה במוצ"ש, ובכה"ג אין תולים בדבר שהתעסקה בו. </w:t>
      </w:r>
      <w:r w:rsidRPr="006166B3">
        <w:rPr>
          <w:rFonts w:hint="cs"/>
          <w:b/>
          <w:bCs/>
          <w:sz w:val="20"/>
          <w:szCs w:val="20"/>
          <w:rtl/>
        </w:rPr>
        <w:t>פרישה</w:t>
      </w:r>
      <w:r>
        <w:rPr>
          <w:rFonts w:hint="cs"/>
          <w:sz w:val="20"/>
          <w:szCs w:val="20"/>
          <w:rtl/>
        </w:rPr>
        <w:t xml:space="preserve">. סיפא כדי נסבה. </w:t>
      </w:r>
      <w:r w:rsidRPr="006166B3">
        <w:rPr>
          <w:rFonts w:hint="cs"/>
          <w:b/>
          <w:bCs/>
          <w:sz w:val="20"/>
          <w:szCs w:val="20"/>
          <w:rtl/>
        </w:rPr>
        <w:t>ב"ח</w:t>
      </w:r>
      <w:r>
        <w:rPr>
          <w:rFonts w:hint="cs"/>
          <w:sz w:val="20"/>
          <w:szCs w:val="20"/>
          <w:rtl/>
        </w:rPr>
        <w:t>. מדובר שחפפה רק את ראשה אך לא את שאר גופה, וקמ"ל שאין תולים אע"פ שהתעסקה במין שנמצא עליה.</w:t>
      </w:r>
      <w:r>
        <w:rPr>
          <w:rFonts w:hint="cs"/>
          <w:sz w:val="20"/>
          <w:szCs w:val="20"/>
          <w:rtl/>
        </w:rPr>
        <w:br/>
        <w:t xml:space="preserve">8. </w:t>
      </w:r>
      <w:r w:rsidRPr="00F002B8">
        <w:rPr>
          <w:rFonts w:hint="cs"/>
          <w:b/>
          <w:bCs/>
          <w:sz w:val="20"/>
          <w:szCs w:val="20"/>
          <w:rtl/>
        </w:rPr>
        <w:t>מחבר</w:t>
      </w:r>
      <w:r>
        <w:rPr>
          <w:rFonts w:hint="cs"/>
          <w:sz w:val="20"/>
          <w:szCs w:val="20"/>
          <w:rtl/>
        </w:rPr>
        <w:t xml:space="preserve">. אם לא חפפה ולא עיינה כלל ונמצא עליה דבר חוצץ ממין שהתעסקה בו לאחר טבילה בבית הסתרים, עלתה לה טבילה. </w:t>
      </w:r>
      <w:r w:rsidRPr="00F002B8">
        <w:rPr>
          <w:rFonts w:hint="cs"/>
          <w:b/>
          <w:bCs/>
          <w:sz w:val="20"/>
          <w:szCs w:val="20"/>
          <w:rtl/>
        </w:rPr>
        <w:t>רוקח</w:t>
      </w:r>
      <w:r>
        <w:rPr>
          <w:rFonts w:hint="cs"/>
          <w:sz w:val="20"/>
          <w:szCs w:val="20"/>
          <w:rtl/>
        </w:rPr>
        <w:t xml:space="preserve">. אף בבית הסתרים יש להחמיר, וכ"פ </w:t>
      </w:r>
      <w:r w:rsidRPr="00F002B8">
        <w:rPr>
          <w:rFonts w:hint="cs"/>
          <w:b/>
          <w:bCs/>
          <w:sz w:val="20"/>
          <w:szCs w:val="20"/>
          <w:rtl/>
        </w:rPr>
        <w:t>הש"ך</w:t>
      </w:r>
      <w:r>
        <w:rPr>
          <w:rFonts w:hint="cs"/>
          <w:sz w:val="20"/>
          <w:szCs w:val="20"/>
          <w:rtl/>
        </w:rPr>
        <w:t>.</w:t>
      </w:r>
    </w:p>
    <w:p w:rsidR="00620060" w:rsidRDefault="00620060" w:rsidP="00620060">
      <w:pPr>
        <w:rPr>
          <w:sz w:val="20"/>
          <w:szCs w:val="20"/>
          <w:rtl/>
        </w:rPr>
      </w:pPr>
      <w:r w:rsidRPr="00BE014C">
        <w:rPr>
          <w:rFonts w:hint="cs"/>
          <w:sz w:val="18"/>
          <w:szCs w:val="18"/>
          <w:rtl/>
        </w:rPr>
        <w:t>[סיכום. טבלה ונמצא דבר חוצץ, תולים להקל רק אם סמכה חפיפה לטבילה. אם לא סמכה, תולים להקל רק אם התעסקה באותו המין. אך אם לא חפפה כלל אין תולים בדבר שהתעסקה בו, מלבד אם נמצא בבית הסתרים].</w:t>
      </w:r>
    </w:p>
    <w:p w:rsidR="00620060" w:rsidRDefault="00620060" w:rsidP="00620060">
      <w:pPr>
        <w:rPr>
          <w:sz w:val="20"/>
          <w:szCs w:val="20"/>
          <w:rtl/>
        </w:rPr>
      </w:pPr>
      <w:r>
        <w:rPr>
          <w:sz w:val="20"/>
          <w:szCs w:val="20"/>
          <w:rtl/>
        </w:rPr>
        <w:br/>
      </w:r>
      <w:r>
        <w:rPr>
          <w:rFonts w:hint="cs"/>
          <w:b/>
          <w:bCs/>
          <w:sz w:val="20"/>
          <w:szCs w:val="20"/>
          <w:rtl/>
        </w:rPr>
        <w:t xml:space="preserve">סעיף יג </w:t>
      </w:r>
      <w:r>
        <w:rPr>
          <w:b/>
          <w:bCs/>
          <w:sz w:val="20"/>
          <w:szCs w:val="20"/>
          <w:rtl/>
        </w:rPr>
        <w:t>–</w:t>
      </w:r>
      <w:r>
        <w:rPr>
          <w:rFonts w:hint="cs"/>
          <w:b/>
          <w:bCs/>
          <w:sz w:val="20"/>
          <w:szCs w:val="20"/>
          <w:rtl/>
        </w:rPr>
        <w:t xml:space="preserve"> חפפה והתעסקה בדברים החוצצים</w:t>
      </w:r>
      <w:r>
        <w:rPr>
          <w:b/>
          <w:bCs/>
          <w:sz w:val="20"/>
          <w:szCs w:val="20"/>
          <w:rtl/>
        </w:rPr>
        <w:br/>
      </w:r>
      <w:r>
        <w:rPr>
          <w:rFonts w:hint="cs"/>
          <w:b/>
          <w:bCs/>
          <w:sz w:val="20"/>
          <w:szCs w:val="20"/>
          <w:rtl/>
        </w:rPr>
        <w:t>מקור הדין</w:t>
      </w:r>
      <w:r>
        <w:rPr>
          <w:b/>
          <w:bCs/>
          <w:sz w:val="20"/>
          <w:szCs w:val="20"/>
          <w:rtl/>
        </w:rPr>
        <w:br/>
      </w:r>
      <w:r>
        <w:rPr>
          <w:rFonts w:hint="cs"/>
          <w:b/>
          <w:bCs/>
          <w:sz w:val="20"/>
          <w:szCs w:val="20"/>
          <w:rtl/>
        </w:rPr>
        <w:t xml:space="preserve">גמרא </w:t>
      </w:r>
      <w:r>
        <w:rPr>
          <w:rFonts w:hint="cs"/>
          <w:sz w:val="20"/>
          <w:szCs w:val="20"/>
          <w:rtl/>
        </w:rPr>
        <w:t>נידה (סז.) "</w:t>
      </w:r>
      <w:r w:rsidRPr="00CD71A2">
        <w:rPr>
          <w:rFonts w:cs="Arial"/>
          <w:sz w:val="20"/>
          <w:szCs w:val="20"/>
          <w:rtl/>
        </w:rPr>
        <w:t>אמר רב גידל אמר רב: נתנה תבשיל לבנה וטבלה ועלתה - לא עלתה לה טבילה, אף על גב דהשתא ליכא - אימר ברדיוני נפל</w:t>
      </w:r>
      <w:r>
        <w:rPr>
          <w:rFonts w:cs="Arial" w:hint="cs"/>
          <w:sz w:val="20"/>
          <w:szCs w:val="20"/>
          <w:rtl/>
        </w:rPr>
        <w:t>".</w:t>
      </w:r>
      <w:r>
        <w:rPr>
          <w:rFonts w:hint="cs"/>
          <w:sz w:val="20"/>
          <w:szCs w:val="20"/>
          <w:rtl/>
        </w:rPr>
        <w:br/>
      </w:r>
      <w:r w:rsidRPr="005F72B3">
        <w:rPr>
          <w:rFonts w:hint="cs"/>
          <w:b/>
          <w:bCs/>
          <w:sz w:val="20"/>
          <w:szCs w:val="20"/>
          <w:rtl/>
        </w:rPr>
        <w:t>רשב"א</w:t>
      </w:r>
      <w:r>
        <w:rPr>
          <w:rFonts w:hint="cs"/>
          <w:sz w:val="20"/>
          <w:szCs w:val="20"/>
          <w:rtl/>
        </w:rPr>
        <w:t xml:space="preserve"> </w:t>
      </w:r>
      <w:r>
        <w:rPr>
          <w:sz w:val="20"/>
          <w:szCs w:val="20"/>
          <w:rtl/>
        </w:rPr>
        <w:t>–</w:t>
      </w:r>
      <w:r>
        <w:rPr>
          <w:rFonts w:hint="cs"/>
          <w:sz w:val="20"/>
          <w:szCs w:val="20"/>
          <w:rtl/>
        </w:rPr>
        <w:t xml:space="preserve"> אם עיינה בגופה לאחר שנתנה תבשיל לבנה ולא מצאה דבר חוצץ, עלתה לה טבילה.</w:t>
      </w:r>
      <w:r>
        <w:rPr>
          <w:sz w:val="20"/>
          <w:szCs w:val="20"/>
          <w:rtl/>
        </w:rPr>
        <w:br/>
      </w:r>
      <w:r>
        <w:rPr>
          <w:sz w:val="20"/>
          <w:szCs w:val="20"/>
          <w:rtl/>
        </w:rPr>
        <w:br/>
      </w:r>
      <w:r>
        <w:rPr>
          <w:rFonts w:hint="cs"/>
          <w:b/>
          <w:bCs/>
          <w:sz w:val="20"/>
          <w:szCs w:val="20"/>
          <w:rtl/>
        </w:rPr>
        <w:t>שיטות הראשונים</w:t>
      </w:r>
      <w:r>
        <w:rPr>
          <w:b/>
          <w:bCs/>
          <w:sz w:val="20"/>
          <w:szCs w:val="20"/>
          <w:rtl/>
        </w:rPr>
        <w:br/>
      </w:r>
      <w:r>
        <w:rPr>
          <w:rFonts w:hint="cs"/>
          <w:sz w:val="20"/>
          <w:szCs w:val="20"/>
          <w:rtl/>
        </w:rPr>
        <w:t xml:space="preserve">א. </w:t>
      </w:r>
      <w:r w:rsidRPr="003C5B7E">
        <w:rPr>
          <w:rFonts w:hint="cs"/>
          <w:b/>
          <w:bCs/>
          <w:sz w:val="20"/>
          <w:szCs w:val="20"/>
          <w:rtl/>
        </w:rPr>
        <w:t xml:space="preserve">טור </w:t>
      </w:r>
      <w:r>
        <w:rPr>
          <w:sz w:val="20"/>
          <w:szCs w:val="20"/>
          <w:rtl/>
        </w:rPr>
        <w:t>–</w:t>
      </w:r>
      <w:r>
        <w:rPr>
          <w:rFonts w:hint="cs"/>
          <w:sz w:val="20"/>
          <w:szCs w:val="20"/>
          <w:rtl/>
        </w:rPr>
        <w:t xml:space="preserve"> חפפה ונתנה לבנה תבשיל העשוי להידבק וטבלה, לא עלתה לה טבילה.</w:t>
      </w:r>
      <w:r>
        <w:rPr>
          <w:sz w:val="20"/>
          <w:szCs w:val="20"/>
          <w:rtl/>
        </w:rPr>
        <w:br/>
      </w:r>
      <w:r>
        <w:rPr>
          <w:rFonts w:hint="cs"/>
          <w:sz w:val="20"/>
          <w:szCs w:val="20"/>
          <w:rtl/>
        </w:rPr>
        <w:t xml:space="preserve">ב. </w:t>
      </w:r>
      <w:r w:rsidRPr="003C5B7E">
        <w:rPr>
          <w:rFonts w:hint="cs"/>
          <w:b/>
          <w:bCs/>
          <w:sz w:val="20"/>
          <w:szCs w:val="20"/>
          <w:rtl/>
        </w:rPr>
        <w:t>רמב"ם</w:t>
      </w:r>
      <w:r>
        <w:rPr>
          <w:rFonts w:hint="cs"/>
          <w:sz w:val="20"/>
          <w:szCs w:val="20"/>
          <w:rtl/>
        </w:rPr>
        <w:t xml:space="preserve"> </w:t>
      </w:r>
      <w:r>
        <w:rPr>
          <w:sz w:val="20"/>
          <w:szCs w:val="20"/>
          <w:rtl/>
        </w:rPr>
        <w:t>–</w:t>
      </w:r>
      <w:r>
        <w:rPr>
          <w:rFonts w:hint="cs"/>
          <w:sz w:val="20"/>
          <w:szCs w:val="20"/>
          <w:rtl/>
        </w:rPr>
        <w:t xml:space="preserve"> דין זה נאמר רק לעניין טהרות, אך לבעלה עלתה לה טבילה.</w:t>
      </w:r>
      <w:r>
        <w:rPr>
          <w:rStyle w:val="a5"/>
          <w:sz w:val="20"/>
          <w:szCs w:val="20"/>
          <w:rtl/>
        </w:rPr>
        <w:footnoteReference w:id="732"/>
      </w:r>
    </w:p>
    <w:p w:rsidR="00620060" w:rsidRDefault="00620060" w:rsidP="00620060">
      <w:pPr>
        <w:rPr>
          <w:sz w:val="20"/>
          <w:szCs w:val="20"/>
          <w:rtl/>
        </w:rPr>
      </w:pPr>
      <w:r w:rsidRPr="003C5B7E">
        <w:rPr>
          <w:rFonts w:hint="cs"/>
          <w:sz w:val="20"/>
          <w:szCs w:val="20"/>
          <w:u w:val="single"/>
          <w:rtl/>
        </w:rPr>
        <w:t>הסבר הבית יוסף</w:t>
      </w:r>
      <w:r>
        <w:rPr>
          <w:b/>
          <w:bCs/>
          <w:sz w:val="20"/>
          <w:szCs w:val="20"/>
          <w:rtl/>
        </w:rPr>
        <w:br/>
      </w:r>
      <w:r>
        <w:rPr>
          <w:rFonts w:hint="cs"/>
          <w:sz w:val="20"/>
          <w:szCs w:val="20"/>
          <w:rtl/>
        </w:rPr>
        <w:t>לדינא אין מחלוקת בין הראשונים, אלא הרמב"ם הבין שרב גידל מיירי בתבשיל שאינו נדבק כל כך ולכן חוצץ רק לטהרות, אך לדינא הוא מודה לטור שאם נתנה לבנה תבשיל העשוי להידבק שחוצץ גם לבעלה.</w:t>
      </w:r>
    </w:p>
    <w:p w:rsidR="00620060" w:rsidRPr="00730659" w:rsidRDefault="00620060" w:rsidP="00620060">
      <w:pPr>
        <w:rPr>
          <w:sz w:val="20"/>
          <w:szCs w:val="20"/>
          <w:rtl/>
        </w:rPr>
      </w:pPr>
      <w:r w:rsidRPr="00730659">
        <w:rPr>
          <w:rFonts w:hint="cs"/>
          <w:b/>
          <w:bCs/>
          <w:sz w:val="20"/>
          <w:szCs w:val="20"/>
          <w:rtl/>
        </w:rPr>
        <w:lastRenderedPageBreak/>
        <w:t>לבישת בגדים בין חפיפה לטבילה</w:t>
      </w:r>
      <w:r>
        <w:rPr>
          <w:b/>
          <w:bCs/>
          <w:sz w:val="20"/>
          <w:szCs w:val="20"/>
          <w:rtl/>
        </w:rPr>
        <w:br/>
      </w:r>
      <w:r>
        <w:rPr>
          <w:rFonts w:hint="cs"/>
          <w:b/>
          <w:bCs/>
          <w:sz w:val="20"/>
          <w:szCs w:val="20"/>
          <w:rtl/>
        </w:rPr>
        <w:t xml:space="preserve">הגהות שערי דורא </w:t>
      </w:r>
      <w:r>
        <w:rPr>
          <w:sz w:val="20"/>
          <w:szCs w:val="20"/>
          <w:rtl/>
        </w:rPr>
        <w:t>–</w:t>
      </w:r>
      <w:r>
        <w:rPr>
          <w:rFonts w:hint="cs"/>
          <w:sz w:val="20"/>
          <w:szCs w:val="20"/>
          <w:rtl/>
        </w:rPr>
        <w:t xml:space="preserve"> מותר לאשה ללבוש את בגדיה לאחר חפיפה לפני הטבילה, וכ"פ </w:t>
      </w:r>
      <w:r w:rsidRPr="00ED6606">
        <w:rPr>
          <w:rFonts w:hint="cs"/>
          <w:b/>
          <w:bCs/>
          <w:sz w:val="20"/>
          <w:szCs w:val="20"/>
          <w:rtl/>
        </w:rPr>
        <w:t>הרמ"א</w:t>
      </w:r>
      <w:r>
        <w:rPr>
          <w:rFonts w:hint="cs"/>
          <w:sz w:val="20"/>
          <w:szCs w:val="20"/>
          <w:rtl/>
        </w:rPr>
        <w:t>.</w:t>
      </w:r>
      <w:r>
        <w:rPr>
          <w:sz w:val="20"/>
          <w:szCs w:val="20"/>
          <w:rtl/>
        </w:rPr>
        <w:br/>
      </w:r>
      <w:r w:rsidRPr="00ED6606">
        <w:rPr>
          <w:rFonts w:hint="cs"/>
          <w:b/>
          <w:bCs/>
          <w:sz w:val="20"/>
          <w:szCs w:val="20"/>
          <w:rtl/>
        </w:rPr>
        <w:t xml:space="preserve">טעם </w:t>
      </w:r>
      <w:r>
        <w:rPr>
          <w:sz w:val="20"/>
          <w:szCs w:val="20"/>
          <w:rtl/>
        </w:rPr>
        <w:t>–</w:t>
      </w:r>
      <w:r>
        <w:rPr>
          <w:rFonts w:hint="cs"/>
          <w:sz w:val="20"/>
          <w:szCs w:val="20"/>
          <w:rtl/>
        </w:rPr>
        <w:t xml:space="preserve"> אין חשש שמא יידבק דבר מה מהבגד על בשרה, משום שאין רגילות להימצא בבגד דבר דביק. </w:t>
      </w:r>
      <w:r>
        <w:rPr>
          <w:rFonts w:hint="cs"/>
          <w:b/>
          <w:bCs/>
          <w:sz w:val="20"/>
          <w:szCs w:val="20"/>
          <w:rtl/>
        </w:rPr>
        <w:br/>
      </w:r>
      <w:r>
        <w:rPr>
          <w:b/>
          <w:bCs/>
          <w:sz w:val="20"/>
          <w:szCs w:val="20"/>
          <w:rtl/>
        </w:rPr>
        <w:br/>
      </w: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034E8D">
        <w:rPr>
          <w:rFonts w:hint="cs"/>
          <w:sz w:val="20"/>
          <w:szCs w:val="20"/>
          <w:rtl/>
        </w:rPr>
        <w:t>ח</w:t>
      </w:r>
      <w:r w:rsidRPr="00034E8D">
        <w:rPr>
          <w:rFonts w:cs="Arial"/>
          <w:sz w:val="20"/>
          <w:szCs w:val="20"/>
          <w:rtl/>
        </w:rPr>
        <w:t xml:space="preserve">פפה קודם טבילה, ובין חפיפה לטבילה נתעסקה בדברים החוצצין, או שנתנה לבנה תבשיל הראוי לידבק בה, לא עלתה לה טבילה אפילו אם בדקה מיד אחר טבילה ולא מצאה עליה שום דבר חוצץ, שאני אומר בעלייתה מהמים נפל ממנה, וצריכה טבילה אחרת. </w:t>
      </w:r>
      <w:r w:rsidRPr="00034E8D">
        <w:rPr>
          <w:rFonts w:cs="Arial"/>
          <w:sz w:val="18"/>
          <w:szCs w:val="18"/>
          <w:rtl/>
        </w:rPr>
        <w:t>הגה: מיהו אם בדקה עצמה קודם טבילה וראתה שלא נדבק בה שום דבר, א</w:t>
      </w:r>
      <w:r w:rsidRPr="00034E8D">
        <w:rPr>
          <w:rFonts w:cs="Arial" w:hint="cs"/>
          <w:sz w:val="18"/>
          <w:szCs w:val="18"/>
          <w:rtl/>
        </w:rPr>
        <w:t>ינה צריכה</w:t>
      </w:r>
      <w:r w:rsidRPr="00034E8D">
        <w:rPr>
          <w:rFonts w:cs="Arial"/>
          <w:sz w:val="18"/>
          <w:szCs w:val="18"/>
          <w:rtl/>
        </w:rPr>
        <w:t xml:space="preserve"> טבילה אחרת; אבל מותרת ללבוש בגדיה בין חפיפה לטבילה, ולא ת</w:t>
      </w:r>
      <w:r w:rsidRPr="00034E8D">
        <w:rPr>
          <w:rFonts w:cs="Arial" w:hint="cs"/>
          <w:sz w:val="18"/>
          <w:szCs w:val="18"/>
          <w:rtl/>
        </w:rPr>
        <w:t>י</w:t>
      </w:r>
      <w:r w:rsidRPr="00034E8D">
        <w:rPr>
          <w:rFonts w:cs="Arial"/>
          <w:sz w:val="18"/>
          <w:szCs w:val="18"/>
          <w:rtl/>
        </w:rPr>
        <w:t>קח ת</w:t>
      </w:r>
      <w:r w:rsidRPr="00034E8D">
        <w:rPr>
          <w:rFonts w:cs="Arial" w:hint="cs"/>
          <w:sz w:val="18"/>
          <w:szCs w:val="18"/>
          <w:rtl/>
        </w:rPr>
        <w:t>י</w:t>
      </w:r>
      <w:r w:rsidRPr="00034E8D">
        <w:rPr>
          <w:rFonts w:cs="Arial"/>
          <w:sz w:val="18"/>
          <w:szCs w:val="18"/>
          <w:rtl/>
        </w:rPr>
        <w:t>נוק אצלה</w:t>
      </w:r>
      <w:r w:rsidRPr="00034E8D">
        <w:rPr>
          <w:rFonts w:cs="Arial" w:hint="cs"/>
          <w:sz w:val="20"/>
          <w:szCs w:val="20"/>
          <w:rtl/>
        </w:rPr>
        <w:t>".</w:t>
      </w:r>
    </w:p>
    <w:p w:rsidR="00620060" w:rsidRPr="005F72B3" w:rsidRDefault="00620060" w:rsidP="00620060">
      <w:pPr>
        <w:rPr>
          <w:sz w:val="20"/>
          <w:szCs w:val="20"/>
          <w:rtl/>
        </w:rPr>
      </w:pPr>
      <w:r>
        <w:rPr>
          <w:rFonts w:hint="cs"/>
          <w:sz w:val="20"/>
          <w:szCs w:val="20"/>
          <w:u w:val="single"/>
          <w:rtl/>
        </w:rPr>
        <w:t>לקחה תינוק בידה</w:t>
      </w:r>
      <w:r>
        <w:rPr>
          <w:sz w:val="20"/>
          <w:szCs w:val="20"/>
          <w:u w:val="single"/>
          <w:rtl/>
        </w:rPr>
        <w:br/>
      </w:r>
      <w:r w:rsidRPr="005F72B3">
        <w:rPr>
          <w:rFonts w:hint="cs"/>
          <w:b/>
          <w:bCs/>
          <w:sz w:val="20"/>
          <w:szCs w:val="20"/>
          <w:rtl/>
        </w:rPr>
        <w:t>ב"ח</w:t>
      </w:r>
      <w:r>
        <w:rPr>
          <w:rFonts w:hint="cs"/>
          <w:sz w:val="20"/>
          <w:szCs w:val="20"/>
          <w:rtl/>
        </w:rPr>
        <w:t xml:space="preserve"> </w:t>
      </w:r>
      <w:r>
        <w:rPr>
          <w:sz w:val="20"/>
          <w:szCs w:val="20"/>
          <w:rtl/>
        </w:rPr>
        <w:t>–</w:t>
      </w:r>
      <w:r>
        <w:rPr>
          <w:rFonts w:hint="cs"/>
          <w:sz w:val="20"/>
          <w:szCs w:val="20"/>
          <w:rtl/>
        </w:rPr>
        <w:t xml:space="preserve"> אם לקחה תינוק בידה בין חפיפה לטבילה בעודה ערומה והתינוק היה מלוכלך או שאחז בידו תבשיל, לא עלתה לה טבילה. אמנם, אם עיינה בגופה לאחר מכן לפני הטבילה, עלתה לה טבילה, </w:t>
      </w:r>
      <w:r w:rsidRPr="005F72B3">
        <w:rPr>
          <w:rFonts w:hint="cs"/>
          <w:b/>
          <w:bCs/>
          <w:sz w:val="20"/>
          <w:szCs w:val="20"/>
          <w:rtl/>
        </w:rPr>
        <w:t>כרשב"א</w:t>
      </w:r>
      <w:r>
        <w:rPr>
          <w:rFonts w:hint="cs"/>
          <w:sz w:val="20"/>
          <w:szCs w:val="20"/>
          <w:rtl/>
        </w:rPr>
        <w:t>.</w:t>
      </w:r>
    </w:p>
    <w:p w:rsidR="00620060" w:rsidRPr="00B62A88" w:rsidRDefault="00620060" w:rsidP="00620060">
      <w:pPr>
        <w:rPr>
          <w:sz w:val="20"/>
          <w:szCs w:val="20"/>
          <w:rtl/>
        </w:rPr>
      </w:pPr>
      <w:r>
        <w:rPr>
          <w:rFonts w:hint="cs"/>
          <w:b/>
          <w:bCs/>
          <w:sz w:val="20"/>
          <w:szCs w:val="20"/>
          <w:rtl/>
        </w:rPr>
        <w:t>סיכום</w:t>
      </w:r>
      <w:r>
        <w:rPr>
          <w:b/>
          <w:bCs/>
          <w:sz w:val="20"/>
          <w:szCs w:val="20"/>
          <w:rtl/>
        </w:rPr>
        <w:br/>
      </w:r>
      <w:r>
        <w:rPr>
          <w:rFonts w:hint="cs"/>
          <w:sz w:val="20"/>
          <w:szCs w:val="20"/>
          <w:rtl/>
        </w:rPr>
        <w:t xml:space="preserve">1. </w:t>
      </w:r>
      <w:r w:rsidRPr="00B62A88">
        <w:rPr>
          <w:rFonts w:hint="cs"/>
          <w:b/>
          <w:bCs/>
          <w:sz w:val="20"/>
          <w:szCs w:val="20"/>
          <w:rtl/>
        </w:rPr>
        <w:t>גמרא</w:t>
      </w:r>
      <w:r>
        <w:rPr>
          <w:rFonts w:hint="cs"/>
          <w:sz w:val="20"/>
          <w:szCs w:val="20"/>
          <w:rtl/>
        </w:rPr>
        <w:t xml:space="preserve">. חפפה ונתנה תבשיל לבנה וטבלה, לא עלתה לה טבילה אפילו אם עיינה בגופה מייד לאחר טבילה. </w:t>
      </w:r>
      <w:r w:rsidRPr="00B62A88">
        <w:rPr>
          <w:rFonts w:hint="cs"/>
          <w:b/>
          <w:bCs/>
          <w:sz w:val="20"/>
          <w:szCs w:val="20"/>
          <w:rtl/>
        </w:rPr>
        <w:t>רשב"א</w:t>
      </w:r>
      <w:r>
        <w:rPr>
          <w:rFonts w:hint="cs"/>
          <w:sz w:val="20"/>
          <w:szCs w:val="20"/>
          <w:rtl/>
        </w:rPr>
        <w:t xml:space="preserve">. אם עיינה בגופה אחרי נתינת התבשיל עלתה לה טבילה. </w:t>
      </w:r>
      <w:r>
        <w:rPr>
          <w:sz w:val="20"/>
          <w:szCs w:val="20"/>
          <w:rtl/>
        </w:rPr>
        <w:br/>
      </w:r>
      <w:r>
        <w:rPr>
          <w:rFonts w:hint="cs"/>
          <w:sz w:val="20"/>
          <w:szCs w:val="20"/>
          <w:rtl/>
        </w:rPr>
        <w:t xml:space="preserve">2. </w:t>
      </w:r>
      <w:r w:rsidRPr="00FC222F">
        <w:rPr>
          <w:rFonts w:hint="cs"/>
          <w:b/>
          <w:bCs/>
          <w:sz w:val="20"/>
          <w:szCs w:val="20"/>
          <w:rtl/>
        </w:rPr>
        <w:t>טור</w:t>
      </w:r>
      <w:r>
        <w:rPr>
          <w:rFonts w:hint="cs"/>
          <w:sz w:val="20"/>
          <w:szCs w:val="20"/>
          <w:rtl/>
        </w:rPr>
        <w:t xml:space="preserve">. דין זה גם לבעלה. </w:t>
      </w:r>
      <w:r w:rsidRPr="00FC222F">
        <w:rPr>
          <w:rFonts w:hint="cs"/>
          <w:b/>
          <w:bCs/>
          <w:sz w:val="20"/>
          <w:szCs w:val="20"/>
          <w:rtl/>
        </w:rPr>
        <w:t>רמב"ם</w:t>
      </w:r>
      <w:r>
        <w:rPr>
          <w:rFonts w:hint="cs"/>
          <w:sz w:val="20"/>
          <w:szCs w:val="20"/>
          <w:rtl/>
        </w:rPr>
        <w:t xml:space="preserve">. רק לטהרות, לבעלה טהורה. </w:t>
      </w:r>
      <w:r>
        <w:rPr>
          <w:sz w:val="20"/>
          <w:szCs w:val="20"/>
          <w:rtl/>
        </w:rPr>
        <w:br/>
      </w:r>
      <w:r>
        <w:rPr>
          <w:rFonts w:hint="cs"/>
          <w:sz w:val="20"/>
          <w:szCs w:val="20"/>
          <w:rtl/>
        </w:rPr>
        <w:t xml:space="preserve">3. </w:t>
      </w:r>
      <w:r w:rsidRPr="00B62A88">
        <w:rPr>
          <w:rFonts w:hint="cs"/>
          <w:b/>
          <w:bCs/>
          <w:sz w:val="20"/>
          <w:szCs w:val="20"/>
          <w:rtl/>
        </w:rPr>
        <w:t>ב"י</w:t>
      </w:r>
      <w:r>
        <w:rPr>
          <w:rFonts w:hint="cs"/>
          <w:sz w:val="20"/>
          <w:szCs w:val="20"/>
          <w:rtl/>
        </w:rPr>
        <w:t xml:space="preserve">. הרמב"ם הקל רק בתבשיל שאינו נדבק, אך בתבשיל העשוי להידבק מודה שחוצץ, וכ"פ </w:t>
      </w:r>
      <w:r w:rsidRPr="00FC222F">
        <w:rPr>
          <w:rFonts w:hint="cs"/>
          <w:b/>
          <w:bCs/>
          <w:sz w:val="20"/>
          <w:szCs w:val="20"/>
          <w:rtl/>
        </w:rPr>
        <w:t>בשו"ע</w:t>
      </w:r>
      <w:r>
        <w:rPr>
          <w:rFonts w:hint="cs"/>
          <w:sz w:val="20"/>
          <w:szCs w:val="20"/>
          <w:rtl/>
        </w:rPr>
        <w:t>.</w:t>
      </w:r>
      <w:r>
        <w:rPr>
          <w:sz w:val="20"/>
          <w:szCs w:val="20"/>
          <w:rtl/>
        </w:rPr>
        <w:br/>
      </w:r>
      <w:r>
        <w:rPr>
          <w:rFonts w:hint="cs"/>
          <w:sz w:val="20"/>
          <w:szCs w:val="20"/>
          <w:rtl/>
        </w:rPr>
        <w:t xml:space="preserve">4. </w:t>
      </w:r>
      <w:r w:rsidRPr="00B62A88">
        <w:rPr>
          <w:rFonts w:hint="cs"/>
          <w:b/>
          <w:bCs/>
          <w:sz w:val="20"/>
          <w:szCs w:val="20"/>
          <w:rtl/>
        </w:rPr>
        <w:t>הגש"ד</w:t>
      </w:r>
      <w:r>
        <w:rPr>
          <w:rFonts w:hint="cs"/>
          <w:sz w:val="20"/>
          <w:szCs w:val="20"/>
          <w:rtl/>
        </w:rPr>
        <w:t xml:space="preserve">. מותרת ללבוש בגדיה בין חפיפה לטבילה. </w:t>
      </w:r>
      <w:r w:rsidRPr="00B62A88">
        <w:rPr>
          <w:rFonts w:hint="cs"/>
          <w:b/>
          <w:bCs/>
          <w:sz w:val="20"/>
          <w:szCs w:val="20"/>
          <w:rtl/>
        </w:rPr>
        <w:t>טעם</w:t>
      </w:r>
      <w:r>
        <w:rPr>
          <w:rFonts w:hint="cs"/>
          <w:sz w:val="20"/>
          <w:szCs w:val="20"/>
          <w:rtl/>
        </w:rPr>
        <w:t>. אין מצוי דבר שיחצוץ בבגד.</w:t>
      </w:r>
      <w:r>
        <w:rPr>
          <w:rFonts w:hint="cs"/>
          <w:sz w:val="20"/>
          <w:szCs w:val="20"/>
          <w:rtl/>
        </w:rPr>
        <w:br/>
        <w:t xml:space="preserve">5. </w:t>
      </w:r>
      <w:r w:rsidRPr="00FC222F">
        <w:rPr>
          <w:rFonts w:hint="cs"/>
          <w:b/>
          <w:bCs/>
          <w:sz w:val="20"/>
          <w:szCs w:val="20"/>
          <w:rtl/>
        </w:rPr>
        <w:t>מחבר</w:t>
      </w:r>
      <w:r>
        <w:rPr>
          <w:rFonts w:hint="cs"/>
          <w:sz w:val="20"/>
          <w:szCs w:val="20"/>
          <w:rtl/>
        </w:rPr>
        <w:t xml:space="preserve">. נתנה תבשיל דביק לבנה וטבלה, לא עלתה לה טבילה אפילו אם עיינה בגופה לאחר טבילה. </w:t>
      </w:r>
      <w:r>
        <w:rPr>
          <w:b/>
          <w:bCs/>
          <w:sz w:val="20"/>
          <w:szCs w:val="20"/>
          <w:rtl/>
        </w:rPr>
        <w:br/>
      </w:r>
      <w:r w:rsidRPr="00FC222F">
        <w:rPr>
          <w:rFonts w:hint="cs"/>
          <w:b/>
          <w:bCs/>
          <w:sz w:val="20"/>
          <w:szCs w:val="20"/>
          <w:rtl/>
        </w:rPr>
        <w:t>רמ"א</w:t>
      </w:r>
      <w:r>
        <w:rPr>
          <w:rFonts w:hint="cs"/>
          <w:sz w:val="20"/>
          <w:szCs w:val="20"/>
          <w:rtl/>
        </w:rPr>
        <w:t>. אם עיינה בגופה לפני טבילה עלתה לה טבילה. ומותרת ללבוש את בגדיה בין חפיפה לטבילה.</w:t>
      </w:r>
      <w:r>
        <w:rPr>
          <w:sz w:val="20"/>
          <w:szCs w:val="20"/>
          <w:rtl/>
        </w:rPr>
        <w:br/>
      </w:r>
      <w:r>
        <w:rPr>
          <w:rFonts w:hint="cs"/>
          <w:sz w:val="20"/>
          <w:szCs w:val="20"/>
          <w:rtl/>
        </w:rPr>
        <w:t xml:space="preserve">5. </w:t>
      </w:r>
      <w:r w:rsidRPr="00B62A88">
        <w:rPr>
          <w:rFonts w:hint="cs"/>
          <w:b/>
          <w:bCs/>
          <w:sz w:val="20"/>
          <w:szCs w:val="20"/>
          <w:rtl/>
        </w:rPr>
        <w:t>ב"ח</w:t>
      </w:r>
      <w:r>
        <w:rPr>
          <w:rFonts w:hint="cs"/>
          <w:sz w:val="20"/>
          <w:szCs w:val="20"/>
          <w:rtl/>
        </w:rPr>
        <w:t>. החזיקה תינוק שיש עליו לכלוך בעודה ערומה, לא עלתה לה טבילה אא"כ עיינה לפני טבילה.</w:t>
      </w: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Default="00620060">
      <w:pPr>
        <w:rPr>
          <w:rtl/>
        </w:rPr>
      </w:pPr>
    </w:p>
    <w:p w:rsidR="00620060" w:rsidRPr="00CA78E9" w:rsidRDefault="00620060" w:rsidP="00620060">
      <w:pPr>
        <w:rPr>
          <w:b/>
          <w:bCs/>
          <w:sz w:val="20"/>
          <w:szCs w:val="20"/>
          <w:rtl/>
        </w:rPr>
      </w:pPr>
      <w:r w:rsidRPr="00CA78E9">
        <w:rPr>
          <w:rFonts w:hint="cs"/>
          <w:b/>
          <w:bCs/>
          <w:sz w:val="20"/>
          <w:szCs w:val="20"/>
          <w:rtl/>
        </w:rPr>
        <w:lastRenderedPageBreak/>
        <w:t>בעזרת ה' יתברך</w:t>
      </w:r>
    </w:p>
    <w:p w:rsidR="00620060" w:rsidRDefault="00620060" w:rsidP="00620060">
      <w:pPr>
        <w:rPr>
          <w:rFonts w:cs="Arial"/>
          <w:sz w:val="20"/>
          <w:szCs w:val="20"/>
          <w:rtl/>
        </w:rPr>
      </w:pPr>
      <w:r w:rsidRPr="00CA78E9">
        <w:rPr>
          <w:rFonts w:hint="cs"/>
          <w:b/>
          <w:bCs/>
          <w:sz w:val="20"/>
          <w:szCs w:val="20"/>
          <w:rtl/>
        </w:rPr>
        <w:t xml:space="preserve"> סימן ר </w:t>
      </w:r>
      <w:r w:rsidRPr="00CA78E9">
        <w:rPr>
          <w:b/>
          <w:bCs/>
          <w:sz w:val="20"/>
          <w:szCs w:val="20"/>
          <w:rtl/>
        </w:rPr>
        <w:t>–</w:t>
      </w:r>
      <w:r w:rsidRPr="00CA78E9">
        <w:rPr>
          <w:rFonts w:hint="cs"/>
          <w:b/>
          <w:bCs/>
          <w:sz w:val="20"/>
          <w:szCs w:val="20"/>
          <w:rtl/>
        </w:rPr>
        <w:t xml:space="preserve"> דיני ברכת הטבילה</w:t>
      </w:r>
      <w:r w:rsidRPr="00CA78E9">
        <w:rPr>
          <w:b/>
          <w:bCs/>
          <w:sz w:val="20"/>
          <w:szCs w:val="20"/>
          <w:rtl/>
        </w:rPr>
        <w:br/>
      </w:r>
      <w:r w:rsidRPr="00CA78E9">
        <w:rPr>
          <w:rFonts w:hint="cs"/>
          <w:b/>
          <w:bCs/>
          <w:sz w:val="20"/>
          <w:szCs w:val="20"/>
          <w:rtl/>
        </w:rPr>
        <w:br/>
        <w:t xml:space="preserve">סעיף א </w:t>
      </w:r>
      <w:r w:rsidRPr="00CA78E9">
        <w:rPr>
          <w:b/>
          <w:bCs/>
          <w:sz w:val="20"/>
          <w:szCs w:val="20"/>
          <w:rtl/>
        </w:rPr>
        <w:t>–</w:t>
      </w:r>
      <w:r w:rsidRPr="00CA78E9">
        <w:rPr>
          <w:rFonts w:hint="cs"/>
          <w:b/>
          <w:bCs/>
          <w:sz w:val="20"/>
          <w:szCs w:val="20"/>
          <w:rtl/>
        </w:rPr>
        <w:t xml:space="preserve"> זמן ברכת הטבילה</w:t>
      </w:r>
      <w:r w:rsidRPr="00CA78E9">
        <w:rPr>
          <w:b/>
          <w:bCs/>
          <w:sz w:val="20"/>
          <w:szCs w:val="20"/>
          <w:rtl/>
        </w:rPr>
        <w:br/>
      </w:r>
      <w:r w:rsidRPr="00CA78E9">
        <w:rPr>
          <w:rFonts w:hint="cs"/>
          <w:b/>
          <w:bCs/>
          <w:sz w:val="20"/>
          <w:szCs w:val="20"/>
          <w:rtl/>
        </w:rPr>
        <w:t>מקור הדין</w:t>
      </w:r>
      <w:r>
        <w:rPr>
          <w:rFonts w:hint="cs"/>
          <w:b/>
          <w:bCs/>
          <w:sz w:val="20"/>
          <w:szCs w:val="20"/>
          <w:rtl/>
        </w:rPr>
        <w:br/>
        <w:t xml:space="preserve">גמרא </w:t>
      </w:r>
      <w:r>
        <w:rPr>
          <w:rFonts w:hint="cs"/>
          <w:sz w:val="20"/>
          <w:szCs w:val="20"/>
          <w:rtl/>
        </w:rPr>
        <w:t>פסחים (ז:) "</w:t>
      </w:r>
      <w:r w:rsidRPr="00D22929">
        <w:rPr>
          <w:rFonts w:cs="Arial"/>
          <w:sz w:val="20"/>
          <w:szCs w:val="20"/>
          <w:rtl/>
        </w:rPr>
        <w:t>אמר רב יהודה אמר שמואל: כל</w:t>
      </w:r>
      <w:r>
        <w:rPr>
          <w:rFonts w:cs="Arial"/>
          <w:sz w:val="20"/>
          <w:szCs w:val="20"/>
          <w:rtl/>
        </w:rPr>
        <w:t xml:space="preserve"> המצות מברך עליהן עובר לעשייתן.</w:t>
      </w:r>
      <w:r>
        <w:rPr>
          <w:rFonts w:cs="Arial" w:hint="cs"/>
          <w:sz w:val="20"/>
          <w:szCs w:val="20"/>
          <w:rtl/>
        </w:rPr>
        <w:t xml:space="preserve">.. </w:t>
      </w:r>
      <w:r w:rsidRPr="00D22929">
        <w:rPr>
          <w:rFonts w:cs="Arial"/>
          <w:sz w:val="20"/>
          <w:szCs w:val="20"/>
          <w:rtl/>
        </w:rPr>
        <w:t>אמר רב חסדא: חוץ מן הטבילה בלבד</w:t>
      </w:r>
      <w:r>
        <w:rPr>
          <w:rFonts w:cs="Arial" w:hint="cs"/>
          <w:sz w:val="20"/>
          <w:szCs w:val="20"/>
          <w:rtl/>
        </w:rPr>
        <w:t xml:space="preserve"> </w:t>
      </w:r>
      <w:r w:rsidRPr="00D22929">
        <w:rPr>
          <w:rFonts w:cs="Arial"/>
          <w:sz w:val="20"/>
          <w:szCs w:val="20"/>
          <w:rtl/>
        </w:rPr>
        <w:t>דאכתי גברא לא חזי</w:t>
      </w:r>
      <w:r>
        <w:rPr>
          <w:rStyle w:val="a5"/>
          <w:rFonts w:cs="Arial"/>
          <w:sz w:val="20"/>
          <w:szCs w:val="20"/>
          <w:rtl/>
        </w:rPr>
        <w:footnoteReference w:id="733"/>
      </w:r>
      <w:r w:rsidRPr="00D22929">
        <w:rPr>
          <w:rFonts w:cs="Arial"/>
          <w:sz w:val="20"/>
          <w:szCs w:val="20"/>
          <w:rtl/>
        </w:rPr>
        <w:t>. תניא נמי הכי: טבל ועלה, בעלייתו אומר: ברוך אשר קדשנו במצותיו וצ</w:t>
      </w:r>
      <w:r>
        <w:rPr>
          <w:rFonts w:cs="Arial" w:hint="cs"/>
          <w:sz w:val="20"/>
          <w:szCs w:val="20"/>
          <w:rtl/>
        </w:rPr>
        <w:t>יו</w:t>
      </w:r>
      <w:r w:rsidRPr="00D22929">
        <w:rPr>
          <w:rFonts w:cs="Arial"/>
          <w:sz w:val="20"/>
          <w:szCs w:val="20"/>
          <w:rtl/>
        </w:rPr>
        <w:t>ונו על הטבילה</w:t>
      </w:r>
      <w:r>
        <w:rPr>
          <w:rFonts w:cs="Arial" w:hint="cs"/>
          <w:sz w:val="20"/>
          <w:szCs w:val="20"/>
          <w:rtl/>
        </w:rPr>
        <w:t>"</w:t>
      </w:r>
      <w:r w:rsidRPr="00D22929">
        <w:rPr>
          <w:rFonts w:cs="Arial"/>
          <w:sz w:val="20"/>
          <w:szCs w:val="20"/>
          <w:rtl/>
        </w:rPr>
        <w:t>.</w:t>
      </w:r>
    </w:p>
    <w:p w:rsidR="00620060" w:rsidRDefault="00620060" w:rsidP="00620060">
      <w:pPr>
        <w:rPr>
          <w:sz w:val="20"/>
          <w:szCs w:val="20"/>
          <w:rtl/>
        </w:rPr>
      </w:pPr>
      <w:r>
        <w:rPr>
          <w:rFonts w:cs="Arial" w:hint="cs"/>
          <w:b/>
          <w:bCs/>
          <w:sz w:val="20"/>
          <w:szCs w:val="20"/>
          <w:rtl/>
        </w:rPr>
        <w:t>שיטות הראשונים</w:t>
      </w:r>
      <w:r w:rsidRPr="00594E59">
        <w:rPr>
          <w:rStyle w:val="a5"/>
          <w:rFonts w:cs="Arial"/>
          <w:sz w:val="20"/>
          <w:szCs w:val="20"/>
          <w:rtl/>
        </w:rPr>
        <w:footnoteReference w:id="734"/>
      </w:r>
      <w:r>
        <w:rPr>
          <w:rFonts w:cs="Arial"/>
          <w:b/>
          <w:bCs/>
          <w:sz w:val="20"/>
          <w:szCs w:val="20"/>
          <w:rtl/>
        </w:rPr>
        <w:br/>
      </w:r>
      <w:r>
        <w:rPr>
          <w:rFonts w:cs="Arial" w:hint="cs"/>
          <w:sz w:val="20"/>
          <w:szCs w:val="20"/>
          <w:rtl/>
        </w:rPr>
        <w:t>האם גם נידה מברכת רק לאחר הטבילה?</w:t>
      </w:r>
      <w:r>
        <w:rPr>
          <w:rFonts w:cs="Arial" w:hint="cs"/>
          <w:sz w:val="20"/>
          <w:szCs w:val="20"/>
          <w:rtl/>
        </w:rPr>
        <w:br/>
        <w:t xml:space="preserve">א. </w:t>
      </w:r>
      <w:r w:rsidRPr="00D22929">
        <w:rPr>
          <w:rFonts w:cs="Arial" w:hint="cs"/>
          <w:b/>
          <w:bCs/>
          <w:sz w:val="20"/>
          <w:szCs w:val="20"/>
          <w:rtl/>
        </w:rPr>
        <w:t>רש"י</w:t>
      </w:r>
      <w:r>
        <w:rPr>
          <w:rFonts w:cs="Arial" w:hint="cs"/>
          <w:sz w:val="20"/>
          <w:szCs w:val="20"/>
          <w:rtl/>
        </w:rPr>
        <w:t xml:space="preserve"> </w:t>
      </w:r>
      <w:r>
        <w:rPr>
          <w:rFonts w:cs="Arial"/>
          <w:sz w:val="20"/>
          <w:szCs w:val="20"/>
          <w:rtl/>
        </w:rPr>
        <w:t>–</w:t>
      </w:r>
      <w:r>
        <w:rPr>
          <w:rFonts w:cs="Arial" w:hint="cs"/>
          <w:sz w:val="20"/>
          <w:szCs w:val="20"/>
          <w:rtl/>
        </w:rPr>
        <w:t xml:space="preserve"> כן, וכ"פ </w:t>
      </w:r>
      <w:r w:rsidRPr="00E94E69">
        <w:rPr>
          <w:rFonts w:cs="Arial" w:hint="cs"/>
          <w:b/>
          <w:bCs/>
          <w:sz w:val="20"/>
          <w:szCs w:val="20"/>
          <w:rtl/>
        </w:rPr>
        <w:t>הרמ"א</w:t>
      </w:r>
      <w:r>
        <w:rPr>
          <w:rFonts w:cs="Arial" w:hint="cs"/>
          <w:sz w:val="20"/>
          <w:szCs w:val="20"/>
          <w:rtl/>
        </w:rPr>
        <w:t>.</w:t>
      </w:r>
      <w:r>
        <w:rPr>
          <w:rFonts w:cs="Arial"/>
          <w:sz w:val="20"/>
          <w:szCs w:val="20"/>
          <w:rtl/>
        </w:rPr>
        <w:br/>
      </w:r>
      <w:r w:rsidRPr="00D22929">
        <w:rPr>
          <w:rFonts w:cs="Arial" w:hint="cs"/>
          <w:b/>
          <w:bCs/>
          <w:sz w:val="20"/>
          <w:szCs w:val="20"/>
          <w:rtl/>
        </w:rPr>
        <w:t>טעם</w:t>
      </w:r>
      <w:r>
        <w:rPr>
          <w:rFonts w:cs="Arial" w:hint="cs"/>
          <w:sz w:val="20"/>
          <w:szCs w:val="20"/>
          <w:rtl/>
        </w:rPr>
        <w:t xml:space="preserve"> </w:t>
      </w:r>
      <w:r>
        <w:rPr>
          <w:rFonts w:cs="Arial"/>
          <w:sz w:val="20"/>
          <w:szCs w:val="20"/>
          <w:rtl/>
        </w:rPr>
        <w:t>–</w:t>
      </w:r>
      <w:r>
        <w:rPr>
          <w:rFonts w:cs="Arial" w:hint="cs"/>
          <w:sz w:val="20"/>
          <w:szCs w:val="20"/>
          <w:rtl/>
        </w:rPr>
        <w:t xml:space="preserve"> </w:t>
      </w:r>
      <w:r>
        <w:rPr>
          <w:rFonts w:hint="cs"/>
          <w:sz w:val="20"/>
          <w:szCs w:val="20"/>
          <w:rtl/>
        </w:rPr>
        <w:t>"גברא לא חזי", הכוונה היא לטבילת בעל קרי שאסור בדברי תורה ובברכות, ומשום ברכת טבילת בעל קרי תיקנו בכל הטבילות לברך לאחר הטבילה.</w:t>
      </w:r>
      <w:r>
        <w:rPr>
          <w:sz w:val="20"/>
          <w:szCs w:val="20"/>
          <w:rtl/>
        </w:rPr>
        <w:br/>
      </w:r>
      <w:r w:rsidRPr="00D22929">
        <w:rPr>
          <w:rFonts w:hint="cs"/>
          <w:b/>
          <w:bCs/>
          <w:sz w:val="20"/>
          <w:szCs w:val="20"/>
          <w:rtl/>
        </w:rPr>
        <w:t>רש"י</w:t>
      </w:r>
      <w:r>
        <w:rPr>
          <w:rFonts w:hint="cs"/>
          <w:sz w:val="20"/>
          <w:szCs w:val="20"/>
          <w:rtl/>
        </w:rPr>
        <w:t xml:space="preserve"> מתבסס על המשנה בברכות (כ:) "</w:t>
      </w:r>
      <w:r w:rsidRPr="00D22929">
        <w:rPr>
          <w:rFonts w:cs="Arial"/>
          <w:sz w:val="20"/>
          <w:szCs w:val="20"/>
          <w:rtl/>
        </w:rPr>
        <w:t>בעל קרי מהרהר בלבו ואינו מברך לא לפניה ולא לאחריה</w:t>
      </w:r>
      <w:r>
        <w:rPr>
          <w:rFonts w:cs="Arial" w:hint="cs"/>
          <w:sz w:val="20"/>
          <w:szCs w:val="20"/>
          <w:rtl/>
        </w:rPr>
        <w:t>".</w:t>
      </w:r>
      <w:r>
        <w:rPr>
          <w:rFonts w:hint="cs"/>
          <w:sz w:val="20"/>
          <w:szCs w:val="20"/>
          <w:rtl/>
        </w:rPr>
        <w:br/>
        <w:t xml:space="preserve">ב. </w:t>
      </w:r>
      <w:r w:rsidRPr="00207363">
        <w:rPr>
          <w:rFonts w:hint="cs"/>
          <w:b/>
          <w:bCs/>
          <w:sz w:val="20"/>
          <w:szCs w:val="20"/>
          <w:rtl/>
        </w:rPr>
        <w:t>גאונים</w:t>
      </w:r>
      <w:r>
        <w:rPr>
          <w:rFonts w:hint="cs"/>
          <w:sz w:val="20"/>
          <w:szCs w:val="20"/>
          <w:rtl/>
        </w:rPr>
        <w:t xml:space="preserve">, </w:t>
      </w:r>
      <w:r w:rsidRPr="00207363">
        <w:rPr>
          <w:rFonts w:hint="cs"/>
          <w:b/>
          <w:bCs/>
          <w:sz w:val="20"/>
          <w:szCs w:val="20"/>
          <w:rtl/>
        </w:rPr>
        <w:t>רי"ף</w:t>
      </w:r>
      <w:r>
        <w:rPr>
          <w:rFonts w:hint="cs"/>
          <w:sz w:val="20"/>
          <w:szCs w:val="20"/>
          <w:rtl/>
        </w:rPr>
        <w:t xml:space="preserve">, </w:t>
      </w:r>
      <w:r w:rsidRPr="00207363">
        <w:rPr>
          <w:rFonts w:hint="cs"/>
          <w:b/>
          <w:bCs/>
          <w:sz w:val="20"/>
          <w:szCs w:val="20"/>
          <w:rtl/>
        </w:rPr>
        <w:t>רמב"ם ורא"ש</w:t>
      </w:r>
      <w:r>
        <w:rPr>
          <w:rFonts w:hint="cs"/>
          <w:sz w:val="20"/>
          <w:szCs w:val="20"/>
          <w:rtl/>
        </w:rPr>
        <w:t xml:space="preserve"> </w:t>
      </w:r>
      <w:r>
        <w:rPr>
          <w:sz w:val="20"/>
          <w:szCs w:val="20"/>
          <w:rtl/>
        </w:rPr>
        <w:t>–</w:t>
      </w:r>
      <w:r>
        <w:rPr>
          <w:rFonts w:hint="cs"/>
          <w:sz w:val="20"/>
          <w:szCs w:val="20"/>
          <w:rtl/>
        </w:rPr>
        <w:t xml:space="preserve"> לא, רק בטבילת גר הדין כך, וכ"פ </w:t>
      </w:r>
      <w:r w:rsidRPr="00E94E69">
        <w:rPr>
          <w:rFonts w:hint="cs"/>
          <w:b/>
          <w:bCs/>
          <w:sz w:val="20"/>
          <w:szCs w:val="20"/>
          <w:rtl/>
        </w:rPr>
        <w:t>המחבר</w:t>
      </w:r>
      <w:r>
        <w:rPr>
          <w:rFonts w:hint="cs"/>
          <w:sz w:val="20"/>
          <w:szCs w:val="20"/>
          <w:rtl/>
        </w:rPr>
        <w:t>.</w:t>
      </w:r>
      <w:r>
        <w:rPr>
          <w:sz w:val="20"/>
          <w:szCs w:val="20"/>
          <w:rtl/>
        </w:rPr>
        <w:br/>
      </w:r>
      <w:r w:rsidRPr="00207363">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גר אינו יכול לברך לפני הטבילה משום שאינו יכול לומר "אשר קידשנו במצוותיו וציוונו", אך בשאר טבילות יש לברך לפני הטבילה.</w:t>
      </w:r>
      <w:r>
        <w:rPr>
          <w:rStyle w:val="a5"/>
          <w:sz w:val="20"/>
          <w:szCs w:val="20"/>
          <w:rtl/>
        </w:rPr>
        <w:footnoteReference w:id="735"/>
      </w:r>
      <w:r>
        <w:rPr>
          <w:rFonts w:hint="cs"/>
          <w:sz w:val="20"/>
          <w:szCs w:val="20"/>
          <w:rtl/>
        </w:rPr>
        <w:br/>
        <w:t>ואין לומר שבעל קרי יברך לאחר הטבילה, כיוון שהאידנא נהגו להקל בטבילת בעל קרי, כרבי יהודה בן בתירא.</w:t>
      </w:r>
      <w:r>
        <w:rPr>
          <w:rStyle w:val="a5"/>
          <w:sz w:val="20"/>
          <w:szCs w:val="20"/>
          <w:rtl/>
        </w:rPr>
        <w:footnoteReference w:id="736"/>
      </w:r>
      <w:r>
        <w:rPr>
          <w:rFonts w:hint="cs"/>
          <w:sz w:val="20"/>
          <w:szCs w:val="20"/>
          <w:rtl/>
        </w:rPr>
        <w:br/>
      </w:r>
      <w:r>
        <w:rPr>
          <w:sz w:val="20"/>
          <w:szCs w:val="20"/>
          <w:rtl/>
        </w:rPr>
        <w:br/>
      </w:r>
      <w:r>
        <w:rPr>
          <w:rFonts w:hint="cs"/>
          <w:b/>
          <w:bCs/>
          <w:sz w:val="20"/>
          <w:szCs w:val="20"/>
          <w:rtl/>
        </w:rPr>
        <w:t>לדעת הגאונים - מתי בדיוק יש לברך?</w:t>
      </w:r>
      <w:r>
        <w:rPr>
          <w:rFonts w:hint="cs"/>
          <w:b/>
          <w:bCs/>
          <w:sz w:val="20"/>
          <w:szCs w:val="20"/>
          <w:rtl/>
        </w:rPr>
        <w:br/>
        <w:t xml:space="preserve">רא"ש </w:t>
      </w:r>
      <w:r>
        <w:rPr>
          <w:sz w:val="20"/>
          <w:szCs w:val="20"/>
          <w:rtl/>
        </w:rPr>
        <w:t>–</w:t>
      </w:r>
      <w:r>
        <w:rPr>
          <w:rFonts w:hint="cs"/>
          <w:sz w:val="20"/>
          <w:szCs w:val="20"/>
          <w:rtl/>
        </w:rPr>
        <w:t xml:space="preserve"> יש לברך לפני הטבילה קודם שתפשוט בגדיה.</w:t>
      </w:r>
      <w:r>
        <w:rPr>
          <w:sz w:val="20"/>
          <w:szCs w:val="20"/>
          <w:rtl/>
        </w:rPr>
        <w:br/>
      </w:r>
      <w:r w:rsidRPr="0088766E">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אסור לברך כשהיא ערומה.</w:t>
      </w:r>
      <w:r>
        <w:rPr>
          <w:sz w:val="20"/>
          <w:szCs w:val="20"/>
          <w:rtl/>
        </w:rPr>
        <w:br/>
      </w:r>
      <w:r>
        <w:rPr>
          <w:sz w:val="20"/>
          <w:szCs w:val="20"/>
          <w:rtl/>
        </w:rPr>
        <w:br/>
      </w:r>
      <w:r w:rsidRPr="0088766E">
        <w:rPr>
          <w:rFonts w:hint="cs"/>
          <w:b/>
          <w:bCs/>
          <w:sz w:val="20"/>
          <w:szCs w:val="20"/>
          <w:rtl/>
        </w:rPr>
        <w:t>ראב"ד</w:t>
      </w:r>
      <w:r>
        <w:rPr>
          <w:rFonts w:hint="cs"/>
          <w:sz w:val="20"/>
          <w:szCs w:val="20"/>
          <w:rtl/>
        </w:rPr>
        <w:t xml:space="preserve"> - אם שכחה ולא בירכה עד שנכנסה למים, אם המים עכורים תברך מייד, אם הם צלולים תעכור אותם ברגליה ותברך.</w:t>
      </w:r>
      <w:r>
        <w:rPr>
          <w:sz w:val="20"/>
          <w:szCs w:val="20"/>
          <w:rtl/>
        </w:rPr>
        <w:br/>
      </w:r>
      <w:r w:rsidRPr="0088766E">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w:t>
      </w:r>
      <w:r w:rsidRPr="0088766E">
        <w:rPr>
          <w:rFonts w:hint="cs"/>
          <w:b/>
          <w:bCs/>
          <w:sz w:val="20"/>
          <w:szCs w:val="20"/>
          <w:rtl/>
        </w:rPr>
        <w:t>משנה</w:t>
      </w:r>
      <w:r>
        <w:rPr>
          <w:rFonts w:hint="cs"/>
          <w:sz w:val="20"/>
          <w:szCs w:val="20"/>
          <w:rtl/>
        </w:rPr>
        <w:t xml:space="preserve"> ברכות (כב:) "</w:t>
      </w:r>
      <w:r w:rsidRPr="00432C7B">
        <w:rPr>
          <w:rFonts w:cs="Arial"/>
          <w:sz w:val="20"/>
          <w:szCs w:val="20"/>
          <w:rtl/>
        </w:rPr>
        <w:t>ירד לטבול, אם יכול לעלות ולהתכסות ולקרות עד שלא תהא הנץ החמה - יעלה ויתכסה ויקרא, ואם לאו - יתכסה במים ויקרא</w:t>
      </w:r>
      <w:r>
        <w:rPr>
          <w:rFonts w:cs="Arial" w:hint="cs"/>
          <w:sz w:val="20"/>
          <w:szCs w:val="20"/>
          <w:rtl/>
        </w:rPr>
        <w:t>".</w:t>
      </w:r>
      <w:r>
        <w:rPr>
          <w:rFonts w:cs="Arial"/>
          <w:sz w:val="20"/>
          <w:szCs w:val="20"/>
          <w:rtl/>
        </w:rPr>
        <w:br/>
      </w:r>
      <w:r w:rsidRPr="0088766E">
        <w:rPr>
          <w:rFonts w:cs="Arial" w:hint="cs"/>
          <w:b/>
          <w:bCs/>
          <w:sz w:val="20"/>
          <w:szCs w:val="20"/>
          <w:rtl/>
        </w:rPr>
        <w:t>גמרא</w:t>
      </w:r>
      <w:r>
        <w:rPr>
          <w:rFonts w:cs="Arial" w:hint="cs"/>
          <w:sz w:val="20"/>
          <w:szCs w:val="20"/>
          <w:rtl/>
        </w:rPr>
        <w:t xml:space="preserve"> (שם, כה:) "</w:t>
      </w:r>
      <w:r w:rsidRPr="00432C7B">
        <w:rPr>
          <w:rFonts w:cs="Arial"/>
          <w:sz w:val="20"/>
          <w:szCs w:val="20"/>
          <w:rtl/>
        </w:rPr>
        <w:t>ואם לאו - יתכסה במים ויקרא. והרי ל</w:t>
      </w:r>
      <w:r>
        <w:rPr>
          <w:rFonts w:cs="Arial" w:hint="cs"/>
          <w:sz w:val="20"/>
          <w:szCs w:val="20"/>
          <w:rtl/>
        </w:rPr>
        <w:t>י</w:t>
      </w:r>
      <w:r w:rsidRPr="00432C7B">
        <w:rPr>
          <w:rFonts w:cs="Arial"/>
          <w:sz w:val="20"/>
          <w:szCs w:val="20"/>
          <w:rtl/>
        </w:rPr>
        <w:t>בו רואה את הער</w:t>
      </w:r>
      <w:r>
        <w:rPr>
          <w:rFonts w:cs="Arial" w:hint="cs"/>
          <w:sz w:val="20"/>
          <w:szCs w:val="20"/>
          <w:rtl/>
        </w:rPr>
        <w:t>ו</w:t>
      </w:r>
      <w:r w:rsidRPr="00432C7B">
        <w:rPr>
          <w:rFonts w:cs="Arial"/>
          <w:sz w:val="20"/>
          <w:szCs w:val="20"/>
          <w:rtl/>
        </w:rPr>
        <w:t>וה! - אמר רבי אלעזר, ואי תימא רבי אחא בר אבא בר אחא משום רבינו: במים עכורין שנו, דדמו כארעא סמיכתא, שלא יראה לבו ערותו. תנו רבנן: מים צלולין</w:t>
      </w:r>
      <w:r>
        <w:rPr>
          <w:rFonts w:cs="Arial" w:hint="cs"/>
          <w:sz w:val="20"/>
          <w:szCs w:val="20"/>
          <w:rtl/>
        </w:rPr>
        <w:t xml:space="preserve">... </w:t>
      </w:r>
      <w:r w:rsidRPr="00432C7B">
        <w:rPr>
          <w:rFonts w:cs="Arial"/>
          <w:sz w:val="20"/>
          <w:szCs w:val="20"/>
          <w:rtl/>
        </w:rPr>
        <w:t>עוכרן ברגלו</w:t>
      </w:r>
      <w:r>
        <w:rPr>
          <w:rFonts w:hint="cs"/>
          <w:sz w:val="20"/>
          <w:szCs w:val="20"/>
          <w:rtl/>
        </w:rPr>
        <w:t>".</w:t>
      </w:r>
    </w:p>
    <w:p w:rsidR="00620060" w:rsidRPr="003071CB" w:rsidRDefault="00620060" w:rsidP="00620060">
      <w:pPr>
        <w:rPr>
          <w:sz w:val="20"/>
          <w:szCs w:val="20"/>
          <w:rtl/>
        </w:rPr>
      </w:pPr>
      <w:r>
        <w:rPr>
          <w:rFonts w:hint="cs"/>
          <w:b/>
          <w:bCs/>
          <w:sz w:val="20"/>
          <w:szCs w:val="20"/>
          <w:rtl/>
        </w:rPr>
        <w:t>נוסח הברכה</w:t>
      </w:r>
      <w:r>
        <w:rPr>
          <w:b/>
          <w:bCs/>
          <w:sz w:val="20"/>
          <w:szCs w:val="20"/>
          <w:rtl/>
        </w:rPr>
        <w:br/>
      </w:r>
      <w:r>
        <w:rPr>
          <w:rFonts w:hint="cs"/>
          <w:sz w:val="20"/>
          <w:szCs w:val="20"/>
          <w:rtl/>
        </w:rPr>
        <w:t xml:space="preserve">בגמרא פסחים </w:t>
      </w:r>
      <w:r w:rsidRPr="00616D02">
        <w:rPr>
          <w:rFonts w:hint="cs"/>
          <w:sz w:val="18"/>
          <w:szCs w:val="18"/>
          <w:rtl/>
        </w:rPr>
        <w:t xml:space="preserve">(שם) </w:t>
      </w:r>
      <w:r>
        <w:rPr>
          <w:rFonts w:hint="cs"/>
          <w:sz w:val="20"/>
          <w:szCs w:val="20"/>
          <w:rtl/>
        </w:rPr>
        <w:t xml:space="preserve">מבואר שבברכה לפני המצווה יש לברך בלמ"ד </w:t>
      </w:r>
      <w:r w:rsidRPr="00616D02">
        <w:rPr>
          <w:rFonts w:hint="cs"/>
          <w:sz w:val="18"/>
          <w:szCs w:val="18"/>
          <w:rtl/>
        </w:rPr>
        <w:t xml:space="preserve">(כגון </w:t>
      </w:r>
      <w:r w:rsidRPr="00616D02">
        <w:rPr>
          <w:sz w:val="18"/>
          <w:szCs w:val="18"/>
          <w:rtl/>
        </w:rPr>
        <w:t>–</w:t>
      </w:r>
      <w:r w:rsidRPr="00616D02">
        <w:rPr>
          <w:rFonts w:hint="cs"/>
          <w:sz w:val="18"/>
          <w:szCs w:val="18"/>
          <w:rtl/>
        </w:rPr>
        <w:t xml:space="preserve"> </w:t>
      </w:r>
      <w:r w:rsidRPr="00616D02">
        <w:rPr>
          <w:rFonts w:hint="cs"/>
          <w:b/>
          <w:bCs/>
          <w:sz w:val="18"/>
          <w:szCs w:val="18"/>
          <w:rtl/>
        </w:rPr>
        <w:t>ל</w:t>
      </w:r>
      <w:r w:rsidRPr="00616D02">
        <w:rPr>
          <w:rFonts w:hint="cs"/>
          <w:sz w:val="18"/>
          <w:szCs w:val="18"/>
          <w:rtl/>
        </w:rPr>
        <w:t xml:space="preserve">הדליק נר של חנוכה) </w:t>
      </w:r>
      <w:r>
        <w:rPr>
          <w:rFonts w:hint="cs"/>
          <w:sz w:val="20"/>
          <w:szCs w:val="20"/>
          <w:rtl/>
        </w:rPr>
        <w:t>לעומת זאת בברכה הנעשית לאחר המצווה יש לברך ב"על". מעתה קשה לדעת הגאונים, מדוע בברכת הטבילה מברכים "על הטבילה" ולא "לטבול"?</w:t>
      </w:r>
      <w:r>
        <w:rPr>
          <w:sz w:val="20"/>
          <w:szCs w:val="20"/>
          <w:rtl/>
        </w:rPr>
        <w:br/>
      </w:r>
      <w:r w:rsidRPr="00616D02">
        <w:rPr>
          <w:rFonts w:hint="cs"/>
          <w:b/>
          <w:bCs/>
          <w:sz w:val="20"/>
          <w:szCs w:val="20"/>
          <w:rtl/>
        </w:rPr>
        <w:t>ר"ן</w:t>
      </w:r>
      <w:r>
        <w:rPr>
          <w:rFonts w:hint="cs"/>
          <w:sz w:val="20"/>
          <w:szCs w:val="20"/>
          <w:rtl/>
        </w:rPr>
        <w:t xml:space="preserve"> </w:t>
      </w:r>
      <w:r>
        <w:rPr>
          <w:sz w:val="20"/>
          <w:szCs w:val="20"/>
          <w:rtl/>
        </w:rPr>
        <w:t>–</w:t>
      </w:r>
      <w:r>
        <w:rPr>
          <w:rFonts w:hint="cs"/>
          <w:sz w:val="20"/>
          <w:szCs w:val="20"/>
          <w:rtl/>
        </w:rPr>
        <w:t xml:space="preserve"> מחמת טבילת גר שנוסח ברכתו "על הטבילה" תיקנו חכמים לברך כך גם בשאר הטבילות, ולא רצו לתקן שני נוסחים שונים לברכת הטבילה. </w:t>
      </w:r>
    </w:p>
    <w:p w:rsidR="00620060" w:rsidRDefault="00620060" w:rsidP="00620060">
      <w:pPr>
        <w:rPr>
          <w:sz w:val="20"/>
          <w:szCs w:val="20"/>
          <w:rtl/>
        </w:rPr>
      </w:pPr>
      <w:r>
        <w:rPr>
          <w:rFonts w:hint="cs"/>
          <w:b/>
          <w:bCs/>
          <w:sz w:val="20"/>
          <w:szCs w:val="20"/>
          <w:rtl/>
        </w:rPr>
        <w:t>פסיקת הלכה</w:t>
      </w:r>
      <w:r>
        <w:rPr>
          <w:b/>
          <w:bCs/>
          <w:sz w:val="20"/>
          <w:szCs w:val="20"/>
          <w:rtl/>
        </w:rPr>
        <w:br/>
      </w:r>
      <w:r>
        <w:rPr>
          <w:rFonts w:hint="cs"/>
          <w:b/>
          <w:bCs/>
          <w:sz w:val="20"/>
          <w:szCs w:val="20"/>
          <w:rtl/>
        </w:rPr>
        <w:t xml:space="preserve">שולחן ערוך </w:t>
      </w:r>
      <w:r>
        <w:rPr>
          <w:sz w:val="20"/>
          <w:szCs w:val="20"/>
          <w:rtl/>
        </w:rPr>
        <w:t>–</w:t>
      </w:r>
      <w:r>
        <w:rPr>
          <w:rFonts w:hint="cs"/>
          <w:sz w:val="20"/>
          <w:szCs w:val="20"/>
          <w:rtl/>
        </w:rPr>
        <w:t xml:space="preserve"> "</w:t>
      </w:r>
      <w:r w:rsidRPr="0088766E">
        <w:rPr>
          <w:rFonts w:cs="Arial"/>
          <w:sz w:val="20"/>
          <w:szCs w:val="20"/>
          <w:rtl/>
        </w:rPr>
        <w:t>כשפושטת מלבושיה, כשעומדת בחלוקה, תברך: אשר קדשנו במצותיו וצ</w:t>
      </w:r>
      <w:r>
        <w:rPr>
          <w:rFonts w:cs="Arial" w:hint="cs"/>
          <w:sz w:val="20"/>
          <w:szCs w:val="20"/>
          <w:rtl/>
        </w:rPr>
        <w:t>יו</w:t>
      </w:r>
      <w:r w:rsidRPr="0088766E">
        <w:rPr>
          <w:rFonts w:cs="Arial"/>
          <w:sz w:val="20"/>
          <w:szCs w:val="20"/>
          <w:rtl/>
        </w:rPr>
        <w:t>ונו על הטבילה, ותפשוט חלוקה ותטבול; ואם לא ברכה אז, תברך לאחר שתכנס עד צ</w:t>
      </w:r>
      <w:r>
        <w:rPr>
          <w:rFonts w:cs="Arial" w:hint="cs"/>
          <w:sz w:val="20"/>
          <w:szCs w:val="20"/>
          <w:rtl/>
        </w:rPr>
        <w:t>ו</w:t>
      </w:r>
      <w:r w:rsidRPr="0088766E">
        <w:rPr>
          <w:rFonts w:cs="Arial"/>
          <w:sz w:val="20"/>
          <w:szCs w:val="20"/>
          <w:rtl/>
        </w:rPr>
        <w:t xml:space="preserve">וארה במים; ואם הם צלולים, עוכרתן ברגליה ומברכת. </w:t>
      </w:r>
      <w:r w:rsidRPr="0088766E">
        <w:rPr>
          <w:rFonts w:cs="Arial"/>
          <w:sz w:val="18"/>
          <w:szCs w:val="18"/>
          <w:rtl/>
        </w:rPr>
        <w:t>הגה: ויש אומרים שלא תברך עד אחר הטבילה</w:t>
      </w:r>
      <w:r w:rsidRPr="0088766E">
        <w:rPr>
          <w:rFonts w:cs="Arial" w:hint="cs"/>
          <w:sz w:val="18"/>
          <w:szCs w:val="18"/>
          <w:rtl/>
        </w:rPr>
        <w:t>,</w:t>
      </w:r>
      <w:r w:rsidRPr="0088766E">
        <w:rPr>
          <w:rFonts w:cs="Arial"/>
          <w:sz w:val="18"/>
          <w:szCs w:val="18"/>
          <w:rtl/>
        </w:rPr>
        <w:t xml:space="preserve"> וכן נוהגים שלאחר הטבילה בעודה עומדת תוך המים, מכסת עצמה בבגדה או בחלוקה, ומברכת</w:t>
      </w:r>
      <w:r>
        <w:rPr>
          <w:rFonts w:cs="Arial" w:hint="cs"/>
          <w:sz w:val="20"/>
          <w:szCs w:val="20"/>
          <w:rtl/>
        </w:rPr>
        <w:t>".</w:t>
      </w:r>
    </w:p>
    <w:p w:rsidR="00620060" w:rsidRDefault="00620060" w:rsidP="00620060">
      <w:pPr>
        <w:rPr>
          <w:sz w:val="20"/>
          <w:szCs w:val="20"/>
          <w:rtl/>
        </w:rPr>
      </w:pPr>
      <w:r>
        <w:rPr>
          <w:rFonts w:hint="cs"/>
          <w:b/>
          <w:bCs/>
          <w:sz w:val="20"/>
          <w:szCs w:val="20"/>
          <w:rtl/>
        </w:rPr>
        <w:lastRenderedPageBreak/>
        <w:t>הקפדה על עניינים נוספים בשעת הברכה</w:t>
      </w:r>
      <w:r>
        <w:rPr>
          <w:rFonts w:hint="cs"/>
          <w:b/>
          <w:bCs/>
          <w:sz w:val="20"/>
          <w:szCs w:val="20"/>
          <w:rtl/>
        </w:rPr>
        <w:br/>
      </w:r>
      <w:r w:rsidRPr="00711A3F">
        <w:rPr>
          <w:rStyle w:val="10"/>
          <w:rFonts w:hint="cs"/>
          <w:rtl/>
        </w:rPr>
        <w:t>א.</w:t>
      </w:r>
      <w:r w:rsidRPr="00711A3F">
        <w:rPr>
          <w:rFonts w:hint="cs"/>
          <w:sz w:val="16"/>
          <w:szCs w:val="16"/>
          <w:rtl/>
        </w:rPr>
        <w:t xml:space="preserve"> </w:t>
      </w:r>
      <w:r>
        <w:rPr>
          <w:rFonts w:hint="cs"/>
          <w:b/>
          <w:bCs/>
          <w:sz w:val="20"/>
          <w:szCs w:val="20"/>
          <w:rtl/>
        </w:rPr>
        <w:t>הפסקה בין לב לערווה</w:t>
      </w:r>
      <w:r>
        <w:rPr>
          <w:b/>
          <w:bCs/>
          <w:sz w:val="20"/>
          <w:szCs w:val="20"/>
          <w:rtl/>
        </w:rPr>
        <w:br/>
      </w:r>
      <w:r>
        <w:rPr>
          <w:rFonts w:hint="cs"/>
          <w:b/>
          <w:bCs/>
          <w:sz w:val="20"/>
          <w:szCs w:val="20"/>
          <w:rtl/>
        </w:rPr>
        <w:t xml:space="preserve">גמרא </w:t>
      </w:r>
      <w:r>
        <w:rPr>
          <w:rFonts w:hint="cs"/>
          <w:sz w:val="20"/>
          <w:szCs w:val="20"/>
          <w:rtl/>
        </w:rPr>
        <w:t>ברכות (כד.) "</w:t>
      </w:r>
      <w:r w:rsidRPr="00D968CD">
        <w:rPr>
          <w:rFonts w:cs="Arial"/>
          <w:sz w:val="20"/>
          <w:szCs w:val="20"/>
          <w:rtl/>
        </w:rPr>
        <w:t xml:space="preserve">האשה יושבת וקוצה לה חלתה ערומה מפני שיכולה לכסות פניה בקרקע, אבל לא האיש. תרגמה רב נחמן בר יצחק: כגון שהיו פניה טוחות </w:t>
      </w:r>
      <w:r w:rsidRPr="00D968CD">
        <w:rPr>
          <w:rFonts w:cs="Arial" w:hint="cs"/>
          <w:sz w:val="18"/>
          <w:szCs w:val="18"/>
          <w:rtl/>
        </w:rPr>
        <w:t xml:space="preserve">(דבוקות ומכוסות) </w:t>
      </w:r>
      <w:r w:rsidRPr="00D968CD">
        <w:rPr>
          <w:rFonts w:cs="Arial"/>
          <w:sz w:val="20"/>
          <w:szCs w:val="20"/>
          <w:rtl/>
        </w:rPr>
        <w:t>בקרקע</w:t>
      </w:r>
      <w:r>
        <w:rPr>
          <w:rFonts w:cs="Arial" w:hint="cs"/>
          <w:sz w:val="20"/>
          <w:szCs w:val="20"/>
          <w:rtl/>
        </w:rPr>
        <w:t>".</w:t>
      </w:r>
    </w:p>
    <w:p w:rsidR="00620060" w:rsidRDefault="00620060" w:rsidP="00620060">
      <w:pPr>
        <w:rPr>
          <w:sz w:val="20"/>
          <w:szCs w:val="20"/>
          <w:rtl/>
        </w:rPr>
      </w:pPr>
      <w:r>
        <w:rPr>
          <w:rFonts w:hint="cs"/>
          <w:sz w:val="20"/>
          <w:szCs w:val="20"/>
          <w:u w:val="single"/>
          <w:rtl/>
        </w:rPr>
        <w:t>האם יש בעייה באשה שליבה רואה את ערוותה?</w:t>
      </w:r>
      <w:r>
        <w:rPr>
          <w:rFonts w:hint="cs"/>
          <w:sz w:val="20"/>
          <w:szCs w:val="20"/>
          <w:u w:val="single"/>
          <w:rtl/>
        </w:rPr>
        <w:br/>
      </w:r>
      <w:r>
        <w:rPr>
          <w:rFonts w:hint="cs"/>
          <w:sz w:val="20"/>
          <w:szCs w:val="20"/>
          <w:rtl/>
        </w:rPr>
        <w:t>אשה הלבושה בחלוק ואין הפסק בין הלב לערווה, האם מותרת לברך?</w:t>
      </w:r>
      <w:r>
        <w:rPr>
          <w:sz w:val="20"/>
          <w:szCs w:val="20"/>
          <w:u w:val="single"/>
          <w:rtl/>
        </w:rPr>
        <w:br/>
      </w:r>
      <w:r>
        <w:rPr>
          <w:rFonts w:hint="cs"/>
          <w:sz w:val="20"/>
          <w:szCs w:val="20"/>
          <w:rtl/>
        </w:rPr>
        <w:t xml:space="preserve">א. </w:t>
      </w:r>
      <w:r w:rsidRPr="007D7C71">
        <w:rPr>
          <w:rFonts w:hint="cs"/>
          <w:b/>
          <w:bCs/>
          <w:sz w:val="20"/>
          <w:szCs w:val="20"/>
          <w:rtl/>
        </w:rPr>
        <w:t>אורחות חיים</w:t>
      </w:r>
      <w:r>
        <w:rPr>
          <w:rFonts w:hint="cs"/>
          <w:sz w:val="20"/>
          <w:szCs w:val="20"/>
          <w:rtl/>
        </w:rPr>
        <w:t xml:space="preserve"> </w:t>
      </w:r>
      <w:r>
        <w:rPr>
          <w:sz w:val="20"/>
          <w:szCs w:val="20"/>
          <w:rtl/>
        </w:rPr>
        <w:t>–</w:t>
      </w:r>
      <w:r>
        <w:rPr>
          <w:rFonts w:hint="cs"/>
          <w:sz w:val="20"/>
          <w:szCs w:val="20"/>
          <w:rtl/>
        </w:rPr>
        <w:t xml:space="preserve"> כן.</w:t>
      </w:r>
      <w:r>
        <w:rPr>
          <w:sz w:val="20"/>
          <w:szCs w:val="20"/>
          <w:rtl/>
        </w:rPr>
        <w:br/>
      </w:r>
      <w:r w:rsidRPr="007D7C71">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הגמרא הנ"ל מיירי באשה ערומה וצריכה שפניה שלמטה יהיו טוחות בקרקע מפני עגבותיה, אך אם עומדת ולבושה אינה צריכה מאומה אע"פ שליבה רואה את ערוותה. הסיבה לחלק בין איש לאישה היא, משום שבאשה הערווה היא למטה מאוד ואינה בולטת, אך באיש הערווה בולטת וצריך להפסיק.</w:t>
      </w:r>
      <w:r>
        <w:rPr>
          <w:sz w:val="20"/>
          <w:szCs w:val="20"/>
          <w:rtl/>
        </w:rPr>
        <w:br/>
      </w:r>
      <w:r>
        <w:rPr>
          <w:rFonts w:hint="cs"/>
          <w:sz w:val="20"/>
          <w:szCs w:val="20"/>
          <w:rtl/>
        </w:rPr>
        <w:t xml:space="preserve">ב. </w:t>
      </w:r>
      <w:r w:rsidRPr="00C27692">
        <w:rPr>
          <w:rFonts w:hint="cs"/>
          <w:b/>
          <w:bCs/>
          <w:sz w:val="20"/>
          <w:szCs w:val="20"/>
          <w:rtl/>
        </w:rPr>
        <w:t>ב"ח</w:t>
      </w:r>
      <w:r>
        <w:rPr>
          <w:rFonts w:hint="cs"/>
          <w:sz w:val="20"/>
          <w:szCs w:val="20"/>
          <w:rtl/>
        </w:rPr>
        <w:t xml:space="preserve"> </w:t>
      </w:r>
      <w:r>
        <w:rPr>
          <w:sz w:val="20"/>
          <w:szCs w:val="20"/>
          <w:rtl/>
        </w:rPr>
        <w:t>–</w:t>
      </w:r>
      <w:r>
        <w:rPr>
          <w:rFonts w:hint="cs"/>
          <w:sz w:val="20"/>
          <w:szCs w:val="20"/>
          <w:rtl/>
        </w:rPr>
        <w:t xml:space="preserve"> לא.</w:t>
      </w:r>
      <w:r>
        <w:rPr>
          <w:sz w:val="20"/>
          <w:szCs w:val="20"/>
          <w:rtl/>
        </w:rPr>
        <w:br/>
      </w:r>
      <w:r w:rsidRPr="00C27692">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גם אשה צריכה להפסיק בין הלב לערווה, ומה שנאמר בגמרא הנ"ל שמותר לה לברך כשפניה טוחות בקרקע נאמר אפילו כשהיא לבושה בחלוק, משום שהחלוק לא מהני להפסיק בין הלב לערווה.</w:t>
      </w:r>
      <w:r>
        <w:rPr>
          <w:rFonts w:hint="cs"/>
          <w:sz w:val="20"/>
          <w:szCs w:val="20"/>
          <w:rtl/>
        </w:rPr>
        <w:br/>
        <w:t>ואשה הלבושה בחלוק תניח ידיה למטה מליבה כדי להפסיק בינו לערווה, או תעכור את המים ברגליה.</w:t>
      </w:r>
      <w:r>
        <w:rPr>
          <w:rStyle w:val="a5"/>
          <w:sz w:val="20"/>
          <w:szCs w:val="20"/>
          <w:rtl/>
        </w:rPr>
        <w:footnoteReference w:id="737"/>
      </w:r>
      <w:r>
        <w:rPr>
          <w:rFonts w:hint="cs"/>
          <w:sz w:val="20"/>
          <w:szCs w:val="20"/>
          <w:rtl/>
        </w:rPr>
        <w:t xml:space="preserve"> </w:t>
      </w:r>
    </w:p>
    <w:p w:rsidR="00620060" w:rsidRPr="00681C8D" w:rsidRDefault="00620060" w:rsidP="00620060">
      <w:pPr>
        <w:rPr>
          <w:sz w:val="20"/>
          <w:szCs w:val="20"/>
          <w:rtl/>
        </w:rPr>
      </w:pPr>
      <w:r>
        <w:rPr>
          <w:rFonts w:hint="cs"/>
          <w:sz w:val="20"/>
          <w:szCs w:val="20"/>
          <w:u w:val="single"/>
          <w:rtl/>
        </w:rPr>
        <w:t>הכרעת הפוסקים</w:t>
      </w:r>
      <w:r>
        <w:rPr>
          <w:sz w:val="20"/>
          <w:szCs w:val="20"/>
          <w:u w:val="single"/>
          <w:rtl/>
        </w:rPr>
        <w:br/>
      </w:r>
      <w:r w:rsidRPr="00681C8D">
        <w:rPr>
          <w:rFonts w:hint="cs"/>
          <w:b/>
          <w:bCs/>
          <w:sz w:val="20"/>
          <w:szCs w:val="20"/>
          <w:rtl/>
        </w:rPr>
        <w:t>מחבר</w:t>
      </w:r>
      <w:r>
        <w:rPr>
          <w:rFonts w:hint="cs"/>
          <w:sz w:val="20"/>
          <w:szCs w:val="20"/>
          <w:rtl/>
        </w:rPr>
        <w:t xml:space="preserve"> </w:t>
      </w:r>
      <w:r w:rsidRPr="00681C8D">
        <w:rPr>
          <w:rFonts w:hint="cs"/>
          <w:sz w:val="18"/>
          <w:szCs w:val="18"/>
          <w:rtl/>
        </w:rPr>
        <w:t xml:space="preserve">(או"ח, עד ד) </w:t>
      </w:r>
      <w:r>
        <w:rPr>
          <w:rFonts w:hint="cs"/>
          <w:sz w:val="20"/>
          <w:szCs w:val="20"/>
          <w:rtl/>
        </w:rPr>
        <w:t>"</w:t>
      </w:r>
      <w:r w:rsidRPr="00681C8D">
        <w:rPr>
          <w:rFonts w:cs="Arial"/>
          <w:sz w:val="20"/>
          <w:szCs w:val="20"/>
          <w:rtl/>
        </w:rPr>
        <w:t>יש מי שאומר שהנשים יכולות לברך ולהתפלל כשהן לבושות החלוק, אף על פי שאינן מפסיקות למטה מהלב</w:t>
      </w:r>
      <w:r>
        <w:rPr>
          <w:rFonts w:cs="Arial" w:hint="cs"/>
          <w:sz w:val="20"/>
          <w:szCs w:val="20"/>
          <w:rtl/>
        </w:rPr>
        <w:t>".</w:t>
      </w:r>
      <w:r>
        <w:rPr>
          <w:sz w:val="20"/>
          <w:szCs w:val="20"/>
          <w:rtl/>
        </w:rPr>
        <w:br/>
      </w:r>
      <w:r>
        <w:rPr>
          <w:rFonts w:hint="cs"/>
          <w:sz w:val="20"/>
          <w:szCs w:val="20"/>
          <w:rtl/>
        </w:rPr>
        <w:t xml:space="preserve">וכן פסק כאן </w:t>
      </w:r>
      <w:r w:rsidRPr="00681C8D">
        <w:rPr>
          <w:rFonts w:hint="cs"/>
          <w:b/>
          <w:bCs/>
          <w:sz w:val="20"/>
          <w:szCs w:val="20"/>
          <w:rtl/>
        </w:rPr>
        <w:t>הדרישה</w:t>
      </w:r>
      <w:r>
        <w:rPr>
          <w:rFonts w:hint="cs"/>
          <w:b/>
          <w:bCs/>
          <w:sz w:val="20"/>
          <w:szCs w:val="20"/>
          <w:rtl/>
        </w:rPr>
        <w:t xml:space="preserve"> והש"ך</w:t>
      </w:r>
      <w:r>
        <w:rPr>
          <w:rFonts w:hint="cs"/>
          <w:sz w:val="20"/>
          <w:szCs w:val="20"/>
          <w:rtl/>
        </w:rPr>
        <w:t xml:space="preserve">, ואף </w:t>
      </w:r>
      <w:r w:rsidRPr="00681C8D">
        <w:rPr>
          <w:rFonts w:hint="cs"/>
          <w:b/>
          <w:bCs/>
          <w:sz w:val="20"/>
          <w:szCs w:val="20"/>
          <w:rtl/>
        </w:rPr>
        <w:t>הט"ז</w:t>
      </w:r>
      <w:r>
        <w:rPr>
          <w:rFonts w:hint="cs"/>
          <w:sz w:val="20"/>
          <w:szCs w:val="20"/>
          <w:rtl/>
        </w:rPr>
        <w:t xml:space="preserve"> התיר זאת אלא שדעתו לכתחילה להפסיק בין הלב לערווה ע"י חיבוק זרועותיה על גופה.</w:t>
      </w:r>
    </w:p>
    <w:p w:rsidR="00620060" w:rsidRDefault="00620060" w:rsidP="00620060">
      <w:pPr>
        <w:rPr>
          <w:sz w:val="20"/>
          <w:szCs w:val="20"/>
          <w:rtl/>
        </w:rPr>
      </w:pPr>
      <w:r w:rsidRPr="00711A3F">
        <w:rPr>
          <w:rStyle w:val="10"/>
          <w:rFonts w:hint="cs"/>
          <w:rtl/>
        </w:rPr>
        <w:t>ב.</w:t>
      </w:r>
      <w:r w:rsidRPr="00711A3F">
        <w:rPr>
          <w:rFonts w:hint="cs"/>
          <w:b/>
          <w:bCs/>
          <w:sz w:val="16"/>
          <w:szCs w:val="16"/>
          <w:rtl/>
        </w:rPr>
        <w:t xml:space="preserve"> </w:t>
      </w:r>
      <w:r>
        <w:rPr>
          <w:rFonts w:hint="cs"/>
          <w:b/>
          <w:bCs/>
          <w:sz w:val="20"/>
          <w:szCs w:val="20"/>
          <w:rtl/>
        </w:rPr>
        <w:t>גילוי ערווה בשעת הברכה</w:t>
      </w:r>
      <w:r>
        <w:rPr>
          <w:rFonts w:hint="cs"/>
          <w:b/>
          <w:bCs/>
          <w:sz w:val="20"/>
          <w:szCs w:val="20"/>
          <w:rtl/>
        </w:rPr>
        <w:br/>
      </w:r>
      <w:r>
        <w:rPr>
          <w:rFonts w:hint="cs"/>
          <w:sz w:val="20"/>
          <w:szCs w:val="20"/>
          <w:rtl/>
        </w:rPr>
        <w:t xml:space="preserve">א. </w:t>
      </w:r>
      <w:r w:rsidRPr="00824AC6">
        <w:rPr>
          <w:rFonts w:hint="cs"/>
          <w:b/>
          <w:bCs/>
          <w:sz w:val="20"/>
          <w:szCs w:val="20"/>
          <w:rtl/>
        </w:rPr>
        <w:t>דרישה</w:t>
      </w:r>
      <w:r w:rsidRPr="00217278">
        <w:rPr>
          <w:rFonts w:hint="cs"/>
          <w:b/>
          <w:bCs/>
          <w:sz w:val="20"/>
          <w:szCs w:val="20"/>
          <w:rtl/>
        </w:rPr>
        <w:t xml:space="preserve"> </w:t>
      </w:r>
      <w:r>
        <w:rPr>
          <w:sz w:val="20"/>
          <w:szCs w:val="20"/>
          <w:rtl/>
        </w:rPr>
        <w:t>–</w:t>
      </w:r>
      <w:r>
        <w:rPr>
          <w:rFonts w:hint="cs"/>
          <w:sz w:val="20"/>
          <w:szCs w:val="20"/>
          <w:rtl/>
        </w:rPr>
        <w:t xml:space="preserve"> בשעת הברכה תעכור את המים.</w:t>
      </w:r>
      <w:r>
        <w:rPr>
          <w:rStyle w:val="a5"/>
          <w:sz w:val="20"/>
          <w:szCs w:val="20"/>
          <w:rtl/>
        </w:rPr>
        <w:footnoteReference w:id="738"/>
      </w:r>
      <w:r>
        <w:rPr>
          <w:sz w:val="20"/>
          <w:szCs w:val="20"/>
          <w:rtl/>
        </w:rPr>
        <w:br/>
      </w:r>
      <w:r w:rsidRPr="00217278">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אין לברך כשהיא ערומה מפני כבוד השכינה, ולכן יש לעכור את המים שלא תיראה ערומה.</w:t>
      </w:r>
      <w:r>
        <w:rPr>
          <w:sz w:val="20"/>
          <w:szCs w:val="20"/>
          <w:rtl/>
        </w:rPr>
        <w:br/>
      </w:r>
      <w:r>
        <w:rPr>
          <w:sz w:val="20"/>
          <w:szCs w:val="20"/>
          <w:rtl/>
        </w:rPr>
        <w:br/>
      </w:r>
      <w:r>
        <w:rPr>
          <w:rFonts w:hint="cs"/>
          <w:sz w:val="20"/>
          <w:szCs w:val="20"/>
          <w:rtl/>
        </w:rPr>
        <w:t xml:space="preserve">ב. </w:t>
      </w:r>
      <w:r w:rsidRPr="00A8711E">
        <w:rPr>
          <w:rFonts w:hint="cs"/>
          <w:b/>
          <w:bCs/>
          <w:sz w:val="20"/>
          <w:szCs w:val="20"/>
          <w:rtl/>
        </w:rPr>
        <w:t>ט"ז</w:t>
      </w:r>
      <w:r w:rsidRPr="00FF4F8E">
        <w:rPr>
          <w:rFonts w:hint="cs"/>
          <w:b/>
          <w:bCs/>
          <w:sz w:val="20"/>
          <w:szCs w:val="20"/>
          <w:rtl/>
        </w:rPr>
        <w:t xml:space="preserve"> וש"ך </w:t>
      </w:r>
      <w:r>
        <w:rPr>
          <w:sz w:val="20"/>
          <w:szCs w:val="20"/>
          <w:rtl/>
        </w:rPr>
        <w:t>–</w:t>
      </w:r>
      <w:r>
        <w:rPr>
          <w:rFonts w:hint="cs"/>
          <w:sz w:val="20"/>
          <w:szCs w:val="20"/>
          <w:rtl/>
        </w:rPr>
        <w:t xml:space="preserve"> ניתן לברך לכתחילה במים צלולים.</w:t>
      </w:r>
      <w:r>
        <w:rPr>
          <w:sz w:val="20"/>
          <w:szCs w:val="20"/>
          <w:rtl/>
        </w:rPr>
        <w:br/>
      </w:r>
      <w:r w:rsidRPr="00A8711E">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הטעם שאין לברך ערומה אינו משום כבוד שכינה, אלא הוא איסור דאורייתא "ולא יראה בך ערוות דבר".</w:t>
      </w:r>
      <w:r>
        <w:rPr>
          <w:sz w:val="20"/>
          <w:szCs w:val="20"/>
          <w:rtl/>
        </w:rPr>
        <w:br/>
      </w:r>
      <w:r>
        <w:rPr>
          <w:rFonts w:hint="cs"/>
          <w:sz w:val="20"/>
          <w:szCs w:val="20"/>
          <w:rtl/>
        </w:rPr>
        <w:t>ואמנם, איסור זה בטל בשעה שאדם עומד בתוך מים צלולים משום שהם נחשבים ככיסוי הערווה.</w:t>
      </w:r>
      <w:r>
        <w:rPr>
          <w:sz w:val="20"/>
          <w:szCs w:val="20"/>
          <w:rtl/>
        </w:rPr>
        <w:br/>
      </w:r>
      <w:r w:rsidRPr="00AC168B">
        <w:rPr>
          <w:rFonts w:hint="cs"/>
          <w:b/>
          <w:bCs/>
          <w:sz w:val="20"/>
          <w:szCs w:val="20"/>
          <w:rtl/>
        </w:rPr>
        <w:t>ראיה</w:t>
      </w:r>
      <w:r>
        <w:rPr>
          <w:rFonts w:hint="cs"/>
          <w:sz w:val="20"/>
          <w:szCs w:val="20"/>
          <w:rtl/>
        </w:rPr>
        <w:t xml:space="preserve"> </w:t>
      </w:r>
      <w:r>
        <w:rPr>
          <w:sz w:val="20"/>
          <w:szCs w:val="20"/>
          <w:rtl/>
        </w:rPr>
        <w:t>–</w:t>
      </w:r>
      <w:r>
        <w:rPr>
          <w:rFonts w:hint="cs"/>
          <w:sz w:val="20"/>
          <w:szCs w:val="20"/>
          <w:rtl/>
        </w:rPr>
        <w:t xml:space="preserve"> גמרא ברכות הנ"ל שהמקשן שואל "</w:t>
      </w:r>
      <w:r w:rsidRPr="00432C7B">
        <w:rPr>
          <w:rFonts w:cs="Arial"/>
          <w:sz w:val="20"/>
          <w:szCs w:val="20"/>
          <w:rtl/>
        </w:rPr>
        <w:t>והרי ל</w:t>
      </w:r>
      <w:r>
        <w:rPr>
          <w:rFonts w:cs="Arial" w:hint="cs"/>
          <w:sz w:val="20"/>
          <w:szCs w:val="20"/>
          <w:rtl/>
        </w:rPr>
        <w:t>י</w:t>
      </w:r>
      <w:r w:rsidRPr="00432C7B">
        <w:rPr>
          <w:rFonts w:cs="Arial"/>
          <w:sz w:val="20"/>
          <w:szCs w:val="20"/>
          <w:rtl/>
        </w:rPr>
        <w:t>בו רואה את הער</w:t>
      </w:r>
      <w:r>
        <w:rPr>
          <w:rFonts w:cs="Arial" w:hint="cs"/>
          <w:sz w:val="20"/>
          <w:szCs w:val="20"/>
          <w:rtl/>
        </w:rPr>
        <w:t>ו</w:t>
      </w:r>
      <w:r w:rsidRPr="00432C7B">
        <w:rPr>
          <w:rFonts w:cs="Arial"/>
          <w:sz w:val="20"/>
          <w:szCs w:val="20"/>
          <w:rtl/>
        </w:rPr>
        <w:t>וה!</w:t>
      </w:r>
      <w:r>
        <w:rPr>
          <w:rFonts w:hint="cs"/>
          <w:sz w:val="20"/>
          <w:szCs w:val="20"/>
          <w:rtl/>
        </w:rPr>
        <w:t>" ומדוע לא הקשה טפי שהאדם ערום ואסור משום "ערוות דבר"? אלא על כורחך שכיסוי ערווה אפילו במים צלולים מהני.</w:t>
      </w:r>
    </w:p>
    <w:p w:rsidR="00620060" w:rsidRDefault="00620060" w:rsidP="00620060">
      <w:pPr>
        <w:rPr>
          <w:sz w:val="20"/>
          <w:szCs w:val="20"/>
          <w:rtl/>
        </w:rPr>
      </w:pPr>
      <w:r w:rsidRPr="00824AC6">
        <w:rPr>
          <w:rFonts w:hint="cs"/>
          <w:b/>
          <w:bCs/>
          <w:sz w:val="20"/>
          <w:szCs w:val="20"/>
          <w:rtl/>
        </w:rPr>
        <w:t>ששבה"ל</w:t>
      </w:r>
      <w:r>
        <w:rPr>
          <w:rFonts w:hint="cs"/>
          <w:sz w:val="20"/>
          <w:szCs w:val="20"/>
          <w:rtl/>
        </w:rPr>
        <w:t xml:space="preserve"> </w:t>
      </w:r>
      <w:r>
        <w:rPr>
          <w:sz w:val="20"/>
          <w:szCs w:val="20"/>
          <w:rtl/>
        </w:rPr>
        <w:t>–</w:t>
      </w:r>
      <w:r>
        <w:rPr>
          <w:rFonts w:hint="cs"/>
          <w:sz w:val="20"/>
          <w:szCs w:val="20"/>
          <w:rtl/>
        </w:rPr>
        <w:t xml:space="preserve"> בזמנינו המקוואות צלולים ואין בהם חול ועפר וממילא אי אפשר לעכור את המים, ויש לסמוך על </w:t>
      </w:r>
      <w:r w:rsidRPr="00824AC6">
        <w:rPr>
          <w:rFonts w:hint="cs"/>
          <w:b/>
          <w:bCs/>
          <w:sz w:val="20"/>
          <w:szCs w:val="20"/>
          <w:rtl/>
        </w:rPr>
        <w:t>הט"ז והש"ך</w:t>
      </w:r>
      <w:r>
        <w:rPr>
          <w:rFonts w:hint="cs"/>
          <w:sz w:val="20"/>
          <w:szCs w:val="20"/>
          <w:rtl/>
        </w:rPr>
        <w:t xml:space="preserve"> שגם מים צלולים נחשבים כיסוי ערווה.</w:t>
      </w:r>
    </w:p>
    <w:p w:rsidR="00620060" w:rsidRPr="00FF4F8E" w:rsidRDefault="00620060" w:rsidP="00620060">
      <w:pPr>
        <w:rPr>
          <w:sz w:val="20"/>
          <w:szCs w:val="20"/>
          <w:rtl/>
        </w:rPr>
      </w:pPr>
      <w:r w:rsidRPr="00711A3F">
        <w:rPr>
          <w:rStyle w:val="10"/>
          <w:rFonts w:hint="cs"/>
          <w:rtl/>
        </w:rPr>
        <w:t>ג.</w:t>
      </w:r>
      <w:r w:rsidRPr="00711A3F">
        <w:rPr>
          <w:rFonts w:hint="cs"/>
          <w:b/>
          <w:bCs/>
          <w:sz w:val="16"/>
          <w:szCs w:val="16"/>
          <w:rtl/>
        </w:rPr>
        <w:t xml:space="preserve"> </w:t>
      </w:r>
      <w:r w:rsidRPr="00711A3F">
        <w:rPr>
          <w:rFonts w:hint="cs"/>
          <w:b/>
          <w:bCs/>
          <w:sz w:val="20"/>
          <w:szCs w:val="20"/>
          <w:rtl/>
        </w:rPr>
        <w:t>ראיית ערווה בשעת הברכה</w:t>
      </w:r>
      <w:r>
        <w:rPr>
          <w:rFonts w:hint="cs"/>
          <w:b/>
          <w:bCs/>
          <w:sz w:val="20"/>
          <w:szCs w:val="20"/>
          <w:rtl/>
        </w:rPr>
        <w:br/>
        <w:t xml:space="preserve">ש"ך </w:t>
      </w:r>
      <w:r>
        <w:rPr>
          <w:sz w:val="20"/>
          <w:szCs w:val="20"/>
          <w:rtl/>
        </w:rPr>
        <w:t>–</w:t>
      </w:r>
      <w:r>
        <w:rPr>
          <w:rFonts w:hint="cs"/>
          <w:sz w:val="20"/>
          <w:szCs w:val="20"/>
          <w:rtl/>
        </w:rPr>
        <w:t xml:space="preserve"> גם כאשר עומדת האשה במים והם נחשבים ככיסוי לעניין גילוי ערווה, עדיין קיימת בעיה מצד שהיא רואה את ערוותה ואסורה לברך. לכן יש לה להסתכל מחוץ למים בשעת הברכה ולברך.</w:t>
      </w:r>
    </w:p>
    <w:p w:rsidR="00620060" w:rsidRPr="007942E1" w:rsidRDefault="00620060" w:rsidP="00620060">
      <w:pPr>
        <w:rPr>
          <w:sz w:val="20"/>
          <w:szCs w:val="20"/>
          <w:rtl/>
        </w:rPr>
      </w:pPr>
      <w:r>
        <w:rPr>
          <w:rFonts w:hint="cs"/>
          <w:sz w:val="20"/>
          <w:szCs w:val="20"/>
          <w:u w:val="single"/>
          <w:rtl/>
        </w:rPr>
        <w:t>אופן הטבילה למעשה</w:t>
      </w:r>
      <w:r>
        <w:rPr>
          <w:sz w:val="20"/>
          <w:szCs w:val="20"/>
          <w:rtl/>
        </w:rPr>
        <w:t xml:space="preserve"> </w:t>
      </w:r>
      <w:r>
        <w:rPr>
          <w:sz w:val="20"/>
          <w:szCs w:val="20"/>
          <w:rtl/>
        </w:rPr>
        <w:br/>
      </w:r>
      <w:r w:rsidRPr="00DF4C5E">
        <w:rPr>
          <w:rFonts w:hint="cs"/>
          <w:b/>
          <w:bCs/>
          <w:sz w:val="20"/>
          <w:szCs w:val="20"/>
          <w:rtl/>
        </w:rPr>
        <w:t>ט"ז</w:t>
      </w:r>
      <w:r>
        <w:rPr>
          <w:rFonts w:hint="cs"/>
          <w:sz w:val="20"/>
          <w:szCs w:val="20"/>
          <w:rtl/>
        </w:rPr>
        <w:t xml:space="preserve"> - לכאורה לפי הנ"ל היה טוב לאשה להיכנס במים עד הלב וכך להפסיק בין הלב לערווה, לחשוש לב"ח הסובר שגם באשה צריך להפסיק. אך למעשה אין לה לנהוג כך משום שיותר צנוע לברך כשכולה בתוך המים, ולכתחילה תחבק זרועותיה להפסיק בין הלב לערווה, אך אין זה מעכב.</w:t>
      </w:r>
      <w:r>
        <w:rPr>
          <w:rStyle w:val="a5"/>
          <w:sz w:val="20"/>
          <w:szCs w:val="20"/>
          <w:rtl/>
        </w:rPr>
        <w:footnoteReference w:id="739"/>
      </w:r>
      <w:r>
        <w:rPr>
          <w:rFonts w:hint="cs"/>
          <w:sz w:val="20"/>
          <w:szCs w:val="20"/>
          <w:rtl/>
        </w:rPr>
        <w:br/>
        <w:t xml:space="preserve">ואע"פ </w:t>
      </w:r>
      <w:r w:rsidRPr="008D2974">
        <w:rPr>
          <w:rFonts w:hint="cs"/>
          <w:b/>
          <w:bCs/>
          <w:sz w:val="20"/>
          <w:szCs w:val="20"/>
          <w:rtl/>
        </w:rPr>
        <w:t>שהרמ"א</w:t>
      </w:r>
      <w:r>
        <w:rPr>
          <w:rFonts w:hint="cs"/>
          <w:sz w:val="20"/>
          <w:szCs w:val="20"/>
          <w:rtl/>
        </w:rPr>
        <w:t xml:space="preserve"> כתב שהמנהג לכסות עצמה בשעת הברכה, כך נהגו בזמנו אך בזמנינו אין כך מנהג הנשים, ואפילו בחיבוק הידיים להפסיק בין הלב לערווה אינן נזהרות, וגם זה אליבא דהלכתא הוא, כאמור.</w:t>
      </w:r>
    </w:p>
    <w:p w:rsidR="00620060" w:rsidRPr="00F3144D" w:rsidRDefault="00620060" w:rsidP="00620060">
      <w:pPr>
        <w:rPr>
          <w:sz w:val="20"/>
          <w:szCs w:val="20"/>
          <w:rtl/>
        </w:rPr>
      </w:pPr>
      <w:r>
        <w:rPr>
          <w:rFonts w:hint="cs"/>
          <w:b/>
          <w:bCs/>
          <w:sz w:val="20"/>
          <w:szCs w:val="20"/>
          <w:rtl/>
        </w:rPr>
        <w:lastRenderedPageBreak/>
        <w:t>דינים נוספים</w:t>
      </w:r>
      <w:r>
        <w:rPr>
          <w:b/>
          <w:bCs/>
          <w:sz w:val="20"/>
          <w:szCs w:val="20"/>
          <w:rtl/>
        </w:rPr>
        <w:br/>
      </w:r>
      <w:r w:rsidRPr="00F3144D">
        <w:rPr>
          <w:rFonts w:hint="cs"/>
          <w:sz w:val="20"/>
          <w:szCs w:val="20"/>
          <w:u w:val="single"/>
          <w:rtl/>
        </w:rPr>
        <w:t>זמן הברכה על הטבילה בשבת (פת"ש)</w:t>
      </w:r>
      <w:r>
        <w:rPr>
          <w:sz w:val="20"/>
          <w:szCs w:val="20"/>
          <w:rtl/>
        </w:rPr>
        <w:br/>
      </w:r>
      <w:r w:rsidRPr="00F3144D">
        <w:rPr>
          <w:rFonts w:hint="cs"/>
          <w:b/>
          <w:bCs/>
          <w:sz w:val="20"/>
          <w:szCs w:val="20"/>
          <w:rtl/>
        </w:rPr>
        <w:t>הר הכרמל</w:t>
      </w:r>
      <w:r w:rsidRPr="00F3144D">
        <w:rPr>
          <w:rFonts w:hint="cs"/>
          <w:sz w:val="20"/>
          <w:szCs w:val="20"/>
          <w:rtl/>
        </w:rPr>
        <w:t xml:space="preserve"> גם הנוהגת כמחבר, בשבת תברך לאחר טבילה או קודם טבילה בלחש בין שפתיה.</w:t>
      </w:r>
      <w:r>
        <w:rPr>
          <w:rFonts w:hint="cs"/>
          <w:rtl/>
        </w:rPr>
        <w:br/>
      </w:r>
      <w:r w:rsidRPr="00F3144D">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היתר הטבילה בשבת הוא משום שנראה כמיקר, אך אם תברך לפני הטבילה מוכח שטובלת לטהרה.</w:t>
      </w:r>
      <w:r>
        <w:rPr>
          <w:rFonts w:hint="cs"/>
          <w:sz w:val="20"/>
          <w:szCs w:val="20"/>
          <w:rtl/>
        </w:rPr>
        <w:br/>
        <w:t xml:space="preserve">דוחה </w:t>
      </w:r>
      <w:r w:rsidRPr="00F3144D">
        <w:rPr>
          <w:rFonts w:hint="cs"/>
          <w:b/>
          <w:bCs/>
          <w:sz w:val="20"/>
          <w:szCs w:val="20"/>
          <w:rtl/>
        </w:rPr>
        <w:t>ששבה"ל</w:t>
      </w:r>
      <w:r>
        <w:rPr>
          <w:rFonts w:hint="cs"/>
          <w:sz w:val="20"/>
          <w:szCs w:val="20"/>
          <w:rtl/>
        </w:rPr>
        <w:t xml:space="preserve"> </w:t>
      </w:r>
      <w:r>
        <w:rPr>
          <w:sz w:val="20"/>
          <w:szCs w:val="20"/>
          <w:rtl/>
        </w:rPr>
        <w:t>–</w:t>
      </w:r>
      <w:r>
        <w:rPr>
          <w:rFonts w:hint="cs"/>
          <w:sz w:val="20"/>
          <w:szCs w:val="20"/>
          <w:rtl/>
        </w:rPr>
        <w:t xml:space="preserve"> סברה זו מובאת כבר במג"א, אלא שהוא כתב זאת לגבי טבילת כלים שמעיקר הדין אסור להטבילם בשבת, ולכן אם מטבילם דרך הערמה יברך לאחר הטבילה כנ"ל. ברם, אדם מותר לכתחילה לטבול בשבת אף ללא טעם שנראה כמיקר. ומלבד זאת לא מהני שתברך לאחר הטבילה, שהרי כל ההכנות לפני הטבילה מוכיחות שהיא טובלת לטהרה.</w:t>
      </w:r>
    </w:p>
    <w:p w:rsidR="00620060" w:rsidRPr="00132A20" w:rsidRDefault="00620060" w:rsidP="00620060">
      <w:pPr>
        <w:rPr>
          <w:sz w:val="20"/>
          <w:szCs w:val="20"/>
          <w:rtl/>
        </w:rPr>
      </w:pPr>
      <w:r w:rsidRPr="00F3144D">
        <w:rPr>
          <w:rFonts w:hint="cs"/>
          <w:sz w:val="20"/>
          <w:szCs w:val="20"/>
          <w:u w:val="single"/>
          <w:rtl/>
        </w:rPr>
        <w:t>ברכה ב</w:t>
      </w:r>
      <w:r>
        <w:rPr>
          <w:rFonts w:hint="cs"/>
          <w:sz w:val="20"/>
          <w:szCs w:val="20"/>
          <w:u w:val="single"/>
          <w:rtl/>
        </w:rPr>
        <w:t>מקוואות שלנו (פת"ש)</w:t>
      </w:r>
      <w:r>
        <w:rPr>
          <w:rFonts w:hint="cs"/>
          <w:sz w:val="20"/>
          <w:szCs w:val="20"/>
          <w:u w:val="single"/>
          <w:rtl/>
        </w:rPr>
        <w:br/>
      </w:r>
      <w:r>
        <w:rPr>
          <w:rFonts w:hint="cs"/>
          <w:sz w:val="20"/>
          <w:szCs w:val="20"/>
          <w:rtl/>
        </w:rPr>
        <w:t>האם מותר לברך במקוואות שלנו?</w:t>
      </w:r>
      <w:r>
        <w:rPr>
          <w:rFonts w:hint="cs"/>
          <w:sz w:val="20"/>
          <w:szCs w:val="20"/>
          <w:rtl/>
        </w:rPr>
        <w:br/>
        <w:t xml:space="preserve">א. </w:t>
      </w:r>
      <w:r w:rsidRPr="00FB028A">
        <w:rPr>
          <w:rFonts w:hint="cs"/>
          <w:b/>
          <w:bCs/>
          <w:sz w:val="20"/>
          <w:szCs w:val="20"/>
          <w:rtl/>
        </w:rPr>
        <w:t>מגן אברהם</w:t>
      </w:r>
      <w:r>
        <w:rPr>
          <w:rFonts w:hint="cs"/>
          <w:sz w:val="20"/>
          <w:szCs w:val="20"/>
          <w:rtl/>
        </w:rPr>
        <w:t xml:space="preserve">, </w:t>
      </w:r>
      <w:r w:rsidRPr="00FB028A">
        <w:rPr>
          <w:rFonts w:hint="cs"/>
          <w:b/>
          <w:bCs/>
          <w:sz w:val="20"/>
          <w:szCs w:val="20"/>
          <w:rtl/>
        </w:rPr>
        <w:t>יעב"ץ וחת"ס</w:t>
      </w:r>
      <w:r>
        <w:rPr>
          <w:rFonts w:hint="cs"/>
          <w:sz w:val="20"/>
          <w:szCs w:val="20"/>
          <w:rtl/>
        </w:rPr>
        <w:t xml:space="preserve"> </w:t>
      </w:r>
      <w:r>
        <w:rPr>
          <w:sz w:val="20"/>
          <w:szCs w:val="20"/>
          <w:rtl/>
        </w:rPr>
        <w:t>–</w:t>
      </w:r>
      <w:r>
        <w:rPr>
          <w:rFonts w:hint="cs"/>
          <w:sz w:val="20"/>
          <w:szCs w:val="20"/>
          <w:rtl/>
        </w:rPr>
        <w:t xml:space="preserve"> לא.</w:t>
      </w:r>
      <w:r>
        <w:rPr>
          <w:sz w:val="20"/>
          <w:szCs w:val="20"/>
          <w:rtl/>
        </w:rPr>
        <w:br/>
      </w:r>
      <w:r w:rsidRPr="00FB028A">
        <w:rPr>
          <w:rFonts w:hint="cs"/>
          <w:b/>
          <w:bCs/>
          <w:sz w:val="20"/>
          <w:szCs w:val="20"/>
          <w:rtl/>
        </w:rPr>
        <w:t xml:space="preserve">טעם </w:t>
      </w:r>
      <w:r>
        <w:rPr>
          <w:sz w:val="20"/>
          <w:szCs w:val="20"/>
          <w:rtl/>
        </w:rPr>
        <w:t>–</w:t>
      </w:r>
      <w:r>
        <w:rPr>
          <w:rFonts w:hint="cs"/>
          <w:sz w:val="20"/>
          <w:szCs w:val="20"/>
          <w:rtl/>
        </w:rPr>
        <w:t xml:space="preserve"> המקוואות שלנו מחוממים וזוהמתם רבה, לכן יש לברך מחוץ למקווה בחדר חיצוני.</w:t>
      </w:r>
      <w:r>
        <w:rPr>
          <w:sz w:val="20"/>
          <w:szCs w:val="20"/>
          <w:rtl/>
        </w:rPr>
        <w:br/>
      </w:r>
      <w:r>
        <w:rPr>
          <w:rFonts w:hint="cs"/>
          <w:sz w:val="20"/>
          <w:szCs w:val="20"/>
          <w:rtl/>
        </w:rPr>
        <w:t xml:space="preserve">ב. </w:t>
      </w:r>
      <w:r w:rsidRPr="00FB028A">
        <w:rPr>
          <w:rFonts w:hint="cs"/>
          <w:b/>
          <w:bCs/>
          <w:sz w:val="20"/>
          <w:szCs w:val="20"/>
          <w:rtl/>
        </w:rPr>
        <w:t>ששבה"ל</w:t>
      </w:r>
      <w:r>
        <w:rPr>
          <w:rFonts w:hint="cs"/>
          <w:sz w:val="20"/>
          <w:szCs w:val="20"/>
          <w:rtl/>
        </w:rPr>
        <w:t xml:space="preserve"> </w:t>
      </w:r>
      <w:r>
        <w:rPr>
          <w:sz w:val="20"/>
          <w:szCs w:val="20"/>
          <w:rtl/>
        </w:rPr>
        <w:t>–</w:t>
      </w:r>
      <w:r>
        <w:rPr>
          <w:rFonts w:hint="cs"/>
          <w:sz w:val="20"/>
          <w:szCs w:val="20"/>
          <w:rtl/>
        </w:rPr>
        <w:t xml:space="preserve"> בימינו מותר לברך.</w:t>
      </w:r>
      <w:r>
        <w:rPr>
          <w:sz w:val="20"/>
          <w:szCs w:val="20"/>
          <w:rtl/>
        </w:rPr>
        <w:br/>
      </w:r>
      <w:r w:rsidRPr="00FB028A">
        <w:rPr>
          <w:rFonts w:hint="cs"/>
          <w:b/>
          <w:bCs/>
          <w:sz w:val="20"/>
          <w:szCs w:val="20"/>
          <w:rtl/>
        </w:rPr>
        <w:t>טעם</w:t>
      </w:r>
      <w:r>
        <w:rPr>
          <w:rFonts w:hint="cs"/>
          <w:sz w:val="20"/>
          <w:szCs w:val="20"/>
          <w:rtl/>
        </w:rPr>
        <w:t xml:space="preserve"> </w:t>
      </w:r>
      <w:r>
        <w:rPr>
          <w:sz w:val="20"/>
          <w:szCs w:val="20"/>
          <w:rtl/>
        </w:rPr>
        <w:t>–</w:t>
      </w:r>
      <w:r>
        <w:rPr>
          <w:rFonts w:hint="cs"/>
          <w:sz w:val="20"/>
          <w:szCs w:val="20"/>
          <w:rtl/>
        </w:rPr>
        <w:t xml:space="preserve"> כך הוא מנהג ישראל. ויש לומר שהמקוואות שלנו אינם מזוהמים ולכן מותר לברך בתוכם.</w:t>
      </w:r>
      <w:r>
        <w:rPr>
          <w:sz w:val="20"/>
          <w:szCs w:val="20"/>
          <w:rtl/>
        </w:rPr>
        <w:br/>
      </w:r>
      <w:r>
        <w:rPr>
          <w:rFonts w:hint="cs"/>
          <w:sz w:val="20"/>
          <w:szCs w:val="20"/>
          <w:rtl/>
        </w:rPr>
        <w:t xml:space="preserve">ואמנם, היתר זה נאמר לגבי ברכת הטבילה בלבד, אך בשאר ברכות </w:t>
      </w:r>
      <w:r w:rsidRPr="00FB028A">
        <w:rPr>
          <w:rFonts w:hint="cs"/>
          <w:sz w:val="18"/>
          <w:szCs w:val="18"/>
          <w:rtl/>
        </w:rPr>
        <w:t xml:space="preserve">(וכן בטבילת כלים) </w:t>
      </w:r>
      <w:r>
        <w:rPr>
          <w:rFonts w:hint="cs"/>
          <w:sz w:val="20"/>
          <w:szCs w:val="20"/>
          <w:rtl/>
        </w:rPr>
        <w:t>אין לסמוך על היתר זה.</w:t>
      </w:r>
      <w:r>
        <w:rPr>
          <w:rFonts w:hint="cs"/>
          <w:sz w:val="20"/>
          <w:szCs w:val="20"/>
          <w:rtl/>
        </w:rPr>
        <w:br/>
      </w:r>
      <w:r w:rsidRPr="00FB028A">
        <w:rPr>
          <w:rFonts w:hint="cs"/>
          <w:sz w:val="18"/>
          <w:szCs w:val="18"/>
          <w:rtl/>
        </w:rPr>
        <w:t>(ולגבי עניית אמן על ברכת הטבילה, פסק שבמקום שיש אמבטיה בחדר הטבילה אין לענות).</w:t>
      </w:r>
    </w:p>
    <w:p w:rsidR="00620060" w:rsidRPr="00400159" w:rsidRDefault="00620060" w:rsidP="00620060">
      <w:pPr>
        <w:rPr>
          <w:sz w:val="20"/>
          <w:szCs w:val="20"/>
        </w:rPr>
      </w:pPr>
      <w:r w:rsidRPr="000419F1">
        <w:rPr>
          <w:rFonts w:hint="cs"/>
          <w:b/>
          <w:bCs/>
          <w:sz w:val="20"/>
          <w:szCs w:val="20"/>
          <w:rtl/>
        </w:rPr>
        <w:t>סיכום</w:t>
      </w:r>
      <w:r>
        <w:rPr>
          <w:sz w:val="20"/>
          <w:szCs w:val="20"/>
          <w:rtl/>
        </w:rPr>
        <w:br/>
      </w:r>
      <w:r>
        <w:rPr>
          <w:rFonts w:hint="cs"/>
          <w:sz w:val="20"/>
          <w:szCs w:val="20"/>
          <w:rtl/>
        </w:rPr>
        <w:t xml:space="preserve">1. </w:t>
      </w:r>
      <w:r w:rsidRPr="000419F1">
        <w:rPr>
          <w:rFonts w:hint="cs"/>
          <w:b/>
          <w:bCs/>
          <w:sz w:val="20"/>
          <w:szCs w:val="20"/>
          <w:rtl/>
        </w:rPr>
        <w:t>גמרא</w:t>
      </w:r>
      <w:r>
        <w:rPr>
          <w:rFonts w:hint="cs"/>
          <w:sz w:val="20"/>
          <w:szCs w:val="20"/>
          <w:rtl/>
        </w:rPr>
        <w:t>. כל המצוות מברך עליהן לפני עשייתן חוץ מהטבילה משום שהטובל אינו ראוי לברך.</w:t>
      </w:r>
      <w:r>
        <w:rPr>
          <w:sz w:val="20"/>
          <w:szCs w:val="20"/>
          <w:rtl/>
        </w:rPr>
        <w:br/>
      </w:r>
      <w:r>
        <w:rPr>
          <w:rFonts w:hint="cs"/>
          <w:sz w:val="20"/>
          <w:szCs w:val="20"/>
          <w:rtl/>
        </w:rPr>
        <w:t xml:space="preserve">2. ברכת טבילת נידה. </w:t>
      </w:r>
      <w:r w:rsidRPr="00400159">
        <w:rPr>
          <w:rFonts w:hint="cs"/>
          <w:b/>
          <w:bCs/>
          <w:sz w:val="20"/>
          <w:szCs w:val="20"/>
          <w:rtl/>
        </w:rPr>
        <w:t>רש"י</w:t>
      </w:r>
      <w:r>
        <w:rPr>
          <w:rFonts w:hint="cs"/>
          <w:sz w:val="20"/>
          <w:szCs w:val="20"/>
          <w:rtl/>
        </w:rPr>
        <w:t>. לאחר טבילה</w:t>
      </w:r>
      <w:r>
        <w:rPr>
          <w:rFonts w:cs="Arial" w:hint="cs"/>
          <w:sz w:val="20"/>
          <w:szCs w:val="20"/>
          <w:rtl/>
        </w:rPr>
        <w:t xml:space="preserve">, וכ"פ </w:t>
      </w:r>
      <w:r w:rsidRPr="00E94E69">
        <w:rPr>
          <w:rFonts w:cs="Arial" w:hint="cs"/>
          <w:b/>
          <w:bCs/>
          <w:sz w:val="20"/>
          <w:szCs w:val="20"/>
          <w:rtl/>
        </w:rPr>
        <w:t>הרמ"א</w:t>
      </w:r>
      <w:r>
        <w:rPr>
          <w:rFonts w:cs="Arial" w:hint="cs"/>
          <w:sz w:val="20"/>
          <w:szCs w:val="20"/>
          <w:rtl/>
        </w:rPr>
        <w:t>.</w:t>
      </w:r>
      <w:r>
        <w:rPr>
          <w:rFonts w:hint="cs"/>
          <w:sz w:val="20"/>
          <w:szCs w:val="20"/>
          <w:rtl/>
        </w:rPr>
        <w:t xml:space="preserve"> </w:t>
      </w:r>
      <w:r w:rsidRPr="00696C0D">
        <w:rPr>
          <w:rFonts w:hint="cs"/>
          <w:b/>
          <w:bCs/>
          <w:sz w:val="20"/>
          <w:szCs w:val="20"/>
          <w:rtl/>
        </w:rPr>
        <w:t>טעם</w:t>
      </w:r>
      <w:r>
        <w:rPr>
          <w:rFonts w:hint="cs"/>
          <w:sz w:val="20"/>
          <w:szCs w:val="20"/>
          <w:rtl/>
        </w:rPr>
        <w:t xml:space="preserve">. משום בעל קרי שאינו ראוי תיקנו בכל הטובלים. </w:t>
      </w:r>
      <w:r w:rsidRPr="00400159">
        <w:rPr>
          <w:rFonts w:hint="cs"/>
          <w:b/>
          <w:bCs/>
          <w:sz w:val="20"/>
          <w:szCs w:val="20"/>
          <w:rtl/>
        </w:rPr>
        <w:t>גאונים</w:t>
      </w:r>
      <w:r>
        <w:rPr>
          <w:rFonts w:hint="cs"/>
          <w:sz w:val="20"/>
          <w:szCs w:val="20"/>
          <w:rtl/>
        </w:rPr>
        <w:t xml:space="preserve">. לפני טבילה. </w:t>
      </w:r>
      <w:r w:rsidRPr="00400159">
        <w:rPr>
          <w:rFonts w:hint="cs"/>
          <w:b/>
          <w:bCs/>
          <w:sz w:val="20"/>
          <w:szCs w:val="20"/>
          <w:rtl/>
        </w:rPr>
        <w:t>טעם</w:t>
      </w:r>
      <w:r>
        <w:rPr>
          <w:rFonts w:hint="cs"/>
          <w:sz w:val="20"/>
          <w:szCs w:val="20"/>
          <w:rtl/>
        </w:rPr>
        <w:t xml:space="preserve">. רק גר אינו יכול לברך לפני טבילה משום שאינו מצווה בכך, וכ"פ </w:t>
      </w:r>
      <w:r w:rsidRPr="00E94E69">
        <w:rPr>
          <w:rFonts w:hint="cs"/>
          <w:b/>
          <w:bCs/>
          <w:sz w:val="20"/>
          <w:szCs w:val="20"/>
          <w:rtl/>
        </w:rPr>
        <w:t>המחבר</w:t>
      </w:r>
      <w:r>
        <w:rPr>
          <w:rFonts w:hint="cs"/>
          <w:sz w:val="20"/>
          <w:szCs w:val="20"/>
          <w:rtl/>
        </w:rPr>
        <w:t>.</w:t>
      </w:r>
      <w:r>
        <w:rPr>
          <w:sz w:val="20"/>
          <w:szCs w:val="20"/>
          <w:rtl/>
        </w:rPr>
        <w:br/>
      </w:r>
      <w:r>
        <w:rPr>
          <w:rFonts w:hint="cs"/>
          <w:sz w:val="20"/>
          <w:szCs w:val="20"/>
          <w:rtl/>
        </w:rPr>
        <w:t xml:space="preserve">3. זמן הברכה לגאונים. </w:t>
      </w:r>
      <w:r w:rsidRPr="000419F1">
        <w:rPr>
          <w:rFonts w:hint="cs"/>
          <w:b/>
          <w:bCs/>
          <w:sz w:val="20"/>
          <w:szCs w:val="20"/>
          <w:rtl/>
        </w:rPr>
        <w:t>רא"ש</w:t>
      </w:r>
      <w:r>
        <w:rPr>
          <w:rFonts w:hint="cs"/>
          <w:sz w:val="20"/>
          <w:szCs w:val="20"/>
          <w:rtl/>
        </w:rPr>
        <w:t xml:space="preserve">. לפני הטבילה בשעה שלבושה. </w:t>
      </w:r>
      <w:r w:rsidRPr="000419F1">
        <w:rPr>
          <w:rFonts w:hint="cs"/>
          <w:b/>
          <w:bCs/>
          <w:sz w:val="20"/>
          <w:szCs w:val="20"/>
          <w:rtl/>
        </w:rPr>
        <w:t>טעם</w:t>
      </w:r>
      <w:r>
        <w:rPr>
          <w:rFonts w:hint="cs"/>
          <w:sz w:val="20"/>
          <w:szCs w:val="20"/>
          <w:rtl/>
        </w:rPr>
        <w:t xml:space="preserve">. אין לברך כשהיא ערומה. </w:t>
      </w:r>
      <w:r w:rsidRPr="000419F1">
        <w:rPr>
          <w:rFonts w:hint="cs"/>
          <w:b/>
          <w:bCs/>
          <w:sz w:val="20"/>
          <w:szCs w:val="20"/>
          <w:rtl/>
        </w:rPr>
        <w:t>ראב"ד</w:t>
      </w:r>
      <w:r>
        <w:rPr>
          <w:rFonts w:hint="cs"/>
          <w:sz w:val="20"/>
          <w:szCs w:val="20"/>
          <w:rtl/>
        </w:rPr>
        <w:t>. אם שכחה ולא בירכה תעכור את המים ותברך.</w:t>
      </w:r>
      <w:r>
        <w:rPr>
          <w:sz w:val="20"/>
          <w:szCs w:val="20"/>
          <w:rtl/>
        </w:rPr>
        <w:br/>
      </w:r>
      <w:r>
        <w:rPr>
          <w:rFonts w:hint="cs"/>
          <w:sz w:val="20"/>
          <w:szCs w:val="20"/>
          <w:rtl/>
        </w:rPr>
        <w:t xml:space="preserve">4. נוסח הברכה. "על הטבילה" </w:t>
      </w:r>
      <w:r w:rsidRPr="009412A5">
        <w:rPr>
          <w:rFonts w:hint="cs"/>
          <w:sz w:val="18"/>
          <w:szCs w:val="18"/>
          <w:rtl/>
        </w:rPr>
        <w:t xml:space="preserve">(ולא </w:t>
      </w:r>
      <w:r>
        <w:rPr>
          <w:rFonts w:hint="cs"/>
          <w:sz w:val="18"/>
          <w:szCs w:val="18"/>
          <w:rtl/>
        </w:rPr>
        <w:t>"</w:t>
      </w:r>
      <w:r w:rsidRPr="009412A5">
        <w:rPr>
          <w:rFonts w:hint="cs"/>
          <w:b/>
          <w:bCs/>
          <w:sz w:val="18"/>
          <w:szCs w:val="18"/>
          <w:rtl/>
        </w:rPr>
        <w:t>ל</w:t>
      </w:r>
      <w:r w:rsidRPr="009412A5">
        <w:rPr>
          <w:rFonts w:hint="cs"/>
          <w:sz w:val="18"/>
          <w:szCs w:val="18"/>
          <w:rtl/>
        </w:rPr>
        <w:t>טבול</w:t>
      </w:r>
      <w:r>
        <w:rPr>
          <w:rFonts w:hint="cs"/>
          <w:sz w:val="18"/>
          <w:szCs w:val="18"/>
          <w:rtl/>
        </w:rPr>
        <w:t>"</w:t>
      </w:r>
      <w:r w:rsidRPr="009412A5">
        <w:rPr>
          <w:rFonts w:hint="cs"/>
          <w:sz w:val="18"/>
          <w:szCs w:val="18"/>
          <w:rtl/>
        </w:rPr>
        <w:t xml:space="preserve">) </w:t>
      </w:r>
      <w:r>
        <w:rPr>
          <w:rFonts w:hint="cs"/>
          <w:sz w:val="20"/>
          <w:szCs w:val="20"/>
          <w:rtl/>
        </w:rPr>
        <w:t>מחמת טבילת גר שברכתו לאחר הטבילה.</w:t>
      </w:r>
      <w:r>
        <w:rPr>
          <w:rFonts w:hint="cs"/>
          <w:sz w:val="20"/>
          <w:szCs w:val="20"/>
          <w:rtl/>
        </w:rPr>
        <w:br/>
        <w:t xml:space="preserve">5. </w:t>
      </w:r>
      <w:r w:rsidRPr="000419F1">
        <w:rPr>
          <w:rFonts w:hint="cs"/>
          <w:b/>
          <w:bCs/>
          <w:sz w:val="20"/>
          <w:szCs w:val="20"/>
          <w:rtl/>
        </w:rPr>
        <w:t>מחבר</w:t>
      </w:r>
      <w:r>
        <w:rPr>
          <w:rFonts w:hint="cs"/>
          <w:sz w:val="20"/>
          <w:szCs w:val="20"/>
          <w:rtl/>
        </w:rPr>
        <w:t xml:space="preserve">. כשעומדת בחלוקה תברך "על הטבילה". אם שכחה, תברך כשמכוסה במים עד צווארה, ואם המים צלולים תעכרם. </w:t>
      </w:r>
      <w:r w:rsidRPr="000419F1">
        <w:rPr>
          <w:rFonts w:hint="cs"/>
          <w:b/>
          <w:bCs/>
          <w:sz w:val="20"/>
          <w:szCs w:val="20"/>
          <w:rtl/>
        </w:rPr>
        <w:t>רמ"א</w:t>
      </w:r>
      <w:r>
        <w:rPr>
          <w:rFonts w:hint="cs"/>
          <w:sz w:val="20"/>
          <w:szCs w:val="20"/>
          <w:rtl/>
        </w:rPr>
        <w:t>. יש לברך לאחר הטבילה בעודה במים ותתכסה בחלוק.</w:t>
      </w:r>
      <w:r>
        <w:rPr>
          <w:sz w:val="20"/>
          <w:szCs w:val="20"/>
          <w:rtl/>
        </w:rPr>
        <w:br/>
      </w:r>
      <w:r>
        <w:rPr>
          <w:rFonts w:hint="cs"/>
          <w:sz w:val="20"/>
          <w:szCs w:val="20"/>
          <w:rtl/>
        </w:rPr>
        <w:t xml:space="preserve">6. האם מותר לאשה לברך בשעה שליבה רואה את ערוותה? </w:t>
      </w:r>
      <w:r w:rsidRPr="000419F1">
        <w:rPr>
          <w:rFonts w:hint="cs"/>
          <w:b/>
          <w:bCs/>
          <w:sz w:val="20"/>
          <w:szCs w:val="20"/>
          <w:rtl/>
        </w:rPr>
        <w:t>או"ח</w:t>
      </w:r>
      <w:r>
        <w:rPr>
          <w:rFonts w:hint="cs"/>
          <w:sz w:val="20"/>
          <w:szCs w:val="20"/>
          <w:rtl/>
        </w:rPr>
        <w:t xml:space="preserve">. כן, וכ"פ </w:t>
      </w:r>
      <w:r w:rsidRPr="000419F1">
        <w:rPr>
          <w:rFonts w:hint="cs"/>
          <w:b/>
          <w:bCs/>
          <w:sz w:val="20"/>
          <w:szCs w:val="20"/>
          <w:rtl/>
        </w:rPr>
        <w:t>הט"ז והש"ך</w:t>
      </w:r>
      <w:r>
        <w:rPr>
          <w:rFonts w:hint="cs"/>
          <w:sz w:val="20"/>
          <w:szCs w:val="20"/>
          <w:rtl/>
        </w:rPr>
        <w:t xml:space="preserve">. </w:t>
      </w:r>
      <w:r w:rsidRPr="000419F1">
        <w:rPr>
          <w:rFonts w:hint="cs"/>
          <w:b/>
          <w:bCs/>
          <w:sz w:val="20"/>
          <w:szCs w:val="20"/>
          <w:rtl/>
        </w:rPr>
        <w:t>ב"ח</w:t>
      </w:r>
      <w:r>
        <w:rPr>
          <w:rFonts w:hint="cs"/>
          <w:sz w:val="20"/>
          <w:szCs w:val="20"/>
          <w:rtl/>
        </w:rPr>
        <w:t xml:space="preserve">. לא. </w:t>
      </w:r>
      <w:r>
        <w:rPr>
          <w:rFonts w:hint="cs"/>
          <w:sz w:val="20"/>
          <w:szCs w:val="20"/>
          <w:rtl/>
        </w:rPr>
        <w:br/>
        <w:t xml:space="preserve">7. כיסוי ערווה בשעת ברכה. </w:t>
      </w:r>
      <w:r>
        <w:rPr>
          <w:rFonts w:hint="cs"/>
          <w:b/>
          <w:bCs/>
          <w:sz w:val="20"/>
          <w:szCs w:val="20"/>
          <w:rtl/>
        </w:rPr>
        <w:t>מחבר ודרישה</w:t>
      </w:r>
      <w:r>
        <w:rPr>
          <w:rFonts w:hint="cs"/>
          <w:sz w:val="20"/>
          <w:szCs w:val="20"/>
          <w:rtl/>
        </w:rPr>
        <w:t xml:space="preserve">. יש לעכור את המים. </w:t>
      </w:r>
      <w:r w:rsidRPr="000419F1">
        <w:rPr>
          <w:rFonts w:hint="cs"/>
          <w:b/>
          <w:bCs/>
          <w:sz w:val="20"/>
          <w:szCs w:val="20"/>
          <w:rtl/>
        </w:rPr>
        <w:t>ט"ז וש"ך</w:t>
      </w:r>
      <w:r>
        <w:rPr>
          <w:rFonts w:hint="cs"/>
          <w:sz w:val="20"/>
          <w:szCs w:val="20"/>
          <w:rtl/>
        </w:rPr>
        <w:t>. גם מים צלולים הם כיסוי.</w:t>
      </w:r>
      <w:r>
        <w:rPr>
          <w:rFonts w:hint="cs"/>
          <w:sz w:val="20"/>
          <w:szCs w:val="20"/>
          <w:rtl/>
        </w:rPr>
        <w:br/>
      </w:r>
      <w:r w:rsidRPr="00824AC6">
        <w:rPr>
          <w:rFonts w:hint="cs"/>
          <w:b/>
          <w:bCs/>
          <w:sz w:val="20"/>
          <w:szCs w:val="20"/>
          <w:rtl/>
        </w:rPr>
        <w:t>ששבה"ל</w:t>
      </w:r>
      <w:r>
        <w:rPr>
          <w:rFonts w:hint="cs"/>
          <w:sz w:val="20"/>
          <w:szCs w:val="20"/>
          <w:rtl/>
        </w:rPr>
        <w:t xml:space="preserve">. בזמנינו אי אפשר לעכור את המים ובוודאי יש לסמוך על </w:t>
      </w:r>
      <w:r w:rsidRPr="00824AC6">
        <w:rPr>
          <w:rFonts w:hint="cs"/>
          <w:b/>
          <w:bCs/>
          <w:sz w:val="20"/>
          <w:szCs w:val="20"/>
          <w:rtl/>
        </w:rPr>
        <w:t>הט"ז והש"ך</w:t>
      </w:r>
      <w:r>
        <w:rPr>
          <w:rFonts w:hint="cs"/>
          <w:sz w:val="20"/>
          <w:szCs w:val="20"/>
          <w:rtl/>
        </w:rPr>
        <w:t xml:space="preserve">. </w:t>
      </w:r>
      <w:r>
        <w:rPr>
          <w:sz w:val="20"/>
          <w:szCs w:val="20"/>
          <w:rtl/>
        </w:rPr>
        <w:br/>
      </w:r>
      <w:r>
        <w:rPr>
          <w:rFonts w:hint="cs"/>
          <w:sz w:val="20"/>
          <w:szCs w:val="20"/>
          <w:rtl/>
        </w:rPr>
        <w:t xml:space="preserve">8. </w:t>
      </w:r>
      <w:r w:rsidRPr="000419F1">
        <w:rPr>
          <w:rFonts w:hint="cs"/>
          <w:b/>
          <w:bCs/>
          <w:sz w:val="20"/>
          <w:szCs w:val="20"/>
          <w:rtl/>
        </w:rPr>
        <w:t>ש"ך</w:t>
      </w:r>
      <w:r>
        <w:rPr>
          <w:rFonts w:hint="cs"/>
          <w:sz w:val="20"/>
          <w:szCs w:val="20"/>
          <w:rtl/>
        </w:rPr>
        <w:t>. אין לראות את הערווה בשעת הברכה, ולכן יש להסתכל מחוץ למים ולברך.</w:t>
      </w:r>
      <w:r>
        <w:rPr>
          <w:rFonts w:hint="cs"/>
          <w:sz w:val="20"/>
          <w:szCs w:val="20"/>
          <w:rtl/>
        </w:rPr>
        <w:br/>
        <w:t xml:space="preserve">9. אופן הטבילה למעשה. </w:t>
      </w:r>
      <w:r w:rsidRPr="000419F1">
        <w:rPr>
          <w:rFonts w:hint="cs"/>
          <w:b/>
          <w:bCs/>
          <w:sz w:val="20"/>
          <w:szCs w:val="20"/>
          <w:rtl/>
        </w:rPr>
        <w:t>ט"ז</w:t>
      </w:r>
      <w:r>
        <w:rPr>
          <w:rFonts w:hint="cs"/>
          <w:sz w:val="20"/>
          <w:szCs w:val="20"/>
          <w:rtl/>
        </w:rPr>
        <w:t>. תיכנס כולה למים ולכתחילה תחבק את גופה מתחת ללב.</w:t>
      </w:r>
      <w:r>
        <w:rPr>
          <w:sz w:val="20"/>
          <w:szCs w:val="20"/>
          <w:rtl/>
        </w:rPr>
        <w:br/>
      </w:r>
      <w:r>
        <w:rPr>
          <w:rFonts w:hint="cs"/>
          <w:sz w:val="20"/>
          <w:szCs w:val="20"/>
          <w:rtl/>
        </w:rPr>
        <w:t xml:space="preserve">10. </w:t>
      </w:r>
      <w:r w:rsidRPr="000419F1">
        <w:rPr>
          <w:rFonts w:hint="cs"/>
          <w:b/>
          <w:bCs/>
          <w:sz w:val="20"/>
          <w:szCs w:val="20"/>
          <w:rtl/>
        </w:rPr>
        <w:t>הר הכרמל</w:t>
      </w:r>
      <w:r>
        <w:rPr>
          <w:rFonts w:hint="cs"/>
          <w:sz w:val="20"/>
          <w:szCs w:val="20"/>
          <w:rtl/>
        </w:rPr>
        <w:t xml:space="preserve">. בשבת, גם הנוהגת כמחבר תברך לאחר טבילה, שתהיה נראית כמקרה. </w:t>
      </w:r>
      <w:r w:rsidRPr="000419F1">
        <w:rPr>
          <w:rFonts w:hint="cs"/>
          <w:b/>
          <w:bCs/>
          <w:sz w:val="20"/>
          <w:szCs w:val="20"/>
          <w:rtl/>
        </w:rPr>
        <w:t>ששבה"ל</w:t>
      </w:r>
      <w:r>
        <w:rPr>
          <w:rFonts w:hint="cs"/>
          <w:sz w:val="20"/>
          <w:szCs w:val="20"/>
          <w:rtl/>
        </w:rPr>
        <w:t xml:space="preserve"> דוחה.</w:t>
      </w:r>
      <w:r>
        <w:rPr>
          <w:rFonts w:hint="cs"/>
          <w:sz w:val="20"/>
          <w:szCs w:val="20"/>
          <w:rtl/>
        </w:rPr>
        <w:br/>
        <w:t xml:space="preserve">11. האם מותר לברך במקוואות שלנו. </w:t>
      </w:r>
      <w:r w:rsidRPr="000419F1">
        <w:rPr>
          <w:rFonts w:hint="cs"/>
          <w:b/>
          <w:bCs/>
          <w:sz w:val="20"/>
          <w:szCs w:val="20"/>
          <w:rtl/>
        </w:rPr>
        <w:t>מג"א</w:t>
      </w:r>
      <w:r>
        <w:rPr>
          <w:rFonts w:hint="cs"/>
          <w:sz w:val="20"/>
          <w:szCs w:val="20"/>
          <w:rtl/>
        </w:rPr>
        <w:t xml:space="preserve">, </w:t>
      </w:r>
      <w:r w:rsidRPr="000419F1">
        <w:rPr>
          <w:rFonts w:hint="cs"/>
          <w:b/>
          <w:bCs/>
          <w:sz w:val="20"/>
          <w:szCs w:val="20"/>
          <w:rtl/>
        </w:rPr>
        <w:t>יעב"ץ וחת"ס</w:t>
      </w:r>
      <w:r>
        <w:rPr>
          <w:rFonts w:hint="cs"/>
          <w:sz w:val="20"/>
          <w:szCs w:val="20"/>
          <w:rtl/>
        </w:rPr>
        <w:t xml:space="preserve">. לא. </w:t>
      </w:r>
      <w:r w:rsidRPr="000419F1">
        <w:rPr>
          <w:rFonts w:hint="cs"/>
          <w:b/>
          <w:bCs/>
          <w:sz w:val="20"/>
          <w:szCs w:val="20"/>
          <w:rtl/>
        </w:rPr>
        <w:t>טעם</w:t>
      </w:r>
      <w:r>
        <w:rPr>
          <w:rFonts w:hint="cs"/>
          <w:sz w:val="20"/>
          <w:szCs w:val="20"/>
          <w:rtl/>
        </w:rPr>
        <w:t xml:space="preserve">. מזוהם. </w:t>
      </w:r>
      <w:r w:rsidRPr="000419F1">
        <w:rPr>
          <w:rFonts w:hint="cs"/>
          <w:b/>
          <w:bCs/>
          <w:sz w:val="20"/>
          <w:szCs w:val="20"/>
          <w:rtl/>
        </w:rPr>
        <w:t>ששבה"ל</w:t>
      </w:r>
      <w:r>
        <w:rPr>
          <w:rFonts w:hint="cs"/>
          <w:sz w:val="20"/>
          <w:szCs w:val="20"/>
          <w:rtl/>
        </w:rPr>
        <w:t xml:space="preserve">. בימינו מותר. </w:t>
      </w:r>
    </w:p>
    <w:p w:rsidR="00620060" w:rsidRPr="00F3144D" w:rsidRDefault="00620060" w:rsidP="00620060">
      <w:pPr>
        <w:rPr>
          <w:sz w:val="20"/>
          <w:szCs w:val="20"/>
          <w:rtl/>
        </w:rPr>
      </w:pPr>
    </w:p>
    <w:p w:rsidR="00620060" w:rsidRPr="00F3144D" w:rsidRDefault="00620060" w:rsidP="00620060">
      <w:pPr>
        <w:rPr>
          <w:rtl/>
        </w:rPr>
      </w:pPr>
    </w:p>
    <w:p w:rsidR="00620060" w:rsidRPr="00F3144D" w:rsidRDefault="00620060" w:rsidP="00620060">
      <w:pPr>
        <w:pStyle w:val="1"/>
        <w:rPr>
          <w:rtl/>
        </w:rPr>
      </w:pPr>
      <w:r>
        <w:rPr>
          <w:rFonts w:hint="cs"/>
          <w:rtl/>
        </w:rPr>
        <w:t>תם ונשלם, שבח לבורא עולם, א' תמוז תשע"ט, שעלבים.</w:t>
      </w:r>
    </w:p>
    <w:p w:rsidR="00620060" w:rsidRPr="00F3144D" w:rsidRDefault="00620060" w:rsidP="00620060">
      <w:pPr>
        <w:rPr>
          <w:rtl/>
        </w:rPr>
      </w:pPr>
    </w:p>
    <w:p w:rsidR="00620060" w:rsidRPr="00F3144D" w:rsidRDefault="00620060" w:rsidP="00620060">
      <w:pPr>
        <w:rPr>
          <w:rtl/>
        </w:rPr>
      </w:pPr>
    </w:p>
    <w:p w:rsidR="00620060" w:rsidRPr="00F3144D" w:rsidRDefault="00620060" w:rsidP="00620060">
      <w:pPr>
        <w:rPr>
          <w:rtl/>
        </w:rPr>
      </w:pPr>
    </w:p>
    <w:p w:rsidR="00620060" w:rsidRDefault="00620060" w:rsidP="00620060">
      <w:pPr>
        <w:rPr>
          <w:sz w:val="20"/>
          <w:szCs w:val="20"/>
          <w:rtl/>
        </w:rPr>
      </w:pPr>
    </w:p>
    <w:p w:rsidR="00620060" w:rsidRDefault="00620060" w:rsidP="00620060">
      <w:pPr>
        <w:rPr>
          <w:sz w:val="20"/>
          <w:szCs w:val="20"/>
          <w:rtl/>
        </w:rPr>
      </w:pPr>
    </w:p>
    <w:p w:rsidR="00620060" w:rsidRPr="00620060" w:rsidRDefault="00620060">
      <w:pPr>
        <w:rPr>
          <w:rtl/>
        </w:rPr>
      </w:pPr>
    </w:p>
    <w:p w:rsidR="00620060" w:rsidRPr="00620060" w:rsidRDefault="00620060"/>
    <w:sectPr w:rsidR="00620060" w:rsidRPr="00620060" w:rsidSect="005953C5">
      <w:headerReference w:type="default" r:id="rId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3327" w:rsidRDefault="00EC3327" w:rsidP="00620060">
      <w:pPr>
        <w:spacing w:after="0" w:line="240" w:lineRule="auto"/>
      </w:pPr>
      <w:r>
        <w:separator/>
      </w:r>
    </w:p>
  </w:endnote>
  <w:endnote w:type="continuationSeparator" w:id="0">
    <w:p w:rsidR="00EC3327" w:rsidRDefault="00EC3327" w:rsidP="00620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David">
    <w:panose1 w:val="020E0502060401010101"/>
    <w:charset w:val="00"/>
    <w:family w:val="swiss"/>
    <w:pitch w:val="variable"/>
    <w:sig w:usb0="00000803" w:usb1="00000000" w:usb2="00000000" w:usb3="00000000" w:csb0="00000021" w:csb1="00000000"/>
  </w:font>
  <w:font w:name="Open Sans Hebrew">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3327" w:rsidRDefault="00EC3327" w:rsidP="00620060">
      <w:pPr>
        <w:spacing w:after="0" w:line="240" w:lineRule="auto"/>
      </w:pPr>
      <w:r>
        <w:separator/>
      </w:r>
    </w:p>
  </w:footnote>
  <w:footnote w:type="continuationSeparator" w:id="0">
    <w:p w:rsidR="00EC3327" w:rsidRDefault="00EC3327" w:rsidP="00620060">
      <w:pPr>
        <w:spacing w:after="0" w:line="240" w:lineRule="auto"/>
      </w:pPr>
      <w:r>
        <w:continuationSeparator/>
      </w:r>
    </w:p>
  </w:footnote>
  <w:footnote w:id="1">
    <w:p w:rsidR="005953C5" w:rsidRDefault="005953C5" w:rsidP="00620060">
      <w:pPr>
        <w:pStyle w:val="a3"/>
        <w:rPr>
          <w:rtl/>
        </w:rPr>
      </w:pPr>
      <w:r w:rsidRPr="00323171">
        <w:rPr>
          <w:rStyle w:val="a5"/>
          <w:sz w:val="18"/>
          <w:szCs w:val="18"/>
        </w:rPr>
        <w:footnoteRef/>
      </w:r>
      <w:r w:rsidRPr="00323171">
        <w:rPr>
          <w:sz w:val="18"/>
          <w:szCs w:val="18"/>
          <w:rtl/>
        </w:rPr>
        <w:t xml:space="preserve"> </w:t>
      </w:r>
      <w:r w:rsidRPr="00323171">
        <w:rPr>
          <w:rFonts w:hint="cs"/>
          <w:sz w:val="18"/>
          <w:szCs w:val="18"/>
          <w:rtl/>
        </w:rPr>
        <w:t>בסיכום סימן זה נעזרתי רבות בספר '</w:t>
      </w:r>
      <w:r w:rsidRPr="00324FF4">
        <w:rPr>
          <w:rFonts w:hint="cs"/>
          <w:b/>
          <w:bCs/>
          <w:sz w:val="18"/>
          <w:szCs w:val="18"/>
          <w:rtl/>
        </w:rPr>
        <w:t>שירת הים'</w:t>
      </w:r>
      <w:r w:rsidRPr="00323171">
        <w:rPr>
          <w:rFonts w:hint="cs"/>
          <w:sz w:val="18"/>
          <w:szCs w:val="18"/>
          <w:rtl/>
        </w:rPr>
        <w:t>.</w:t>
      </w:r>
    </w:p>
  </w:footnote>
  <w:footnote w:id="2">
    <w:p w:rsidR="005953C5" w:rsidRDefault="005953C5" w:rsidP="00620060">
      <w:pPr>
        <w:pStyle w:val="a3"/>
      </w:pPr>
      <w:r w:rsidRPr="008E2E36">
        <w:rPr>
          <w:rStyle w:val="a5"/>
          <w:sz w:val="18"/>
          <w:szCs w:val="18"/>
        </w:rPr>
        <w:footnoteRef/>
      </w:r>
      <w:r w:rsidRPr="008E2E36">
        <w:rPr>
          <w:sz w:val="18"/>
          <w:szCs w:val="18"/>
          <w:rtl/>
        </w:rPr>
        <w:t xml:space="preserve"> </w:t>
      </w:r>
      <w:r w:rsidRPr="008E2E36">
        <w:rPr>
          <w:rFonts w:hint="cs"/>
          <w:sz w:val="18"/>
          <w:szCs w:val="18"/>
          <w:rtl/>
        </w:rPr>
        <w:t>עיקר דין זה מבואר בסימן קצ' סעיף א.</w:t>
      </w:r>
    </w:p>
  </w:footnote>
  <w:footnote w:id="3">
    <w:p w:rsidR="005953C5" w:rsidRDefault="005953C5" w:rsidP="00620060">
      <w:pPr>
        <w:pStyle w:val="a3"/>
        <w:rPr>
          <w:rtl/>
        </w:rPr>
      </w:pPr>
      <w:r w:rsidRPr="00603D59">
        <w:rPr>
          <w:rStyle w:val="a5"/>
          <w:sz w:val="18"/>
          <w:szCs w:val="18"/>
        </w:rPr>
        <w:footnoteRef/>
      </w:r>
      <w:r w:rsidRPr="00603D59">
        <w:rPr>
          <w:sz w:val="18"/>
          <w:szCs w:val="18"/>
          <w:rtl/>
        </w:rPr>
        <w:t xml:space="preserve"> </w:t>
      </w:r>
      <w:r w:rsidRPr="00603D59">
        <w:rPr>
          <w:rFonts w:hint="cs"/>
          <w:sz w:val="18"/>
          <w:szCs w:val="18"/>
          <w:rtl/>
        </w:rPr>
        <w:t xml:space="preserve">ובהמשך </w:t>
      </w:r>
      <w:r w:rsidRPr="00324FF4">
        <w:rPr>
          <w:rFonts w:hint="cs"/>
          <w:b/>
          <w:bCs/>
          <w:sz w:val="18"/>
          <w:szCs w:val="18"/>
          <w:rtl/>
        </w:rPr>
        <w:t>הגמרא</w:t>
      </w:r>
      <w:r w:rsidRPr="00603D59">
        <w:rPr>
          <w:rFonts w:hint="cs"/>
          <w:sz w:val="18"/>
          <w:szCs w:val="18"/>
          <w:rtl/>
        </w:rPr>
        <w:t xml:space="preserve"> שם נאמר: "</w:t>
      </w:r>
      <w:r w:rsidRPr="00603D59">
        <w:rPr>
          <w:rFonts w:cs="Arial" w:hint="cs"/>
          <w:sz w:val="18"/>
          <w:szCs w:val="18"/>
          <w:rtl/>
        </w:rPr>
        <w:t>האי</w:t>
      </w:r>
      <w:r w:rsidRPr="00603D59">
        <w:rPr>
          <w:rFonts w:cs="Arial"/>
          <w:sz w:val="18"/>
          <w:szCs w:val="18"/>
          <w:rtl/>
        </w:rPr>
        <w:t xml:space="preserve"> </w:t>
      </w:r>
      <w:r w:rsidRPr="00603D59">
        <w:rPr>
          <w:rFonts w:cs="Arial" w:hint="cs"/>
          <w:sz w:val="18"/>
          <w:szCs w:val="18"/>
          <w:rtl/>
        </w:rPr>
        <w:t>בבשרה</w:t>
      </w:r>
      <w:r w:rsidRPr="00603D59">
        <w:rPr>
          <w:rFonts w:cs="Arial"/>
          <w:sz w:val="18"/>
          <w:szCs w:val="18"/>
          <w:rtl/>
        </w:rPr>
        <w:t xml:space="preserve"> - </w:t>
      </w:r>
      <w:r w:rsidRPr="00603D59">
        <w:rPr>
          <w:rFonts w:cs="Arial" w:hint="cs"/>
          <w:sz w:val="18"/>
          <w:szCs w:val="18"/>
          <w:rtl/>
        </w:rPr>
        <w:t>מיבעי</w:t>
      </w:r>
      <w:r w:rsidRPr="00603D59">
        <w:rPr>
          <w:rFonts w:cs="Arial"/>
          <w:sz w:val="18"/>
          <w:szCs w:val="18"/>
          <w:rtl/>
        </w:rPr>
        <w:t xml:space="preserve"> </w:t>
      </w:r>
      <w:r w:rsidRPr="00603D59">
        <w:rPr>
          <w:rFonts w:cs="Arial" w:hint="cs"/>
          <w:sz w:val="18"/>
          <w:szCs w:val="18"/>
          <w:rtl/>
        </w:rPr>
        <w:t>ליה</w:t>
      </w:r>
      <w:r w:rsidRPr="00603D59">
        <w:rPr>
          <w:rFonts w:cs="Arial"/>
          <w:sz w:val="18"/>
          <w:szCs w:val="18"/>
          <w:rtl/>
        </w:rPr>
        <w:t xml:space="preserve"> </w:t>
      </w:r>
      <w:r w:rsidRPr="00603D59">
        <w:rPr>
          <w:rFonts w:cs="Arial" w:hint="cs"/>
          <w:sz w:val="18"/>
          <w:szCs w:val="18"/>
          <w:rtl/>
        </w:rPr>
        <w:t>שמטמאה</w:t>
      </w:r>
      <w:r w:rsidRPr="00603D59">
        <w:rPr>
          <w:rFonts w:cs="Arial"/>
          <w:sz w:val="18"/>
          <w:szCs w:val="18"/>
          <w:rtl/>
        </w:rPr>
        <w:t xml:space="preserve"> </w:t>
      </w:r>
      <w:r w:rsidRPr="00603D59">
        <w:rPr>
          <w:rFonts w:cs="Arial" w:hint="cs"/>
          <w:sz w:val="18"/>
          <w:szCs w:val="18"/>
          <w:rtl/>
        </w:rPr>
        <w:t>בפנים</w:t>
      </w:r>
      <w:r w:rsidRPr="00603D59">
        <w:rPr>
          <w:rFonts w:cs="Arial"/>
          <w:sz w:val="18"/>
          <w:szCs w:val="18"/>
          <w:rtl/>
        </w:rPr>
        <w:t xml:space="preserve"> </w:t>
      </w:r>
      <w:r w:rsidRPr="00603D59">
        <w:rPr>
          <w:rFonts w:cs="Arial" w:hint="cs"/>
          <w:sz w:val="18"/>
          <w:szCs w:val="18"/>
          <w:rtl/>
        </w:rPr>
        <w:t>כבחוץ</w:t>
      </w:r>
      <w:r w:rsidRPr="00603D59">
        <w:rPr>
          <w:rFonts w:cs="Arial"/>
          <w:sz w:val="18"/>
          <w:szCs w:val="18"/>
          <w:rtl/>
        </w:rPr>
        <w:t xml:space="preserve">! </w:t>
      </w:r>
      <w:r w:rsidRPr="00603D59">
        <w:rPr>
          <w:rFonts w:cs="Arial" w:hint="cs"/>
          <w:sz w:val="18"/>
          <w:szCs w:val="18"/>
          <w:rtl/>
        </w:rPr>
        <w:t>אם כן</w:t>
      </w:r>
      <w:r w:rsidRPr="00603D59">
        <w:rPr>
          <w:rFonts w:cs="Arial"/>
          <w:sz w:val="18"/>
          <w:szCs w:val="18"/>
          <w:rtl/>
        </w:rPr>
        <w:t xml:space="preserve"> </w:t>
      </w:r>
      <w:r w:rsidRPr="00603D59">
        <w:rPr>
          <w:rFonts w:cs="Arial" w:hint="cs"/>
          <w:sz w:val="18"/>
          <w:szCs w:val="18"/>
          <w:rtl/>
        </w:rPr>
        <w:t>לימא</w:t>
      </w:r>
      <w:r w:rsidRPr="00603D59">
        <w:rPr>
          <w:rFonts w:cs="Arial"/>
          <w:sz w:val="18"/>
          <w:szCs w:val="18"/>
          <w:rtl/>
        </w:rPr>
        <w:t xml:space="preserve"> </w:t>
      </w:r>
      <w:r w:rsidRPr="00603D59">
        <w:rPr>
          <w:rFonts w:cs="Arial" w:hint="cs"/>
          <w:sz w:val="18"/>
          <w:szCs w:val="18"/>
          <w:rtl/>
        </w:rPr>
        <w:t>קרא</w:t>
      </w:r>
      <w:r w:rsidRPr="00603D59">
        <w:rPr>
          <w:rFonts w:cs="Arial"/>
          <w:sz w:val="18"/>
          <w:szCs w:val="18"/>
          <w:rtl/>
        </w:rPr>
        <w:t xml:space="preserve"> </w:t>
      </w:r>
      <w:r w:rsidRPr="00603D59">
        <w:rPr>
          <w:rFonts w:cs="Arial" w:hint="cs"/>
          <w:sz w:val="18"/>
          <w:szCs w:val="18"/>
          <w:rtl/>
        </w:rPr>
        <w:t>בבשר</w:t>
      </w:r>
      <w:r w:rsidRPr="00603D59">
        <w:rPr>
          <w:rFonts w:cs="Arial"/>
          <w:sz w:val="18"/>
          <w:szCs w:val="18"/>
          <w:rtl/>
        </w:rPr>
        <w:t xml:space="preserve">, </w:t>
      </w:r>
      <w:r w:rsidRPr="00603D59">
        <w:rPr>
          <w:rFonts w:cs="Arial" w:hint="cs"/>
          <w:sz w:val="18"/>
          <w:szCs w:val="18"/>
          <w:rtl/>
        </w:rPr>
        <w:t>מאי</w:t>
      </w:r>
      <w:r w:rsidRPr="00603D59">
        <w:rPr>
          <w:rFonts w:cs="Arial"/>
          <w:sz w:val="18"/>
          <w:szCs w:val="18"/>
          <w:rtl/>
        </w:rPr>
        <w:t xml:space="preserve"> </w:t>
      </w:r>
      <w:r w:rsidRPr="00603D59">
        <w:rPr>
          <w:rFonts w:cs="Arial" w:hint="cs"/>
          <w:sz w:val="18"/>
          <w:szCs w:val="18"/>
          <w:rtl/>
        </w:rPr>
        <w:t>בבשרה</w:t>
      </w:r>
      <w:r w:rsidRPr="00603D59">
        <w:rPr>
          <w:rFonts w:cs="Arial"/>
          <w:sz w:val="18"/>
          <w:szCs w:val="18"/>
          <w:rtl/>
        </w:rPr>
        <w:t xml:space="preserve"> - </w:t>
      </w:r>
      <w:r w:rsidRPr="00603D59">
        <w:rPr>
          <w:rFonts w:cs="Arial" w:hint="cs"/>
          <w:sz w:val="18"/>
          <w:szCs w:val="18"/>
          <w:rtl/>
        </w:rPr>
        <w:t>שמע</w:t>
      </w:r>
      <w:r w:rsidRPr="00603D59">
        <w:rPr>
          <w:rFonts w:cs="Arial"/>
          <w:sz w:val="18"/>
          <w:szCs w:val="18"/>
          <w:rtl/>
        </w:rPr>
        <w:t xml:space="preserve"> </w:t>
      </w:r>
      <w:r w:rsidRPr="00603D59">
        <w:rPr>
          <w:rFonts w:cs="Arial" w:hint="cs"/>
          <w:sz w:val="18"/>
          <w:szCs w:val="18"/>
          <w:rtl/>
        </w:rPr>
        <w:t>מינה</w:t>
      </w:r>
      <w:r w:rsidRPr="00603D59">
        <w:rPr>
          <w:rFonts w:cs="Arial"/>
          <w:sz w:val="18"/>
          <w:szCs w:val="18"/>
          <w:rtl/>
        </w:rPr>
        <w:t xml:space="preserve">: </w:t>
      </w:r>
      <w:r w:rsidRPr="00603D59">
        <w:rPr>
          <w:rFonts w:cs="Arial" w:hint="cs"/>
          <w:sz w:val="18"/>
          <w:szCs w:val="18"/>
          <w:rtl/>
        </w:rPr>
        <w:t>עד</w:t>
      </w:r>
      <w:r w:rsidRPr="00603D59">
        <w:rPr>
          <w:rFonts w:cs="Arial"/>
          <w:sz w:val="18"/>
          <w:szCs w:val="18"/>
          <w:rtl/>
        </w:rPr>
        <w:t xml:space="preserve"> </w:t>
      </w:r>
      <w:r w:rsidRPr="00603D59">
        <w:rPr>
          <w:rFonts w:cs="Arial" w:hint="cs"/>
          <w:sz w:val="18"/>
          <w:szCs w:val="18"/>
          <w:rtl/>
        </w:rPr>
        <w:t>שתרגיש</w:t>
      </w:r>
      <w:r w:rsidRPr="00603D59">
        <w:rPr>
          <w:rFonts w:cs="Arial"/>
          <w:sz w:val="18"/>
          <w:szCs w:val="18"/>
          <w:rtl/>
        </w:rPr>
        <w:t xml:space="preserve"> </w:t>
      </w:r>
      <w:r w:rsidRPr="00603D59">
        <w:rPr>
          <w:rFonts w:cs="Arial" w:hint="cs"/>
          <w:sz w:val="18"/>
          <w:szCs w:val="18"/>
          <w:rtl/>
        </w:rPr>
        <w:t>בבשרה</w:t>
      </w:r>
      <w:r w:rsidRPr="00603D59">
        <w:rPr>
          <w:rFonts w:cs="Arial"/>
          <w:sz w:val="18"/>
          <w:szCs w:val="18"/>
          <w:rtl/>
        </w:rPr>
        <w:t>.</w:t>
      </w:r>
      <w:r w:rsidRPr="00603D59">
        <w:rPr>
          <w:rFonts w:cs="Arial" w:hint="cs"/>
          <w:sz w:val="18"/>
          <w:szCs w:val="18"/>
          <w:rtl/>
        </w:rPr>
        <w:t>"</w:t>
      </w:r>
      <w:r>
        <w:rPr>
          <w:rFonts w:hint="cs"/>
          <w:rtl/>
        </w:rPr>
        <w:br/>
      </w:r>
      <w:r w:rsidRPr="00324FF4">
        <w:rPr>
          <w:rFonts w:hint="cs"/>
          <w:sz w:val="18"/>
          <w:szCs w:val="18"/>
          <w:rtl/>
        </w:rPr>
        <w:t xml:space="preserve">ואם כן, למדנו מפסוק זה שני לימודים </w:t>
      </w:r>
      <w:r w:rsidRPr="00324FF4">
        <w:rPr>
          <w:sz w:val="18"/>
          <w:szCs w:val="18"/>
          <w:rtl/>
        </w:rPr>
        <w:t>–</w:t>
      </w:r>
      <w:r w:rsidRPr="00324FF4">
        <w:rPr>
          <w:rFonts w:hint="cs"/>
          <w:sz w:val="18"/>
          <w:szCs w:val="18"/>
          <w:rtl/>
        </w:rPr>
        <w:t xml:space="preserve"> א. מטמאה בפנים כבחוץ. ב. מטמאה בהרגשה בלבד.</w:t>
      </w:r>
    </w:p>
  </w:footnote>
  <w:footnote w:id="4">
    <w:p w:rsidR="005953C5" w:rsidRPr="009676B4" w:rsidRDefault="005953C5" w:rsidP="00620060">
      <w:pPr>
        <w:pStyle w:val="a3"/>
        <w:rPr>
          <w:sz w:val="18"/>
          <w:szCs w:val="18"/>
        </w:rPr>
      </w:pPr>
      <w:r w:rsidRPr="009676B4">
        <w:rPr>
          <w:rStyle w:val="a5"/>
          <w:sz w:val="18"/>
          <w:szCs w:val="18"/>
        </w:rPr>
        <w:footnoteRef/>
      </w:r>
      <w:r w:rsidRPr="009676B4">
        <w:rPr>
          <w:sz w:val="18"/>
          <w:szCs w:val="18"/>
          <w:rtl/>
        </w:rPr>
        <w:t xml:space="preserve"> </w:t>
      </w:r>
      <w:r w:rsidRPr="00324FF4">
        <w:rPr>
          <w:rFonts w:hint="cs"/>
          <w:b/>
          <w:bCs/>
          <w:sz w:val="18"/>
          <w:szCs w:val="18"/>
          <w:rtl/>
        </w:rPr>
        <w:t>בגמרא</w:t>
      </w:r>
      <w:r w:rsidRPr="009676B4">
        <w:rPr>
          <w:rFonts w:hint="cs"/>
          <w:sz w:val="18"/>
          <w:szCs w:val="18"/>
          <w:rtl/>
        </w:rPr>
        <w:t xml:space="preserve"> נידה (עב.) נאמר כך: "</w:t>
      </w:r>
      <w:r w:rsidRPr="009676B4">
        <w:rPr>
          <w:rFonts w:cs="Arial" w:hint="cs"/>
          <w:sz w:val="18"/>
          <w:szCs w:val="18"/>
          <w:rtl/>
        </w:rPr>
        <w:t>ושוין</w:t>
      </w:r>
      <w:r w:rsidRPr="009676B4">
        <w:rPr>
          <w:rFonts w:cs="Arial"/>
          <w:sz w:val="18"/>
          <w:szCs w:val="18"/>
          <w:rtl/>
        </w:rPr>
        <w:t xml:space="preserve"> </w:t>
      </w:r>
      <w:r w:rsidRPr="009676B4">
        <w:rPr>
          <w:rFonts w:cs="Arial" w:hint="cs"/>
          <w:sz w:val="16"/>
          <w:szCs w:val="16"/>
          <w:rtl/>
        </w:rPr>
        <w:t xml:space="preserve">(ב"ש וב"ה) </w:t>
      </w:r>
      <w:r w:rsidRPr="009676B4">
        <w:rPr>
          <w:rFonts w:cs="Arial" w:hint="cs"/>
          <w:sz w:val="18"/>
          <w:szCs w:val="18"/>
          <w:rtl/>
        </w:rPr>
        <w:t>בטובלת</w:t>
      </w:r>
      <w:r w:rsidRPr="009676B4">
        <w:rPr>
          <w:rFonts w:cs="Arial"/>
          <w:sz w:val="18"/>
          <w:szCs w:val="18"/>
          <w:rtl/>
        </w:rPr>
        <w:t xml:space="preserve"> </w:t>
      </w:r>
      <w:r w:rsidRPr="009676B4">
        <w:rPr>
          <w:rFonts w:cs="Arial" w:hint="cs"/>
          <w:sz w:val="18"/>
          <w:szCs w:val="18"/>
          <w:rtl/>
        </w:rPr>
        <w:t>לילה</w:t>
      </w:r>
      <w:r w:rsidRPr="009676B4">
        <w:rPr>
          <w:rFonts w:cs="Arial"/>
          <w:sz w:val="18"/>
          <w:szCs w:val="18"/>
          <w:rtl/>
        </w:rPr>
        <w:t xml:space="preserve"> </w:t>
      </w:r>
      <w:r w:rsidRPr="009676B4">
        <w:rPr>
          <w:rFonts w:cs="Arial" w:hint="cs"/>
          <w:sz w:val="18"/>
          <w:szCs w:val="18"/>
          <w:rtl/>
        </w:rPr>
        <w:t>לזבה</w:t>
      </w:r>
      <w:r w:rsidRPr="009676B4">
        <w:rPr>
          <w:rFonts w:cs="Arial"/>
          <w:sz w:val="18"/>
          <w:szCs w:val="18"/>
          <w:rtl/>
        </w:rPr>
        <w:t xml:space="preserve"> - </w:t>
      </w:r>
      <w:r w:rsidRPr="009676B4">
        <w:rPr>
          <w:rFonts w:cs="Arial" w:hint="cs"/>
          <w:sz w:val="18"/>
          <w:szCs w:val="18"/>
          <w:rtl/>
        </w:rPr>
        <w:t>שאינה</w:t>
      </w:r>
      <w:r w:rsidRPr="009676B4">
        <w:rPr>
          <w:rFonts w:cs="Arial"/>
          <w:sz w:val="18"/>
          <w:szCs w:val="18"/>
          <w:rtl/>
        </w:rPr>
        <w:t xml:space="preserve"> </w:t>
      </w:r>
      <w:r w:rsidRPr="009676B4">
        <w:rPr>
          <w:rFonts w:cs="Arial" w:hint="cs"/>
          <w:sz w:val="18"/>
          <w:szCs w:val="18"/>
          <w:rtl/>
        </w:rPr>
        <w:t>טבילה".</w:t>
      </w:r>
      <w:r w:rsidRPr="009676B4">
        <w:rPr>
          <w:rFonts w:cs="Arial"/>
          <w:sz w:val="18"/>
          <w:szCs w:val="18"/>
          <w:rtl/>
        </w:rPr>
        <w:br/>
      </w:r>
      <w:r w:rsidRPr="009676B4">
        <w:rPr>
          <w:rFonts w:cs="Arial" w:hint="cs"/>
          <w:sz w:val="18"/>
          <w:szCs w:val="18"/>
          <w:rtl/>
        </w:rPr>
        <w:t xml:space="preserve">ומבאר </w:t>
      </w:r>
      <w:r w:rsidRPr="008D6987">
        <w:rPr>
          <w:rFonts w:cs="Arial" w:hint="cs"/>
          <w:b/>
          <w:bCs/>
          <w:sz w:val="18"/>
          <w:szCs w:val="18"/>
          <w:rtl/>
        </w:rPr>
        <w:t>הבית יוסף</w:t>
      </w:r>
      <w:r w:rsidRPr="009676B4">
        <w:rPr>
          <w:rFonts w:cs="Arial" w:hint="cs"/>
          <w:sz w:val="18"/>
          <w:szCs w:val="18"/>
          <w:rtl/>
        </w:rPr>
        <w:t xml:space="preserve"> </w:t>
      </w:r>
      <w:r w:rsidRPr="009676B4">
        <w:rPr>
          <w:rFonts w:cs="Arial"/>
          <w:sz w:val="18"/>
          <w:szCs w:val="18"/>
          <w:rtl/>
        </w:rPr>
        <w:t>–</w:t>
      </w:r>
      <w:r w:rsidRPr="009676B4">
        <w:rPr>
          <w:rFonts w:cs="Arial" w:hint="cs"/>
          <w:sz w:val="18"/>
          <w:szCs w:val="18"/>
          <w:rtl/>
        </w:rPr>
        <w:t xml:space="preserve"> כוונת הברייתא שטבילת זבה בליל השימור אינה כלום, אך אם טבלה בלילה לאחר ששמרה יום בנקיות, ודאי טבילתה מהני, דלא גרעה הטבילה מחמת שהמתינה עד הלילה.</w:t>
      </w:r>
      <w:r>
        <w:rPr>
          <w:sz w:val="18"/>
          <w:szCs w:val="18"/>
          <w:rtl/>
        </w:rPr>
        <w:br/>
      </w:r>
      <w:r>
        <w:rPr>
          <w:rFonts w:hint="cs"/>
          <w:sz w:val="18"/>
          <w:szCs w:val="18"/>
          <w:rtl/>
        </w:rPr>
        <w:t>וכן הדין בזבה גדולה, שאסורה לטבול ליל שביעי, אבל לאחר ששמרה מקצת יום שביעי בנקיות, טובלת בין ביום ובין בלילה.</w:t>
      </w:r>
    </w:p>
  </w:footnote>
  <w:footnote w:id="5">
    <w:p w:rsidR="005953C5" w:rsidRDefault="005953C5" w:rsidP="00620060">
      <w:pPr>
        <w:pStyle w:val="a3"/>
        <w:rPr>
          <w:rtl/>
        </w:rPr>
      </w:pPr>
      <w:r w:rsidRPr="009676B4">
        <w:rPr>
          <w:rStyle w:val="a5"/>
          <w:sz w:val="18"/>
          <w:szCs w:val="18"/>
        </w:rPr>
        <w:footnoteRef/>
      </w:r>
      <w:r w:rsidRPr="009676B4">
        <w:rPr>
          <w:sz w:val="18"/>
          <w:szCs w:val="18"/>
          <w:rtl/>
        </w:rPr>
        <w:t xml:space="preserve"> </w:t>
      </w:r>
      <w:r w:rsidRPr="009676B4">
        <w:rPr>
          <w:rFonts w:hint="cs"/>
          <w:sz w:val="18"/>
          <w:szCs w:val="18"/>
          <w:rtl/>
        </w:rPr>
        <w:t xml:space="preserve">דוגמה </w:t>
      </w:r>
      <w:r w:rsidRPr="009676B4">
        <w:rPr>
          <w:sz w:val="18"/>
          <w:szCs w:val="18"/>
          <w:rtl/>
        </w:rPr>
        <w:t>–</w:t>
      </w:r>
      <w:r w:rsidRPr="009676B4">
        <w:rPr>
          <w:rFonts w:hint="cs"/>
          <w:sz w:val="18"/>
          <w:szCs w:val="18"/>
          <w:rtl/>
        </w:rPr>
        <w:t xml:space="preserve"> זבה שראתה ביום תשיעי, עשירי ואחד עשר;</w:t>
      </w:r>
      <w:r w:rsidRPr="009676B4">
        <w:rPr>
          <w:sz w:val="18"/>
          <w:szCs w:val="18"/>
          <w:rtl/>
        </w:rPr>
        <w:br/>
      </w:r>
      <w:r w:rsidRPr="00324FF4">
        <w:rPr>
          <w:rFonts w:hint="cs"/>
          <w:b/>
          <w:bCs/>
          <w:sz w:val="18"/>
          <w:szCs w:val="18"/>
          <w:rtl/>
        </w:rPr>
        <w:t xml:space="preserve"> לרמב"ם</w:t>
      </w:r>
      <w:r w:rsidRPr="009676B4">
        <w:rPr>
          <w:rFonts w:hint="cs"/>
          <w:sz w:val="18"/>
          <w:szCs w:val="18"/>
          <w:rtl/>
        </w:rPr>
        <w:t xml:space="preserve"> </w:t>
      </w:r>
      <w:r w:rsidRPr="009676B4">
        <w:rPr>
          <w:sz w:val="18"/>
          <w:szCs w:val="18"/>
          <w:rtl/>
        </w:rPr>
        <w:t>–</w:t>
      </w:r>
      <w:r w:rsidRPr="009676B4">
        <w:rPr>
          <w:rFonts w:hint="cs"/>
          <w:sz w:val="18"/>
          <w:szCs w:val="18"/>
          <w:rtl/>
        </w:rPr>
        <w:t xml:space="preserve"> מונה שבעה נקיים בימי נידתה, ולאחר טבילתה בליל שמיני הרי חזרה לימי זיבתה.</w:t>
      </w:r>
      <w:r w:rsidRPr="009676B4">
        <w:rPr>
          <w:sz w:val="18"/>
          <w:szCs w:val="18"/>
          <w:rtl/>
        </w:rPr>
        <w:br/>
      </w:r>
      <w:r w:rsidRPr="00324FF4">
        <w:rPr>
          <w:rFonts w:hint="cs"/>
          <w:b/>
          <w:bCs/>
          <w:sz w:val="18"/>
          <w:szCs w:val="18"/>
          <w:rtl/>
        </w:rPr>
        <w:t>לרש"י</w:t>
      </w:r>
      <w:r w:rsidRPr="009676B4">
        <w:rPr>
          <w:rFonts w:hint="cs"/>
          <w:sz w:val="18"/>
          <w:szCs w:val="18"/>
          <w:rtl/>
        </w:rPr>
        <w:t xml:space="preserve"> </w:t>
      </w:r>
      <w:r w:rsidRPr="009676B4">
        <w:rPr>
          <w:sz w:val="18"/>
          <w:szCs w:val="18"/>
          <w:rtl/>
        </w:rPr>
        <w:t>–</w:t>
      </w:r>
      <w:r w:rsidRPr="009676B4">
        <w:rPr>
          <w:rFonts w:hint="cs"/>
          <w:sz w:val="18"/>
          <w:szCs w:val="18"/>
          <w:rtl/>
        </w:rPr>
        <w:t xml:space="preserve"> מונה שבעה נקיים, ולאחר טבילתה בליל שמיני חוזרת לימי נידתה.</w:t>
      </w:r>
    </w:p>
  </w:footnote>
  <w:footnote w:id="6">
    <w:p w:rsidR="005953C5" w:rsidRDefault="005953C5" w:rsidP="00620060">
      <w:pPr>
        <w:pStyle w:val="a3"/>
        <w:rPr>
          <w:rtl/>
        </w:rPr>
      </w:pPr>
      <w:r w:rsidRPr="00E270C2">
        <w:rPr>
          <w:rStyle w:val="a5"/>
          <w:sz w:val="18"/>
          <w:szCs w:val="18"/>
        </w:rPr>
        <w:footnoteRef/>
      </w:r>
      <w:r w:rsidRPr="00E270C2">
        <w:rPr>
          <w:sz w:val="18"/>
          <w:szCs w:val="18"/>
          <w:rtl/>
        </w:rPr>
        <w:t xml:space="preserve"> </w:t>
      </w:r>
      <w:r w:rsidRPr="00396726">
        <w:rPr>
          <w:rFonts w:hint="cs"/>
          <w:b/>
          <w:bCs/>
          <w:sz w:val="18"/>
          <w:szCs w:val="18"/>
          <w:rtl/>
        </w:rPr>
        <w:t>בית יוסף</w:t>
      </w:r>
      <w:r w:rsidRPr="00E270C2">
        <w:rPr>
          <w:rFonts w:hint="cs"/>
          <w:sz w:val="18"/>
          <w:szCs w:val="18"/>
          <w:rtl/>
        </w:rPr>
        <w:t xml:space="preserve"> </w:t>
      </w:r>
      <w:r w:rsidRPr="00E270C2">
        <w:rPr>
          <w:sz w:val="18"/>
          <w:szCs w:val="18"/>
          <w:rtl/>
        </w:rPr>
        <w:t>–</w:t>
      </w:r>
      <w:r w:rsidRPr="00E270C2">
        <w:rPr>
          <w:rFonts w:hint="cs"/>
          <w:sz w:val="18"/>
          <w:szCs w:val="18"/>
          <w:rtl/>
        </w:rPr>
        <w:t xml:space="preserve"> משמע בשיטת רש"י שאיסור הטבילה ביום נאמר אף לגבי זבה קטנה, והטעם כנ"ל.</w:t>
      </w:r>
    </w:p>
  </w:footnote>
  <w:footnote w:id="7">
    <w:p w:rsidR="005953C5" w:rsidRDefault="005953C5" w:rsidP="00620060">
      <w:pPr>
        <w:pStyle w:val="a3"/>
        <w:rPr>
          <w:rtl/>
        </w:rPr>
      </w:pPr>
      <w:r w:rsidRPr="00C45ACA">
        <w:rPr>
          <w:rStyle w:val="a5"/>
          <w:sz w:val="18"/>
          <w:szCs w:val="18"/>
        </w:rPr>
        <w:footnoteRef/>
      </w:r>
      <w:r w:rsidRPr="00C45ACA">
        <w:rPr>
          <w:sz w:val="18"/>
          <w:szCs w:val="18"/>
          <w:rtl/>
        </w:rPr>
        <w:t xml:space="preserve"> </w:t>
      </w:r>
      <w:r w:rsidRPr="00396726">
        <w:rPr>
          <w:rFonts w:hint="cs"/>
          <w:b/>
          <w:bCs/>
          <w:sz w:val="18"/>
          <w:szCs w:val="18"/>
          <w:rtl/>
        </w:rPr>
        <w:t>בית יוסף</w:t>
      </w:r>
      <w:r w:rsidRPr="00C45ACA">
        <w:rPr>
          <w:rFonts w:hint="cs"/>
          <w:sz w:val="18"/>
          <w:szCs w:val="18"/>
          <w:rtl/>
        </w:rPr>
        <w:t xml:space="preserve"> </w:t>
      </w:r>
      <w:r w:rsidRPr="00C45ACA">
        <w:rPr>
          <w:sz w:val="18"/>
          <w:szCs w:val="18"/>
          <w:rtl/>
        </w:rPr>
        <w:t>–</w:t>
      </w:r>
      <w:r w:rsidRPr="00C45ACA">
        <w:rPr>
          <w:rFonts w:hint="cs"/>
          <w:sz w:val="18"/>
          <w:szCs w:val="18"/>
          <w:rtl/>
        </w:rPr>
        <w:t xml:space="preserve"> לכאורה </w:t>
      </w:r>
      <w:r w:rsidRPr="00714290">
        <w:rPr>
          <w:rFonts w:hint="cs"/>
          <w:b/>
          <w:bCs/>
          <w:sz w:val="18"/>
          <w:szCs w:val="18"/>
          <w:rtl/>
        </w:rPr>
        <w:t>הטור</w:t>
      </w:r>
      <w:r w:rsidRPr="00C45ACA">
        <w:rPr>
          <w:rFonts w:hint="cs"/>
          <w:sz w:val="18"/>
          <w:szCs w:val="18"/>
          <w:rtl/>
        </w:rPr>
        <w:t xml:space="preserve"> סותר עצמו. מחד, כאן כתב שמותר לזבה לטבול ביום השביעי ובלבד שלא תשמש עם בעלה, </w:t>
      </w:r>
      <w:r w:rsidRPr="00714290">
        <w:rPr>
          <w:rFonts w:hint="cs"/>
          <w:b/>
          <w:bCs/>
          <w:sz w:val="18"/>
          <w:szCs w:val="18"/>
          <w:rtl/>
        </w:rPr>
        <w:t>כרמב"ם</w:t>
      </w:r>
      <w:r w:rsidRPr="00C45ACA">
        <w:rPr>
          <w:rFonts w:hint="cs"/>
          <w:sz w:val="18"/>
          <w:szCs w:val="18"/>
          <w:rtl/>
        </w:rPr>
        <w:t xml:space="preserve">. מאידך, לקמן בסימן קצז' כתב </w:t>
      </w:r>
      <w:r w:rsidRPr="00714290">
        <w:rPr>
          <w:rFonts w:hint="cs"/>
          <w:b/>
          <w:bCs/>
          <w:sz w:val="18"/>
          <w:szCs w:val="18"/>
          <w:rtl/>
        </w:rPr>
        <w:t>הטור</w:t>
      </w:r>
      <w:r w:rsidRPr="00C45ACA">
        <w:rPr>
          <w:rFonts w:hint="cs"/>
          <w:sz w:val="18"/>
          <w:szCs w:val="18"/>
          <w:rtl/>
        </w:rPr>
        <w:t xml:space="preserve"> שחכמים אסרו לזבה לטבול ביום השביעי שמא תשמש עם בעלה, </w:t>
      </w:r>
      <w:r w:rsidRPr="00714290">
        <w:rPr>
          <w:rFonts w:hint="cs"/>
          <w:b/>
          <w:bCs/>
          <w:sz w:val="18"/>
          <w:szCs w:val="18"/>
          <w:rtl/>
        </w:rPr>
        <w:t>כרש"י</w:t>
      </w:r>
      <w:r w:rsidRPr="00C45ACA">
        <w:rPr>
          <w:rFonts w:hint="cs"/>
          <w:sz w:val="18"/>
          <w:szCs w:val="18"/>
          <w:rtl/>
        </w:rPr>
        <w:t>!</w:t>
      </w:r>
      <w:r w:rsidRPr="00C45ACA">
        <w:rPr>
          <w:rFonts w:hint="cs"/>
          <w:sz w:val="18"/>
          <w:szCs w:val="18"/>
          <w:rtl/>
        </w:rPr>
        <w:br/>
        <w:t xml:space="preserve">מיישב </w:t>
      </w:r>
      <w:r w:rsidRPr="00714290">
        <w:rPr>
          <w:rFonts w:hint="cs"/>
          <w:b/>
          <w:bCs/>
          <w:sz w:val="18"/>
          <w:szCs w:val="18"/>
          <w:rtl/>
        </w:rPr>
        <w:t>הבית יוסף</w:t>
      </w:r>
      <w:r w:rsidRPr="00C45ACA">
        <w:rPr>
          <w:rFonts w:hint="cs"/>
          <w:sz w:val="18"/>
          <w:szCs w:val="18"/>
          <w:rtl/>
        </w:rPr>
        <w:t xml:space="preserve"> בשני אופנים - </w:t>
      </w:r>
      <w:r w:rsidRPr="00C45ACA">
        <w:rPr>
          <w:sz w:val="18"/>
          <w:szCs w:val="18"/>
          <w:rtl/>
        </w:rPr>
        <w:br/>
      </w:r>
      <w:r w:rsidRPr="00C45ACA">
        <w:rPr>
          <w:rFonts w:hint="cs"/>
          <w:sz w:val="18"/>
          <w:szCs w:val="18"/>
          <w:rtl/>
        </w:rPr>
        <w:t xml:space="preserve">א. </w:t>
      </w:r>
      <w:r w:rsidRPr="00714290">
        <w:rPr>
          <w:rFonts w:hint="cs"/>
          <w:b/>
          <w:bCs/>
          <w:sz w:val="18"/>
          <w:szCs w:val="18"/>
          <w:rtl/>
        </w:rPr>
        <w:t>הטור</w:t>
      </w:r>
      <w:r w:rsidRPr="00C45ACA">
        <w:rPr>
          <w:rFonts w:hint="cs"/>
          <w:sz w:val="18"/>
          <w:szCs w:val="18"/>
          <w:rtl/>
        </w:rPr>
        <w:t xml:space="preserve"> סובר </w:t>
      </w:r>
      <w:r w:rsidRPr="00714290">
        <w:rPr>
          <w:rFonts w:hint="cs"/>
          <w:b/>
          <w:bCs/>
          <w:sz w:val="18"/>
          <w:szCs w:val="18"/>
          <w:rtl/>
        </w:rPr>
        <w:t>כרש"י</w:t>
      </w:r>
      <w:r w:rsidRPr="00C45ACA">
        <w:rPr>
          <w:rFonts w:hint="cs"/>
          <w:sz w:val="18"/>
          <w:szCs w:val="18"/>
          <w:rtl/>
        </w:rPr>
        <w:t xml:space="preserve"> שאסור לטבול ביום, אלא שכאן כתב את הדין מדאורייתא שמותר לטבול ביום.</w:t>
      </w:r>
      <w:r w:rsidRPr="00C45ACA">
        <w:rPr>
          <w:sz w:val="18"/>
          <w:szCs w:val="18"/>
          <w:rtl/>
        </w:rPr>
        <w:br/>
      </w:r>
      <w:r w:rsidRPr="00C45ACA">
        <w:rPr>
          <w:rFonts w:hint="cs"/>
          <w:sz w:val="18"/>
          <w:szCs w:val="18"/>
          <w:rtl/>
        </w:rPr>
        <w:t xml:space="preserve">ב. </w:t>
      </w:r>
      <w:r w:rsidRPr="00714290">
        <w:rPr>
          <w:rFonts w:hint="cs"/>
          <w:b/>
          <w:bCs/>
          <w:sz w:val="18"/>
          <w:szCs w:val="18"/>
          <w:rtl/>
        </w:rPr>
        <w:t>הטור</w:t>
      </w:r>
      <w:r w:rsidRPr="00C45ACA">
        <w:rPr>
          <w:rFonts w:hint="cs"/>
          <w:sz w:val="18"/>
          <w:szCs w:val="18"/>
          <w:rtl/>
        </w:rPr>
        <w:t xml:space="preserve"> הבין את המימרא של רבי שמעון </w:t>
      </w:r>
      <w:r w:rsidRPr="00714290">
        <w:rPr>
          <w:rFonts w:hint="cs"/>
          <w:b/>
          <w:bCs/>
          <w:sz w:val="18"/>
          <w:szCs w:val="18"/>
          <w:rtl/>
        </w:rPr>
        <w:t>כרמב"ם</w:t>
      </w:r>
      <w:r w:rsidRPr="00C45ACA">
        <w:rPr>
          <w:rFonts w:hint="cs"/>
          <w:sz w:val="18"/>
          <w:szCs w:val="18"/>
          <w:rtl/>
        </w:rPr>
        <w:t>, ואעפ"כ אסר לקמן לטבול ביום השביעי משום חומרת כרת, שגזרו גזירה לגזירה (</w:t>
      </w:r>
      <w:r w:rsidRPr="00C45ACA">
        <w:rPr>
          <w:rFonts w:hint="cs"/>
          <w:sz w:val="16"/>
          <w:szCs w:val="16"/>
          <w:rtl/>
        </w:rPr>
        <w:t xml:space="preserve">שמא תשמש ביום ושמא תראה טיפת דם). </w:t>
      </w:r>
      <w:r w:rsidRPr="00C45ACA">
        <w:rPr>
          <w:rFonts w:hint="cs"/>
          <w:sz w:val="18"/>
          <w:szCs w:val="18"/>
          <w:rtl/>
        </w:rPr>
        <w:t>וכך משמע גם ברמב"ם, שלדינא אין להתיר טבילה ביום השביעי, ונראה שהסיק זאת מהגמרא הנ"ל שמסקנתה לאסור טבילה ביום.</w:t>
      </w:r>
      <w:r>
        <w:rPr>
          <w:rFonts w:hint="cs"/>
          <w:rtl/>
        </w:rPr>
        <w:t xml:space="preserve"> </w:t>
      </w:r>
      <w:r w:rsidRPr="000B1C1B">
        <w:rPr>
          <w:rFonts w:hint="cs"/>
          <w:sz w:val="18"/>
          <w:szCs w:val="18"/>
          <w:rtl/>
        </w:rPr>
        <w:t xml:space="preserve">דהיינו, רבי שמעון אוסר </w:t>
      </w:r>
      <w:r w:rsidRPr="000B1C1B">
        <w:rPr>
          <w:rFonts w:hint="cs"/>
          <w:sz w:val="18"/>
          <w:szCs w:val="18"/>
          <w:u w:val="single"/>
          <w:rtl/>
        </w:rPr>
        <w:t>לשמש</w:t>
      </w:r>
      <w:r w:rsidRPr="000B1C1B">
        <w:rPr>
          <w:rFonts w:hint="cs"/>
          <w:sz w:val="18"/>
          <w:szCs w:val="18"/>
          <w:rtl/>
        </w:rPr>
        <w:t xml:space="preserve"> ביום כדי שלא תבוא לידי ספק, ואביי מוסיף שיש לאסור אף </w:t>
      </w:r>
      <w:r w:rsidRPr="000B1C1B">
        <w:rPr>
          <w:rFonts w:hint="cs"/>
          <w:sz w:val="18"/>
          <w:szCs w:val="18"/>
          <w:u w:val="single"/>
          <w:rtl/>
        </w:rPr>
        <w:t>טבילה</w:t>
      </w:r>
      <w:r w:rsidRPr="000B1C1B">
        <w:rPr>
          <w:rFonts w:hint="cs"/>
          <w:sz w:val="18"/>
          <w:szCs w:val="18"/>
          <w:rtl/>
        </w:rPr>
        <w:t xml:space="preserve"> ביום מחשש זה.</w:t>
      </w:r>
    </w:p>
  </w:footnote>
  <w:footnote w:id="8">
    <w:p w:rsidR="005953C5" w:rsidRDefault="005953C5" w:rsidP="00620060">
      <w:pPr>
        <w:pStyle w:val="a3"/>
        <w:rPr>
          <w:rtl/>
        </w:rPr>
      </w:pPr>
      <w:r w:rsidRPr="00E27315">
        <w:rPr>
          <w:rStyle w:val="a5"/>
          <w:sz w:val="18"/>
          <w:szCs w:val="18"/>
        </w:rPr>
        <w:footnoteRef/>
      </w:r>
      <w:r w:rsidRPr="00E27315">
        <w:rPr>
          <w:sz w:val="18"/>
          <w:szCs w:val="18"/>
          <w:rtl/>
        </w:rPr>
        <w:t xml:space="preserve"> </w:t>
      </w:r>
      <w:r w:rsidRPr="00E27315">
        <w:rPr>
          <w:rFonts w:hint="cs"/>
          <w:sz w:val="18"/>
          <w:szCs w:val="18"/>
          <w:rtl/>
        </w:rPr>
        <w:t xml:space="preserve">פירוש </w:t>
      </w:r>
      <w:r w:rsidRPr="00714290">
        <w:rPr>
          <w:rFonts w:hint="cs"/>
          <w:b/>
          <w:bCs/>
          <w:sz w:val="18"/>
          <w:szCs w:val="18"/>
          <w:rtl/>
        </w:rPr>
        <w:t>רש"י</w:t>
      </w:r>
      <w:r w:rsidRPr="00E27315">
        <w:rPr>
          <w:rFonts w:hint="cs"/>
          <w:sz w:val="18"/>
          <w:szCs w:val="18"/>
          <w:rtl/>
        </w:rPr>
        <w:t xml:space="preserve"> למשנה:</w:t>
      </w:r>
      <w:r w:rsidRPr="00E27315">
        <w:rPr>
          <w:rFonts w:hint="cs"/>
          <w:sz w:val="18"/>
          <w:szCs w:val="18"/>
          <w:rtl/>
        </w:rPr>
        <w:br/>
      </w:r>
      <w:r w:rsidRPr="00E27315">
        <w:rPr>
          <w:rFonts w:cs="Arial" w:hint="cs"/>
          <w:sz w:val="18"/>
          <w:szCs w:val="18"/>
          <w:rtl/>
        </w:rPr>
        <w:t>הרואה</w:t>
      </w:r>
      <w:r w:rsidRPr="00E27315">
        <w:rPr>
          <w:rFonts w:cs="Arial"/>
          <w:sz w:val="18"/>
          <w:szCs w:val="18"/>
          <w:rtl/>
        </w:rPr>
        <w:t xml:space="preserve"> </w:t>
      </w:r>
      <w:r w:rsidRPr="00E27315">
        <w:rPr>
          <w:rFonts w:cs="Arial" w:hint="cs"/>
          <w:sz w:val="18"/>
          <w:szCs w:val="18"/>
          <w:rtl/>
        </w:rPr>
        <w:t>יום</w:t>
      </w:r>
      <w:r w:rsidRPr="00E27315">
        <w:rPr>
          <w:rFonts w:cs="Arial"/>
          <w:sz w:val="18"/>
          <w:szCs w:val="18"/>
          <w:rtl/>
        </w:rPr>
        <w:t xml:space="preserve"> </w:t>
      </w:r>
      <w:r w:rsidRPr="00E27315">
        <w:rPr>
          <w:rFonts w:cs="Arial" w:hint="cs"/>
          <w:sz w:val="18"/>
          <w:szCs w:val="18"/>
          <w:rtl/>
        </w:rPr>
        <w:t>י</w:t>
      </w:r>
      <w:r w:rsidRPr="00E27315">
        <w:rPr>
          <w:rFonts w:cs="Arial"/>
          <w:sz w:val="18"/>
          <w:szCs w:val="18"/>
          <w:rtl/>
        </w:rPr>
        <w:t>"</w:t>
      </w:r>
      <w:r w:rsidRPr="00E27315">
        <w:rPr>
          <w:rFonts w:cs="Arial" w:hint="cs"/>
          <w:sz w:val="18"/>
          <w:szCs w:val="18"/>
          <w:rtl/>
        </w:rPr>
        <w:t>א</w:t>
      </w:r>
      <w:r w:rsidRPr="00E27315">
        <w:rPr>
          <w:rFonts w:cs="Arial"/>
          <w:sz w:val="18"/>
          <w:szCs w:val="18"/>
          <w:rtl/>
        </w:rPr>
        <w:t xml:space="preserve"> - </w:t>
      </w:r>
      <w:r w:rsidRPr="00E27315">
        <w:rPr>
          <w:rFonts w:cs="Arial" w:hint="cs"/>
          <w:sz w:val="18"/>
          <w:szCs w:val="18"/>
          <w:rtl/>
        </w:rPr>
        <w:t>שהיא</w:t>
      </w:r>
      <w:r w:rsidRPr="00E27315">
        <w:rPr>
          <w:rFonts w:cs="Arial"/>
          <w:sz w:val="18"/>
          <w:szCs w:val="18"/>
          <w:rtl/>
        </w:rPr>
        <w:t xml:space="preserve"> </w:t>
      </w:r>
      <w:r w:rsidRPr="00E27315">
        <w:rPr>
          <w:rFonts w:cs="Arial" w:hint="cs"/>
          <w:sz w:val="18"/>
          <w:szCs w:val="18"/>
          <w:rtl/>
        </w:rPr>
        <w:t>סוף</w:t>
      </w:r>
      <w:r w:rsidRPr="00E27315">
        <w:rPr>
          <w:rFonts w:cs="Arial"/>
          <w:sz w:val="18"/>
          <w:szCs w:val="18"/>
          <w:rtl/>
        </w:rPr>
        <w:t xml:space="preserve"> </w:t>
      </w:r>
      <w:r w:rsidRPr="00E27315">
        <w:rPr>
          <w:rFonts w:cs="Arial" w:hint="cs"/>
          <w:sz w:val="18"/>
          <w:szCs w:val="18"/>
          <w:rtl/>
        </w:rPr>
        <w:t>ימי</w:t>
      </w:r>
      <w:r w:rsidRPr="00E27315">
        <w:rPr>
          <w:rFonts w:cs="Arial"/>
          <w:sz w:val="18"/>
          <w:szCs w:val="18"/>
          <w:rtl/>
        </w:rPr>
        <w:t xml:space="preserve"> </w:t>
      </w:r>
      <w:r w:rsidRPr="00E27315">
        <w:rPr>
          <w:rFonts w:cs="Arial" w:hint="cs"/>
          <w:sz w:val="18"/>
          <w:szCs w:val="18"/>
          <w:rtl/>
        </w:rPr>
        <w:t>זוב</w:t>
      </w:r>
      <w:r w:rsidRPr="00E27315">
        <w:rPr>
          <w:rFonts w:cs="Arial"/>
          <w:sz w:val="18"/>
          <w:szCs w:val="18"/>
          <w:rtl/>
        </w:rPr>
        <w:t xml:space="preserve"> </w:t>
      </w:r>
      <w:r w:rsidRPr="00E27315">
        <w:rPr>
          <w:rFonts w:cs="Arial" w:hint="cs"/>
          <w:sz w:val="18"/>
          <w:szCs w:val="18"/>
          <w:rtl/>
        </w:rPr>
        <w:t>ואין</w:t>
      </w:r>
      <w:r w:rsidRPr="00E27315">
        <w:rPr>
          <w:rFonts w:cs="Arial"/>
          <w:sz w:val="18"/>
          <w:szCs w:val="18"/>
          <w:rtl/>
        </w:rPr>
        <w:t xml:space="preserve"> </w:t>
      </w:r>
      <w:r w:rsidRPr="00E27315">
        <w:rPr>
          <w:rFonts w:cs="Arial" w:hint="cs"/>
          <w:sz w:val="18"/>
          <w:szCs w:val="18"/>
          <w:rtl/>
        </w:rPr>
        <w:t>יום</w:t>
      </w:r>
      <w:r w:rsidRPr="00E27315">
        <w:rPr>
          <w:rFonts w:cs="Arial"/>
          <w:sz w:val="18"/>
          <w:szCs w:val="18"/>
          <w:rtl/>
        </w:rPr>
        <w:t xml:space="preserve"> </w:t>
      </w:r>
      <w:r w:rsidRPr="00E27315">
        <w:rPr>
          <w:rFonts w:cs="Arial" w:hint="cs"/>
          <w:sz w:val="18"/>
          <w:szCs w:val="18"/>
          <w:rtl/>
        </w:rPr>
        <w:t>שלאחריו</w:t>
      </w:r>
      <w:r w:rsidRPr="00E27315">
        <w:rPr>
          <w:rFonts w:cs="Arial"/>
          <w:sz w:val="18"/>
          <w:szCs w:val="18"/>
          <w:rtl/>
        </w:rPr>
        <w:t xml:space="preserve"> </w:t>
      </w:r>
      <w:r w:rsidRPr="00E27315">
        <w:rPr>
          <w:rFonts w:cs="Arial" w:hint="cs"/>
          <w:sz w:val="18"/>
          <w:szCs w:val="18"/>
          <w:rtl/>
        </w:rPr>
        <w:t>מצטרף</w:t>
      </w:r>
      <w:r w:rsidRPr="00E27315">
        <w:rPr>
          <w:rFonts w:cs="Arial"/>
          <w:sz w:val="18"/>
          <w:szCs w:val="18"/>
          <w:rtl/>
        </w:rPr>
        <w:t xml:space="preserve"> </w:t>
      </w:r>
      <w:r w:rsidRPr="00E27315">
        <w:rPr>
          <w:rFonts w:cs="Arial" w:hint="cs"/>
          <w:sz w:val="18"/>
          <w:szCs w:val="18"/>
          <w:rtl/>
        </w:rPr>
        <w:t>עמו</w:t>
      </w:r>
      <w:r w:rsidRPr="00E27315">
        <w:rPr>
          <w:rFonts w:cs="Arial"/>
          <w:sz w:val="18"/>
          <w:szCs w:val="18"/>
          <w:rtl/>
        </w:rPr>
        <w:t xml:space="preserve"> </w:t>
      </w:r>
      <w:r w:rsidRPr="00E27315">
        <w:rPr>
          <w:rFonts w:cs="Arial" w:hint="cs"/>
          <w:sz w:val="18"/>
          <w:szCs w:val="18"/>
          <w:rtl/>
        </w:rPr>
        <w:t>לזיבה</w:t>
      </w:r>
      <w:r w:rsidRPr="00E27315">
        <w:rPr>
          <w:rFonts w:cs="Arial"/>
          <w:sz w:val="18"/>
          <w:szCs w:val="18"/>
          <w:rtl/>
        </w:rPr>
        <w:t>.</w:t>
      </w:r>
      <w:r w:rsidRPr="00E27315">
        <w:rPr>
          <w:rFonts w:cs="Arial"/>
          <w:sz w:val="18"/>
          <w:szCs w:val="18"/>
          <w:rtl/>
        </w:rPr>
        <w:br/>
      </w:r>
      <w:r w:rsidRPr="00E27315">
        <w:rPr>
          <w:rFonts w:cs="Arial" w:hint="cs"/>
          <w:sz w:val="18"/>
          <w:szCs w:val="18"/>
          <w:rtl/>
        </w:rPr>
        <w:t>משכב</w:t>
      </w:r>
      <w:r w:rsidRPr="00E27315">
        <w:rPr>
          <w:rFonts w:cs="Arial"/>
          <w:sz w:val="18"/>
          <w:szCs w:val="18"/>
          <w:rtl/>
        </w:rPr>
        <w:t xml:space="preserve"> </w:t>
      </w:r>
      <w:r w:rsidRPr="00E27315">
        <w:rPr>
          <w:rFonts w:cs="Arial" w:hint="cs"/>
          <w:sz w:val="18"/>
          <w:szCs w:val="18"/>
          <w:rtl/>
        </w:rPr>
        <w:t>ומושב</w:t>
      </w:r>
      <w:r w:rsidRPr="00E27315">
        <w:rPr>
          <w:rFonts w:cs="Arial"/>
          <w:sz w:val="18"/>
          <w:szCs w:val="18"/>
          <w:rtl/>
        </w:rPr>
        <w:t xml:space="preserve"> - </w:t>
      </w:r>
      <w:r w:rsidRPr="00E27315">
        <w:rPr>
          <w:rFonts w:cs="Arial" w:hint="cs"/>
          <w:sz w:val="18"/>
          <w:szCs w:val="18"/>
          <w:rtl/>
        </w:rPr>
        <w:t>אפילו</w:t>
      </w:r>
      <w:r w:rsidRPr="00E27315">
        <w:rPr>
          <w:rFonts w:cs="Arial"/>
          <w:sz w:val="18"/>
          <w:szCs w:val="18"/>
          <w:rtl/>
        </w:rPr>
        <w:t xml:space="preserve"> </w:t>
      </w:r>
      <w:r w:rsidRPr="00E27315">
        <w:rPr>
          <w:rFonts w:cs="Arial" w:hint="cs"/>
          <w:sz w:val="18"/>
          <w:szCs w:val="18"/>
          <w:rtl/>
        </w:rPr>
        <w:t>בעלה</w:t>
      </w:r>
      <w:r w:rsidRPr="00E27315">
        <w:rPr>
          <w:rFonts w:cs="Arial"/>
          <w:sz w:val="18"/>
          <w:szCs w:val="18"/>
          <w:rtl/>
        </w:rPr>
        <w:t xml:space="preserve"> </w:t>
      </w:r>
      <w:r w:rsidRPr="00E27315">
        <w:rPr>
          <w:rFonts w:cs="Arial" w:hint="cs"/>
          <w:sz w:val="18"/>
          <w:szCs w:val="18"/>
          <w:rtl/>
        </w:rPr>
        <w:t>מטמא</w:t>
      </w:r>
      <w:r w:rsidRPr="00E27315">
        <w:rPr>
          <w:rFonts w:cs="Arial"/>
          <w:sz w:val="18"/>
          <w:szCs w:val="18"/>
          <w:rtl/>
        </w:rPr>
        <w:t xml:space="preserve"> </w:t>
      </w:r>
      <w:r w:rsidRPr="00E27315">
        <w:rPr>
          <w:rFonts w:cs="Arial" w:hint="cs"/>
          <w:sz w:val="18"/>
          <w:szCs w:val="18"/>
          <w:rtl/>
        </w:rPr>
        <w:t>משכב</w:t>
      </w:r>
      <w:r w:rsidRPr="00E27315">
        <w:rPr>
          <w:rFonts w:cs="Arial"/>
          <w:sz w:val="18"/>
          <w:szCs w:val="18"/>
          <w:rtl/>
        </w:rPr>
        <w:t xml:space="preserve"> </w:t>
      </w:r>
      <w:r w:rsidRPr="00E27315">
        <w:rPr>
          <w:rFonts w:cs="Arial" w:hint="cs"/>
          <w:sz w:val="18"/>
          <w:szCs w:val="18"/>
          <w:rtl/>
        </w:rPr>
        <w:t>ומושב</w:t>
      </w:r>
      <w:r w:rsidRPr="00E27315">
        <w:rPr>
          <w:rFonts w:cs="Arial"/>
          <w:sz w:val="18"/>
          <w:szCs w:val="18"/>
          <w:rtl/>
        </w:rPr>
        <w:t xml:space="preserve"> </w:t>
      </w:r>
      <w:r w:rsidRPr="00E27315">
        <w:rPr>
          <w:rFonts w:cs="Arial" w:hint="cs"/>
          <w:sz w:val="18"/>
          <w:szCs w:val="18"/>
          <w:rtl/>
        </w:rPr>
        <w:t>לטמא</w:t>
      </w:r>
      <w:r w:rsidRPr="00E27315">
        <w:rPr>
          <w:rFonts w:cs="Arial"/>
          <w:sz w:val="18"/>
          <w:szCs w:val="18"/>
          <w:rtl/>
        </w:rPr>
        <w:t xml:space="preserve"> </w:t>
      </w:r>
      <w:r w:rsidRPr="00E27315">
        <w:rPr>
          <w:rFonts w:cs="Arial" w:hint="cs"/>
          <w:sz w:val="18"/>
          <w:szCs w:val="18"/>
          <w:rtl/>
        </w:rPr>
        <w:t>אוכלין</w:t>
      </w:r>
      <w:r w:rsidRPr="00E27315">
        <w:rPr>
          <w:rFonts w:cs="Arial"/>
          <w:sz w:val="18"/>
          <w:szCs w:val="18"/>
          <w:rtl/>
        </w:rPr>
        <w:t xml:space="preserve"> </w:t>
      </w:r>
      <w:r w:rsidRPr="00E27315">
        <w:rPr>
          <w:rFonts w:cs="Arial" w:hint="cs"/>
          <w:sz w:val="18"/>
          <w:szCs w:val="18"/>
          <w:rtl/>
        </w:rPr>
        <w:t>ומשקין</w:t>
      </w:r>
      <w:r w:rsidRPr="00E27315">
        <w:rPr>
          <w:rFonts w:cs="Arial"/>
          <w:sz w:val="18"/>
          <w:szCs w:val="18"/>
          <w:rtl/>
        </w:rPr>
        <w:t xml:space="preserve"> </w:t>
      </w:r>
      <w:r w:rsidRPr="00E27315">
        <w:rPr>
          <w:rFonts w:cs="Arial" w:hint="cs"/>
          <w:sz w:val="18"/>
          <w:szCs w:val="18"/>
          <w:rtl/>
        </w:rPr>
        <w:t>שהוא</w:t>
      </w:r>
      <w:r w:rsidRPr="00E27315">
        <w:rPr>
          <w:rFonts w:cs="Arial"/>
          <w:sz w:val="18"/>
          <w:szCs w:val="18"/>
          <w:rtl/>
        </w:rPr>
        <w:t xml:space="preserve"> </w:t>
      </w:r>
      <w:r w:rsidRPr="00E27315">
        <w:rPr>
          <w:rFonts w:cs="Arial" w:hint="cs"/>
          <w:sz w:val="18"/>
          <w:szCs w:val="18"/>
          <w:rtl/>
        </w:rPr>
        <w:t>כבועל</w:t>
      </w:r>
      <w:r w:rsidRPr="00E27315">
        <w:rPr>
          <w:rFonts w:cs="Arial"/>
          <w:sz w:val="18"/>
          <w:szCs w:val="18"/>
          <w:rtl/>
        </w:rPr>
        <w:t xml:space="preserve"> </w:t>
      </w:r>
      <w:r w:rsidRPr="00E27315">
        <w:rPr>
          <w:rFonts w:cs="Arial" w:hint="cs"/>
          <w:sz w:val="18"/>
          <w:szCs w:val="18"/>
          <w:rtl/>
        </w:rPr>
        <w:t>שומרת</w:t>
      </w:r>
      <w:r w:rsidRPr="00E27315">
        <w:rPr>
          <w:rFonts w:cs="Arial"/>
          <w:sz w:val="18"/>
          <w:szCs w:val="18"/>
          <w:rtl/>
        </w:rPr>
        <w:t xml:space="preserve"> </w:t>
      </w:r>
      <w:r w:rsidRPr="00E27315">
        <w:rPr>
          <w:rFonts w:cs="Arial" w:hint="cs"/>
          <w:sz w:val="18"/>
          <w:szCs w:val="18"/>
          <w:rtl/>
        </w:rPr>
        <w:t>יום</w:t>
      </w:r>
      <w:r w:rsidRPr="00E27315">
        <w:rPr>
          <w:rFonts w:cs="Arial"/>
          <w:sz w:val="18"/>
          <w:szCs w:val="18"/>
          <w:rtl/>
        </w:rPr>
        <w:t xml:space="preserve"> </w:t>
      </w:r>
      <w:r w:rsidRPr="00E27315">
        <w:rPr>
          <w:rFonts w:cs="Arial" w:hint="cs"/>
          <w:sz w:val="18"/>
          <w:szCs w:val="18"/>
          <w:rtl/>
        </w:rPr>
        <w:t>כנגד</w:t>
      </w:r>
      <w:r w:rsidRPr="00E27315">
        <w:rPr>
          <w:rFonts w:cs="Arial"/>
          <w:sz w:val="18"/>
          <w:szCs w:val="18"/>
          <w:rtl/>
        </w:rPr>
        <w:t xml:space="preserve"> </w:t>
      </w:r>
      <w:r w:rsidRPr="00E27315">
        <w:rPr>
          <w:rFonts w:cs="Arial" w:hint="cs"/>
          <w:sz w:val="18"/>
          <w:szCs w:val="18"/>
          <w:rtl/>
        </w:rPr>
        <w:t>יום</w:t>
      </w:r>
      <w:r w:rsidRPr="00E27315">
        <w:rPr>
          <w:rFonts w:cs="Arial"/>
          <w:sz w:val="18"/>
          <w:szCs w:val="18"/>
          <w:rtl/>
        </w:rPr>
        <w:t xml:space="preserve"> </w:t>
      </w:r>
      <w:r w:rsidRPr="00E27315">
        <w:rPr>
          <w:rFonts w:cs="Arial" w:hint="cs"/>
          <w:sz w:val="18"/>
          <w:szCs w:val="18"/>
          <w:rtl/>
        </w:rPr>
        <w:t>דקסבר</w:t>
      </w:r>
      <w:r w:rsidRPr="00E27315">
        <w:rPr>
          <w:rFonts w:cs="Arial"/>
          <w:sz w:val="18"/>
          <w:szCs w:val="18"/>
          <w:rtl/>
        </w:rPr>
        <w:t xml:space="preserve"> </w:t>
      </w:r>
      <w:r w:rsidRPr="00E27315">
        <w:rPr>
          <w:rFonts w:cs="Arial" w:hint="cs"/>
          <w:sz w:val="18"/>
          <w:szCs w:val="18"/>
          <w:rtl/>
        </w:rPr>
        <w:t>יום</w:t>
      </w:r>
      <w:r w:rsidRPr="00E27315">
        <w:rPr>
          <w:rFonts w:cs="Arial"/>
          <w:sz w:val="18"/>
          <w:szCs w:val="18"/>
          <w:rtl/>
        </w:rPr>
        <w:t xml:space="preserve"> </w:t>
      </w:r>
      <w:r w:rsidRPr="00E27315">
        <w:rPr>
          <w:rFonts w:cs="Arial" w:hint="cs"/>
          <w:sz w:val="18"/>
          <w:szCs w:val="18"/>
          <w:rtl/>
        </w:rPr>
        <w:t>י</w:t>
      </w:r>
      <w:r w:rsidRPr="00E27315">
        <w:rPr>
          <w:rFonts w:cs="Arial"/>
          <w:sz w:val="18"/>
          <w:szCs w:val="18"/>
          <w:rtl/>
        </w:rPr>
        <w:t>"</w:t>
      </w:r>
      <w:r w:rsidRPr="00E27315">
        <w:rPr>
          <w:rFonts w:cs="Arial" w:hint="cs"/>
          <w:sz w:val="18"/>
          <w:szCs w:val="18"/>
          <w:rtl/>
        </w:rPr>
        <w:t>א</w:t>
      </w:r>
      <w:r w:rsidRPr="00E27315">
        <w:rPr>
          <w:rFonts w:cs="Arial"/>
          <w:sz w:val="18"/>
          <w:szCs w:val="18"/>
          <w:rtl/>
        </w:rPr>
        <w:t xml:space="preserve"> </w:t>
      </w:r>
      <w:r w:rsidRPr="00E27315">
        <w:rPr>
          <w:rFonts w:cs="Arial" w:hint="cs"/>
          <w:sz w:val="18"/>
          <w:szCs w:val="18"/>
          <w:rtl/>
        </w:rPr>
        <w:t>בעי</w:t>
      </w:r>
      <w:r w:rsidRPr="00E27315">
        <w:rPr>
          <w:rFonts w:cs="Arial"/>
          <w:sz w:val="18"/>
          <w:szCs w:val="18"/>
          <w:rtl/>
        </w:rPr>
        <w:t xml:space="preserve"> </w:t>
      </w:r>
      <w:r w:rsidRPr="00E27315">
        <w:rPr>
          <w:rFonts w:cs="Arial" w:hint="cs"/>
          <w:sz w:val="18"/>
          <w:szCs w:val="18"/>
          <w:rtl/>
        </w:rPr>
        <w:t>שימור</w:t>
      </w:r>
      <w:r w:rsidRPr="00E27315">
        <w:rPr>
          <w:rFonts w:cs="Arial"/>
          <w:sz w:val="18"/>
          <w:szCs w:val="18"/>
          <w:rtl/>
        </w:rPr>
        <w:t>.</w:t>
      </w:r>
      <w:r w:rsidRPr="00E27315">
        <w:rPr>
          <w:rFonts w:cs="Arial"/>
          <w:sz w:val="18"/>
          <w:szCs w:val="18"/>
          <w:rtl/>
        </w:rPr>
        <w:br/>
      </w:r>
      <w:r w:rsidRPr="00E27315">
        <w:rPr>
          <w:rFonts w:cs="Arial" w:hint="cs"/>
          <w:sz w:val="18"/>
          <w:szCs w:val="18"/>
          <w:rtl/>
        </w:rPr>
        <w:t>וב</w:t>
      </w:r>
      <w:r w:rsidRPr="00E27315">
        <w:rPr>
          <w:rFonts w:cs="Arial"/>
          <w:sz w:val="18"/>
          <w:szCs w:val="18"/>
          <w:rtl/>
        </w:rPr>
        <w:t>"</w:t>
      </w:r>
      <w:r w:rsidRPr="00E27315">
        <w:rPr>
          <w:rFonts w:cs="Arial" w:hint="cs"/>
          <w:sz w:val="18"/>
          <w:szCs w:val="18"/>
          <w:rtl/>
        </w:rPr>
        <w:t>ה</w:t>
      </w:r>
      <w:r w:rsidRPr="00E27315">
        <w:rPr>
          <w:rFonts w:cs="Arial"/>
          <w:sz w:val="18"/>
          <w:szCs w:val="18"/>
          <w:rtl/>
        </w:rPr>
        <w:t xml:space="preserve"> </w:t>
      </w:r>
      <w:r w:rsidRPr="00E27315">
        <w:rPr>
          <w:rFonts w:cs="Arial" w:hint="cs"/>
          <w:sz w:val="18"/>
          <w:szCs w:val="18"/>
          <w:rtl/>
        </w:rPr>
        <w:t>פוטרין</w:t>
      </w:r>
      <w:r w:rsidRPr="00E27315">
        <w:rPr>
          <w:rFonts w:cs="Arial"/>
          <w:sz w:val="18"/>
          <w:szCs w:val="18"/>
          <w:rtl/>
        </w:rPr>
        <w:t xml:space="preserve"> </w:t>
      </w:r>
      <w:r w:rsidRPr="00E27315">
        <w:rPr>
          <w:rFonts w:cs="Arial" w:hint="cs"/>
          <w:sz w:val="18"/>
          <w:szCs w:val="18"/>
          <w:rtl/>
        </w:rPr>
        <w:t>מן</w:t>
      </w:r>
      <w:r w:rsidRPr="00E27315">
        <w:rPr>
          <w:rFonts w:cs="Arial"/>
          <w:sz w:val="18"/>
          <w:szCs w:val="18"/>
          <w:rtl/>
        </w:rPr>
        <w:t xml:space="preserve"> </w:t>
      </w:r>
      <w:r w:rsidRPr="00E27315">
        <w:rPr>
          <w:rFonts w:cs="Arial" w:hint="cs"/>
          <w:sz w:val="18"/>
          <w:szCs w:val="18"/>
          <w:rtl/>
        </w:rPr>
        <w:t>הקרבן</w:t>
      </w:r>
      <w:r w:rsidRPr="00E27315">
        <w:rPr>
          <w:rFonts w:cs="Arial"/>
          <w:sz w:val="18"/>
          <w:szCs w:val="18"/>
          <w:rtl/>
        </w:rPr>
        <w:t xml:space="preserve"> - </w:t>
      </w:r>
      <w:r w:rsidRPr="00E27315">
        <w:rPr>
          <w:rFonts w:cs="Arial" w:hint="cs"/>
          <w:sz w:val="18"/>
          <w:szCs w:val="18"/>
          <w:rtl/>
        </w:rPr>
        <w:t>דלא</w:t>
      </w:r>
      <w:r w:rsidRPr="00E27315">
        <w:rPr>
          <w:rFonts w:cs="Arial"/>
          <w:sz w:val="18"/>
          <w:szCs w:val="18"/>
          <w:rtl/>
        </w:rPr>
        <w:t xml:space="preserve"> </w:t>
      </w:r>
      <w:r w:rsidRPr="00E27315">
        <w:rPr>
          <w:rFonts w:cs="Arial" w:hint="cs"/>
          <w:sz w:val="18"/>
          <w:szCs w:val="18"/>
          <w:rtl/>
        </w:rPr>
        <w:t>בעי</w:t>
      </w:r>
      <w:r w:rsidRPr="00E27315">
        <w:rPr>
          <w:rFonts w:cs="Arial"/>
          <w:sz w:val="18"/>
          <w:szCs w:val="18"/>
          <w:rtl/>
        </w:rPr>
        <w:t xml:space="preserve"> </w:t>
      </w:r>
      <w:r w:rsidRPr="00E27315">
        <w:rPr>
          <w:rFonts w:cs="Arial" w:hint="cs"/>
          <w:sz w:val="18"/>
          <w:szCs w:val="18"/>
          <w:rtl/>
        </w:rPr>
        <w:t>שימור</w:t>
      </w:r>
      <w:r w:rsidRPr="00E27315">
        <w:rPr>
          <w:rFonts w:cs="Arial"/>
          <w:sz w:val="18"/>
          <w:szCs w:val="18"/>
          <w:rtl/>
        </w:rPr>
        <w:t xml:space="preserve"> </w:t>
      </w:r>
      <w:r w:rsidRPr="00E27315">
        <w:rPr>
          <w:rFonts w:cs="Arial" w:hint="cs"/>
          <w:sz w:val="18"/>
          <w:szCs w:val="18"/>
          <w:rtl/>
        </w:rPr>
        <w:t>אבל</w:t>
      </w:r>
      <w:r w:rsidRPr="00E27315">
        <w:rPr>
          <w:rFonts w:cs="Arial"/>
          <w:sz w:val="18"/>
          <w:szCs w:val="18"/>
          <w:rtl/>
        </w:rPr>
        <w:t xml:space="preserve"> </w:t>
      </w:r>
      <w:r w:rsidRPr="00E27315">
        <w:rPr>
          <w:rFonts w:cs="Arial" w:hint="cs"/>
          <w:sz w:val="18"/>
          <w:szCs w:val="18"/>
          <w:rtl/>
        </w:rPr>
        <w:t>לענין</w:t>
      </w:r>
      <w:r w:rsidRPr="00E27315">
        <w:rPr>
          <w:rFonts w:cs="Arial"/>
          <w:sz w:val="18"/>
          <w:szCs w:val="18"/>
          <w:rtl/>
        </w:rPr>
        <w:t xml:space="preserve"> </w:t>
      </w:r>
      <w:r w:rsidRPr="00E27315">
        <w:rPr>
          <w:rFonts w:cs="Arial" w:hint="cs"/>
          <w:sz w:val="18"/>
          <w:szCs w:val="18"/>
          <w:rtl/>
        </w:rPr>
        <w:t>טומאה</w:t>
      </w:r>
      <w:r w:rsidRPr="00E27315">
        <w:rPr>
          <w:rFonts w:cs="Arial"/>
          <w:sz w:val="18"/>
          <w:szCs w:val="18"/>
          <w:rtl/>
        </w:rPr>
        <w:t xml:space="preserve"> </w:t>
      </w:r>
      <w:r w:rsidRPr="00E27315">
        <w:rPr>
          <w:rFonts w:cs="Arial" w:hint="cs"/>
          <w:sz w:val="18"/>
          <w:szCs w:val="18"/>
          <w:rtl/>
        </w:rPr>
        <w:t>מודו</w:t>
      </w:r>
      <w:r w:rsidRPr="00E27315">
        <w:rPr>
          <w:rFonts w:cs="Arial"/>
          <w:sz w:val="18"/>
          <w:szCs w:val="18"/>
          <w:rtl/>
        </w:rPr>
        <w:t xml:space="preserve"> </w:t>
      </w:r>
      <w:r w:rsidRPr="00E27315">
        <w:rPr>
          <w:rFonts w:cs="Arial" w:hint="cs"/>
          <w:sz w:val="18"/>
          <w:szCs w:val="18"/>
          <w:rtl/>
        </w:rPr>
        <w:t>מדרבנן</w:t>
      </w:r>
      <w:r w:rsidRPr="00E27315">
        <w:rPr>
          <w:rFonts w:cs="Arial"/>
          <w:sz w:val="18"/>
          <w:szCs w:val="18"/>
          <w:rtl/>
        </w:rPr>
        <w:t xml:space="preserve"> </w:t>
      </w:r>
      <w:r w:rsidRPr="00E27315">
        <w:rPr>
          <w:rFonts w:cs="Arial" w:hint="cs"/>
          <w:sz w:val="18"/>
          <w:szCs w:val="18"/>
          <w:rtl/>
        </w:rPr>
        <w:t>להחמיר</w:t>
      </w:r>
      <w:r w:rsidRPr="00E27315">
        <w:rPr>
          <w:rFonts w:cs="Arial"/>
          <w:sz w:val="18"/>
          <w:szCs w:val="18"/>
          <w:rtl/>
        </w:rPr>
        <w:t xml:space="preserve"> </w:t>
      </w:r>
      <w:r w:rsidRPr="00E27315">
        <w:rPr>
          <w:rFonts w:cs="Arial" w:hint="cs"/>
          <w:sz w:val="18"/>
          <w:szCs w:val="18"/>
          <w:rtl/>
        </w:rPr>
        <w:t>גזרה</w:t>
      </w:r>
      <w:r w:rsidRPr="00E27315">
        <w:rPr>
          <w:rFonts w:cs="Arial"/>
          <w:sz w:val="18"/>
          <w:szCs w:val="18"/>
          <w:rtl/>
        </w:rPr>
        <w:t xml:space="preserve"> </w:t>
      </w:r>
      <w:r w:rsidRPr="00E27315">
        <w:rPr>
          <w:rFonts w:cs="Arial" w:hint="cs"/>
          <w:sz w:val="18"/>
          <w:szCs w:val="18"/>
          <w:rtl/>
        </w:rPr>
        <w:t>יום</w:t>
      </w:r>
      <w:r w:rsidRPr="00E27315">
        <w:rPr>
          <w:rFonts w:cs="Arial"/>
          <w:sz w:val="18"/>
          <w:szCs w:val="18"/>
          <w:rtl/>
        </w:rPr>
        <w:t xml:space="preserve"> </w:t>
      </w:r>
      <w:r w:rsidRPr="00E27315">
        <w:rPr>
          <w:rFonts w:cs="Arial" w:hint="cs"/>
          <w:sz w:val="18"/>
          <w:szCs w:val="18"/>
          <w:rtl/>
        </w:rPr>
        <w:t>י</w:t>
      </w:r>
      <w:r w:rsidRPr="00E27315">
        <w:rPr>
          <w:rFonts w:cs="Arial"/>
          <w:sz w:val="18"/>
          <w:szCs w:val="18"/>
          <w:rtl/>
        </w:rPr>
        <w:t>"</w:t>
      </w:r>
      <w:r w:rsidRPr="00E27315">
        <w:rPr>
          <w:rFonts w:cs="Arial" w:hint="cs"/>
          <w:sz w:val="18"/>
          <w:szCs w:val="18"/>
          <w:rtl/>
        </w:rPr>
        <w:t>א</w:t>
      </w:r>
      <w:r w:rsidRPr="00E27315">
        <w:rPr>
          <w:rFonts w:cs="Arial"/>
          <w:sz w:val="18"/>
          <w:szCs w:val="18"/>
          <w:rtl/>
        </w:rPr>
        <w:t xml:space="preserve"> </w:t>
      </w:r>
      <w:r w:rsidRPr="00E27315">
        <w:rPr>
          <w:rFonts w:cs="Arial" w:hint="cs"/>
          <w:sz w:val="18"/>
          <w:szCs w:val="18"/>
          <w:rtl/>
        </w:rPr>
        <w:t>אטו</w:t>
      </w:r>
      <w:r w:rsidRPr="00E27315">
        <w:rPr>
          <w:rFonts w:cs="Arial"/>
          <w:sz w:val="18"/>
          <w:szCs w:val="18"/>
          <w:rtl/>
        </w:rPr>
        <w:t xml:space="preserve"> </w:t>
      </w:r>
      <w:r w:rsidRPr="00E27315">
        <w:rPr>
          <w:rFonts w:cs="Arial" w:hint="cs"/>
          <w:sz w:val="18"/>
          <w:szCs w:val="18"/>
          <w:rtl/>
        </w:rPr>
        <w:t>תוך</w:t>
      </w:r>
      <w:r w:rsidRPr="00E27315">
        <w:rPr>
          <w:rFonts w:cs="Arial"/>
          <w:sz w:val="18"/>
          <w:szCs w:val="18"/>
          <w:rtl/>
        </w:rPr>
        <w:t xml:space="preserve"> </w:t>
      </w:r>
      <w:r w:rsidRPr="00E27315">
        <w:rPr>
          <w:rFonts w:cs="Arial" w:hint="cs"/>
          <w:sz w:val="18"/>
          <w:szCs w:val="18"/>
          <w:rtl/>
        </w:rPr>
        <w:t>י</w:t>
      </w:r>
      <w:r w:rsidRPr="00E27315">
        <w:rPr>
          <w:rFonts w:cs="Arial"/>
          <w:sz w:val="18"/>
          <w:szCs w:val="18"/>
          <w:rtl/>
        </w:rPr>
        <w:t>"</w:t>
      </w:r>
      <w:r w:rsidRPr="00E27315">
        <w:rPr>
          <w:rFonts w:cs="Arial" w:hint="cs"/>
          <w:sz w:val="18"/>
          <w:szCs w:val="18"/>
          <w:rtl/>
        </w:rPr>
        <w:t>א</w:t>
      </w:r>
      <w:r w:rsidRPr="00E27315">
        <w:rPr>
          <w:rFonts w:cs="Arial"/>
          <w:sz w:val="18"/>
          <w:szCs w:val="18"/>
          <w:rtl/>
        </w:rPr>
        <w:t xml:space="preserve"> </w:t>
      </w:r>
      <w:r w:rsidRPr="00E27315">
        <w:rPr>
          <w:rFonts w:cs="Arial" w:hint="cs"/>
          <w:sz w:val="18"/>
          <w:szCs w:val="18"/>
          <w:rtl/>
        </w:rPr>
        <w:t>יום</w:t>
      </w:r>
      <w:r w:rsidRPr="00E27315">
        <w:rPr>
          <w:rFonts w:cs="Arial"/>
          <w:sz w:val="18"/>
          <w:szCs w:val="18"/>
          <w:rtl/>
        </w:rPr>
        <w:t xml:space="preserve"> </w:t>
      </w:r>
      <w:r w:rsidRPr="00E27315">
        <w:rPr>
          <w:rFonts w:cs="Arial" w:hint="cs"/>
          <w:sz w:val="18"/>
          <w:szCs w:val="18"/>
          <w:rtl/>
        </w:rPr>
        <w:t>דמטמאה</w:t>
      </w:r>
      <w:r w:rsidRPr="00E27315">
        <w:rPr>
          <w:rFonts w:cs="Arial"/>
          <w:sz w:val="18"/>
          <w:szCs w:val="18"/>
          <w:rtl/>
        </w:rPr>
        <w:t xml:space="preserve"> </w:t>
      </w:r>
      <w:r w:rsidRPr="00E27315">
        <w:rPr>
          <w:rFonts w:cs="Arial" w:hint="cs"/>
          <w:sz w:val="18"/>
          <w:szCs w:val="18"/>
          <w:rtl/>
        </w:rPr>
        <w:t>בועלה</w:t>
      </w:r>
      <w:r w:rsidRPr="00E27315">
        <w:rPr>
          <w:rFonts w:cs="Arial"/>
          <w:sz w:val="18"/>
          <w:szCs w:val="18"/>
          <w:rtl/>
        </w:rPr>
        <w:t xml:space="preserve"> </w:t>
      </w:r>
      <w:r w:rsidRPr="00E27315">
        <w:rPr>
          <w:rFonts w:cs="Arial" w:hint="cs"/>
          <w:sz w:val="18"/>
          <w:szCs w:val="18"/>
          <w:rtl/>
        </w:rPr>
        <w:t>מדאורייתא</w:t>
      </w:r>
      <w:r w:rsidRPr="00E27315">
        <w:rPr>
          <w:rFonts w:cs="Arial"/>
          <w:sz w:val="18"/>
          <w:szCs w:val="18"/>
          <w:rtl/>
        </w:rPr>
        <w:t xml:space="preserve"> </w:t>
      </w:r>
      <w:r w:rsidRPr="00E27315">
        <w:rPr>
          <w:rFonts w:cs="Arial" w:hint="cs"/>
          <w:sz w:val="18"/>
          <w:szCs w:val="18"/>
          <w:rtl/>
        </w:rPr>
        <w:t>עד</w:t>
      </w:r>
      <w:r w:rsidRPr="00E27315">
        <w:rPr>
          <w:rFonts w:cs="Arial"/>
          <w:sz w:val="18"/>
          <w:szCs w:val="18"/>
          <w:rtl/>
        </w:rPr>
        <w:t xml:space="preserve"> </w:t>
      </w:r>
      <w:r w:rsidRPr="00E27315">
        <w:rPr>
          <w:rFonts w:cs="Arial" w:hint="cs"/>
          <w:sz w:val="18"/>
          <w:szCs w:val="18"/>
          <w:rtl/>
        </w:rPr>
        <w:t>שתספור</w:t>
      </w:r>
      <w:r w:rsidRPr="00E27315">
        <w:rPr>
          <w:rFonts w:cs="Arial"/>
          <w:sz w:val="18"/>
          <w:szCs w:val="18"/>
          <w:rtl/>
        </w:rPr>
        <w:t xml:space="preserve"> </w:t>
      </w:r>
      <w:r w:rsidRPr="00E27315">
        <w:rPr>
          <w:rFonts w:cs="Arial" w:hint="cs"/>
          <w:sz w:val="18"/>
          <w:szCs w:val="18"/>
          <w:rtl/>
        </w:rPr>
        <w:t>קצת</w:t>
      </w:r>
      <w:r w:rsidRPr="00E27315">
        <w:rPr>
          <w:rFonts w:cs="Arial"/>
          <w:sz w:val="18"/>
          <w:szCs w:val="18"/>
          <w:rtl/>
        </w:rPr>
        <w:t xml:space="preserve"> </w:t>
      </w:r>
      <w:r w:rsidRPr="00E27315">
        <w:rPr>
          <w:rFonts w:cs="Arial" w:hint="cs"/>
          <w:sz w:val="18"/>
          <w:szCs w:val="18"/>
          <w:rtl/>
        </w:rPr>
        <w:t>יום</w:t>
      </w:r>
      <w:r w:rsidRPr="00E27315">
        <w:rPr>
          <w:rFonts w:cs="Arial"/>
          <w:sz w:val="18"/>
          <w:szCs w:val="18"/>
          <w:rtl/>
        </w:rPr>
        <w:t xml:space="preserve"> </w:t>
      </w:r>
      <w:r w:rsidRPr="00E27315">
        <w:rPr>
          <w:rFonts w:cs="Arial" w:hint="cs"/>
          <w:sz w:val="18"/>
          <w:szCs w:val="18"/>
          <w:rtl/>
        </w:rPr>
        <w:t>המחרת</w:t>
      </w:r>
      <w:r w:rsidRPr="00E27315">
        <w:rPr>
          <w:rFonts w:cs="Arial"/>
          <w:sz w:val="18"/>
          <w:szCs w:val="18"/>
          <w:rtl/>
        </w:rPr>
        <w:t xml:space="preserve"> </w:t>
      </w:r>
      <w:r w:rsidRPr="00E27315">
        <w:rPr>
          <w:rFonts w:cs="Arial" w:hint="cs"/>
          <w:sz w:val="18"/>
          <w:szCs w:val="18"/>
          <w:rtl/>
        </w:rPr>
        <w:t>כדיליף</w:t>
      </w:r>
      <w:r w:rsidRPr="00E27315">
        <w:rPr>
          <w:rFonts w:cs="Arial"/>
          <w:sz w:val="18"/>
          <w:szCs w:val="18"/>
          <w:rtl/>
        </w:rPr>
        <w:t xml:space="preserve"> </w:t>
      </w:r>
      <w:r w:rsidRPr="00E27315">
        <w:rPr>
          <w:rFonts w:cs="Arial" w:hint="cs"/>
          <w:sz w:val="18"/>
          <w:szCs w:val="18"/>
          <w:rtl/>
        </w:rPr>
        <w:t>לקמן</w:t>
      </w:r>
      <w:r w:rsidRPr="00E27315">
        <w:rPr>
          <w:rFonts w:cs="Arial"/>
          <w:sz w:val="18"/>
          <w:szCs w:val="18"/>
          <w:rtl/>
        </w:rPr>
        <w:t xml:space="preserve"> </w:t>
      </w:r>
      <w:r w:rsidRPr="00E27315">
        <w:rPr>
          <w:rFonts w:cs="Arial" w:hint="cs"/>
          <w:sz w:val="18"/>
          <w:szCs w:val="18"/>
          <w:rtl/>
        </w:rPr>
        <w:t>מיהיה</w:t>
      </w:r>
      <w:r w:rsidRPr="00E27315">
        <w:rPr>
          <w:rFonts w:cs="Arial"/>
          <w:sz w:val="18"/>
          <w:szCs w:val="18"/>
          <w:rtl/>
        </w:rPr>
        <w:t xml:space="preserve"> </w:t>
      </w:r>
      <w:r w:rsidRPr="00E27315">
        <w:rPr>
          <w:rFonts w:cs="Arial" w:hint="cs"/>
          <w:sz w:val="18"/>
          <w:szCs w:val="18"/>
          <w:rtl/>
        </w:rPr>
        <w:t>לה</w:t>
      </w:r>
      <w:r w:rsidRPr="00E27315">
        <w:rPr>
          <w:rFonts w:cs="Arial"/>
          <w:sz w:val="18"/>
          <w:szCs w:val="18"/>
          <w:rtl/>
        </w:rPr>
        <w:t>.</w:t>
      </w:r>
      <w:r w:rsidRPr="00E27315">
        <w:rPr>
          <w:rFonts w:cs="Arial"/>
          <w:sz w:val="18"/>
          <w:szCs w:val="18"/>
          <w:rtl/>
        </w:rPr>
        <w:br/>
      </w:r>
      <w:r w:rsidRPr="00E27315">
        <w:rPr>
          <w:rFonts w:cs="Arial" w:hint="cs"/>
          <w:sz w:val="18"/>
          <w:szCs w:val="18"/>
          <w:rtl/>
        </w:rPr>
        <w:t>טבלה</w:t>
      </w:r>
      <w:r w:rsidRPr="00E27315">
        <w:rPr>
          <w:rFonts w:cs="Arial"/>
          <w:sz w:val="18"/>
          <w:szCs w:val="18"/>
          <w:rtl/>
        </w:rPr>
        <w:t xml:space="preserve"> </w:t>
      </w:r>
      <w:r w:rsidRPr="00E27315">
        <w:rPr>
          <w:rFonts w:cs="Arial" w:hint="cs"/>
          <w:sz w:val="18"/>
          <w:szCs w:val="18"/>
          <w:rtl/>
        </w:rPr>
        <w:t>יום</w:t>
      </w:r>
      <w:r w:rsidRPr="00E27315">
        <w:rPr>
          <w:rFonts w:cs="Arial"/>
          <w:sz w:val="18"/>
          <w:szCs w:val="18"/>
          <w:rtl/>
        </w:rPr>
        <w:t xml:space="preserve"> </w:t>
      </w:r>
      <w:r w:rsidRPr="00E27315">
        <w:rPr>
          <w:rFonts w:cs="Arial" w:hint="cs"/>
          <w:sz w:val="18"/>
          <w:szCs w:val="18"/>
          <w:rtl/>
        </w:rPr>
        <w:t>שלאחריו</w:t>
      </w:r>
      <w:r w:rsidRPr="00E27315">
        <w:rPr>
          <w:rFonts w:cs="Arial"/>
          <w:sz w:val="18"/>
          <w:szCs w:val="18"/>
          <w:rtl/>
        </w:rPr>
        <w:t xml:space="preserve"> - </w:t>
      </w:r>
      <w:r w:rsidRPr="00E27315">
        <w:rPr>
          <w:rFonts w:cs="Arial" w:hint="cs"/>
          <w:sz w:val="18"/>
          <w:szCs w:val="18"/>
          <w:rtl/>
        </w:rPr>
        <w:t>דעבדה</w:t>
      </w:r>
      <w:r w:rsidRPr="00E27315">
        <w:rPr>
          <w:rFonts w:cs="Arial"/>
          <w:sz w:val="18"/>
          <w:szCs w:val="18"/>
          <w:rtl/>
        </w:rPr>
        <w:t xml:space="preserve"> </w:t>
      </w:r>
      <w:r w:rsidRPr="00E27315">
        <w:rPr>
          <w:rFonts w:cs="Arial" w:hint="cs"/>
          <w:sz w:val="18"/>
          <w:szCs w:val="18"/>
          <w:rtl/>
        </w:rPr>
        <w:t>שימור</w:t>
      </w:r>
      <w:r w:rsidRPr="00E27315">
        <w:rPr>
          <w:rFonts w:cs="Arial"/>
          <w:sz w:val="18"/>
          <w:szCs w:val="18"/>
          <w:rtl/>
        </w:rPr>
        <w:t xml:space="preserve"> </w:t>
      </w:r>
      <w:r w:rsidRPr="00E27315">
        <w:rPr>
          <w:rFonts w:cs="Arial" w:hint="cs"/>
          <w:sz w:val="18"/>
          <w:szCs w:val="18"/>
          <w:rtl/>
        </w:rPr>
        <w:t>קצת</w:t>
      </w:r>
      <w:r w:rsidRPr="00E27315">
        <w:rPr>
          <w:rFonts w:cs="Arial"/>
          <w:sz w:val="18"/>
          <w:szCs w:val="18"/>
          <w:rtl/>
        </w:rPr>
        <w:t xml:space="preserve"> </w:t>
      </w:r>
      <w:r w:rsidRPr="00E27315">
        <w:rPr>
          <w:rFonts w:cs="Arial" w:hint="cs"/>
          <w:sz w:val="18"/>
          <w:szCs w:val="18"/>
          <w:rtl/>
        </w:rPr>
        <w:t>ושימור</w:t>
      </w:r>
      <w:r w:rsidRPr="00E27315">
        <w:rPr>
          <w:rFonts w:cs="Arial"/>
          <w:sz w:val="18"/>
          <w:szCs w:val="18"/>
          <w:rtl/>
        </w:rPr>
        <w:t xml:space="preserve"> </w:t>
      </w:r>
      <w:r w:rsidRPr="00E27315">
        <w:rPr>
          <w:rFonts w:cs="Arial" w:hint="cs"/>
          <w:sz w:val="18"/>
          <w:szCs w:val="18"/>
          <w:rtl/>
        </w:rPr>
        <w:t>מעליא</w:t>
      </w:r>
      <w:r w:rsidRPr="00E27315">
        <w:rPr>
          <w:rFonts w:cs="Arial"/>
          <w:sz w:val="18"/>
          <w:szCs w:val="18"/>
          <w:rtl/>
        </w:rPr>
        <w:t xml:space="preserve"> </w:t>
      </w:r>
      <w:r w:rsidRPr="00E27315">
        <w:rPr>
          <w:rFonts w:cs="Arial" w:hint="cs"/>
          <w:sz w:val="18"/>
          <w:szCs w:val="18"/>
          <w:rtl/>
        </w:rPr>
        <w:t>הוא</w:t>
      </w:r>
      <w:r w:rsidRPr="00E27315">
        <w:rPr>
          <w:rFonts w:cs="Arial"/>
          <w:sz w:val="18"/>
          <w:szCs w:val="18"/>
          <w:rtl/>
        </w:rPr>
        <w:t xml:space="preserve"> </w:t>
      </w:r>
      <w:r w:rsidRPr="00E27315">
        <w:rPr>
          <w:rFonts w:cs="Arial" w:hint="cs"/>
          <w:sz w:val="18"/>
          <w:szCs w:val="18"/>
          <w:rtl/>
        </w:rPr>
        <w:t>אלא</w:t>
      </w:r>
      <w:r w:rsidRPr="00E27315">
        <w:rPr>
          <w:rFonts w:cs="Arial"/>
          <w:sz w:val="18"/>
          <w:szCs w:val="18"/>
          <w:rtl/>
        </w:rPr>
        <w:t xml:space="preserve"> </w:t>
      </w:r>
      <w:r w:rsidRPr="00E27315">
        <w:rPr>
          <w:rFonts w:cs="Arial" w:hint="cs"/>
          <w:sz w:val="18"/>
          <w:szCs w:val="18"/>
          <w:rtl/>
        </w:rPr>
        <w:t>שתוך</w:t>
      </w:r>
      <w:r w:rsidRPr="00E27315">
        <w:rPr>
          <w:rFonts w:cs="Arial"/>
          <w:sz w:val="18"/>
          <w:szCs w:val="18"/>
          <w:rtl/>
        </w:rPr>
        <w:t xml:space="preserve"> </w:t>
      </w:r>
      <w:r w:rsidRPr="00E27315">
        <w:rPr>
          <w:rFonts w:cs="Arial" w:hint="cs"/>
          <w:sz w:val="18"/>
          <w:szCs w:val="18"/>
          <w:rtl/>
        </w:rPr>
        <w:t>י</w:t>
      </w:r>
      <w:r w:rsidRPr="00E27315">
        <w:rPr>
          <w:rFonts w:cs="Arial"/>
          <w:sz w:val="18"/>
          <w:szCs w:val="18"/>
          <w:rtl/>
        </w:rPr>
        <w:t>"</w:t>
      </w:r>
      <w:r w:rsidRPr="00E27315">
        <w:rPr>
          <w:rFonts w:cs="Arial" w:hint="cs"/>
          <w:sz w:val="18"/>
          <w:szCs w:val="18"/>
          <w:rtl/>
        </w:rPr>
        <w:t>א</w:t>
      </w:r>
      <w:r w:rsidRPr="00E27315">
        <w:rPr>
          <w:rFonts w:cs="Arial"/>
          <w:sz w:val="18"/>
          <w:szCs w:val="18"/>
          <w:rtl/>
        </w:rPr>
        <w:t xml:space="preserve"> </w:t>
      </w:r>
      <w:r w:rsidRPr="00E27315">
        <w:rPr>
          <w:rFonts w:cs="Arial" w:hint="cs"/>
          <w:sz w:val="18"/>
          <w:szCs w:val="18"/>
          <w:rtl/>
        </w:rPr>
        <w:t>יום</w:t>
      </w:r>
      <w:r w:rsidRPr="00E27315">
        <w:rPr>
          <w:rFonts w:cs="Arial"/>
          <w:sz w:val="18"/>
          <w:szCs w:val="18"/>
          <w:rtl/>
        </w:rPr>
        <w:t xml:space="preserve"> </w:t>
      </w:r>
      <w:r w:rsidRPr="00E27315">
        <w:rPr>
          <w:rFonts w:cs="Arial" w:hint="cs"/>
          <w:sz w:val="18"/>
          <w:szCs w:val="18"/>
          <w:rtl/>
        </w:rPr>
        <w:t>אסור</w:t>
      </w:r>
      <w:r w:rsidRPr="00E27315">
        <w:rPr>
          <w:rFonts w:cs="Arial"/>
          <w:sz w:val="18"/>
          <w:szCs w:val="18"/>
          <w:rtl/>
        </w:rPr>
        <w:t xml:space="preserve"> </w:t>
      </w:r>
      <w:r w:rsidRPr="00E27315">
        <w:rPr>
          <w:rFonts w:cs="Arial" w:hint="cs"/>
          <w:sz w:val="18"/>
          <w:szCs w:val="18"/>
          <w:rtl/>
        </w:rPr>
        <w:t>לעשות</w:t>
      </w:r>
      <w:r w:rsidRPr="00E27315">
        <w:rPr>
          <w:rFonts w:cs="Arial"/>
          <w:sz w:val="18"/>
          <w:szCs w:val="18"/>
          <w:rtl/>
        </w:rPr>
        <w:t xml:space="preserve"> </w:t>
      </w:r>
      <w:r w:rsidRPr="00E27315">
        <w:rPr>
          <w:rFonts w:cs="Arial" w:hint="cs"/>
          <w:sz w:val="18"/>
          <w:szCs w:val="18"/>
          <w:rtl/>
        </w:rPr>
        <w:t>כן</w:t>
      </w:r>
      <w:r w:rsidRPr="00E27315">
        <w:rPr>
          <w:rFonts w:cs="Arial"/>
          <w:sz w:val="18"/>
          <w:szCs w:val="18"/>
          <w:rtl/>
        </w:rPr>
        <w:t xml:space="preserve"> </w:t>
      </w:r>
      <w:r w:rsidRPr="00E27315">
        <w:rPr>
          <w:rFonts w:cs="Arial" w:hint="cs"/>
          <w:sz w:val="18"/>
          <w:szCs w:val="18"/>
          <w:rtl/>
        </w:rPr>
        <w:t>שלא</w:t>
      </w:r>
      <w:r w:rsidRPr="00E27315">
        <w:rPr>
          <w:rFonts w:cs="Arial"/>
          <w:sz w:val="18"/>
          <w:szCs w:val="18"/>
          <w:rtl/>
        </w:rPr>
        <w:t xml:space="preserve"> </w:t>
      </w:r>
      <w:r w:rsidRPr="00E27315">
        <w:rPr>
          <w:rFonts w:cs="Arial" w:hint="cs"/>
          <w:sz w:val="18"/>
          <w:szCs w:val="18"/>
          <w:rtl/>
        </w:rPr>
        <w:t>תבא</w:t>
      </w:r>
      <w:r w:rsidRPr="00E27315">
        <w:rPr>
          <w:rFonts w:cs="Arial"/>
          <w:sz w:val="18"/>
          <w:szCs w:val="18"/>
          <w:rtl/>
        </w:rPr>
        <w:t xml:space="preserve"> </w:t>
      </w:r>
      <w:r w:rsidRPr="00E27315">
        <w:rPr>
          <w:rFonts w:cs="Arial" w:hint="cs"/>
          <w:sz w:val="18"/>
          <w:szCs w:val="18"/>
          <w:rtl/>
        </w:rPr>
        <w:t>לידי</w:t>
      </w:r>
      <w:r w:rsidRPr="00E27315">
        <w:rPr>
          <w:rFonts w:cs="Arial"/>
          <w:sz w:val="18"/>
          <w:szCs w:val="18"/>
          <w:rtl/>
        </w:rPr>
        <w:t xml:space="preserve"> </w:t>
      </w:r>
      <w:r w:rsidRPr="00E27315">
        <w:rPr>
          <w:rFonts w:cs="Arial" w:hint="cs"/>
          <w:sz w:val="18"/>
          <w:szCs w:val="18"/>
          <w:rtl/>
        </w:rPr>
        <w:t>ספק</w:t>
      </w:r>
      <w:r w:rsidRPr="00E27315">
        <w:rPr>
          <w:rFonts w:cs="Arial"/>
          <w:sz w:val="18"/>
          <w:szCs w:val="18"/>
          <w:rtl/>
        </w:rPr>
        <w:t xml:space="preserve"> </w:t>
      </w:r>
      <w:r w:rsidRPr="00E27315">
        <w:rPr>
          <w:rFonts w:cs="Arial" w:hint="cs"/>
          <w:sz w:val="18"/>
          <w:szCs w:val="18"/>
          <w:rtl/>
        </w:rPr>
        <w:t>שמא</w:t>
      </w:r>
      <w:r w:rsidRPr="00E27315">
        <w:rPr>
          <w:rFonts w:cs="Arial"/>
          <w:sz w:val="18"/>
          <w:szCs w:val="18"/>
          <w:rtl/>
        </w:rPr>
        <w:t xml:space="preserve"> </w:t>
      </w:r>
      <w:r w:rsidRPr="00E27315">
        <w:rPr>
          <w:rFonts w:cs="Arial" w:hint="cs"/>
          <w:sz w:val="18"/>
          <w:szCs w:val="18"/>
          <w:rtl/>
        </w:rPr>
        <w:t>תראה</w:t>
      </w:r>
      <w:r w:rsidRPr="00E27315">
        <w:rPr>
          <w:rFonts w:cs="Arial"/>
          <w:sz w:val="18"/>
          <w:szCs w:val="18"/>
          <w:rtl/>
        </w:rPr>
        <w:t xml:space="preserve"> </w:t>
      </w:r>
      <w:r w:rsidRPr="00E27315">
        <w:rPr>
          <w:rFonts w:cs="Arial" w:hint="cs"/>
          <w:sz w:val="18"/>
          <w:szCs w:val="18"/>
          <w:rtl/>
        </w:rPr>
        <w:t>לאחר</w:t>
      </w:r>
      <w:r w:rsidRPr="00E27315">
        <w:rPr>
          <w:rFonts w:cs="Arial"/>
          <w:sz w:val="18"/>
          <w:szCs w:val="18"/>
          <w:rtl/>
        </w:rPr>
        <w:t xml:space="preserve"> </w:t>
      </w:r>
      <w:r w:rsidRPr="00E27315">
        <w:rPr>
          <w:rFonts w:cs="Arial" w:hint="cs"/>
          <w:sz w:val="18"/>
          <w:szCs w:val="18"/>
          <w:rtl/>
        </w:rPr>
        <w:t>תשמיש</w:t>
      </w:r>
      <w:r w:rsidRPr="00E27315">
        <w:rPr>
          <w:rFonts w:cs="Arial"/>
          <w:sz w:val="18"/>
          <w:szCs w:val="18"/>
          <w:rtl/>
        </w:rPr>
        <w:t xml:space="preserve"> </w:t>
      </w:r>
      <w:r w:rsidRPr="00E27315">
        <w:rPr>
          <w:rFonts w:cs="Arial" w:hint="cs"/>
          <w:sz w:val="18"/>
          <w:szCs w:val="18"/>
          <w:rtl/>
        </w:rPr>
        <w:t>ומצטרפין</w:t>
      </w:r>
      <w:r w:rsidRPr="00E27315">
        <w:rPr>
          <w:rFonts w:cs="Arial"/>
          <w:sz w:val="18"/>
          <w:szCs w:val="18"/>
          <w:rtl/>
        </w:rPr>
        <w:t xml:space="preserve"> </w:t>
      </w:r>
      <w:r w:rsidRPr="00E27315">
        <w:rPr>
          <w:rFonts w:cs="Arial" w:hint="cs"/>
          <w:sz w:val="18"/>
          <w:szCs w:val="18"/>
          <w:rtl/>
        </w:rPr>
        <w:t>הימים</w:t>
      </w:r>
      <w:r w:rsidRPr="00E27315">
        <w:rPr>
          <w:rFonts w:cs="Arial"/>
          <w:sz w:val="18"/>
          <w:szCs w:val="18"/>
          <w:rtl/>
        </w:rPr>
        <w:t xml:space="preserve"> </w:t>
      </w:r>
      <w:r w:rsidRPr="00E27315">
        <w:rPr>
          <w:rFonts w:cs="Arial" w:hint="cs"/>
          <w:sz w:val="18"/>
          <w:szCs w:val="18"/>
          <w:rtl/>
        </w:rPr>
        <w:t>לזיבה</w:t>
      </w:r>
      <w:r w:rsidRPr="00E27315">
        <w:rPr>
          <w:rFonts w:cs="Arial"/>
          <w:sz w:val="18"/>
          <w:szCs w:val="18"/>
          <w:rtl/>
        </w:rPr>
        <w:t xml:space="preserve"> </w:t>
      </w:r>
      <w:r w:rsidRPr="00E27315">
        <w:rPr>
          <w:rFonts w:cs="Arial" w:hint="cs"/>
          <w:sz w:val="18"/>
          <w:szCs w:val="18"/>
          <w:rtl/>
        </w:rPr>
        <w:t>ואין</w:t>
      </w:r>
      <w:r w:rsidRPr="00E27315">
        <w:rPr>
          <w:rFonts w:cs="Arial"/>
          <w:sz w:val="18"/>
          <w:szCs w:val="18"/>
          <w:rtl/>
        </w:rPr>
        <w:t xml:space="preserve"> </w:t>
      </w:r>
      <w:r w:rsidRPr="00E27315">
        <w:rPr>
          <w:rFonts w:cs="Arial" w:hint="cs"/>
          <w:sz w:val="18"/>
          <w:szCs w:val="18"/>
          <w:rtl/>
        </w:rPr>
        <w:t>טבילתה</w:t>
      </w:r>
      <w:r w:rsidRPr="00E27315">
        <w:rPr>
          <w:rFonts w:cs="Arial"/>
          <w:sz w:val="18"/>
          <w:szCs w:val="18"/>
          <w:rtl/>
        </w:rPr>
        <w:t xml:space="preserve"> </w:t>
      </w:r>
      <w:r w:rsidRPr="00E27315">
        <w:rPr>
          <w:rFonts w:cs="Arial" w:hint="cs"/>
          <w:sz w:val="18"/>
          <w:szCs w:val="18"/>
          <w:rtl/>
        </w:rPr>
        <w:t>טבילה</w:t>
      </w:r>
      <w:r w:rsidRPr="00E27315">
        <w:rPr>
          <w:rFonts w:cs="Arial"/>
          <w:sz w:val="18"/>
          <w:szCs w:val="18"/>
          <w:rtl/>
        </w:rPr>
        <w:t>.</w:t>
      </w:r>
      <w:r w:rsidRPr="00E27315">
        <w:rPr>
          <w:rFonts w:cs="Arial"/>
          <w:sz w:val="18"/>
          <w:szCs w:val="18"/>
          <w:rtl/>
        </w:rPr>
        <w:br/>
      </w:r>
      <w:r w:rsidRPr="00E27315">
        <w:rPr>
          <w:rFonts w:cs="Arial" w:hint="cs"/>
          <w:sz w:val="18"/>
          <w:szCs w:val="18"/>
          <w:rtl/>
        </w:rPr>
        <w:t>מטמאין</w:t>
      </w:r>
      <w:r w:rsidRPr="00E27315">
        <w:rPr>
          <w:rFonts w:cs="Arial"/>
          <w:sz w:val="18"/>
          <w:szCs w:val="18"/>
          <w:rtl/>
        </w:rPr>
        <w:t xml:space="preserve"> </w:t>
      </w:r>
      <w:r w:rsidRPr="00E27315">
        <w:rPr>
          <w:rFonts w:cs="Arial" w:hint="cs"/>
          <w:sz w:val="18"/>
          <w:szCs w:val="18"/>
          <w:rtl/>
        </w:rPr>
        <w:t>משכב</w:t>
      </w:r>
      <w:r w:rsidRPr="00E27315">
        <w:rPr>
          <w:rFonts w:cs="Arial"/>
          <w:sz w:val="18"/>
          <w:szCs w:val="18"/>
          <w:rtl/>
        </w:rPr>
        <w:t xml:space="preserve"> </w:t>
      </w:r>
      <w:r w:rsidRPr="00E27315">
        <w:rPr>
          <w:rFonts w:cs="Arial" w:hint="cs"/>
          <w:sz w:val="18"/>
          <w:szCs w:val="18"/>
          <w:rtl/>
        </w:rPr>
        <w:t>ומושב</w:t>
      </w:r>
      <w:r w:rsidRPr="00E27315">
        <w:rPr>
          <w:rFonts w:cs="Arial"/>
          <w:sz w:val="18"/>
          <w:szCs w:val="18"/>
          <w:rtl/>
        </w:rPr>
        <w:t xml:space="preserve"> - </w:t>
      </w:r>
      <w:r w:rsidRPr="00E27315">
        <w:rPr>
          <w:rFonts w:cs="Arial" w:hint="cs"/>
          <w:sz w:val="18"/>
          <w:szCs w:val="18"/>
          <w:rtl/>
        </w:rPr>
        <w:t>ואפילו</w:t>
      </w:r>
      <w:r w:rsidRPr="00E27315">
        <w:rPr>
          <w:rFonts w:cs="Arial"/>
          <w:sz w:val="18"/>
          <w:szCs w:val="18"/>
          <w:rtl/>
        </w:rPr>
        <w:t xml:space="preserve"> </w:t>
      </w:r>
      <w:r w:rsidRPr="00E27315">
        <w:rPr>
          <w:rFonts w:cs="Arial" w:hint="cs"/>
          <w:sz w:val="18"/>
          <w:szCs w:val="18"/>
          <w:rtl/>
        </w:rPr>
        <w:t>בועלה</w:t>
      </w:r>
      <w:r w:rsidRPr="00E27315">
        <w:rPr>
          <w:rFonts w:cs="Arial"/>
          <w:sz w:val="18"/>
          <w:szCs w:val="18"/>
          <w:rtl/>
        </w:rPr>
        <w:t xml:space="preserve"> </w:t>
      </w:r>
      <w:r w:rsidRPr="00F07918">
        <w:rPr>
          <w:rFonts w:cs="Arial" w:hint="cs"/>
          <w:sz w:val="18"/>
          <w:szCs w:val="18"/>
          <w:u w:val="single"/>
          <w:rtl/>
        </w:rPr>
        <w:t>מדרבנן</w:t>
      </w:r>
      <w:r w:rsidRPr="00E27315">
        <w:rPr>
          <w:rFonts w:cs="Arial"/>
          <w:sz w:val="18"/>
          <w:szCs w:val="18"/>
          <w:rtl/>
        </w:rPr>
        <w:t xml:space="preserve"> </w:t>
      </w:r>
      <w:r w:rsidRPr="00E27315">
        <w:rPr>
          <w:rFonts w:cs="Arial" w:hint="cs"/>
          <w:sz w:val="18"/>
          <w:szCs w:val="18"/>
          <w:rtl/>
        </w:rPr>
        <w:t>גזרו</w:t>
      </w:r>
      <w:r w:rsidRPr="00E27315">
        <w:rPr>
          <w:rFonts w:cs="Arial"/>
          <w:sz w:val="18"/>
          <w:szCs w:val="18"/>
          <w:rtl/>
        </w:rPr>
        <w:t xml:space="preserve"> </w:t>
      </w:r>
      <w:r w:rsidRPr="00E27315">
        <w:rPr>
          <w:rFonts w:cs="Arial" w:hint="cs"/>
          <w:sz w:val="18"/>
          <w:szCs w:val="18"/>
          <w:rtl/>
        </w:rPr>
        <w:t>אטו</w:t>
      </w:r>
      <w:r w:rsidRPr="00E27315">
        <w:rPr>
          <w:rFonts w:cs="Arial"/>
          <w:sz w:val="18"/>
          <w:szCs w:val="18"/>
          <w:rtl/>
        </w:rPr>
        <w:t xml:space="preserve"> </w:t>
      </w:r>
      <w:r w:rsidRPr="00E27315">
        <w:rPr>
          <w:rFonts w:cs="Arial" w:hint="cs"/>
          <w:sz w:val="18"/>
          <w:szCs w:val="18"/>
          <w:rtl/>
        </w:rPr>
        <w:t>תוך</w:t>
      </w:r>
      <w:r w:rsidRPr="00E27315">
        <w:rPr>
          <w:rFonts w:cs="Arial"/>
          <w:sz w:val="18"/>
          <w:szCs w:val="18"/>
          <w:rtl/>
        </w:rPr>
        <w:t xml:space="preserve"> </w:t>
      </w:r>
      <w:r w:rsidRPr="00E27315">
        <w:rPr>
          <w:rFonts w:cs="Arial" w:hint="cs"/>
          <w:sz w:val="18"/>
          <w:szCs w:val="18"/>
          <w:rtl/>
        </w:rPr>
        <w:t>י</w:t>
      </w:r>
      <w:r w:rsidRPr="00E27315">
        <w:rPr>
          <w:rFonts w:cs="Arial"/>
          <w:sz w:val="18"/>
          <w:szCs w:val="18"/>
          <w:rtl/>
        </w:rPr>
        <w:t>"</w:t>
      </w:r>
      <w:r w:rsidRPr="00E27315">
        <w:rPr>
          <w:rFonts w:cs="Arial" w:hint="cs"/>
          <w:sz w:val="18"/>
          <w:szCs w:val="18"/>
          <w:rtl/>
        </w:rPr>
        <w:t>א</w:t>
      </w:r>
      <w:r w:rsidRPr="00E27315">
        <w:rPr>
          <w:rFonts w:cs="Arial"/>
          <w:sz w:val="18"/>
          <w:szCs w:val="18"/>
          <w:rtl/>
        </w:rPr>
        <w:t xml:space="preserve"> </w:t>
      </w:r>
      <w:r w:rsidRPr="00E27315">
        <w:rPr>
          <w:rFonts w:cs="Arial" w:hint="cs"/>
          <w:sz w:val="18"/>
          <w:szCs w:val="18"/>
          <w:rtl/>
        </w:rPr>
        <w:t>יום</w:t>
      </w:r>
      <w:r w:rsidRPr="00E27315">
        <w:rPr>
          <w:rFonts w:cs="Arial"/>
          <w:sz w:val="18"/>
          <w:szCs w:val="18"/>
          <w:rtl/>
        </w:rPr>
        <w:t>.</w:t>
      </w:r>
      <w:r w:rsidRPr="00E27315">
        <w:rPr>
          <w:rFonts w:cs="Arial"/>
          <w:sz w:val="18"/>
          <w:szCs w:val="18"/>
          <w:rtl/>
        </w:rPr>
        <w:br/>
      </w:r>
      <w:r w:rsidRPr="00E27315">
        <w:rPr>
          <w:rFonts w:cs="Arial" w:hint="cs"/>
          <w:sz w:val="18"/>
          <w:szCs w:val="18"/>
          <w:rtl/>
        </w:rPr>
        <w:t>ופטורין</w:t>
      </w:r>
      <w:r w:rsidRPr="00E27315">
        <w:rPr>
          <w:rFonts w:cs="Arial"/>
          <w:sz w:val="18"/>
          <w:szCs w:val="18"/>
          <w:rtl/>
        </w:rPr>
        <w:t xml:space="preserve"> </w:t>
      </w:r>
      <w:r w:rsidRPr="00E27315">
        <w:rPr>
          <w:rFonts w:cs="Arial" w:hint="cs"/>
          <w:sz w:val="18"/>
          <w:szCs w:val="18"/>
          <w:rtl/>
        </w:rPr>
        <w:t>מן</w:t>
      </w:r>
      <w:r w:rsidRPr="00E27315">
        <w:rPr>
          <w:rFonts w:cs="Arial"/>
          <w:sz w:val="18"/>
          <w:szCs w:val="18"/>
          <w:rtl/>
        </w:rPr>
        <w:t xml:space="preserve"> </w:t>
      </w:r>
      <w:r w:rsidRPr="00E27315">
        <w:rPr>
          <w:rFonts w:cs="Arial" w:hint="cs"/>
          <w:sz w:val="18"/>
          <w:szCs w:val="18"/>
          <w:rtl/>
        </w:rPr>
        <w:t>הקרבן</w:t>
      </w:r>
      <w:r w:rsidRPr="00E27315">
        <w:rPr>
          <w:rFonts w:cs="Arial"/>
          <w:sz w:val="18"/>
          <w:szCs w:val="18"/>
          <w:rtl/>
        </w:rPr>
        <w:t xml:space="preserve"> - </w:t>
      </w:r>
      <w:r w:rsidRPr="00E27315">
        <w:rPr>
          <w:rFonts w:cs="Arial" w:hint="cs"/>
          <w:sz w:val="18"/>
          <w:szCs w:val="18"/>
          <w:rtl/>
        </w:rPr>
        <w:t>דהא</w:t>
      </w:r>
      <w:r w:rsidRPr="00E27315">
        <w:rPr>
          <w:rFonts w:cs="Arial"/>
          <w:sz w:val="18"/>
          <w:szCs w:val="18"/>
          <w:rtl/>
        </w:rPr>
        <w:t xml:space="preserve"> </w:t>
      </w:r>
      <w:r w:rsidRPr="00E27315">
        <w:rPr>
          <w:rFonts w:cs="Arial" w:hint="cs"/>
          <w:sz w:val="18"/>
          <w:szCs w:val="18"/>
          <w:rtl/>
        </w:rPr>
        <w:t>עבדי</w:t>
      </w:r>
      <w:r w:rsidRPr="00E27315">
        <w:rPr>
          <w:rFonts w:cs="Arial"/>
          <w:sz w:val="18"/>
          <w:szCs w:val="18"/>
          <w:rtl/>
        </w:rPr>
        <w:t xml:space="preserve"> </w:t>
      </w:r>
      <w:r w:rsidRPr="00E27315">
        <w:rPr>
          <w:rFonts w:cs="Arial" w:hint="cs"/>
          <w:sz w:val="18"/>
          <w:szCs w:val="18"/>
          <w:rtl/>
        </w:rPr>
        <w:t>שימור</w:t>
      </w:r>
      <w:r w:rsidRPr="00E27315">
        <w:rPr>
          <w:rFonts w:cs="Arial"/>
          <w:sz w:val="18"/>
          <w:szCs w:val="18"/>
          <w:rtl/>
        </w:rPr>
        <w:t xml:space="preserve"> </w:t>
      </w:r>
      <w:r w:rsidRPr="00E27315">
        <w:rPr>
          <w:rFonts w:cs="Arial" w:hint="cs"/>
          <w:sz w:val="18"/>
          <w:szCs w:val="18"/>
          <w:rtl/>
        </w:rPr>
        <w:t>ואף</w:t>
      </w:r>
      <w:r w:rsidRPr="00E27315">
        <w:rPr>
          <w:rFonts w:cs="Arial"/>
          <w:sz w:val="18"/>
          <w:szCs w:val="18"/>
          <w:rtl/>
        </w:rPr>
        <w:t xml:space="preserve"> </w:t>
      </w:r>
      <w:r w:rsidRPr="00E27315">
        <w:rPr>
          <w:rFonts w:cs="Arial" w:hint="cs"/>
          <w:sz w:val="18"/>
          <w:szCs w:val="18"/>
          <w:rtl/>
        </w:rPr>
        <w:t>על</w:t>
      </w:r>
      <w:r w:rsidRPr="00E27315">
        <w:rPr>
          <w:rFonts w:cs="Arial"/>
          <w:sz w:val="18"/>
          <w:szCs w:val="18"/>
          <w:rtl/>
        </w:rPr>
        <w:t xml:space="preserve"> </w:t>
      </w:r>
      <w:r w:rsidRPr="00E27315">
        <w:rPr>
          <w:rFonts w:cs="Arial" w:hint="cs"/>
          <w:sz w:val="18"/>
          <w:szCs w:val="18"/>
          <w:rtl/>
        </w:rPr>
        <w:t>פי</w:t>
      </w:r>
      <w:r w:rsidRPr="00E27315">
        <w:rPr>
          <w:rFonts w:cs="Arial"/>
          <w:sz w:val="18"/>
          <w:szCs w:val="18"/>
          <w:rtl/>
        </w:rPr>
        <w:t xml:space="preserve"> </w:t>
      </w:r>
      <w:r w:rsidRPr="00E27315">
        <w:rPr>
          <w:rFonts w:cs="Arial" w:hint="cs"/>
          <w:sz w:val="18"/>
          <w:szCs w:val="18"/>
          <w:rtl/>
        </w:rPr>
        <w:t>שחזרה</w:t>
      </w:r>
      <w:r w:rsidRPr="00E27315">
        <w:rPr>
          <w:rFonts w:cs="Arial"/>
          <w:sz w:val="18"/>
          <w:szCs w:val="18"/>
          <w:rtl/>
        </w:rPr>
        <w:t xml:space="preserve"> </w:t>
      </w:r>
      <w:r w:rsidRPr="00E27315">
        <w:rPr>
          <w:rFonts w:cs="Arial" w:hint="cs"/>
          <w:sz w:val="18"/>
          <w:szCs w:val="18"/>
          <w:rtl/>
        </w:rPr>
        <w:t>וראתה</w:t>
      </w:r>
      <w:r w:rsidRPr="00E27315">
        <w:rPr>
          <w:rFonts w:cs="Arial"/>
          <w:sz w:val="18"/>
          <w:szCs w:val="18"/>
          <w:rtl/>
        </w:rPr>
        <w:t xml:space="preserve"> </w:t>
      </w:r>
      <w:r w:rsidRPr="00E27315">
        <w:rPr>
          <w:rFonts w:cs="Arial" w:hint="cs"/>
          <w:sz w:val="18"/>
          <w:szCs w:val="18"/>
          <w:rtl/>
        </w:rPr>
        <w:t>אין</w:t>
      </w:r>
      <w:r w:rsidRPr="00E27315">
        <w:rPr>
          <w:rFonts w:cs="Arial"/>
          <w:sz w:val="18"/>
          <w:szCs w:val="18"/>
          <w:rtl/>
        </w:rPr>
        <w:t xml:space="preserve"> </w:t>
      </w:r>
      <w:r w:rsidRPr="00E27315">
        <w:rPr>
          <w:rFonts w:cs="Arial" w:hint="cs"/>
          <w:sz w:val="18"/>
          <w:szCs w:val="18"/>
          <w:rtl/>
        </w:rPr>
        <w:t>מצטרפין</w:t>
      </w:r>
      <w:r w:rsidRPr="00E27315">
        <w:rPr>
          <w:rFonts w:cs="Arial"/>
          <w:sz w:val="18"/>
          <w:szCs w:val="18"/>
          <w:rtl/>
        </w:rPr>
        <w:t xml:space="preserve"> </w:t>
      </w:r>
      <w:r w:rsidRPr="00E27315">
        <w:rPr>
          <w:rFonts w:cs="Arial" w:hint="cs"/>
          <w:sz w:val="18"/>
          <w:szCs w:val="18"/>
          <w:rtl/>
        </w:rPr>
        <w:t>לזיבה</w:t>
      </w:r>
      <w:r w:rsidRPr="00E27315">
        <w:rPr>
          <w:rFonts w:cs="Arial"/>
          <w:sz w:val="18"/>
          <w:szCs w:val="18"/>
          <w:rtl/>
        </w:rPr>
        <w:t xml:space="preserve"> </w:t>
      </w:r>
      <w:r w:rsidRPr="00E27315">
        <w:rPr>
          <w:rFonts w:cs="Arial" w:hint="cs"/>
          <w:sz w:val="18"/>
          <w:szCs w:val="18"/>
          <w:rtl/>
        </w:rPr>
        <w:t>שהרי</w:t>
      </w:r>
      <w:r w:rsidRPr="00E27315">
        <w:rPr>
          <w:rFonts w:cs="Arial"/>
          <w:sz w:val="18"/>
          <w:szCs w:val="18"/>
          <w:rtl/>
        </w:rPr>
        <w:t xml:space="preserve"> </w:t>
      </w:r>
      <w:r w:rsidRPr="00E27315">
        <w:rPr>
          <w:rFonts w:cs="Arial" w:hint="cs"/>
          <w:sz w:val="18"/>
          <w:szCs w:val="18"/>
          <w:rtl/>
        </w:rPr>
        <w:t>תחילת</w:t>
      </w:r>
      <w:r w:rsidRPr="00E27315">
        <w:rPr>
          <w:rFonts w:cs="Arial"/>
          <w:sz w:val="18"/>
          <w:szCs w:val="18"/>
          <w:rtl/>
        </w:rPr>
        <w:t xml:space="preserve"> </w:t>
      </w:r>
      <w:r w:rsidRPr="00E27315">
        <w:rPr>
          <w:rFonts w:cs="Arial" w:hint="cs"/>
          <w:sz w:val="18"/>
          <w:szCs w:val="18"/>
          <w:rtl/>
        </w:rPr>
        <w:t>נדה</w:t>
      </w:r>
      <w:r w:rsidRPr="00E27315">
        <w:rPr>
          <w:rFonts w:cs="Arial"/>
          <w:sz w:val="18"/>
          <w:szCs w:val="18"/>
          <w:rtl/>
        </w:rPr>
        <w:t xml:space="preserve"> </w:t>
      </w:r>
      <w:r w:rsidRPr="00E27315">
        <w:rPr>
          <w:rFonts w:cs="Arial" w:hint="cs"/>
          <w:sz w:val="18"/>
          <w:szCs w:val="18"/>
          <w:rtl/>
        </w:rPr>
        <w:t>היא</w:t>
      </w:r>
      <w:r w:rsidRPr="00E27315">
        <w:rPr>
          <w:rFonts w:cs="Arial"/>
          <w:sz w:val="18"/>
          <w:szCs w:val="18"/>
          <w:rtl/>
        </w:rPr>
        <w:t>.</w:t>
      </w:r>
      <w:r w:rsidRPr="00E27315">
        <w:rPr>
          <w:rFonts w:cs="Arial"/>
          <w:sz w:val="18"/>
          <w:szCs w:val="18"/>
          <w:rtl/>
        </w:rPr>
        <w:br/>
      </w:r>
      <w:r w:rsidRPr="00E27315">
        <w:rPr>
          <w:rFonts w:cs="Arial" w:hint="cs"/>
          <w:sz w:val="18"/>
          <w:szCs w:val="18"/>
          <w:rtl/>
        </w:rPr>
        <w:t>גרגרן</w:t>
      </w:r>
      <w:r w:rsidRPr="00E27315">
        <w:rPr>
          <w:rFonts w:cs="Arial"/>
          <w:sz w:val="18"/>
          <w:szCs w:val="18"/>
          <w:rtl/>
        </w:rPr>
        <w:t xml:space="preserve"> - </w:t>
      </w:r>
      <w:r w:rsidRPr="00E27315">
        <w:rPr>
          <w:rFonts w:cs="Arial" w:hint="cs"/>
          <w:sz w:val="18"/>
          <w:szCs w:val="18"/>
          <w:rtl/>
        </w:rPr>
        <w:t>ממהר</w:t>
      </w:r>
      <w:r w:rsidRPr="00E27315">
        <w:rPr>
          <w:rFonts w:cs="Arial"/>
          <w:sz w:val="18"/>
          <w:szCs w:val="18"/>
          <w:rtl/>
        </w:rPr>
        <w:t xml:space="preserve"> </w:t>
      </w:r>
      <w:r w:rsidRPr="00E27315">
        <w:rPr>
          <w:rFonts w:cs="Arial" w:hint="cs"/>
          <w:sz w:val="18"/>
          <w:szCs w:val="18"/>
          <w:rtl/>
        </w:rPr>
        <w:t>לחטוא</w:t>
      </w:r>
      <w:r w:rsidRPr="00E27315">
        <w:rPr>
          <w:rFonts w:cs="Arial"/>
          <w:sz w:val="18"/>
          <w:szCs w:val="18"/>
          <w:rtl/>
        </w:rPr>
        <w:t xml:space="preserve"> </w:t>
      </w:r>
      <w:r w:rsidRPr="00E27315">
        <w:rPr>
          <w:rFonts w:cs="Arial" w:hint="cs"/>
          <w:sz w:val="18"/>
          <w:szCs w:val="18"/>
          <w:rtl/>
        </w:rPr>
        <w:t>שמא</w:t>
      </w:r>
      <w:r w:rsidRPr="00E27315">
        <w:rPr>
          <w:rFonts w:cs="Arial"/>
          <w:sz w:val="18"/>
          <w:szCs w:val="18"/>
          <w:rtl/>
        </w:rPr>
        <w:t xml:space="preserve"> </w:t>
      </w:r>
      <w:r w:rsidRPr="00E27315">
        <w:rPr>
          <w:rFonts w:cs="Arial" w:hint="cs"/>
          <w:sz w:val="18"/>
          <w:szCs w:val="18"/>
          <w:rtl/>
        </w:rPr>
        <w:t>ירגיל</w:t>
      </w:r>
      <w:r w:rsidRPr="00E27315">
        <w:rPr>
          <w:rFonts w:cs="Arial"/>
          <w:sz w:val="18"/>
          <w:szCs w:val="18"/>
          <w:rtl/>
        </w:rPr>
        <w:t xml:space="preserve"> </w:t>
      </w:r>
      <w:r w:rsidRPr="00E27315">
        <w:rPr>
          <w:rFonts w:cs="Arial" w:hint="cs"/>
          <w:sz w:val="18"/>
          <w:szCs w:val="18"/>
          <w:rtl/>
        </w:rPr>
        <w:t>בכך</w:t>
      </w:r>
      <w:r w:rsidRPr="00E27315">
        <w:rPr>
          <w:rFonts w:cs="Arial"/>
          <w:sz w:val="18"/>
          <w:szCs w:val="18"/>
          <w:rtl/>
        </w:rPr>
        <w:t xml:space="preserve"> </w:t>
      </w:r>
      <w:r w:rsidRPr="00E27315">
        <w:rPr>
          <w:rFonts w:cs="Arial" w:hint="cs"/>
          <w:sz w:val="18"/>
          <w:szCs w:val="18"/>
          <w:rtl/>
        </w:rPr>
        <w:t>תוך</w:t>
      </w:r>
      <w:r w:rsidRPr="00E27315">
        <w:rPr>
          <w:rFonts w:cs="Arial"/>
          <w:sz w:val="18"/>
          <w:szCs w:val="18"/>
          <w:rtl/>
        </w:rPr>
        <w:t xml:space="preserve"> </w:t>
      </w:r>
      <w:r w:rsidRPr="00E27315">
        <w:rPr>
          <w:rFonts w:cs="Arial" w:hint="cs"/>
          <w:sz w:val="18"/>
          <w:szCs w:val="18"/>
          <w:rtl/>
        </w:rPr>
        <w:t>י</w:t>
      </w:r>
      <w:r w:rsidRPr="00E27315">
        <w:rPr>
          <w:rFonts w:cs="Arial"/>
          <w:sz w:val="18"/>
          <w:szCs w:val="18"/>
          <w:rtl/>
        </w:rPr>
        <w:t>"</w:t>
      </w:r>
      <w:r w:rsidRPr="00E27315">
        <w:rPr>
          <w:rFonts w:cs="Arial" w:hint="cs"/>
          <w:sz w:val="18"/>
          <w:szCs w:val="18"/>
          <w:rtl/>
        </w:rPr>
        <w:t>א</w:t>
      </w:r>
      <w:r w:rsidRPr="00E27315">
        <w:rPr>
          <w:rFonts w:cs="Arial"/>
          <w:sz w:val="18"/>
          <w:szCs w:val="18"/>
          <w:rtl/>
        </w:rPr>
        <w:t xml:space="preserve"> </w:t>
      </w:r>
      <w:r w:rsidRPr="00E27315">
        <w:rPr>
          <w:rFonts w:cs="Arial" w:hint="cs"/>
          <w:sz w:val="18"/>
          <w:szCs w:val="18"/>
          <w:rtl/>
        </w:rPr>
        <w:t>אבל</w:t>
      </w:r>
      <w:r w:rsidRPr="00E27315">
        <w:rPr>
          <w:rFonts w:cs="Arial"/>
          <w:sz w:val="18"/>
          <w:szCs w:val="18"/>
          <w:rtl/>
        </w:rPr>
        <w:t xml:space="preserve"> </w:t>
      </w:r>
      <w:r w:rsidRPr="00E27315">
        <w:rPr>
          <w:rFonts w:cs="Arial" w:hint="cs"/>
          <w:sz w:val="18"/>
          <w:szCs w:val="18"/>
          <w:rtl/>
        </w:rPr>
        <w:t>לענין</w:t>
      </w:r>
      <w:r w:rsidRPr="00E27315">
        <w:rPr>
          <w:rFonts w:cs="Arial"/>
          <w:sz w:val="18"/>
          <w:szCs w:val="18"/>
          <w:rtl/>
        </w:rPr>
        <w:t xml:space="preserve"> </w:t>
      </w:r>
      <w:r w:rsidRPr="00E27315">
        <w:rPr>
          <w:rFonts w:cs="Arial" w:hint="cs"/>
          <w:sz w:val="18"/>
          <w:szCs w:val="18"/>
          <w:rtl/>
        </w:rPr>
        <w:t>טומאה</w:t>
      </w:r>
      <w:r w:rsidRPr="00E27315">
        <w:rPr>
          <w:rFonts w:cs="Arial"/>
          <w:sz w:val="18"/>
          <w:szCs w:val="18"/>
          <w:rtl/>
        </w:rPr>
        <w:t xml:space="preserve"> </w:t>
      </w:r>
      <w:r w:rsidRPr="00E27315">
        <w:rPr>
          <w:rFonts w:cs="Arial" w:hint="cs"/>
          <w:sz w:val="18"/>
          <w:szCs w:val="18"/>
          <w:rtl/>
        </w:rPr>
        <w:t>טהור</w:t>
      </w:r>
    </w:p>
  </w:footnote>
  <w:footnote w:id="9">
    <w:p w:rsidR="005953C5" w:rsidRPr="00F07918" w:rsidRDefault="005953C5" w:rsidP="00620060">
      <w:pPr>
        <w:pStyle w:val="a3"/>
        <w:rPr>
          <w:sz w:val="18"/>
          <w:szCs w:val="18"/>
          <w:rtl/>
        </w:rPr>
      </w:pPr>
      <w:r w:rsidRPr="00F07918">
        <w:rPr>
          <w:rStyle w:val="a5"/>
          <w:sz w:val="18"/>
          <w:szCs w:val="18"/>
        </w:rPr>
        <w:footnoteRef/>
      </w:r>
      <w:r w:rsidRPr="00F07918">
        <w:rPr>
          <w:sz w:val="18"/>
          <w:szCs w:val="18"/>
          <w:rtl/>
        </w:rPr>
        <w:t xml:space="preserve"> </w:t>
      </w:r>
      <w:r w:rsidRPr="000E42E5">
        <w:rPr>
          <w:rFonts w:hint="cs"/>
          <w:sz w:val="18"/>
          <w:szCs w:val="18"/>
          <w:u w:val="single"/>
          <w:rtl/>
        </w:rPr>
        <w:t>סיכום המחלוקות</w:t>
      </w:r>
      <w:r w:rsidRPr="00F07918">
        <w:rPr>
          <w:rFonts w:hint="cs"/>
          <w:sz w:val="18"/>
          <w:szCs w:val="18"/>
          <w:rtl/>
        </w:rPr>
        <w:t xml:space="preserve"> - </w:t>
      </w:r>
      <w:r w:rsidRPr="00F07918">
        <w:rPr>
          <w:sz w:val="18"/>
          <w:szCs w:val="18"/>
          <w:rtl/>
        </w:rPr>
        <w:br/>
      </w:r>
      <w:r>
        <w:rPr>
          <w:rFonts w:hint="cs"/>
          <w:sz w:val="18"/>
          <w:szCs w:val="18"/>
          <w:rtl/>
        </w:rPr>
        <w:t xml:space="preserve">א. בית שמאי סוברים שהרואה ביום יא' צריכה שימור, ואפילו מקצת יום יב' הוי שימור. ב"ה חולקים וסוברים שאינה צריכה שימור. ואמנם, אם טבלה למחרת </w:t>
      </w:r>
      <w:r w:rsidRPr="00714290">
        <w:rPr>
          <w:rFonts w:hint="cs"/>
          <w:sz w:val="16"/>
          <w:szCs w:val="16"/>
          <w:rtl/>
        </w:rPr>
        <w:t xml:space="preserve">(ביום יב') </w:t>
      </w:r>
      <w:r>
        <w:rPr>
          <w:rFonts w:hint="cs"/>
          <w:sz w:val="18"/>
          <w:szCs w:val="18"/>
          <w:rtl/>
        </w:rPr>
        <w:t>מודים ב"ש שטמאה ואסורה בתשמיש רק מדרבנן.</w:t>
      </w:r>
      <w:r>
        <w:rPr>
          <w:sz w:val="18"/>
          <w:szCs w:val="18"/>
          <w:rtl/>
        </w:rPr>
        <w:br/>
      </w:r>
      <w:r>
        <w:rPr>
          <w:rFonts w:hint="cs"/>
          <w:sz w:val="18"/>
          <w:szCs w:val="18"/>
          <w:rtl/>
        </w:rPr>
        <w:t xml:space="preserve">ב. </w:t>
      </w:r>
      <w:r w:rsidRPr="00F07918">
        <w:rPr>
          <w:rFonts w:hint="cs"/>
          <w:sz w:val="18"/>
          <w:szCs w:val="18"/>
          <w:rtl/>
        </w:rPr>
        <w:t>נחלקו אמוראים בדעת ב"ה האם מותר לשמש עמה</w:t>
      </w:r>
      <w:r>
        <w:rPr>
          <w:rFonts w:hint="cs"/>
          <w:sz w:val="18"/>
          <w:szCs w:val="18"/>
          <w:rtl/>
        </w:rPr>
        <w:t xml:space="preserve"> ביום יב'</w:t>
      </w:r>
      <w:r w:rsidRPr="00F07918">
        <w:rPr>
          <w:rFonts w:hint="cs"/>
          <w:sz w:val="18"/>
          <w:szCs w:val="18"/>
          <w:rtl/>
        </w:rPr>
        <w:t>, רב ששת אוסר ורב אשי מתיר.</w:t>
      </w:r>
    </w:p>
  </w:footnote>
  <w:footnote w:id="10">
    <w:p w:rsidR="005953C5" w:rsidRDefault="005953C5" w:rsidP="00620060">
      <w:pPr>
        <w:pStyle w:val="a3"/>
        <w:rPr>
          <w:rtl/>
        </w:rPr>
      </w:pPr>
      <w:r w:rsidRPr="003D6950">
        <w:rPr>
          <w:rStyle w:val="a5"/>
          <w:sz w:val="18"/>
          <w:szCs w:val="18"/>
        </w:rPr>
        <w:footnoteRef/>
      </w:r>
      <w:r w:rsidRPr="003D6950">
        <w:rPr>
          <w:sz w:val="18"/>
          <w:szCs w:val="18"/>
          <w:rtl/>
        </w:rPr>
        <w:t xml:space="preserve"> </w:t>
      </w:r>
      <w:r w:rsidRPr="003D6950">
        <w:rPr>
          <w:rFonts w:hint="cs"/>
          <w:sz w:val="18"/>
          <w:szCs w:val="18"/>
          <w:rtl/>
        </w:rPr>
        <w:t xml:space="preserve">אמנם, </w:t>
      </w:r>
      <w:r w:rsidRPr="003D6950">
        <w:rPr>
          <w:rFonts w:hint="cs"/>
          <w:b/>
          <w:bCs/>
          <w:sz w:val="18"/>
          <w:szCs w:val="18"/>
          <w:rtl/>
        </w:rPr>
        <w:t>הבית יוסף</w:t>
      </w:r>
      <w:r w:rsidRPr="003D6950">
        <w:rPr>
          <w:rFonts w:hint="cs"/>
          <w:sz w:val="18"/>
          <w:szCs w:val="18"/>
          <w:rtl/>
        </w:rPr>
        <w:t xml:space="preserve"> מעלה אפשרות נוספת בהסבר שיטת</w:t>
      </w:r>
      <w:r w:rsidRPr="00714290">
        <w:rPr>
          <w:rFonts w:hint="cs"/>
          <w:b/>
          <w:bCs/>
          <w:sz w:val="18"/>
          <w:szCs w:val="18"/>
          <w:rtl/>
        </w:rPr>
        <w:t xml:space="preserve"> הטור</w:t>
      </w:r>
      <w:r w:rsidRPr="003D6950">
        <w:rPr>
          <w:rFonts w:hint="cs"/>
          <w:sz w:val="18"/>
          <w:szCs w:val="18"/>
          <w:rtl/>
        </w:rPr>
        <w:t xml:space="preserve"> </w:t>
      </w:r>
      <w:r w:rsidRPr="003D6950">
        <w:rPr>
          <w:sz w:val="18"/>
          <w:szCs w:val="18"/>
          <w:rtl/>
        </w:rPr>
        <w:t>–</w:t>
      </w:r>
      <w:r w:rsidRPr="003D6950">
        <w:rPr>
          <w:rFonts w:hint="cs"/>
          <w:sz w:val="18"/>
          <w:szCs w:val="18"/>
          <w:rtl/>
        </w:rPr>
        <w:t xml:space="preserve"> </w:t>
      </w:r>
      <w:r>
        <w:rPr>
          <w:sz w:val="18"/>
          <w:szCs w:val="18"/>
          <w:rtl/>
        </w:rPr>
        <w:br/>
      </w:r>
      <w:r w:rsidRPr="003D6950">
        <w:rPr>
          <w:rFonts w:hint="cs"/>
          <w:sz w:val="18"/>
          <w:szCs w:val="18"/>
          <w:rtl/>
        </w:rPr>
        <w:t>הלכה כרמב"ם ורש"י שאסור לשמש, אלא שהטור לא כתב זאת משום שאין לנו נפק"מ בדין זה, שהרי איננו נוהגים לספור היום ימי זיבה, ולכן הטור כתב רק את הדין מדאורייתא שמותר לשמש ביום יב' לכו"ע, ולא נחית לכתוב את האיסור מדרבנן לדעת ב"ה</w:t>
      </w:r>
      <w:r>
        <w:rPr>
          <w:rFonts w:hint="cs"/>
          <w:sz w:val="18"/>
          <w:szCs w:val="18"/>
          <w:rtl/>
        </w:rPr>
        <w:t xml:space="preserve"> אליבא דרב ששת</w:t>
      </w:r>
      <w:r w:rsidRPr="003D6950">
        <w:rPr>
          <w:rFonts w:hint="cs"/>
          <w:sz w:val="18"/>
          <w:szCs w:val="18"/>
          <w:rtl/>
        </w:rPr>
        <w:t>.</w:t>
      </w:r>
    </w:p>
  </w:footnote>
  <w:footnote w:id="11">
    <w:p w:rsidR="005953C5" w:rsidRDefault="005953C5" w:rsidP="00620060">
      <w:pPr>
        <w:pStyle w:val="a3"/>
      </w:pPr>
      <w:r w:rsidRPr="00F46985">
        <w:rPr>
          <w:rStyle w:val="a5"/>
          <w:sz w:val="18"/>
          <w:szCs w:val="18"/>
        </w:rPr>
        <w:footnoteRef/>
      </w:r>
      <w:r w:rsidRPr="00F46985">
        <w:rPr>
          <w:sz w:val="18"/>
          <w:szCs w:val="18"/>
          <w:rtl/>
        </w:rPr>
        <w:t xml:space="preserve"> </w:t>
      </w:r>
      <w:r w:rsidRPr="00F46985">
        <w:rPr>
          <w:rFonts w:hint="cs"/>
          <w:b/>
          <w:bCs/>
          <w:sz w:val="18"/>
          <w:szCs w:val="18"/>
          <w:rtl/>
        </w:rPr>
        <w:t>בית יוסף</w:t>
      </w:r>
      <w:r w:rsidRPr="00F46985">
        <w:rPr>
          <w:rFonts w:hint="cs"/>
          <w:sz w:val="18"/>
          <w:szCs w:val="18"/>
          <w:rtl/>
        </w:rPr>
        <w:t xml:space="preserve"> </w:t>
      </w:r>
      <w:r w:rsidRPr="00F46985">
        <w:rPr>
          <w:sz w:val="18"/>
          <w:szCs w:val="18"/>
          <w:rtl/>
        </w:rPr>
        <w:t>–</w:t>
      </w:r>
      <w:r w:rsidRPr="00F46985">
        <w:rPr>
          <w:rFonts w:hint="cs"/>
          <w:sz w:val="18"/>
          <w:szCs w:val="18"/>
          <w:rtl/>
        </w:rPr>
        <w:t xml:space="preserve"> לא מצאנו שגזרו כך חז"ל להדיא, אך מצאנו גמרות בסגנון זה:</w:t>
      </w:r>
      <w:r w:rsidRPr="00F46985">
        <w:rPr>
          <w:rFonts w:hint="cs"/>
          <w:sz w:val="18"/>
          <w:szCs w:val="18"/>
          <w:rtl/>
        </w:rPr>
        <w:br/>
      </w:r>
      <w:r w:rsidRPr="002B1BDF">
        <w:rPr>
          <w:rFonts w:cs="Arial" w:hint="cs"/>
          <w:b/>
          <w:bCs/>
          <w:sz w:val="18"/>
          <w:szCs w:val="18"/>
          <w:rtl/>
        </w:rPr>
        <w:t>גמרא</w:t>
      </w:r>
      <w:r w:rsidRPr="00F46985">
        <w:rPr>
          <w:rFonts w:cs="Arial" w:hint="cs"/>
          <w:sz w:val="18"/>
          <w:szCs w:val="18"/>
          <w:rtl/>
        </w:rPr>
        <w:t xml:space="preserve"> נידה (כ:) "אמר</w:t>
      </w:r>
      <w:r w:rsidRPr="00F46985">
        <w:rPr>
          <w:rFonts w:cs="Arial"/>
          <w:sz w:val="18"/>
          <w:szCs w:val="18"/>
          <w:rtl/>
        </w:rPr>
        <w:t xml:space="preserve"> </w:t>
      </w:r>
      <w:r w:rsidRPr="00F46985">
        <w:rPr>
          <w:rFonts w:cs="Arial" w:hint="cs"/>
          <w:sz w:val="18"/>
          <w:szCs w:val="18"/>
          <w:rtl/>
        </w:rPr>
        <w:t>רבי</w:t>
      </w:r>
      <w:r w:rsidRPr="00F46985">
        <w:rPr>
          <w:rFonts w:cs="Arial"/>
          <w:sz w:val="18"/>
          <w:szCs w:val="18"/>
          <w:rtl/>
        </w:rPr>
        <w:t xml:space="preserve"> </w:t>
      </w:r>
      <w:r w:rsidRPr="00F46985">
        <w:rPr>
          <w:rFonts w:cs="Arial" w:hint="cs"/>
          <w:sz w:val="18"/>
          <w:szCs w:val="18"/>
          <w:rtl/>
        </w:rPr>
        <w:t>יוחנן</w:t>
      </w:r>
      <w:r w:rsidRPr="00F46985">
        <w:rPr>
          <w:rFonts w:cs="Arial"/>
          <w:sz w:val="18"/>
          <w:szCs w:val="18"/>
          <w:rtl/>
        </w:rPr>
        <w:t xml:space="preserve">: </w:t>
      </w:r>
      <w:r w:rsidRPr="00F46985">
        <w:rPr>
          <w:rFonts w:cs="Arial" w:hint="cs"/>
          <w:sz w:val="18"/>
          <w:szCs w:val="18"/>
          <w:rtl/>
        </w:rPr>
        <w:t>חכמתא</w:t>
      </w:r>
      <w:r w:rsidRPr="00F46985">
        <w:rPr>
          <w:rFonts w:cs="Arial"/>
          <w:sz w:val="18"/>
          <w:szCs w:val="18"/>
          <w:rtl/>
        </w:rPr>
        <w:t xml:space="preserve"> </w:t>
      </w:r>
      <w:r w:rsidRPr="00F46985">
        <w:rPr>
          <w:rFonts w:cs="Arial" w:hint="cs"/>
          <w:sz w:val="18"/>
          <w:szCs w:val="18"/>
          <w:rtl/>
        </w:rPr>
        <w:t>דרבי</w:t>
      </w:r>
      <w:r w:rsidRPr="00F46985">
        <w:rPr>
          <w:rFonts w:cs="Arial"/>
          <w:sz w:val="18"/>
          <w:szCs w:val="18"/>
          <w:rtl/>
        </w:rPr>
        <w:t xml:space="preserve"> </w:t>
      </w:r>
      <w:r w:rsidRPr="00F46985">
        <w:rPr>
          <w:rFonts w:cs="Arial" w:hint="cs"/>
          <w:sz w:val="18"/>
          <w:szCs w:val="18"/>
          <w:rtl/>
        </w:rPr>
        <w:t>חנינא</w:t>
      </w:r>
      <w:r w:rsidRPr="00F46985">
        <w:rPr>
          <w:rFonts w:cs="Arial"/>
          <w:sz w:val="18"/>
          <w:szCs w:val="18"/>
          <w:rtl/>
        </w:rPr>
        <w:t xml:space="preserve"> </w:t>
      </w:r>
      <w:r w:rsidRPr="00F46985">
        <w:rPr>
          <w:rFonts w:cs="Arial" w:hint="cs"/>
          <w:sz w:val="18"/>
          <w:szCs w:val="18"/>
          <w:rtl/>
        </w:rPr>
        <w:t>גרמא</w:t>
      </w:r>
      <w:r w:rsidRPr="00F46985">
        <w:rPr>
          <w:rFonts w:cs="Arial"/>
          <w:sz w:val="18"/>
          <w:szCs w:val="18"/>
          <w:rtl/>
        </w:rPr>
        <w:t xml:space="preserve"> </w:t>
      </w:r>
      <w:r w:rsidRPr="00F46985">
        <w:rPr>
          <w:rFonts w:cs="Arial" w:hint="cs"/>
          <w:sz w:val="18"/>
          <w:szCs w:val="18"/>
          <w:rtl/>
        </w:rPr>
        <w:t>לי</w:t>
      </w:r>
      <w:r w:rsidRPr="00F46985">
        <w:rPr>
          <w:rFonts w:cs="Arial"/>
          <w:sz w:val="18"/>
          <w:szCs w:val="18"/>
          <w:rtl/>
        </w:rPr>
        <w:t xml:space="preserve"> </w:t>
      </w:r>
      <w:r w:rsidRPr="00F46985">
        <w:rPr>
          <w:rFonts w:cs="Arial" w:hint="cs"/>
          <w:sz w:val="18"/>
          <w:szCs w:val="18"/>
          <w:rtl/>
        </w:rPr>
        <w:t>דלא</w:t>
      </w:r>
      <w:r w:rsidRPr="00F46985">
        <w:rPr>
          <w:rFonts w:cs="Arial"/>
          <w:sz w:val="18"/>
          <w:szCs w:val="18"/>
          <w:rtl/>
        </w:rPr>
        <w:t xml:space="preserve"> </w:t>
      </w:r>
      <w:r w:rsidRPr="00F46985">
        <w:rPr>
          <w:rFonts w:cs="Arial" w:hint="cs"/>
          <w:sz w:val="18"/>
          <w:szCs w:val="18"/>
          <w:rtl/>
        </w:rPr>
        <w:t>אחזי</w:t>
      </w:r>
      <w:r w:rsidRPr="00F46985">
        <w:rPr>
          <w:rFonts w:cs="Arial"/>
          <w:sz w:val="18"/>
          <w:szCs w:val="18"/>
          <w:rtl/>
        </w:rPr>
        <w:t xml:space="preserve"> </w:t>
      </w:r>
      <w:r w:rsidRPr="00F46985">
        <w:rPr>
          <w:rFonts w:cs="Arial" w:hint="cs"/>
          <w:sz w:val="18"/>
          <w:szCs w:val="18"/>
          <w:rtl/>
        </w:rPr>
        <w:t>דמא</w:t>
      </w:r>
      <w:r w:rsidRPr="00F46985">
        <w:rPr>
          <w:rFonts w:cs="Arial"/>
          <w:sz w:val="18"/>
          <w:szCs w:val="18"/>
          <w:rtl/>
        </w:rPr>
        <w:t xml:space="preserve">, </w:t>
      </w:r>
      <w:r w:rsidRPr="00F46985">
        <w:rPr>
          <w:rFonts w:cs="Arial" w:hint="cs"/>
          <w:sz w:val="18"/>
          <w:szCs w:val="18"/>
          <w:rtl/>
        </w:rPr>
        <w:t>מטמינא</w:t>
      </w:r>
      <w:r w:rsidRPr="00F46985">
        <w:rPr>
          <w:rFonts w:cs="Arial"/>
          <w:sz w:val="18"/>
          <w:szCs w:val="18"/>
          <w:rtl/>
        </w:rPr>
        <w:t xml:space="preserve"> - </w:t>
      </w:r>
      <w:r w:rsidRPr="00F46985">
        <w:rPr>
          <w:rFonts w:cs="Arial" w:hint="cs"/>
          <w:sz w:val="18"/>
          <w:szCs w:val="18"/>
          <w:rtl/>
        </w:rPr>
        <w:t>מטהר</w:t>
      </w:r>
      <w:r w:rsidRPr="00F46985">
        <w:rPr>
          <w:rFonts w:cs="Arial"/>
          <w:sz w:val="18"/>
          <w:szCs w:val="18"/>
          <w:rtl/>
        </w:rPr>
        <w:t xml:space="preserve">, </w:t>
      </w:r>
      <w:r w:rsidRPr="00F46985">
        <w:rPr>
          <w:rFonts w:cs="Arial" w:hint="cs"/>
          <w:sz w:val="18"/>
          <w:szCs w:val="18"/>
          <w:rtl/>
        </w:rPr>
        <w:t>מטהרנא</w:t>
      </w:r>
      <w:r w:rsidRPr="00F46985">
        <w:rPr>
          <w:rFonts w:cs="Arial"/>
          <w:sz w:val="18"/>
          <w:szCs w:val="18"/>
          <w:rtl/>
        </w:rPr>
        <w:t xml:space="preserve"> - </w:t>
      </w:r>
      <w:r w:rsidRPr="00F46985">
        <w:rPr>
          <w:rFonts w:cs="Arial" w:hint="cs"/>
          <w:sz w:val="18"/>
          <w:szCs w:val="18"/>
          <w:rtl/>
        </w:rPr>
        <w:t>מטמא</w:t>
      </w:r>
      <w:r w:rsidRPr="00F46985">
        <w:rPr>
          <w:rFonts w:cs="Arial"/>
          <w:sz w:val="18"/>
          <w:szCs w:val="18"/>
          <w:rtl/>
        </w:rPr>
        <w:t>.</w:t>
      </w:r>
      <w:r w:rsidRPr="00F46985">
        <w:rPr>
          <w:rFonts w:cs="Arial" w:hint="cs"/>
          <w:sz w:val="18"/>
          <w:szCs w:val="18"/>
          <w:rtl/>
        </w:rPr>
        <w:t>.. אמר</w:t>
      </w:r>
      <w:r w:rsidRPr="00F46985">
        <w:rPr>
          <w:rFonts w:cs="Arial"/>
          <w:sz w:val="18"/>
          <w:szCs w:val="18"/>
          <w:rtl/>
        </w:rPr>
        <w:t xml:space="preserve"> </w:t>
      </w:r>
      <w:r w:rsidRPr="00F46985">
        <w:rPr>
          <w:rFonts w:cs="Arial" w:hint="cs"/>
          <w:sz w:val="18"/>
          <w:szCs w:val="18"/>
          <w:rtl/>
        </w:rPr>
        <w:t>רבי</w:t>
      </w:r>
      <w:r w:rsidRPr="00F46985">
        <w:rPr>
          <w:rFonts w:cs="Arial"/>
          <w:sz w:val="18"/>
          <w:szCs w:val="18"/>
          <w:rtl/>
        </w:rPr>
        <w:t xml:space="preserve"> </w:t>
      </w:r>
      <w:r w:rsidRPr="00F46985">
        <w:rPr>
          <w:rFonts w:cs="Arial" w:hint="cs"/>
          <w:sz w:val="18"/>
          <w:szCs w:val="18"/>
          <w:rtl/>
        </w:rPr>
        <w:t>זירא</w:t>
      </w:r>
      <w:r w:rsidRPr="00F46985">
        <w:rPr>
          <w:rFonts w:cs="Arial"/>
          <w:sz w:val="18"/>
          <w:szCs w:val="18"/>
          <w:rtl/>
        </w:rPr>
        <w:t xml:space="preserve">: </w:t>
      </w:r>
      <w:r w:rsidRPr="00F46985">
        <w:rPr>
          <w:rFonts w:cs="Arial" w:hint="cs"/>
          <w:sz w:val="18"/>
          <w:szCs w:val="18"/>
          <w:rtl/>
        </w:rPr>
        <w:t>טבעא</w:t>
      </w:r>
      <w:r w:rsidRPr="00F46985">
        <w:rPr>
          <w:rFonts w:cs="Arial"/>
          <w:sz w:val="18"/>
          <w:szCs w:val="18"/>
          <w:rtl/>
        </w:rPr>
        <w:t xml:space="preserve"> </w:t>
      </w:r>
      <w:r w:rsidRPr="00F46985">
        <w:rPr>
          <w:rFonts w:cs="Arial" w:hint="cs"/>
          <w:sz w:val="18"/>
          <w:szCs w:val="18"/>
          <w:rtl/>
        </w:rPr>
        <w:t>דבבל</w:t>
      </w:r>
      <w:r w:rsidRPr="00F46985">
        <w:rPr>
          <w:rFonts w:cs="Arial"/>
          <w:sz w:val="18"/>
          <w:szCs w:val="18"/>
          <w:rtl/>
        </w:rPr>
        <w:t xml:space="preserve"> </w:t>
      </w:r>
      <w:r w:rsidRPr="00F46985">
        <w:rPr>
          <w:rFonts w:cs="Arial" w:hint="cs"/>
          <w:sz w:val="18"/>
          <w:szCs w:val="18"/>
          <w:rtl/>
        </w:rPr>
        <w:t>גרמא</w:t>
      </w:r>
      <w:r w:rsidRPr="00F46985">
        <w:rPr>
          <w:rFonts w:cs="Arial"/>
          <w:sz w:val="18"/>
          <w:szCs w:val="18"/>
          <w:rtl/>
        </w:rPr>
        <w:t xml:space="preserve"> </w:t>
      </w:r>
      <w:r w:rsidRPr="00F46985">
        <w:rPr>
          <w:rFonts w:cs="Arial" w:hint="cs"/>
          <w:sz w:val="18"/>
          <w:szCs w:val="18"/>
          <w:rtl/>
        </w:rPr>
        <w:t>לי</w:t>
      </w:r>
      <w:r w:rsidRPr="00F46985">
        <w:rPr>
          <w:rFonts w:cs="Arial"/>
          <w:sz w:val="18"/>
          <w:szCs w:val="18"/>
          <w:rtl/>
        </w:rPr>
        <w:t xml:space="preserve"> </w:t>
      </w:r>
      <w:r w:rsidRPr="00F46985">
        <w:rPr>
          <w:rFonts w:cs="Arial" w:hint="cs"/>
          <w:sz w:val="18"/>
          <w:szCs w:val="18"/>
          <w:rtl/>
        </w:rPr>
        <w:t>דלא</w:t>
      </w:r>
      <w:r w:rsidRPr="00F46985">
        <w:rPr>
          <w:rFonts w:cs="Arial"/>
          <w:sz w:val="18"/>
          <w:szCs w:val="18"/>
          <w:rtl/>
        </w:rPr>
        <w:t xml:space="preserve"> </w:t>
      </w:r>
      <w:r w:rsidRPr="00F46985">
        <w:rPr>
          <w:rFonts w:cs="Arial" w:hint="cs"/>
          <w:sz w:val="18"/>
          <w:szCs w:val="18"/>
          <w:rtl/>
        </w:rPr>
        <w:t>חזאי</w:t>
      </w:r>
      <w:r w:rsidRPr="00F46985">
        <w:rPr>
          <w:rFonts w:cs="Arial"/>
          <w:sz w:val="18"/>
          <w:szCs w:val="18"/>
          <w:rtl/>
        </w:rPr>
        <w:t xml:space="preserve"> </w:t>
      </w:r>
      <w:r w:rsidRPr="00F46985">
        <w:rPr>
          <w:rFonts w:cs="Arial" w:hint="cs"/>
          <w:sz w:val="18"/>
          <w:szCs w:val="18"/>
          <w:rtl/>
        </w:rPr>
        <w:t>דמא</w:t>
      </w:r>
      <w:r w:rsidRPr="00F46985">
        <w:rPr>
          <w:rFonts w:cs="Arial"/>
          <w:sz w:val="18"/>
          <w:szCs w:val="18"/>
          <w:rtl/>
        </w:rPr>
        <w:t xml:space="preserve">, </w:t>
      </w:r>
      <w:r w:rsidRPr="00F46985">
        <w:rPr>
          <w:rFonts w:cs="Arial" w:hint="cs"/>
          <w:sz w:val="18"/>
          <w:szCs w:val="18"/>
          <w:rtl/>
        </w:rPr>
        <w:t>דאמינא</w:t>
      </w:r>
      <w:r w:rsidRPr="00F46985">
        <w:rPr>
          <w:rFonts w:cs="Arial"/>
          <w:sz w:val="18"/>
          <w:szCs w:val="18"/>
          <w:rtl/>
        </w:rPr>
        <w:t xml:space="preserve"> </w:t>
      </w:r>
      <w:r w:rsidRPr="00F46985">
        <w:rPr>
          <w:rFonts w:cs="Arial" w:hint="cs"/>
          <w:sz w:val="18"/>
          <w:szCs w:val="18"/>
          <w:rtl/>
        </w:rPr>
        <w:t>בטבעא</w:t>
      </w:r>
      <w:r w:rsidRPr="00F46985">
        <w:rPr>
          <w:rFonts w:cs="Arial"/>
          <w:sz w:val="18"/>
          <w:szCs w:val="18"/>
          <w:rtl/>
        </w:rPr>
        <w:t xml:space="preserve"> </w:t>
      </w:r>
      <w:r w:rsidRPr="00F46985">
        <w:rPr>
          <w:rFonts w:cs="Arial" w:hint="cs"/>
          <w:sz w:val="18"/>
          <w:szCs w:val="18"/>
          <w:rtl/>
        </w:rPr>
        <w:t>לא</w:t>
      </w:r>
      <w:r w:rsidRPr="00F46985">
        <w:rPr>
          <w:rFonts w:cs="Arial"/>
          <w:sz w:val="18"/>
          <w:szCs w:val="18"/>
          <w:rtl/>
        </w:rPr>
        <w:t xml:space="preserve"> </w:t>
      </w:r>
      <w:r w:rsidRPr="00F46985">
        <w:rPr>
          <w:rFonts w:cs="Arial" w:hint="cs"/>
          <w:sz w:val="18"/>
          <w:szCs w:val="18"/>
          <w:rtl/>
        </w:rPr>
        <w:t>ידענא</w:t>
      </w:r>
      <w:r w:rsidRPr="00F46985">
        <w:rPr>
          <w:rFonts w:cs="Arial"/>
          <w:sz w:val="18"/>
          <w:szCs w:val="18"/>
          <w:rtl/>
        </w:rPr>
        <w:t xml:space="preserve">, </w:t>
      </w:r>
      <w:r w:rsidRPr="00F46985">
        <w:rPr>
          <w:rFonts w:cs="Arial" w:hint="cs"/>
          <w:sz w:val="18"/>
          <w:szCs w:val="18"/>
          <w:rtl/>
        </w:rPr>
        <w:t>בדמא</w:t>
      </w:r>
      <w:r w:rsidRPr="00F46985">
        <w:rPr>
          <w:rFonts w:cs="Arial"/>
          <w:sz w:val="18"/>
          <w:szCs w:val="18"/>
          <w:rtl/>
        </w:rPr>
        <w:t xml:space="preserve"> </w:t>
      </w:r>
      <w:r w:rsidRPr="00F46985">
        <w:rPr>
          <w:rFonts w:cs="Arial" w:hint="cs"/>
          <w:sz w:val="18"/>
          <w:szCs w:val="18"/>
          <w:rtl/>
        </w:rPr>
        <w:t>ידענא</w:t>
      </w:r>
      <w:r w:rsidRPr="00F46985">
        <w:rPr>
          <w:rFonts w:cs="Arial"/>
          <w:sz w:val="18"/>
          <w:szCs w:val="18"/>
          <w:rtl/>
        </w:rPr>
        <w:t xml:space="preserve">? </w:t>
      </w:r>
      <w:r w:rsidRPr="00F46985">
        <w:rPr>
          <w:rFonts w:cs="Arial" w:hint="cs"/>
          <w:sz w:val="18"/>
          <w:szCs w:val="18"/>
          <w:rtl/>
        </w:rPr>
        <w:t>למימרא</w:t>
      </w:r>
      <w:r w:rsidRPr="00F46985">
        <w:rPr>
          <w:rFonts w:cs="Arial"/>
          <w:sz w:val="18"/>
          <w:szCs w:val="18"/>
          <w:rtl/>
        </w:rPr>
        <w:t xml:space="preserve"> </w:t>
      </w:r>
      <w:r w:rsidRPr="00F46985">
        <w:rPr>
          <w:rFonts w:cs="Arial" w:hint="cs"/>
          <w:sz w:val="18"/>
          <w:szCs w:val="18"/>
          <w:rtl/>
        </w:rPr>
        <w:t>דבטבעא</w:t>
      </w:r>
      <w:r w:rsidRPr="00F46985">
        <w:rPr>
          <w:rFonts w:cs="Arial"/>
          <w:sz w:val="18"/>
          <w:szCs w:val="18"/>
          <w:rtl/>
        </w:rPr>
        <w:t xml:space="preserve"> </w:t>
      </w:r>
      <w:r w:rsidRPr="00F46985">
        <w:rPr>
          <w:rFonts w:cs="Arial" w:hint="cs"/>
          <w:sz w:val="18"/>
          <w:szCs w:val="18"/>
          <w:rtl/>
        </w:rPr>
        <w:t>תליא</w:t>
      </w:r>
      <w:r w:rsidRPr="00F46985">
        <w:rPr>
          <w:rFonts w:cs="Arial"/>
          <w:sz w:val="18"/>
          <w:szCs w:val="18"/>
          <w:rtl/>
        </w:rPr>
        <w:t xml:space="preserve"> </w:t>
      </w:r>
      <w:r w:rsidRPr="00F46985">
        <w:rPr>
          <w:rFonts w:cs="Arial" w:hint="cs"/>
          <w:sz w:val="18"/>
          <w:szCs w:val="18"/>
          <w:rtl/>
        </w:rPr>
        <w:t>מלתא</w:t>
      </w:r>
      <w:r w:rsidRPr="00F46985">
        <w:rPr>
          <w:rFonts w:cs="Arial"/>
          <w:sz w:val="18"/>
          <w:szCs w:val="18"/>
          <w:rtl/>
        </w:rPr>
        <w:t xml:space="preserve">, </w:t>
      </w:r>
      <w:r w:rsidRPr="00F46985">
        <w:rPr>
          <w:rFonts w:cs="Arial" w:hint="cs"/>
          <w:sz w:val="18"/>
          <w:szCs w:val="18"/>
          <w:rtl/>
        </w:rPr>
        <w:t>והא</w:t>
      </w:r>
      <w:r w:rsidRPr="00F46985">
        <w:rPr>
          <w:rFonts w:cs="Arial"/>
          <w:sz w:val="18"/>
          <w:szCs w:val="18"/>
          <w:rtl/>
        </w:rPr>
        <w:t xml:space="preserve"> </w:t>
      </w:r>
      <w:r w:rsidRPr="00F46985">
        <w:rPr>
          <w:rFonts w:cs="Arial" w:hint="cs"/>
          <w:sz w:val="18"/>
          <w:szCs w:val="18"/>
          <w:rtl/>
        </w:rPr>
        <w:t>רבה</w:t>
      </w:r>
      <w:r w:rsidRPr="00F46985">
        <w:rPr>
          <w:rFonts w:cs="Arial"/>
          <w:sz w:val="18"/>
          <w:szCs w:val="18"/>
          <w:rtl/>
        </w:rPr>
        <w:t xml:space="preserve"> </w:t>
      </w:r>
      <w:r w:rsidRPr="00F46985">
        <w:rPr>
          <w:rFonts w:cs="Arial" w:hint="cs"/>
          <w:sz w:val="18"/>
          <w:szCs w:val="18"/>
          <w:rtl/>
        </w:rPr>
        <w:t>הוא</w:t>
      </w:r>
      <w:r w:rsidRPr="00F46985">
        <w:rPr>
          <w:rFonts w:cs="Arial"/>
          <w:sz w:val="18"/>
          <w:szCs w:val="18"/>
          <w:rtl/>
        </w:rPr>
        <w:t xml:space="preserve"> </w:t>
      </w:r>
      <w:r w:rsidRPr="00F46985">
        <w:rPr>
          <w:rFonts w:cs="Arial" w:hint="cs"/>
          <w:sz w:val="18"/>
          <w:szCs w:val="18"/>
          <w:rtl/>
        </w:rPr>
        <w:t>דידע</w:t>
      </w:r>
      <w:r w:rsidRPr="00F46985">
        <w:rPr>
          <w:rFonts w:cs="Arial"/>
          <w:sz w:val="18"/>
          <w:szCs w:val="18"/>
          <w:rtl/>
        </w:rPr>
        <w:t xml:space="preserve"> </w:t>
      </w:r>
      <w:r w:rsidRPr="00F46985">
        <w:rPr>
          <w:rFonts w:cs="Arial" w:hint="cs"/>
          <w:sz w:val="18"/>
          <w:szCs w:val="18"/>
          <w:rtl/>
        </w:rPr>
        <w:t>בטבעא</w:t>
      </w:r>
      <w:r w:rsidRPr="00F46985">
        <w:rPr>
          <w:rFonts w:cs="Arial"/>
          <w:sz w:val="18"/>
          <w:szCs w:val="18"/>
          <w:rtl/>
        </w:rPr>
        <w:t xml:space="preserve"> </w:t>
      </w:r>
      <w:r w:rsidRPr="00F46985">
        <w:rPr>
          <w:rFonts w:cs="Arial" w:hint="cs"/>
          <w:sz w:val="18"/>
          <w:szCs w:val="18"/>
          <w:rtl/>
        </w:rPr>
        <w:t>ולא</w:t>
      </w:r>
      <w:r w:rsidRPr="00F46985">
        <w:rPr>
          <w:rFonts w:cs="Arial"/>
          <w:sz w:val="18"/>
          <w:szCs w:val="18"/>
          <w:rtl/>
        </w:rPr>
        <w:t xml:space="preserve"> </w:t>
      </w:r>
      <w:r w:rsidRPr="00F46985">
        <w:rPr>
          <w:rFonts w:cs="Arial" w:hint="cs"/>
          <w:sz w:val="18"/>
          <w:szCs w:val="18"/>
          <w:rtl/>
        </w:rPr>
        <w:t>ידע</w:t>
      </w:r>
      <w:r w:rsidRPr="00F46985">
        <w:rPr>
          <w:rFonts w:cs="Arial"/>
          <w:sz w:val="18"/>
          <w:szCs w:val="18"/>
          <w:rtl/>
        </w:rPr>
        <w:t xml:space="preserve"> </w:t>
      </w:r>
      <w:r w:rsidRPr="00F46985">
        <w:rPr>
          <w:rFonts w:cs="Arial" w:hint="cs"/>
          <w:sz w:val="18"/>
          <w:szCs w:val="18"/>
          <w:rtl/>
        </w:rPr>
        <w:t>בדמא</w:t>
      </w:r>
      <w:r w:rsidRPr="00F46985">
        <w:rPr>
          <w:rFonts w:cs="Arial"/>
          <w:sz w:val="18"/>
          <w:szCs w:val="18"/>
          <w:rtl/>
        </w:rPr>
        <w:t xml:space="preserve">! </w:t>
      </w:r>
      <w:r w:rsidRPr="00F46985">
        <w:rPr>
          <w:rFonts w:cs="Arial" w:hint="cs"/>
          <w:sz w:val="18"/>
          <w:szCs w:val="18"/>
          <w:rtl/>
        </w:rPr>
        <w:t>כל</w:t>
      </w:r>
      <w:r w:rsidRPr="00F46985">
        <w:rPr>
          <w:rFonts w:cs="Arial"/>
          <w:sz w:val="18"/>
          <w:szCs w:val="18"/>
          <w:rtl/>
        </w:rPr>
        <w:t xml:space="preserve"> </w:t>
      </w:r>
      <w:r w:rsidRPr="00F46985">
        <w:rPr>
          <w:rFonts w:cs="Arial" w:hint="cs"/>
          <w:sz w:val="18"/>
          <w:szCs w:val="18"/>
          <w:rtl/>
        </w:rPr>
        <w:t>שכן</w:t>
      </w:r>
      <w:r w:rsidRPr="00F46985">
        <w:rPr>
          <w:rFonts w:cs="Arial"/>
          <w:sz w:val="18"/>
          <w:szCs w:val="18"/>
          <w:rtl/>
        </w:rPr>
        <w:t xml:space="preserve"> </w:t>
      </w:r>
      <w:r w:rsidRPr="00F46985">
        <w:rPr>
          <w:rFonts w:cs="Arial" w:hint="cs"/>
          <w:sz w:val="18"/>
          <w:szCs w:val="18"/>
          <w:rtl/>
        </w:rPr>
        <w:t>קאמר</w:t>
      </w:r>
      <w:r w:rsidRPr="00F46985">
        <w:rPr>
          <w:rFonts w:cs="Arial"/>
          <w:sz w:val="18"/>
          <w:szCs w:val="18"/>
          <w:rtl/>
        </w:rPr>
        <w:t xml:space="preserve">, </w:t>
      </w:r>
      <w:r w:rsidRPr="00F46985">
        <w:rPr>
          <w:rFonts w:cs="Arial" w:hint="cs"/>
          <w:sz w:val="18"/>
          <w:szCs w:val="18"/>
          <w:rtl/>
        </w:rPr>
        <w:t>ומה</w:t>
      </w:r>
      <w:r w:rsidRPr="00F46985">
        <w:rPr>
          <w:rFonts w:cs="Arial"/>
          <w:sz w:val="18"/>
          <w:szCs w:val="18"/>
          <w:rtl/>
        </w:rPr>
        <w:t xml:space="preserve"> </w:t>
      </w:r>
      <w:r w:rsidRPr="00F46985">
        <w:rPr>
          <w:rFonts w:cs="Arial" w:hint="cs"/>
          <w:sz w:val="18"/>
          <w:szCs w:val="18"/>
          <w:rtl/>
        </w:rPr>
        <w:t>רבה</w:t>
      </w:r>
      <w:r w:rsidRPr="00F46985">
        <w:rPr>
          <w:rFonts w:cs="Arial"/>
          <w:sz w:val="18"/>
          <w:szCs w:val="18"/>
          <w:rtl/>
        </w:rPr>
        <w:t xml:space="preserve"> </w:t>
      </w:r>
      <w:r w:rsidRPr="00F46985">
        <w:rPr>
          <w:rFonts w:cs="Arial" w:hint="cs"/>
          <w:sz w:val="18"/>
          <w:szCs w:val="18"/>
          <w:rtl/>
        </w:rPr>
        <w:t>דידע</w:t>
      </w:r>
      <w:r w:rsidRPr="00F46985">
        <w:rPr>
          <w:rFonts w:cs="Arial"/>
          <w:sz w:val="18"/>
          <w:szCs w:val="18"/>
          <w:rtl/>
        </w:rPr>
        <w:t xml:space="preserve"> </w:t>
      </w:r>
      <w:r w:rsidRPr="00F46985">
        <w:rPr>
          <w:rFonts w:cs="Arial" w:hint="cs"/>
          <w:sz w:val="18"/>
          <w:szCs w:val="18"/>
          <w:rtl/>
        </w:rPr>
        <w:t>בטבעא</w:t>
      </w:r>
      <w:r w:rsidRPr="00F46985">
        <w:rPr>
          <w:rFonts w:cs="Arial"/>
          <w:sz w:val="18"/>
          <w:szCs w:val="18"/>
          <w:rtl/>
        </w:rPr>
        <w:t xml:space="preserve"> - </w:t>
      </w:r>
      <w:r w:rsidRPr="00F46985">
        <w:rPr>
          <w:rFonts w:cs="Arial" w:hint="cs"/>
          <w:sz w:val="18"/>
          <w:szCs w:val="18"/>
          <w:rtl/>
        </w:rPr>
        <w:t>לא</w:t>
      </w:r>
      <w:r w:rsidRPr="00F46985">
        <w:rPr>
          <w:rFonts w:cs="Arial"/>
          <w:sz w:val="18"/>
          <w:szCs w:val="18"/>
          <w:rtl/>
        </w:rPr>
        <w:t xml:space="preserve"> </w:t>
      </w:r>
      <w:r w:rsidRPr="00F46985">
        <w:rPr>
          <w:rFonts w:cs="Arial" w:hint="cs"/>
          <w:sz w:val="18"/>
          <w:szCs w:val="18"/>
          <w:rtl/>
        </w:rPr>
        <w:t>חזא</w:t>
      </w:r>
      <w:r w:rsidRPr="00F46985">
        <w:rPr>
          <w:rFonts w:cs="Arial"/>
          <w:sz w:val="18"/>
          <w:szCs w:val="18"/>
          <w:rtl/>
        </w:rPr>
        <w:t xml:space="preserve"> </w:t>
      </w:r>
      <w:r w:rsidRPr="00F46985">
        <w:rPr>
          <w:rFonts w:cs="Arial" w:hint="cs"/>
          <w:sz w:val="18"/>
          <w:szCs w:val="18"/>
          <w:rtl/>
        </w:rPr>
        <w:t>דמא</w:t>
      </w:r>
      <w:r w:rsidRPr="00F46985">
        <w:rPr>
          <w:rFonts w:cs="Arial"/>
          <w:sz w:val="18"/>
          <w:szCs w:val="18"/>
          <w:rtl/>
        </w:rPr>
        <w:t xml:space="preserve">, </w:t>
      </w:r>
      <w:r w:rsidRPr="00F46985">
        <w:rPr>
          <w:rFonts w:cs="Arial" w:hint="cs"/>
          <w:sz w:val="18"/>
          <w:szCs w:val="18"/>
          <w:rtl/>
        </w:rPr>
        <w:t>ואנא</w:t>
      </w:r>
      <w:r w:rsidRPr="00F46985">
        <w:rPr>
          <w:rFonts w:cs="Arial"/>
          <w:sz w:val="18"/>
          <w:szCs w:val="18"/>
          <w:rtl/>
        </w:rPr>
        <w:t xml:space="preserve"> </w:t>
      </w:r>
      <w:r w:rsidRPr="00F46985">
        <w:rPr>
          <w:rFonts w:cs="Arial" w:hint="cs"/>
          <w:sz w:val="18"/>
          <w:szCs w:val="18"/>
          <w:rtl/>
        </w:rPr>
        <w:t>אחזי</w:t>
      </w:r>
      <w:r w:rsidRPr="00F46985">
        <w:rPr>
          <w:rFonts w:cs="Arial"/>
          <w:sz w:val="18"/>
          <w:szCs w:val="18"/>
          <w:rtl/>
        </w:rPr>
        <w:t>?</w:t>
      </w:r>
      <w:r w:rsidRPr="00F46985">
        <w:rPr>
          <w:rFonts w:cs="Arial" w:hint="cs"/>
          <w:sz w:val="18"/>
          <w:szCs w:val="18"/>
          <w:rtl/>
        </w:rPr>
        <w:t>"</w:t>
      </w:r>
      <w:r w:rsidRPr="00F46985">
        <w:rPr>
          <w:rFonts w:cs="Arial"/>
          <w:sz w:val="18"/>
          <w:szCs w:val="18"/>
          <w:rtl/>
        </w:rPr>
        <w:br/>
      </w:r>
      <w:r w:rsidRPr="00F46985">
        <w:rPr>
          <w:rFonts w:cs="Arial" w:hint="cs"/>
          <w:sz w:val="18"/>
          <w:szCs w:val="18"/>
          <w:rtl/>
        </w:rPr>
        <w:t xml:space="preserve">הרי לנו שאף חלק מהאמוראים </w:t>
      </w:r>
      <w:r w:rsidRPr="00F46985">
        <w:rPr>
          <w:rFonts w:hint="cs"/>
          <w:sz w:val="18"/>
          <w:szCs w:val="18"/>
          <w:rtl/>
        </w:rPr>
        <w:t xml:space="preserve">העידו על עצמם שהם אינם בקיאים להבחין בין מראה דם טהור למראה דם טמא, ולכן </w:t>
      </w:r>
      <w:r>
        <w:rPr>
          <w:rFonts w:hint="cs"/>
          <w:sz w:val="18"/>
          <w:szCs w:val="18"/>
          <w:rtl/>
        </w:rPr>
        <w:t>כל שכן</w:t>
      </w:r>
      <w:r w:rsidRPr="00F46985">
        <w:rPr>
          <w:rFonts w:hint="cs"/>
          <w:sz w:val="18"/>
          <w:szCs w:val="18"/>
          <w:rtl/>
        </w:rPr>
        <w:t xml:space="preserve"> </w:t>
      </w:r>
      <w:r>
        <w:rPr>
          <w:rFonts w:hint="cs"/>
          <w:sz w:val="18"/>
          <w:szCs w:val="18"/>
          <w:rtl/>
        </w:rPr>
        <w:t>ש</w:t>
      </w:r>
      <w:r w:rsidRPr="00F46985">
        <w:rPr>
          <w:rFonts w:hint="cs"/>
          <w:sz w:val="18"/>
          <w:szCs w:val="18"/>
          <w:rtl/>
        </w:rPr>
        <w:t>אנ</w:t>
      </w:r>
      <w:r>
        <w:rPr>
          <w:rFonts w:hint="cs"/>
          <w:sz w:val="18"/>
          <w:szCs w:val="18"/>
          <w:rtl/>
        </w:rPr>
        <w:t>חנ</w:t>
      </w:r>
      <w:r w:rsidRPr="00F46985">
        <w:rPr>
          <w:rFonts w:hint="cs"/>
          <w:sz w:val="18"/>
          <w:szCs w:val="18"/>
          <w:rtl/>
        </w:rPr>
        <w:t xml:space="preserve">ו </w:t>
      </w:r>
      <w:r>
        <w:rPr>
          <w:rFonts w:hint="cs"/>
          <w:sz w:val="18"/>
          <w:szCs w:val="18"/>
          <w:rtl/>
        </w:rPr>
        <w:t>לא</w:t>
      </w:r>
      <w:r w:rsidRPr="00F46985">
        <w:rPr>
          <w:rFonts w:hint="cs"/>
          <w:sz w:val="18"/>
          <w:szCs w:val="18"/>
          <w:rtl/>
        </w:rPr>
        <w:t xml:space="preserve"> בקיאים בכך.</w:t>
      </w:r>
    </w:p>
  </w:footnote>
  <w:footnote w:id="12">
    <w:p w:rsidR="005953C5" w:rsidRDefault="005953C5" w:rsidP="00620060">
      <w:pPr>
        <w:pStyle w:val="a3"/>
        <w:rPr>
          <w:rtl/>
        </w:rPr>
      </w:pPr>
      <w:r w:rsidRPr="006F049F">
        <w:rPr>
          <w:rStyle w:val="a5"/>
          <w:sz w:val="18"/>
          <w:szCs w:val="18"/>
        </w:rPr>
        <w:footnoteRef/>
      </w:r>
      <w:r w:rsidRPr="006F049F">
        <w:rPr>
          <w:sz w:val="18"/>
          <w:szCs w:val="18"/>
          <w:rtl/>
        </w:rPr>
        <w:t xml:space="preserve"> </w:t>
      </w:r>
      <w:r>
        <w:rPr>
          <w:rFonts w:hint="cs"/>
          <w:sz w:val="18"/>
          <w:szCs w:val="18"/>
          <w:rtl/>
        </w:rPr>
        <w:t xml:space="preserve">כך פירש </w:t>
      </w:r>
      <w:r w:rsidRPr="0032184D">
        <w:rPr>
          <w:rFonts w:hint="cs"/>
          <w:b/>
          <w:bCs/>
          <w:sz w:val="18"/>
          <w:szCs w:val="18"/>
          <w:rtl/>
        </w:rPr>
        <w:t>תוספות</w:t>
      </w:r>
      <w:r>
        <w:rPr>
          <w:rFonts w:hint="cs"/>
          <w:sz w:val="18"/>
          <w:szCs w:val="18"/>
          <w:rtl/>
        </w:rPr>
        <w:t xml:space="preserve">, אך </w:t>
      </w:r>
      <w:r w:rsidRPr="0032184D">
        <w:rPr>
          <w:rFonts w:hint="cs"/>
          <w:b/>
          <w:bCs/>
          <w:sz w:val="18"/>
          <w:szCs w:val="18"/>
          <w:rtl/>
        </w:rPr>
        <w:t>רש"י</w:t>
      </w:r>
      <w:r w:rsidRPr="006F049F">
        <w:rPr>
          <w:rFonts w:hint="cs"/>
          <w:sz w:val="18"/>
          <w:szCs w:val="18"/>
          <w:rtl/>
        </w:rPr>
        <w:t xml:space="preserve"> פירש שמא דם היום הראשון היה מימי זיבתה, ורק מיום האחרון התחילו ימי נידתה.</w:t>
      </w:r>
    </w:p>
  </w:footnote>
  <w:footnote w:id="13">
    <w:p w:rsidR="005953C5" w:rsidRDefault="005953C5" w:rsidP="00620060">
      <w:pPr>
        <w:pStyle w:val="a3"/>
      </w:pPr>
      <w:r w:rsidRPr="002723AE">
        <w:rPr>
          <w:rStyle w:val="a5"/>
          <w:sz w:val="18"/>
          <w:szCs w:val="18"/>
        </w:rPr>
        <w:footnoteRef/>
      </w:r>
      <w:r w:rsidRPr="002723AE">
        <w:rPr>
          <w:rFonts w:hint="cs"/>
          <w:sz w:val="18"/>
          <w:szCs w:val="18"/>
          <w:rtl/>
        </w:rPr>
        <w:t xml:space="preserve"> הרי"ף מעיר, שאע"פ שדין רבי זירא הוא חומרה בלבד, התקבל דין זה בכל ישראל, וראייה לכך בגמרא הבאה:</w:t>
      </w:r>
      <w:r w:rsidRPr="002723AE">
        <w:rPr>
          <w:sz w:val="18"/>
          <w:szCs w:val="18"/>
          <w:rtl/>
        </w:rPr>
        <w:t xml:space="preserve"> </w:t>
      </w:r>
      <w:r>
        <w:rPr>
          <w:rFonts w:cs="Arial"/>
          <w:b/>
          <w:bCs/>
          <w:sz w:val="18"/>
          <w:szCs w:val="18"/>
          <w:rtl/>
        </w:rPr>
        <w:br/>
      </w:r>
      <w:r w:rsidRPr="002723AE">
        <w:rPr>
          <w:rFonts w:cs="Arial" w:hint="cs"/>
          <w:b/>
          <w:bCs/>
          <w:sz w:val="18"/>
          <w:szCs w:val="18"/>
          <w:rtl/>
        </w:rPr>
        <w:t xml:space="preserve">גמרא </w:t>
      </w:r>
      <w:r w:rsidRPr="002723AE">
        <w:rPr>
          <w:rFonts w:cs="Arial" w:hint="cs"/>
          <w:sz w:val="18"/>
          <w:szCs w:val="18"/>
          <w:rtl/>
        </w:rPr>
        <w:t xml:space="preserve">ברכות (לא.) </w:t>
      </w:r>
      <w:r>
        <w:rPr>
          <w:rFonts w:cs="Arial" w:hint="cs"/>
          <w:sz w:val="18"/>
          <w:szCs w:val="18"/>
          <w:rtl/>
        </w:rPr>
        <w:t>"</w:t>
      </w:r>
      <w:r w:rsidRPr="002723AE">
        <w:rPr>
          <w:rFonts w:cs="Arial" w:hint="cs"/>
          <w:sz w:val="18"/>
          <w:szCs w:val="18"/>
          <w:rtl/>
        </w:rPr>
        <w:t>תנו</w:t>
      </w:r>
      <w:r w:rsidRPr="002723AE">
        <w:rPr>
          <w:rFonts w:cs="Arial"/>
          <w:sz w:val="18"/>
          <w:szCs w:val="18"/>
          <w:rtl/>
        </w:rPr>
        <w:t xml:space="preserve"> </w:t>
      </w:r>
      <w:r w:rsidRPr="002723AE">
        <w:rPr>
          <w:rFonts w:cs="Arial" w:hint="cs"/>
          <w:sz w:val="18"/>
          <w:szCs w:val="18"/>
          <w:rtl/>
        </w:rPr>
        <w:t>רבנן</w:t>
      </w:r>
      <w:r w:rsidRPr="002723AE">
        <w:rPr>
          <w:rFonts w:cs="Arial"/>
          <w:sz w:val="18"/>
          <w:szCs w:val="18"/>
          <w:rtl/>
        </w:rPr>
        <w:t xml:space="preserve">: </w:t>
      </w:r>
      <w:r w:rsidRPr="002723AE">
        <w:rPr>
          <w:rFonts w:cs="Arial" w:hint="cs"/>
          <w:sz w:val="18"/>
          <w:szCs w:val="18"/>
          <w:rtl/>
        </w:rPr>
        <w:t>אין</w:t>
      </w:r>
      <w:r w:rsidRPr="002723AE">
        <w:rPr>
          <w:rFonts w:cs="Arial"/>
          <w:sz w:val="18"/>
          <w:szCs w:val="18"/>
          <w:rtl/>
        </w:rPr>
        <w:t xml:space="preserve"> </w:t>
      </w:r>
      <w:r w:rsidRPr="002723AE">
        <w:rPr>
          <w:rFonts w:cs="Arial" w:hint="cs"/>
          <w:sz w:val="18"/>
          <w:szCs w:val="18"/>
          <w:rtl/>
        </w:rPr>
        <w:t>עומדין</w:t>
      </w:r>
      <w:r w:rsidRPr="002723AE">
        <w:rPr>
          <w:rFonts w:cs="Arial"/>
          <w:sz w:val="18"/>
          <w:szCs w:val="18"/>
          <w:rtl/>
        </w:rPr>
        <w:t xml:space="preserve"> </w:t>
      </w:r>
      <w:r w:rsidRPr="002723AE">
        <w:rPr>
          <w:rFonts w:cs="Arial" w:hint="cs"/>
          <w:sz w:val="18"/>
          <w:szCs w:val="18"/>
          <w:rtl/>
        </w:rPr>
        <w:t>להתפלל</w:t>
      </w:r>
      <w:r w:rsidRPr="002723AE">
        <w:rPr>
          <w:rFonts w:cs="Arial"/>
          <w:sz w:val="18"/>
          <w:szCs w:val="18"/>
          <w:rtl/>
        </w:rPr>
        <w:t xml:space="preserve"> </w:t>
      </w:r>
      <w:r w:rsidRPr="002723AE">
        <w:rPr>
          <w:rFonts w:cs="Arial" w:hint="cs"/>
          <w:sz w:val="18"/>
          <w:szCs w:val="18"/>
          <w:rtl/>
        </w:rPr>
        <w:t>לא</w:t>
      </w:r>
      <w:r w:rsidRPr="002723AE">
        <w:rPr>
          <w:rFonts w:cs="Arial"/>
          <w:sz w:val="18"/>
          <w:szCs w:val="18"/>
          <w:rtl/>
        </w:rPr>
        <w:t xml:space="preserve"> </w:t>
      </w:r>
      <w:r w:rsidRPr="002723AE">
        <w:rPr>
          <w:rFonts w:cs="Arial" w:hint="cs"/>
          <w:sz w:val="18"/>
          <w:szCs w:val="18"/>
          <w:rtl/>
        </w:rPr>
        <w:t>מתוך</w:t>
      </w:r>
      <w:r w:rsidRPr="002723AE">
        <w:rPr>
          <w:rFonts w:cs="Arial"/>
          <w:sz w:val="18"/>
          <w:szCs w:val="18"/>
          <w:rtl/>
        </w:rPr>
        <w:t xml:space="preserve"> </w:t>
      </w:r>
      <w:r w:rsidRPr="002723AE">
        <w:rPr>
          <w:rFonts w:cs="Arial" w:hint="cs"/>
          <w:sz w:val="18"/>
          <w:szCs w:val="18"/>
          <w:rtl/>
        </w:rPr>
        <w:t>דין</w:t>
      </w:r>
      <w:r w:rsidRPr="002723AE">
        <w:rPr>
          <w:rFonts w:cs="Arial"/>
          <w:sz w:val="18"/>
          <w:szCs w:val="18"/>
          <w:rtl/>
        </w:rPr>
        <w:t xml:space="preserve">, </w:t>
      </w:r>
      <w:r w:rsidRPr="002723AE">
        <w:rPr>
          <w:rFonts w:cs="Arial" w:hint="cs"/>
          <w:sz w:val="18"/>
          <w:szCs w:val="18"/>
          <w:rtl/>
        </w:rPr>
        <w:t>ולא</w:t>
      </w:r>
      <w:r w:rsidRPr="002723AE">
        <w:rPr>
          <w:rFonts w:cs="Arial"/>
          <w:sz w:val="18"/>
          <w:szCs w:val="18"/>
          <w:rtl/>
        </w:rPr>
        <w:t xml:space="preserve"> </w:t>
      </w:r>
      <w:r w:rsidRPr="002723AE">
        <w:rPr>
          <w:rFonts w:cs="Arial" w:hint="cs"/>
          <w:sz w:val="18"/>
          <w:szCs w:val="18"/>
          <w:rtl/>
        </w:rPr>
        <w:t>מתוך</w:t>
      </w:r>
      <w:r w:rsidRPr="002723AE">
        <w:rPr>
          <w:rFonts w:cs="Arial"/>
          <w:sz w:val="18"/>
          <w:szCs w:val="18"/>
          <w:rtl/>
        </w:rPr>
        <w:t xml:space="preserve"> </w:t>
      </w:r>
      <w:r w:rsidRPr="002723AE">
        <w:rPr>
          <w:rFonts w:cs="Arial" w:hint="cs"/>
          <w:sz w:val="18"/>
          <w:szCs w:val="18"/>
          <w:rtl/>
        </w:rPr>
        <w:t>דבר</w:t>
      </w:r>
      <w:r w:rsidRPr="002723AE">
        <w:rPr>
          <w:rFonts w:cs="Arial"/>
          <w:sz w:val="18"/>
          <w:szCs w:val="18"/>
          <w:rtl/>
        </w:rPr>
        <w:t xml:space="preserve"> </w:t>
      </w:r>
      <w:r w:rsidRPr="002723AE">
        <w:rPr>
          <w:rFonts w:cs="Arial" w:hint="cs"/>
          <w:sz w:val="18"/>
          <w:szCs w:val="18"/>
          <w:rtl/>
        </w:rPr>
        <w:t>הלכה</w:t>
      </w:r>
      <w:r w:rsidRPr="002723AE">
        <w:rPr>
          <w:rFonts w:cs="Arial"/>
          <w:sz w:val="18"/>
          <w:szCs w:val="18"/>
          <w:rtl/>
        </w:rPr>
        <w:t xml:space="preserve">, </w:t>
      </w:r>
      <w:r w:rsidRPr="002723AE">
        <w:rPr>
          <w:rFonts w:cs="Arial" w:hint="cs"/>
          <w:sz w:val="18"/>
          <w:szCs w:val="18"/>
          <w:rtl/>
        </w:rPr>
        <w:t>אלא</w:t>
      </w:r>
      <w:r w:rsidRPr="002723AE">
        <w:rPr>
          <w:rFonts w:cs="Arial"/>
          <w:sz w:val="18"/>
          <w:szCs w:val="18"/>
          <w:rtl/>
        </w:rPr>
        <w:t xml:space="preserve"> </w:t>
      </w:r>
      <w:r w:rsidRPr="002723AE">
        <w:rPr>
          <w:rFonts w:cs="Arial" w:hint="cs"/>
          <w:sz w:val="18"/>
          <w:szCs w:val="18"/>
          <w:rtl/>
        </w:rPr>
        <w:t>מתוך</w:t>
      </w:r>
      <w:r w:rsidRPr="002723AE">
        <w:rPr>
          <w:rFonts w:cs="Arial"/>
          <w:sz w:val="18"/>
          <w:szCs w:val="18"/>
          <w:rtl/>
        </w:rPr>
        <w:t xml:space="preserve"> </w:t>
      </w:r>
      <w:r w:rsidRPr="002723AE">
        <w:rPr>
          <w:rFonts w:cs="Arial" w:hint="cs"/>
          <w:sz w:val="18"/>
          <w:szCs w:val="18"/>
          <w:rtl/>
        </w:rPr>
        <w:t>הלכה</w:t>
      </w:r>
      <w:r w:rsidRPr="002723AE">
        <w:rPr>
          <w:rFonts w:cs="Arial"/>
          <w:sz w:val="18"/>
          <w:szCs w:val="18"/>
          <w:rtl/>
        </w:rPr>
        <w:t xml:space="preserve"> </w:t>
      </w:r>
      <w:r w:rsidRPr="002723AE">
        <w:rPr>
          <w:rFonts w:cs="Arial" w:hint="cs"/>
          <w:sz w:val="18"/>
          <w:szCs w:val="18"/>
          <w:rtl/>
        </w:rPr>
        <w:t>פסוקה</w:t>
      </w:r>
      <w:r w:rsidRPr="002723AE">
        <w:rPr>
          <w:rFonts w:cs="Arial"/>
          <w:sz w:val="18"/>
          <w:szCs w:val="18"/>
          <w:rtl/>
        </w:rPr>
        <w:t xml:space="preserve">. </w:t>
      </w:r>
      <w:r w:rsidRPr="002723AE">
        <w:rPr>
          <w:rFonts w:cs="Arial" w:hint="cs"/>
          <w:sz w:val="18"/>
          <w:szCs w:val="18"/>
          <w:u w:val="single"/>
          <w:rtl/>
        </w:rPr>
        <w:t>והיכי</w:t>
      </w:r>
      <w:r w:rsidRPr="002723AE">
        <w:rPr>
          <w:rFonts w:cs="Arial"/>
          <w:sz w:val="18"/>
          <w:szCs w:val="18"/>
          <w:u w:val="single"/>
          <w:rtl/>
        </w:rPr>
        <w:t xml:space="preserve"> </w:t>
      </w:r>
      <w:r w:rsidRPr="002723AE">
        <w:rPr>
          <w:rFonts w:cs="Arial" w:hint="cs"/>
          <w:sz w:val="18"/>
          <w:szCs w:val="18"/>
          <w:u w:val="single"/>
          <w:rtl/>
        </w:rPr>
        <w:t>דמי</w:t>
      </w:r>
      <w:r w:rsidRPr="002723AE">
        <w:rPr>
          <w:rFonts w:cs="Arial"/>
          <w:sz w:val="18"/>
          <w:szCs w:val="18"/>
          <w:u w:val="single"/>
          <w:rtl/>
        </w:rPr>
        <w:t xml:space="preserve"> </w:t>
      </w:r>
      <w:r w:rsidRPr="002723AE">
        <w:rPr>
          <w:rFonts w:cs="Arial" w:hint="cs"/>
          <w:sz w:val="18"/>
          <w:szCs w:val="18"/>
          <w:u w:val="single"/>
          <w:rtl/>
        </w:rPr>
        <w:t>הלכה</w:t>
      </w:r>
      <w:r w:rsidRPr="002723AE">
        <w:rPr>
          <w:rFonts w:cs="Arial"/>
          <w:sz w:val="18"/>
          <w:szCs w:val="18"/>
          <w:u w:val="single"/>
          <w:rtl/>
        </w:rPr>
        <w:t xml:space="preserve"> </w:t>
      </w:r>
      <w:r w:rsidRPr="002723AE">
        <w:rPr>
          <w:rFonts w:cs="Arial" w:hint="cs"/>
          <w:sz w:val="18"/>
          <w:szCs w:val="18"/>
          <w:u w:val="single"/>
          <w:rtl/>
        </w:rPr>
        <w:t>פסוקה</w:t>
      </w:r>
      <w:r w:rsidRPr="002723AE">
        <w:rPr>
          <w:rFonts w:cs="Arial"/>
          <w:sz w:val="18"/>
          <w:szCs w:val="18"/>
          <w:u w:val="single"/>
          <w:rtl/>
        </w:rPr>
        <w:t xml:space="preserve">? </w:t>
      </w:r>
      <w:r w:rsidRPr="002723AE">
        <w:rPr>
          <w:rFonts w:cs="Arial" w:hint="cs"/>
          <w:sz w:val="18"/>
          <w:szCs w:val="18"/>
          <w:u w:val="single"/>
          <w:rtl/>
        </w:rPr>
        <w:t>אמר</w:t>
      </w:r>
      <w:r w:rsidRPr="002723AE">
        <w:rPr>
          <w:rFonts w:cs="Arial"/>
          <w:sz w:val="18"/>
          <w:szCs w:val="18"/>
          <w:u w:val="single"/>
          <w:rtl/>
        </w:rPr>
        <w:t xml:space="preserve"> </w:t>
      </w:r>
      <w:r w:rsidRPr="002723AE">
        <w:rPr>
          <w:rFonts w:cs="Arial" w:hint="cs"/>
          <w:sz w:val="18"/>
          <w:szCs w:val="18"/>
          <w:u w:val="single"/>
          <w:rtl/>
        </w:rPr>
        <w:t>אביי</w:t>
      </w:r>
      <w:r w:rsidRPr="002723AE">
        <w:rPr>
          <w:rFonts w:cs="Arial"/>
          <w:sz w:val="18"/>
          <w:szCs w:val="18"/>
          <w:u w:val="single"/>
          <w:rtl/>
        </w:rPr>
        <w:t xml:space="preserve">: </w:t>
      </w:r>
      <w:r w:rsidRPr="002723AE">
        <w:rPr>
          <w:rFonts w:cs="Arial" w:hint="cs"/>
          <w:sz w:val="18"/>
          <w:szCs w:val="18"/>
          <w:u w:val="single"/>
          <w:rtl/>
        </w:rPr>
        <w:t>כי</w:t>
      </w:r>
      <w:r w:rsidRPr="002723AE">
        <w:rPr>
          <w:rFonts w:cs="Arial"/>
          <w:sz w:val="18"/>
          <w:szCs w:val="18"/>
          <w:u w:val="single"/>
          <w:rtl/>
        </w:rPr>
        <w:t xml:space="preserve"> </w:t>
      </w:r>
      <w:r w:rsidRPr="002723AE">
        <w:rPr>
          <w:rFonts w:cs="Arial" w:hint="cs"/>
          <w:sz w:val="18"/>
          <w:szCs w:val="18"/>
          <w:u w:val="single"/>
          <w:rtl/>
        </w:rPr>
        <w:t>הא</w:t>
      </w:r>
      <w:r w:rsidRPr="002723AE">
        <w:rPr>
          <w:rFonts w:cs="Arial"/>
          <w:sz w:val="18"/>
          <w:szCs w:val="18"/>
          <w:u w:val="single"/>
          <w:rtl/>
        </w:rPr>
        <w:t xml:space="preserve"> </w:t>
      </w:r>
      <w:r w:rsidRPr="002723AE">
        <w:rPr>
          <w:rFonts w:cs="Arial" w:hint="cs"/>
          <w:sz w:val="18"/>
          <w:szCs w:val="18"/>
          <w:u w:val="single"/>
          <w:rtl/>
        </w:rPr>
        <w:t>דרבי</w:t>
      </w:r>
      <w:r w:rsidRPr="002723AE">
        <w:rPr>
          <w:rFonts w:cs="Arial"/>
          <w:sz w:val="18"/>
          <w:szCs w:val="18"/>
          <w:u w:val="single"/>
          <w:rtl/>
        </w:rPr>
        <w:t xml:space="preserve"> </w:t>
      </w:r>
      <w:r w:rsidRPr="002723AE">
        <w:rPr>
          <w:rFonts w:cs="Arial" w:hint="cs"/>
          <w:sz w:val="18"/>
          <w:szCs w:val="18"/>
          <w:u w:val="single"/>
          <w:rtl/>
        </w:rPr>
        <w:t>זירא</w:t>
      </w:r>
      <w:r w:rsidRPr="002723AE">
        <w:rPr>
          <w:rFonts w:cs="Arial"/>
          <w:sz w:val="18"/>
          <w:szCs w:val="18"/>
          <w:rtl/>
        </w:rPr>
        <w:t xml:space="preserve">, </w:t>
      </w:r>
      <w:r w:rsidRPr="002723AE">
        <w:rPr>
          <w:rFonts w:cs="Arial" w:hint="cs"/>
          <w:sz w:val="18"/>
          <w:szCs w:val="18"/>
          <w:rtl/>
        </w:rPr>
        <w:t>דאמר</w:t>
      </w:r>
      <w:r w:rsidRPr="002723AE">
        <w:rPr>
          <w:rFonts w:cs="Arial"/>
          <w:sz w:val="18"/>
          <w:szCs w:val="18"/>
          <w:rtl/>
        </w:rPr>
        <w:t xml:space="preserve"> </w:t>
      </w:r>
      <w:r w:rsidRPr="002723AE">
        <w:rPr>
          <w:rFonts w:cs="Arial" w:hint="cs"/>
          <w:sz w:val="18"/>
          <w:szCs w:val="18"/>
          <w:rtl/>
        </w:rPr>
        <w:t>רבי</w:t>
      </w:r>
      <w:r w:rsidRPr="002723AE">
        <w:rPr>
          <w:rFonts w:cs="Arial"/>
          <w:sz w:val="18"/>
          <w:szCs w:val="18"/>
          <w:rtl/>
        </w:rPr>
        <w:t xml:space="preserve"> </w:t>
      </w:r>
      <w:r w:rsidRPr="002723AE">
        <w:rPr>
          <w:rFonts w:cs="Arial" w:hint="cs"/>
          <w:sz w:val="18"/>
          <w:szCs w:val="18"/>
          <w:rtl/>
        </w:rPr>
        <w:t>זירא</w:t>
      </w:r>
      <w:r w:rsidRPr="002723AE">
        <w:rPr>
          <w:rFonts w:cs="Arial"/>
          <w:sz w:val="18"/>
          <w:szCs w:val="18"/>
          <w:rtl/>
        </w:rPr>
        <w:t xml:space="preserve">: </w:t>
      </w:r>
      <w:r w:rsidRPr="002723AE">
        <w:rPr>
          <w:rFonts w:cs="Arial" w:hint="cs"/>
          <w:sz w:val="18"/>
          <w:szCs w:val="18"/>
          <w:rtl/>
        </w:rPr>
        <w:t>בנות</w:t>
      </w:r>
      <w:r w:rsidRPr="002723AE">
        <w:rPr>
          <w:rFonts w:cs="Arial"/>
          <w:sz w:val="18"/>
          <w:szCs w:val="18"/>
          <w:rtl/>
        </w:rPr>
        <w:t xml:space="preserve"> </w:t>
      </w:r>
      <w:r w:rsidRPr="002723AE">
        <w:rPr>
          <w:rFonts w:cs="Arial" w:hint="cs"/>
          <w:sz w:val="18"/>
          <w:szCs w:val="18"/>
          <w:rtl/>
        </w:rPr>
        <w:t>ישראל</w:t>
      </w:r>
      <w:r w:rsidRPr="002723AE">
        <w:rPr>
          <w:rFonts w:cs="Arial"/>
          <w:sz w:val="18"/>
          <w:szCs w:val="18"/>
          <w:rtl/>
        </w:rPr>
        <w:t xml:space="preserve"> </w:t>
      </w:r>
      <w:r w:rsidRPr="002723AE">
        <w:rPr>
          <w:rFonts w:cs="Arial" w:hint="cs"/>
          <w:sz w:val="18"/>
          <w:szCs w:val="18"/>
          <w:rtl/>
        </w:rPr>
        <w:t>החמירו</w:t>
      </w:r>
      <w:r w:rsidRPr="002723AE">
        <w:rPr>
          <w:rFonts w:cs="Arial"/>
          <w:sz w:val="18"/>
          <w:szCs w:val="18"/>
          <w:rtl/>
        </w:rPr>
        <w:t xml:space="preserve"> </w:t>
      </w:r>
      <w:r w:rsidRPr="002723AE">
        <w:rPr>
          <w:rFonts w:cs="Arial" w:hint="cs"/>
          <w:sz w:val="18"/>
          <w:szCs w:val="18"/>
          <w:rtl/>
        </w:rPr>
        <w:t>על</w:t>
      </w:r>
      <w:r w:rsidRPr="002723AE">
        <w:rPr>
          <w:rFonts w:cs="Arial"/>
          <w:sz w:val="18"/>
          <w:szCs w:val="18"/>
          <w:rtl/>
        </w:rPr>
        <w:t xml:space="preserve"> </w:t>
      </w:r>
      <w:r w:rsidRPr="002723AE">
        <w:rPr>
          <w:rFonts w:cs="Arial" w:hint="cs"/>
          <w:sz w:val="18"/>
          <w:szCs w:val="18"/>
          <w:rtl/>
        </w:rPr>
        <w:t>עצמן</w:t>
      </w:r>
      <w:r w:rsidRPr="002723AE">
        <w:rPr>
          <w:rFonts w:cs="Arial"/>
          <w:sz w:val="18"/>
          <w:szCs w:val="18"/>
          <w:rtl/>
        </w:rPr>
        <w:t xml:space="preserve">, </w:t>
      </w:r>
      <w:r w:rsidRPr="002723AE">
        <w:rPr>
          <w:rFonts w:cs="Arial" w:hint="cs"/>
          <w:sz w:val="18"/>
          <w:szCs w:val="18"/>
          <w:rtl/>
        </w:rPr>
        <w:t>שאפילו</w:t>
      </w:r>
      <w:r w:rsidRPr="002723AE">
        <w:rPr>
          <w:rFonts w:cs="Arial"/>
          <w:sz w:val="18"/>
          <w:szCs w:val="18"/>
          <w:rtl/>
        </w:rPr>
        <w:t xml:space="preserve"> </w:t>
      </w:r>
      <w:r w:rsidRPr="002723AE">
        <w:rPr>
          <w:rFonts w:cs="Arial" w:hint="cs"/>
          <w:sz w:val="18"/>
          <w:szCs w:val="18"/>
          <w:rtl/>
        </w:rPr>
        <w:t>רואות</w:t>
      </w:r>
      <w:r w:rsidRPr="002723AE">
        <w:rPr>
          <w:rFonts w:cs="Arial"/>
          <w:sz w:val="18"/>
          <w:szCs w:val="18"/>
          <w:rtl/>
        </w:rPr>
        <w:t xml:space="preserve"> </w:t>
      </w:r>
      <w:r w:rsidRPr="002723AE">
        <w:rPr>
          <w:rFonts w:cs="Arial" w:hint="cs"/>
          <w:sz w:val="18"/>
          <w:szCs w:val="18"/>
          <w:rtl/>
        </w:rPr>
        <w:t>טיפת</w:t>
      </w:r>
      <w:r w:rsidRPr="002723AE">
        <w:rPr>
          <w:rFonts w:cs="Arial"/>
          <w:sz w:val="18"/>
          <w:szCs w:val="18"/>
          <w:rtl/>
        </w:rPr>
        <w:t xml:space="preserve"> </w:t>
      </w:r>
      <w:r w:rsidRPr="002723AE">
        <w:rPr>
          <w:rFonts w:cs="Arial" w:hint="cs"/>
          <w:sz w:val="18"/>
          <w:szCs w:val="18"/>
          <w:rtl/>
        </w:rPr>
        <w:t>דם</w:t>
      </w:r>
      <w:r w:rsidRPr="002723AE">
        <w:rPr>
          <w:rFonts w:cs="Arial"/>
          <w:sz w:val="18"/>
          <w:szCs w:val="18"/>
          <w:rtl/>
        </w:rPr>
        <w:t xml:space="preserve"> </w:t>
      </w:r>
      <w:r w:rsidRPr="002723AE">
        <w:rPr>
          <w:rFonts w:cs="Arial" w:hint="cs"/>
          <w:sz w:val="18"/>
          <w:szCs w:val="18"/>
          <w:rtl/>
        </w:rPr>
        <w:t>כחרדל</w:t>
      </w:r>
      <w:r w:rsidRPr="002723AE">
        <w:rPr>
          <w:rFonts w:cs="Arial"/>
          <w:sz w:val="18"/>
          <w:szCs w:val="18"/>
          <w:rtl/>
        </w:rPr>
        <w:t xml:space="preserve"> - </w:t>
      </w:r>
      <w:r w:rsidRPr="002723AE">
        <w:rPr>
          <w:rFonts w:cs="Arial" w:hint="cs"/>
          <w:sz w:val="18"/>
          <w:szCs w:val="18"/>
          <w:rtl/>
        </w:rPr>
        <w:t>יושבות</w:t>
      </w:r>
      <w:r w:rsidRPr="002723AE">
        <w:rPr>
          <w:rFonts w:cs="Arial"/>
          <w:sz w:val="18"/>
          <w:szCs w:val="18"/>
          <w:rtl/>
        </w:rPr>
        <w:t xml:space="preserve"> </w:t>
      </w:r>
      <w:r w:rsidRPr="002723AE">
        <w:rPr>
          <w:rFonts w:cs="Arial" w:hint="cs"/>
          <w:sz w:val="18"/>
          <w:szCs w:val="18"/>
          <w:rtl/>
        </w:rPr>
        <w:t>עליה</w:t>
      </w:r>
      <w:r w:rsidRPr="002723AE">
        <w:rPr>
          <w:rFonts w:cs="Arial"/>
          <w:sz w:val="18"/>
          <w:szCs w:val="18"/>
          <w:rtl/>
        </w:rPr>
        <w:t xml:space="preserve"> </w:t>
      </w:r>
      <w:r w:rsidRPr="002723AE">
        <w:rPr>
          <w:rFonts w:cs="Arial" w:hint="cs"/>
          <w:sz w:val="18"/>
          <w:szCs w:val="18"/>
          <w:rtl/>
        </w:rPr>
        <w:t>שבעה</w:t>
      </w:r>
      <w:r w:rsidRPr="002723AE">
        <w:rPr>
          <w:rFonts w:cs="Arial"/>
          <w:sz w:val="18"/>
          <w:szCs w:val="18"/>
          <w:rtl/>
        </w:rPr>
        <w:t xml:space="preserve"> </w:t>
      </w:r>
      <w:r w:rsidRPr="002723AE">
        <w:rPr>
          <w:rFonts w:cs="Arial" w:hint="cs"/>
          <w:sz w:val="18"/>
          <w:szCs w:val="18"/>
          <w:rtl/>
        </w:rPr>
        <w:t>נקיים</w:t>
      </w:r>
      <w:r>
        <w:rPr>
          <w:rFonts w:cs="Arial" w:hint="cs"/>
          <w:sz w:val="18"/>
          <w:szCs w:val="18"/>
          <w:rtl/>
        </w:rPr>
        <w:t>".</w:t>
      </w:r>
    </w:p>
  </w:footnote>
  <w:footnote w:id="14">
    <w:p w:rsidR="005953C5" w:rsidRDefault="005953C5" w:rsidP="00620060">
      <w:pPr>
        <w:pStyle w:val="a3"/>
      </w:pPr>
      <w:r w:rsidRPr="0032184D">
        <w:rPr>
          <w:rStyle w:val="a5"/>
          <w:sz w:val="18"/>
          <w:szCs w:val="18"/>
        </w:rPr>
        <w:footnoteRef/>
      </w:r>
      <w:r w:rsidRPr="0032184D">
        <w:rPr>
          <w:sz w:val="18"/>
          <w:szCs w:val="18"/>
          <w:rtl/>
        </w:rPr>
        <w:t xml:space="preserve"> </w:t>
      </w:r>
      <w:r w:rsidRPr="0032184D">
        <w:rPr>
          <w:rFonts w:hint="cs"/>
          <w:b/>
          <w:bCs/>
          <w:sz w:val="18"/>
          <w:szCs w:val="18"/>
          <w:rtl/>
        </w:rPr>
        <w:t>ש"ך</w:t>
      </w:r>
      <w:r w:rsidRPr="0032184D">
        <w:rPr>
          <w:rFonts w:hint="cs"/>
          <w:sz w:val="18"/>
          <w:szCs w:val="18"/>
          <w:rtl/>
        </w:rPr>
        <w:t xml:space="preserve"> </w:t>
      </w:r>
      <w:r w:rsidRPr="0032184D">
        <w:rPr>
          <w:sz w:val="18"/>
          <w:szCs w:val="18"/>
          <w:rtl/>
        </w:rPr>
        <w:t>–</w:t>
      </w:r>
      <w:r w:rsidRPr="0032184D">
        <w:rPr>
          <w:rFonts w:hint="cs"/>
          <w:sz w:val="18"/>
          <w:szCs w:val="18"/>
          <w:rtl/>
        </w:rPr>
        <w:t xml:space="preserve"> הוא הדין פחות מחרדל, נמי טמאה.</w:t>
      </w:r>
    </w:p>
  </w:footnote>
  <w:footnote w:id="15">
    <w:p w:rsidR="005953C5" w:rsidRDefault="005953C5" w:rsidP="00620060">
      <w:pPr>
        <w:pStyle w:val="a3"/>
      </w:pPr>
      <w:r w:rsidRPr="003273AE">
        <w:rPr>
          <w:rStyle w:val="a5"/>
          <w:sz w:val="18"/>
          <w:szCs w:val="18"/>
        </w:rPr>
        <w:footnoteRef/>
      </w:r>
      <w:r w:rsidRPr="003273AE">
        <w:rPr>
          <w:sz w:val="18"/>
          <w:szCs w:val="18"/>
          <w:rtl/>
        </w:rPr>
        <w:t xml:space="preserve"> </w:t>
      </w:r>
      <w:r w:rsidRPr="003273AE">
        <w:rPr>
          <w:rFonts w:hint="cs"/>
          <w:sz w:val="18"/>
          <w:szCs w:val="18"/>
          <w:rtl/>
        </w:rPr>
        <w:t xml:space="preserve">אמנם, </w:t>
      </w:r>
      <w:r w:rsidRPr="003273AE">
        <w:rPr>
          <w:rFonts w:hint="cs"/>
          <w:b/>
          <w:bCs/>
          <w:sz w:val="18"/>
          <w:szCs w:val="18"/>
          <w:rtl/>
        </w:rPr>
        <w:t>החת"ס</w:t>
      </w:r>
      <w:r w:rsidRPr="003273AE">
        <w:rPr>
          <w:rFonts w:hint="cs"/>
          <w:sz w:val="18"/>
          <w:szCs w:val="18"/>
          <w:rtl/>
        </w:rPr>
        <w:t xml:space="preserve"> כתב שאין זו הרגשה ואינה טמאה מדאורייתא בכה"ג.</w:t>
      </w:r>
    </w:p>
  </w:footnote>
  <w:footnote w:id="16">
    <w:p w:rsidR="005953C5" w:rsidRDefault="005953C5" w:rsidP="00620060">
      <w:pPr>
        <w:pStyle w:val="a3"/>
        <w:rPr>
          <w:rtl/>
        </w:rPr>
      </w:pPr>
      <w:r w:rsidRPr="00765A97">
        <w:rPr>
          <w:rStyle w:val="a5"/>
          <w:sz w:val="18"/>
          <w:szCs w:val="18"/>
        </w:rPr>
        <w:footnoteRef/>
      </w:r>
      <w:r w:rsidRPr="00765A97">
        <w:rPr>
          <w:sz w:val="18"/>
          <w:szCs w:val="18"/>
          <w:rtl/>
        </w:rPr>
        <w:t xml:space="preserve"> </w:t>
      </w:r>
      <w:r w:rsidRPr="00765A97">
        <w:rPr>
          <w:rFonts w:hint="cs"/>
          <w:sz w:val="18"/>
          <w:szCs w:val="18"/>
          <w:rtl/>
        </w:rPr>
        <w:t>אמנם, אם נעקר דם פנימי שלא כדרך ראיה, שאז אינו מטמא, איכא נפק"מ ב</w:t>
      </w:r>
      <w:r>
        <w:rPr>
          <w:rFonts w:hint="cs"/>
          <w:sz w:val="18"/>
          <w:szCs w:val="18"/>
          <w:rtl/>
        </w:rPr>
        <w:t>שאלה ה</w:t>
      </w:r>
      <w:r w:rsidRPr="00765A97">
        <w:rPr>
          <w:rFonts w:hint="cs"/>
          <w:sz w:val="18"/>
          <w:szCs w:val="18"/>
          <w:rtl/>
        </w:rPr>
        <w:t>נ"ל, משום שהדם היוצא מבית החיצון אינו מטמא.</w:t>
      </w:r>
    </w:p>
  </w:footnote>
  <w:footnote w:id="17">
    <w:p w:rsidR="005953C5" w:rsidRPr="00004D4B" w:rsidRDefault="005953C5" w:rsidP="00620060">
      <w:pPr>
        <w:pStyle w:val="a3"/>
        <w:rPr>
          <w:sz w:val="18"/>
          <w:szCs w:val="18"/>
        </w:rPr>
      </w:pPr>
      <w:r w:rsidRPr="00004D4B">
        <w:rPr>
          <w:rStyle w:val="a5"/>
          <w:sz w:val="18"/>
          <w:szCs w:val="18"/>
        </w:rPr>
        <w:footnoteRef/>
      </w:r>
      <w:r w:rsidRPr="00004D4B">
        <w:rPr>
          <w:sz w:val="18"/>
          <w:szCs w:val="18"/>
          <w:rtl/>
        </w:rPr>
        <w:t xml:space="preserve"> </w:t>
      </w:r>
      <w:r w:rsidRPr="00004D4B">
        <w:rPr>
          <w:rFonts w:hint="cs"/>
          <w:sz w:val="18"/>
          <w:szCs w:val="18"/>
          <w:rtl/>
        </w:rPr>
        <w:t xml:space="preserve">כן היא הגירסה </w:t>
      </w:r>
      <w:r w:rsidRPr="00004D4B">
        <w:rPr>
          <w:rFonts w:hint="cs"/>
          <w:b/>
          <w:bCs/>
          <w:sz w:val="18"/>
          <w:szCs w:val="18"/>
          <w:rtl/>
        </w:rPr>
        <w:t>בהגה"מ</w:t>
      </w:r>
      <w:r w:rsidRPr="00004D4B">
        <w:rPr>
          <w:rFonts w:hint="cs"/>
          <w:sz w:val="18"/>
          <w:szCs w:val="18"/>
          <w:rtl/>
        </w:rPr>
        <w:t xml:space="preserve"> שלפנינו המביא את רבינו שמחה הנ"ל, אך </w:t>
      </w:r>
      <w:r w:rsidRPr="00004D4B">
        <w:rPr>
          <w:rFonts w:hint="cs"/>
          <w:b/>
          <w:bCs/>
          <w:sz w:val="18"/>
          <w:szCs w:val="18"/>
          <w:rtl/>
        </w:rPr>
        <w:t>הדרכ"מ</w:t>
      </w:r>
      <w:r w:rsidRPr="00004D4B">
        <w:rPr>
          <w:rFonts w:hint="cs"/>
          <w:sz w:val="18"/>
          <w:szCs w:val="18"/>
          <w:rtl/>
        </w:rPr>
        <w:t xml:space="preserve"> העתיק: "מצווה לבדוק". </w:t>
      </w:r>
    </w:p>
  </w:footnote>
  <w:footnote w:id="18">
    <w:p w:rsidR="005953C5" w:rsidRPr="00004D4B" w:rsidRDefault="005953C5" w:rsidP="00620060">
      <w:pPr>
        <w:pStyle w:val="a3"/>
        <w:rPr>
          <w:sz w:val="18"/>
          <w:szCs w:val="18"/>
          <w:rtl/>
        </w:rPr>
      </w:pPr>
      <w:r w:rsidRPr="00004D4B">
        <w:rPr>
          <w:rStyle w:val="a5"/>
          <w:sz w:val="18"/>
          <w:szCs w:val="18"/>
        </w:rPr>
        <w:footnoteRef/>
      </w:r>
      <w:r w:rsidRPr="00004D4B">
        <w:rPr>
          <w:sz w:val="18"/>
          <w:szCs w:val="18"/>
          <w:rtl/>
        </w:rPr>
        <w:t xml:space="preserve"> </w:t>
      </w:r>
      <w:r w:rsidRPr="00004D4B">
        <w:rPr>
          <w:rFonts w:hint="cs"/>
          <w:sz w:val="18"/>
          <w:szCs w:val="18"/>
          <w:rtl/>
        </w:rPr>
        <w:t>ולפי"ז, שאלת רבי זירא היתה על בדיקה שלאחר תשמיש, אך על בדיקה לפני תשמיש לא שאל.</w:t>
      </w:r>
    </w:p>
  </w:footnote>
  <w:footnote w:id="19">
    <w:p w:rsidR="005953C5" w:rsidRPr="00004D4B" w:rsidRDefault="005953C5" w:rsidP="00620060">
      <w:pPr>
        <w:pStyle w:val="a3"/>
        <w:rPr>
          <w:sz w:val="18"/>
          <w:szCs w:val="18"/>
        </w:rPr>
      </w:pPr>
      <w:r w:rsidRPr="00004D4B">
        <w:rPr>
          <w:rStyle w:val="a5"/>
          <w:sz w:val="18"/>
          <w:szCs w:val="18"/>
        </w:rPr>
        <w:footnoteRef/>
      </w:r>
      <w:r w:rsidRPr="00004D4B">
        <w:rPr>
          <w:sz w:val="18"/>
          <w:szCs w:val="18"/>
          <w:rtl/>
        </w:rPr>
        <w:t xml:space="preserve"> </w:t>
      </w:r>
      <w:r w:rsidRPr="00004D4B">
        <w:rPr>
          <w:rFonts w:hint="cs"/>
          <w:sz w:val="18"/>
          <w:szCs w:val="18"/>
          <w:rtl/>
        </w:rPr>
        <w:t xml:space="preserve">ביאור שיטת הרמב"ם </w:t>
      </w:r>
      <w:r w:rsidRPr="00004D4B">
        <w:rPr>
          <w:sz w:val="18"/>
          <w:szCs w:val="18"/>
          <w:rtl/>
        </w:rPr>
        <w:t>–</w:t>
      </w:r>
      <w:r w:rsidRPr="00004D4B">
        <w:rPr>
          <w:rFonts w:hint="cs"/>
          <w:sz w:val="18"/>
          <w:szCs w:val="18"/>
          <w:rtl/>
        </w:rPr>
        <w:t xml:space="preserve"> נאמר במשנה נידה (יד.) "</w:t>
      </w:r>
      <w:r w:rsidRPr="00004D4B">
        <w:rPr>
          <w:rFonts w:cs="Arial" w:hint="cs"/>
          <w:sz w:val="18"/>
          <w:szCs w:val="18"/>
          <w:rtl/>
        </w:rPr>
        <w:t>דרך</w:t>
      </w:r>
      <w:r w:rsidRPr="00004D4B">
        <w:rPr>
          <w:rFonts w:cs="Arial"/>
          <w:sz w:val="18"/>
          <w:szCs w:val="18"/>
          <w:rtl/>
        </w:rPr>
        <w:t xml:space="preserve"> </w:t>
      </w:r>
      <w:r w:rsidRPr="00004D4B">
        <w:rPr>
          <w:rFonts w:cs="Arial" w:hint="cs"/>
          <w:sz w:val="18"/>
          <w:szCs w:val="18"/>
          <w:rtl/>
        </w:rPr>
        <w:t>בנות</w:t>
      </w:r>
      <w:r w:rsidRPr="00004D4B">
        <w:rPr>
          <w:rFonts w:cs="Arial"/>
          <w:sz w:val="18"/>
          <w:szCs w:val="18"/>
          <w:rtl/>
        </w:rPr>
        <w:t xml:space="preserve"> </w:t>
      </w:r>
      <w:r w:rsidRPr="00004D4B">
        <w:rPr>
          <w:rFonts w:cs="Arial" w:hint="cs"/>
          <w:sz w:val="18"/>
          <w:szCs w:val="18"/>
          <w:rtl/>
        </w:rPr>
        <w:t>ישראל</w:t>
      </w:r>
      <w:r w:rsidRPr="00004D4B">
        <w:rPr>
          <w:rFonts w:cs="Arial"/>
          <w:sz w:val="18"/>
          <w:szCs w:val="18"/>
          <w:rtl/>
        </w:rPr>
        <w:t xml:space="preserve"> </w:t>
      </w:r>
      <w:r w:rsidRPr="00004D4B">
        <w:rPr>
          <w:rFonts w:cs="Arial" w:hint="cs"/>
          <w:sz w:val="18"/>
          <w:szCs w:val="18"/>
          <w:rtl/>
        </w:rPr>
        <w:t>משמשות</w:t>
      </w:r>
      <w:r w:rsidRPr="00004D4B">
        <w:rPr>
          <w:rFonts w:cs="Arial"/>
          <w:sz w:val="18"/>
          <w:szCs w:val="18"/>
          <w:rtl/>
        </w:rPr>
        <w:t xml:space="preserve"> </w:t>
      </w:r>
      <w:r w:rsidRPr="00004D4B">
        <w:rPr>
          <w:rFonts w:cs="Arial" w:hint="cs"/>
          <w:sz w:val="18"/>
          <w:szCs w:val="18"/>
          <w:rtl/>
        </w:rPr>
        <w:t>בשני</w:t>
      </w:r>
      <w:r w:rsidRPr="00004D4B">
        <w:rPr>
          <w:rFonts w:cs="Arial"/>
          <w:sz w:val="18"/>
          <w:szCs w:val="18"/>
          <w:rtl/>
        </w:rPr>
        <w:t xml:space="preserve"> </w:t>
      </w:r>
      <w:r w:rsidRPr="00004D4B">
        <w:rPr>
          <w:rFonts w:cs="Arial" w:hint="cs"/>
          <w:sz w:val="18"/>
          <w:szCs w:val="18"/>
          <w:rtl/>
        </w:rPr>
        <w:t xml:space="preserve">עדים </w:t>
      </w:r>
      <w:r w:rsidRPr="00004D4B">
        <w:rPr>
          <w:rFonts w:cs="Arial" w:hint="cs"/>
          <w:sz w:val="16"/>
          <w:szCs w:val="16"/>
          <w:rtl/>
        </w:rPr>
        <w:t>(לבדוק לאחר תשמיש)</w:t>
      </w:r>
      <w:r w:rsidRPr="00004D4B">
        <w:rPr>
          <w:rFonts w:cs="Arial" w:hint="cs"/>
          <w:sz w:val="18"/>
          <w:szCs w:val="18"/>
          <w:rtl/>
        </w:rPr>
        <w:t>,</w:t>
      </w:r>
      <w:r w:rsidRPr="00004D4B">
        <w:rPr>
          <w:rFonts w:cs="Arial"/>
          <w:sz w:val="18"/>
          <w:szCs w:val="18"/>
          <w:rtl/>
        </w:rPr>
        <w:t xml:space="preserve"> </w:t>
      </w:r>
      <w:r w:rsidRPr="00004D4B">
        <w:rPr>
          <w:rFonts w:cs="Arial" w:hint="cs"/>
          <w:sz w:val="18"/>
          <w:szCs w:val="18"/>
          <w:rtl/>
        </w:rPr>
        <w:t>אחד</w:t>
      </w:r>
      <w:r w:rsidRPr="00004D4B">
        <w:rPr>
          <w:rFonts w:cs="Arial"/>
          <w:sz w:val="18"/>
          <w:szCs w:val="18"/>
          <w:rtl/>
        </w:rPr>
        <w:t xml:space="preserve"> </w:t>
      </w:r>
      <w:r w:rsidRPr="00004D4B">
        <w:rPr>
          <w:rFonts w:cs="Arial" w:hint="cs"/>
          <w:sz w:val="18"/>
          <w:szCs w:val="18"/>
          <w:rtl/>
        </w:rPr>
        <w:t>לו</w:t>
      </w:r>
      <w:r w:rsidRPr="00004D4B">
        <w:rPr>
          <w:rFonts w:cs="Arial"/>
          <w:sz w:val="18"/>
          <w:szCs w:val="18"/>
          <w:rtl/>
        </w:rPr>
        <w:t xml:space="preserve"> </w:t>
      </w:r>
      <w:r w:rsidRPr="00004D4B">
        <w:rPr>
          <w:rFonts w:cs="Arial" w:hint="cs"/>
          <w:sz w:val="18"/>
          <w:szCs w:val="18"/>
          <w:rtl/>
        </w:rPr>
        <w:t>ואחד</w:t>
      </w:r>
      <w:r w:rsidRPr="00004D4B">
        <w:rPr>
          <w:rFonts w:cs="Arial"/>
          <w:sz w:val="18"/>
          <w:szCs w:val="18"/>
          <w:rtl/>
        </w:rPr>
        <w:t xml:space="preserve"> </w:t>
      </w:r>
      <w:r w:rsidRPr="00004D4B">
        <w:rPr>
          <w:rFonts w:cs="Arial" w:hint="cs"/>
          <w:sz w:val="18"/>
          <w:szCs w:val="18"/>
          <w:rtl/>
        </w:rPr>
        <w:t>לה</w:t>
      </w:r>
      <w:r w:rsidRPr="00004D4B">
        <w:rPr>
          <w:rFonts w:cs="Arial"/>
          <w:sz w:val="18"/>
          <w:szCs w:val="18"/>
          <w:rtl/>
        </w:rPr>
        <w:t xml:space="preserve"> </w:t>
      </w:r>
      <w:r w:rsidRPr="00004D4B">
        <w:rPr>
          <w:rFonts w:cs="Arial" w:hint="cs"/>
          <w:sz w:val="18"/>
          <w:szCs w:val="18"/>
          <w:rtl/>
        </w:rPr>
        <w:t>והצנועות</w:t>
      </w:r>
      <w:r w:rsidRPr="00004D4B">
        <w:rPr>
          <w:rFonts w:cs="Arial"/>
          <w:sz w:val="18"/>
          <w:szCs w:val="18"/>
          <w:rtl/>
        </w:rPr>
        <w:t xml:space="preserve"> </w:t>
      </w:r>
      <w:r w:rsidRPr="00004D4B">
        <w:rPr>
          <w:rFonts w:cs="Arial" w:hint="cs"/>
          <w:sz w:val="18"/>
          <w:szCs w:val="18"/>
          <w:rtl/>
        </w:rPr>
        <w:t>מתקנות</w:t>
      </w:r>
      <w:r w:rsidRPr="00004D4B">
        <w:rPr>
          <w:rFonts w:cs="Arial"/>
          <w:sz w:val="18"/>
          <w:szCs w:val="18"/>
          <w:rtl/>
        </w:rPr>
        <w:t xml:space="preserve"> </w:t>
      </w:r>
      <w:r w:rsidRPr="00004D4B">
        <w:rPr>
          <w:rFonts w:cs="Arial" w:hint="cs"/>
          <w:sz w:val="18"/>
          <w:szCs w:val="18"/>
          <w:rtl/>
        </w:rPr>
        <w:t>שלישי</w:t>
      </w:r>
      <w:r w:rsidRPr="00004D4B">
        <w:rPr>
          <w:rFonts w:cs="Arial"/>
          <w:sz w:val="18"/>
          <w:szCs w:val="18"/>
          <w:rtl/>
        </w:rPr>
        <w:t xml:space="preserve"> </w:t>
      </w:r>
      <w:r w:rsidRPr="00004D4B">
        <w:rPr>
          <w:rFonts w:cs="Arial" w:hint="cs"/>
          <w:sz w:val="18"/>
          <w:szCs w:val="18"/>
          <w:rtl/>
        </w:rPr>
        <w:t>לתקן</w:t>
      </w:r>
      <w:r w:rsidRPr="00004D4B">
        <w:rPr>
          <w:rFonts w:cs="Arial"/>
          <w:sz w:val="18"/>
          <w:szCs w:val="18"/>
          <w:rtl/>
        </w:rPr>
        <w:t xml:space="preserve"> </w:t>
      </w:r>
      <w:r w:rsidRPr="00004D4B">
        <w:rPr>
          <w:rFonts w:cs="Arial" w:hint="cs"/>
          <w:sz w:val="18"/>
          <w:szCs w:val="18"/>
          <w:rtl/>
        </w:rPr>
        <w:t>את</w:t>
      </w:r>
      <w:r w:rsidRPr="00004D4B">
        <w:rPr>
          <w:rFonts w:cs="Arial"/>
          <w:sz w:val="18"/>
          <w:szCs w:val="18"/>
          <w:rtl/>
        </w:rPr>
        <w:t xml:space="preserve"> </w:t>
      </w:r>
      <w:r w:rsidRPr="00004D4B">
        <w:rPr>
          <w:rFonts w:cs="Arial" w:hint="cs"/>
          <w:sz w:val="18"/>
          <w:szCs w:val="18"/>
          <w:rtl/>
        </w:rPr>
        <w:t xml:space="preserve">הבית </w:t>
      </w:r>
      <w:r w:rsidRPr="00004D4B">
        <w:rPr>
          <w:rFonts w:cs="Arial" w:hint="cs"/>
          <w:sz w:val="16"/>
          <w:szCs w:val="16"/>
          <w:rtl/>
        </w:rPr>
        <w:t>(לפני תשמיש)</w:t>
      </w:r>
      <w:r w:rsidRPr="00004D4B">
        <w:rPr>
          <w:rFonts w:cs="Arial" w:hint="cs"/>
          <w:sz w:val="18"/>
          <w:szCs w:val="18"/>
          <w:rtl/>
        </w:rPr>
        <w:t xml:space="preserve">". </w:t>
      </w:r>
      <w:r w:rsidRPr="00004D4B">
        <w:rPr>
          <w:rFonts w:hint="cs"/>
          <w:sz w:val="18"/>
          <w:szCs w:val="18"/>
          <w:rtl/>
        </w:rPr>
        <w:t>ואע"פ שבגמרא (יא:) איתא: "</w:t>
      </w:r>
      <w:r w:rsidRPr="00004D4B">
        <w:rPr>
          <w:rFonts w:cs="Arial" w:hint="cs"/>
          <w:sz w:val="18"/>
          <w:szCs w:val="18"/>
          <w:rtl/>
        </w:rPr>
        <w:t>אמר רב</w:t>
      </w:r>
      <w:r w:rsidRPr="00004D4B">
        <w:rPr>
          <w:rFonts w:cs="Arial"/>
          <w:sz w:val="18"/>
          <w:szCs w:val="18"/>
          <w:rtl/>
        </w:rPr>
        <w:t xml:space="preserve"> </w:t>
      </w:r>
      <w:r w:rsidRPr="00004D4B">
        <w:rPr>
          <w:rFonts w:cs="Arial" w:hint="cs"/>
          <w:sz w:val="18"/>
          <w:szCs w:val="18"/>
          <w:rtl/>
        </w:rPr>
        <w:t>יהודה</w:t>
      </w:r>
      <w:r w:rsidRPr="00004D4B">
        <w:rPr>
          <w:rFonts w:cs="Arial"/>
          <w:sz w:val="18"/>
          <w:szCs w:val="18"/>
          <w:rtl/>
        </w:rPr>
        <w:t xml:space="preserve"> </w:t>
      </w:r>
      <w:r w:rsidRPr="00004D4B">
        <w:rPr>
          <w:rFonts w:cs="Arial" w:hint="cs"/>
          <w:sz w:val="18"/>
          <w:szCs w:val="18"/>
          <w:rtl/>
        </w:rPr>
        <w:t>אמר</w:t>
      </w:r>
      <w:r w:rsidRPr="00004D4B">
        <w:rPr>
          <w:rFonts w:cs="Arial"/>
          <w:sz w:val="18"/>
          <w:szCs w:val="18"/>
          <w:rtl/>
        </w:rPr>
        <w:t xml:space="preserve"> </w:t>
      </w:r>
      <w:r w:rsidRPr="00004D4B">
        <w:rPr>
          <w:rFonts w:cs="Arial" w:hint="cs"/>
          <w:sz w:val="18"/>
          <w:szCs w:val="18"/>
          <w:rtl/>
        </w:rPr>
        <w:t>שמואל</w:t>
      </w:r>
      <w:r w:rsidRPr="00004D4B">
        <w:rPr>
          <w:rFonts w:cs="Arial"/>
          <w:sz w:val="18"/>
          <w:szCs w:val="18"/>
          <w:rtl/>
        </w:rPr>
        <w:t xml:space="preserve">: </w:t>
      </w:r>
      <w:r w:rsidRPr="00004D4B">
        <w:rPr>
          <w:rFonts w:cs="Arial" w:hint="cs"/>
          <w:sz w:val="18"/>
          <w:szCs w:val="18"/>
          <w:rtl/>
        </w:rPr>
        <w:t>לא</w:t>
      </w:r>
      <w:r w:rsidRPr="00004D4B">
        <w:rPr>
          <w:rFonts w:cs="Arial"/>
          <w:sz w:val="18"/>
          <w:szCs w:val="18"/>
          <w:rtl/>
        </w:rPr>
        <w:t xml:space="preserve"> </w:t>
      </w:r>
      <w:r w:rsidRPr="00004D4B">
        <w:rPr>
          <w:rFonts w:cs="Arial" w:hint="cs"/>
          <w:sz w:val="18"/>
          <w:szCs w:val="18"/>
          <w:rtl/>
        </w:rPr>
        <w:t>שנו</w:t>
      </w:r>
      <w:r w:rsidRPr="00004D4B">
        <w:rPr>
          <w:rFonts w:cs="Arial"/>
          <w:sz w:val="18"/>
          <w:szCs w:val="18"/>
          <w:rtl/>
        </w:rPr>
        <w:t xml:space="preserve"> </w:t>
      </w:r>
      <w:r w:rsidRPr="00004D4B">
        <w:rPr>
          <w:rFonts w:cs="Arial" w:hint="cs"/>
          <w:sz w:val="18"/>
          <w:szCs w:val="18"/>
          <w:rtl/>
        </w:rPr>
        <w:t>אלא</w:t>
      </w:r>
      <w:r w:rsidRPr="00004D4B">
        <w:rPr>
          <w:rFonts w:cs="Arial"/>
          <w:sz w:val="18"/>
          <w:szCs w:val="18"/>
          <w:rtl/>
        </w:rPr>
        <w:t xml:space="preserve"> </w:t>
      </w:r>
      <w:r w:rsidRPr="00004D4B">
        <w:rPr>
          <w:rFonts w:cs="Arial" w:hint="cs"/>
          <w:sz w:val="18"/>
          <w:szCs w:val="18"/>
          <w:rtl/>
        </w:rPr>
        <w:t>באשה</w:t>
      </w:r>
      <w:r w:rsidRPr="00004D4B">
        <w:rPr>
          <w:rFonts w:cs="Arial"/>
          <w:sz w:val="18"/>
          <w:szCs w:val="18"/>
          <w:rtl/>
        </w:rPr>
        <w:t xml:space="preserve"> </w:t>
      </w:r>
      <w:r w:rsidRPr="00004D4B">
        <w:rPr>
          <w:rFonts w:cs="Arial" w:hint="cs"/>
          <w:sz w:val="18"/>
          <w:szCs w:val="18"/>
          <w:rtl/>
        </w:rPr>
        <w:t>עסוקה</w:t>
      </w:r>
      <w:r w:rsidRPr="00004D4B">
        <w:rPr>
          <w:rFonts w:cs="Arial"/>
          <w:sz w:val="18"/>
          <w:szCs w:val="18"/>
          <w:rtl/>
        </w:rPr>
        <w:t xml:space="preserve"> </w:t>
      </w:r>
      <w:r w:rsidRPr="00004D4B">
        <w:rPr>
          <w:rFonts w:cs="Arial" w:hint="cs"/>
          <w:sz w:val="18"/>
          <w:szCs w:val="18"/>
          <w:rtl/>
        </w:rPr>
        <w:t>בטהרות</w:t>
      </w:r>
      <w:r w:rsidRPr="00004D4B">
        <w:rPr>
          <w:rFonts w:cs="Arial"/>
          <w:sz w:val="18"/>
          <w:szCs w:val="18"/>
          <w:rtl/>
        </w:rPr>
        <w:t xml:space="preserve">, </w:t>
      </w:r>
      <w:r w:rsidRPr="00004D4B">
        <w:rPr>
          <w:rFonts w:cs="Arial" w:hint="cs"/>
          <w:sz w:val="18"/>
          <w:szCs w:val="18"/>
          <w:rtl/>
        </w:rPr>
        <w:t>דמגו</w:t>
      </w:r>
      <w:r w:rsidRPr="00004D4B">
        <w:rPr>
          <w:rFonts w:cs="Arial"/>
          <w:sz w:val="18"/>
          <w:szCs w:val="18"/>
          <w:rtl/>
        </w:rPr>
        <w:t xml:space="preserve"> </w:t>
      </w:r>
      <w:r w:rsidRPr="00004D4B">
        <w:rPr>
          <w:rFonts w:cs="Arial" w:hint="cs"/>
          <w:sz w:val="18"/>
          <w:szCs w:val="18"/>
          <w:rtl/>
        </w:rPr>
        <w:t>דבעיא</w:t>
      </w:r>
      <w:r w:rsidRPr="00004D4B">
        <w:rPr>
          <w:rFonts w:cs="Arial"/>
          <w:sz w:val="18"/>
          <w:szCs w:val="18"/>
          <w:rtl/>
        </w:rPr>
        <w:t xml:space="preserve"> </w:t>
      </w:r>
      <w:r w:rsidRPr="00004D4B">
        <w:rPr>
          <w:rFonts w:cs="Arial" w:hint="cs"/>
          <w:sz w:val="18"/>
          <w:szCs w:val="18"/>
          <w:rtl/>
        </w:rPr>
        <w:t>בדיקה</w:t>
      </w:r>
      <w:r w:rsidRPr="00004D4B">
        <w:rPr>
          <w:rFonts w:cs="Arial"/>
          <w:sz w:val="18"/>
          <w:szCs w:val="18"/>
          <w:rtl/>
        </w:rPr>
        <w:t xml:space="preserve"> </w:t>
      </w:r>
      <w:r w:rsidRPr="00004D4B">
        <w:rPr>
          <w:rFonts w:cs="Arial" w:hint="cs"/>
          <w:sz w:val="18"/>
          <w:szCs w:val="18"/>
          <w:rtl/>
        </w:rPr>
        <w:t>לטהרות</w:t>
      </w:r>
      <w:r w:rsidRPr="00004D4B">
        <w:rPr>
          <w:rFonts w:cs="Arial"/>
          <w:sz w:val="18"/>
          <w:szCs w:val="18"/>
          <w:rtl/>
        </w:rPr>
        <w:t xml:space="preserve"> - </w:t>
      </w:r>
      <w:r w:rsidRPr="00004D4B">
        <w:rPr>
          <w:rFonts w:cs="Arial" w:hint="cs"/>
          <w:sz w:val="18"/>
          <w:szCs w:val="18"/>
          <w:rtl/>
        </w:rPr>
        <w:t>בעיא</w:t>
      </w:r>
      <w:r w:rsidRPr="00004D4B">
        <w:rPr>
          <w:rFonts w:cs="Arial"/>
          <w:sz w:val="18"/>
          <w:szCs w:val="18"/>
          <w:rtl/>
        </w:rPr>
        <w:t xml:space="preserve"> </w:t>
      </w:r>
      <w:r w:rsidRPr="00004D4B">
        <w:rPr>
          <w:rFonts w:cs="Arial" w:hint="cs"/>
          <w:sz w:val="18"/>
          <w:szCs w:val="18"/>
          <w:rtl/>
        </w:rPr>
        <w:t>נמי</w:t>
      </w:r>
      <w:r w:rsidRPr="00004D4B">
        <w:rPr>
          <w:rFonts w:cs="Arial"/>
          <w:sz w:val="18"/>
          <w:szCs w:val="18"/>
          <w:rtl/>
        </w:rPr>
        <w:t xml:space="preserve"> </w:t>
      </w:r>
      <w:r w:rsidRPr="00004D4B">
        <w:rPr>
          <w:rFonts w:cs="Arial" w:hint="cs"/>
          <w:sz w:val="18"/>
          <w:szCs w:val="18"/>
          <w:rtl/>
        </w:rPr>
        <w:t>בדיקה</w:t>
      </w:r>
      <w:r w:rsidRPr="00004D4B">
        <w:rPr>
          <w:rFonts w:cs="Arial"/>
          <w:sz w:val="18"/>
          <w:szCs w:val="18"/>
          <w:rtl/>
        </w:rPr>
        <w:t xml:space="preserve"> </w:t>
      </w:r>
      <w:r w:rsidRPr="00004D4B">
        <w:rPr>
          <w:rFonts w:cs="Arial" w:hint="cs"/>
          <w:sz w:val="18"/>
          <w:szCs w:val="18"/>
          <w:rtl/>
        </w:rPr>
        <w:t>לבעלה".</w:t>
      </w:r>
      <w:r w:rsidRPr="00004D4B">
        <w:rPr>
          <w:rFonts w:hint="cs"/>
          <w:sz w:val="18"/>
          <w:szCs w:val="18"/>
          <w:rtl/>
        </w:rPr>
        <w:t xml:space="preserve"> סובר הרמב"ם שמימרא זו נאמרה רק לעניין בדיקה לפני תשמיש, אך בבדיקה שלאחר תשמיש כולן חייבות.</w:t>
      </w:r>
    </w:p>
  </w:footnote>
  <w:footnote w:id="20">
    <w:p w:rsidR="005953C5" w:rsidRDefault="005953C5" w:rsidP="00620060">
      <w:pPr>
        <w:pStyle w:val="a3"/>
        <w:rPr>
          <w:rtl/>
        </w:rPr>
      </w:pPr>
      <w:r w:rsidRPr="00004D4B">
        <w:rPr>
          <w:rStyle w:val="a5"/>
          <w:sz w:val="18"/>
          <w:szCs w:val="18"/>
        </w:rPr>
        <w:footnoteRef/>
      </w:r>
      <w:r w:rsidRPr="00004D4B">
        <w:rPr>
          <w:sz w:val="18"/>
          <w:szCs w:val="18"/>
          <w:rtl/>
        </w:rPr>
        <w:t xml:space="preserve"> </w:t>
      </w:r>
      <w:r w:rsidRPr="00004D4B">
        <w:rPr>
          <w:rFonts w:hint="cs"/>
          <w:sz w:val="18"/>
          <w:szCs w:val="18"/>
          <w:rtl/>
        </w:rPr>
        <w:t>ומדבריו בריש סימן קפו</w:t>
      </w:r>
      <w:r>
        <w:rPr>
          <w:rFonts w:hint="cs"/>
          <w:sz w:val="18"/>
          <w:szCs w:val="18"/>
          <w:rtl/>
        </w:rPr>
        <w:t>'</w:t>
      </w:r>
      <w:r w:rsidRPr="00004D4B">
        <w:rPr>
          <w:rFonts w:hint="cs"/>
          <w:sz w:val="18"/>
          <w:szCs w:val="18"/>
          <w:rtl/>
        </w:rPr>
        <w:t xml:space="preserve"> משמע שלא פוסק </w:t>
      </w:r>
      <w:r w:rsidRPr="000766E2">
        <w:rPr>
          <w:rFonts w:hint="cs"/>
          <w:b/>
          <w:bCs/>
          <w:sz w:val="18"/>
          <w:szCs w:val="18"/>
          <w:rtl/>
        </w:rPr>
        <w:t>כרמב"ם</w:t>
      </w:r>
      <w:r w:rsidRPr="00004D4B">
        <w:rPr>
          <w:rFonts w:hint="cs"/>
          <w:sz w:val="18"/>
          <w:szCs w:val="18"/>
          <w:rtl/>
        </w:rPr>
        <w:t xml:space="preserve"> בדין זה.</w:t>
      </w:r>
    </w:p>
  </w:footnote>
  <w:footnote w:id="21">
    <w:p w:rsidR="005953C5" w:rsidRPr="008222F8" w:rsidRDefault="005953C5" w:rsidP="00620060">
      <w:pPr>
        <w:pStyle w:val="a3"/>
        <w:rPr>
          <w:sz w:val="18"/>
          <w:szCs w:val="18"/>
          <w:rtl/>
        </w:rPr>
      </w:pPr>
      <w:r w:rsidRPr="002E0714">
        <w:rPr>
          <w:rStyle w:val="a5"/>
          <w:sz w:val="18"/>
          <w:szCs w:val="18"/>
        </w:rPr>
        <w:footnoteRef/>
      </w:r>
      <w:r w:rsidRPr="002E0714">
        <w:rPr>
          <w:sz w:val="18"/>
          <w:szCs w:val="18"/>
          <w:rtl/>
        </w:rPr>
        <w:t xml:space="preserve"> </w:t>
      </w:r>
      <w:r w:rsidRPr="002E0714">
        <w:rPr>
          <w:rFonts w:hint="cs"/>
          <w:sz w:val="18"/>
          <w:szCs w:val="18"/>
          <w:rtl/>
        </w:rPr>
        <w:t>יש לעיין כיצד ניתן לומר</w:t>
      </w:r>
      <w:r>
        <w:rPr>
          <w:rFonts w:hint="cs"/>
          <w:sz w:val="18"/>
          <w:szCs w:val="18"/>
          <w:rtl/>
        </w:rPr>
        <w:t xml:space="preserve"> ווסתות דרבנן, הרי רוב נשים מוחזקות לראו</w:t>
      </w:r>
      <w:r w:rsidRPr="002E0714">
        <w:rPr>
          <w:rFonts w:hint="cs"/>
          <w:sz w:val="18"/>
          <w:szCs w:val="18"/>
          <w:rtl/>
        </w:rPr>
        <w:t>ת ב</w:t>
      </w:r>
      <w:r>
        <w:rPr>
          <w:rFonts w:hint="cs"/>
          <w:sz w:val="18"/>
          <w:szCs w:val="18"/>
          <w:rtl/>
        </w:rPr>
        <w:t>שע</w:t>
      </w:r>
      <w:r w:rsidRPr="002E0714">
        <w:rPr>
          <w:rFonts w:hint="cs"/>
          <w:sz w:val="18"/>
          <w:szCs w:val="18"/>
          <w:rtl/>
        </w:rPr>
        <w:t>ת ווסתן ואיך לא נחוש מדאו</w:t>
      </w:r>
      <w:r>
        <w:rPr>
          <w:rFonts w:hint="cs"/>
          <w:sz w:val="18"/>
          <w:szCs w:val="18"/>
          <w:rtl/>
        </w:rPr>
        <w:t>'</w:t>
      </w:r>
      <w:r w:rsidRPr="002E0714">
        <w:rPr>
          <w:rFonts w:hint="cs"/>
          <w:sz w:val="18"/>
          <w:szCs w:val="18"/>
          <w:rtl/>
        </w:rPr>
        <w:t xml:space="preserve"> לרוב וחזקה?</w:t>
      </w:r>
      <w:r w:rsidRPr="002E0714">
        <w:rPr>
          <w:rFonts w:hint="cs"/>
          <w:sz w:val="18"/>
          <w:szCs w:val="18"/>
          <w:rtl/>
        </w:rPr>
        <w:br/>
      </w:r>
      <w:r>
        <w:rPr>
          <w:rFonts w:hint="cs"/>
          <w:sz w:val="18"/>
          <w:szCs w:val="18"/>
          <w:rtl/>
        </w:rPr>
        <w:t>א.</w:t>
      </w:r>
      <w:r w:rsidRPr="002E0714">
        <w:rPr>
          <w:rFonts w:hint="cs"/>
          <w:sz w:val="18"/>
          <w:szCs w:val="18"/>
          <w:rtl/>
        </w:rPr>
        <w:t xml:space="preserve"> </w:t>
      </w:r>
      <w:r w:rsidRPr="008222F8">
        <w:rPr>
          <w:rFonts w:hint="cs"/>
          <w:b/>
          <w:bCs/>
          <w:sz w:val="18"/>
          <w:szCs w:val="18"/>
          <w:rtl/>
        </w:rPr>
        <w:t>ערוך השולחן</w:t>
      </w:r>
      <w:r w:rsidRPr="002E0714">
        <w:rPr>
          <w:rFonts w:hint="cs"/>
          <w:sz w:val="18"/>
          <w:szCs w:val="18"/>
          <w:rtl/>
        </w:rPr>
        <w:t xml:space="preserve"> </w:t>
      </w:r>
      <w:r w:rsidRPr="002E0714">
        <w:rPr>
          <w:sz w:val="18"/>
          <w:szCs w:val="18"/>
          <w:rtl/>
        </w:rPr>
        <w:t>–</w:t>
      </w:r>
      <w:r w:rsidRPr="002E0714">
        <w:rPr>
          <w:rFonts w:hint="cs"/>
          <w:sz w:val="18"/>
          <w:szCs w:val="18"/>
          <w:rtl/>
        </w:rPr>
        <w:t xml:space="preserve"> עיקר הדיון נ</w:t>
      </w:r>
      <w:r>
        <w:rPr>
          <w:rFonts w:hint="cs"/>
          <w:sz w:val="18"/>
          <w:szCs w:val="18"/>
          <w:rtl/>
        </w:rPr>
        <w:t>סוב</w:t>
      </w:r>
      <w:r w:rsidRPr="002E0714">
        <w:rPr>
          <w:rFonts w:hint="cs"/>
          <w:sz w:val="18"/>
          <w:szCs w:val="18"/>
          <w:rtl/>
        </w:rPr>
        <w:t xml:space="preserve"> על הזמן שלאחר </w:t>
      </w:r>
      <w:r>
        <w:rPr>
          <w:rFonts w:hint="cs"/>
          <w:sz w:val="18"/>
          <w:szCs w:val="18"/>
          <w:rtl/>
        </w:rPr>
        <w:t>הווסת</w:t>
      </w:r>
      <w:r w:rsidRPr="002E0714">
        <w:rPr>
          <w:rFonts w:hint="cs"/>
          <w:sz w:val="18"/>
          <w:szCs w:val="18"/>
          <w:rtl/>
        </w:rPr>
        <w:t>, וכיוון שלא הרגישה אינה טמאה מדאורייתא ולכן שפיר יש לומר ווסתות דרבנן. אמנם, החולקים וסוברים ווסתות דאורייתא, סבירא להו שהרגישה ולאו אדעתא.</w:t>
      </w:r>
      <w:r>
        <w:rPr>
          <w:rtl/>
        </w:rPr>
        <w:br/>
      </w:r>
      <w:r w:rsidRPr="008222F8">
        <w:rPr>
          <w:rFonts w:hint="cs"/>
          <w:sz w:val="18"/>
          <w:szCs w:val="18"/>
          <w:rtl/>
        </w:rPr>
        <w:t xml:space="preserve">ב. </w:t>
      </w:r>
      <w:r w:rsidRPr="008222F8">
        <w:rPr>
          <w:rFonts w:hint="cs"/>
          <w:b/>
          <w:bCs/>
          <w:sz w:val="18"/>
          <w:szCs w:val="18"/>
          <w:rtl/>
        </w:rPr>
        <w:t>נודע ביהודה</w:t>
      </w:r>
      <w:r w:rsidRPr="008222F8">
        <w:rPr>
          <w:rFonts w:hint="cs"/>
          <w:sz w:val="18"/>
          <w:szCs w:val="18"/>
          <w:rtl/>
        </w:rPr>
        <w:t xml:space="preserve"> (הו"ד </w:t>
      </w:r>
      <w:r w:rsidRPr="008222F8">
        <w:rPr>
          <w:rFonts w:hint="cs"/>
          <w:b/>
          <w:bCs/>
          <w:sz w:val="18"/>
          <w:szCs w:val="18"/>
          <w:rtl/>
        </w:rPr>
        <w:t>בפת"ש</w:t>
      </w:r>
      <w:r w:rsidRPr="008222F8">
        <w:rPr>
          <w:rFonts w:hint="cs"/>
          <w:sz w:val="18"/>
          <w:szCs w:val="18"/>
          <w:rtl/>
        </w:rPr>
        <w:t xml:space="preserve">) </w:t>
      </w:r>
      <w:r w:rsidRPr="008222F8">
        <w:rPr>
          <w:sz w:val="18"/>
          <w:szCs w:val="18"/>
          <w:rtl/>
        </w:rPr>
        <w:t>–</w:t>
      </w:r>
      <w:r w:rsidRPr="008222F8">
        <w:rPr>
          <w:rFonts w:hint="cs"/>
          <w:sz w:val="18"/>
          <w:szCs w:val="18"/>
          <w:rtl/>
        </w:rPr>
        <w:t xml:space="preserve"> נגד חזקה של אורח בזמנו בא, יש לאשה חזקת טהרה. ברם, לעניין פרישה סמוך לווסת יש לומר שאסורה מדאורייתא, כיוון שחוששים שמא תראה, ואין לומר על להבא להעמידה בחזקת טהורה, דא"כ לעולם טהורה</w:t>
      </w:r>
      <w:r>
        <w:rPr>
          <w:rFonts w:hint="cs"/>
          <w:sz w:val="18"/>
          <w:szCs w:val="18"/>
          <w:rtl/>
        </w:rPr>
        <w:t>. ודמי זה להא דאמרו שמא מת לא חיישינן, שמא ימות חיישינן.</w:t>
      </w:r>
    </w:p>
  </w:footnote>
  <w:footnote w:id="22">
    <w:p w:rsidR="005953C5" w:rsidRDefault="005953C5" w:rsidP="00620060">
      <w:pPr>
        <w:pStyle w:val="a3"/>
      </w:pPr>
      <w:r w:rsidRPr="003E5E64">
        <w:rPr>
          <w:rStyle w:val="a5"/>
          <w:sz w:val="18"/>
          <w:szCs w:val="18"/>
        </w:rPr>
        <w:footnoteRef/>
      </w:r>
      <w:r w:rsidRPr="003E5E64">
        <w:rPr>
          <w:sz w:val="18"/>
          <w:szCs w:val="18"/>
          <w:rtl/>
        </w:rPr>
        <w:t xml:space="preserve"> </w:t>
      </w:r>
      <w:r w:rsidRPr="009309F0">
        <w:rPr>
          <w:rFonts w:hint="cs"/>
          <w:sz w:val="18"/>
          <w:szCs w:val="18"/>
          <w:u w:val="single"/>
          <w:rtl/>
        </w:rPr>
        <w:t>הרחבה בשיטת הרא"ש</w:t>
      </w:r>
      <w:r>
        <w:rPr>
          <w:rFonts w:hint="cs"/>
          <w:sz w:val="18"/>
          <w:szCs w:val="18"/>
          <w:rtl/>
        </w:rPr>
        <w:br/>
      </w:r>
      <w:r w:rsidRPr="00A24D80">
        <w:rPr>
          <w:rFonts w:hint="cs"/>
          <w:b/>
          <w:bCs/>
          <w:sz w:val="18"/>
          <w:szCs w:val="18"/>
          <w:rtl/>
        </w:rPr>
        <w:t>הרא"ש</w:t>
      </w:r>
      <w:r>
        <w:rPr>
          <w:rFonts w:hint="cs"/>
          <w:sz w:val="18"/>
          <w:szCs w:val="18"/>
          <w:rtl/>
        </w:rPr>
        <w:t xml:space="preserve"> ביבמות כתב להדיא שפרישה סמוך לווסת היא דאורייתא. ואמנם שיטתו </w:t>
      </w:r>
      <w:r w:rsidRPr="003E5E64">
        <w:rPr>
          <w:rFonts w:hint="cs"/>
          <w:sz w:val="18"/>
          <w:szCs w:val="18"/>
          <w:rtl/>
        </w:rPr>
        <w:t>תמוהה, מכיוון שבריש מסכת נידה פסק להדיא כמ"ד ווסתות דרבנן, וא"כ כיצד ייתכן שפרישה מדאורייתא?</w:t>
      </w:r>
      <w:r w:rsidRPr="009309F0">
        <w:rPr>
          <w:rFonts w:hint="cs"/>
          <w:sz w:val="18"/>
          <w:szCs w:val="18"/>
          <w:rtl/>
        </w:rPr>
        <w:t xml:space="preserve"> אלא, </w:t>
      </w:r>
      <w:r w:rsidRPr="00A24D80">
        <w:rPr>
          <w:rFonts w:hint="cs"/>
          <w:b/>
          <w:bCs/>
          <w:sz w:val="18"/>
          <w:szCs w:val="18"/>
          <w:rtl/>
        </w:rPr>
        <w:t>שהמעדני יו"ט</w:t>
      </w:r>
      <w:r w:rsidRPr="009309F0">
        <w:rPr>
          <w:rFonts w:hint="cs"/>
          <w:sz w:val="18"/>
          <w:szCs w:val="18"/>
          <w:rtl/>
        </w:rPr>
        <w:t xml:space="preserve"> בריש מסכת נידה מבאר </w:t>
      </w:r>
      <w:r w:rsidRPr="00A24D80">
        <w:rPr>
          <w:rFonts w:hint="cs"/>
          <w:b/>
          <w:bCs/>
          <w:sz w:val="18"/>
          <w:szCs w:val="18"/>
          <w:rtl/>
        </w:rPr>
        <w:t>שהרא"ש</w:t>
      </w:r>
      <w:r w:rsidRPr="009309F0">
        <w:rPr>
          <w:rFonts w:hint="cs"/>
          <w:sz w:val="18"/>
          <w:szCs w:val="18"/>
          <w:rtl/>
        </w:rPr>
        <w:t xml:space="preserve"> סובר </w:t>
      </w:r>
      <w:r w:rsidRPr="00A24D80">
        <w:rPr>
          <w:rFonts w:hint="cs"/>
          <w:b/>
          <w:bCs/>
          <w:sz w:val="18"/>
          <w:szCs w:val="18"/>
          <w:rtl/>
        </w:rPr>
        <w:t>כר"ן</w:t>
      </w:r>
      <w:r w:rsidRPr="009309F0">
        <w:rPr>
          <w:rFonts w:hint="cs"/>
          <w:sz w:val="18"/>
          <w:szCs w:val="18"/>
          <w:rtl/>
        </w:rPr>
        <w:t>, והפסוק ממנו דרשו את הפרישה הוא אסמכתא בלבד וא"ש.</w:t>
      </w:r>
    </w:p>
  </w:footnote>
  <w:footnote w:id="23">
    <w:p w:rsidR="005953C5" w:rsidRDefault="005953C5" w:rsidP="00620060">
      <w:pPr>
        <w:pStyle w:val="a3"/>
      </w:pPr>
      <w:r w:rsidRPr="00EB0DA3">
        <w:rPr>
          <w:rStyle w:val="a5"/>
          <w:sz w:val="18"/>
          <w:szCs w:val="18"/>
        </w:rPr>
        <w:footnoteRef/>
      </w:r>
      <w:r w:rsidRPr="00EB0DA3">
        <w:rPr>
          <w:sz w:val="18"/>
          <w:szCs w:val="18"/>
          <w:rtl/>
        </w:rPr>
        <w:t xml:space="preserve"> </w:t>
      </w:r>
      <w:r w:rsidRPr="00EB0DA3">
        <w:rPr>
          <w:rFonts w:hint="cs"/>
          <w:sz w:val="18"/>
          <w:szCs w:val="18"/>
          <w:rtl/>
        </w:rPr>
        <w:t xml:space="preserve">שיטת </w:t>
      </w:r>
      <w:r w:rsidRPr="008B58E2">
        <w:rPr>
          <w:rFonts w:hint="cs"/>
          <w:b/>
          <w:bCs/>
          <w:sz w:val="18"/>
          <w:szCs w:val="18"/>
          <w:rtl/>
        </w:rPr>
        <w:t>ר"ת</w:t>
      </w:r>
      <w:r w:rsidRPr="00EB0DA3">
        <w:rPr>
          <w:rFonts w:hint="cs"/>
          <w:sz w:val="18"/>
          <w:szCs w:val="18"/>
          <w:rtl/>
        </w:rPr>
        <w:t xml:space="preserve"> מתבררת מהא דאיתא ביבמות ונפסק לקמן בסעיף י', שהיוצא לדרך צריך לפקוד את אשתו. ונחלקו הגרסות בגמרא </w:t>
      </w:r>
      <w:r w:rsidRPr="00EB0DA3">
        <w:rPr>
          <w:sz w:val="18"/>
          <w:szCs w:val="18"/>
          <w:rtl/>
        </w:rPr>
        <w:t>–</w:t>
      </w:r>
      <w:r w:rsidRPr="00EB0DA3">
        <w:rPr>
          <w:rFonts w:hint="cs"/>
          <w:sz w:val="18"/>
          <w:szCs w:val="18"/>
          <w:rtl/>
        </w:rPr>
        <w:t xml:space="preserve"> </w:t>
      </w:r>
      <w:r w:rsidRPr="00EB0DA3">
        <w:rPr>
          <w:rFonts w:hint="cs"/>
          <w:b/>
          <w:bCs/>
          <w:sz w:val="18"/>
          <w:szCs w:val="18"/>
          <w:rtl/>
        </w:rPr>
        <w:t>רש"י</w:t>
      </w:r>
      <w:r w:rsidRPr="00EB0DA3">
        <w:rPr>
          <w:rFonts w:hint="cs"/>
          <w:sz w:val="18"/>
          <w:szCs w:val="18"/>
          <w:rtl/>
        </w:rPr>
        <w:t xml:space="preserve"> גורס שמדובר על תשמיש ממש וקמ"ל שאפילו סמוך לווסתה שרי, ומשמע דעתו שחיוב הפרישה סמוך לווסת מדרבנן וחכמים התירו ליוצא לדרך לשמש. </w:t>
      </w:r>
      <w:r>
        <w:rPr>
          <w:sz w:val="18"/>
          <w:szCs w:val="18"/>
          <w:rtl/>
        </w:rPr>
        <w:br/>
      </w:r>
      <w:r w:rsidRPr="00EB0DA3">
        <w:rPr>
          <w:rFonts w:hint="cs"/>
          <w:b/>
          <w:bCs/>
          <w:sz w:val="18"/>
          <w:szCs w:val="18"/>
          <w:rtl/>
        </w:rPr>
        <w:t>ר"ת</w:t>
      </w:r>
      <w:r w:rsidRPr="00EB0DA3">
        <w:rPr>
          <w:rFonts w:hint="cs"/>
          <w:sz w:val="18"/>
          <w:szCs w:val="18"/>
          <w:rtl/>
        </w:rPr>
        <w:t xml:space="preserve"> חולק וגורס שההיתר נאמר בנידה ממש וחייב לפקדה בדברי ריצוי ופיוס. ר"ת מנמק את שיטתו ואומר שפרישה סמוך לווסת היא דין תורה</w:t>
      </w:r>
      <w:r>
        <w:rPr>
          <w:rFonts w:hint="cs"/>
          <w:sz w:val="18"/>
          <w:szCs w:val="18"/>
          <w:rtl/>
        </w:rPr>
        <w:t>, ולכן אינו יכול להעמיד את ההיתר של יוצא לדרך שהוא תשמיש ממש</w:t>
      </w:r>
      <w:r w:rsidRPr="00EB0DA3">
        <w:rPr>
          <w:rFonts w:hint="cs"/>
          <w:sz w:val="18"/>
          <w:szCs w:val="18"/>
          <w:rtl/>
        </w:rPr>
        <w:t xml:space="preserve">. </w:t>
      </w:r>
      <w:r>
        <w:rPr>
          <w:sz w:val="18"/>
          <w:szCs w:val="18"/>
          <w:rtl/>
        </w:rPr>
        <w:br/>
      </w:r>
      <w:r w:rsidRPr="00EB0DA3">
        <w:rPr>
          <w:rFonts w:hint="cs"/>
          <w:sz w:val="18"/>
          <w:szCs w:val="18"/>
          <w:rtl/>
        </w:rPr>
        <w:t xml:space="preserve">אמנם, </w:t>
      </w:r>
      <w:r w:rsidRPr="00A24D80">
        <w:rPr>
          <w:rFonts w:hint="cs"/>
          <w:b/>
          <w:bCs/>
          <w:sz w:val="18"/>
          <w:szCs w:val="18"/>
          <w:rtl/>
        </w:rPr>
        <w:t>הריטב"א</w:t>
      </w:r>
      <w:r w:rsidRPr="00EB0DA3">
        <w:rPr>
          <w:rFonts w:hint="cs"/>
          <w:sz w:val="18"/>
          <w:szCs w:val="18"/>
          <w:rtl/>
        </w:rPr>
        <w:t xml:space="preserve"> מפרש שפרישה סמוך לווסת היא דין תורה ואעפ"כ התירו ביוצא לדרך, אלו נימוקיו: </w:t>
      </w:r>
      <w:r>
        <w:rPr>
          <w:sz w:val="18"/>
          <w:szCs w:val="18"/>
          <w:rtl/>
        </w:rPr>
        <w:br/>
      </w:r>
      <w:r w:rsidRPr="00EB0DA3">
        <w:rPr>
          <w:rFonts w:hint="cs"/>
          <w:sz w:val="18"/>
          <w:szCs w:val="18"/>
          <w:rtl/>
        </w:rPr>
        <w:t xml:space="preserve">א. הגמרא דורשת את ההיתר מפסוק שבו נאמר שמובטח לו שלא יחטא, כלומר שלא תיטמא בשעת תשמיש, ולכן התירו אפילו סמוך לווסת. </w:t>
      </w:r>
      <w:r w:rsidRPr="00EB0DA3">
        <w:rPr>
          <w:sz w:val="18"/>
          <w:szCs w:val="18"/>
          <w:rtl/>
        </w:rPr>
        <w:br/>
      </w:r>
      <w:r w:rsidRPr="00EB0DA3">
        <w:rPr>
          <w:rFonts w:hint="cs"/>
          <w:sz w:val="18"/>
          <w:szCs w:val="18"/>
          <w:rtl/>
        </w:rPr>
        <w:t>ב. יש מפרשים שכוונת הגמרא היא שיש לו להמתין עד שתטבול ורק אז יצא לדרך.</w:t>
      </w:r>
      <w:r w:rsidRPr="00EB0DA3">
        <w:rPr>
          <w:sz w:val="18"/>
          <w:szCs w:val="18"/>
          <w:rtl/>
        </w:rPr>
        <w:br/>
      </w:r>
      <w:r w:rsidRPr="00EB0DA3">
        <w:rPr>
          <w:rFonts w:hint="cs"/>
          <w:sz w:val="18"/>
          <w:szCs w:val="18"/>
          <w:rtl/>
        </w:rPr>
        <w:t xml:space="preserve">ג. ובשם </w:t>
      </w:r>
      <w:r w:rsidRPr="00EB0DA3">
        <w:rPr>
          <w:rFonts w:hint="cs"/>
          <w:b/>
          <w:bCs/>
          <w:sz w:val="18"/>
          <w:szCs w:val="18"/>
          <w:rtl/>
        </w:rPr>
        <w:t>הרמב"ן</w:t>
      </w:r>
      <w:r w:rsidRPr="00EB0DA3">
        <w:rPr>
          <w:rFonts w:hint="cs"/>
          <w:sz w:val="18"/>
          <w:szCs w:val="18"/>
          <w:rtl/>
        </w:rPr>
        <w:t xml:space="preserve"> כתב </w:t>
      </w:r>
      <w:r w:rsidRPr="00EB0DA3">
        <w:rPr>
          <w:sz w:val="18"/>
          <w:szCs w:val="18"/>
          <w:rtl/>
        </w:rPr>
        <w:t>–</w:t>
      </w:r>
      <w:r w:rsidRPr="00EB0DA3">
        <w:rPr>
          <w:rFonts w:hint="cs"/>
          <w:sz w:val="18"/>
          <w:szCs w:val="18"/>
          <w:rtl/>
        </w:rPr>
        <w:t xml:space="preserve"> פרישה סמוך לווסת מדאורייתא היא חצי שעה לפני הווסת, וחכמים הוסיפו לאסור את כל העונה, ובזמן הנוסף שאס</w:t>
      </w:r>
      <w:r>
        <w:rPr>
          <w:rFonts w:hint="cs"/>
          <w:sz w:val="18"/>
          <w:szCs w:val="18"/>
          <w:rtl/>
        </w:rPr>
        <w:t>רו</w:t>
      </w:r>
      <w:r w:rsidRPr="00EB0DA3">
        <w:rPr>
          <w:rFonts w:hint="cs"/>
          <w:sz w:val="18"/>
          <w:szCs w:val="18"/>
          <w:rtl/>
        </w:rPr>
        <w:t xml:space="preserve"> חכמים, התירו ביוצא לדרך.</w:t>
      </w:r>
    </w:p>
  </w:footnote>
  <w:footnote w:id="24">
    <w:p w:rsidR="005953C5" w:rsidRDefault="005953C5" w:rsidP="00620060">
      <w:pPr>
        <w:pStyle w:val="a3"/>
      </w:pPr>
      <w:r w:rsidRPr="007207DF">
        <w:rPr>
          <w:rStyle w:val="a5"/>
          <w:sz w:val="18"/>
          <w:szCs w:val="18"/>
        </w:rPr>
        <w:footnoteRef/>
      </w:r>
      <w:r w:rsidRPr="007207DF">
        <w:rPr>
          <w:sz w:val="18"/>
          <w:szCs w:val="18"/>
          <w:rtl/>
        </w:rPr>
        <w:t xml:space="preserve"> </w:t>
      </w:r>
      <w:r w:rsidRPr="007207DF">
        <w:rPr>
          <w:rFonts w:hint="cs"/>
          <w:b/>
          <w:bCs/>
          <w:sz w:val="18"/>
          <w:szCs w:val="18"/>
          <w:rtl/>
        </w:rPr>
        <w:t>הב"ח</w:t>
      </w:r>
      <w:r w:rsidRPr="007207DF">
        <w:rPr>
          <w:rFonts w:hint="cs"/>
          <w:sz w:val="18"/>
          <w:szCs w:val="18"/>
          <w:rtl/>
        </w:rPr>
        <w:t xml:space="preserve"> כתב שחומרת האו"ז נאמרה גם באשה שעונתה עם הנץ החמה, ואילו היא סבורה שעונתה בלילה, ופורש ממנה גם ביום שלפני. ברם, דברי הב"ח האלו אינם מובנים, כיוון שבכה"ג לא מהני שתפרוש ביום שלפני הלילה בו היא סבורה לראות, שהרי האמת היא שהיא רואה ביום לאחר הלילה בו היא סבורה לראות, אלא אם רוצה לצאת מכל חשש יש לה לפרוש גם ביום שלאחר הווסת, דהיינו שלוש עונות, וצ"ע!</w:t>
      </w:r>
    </w:p>
  </w:footnote>
  <w:footnote w:id="25">
    <w:p w:rsidR="005953C5" w:rsidRDefault="005953C5" w:rsidP="00620060">
      <w:pPr>
        <w:pStyle w:val="a3"/>
      </w:pPr>
      <w:r w:rsidRPr="00E422A7">
        <w:rPr>
          <w:rStyle w:val="a5"/>
          <w:sz w:val="18"/>
          <w:szCs w:val="18"/>
        </w:rPr>
        <w:footnoteRef/>
      </w:r>
      <w:r w:rsidRPr="00E422A7">
        <w:rPr>
          <w:sz w:val="18"/>
          <w:szCs w:val="18"/>
          <w:rtl/>
        </w:rPr>
        <w:t xml:space="preserve"> </w:t>
      </w:r>
      <w:r w:rsidRPr="00E422A7">
        <w:rPr>
          <w:rFonts w:hint="cs"/>
          <w:b/>
          <w:bCs/>
          <w:sz w:val="18"/>
          <w:szCs w:val="18"/>
          <w:rtl/>
        </w:rPr>
        <w:t>תורת השלמים</w:t>
      </w:r>
      <w:r w:rsidRPr="00E422A7">
        <w:rPr>
          <w:rFonts w:hint="cs"/>
          <w:sz w:val="18"/>
          <w:szCs w:val="18"/>
          <w:rtl/>
        </w:rPr>
        <w:t xml:space="preserve"> </w:t>
      </w:r>
      <w:r w:rsidRPr="00E422A7">
        <w:rPr>
          <w:sz w:val="18"/>
          <w:szCs w:val="18"/>
          <w:rtl/>
        </w:rPr>
        <w:t>–</w:t>
      </w:r>
      <w:r w:rsidRPr="00E422A7">
        <w:rPr>
          <w:rFonts w:hint="cs"/>
          <w:sz w:val="18"/>
          <w:szCs w:val="18"/>
          <w:rtl/>
        </w:rPr>
        <w:t xml:space="preserve"> כוונת המחבר היא שבראיה אחת חוששים לאותה עונה לפרוש ממנה</w:t>
      </w:r>
      <w:r>
        <w:rPr>
          <w:rFonts w:hint="cs"/>
          <w:sz w:val="18"/>
          <w:szCs w:val="18"/>
          <w:rtl/>
        </w:rPr>
        <w:t>, ודין זה יבואר לקמן בסימן קפט' סעיף יג', וכן יש לחוש לעונה בינונית וגם זה יבואר בסימן הנ"ל</w:t>
      </w:r>
      <w:r w:rsidRPr="00E422A7">
        <w:rPr>
          <w:rFonts w:hint="cs"/>
          <w:sz w:val="18"/>
          <w:szCs w:val="18"/>
          <w:rtl/>
        </w:rPr>
        <w:t>, אך אין כוונת המחבר לקביעת וסת, שהרי א</w:t>
      </w:r>
      <w:r>
        <w:rPr>
          <w:rFonts w:hint="cs"/>
          <w:sz w:val="18"/>
          <w:szCs w:val="18"/>
          <w:rtl/>
        </w:rPr>
        <w:t>ינה</w:t>
      </w:r>
      <w:r w:rsidRPr="00E422A7">
        <w:rPr>
          <w:rFonts w:hint="cs"/>
          <w:sz w:val="18"/>
          <w:szCs w:val="18"/>
          <w:rtl/>
        </w:rPr>
        <w:t xml:space="preserve"> קובע</w:t>
      </w:r>
      <w:r>
        <w:rPr>
          <w:rFonts w:hint="cs"/>
          <w:sz w:val="18"/>
          <w:szCs w:val="18"/>
          <w:rtl/>
        </w:rPr>
        <w:t>ת</w:t>
      </w:r>
      <w:r w:rsidRPr="00E422A7">
        <w:rPr>
          <w:rFonts w:hint="cs"/>
          <w:sz w:val="18"/>
          <w:szCs w:val="18"/>
          <w:rtl/>
        </w:rPr>
        <w:t xml:space="preserve"> וסת בפעם אחת.</w:t>
      </w:r>
    </w:p>
  </w:footnote>
  <w:footnote w:id="26">
    <w:p w:rsidR="005953C5" w:rsidRDefault="005953C5" w:rsidP="00620060">
      <w:pPr>
        <w:pStyle w:val="a3"/>
        <w:rPr>
          <w:rtl/>
        </w:rPr>
      </w:pPr>
      <w:r>
        <w:rPr>
          <w:rStyle w:val="a5"/>
        </w:rPr>
        <w:footnoteRef/>
      </w:r>
      <w:r>
        <w:rPr>
          <w:rtl/>
        </w:rPr>
        <w:t xml:space="preserve"> </w:t>
      </w:r>
      <w:r>
        <w:rPr>
          <w:rFonts w:hint="cs"/>
          <w:b/>
          <w:bCs/>
          <w:sz w:val="18"/>
          <w:szCs w:val="18"/>
          <w:rtl/>
        </w:rPr>
        <w:t>הרחבה בשיטת הט"ז</w:t>
      </w:r>
      <w:r>
        <w:rPr>
          <w:sz w:val="18"/>
          <w:szCs w:val="18"/>
          <w:rtl/>
        </w:rPr>
        <w:br/>
      </w:r>
      <w:r>
        <w:rPr>
          <w:rFonts w:hint="cs"/>
          <w:sz w:val="18"/>
          <w:szCs w:val="18"/>
          <w:rtl/>
        </w:rPr>
        <w:t>הט"ז מקשה כיצד</w:t>
      </w:r>
      <w:r w:rsidRPr="00D75665">
        <w:rPr>
          <w:rFonts w:hint="cs"/>
          <w:sz w:val="18"/>
          <w:szCs w:val="18"/>
          <w:rtl/>
        </w:rPr>
        <w:t xml:space="preserve"> מחשבים בפועל את שעות הפרישה</w:t>
      </w:r>
      <w:r>
        <w:rPr>
          <w:rFonts w:hint="cs"/>
          <w:sz w:val="18"/>
          <w:szCs w:val="18"/>
          <w:rtl/>
        </w:rPr>
        <w:t xml:space="preserve"> לשיטת האביאסף?</w:t>
      </w:r>
      <w:r w:rsidRPr="00D75665">
        <w:rPr>
          <w:sz w:val="18"/>
          <w:szCs w:val="18"/>
          <w:rtl/>
        </w:rPr>
        <w:br/>
      </w:r>
      <w:r w:rsidRPr="00D75665">
        <w:rPr>
          <w:rFonts w:hint="cs"/>
          <w:sz w:val="18"/>
          <w:szCs w:val="18"/>
          <w:rtl/>
        </w:rPr>
        <w:t xml:space="preserve">כלומר </w:t>
      </w:r>
      <w:r w:rsidRPr="00D75665">
        <w:rPr>
          <w:sz w:val="18"/>
          <w:szCs w:val="18"/>
          <w:rtl/>
        </w:rPr>
        <w:t>–</w:t>
      </w:r>
      <w:r w:rsidRPr="00D75665">
        <w:rPr>
          <w:rFonts w:hint="cs"/>
          <w:sz w:val="18"/>
          <w:szCs w:val="18"/>
          <w:rtl/>
        </w:rPr>
        <w:t xml:space="preserve"> לא ייתכן לומר שחישוב השעות נעשה יב' שעות זמניות משעת הראייה, כיוון שלפי"ז יוצא שמותרת לפני ראייתה אע"פ שהגיע עונתה. </w:t>
      </w:r>
      <w:r>
        <w:rPr>
          <w:rFonts w:hint="cs"/>
          <w:sz w:val="18"/>
          <w:szCs w:val="18"/>
          <w:rtl/>
        </w:rPr>
        <w:t xml:space="preserve">כמו כן אין לומר שחישוב השעות נעשה למפרע, כגון שאם רגילה לראות בתחילת היום תהיה אסורה יב' שעות קודם לכן, משום שלפי"ז נמצא שמותרת ביום עצמו וזה דבר שאינו מסתבר. </w:t>
      </w:r>
      <w:r w:rsidRPr="00D75665">
        <w:rPr>
          <w:rFonts w:hint="cs"/>
          <w:sz w:val="18"/>
          <w:szCs w:val="18"/>
          <w:rtl/>
        </w:rPr>
        <w:t xml:space="preserve">ומסקנת </w:t>
      </w:r>
      <w:r w:rsidRPr="00787537">
        <w:rPr>
          <w:rFonts w:hint="cs"/>
          <w:b/>
          <w:bCs/>
          <w:sz w:val="18"/>
          <w:szCs w:val="18"/>
          <w:rtl/>
        </w:rPr>
        <w:t>הט"ז</w:t>
      </w:r>
      <w:r w:rsidRPr="00D75665">
        <w:rPr>
          <w:rFonts w:hint="cs"/>
          <w:sz w:val="18"/>
          <w:szCs w:val="18"/>
          <w:rtl/>
        </w:rPr>
        <w:t xml:space="preserve"> היא שכוונת </w:t>
      </w:r>
      <w:r w:rsidRPr="00787537">
        <w:rPr>
          <w:rFonts w:hint="cs"/>
          <w:b/>
          <w:bCs/>
          <w:sz w:val="18"/>
          <w:szCs w:val="18"/>
          <w:rtl/>
        </w:rPr>
        <w:t>האביאסף</w:t>
      </w:r>
      <w:r w:rsidRPr="00D75665">
        <w:rPr>
          <w:rFonts w:hint="cs"/>
          <w:sz w:val="18"/>
          <w:szCs w:val="18"/>
          <w:rtl/>
        </w:rPr>
        <w:t xml:space="preserve"> לאוסרה שש שעות </w:t>
      </w:r>
      <w:r w:rsidRPr="00787537">
        <w:rPr>
          <w:rFonts w:hint="cs"/>
          <w:sz w:val="16"/>
          <w:szCs w:val="16"/>
          <w:rtl/>
        </w:rPr>
        <w:t xml:space="preserve">(זמניות) </w:t>
      </w:r>
      <w:r w:rsidRPr="00D75665">
        <w:rPr>
          <w:rFonts w:hint="cs"/>
          <w:sz w:val="18"/>
          <w:szCs w:val="18"/>
          <w:rtl/>
        </w:rPr>
        <w:t>לפני ראייתה ושש שעות לאחר ראייתה.</w:t>
      </w:r>
      <w:r>
        <w:rPr>
          <w:rtl/>
        </w:rPr>
        <w:t xml:space="preserve"> </w:t>
      </w:r>
    </w:p>
  </w:footnote>
  <w:footnote w:id="27">
    <w:p w:rsidR="005953C5" w:rsidRDefault="005953C5" w:rsidP="00620060">
      <w:pPr>
        <w:pStyle w:val="a3"/>
        <w:rPr>
          <w:rtl/>
        </w:rPr>
      </w:pPr>
      <w:r w:rsidRPr="00A24D80">
        <w:rPr>
          <w:rStyle w:val="a5"/>
          <w:sz w:val="18"/>
          <w:szCs w:val="18"/>
        </w:rPr>
        <w:footnoteRef/>
      </w:r>
      <w:r w:rsidRPr="00A24D80">
        <w:rPr>
          <w:sz w:val="18"/>
          <w:szCs w:val="18"/>
          <w:rtl/>
        </w:rPr>
        <w:t xml:space="preserve"> </w:t>
      </w:r>
      <w:r w:rsidRPr="00A24D80">
        <w:rPr>
          <w:rFonts w:hint="cs"/>
          <w:sz w:val="18"/>
          <w:szCs w:val="18"/>
          <w:rtl/>
        </w:rPr>
        <w:t xml:space="preserve">קשה, אם ווסתה בתחילת הלילה בלילי טבת, וכגון שאורך הלילה 15 שעות, לכאורה לפי דברי </w:t>
      </w:r>
      <w:r w:rsidRPr="00787537">
        <w:rPr>
          <w:rFonts w:hint="cs"/>
          <w:b/>
          <w:bCs/>
          <w:sz w:val="18"/>
          <w:szCs w:val="18"/>
          <w:rtl/>
        </w:rPr>
        <w:t>הש"ך</w:t>
      </w:r>
      <w:r w:rsidRPr="00A24D80">
        <w:rPr>
          <w:rFonts w:hint="cs"/>
          <w:sz w:val="18"/>
          <w:szCs w:val="18"/>
          <w:rtl/>
        </w:rPr>
        <w:t xml:space="preserve"> יש לגרוע שעה וחצי מתחילת הלילה ומסופו, והרי בכה"ג יוצא שבשעת ווסתה ממש, דהיינו בתחילת הלילה מותרת! וצ"ע. </w:t>
      </w:r>
    </w:p>
  </w:footnote>
  <w:footnote w:id="28">
    <w:p w:rsidR="005953C5" w:rsidRPr="00BE1084" w:rsidRDefault="005953C5" w:rsidP="00620060">
      <w:pPr>
        <w:pStyle w:val="a3"/>
        <w:rPr>
          <w:sz w:val="18"/>
          <w:szCs w:val="18"/>
        </w:rPr>
      </w:pPr>
      <w:r w:rsidRPr="00BE1084">
        <w:rPr>
          <w:rStyle w:val="a5"/>
          <w:sz w:val="18"/>
          <w:szCs w:val="18"/>
        </w:rPr>
        <w:footnoteRef/>
      </w:r>
      <w:r w:rsidRPr="00BE1084">
        <w:rPr>
          <w:sz w:val="18"/>
          <w:szCs w:val="18"/>
          <w:rtl/>
        </w:rPr>
        <w:t xml:space="preserve"> </w:t>
      </w:r>
      <w:r w:rsidRPr="00BE1084">
        <w:rPr>
          <w:rFonts w:hint="cs"/>
          <w:sz w:val="18"/>
          <w:szCs w:val="18"/>
          <w:rtl/>
        </w:rPr>
        <w:t xml:space="preserve">יש להבחין שלפי </w:t>
      </w:r>
      <w:r w:rsidRPr="00BE1084">
        <w:rPr>
          <w:rFonts w:hint="cs"/>
          <w:b/>
          <w:bCs/>
          <w:sz w:val="18"/>
          <w:szCs w:val="18"/>
          <w:rtl/>
        </w:rPr>
        <w:t>הש"ך</w:t>
      </w:r>
      <w:r w:rsidRPr="00BE1084">
        <w:rPr>
          <w:rFonts w:hint="cs"/>
          <w:sz w:val="18"/>
          <w:szCs w:val="18"/>
          <w:rtl/>
        </w:rPr>
        <w:t xml:space="preserve"> צריך לשלב את חומרת </w:t>
      </w:r>
      <w:r w:rsidRPr="00BE1084">
        <w:rPr>
          <w:rFonts w:hint="cs"/>
          <w:b/>
          <w:bCs/>
          <w:sz w:val="18"/>
          <w:szCs w:val="18"/>
          <w:rtl/>
        </w:rPr>
        <w:t>האו"ז</w:t>
      </w:r>
      <w:r w:rsidRPr="00BE1084">
        <w:rPr>
          <w:rFonts w:hint="cs"/>
          <w:sz w:val="18"/>
          <w:szCs w:val="18"/>
          <w:rtl/>
        </w:rPr>
        <w:t xml:space="preserve"> יחד עם דינו של </w:t>
      </w:r>
      <w:r w:rsidRPr="00BE1084">
        <w:rPr>
          <w:rFonts w:hint="cs"/>
          <w:b/>
          <w:bCs/>
          <w:sz w:val="18"/>
          <w:szCs w:val="18"/>
          <w:rtl/>
        </w:rPr>
        <w:t>האביאסף</w:t>
      </w:r>
      <w:r>
        <w:rPr>
          <w:rFonts w:hint="cs"/>
          <w:sz w:val="18"/>
          <w:szCs w:val="18"/>
          <w:rtl/>
        </w:rPr>
        <w:t>.</w:t>
      </w:r>
      <w:r w:rsidRPr="00BE1084">
        <w:rPr>
          <w:rFonts w:hint="cs"/>
          <w:sz w:val="18"/>
          <w:szCs w:val="18"/>
          <w:rtl/>
        </w:rPr>
        <w:t xml:space="preserve"> </w:t>
      </w:r>
    </w:p>
  </w:footnote>
  <w:footnote w:id="29">
    <w:p w:rsidR="005953C5" w:rsidRDefault="005953C5" w:rsidP="00620060">
      <w:pPr>
        <w:pStyle w:val="a3"/>
      </w:pPr>
      <w:r w:rsidRPr="004746E1">
        <w:rPr>
          <w:rStyle w:val="a5"/>
          <w:sz w:val="18"/>
          <w:szCs w:val="18"/>
        </w:rPr>
        <w:footnoteRef/>
      </w:r>
      <w:r w:rsidRPr="004746E1">
        <w:rPr>
          <w:sz w:val="18"/>
          <w:szCs w:val="18"/>
          <w:rtl/>
        </w:rPr>
        <w:t xml:space="preserve"> </w:t>
      </w:r>
      <w:r w:rsidRPr="004746E1">
        <w:rPr>
          <w:rFonts w:hint="cs"/>
          <w:sz w:val="18"/>
          <w:szCs w:val="18"/>
          <w:rtl/>
        </w:rPr>
        <w:t xml:space="preserve">מהי שיטת </w:t>
      </w:r>
      <w:r w:rsidRPr="00282C21">
        <w:rPr>
          <w:rFonts w:hint="cs"/>
          <w:b/>
          <w:bCs/>
          <w:sz w:val="18"/>
          <w:szCs w:val="18"/>
          <w:rtl/>
        </w:rPr>
        <w:t>רבינו תם</w:t>
      </w:r>
      <w:r w:rsidRPr="004746E1">
        <w:rPr>
          <w:rFonts w:hint="cs"/>
          <w:sz w:val="18"/>
          <w:szCs w:val="18"/>
          <w:rtl/>
        </w:rPr>
        <w:t xml:space="preserve"> בדין זה?</w:t>
      </w:r>
      <w:r w:rsidRPr="004746E1">
        <w:rPr>
          <w:rFonts w:hint="cs"/>
          <w:sz w:val="18"/>
          <w:szCs w:val="18"/>
          <w:rtl/>
        </w:rPr>
        <w:br/>
      </w:r>
      <w:r w:rsidRPr="004746E1">
        <w:rPr>
          <w:rFonts w:hint="cs"/>
          <w:b/>
          <w:bCs/>
          <w:sz w:val="18"/>
          <w:szCs w:val="18"/>
          <w:rtl/>
        </w:rPr>
        <w:t>הבית יוסף</w:t>
      </w:r>
      <w:r w:rsidRPr="004746E1">
        <w:rPr>
          <w:rFonts w:hint="cs"/>
          <w:sz w:val="18"/>
          <w:szCs w:val="18"/>
          <w:rtl/>
        </w:rPr>
        <w:t xml:space="preserve"> מעלה אפשרות כזאת </w:t>
      </w:r>
      <w:r w:rsidRPr="004746E1">
        <w:rPr>
          <w:sz w:val="18"/>
          <w:szCs w:val="18"/>
          <w:rtl/>
        </w:rPr>
        <w:t>–</w:t>
      </w:r>
      <w:r w:rsidRPr="004746E1">
        <w:rPr>
          <w:rFonts w:hint="cs"/>
          <w:sz w:val="18"/>
          <w:szCs w:val="18"/>
          <w:rtl/>
        </w:rPr>
        <w:t xml:space="preserve"> מכיוון שר"ת אוסר למי שיוצא לדרך לפקוד את אשתו בתשמיש בעונת ווסתה, ומפרש שמותר רק בדברי ריצוי וכדומה, ניתן להבין לכאורה שמי שאינו יוצא לדרך אסור אפילו בהני!</w:t>
      </w:r>
      <w:r w:rsidRPr="004746E1">
        <w:rPr>
          <w:rFonts w:hint="cs"/>
          <w:sz w:val="18"/>
          <w:szCs w:val="18"/>
          <w:rtl/>
        </w:rPr>
        <w:br/>
        <w:t xml:space="preserve">דוחה </w:t>
      </w:r>
      <w:r w:rsidRPr="0046554D">
        <w:rPr>
          <w:rFonts w:hint="cs"/>
          <w:b/>
          <w:bCs/>
          <w:sz w:val="18"/>
          <w:szCs w:val="18"/>
          <w:rtl/>
        </w:rPr>
        <w:t>הב"י</w:t>
      </w:r>
      <w:r w:rsidRPr="004746E1">
        <w:rPr>
          <w:rFonts w:hint="cs"/>
          <w:sz w:val="18"/>
          <w:szCs w:val="18"/>
          <w:rtl/>
        </w:rPr>
        <w:t xml:space="preserve"> </w:t>
      </w:r>
      <w:r w:rsidRPr="004746E1">
        <w:rPr>
          <w:sz w:val="18"/>
          <w:szCs w:val="18"/>
          <w:rtl/>
        </w:rPr>
        <w:t>–</w:t>
      </w:r>
      <w:r w:rsidRPr="004746E1">
        <w:rPr>
          <w:rFonts w:hint="cs"/>
          <w:sz w:val="18"/>
          <w:szCs w:val="18"/>
          <w:rtl/>
        </w:rPr>
        <w:t xml:space="preserve"> </w:t>
      </w:r>
      <w:r w:rsidRPr="0046554D">
        <w:rPr>
          <w:rFonts w:hint="cs"/>
          <w:b/>
          <w:bCs/>
          <w:sz w:val="18"/>
          <w:szCs w:val="18"/>
          <w:rtl/>
        </w:rPr>
        <w:t>ר"ת</w:t>
      </w:r>
      <w:r w:rsidRPr="004746E1">
        <w:rPr>
          <w:rFonts w:hint="cs"/>
          <w:sz w:val="18"/>
          <w:szCs w:val="18"/>
          <w:rtl/>
        </w:rPr>
        <w:t xml:space="preserve"> סובר שגם מי שאינו יוצא לדרך </w:t>
      </w:r>
      <w:r w:rsidRPr="00282C21">
        <w:rPr>
          <w:rFonts w:hint="cs"/>
          <w:sz w:val="18"/>
          <w:szCs w:val="18"/>
          <w:u w:val="single"/>
          <w:rtl/>
        </w:rPr>
        <w:t>מותר</w:t>
      </w:r>
      <w:r w:rsidRPr="004746E1">
        <w:rPr>
          <w:rFonts w:hint="cs"/>
          <w:sz w:val="18"/>
          <w:szCs w:val="18"/>
          <w:rtl/>
        </w:rPr>
        <w:t xml:space="preserve"> בקרבה שאינה תשמיש, אך הגמרא קמ"ל שהיוצא לדרך </w:t>
      </w:r>
      <w:r w:rsidRPr="00282C21">
        <w:rPr>
          <w:rFonts w:hint="cs"/>
          <w:sz w:val="18"/>
          <w:szCs w:val="18"/>
          <w:u w:val="single"/>
          <w:rtl/>
        </w:rPr>
        <w:t>חייב</w:t>
      </w:r>
      <w:r w:rsidRPr="004746E1">
        <w:rPr>
          <w:rFonts w:hint="cs"/>
          <w:sz w:val="18"/>
          <w:szCs w:val="18"/>
          <w:rtl/>
        </w:rPr>
        <w:t xml:space="preserve"> בקירבה זו.</w:t>
      </w:r>
    </w:p>
  </w:footnote>
  <w:footnote w:id="30">
    <w:p w:rsidR="005953C5" w:rsidRDefault="005953C5" w:rsidP="00620060">
      <w:pPr>
        <w:pStyle w:val="a3"/>
        <w:rPr>
          <w:rtl/>
        </w:rPr>
      </w:pPr>
      <w:r w:rsidRPr="000E56D3">
        <w:rPr>
          <w:rStyle w:val="a5"/>
          <w:sz w:val="18"/>
          <w:szCs w:val="18"/>
        </w:rPr>
        <w:footnoteRef/>
      </w:r>
      <w:r w:rsidRPr="000E56D3">
        <w:rPr>
          <w:sz w:val="18"/>
          <w:szCs w:val="18"/>
          <w:rtl/>
        </w:rPr>
        <w:t xml:space="preserve"> </w:t>
      </w:r>
      <w:r w:rsidRPr="000E56D3">
        <w:rPr>
          <w:rFonts w:hint="cs"/>
          <w:sz w:val="18"/>
          <w:szCs w:val="18"/>
          <w:rtl/>
        </w:rPr>
        <w:t>אמנם, הב"ח עצמו חותם את דבריו ואומר: "המחמיר באלה תבוא עליו ברכה".</w:t>
      </w:r>
    </w:p>
  </w:footnote>
  <w:footnote w:id="31">
    <w:p w:rsidR="005953C5" w:rsidRDefault="005953C5" w:rsidP="00620060">
      <w:pPr>
        <w:pStyle w:val="a3"/>
      </w:pPr>
      <w:r w:rsidRPr="00C23016">
        <w:rPr>
          <w:rStyle w:val="a5"/>
          <w:sz w:val="18"/>
          <w:szCs w:val="18"/>
        </w:rPr>
        <w:footnoteRef/>
      </w:r>
      <w:r w:rsidRPr="00C23016">
        <w:rPr>
          <w:sz w:val="18"/>
          <w:szCs w:val="18"/>
          <w:rtl/>
        </w:rPr>
        <w:t xml:space="preserve"> </w:t>
      </w:r>
      <w:r w:rsidRPr="00C23016">
        <w:rPr>
          <w:rFonts w:hint="cs"/>
          <w:sz w:val="18"/>
          <w:szCs w:val="18"/>
          <w:rtl/>
        </w:rPr>
        <w:t xml:space="preserve">אמנם, </w:t>
      </w:r>
      <w:r w:rsidRPr="00C23016">
        <w:rPr>
          <w:rFonts w:hint="cs"/>
          <w:b/>
          <w:bCs/>
          <w:sz w:val="18"/>
          <w:szCs w:val="18"/>
          <w:rtl/>
        </w:rPr>
        <w:t>הב"י</w:t>
      </w:r>
      <w:r w:rsidRPr="00C23016">
        <w:rPr>
          <w:rFonts w:hint="cs"/>
          <w:sz w:val="18"/>
          <w:szCs w:val="18"/>
          <w:rtl/>
        </w:rPr>
        <w:t xml:space="preserve"> מעיר </w:t>
      </w:r>
      <w:r w:rsidRPr="00C23016">
        <w:rPr>
          <w:rFonts w:hint="cs"/>
          <w:b/>
          <w:bCs/>
          <w:sz w:val="18"/>
          <w:szCs w:val="18"/>
          <w:rtl/>
        </w:rPr>
        <w:t>שת"ה</w:t>
      </w:r>
      <w:r w:rsidRPr="00C23016">
        <w:rPr>
          <w:rFonts w:hint="cs"/>
          <w:sz w:val="18"/>
          <w:szCs w:val="18"/>
          <w:rtl/>
        </w:rPr>
        <w:t xml:space="preserve"> ראה את דברי </w:t>
      </w:r>
      <w:r w:rsidRPr="00C23016">
        <w:rPr>
          <w:rFonts w:hint="cs"/>
          <w:b/>
          <w:bCs/>
          <w:sz w:val="18"/>
          <w:szCs w:val="18"/>
          <w:rtl/>
        </w:rPr>
        <w:t>הגה"מ</w:t>
      </w:r>
      <w:r w:rsidRPr="00C23016">
        <w:rPr>
          <w:rFonts w:hint="cs"/>
          <w:sz w:val="18"/>
          <w:szCs w:val="18"/>
          <w:rtl/>
        </w:rPr>
        <w:t xml:space="preserve"> בדין זה שהתיר כל קרבה, אלא </w:t>
      </w:r>
      <w:r w:rsidRPr="00C23016">
        <w:rPr>
          <w:rFonts w:hint="cs"/>
          <w:b/>
          <w:bCs/>
          <w:sz w:val="18"/>
          <w:szCs w:val="18"/>
          <w:rtl/>
        </w:rPr>
        <w:t>שת"ה</w:t>
      </w:r>
      <w:r w:rsidRPr="00C23016">
        <w:rPr>
          <w:rFonts w:hint="cs"/>
          <w:sz w:val="18"/>
          <w:szCs w:val="18"/>
          <w:rtl/>
        </w:rPr>
        <w:t xml:space="preserve"> נדחק לומר </w:t>
      </w:r>
      <w:r w:rsidRPr="00C23016">
        <w:rPr>
          <w:rFonts w:hint="cs"/>
          <w:b/>
          <w:bCs/>
          <w:sz w:val="18"/>
          <w:szCs w:val="18"/>
          <w:rtl/>
        </w:rPr>
        <w:t>שהגה"מ</w:t>
      </w:r>
      <w:r w:rsidRPr="00C23016">
        <w:rPr>
          <w:rFonts w:hint="cs"/>
          <w:sz w:val="18"/>
          <w:szCs w:val="18"/>
          <w:rtl/>
        </w:rPr>
        <w:t xml:space="preserve"> התיר רק מזיגת הכוס והרחקות אלו, אך בחיבוק ונישוק ס"ל שגם </w:t>
      </w:r>
      <w:r w:rsidRPr="00C23016">
        <w:rPr>
          <w:rFonts w:hint="cs"/>
          <w:b/>
          <w:bCs/>
          <w:sz w:val="18"/>
          <w:szCs w:val="18"/>
          <w:rtl/>
        </w:rPr>
        <w:t>הגה"מ</w:t>
      </w:r>
      <w:r w:rsidRPr="00C23016">
        <w:rPr>
          <w:rFonts w:hint="cs"/>
          <w:sz w:val="18"/>
          <w:szCs w:val="18"/>
          <w:rtl/>
        </w:rPr>
        <w:t xml:space="preserve"> מחמיר.</w:t>
      </w:r>
    </w:p>
  </w:footnote>
  <w:footnote w:id="32">
    <w:p w:rsidR="005953C5" w:rsidRDefault="005953C5" w:rsidP="00620060">
      <w:pPr>
        <w:pStyle w:val="a3"/>
        <w:rPr>
          <w:rtl/>
        </w:rPr>
      </w:pPr>
      <w:r w:rsidRPr="00E3364B">
        <w:rPr>
          <w:rStyle w:val="a5"/>
          <w:sz w:val="18"/>
          <w:szCs w:val="18"/>
        </w:rPr>
        <w:footnoteRef/>
      </w:r>
      <w:r w:rsidRPr="00E3364B">
        <w:rPr>
          <w:sz w:val="18"/>
          <w:szCs w:val="18"/>
          <w:rtl/>
        </w:rPr>
        <w:t xml:space="preserve"> </w:t>
      </w:r>
      <w:r w:rsidRPr="00E3364B">
        <w:rPr>
          <w:rFonts w:hint="cs"/>
          <w:sz w:val="18"/>
          <w:szCs w:val="18"/>
          <w:rtl/>
        </w:rPr>
        <w:t xml:space="preserve"> מלבד קולה זו, מביא הפת"ש </w:t>
      </w:r>
      <w:r>
        <w:rPr>
          <w:rFonts w:hint="cs"/>
          <w:sz w:val="18"/>
          <w:szCs w:val="18"/>
          <w:rtl/>
        </w:rPr>
        <w:t xml:space="preserve">תשובת </w:t>
      </w:r>
      <w:r w:rsidRPr="00E3364B">
        <w:rPr>
          <w:rFonts w:hint="cs"/>
          <w:b/>
          <w:bCs/>
          <w:sz w:val="18"/>
          <w:szCs w:val="18"/>
          <w:rtl/>
        </w:rPr>
        <w:t>חת"ס</w:t>
      </w:r>
      <w:r w:rsidRPr="00E3364B">
        <w:rPr>
          <w:rFonts w:hint="cs"/>
          <w:sz w:val="18"/>
          <w:szCs w:val="18"/>
          <w:rtl/>
        </w:rPr>
        <w:t xml:space="preserve"> שהקל באשה שלא שימשה עם בעלה למנות ז' נקיים מיד לאחר שתפסיק לראות, ואמנם הוא סייג את דבריו דווקא באשה שלולא קולה זו לא תהיה מותרת לעולם לבעלה. </w:t>
      </w:r>
      <w:r w:rsidRPr="00E3364B">
        <w:rPr>
          <w:rFonts w:hint="cs"/>
          <w:sz w:val="16"/>
          <w:szCs w:val="16"/>
          <w:rtl/>
        </w:rPr>
        <w:t xml:space="preserve">[כגון </w:t>
      </w:r>
      <w:r w:rsidRPr="00E3364B">
        <w:rPr>
          <w:sz w:val="16"/>
          <w:szCs w:val="16"/>
          <w:rtl/>
        </w:rPr>
        <w:t>–</w:t>
      </w:r>
      <w:r w:rsidRPr="00E3364B">
        <w:rPr>
          <w:rFonts w:hint="cs"/>
          <w:sz w:val="16"/>
          <w:szCs w:val="16"/>
          <w:rtl/>
        </w:rPr>
        <w:t xml:space="preserve"> אשה שרגילה לראות במרווחי זמן קצרים]</w:t>
      </w:r>
      <w:r>
        <w:rPr>
          <w:rFonts w:hint="cs"/>
          <w:sz w:val="16"/>
          <w:szCs w:val="16"/>
          <w:rtl/>
        </w:rPr>
        <w:t>.</w:t>
      </w:r>
      <w:r>
        <w:rPr>
          <w:rFonts w:hint="cs"/>
          <w:rtl/>
        </w:rPr>
        <w:t xml:space="preserve"> </w:t>
      </w:r>
      <w:r w:rsidRPr="0066190D">
        <w:rPr>
          <w:rFonts w:hint="cs"/>
          <w:sz w:val="18"/>
          <w:szCs w:val="18"/>
          <w:rtl/>
        </w:rPr>
        <w:t xml:space="preserve">ויש אומרים שתספור לפחות ג' עונות, לצאת ידי חובה לדעת </w:t>
      </w:r>
      <w:r w:rsidRPr="0066190D">
        <w:rPr>
          <w:rFonts w:hint="cs"/>
          <w:b/>
          <w:bCs/>
          <w:sz w:val="18"/>
          <w:szCs w:val="18"/>
          <w:rtl/>
        </w:rPr>
        <w:t>הרמב"ם</w:t>
      </w:r>
      <w:r w:rsidRPr="0066190D">
        <w:rPr>
          <w:rFonts w:hint="cs"/>
          <w:sz w:val="18"/>
          <w:szCs w:val="18"/>
          <w:rtl/>
        </w:rPr>
        <w:t>, מבואר בסימן קצו'.</w:t>
      </w:r>
    </w:p>
  </w:footnote>
  <w:footnote w:id="33">
    <w:p w:rsidR="005953C5" w:rsidRDefault="005953C5" w:rsidP="00620060">
      <w:pPr>
        <w:pStyle w:val="a3"/>
      </w:pPr>
      <w:r w:rsidRPr="00BC3410">
        <w:rPr>
          <w:rStyle w:val="a5"/>
          <w:sz w:val="18"/>
          <w:szCs w:val="18"/>
        </w:rPr>
        <w:footnoteRef/>
      </w:r>
      <w:r w:rsidRPr="00BC3410">
        <w:rPr>
          <w:sz w:val="18"/>
          <w:szCs w:val="18"/>
          <w:rtl/>
        </w:rPr>
        <w:t xml:space="preserve"> </w:t>
      </w:r>
      <w:r w:rsidRPr="00BC3410">
        <w:rPr>
          <w:rFonts w:hint="cs"/>
          <w:sz w:val="18"/>
          <w:szCs w:val="18"/>
          <w:rtl/>
        </w:rPr>
        <w:t>דין זקנה יבואר אי"ה לקמן בסימן קפט', ולמעשה דינה זהה לדין קטנה.</w:t>
      </w:r>
    </w:p>
  </w:footnote>
  <w:footnote w:id="34">
    <w:p w:rsidR="005953C5" w:rsidRDefault="005953C5" w:rsidP="00620060">
      <w:pPr>
        <w:pStyle w:val="a3"/>
      </w:pPr>
      <w:r w:rsidRPr="00810C19">
        <w:rPr>
          <w:rStyle w:val="a5"/>
          <w:sz w:val="18"/>
          <w:szCs w:val="18"/>
        </w:rPr>
        <w:footnoteRef/>
      </w:r>
      <w:r w:rsidRPr="00810C19">
        <w:rPr>
          <w:sz w:val="18"/>
          <w:szCs w:val="18"/>
          <w:rtl/>
        </w:rPr>
        <w:t xml:space="preserve"> </w:t>
      </w:r>
      <w:r w:rsidRPr="00810C19">
        <w:rPr>
          <w:rFonts w:hint="cs"/>
          <w:b/>
          <w:bCs/>
          <w:sz w:val="18"/>
          <w:szCs w:val="18"/>
          <w:rtl/>
        </w:rPr>
        <w:t>הטור</w:t>
      </w:r>
      <w:r w:rsidRPr="00810C19">
        <w:rPr>
          <w:rFonts w:hint="cs"/>
          <w:sz w:val="18"/>
          <w:szCs w:val="18"/>
          <w:rtl/>
        </w:rPr>
        <w:t xml:space="preserve"> הציג את </w:t>
      </w:r>
      <w:r w:rsidRPr="00810C19">
        <w:rPr>
          <w:rFonts w:hint="cs"/>
          <w:b/>
          <w:bCs/>
          <w:sz w:val="18"/>
          <w:szCs w:val="18"/>
          <w:rtl/>
        </w:rPr>
        <w:t>הראב"ד</w:t>
      </w:r>
      <w:r w:rsidRPr="00810C19">
        <w:rPr>
          <w:rFonts w:hint="cs"/>
          <w:sz w:val="18"/>
          <w:szCs w:val="18"/>
          <w:rtl/>
        </w:rPr>
        <w:t xml:space="preserve"> כשיטה שלישית. </w:t>
      </w:r>
      <w:r w:rsidRPr="00810C19">
        <w:rPr>
          <w:rFonts w:hint="cs"/>
          <w:b/>
          <w:bCs/>
          <w:sz w:val="18"/>
          <w:szCs w:val="18"/>
          <w:rtl/>
        </w:rPr>
        <w:t>הבית יוסף</w:t>
      </w:r>
      <w:r w:rsidRPr="00810C19">
        <w:rPr>
          <w:rFonts w:hint="cs"/>
          <w:sz w:val="18"/>
          <w:szCs w:val="18"/>
          <w:rtl/>
        </w:rPr>
        <w:t xml:space="preserve"> מסיק מתוך דברי </w:t>
      </w:r>
      <w:r w:rsidRPr="00810C19">
        <w:rPr>
          <w:rFonts w:hint="cs"/>
          <w:b/>
          <w:bCs/>
          <w:sz w:val="18"/>
          <w:szCs w:val="18"/>
          <w:rtl/>
        </w:rPr>
        <w:t xml:space="preserve">הטור </w:t>
      </w:r>
      <w:r w:rsidRPr="00810C19">
        <w:rPr>
          <w:rFonts w:hint="cs"/>
          <w:sz w:val="18"/>
          <w:szCs w:val="18"/>
          <w:rtl/>
        </w:rPr>
        <w:t>שהשיטה המקלה לא אסרה כלל ביום, ומשום כך כתב הטור את דעת הראב"ד כ</w:t>
      </w:r>
      <w:r>
        <w:rPr>
          <w:rFonts w:hint="cs"/>
          <w:sz w:val="18"/>
          <w:szCs w:val="18"/>
          <w:rtl/>
        </w:rPr>
        <w:t>ד</w:t>
      </w:r>
      <w:r w:rsidRPr="00810C19">
        <w:rPr>
          <w:rFonts w:hint="cs"/>
          <w:sz w:val="18"/>
          <w:szCs w:val="18"/>
          <w:rtl/>
        </w:rPr>
        <w:t xml:space="preserve">עה שלישית. ברם, </w:t>
      </w:r>
      <w:r w:rsidRPr="00810C19">
        <w:rPr>
          <w:rFonts w:hint="cs"/>
          <w:b/>
          <w:bCs/>
          <w:sz w:val="18"/>
          <w:szCs w:val="18"/>
          <w:rtl/>
        </w:rPr>
        <w:t>רבינו ירוחם</w:t>
      </w:r>
      <w:r w:rsidRPr="00810C19">
        <w:rPr>
          <w:rFonts w:hint="cs"/>
          <w:sz w:val="18"/>
          <w:szCs w:val="18"/>
          <w:rtl/>
        </w:rPr>
        <w:t xml:space="preserve"> מפרש שאין כאן שלוש דעות, אלא דעת </w:t>
      </w:r>
      <w:r w:rsidRPr="00810C19">
        <w:rPr>
          <w:rFonts w:hint="cs"/>
          <w:b/>
          <w:bCs/>
          <w:sz w:val="18"/>
          <w:szCs w:val="18"/>
          <w:rtl/>
        </w:rPr>
        <w:t>הראב"ד</w:t>
      </w:r>
      <w:r w:rsidRPr="00810C19">
        <w:rPr>
          <w:rFonts w:hint="cs"/>
          <w:sz w:val="18"/>
          <w:szCs w:val="18"/>
          <w:rtl/>
        </w:rPr>
        <w:t xml:space="preserve"> כדעת המקלים, ואף המקלים אסרו ביום למשך הזמן שבו רגילה לראות.</w:t>
      </w:r>
    </w:p>
  </w:footnote>
  <w:footnote w:id="35">
    <w:p w:rsidR="005953C5" w:rsidRDefault="005953C5" w:rsidP="00620060">
      <w:pPr>
        <w:pStyle w:val="a3"/>
        <w:rPr>
          <w:rtl/>
        </w:rPr>
      </w:pPr>
      <w:r w:rsidRPr="00F3004B">
        <w:rPr>
          <w:rStyle w:val="a5"/>
          <w:sz w:val="18"/>
          <w:szCs w:val="18"/>
        </w:rPr>
        <w:footnoteRef/>
      </w:r>
      <w:r w:rsidRPr="00F3004B">
        <w:rPr>
          <w:sz w:val="18"/>
          <w:szCs w:val="18"/>
          <w:rtl/>
        </w:rPr>
        <w:t xml:space="preserve"> </w:t>
      </w:r>
      <w:r w:rsidRPr="00F3004B">
        <w:rPr>
          <w:rFonts w:hint="cs"/>
          <w:b/>
          <w:bCs/>
          <w:sz w:val="18"/>
          <w:szCs w:val="18"/>
          <w:rtl/>
        </w:rPr>
        <w:t>פת"ש</w:t>
      </w:r>
      <w:r w:rsidRPr="00F3004B">
        <w:rPr>
          <w:rFonts w:hint="cs"/>
          <w:sz w:val="18"/>
          <w:szCs w:val="18"/>
          <w:rtl/>
        </w:rPr>
        <w:t xml:space="preserve"> </w:t>
      </w:r>
      <w:r w:rsidRPr="00F3004B">
        <w:rPr>
          <w:sz w:val="18"/>
          <w:szCs w:val="18"/>
          <w:rtl/>
        </w:rPr>
        <w:t>–</w:t>
      </w:r>
      <w:r w:rsidRPr="00F3004B">
        <w:rPr>
          <w:rFonts w:hint="cs"/>
          <w:sz w:val="18"/>
          <w:szCs w:val="18"/>
          <w:rtl/>
        </w:rPr>
        <w:t xml:space="preserve"> דברי הש"ך האלו הם ע"פ מה שכתב לעיל שנשי דידן אין להן שעה קבועה ולכן יש להחמיר.</w:t>
      </w:r>
    </w:p>
  </w:footnote>
  <w:footnote w:id="36">
    <w:p w:rsidR="005953C5" w:rsidRDefault="005953C5" w:rsidP="00620060">
      <w:pPr>
        <w:pStyle w:val="a3"/>
        <w:rPr>
          <w:rtl/>
        </w:rPr>
      </w:pPr>
      <w:r w:rsidRPr="00BA7A59">
        <w:rPr>
          <w:rStyle w:val="a5"/>
          <w:sz w:val="18"/>
          <w:szCs w:val="18"/>
        </w:rPr>
        <w:footnoteRef/>
      </w:r>
      <w:r w:rsidRPr="00BA7A59">
        <w:rPr>
          <w:sz w:val="18"/>
          <w:szCs w:val="18"/>
          <w:rtl/>
        </w:rPr>
        <w:t xml:space="preserve"> </w:t>
      </w:r>
      <w:r w:rsidRPr="00BA7A59">
        <w:rPr>
          <w:rFonts w:hint="cs"/>
          <w:sz w:val="18"/>
          <w:szCs w:val="18"/>
          <w:rtl/>
        </w:rPr>
        <w:t>שתי הערות על הנ"ל:</w:t>
      </w:r>
      <w:r w:rsidRPr="00BA7A59">
        <w:rPr>
          <w:rFonts w:hint="cs"/>
          <w:sz w:val="18"/>
          <w:szCs w:val="18"/>
          <w:rtl/>
        </w:rPr>
        <w:br/>
        <w:t xml:space="preserve">א. </w:t>
      </w:r>
      <w:r w:rsidRPr="00BA7A59">
        <w:rPr>
          <w:rFonts w:hint="cs"/>
          <w:b/>
          <w:bCs/>
          <w:sz w:val="18"/>
          <w:szCs w:val="18"/>
          <w:rtl/>
        </w:rPr>
        <w:t>הט"ז</w:t>
      </w:r>
      <w:r w:rsidRPr="00BA7A59">
        <w:rPr>
          <w:rFonts w:hint="cs"/>
          <w:sz w:val="18"/>
          <w:szCs w:val="18"/>
          <w:rtl/>
        </w:rPr>
        <w:t xml:space="preserve"> כותב שכך מתרצים רבים את פסקי המחבר, אך צ"ע מנ"ל למחבר לחלק, שהרי לעיל פסק כסברת </w:t>
      </w:r>
      <w:r w:rsidRPr="00BA7A59">
        <w:rPr>
          <w:rFonts w:hint="cs"/>
          <w:b/>
          <w:bCs/>
          <w:sz w:val="18"/>
          <w:szCs w:val="18"/>
          <w:rtl/>
        </w:rPr>
        <w:t>הראב"ד</w:t>
      </w:r>
      <w:r w:rsidRPr="00BA7A59">
        <w:rPr>
          <w:rFonts w:hint="cs"/>
          <w:sz w:val="18"/>
          <w:szCs w:val="18"/>
          <w:rtl/>
        </w:rPr>
        <w:t xml:space="preserve"> וא</w:t>
      </w:r>
      <w:r>
        <w:rPr>
          <w:rFonts w:hint="cs"/>
          <w:sz w:val="18"/>
          <w:szCs w:val="18"/>
          <w:rtl/>
        </w:rPr>
        <w:t xml:space="preserve">ם </w:t>
      </w:r>
      <w:r w:rsidRPr="00BA7A59">
        <w:rPr>
          <w:rFonts w:hint="cs"/>
          <w:sz w:val="18"/>
          <w:szCs w:val="18"/>
          <w:rtl/>
        </w:rPr>
        <w:t>כ</w:t>
      </w:r>
      <w:r>
        <w:rPr>
          <w:rFonts w:hint="cs"/>
          <w:sz w:val="18"/>
          <w:szCs w:val="18"/>
          <w:rtl/>
        </w:rPr>
        <w:t>ן</w:t>
      </w:r>
      <w:r w:rsidRPr="00BA7A59">
        <w:rPr>
          <w:rFonts w:hint="cs"/>
          <w:sz w:val="18"/>
          <w:szCs w:val="18"/>
          <w:rtl/>
        </w:rPr>
        <w:t xml:space="preserve"> הו"ל לפסוק כמותו גם כאן.</w:t>
      </w:r>
      <w:r w:rsidRPr="00BA7A59">
        <w:rPr>
          <w:sz w:val="18"/>
          <w:szCs w:val="18"/>
          <w:rtl/>
        </w:rPr>
        <w:br/>
      </w:r>
      <w:r w:rsidRPr="00BA7A59">
        <w:rPr>
          <w:rFonts w:hint="cs"/>
          <w:sz w:val="18"/>
          <w:szCs w:val="18"/>
          <w:rtl/>
        </w:rPr>
        <w:t xml:space="preserve">ב. </w:t>
      </w:r>
      <w:r w:rsidRPr="00BA7A59">
        <w:rPr>
          <w:rFonts w:hint="cs"/>
          <w:b/>
          <w:bCs/>
          <w:sz w:val="18"/>
          <w:szCs w:val="18"/>
          <w:rtl/>
        </w:rPr>
        <w:t>הש"ך</w:t>
      </w:r>
      <w:r w:rsidRPr="00BA7A59">
        <w:rPr>
          <w:rFonts w:hint="cs"/>
          <w:sz w:val="18"/>
          <w:szCs w:val="18"/>
          <w:rtl/>
        </w:rPr>
        <w:t xml:space="preserve"> כתב בשם </w:t>
      </w:r>
      <w:r>
        <w:rPr>
          <w:rFonts w:hint="cs"/>
          <w:b/>
          <w:bCs/>
          <w:sz w:val="18"/>
          <w:szCs w:val="18"/>
          <w:rtl/>
        </w:rPr>
        <w:t>הפרישה</w:t>
      </w:r>
      <w:r w:rsidRPr="00BA7A59">
        <w:rPr>
          <w:rFonts w:hint="cs"/>
          <w:sz w:val="18"/>
          <w:szCs w:val="18"/>
          <w:rtl/>
        </w:rPr>
        <w:t xml:space="preserve"> תירוץ נוסף, אלא שלא מספיק מובן מדבריו מהו ההבדל בין תירוצו לתירוץ שכתב הט"ז.</w:t>
      </w:r>
    </w:p>
  </w:footnote>
  <w:footnote w:id="37">
    <w:p w:rsidR="005953C5" w:rsidRDefault="005953C5" w:rsidP="00620060">
      <w:pPr>
        <w:pStyle w:val="a3"/>
      </w:pPr>
      <w:r w:rsidRPr="003B77DC">
        <w:rPr>
          <w:rStyle w:val="a5"/>
          <w:sz w:val="18"/>
          <w:szCs w:val="18"/>
        </w:rPr>
        <w:footnoteRef/>
      </w:r>
      <w:r w:rsidRPr="003B77DC">
        <w:rPr>
          <w:sz w:val="18"/>
          <w:szCs w:val="18"/>
          <w:rtl/>
        </w:rPr>
        <w:t xml:space="preserve"> </w:t>
      </w:r>
      <w:r w:rsidRPr="003B77DC">
        <w:rPr>
          <w:rFonts w:hint="cs"/>
          <w:sz w:val="18"/>
          <w:szCs w:val="18"/>
          <w:rtl/>
        </w:rPr>
        <w:t>גם סעיף ג עוסק באשה המסולקת דמים.</w:t>
      </w:r>
    </w:p>
  </w:footnote>
  <w:footnote w:id="38">
    <w:p w:rsidR="005953C5" w:rsidRDefault="005953C5" w:rsidP="00620060">
      <w:pPr>
        <w:pStyle w:val="a3"/>
      </w:pPr>
      <w:r w:rsidRPr="00496059">
        <w:rPr>
          <w:rStyle w:val="a5"/>
          <w:sz w:val="18"/>
          <w:szCs w:val="18"/>
        </w:rPr>
        <w:footnoteRef/>
      </w:r>
      <w:r w:rsidRPr="00496059">
        <w:rPr>
          <w:sz w:val="18"/>
          <w:szCs w:val="18"/>
          <w:rtl/>
        </w:rPr>
        <w:t xml:space="preserve"> </w:t>
      </w:r>
      <w:r w:rsidRPr="00496059">
        <w:rPr>
          <w:rFonts w:hint="cs"/>
          <w:sz w:val="18"/>
          <w:szCs w:val="18"/>
          <w:rtl/>
        </w:rPr>
        <w:t xml:space="preserve">רש"י מסביר שמ"ד ווסתות דאורייתא סובר שאם לא בדקה בזמנה </w:t>
      </w:r>
      <w:r w:rsidRPr="00496059">
        <w:rPr>
          <w:sz w:val="18"/>
          <w:szCs w:val="18"/>
          <w:rtl/>
        </w:rPr>
        <w:t>–</w:t>
      </w:r>
      <w:r w:rsidRPr="00496059">
        <w:rPr>
          <w:rFonts w:hint="cs"/>
          <w:sz w:val="18"/>
          <w:szCs w:val="18"/>
          <w:rtl/>
        </w:rPr>
        <w:t xml:space="preserve"> טמאה, כיוון שאורח בזמנו בא. </w:t>
      </w:r>
    </w:p>
  </w:footnote>
  <w:footnote w:id="39">
    <w:p w:rsidR="005953C5" w:rsidRDefault="005953C5" w:rsidP="00620060">
      <w:pPr>
        <w:pStyle w:val="a3"/>
      </w:pPr>
      <w:r w:rsidRPr="00DB25A5">
        <w:rPr>
          <w:rStyle w:val="a5"/>
          <w:sz w:val="18"/>
          <w:szCs w:val="18"/>
        </w:rPr>
        <w:footnoteRef/>
      </w:r>
      <w:r w:rsidRPr="00DB25A5">
        <w:rPr>
          <w:sz w:val="18"/>
          <w:szCs w:val="18"/>
          <w:rtl/>
        </w:rPr>
        <w:t xml:space="preserve"> </w:t>
      </w:r>
      <w:r w:rsidRPr="00DB25A5">
        <w:rPr>
          <w:rFonts w:hint="cs"/>
          <w:b/>
          <w:bCs/>
          <w:sz w:val="18"/>
          <w:szCs w:val="18"/>
          <w:rtl/>
        </w:rPr>
        <w:t>פרישה</w:t>
      </w:r>
      <w:r w:rsidRPr="00DB25A5">
        <w:rPr>
          <w:rFonts w:hint="cs"/>
          <w:sz w:val="18"/>
          <w:szCs w:val="18"/>
          <w:rtl/>
        </w:rPr>
        <w:t xml:space="preserve"> </w:t>
      </w:r>
      <w:r w:rsidRPr="00DB25A5">
        <w:rPr>
          <w:sz w:val="18"/>
          <w:szCs w:val="18"/>
          <w:rtl/>
        </w:rPr>
        <w:t>–</w:t>
      </w:r>
      <w:r w:rsidRPr="00DB25A5">
        <w:rPr>
          <w:rFonts w:hint="cs"/>
          <w:sz w:val="18"/>
          <w:szCs w:val="18"/>
          <w:rtl/>
        </w:rPr>
        <w:t xml:space="preserve"> דווקא סמוך לווסתה מותרת ללא בדיקה, אך בשעת הווסת עצמה צריכה בדיקה, אך הש"ך דחה דבריו, וכן היא דעת המחבר להדיא.</w:t>
      </w:r>
    </w:p>
  </w:footnote>
  <w:footnote w:id="40">
    <w:p w:rsidR="005953C5" w:rsidRDefault="005953C5" w:rsidP="00620060">
      <w:pPr>
        <w:pStyle w:val="a3"/>
        <w:rPr>
          <w:rtl/>
        </w:rPr>
      </w:pPr>
      <w:r w:rsidRPr="00D94D10">
        <w:rPr>
          <w:rStyle w:val="a5"/>
          <w:sz w:val="18"/>
          <w:szCs w:val="18"/>
        </w:rPr>
        <w:footnoteRef/>
      </w:r>
      <w:r w:rsidRPr="00D94D10">
        <w:rPr>
          <w:sz w:val="18"/>
          <w:szCs w:val="18"/>
          <w:rtl/>
        </w:rPr>
        <w:t xml:space="preserve"> </w:t>
      </w:r>
      <w:r w:rsidRPr="00D94D10">
        <w:rPr>
          <w:rFonts w:hint="cs"/>
          <w:sz w:val="18"/>
          <w:szCs w:val="18"/>
          <w:rtl/>
        </w:rPr>
        <w:t xml:space="preserve">ויש לדעת שיש חילוק בין חרדה לבין בהלה, כפי </w:t>
      </w:r>
      <w:r w:rsidRPr="009C4A45">
        <w:rPr>
          <w:rFonts w:hint="cs"/>
          <w:b/>
          <w:bCs/>
          <w:sz w:val="18"/>
          <w:szCs w:val="18"/>
          <w:rtl/>
        </w:rPr>
        <w:t>שהגמרא</w:t>
      </w:r>
      <w:r w:rsidRPr="00D94D10">
        <w:rPr>
          <w:rFonts w:hint="cs"/>
          <w:sz w:val="18"/>
          <w:szCs w:val="18"/>
          <w:rtl/>
        </w:rPr>
        <w:t xml:space="preserve"> עצמה מחלקת לקמן (עא:) </w:t>
      </w:r>
      <w:r w:rsidRPr="008C561D">
        <w:rPr>
          <w:rFonts w:hint="cs"/>
          <w:sz w:val="18"/>
          <w:szCs w:val="18"/>
          <w:rtl/>
        </w:rPr>
        <w:t>"</w:t>
      </w:r>
      <w:r w:rsidRPr="008C561D">
        <w:rPr>
          <w:rFonts w:cs="Arial" w:hint="cs"/>
          <w:sz w:val="18"/>
          <w:szCs w:val="18"/>
          <w:rtl/>
        </w:rPr>
        <w:t>בית</w:t>
      </w:r>
      <w:r w:rsidRPr="008C561D">
        <w:rPr>
          <w:rFonts w:cs="Arial"/>
          <w:sz w:val="18"/>
          <w:szCs w:val="18"/>
          <w:rtl/>
        </w:rPr>
        <w:t xml:space="preserve"> </w:t>
      </w:r>
      <w:r w:rsidRPr="008C561D">
        <w:rPr>
          <w:rFonts w:cs="Arial" w:hint="cs"/>
          <w:sz w:val="18"/>
          <w:szCs w:val="18"/>
          <w:rtl/>
        </w:rPr>
        <w:t>שמאי</w:t>
      </w:r>
      <w:r w:rsidRPr="008C561D">
        <w:rPr>
          <w:rFonts w:cs="Arial"/>
          <w:sz w:val="18"/>
          <w:szCs w:val="18"/>
          <w:rtl/>
        </w:rPr>
        <w:t xml:space="preserve"> </w:t>
      </w:r>
      <w:r w:rsidRPr="008C561D">
        <w:rPr>
          <w:rFonts w:cs="Arial" w:hint="cs"/>
          <w:sz w:val="18"/>
          <w:szCs w:val="18"/>
          <w:rtl/>
        </w:rPr>
        <w:t>אומרים</w:t>
      </w:r>
      <w:r w:rsidRPr="008C561D">
        <w:rPr>
          <w:rFonts w:cs="Arial"/>
          <w:sz w:val="18"/>
          <w:szCs w:val="18"/>
          <w:rtl/>
        </w:rPr>
        <w:t xml:space="preserve">: </w:t>
      </w:r>
      <w:r w:rsidRPr="008C561D">
        <w:rPr>
          <w:rFonts w:cs="Arial" w:hint="cs"/>
          <w:sz w:val="18"/>
          <w:szCs w:val="18"/>
          <w:rtl/>
        </w:rPr>
        <w:t>כל</w:t>
      </w:r>
      <w:r w:rsidRPr="008C561D">
        <w:rPr>
          <w:rFonts w:cs="Arial"/>
          <w:sz w:val="18"/>
          <w:szCs w:val="18"/>
          <w:rtl/>
        </w:rPr>
        <w:t xml:space="preserve"> </w:t>
      </w:r>
      <w:r w:rsidRPr="008C561D">
        <w:rPr>
          <w:rFonts w:cs="Arial" w:hint="cs"/>
          <w:sz w:val="18"/>
          <w:szCs w:val="18"/>
          <w:rtl/>
        </w:rPr>
        <w:t>הנשים</w:t>
      </w:r>
      <w:r w:rsidRPr="008C561D">
        <w:rPr>
          <w:rFonts w:cs="Arial"/>
          <w:sz w:val="18"/>
          <w:szCs w:val="18"/>
          <w:rtl/>
        </w:rPr>
        <w:t xml:space="preserve"> </w:t>
      </w:r>
      <w:r w:rsidRPr="008C561D">
        <w:rPr>
          <w:rFonts w:cs="Arial" w:hint="cs"/>
          <w:sz w:val="18"/>
          <w:szCs w:val="18"/>
          <w:rtl/>
        </w:rPr>
        <w:t>מתות</w:t>
      </w:r>
      <w:r w:rsidRPr="008C561D">
        <w:rPr>
          <w:rFonts w:cs="Arial"/>
          <w:sz w:val="18"/>
          <w:szCs w:val="18"/>
          <w:rtl/>
        </w:rPr>
        <w:t xml:space="preserve"> </w:t>
      </w:r>
      <w:r w:rsidRPr="008C561D">
        <w:rPr>
          <w:rFonts w:cs="Arial" w:hint="cs"/>
          <w:sz w:val="18"/>
          <w:szCs w:val="18"/>
          <w:rtl/>
        </w:rPr>
        <w:t xml:space="preserve">נדות </w:t>
      </w:r>
      <w:r w:rsidRPr="008C561D">
        <w:rPr>
          <w:rFonts w:cs="Arial" w:hint="cs"/>
          <w:sz w:val="16"/>
          <w:szCs w:val="16"/>
          <w:rtl/>
        </w:rPr>
        <w:t>(כלומר מתייחסים אליה</w:t>
      </w:r>
      <w:r>
        <w:rPr>
          <w:rFonts w:cs="Arial" w:hint="cs"/>
          <w:sz w:val="16"/>
          <w:szCs w:val="16"/>
          <w:rtl/>
        </w:rPr>
        <w:t>ן</w:t>
      </w:r>
      <w:r w:rsidRPr="008C561D">
        <w:rPr>
          <w:rFonts w:cs="Arial" w:hint="cs"/>
          <w:sz w:val="16"/>
          <w:szCs w:val="16"/>
          <w:rtl/>
        </w:rPr>
        <w:t xml:space="preserve"> במיתתן כאילו מתו כשהן נידות)</w:t>
      </w:r>
      <w:r w:rsidRPr="008C561D">
        <w:rPr>
          <w:rFonts w:cs="Arial" w:hint="cs"/>
          <w:sz w:val="18"/>
          <w:szCs w:val="18"/>
          <w:rtl/>
        </w:rPr>
        <w:t>... מאי</w:t>
      </w:r>
      <w:r w:rsidRPr="008C561D">
        <w:rPr>
          <w:rFonts w:cs="Arial"/>
          <w:sz w:val="18"/>
          <w:szCs w:val="18"/>
          <w:rtl/>
        </w:rPr>
        <w:t xml:space="preserve"> </w:t>
      </w:r>
      <w:r w:rsidRPr="008C561D">
        <w:rPr>
          <w:rFonts w:cs="Arial" w:hint="cs"/>
          <w:sz w:val="18"/>
          <w:szCs w:val="18"/>
          <w:rtl/>
        </w:rPr>
        <w:t>טעמייהו</w:t>
      </w:r>
      <w:r w:rsidRPr="008C561D">
        <w:rPr>
          <w:rFonts w:cs="Arial"/>
          <w:sz w:val="18"/>
          <w:szCs w:val="18"/>
          <w:rtl/>
        </w:rPr>
        <w:t xml:space="preserve"> </w:t>
      </w:r>
      <w:r w:rsidRPr="008C561D">
        <w:rPr>
          <w:rFonts w:cs="Arial" w:hint="cs"/>
          <w:sz w:val="18"/>
          <w:szCs w:val="18"/>
          <w:rtl/>
        </w:rPr>
        <w:t>דבית</w:t>
      </w:r>
      <w:r w:rsidRPr="008C561D">
        <w:rPr>
          <w:rFonts w:cs="Arial"/>
          <w:sz w:val="18"/>
          <w:szCs w:val="18"/>
          <w:rtl/>
        </w:rPr>
        <w:t xml:space="preserve"> </w:t>
      </w:r>
      <w:r w:rsidRPr="008C561D">
        <w:rPr>
          <w:rFonts w:cs="Arial" w:hint="cs"/>
          <w:sz w:val="18"/>
          <w:szCs w:val="18"/>
          <w:rtl/>
        </w:rPr>
        <w:t>שמאי</w:t>
      </w:r>
      <w:r w:rsidRPr="008C561D">
        <w:rPr>
          <w:rFonts w:cs="Arial"/>
          <w:sz w:val="18"/>
          <w:szCs w:val="18"/>
          <w:rtl/>
        </w:rPr>
        <w:t xml:space="preserve">? </w:t>
      </w:r>
      <w:r w:rsidRPr="008C561D">
        <w:rPr>
          <w:rFonts w:cs="Arial" w:hint="cs"/>
          <w:sz w:val="18"/>
          <w:szCs w:val="18"/>
          <w:rtl/>
        </w:rPr>
        <w:t>אי</w:t>
      </w:r>
      <w:r w:rsidRPr="008C561D">
        <w:rPr>
          <w:rFonts w:cs="Arial"/>
          <w:sz w:val="18"/>
          <w:szCs w:val="18"/>
          <w:rtl/>
        </w:rPr>
        <w:t xml:space="preserve"> </w:t>
      </w:r>
      <w:r w:rsidRPr="008C561D">
        <w:rPr>
          <w:rFonts w:cs="Arial" w:hint="cs"/>
          <w:sz w:val="18"/>
          <w:szCs w:val="18"/>
          <w:rtl/>
        </w:rPr>
        <w:t>נימא</w:t>
      </w:r>
      <w:r w:rsidRPr="008C561D">
        <w:rPr>
          <w:rFonts w:cs="Arial"/>
          <w:sz w:val="18"/>
          <w:szCs w:val="18"/>
          <w:rtl/>
        </w:rPr>
        <w:t xml:space="preserve"> </w:t>
      </w:r>
      <w:r w:rsidRPr="008C561D">
        <w:rPr>
          <w:rFonts w:cs="Arial" w:hint="cs"/>
          <w:sz w:val="18"/>
          <w:szCs w:val="18"/>
          <w:rtl/>
        </w:rPr>
        <w:t>משום</w:t>
      </w:r>
      <w:r w:rsidRPr="008C561D">
        <w:rPr>
          <w:rFonts w:cs="Arial"/>
          <w:sz w:val="18"/>
          <w:szCs w:val="18"/>
          <w:rtl/>
        </w:rPr>
        <w:t xml:space="preserve"> </w:t>
      </w:r>
      <w:r w:rsidRPr="008C561D">
        <w:rPr>
          <w:rFonts w:cs="Arial" w:hint="cs"/>
          <w:sz w:val="18"/>
          <w:szCs w:val="18"/>
          <w:rtl/>
        </w:rPr>
        <w:t>דכתיב</w:t>
      </w:r>
      <w:r w:rsidRPr="008C561D">
        <w:rPr>
          <w:rFonts w:cs="Arial"/>
          <w:sz w:val="18"/>
          <w:szCs w:val="18"/>
          <w:rtl/>
        </w:rPr>
        <w:t xml:space="preserve"> </w:t>
      </w:r>
      <w:r w:rsidRPr="008C561D">
        <w:rPr>
          <w:rFonts w:cs="Arial" w:hint="cs"/>
          <w:sz w:val="18"/>
          <w:szCs w:val="18"/>
          <w:rtl/>
        </w:rPr>
        <w:t>ותתחלחל</w:t>
      </w:r>
      <w:r w:rsidRPr="008C561D">
        <w:rPr>
          <w:rFonts w:cs="Arial"/>
          <w:sz w:val="18"/>
          <w:szCs w:val="18"/>
          <w:rtl/>
        </w:rPr>
        <w:t xml:space="preserve"> </w:t>
      </w:r>
      <w:r w:rsidRPr="008C561D">
        <w:rPr>
          <w:rFonts w:cs="Arial" w:hint="cs"/>
          <w:sz w:val="18"/>
          <w:szCs w:val="18"/>
          <w:rtl/>
        </w:rPr>
        <w:t>המלכה</w:t>
      </w:r>
      <w:r w:rsidRPr="008C561D">
        <w:rPr>
          <w:rFonts w:cs="Arial"/>
          <w:sz w:val="18"/>
          <w:szCs w:val="18"/>
          <w:rtl/>
        </w:rPr>
        <w:t xml:space="preserve"> </w:t>
      </w:r>
      <w:r w:rsidRPr="008C561D">
        <w:rPr>
          <w:rFonts w:cs="Arial" w:hint="cs"/>
          <w:sz w:val="18"/>
          <w:szCs w:val="18"/>
          <w:rtl/>
        </w:rPr>
        <w:t>ואמר</w:t>
      </w:r>
      <w:r w:rsidRPr="008C561D">
        <w:rPr>
          <w:rFonts w:cs="Arial"/>
          <w:sz w:val="18"/>
          <w:szCs w:val="18"/>
          <w:rtl/>
        </w:rPr>
        <w:t xml:space="preserve"> </w:t>
      </w:r>
      <w:r w:rsidRPr="008C561D">
        <w:rPr>
          <w:rFonts w:cs="Arial" w:hint="cs"/>
          <w:sz w:val="18"/>
          <w:szCs w:val="18"/>
          <w:rtl/>
        </w:rPr>
        <w:t>רב</w:t>
      </w:r>
      <w:r w:rsidRPr="008C561D">
        <w:rPr>
          <w:rFonts w:cs="Arial"/>
          <w:sz w:val="18"/>
          <w:szCs w:val="18"/>
          <w:rtl/>
        </w:rPr>
        <w:t xml:space="preserve">: </w:t>
      </w:r>
      <w:r w:rsidRPr="008C561D">
        <w:rPr>
          <w:rFonts w:cs="Arial" w:hint="cs"/>
          <w:sz w:val="18"/>
          <w:szCs w:val="18"/>
          <w:rtl/>
        </w:rPr>
        <w:t>מלמד</w:t>
      </w:r>
      <w:r w:rsidRPr="008C561D">
        <w:rPr>
          <w:rFonts w:cs="Arial"/>
          <w:sz w:val="18"/>
          <w:szCs w:val="18"/>
          <w:rtl/>
        </w:rPr>
        <w:t xml:space="preserve"> </w:t>
      </w:r>
      <w:r w:rsidRPr="008C561D">
        <w:rPr>
          <w:rFonts w:cs="Arial" w:hint="cs"/>
          <w:sz w:val="18"/>
          <w:szCs w:val="18"/>
          <w:rtl/>
        </w:rPr>
        <w:t>שפרסה</w:t>
      </w:r>
      <w:r w:rsidRPr="008C561D">
        <w:rPr>
          <w:rFonts w:cs="Arial"/>
          <w:sz w:val="18"/>
          <w:szCs w:val="18"/>
          <w:rtl/>
        </w:rPr>
        <w:t xml:space="preserve"> </w:t>
      </w:r>
      <w:r w:rsidRPr="008C561D">
        <w:rPr>
          <w:rFonts w:cs="Arial" w:hint="cs"/>
          <w:sz w:val="18"/>
          <w:szCs w:val="18"/>
          <w:rtl/>
        </w:rPr>
        <w:t>נדה</w:t>
      </w:r>
      <w:r w:rsidRPr="008C561D">
        <w:rPr>
          <w:rFonts w:cs="Arial"/>
          <w:sz w:val="18"/>
          <w:szCs w:val="18"/>
          <w:rtl/>
        </w:rPr>
        <w:t xml:space="preserve">, </w:t>
      </w:r>
      <w:r w:rsidRPr="008C561D">
        <w:rPr>
          <w:rFonts w:cs="Arial" w:hint="cs"/>
          <w:sz w:val="18"/>
          <w:szCs w:val="18"/>
          <w:rtl/>
        </w:rPr>
        <w:t>הכא</w:t>
      </w:r>
      <w:r w:rsidRPr="008C561D">
        <w:rPr>
          <w:rFonts w:cs="Arial"/>
          <w:sz w:val="18"/>
          <w:szCs w:val="18"/>
          <w:rtl/>
        </w:rPr>
        <w:t xml:space="preserve"> </w:t>
      </w:r>
      <w:r w:rsidRPr="008C561D">
        <w:rPr>
          <w:rFonts w:cs="Arial" w:hint="cs"/>
          <w:sz w:val="18"/>
          <w:szCs w:val="18"/>
          <w:rtl/>
        </w:rPr>
        <w:t>נמי</w:t>
      </w:r>
      <w:r w:rsidRPr="008C561D">
        <w:rPr>
          <w:rFonts w:cs="Arial"/>
          <w:sz w:val="18"/>
          <w:szCs w:val="18"/>
          <w:rtl/>
        </w:rPr>
        <w:t xml:space="preserve"> - </w:t>
      </w:r>
      <w:r w:rsidRPr="008C561D">
        <w:rPr>
          <w:rFonts w:cs="Arial" w:hint="cs"/>
          <w:sz w:val="18"/>
          <w:szCs w:val="18"/>
          <w:rtl/>
        </w:rPr>
        <w:t>אגב</w:t>
      </w:r>
      <w:r w:rsidRPr="008C561D">
        <w:rPr>
          <w:rFonts w:cs="Arial"/>
          <w:sz w:val="18"/>
          <w:szCs w:val="18"/>
          <w:rtl/>
        </w:rPr>
        <w:t xml:space="preserve"> </w:t>
      </w:r>
      <w:r w:rsidRPr="008C561D">
        <w:rPr>
          <w:rFonts w:cs="Arial" w:hint="cs"/>
          <w:sz w:val="18"/>
          <w:szCs w:val="18"/>
          <w:rtl/>
        </w:rPr>
        <w:t>ביעתותא</w:t>
      </w:r>
      <w:r w:rsidRPr="008C561D">
        <w:rPr>
          <w:rFonts w:cs="Arial"/>
          <w:sz w:val="18"/>
          <w:szCs w:val="18"/>
          <w:rtl/>
        </w:rPr>
        <w:t xml:space="preserve"> </w:t>
      </w:r>
      <w:r w:rsidRPr="008C561D">
        <w:rPr>
          <w:rFonts w:cs="Arial" w:hint="cs"/>
          <w:sz w:val="18"/>
          <w:szCs w:val="18"/>
          <w:rtl/>
        </w:rPr>
        <w:t>דמלאכא</w:t>
      </w:r>
      <w:r w:rsidRPr="008C561D">
        <w:rPr>
          <w:rFonts w:cs="Arial"/>
          <w:sz w:val="18"/>
          <w:szCs w:val="18"/>
          <w:rtl/>
        </w:rPr>
        <w:t xml:space="preserve"> </w:t>
      </w:r>
      <w:r w:rsidRPr="008C561D">
        <w:rPr>
          <w:rFonts w:cs="Arial" w:hint="cs"/>
          <w:sz w:val="18"/>
          <w:szCs w:val="18"/>
          <w:rtl/>
        </w:rPr>
        <w:t>דמותא</w:t>
      </w:r>
      <w:r w:rsidRPr="008C561D">
        <w:rPr>
          <w:rFonts w:cs="Arial"/>
          <w:sz w:val="18"/>
          <w:szCs w:val="18"/>
          <w:rtl/>
        </w:rPr>
        <w:t xml:space="preserve"> </w:t>
      </w:r>
      <w:r w:rsidRPr="008C561D">
        <w:rPr>
          <w:rFonts w:cs="Arial" w:hint="cs"/>
          <w:sz w:val="18"/>
          <w:szCs w:val="18"/>
          <w:rtl/>
        </w:rPr>
        <w:t>חזיא</w:t>
      </w:r>
      <w:r w:rsidRPr="008C561D">
        <w:rPr>
          <w:rFonts w:cs="Arial"/>
          <w:sz w:val="18"/>
          <w:szCs w:val="18"/>
          <w:rtl/>
        </w:rPr>
        <w:t xml:space="preserve">, </w:t>
      </w:r>
      <w:r w:rsidRPr="008C561D">
        <w:rPr>
          <w:rFonts w:cs="Arial" w:hint="cs"/>
          <w:sz w:val="18"/>
          <w:szCs w:val="18"/>
          <w:rtl/>
        </w:rPr>
        <w:t>והאנן</w:t>
      </w:r>
      <w:r w:rsidRPr="008C561D">
        <w:rPr>
          <w:rFonts w:cs="Arial"/>
          <w:sz w:val="18"/>
          <w:szCs w:val="18"/>
          <w:rtl/>
        </w:rPr>
        <w:t xml:space="preserve"> </w:t>
      </w:r>
      <w:r w:rsidRPr="008C561D">
        <w:rPr>
          <w:rFonts w:cs="Arial" w:hint="cs"/>
          <w:sz w:val="18"/>
          <w:szCs w:val="18"/>
          <w:rtl/>
        </w:rPr>
        <w:t>תנן</w:t>
      </w:r>
      <w:r w:rsidRPr="008C561D">
        <w:rPr>
          <w:rFonts w:cs="Arial"/>
          <w:sz w:val="18"/>
          <w:szCs w:val="18"/>
          <w:rtl/>
        </w:rPr>
        <w:t xml:space="preserve">: </w:t>
      </w:r>
      <w:r w:rsidRPr="008C561D">
        <w:rPr>
          <w:rFonts w:cs="Arial" w:hint="cs"/>
          <w:sz w:val="18"/>
          <w:szCs w:val="18"/>
          <w:rtl/>
        </w:rPr>
        <w:t>שחרדה</w:t>
      </w:r>
      <w:r w:rsidRPr="008C561D">
        <w:rPr>
          <w:rFonts w:cs="Arial"/>
          <w:sz w:val="18"/>
          <w:szCs w:val="18"/>
          <w:rtl/>
        </w:rPr>
        <w:t xml:space="preserve"> </w:t>
      </w:r>
      <w:r w:rsidRPr="008C561D">
        <w:rPr>
          <w:rFonts w:cs="Arial" w:hint="cs"/>
          <w:sz w:val="18"/>
          <w:szCs w:val="18"/>
          <w:rtl/>
        </w:rPr>
        <w:t>מסלקת</w:t>
      </w:r>
      <w:r w:rsidRPr="008C561D">
        <w:rPr>
          <w:rFonts w:cs="Arial"/>
          <w:sz w:val="18"/>
          <w:szCs w:val="18"/>
          <w:rtl/>
        </w:rPr>
        <w:t xml:space="preserve"> </w:t>
      </w:r>
      <w:r w:rsidRPr="008C561D">
        <w:rPr>
          <w:rFonts w:cs="Arial" w:hint="cs"/>
          <w:sz w:val="18"/>
          <w:szCs w:val="18"/>
          <w:rtl/>
        </w:rPr>
        <w:t>את</w:t>
      </w:r>
      <w:r w:rsidRPr="008C561D">
        <w:rPr>
          <w:rFonts w:cs="Arial"/>
          <w:sz w:val="18"/>
          <w:szCs w:val="18"/>
          <w:rtl/>
        </w:rPr>
        <w:t xml:space="preserve"> </w:t>
      </w:r>
      <w:r w:rsidRPr="008C561D">
        <w:rPr>
          <w:rFonts w:cs="Arial" w:hint="cs"/>
          <w:sz w:val="18"/>
          <w:szCs w:val="18"/>
          <w:rtl/>
        </w:rPr>
        <w:t>הדמים</w:t>
      </w:r>
      <w:r w:rsidRPr="008C561D">
        <w:rPr>
          <w:rFonts w:cs="Arial"/>
          <w:sz w:val="18"/>
          <w:szCs w:val="18"/>
          <w:rtl/>
        </w:rPr>
        <w:t xml:space="preserve">! </w:t>
      </w:r>
      <w:r w:rsidRPr="008C561D">
        <w:rPr>
          <w:rFonts w:cs="Arial" w:hint="cs"/>
          <w:sz w:val="18"/>
          <w:szCs w:val="18"/>
          <w:rtl/>
        </w:rPr>
        <w:t>הא</w:t>
      </w:r>
      <w:r w:rsidRPr="008C561D">
        <w:rPr>
          <w:rFonts w:cs="Arial"/>
          <w:sz w:val="18"/>
          <w:szCs w:val="18"/>
          <w:rtl/>
        </w:rPr>
        <w:t xml:space="preserve"> </w:t>
      </w:r>
      <w:r w:rsidRPr="008C561D">
        <w:rPr>
          <w:rFonts w:cs="Arial" w:hint="cs"/>
          <w:sz w:val="18"/>
          <w:szCs w:val="18"/>
          <w:rtl/>
        </w:rPr>
        <w:t>לא</w:t>
      </w:r>
      <w:r w:rsidRPr="008C561D">
        <w:rPr>
          <w:rFonts w:cs="Arial"/>
          <w:sz w:val="18"/>
          <w:szCs w:val="18"/>
          <w:rtl/>
        </w:rPr>
        <w:t xml:space="preserve"> </w:t>
      </w:r>
      <w:r w:rsidRPr="008C561D">
        <w:rPr>
          <w:rFonts w:cs="Arial" w:hint="cs"/>
          <w:sz w:val="18"/>
          <w:szCs w:val="18"/>
          <w:rtl/>
        </w:rPr>
        <w:t>קשיא</w:t>
      </w:r>
      <w:r w:rsidRPr="008C561D">
        <w:rPr>
          <w:rFonts w:cs="Arial"/>
          <w:sz w:val="18"/>
          <w:szCs w:val="18"/>
          <w:rtl/>
        </w:rPr>
        <w:t xml:space="preserve">, </w:t>
      </w:r>
      <w:r w:rsidRPr="008C561D">
        <w:rPr>
          <w:rFonts w:cs="Arial" w:hint="cs"/>
          <w:sz w:val="18"/>
          <w:szCs w:val="18"/>
          <w:rtl/>
        </w:rPr>
        <w:t>פחדא</w:t>
      </w:r>
      <w:r w:rsidRPr="008C561D">
        <w:rPr>
          <w:rFonts w:cs="Arial"/>
          <w:sz w:val="18"/>
          <w:szCs w:val="18"/>
          <w:rtl/>
        </w:rPr>
        <w:t xml:space="preserve"> - </w:t>
      </w:r>
      <w:r w:rsidRPr="008C561D">
        <w:rPr>
          <w:rFonts w:cs="Arial" w:hint="cs"/>
          <w:sz w:val="18"/>
          <w:szCs w:val="18"/>
          <w:rtl/>
        </w:rPr>
        <w:t>צמית</w:t>
      </w:r>
      <w:r w:rsidRPr="008C561D">
        <w:rPr>
          <w:rFonts w:cs="Arial"/>
          <w:sz w:val="18"/>
          <w:szCs w:val="18"/>
          <w:rtl/>
        </w:rPr>
        <w:t xml:space="preserve">, </w:t>
      </w:r>
      <w:r w:rsidRPr="008C561D">
        <w:rPr>
          <w:rFonts w:cs="Arial" w:hint="cs"/>
          <w:sz w:val="18"/>
          <w:szCs w:val="18"/>
          <w:rtl/>
        </w:rPr>
        <w:t>ביעתותא</w:t>
      </w:r>
      <w:r w:rsidRPr="008C561D">
        <w:rPr>
          <w:rFonts w:cs="Arial"/>
          <w:sz w:val="18"/>
          <w:szCs w:val="18"/>
          <w:rtl/>
        </w:rPr>
        <w:t xml:space="preserve"> </w:t>
      </w:r>
      <w:r w:rsidRPr="004864E4">
        <w:rPr>
          <w:rFonts w:cs="Arial" w:hint="cs"/>
          <w:sz w:val="16"/>
          <w:szCs w:val="16"/>
          <w:rtl/>
        </w:rPr>
        <w:t xml:space="preserve">(בהלה) </w:t>
      </w:r>
      <w:r w:rsidRPr="008C561D">
        <w:rPr>
          <w:rFonts w:cs="Arial"/>
          <w:sz w:val="18"/>
          <w:szCs w:val="18"/>
          <w:rtl/>
        </w:rPr>
        <w:t xml:space="preserve">– </w:t>
      </w:r>
      <w:r w:rsidRPr="008C561D">
        <w:rPr>
          <w:rFonts w:cs="Arial" w:hint="cs"/>
          <w:sz w:val="18"/>
          <w:szCs w:val="18"/>
          <w:rtl/>
        </w:rPr>
        <w:t>מרפיא</w:t>
      </w:r>
      <w:r w:rsidRPr="008C561D">
        <w:rPr>
          <w:rFonts w:hint="cs"/>
          <w:sz w:val="18"/>
          <w:szCs w:val="18"/>
          <w:rtl/>
        </w:rPr>
        <w:t>".</w:t>
      </w:r>
      <w:r>
        <w:rPr>
          <w:rFonts w:hint="cs"/>
          <w:rtl/>
        </w:rPr>
        <w:t xml:space="preserve"> </w:t>
      </w:r>
      <w:r>
        <w:rPr>
          <w:rtl/>
        </w:rPr>
        <w:br/>
      </w:r>
      <w:r w:rsidRPr="009C4A45">
        <w:rPr>
          <w:rFonts w:hint="cs"/>
          <w:sz w:val="18"/>
          <w:szCs w:val="18"/>
          <w:rtl/>
        </w:rPr>
        <w:t>מגמרא זו יוצא שבהלה גורמת לאשה לראות דם, וכפי שאירע לאסתר המלכה.</w:t>
      </w:r>
    </w:p>
  </w:footnote>
  <w:footnote w:id="41">
    <w:p w:rsidR="005953C5" w:rsidRDefault="005953C5" w:rsidP="00620060">
      <w:pPr>
        <w:pStyle w:val="a3"/>
        <w:rPr>
          <w:rtl/>
        </w:rPr>
      </w:pPr>
      <w:r w:rsidRPr="0010599A">
        <w:rPr>
          <w:rStyle w:val="a5"/>
          <w:sz w:val="18"/>
          <w:szCs w:val="18"/>
        </w:rPr>
        <w:footnoteRef/>
      </w:r>
      <w:r w:rsidRPr="0010599A">
        <w:rPr>
          <w:sz w:val="18"/>
          <w:szCs w:val="18"/>
          <w:rtl/>
        </w:rPr>
        <w:t xml:space="preserve"> </w:t>
      </w:r>
      <w:r w:rsidRPr="0010599A">
        <w:rPr>
          <w:rFonts w:hint="cs"/>
          <w:sz w:val="18"/>
          <w:szCs w:val="18"/>
          <w:rtl/>
        </w:rPr>
        <w:t xml:space="preserve">ואמנם, </w:t>
      </w:r>
      <w:r w:rsidRPr="002F25A8">
        <w:rPr>
          <w:rFonts w:hint="cs"/>
          <w:b/>
          <w:bCs/>
          <w:sz w:val="18"/>
          <w:szCs w:val="18"/>
          <w:rtl/>
        </w:rPr>
        <w:t>הבית יוסף</w:t>
      </w:r>
      <w:r w:rsidRPr="0010599A">
        <w:rPr>
          <w:rFonts w:hint="cs"/>
          <w:sz w:val="18"/>
          <w:szCs w:val="18"/>
          <w:rtl/>
        </w:rPr>
        <w:t xml:space="preserve"> מקשה על תירוץ זה </w:t>
      </w:r>
      <w:r w:rsidRPr="0010599A">
        <w:rPr>
          <w:sz w:val="18"/>
          <w:szCs w:val="18"/>
          <w:rtl/>
        </w:rPr>
        <w:t>–</w:t>
      </w:r>
      <w:r w:rsidRPr="0010599A">
        <w:rPr>
          <w:rFonts w:hint="cs"/>
          <w:sz w:val="18"/>
          <w:szCs w:val="18"/>
          <w:rtl/>
        </w:rPr>
        <w:t xml:space="preserve"> הרי בגמרא למדו דין מעוברת מדין חרדה, ואם כן במעוברת לכתחילה בעיא בדיקה כמו בחרדה! </w:t>
      </w:r>
      <w:r w:rsidRPr="0010599A">
        <w:rPr>
          <w:sz w:val="18"/>
          <w:szCs w:val="18"/>
          <w:rtl/>
        </w:rPr>
        <w:br/>
      </w:r>
      <w:r w:rsidRPr="002F25A8">
        <w:rPr>
          <w:rFonts w:hint="cs"/>
          <w:sz w:val="18"/>
          <w:szCs w:val="18"/>
          <w:u w:val="single"/>
          <w:rtl/>
        </w:rPr>
        <w:t>ומיישב</w:t>
      </w:r>
      <w:r w:rsidRPr="0010599A">
        <w:rPr>
          <w:rFonts w:hint="cs"/>
          <w:sz w:val="18"/>
          <w:szCs w:val="18"/>
          <w:rtl/>
        </w:rPr>
        <w:t xml:space="preserve"> </w:t>
      </w:r>
      <w:r w:rsidRPr="0010599A">
        <w:rPr>
          <w:sz w:val="18"/>
          <w:szCs w:val="18"/>
          <w:rtl/>
        </w:rPr>
        <w:t>–</w:t>
      </w:r>
      <w:r w:rsidRPr="0010599A">
        <w:rPr>
          <w:rFonts w:hint="cs"/>
          <w:sz w:val="18"/>
          <w:szCs w:val="18"/>
          <w:rtl/>
        </w:rPr>
        <w:t xml:space="preserve"> הסוגייה אזלא אליבא דמ"ד ווסתות דאורייתא, אך למ"ד ווסתות דרבנן אפילו לכתחילה אין למעוברת לחשוש, ודין זה פשוט ולא איצטריך למיבעי. </w:t>
      </w:r>
      <w:r>
        <w:rPr>
          <w:sz w:val="18"/>
          <w:szCs w:val="18"/>
          <w:rtl/>
        </w:rPr>
        <w:br/>
      </w:r>
      <w:r w:rsidRPr="0010599A">
        <w:rPr>
          <w:rFonts w:hint="cs"/>
          <w:sz w:val="18"/>
          <w:szCs w:val="18"/>
          <w:rtl/>
        </w:rPr>
        <w:t xml:space="preserve">אך לפי"ז יקשה לאידך גיסא </w:t>
      </w:r>
      <w:r w:rsidRPr="0010599A">
        <w:rPr>
          <w:sz w:val="18"/>
          <w:szCs w:val="18"/>
          <w:rtl/>
        </w:rPr>
        <w:t>–</w:t>
      </w:r>
      <w:r w:rsidRPr="0010599A">
        <w:rPr>
          <w:rFonts w:hint="cs"/>
          <w:sz w:val="18"/>
          <w:szCs w:val="18"/>
          <w:rtl/>
        </w:rPr>
        <w:t xml:space="preserve"> גם בחרדה אין צריך לבדוק, שהרי התלמוד משווה דינן להדדי!</w:t>
      </w:r>
      <w:r>
        <w:rPr>
          <w:rtl/>
        </w:rPr>
        <w:br/>
      </w:r>
      <w:r w:rsidRPr="002F25A8">
        <w:rPr>
          <w:rFonts w:hint="cs"/>
          <w:sz w:val="18"/>
          <w:szCs w:val="18"/>
          <w:u w:val="single"/>
          <w:rtl/>
        </w:rPr>
        <w:t>ומיישב</w:t>
      </w:r>
      <w:r w:rsidRPr="002F25A8">
        <w:rPr>
          <w:rFonts w:hint="cs"/>
          <w:sz w:val="18"/>
          <w:szCs w:val="18"/>
          <w:rtl/>
        </w:rPr>
        <w:t xml:space="preserve"> </w:t>
      </w:r>
      <w:r w:rsidRPr="002F25A8">
        <w:rPr>
          <w:sz w:val="18"/>
          <w:szCs w:val="18"/>
          <w:rtl/>
        </w:rPr>
        <w:t>–</w:t>
      </w:r>
      <w:r w:rsidRPr="002F25A8">
        <w:rPr>
          <w:rFonts w:hint="cs"/>
          <w:sz w:val="18"/>
          <w:szCs w:val="18"/>
          <w:rtl/>
        </w:rPr>
        <w:t xml:space="preserve"> אע"פ שהתלמוד משווה אותם אליבא דמ"ד ווסתות דאורייתא לעניין דיעבד, מכל מקום לעניין לכתחילה אליבא דמ"ד ווסתות דרבנן אין דינם שווה, אלא מעוברת מסולקת דמים לגמרי, ואילו בחרדה אין הדבר ברור כל כך, ולכן סגי בכך שמקלים בה לעניין דיעבד כשלא בדקה</w:t>
      </w:r>
      <w:r w:rsidRPr="0075481C">
        <w:rPr>
          <w:rFonts w:hint="cs"/>
          <w:sz w:val="18"/>
          <w:szCs w:val="18"/>
          <w:rtl/>
        </w:rPr>
        <w:t>.</w:t>
      </w:r>
      <w:r w:rsidRPr="0075481C">
        <w:rPr>
          <w:rFonts w:hint="cs"/>
          <w:rtl/>
        </w:rPr>
        <w:t xml:space="preserve"> </w:t>
      </w:r>
      <w:r w:rsidRPr="00864907">
        <w:rPr>
          <w:rFonts w:hint="cs"/>
          <w:sz w:val="16"/>
          <w:szCs w:val="16"/>
          <w:rtl/>
        </w:rPr>
        <w:t>[למעשה, הבית יוסף חוזר בסוף דבריו לחילוק שחילק בריש דבריו]</w:t>
      </w:r>
      <w:r w:rsidRPr="0075481C">
        <w:rPr>
          <w:rFonts w:hint="cs"/>
          <w:sz w:val="18"/>
          <w:szCs w:val="18"/>
          <w:rtl/>
        </w:rPr>
        <w:t>.</w:t>
      </w:r>
    </w:p>
  </w:footnote>
  <w:footnote w:id="42">
    <w:p w:rsidR="005953C5" w:rsidRDefault="005953C5" w:rsidP="00620060">
      <w:pPr>
        <w:pStyle w:val="a3"/>
        <w:rPr>
          <w:rtl/>
        </w:rPr>
      </w:pPr>
      <w:r w:rsidRPr="00EA4108">
        <w:rPr>
          <w:rStyle w:val="a5"/>
          <w:sz w:val="18"/>
          <w:szCs w:val="18"/>
        </w:rPr>
        <w:footnoteRef/>
      </w:r>
      <w:r>
        <w:rPr>
          <w:rFonts w:hint="cs"/>
          <w:sz w:val="18"/>
          <w:szCs w:val="18"/>
          <w:rtl/>
        </w:rPr>
        <w:t xml:space="preserve"> </w:t>
      </w:r>
      <w:r w:rsidRPr="00082BFE">
        <w:rPr>
          <w:rFonts w:hint="cs"/>
          <w:sz w:val="18"/>
          <w:szCs w:val="18"/>
          <w:u w:val="single"/>
          <w:rtl/>
        </w:rPr>
        <w:t>הרחבה בשיטת הט"ז:</w:t>
      </w:r>
      <w:r w:rsidRPr="00EA4108">
        <w:rPr>
          <w:sz w:val="18"/>
          <w:szCs w:val="18"/>
          <w:rtl/>
        </w:rPr>
        <w:t xml:space="preserve"> </w:t>
      </w:r>
      <w:r>
        <w:rPr>
          <w:rFonts w:hint="cs"/>
          <w:sz w:val="18"/>
          <w:szCs w:val="18"/>
          <w:rtl/>
        </w:rPr>
        <w:br/>
        <w:t xml:space="preserve">א. </w:t>
      </w:r>
      <w:r w:rsidRPr="00EA4108">
        <w:rPr>
          <w:rFonts w:hint="cs"/>
          <w:sz w:val="18"/>
          <w:szCs w:val="18"/>
          <w:rtl/>
        </w:rPr>
        <w:t>לפ</w:t>
      </w:r>
      <w:r>
        <w:rPr>
          <w:rFonts w:hint="cs"/>
          <w:sz w:val="18"/>
          <w:szCs w:val="18"/>
          <w:rtl/>
        </w:rPr>
        <w:t xml:space="preserve">י הסבר זה, </w:t>
      </w:r>
      <w:r w:rsidRPr="009C4A45">
        <w:rPr>
          <w:rFonts w:hint="cs"/>
          <w:b/>
          <w:bCs/>
          <w:sz w:val="18"/>
          <w:szCs w:val="18"/>
          <w:rtl/>
        </w:rPr>
        <w:t>הגמרא</w:t>
      </w:r>
      <w:r w:rsidRPr="00EA4108">
        <w:rPr>
          <w:rFonts w:hint="cs"/>
          <w:sz w:val="18"/>
          <w:szCs w:val="18"/>
          <w:rtl/>
        </w:rPr>
        <w:t xml:space="preserve"> משווה בין אשה שהיתה נתונה בחרדה בשעת ווסתה ועבר זמן זה, ששוב אינה רואה אלא היא מסולקת דמים, לבין אשה מעוברת. ולעניין זה דינן שווה אף לכתחילה, דהיינו שמעוברת אינה צריכה בדיקה כלל, ואף אשה שהיתה בחרדה במשך זמן הווסת אי</w:t>
      </w:r>
      <w:r>
        <w:rPr>
          <w:rFonts w:hint="cs"/>
          <w:sz w:val="18"/>
          <w:szCs w:val="18"/>
          <w:rtl/>
        </w:rPr>
        <w:t>נ</w:t>
      </w:r>
      <w:r w:rsidRPr="00EA4108">
        <w:rPr>
          <w:rFonts w:hint="cs"/>
          <w:sz w:val="18"/>
          <w:szCs w:val="18"/>
          <w:rtl/>
        </w:rPr>
        <w:t>ה צריכה בדיקה לכתחילה לאחר מכן.</w:t>
      </w:r>
      <w:r>
        <w:rPr>
          <w:rtl/>
        </w:rPr>
        <w:br/>
      </w:r>
      <w:r w:rsidRPr="00082BFE">
        <w:rPr>
          <w:rFonts w:hint="cs"/>
          <w:sz w:val="18"/>
          <w:szCs w:val="18"/>
          <w:rtl/>
        </w:rPr>
        <w:t xml:space="preserve">ב. נראה שההסבר של </w:t>
      </w:r>
      <w:r w:rsidRPr="009C4A45">
        <w:rPr>
          <w:rFonts w:hint="cs"/>
          <w:b/>
          <w:bCs/>
          <w:sz w:val="18"/>
          <w:szCs w:val="18"/>
          <w:rtl/>
        </w:rPr>
        <w:t>הט"ז</w:t>
      </w:r>
      <w:r w:rsidRPr="00082BFE">
        <w:rPr>
          <w:rFonts w:hint="cs"/>
          <w:sz w:val="18"/>
          <w:szCs w:val="18"/>
          <w:rtl/>
        </w:rPr>
        <w:t xml:space="preserve"> אינו מסתדר היטב עם לשון </w:t>
      </w:r>
      <w:r w:rsidRPr="009C4A45">
        <w:rPr>
          <w:rFonts w:hint="cs"/>
          <w:b/>
          <w:bCs/>
          <w:sz w:val="18"/>
          <w:szCs w:val="18"/>
          <w:rtl/>
        </w:rPr>
        <w:t>המחבר והרמ"א</w:t>
      </w:r>
      <w:r w:rsidRPr="00082BFE">
        <w:rPr>
          <w:rFonts w:hint="cs"/>
          <w:sz w:val="18"/>
          <w:szCs w:val="18"/>
          <w:rtl/>
        </w:rPr>
        <w:t xml:space="preserve">. </w:t>
      </w:r>
      <w:r>
        <w:rPr>
          <w:sz w:val="18"/>
          <w:szCs w:val="18"/>
          <w:rtl/>
        </w:rPr>
        <w:br/>
      </w:r>
      <w:r w:rsidRPr="00082BFE">
        <w:rPr>
          <w:rFonts w:hint="cs"/>
          <w:sz w:val="18"/>
          <w:szCs w:val="18"/>
          <w:rtl/>
        </w:rPr>
        <w:t xml:space="preserve">כלומר, משמע </w:t>
      </w:r>
      <w:r w:rsidRPr="009C4A45">
        <w:rPr>
          <w:rFonts w:hint="cs"/>
          <w:b/>
          <w:bCs/>
          <w:sz w:val="18"/>
          <w:szCs w:val="18"/>
          <w:rtl/>
        </w:rPr>
        <w:t>שהמחבר והרמ"א</w:t>
      </w:r>
      <w:r w:rsidRPr="00082BFE">
        <w:rPr>
          <w:rFonts w:hint="cs"/>
          <w:sz w:val="18"/>
          <w:szCs w:val="18"/>
          <w:rtl/>
        </w:rPr>
        <w:t xml:space="preserve"> נחלקו האם אשה הנתונה בחרדה צריכה לבדוק או שהיא פטורה מבדיקה זו, אך לדעת </w:t>
      </w:r>
      <w:r w:rsidRPr="009C4A45">
        <w:rPr>
          <w:rFonts w:hint="cs"/>
          <w:b/>
          <w:bCs/>
          <w:sz w:val="18"/>
          <w:szCs w:val="18"/>
          <w:rtl/>
        </w:rPr>
        <w:t>הט"ז</w:t>
      </w:r>
      <w:r w:rsidRPr="00082BFE">
        <w:rPr>
          <w:rFonts w:hint="cs"/>
          <w:sz w:val="18"/>
          <w:szCs w:val="18"/>
          <w:rtl/>
        </w:rPr>
        <w:t xml:space="preserve"> אין כלל מחלוקת בדין זה ואף </w:t>
      </w:r>
      <w:r w:rsidRPr="009C4A45">
        <w:rPr>
          <w:rFonts w:hint="cs"/>
          <w:b/>
          <w:bCs/>
          <w:sz w:val="18"/>
          <w:szCs w:val="18"/>
          <w:rtl/>
        </w:rPr>
        <w:t>הרמ"א</w:t>
      </w:r>
      <w:r w:rsidRPr="00082BFE">
        <w:rPr>
          <w:rFonts w:hint="cs"/>
          <w:sz w:val="18"/>
          <w:szCs w:val="18"/>
          <w:rtl/>
        </w:rPr>
        <w:t xml:space="preserve"> מודה שאם אינה משמשת עם בעלה ומצויה בחרדה אינה צריכה בדיקה.</w:t>
      </w:r>
      <w:r w:rsidRPr="00082BFE">
        <w:rPr>
          <w:sz w:val="18"/>
          <w:szCs w:val="18"/>
          <w:rtl/>
        </w:rPr>
        <w:br/>
      </w:r>
      <w:r w:rsidRPr="00082BFE">
        <w:rPr>
          <w:rFonts w:hint="cs"/>
          <w:sz w:val="18"/>
          <w:szCs w:val="18"/>
          <w:rtl/>
        </w:rPr>
        <w:t xml:space="preserve">אמנם, לגבי היתר תשמיש לאשה שהגיע ווסתה ומצויה בחרדה משמע שפליגי לפי הסבר </w:t>
      </w:r>
      <w:r w:rsidRPr="009C4A45">
        <w:rPr>
          <w:rFonts w:hint="cs"/>
          <w:b/>
          <w:bCs/>
          <w:sz w:val="18"/>
          <w:szCs w:val="18"/>
          <w:rtl/>
        </w:rPr>
        <w:t>הט"ז</w:t>
      </w:r>
      <w:r w:rsidRPr="00082BFE">
        <w:rPr>
          <w:rFonts w:hint="cs"/>
          <w:sz w:val="18"/>
          <w:szCs w:val="18"/>
          <w:rtl/>
        </w:rPr>
        <w:t xml:space="preserve">, לדעת </w:t>
      </w:r>
      <w:r w:rsidRPr="009C4A45">
        <w:rPr>
          <w:rFonts w:hint="cs"/>
          <w:b/>
          <w:bCs/>
          <w:sz w:val="18"/>
          <w:szCs w:val="18"/>
          <w:rtl/>
        </w:rPr>
        <w:t>המחבר</w:t>
      </w:r>
      <w:r w:rsidRPr="00082BFE">
        <w:rPr>
          <w:rFonts w:hint="cs"/>
          <w:sz w:val="18"/>
          <w:szCs w:val="18"/>
          <w:rtl/>
        </w:rPr>
        <w:t xml:space="preserve"> מותר לשמש </w:t>
      </w:r>
      <w:r w:rsidRPr="00082BFE">
        <w:rPr>
          <w:rFonts w:hint="cs"/>
          <w:sz w:val="16"/>
          <w:szCs w:val="16"/>
          <w:rtl/>
        </w:rPr>
        <w:t xml:space="preserve">(אפילו ללא בדיקה) </w:t>
      </w:r>
      <w:r w:rsidRPr="00082BFE">
        <w:rPr>
          <w:rFonts w:hint="cs"/>
          <w:sz w:val="18"/>
          <w:szCs w:val="18"/>
          <w:rtl/>
        </w:rPr>
        <w:t xml:space="preserve">אך לדעת </w:t>
      </w:r>
      <w:r w:rsidRPr="009C4A45">
        <w:rPr>
          <w:rFonts w:hint="cs"/>
          <w:b/>
          <w:bCs/>
          <w:sz w:val="18"/>
          <w:szCs w:val="18"/>
          <w:rtl/>
        </w:rPr>
        <w:t>הרמ"א</w:t>
      </w:r>
      <w:r w:rsidRPr="00082BFE">
        <w:rPr>
          <w:rFonts w:hint="cs"/>
          <w:sz w:val="18"/>
          <w:szCs w:val="18"/>
          <w:rtl/>
        </w:rPr>
        <w:t xml:space="preserve"> </w:t>
      </w:r>
      <w:r>
        <w:rPr>
          <w:rFonts w:hint="cs"/>
          <w:sz w:val="18"/>
          <w:szCs w:val="18"/>
          <w:rtl/>
        </w:rPr>
        <w:t>א</w:t>
      </w:r>
      <w:r w:rsidRPr="00082BFE">
        <w:rPr>
          <w:rFonts w:hint="cs"/>
          <w:sz w:val="18"/>
          <w:szCs w:val="18"/>
          <w:rtl/>
        </w:rPr>
        <w:t>סור לשמש משום שתשמיש מסלק חרדה ועשויה לראות.</w:t>
      </w:r>
    </w:p>
  </w:footnote>
  <w:footnote w:id="43">
    <w:p w:rsidR="005953C5" w:rsidRPr="00AB02BF" w:rsidRDefault="005953C5" w:rsidP="00620060">
      <w:pPr>
        <w:pStyle w:val="a3"/>
        <w:rPr>
          <w:sz w:val="18"/>
          <w:szCs w:val="18"/>
        </w:rPr>
      </w:pPr>
      <w:r w:rsidRPr="00AB02BF">
        <w:rPr>
          <w:rStyle w:val="a5"/>
          <w:sz w:val="18"/>
          <w:szCs w:val="18"/>
        </w:rPr>
        <w:footnoteRef/>
      </w:r>
      <w:r w:rsidRPr="00AB02BF">
        <w:rPr>
          <w:sz w:val="18"/>
          <w:szCs w:val="18"/>
          <w:rtl/>
        </w:rPr>
        <w:t xml:space="preserve"> </w:t>
      </w:r>
      <w:r w:rsidRPr="00AB02BF">
        <w:rPr>
          <w:rFonts w:hint="cs"/>
          <w:sz w:val="18"/>
          <w:szCs w:val="18"/>
          <w:rtl/>
        </w:rPr>
        <w:t xml:space="preserve">כאן פסק כך </w:t>
      </w:r>
      <w:r w:rsidRPr="00AB02BF">
        <w:rPr>
          <w:rFonts w:hint="cs"/>
          <w:b/>
          <w:bCs/>
          <w:sz w:val="18"/>
          <w:szCs w:val="18"/>
          <w:rtl/>
        </w:rPr>
        <w:t>המחבר</w:t>
      </w:r>
      <w:r w:rsidRPr="00AB02BF">
        <w:rPr>
          <w:rFonts w:hint="cs"/>
          <w:sz w:val="18"/>
          <w:szCs w:val="18"/>
          <w:rtl/>
        </w:rPr>
        <w:t>, אך לקמן בסימן קפט (ד</w:t>
      </w:r>
      <w:r>
        <w:rPr>
          <w:rFonts w:hint="cs"/>
          <w:sz w:val="18"/>
          <w:szCs w:val="18"/>
          <w:rtl/>
        </w:rPr>
        <w:t>'</w:t>
      </w:r>
      <w:r w:rsidRPr="00AB02BF">
        <w:rPr>
          <w:rFonts w:hint="cs"/>
          <w:sz w:val="18"/>
          <w:szCs w:val="18"/>
          <w:rtl/>
        </w:rPr>
        <w:t xml:space="preserve">) פסק להדיא </w:t>
      </w:r>
      <w:r w:rsidRPr="00AB02BF">
        <w:rPr>
          <w:rFonts w:hint="cs"/>
          <w:b/>
          <w:bCs/>
          <w:sz w:val="18"/>
          <w:szCs w:val="18"/>
          <w:rtl/>
        </w:rPr>
        <w:t>כרשב"א</w:t>
      </w:r>
      <w:r w:rsidRPr="00AB02BF">
        <w:rPr>
          <w:rFonts w:hint="cs"/>
          <w:sz w:val="18"/>
          <w:szCs w:val="18"/>
          <w:rtl/>
        </w:rPr>
        <w:t xml:space="preserve">. ועיין בסמוך </w:t>
      </w:r>
      <w:r w:rsidRPr="00AB02BF">
        <w:rPr>
          <w:rFonts w:hint="cs"/>
          <w:b/>
          <w:bCs/>
          <w:sz w:val="18"/>
          <w:szCs w:val="18"/>
          <w:rtl/>
        </w:rPr>
        <w:t>שטה"ב</w:t>
      </w:r>
      <w:r w:rsidRPr="00AB02BF">
        <w:rPr>
          <w:rFonts w:hint="cs"/>
          <w:sz w:val="18"/>
          <w:szCs w:val="18"/>
          <w:rtl/>
        </w:rPr>
        <w:t xml:space="preserve"> פסק להחמיר.</w:t>
      </w:r>
    </w:p>
  </w:footnote>
  <w:footnote w:id="44">
    <w:p w:rsidR="005953C5" w:rsidRPr="00C30AEA" w:rsidRDefault="005953C5" w:rsidP="00620060">
      <w:pPr>
        <w:pStyle w:val="a3"/>
        <w:rPr>
          <w:sz w:val="18"/>
          <w:szCs w:val="18"/>
          <w:rtl/>
        </w:rPr>
      </w:pPr>
      <w:r w:rsidRPr="00C30AEA">
        <w:rPr>
          <w:rStyle w:val="a5"/>
          <w:sz w:val="18"/>
          <w:szCs w:val="18"/>
        </w:rPr>
        <w:footnoteRef/>
      </w:r>
      <w:r w:rsidRPr="00C30AEA">
        <w:rPr>
          <w:sz w:val="18"/>
          <w:szCs w:val="18"/>
          <w:rtl/>
        </w:rPr>
        <w:t xml:space="preserve"> </w:t>
      </w:r>
      <w:r w:rsidRPr="00C30AEA">
        <w:rPr>
          <w:rFonts w:hint="cs"/>
          <w:sz w:val="18"/>
          <w:szCs w:val="18"/>
          <w:u w:val="single"/>
          <w:rtl/>
        </w:rPr>
        <w:t>יישוב הסוגייה אליבא דהרמב"ם והרי"ף</w:t>
      </w:r>
      <w:r w:rsidRPr="00C30AEA">
        <w:rPr>
          <w:sz w:val="18"/>
          <w:szCs w:val="18"/>
          <w:rtl/>
        </w:rPr>
        <w:br/>
      </w:r>
      <w:r w:rsidRPr="005E400B">
        <w:rPr>
          <w:rFonts w:hint="cs"/>
          <w:b/>
          <w:bCs/>
          <w:sz w:val="18"/>
          <w:szCs w:val="18"/>
          <w:rtl/>
        </w:rPr>
        <w:t>ר"ן</w:t>
      </w:r>
      <w:r w:rsidRPr="00C30AEA">
        <w:rPr>
          <w:rFonts w:hint="cs"/>
          <w:sz w:val="18"/>
          <w:szCs w:val="18"/>
          <w:rtl/>
        </w:rPr>
        <w:t xml:space="preserve"> </w:t>
      </w:r>
      <w:r w:rsidRPr="00C30AEA">
        <w:rPr>
          <w:sz w:val="18"/>
          <w:szCs w:val="18"/>
          <w:rtl/>
        </w:rPr>
        <w:t>–</w:t>
      </w:r>
      <w:r w:rsidRPr="00C30AEA">
        <w:rPr>
          <w:rFonts w:hint="cs"/>
          <w:sz w:val="18"/>
          <w:szCs w:val="18"/>
          <w:rtl/>
        </w:rPr>
        <w:t xml:space="preserve"> הרמב"ם והרי"ף סוברים שדברי חכמים ורבי יהושע "תיבדק" נאמרו ביחס לת"ק באופן הבא: ת"ק טוען שדין ווסתות הוא שאם לא בדקה טמאה, לפי שווסתות דאורייתא. חכמים משיבים לו שחומרת ווסתות אינה כך, אלא זהו דין דרבנן שהשלכתו היא לכך שטעונה בדיקה בשעת ווסתה בלבד, אך אין לו השפעה על טומאת האשה אם לא בדקה.</w:t>
      </w:r>
    </w:p>
  </w:footnote>
  <w:footnote w:id="45">
    <w:p w:rsidR="005953C5" w:rsidRDefault="005953C5" w:rsidP="00620060">
      <w:pPr>
        <w:pStyle w:val="a3"/>
      </w:pPr>
      <w:r w:rsidRPr="005E400B">
        <w:rPr>
          <w:rStyle w:val="a5"/>
          <w:sz w:val="18"/>
          <w:szCs w:val="18"/>
        </w:rPr>
        <w:footnoteRef/>
      </w:r>
      <w:r w:rsidRPr="005E400B">
        <w:rPr>
          <w:sz w:val="18"/>
          <w:szCs w:val="18"/>
          <w:rtl/>
        </w:rPr>
        <w:t xml:space="preserve"> </w:t>
      </w:r>
      <w:r w:rsidRPr="005E400B">
        <w:rPr>
          <w:rFonts w:hint="cs"/>
          <w:sz w:val="18"/>
          <w:szCs w:val="18"/>
          <w:u w:val="single"/>
          <w:rtl/>
        </w:rPr>
        <w:t>יישוב הסוגייה אליבא דהרשב"א והתוספות</w:t>
      </w:r>
      <w:r w:rsidRPr="005E400B">
        <w:rPr>
          <w:sz w:val="18"/>
          <w:szCs w:val="18"/>
          <w:rtl/>
        </w:rPr>
        <w:br/>
      </w:r>
      <w:r w:rsidRPr="005E400B">
        <w:rPr>
          <w:rFonts w:hint="cs"/>
          <w:sz w:val="18"/>
          <w:szCs w:val="18"/>
          <w:rtl/>
        </w:rPr>
        <w:t>רבב"ח אינו חולק על רבי יוחנן, אלא אף הוא סובר שמותר לו לבוא עליה רק לאחר חישוב הימים שתוכל להיטהר, כלומר שאין כלל מחלוקת ולכו"ע ווסתות דרבנן ואין לו לבוא עליה ללא בדיקה.</w:t>
      </w:r>
    </w:p>
  </w:footnote>
  <w:footnote w:id="46">
    <w:p w:rsidR="005953C5" w:rsidRDefault="005953C5" w:rsidP="00620060">
      <w:pPr>
        <w:pStyle w:val="a3"/>
      </w:pPr>
      <w:r w:rsidRPr="00D4597E">
        <w:rPr>
          <w:rStyle w:val="a5"/>
          <w:sz w:val="18"/>
          <w:szCs w:val="18"/>
        </w:rPr>
        <w:footnoteRef/>
      </w:r>
      <w:r w:rsidRPr="00D4597E">
        <w:rPr>
          <w:sz w:val="18"/>
          <w:szCs w:val="18"/>
          <w:rtl/>
        </w:rPr>
        <w:t xml:space="preserve"> </w:t>
      </w:r>
      <w:r w:rsidRPr="00D4597E">
        <w:rPr>
          <w:rFonts w:hint="cs"/>
          <w:sz w:val="18"/>
          <w:szCs w:val="18"/>
          <w:rtl/>
        </w:rPr>
        <w:t>כל</w:t>
      </w:r>
      <w:r>
        <w:rPr>
          <w:rFonts w:hint="cs"/>
          <w:sz w:val="18"/>
          <w:szCs w:val="18"/>
          <w:rtl/>
        </w:rPr>
        <w:t xml:space="preserve">ומר, בדיקת חורים וסדקים, </w:t>
      </w:r>
      <w:r w:rsidRPr="00D4597E">
        <w:rPr>
          <w:rFonts w:hint="cs"/>
          <w:b/>
          <w:bCs/>
          <w:sz w:val="18"/>
          <w:szCs w:val="18"/>
          <w:rtl/>
        </w:rPr>
        <w:t>חוות דעת</w:t>
      </w:r>
      <w:r w:rsidRPr="00D4597E">
        <w:rPr>
          <w:rFonts w:hint="cs"/>
          <w:sz w:val="18"/>
          <w:szCs w:val="18"/>
          <w:rtl/>
        </w:rPr>
        <w:t>.</w:t>
      </w:r>
    </w:p>
  </w:footnote>
  <w:footnote w:id="47">
    <w:p w:rsidR="005953C5" w:rsidRDefault="005953C5" w:rsidP="00620060">
      <w:pPr>
        <w:pStyle w:val="a3"/>
      </w:pPr>
      <w:r w:rsidRPr="00EA4366">
        <w:rPr>
          <w:rStyle w:val="a5"/>
          <w:sz w:val="18"/>
          <w:szCs w:val="18"/>
        </w:rPr>
        <w:footnoteRef/>
      </w:r>
      <w:r w:rsidRPr="00EA4366">
        <w:rPr>
          <w:sz w:val="18"/>
          <w:szCs w:val="18"/>
          <w:rtl/>
        </w:rPr>
        <w:t xml:space="preserve"> </w:t>
      </w:r>
      <w:r w:rsidRPr="00EA4366">
        <w:rPr>
          <w:rFonts w:hint="cs"/>
          <w:sz w:val="18"/>
          <w:szCs w:val="18"/>
          <w:rtl/>
        </w:rPr>
        <w:t>אילו איסורים נוהגים בה עד שתבדוק?</w:t>
      </w:r>
      <w:r w:rsidRPr="00EA4366">
        <w:rPr>
          <w:rFonts w:hint="cs"/>
          <w:sz w:val="18"/>
          <w:szCs w:val="18"/>
          <w:rtl/>
        </w:rPr>
        <w:br/>
      </w:r>
      <w:r w:rsidRPr="00EA4366">
        <w:rPr>
          <w:rFonts w:hint="cs"/>
          <w:b/>
          <w:bCs/>
          <w:sz w:val="18"/>
          <w:szCs w:val="18"/>
          <w:rtl/>
        </w:rPr>
        <w:t>בדי השולחן</w:t>
      </w:r>
      <w:r w:rsidRPr="00EA4366">
        <w:rPr>
          <w:rFonts w:hint="cs"/>
          <w:sz w:val="18"/>
          <w:szCs w:val="18"/>
          <w:rtl/>
        </w:rPr>
        <w:t xml:space="preserve"> </w:t>
      </w:r>
      <w:r w:rsidRPr="00EA4366">
        <w:rPr>
          <w:sz w:val="18"/>
          <w:szCs w:val="18"/>
          <w:rtl/>
        </w:rPr>
        <w:t>–</w:t>
      </w:r>
      <w:r w:rsidRPr="00EA4366">
        <w:rPr>
          <w:rFonts w:hint="cs"/>
          <w:sz w:val="18"/>
          <w:szCs w:val="18"/>
          <w:rtl/>
        </w:rPr>
        <w:t xml:space="preserve"> נחלקו הפוסקים האם רק איסור תשמיש נוהג בה או אף שאר ענייני קריבה, ופסק להחמיר בזה להחשיבה כנידה גמורה.</w:t>
      </w:r>
    </w:p>
  </w:footnote>
  <w:footnote w:id="48">
    <w:p w:rsidR="005953C5" w:rsidRDefault="005953C5" w:rsidP="00620060">
      <w:pPr>
        <w:pStyle w:val="a3"/>
        <w:rPr>
          <w:rtl/>
        </w:rPr>
      </w:pPr>
      <w:r w:rsidRPr="006E7836">
        <w:rPr>
          <w:rStyle w:val="a5"/>
          <w:sz w:val="18"/>
          <w:szCs w:val="18"/>
        </w:rPr>
        <w:footnoteRef/>
      </w:r>
      <w:r w:rsidRPr="006E7836">
        <w:rPr>
          <w:sz w:val="18"/>
          <w:szCs w:val="18"/>
          <w:rtl/>
        </w:rPr>
        <w:t xml:space="preserve"> </w:t>
      </w:r>
      <w:r w:rsidRPr="006E7836">
        <w:rPr>
          <w:rFonts w:hint="cs"/>
          <w:sz w:val="18"/>
          <w:szCs w:val="18"/>
          <w:u w:val="single"/>
          <w:rtl/>
        </w:rPr>
        <w:t>ביאור דעת הטור בווסת שאינו קבוע (ט"ז)</w:t>
      </w:r>
      <w:r>
        <w:rPr>
          <w:sz w:val="18"/>
          <w:szCs w:val="18"/>
          <w:u w:val="single"/>
          <w:rtl/>
        </w:rPr>
        <w:br/>
      </w:r>
      <w:r w:rsidRPr="00F100B6">
        <w:rPr>
          <w:rFonts w:hint="cs"/>
          <w:b/>
          <w:bCs/>
          <w:sz w:val="18"/>
          <w:szCs w:val="18"/>
          <w:rtl/>
        </w:rPr>
        <w:t>טור</w:t>
      </w:r>
      <w:r>
        <w:rPr>
          <w:rFonts w:hint="cs"/>
          <w:sz w:val="18"/>
          <w:szCs w:val="18"/>
          <w:rtl/>
        </w:rPr>
        <w:t xml:space="preserve"> </w:t>
      </w:r>
      <w:r>
        <w:rPr>
          <w:sz w:val="18"/>
          <w:szCs w:val="18"/>
          <w:rtl/>
        </w:rPr>
        <w:t>–</w:t>
      </w:r>
      <w:r>
        <w:rPr>
          <w:rFonts w:hint="cs"/>
          <w:sz w:val="18"/>
          <w:szCs w:val="18"/>
          <w:rtl/>
        </w:rPr>
        <w:t xml:space="preserve"> אשה שאין לה ווסת קבוע והוא פחות מל' יום, אם לא הרגישה טהורה ללא בדיקה.</w:t>
      </w:r>
      <w:r w:rsidRPr="006E7836">
        <w:rPr>
          <w:rFonts w:hint="cs"/>
          <w:sz w:val="18"/>
          <w:szCs w:val="18"/>
          <w:u w:val="single"/>
          <w:rtl/>
        </w:rPr>
        <w:br/>
      </w:r>
      <w:r w:rsidRPr="006E7836">
        <w:rPr>
          <w:rFonts w:hint="cs"/>
          <w:sz w:val="18"/>
          <w:szCs w:val="18"/>
          <w:rtl/>
        </w:rPr>
        <w:t xml:space="preserve">מקשה </w:t>
      </w:r>
      <w:r w:rsidRPr="006E7836">
        <w:rPr>
          <w:rFonts w:hint="cs"/>
          <w:b/>
          <w:bCs/>
          <w:sz w:val="18"/>
          <w:szCs w:val="18"/>
          <w:rtl/>
        </w:rPr>
        <w:t>הפרישה</w:t>
      </w:r>
      <w:r w:rsidRPr="006E7836">
        <w:rPr>
          <w:rFonts w:hint="cs"/>
          <w:sz w:val="18"/>
          <w:szCs w:val="18"/>
          <w:rtl/>
        </w:rPr>
        <w:t xml:space="preserve"> </w:t>
      </w:r>
      <w:r w:rsidRPr="006E7836">
        <w:rPr>
          <w:sz w:val="18"/>
          <w:szCs w:val="18"/>
          <w:rtl/>
        </w:rPr>
        <w:t>–</w:t>
      </w:r>
      <w:r w:rsidRPr="006E7836">
        <w:rPr>
          <w:rFonts w:hint="cs"/>
          <w:sz w:val="18"/>
          <w:szCs w:val="18"/>
          <w:rtl/>
        </w:rPr>
        <w:t xml:space="preserve"> כיצד </w:t>
      </w:r>
      <w:r>
        <w:rPr>
          <w:rFonts w:hint="cs"/>
          <w:sz w:val="18"/>
          <w:szCs w:val="18"/>
          <w:rtl/>
        </w:rPr>
        <w:t>ייתכן</w:t>
      </w:r>
      <w:r w:rsidRPr="006E7836">
        <w:rPr>
          <w:rFonts w:hint="cs"/>
          <w:b/>
          <w:bCs/>
          <w:sz w:val="18"/>
          <w:szCs w:val="18"/>
          <w:rtl/>
        </w:rPr>
        <w:t xml:space="preserve"> </w:t>
      </w:r>
      <w:r w:rsidRPr="006E7836">
        <w:rPr>
          <w:rFonts w:hint="cs"/>
          <w:sz w:val="18"/>
          <w:szCs w:val="18"/>
          <w:rtl/>
        </w:rPr>
        <w:t xml:space="preserve">שכשאין ווסת קבוע ולא בדקה מותרת, והרי לקמן בסימן קפו' איתא להדיא שאשה שאין לה ווסת קבוע אסורה לשמש עד שתבדוק? </w:t>
      </w:r>
      <w:r w:rsidRPr="006E7836">
        <w:rPr>
          <w:rFonts w:hint="cs"/>
          <w:sz w:val="18"/>
          <w:szCs w:val="18"/>
          <w:rtl/>
        </w:rPr>
        <w:br/>
        <w:t xml:space="preserve">מיישב </w:t>
      </w:r>
      <w:r w:rsidRPr="006E7836">
        <w:rPr>
          <w:rFonts w:hint="cs"/>
          <w:b/>
          <w:bCs/>
          <w:sz w:val="18"/>
          <w:szCs w:val="18"/>
          <w:rtl/>
        </w:rPr>
        <w:t>הט"ז</w:t>
      </w:r>
      <w:r w:rsidRPr="006E7836">
        <w:rPr>
          <w:rFonts w:hint="cs"/>
          <w:sz w:val="18"/>
          <w:szCs w:val="18"/>
          <w:rtl/>
        </w:rPr>
        <w:t xml:space="preserve"> - לקמן מדובר באשה שאין לה קביעות כלל בראייתה, וכיוון שמשנה כל פעם את ראייתה אסורה ללא בדיקה, אך כאן מדובר באשה שקבעה לה ווסת, אלא שפעם אחת שינתה לראות מכה' לכה' יום, ובכה"ג פוסק כאן המחבר שאם לא בדקה מותרת, ודי בזה שתחשוש לכתחילה לבדוק ביום זה ותו לא.</w:t>
      </w:r>
    </w:p>
  </w:footnote>
  <w:footnote w:id="49">
    <w:p w:rsidR="005953C5" w:rsidRDefault="005953C5" w:rsidP="00620060">
      <w:pPr>
        <w:pStyle w:val="a3"/>
      </w:pPr>
      <w:r w:rsidRPr="003C345A">
        <w:rPr>
          <w:rStyle w:val="a5"/>
          <w:sz w:val="18"/>
          <w:szCs w:val="18"/>
        </w:rPr>
        <w:footnoteRef/>
      </w:r>
      <w:r w:rsidRPr="003C345A">
        <w:rPr>
          <w:sz w:val="18"/>
          <w:szCs w:val="18"/>
          <w:rtl/>
        </w:rPr>
        <w:t xml:space="preserve"> </w:t>
      </w:r>
      <w:r w:rsidRPr="003C345A">
        <w:rPr>
          <w:rFonts w:hint="cs"/>
          <w:sz w:val="18"/>
          <w:szCs w:val="18"/>
          <w:rtl/>
        </w:rPr>
        <w:t xml:space="preserve">ואע"פ שכאן משמע </w:t>
      </w:r>
      <w:r>
        <w:rPr>
          <w:rFonts w:hint="cs"/>
          <w:sz w:val="18"/>
          <w:szCs w:val="18"/>
          <w:rtl/>
        </w:rPr>
        <w:t>ש</w:t>
      </w:r>
      <w:r w:rsidRPr="003C345A">
        <w:rPr>
          <w:rFonts w:hint="cs"/>
          <w:sz w:val="18"/>
          <w:szCs w:val="18"/>
          <w:rtl/>
        </w:rPr>
        <w:t>דעת</w:t>
      </w:r>
      <w:r>
        <w:rPr>
          <w:rFonts w:hint="cs"/>
          <w:sz w:val="18"/>
          <w:szCs w:val="18"/>
          <w:rtl/>
        </w:rPr>
        <w:t xml:space="preserve"> </w:t>
      </w:r>
      <w:r w:rsidRPr="0089357E">
        <w:rPr>
          <w:rFonts w:hint="cs"/>
          <w:b/>
          <w:bCs/>
          <w:sz w:val="18"/>
          <w:szCs w:val="18"/>
          <w:rtl/>
        </w:rPr>
        <w:t>המחבר</w:t>
      </w:r>
      <w:r w:rsidRPr="003C345A">
        <w:rPr>
          <w:rFonts w:hint="cs"/>
          <w:sz w:val="18"/>
          <w:szCs w:val="18"/>
          <w:rtl/>
        </w:rPr>
        <w:t xml:space="preserve"> </w:t>
      </w:r>
      <w:r w:rsidRPr="0089357E">
        <w:rPr>
          <w:rFonts w:hint="cs"/>
          <w:sz w:val="18"/>
          <w:szCs w:val="18"/>
          <w:rtl/>
        </w:rPr>
        <w:t>להתיר</w:t>
      </w:r>
      <w:r>
        <w:rPr>
          <w:rFonts w:hint="cs"/>
          <w:b/>
          <w:bCs/>
          <w:sz w:val="18"/>
          <w:szCs w:val="18"/>
          <w:rtl/>
        </w:rPr>
        <w:t xml:space="preserve"> </w:t>
      </w:r>
      <w:r w:rsidRPr="0089357E">
        <w:rPr>
          <w:rFonts w:hint="cs"/>
          <w:b/>
          <w:bCs/>
          <w:sz w:val="18"/>
          <w:szCs w:val="18"/>
          <w:rtl/>
        </w:rPr>
        <w:t>כרמב"ם</w:t>
      </w:r>
      <w:r w:rsidRPr="003C345A">
        <w:rPr>
          <w:rFonts w:hint="cs"/>
          <w:sz w:val="18"/>
          <w:szCs w:val="18"/>
          <w:rtl/>
        </w:rPr>
        <w:t xml:space="preserve">, לקמן </w:t>
      </w:r>
      <w:r>
        <w:rPr>
          <w:rFonts w:hint="cs"/>
          <w:sz w:val="18"/>
          <w:szCs w:val="18"/>
          <w:rtl/>
        </w:rPr>
        <w:t xml:space="preserve">(קפט, </w:t>
      </w:r>
      <w:r w:rsidRPr="003C345A">
        <w:rPr>
          <w:rFonts w:hint="cs"/>
          <w:sz w:val="18"/>
          <w:szCs w:val="18"/>
          <w:rtl/>
        </w:rPr>
        <w:t xml:space="preserve">ד) פסק להדיא </w:t>
      </w:r>
      <w:r w:rsidRPr="0089357E">
        <w:rPr>
          <w:rFonts w:hint="cs"/>
          <w:b/>
          <w:bCs/>
          <w:sz w:val="18"/>
          <w:szCs w:val="18"/>
          <w:rtl/>
        </w:rPr>
        <w:t>כרשב"א</w:t>
      </w:r>
      <w:r w:rsidRPr="003C345A">
        <w:rPr>
          <w:rFonts w:hint="cs"/>
          <w:sz w:val="18"/>
          <w:szCs w:val="18"/>
          <w:rtl/>
        </w:rPr>
        <w:t xml:space="preserve"> ולא הביא כלל את </w:t>
      </w:r>
      <w:r w:rsidRPr="0089357E">
        <w:rPr>
          <w:rFonts w:hint="cs"/>
          <w:b/>
          <w:bCs/>
          <w:sz w:val="18"/>
          <w:szCs w:val="18"/>
          <w:rtl/>
        </w:rPr>
        <w:t>הרמב"ם</w:t>
      </w:r>
      <w:r>
        <w:rPr>
          <w:rFonts w:hint="cs"/>
          <w:sz w:val="18"/>
          <w:szCs w:val="18"/>
          <w:rtl/>
        </w:rPr>
        <w:t>, וכנראה הדר ביה והעיקר כדבריו שם להחמיר</w:t>
      </w:r>
      <w:r w:rsidRPr="003C345A">
        <w:rPr>
          <w:rFonts w:hint="cs"/>
          <w:sz w:val="18"/>
          <w:szCs w:val="18"/>
          <w:rtl/>
        </w:rPr>
        <w:t>.</w:t>
      </w:r>
    </w:p>
  </w:footnote>
  <w:footnote w:id="50">
    <w:p w:rsidR="005953C5" w:rsidRDefault="005953C5" w:rsidP="00620060">
      <w:pPr>
        <w:pStyle w:val="a3"/>
      </w:pPr>
      <w:r w:rsidRPr="008D6030">
        <w:rPr>
          <w:rStyle w:val="a5"/>
          <w:sz w:val="18"/>
          <w:szCs w:val="18"/>
        </w:rPr>
        <w:footnoteRef/>
      </w:r>
      <w:r w:rsidRPr="008D6030">
        <w:rPr>
          <w:sz w:val="18"/>
          <w:szCs w:val="18"/>
          <w:rtl/>
        </w:rPr>
        <w:t xml:space="preserve"> </w:t>
      </w:r>
      <w:r w:rsidRPr="008D6030">
        <w:rPr>
          <w:rFonts w:hint="cs"/>
          <w:sz w:val="18"/>
          <w:szCs w:val="18"/>
          <w:rtl/>
        </w:rPr>
        <w:t xml:space="preserve">ולגבי ווסת שאינו קבוע, יש לומר שתבדוק ג' פעמים ביום עונתה הבינונית </w:t>
      </w:r>
      <w:r w:rsidRPr="008D6030">
        <w:rPr>
          <w:sz w:val="18"/>
          <w:szCs w:val="18"/>
          <w:rtl/>
        </w:rPr>
        <w:t>–</w:t>
      </w:r>
      <w:r w:rsidRPr="008D6030">
        <w:rPr>
          <w:rFonts w:hint="cs"/>
          <w:sz w:val="18"/>
          <w:szCs w:val="18"/>
          <w:rtl/>
        </w:rPr>
        <w:t xml:space="preserve"> תבדוק בליל העונה הבינונית, בבוקר ובער</w:t>
      </w:r>
      <w:r>
        <w:rPr>
          <w:rFonts w:hint="cs"/>
          <w:sz w:val="18"/>
          <w:szCs w:val="18"/>
          <w:rtl/>
        </w:rPr>
        <w:t>ב</w:t>
      </w:r>
      <w:r w:rsidRPr="008D6030">
        <w:rPr>
          <w:rFonts w:hint="cs"/>
          <w:sz w:val="18"/>
          <w:szCs w:val="18"/>
          <w:rtl/>
        </w:rPr>
        <w:t xml:space="preserve"> לאחר מכן.</w:t>
      </w:r>
      <w:r>
        <w:rPr>
          <w:rFonts w:hint="cs"/>
          <w:rtl/>
        </w:rPr>
        <w:t xml:space="preserve"> </w:t>
      </w:r>
      <w:r w:rsidRPr="008D6030">
        <w:rPr>
          <w:rFonts w:hint="cs"/>
          <w:sz w:val="18"/>
          <w:szCs w:val="18"/>
          <w:rtl/>
        </w:rPr>
        <w:t xml:space="preserve">ולגבי חיוב הבדיקה בעונת ווסתה, נחלקו האחרונים בדעת המחבר האם צריכה בדיקה, הו"ד </w:t>
      </w:r>
      <w:r w:rsidRPr="008D6030">
        <w:rPr>
          <w:rFonts w:hint="cs"/>
          <w:b/>
          <w:bCs/>
          <w:sz w:val="18"/>
          <w:szCs w:val="18"/>
          <w:rtl/>
        </w:rPr>
        <w:t>בבדה"ש</w:t>
      </w:r>
      <w:r w:rsidRPr="008D6030">
        <w:rPr>
          <w:rFonts w:hint="cs"/>
          <w:sz w:val="18"/>
          <w:szCs w:val="18"/>
          <w:rtl/>
        </w:rPr>
        <w:t>.</w:t>
      </w:r>
    </w:p>
  </w:footnote>
  <w:footnote w:id="51">
    <w:p w:rsidR="005953C5" w:rsidRDefault="005953C5" w:rsidP="00620060">
      <w:pPr>
        <w:pStyle w:val="a3"/>
        <w:rPr>
          <w:rtl/>
        </w:rPr>
      </w:pPr>
      <w:r w:rsidRPr="004E4EDB">
        <w:rPr>
          <w:rStyle w:val="a5"/>
          <w:sz w:val="18"/>
          <w:szCs w:val="18"/>
        </w:rPr>
        <w:footnoteRef/>
      </w:r>
      <w:r w:rsidRPr="004E4EDB">
        <w:rPr>
          <w:sz w:val="18"/>
          <w:szCs w:val="18"/>
          <w:rtl/>
        </w:rPr>
        <w:t xml:space="preserve"> </w:t>
      </w:r>
      <w:r w:rsidRPr="004E4EDB">
        <w:rPr>
          <w:rFonts w:hint="cs"/>
          <w:sz w:val="18"/>
          <w:szCs w:val="18"/>
          <w:rtl/>
        </w:rPr>
        <w:t xml:space="preserve">מלבד המחלוקת הפרשנית בין הראשונים, קיימת ביניהם גם מחלוקת גרסות. </w:t>
      </w:r>
      <w:r w:rsidRPr="004066CC">
        <w:rPr>
          <w:rFonts w:hint="cs"/>
          <w:b/>
          <w:bCs/>
          <w:sz w:val="18"/>
          <w:szCs w:val="18"/>
          <w:rtl/>
        </w:rPr>
        <w:t xml:space="preserve">רש"י </w:t>
      </w:r>
      <w:r w:rsidRPr="004E4EDB">
        <w:rPr>
          <w:rFonts w:hint="cs"/>
          <w:sz w:val="18"/>
          <w:szCs w:val="18"/>
          <w:rtl/>
        </w:rPr>
        <w:t xml:space="preserve">גורס כפי שכתוב בפנים, אך </w:t>
      </w:r>
      <w:r w:rsidRPr="004066CC">
        <w:rPr>
          <w:rFonts w:hint="cs"/>
          <w:b/>
          <w:bCs/>
          <w:sz w:val="18"/>
          <w:szCs w:val="18"/>
          <w:rtl/>
        </w:rPr>
        <w:t>ר"ת</w:t>
      </w:r>
      <w:r w:rsidRPr="004E4EDB">
        <w:rPr>
          <w:rFonts w:hint="cs"/>
          <w:sz w:val="18"/>
          <w:szCs w:val="18"/>
          <w:rtl/>
        </w:rPr>
        <w:t xml:space="preserve"> גורס "אמר רב יוסף אפילו אשתו </w:t>
      </w:r>
      <w:r w:rsidRPr="004E4EDB">
        <w:rPr>
          <w:rFonts w:hint="cs"/>
          <w:sz w:val="18"/>
          <w:szCs w:val="18"/>
          <w:u w:val="single"/>
          <w:rtl/>
        </w:rPr>
        <w:t>נידה</w:t>
      </w:r>
      <w:r w:rsidRPr="004E4EDB">
        <w:rPr>
          <w:rFonts w:hint="cs"/>
          <w:sz w:val="18"/>
          <w:szCs w:val="18"/>
          <w:rtl/>
        </w:rPr>
        <w:t>" ובכה"ג פשוט שאין להתיר תשמיש, אלא מדובר על דברי ריצוי בלבד.</w:t>
      </w:r>
    </w:p>
  </w:footnote>
  <w:footnote w:id="52">
    <w:p w:rsidR="005953C5" w:rsidRDefault="005953C5" w:rsidP="00620060">
      <w:pPr>
        <w:pStyle w:val="a3"/>
      </w:pPr>
      <w:r w:rsidRPr="004D0634">
        <w:rPr>
          <w:rStyle w:val="a5"/>
          <w:sz w:val="18"/>
          <w:szCs w:val="18"/>
        </w:rPr>
        <w:footnoteRef/>
      </w:r>
      <w:r w:rsidRPr="004D0634">
        <w:rPr>
          <w:sz w:val="18"/>
          <w:szCs w:val="18"/>
          <w:rtl/>
        </w:rPr>
        <w:t xml:space="preserve"> </w:t>
      </w:r>
      <w:r w:rsidRPr="004D0634">
        <w:rPr>
          <w:rFonts w:hint="cs"/>
          <w:b/>
          <w:bCs/>
          <w:sz w:val="18"/>
          <w:szCs w:val="18"/>
          <w:rtl/>
        </w:rPr>
        <w:t>הרמב"ם</w:t>
      </w:r>
      <w:r w:rsidRPr="004D0634">
        <w:rPr>
          <w:rFonts w:hint="cs"/>
          <w:sz w:val="18"/>
          <w:szCs w:val="18"/>
          <w:rtl/>
        </w:rPr>
        <w:t xml:space="preserve"> השמיט דין זה, </w:t>
      </w:r>
      <w:r w:rsidRPr="004066CC">
        <w:rPr>
          <w:rFonts w:hint="cs"/>
          <w:b/>
          <w:bCs/>
          <w:sz w:val="18"/>
          <w:szCs w:val="18"/>
          <w:rtl/>
        </w:rPr>
        <w:t>והמגיד משנה</w:t>
      </w:r>
      <w:r w:rsidRPr="004D0634">
        <w:rPr>
          <w:rFonts w:hint="cs"/>
          <w:sz w:val="18"/>
          <w:szCs w:val="18"/>
          <w:rtl/>
        </w:rPr>
        <w:t xml:space="preserve"> תמה עליו מדוע השמיטו. אמנם, </w:t>
      </w:r>
      <w:r w:rsidRPr="004D0634">
        <w:rPr>
          <w:rFonts w:hint="cs"/>
          <w:b/>
          <w:bCs/>
          <w:sz w:val="18"/>
          <w:szCs w:val="18"/>
          <w:rtl/>
        </w:rPr>
        <w:t>תורת השלמים</w:t>
      </w:r>
      <w:r w:rsidRPr="004D0634">
        <w:rPr>
          <w:rFonts w:hint="cs"/>
          <w:sz w:val="18"/>
          <w:szCs w:val="18"/>
          <w:rtl/>
        </w:rPr>
        <w:t xml:space="preserve"> מיישב שהרמב"ם השמיטו משום שאזיל לטעמיה שכתב בהלכות דעות שאין לבעול ביום יציאה לדרך או ביום שבא מהדרך. ולפי"ז, </w:t>
      </w:r>
      <w:r w:rsidRPr="00697FFC">
        <w:rPr>
          <w:rFonts w:hint="cs"/>
          <w:b/>
          <w:bCs/>
          <w:sz w:val="18"/>
          <w:szCs w:val="18"/>
          <w:rtl/>
        </w:rPr>
        <w:t xml:space="preserve">הטור והמחבר </w:t>
      </w:r>
      <w:r w:rsidRPr="00697FFC">
        <w:rPr>
          <w:rFonts w:hint="cs"/>
          <w:sz w:val="18"/>
          <w:szCs w:val="18"/>
          <w:rtl/>
        </w:rPr>
        <w:t xml:space="preserve">שהעתיקו </w:t>
      </w:r>
      <w:r w:rsidRPr="004D0634">
        <w:rPr>
          <w:rFonts w:hint="cs"/>
          <w:sz w:val="18"/>
          <w:szCs w:val="18"/>
          <w:rtl/>
        </w:rPr>
        <w:t>את דברי הרמב"ם בהלכות דעות ופסקו כמותו באורח חיים, יש לומר לשיטתם שאף כאן לא התכוונו לבעילה ממש אלא לפקידה בדברי ריצוי וכדומה.</w:t>
      </w:r>
    </w:p>
  </w:footnote>
  <w:footnote w:id="53">
    <w:p w:rsidR="005953C5" w:rsidRDefault="005953C5" w:rsidP="00620060">
      <w:pPr>
        <w:pStyle w:val="a3"/>
      </w:pPr>
      <w:r w:rsidRPr="007766C6">
        <w:rPr>
          <w:rStyle w:val="a5"/>
          <w:sz w:val="18"/>
          <w:szCs w:val="18"/>
        </w:rPr>
        <w:footnoteRef/>
      </w:r>
      <w:r w:rsidRPr="007766C6">
        <w:rPr>
          <w:sz w:val="18"/>
          <w:szCs w:val="18"/>
          <w:rtl/>
        </w:rPr>
        <w:t xml:space="preserve"> </w:t>
      </w:r>
      <w:r w:rsidRPr="007766C6">
        <w:rPr>
          <w:rFonts w:hint="cs"/>
          <w:b/>
          <w:bCs/>
          <w:sz w:val="18"/>
          <w:szCs w:val="18"/>
          <w:rtl/>
        </w:rPr>
        <w:t>תורת השלמים</w:t>
      </w:r>
      <w:r w:rsidRPr="007766C6">
        <w:rPr>
          <w:rFonts w:hint="cs"/>
          <w:sz w:val="18"/>
          <w:szCs w:val="18"/>
          <w:rtl/>
        </w:rPr>
        <w:t xml:space="preserve"> </w:t>
      </w:r>
      <w:r w:rsidRPr="007766C6">
        <w:rPr>
          <w:sz w:val="18"/>
          <w:szCs w:val="18"/>
          <w:rtl/>
        </w:rPr>
        <w:t>–</w:t>
      </w:r>
      <w:r w:rsidRPr="007766C6">
        <w:rPr>
          <w:rFonts w:hint="cs"/>
          <w:sz w:val="18"/>
          <w:szCs w:val="18"/>
          <w:rtl/>
        </w:rPr>
        <w:t xml:space="preserve"> הקשה </w:t>
      </w:r>
      <w:r w:rsidRPr="007766C6">
        <w:rPr>
          <w:rFonts w:hint="cs"/>
          <w:b/>
          <w:bCs/>
          <w:sz w:val="18"/>
          <w:szCs w:val="18"/>
          <w:rtl/>
        </w:rPr>
        <w:t>מהרש"ל</w:t>
      </w:r>
      <w:r w:rsidRPr="007766C6">
        <w:rPr>
          <w:rFonts w:hint="cs"/>
          <w:sz w:val="18"/>
          <w:szCs w:val="18"/>
          <w:rtl/>
        </w:rPr>
        <w:t xml:space="preserve"> איך פוסק </w:t>
      </w:r>
      <w:r w:rsidRPr="007766C6">
        <w:rPr>
          <w:rFonts w:hint="cs"/>
          <w:b/>
          <w:bCs/>
          <w:sz w:val="18"/>
          <w:szCs w:val="18"/>
          <w:rtl/>
        </w:rPr>
        <w:t>הרמ"א</w:t>
      </w:r>
      <w:r w:rsidRPr="007766C6">
        <w:rPr>
          <w:rFonts w:hint="cs"/>
          <w:sz w:val="18"/>
          <w:szCs w:val="18"/>
          <w:rtl/>
        </w:rPr>
        <w:t xml:space="preserve"> שהמחמיר תבוא עליו ברכה, הרי מחויב הוא לפקדה ולא שייך לומר בכה"ג שהמחמיר לא לפקדה תבוא עליו ברכה! ומסיק </w:t>
      </w:r>
      <w:r w:rsidRPr="007766C6">
        <w:rPr>
          <w:rFonts w:hint="cs"/>
          <w:b/>
          <w:bCs/>
          <w:sz w:val="18"/>
          <w:szCs w:val="18"/>
          <w:rtl/>
        </w:rPr>
        <w:t>מהרש"ל</w:t>
      </w:r>
      <w:r w:rsidRPr="007766C6">
        <w:rPr>
          <w:rFonts w:hint="cs"/>
          <w:sz w:val="18"/>
          <w:szCs w:val="18"/>
          <w:rtl/>
        </w:rPr>
        <w:t xml:space="preserve"> שכוונת </w:t>
      </w:r>
      <w:r w:rsidRPr="007766C6">
        <w:rPr>
          <w:rFonts w:hint="cs"/>
          <w:b/>
          <w:bCs/>
          <w:sz w:val="18"/>
          <w:szCs w:val="18"/>
          <w:rtl/>
        </w:rPr>
        <w:t>הסמ"ג</w:t>
      </w:r>
      <w:r w:rsidRPr="007766C6">
        <w:rPr>
          <w:rFonts w:hint="cs"/>
          <w:sz w:val="18"/>
          <w:szCs w:val="18"/>
          <w:rtl/>
        </w:rPr>
        <w:t xml:space="preserve"> שכתב חומרה זאת, היא שהמח</w:t>
      </w:r>
      <w:r>
        <w:rPr>
          <w:rFonts w:hint="cs"/>
          <w:sz w:val="18"/>
          <w:szCs w:val="18"/>
          <w:rtl/>
        </w:rPr>
        <w:t>מ</w:t>
      </w:r>
      <w:r w:rsidRPr="007766C6">
        <w:rPr>
          <w:rFonts w:hint="cs"/>
          <w:sz w:val="18"/>
          <w:szCs w:val="18"/>
          <w:rtl/>
        </w:rPr>
        <w:t xml:space="preserve">יר מלילך בדרך סמוך לעונתה עד שתטבול ובכך מוציא עצמו מהספק, תבוא עליו ברכה. אך ברור שאין זו כוונת </w:t>
      </w:r>
      <w:r w:rsidRPr="007766C6">
        <w:rPr>
          <w:rFonts w:hint="cs"/>
          <w:b/>
          <w:bCs/>
          <w:sz w:val="18"/>
          <w:szCs w:val="18"/>
          <w:rtl/>
        </w:rPr>
        <w:t>הרמ"א</w:t>
      </w:r>
      <w:r w:rsidRPr="007766C6">
        <w:rPr>
          <w:rFonts w:hint="cs"/>
          <w:sz w:val="18"/>
          <w:szCs w:val="18"/>
          <w:rtl/>
        </w:rPr>
        <w:t xml:space="preserve"> כאן שכתב לפקדה בשאר ענייני קרבה.</w:t>
      </w:r>
    </w:p>
  </w:footnote>
  <w:footnote w:id="54">
    <w:p w:rsidR="005953C5" w:rsidRDefault="005953C5" w:rsidP="00620060">
      <w:pPr>
        <w:pStyle w:val="a3"/>
        <w:rPr>
          <w:rtl/>
        </w:rPr>
      </w:pPr>
      <w:r w:rsidRPr="00BB7A03">
        <w:rPr>
          <w:rStyle w:val="a5"/>
          <w:sz w:val="18"/>
          <w:szCs w:val="18"/>
        </w:rPr>
        <w:footnoteRef/>
      </w:r>
      <w:r w:rsidRPr="00BB7A03">
        <w:rPr>
          <w:sz w:val="18"/>
          <w:szCs w:val="18"/>
          <w:rtl/>
        </w:rPr>
        <w:t xml:space="preserve"> </w:t>
      </w:r>
      <w:r w:rsidRPr="00BB7A03">
        <w:rPr>
          <w:rFonts w:hint="cs"/>
          <w:b/>
          <w:bCs/>
          <w:sz w:val="18"/>
          <w:szCs w:val="18"/>
          <w:rtl/>
        </w:rPr>
        <w:t>הפת"ש</w:t>
      </w:r>
      <w:r w:rsidRPr="00BB7A03">
        <w:rPr>
          <w:rFonts w:hint="cs"/>
          <w:sz w:val="18"/>
          <w:szCs w:val="18"/>
          <w:rtl/>
        </w:rPr>
        <w:t xml:space="preserve"> מוסיף תשובה </w:t>
      </w:r>
      <w:r w:rsidRPr="00BB7A03">
        <w:rPr>
          <w:rFonts w:hint="cs"/>
          <w:b/>
          <w:bCs/>
          <w:sz w:val="18"/>
          <w:szCs w:val="18"/>
          <w:rtl/>
        </w:rPr>
        <w:t>מהחת"ס</w:t>
      </w:r>
      <w:r w:rsidRPr="00BB7A03">
        <w:rPr>
          <w:rFonts w:hint="cs"/>
          <w:sz w:val="18"/>
          <w:szCs w:val="18"/>
          <w:rtl/>
        </w:rPr>
        <w:t xml:space="preserve"> בדין זה </w:t>
      </w:r>
      <w:r w:rsidRPr="00BB7A03">
        <w:rPr>
          <w:sz w:val="18"/>
          <w:szCs w:val="18"/>
          <w:rtl/>
        </w:rPr>
        <w:t>–</w:t>
      </w:r>
      <w:r w:rsidRPr="00BB7A03">
        <w:rPr>
          <w:rFonts w:hint="cs"/>
          <w:sz w:val="18"/>
          <w:szCs w:val="18"/>
          <w:rtl/>
        </w:rPr>
        <w:t xml:space="preserve"> </w:t>
      </w:r>
      <w:r w:rsidRPr="00BB7A03">
        <w:rPr>
          <w:rFonts w:hint="cs"/>
          <w:b/>
          <w:bCs/>
          <w:sz w:val="18"/>
          <w:szCs w:val="18"/>
          <w:rtl/>
        </w:rPr>
        <w:t>החת"ס</w:t>
      </w:r>
      <w:r w:rsidRPr="00BB7A03">
        <w:rPr>
          <w:rFonts w:hint="cs"/>
          <w:sz w:val="18"/>
          <w:szCs w:val="18"/>
          <w:rtl/>
        </w:rPr>
        <w:t xml:space="preserve"> נשאל לגבי אשה של"ט חל בעונת ווסתה ובעלה יוצא לדרך, האם יש להקל בצירוף שתי המצוות, דהיינו ל"ט ויוצא לדרך לא נחוש למצוות פרישה בעונת ווסתה? והשיב לאסור. </w:t>
      </w:r>
      <w:r>
        <w:rPr>
          <w:sz w:val="18"/>
          <w:szCs w:val="18"/>
          <w:rtl/>
        </w:rPr>
        <w:br/>
      </w:r>
      <w:r w:rsidRPr="00BB7A03">
        <w:rPr>
          <w:rFonts w:hint="cs"/>
          <w:sz w:val="18"/>
          <w:szCs w:val="18"/>
          <w:rtl/>
        </w:rPr>
        <w:t xml:space="preserve">ואע"פ שהרמ"א פסק לעיקה"ד להתיר </w:t>
      </w:r>
      <w:r>
        <w:rPr>
          <w:rFonts w:hint="cs"/>
          <w:sz w:val="18"/>
          <w:szCs w:val="18"/>
          <w:rtl/>
        </w:rPr>
        <w:t xml:space="preserve">ביוצא לדרך בלבד </w:t>
      </w:r>
      <w:r w:rsidRPr="00BB7A03">
        <w:rPr>
          <w:rFonts w:hint="cs"/>
          <w:sz w:val="18"/>
          <w:szCs w:val="18"/>
          <w:rtl/>
        </w:rPr>
        <w:t>ורק מחומרה אסר, זה משום שהוא סובר ווסתות דרבנן, אך החת"ס מעיד שקיבל מרבותיו שפרישה בעונה הסמוכה לווסת היא דאורייתא אפילו למ"ד ווסתות דרבנן.</w:t>
      </w:r>
    </w:p>
  </w:footnote>
  <w:footnote w:id="55">
    <w:p w:rsidR="005953C5" w:rsidRDefault="005953C5" w:rsidP="00620060">
      <w:pPr>
        <w:pStyle w:val="a3"/>
        <w:rPr>
          <w:rtl/>
        </w:rPr>
      </w:pPr>
      <w:r w:rsidRPr="00617807">
        <w:rPr>
          <w:rStyle w:val="a5"/>
          <w:sz w:val="18"/>
          <w:szCs w:val="18"/>
        </w:rPr>
        <w:footnoteRef/>
      </w:r>
      <w:r w:rsidRPr="00617807">
        <w:rPr>
          <w:sz w:val="18"/>
          <w:szCs w:val="18"/>
          <w:rtl/>
        </w:rPr>
        <w:t xml:space="preserve"> </w:t>
      </w:r>
      <w:r w:rsidRPr="00617807">
        <w:rPr>
          <w:rFonts w:hint="cs"/>
          <w:b/>
          <w:bCs/>
          <w:sz w:val="18"/>
          <w:szCs w:val="18"/>
          <w:rtl/>
        </w:rPr>
        <w:t>שבט הלוי</w:t>
      </w:r>
      <w:r w:rsidRPr="00617807">
        <w:rPr>
          <w:rFonts w:hint="cs"/>
          <w:sz w:val="18"/>
          <w:szCs w:val="18"/>
          <w:rtl/>
        </w:rPr>
        <w:t xml:space="preserve"> </w:t>
      </w:r>
      <w:r w:rsidRPr="00617807">
        <w:rPr>
          <w:sz w:val="18"/>
          <w:szCs w:val="18"/>
          <w:rtl/>
        </w:rPr>
        <w:t>–</w:t>
      </w:r>
      <w:r w:rsidRPr="00617807">
        <w:rPr>
          <w:rFonts w:hint="cs"/>
          <w:sz w:val="18"/>
          <w:szCs w:val="18"/>
          <w:rtl/>
        </w:rPr>
        <w:t xml:space="preserve"> הטעם שהקלו ביוצא לדרך והחמירו בבא מן הדרך</w:t>
      </w:r>
      <w:r>
        <w:rPr>
          <w:rFonts w:hint="cs"/>
          <w:sz w:val="18"/>
          <w:szCs w:val="18"/>
          <w:rtl/>
        </w:rPr>
        <w:t>,</w:t>
      </w:r>
      <w:r w:rsidRPr="00617807">
        <w:rPr>
          <w:rFonts w:hint="cs"/>
          <w:sz w:val="18"/>
          <w:szCs w:val="18"/>
          <w:rtl/>
        </w:rPr>
        <w:t xml:space="preserve"> הוא משום שיוצא לדרך אין פת</w:t>
      </w:r>
      <w:r>
        <w:rPr>
          <w:rFonts w:hint="cs"/>
          <w:sz w:val="18"/>
          <w:szCs w:val="18"/>
          <w:rtl/>
        </w:rPr>
        <w:t>ו</w:t>
      </w:r>
      <w:r w:rsidRPr="00617807">
        <w:rPr>
          <w:rFonts w:hint="cs"/>
          <w:sz w:val="18"/>
          <w:szCs w:val="18"/>
          <w:rtl/>
        </w:rPr>
        <w:t xml:space="preserve"> בסלו, אך בא מן הדרך פתו בסלו למרות שכעת אסורה, כיוון שלאחר זמן תהיה מותרת לו.</w:t>
      </w:r>
      <w:r w:rsidRPr="00617807">
        <w:rPr>
          <w:sz w:val="18"/>
          <w:szCs w:val="18"/>
          <w:rtl/>
        </w:rPr>
        <w:br/>
      </w:r>
      <w:r w:rsidRPr="00617807">
        <w:rPr>
          <w:rFonts w:hint="cs"/>
          <w:sz w:val="18"/>
          <w:szCs w:val="18"/>
          <w:rtl/>
        </w:rPr>
        <w:t xml:space="preserve">ברם, הסבר זה קשה טובא, משום שבגמרא הנ"ל וכן בדברי הפוסקים מוכח שהיתר התשמיש הוא מחמת רצון האשה ואינו תלוי כלל ברצון של הבעל, ולכן אין לתלות דין זה בכך שפתו בסלו. </w:t>
      </w:r>
      <w:r>
        <w:rPr>
          <w:sz w:val="18"/>
          <w:szCs w:val="18"/>
          <w:rtl/>
        </w:rPr>
        <w:br/>
      </w:r>
      <w:r w:rsidRPr="00617807">
        <w:rPr>
          <w:rFonts w:hint="cs"/>
          <w:sz w:val="18"/>
          <w:szCs w:val="18"/>
          <w:rtl/>
        </w:rPr>
        <w:t xml:space="preserve">אמנם, לדינא נראה כדבריו אך מטעם אחר, דווקא ביוצא לדרך הקלו משום שכעת היא לא תראה אותו זמן מה ומשתוקקת אליו, אך כשחוזר מהדרך ממילא נמצא עמה ואם לא ישמשו האידנא ישמשו אחר כך </w:t>
      </w:r>
      <w:r w:rsidRPr="00B303C3">
        <w:rPr>
          <w:rFonts w:hint="cs"/>
          <w:sz w:val="16"/>
          <w:szCs w:val="16"/>
          <w:rtl/>
        </w:rPr>
        <w:t>(כעין סברת פת בסלו אך מכיוון האשה שאינה משתוקקת כל כך, כאמור)</w:t>
      </w:r>
      <w:r w:rsidRPr="00617807">
        <w:rPr>
          <w:rFonts w:hint="cs"/>
          <w:sz w:val="18"/>
          <w:szCs w:val="18"/>
          <w:rtl/>
        </w:rPr>
        <w:t>.</w:t>
      </w:r>
    </w:p>
  </w:footnote>
  <w:footnote w:id="56">
    <w:p w:rsidR="005953C5" w:rsidRDefault="005953C5" w:rsidP="00620060">
      <w:pPr>
        <w:pStyle w:val="a3"/>
        <w:rPr>
          <w:rtl/>
        </w:rPr>
      </w:pPr>
      <w:r w:rsidRPr="00271B88">
        <w:rPr>
          <w:rStyle w:val="a5"/>
          <w:sz w:val="18"/>
          <w:szCs w:val="18"/>
        </w:rPr>
        <w:footnoteRef/>
      </w:r>
      <w:r w:rsidRPr="00271B88">
        <w:rPr>
          <w:sz w:val="18"/>
          <w:szCs w:val="18"/>
          <w:rtl/>
        </w:rPr>
        <w:t xml:space="preserve"> </w:t>
      </w:r>
      <w:r w:rsidRPr="00271B88">
        <w:rPr>
          <w:rFonts w:hint="cs"/>
          <w:sz w:val="18"/>
          <w:szCs w:val="18"/>
          <w:rtl/>
        </w:rPr>
        <w:t>הסבר שאלת הגמרא: "</w:t>
      </w:r>
      <w:r w:rsidRPr="00271B88">
        <w:rPr>
          <w:rFonts w:cs="Arial" w:hint="cs"/>
          <w:sz w:val="18"/>
          <w:szCs w:val="18"/>
          <w:rtl/>
        </w:rPr>
        <w:t>אמר</w:t>
      </w:r>
      <w:r w:rsidRPr="00271B88">
        <w:rPr>
          <w:rFonts w:cs="Arial"/>
          <w:sz w:val="18"/>
          <w:szCs w:val="18"/>
          <w:rtl/>
        </w:rPr>
        <w:t xml:space="preserve"> </w:t>
      </w:r>
      <w:r w:rsidRPr="00271B88">
        <w:rPr>
          <w:rFonts w:cs="Arial" w:hint="cs"/>
          <w:sz w:val="18"/>
          <w:szCs w:val="18"/>
          <w:rtl/>
        </w:rPr>
        <w:t>רבי</w:t>
      </w:r>
      <w:r w:rsidRPr="00271B88">
        <w:rPr>
          <w:rFonts w:cs="Arial"/>
          <w:sz w:val="18"/>
          <w:szCs w:val="18"/>
          <w:rtl/>
        </w:rPr>
        <w:t xml:space="preserve"> </w:t>
      </w:r>
      <w:r w:rsidRPr="00271B88">
        <w:rPr>
          <w:rFonts w:cs="Arial" w:hint="cs"/>
          <w:sz w:val="18"/>
          <w:szCs w:val="18"/>
          <w:rtl/>
        </w:rPr>
        <w:t>יוחנן</w:t>
      </w:r>
      <w:r w:rsidRPr="00271B88">
        <w:rPr>
          <w:rFonts w:cs="Arial"/>
          <w:sz w:val="18"/>
          <w:szCs w:val="18"/>
          <w:rtl/>
        </w:rPr>
        <w:t xml:space="preserve"> </w:t>
      </w:r>
      <w:r w:rsidRPr="00271B88">
        <w:rPr>
          <w:rFonts w:cs="Arial" w:hint="cs"/>
          <w:sz w:val="18"/>
          <w:szCs w:val="18"/>
          <w:rtl/>
        </w:rPr>
        <w:t>אפילו</w:t>
      </w:r>
      <w:r w:rsidRPr="00271B88">
        <w:rPr>
          <w:rFonts w:cs="Arial"/>
          <w:sz w:val="18"/>
          <w:szCs w:val="18"/>
          <w:rtl/>
        </w:rPr>
        <w:t xml:space="preserve"> </w:t>
      </w:r>
      <w:r w:rsidRPr="00271B88">
        <w:rPr>
          <w:rFonts w:cs="Arial" w:hint="cs"/>
          <w:sz w:val="18"/>
          <w:szCs w:val="18"/>
          <w:rtl/>
        </w:rPr>
        <w:t>ילדה</w:t>
      </w:r>
      <w:r w:rsidRPr="00271B88">
        <w:rPr>
          <w:rFonts w:cs="Arial"/>
          <w:sz w:val="18"/>
          <w:szCs w:val="18"/>
          <w:rtl/>
        </w:rPr>
        <w:t xml:space="preserve"> </w:t>
      </w:r>
      <w:r w:rsidRPr="00271B88">
        <w:rPr>
          <w:rFonts w:cs="Arial" w:hint="cs"/>
          <w:sz w:val="18"/>
          <w:szCs w:val="18"/>
          <w:rtl/>
        </w:rPr>
        <w:t>דבזיזא</w:t>
      </w:r>
      <w:r w:rsidRPr="00271B88">
        <w:rPr>
          <w:rFonts w:cs="Arial"/>
          <w:sz w:val="18"/>
          <w:szCs w:val="18"/>
          <w:rtl/>
        </w:rPr>
        <w:t xml:space="preserve"> </w:t>
      </w:r>
      <w:r w:rsidRPr="00271B88">
        <w:rPr>
          <w:rFonts w:cs="Arial" w:hint="cs"/>
          <w:sz w:val="18"/>
          <w:szCs w:val="18"/>
          <w:rtl/>
        </w:rPr>
        <w:t>למטבל?"</w:t>
      </w:r>
      <w:r w:rsidRPr="00271B88">
        <w:rPr>
          <w:sz w:val="18"/>
          <w:szCs w:val="18"/>
          <w:rtl/>
        </w:rPr>
        <w:br/>
      </w:r>
      <w:r w:rsidRPr="00271B88">
        <w:rPr>
          <w:rFonts w:hint="cs"/>
          <w:b/>
          <w:bCs/>
          <w:sz w:val="18"/>
          <w:szCs w:val="18"/>
          <w:rtl/>
        </w:rPr>
        <w:t>רש"י</w:t>
      </w:r>
      <w:r w:rsidRPr="00271B88">
        <w:rPr>
          <w:rFonts w:hint="cs"/>
          <w:sz w:val="18"/>
          <w:szCs w:val="18"/>
          <w:rtl/>
        </w:rPr>
        <w:t xml:space="preserve"> </w:t>
      </w:r>
      <w:r w:rsidRPr="00271B88">
        <w:rPr>
          <w:sz w:val="18"/>
          <w:szCs w:val="18"/>
          <w:rtl/>
        </w:rPr>
        <w:t>–</w:t>
      </w:r>
      <w:r w:rsidRPr="00271B88">
        <w:rPr>
          <w:rFonts w:hint="cs"/>
          <w:sz w:val="18"/>
          <w:szCs w:val="18"/>
          <w:rtl/>
        </w:rPr>
        <w:t xml:space="preserve"> מדובר בילדה שבושה לטבול עד שבעלה יפייסה</w:t>
      </w:r>
      <w:r>
        <w:rPr>
          <w:rFonts w:hint="cs"/>
          <w:sz w:val="18"/>
          <w:szCs w:val="18"/>
          <w:rtl/>
        </w:rPr>
        <w:t>, ואעפ"כ מותרת כיוון שהיא רק ספק ראתה</w:t>
      </w:r>
      <w:r w:rsidRPr="00271B88">
        <w:rPr>
          <w:rFonts w:hint="cs"/>
          <w:sz w:val="18"/>
          <w:szCs w:val="18"/>
          <w:rtl/>
        </w:rPr>
        <w:t xml:space="preserve">. </w:t>
      </w:r>
      <w:r w:rsidRPr="00271B88">
        <w:rPr>
          <w:sz w:val="18"/>
          <w:szCs w:val="18"/>
          <w:rtl/>
        </w:rPr>
        <w:br/>
      </w:r>
      <w:r w:rsidRPr="00271B88">
        <w:rPr>
          <w:rFonts w:hint="cs"/>
          <w:b/>
          <w:bCs/>
          <w:sz w:val="18"/>
          <w:szCs w:val="18"/>
          <w:rtl/>
        </w:rPr>
        <w:t xml:space="preserve">תוספות </w:t>
      </w:r>
      <w:r w:rsidRPr="00271B88">
        <w:rPr>
          <w:sz w:val="18"/>
          <w:szCs w:val="18"/>
          <w:rtl/>
        </w:rPr>
        <w:t>–</w:t>
      </w:r>
      <w:r w:rsidRPr="00271B88">
        <w:rPr>
          <w:rFonts w:hint="cs"/>
          <w:sz w:val="18"/>
          <w:szCs w:val="18"/>
          <w:rtl/>
        </w:rPr>
        <w:t xml:space="preserve"> מדובר באשה שילדה ילד ויראה לטבול מפני הצינה, ובכה"ג משיב רבי אבא שהיא ודאי ראתה ובכה"ג לא אמר רבי יוחנן שמותרת.</w:t>
      </w:r>
    </w:p>
  </w:footnote>
  <w:footnote w:id="57">
    <w:p w:rsidR="005953C5" w:rsidRPr="00CE01C1" w:rsidRDefault="005953C5" w:rsidP="00620060">
      <w:pPr>
        <w:pStyle w:val="a3"/>
        <w:rPr>
          <w:sz w:val="18"/>
          <w:szCs w:val="18"/>
          <w:rtl/>
        </w:rPr>
      </w:pPr>
      <w:r w:rsidRPr="00CE01C1">
        <w:rPr>
          <w:rStyle w:val="a5"/>
          <w:sz w:val="18"/>
          <w:szCs w:val="18"/>
        </w:rPr>
        <w:footnoteRef/>
      </w:r>
      <w:r w:rsidRPr="00CE01C1">
        <w:rPr>
          <w:sz w:val="18"/>
          <w:szCs w:val="18"/>
          <w:rtl/>
        </w:rPr>
        <w:t xml:space="preserve"> </w:t>
      </w:r>
      <w:r w:rsidRPr="00CE01C1">
        <w:rPr>
          <w:rFonts w:hint="cs"/>
          <w:sz w:val="18"/>
          <w:szCs w:val="18"/>
          <w:rtl/>
        </w:rPr>
        <w:t xml:space="preserve">דברי </w:t>
      </w:r>
      <w:r w:rsidRPr="00CE01C1">
        <w:rPr>
          <w:rFonts w:hint="cs"/>
          <w:b/>
          <w:bCs/>
          <w:sz w:val="18"/>
          <w:szCs w:val="18"/>
          <w:rtl/>
        </w:rPr>
        <w:t>המחבר</w:t>
      </w:r>
      <w:r w:rsidRPr="00CE01C1">
        <w:rPr>
          <w:rFonts w:hint="cs"/>
          <w:sz w:val="18"/>
          <w:szCs w:val="18"/>
          <w:rtl/>
        </w:rPr>
        <w:t xml:space="preserve"> בסעיף זה נראים לכאורה כסותרים לדבריו בסעיף ט', שהרי שם פסק שאם לא בדקה בשעת ווסתה טהורה מכאן ואילך, כדעת הרמב"ם. אמנם למעשה אין זו קושייה, מכיוון שבסעיף ט' מדובר באשה שלא בדקה ולא הרגישה, והבעל יודע זאת. ברם, כאן מדובר שהמציאות אינה ידועה לאיש ואילו לאשה המציאות ידועה, ולכן אסורה לו עד שיברר עמה האם היא טהורה.</w:t>
      </w:r>
      <w:r>
        <w:rPr>
          <w:rFonts w:hint="cs"/>
          <w:sz w:val="18"/>
          <w:szCs w:val="18"/>
          <w:rtl/>
        </w:rPr>
        <w:t xml:space="preserve"> אמנם, </w:t>
      </w:r>
      <w:r w:rsidRPr="00CD04CE">
        <w:rPr>
          <w:rFonts w:hint="cs"/>
          <w:b/>
          <w:bCs/>
          <w:sz w:val="18"/>
          <w:szCs w:val="18"/>
          <w:rtl/>
        </w:rPr>
        <w:t>הגר"א</w:t>
      </w:r>
      <w:r>
        <w:rPr>
          <w:rFonts w:hint="cs"/>
          <w:sz w:val="18"/>
          <w:szCs w:val="18"/>
          <w:rtl/>
        </w:rPr>
        <w:t xml:space="preserve"> מעיר שדברי המחבר כאן נאמרו בניגוד לשיטת הרמב"ם. ובאמת ששיטת המחבר לאסור, וכפי שפסק להדיא בסימן קפט' </w:t>
      </w:r>
      <w:r w:rsidRPr="000256E7">
        <w:rPr>
          <w:rFonts w:hint="cs"/>
          <w:sz w:val="16"/>
          <w:szCs w:val="16"/>
          <w:rtl/>
        </w:rPr>
        <w:t>(ד')</w:t>
      </w:r>
      <w:r>
        <w:rPr>
          <w:rFonts w:hint="cs"/>
          <w:sz w:val="18"/>
          <w:szCs w:val="18"/>
          <w:rtl/>
        </w:rPr>
        <w:t xml:space="preserve">, וכ"כ </w:t>
      </w:r>
      <w:r w:rsidRPr="000256E7">
        <w:rPr>
          <w:rFonts w:hint="cs"/>
          <w:b/>
          <w:bCs/>
          <w:sz w:val="18"/>
          <w:szCs w:val="18"/>
          <w:rtl/>
        </w:rPr>
        <w:t>ששבה"ל</w:t>
      </w:r>
      <w:r>
        <w:rPr>
          <w:rFonts w:hint="cs"/>
          <w:sz w:val="18"/>
          <w:szCs w:val="18"/>
          <w:rtl/>
        </w:rPr>
        <w:t xml:space="preserve"> </w:t>
      </w:r>
      <w:r w:rsidRPr="000256E7">
        <w:rPr>
          <w:rFonts w:hint="cs"/>
          <w:sz w:val="16"/>
          <w:szCs w:val="16"/>
          <w:rtl/>
        </w:rPr>
        <w:t>(בסעיף ט', ד"ה דהכי נהוג)</w:t>
      </w:r>
      <w:r>
        <w:rPr>
          <w:rFonts w:hint="cs"/>
          <w:sz w:val="18"/>
          <w:szCs w:val="18"/>
          <w:rtl/>
        </w:rPr>
        <w:t>.</w:t>
      </w:r>
    </w:p>
  </w:footnote>
  <w:footnote w:id="58">
    <w:p w:rsidR="005953C5" w:rsidRDefault="005953C5" w:rsidP="00620060">
      <w:pPr>
        <w:pStyle w:val="a3"/>
      </w:pPr>
      <w:r w:rsidRPr="00042007">
        <w:rPr>
          <w:rStyle w:val="a5"/>
          <w:sz w:val="18"/>
          <w:szCs w:val="18"/>
        </w:rPr>
        <w:footnoteRef/>
      </w:r>
      <w:r w:rsidRPr="00042007">
        <w:rPr>
          <w:sz w:val="18"/>
          <w:szCs w:val="18"/>
          <w:rtl/>
        </w:rPr>
        <w:t xml:space="preserve"> </w:t>
      </w:r>
      <w:r w:rsidRPr="00042007">
        <w:rPr>
          <w:rFonts w:hint="cs"/>
          <w:sz w:val="18"/>
          <w:szCs w:val="18"/>
          <w:rtl/>
        </w:rPr>
        <w:t xml:space="preserve">אמנם, רש"י פירש להדיא שאין זה מטעם ספק ספקא, אלא משום שהוה ליה ספק וספק, ספק ראתה וספק טבלה, </w:t>
      </w:r>
      <w:r>
        <w:rPr>
          <w:rFonts w:hint="cs"/>
          <w:sz w:val="18"/>
          <w:szCs w:val="18"/>
          <w:rtl/>
        </w:rPr>
        <w:t>וספק מוציא מידי ספק, וכן משמע טפי בסוגייה.</w:t>
      </w:r>
    </w:p>
  </w:footnote>
  <w:footnote w:id="59">
    <w:p w:rsidR="005953C5" w:rsidRDefault="005953C5" w:rsidP="00620060">
      <w:pPr>
        <w:pStyle w:val="a3"/>
      </w:pPr>
      <w:r w:rsidRPr="007D643F">
        <w:rPr>
          <w:rStyle w:val="a5"/>
          <w:sz w:val="18"/>
          <w:szCs w:val="18"/>
        </w:rPr>
        <w:footnoteRef/>
      </w:r>
      <w:r w:rsidRPr="007D643F">
        <w:rPr>
          <w:sz w:val="18"/>
          <w:szCs w:val="18"/>
          <w:rtl/>
        </w:rPr>
        <w:t xml:space="preserve"> </w:t>
      </w:r>
      <w:r w:rsidRPr="007D643F">
        <w:rPr>
          <w:rFonts w:hint="cs"/>
          <w:b/>
          <w:bCs/>
          <w:sz w:val="18"/>
          <w:szCs w:val="18"/>
          <w:rtl/>
        </w:rPr>
        <w:t>הש"ך</w:t>
      </w:r>
      <w:r w:rsidRPr="007D643F">
        <w:rPr>
          <w:rFonts w:hint="cs"/>
          <w:sz w:val="18"/>
          <w:szCs w:val="18"/>
          <w:rtl/>
        </w:rPr>
        <w:t xml:space="preserve"> מאריך בקושיות על דברי</w:t>
      </w:r>
      <w:r w:rsidRPr="007D643F">
        <w:rPr>
          <w:rFonts w:hint="cs"/>
          <w:b/>
          <w:bCs/>
          <w:sz w:val="18"/>
          <w:szCs w:val="18"/>
          <w:rtl/>
        </w:rPr>
        <w:t xml:space="preserve"> המחבר</w:t>
      </w:r>
      <w:r w:rsidRPr="007D643F">
        <w:rPr>
          <w:rFonts w:hint="cs"/>
          <w:sz w:val="18"/>
          <w:szCs w:val="18"/>
          <w:rtl/>
        </w:rPr>
        <w:t xml:space="preserve">, וקושיותיו נובעות מכך שרק מעשה התלוי בה עצמה ניתן לומר שלא עשתה ולכן לא ראתה, אך במעשה שאינו תלוי </w:t>
      </w:r>
      <w:r>
        <w:rPr>
          <w:rFonts w:hint="cs"/>
          <w:sz w:val="18"/>
          <w:szCs w:val="18"/>
          <w:rtl/>
        </w:rPr>
        <w:t xml:space="preserve">בה </w:t>
      </w:r>
      <w:r w:rsidRPr="007D643F">
        <w:rPr>
          <w:rFonts w:hint="cs"/>
          <w:sz w:val="18"/>
          <w:szCs w:val="18"/>
          <w:rtl/>
        </w:rPr>
        <w:t xml:space="preserve">לא שייך לומר כן. </w:t>
      </w:r>
      <w:r w:rsidRPr="007D643F">
        <w:rPr>
          <w:sz w:val="18"/>
          <w:szCs w:val="18"/>
          <w:rtl/>
        </w:rPr>
        <w:br/>
      </w:r>
      <w:r w:rsidRPr="007D643F">
        <w:rPr>
          <w:rFonts w:hint="cs"/>
          <w:sz w:val="18"/>
          <w:szCs w:val="18"/>
          <w:rtl/>
        </w:rPr>
        <w:t xml:space="preserve">אמנם, </w:t>
      </w:r>
      <w:r w:rsidRPr="007D643F">
        <w:rPr>
          <w:rFonts w:hint="cs"/>
          <w:b/>
          <w:bCs/>
          <w:sz w:val="18"/>
          <w:szCs w:val="18"/>
          <w:rtl/>
        </w:rPr>
        <w:t>הפת"ש</w:t>
      </w:r>
      <w:r w:rsidRPr="007D643F">
        <w:rPr>
          <w:rFonts w:hint="cs"/>
          <w:sz w:val="18"/>
          <w:szCs w:val="18"/>
          <w:rtl/>
        </w:rPr>
        <w:t xml:space="preserve"> כותב בשם האחרונים שכוונת המחבר לאכילת שום ושאר דברים חריפים, אך באמת בווסת פיהוק ועיטוש ושאר דברים שאינם בשליטתה של האשה מודה המחבר לש"ך שאסורה. </w:t>
      </w:r>
    </w:p>
  </w:footnote>
  <w:footnote w:id="60">
    <w:p w:rsidR="005953C5" w:rsidRDefault="005953C5" w:rsidP="00620060">
      <w:pPr>
        <w:pStyle w:val="a3"/>
      </w:pPr>
      <w:r w:rsidRPr="006A169B">
        <w:rPr>
          <w:rStyle w:val="a5"/>
          <w:sz w:val="18"/>
          <w:szCs w:val="18"/>
        </w:rPr>
        <w:footnoteRef/>
      </w:r>
      <w:r w:rsidRPr="006A169B">
        <w:rPr>
          <w:sz w:val="18"/>
          <w:szCs w:val="18"/>
          <w:rtl/>
        </w:rPr>
        <w:t xml:space="preserve"> </w:t>
      </w:r>
      <w:r w:rsidRPr="006A169B">
        <w:rPr>
          <w:rFonts w:hint="cs"/>
          <w:sz w:val="18"/>
          <w:szCs w:val="18"/>
          <w:rtl/>
        </w:rPr>
        <w:t>דין זה מבואר בסימן קפד' סעיף ט', ויוזכר כאן בקיצור: "</w:t>
      </w:r>
      <w:r w:rsidRPr="006A169B">
        <w:rPr>
          <w:rFonts w:cs="Arial" w:hint="cs"/>
          <w:sz w:val="18"/>
          <w:szCs w:val="18"/>
          <w:rtl/>
        </w:rPr>
        <w:t>אמר</w:t>
      </w:r>
      <w:r w:rsidRPr="006A169B">
        <w:rPr>
          <w:rFonts w:cs="Arial"/>
          <w:sz w:val="18"/>
          <w:szCs w:val="18"/>
          <w:rtl/>
        </w:rPr>
        <w:t xml:space="preserve"> </w:t>
      </w:r>
      <w:r w:rsidRPr="006A169B">
        <w:rPr>
          <w:rFonts w:cs="Arial" w:hint="cs"/>
          <w:sz w:val="18"/>
          <w:szCs w:val="18"/>
          <w:rtl/>
        </w:rPr>
        <w:t>רב</w:t>
      </w:r>
      <w:r w:rsidRPr="006A169B">
        <w:rPr>
          <w:rFonts w:cs="Arial"/>
          <w:sz w:val="18"/>
          <w:szCs w:val="18"/>
          <w:rtl/>
        </w:rPr>
        <w:t xml:space="preserve"> </w:t>
      </w:r>
      <w:r w:rsidRPr="006A169B">
        <w:rPr>
          <w:rFonts w:cs="Arial" w:hint="cs"/>
          <w:sz w:val="18"/>
          <w:szCs w:val="18"/>
          <w:rtl/>
        </w:rPr>
        <w:t>שמואל</w:t>
      </w:r>
      <w:r w:rsidRPr="006A169B">
        <w:rPr>
          <w:rFonts w:cs="Arial"/>
          <w:sz w:val="18"/>
          <w:szCs w:val="18"/>
          <w:rtl/>
        </w:rPr>
        <w:t xml:space="preserve"> </w:t>
      </w:r>
      <w:r w:rsidRPr="006A169B">
        <w:rPr>
          <w:rFonts w:cs="Arial" w:hint="cs"/>
          <w:sz w:val="18"/>
          <w:szCs w:val="18"/>
          <w:rtl/>
        </w:rPr>
        <w:t>משמיה</w:t>
      </w:r>
      <w:r w:rsidRPr="006A169B">
        <w:rPr>
          <w:rFonts w:cs="Arial"/>
          <w:sz w:val="18"/>
          <w:szCs w:val="18"/>
          <w:rtl/>
        </w:rPr>
        <w:t xml:space="preserve"> </w:t>
      </w:r>
      <w:r w:rsidRPr="006A169B">
        <w:rPr>
          <w:rFonts w:cs="Arial" w:hint="cs"/>
          <w:sz w:val="18"/>
          <w:szCs w:val="18"/>
          <w:rtl/>
        </w:rPr>
        <w:t>דרבי</w:t>
      </w:r>
      <w:r w:rsidRPr="006A169B">
        <w:rPr>
          <w:rFonts w:cs="Arial"/>
          <w:sz w:val="18"/>
          <w:szCs w:val="18"/>
          <w:rtl/>
        </w:rPr>
        <w:t xml:space="preserve"> </w:t>
      </w:r>
      <w:r w:rsidRPr="006A169B">
        <w:rPr>
          <w:rFonts w:cs="Arial" w:hint="cs"/>
          <w:sz w:val="18"/>
          <w:szCs w:val="18"/>
          <w:rtl/>
        </w:rPr>
        <w:t>יוחנן</w:t>
      </w:r>
      <w:r w:rsidRPr="006A169B">
        <w:rPr>
          <w:rFonts w:cs="Arial"/>
          <w:sz w:val="18"/>
          <w:szCs w:val="18"/>
          <w:rtl/>
        </w:rPr>
        <w:t xml:space="preserve">: </w:t>
      </w:r>
      <w:r w:rsidRPr="006A169B">
        <w:rPr>
          <w:rFonts w:cs="Arial" w:hint="cs"/>
          <w:sz w:val="18"/>
          <w:szCs w:val="18"/>
          <w:rtl/>
        </w:rPr>
        <w:t>אשה</w:t>
      </w:r>
      <w:r w:rsidRPr="006A169B">
        <w:rPr>
          <w:rFonts w:cs="Arial"/>
          <w:sz w:val="18"/>
          <w:szCs w:val="18"/>
          <w:rtl/>
        </w:rPr>
        <w:t xml:space="preserve"> </w:t>
      </w:r>
      <w:r w:rsidRPr="006A169B">
        <w:rPr>
          <w:rFonts w:cs="Arial" w:hint="cs"/>
          <w:sz w:val="18"/>
          <w:szCs w:val="18"/>
          <w:rtl/>
        </w:rPr>
        <w:t>שיש</w:t>
      </w:r>
      <w:r w:rsidRPr="006A169B">
        <w:rPr>
          <w:rFonts w:cs="Arial"/>
          <w:sz w:val="18"/>
          <w:szCs w:val="18"/>
          <w:rtl/>
        </w:rPr>
        <w:t xml:space="preserve"> </w:t>
      </w:r>
      <w:r w:rsidRPr="006A169B">
        <w:rPr>
          <w:rFonts w:cs="Arial" w:hint="cs"/>
          <w:sz w:val="18"/>
          <w:szCs w:val="18"/>
          <w:rtl/>
        </w:rPr>
        <w:t>לה</w:t>
      </w:r>
      <w:r w:rsidRPr="006A169B">
        <w:rPr>
          <w:rFonts w:cs="Arial"/>
          <w:sz w:val="18"/>
          <w:szCs w:val="18"/>
          <w:rtl/>
        </w:rPr>
        <w:t xml:space="preserve"> </w:t>
      </w:r>
      <w:r w:rsidRPr="006A169B">
        <w:rPr>
          <w:rFonts w:cs="Arial" w:hint="cs"/>
          <w:sz w:val="18"/>
          <w:szCs w:val="18"/>
          <w:rtl/>
        </w:rPr>
        <w:t>וסת</w:t>
      </w:r>
      <w:r w:rsidRPr="006A169B">
        <w:rPr>
          <w:rFonts w:cs="Arial"/>
          <w:sz w:val="18"/>
          <w:szCs w:val="18"/>
          <w:rtl/>
        </w:rPr>
        <w:t xml:space="preserve"> - </w:t>
      </w:r>
      <w:r w:rsidRPr="006A169B">
        <w:rPr>
          <w:rFonts w:cs="Arial" w:hint="cs"/>
          <w:sz w:val="18"/>
          <w:szCs w:val="18"/>
          <w:rtl/>
        </w:rPr>
        <w:t>בעלה</w:t>
      </w:r>
      <w:r w:rsidRPr="006A169B">
        <w:rPr>
          <w:rFonts w:cs="Arial"/>
          <w:sz w:val="18"/>
          <w:szCs w:val="18"/>
          <w:rtl/>
        </w:rPr>
        <w:t xml:space="preserve"> </w:t>
      </w:r>
      <w:r w:rsidRPr="006A169B">
        <w:rPr>
          <w:rFonts w:cs="Arial" w:hint="cs"/>
          <w:sz w:val="18"/>
          <w:szCs w:val="18"/>
          <w:rtl/>
        </w:rPr>
        <w:t>מחשב</w:t>
      </w:r>
      <w:r w:rsidRPr="006A169B">
        <w:rPr>
          <w:rFonts w:cs="Arial"/>
          <w:sz w:val="18"/>
          <w:szCs w:val="18"/>
          <w:rtl/>
        </w:rPr>
        <w:t xml:space="preserve"> </w:t>
      </w:r>
      <w:r w:rsidRPr="006A169B">
        <w:rPr>
          <w:rFonts w:cs="Arial" w:hint="cs"/>
          <w:sz w:val="18"/>
          <w:szCs w:val="18"/>
          <w:rtl/>
        </w:rPr>
        <w:t>ימי</w:t>
      </w:r>
      <w:r w:rsidRPr="006A169B">
        <w:rPr>
          <w:rFonts w:cs="Arial"/>
          <w:sz w:val="18"/>
          <w:szCs w:val="18"/>
          <w:rtl/>
        </w:rPr>
        <w:t xml:space="preserve"> </w:t>
      </w:r>
      <w:r w:rsidRPr="006A169B">
        <w:rPr>
          <w:rFonts w:cs="Arial" w:hint="cs"/>
          <w:sz w:val="18"/>
          <w:szCs w:val="18"/>
          <w:rtl/>
        </w:rPr>
        <w:t>וסתה</w:t>
      </w:r>
      <w:r w:rsidRPr="006A169B">
        <w:rPr>
          <w:rFonts w:cs="Arial"/>
          <w:sz w:val="18"/>
          <w:szCs w:val="18"/>
          <w:rtl/>
        </w:rPr>
        <w:t xml:space="preserve"> </w:t>
      </w:r>
      <w:r w:rsidRPr="006A169B">
        <w:rPr>
          <w:rFonts w:cs="Arial" w:hint="cs"/>
          <w:sz w:val="18"/>
          <w:szCs w:val="18"/>
          <w:rtl/>
        </w:rPr>
        <w:t>ובא</w:t>
      </w:r>
      <w:r w:rsidRPr="006A169B">
        <w:rPr>
          <w:rFonts w:cs="Arial"/>
          <w:sz w:val="18"/>
          <w:szCs w:val="18"/>
          <w:rtl/>
        </w:rPr>
        <w:t xml:space="preserve"> </w:t>
      </w:r>
      <w:r w:rsidRPr="006A169B">
        <w:rPr>
          <w:rFonts w:cs="Arial" w:hint="cs"/>
          <w:sz w:val="18"/>
          <w:szCs w:val="18"/>
          <w:rtl/>
        </w:rPr>
        <w:t xml:space="preserve">עליה". ומפרשת הגמרא שרבי יוחנן התיר לבוא עליה רק אם ספק ראתה, שכיוון שהיא רק ספק טמאה הרי יש גם ספק נגדי שמא טבלה וספק מוציא מידי ספק. </w:t>
      </w:r>
      <w:r w:rsidRPr="006A169B">
        <w:rPr>
          <w:rFonts w:cs="Arial" w:hint="cs"/>
          <w:sz w:val="16"/>
          <w:szCs w:val="16"/>
          <w:rtl/>
        </w:rPr>
        <w:t>(כך מסביר רש"י, אך יש מסבירים שמותרת מטעם ספק ספקא, ספק ראתה ואת"ל ראתה ספק טבלה).</w:t>
      </w:r>
    </w:p>
  </w:footnote>
  <w:footnote w:id="61">
    <w:p w:rsidR="005953C5" w:rsidRDefault="005953C5" w:rsidP="00620060">
      <w:pPr>
        <w:pStyle w:val="a3"/>
      </w:pPr>
      <w:r w:rsidRPr="0037397E">
        <w:rPr>
          <w:rStyle w:val="a5"/>
          <w:sz w:val="18"/>
          <w:szCs w:val="18"/>
        </w:rPr>
        <w:footnoteRef/>
      </w:r>
      <w:r w:rsidRPr="0037397E">
        <w:rPr>
          <w:sz w:val="18"/>
          <w:szCs w:val="18"/>
          <w:rtl/>
        </w:rPr>
        <w:t xml:space="preserve"> </w:t>
      </w:r>
      <w:r w:rsidRPr="0037397E">
        <w:rPr>
          <w:rFonts w:hint="cs"/>
          <w:b/>
          <w:bCs/>
          <w:sz w:val="18"/>
          <w:szCs w:val="18"/>
          <w:rtl/>
        </w:rPr>
        <w:t>הבית יוסף</w:t>
      </w:r>
      <w:r w:rsidRPr="0037397E">
        <w:rPr>
          <w:rFonts w:hint="cs"/>
          <w:sz w:val="18"/>
          <w:szCs w:val="18"/>
          <w:rtl/>
        </w:rPr>
        <w:t xml:space="preserve"> מדייק מדברי הטור שרק כשאומרת "טבלתי" מותר לו לבוא עליה, אך אם אומרת שלא נטמאה מעיקרא אינה נאמנת, משום שהיתה מוחזקת </w:t>
      </w:r>
      <w:r>
        <w:rPr>
          <w:rFonts w:hint="cs"/>
          <w:sz w:val="18"/>
          <w:szCs w:val="18"/>
          <w:rtl/>
        </w:rPr>
        <w:t>ב</w:t>
      </w:r>
      <w:r w:rsidRPr="0037397E">
        <w:rPr>
          <w:rFonts w:hint="cs"/>
          <w:sz w:val="18"/>
          <w:szCs w:val="18"/>
          <w:rtl/>
        </w:rPr>
        <w:t>ט</w:t>
      </w:r>
      <w:r>
        <w:rPr>
          <w:rFonts w:hint="cs"/>
          <w:sz w:val="18"/>
          <w:szCs w:val="18"/>
          <w:rtl/>
        </w:rPr>
        <w:t>ו</w:t>
      </w:r>
      <w:r w:rsidRPr="0037397E">
        <w:rPr>
          <w:rFonts w:hint="cs"/>
          <w:sz w:val="18"/>
          <w:szCs w:val="18"/>
          <w:rtl/>
        </w:rPr>
        <w:t>מאה.</w:t>
      </w:r>
    </w:p>
  </w:footnote>
  <w:footnote w:id="62">
    <w:p w:rsidR="005953C5" w:rsidRDefault="005953C5" w:rsidP="00620060">
      <w:pPr>
        <w:pStyle w:val="a3"/>
      </w:pPr>
      <w:r w:rsidRPr="00773C36">
        <w:rPr>
          <w:rStyle w:val="a5"/>
          <w:sz w:val="18"/>
          <w:szCs w:val="18"/>
        </w:rPr>
        <w:footnoteRef/>
      </w:r>
      <w:r w:rsidRPr="00773C36">
        <w:rPr>
          <w:sz w:val="18"/>
          <w:szCs w:val="18"/>
          <w:rtl/>
        </w:rPr>
        <w:t xml:space="preserve"> </w:t>
      </w:r>
      <w:r w:rsidRPr="00773C36">
        <w:rPr>
          <w:rFonts w:hint="cs"/>
          <w:sz w:val="18"/>
          <w:szCs w:val="18"/>
          <w:u w:val="single"/>
          <w:rtl/>
        </w:rPr>
        <w:t>הרחבה בדין זה</w:t>
      </w:r>
      <w:r w:rsidRPr="00773C36">
        <w:rPr>
          <w:sz w:val="18"/>
          <w:szCs w:val="18"/>
          <w:rtl/>
        </w:rPr>
        <w:br/>
      </w:r>
      <w:r w:rsidRPr="00773C36">
        <w:rPr>
          <w:rFonts w:hint="cs"/>
          <w:sz w:val="18"/>
          <w:szCs w:val="18"/>
          <w:rtl/>
        </w:rPr>
        <w:t>נאמר בברייתא לגבי חמרים ופועלים שאם הניחו את נשיהם טמאות הרי הן להן בחזקת טומאה, ומפרשים תוספות שאפילו אם היא ערה אסורה לו עד שתאמר "טבלתי". ברם, האחרונים כתבו כמה דחיות להוכחה זאת:</w:t>
      </w:r>
      <w:r w:rsidRPr="00773C36">
        <w:rPr>
          <w:rFonts w:hint="cs"/>
          <w:sz w:val="18"/>
          <w:szCs w:val="18"/>
          <w:rtl/>
        </w:rPr>
        <w:br/>
        <w:t>א. שם מדובר שבעלה תובע אותה, ובכה"ג חיישינן שמא יצרה התגבר עליה ולכן לא התנגדה, משא"כ כשהיא עושה מעשה מעצמה המוכיח שהיא טהורה שפיר מהני. (</w:t>
      </w:r>
      <w:r w:rsidRPr="00773C36">
        <w:rPr>
          <w:rFonts w:hint="cs"/>
          <w:b/>
          <w:bCs/>
          <w:sz w:val="18"/>
          <w:szCs w:val="18"/>
          <w:rtl/>
        </w:rPr>
        <w:t>פרדס רימונים וערוך השולחן</w:t>
      </w:r>
      <w:r w:rsidRPr="00773C36">
        <w:rPr>
          <w:rFonts w:hint="cs"/>
          <w:sz w:val="18"/>
          <w:szCs w:val="18"/>
          <w:rtl/>
        </w:rPr>
        <w:t>).</w:t>
      </w:r>
      <w:r w:rsidRPr="00773C36">
        <w:rPr>
          <w:sz w:val="18"/>
          <w:szCs w:val="18"/>
          <w:rtl/>
        </w:rPr>
        <w:br/>
      </w:r>
      <w:r w:rsidRPr="00773C36">
        <w:rPr>
          <w:rFonts w:hint="cs"/>
          <w:sz w:val="18"/>
          <w:szCs w:val="18"/>
          <w:rtl/>
        </w:rPr>
        <w:t>ב. שם מדובר בבא מן הדרך ואינו יודע מה נעשה עד עתה בבית, אך כאשר נמצא בבית ורואה אותה מכינה עצמה לטבילה אין צריך לשאול אותה (</w:t>
      </w:r>
      <w:r w:rsidRPr="00773C36">
        <w:rPr>
          <w:rFonts w:hint="cs"/>
          <w:b/>
          <w:bCs/>
          <w:sz w:val="18"/>
          <w:szCs w:val="18"/>
          <w:rtl/>
        </w:rPr>
        <w:t>לחם ושמלה</w:t>
      </w:r>
      <w:r w:rsidRPr="00773C36">
        <w:rPr>
          <w:rFonts w:hint="cs"/>
          <w:sz w:val="18"/>
          <w:szCs w:val="18"/>
          <w:rtl/>
        </w:rPr>
        <w:t>).</w:t>
      </w:r>
    </w:p>
  </w:footnote>
  <w:footnote w:id="63">
    <w:p w:rsidR="005953C5" w:rsidRDefault="005953C5" w:rsidP="00620060">
      <w:pPr>
        <w:pStyle w:val="a3"/>
      </w:pPr>
      <w:r w:rsidRPr="004A20D1">
        <w:rPr>
          <w:rStyle w:val="a5"/>
          <w:sz w:val="18"/>
          <w:szCs w:val="18"/>
        </w:rPr>
        <w:footnoteRef/>
      </w:r>
      <w:r w:rsidRPr="004A20D1">
        <w:rPr>
          <w:sz w:val="18"/>
          <w:szCs w:val="18"/>
          <w:rtl/>
        </w:rPr>
        <w:t xml:space="preserve"> </w:t>
      </w:r>
      <w:r w:rsidRPr="004A20D1">
        <w:rPr>
          <w:rFonts w:hint="cs"/>
          <w:sz w:val="18"/>
          <w:szCs w:val="18"/>
          <w:rtl/>
        </w:rPr>
        <w:t xml:space="preserve">אמנם, </w:t>
      </w:r>
      <w:r w:rsidRPr="004A20D1">
        <w:rPr>
          <w:rFonts w:hint="cs"/>
          <w:b/>
          <w:bCs/>
          <w:sz w:val="18"/>
          <w:szCs w:val="18"/>
          <w:rtl/>
        </w:rPr>
        <w:t>תוה"ש</w:t>
      </w:r>
      <w:r w:rsidRPr="004A20D1">
        <w:rPr>
          <w:rFonts w:hint="cs"/>
          <w:sz w:val="18"/>
          <w:szCs w:val="18"/>
          <w:rtl/>
        </w:rPr>
        <w:t xml:space="preserve"> מקשה על זה </w:t>
      </w:r>
      <w:r w:rsidRPr="004A20D1">
        <w:rPr>
          <w:sz w:val="18"/>
          <w:szCs w:val="18"/>
          <w:rtl/>
        </w:rPr>
        <w:t>–</w:t>
      </w:r>
      <w:r w:rsidRPr="004A20D1">
        <w:rPr>
          <w:rFonts w:hint="cs"/>
          <w:sz w:val="18"/>
          <w:szCs w:val="18"/>
          <w:rtl/>
        </w:rPr>
        <w:t xml:space="preserve"> קיי"ל שגם בספק ספקא צריך לברר כאשר הדבר אפשרי, ומדוע לעיל אינו צריך לשאולה? ומיישב </w:t>
      </w:r>
      <w:r w:rsidRPr="004A20D1">
        <w:rPr>
          <w:sz w:val="18"/>
          <w:szCs w:val="18"/>
          <w:rtl/>
        </w:rPr>
        <w:t>–</w:t>
      </w:r>
      <w:r w:rsidRPr="004A20D1">
        <w:rPr>
          <w:rFonts w:hint="cs"/>
          <w:sz w:val="18"/>
          <w:szCs w:val="18"/>
          <w:rtl/>
        </w:rPr>
        <w:t xml:space="preserve"> יש לאשה חזקת טהרה וגם מסתמא דרכה לטבול.</w:t>
      </w:r>
    </w:p>
  </w:footnote>
  <w:footnote w:id="64">
    <w:p w:rsidR="005953C5" w:rsidRDefault="005953C5" w:rsidP="00620060">
      <w:pPr>
        <w:pStyle w:val="a3"/>
      </w:pPr>
      <w:r w:rsidRPr="00416F04">
        <w:rPr>
          <w:rStyle w:val="a5"/>
          <w:sz w:val="18"/>
          <w:szCs w:val="18"/>
        </w:rPr>
        <w:footnoteRef/>
      </w:r>
      <w:r w:rsidRPr="00416F04">
        <w:rPr>
          <w:sz w:val="18"/>
          <w:szCs w:val="18"/>
          <w:rtl/>
        </w:rPr>
        <w:t xml:space="preserve"> </w:t>
      </w:r>
      <w:r w:rsidRPr="00416F04">
        <w:rPr>
          <w:rFonts w:hint="cs"/>
          <w:sz w:val="18"/>
          <w:szCs w:val="18"/>
          <w:rtl/>
        </w:rPr>
        <w:t xml:space="preserve">מוסיף </w:t>
      </w:r>
      <w:r w:rsidRPr="00416F04">
        <w:rPr>
          <w:rFonts w:hint="cs"/>
          <w:b/>
          <w:bCs/>
          <w:sz w:val="18"/>
          <w:szCs w:val="18"/>
          <w:rtl/>
        </w:rPr>
        <w:t>הפת"ש</w:t>
      </w:r>
      <w:r w:rsidRPr="00416F04">
        <w:rPr>
          <w:rFonts w:hint="cs"/>
          <w:sz w:val="18"/>
          <w:szCs w:val="18"/>
          <w:rtl/>
        </w:rPr>
        <w:t xml:space="preserve"> </w:t>
      </w:r>
      <w:r>
        <w:rPr>
          <w:sz w:val="18"/>
          <w:szCs w:val="18"/>
          <w:rtl/>
        </w:rPr>
        <w:t>–</w:t>
      </w:r>
      <w:r w:rsidRPr="00416F04">
        <w:rPr>
          <w:rFonts w:hint="cs"/>
          <w:sz w:val="18"/>
          <w:szCs w:val="18"/>
          <w:rtl/>
        </w:rPr>
        <w:t xml:space="preserve"> א</w:t>
      </w:r>
      <w:r>
        <w:rPr>
          <w:rFonts w:hint="cs"/>
          <w:sz w:val="18"/>
          <w:szCs w:val="18"/>
          <w:rtl/>
        </w:rPr>
        <w:t xml:space="preserve">ם </w:t>
      </w:r>
      <w:r w:rsidRPr="00416F04">
        <w:rPr>
          <w:rFonts w:hint="cs"/>
          <w:sz w:val="18"/>
          <w:szCs w:val="18"/>
          <w:u w:val="single"/>
          <w:rtl/>
        </w:rPr>
        <w:t>זנתה</w:t>
      </w:r>
      <w:r w:rsidRPr="00416F04">
        <w:rPr>
          <w:rFonts w:hint="cs"/>
          <w:sz w:val="18"/>
          <w:szCs w:val="18"/>
          <w:rtl/>
        </w:rPr>
        <w:t xml:space="preserve"> </w:t>
      </w:r>
      <w:r>
        <w:rPr>
          <w:rFonts w:hint="cs"/>
          <w:sz w:val="18"/>
          <w:szCs w:val="18"/>
          <w:rtl/>
        </w:rPr>
        <w:t>בעבר</w:t>
      </w:r>
      <w:r w:rsidRPr="00416F04">
        <w:rPr>
          <w:rFonts w:hint="cs"/>
          <w:sz w:val="18"/>
          <w:szCs w:val="18"/>
          <w:rtl/>
        </w:rPr>
        <w:t xml:space="preserve">, אינה חשודה להכשיל את בעלה </w:t>
      </w:r>
      <w:r>
        <w:rPr>
          <w:rFonts w:hint="cs"/>
          <w:sz w:val="18"/>
          <w:szCs w:val="18"/>
          <w:rtl/>
        </w:rPr>
        <w:t xml:space="preserve">החדש </w:t>
      </w:r>
      <w:r w:rsidRPr="002F1C70">
        <w:rPr>
          <w:rFonts w:hint="cs"/>
          <w:sz w:val="16"/>
          <w:szCs w:val="16"/>
          <w:rtl/>
        </w:rPr>
        <w:t xml:space="preserve">(על הראשון נאסרה) </w:t>
      </w:r>
      <w:r w:rsidRPr="00416F04">
        <w:rPr>
          <w:rFonts w:hint="cs"/>
          <w:sz w:val="18"/>
          <w:szCs w:val="18"/>
          <w:rtl/>
        </w:rPr>
        <w:t>ונאמנת א</w:t>
      </w:r>
      <w:r>
        <w:rPr>
          <w:rFonts w:hint="cs"/>
          <w:sz w:val="18"/>
          <w:szCs w:val="18"/>
          <w:rtl/>
        </w:rPr>
        <w:t xml:space="preserve">ף בשעת </w:t>
      </w:r>
      <w:r w:rsidRPr="00416F04">
        <w:rPr>
          <w:rFonts w:hint="cs"/>
          <w:sz w:val="18"/>
          <w:szCs w:val="18"/>
          <w:rtl/>
        </w:rPr>
        <w:t>ו</w:t>
      </w:r>
      <w:r>
        <w:rPr>
          <w:rFonts w:hint="cs"/>
          <w:sz w:val="18"/>
          <w:szCs w:val="18"/>
          <w:rtl/>
        </w:rPr>
        <w:t>ו</w:t>
      </w:r>
      <w:r w:rsidRPr="00416F04">
        <w:rPr>
          <w:rFonts w:hint="cs"/>
          <w:sz w:val="18"/>
          <w:szCs w:val="18"/>
          <w:rtl/>
        </w:rPr>
        <w:t>סתה.</w:t>
      </w:r>
      <w:r w:rsidRPr="00416F04">
        <w:rPr>
          <w:sz w:val="18"/>
          <w:szCs w:val="18"/>
          <w:rtl/>
        </w:rPr>
        <w:br/>
      </w:r>
      <w:r w:rsidRPr="00416F04">
        <w:rPr>
          <w:rFonts w:hint="cs"/>
          <w:sz w:val="18"/>
          <w:szCs w:val="18"/>
          <w:rtl/>
        </w:rPr>
        <w:t>והטעם הוא, משום שלגבי בעל אחר יש יותר יצר לחטוא, משום "מים גנובים ימתקו", אך אינה חשודה בכך גם לגבי בעלה.</w:t>
      </w:r>
    </w:p>
  </w:footnote>
  <w:footnote w:id="65">
    <w:p w:rsidR="005953C5" w:rsidRPr="00D440FF" w:rsidRDefault="005953C5" w:rsidP="00620060">
      <w:pPr>
        <w:pStyle w:val="a3"/>
        <w:rPr>
          <w:rFonts w:cs="Arial"/>
          <w:sz w:val="18"/>
          <w:szCs w:val="18"/>
        </w:rPr>
      </w:pPr>
      <w:r w:rsidRPr="00D440FF">
        <w:rPr>
          <w:rStyle w:val="a5"/>
          <w:sz w:val="18"/>
          <w:szCs w:val="18"/>
        </w:rPr>
        <w:footnoteRef/>
      </w:r>
      <w:r w:rsidRPr="00D440FF">
        <w:rPr>
          <w:sz w:val="18"/>
          <w:szCs w:val="18"/>
          <w:rtl/>
        </w:rPr>
        <w:t xml:space="preserve"> </w:t>
      </w:r>
      <w:r w:rsidRPr="00D440FF">
        <w:rPr>
          <w:rFonts w:hint="cs"/>
          <w:sz w:val="18"/>
          <w:szCs w:val="18"/>
          <w:rtl/>
        </w:rPr>
        <w:t xml:space="preserve">זו לשון </w:t>
      </w:r>
      <w:r w:rsidRPr="00D440FF">
        <w:rPr>
          <w:rFonts w:hint="cs"/>
          <w:b/>
          <w:bCs/>
          <w:sz w:val="18"/>
          <w:szCs w:val="18"/>
          <w:rtl/>
        </w:rPr>
        <w:t>ערוך השולחן</w:t>
      </w:r>
      <w:r w:rsidRPr="00D440FF">
        <w:rPr>
          <w:rFonts w:hint="cs"/>
          <w:sz w:val="18"/>
          <w:szCs w:val="18"/>
          <w:rtl/>
        </w:rPr>
        <w:t xml:space="preserve"> ב</w:t>
      </w:r>
      <w:r>
        <w:rPr>
          <w:rFonts w:hint="cs"/>
          <w:sz w:val="18"/>
          <w:szCs w:val="18"/>
          <w:rtl/>
        </w:rPr>
        <w:t>דין זה</w:t>
      </w:r>
      <w:r w:rsidRPr="00D440FF">
        <w:rPr>
          <w:rFonts w:hint="cs"/>
          <w:sz w:val="18"/>
          <w:szCs w:val="18"/>
          <w:rtl/>
        </w:rPr>
        <w:t xml:space="preserve"> </w:t>
      </w:r>
      <w:r w:rsidRPr="00D440FF">
        <w:rPr>
          <w:sz w:val="18"/>
          <w:szCs w:val="18"/>
          <w:rtl/>
        </w:rPr>
        <w:t>–</w:t>
      </w:r>
      <w:r w:rsidRPr="00D440FF">
        <w:rPr>
          <w:rFonts w:hint="cs"/>
          <w:sz w:val="18"/>
          <w:szCs w:val="18"/>
          <w:rtl/>
        </w:rPr>
        <w:t xml:space="preserve"> "</w:t>
      </w:r>
      <w:r w:rsidRPr="00D440FF">
        <w:rPr>
          <w:rFonts w:cs="Arial" w:hint="cs"/>
          <w:sz w:val="18"/>
          <w:szCs w:val="18"/>
          <w:rtl/>
        </w:rPr>
        <w:t>אבל</w:t>
      </w:r>
      <w:r w:rsidRPr="00D440FF">
        <w:rPr>
          <w:rFonts w:cs="Arial"/>
          <w:sz w:val="18"/>
          <w:szCs w:val="18"/>
          <w:rtl/>
        </w:rPr>
        <w:t xml:space="preserve"> </w:t>
      </w:r>
      <w:r w:rsidRPr="00D440FF">
        <w:rPr>
          <w:rFonts w:cs="Arial" w:hint="cs"/>
          <w:sz w:val="18"/>
          <w:szCs w:val="18"/>
          <w:rtl/>
        </w:rPr>
        <w:t>אם</w:t>
      </w:r>
      <w:r w:rsidRPr="00D440FF">
        <w:rPr>
          <w:rFonts w:cs="Arial"/>
          <w:sz w:val="18"/>
          <w:szCs w:val="18"/>
          <w:rtl/>
        </w:rPr>
        <w:t xml:space="preserve"> </w:t>
      </w:r>
      <w:r w:rsidRPr="00D440FF">
        <w:rPr>
          <w:rFonts w:cs="Arial" w:hint="cs"/>
          <w:sz w:val="18"/>
          <w:szCs w:val="18"/>
          <w:rtl/>
        </w:rPr>
        <w:t>הכשילה</w:t>
      </w:r>
      <w:r w:rsidRPr="00D440FF">
        <w:rPr>
          <w:rFonts w:cs="Arial"/>
          <w:sz w:val="18"/>
          <w:szCs w:val="18"/>
          <w:rtl/>
        </w:rPr>
        <w:t xml:space="preserve"> </w:t>
      </w:r>
      <w:r w:rsidRPr="00D440FF">
        <w:rPr>
          <w:rFonts w:cs="Arial" w:hint="cs"/>
          <w:sz w:val="18"/>
          <w:szCs w:val="18"/>
          <w:rtl/>
        </w:rPr>
        <w:t>פעם</w:t>
      </w:r>
      <w:r w:rsidRPr="00D440FF">
        <w:rPr>
          <w:rFonts w:cs="Arial"/>
          <w:sz w:val="18"/>
          <w:szCs w:val="18"/>
          <w:rtl/>
        </w:rPr>
        <w:t xml:space="preserve"> </w:t>
      </w:r>
      <w:r w:rsidRPr="00D440FF">
        <w:rPr>
          <w:rFonts w:cs="Arial" w:hint="cs"/>
          <w:sz w:val="18"/>
          <w:szCs w:val="18"/>
          <w:rtl/>
        </w:rPr>
        <w:t>אחת</w:t>
      </w:r>
      <w:r w:rsidRPr="00D440FF">
        <w:rPr>
          <w:rFonts w:cs="Arial"/>
          <w:sz w:val="18"/>
          <w:szCs w:val="18"/>
          <w:rtl/>
        </w:rPr>
        <w:t xml:space="preserve"> </w:t>
      </w:r>
      <w:r w:rsidRPr="00D440FF">
        <w:rPr>
          <w:rFonts w:cs="Arial" w:hint="cs"/>
          <w:sz w:val="18"/>
          <w:szCs w:val="18"/>
          <w:rtl/>
        </w:rPr>
        <w:t>את</w:t>
      </w:r>
      <w:r w:rsidRPr="00D440FF">
        <w:rPr>
          <w:rFonts w:cs="Arial"/>
          <w:sz w:val="18"/>
          <w:szCs w:val="18"/>
          <w:rtl/>
        </w:rPr>
        <w:t xml:space="preserve"> </w:t>
      </w:r>
      <w:r w:rsidRPr="00D440FF">
        <w:rPr>
          <w:rFonts w:cs="Arial" w:hint="cs"/>
          <w:sz w:val="18"/>
          <w:szCs w:val="18"/>
          <w:rtl/>
        </w:rPr>
        <w:t>בעלה</w:t>
      </w:r>
      <w:r w:rsidRPr="00D440FF">
        <w:rPr>
          <w:rFonts w:cs="Arial"/>
          <w:sz w:val="18"/>
          <w:szCs w:val="18"/>
          <w:rtl/>
        </w:rPr>
        <w:t xml:space="preserve"> </w:t>
      </w:r>
      <w:r w:rsidRPr="00D440FF">
        <w:rPr>
          <w:rFonts w:cs="Arial" w:hint="cs"/>
          <w:sz w:val="18"/>
          <w:szCs w:val="18"/>
          <w:rtl/>
        </w:rPr>
        <w:t>באיסור</w:t>
      </w:r>
      <w:r w:rsidRPr="00D440FF">
        <w:rPr>
          <w:rFonts w:cs="Arial"/>
          <w:sz w:val="18"/>
          <w:szCs w:val="18"/>
          <w:rtl/>
        </w:rPr>
        <w:t xml:space="preserve"> </w:t>
      </w:r>
      <w:r w:rsidRPr="00D440FF">
        <w:rPr>
          <w:rFonts w:cs="Arial" w:hint="cs"/>
          <w:sz w:val="18"/>
          <w:szCs w:val="18"/>
          <w:rtl/>
        </w:rPr>
        <w:t>נדה</w:t>
      </w:r>
      <w:r>
        <w:rPr>
          <w:rFonts w:cs="Arial" w:hint="cs"/>
          <w:sz w:val="18"/>
          <w:szCs w:val="18"/>
          <w:rtl/>
        </w:rPr>
        <w:t>,</w:t>
      </w:r>
      <w:r w:rsidRPr="00D440FF">
        <w:rPr>
          <w:rFonts w:cs="Arial"/>
          <w:sz w:val="18"/>
          <w:szCs w:val="18"/>
          <w:rtl/>
        </w:rPr>
        <w:t xml:space="preserve"> </w:t>
      </w:r>
      <w:r w:rsidRPr="00D440FF">
        <w:rPr>
          <w:rFonts w:cs="Arial" w:hint="cs"/>
          <w:sz w:val="18"/>
          <w:szCs w:val="18"/>
          <w:rtl/>
        </w:rPr>
        <w:t>נ</w:t>
      </w:r>
      <w:r>
        <w:rPr>
          <w:rFonts w:cs="Arial" w:hint="cs"/>
          <w:sz w:val="18"/>
          <w:szCs w:val="18"/>
          <w:rtl/>
        </w:rPr>
        <w:t xml:space="preserve">ראה </w:t>
      </w:r>
      <w:r w:rsidRPr="00D440FF">
        <w:rPr>
          <w:rFonts w:cs="Arial" w:hint="cs"/>
          <w:sz w:val="18"/>
          <w:szCs w:val="18"/>
          <w:rtl/>
        </w:rPr>
        <w:t>ל</w:t>
      </w:r>
      <w:r>
        <w:rPr>
          <w:rFonts w:cs="Arial" w:hint="cs"/>
          <w:sz w:val="18"/>
          <w:szCs w:val="18"/>
          <w:rtl/>
        </w:rPr>
        <w:t>י</w:t>
      </w:r>
      <w:r w:rsidRPr="00D440FF">
        <w:rPr>
          <w:rFonts w:cs="Arial"/>
          <w:sz w:val="18"/>
          <w:szCs w:val="18"/>
          <w:rtl/>
        </w:rPr>
        <w:t xml:space="preserve"> </w:t>
      </w:r>
      <w:r w:rsidRPr="00D440FF">
        <w:rPr>
          <w:rFonts w:cs="Arial" w:hint="cs"/>
          <w:sz w:val="18"/>
          <w:szCs w:val="18"/>
          <w:rtl/>
        </w:rPr>
        <w:t>ברור</w:t>
      </w:r>
      <w:r w:rsidRPr="00D440FF">
        <w:rPr>
          <w:rFonts w:cs="Arial"/>
          <w:sz w:val="18"/>
          <w:szCs w:val="18"/>
          <w:rtl/>
        </w:rPr>
        <w:t xml:space="preserve"> </w:t>
      </w:r>
      <w:r w:rsidRPr="00D440FF">
        <w:rPr>
          <w:rFonts w:cs="Arial" w:hint="cs"/>
          <w:sz w:val="18"/>
          <w:szCs w:val="18"/>
          <w:rtl/>
        </w:rPr>
        <w:t>דשוב</w:t>
      </w:r>
      <w:r w:rsidRPr="00D440FF">
        <w:rPr>
          <w:rFonts w:cs="Arial"/>
          <w:sz w:val="18"/>
          <w:szCs w:val="18"/>
          <w:rtl/>
        </w:rPr>
        <w:t xml:space="preserve"> </w:t>
      </w:r>
      <w:r w:rsidRPr="00D440FF">
        <w:rPr>
          <w:rFonts w:cs="Arial" w:hint="cs"/>
          <w:sz w:val="18"/>
          <w:szCs w:val="18"/>
          <w:rtl/>
        </w:rPr>
        <w:t>אינה</w:t>
      </w:r>
      <w:r w:rsidRPr="00D440FF">
        <w:rPr>
          <w:rFonts w:cs="Arial"/>
          <w:sz w:val="18"/>
          <w:szCs w:val="18"/>
          <w:rtl/>
        </w:rPr>
        <w:t xml:space="preserve"> </w:t>
      </w:r>
      <w:r w:rsidRPr="00D440FF">
        <w:rPr>
          <w:rFonts w:cs="Arial" w:hint="cs"/>
          <w:sz w:val="18"/>
          <w:szCs w:val="18"/>
          <w:rtl/>
        </w:rPr>
        <w:t>נאמנת</w:t>
      </w:r>
      <w:r w:rsidRPr="00D440FF">
        <w:rPr>
          <w:rFonts w:cs="Arial"/>
          <w:sz w:val="18"/>
          <w:szCs w:val="18"/>
          <w:rtl/>
        </w:rPr>
        <w:t xml:space="preserve"> </w:t>
      </w:r>
      <w:r w:rsidRPr="00D440FF">
        <w:rPr>
          <w:rFonts w:cs="Arial" w:hint="cs"/>
          <w:sz w:val="18"/>
          <w:szCs w:val="18"/>
          <w:rtl/>
        </w:rPr>
        <w:t>ומחויב</w:t>
      </w:r>
      <w:r w:rsidRPr="00D440FF">
        <w:rPr>
          <w:rFonts w:cs="Arial"/>
          <w:sz w:val="18"/>
          <w:szCs w:val="18"/>
          <w:rtl/>
        </w:rPr>
        <w:t xml:space="preserve"> </w:t>
      </w:r>
      <w:r w:rsidRPr="00D440FF">
        <w:rPr>
          <w:rFonts w:cs="Arial" w:hint="cs"/>
          <w:sz w:val="18"/>
          <w:szCs w:val="18"/>
          <w:rtl/>
        </w:rPr>
        <w:t>הבעל</w:t>
      </w:r>
      <w:r w:rsidRPr="00D440FF">
        <w:rPr>
          <w:rFonts w:cs="Arial"/>
          <w:sz w:val="18"/>
          <w:szCs w:val="18"/>
          <w:rtl/>
        </w:rPr>
        <w:t xml:space="preserve"> </w:t>
      </w:r>
      <w:r w:rsidRPr="00D440FF">
        <w:rPr>
          <w:rFonts w:cs="Arial" w:hint="cs"/>
          <w:sz w:val="18"/>
          <w:szCs w:val="18"/>
          <w:rtl/>
        </w:rPr>
        <w:t>להעמיד</w:t>
      </w:r>
      <w:r w:rsidRPr="00D440FF">
        <w:rPr>
          <w:rFonts w:cs="Arial"/>
          <w:sz w:val="18"/>
          <w:szCs w:val="18"/>
          <w:rtl/>
        </w:rPr>
        <w:t xml:space="preserve"> </w:t>
      </w:r>
      <w:r w:rsidRPr="00D440FF">
        <w:rPr>
          <w:rFonts w:cs="Arial" w:hint="cs"/>
          <w:sz w:val="18"/>
          <w:szCs w:val="18"/>
          <w:rtl/>
        </w:rPr>
        <w:t>לה</w:t>
      </w:r>
      <w:r w:rsidRPr="00D440FF">
        <w:rPr>
          <w:rFonts w:cs="Arial"/>
          <w:sz w:val="18"/>
          <w:szCs w:val="18"/>
          <w:rtl/>
        </w:rPr>
        <w:t xml:space="preserve"> </w:t>
      </w:r>
      <w:r w:rsidRPr="00D440FF">
        <w:rPr>
          <w:rFonts w:cs="Arial" w:hint="cs"/>
          <w:sz w:val="18"/>
          <w:szCs w:val="18"/>
          <w:rtl/>
        </w:rPr>
        <w:t>עדים</w:t>
      </w:r>
      <w:r>
        <w:rPr>
          <w:rFonts w:cs="Arial" w:hint="cs"/>
          <w:sz w:val="18"/>
          <w:szCs w:val="18"/>
          <w:rtl/>
        </w:rPr>
        <w:t>,</w:t>
      </w:r>
      <w:r w:rsidRPr="00D440FF">
        <w:rPr>
          <w:rFonts w:cs="Arial"/>
          <w:sz w:val="18"/>
          <w:szCs w:val="18"/>
          <w:rtl/>
        </w:rPr>
        <w:t xml:space="preserve"> </w:t>
      </w:r>
      <w:r w:rsidRPr="00D440FF">
        <w:rPr>
          <w:rFonts w:cs="Arial" w:hint="cs"/>
          <w:sz w:val="18"/>
          <w:szCs w:val="18"/>
          <w:rtl/>
        </w:rPr>
        <w:t>או</w:t>
      </w:r>
      <w:r w:rsidRPr="00D440FF">
        <w:rPr>
          <w:rFonts w:cs="Arial"/>
          <w:sz w:val="18"/>
          <w:szCs w:val="18"/>
          <w:rtl/>
        </w:rPr>
        <w:t xml:space="preserve"> </w:t>
      </w:r>
      <w:r w:rsidRPr="00D440FF">
        <w:rPr>
          <w:rFonts w:cs="Arial" w:hint="cs"/>
          <w:sz w:val="18"/>
          <w:szCs w:val="18"/>
          <w:rtl/>
        </w:rPr>
        <w:t>שייוודע</w:t>
      </w:r>
      <w:r w:rsidRPr="00D440FF">
        <w:rPr>
          <w:rFonts w:cs="Arial"/>
          <w:sz w:val="18"/>
          <w:szCs w:val="18"/>
          <w:rtl/>
        </w:rPr>
        <w:t xml:space="preserve"> </w:t>
      </w:r>
      <w:r w:rsidRPr="00D440FF">
        <w:rPr>
          <w:rFonts w:cs="Arial" w:hint="cs"/>
          <w:sz w:val="18"/>
          <w:szCs w:val="18"/>
          <w:rtl/>
        </w:rPr>
        <w:t>בעצמו</w:t>
      </w:r>
      <w:r w:rsidRPr="00D440FF">
        <w:rPr>
          <w:rFonts w:cs="Arial"/>
          <w:sz w:val="18"/>
          <w:szCs w:val="18"/>
          <w:rtl/>
        </w:rPr>
        <w:t xml:space="preserve"> </w:t>
      </w:r>
      <w:r w:rsidRPr="00D440FF">
        <w:rPr>
          <w:rFonts w:cs="Arial" w:hint="cs"/>
          <w:sz w:val="18"/>
          <w:szCs w:val="18"/>
          <w:rtl/>
        </w:rPr>
        <w:t>שהלכה</w:t>
      </w:r>
      <w:r w:rsidRPr="00D440FF">
        <w:rPr>
          <w:rFonts w:cs="Arial"/>
          <w:sz w:val="18"/>
          <w:szCs w:val="18"/>
          <w:rtl/>
        </w:rPr>
        <w:t xml:space="preserve"> </w:t>
      </w:r>
      <w:r w:rsidRPr="00D440FF">
        <w:rPr>
          <w:rFonts w:cs="Arial" w:hint="cs"/>
          <w:sz w:val="18"/>
          <w:szCs w:val="18"/>
          <w:rtl/>
        </w:rPr>
        <w:t>למקוה</w:t>
      </w:r>
      <w:r w:rsidRPr="00D440FF">
        <w:rPr>
          <w:rFonts w:cs="Arial"/>
          <w:sz w:val="18"/>
          <w:szCs w:val="18"/>
          <w:rtl/>
        </w:rPr>
        <w:t xml:space="preserve"> </w:t>
      </w:r>
      <w:r w:rsidRPr="00D440FF">
        <w:rPr>
          <w:rFonts w:cs="Arial" w:hint="cs"/>
          <w:sz w:val="18"/>
          <w:szCs w:val="18"/>
          <w:rtl/>
        </w:rPr>
        <w:t>אחרי</w:t>
      </w:r>
      <w:r w:rsidRPr="00D440FF">
        <w:rPr>
          <w:rFonts w:cs="Arial"/>
          <w:sz w:val="18"/>
          <w:szCs w:val="18"/>
          <w:rtl/>
        </w:rPr>
        <w:t xml:space="preserve"> </w:t>
      </w:r>
      <w:r w:rsidRPr="00D440FF">
        <w:rPr>
          <w:rFonts w:cs="Arial" w:hint="cs"/>
          <w:sz w:val="18"/>
          <w:szCs w:val="18"/>
          <w:rtl/>
        </w:rPr>
        <w:t>הימים</w:t>
      </w:r>
      <w:r w:rsidRPr="00D440FF">
        <w:rPr>
          <w:rFonts w:cs="Arial"/>
          <w:sz w:val="18"/>
          <w:szCs w:val="18"/>
          <w:rtl/>
        </w:rPr>
        <w:t xml:space="preserve"> </w:t>
      </w:r>
      <w:r w:rsidRPr="00D440FF">
        <w:rPr>
          <w:rFonts w:cs="Arial" w:hint="cs"/>
          <w:sz w:val="18"/>
          <w:szCs w:val="18"/>
          <w:rtl/>
        </w:rPr>
        <w:t>הראוי</w:t>
      </w:r>
      <w:r>
        <w:rPr>
          <w:rFonts w:cs="Arial" w:hint="cs"/>
          <w:sz w:val="18"/>
          <w:szCs w:val="18"/>
          <w:rtl/>
        </w:rPr>
        <w:t>י</w:t>
      </w:r>
      <w:r w:rsidRPr="00D440FF">
        <w:rPr>
          <w:rFonts w:cs="Arial" w:hint="cs"/>
          <w:sz w:val="18"/>
          <w:szCs w:val="18"/>
          <w:rtl/>
        </w:rPr>
        <w:t>ם</w:t>
      </w:r>
      <w:r w:rsidRPr="00D440FF">
        <w:rPr>
          <w:rFonts w:cs="Arial"/>
          <w:sz w:val="18"/>
          <w:szCs w:val="18"/>
          <w:rtl/>
        </w:rPr>
        <w:t xml:space="preserve"> </w:t>
      </w:r>
      <w:r w:rsidRPr="00D440FF">
        <w:rPr>
          <w:rFonts w:cs="Arial" w:hint="cs"/>
          <w:sz w:val="18"/>
          <w:szCs w:val="18"/>
          <w:rtl/>
        </w:rPr>
        <w:t>לה</w:t>
      </w:r>
      <w:r w:rsidRPr="00D440FF">
        <w:rPr>
          <w:rFonts w:cs="Arial"/>
          <w:sz w:val="18"/>
          <w:szCs w:val="18"/>
          <w:rtl/>
        </w:rPr>
        <w:t xml:space="preserve"> </w:t>
      </w:r>
      <w:r w:rsidRPr="00D440FF">
        <w:rPr>
          <w:rFonts w:cs="Arial" w:hint="cs"/>
          <w:sz w:val="18"/>
          <w:szCs w:val="18"/>
          <w:rtl/>
        </w:rPr>
        <w:t>כפי</w:t>
      </w:r>
      <w:r w:rsidRPr="00D440FF">
        <w:rPr>
          <w:rFonts w:cs="Arial"/>
          <w:sz w:val="18"/>
          <w:szCs w:val="18"/>
          <w:rtl/>
        </w:rPr>
        <w:t xml:space="preserve"> </w:t>
      </w:r>
      <w:r w:rsidRPr="00D440FF">
        <w:rPr>
          <w:rFonts w:cs="Arial" w:hint="cs"/>
          <w:sz w:val="18"/>
          <w:szCs w:val="18"/>
          <w:rtl/>
        </w:rPr>
        <w:t>שיעור</w:t>
      </w:r>
      <w:r w:rsidRPr="00D440FF">
        <w:rPr>
          <w:rFonts w:cs="Arial"/>
          <w:sz w:val="18"/>
          <w:szCs w:val="18"/>
          <w:rtl/>
        </w:rPr>
        <w:t xml:space="preserve"> </w:t>
      </w:r>
      <w:r w:rsidRPr="00D440FF">
        <w:rPr>
          <w:rFonts w:cs="Arial" w:hint="cs"/>
          <w:sz w:val="18"/>
          <w:szCs w:val="18"/>
          <w:rtl/>
        </w:rPr>
        <w:t>וסתה</w:t>
      </w:r>
      <w:r>
        <w:rPr>
          <w:rFonts w:cs="Arial" w:hint="cs"/>
          <w:sz w:val="18"/>
          <w:szCs w:val="18"/>
          <w:rtl/>
        </w:rPr>
        <w:t>.</w:t>
      </w:r>
      <w:r w:rsidRPr="00D440FF">
        <w:rPr>
          <w:rFonts w:cs="Arial"/>
          <w:sz w:val="18"/>
          <w:szCs w:val="18"/>
          <w:rtl/>
        </w:rPr>
        <w:t xml:space="preserve"> </w:t>
      </w:r>
      <w:r w:rsidRPr="00D440FF">
        <w:rPr>
          <w:rFonts w:cs="Arial" w:hint="cs"/>
          <w:sz w:val="18"/>
          <w:szCs w:val="18"/>
          <w:rtl/>
        </w:rPr>
        <w:t>ולאו</w:t>
      </w:r>
      <w:r w:rsidRPr="00D440FF">
        <w:rPr>
          <w:rFonts w:cs="Arial"/>
          <w:sz w:val="18"/>
          <w:szCs w:val="18"/>
          <w:rtl/>
        </w:rPr>
        <w:t xml:space="preserve"> </w:t>
      </w:r>
      <w:r w:rsidRPr="00D440FF">
        <w:rPr>
          <w:rFonts w:cs="Arial" w:hint="cs"/>
          <w:sz w:val="18"/>
          <w:szCs w:val="18"/>
          <w:rtl/>
        </w:rPr>
        <w:t>דווקא</w:t>
      </w:r>
      <w:r w:rsidRPr="00D440FF">
        <w:rPr>
          <w:rFonts w:cs="Arial"/>
          <w:sz w:val="18"/>
          <w:szCs w:val="18"/>
          <w:rtl/>
        </w:rPr>
        <w:t xml:space="preserve"> </w:t>
      </w:r>
      <w:r w:rsidRPr="00D440FF">
        <w:rPr>
          <w:rFonts w:cs="Arial" w:hint="cs"/>
          <w:sz w:val="18"/>
          <w:szCs w:val="18"/>
          <w:rtl/>
        </w:rPr>
        <w:t>עדים</w:t>
      </w:r>
      <w:r w:rsidRPr="00D440FF">
        <w:rPr>
          <w:rFonts w:cs="Arial"/>
          <w:sz w:val="18"/>
          <w:szCs w:val="18"/>
          <w:rtl/>
        </w:rPr>
        <w:t xml:space="preserve"> </w:t>
      </w:r>
      <w:r w:rsidRPr="00D440FF">
        <w:rPr>
          <w:rFonts w:cs="Arial" w:hint="cs"/>
          <w:sz w:val="18"/>
          <w:szCs w:val="18"/>
          <w:rtl/>
        </w:rPr>
        <w:t>כשרים</w:t>
      </w:r>
      <w:r w:rsidRPr="00D440FF">
        <w:rPr>
          <w:rFonts w:cs="Arial"/>
          <w:sz w:val="18"/>
          <w:szCs w:val="18"/>
          <w:rtl/>
        </w:rPr>
        <w:t xml:space="preserve"> </w:t>
      </w:r>
      <w:r w:rsidRPr="00D440FF">
        <w:rPr>
          <w:rFonts w:cs="Arial" w:hint="cs"/>
          <w:sz w:val="18"/>
          <w:szCs w:val="18"/>
          <w:rtl/>
        </w:rPr>
        <w:t>דזה</w:t>
      </w:r>
      <w:r w:rsidRPr="00D440FF">
        <w:rPr>
          <w:rFonts w:cs="Arial"/>
          <w:sz w:val="18"/>
          <w:szCs w:val="18"/>
          <w:rtl/>
        </w:rPr>
        <w:t xml:space="preserve"> </w:t>
      </w:r>
      <w:r w:rsidRPr="00D440FF">
        <w:rPr>
          <w:rFonts w:cs="Arial" w:hint="cs"/>
          <w:sz w:val="18"/>
          <w:szCs w:val="18"/>
          <w:rtl/>
        </w:rPr>
        <w:t>א</w:t>
      </w:r>
      <w:r>
        <w:rPr>
          <w:rFonts w:cs="Arial" w:hint="cs"/>
          <w:sz w:val="18"/>
          <w:szCs w:val="18"/>
          <w:rtl/>
        </w:rPr>
        <w:t>י אפשר,</w:t>
      </w:r>
      <w:r w:rsidRPr="00D440FF">
        <w:rPr>
          <w:rFonts w:cs="Arial"/>
          <w:sz w:val="18"/>
          <w:szCs w:val="18"/>
          <w:rtl/>
        </w:rPr>
        <w:t xml:space="preserve"> </w:t>
      </w:r>
      <w:r w:rsidRPr="00D440FF">
        <w:rPr>
          <w:rFonts w:cs="Arial" w:hint="cs"/>
          <w:sz w:val="18"/>
          <w:szCs w:val="18"/>
          <w:rtl/>
        </w:rPr>
        <w:t>אלא</w:t>
      </w:r>
      <w:r w:rsidRPr="00D440FF">
        <w:rPr>
          <w:rFonts w:cs="Arial"/>
          <w:sz w:val="18"/>
          <w:szCs w:val="18"/>
          <w:rtl/>
        </w:rPr>
        <w:t xml:space="preserve"> </w:t>
      </w:r>
      <w:r w:rsidRPr="00D440FF">
        <w:rPr>
          <w:rFonts w:cs="Arial" w:hint="cs"/>
          <w:sz w:val="18"/>
          <w:szCs w:val="18"/>
          <w:rtl/>
        </w:rPr>
        <w:t>אשה</w:t>
      </w:r>
      <w:r w:rsidRPr="00D440FF">
        <w:rPr>
          <w:rFonts w:cs="Arial"/>
          <w:sz w:val="18"/>
          <w:szCs w:val="18"/>
          <w:rtl/>
        </w:rPr>
        <w:t xml:space="preserve"> </w:t>
      </w:r>
      <w:r w:rsidRPr="00D440FF">
        <w:rPr>
          <w:rFonts w:cs="Arial" w:hint="cs"/>
          <w:sz w:val="18"/>
          <w:szCs w:val="18"/>
          <w:rtl/>
        </w:rPr>
        <w:t>אחת</w:t>
      </w:r>
      <w:r w:rsidRPr="00D440FF">
        <w:rPr>
          <w:rFonts w:cs="Arial"/>
          <w:sz w:val="18"/>
          <w:szCs w:val="18"/>
          <w:rtl/>
        </w:rPr>
        <w:t xml:space="preserve"> </w:t>
      </w:r>
      <w:r w:rsidRPr="00D440FF">
        <w:rPr>
          <w:rFonts w:cs="Arial" w:hint="cs"/>
          <w:sz w:val="18"/>
          <w:szCs w:val="18"/>
          <w:rtl/>
        </w:rPr>
        <w:t>שתראה</w:t>
      </w:r>
      <w:r w:rsidRPr="00D440FF">
        <w:rPr>
          <w:rFonts w:cs="Arial"/>
          <w:sz w:val="18"/>
          <w:szCs w:val="18"/>
          <w:rtl/>
        </w:rPr>
        <w:t xml:space="preserve"> </w:t>
      </w:r>
      <w:r w:rsidRPr="00D440FF">
        <w:rPr>
          <w:rFonts w:cs="Arial" w:hint="cs"/>
          <w:sz w:val="18"/>
          <w:szCs w:val="18"/>
          <w:rtl/>
        </w:rPr>
        <w:t>בעת</w:t>
      </w:r>
      <w:r w:rsidRPr="00D440FF">
        <w:rPr>
          <w:rFonts w:cs="Arial"/>
          <w:sz w:val="18"/>
          <w:szCs w:val="18"/>
          <w:rtl/>
        </w:rPr>
        <w:t xml:space="preserve"> </w:t>
      </w:r>
      <w:r w:rsidRPr="00D440FF">
        <w:rPr>
          <w:rFonts w:cs="Arial" w:hint="cs"/>
          <w:sz w:val="18"/>
          <w:szCs w:val="18"/>
          <w:rtl/>
        </w:rPr>
        <w:t>שתטהר</w:t>
      </w:r>
      <w:r w:rsidRPr="00D440FF">
        <w:rPr>
          <w:rFonts w:cs="Arial"/>
          <w:sz w:val="18"/>
          <w:szCs w:val="18"/>
          <w:rtl/>
        </w:rPr>
        <w:t xml:space="preserve"> </w:t>
      </w:r>
      <w:r w:rsidRPr="00D440FF">
        <w:rPr>
          <w:rFonts w:cs="Arial" w:hint="cs"/>
          <w:sz w:val="18"/>
          <w:szCs w:val="18"/>
          <w:rtl/>
        </w:rPr>
        <w:t>עצמה</w:t>
      </w:r>
      <w:r>
        <w:rPr>
          <w:rFonts w:cs="Arial" w:hint="cs"/>
          <w:sz w:val="18"/>
          <w:szCs w:val="18"/>
          <w:rtl/>
        </w:rPr>
        <w:t>,</w:t>
      </w:r>
      <w:r w:rsidRPr="00D440FF">
        <w:rPr>
          <w:rFonts w:cs="Arial"/>
          <w:sz w:val="18"/>
          <w:szCs w:val="18"/>
          <w:rtl/>
        </w:rPr>
        <w:t xml:space="preserve"> </w:t>
      </w:r>
      <w:r w:rsidRPr="00D440FF">
        <w:rPr>
          <w:rFonts w:cs="Arial" w:hint="cs"/>
          <w:sz w:val="18"/>
          <w:szCs w:val="18"/>
          <w:rtl/>
        </w:rPr>
        <w:t>דאין</w:t>
      </w:r>
      <w:r w:rsidRPr="00D440FF">
        <w:rPr>
          <w:rFonts w:cs="Arial"/>
          <w:sz w:val="18"/>
          <w:szCs w:val="18"/>
          <w:rtl/>
        </w:rPr>
        <w:t xml:space="preserve"> </w:t>
      </w:r>
      <w:r w:rsidRPr="00D440FF">
        <w:rPr>
          <w:rFonts w:cs="Arial" w:hint="cs"/>
          <w:sz w:val="18"/>
          <w:szCs w:val="18"/>
          <w:rtl/>
        </w:rPr>
        <w:t>לנו</w:t>
      </w:r>
      <w:r w:rsidRPr="00D440FF">
        <w:rPr>
          <w:rFonts w:cs="Arial"/>
          <w:sz w:val="18"/>
          <w:szCs w:val="18"/>
          <w:rtl/>
        </w:rPr>
        <w:t xml:space="preserve"> </w:t>
      </w:r>
      <w:r w:rsidRPr="00D440FF">
        <w:rPr>
          <w:rFonts w:cs="Arial" w:hint="cs"/>
          <w:sz w:val="18"/>
          <w:szCs w:val="18"/>
          <w:rtl/>
        </w:rPr>
        <w:t>רק</w:t>
      </w:r>
      <w:r w:rsidRPr="00D440FF">
        <w:rPr>
          <w:rFonts w:cs="Arial"/>
          <w:sz w:val="18"/>
          <w:szCs w:val="18"/>
          <w:rtl/>
        </w:rPr>
        <w:t xml:space="preserve"> </w:t>
      </w:r>
      <w:r w:rsidRPr="00D440FF">
        <w:rPr>
          <w:rFonts w:cs="Arial" w:hint="cs"/>
          <w:sz w:val="18"/>
          <w:szCs w:val="18"/>
          <w:rtl/>
        </w:rPr>
        <w:t>להסיר</w:t>
      </w:r>
      <w:r w:rsidRPr="00D440FF">
        <w:rPr>
          <w:rFonts w:cs="Arial"/>
          <w:sz w:val="18"/>
          <w:szCs w:val="18"/>
          <w:rtl/>
        </w:rPr>
        <w:t xml:space="preserve"> </w:t>
      </w:r>
      <w:r w:rsidRPr="00D440FF">
        <w:rPr>
          <w:rFonts w:cs="Arial" w:hint="cs"/>
          <w:sz w:val="18"/>
          <w:szCs w:val="18"/>
          <w:rtl/>
        </w:rPr>
        <w:t>ממנה</w:t>
      </w:r>
      <w:r w:rsidRPr="00D440FF">
        <w:rPr>
          <w:rFonts w:cs="Arial"/>
          <w:sz w:val="18"/>
          <w:szCs w:val="18"/>
          <w:rtl/>
        </w:rPr>
        <w:t xml:space="preserve"> </w:t>
      </w:r>
      <w:r w:rsidRPr="00D440FF">
        <w:rPr>
          <w:rFonts w:cs="Arial" w:hint="cs"/>
          <w:sz w:val="18"/>
          <w:szCs w:val="18"/>
          <w:rtl/>
        </w:rPr>
        <w:t>הנאמנות</w:t>
      </w:r>
      <w:r w:rsidRPr="00D440FF">
        <w:rPr>
          <w:rFonts w:cs="Arial"/>
          <w:sz w:val="18"/>
          <w:szCs w:val="18"/>
          <w:rtl/>
        </w:rPr>
        <w:t xml:space="preserve"> </w:t>
      </w:r>
      <w:r w:rsidRPr="00D440FF">
        <w:rPr>
          <w:rFonts w:cs="Arial" w:hint="cs"/>
          <w:sz w:val="18"/>
          <w:szCs w:val="18"/>
          <w:rtl/>
        </w:rPr>
        <w:t>עד</w:t>
      </w:r>
      <w:r w:rsidRPr="00D440FF">
        <w:rPr>
          <w:rFonts w:cs="Arial"/>
          <w:sz w:val="18"/>
          <w:szCs w:val="18"/>
          <w:rtl/>
        </w:rPr>
        <w:t xml:space="preserve"> </w:t>
      </w:r>
      <w:r w:rsidRPr="00D440FF">
        <w:rPr>
          <w:rFonts w:cs="Arial" w:hint="cs"/>
          <w:sz w:val="18"/>
          <w:szCs w:val="18"/>
          <w:rtl/>
        </w:rPr>
        <w:t>שתשוב</w:t>
      </w:r>
      <w:r w:rsidRPr="00D440FF">
        <w:rPr>
          <w:rFonts w:cs="Arial"/>
          <w:sz w:val="18"/>
          <w:szCs w:val="18"/>
          <w:rtl/>
        </w:rPr>
        <w:t xml:space="preserve"> </w:t>
      </w:r>
      <w:r w:rsidRPr="00D440FF">
        <w:rPr>
          <w:rFonts w:cs="Arial" w:hint="cs"/>
          <w:sz w:val="18"/>
          <w:szCs w:val="18"/>
          <w:rtl/>
        </w:rPr>
        <w:t>בתשובה</w:t>
      </w:r>
      <w:r w:rsidRPr="00D440FF">
        <w:rPr>
          <w:rFonts w:cs="Arial"/>
          <w:sz w:val="18"/>
          <w:szCs w:val="18"/>
          <w:rtl/>
        </w:rPr>
        <w:t xml:space="preserve"> </w:t>
      </w:r>
      <w:r w:rsidRPr="00D440FF">
        <w:rPr>
          <w:rFonts w:cs="Arial" w:hint="cs"/>
          <w:sz w:val="18"/>
          <w:szCs w:val="18"/>
          <w:rtl/>
        </w:rPr>
        <w:t>שלימה</w:t>
      </w:r>
      <w:r w:rsidRPr="00D440FF">
        <w:rPr>
          <w:rFonts w:cs="Arial"/>
          <w:sz w:val="18"/>
          <w:szCs w:val="18"/>
          <w:rtl/>
        </w:rPr>
        <w:t xml:space="preserve"> </w:t>
      </w:r>
      <w:r w:rsidRPr="00D440FF">
        <w:rPr>
          <w:rFonts w:cs="Arial" w:hint="cs"/>
          <w:sz w:val="18"/>
          <w:szCs w:val="18"/>
          <w:rtl/>
        </w:rPr>
        <w:t>בלי</w:t>
      </w:r>
      <w:r w:rsidRPr="00D440FF">
        <w:rPr>
          <w:rFonts w:cs="Arial"/>
          <w:sz w:val="18"/>
          <w:szCs w:val="18"/>
          <w:rtl/>
        </w:rPr>
        <w:t xml:space="preserve"> </w:t>
      </w:r>
      <w:r w:rsidRPr="00D440FF">
        <w:rPr>
          <w:rFonts w:cs="Arial" w:hint="cs"/>
          <w:sz w:val="18"/>
          <w:szCs w:val="18"/>
          <w:rtl/>
        </w:rPr>
        <w:t>הערמה</w:t>
      </w:r>
      <w:r>
        <w:rPr>
          <w:rFonts w:cs="Arial" w:hint="cs"/>
          <w:sz w:val="18"/>
          <w:szCs w:val="18"/>
          <w:rtl/>
        </w:rPr>
        <w:t>,</w:t>
      </w:r>
      <w:r w:rsidRPr="00D440FF">
        <w:rPr>
          <w:rFonts w:cs="Arial"/>
          <w:sz w:val="18"/>
          <w:szCs w:val="18"/>
          <w:rtl/>
        </w:rPr>
        <w:t xml:space="preserve"> </w:t>
      </w:r>
      <w:r w:rsidRPr="00D440FF">
        <w:rPr>
          <w:rFonts w:cs="Arial" w:hint="cs"/>
          <w:sz w:val="18"/>
          <w:szCs w:val="18"/>
          <w:rtl/>
        </w:rPr>
        <w:t>ואז</w:t>
      </w:r>
      <w:r w:rsidRPr="00D440FF">
        <w:rPr>
          <w:rFonts w:cs="Arial"/>
          <w:sz w:val="18"/>
          <w:szCs w:val="18"/>
          <w:rtl/>
        </w:rPr>
        <w:t xml:space="preserve"> </w:t>
      </w:r>
      <w:r w:rsidRPr="00D440FF">
        <w:rPr>
          <w:rFonts w:cs="Arial" w:hint="cs"/>
          <w:sz w:val="18"/>
          <w:szCs w:val="18"/>
          <w:rtl/>
        </w:rPr>
        <w:t>תשוב</w:t>
      </w:r>
      <w:r w:rsidRPr="00D440FF">
        <w:rPr>
          <w:rFonts w:cs="Arial"/>
          <w:sz w:val="18"/>
          <w:szCs w:val="18"/>
          <w:rtl/>
        </w:rPr>
        <w:t xml:space="preserve"> </w:t>
      </w:r>
      <w:r w:rsidRPr="00D440FF">
        <w:rPr>
          <w:rFonts w:cs="Arial" w:hint="cs"/>
          <w:sz w:val="18"/>
          <w:szCs w:val="18"/>
          <w:rtl/>
        </w:rPr>
        <w:t>לנאמנותה</w:t>
      </w:r>
      <w:r>
        <w:rPr>
          <w:rFonts w:cs="Arial" w:hint="cs"/>
          <w:sz w:val="18"/>
          <w:szCs w:val="18"/>
          <w:rtl/>
        </w:rPr>
        <w:t>.</w:t>
      </w:r>
      <w:r w:rsidRPr="00D440FF">
        <w:rPr>
          <w:rFonts w:cs="Arial"/>
          <w:sz w:val="18"/>
          <w:szCs w:val="18"/>
          <w:rtl/>
        </w:rPr>
        <w:t xml:space="preserve"> </w:t>
      </w:r>
      <w:r w:rsidRPr="00D440FF">
        <w:rPr>
          <w:rFonts w:cs="Arial" w:hint="cs"/>
          <w:sz w:val="18"/>
          <w:szCs w:val="18"/>
          <w:rtl/>
        </w:rPr>
        <w:t>ודבר</w:t>
      </w:r>
      <w:r w:rsidRPr="00D440FF">
        <w:rPr>
          <w:rFonts w:cs="Arial"/>
          <w:sz w:val="18"/>
          <w:szCs w:val="18"/>
          <w:rtl/>
        </w:rPr>
        <w:t xml:space="preserve"> </w:t>
      </w:r>
      <w:r w:rsidRPr="00D440FF">
        <w:rPr>
          <w:rFonts w:cs="Arial" w:hint="cs"/>
          <w:sz w:val="18"/>
          <w:szCs w:val="18"/>
          <w:rtl/>
        </w:rPr>
        <w:t>זה</w:t>
      </w:r>
      <w:r w:rsidRPr="00D440FF">
        <w:rPr>
          <w:rFonts w:cs="Arial"/>
          <w:sz w:val="18"/>
          <w:szCs w:val="18"/>
          <w:rtl/>
        </w:rPr>
        <w:t xml:space="preserve"> </w:t>
      </w:r>
      <w:r w:rsidRPr="00D440FF">
        <w:rPr>
          <w:rFonts w:cs="Arial" w:hint="cs"/>
          <w:sz w:val="18"/>
          <w:szCs w:val="18"/>
          <w:rtl/>
        </w:rPr>
        <w:t>תלוי</w:t>
      </w:r>
      <w:r w:rsidRPr="00D440FF">
        <w:rPr>
          <w:rFonts w:cs="Arial"/>
          <w:sz w:val="18"/>
          <w:szCs w:val="18"/>
          <w:rtl/>
        </w:rPr>
        <w:t xml:space="preserve"> </w:t>
      </w:r>
      <w:r w:rsidRPr="00D440FF">
        <w:rPr>
          <w:rFonts w:cs="Arial" w:hint="cs"/>
          <w:sz w:val="18"/>
          <w:szCs w:val="18"/>
          <w:rtl/>
        </w:rPr>
        <w:t>בראיית</w:t>
      </w:r>
      <w:r w:rsidRPr="00D440FF">
        <w:rPr>
          <w:rFonts w:cs="Arial"/>
          <w:sz w:val="18"/>
          <w:szCs w:val="18"/>
          <w:rtl/>
        </w:rPr>
        <w:t xml:space="preserve"> </w:t>
      </w:r>
      <w:r w:rsidRPr="00D440FF">
        <w:rPr>
          <w:rFonts w:cs="Arial" w:hint="cs"/>
          <w:sz w:val="18"/>
          <w:szCs w:val="18"/>
          <w:rtl/>
        </w:rPr>
        <w:t>עיני</w:t>
      </w:r>
      <w:r w:rsidRPr="00D440FF">
        <w:rPr>
          <w:rFonts w:cs="Arial"/>
          <w:sz w:val="18"/>
          <w:szCs w:val="18"/>
          <w:rtl/>
        </w:rPr>
        <w:t xml:space="preserve"> </w:t>
      </w:r>
      <w:r w:rsidRPr="00D440FF">
        <w:rPr>
          <w:rFonts w:cs="Arial" w:hint="cs"/>
          <w:sz w:val="18"/>
          <w:szCs w:val="18"/>
          <w:rtl/>
        </w:rPr>
        <w:t>הבעל".</w:t>
      </w:r>
    </w:p>
  </w:footnote>
  <w:footnote w:id="66">
    <w:p w:rsidR="005953C5" w:rsidRPr="00FE49DB" w:rsidRDefault="005953C5" w:rsidP="00620060">
      <w:pPr>
        <w:pStyle w:val="a3"/>
        <w:rPr>
          <w:sz w:val="18"/>
          <w:szCs w:val="18"/>
        </w:rPr>
      </w:pPr>
      <w:r w:rsidRPr="00FE49DB">
        <w:rPr>
          <w:rStyle w:val="a5"/>
          <w:sz w:val="18"/>
          <w:szCs w:val="18"/>
        </w:rPr>
        <w:footnoteRef/>
      </w:r>
      <w:r w:rsidRPr="00FE49DB">
        <w:rPr>
          <w:sz w:val="18"/>
          <w:szCs w:val="18"/>
          <w:rtl/>
        </w:rPr>
        <w:t xml:space="preserve"> </w:t>
      </w:r>
      <w:r w:rsidRPr="00FE49DB">
        <w:rPr>
          <w:rFonts w:hint="cs"/>
          <w:b/>
          <w:bCs/>
          <w:sz w:val="18"/>
          <w:szCs w:val="18"/>
          <w:rtl/>
        </w:rPr>
        <w:t>רמ"א</w:t>
      </w:r>
      <w:r w:rsidRPr="00FE49DB">
        <w:rPr>
          <w:rFonts w:hint="cs"/>
          <w:sz w:val="18"/>
          <w:szCs w:val="18"/>
          <w:rtl/>
        </w:rPr>
        <w:t xml:space="preserve"> </w:t>
      </w:r>
      <w:r w:rsidRPr="00FE49DB">
        <w:rPr>
          <w:sz w:val="18"/>
          <w:szCs w:val="18"/>
          <w:rtl/>
        </w:rPr>
        <w:t>–</w:t>
      </w:r>
      <w:r w:rsidRPr="00FE49DB">
        <w:rPr>
          <w:rFonts w:hint="cs"/>
          <w:sz w:val="18"/>
          <w:szCs w:val="18"/>
          <w:rtl/>
        </w:rPr>
        <w:t xml:space="preserve"> קשה, מדוע נאמר שרק הבעל לוקה, מדוע היא אינה לוקה גם כן?</w:t>
      </w:r>
      <w:r w:rsidRPr="00FE49DB">
        <w:rPr>
          <w:rFonts w:hint="cs"/>
          <w:sz w:val="18"/>
          <w:szCs w:val="18"/>
          <w:rtl/>
        </w:rPr>
        <w:br/>
      </w:r>
      <w:r w:rsidRPr="00FE49DB">
        <w:rPr>
          <w:rFonts w:hint="cs"/>
          <w:b/>
          <w:bCs/>
          <w:sz w:val="18"/>
          <w:szCs w:val="18"/>
          <w:rtl/>
        </w:rPr>
        <w:t>ט"ז</w:t>
      </w:r>
      <w:r w:rsidRPr="00FE49DB">
        <w:rPr>
          <w:rFonts w:hint="cs"/>
          <w:sz w:val="18"/>
          <w:szCs w:val="18"/>
          <w:rtl/>
        </w:rPr>
        <w:t xml:space="preserve"> </w:t>
      </w:r>
      <w:r w:rsidRPr="00FE49DB">
        <w:rPr>
          <w:sz w:val="18"/>
          <w:szCs w:val="18"/>
          <w:rtl/>
        </w:rPr>
        <w:t>–</w:t>
      </w:r>
      <w:r w:rsidRPr="00FE49DB">
        <w:rPr>
          <w:rFonts w:hint="cs"/>
          <w:sz w:val="18"/>
          <w:szCs w:val="18"/>
          <w:rtl/>
        </w:rPr>
        <w:t xml:space="preserve"> כוונת הגמרא היא שלא מיבעיא שהיא לוקה שהרי ידעה בשעת התשמיש שהיא נידה, אלא אפילו הוא לוקה אע"פ שיכול לטעון שלא ידע שהיא נידה ותלה את שינוי הבגדים במידי אחרינא.</w:t>
      </w:r>
    </w:p>
  </w:footnote>
  <w:footnote w:id="67">
    <w:p w:rsidR="005953C5" w:rsidRDefault="005953C5" w:rsidP="00620060">
      <w:pPr>
        <w:pStyle w:val="a3"/>
        <w:rPr>
          <w:rtl/>
        </w:rPr>
      </w:pPr>
      <w:r w:rsidRPr="007834AC">
        <w:rPr>
          <w:rStyle w:val="a5"/>
          <w:sz w:val="18"/>
          <w:szCs w:val="18"/>
        </w:rPr>
        <w:footnoteRef/>
      </w:r>
      <w:r w:rsidRPr="007834AC">
        <w:rPr>
          <w:sz w:val="18"/>
          <w:szCs w:val="18"/>
          <w:rtl/>
        </w:rPr>
        <w:t xml:space="preserve"> </w:t>
      </w:r>
      <w:r w:rsidRPr="007834AC">
        <w:rPr>
          <w:rFonts w:hint="cs"/>
          <w:sz w:val="18"/>
          <w:szCs w:val="18"/>
          <w:rtl/>
        </w:rPr>
        <w:t xml:space="preserve">זו לשון </w:t>
      </w:r>
      <w:r w:rsidRPr="007834AC">
        <w:rPr>
          <w:rFonts w:hint="cs"/>
          <w:b/>
          <w:bCs/>
          <w:sz w:val="18"/>
          <w:szCs w:val="18"/>
          <w:rtl/>
        </w:rPr>
        <w:t xml:space="preserve">הרמב"ם </w:t>
      </w:r>
      <w:r w:rsidRPr="007834AC">
        <w:rPr>
          <w:rFonts w:hint="cs"/>
          <w:sz w:val="18"/>
          <w:szCs w:val="18"/>
          <w:rtl/>
        </w:rPr>
        <w:t xml:space="preserve">בדין זה </w:t>
      </w:r>
      <w:r w:rsidRPr="007834AC">
        <w:rPr>
          <w:sz w:val="18"/>
          <w:szCs w:val="18"/>
          <w:rtl/>
        </w:rPr>
        <w:t>–</w:t>
      </w:r>
      <w:r w:rsidRPr="007834AC">
        <w:rPr>
          <w:rFonts w:hint="cs"/>
          <w:sz w:val="18"/>
          <w:szCs w:val="18"/>
          <w:rtl/>
        </w:rPr>
        <w:t xml:space="preserve"> "</w:t>
      </w:r>
      <w:r w:rsidRPr="007834AC">
        <w:rPr>
          <w:rFonts w:cs="Arial" w:hint="cs"/>
          <w:sz w:val="18"/>
          <w:szCs w:val="18"/>
          <w:rtl/>
        </w:rPr>
        <w:t>האשה</w:t>
      </w:r>
      <w:r w:rsidRPr="007834AC">
        <w:rPr>
          <w:rFonts w:cs="Arial"/>
          <w:sz w:val="18"/>
          <w:szCs w:val="18"/>
          <w:rtl/>
        </w:rPr>
        <w:t xml:space="preserve"> </w:t>
      </w:r>
      <w:r w:rsidRPr="007834AC">
        <w:rPr>
          <w:rFonts w:cs="Arial" w:hint="cs"/>
          <w:sz w:val="18"/>
          <w:szCs w:val="18"/>
          <w:rtl/>
        </w:rPr>
        <w:t>שאמרה</w:t>
      </w:r>
      <w:r w:rsidRPr="007834AC">
        <w:rPr>
          <w:rFonts w:cs="Arial"/>
          <w:sz w:val="18"/>
          <w:szCs w:val="18"/>
          <w:rtl/>
        </w:rPr>
        <w:t xml:space="preserve"> </w:t>
      </w:r>
      <w:r w:rsidRPr="007834AC">
        <w:rPr>
          <w:rFonts w:cs="Arial" w:hint="cs"/>
          <w:sz w:val="18"/>
          <w:szCs w:val="18"/>
          <w:rtl/>
        </w:rPr>
        <w:t>לבעלה</w:t>
      </w:r>
      <w:r w:rsidRPr="007834AC">
        <w:rPr>
          <w:rFonts w:cs="Arial"/>
          <w:sz w:val="18"/>
          <w:szCs w:val="18"/>
          <w:rtl/>
        </w:rPr>
        <w:t xml:space="preserve"> </w:t>
      </w:r>
      <w:r w:rsidRPr="007834AC">
        <w:rPr>
          <w:rFonts w:cs="Arial" w:hint="cs"/>
          <w:sz w:val="18"/>
          <w:szCs w:val="18"/>
          <w:rtl/>
        </w:rPr>
        <w:t>טמאה</w:t>
      </w:r>
      <w:r w:rsidRPr="007834AC">
        <w:rPr>
          <w:rFonts w:cs="Arial"/>
          <w:sz w:val="18"/>
          <w:szCs w:val="18"/>
          <w:rtl/>
        </w:rPr>
        <w:t xml:space="preserve"> </w:t>
      </w:r>
      <w:r w:rsidRPr="007834AC">
        <w:rPr>
          <w:rFonts w:cs="Arial" w:hint="cs"/>
          <w:sz w:val="18"/>
          <w:szCs w:val="18"/>
          <w:rtl/>
        </w:rPr>
        <w:t>אני</w:t>
      </w:r>
      <w:r w:rsidRPr="007834AC">
        <w:rPr>
          <w:rFonts w:cs="Arial"/>
          <w:sz w:val="18"/>
          <w:szCs w:val="18"/>
          <w:rtl/>
        </w:rPr>
        <w:t xml:space="preserve"> </w:t>
      </w:r>
      <w:r w:rsidRPr="007834AC">
        <w:rPr>
          <w:rFonts w:cs="Arial" w:hint="cs"/>
          <w:sz w:val="18"/>
          <w:szCs w:val="18"/>
          <w:rtl/>
        </w:rPr>
        <w:t>וחזרה</w:t>
      </w:r>
      <w:r w:rsidRPr="007834AC">
        <w:rPr>
          <w:rFonts w:cs="Arial"/>
          <w:sz w:val="18"/>
          <w:szCs w:val="18"/>
          <w:rtl/>
        </w:rPr>
        <w:t xml:space="preserve"> </w:t>
      </w:r>
      <w:r w:rsidRPr="007834AC">
        <w:rPr>
          <w:rFonts w:cs="Arial" w:hint="cs"/>
          <w:sz w:val="18"/>
          <w:szCs w:val="18"/>
          <w:rtl/>
        </w:rPr>
        <w:t>ואמרה</w:t>
      </w:r>
      <w:r w:rsidRPr="007834AC">
        <w:rPr>
          <w:rFonts w:cs="Arial"/>
          <w:sz w:val="18"/>
          <w:szCs w:val="18"/>
          <w:rtl/>
        </w:rPr>
        <w:t xml:space="preserve"> </w:t>
      </w:r>
      <w:r w:rsidRPr="007834AC">
        <w:rPr>
          <w:rFonts w:cs="Arial" w:hint="cs"/>
          <w:sz w:val="18"/>
          <w:szCs w:val="18"/>
          <w:rtl/>
        </w:rPr>
        <w:t>טהורה</w:t>
      </w:r>
      <w:r w:rsidRPr="007834AC">
        <w:rPr>
          <w:rFonts w:cs="Arial"/>
          <w:sz w:val="18"/>
          <w:szCs w:val="18"/>
          <w:rtl/>
        </w:rPr>
        <w:t xml:space="preserve"> </w:t>
      </w:r>
      <w:r w:rsidRPr="007834AC">
        <w:rPr>
          <w:rFonts w:cs="Arial" w:hint="cs"/>
          <w:sz w:val="18"/>
          <w:szCs w:val="18"/>
          <w:rtl/>
        </w:rPr>
        <w:t>אני</w:t>
      </w:r>
      <w:r w:rsidRPr="007834AC">
        <w:rPr>
          <w:rFonts w:cs="Arial"/>
          <w:sz w:val="18"/>
          <w:szCs w:val="18"/>
          <w:rtl/>
        </w:rPr>
        <w:t xml:space="preserve"> </w:t>
      </w:r>
      <w:r w:rsidRPr="007834AC">
        <w:rPr>
          <w:rFonts w:cs="Arial" w:hint="cs"/>
          <w:sz w:val="18"/>
          <w:szCs w:val="18"/>
          <w:rtl/>
        </w:rPr>
        <w:t>ודרך</w:t>
      </w:r>
      <w:r w:rsidRPr="007834AC">
        <w:rPr>
          <w:rFonts w:cs="Arial"/>
          <w:sz w:val="18"/>
          <w:szCs w:val="18"/>
          <w:rtl/>
        </w:rPr>
        <w:t xml:space="preserve"> </w:t>
      </w:r>
      <w:r w:rsidRPr="007834AC">
        <w:rPr>
          <w:rFonts w:cs="Arial" w:hint="cs"/>
          <w:sz w:val="18"/>
          <w:szCs w:val="18"/>
          <w:rtl/>
        </w:rPr>
        <w:t>שחוק</w:t>
      </w:r>
      <w:r w:rsidRPr="007834AC">
        <w:rPr>
          <w:rFonts w:cs="Arial"/>
          <w:sz w:val="18"/>
          <w:szCs w:val="18"/>
          <w:rtl/>
        </w:rPr>
        <w:t xml:space="preserve"> </w:t>
      </w:r>
      <w:r w:rsidRPr="007834AC">
        <w:rPr>
          <w:rFonts w:cs="Arial" w:hint="cs"/>
          <w:sz w:val="18"/>
          <w:szCs w:val="18"/>
          <w:rtl/>
        </w:rPr>
        <w:t>אמרתי</w:t>
      </w:r>
      <w:r w:rsidRPr="007834AC">
        <w:rPr>
          <w:rFonts w:cs="Arial"/>
          <w:sz w:val="18"/>
          <w:szCs w:val="18"/>
          <w:rtl/>
        </w:rPr>
        <w:t xml:space="preserve"> </w:t>
      </w:r>
      <w:r w:rsidRPr="007834AC">
        <w:rPr>
          <w:rFonts w:cs="Arial" w:hint="cs"/>
          <w:sz w:val="18"/>
          <w:szCs w:val="18"/>
          <w:rtl/>
        </w:rPr>
        <w:t>לך</w:t>
      </w:r>
      <w:r w:rsidRPr="007834AC">
        <w:rPr>
          <w:rFonts w:cs="Arial"/>
          <w:sz w:val="18"/>
          <w:szCs w:val="18"/>
          <w:rtl/>
        </w:rPr>
        <w:t xml:space="preserve"> </w:t>
      </w:r>
      <w:r w:rsidRPr="007834AC">
        <w:rPr>
          <w:rFonts w:cs="Arial" w:hint="cs"/>
          <w:sz w:val="18"/>
          <w:szCs w:val="18"/>
          <w:rtl/>
        </w:rPr>
        <w:t>תחלה</w:t>
      </w:r>
      <w:r w:rsidRPr="007834AC">
        <w:rPr>
          <w:rFonts w:cs="Arial"/>
          <w:sz w:val="18"/>
          <w:szCs w:val="18"/>
          <w:rtl/>
        </w:rPr>
        <w:t xml:space="preserve"> </w:t>
      </w:r>
      <w:r w:rsidRPr="007834AC">
        <w:rPr>
          <w:rFonts w:cs="Arial" w:hint="cs"/>
          <w:sz w:val="18"/>
          <w:szCs w:val="18"/>
          <w:rtl/>
        </w:rPr>
        <w:t>אינה</w:t>
      </w:r>
      <w:r w:rsidRPr="007834AC">
        <w:rPr>
          <w:rFonts w:cs="Arial"/>
          <w:sz w:val="18"/>
          <w:szCs w:val="18"/>
          <w:rtl/>
        </w:rPr>
        <w:t xml:space="preserve"> </w:t>
      </w:r>
      <w:r w:rsidRPr="007834AC">
        <w:rPr>
          <w:rFonts w:cs="Arial" w:hint="cs"/>
          <w:sz w:val="18"/>
          <w:szCs w:val="18"/>
          <w:rtl/>
        </w:rPr>
        <w:t>נאמנת</w:t>
      </w:r>
      <w:r w:rsidRPr="007834AC">
        <w:rPr>
          <w:rFonts w:cs="Arial"/>
          <w:sz w:val="18"/>
          <w:szCs w:val="18"/>
          <w:rtl/>
        </w:rPr>
        <w:t xml:space="preserve">, </w:t>
      </w:r>
      <w:r w:rsidRPr="007834AC">
        <w:rPr>
          <w:rFonts w:cs="Arial" w:hint="cs"/>
          <w:sz w:val="18"/>
          <w:szCs w:val="18"/>
          <w:rtl/>
        </w:rPr>
        <w:t>ואם</w:t>
      </w:r>
      <w:r w:rsidRPr="007834AC">
        <w:rPr>
          <w:rFonts w:cs="Arial"/>
          <w:sz w:val="18"/>
          <w:szCs w:val="18"/>
          <w:rtl/>
        </w:rPr>
        <w:t xml:space="preserve"> </w:t>
      </w:r>
      <w:r w:rsidRPr="007834AC">
        <w:rPr>
          <w:rFonts w:cs="Arial" w:hint="cs"/>
          <w:sz w:val="18"/>
          <w:szCs w:val="18"/>
          <w:rtl/>
        </w:rPr>
        <w:t>נתנה</w:t>
      </w:r>
      <w:r w:rsidRPr="007834AC">
        <w:rPr>
          <w:rFonts w:cs="Arial"/>
          <w:sz w:val="18"/>
          <w:szCs w:val="18"/>
          <w:rtl/>
        </w:rPr>
        <w:t xml:space="preserve"> </w:t>
      </w:r>
      <w:r w:rsidRPr="007834AC">
        <w:rPr>
          <w:rFonts w:cs="Arial" w:hint="cs"/>
          <w:sz w:val="18"/>
          <w:szCs w:val="18"/>
          <w:rtl/>
        </w:rPr>
        <w:t>אמתלא</w:t>
      </w:r>
      <w:r w:rsidRPr="007834AC">
        <w:rPr>
          <w:rFonts w:cs="Arial"/>
          <w:sz w:val="18"/>
          <w:szCs w:val="18"/>
          <w:rtl/>
        </w:rPr>
        <w:t xml:space="preserve"> </w:t>
      </w:r>
      <w:r w:rsidRPr="007834AC">
        <w:rPr>
          <w:rFonts w:cs="Arial" w:hint="cs"/>
          <w:sz w:val="18"/>
          <w:szCs w:val="18"/>
          <w:rtl/>
        </w:rPr>
        <w:t>לדבריה</w:t>
      </w:r>
      <w:r w:rsidRPr="007834AC">
        <w:rPr>
          <w:rFonts w:cs="Arial"/>
          <w:sz w:val="18"/>
          <w:szCs w:val="18"/>
          <w:rtl/>
        </w:rPr>
        <w:t xml:space="preserve"> </w:t>
      </w:r>
      <w:r w:rsidRPr="007834AC">
        <w:rPr>
          <w:rFonts w:cs="Arial" w:hint="cs"/>
          <w:sz w:val="18"/>
          <w:szCs w:val="18"/>
          <w:rtl/>
        </w:rPr>
        <w:t>נאמנת</w:t>
      </w:r>
      <w:r>
        <w:rPr>
          <w:rFonts w:cs="Arial" w:hint="cs"/>
          <w:sz w:val="18"/>
          <w:szCs w:val="18"/>
          <w:rtl/>
        </w:rPr>
        <w:t>.</w:t>
      </w:r>
      <w:r w:rsidRPr="007834AC">
        <w:rPr>
          <w:rFonts w:cs="Arial"/>
          <w:sz w:val="18"/>
          <w:szCs w:val="18"/>
          <w:rtl/>
        </w:rPr>
        <w:t xml:space="preserve"> </w:t>
      </w:r>
      <w:r w:rsidRPr="007834AC">
        <w:rPr>
          <w:rFonts w:cs="Arial" w:hint="cs"/>
          <w:sz w:val="18"/>
          <w:szCs w:val="18"/>
          <w:rtl/>
        </w:rPr>
        <w:t>כיצד</w:t>
      </w:r>
      <w:r>
        <w:rPr>
          <w:rFonts w:cs="Arial" w:hint="cs"/>
          <w:sz w:val="18"/>
          <w:szCs w:val="18"/>
          <w:rtl/>
        </w:rPr>
        <w:t>?</w:t>
      </w:r>
      <w:r w:rsidRPr="007834AC">
        <w:rPr>
          <w:rFonts w:cs="Arial"/>
          <w:sz w:val="18"/>
          <w:szCs w:val="18"/>
          <w:rtl/>
        </w:rPr>
        <w:t xml:space="preserve"> </w:t>
      </w:r>
      <w:r w:rsidRPr="007834AC">
        <w:rPr>
          <w:rFonts w:cs="Arial" w:hint="cs"/>
          <w:sz w:val="18"/>
          <w:szCs w:val="18"/>
          <w:rtl/>
        </w:rPr>
        <w:t>תבעה</w:t>
      </w:r>
      <w:r w:rsidRPr="007834AC">
        <w:rPr>
          <w:rFonts w:cs="Arial"/>
          <w:sz w:val="18"/>
          <w:szCs w:val="18"/>
          <w:rtl/>
        </w:rPr>
        <w:t xml:space="preserve"> </w:t>
      </w:r>
      <w:r w:rsidRPr="007834AC">
        <w:rPr>
          <w:rFonts w:cs="Arial" w:hint="cs"/>
          <w:sz w:val="18"/>
          <w:szCs w:val="18"/>
          <w:rtl/>
        </w:rPr>
        <w:t>בעלה</w:t>
      </w:r>
      <w:r w:rsidRPr="007834AC">
        <w:rPr>
          <w:rFonts w:cs="Arial"/>
          <w:sz w:val="18"/>
          <w:szCs w:val="18"/>
          <w:rtl/>
        </w:rPr>
        <w:t xml:space="preserve"> </w:t>
      </w:r>
      <w:r w:rsidRPr="007834AC">
        <w:rPr>
          <w:rFonts w:cs="Arial" w:hint="cs"/>
          <w:sz w:val="18"/>
          <w:szCs w:val="18"/>
          <w:rtl/>
        </w:rPr>
        <w:t>ואחותו</w:t>
      </w:r>
      <w:r w:rsidRPr="007834AC">
        <w:rPr>
          <w:rFonts w:cs="Arial"/>
          <w:sz w:val="18"/>
          <w:szCs w:val="18"/>
          <w:rtl/>
        </w:rPr>
        <w:t xml:space="preserve"> </w:t>
      </w:r>
      <w:r w:rsidRPr="007834AC">
        <w:rPr>
          <w:rFonts w:cs="Arial" w:hint="cs"/>
          <w:sz w:val="18"/>
          <w:szCs w:val="18"/>
          <w:rtl/>
        </w:rPr>
        <w:t>או</w:t>
      </w:r>
      <w:r w:rsidRPr="007834AC">
        <w:rPr>
          <w:rFonts w:cs="Arial"/>
          <w:sz w:val="18"/>
          <w:szCs w:val="18"/>
          <w:rtl/>
        </w:rPr>
        <w:t xml:space="preserve"> </w:t>
      </w:r>
      <w:r w:rsidRPr="007834AC">
        <w:rPr>
          <w:rFonts w:cs="Arial" w:hint="cs"/>
          <w:sz w:val="18"/>
          <w:szCs w:val="18"/>
          <w:rtl/>
        </w:rPr>
        <w:t>אמו</w:t>
      </w:r>
      <w:r w:rsidRPr="007834AC">
        <w:rPr>
          <w:rFonts w:cs="Arial"/>
          <w:sz w:val="18"/>
          <w:szCs w:val="18"/>
          <w:rtl/>
        </w:rPr>
        <w:t xml:space="preserve"> </w:t>
      </w:r>
      <w:r w:rsidRPr="007834AC">
        <w:rPr>
          <w:rFonts w:cs="Arial" w:hint="cs"/>
          <w:sz w:val="18"/>
          <w:szCs w:val="18"/>
          <w:rtl/>
        </w:rPr>
        <w:t>עמה</w:t>
      </w:r>
      <w:r w:rsidRPr="007834AC">
        <w:rPr>
          <w:rFonts w:cs="Arial"/>
          <w:sz w:val="18"/>
          <w:szCs w:val="18"/>
          <w:rtl/>
        </w:rPr>
        <w:t xml:space="preserve"> </w:t>
      </w:r>
      <w:r w:rsidRPr="007834AC">
        <w:rPr>
          <w:rFonts w:cs="Arial" w:hint="cs"/>
          <w:sz w:val="18"/>
          <w:szCs w:val="18"/>
          <w:rtl/>
        </w:rPr>
        <w:t>בחצר</w:t>
      </w:r>
      <w:r w:rsidRPr="007834AC">
        <w:rPr>
          <w:rFonts w:cs="Arial"/>
          <w:sz w:val="18"/>
          <w:szCs w:val="18"/>
          <w:rtl/>
        </w:rPr>
        <w:t xml:space="preserve"> </w:t>
      </w:r>
      <w:r w:rsidRPr="007834AC">
        <w:rPr>
          <w:rFonts w:cs="Arial" w:hint="cs"/>
          <w:sz w:val="18"/>
          <w:szCs w:val="18"/>
          <w:rtl/>
        </w:rPr>
        <w:t>ואמרה</w:t>
      </w:r>
      <w:r w:rsidRPr="007834AC">
        <w:rPr>
          <w:rFonts w:cs="Arial"/>
          <w:sz w:val="18"/>
          <w:szCs w:val="18"/>
          <w:rtl/>
        </w:rPr>
        <w:t xml:space="preserve"> </w:t>
      </w:r>
      <w:r w:rsidRPr="007834AC">
        <w:rPr>
          <w:rFonts w:cs="Arial" w:hint="cs"/>
          <w:sz w:val="18"/>
          <w:szCs w:val="18"/>
          <w:rtl/>
        </w:rPr>
        <w:t>טמאה</w:t>
      </w:r>
      <w:r w:rsidRPr="007834AC">
        <w:rPr>
          <w:rFonts w:cs="Arial"/>
          <w:sz w:val="18"/>
          <w:szCs w:val="18"/>
          <w:rtl/>
        </w:rPr>
        <w:t xml:space="preserve"> </w:t>
      </w:r>
      <w:r w:rsidRPr="007834AC">
        <w:rPr>
          <w:rFonts w:cs="Arial" w:hint="cs"/>
          <w:sz w:val="18"/>
          <w:szCs w:val="18"/>
          <w:rtl/>
        </w:rPr>
        <w:t>אני</w:t>
      </w:r>
      <w:r w:rsidRPr="007834AC">
        <w:rPr>
          <w:rFonts w:cs="Arial"/>
          <w:sz w:val="18"/>
          <w:szCs w:val="18"/>
          <w:rtl/>
        </w:rPr>
        <w:t xml:space="preserve"> </w:t>
      </w:r>
      <w:r w:rsidRPr="007834AC">
        <w:rPr>
          <w:rFonts w:cs="Arial" w:hint="cs"/>
          <w:sz w:val="18"/>
          <w:szCs w:val="18"/>
          <w:rtl/>
        </w:rPr>
        <w:t>ואח</w:t>
      </w:r>
      <w:r>
        <w:rPr>
          <w:rFonts w:cs="Arial" w:hint="cs"/>
          <w:sz w:val="18"/>
          <w:szCs w:val="18"/>
          <w:rtl/>
        </w:rPr>
        <w:t>ר כך</w:t>
      </w:r>
      <w:r w:rsidRPr="007834AC">
        <w:rPr>
          <w:rFonts w:cs="Arial"/>
          <w:sz w:val="18"/>
          <w:szCs w:val="18"/>
          <w:rtl/>
        </w:rPr>
        <w:t xml:space="preserve"> </w:t>
      </w:r>
      <w:r w:rsidRPr="007834AC">
        <w:rPr>
          <w:rFonts w:cs="Arial" w:hint="cs"/>
          <w:sz w:val="18"/>
          <w:szCs w:val="18"/>
          <w:rtl/>
        </w:rPr>
        <w:t>חזרה</w:t>
      </w:r>
      <w:r w:rsidRPr="007834AC">
        <w:rPr>
          <w:rFonts w:cs="Arial"/>
          <w:sz w:val="18"/>
          <w:szCs w:val="18"/>
          <w:rtl/>
        </w:rPr>
        <w:t xml:space="preserve"> </w:t>
      </w:r>
      <w:r w:rsidRPr="007834AC">
        <w:rPr>
          <w:rFonts w:cs="Arial" w:hint="cs"/>
          <w:sz w:val="18"/>
          <w:szCs w:val="18"/>
          <w:rtl/>
        </w:rPr>
        <w:t>ואמרה</w:t>
      </w:r>
      <w:r w:rsidRPr="007834AC">
        <w:rPr>
          <w:rFonts w:cs="Arial"/>
          <w:sz w:val="18"/>
          <w:szCs w:val="18"/>
          <w:rtl/>
        </w:rPr>
        <w:t xml:space="preserve"> </w:t>
      </w:r>
      <w:r w:rsidRPr="007834AC">
        <w:rPr>
          <w:rFonts w:cs="Arial" w:hint="cs"/>
          <w:sz w:val="18"/>
          <w:szCs w:val="18"/>
          <w:rtl/>
        </w:rPr>
        <w:t>טהורה</w:t>
      </w:r>
      <w:r w:rsidRPr="007834AC">
        <w:rPr>
          <w:rFonts w:cs="Arial"/>
          <w:sz w:val="18"/>
          <w:szCs w:val="18"/>
          <w:rtl/>
        </w:rPr>
        <w:t xml:space="preserve"> </w:t>
      </w:r>
      <w:r w:rsidRPr="007834AC">
        <w:rPr>
          <w:rFonts w:cs="Arial" w:hint="cs"/>
          <w:sz w:val="18"/>
          <w:szCs w:val="18"/>
          <w:rtl/>
        </w:rPr>
        <w:t>אני</w:t>
      </w:r>
      <w:r w:rsidRPr="007834AC">
        <w:rPr>
          <w:rFonts w:cs="Arial"/>
          <w:sz w:val="18"/>
          <w:szCs w:val="18"/>
          <w:rtl/>
        </w:rPr>
        <w:t xml:space="preserve"> </w:t>
      </w:r>
      <w:r w:rsidRPr="007834AC">
        <w:rPr>
          <w:rFonts w:cs="Arial" w:hint="cs"/>
          <w:sz w:val="18"/>
          <w:szCs w:val="18"/>
          <w:rtl/>
        </w:rPr>
        <w:t>ולא</w:t>
      </w:r>
      <w:r w:rsidRPr="007834AC">
        <w:rPr>
          <w:rFonts w:cs="Arial"/>
          <w:sz w:val="18"/>
          <w:szCs w:val="18"/>
          <w:rtl/>
        </w:rPr>
        <w:t xml:space="preserve"> </w:t>
      </w:r>
      <w:r w:rsidRPr="007834AC">
        <w:rPr>
          <w:rFonts w:cs="Arial" w:hint="cs"/>
          <w:sz w:val="18"/>
          <w:szCs w:val="18"/>
          <w:rtl/>
        </w:rPr>
        <w:t>אמרתי</w:t>
      </w:r>
      <w:r w:rsidRPr="007834AC">
        <w:rPr>
          <w:rFonts w:cs="Arial"/>
          <w:sz w:val="18"/>
          <w:szCs w:val="18"/>
          <w:rtl/>
        </w:rPr>
        <w:t xml:space="preserve"> </w:t>
      </w:r>
      <w:r w:rsidRPr="007834AC">
        <w:rPr>
          <w:rFonts w:cs="Arial" w:hint="cs"/>
          <w:sz w:val="18"/>
          <w:szCs w:val="18"/>
          <w:rtl/>
        </w:rPr>
        <w:t>לך</w:t>
      </w:r>
      <w:r w:rsidRPr="007834AC">
        <w:rPr>
          <w:rFonts w:cs="Arial"/>
          <w:sz w:val="18"/>
          <w:szCs w:val="18"/>
          <w:rtl/>
        </w:rPr>
        <w:t xml:space="preserve"> </w:t>
      </w:r>
      <w:r w:rsidRPr="007834AC">
        <w:rPr>
          <w:rFonts w:cs="Arial" w:hint="cs"/>
          <w:sz w:val="18"/>
          <w:szCs w:val="18"/>
          <w:rtl/>
        </w:rPr>
        <w:t>טמאה</w:t>
      </w:r>
      <w:r w:rsidRPr="007834AC">
        <w:rPr>
          <w:rFonts w:cs="Arial"/>
          <w:sz w:val="18"/>
          <w:szCs w:val="18"/>
          <w:rtl/>
        </w:rPr>
        <w:t xml:space="preserve"> </w:t>
      </w:r>
      <w:r w:rsidRPr="007834AC">
        <w:rPr>
          <w:rFonts w:cs="Arial" w:hint="cs"/>
          <w:sz w:val="18"/>
          <w:szCs w:val="18"/>
          <w:rtl/>
        </w:rPr>
        <w:t>אלא</w:t>
      </w:r>
      <w:r w:rsidRPr="007834AC">
        <w:rPr>
          <w:rFonts w:cs="Arial"/>
          <w:sz w:val="18"/>
          <w:szCs w:val="18"/>
          <w:rtl/>
        </w:rPr>
        <w:t xml:space="preserve"> </w:t>
      </w:r>
      <w:r w:rsidRPr="007834AC">
        <w:rPr>
          <w:rFonts w:cs="Arial" w:hint="cs"/>
          <w:sz w:val="18"/>
          <w:szCs w:val="18"/>
          <w:rtl/>
        </w:rPr>
        <w:t>מפני</w:t>
      </w:r>
      <w:r w:rsidRPr="007834AC">
        <w:rPr>
          <w:rFonts w:cs="Arial"/>
          <w:sz w:val="18"/>
          <w:szCs w:val="18"/>
          <w:rtl/>
        </w:rPr>
        <w:t xml:space="preserve"> </w:t>
      </w:r>
      <w:r w:rsidRPr="007834AC">
        <w:rPr>
          <w:rFonts w:cs="Arial" w:hint="cs"/>
          <w:sz w:val="18"/>
          <w:szCs w:val="18"/>
          <w:rtl/>
        </w:rPr>
        <w:t>אחותך</w:t>
      </w:r>
      <w:r w:rsidRPr="007834AC">
        <w:rPr>
          <w:rFonts w:cs="Arial"/>
          <w:sz w:val="18"/>
          <w:szCs w:val="18"/>
          <w:rtl/>
        </w:rPr>
        <w:t xml:space="preserve"> </w:t>
      </w:r>
      <w:r w:rsidRPr="007834AC">
        <w:rPr>
          <w:rFonts w:cs="Arial" w:hint="cs"/>
          <w:sz w:val="18"/>
          <w:szCs w:val="18"/>
          <w:rtl/>
        </w:rPr>
        <w:t>ואמך</w:t>
      </w:r>
      <w:r w:rsidRPr="007834AC">
        <w:rPr>
          <w:rFonts w:cs="Arial"/>
          <w:sz w:val="18"/>
          <w:szCs w:val="18"/>
          <w:rtl/>
        </w:rPr>
        <w:t xml:space="preserve"> </w:t>
      </w:r>
      <w:r w:rsidRPr="007834AC">
        <w:rPr>
          <w:rFonts w:cs="Arial" w:hint="cs"/>
          <w:sz w:val="18"/>
          <w:szCs w:val="18"/>
          <w:rtl/>
        </w:rPr>
        <w:t>שמא</w:t>
      </w:r>
      <w:r w:rsidRPr="007834AC">
        <w:rPr>
          <w:rFonts w:cs="Arial"/>
          <w:sz w:val="18"/>
          <w:szCs w:val="18"/>
          <w:rtl/>
        </w:rPr>
        <w:t xml:space="preserve"> </w:t>
      </w:r>
      <w:r w:rsidRPr="007834AC">
        <w:rPr>
          <w:rFonts w:cs="Arial" w:hint="cs"/>
          <w:sz w:val="18"/>
          <w:szCs w:val="18"/>
          <w:rtl/>
        </w:rPr>
        <w:t>יראו</w:t>
      </w:r>
      <w:r w:rsidRPr="007834AC">
        <w:rPr>
          <w:rFonts w:cs="Arial"/>
          <w:sz w:val="18"/>
          <w:szCs w:val="18"/>
          <w:rtl/>
        </w:rPr>
        <w:t xml:space="preserve"> </w:t>
      </w:r>
      <w:r w:rsidRPr="007834AC">
        <w:rPr>
          <w:rFonts w:cs="Arial" w:hint="cs"/>
          <w:sz w:val="18"/>
          <w:szCs w:val="18"/>
          <w:rtl/>
        </w:rPr>
        <w:t>אותנו</w:t>
      </w:r>
      <w:r>
        <w:rPr>
          <w:rFonts w:cs="Arial" w:hint="cs"/>
          <w:sz w:val="18"/>
          <w:szCs w:val="18"/>
          <w:rtl/>
        </w:rPr>
        <w:t>,</w:t>
      </w:r>
      <w:r w:rsidRPr="007834AC">
        <w:rPr>
          <w:rFonts w:cs="Arial"/>
          <w:sz w:val="18"/>
          <w:szCs w:val="18"/>
          <w:rtl/>
        </w:rPr>
        <w:t xml:space="preserve"> </w:t>
      </w:r>
      <w:r w:rsidRPr="007834AC">
        <w:rPr>
          <w:rFonts w:cs="Arial" w:hint="cs"/>
          <w:sz w:val="18"/>
          <w:szCs w:val="18"/>
          <w:rtl/>
        </w:rPr>
        <w:t>הרי</w:t>
      </w:r>
      <w:r w:rsidRPr="007834AC">
        <w:rPr>
          <w:rFonts w:cs="Arial"/>
          <w:sz w:val="18"/>
          <w:szCs w:val="18"/>
          <w:rtl/>
        </w:rPr>
        <w:t xml:space="preserve"> </w:t>
      </w:r>
      <w:r w:rsidRPr="007834AC">
        <w:rPr>
          <w:rFonts w:cs="Arial" w:hint="cs"/>
          <w:sz w:val="18"/>
          <w:szCs w:val="18"/>
          <w:rtl/>
        </w:rPr>
        <w:t>זו</w:t>
      </w:r>
      <w:r w:rsidRPr="007834AC">
        <w:rPr>
          <w:rFonts w:cs="Arial"/>
          <w:sz w:val="18"/>
          <w:szCs w:val="18"/>
          <w:rtl/>
        </w:rPr>
        <w:t xml:space="preserve"> </w:t>
      </w:r>
      <w:r w:rsidRPr="007834AC">
        <w:rPr>
          <w:rFonts w:cs="Arial" w:hint="cs"/>
          <w:sz w:val="18"/>
          <w:szCs w:val="18"/>
          <w:rtl/>
        </w:rPr>
        <w:t>נאמנת</w:t>
      </w:r>
      <w:r>
        <w:rPr>
          <w:rFonts w:cs="Arial" w:hint="cs"/>
          <w:sz w:val="18"/>
          <w:szCs w:val="18"/>
          <w:rtl/>
        </w:rPr>
        <w:t>.</w:t>
      </w:r>
      <w:r w:rsidRPr="007834AC">
        <w:rPr>
          <w:rFonts w:cs="Arial"/>
          <w:sz w:val="18"/>
          <w:szCs w:val="18"/>
          <w:rtl/>
        </w:rPr>
        <w:t xml:space="preserve"> </w:t>
      </w:r>
      <w:r w:rsidRPr="007834AC">
        <w:rPr>
          <w:rFonts w:cs="Arial" w:hint="cs"/>
          <w:sz w:val="18"/>
          <w:szCs w:val="18"/>
          <w:rtl/>
        </w:rPr>
        <w:t>וכן</w:t>
      </w:r>
      <w:r w:rsidRPr="007834AC">
        <w:rPr>
          <w:rFonts w:cs="Arial"/>
          <w:sz w:val="18"/>
          <w:szCs w:val="18"/>
          <w:rtl/>
        </w:rPr>
        <w:t xml:space="preserve"> </w:t>
      </w:r>
      <w:r w:rsidRPr="007834AC">
        <w:rPr>
          <w:rFonts w:cs="Arial" w:hint="cs"/>
          <w:sz w:val="18"/>
          <w:szCs w:val="18"/>
          <w:rtl/>
        </w:rPr>
        <w:t>כל</w:t>
      </w:r>
      <w:r w:rsidRPr="007834AC">
        <w:rPr>
          <w:rFonts w:cs="Arial"/>
          <w:sz w:val="18"/>
          <w:szCs w:val="18"/>
          <w:rtl/>
        </w:rPr>
        <w:t xml:space="preserve"> </w:t>
      </w:r>
      <w:r w:rsidRPr="007834AC">
        <w:rPr>
          <w:rFonts w:cs="Arial" w:hint="cs"/>
          <w:sz w:val="18"/>
          <w:szCs w:val="18"/>
          <w:rtl/>
        </w:rPr>
        <w:t>כיוצא</w:t>
      </w:r>
      <w:r w:rsidRPr="007834AC">
        <w:rPr>
          <w:rFonts w:cs="Arial"/>
          <w:sz w:val="18"/>
          <w:szCs w:val="18"/>
          <w:rtl/>
        </w:rPr>
        <w:t xml:space="preserve"> </w:t>
      </w:r>
      <w:r w:rsidRPr="007834AC">
        <w:rPr>
          <w:rFonts w:cs="Arial" w:hint="cs"/>
          <w:sz w:val="18"/>
          <w:szCs w:val="18"/>
          <w:rtl/>
        </w:rPr>
        <w:t>בזה".</w:t>
      </w:r>
      <w:r>
        <w:rPr>
          <w:rtl/>
        </w:rPr>
        <w:br/>
      </w:r>
      <w:r w:rsidRPr="00D94151">
        <w:rPr>
          <w:rFonts w:hint="cs"/>
          <w:sz w:val="18"/>
          <w:szCs w:val="18"/>
          <w:rtl/>
        </w:rPr>
        <w:t xml:space="preserve">ומוסיף </w:t>
      </w:r>
      <w:r w:rsidRPr="00D94151">
        <w:rPr>
          <w:rFonts w:hint="cs"/>
          <w:b/>
          <w:bCs/>
          <w:sz w:val="18"/>
          <w:szCs w:val="18"/>
          <w:rtl/>
        </w:rPr>
        <w:t>הש"ך</w:t>
      </w:r>
      <w:r w:rsidRPr="00D94151">
        <w:rPr>
          <w:rFonts w:hint="cs"/>
          <w:sz w:val="18"/>
          <w:szCs w:val="18"/>
          <w:rtl/>
        </w:rPr>
        <w:t xml:space="preserve"> </w:t>
      </w:r>
      <w:r w:rsidRPr="00D94151">
        <w:rPr>
          <w:rFonts w:hint="cs"/>
          <w:b/>
          <w:bCs/>
          <w:sz w:val="18"/>
          <w:szCs w:val="18"/>
          <w:rtl/>
        </w:rPr>
        <w:t>מהמרדכי</w:t>
      </w:r>
      <w:r w:rsidRPr="00D94151">
        <w:rPr>
          <w:rFonts w:hint="cs"/>
          <w:sz w:val="18"/>
          <w:szCs w:val="18"/>
          <w:rtl/>
        </w:rPr>
        <w:t xml:space="preserve"> </w:t>
      </w:r>
      <w:r w:rsidRPr="00D94151">
        <w:rPr>
          <w:sz w:val="18"/>
          <w:szCs w:val="18"/>
          <w:rtl/>
        </w:rPr>
        <w:t>–</w:t>
      </w:r>
      <w:r w:rsidRPr="00D94151">
        <w:rPr>
          <w:rFonts w:hint="cs"/>
          <w:sz w:val="18"/>
          <w:szCs w:val="18"/>
          <w:rtl/>
        </w:rPr>
        <w:t xml:space="preserve"> "אמרה </w:t>
      </w:r>
      <w:r w:rsidRPr="00D94151">
        <w:rPr>
          <w:rFonts w:cs="Arial" w:hint="cs"/>
          <w:sz w:val="18"/>
          <w:szCs w:val="18"/>
          <w:rtl/>
        </w:rPr>
        <w:t>סבורה</w:t>
      </w:r>
      <w:r w:rsidRPr="00D94151">
        <w:rPr>
          <w:rFonts w:cs="Arial"/>
          <w:sz w:val="18"/>
          <w:szCs w:val="18"/>
          <w:rtl/>
        </w:rPr>
        <w:t xml:space="preserve"> </w:t>
      </w:r>
      <w:r w:rsidRPr="00D94151">
        <w:rPr>
          <w:rFonts w:cs="Arial" w:hint="cs"/>
          <w:sz w:val="18"/>
          <w:szCs w:val="18"/>
          <w:rtl/>
        </w:rPr>
        <w:t>הייתי</w:t>
      </w:r>
      <w:r w:rsidRPr="00D94151">
        <w:rPr>
          <w:rFonts w:cs="Arial"/>
          <w:sz w:val="18"/>
          <w:szCs w:val="18"/>
          <w:rtl/>
        </w:rPr>
        <w:t xml:space="preserve"> </w:t>
      </w:r>
      <w:r w:rsidRPr="00D94151">
        <w:rPr>
          <w:rFonts w:cs="Arial" w:hint="cs"/>
          <w:sz w:val="18"/>
          <w:szCs w:val="18"/>
          <w:rtl/>
        </w:rPr>
        <w:t>להיות</w:t>
      </w:r>
      <w:r w:rsidRPr="00D94151">
        <w:rPr>
          <w:rFonts w:cs="Arial"/>
          <w:sz w:val="18"/>
          <w:szCs w:val="18"/>
          <w:rtl/>
        </w:rPr>
        <w:t xml:space="preserve"> </w:t>
      </w:r>
      <w:r w:rsidRPr="00D94151">
        <w:rPr>
          <w:rFonts w:cs="Arial" w:hint="cs"/>
          <w:sz w:val="18"/>
          <w:szCs w:val="18"/>
          <w:rtl/>
        </w:rPr>
        <w:t>נדה,</w:t>
      </w:r>
      <w:r w:rsidRPr="00D94151">
        <w:rPr>
          <w:rFonts w:cs="Arial"/>
          <w:sz w:val="18"/>
          <w:szCs w:val="18"/>
          <w:rtl/>
        </w:rPr>
        <w:t xml:space="preserve"> </w:t>
      </w:r>
      <w:r w:rsidRPr="00D94151">
        <w:rPr>
          <w:rFonts w:cs="Arial" w:hint="cs"/>
          <w:sz w:val="18"/>
          <w:szCs w:val="18"/>
          <w:rtl/>
        </w:rPr>
        <w:t>אבל</w:t>
      </w:r>
      <w:r w:rsidRPr="00D94151">
        <w:rPr>
          <w:rFonts w:cs="Arial"/>
          <w:sz w:val="18"/>
          <w:szCs w:val="18"/>
          <w:rtl/>
        </w:rPr>
        <w:t xml:space="preserve"> </w:t>
      </w:r>
      <w:r w:rsidRPr="00D94151">
        <w:rPr>
          <w:rFonts w:cs="Arial" w:hint="cs"/>
          <w:sz w:val="18"/>
          <w:szCs w:val="18"/>
          <w:rtl/>
        </w:rPr>
        <w:t>עכשיו</w:t>
      </w:r>
      <w:r w:rsidRPr="00D94151">
        <w:rPr>
          <w:rFonts w:cs="Arial"/>
          <w:sz w:val="18"/>
          <w:szCs w:val="18"/>
          <w:rtl/>
        </w:rPr>
        <w:t xml:space="preserve"> </w:t>
      </w:r>
      <w:r w:rsidRPr="00D94151">
        <w:rPr>
          <w:rFonts w:cs="Arial" w:hint="cs"/>
          <w:sz w:val="18"/>
          <w:szCs w:val="18"/>
          <w:rtl/>
        </w:rPr>
        <w:t>בדקתי</w:t>
      </w:r>
      <w:r w:rsidRPr="00D94151">
        <w:rPr>
          <w:rFonts w:cs="Arial"/>
          <w:sz w:val="18"/>
          <w:szCs w:val="18"/>
          <w:rtl/>
        </w:rPr>
        <w:t xml:space="preserve"> </w:t>
      </w:r>
      <w:r w:rsidRPr="00D94151">
        <w:rPr>
          <w:rFonts w:cs="Arial" w:hint="cs"/>
          <w:sz w:val="18"/>
          <w:szCs w:val="18"/>
          <w:rtl/>
        </w:rPr>
        <w:t>עצמי</w:t>
      </w:r>
      <w:r w:rsidRPr="00D94151">
        <w:rPr>
          <w:rFonts w:cs="Arial"/>
          <w:sz w:val="18"/>
          <w:szCs w:val="18"/>
          <w:rtl/>
        </w:rPr>
        <w:t xml:space="preserve"> </w:t>
      </w:r>
      <w:r w:rsidRPr="00D94151">
        <w:rPr>
          <w:rFonts w:cs="Arial" w:hint="cs"/>
          <w:sz w:val="18"/>
          <w:szCs w:val="18"/>
          <w:rtl/>
        </w:rPr>
        <w:t>ומצאתי</w:t>
      </w:r>
      <w:r w:rsidRPr="00D94151">
        <w:rPr>
          <w:rFonts w:cs="Arial"/>
          <w:sz w:val="18"/>
          <w:szCs w:val="18"/>
          <w:rtl/>
        </w:rPr>
        <w:t xml:space="preserve"> </w:t>
      </w:r>
      <w:r w:rsidRPr="00D94151">
        <w:rPr>
          <w:rFonts w:cs="Arial" w:hint="cs"/>
          <w:sz w:val="18"/>
          <w:szCs w:val="18"/>
          <w:rtl/>
        </w:rPr>
        <w:t>שמחמת</w:t>
      </w:r>
      <w:r w:rsidRPr="00D94151">
        <w:rPr>
          <w:rFonts w:cs="Arial"/>
          <w:sz w:val="18"/>
          <w:szCs w:val="18"/>
          <w:rtl/>
        </w:rPr>
        <w:t xml:space="preserve"> </w:t>
      </w:r>
      <w:r w:rsidRPr="00D94151">
        <w:rPr>
          <w:rFonts w:cs="Arial" w:hint="cs"/>
          <w:sz w:val="18"/>
          <w:szCs w:val="18"/>
          <w:rtl/>
        </w:rPr>
        <w:t>מכה</w:t>
      </w:r>
      <w:r w:rsidRPr="00D94151">
        <w:rPr>
          <w:rFonts w:cs="Arial"/>
          <w:sz w:val="18"/>
          <w:szCs w:val="18"/>
          <w:rtl/>
        </w:rPr>
        <w:t xml:space="preserve"> </w:t>
      </w:r>
      <w:r w:rsidRPr="00D94151">
        <w:rPr>
          <w:rFonts w:cs="Arial" w:hint="cs"/>
          <w:sz w:val="18"/>
          <w:szCs w:val="18"/>
          <w:rtl/>
        </w:rPr>
        <w:t>או</w:t>
      </w:r>
      <w:r w:rsidRPr="00D94151">
        <w:rPr>
          <w:rFonts w:cs="Arial"/>
          <w:sz w:val="18"/>
          <w:szCs w:val="18"/>
          <w:rtl/>
        </w:rPr>
        <w:t xml:space="preserve"> </w:t>
      </w:r>
      <w:r w:rsidRPr="00D94151">
        <w:rPr>
          <w:rFonts w:cs="Arial" w:hint="cs"/>
          <w:sz w:val="18"/>
          <w:szCs w:val="18"/>
          <w:rtl/>
        </w:rPr>
        <w:t>חבורה</w:t>
      </w:r>
      <w:r w:rsidRPr="00D94151">
        <w:rPr>
          <w:rFonts w:cs="Arial"/>
          <w:sz w:val="18"/>
          <w:szCs w:val="18"/>
          <w:rtl/>
        </w:rPr>
        <w:t xml:space="preserve"> </w:t>
      </w:r>
      <w:r w:rsidRPr="00D94151">
        <w:rPr>
          <w:rFonts w:cs="Arial" w:hint="cs"/>
          <w:sz w:val="18"/>
          <w:szCs w:val="18"/>
          <w:rtl/>
        </w:rPr>
        <w:t>בא</w:t>
      </w:r>
      <w:r w:rsidRPr="00D94151">
        <w:rPr>
          <w:rFonts w:cs="Arial"/>
          <w:sz w:val="18"/>
          <w:szCs w:val="18"/>
          <w:rtl/>
        </w:rPr>
        <w:t xml:space="preserve"> </w:t>
      </w:r>
      <w:r w:rsidRPr="00D94151">
        <w:rPr>
          <w:rFonts w:cs="Arial" w:hint="cs"/>
          <w:sz w:val="18"/>
          <w:szCs w:val="18"/>
          <w:rtl/>
        </w:rPr>
        <w:t>אלי</w:t>
      </w:r>
      <w:r w:rsidRPr="00D94151">
        <w:rPr>
          <w:rFonts w:cs="Arial"/>
          <w:sz w:val="18"/>
          <w:szCs w:val="18"/>
          <w:rtl/>
        </w:rPr>
        <w:t xml:space="preserve"> </w:t>
      </w:r>
      <w:r w:rsidRPr="00D94151">
        <w:rPr>
          <w:rFonts w:cs="Arial" w:hint="cs"/>
          <w:sz w:val="18"/>
          <w:szCs w:val="18"/>
          <w:rtl/>
        </w:rPr>
        <w:t>הדם</w:t>
      </w:r>
      <w:r w:rsidRPr="00D94151">
        <w:rPr>
          <w:rFonts w:cs="Arial"/>
          <w:sz w:val="18"/>
          <w:szCs w:val="18"/>
          <w:rtl/>
        </w:rPr>
        <w:t xml:space="preserve"> </w:t>
      </w:r>
      <w:r w:rsidRPr="00D94151">
        <w:rPr>
          <w:rFonts w:cs="Arial" w:hint="cs"/>
          <w:sz w:val="18"/>
          <w:szCs w:val="18"/>
          <w:rtl/>
        </w:rPr>
        <w:t>וכיוצא</w:t>
      </w:r>
      <w:r w:rsidRPr="00D94151">
        <w:rPr>
          <w:rFonts w:cs="Arial"/>
          <w:sz w:val="18"/>
          <w:szCs w:val="18"/>
          <w:rtl/>
        </w:rPr>
        <w:t xml:space="preserve"> </w:t>
      </w:r>
      <w:r w:rsidRPr="00D94151">
        <w:rPr>
          <w:rFonts w:cs="Arial" w:hint="cs"/>
          <w:sz w:val="18"/>
          <w:szCs w:val="18"/>
          <w:rtl/>
        </w:rPr>
        <w:t xml:space="preserve">בזה </w:t>
      </w:r>
      <w:r w:rsidRPr="00D94151">
        <w:rPr>
          <w:rFonts w:cs="Arial"/>
          <w:sz w:val="18"/>
          <w:szCs w:val="18"/>
          <w:rtl/>
        </w:rPr>
        <w:t xml:space="preserve">– </w:t>
      </w:r>
      <w:r w:rsidRPr="00D94151">
        <w:rPr>
          <w:rFonts w:cs="Arial" w:hint="cs"/>
          <w:sz w:val="18"/>
          <w:szCs w:val="18"/>
          <w:rtl/>
        </w:rPr>
        <w:t>נאמנת</w:t>
      </w:r>
      <w:r w:rsidRPr="00D94151">
        <w:rPr>
          <w:rFonts w:hint="cs"/>
          <w:sz w:val="18"/>
          <w:szCs w:val="18"/>
          <w:rtl/>
        </w:rPr>
        <w:t>".</w:t>
      </w:r>
    </w:p>
  </w:footnote>
  <w:footnote w:id="68">
    <w:p w:rsidR="005953C5" w:rsidRDefault="005953C5" w:rsidP="00620060">
      <w:pPr>
        <w:pStyle w:val="a3"/>
        <w:rPr>
          <w:rtl/>
        </w:rPr>
      </w:pPr>
      <w:r w:rsidRPr="000128A8">
        <w:rPr>
          <w:rStyle w:val="a5"/>
          <w:sz w:val="18"/>
          <w:szCs w:val="18"/>
        </w:rPr>
        <w:footnoteRef/>
      </w:r>
      <w:r w:rsidRPr="000128A8">
        <w:rPr>
          <w:sz w:val="18"/>
          <w:szCs w:val="18"/>
          <w:rtl/>
        </w:rPr>
        <w:t xml:space="preserve"> </w:t>
      </w:r>
      <w:r w:rsidRPr="000128A8">
        <w:rPr>
          <w:rFonts w:hint="cs"/>
          <w:sz w:val="18"/>
          <w:szCs w:val="18"/>
          <w:rtl/>
        </w:rPr>
        <w:t xml:space="preserve">אמנם, אין להביא מכאן ראייה </w:t>
      </w:r>
      <w:r w:rsidRPr="000128A8">
        <w:rPr>
          <w:rFonts w:hint="cs"/>
          <w:b/>
          <w:bCs/>
          <w:sz w:val="18"/>
          <w:szCs w:val="18"/>
          <w:rtl/>
        </w:rPr>
        <w:t>לחוו"ד</w:t>
      </w:r>
      <w:r w:rsidRPr="000128A8">
        <w:rPr>
          <w:rFonts w:hint="cs"/>
          <w:sz w:val="18"/>
          <w:szCs w:val="18"/>
          <w:rtl/>
        </w:rPr>
        <w:t xml:space="preserve"> לעיל המצריך שתאמר לבעלה להדיא שטבלה, כיוון שכאן כל איסורה </w:t>
      </w:r>
      <w:r>
        <w:rPr>
          <w:rFonts w:hint="cs"/>
          <w:sz w:val="18"/>
          <w:szCs w:val="18"/>
          <w:rtl/>
        </w:rPr>
        <w:t xml:space="preserve">בא </w:t>
      </w:r>
      <w:r w:rsidRPr="000128A8">
        <w:rPr>
          <w:rFonts w:hint="cs"/>
          <w:sz w:val="18"/>
          <w:szCs w:val="18"/>
          <w:rtl/>
        </w:rPr>
        <w:t>מחמת מה שהוציאה מפיה שנטמאה, וכדי לבטל זאת עליה לתת אמתלה בפיה. משא"כ לעיל שעברו הימים שיכולה להיטהר ע"י מעשה של טבילה אינה צריכה לומר להדיא שטבלה.</w:t>
      </w:r>
    </w:p>
  </w:footnote>
  <w:footnote w:id="69">
    <w:p w:rsidR="005953C5" w:rsidRDefault="005953C5" w:rsidP="00620060">
      <w:pPr>
        <w:pStyle w:val="a3"/>
        <w:rPr>
          <w:rtl/>
        </w:rPr>
      </w:pPr>
      <w:r w:rsidRPr="00E103A0">
        <w:rPr>
          <w:rStyle w:val="a5"/>
          <w:sz w:val="18"/>
          <w:szCs w:val="18"/>
        </w:rPr>
        <w:footnoteRef/>
      </w:r>
      <w:r w:rsidRPr="00E103A0">
        <w:rPr>
          <w:sz w:val="18"/>
          <w:szCs w:val="18"/>
          <w:rtl/>
        </w:rPr>
        <w:t xml:space="preserve"> </w:t>
      </w:r>
      <w:r w:rsidRPr="00E103A0">
        <w:rPr>
          <w:rFonts w:hint="cs"/>
          <w:b/>
          <w:bCs/>
          <w:sz w:val="18"/>
          <w:szCs w:val="18"/>
          <w:rtl/>
        </w:rPr>
        <w:t>הבית יוסף</w:t>
      </w:r>
      <w:r w:rsidRPr="00E103A0">
        <w:rPr>
          <w:rFonts w:hint="cs"/>
          <w:sz w:val="18"/>
          <w:szCs w:val="18"/>
          <w:rtl/>
        </w:rPr>
        <w:t xml:space="preserve"> מביא את הגמרא הנ"ל ממנה למד הרשב"א את דבריו, וכתב שהגמרא מדברת בסתמא, דהיינו אפילו </w:t>
      </w:r>
      <w:r>
        <w:rPr>
          <w:rFonts w:hint="cs"/>
          <w:sz w:val="18"/>
          <w:szCs w:val="18"/>
          <w:rtl/>
        </w:rPr>
        <w:t xml:space="preserve">אם </w:t>
      </w:r>
      <w:r w:rsidRPr="00E103A0">
        <w:rPr>
          <w:rFonts w:hint="cs"/>
          <w:sz w:val="18"/>
          <w:szCs w:val="18"/>
          <w:rtl/>
        </w:rPr>
        <w:t xml:space="preserve">נתנה אמתלה לדבריה. אך </w:t>
      </w:r>
      <w:r w:rsidRPr="00E103A0">
        <w:rPr>
          <w:rFonts w:hint="cs"/>
          <w:b/>
          <w:bCs/>
          <w:sz w:val="18"/>
          <w:szCs w:val="18"/>
          <w:rtl/>
        </w:rPr>
        <w:t>הגר"א</w:t>
      </w:r>
      <w:r w:rsidRPr="00E103A0">
        <w:rPr>
          <w:rFonts w:hint="cs"/>
          <w:sz w:val="18"/>
          <w:szCs w:val="18"/>
          <w:rtl/>
        </w:rPr>
        <w:t xml:space="preserve"> הסביר כפי שכתוב בפנים.</w:t>
      </w:r>
    </w:p>
  </w:footnote>
  <w:footnote w:id="70">
    <w:p w:rsidR="005953C5" w:rsidRDefault="005953C5" w:rsidP="00620060">
      <w:pPr>
        <w:pStyle w:val="a3"/>
      </w:pPr>
      <w:r w:rsidRPr="004729D5">
        <w:rPr>
          <w:rStyle w:val="a5"/>
          <w:sz w:val="18"/>
          <w:szCs w:val="18"/>
        </w:rPr>
        <w:footnoteRef/>
      </w:r>
      <w:r w:rsidRPr="004729D5">
        <w:rPr>
          <w:sz w:val="18"/>
          <w:szCs w:val="18"/>
          <w:rtl/>
        </w:rPr>
        <w:t xml:space="preserve"> </w:t>
      </w:r>
      <w:r w:rsidRPr="004729D5">
        <w:rPr>
          <w:rFonts w:hint="cs"/>
          <w:sz w:val="18"/>
          <w:szCs w:val="18"/>
          <w:rtl/>
        </w:rPr>
        <w:t xml:space="preserve">תירוץ </w:t>
      </w:r>
      <w:r w:rsidRPr="002E1567">
        <w:rPr>
          <w:rFonts w:hint="cs"/>
          <w:sz w:val="18"/>
          <w:szCs w:val="18"/>
          <w:rtl/>
        </w:rPr>
        <w:t>זה</w:t>
      </w:r>
      <w:r w:rsidRPr="004729D5">
        <w:rPr>
          <w:rFonts w:hint="cs"/>
          <w:sz w:val="18"/>
          <w:szCs w:val="18"/>
          <w:rtl/>
        </w:rPr>
        <w:t xml:space="preserve"> אינו מובן לענ"ד, מדוע צריכות כל הנשים לדעת את האמתלה? ובשלמא בזמן שנוהגים דיני טומאה וטהרה שפיר אמרינן שהיא אינה רוצה להיחשב נידה ביניהן, כיוון שירחיקו אותה מעיסותיהן ומשאר חפציהן, אך בזמן הזה מה אכפת לה לאשה שחברותיה יחשבו שהיא נידה?</w:t>
      </w:r>
    </w:p>
  </w:footnote>
  <w:footnote w:id="71">
    <w:p w:rsidR="005953C5" w:rsidRDefault="005953C5" w:rsidP="00620060">
      <w:pPr>
        <w:pStyle w:val="a3"/>
        <w:rPr>
          <w:rtl/>
        </w:rPr>
      </w:pPr>
      <w:r w:rsidRPr="00184BE6">
        <w:rPr>
          <w:rStyle w:val="a5"/>
          <w:sz w:val="18"/>
          <w:szCs w:val="18"/>
        </w:rPr>
        <w:footnoteRef/>
      </w:r>
      <w:r w:rsidRPr="00184BE6">
        <w:rPr>
          <w:sz w:val="18"/>
          <w:szCs w:val="18"/>
          <w:rtl/>
        </w:rPr>
        <w:t xml:space="preserve"> </w:t>
      </w:r>
      <w:r w:rsidRPr="00184BE6">
        <w:rPr>
          <w:rFonts w:hint="cs"/>
          <w:sz w:val="18"/>
          <w:szCs w:val="18"/>
          <w:rtl/>
        </w:rPr>
        <w:t xml:space="preserve">מוסיף </w:t>
      </w:r>
      <w:r w:rsidRPr="00184BE6">
        <w:rPr>
          <w:rFonts w:hint="cs"/>
          <w:b/>
          <w:bCs/>
          <w:sz w:val="18"/>
          <w:szCs w:val="18"/>
          <w:rtl/>
        </w:rPr>
        <w:t>הפת"ש</w:t>
      </w:r>
      <w:r w:rsidRPr="00184BE6">
        <w:rPr>
          <w:rFonts w:hint="cs"/>
          <w:sz w:val="18"/>
          <w:szCs w:val="18"/>
          <w:rtl/>
        </w:rPr>
        <w:t xml:space="preserve"> </w:t>
      </w:r>
      <w:r w:rsidRPr="00184BE6">
        <w:rPr>
          <w:sz w:val="18"/>
          <w:szCs w:val="18"/>
          <w:rtl/>
        </w:rPr>
        <w:t>–</w:t>
      </w:r>
      <w:r w:rsidRPr="00184BE6">
        <w:rPr>
          <w:rFonts w:hint="cs"/>
          <w:sz w:val="18"/>
          <w:szCs w:val="18"/>
          <w:rtl/>
        </w:rPr>
        <w:t xml:space="preserve"> לפי"ז, הוא הדין באמתלה שכתב הש"ך בשם המרדכי, שסבורה היתה שהדם מחמת נידות והתברר לה שהוא מחמת מכה, שאפילו אם לבשה בגדי נידות נאמנת, והטעם כנ"ל משום שלפי אמתלה זאת מוכרחת היא ללבוש בגדי נידות.</w:t>
      </w:r>
      <w:r>
        <w:rPr>
          <w:rtl/>
        </w:rPr>
        <w:br/>
      </w:r>
      <w:r w:rsidRPr="00D44B12">
        <w:rPr>
          <w:rFonts w:hint="cs"/>
          <w:b/>
          <w:bCs/>
          <w:sz w:val="18"/>
          <w:szCs w:val="18"/>
          <w:rtl/>
        </w:rPr>
        <w:t>הש"ך</w:t>
      </w:r>
      <w:r w:rsidRPr="006B2AF2">
        <w:rPr>
          <w:rFonts w:hint="cs"/>
          <w:sz w:val="18"/>
          <w:szCs w:val="18"/>
          <w:rtl/>
        </w:rPr>
        <w:t xml:space="preserve"> הוסיף ו</w:t>
      </w:r>
      <w:r>
        <w:rPr>
          <w:rFonts w:hint="cs"/>
          <w:sz w:val="18"/>
          <w:szCs w:val="18"/>
          <w:rtl/>
        </w:rPr>
        <w:t>ד</w:t>
      </w:r>
      <w:r w:rsidRPr="006B2AF2">
        <w:rPr>
          <w:rFonts w:hint="cs"/>
          <w:sz w:val="18"/>
          <w:szCs w:val="18"/>
          <w:rtl/>
        </w:rPr>
        <w:t>ימה זאת לדין המופיע בסימן א: "</w:t>
      </w:r>
      <w:r w:rsidRPr="006B2AF2">
        <w:rPr>
          <w:rFonts w:cs="Arial" w:hint="cs"/>
          <w:sz w:val="18"/>
          <w:szCs w:val="18"/>
          <w:rtl/>
        </w:rPr>
        <w:t>טבח</w:t>
      </w:r>
      <w:r w:rsidRPr="006B2AF2">
        <w:rPr>
          <w:rFonts w:cs="Arial"/>
          <w:sz w:val="18"/>
          <w:szCs w:val="18"/>
          <w:rtl/>
        </w:rPr>
        <w:t xml:space="preserve"> </w:t>
      </w:r>
      <w:r w:rsidRPr="006B2AF2">
        <w:rPr>
          <w:rFonts w:cs="Arial" w:hint="cs"/>
          <w:sz w:val="18"/>
          <w:szCs w:val="18"/>
          <w:rtl/>
        </w:rPr>
        <w:t>שעשה</w:t>
      </w:r>
      <w:r w:rsidRPr="006B2AF2">
        <w:rPr>
          <w:rFonts w:cs="Arial"/>
          <w:sz w:val="18"/>
          <w:szCs w:val="18"/>
          <w:rtl/>
        </w:rPr>
        <w:t xml:space="preserve"> </w:t>
      </w:r>
      <w:r w:rsidRPr="006B2AF2">
        <w:rPr>
          <w:rFonts w:cs="Arial" w:hint="cs"/>
          <w:sz w:val="18"/>
          <w:szCs w:val="18"/>
          <w:rtl/>
        </w:rPr>
        <w:t>סימן</w:t>
      </w:r>
      <w:r w:rsidRPr="006B2AF2">
        <w:rPr>
          <w:rFonts w:cs="Arial"/>
          <w:sz w:val="18"/>
          <w:szCs w:val="18"/>
          <w:rtl/>
        </w:rPr>
        <w:t xml:space="preserve"> </w:t>
      </w:r>
      <w:r w:rsidRPr="006B2AF2">
        <w:rPr>
          <w:rFonts w:cs="Arial" w:hint="cs"/>
          <w:sz w:val="18"/>
          <w:szCs w:val="18"/>
          <w:rtl/>
        </w:rPr>
        <w:t>בראש</w:t>
      </w:r>
      <w:r w:rsidRPr="006B2AF2">
        <w:rPr>
          <w:rFonts w:cs="Arial"/>
          <w:sz w:val="18"/>
          <w:szCs w:val="18"/>
          <w:rtl/>
        </w:rPr>
        <w:t xml:space="preserve"> </w:t>
      </w:r>
      <w:r w:rsidRPr="006B2AF2">
        <w:rPr>
          <w:rFonts w:cs="Arial" w:hint="cs"/>
          <w:sz w:val="18"/>
          <w:szCs w:val="18"/>
          <w:rtl/>
        </w:rPr>
        <w:t>הכבש</w:t>
      </w:r>
      <w:r w:rsidRPr="006B2AF2">
        <w:rPr>
          <w:rFonts w:cs="Arial"/>
          <w:sz w:val="18"/>
          <w:szCs w:val="18"/>
          <w:rtl/>
        </w:rPr>
        <w:t xml:space="preserve"> </w:t>
      </w:r>
      <w:r w:rsidRPr="006B2AF2">
        <w:rPr>
          <w:rFonts w:cs="Arial" w:hint="cs"/>
          <w:sz w:val="18"/>
          <w:szCs w:val="18"/>
          <w:rtl/>
        </w:rPr>
        <w:t>השחוט</w:t>
      </w:r>
      <w:r w:rsidRPr="006B2AF2">
        <w:rPr>
          <w:rFonts w:cs="Arial"/>
          <w:sz w:val="18"/>
          <w:szCs w:val="18"/>
          <w:rtl/>
        </w:rPr>
        <w:t xml:space="preserve">, </w:t>
      </w:r>
      <w:r w:rsidRPr="006B2AF2">
        <w:rPr>
          <w:rFonts w:cs="Arial" w:hint="cs"/>
          <w:sz w:val="18"/>
          <w:szCs w:val="18"/>
          <w:rtl/>
        </w:rPr>
        <w:t>שיהא</w:t>
      </w:r>
      <w:r w:rsidRPr="006B2AF2">
        <w:rPr>
          <w:rFonts w:cs="Arial"/>
          <w:sz w:val="18"/>
          <w:szCs w:val="18"/>
          <w:rtl/>
        </w:rPr>
        <w:t xml:space="preserve"> </w:t>
      </w:r>
      <w:r w:rsidRPr="006B2AF2">
        <w:rPr>
          <w:rFonts w:cs="Arial" w:hint="cs"/>
          <w:sz w:val="18"/>
          <w:szCs w:val="18"/>
          <w:rtl/>
        </w:rPr>
        <w:t>נראה</w:t>
      </w:r>
      <w:r w:rsidRPr="006B2AF2">
        <w:rPr>
          <w:rFonts w:cs="Arial"/>
          <w:sz w:val="18"/>
          <w:szCs w:val="18"/>
          <w:rtl/>
        </w:rPr>
        <w:t xml:space="preserve"> </w:t>
      </w:r>
      <w:r w:rsidRPr="006B2AF2">
        <w:rPr>
          <w:rFonts w:cs="Arial" w:hint="cs"/>
          <w:sz w:val="18"/>
          <w:szCs w:val="18"/>
          <w:rtl/>
        </w:rPr>
        <w:t>שהוא</w:t>
      </w:r>
      <w:r w:rsidRPr="006B2AF2">
        <w:rPr>
          <w:rFonts w:cs="Arial"/>
          <w:sz w:val="18"/>
          <w:szCs w:val="18"/>
          <w:rtl/>
        </w:rPr>
        <w:t xml:space="preserve"> </w:t>
      </w:r>
      <w:r w:rsidRPr="006B2AF2">
        <w:rPr>
          <w:rFonts w:cs="Arial" w:hint="cs"/>
          <w:sz w:val="18"/>
          <w:szCs w:val="18"/>
          <w:rtl/>
        </w:rPr>
        <w:t>טרפה</w:t>
      </w:r>
      <w:r w:rsidRPr="006B2AF2">
        <w:rPr>
          <w:rFonts w:cs="Arial"/>
          <w:sz w:val="18"/>
          <w:szCs w:val="18"/>
          <w:rtl/>
        </w:rPr>
        <w:t xml:space="preserve">, </w:t>
      </w:r>
      <w:r w:rsidRPr="006B2AF2">
        <w:rPr>
          <w:rFonts w:cs="Arial" w:hint="cs"/>
          <w:sz w:val="18"/>
          <w:szCs w:val="18"/>
          <w:rtl/>
        </w:rPr>
        <w:t>וגם</w:t>
      </w:r>
      <w:r w:rsidRPr="006B2AF2">
        <w:rPr>
          <w:rFonts w:cs="Arial"/>
          <w:sz w:val="18"/>
          <w:szCs w:val="18"/>
          <w:rtl/>
        </w:rPr>
        <w:t xml:space="preserve"> </w:t>
      </w:r>
      <w:r w:rsidRPr="006B2AF2">
        <w:rPr>
          <w:rFonts w:cs="Arial" w:hint="cs"/>
          <w:sz w:val="18"/>
          <w:szCs w:val="18"/>
          <w:rtl/>
        </w:rPr>
        <w:t>היה</w:t>
      </w:r>
      <w:r w:rsidRPr="006B2AF2">
        <w:rPr>
          <w:rFonts w:cs="Arial"/>
          <w:sz w:val="18"/>
          <w:szCs w:val="18"/>
          <w:rtl/>
        </w:rPr>
        <w:t xml:space="preserve"> </w:t>
      </w:r>
      <w:r w:rsidRPr="006B2AF2">
        <w:rPr>
          <w:rFonts w:cs="Arial" w:hint="cs"/>
          <w:sz w:val="18"/>
          <w:szCs w:val="18"/>
          <w:rtl/>
        </w:rPr>
        <w:t>אומר</w:t>
      </w:r>
      <w:r w:rsidRPr="006B2AF2">
        <w:rPr>
          <w:rFonts w:cs="Arial"/>
          <w:sz w:val="18"/>
          <w:szCs w:val="18"/>
          <w:rtl/>
        </w:rPr>
        <w:t xml:space="preserve"> </w:t>
      </w:r>
      <w:r w:rsidRPr="006B2AF2">
        <w:rPr>
          <w:rFonts w:cs="Arial" w:hint="cs"/>
          <w:sz w:val="18"/>
          <w:szCs w:val="18"/>
          <w:rtl/>
        </w:rPr>
        <w:t>שהוא</w:t>
      </w:r>
      <w:r w:rsidRPr="006B2AF2">
        <w:rPr>
          <w:rFonts w:cs="Arial"/>
          <w:sz w:val="18"/>
          <w:szCs w:val="18"/>
          <w:rtl/>
        </w:rPr>
        <w:t xml:space="preserve"> </w:t>
      </w:r>
      <w:r w:rsidRPr="006B2AF2">
        <w:rPr>
          <w:rFonts w:cs="Arial" w:hint="cs"/>
          <w:sz w:val="18"/>
          <w:szCs w:val="18"/>
          <w:rtl/>
        </w:rPr>
        <w:t>טרפה</w:t>
      </w:r>
      <w:r w:rsidRPr="006B2AF2">
        <w:rPr>
          <w:rFonts w:cs="Arial"/>
          <w:sz w:val="18"/>
          <w:szCs w:val="18"/>
          <w:rtl/>
        </w:rPr>
        <w:t xml:space="preserve">, </w:t>
      </w:r>
      <w:r w:rsidRPr="006B2AF2">
        <w:rPr>
          <w:rFonts w:cs="Arial" w:hint="cs"/>
          <w:sz w:val="18"/>
          <w:szCs w:val="18"/>
          <w:rtl/>
        </w:rPr>
        <w:t>ואחר כך</w:t>
      </w:r>
      <w:r w:rsidRPr="006B2AF2">
        <w:rPr>
          <w:rFonts w:cs="Arial"/>
          <w:sz w:val="18"/>
          <w:szCs w:val="18"/>
          <w:rtl/>
        </w:rPr>
        <w:t xml:space="preserve"> </w:t>
      </w:r>
      <w:r w:rsidRPr="006B2AF2">
        <w:rPr>
          <w:rFonts w:cs="Arial" w:hint="cs"/>
          <w:sz w:val="18"/>
          <w:szCs w:val="18"/>
          <w:rtl/>
        </w:rPr>
        <w:t>אמר</w:t>
      </w:r>
      <w:r w:rsidRPr="006B2AF2">
        <w:rPr>
          <w:rFonts w:cs="Arial"/>
          <w:sz w:val="18"/>
          <w:szCs w:val="18"/>
          <w:rtl/>
        </w:rPr>
        <w:t xml:space="preserve"> </w:t>
      </w:r>
      <w:r w:rsidRPr="006B2AF2">
        <w:rPr>
          <w:rFonts w:cs="Arial" w:hint="cs"/>
          <w:sz w:val="18"/>
          <w:szCs w:val="18"/>
          <w:rtl/>
        </w:rPr>
        <w:t>שכשר</w:t>
      </w:r>
      <w:r w:rsidRPr="006B2AF2">
        <w:rPr>
          <w:rFonts w:cs="Arial"/>
          <w:sz w:val="18"/>
          <w:szCs w:val="18"/>
          <w:rtl/>
        </w:rPr>
        <w:t xml:space="preserve"> </w:t>
      </w:r>
      <w:r w:rsidRPr="006B2AF2">
        <w:rPr>
          <w:rFonts w:cs="Arial" w:hint="cs"/>
          <w:sz w:val="18"/>
          <w:szCs w:val="18"/>
          <w:rtl/>
        </w:rPr>
        <w:t>היה</w:t>
      </w:r>
      <w:r w:rsidRPr="006B2AF2">
        <w:rPr>
          <w:rFonts w:cs="Arial"/>
          <w:sz w:val="18"/>
          <w:szCs w:val="18"/>
          <w:rtl/>
        </w:rPr>
        <w:t xml:space="preserve"> </w:t>
      </w:r>
      <w:r w:rsidRPr="006B2AF2">
        <w:rPr>
          <w:rFonts w:cs="Arial" w:hint="cs"/>
          <w:sz w:val="18"/>
          <w:szCs w:val="18"/>
          <w:rtl/>
        </w:rPr>
        <w:t>ולא</w:t>
      </w:r>
      <w:r w:rsidRPr="006B2AF2">
        <w:rPr>
          <w:rFonts w:cs="Arial"/>
          <w:sz w:val="18"/>
          <w:szCs w:val="18"/>
          <w:rtl/>
        </w:rPr>
        <w:t xml:space="preserve"> </w:t>
      </w:r>
      <w:r w:rsidRPr="006B2AF2">
        <w:rPr>
          <w:rFonts w:cs="Arial" w:hint="cs"/>
          <w:sz w:val="18"/>
          <w:szCs w:val="18"/>
          <w:rtl/>
        </w:rPr>
        <w:t>אמר</w:t>
      </w:r>
      <w:r w:rsidRPr="006B2AF2">
        <w:rPr>
          <w:rFonts w:cs="Arial"/>
          <w:sz w:val="18"/>
          <w:szCs w:val="18"/>
          <w:rtl/>
        </w:rPr>
        <w:t xml:space="preserve"> </w:t>
      </w:r>
      <w:r w:rsidRPr="006B2AF2">
        <w:rPr>
          <w:rFonts w:cs="Arial" w:hint="cs"/>
          <w:sz w:val="18"/>
          <w:szCs w:val="18"/>
          <w:rtl/>
        </w:rPr>
        <w:t>כן</w:t>
      </w:r>
      <w:r w:rsidRPr="006B2AF2">
        <w:rPr>
          <w:rFonts w:cs="Arial"/>
          <w:sz w:val="18"/>
          <w:szCs w:val="18"/>
          <w:rtl/>
        </w:rPr>
        <w:t xml:space="preserve"> </w:t>
      </w:r>
      <w:r w:rsidRPr="006B2AF2">
        <w:rPr>
          <w:rFonts w:cs="Arial" w:hint="cs"/>
          <w:sz w:val="18"/>
          <w:szCs w:val="18"/>
          <w:rtl/>
        </w:rPr>
        <w:t>אלא</w:t>
      </w:r>
      <w:r w:rsidRPr="006B2AF2">
        <w:rPr>
          <w:rFonts w:cs="Arial"/>
          <w:sz w:val="18"/>
          <w:szCs w:val="18"/>
          <w:rtl/>
        </w:rPr>
        <w:t xml:space="preserve"> </w:t>
      </w:r>
      <w:r w:rsidRPr="006B2AF2">
        <w:rPr>
          <w:rFonts w:cs="Arial" w:hint="cs"/>
          <w:sz w:val="18"/>
          <w:szCs w:val="18"/>
          <w:rtl/>
        </w:rPr>
        <w:t>כדי</w:t>
      </w:r>
      <w:r w:rsidRPr="006B2AF2">
        <w:rPr>
          <w:rFonts w:cs="Arial"/>
          <w:sz w:val="18"/>
          <w:szCs w:val="18"/>
          <w:rtl/>
        </w:rPr>
        <w:t xml:space="preserve"> </w:t>
      </w:r>
      <w:r w:rsidRPr="006B2AF2">
        <w:rPr>
          <w:rFonts w:cs="Arial" w:hint="cs"/>
          <w:sz w:val="18"/>
          <w:szCs w:val="18"/>
          <w:rtl/>
        </w:rPr>
        <w:t>שלא</w:t>
      </w:r>
      <w:r w:rsidRPr="006B2AF2">
        <w:rPr>
          <w:rFonts w:cs="Arial"/>
          <w:sz w:val="18"/>
          <w:szCs w:val="18"/>
          <w:rtl/>
        </w:rPr>
        <w:t xml:space="preserve"> </w:t>
      </w:r>
      <w:r w:rsidRPr="006B2AF2">
        <w:rPr>
          <w:rFonts w:cs="Arial" w:hint="cs"/>
          <w:sz w:val="18"/>
          <w:szCs w:val="18"/>
          <w:rtl/>
        </w:rPr>
        <w:t>יקחו</w:t>
      </w:r>
      <w:r w:rsidRPr="006B2AF2">
        <w:rPr>
          <w:rFonts w:cs="Arial"/>
          <w:sz w:val="18"/>
          <w:szCs w:val="18"/>
          <w:rtl/>
        </w:rPr>
        <w:t xml:space="preserve"> </w:t>
      </w:r>
      <w:r w:rsidRPr="006B2AF2">
        <w:rPr>
          <w:rFonts w:cs="Arial" w:hint="cs"/>
          <w:sz w:val="18"/>
          <w:szCs w:val="18"/>
          <w:rtl/>
        </w:rPr>
        <w:t>אותו</w:t>
      </w:r>
      <w:r w:rsidRPr="006B2AF2">
        <w:rPr>
          <w:rFonts w:cs="Arial"/>
          <w:sz w:val="18"/>
          <w:szCs w:val="18"/>
          <w:rtl/>
        </w:rPr>
        <w:t xml:space="preserve"> </w:t>
      </w:r>
      <w:r w:rsidRPr="006B2AF2">
        <w:rPr>
          <w:rFonts w:cs="Arial" w:hint="cs"/>
          <w:sz w:val="18"/>
          <w:szCs w:val="18"/>
          <w:rtl/>
        </w:rPr>
        <w:t>ויישאר</w:t>
      </w:r>
      <w:r w:rsidRPr="006B2AF2">
        <w:rPr>
          <w:rFonts w:cs="Arial"/>
          <w:sz w:val="18"/>
          <w:szCs w:val="18"/>
          <w:rtl/>
        </w:rPr>
        <w:t xml:space="preserve"> </w:t>
      </w:r>
      <w:r w:rsidRPr="006B2AF2">
        <w:rPr>
          <w:rFonts w:cs="Arial" w:hint="cs"/>
          <w:sz w:val="18"/>
          <w:szCs w:val="18"/>
          <w:rtl/>
        </w:rPr>
        <w:t>לו</w:t>
      </w:r>
      <w:r w:rsidRPr="006B2AF2">
        <w:rPr>
          <w:rFonts w:cs="Arial"/>
          <w:sz w:val="18"/>
          <w:szCs w:val="18"/>
          <w:rtl/>
        </w:rPr>
        <w:t xml:space="preserve"> </w:t>
      </w:r>
      <w:r w:rsidRPr="006B2AF2">
        <w:rPr>
          <w:rFonts w:cs="Arial" w:hint="cs"/>
          <w:sz w:val="18"/>
          <w:szCs w:val="18"/>
          <w:rtl/>
        </w:rPr>
        <w:t>ליקח</w:t>
      </w:r>
      <w:r w:rsidRPr="006B2AF2">
        <w:rPr>
          <w:rFonts w:cs="Arial"/>
          <w:sz w:val="18"/>
          <w:szCs w:val="18"/>
          <w:rtl/>
        </w:rPr>
        <w:t xml:space="preserve"> </w:t>
      </w:r>
      <w:r w:rsidRPr="006B2AF2">
        <w:rPr>
          <w:rFonts w:cs="Arial" w:hint="cs"/>
          <w:sz w:val="18"/>
          <w:szCs w:val="18"/>
          <w:rtl/>
        </w:rPr>
        <w:t>ממנו</w:t>
      </w:r>
      <w:r w:rsidRPr="006B2AF2">
        <w:rPr>
          <w:rFonts w:cs="Arial"/>
          <w:sz w:val="18"/>
          <w:szCs w:val="18"/>
          <w:rtl/>
        </w:rPr>
        <w:t xml:space="preserve"> </w:t>
      </w:r>
      <w:r w:rsidRPr="006B2AF2">
        <w:rPr>
          <w:rFonts w:cs="Arial" w:hint="cs"/>
          <w:sz w:val="18"/>
          <w:szCs w:val="18"/>
          <w:rtl/>
        </w:rPr>
        <w:t>בשר</w:t>
      </w:r>
      <w:r w:rsidRPr="006B2AF2">
        <w:rPr>
          <w:rFonts w:cs="Arial"/>
          <w:sz w:val="18"/>
          <w:szCs w:val="18"/>
          <w:rtl/>
        </w:rPr>
        <w:t xml:space="preserve">, </w:t>
      </w:r>
      <w:r w:rsidRPr="006B2AF2">
        <w:rPr>
          <w:rFonts w:cs="Arial" w:hint="cs"/>
          <w:sz w:val="18"/>
          <w:szCs w:val="18"/>
          <w:rtl/>
        </w:rPr>
        <w:t>כיון</w:t>
      </w:r>
      <w:r w:rsidRPr="006B2AF2">
        <w:rPr>
          <w:rFonts w:cs="Arial"/>
          <w:sz w:val="18"/>
          <w:szCs w:val="18"/>
          <w:rtl/>
        </w:rPr>
        <w:t xml:space="preserve"> </w:t>
      </w:r>
      <w:r w:rsidRPr="006B2AF2">
        <w:rPr>
          <w:rFonts w:cs="Arial" w:hint="cs"/>
          <w:sz w:val="18"/>
          <w:szCs w:val="18"/>
          <w:rtl/>
        </w:rPr>
        <w:t>שנתן</w:t>
      </w:r>
      <w:r w:rsidRPr="006B2AF2">
        <w:rPr>
          <w:rFonts w:cs="Arial"/>
          <w:sz w:val="18"/>
          <w:szCs w:val="18"/>
          <w:rtl/>
        </w:rPr>
        <w:t xml:space="preserve"> </w:t>
      </w:r>
      <w:r w:rsidRPr="006B2AF2">
        <w:rPr>
          <w:rFonts w:cs="Arial" w:hint="cs"/>
          <w:sz w:val="18"/>
          <w:szCs w:val="18"/>
          <w:rtl/>
        </w:rPr>
        <w:t>אמתלא</w:t>
      </w:r>
      <w:r w:rsidRPr="006B2AF2">
        <w:rPr>
          <w:rFonts w:cs="Arial"/>
          <w:sz w:val="18"/>
          <w:szCs w:val="18"/>
          <w:rtl/>
        </w:rPr>
        <w:t xml:space="preserve"> </w:t>
      </w:r>
      <w:r w:rsidRPr="006B2AF2">
        <w:rPr>
          <w:rFonts w:cs="Arial" w:hint="cs"/>
          <w:sz w:val="18"/>
          <w:szCs w:val="18"/>
          <w:rtl/>
        </w:rPr>
        <w:t>לדבריו</w:t>
      </w:r>
      <w:r w:rsidRPr="006B2AF2">
        <w:rPr>
          <w:rFonts w:cs="Arial"/>
          <w:sz w:val="18"/>
          <w:szCs w:val="18"/>
          <w:rtl/>
        </w:rPr>
        <w:t xml:space="preserve">, </w:t>
      </w:r>
      <w:r w:rsidRPr="006B2AF2">
        <w:rPr>
          <w:rFonts w:cs="Arial" w:hint="cs"/>
          <w:sz w:val="18"/>
          <w:szCs w:val="18"/>
          <w:rtl/>
        </w:rPr>
        <w:t>נאמן</w:t>
      </w:r>
      <w:r w:rsidRPr="006B2AF2">
        <w:rPr>
          <w:rFonts w:cs="Arial"/>
          <w:sz w:val="18"/>
          <w:szCs w:val="18"/>
          <w:rtl/>
        </w:rPr>
        <w:t>.</w:t>
      </w:r>
      <w:r w:rsidRPr="006B2AF2">
        <w:rPr>
          <w:rFonts w:cs="Arial" w:hint="cs"/>
          <w:sz w:val="18"/>
          <w:szCs w:val="18"/>
          <w:rtl/>
        </w:rPr>
        <w:t>"</w:t>
      </w:r>
      <w:r w:rsidRPr="006B2AF2">
        <w:rPr>
          <w:rFonts w:hint="cs"/>
          <w:sz w:val="18"/>
          <w:szCs w:val="18"/>
          <w:rtl/>
        </w:rPr>
        <w:t xml:space="preserve"> ודין זה ממש כדין דהכא, דהיינו שאע"פ שהטבח עשה מעשה, ובעשיית מעשה כתב הרשב"א שאינה נאמנת לתת אמתלה </w:t>
      </w:r>
      <w:r w:rsidRPr="006B2AF2">
        <w:rPr>
          <w:rFonts w:hint="cs"/>
          <w:sz w:val="16"/>
          <w:szCs w:val="16"/>
          <w:rtl/>
        </w:rPr>
        <w:t>(ולכן בלבישת בגדי נידות אמתלה לא מועילה)</w:t>
      </w:r>
      <w:r w:rsidRPr="006B2AF2">
        <w:rPr>
          <w:rFonts w:hint="cs"/>
          <w:sz w:val="18"/>
          <w:szCs w:val="18"/>
          <w:rtl/>
        </w:rPr>
        <w:t xml:space="preserve">, זה רק במקום שניתן להגיע לאותה תוצאה ע"י דיבור גרידא </w:t>
      </w:r>
      <w:r w:rsidRPr="006B2AF2">
        <w:rPr>
          <w:rFonts w:hint="cs"/>
          <w:sz w:val="16"/>
          <w:szCs w:val="16"/>
          <w:rtl/>
        </w:rPr>
        <w:t>(כגון שתאמר לבעלה שהיא טמאה)</w:t>
      </w:r>
      <w:r>
        <w:rPr>
          <w:rFonts w:hint="cs"/>
          <w:sz w:val="16"/>
          <w:szCs w:val="16"/>
          <w:rtl/>
        </w:rPr>
        <w:t>,</w:t>
      </w:r>
      <w:r w:rsidRPr="006B2AF2">
        <w:rPr>
          <w:rFonts w:hint="cs"/>
          <w:sz w:val="16"/>
          <w:szCs w:val="16"/>
          <w:rtl/>
        </w:rPr>
        <w:t xml:space="preserve"> </w:t>
      </w:r>
      <w:r w:rsidRPr="006B2AF2">
        <w:rPr>
          <w:rFonts w:hint="cs"/>
          <w:sz w:val="18"/>
          <w:szCs w:val="18"/>
          <w:rtl/>
        </w:rPr>
        <w:t>ולכן אמרינן שהמעשה מגלה שהאמתלה שקרית. אך במקום שניתן להגיע לתוצאה רק ע"י מעשה,</w:t>
      </w:r>
      <w:r>
        <w:rPr>
          <w:rFonts w:hint="cs"/>
          <w:sz w:val="18"/>
          <w:szCs w:val="18"/>
          <w:rtl/>
        </w:rPr>
        <w:t xml:space="preserve"> </w:t>
      </w:r>
      <w:r w:rsidRPr="006B2AF2">
        <w:rPr>
          <w:rFonts w:hint="cs"/>
          <w:sz w:val="18"/>
          <w:szCs w:val="18"/>
          <w:rtl/>
        </w:rPr>
        <w:t>כגון במעשה הנ"ל של הטבח, וכן כאן שרוצה לפרסם ברבים שהיא נידה, אמתלה מהני אף כנגד מעשה.</w:t>
      </w:r>
    </w:p>
  </w:footnote>
  <w:footnote w:id="72">
    <w:p w:rsidR="005953C5" w:rsidRDefault="005953C5" w:rsidP="00620060">
      <w:pPr>
        <w:pStyle w:val="a3"/>
      </w:pPr>
      <w:r w:rsidRPr="002F18BD">
        <w:rPr>
          <w:rStyle w:val="a5"/>
          <w:sz w:val="18"/>
          <w:szCs w:val="18"/>
        </w:rPr>
        <w:footnoteRef/>
      </w:r>
      <w:r w:rsidRPr="002F18BD">
        <w:rPr>
          <w:sz w:val="18"/>
          <w:szCs w:val="18"/>
          <w:rtl/>
        </w:rPr>
        <w:t xml:space="preserve"> </w:t>
      </w:r>
      <w:r w:rsidRPr="002F18BD">
        <w:rPr>
          <w:rFonts w:hint="cs"/>
          <w:b/>
          <w:bCs/>
          <w:sz w:val="18"/>
          <w:szCs w:val="18"/>
          <w:rtl/>
        </w:rPr>
        <w:t>הפת"ש</w:t>
      </w:r>
      <w:r w:rsidRPr="002F18BD">
        <w:rPr>
          <w:rFonts w:hint="cs"/>
          <w:sz w:val="18"/>
          <w:szCs w:val="18"/>
          <w:rtl/>
        </w:rPr>
        <w:t xml:space="preserve"> מסתפק האם מדובר בלילה שאחר התענית או בלילה שלפני התענית, ולכן כתב שיש להחמיר בשני הלילות.</w:t>
      </w:r>
    </w:p>
  </w:footnote>
  <w:footnote w:id="73">
    <w:p w:rsidR="005953C5" w:rsidRDefault="005953C5" w:rsidP="00620060">
      <w:pPr>
        <w:pStyle w:val="a3"/>
        <w:rPr>
          <w:rtl/>
        </w:rPr>
      </w:pPr>
      <w:r>
        <w:rPr>
          <w:rStyle w:val="a5"/>
        </w:rPr>
        <w:footnoteRef/>
      </w:r>
      <w:r>
        <w:rPr>
          <w:rtl/>
        </w:rPr>
        <w:t xml:space="preserve"> </w:t>
      </w:r>
      <w:r>
        <w:rPr>
          <w:rFonts w:hint="cs"/>
          <w:rtl/>
        </w:rPr>
        <w:t>גמרא כתובות (נא:) "</w:t>
      </w:r>
      <w:r w:rsidRPr="00773B20">
        <w:rPr>
          <w:rFonts w:cs="Arial"/>
          <w:rtl/>
        </w:rPr>
        <w:t xml:space="preserve">אמר רבא: </w:t>
      </w:r>
      <w:r>
        <w:rPr>
          <w:rFonts w:cs="Arial"/>
          <w:rtl/>
        </w:rPr>
        <w:t>כל שתחלתה באונס וסוף ברצון, אפי</w:t>
      </w:r>
      <w:r>
        <w:rPr>
          <w:rFonts w:cs="Arial" w:hint="cs"/>
          <w:rtl/>
        </w:rPr>
        <w:t>לו</w:t>
      </w:r>
      <w:r w:rsidRPr="00773B20">
        <w:rPr>
          <w:rFonts w:cs="Arial"/>
          <w:rtl/>
        </w:rPr>
        <w:t xml:space="preserve"> היא אומרת, הניחו לו, שאלמלא נזקק לה היא שוכרתו - מותרת, מ</w:t>
      </w:r>
      <w:r>
        <w:rPr>
          <w:rFonts w:cs="Arial" w:hint="cs"/>
          <w:rtl/>
        </w:rPr>
        <w:t>אי טעמא</w:t>
      </w:r>
      <w:r w:rsidRPr="00773B20">
        <w:rPr>
          <w:rFonts w:cs="Arial"/>
          <w:rtl/>
        </w:rPr>
        <w:t>? יצר אלבשה</w:t>
      </w:r>
      <w:r>
        <w:rPr>
          <w:rFonts w:cs="Arial" w:hint="cs"/>
          <w:rtl/>
        </w:rPr>
        <w:t>".</w:t>
      </w:r>
    </w:p>
  </w:footnote>
  <w:footnote w:id="74">
    <w:p w:rsidR="005953C5" w:rsidRPr="00B47C34" w:rsidRDefault="005953C5" w:rsidP="00620060">
      <w:pPr>
        <w:pStyle w:val="a3"/>
        <w:rPr>
          <w:sz w:val="18"/>
          <w:szCs w:val="18"/>
        </w:rPr>
      </w:pPr>
      <w:r w:rsidRPr="00B47C34">
        <w:rPr>
          <w:rStyle w:val="a5"/>
          <w:sz w:val="18"/>
          <w:szCs w:val="18"/>
        </w:rPr>
        <w:footnoteRef/>
      </w:r>
      <w:r w:rsidRPr="00B47C34">
        <w:rPr>
          <w:sz w:val="18"/>
          <w:szCs w:val="18"/>
          <w:rtl/>
        </w:rPr>
        <w:t xml:space="preserve"> </w:t>
      </w:r>
      <w:r w:rsidRPr="00B47C34">
        <w:rPr>
          <w:rFonts w:hint="cs"/>
          <w:sz w:val="18"/>
          <w:szCs w:val="18"/>
          <w:rtl/>
        </w:rPr>
        <w:t>שיט</w:t>
      </w:r>
      <w:r w:rsidRPr="00E90410">
        <w:rPr>
          <w:rFonts w:hint="cs"/>
          <w:sz w:val="18"/>
          <w:szCs w:val="18"/>
          <w:rtl/>
        </w:rPr>
        <w:t>ת</w:t>
      </w:r>
      <w:r w:rsidRPr="00E90410">
        <w:rPr>
          <w:rFonts w:hint="cs"/>
          <w:b/>
          <w:bCs/>
          <w:sz w:val="18"/>
          <w:szCs w:val="18"/>
          <w:rtl/>
        </w:rPr>
        <w:t xml:space="preserve"> הרמב"ם </w:t>
      </w:r>
      <w:r w:rsidRPr="00B47C34">
        <w:rPr>
          <w:rFonts w:hint="cs"/>
          <w:sz w:val="18"/>
          <w:szCs w:val="18"/>
          <w:rtl/>
        </w:rPr>
        <w:t>תתברר אי"ה בסעיף הבא בהרחבה.</w:t>
      </w:r>
    </w:p>
  </w:footnote>
  <w:footnote w:id="75">
    <w:p w:rsidR="005953C5" w:rsidRDefault="005953C5" w:rsidP="00620060">
      <w:pPr>
        <w:pStyle w:val="a3"/>
        <w:rPr>
          <w:rtl/>
        </w:rPr>
      </w:pPr>
      <w:r w:rsidRPr="003136C1">
        <w:rPr>
          <w:rStyle w:val="a5"/>
          <w:sz w:val="18"/>
          <w:szCs w:val="18"/>
        </w:rPr>
        <w:footnoteRef/>
      </w:r>
      <w:r w:rsidRPr="003136C1">
        <w:rPr>
          <w:sz w:val="18"/>
          <w:szCs w:val="18"/>
          <w:rtl/>
        </w:rPr>
        <w:t xml:space="preserve"> </w:t>
      </w:r>
      <w:r>
        <w:rPr>
          <w:rFonts w:hint="cs"/>
          <w:sz w:val="18"/>
          <w:szCs w:val="18"/>
          <w:rtl/>
        </w:rPr>
        <w:t xml:space="preserve"> </w:t>
      </w:r>
      <w:r w:rsidRPr="000F3CF2">
        <w:rPr>
          <w:rFonts w:hint="cs"/>
          <w:b/>
          <w:bCs/>
          <w:sz w:val="18"/>
          <w:szCs w:val="18"/>
          <w:rtl/>
        </w:rPr>
        <w:t>רש"י</w:t>
      </w:r>
      <w:r w:rsidRPr="003136C1">
        <w:rPr>
          <w:rFonts w:hint="cs"/>
          <w:sz w:val="18"/>
          <w:szCs w:val="18"/>
          <w:rtl/>
        </w:rPr>
        <w:t xml:space="preserve"> מקשה על פירושו </w:t>
      </w:r>
      <w:r w:rsidRPr="003136C1">
        <w:rPr>
          <w:sz w:val="18"/>
          <w:szCs w:val="18"/>
          <w:rtl/>
        </w:rPr>
        <w:t>–</w:t>
      </w:r>
      <w:r w:rsidRPr="003136C1">
        <w:rPr>
          <w:rFonts w:hint="cs"/>
          <w:sz w:val="18"/>
          <w:szCs w:val="18"/>
          <w:rtl/>
        </w:rPr>
        <w:t xml:space="preserve"> רב יהודה הורה הוראה זו פעם נוספת, לעיל בדף יא. </w:t>
      </w:r>
      <w:r w:rsidRPr="003136C1">
        <w:rPr>
          <w:rFonts w:hint="cs"/>
          <w:sz w:val="16"/>
          <w:szCs w:val="16"/>
          <w:rtl/>
        </w:rPr>
        <w:t xml:space="preserve">(מקור א) </w:t>
      </w:r>
      <w:r w:rsidRPr="003136C1">
        <w:rPr>
          <w:rFonts w:hint="cs"/>
          <w:sz w:val="18"/>
          <w:szCs w:val="18"/>
          <w:rtl/>
        </w:rPr>
        <w:t>ואם כן עדיי</w:t>
      </w:r>
      <w:r>
        <w:rPr>
          <w:rFonts w:hint="cs"/>
          <w:sz w:val="18"/>
          <w:szCs w:val="18"/>
          <w:rtl/>
        </w:rPr>
        <w:t>ן</w:t>
      </w:r>
      <w:r w:rsidRPr="003136C1">
        <w:rPr>
          <w:rFonts w:hint="cs"/>
          <w:sz w:val="18"/>
          <w:szCs w:val="18"/>
          <w:rtl/>
        </w:rPr>
        <w:t xml:space="preserve"> יש כפילות בדבריו! </w:t>
      </w:r>
      <w:r w:rsidRPr="00E90410">
        <w:rPr>
          <w:rFonts w:hint="cs"/>
          <w:sz w:val="18"/>
          <w:szCs w:val="18"/>
          <w:rtl/>
        </w:rPr>
        <w:t xml:space="preserve">מיישב </w:t>
      </w:r>
      <w:r w:rsidRPr="00E90410">
        <w:rPr>
          <w:rFonts w:hint="cs"/>
          <w:b/>
          <w:bCs/>
          <w:sz w:val="18"/>
          <w:szCs w:val="18"/>
          <w:rtl/>
        </w:rPr>
        <w:t>רש"י</w:t>
      </w:r>
      <w:r w:rsidRPr="003136C1">
        <w:rPr>
          <w:rFonts w:hint="cs"/>
          <w:sz w:val="18"/>
          <w:szCs w:val="18"/>
          <w:rtl/>
        </w:rPr>
        <w:t xml:space="preserve"> </w:t>
      </w:r>
      <w:r w:rsidRPr="003136C1">
        <w:rPr>
          <w:rFonts w:hint="cs"/>
          <w:sz w:val="16"/>
          <w:szCs w:val="16"/>
          <w:rtl/>
        </w:rPr>
        <w:t xml:space="preserve">(ע"פ הסבר </w:t>
      </w:r>
      <w:r w:rsidRPr="00E90410">
        <w:rPr>
          <w:rFonts w:hint="cs"/>
          <w:b/>
          <w:bCs/>
          <w:sz w:val="16"/>
          <w:szCs w:val="16"/>
          <w:rtl/>
        </w:rPr>
        <w:t>הריטב"א</w:t>
      </w:r>
      <w:r w:rsidRPr="003136C1">
        <w:rPr>
          <w:rFonts w:hint="cs"/>
          <w:sz w:val="16"/>
          <w:szCs w:val="16"/>
          <w:rtl/>
        </w:rPr>
        <w:t xml:space="preserve">) </w:t>
      </w:r>
      <w:r w:rsidRPr="003136C1">
        <w:rPr>
          <w:sz w:val="18"/>
          <w:szCs w:val="18"/>
          <w:rtl/>
        </w:rPr>
        <w:t>–</w:t>
      </w:r>
      <w:r w:rsidRPr="003136C1">
        <w:rPr>
          <w:rFonts w:hint="cs"/>
          <w:sz w:val="18"/>
          <w:szCs w:val="18"/>
          <w:rtl/>
        </w:rPr>
        <w:t xml:space="preserve"> לעיל רב יהודה עסק רק בפירוש המשנה אך לא אמר את דבריו לעניין פסק הלכה, רק כאן מורה רב יהודה מהי ההלכה למעשה, ולכן אין זו כפילות.</w:t>
      </w:r>
    </w:p>
  </w:footnote>
  <w:footnote w:id="76">
    <w:p w:rsidR="005953C5" w:rsidRDefault="005953C5" w:rsidP="00620060">
      <w:pPr>
        <w:pStyle w:val="a3"/>
      </w:pPr>
      <w:r w:rsidRPr="000F3CF2">
        <w:rPr>
          <w:rStyle w:val="a5"/>
          <w:sz w:val="18"/>
          <w:szCs w:val="18"/>
        </w:rPr>
        <w:footnoteRef/>
      </w:r>
      <w:r w:rsidRPr="000F3CF2">
        <w:rPr>
          <w:sz w:val="18"/>
          <w:szCs w:val="18"/>
          <w:rtl/>
        </w:rPr>
        <w:t xml:space="preserve"> </w:t>
      </w:r>
      <w:r w:rsidRPr="000F3CF2">
        <w:rPr>
          <w:rFonts w:hint="cs"/>
          <w:b/>
          <w:bCs/>
          <w:sz w:val="18"/>
          <w:szCs w:val="18"/>
          <w:rtl/>
        </w:rPr>
        <w:t>הר"ן</w:t>
      </w:r>
      <w:r w:rsidRPr="000F3CF2">
        <w:rPr>
          <w:rFonts w:hint="cs"/>
          <w:sz w:val="18"/>
          <w:szCs w:val="18"/>
          <w:rtl/>
        </w:rPr>
        <w:t xml:space="preserve"> מקשה על פירוש </w:t>
      </w:r>
      <w:r w:rsidRPr="00E90410">
        <w:rPr>
          <w:rFonts w:hint="cs"/>
          <w:b/>
          <w:bCs/>
          <w:sz w:val="18"/>
          <w:szCs w:val="18"/>
          <w:rtl/>
        </w:rPr>
        <w:t>רש"י</w:t>
      </w:r>
      <w:r w:rsidRPr="000F3CF2">
        <w:rPr>
          <w:rFonts w:hint="cs"/>
          <w:sz w:val="18"/>
          <w:szCs w:val="18"/>
          <w:rtl/>
        </w:rPr>
        <w:t xml:space="preserve"> </w:t>
      </w:r>
      <w:r w:rsidRPr="000F3CF2">
        <w:rPr>
          <w:sz w:val="18"/>
          <w:szCs w:val="18"/>
          <w:rtl/>
        </w:rPr>
        <w:t>–</w:t>
      </w:r>
      <w:r w:rsidRPr="000F3CF2">
        <w:rPr>
          <w:rFonts w:hint="cs"/>
          <w:sz w:val="18"/>
          <w:szCs w:val="18"/>
          <w:rtl/>
        </w:rPr>
        <w:t xml:space="preserve"> רבי מאיר ורבי חנינא נחלקו בבדיקות לבעלה אפילו באשה שאינה עסוקה בטהרות, ואם כן כיצד התעלם שמואל מדבריהם ופסק שדין בדיקות נאמר רק בעסוקה בטהרות?</w:t>
      </w:r>
      <w:r w:rsidRPr="000F3CF2">
        <w:rPr>
          <w:sz w:val="18"/>
          <w:szCs w:val="18"/>
          <w:rtl/>
        </w:rPr>
        <w:br/>
      </w:r>
      <w:r w:rsidRPr="00AC5FB6">
        <w:rPr>
          <w:rFonts w:hint="cs"/>
          <w:sz w:val="18"/>
          <w:szCs w:val="18"/>
          <w:rtl/>
        </w:rPr>
        <w:t xml:space="preserve">ומיישב </w:t>
      </w:r>
      <w:r w:rsidRPr="000F3CF2">
        <w:rPr>
          <w:sz w:val="18"/>
          <w:szCs w:val="18"/>
          <w:rtl/>
        </w:rPr>
        <w:t>–</w:t>
      </w:r>
      <w:r w:rsidRPr="000F3CF2">
        <w:rPr>
          <w:rFonts w:hint="cs"/>
          <w:sz w:val="18"/>
          <w:szCs w:val="18"/>
          <w:rtl/>
        </w:rPr>
        <w:t xml:space="preserve"> שמואל סמך על הוראת המשנה בדף טו. "כל הנשים בחזקת טהרה לבעליהן" ומשמע אפילו באין לה וווסת מיירי.</w:t>
      </w:r>
    </w:p>
  </w:footnote>
  <w:footnote w:id="77">
    <w:p w:rsidR="005953C5" w:rsidRDefault="005953C5" w:rsidP="00620060">
      <w:pPr>
        <w:pStyle w:val="a3"/>
      </w:pPr>
      <w:r w:rsidRPr="00FA503F">
        <w:rPr>
          <w:rStyle w:val="a5"/>
          <w:sz w:val="18"/>
          <w:szCs w:val="18"/>
        </w:rPr>
        <w:footnoteRef/>
      </w:r>
      <w:r w:rsidRPr="00FA503F">
        <w:rPr>
          <w:sz w:val="18"/>
          <w:szCs w:val="18"/>
          <w:rtl/>
        </w:rPr>
        <w:t xml:space="preserve"> </w:t>
      </w:r>
      <w:r w:rsidRPr="00FA503F">
        <w:rPr>
          <w:rFonts w:hint="cs"/>
          <w:b/>
          <w:bCs/>
          <w:sz w:val="18"/>
          <w:szCs w:val="18"/>
          <w:rtl/>
        </w:rPr>
        <w:t>רש"י</w:t>
      </w:r>
      <w:r w:rsidRPr="00FA503F">
        <w:rPr>
          <w:rFonts w:hint="cs"/>
          <w:sz w:val="18"/>
          <w:szCs w:val="18"/>
          <w:rtl/>
        </w:rPr>
        <w:t xml:space="preserve"> הביא גם את הפירוש הזה להסבר הכפילות בהוראותיו של שמואל, אלא שדחה פירוש זה מכוח דברי רב יהודה לעיל בדף יא: ששם פירש רב יהודה את דברי שמואל רק לעניין אשה עסוקה בטהרות!</w:t>
      </w:r>
      <w:r w:rsidRPr="00FA503F">
        <w:rPr>
          <w:rFonts w:hint="cs"/>
          <w:sz w:val="18"/>
          <w:szCs w:val="18"/>
          <w:rtl/>
        </w:rPr>
        <w:br/>
        <w:t xml:space="preserve">אמנם, הר"ן מיישב פירוש זה </w:t>
      </w:r>
      <w:r w:rsidRPr="00FA503F">
        <w:rPr>
          <w:sz w:val="18"/>
          <w:szCs w:val="18"/>
          <w:rtl/>
        </w:rPr>
        <w:t>–</w:t>
      </w:r>
      <w:r w:rsidRPr="00FA503F">
        <w:rPr>
          <w:rFonts w:hint="cs"/>
          <w:sz w:val="18"/>
          <w:szCs w:val="18"/>
          <w:rtl/>
        </w:rPr>
        <w:t xml:space="preserve"> אמוראים הם שנחלקו מהי דעת רב יהודה.</w:t>
      </w:r>
    </w:p>
  </w:footnote>
  <w:footnote w:id="78">
    <w:p w:rsidR="005953C5" w:rsidRPr="00B91AE7" w:rsidRDefault="005953C5" w:rsidP="00620060">
      <w:pPr>
        <w:pStyle w:val="a3"/>
        <w:rPr>
          <w:sz w:val="18"/>
          <w:szCs w:val="18"/>
          <w:rtl/>
        </w:rPr>
      </w:pPr>
      <w:r w:rsidRPr="009B0410">
        <w:rPr>
          <w:rStyle w:val="a5"/>
          <w:sz w:val="18"/>
          <w:szCs w:val="18"/>
        </w:rPr>
        <w:footnoteRef/>
      </w:r>
      <w:r>
        <w:rPr>
          <w:rtl/>
        </w:rPr>
        <w:t xml:space="preserve"> </w:t>
      </w:r>
      <w:r w:rsidRPr="009B0410">
        <w:rPr>
          <w:rFonts w:hint="cs"/>
          <w:sz w:val="18"/>
          <w:szCs w:val="18"/>
          <w:u w:val="single"/>
          <w:rtl/>
        </w:rPr>
        <w:t>האם המחבר פוסק כרי"ף?</w:t>
      </w:r>
      <w:r w:rsidRPr="00B91AE7">
        <w:rPr>
          <w:rFonts w:hint="cs"/>
          <w:sz w:val="18"/>
          <w:szCs w:val="18"/>
          <w:rtl/>
        </w:rPr>
        <w:br/>
        <w:t xml:space="preserve">לכאורה המחבר נוטה כאן מהכלל שייסד בהקדמתו לבית יוסף שיפסוק ע"פ רוב הדעות בין שלושת עמודי ההוראה, וכאן פסק כרי"ף נגד </w:t>
      </w:r>
      <w:r w:rsidRPr="00E90410">
        <w:rPr>
          <w:rFonts w:hint="cs"/>
          <w:b/>
          <w:bCs/>
          <w:sz w:val="18"/>
          <w:szCs w:val="18"/>
          <w:rtl/>
        </w:rPr>
        <w:t>הרמב"ם והרא"ש</w:t>
      </w:r>
      <w:r w:rsidRPr="00B91AE7">
        <w:rPr>
          <w:rFonts w:hint="cs"/>
          <w:sz w:val="18"/>
          <w:szCs w:val="18"/>
          <w:rtl/>
        </w:rPr>
        <w:t xml:space="preserve">? מיישב </w:t>
      </w:r>
      <w:r w:rsidRPr="002B5BFC">
        <w:rPr>
          <w:rFonts w:hint="cs"/>
          <w:b/>
          <w:bCs/>
          <w:sz w:val="18"/>
          <w:szCs w:val="18"/>
          <w:rtl/>
        </w:rPr>
        <w:t>הגרע"י</w:t>
      </w:r>
      <w:r w:rsidRPr="00B91AE7">
        <w:rPr>
          <w:rFonts w:hint="cs"/>
          <w:sz w:val="18"/>
          <w:szCs w:val="18"/>
          <w:rtl/>
        </w:rPr>
        <w:t xml:space="preserve"> </w:t>
      </w:r>
      <w:r w:rsidRPr="002B5BFC">
        <w:rPr>
          <w:rFonts w:hint="cs"/>
          <w:b/>
          <w:bCs/>
          <w:sz w:val="18"/>
          <w:szCs w:val="18"/>
          <w:rtl/>
        </w:rPr>
        <w:t>בטהרת הבית</w:t>
      </w:r>
      <w:r w:rsidRPr="00B91AE7">
        <w:rPr>
          <w:rFonts w:hint="cs"/>
          <w:sz w:val="18"/>
          <w:szCs w:val="18"/>
          <w:rtl/>
        </w:rPr>
        <w:t xml:space="preserve"> </w:t>
      </w:r>
      <w:r w:rsidRPr="002B5BFC">
        <w:rPr>
          <w:rFonts w:hint="cs"/>
          <w:sz w:val="16"/>
          <w:szCs w:val="16"/>
          <w:rtl/>
        </w:rPr>
        <w:t xml:space="preserve">(חלק א, סימן ג, ז ובהערה) </w:t>
      </w:r>
      <w:r w:rsidRPr="00B91AE7">
        <w:rPr>
          <w:rFonts w:hint="cs"/>
          <w:sz w:val="18"/>
          <w:szCs w:val="18"/>
          <w:rtl/>
        </w:rPr>
        <w:t>ע"פ</w:t>
      </w:r>
      <w:r>
        <w:rPr>
          <w:rFonts w:hint="cs"/>
          <w:sz w:val="18"/>
          <w:szCs w:val="18"/>
          <w:rtl/>
        </w:rPr>
        <w:t xml:space="preserve"> דברי </w:t>
      </w:r>
      <w:r w:rsidRPr="002B5BFC">
        <w:rPr>
          <w:rFonts w:hint="cs"/>
          <w:b/>
          <w:bCs/>
          <w:sz w:val="18"/>
          <w:szCs w:val="18"/>
          <w:rtl/>
        </w:rPr>
        <w:t>הבית יוסף</w:t>
      </w:r>
      <w:r>
        <w:rPr>
          <w:rFonts w:hint="cs"/>
          <w:sz w:val="18"/>
          <w:szCs w:val="18"/>
          <w:rtl/>
        </w:rPr>
        <w:t xml:space="preserve"> בהקדמה לספרו: "</w:t>
      </w:r>
      <w:r w:rsidRPr="00B91AE7">
        <w:rPr>
          <w:rFonts w:cs="Arial" w:hint="cs"/>
          <w:sz w:val="18"/>
          <w:szCs w:val="18"/>
          <w:rtl/>
        </w:rPr>
        <w:t>ולכן</w:t>
      </w:r>
      <w:r w:rsidRPr="00B91AE7">
        <w:rPr>
          <w:rFonts w:cs="Arial"/>
          <w:sz w:val="18"/>
          <w:szCs w:val="18"/>
          <w:rtl/>
        </w:rPr>
        <w:t xml:space="preserve"> </w:t>
      </w:r>
      <w:r w:rsidRPr="00B91AE7">
        <w:rPr>
          <w:rFonts w:cs="Arial" w:hint="cs"/>
          <w:sz w:val="18"/>
          <w:szCs w:val="18"/>
          <w:rtl/>
        </w:rPr>
        <w:t>הסכמתי</w:t>
      </w:r>
      <w:r w:rsidRPr="00B91AE7">
        <w:rPr>
          <w:rFonts w:cs="Arial"/>
          <w:sz w:val="18"/>
          <w:szCs w:val="18"/>
          <w:rtl/>
        </w:rPr>
        <w:t xml:space="preserve"> </w:t>
      </w:r>
      <w:r w:rsidRPr="00B91AE7">
        <w:rPr>
          <w:rFonts w:cs="Arial" w:hint="cs"/>
          <w:sz w:val="18"/>
          <w:szCs w:val="18"/>
          <w:rtl/>
        </w:rPr>
        <w:t>בדעתי</w:t>
      </w:r>
      <w:r w:rsidRPr="00B91AE7">
        <w:rPr>
          <w:rFonts w:cs="Arial"/>
          <w:sz w:val="18"/>
          <w:szCs w:val="18"/>
          <w:rtl/>
        </w:rPr>
        <w:t xml:space="preserve"> </w:t>
      </w:r>
      <w:r w:rsidRPr="00B91AE7">
        <w:rPr>
          <w:rFonts w:cs="Arial" w:hint="cs"/>
          <w:sz w:val="18"/>
          <w:szCs w:val="18"/>
          <w:rtl/>
        </w:rPr>
        <w:t>כי</w:t>
      </w:r>
      <w:r w:rsidRPr="00B91AE7">
        <w:rPr>
          <w:rFonts w:cs="Arial"/>
          <w:sz w:val="18"/>
          <w:szCs w:val="18"/>
          <w:rtl/>
        </w:rPr>
        <w:t xml:space="preserve"> </w:t>
      </w:r>
      <w:r w:rsidRPr="00B91AE7">
        <w:rPr>
          <w:rFonts w:cs="Arial" w:hint="cs"/>
          <w:sz w:val="18"/>
          <w:szCs w:val="18"/>
          <w:rtl/>
        </w:rPr>
        <w:t>להיות</w:t>
      </w:r>
      <w:r w:rsidRPr="00B91AE7">
        <w:rPr>
          <w:rFonts w:cs="Arial"/>
          <w:sz w:val="18"/>
          <w:szCs w:val="18"/>
          <w:rtl/>
        </w:rPr>
        <w:t xml:space="preserve"> </w:t>
      </w:r>
      <w:r w:rsidRPr="00B91AE7">
        <w:rPr>
          <w:rFonts w:cs="Arial" w:hint="cs"/>
          <w:sz w:val="18"/>
          <w:szCs w:val="18"/>
          <w:rtl/>
        </w:rPr>
        <w:t>שלשת</w:t>
      </w:r>
      <w:r w:rsidRPr="00B91AE7">
        <w:rPr>
          <w:rFonts w:cs="Arial"/>
          <w:sz w:val="18"/>
          <w:szCs w:val="18"/>
          <w:rtl/>
        </w:rPr>
        <w:t xml:space="preserve"> </w:t>
      </w:r>
      <w:r w:rsidRPr="00B91AE7">
        <w:rPr>
          <w:rFonts w:cs="Arial" w:hint="cs"/>
          <w:sz w:val="18"/>
          <w:szCs w:val="18"/>
          <w:rtl/>
        </w:rPr>
        <w:t>עמודי</w:t>
      </w:r>
      <w:r w:rsidRPr="00B91AE7">
        <w:rPr>
          <w:rFonts w:cs="Arial"/>
          <w:sz w:val="18"/>
          <w:szCs w:val="18"/>
          <w:rtl/>
        </w:rPr>
        <w:t xml:space="preserve"> </w:t>
      </w:r>
      <w:r w:rsidRPr="00B91AE7">
        <w:rPr>
          <w:rFonts w:cs="Arial" w:hint="cs"/>
          <w:sz w:val="18"/>
          <w:szCs w:val="18"/>
          <w:rtl/>
        </w:rPr>
        <w:t>ההוראה</w:t>
      </w:r>
      <w:r w:rsidRPr="00B91AE7">
        <w:rPr>
          <w:rFonts w:cs="Arial"/>
          <w:sz w:val="18"/>
          <w:szCs w:val="18"/>
          <w:rtl/>
        </w:rPr>
        <w:t xml:space="preserve"> </w:t>
      </w:r>
      <w:r w:rsidRPr="00B91AE7">
        <w:rPr>
          <w:rFonts w:cs="Arial" w:hint="cs"/>
          <w:sz w:val="18"/>
          <w:szCs w:val="18"/>
          <w:rtl/>
        </w:rPr>
        <w:t>אשר</w:t>
      </w:r>
      <w:r w:rsidRPr="00B91AE7">
        <w:rPr>
          <w:rFonts w:cs="Arial"/>
          <w:sz w:val="18"/>
          <w:szCs w:val="18"/>
          <w:rtl/>
        </w:rPr>
        <w:t xml:space="preserve"> </w:t>
      </w:r>
      <w:r w:rsidRPr="00B91AE7">
        <w:rPr>
          <w:rFonts w:cs="Arial" w:hint="cs"/>
          <w:sz w:val="18"/>
          <w:szCs w:val="18"/>
          <w:rtl/>
        </w:rPr>
        <w:t>הבית</w:t>
      </w:r>
      <w:r w:rsidRPr="00B91AE7">
        <w:rPr>
          <w:rFonts w:cs="Arial"/>
          <w:sz w:val="18"/>
          <w:szCs w:val="18"/>
          <w:rtl/>
        </w:rPr>
        <w:t xml:space="preserve"> </w:t>
      </w:r>
      <w:r w:rsidRPr="00B91AE7">
        <w:rPr>
          <w:rFonts w:cs="Arial" w:hint="cs"/>
          <w:sz w:val="18"/>
          <w:szCs w:val="18"/>
          <w:rtl/>
        </w:rPr>
        <w:t>בית</w:t>
      </w:r>
      <w:r w:rsidRPr="00B91AE7">
        <w:rPr>
          <w:rFonts w:cs="Arial"/>
          <w:sz w:val="18"/>
          <w:szCs w:val="18"/>
          <w:rtl/>
        </w:rPr>
        <w:t xml:space="preserve"> </w:t>
      </w:r>
      <w:r w:rsidRPr="00B91AE7">
        <w:rPr>
          <w:rFonts w:cs="Arial" w:hint="cs"/>
          <w:sz w:val="18"/>
          <w:szCs w:val="18"/>
          <w:rtl/>
        </w:rPr>
        <w:t>ישראל</w:t>
      </w:r>
      <w:r w:rsidRPr="00B91AE7">
        <w:rPr>
          <w:rFonts w:cs="Arial"/>
          <w:sz w:val="18"/>
          <w:szCs w:val="18"/>
          <w:rtl/>
        </w:rPr>
        <w:t xml:space="preserve"> </w:t>
      </w:r>
      <w:r w:rsidRPr="00B91AE7">
        <w:rPr>
          <w:rFonts w:cs="Arial" w:hint="cs"/>
          <w:sz w:val="18"/>
          <w:szCs w:val="18"/>
          <w:rtl/>
        </w:rPr>
        <w:t>נשען</w:t>
      </w:r>
      <w:r w:rsidRPr="00B91AE7">
        <w:rPr>
          <w:rFonts w:cs="Arial"/>
          <w:sz w:val="18"/>
          <w:szCs w:val="18"/>
          <w:rtl/>
        </w:rPr>
        <w:t xml:space="preserve"> </w:t>
      </w:r>
      <w:r w:rsidRPr="00B91AE7">
        <w:rPr>
          <w:rFonts w:cs="Arial" w:hint="cs"/>
          <w:sz w:val="18"/>
          <w:szCs w:val="18"/>
          <w:rtl/>
        </w:rPr>
        <w:t>עליהם</w:t>
      </w:r>
      <w:r w:rsidRPr="00B91AE7">
        <w:rPr>
          <w:rFonts w:cs="Arial"/>
          <w:sz w:val="18"/>
          <w:szCs w:val="18"/>
          <w:rtl/>
        </w:rPr>
        <w:t xml:space="preserve"> </w:t>
      </w:r>
      <w:r w:rsidRPr="00B91AE7">
        <w:rPr>
          <w:rFonts w:cs="Arial" w:hint="cs"/>
          <w:sz w:val="18"/>
          <w:szCs w:val="18"/>
          <w:rtl/>
        </w:rPr>
        <w:t>בהוראותיהם</w:t>
      </w:r>
      <w:r w:rsidRPr="00B91AE7">
        <w:rPr>
          <w:rFonts w:cs="Arial"/>
          <w:sz w:val="18"/>
          <w:szCs w:val="18"/>
          <w:rtl/>
        </w:rPr>
        <w:t xml:space="preserve"> </w:t>
      </w:r>
      <w:r w:rsidRPr="00B91AE7">
        <w:rPr>
          <w:rFonts w:cs="Arial" w:hint="cs"/>
          <w:sz w:val="18"/>
          <w:szCs w:val="18"/>
          <w:rtl/>
        </w:rPr>
        <w:t>הלא</w:t>
      </w:r>
      <w:r w:rsidRPr="00B91AE7">
        <w:rPr>
          <w:rFonts w:cs="Arial"/>
          <w:sz w:val="18"/>
          <w:szCs w:val="18"/>
          <w:rtl/>
        </w:rPr>
        <w:t xml:space="preserve"> </w:t>
      </w:r>
      <w:r w:rsidRPr="00B91AE7">
        <w:rPr>
          <w:rFonts w:cs="Arial" w:hint="cs"/>
          <w:sz w:val="18"/>
          <w:szCs w:val="18"/>
          <w:rtl/>
        </w:rPr>
        <w:t>המה</w:t>
      </w:r>
      <w:r w:rsidRPr="00B91AE7">
        <w:rPr>
          <w:rFonts w:cs="Arial"/>
          <w:sz w:val="18"/>
          <w:szCs w:val="18"/>
          <w:rtl/>
        </w:rPr>
        <w:t xml:space="preserve"> </w:t>
      </w:r>
      <w:r w:rsidRPr="00B91AE7">
        <w:rPr>
          <w:rFonts w:cs="Arial" w:hint="cs"/>
          <w:sz w:val="18"/>
          <w:szCs w:val="18"/>
          <w:rtl/>
        </w:rPr>
        <w:t>הרי</w:t>
      </w:r>
      <w:r w:rsidRPr="00B91AE7">
        <w:rPr>
          <w:rFonts w:cs="Arial"/>
          <w:sz w:val="18"/>
          <w:szCs w:val="18"/>
          <w:rtl/>
        </w:rPr>
        <w:t>"</w:t>
      </w:r>
      <w:r w:rsidRPr="00B91AE7">
        <w:rPr>
          <w:rFonts w:cs="Arial" w:hint="cs"/>
          <w:sz w:val="18"/>
          <w:szCs w:val="18"/>
          <w:rtl/>
        </w:rPr>
        <w:t>ף</w:t>
      </w:r>
      <w:r w:rsidRPr="00B91AE7">
        <w:rPr>
          <w:rFonts w:cs="Arial"/>
          <w:sz w:val="18"/>
          <w:szCs w:val="18"/>
          <w:rtl/>
        </w:rPr>
        <w:t xml:space="preserve"> </w:t>
      </w:r>
      <w:r w:rsidRPr="00B91AE7">
        <w:rPr>
          <w:rFonts w:cs="Arial" w:hint="cs"/>
          <w:sz w:val="18"/>
          <w:szCs w:val="18"/>
          <w:rtl/>
        </w:rPr>
        <w:t>והרמב</w:t>
      </w:r>
      <w:r w:rsidRPr="00B91AE7">
        <w:rPr>
          <w:rFonts w:cs="Arial"/>
          <w:sz w:val="18"/>
          <w:szCs w:val="18"/>
          <w:rtl/>
        </w:rPr>
        <w:t>"</w:t>
      </w:r>
      <w:r w:rsidRPr="00B91AE7">
        <w:rPr>
          <w:rFonts w:cs="Arial" w:hint="cs"/>
          <w:sz w:val="18"/>
          <w:szCs w:val="18"/>
          <w:rtl/>
        </w:rPr>
        <w:t>ם</w:t>
      </w:r>
      <w:r w:rsidRPr="00B91AE7">
        <w:rPr>
          <w:rFonts w:cs="Arial"/>
          <w:sz w:val="18"/>
          <w:szCs w:val="18"/>
          <w:rtl/>
        </w:rPr>
        <w:t xml:space="preserve"> </w:t>
      </w:r>
      <w:r w:rsidRPr="00B91AE7">
        <w:rPr>
          <w:rFonts w:cs="Arial" w:hint="cs"/>
          <w:sz w:val="18"/>
          <w:szCs w:val="18"/>
          <w:rtl/>
        </w:rPr>
        <w:t>והרא</w:t>
      </w:r>
      <w:r w:rsidRPr="00B91AE7">
        <w:rPr>
          <w:rFonts w:cs="Arial"/>
          <w:sz w:val="18"/>
          <w:szCs w:val="18"/>
          <w:rtl/>
        </w:rPr>
        <w:t>"</w:t>
      </w:r>
      <w:r w:rsidRPr="00B91AE7">
        <w:rPr>
          <w:rFonts w:cs="Arial" w:hint="cs"/>
          <w:sz w:val="18"/>
          <w:szCs w:val="18"/>
          <w:rtl/>
        </w:rPr>
        <w:t>ש</w:t>
      </w:r>
      <w:r w:rsidRPr="00B91AE7">
        <w:rPr>
          <w:rFonts w:cs="Arial"/>
          <w:sz w:val="18"/>
          <w:szCs w:val="18"/>
          <w:rtl/>
        </w:rPr>
        <w:t xml:space="preserve"> </w:t>
      </w:r>
      <w:r w:rsidRPr="00B91AE7">
        <w:rPr>
          <w:rFonts w:cs="Arial" w:hint="cs"/>
          <w:sz w:val="18"/>
          <w:szCs w:val="18"/>
          <w:rtl/>
        </w:rPr>
        <w:t>ז</w:t>
      </w:r>
      <w:r w:rsidRPr="00B91AE7">
        <w:rPr>
          <w:rFonts w:cs="Arial"/>
          <w:sz w:val="18"/>
          <w:szCs w:val="18"/>
          <w:rtl/>
        </w:rPr>
        <w:t>"</w:t>
      </w:r>
      <w:r w:rsidRPr="00B91AE7">
        <w:rPr>
          <w:rFonts w:cs="Arial" w:hint="cs"/>
          <w:sz w:val="18"/>
          <w:szCs w:val="18"/>
          <w:rtl/>
        </w:rPr>
        <w:t>ל</w:t>
      </w:r>
      <w:r w:rsidRPr="00B91AE7">
        <w:rPr>
          <w:rFonts w:cs="Arial"/>
          <w:sz w:val="18"/>
          <w:szCs w:val="18"/>
          <w:rtl/>
        </w:rPr>
        <w:t xml:space="preserve"> </w:t>
      </w:r>
      <w:r w:rsidRPr="00B91AE7">
        <w:rPr>
          <w:rFonts w:cs="Arial" w:hint="cs"/>
          <w:sz w:val="18"/>
          <w:szCs w:val="18"/>
          <w:rtl/>
        </w:rPr>
        <w:t>אמרתי</w:t>
      </w:r>
      <w:r w:rsidRPr="00B91AE7">
        <w:rPr>
          <w:rFonts w:cs="Arial"/>
          <w:sz w:val="18"/>
          <w:szCs w:val="18"/>
          <w:rtl/>
        </w:rPr>
        <w:t xml:space="preserve"> </w:t>
      </w:r>
      <w:r w:rsidRPr="00B91AE7">
        <w:rPr>
          <w:rFonts w:cs="Arial" w:hint="cs"/>
          <w:sz w:val="18"/>
          <w:szCs w:val="18"/>
          <w:rtl/>
        </w:rPr>
        <w:t>אל</w:t>
      </w:r>
      <w:r w:rsidRPr="00B91AE7">
        <w:rPr>
          <w:rFonts w:cs="Arial"/>
          <w:sz w:val="18"/>
          <w:szCs w:val="18"/>
          <w:rtl/>
        </w:rPr>
        <w:t xml:space="preserve"> </w:t>
      </w:r>
      <w:r w:rsidRPr="00B91AE7">
        <w:rPr>
          <w:rFonts w:cs="Arial" w:hint="cs"/>
          <w:sz w:val="18"/>
          <w:szCs w:val="18"/>
          <w:rtl/>
        </w:rPr>
        <w:t>לבי</w:t>
      </w:r>
      <w:r w:rsidRPr="00B91AE7">
        <w:rPr>
          <w:rFonts w:cs="Arial"/>
          <w:sz w:val="18"/>
          <w:szCs w:val="18"/>
          <w:rtl/>
        </w:rPr>
        <w:t xml:space="preserve"> </w:t>
      </w:r>
      <w:r w:rsidRPr="00B91AE7">
        <w:rPr>
          <w:rFonts w:cs="Arial" w:hint="cs"/>
          <w:sz w:val="18"/>
          <w:szCs w:val="18"/>
          <w:rtl/>
        </w:rPr>
        <w:t>שבמקום</w:t>
      </w:r>
      <w:r w:rsidRPr="00B91AE7">
        <w:rPr>
          <w:rFonts w:cs="Arial"/>
          <w:sz w:val="18"/>
          <w:szCs w:val="18"/>
          <w:rtl/>
        </w:rPr>
        <w:t xml:space="preserve"> </w:t>
      </w:r>
      <w:r w:rsidRPr="00B91AE7">
        <w:rPr>
          <w:rFonts w:cs="Arial" w:hint="cs"/>
          <w:sz w:val="18"/>
          <w:szCs w:val="18"/>
          <w:rtl/>
        </w:rPr>
        <w:t>ששנ</w:t>
      </w:r>
      <w:r>
        <w:rPr>
          <w:rFonts w:cs="Arial" w:hint="cs"/>
          <w:sz w:val="18"/>
          <w:szCs w:val="18"/>
          <w:rtl/>
        </w:rPr>
        <w:t>י</w:t>
      </w:r>
      <w:r w:rsidRPr="00B91AE7">
        <w:rPr>
          <w:rFonts w:cs="Arial" w:hint="cs"/>
          <w:sz w:val="18"/>
          <w:szCs w:val="18"/>
          <w:rtl/>
        </w:rPr>
        <w:t>ים</w:t>
      </w:r>
      <w:r w:rsidRPr="00B91AE7">
        <w:rPr>
          <w:rFonts w:cs="Arial"/>
          <w:sz w:val="18"/>
          <w:szCs w:val="18"/>
          <w:rtl/>
        </w:rPr>
        <w:t xml:space="preserve"> </w:t>
      </w:r>
      <w:r w:rsidRPr="00B91AE7">
        <w:rPr>
          <w:rFonts w:cs="Arial" w:hint="cs"/>
          <w:sz w:val="18"/>
          <w:szCs w:val="18"/>
          <w:rtl/>
        </w:rPr>
        <w:t>מהם</w:t>
      </w:r>
      <w:r w:rsidRPr="00B91AE7">
        <w:rPr>
          <w:rFonts w:cs="Arial"/>
          <w:sz w:val="18"/>
          <w:szCs w:val="18"/>
          <w:rtl/>
        </w:rPr>
        <w:t xml:space="preserve"> </w:t>
      </w:r>
      <w:r w:rsidRPr="00B91AE7">
        <w:rPr>
          <w:rFonts w:cs="Arial" w:hint="cs"/>
          <w:sz w:val="18"/>
          <w:szCs w:val="18"/>
          <w:rtl/>
        </w:rPr>
        <w:t>מסכימים</w:t>
      </w:r>
      <w:r w:rsidRPr="00B91AE7">
        <w:rPr>
          <w:rFonts w:cs="Arial"/>
          <w:sz w:val="18"/>
          <w:szCs w:val="18"/>
          <w:rtl/>
        </w:rPr>
        <w:t xml:space="preserve"> </w:t>
      </w:r>
      <w:r w:rsidRPr="00B91AE7">
        <w:rPr>
          <w:rFonts w:cs="Arial" w:hint="cs"/>
          <w:sz w:val="18"/>
          <w:szCs w:val="18"/>
          <w:rtl/>
        </w:rPr>
        <w:t>לדעת</w:t>
      </w:r>
      <w:r w:rsidRPr="00B91AE7">
        <w:rPr>
          <w:rFonts w:cs="Arial"/>
          <w:sz w:val="18"/>
          <w:szCs w:val="18"/>
          <w:rtl/>
        </w:rPr>
        <w:t xml:space="preserve"> </w:t>
      </w:r>
      <w:r w:rsidRPr="00B91AE7">
        <w:rPr>
          <w:rFonts w:cs="Arial" w:hint="cs"/>
          <w:sz w:val="18"/>
          <w:szCs w:val="18"/>
          <w:rtl/>
        </w:rPr>
        <w:t>אחת</w:t>
      </w:r>
      <w:r w:rsidRPr="00B91AE7">
        <w:rPr>
          <w:rFonts w:cs="Arial"/>
          <w:sz w:val="18"/>
          <w:szCs w:val="18"/>
          <w:rtl/>
        </w:rPr>
        <w:t xml:space="preserve"> </w:t>
      </w:r>
      <w:r w:rsidRPr="00B91AE7">
        <w:rPr>
          <w:rFonts w:cs="Arial" w:hint="cs"/>
          <w:sz w:val="18"/>
          <w:szCs w:val="18"/>
          <w:rtl/>
        </w:rPr>
        <w:t>נפסוק</w:t>
      </w:r>
      <w:r w:rsidRPr="00B91AE7">
        <w:rPr>
          <w:rFonts w:cs="Arial"/>
          <w:sz w:val="18"/>
          <w:szCs w:val="18"/>
          <w:rtl/>
        </w:rPr>
        <w:t xml:space="preserve"> </w:t>
      </w:r>
      <w:r w:rsidRPr="00B91AE7">
        <w:rPr>
          <w:rFonts w:cs="Arial" w:hint="cs"/>
          <w:sz w:val="18"/>
          <w:szCs w:val="18"/>
          <w:rtl/>
        </w:rPr>
        <w:t>הלכה</w:t>
      </w:r>
      <w:r w:rsidRPr="00B91AE7">
        <w:rPr>
          <w:rFonts w:cs="Arial"/>
          <w:sz w:val="18"/>
          <w:szCs w:val="18"/>
          <w:rtl/>
        </w:rPr>
        <w:t xml:space="preserve"> </w:t>
      </w:r>
      <w:r w:rsidRPr="00B91AE7">
        <w:rPr>
          <w:rFonts w:cs="Arial" w:hint="cs"/>
          <w:sz w:val="18"/>
          <w:szCs w:val="18"/>
          <w:rtl/>
        </w:rPr>
        <w:t>כמותם,</w:t>
      </w:r>
      <w:r w:rsidRPr="00B91AE7">
        <w:rPr>
          <w:rFonts w:cs="Arial"/>
          <w:sz w:val="18"/>
          <w:szCs w:val="18"/>
          <w:rtl/>
        </w:rPr>
        <w:t xml:space="preserve"> </w:t>
      </w:r>
      <w:r w:rsidRPr="00B91AE7">
        <w:rPr>
          <w:rFonts w:cs="Arial" w:hint="cs"/>
          <w:sz w:val="18"/>
          <w:szCs w:val="18"/>
          <w:rtl/>
        </w:rPr>
        <w:t>אם</w:t>
      </w:r>
      <w:r w:rsidRPr="00B91AE7">
        <w:rPr>
          <w:rFonts w:cs="Arial"/>
          <w:sz w:val="18"/>
          <w:szCs w:val="18"/>
          <w:rtl/>
        </w:rPr>
        <w:t xml:space="preserve"> </w:t>
      </w:r>
      <w:r w:rsidRPr="00B91AE7">
        <w:rPr>
          <w:rFonts w:cs="Arial" w:hint="cs"/>
          <w:sz w:val="18"/>
          <w:szCs w:val="18"/>
          <w:rtl/>
        </w:rPr>
        <w:t>לא</w:t>
      </w:r>
      <w:r w:rsidRPr="00B91AE7">
        <w:rPr>
          <w:rFonts w:cs="Arial"/>
          <w:sz w:val="18"/>
          <w:szCs w:val="18"/>
          <w:rtl/>
        </w:rPr>
        <w:t xml:space="preserve"> </w:t>
      </w:r>
      <w:r w:rsidRPr="00B91AE7">
        <w:rPr>
          <w:rFonts w:cs="Arial" w:hint="cs"/>
          <w:sz w:val="18"/>
          <w:szCs w:val="18"/>
          <w:rtl/>
        </w:rPr>
        <w:t>במקצת</w:t>
      </w:r>
      <w:r w:rsidRPr="00B91AE7">
        <w:rPr>
          <w:rFonts w:cs="Arial"/>
          <w:sz w:val="18"/>
          <w:szCs w:val="18"/>
          <w:rtl/>
        </w:rPr>
        <w:t xml:space="preserve"> </w:t>
      </w:r>
      <w:r w:rsidRPr="00B91AE7">
        <w:rPr>
          <w:rFonts w:cs="Arial" w:hint="cs"/>
          <w:sz w:val="18"/>
          <w:szCs w:val="18"/>
          <w:rtl/>
        </w:rPr>
        <w:t>מקומות</w:t>
      </w:r>
      <w:r w:rsidRPr="00B91AE7">
        <w:rPr>
          <w:rFonts w:cs="Arial"/>
          <w:sz w:val="18"/>
          <w:szCs w:val="18"/>
          <w:rtl/>
        </w:rPr>
        <w:t xml:space="preserve"> </w:t>
      </w:r>
      <w:r w:rsidRPr="00B91AE7">
        <w:rPr>
          <w:rFonts w:cs="Arial" w:hint="cs"/>
          <w:sz w:val="18"/>
          <w:szCs w:val="18"/>
          <w:rtl/>
        </w:rPr>
        <w:t>שכל</w:t>
      </w:r>
      <w:r w:rsidRPr="00B91AE7">
        <w:rPr>
          <w:rFonts w:cs="Arial"/>
          <w:sz w:val="18"/>
          <w:szCs w:val="18"/>
          <w:rtl/>
        </w:rPr>
        <w:t xml:space="preserve"> </w:t>
      </w:r>
      <w:r w:rsidRPr="00B91AE7">
        <w:rPr>
          <w:rFonts w:cs="Arial" w:hint="cs"/>
          <w:sz w:val="18"/>
          <w:szCs w:val="18"/>
          <w:rtl/>
        </w:rPr>
        <w:t>חכמי</w:t>
      </w:r>
      <w:r w:rsidRPr="00B91AE7">
        <w:rPr>
          <w:rFonts w:cs="Arial"/>
          <w:sz w:val="18"/>
          <w:szCs w:val="18"/>
          <w:rtl/>
        </w:rPr>
        <w:t xml:space="preserve"> </w:t>
      </w:r>
      <w:r w:rsidRPr="00B91AE7">
        <w:rPr>
          <w:rFonts w:cs="Arial" w:hint="cs"/>
          <w:sz w:val="18"/>
          <w:szCs w:val="18"/>
          <w:rtl/>
        </w:rPr>
        <w:t>ישראל</w:t>
      </w:r>
      <w:r w:rsidRPr="00B91AE7">
        <w:rPr>
          <w:rFonts w:cs="Arial"/>
          <w:sz w:val="18"/>
          <w:szCs w:val="18"/>
          <w:rtl/>
        </w:rPr>
        <w:t xml:space="preserve"> </w:t>
      </w:r>
      <w:r w:rsidRPr="00B91AE7">
        <w:rPr>
          <w:rFonts w:cs="Arial" w:hint="cs"/>
          <w:sz w:val="18"/>
          <w:szCs w:val="18"/>
          <w:rtl/>
        </w:rPr>
        <w:t>או</w:t>
      </w:r>
      <w:r w:rsidRPr="00B91AE7">
        <w:rPr>
          <w:rFonts w:cs="Arial"/>
          <w:sz w:val="18"/>
          <w:szCs w:val="18"/>
          <w:rtl/>
        </w:rPr>
        <w:t xml:space="preserve"> </w:t>
      </w:r>
      <w:r w:rsidRPr="00B91AE7">
        <w:rPr>
          <w:rFonts w:cs="Arial" w:hint="cs"/>
          <w:sz w:val="18"/>
          <w:szCs w:val="18"/>
          <w:rtl/>
        </w:rPr>
        <w:t>רובם</w:t>
      </w:r>
      <w:r w:rsidRPr="00B91AE7">
        <w:rPr>
          <w:rFonts w:cs="Arial"/>
          <w:sz w:val="18"/>
          <w:szCs w:val="18"/>
          <w:rtl/>
        </w:rPr>
        <w:t xml:space="preserve"> </w:t>
      </w:r>
      <w:r w:rsidRPr="00B91AE7">
        <w:rPr>
          <w:rFonts w:cs="Arial" w:hint="cs"/>
          <w:sz w:val="18"/>
          <w:szCs w:val="18"/>
          <w:rtl/>
        </w:rPr>
        <w:t>חולקין</w:t>
      </w:r>
      <w:r w:rsidRPr="00B91AE7">
        <w:rPr>
          <w:rFonts w:cs="Arial"/>
          <w:sz w:val="18"/>
          <w:szCs w:val="18"/>
          <w:rtl/>
        </w:rPr>
        <w:t xml:space="preserve"> </w:t>
      </w:r>
      <w:r w:rsidRPr="00B91AE7">
        <w:rPr>
          <w:rFonts w:cs="Arial" w:hint="cs"/>
          <w:sz w:val="18"/>
          <w:szCs w:val="18"/>
          <w:rtl/>
        </w:rPr>
        <w:t>על</w:t>
      </w:r>
      <w:r w:rsidRPr="00B91AE7">
        <w:rPr>
          <w:rFonts w:cs="Arial"/>
          <w:sz w:val="18"/>
          <w:szCs w:val="18"/>
          <w:rtl/>
        </w:rPr>
        <w:t xml:space="preserve"> </w:t>
      </w:r>
      <w:r w:rsidRPr="00B91AE7">
        <w:rPr>
          <w:rFonts w:cs="Arial" w:hint="cs"/>
          <w:sz w:val="18"/>
          <w:szCs w:val="18"/>
          <w:rtl/>
        </w:rPr>
        <w:t>הדעת</w:t>
      </w:r>
      <w:r w:rsidRPr="00B91AE7">
        <w:rPr>
          <w:rFonts w:cs="Arial"/>
          <w:sz w:val="18"/>
          <w:szCs w:val="18"/>
          <w:rtl/>
        </w:rPr>
        <w:t xml:space="preserve"> </w:t>
      </w:r>
      <w:r w:rsidRPr="00B91AE7">
        <w:rPr>
          <w:rFonts w:cs="Arial" w:hint="cs"/>
          <w:sz w:val="18"/>
          <w:szCs w:val="18"/>
          <w:rtl/>
        </w:rPr>
        <w:t>ההוא</w:t>
      </w:r>
      <w:r w:rsidRPr="00B91AE7">
        <w:rPr>
          <w:rFonts w:cs="Arial"/>
          <w:sz w:val="18"/>
          <w:szCs w:val="18"/>
          <w:rtl/>
        </w:rPr>
        <w:t xml:space="preserve"> </w:t>
      </w:r>
      <w:r w:rsidRPr="00B91AE7">
        <w:rPr>
          <w:rFonts w:cs="Arial" w:hint="cs"/>
          <w:sz w:val="18"/>
          <w:szCs w:val="18"/>
          <w:rtl/>
        </w:rPr>
        <w:t>ולכן</w:t>
      </w:r>
      <w:r w:rsidRPr="00B91AE7">
        <w:rPr>
          <w:rFonts w:cs="Arial"/>
          <w:sz w:val="18"/>
          <w:szCs w:val="18"/>
          <w:rtl/>
        </w:rPr>
        <w:t xml:space="preserve"> </w:t>
      </w:r>
      <w:r w:rsidRPr="00B91AE7">
        <w:rPr>
          <w:rFonts w:cs="Arial" w:hint="cs"/>
          <w:sz w:val="18"/>
          <w:szCs w:val="18"/>
          <w:rtl/>
        </w:rPr>
        <w:t>פשט</w:t>
      </w:r>
      <w:r w:rsidRPr="00B91AE7">
        <w:rPr>
          <w:rFonts w:cs="Arial"/>
          <w:sz w:val="18"/>
          <w:szCs w:val="18"/>
          <w:rtl/>
        </w:rPr>
        <w:t xml:space="preserve"> </w:t>
      </w:r>
      <w:r w:rsidRPr="00B91AE7">
        <w:rPr>
          <w:rFonts w:cs="Arial" w:hint="cs"/>
          <w:sz w:val="18"/>
          <w:szCs w:val="18"/>
          <w:rtl/>
        </w:rPr>
        <w:t>המנהג</w:t>
      </w:r>
      <w:r w:rsidRPr="00B91AE7">
        <w:rPr>
          <w:rFonts w:cs="Arial"/>
          <w:sz w:val="18"/>
          <w:szCs w:val="18"/>
          <w:rtl/>
        </w:rPr>
        <w:t xml:space="preserve"> </w:t>
      </w:r>
      <w:r w:rsidRPr="00B91AE7">
        <w:rPr>
          <w:rFonts w:cs="Arial" w:hint="cs"/>
          <w:sz w:val="18"/>
          <w:szCs w:val="18"/>
          <w:rtl/>
        </w:rPr>
        <w:t>בהיפך".</w:t>
      </w:r>
      <w:r w:rsidRPr="00B91AE7">
        <w:rPr>
          <w:rFonts w:hint="cs"/>
          <w:sz w:val="18"/>
          <w:szCs w:val="18"/>
          <w:rtl/>
        </w:rPr>
        <w:t xml:space="preserve"> </w:t>
      </w:r>
      <w:r>
        <w:rPr>
          <w:sz w:val="18"/>
          <w:szCs w:val="18"/>
          <w:rtl/>
        </w:rPr>
        <w:br/>
      </w:r>
      <w:r w:rsidRPr="00B91AE7">
        <w:rPr>
          <w:rFonts w:hint="cs"/>
          <w:sz w:val="18"/>
          <w:szCs w:val="18"/>
          <w:rtl/>
        </w:rPr>
        <w:t xml:space="preserve">ומכיוון שדעת רוב הפוסקים היא שאף אשה שאין לה ווסת קבוע אינה צריכה בדיקה, לא פסק </w:t>
      </w:r>
      <w:r w:rsidRPr="002B5BFC">
        <w:rPr>
          <w:rFonts w:hint="cs"/>
          <w:b/>
          <w:bCs/>
          <w:sz w:val="18"/>
          <w:szCs w:val="18"/>
          <w:rtl/>
        </w:rPr>
        <w:t>הב"י כרא"ש והרמב"ם</w:t>
      </w:r>
      <w:r w:rsidRPr="00B91AE7">
        <w:rPr>
          <w:rFonts w:hint="cs"/>
          <w:sz w:val="18"/>
          <w:szCs w:val="18"/>
          <w:rtl/>
        </w:rPr>
        <w:t xml:space="preserve">. </w:t>
      </w:r>
      <w:r>
        <w:rPr>
          <w:sz w:val="18"/>
          <w:szCs w:val="18"/>
          <w:rtl/>
        </w:rPr>
        <w:br/>
      </w:r>
      <w:r w:rsidRPr="00B91AE7">
        <w:rPr>
          <w:rFonts w:hint="cs"/>
          <w:sz w:val="18"/>
          <w:szCs w:val="18"/>
          <w:rtl/>
        </w:rPr>
        <w:t>ומה שהביא את דעתם</w:t>
      </w:r>
      <w:r>
        <w:rPr>
          <w:rFonts w:hint="cs"/>
          <w:sz w:val="18"/>
          <w:szCs w:val="18"/>
          <w:rtl/>
        </w:rPr>
        <w:t xml:space="preserve"> </w:t>
      </w:r>
      <w:r w:rsidRPr="002B5BFC">
        <w:rPr>
          <w:rFonts w:hint="cs"/>
          <w:b/>
          <w:bCs/>
          <w:sz w:val="18"/>
          <w:szCs w:val="18"/>
          <w:rtl/>
        </w:rPr>
        <w:t>בשו"ע</w:t>
      </w:r>
      <w:r w:rsidRPr="00B91AE7">
        <w:rPr>
          <w:rFonts w:hint="cs"/>
          <w:sz w:val="18"/>
          <w:szCs w:val="18"/>
          <w:rtl/>
        </w:rPr>
        <w:t xml:space="preserve">, </w:t>
      </w:r>
      <w:r>
        <w:rPr>
          <w:rFonts w:hint="cs"/>
          <w:sz w:val="18"/>
          <w:szCs w:val="18"/>
          <w:rtl/>
        </w:rPr>
        <w:t>כוונתו</w:t>
      </w:r>
      <w:r w:rsidRPr="00B91AE7">
        <w:rPr>
          <w:rFonts w:hint="cs"/>
          <w:sz w:val="18"/>
          <w:szCs w:val="18"/>
          <w:rtl/>
        </w:rPr>
        <w:t xml:space="preserve"> לומר שרשאי </w:t>
      </w:r>
      <w:r>
        <w:rPr>
          <w:rFonts w:hint="cs"/>
          <w:sz w:val="18"/>
          <w:szCs w:val="18"/>
          <w:rtl/>
        </w:rPr>
        <w:t xml:space="preserve">אדם </w:t>
      </w:r>
      <w:r w:rsidRPr="00B91AE7">
        <w:rPr>
          <w:rFonts w:hint="cs"/>
          <w:sz w:val="18"/>
          <w:szCs w:val="18"/>
          <w:rtl/>
        </w:rPr>
        <w:t>להחמיר ב</w:t>
      </w:r>
      <w:r>
        <w:rPr>
          <w:rFonts w:hint="cs"/>
          <w:sz w:val="18"/>
          <w:szCs w:val="18"/>
          <w:rtl/>
        </w:rPr>
        <w:t>ד</w:t>
      </w:r>
      <w:r w:rsidRPr="00B91AE7">
        <w:rPr>
          <w:rFonts w:hint="cs"/>
          <w:sz w:val="18"/>
          <w:szCs w:val="18"/>
          <w:rtl/>
        </w:rPr>
        <w:t>ין זה, ואין בכך חשש משום ליבו נוקפו. אמנם, הביא בסוף דבריו דעת אחד האחרונים שהבין מדברי ה</w:t>
      </w:r>
      <w:r>
        <w:rPr>
          <w:rFonts w:hint="cs"/>
          <w:sz w:val="18"/>
          <w:szCs w:val="18"/>
          <w:rtl/>
        </w:rPr>
        <w:t>מ</w:t>
      </w:r>
      <w:r w:rsidRPr="00B91AE7">
        <w:rPr>
          <w:rFonts w:hint="cs"/>
          <w:sz w:val="18"/>
          <w:szCs w:val="18"/>
          <w:rtl/>
        </w:rPr>
        <w:t>חבר שיש להחמיר, אך דחה את דבריו.</w:t>
      </w:r>
    </w:p>
  </w:footnote>
  <w:footnote w:id="79">
    <w:p w:rsidR="005953C5" w:rsidRDefault="005953C5" w:rsidP="00620060">
      <w:pPr>
        <w:pStyle w:val="a3"/>
      </w:pPr>
      <w:r w:rsidRPr="00F6395A">
        <w:rPr>
          <w:rStyle w:val="a5"/>
          <w:sz w:val="18"/>
          <w:szCs w:val="18"/>
        </w:rPr>
        <w:footnoteRef/>
      </w:r>
      <w:r w:rsidRPr="00F6395A">
        <w:rPr>
          <w:sz w:val="18"/>
          <w:szCs w:val="18"/>
          <w:rtl/>
        </w:rPr>
        <w:t xml:space="preserve"> </w:t>
      </w:r>
      <w:r w:rsidRPr="00F6395A">
        <w:rPr>
          <w:rFonts w:hint="cs"/>
          <w:sz w:val="18"/>
          <w:szCs w:val="18"/>
          <w:rtl/>
        </w:rPr>
        <w:t>כיצד יש לנהוג לדינא?</w:t>
      </w:r>
      <w:r w:rsidRPr="00F6395A">
        <w:rPr>
          <w:rFonts w:hint="cs"/>
          <w:sz w:val="18"/>
          <w:szCs w:val="18"/>
          <w:rtl/>
        </w:rPr>
        <w:br/>
        <w:t xml:space="preserve">בשם </w:t>
      </w:r>
      <w:r w:rsidRPr="002B5BFC">
        <w:rPr>
          <w:rFonts w:hint="cs"/>
          <w:b/>
          <w:bCs/>
          <w:sz w:val="18"/>
          <w:szCs w:val="18"/>
          <w:rtl/>
        </w:rPr>
        <w:t>הרב נויבירט</w:t>
      </w:r>
      <w:r w:rsidRPr="00F6395A">
        <w:rPr>
          <w:rFonts w:hint="cs"/>
          <w:sz w:val="18"/>
          <w:szCs w:val="18"/>
          <w:rtl/>
        </w:rPr>
        <w:t xml:space="preserve"> נאמר שההוראה לחתנים תהיה </w:t>
      </w:r>
      <w:r w:rsidRPr="002B5BFC">
        <w:rPr>
          <w:rFonts w:hint="cs"/>
          <w:b/>
          <w:bCs/>
          <w:sz w:val="18"/>
          <w:szCs w:val="18"/>
          <w:rtl/>
        </w:rPr>
        <w:t>כש"ך</w:t>
      </w:r>
      <w:r w:rsidRPr="00F6395A">
        <w:rPr>
          <w:rFonts w:hint="cs"/>
          <w:sz w:val="18"/>
          <w:szCs w:val="18"/>
          <w:rtl/>
        </w:rPr>
        <w:t xml:space="preserve">, שא"צ לבדוק. אמנם, מסופר </w:t>
      </w:r>
      <w:r w:rsidRPr="002B5BFC">
        <w:rPr>
          <w:rFonts w:hint="cs"/>
          <w:b/>
          <w:bCs/>
          <w:sz w:val="18"/>
          <w:szCs w:val="18"/>
          <w:rtl/>
        </w:rPr>
        <w:t>שהרב יעקב יוסף</w:t>
      </w:r>
      <w:r w:rsidRPr="00F6395A">
        <w:rPr>
          <w:rFonts w:hint="cs"/>
          <w:sz w:val="18"/>
          <w:szCs w:val="18"/>
          <w:rtl/>
        </w:rPr>
        <w:t xml:space="preserve"> נשאל על זוג אחרי שלושים שנות נישואין שלא עשו בדיקות אלו והורה שיעשו כעת. מאידך, </w:t>
      </w:r>
      <w:r w:rsidRPr="002B5BFC">
        <w:rPr>
          <w:rFonts w:hint="cs"/>
          <w:b/>
          <w:bCs/>
          <w:sz w:val="18"/>
          <w:szCs w:val="18"/>
          <w:rtl/>
        </w:rPr>
        <w:t>בשיעורי שבט הלוי</w:t>
      </w:r>
      <w:r w:rsidRPr="00F6395A">
        <w:rPr>
          <w:rFonts w:hint="cs"/>
          <w:sz w:val="18"/>
          <w:szCs w:val="18"/>
          <w:rtl/>
        </w:rPr>
        <w:t xml:space="preserve"> כתב שזוג שלא עשה בדיקות ושימשו תקופה ארוכה ולא ראו דם, חשיב כבדיקה. </w:t>
      </w:r>
      <w:r w:rsidRPr="00AC5FB6">
        <w:rPr>
          <w:rFonts w:hint="cs"/>
          <w:b/>
          <w:bCs/>
          <w:sz w:val="18"/>
          <w:szCs w:val="18"/>
          <w:rtl/>
        </w:rPr>
        <w:t>ובטה"ב</w:t>
      </w:r>
      <w:r w:rsidRPr="00AC5FB6">
        <w:rPr>
          <w:rFonts w:hint="cs"/>
          <w:sz w:val="18"/>
          <w:szCs w:val="18"/>
          <w:rtl/>
        </w:rPr>
        <w:t xml:space="preserve"> פסק באופן פשוט </w:t>
      </w:r>
      <w:r w:rsidRPr="00AC5FB6">
        <w:rPr>
          <w:rFonts w:hint="cs"/>
          <w:b/>
          <w:bCs/>
          <w:sz w:val="18"/>
          <w:szCs w:val="18"/>
          <w:rtl/>
        </w:rPr>
        <w:t>כרי"ף</w:t>
      </w:r>
      <w:r w:rsidRPr="00AC5FB6">
        <w:rPr>
          <w:rFonts w:hint="cs"/>
          <w:sz w:val="18"/>
          <w:szCs w:val="18"/>
          <w:rtl/>
        </w:rPr>
        <w:t xml:space="preserve"> וכפי שפסק </w:t>
      </w:r>
      <w:r w:rsidRPr="00AC5FB6">
        <w:rPr>
          <w:rFonts w:hint="cs"/>
          <w:b/>
          <w:bCs/>
          <w:sz w:val="18"/>
          <w:szCs w:val="18"/>
          <w:rtl/>
        </w:rPr>
        <w:t>המחבר</w:t>
      </w:r>
      <w:r w:rsidRPr="00AC5FB6">
        <w:rPr>
          <w:rFonts w:hint="cs"/>
          <w:sz w:val="18"/>
          <w:szCs w:val="18"/>
          <w:rtl/>
        </w:rPr>
        <w:t>.</w:t>
      </w:r>
    </w:p>
  </w:footnote>
  <w:footnote w:id="80">
    <w:p w:rsidR="005953C5" w:rsidRPr="00CB2311" w:rsidRDefault="005953C5" w:rsidP="00620060">
      <w:pPr>
        <w:pStyle w:val="a3"/>
        <w:rPr>
          <w:sz w:val="18"/>
          <w:szCs w:val="18"/>
          <w:rtl/>
        </w:rPr>
      </w:pPr>
      <w:r w:rsidRPr="003E3484">
        <w:rPr>
          <w:rStyle w:val="a5"/>
          <w:sz w:val="18"/>
          <w:szCs w:val="18"/>
        </w:rPr>
        <w:footnoteRef/>
      </w:r>
      <w:r w:rsidRPr="003E3484">
        <w:rPr>
          <w:sz w:val="18"/>
          <w:szCs w:val="18"/>
          <w:rtl/>
        </w:rPr>
        <w:t xml:space="preserve"> </w:t>
      </w:r>
      <w:r w:rsidRPr="003E3484">
        <w:rPr>
          <w:rFonts w:hint="cs"/>
          <w:b/>
          <w:bCs/>
          <w:sz w:val="18"/>
          <w:szCs w:val="18"/>
          <w:rtl/>
        </w:rPr>
        <w:t xml:space="preserve">הרמ"א </w:t>
      </w:r>
      <w:r w:rsidRPr="003E3484">
        <w:rPr>
          <w:rFonts w:hint="cs"/>
          <w:sz w:val="18"/>
          <w:szCs w:val="18"/>
          <w:rtl/>
        </w:rPr>
        <w:t>העתיק כאן דין זה לדעת הרמב"ם בלבד, שהרי לדעת הרי"ף אין נפק"מ אם משמשים כמה פעמים בלילה אחד, שהרי בכל מקרה עליהם לבדוק בג' פעמים הראשונות</w:t>
      </w:r>
      <w:r>
        <w:rPr>
          <w:rFonts w:hint="cs"/>
          <w:sz w:val="18"/>
          <w:szCs w:val="18"/>
          <w:rtl/>
        </w:rPr>
        <w:t xml:space="preserve"> בלבד</w:t>
      </w:r>
      <w:r w:rsidRPr="003E3484">
        <w:rPr>
          <w:rFonts w:hint="cs"/>
          <w:sz w:val="18"/>
          <w:szCs w:val="18"/>
          <w:rtl/>
        </w:rPr>
        <w:t>.</w:t>
      </w:r>
      <w:r>
        <w:rPr>
          <w:rFonts w:hint="cs"/>
          <w:rtl/>
        </w:rPr>
        <w:t xml:space="preserve"> </w:t>
      </w:r>
      <w:r w:rsidRPr="003E3484">
        <w:rPr>
          <w:rFonts w:hint="cs"/>
          <w:sz w:val="18"/>
          <w:szCs w:val="18"/>
          <w:rtl/>
        </w:rPr>
        <w:t xml:space="preserve">ונראה </w:t>
      </w:r>
      <w:r>
        <w:rPr>
          <w:rFonts w:hint="cs"/>
          <w:sz w:val="18"/>
          <w:szCs w:val="18"/>
          <w:rtl/>
        </w:rPr>
        <w:t xml:space="preserve">לענ"ד </w:t>
      </w:r>
      <w:r w:rsidRPr="003E3484">
        <w:rPr>
          <w:rFonts w:hint="cs"/>
          <w:sz w:val="18"/>
          <w:szCs w:val="18"/>
          <w:rtl/>
        </w:rPr>
        <w:t>שאין כוונתו לפסוק כרמב"ם, אלא השלים את דברי המחבר שהביא את דעת הרמב"ם.</w:t>
      </w:r>
      <w:r>
        <w:rPr>
          <w:rFonts w:hint="cs"/>
          <w:rtl/>
        </w:rPr>
        <w:br/>
      </w:r>
      <w:r w:rsidRPr="00CB2311">
        <w:rPr>
          <w:rFonts w:hint="cs"/>
          <w:sz w:val="18"/>
          <w:szCs w:val="18"/>
          <w:rtl/>
        </w:rPr>
        <w:t xml:space="preserve">ברם, נראה </w:t>
      </w:r>
      <w:r w:rsidRPr="00CB2311">
        <w:rPr>
          <w:rFonts w:hint="cs"/>
          <w:b/>
          <w:bCs/>
          <w:sz w:val="18"/>
          <w:szCs w:val="18"/>
          <w:rtl/>
        </w:rPr>
        <w:t>שתוה"ש</w:t>
      </w:r>
      <w:r w:rsidRPr="00CB2311">
        <w:rPr>
          <w:rFonts w:hint="cs"/>
          <w:sz w:val="18"/>
          <w:szCs w:val="18"/>
          <w:rtl/>
        </w:rPr>
        <w:t xml:space="preserve"> הבין אחרת, ודעתו שהרמ"א התכוון לפסוק כרמב"ם.</w:t>
      </w:r>
    </w:p>
  </w:footnote>
  <w:footnote w:id="81">
    <w:p w:rsidR="005953C5" w:rsidRDefault="005953C5" w:rsidP="00620060">
      <w:pPr>
        <w:pStyle w:val="a3"/>
        <w:rPr>
          <w:rtl/>
        </w:rPr>
      </w:pPr>
      <w:r w:rsidRPr="00AD4FA0">
        <w:rPr>
          <w:rStyle w:val="a5"/>
          <w:sz w:val="18"/>
          <w:szCs w:val="18"/>
        </w:rPr>
        <w:footnoteRef/>
      </w:r>
      <w:r w:rsidRPr="00AD4FA0">
        <w:rPr>
          <w:sz w:val="18"/>
          <w:szCs w:val="18"/>
          <w:rtl/>
        </w:rPr>
        <w:t xml:space="preserve"> </w:t>
      </w:r>
      <w:r w:rsidRPr="00AD4FA0">
        <w:rPr>
          <w:rFonts w:hint="cs"/>
          <w:sz w:val="18"/>
          <w:szCs w:val="18"/>
          <w:rtl/>
        </w:rPr>
        <w:t xml:space="preserve">גם כאן העתיק </w:t>
      </w:r>
      <w:r w:rsidRPr="00AD4FA0">
        <w:rPr>
          <w:rFonts w:hint="cs"/>
          <w:b/>
          <w:bCs/>
          <w:sz w:val="18"/>
          <w:szCs w:val="18"/>
          <w:rtl/>
        </w:rPr>
        <w:t>הרמ"א</w:t>
      </w:r>
      <w:r w:rsidRPr="00AD4FA0">
        <w:rPr>
          <w:rFonts w:hint="cs"/>
          <w:sz w:val="18"/>
          <w:szCs w:val="18"/>
          <w:rtl/>
        </w:rPr>
        <w:t xml:space="preserve"> את דברי הרמב"ם, אך לא נראה שכוונתו לפסוק כמותו</w:t>
      </w:r>
      <w:r>
        <w:rPr>
          <w:rFonts w:hint="cs"/>
          <w:sz w:val="18"/>
          <w:szCs w:val="18"/>
          <w:rtl/>
        </w:rPr>
        <w:t xml:space="preserve"> מכיוון שאם כך היא </w:t>
      </w:r>
      <w:r w:rsidRPr="00AD4FA0">
        <w:rPr>
          <w:rFonts w:hint="cs"/>
          <w:sz w:val="18"/>
          <w:szCs w:val="18"/>
          <w:rtl/>
        </w:rPr>
        <w:t xml:space="preserve">דעתו מדוע לא ביאר שכך היא דעתו לדינא? ולכן נראה לומר שהרמ"א אינו חולק על המחבר ודעתו לדינא כרי"ף, וכדעה הראשונה שהביא המחבר. </w:t>
      </w:r>
      <w:r>
        <w:rPr>
          <w:sz w:val="18"/>
          <w:szCs w:val="18"/>
          <w:rtl/>
        </w:rPr>
        <w:br/>
      </w:r>
      <w:r w:rsidRPr="00AD4FA0">
        <w:rPr>
          <w:rFonts w:hint="cs"/>
          <w:sz w:val="18"/>
          <w:szCs w:val="18"/>
          <w:rtl/>
        </w:rPr>
        <w:t xml:space="preserve">ואמנם, נראה לומר שאף </w:t>
      </w:r>
      <w:r w:rsidRPr="00AD4FA0">
        <w:rPr>
          <w:rFonts w:hint="cs"/>
          <w:b/>
          <w:bCs/>
          <w:sz w:val="18"/>
          <w:szCs w:val="18"/>
          <w:rtl/>
        </w:rPr>
        <w:t>לרי"ף</w:t>
      </w:r>
      <w:r w:rsidRPr="00AD4FA0">
        <w:rPr>
          <w:rFonts w:hint="cs"/>
          <w:sz w:val="18"/>
          <w:szCs w:val="18"/>
          <w:rtl/>
        </w:rPr>
        <w:t xml:space="preserve"> יש נפק"מ בדין זה של הרמ"א, דהיינו לעניין ג</w:t>
      </w:r>
      <w:r>
        <w:rPr>
          <w:rFonts w:hint="cs"/>
          <w:sz w:val="18"/>
          <w:szCs w:val="18"/>
          <w:rtl/>
        </w:rPr>
        <w:t>'</w:t>
      </w:r>
      <w:r w:rsidRPr="00AD4FA0">
        <w:rPr>
          <w:rFonts w:hint="cs"/>
          <w:sz w:val="18"/>
          <w:szCs w:val="18"/>
          <w:rtl/>
        </w:rPr>
        <w:t xml:space="preserve"> הבדיקות הראשונות שלהם, שאם אבד העד אסורים לשמש עד שתבדוק.</w:t>
      </w:r>
    </w:p>
  </w:footnote>
  <w:footnote w:id="82">
    <w:p w:rsidR="005953C5" w:rsidRDefault="005953C5" w:rsidP="00620060">
      <w:pPr>
        <w:pStyle w:val="a3"/>
        <w:rPr>
          <w:rtl/>
        </w:rPr>
      </w:pPr>
      <w:r w:rsidRPr="00B10020">
        <w:rPr>
          <w:rStyle w:val="a5"/>
          <w:sz w:val="18"/>
          <w:szCs w:val="18"/>
        </w:rPr>
        <w:footnoteRef/>
      </w:r>
      <w:r w:rsidRPr="00B10020">
        <w:rPr>
          <w:sz w:val="18"/>
          <w:szCs w:val="18"/>
          <w:rtl/>
        </w:rPr>
        <w:t xml:space="preserve"> </w:t>
      </w:r>
      <w:r w:rsidRPr="00B10020">
        <w:rPr>
          <w:rFonts w:hint="cs"/>
          <w:b/>
          <w:bCs/>
          <w:sz w:val="18"/>
          <w:szCs w:val="18"/>
          <w:rtl/>
        </w:rPr>
        <w:t>דרכי טהרה</w:t>
      </w:r>
      <w:r w:rsidRPr="00B10020">
        <w:rPr>
          <w:rFonts w:hint="cs"/>
          <w:sz w:val="18"/>
          <w:szCs w:val="18"/>
          <w:rtl/>
        </w:rPr>
        <w:t xml:space="preserve"> </w:t>
      </w:r>
      <w:r w:rsidRPr="00FC431C">
        <w:rPr>
          <w:rFonts w:hint="cs"/>
          <w:sz w:val="16"/>
          <w:szCs w:val="16"/>
          <w:rtl/>
        </w:rPr>
        <w:t xml:space="preserve">(פרק ח, יב </w:t>
      </w:r>
      <w:r w:rsidRPr="00FC431C">
        <w:rPr>
          <w:sz w:val="16"/>
          <w:szCs w:val="16"/>
          <w:rtl/>
        </w:rPr>
        <w:t>–</w:t>
      </w:r>
      <w:r w:rsidRPr="00FC431C">
        <w:rPr>
          <w:rFonts w:hint="cs"/>
          <w:sz w:val="16"/>
          <w:szCs w:val="16"/>
          <w:rtl/>
        </w:rPr>
        <w:t xml:space="preserve"> יג) </w:t>
      </w:r>
      <w:r w:rsidRPr="00B10020">
        <w:rPr>
          <w:sz w:val="18"/>
          <w:szCs w:val="18"/>
          <w:rtl/>
        </w:rPr>
        <w:t>–</w:t>
      </w:r>
      <w:r w:rsidRPr="00B10020">
        <w:rPr>
          <w:rFonts w:hint="cs"/>
          <w:sz w:val="18"/>
          <w:szCs w:val="18"/>
          <w:rtl/>
        </w:rPr>
        <w:t xml:space="preserve"> אשה שהיה לה ווסת קבוע ועקרתו וכעת אין לה ווסת קבוע, צריכה לבדוק כעת את הבדיקות הנ"ל. ואע"פ שבדיקות אלו נתקנו רק כדי לוודא שהיא אינה רמ"ת, ואילו כאן מוכח שהיא אינה רמ"ת, מכל מקום צריכה לבדוק שמא כפי שווסתה השתנה כך גם טבעה השתנה.</w:t>
      </w:r>
      <w:r>
        <w:rPr>
          <w:rtl/>
        </w:rPr>
        <w:br/>
      </w:r>
      <w:r w:rsidRPr="00FC431C">
        <w:rPr>
          <w:rFonts w:hint="cs"/>
          <w:sz w:val="18"/>
          <w:szCs w:val="18"/>
          <w:rtl/>
        </w:rPr>
        <w:t>עוד כתב, שגרושה או אלמנה שבדקו עצמן תחת הבעל הראשון, צריכות לבדוק עצמן גם תחת הבעל השני. ונראה טעמו, משום שאין כל האצבעות שוות.</w:t>
      </w:r>
    </w:p>
  </w:footnote>
  <w:footnote w:id="83">
    <w:p w:rsidR="005953C5" w:rsidRDefault="005953C5" w:rsidP="00620060">
      <w:pPr>
        <w:pStyle w:val="a3"/>
      </w:pPr>
      <w:r>
        <w:rPr>
          <w:rStyle w:val="a5"/>
        </w:rPr>
        <w:footnoteRef/>
      </w:r>
      <w:r>
        <w:rPr>
          <w:rtl/>
        </w:rPr>
        <w:t xml:space="preserve"> </w:t>
      </w:r>
      <w:r w:rsidRPr="00BA4892">
        <w:rPr>
          <w:rFonts w:hint="cs"/>
          <w:b/>
          <w:bCs/>
          <w:sz w:val="18"/>
          <w:szCs w:val="18"/>
          <w:rtl/>
        </w:rPr>
        <w:t>רש"י</w:t>
      </w:r>
      <w:r w:rsidRPr="00BA4892">
        <w:rPr>
          <w:rFonts w:hint="cs"/>
          <w:sz w:val="18"/>
          <w:szCs w:val="18"/>
          <w:rtl/>
        </w:rPr>
        <w:t xml:space="preserve"> </w:t>
      </w:r>
      <w:r w:rsidRPr="00BA4892">
        <w:rPr>
          <w:sz w:val="18"/>
          <w:szCs w:val="18"/>
          <w:rtl/>
        </w:rPr>
        <w:t>–</w:t>
      </w:r>
      <w:r w:rsidRPr="00BA4892">
        <w:rPr>
          <w:rFonts w:hint="cs"/>
          <w:rtl/>
        </w:rPr>
        <w:t xml:space="preserve"> </w:t>
      </w:r>
      <w:r w:rsidRPr="00BA4892">
        <w:rPr>
          <w:rFonts w:hint="cs"/>
          <w:sz w:val="18"/>
          <w:szCs w:val="18"/>
          <w:rtl/>
        </w:rPr>
        <w:t>"</w:t>
      </w:r>
      <w:r w:rsidRPr="00BA4892">
        <w:rPr>
          <w:rFonts w:cs="Arial" w:hint="cs"/>
          <w:sz w:val="18"/>
          <w:szCs w:val="18"/>
          <w:rtl/>
        </w:rPr>
        <w:t>לאו</w:t>
      </w:r>
      <w:r w:rsidRPr="00BA4892">
        <w:rPr>
          <w:rFonts w:cs="Arial"/>
          <w:sz w:val="18"/>
          <w:szCs w:val="18"/>
          <w:rtl/>
        </w:rPr>
        <w:t xml:space="preserve"> </w:t>
      </w:r>
      <w:r w:rsidRPr="00BA4892">
        <w:rPr>
          <w:rFonts w:cs="Arial" w:hint="cs"/>
          <w:sz w:val="18"/>
          <w:szCs w:val="18"/>
          <w:rtl/>
        </w:rPr>
        <w:t>בבתולה</w:t>
      </w:r>
      <w:r w:rsidRPr="00BA4892">
        <w:rPr>
          <w:rFonts w:cs="Arial"/>
          <w:sz w:val="18"/>
          <w:szCs w:val="18"/>
          <w:rtl/>
        </w:rPr>
        <w:t xml:space="preserve"> </w:t>
      </w:r>
      <w:r w:rsidRPr="00BA4892">
        <w:rPr>
          <w:rFonts w:cs="Arial" w:hint="cs"/>
          <w:sz w:val="18"/>
          <w:szCs w:val="18"/>
          <w:rtl/>
        </w:rPr>
        <w:t>קא</w:t>
      </w:r>
      <w:r w:rsidRPr="00BA4892">
        <w:rPr>
          <w:rFonts w:cs="Arial"/>
          <w:sz w:val="18"/>
          <w:szCs w:val="18"/>
          <w:rtl/>
        </w:rPr>
        <w:t xml:space="preserve"> </w:t>
      </w:r>
      <w:r w:rsidRPr="00BA4892">
        <w:rPr>
          <w:rFonts w:cs="Arial" w:hint="cs"/>
          <w:sz w:val="18"/>
          <w:szCs w:val="18"/>
          <w:rtl/>
        </w:rPr>
        <w:t>מיירי</w:t>
      </w:r>
      <w:r w:rsidRPr="00BA4892">
        <w:rPr>
          <w:rFonts w:cs="Arial"/>
          <w:sz w:val="18"/>
          <w:szCs w:val="18"/>
          <w:rtl/>
        </w:rPr>
        <w:t xml:space="preserve"> </w:t>
      </w:r>
      <w:r w:rsidRPr="00BA4892">
        <w:rPr>
          <w:rFonts w:cs="Arial" w:hint="cs"/>
          <w:sz w:val="18"/>
          <w:szCs w:val="18"/>
          <w:rtl/>
        </w:rPr>
        <w:t>אלא</w:t>
      </w:r>
      <w:r w:rsidRPr="00BA4892">
        <w:rPr>
          <w:rFonts w:cs="Arial"/>
          <w:sz w:val="18"/>
          <w:szCs w:val="18"/>
          <w:rtl/>
        </w:rPr>
        <w:t xml:space="preserve"> </w:t>
      </w:r>
      <w:r w:rsidRPr="00BA4892">
        <w:rPr>
          <w:rFonts w:cs="Arial" w:hint="cs"/>
          <w:sz w:val="18"/>
          <w:szCs w:val="18"/>
          <w:rtl/>
        </w:rPr>
        <w:t>בדם</w:t>
      </w:r>
      <w:r w:rsidRPr="00BA4892">
        <w:rPr>
          <w:rFonts w:cs="Arial"/>
          <w:sz w:val="18"/>
          <w:szCs w:val="18"/>
          <w:rtl/>
        </w:rPr>
        <w:t xml:space="preserve"> </w:t>
      </w:r>
      <w:r w:rsidRPr="00BA4892">
        <w:rPr>
          <w:rFonts w:cs="Arial" w:hint="cs"/>
          <w:sz w:val="18"/>
          <w:szCs w:val="18"/>
          <w:rtl/>
        </w:rPr>
        <w:t>נדות".</w:t>
      </w:r>
      <w:r w:rsidRPr="00BA4892">
        <w:rPr>
          <w:rFonts w:cs="Arial"/>
          <w:sz w:val="18"/>
          <w:szCs w:val="18"/>
          <w:rtl/>
        </w:rPr>
        <w:br/>
      </w:r>
      <w:r w:rsidRPr="00BA4892">
        <w:rPr>
          <w:rFonts w:cs="Arial" w:hint="cs"/>
          <w:sz w:val="18"/>
          <w:szCs w:val="18"/>
          <w:rtl/>
        </w:rPr>
        <w:t xml:space="preserve">מסביר </w:t>
      </w:r>
      <w:r w:rsidRPr="00BA4892">
        <w:rPr>
          <w:rFonts w:cs="Arial" w:hint="cs"/>
          <w:b/>
          <w:bCs/>
          <w:sz w:val="18"/>
          <w:szCs w:val="18"/>
          <w:rtl/>
        </w:rPr>
        <w:t>הבית יוסף</w:t>
      </w:r>
      <w:r w:rsidRPr="00BA4892">
        <w:rPr>
          <w:rFonts w:cs="Arial" w:hint="cs"/>
          <w:sz w:val="18"/>
          <w:szCs w:val="18"/>
          <w:rtl/>
        </w:rPr>
        <w:t xml:space="preserve"> </w:t>
      </w:r>
      <w:r w:rsidRPr="00BA4892">
        <w:rPr>
          <w:rFonts w:cs="Arial"/>
          <w:sz w:val="18"/>
          <w:szCs w:val="18"/>
          <w:rtl/>
        </w:rPr>
        <w:t>–</w:t>
      </w:r>
      <w:r w:rsidRPr="00BA4892">
        <w:rPr>
          <w:rFonts w:cs="Arial" w:hint="cs"/>
          <w:sz w:val="18"/>
          <w:szCs w:val="18"/>
          <w:rtl/>
        </w:rPr>
        <w:t xml:space="preserve"> כוונת רש"י לומר שאפילו אם רואה מחמת תשמיש כמה פעמים, אם אפשר לתלות ראיותיה בדם בתולים </w:t>
      </w:r>
      <w:r w:rsidRPr="00BA4892">
        <w:rPr>
          <w:rFonts w:cs="Arial"/>
          <w:sz w:val="18"/>
          <w:szCs w:val="18"/>
          <w:rtl/>
        </w:rPr>
        <w:t>–</w:t>
      </w:r>
      <w:r w:rsidRPr="00BA4892">
        <w:rPr>
          <w:rFonts w:cs="Arial" w:hint="cs"/>
          <w:sz w:val="18"/>
          <w:szCs w:val="18"/>
          <w:rtl/>
        </w:rPr>
        <w:t xml:space="preserve"> תולים ולא אוסרים אותה, כפי שלקמן תולים במכה, ויבואר בסוף הסימן עד אימתי תולה בדם בתולים.</w:t>
      </w:r>
    </w:p>
  </w:footnote>
  <w:footnote w:id="84">
    <w:p w:rsidR="005953C5" w:rsidRDefault="005953C5" w:rsidP="00620060">
      <w:pPr>
        <w:pStyle w:val="a3"/>
        <w:rPr>
          <w:rtl/>
        </w:rPr>
      </w:pPr>
      <w:r w:rsidRPr="00A64ECA">
        <w:rPr>
          <w:rStyle w:val="a5"/>
          <w:sz w:val="18"/>
          <w:szCs w:val="18"/>
        </w:rPr>
        <w:footnoteRef/>
      </w:r>
      <w:r w:rsidRPr="00A64ECA">
        <w:rPr>
          <w:sz w:val="18"/>
          <w:szCs w:val="18"/>
          <w:rtl/>
        </w:rPr>
        <w:t xml:space="preserve"> </w:t>
      </w:r>
      <w:r w:rsidRPr="00A64ECA">
        <w:rPr>
          <w:rFonts w:hint="cs"/>
          <w:sz w:val="18"/>
          <w:szCs w:val="18"/>
          <w:rtl/>
        </w:rPr>
        <w:t xml:space="preserve">הסבר </w:t>
      </w:r>
      <w:r w:rsidRPr="00A64ECA">
        <w:rPr>
          <w:sz w:val="18"/>
          <w:szCs w:val="18"/>
          <w:rtl/>
        </w:rPr>
        <w:t>–</w:t>
      </w:r>
      <w:r w:rsidRPr="00A64ECA">
        <w:rPr>
          <w:rFonts w:hint="cs"/>
          <w:sz w:val="18"/>
          <w:szCs w:val="18"/>
          <w:rtl/>
        </w:rPr>
        <w:t xml:space="preserve"> הטעם שמותרת להינשא לבעל השני ואין אומרים שתבדוק עצמה מייד לאחר ג' פעמים שראתה תחת הבעל הראשון, הוא משום שאין כל אברי בני האדם שווים, ואע"פ שראתה אצל אחד ייתכן שאצל אחר לא תראה. </w:t>
      </w:r>
      <w:r>
        <w:rPr>
          <w:rFonts w:hint="cs"/>
          <w:sz w:val="18"/>
          <w:szCs w:val="18"/>
          <w:rtl/>
        </w:rPr>
        <w:br/>
      </w:r>
      <w:r w:rsidRPr="00A64ECA">
        <w:rPr>
          <w:rFonts w:hint="cs"/>
          <w:sz w:val="18"/>
          <w:szCs w:val="18"/>
          <w:rtl/>
        </w:rPr>
        <w:t xml:space="preserve">כמו כן בהיותה תחת הבעל השלישי אין אומרים שהוחזקה לראות ותיבדק, </w:t>
      </w:r>
      <w:r>
        <w:rPr>
          <w:rFonts w:hint="cs"/>
          <w:sz w:val="18"/>
          <w:szCs w:val="18"/>
          <w:rtl/>
        </w:rPr>
        <w:t xml:space="preserve">אלא אומרים </w:t>
      </w:r>
      <w:r w:rsidRPr="00A64ECA">
        <w:rPr>
          <w:rFonts w:hint="cs"/>
          <w:sz w:val="18"/>
          <w:szCs w:val="18"/>
          <w:rtl/>
        </w:rPr>
        <w:t>שמא הביאה היתה בכוח ואילו היתה בפחות כוח לא היתה רואה.</w:t>
      </w:r>
    </w:p>
  </w:footnote>
  <w:footnote w:id="85">
    <w:p w:rsidR="005953C5" w:rsidRDefault="005953C5" w:rsidP="00620060">
      <w:pPr>
        <w:pStyle w:val="a3"/>
        <w:rPr>
          <w:rtl/>
        </w:rPr>
      </w:pPr>
      <w:r w:rsidRPr="00DB1412">
        <w:rPr>
          <w:rStyle w:val="a5"/>
          <w:sz w:val="18"/>
          <w:szCs w:val="18"/>
        </w:rPr>
        <w:footnoteRef/>
      </w:r>
      <w:r w:rsidRPr="00DB1412">
        <w:rPr>
          <w:sz w:val="18"/>
          <w:szCs w:val="18"/>
          <w:rtl/>
        </w:rPr>
        <w:t xml:space="preserve"> </w:t>
      </w:r>
      <w:r w:rsidRPr="00DB1412">
        <w:rPr>
          <w:rFonts w:hint="cs"/>
          <w:b/>
          <w:bCs/>
          <w:sz w:val="18"/>
          <w:szCs w:val="18"/>
          <w:rtl/>
        </w:rPr>
        <w:t>הראב"ד</w:t>
      </w:r>
      <w:r w:rsidRPr="00DB1412">
        <w:rPr>
          <w:rFonts w:hint="cs"/>
          <w:sz w:val="18"/>
          <w:szCs w:val="18"/>
          <w:rtl/>
        </w:rPr>
        <w:t xml:space="preserve"> כתב עוד שיעור אחר של זמן </w:t>
      </w:r>
      <w:r w:rsidRPr="00DB1412">
        <w:rPr>
          <w:sz w:val="18"/>
          <w:szCs w:val="18"/>
          <w:rtl/>
        </w:rPr>
        <w:t>–</w:t>
      </w:r>
      <w:r w:rsidRPr="00DB1412">
        <w:rPr>
          <w:rFonts w:hint="cs"/>
          <w:sz w:val="18"/>
          <w:szCs w:val="18"/>
          <w:rtl/>
        </w:rPr>
        <w:t xml:space="preserve"> "והוא שבדקה עצמה כשיעור ווסת", ומהו שיעור ווסת?</w:t>
      </w:r>
      <w:r w:rsidRPr="00DB1412">
        <w:rPr>
          <w:sz w:val="18"/>
          <w:szCs w:val="18"/>
          <w:rtl/>
        </w:rPr>
        <w:br/>
      </w:r>
      <w:r w:rsidRPr="00DB1412">
        <w:rPr>
          <w:rFonts w:hint="cs"/>
          <w:sz w:val="18"/>
          <w:szCs w:val="18"/>
          <w:rtl/>
        </w:rPr>
        <w:t xml:space="preserve">מבואר בגמרא (נידה, יד:) " </w:t>
      </w:r>
      <w:r w:rsidRPr="00DB1412">
        <w:rPr>
          <w:rFonts w:cs="Arial" w:hint="cs"/>
          <w:sz w:val="18"/>
          <w:szCs w:val="18"/>
          <w:rtl/>
        </w:rPr>
        <w:t>תנו רבנן</w:t>
      </w:r>
      <w:r w:rsidRPr="00DB1412">
        <w:rPr>
          <w:rFonts w:cs="Arial"/>
          <w:sz w:val="18"/>
          <w:szCs w:val="18"/>
          <w:rtl/>
        </w:rPr>
        <w:t xml:space="preserve">: </w:t>
      </w:r>
      <w:r w:rsidRPr="00DB1412">
        <w:rPr>
          <w:rFonts w:cs="Arial" w:hint="cs"/>
          <w:sz w:val="18"/>
          <w:szCs w:val="18"/>
          <w:rtl/>
        </w:rPr>
        <w:t>איזהו</w:t>
      </w:r>
      <w:r w:rsidRPr="00DB1412">
        <w:rPr>
          <w:rFonts w:cs="Arial"/>
          <w:sz w:val="18"/>
          <w:szCs w:val="18"/>
          <w:rtl/>
        </w:rPr>
        <w:t xml:space="preserve"> </w:t>
      </w:r>
      <w:r w:rsidRPr="00DB1412">
        <w:rPr>
          <w:rFonts w:cs="Arial" w:hint="cs"/>
          <w:sz w:val="18"/>
          <w:szCs w:val="18"/>
          <w:rtl/>
        </w:rPr>
        <w:t>שיעור</w:t>
      </w:r>
      <w:r w:rsidRPr="00DB1412">
        <w:rPr>
          <w:rFonts w:cs="Arial"/>
          <w:sz w:val="18"/>
          <w:szCs w:val="18"/>
          <w:rtl/>
        </w:rPr>
        <w:t xml:space="preserve"> </w:t>
      </w:r>
      <w:r w:rsidRPr="00DB1412">
        <w:rPr>
          <w:rFonts w:cs="Arial" w:hint="cs"/>
          <w:sz w:val="18"/>
          <w:szCs w:val="18"/>
          <w:rtl/>
        </w:rPr>
        <w:t>וסת</w:t>
      </w:r>
      <w:r w:rsidRPr="00DB1412">
        <w:rPr>
          <w:rFonts w:cs="Arial"/>
          <w:sz w:val="18"/>
          <w:szCs w:val="18"/>
          <w:rtl/>
        </w:rPr>
        <w:t xml:space="preserve">? </w:t>
      </w:r>
      <w:r w:rsidRPr="00DB1412">
        <w:rPr>
          <w:rFonts w:cs="Arial" w:hint="cs"/>
          <w:sz w:val="18"/>
          <w:szCs w:val="18"/>
          <w:rtl/>
        </w:rPr>
        <w:t>משל</w:t>
      </w:r>
      <w:r w:rsidRPr="00DB1412">
        <w:rPr>
          <w:rFonts w:cs="Arial"/>
          <w:sz w:val="18"/>
          <w:szCs w:val="18"/>
          <w:rtl/>
        </w:rPr>
        <w:t xml:space="preserve"> </w:t>
      </w:r>
      <w:r w:rsidRPr="00DB1412">
        <w:rPr>
          <w:rFonts w:cs="Arial" w:hint="cs"/>
          <w:sz w:val="18"/>
          <w:szCs w:val="18"/>
          <w:rtl/>
        </w:rPr>
        <w:t>לשמש</w:t>
      </w:r>
      <w:r w:rsidRPr="00DB1412">
        <w:rPr>
          <w:rFonts w:cs="Arial"/>
          <w:sz w:val="18"/>
          <w:szCs w:val="18"/>
          <w:rtl/>
        </w:rPr>
        <w:t xml:space="preserve"> </w:t>
      </w:r>
      <w:r w:rsidRPr="00DB1412">
        <w:rPr>
          <w:rFonts w:cs="Arial" w:hint="cs"/>
          <w:sz w:val="18"/>
          <w:szCs w:val="18"/>
          <w:rtl/>
        </w:rPr>
        <w:t>ועד</w:t>
      </w:r>
      <w:r w:rsidRPr="00DB1412">
        <w:rPr>
          <w:rFonts w:cs="Arial"/>
          <w:sz w:val="18"/>
          <w:szCs w:val="18"/>
          <w:rtl/>
        </w:rPr>
        <w:t xml:space="preserve"> </w:t>
      </w:r>
      <w:r w:rsidRPr="00DB1412">
        <w:rPr>
          <w:rFonts w:cs="Arial" w:hint="cs"/>
          <w:sz w:val="18"/>
          <w:szCs w:val="18"/>
          <w:rtl/>
        </w:rPr>
        <w:t>שעומדין</w:t>
      </w:r>
      <w:r w:rsidRPr="00DB1412">
        <w:rPr>
          <w:rFonts w:cs="Arial"/>
          <w:sz w:val="18"/>
          <w:szCs w:val="18"/>
          <w:rtl/>
        </w:rPr>
        <w:t xml:space="preserve"> </w:t>
      </w:r>
      <w:r w:rsidRPr="00DB1412">
        <w:rPr>
          <w:rFonts w:cs="Arial" w:hint="cs"/>
          <w:sz w:val="18"/>
          <w:szCs w:val="18"/>
          <w:rtl/>
        </w:rPr>
        <w:t>בצד</w:t>
      </w:r>
      <w:r w:rsidRPr="00DB1412">
        <w:rPr>
          <w:rFonts w:cs="Arial"/>
          <w:sz w:val="18"/>
          <w:szCs w:val="18"/>
          <w:rtl/>
        </w:rPr>
        <w:t xml:space="preserve"> </w:t>
      </w:r>
      <w:r w:rsidRPr="00DB1412">
        <w:rPr>
          <w:rFonts w:cs="Arial" w:hint="cs"/>
          <w:sz w:val="18"/>
          <w:szCs w:val="18"/>
          <w:rtl/>
        </w:rPr>
        <w:t>המשקוף</w:t>
      </w:r>
      <w:r w:rsidRPr="00DB1412">
        <w:rPr>
          <w:rFonts w:cs="Arial"/>
          <w:sz w:val="18"/>
          <w:szCs w:val="18"/>
          <w:rtl/>
        </w:rPr>
        <w:t xml:space="preserve"> </w:t>
      </w:r>
      <w:r w:rsidRPr="00DB1412">
        <w:rPr>
          <w:rFonts w:cs="Arial" w:hint="cs"/>
          <w:sz w:val="18"/>
          <w:szCs w:val="18"/>
          <w:rtl/>
        </w:rPr>
        <w:t>ביציאת</w:t>
      </w:r>
      <w:r w:rsidRPr="00DB1412">
        <w:rPr>
          <w:rFonts w:cs="Arial"/>
          <w:sz w:val="18"/>
          <w:szCs w:val="18"/>
          <w:rtl/>
        </w:rPr>
        <w:t xml:space="preserve"> </w:t>
      </w:r>
      <w:r w:rsidRPr="00DB1412">
        <w:rPr>
          <w:rFonts w:cs="Arial" w:hint="cs"/>
          <w:sz w:val="18"/>
          <w:szCs w:val="18"/>
          <w:rtl/>
        </w:rPr>
        <w:t>שמש</w:t>
      </w:r>
      <w:r w:rsidRPr="00DB1412">
        <w:rPr>
          <w:rFonts w:cs="Arial"/>
          <w:sz w:val="18"/>
          <w:szCs w:val="18"/>
          <w:rtl/>
        </w:rPr>
        <w:t xml:space="preserve"> </w:t>
      </w:r>
      <w:r w:rsidRPr="00DB1412">
        <w:rPr>
          <w:rFonts w:cs="Arial" w:hint="cs"/>
          <w:sz w:val="18"/>
          <w:szCs w:val="18"/>
          <w:rtl/>
        </w:rPr>
        <w:t>נכנס</w:t>
      </w:r>
      <w:r w:rsidRPr="00DB1412">
        <w:rPr>
          <w:rFonts w:cs="Arial"/>
          <w:sz w:val="18"/>
          <w:szCs w:val="18"/>
          <w:rtl/>
        </w:rPr>
        <w:t xml:space="preserve"> </w:t>
      </w:r>
      <w:r w:rsidRPr="00DB1412">
        <w:rPr>
          <w:rFonts w:cs="Arial" w:hint="cs"/>
          <w:sz w:val="18"/>
          <w:szCs w:val="18"/>
          <w:rtl/>
        </w:rPr>
        <w:t>עד</w:t>
      </w:r>
      <w:r w:rsidRPr="00DB1412">
        <w:rPr>
          <w:rFonts w:cs="Arial"/>
          <w:sz w:val="18"/>
          <w:szCs w:val="18"/>
          <w:rtl/>
        </w:rPr>
        <w:t xml:space="preserve">, </w:t>
      </w:r>
      <w:r w:rsidRPr="00DB1412">
        <w:rPr>
          <w:rFonts w:cs="Arial" w:hint="cs"/>
          <w:sz w:val="18"/>
          <w:szCs w:val="18"/>
          <w:rtl/>
        </w:rPr>
        <w:t>הוי</w:t>
      </w:r>
      <w:r w:rsidRPr="00DB1412">
        <w:rPr>
          <w:rFonts w:cs="Arial"/>
          <w:sz w:val="18"/>
          <w:szCs w:val="18"/>
          <w:rtl/>
        </w:rPr>
        <w:t xml:space="preserve">: </w:t>
      </w:r>
      <w:r w:rsidRPr="00DB1412">
        <w:rPr>
          <w:rFonts w:cs="Arial" w:hint="cs"/>
          <w:sz w:val="18"/>
          <w:szCs w:val="18"/>
          <w:rtl/>
        </w:rPr>
        <w:t>וסת</w:t>
      </w:r>
      <w:r w:rsidRPr="00DB1412">
        <w:rPr>
          <w:rFonts w:cs="Arial"/>
          <w:sz w:val="18"/>
          <w:szCs w:val="18"/>
          <w:rtl/>
        </w:rPr>
        <w:t xml:space="preserve"> </w:t>
      </w:r>
      <w:r w:rsidRPr="00DB1412">
        <w:rPr>
          <w:rFonts w:cs="Arial" w:hint="cs"/>
          <w:sz w:val="18"/>
          <w:szCs w:val="18"/>
          <w:rtl/>
        </w:rPr>
        <w:t>שאמרו</w:t>
      </w:r>
      <w:r w:rsidRPr="00DB1412">
        <w:rPr>
          <w:rFonts w:cs="Arial"/>
          <w:sz w:val="18"/>
          <w:szCs w:val="18"/>
          <w:rtl/>
        </w:rPr>
        <w:t xml:space="preserve"> - </w:t>
      </w:r>
      <w:r w:rsidRPr="00DB1412">
        <w:rPr>
          <w:rFonts w:cs="Arial" w:hint="cs"/>
          <w:sz w:val="18"/>
          <w:szCs w:val="18"/>
          <w:rtl/>
        </w:rPr>
        <w:t>לקינוח</w:t>
      </w:r>
      <w:r w:rsidRPr="00DB1412">
        <w:rPr>
          <w:rFonts w:cs="Arial"/>
          <w:sz w:val="18"/>
          <w:szCs w:val="18"/>
          <w:rtl/>
        </w:rPr>
        <w:t xml:space="preserve">, </w:t>
      </w:r>
      <w:r w:rsidRPr="00DB1412">
        <w:rPr>
          <w:rFonts w:cs="Arial" w:hint="cs"/>
          <w:sz w:val="18"/>
          <w:szCs w:val="18"/>
          <w:rtl/>
        </w:rPr>
        <w:t>אבל</w:t>
      </w:r>
      <w:r w:rsidRPr="00DB1412">
        <w:rPr>
          <w:rFonts w:cs="Arial"/>
          <w:sz w:val="18"/>
          <w:szCs w:val="18"/>
          <w:rtl/>
        </w:rPr>
        <w:t xml:space="preserve"> </w:t>
      </w:r>
      <w:r w:rsidRPr="00DB1412">
        <w:rPr>
          <w:rFonts w:cs="Arial" w:hint="cs"/>
          <w:sz w:val="18"/>
          <w:szCs w:val="18"/>
          <w:rtl/>
        </w:rPr>
        <w:t>לא</w:t>
      </w:r>
      <w:r w:rsidRPr="00DB1412">
        <w:rPr>
          <w:rFonts w:cs="Arial"/>
          <w:sz w:val="18"/>
          <w:szCs w:val="18"/>
          <w:rtl/>
        </w:rPr>
        <w:t xml:space="preserve"> </w:t>
      </w:r>
      <w:r w:rsidRPr="00DB1412">
        <w:rPr>
          <w:rFonts w:cs="Arial" w:hint="cs"/>
          <w:sz w:val="18"/>
          <w:szCs w:val="18"/>
          <w:rtl/>
        </w:rPr>
        <w:t>לבדיקה".</w:t>
      </w:r>
      <w:r>
        <w:rPr>
          <w:rFonts w:cs="Arial" w:hint="cs"/>
          <w:sz w:val="18"/>
          <w:szCs w:val="18"/>
          <w:rtl/>
        </w:rPr>
        <w:t xml:space="preserve"> </w:t>
      </w:r>
      <w:r>
        <w:rPr>
          <w:rFonts w:cs="Arial"/>
          <w:sz w:val="18"/>
          <w:szCs w:val="18"/>
          <w:rtl/>
        </w:rPr>
        <w:br/>
      </w:r>
      <w:r>
        <w:rPr>
          <w:rFonts w:cs="Arial" w:hint="cs"/>
          <w:sz w:val="18"/>
          <w:szCs w:val="18"/>
          <w:rtl/>
        </w:rPr>
        <w:t>ומשמע מדבריו שהשיעור כאן והשיעור שנכתב בפנים, הם היינו הך.</w:t>
      </w:r>
    </w:p>
  </w:footnote>
  <w:footnote w:id="86">
    <w:p w:rsidR="005953C5" w:rsidRDefault="005953C5" w:rsidP="00620060">
      <w:pPr>
        <w:pStyle w:val="a3"/>
      </w:pPr>
      <w:r>
        <w:rPr>
          <w:rFonts w:hint="cs"/>
          <w:sz w:val="18"/>
          <w:szCs w:val="18"/>
          <w:vertAlign w:val="superscript"/>
          <w:rtl/>
        </w:rPr>
        <w:t xml:space="preserve">4 </w:t>
      </w:r>
      <w:r w:rsidRPr="003371A2">
        <w:rPr>
          <w:rFonts w:hint="cs"/>
          <w:sz w:val="18"/>
          <w:szCs w:val="18"/>
          <w:rtl/>
        </w:rPr>
        <w:t xml:space="preserve">אע"פ </w:t>
      </w:r>
      <w:r w:rsidRPr="003371A2">
        <w:rPr>
          <w:rFonts w:hint="cs"/>
          <w:b/>
          <w:bCs/>
          <w:sz w:val="18"/>
          <w:szCs w:val="18"/>
          <w:rtl/>
        </w:rPr>
        <w:t>שהב"י</w:t>
      </w:r>
      <w:r w:rsidRPr="003371A2">
        <w:rPr>
          <w:rFonts w:hint="cs"/>
          <w:sz w:val="18"/>
          <w:szCs w:val="18"/>
          <w:rtl/>
        </w:rPr>
        <w:t xml:space="preserve"> תמה על פסק זה, מכל מקום ניסה ליישבו ע"פ דברי </w:t>
      </w:r>
      <w:r w:rsidRPr="003371A2">
        <w:rPr>
          <w:rFonts w:hint="cs"/>
          <w:b/>
          <w:bCs/>
          <w:sz w:val="18"/>
          <w:szCs w:val="18"/>
          <w:rtl/>
        </w:rPr>
        <w:t>הרמב"ם</w:t>
      </w:r>
      <w:r w:rsidRPr="003371A2">
        <w:rPr>
          <w:rFonts w:hint="cs"/>
          <w:sz w:val="18"/>
          <w:szCs w:val="18"/>
          <w:rtl/>
        </w:rPr>
        <w:t xml:space="preserve"> בהלכות שגגות, זו לשונו: "</w:t>
      </w:r>
      <w:r w:rsidRPr="003371A2">
        <w:rPr>
          <w:rFonts w:cs="Arial" w:hint="cs"/>
          <w:sz w:val="18"/>
          <w:szCs w:val="18"/>
          <w:rtl/>
        </w:rPr>
        <w:t>אם</w:t>
      </w:r>
      <w:r w:rsidRPr="003371A2">
        <w:rPr>
          <w:rFonts w:cs="Arial"/>
          <w:sz w:val="18"/>
          <w:szCs w:val="18"/>
          <w:rtl/>
        </w:rPr>
        <w:t xml:space="preserve"> </w:t>
      </w:r>
      <w:r w:rsidRPr="003371A2">
        <w:rPr>
          <w:rFonts w:cs="Arial" w:hint="cs"/>
          <w:sz w:val="18"/>
          <w:szCs w:val="18"/>
          <w:rtl/>
        </w:rPr>
        <w:t>עבר</w:t>
      </w:r>
      <w:r w:rsidRPr="003371A2">
        <w:rPr>
          <w:rFonts w:cs="Arial"/>
          <w:sz w:val="18"/>
          <w:szCs w:val="18"/>
          <w:rtl/>
        </w:rPr>
        <w:t xml:space="preserve"> </w:t>
      </w:r>
      <w:r w:rsidRPr="003371A2">
        <w:rPr>
          <w:rFonts w:cs="Arial" w:hint="cs"/>
          <w:sz w:val="18"/>
          <w:szCs w:val="18"/>
          <w:rtl/>
        </w:rPr>
        <w:t>ובא</w:t>
      </w:r>
      <w:r w:rsidRPr="003371A2">
        <w:rPr>
          <w:rFonts w:cs="Arial"/>
          <w:sz w:val="18"/>
          <w:szCs w:val="18"/>
          <w:rtl/>
        </w:rPr>
        <w:t xml:space="preserve"> </w:t>
      </w:r>
      <w:r w:rsidRPr="003371A2">
        <w:rPr>
          <w:rFonts w:cs="Arial" w:hint="cs"/>
          <w:sz w:val="18"/>
          <w:szCs w:val="18"/>
          <w:rtl/>
        </w:rPr>
        <w:t>עליה</w:t>
      </w:r>
      <w:r w:rsidRPr="003371A2">
        <w:rPr>
          <w:rFonts w:cs="Arial"/>
          <w:sz w:val="18"/>
          <w:szCs w:val="18"/>
          <w:rtl/>
        </w:rPr>
        <w:t xml:space="preserve"> </w:t>
      </w:r>
      <w:r w:rsidRPr="003371A2">
        <w:rPr>
          <w:rFonts w:cs="Arial" w:hint="cs"/>
          <w:sz w:val="18"/>
          <w:szCs w:val="18"/>
          <w:rtl/>
        </w:rPr>
        <w:t>סמוך</w:t>
      </w:r>
      <w:r w:rsidRPr="003371A2">
        <w:rPr>
          <w:rFonts w:cs="Arial"/>
          <w:sz w:val="18"/>
          <w:szCs w:val="18"/>
          <w:rtl/>
        </w:rPr>
        <w:t xml:space="preserve"> </w:t>
      </w:r>
      <w:r w:rsidRPr="003371A2">
        <w:rPr>
          <w:rFonts w:cs="Arial" w:hint="cs"/>
          <w:sz w:val="18"/>
          <w:szCs w:val="18"/>
          <w:rtl/>
        </w:rPr>
        <w:t>לווסת</w:t>
      </w:r>
      <w:r w:rsidRPr="003371A2">
        <w:rPr>
          <w:rFonts w:cs="Arial"/>
          <w:sz w:val="18"/>
          <w:szCs w:val="18"/>
          <w:rtl/>
        </w:rPr>
        <w:t xml:space="preserve"> </w:t>
      </w:r>
      <w:r w:rsidRPr="003371A2">
        <w:rPr>
          <w:rFonts w:cs="Arial" w:hint="cs"/>
          <w:sz w:val="18"/>
          <w:szCs w:val="18"/>
          <w:rtl/>
        </w:rPr>
        <w:t>ודימה</w:t>
      </w:r>
      <w:r w:rsidRPr="003371A2">
        <w:rPr>
          <w:rFonts w:cs="Arial"/>
          <w:sz w:val="18"/>
          <w:szCs w:val="18"/>
          <w:rtl/>
        </w:rPr>
        <w:t xml:space="preserve"> </w:t>
      </w:r>
      <w:r w:rsidRPr="003371A2">
        <w:rPr>
          <w:rFonts w:cs="Arial" w:hint="cs"/>
          <w:sz w:val="18"/>
          <w:szCs w:val="18"/>
          <w:rtl/>
        </w:rPr>
        <w:t>שיבעול</w:t>
      </w:r>
      <w:r w:rsidRPr="003371A2">
        <w:rPr>
          <w:rFonts w:cs="Arial"/>
          <w:sz w:val="18"/>
          <w:szCs w:val="18"/>
          <w:rtl/>
        </w:rPr>
        <w:t xml:space="preserve"> </w:t>
      </w:r>
      <w:r w:rsidRPr="003371A2">
        <w:rPr>
          <w:rFonts w:cs="Arial" w:hint="cs"/>
          <w:sz w:val="18"/>
          <w:szCs w:val="18"/>
          <w:rtl/>
        </w:rPr>
        <w:t>ויפרוש</w:t>
      </w:r>
      <w:r w:rsidRPr="003371A2">
        <w:rPr>
          <w:rFonts w:cs="Arial"/>
          <w:sz w:val="18"/>
          <w:szCs w:val="18"/>
          <w:rtl/>
        </w:rPr>
        <w:t xml:space="preserve"> </w:t>
      </w:r>
      <w:r w:rsidRPr="003371A2">
        <w:rPr>
          <w:rFonts w:cs="Arial" w:hint="cs"/>
          <w:sz w:val="18"/>
          <w:szCs w:val="18"/>
          <w:rtl/>
        </w:rPr>
        <w:t>קודם</w:t>
      </w:r>
      <w:r w:rsidRPr="003371A2">
        <w:rPr>
          <w:rFonts w:cs="Arial"/>
          <w:sz w:val="18"/>
          <w:szCs w:val="18"/>
          <w:rtl/>
        </w:rPr>
        <w:t xml:space="preserve"> </w:t>
      </w:r>
      <w:r w:rsidRPr="003371A2">
        <w:rPr>
          <w:rFonts w:cs="Arial" w:hint="cs"/>
          <w:sz w:val="18"/>
          <w:szCs w:val="18"/>
          <w:rtl/>
        </w:rPr>
        <w:t>שתראה</w:t>
      </w:r>
      <w:r w:rsidRPr="003371A2">
        <w:rPr>
          <w:rFonts w:cs="Arial"/>
          <w:sz w:val="18"/>
          <w:szCs w:val="18"/>
          <w:rtl/>
        </w:rPr>
        <w:t xml:space="preserve"> </w:t>
      </w:r>
      <w:r w:rsidRPr="003371A2">
        <w:rPr>
          <w:rFonts w:cs="Arial" w:hint="cs"/>
          <w:sz w:val="18"/>
          <w:szCs w:val="18"/>
          <w:rtl/>
        </w:rPr>
        <w:t>דם</w:t>
      </w:r>
      <w:r w:rsidRPr="003371A2">
        <w:rPr>
          <w:rFonts w:cs="Arial"/>
          <w:sz w:val="18"/>
          <w:szCs w:val="18"/>
          <w:rtl/>
        </w:rPr>
        <w:t xml:space="preserve"> </w:t>
      </w:r>
      <w:r w:rsidRPr="003371A2">
        <w:rPr>
          <w:rFonts w:cs="Arial" w:hint="cs"/>
          <w:sz w:val="18"/>
          <w:szCs w:val="18"/>
          <w:vertAlign w:val="superscript"/>
          <w:rtl/>
        </w:rPr>
        <w:t>1</w:t>
      </w:r>
      <w:r w:rsidRPr="003371A2">
        <w:rPr>
          <w:rFonts w:cs="Arial" w:hint="cs"/>
          <w:sz w:val="18"/>
          <w:szCs w:val="18"/>
          <w:rtl/>
        </w:rPr>
        <w:t>וראתה</w:t>
      </w:r>
      <w:r w:rsidRPr="003371A2">
        <w:rPr>
          <w:rFonts w:cs="Arial"/>
          <w:sz w:val="18"/>
          <w:szCs w:val="18"/>
          <w:rtl/>
        </w:rPr>
        <w:t xml:space="preserve"> </w:t>
      </w:r>
      <w:r w:rsidRPr="003371A2">
        <w:rPr>
          <w:rFonts w:cs="Arial" w:hint="cs"/>
          <w:sz w:val="18"/>
          <w:szCs w:val="18"/>
          <w:rtl/>
        </w:rPr>
        <w:t>בשעת</w:t>
      </w:r>
      <w:r w:rsidRPr="003371A2">
        <w:rPr>
          <w:rFonts w:cs="Arial"/>
          <w:sz w:val="18"/>
          <w:szCs w:val="18"/>
          <w:rtl/>
        </w:rPr>
        <w:t xml:space="preserve"> </w:t>
      </w:r>
      <w:r w:rsidRPr="003371A2">
        <w:rPr>
          <w:rFonts w:cs="Arial" w:hint="cs"/>
          <w:sz w:val="18"/>
          <w:szCs w:val="18"/>
          <w:rtl/>
        </w:rPr>
        <w:t>התשמיש</w:t>
      </w:r>
      <w:r w:rsidRPr="003371A2">
        <w:rPr>
          <w:rFonts w:cs="Arial"/>
          <w:sz w:val="18"/>
          <w:szCs w:val="18"/>
          <w:rtl/>
        </w:rPr>
        <w:t xml:space="preserve">, </w:t>
      </w:r>
      <w:r w:rsidRPr="003371A2">
        <w:rPr>
          <w:rFonts w:cs="Arial" w:hint="cs"/>
          <w:sz w:val="18"/>
          <w:szCs w:val="18"/>
          <w:rtl/>
        </w:rPr>
        <w:t>חייבין</w:t>
      </w:r>
      <w:r w:rsidRPr="003371A2">
        <w:rPr>
          <w:rFonts w:cs="Arial"/>
          <w:sz w:val="18"/>
          <w:szCs w:val="18"/>
          <w:rtl/>
        </w:rPr>
        <w:t xml:space="preserve"> </w:t>
      </w:r>
      <w:r w:rsidRPr="003371A2">
        <w:rPr>
          <w:rFonts w:cs="Arial" w:hint="cs"/>
          <w:sz w:val="18"/>
          <w:szCs w:val="18"/>
          <w:rtl/>
        </w:rPr>
        <w:t>בקרבן</w:t>
      </w:r>
      <w:r w:rsidRPr="003371A2">
        <w:rPr>
          <w:rFonts w:cs="Arial"/>
          <w:sz w:val="18"/>
          <w:szCs w:val="18"/>
          <w:rtl/>
        </w:rPr>
        <w:t xml:space="preserve">, </w:t>
      </w:r>
      <w:r w:rsidRPr="003371A2">
        <w:rPr>
          <w:rFonts w:cs="Arial" w:hint="cs"/>
          <w:sz w:val="18"/>
          <w:szCs w:val="18"/>
          <w:rtl/>
        </w:rPr>
        <w:t>שזו</w:t>
      </w:r>
      <w:r w:rsidRPr="003371A2">
        <w:rPr>
          <w:rFonts w:cs="Arial"/>
          <w:sz w:val="18"/>
          <w:szCs w:val="18"/>
          <w:rtl/>
        </w:rPr>
        <w:t xml:space="preserve"> </w:t>
      </w:r>
      <w:r w:rsidRPr="003371A2">
        <w:rPr>
          <w:rFonts w:cs="Arial" w:hint="cs"/>
          <w:sz w:val="18"/>
          <w:szCs w:val="18"/>
          <w:rtl/>
        </w:rPr>
        <w:t>היא</w:t>
      </w:r>
      <w:r w:rsidRPr="003371A2">
        <w:rPr>
          <w:rFonts w:cs="Arial"/>
          <w:sz w:val="18"/>
          <w:szCs w:val="18"/>
          <w:rtl/>
        </w:rPr>
        <w:t xml:space="preserve"> </w:t>
      </w:r>
      <w:r w:rsidRPr="003371A2">
        <w:rPr>
          <w:rFonts w:cs="Arial" w:hint="cs"/>
          <w:sz w:val="18"/>
          <w:szCs w:val="18"/>
          <w:rtl/>
        </w:rPr>
        <w:t>שגגה</w:t>
      </w:r>
      <w:r w:rsidRPr="003371A2">
        <w:rPr>
          <w:rFonts w:cs="Arial"/>
          <w:sz w:val="18"/>
          <w:szCs w:val="18"/>
          <w:rtl/>
        </w:rPr>
        <w:t xml:space="preserve">, </w:t>
      </w:r>
      <w:r w:rsidRPr="003371A2">
        <w:rPr>
          <w:rFonts w:cs="Arial" w:hint="cs"/>
          <w:sz w:val="18"/>
          <w:szCs w:val="18"/>
          <w:rtl/>
        </w:rPr>
        <w:t>לפיכך</w:t>
      </w:r>
      <w:r w:rsidRPr="003371A2">
        <w:rPr>
          <w:rFonts w:cs="Arial"/>
          <w:sz w:val="18"/>
          <w:szCs w:val="18"/>
          <w:rtl/>
        </w:rPr>
        <w:t xml:space="preserve"> </w:t>
      </w:r>
      <w:r w:rsidRPr="003371A2">
        <w:rPr>
          <w:rFonts w:cs="Arial" w:hint="cs"/>
          <w:sz w:val="18"/>
          <w:szCs w:val="18"/>
          <w:rtl/>
        </w:rPr>
        <w:t>אם</w:t>
      </w:r>
      <w:r w:rsidRPr="003371A2">
        <w:rPr>
          <w:rFonts w:cs="Arial"/>
          <w:sz w:val="18"/>
          <w:szCs w:val="18"/>
          <w:rtl/>
        </w:rPr>
        <w:t xml:space="preserve"> </w:t>
      </w:r>
      <w:r w:rsidRPr="003371A2">
        <w:rPr>
          <w:rFonts w:cs="Arial" w:hint="cs"/>
          <w:sz w:val="18"/>
          <w:szCs w:val="18"/>
          <w:rtl/>
        </w:rPr>
        <w:t>נמצא</w:t>
      </w:r>
      <w:r w:rsidRPr="003371A2">
        <w:rPr>
          <w:rFonts w:cs="Arial"/>
          <w:sz w:val="18"/>
          <w:szCs w:val="18"/>
          <w:rtl/>
        </w:rPr>
        <w:t xml:space="preserve"> </w:t>
      </w:r>
      <w:r w:rsidRPr="003371A2">
        <w:rPr>
          <w:rFonts w:cs="Arial" w:hint="cs"/>
          <w:sz w:val="18"/>
          <w:szCs w:val="18"/>
          <w:rtl/>
        </w:rPr>
        <w:t>דם</w:t>
      </w:r>
      <w:r w:rsidRPr="003371A2">
        <w:rPr>
          <w:rFonts w:cs="Arial"/>
          <w:sz w:val="18"/>
          <w:szCs w:val="18"/>
          <w:rtl/>
        </w:rPr>
        <w:t xml:space="preserve"> </w:t>
      </w:r>
      <w:r w:rsidRPr="003371A2">
        <w:rPr>
          <w:rFonts w:cs="Arial" w:hint="cs"/>
          <w:sz w:val="18"/>
          <w:szCs w:val="18"/>
          <w:rtl/>
        </w:rPr>
        <w:t>על</w:t>
      </w:r>
      <w:r w:rsidRPr="003371A2">
        <w:rPr>
          <w:rFonts w:cs="Arial"/>
          <w:sz w:val="18"/>
          <w:szCs w:val="18"/>
          <w:rtl/>
        </w:rPr>
        <w:t xml:space="preserve"> </w:t>
      </w:r>
      <w:r w:rsidRPr="003371A2">
        <w:rPr>
          <w:rFonts w:cs="Arial" w:hint="cs"/>
          <w:sz w:val="18"/>
          <w:szCs w:val="18"/>
          <w:rtl/>
        </w:rPr>
        <w:t>עד</w:t>
      </w:r>
      <w:r w:rsidRPr="003371A2">
        <w:rPr>
          <w:rFonts w:cs="Arial"/>
          <w:sz w:val="18"/>
          <w:szCs w:val="18"/>
          <w:rtl/>
        </w:rPr>
        <w:t xml:space="preserve"> </w:t>
      </w:r>
      <w:r w:rsidRPr="003371A2">
        <w:rPr>
          <w:rFonts w:cs="Arial" w:hint="cs"/>
          <w:sz w:val="18"/>
          <w:szCs w:val="18"/>
          <w:rtl/>
        </w:rPr>
        <w:t>שלו</w:t>
      </w:r>
      <w:r w:rsidRPr="003371A2">
        <w:rPr>
          <w:rFonts w:cs="Arial"/>
          <w:sz w:val="18"/>
          <w:szCs w:val="18"/>
          <w:rtl/>
        </w:rPr>
        <w:t xml:space="preserve"> </w:t>
      </w:r>
      <w:r w:rsidRPr="003371A2">
        <w:rPr>
          <w:rFonts w:cs="Arial" w:hint="cs"/>
          <w:sz w:val="18"/>
          <w:szCs w:val="18"/>
          <w:rtl/>
        </w:rPr>
        <w:t>שניהם</w:t>
      </w:r>
      <w:r w:rsidRPr="003371A2">
        <w:rPr>
          <w:rFonts w:cs="Arial"/>
          <w:sz w:val="18"/>
          <w:szCs w:val="18"/>
          <w:rtl/>
        </w:rPr>
        <w:t xml:space="preserve"> </w:t>
      </w:r>
      <w:r w:rsidRPr="003371A2">
        <w:rPr>
          <w:rFonts w:cs="Arial" w:hint="cs"/>
          <w:sz w:val="18"/>
          <w:szCs w:val="18"/>
          <w:rtl/>
        </w:rPr>
        <w:t>טמאים</w:t>
      </w:r>
      <w:r w:rsidRPr="003371A2">
        <w:rPr>
          <w:rFonts w:cs="Arial"/>
          <w:sz w:val="18"/>
          <w:szCs w:val="18"/>
          <w:rtl/>
        </w:rPr>
        <w:t xml:space="preserve"> </w:t>
      </w:r>
      <w:r w:rsidRPr="003371A2">
        <w:rPr>
          <w:rFonts w:cs="Arial" w:hint="cs"/>
          <w:sz w:val="18"/>
          <w:szCs w:val="18"/>
          <w:rtl/>
        </w:rPr>
        <w:t>וחייבין</w:t>
      </w:r>
      <w:r w:rsidRPr="003371A2">
        <w:rPr>
          <w:rFonts w:cs="Arial"/>
          <w:sz w:val="18"/>
          <w:szCs w:val="18"/>
          <w:rtl/>
        </w:rPr>
        <w:t xml:space="preserve"> </w:t>
      </w:r>
      <w:r w:rsidRPr="003371A2">
        <w:rPr>
          <w:rFonts w:cs="Arial" w:hint="cs"/>
          <w:sz w:val="18"/>
          <w:szCs w:val="18"/>
          <w:rtl/>
        </w:rPr>
        <w:t>בקרבן</w:t>
      </w:r>
      <w:r w:rsidRPr="003371A2">
        <w:rPr>
          <w:rFonts w:cs="Arial"/>
          <w:sz w:val="18"/>
          <w:szCs w:val="18"/>
          <w:rtl/>
        </w:rPr>
        <w:t xml:space="preserve">, </w:t>
      </w:r>
      <w:r w:rsidRPr="003371A2">
        <w:rPr>
          <w:rFonts w:cs="Arial" w:hint="cs"/>
          <w:sz w:val="18"/>
          <w:szCs w:val="18"/>
          <w:rtl/>
        </w:rPr>
        <w:t>נמצא</w:t>
      </w:r>
      <w:r w:rsidRPr="003371A2">
        <w:rPr>
          <w:rFonts w:cs="Arial"/>
          <w:sz w:val="18"/>
          <w:szCs w:val="18"/>
          <w:rtl/>
        </w:rPr>
        <w:t xml:space="preserve"> </w:t>
      </w:r>
      <w:r w:rsidRPr="003371A2">
        <w:rPr>
          <w:rFonts w:cs="Arial" w:hint="cs"/>
          <w:sz w:val="18"/>
          <w:szCs w:val="18"/>
          <w:rtl/>
        </w:rPr>
        <w:t>על</w:t>
      </w:r>
      <w:r w:rsidRPr="003371A2">
        <w:rPr>
          <w:rFonts w:cs="Arial"/>
          <w:sz w:val="18"/>
          <w:szCs w:val="18"/>
          <w:rtl/>
        </w:rPr>
        <w:t xml:space="preserve"> </w:t>
      </w:r>
      <w:r w:rsidRPr="003371A2">
        <w:rPr>
          <w:rFonts w:cs="Arial" w:hint="cs"/>
          <w:sz w:val="18"/>
          <w:szCs w:val="18"/>
          <w:rtl/>
        </w:rPr>
        <w:t>עד</w:t>
      </w:r>
      <w:r w:rsidRPr="003371A2">
        <w:rPr>
          <w:rFonts w:cs="Arial"/>
          <w:sz w:val="18"/>
          <w:szCs w:val="18"/>
          <w:rtl/>
        </w:rPr>
        <w:t xml:space="preserve"> </w:t>
      </w:r>
      <w:r w:rsidRPr="003371A2">
        <w:rPr>
          <w:rFonts w:cs="Arial" w:hint="cs"/>
          <w:sz w:val="18"/>
          <w:szCs w:val="18"/>
          <w:rtl/>
        </w:rPr>
        <w:t>שלה</w:t>
      </w:r>
      <w:r w:rsidRPr="003371A2">
        <w:rPr>
          <w:rFonts w:cs="Arial"/>
          <w:sz w:val="18"/>
          <w:szCs w:val="18"/>
          <w:rtl/>
        </w:rPr>
        <w:t xml:space="preserve">, </w:t>
      </w:r>
      <w:r w:rsidRPr="003371A2">
        <w:rPr>
          <w:rFonts w:cs="Arial" w:hint="cs"/>
          <w:sz w:val="18"/>
          <w:szCs w:val="18"/>
          <w:vertAlign w:val="superscript"/>
          <w:rtl/>
        </w:rPr>
        <w:t>2</w:t>
      </w:r>
      <w:r w:rsidRPr="003371A2">
        <w:rPr>
          <w:rFonts w:cs="Arial" w:hint="cs"/>
          <w:sz w:val="18"/>
          <w:szCs w:val="18"/>
          <w:rtl/>
        </w:rPr>
        <w:t>אם</w:t>
      </w:r>
      <w:r w:rsidRPr="003371A2">
        <w:rPr>
          <w:rFonts w:cs="Arial"/>
          <w:sz w:val="18"/>
          <w:szCs w:val="18"/>
          <w:rtl/>
        </w:rPr>
        <w:t xml:space="preserve"> </w:t>
      </w:r>
      <w:r w:rsidRPr="003371A2">
        <w:rPr>
          <w:rFonts w:cs="Arial" w:hint="cs"/>
          <w:sz w:val="18"/>
          <w:szCs w:val="18"/>
          <w:rtl/>
        </w:rPr>
        <w:t>קינחה</w:t>
      </w:r>
      <w:r w:rsidRPr="003371A2">
        <w:rPr>
          <w:rFonts w:cs="Arial"/>
          <w:sz w:val="18"/>
          <w:szCs w:val="18"/>
          <w:rtl/>
        </w:rPr>
        <w:t xml:space="preserve"> </w:t>
      </w:r>
      <w:r w:rsidRPr="003371A2">
        <w:rPr>
          <w:rFonts w:cs="Arial" w:hint="cs"/>
          <w:sz w:val="18"/>
          <w:szCs w:val="18"/>
          <w:rtl/>
        </w:rPr>
        <w:t>עצמה</w:t>
      </w:r>
      <w:r w:rsidRPr="003371A2">
        <w:rPr>
          <w:rFonts w:cs="Arial"/>
          <w:sz w:val="18"/>
          <w:szCs w:val="18"/>
          <w:rtl/>
        </w:rPr>
        <w:t xml:space="preserve"> </w:t>
      </w:r>
      <w:r w:rsidRPr="003371A2">
        <w:rPr>
          <w:rFonts w:cs="Arial" w:hint="cs"/>
          <w:sz w:val="18"/>
          <w:szCs w:val="18"/>
          <w:rtl/>
        </w:rPr>
        <w:t>מיד</w:t>
      </w:r>
      <w:r w:rsidRPr="003371A2">
        <w:rPr>
          <w:rFonts w:cs="Arial"/>
          <w:sz w:val="18"/>
          <w:szCs w:val="18"/>
          <w:rtl/>
        </w:rPr>
        <w:t xml:space="preserve"> </w:t>
      </w:r>
      <w:r w:rsidRPr="003371A2">
        <w:rPr>
          <w:rFonts w:cs="Arial" w:hint="cs"/>
          <w:sz w:val="18"/>
          <w:szCs w:val="18"/>
          <w:rtl/>
        </w:rPr>
        <w:t>כשפירש</w:t>
      </w:r>
      <w:r w:rsidRPr="003371A2">
        <w:rPr>
          <w:rFonts w:cs="Arial"/>
          <w:sz w:val="18"/>
          <w:szCs w:val="18"/>
          <w:rtl/>
        </w:rPr>
        <w:t xml:space="preserve"> </w:t>
      </w:r>
      <w:r w:rsidRPr="003371A2">
        <w:rPr>
          <w:rFonts w:cs="Arial" w:hint="cs"/>
          <w:sz w:val="18"/>
          <w:szCs w:val="18"/>
          <w:rtl/>
        </w:rPr>
        <w:t>הבעל</w:t>
      </w:r>
      <w:r w:rsidRPr="003371A2">
        <w:rPr>
          <w:rFonts w:cs="Arial"/>
          <w:sz w:val="18"/>
          <w:szCs w:val="18"/>
          <w:rtl/>
        </w:rPr>
        <w:t xml:space="preserve"> </w:t>
      </w:r>
      <w:r w:rsidRPr="003371A2">
        <w:rPr>
          <w:rFonts w:cs="Arial" w:hint="cs"/>
          <w:sz w:val="18"/>
          <w:szCs w:val="18"/>
          <w:rtl/>
        </w:rPr>
        <w:t>ולא</w:t>
      </w:r>
      <w:r w:rsidRPr="003371A2">
        <w:rPr>
          <w:rFonts w:cs="Arial"/>
          <w:sz w:val="18"/>
          <w:szCs w:val="18"/>
          <w:rtl/>
        </w:rPr>
        <w:t xml:space="preserve"> </w:t>
      </w:r>
      <w:r w:rsidRPr="003371A2">
        <w:rPr>
          <w:rFonts w:cs="Arial" w:hint="cs"/>
          <w:sz w:val="18"/>
          <w:szCs w:val="18"/>
          <w:rtl/>
        </w:rPr>
        <w:t>שהתה</w:t>
      </w:r>
      <w:r w:rsidRPr="003371A2">
        <w:rPr>
          <w:rFonts w:cs="Arial"/>
          <w:sz w:val="18"/>
          <w:szCs w:val="18"/>
          <w:rtl/>
        </w:rPr>
        <w:t xml:space="preserve"> </w:t>
      </w:r>
      <w:r w:rsidRPr="003371A2">
        <w:rPr>
          <w:rFonts w:cs="Arial" w:hint="cs"/>
          <w:sz w:val="18"/>
          <w:szCs w:val="18"/>
          <w:rtl/>
        </w:rPr>
        <w:t>שניהם</w:t>
      </w:r>
      <w:r w:rsidRPr="003371A2">
        <w:rPr>
          <w:rFonts w:cs="Arial"/>
          <w:sz w:val="18"/>
          <w:szCs w:val="18"/>
          <w:rtl/>
        </w:rPr>
        <w:t xml:space="preserve"> </w:t>
      </w:r>
      <w:r w:rsidRPr="003371A2">
        <w:rPr>
          <w:rFonts w:cs="Arial" w:hint="cs"/>
          <w:sz w:val="18"/>
          <w:szCs w:val="18"/>
          <w:rtl/>
        </w:rPr>
        <w:t>טמאים</w:t>
      </w:r>
      <w:r w:rsidRPr="003371A2">
        <w:rPr>
          <w:rFonts w:cs="Arial"/>
          <w:sz w:val="18"/>
          <w:szCs w:val="18"/>
          <w:rtl/>
        </w:rPr>
        <w:t xml:space="preserve"> </w:t>
      </w:r>
      <w:r w:rsidRPr="003371A2">
        <w:rPr>
          <w:rFonts w:cs="Arial" w:hint="cs"/>
          <w:sz w:val="18"/>
          <w:szCs w:val="18"/>
          <w:rtl/>
        </w:rPr>
        <w:t>וחייבין</w:t>
      </w:r>
      <w:r w:rsidRPr="003371A2">
        <w:rPr>
          <w:rFonts w:cs="Arial"/>
          <w:sz w:val="18"/>
          <w:szCs w:val="18"/>
          <w:rtl/>
        </w:rPr>
        <w:t xml:space="preserve"> </w:t>
      </w:r>
      <w:r w:rsidRPr="003371A2">
        <w:rPr>
          <w:rFonts w:cs="Arial" w:hint="cs"/>
          <w:sz w:val="18"/>
          <w:szCs w:val="18"/>
          <w:rtl/>
        </w:rPr>
        <w:t>בקרבן</w:t>
      </w:r>
      <w:r w:rsidRPr="003371A2">
        <w:rPr>
          <w:rFonts w:cs="Arial"/>
          <w:sz w:val="18"/>
          <w:szCs w:val="18"/>
          <w:rtl/>
        </w:rPr>
        <w:t xml:space="preserve">, </w:t>
      </w:r>
      <w:r w:rsidRPr="003371A2">
        <w:rPr>
          <w:rFonts w:cs="Arial" w:hint="cs"/>
          <w:sz w:val="18"/>
          <w:szCs w:val="18"/>
          <w:vertAlign w:val="superscript"/>
          <w:rtl/>
        </w:rPr>
        <w:t>3</w:t>
      </w:r>
      <w:r w:rsidRPr="003371A2">
        <w:rPr>
          <w:rFonts w:cs="Arial" w:hint="cs"/>
          <w:sz w:val="18"/>
          <w:szCs w:val="18"/>
          <w:rtl/>
        </w:rPr>
        <w:t>ואם</w:t>
      </w:r>
      <w:r w:rsidRPr="003371A2">
        <w:rPr>
          <w:rFonts w:cs="Arial"/>
          <w:sz w:val="18"/>
          <w:szCs w:val="18"/>
          <w:rtl/>
        </w:rPr>
        <w:t xml:space="preserve"> </w:t>
      </w:r>
      <w:r w:rsidRPr="003371A2">
        <w:rPr>
          <w:rFonts w:cs="Arial" w:hint="cs"/>
          <w:sz w:val="18"/>
          <w:szCs w:val="18"/>
          <w:rtl/>
        </w:rPr>
        <w:t>שהתה</w:t>
      </w:r>
      <w:r w:rsidRPr="003371A2">
        <w:rPr>
          <w:rFonts w:cs="Arial"/>
          <w:sz w:val="18"/>
          <w:szCs w:val="18"/>
          <w:rtl/>
        </w:rPr>
        <w:t xml:space="preserve"> </w:t>
      </w:r>
      <w:r w:rsidRPr="003371A2">
        <w:rPr>
          <w:rFonts w:cs="Arial" w:hint="cs"/>
          <w:sz w:val="18"/>
          <w:szCs w:val="18"/>
          <w:rtl/>
        </w:rPr>
        <w:t>כדי</w:t>
      </w:r>
      <w:r w:rsidRPr="003371A2">
        <w:rPr>
          <w:rFonts w:cs="Arial"/>
          <w:sz w:val="18"/>
          <w:szCs w:val="18"/>
          <w:rtl/>
        </w:rPr>
        <w:t xml:space="preserve"> </w:t>
      </w:r>
      <w:r w:rsidRPr="003371A2">
        <w:rPr>
          <w:rFonts w:cs="Arial" w:hint="cs"/>
          <w:sz w:val="18"/>
          <w:szCs w:val="18"/>
          <w:rtl/>
        </w:rPr>
        <w:t>שתושיט</w:t>
      </w:r>
      <w:r w:rsidRPr="003371A2">
        <w:rPr>
          <w:rFonts w:cs="Arial"/>
          <w:sz w:val="18"/>
          <w:szCs w:val="18"/>
          <w:rtl/>
        </w:rPr>
        <w:t xml:space="preserve"> </w:t>
      </w:r>
      <w:r w:rsidRPr="003371A2">
        <w:rPr>
          <w:rFonts w:cs="Arial" w:hint="cs"/>
          <w:sz w:val="18"/>
          <w:szCs w:val="18"/>
          <w:rtl/>
        </w:rPr>
        <w:t>ידה</w:t>
      </w:r>
      <w:r w:rsidRPr="003371A2">
        <w:rPr>
          <w:rFonts w:cs="Arial"/>
          <w:sz w:val="18"/>
          <w:szCs w:val="18"/>
          <w:rtl/>
        </w:rPr>
        <w:t xml:space="preserve"> </w:t>
      </w:r>
      <w:r w:rsidRPr="003371A2">
        <w:rPr>
          <w:rFonts w:cs="Arial" w:hint="cs"/>
          <w:sz w:val="18"/>
          <w:szCs w:val="18"/>
          <w:rtl/>
        </w:rPr>
        <w:t>לתחת</w:t>
      </w:r>
      <w:r w:rsidRPr="003371A2">
        <w:rPr>
          <w:rFonts w:cs="Arial"/>
          <w:sz w:val="18"/>
          <w:szCs w:val="18"/>
          <w:rtl/>
        </w:rPr>
        <w:t xml:space="preserve"> </w:t>
      </w:r>
      <w:r w:rsidRPr="003371A2">
        <w:rPr>
          <w:rFonts w:cs="Arial" w:hint="cs"/>
          <w:sz w:val="18"/>
          <w:szCs w:val="18"/>
          <w:rtl/>
        </w:rPr>
        <w:t>הכר</w:t>
      </w:r>
      <w:r w:rsidRPr="003371A2">
        <w:rPr>
          <w:rFonts w:cs="Arial"/>
          <w:sz w:val="18"/>
          <w:szCs w:val="18"/>
          <w:rtl/>
        </w:rPr>
        <w:t xml:space="preserve"> </w:t>
      </w:r>
      <w:r w:rsidRPr="003371A2">
        <w:rPr>
          <w:rFonts w:cs="Arial" w:hint="cs"/>
          <w:sz w:val="18"/>
          <w:szCs w:val="18"/>
          <w:rtl/>
        </w:rPr>
        <w:t>או</w:t>
      </w:r>
      <w:r w:rsidRPr="003371A2">
        <w:rPr>
          <w:rFonts w:cs="Arial"/>
          <w:sz w:val="18"/>
          <w:szCs w:val="18"/>
          <w:rtl/>
        </w:rPr>
        <w:t xml:space="preserve"> </w:t>
      </w:r>
      <w:r w:rsidRPr="003371A2">
        <w:rPr>
          <w:rFonts w:cs="Arial" w:hint="cs"/>
          <w:sz w:val="18"/>
          <w:szCs w:val="18"/>
          <w:rtl/>
        </w:rPr>
        <w:t>לתחת</w:t>
      </w:r>
      <w:r w:rsidRPr="003371A2">
        <w:rPr>
          <w:rFonts w:cs="Arial"/>
          <w:sz w:val="18"/>
          <w:szCs w:val="18"/>
          <w:rtl/>
        </w:rPr>
        <w:t xml:space="preserve"> </w:t>
      </w:r>
      <w:r w:rsidRPr="003371A2">
        <w:rPr>
          <w:rFonts w:cs="Arial" w:hint="cs"/>
          <w:sz w:val="18"/>
          <w:szCs w:val="18"/>
          <w:rtl/>
        </w:rPr>
        <w:t>הכסת</w:t>
      </w:r>
      <w:r w:rsidRPr="003371A2">
        <w:rPr>
          <w:rFonts w:cs="Arial"/>
          <w:sz w:val="18"/>
          <w:szCs w:val="18"/>
          <w:rtl/>
        </w:rPr>
        <w:t xml:space="preserve"> </w:t>
      </w:r>
      <w:r w:rsidRPr="003371A2">
        <w:rPr>
          <w:rFonts w:cs="Arial" w:hint="cs"/>
          <w:sz w:val="18"/>
          <w:szCs w:val="18"/>
          <w:rtl/>
        </w:rPr>
        <w:t>ותיטול</w:t>
      </w:r>
      <w:r w:rsidRPr="003371A2">
        <w:rPr>
          <w:rFonts w:cs="Arial"/>
          <w:sz w:val="18"/>
          <w:szCs w:val="18"/>
          <w:rtl/>
        </w:rPr>
        <w:t xml:space="preserve"> </w:t>
      </w:r>
      <w:r w:rsidRPr="003371A2">
        <w:rPr>
          <w:rFonts w:cs="Arial" w:hint="cs"/>
          <w:sz w:val="18"/>
          <w:szCs w:val="18"/>
          <w:rtl/>
        </w:rPr>
        <w:t>עד</w:t>
      </w:r>
      <w:r w:rsidRPr="003371A2">
        <w:rPr>
          <w:rFonts w:cs="Arial"/>
          <w:sz w:val="18"/>
          <w:szCs w:val="18"/>
          <w:rtl/>
        </w:rPr>
        <w:t xml:space="preserve"> </w:t>
      </w:r>
      <w:r w:rsidRPr="003371A2">
        <w:rPr>
          <w:rFonts w:cs="Arial" w:hint="cs"/>
          <w:sz w:val="18"/>
          <w:szCs w:val="18"/>
          <w:rtl/>
        </w:rPr>
        <w:t>לבדוק</w:t>
      </w:r>
      <w:r w:rsidRPr="003371A2">
        <w:rPr>
          <w:rFonts w:cs="Arial"/>
          <w:sz w:val="18"/>
          <w:szCs w:val="18"/>
          <w:rtl/>
        </w:rPr>
        <w:t xml:space="preserve"> </w:t>
      </w:r>
      <w:r w:rsidRPr="003371A2">
        <w:rPr>
          <w:rFonts w:cs="Arial" w:hint="cs"/>
          <w:sz w:val="18"/>
          <w:szCs w:val="18"/>
          <w:rtl/>
        </w:rPr>
        <w:t>בו</w:t>
      </w:r>
      <w:r w:rsidRPr="003371A2">
        <w:rPr>
          <w:rFonts w:cs="Arial"/>
          <w:sz w:val="18"/>
          <w:szCs w:val="18"/>
          <w:rtl/>
        </w:rPr>
        <w:t xml:space="preserve"> </w:t>
      </w:r>
      <w:r w:rsidRPr="003371A2">
        <w:rPr>
          <w:rFonts w:cs="Arial" w:hint="cs"/>
          <w:sz w:val="18"/>
          <w:szCs w:val="18"/>
          <w:rtl/>
        </w:rPr>
        <w:t>ואחר</w:t>
      </w:r>
      <w:r w:rsidRPr="003371A2">
        <w:rPr>
          <w:rFonts w:cs="Arial"/>
          <w:sz w:val="18"/>
          <w:szCs w:val="18"/>
          <w:rtl/>
        </w:rPr>
        <w:t xml:space="preserve"> </w:t>
      </w:r>
      <w:r w:rsidRPr="003371A2">
        <w:rPr>
          <w:rFonts w:cs="Arial" w:hint="cs"/>
          <w:sz w:val="18"/>
          <w:szCs w:val="18"/>
          <w:rtl/>
        </w:rPr>
        <w:t>כך</w:t>
      </w:r>
      <w:r w:rsidRPr="003371A2">
        <w:rPr>
          <w:rFonts w:cs="Arial"/>
          <w:sz w:val="18"/>
          <w:szCs w:val="18"/>
          <w:rtl/>
        </w:rPr>
        <w:t xml:space="preserve"> </w:t>
      </w:r>
      <w:r w:rsidRPr="003371A2">
        <w:rPr>
          <w:rFonts w:cs="Arial" w:hint="cs"/>
          <w:sz w:val="18"/>
          <w:szCs w:val="18"/>
          <w:rtl/>
        </w:rPr>
        <w:t>קינחה</w:t>
      </w:r>
      <w:r w:rsidRPr="003371A2">
        <w:rPr>
          <w:rFonts w:cs="Arial"/>
          <w:sz w:val="18"/>
          <w:szCs w:val="18"/>
          <w:rtl/>
        </w:rPr>
        <w:t xml:space="preserve"> </w:t>
      </w:r>
      <w:r w:rsidRPr="003371A2">
        <w:rPr>
          <w:rFonts w:cs="Arial" w:hint="cs"/>
          <w:sz w:val="18"/>
          <w:szCs w:val="18"/>
          <w:rtl/>
        </w:rPr>
        <w:t>עצמה</w:t>
      </w:r>
      <w:r w:rsidRPr="003371A2">
        <w:rPr>
          <w:rFonts w:cs="Arial"/>
          <w:sz w:val="18"/>
          <w:szCs w:val="18"/>
          <w:rtl/>
        </w:rPr>
        <w:t xml:space="preserve"> </w:t>
      </w:r>
      <w:r w:rsidRPr="003371A2">
        <w:rPr>
          <w:rFonts w:cs="Arial" w:hint="cs"/>
          <w:sz w:val="18"/>
          <w:szCs w:val="18"/>
          <w:rtl/>
        </w:rPr>
        <w:t>שניהן</w:t>
      </w:r>
      <w:r w:rsidRPr="003371A2">
        <w:rPr>
          <w:rFonts w:cs="Arial"/>
          <w:sz w:val="18"/>
          <w:szCs w:val="18"/>
          <w:rtl/>
        </w:rPr>
        <w:t xml:space="preserve"> </w:t>
      </w:r>
      <w:r w:rsidRPr="003371A2">
        <w:rPr>
          <w:rFonts w:cs="Arial" w:hint="cs"/>
          <w:sz w:val="18"/>
          <w:szCs w:val="18"/>
          <w:rtl/>
        </w:rPr>
        <w:t>טמאים</w:t>
      </w:r>
      <w:r w:rsidRPr="003371A2">
        <w:rPr>
          <w:rFonts w:cs="Arial"/>
          <w:sz w:val="18"/>
          <w:szCs w:val="18"/>
          <w:rtl/>
        </w:rPr>
        <w:t xml:space="preserve"> </w:t>
      </w:r>
      <w:r w:rsidRPr="003371A2">
        <w:rPr>
          <w:rFonts w:cs="Arial" w:hint="cs"/>
          <w:sz w:val="18"/>
          <w:szCs w:val="18"/>
          <w:rtl/>
        </w:rPr>
        <w:t>בספק</w:t>
      </w:r>
      <w:r w:rsidRPr="003371A2">
        <w:rPr>
          <w:rFonts w:cs="Arial"/>
          <w:sz w:val="18"/>
          <w:szCs w:val="18"/>
          <w:rtl/>
        </w:rPr>
        <w:t xml:space="preserve"> </w:t>
      </w:r>
      <w:r w:rsidRPr="003371A2">
        <w:rPr>
          <w:rFonts w:cs="Arial" w:hint="cs"/>
          <w:sz w:val="18"/>
          <w:szCs w:val="18"/>
          <w:rtl/>
        </w:rPr>
        <w:t>ופטורין</w:t>
      </w:r>
      <w:r w:rsidRPr="003371A2">
        <w:rPr>
          <w:rFonts w:cs="Arial"/>
          <w:sz w:val="18"/>
          <w:szCs w:val="18"/>
          <w:rtl/>
        </w:rPr>
        <w:t xml:space="preserve"> </w:t>
      </w:r>
      <w:r w:rsidRPr="003371A2">
        <w:rPr>
          <w:rFonts w:cs="Arial" w:hint="cs"/>
          <w:sz w:val="18"/>
          <w:szCs w:val="18"/>
          <w:rtl/>
        </w:rPr>
        <w:t>מקרבן</w:t>
      </w:r>
      <w:r w:rsidRPr="003371A2">
        <w:rPr>
          <w:rFonts w:cs="Arial"/>
          <w:sz w:val="18"/>
          <w:szCs w:val="18"/>
          <w:rtl/>
        </w:rPr>
        <w:t xml:space="preserve">, </w:t>
      </w:r>
      <w:r w:rsidRPr="003371A2">
        <w:rPr>
          <w:rFonts w:cs="Arial" w:hint="cs"/>
          <w:sz w:val="18"/>
          <w:szCs w:val="18"/>
          <w:vertAlign w:val="superscript"/>
          <w:rtl/>
        </w:rPr>
        <w:t>4</w:t>
      </w:r>
      <w:r w:rsidRPr="003371A2">
        <w:rPr>
          <w:rFonts w:cs="Arial" w:hint="cs"/>
          <w:sz w:val="18"/>
          <w:szCs w:val="18"/>
          <w:rtl/>
        </w:rPr>
        <w:t>ואם</w:t>
      </w:r>
      <w:r w:rsidRPr="003371A2">
        <w:rPr>
          <w:rFonts w:cs="Arial"/>
          <w:sz w:val="18"/>
          <w:szCs w:val="18"/>
          <w:rtl/>
        </w:rPr>
        <w:t xml:space="preserve"> </w:t>
      </w:r>
      <w:r w:rsidRPr="003371A2">
        <w:rPr>
          <w:rFonts w:cs="Arial" w:hint="cs"/>
          <w:sz w:val="18"/>
          <w:szCs w:val="18"/>
          <w:rtl/>
        </w:rPr>
        <w:t>שהתה</w:t>
      </w:r>
      <w:r w:rsidRPr="003371A2">
        <w:rPr>
          <w:rFonts w:cs="Arial"/>
          <w:sz w:val="18"/>
          <w:szCs w:val="18"/>
          <w:rtl/>
        </w:rPr>
        <w:t xml:space="preserve"> </w:t>
      </w:r>
      <w:r w:rsidRPr="003371A2">
        <w:rPr>
          <w:rFonts w:cs="Arial" w:hint="cs"/>
          <w:sz w:val="18"/>
          <w:szCs w:val="18"/>
          <w:rtl/>
        </w:rPr>
        <w:t>כדי</w:t>
      </w:r>
      <w:r w:rsidRPr="003371A2">
        <w:rPr>
          <w:rFonts w:cs="Arial"/>
          <w:sz w:val="18"/>
          <w:szCs w:val="18"/>
          <w:rtl/>
        </w:rPr>
        <w:t xml:space="preserve"> </w:t>
      </w:r>
      <w:r w:rsidRPr="003371A2">
        <w:rPr>
          <w:rFonts w:cs="Arial" w:hint="cs"/>
          <w:sz w:val="18"/>
          <w:szCs w:val="18"/>
          <w:rtl/>
        </w:rPr>
        <w:t>שתרד</w:t>
      </w:r>
      <w:r w:rsidRPr="003371A2">
        <w:rPr>
          <w:rFonts w:cs="Arial"/>
          <w:sz w:val="18"/>
          <w:szCs w:val="18"/>
          <w:rtl/>
        </w:rPr>
        <w:t xml:space="preserve"> </w:t>
      </w:r>
      <w:r w:rsidRPr="003371A2">
        <w:rPr>
          <w:rFonts w:cs="Arial" w:hint="cs"/>
          <w:sz w:val="18"/>
          <w:szCs w:val="18"/>
          <w:rtl/>
        </w:rPr>
        <w:t>מן</w:t>
      </w:r>
      <w:r w:rsidRPr="003371A2">
        <w:rPr>
          <w:rFonts w:cs="Arial"/>
          <w:sz w:val="18"/>
          <w:szCs w:val="18"/>
          <w:rtl/>
        </w:rPr>
        <w:t xml:space="preserve"> </w:t>
      </w:r>
      <w:r w:rsidRPr="003371A2">
        <w:rPr>
          <w:rFonts w:cs="Arial" w:hint="cs"/>
          <w:sz w:val="18"/>
          <w:szCs w:val="18"/>
          <w:rtl/>
        </w:rPr>
        <w:t>המטה</w:t>
      </w:r>
      <w:r w:rsidRPr="003371A2">
        <w:rPr>
          <w:rFonts w:cs="Arial"/>
          <w:sz w:val="18"/>
          <w:szCs w:val="18"/>
          <w:rtl/>
        </w:rPr>
        <w:t xml:space="preserve"> </w:t>
      </w:r>
      <w:r w:rsidRPr="003371A2">
        <w:rPr>
          <w:rFonts w:cs="Arial" w:hint="cs"/>
          <w:sz w:val="18"/>
          <w:szCs w:val="18"/>
          <w:rtl/>
        </w:rPr>
        <w:t>ותדיח</w:t>
      </w:r>
      <w:r w:rsidRPr="003371A2">
        <w:rPr>
          <w:rFonts w:cs="Arial"/>
          <w:sz w:val="18"/>
          <w:szCs w:val="18"/>
          <w:rtl/>
        </w:rPr>
        <w:t xml:space="preserve"> </w:t>
      </w:r>
      <w:r w:rsidRPr="003371A2">
        <w:rPr>
          <w:rFonts w:cs="Arial" w:hint="cs"/>
          <w:sz w:val="18"/>
          <w:szCs w:val="18"/>
          <w:rtl/>
        </w:rPr>
        <w:t>את</w:t>
      </w:r>
      <w:r w:rsidRPr="003371A2">
        <w:rPr>
          <w:rFonts w:cs="Arial"/>
          <w:sz w:val="18"/>
          <w:szCs w:val="18"/>
          <w:rtl/>
        </w:rPr>
        <w:t xml:space="preserve"> </w:t>
      </w:r>
      <w:r w:rsidRPr="003371A2">
        <w:rPr>
          <w:rFonts w:cs="Arial" w:hint="cs"/>
          <w:sz w:val="18"/>
          <w:szCs w:val="18"/>
          <w:rtl/>
        </w:rPr>
        <w:t>פניה</w:t>
      </w:r>
      <w:r w:rsidRPr="003371A2">
        <w:rPr>
          <w:rFonts w:cs="Arial"/>
          <w:sz w:val="18"/>
          <w:szCs w:val="18"/>
          <w:rtl/>
        </w:rPr>
        <w:t xml:space="preserve"> </w:t>
      </w:r>
      <w:r w:rsidRPr="003371A2">
        <w:rPr>
          <w:rFonts w:cs="Arial" w:hint="cs"/>
          <w:sz w:val="18"/>
          <w:szCs w:val="18"/>
          <w:rtl/>
        </w:rPr>
        <w:t>ואחר כך</w:t>
      </w:r>
      <w:r w:rsidRPr="003371A2">
        <w:rPr>
          <w:rFonts w:cs="Arial"/>
          <w:sz w:val="18"/>
          <w:szCs w:val="18"/>
          <w:rtl/>
        </w:rPr>
        <w:t xml:space="preserve"> </w:t>
      </w:r>
      <w:r w:rsidRPr="003371A2">
        <w:rPr>
          <w:rFonts w:cs="Arial" w:hint="cs"/>
          <w:sz w:val="18"/>
          <w:szCs w:val="18"/>
          <w:rtl/>
        </w:rPr>
        <w:t>קינחה</w:t>
      </w:r>
      <w:r w:rsidRPr="003371A2">
        <w:rPr>
          <w:rFonts w:cs="Arial"/>
          <w:sz w:val="18"/>
          <w:szCs w:val="18"/>
          <w:rtl/>
        </w:rPr>
        <w:t xml:space="preserve"> </w:t>
      </w:r>
      <w:r w:rsidRPr="003371A2">
        <w:rPr>
          <w:rFonts w:cs="Arial" w:hint="cs"/>
          <w:sz w:val="18"/>
          <w:szCs w:val="18"/>
          <w:rtl/>
        </w:rPr>
        <w:t>עצמה</w:t>
      </w:r>
      <w:r w:rsidRPr="003371A2">
        <w:rPr>
          <w:rFonts w:cs="Arial"/>
          <w:sz w:val="18"/>
          <w:szCs w:val="18"/>
          <w:rtl/>
        </w:rPr>
        <w:t xml:space="preserve"> </w:t>
      </w:r>
      <w:r w:rsidRPr="003371A2">
        <w:rPr>
          <w:rFonts w:cs="Arial" w:hint="cs"/>
          <w:sz w:val="18"/>
          <w:szCs w:val="18"/>
          <w:rtl/>
        </w:rPr>
        <w:t>ונמצא</w:t>
      </w:r>
      <w:r w:rsidRPr="003371A2">
        <w:rPr>
          <w:rFonts w:cs="Arial"/>
          <w:sz w:val="18"/>
          <w:szCs w:val="18"/>
          <w:rtl/>
        </w:rPr>
        <w:t xml:space="preserve"> </w:t>
      </w:r>
      <w:r w:rsidRPr="003371A2">
        <w:rPr>
          <w:rFonts w:cs="Arial" w:hint="cs"/>
          <w:sz w:val="18"/>
          <w:szCs w:val="18"/>
          <w:rtl/>
        </w:rPr>
        <w:t>דם</w:t>
      </w:r>
      <w:r w:rsidRPr="003371A2">
        <w:rPr>
          <w:rFonts w:cs="Arial"/>
          <w:sz w:val="18"/>
          <w:szCs w:val="18"/>
          <w:rtl/>
        </w:rPr>
        <w:t xml:space="preserve">, </w:t>
      </w:r>
      <w:r w:rsidRPr="003371A2">
        <w:rPr>
          <w:rFonts w:cs="Arial" w:hint="cs"/>
          <w:sz w:val="18"/>
          <w:szCs w:val="18"/>
          <w:rtl/>
        </w:rPr>
        <w:t>בעלה</w:t>
      </w:r>
      <w:r w:rsidRPr="003371A2">
        <w:rPr>
          <w:rFonts w:cs="Arial"/>
          <w:sz w:val="18"/>
          <w:szCs w:val="18"/>
          <w:rtl/>
        </w:rPr>
        <w:t xml:space="preserve"> </w:t>
      </w:r>
      <w:r w:rsidRPr="003371A2">
        <w:rPr>
          <w:rFonts w:cs="Arial" w:hint="cs"/>
          <w:sz w:val="18"/>
          <w:szCs w:val="18"/>
          <w:rtl/>
        </w:rPr>
        <w:t>טהור".</w:t>
      </w:r>
      <w:r w:rsidRPr="003371A2">
        <w:rPr>
          <w:sz w:val="18"/>
          <w:szCs w:val="18"/>
          <w:rtl/>
        </w:rPr>
        <w:br/>
      </w:r>
      <w:r w:rsidRPr="003371A2">
        <w:rPr>
          <w:rFonts w:hint="cs"/>
          <w:sz w:val="18"/>
          <w:szCs w:val="18"/>
          <w:rtl/>
        </w:rPr>
        <w:t xml:space="preserve">וע"פ דברי </w:t>
      </w:r>
      <w:r w:rsidRPr="003371A2">
        <w:rPr>
          <w:rFonts w:hint="cs"/>
          <w:b/>
          <w:bCs/>
          <w:sz w:val="18"/>
          <w:szCs w:val="18"/>
          <w:rtl/>
        </w:rPr>
        <w:t>הרמב"ם</w:t>
      </w:r>
      <w:r w:rsidRPr="003371A2">
        <w:rPr>
          <w:rFonts w:hint="cs"/>
          <w:sz w:val="18"/>
          <w:szCs w:val="18"/>
          <w:rtl/>
        </w:rPr>
        <w:t xml:space="preserve"> אומר </w:t>
      </w:r>
      <w:r w:rsidRPr="003371A2">
        <w:rPr>
          <w:rFonts w:hint="cs"/>
          <w:b/>
          <w:bCs/>
          <w:sz w:val="18"/>
          <w:szCs w:val="18"/>
          <w:rtl/>
        </w:rPr>
        <w:t>הב"י</w:t>
      </w:r>
      <w:r w:rsidRPr="003371A2">
        <w:rPr>
          <w:rFonts w:hint="cs"/>
          <w:sz w:val="18"/>
          <w:szCs w:val="18"/>
          <w:rtl/>
        </w:rPr>
        <w:t xml:space="preserve"> </w:t>
      </w:r>
      <w:r w:rsidRPr="003371A2">
        <w:rPr>
          <w:sz w:val="18"/>
          <w:szCs w:val="18"/>
          <w:rtl/>
        </w:rPr>
        <w:t>–</w:t>
      </w:r>
      <w:r w:rsidRPr="003371A2">
        <w:rPr>
          <w:rFonts w:hint="cs"/>
          <w:sz w:val="18"/>
          <w:szCs w:val="18"/>
          <w:rtl/>
        </w:rPr>
        <w:t xml:space="preserve"> שמא </w:t>
      </w:r>
      <w:r w:rsidRPr="003371A2">
        <w:rPr>
          <w:rFonts w:hint="cs"/>
          <w:b/>
          <w:bCs/>
          <w:sz w:val="18"/>
          <w:szCs w:val="18"/>
          <w:rtl/>
        </w:rPr>
        <w:t>הסמ"ק</w:t>
      </w:r>
      <w:r w:rsidRPr="003371A2">
        <w:rPr>
          <w:rFonts w:hint="cs"/>
          <w:sz w:val="18"/>
          <w:szCs w:val="18"/>
          <w:rtl/>
        </w:rPr>
        <w:t xml:space="preserve"> סובר שכוונת </w:t>
      </w:r>
      <w:r w:rsidRPr="003371A2">
        <w:rPr>
          <w:rFonts w:hint="cs"/>
          <w:b/>
          <w:bCs/>
          <w:sz w:val="18"/>
          <w:szCs w:val="18"/>
          <w:rtl/>
        </w:rPr>
        <w:t>הרמב"ם</w:t>
      </w:r>
      <w:r w:rsidRPr="003371A2">
        <w:rPr>
          <w:rFonts w:hint="cs"/>
          <w:sz w:val="18"/>
          <w:szCs w:val="18"/>
          <w:rtl/>
        </w:rPr>
        <w:t xml:space="preserve"> לומר</w:t>
      </w:r>
      <w:r w:rsidRPr="003371A2">
        <w:rPr>
          <w:rFonts w:hint="cs"/>
          <w:sz w:val="16"/>
          <w:szCs w:val="16"/>
          <w:rtl/>
        </w:rPr>
        <w:t xml:space="preserve"> (במקרה 3) </w:t>
      </w:r>
      <w:r w:rsidRPr="003371A2">
        <w:rPr>
          <w:rFonts w:hint="cs"/>
          <w:sz w:val="18"/>
          <w:szCs w:val="18"/>
          <w:rtl/>
        </w:rPr>
        <w:t>שפטורים מקרבן חטאת אך חייבים באשם תלוי, וכיוון שחייבים באשם תלוי יש לומר שדינה כדין רואה מחמת תשמיש אע"פ שאסורה רק מכוח הספק.</w:t>
      </w:r>
      <w:r>
        <w:rPr>
          <w:rtl/>
        </w:rPr>
        <w:br/>
      </w:r>
      <w:r w:rsidRPr="003371A2">
        <w:rPr>
          <w:rFonts w:hint="cs"/>
          <w:sz w:val="18"/>
          <w:szCs w:val="18"/>
          <w:rtl/>
        </w:rPr>
        <w:t xml:space="preserve">ברם, דברי </w:t>
      </w:r>
      <w:r w:rsidRPr="003371A2">
        <w:rPr>
          <w:rFonts w:hint="cs"/>
          <w:b/>
          <w:bCs/>
          <w:sz w:val="18"/>
          <w:szCs w:val="18"/>
          <w:rtl/>
        </w:rPr>
        <w:t>הב"י</w:t>
      </w:r>
      <w:r w:rsidRPr="003371A2">
        <w:rPr>
          <w:rFonts w:hint="cs"/>
          <w:sz w:val="18"/>
          <w:szCs w:val="18"/>
          <w:rtl/>
        </w:rPr>
        <w:t xml:space="preserve"> קשים טובא, וכפי שמקשה גם </w:t>
      </w:r>
      <w:r w:rsidRPr="003371A2">
        <w:rPr>
          <w:rFonts w:hint="cs"/>
          <w:b/>
          <w:bCs/>
          <w:sz w:val="18"/>
          <w:szCs w:val="18"/>
          <w:rtl/>
        </w:rPr>
        <w:t>הב"ח</w:t>
      </w:r>
      <w:r w:rsidRPr="003371A2">
        <w:rPr>
          <w:rFonts w:hint="cs"/>
          <w:sz w:val="18"/>
          <w:szCs w:val="18"/>
          <w:rtl/>
        </w:rPr>
        <w:t xml:space="preserve"> </w:t>
      </w:r>
      <w:r w:rsidRPr="003371A2">
        <w:rPr>
          <w:sz w:val="18"/>
          <w:szCs w:val="18"/>
          <w:rtl/>
        </w:rPr>
        <w:t>–</w:t>
      </w:r>
      <w:r w:rsidRPr="003371A2">
        <w:rPr>
          <w:rFonts w:hint="cs"/>
          <w:sz w:val="18"/>
          <w:szCs w:val="18"/>
          <w:rtl/>
        </w:rPr>
        <w:t xml:space="preserve"> הרי לרב חסדא אם שהו כדי שתרד מהמיטה ותדיח פניה פטורים אף מאשם תלוי, וכפי שכתב הרמב"ם עצמו ואם כן שיטת הסמ"ק אכתי אינה מיושבת.</w:t>
      </w:r>
      <w:r w:rsidRPr="003371A2">
        <w:rPr>
          <w:sz w:val="18"/>
          <w:szCs w:val="18"/>
          <w:rtl/>
        </w:rPr>
        <w:t xml:space="preserve"> </w:t>
      </w:r>
    </w:p>
  </w:footnote>
  <w:footnote w:id="87">
    <w:p w:rsidR="005953C5" w:rsidRDefault="005953C5" w:rsidP="00620060">
      <w:pPr>
        <w:pStyle w:val="a3"/>
      </w:pPr>
      <w:r w:rsidRPr="00473361">
        <w:rPr>
          <w:rStyle w:val="a5"/>
          <w:sz w:val="18"/>
          <w:szCs w:val="18"/>
        </w:rPr>
        <w:footnoteRef/>
      </w:r>
      <w:r w:rsidRPr="00473361">
        <w:rPr>
          <w:sz w:val="18"/>
          <w:szCs w:val="18"/>
          <w:rtl/>
        </w:rPr>
        <w:t xml:space="preserve"> </w:t>
      </w:r>
      <w:r w:rsidRPr="00473361">
        <w:rPr>
          <w:rFonts w:hint="cs"/>
          <w:b/>
          <w:bCs/>
          <w:sz w:val="18"/>
          <w:szCs w:val="18"/>
          <w:rtl/>
        </w:rPr>
        <w:t xml:space="preserve">משנה </w:t>
      </w:r>
      <w:r w:rsidRPr="00473361">
        <w:rPr>
          <w:rFonts w:hint="cs"/>
          <w:sz w:val="18"/>
          <w:szCs w:val="18"/>
          <w:rtl/>
        </w:rPr>
        <w:t>יבמות (סד.) "</w:t>
      </w:r>
      <w:r w:rsidRPr="00473361">
        <w:rPr>
          <w:rFonts w:cs="Arial" w:hint="cs"/>
          <w:sz w:val="18"/>
          <w:szCs w:val="18"/>
          <w:rtl/>
        </w:rPr>
        <w:t>נשא</w:t>
      </w:r>
      <w:r w:rsidRPr="00473361">
        <w:rPr>
          <w:rFonts w:cs="Arial"/>
          <w:sz w:val="18"/>
          <w:szCs w:val="18"/>
          <w:rtl/>
        </w:rPr>
        <w:t xml:space="preserve"> </w:t>
      </w:r>
      <w:r w:rsidRPr="00473361">
        <w:rPr>
          <w:rFonts w:cs="Arial" w:hint="cs"/>
          <w:sz w:val="18"/>
          <w:szCs w:val="18"/>
          <w:rtl/>
        </w:rPr>
        <w:t>אשה</w:t>
      </w:r>
      <w:r w:rsidRPr="00473361">
        <w:rPr>
          <w:rFonts w:cs="Arial"/>
          <w:sz w:val="18"/>
          <w:szCs w:val="18"/>
          <w:rtl/>
        </w:rPr>
        <w:t xml:space="preserve"> </w:t>
      </w:r>
      <w:r w:rsidRPr="00473361">
        <w:rPr>
          <w:rFonts w:cs="Arial" w:hint="cs"/>
          <w:sz w:val="18"/>
          <w:szCs w:val="18"/>
          <w:rtl/>
        </w:rPr>
        <w:t>ושהה</w:t>
      </w:r>
      <w:r w:rsidRPr="00473361">
        <w:rPr>
          <w:rFonts w:cs="Arial"/>
          <w:sz w:val="18"/>
          <w:szCs w:val="18"/>
          <w:rtl/>
        </w:rPr>
        <w:t xml:space="preserve"> </w:t>
      </w:r>
      <w:r w:rsidRPr="00473361">
        <w:rPr>
          <w:rFonts w:cs="Arial" w:hint="cs"/>
          <w:sz w:val="18"/>
          <w:szCs w:val="18"/>
          <w:rtl/>
        </w:rPr>
        <w:t>עמה</w:t>
      </w:r>
      <w:r w:rsidRPr="00473361">
        <w:rPr>
          <w:rFonts w:cs="Arial"/>
          <w:sz w:val="18"/>
          <w:szCs w:val="18"/>
          <w:rtl/>
        </w:rPr>
        <w:t xml:space="preserve"> </w:t>
      </w:r>
      <w:r w:rsidRPr="00473361">
        <w:rPr>
          <w:rFonts w:cs="Arial" w:hint="cs"/>
          <w:sz w:val="18"/>
          <w:szCs w:val="18"/>
          <w:rtl/>
        </w:rPr>
        <w:t>עשר</w:t>
      </w:r>
      <w:r w:rsidRPr="00473361">
        <w:rPr>
          <w:rFonts w:cs="Arial"/>
          <w:sz w:val="18"/>
          <w:szCs w:val="18"/>
          <w:rtl/>
        </w:rPr>
        <w:t xml:space="preserve"> </w:t>
      </w:r>
      <w:r w:rsidRPr="00473361">
        <w:rPr>
          <w:rFonts w:cs="Arial" w:hint="cs"/>
          <w:sz w:val="18"/>
          <w:szCs w:val="18"/>
          <w:rtl/>
        </w:rPr>
        <w:t>שנים</w:t>
      </w:r>
      <w:r w:rsidRPr="00473361">
        <w:rPr>
          <w:rFonts w:cs="Arial"/>
          <w:sz w:val="18"/>
          <w:szCs w:val="18"/>
          <w:rtl/>
        </w:rPr>
        <w:t xml:space="preserve"> </w:t>
      </w:r>
      <w:r w:rsidRPr="00473361">
        <w:rPr>
          <w:rFonts w:cs="Arial" w:hint="cs"/>
          <w:sz w:val="18"/>
          <w:szCs w:val="18"/>
          <w:rtl/>
        </w:rPr>
        <w:t>ולא</w:t>
      </w:r>
      <w:r w:rsidRPr="00473361">
        <w:rPr>
          <w:rFonts w:cs="Arial"/>
          <w:sz w:val="18"/>
          <w:szCs w:val="18"/>
          <w:rtl/>
        </w:rPr>
        <w:t xml:space="preserve"> </w:t>
      </w:r>
      <w:r w:rsidRPr="00473361">
        <w:rPr>
          <w:rFonts w:cs="Arial" w:hint="cs"/>
          <w:sz w:val="18"/>
          <w:szCs w:val="18"/>
          <w:rtl/>
        </w:rPr>
        <w:t>ילדה</w:t>
      </w:r>
      <w:r w:rsidRPr="00473361">
        <w:rPr>
          <w:rFonts w:cs="Arial"/>
          <w:sz w:val="18"/>
          <w:szCs w:val="18"/>
          <w:rtl/>
        </w:rPr>
        <w:t xml:space="preserve"> - </w:t>
      </w:r>
      <w:r w:rsidRPr="00473361">
        <w:rPr>
          <w:rFonts w:cs="Arial" w:hint="cs"/>
          <w:sz w:val="18"/>
          <w:szCs w:val="18"/>
          <w:rtl/>
        </w:rPr>
        <w:t>אינו</w:t>
      </w:r>
      <w:r w:rsidRPr="00473361">
        <w:rPr>
          <w:rFonts w:cs="Arial"/>
          <w:sz w:val="18"/>
          <w:szCs w:val="18"/>
          <w:rtl/>
        </w:rPr>
        <w:t xml:space="preserve"> </w:t>
      </w:r>
      <w:r w:rsidRPr="00473361">
        <w:rPr>
          <w:rFonts w:cs="Arial" w:hint="cs"/>
          <w:sz w:val="18"/>
          <w:szCs w:val="18"/>
          <w:rtl/>
        </w:rPr>
        <w:t>רשאי</w:t>
      </w:r>
      <w:r w:rsidRPr="00473361">
        <w:rPr>
          <w:rFonts w:cs="Arial"/>
          <w:sz w:val="18"/>
          <w:szCs w:val="18"/>
          <w:rtl/>
        </w:rPr>
        <w:t xml:space="preserve"> </w:t>
      </w:r>
      <w:r w:rsidRPr="00473361">
        <w:rPr>
          <w:rFonts w:cs="Arial" w:hint="cs"/>
          <w:sz w:val="18"/>
          <w:szCs w:val="18"/>
          <w:rtl/>
        </w:rPr>
        <w:t>לבטל</w:t>
      </w:r>
      <w:r w:rsidRPr="00473361">
        <w:rPr>
          <w:rFonts w:cs="Arial"/>
          <w:sz w:val="18"/>
          <w:szCs w:val="18"/>
          <w:rtl/>
        </w:rPr>
        <w:t xml:space="preserve">. </w:t>
      </w:r>
      <w:r w:rsidRPr="00473361">
        <w:rPr>
          <w:rFonts w:cs="Arial" w:hint="cs"/>
          <w:sz w:val="18"/>
          <w:szCs w:val="18"/>
          <w:rtl/>
        </w:rPr>
        <w:t>גירשה</w:t>
      </w:r>
      <w:r w:rsidRPr="00473361">
        <w:rPr>
          <w:rFonts w:cs="Arial"/>
          <w:sz w:val="18"/>
          <w:szCs w:val="18"/>
          <w:rtl/>
        </w:rPr>
        <w:t xml:space="preserve"> - </w:t>
      </w:r>
      <w:r w:rsidRPr="00473361">
        <w:rPr>
          <w:rFonts w:cs="Arial" w:hint="cs"/>
          <w:sz w:val="18"/>
          <w:szCs w:val="18"/>
          <w:rtl/>
        </w:rPr>
        <w:t>מותרת</w:t>
      </w:r>
      <w:r w:rsidRPr="00473361">
        <w:rPr>
          <w:rFonts w:cs="Arial"/>
          <w:sz w:val="18"/>
          <w:szCs w:val="18"/>
          <w:rtl/>
        </w:rPr>
        <w:t xml:space="preserve"> </w:t>
      </w:r>
      <w:r w:rsidRPr="00473361">
        <w:rPr>
          <w:rFonts w:cs="Arial" w:hint="cs"/>
          <w:sz w:val="18"/>
          <w:szCs w:val="18"/>
          <w:rtl/>
        </w:rPr>
        <w:t>לינשא</w:t>
      </w:r>
      <w:r w:rsidRPr="00473361">
        <w:rPr>
          <w:rFonts w:cs="Arial"/>
          <w:sz w:val="18"/>
          <w:szCs w:val="18"/>
          <w:rtl/>
        </w:rPr>
        <w:t xml:space="preserve"> </w:t>
      </w:r>
      <w:r w:rsidRPr="00473361">
        <w:rPr>
          <w:rFonts w:cs="Arial" w:hint="cs"/>
          <w:sz w:val="18"/>
          <w:szCs w:val="18"/>
          <w:rtl/>
        </w:rPr>
        <w:t>לאחר</w:t>
      </w:r>
      <w:r w:rsidRPr="00473361">
        <w:rPr>
          <w:rFonts w:cs="Arial"/>
          <w:sz w:val="18"/>
          <w:szCs w:val="18"/>
          <w:rtl/>
        </w:rPr>
        <w:t xml:space="preserve">, </w:t>
      </w:r>
      <w:r w:rsidRPr="00473361">
        <w:rPr>
          <w:rFonts w:cs="Arial" w:hint="cs"/>
          <w:sz w:val="18"/>
          <w:szCs w:val="18"/>
          <w:rtl/>
        </w:rPr>
        <w:t>ורשאי</w:t>
      </w:r>
      <w:r w:rsidRPr="00473361">
        <w:rPr>
          <w:rFonts w:cs="Arial"/>
          <w:sz w:val="18"/>
          <w:szCs w:val="18"/>
          <w:rtl/>
        </w:rPr>
        <w:t xml:space="preserve"> </w:t>
      </w:r>
      <w:r w:rsidRPr="00473361">
        <w:rPr>
          <w:rFonts w:cs="Arial" w:hint="cs"/>
          <w:sz w:val="18"/>
          <w:szCs w:val="18"/>
          <w:rtl/>
        </w:rPr>
        <w:t>השני</w:t>
      </w:r>
      <w:r w:rsidRPr="00473361">
        <w:rPr>
          <w:rFonts w:cs="Arial"/>
          <w:sz w:val="18"/>
          <w:szCs w:val="18"/>
          <w:rtl/>
        </w:rPr>
        <w:t xml:space="preserve"> </w:t>
      </w:r>
      <w:r w:rsidRPr="00473361">
        <w:rPr>
          <w:rFonts w:cs="Arial" w:hint="cs"/>
          <w:sz w:val="18"/>
          <w:szCs w:val="18"/>
          <w:rtl/>
        </w:rPr>
        <w:t>לשהות</w:t>
      </w:r>
      <w:r w:rsidRPr="00473361">
        <w:rPr>
          <w:rFonts w:cs="Arial"/>
          <w:sz w:val="18"/>
          <w:szCs w:val="18"/>
          <w:rtl/>
        </w:rPr>
        <w:t xml:space="preserve"> </w:t>
      </w:r>
      <w:r w:rsidRPr="00473361">
        <w:rPr>
          <w:rFonts w:cs="Arial" w:hint="cs"/>
          <w:sz w:val="18"/>
          <w:szCs w:val="18"/>
          <w:rtl/>
        </w:rPr>
        <w:t>עמה</w:t>
      </w:r>
      <w:r w:rsidRPr="00473361">
        <w:rPr>
          <w:rFonts w:cs="Arial"/>
          <w:sz w:val="18"/>
          <w:szCs w:val="18"/>
          <w:rtl/>
        </w:rPr>
        <w:t xml:space="preserve"> </w:t>
      </w:r>
      <w:r w:rsidRPr="00473361">
        <w:rPr>
          <w:rFonts w:cs="Arial" w:hint="cs"/>
          <w:sz w:val="18"/>
          <w:szCs w:val="18"/>
          <w:rtl/>
        </w:rPr>
        <w:t>י</w:t>
      </w:r>
      <w:r w:rsidRPr="00473361">
        <w:rPr>
          <w:rFonts w:cs="Arial"/>
          <w:sz w:val="18"/>
          <w:szCs w:val="18"/>
          <w:rtl/>
        </w:rPr>
        <w:t xml:space="preserve">' </w:t>
      </w:r>
      <w:r w:rsidRPr="00473361">
        <w:rPr>
          <w:rFonts w:cs="Arial" w:hint="cs"/>
          <w:sz w:val="18"/>
          <w:szCs w:val="18"/>
          <w:rtl/>
        </w:rPr>
        <w:t>שנים</w:t>
      </w:r>
      <w:r w:rsidRPr="00473361">
        <w:rPr>
          <w:rFonts w:cs="Arial"/>
          <w:sz w:val="18"/>
          <w:szCs w:val="18"/>
          <w:rtl/>
        </w:rPr>
        <w:t xml:space="preserve">. </w:t>
      </w:r>
      <w:r w:rsidRPr="00473361">
        <w:rPr>
          <w:rFonts w:cs="Arial" w:hint="cs"/>
          <w:sz w:val="18"/>
          <w:szCs w:val="18"/>
          <w:rtl/>
        </w:rPr>
        <w:t>ואם</w:t>
      </w:r>
      <w:r w:rsidRPr="00473361">
        <w:rPr>
          <w:rFonts w:cs="Arial"/>
          <w:sz w:val="18"/>
          <w:szCs w:val="18"/>
          <w:rtl/>
        </w:rPr>
        <w:t xml:space="preserve"> </w:t>
      </w:r>
      <w:r w:rsidRPr="00473361">
        <w:rPr>
          <w:rFonts w:cs="Arial" w:hint="cs"/>
          <w:sz w:val="18"/>
          <w:szCs w:val="18"/>
          <w:rtl/>
        </w:rPr>
        <w:t>הפילה</w:t>
      </w:r>
      <w:r w:rsidRPr="00473361">
        <w:rPr>
          <w:rFonts w:cs="Arial"/>
          <w:sz w:val="18"/>
          <w:szCs w:val="18"/>
          <w:rtl/>
        </w:rPr>
        <w:t xml:space="preserve"> - </w:t>
      </w:r>
      <w:r w:rsidRPr="00473361">
        <w:rPr>
          <w:rFonts w:cs="Arial" w:hint="cs"/>
          <w:sz w:val="18"/>
          <w:szCs w:val="18"/>
          <w:rtl/>
        </w:rPr>
        <w:t>מונה</w:t>
      </w:r>
      <w:r w:rsidRPr="00473361">
        <w:rPr>
          <w:rFonts w:cs="Arial"/>
          <w:sz w:val="18"/>
          <w:szCs w:val="18"/>
          <w:rtl/>
        </w:rPr>
        <w:t xml:space="preserve"> </w:t>
      </w:r>
      <w:r w:rsidRPr="00473361">
        <w:rPr>
          <w:rFonts w:cs="Arial" w:hint="cs"/>
          <w:sz w:val="18"/>
          <w:szCs w:val="18"/>
          <w:rtl/>
        </w:rPr>
        <w:t>משעה</w:t>
      </w:r>
      <w:r w:rsidRPr="00473361">
        <w:rPr>
          <w:rFonts w:cs="Arial"/>
          <w:sz w:val="18"/>
          <w:szCs w:val="18"/>
          <w:rtl/>
        </w:rPr>
        <w:t xml:space="preserve"> </w:t>
      </w:r>
      <w:r w:rsidRPr="00473361">
        <w:rPr>
          <w:rFonts w:cs="Arial" w:hint="cs"/>
          <w:sz w:val="18"/>
          <w:szCs w:val="18"/>
          <w:rtl/>
        </w:rPr>
        <w:t>שהפילה"</w:t>
      </w:r>
      <w:r w:rsidRPr="00473361">
        <w:rPr>
          <w:rFonts w:cs="Arial"/>
          <w:sz w:val="18"/>
          <w:szCs w:val="18"/>
          <w:rtl/>
        </w:rPr>
        <w:t>.</w:t>
      </w:r>
      <w:r w:rsidRPr="00473361">
        <w:rPr>
          <w:rFonts w:cs="Arial" w:hint="cs"/>
          <w:sz w:val="18"/>
          <w:szCs w:val="18"/>
          <w:rtl/>
        </w:rPr>
        <w:br/>
      </w:r>
      <w:r w:rsidRPr="00473361">
        <w:rPr>
          <w:rFonts w:cs="Arial" w:hint="cs"/>
          <w:b/>
          <w:bCs/>
          <w:sz w:val="18"/>
          <w:szCs w:val="18"/>
          <w:rtl/>
        </w:rPr>
        <w:t>גמרא</w:t>
      </w:r>
      <w:r w:rsidRPr="00473361">
        <w:rPr>
          <w:rFonts w:cs="Arial" w:hint="cs"/>
          <w:sz w:val="18"/>
          <w:szCs w:val="18"/>
          <w:rtl/>
        </w:rPr>
        <w:t xml:space="preserve"> (שם, ע"ב) "שני</w:t>
      </w:r>
      <w:r w:rsidRPr="00473361">
        <w:rPr>
          <w:rFonts w:cs="Arial"/>
          <w:sz w:val="18"/>
          <w:szCs w:val="18"/>
          <w:rtl/>
        </w:rPr>
        <w:t xml:space="preserve"> </w:t>
      </w:r>
      <w:r w:rsidRPr="00473361">
        <w:rPr>
          <w:rFonts w:cs="Arial" w:hint="cs"/>
          <w:sz w:val="18"/>
          <w:szCs w:val="18"/>
          <w:rtl/>
        </w:rPr>
        <w:t>אין</w:t>
      </w:r>
      <w:r w:rsidRPr="00473361">
        <w:rPr>
          <w:rFonts w:cs="Arial"/>
          <w:sz w:val="18"/>
          <w:szCs w:val="18"/>
          <w:rtl/>
        </w:rPr>
        <w:t xml:space="preserve">, </w:t>
      </w:r>
      <w:r w:rsidRPr="00473361">
        <w:rPr>
          <w:rFonts w:cs="Arial" w:hint="cs"/>
          <w:sz w:val="18"/>
          <w:szCs w:val="18"/>
          <w:rtl/>
        </w:rPr>
        <w:t>שלישי</w:t>
      </w:r>
      <w:r w:rsidRPr="00473361">
        <w:rPr>
          <w:rFonts w:cs="Arial"/>
          <w:sz w:val="18"/>
          <w:szCs w:val="18"/>
          <w:rtl/>
        </w:rPr>
        <w:t xml:space="preserve"> </w:t>
      </w:r>
      <w:r w:rsidRPr="00473361">
        <w:rPr>
          <w:rFonts w:cs="Arial" w:hint="cs"/>
          <w:sz w:val="18"/>
          <w:szCs w:val="18"/>
          <w:rtl/>
        </w:rPr>
        <w:t>לא</w:t>
      </w:r>
      <w:r w:rsidRPr="00473361">
        <w:rPr>
          <w:rFonts w:cs="Arial"/>
          <w:sz w:val="18"/>
          <w:szCs w:val="18"/>
          <w:rtl/>
        </w:rPr>
        <w:t xml:space="preserve">, </w:t>
      </w:r>
      <w:r w:rsidRPr="00473361">
        <w:rPr>
          <w:rFonts w:cs="Arial" w:hint="cs"/>
          <w:sz w:val="18"/>
          <w:szCs w:val="18"/>
          <w:rtl/>
        </w:rPr>
        <w:t>מתניתין</w:t>
      </w:r>
      <w:r w:rsidRPr="00473361">
        <w:rPr>
          <w:rFonts w:cs="Arial"/>
          <w:sz w:val="18"/>
          <w:szCs w:val="18"/>
          <w:rtl/>
        </w:rPr>
        <w:t xml:space="preserve"> </w:t>
      </w:r>
      <w:r w:rsidRPr="00473361">
        <w:rPr>
          <w:rFonts w:cs="Arial" w:hint="cs"/>
          <w:sz w:val="18"/>
          <w:szCs w:val="18"/>
          <w:rtl/>
        </w:rPr>
        <w:t>מני</w:t>
      </w:r>
      <w:r w:rsidRPr="00473361">
        <w:rPr>
          <w:rFonts w:cs="Arial"/>
          <w:sz w:val="18"/>
          <w:szCs w:val="18"/>
          <w:rtl/>
        </w:rPr>
        <w:t xml:space="preserve">? </w:t>
      </w:r>
      <w:r w:rsidRPr="00473361">
        <w:rPr>
          <w:rFonts w:cs="Arial" w:hint="cs"/>
          <w:sz w:val="18"/>
          <w:szCs w:val="18"/>
          <w:rtl/>
        </w:rPr>
        <w:t>רבי</w:t>
      </w:r>
      <w:r w:rsidRPr="00473361">
        <w:rPr>
          <w:rFonts w:cs="Arial"/>
          <w:sz w:val="18"/>
          <w:szCs w:val="18"/>
          <w:rtl/>
        </w:rPr>
        <w:t xml:space="preserve"> </w:t>
      </w:r>
      <w:r w:rsidRPr="00473361">
        <w:rPr>
          <w:rFonts w:cs="Arial" w:hint="cs"/>
          <w:sz w:val="18"/>
          <w:szCs w:val="18"/>
          <w:rtl/>
        </w:rPr>
        <w:t>היא</w:t>
      </w:r>
      <w:r w:rsidRPr="00473361">
        <w:rPr>
          <w:rFonts w:cs="Arial"/>
          <w:sz w:val="18"/>
          <w:szCs w:val="18"/>
          <w:rtl/>
        </w:rPr>
        <w:t xml:space="preserve">; </w:t>
      </w:r>
      <w:r w:rsidRPr="00473361">
        <w:rPr>
          <w:rFonts w:cs="Arial" w:hint="cs"/>
          <w:sz w:val="18"/>
          <w:szCs w:val="18"/>
          <w:rtl/>
        </w:rPr>
        <w:t>דתניא</w:t>
      </w:r>
      <w:r w:rsidRPr="00473361">
        <w:rPr>
          <w:rFonts w:cs="Arial"/>
          <w:sz w:val="18"/>
          <w:szCs w:val="18"/>
          <w:rtl/>
        </w:rPr>
        <w:t xml:space="preserve">: </w:t>
      </w:r>
      <w:r w:rsidRPr="00473361">
        <w:rPr>
          <w:rFonts w:cs="Arial" w:hint="cs"/>
          <w:sz w:val="18"/>
          <w:szCs w:val="18"/>
          <w:rtl/>
        </w:rPr>
        <w:t>מלה</w:t>
      </w:r>
      <w:r w:rsidRPr="00473361">
        <w:rPr>
          <w:rFonts w:cs="Arial"/>
          <w:sz w:val="18"/>
          <w:szCs w:val="18"/>
          <w:rtl/>
        </w:rPr>
        <w:t xml:space="preserve"> </w:t>
      </w:r>
      <w:r w:rsidRPr="00473361">
        <w:rPr>
          <w:rFonts w:cs="Arial" w:hint="cs"/>
          <w:sz w:val="18"/>
          <w:szCs w:val="18"/>
          <w:rtl/>
        </w:rPr>
        <w:t>הראשון</w:t>
      </w:r>
      <w:r w:rsidRPr="00473361">
        <w:rPr>
          <w:rFonts w:cs="Arial"/>
          <w:sz w:val="18"/>
          <w:szCs w:val="18"/>
          <w:rtl/>
        </w:rPr>
        <w:t xml:space="preserve"> </w:t>
      </w:r>
      <w:r w:rsidRPr="00473361">
        <w:rPr>
          <w:rFonts w:cs="Arial" w:hint="cs"/>
          <w:sz w:val="18"/>
          <w:szCs w:val="18"/>
          <w:rtl/>
        </w:rPr>
        <w:t>ומת</w:t>
      </w:r>
      <w:r w:rsidRPr="00473361">
        <w:rPr>
          <w:rFonts w:cs="Arial"/>
          <w:sz w:val="18"/>
          <w:szCs w:val="18"/>
          <w:rtl/>
        </w:rPr>
        <w:t xml:space="preserve">, </w:t>
      </w:r>
      <w:r w:rsidRPr="00473361">
        <w:rPr>
          <w:rFonts w:cs="Arial" w:hint="cs"/>
          <w:sz w:val="18"/>
          <w:szCs w:val="18"/>
          <w:rtl/>
        </w:rPr>
        <w:t>שני</w:t>
      </w:r>
      <w:r w:rsidRPr="00473361">
        <w:rPr>
          <w:rFonts w:cs="Arial"/>
          <w:sz w:val="18"/>
          <w:szCs w:val="18"/>
          <w:rtl/>
        </w:rPr>
        <w:t xml:space="preserve"> </w:t>
      </w:r>
      <w:r w:rsidRPr="00473361">
        <w:rPr>
          <w:rFonts w:cs="Arial" w:hint="cs"/>
          <w:sz w:val="18"/>
          <w:szCs w:val="18"/>
          <w:rtl/>
        </w:rPr>
        <w:t>ומת</w:t>
      </w:r>
      <w:r w:rsidRPr="00473361">
        <w:rPr>
          <w:rFonts w:cs="Arial"/>
          <w:sz w:val="18"/>
          <w:szCs w:val="18"/>
          <w:rtl/>
        </w:rPr>
        <w:t xml:space="preserve"> - </w:t>
      </w:r>
      <w:r w:rsidRPr="00473361">
        <w:rPr>
          <w:rFonts w:cs="Arial" w:hint="cs"/>
          <w:sz w:val="18"/>
          <w:szCs w:val="18"/>
          <w:rtl/>
        </w:rPr>
        <w:t>שלישי</w:t>
      </w:r>
      <w:r w:rsidRPr="00473361">
        <w:rPr>
          <w:rFonts w:cs="Arial"/>
          <w:sz w:val="18"/>
          <w:szCs w:val="18"/>
          <w:rtl/>
        </w:rPr>
        <w:t xml:space="preserve"> </w:t>
      </w:r>
      <w:r w:rsidRPr="00473361">
        <w:rPr>
          <w:rFonts w:cs="Arial" w:hint="cs"/>
          <w:sz w:val="18"/>
          <w:szCs w:val="18"/>
          <w:rtl/>
        </w:rPr>
        <w:t>לא</w:t>
      </w:r>
      <w:r w:rsidRPr="00473361">
        <w:rPr>
          <w:rFonts w:cs="Arial"/>
          <w:sz w:val="18"/>
          <w:szCs w:val="18"/>
          <w:rtl/>
        </w:rPr>
        <w:t xml:space="preserve"> </w:t>
      </w:r>
      <w:r w:rsidRPr="00473361">
        <w:rPr>
          <w:rFonts w:cs="Arial" w:hint="cs"/>
          <w:sz w:val="18"/>
          <w:szCs w:val="18"/>
          <w:rtl/>
        </w:rPr>
        <w:t>תמול</w:t>
      </w:r>
      <w:r w:rsidRPr="00473361">
        <w:rPr>
          <w:rFonts w:cs="Arial"/>
          <w:sz w:val="18"/>
          <w:szCs w:val="18"/>
          <w:rtl/>
        </w:rPr>
        <w:t xml:space="preserve">, </w:t>
      </w:r>
      <w:r w:rsidRPr="00473361">
        <w:rPr>
          <w:rFonts w:cs="Arial" w:hint="cs"/>
          <w:sz w:val="18"/>
          <w:szCs w:val="18"/>
          <w:rtl/>
        </w:rPr>
        <w:t>דברי</w:t>
      </w:r>
      <w:r w:rsidRPr="00473361">
        <w:rPr>
          <w:rFonts w:cs="Arial"/>
          <w:sz w:val="18"/>
          <w:szCs w:val="18"/>
          <w:rtl/>
        </w:rPr>
        <w:t xml:space="preserve"> </w:t>
      </w:r>
      <w:r w:rsidRPr="00473361">
        <w:rPr>
          <w:rFonts w:cs="Arial" w:hint="cs"/>
          <w:sz w:val="18"/>
          <w:szCs w:val="18"/>
          <w:rtl/>
        </w:rPr>
        <w:t>רבי</w:t>
      </w:r>
      <w:r w:rsidRPr="00473361">
        <w:rPr>
          <w:rFonts w:cs="Arial"/>
          <w:sz w:val="18"/>
          <w:szCs w:val="18"/>
          <w:rtl/>
        </w:rPr>
        <w:t xml:space="preserve">; </w:t>
      </w:r>
      <w:r w:rsidRPr="00473361">
        <w:rPr>
          <w:rFonts w:cs="Arial" w:hint="cs"/>
          <w:sz w:val="18"/>
          <w:szCs w:val="18"/>
          <w:rtl/>
        </w:rPr>
        <w:t>רבן</w:t>
      </w:r>
      <w:r w:rsidRPr="00473361">
        <w:rPr>
          <w:rFonts w:cs="Arial"/>
          <w:sz w:val="18"/>
          <w:szCs w:val="18"/>
          <w:rtl/>
        </w:rPr>
        <w:t xml:space="preserve"> </w:t>
      </w:r>
      <w:r w:rsidRPr="00473361">
        <w:rPr>
          <w:rFonts w:cs="Arial" w:hint="cs"/>
          <w:sz w:val="18"/>
          <w:szCs w:val="18"/>
          <w:rtl/>
        </w:rPr>
        <w:t>שמעון</w:t>
      </w:r>
      <w:r w:rsidRPr="00473361">
        <w:rPr>
          <w:rFonts w:cs="Arial"/>
          <w:sz w:val="18"/>
          <w:szCs w:val="18"/>
          <w:rtl/>
        </w:rPr>
        <w:t xml:space="preserve"> </w:t>
      </w:r>
      <w:r w:rsidRPr="00473361">
        <w:rPr>
          <w:rFonts w:cs="Arial" w:hint="cs"/>
          <w:sz w:val="18"/>
          <w:szCs w:val="18"/>
          <w:rtl/>
        </w:rPr>
        <w:t>בן</w:t>
      </w:r>
      <w:r w:rsidRPr="00473361">
        <w:rPr>
          <w:rFonts w:cs="Arial"/>
          <w:sz w:val="18"/>
          <w:szCs w:val="18"/>
          <w:rtl/>
        </w:rPr>
        <w:t xml:space="preserve"> </w:t>
      </w:r>
      <w:r w:rsidRPr="00473361">
        <w:rPr>
          <w:rFonts w:cs="Arial" w:hint="cs"/>
          <w:sz w:val="18"/>
          <w:szCs w:val="18"/>
          <w:rtl/>
        </w:rPr>
        <w:t>גמליאל</w:t>
      </w:r>
      <w:r w:rsidRPr="00473361">
        <w:rPr>
          <w:rFonts w:cs="Arial"/>
          <w:sz w:val="18"/>
          <w:szCs w:val="18"/>
          <w:rtl/>
        </w:rPr>
        <w:t xml:space="preserve"> </w:t>
      </w:r>
      <w:r w:rsidRPr="00473361">
        <w:rPr>
          <w:rFonts w:cs="Arial" w:hint="cs"/>
          <w:sz w:val="18"/>
          <w:szCs w:val="18"/>
          <w:rtl/>
        </w:rPr>
        <w:t>אומר</w:t>
      </w:r>
      <w:r w:rsidRPr="00473361">
        <w:rPr>
          <w:rFonts w:cs="Arial"/>
          <w:sz w:val="18"/>
          <w:szCs w:val="18"/>
          <w:rtl/>
        </w:rPr>
        <w:t xml:space="preserve">: </w:t>
      </w:r>
      <w:r w:rsidRPr="00473361">
        <w:rPr>
          <w:rFonts w:cs="Arial" w:hint="cs"/>
          <w:sz w:val="18"/>
          <w:szCs w:val="18"/>
          <w:rtl/>
        </w:rPr>
        <w:t>שלישי</w:t>
      </w:r>
      <w:r w:rsidRPr="00473361">
        <w:rPr>
          <w:rFonts w:cs="Arial"/>
          <w:sz w:val="18"/>
          <w:szCs w:val="18"/>
          <w:rtl/>
        </w:rPr>
        <w:t xml:space="preserve"> </w:t>
      </w:r>
      <w:r w:rsidRPr="00473361">
        <w:rPr>
          <w:rFonts w:cs="Arial" w:hint="cs"/>
          <w:sz w:val="18"/>
          <w:szCs w:val="18"/>
          <w:rtl/>
        </w:rPr>
        <w:t>תמול</w:t>
      </w:r>
      <w:r w:rsidRPr="00473361">
        <w:rPr>
          <w:rFonts w:cs="Arial"/>
          <w:sz w:val="18"/>
          <w:szCs w:val="18"/>
          <w:rtl/>
        </w:rPr>
        <w:t xml:space="preserve">, </w:t>
      </w:r>
      <w:r w:rsidRPr="00473361">
        <w:rPr>
          <w:rFonts w:cs="Arial" w:hint="cs"/>
          <w:sz w:val="18"/>
          <w:szCs w:val="18"/>
          <w:rtl/>
        </w:rPr>
        <w:t>רביעי</w:t>
      </w:r>
      <w:r w:rsidRPr="00473361">
        <w:rPr>
          <w:rFonts w:cs="Arial"/>
          <w:sz w:val="18"/>
          <w:szCs w:val="18"/>
          <w:rtl/>
        </w:rPr>
        <w:t xml:space="preserve"> </w:t>
      </w:r>
      <w:r w:rsidRPr="00473361">
        <w:rPr>
          <w:rFonts w:cs="Arial" w:hint="cs"/>
          <w:sz w:val="18"/>
          <w:szCs w:val="18"/>
          <w:rtl/>
        </w:rPr>
        <w:t>לא</w:t>
      </w:r>
      <w:r w:rsidRPr="00473361">
        <w:rPr>
          <w:rFonts w:cs="Arial"/>
          <w:sz w:val="18"/>
          <w:szCs w:val="18"/>
          <w:rtl/>
        </w:rPr>
        <w:t xml:space="preserve"> </w:t>
      </w:r>
      <w:r w:rsidRPr="00473361">
        <w:rPr>
          <w:rFonts w:cs="Arial" w:hint="cs"/>
          <w:sz w:val="18"/>
          <w:szCs w:val="18"/>
          <w:rtl/>
        </w:rPr>
        <w:t>תמול"</w:t>
      </w:r>
      <w:r w:rsidRPr="00473361">
        <w:rPr>
          <w:rFonts w:cs="Arial"/>
          <w:sz w:val="18"/>
          <w:szCs w:val="18"/>
          <w:rtl/>
        </w:rPr>
        <w:t>.</w:t>
      </w:r>
      <w:r w:rsidRPr="00473361">
        <w:rPr>
          <w:rFonts w:cs="Arial" w:hint="cs"/>
          <w:sz w:val="18"/>
          <w:szCs w:val="18"/>
          <w:rtl/>
        </w:rPr>
        <w:br/>
      </w:r>
      <w:r w:rsidRPr="00473361">
        <w:rPr>
          <w:rFonts w:cs="Arial" w:hint="cs"/>
          <w:sz w:val="18"/>
          <w:szCs w:val="18"/>
          <w:u w:val="single"/>
          <w:rtl/>
        </w:rPr>
        <w:t xml:space="preserve">לסיכום </w:t>
      </w:r>
      <w:r w:rsidRPr="00473361">
        <w:rPr>
          <w:rFonts w:cs="Arial"/>
          <w:sz w:val="18"/>
          <w:szCs w:val="18"/>
          <w:rtl/>
        </w:rPr>
        <w:t>–</w:t>
      </w:r>
      <w:r w:rsidRPr="00473361">
        <w:rPr>
          <w:rFonts w:cs="Arial" w:hint="cs"/>
          <w:sz w:val="18"/>
          <w:szCs w:val="18"/>
          <w:rtl/>
        </w:rPr>
        <w:t xml:space="preserve"> דעת רבי היא שחזקה נוצרת בפעמיים, ולכן אשה שלא ילדה מותרת רק לשני גברים אך לשלישי לא תינשא משום שהיא מוחזקת בכך שאינה יולדת, וכן אם אשה מלה שני ילדים ומתו מחמת מילה לא תמול את השלישי משום שבניה מוחזקים למות מחמת מילה. רשב"ג חולק וסובר שחזקה נוצרת בג' פעמים, ולכן אשה שלא ילדה מותרת לבעל שלישי, וכן רק לאחר שמתו ג' ילדיה מחמת מילה אינה מלה את הרביעי.</w:t>
      </w:r>
    </w:p>
  </w:footnote>
  <w:footnote w:id="88">
    <w:p w:rsidR="005953C5" w:rsidRDefault="005953C5" w:rsidP="00620060">
      <w:pPr>
        <w:pStyle w:val="a3"/>
      </w:pPr>
      <w:r w:rsidRPr="002701FB">
        <w:rPr>
          <w:rStyle w:val="a5"/>
          <w:sz w:val="18"/>
          <w:szCs w:val="18"/>
        </w:rPr>
        <w:footnoteRef/>
      </w:r>
      <w:r w:rsidRPr="002701FB">
        <w:rPr>
          <w:sz w:val="18"/>
          <w:szCs w:val="18"/>
          <w:rtl/>
        </w:rPr>
        <w:t xml:space="preserve"> </w:t>
      </w:r>
      <w:r w:rsidRPr="002701FB">
        <w:rPr>
          <w:rFonts w:hint="cs"/>
          <w:sz w:val="18"/>
          <w:szCs w:val="18"/>
          <w:rtl/>
        </w:rPr>
        <w:t xml:space="preserve">למרות שאסורה לבעל שלישי, סובר הסמ"ג שמותרת לבעל הראשון והשני בביאה שלישית ואין אומרים שמוחזקת היא לראות לאחר פעמיים ותיאסר לבעלה. הטעם לכך </w:t>
      </w:r>
      <w:r>
        <w:rPr>
          <w:rFonts w:hint="cs"/>
          <w:sz w:val="18"/>
          <w:szCs w:val="18"/>
          <w:rtl/>
        </w:rPr>
        <w:t>הוא, משום שדין ווסתות מיושם כאן בנוגע למספר הבעילות דבהא הלכה כרשב"ג, אך לגבי מספר הבעלים יש לומר שאין זה בכלל ווסתות והלכה כרבי.</w:t>
      </w:r>
    </w:p>
  </w:footnote>
  <w:footnote w:id="89">
    <w:p w:rsidR="005953C5" w:rsidRDefault="005953C5" w:rsidP="00620060">
      <w:pPr>
        <w:pStyle w:val="a3"/>
        <w:rPr>
          <w:rtl/>
        </w:rPr>
      </w:pPr>
      <w:r w:rsidRPr="007E3495">
        <w:rPr>
          <w:rStyle w:val="a5"/>
          <w:sz w:val="18"/>
          <w:szCs w:val="18"/>
        </w:rPr>
        <w:footnoteRef/>
      </w:r>
      <w:r w:rsidRPr="007E3495">
        <w:rPr>
          <w:sz w:val="18"/>
          <w:szCs w:val="18"/>
          <w:rtl/>
        </w:rPr>
        <w:t xml:space="preserve"> </w:t>
      </w:r>
      <w:r w:rsidRPr="007E3495">
        <w:rPr>
          <w:rFonts w:hint="cs"/>
          <w:b/>
          <w:bCs/>
          <w:sz w:val="18"/>
          <w:szCs w:val="18"/>
          <w:rtl/>
        </w:rPr>
        <w:t xml:space="preserve">הב"ח </w:t>
      </w:r>
      <w:r w:rsidRPr="007E3495">
        <w:rPr>
          <w:rFonts w:hint="cs"/>
          <w:sz w:val="18"/>
          <w:szCs w:val="18"/>
          <w:rtl/>
        </w:rPr>
        <w:t xml:space="preserve">מציין שגירסת הרי"ף והרא"ש היא: "נישאת וראתה דם מחמת תשמיש", ולכאורה משמע כר"ח שמדובר שראתה מייד לאחר נישואיה, אך דחה זאת ואמר שאין הכרח לדייק כך ולאו דווקא קתני </w:t>
      </w:r>
      <w:r>
        <w:rPr>
          <w:rFonts w:hint="cs"/>
          <w:sz w:val="18"/>
          <w:szCs w:val="18"/>
          <w:rtl/>
        </w:rPr>
        <w:t>באופן זה</w:t>
      </w:r>
      <w:r w:rsidRPr="007E3495">
        <w:rPr>
          <w:rFonts w:hint="cs"/>
          <w:sz w:val="18"/>
          <w:szCs w:val="18"/>
          <w:rtl/>
        </w:rPr>
        <w:t>.</w:t>
      </w:r>
    </w:p>
  </w:footnote>
  <w:footnote w:id="90">
    <w:p w:rsidR="005953C5" w:rsidRDefault="005953C5" w:rsidP="00620060">
      <w:pPr>
        <w:pStyle w:val="a3"/>
      </w:pPr>
      <w:r w:rsidRPr="00E7413F">
        <w:rPr>
          <w:rStyle w:val="a5"/>
          <w:sz w:val="18"/>
          <w:szCs w:val="18"/>
        </w:rPr>
        <w:footnoteRef/>
      </w:r>
      <w:r w:rsidRPr="00E7413F">
        <w:rPr>
          <w:sz w:val="18"/>
          <w:szCs w:val="18"/>
          <w:rtl/>
        </w:rPr>
        <w:t xml:space="preserve"> </w:t>
      </w:r>
      <w:r w:rsidRPr="00E7413F">
        <w:rPr>
          <w:rFonts w:hint="cs"/>
          <w:sz w:val="18"/>
          <w:szCs w:val="18"/>
          <w:rtl/>
        </w:rPr>
        <w:t xml:space="preserve">לדין זה אין התייחסות מפורשת לעיל. ואמנם, דין זה פשוט שכך מוכח במשנה העוסקת בדיני קרבן וממנה למדו את פרקי הזמן לרמ"ת, שאם נמצא על עד שלו אפילו לאחר זמן חייבים קרבן ואם כן הוא הדין לרמ"ת. </w:t>
      </w:r>
    </w:p>
  </w:footnote>
  <w:footnote w:id="91">
    <w:p w:rsidR="005953C5" w:rsidRDefault="005953C5" w:rsidP="00620060">
      <w:pPr>
        <w:pStyle w:val="a3"/>
      </w:pPr>
      <w:r w:rsidRPr="001A20DE">
        <w:rPr>
          <w:rStyle w:val="a5"/>
          <w:sz w:val="18"/>
          <w:szCs w:val="18"/>
        </w:rPr>
        <w:footnoteRef/>
      </w:r>
      <w:r w:rsidRPr="001A20DE">
        <w:rPr>
          <w:sz w:val="18"/>
          <w:szCs w:val="18"/>
          <w:rtl/>
        </w:rPr>
        <w:t xml:space="preserve"> </w:t>
      </w:r>
      <w:r w:rsidRPr="001A20DE">
        <w:rPr>
          <w:rFonts w:hint="cs"/>
          <w:sz w:val="18"/>
          <w:szCs w:val="18"/>
          <w:rtl/>
        </w:rPr>
        <w:t xml:space="preserve">הרחבה - </w:t>
      </w:r>
      <w:r w:rsidRPr="001A20DE">
        <w:rPr>
          <w:sz w:val="18"/>
          <w:szCs w:val="18"/>
          <w:rtl/>
        </w:rPr>
        <w:br/>
      </w:r>
      <w:r w:rsidRPr="001A20DE">
        <w:rPr>
          <w:rFonts w:hint="cs"/>
          <w:b/>
          <w:bCs/>
          <w:sz w:val="18"/>
          <w:szCs w:val="18"/>
          <w:rtl/>
        </w:rPr>
        <w:t>תוה"ש</w:t>
      </w:r>
      <w:r w:rsidRPr="001A20DE">
        <w:rPr>
          <w:rFonts w:hint="cs"/>
          <w:sz w:val="18"/>
          <w:szCs w:val="18"/>
          <w:rtl/>
        </w:rPr>
        <w:t xml:space="preserve"> תולה דין </w:t>
      </w:r>
      <w:r>
        <w:rPr>
          <w:rFonts w:hint="cs"/>
          <w:sz w:val="18"/>
          <w:szCs w:val="18"/>
          <w:rtl/>
        </w:rPr>
        <w:t xml:space="preserve">זה </w:t>
      </w:r>
      <w:r w:rsidRPr="001A20DE">
        <w:rPr>
          <w:rFonts w:hint="cs"/>
          <w:sz w:val="18"/>
          <w:szCs w:val="18"/>
          <w:rtl/>
        </w:rPr>
        <w:t>בשאלה האם בראייה הראשונה מדובר שבדקה את עצמה לאחר תשמיש.</w:t>
      </w:r>
      <w:r w:rsidRPr="001A20DE">
        <w:rPr>
          <w:sz w:val="18"/>
          <w:szCs w:val="18"/>
          <w:rtl/>
        </w:rPr>
        <w:br/>
      </w:r>
      <w:r w:rsidRPr="001A20DE">
        <w:rPr>
          <w:rFonts w:hint="cs"/>
          <w:b/>
          <w:bCs/>
          <w:sz w:val="18"/>
          <w:szCs w:val="18"/>
          <w:rtl/>
        </w:rPr>
        <w:t>רמב"ם</w:t>
      </w:r>
      <w:r w:rsidRPr="001A20DE">
        <w:rPr>
          <w:rFonts w:hint="cs"/>
          <w:sz w:val="18"/>
          <w:szCs w:val="18"/>
          <w:rtl/>
        </w:rPr>
        <w:t xml:space="preserve"> </w:t>
      </w:r>
      <w:r w:rsidRPr="001A20DE">
        <w:rPr>
          <w:sz w:val="18"/>
          <w:szCs w:val="18"/>
          <w:rtl/>
        </w:rPr>
        <w:t>–</w:t>
      </w:r>
      <w:r w:rsidRPr="001A20DE">
        <w:rPr>
          <w:rFonts w:hint="cs"/>
          <w:sz w:val="18"/>
          <w:szCs w:val="18"/>
          <w:rtl/>
        </w:rPr>
        <w:t xml:space="preserve"> אפילו אשה שיש לה ווסת צריכה לבדוק עצמה לאחר תשמיש, חשש לרמ"ת בכל אשה, ולכן ראייה קמייתא מצטרפת.</w:t>
      </w:r>
      <w:r w:rsidRPr="001A20DE">
        <w:rPr>
          <w:sz w:val="18"/>
          <w:szCs w:val="18"/>
          <w:rtl/>
        </w:rPr>
        <w:br/>
      </w:r>
      <w:r w:rsidRPr="001A20DE">
        <w:rPr>
          <w:rFonts w:hint="cs"/>
          <w:b/>
          <w:bCs/>
          <w:sz w:val="18"/>
          <w:szCs w:val="18"/>
          <w:rtl/>
        </w:rPr>
        <w:t>טור ומחבר</w:t>
      </w:r>
      <w:r w:rsidRPr="001A20DE">
        <w:rPr>
          <w:rFonts w:hint="cs"/>
          <w:sz w:val="18"/>
          <w:szCs w:val="18"/>
          <w:rtl/>
        </w:rPr>
        <w:t xml:space="preserve"> </w:t>
      </w:r>
      <w:r w:rsidRPr="001A20DE">
        <w:rPr>
          <w:sz w:val="18"/>
          <w:szCs w:val="18"/>
          <w:rtl/>
        </w:rPr>
        <w:t>–</w:t>
      </w:r>
      <w:r w:rsidRPr="001A20DE">
        <w:rPr>
          <w:rFonts w:hint="cs"/>
          <w:sz w:val="18"/>
          <w:szCs w:val="18"/>
          <w:rtl/>
        </w:rPr>
        <w:t xml:space="preserve"> רק אשה שאין לה ווסת צריכה בדיקה לאחר תשמיש, כאן מדובר באשה שיש לה ווסת שאינה בודקת עצמה לאחר תשמיש ולכן ראייתה הראשונה אינה מצטרפת. </w:t>
      </w:r>
    </w:p>
  </w:footnote>
  <w:footnote w:id="92">
    <w:p w:rsidR="005953C5" w:rsidRDefault="005953C5" w:rsidP="00620060">
      <w:pPr>
        <w:pStyle w:val="a3"/>
        <w:rPr>
          <w:rtl/>
        </w:rPr>
      </w:pPr>
      <w:r w:rsidRPr="001A20DE">
        <w:rPr>
          <w:rStyle w:val="a5"/>
          <w:sz w:val="18"/>
          <w:szCs w:val="18"/>
        </w:rPr>
        <w:footnoteRef/>
      </w:r>
      <w:r w:rsidRPr="001A20DE">
        <w:rPr>
          <w:sz w:val="18"/>
          <w:szCs w:val="18"/>
          <w:rtl/>
        </w:rPr>
        <w:t xml:space="preserve"> </w:t>
      </w:r>
      <w:r w:rsidRPr="001A20DE">
        <w:rPr>
          <w:rFonts w:hint="cs"/>
          <w:sz w:val="18"/>
          <w:szCs w:val="18"/>
          <w:rtl/>
        </w:rPr>
        <w:t xml:space="preserve">אמנם, </w:t>
      </w:r>
      <w:r w:rsidRPr="001A20DE">
        <w:rPr>
          <w:rFonts w:hint="cs"/>
          <w:b/>
          <w:bCs/>
          <w:sz w:val="18"/>
          <w:szCs w:val="18"/>
          <w:rtl/>
        </w:rPr>
        <w:t>תוה"ש</w:t>
      </w:r>
      <w:r w:rsidRPr="001A20DE">
        <w:rPr>
          <w:rFonts w:hint="cs"/>
          <w:sz w:val="18"/>
          <w:szCs w:val="18"/>
          <w:rtl/>
        </w:rPr>
        <w:t xml:space="preserve"> מקשה על </w:t>
      </w:r>
      <w:r w:rsidRPr="001A20DE">
        <w:rPr>
          <w:rFonts w:hint="cs"/>
          <w:b/>
          <w:bCs/>
          <w:sz w:val="18"/>
          <w:szCs w:val="18"/>
          <w:rtl/>
        </w:rPr>
        <w:t>הש"ך</w:t>
      </w:r>
      <w:r w:rsidRPr="001A20DE">
        <w:rPr>
          <w:rFonts w:hint="cs"/>
          <w:sz w:val="18"/>
          <w:szCs w:val="18"/>
          <w:rtl/>
        </w:rPr>
        <w:t xml:space="preserve"> - </w:t>
      </w:r>
      <w:r w:rsidRPr="001A20DE">
        <w:rPr>
          <w:sz w:val="18"/>
          <w:szCs w:val="18"/>
          <w:rtl/>
        </w:rPr>
        <w:br/>
      </w:r>
      <w:r w:rsidRPr="001A20DE">
        <w:rPr>
          <w:rFonts w:hint="cs"/>
          <w:sz w:val="18"/>
          <w:szCs w:val="18"/>
          <w:rtl/>
        </w:rPr>
        <w:t>דעת הש"ך היא שאפילו אשה שאין לה ווסת קבוע אינה צריכה בדיקה לאחר תשמיש, ואם כן קשה מדוע ראייתה הראשונה עולה לה למניין ג' פעמים?</w:t>
      </w:r>
    </w:p>
  </w:footnote>
  <w:footnote w:id="93">
    <w:p w:rsidR="005953C5" w:rsidRDefault="005953C5" w:rsidP="00620060">
      <w:pPr>
        <w:pStyle w:val="a3"/>
      </w:pPr>
      <w:r w:rsidRPr="002E29D8">
        <w:rPr>
          <w:rStyle w:val="a5"/>
          <w:sz w:val="18"/>
          <w:szCs w:val="18"/>
        </w:rPr>
        <w:footnoteRef/>
      </w:r>
      <w:r w:rsidRPr="002E29D8">
        <w:rPr>
          <w:sz w:val="18"/>
          <w:szCs w:val="18"/>
          <w:rtl/>
        </w:rPr>
        <w:t xml:space="preserve"> </w:t>
      </w:r>
      <w:r w:rsidRPr="002E29D8">
        <w:rPr>
          <w:rFonts w:hint="cs"/>
          <w:sz w:val="18"/>
          <w:szCs w:val="18"/>
          <w:rtl/>
        </w:rPr>
        <w:t xml:space="preserve">כך כתבו ע"פ דברי הראב"ד שכתב את דבריו לגבי דיני ווסתות. ונראה </w:t>
      </w:r>
      <w:r w:rsidRPr="002E29D8">
        <w:rPr>
          <w:rFonts w:hint="cs"/>
          <w:b/>
          <w:bCs/>
          <w:sz w:val="18"/>
          <w:szCs w:val="18"/>
          <w:rtl/>
        </w:rPr>
        <w:t>שהחוו"ד</w:t>
      </w:r>
      <w:r w:rsidRPr="002E29D8">
        <w:rPr>
          <w:rFonts w:hint="cs"/>
          <w:sz w:val="18"/>
          <w:szCs w:val="18"/>
          <w:rtl/>
        </w:rPr>
        <w:t xml:space="preserve"> לטעמיה שאין האיסור משום ווסת אלא מחמת חולי.</w:t>
      </w:r>
    </w:p>
  </w:footnote>
  <w:footnote w:id="94">
    <w:p w:rsidR="005953C5" w:rsidRDefault="005953C5" w:rsidP="00620060">
      <w:pPr>
        <w:pStyle w:val="a3"/>
        <w:rPr>
          <w:rtl/>
        </w:rPr>
      </w:pPr>
      <w:r w:rsidRPr="00907B45">
        <w:rPr>
          <w:rStyle w:val="a5"/>
          <w:sz w:val="18"/>
          <w:szCs w:val="18"/>
        </w:rPr>
        <w:footnoteRef/>
      </w:r>
      <w:r w:rsidRPr="00907B45">
        <w:rPr>
          <w:sz w:val="18"/>
          <w:szCs w:val="18"/>
          <w:rtl/>
        </w:rPr>
        <w:t xml:space="preserve"> </w:t>
      </w:r>
      <w:r w:rsidRPr="00907B45">
        <w:rPr>
          <w:rFonts w:hint="cs"/>
          <w:sz w:val="18"/>
          <w:szCs w:val="18"/>
          <w:rtl/>
        </w:rPr>
        <w:t xml:space="preserve">עוד הקשה </w:t>
      </w:r>
      <w:r w:rsidRPr="00907B45">
        <w:rPr>
          <w:rFonts w:hint="cs"/>
          <w:b/>
          <w:bCs/>
          <w:sz w:val="18"/>
          <w:szCs w:val="18"/>
          <w:rtl/>
        </w:rPr>
        <w:t>הפת"ש</w:t>
      </w:r>
      <w:r w:rsidRPr="00907B45">
        <w:rPr>
          <w:rFonts w:hint="cs"/>
          <w:sz w:val="18"/>
          <w:szCs w:val="18"/>
          <w:rtl/>
        </w:rPr>
        <w:t xml:space="preserve"> על עי</w:t>
      </w:r>
      <w:r>
        <w:rPr>
          <w:rFonts w:hint="cs"/>
          <w:sz w:val="18"/>
          <w:szCs w:val="18"/>
          <w:rtl/>
        </w:rPr>
        <w:t>ק</w:t>
      </w:r>
      <w:r w:rsidRPr="00907B45">
        <w:rPr>
          <w:rFonts w:hint="cs"/>
          <w:sz w:val="18"/>
          <w:szCs w:val="18"/>
          <w:rtl/>
        </w:rPr>
        <w:t xml:space="preserve">ר שאלת </w:t>
      </w:r>
      <w:r w:rsidRPr="00907B45">
        <w:rPr>
          <w:rFonts w:hint="cs"/>
          <w:b/>
          <w:bCs/>
          <w:sz w:val="18"/>
          <w:szCs w:val="18"/>
          <w:rtl/>
        </w:rPr>
        <w:t xml:space="preserve">השיבת ציון </w:t>
      </w:r>
      <w:r w:rsidRPr="00907B45">
        <w:rPr>
          <w:rFonts w:hint="cs"/>
          <w:sz w:val="18"/>
          <w:szCs w:val="18"/>
          <w:rtl/>
        </w:rPr>
        <w:t xml:space="preserve">- </w:t>
      </w:r>
      <w:r w:rsidRPr="00907B45">
        <w:rPr>
          <w:sz w:val="18"/>
          <w:szCs w:val="18"/>
          <w:rtl/>
        </w:rPr>
        <w:br/>
      </w:r>
      <w:r w:rsidRPr="00907B45">
        <w:rPr>
          <w:rFonts w:hint="cs"/>
          <w:sz w:val="18"/>
          <w:szCs w:val="18"/>
          <w:rtl/>
        </w:rPr>
        <w:t xml:space="preserve">הרי יכולה האשה לבדוק עצמה ע"י שפופרת אפילו בעודה תחת בעלה הראשון, ואם כן אינה נאסרת </w:t>
      </w:r>
      <w:r>
        <w:rPr>
          <w:rFonts w:hint="cs"/>
          <w:sz w:val="18"/>
          <w:szCs w:val="18"/>
          <w:rtl/>
        </w:rPr>
        <w:t xml:space="preserve">אפילו אם ראתה ג' פעמים </w:t>
      </w:r>
      <w:r w:rsidRPr="00907B45">
        <w:rPr>
          <w:rFonts w:hint="cs"/>
          <w:sz w:val="18"/>
          <w:szCs w:val="18"/>
          <w:rtl/>
        </w:rPr>
        <w:t xml:space="preserve">ושפיר נאמנת לומר שראתה דם מחמת תשמיש! </w:t>
      </w:r>
      <w:r>
        <w:rPr>
          <w:sz w:val="18"/>
          <w:szCs w:val="18"/>
          <w:rtl/>
        </w:rPr>
        <w:br/>
      </w:r>
      <w:r>
        <w:rPr>
          <w:rFonts w:hint="cs"/>
          <w:sz w:val="18"/>
          <w:szCs w:val="18"/>
          <w:rtl/>
        </w:rPr>
        <w:t>מ</w:t>
      </w:r>
      <w:r w:rsidRPr="00907B45">
        <w:rPr>
          <w:rFonts w:hint="cs"/>
          <w:sz w:val="18"/>
          <w:szCs w:val="18"/>
          <w:rtl/>
        </w:rPr>
        <w:t xml:space="preserve">יישב </w:t>
      </w:r>
      <w:r>
        <w:rPr>
          <w:rFonts w:hint="cs"/>
          <w:sz w:val="18"/>
          <w:szCs w:val="18"/>
          <w:rtl/>
        </w:rPr>
        <w:t xml:space="preserve">- </w:t>
      </w:r>
      <w:r w:rsidRPr="00907B45">
        <w:rPr>
          <w:rFonts w:hint="cs"/>
          <w:sz w:val="18"/>
          <w:szCs w:val="18"/>
          <w:rtl/>
        </w:rPr>
        <w:t xml:space="preserve">כיוון דבדידה תליא מילתא ואם היא אינה רוצה לבדוק עצמה תחתיו נאסרת, והבעל אינו יכול לכוף אותה לבדוק. </w:t>
      </w:r>
      <w:r>
        <w:rPr>
          <w:sz w:val="18"/>
          <w:szCs w:val="18"/>
          <w:rtl/>
        </w:rPr>
        <w:br/>
      </w:r>
      <w:r>
        <w:rPr>
          <w:rFonts w:hint="cs"/>
          <w:sz w:val="18"/>
          <w:szCs w:val="18"/>
          <w:rtl/>
        </w:rPr>
        <w:t xml:space="preserve">ועוד יש ליישב </w:t>
      </w:r>
      <w:r>
        <w:rPr>
          <w:sz w:val="18"/>
          <w:szCs w:val="18"/>
          <w:rtl/>
        </w:rPr>
        <w:t>–</w:t>
      </w:r>
      <w:r>
        <w:rPr>
          <w:rFonts w:hint="cs"/>
          <w:sz w:val="18"/>
          <w:szCs w:val="18"/>
          <w:rtl/>
        </w:rPr>
        <w:t xml:space="preserve"> </w:t>
      </w:r>
      <w:r w:rsidRPr="00352F72">
        <w:rPr>
          <w:rFonts w:hint="cs"/>
          <w:b/>
          <w:bCs/>
          <w:sz w:val="18"/>
          <w:szCs w:val="18"/>
          <w:rtl/>
        </w:rPr>
        <w:t>הנוב"י והסד"ט</w:t>
      </w:r>
      <w:r>
        <w:rPr>
          <w:rFonts w:hint="cs"/>
          <w:sz w:val="18"/>
          <w:szCs w:val="18"/>
          <w:rtl/>
        </w:rPr>
        <w:t xml:space="preserve"> סוברים שבדיקת שפופרת מהני להתירה לבעל הראשון רק אם מצאה דם בצדדי השפופרת, אך אם לא מצאה דם אסורה לבעל הראשון, וא"כ שפיר יש לחקור בכך ולומר שאינה נאמנת </w:t>
      </w:r>
      <w:r w:rsidRPr="00352F72">
        <w:rPr>
          <w:rFonts w:hint="cs"/>
          <w:sz w:val="16"/>
          <w:szCs w:val="16"/>
          <w:rtl/>
        </w:rPr>
        <w:t>(שהרי אם באמת היא משקרת ואינה רמ"ת, הרי גם בבדיקה לא יימצא דם ומילא תיאסר על בעלה הראשון).</w:t>
      </w:r>
    </w:p>
  </w:footnote>
  <w:footnote w:id="95">
    <w:p w:rsidR="005953C5" w:rsidRDefault="005953C5" w:rsidP="00620060">
      <w:pPr>
        <w:pStyle w:val="a3"/>
        <w:rPr>
          <w:rtl/>
        </w:rPr>
      </w:pPr>
      <w:r w:rsidRPr="00697E24">
        <w:rPr>
          <w:rStyle w:val="a5"/>
          <w:sz w:val="18"/>
          <w:szCs w:val="18"/>
        </w:rPr>
        <w:footnoteRef/>
      </w:r>
      <w:r w:rsidRPr="00697E24">
        <w:rPr>
          <w:sz w:val="18"/>
          <w:szCs w:val="18"/>
          <w:rtl/>
        </w:rPr>
        <w:t xml:space="preserve"> </w:t>
      </w:r>
      <w:r w:rsidRPr="00697E24">
        <w:rPr>
          <w:rFonts w:hint="cs"/>
          <w:sz w:val="18"/>
          <w:szCs w:val="18"/>
          <w:rtl/>
        </w:rPr>
        <w:t xml:space="preserve">ולגבי מעוברת שרמ"ת ג' פעמים בזמן עיבורה, החמיר גם </w:t>
      </w:r>
      <w:r w:rsidRPr="00697E24">
        <w:rPr>
          <w:rFonts w:hint="cs"/>
          <w:b/>
          <w:bCs/>
          <w:sz w:val="18"/>
          <w:szCs w:val="18"/>
          <w:rtl/>
        </w:rPr>
        <w:t>הנוב"י</w:t>
      </w:r>
      <w:r w:rsidRPr="00697E24">
        <w:rPr>
          <w:rFonts w:hint="cs"/>
          <w:sz w:val="18"/>
          <w:szCs w:val="18"/>
          <w:rtl/>
        </w:rPr>
        <w:t xml:space="preserve"> לאוסרה כשאר רמ"ת. </w:t>
      </w:r>
      <w:r>
        <w:rPr>
          <w:sz w:val="18"/>
          <w:szCs w:val="18"/>
          <w:rtl/>
        </w:rPr>
        <w:br/>
      </w:r>
      <w:r w:rsidRPr="00697E24">
        <w:rPr>
          <w:rFonts w:hint="cs"/>
          <w:sz w:val="18"/>
          <w:szCs w:val="18"/>
          <w:rtl/>
        </w:rPr>
        <w:t xml:space="preserve">ואמנם, </w:t>
      </w:r>
      <w:r w:rsidRPr="00697E24">
        <w:rPr>
          <w:rFonts w:hint="cs"/>
          <w:b/>
          <w:bCs/>
          <w:sz w:val="18"/>
          <w:szCs w:val="18"/>
          <w:rtl/>
        </w:rPr>
        <w:t>הפת"ש</w:t>
      </w:r>
      <w:r w:rsidRPr="00697E24">
        <w:rPr>
          <w:rFonts w:hint="cs"/>
          <w:sz w:val="18"/>
          <w:szCs w:val="18"/>
          <w:rtl/>
        </w:rPr>
        <w:t xml:space="preserve"> הרחיב מעט את היריעה </w:t>
      </w:r>
      <w:r w:rsidRPr="00697E24">
        <w:rPr>
          <w:rFonts w:hint="cs"/>
          <w:sz w:val="16"/>
          <w:szCs w:val="16"/>
          <w:rtl/>
        </w:rPr>
        <w:t xml:space="preserve">(ע"פ הנוב"י במקומות נוספים) </w:t>
      </w:r>
      <w:r w:rsidRPr="00697E24">
        <w:rPr>
          <w:rFonts w:hint="cs"/>
          <w:sz w:val="18"/>
          <w:szCs w:val="18"/>
          <w:rtl/>
        </w:rPr>
        <w:t xml:space="preserve">וכתב שדין זה תלוי במחלוקת </w:t>
      </w:r>
      <w:r w:rsidRPr="00697E24">
        <w:rPr>
          <w:rFonts w:hint="cs"/>
          <w:b/>
          <w:bCs/>
          <w:sz w:val="18"/>
          <w:szCs w:val="18"/>
          <w:rtl/>
        </w:rPr>
        <w:t>ט"ז וש"ך</w:t>
      </w:r>
      <w:r w:rsidRPr="00697E24">
        <w:rPr>
          <w:rFonts w:hint="cs"/>
          <w:sz w:val="18"/>
          <w:szCs w:val="18"/>
          <w:rtl/>
        </w:rPr>
        <w:t xml:space="preserve"> האם</w:t>
      </w:r>
      <w:r>
        <w:rPr>
          <w:rFonts w:hint="cs"/>
          <w:sz w:val="18"/>
          <w:szCs w:val="18"/>
          <w:rtl/>
        </w:rPr>
        <w:t xml:space="preserve"> מעוברת חוששת לווסת שאינו קבוע.</w:t>
      </w:r>
      <w:r w:rsidRPr="00697E24">
        <w:rPr>
          <w:rFonts w:hint="cs"/>
          <w:sz w:val="18"/>
          <w:szCs w:val="18"/>
          <w:rtl/>
        </w:rPr>
        <w:t xml:space="preserve"> </w:t>
      </w:r>
      <w:r w:rsidRPr="00697E24">
        <w:rPr>
          <w:rFonts w:hint="cs"/>
          <w:b/>
          <w:bCs/>
          <w:sz w:val="18"/>
          <w:szCs w:val="18"/>
          <w:rtl/>
        </w:rPr>
        <w:t>הש"ך</w:t>
      </w:r>
      <w:r w:rsidRPr="00697E24">
        <w:rPr>
          <w:rFonts w:hint="cs"/>
          <w:sz w:val="18"/>
          <w:szCs w:val="18"/>
          <w:rtl/>
        </w:rPr>
        <w:t xml:space="preserve"> </w:t>
      </w:r>
      <w:r>
        <w:rPr>
          <w:rFonts w:hint="cs"/>
          <w:sz w:val="18"/>
          <w:szCs w:val="18"/>
          <w:rtl/>
        </w:rPr>
        <w:t>סובר</w:t>
      </w:r>
      <w:r w:rsidRPr="00697E24">
        <w:rPr>
          <w:rFonts w:hint="cs"/>
          <w:sz w:val="18"/>
          <w:szCs w:val="18"/>
          <w:rtl/>
        </w:rPr>
        <w:t xml:space="preserve"> שמעוברת שראתה ג' פעמים וקבעה ווסת חוששת לו, אך אינה חוששת לווסת שאינו קבוע, ולכן גם כאן אינה חוששת. אך </w:t>
      </w:r>
      <w:r w:rsidRPr="00697E24">
        <w:rPr>
          <w:rFonts w:hint="cs"/>
          <w:b/>
          <w:bCs/>
          <w:sz w:val="18"/>
          <w:szCs w:val="18"/>
          <w:rtl/>
        </w:rPr>
        <w:t>הט"ז</w:t>
      </w:r>
      <w:r w:rsidRPr="00697E24">
        <w:rPr>
          <w:rFonts w:hint="cs"/>
          <w:sz w:val="18"/>
          <w:szCs w:val="18"/>
          <w:rtl/>
        </w:rPr>
        <w:t xml:space="preserve"> </w:t>
      </w:r>
      <w:r>
        <w:rPr>
          <w:rFonts w:hint="cs"/>
          <w:sz w:val="18"/>
          <w:szCs w:val="18"/>
          <w:rtl/>
        </w:rPr>
        <w:t>סובר</w:t>
      </w:r>
      <w:r w:rsidRPr="00697E24">
        <w:rPr>
          <w:rFonts w:hint="cs"/>
          <w:sz w:val="18"/>
          <w:szCs w:val="18"/>
          <w:rtl/>
        </w:rPr>
        <w:t xml:space="preserve"> שמעוברת חוששת לווסת שאינו קבוע </w:t>
      </w:r>
      <w:r>
        <w:rPr>
          <w:rFonts w:hint="cs"/>
          <w:sz w:val="18"/>
          <w:szCs w:val="18"/>
          <w:rtl/>
        </w:rPr>
        <w:t>וה"ה</w:t>
      </w:r>
      <w:r w:rsidRPr="00697E24">
        <w:rPr>
          <w:rFonts w:hint="cs"/>
          <w:sz w:val="18"/>
          <w:szCs w:val="18"/>
          <w:rtl/>
        </w:rPr>
        <w:t xml:space="preserve"> כאן שחוששת. </w:t>
      </w:r>
    </w:p>
  </w:footnote>
  <w:footnote w:id="96">
    <w:p w:rsidR="005953C5" w:rsidRDefault="005953C5" w:rsidP="00620060">
      <w:pPr>
        <w:pStyle w:val="a3"/>
        <w:rPr>
          <w:rtl/>
        </w:rPr>
      </w:pPr>
      <w:r w:rsidRPr="00B333B7">
        <w:rPr>
          <w:rStyle w:val="a5"/>
          <w:sz w:val="18"/>
          <w:szCs w:val="18"/>
        </w:rPr>
        <w:footnoteRef/>
      </w:r>
      <w:r w:rsidRPr="00B333B7">
        <w:rPr>
          <w:sz w:val="18"/>
          <w:szCs w:val="18"/>
          <w:rtl/>
        </w:rPr>
        <w:t xml:space="preserve"> </w:t>
      </w:r>
      <w:r w:rsidRPr="00B333B7">
        <w:rPr>
          <w:rFonts w:hint="cs"/>
          <w:sz w:val="18"/>
          <w:szCs w:val="18"/>
          <w:rtl/>
        </w:rPr>
        <w:t xml:space="preserve">כך הסביר הרב שאול שליט"א, והוסיף לפי"ז </w:t>
      </w:r>
      <w:r w:rsidRPr="00B333B7">
        <w:rPr>
          <w:sz w:val="18"/>
          <w:szCs w:val="18"/>
          <w:rtl/>
        </w:rPr>
        <w:t>–</w:t>
      </w:r>
      <w:r w:rsidRPr="00B333B7">
        <w:rPr>
          <w:rFonts w:hint="cs"/>
          <w:sz w:val="18"/>
          <w:szCs w:val="18"/>
          <w:rtl/>
        </w:rPr>
        <w:t xml:space="preserve"> גם בדיקה שלא נעשית לאחר ז' נקיים מתירה את האשה לבעלה ובלבד שלא ראתה דם כלל בבדיקה זו ואם תראה דם בשעת תשמיש תפרוש. </w:t>
      </w:r>
      <w:r>
        <w:rPr>
          <w:sz w:val="18"/>
          <w:szCs w:val="18"/>
          <w:rtl/>
        </w:rPr>
        <w:br/>
      </w:r>
      <w:r w:rsidRPr="00B333B7">
        <w:rPr>
          <w:rFonts w:hint="cs"/>
          <w:sz w:val="18"/>
          <w:szCs w:val="18"/>
          <w:rtl/>
        </w:rPr>
        <w:t xml:space="preserve">כלומר, כוונת </w:t>
      </w:r>
      <w:r w:rsidRPr="00B333B7">
        <w:rPr>
          <w:rFonts w:hint="cs"/>
          <w:b/>
          <w:bCs/>
          <w:sz w:val="18"/>
          <w:szCs w:val="18"/>
          <w:rtl/>
        </w:rPr>
        <w:t>הנוב"י</w:t>
      </w:r>
      <w:r w:rsidRPr="00B333B7">
        <w:rPr>
          <w:rFonts w:hint="cs"/>
          <w:sz w:val="18"/>
          <w:szCs w:val="18"/>
          <w:rtl/>
        </w:rPr>
        <w:t xml:space="preserve"> שכדי לסמוך על בדיקה זו לגמרי עד כדי שאפילו אם תראה דם בשעת תשמיש תהיה מותרת לבעלה, זה רק אם הבדיקה באה לאחר ז' נקיים ומצאה דם בצדדים.</w:t>
      </w:r>
    </w:p>
  </w:footnote>
  <w:footnote w:id="97">
    <w:p w:rsidR="005953C5" w:rsidRDefault="005953C5" w:rsidP="00620060">
      <w:pPr>
        <w:pStyle w:val="a3"/>
      </w:pPr>
      <w:r w:rsidRPr="00627B6E">
        <w:rPr>
          <w:rStyle w:val="a5"/>
          <w:sz w:val="18"/>
          <w:szCs w:val="18"/>
        </w:rPr>
        <w:footnoteRef/>
      </w:r>
      <w:r w:rsidRPr="00627B6E">
        <w:rPr>
          <w:sz w:val="18"/>
          <w:szCs w:val="18"/>
          <w:rtl/>
        </w:rPr>
        <w:t xml:space="preserve"> </w:t>
      </w:r>
      <w:r w:rsidRPr="00627B6E">
        <w:rPr>
          <w:rFonts w:cs="Arial" w:hint="cs"/>
          <w:b/>
          <w:bCs/>
          <w:sz w:val="18"/>
          <w:szCs w:val="18"/>
          <w:rtl/>
        </w:rPr>
        <w:t>הרמבם והרא"ש</w:t>
      </w:r>
      <w:r w:rsidRPr="00627B6E">
        <w:rPr>
          <w:rFonts w:cs="Arial" w:hint="cs"/>
          <w:sz w:val="18"/>
          <w:szCs w:val="18"/>
          <w:rtl/>
        </w:rPr>
        <w:t xml:space="preserve"> כתבו להדיא שיש לסמוך על בדיקה זו גם היום.</w:t>
      </w:r>
      <w:r w:rsidRPr="00627B6E">
        <w:rPr>
          <w:rFonts w:cs="Arial"/>
          <w:sz w:val="18"/>
          <w:szCs w:val="18"/>
          <w:rtl/>
        </w:rPr>
        <w:br/>
      </w:r>
      <w:r w:rsidRPr="00627B6E">
        <w:rPr>
          <w:rFonts w:cs="Arial" w:hint="cs"/>
          <w:b/>
          <w:bCs/>
          <w:sz w:val="18"/>
          <w:szCs w:val="18"/>
          <w:rtl/>
        </w:rPr>
        <w:t>הרי"ף</w:t>
      </w:r>
      <w:r w:rsidRPr="00627B6E">
        <w:rPr>
          <w:rFonts w:cs="Arial" w:hint="cs"/>
          <w:sz w:val="18"/>
          <w:szCs w:val="18"/>
          <w:rtl/>
        </w:rPr>
        <w:t xml:space="preserve"> פסק אם אופן הבדיקה המוזכר בגמרא ולא כתב שאין לסמוך עליה היום, משמע שניתן לסמוך עליה.</w:t>
      </w:r>
      <w:r w:rsidRPr="00627B6E">
        <w:rPr>
          <w:rFonts w:hint="cs"/>
          <w:sz w:val="18"/>
          <w:szCs w:val="18"/>
          <w:rtl/>
        </w:rPr>
        <w:br/>
      </w:r>
      <w:r w:rsidRPr="00627B6E">
        <w:rPr>
          <w:rFonts w:hint="cs"/>
          <w:b/>
          <w:bCs/>
          <w:sz w:val="18"/>
          <w:szCs w:val="18"/>
          <w:rtl/>
        </w:rPr>
        <w:t>הגה"מ</w:t>
      </w:r>
      <w:r w:rsidRPr="00627B6E">
        <w:rPr>
          <w:rFonts w:hint="cs"/>
          <w:sz w:val="18"/>
          <w:szCs w:val="18"/>
          <w:rtl/>
        </w:rPr>
        <w:t xml:space="preserve"> כתב להדיא שמעשה בא לפני </w:t>
      </w:r>
      <w:r w:rsidRPr="00627B6E">
        <w:rPr>
          <w:rFonts w:hint="cs"/>
          <w:b/>
          <w:bCs/>
          <w:sz w:val="18"/>
          <w:szCs w:val="18"/>
          <w:rtl/>
        </w:rPr>
        <w:t>רבי יעקב</w:t>
      </w:r>
      <w:r w:rsidRPr="00627B6E">
        <w:rPr>
          <w:rFonts w:hint="cs"/>
          <w:sz w:val="18"/>
          <w:szCs w:val="18"/>
          <w:rtl/>
        </w:rPr>
        <w:t>, וסמך על בדיקה זו להתירה לבעלה.</w:t>
      </w:r>
    </w:p>
  </w:footnote>
  <w:footnote w:id="98">
    <w:p w:rsidR="005953C5" w:rsidRPr="00AC3338" w:rsidRDefault="005953C5" w:rsidP="00620060">
      <w:pPr>
        <w:pStyle w:val="a3"/>
        <w:rPr>
          <w:sz w:val="18"/>
          <w:szCs w:val="18"/>
        </w:rPr>
      </w:pPr>
      <w:r w:rsidRPr="00030C6B">
        <w:rPr>
          <w:rStyle w:val="a5"/>
          <w:sz w:val="18"/>
          <w:szCs w:val="18"/>
        </w:rPr>
        <w:footnoteRef/>
      </w:r>
      <w:r w:rsidRPr="00030C6B">
        <w:rPr>
          <w:sz w:val="18"/>
          <w:szCs w:val="18"/>
          <w:rtl/>
        </w:rPr>
        <w:t xml:space="preserve"> </w:t>
      </w:r>
      <w:r>
        <w:rPr>
          <w:rFonts w:hint="cs"/>
          <w:sz w:val="18"/>
          <w:szCs w:val="18"/>
          <w:rtl/>
        </w:rPr>
        <w:t xml:space="preserve">סיכום הקולות כאשר נמצא דם בצדדים - </w:t>
      </w:r>
      <w:r>
        <w:rPr>
          <w:sz w:val="18"/>
          <w:szCs w:val="18"/>
          <w:rtl/>
        </w:rPr>
        <w:br/>
      </w:r>
      <w:r>
        <w:rPr>
          <w:rFonts w:hint="cs"/>
          <w:sz w:val="18"/>
          <w:szCs w:val="18"/>
          <w:rtl/>
        </w:rPr>
        <w:t>א. בדיקה בימי עיבורה מהני.</w:t>
      </w:r>
      <w:r>
        <w:rPr>
          <w:rFonts w:hint="cs"/>
          <w:rtl/>
        </w:rPr>
        <w:br/>
      </w:r>
      <w:r w:rsidRPr="00AC3338">
        <w:rPr>
          <w:rFonts w:hint="cs"/>
          <w:sz w:val="18"/>
          <w:szCs w:val="18"/>
          <w:rtl/>
        </w:rPr>
        <w:t xml:space="preserve">ב. אפילו אם חוזרת ורואה אחר כך כשמשמשת </w:t>
      </w:r>
      <w:r w:rsidRPr="00AC3338">
        <w:rPr>
          <w:sz w:val="18"/>
          <w:szCs w:val="18"/>
          <w:rtl/>
        </w:rPr>
        <w:t>–</w:t>
      </w:r>
      <w:r w:rsidRPr="00AC3338">
        <w:rPr>
          <w:rFonts w:hint="cs"/>
          <w:sz w:val="18"/>
          <w:szCs w:val="18"/>
          <w:rtl/>
        </w:rPr>
        <w:t xml:space="preserve"> מותרת</w:t>
      </w:r>
      <w:r>
        <w:rPr>
          <w:rFonts w:hint="cs"/>
          <w:sz w:val="18"/>
          <w:szCs w:val="18"/>
          <w:rtl/>
        </w:rPr>
        <w:t xml:space="preserve"> </w:t>
      </w:r>
      <w:r w:rsidRPr="007E56F6">
        <w:rPr>
          <w:rFonts w:hint="cs"/>
          <w:sz w:val="16"/>
          <w:szCs w:val="16"/>
          <w:rtl/>
        </w:rPr>
        <w:t>(לדעת הנוב"י)</w:t>
      </w:r>
      <w:r w:rsidRPr="00AC3338">
        <w:rPr>
          <w:rFonts w:hint="cs"/>
          <w:sz w:val="18"/>
          <w:szCs w:val="18"/>
          <w:rtl/>
        </w:rPr>
        <w:t>.</w:t>
      </w:r>
      <w:r>
        <w:rPr>
          <w:rFonts w:hint="cs"/>
          <w:sz w:val="18"/>
          <w:szCs w:val="18"/>
          <w:rtl/>
        </w:rPr>
        <w:br/>
        <w:t>ג. לדעת המתירים בדיקה תחת בעלה הראשון, רק אם מצאה דם בצדדים מותרת לו.</w:t>
      </w:r>
    </w:p>
  </w:footnote>
  <w:footnote w:id="99">
    <w:p w:rsidR="005953C5" w:rsidRDefault="005953C5" w:rsidP="00620060">
      <w:pPr>
        <w:pStyle w:val="a3"/>
      </w:pPr>
      <w:r w:rsidRPr="00156749">
        <w:rPr>
          <w:rStyle w:val="a5"/>
          <w:sz w:val="18"/>
          <w:szCs w:val="18"/>
        </w:rPr>
        <w:footnoteRef/>
      </w:r>
      <w:r w:rsidRPr="00156749">
        <w:rPr>
          <w:sz w:val="18"/>
          <w:szCs w:val="18"/>
          <w:rtl/>
        </w:rPr>
        <w:t xml:space="preserve"> </w:t>
      </w:r>
      <w:r w:rsidRPr="00156749">
        <w:rPr>
          <w:rFonts w:hint="cs"/>
          <w:sz w:val="18"/>
          <w:szCs w:val="18"/>
          <w:rtl/>
        </w:rPr>
        <w:t>אלא אם כן הפילה חררת דם, כפי שמסופר בגמרא (שם) "</w:t>
      </w:r>
      <w:r w:rsidRPr="00156749">
        <w:rPr>
          <w:rFonts w:cs="Arial" w:hint="cs"/>
          <w:sz w:val="18"/>
          <w:szCs w:val="18"/>
          <w:rtl/>
        </w:rPr>
        <w:t>ההיא</w:t>
      </w:r>
      <w:r w:rsidRPr="00156749">
        <w:rPr>
          <w:rFonts w:cs="Arial"/>
          <w:sz w:val="18"/>
          <w:szCs w:val="18"/>
          <w:rtl/>
        </w:rPr>
        <w:t xml:space="preserve"> </w:t>
      </w:r>
      <w:r w:rsidRPr="00156749">
        <w:rPr>
          <w:rFonts w:cs="Arial" w:hint="cs"/>
          <w:sz w:val="18"/>
          <w:szCs w:val="18"/>
          <w:rtl/>
        </w:rPr>
        <w:t>דאתאי</w:t>
      </w:r>
      <w:r w:rsidRPr="00156749">
        <w:rPr>
          <w:rFonts w:cs="Arial"/>
          <w:sz w:val="18"/>
          <w:szCs w:val="18"/>
          <w:rtl/>
        </w:rPr>
        <w:t xml:space="preserve"> </w:t>
      </w:r>
      <w:r w:rsidRPr="00156749">
        <w:rPr>
          <w:rFonts w:cs="Arial" w:hint="cs"/>
          <w:sz w:val="18"/>
          <w:szCs w:val="18"/>
          <w:rtl/>
        </w:rPr>
        <w:t>לקמיה</w:t>
      </w:r>
      <w:r w:rsidRPr="00156749">
        <w:rPr>
          <w:rFonts w:cs="Arial"/>
          <w:sz w:val="18"/>
          <w:szCs w:val="18"/>
          <w:rtl/>
        </w:rPr>
        <w:t xml:space="preserve"> </w:t>
      </w:r>
      <w:r w:rsidRPr="00156749">
        <w:rPr>
          <w:rFonts w:cs="Arial" w:hint="cs"/>
          <w:sz w:val="18"/>
          <w:szCs w:val="18"/>
          <w:rtl/>
        </w:rPr>
        <w:t>דרבי</w:t>
      </w:r>
      <w:r w:rsidRPr="00156749">
        <w:rPr>
          <w:rFonts w:cs="Arial"/>
          <w:sz w:val="18"/>
          <w:szCs w:val="18"/>
          <w:rtl/>
        </w:rPr>
        <w:t xml:space="preserve">, </w:t>
      </w:r>
      <w:r w:rsidRPr="00156749">
        <w:rPr>
          <w:rFonts w:cs="Arial" w:hint="cs"/>
          <w:sz w:val="18"/>
          <w:szCs w:val="18"/>
          <w:rtl/>
        </w:rPr>
        <w:t>אמר</w:t>
      </w:r>
      <w:r w:rsidRPr="00156749">
        <w:rPr>
          <w:rFonts w:cs="Arial"/>
          <w:sz w:val="18"/>
          <w:szCs w:val="18"/>
          <w:rtl/>
        </w:rPr>
        <w:t xml:space="preserve"> </w:t>
      </w:r>
      <w:r w:rsidRPr="00156749">
        <w:rPr>
          <w:rFonts w:cs="Arial" w:hint="cs"/>
          <w:sz w:val="18"/>
          <w:szCs w:val="18"/>
          <w:rtl/>
        </w:rPr>
        <w:t>ליה</w:t>
      </w:r>
      <w:r w:rsidRPr="00156749">
        <w:rPr>
          <w:rFonts w:cs="Arial"/>
          <w:sz w:val="18"/>
          <w:szCs w:val="18"/>
          <w:rtl/>
        </w:rPr>
        <w:t xml:space="preserve"> </w:t>
      </w:r>
      <w:r w:rsidRPr="00156749">
        <w:rPr>
          <w:rFonts w:cs="Arial" w:hint="cs"/>
          <w:sz w:val="18"/>
          <w:szCs w:val="18"/>
          <w:rtl/>
        </w:rPr>
        <w:t>לאבדן</w:t>
      </w:r>
      <w:r w:rsidRPr="00156749">
        <w:rPr>
          <w:rFonts w:cs="Arial"/>
          <w:sz w:val="18"/>
          <w:szCs w:val="18"/>
          <w:rtl/>
        </w:rPr>
        <w:t xml:space="preserve">: </w:t>
      </w:r>
      <w:r w:rsidRPr="00156749">
        <w:rPr>
          <w:rFonts w:cs="Arial" w:hint="cs"/>
          <w:sz w:val="18"/>
          <w:szCs w:val="18"/>
          <w:rtl/>
        </w:rPr>
        <w:t>זיל</w:t>
      </w:r>
      <w:r w:rsidRPr="00156749">
        <w:rPr>
          <w:rFonts w:cs="Arial"/>
          <w:sz w:val="18"/>
          <w:szCs w:val="18"/>
          <w:rtl/>
        </w:rPr>
        <w:t xml:space="preserve"> </w:t>
      </w:r>
      <w:r w:rsidRPr="00156749">
        <w:rPr>
          <w:rFonts w:cs="Arial" w:hint="cs"/>
          <w:sz w:val="18"/>
          <w:szCs w:val="18"/>
          <w:rtl/>
        </w:rPr>
        <w:t>בעתה</w:t>
      </w:r>
      <w:r w:rsidRPr="00156749">
        <w:rPr>
          <w:rFonts w:cs="Arial"/>
          <w:sz w:val="18"/>
          <w:szCs w:val="18"/>
          <w:rtl/>
        </w:rPr>
        <w:t xml:space="preserve"> </w:t>
      </w:r>
      <w:r w:rsidRPr="00156749">
        <w:rPr>
          <w:rFonts w:cs="Arial" w:hint="cs"/>
          <w:sz w:val="18"/>
          <w:szCs w:val="18"/>
          <w:rtl/>
        </w:rPr>
        <w:t>אזל</w:t>
      </w:r>
      <w:r w:rsidRPr="00156749">
        <w:rPr>
          <w:rFonts w:cs="Arial"/>
          <w:sz w:val="18"/>
          <w:szCs w:val="18"/>
          <w:rtl/>
        </w:rPr>
        <w:t xml:space="preserve"> </w:t>
      </w:r>
      <w:r w:rsidRPr="00156749">
        <w:rPr>
          <w:rFonts w:cs="Arial" w:hint="cs"/>
          <w:sz w:val="18"/>
          <w:szCs w:val="18"/>
          <w:rtl/>
        </w:rPr>
        <w:t>בעתה</w:t>
      </w:r>
      <w:r w:rsidRPr="00156749">
        <w:rPr>
          <w:rFonts w:cs="Arial"/>
          <w:sz w:val="18"/>
          <w:szCs w:val="18"/>
          <w:rtl/>
        </w:rPr>
        <w:t xml:space="preserve">, </w:t>
      </w:r>
      <w:r w:rsidRPr="00156749">
        <w:rPr>
          <w:rFonts w:cs="Arial" w:hint="cs"/>
          <w:sz w:val="18"/>
          <w:szCs w:val="18"/>
          <w:rtl/>
        </w:rPr>
        <w:t>ונפל</w:t>
      </w:r>
      <w:r w:rsidRPr="00156749">
        <w:rPr>
          <w:rFonts w:cs="Arial"/>
          <w:sz w:val="18"/>
          <w:szCs w:val="18"/>
          <w:rtl/>
        </w:rPr>
        <w:t xml:space="preserve"> </w:t>
      </w:r>
      <w:r w:rsidRPr="00156749">
        <w:rPr>
          <w:rFonts w:cs="Arial" w:hint="cs"/>
          <w:sz w:val="18"/>
          <w:szCs w:val="18"/>
          <w:rtl/>
        </w:rPr>
        <w:t>ממנה</w:t>
      </w:r>
      <w:r w:rsidRPr="00156749">
        <w:rPr>
          <w:rFonts w:cs="Arial"/>
          <w:sz w:val="18"/>
          <w:szCs w:val="18"/>
          <w:rtl/>
        </w:rPr>
        <w:t xml:space="preserve"> </w:t>
      </w:r>
      <w:r w:rsidRPr="00156749">
        <w:rPr>
          <w:rFonts w:cs="Arial" w:hint="cs"/>
          <w:sz w:val="18"/>
          <w:szCs w:val="18"/>
          <w:rtl/>
        </w:rPr>
        <w:t>חררת</w:t>
      </w:r>
      <w:r w:rsidRPr="00156749">
        <w:rPr>
          <w:rFonts w:cs="Arial"/>
          <w:sz w:val="18"/>
          <w:szCs w:val="18"/>
          <w:rtl/>
        </w:rPr>
        <w:t xml:space="preserve"> </w:t>
      </w:r>
      <w:r w:rsidRPr="00156749">
        <w:rPr>
          <w:rFonts w:cs="Arial" w:hint="cs"/>
          <w:sz w:val="18"/>
          <w:szCs w:val="18"/>
          <w:rtl/>
        </w:rPr>
        <w:t>דם</w:t>
      </w:r>
      <w:r w:rsidRPr="00156749">
        <w:rPr>
          <w:rFonts w:cs="Arial"/>
          <w:sz w:val="18"/>
          <w:szCs w:val="18"/>
          <w:rtl/>
        </w:rPr>
        <w:t xml:space="preserve">. </w:t>
      </w:r>
      <w:r w:rsidRPr="00156749">
        <w:rPr>
          <w:rFonts w:cs="Arial" w:hint="cs"/>
          <w:sz w:val="18"/>
          <w:szCs w:val="18"/>
          <w:rtl/>
        </w:rPr>
        <w:t>אמר</w:t>
      </w:r>
      <w:r w:rsidRPr="00156749">
        <w:rPr>
          <w:rFonts w:cs="Arial"/>
          <w:sz w:val="18"/>
          <w:szCs w:val="18"/>
          <w:rtl/>
        </w:rPr>
        <w:t xml:space="preserve"> </w:t>
      </w:r>
      <w:r w:rsidRPr="00156749">
        <w:rPr>
          <w:rFonts w:cs="Arial" w:hint="cs"/>
          <w:sz w:val="18"/>
          <w:szCs w:val="18"/>
          <w:rtl/>
        </w:rPr>
        <w:t>רבי</w:t>
      </w:r>
      <w:r w:rsidRPr="00156749">
        <w:rPr>
          <w:rFonts w:cs="Arial"/>
          <w:sz w:val="18"/>
          <w:szCs w:val="18"/>
          <w:rtl/>
        </w:rPr>
        <w:t xml:space="preserve">: </w:t>
      </w:r>
      <w:r w:rsidRPr="00156749">
        <w:rPr>
          <w:rFonts w:cs="Arial" w:hint="cs"/>
          <w:sz w:val="18"/>
          <w:szCs w:val="18"/>
          <w:rtl/>
        </w:rPr>
        <w:t>נתרפאה</w:t>
      </w:r>
      <w:r w:rsidRPr="00156749">
        <w:rPr>
          <w:rFonts w:cs="Arial"/>
          <w:sz w:val="18"/>
          <w:szCs w:val="18"/>
          <w:rtl/>
        </w:rPr>
        <w:t xml:space="preserve"> </w:t>
      </w:r>
      <w:r w:rsidRPr="00156749">
        <w:rPr>
          <w:rFonts w:cs="Arial" w:hint="cs"/>
          <w:sz w:val="18"/>
          <w:szCs w:val="18"/>
          <w:rtl/>
        </w:rPr>
        <w:t>זאת".</w:t>
      </w:r>
    </w:p>
  </w:footnote>
  <w:footnote w:id="100">
    <w:p w:rsidR="005953C5" w:rsidRDefault="005953C5" w:rsidP="00620060">
      <w:pPr>
        <w:pStyle w:val="a3"/>
        <w:rPr>
          <w:rtl/>
        </w:rPr>
      </w:pPr>
      <w:r w:rsidRPr="00504751">
        <w:rPr>
          <w:rStyle w:val="a5"/>
          <w:sz w:val="18"/>
          <w:szCs w:val="18"/>
        </w:rPr>
        <w:footnoteRef/>
      </w:r>
      <w:r w:rsidRPr="00504751">
        <w:rPr>
          <w:sz w:val="18"/>
          <w:szCs w:val="18"/>
          <w:rtl/>
        </w:rPr>
        <w:t xml:space="preserve"> </w:t>
      </w:r>
      <w:r w:rsidRPr="00504751">
        <w:rPr>
          <w:rFonts w:hint="cs"/>
          <w:b/>
          <w:bCs/>
          <w:sz w:val="18"/>
          <w:szCs w:val="18"/>
          <w:rtl/>
        </w:rPr>
        <w:t>הבית יוסף</w:t>
      </w:r>
      <w:r w:rsidRPr="00504751">
        <w:rPr>
          <w:rFonts w:hint="cs"/>
          <w:sz w:val="18"/>
          <w:szCs w:val="18"/>
          <w:rtl/>
        </w:rPr>
        <w:t xml:space="preserve"> כתב שאין הכרח לפרש כך את </w:t>
      </w:r>
      <w:r w:rsidRPr="00504751">
        <w:rPr>
          <w:rFonts w:hint="cs"/>
          <w:b/>
          <w:bCs/>
          <w:sz w:val="18"/>
          <w:szCs w:val="18"/>
          <w:rtl/>
        </w:rPr>
        <w:t>רש"י</w:t>
      </w:r>
      <w:r w:rsidRPr="00504751">
        <w:rPr>
          <w:rFonts w:hint="cs"/>
          <w:sz w:val="18"/>
          <w:szCs w:val="18"/>
          <w:rtl/>
        </w:rPr>
        <w:t xml:space="preserve">, וניתן להסביר אותו כשיטת </w:t>
      </w:r>
      <w:r w:rsidRPr="00504751">
        <w:rPr>
          <w:rFonts w:hint="cs"/>
          <w:b/>
          <w:bCs/>
          <w:sz w:val="18"/>
          <w:szCs w:val="18"/>
          <w:rtl/>
        </w:rPr>
        <w:t xml:space="preserve">תוספות </w:t>
      </w:r>
      <w:r w:rsidRPr="00504751">
        <w:rPr>
          <w:rFonts w:hint="cs"/>
          <w:sz w:val="18"/>
          <w:szCs w:val="18"/>
          <w:rtl/>
        </w:rPr>
        <w:t>ורוב הראשונים.</w:t>
      </w:r>
      <w:r w:rsidRPr="00504751">
        <w:rPr>
          <w:sz w:val="18"/>
          <w:szCs w:val="18"/>
          <w:rtl/>
        </w:rPr>
        <w:br/>
      </w:r>
      <w:r w:rsidRPr="00504751">
        <w:rPr>
          <w:rFonts w:hint="cs"/>
          <w:b/>
          <w:bCs/>
          <w:sz w:val="18"/>
          <w:szCs w:val="18"/>
          <w:rtl/>
        </w:rPr>
        <w:t>ובשו"ת מהר"ם מלובלין</w:t>
      </w:r>
      <w:r w:rsidRPr="00504751">
        <w:rPr>
          <w:rFonts w:hint="cs"/>
          <w:sz w:val="18"/>
          <w:szCs w:val="18"/>
          <w:rtl/>
        </w:rPr>
        <w:t xml:space="preserve"> (נב') ביאר את דברי </w:t>
      </w:r>
      <w:r w:rsidRPr="00504751">
        <w:rPr>
          <w:rFonts w:hint="cs"/>
          <w:b/>
          <w:bCs/>
          <w:sz w:val="18"/>
          <w:szCs w:val="18"/>
          <w:rtl/>
        </w:rPr>
        <w:t>הבית יוסף</w:t>
      </w:r>
      <w:r w:rsidRPr="00504751">
        <w:rPr>
          <w:rFonts w:hint="cs"/>
          <w:sz w:val="18"/>
          <w:szCs w:val="18"/>
          <w:rtl/>
        </w:rPr>
        <w:t xml:space="preserve"> - </w:t>
      </w:r>
      <w:r w:rsidRPr="00504751">
        <w:rPr>
          <w:sz w:val="18"/>
          <w:szCs w:val="18"/>
          <w:rtl/>
        </w:rPr>
        <w:br/>
      </w:r>
      <w:r w:rsidRPr="00504751">
        <w:rPr>
          <w:rFonts w:hint="cs"/>
          <w:sz w:val="18"/>
          <w:szCs w:val="18"/>
          <w:rtl/>
        </w:rPr>
        <w:t xml:space="preserve">הראשונים שדייקו מרש"י כתבו שכך </w:t>
      </w:r>
      <w:r w:rsidRPr="00504751">
        <w:rPr>
          <w:rFonts w:hint="cs"/>
          <w:sz w:val="18"/>
          <w:szCs w:val="18"/>
          <w:u w:val="single"/>
          <w:rtl/>
        </w:rPr>
        <w:t>משמע</w:t>
      </w:r>
      <w:r w:rsidRPr="00504751">
        <w:rPr>
          <w:rFonts w:hint="cs"/>
          <w:sz w:val="18"/>
          <w:szCs w:val="18"/>
          <w:rtl/>
        </w:rPr>
        <w:t xml:space="preserve"> מדבריו, כלומר שאין הכרח לפרש כך. ונראה, שייתכן שרש"י התכוון רק לעצה טובה, כלומר שלא כדאי לה להישאר תחת בעלה הראשון ולסמוך על בדיקת שפופרת</w:t>
      </w:r>
      <w:r>
        <w:rPr>
          <w:rFonts w:hint="cs"/>
          <w:sz w:val="18"/>
          <w:szCs w:val="18"/>
          <w:rtl/>
        </w:rPr>
        <w:t>,</w:t>
      </w:r>
      <w:r w:rsidRPr="00504751">
        <w:rPr>
          <w:rFonts w:hint="cs"/>
          <w:sz w:val="18"/>
          <w:szCs w:val="18"/>
          <w:rtl/>
        </w:rPr>
        <w:t xml:space="preserve"> שמא תבוא לשגגת כרת.</w:t>
      </w:r>
    </w:p>
  </w:footnote>
  <w:footnote w:id="101">
    <w:p w:rsidR="005953C5" w:rsidRDefault="005953C5" w:rsidP="00620060">
      <w:pPr>
        <w:pStyle w:val="a3"/>
        <w:rPr>
          <w:rtl/>
        </w:rPr>
      </w:pPr>
      <w:r w:rsidRPr="008B347B">
        <w:rPr>
          <w:rStyle w:val="a5"/>
          <w:sz w:val="18"/>
          <w:szCs w:val="18"/>
        </w:rPr>
        <w:footnoteRef/>
      </w:r>
      <w:r w:rsidRPr="008B347B">
        <w:rPr>
          <w:sz w:val="18"/>
          <w:szCs w:val="18"/>
          <w:rtl/>
        </w:rPr>
        <w:t xml:space="preserve"> </w:t>
      </w:r>
      <w:r w:rsidRPr="008B347B">
        <w:rPr>
          <w:rFonts w:hint="cs"/>
          <w:sz w:val="18"/>
          <w:szCs w:val="18"/>
          <w:rtl/>
        </w:rPr>
        <w:t xml:space="preserve">הסבר המו"מ בסוגייה לפירושו - </w:t>
      </w:r>
      <w:r w:rsidRPr="008B347B">
        <w:rPr>
          <w:sz w:val="18"/>
          <w:szCs w:val="18"/>
          <w:rtl/>
        </w:rPr>
        <w:br/>
      </w:r>
      <w:r w:rsidRPr="008B347B">
        <w:rPr>
          <w:rFonts w:hint="cs"/>
          <w:sz w:val="18"/>
          <w:szCs w:val="18"/>
          <w:rtl/>
        </w:rPr>
        <w:t xml:space="preserve">מקשן </w:t>
      </w:r>
      <w:r w:rsidRPr="008B347B">
        <w:rPr>
          <w:sz w:val="18"/>
          <w:szCs w:val="18"/>
          <w:rtl/>
        </w:rPr>
        <w:t>–</w:t>
      </w:r>
      <w:r w:rsidRPr="008B347B">
        <w:rPr>
          <w:rFonts w:hint="cs"/>
          <w:sz w:val="18"/>
          <w:szCs w:val="18"/>
          <w:rtl/>
        </w:rPr>
        <w:t xml:space="preserve"> מדוע תתגרש, יכולה לבדוק עצמה כבר בהיותה תחת הבעל הראשון?</w:t>
      </w:r>
      <w:r w:rsidRPr="008B347B">
        <w:rPr>
          <w:rFonts w:hint="cs"/>
          <w:sz w:val="18"/>
          <w:szCs w:val="18"/>
          <w:rtl/>
        </w:rPr>
        <w:br/>
        <w:t xml:space="preserve">תרצן </w:t>
      </w:r>
      <w:r w:rsidRPr="008B347B">
        <w:rPr>
          <w:sz w:val="18"/>
          <w:szCs w:val="18"/>
          <w:rtl/>
        </w:rPr>
        <w:t>–</w:t>
      </w:r>
      <w:r w:rsidRPr="008B347B">
        <w:rPr>
          <w:rFonts w:hint="cs"/>
          <w:sz w:val="18"/>
          <w:szCs w:val="18"/>
          <w:rtl/>
        </w:rPr>
        <w:t xml:space="preserve"> אין לה ל</w:t>
      </w:r>
      <w:r>
        <w:rPr>
          <w:rFonts w:hint="cs"/>
          <w:sz w:val="18"/>
          <w:szCs w:val="18"/>
          <w:rtl/>
        </w:rPr>
        <w:t>היבדק</w:t>
      </w:r>
      <w:r w:rsidRPr="008B347B">
        <w:rPr>
          <w:rFonts w:hint="cs"/>
          <w:sz w:val="18"/>
          <w:szCs w:val="18"/>
          <w:rtl/>
        </w:rPr>
        <w:t xml:space="preserve"> תחתיו משום שהבדיקה איננה ודאית, אלא תתגרש ושמא לא תראה משום שאין </w:t>
      </w:r>
      <w:r>
        <w:rPr>
          <w:rFonts w:hint="cs"/>
          <w:sz w:val="18"/>
          <w:szCs w:val="18"/>
          <w:rtl/>
        </w:rPr>
        <w:t xml:space="preserve">כל </w:t>
      </w:r>
      <w:r w:rsidRPr="008B347B">
        <w:rPr>
          <w:rFonts w:hint="cs"/>
          <w:sz w:val="18"/>
          <w:szCs w:val="18"/>
          <w:rtl/>
        </w:rPr>
        <w:t>האצבעות שוות.</w:t>
      </w:r>
    </w:p>
  </w:footnote>
  <w:footnote w:id="102">
    <w:p w:rsidR="005953C5" w:rsidRDefault="005953C5" w:rsidP="00620060">
      <w:pPr>
        <w:pStyle w:val="a3"/>
        <w:rPr>
          <w:rtl/>
        </w:rPr>
      </w:pPr>
      <w:r w:rsidRPr="00CD745A">
        <w:rPr>
          <w:rStyle w:val="a5"/>
          <w:sz w:val="18"/>
          <w:szCs w:val="18"/>
        </w:rPr>
        <w:footnoteRef/>
      </w:r>
      <w:r w:rsidRPr="00CD745A">
        <w:rPr>
          <w:sz w:val="18"/>
          <w:szCs w:val="18"/>
          <w:rtl/>
        </w:rPr>
        <w:t xml:space="preserve"> </w:t>
      </w:r>
      <w:r w:rsidRPr="00CD745A">
        <w:rPr>
          <w:rFonts w:hint="cs"/>
          <w:sz w:val="18"/>
          <w:szCs w:val="18"/>
          <w:rtl/>
        </w:rPr>
        <w:t xml:space="preserve">זו לשון </w:t>
      </w:r>
      <w:r w:rsidRPr="00967968">
        <w:rPr>
          <w:rFonts w:hint="cs"/>
          <w:b/>
          <w:bCs/>
          <w:sz w:val="18"/>
          <w:szCs w:val="18"/>
          <w:rtl/>
        </w:rPr>
        <w:t>הרמב"ם</w:t>
      </w:r>
      <w:r w:rsidRPr="00CD745A">
        <w:rPr>
          <w:rFonts w:hint="cs"/>
          <w:sz w:val="18"/>
          <w:szCs w:val="18"/>
          <w:rtl/>
        </w:rPr>
        <w:t xml:space="preserve"> </w:t>
      </w:r>
      <w:r w:rsidRPr="00CD745A">
        <w:rPr>
          <w:sz w:val="18"/>
          <w:szCs w:val="18"/>
          <w:rtl/>
        </w:rPr>
        <w:t>–</w:t>
      </w:r>
      <w:r w:rsidRPr="00CD745A">
        <w:rPr>
          <w:rFonts w:hint="cs"/>
          <w:sz w:val="18"/>
          <w:szCs w:val="18"/>
          <w:rtl/>
        </w:rPr>
        <w:t xml:space="preserve"> "</w:t>
      </w:r>
      <w:r w:rsidRPr="00CD745A">
        <w:rPr>
          <w:rFonts w:cs="Arial" w:hint="cs"/>
          <w:sz w:val="18"/>
          <w:szCs w:val="18"/>
          <w:rtl/>
        </w:rPr>
        <w:t>מי</w:t>
      </w:r>
      <w:r w:rsidRPr="00CD745A">
        <w:rPr>
          <w:rFonts w:cs="Arial"/>
          <w:sz w:val="18"/>
          <w:szCs w:val="18"/>
          <w:rtl/>
        </w:rPr>
        <w:t xml:space="preserve"> </w:t>
      </w:r>
      <w:r w:rsidRPr="00CD745A">
        <w:rPr>
          <w:rFonts w:cs="Arial" w:hint="cs"/>
          <w:sz w:val="18"/>
          <w:szCs w:val="18"/>
          <w:rtl/>
        </w:rPr>
        <w:t>שראתה</w:t>
      </w:r>
      <w:r w:rsidRPr="00CD745A">
        <w:rPr>
          <w:rFonts w:cs="Arial"/>
          <w:sz w:val="18"/>
          <w:szCs w:val="18"/>
          <w:rtl/>
        </w:rPr>
        <w:t xml:space="preserve"> </w:t>
      </w:r>
      <w:r w:rsidRPr="00CD745A">
        <w:rPr>
          <w:rFonts w:cs="Arial" w:hint="cs"/>
          <w:sz w:val="18"/>
          <w:szCs w:val="18"/>
          <w:rtl/>
        </w:rPr>
        <w:t>דם</w:t>
      </w:r>
      <w:r w:rsidRPr="00CD745A">
        <w:rPr>
          <w:rFonts w:cs="Arial"/>
          <w:sz w:val="18"/>
          <w:szCs w:val="18"/>
          <w:rtl/>
        </w:rPr>
        <w:t xml:space="preserve"> </w:t>
      </w:r>
      <w:r w:rsidRPr="00CD745A">
        <w:rPr>
          <w:rFonts w:cs="Arial" w:hint="cs"/>
          <w:sz w:val="18"/>
          <w:szCs w:val="18"/>
          <w:rtl/>
        </w:rPr>
        <w:t>בשעת</w:t>
      </w:r>
      <w:r w:rsidRPr="00CD745A">
        <w:rPr>
          <w:rFonts w:cs="Arial"/>
          <w:sz w:val="18"/>
          <w:szCs w:val="18"/>
          <w:rtl/>
        </w:rPr>
        <w:t xml:space="preserve"> </w:t>
      </w:r>
      <w:r w:rsidRPr="00CD745A">
        <w:rPr>
          <w:rFonts w:cs="Arial" w:hint="cs"/>
          <w:sz w:val="18"/>
          <w:szCs w:val="18"/>
          <w:rtl/>
        </w:rPr>
        <w:t>תשמיש</w:t>
      </w:r>
      <w:r w:rsidRPr="00CD745A">
        <w:rPr>
          <w:rFonts w:cs="Arial"/>
          <w:sz w:val="18"/>
          <w:szCs w:val="18"/>
          <w:rtl/>
        </w:rPr>
        <w:t xml:space="preserve"> </w:t>
      </w:r>
      <w:r w:rsidRPr="00CD745A">
        <w:rPr>
          <w:rFonts w:cs="Arial" w:hint="cs"/>
          <w:sz w:val="18"/>
          <w:szCs w:val="18"/>
          <w:rtl/>
        </w:rPr>
        <w:t>פעם</w:t>
      </w:r>
      <w:r w:rsidRPr="00CD745A">
        <w:rPr>
          <w:rFonts w:cs="Arial"/>
          <w:sz w:val="18"/>
          <w:szCs w:val="18"/>
          <w:rtl/>
        </w:rPr>
        <w:t xml:space="preserve"> </w:t>
      </w:r>
      <w:r w:rsidRPr="00CD745A">
        <w:rPr>
          <w:rFonts w:cs="Arial" w:hint="cs"/>
          <w:sz w:val="18"/>
          <w:szCs w:val="18"/>
          <w:rtl/>
        </w:rPr>
        <w:t>ראשונה</w:t>
      </w:r>
      <w:r w:rsidRPr="00CD745A">
        <w:rPr>
          <w:rFonts w:cs="Arial"/>
          <w:sz w:val="18"/>
          <w:szCs w:val="18"/>
          <w:rtl/>
        </w:rPr>
        <w:t xml:space="preserve"> </w:t>
      </w:r>
      <w:r w:rsidRPr="00CD745A">
        <w:rPr>
          <w:rFonts w:cs="Arial" w:hint="cs"/>
          <w:sz w:val="18"/>
          <w:szCs w:val="18"/>
          <w:rtl/>
        </w:rPr>
        <w:t>ושנייה</w:t>
      </w:r>
      <w:r w:rsidRPr="00CD745A">
        <w:rPr>
          <w:rFonts w:cs="Arial"/>
          <w:sz w:val="18"/>
          <w:szCs w:val="18"/>
          <w:rtl/>
        </w:rPr>
        <w:t xml:space="preserve"> </w:t>
      </w:r>
      <w:r w:rsidRPr="00CD745A">
        <w:rPr>
          <w:rFonts w:cs="Arial" w:hint="cs"/>
          <w:sz w:val="18"/>
          <w:szCs w:val="18"/>
          <w:rtl/>
        </w:rPr>
        <w:t>ושלישית</w:t>
      </w:r>
      <w:r w:rsidRPr="00CD745A">
        <w:rPr>
          <w:rFonts w:cs="Arial"/>
          <w:sz w:val="18"/>
          <w:szCs w:val="18"/>
          <w:rtl/>
        </w:rPr>
        <w:t xml:space="preserve"> </w:t>
      </w:r>
      <w:r w:rsidRPr="00CD745A">
        <w:rPr>
          <w:rFonts w:cs="Arial" w:hint="cs"/>
          <w:sz w:val="18"/>
          <w:szCs w:val="18"/>
          <w:rtl/>
        </w:rPr>
        <w:t>הרי</w:t>
      </w:r>
      <w:r w:rsidRPr="00CD745A">
        <w:rPr>
          <w:rFonts w:cs="Arial"/>
          <w:sz w:val="18"/>
          <w:szCs w:val="18"/>
          <w:rtl/>
        </w:rPr>
        <w:t xml:space="preserve"> </w:t>
      </w:r>
      <w:r w:rsidRPr="00CD745A">
        <w:rPr>
          <w:rFonts w:cs="Arial" w:hint="cs"/>
          <w:sz w:val="18"/>
          <w:szCs w:val="18"/>
          <w:rtl/>
        </w:rPr>
        <w:t>זו</w:t>
      </w:r>
      <w:r w:rsidRPr="00CD745A">
        <w:rPr>
          <w:rFonts w:cs="Arial"/>
          <w:sz w:val="18"/>
          <w:szCs w:val="18"/>
          <w:rtl/>
        </w:rPr>
        <w:t xml:space="preserve"> </w:t>
      </w:r>
      <w:r w:rsidRPr="00CD745A">
        <w:rPr>
          <w:rFonts w:cs="Arial" w:hint="cs"/>
          <w:sz w:val="18"/>
          <w:szCs w:val="18"/>
          <w:rtl/>
        </w:rPr>
        <w:t>תתגרש</w:t>
      </w:r>
      <w:r w:rsidRPr="00CD745A">
        <w:rPr>
          <w:rFonts w:cs="Arial"/>
          <w:sz w:val="18"/>
          <w:szCs w:val="18"/>
          <w:rtl/>
        </w:rPr>
        <w:t xml:space="preserve"> </w:t>
      </w:r>
      <w:r w:rsidRPr="00CD745A">
        <w:rPr>
          <w:rFonts w:cs="Arial" w:hint="cs"/>
          <w:sz w:val="18"/>
          <w:szCs w:val="18"/>
          <w:rtl/>
        </w:rPr>
        <w:t>ומותרת</w:t>
      </w:r>
      <w:r w:rsidRPr="00CD745A">
        <w:rPr>
          <w:rFonts w:cs="Arial"/>
          <w:sz w:val="18"/>
          <w:szCs w:val="18"/>
          <w:rtl/>
        </w:rPr>
        <w:t xml:space="preserve"> </w:t>
      </w:r>
      <w:r w:rsidRPr="00CD745A">
        <w:rPr>
          <w:rFonts w:cs="Arial" w:hint="cs"/>
          <w:sz w:val="18"/>
          <w:szCs w:val="18"/>
          <w:rtl/>
        </w:rPr>
        <w:t>להינשא</w:t>
      </w:r>
      <w:r w:rsidRPr="00CD745A">
        <w:rPr>
          <w:rFonts w:cs="Arial"/>
          <w:sz w:val="18"/>
          <w:szCs w:val="18"/>
          <w:rtl/>
        </w:rPr>
        <w:t xml:space="preserve"> </w:t>
      </w:r>
      <w:r w:rsidRPr="00CD745A">
        <w:rPr>
          <w:rFonts w:cs="Arial" w:hint="cs"/>
          <w:sz w:val="18"/>
          <w:szCs w:val="18"/>
          <w:rtl/>
        </w:rPr>
        <w:t>לשני</w:t>
      </w:r>
      <w:r w:rsidRPr="00CD745A">
        <w:rPr>
          <w:rFonts w:cs="Arial"/>
          <w:sz w:val="18"/>
          <w:szCs w:val="18"/>
          <w:rtl/>
        </w:rPr>
        <w:t xml:space="preserve">, </w:t>
      </w:r>
      <w:r w:rsidRPr="00CD745A">
        <w:rPr>
          <w:rFonts w:cs="Arial" w:hint="cs"/>
          <w:sz w:val="18"/>
          <w:szCs w:val="18"/>
          <w:rtl/>
        </w:rPr>
        <w:t>נשאת</w:t>
      </w:r>
      <w:r w:rsidRPr="00CD745A">
        <w:rPr>
          <w:rFonts w:cs="Arial"/>
          <w:sz w:val="18"/>
          <w:szCs w:val="18"/>
          <w:rtl/>
        </w:rPr>
        <w:t xml:space="preserve"> </w:t>
      </w:r>
      <w:r w:rsidRPr="00CD745A">
        <w:rPr>
          <w:rFonts w:cs="Arial" w:hint="cs"/>
          <w:sz w:val="18"/>
          <w:szCs w:val="18"/>
          <w:rtl/>
        </w:rPr>
        <w:t>לשני</w:t>
      </w:r>
      <w:r w:rsidRPr="00CD745A">
        <w:rPr>
          <w:rFonts w:cs="Arial"/>
          <w:sz w:val="18"/>
          <w:szCs w:val="18"/>
          <w:rtl/>
        </w:rPr>
        <w:t xml:space="preserve"> </w:t>
      </w:r>
      <w:r w:rsidRPr="00CD745A">
        <w:rPr>
          <w:rFonts w:cs="Arial" w:hint="cs"/>
          <w:sz w:val="18"/>
          <w:szCs w:val="18"/>
          <w:rtl/>
        </w:rPr>
        <w:t>וראתה</w:t>
      </w:r>
      <w:r w:rsidRPr="00CD745A">
        <w:rPr>
          <w:rFonts w:cs="Arial"/>
          <w:sz w:val="18"/>
          <w:szCs w:val="18"/>
          <w:rtl/>
        </w:rPr>
        <w:t xml:space="preserve"> </w:t>
      </w:r>
      <w:r w:rsidRPr="00CD745A">
        <w:rPr>
          <w:rFonts w:cs="Arial" w:hint="cs"/>
          <w:sz w:val="18"/>
          <w:szCs w:val="18"/>
          <w:rtl/>
        </w:rPr>
        <w:t>דם</w:t>
      </w:r>
      <w:r w:rsidRPr="00CD745A">
        <w:rPr>
          <w:rFonts w:cs="Arial"/>
          <w:sz w:val="18"/>
          <w:szCs w:val="18"/>
          <w:rtl/>
        </w:rPr>
        <w:t xml:space="preserve"> </w:t>
      </w:r>
      <w:r w:rsidRPr="00CD745A">
        <w:rPr>
          <w:rFonts w:cs="Arial" w:hint="cs"/>
          <w:sz w:val="18"/>
          <w:szCs w:val="18"/>
          <w:rtl/>
        </w:rPr>
        <w:t>כך</w:t>
      </w:r>
      <w:r w:rsidRPr="00CD745A">
        <w:rPr>
          <w:rFonts w:cs="Arial"/>
          <w:sz w:val="18"/>
          <w:szCs w:val="18"/>
          <w:rtl/>
        </w:rPr>
        <w:t xml:space="preserve"> </w:t>
      </w:r>
      <w:r w:rsidRPr="00CD745A">
        <w:rPr>
          <w:rFonts w:cs="Arial" w:hint="cs"/>
          <w:sz w:val="18"/>
          <w:szCs w:val="18"/>
          <w:rtl/>
        </w:rPr>
        <w:t>בשעת</w:t>
      </w:r>
      <w:r w:rsidRPr="00CD745A">
        <w:rPr>
          <w:rFonts w:cs="Arial"/>
          <w:sz w:val="18"/>
          <w:szCs w:val="18"/>
          <w:rtl/>
        </w:rPr>
        <w:t xml:space="preserve"> </w:t>
      </w:r>
      <w:r w:rsidRPr="00CD745A">
        <w:rPr>
          <w:rFonts w:cs="Arial" w:hint="cs"/>
          <w:sz w:val="18"/>
          <w:szCs w:val="18"/>
          <w:rtl/>
        </w:rPr>
        <w:t>תשמיש</w:t>
      </w:r>
      <w:r w:rsidRPr="00CD745A">
        <w:rPr>
          <w:rFonts w:cs="Arial"/>
          <w:sz w:val="18"/>
          <w:szCs w:val="18"/>
          <w:rtl/>
        </w:rPr>
        <w:t xml:space="preserve"> </w:t>
      </w:r>
      <w:r w:rsidRPr="00CD745A">
        <w:rPr>
          <w:rFonts w:cs="Arial" w:hint="cs"/>
          <w:sz w:val="18"/>
          <w:szCs w:val="18"/>
          <w:rtl/>
        </w:rPr>
        <w:t>שלש</w:t>
      </w:r>
      <w:r w:rsidRPr="00CD745A">
        <w:rPr>
          <w:rFonts w:cs="Arial"/>
          <w:sz w:val="18"/>
          <w:szCs w:val="18"/>
          <w:rtl/>
        </w:rPr>
        <w:t xml:space="preserve"> </w:t>
      </w:r>
      <w:r w:rsidRPr="00CD745A">
        <w:rPr>
          <w:rFonts w:cs="Arial" w:hint="cs"/>
          <w:sz w:val="18"/>
          <w:szCs w:val="18"/>
          <w:rtl/>
        </w:rPr>
        <w:t>פעמים</w:t>
      </w:r>
      <w:r w:rsidRPr="00CD745A">
        <w:rPr>
          <w:rFonts w:cs="Arial"/>
          <w:sz w:val="18"/>
          <w:szCs w:val="18"/>
          <w:rtl/>
        </w:rPr>
        <w:t xml:space="preserve"> </w:t>
      </w:r>
      <w:r w:rsidRPr="00CD745A">
        <w:rPr>
          <w:rFonts w:cs="Arial" w:hint="cs"/>
          <w:sz w:val="18"/>
          <w:szCs w:val="18"/>
          <w:rtl/>
        </w:rPr>
        <w:t>הרי</w:t>
      </w:r>
      <w:r w:rsidRPr="00CD745A">
        <w:rPr>
          <w:rFonts w:cs="Arial"/>
          <w:sz w:val="18"/>
          <w:szCs w:val="18"/>
          <w:rtl/>
        </w:rPr>
        <w:t xml:space="preserve"> </w:t>
      </w:r>
      <w:r w:rsidRPr="00CD745A">
        <w:rPr>
          <w:rFonts w:cs="Arial" w:hint="cs"/>
          <w:sz w:val="18"/>
          <w:szCs w:val="18"/>
          <w:rtl/>
        </w:rPr>
        <w:t>זו</w:t>
      </w:r>
      <w:r w:rsidRPr="00CD745A">
        <w:rPr>
          <w:rFonts w:cs="Arial"/>
          <w:sz w:val="18"/>
          <w:szCs w:val="18"/>
          <w:rtl/>
        </w:rPr>
        <w:t xml:space="preserve"> </w:t>
      </w:r>
      <w:r w:rsidRPr="00CD745A">
        <w:rPr>
          <w:rFonts w:cs="Arial" w:hint="cs"/>
          <w:sz w:val="18"/>
          <w:szCs w:val="18"/>
          <w:rtl/>
        </w:rPr>
        <w:t>תתגרש</w:t>
      </w:r>
      <w:r w:rsidRPr="00CD745A">
        <w:rPr>
          <w:rFonts w:cs="Arial"/>
          <w:sz w:val="18"/>
          <w:szCs w:val="18"/>
          <w:rtl/>
        </w:rPr>
        <w:t xml:space="preserve"> </w:t>
      </w:r>
      <w:r w:rsidRPr="00CD745A">
        <w:rPr>
          <w:rFonts w:cs="Arial" w:hint="cs"/>
          <w:sz w:val="18"/>
          <w:szCs w:val="18"/>
          <w:rtl/>
        </w:rPr>
        <w:t>ותינשא</w:t>
      </w:r>
      <w:r w:rsidRPr="00CD745A">
        <w:rPr>
          <w:rFonts w:cs="Arial"/>
          <w:sz w:val="18"/>
          <w:szCs w:val="18"/>
          <w:rtl/>
        </w:rPr>
        <w:t xml:space="preserve"> </w:t>
      </w:r>
      <w:r w:rsidRPr="00CD745A">
        <w:rPr>
          <w:rFonts w:cs="Arial" w:hint="cs"/>
          <w:sz w:val="18"/>
          <w:szCs w:val="18"/>
          <w:rtl/>
        </w:rPr>
        <w:t>לשלישי</w:t>
      </w:r>
      <w:r w:rsidRPr="00CD745A">
        <w:rPr>
          <w:rFonts w:cs="Arial"/>
          <w:sz w:val="18"/>
          <w:szCs w:val="18"/>
          <w:rtl/>
        </w:rPr>
        <w:t xml:space="preserve">, </w:t>
      </w:r>
      <w:r w:rsidRPr="00CD745A">
        <w:rPr>
          <w:rFonts w:cs="Arial" w:hint="cs"/>
          <w:sz w:val="18"/>
          <w:szCs w:val="18"/>
          <w:rtl/>
        </w:rPr>
        <w:t>נשאת</w:t>
      </w:r>
      <w:r w:rsidRPr="00CD745A">
        <w:rPr>
          <w:rFonts w:cs="Arial"/>
          <w:sz w:val="18"/>
          <w:szCs w:val="18"/>
          <w:rtl/>
        </w:rPr>
        <w:t xml:space="preserve"> </w:t>
      </w:r>
      <w:r w:rsidRPr="00CD745A">
        <w:rPr>
          <w:rFonts w:cs="Arial" w:hint="cs"/>
          <w:sz w:val="18"/>
          <w:szCs w:val="18"/>
          <w:rtl/>
        </w:rPr>
        <w:t>לשלישי</w:t>
      </w:r>
      <w:r w:rsidRPr="00CD745A">
        <w:rPr>
          <w:rFonts w:cs="Arial"/>
          <w:sz w:val="18"/>
          <w:szCs w:val="18"/>
          <w:rtl/>
        </w:rPr>
        <w:t xml:space="preserve"> </w:t>
      </w:r>
      <w:r w:rsidRPr="00CD745A">
        <w:rPr>
          <w:rFonts w:cs="Arial" w:hint="cs"/>
          <w:sz w:val="18"/>
          <w:szCs w:val="18"/>
          <w:rtl/>
        </w:rPr>
        <w:t>וראתה</w:t>
      </w:r>
      <w:r w:rsidRPr="00CD745A">
        <w:rPr>
          <w:rFonts w:cs="Arial"/>
          <w:sz w:val="18"/>
          <w:szCs w:val="18"/>
          <w:rtl/>
        </w:rPr>
        <w:t xml:space="preserve"> </w:t>
      </w:r>
      <w:r w:rsidRPr="00CD745A">
        <w:rPr>
          <w:rFonts w:cs="Arial" w:hint="cs"/>
          <w:sz w:val="18"/>
          <w:szCs w:val="18"/>
          <w:rtl/>
        </w:rPr>
        <w:t>דם</w:t>
      </w:r>
      <w:r w:rsidRPr="00CD745A">
        <w:rPr>
          <w:rFonts w:cs="Arial"/>
          <w:sz w:val="18"/>
          <w:szCs w:val="18"/>
          <w:rtl/>
        </w:rPr>
        <w:t xml:space="preserve"> </w:t>
      </w:r>
      <w:r w:rsidRPr="00CD745A">
        <w:rPr>
          <w:rFonts w:cs="Arial" w:hint="cs"/>
          <w:sz w:val="18"/>
          <w:szCs w:val="18"/>
          <w:rtl/>
        </w:rPr>
        <w:t>כך</w:t>
      </w:r>
      <w:r w:rsidRPr="00CD745A">
        <w:rPr>
          <w:rFonts w:cs="Arial"/>
          <w:sz w:val="18"/>
          <w:szCs w:val="18"/>
          <w:rtl/>
        </w:rPr>
        <w:t xml:space="preserve"> </w:t>
      </w:r>
      <w:r w:rsidRPr="00CD745A">
        <w:rPr>
          <w:rFonts w:cs="Arial" w:hint="cs"/>
          <w:sz w:val="18"/>
          <w:szCs w:val="18"/>
          <w:rtl/>
        </w:rPr>
        <w:t>בשעת</w:t>
      </w:r>
      <w:r w:rsidRPr="00CD745A">
        <w:rPr>
          <w:rFonts w:cs="Arial"/>
          <w:sz w:val="18"/>
          <w:szCs w:val="18"/>
          <w:rtl/>
        </w:rPr>
        <w:t xml:space="preserve"> </w:t>
      </w:r>
      <w:r w:rsidRPr="00CD745A">
        <w:rPr>
          <w:rFonts w:cs="Arial" w:hint="cs"/>
          <w:sz w:val="18"/>
          <w:szCs w:val="18"/>
          <w:rtl/>
        </w:rPr>
        <w:t>תשמיש</w:t>
      </w:r>
      <w:r w:rsidRPr="00CD745A">
        <w:rPr>
          <w:rFonts w:cs="Arial"/>
          <w:sz w:val="18"/>
          <w:szCs w:val="18"/>
          <w:rtl/>
        </w:rPr>
        <w:t xml:space="preserve"> </w:t>
      </w:r>
      <w:r w:rsidRPr="00CD745A">
        <w:rPr>
          <w:rFonts w:cs="Arial" w:hint="cs"/>
          <w:sz w:val="18"/>
          <w:szCs w:val="18"/>
          <w:rtl/>
        </w:rPr>
        <w:t>שלש</w:t>
      </w:r>
      <w:r w:rsidRPr="00CD745A">
        <w:rPr>
          <w:rFonts w:cs="Arial"/>
          <w:sz w:val="18"/>
          <w:szCs w:val="18"/>
          <w:rtl/>
        </w:rPr>
        <w:t xml:space="preserve"> </w:t>
      </w:r>
      <w:r w:rsidRPr="00CD745A">
        <w:rPr>
          <w:rFonts w:cs="Arial" w:hint="cs"/>
          <w:sz w:val="18"/>
          <w:szCs w:val="18"/>
          <w:rtl/>
        </w:rPr>
        <w:t>פעמים</w:t>
      </w:r>
      <w:r w:rsidRPr="00CD745A">
        <w:rPr>
          <w:rFonts w:cs="Arial"/>
          <w:sz w:val="18"/>
          <w:szCs w:val="18"/>
          <w:rtl/>
        </w:rPr>
        <w:t xml:space="preserve"> </w:t>
      </w:r>
      <w:r w:rsidRPr="00CD745A">
        <w:rPr>
          <w:rFonts w:cs="Arial" w:hint="cs"/>
          <w:sz w:val="18"/>
          <w:szCs w:val="18"/>
          <w:rtl/>
        </w:rPr>
        <w:t>הרי</w:t>
      </w:r>
      <w:r w:rsidRPr="00CD745A">
        <w:rPr>
          <w:rFonts w:cs="Arial"/>
          <w:sz w:val="18"/>
          <w:szCs w:val="18"/>
          <w:rtl/>
        </w:rPr>
        <w:t xml:space="preserve"> </w:t>
      </w:r>
      <w:r w:rsidRPr="00CD745A">
        <w:rPr>
          <w:rFonts w:cs="Arial" w:hint="cs"/>
          <w:sz w:val="18"/>
          <w:szCs w:val="18"/>
          <w:rtl/>
        </w:rPr>
        <w:t>זו</w:t>
      </w:r>
      <w:r w:rsidRPr="00CD745A">
        <w:rPr>
          <w:rFonts w:cs="Arial"/>
          <w:sz w:val="18"/>
          <w:szCs w:val="18"/>
          <w:rtl/>
        </w:rPr>
        <w:t xml:space="preserve"> </w:t>
      </w:r>
      <w:r w:rsidRPr="00CD745A">
        <w:rPr>
          <w:rFonts w:cs="Arial" w:hint="cs"/>
          <w:sz w:val="18"/>
          <w:szCs w:val="18"/>
          <w:rtl/>
        </w:rPr>
        <w:t>תתגרש</w:t>
      </w:r>
      <w:r w:rsidRPr="00CD745A">
        <w:rPr>
          <w:rFonts w:cs="Arial"/>
          <w:sz w:val="18"/>
          <w:szCs w:val="18"/>
          <w:rtl/>
        </w:rPr>
        <w:t xml:space="preserve"> </w:t>
      </w:r>
      <w:r w:rsidRPr="00CD745A">
        <w:rPr>
          <w:rFonts w:cs="Arial" w:hint="cs"/>
          <w:sz w:val="18"/>
          <w:szCs w:val="18"/>
          <w:rtl/>
        </w:rPr>
        <w:t>ואסורה</w:t>
      </w:r>
      <w:r w:rsidRPr="00CD745A">
        <w:rPr>
          <w:rFonts w:cs="Arial"/>
          <w:sz w:val="18"/>
          <w:szCs w:val="18"/>
          <w:rtl/>
        </w:rPr>
        <w:t xml:space="preserve"> </w:t>
      </w:r>
      <w:r w:rsidRPr="00CD745A">
        <w:rPr>
          <w:rFonts w:cs="Arial" w:hint="cs"/>
          <w:sz w:val="18"/>
          <w:szCs w:val="18"/>
          <w:rtl/>
        </w:rPr>
        <w:t>להינשא</w:t>
      </w:r>
      <w:r w:rsidRPr="00CD745A">
        <w:rPr>
          <w:rFonts w:cs="Arial"/>
          <w:sz w:val="18"/>
          <w:szCs w:val="18"/>
          <w:rtl/>
        </w:rPr>
        <w:t xml:space="preserve"> </w:t>
      </w:r>
      <w:r w:rsidRPr="00CD745A">
        <w:rPr>
          <w:rFonts w:cs="Arial" w:hint="cs"/>
          <w:sz w:val="18"/>
          <w:szCs w:val="18"/>
          <w:rtl/>
        </w:rPr>
        <w:t>עד</w:t>
      </w:r>
      <w:r w:rsidRPr="00CD745A">
        <w:rPr>
          <w:rFonts w:cs="Arial"/>
          <w:sz w:val="18"/>
          <w:szCs w:val="18"/>
          <w:rtl/>
        </w:rPr>
        <w:t xml:space="preserve"> </w:t>
      </w:r>
      <w:r w:rsidRPr="00CD745A">
        <w:rPr>
          <w:rFonts w:cs="Arial" w:hint="cs"/>
          <w:sz w:val="18"/>
          <w:szCs w:val="18"/>
          <w:rtl/>
        </w:rPr>
        <w:t>שתבריא</w:t>
      </w:r>
      <w:r w:rsidRPr="00CD745A">
        <w:rPr>
          <w:rFonts w:cs="Arial"/>
          <w:sz w:val="18"/>
          <w:szCs w:val="18"/>
          <w:rtl/>
        </w:rPr>
        <w:t xml:space="preserve"> </w:t>
      </w:r>
      <w:r w:rsidRPr="00CD745A">
        <w:rPr>
          <w:rFonts w:cs="Arial" w:hint="cs"/>
          <w:sz w:val="18"/>
          <w:szCs w:val="18"/>
          <w:rtl/>
        </w:rPr>
        <w:t>מחולי</w:t>
      </w:r>
      <w:r w:rsidRPr="00CD745A">
        <w:rPr>
          <w:rFonts w:cs="Arial"/>
          <w:sz w:val="18"/>
          <w:szCs w:val="18"/>
          <w:rtl/>
        </w:rPr>
        <w:t xml:space="preserve"> </w:t>
      </w:r>
      <w:r w:rsidRPr="00CD745A">
        <w:rPr>
          <w:rFonts w:cs="Arial" w:hint="cs"/>
          <w:sz w:val="18"/>
          <w:szCs w:val="18"/>
          <w:rtl/>
        </w:rPr>
        <w:t>זה"</w:t>
      </w:r>
      <w:r w:rsidRPr="00CD745A">
        <w:rPr>
          <w:rFonts w:cs="Arial"/>
          <w:sz w:val="18"/>
          <w:szCs w:val="18"/>
          <w:rtl/>
        </w:rPr>
        <w:t>.</w:t>
      </w:r>
      <w:r w:rsidRPr="00CD745A">
        <w:rPr>
          <w:rFonts w:cs="Arial" w:hint="cs"/>
          <w:sz w:val="18"/>
          <w:szCs w:val="18"/>
          <w:rtl/>
        </w:rPr>
        <w:br/>
        <w:t xml:space="preserve">ומדבריו מדייק </w:t>
      </w:r>
      <w:r w:rsidRPr="00CD745A">
        <w:rPr>
          <w:rFonts w:cs="Arial" w:hint="cs"/>
          <w:b/>
          <w:bCs/>
          <w:sz w:val="18"/>
          <w:szCs w:val="18"/>
          <w:rtl/>
        </w:rPr>
        <w:t>ההגה"מ</w:t>
      </w:r>
      <w:r w:rsidRPr="00CD745A">
        <w:rPr>
          <w:rFonts w:cs="Arial" w:hint="cs"/>
          <w:sz w:val="18"/>
          <w:szCs w:val="18"/>
          <w:rtl/>
        </w:rPr>
        <w:t xml:space="preserve"> שאסורה לעולם לבעל ששימשה עמו וראתה, שכך מדוייק ברמב"ם שכתב </w:t>
      </w:r>
      <w:r>
        <w:rPr>
          <w:rFonts w:cs="Arial" w:hint="cs"/>
          <w:sz w:val="18"/>
          <w:szCs w:val="18"/>
          <w:rtl/>
        </w:rPr>
        <w:t>"ת</w:t>
      </w:r>
      <w:r w:rsidRPr="00CD745A">
        <w:rPr>
          <w:rFonts w:cs="Arial" w:hint="cs"/>
          <w:sz w:val="18"/>
          <w:szCs w:val="18"/>
          <w:rtl/>
        </w:rPr>
        <w:t>תגרש</w:t>
      </w:r>
      <w:r>
        <w:rPr>
          <w:rFonts w:cs="Arial" w:hint="cs"/>
          <w:sz w:val="18"/>
          <w:szCs w:val="18"/>
          <w:rtl/>
        </w:rPr>
        <w:t>"</w:t>
      </w:r>
      <w:r w:rsidRPr="00CD745A">
        <w:rPr>
          <w:rFonts w:cs="Arial" w:hint="cs"/>
          <w:sz w:val="18"/>
          <w:szCs w:val="18"/>
          <w:rtl/>
        </w:rPr>
        <w:t xml:space="preserve"> ולא כתב שניתן לבדוק תחת בעלה.</w:t>
      </w:r>
      <w:r w:rsidRPr="00CD745A">
        <w:rPr>
          <w:sz w:val="18"/>
          <w:szCs w:val="18"/>
          <w:rtl/>
        </w:rPr>
        <w:br/>
      </w:r>
      <w:r w:rsidRPr="00CD745A">
        <w:rPr>
          <w:rFonts w:hint="cs"/>
          <w:sz w:val="18"/>
          <w:szCs w:val="18"/>
          <w:rtl/>
        </w:rPr>
        <w:t xml:space="preserve">ע"פ הסבר זה, צריך להסביר את המו"מ בסוגייה כך - </w:t>
      </w:r>
      <w:r w:rsidRPr="00CD745A">
        <w:rPr>
          <w:rFonts w:hint="cs"/>
          <w:sz w:val="18"/>
          <w:szCs w:val="18"/>
          <w:rtl/>
        </w:rPr>
        <w:br/>
        <w:t xml:space="preserve">מקשן </w:t>
      </w:r>
      <w:r w:rsidRPr="00CD745A">
        <w:rPr>
          <w:sz w:val="18"/>
          <w:szCs w:val="18"/>
          <w:rtl/>
        </w:rPr>
        <w:t>–</w:t>
      </w:r>
      <w:r w:rsidRPr="00CD745A">
        <w:rPr>
          <w:rFonts w:hint="cs"/>
          <w:sz w:val="18"/>
          <w:szCs w:val="18"/>
          <w:rtl/>
        </w:rPr>
        <w:t xml:space="preserve"> מדוע מתירים אותה להינשא לאחר ללא בדיקה, הרי הוחזקה בג' פעמים!</w:t>
      </w:r>
      <w:r w:rsidRPr="00CD745A">
        <w:rPr>
          <w:rFonts w:hint="cs"/>
          <w:sz w:val="18"/>
          <w:szCs w:val="18"/>
          <w:rtl/>
        </w:rPr>
        <w:br/>
        <w:t xml:space="preserve">תרצן </w:t>
      </w:r>
      <w:r w:rsidRPr="00CD745A">
        <w:rPr>
          <w:sz w:val="18"/>
          <w:szCs w:val="18"/>
          <w:rtl/>
        </w:rPr>
        <w:t>–</w:t>
      </w:r>
      <w:r w:rsidRPr="00CD745A">
        <w:rPr>
          <w:rFonts w:hint="cs"/>
          <w:sz w:val="18"/>
          <w:szCs w:val="18"/>
          <w:rtl/>
        </w:rPr>
        <w:t xml:space="preserve"> שמא אצל בעל אחר לא תראה משום שאין כל האצבעות שוות, אך לבעל זה אסורה.</w:t>
      </w:r>
    </w:p>
  </w:footnote>
  <w:footnote w:id="103">
    <w:p w:rsidR="005953C5" w:rsidRDefault="005953C5" w:rsidP="00620060">
      <w:pPr>
        <w:pStyle w:val="a3"/>
      </w:pPr>
      <w:r w:rsidRPr="00FF1785">
        <w:rPr>
          <w:rStyle w:val="a5"/>
          <w:sz w:val="18"/>
          <w:szCs w:val="18"/>
        </w:rPr>
        <w:footnoteRef/>
      </w:r>
      <w:r w:rsidRPr="00FF1785">
        <w:rPr>
          <w:sz w:val="18"/>
          <w:szCs w:val="18"/>
          <w:rtl/>
        </w:rPr>
        <w:t xml:space="preserve"> </w:t>
      </w:r>
      <w:r w:rsidRPr="00FF1785">
        <w:rPr>
          <w:rFonts w:hint="cs"/>
          <w:b/>
          <w:bCs/>
          <w:sz w:val="18"/>
          <w:szCs w:val="18"/>
          <w:rtl/>
        </w:rPr>
        <w:t>הש"ך</w:t>
      </w:r>
      <w:r w:rsidRPr="00FF1785">
        <w:rPr>
          <w:rFonts w:hint="cs"/>
          <w:sz w:val="18"/>
          <w:szCs w:val="18"/>
          <w:rtl/>
        </w:rPr>
        <w:t xml:space="preserve"> כרך את רש"י והרמב"ם בחדא מחתא, אולם נראה שלמעשה יש חילוק ביניהם כמבואר לעיל.</w:t>
      </w:r>
    </w:p>
  </w:footnote>
  <w:footnote w:id="104">
    <w:p w:rsidR="005953C5" w:rsidRDefault="005953C5" w:rsidP="00620060">
      <w:pPr>
        <w:pStyle w:val="a3"/>
        <w:rPr>
          <w:rtl/>
        </w:rPr>
      </w:pPr>
      <w:r w:rsidRPr="00E46FF6">
        <w:rPr>
          <w:rStyle w:val="a5"/>
          <w:sz w:val="18"/>
          <w:szCs w:val="18"/>
        </w:rPr>
        <w:footnoteRef/>
      </w:r>
      <w:r w:rsidRPr="00E46FF6">
        <w:rPr>
          <w:sz w:val="18"/>
          <w:szCs w:val="18"/>
          <w:rtl/>
        </w:rPr>
        <w:t xml:space="preserve"> </w:t>
      </w:r>
      <w:r w:rsidRPr="00E46FF6">
        <w:rPr>
          <w:rFonts w:hint="cs"/>
          <w:sz w:val="18"/>
          <w:szCs w:val="18"/>
          <w:rtl/>
        </w:rPr>
        <w:t>ב'</w:t>
      </w:r>
      <w:r w:rsidRPr="00E46FF6">
        <w:rPr>
          <w:rFonts w:hint="cs"/>
          <w:b/>
          <w:bCs/>
          <w:sz w:val="18"/>
          <w:szCs w:val="18"/>
          <w:rtl/>
        </w:rPr>
        <w:t>דעת</w:t>
      </w:r>
      <w:r w:rsidRPr="00E46FF6">
        <w:rPr>
          <w:rFonts w:hint="cs"/>
          <w:sz w:val="18"/>
          <w:szCs w:val="18"/>
          <w:rtl/>
        </w:rPr>
        <w:t xml:space="preserve"> </w:t>
      </w:r>
      <w:r w:rsidRPr="00E46FF6">
        <w:rPr>
          <w:rFonts w:hint="cs"/>
          <w:b/>
          <w:bCs/>
          <w:sz w:val="18"/>
          <w:szCs w:val="18"/>
          <w:rtl/>
        </w:rPr>
        <w:t>תורה</w:t>
      </w:r>
      <w:r w:rsidRPr="00E46FF6">
        <w:rPr>
          <w:rFonts w:hint="cs"/>
          <w:sz w:val="18"/>
          <w:szCs w:val="18"/>
          <w:rtl/>
        </w:rPr>
        <w:t xml:space="preserve">' הסבירו את </w:t>
      </w:r>
      <w:r w:rsidRPr="00E46FF6">
        <w:rPr>
          <w:rFonts w:hint="cs"/>
          <w:b/>
          <w:bCs/>
          <w:sz w:val="18"/>
          <w:szCs w:val="18"/>
          <w:rtl/>
        </w:rPr>
        <w:t>הנוב"י</w:t>
      </w:r>
      <w:r w:rsidRPr="00E46FF6">
        <w:rPr>
          <w:rFonts w:hint="cs"/>
          <w:sz w:val="18"/>
          <w:szCs w:val="18"/>
          <w:rtl/>
        </w:rPr>
        <w:t xml:space="preserve"> כך - </w:t>
      </w:r>
      <w:r w:rsidRPr="00E46FF6">
        <w:rPr>
          <w:sz w:val="18"/>
          <w:szCs w:val="18"/>
          <w:rtl/>
        </w:rPr>
        <w:br/>
      </w:r>
      <w:r w:rsidRPr="00E46FF6">
        <w:rPr>
          <w:rFonts w:hint="cs"/>
          <w:sz w:val="18"/>
          <w:szCs w:val="18"/>
          <w:rtl/>
        </w:rPr>
        <w:t>אם רואה דם בצדדי השפופרת מותרת משום שהדם הוא דם צדדים. לעומת זאת, כאשר אינה רואה דם כלל טעם ההיתר הוא משום שהתרפאה. רפואה היא כאשר הוחזקה לראות בכל האצבעות ואז אמרינן שבדיקת שפופרת מוכיחה על רפואה, אך כאן עדיין לא הוחזקה בכל האצבעות וא</w:t>
      </w:r>
      <w:r>
        <w:rPr>
          <w:rFonts w:hint="cs"/>
          <w:sz w:val="18"/>
          <w:szCs w:val="18"/>
          <w:rtl/>
        </w:rPr>
        <w:t xml:space="preserve">ם </w:t>
      </w:r>
      <w:r w:rsidRPr="00E46FF6">
        <w:rPr>
          <w:rFonts w:hint="cs"/>
          <w:sz w:val="18"/>
          <w:szCs w:val="18"/>
          <w:rtl/>
        </w:rPr>
        <w:t>כ</w:t>
      </w:r>
      <w:r>
        <w:rPr>
          <w:rFonts w:hint="cs"/>
          <w:sz w:val="18"/>
          <w:szCs w:val="18"/>
          <w:rtl/>
        </w:rPr>
        <w:t>ן</w:t>
      </w:r>
      <w:r w:rsidRPr="00E46FF6">
        <w:rPr>
          <w:rFonts w:hint="cs"/>
          <w:sz w:val="18"/>
          <w:szCs w:val="18"/>
          <w:rtl/>
        </w:rPr>
        <w:t xml:space="preserve"> מה שאינה רואה בשפופרת הוא משום שאצבע זו אינה גורמת לה לראייה, אך מכיוון שהאצבע של הראשון גורמת לה לראייה אסורה לשמש עמו.</w:t>
      </w:r>
    </w:p>
  </w:footnote>
  <w:footnote w:id="105">
    <w:p w:rsidR="005953C5" w:rsidRDefault="005953C5" w:rsidP="00620060">
      <w:pPr>
        <w:pStyle w:val="a3"/>
        <w:rPr>
          <w:rtl/>
        </w:rPr>
      </w:pPr>
      <w:r w:rsidRPr="003A33DB">
        <w:rPr>
          <w:rStyle w:val="a5"/>
          <w:sz w:val="18"/>
          <w:szCs w:val="18"/>
        </w:rPr>
        <w:footnoteRef/>
      </w:r>
      <w:r w:rsidRPr="003A33DB">
        <w:rPr>
          <w:sz w:val="18"/>
          <w:szCs w:val="18"/>
          <w:rtl/>
        </w:rPr>
        <w:t xml:space="preserve"> </w:t>
      </w:r>
      <w:r w:rsidRPr="003A33DB">
        <w:rPr>
          <w:rFonts w:hint="cs"/>
          <w:sz w:val="18"/>
          <w:szCs w:val="18"/>
          <w:rtl/>
        </w:rPr>
        <w:t xml:space="preserve">הקשו האחרונים </w:t>
      </w:r>
      <w:r w:rsidRPr="003A33DB">
        <w:rPr>
          <w:sz w:val="18"/>
          <w:szCs w:val="18"/>
          <w:rtl/>
        </w:rPr>
        <w:t>–</w:t>
      </w:r>
      <w:r w:rsidRPr="003A33DB">
        <w:rPr>
          <w:rFonts w:hint="cs"/>
          <w:sz w:val="18"/>
          <w:szCs w:val="18"/>
          <w:rtl/>
        </w:rPr>
        <w:t xml:space="preserve"> מדוע אין סומכים על ספק זה שאין כל האצבעות שוות, שהרי ספק דרבנן לקולא!</w:t>
      </w:r>
      <w:r w:rsidRPr="003A33DB">
        <w:rPr>
          <w:sz w:val="18"/>
          <w:szCs w:val="18"/>
          <w:rtl/>
        </w:rPr>
        <w:br/>
      </w:r>
      <w:r w:rsidRPr="003A33DB">
        <w:rPr>
          <w:rFonts w:hint="cs"/>
          <w:sz w:val="18"/>
          <w:szCs w:val="18"/>
          <w:rtl/>
        </w:rPr>
        <w:t>ו</w:t>
      </w:r>
      <w:r>
        <w:rPr>
          <w:rFonts w:hint="cs"/>
          <w:sz w:val="18"/>
          <w:szCs w:val="18"/>
          <w:rtl/>
        </w:rPr>
        <w:t>'</w:t>
      </w:r>
      <w:r w:rsidRPr="003A33DB">
        <w:rPr>
          <w:rFonts w:hint="cs"/>
          <w:b/>
          <w:bCs/>
          <w:sz w:val="18"/>
          <w:szCs w:val="18"/>
          <w:rtl/>
        </w:rPr>
        <w:t>בדעת תורה</w:t>
      </w:r>
      <w:r w:rsidRPr="003A33DB">
        <w:rPr>
          <w:rFonts w:hint="cs"/>
          <w:sz w:val="18"/>
          <w:szCs w:val="18"/>
          <w:rtl/>
        </w:rPr>
        <w:t xml:space="preserve">' הביאו כמה תירוצים של האחרונים - </w:t>
      </w:r>
      <w:r w:rsidRPr="003A33DB">
        <w:rPr>
          <w:sz w:val="18"/>
          <w:szCs w:val="18"/>
          <w:rtl/>
        </w:rPr>
        <w:br/>
      </w:r>
      <w:r w:rsidRPr="003A33DB">
        <w:rPr>
          <w:rFonts w:hint="cs"/>
          <w:sz w:val="18"/>
          <w:szCs w:val="18"/>
          <w:rtl/>
        </w:rPr>
        <w:t xml:space="preserve">א. </w:t>
      </w:r>
      <w:r w:rsidRPr="003A33DB">
        <w:rPr>
          <w:rFonts w:hint="cs"/>
          <w:b/>
          <w:bCs/>
          <w:sz w:val="18"/>
          <w:szCs w:val="18"/>
          <w:rtl/>
        </w:rPr>
        <w:t>נודע ביהודה</w:t>
      </w:r>
      <w:r w:rsidRPr="003A33DB">
        <w:rPr>
          <w:rFonts w:hint="cs"/>
          <w:sz w:val="18"/>
          <w:szCs w:val="18"/>
          <w:rtl/>
        </w:rPr>
        <w:t xml:space="preserve"> </w:t>
      </w:r>
      <w:r w:rsidRPr="003A33DB">
        <w:rPr>
          <w:sz w:val="18"/>
          <w:szCs w:val="18"/>
          <w:rtl/>
        </w:rPr>
        <w:t>–</w:t>
      </w:r>
      <w:r w:rsidRPr="003A33DB">
        <w:rPr>
          <w:rFonts w:hint="cs"/>
          <w:sz w:val="18"/>
          <w:szCs w:val="18"/>
          <w:rtl/>
        </w:rPr>
        <w:t xml:space="preserve"> אע"פ שספק דרבנן לקולא, מכל מקום כאשר ניתן לברר את הספק צריך לברר.</w:t>
      </w:r>
      <w:r w:rsidRPr="003A33DB">
        <w:rPr>
          <w:sz w:val="18"/>
          <w:szCs w:val="18"/>
          <w:rtl/>
        </w:rPr>
        <w:br/>
      </w:r>
      <w:r w:rsidRPr="003A33DB">
        <w:rPr>
          <w:rFonts w:hint="cs"/>
          <w:sz w:val="18"/>
          <w:szCs w:val="18"/>
          <w:rtl/>
        </w:rPr>
        <w:t xml:space="preserve">ב. </w:t>
      </w:r>
      <w:r w:rsidRPr="003A33DB">
        <w:rPr>
          <w:rFonts w:hint="cs"/>
          <w:b/>
          <w:bCs/>
          <w:sz w:val="18"/>
          <w:szCs w:val="18"/>
          <w:rtl/>
        </w:rPr>
        <w:t xml:space="preserve">פלתי </w:t>
      </w:r>
      <w:r w:rsidRPr="003A33DB">
        <w:rPr>
          <w:sz w:val="18"/>
          <w:szCs w:val="18"/>
          <w:rtl/>
        </w:rPr>
        <w:t>–</w:t>
      </w:r>
      <w:r w:rsidRPr="003A33DB">
        <w:rPr>
          <w:rFonts w:hint="cs"/>
          <w:sz w:val="18"/>
          <w:szCs w:val="18"/>
          <w:rtl/>
        </w:rPr>
        <w:t xml:space="preserve"> מקבול היה ביד חכמים ששפופרת דומה לקל שבאצבעות, ואם ראתה בשפופרת ודאי תראה בכל האצבעות. </w:t>
      </w:r>
      <w:r w:rsidRPr="003A33DB">
        <w:rPr>
          <w:rFonts w:hint="cs"/>
          <w:sz w:val="16"/>
          <w:szCs w:val="16"/>
          <w:rtl/>
        </w:rPr>
        <w:t>(אמנם, הפרדס רימונים דחה זאת, שסברה מחודשת כזאת היה על הגמרא להשמיע, ועוד שהוא נגד המושכל והחוש)</w:t>
      </w:r>
      <w:r w:rsidRPr="003A33DB">
        <w:rPr>
          <w:rFonts w:hint="cs"/>
          <w:sz w:val="18"/>
          <w:szCs w:val="18"/>
          <w:rtl/>
        </w:rPr>
        <w:t>.</w:t>
      </w:r>
      <w:r w:rsidRPr="003A33DB">
        <w:rPr>
          <w:sz w:val="18"/>
          <w:szCs w:val="18"/>
          <w:rtl/>
        </w:rPr>
        <w:br/>
      </w:r>
      <w:r w:rsidRPr="003A33DB">
        <w:rPr>
          <w:rFonts w:hint="cs"/>
          <w:sz w:val="18"/>
          <w:szCs w:val="18"/>
          <w:rtl/>
        </w:rPr>
        <w:t xml:space="preserve">ג. </w:t>
      </w:r>
      <w:r w:rsidRPr="003A33DB">
        <w:rPr>
          <w:rFonts w:hint="cs"/>
          <w:b/>
          <w:bCs/>
          <w:sz w:val="18"/>
          <w:szCs w:val="18"/>
          <w:rtl/>
        </w:rPr>
        <w:t>פרדס רימונים</w:t>
      </w:r>
      <w:r w:rsidRPr="003A33DB">
        <w:rPr>
          <w:rFonts w:hint="cs"/>
          <w:sz w:val="18"/>
          <w:szCs w:val="18"/>
          <w:rtl/>
        </w:rPr>
        <w:t xml:space="preserve"> </w:t>
      </w:r>
      <w:r w:rsidRPr="003A33DB">
        <w:rPr>
          <w:sz w:val="18"/>
          <w:szCs w:val="18"/>
          <w:rtl/>
        </w:rPr>
        <w:t>–</w:t>
      </w:r>
      <w:r w:rsidRPr="003A33DB">
        <w:rPr>
          <w:rFonts w:hint="cs"/>
          <w:sz w:val="18"/>
          <w:szCs w:val="18"/>
          <w:rtl/>
        </w:rPr>
        <w:t xml:space="preserve"> הסברה שאין כל האצבעות שוות נאמרה רק כאשר הדם הוא דם צדדים, אך בדם מקור אין אומרים סברה זאת, וכיוון שראתה בראש המכחול ראייתה מהמקור וכל אצבע תגרום להוצאת הדם.</w:t>
      </w:r>
    </w:p>
  </w:footnote>
  <w:footnote w:id="106">
    <w:p w:rsidR="005953C5" w:rsidRDefault="005953C5" w:rsidP="00620060">
      <w:pPr>
        <w:pStyle w:val="a3"/>
      </w:pPr>
      <w:r w:rsidRPr="00B37428">
        <w:rPr>
          <w:rStyle w:val="a5"/>
          <w:sz w:val="18"/>
          <w:szCs w:val="18"/>
        </w:rPr>
        <w:footnoteRef/>
      </w:r>
      <w:r w:rsidRPr="00B37428">
        <w:rPr>
          <w:sz w:val="18"/>
          <w:szCs w:val="18"/>
          <w:rtl/>
        </w:rPr>
        <w:t xml:space="preserve"> </w:t>
      </w:r>
      <w:r w:rsidRPr="00B37428">
        <w:rPr>
          <w:rFonts w:hint="cs"/>
          <w:sz w:val="18"/>
          <w:szCs w:val="18"/>
          <w:rtl/>
        </w:rPr>
        <w:t xml:space="preserve">כך גם כתב </w:t>
      </w:r>
      <w:r w:rsidRPr="00B37428">
        <w:rPr>
          <w:rFonts w:hint="cs"/>
          <w:b/>
          <w:bCs/>
          <w:sz w:val="18"/>
          <w:szCs w:val="18"/>
          <w:rtl/>
        </w:rPr>
        <w:t xml:space="preserve">הש"ך </w:t>
      </w:r>
      <w:r w:rsidRPr="00B37428">
        <w:rPr>
          <w:rFonts w:hint="cs"/>
          <w:sz w:val="18"/>
          <w:szCs w:val="18"/>
          <w:rtl/>
        </w:rPr>
        <w:t>בסק"כ.</w:t>
      </w:r>
    </w:p>
  </w:footnote>
  <w:footnote w:id="107">
    <w:p w:rsidR="005953C5" w:rsidRDefault="005953C5" w:rsidP="00620060">
      <w:pPr>
        <w:pStyle w:val="a3"/>
      </w:pPr>
      <w:r w:rsidRPr="00953916">
        <w:rPr>
          <w:rStyle w:val="a5"/>
          <w:sz w:val="18"/>
          <w:szCs w:val="18"/>
        </w:rPr>
        <w:footnoteRef/>
      </w:r>
      <w:r w:rsidRPr="00953916">
        <w:rPr>
          <w:sz w:val="18"/>
          <w:szCs w:val="18"/>
          <w:rtl/>
        </w:rPr>
        <w:t xml:space="preserve"> </w:t>
      </w:r>
      <w:r w:rsidRPr="00953916">
        <w:rPr>
          <w:rFonts w:hint="cs"/>
          <w:b/>
          <w:bCs/>
          <w:sz w:val="18"/>
          <w:szCs w:val="18"/>
          <w:rtl/>
        </w:rPr>
        <w:t>תורת השלמים</w:t>
      </w:r>
      <w:r w:rsidRPr="00953916">
        <w:rPr>
          <w:rFonts w:hint="cs"/>
          <w:sz w:val="18"/>
          <w:szCs w:val="18"/>
          <w:rtl/>
        </w:rPr>
        <w:t xml:space="preserve"> מיישב את הפרישה - </w:t>
      </w:r>
      <w:r w:rsidRPr="00953916">
        <w:rPr>
          <w:sz w:val="18"/>
          <w:szCs w:val="18"/>
          <w:rtl/>
        </w:rPr>
        <w:br/>
      </w:r>
      <w:r w:rsidRPr="00953916">
        <w:rPr>
          <w:rFonts w:hint="cs"/>
          <w:sz w:val="18"/>
          <w:szCs w:val="18"/>
          <w:rtl/>
        </w:rPr>
        <w:t>יש להקל בדין רמ</w:t>
      </w:r>
      <w:r>
        <w:rPr>
          <w:rFonts w:hint="cs"/>
          <w:sz w:val="18"/>
          <w:szCs w:val="18"/>
          <w:rtl/>
        </w:rPr>
        <w:t>"</w:t>
      </w:r>
      <w:r w:rsidRPr="00953916">
        <w:rPr>
          <w:rFonts w:hint="cs"/>
          <w:sz w:val="18"/>
          <w:szCs w:val="18"/>
          <w:rtl/>
        </w:rPr>
        <w:t>ת כיוון שאין דרך דם מקור לבוא ע"י תשמיש, ולכן תולים להקל בכל מה שאפשר ואומרים שע"י התשמיש הקדימה קצת את ראייתה הקבועה.</w:t>
      </w:r>
    </w:p>
  </w:footnote>
  <w:footnote w:id="108">
    <w:p w:rsidR="005953C5" w:rsidRDefault="005953C5" w:rsidP="00620060">
      <w:pPr>
        <w:pStyle w:val="a3"/>
        <w:rPr>
          <w:rtl/>
        </w:rPr>
      </w:pPr>
      <w:r w:rsidRPr="00BF4468">
        <w:rPr>
          <w:rStyle w:val="a5"/>
          <w:sz w:val="18"/>
          <w:szCs w:val="18"/>
        </w:rPr>
        <w:footnoteRef/>
      </w:r>
      <w:r w:rsidRPr="00BF4468">
        <w:rPr>
          <w:sz w:val="18"/>
          <w:szCs w:val="18"/>
          <w:rtl/>
        </w:rPr>
        <w:t xml:space="preserve"> </w:t>
      </w:r>
      <w:r w:rsidRPr="00123CA4">
        <w:rPr>
          <w:rFonts w:hint="cs"/>
          <w:b/>
          <w:bCs/>
          <w:sz w:val="18"/>
          <w:szCs w:val="18"/>
          <w:rtl/>
        </w:rPr>
        <w:t>טעם</w:t>
      </w:r>
      <w:r w:rsidRPr="00BF4468">
        <w:rPr>
          <w:rFonts w:hint="cs"/>
          <w:sz w:val="18"/>
          <w:szCs w:val="18"/>
          <w:rtl/>
        </w:rPr>
        <w:t xml:space="preserve"> </w:t>
      </w:r>
      <w:r w:rsidRPr="00BF4468">
        <w:rPr>
          <w:sz w:val="18"/>
          <w:szCs w:val="18"/>
          <w:rtl/>
        </w:rPr>
        <w:t>–</w:t>
      </w:r>
      <w:r w:rsidRPr="00BF4468">
        <w:rPr>
          <w:rFonts w:hint="cs"/>
          <w:sz w:val="18"/>
          <w:szCs w:val="18"/>
          <w:rtl/>
        </w:rPr>
        <w:t xml:space="preserve"> יש ספק ספקא לחומרה </w:t>
      </w:r>
      <w:r w:rsidRPr="00BF4468">
        <w:rPr>
          <w:sz w:val="18"/>
          <w:szCs w:val="18"/>
          <w:rtl/>
        </w:rPr>
        <w:t>–</w:t>
      </w:r>
      <w:r w:rsidRPr="00BF4468">
        <w:rPr>
          <w:rFonts w:hint="cs"/>
          <w:sz w:val="18"/>
          <w:szCs w:val="18"/>
          <w:rtl/>
        </w:rPr>
        <w:t xml:space="preserve"> ספק שמ</w:t>
      </w:r>
      <w:r>
        <w:rPr>
          <w:rFonts w:hint="cs"/>
          <w:sz w:val="18"/>
          <w:szCs w:val="18"/>
          <w:rtl/>
        </w:rPr>
        <w:t>א</w:t>
      </w:r>
      <w:r w:rsidRPr="00BF4468">
        <w:rPr>
          <w:rFonts w:hint="cs"/>
          <w:sz w:val="18"/>
          <w:szCs w:val="18"/>
          <w:rtl/>
        </w:rPr>
        <w:t xml:space="preserve"> אין מכה במקור, ואת"ל יש מכה במקור שמא הדם אינו מחמת המכה.</w:t>
      </w:r>
    </w:p>
  </w:footnote>
  <w:footnote w:id="109">
    <w:p w:rsidR="005953C5" w:rsidRDefault="005953C5" w:rsidP="00620060">
      <w:pPr>
        <w:pStyle w:val="a3"/>
      </w:pPr>
      <w:r w:rsidRPr="00AE49E2">
        <w:rPr>
          <w:rStyle w:val="a5"/>
          <w:sz w:val="18"/>
          <w:szCs w:val="18"/>
        </w:rPr>
        <w:footnoteRef/>
      </w:r>
      <w:r w:rsidRPr="00AE49E2">
        <w:rPr>
          <w:sz w:val="18"/>
          <w:szCs w:val="18"/>
          <w:rtl/>
        </w:rPr>
        <w:t xml:space="preserve"> </w:t>
      </w:r>
      <w:r w:rsidRPr="00AE49E2">
        <w:rPr>
          <w:rFonts w:hint="cs"/>
          <w:sz w:val="18"/>
          <w:szCs w:val="18"/>
          <w:rtl/>
        </w:rPr>
        <w:t>ומה החילוק שבין דם נידה לבין דם מכה אם שניהם מגיעים מאותו מקום?</w:t>
      </w:r>
      <w:r w:rsidRPr="00AE49E2">
        <w:rPr>
          <w:sz w:val="18"/>
          <w:szCs w:val="18"/>
          <w:rtl/>
        </w:rPr>
        <w:br/>
      </w:r>
      <w:r w:rsidRPr="00AE49E2">
        <w:rPr>
          <w:rFonts w:hint="cs"/>
          <w:b/>
          <w:bCs/>
          <w:sz w:val="18"/>
          <w:szCs w:val="18"/>
          <w:rtl/>
        </w:rPr>
        <w:t>בדי השולחן</w:t>
      </w:r>
      <w:r w:rsidRPr="00AE49E2">
        <w:rPr>
          <w:rFonts w:hint="cs"/>
          <w:sz w:val="18"/>
          <w:szCs w:val="18"/>
          <w:rtl/>
        </w:rPr>
        <w:t xml:space="preserve"> </w:t>
      </w:r>
      <w:r w:rsidRPr="00AE49E2">
        <w:rPr>
          <w:sz w:val="18"/>
          <w:szCs w:val="18"/>
          <w:rtl/>
        </w:rPr>
        <w:t>–</w:t>
      </w:r>
      <w:r w:rsidRPr="00AE49E2">
        <w:rPr>
          <w:rFonts w:hint="cs"/>
          <w:sz w:val="18"/>
          <w:szCs w:val="18"/>
          <w:rtl/>
        </w:rPr>
        <w:t xml:space="preserve"> המקור עשוי כולו מורידים ועורקים קטנים והם מתמלאים דם תמיד המתקבץ מחלל הגוף, ודרך הטבע באשה שדם זה יוצא והוא קרוי דם נידות. לעומת זאת, דם מכה מקורו מחמת לקות בבשר הרחם ואינו בא דרך הוורידים כנ"ל ולכן אינו דם נידה שטימא</w:t>
      </w:r>
      <w:r>
        <w:rPr>
          <w:rFonts w:hint="cs"/>
          <w:sz w:val="18"/>
          <w:szCs w:val="18"/>
          <w:rtl/>
        </w:rPr>
        <w:t>ה</w:t>
      </w:r>
      <w:r w:rsidRPr="00AE49E2">
        <w:rPr>
          <w:rFonts w:hint="cs"/>
          <w:sz w:val="18"/>
          <w:szCs w:val="18"/>
          <w:rtl/>
        </w:rPr>
        <w:t xml:space="preserve"> התורה.</w:t>
      </w:r>
    </w:p>
  </w:footnote>
  <w:footnote w:id="110">
    <w:p w:rsidR="005953C5" w:rsidRDefault="005953C5" w:rsidP="00620060">
      <w:pPr>
        <w:pStyle w:val="a3"/>
        <w:rPr>
          <w:rtl/>
        </w:rPr>
      </w:pPr>
      <w:r w:rsidRPr="00B850C2">
        <w:rPr>
          <w:rStyle w:val="a5"/>
          <w:sz w:val="18"/>
          <w:szCs w:val="18"/>
        </w:rPr>
        <w:footnoteRef/>
      </w:r>
      <w:r w:rsidRPr="00B850C2">
        <w:rPr>
          <w:sz w:val="18"/>
          <w:szCs w:val="18"/>
          <w:rtl/>
        </w:rPr>
        <w:t xml:space="preserve"> </w:t>
      </w:r>
      <w:r w:rsidRPr="00B850C2">
        <w:rPr>
          <w:rFonts w:hint="cs"/>
          <w:sz w:val="18"/>
          <w:szCs w:val="18"/>
          <w:rtl/>
        </w:rPr>
        <w:t xml:space="preserve">דברי </w:t>
      </w:r>
      <w:r w:rsidRPr="00B850C2">
        <w:rPr>
          <w:rFonts w:hint="cs"/>
          <w:b/>
          <w:bCs/>
          <w:sz w:val="18"/>
          <w:szCs w:val="18"/>
          <w:rtl/>
        </w:rPr>
        <w:t>הנוב"י</w:t>
      </w:r>
      <w:r w:rsidRPr="00B850C2">
        <w:rPr>
          <w:rFonts w:hint="cs"/>
          <w:sz w:val="18"/>
          <w:szCs w:val="18"/>
          <w:rtl/>
        </w:rPr>
        <w:t xml:space="preserve"> אינם ברורים </w:t>
      </w:r>
      <w:r w:rsidRPr="00B850C2">
        <w:rPr>
          <w:sz w:val="18"/>
          <w:szCs w:val="18"/>
          <w:rtl/>
        </w:rPr>
        <w:t>–</w:t>
      </w:r>
      <w:r w:rsidRPr="00B850C2">
        <w:rPr>
          <w:rFonts w:hint="cs"/>
          <w:sz w:val="18"/>
          <w:szCs w:val="18"/>
          <w:rtl/>
        </w:rPr>
        <w:t xml:space="preserve"> גם דם ראייתה יוצא באופן יזום ע"י התשמיש ומאי שנא?</w:t>
      </w:r>
    </w:p>
  </w:footnote>
  <w:footnote w:id="111">
    <w:p w:rsidR="005953C5" w:rsidRDefault="005953C5" w:rsidP="00620060">
      <w:pPr>
        <w:pStyle w:val="a3"/>
      </w:pPr>
      <w:r w:rsidRPr="00634C5E">
        <w:rPr>
          <w:rStyle w:val="a5"/>
          <w:sz w:val="18"/>
          <w:szCs w:val="18"/>
        </w:rPr>
        <w:footnoteRef/>
      </w:r>
      <w:r w:rsidRPr="00634C5E">
        <w:rPr>
          <w:sz w:val="18"/>
          <w:szCs w:val="18"/>
          <w:rtl/>
        </w:rPr>
        <w:t xml:space="preserve"> </w:t>
      </w:r>
      <w:r w:rsidRPr="00634C5E">
        <w:rPr>
          <w:rFonts w:hint="cs"/>
          <w:sz w:val="18"/>
          <w:szCs w:val="18"/>
          <w:rtl/>
        </w:rPr>
        <w:t xml:space="preserve">לכאורה לשון הברייתא נוגדת את פירוש </w:t>
      </w:r>
      <w:r w:rsidRPr="00283A87">
        <w:rPr>
          <w:rFonts w:hint="cs"/>
          <w:b/>
          <w:bCs/>
          <w:sz w:val="18"/>
          <w:szCs w:val="18"/>
          <w:rtl/>
        </w:rPr>
        <w:t>הרשב"א</w:t>
      </w:r>
      <w:r w:rsidRPr="00634C5E">
        <w:rPr>
          <w:rFonts w:hint="cs"/>
          <w:sz w:val="18"/>
          <w:szCs w:val="18"/>
          <w:rtl/>
        </w:rPr>
        <w:t xml:space="preserve">, שכך שנויה הברייתא - </w:t>
      </w:r>
      <w:r w:rsidRPr="00634C5E">
        <w:rPr>
          <w:sz w:val="18"/>
          <w:szCs w:val="18"/>
          <w:rtl/>
        </w:rPr>
        <w:br/>
      </w:r>
      <w:r w:rsidRPr="00634C5E">
        <w:rPr>
          <w:rFonts w:hint="cs"/>
          <w:sz w:val="18"/>
          <w:szCs w:val="18"/>
          <w:rtl/>
        </w:rPr>
        <w:t>"</w:t>
      </w:r>
      <w:r w:rsidRPr="00634C5E">
        <w:rPr>
          <w:rFonts w:cs="Arial" w:hint="cs"/>
          <w:sz w:val="18"/>
          <w:szCs w:val="18"/>
          <w:rtl/>
        </w:rPr>
        <w:t>ונאמנת</w:t>
      </w:r>
      <w:r w:rsidRPr="00634C5E">
        <w:rPr>
          <w:rFonts w:cs="Arial"/>
          <w:sz w:val="18"/>
          <w:szCs w:val="18"/>
          <w:rtl/>
        </w:rPr>
        <w:t xml:space="preserve"> </w:t>
      </w:r>
      <w:r w:rsidRPr="00634C5E">
        <w:rPr>
          <w:rFonts w:cs="Arial" w:hint="cs"/>
          <w:sz w:val="18"/>
          <w:szCs w:val="18"/>
          <w:rtl/>
        </w:rPr>
        <w:t>אשה</w:t>
      </w:r>
      <w:r w:rsidRPr="00634C5E">
        <w:rPr>
          <w:rFonts w:cs="Arial"/>
          <w:sz w:val="18"/>
          <w:szCs w:val="18"/>
          <w:rtl/>
        </w:rPr>
        <w:t xml:space="preserve"> </w:t>
      </w:r>
      <w:r w:rsidRPr="00634C5E">
        <w:rPr>
          <w:rFonts w:cs="Arial" w:hint="cs"/>
          <w:sz w:val="18"/>
          <w:szCs w:val="18"/>
          <w:rtl/>
        </w:rPr>
        <w:t>לומר</w:t>
      </w:r>
      <w:r w:rsidRPr="00634C5E">
        <w:rPr>
          <w:rFonts w:cs="Arial"/>
          <w:sz w:val="18"/>
          <w:szCs w:val="18"/>
          <w:rtl/>
        </w:rPr>
        <w:t xml:space="preserve"> </w:t>
      </w:r>
      <w:r w:rsidRPr="00634C5E">
        <w:rPr>
          <w:rFonts w:cs="Arial" w:hint="cs"/>
          <w:sz w:val="18"/>
          <w:szCs w:val="18"/>
          <w:rtl/>
        </w:rPr>
        <w:t>מכה</w:t>
      </w:r>
      <w:r w:rsidRPr="00634C5E">
        <w:rPr>
          <w:rFonts w:cs="Arial"/>
          <w:sz w:val="18"/>
          <w:szCs w:val="18"/>
          <w:rtl/>
        </w:rPr>
        <w:t xml:space="preserve"> </w:t>
      </w:r>
      <w:r w:rsidRPr="00634C5E">
        <w:rPr>
          <w:rFonts w:cs="Arial" w:hint="cs"/>
          <w:sz w:val="18"/>
          <w:szCs w:val="18"/>
          <w:rtl/>
        </w:rPr>
        <w:t>יש</w:t>
      </w:r>
      <w:r w:rsidRPr="00634C5E">
        <w:rPr>
          <w:rFonts w:cs="Arial"/>
          <w:sz w:val="18"/>
          <w:szCs w:val="18"/>
          <w:rtl/>
        </w:rPr>
        <w:t xml:space="preserve"> </w:t>
      </w:r>
      <w:r w:rsidRPr="00634C5E">
        <w:rPr>
          <w:rFonts w:cs="Arial" w:hint="cs"/>
          <w:sz w:val="18"/>
          <w:szCs w:val="18"/>
          <w:rtl/>
        </w:rPr>
        <w:t>לי</w:t>
      </w:r>
      <w:r w:rsidRPr="00634C5E">
        <w:rPr>
          <w:rFonts w:cs="Arial"/>
          <w:sz w:val="18"/>
          <w:szCs w:val="18"/>
          <w:rtl/>
        </w:rPr>
        <w:t xml:space="preserve"> </w:t>
      </w:r>
      <w:r w:rsidRPr="00634C5E">
        <w:rPr>
          <w:rFonts w:cs="Arial" w:hint="cs"/>
          <w:sz w:val="18"/>
          <w:szCs w:val="18"/>
          <w:rtl/>
        </w:rPr>
        <w:t>במקור</w:t>
      </w:r>
      <w:r w:rsidRPr="00634C5E">
        <w:rPr>
          <w:rFonts w:cs="Arial"/>
          <w:sz w:val="18"/>
          <w:szCs w:val="18"/>
          <w:rtl/>
        </w:rPr>
        <w:t xml:space="preserve"> </w:t>
      </w:r>
      <w:r w:rsidRPr="00634C5E">
        <w:rPr>
          <w:rFonts w:cs="Arial" w:hint="cs"/>
          <w:sz w:val="18"/>
          <w:szCs w:val="18"/>
          <w:u w:val="single"/>
          <w:rtl/>
        </w:rPr>
        <w:t>שממנה</w:t>
      </w:r>
      <w:r w:rsidRPr="00634C5E">
        <w:rPr>
          <w:rFonts w:cs="Arial"/>
          <w:sz w:val="18"/>
          <w:szCs w:val="18"/>
          <w:u w:val="single"/>
          <w:rtl/>
        </w:rPr>
        <w:t xml:space="preserve"> </w:t>
      </w:r>
      <w:r w:rsidRPr="00634C5E">
        <w:rPr>
          <w:rFonts w:cs="Arial" w:hint="cs"/>
          <w:sz w:val="18"/>
          <w:szCs w:val="18"/>
          <w:u w:val="single"/>
          <w:rtl/>
        </w:rPr>
        <w:t>דם</w:t>
      </w:r>
      <w:r w:rsidRPr="00634C5E">
        <w:rPr>
          <w:rFonts w:cs="Arial"/>
          <w:sz w:val="18"/>
          <w:szCs w:val="18"/>
          <w:u w:val="single"/>
          <w:rtl/>
        </w:rPr>
        <w:t xml:space="preserve"> </w:t>
      </w:r>
      <w:r w:rsidRPr="00634C5E">
        <w:rPr>
          <w:rFonts w:cs="Arial" w:hint="cs"/>
          <w:sz w:val="18"/>
          <w:szCs w:val="18"/>
          <w:u w:val="single"/>
          <w:rtl/>
        </w:rPr>
        <w:t>יוצא</w:t>
      </w:r>
      <w:r w:rsidRPr="00634C5E">
        <w:rPr>
          <w:rFonts w:cs="Arial" w:hint="cs"/>
          <w:sz w:val="18"/>
          <w:szCs w:val="18"/>
          <w:rtl/>
        </w:rPr>
        <w:t>"</w:t>
      </w:r>
      <w:r w:rsidRPr="00634C5E">
        <w:rPr>
          <w:rFonts w:hint="cs"/>
          <w:sz w:val="18"/>
          <w:szCs w:val="18"/>
          <w:rtl/>
        </w:rPr>
        <w:t>!</w:t>
      </w:r>
      <w:r w:rsidRPr="00634C5E">
        <w:rPr>
          <w:rFonts w:hint="cs"/>
          <w:sz w:val="18"/>
          <w:szCs w:val="18"/>
          <w:rtl/>
        </w:rPr>
        <w:br/>
        <w:t xml:space="preserve">מיישב </w:t>
      </w:r>
      <w:r w:rsidRPr="00634C5E">
        <w:rPr>
          <w:rFonts w:hint="cs"/>
          <w:b/>
          <w:bCs/>
          <w:sz w:val="18"/>
          <w:szCs w:val="18"/>
          <w:rtl/>
        </w:rPr>
        <w:t>הרשב"א</w:t>
      </w:r>
      <w:r w:rsidRPr="00634C5E">
        <w:rPr>
          <w:rFonts w:hint="cs"/>
          <w:sz w:val="18"/>
          <w:szCs w:val="18"/>
          <w:rtl/>
        </w:rPr>
        <w:t xml:space="preserve"> </w:t>
      </w:r>
      <w:r w:rsidRPr="00634C5E">
        <w:rPr>
          <w:sz w:val="18"/>
          <w:szCs w:val="18"/>
          <w:rtl/>
        </w:rPr>
        <w:t>–</w:t>
      </w:r>
      <w:r w:rsidRPr="00634C5E">
        <w:rPr>
          <w:rFonts w:hint="cs"/>
          <w:sz w:val="18"/>
          <w:szCs w:val="18"/>
          <w:rtl/>
        </w:rPr>
        <w:t xml:space="preserve"> אין כוונת הברייתא שהאשה צריכה לומר שיודעת היא שהדם יוצא מהמכה, אלא כלפי שאמר התנא "אם יש לה מכה תולה במכתה" ממשיך התנא לומר "שממנה דם יוצא", אך האשה צריכה רק לומר שיש לה מכה ותו לא.</w:t>
      </w:r>
    </w:p>
  </w:footnote>
  <w:footnote w:id="112">
    <w:p w:rsidR="005953C5" w:rsidRDefault="005953C5" w:rsidP="00620060">
      <w:pPr>
        <w:pStyle w:val="a3"/>
      </w:pPr>
      <w:r w:rsidRPr="006A7E88">
        <w:rPr>
          <w:rStyle w:val="a5"/>
          <w:sz w:val="18"/>
          <w:szCs w:val="18"/>
        </w:rPr>
        <w:footnoteRef/>
      </w:r>
      <w:r w:rsidRPr="006A7E88">
        <w:rPr>
          <w:sz w:val="18"/>
          <w:szCs w:val="18"/>
          <w:rtl/>
        </w:rPr>
        <w:t xml:space="preserve"> </w:t>
      </w:r>
      <w:r w:rsidRPr="006A7E88">
        <w:rPr>
          <w:rFonts w:hint="cs"/>
          <w:b/>
          <w:bCs/>
          <w:sz w:val="18"/>
          <w:szCs w:val="18"/>
          <w:rtl/>
        </w:rPr>
        <w:t>ו</w:t>
      </w:r>
      <w:r>
        <w:rPr>
          <w:rFonts w:hint="cs"/>
          <w:b/>
          <w:bCs/>
          <w:sz w:val="18"/>
          <w:szCs w:val="18"/>
          <w:rtl/>
        </w:rPr>
        <w:t>ב</w:t>
      </w:r>
      <w:r w:rsidRPr="006A7E88">
        <w:rPr>
          <w:rFonts w:hint="cs"/>
          <w:b/>
          <w:bCs/>
          <w:sz w:val="18"/>
          <w:szCs w:val="18"/>
          <w:rtl/>
        </w:rPr>
        <w:t>ששבה"ל</w:t>
      </w:r>
      <w:r w:rsidRPr="006A7E88">
        <w:rPr>
          <w:rFonts w:hint="cs"/>
          <w:sz w:val="18"/>
          <w:szCs w:val="18"/>
          <w:rtl/>
        </w:rPr>
        <w:t xml:space="preserve"> ביאר טעמו של </w:t>
      </w:r>
      <w:r w:rsidRPr="006A7E88">
        <w:rPr>
          <w:rFonts w:hint="cs"/>
          <w:b/>
          <w:bCs/>
          <w:sz w:val="18"/>
          <w:szCs w:val="18"/>
          <w:rtl/>
        </w:rPr>
        <w:t>הרמ"א</w:t>
      </w:r>
      <w:r w:rsidRPr="006A7E88">
        <w:rPr>
          <w:rFonts w:hint="cs"/>
          <w:sz w:val="18"/>
          <w:szCs w:val="18"/>
          <w:rtl/>
        </w:rPr>
        <w:t xml:space="preserve"> </w:t>
      </w:r>
      <w:r w:rsidRPr="006A7E88">
        <w:rPr>
          <w:rFonts w:hint="cs"/>
          <w:sz w:val="16"/>
          <w:szCs w:val="16"/>
          <w:rtl/>
        </w:rPr>
        <w:t xml:space="preserve">(ע"פ </w:t>
      </w:r>
      <w:r w:rsidRPr="006A7E88">
        <w:rPr>
          <w:rFonts w:hint="cs"/>
          <w:b/>
          <w:bCs/>
          <w:sz w:val="16"/>
          <w:szCs w:val="16"/>
          <w:rtl/>
        </w:rPr>
        <w:t>הנוב"י</w:t>
      </w:r>
      <w:r w:rsidRPr="006A7E88">
        <w:rPr>
          <w:rFonts w:hint="cs"/>
          <w:sz w:val="16"/>
          <w:szCs w:val="16"/>
          <w:rtl/>
        </w:rPr>
        <w:t xml:space="preserve">) </w:t>
      </w:r>
      <w:r w:rsidRPr="006A7E88">
        <w:rPr>
          <w:sz w:val="18"/>
          <w:szCs w:val="18"/>
          <w:rtl/>
        </w:rPr>
        <w:t>–</w:t>
      </w:r>
      <w:r w:rsidRPr="006A7E88">
        <w:rPr>
          <w:rFonts w:hint="cs"/>
          <w:sz w:val="18"/>
          <w:szCs w:val="18"/>
          <w:rtl/>
        </w:rPr>
        <w:t xml:space="preserve"> שלא בשעת ווסתה יש לאשה חזקת טהרה, בראייה זו באים לאפוקי מחזקתה, וכיוון שיש ריעותא בטומאה שלא בשעת ווסתה, אפשר לתלות הדם בסיבה אחרת, לכן תולים גם בדבר שהוא ספק ואינו תלייה גמורה. ודין זה נאמר אפילו כשברור ש</w:t>
      </w:r>
      <w:r>
        <w:rPr>
          <w:rFonts w:hint="cs"/>
          <w:sz w:val="18"/>
          <w:szCs w:val="18"/>
          <w:rtl/>
        </w:rPr>
        <w:t>ה</w:t>
      </w:r>
      <w:r w:rsidRPr="006A7E88">
        <w:rPr>
          <w:rFonts w:hint="cs"/>
          <w:sz w:val="18"/>
          <w:szCs w:val="18"/>
          <w:rtl/>
        </w:rPr>
        <w:t>דם הוא דם מקור, ואין לחשוש שמא התערב באותו דם גם דם נידות משום שכשלא בשעת ווסתה אין דם מקור מצוי.</w:t>
      </w:r>
    </w:p>
  </w:footnote>
  <w:footnote w:id="113">
    <w:p w:rsidR="005953C5" w:rsidRDefault="005953C5" w:rsidP="00620060">
      <w:pPr>
        <w:pStyle w:val="a3"/>
      </w:pPr>
      <w:r w:rsidRPr="002409E7">
        <w:rPr>
          <w:rStyle w:val="a5"/>
          <w:sz w:val="18"/>
          <w:szCs w:val="18"/>
        </w:rPr>
        <w:footnoteRef/>
      </w:r>
      <w:r w:rsidRPr="002409E7">
        <w:rPr>
          <w:sz w:val="18"/>
          <w:szCs w:val="18"/>
          <w:rtl/>
        </w:rPr>
        <w:t xml:space="preserve"> </w:t>
      </w:r>
      <w:r w:rsidRPr="002409E7">
        <w:rPr>
          <w:rFonts w:hint="cs"/>
          <w:sz w:val="18"/>
          <w:szCs w:val="18"/>
          <w:rtl/>
        </w:rPr>
        <w:t>בדברי</w:t>
      </w:r>
      <w:r w:rsidRPr="002409E7">
        <w:rPr>
          <w:rFonts w:hint="cs"/>
          <w:b/>
          <w:bCs/>
          <w:sz w:val="18"/>
          <w:szCs w:val="18"/>
          <w:rtl/>
        </w:rPr>
        <w:t xml:space="preserve"> המחבר</w:t>
      </w:r>
      <w:r w:rsidRPr="002409E7">
        <w:rPr>
          <w:rFonts w:hint="cs"/>
          <w:sz w:val="18"/>
          <w:szCs w:val="18"/>
          <w:rtl/>
        </w:rPr>
        <w:t xml:space="preserve"> אין התייחסות לדין זה. כנראה הוא סובר </w:t>
      </w:r>
      <w:r w:rsidRPr="002409E7">
        <w:rPr>
          <w:rFonts w:hint="cs"/>
          <w:b/>
          <w:bCs/>
          <w:sz w:val="18"/>
          <w:szCs w:val="18"/>
          <w:rtl/>
        </w:rPr>
        <w:t>כרשב"א</w:t>
      </w:r>
      <w:r w:rsidRPr="002409E7">
        <w:rPr>
          <w:rFonts w:hint="cs"/>
          <w:sz w:val="18"/>
          <w:szCs w:val="18"/>
          <w:rtl/>
        </w:rPr>
        <w:t xml:space="preserve">, שאפילו אם האשה לא הרגישה </w:t>
      </w:r>
      <w:r w:rsidRPr="002409E7">
        <w:rPr>
          <w:sz w:val="18"/>
          <w:szCs w:val="18"/>
          <w:rtl/>
        </w:rPr>
        <w:t>–</w:t>
      </w:r>
      <w:r w:rsidRPr="002409E7">
        <w:rPr>
          <w:rFonts w:hint="cs"/>
          <w:sz w:val="18"/>
          <w:szCs w:val="18"/>
          <w:rtl/>
        </w:rPr>
        <w:t xml:space="preserve"> תולה במכה, ולכן לא חש לפרש זאת אלא פסק בסתמא שאם יש לה מכה תולה בה.</w:t>
      </w:r>
    </w:p>
  </w:footnote>
  <w:footnote w:id="114">
    <w:p w:rsidR="005953C5" w:rsidRPr="00B8697C" w:rsidRDefault="005953C5" w:rsidP="00620060">
      <w:pPr>
        <w:pStyle w:val="a3"/>
      </w:pPr>
      <w:r w:rsidRPr="005F3C22">
        <w:rPr>
          <w:rStyle w:val="a5"/>
          <w:sz w:val="18"/>
          <w:szCs w:val="18"/>
        </w:rPr>
        <w:footnoteRef/>
      </w:r>
      <w:r w:rsidRPr="005F3C22">
        <w:rPr>
          <w:sz w:val="18"/>
          <w:szCs w:val="18"/>
          <w:rtl/>
        </w:rPr>
        <w:t xml:space="preserve"> </w:t>
      </w:r>
      <w:r w:rsidRPr="005F3C22">
        <w:rPr>
          <w:rFonts w:hint="cs"/>
          <w:b/>
          <w:bCs/>
          <w:sz w:val="18"/>
          <w:szCs w:val="18"/>
          <w:rtl/>
        </w:rPr>
        <w:t>הט"ז</w:t>
      </w:r>
      <w:r w:rsidRPr="005F3C22">
        <w:rPr>
          <w:rFonts w:hint="cs"/>
          <w:sz w:val="18"/>
          <w:szCs w:val="18"/>
          <w:rtl/>
        </w:rPr>
        <w:t xml:space="preserve"> מרחיב בביאור קושיותיו על פסק </w:t>
      </w:r>
      <w:r w:rsidRPr="005F3C22">
        <w:rPr>
          <w:rFonts w:hint="cs"/>
          <w:b/>
          <w:bCs/>
          <w:sz w:val="18"/>
          <w:szCs w:val="18"/>
          <w:rtl/>
        </w:rPr>
        <w:t>הרמ"א</w:t>
      </w:r>
      <w:r w:rsidRPr="005F3C22">
        <w:rPr>
          <w:rFonts w:hint="cs"/>
          <w:sz w:val="18"/>
          <w:szCs w:val="18"/>
          <w:rtl/>
        </w:rPr>
        <w:t xml:space="preserve">, להלן קיצור דברי </w:t>
      </w:r>
      <w:r w:rsidRPr="005F3C22">
        <w:rPr>
          <w:rFonts w:hint="cs"/>
          <w:b/>
          <w:bCs/>
          <w:sz w:val="18"/>
          <w:szCs w:val="18"/>
          <w:rtl/>
        </w:rPr>
        <w:t>הט"ז</w:t>
      </w:r>
      <w:r w:rsidRPr="005F3C22">
        <w:rPr>
          <w:rFonts w:hint="cs"/>
          <w:sz w:val="18"/>
          <w:szCs w:val="18"/>
          <w:rtl/>
        </w:rPr>
        <w:t xml:space="preserve"> - </w:t>
      </w:r>
      <w:r w:rsidRPr="005F3C22">
        <w:rPr>
          <w:sz w:val="18"/>
          <w:szCs w:val="18"/>
          <w:rtl/>
        </w:rPr>
        <w:br/>
      </w:r>
      <w:r w:rsidRPr="005F3C22">
        <w:rPr>
          <w:rFonts w:hint="cs"/>
          <w:sz w:val="18"/>
          <w:szCs w:val="18"/>
          <w:rtl/>
        </w:rPr>
        <w:t xml:space="preserve">המעיין בדברי </w:t>
      </w:r>
      <w:r w:rsidRPr="005F3C22">
        <w:rPr>
          <w:rFonts w:hint="cs"/>
          <w:b/>
          <w:bCs/>
          <w:sz w:val="18"/>
          <w:szCs w:val="18"/>
          <w:rtl/>
        </w:rPr>
        <w:t xml:space="preserve">ת"ה </w:t>
      </w:r>
      <w:r w:rsidRPr="005F3C22">
        <w:rPr>
          <w:rFonts w:hint="cs"/>
          <w:sz w:val="18"/>
          <w:szCs w:val="18"/>
          <w:rtl/>
        </w:rPr>
        <w:t xml:space="preserve">שהביא </w:t>
      </w:r>
      <w:r w:rsidRPr="005F3C22">
        <w:rPr>
          <w:rFonts w:hint="cs"/>
          <w:b/>
          <w:bCs/>
          <w:sz w:val="18"/>
          <w:szCs w:val="18"/>
          <w:rtl/>
        </w:rPr>
        <w:t>הב"י</w:t>
      </w:r>
      <w:r w:rsidRPr="005F3C22">
        <w:rPr>
          <w:rFonts w:hint="cs"/>
          <w:sz w:val="18"/>
          <w:szCs w:val="18"/>
          <w:rtl/>
        </w:rPr>
        <w:t xml:space="preserve"> ייווכח שהחמיר להצריך הוכחה לכך שמכתה הוציאה דם, וכ"פ </w:t>
      </w:r>
      <w:r w:rsidRPr="005F3C22">
        <w:rPr>
          <w:rFonts w:hint="cs"/>
          <w:b/>
          <w:bCs/>
          <w:sz w:val="18"/>
          <w:szCs w:val="18"/>
          <w:rtl/>
        </w:rPr>
        <w:t>המחבר</w:t>
      </w:r>
      <w:r w:rsidRPr="005F3C22">
        <w:rPr>
          <w:rFonts w:hint="cs"/>
          <w:sz w:val="18"/>
          <w:szCs w:val="18"/>
          <w:rtl/>
        </w:rPr>
        <w:t xml:space="preserve"> לקמן סעיף ז', כגון שבכל פעם שבודקת מוצאת דם רק על מקום מסויים. לכן, מקור פסק </w:t>
      </w:r>
      <w:r w:rsidRPr="000658D2">
        <w:rPr>
          <w:rFonts w:hint="cs"/>
          <w:b/>
          <w:bCs/>
          <w:sz w:val="18"/>
          <w:szCs w:val="18"/>
          <w:rtl/>
        </w:rPr>
        <w:t>הרמ"א</w:t>
      </w:r>
      <w:r w:rsidRPr="005F3C22">
        <w:rPr>
          <w:rFonts w:hint="cs"/>
          <w:sz w:val="18"/>
          <w:szCs w:val="18"/>
          <w:rtl/>
        </w:rPr>
        <w:t xml:space="preserve"> כאן </w:t>
      </w:r>
      <w:r w:rsidRPr="000658D2">
        <w:rPr>
          <w:rFonts w:hint="cs"/>
          <w:sz w:val="18"/>
          <w:szCs w:val="18"/>
          <w:u w:val="single"/>
          <w:rtl/>
        </w:rPr>
        <w:t>אינו</w:t>
      </w:r>
      <w:r w:rsidRPr="005F3C22">
        <w:rPr>
          <w:rFonts w:hint="cs"/>
          <w:sz w:val="18"/>
          <w:szCs w:val="18"/>
          <w:rtl/>
        </w:rPr>
        <w:t xml:space="preserve"> בדברי </w:t>
      </w:r>
      <w:r w:rsidRPr="005F3C22">
        <w:rPr>
          <w:rFonts w:hint="cs"/>
          <w:b/>
          <w:bCs/>
          <w:sz w:val="18"/>
          <w:szCs w:val="18"/>
          <w:rtl/>
        </w:rPr>
        <w:t>ת"ה</w:t>
      </w:r>
      <w:r w:rsidRPr="005F3C22">
        <w:rPr>
          <w:rFonts w:hint="cs"/>
          <w:sz w:val="18"/>
          <w:szCs w:val="18"/>
          <w:rtl/>
        </w:rPr>
        <w:t xml:space="preserve">, שהרי </w:t>
      </w:r>
      <w:r w:rsidRPr="005F3C22">
        <w:rPr>
          <w:rFonts w:hint="cs"/>
          <w:b/>
          <w:bCs/>
          <w:sz w:val="18"/>
          <w:szCs w:val="18"/>
          <w:rtl/>
        </w:rPr>
        <w:t>הרמ"א</w:t>
      </w:r>
      <w:r w:rsidRPr="005F3C22">
        <w:rPr>
          <w:rFonts w:hint="cs"/>
          <w:sz w:val="18"/>
          <w:szCs w:val="18"/>
          <w:rtl/>
        </w:rPr>
        <w:t xml:space="preserve"> לא הצריך הוכחה לכך שהדם בא מהמכה.</w:t>
      </w:r>
      <w:r w:rsidRPr="005F3C22">
        <w:rPr>
          <w:sz w:val="18"/>
          <w:szCs w:val="18"/>
          <w:rtl/>
        </w:rPr>
        <w:br/>
      </w:r>
      <w:r w:rsidRPr="005F3C22">
        <w:rPr>
          <w:rFonts w:hint="cs"/>
          <w:sz w:val="18"/>
          <w:szCs w:val="18"/>
          <w:rtl/>
        </w:rPr>
        <w:t xml:space="preserve">אלא, מקור דברי </w:t>
      </w:r>
      <w:r w:rsidRPr="005F3C22">
        <w:rPr>
          <w:rFonts w:hint="cs"/>
          <w:b/>
          <w:bCs/>
          <w:sz w:val="18"/>
          <w:szCs w:val="18"/>
          <w:rtl/>
        </w:rPr>
        <w:t>הרמ"א</w:t>
      </w:r>
      <w:r w:rsidRPr="005F3C22">
        <w:rPr>
          <w:rFonts w:hint="cs"/>
          <w:sz w:val="18"/>
          <w:szCs w:val="18"/>
          <w:rtl/>
        </w:rPr>
        <w:t xml:space="preserve"> בתשובת </w:t>
      </w:r>
      <w:r>
        <w:rPr>
          <w:rFonts w:hint="cs"/>
          <w:b/>
          <w:bCs/>
          <w:sz w:val="18"/>
          <w:szCs w:val="18"/>
          <w:rtl/>
        </w:rPr>
        <w:t>מהר"י סגל</w:t>
      </w:r>
      <w:r w:rsidRPr="005F3C22">
        <w:rPr>
          <w:rFonts w:hint="cs"/>
          <w:sz w:val="18"/>
          <w:szCs w:val="18"/>
          <w:rtl/>
        </w:rPr>
        <w:t xml:space="preserve">. </w:t>
      </w:r>
      <w:r>
        <w:rPr>
          <w:rFonts w:hint="cs"/>
          <w:b/>
          <w:bCs/>
          <w:sz w:val="18"/>
          <w:szCs w:val="18"/>
          <w:rtl/>
        </w:rPr>
        <w:t>מהר"י סגל</w:t>
      </w:r>
      <w:r w:rsidRPr="005F3C22">
        <w:rPr>
          <w:rFonts w:hint="cs"/>
          <w:sz w:val="18"/>
          <w:szCs w:val="18"/>
          <w:rtl/>
        </w:rPr>
        <w:t xml:space="preserve"> התיר לאשה שראתה דם במי רגליה אך חשה כאב בשעת ההשתנה לבדוק את עצמה במוך, אע"פ שאין לה מכה מבוררת. אמנם, אע"פ שמהרי"ל החמיר לבדוק במוך, הוא רק משום שס"ל ווסתות דאורייתא, אך לדידן דקיי"ל ווסתות דרבנן יש להקל אפילו ללא בדיקה, ולכן הרמ"א הקל כאן אף ללא בדיקה.</w:t>
      </w:r>
      <w:r w:rsidRPr="005F3C22">
        <w:rPr>
          <w:sz w:val="18"/>
          <w:szCs w:val="18"/>
          <w:rtl/>
        </w:rPr>
        <w:br/>
      </w:r>
      <w:r w:rsidRPr="005F3C22">
        <w:rPr>
          <w:rFonts w:hint="cs"/>
          <w:sz w:val="18"/>
          <w:szCs w:val="18"/>
          <w:rtl/>
        </w:rPr>
        <w:t xml:space="preserve">ומעתה יקשה על </w:t>
      </w:r>
      <w:r w:rsidRPr="004D2CDC">
        <w:rPr>
          <w:rFonts w:hint="cs"/>
          <w:b/>
          <w:bCs/>
          <w:sz w:val="18"/>
          <w:szCs w:val="18"/>
          <w:rtl/>
        </w:rPr>
        <w:t>הרמ"א</w:t>
      </w:r>
      <w:r w:rsidRPr="005F3C22">
        <w:rPr>
          <w:rFonts w:hint="cs"/>
          <w:sz w:val="18"/>
          <w:szCs w:val="18"/>
          <w:rtl/>
        </w:rPr>
        <w:t xml:space="preserve"> - </w:t>
      </w:r>
      <w:r w:rsidRPr="005F3C22">
        <w:rPr>
          <w:sz w:val="18"/>
          <w:szCs w:val="18"/>
          <w:rtl/>
        </w:rPr>
        <w:br/>
      </w:r>
      <w:r w:rsidRPr="005F3C22">
        <w:rPr>
          <w:rFonts w:hint="cs"/>
          <w:sz w:val="18"/>
          <w:szCs w:val="18"/>
          <w:rtl/>
        </w:rPr>
        <w:t>א. כיוון שהוא סובר כמהר"י סגל ולא כת"ה, דהיינו שאין צריך הוכחה שהמכה מוציאה דם, מדוע לא הגיה מאומה על דברי המחבר בסעיף ז' שפסק כת"ה?</w:t>
      </w:r>
      <w:r w:rsidRPr="005F3C22">
        <w:rPr>
          <w:rFonts w:hint="cs"/>
          <w:sz w:val="18"/>
          <w:szCs w:val="18"/>
          <w:rtl/>
        </w:rPr>
        <w:br/>
        <w:t>ב. כיצד הקל הרמ"א כנגד ת"ה והב"י שכדבריהם פסקו מהרי"ל ומהרי"ו.</w:t>
      </w:r>
      <w:r w:rsidRPr="005F3C22">
        <w:rPr>
          <w:sz w:val="18"/>
          <w:szCs w:val="18"/>
          <w:rtl/>
        </w:rPr>
        <w:br/>
      </w:r>
      <w:r w:rsidRPr="005F3C22">
        <w:rPr>
          <w:rFonts w:hint="cs"/>
          <w:sz w:val="18"/>
          <w:szCs w:val="18"/>
          <w:rtl/>
        </w:rPr>
        <w:t>ג. מדוע הרמ"א השווה בדרכ"מ את שיטת מהרי"ל ות"ה?</w:t>
      </w:r>
      <w:r w:rsidRPr="005F3C22">
        <w:rPr>
          <w:rFonts w:hint="cs"/>
          <w:sz w:val="18"/>
          <w:szCs w:val="18"/>
          <w:rtl/>
        </w:rPr>
        <w:br/>
        <w:t>ד. מדוע הרמ"א הקל כאן אף ללא בדיקה, ואילו בדין רואה דם במ"ר פסק שצריכה לבדוק עצמה במוך נקי, הרי דין מכה חמור יותר!</w:t>
      </w:r>
      <w:r>
        <w:rPr>
          <w:rtl/>
        </w:rPr>
        <w:br/>
      </w:r>
      <w:r w:rsidRPr="00C23AF5">
        <w:rPr>
          <w:rFonts w:hint="cs"/>
          <w:b/>
          <w:bCs/>
          <w:sz w:val="18"/>
          <w:szCs w:val="18"/>
          <w:rtl/>
        </w:rPr>
        <w:t xml:space="preserve">נקודות הכסף </w:t>
      </w:r>
      <w:r w:rsidRPr="00C23AF5">
        <w:rPr>
          <w:sz w:val="18"/>
          <w:szCs w:val="18"/>
          <w:rtl/>
        </w:rPr>
        <w:t>–</w:t>
      </w:r>
      <w:r w:rsidRPr="00C23AF5">
        <w:rPr>
          <w:rFonts w:hint="cs"/>
          <w:sz w:val="18"/>
          <w:szCs w:val="18"/>
          <w:rtl/>
        </w:rPr>
        <w:t xml:space="preserve"> דברי הט"ז אינם נכונים. המעיין בת"ה ייווכח שכתב שתי קולות שונות, בתחילה הקל באשה שמוצאת דם ע"י כאב במקום מסויים, שהדבר מוכיח שיש לה מכה באותו מקום, וקולא זו נאמרה גם באשה שאין לה ווסת, והמחבר פסק כך בסעיף ז', ולכן הרמ"א לא הגיה על כך. בהמשך דבריו, פסק ת"ה להקל כשיש לה ווסת קבוע ולסמוך על המרדכי, וזהו פסק הרמ"א כאן.</w:t>
      </w:r>
      <w:r w:rsidRPr="00C23AF5">
        <w:rPr>
          <w:sz w:val="18"/>
          <w:szCs w:val="18"/>
          <w:rtl/>
        </w:rPr>
        <w:br/>
      </w:r>
      <w:r w:rsidRPr="00C23AF5">
        <w:rPr>
          <w:rFonts w:hint="cs"/>
          <w:sz w:val="18"/>
          <w:szCs w:val="18"/>
          <w:rtl/>
        </w:rPr>
        <w:t>ואפילו תאמר שאין זה הפירוש בת"ה, אלא הקל רק כשמרגשת כאב ויש לה ווסת, מכל מקום זה רק לעניין להחזיקה טהורה מחמת דם זה, אך מכל מקום אין להחזיקה כרמ"ת, שהרי יש לה מכה וראייתה באה לה שלא בשעת ווסתה.</w:t>
      </w:r>
    </w:p>
  </w:footnote>
  <w:footnote w:id="115">
    <w:p w:rsidR="005953C5" w:rsidRDefault="005953C5" w:rsidP="00620060">
      <w:pPr>
        <w:pStyle w:val="a3"/>
        <w:rPr>
          <w:rtl/>
        </w:rPr>
      </w:pPr>
      <w:r w:rsidRPr="00DB6405">
        <w:rPr>
          <w:rStyle w:val="a5"/>
          <w:sz w:val="18"/>
          <w:szCs w:val="18"/>
        </w:rPr>
        <w:footnoteRef/>
      </w:r>
      <w:r w:rsidRPr="00DB6405">
        <w:rPr>
          <w:sz w:val="18"/>
          <w:szCs w:val="18"/>
          <w:rtl/>
        </w:rPr>
        <w:t xml:space="preserve"> </w:t>
      </w:r>
      <w:r w:rsidRPr="00DB6405">
        <w:rPr>
          <w:rFonts w:hint="cs"/>
          <w:sz w:val="18"/>
          <w:szCs w:val="18"/>
          <w:rtl/>
        </w:rPr>
        <w:t xml:space="preserve">לסיכום דברי הרמ"א יש לומר שכל אחת משלוש המצבים הבאים מועילים - </w:t>
      </w:r>
      <w:r w:rsidRPr="00DB6405">
        <w:rPr>
          <w:sz w:val="18"/>
          <w:szCs w:val="18"/>
          <w:rtl/>
        </w:rPr>
        <w:br/>
      </w:r>
      <w:r w:rsidRPr="000B143D">
        <w:rPr>
          <w:rFonts w:hint="cs"/>
          <w:sz w:val="18"/>
          <w:szCs w:val="18"/>
          <w:rtl/>
        </w:rPr>
        <w:t>א. יש ווסת קבוע. ב. ספק האם הדם בא מהמקור. ג. מכה שידוע שמוציאה דם.</w:t>
      </w:r>
      <w:r>
        <w:rPr>
          <w:rtl/>
        </w:rPr>
        <w:br/>
      </w:r>
      <w:r w:rsidRPr="009E61A9">
        <w:rPr>
          <w:rFonts w:hint="cs"/>
          <w:sz w:val="18"/>
          <w:szCs w:val="18"/>
          <w:rtl/>
        </w:rPr>
        <w:t>על סעיף א הט"ז חולק. על סעיף ב הש"ך חולק.</w:t>
      </w:r>
    </w:p>
  </w:footnote>
  <w:footnote w:id="116">
    <w:p w:rsidR="005953C5" w:rsidRDefault="005953C5" w:rsidP="00620060">
      <w:pPr>
        <w:pStyle w:val="a3"/>
      </w:pPr>
      <w:r w:rsidRPr="00716471">
        <w:rPr>
          <w:rStyle w:val="a5"/>
          <w:sz w:val="18"/>
          <w:szCs w:val="18"/>
        </w:rPr>
        <w:footnoteRef/>
      </w:r>
      <w:r w:rsidRPr="00716471">
        <w:rPr>
          <w:sz w:val="18"/>
          <w:szCs w:val="18"/>
          <w:rtl/>
        </w:rPr>
        <w:t xml:space="preserve"> </w:t>
      </w:r>
      <w:r w:rsidRPr="00716471">
        <w:rPr>
          <w:rFonts w:hint="cs"/>
          <w:b/>
          <w:bCs/>
          <w:sz w:val="18"/>
          <w:szCs w:val="18"/>
          <w:rtl/>
        </w:rPr>
        <w:t>פת"ש</w:t>
      </w:r>
      <w:r w:rsidRPr="00716471">
        <w:rPr>
          <w:rFonts w:hint="cs"/>
          <w:sz w:val="18"/>
          <w:szCs w:val="18"/>
          <w:rtl/>
        </w:rPr>
        <w:t xml:space="preserve"> </w:t>
      </w:r>
      <w:r w:rsidRPr="00716471">
        <w:rPr>
          <w:sz w:val="18"/>
          <w:szCs w:val="18"/>
          <w:rtl/>
        </w:rPr>
        <w:t>–</w:t>
      </w:r>
      <w:r w:rsidRPr="00716471">
        <w:rPr>
          <w:rFonts w:hint="cs"/>
          <w:sz w:val="18"/>
          <w:szCs w:val="18"/>
          <w:rtl/>
        </w:rPr>
        <w:t xml:space="preserve"> בשו"ת </w:t>
      </w:r>
      <w:r w:rsidRPr="00716471">
        <w:rPr>
          <w:rFonts w:hint="cs"/>
          <w:b/>
          <w:bCs/>
          <w:sz w:val="18"/>
          <w:szCs w:val="18"/>
          <w:rtl/>
        </w:rPr>
        <w:t>כנסת יחזקאל</w:t>
      </w:r>
      <w:r w:rsidRPr="00716471">
        <w:rPr>
          <w:rFonts w:hint="cs"/>
          <w:sz w:val="18"/>
          <w:szCs w:val="18"/>
          <w:rtl/>
        </w:rPr>
        <w:t xml:space="preserve"> הבין שדברי </w:t>
      </w:r>
      <w:r w:rsidRPr="00716471">
        <w:rPr>
          <w:rFonts w:hint="cs"/>
          <w:b/>
          <w:bCs/>
          <w:sz w:val="18"/>
          <w:szCs w:val="18"/>
          <w:rtl/>
        </w:rPr>
        <w:t>הש"ך</w:t>
      </w:r>
      <w:r w:rsidRPr="00716471">
        <w:rPr>
          <w:rFonts w:hint="cs"/>
          <w:sz w:val="18"/>
          <w:szCs w:val="18"/>
          <w:rtl/>
        </w:rPr>
        <w:t xml:space="preserve"> נאמרו רק לגבי דם שרואה שלא בשעת תשמיש, אך דם שרואה בשעת תשמיש אינה צריכה לשבת עליו ז' נקיים.</w:t>
      </w:r>
      <w:r w:rsidRPr="00716471">
        <w:rPr>
          <w:sz w:val="18"/>
          <w:szCs w:val="18"/>
          <w:rtl/>
        </w:rPr>
        <w:br/>
      </w:r>
      <w:r w:rsidRPr="00716471">
        <w:rPr>
          <w:rFonts w:hint="cs"/>
          <w:b/>
          <w:bCs/>
          <w:sz w:val="18"/>
          <w:szCs w:val="18"/>
          <w:rtl/>
        </w:rPr>
        <w:t xml:space="preserve">טעם </w:t>
      </w:r>
      <w:r w:rsidRPr="00716471">
        <w:rPr>
          <w:sz w:val="18"/>
          <w:szCs w:val="18"/>
          <w:rtl/>
        </w:rPr>
        <w:t>–</w:t>
      </w:r>
      <w:r w:rsidRPr="00716471">
        <w:rPr>
          <w:rFonts w:hint="cs"/>
          <w:sz w:val="18"/>
          <w:szCs w:val="18"/>
          <w:rtl/>
        </w:rPr>
        <w:t xml:space="preserve"> אין טהרה לחצאין, וכיוון שלגבי דין רמ"ת התירו, כך הוא הדין לגבי דין נידה. ואמנם, משמע שאין זו ההבנה הרווחת של האחרונים בדברי הש"ך.</w:t>
      </w:r>
    </w:p>
  </w:footnote>
  <w:footnote w:id="117">
    <w:p w:rsidR="005953C5" w:rsidRDefault="005953C5" w:rsidP="00620060">
      <w:pPr>
        <w:pStyle w:val="a3"/>
      </w:pPr>
      <w:r w:rsidRPr="0054586F">
        <w:rPr>
          <w:rStyle w:val="a5"/>
          <w:sz w:val="18"/>
          <w:szCs w:val="18"/>
        </w:rPr>
        <w:footnoteRef/>
      </w:r>
      <w:r w:rsidRPr="0054586F">
        <w:rPr>
          <w:sz w:val="18"/>
          <w:szCs w:val="18"/>
          <w:rtl/>
        </w:rPr>
        <w:t xml:space="preserve"> </w:t>
      </w:r>
      <w:r w:rsidRPr="0054586F">
        <w:rPr>
          <w:rFonts w:hint="cs"/>
          <w:b/>
          <w:bCs/>
          <w:sz w:val="18"/>
          <w:szCs w:val="18"/>
          <w:rtl/>
        </w:rPr>
        <w:t xml:space="preserve">גמרא </w:t>
      </w:r>
      <w:r w:rsidRPr="0054586F">
        <w:rPr>
          <w:rFonts w:hint="cs"/>
          <w:sz w:val="18"/>
          <w:szCs w:val="18"/>
          <w:rtl/>
        </w:rPr>
        <w:t>נידה (טז.) "</w:t>
      </w:r>
      <w:r w:rsidRPr="0054586F">
        <w:rPr>
          <w:rFonts w:cs="Arial"/>
          <w:sz w:val="18"/>
          <w:szCs w:val="18"/>
          <w:rtl/>
        </w:rPr>
        <w:t>תניא הרואה דם מחמת מכה - אפילו בתוך ימי נדתה טהורה - דברי רשב"ג, רבי אומר: אם יש לה וסת - חוששת לוסתה. מאי לאו, בהא קמיפלגי, דמר סבר - וסתות דאורייתא, ומר סבר - וסתות דרבנן! אמר רבינא: לא, דכ"ע - וסתות דרבנן, והכא - במקור מקומו טמא קמיפלגי</w:t>
      </w:r>
      <w:r w:rsidRPr="0054586F">
        <w:rPr>
          <w:rFonts w:cs="Arial" w:hint="cs"/>
          <w:sz w:val="18"/>
          <w:szCs w:val="18"/>
          <w:rtl/>
        </w:rPr>
        <w:t>".</w:t>
      </w:r>
      <w:r w:rsidRPr="0054586F">
        <w:rPr>
          <w:rFonts w:cs="Arial"/>
          <w:sz w:val="18"/>
          <w:szCs w:val="18"/>
          <w:rtl/>
        </w:rPr>
        <w:br/>
      </w:r>
      <w:r w:rsidRPr="0054586F">
        <w:rPr>
          <w:rFonts w:cs="Arial" w:hint="cs"/>
          <w:sz w:val="18"/>
          <w:szCs w:val="18"/>
          <w:rtl/>
        </w:rPr>
        <w:t>קיי"ל כאוקימתא של רבא שווסתות דרבנן, והרי שלא נחלקו רבי ורשב"ג שמותרת לבעלה, אלא נחלקו רק לגבי מקור מקומו טמא.</w:t>
      </w:r>
      <w:r>
        <w:rPr>
          <w:rtl/>
        </w:rPr>
        <w:br/>
      </w:r>
      <w:r w:rsidRPr="009B32D7">
        <w:rPr>
          <w:rFonts w:hint="cs"/>
          <w:sz w:val="18"/>
          <w:szCs w:val="18"/>
          <w:rtl/>
        </w:rPr>
        <w:t xml:space="preserve">ואמנם, הרשב"א מקשה על שיטתו </w:t>
      </w:r>
      <w:r w:rsidRPr="009B32D7">
        <w:rPr>
          <w:sz w:val="18"/>
          <w:szCs w:val="18"/>
          <w:rtl/>
        </w:rPr>
        <w:t>–</w:t>
      </w:r>
      <w:r w:rsidRPr="009B32D7">
        <w:rPr>
          <w:rFonts w:hint="cs"/>
          <w:sz w:val="18"/>
          <w:szCs w:val="18"/>
          <w:rtl/>
        </w:rPr>
        <w:t xml:space="preserve"> הרי בנשים דעלמא חוששות לעונת הווסת ואסור לשמש, אם כן כיצד ניתן להקל כאן כשהיא רואה דם להדיא?</w:t>
      </w:r>
      <w:r w:rsidRPr="009B32D7">
        <w:rPr>
          <w:sz w:val="18"/>
          <w:szCs w:val="18"/>
          <w:rtl/>
        </w:rPr>
        <w:br/>
      </w:r>
      <w:r w:rsidRPr="009B32D7">
        <w:rPr>
          <w:rFonts w:hint="cs"/>
          <w:sz w:val="18"/>
          <w:szCs w:val="18"/>
          <w:rtl/>
        </w:rPr>
        <w:t xml:space="preserve">ויש לומר </w:t>
      </w:r>
      <w:r w:rsidRPr="009B32D7">
        <w:rPr>
          <w:sz w:val="18"/>
          <w:szCs w:val="18"/>
          <w:rtl/>
        </w:rPr>
        <w:t>–</w:t>
      </w:r>
      <w:r w:rsidRPr="009B32D7">
        <w:rPr>
          <w:rFonts w:hint="cs"/>
          <w:sz w:val="18"/>
          <w:szCs w:val="18"/>
          <w:rtl/>
        </w:rPr>
        <w:t xml:space="preserve"> דין איסור תשמיש בעונת הווסת הוא דרבנן, והטעם שהחמירו משום שניתן לעמוד על בירור הדבר ע"י בדיקה האם היא טמאה, אך כאן אין אפשרות לברר האם מותרת או אסורה, ולכן יש להקל.</w:t>
      </w:r>
    </w:p>
  </w:footnote>
  <w:footnote w:id="118">
    <w:p w:rsidR="005953C5" w:rsidRDefault="005953C5" w:rsidP="00620060">
      <w:pPr>
        <w:pStyle w:val="a3"/>
      </w:pPr>
      <w:r w:rsidRPr="000B6977">
        <w:rPr>
          <w:rStyle w:val="a5"/>
          <w:sz w:val="18"/>
          <w:szCs w:val="18"/>
        </w:rPr>
        <w:footnoteRef/>
      </w:r>
      <w:r w:rsidRPr="000B6977">
        <w:rPr>
          <w:sz w:val="18"/>
          <w:szCs w:val="18"/>
          <w:rtl/>
        </w:rPr>
        <w:t xml:space="preserve"> </w:t>
      </w:r>
      <w:r w:rsidRPr="000B6977">
        <w:rPr>
          <w:rFonts w:hint="cs"/>
          <w:sz w:val="18"/>
          <w:szCs w:val="18"/>
          <w:rtl/>
        </w:rPr>
        <w:t>שהרי לגבי רמ"ת שיש לה מכה באותו מקום ושימשה סמוך לווסתה, נאמר להדיא בסעיף הקודם שיש להקל, עיי"ש.</w:t>
      </w:r>
    </w:p>
  </w:footnote>
  <w:footnote w:id="119">
    <w:p w:rsidR="005953C5" w:rsidRDefault="005953C5" w:rsidP="00620060">
      <w:pPr>
        <w:pStyle w:val="a3"/>
      </w:pPr>
      <w:r w:rsidRPr="00613374">
        <w:rPr>
          <w:rStyle w:val="a5"/>
          <w:sz w:val="18"/>
          <w:szCs w:val="18"/>
        </w:rPr>
        <w:footnoteRef/>
      </w:r>
      <w:r w:rsidRPr="00613374">
        <w:rPr>
          <w:sz w:val="18"/>
          <w:szCs w:val="18"/>
          <w:rtl/>
        </w:rPr>
        <w:t xml:space="preserve"> </w:t>
      </w:r>
      <w:r w:rsidRPr="00613374">
        <w:rPr>
          <w:rFonts w:hint="cs"/>
          <w:sz w:val="18"/>
          <w:szCs w:val="18"/>
          <w:rtl/>
        </w:rPr>
        <w:t>מדוע יש להתחשב בשאלה האם הווסת קדמה למכה או המכה קדמה לווסת?</w:t>
      </w:r>
      <w:r w:rsidRPr="00613374">
        <w:rPr>
          <w:rFonts w:hint="cs"/>
          <w:sz w:val="18"/>
          <w:szCs w:val="18"/>
          <w:rtl/>
        </w:rPr>
        <w:br/>
        <w:t>ייתכן שכאשר הווסת קדמה הרי שהיא עומדת בחזקת טומאה, ואתה בא לטהר אותה ע"י תלייה במכה ולכן אין תולים. לעומת זאת, כאשר המכה קדמה הרי שהיא מוחזקת בטהרה אלא ש</w:t>
      </w:r>
      <w:r>
        <w:rPr>
          <w:rFonts w:hint="cs"/>
          <w:sz w:val="18"/>
          <w:szCs w:val="18"/>
          <w:rtl/>
        </w:rPr>
        <w:t xml:space="preserve">רואה </w:t>
      </w:r>
      <w:r w:rsidRPr="00613374">
        <w:rPr>
          <w:rFonts w:hint="cs"/>
          <w:sz w:val="18"/>
          <w:szCs w:val="18"/>
          <w:rtl/>
        </w:rPr>
        <w:t xml:space="preserve">דם </w:t>
      </w:r>
      <w:r>
        <w:rPr>
          <w:rFonts w:hint="cs"/>
          <w:sz w:val="18"/>
          <w:szCs w:val="18"/>
          <w:rtl/>
        </w:rPr>
        <w:t xml:space="preserve">מחמת </w:t>
      </w:r>
      <w:r w:rsidRPr="00613374">
        <w:rPr>
          <w:rFonts w:hint="cs"/>
          <w:sz w:val="18"/>
          <w:szCs w:val="18"/>
          <w:rtl/>
        </w:rPr>
        <w:t>מכה, אתה בא לטמא אותה מחמת הווסת ומנ"ל לטמא? שמא עדיין דם מכה הוא ואין לך לטמא מספק.</w:t>
      </w:r>
      <w:r>
        <w:rPr>
          <w:rtl/>
        </w:rPr>
        <w:br/>
      </w:r>
      <w:r w:rsidRPr="00A20928">
        <w:rPr>
          <w:rFonts w:hint="cs"/>
          <w:sz w:val="18"/>
          <w:szCs w:val="18"/>
          <w:rtl/>
        </w:rPr>
        <w:t xml:space="preserve">וכן כתב </w:t>
      </w:r>
      <w:r w:rsidRPr="00A20928">
        <w:rPr>
          <w:rFonts w:hint="cs"/>
          <w:b/>
          <w:bCs/>
          <w:sz w:val="18"/>
          <w:szCs w:val="18"/>
          <w:rtl/>
        </w:rPr>
        <w:t>טהרת הבית</w:t>
      </w:r>
      <w:r w:rsidRPr="00A20928">
        <w:rPr>
          <w:rFonts w:hint="cs"/>
          <w:sz w:val="18"/>
          <w:szCs w:val="18"/>
          <w:rtl/>
        </w:rPr>
        <w:t xml:space="preserve"> </w:t>
      </w:r>
      <w:r w:rsidRPr="00A20928">
        <w:rPr>
          <w:rFonts w:hint="cs"/>
          <w:sz w:val="16"/>
          <w:szCs w:val="16"/>
          <w:rtl/>
        </w:rPr>
        <w:t xml:space="preserve">(חלק ב' עמ' רמד) </w:t>
      </w:r>
      <w:r w:rsidRPr="00A20928">
        <w:rPr>
          <w:rFonts w:hint="cs"/>
          <w:sz w:val="18"/>
          <w:szCs w:val="18"/>
          <w:rtl/>
        </w:rPr>
        <w:t>שבכה"ג שדם המכה קדם לווסת, טעם הטומאה הוא רק מכוח סברה 'וכי לעולם לא תהיה טמאה' ולןכ יש יותר מקום להקל.</w:t>
      </w:r>
    </w:p>
  </w:footnote>
  <w:footnote w:id="120">
    <w:p w:rsidR="005953C5" w:rsidRDefault="005953C5" w:rsidP="00620060">
      <w:pPr>
        <w:pStyle w:val="a3"/>
      </w:pPr>
      <w:r w:rsidRPr="004C1788">
        <w:rPr>
          <w:rStyle w:val="a5"/>
          <w:sz w:val="18"/>
          <w:szCs w:val="18"/>
        </w:rPr>
        <w:footnoteRef/>
      </w:r>
      <w:r w:rsidRPr="004C1788">
        <w:rPr>
          <w:sz w:val="18"/>
          <w:szCs w:val="18"/>
          <w:rtl/>
        </w:rPr>
        <w:t xml:space="preserve"> </w:t>
      </w:r>
      <w:r w:rsidRPr="004C1788">
        <w:rPr>
          <w:rFonts w:hint="cs"/>
          <w:sz w:val="18"/>
          <w:szCs w:val="18"/>
          <w:rtl/>
        </w:rPr>
        <w:t>ולעניין מי שיכולה לפסוק בטהרה ע"י קינוח אך לא ע"י בדיקת חורים וסדקים, יבואר אי"ה בסימן קצו'.</w:t>
      </w:r>
    </w:p>
  </w:footnote>
  <w:footnote w:id="121">
    <w:p w:rsidR="005953C5" w:rsidRDefault="005953C5" w:rsidP="00620060">
      <w:pPr>
        <w:pStyle w:val="a3"/>
        <w:rPr>
          <w:rtl/>
        </w:rPr>
      </w:pPr>
      <w:r w:rsidRPr="00176F1C">
        <w:rPr>
          <w:rStyle w:val="a5"/>
          <w:sz w:val="18"/>
          <w:szCs w:val="18"/>
        </w:rPr>
        <w:footnoteRef/>
      </w:r>
      <w:r w:rsidRPr="00176F1C">
        <w:rPr>
          <w:sz w:val="18"/>
          <w:szCs w:val="18"/>
          <w:rtl/>
        </w:rPr>
        <w:t xml:space="preserve"> </w:t>
      </w:r>
      <w:r w:rsidRPr="00176F1C">
        <w:rPr>
          <w:rFonts w:hint="cs"/>
          <w:b/>
          <w:bCs/>
          <w:sz w:val="18"/>
          <w:szCs w:val="18"/>
          <w:rtl/>
        </w:rPr>
        <w:t>הרב עובדיה</w:t>
      </w:r>
      <w:r w:rsidRPr="00176F1C">
        <w:rPr>
          <w:rFonts w:hint="cs"/>
          <w:sz w:val="18"/>
          <w:szCs w:val="18"/>
          <w:rtl/>
        </w:rPr>
        <w:t xml:space="preserve"> מגיע למסקנה זו לאחר דיון רחב מאוד, עיין </w:t>
      </w:r>
      <w:r w:rsidRPr="00176F1C">
        <w:rPr>
          <w:rFonts w:hint="cs"/>
          <w:b/>
          <w:bCs/>
          <w:sz w:val="18"/>
          <w:szCs w:val="18"/>
          <w:rtl/>
        </w:rPr>
        <w:t>בטהרת הבית</w:t>
      </w:r>
      <w:r w:rsidRPr="00176F1C">
        <w:rPr>
          <w:rFonts w:hint="cs"/>
          <w:sz w:val="18"/>
          <w:szCs w:val="18"/>
          <w:rtl/>
        </w:rPr>
        <w:t xml:space="preserve"> חלק ב' מעמ' רמג עד עמ' רסב. ואע"פ שיש לומר סמוך מיעוטא לחזקה ואיתרע ליה רובא, מכל מקום כאן מדובר ברובא דאיתא קמן ולכן אלים טפי, ועיי"ש עוד.</w:t>
      </w:r>
    </w:p>
  </w:footnote>
  <w:footnote w:id="122">
    <w:p w:rsidR="005953C5" w:rsidRDefault="005953C5" w:rsidP="00620060">
      <w:pPr>
        <w:pStyle w:val="a3"/>
      </w:pPr>
      <w:r w:rsidRPr="00843D78">
        <w:rPr>
          <w:rStyle w:val="a5"/>
          <w:sz w:val="18"/>
          <w:szCs w:val="18"/>
        </w:rPr>
        <w:footnoteRef/>
      </w:r>
      <w:r w:rsidRPr="00843D78">
        <w:rPr>
          <w:sz w:val="18"/>
          <w:szCs w:val="18"/>
          <w:rtl/>
        </w:rPr>
        <w:t xml:space="preserve"> </w:t>
      </w:r>
      <w:r w:rsidRPr="00843D78">
        <w:rPr>
          <w:rFonts w:hint="cs"/>
          <w:sz w:val="18"/>
          <w:szCs w:val="18"/>
          <w:rtl/>
        </w:rPr>
        <w:t>הראשונים מעירים שרשב"ג חולק וסובר שהאשה אינה נאמנת, אך מכל מקום פסקו כרבי.</w:t>
      </w:r>
    </w:p>
  </w:footnote>
  <w:footnote w:id="123">
    <w:p w:rsidR="005953C5" w:rsidRPr="00910CD6" w:rsidRDefault="005953C5" w:rsidP="00620060">
      <w:pPr>
        <w:pStyle w:val="a3"/>
        <w:rPr>
          <w:sz w:val="18"/>
          <w:szCs w:val="18"/>
          <w:rtl/>
        </w:rPr>
      </w:pPr>
      <w:r w:rsidRPr="00910CD6">
        <w:rPr>
          <w:rStyle w:val="a5"/>
          <w:sz w:val="18"/>
          <w:szCs w:val="18"/>
        </w:rPr>
        <w:footnoteRef/>
      </w:r>
      <w:r w:rsidRPr="00910CD6">
        <w:rPr>
          <w:sz w:val="18"/>
          <w:szCs w:val="18"/>
          <w:rtl/>
        </w:rPr>
        <w:t xml:space="preserve"> </w:t>
      </w:r>
      <w:r w:rsidRPr="00910CD6">
        <w:rPr>
          <w:rFonts w:hint="cs"/>
          <w:sz w:val="18"/>
          <w:szCs w:val="18"/>
          <w:rtl/>
        </w:rPr>
        <w:t xml:space="preserve">ומהו שיעור כל זמן? </w:t>
      </w:r>
      <w:r w:rsidRPr="00910CD6">
        <w:rPr>
          <w:rFonts w:hint="cs"/>
          <w:b/>
          <w:bCs/>
          <w:sz w:val="18"/>
          <w:szCs w:val="18"/>
          <w:rtl/>
        </w:rPr>
        <w:t>ששבה"ל</w:t>
      </w:r>
      <w:r w:rsidRPr="00910CD6">
        <w:rPr>
          <w:rFonts w:hint="cs"/>
          <w:sz w:val="18"/>
          <w:szCs w:val="18"/>
          <w:rtl/>
        </w:rPr>
        <w:t xml:space="preserve"> כתב שהוא לכל הפחות ג' פעמים.</w:t>
      </w:r>
    </w:p>
  </w:footnote>
  <w:footnote w:id="124">
    <w:p w:rsidR="005953C5" w:rsidRDefault="005953C5" w:rsidP="00620060">
      <w:pPr>
        <w:pStyle w:val="a3"/>
      </w:pPr>
      <w:r w:rsidRPr="008C3AEC">
        <w:rPr>
          <w:rStyle w:val="a5"/>
          <w:sz w:val="18"/>
          <w:szCs w:val="18"/>
        </w:rPr>
        <w:footnoteRef/>
      </w:r>
      <w:r w:rsidRPr="008C3AEC">
        <w:rPr>
          <w:sz w:val="18"/>
          <w:szCs w:val="18"/>
          <w:rtl/>
        </w:rPr>
        <w:t xml:space="preserve"> </w:t>
      </w:r>
      <w:r w:rsidRPr="008C3AEC">
        <w:rPr>
          <w:rFonts w:hint="cs"/>
          <w:b/>
          <w:bCs/>
          <w:sz w:val="18"/>
          <w:szCs w:val="18"/>
          <w:rtl/>
        </w:rPr>
        <w:t>הנוב"י</w:t>
      </w:r>
      <w:r w:rsidRPr="008C3AEC">
        <w:rPr>
          <w:rFonts w:hint="cs"/>
          <w:sz w:val="18"/>
          <w:szCs w:val="18"/>
          <w:rtl/>
        </w:rPr>
        <w:t xml:space="preserve"> מבין שידוע שיש לה מכה אך אין ידוע אם מוציאה דם. ברם, </w:t>
      </w:r>
      <w:r w:rsidRPr="008C3AEC">
        <w:rPr>
          <w:rFonts w:hint="cs"/>
          <w:b/>
          <w:bCs/>
          <w:sz w:val="18"/>
          <w:szCs w:val="18"/>
          <w:rtl/>
        </w:rPr>
        <w:t>בששבה"ל</w:t>
      </w:r>
      <w:r w:rsidRPr="008C3AEC">
        <w:rPr>
          <w:rFonts w:hint="cs"/>
          <w:sz w:val="18"/>
          <w:szCs w:val="18"/>
          <w:rtl/>
        </w:rPr>
        <w:t xml:space="preserve"> הביא בשם כמה אחרונים שהקלו אפילו כשאין ידוע שיש לה מכה, וכתב שיש להקל כוותייהו בזקנה ובשאר נשים מסולקות דמים.</w:t>
      </w:r>
    </w:p>
  </w:footnote>
  <w:footnote w:id="125">
    <w:p w:rsidR="005953C5" w:rsidRPr="001C358F" w:rsidRDefault="005953C5" w:rsidP="00620060">
      <w:pPr>
        <w:pStyle w:val="a3"/>
        <w:rPr>
          <w:sz w:val="18"/>
          <w:szCs w:val="18"/>
          <w:rtl/>
        </w:rPr>
      </w:pPr>
      <w:r w:rsidRPr="001C358F">
        <w:rPr>
          <w:rStyle w:val="a5"/>
          <w:sz w:val="18"/>
          <w:szCs w:val="18"/>
        </w:rPr>
        <w:footnoteRef/>
      </w:r>
      <w:r w:rsidRPr="001C358F">
        <w:rPr>
          <w:sz w:val="18"/>
          <w:szCs w:val="18"/>
          <w:rtl/>
        </w:rPr>
        <w:t xml:space="preserve"> </w:t>
      </w:r>
      <w:r w:rsidRPr="001C358F">
        <w:rPr>
          <w:rFonts w:hint="cs"/>
          <w:sz w:val="18"/>
          <w:szCs w:val="18"/>
          <w:rtl/>
        </w:rPr>
        <w:t xml:space="preserve">והוסיף </w:t>
      </w:r>
      <w:r w:rsidRPr="001C358F">
        <w:rPr>
          <w:rFonts w:hint="cs"/>
          <w:b/>
          <w:bCs/>
          <w:sz w:val="18"/>
          <w:szCs w:val="18"/>
          <w:rtl/>
        </w:rPr>
        <w:t>בששבה"ל</w:t>
      </w:r>
      <w:r w:rsidRPr="001C358F">
        <w:rPr>
          <w:rFonts w:hint="cs"/>
          <w:sz w:val="18"/>
          <w:szCs w:val="18"/>
          <w:rtl/>
        </w:rPr>
        <w:t xml:space="preserve"> </w:t>
      </w:r>
      <w:r w:rsidRPr="001C358F">
        <w:rPr>
          <w:sz w:val="18"/>
          <w:szCs w:val="18"/>
          <w:rtl/>
        </w:rPr>
        <w:t>–</w:t>
      </w:r>
      <w:r w:rsidRPr="001C358F">
        <w:rPr>
          <w:rFonts w:hint="cs"/>
          <w:sz w:val="18"/>
          <w:szCs w:val="18"/>
          <w:rtl/>
        </w:rPr>
        <w:t xml:space="preserve"> הכוונה היא שהוא ירא שמיים, אך ישראל גרידא לא מהני לעניין זה, ופשוט.</w:t>
      </w:r>
    </w:p>
  </w:footnote>
  <w:footnote w:id="126">
    <w:p w:rsidR="005953C5" w:rsidRPr="00107C02" w:rsidRDefault="005953C5" w:rsidP="00620060">
      <w:pPr>
        <w:pStyle w:val="a3"/>
        <w:rPr>
          <w:rFonts w:asciiTheme="minorBidi" w:hAnsiTheme="minorBidi"/>
          <w:rtl/>
        </w:rPr>
      </w:pPr>
      <w:r w:rsidRPr="00107C02">
        <w:rPr>
          <w:rStyle w:val="a5"/>
          <w:rFonts w:asciiTheme="minorBidi" w:hAnsiTheme="minorBidi"/>
          <w:sz w:val="18"/>
          <w:szCs w:val="18"/>
        </w:rPr>
        <w:footnoteRef/>
      </w:r>
      <w:r w:rsidRPr="00107C02">
        <w:rPr>
          <w:rFonts w:asciiTheme="minorBidi" w:hAnsiTheme="minorBidi"/>
          <w:sz w:val="18"/>
          <w:szCs w:val="18"/>
          <w:rtl/>
        </w:rPr>
        <w:t xml:space="preserve"> </w:t>
      </w:r>
      <w:r w:rsidRPr="00107C02">
        <w:rPr>
          <w:rFonts w:asciiTheme="minorBidi" w:hAnsiTheme="minorBidi"/>
          <w:b/>
          <w:bCs/>
          <w:sz w:val="18"/>
          <w:szCs w:val="18"/>
          <w:rtl/>
        </w:rPr>
        <w:t>חת"ס</w:t>
      </w:r>
      <w:r w:rsidRPr="00107C02">
        <w:rPr>
          <w:rFonts w:asciiTheme="minorBidi" w:hAnsiTheme="minorBidi"/>
          <w:sz w:val="18"/>
          <w:szCs w:val="18"/>
          <w:rtl/>
        </w:rPr>
        <w:t xml:space="preserve"> – רופא שריפא גויה שראתה </w:t>
      </w:r>
      <w:r>
        <w:rPr>
          <w:rFonts w:asciiTheme="minorBidi" w:hAnsiTheme="minorBidi" w:hint="cs"/>
          <w:sz w:val="18"/>
          <w:szCs w:val="18"/>
          <w:rtl/>
        </w:rPr>
        <w:t>מחמת</w:t>
      </w:r>
      <w:r w:rsidRPr="00107C02">
        <w:rPr>
          <w:rFonts w:asciiTheme="minorBidi" w:hAnsiTheme="minorBidi"/>
          <w:sz w:val="18"/>
          <w:szCs w:val="18"/>
          <w:rtl/>
        </w:rPr>
        <w:t xml:space="preserve"> תשמיש אינו נאמן לרפא ישראלית, כיוון שאין ראיה מגוף שלהם לגוף שלנו</w:t>
      </w:r>
      <w:r>
        <w:rPr>
          <w:rFonts w:asciiTheme="minorBidi" w:hAnsiTheme="minorBidi" w:hint="cs"/>
          <w:sz w:val="18"/>
          <w:szCs w:val="18"/>
          <w:rtl/>
        </w:rPr>
        <w:t>.</w:t>
      </w:r>
      <w:r w:rsidRPr="00107C02">
        <w:rPr>
          <w:rFonts w:asciiTheme="minorBidi" w:hAnsiTheme="minorBidi"/>
          <w:sz w:val="18"/>
          <w:szCs w:val="18"/>
          <w:rtl/>
        </w:rPr>
        <w:t xml:space="preserve"> וראייתו מהגמרא במסכת שבת </w:t>
      </w:r>
      <w:r w:rsidRPr="00683BEE">
        <w:rPr>
          <w:rFonts w:asciiTheme="minorBidi" w:hAnsiTheme="minorBidi"/>
          <w:sz w:val="16"/>
          <w:szCs w:val="16"/>
          <w:rtl/>
        </w:rPr>
        <w:t>(פו</w:t>
      </w:r>
      <w:r w:rsidRPr="00683BEE">
        <w:rPr>
          <w:rFonts w:asciiTheme="minorBidi" w:eastAsia="Segoe UI Emoji" w:hAnsiTheme="minorBidi"/>
          <w:sz w:val="16"/>
          <w:szCs w:val="16"/>
          <w:rtl/>
        </w:rPr>
        <w:t>:)</w:t>
      </w:r>
      <w:r>
        <w:rPr>
          <w:rFonts w:asciiTheme="minorBidi" w:eastAsia="Segoe UI Emoji" w:hAnsiTheme="minorBidi" w:hint="cs"/>
          <w:sz w:val="18"/>
          <w:szCs w:val="18"/>
          <w:rtl/>
        </w:rPr>
        <w:t>,</w:t>
      </w:r>
      <w:r w:rsidRPr="00107C02">
        <w:rPr>
          <w:rFonts w:asciiTheme="minorBidi" w:eastAsia="Segoe UI Emoji" w:hAnsiTheme="minorBidi"/>
          <w:sz w:val="18"/>
          <w:szCs w:val="18"/>
          <w:rtl/>
        </w:rPr>
        <w:t xml:space="preserve"> שכיוון שהגויים אוכלים שקצים ורמשים יש להם </w:t>
      </w:r>
      <w:r>
        <w:rPr>
          <w:rFonts w:asciiTheme="minorBidi" w:eastAsia="Segoe UI Emoji" w:hAnsiTheme="minorBidi" w:hint="cs"/>
          <w:sz w:val="18"/>
          <w:szCs w:val="18"/>
          <w:rtl/>
        </w:rPr>
        <w:t>טבע</w:t>
      </w:r>
      <w:r w:rsidRPr="00107C02">
        <w:rPr>
          <w:rFonts w:asciiTheme="minorBidi" w:eastAsia="Segoe UI Emoji" w:hAnsiTheme="minorBidi"/>
          <w:sz w:val="18"/>
          <w:szCs w:val="18"/>
          <w:rtl/>
        </w:rPr>
        <w:t xml:space="preserve"> שונה.</w:t>
      </w:r>
    </w:p>
  </w:footnote>
  <w:footnote w:id="127">
    <w:p w:rsidR="005953C5" w:rsidRDefault="005953C5" w:rsidP="00620060">
      <w:pPr>
        <w:pStyle w:val="a3"/>
        <w:rPr>
          <w:rtl/>
        </w:rPr>
      </w:pPr>
      <w:r w:rsidRPr="00E76AA1">
        <w:rPr>
          <w:rStyle w:val="a5"/>
          <w:sz w:val="18"/>
          <w:szCs w:val="18"/>
        </w:rPr>
        <w:footnoteRef/>
      </w:r>
      <w:r w:rsidRPr="00E76AA1">
        <w:rPr>
          <w:sz w:val="18"/>
          <w:szCs w:val="18"/>
          <w:rtl/>
        </w:rPr>
        <w:t xml:space="preserve"> </w:t>
      </w:r>
      <w:r>
        <w:rPr>
          <w:rFonts w:hint="cs"/>
          <w:b/>
          <w:bCs/>
          <w:sz w:val="18"/>
          <w:szCs w:val="18"/>
          <w:rtl/>
        </w:rPr>
        <w:t>נוב"י</w:t>
      </w:r>
      <w:r w:rsidRPr="00E76AA1">
        <w:rPr>
          <w:rFonts w:hint="cs"/>
          <w:sz w:val="18"/>
          <w:szCs w:val="18"/>
          <w:rtl/>
        </w:rPr>
        <w:t xml:space="preserve"> </w:t>
      </w:r>
      <w:r w:rsidRPr="00E76AA1">
        <w:rPr>
          <w:sz w:val="18"/>
          <w:szCs w:val="18"/>
          <w:rtl/>
        </w:rPr>
        <w:t>–</w:t>
      </w:r>
      <w:r w:rsidRPr="00E76AA1">
        <w:rPr>
          <w:rFonts w:hint="cs"/>
          <w:sz w:val="18"/>
          <w:szCs w:val="18"/>
          <w:rtl/>
        </w:rPr>
        <w:t xml:space="preserve"> דווקא חתיכת דם </w:t>
      </w:r>
      <w:r>
        <w:rPr>
          <w:rFonts w:hint="cs"/>
          <w:sz w:val="18"/>
          <w:szCs w:val="18"/>
          <w:rtl/>
        </w:rPr>
        <w:t>אך</w:t>
      </w:r>
      <w:r w:rsidRPr="00E76AA1">
        <w:rPr>
          <w:rFonts w:hint="cs"/>
          <w:sz w:val="18"/>
          <w:szCs w:val="18"/>
          <w:rtl/>
        </w:rPr>
        <w:t xml:space="preserve"> שפע דם</w:t>
      </w:r>
      <w:r>
        <w:rPr>
          <w:rFonts w:hint="cs"/>
          <w:sz w:val="18"/>
          <w:szCs w:val="18"/>
          <w:rtl/>
        </w:rPr>
        <w:t xml:space="preserve"> אינו מועיל</w:t>
      </w:r>
      <w:r w:rsidRPr="00E76AA1">
        <w:rPr>
          <w:rFonts w:hint="cs"/>
          <w:sz w:val="18"/>
          <w:szCs w:val="18"/>
          <w:rtl/>
        </w:rPr>
        <w:t>,</w:t>
      </w:r>
      <w:r>
        <w:rPr>
          <w:rFonts w:hint="cs"/>
          <w:rtl/>
        </w:rPr>
        <w:t xml:space="preserve"> </w:t>
      </w:r>
      <w:r w:rsidRPr="00683BEE">
        <w:rPr>
          <w:rFonts w:hint="cs"/>
          <w:sz w:val="18"/>
          <w:szCs w:val="18"/>
          <w:rtl/>
        </w:rPr>
        <w:t xml:space="preserve">וכן דין ביעתותא הוא בדווקא אך </w:t>
      </w:r>
      <w:r w:rsidRPr="00683BEE">
        <w:rPr>
          <w:rFonts w:hint="cs"/>
          <w:sz w:val="18"/>
          <w:szCs w:val="18"/>
          <w:u w:val="single"/>
          <w:rtl/>
        </w:rPr>
        <w:t>בהלה</w:t>
      </w:r>
      <w:r w:rsidRPr="00683BEE">
        <w:rPr>
          <w:rFonts w:hint="cs"/>
          <w:sz w:val="18"/>
          <w:szCs w:val="18"/>
          <w:rtl/>
        </w:rPr>
        <w:t xml:space="preserve"> אינה מועילה</w:t>
      </w:r>
      <w:r>
        <w:rPr>
          <w:rFonts w:hint="cs"/>
          <w:sz w:val="18"/>
          <w:szCs w:val="18"/>
          <w:rtl/>
        </w:rPr>
        <w:t>,</w:t>
      </w:r>
      <w:r w:rsidRPr="00683BEE">
        <w:rPr>
          <w:rFonts w:hint="cs"/>
          <w:sz w:val="18"/>
          <w:szCs w:val="18"/>
          <w:rtl/>
        </w:rPr>
        <w:t xml:space="preserve"> </w:t>
      </w:r>
      <w:r w:rsidRPr="00E76AA1">
        <w:rPr>
          <w:rFonts w:hint="cs"/>
          <w:sz w:val="18"/>
          <w:szCs w:val="18"/>
          <w:rtl/>
        </w:rPr>
        <w:t xml:space="preserve">הו"ד </w:t>
      </w:r>
      <w:r w:rsidRPr="00E76AA1">
        <w:rPr>
          <w:rFonts w:hint="cs"/>
          <w:b/>
          <w:bCs/>
          <w:sz w:val="18"/>
          <w:szCs w:val="18"/>
          <w:rtl/>
        </w:rPr>
        <w:t>בפת"ש</w:t>
      </w:r>
      <w:r w:rsidRPr="00683BEE">
        <w:rPr>
          <w:rFonts w:hint="cs"/>
          <w:sz w:val="18"/>
          <w:szCs w:val="18"/>
          <w:rtl/>
        </w:rPr>
        <w:t>.</w:t>
      </w:r>
    </w:p>
  </w:footnote>
  <w:footnote w:id="128">
    <w:p w:rsidR="005953C5" w:rsidRDefault="005953C5" w:rsidP="00620060">
      <w:pPr>
        <w:pStyle w:val="a3"/>
        <w:rPr>
          <w:rtl/>
        </w:rPr>
      </w:pPr>
      <w:r w:rsidRPr="000E4C62">
        <w:rPr>
          <w:rStyle w:val="a5"/>
          <w:sz w:val="18"/>
          <w:szCs w:val="18"/>
        </w:rPr>
        <w:footnoteRef/>
      </w:r>
      <w:r w:rsidRPr="000E4C62">
        <w:rPr>
          <w:sz w:val="18"/>
          <w:szCs w:val="18"/>
          <w:rtl/>
        </w:rPr>
        <w:t xml:space="preserve"> </w:t>
      </w:r>
      <w:r w:rsidRPr="000E4C62">
        <w:rPr>
          <w:rFonts w:hint="cs"/>
          <w:sz w:val="18"/>
          <w:szCs w:val="18"/>
          <w:rtl/>
        </w:rPr>
        <w:t xml:space="preserve">עוד כתב </w:t>
      </w:r>
      <w:r w:rsidRPr="000E4C62">
        <w:rPr>
          <w:rFonts w:hint="cs"/>
          <w:b/>
          <w:bCs/>
          <w:sz w:val="18"/>
          <w:szCs w:val="18"/>
          <w:rtl/>
        </w:rPr>
        <w:t>הפת"ש</w:t>
      </w:r>
      <w:r w:rsidRPr="000E4C62">
        <w:rPr>
          <w:rFonts w:hint="cs"/>
          <w:sz w:val="18"/>
          <w:szCs w:val="18"/>
          <w:rtl/>
        </w:rPr>
        <w:t xml:space="preserve"> בשם </w:t>
      </w:r>
      <w:r w:rsidRPr="000E4C62">
        <w:rPr>
          <w:rFonts w:hint="cs"/>
          <w:b/>
          <w:bCs/>
          <w:sz w:val="18"/>
          <w:szCs w:val="18"/>
          <w:rtl/>
        </w:rPr>
        <w:t>אמונת שמואל</w:t>
      </w:r>
      <w:r w:rsidRPr="000E4C62">
        <w:rPr>
          <w:rFonts w:hint="cs"/>
          <w:sz w:val="18"/>
          <w:szCs w:val="18"/>
          <w:rtl/>
        </w:rPr>
        <w:t xml:space="preserve"> </w:t>
      </w:r>
      <w:r w:rsidRPr="000E4C62">
        <w:rPr>
          <w:sz w:val="18"/>
          <w:szCs w:val="18"/>
          <w:rtl/>
        </w:rPr>
        <w:t>–</w:t>
      </w:r>
      <w:r w:rsidRPr="000E4C62">
        <w:rPr>
          <w:rFonts w:hint="cs"/>
          <w:sz w:val="18"/>
          <w:szCs w:val="18"/>
          <w:rtl/>
        </w:rPr>
        <w:t xml:space="preserve"> אפילו אם רגילה לראות רק בתשמיש שלאחר טבילה מחמת הווסת ואינה רגילה לראות מחמת תשמיש לאחר טבילה שמחמת כתם, מכל מקום הוו כרצופים ואסורה כדין רמ"ת.</w:t>
      </w:r>
    </w:p>
  </w:footnote>
  <w:footnote w:id="129">
    <w:p w:rsidR="005953C5" w:rsidRPr="005B6BDC" w:rsidRDefault="005953C5" w:rsidP="00620060">
      <w:pPr>
        <w:pStyle w:val="a3"/>
        <w:rPr>
          <w:rtl/>
        </w:rPr>
      </w:pPr>
      <w:r w:rsidRPr="00155BEF">
        <w:rPr>
          <w:rStyle w:val="a5"/>
          <w:sz w:val="18"/>
          <w:szCs w:val="18"/>
        </w:rPr>
        <w:footnoteRef/>
      </w:r>
      <w:r w:rsidRPr="00155BEF">
        <w:rPr>
          <w:sz w:val="18"/>
          <w:szCs w:val="18"/>
          <w:rtl/>
        </w:rPr>
        <w:t xml:space="preserve"> </w:t>
      </w:r>
      <w:r w:rsidRPr="00155BEF">
        <w:rPr>
          <w:rFonts w:hint="cs"/>
          <w:sz w:val="18"/>
          <w:szCs w:val="18"/>
          <w:rtl/>
        </w:rPr>
        <w:t xml:space="preserve">אמנם, </w:t>
      </w:r>
      <w:r w:rsidRPr="004755EB">
        <w:rPr>
          <w:rFonts w:hint="cs"/>
          <w:b/>
          <w:bCs/>
          <w:sz w:val="18"/>
          <w:szCs w:val="18"/>
          <w:rtl/>
        </w:rPr>
        <w:t>הט"ז</w:t>
      </w:r>
      <w:r w:rsidRPr="00155BEF">
        <w:rPr>
          <w:rFonts w:hint="cs"/>
          <w:sz w:val="18"/>
          <w:szCs w:val="18"/>
          <w:rtl/>
        </w:rPr>
        <w:t xml:space="preserve"> מעיר שלשון </w:t>
      </w:r>
      <w:r w:rsidRPr="004755EB">
        <w:rPr>
          <w:rFonts w:hint="cs"/>
          <w:b/>
          <w:bCs/>
          <w:sz w:val="18"/>
          <w:szCs w:val="18"/>
          <w:rtl/>
        </w:rPr>
        <w:t>הרמ"א</w:t>
      </w:r>
      <w:r w:rsidRPr="00155BEF">
        <w:rPr>
          <w:rFonts w:hint="cs"/>
          <w:sz w:val="18"/>
          <w:szCs w:val="18"/>
          <w:rtl/>
        </w:rPr>
        <w:t xml:space="preserve"> נראית כסותרת את דין זה האחרון - </w:t>
      </w:r>
      <w:r w:rsidRPr="00155BEF">
        <w:rPr>
          <w:sz w:val="18"/>
          <w:szCs w:val="18"/>
          <w:rtl/>
        </w:rPr>
        <w:br/>
      </w:r>
      <w:r w:rsidRPr="00155BEF">
        <w:rPr>
          <w:rFonts w:hint="cs"/>
          <w:sz w:val="18"/>
          <w:szCs w:val="18"/>
          <w:rtl/>
        </w:rPr>
        <w:t xml:space="preserve">בריש דבריו כתב </w:t>
      </w:r>
      <w:r>
        <w:rPr>
          <w:rFonts w:hint="cs"/>
          <w:b/>
          <w:bCs/>
          <w:sz w:val="18"/>
          <w:szCs w:val="18"/>
          <w:rtl/>
        </w:rPr>
        <w:t>ה</w:t>
      </w:r>
      <w:r w:rsidRPr="004755EB">
        <w:rPr>
          <w:rFonts w:hint="cs"/>
          <w:b/>
          <w:bCs/>
          <w:sz w:val="18"/>
          <w:szCs w:val="18"/>
          <w:rtl/>
        </w:rPr>
        <w:t>רמ"א</w:t>
      </w:r>
      <w:r w:rsidRPr="00155BEF">
        <w:rPr>
          <w:rFonts w:hint="cs"/>
          <w:sz w:val="18"/>
          <w:szCs w:val="18"/>
          <w:rtl/>
        </w:rPr>
        <w:t xml:space="preserve"> </w:t>
      </w:r>
      <w:r w:rsidRPr="004755EB">
        <w:rPr>
          <w:sz w:val="18"/>
          <w:szCs w:val="18"/>
          <w:rtl/>
        </w:rPr>
        <w:t>–</w:t>
      </w:r>
      <w:r w:rsidRPr="004755EB">
        <w:rPr>
          <w:rFonts w:hint="cs"/>
          <w:sz w:val="18"/>
          <w:szCs w:val="18"/>
          <w:rtl/>
        </w:rPr>
        <w:t xml:space="preserve"> "</w:t>
      </w:r>
      <w:r w:rsidRPr="004755EB">
        <w:rPr>
          <w:rFonts w:cs="Arial"/>
          <w:sz w:val="18"/>
          <w:szCs w:val="18"/>
          <w:rtl/>
        </w:rPr>
        <w:t>או ראתה אחר כל לידה ג' פעמים</w:t>
      </w:r>
      <w:r w:rsidRPr="004755EB">
        <w:rPr>
          <w:rFonts w:hint="cs"/>
          <w:sz w:val="18"/>
          <w:szCs w:val="18"/>
          <w:rtl/>
        </w:rPr>
        <w:t>",</w:t>
      </w:r>
      <w:r w:rsidRPr="00155BEF">
        <w:rPr>
          <w:rFonts w:hint="cs"/>
          <w:sz w:val="18"/>
          <w:szCs w:val="18"/>
          <w:rtl/>
        </w:rPr>
        <w:t xml:space="preserve"> </w:t>
      </w:r>
      <w:r w:rsidRPr="004755EB">
        <w:rPr>
          <w:rFonts w:hint="cs"/>
          <w:b/>
          <w:bCs/>
          <w:sz w:val="18"/>
          <w:szCs w:val="18"/>
          <w:rtl/>
        </w:rPr>
        <w:t>והט"ז</w:t>
      </w:r>
      <w:r w:rsidRPr="00155BEF">
        <w:rPr>
          <w:rFonts w:hint="cs"/>
          <w:sz w:val="18"/>
          <w:szCs w:val="18"/>
          <w:rtl/>
        </w:rPr>
        <w:t xml:space="preserve"> מוכיח </w:t>
      </w:r>
      <w:r w:rsidRPr="004755EB">
        <w:rPr>
          <w:rFonts w:hint="cs"/>
          <w:b/>
          <w:bCs/>
          <w:sz w:val="18"/>
          <w:szCs w:val="18"/>
          <w:rtl/>
        </w:rPr>
        <w:t>שהרמ"א</w:t>
      </w:r>
      <w:r w:rsidRPr="00155BEF">
        <w:rPr>
          <w:rFonts w:hint="cs"/>
          <w:sz w:val="18"/>
          <w:szCs w:val="18"/>
          <w:rtl/>
        </w:rPr>
        <w:t xml:space="preserve"> מיירי ברצופים, וקשה שהרי גם בסוף דברי הרמ"א מיירי ברצופים, כפי שכתב בעצמו </w:t>
      </w:r>
      <w:r w:rsidRPr="004755EB">
        <w:rPr>
          <w:rFonts w:hint="cs"/>
          <w:sz w:val="18"/>
          <w:szCs w:val="18"/>
          <w:rtl/>
        </w:rPr>
        <w:t>"</w:t>
      </w:r>
      <w:r w:rsidRPr="004755EB">
        <w:rPr>
          <w:rFonts w:cs="Arial"/>
          <w:sz w:val="18"/>
          <w:szCs w:val="18"/>
          <w:rtl/>
        </w:rPr>
        <w:t>אבל אם ראתה ג' פעמים רצופין אחר לידה</w:t>
      </w:r>
      <w:r w:rsidRPr="004755EB">
        <w:rPr>
          <w:rFonts w:cs="Arial" w:hint="cs"/>
          <w:sz w:val="18"/>
          <w:szCs w:val="18"/>
          <w:rtl/>
        </w:rPr>
        <w:t>",</w:t>
      </w:r>
      <w:r w:rsidRPr="00155BEF">
        <w:rPr>
          <w:rFonts w:cs="Arial" w:hint="cs"/>
          <w:sz w:val="18"/>
          <w:szCs w:val="18"/>
          <w:rtl/>
        </w:rPr>
        <w:t xml:space="preserve"> מדוע הכפילות? </w:t>
      </w:r>
      <w:r>
        <w:rPr>
          <w:rFonts w:cs="Arial"/>
          <w:sz w:val="18"/>
          <w:szCs w:val="18"/>
          <w:rtl/>
        </w:rPr>
        <w:br/>
      </w:r>
      <w:r w:rsidRPr="00155BEF">
        <w:rPr>
          <w:rFonts w:cs="Arial" w:hint="cs"/>
          <w:sz w:val="18"/>
          <w:szCs w:val="18"/>
          <w:rtl/>
        </w:rPr>
        <w:t xml:space="preserve">ויותר קשה </w:t>
      </w:r>
      <w:r w:rsidRPr="00155BEF">
        <w:rPr>
          <w:rFonts w:cs="Arial"/>
          <w:sz w:val="18"/>
          <w:szCs w:val="18"/>
          <w:rtl/>
        </w:rPr>
        <w:t>–</w:t>
      </w:r>
      <w:r w:rsidRPr="00155BEF">
        <w:rPr>
          <w:rFonts w:cs="Arial" w:hint="cs"/>
          <w:sz w:val="18"/>
          <w:szCs w:val="18"/>
          <w:rtl/>
        </w:rPr>
        <w:t xml:space="preserve"> </w:t>
      </w:r>
      <w:r w:rsidRPr="004755EB">
        <w:rPr>
          <w:rFonts w:cs="Arial" w:hint="cs"/>
          <w:b/>
          <w:bCs/>
          <w:sz w:val="18"/>
          <w:szCs w:val="18"/>
          <w:rtl/>
        </w:rPr>
        <w:t>הרמ"א</w:t>
      </w:r>
      <w:r w:rsidRPr="00155BEF">
        <w:rPr>
          <w:rFonts w:cs="Arial" w:hint="cs"/>
          <w:sz w:val="18"/>
          <w:szCs w:val="18"/>
          <w:rtl/>
        </w:rPr>
        <w:t xml:space="preserve"> כתב שאם עברה ושימשה ולא ראתה מהני לה כבדיקת שפופרת, משמע להדיא ש</w:t>
      </w:r>
      <w:r w:rsidRPr="00155BEF">
        <w:rPr>
          <w:rFonts w:hint="cs"/>
          <w:sz w:val="18"/>
          <w:szCs w:val="18"/>
          <w:rtl/>
        </w:rPr>
        <w:t>למרות שראתה ג' פעמים לאחר ג' לידות מותרת אם היו לה ביאות היתר בינתיים!</w:t>
      </w:r>
      <w:r w:rsidRPr="00155BEF">
        <w:rPr>
          <w:sz w:val="18"/>
          <w:szCs w:val="18"/>
          <w:rtl/>
        </w:rPr>
        <w:br/>
      </w:r>
      <w:r w:rsidRPr="00155BEF">
        <w:rPr>
          <w:rFonts w:hint="cs"/>
          <w:sz w:val="18"/>
          <w:szCs w:val="18"/>
          <w:rtl/>
        </w:rPr>
        <w:t xml:space="preserve">ואמנם, עיין </w:t>
      </w:r>
      <w:r w:rsidRPr="004755EB">
        <w:rPr>
          <w:rFonts w:hint="cs"/>
          <w:b/>
          <w:bCs/>
          <w:sz w:val="18"/>
          <w:szCs w:val="18"/>
          <w:rtl/>
        </w:rPr>
        <w:t>בט"ז</w:t>
      </w:r>
      <w:r w:rsidRPr="00155BEF">
        <w:rPr>
          <w:rFonts w:hint="cs"/>
          <w:sz w:val="18"/>
          <w:szCs w:val="18"/>
          <w:rtl/>
        </w:rPr>
        <w:t xml:space="preserve"> </w:t>
      </w:r>
      <w:r>
        <w:rPr>
          <w:rFonts w:hint="cs"/>
          <w:sz w:val="18"/>
          <w:szCs w:val="18"/>
          <w:rtl/>
        </w:rPr>
        <w:t>ש</w:t>
      </w:r>
      <w:r w:rsidRPr="00155BEF">
        <w:rPr>
          <w:rFonts w:hint="cs"/>
          <w:sz w:val="18"/>
          <w:szCs w:val="18"/>
          <w:rtl/>
        </w:rPr>
        <w:t xml:space="preserve">למעשה הגיה בדברי </w:t>
      </w:r>
      <w:r w:rsidRPr="004755EB">
        <w:rPr>
          <w:rFonts w:hint="cs"/>
          <w:b/>
          <w:bCs/>
          <w:sz w:val="18"/>
          <w:szCs w:val="18"/>
          <w:rtl/>
        </w:rPr>
        <w:t>הרמ"א</w:t>
      </w:r>
      <w:r w:rsidRPr="00155BEF">
        <w:rPr>
          <w:rFonts w:hint="cs"/>
          <w:sz w:val="18"/>
          <w:szCs w:val="18"/>
          <w:rtl/>
        </w:rPr>
        <w:t xml:space="preserve"> והסביר כאמור בפנים שלא מהני לה ביאות היתר בכה"ג, אלא אם כן שימשה לאחר לידה רביעית ולא ראתה שמותרת לבעלה.</w:t>
      </w:r>
    </w:p>
  </w:footnote>
  <w:footnote w:id="130">
    <w:p w:rsidR="005953C5" w:rsidRPr="00155BEF" w:rsidRDefault="005953C5" w:rsidP="00620060">
      <w:pPr>
        <w:pStyle w:val="a3"/>
        <w:rPr>
          <w:rtl/>
        </w:rPr>
      </w:pPr>
      <w:r w:rsidRPr="00155BEF">
        <w:rPr>
          <w:rStyle w:val="a5"/>
          <w:sz w:val="18"/>
          <w:szCs w:val="18"/>
        </w:rPr>
        <w:footnoteRef/>
      </w:r>
      <w:r w:rsidRPr="00155BEF">
        <w:rPr>
          <w:sz w:val="18"/>
          <w:szCs w:val="18"/>
          <w:rtl/>
        </w:rPr>
        <w:t xml:space="preserve"> </w:t>
      </w:r>
      <w:r w:rsidRPr="00155BEF">
        <w:rPr>
          <w:rFonts w:hint="cs"/>
          <w:sz w:val="18"/>
          <w:szCs w:val="18"/>
          <w:rtl/>
        </w:rPr>
        <w:t xml:space="preserve">עיקר המחלוקת בין </w:t>
      </w:r>
      <w:r w:rsidRPr="004755EB">
        <w:rPr>
          <w:rFonts w:hint="cs"/>
          <w:b/>
          <w:bCs/>
          <w:sz w:val="18"/>
          <w:szCs w:val="18"/>
          <w:rtl/>
        </w:rPr>
        <w:t>הט"ז לש"ך</w:t>
      </w:r>
      <w:r w:rsidRPr="00155BEF">
        <w:rPr>
          <w:rFonts w:hint="cs"/>
          <w:sz w:val="18"/>
          <w:szCs w:val="18"/>
          <w:rtl/>
        </w:rPr>
        <w:t xml:space="preserve"> היא</w:t>
      </w:r>
      <w:r>
        <w:rPr>
          <w:rFonts w:hint="cs"/>
          <w:sz w:val="18"/>
          <w:szCs w:val="18"/>
          <w:rtl/>
        </w:rPr>
        <w:t>,</w:t>
      </w:r>
      <w:r w:rsidRPr="00155BEF">
        <w:rPr>
          <w:rFonts w:hint="cs"/>
          <w:sz w:val="18"/>
          <w:szCs w:val="18"/>
          <w:rtl/>
        </w:rPr>
        <w:t xml:space="preserve"> כיצד יש לפרש את המשפט הבא </w:t>
      </w:r>
      <w:r w:rsidRPr="004755EB">
        <w:rPr>
          <w:rFonts w:hint="cs"/>
          <w:b/>
          <w:bCs/>
          <w:sz w:val="18"/>
          <w:szCs w:val="18"/>
          <w:rtl/>
        </w:rPr>
        <w:t>ברמ"א</w:t>
      </w:r>
      <w:r w:rsidRPr="00155BEF">
        <w:rPr>
          <w:rFonts w:hint="cs"/>
          <w:sz w:val="18"/>
          <w:szCs w:val="18"/>
          <w:rtl/>
        </w:rPr>
        <w:t>:</w:t>
      </w:r>
      <w:r w:rsidRPr="004755EB">
        <w:rPr>
          <w:rFonts w:hint="cs"/>
          <w:sz w:val="18"/>
          <w:szCs w:val="18"/>
          <w:rtl/>
        </w:rPr>
        <w:t xml:space="preserve"> "</w:t>
      </w:r>
      <w:r w:rsidRPr="004755EB">
        <w:rPr>
          <w:rFonts w:cs="Arial"/>
          <w:sz w:val="18"/>
          <w:szCs w:val="18"/>
          <w:rtl/>
        </w:rPr>
        <w:t>ואם אירע לה שראתה ג</w:t>
      </w:r>
      <w:r w:rsidRPr="004755EB">
        <w:rPr>
          <w:rFonts w:cs="Arial" w:hint="cs"/>
          <w:sz w:val="18"/>
          <w:szCs w:val="18"/>
          <w:rtl/>
        </w:rPr>
        <w:t xml:space="preserve">' </w:t>
      </w:r>
      <w:r w:rsidRPr="004755EB">
        <w:rPr>
          <w:rFonts w:cs="Arial"/>
          <w:sz w:val="18"/>
          <w:szCs w:val="18"/>
          <w:rtl/>
        </w:rPr>
        <w:t>פ</w:t>
      </w:r>
      <w:r w:rsidRPr="004755EB">
        <w:rPr>
          <w:rFonts w:cs="Arial" w:hint="cs"/>
          <w:sz w:val="18"/>
          <w:szCs w:val="18"/>
          <w:rtl/>
        </w:rPr>
        <w:t>עמים</w:t>
      </w:r>
      <w:r w:rsidRPr="004755EB">
        <w:rPr>
          <w:rFonts w:cs="Arial"/>
          <w:sz w:val="18"/>
          <w:szCs w:val="18"/>
          <w:rtl/>
        </w:rPr>
        <w:t xml:space="preserve"> בביאה ראשונה שאחר לידתה, </w:t>
      </w:r>
      <w:r w:rsidRPr="004755EB">
        <w:rPr>
          <w:rFonts w:cs="Arial"/>
          <w:sz w:val="18"/>
          <w:szCs w:val="18"/>
          <w:u w:val="single"/>
          <w:rtl/>
        </w:rPr>
        <w:t>או ראתה אחר כל לידה ג' פעמים</w:t>
      </w:r>
      <w:r w:rsidRPr="004755EB">
        <w:rPr>
          <w:rFonts w:cs="Arial"/>
          <w:sz w:val="18"/>
          <w:szCs w:val="18"/>
          <w:rtl/>
        </w:rPr>
        <w:t>, וב</w:t>
      </w:r>
      <w:r w:rsidRPr="004755EB">
        <w:rPr>
          <w:rFonts w:cs="Arial" w:hint="cs"/>
          <w:sz w:val="18"/>
          <w:szCs w:val="18"/>
          <w:rtl/>
        </w:rPr>
        <w:t>י</w:t>
      </w:r>
      <w:r w:rsidRPr="004755EB">
        <w:rPr>
          <w:rFonts w:cs="Arial"/>
          <w:sz w:val="18"/>
          <w:szCs w:val="18"/>
          <w:rtl/>
        </w:rPr>
        <w:t>נתיים לא ראתה</w:t>
      </w:r>
      <w:r w:rsidRPr="004755EB">
        <w:rPr>
          <w:rFonts w:cs="Arial" w:hint="cs"/>
          <w:sz w:val="18"/>
          <w:szCs w:val="18"/>
          <w:rtl/>
        </w:rPr>
        <w:t>".</w:t>
      </w:r>
      <w:r w:rsidRPr="00155BEF">
        <w:rPr>
          <w:rFonts w:cs="Arial"/>
          <w:sz w:val="16"/>
          <w:szCs w:val="16"/>
          <w:rtl/>
        </w:rPr>
        <w:br/>
      </w:r>
      <w:r w:rsidRPr="00383083">
        <w:rPr>
          <w:rFonts w:cs="Arial" w:hint="cs"/>
          <w:b/>
          <w:bCs/>
          <w:sz w:val="18"/>
          <w:szCs w:val="18"/>
          <w:rtl/>
        </w:rPr>
        <w:t>ש"ך</w:t>
      </w:r>
      <w:r w:rsidRPr="00383083">
        <w:rPr>
          <w:rFonts w:cs="Arial" w:hint="cs"/>
          <w:sz w:val="18"/>
          <w:szCs w:val="18"/>
          <w:rtl/>
        </w:rPr>
        <w:t xml:space="preserve"> </w:t>
      </w:r>
      <w:r w:rsidRPr="00383083">
        <w:rPr>
          <w:rFonts w:cs="Arial"/>
          <w:sz w:val="18"/>
          <w:szCs w:val="18"/>
          <w:rtl/>
        </w:rPr>
        <w:t>–</w:t>
      </w:r>
      <w:r w:rsidRPr="00383083">
        <w:rPr>
          <w:rFonts w:cs="Arial" w:hint="cs"/>
          <w:sz w:val="18"/>
          <w:szCs w:val="18"/>
          <w:rtl/>
        </w:rPr>
        <w:t xml:space="preserve"> </w:t>
      </w:r>
      <w:r w:rsidRPr="00383083">
        <w:rPr>
          <w:rFonts w:hint="cs"/>
          <w:sz w:val="18"/>
          <w:szCs w:val="18"/>
          <w:rtl/>
        </w:rPr>
        <w:t>תחילת המשפט מיירי באשה שראתה ג"פ לאחר לידה אחת, סוף המשפט מיירי באשה שראתה ג"פ לאחר לידה וכך אירע לה לאחר ג' לידות. הרמ"א מחדש שכי</w:t>
      </w:r>
      <w:r>
        <w:rPr>
          <w:rFonts w:hint="cs"/>
          <w:sz w:val="18"/>
          <w:szCs w:val="18"/>
          <w:rtl/>
        </w:rPr>
        <w:t xml:space="preserve">וון שהיו ביאות </w:t>
      </w:r>
      <w:r w:rsidRPr="00383083">
        <w:rPr>
          <w:rFonts w:hint="cs"/>
          <w:sz w:val="18"/>
          <w:szCs w:val="18"/>
          <w:rtl/>
        </w:rPr>
        <w:t xml:space="preserve">היתר לאחר מכן, מותרת דהוי הוכחה שראיותיה באו לה מחמת מכת הלידה. </w:t>
      </w:r>
      <w:r w:rsidRPr="00383083">
        <w:rPr>
          <w:rFonts w:hint="cs"/>
          <w:sz w:val="16"/>
          <w:szCs w:val="16"/>
          <w:rtl/>
        </w:rPr>
        <w:t>[ואע"פ שכל רמ"ת ששימשה באיסור ולא ראתה מותרת, וא"כ לכאורה הרמ"א לא חידש מאומה ואף ללא מכת לידה מותרת? קמ"ל הרמ"א שאף אם לאחר לידה ד' ראתה ג"פ מותרת לשמש עתה ואין דינה רמ"ת אע"פ שאכתי לא היו ביאות היתר, כיוון שביאות ההיתר שלאחר הלידות הקודמות הוכיחו שראיותיה מחמת מכה].</w:t>
      </w:r>
      <w:r>
        <w:rPr>
          <w:rFonts w:hint="cs"/>
          <w:rtl/>
        </w:rPr>
        <w:t xml:space="preserve"> </w:t>
      </w:r>
      <w:r w:rsidRPr="000D0A37">
        <w:rPr>
          <w:rFonts w:hint="cs"/>
          <w:sz w:val="18"/>
          <w:szCs w:val="18"/>
          <w:rtl/>
        </w:rPr>
        <w:t>ובסוף דברי הרמ"א קמ"ל שלכתחילה אין לה לשמש לאחר שראתה ג"פ לאחר לידה.</w:t>
      </w:r>
      <w:r>
        <w:rPr>
          <w:rFonts w:hint="cs"/>
          <w:rtl/>
        </w:rPr>
        <w:br/>
      </w:r>
      <w:r w:rsidRPr="000D0A37">
        <w:rPr>
          <w:rFonts w:hint="cs"/>
          <w:b/>
          <w:bCs/>
          <w:sz w:val="18"/>
          <w:szCs w:val="18"/>
          <w:rtl/>
        </w:rPr>
        <w:t>הט"ז</w:t>
      </w:r>
      <w:r w:rsidRPr="000D0A37">
        <w:rPr>
          <w:rFonts w:hint="cs"/>
          <w:sz w:val="18"/>
          <w:szCs w:val="18"/>
          <w:rtl/>
        </w:rPr>
        <w:t xml:space="preserve"> חולק ומסביר </w:t>
      </w:r>
      <w:r w:rsidRPr="000D0A37">
        <w:rPr>
          <w:rFonts w:hint="cs"/>
          <w:b/>
          <w:bCs/>
          <w:sz w:val="18"/>
          <w:szCs w:val="18"/>
          <w:rtl/>
        </w:rPr>
        <w:t>שהרמ"א</w:t>
      </w:r>
      <w:r w:rsidRPr="000D0A37">
        <w:rPr>
          <w:rFonts w:hint="cs"/>
          <w:sz w:val="18"/>
          <w:szCs w:val="18"/>
          <w:rtl/>
        </w:rPr>
        <w:t xml:space="preserve"> בתחילת המשפט איירי שראתה לאחר כל לידה פעם אחת והיו תשמישי היתר לאחר מכן,</w:t>
      </w:r>
      <w:r>
        <w:rPr>
          <w:rFonts w:hint="cs"/>
          <w:sz w:val="18"/>
          <w:szCs w:val="18"/>
          <w:rtl/>
        </w:rPr>
        <w:t xml:space="preserve"> </w:t>
      </w:r>
      <w:r w:rsidRPr="000D0A37">
        <w:rPr>
          <w:rFonts w:hint="cs"/>
          <w:sz w:val="18"/>
          <w:szCs w:val="18"/>
          <w:rtl/>
        </w:rPr>
        <w:t xml:space="preserve">ובהמשך המשפט מיירי שראתה ג"פ לאחר לידה אך לא היו רצופים. בכה"ג שפיר מותרת מחמת תשמישי ההיתר. ברם, אם ראתה ג"פ לאחר לידה אחת אסורה (גם הש"ך מודה) אך בדיקת שפופרת מהני. לעומת זאת אם ראתה ג"פ לאחר ג' לידות לא מהני לה בדיקת שפופרת אלא רק תשמיש באיסור שלא רתאה בו מהני לה. </w:t>
      </w:r>
      <w:r w:rsidRPr="000D0A37">
        <w:rPr>
          <w:sz w:val="18"/>
          <w:szCs w:val="18"/>
          <w:rtl/>
        </w:rPr>
        <w:br/>
      </w:r>
      <w:r w:rsidRPr="000D0A37">
        <w:rPr>
          <w:rFonts w:hint="cs"/>
          <w:sz w:val="18"/>
          <w:szCs w:val="18"/>
          <w:rtl/>
        </w:rPr>
        <w:t xml:space="preserve">לסיכום </w:t>
      </w:r>
      <w:r w:rsidRPr="000D0A37">
        <w:rPr>
          <w:sz w:val="18"/>
          <w:szCs w:val="18"/>
          <w:rtl/>
        </w:rPr>
        <w:t>–</w:t>
      </w:r>
      <w:r w:rsidRPr="000D0A37">
        <w:rPr>
          <w:rFonts w:hint="cs"/>
          <w:sz w:val="18"/>
          <w:szCs w:val="18"/>
          <w:rtl/>
        </w:rPr>
        <w:t xml:space="preserve"> מחלוקת האחרונים היא במקרה שראתה ג"פ לאחר ג' לידות אך לאחר כל ג' ראיות היו תשמשים שלא ראתה. לדעת הט"ז אסורה ושפופרת לא מהני משום שקבעה ווסת, לש"ך מותרת ללא שפופרת. </w:t>
      </w:r>
    </w:p>
  </w:footnote>
  <w:footnote w:id="131">
    <w:p w:rsidR="005953C5" w:rsidRDefault="005953C5" w:rsidP="00620060">
      <w:pPr>
        <w:pStyle w:val="a3"/>
      </w:pPr>
      <w:r w:rsidRPr="00C47937">
        <w:rPr>
          <w:rStyle w:val="a5"/>
          <w:sz w:val="18"/>
          <w:szCs w:val="18"/>
        </w:rPr>
        <w:footnoteRef/>
      </w:r>
      <w:r w:rsidRPr="00C47937">
        <w:rPr>
          <w:sz w:val="18"/>
          <w:szCs w:val="18"/>
          <w:rtl/>
        </w:rPr>
        <w:t xml:space="preserve"> </w:t>
      </w:r>
      <w:r w:rsidRPr="00C47937">
        <w:rPr>
          <w:rFonts w:hint="cs"/>
          <w:b/>
          <w:bCs/>
          <w:sz w:val="18"/>
          <w:szCs w:val="18"/>
          <w:rtl/>
        </w:rPr>
        <w:t>דגמ"ר</w:t>
      </w:r>
      <w:r w:rsidRPr="00C47937">
        <w:rPr>
          <w:rFonts w:hint="cs"/>
          <w:sz w:val="18"/>
          <w:szCs w:val="18"/>
          <w:rtl/>
        </w:rPr>
        <w:t xml:space="preserve"> </w:t>
      </w:r>
      <w:r w:rsidRPr="00C47937">
        <w:rPr>
          <w:sz w:val="18"/>
          <w:szCs w:val="18"/>
          <w:rtl/>
        </w:rPr>
        <w:t>–</w:t>
      </w:r>
      <w:r w:rsidRPr="00C47937">
        <w:rPr>
          <w:rFonts w:hint="cs"/>
          <w:sz w:val="18"/>
          <w:szCs w:val="18"/>
          <w:rtl/>
        </w:rPr>
        <w:t xml:space="preserve"> דברי </w:t>
      </w:r>
      <w:r w:rsidRPr="00C47937">
        <w:rPr>
          <w:rFonts w:hint="cs"/>
          <w:b/>
          <w:bCs/>
          <w:sz w:val="18"/>
          <w:szCs w:val="18"/>
          <w:rtl/>
        </w:rPr>
        <w:t>הש"ך</w:t>
      </w:r>
      <w:r w:rsidRPr="00C47937">
        <w:rPr>
          <w:rFonts w:hint="cs"/>
          <w:sz w:val="18"/>
          <w:szCs w:val="18"/>
          <w:rtl/>
        </w:rPr>
        <w:t xml:space="preserve"> קשים, שהרי ווסת המורכב מזמן ומעשה נעקר רק כעין שנקבע, דהיינו שייעשה המעשה בזמן הקבוע ולא תראה, אך בכה"ג שאינה משמשת אין הווסת נעקר, וצ"ע.</w:t>
      </w:r>
      <w:r w:rsidRPr="00C47937">
        <w:rPr>
          <w:sz w:val="18"/>
          <w:szCs w:val="18"/>
          <w:rtl/>
        </w:rPr>
        <w:br/>
      </w:r>
      <w:r w:rsidRPr="00C47937">
        <w:rPr>
          <w:rFonts w:hint="cs"/>
          <w:sz w:val="18"/>
          <w:szCs w:val="18"/>
          <w:rtl/>
        </w:rPr>
        <w:t xml:space="preserve">ברם, בדברי </w:t>
      </w:r>
      <w:r w:rsidRPr="00C47937">
        <w:rPr>
          <w:rFonts w:hint="cs"/>
          <w:b/>
          <w:bCs/>
          <w:sz w:val="18"/>
          <w:szCs w:val="18"/>
          <w:rtl/>
        </w:rPr>
        <w:t>השו"ע</w:t>
      </w:r>
      <w:r w:rsidRPr="00C47937">
        <w:rPr>
          <w:rFonts w:hint="cs"/>
          <w:sz w:val="18"/>
          <w:szCs w:val="18"/>
          <w:rtl/>
        </w:rPr>
        <w:t xml:space="preserve"> אין קושי, משום שהוא מיירי </w:t>
      </w:r>
      <w:r>
        <w:rPr>
          <w:rFonts w:hint="cs"/>
          <w:sz w:val="18"/>
          <w:szCs w:val="18"/>
          <w:rtl/>
        </w:rPr>
        <w:t>ב</w:t>
      </w:r>
      <w:r w:rsidRPr="00C47937">
        <w:rPr>
          <w:rFonts w:hint="cs"/>
          <w:sz w:val="18"/>
          <w:szCs w:val="18"/>
          <w:rtl/>
        </w:rPr>
        <w:t>ווסת ההפלגה, ו</w:t>
      </w:r>
      <w:r>
        <w:rPr>
          <w:rFonts w:hint="cs"/>
          <w:sz w:val="18"/>
          <w:szCs w:val="18"/>
          <w:rtl/>
        </w:rPr>
        <w:t>ווסת זה</w:t>
      </w:r>
      <w:r w:rsidRPr="00C47937">
        <w:rPr>
          <w:rFonts w:hint="cs"/>
          <w:sz w:val="18"/>
          <w:szCs w:val="18"/>
          <w:rtl/>
        </w:rPr>
        <w:t xml:space="preserve"> נעקר </w:t>
      </w:r>
      <w:r>
        <w:rPr>
          <w:rFonts w:hint="cs"/>
          <w:sz w:val="18"/>
          <w:szCs w:val="18"/>
          <w:rtl/>
        </w:rPr>
        <w:t>כש</w:t>
      </w:r>
      <w:r w:rsidRPr="00C47937">
        <w:rPr>
          <w:rFonts w:hint="cs"/>
          <w:sz w:val="18"/>
          <w:szCs w:val="18"/>
          <w:rtl/>
        </w:rPr>
        <w:t>לא שימשה, שהרי אין נקודת זמן שניתן למנות ממנה חצי שנה ולאוסרה עליו באותו יום, שהרי לא שימשה.</w:t>
      </w:r>
    </w:p>
  </w:footnote>
  <w:footnote w:id="132">
    <w:p w:rsidR="005953C5" w:rsidRDefault="005953C5" w:rsidP="00620060">
      <w:pPr>
        <w:pStyle w:val="a3"/>
      </w:pPr>
      <w:r w:rsidRPr="00C47937">
        <w:rPr>
          <w:rStyle w:val="a5"/>
          <w:sz w:val="18"/>
          <w:szCs w:val="18"/>
        </w:rPr>
        <w:footnoteRef/>
      </w:r>
      <w:r w:rsidRPr="00C47937">
        <w:rPr>
          <w:sz w:val="18"/>
          <w:szCs w:val="18"/>
          <w:rtl/>
        </w:rPr>
        <w:t xml:space="preserve"> </w:t>
      </w:r>
      <w:r w:rsidRPr="00C47937">
        <w:rPr>
          <w:rFonts w:hint="cs"/>
          <w:b/>
          <w:bCs/>
          <w:sz w:val="18"/>
          <w:szCs w:val="18"/>
          <w:rtl/>
        </w:rPr>
        <w:t>החוו"ד</w:t>
      </w:r>
      <w:r w:rsidRPr="00C47937">
        <w:rPr>
          <w:rFonts w:hint="cs"/>
          <w:sz w:val="18"/>
          <w:szCs w:val="18"/>
          <w:rtl/>
        </w:rPr>
        <w:t xml:space="preserve"> חולק על </w:t>
      </w:r>
      <w:r w:rsidRPr="00C47937">
        <w:rPr>
          <w:rFonts w:hint="cs"/>
          <w:b/>
          <w:bCs/>
          <w:sz w:val="18"/>
          <w:szCs w:val="18"/>
          <w:rtl/>
        </w:rPr>
        <w:t>הדגמ"ר</w:t>
      </w:r>
      <w:r w:rsidRPr="00C47937">
        <w:rPr>
          <w:rFonts w:hint="cs"/>
          <w:sz w:val="18"/>
          <w:szCs w:val="18"/>
          <w:rtl/>
        </w:rPr>
        <w:t xml:space="preserve"> בנקודה זו, שהרי </w:t>
      </w:r>
      <w:r w:rsidRPr="00C47937">
        <w:rPr>
          <w:rFonts w:hint="cs"/>
          <w:b/>
          <w:bCs/>
          <w:sz w:val="18"/>
          <w:szCs w:val="18"/>
          <w:rtl/>
        </w:rPr>
        <w:t>לדגמ"ר</w:t>
      </w:r>
      <w:r w:rsidRPr="00C47937">
        <w:rPr>
          <w:rFonts w:hint="cs"/>
          <w:sz w:val="18"/>
          <w:szCs w:val="18"/>
          <w:rtl/>
        </w:rPr>
        <w:t xml:space="preserve"> לאחר הפלגת חצי שנה שלא ראתה מותרת אע"פ שלא שימשה, כאמור בהערה לעיל.</w:t>
      </w:r>
    </w:p>
  </w:footnote>
  <w:footnote w:id="133">
    <w:p w:rsidR="005953C5" w:rsidRDefault="005953C5" w:rsidP="00620060">
      <w:pPr>
        <w:pStyle w:val="a3"/>
        <w:rPr>
          <w:rtl/>
        </w:rPr>
      </w:pPr>
      <w:r w:rsidRPr="00A6071D">
        <w:rPr>
          <w:rStyle w:val="a5"/>
          <w:sz w:val="18"/>
          <w:szCs w:val="18"/>
        </w:rPr>
        <w:footnoteRef/>
      </w:r>
      <w:r w:rsidRPr="00A6071D">
        <w:rPr>
          <w:sz w:val="18"/>
          <w:szCs w:val="18"/>
          <w:rtl/>
        </w:rPr>
        <w:t xml:space="preserve"> </w:t>
      </w:r>
      <w:r w:rsidRPr="00A6071D">
        <w:rPr>
          <w:rFonts w:hint="cs"/>
          <w:b/>
          <w:bCs/>
          <w:sz w:val="18"/>
          <w:szCs w:val="18"/>
          <w:rtl/>
        </w:rPr>
        <w:t xml:space="preserve">ש"ך </w:t>
      </w:r>
      <w:r w:rsidRPr="00A6071D">
        <w:rPr>
          <w:sz w:val="18"/>
          <w:szCs w:val="18"/>
          <w:rtl/>
        </w:rPr>
        <w:t>–</w:t>
      </w:r>
      <w:r w:rsidRPr="00A6071D">
        <w:rPr>
          <w:rFonts w:hint="cs"/>
          <w:sz w:val="18"/>
          <w:szCs w:val="18"/>
          <w:rtl/>
        </w:rPr>
        <w:t xml:space="preserve"> כתב </w:t>
      </w:r>
      <w:r w:rsidRPr="00A6071D">
        <w:rPr>
          <w:rFonts w:hint="cs"/>
          <w:b/>
          <w:bCs/>
          <w:sz w:val="18"/>
          <w:szCs w:val="18"/>
          <w:rtl/>
        </w:rPr>
        <w:t>מהר"ם פדאווה</w:t>
      </w:r>
      <w:r w:rsidRPr="00A6071D">
        <w:rPr>
          <w:rFonts w:hint="cs"/>
          <w:sz w:val="18"/>
          <w:szCs w:val="18"/>
          <w:rtl/>
        </w:rPr>
        <w:t xml:space="preserve"> שאם הם דרים בשכונות שונות, מותר לו ללכת אליה אפילו שלא בעדים. </w:t>
      </w:r>
      <w:r>
        <w:rPr>
          <w:sz w:val="18"/>
          <w:szCs w:val="18"/>
          <w:rtl/>
        </w:rPr>
        <w:br/>
      </w:r>
      <w:r>
        <w:rPr>
          <w:rFonts w:hint="cs"/>
          <w:sz w:val="18"/>
          <w:szCs w:val="18"/>
          <w:rtl/>
        </w:rPr>
        <w:t>מב</w:t>
      </w:r>
      <w:r w:rsidRPr="00A6071D">
        <w:rPr>
          <w:rFonts w:hint="cs"/>
          <w:sz w:val="18"/>
          <w:szCs w:val="18"/>
          <w:rtl/>
        </w:rPr>
        <w:t xml:space="preserve">אר </w:t>
      </w:r>
      <w:r w:rsidRPr="00A6071D">
        <w:rPr>
          <w:rFonts w:hint="cs"/>
          <w:b/>
          <w:bCs/>
          <w:sz w:val="18"/>
          <w:szCs w:val="18"/>
          <w:rtl/>
        </w:rPr>
        <w:t>בדה"ש</w:t>
      </w:r>
      <w:r w:rsidRPr="00A6071D">
        <w:rPr>
          <w:rFonts w:hint="cs"/>
          <w:sz w:val="18"/>
          <w:szCs w:val="18"/>
          <w:rtl/>
        </w:rPr>
        <w:t xml:space="preserve"> </w:t>
      </w:r>
      <w:r>
        <w:rPr>
          <w:rFonts w:hint="cs"/>
          <w:sz w:val="18"/>
          <w:szCs w:val="18"/>
          <w:rtl/>
        </w:rPr>
        <w:t xml:space="preserve">- </w:t>
      </w:r>
      <w:r w:rsidRPr="00A6071D">
        <w:rPr>
          <w:rFonts w:hint="cs"/>
          <w:sz w:val="18"/>
          <w:szCs w:val="18"/>
          <w:rtl/>
        </w:rPr>
        <w:t xml:space="preserve">מדובר באופן שאין ייחוד, כגון שביתה פתוח לרה"ר. אמנם, </w:t>
      </w:r>
      <w:r w:rsidRPr="00A6071D">
        <w:rPr>
          <w:rFonts w:hint="cs"/>
          <w:b/>
          <w:bCs/>
          <w:sz w:val="18"/>
          <w:szCs w:val="18"/>
          <w:rtl/>
        </w:rPr>
        <w:t>בדה"ש</w:t>
      </w:r>
      <w:r w:rsidRPr="00A6071D">
        <w:rPr>
          <w:rFonts w:hint="cs"/>
          <w:sz w:val="18"/>
          <w:szCs w:val="18"/>
          <w:rtl/>
        </w:rPr>
        <w:t xml:space="preserve"> עצמו כתב שעיין בדברי </w:t>
      </w:r>
      <w:r w:rsidRPr="00A6071D">
        <w:rPr>
          <w:rFonts w:hint="cs"/>
          <w:b/>
          <w:bCs/>
          <w:sz w:val="18"/>
          <w:szCs w:val="18"/>
          <w:rtl/>
        </w:rPr>
        <w:t>מהר"ם</w:t>
      </w:r>
      <w:r w:rsidRPr="00A6071D">
        <w:rPr>
          <w:rFonts w:hint="cs"/>
          <w:sz w:val="18"/>
          <w:szCs w:val="18"/>
          <w:rtl/>
        </w:rPr>
        <w:t xml:space="preserve"> הנ"ל והבין דבריו באופן שונה </w:t>
      </w:r>
      <w:r w:rsidRPr="00A6071D">
        <w:rPr>
          <w:rFonts w:hint="cs"/>
          <w:b/>
          <w:bCs/>
          <w:sz w:val="18"/>
          <w:szCs w:val="18"/>
          <w:rtl/>
        </w:rPr>
        <w:t>מהש"ך</w:t>
      </w:r>
      <w:r w:rsidRPr="00A6071D">
        <w:rPr>
          <w:rFonts w:hint="cs"/>
          <w:sz w:val="18"/>
          <w:szCs w:val="18"/>
          <w:rtl/>
        </w:rPr>
        <w:t>, ולדינא סובר שצריך עדים אפילו כשהם דרים בשכונות שונות.</w:t>
      </w:r>
    </w:p>
  </w:footnote>
  <w:footnote w:id="134">
    <w:p w:rsidR="005953C5" w:rsidRDefault="005953C5" w:rsidP="00620060">
      <w:pPr>
        <w:pStyle w:val="a3"/>
        <w:rPr>
          <w:rtl/>
        </w:rPr>
      </w:pPr>
      <w:r w:rsidRPr="00AF67C2">
        <w:rPr>
          <w:rStyle w:val="a5"/>
          <w:sz w:val="18"/>
          <w:szCs w:val="18"/>
        </w:rPr>
        <w:footnoteRef/>
      </w:r>
      <w:r w:rsidRPr="00AF67C2">
        <w:rPr>
          <w:sz w:val="18"/>
          <w:szCs w:val="18"/>
          <w:rtl/>
        </w:rPr>
        <w:t xml:space="preserve"> </w:t>
      </w:r>
      <w:r w:rsidRPr="00AF67C2">
        <w:rPr>
          <w:rFonts w:hint="cs"/>
          <w:b/>
          <w:bCs/>
          <w:sz w:val="18"/>
          <w:szCs w:val="18"/>
          <w:rtl/>
        </w:rPr>
        <w:t>משנה</w:t>
      </w:r>
      <w:r w:rsidRPr="00AF67C2">
        <w:rPr>
          <w:rFonts w:hint="cs"/>
          <w:sz w:val="18"/>
          <w:szCs w:val="18"/>
          <w:rtl/>
        </w:rPr>
        <w:t xml:space="preserve"> נידה (סד:) "</w:t>
      </w:r>
      <w:r w:rsidRPr="00AF67C2">
        <w:rPr>
          <w:rFonts w:cs="Arial"/>
          <w:sz w:val="18"/>
          <w:szCs w:val="18"/>
          <w:rtl/>
        </w:rPr>
        <w:t>תינוקת שלא הגיע זמנה לראות, וניסת, ב"ש אומרים: נותנין לה ארבע לילות, וב"ה אומרים: עד שתחיה המכה. הגיע זמנה לראות וניסת, ב"ש אומרים: נותנין לה לילה הראשון, וב"ה אומרים: עד מוצאי שבת, ארבע לילות. ראתה ועודה בבית אביה, ב"ש אומרים: נותנין לה בעילת מצוה, וב"ה אומרים: כל הלילה כולה</w:t>
      </w:r>
      <w:r w:rsidRPr="00AF67C2">
        <w:rPr>
          <w:rFonts w:cs="Arial" w:hint="cs"/>
          <w:sz w:val="18"/>
          <w:szCs w:val="18"/>
          <w:rtl/>
        </w:rPr>
        <w:t>".</w:t>
      </w:r>
    </w:p>
  </w:footnote>
  <w:footnote w:id="135">
    <w:p w:rsidR="005953C5" w:rsidRDefault="005953C5" w:rsidP="00620060">
      <w:pPr>
        <w:pStyle w:val="a3"/>
        <w:rPr>
          <w:rtl/>
        </w:rPr>
      </w:pPr>
      <w:r w:rsidRPr="00BA433F">
        <w:rPr>
          <w:rStyle w:val="a5"/>
          <w:sz w:val="18"/>
          <w:szCs w:val="18"/>
        </w:rPr>
        <w:footnoteRef/>
      </w:r>
      <w:r w:rsidRPr="00BA433F">
        <w:rPr>
          <w:sz w:val="18"/>
          <w:szCs w:val="18"/>
          <w:rtl/>
        </w:rPr>
        <w:t xml:space="preserve"> </w:t>
      </w:r>
      <w:r w:rsidRPr="00BA433F">
        <w:rPr>
          <w:rFonts w:hint="cs"/>
          <w:sz w:val="18"/>
          <w:szCs w:val="18"/>
          <w:rtl/>
        </w:rPr>
        <w:t xml:space="preserve">דם בתולים טהור מדאורייתא, אלא שחכמים גזרו לאסרו. הפת"ש מביא שיטה של אחד האחרונים הסובר שחכמים החמירו בו רק בשיעור שמצוי להיות </w:t>
      </w:r>
      <w:r w:rsidRPr="00BA433F">
        <w:rPr>
          <w:rFonts w:hint="cs"/>
          <w:sz w:val="16"/>
          <w:szCs w:val="16"/>
          <w:rtl/>
        </w:rPr>
        <w:t>(ד' לילות, כמבואר במשנה נידה סד:)</w:t>
      </w:r>
      <w:r w:rsidRPr="00BA433F">
        <w:rPr>
          <w:rFonts w:hint="cs"/>
          <w:sz w:val="18"/>
          <w:szCs w:val="18"/>
          <w:rtl/>
        </w:rPr>
        <w:t>. אולם העיקר לדינא אינו כך, אלא דם בתולים מטמא תמיד.</w:t>
      </w:r>
    </w:p>
  </w:footnote>
  <w:footnote w:id="136">
    <w:p w:rsidR="005953C5" w:rsidRDefault="005953C5" w:rsidP="00620060">
      <w:pPr>
        <w:pStyle w:val="a3"/>
      </w:pPr>
      <w:r w:rsidRPr="00BC6AD7">
        <w:rPr>
          <w:rStyle w:val="a5"/>
          <w:sz w:val="18"/>
          <w:szCs w:val="18"/>
        </w:rPr>
        <w:footnoteRef/>
      </w:r>
      <w:r w:rsidRPr="00BC6AD7">
        <w:rPr>
          <w:sz w:val="18"/>
          <w:szCs w:val="18"/>
          <w:rtl/>
        </w:rPr>
        <w:t xml:space="preserve"> </w:t>
      </w:r>
      <w:r w:rsidRPr="00BC6AD7">
        <w:rPr>
          <w:rFonts w:hint="cs"/>
          <w:b/>
          <w:bCs/>
          <w:sz w:val="18"/>
          <w:szCs w:val="18"/>
          <w:rtl/>
        </w:rPr>
        <w:t>ששבה"ל</w:t>
      </w:r>
      <w:r w:rsidRPr="00BC6AD7">
        <w:rPr>
          <w:rFonts w:hint="cs"/>
          <w:sz w:val="18"/>
          <w:szCs w:val="18"/>
          <w:rtl/>
        </w:rPr>
        <w:t xml:space="preserve"> </w:t>
      </w:r>
      <w:r w:rsidRPr="00BC6AD7">
        <w:rPr>
          <w:sz w:val="18"/>
          <w:szCs w:val="18"/>
          <w:rtl/>
        </w:rPr>
        <w:t>–</w:t>
      </w:r>
      <w:r w:rsidRPr="00BC6AD7">
        <w:rPr>
          <w:rFonts w:hint="cs"/>
          <w:sz w:val="18"/>
          <w:szCs w:val="18"/>
          <w:rtl/>
        </w:rPr>
        <w:t xml:space="preserve"> גם את דברי </w:t>
      </w:r>
      <w:r w:rsidRPr="00BC6AD7">
        <w:rPr>
          <w:rFonts w:hint="cs"/>
          <w:b/>
          <w:bCs/>
          <w:sz w:val="18"/>
          <w:szCs w:val="18"/>
          <w:rtl/>
        </w:rPr>
        <w:t xml:space="preserve">המחבר </w:t>
      </w:r>
      <w:r w:rsidRPr="00BC6AD7">
        <w:rPr>
          <w:rFonts w:hint="cs"/>
          <w:sz w:val="18"/>
          <w:szCs w:val="18"/>
          <w:rtl/>
        </w:rPr>
        <w:t xml:space="preserve">כאן יש לפרש כדבריו בבית יוסף, ואין מחלוקת </w:t>
      </w:r>
      <w:r w:rsidRPr="00BC6AD7">
        <w:rPr>
          <w:rFonts w:hint="cs"/>
          <w:b/>
          <w:bCs/>
          <w:sz w:val="18"/>
          <w:szCs w:val="18"/>
          <w:rtl/>
        </w:rPr>
        <w:t>מחבר ורמ"א</w:t>
      </w:r>
      <w:r w:rsidRPr="00BC6AD7">
        <w:rPr>
          <w:rFonts w:hint="cs"/>
          <w:sz w:val="18"/>
          <w:szCs w:val="18"/>
          <w:rtl/>
        </w:rPr>
        <w:t>.</w:t>
      </w:r>
      <w:r w:rsidRPr="00BC6AD7">
        <w:rPr>
          <w:sz w:val="18"/>
          <w:szCs w:val="18"/>
          <w:rtl/>
        </w:rPr>
        <w:br/>
      </w:r>
      <w:r w:rsidRPr="00BC6AD7">
        <w:rPr>
          <w:rFonts w:hint="cs"/>
          <w:sz w:val="18"/>
          <w:szCs w:val="18"/>
          <w:rtl/>
        </w:rPr>
        <w:t xml:space="preserve">כלומר </w:t>
      </w:r>
      <w:r w:rsidRPr="00BC6AD7">
        <w:rPr>
          <w:sz w:val="18"/>
          <w:szCs w:val="18"/>
          <w:rtl/>
        </w:rPr>
        <w:t>–</w:t>
      </w:r>
      <w:r w:rsidRPr="00BC6AD7">
        <w:rPr>
          <w:rFonts w:hint="cs"/>
          <w:sz w:val="18"/>
          <w:szCs w:val="18"/>
          <w:rtl/>
        </w:rPr>
        <w:t xml:space="preserve"> </w:t>
      </w:r>
      <w:r w:rsidRPr="00BC6AD7">
        <w:rPr>
          <w:rFonts w:hint="cs"/>
          <w:b/>
          <w:bCs/>
          <w:sz w:val="18"/>
          <w:szCs w:val="18"/>
          <w:rtl/>
        </w:rPr>
        <w:t>המחבר</w:t>
      </w:r>
      <w:r w:rsidRPr="00BC6AD7">
        <w:rPr>
          <w:rFonts w:hint="cs"/>
          <w:sz w:val="18"/>
          <w:szCs w:val="18"/>
          <w:rtl/>
        </w:rPr>
        <w:t xml:space="preserve"> כתב שראתה דם "כמה פעמים... לעולם מחזקינן", ויש לומר ש</w:t>
      </w:r>
      <w:r>
        <w:rPr>
          <w:rFonts w:hint="cs"/>
          <w:sz w:val="18"/>
          <w:szCs w:val="18"/>
          <w:rtl/>
        </w:rPr>
        <w:t>'</w:t>
      </w:r>
      <w:r w:rsidRPr="00BC6AD7">
        <w:rPr>
          <w:rFonts w:hint="cs"/>
          <w:sz w:val="18"/>
          <w:szCs w:val="18"/>
          <w:rtl/>
        </w:rPr>
        <w:t>לעולם</w:t>
      </w:r>
      <w:r>
        <w:rPr>
          <w:rFonts w:hint="cs"/>
          <w:sz w:val="18"/>
          <w:szCs w:val="18"/>
          <w:rtl/>
        </w:rPr>
        <w:t>'</w:t>
      </w:r>
      <w:r w:rsidRPr="00BC6AD7">
        <w:rPr>
          <w:rFonts w:hint="cs"/>
          <w:sz w:val="18"/>
          <w:szCs w:val="18"/>
          <w:rtl/>
        </w:rPr>
        <w:t xml:space="preserve"> אין הכוונה שתמיד יש לתלות בדם בתולים, אלא רק אותם כמה פעמים שהם כשלוש או ארבע פעמים, ובבעילות אלו מצוי שיש לה צער, ולכן דברי </w:t>
      </w:r>
      <w:r w:rsidRPr="00BC6AD7">
        <w:rPr>
          <w:rFonts w:hint="cs"/>
          <w:b/>
          <w:bCs/>
          <w:sz w:val="18"/>
          <w:szCs w:val="18"/>
          <w:rtl/>
        </w:rPr>
        <w:t xml:space="preserve">המחבר </w:t>
      </w:r>
      <w:r w:rsidRPr="00BC6AD7">
        <w:rPr>
          <w:rFonts w:hint="cs"/>
          <w:sz w:val="18"/>
          <w:szCs w:val="18"/>
          <w:rtl/>
        </w:rPr>
        <w:t xml:space="preserve">זהים לדברי </w:t>
      </w:r>
      <w:r w:rsidRPr="00BC6AD7">
        <w:rPr>
          <w:rFonts w:hint="cs"/>
          <w:b/>
          <w:bCs/>
          <w:sz w:val="18"/>
          <w:szCs w:val="18"/>
          <w:rtl/>
        </w:rPr>
        <w:t>הרמ"א</w:t>
      </w:r>
      <w:r w:rsidRPr="00BC6AD7">
        <w:rPr>
          <w:rFonts w:hint="cs"/>
          <w:sz w:val="18"/>
          <w:szCs w:val="18"/>
          <w:rtl/>
        </w:rPr>
        <w:t>.</w:t>
      </w:r>
      <w:r>
        <w:rPr>
          <w:rtl/>
        </w:rPr>
        <w:br/>
      </w:r>
      <w:r w:rsidRPr="004C2A42">
        <w:rPr>
          <w:rFonts w:hint="cs"/>
          <w:sz w:val="18"/>
          <w:szCs w:val="18"/>
          <w:rtl/>
        </w:rPr>
        <w:t xml:space="preserve">ברם, אחרונים אחרים חולקים על </w:t>
      </w:r>
      <w:r w:rsidRPr="004C2A42">
        <w:rPr>
          <w:rFonts w:hint="cs"/>
          <w:b/>
          <w:bCs/>
          <w:sz w:val="18"/>
          <w:szCs w:val="18"/>
          <w:rtl/>
        </w:rPr>
        <w:t>ששבה"ל</w:t>
      </w:r>
      <w:r w:rsidRPr="004C2A42">
        <w:rPr>
          <w:rFonts w:hint="cs"/>
          <w:sz w:val="18"/>
          <w:szCs w:val="18"/>
          <w:rtl/>
        </w:rPr>
        <w:t xml:space="preserve"> בהבנת דברי </w:t>
      </w:r>
      <w:r w:rsidRPr="004C2A42">
        <w:rPr>
          <w:rFonts w:hint="cs"/>
          <w:b/>
          <w:bCs/>
          <w:sz w:val="18"/>
          <w:szCs w:val="18"/>
          <w:rtl/>
        </w:rPr>
        <w:t>המחבר</w:t>
      </w:r>
      <w:r w:rsidRPr="004C2A42">
        <w:rPr>
          <w:rFonts w:hint="cs"/>
          <w:sz w:val="18"/>
          <w:szCs w:val="18"/>
          <w:rtl/>
        </w:rPr>
        <w:t xml:space="preserve"> וס"ל שתולים לעולם כל זמן שלא פסקה לראות מחמת תשמיש. אולם, עיין </w:t>
      </w:r>
      <w:r w:rsidRPr="004C2A42">
        <w:rPr>
          <w:rFonts w:hint="cs"/>
          <w:b/>
          <w:bCs/>
          <w:sz w:val="18"/>
          <w:szCs w:val="18"/>
          <w:rtl/>
        </w:rPr>
        <w:t>בדה"ש</w:t>
      </w:r>
      <w:r w:rsidRPr="004C2A42">
        <w:rPr>
          <w:rFonts w:hint="cs"/>
          <w:sz w:val="18"/>
          <w:szCs w:val="18"/>
          <w:rtl/>
        </w:rPr>
        <w:t xml:space="preserve"> ס"ק רב' שיש שסייגו את היתר המחבר עד שנה בלבד.</w:t>
      </w:r>
    </w:p>
  </w:footnote>
  <w:footnote w:id="137">
    <w:p w:rsidR="005953C5" w:rsidRDefault="005953C5" w:rsidP="00620060">
      <w:pPr>
        <w:pStyle w:val="a3"/>
        <w:rPr>
          <w:rtl/>
        </w:rPr>
      </w:pPr>
      <w:r w:rsidRPr="00535F12">
        <w:rPr>
          <w:rStyle w:val="a5"/>
          <w:sz w:val="18"/>
          <w:szCs w:val="18"/>
        </w:rPr>
        <w:footnoteRef/>
      </w:r>
      <w:r w:rsidRPr="00535F12">
        <w:rPr>
          <w:sz w:val="18"/>
          <w:szCs w:val="18"/>
          <w:rtl/>
        </w:rPr>
        <w:t xml:space="preserve"> </w:t>
      </w:r>
      <w:r w:rsidRPr="00535F12">
        <w:rPr>
          <w:rFonts w:hint="cs"/>
          <w:sz w:val="18"/>
          <w:szCs w:val="18"/>
          <w:rtl/>
        </w:rPr>
        <w:t>האם שחור טמא מדאורייתא או מדרבנן?</w:t>
      </w:r>
      <w:r w:rsidRPr="00535F12">
        <w:rPr>
          <w:rFonts w:hint="cs"/>
          <w:sz w:val="18"/>
          <w:szCs w:val="18"/>
          <w:rtl/>
        </w:rPr>
        <w:br/>
        <w:t xml:space="preserve">זו לשון </w:t>
      </w:r>
      <w:r w:rsidRPr="00535F12">
        <w:rPr>
          <w:rFonts w:hint="cs"/>
          <w:b/>
          <w:bCs/>
          <w:sz w:val="18"/>
          <w:szCs w:val="18"/>
          <w:rtl/>
        </w:rPr>
        <w:t>הרשב"א</w:t>
      </w:r>
      <w:r w:rsidRPr="00535F12">
        <w:rPr>
          <w:rFonts w:hint="cs"/>
          <w:sz w:val="18"/>
          <w:szCs w:val="18"/>
          <w:rtl/>
        </w:rPr>
        <w:t xml:space="preserve"> בסוכה</w:t>
      </w:r>
      <w:r>
        <w:rPr>
          <w:rFonts w:hint="cs"/>
          <w:sz w:val="18"/>
          <w:szCs w:val="18"/>
          <w:rtl/>
        </w:rPr>
        <w:t xml:space="preserve"> (לג:)</w:t>
      </w:r>
      <w:r w:rsidRPr="00535F12">
        <w:rPr>
          <w:rFonts w:hint="cs"/>
          <w:sz w:val="18"/>
          <w:szCs w:val="18"/>
          <w:rtl/>
        </w:rPr>
        <w:t xml:space="preserve">: "ועוד </w:t>
      </w:r>
      <w:r w:rsidRPr="00535F12">
        <w:rPr>
          <w:rFonts w:hint="cs"/>
          <w:sz w:val="18"/>
          <w:szCs w:val="18"/>
          <w:u w:val="single"/>
          <w:rtl/>
        </w:rPr>
        <w:t>טמאו חכמים את השחור</w:t>
      </w:r>
      <w:r w:rsidRPr="00535F12">
        <w:rPr>
          <w:rFonts w:hint="cs"/>
          <w:sz w:val="18"/>
          <w:szCs w:val="18"/>
          <w:rtl/>
        </w:rPr>
        <w:t xml:space="preserve"> מפני שתחילתו אדום אלא שלקה".</w:t>
      </w:r>
      <w:r w:rsidRPr="00535F12">
        <w:rPr>
          <w:sz w:val="18"/>
          <w:szCs w:val="18"/>
          <w:rtl/>
        </w:rPr>
        <w:br/>
      </w:r>
      <w:r w:rsidRPr="00535F12">
        <w:rPr>
          <w:rFonts w:hint="cs"/>
          <w:sz w:val="18"/>
          <w:szCs w:val="18"/>
          <w:rtl/>
        </w:rPr>
        <w:t xml:space="preserve">אמנם, יש </w:t>
      </w:r>
      <w:r>
        <w:rPr>
          <w:rFonts w:hint="cs"/>
          <w:sz w:val="18"/>
          <w:szCs w:val="18"/>
          <w:rtl/>
        </w:rPr>
        <w:t>מפרשים שאף הרשב"א מודה ששחור טמא מדאורייתא,</w:t>
      </w:r>
      <w:r w:rsidRPr="00535F12">
        <w:rPr>
          <w:rFonts w:hint="cs"/>
          <w:sz w:val="18"/>
          <w:szCs w:val="18"/>
          <w:rtl/>
        </w:rPr>
        <w:t xml:space="preserve"> שהרי במשנה נאמר שחמישה מיני דמים טמאים, משמע שכולם בחדא מחתא מחתינהו, דהיינו מדאורייתא. ומה שכתב הרשב"א שחכמים טימאו, כוונתו לומר שחכמים הורו ששחור הוא אדום שלקה.</w:t>
      </w:r>
    </w:p>
  </w:footnote>
  <w:footnote w:id="138">
    <w:p w:rsidR="005953C5" w:rsidRPr="00A8129B" w:rsidRDefault="005953C5" w:rsidP="00620060">
      <w:pPr>
        <w:pStyle w:val="a3"/>
        <w:rPr>
          <w:sz w:val="18"/>
          <w:szCs w:val="18"/>
          <w:rtl/>
        </w:rPr>
      </w:pPr>
      <w:r w:rsidRPr="00A8129B">
        <w:rPr>
          <w:rStyle w:val="a5"/>
          <w:sz w:val="18"/>
          <w:szCs w:val="18"/>
        </w:rPr>
        <w:footnoteRef/>
      </w:r>
      <w:r w:rsidRPr="00A8129B">
        <w:rPr>
          <w:sz w:val="18"/>
          <w:szCs w:val="18"/>
          <w:rtl/>
        </w:rPr>
        <w:t xml:space="preserve"> </w:t>
      </w:r>
      <w:r w:rsidRPr="00A8129B">
        <w:rPr>
          <w:rFonts w:hint="cs"/>
          <w:sz w:val="18"/>
          <w:szCs w:val="18"/>
          <w:rtl/>
        </w:rPr>
        <w:t xml:space="preserve">זו לשון </w:t>
      </w:r>
      <w:r w:rsidRPr="00A8129B">
        <w:rPr>
          <w:rFonts w:hint="cs"/>
          <w:b/>
          <w:bCs/>
          <w:sz w:val="18"/>
          <w:szCs w:val="18"/>
          <w:rtl/>
        </w:rPr>
        <w:t>הרא"ש</w:t>
      </w:r>
      <w:r w:rsidRPr="00A8129B">
        <w:rPr>
          <w:rFonts w:hint="cs"/>
          <w:sz w:val="18"/>
          <w:szCs w:val="18"/>
          <w:rtl/>
        </w:rPr>
        <w:t xml:space="preserve"> </w:t>
      </w:r>
      <w:r w:rsidRPr="00A8129B">
        <w:rPr>
          <w:sz w:val="18"/>
          <w:szCs w:val="18"/>
          <w:rtl/>
        </w:rPr>
        <w:t>–</w:t>
      </w:r>
      <w:r w:rsidRPr="00A8129B">
        <w:rPr>
          <w:rFonts w:hint="cs"/>
          <w:sz w:val="18"/>
          <w:szCs w:val="18"/>
          <w:rtl/>
        </w:rPr>
        <w:t xml:space="preserve"> </w:t>
      </w:r>
      <w:r w:rsidRPr="00A8129B">
        <w:rPr>
          <w:rFonts w:cs="Arial" w:hint="cs"/>
          <w:sz w:val="18"/>
          <w:szCs w:val="18"/>
          <w:rtl/>
        </w:rPr>
        <w:t>"ובדורות</w:t>
      </w:r>
      <w:r w:rsidRPr="00A8129B">
        <w:rPr>
          <w:rFonts w:cs="Arial"/>
          <w:sz w:val="18"/>
          <w:szCs w:val="18"/>
          <w:rtl/>
        </w:rPr>
        <w:t xml:space="preserve"> </w:t>
      </w:r>
      <w:r w:rsidRPr="00A8129B">
        <w:rPr>
          <w:rFonts w:cs="Arial" w:hint="cs"/>
          <w:sz w:val="18"/>
          <w:szCs w:val="18"/>
          <w:rtl/>
        </w:rPr>
        <w:t>הללו</w:t>
      </w:r>
      <w:r w:rsidRPr="00A8129B">
        <w:rPr>
          <w:rFonts w:cs="Arial"/>
          <w:sz w:val="18"/>
          <w:szCs w:val="18"/>
          <w:rtl/>
        </w:rPr>
        <w:t xml:space="preserve"> </w:t>
      </w:r>
      <w:r w:rsidRPr="00A8129B">
        <w:rPr>
          <w:rFonts w:cs="Arial" w:hint="cs"/>
          <w:sz w:val="18"/>
          <w:szCs w:val="18"/>
          <w:rtl/>
        </w:rPr>
        <w:t>אין</w:t>
      </w:r>
      <w:r w:rsidRPr="00A8129B">
        <w:rPr>
          <w:rFonts w:cs="Arial"/>
          <w:sz w:val="18"/>
          <w:szCs w:val="18"/>
          <w:rtl/>
        </w:rPr>
        <w:t xml:space="preserve"> </w:t>
      </w:r>
      <w:r w:rsidRPr="00A8129B">
        <w:rPr>
          <w:rFonts w:cs="Arial" w:hint="cs"/>
          <w:sz w:val="18"/>
          <w:szCs w:val="18"/>
          <w:rtl/>
        </w:rPr>
        <w:t>בקי</w:t>
      </w:r>
      <w:r w:rsidRPr="00A8129B">
        <w:rPr>
          <w:rFonts w:cs="Arial"/>
          <w:sz w:val="18"/>
          <w:szCs w:val="18"/>
          <w:rtl/>
        </w:rPr>
        <w:t xml:space="preserve"> </w:t>
      </w:r>
      <w:r w:rsidRPr="00A8129B">
        <w:rPr>
          <w:rFonts w:cs="Arial" w:hint="cs"/>
          <w:sz w:val="18"/>
          <w:szCs w:val="18"/>
          <w:rtl/>
        </w:rPr>
        <w:t>במראות</w:t>
      </w:r>
      <w:r w:rsidRPr="00A8129B">
        <w:rPr>
          <w:rFonts w:cs="Arial"/>
          <w:sz w:val="18"/>
          <w:szCs w:val="18"/>
          <w:rtl/>
        </w:rPr>
        <w:t xml:space="preserve"> </w:t>
      </w:r>
      <w:r w:rsidRPr="00A8129B">
        <w:rPr>
          <w:rFonts w:cs="Arial" w:hint="cs"/>
          <w:sz w:val="18"/>
          <w:szCs w:val="18"/>
          <w:rtl/>
        </w:rPr>
        <w:t>דמים</w:t>
      </w:r>
      <w:r w:rsidRPr="00A8129B">
        <w:rPr>
          <w:rFonts w:cs="Arial"/>
          <w:sz w:val="18"/>
          <w:szCs w:val="18"/>
          <w:rtl/>
        </w:rPr>
        <w:t xml:space="preserve"> </w:t>
      </w:r>
      <w:r w:rsidRPr="00A8129B">
        <w:rPr>
          <w:rFonts w:cs="Arial" w:hint="cs"/>
          <w:sz w:val="18"/>
          <w:szCs w:val="18"/>
          <w:rtl/>
        </w:rPr>
        <w:t>לישען</w:t>
      </w:r>
      <w:r w:rsidRPr="00A8129B">
        <w:rPr>
          <w:rFonts w:cs="Arial"/>
          <w:sz w:val="18"/>
          <w:szCs w:val="18"/>
          <w:rtl/>
        </w:rPr>
        <w:t xml:space="preserve"> </w:t>
      </w:r>
      <w:r w:rsidRPr="00A8129B">
        <w:rPr>
          <w:rFonts w:cs="Arial" w:hint="cs"/>
          <w:sz w:val="18"/>
          <w:szCs w:val="18"/>
          <w:rtl/>
        </w:rPr>
        <w:t>על</w:t>
      </w:r>
      <w:r w:rsidRPr="00A8129B">
        <w:rPr>
          <w:rFonts w:cs="Arial"/>
          <w:sz w:val="18"/>
          <w:szCs w:val="18"/>
          <w:rtl/>
        </w:rPr>
        <w:t xml:space="preserve"> </w:t>
      </w:r>
      <w:r w:rsidRPr="00A8129B">
        <w:rPr>
          <w:rFonts w:cs="Arial" w:hint="cs"/>
          <w:sz w:val="18"/>
          <w:szCs w:val="18"/>
          <w:rtl/>
        </w:rPr>
        <w:t>חכמתו</w:t>
      </w:r>
      <w:r w:rsidRPr="00A8129B">
        <w:rPr>
          <w:rFonts w:cs="Arial"/>
          <w:sz w:val="18"/>
          <w:szCs w:val="18"/>
          <w:rtl/>
        </w:rPr>
        <w:t xml:space="preserve"> </w:t>
      </w:r>
      <w:r w:rsidRPr="00A8129B">
        <w:rPr>
          <w:rFonts w:cs="Arial" w:hint="cs"/>
          <w:sz w:val="18"/>
          <w:szCs w:val="18"/>
          <w:rtl/>
        </w:rPr>
        <w:t>ולהפריד</w:t>
      </w:r>
      <w:r w:rsidRPr="00A8129B">
        <w:rPr>
          <w:rFonts w:cs="Arial"/>
          <w:sz w:val="18"/>
          <w:szCs w:val="18"/>
          <w:rtl/>
        </w:rPr>
        <w:t xml:space="preserve"> </w:t>
      </w:r>
      <w:r w:rsidRPr="00A8129B">
        <w:rPr>
          <w:rFonts w:cs="Arial" w:hint="cs"/>
          <w:sz w:val="18"/>
          <w:szCs w:val="18"/>
          <w:rtl/>
        </w:rPr>
        <w:t>בין</w:t>
      </w:r>
      <w:r w:rsidRPr="00A8129B">
        <w:rPr>
          <w:rFonts w:cs="Arial"/>
          <w:sz w:val="18"/>
          <w:szCs w:val="18"/>
          <w:rtl/>
        </w:rPr>
        <w:t xml:space="preserve"> </w:t>
      </w:r>
      <w:r w:rsidRPr="00A8129B">
        <w:rPr>
          <w:rFonts w:cs="Arial" w:hint="cs"/>
          <w:sz w:val="18"/>
          <w:szCs w:val="18"/>
          <w:rtl/>
        </w:rPr>
        <w:t>דם</w:t>
      </w:r>
      <w:r w:rsidRPr="00A8129B">
        <w:rPr>
          <w:rFonts w:cs="Arial"/>
          <w:sz w:val="18"/>
          <w:szCs w:val="18"/>
          <w:rtl/>
        </w:rPr>
        <w:t xml:space="preserve"> </w:t>
      </w:r>
      <w:r w:rsidRPr="00A8129B">
        <w:rPr>
          <w:rFonts w:cs="Arial" w:hint="cs"/>
          <w:sz w:val="18"/>
          <w:szCs w:val="18"/>
          <w:rtl/>
        </w:rPr>
        <w:t>לדם</w:t>
      </w:r>
      <w:r w:rsidRPr="00A8129B">
        <w:rPr>
          <w:rFonts w:cs="Arial"/>
          <w:sz w:val="18"/>
          <w:szCs w:val="18"/>
          <w:rtl/>
        </w:rPr>
        <w:t xml:space="preserve"> </w:t>
      </w:r>
      <w:r w:rsidRPr="00A8129B">
        <w:rPr>
          <w:rFonts w:cs="Arial" w:hint="cs"/>
          <w:sz w:val="18"/>
          <w:szCs w:val="18"/>
          <w:rtl/>
        </w:rPr>
        <w:t>ואפילו</w:t>
      </w:r>
      <w:r w:rsidRPr="00A8129B">
        <w:rPr>
          <w:rFonts w:cs="Arial"/>
          <w:sz w:val="18"/>
          <w:szCs w:val="18"/>
          <w:rtl/>
        </w:rPr>
        <w:t xml:space="preserve"> </w:t>
      </w:r>
      <w:r w:rsidRPr="00A8129B">
        <w:rPr>
          <w:rFonts w:cs="Arial" w:hint="cs"/>
          <w:sz w:val="18"/>
          <w:szCs w:val="18"/>
          <w:rtl/>
        </w:rPr>
        <w:t>בימי</w:t>
      </w:r>
      <w:r w:rsidRPr="00A8129B">
        <w:rPr>
          <w:rFonts w:cs="Arial"/>
          <w:sz w:val="18"/>
          <w:szCs w:val="18"/>
          <w:rtl/>
        </w:rPr>
        <w:t xml:space="preserve"> </w:t>
      </w:r>
      <w:r w:rsidRPr="00A8129B">
        <w:rPr>
          <w:rFonts w:cs="Arial" w:hint="cs"/>
          <w:sz w:val="18"/>
          <w:szCs w:val="18"/>
          <w:rtl/>
        </w:rPr>
        <w:t>חכמי</w:t>
      </w:r>
      <w:r w:rsidRPr="00A8129B">
        <w:rPr>
          <w:rFonts w:cs="Arial"/>
          <w:sz w:val="18"/>
          <w:szCs w:val="18"/>
          <w:rtl/>
        </w:rPr>
        <w:t xml:space="preserve"> </w:t>
      </w:r>
      <w:r w:rsidRPr="00A8129B">
        <w:rPr>
          <w:rFonts w:cs="Arial" w:hint="cs"/>
          <w:sz w:val="18"/>
          <w:szCs w:val="18"/>
          <w:rtl/>
        </w:rPr>
        <w:t>הש</w:t>
      </w:r>
      <w:r w:rsidRPr="00A8129B">
        <w:rPr>
          <w:rFonts w:cs="Arial"/>
          <w:sz w:val="18"/>
          <w:szCs w:val="18"/>
          <w:rtl/>
        </w:rPr>
        <w:t>"</w:t>
      </w:r>
      <w:r w:rsidRPr="00A8129B">
        <w:rPr>
          <w:rFonts w:cs="Arial" w:hint="cs"/>
          <w:sz w:val="18"/>
          <w:szCs w:val="18"/>
          <w:rtl/>
        </w:rPr>
        <w:t>ס</w:t>
      </w:r>
      <w:r w:rsidRPr="00A8129B">
        <w:rPr>
          <w:rFonts w:cs="Arial"/>
          <w:sz w:val="18"/>
          <w:szCs w:val="18"/>
          <w:rtl/>
        </w:rPr>
        <w:t xml:space="preserve"> </w:t>
      </w:r>
      <w:r w:rsidRPr="00A8129B">
        <w:rPr>
          <w:rFonts w:cs="Arial" w:hint="cs"/>
          <w:sz w:val="18"/>
          <w:szCs w:val="18"/>
          <w:rtl/>
        </w:rPr>
        <w:t>היו</w:t>
      </w:r>
      <w:r w:rsidRPr="00A8129B">
        <w:rPr>
          <w:rFonts w:cs="Arial"/>
          <w:sz w:val="18"/>
          <w:szCs w:val="18"/>
          <w:rtl/>
        </w:rPr>
        <w:t xml:space="preserve"> </w:t>
      </w:r>
      <w:r w:rsidRPr="00A8129B">
        <w:rPr>
          <w:rFonts w:cs="Arial" w:hint="cs"/>
          <w:sz w:val="18"/>
          <w:szCs w:val="18"/>
          <w:rtl/>
        </w:rPr>
        <w:t>מן</w:t>
      </w:r>
      <w:r w:rsidRPr="00A8129B">
        <w:rPr>
          <w:rFonts w:cs="Arial"/>
          <w:sz w:val="18"/>
          <w:szCs w:val="18"/>
          <w:rtl/>
        </w:rPr>
        <w:t xml:space="preserve"> </w:t>
      </w:r>
      <w:r w:rsidRPr="00A8129B">
        <w:rPr>
          <w:rFonts w:cs="Arial" w:hint="cs"/>
          <w:sz w:val="18"/>
          <w:szCs w:val="18"/>
          <w:rtl/>
        </w:rPr>
        <w:t>החכמים</w:t>
      </w:r>
      <w:r w:rsidRPr="00A8129B">
        <w:rPr>
          <w:rFonts w:cs="Arial"/>
          <w:sz w:val="18"/>
          <w:szCs w:val="18"/>
          <w:rtl/>
        </w:rPr>
        <w:t xml:space="preserve"> </w:t>
      </w:r>
      <w:r w:rsidRPr="00A8129B">
        <w:rPr>
          <w:rFonts w:cs="Arial" w:hint="cs"/>
          <w:sz w:val="18"/>
          <w:szCs w:val="18"/>
          <w:rtl/>
        </w:rPr>
        <w:t>שהיו</w:t>
      </w:r>
      <w:r w:rsidRPr="00A8129B">
        <w:rPr>
          <w:rFonts w:cs="Arial"/>
          <w:sz w:val="18"/>
          <w:szCs w:val="18"/>
          <w:rtl/>
        </w:rPr>
        <w:t xml:space="preserve"> </w:t>
      </w:r>
      <w:r w:rsidRPr="00A8129B">
        <w:rPr>
          <w:rFonts w:cs="Arial" w:hint="cs"/>
          <w:sz w:val="18"/>
          <w:szCs w:val="18"/>
          <w:rtl/>
        </w:rPr>
        <w:t>נמנעים</w:t>
      </w:r>
      <w:r w:rsidRPr="00A8129B">
        <w:rPr>
          <w:rFonts w:cs="Arial"/>
          <w:sz w:val="18"/>
          <w:szCs w:val="18"/>
          <w:rtl/>
        </w:rPr>
        <w:t xml:space="preserve"> </w:t>
      </w:r>
      <w:r w:rsidRPr="00A8129B">
        <w:rPr>
          <w:rFonts w:cs="Arial" w:hint="cs"/>
          <w:sz w:val="18"/>
          <w:szCs w:val="18"/>
          <w:rtl/>
        </w:rPr>
        <w:t>מלראות</w:t>
      </w:r>
      <w:r w:rsidRPr="00A8129B">
        <w:rPr>
          <w:rFonts w:cs="Arial"/>
          <w:sz w:val="18"/>
          <w:szCs w:val="18"/>
          <w:rtl/>
        </w:rPr>
        <w:t xml:space="preserve"> </w:t>
      </w:r>
      <w:r w:rsidRPr="00A8129B">
        <w:rPr>
          <w:rFonts w:cs="Arial" w:hint="cs"/>
          <w:sz w:val="18"/>
          <w:szCs w:val="18"/>
          <w:rtl/>
        </w:rPr>
        <w:t>דמים</w:t>
      </w:r>
      <w:r w:rsidRPr="00A8129B">
        <w:rPr>
          <w:rFonts w:cs="Arial"/>
          <w:sz w:val="18"/>
          <w:szCs w:val="18"/>
          <w:rtl/>
        </w:rPr>
        <w:t xml:space="preserve">. </w:t>
      </w:r>
      <w:r w:rsidRPr="00A8129B">
        <w:rPr>
          <w:rFonts w:cs="Arial" w:hint="cs"/>
          <w:sz w:val="18"/>
          <w:szCs w:val="18"/>
          <w:rtl/>
        </w:rPr>
        <w:t>כל שכן</w:t>
      </w:r>
      <w:r w:rsidRPr="00A8129B">
        <w:rPr>
          <w:rFonts w:cs="Arial"/>
          <w:sz w:val="18"/>
          <w:szCs w:val="18"/>
          <w:rtl/>
        </w:rPr>
        <w:t xml:space="preserve"> </w:t>
      </w:r>
      <w:r w:rsidRPr="00A8129B">
        <w:rPr>
          <w:rFonts w:cs="Arial" w:hint="cs"/>
          <w:sz w:val="18"/>
          <w:szCs w:val="18"/>
          <w:rtl/>
        </w:rPr>
        <w:t>האידנא</w:t>
      </w:r>
      <w:r w:rsidRPr="00A8129B">
        <w:rPr>
          <w:rFonts w:cs="Arial"/>
          <w:sz w:val="18"/>
          <w:szCs w:val="18"/>
          <w:rtl/>
        </w:rPr>
        <w:t xml:space="preserve"> </w:t>
      </w:r>
      <w:r w:rsidRPr="00A8129B">
        <w:rPr>
          <w:rFonts w:cs="Arial" w:hint="cs"/>
          <w:sz w:val="18"/>
          <w:szCs w:val="18"/>
          <w:rtl/>
        </w:rPr>
        <w:t>שאין</w:t>
      </w:r>
      <w:r w:rsidRPr="00A8129B">
        <w:rPr>
          <w:rFonts w:cs="Arial"/>
          <w:sz w:val="18"/>
          <w:szCs w:val="18"/>
          <w:rtl/>
        </w:rPr>
        <w:t xml:space="preserve"> </w:t>
      </w:r>
      <w:r w:rsidRPr="00A8129B">
        <w:rPr>
          <w:rFonts w:cs="Arial" w:hint="cs"/>
          <w:sz w:val="18"/>
          <w:szCs w:val="18"/>
          <w:rtl/>
        </w:rPr>
        <w:t>לטהר</w:t>
      </w:r>
      <w:r w:rsidRPr="00A8129B">
        <w:rPr>
          <w:rFonts w:cs="Arial"/>
          <w:sz w:val="18"/>
          <w:szCs w:val="18"/>
          <w:rtl/>
        </w:rPr>
        <w:t xml:space="preserve"> </w:t>
      </w:r>
      <w:r w:rsidRPr="00A8129B">
        <w:rPr>
          <w:rFonts w:cs="Arial" w:hint="cs"/>
          <w:sz w:val="18"/>
          <w:szCs w:val="18"/>
          <w:rtl/>
        </w:rPr>
        <w:t>שום</w:t>
      </w:r>
      <w:r w:rsidRPr="00A8129B">
        <w:rPr>
          <w:rFonts w:cs="Arial"/>
          <w:sz w:val="18"/>
          <w:szCs w:val="18"/>
          <w:rtl/>
        </w:rPr>
        <w:t xml:space="preserve"> </w:t>
      </w:r>
      <w:r w:rsidRPr="00A8129B">
        <w:rPr>
          <w:rFonts w:cs="Arial" w:hint="cs"/>
          <w:sz w:val="18"/>
          <w:szCs w:val="18"/>
          <w:rtl/>
        </w:rPr>
        <w:t>דם</w:t>
      </w:r>
      <w:r w:rsidRPr="00A8129B">
        <w:rPr>
          <w:rFonts w:cs="Arial"/>
          <w:sz w:val="18"/>
          <w:szCs w:val="18"/>
          <w:rtl/>
        </w:rPr>
        <w:t xml:space="preserve"> </w:t>
      </w:r>
      <w:r w:rsidRPr="00A8129B">
        <w:rPr>
          <w:rFonts w:cs="Arial" w:hint="cs"/>
          <w:sz w:val="18"/>
          <w:szCs w:val="18"/>
          <w:rtl/>
        </w:rPr>
        <w:t>הנוטה</w:t>
      </w:r>
      <w:r w:rsidRPr="00A8129B">
        <w:rPr>
          <w:rFonts w:cs="Arial"/>
          <w:sz w:val="18"/>
          <w:szCs w:val="18"/>
          <w:rtl/>
        </w:rPr>
        <w:t xml:space="preserve"> </w:t>
      </w:r>
      <w:r w:rsidRPr="00A8129B">
        <w:rPr>
          <w:rFonts w:cs="Arial" w:hint="cs"/>
          <w:sz w:val="18"/>
          <w:szCs w:val="18"/>
          <w:rtl/>
        </w:rPr>
        <w:t>למראה</w:t>
      </w:r>
      <w:r w:rsidRPr="00A8129B">
        <w:rPr>
          <w:rFonts w:cs="Arial"/>
          <w:sz w:val="18"/>
          <w:szCs w:val="18"/>
          <w:rtl/>
        </w:rPr>
        <w:t xml:space="preserve"> </w:t>
      </w:r>
      <w:r w:rsidRPr="00A8129B">
        <w:rPr>
          <w:rFonts w:cs="Arial" w:hint="cs"/>
          <w:sz w:val="18"/>
          <w:szCs w:val="18"/>
          <w:rtl/>
        </w:rPr>
        <w:t>אדמומית</w:t>
      </w:r>
      <w:r>
        <w:rPr>
          <w:sz w:val="18"/>
          <w:szCs w:val="18"/>
          <w:rtl/>
        </w:rPr>
        <w:t>"</w:t>
      </w:r>
      <w:r>
        <w:rPr>
          <w:rFonts w:hint="cs"/>
          <w:sz w:val="18"/>
          <w:szCs w:val="18"/>
          <w:rtl/>
        </w:rPr>
        <w:t>.</w:t>
      </w:r>
      <w:r w:rsidRPr="00A8129B">
        <w:rPr>
          <w:rFonts w:hint="cs"/>
          <w:sz w:val="18"/>
          <w:szCs w:val="18"/>
          <w:rtl/>
        </w:rPr>
        <w:br/>
        <w:t>באיזו תקופה החלו חכמי ישראל לטמא כל מראה הנוטה לאדום?</w:t>
      </w:r>
      <w:r w:rsidRPr="00A8129B">
        <w:rPr>
          <w:sz w:val="18"/>
          <w:szCs w:val="18"/>
          <w:rtl/>
        </w:rPr>
        <w:br/>
      </w:r>
      <w:r w:rsidRPr="00A8129B">
        <w:rPr>
          <w:rFonts w:hint="cs"/>
          <w:sz w:val="18"/>
          <w:szCs w:val="18"/>
          <w:rtl/>
        </w:rPr>
        <w:t xml:space="preserve">מדברי </w:t>
      </w:r>
      <w:r w:rsidRPr="00A8129B">
        <w:rPr>
          <w:rFonts w:hint="cs"/>
          <w:b/>
          <w:bCs/>
          <w:sz w:val="18"/>
          <w:szCs w:val="18"/>
          <w:rtl/>
        </w:rPr>
        <w:t>הפרישה</w:t>
      </w:r>
      <w:r w:rsidRPr="00A8129B">
        <w:rPr>
          <w:rFonts w:hint="cs"/>
          <w:sz w:val="18"/>
          <w:szCs w:val="18"/>
          <w:rtl/>
        </w:rPr>
        <w:t xml:space="preserve"> בסימן קפג (סקט"ז) משמע שכבר בתקופת רבי נהגו בחומרה זו.</w:t>
      </w:r>
      <w:r w:rsidRPr="00A8129B">
        <w:rPr>
          <w:sz w:val="18"/>
          <w:szCs w:val="18"/>
          <w:rtl/>
        </w:rPr>
        <w:br/>
      </w:r>
      <w:r w:rsidRPr="00A8129B">
        <w:rPr>
          <w:rFonts w:hint="cs"/>
          <w:sz w:val="18"/>
          <w:szCs w:val="18"/>
          <w:rtl/>
        </w:rPr>
        <w:t xml:space="preserve">אמנם, דעת </w:t>
      </w:r>
      <w:r w:rsidRPr="00A8129B">
        <w:rPr>
          <w:rFonts w:hint="cs"/>
          <w:b/>
          <w:bCs/>
          <w:sz w:val="18"/>
          <w:szCs w:val="18"/>
          <w:rtl/>
        </w:rPr>
        <w:t>מהרש"ם</w:t>
      </w:r>
      <w:r w:rsidRPr="00A8129B">
        <w:rPr>
          <w:rFonts w:hint="cs"/>
          <w:sz w:val="18"/>
          <w:szCs w:val="18"/>
          <w:rtl/>
        </w:rPr>
        <w:t xml:space="preserve"> היא, שחומרה זו החלה בתקופת הגאונים.</w:t>
      </w:r>
      <w:r w:rsidRPr="00A8129B">
        <w:rPr>
          <w:sz w:val="18"/>
          <w:szCs w:val="18"/>
          <w:rtl/>
        </w:rPr>
        <w:br/>
      </w:r>
      <w:r w:rsidRPr="00A8129B">
        <w:rPr>
          <w:rFonts w:hint="cs"/>
          <w:sz w:val="18"/>
          <w:szCs w:val="18"/>
          <w:rtl/>
        </w:rPr>
        <w:t>ונפק"מ בספקות, כגון שאבד העד ומסופקת אם היה נוטה לאדום, דאם זו גזירת התלמוד יש להחמיר משום שגזרו כעין דאורייתא, אך אם זו חומרת הגאונים יש להקל בספק.</w:t>
      </w:r>
    </w:p>
  </w:footnote>
  <w:footnote w:id="139">
    <w:p w:rsidR="005953C5" w:rsidRDefault="005953C5" w:rsidP="00620060">
      <w:pPr>
        <w:pStyle w:val="a3"/>
      </w:pPr>
      <w:r w:rsidRPr="00A125CD">
        <w:rPr>
          <w:rStyle w:val="a5"/>
          <w:sz w:val="18"/>
          <w:szCs w:val="18"/>
        </w:rPr>
        <w:footnoteRef/>
      </w:r>
      <w:r w:rsidRPr="00A125CD">
        <w:rPr>
          <w:sz w:val="18"/>
          <w:szCs w:val="18"/>
          <w:rtl/>
        </w:rPr>
        <w:t xml:space="preserve"> </w:t>
      </w:r>
      <w:r w:rsidRPr="00A125CD">
        <w:rPr>
          <w:rFonts w:hint="cs"/>
          <w:b/>
          <w:bCs/>
          <w:sz w:val="18"/>
          <w:szCs w:val="18"/>
          <w:rtl/>
        </w:rPr>
        <w:t>שבט הלוי</w:t>
      </w:r>
      <w:r w:rsidRPr="00A125CD">
        <w:rPr>
          <w:rFonts w:hint="cs"/>
          <w:sz w:val="18"/>
          <w:szCs w:val="18"/>
          <w:rtl/>
        </w:rPr>
        <w:t xml:space="preserve"> </w:t>
      </w:r>
      <w:r w:rsidRPr="00A125CD">
        <w:rPr>
          <w:sz w:val="18"/>
          <w:szCs w:val="18"/>
          <w:rtl/>
        </w:rPr>
        <w:t>–</w:t>
      </w:r>
      <w:r w:rsidRPr="00A125CD">
        <w:rPr>
          <w:rFonts w:hint="cs"/>
          <w:sz w:val="18"/>
          <w:szCs w:val="18"/>
          <w:rtl/>
        </w:rPr>
        <w:t xml:space="preserve"> אע"פ שהמחבר כתב רק לגבי ירוק ולבן שהם טהורים, הוא הדין לשאר מראות הדמים שאינם נוטים לאדום, וכפי שיש לדייק מריש דבריו שרק מראה אדום</w:t>
      </w:r>
      <w:r>
        <w:rPr>
          <w:rFonts w:hint="cs"/>
          <w:sz w:val="18"/>
          <w:szCs w:val="18"/>
          <w:rtl/>
        </w:rPr>
        <w:t xml:space="preserve"> </w:t>
      </w:r>
      <w:r w:rsidRPr="005C5512">
        <w:rPr>
          <w:rFonts w:hint="cs"/>
          <w:sz w:val="16"/>
          <w:szCs w:val="16"/>
          <w:rtl/>
        </w:rPr>
        <w:t xml:space="preserve">(או נוטה לאדום) </w:t>
      </w:r>
      <w:r w:rsidRPr="00A125CD">
        <w:rPr>
          <w:rFonts w:hint="cs"/>
          <w:sz w:val="18"/>
          <w:szCs w:val="18"/>
          <w:rtl/>
        </w:rPr>
        <w:t>ושחור טמאים.</w:t>
      </w:r>
    </w:p>
  </w:footnote>
  <w:footnote w:id="140">
    <w:p w:rsidR="005953C5" w:rsidRDefault="005953C5" w:rsidP="00620060">
      <w:pPr>
        <w:pStyle w:val="a3"/>
        <w:rPr>
          <w:rtl/>
        </w:rPr>
      </w:pPr>
      <w:r w:rsidRPr="000E760D">
        <w:rPr>
          <w:rStyle w:val="a5"/>
          <w:sz w:val="18"/>
          <w:szCs w:val="18"/>
        </w:rPr>
        <w:footnoteRef/>
      </w:r>
      <w:r w:rsidRPr="000E760D">
        <w:rPr>
          <w:sz w:val="18"/>
          <w:szCs w:val="18"/>
          <w:rtl/>
        </w:rPr>
        <w:t xml:space="preserve"> </w:t>
      </w:r>
      <w:r w:rsidRPr="000E760D">
        <w:rPr>
          <w:rFonts w:hint="cs"/>
          <w:b/>
          <w:bCs/>
          <w:sz w:val="18"/>
          <w:szCs w:val="18"/>
          <w:rtl/>
        </w:rPr>
        <w:t>הט"ז</w:t>
      </w:r>
      <w:r w:rsidRPr="000E760D">
        <w:rPr>
          <w:rFonts w:hint="cs"/>
          <w:sz w:val="18"/>
          <w:szCs w:val="18"/>
          <w:rtl/>
        </w:rPr>
        <w:t xml:space="preserve"> מעלה דחייה אפשרית לראיה זו </w:t>
      </w:r>
      <w:r>
        <w:rPr>
          <w:rFonts w:hint="cs"/>
          <w:sz w:val="18"/>
          <w:szCs w:val="18"/>
          <w:rtl/>
        </w:rPr>
        <w:t xml:space="preserve">אך </w:t>
      </w:r>
      <w:r w:rsidRPr="000E760D">
        <w:rPr>
          <w:rFonts w:hint="cs"/>
          <w:sz w:val="18"/>
          <w:szCs w:val="18"/>
          <w:rtl/>
        </w:rPr>
        <w:t xml:space="preserve">דוחה אותה </w:t>
      </w:r>
      <w:r w:rsidRPr="000E760D">
        <w:rPr>
          <w:sz w:val="18"/>
          <w:szCs w:val="18"/>
          <w:rtl/>
        </w:rPr>
        <w:t>–</w:t>
      </w:r>
      <w:r w:rsidRPr="000E760D">
        <w:rPr>
          <w:rFonts w:hint="cs"/>
          <w:sz w:val="18"/>
          <w:szCs w:val="18"/>
          <w:rtl/>
        </w:rPr>
        <w:t xml:space="preserve"> שמא רבי ראה את הדם בלילה רק לעניין חומרה, דהיינו שלא היה סומך על מראה הדם בעודו לח כדי לטהר אותה, אלא לטמא בלבד</w:t>
      </w:r>
      <w:r>
        <w:rPr>
          <w:rFonts w:hint="cs"/>
          <w:sz w:val="18"/>
          <w:szCs w:val="18"/>
          <w:rtl/>
        </w:rPr>
        <w:t xml:space="preserve">, </w:t>
      </w:r>
      <w:r w:rsidRPr="000E760D">
        <w:rPr>
          <w:rFonts w:hint="cs"/>
          <w:b/>
          <w:bCs/>
          <w:sz w:val="18"/>
          <w:szCs w:val="18"/>
          <w:rtl/>
        </w:rPr>
        <w:t>כב"ח</w:t>
      </w:r>
      <w:r w:rsidRPr="000E760D">
        <w:rPr>
          <w:rFonts w:hint="cs"/>
          <w:sz w:val="18"/>
          <w:szCs w:val="18"/>
          <w:rtl/>
        </w:rPr>
        <w:t>.</w:t>
      </w:r>
      <w:r w:rsidRPr="000E760D">
        <w:rPr>
          <w:sz w:val="18"/>
          <w:szCs w:val="18"/>
          <w:rtl/>
        </w:rPr>
        <w:br/>
      </w:r>
      <w:r w:rsidRPr="000E760D">
        <w:rPr>
          <w:rFonts w:hint="cs"/>
          <w:sz w:val="18"/>
          <w:szCs w:val="18"/>
          <w:rtl/>
        </w:rPr>
        <w:t xml:space="preserve">אך מדברי </w:t>
      </w:r>
      <w:r w:rsidRPr="000E760D">
        <w:rPr>
          <w:rFonts w:hint="cs"/>
          <w:b/>
          <w:bCs/>
          <w:sz w:val="18"/>
          <w:szCs w:val="18"/>
          <w:rtl/>
        </w:rPr>
        <w:t>רש"י</w:t>
      </w:r>
      <w:r w:rsidRPr="000E760D">
        <w:rPr>
          <w:rFonts w:hint="cs"/>
          <w:sz w:val="18"/>
          <w:szCs w:val="18"/>
          <w:rtl/>
        </w:rPr>
        <w:t xml:space="preserve"> מוכח להדיא לא כך, משום שרש"י מפרש שרבי ראה בלילה </w:t>
      </w:r>
      <w:r>
        <w:rPr>
          <w:rFonts w:hint="cs"/>
          <w:sz w:val="18"/>
          <w:szCs w:val="18"/>
          <w:rtl/>
        </w:rPr>
        <w:t xml:space="preserve">ואזיל </w:t>
      </w:r>
      <w:r w:rsidRPr="000E760D">
        <w:rPr>
          <w:rFonts w:hint="cs"/>
          <w:sz w:val="18"/>
          <w:szCs w:val="18"/>
          <w:rtl/>
        </w:rPr>
        <w:t xml:space="preserve">לטעמיה שמותר לבדוק לכתחילה לאור הנר, ואם מדובר בבדיקה הנעשית לחומרה בלבד לא היה צריך ר"י לפרש שרבי לטעמיה </w:t>
      </w:r>
      <w:r>
        <w:rPr>
          <w:rFonts w:hint="cs"/>
          <w:sz w:val="18"/>
          <w:szCs w:val="18"/>
          <w:rtl/>
        </w:rPr>
        <w:t>ו</w:t>
      </w:r>
      <w:r w:rsidRPr="000E760D">
        <w:rPr>
          <w:rFonts w:hint="cs"/>
          <w:sz w:val="18"/>
          <w:szCs w:val="18"/>
          <w:rtl/>
        </w:rPr>
        <w:t>מדובר בבדיקה מעלייתא</w:t>
      </w:r>
      <w:r>
        <w:rPr>
          <w:rFonts w:hint="cs"/>
          <w:sz w:val="18"/>
          <w:szCs w:val="18"/>
          <w:rtl/>
        </w:rPr>
        <w:t>.</w:t>
      </w:r>
    </w:p>
  </w:footnote>
  <w:footnote w:id="141">
    <w:p w:rsidR="005953C5" w:rsidRDefault="005953C5" w:rsidP="00620060">
      <w:pPr>
        <w:pStyle w:val="a3"/>
      </w:pPr>
      <w:r w:rsidRPr="00286665">
        <w:rPr>
          <w:rStyle w:val="a5"/>
          <w:sz w:val="18"/>
          <w:szCs w:val="18"/>
        </w:rPr>
        <w:footnoteRef/>
      </w:r>
      <w:r w:rsidRPr="00286665">
        <w:rPr>
          <w:sz w:val="18"/>
          <w:szCs w:val="18"/>
          <w:rtl/>
        </w:rPr>
        <w:t xml:space="preserve"> </w:t>
      </w:r>
      <w:r w:rsidRPr="00286665">
        <w:rPr>
          <w:rFonts w:hint="cs"/>
          <w:sz w:val="18"/>
          <w:szCs w:val="18"/>
          <w:rtl/>
        </w:rPr>
        <w:t xml:space="preserve">אמנם, </w:t>
      </w:r>
      <w:r w:rsidRPr="00286665">
        <w:rPr>
          <w:rFonts w:hint="cs"/>
          <w:b/>
          <w:bCs/>
          <w:sz w:val="18"/>
          <w:szCs w:val="18"/>
          <w:rtl/>
        </w:rPr>
        <w:t>הפת"ש</w:t>
      </w:r>
      <w:r w:rsidRPr="00286665">
        <w:rPr>
          <w:rFonts w:hint="cs"/>
          <w:sz w:val="18"/>
          <w:szCs w:val="18"/>
          <w:rtl/>
        </w:rPr>
        <w:t xml:space="preserve"> מביא את דברי </w:t>
      </w:r>
      <w:r w:rsidRPr="00286665">
        <w:rPr>
          <w:rFonts w:hint="cs"/>
          <w:b/>
          <w:bCs/>
          <w:sz w:val="18"/>
          <w:szCs w:val="18"/>
          <w:rtl/>
        </w:rPr>
        <w:t>היעב"ץ</w:t>
      </w:r>
      <w:r w:rsidRPr="00286665">
        <w:rPr>
          <w:rFonts w:hint="cs"/>
          <w:sz w:val="18"/>
          <w:szCs w:val="18"/>
          <w:rtl/>
        </w:rPr>
        <w:t xml:space="preserve"> שלא </w:t>
      </w:r>
      <w:r>
        <w:rPr>
          <w:rFonts w:hint="cs"/>
          <w:sz w:val="18"/>
          <w:szCs w:val="18"/>
          <w:rtl/>
        </w:rPr>
        <w:t>מ</w:t>
      </w:r>
      <w:r w:rsidRPr="00286665">
        <w:rPr>
          <w:rFonts w:hint="cs"/>
          <w:sz w:val="18"/>
          <w:szCs w:val="18"/>
          <w:rtl/>
        </w:rPr>
        <w:t xml:space="preserve">לאו ליבו להתיר כדברי אביו, ודעתו להחמיר שאם נראה טמא בעת שיבש </w:t>
      </w:r>
      <w:r w:rsidRPr="00286665">
        <w:rPr>
          <w:sz w:val="18"/>
          <w:szCs w:val="18"/>
          <w:rtl/>
        </w:rPr>
        <w:t>–</w:t>
      </w:r>
      <w:r w:rsidRPr="00286665">
        <w:rPr>
          <w:rFonts w:hint="cs"/>
          <w:sz w:val="18"/>
          <w:szCs w:val="18"/>
          <w:rtl/>
        </w:rPr>
        <w:t xml:space="preserve"> טמאה, ואין חשש זילותא בכך שחזר בו מהוראתו הראשונה.</w:t>
      </w:r>
    </w:p>
  </w:footnote>
  <w:footnote w:id="142">
    <w:p w:rsidR="005953C5" w:rsidRDefault="005953C5" w:rsidP="00620060">
      <w:pPr>
        <w:pStyle w:val="a3"/>
        <w:rPr>
          <w:rtl/>
        </w:rPr>
      </w:pPr>
      <w:r w:rsidRPr="00086C98">
        <w:rPr>
          <w:rStyle w:val="a5"/>
          <w:sz w:val="18"/>
          <w:szCs w:val="18"/>
        </w:rPr>
        <w:footnoteRef/>
      </w:r>
      <w:r w:rsidRPr="00086C98">
        <w:rPr>
          <w:sz w:val="18"/>
          <w:szCs w:val="18"/>
          <w:rtl/>
        </w:rPr>
        <w:t xml:space="preserve"> </w:t>
      </w:r>
      <w:r w:rsidRPr="00086C98">
        <w:rPr>
          <w:rFonts w:hint="cs"/>
          <w:sz w:val="18"/>
          <w:szCs w:val="18"/>
          <w:rtl/>
        </w:rPr>
        <w:t>עוד האריך לדון שם האם אשה שהביאה כתם לפני חכם ומראהו טמא, נאמנת לומר שמעיקרא טהור היה? ו</w:t>
      </w:r>
      <w:r>
        <w:rPr>
          <w:rFonts w:hint="cs"/>
          <w:sz w:val="18"/>
          <w:szCs w:val="18"/>
          <w:rtl/>
        </w:rPr>
        <w:t>למסקנה</w:t>
      </w:r>
      <w:r w:rsidRPr="00086C98">
        <w:rPr>
          <w:rFonts w:hint="cs"/>
          <w:sz w:val="18"/>
          <w:szCs w:val="18"/>
          <w:rtl/>
        </w:rPr>
        <w:t xml:space="preserve"> הקל. תורף הדיון כך </w:t>
      </w:r>
      <w:r w:rsidRPr="00086C98">
        <w:rPr>
          <w:sz w:val="18"/>
          <w:szCs w:val="18"/>
          <w:rtl/>
        </w:rPr>
        <w:t>–</w:t>
      </w:r>
      <w:r w:rsidRPr="00086C98">
        <w:rPr>
          <w:rFonts w:hint="cs"/>
          <w:sz w:val="18"/>
          <w:szCs w:val="18"/>
          <w:rtl/>
        </w:rPr>
        <w:t xml:space="preserve"> עד אחד נאמן באיסורים אך לא במקום שיש חזקת איסור. מכיוון שרוב עדיף מחזקה, ומכיוון שרוב מראות </w:t>
      </w:r>
      <w:r w:rsidRPr="00334D72">
        <w:rPr>
          <w:rFonts w:hint="cs"/>
          <w:sz w:val="18"/>
          <w:szCs w:val="18"/>
          <w:rtl/>
        </w:rPr>
        <w:t>הדמים אינם משתנים, לכאורה אינה נאמנת להעיד שטהור היה מעיקרא שהרי היא עד אחד שמעיד כנגד רוב! ואולם</w:t>
      </w:r>
      <w:r>
        <w:rPr>
          <w:rFonts w:hint="cs"/>
          <w:rtl/>
        </w:rPr>
        <w:t xml:space="preserve"> </w:t>
      </w:r>
      <w:r w:rsidRPr="00334D72">
        <w:rPr>
          <w:rFonts w:hint="cs"/>
          <w:sz w:val="18"/>
          <w:szCs w:val="18"/>
          <w:rtl/>
        </w:rPr>
        <w:t>למעשה פסק להקל ע"פ הבנה שונה בדין חזקה ורוב, עיי"ש באורך.</w:t>
      </w:r>
    </w:p>
  </w:footnote>
  <w:footnote w:id="143">
    <w:p w:rsidR="005953C5" w:rsidRDefault="005953C5" w:rsidP="00620060">
      <w:pPr>
        <w:pStyle w:val="a3"/>
        <w:rPr>
          <w:rtl/>
        </w:rPr>
      </w:pPr>
      <w:r w:rsidRPr="00F77750">
        <w:rPr>
          <w:rStyle w:val="a5"/>
          <w:sz w:val="18"/>
          <w:szCs w:val="18"/>
        </w:rPr>
        <w:footnoteRef/>
      </w:r>
      <w:r w:rsidRPr="00F77750">
        <w:rPr>
          <w:sz w:val="18"/>
          <w:szCs w:val="18"/>
          <w:rtl/>
        </w:rPr>
        <w:t xml:space="preserve"> </w:t>
      </w:r>
      <w:r w:rsidRPr="00DF52F0">
        <w:rPr>
          <w:rFonts w:hint="cs"/>
          <w:b/>
          <w:bCs/>
          <w:sz w:val="18"/>
          <w:szCs w:val="18"/>
          <w:rtl/>
        </w:rPr>
        <w:t>שו"ע</w:t>
      </w:r>
      <w:r w:rsidRPr="00F77750">
        <w:rPr>
          <w:rFonts w:hint="cs"/>
          <w:sz w:val="18"/>
          <w:szCs w:val="18"/>
          <w:rtl/>
        </w:rPr>
        <w:t xml:space="preserve"> </w:t>
      </w:r>
      <w:r w:rsidRPr="00F77750">
        <w:rPr>
          <w:rFonts w:hint="cs"/>
          <w:sz w:val="16"/>
          <w:szCs w:val="16"/>
          <w:rtl/>
        </w:rPr>
        <w:t>(קצ, א)</w:t>
      </w:r>
      <w:r w:rsidRPr="00F77750">
        <w:rPr>
          <w:rFonts w:hint="cs"/>
          <w:sz w:val="18"/>
          <w:szCs w:val="18"/>
          <w:rtl/>
        </w:rPr>
        <w:t xml:space="preserve"> "</w:t>
      </w:r>
      <w:r w:rsidRPr="00F77750">
        <w:rPr>
          <w:rFonts w:cs="Arial"/>
          <w:sz w:val="18"/>
          <w:szCs w:val="18"/>
          <w:rtl/>
        </w:rPr>
        <w:t>ואם הרגישה שנפתח מקורה להוציא דם ובדקה אחר כך ולא מצאה כלום, יש מי שאומר שהיא טמאה</w:t>
      </w:r>
      <w:r w:rsidRPr="00F77750">
        <w:rPr>
          <w:rFonts w:cs="Arial" w:hint="cs"/>
          <w:sz w:val="18"/>
          <w:szCs w:val="18"/>
          <w:rtl/>
        </w:rPr>
        <w:t>".</w:t>
      </w:r>
    </w:p>
  </w:footnote>
  <w:footnote w:id="144">
    <w:p w:rsidR="005953C5" w:rsidRDefault="005953C5" w:rsidP="00620060">
      <w:pPr>
        <w:pStyle w:val="a3"/>
        <w:rPr>
          <w:rtl/>
        </w:rPr>
      </w:pPr>
      <w:r>
        <w:rPr>
          <w:rStyle w:val="a5"/>
        </w:rPr>
        <w:footnoteRef/>
      </w:r>
      <w:r>
        <w:rPr>
          <w:rtl/>
        </w:rPr>
        <w:t xml:space="preserve"> </w:t>
      </w:r>
      <w:r w:rsidRPr="00334D72">
        <w:rPr>
          <w:rFonts w:hint="cs"/>
          <w:sz w:val="18"/>
          <w:szCs w:val="18"/>
          <w:rtl/>
        </w:rPr>
        <w:t xml:space="preserve">ולאידך גיסא </w:t>
      </w:r>
      <w:r w:rsidRPr="00334D72">
        <w:rPr>
          <w:sz w:val="18"/>
          <w:szCs w:val="18"/>
          <w:rtl/>
        </w:rPr>
        <w:t>–</w:t>
      </w:r>
      <w:r w:rsidRPr="00334D72">
        <w:rPr>
          <w:rFonts w:hint="cs"/>
          <w:sz w:val="18"/>
          <w:szCs w:val="18"/>
          <w:rtl/>
        </w:rPr>
        <w:t xml:space="preserve"> מראה שבא לפני ה</w:t>
      </w:r>
      <w:r>
        <w:rPr>
          <w:rFonts w:hint="cs"/>
          <w:sz w:val="18"/>
          <w:szCs w:val="18"/>
          <w:rtl/>
        </w:rPr>
        <w:t>ח</w:t>
      </w:r>
      <w:r w:rsidRPr="00334D72">
        <w:rPr>
          <w:rFonts w:hint="cs"/>
          <w:sz w:val="18"/>
          <w:szCs w:val="18"/>
          <w:rtl/>
        </w:rPr>
        <w:t xml:space="preserve">כם ונראה טהור, אך האשה טוענת שבשעת יציאתו מגופה היה אדום וטמא </w:t>
      </w:r>
      <w:r w:rsidRPr="00334D72">
        <w:rPr>
          <w:sz w:val="18"/>
          <w:szCs w:val="18"/>
          <w:rtl/>
        </w:rPr>
        <w:t>–</w:t>
      </w:r>
      <w:r w:rsidRPr="00334D72">
        <w:rPr>
          <w:rFonts w:hint="cs"/>
          <w:sz w:val="18"/>
          <w:szCs w:val="18"/>
          <w:rtl/>
        </w:rPr>
        <w:t xml:space="preserve"> טמאה. אלא, שיש לחכם לחקור היטב את האשה, ורק אם היא בטוחה לגמרי שבשעת יציאתו מגופה נראה אדום </w:t>
      </w:r>
      <w:r w:rsidRPr="00334D72">
        <w:rPr>
          <w:sz w:val="18"/>
          <w:szCs w:val="18"/>
          <w:rtl/>
        </w:rPr>
        <w:t>–</w:t>
      </w:r>
      <w:r w:rsidRPr="00334D72">
        <w:rPr>
          <w:rFonts w:hint="cs"/>
          <w:sz w:val="18"/>
          <w:szCs w:val="18"/>
          <w:rtl/>
        </w:rPr>
        <w:t xml:space="preserve"> טמאה.</w:t>
      </w:r>
      <w:r>
        <w:rPr>
          <w:rFonts w:hint="cs"/>
          <w:rtl/>
        </w:rPr>
        <w:br/>
      </w:r>
      <w:r w:rsidRPr="000E047F">
        <w:rPr>
          <w:rFonts w:hint="cs"/>
          <w:sz w:val="18"/>
          <w:szCs w:val="18"/>
          <w:rtl/>
        </w:rPr>
        <w:t>ונראה שכלל דינים אלו נלמד מהגמרא בנידה (כ:) "</w:t>
      </w:r>
      <w:r w:rsidRPr="000E047F">
        <w:rPr>
          <w:rFonts w:cs="Arial" w:hint="cs"/>
          <w:sz w:val="18"/>
          <w:szCs w:val="18"/>
          <w:rtl/>
        </w:rPr>
        <w:t>רבי</w:t>
      </w:r>
      <w:r w:rsidRPr="000E047F">
        <w:rPr>
          <w:rFonts w:cs="Arial"/>
          <w:sz w:val="18"/>
          <w:szCs w:val="18"/>
          <w:rtl/>
        </w:rPr>
        <w:t xml:space="preserve"> </w:t>
      </w:r>
      <w:r w:rsidRPr="000E047F">
        <w:rPr>
          <w:rFonts w:cs="Arial" w:hint="cs"/>
          <w:sz w:val="18"/>
          <w:szCs w:val="18"/>
          <w:rtl/>
        </w:rPr>
        <w:t>ראה</w:t>
      </w:r>
      <w:r w:rsidRPr="000E047F">
        <w:rPr>
          <w:rFonts w:cs="Arial"/>
          <w:sz w:val="18"/>
          <w:szCs w:val="18"/>
          <w:rtl/>
        </w:rPr>
        <w:t xml:space="preserve"> </w:t>
      </w:r>
      <w:r w:rsidRPr="000E047F">
        <w:rPr>
          <w:rFonts w:cs="Arial" w:hint="cs"/>
          <w:sz w:val="18"/>
          <w:szCs w:val="18"/>
          <w:rtl/>
        </w:rPr>
        <w:t>דם</w:t>
      </w:r>
      <w:r w:rsidRPr="000E047F">
        <w:rPr>
          <w:rFonts w:cs="Arial"/>
          <w:sz w:val="18"/>
          <w:szCs w:val="18"/>
          <w:rtl/>
        </w:rPr>
        <w:t xml:space="preserve"> </w:t>
      </w:r>
      <w:r w:rsidRPr="000E047F">
        <w:rPr>
          <w:rFonts w:cs="Arial" w:hint="cs"/>
          <w:sz w:val="18"/>
          <w:szCs w:val="18"/>
          <w:rtl/>
        </w:rPr>
        <w:t>בלילה</w:t>
      </w:r>
      <w:r w:rsidRPr="000E047F">
        <w:rPr>
          <w:rFonts w:cs="Arial"/>
          <w:sz w:val="18"/>
          <w:szCs w:val="18"/>
          <w:rtl/>
        </w:rPr>
        <w:t xml:space="preserve"> - </w:t>
      </w:r>
      <w:r w:rsidRPr="000E047F">
        <w:rPr>
          <w:rFonts w:cs="Arial" w:hint="cs"/>
          <w:sz w:val="18"/>
          <w:szCs w:val="18"/>
          <w:rtl/>
        </w:rPr>
        <w:t>וטימא</w:t>
      </w:r>
      <w:r w:rsidRPr="000E047F">
        <w:rPr>
          <w:rFonts w:cs="Arial"/>
          <w:sz w:val="18"/>
          <w:szCs w:val="18"/>
          <w:rtl/>
        </w:rPr>
        <w:t xml:space="preserve">, </w:t>
      </w:r>
      <w:r w:rsidRPr="000E047F">
        <w:rPr>
          <w:rFonts w:cs="Arial" w:hint="cs"/>
          <w:sz w:val="18"/>
          <w:szCs w:val="18"/>
          <w:rtl/>
        </w:rPr>
        <w:t>ראה</w:t>
      </w:r>
      <w:r w:rsidRPr="000E047F">
        <w:rPr>
          <w:rFonts w:cs="Arial"/>
          <w:sz w:val="18"/>
          <w:szCs w:val="18"/>
          <w:rtl/>
        </w:rPr>
        <w:t xml:space="preserve"> </w:t>
      </w:r>
      <w:r w:rsidRPr="000E047F">
        <w:rPr>
          <w:rFonts w:cs="Arial" w:hint="cs"/>
          <w:sz w:val="18"/>
          <w:szCs w:val="18"/>
          <w:rtl/>
        </w:rPr>
        <w:t>ביום</w:t>
      </w:r>
      <w:r w:rsidRPr="000E047F">
        <w:rPr>
          <w:rFonts w:cs="Arial"/>
          <w:sz w:val="18"/>
          <w:szCs w:val="18"/>
          <w:rtl/>
        </w:rPr>
        <w:t xml:space="preserve"> - </w:t>
      </w:r>
      <w:r w:rsidRPr="000E047F">
        <w:rPr>
          <w:rFonts w:cs="Arial" w:hint="cs"/>
          <w:sz w:val="18"/>
          <w:szCs w:val="18"/>
          <w:rtl/>
        </w:rPr>
        <w:t>וטיהר</w:t>
      </w:r>
      <w:r w:rsidRPr="000E047F">
        <w:rPr>
          <w:rFonts w:cs="Arial"/>
          <w:sz w:val="18"/>
          <w:szCs w:val="18"/>
          <w:rtl/>
        </w:rPr>
        <w:t xml:space="preserve">, </w:t>
      </w:r>
      <w:r w:rsidRPr="000E047F">
        <w:rPr>
          <w:rFonts w:cs="Arial" w:hint="cs"/>
          <w:sz w:val="18"/>
          <w:szCs w:val="18"/>
          <w:rtl/>
        </w:rPr>
        <w:t>המתין</w:t>
      </w:r>
      <w:r w:rsidRPr="000E047F">
        <w:rPr>
          <w:rFonts w:cs="Arial"/>
          <w:sz w:val="18"/>
          <w:szCs w:val="18"/>
          <w:rtl/>
        </w:rPr>
        <w:t xml:space="preserve"> </w:t>
      </w:r>
      <w:r w:rsidRPr="000E047F">
        <w:rPr>
          <w:rFonts w:cs="Arial" w:hint="cs"/>
          <w:sz w:val="18"/>
          <w:szCs w:val="18"/>
          <w:rtl/>
        </w:rPr>
        <w:t>שעה</w:t>
      </w:r>
      <w:r w:rsidRPr="000E047F">
        <w:rPr>
          <w:rFonts w:cs="Arial"/>
          <w:sz w:val="18"/>
          <w:szCs w:val="18"/>
          <w:rtl/>
        </w:rPr>
        <w:t xml:space="preserve"> </w:t>
      </w:r>
      <w:r w:rsidRPr="000E047F">
        <w:rPr>
          <w:rFonts w:cs="Arial" w:hint="cs"/>
          <w:sz w:val="18"/>
          <w:szCs w:val="18"/>
          <w:rtl/>
        </w:rPr>
        <w:t>אחת</w:t>
      </w:r>
      <w:r w:rsidRPr="000E047F">
        <w:rPr>
          <w:rFonts w:cs="Arial"/>
          <w:sz w:val="18"/>
          <w:szCs w:val="18"/>
          <w:rtl/>
        </w:rPr>
        <w:t xml:space="preserve"> - </w:t>
      </w:r>
      <w:r w:rsidRPr="000E047F">
        <w:rPr>
          <w:rFonts w:cs="Arial" w:hint="cs"/>
          <w:sz w:val="18"/>
          <w:szCs w:val="18"/>
          <w:rtl/>
        </w:rPr>
        <w:t>חזר</w:t>
      </w:r>
      <w:r w:rsidRPr="000E047F">
        <w:rPr>
          <w:rFonts w:cs="Arial"/>
          <w:sz w:val="18"/>
          <w:szCs w:val="18"/>
          <w:rtl/>
        </w:rPr>
        <w:t xml:space="preserve"> </w:t>
      </w:r>
      <w:r w:rsidRPr="000E047F">
        <w:rPr>
          <w:rFonts w:cs="Arial" w:hint="cs"/>
          <w:sz w:val="18"/>
          <w:szCs w:val="18"/>
          <w:rtl/>
        </w:rPr>
        <w:t>וטימא</w:t>
      </w:r>
      <w:r w:rsidRPr="000E047F">
        <w:rPr>
          <w:rFonts w:cs="Arial"/>
          <w:sz w:val="18"/>
          <w:szCs w:val="18"/>
          <w:rtl/>
        </w:rPr>
        <w:t xml:space="preserve">, </w:t>
      </w:r>
      <w:r w:rsidRPr="000E047F">
        <w:rPr>
          <w:rFonts w:cs="Arial" w:hint="cs"/>
          <w:sz w:val="18"/>
          <w:szCs w:val="18"/>
          <w:rtl/>
        </w:rPr>
        <w:t>אמר</w:t>
      </w:r>
      <w:r w:rsidRPr="000E047F">
        <w:rPr>
          <w:rFonts w:cs="Arial"/>
          <w:sz w:val="18"/>
          <w:szCs w:val="18"/>
          <w:rtl/>
        </w:rPr>
        <w:t xml:space="preserve">: </w:t>
      </w:r>
      <w:r w:rsidRPr="000E047F">
        <w:rPr>
          <w:rFonts w:cs="Arial" w:hint="cs"/>
          <w:sz w:val="18"/>
          <w:szCs w:val="18"/>
          <w:rtl/>
        </w:rPr>
        <w:t>אוי</w:t>
      </w:r>
      <w:r w:rsidRPr="000E047F">
        <w:rPr>
          <w:rFonts w:cs="Arial"/>
          <w:sz w:val="18"/>
          <w:szCs w:val="18"/>
          <w:rtl/>
        </w:rPr>
        <w:t xml:space="preserve"> </w:t>
      </w:r>
      <w:r w:rsidRPr="000E047F">
        <w:rPr>
          <w:rFonts w:cs="Arial" w:hint="cs"/>
          <w:sz w:val="18"/>
          <w:szCs w:val="18"/>
          <w:rtl/>
        </w:rPr>
        <w:t>לי</w:t>
      </w:r>
      <w:r w:rsidRPr="000E047F">
        <w:rPr>
          <w:rFonts w:cs="Arial"/>
          <w:sz w:val="18"/>
          <w:szCs w:val="18"/>
          <w:rtl/>
        </w:rPr>
        <w:t xml:space="preserve"> </w:t>
      </w:r>
      <w:r w:rsidRPr="000E047F">
        <w:rPr>
          <w:rFonts w:cs="Arial" w:hint="cs"/>
          <w:sz w:val="18"/>
          <w:szCs w:val="18"/>
          <w:rtl/>
        </w:rPr>
        <w:t>שמא</w:t>
      </w:r>
      <w:r w:rsidRPr="000E047F">
        <w:rPr>
          <w:rFonts w:cs="Arial"/>
          <w:sz w:val="18"/>
          <w:szCs w:val="18"/>
          <w:rtl/>
        </w:rPr>
        <w:t xml:space="preserve"> </w:t>
      </w:r>
      <w:r w:rsidRPr="000E047F">
        <w:rPr>
          <w:rFonts w:cs="Arial" w:hint="cs"/>
          <w:sz w:val="18"/>
          <w:szCs w:val="18"/>
          <w:rtl/>
        </w:rPr>
        <w:t>טעיתי</w:t>
      </w:r>
      <w:r w:rsidRPr="000E047F">
        <w:rPr>
          <w:rFonts w:cs="Arial"/>
          <w:sz w:val="18"/>
          <w:szCs w:val="18"/>
          <w:rtl/>
        </w:rPr>
        <w:t xml:space="preserve">! </w:t>
      </w:r>
      <w:r w:rsidRPr="000E047F">
        <w:rPr>
          <w:rFonts w:cs="Arial" w:hint="cs"/>
          <w:sz w:val="18"/>
          <w:szCs w:val="18"/>
          <w:rtl/>
        </w:rPr>
        <w:t>שמא</w:t>
      </w:r>
      <w:r w:rsidRPr="000E047F">
        <w:rPr>
          <w:rFonts w:cs="Arial"/>
          <w:sz w:val="18"/>
          <w:szCs w:val="18"/>
          <w:rtl/>
        </w:rPr>
        <w:t xml:space="preserve"> </w:t>
      </w:r>
      <w:r w:rsidRPr="000E047F">
        <w:rPr>
          <w:rFonts w:cs="Arial" w:hint="cs"/>
          <w:sz w:val="18"/>
          <w:szCs w:val="18"/>
          <w:rtl/>
        </w:rPr>
        <w:t>טעיתי</w:t>
      </w:r>
      <w:r w:rsidRPr="000E047F">
        <w:rPr>
          <w:rFonts w:cs="Arial"/>
          <w:sz w:val="18"/>
          <w:szCs w:val="18"/>
          <w:rtl/>
        </w:rPr>
        <w:t xml:space="preserve">? </w:t>
      </w:r>
      <w:r w:rsidRPr="000E047F">
        <w:rPr>
          <w:rFonts w:cs="Arial" w:hint="cs"/>
          <w:sz w:val="18"/>
          <w:szCs w:val="18"/>
          <w:rtl/>
        </w:rPr>
        <w:t>ודאי</w:t>
      </w:r>
      <w:r w:rsidRPr="000E047F">
        <w:rPr>
          <w:rFonts w:cs="Arial"/>
          <w:sz w:val="18"/>
          <w:szCs w:val="18"/>
          <w:rtl/>
        </w:rPr>
        <w:t xml:space="preserve"> </w:t>
      </w:r>
      <w:r w:rsidRPr="000E047F">
        <w:rPr>
          <w:rFonts w:cs="Arial" w:hint="cs"/>
          <w:sz w:val="18"/>
          <w:szCs w:val="18"/>
          <w:rtl/>
        </w:rPr>
        <w:t>טעה</w:t>
      </w:r>
      <w:r w:rsidRPr="000E047F">
        <w:rPr>
          <w:rFonts w:cs="Arial"/>
          <w:sz w:val="18"/>
          <w:szCs w:val="18"/>
          <w:rtl/>
        </w:rPr>
        <w:t xml:space="preserve">! </w:t>
      </w:r>
      <w:r w:rsidRPr="000E047F">
        <w:rPr>
          <w:rFonts w:cs="Arial" w:hint="cs"/>
          <w:sz w:val="18"/>
          <w:szCs w:val="18"/>
          <w:rtl/>
        </w:rPr>
        <w:t>דתניא</w:t>
      </w:r>
      <w:r w:rsidRPr="000E047F">
        <w:rPr>
          <w:rFonts w:cs="Arial"/>
          <w:sz w:val="18"/>
          <w:szCs w:val="18"/>
          <w:rtl/>
        </w:rPr>
        <w:t xml:space="preserve">: </w:t>
      </w:r>
      <w:r w:rsidRPr="000E047F">
        <w:rPr>
          <w:rFonts w:cs="Arial" w:hint="cs"/>
          <w:sz w:val="18"/>
          <w:szCs w:val="18"/>
          <w:rtl/>
        </w:rPr>
        <w:t>לא</w:t>
      </w:r>
      <w:r w:rsidRPr="000E047F">
        <w:rPr>
          <w:rFonts w:cs="Arial"/>
          <w:sz w:val="18"/>
          <w:szCs w:val="18"/>
          <w:rtl/>
        </w:rPr>
        <w:t xml:space="preserve"> </w:t>
      </w:r>
      <w:r w:rsidRPr="000E047F">
        <w:rPr>
          <w:rFonts w:cs="Arial" w:hint="cs"/>
          <w:sz w:val="18"/>
          <w:szCs w:val="18"/>
          <w:rtl/>
        </w:rPr>
        <w:t>יאמר</w:t>
      </w:r>
      <w:r w:rsidRPr="000E047F">
        <w:rPr>
          <w:rFonts w:cs="Arial"/>
          <w:sz w:val="18"/>
          <w:szCs w:val="18"/>
          <w:rtl/>
        </w:rPr>
        <w:t xml:space="preserve"> </w:t>
      </w:r>
      <w:r w:rsidRPr="000E047F">
        <w:rPr>
          <w:rFonts w:cs="Arial" w:hint="cs"/>
          <w:sz w:val="18"/>
          <w:szCs w:val="18"/>
          <w:rtl/>
        </w:rPr>
        <w:t>חכם</w:t>
      </w:r>
      <w:r w:rsidRPr="000E047F">
        <w:rPr>
          <w:rFonts w:cs="Arial"/>
          <w:sz w:val="18"/>
          <w:szCs w:val="18"/>
          <w:rtl/>
        </w:rPr>
        <w:t xml:space="preserve"> </w:t>
      </w:r>
      <w:r w:rsidRPr="000E047F">
        <w:rPr>
          <w:rFonts w:cs="Arial" w:hint="cs"/>
          <w:sz w:val="18"/>
          <w:szCs w:val="18"/>
          <w:rtl/>
        </w:rPr>
        <w:t>אילו</w:t>
      </w:r>
      <w:r w:rsidRPr="000E047F">
        <w:rPr>
          <w:rFonts w:cs="Arial"/>
          <w:sz w:val="18"/>
          <w:szCs w:val="18"/>
          <w:rtl/>
        </w:rPr>
        <w:t xml:space="preserve"> </w:t>
      </w:r>
      <w:r w:rsidRPr="000E047F">
        <w:rPr>
          <w:rFonts w:cs="Arial" w:hint="cs"/>
          <w:sz w:val="18"/>
          <w:szCs w:val="18"/>
          <w:rtl/>
        </w:rPr>
        <w:t>היה</w:t>
      </w:r>
      <w:r w:rsidRPr="000E047F">
        <w:rPr>
          <w:rFonts w:cs="Arial"/>
          <w:sz w:val="18"/>
          <w:szCs w:val="18"/>
          <w:rtl/>
        </w:rPr>
        <w:t xml:space="preserve"> </w:t>
      </w:r>
      <w:r w:rsidRPr="000E047F">
        <w:rPr>
          <w:rFonts w:cs="Arial" w:hint="cs"/>
          <w:sz w:val="18"/>
          <w:szCs w:val="18"/>
          <w:rtl/>
        </w:rPr>
        <w:t>לח</w:t>
      </w:r>
      <w:r w:rsidRPr="000E047F">
        <w:rPr>
          <w:rFonts w:cs="Arial"/>
          <w:sz w:val="18"/>
          <w:szCs w:val="18"/>
          <w:rtl/>
        </w:rPr>
        <w:t xml:space="preserve"> </w:t>
      </w:r>
      <w:r w:rsidRPr="000E047F">
        <w:rPr>
          <w:rFonts w:cs="Arial" w:hint="cs"/>
          <w:sz w:val="18"/>
          <w:szCs w:val="18"/>
          <w:rtl/>
        </w:rPr>
        <w:t>היה</w:t>
      </w:r>
      <w:r w:rsidRPr="000E047F">
        <w:rPr>
          <w:rFonts w:cs="Arial"/>
          <w:sz w:val="18"/>
          <w:szCs w:val="18"/>
          <w:rtl/>
        </w:rPr>
        <w:t xml:space="preserve"> </w:t>
      </w:r>
      <w:r w:rsidRPr="000E047F">
        <w:rPr>
          <w:rFonts w:cs="Arial" w:hint="cs"/>
          <w:sz w:val="18"/>
          <w:szCs w:val="18"/>
          <w:rtl/>
        </w:rPr>
        <w:t>ודאי</w:t>
      </w:r>
      <w:r w:rsidRPr="000E047F">
        <w:rPr>
          <w:rFonts w:cs="Arial"/>
          <w:sz w:val="18"/>
          <w:szCs w:val="18"/>
          <w:rtl/>
        </w:rPr>
        <w:t xml:space="preserve"> </w:t>
      </w:r>
      <w:r w:rsidRPr="000E047F">
        <w:rPr>
          <w:rFonts w:cs="Arial" w:hint="cs"/>
          <w:sz w:val="18"/>
          <w:szCs w:val="18"/>
          <w:rtl/>
        </w:rPr>
        <w:t>טמא</w:t>
      </w:r>
      <w:r w:rsidRPr="000E047F">
        <w:rPr>
          <w:rFonts w:cs="Arial"/>
          <w:sz w:val="18"/>
          <w:szCs w:val="18"/>
          <w:rtl/>
        </w:rPr>
        <w:t xml:space="preserve">, </w:t>
      </w:r>
      <w:r w:rsidRPr="000E047F">
        <w:rPr>
          <w:rFonts w:cs="Arial" w:hint="cs"/>
          <w:sz w:val="18"/>
          <w:szCs w:val="18"/>
          <w:rtl/>
        </w:rPr>
        <w:t>אלא</w:t>
      </w:r>
      <w:r w:rsidRPr="000E047F">
        <w:rPr>
          <w:rFonts w:cs="Arial"/>
          <w:sz w:val="18"/>
          <w:szCs w:val="18"/>
          <w:rtl/>
        </w:rPr>
        <w:t xml:space="preserve"> </w:t>
      </w:r>
      <w:r w:rsidRPr="000E047F">
        <w:rPr>
          <w:rFonts w:cs="Arial" w:hint="cs"/>
          <w:sz w:val="18"/>
          <w:szCs w:val="18"/>
          <w:rtl/>
        </w:rPr>
        <w:t>אמרו</w:t>
      </w:r>
      <w:r w:rsidRPr="000E047F">
        <w:rPr>
          <w:rFonts w:cs="Arial"/>
          <w:sz w:val="18"/>
          <w:szCs w:val="18"/>
          <w:rtl/>
        </w:rPr>
        <w:t xml:space="preserve"> </w:t>
      </w:r>
      <w:r w:rsidRPr="000E047F">
        <w:rPr>
          <w:rFonts w:cs="Arial" w:hint="cs"/>
          <w:sz w:val="18"/>
          <w:szCs w:val="18"/>
          <w:rtl/>
        </w:rPr>
        <w:t>אין</w:t>
      </w:r>
      <w:r w:rsidRPr="000E047F">
        <w:rPr>
          <w:rFonts w:cs="Arial"/>
          <w:sz w:val="18"/>
          <w:szCs w:val="18"/>
          <w:rtl/>
        </w:rPr>
        <w:t xml:space="preserve"> </w:t>
      </w:r>
      <w:r w:rsidRPr="000E047F">
        <w:rPr>
          <w:rFonts w:cs="Arial" w:hint="cs"/>
          <w:sz w:val="18"/>
          <w:szCs w:val="18"/>
          <w:rtl/>
        </w:rPr>
        <w:t>לו</w:t>
      </w:r>
      <w:r w:rsidRPr="000E047F">
        <w:rPr>
          <w:rFonts w:cs="Arial"/>
          <w:sz w:val="18"/>
          <w:szCs w:val="18"/>
          <w:rtl/>
        </w:rPr>
        <w:t xml:space="preserve"> </w:t>
      </w:r>
      <w:r w:rsidRPr="000E047F">
        <w:rPr>
          <w:rFonts w:cs="Arial" w:hint="cs"/>
          <w:sz w:val="18"/>
          <w:szCs w:val="18"/>
          <w:rtl/>
        </w:rPr>
        <w:t>לדיין</w:t>
      </w:r>
      <w:r w:rsidRPr="000E047F">
        <w:rPr>
          <w:rFonts w:cs="Arial"/>
          <w:sz w:val="18"/>
          <w:szCs w:val="18"/>
          <w:rtl/>
        </w:rPr>
        <w:t xml:space="preserve"> </w:t>
      </w:r>
      <w:r w:rsidRPr="000E047F">
        <w:rPr>
          <w:rFonts w:cs="Arial" w:hint="cs"/>
          <w:sz w:val="18"/>
          <w:szCs w:val="18"/>
          <w:rtl/>
        </w:rPr>
        <w:t>אלא</w:t>
      </w:r>
      <w:r w:rsidRPr="000E047F">
        <w:rPr>
          <w:rFonts w:cs="Arial"/>
          <w:sz w:val="18"/>
          <w:szCs w:val="18"/>
          <w:rtl/>
        </w:rPr>
        <w:t xml:space="preserve"> </w:t>
      </w:r>
      <w:r w:rsidRPr="000E047F">
        <w:rPr>
          <w:rFonts w:cs="Arial" w:hint="cs"/>
          <w:sz w:val="18"/>
          <w:szCs w:val="18"/>
          <w:rtl/>
        </w:rPr>
        <w:t>מה</w:t>
      </w:r>
      <w:r w:rsidRPr="000E047F">
        <w:rPr>
          <w:rFonts w:cs="Arial"/>
          <w:sz w:val="18"/>
          <w:szCs w:val="18"/>
          <w:rtl/>
        </w:rPr>
        <w:t xml:space="preserve"> </w:t>
      </w:r>
      <w:r w:rsidRPr="000E047F">
        <w:rPr>
          <w:rFonts w:cs="Arial" w:hint="cs"/>
          <w:sz w:val="18"/>
          <w:szCs w:val="18"/>
          <w:rtl/>
        </w:rPr>
        <w:t>שעיניו</w:t>
      </w:r>
      <w:r w:rsidRPr="000E047F">
        <w:rPr>
          <w:rFonts w:cs="Arial"/>
          <w:sz w:val="18"/>
          <w:szCs w:val="18"/>
          <w:rtl/>
        </w:rPr>
        <w:t xml:space="preserve"> </w:t>
      </w:r>
      <w:r w:rsidRPr="000E047F">
        <w:rPr>
          <w:rFonts w:cs="Arial" w:hint="cs"/>
          <w:sz w:val="18"/>
          <w:szCs w:val="18"/>
          <w:rtl/>
        </w:rPr>
        <w:t>רואות!</w:t>
      </w:r>
      <w:r w:rsidRPr="000E047F">
        <w:rPr>
          <w:rFonts w:cs="Arial"/>
          <w:sz w:val="18"/>
          <w:szCs w:val="18"/>
          <w:rtl/>
        </w:rPr>
        <w:t xml:space="preserve"> </w:t>
      </w:r>
      <w:r w:rsidRPr="000E047F">
        <w:rPr>
          <w:rFonts w:cs="Arial" w:hint="cs"/>
          <w:sz w:val="18"/>
          <w:szCs w:val="18"/>
          <w:rtl/>
        </w:rPr>
        <w:t>מעיקרא</w:t>
      </w:r>
      <w:r w:rsidRPr="000E047F">
        <w:rPr>
          <w:rFonts w:cs="Arial"/>
          <w:sz w:val="18"/>
          <w:szCs w:val="18"/>
          <w:rtl/>
        </w:rPr>
        <w:t xml:space="preserve"> </w:t>
      </w:r>
      <w:r w:rsidRPr="000E047F">
        <w:rPr>
          <w:rFonts w:cs="Arial" w:hint="cs"/>
          <w:sz w:val="18"/>
          <w:szCs w:val="18"/>
          <w:rtl/>
        </w:rPr>
        <w:t>אחזקיה</w:t>
      </w:r>
      <w:r w:rsidRPr="000E047F">
        <w:rPr>
          <w:rFonts w:cs="Arial"/>
          <w:sz w:val="18"/>
          <w:szCs w:val="18"/>
          <w:rtl/>
        </w:rPr>
        <w:t xml:space="preserve"> </w:t>
      </w:r>
      <w:r w:rsidRPr="000E047F">
        <w:rPr>
          <w:rFonts w:cs="Arial" w:hint="cs"/>
          <w:sz w:val="18"/>
          <w:szCs w:val="18"/>
          <w:rtl/>
        </w:rPr>
        <w:t>בטמא</w:t>
      </w:r>
      <w:r w:rsidRPr="000E047F">
        <w:rPr>
          <w:rFonts w:cs="Arial"/>
          <w:sz w:val="18"/>
          <w:szCs w:val="18"/>
          <w:rtl/>
        </w:rPr>
        <w:t xml:space="preserve"> </w:t>
      </w:r>
      <w:r w:rsidRPr="000E047F">
        <w:rPr>
          <w:rFonts w:cs="Arial" w:hint="cs"/>
          <w:sz w:val="18"/>
          <w:szCs w:val="18"/>
          <w:rtl/>
        </w:rPr>
        <w:t>כיון</w:t>
      </w:r>
      <w:r w:rsidRPr="000E047F">
        <w:rPr>
          <w:rFonts w:cs="Arial"/>
          <w:sz w:val="18"/>
          <w:szCs w:val="18"/>
          <w:rtl/>
        </w:rPr>
        <w:t xml:space="preserve"> </w:t>
      </w:r>
      <w:r w:rsidRPr="000E047F">
        <w:rPr>
          <w:rFonts w:cs="Arial" w:hint="cs"/>
          <w:sz w:val="18"/>
          <w:szCs w:val="18"/>
          <w:rtl/>
        </w:rPr>
        <w:t>דחזא</w:t>
      </w:r>
      <w:r w:rsidRPr="000E047F">
        <w:rPr>
          <w:rFonts w:cs="Arial"/>
          <w:sz w:val="18"/>
          <w:szCs w:val="18"/>
          <w:rtl/>
        </w:rPr>
        <w:t xml:space="preserve"> </w:t>
      </w:r>
      <w:r w:rsidRPr="000E047F">
        <w:rPr>
          <w:rFonts w:cs="Arial" w:hint="cs"/>
          <w:sz w:val="18"/>
          <w:szCs w:val="18"/>
          <w:rtl/>
        </w:rPr>
        <w:t>לצפרא</w:t>
      </w:r>
      <w:r w:rsidRPr="000E047F">
        <w:rPr>
          <w:rFonts w:cs="Arial"/>
          <w:sz w:val="18"/>
          <w:szCs w:val="18"/>
          <w:rtl/>
        </w:rPr>
        <w:t xml:space="preserve"> </w:t>
      </w:r>
      <w:r w:rsidRPr="000E047F">
        <w:rPr>
          <w:rFonts w:cs="Arial" w:hint="cs"/>
          <w:sz w:val="18"/>
          <w:szCs w:val="18"/>
          <w:rtl/>
        </w:rPr>
        <w:t>דאשתני</w:t>
      </w:r>
      <w:r w:rsidRPr="000E047F">
        <w:rPr>
          <w:rFonts w:cs="Arial"/>
          <w:sz w:val="18"/>
          <w:szCs w:val="18"/>
          <w:rtl/>
        </w:rPr>
        <w:t xml:space="preserve"> </w:t>
      </w:r>
      <w:r w:rsidRPr="000E047F">
        <w:rPr>
          <w:rFonts w:cs="Arial" w:hint="cs"/>
          <w:sz w:val="18"/>
          <w:szCs w:val="18"/>
          <w:rtl/>
        </w:rPr>
        <w:t>אמר</w:t>
      </w:r>
      <w:r w:rsidRPr="000E047F">
        <w:rPr>
          <w:rFonts w:cs="Arial"/>
          <w:sz w:val="18"/>
          <w:szCs w:val="18"/>
          <w:rtl/>
        </w:rPr>
        <w:t xml:space="preserve"> </w:t>
      </w:r>
      <w:r w:rsidRPr="000E047F">
        <w:rPr>
          <w:rFonts w:cs="Arial" w:hint="cs"/>
          <w:sz w:val="18"/>
          <w:szCs w:val="18"/>
          <w:rtl/>
        </w:rPr>
        <w:t>ודאי</w:t>
      </w:r>
      <w:r w:rsidRPr="000E047F">
        <w:rPr>
          <w:rFonts w:cs="Arial"/>
          <w:sz w:val="18"/>
          <w:szCs w:val="18"/>
          <w:rtl/>
        </w:rPr>
        <w:t xml:space="preserve"> </w:t>
      </w:r>
      <w:r w:rsidRPr="000E047F">
        <w:rPr>
          <w:rFonts w:cs="Arial" w:hint="cs"/>
          <w:sz w:val="18"/>
          <w:szCs w:val="18"/>
          <w:rtl/>
        </w:rPr>
        <w:t>טהור</w:t>
      </w:r>
      <w:r w:rsidRPr="000E047F">
        <w:rPr>
          <w:rFonts w:cs="Arial"/>
          <w:sz w:val="18"/>
          <w:szCs w:val="18"/>
          <w:rtl/>
        </w:rPr>
        <w:t xml:space="preserve"> </w:t>
      </w:r>
      <w:r w:rsidRPr="000E047F">
        <w:rPr>
          <w:rFonts w:cs="Arial" w:hint="cs"/>
          <w:sz w:val="18"/>
          <w:szCs w:val="18"/>
          <w:rtl/>
        </w:rPr>
        <w:t>הוה</w:t>
      </w:r>
      <w:r w:rsidRPr="000E047F">
        <w:rPr>
          <w:rFonts w:cs="Arial"/>
          <w:sz w:val="18"/>
          <w:szCs w:val="18"/>
          <w:rtl/>
        </w:rPr>
        <w:t xml:space="preserve">, </w:t>
      </w:r>
      <w:r w:rsidRPr="000E047F">
        <w:rPr>
          <w:rFonts w:cs="Arial" w:hint="cs"/>
          <w:sz w:val="18"/>
          <w:szCs w:val="18"/>
          <w:rtl/>
        </w:rPr>
        <w:t>ובלילה</w:t>
      </w:r>
      <w:r w:rsidRPr="000E047F">
        <w:rPr>
          <w:rFonts w:cs="Arial"/>
          <w:sz w:val="18"/>
          <w:szCs w:val="18"/>
          <w:rtl/>
        </w:rPr>
        <w:t xml:space="preserve"> </w:t>
      </w:r>
      <w:r w:rsidRPr="000E047F">
        <w:rPr>
          <w:rFonts w:cs="Arial" w:hint="cs"/>
          <w:sz w:val="18"/>
          <w:szCs w:val="18"/>
          <w:rtl/>
        </w:rPr>
        <w:t>הוא</w:t>
      </w:r>
      <w:r w:rsidRPr="000E047F">
        <w:rPr>
          <w:rFonts w:cs="Arial"/>
          <w:sz w:val="18"/>
          <w:szCs w:val="18"/>
          <w:rtl/>
        </w:rPr>
        <w:t xml:space="preserve"> </w:t>
      </w:r>
      <w:r w:rsidRPr="000E047F">
        <w:rPr>
          <w:rFonts w:cs="Arial" w:hint="cs"/>
          <w:sz w:val="18"/>
          <w:szCs w:val="18"/>
          <w:rtl/>
        </w:rPr>
        <w:t>דלא</w:t>
      </w:r>
      <w:r w:rsidRPr="000E047F">
        <w:rPr>
          <w:rFonts w:cs="Arial"/>
          <w:sz w:val="18"/>
          <w:szCs w:val="18"/>
          <w:rtl/>
        </w:rPr>
        <w:t xml:space="preserve"> </w:t>
      </w:r>
      <w:r w:rsidRPr="000E047F">
        <w:rPr>
          <w:rFonts w:cs="Arial" w:hint="cs"/>
          <w:sz w:val="18"/>
          <w:szCs w:val="18"/>
          <w:rtl/>
        </w:rPr>
        <w:t>אתחזי</w:t>
      </w:r>
      <w:r w:rsidRPr="000E047F">
        <w:rPr>
          <w:rFonts w:cs="Arial"/>
          <w:sz w:val="18"/>
          <w:szCs w:val="18"/>
          <w:rtl/>
        </w:rPr>
        <w:t xml:space="preserve"> </w:t>
      </w:r>
      <w:r w:rsidRPr="000E047F">
        <w:rPr>
          <w:rFonts w:cs="Arial" w:hint="cs"/>
          <w:sz w:val="18"/>
          <w:szCs w:val="18"/>
          <w:rtl/>
        </w:rPr>
        <w:t>שפיר</w:t>
      </w:r>
      <w:r w:rsidRPr="000E047F">
        <w:rPr>
          <w:rFonts w:cs="Arial"/>
          <w:sz w:val="18"/>
          <w:szCs w:val="18"/>
          <w:rtl/>
        </w:rPr>
        <w:t xml:space="preserve">, </w:t>
      </w:r>
      <w:r w:rsidRPr="000E047F">
        <w:rPr>
          <w:rFonts w:cs="Arial" w:hint="cs"/>
          <w:sz w:val="18"/>
          <w:szCs w:val="18"/>
          <w:rtl/>
        </w:rPr>
        <w:t>כיון</w:t>
      </w:r>
      <w:r w:rsidRPr="000E047F">
        <w:rPr>
          <w:rFonts w:cs="Arial"/>
          <w:sz w:val="18"/>
          <w:szCs w:val="18"/>
          <w:rtl/>
        </w:rPr>
        <w:t xml:space="preserve"> </w:t>
      </w:r>
      <w:r w:rsidRPr="000E047F">
        <w:rPr>
          <w:rFonts w:cs="Arial" w:hint="cs"/>
          <w:sz w:val="18"/>
          <w:szCs w:val="18"/>
          <w:rtl/>
        </w:rPr>
        <w:t>דחזא</w:t>
      </w:r>
      <w:r w:rsidRPr="000E047F">
        <w:rPr>
          <w:rFonts w:cs="Arial"/>
          <w:sz w:val="18"/>
          <w:szCs w:val="18"/>
          <w:rtl/>
        </w:rPr>
        <w:t xml:space="preserve"> </w:t>
      </w:r>
      <w:r w:rsidRPr="000E047F">
        <w:rPr>
          <w:rFonts w:cs="Arial" w:hint="cs"/>
          <w:sz w:val="18"/>
          <w:szCs w:val="18"/>
          <w:rtl/>
        </w:rPr>
        <w:t>דהדר</w:t>
      </w:r>
      <w:r w:rsidRPr="000E047F">
        <w:rPr>
          <w:rFonts w:cs="Arial"/>
          <w:sz w:val="18"/>
          <w:szCs w:val="18"/>
          <w:rtl/>
        </w:rPr>
        <w:t xml:space="preserve"> </w:t>
      </w:r>
      <w:r w:rsidRPr="000E047F">
        <w:rPr>
          <w:rFonts w:cs="Arial" w:hint="cs"/>
          <w:sz w:val="18"/>
          <w:szCs w:val="18"/>
          <w:rtl/>
        </w:rPr>
        <w:t>אשתני</w:t>
      </w:r>
      <w:r w:rsidRPr="000E047F">
        <w:rPr>
          <w:rFonts w:cs="Arial"/>
          <w:sz w:val="18"/>
          <w:szCs w:val="18"/>
          <w:rtl/>
        </w:rPr>
        <w:t xml:space="preserve"> </w:t>
      </w:r>
      <w:r w:rsidRPr="000E047F">
        <w:rPr>
          <w:rFonts w:cs="Arial" w:hint="cs"/>
          <w:sz w:val="18"/>
          <w:szCs w:val="18"/>
          <w:rtl/>
        </w:rPr>
        <w:t>אמר</w:t>
      </w:r>
      <w:r w:rsidRPr="000E047F">
        <w:rPr>
          <w:rFonts w:cs="Arial"/>
          <w:sz w:val="18"/>
          <w:szCs w:val="18"/>
          <w:rtl/>
        </w:rPr>
        <w:t xml:space="preserve">: </w:t>
      </w:r>
      <w:r w:rsidRPr="000E047F">
        <w:rPr>
          <w:rFonts w:cs="Arial" w:hint="cs"/>
          <w:sz w:val="18"/>
          <w:szCs w:val="18"/>
          <w:rtl/>
        </w:rPr>
        <w:t>האי</w:t>
      </w:r>
      <w:r w:rsidRPr="000E047F">
        <w:rPr>
          <w:rFonts w:cs="Arial"/>
          <w:sz w:val="18"/>
          <w:szCs w:val="18"/>
          <w:rtl/>
        </w:rPr>
        <w:t xml:space="preserve"> - </w:t>
      </w:r>
      <w:r w:rsidRPr="000E047F">
        <w:rPr>
          <w:rFonts w:cs="Arial" w:hint="cs"/>
          <w:sz w:val="18"/>
          <w:szCs w:val="18"/>
          <w:rtl/>
        </w:rPr>
        <w:t>טמא</w:t>
      </w:r>
      <w:r w:rsidRPr="000E047F">
        <w:rPr>
          <w:rFonts w:cs="Arial"/>
          <w:sz w:val="18"/>
          <w:szCs w:val="18"/>
          <w:rtl/>
        </w:rPr>
        <w:t xml:space="preserve"> </w:t>
      </w:r>
      <w:r w:rsidRPr="000E047F">
        <w:rPr>
          <w:rFonts w:cs="Arial" w:hint="cs"/>
          <w:sz w:val="18"/>
          <w:szCs w:val="18"/>
          <w:rtl/>
        </w:rPr>
        <w:t>הוא</w:t>
      </w:r>
      <w:r w:rsidRPr="000E047F">
        <w:rPr>
          <w:rFonts w:cs="Arial"/>
          <w:sz w:val="18"/>
          <w:szCs w:val="18"/>
          <w:rtl/>
        </w:rPr>
        <w:t xml:space="preserve">, </w:t>
      </w:r>
      <w:r w:rsidRPr="000E047F">
        <w:rPr>
          <w:rFonts w:cs="Arial" w:hint="cs"/>
          <w:sz w:val="18"/>
          <w:szCs w:val="18"/>
          <w:rtl/>
        </w:rPr>
        <w:t>ומפכח</w:t>
      </w:r>
      <w:r w:rsidRPr="000E047F">
        <w:rPr>
          <w:rFonts w:cs="Arial"/>
          <w:sz w:val="18"/>
          <w:szCs w:val="18"/>
          <w:rtl/>
        </w:rPr>
        <w:t xml:space="preserve"> </w:t>
      </w:r>
      <w:r w:rsidRPr="000E047F">
        <w:rPr>
          <w:rFonts w:cs="Arial" w:hint="cs"/>
          <w:sz w:val="18"/>
          <w:szCs w:val="18"/>
          <w:rtl/>
        </w:rPr>
        <w:t>הוא</w:t>
      </w:r>
      <w:r w:rsidRPr="000E047F">
        <w:rPr>
          <w:rFonts w:cs="Arial"/>
          <w:sz w:val="18"/>
          <w:szCs w:val="18"/>
          <w:rtl/>
        </w:rPr>
        <w:t xml:space="preserve"> </w:t>
      </w:r>
      <w:r w:rsidRPr="000E047F">
        <w:rPr>
          <w:rFonts w:cs="Arial" w:hint="cs"/>
          <w:sz w:val="18"/>
          <w:szCs w:val="18"/>
          <w:rtl/>
        </w:rPr>
        <w:t>דקא</w:t>
      </w:r>
      <w:r w:rsidRPr="000E047F">
        <w:rPr>
          <w:rFonts w:cs="Arial"/>
          <w:sz w:val="18"/>
          <w:szCs w:val="18"/>
          <w:rtl/>
        </w:rPr>
        <w:t xml:space="preserve"> </w:t>
      </w:r>
      <w:r w:rsidRPr="000E047F">
        <w:rPr>
          <w:rFonts w:cs="Arial" w:hint="cs"/>
          <w:sz w:val="18"/>
          <w:szCs w:val="18"/>
          <w:rtl/>
        </w:rPr>
        <w:t>מפכח</w:t>
      </w:r>
      <w:r w:rsidRPr="000E047F">
        <w:rPr>
          <w:rFonts w:cs="Arial"/>
          <w:sz w:val="18"/>
          <w:szCs w:val="18"/>
          <w:rtl/>
        </w:rPr>
        <w:t xml:space="preserve"> </w:t>
      </w:r>
      <w:r w:rsidRPr="000E047F">
        <w:rPr>
          <w:rFonts w:cs="Arial" w:hint="cs"/>
          <w:sz w:val="18"/>
          <w:szCs w:val="18"/>
          <w:rtl/>
        </w:rPr>
        <w:t>ואזיל</w:t>
      </w:r>
      <w:r>
        <w:rPr>
          <w:rFonts w:hint="cs"/>
          <w:rtl/>
        </w:rPr>
        <w:t>".</w:t>
      </w:r>
      <w:r>
        <w:rPr>
          <w:rtl/>
        </w:rPr>
        <w:br/>
      </w:r>
      <w:r w:rsidRPr="000E047F">
        <w:rPr>
          <w:rFonts w:hint="cs"/>
          <w:sz w:val="18"/>
          <w:szCs w:val="18"/>
          <w:rtl/>
        </w:rPr>
        <w:t>ומפרש רש"י שלמסקנת הגמרא מדובר שראה את הדם פעם נוספת במשך היום והבין שטבעו של דם זה להתבהר</w:t>
      </w:r>
      <w:r>
        <w:rPr>
          <w:rFonts w:hint="cs"/>
          <w:sz w:val="18"/>
          <w:szCs w:val="18"/>
          <w:rtl/>
        </w:rPr>
        <w:t>,</w:t>
      </w:r>
      <w:r w:rsidRPr="000E047F">
        <w:rPr>
          <w:rFonts w:hint="cs"/>
          <w:sz w:val="18"/>
          <w:szCs w:val="18"/>
          <w:rtl/>
        </w:rPr>
        <w:t xml:space="preserve"> ולכן המראה שראה בלילה הוא הנכון. מכאן יש להסיק שבעיקרון ניתן לסמוך על מראה של היום אע"פ שבלילה נראה טמא, אולם רק אם הדם אינו ממשיך להתבהר עוד במשך היום, משום שאז מוכח שהמראה של הלילה הוא המדויק. </w:t>
      </w:r>
      <w:r>
        <w:rPr>
          <w:sz w:val="18"/>
          <w:szCs w:val="18"/>
          <w:rtl/>
        </w:rPr>
        <w:br/>
      </w:r>
      <w:r w:rsidRPr="000E047F">
        <w:rPr>
          <w:rFonts w:hint="cs"/>
          <w:sz w:val="18"/>
          <w:szCs w:val="18"/>
          <w:rtl/>
        </w:rPr>
        <w:t xml:space="preserve">וגם דברי </w:t>
      </w:r>
      <w:r w:rsidRPr="000E047F">
        <w:rPr>
          <w:rFonts w:hint="cs"/>
          <w:b/>
          <w:bCs/>
          <w:sz w:val="18"/>
          <w:szCs w:val="18"/>
          <w:rtl/>
        </w:rPr>
        <w:t>הסד"ט</w:t>
      </w:r>
      <w:r w:rsidRPr="000E047F">
        <w:rPr>
          <w:rFonts w:hint="cs"/>
          <w:sz w:val="18"/>
          <w:szCs w:val="18"/>
          <w:rtl/>
        </w:rPr>
        <w:t xml:space="preserve"> אתי שפיר </w:t>
      </w:r>
      <w:r w:rsidRPr="000E047F">
        <w:rPr>
          <w:sz w:val="18"/>
          <w:szCs w:val="18"/>
          <w:rtl/>
        </w:rPr>
        <w:t>–</w:t>
      </w:r>
      <w:r w:rsidRPr="000E047F">
        <w:rPr>
          <w:rFonts w:hint="cs"/>
          <w:sz w:val="18"/>
          <w:szCs w:val="18"/>
          <w:rtl/>
        </w:rPr>
        <w:t xml:space="preserve"> רבי התבונן ביום שנית במראה משום שגם בלילה היה הדבר מסופק לו, אך אם בלילה ודאי טמא </w:t>
      </w:r>
      <w:r w:rsidRPr="000E047F">
        <w:rPr>
          <w:sz w:val="18"/>
          <w:szCs w:val="18"/>
          <w:rtl/>
        </w:rPr>
        <w:t>–</w:t>
      </w:r>
      <w:r w:rsidRPr="000E047F">
        <w:rPr>
          <w:rFonts w:hint="cs"/>
          <w:sz w:val="18"/>
          <w:szCs w:val="18"/>
          <w:rtl/>
        </w:rPr>
        <w:t xml:space="preserve"> טמא.</w:t>
      </w:r>
    </w:p>
  </w:footnote>
  <w:footnote w:id="145">
    <w:p w:rsidR="005953C5" w:rsidRDefault="005953C5" w:rsidP="00620060">
      <w:pPr>
        <w:pStyle w:val="a3"/>
        <w:rPr>
          <w:rtl/>
        </w:rPr>
      </w:pPr>
      <w:r w:rsidRPr="00C34746">
        <w:rPr>
          <w:rStyle w:val="a5"/>
          <w:sz w:val="18"/>
          <w:szCs w:val="18"/>
        </w:rPr>
        <w:footnoteRef/>
      </w:r>
      <w:r w:rsidRPr="00C34746">
        <w:rPr>
          <w:sz w:val="18"/>
          <w:szCs w:val="18"/>
          <w:rtl/>
        </w:rPr>
        <w:t xml:space="preserve"> </w:t>
      </w:r>
      <w:r>
        <w:rPr>
          <w:rFonts w:hint="cs"/>
          <w:sz w:val="18"/>
          <w:szCs w:val="18"/>
          <w:rtl/>
        </w:rPr>
        <w:t xml:space="preserve"> וכן פסק גם </w:t>
      </w:r>
      <w:r w:rsidRPr="00C34746">
        <w:rPr>
          <w:rFonts w:hint="cs"/>
          <w:b/>
          <w:bCs/>
          <w:sz w:val="18"/>
          <w:szCs w:val="18"/>
          <w:rtl/>
        </w:rPr>
        <w:t>היעב"ץ</w:t>
      </w:r>
      <w:r>
        <w:rPr>
          <w:rFonts w:hint="cs"/>
          <w:sz w:val="18"/>
          <w:szCs w:val="18"/>
          <w:rtl/>
        </w:rPr>
        <w:t xml:space="preserve"> לטהר בכה"ג, אך</w:t>
      </w:r>
      <w:r w:rsidRPr="00C34746">
        <w:rPr>
          <w:rFonts w:hint="cs"/>
          <w:sz w:val="18"/>
          <w:szCs w:val="18"/>
          <w:rtl/>
        </w:rPr>
        <w:t xml:space="preserve"> יש מהאחרונים שמטמאים במראה הנוטה לשחור.</w:t>
      </w:r>
    </w:p>
  </w:footnote>
  <w:footnote w:id="146">
    <w:p w:rsidR="005953C5" w:rsidRDefault="005953C5" w:rsidP="00620060">
      <w:pPr>
        <w:pStyle w:val="a3"/>
      </w:pPr>
      <w:r w:rsidRPr="005C5F4D">
        <w:rPr>
          <w:rStyle w:val="a5"/>
          <w:sz w:val="18"/>
          <w:szCs w:val="18"/>
        </w:rPr>
        <w:footnoteRef/>
      </w:r>
      <w:r w:rsidRPr="005C5F4D">
        <w:rPr>
          <w:sz w:val="18"/>
          <w:szCs w:val="18"/>
          <w:rtl/>
        </w:rPr>
        <w:t xml:space="preserve"> </w:t>
      </w:r>
      <w:r w:rsidRPr="005C5F4D">
        <w:rPr>
          <w:rFonts w:hint="cs"/>
          <w:sz w:val="18"/>
          <w:szCs w:val="18"/>
          <w:rtl/>
        </w:rPr>
        <w:t xml:space="preserve">דין זה מובא </w:t>
      </w:r>
      <w:r w:rsidRPr="005C5F4D">
        <w:rPr>
          <w:rFonts w:hint="cs"/>
          <w:b/>
          <w:bCs/>
          <w:sz w:val="18"/>
          <w:szCs w:val="18"/>
          <w:rtl/>
        </w:rPr>
        <w:t>בטה"ב</w:t>
      </w:r>
      <w:r w:rsidRPr="005C5F4D">
        <w:rPr>
          <w:rFonts w:hint="cs"/>
          <w:sz w:val="18"/>
          <w:szCs w:val="18"/>
          <w:rtl/>
        </w:rPr>
        <w:t xml:space="preserve"> ח"א עמוד רצט'. והקשה </w:t>
      </w:r>
      <w:r w:rsidRPr="005C5F4D">
        <w:rPr>
          <w:rFonts w:hint="cs"/>
          <w:b/>
          <w:bCs/>
          <w:sz w:val="18"/>
          <w:szCs w:val="18"/>
          <w:rtl/>
        </w:rPr>
        <w:t>התפא"צ</w:t>
      </w:r>
      <w:r w:rsidRPr="005C5F4D">
        <w:rPr>
          <w:rFonts w:hint="cs"/>
          <w:sz w:val="18"/>
          <w:szCs w:val="18"/>
          <w:rtl/>
        </w:rPr>
        <w:t xml:space="preserve"> על דבריו </w:t>
      </w:r>
      <w:r w:rsidRPr="005C5F4D">
        <w:rPr>
          <w:sz w:val="18"/>
          <w:szCs w:val="18"/>
          <w:rtl/>
        </w:rPr>
        <w:t>–</w:t>
      </w:r>
      <w:r w:rsidRPr="005C5F4D">
        <w:rPr>
          <w:rFonts w:hint="cs"/>
          <w:sz w:val="18"/>
          <w:szCs w:val="18"/>
          <w:rtl/>
        </w:rPr>
        <w:t xml:space="preserve"> כיצד נאמר לאשה להיבטל מפר"ו בלילה זה, והרי יהושע נענש על כך שביטל את ישראל לילה אחד מפר"ו? ומיישב </w:t>
      </w:r>
      <w:r w:rsidRPr="005C5F4D">
        <w:rPr>
          <w:sz w:val="18"/>
          <w:szCs w:val="18"/>
          <w:rtl/>
        </w:rPr>
        <w:t>–</w:t>
      </w:r>
      <w:r w:rsidRPr="005C5F4D">
        <w:rPr>
          <w:rFonts w:hint="cs"/>
          <w:sz w:val="18"/>
          <w:szCs w:val="18"/>
          <w:rtl/>
        </w:rPr>
        <w:t xml:space="preserve"> זה אינו, משום שבלאו הכי דעת מהרש"ל להחמיר במראה צהוב. </w:t>
      </w:r>
      <w:r>
        <w:rPr>
          <w:sz w:val="18"/>
          <w:szCs w:val="18"/>
          <w:rtl/>
        </w:rPr>
        <w:br/>
      </w:r>
      <w:r w:rsidRPr="005C5F4D">
        <w:rPr>
          <w:rFonts w:hint="cs"/>
          <w:sz w:val="18"/>
          <w:szCs w:val="18"/>
          <w:rtl/>
        </w:rPr>
        <w:t xml:space="preserve">והוסיף </w:t>
      </w:r>
      <w:r w:rsidRPr="005C5F4D">
        <w:rPr>
          <w:rFonts w:hint="cs"/>
          <w:b/>
          <w:bCs/>
          <w:sz w:val="18"/>
          <w:szCs w:val="18"/>
          <w:rtl/>
        </w:rPr>
        <w:t>טה"ב</w:t>
      </w:r>
      <w:r w:rsidRPr="005C5F4D">
        <w:rPr>
          <w:rFonts w:hint="cs"/>
          <w:sz w:val="18"/>
          <w:szCs w:val="18"/>
          <w:rtl/>
        </w:rPr>
        <w:t xml:space="preserve"> בשם </w:t>
      </w:r>
      <w:r w:rsidRPr="005C5F4D">
        <w:rPr>
          <w:rFonts w:hint="cs"/>
          <w:b/>
          <w:bCs/>
          <w:sz w:val="18"/>
          <w:szCs w:val="18"/>
          <w:rtl/>
        </w:rPr>
        <w:t>שבט הלוי</w:t>
      </w:r>
      <w:r w:rsidRPr="005C5F4D">
        <w:rPr>
          <w:rFonts w:hint="cs"/>
          <w:sz w:val="18"/>
          <w:szCs w:val="18"/>
          <w:rtl/>
        </w:rPr>
        <w:t xml:space="preserve"> שהניסיון מעיד שפעמים רבות לאחר שאלה במראה דם חום טהור מגיע הווסת עצמו, ולעיתים </w:t>
      </w:r>
      <w:r>
        <w:rPr>
          <w:rFonts w:hint="cs"/>
          <w:sz w:val="18"/>
          <w:szCs w:val="18"/>
          <w:rtl/>
        </w:rPr>
        <w:t>טועה</w:t>
      </w:r>
      <w:r w:rsidRPr="005C5F4D">
        <w:rPr>
          <w:rFonts w:hint="cs"/>
          <w:sz w:val="18"/>
          <w:szCs w:val="18"/>
          <w:rtl/>
        </w:rPr>
        <w:t xml:space="preserve"> האשה שגם מראה זה טהור, ולכן העצה היעוצה למורה ההוראה להורות לאשה להמתין כיומיים שלושה ולראות האם הווסת יגיע.</w:t>
      </w:r>
    </w:p>
  </w:footnote>
  <w:footnote w:id="147">
    <w:p w:rsidR="005953C5" w:rsidRDefault="005953C5" w:rsidP="00620060">
      <w:pPr>
        <w:pStyle w:val="a3"/>
        <w:rPr>
          <w:rtl/>
        </w:rPr>
      </w:pPr>
      <w:r w:rsidRPr="004B6D05">
        <w:rPr>
          <w:rStyle w:val="a5"/>
          <w:sz w:val="18"/>
          <w:szCs w:val="18"/>
        </w:rPr>
        <w:footnoteRef/>
      </w:r>
      <w:r w:rsidRPr="004B6D05">
        <w:rPr>
          <w:sz w:val="18"/>
          <w:szCs w:val="18"/>
          <w:rtl/>
        </w:rPr>
        <w:t xml:space="preserve"> </w:t>
      </w:r>
      <w:r w:rsidRPr="004B6D05">
        <w:rPr>
          <w:rFonts w:hint="cs"/>
          <w:b/>
          <w:bCs/>
          <w:sz w:val="18"/>
          <w:szCs w:val="18"/>
          <w:rtl/>
        </w:rPr>
        <w:t>ריטב"א</w:t>
      </w:r>
      <w:r w:rsidRPr="004B6D05">
        <w:rPr>
          <w:rFonts w:hint="cs"/>
          <w:sz w:val="18"/>
          <w:szCs w:val="18"/>
          <w:rtl/>
        </w:rPr>
        <w:t xml:space="preserve"> </w:t>
      </w:r>
      <w:r w:rsidRPr="004B6D05">
        <w:rPr>
          <w:sz w:val="18"/>
          <w:szCs w:val="18"/>
          <w:rtl/>
        </w:rPr>
        <w:t>–</w:t>
      </w:r>
      <w:r w:rsidRPr="004B6D05">
        <w:rPr>
          <w:rFonts w:hint="cs"/>
          <w:sz w:val="18"/>
          <w:szCs w:val="18"/>
          <w:rtl/>
        </w:rPr>
        <w:t xml:space="preserve"> האמוראים שהחמירו כאן באופן הבדיקה אינם חולקים על התנאים שהקלו בכך, אלא ס"ל שבזמנם פחתה הבקיאות וההבחנה במראות הדמים</w:t>
      </w:r>
      <w:r>
        <w:rPr>
          <w:rFonts w:hint="cs"/>
          <w:sz w:val="18"/>
          <w:szCs w:val="18"/>
          <w:rtl/>
        </w:rPr>
        <w:t>,</w:t>
      </w:r>
      <w:r w:rsidRPr="004B6D05">
        <w:rPr>
          <w:rFonts w:hint="cs"/>
          <w:sz w:val="18"/>
          <w:szCs w:val="18"/>
          <w:rtl/>
        </w:rPr>
        <w:t xml:space="preserve"> ולכן אין להקל לבדוק במקום שאין אור יפה לבדיקה.</w:t>
      </w:r>
    </w:p>
  </w:footnote>
  <w:footnote w:id="148">
    <w:p w:rsidR="005953C5" w:rsidRPr="00290312" w:rsidRDefault="005953C5" w:rsidP="00620060">
      <w:pPr>
        <w:pStyle w:val="a3"/>
        <w:rPr>
          <w:rtl/>
        </w:rPr>
      </w:pPr>
      <w:r>
        <w:rPr>
          <w:rStyle w:val="a5"/>
        </w:rPr>
        <w:footnoteRef/>
      </w:r>
      <w:r>
        <w:rPr>
          <w:rtl/>
        </w:rPr>
        <w:t xml:space="preserve"> </w:t>
      </w:r>
      <w:r w:rsidRPr="00A121B6">
        <w:rPr>
          <w:rFonts w:hint="cs"/>
          <w:sz w:val="18"/>
          <w:szCs w:val="18"/>
          <w:rtl/>
        </w:rPr>
        <w:t>האם יש הבדל בין איש לאישה בראיית מראות דמים?</w:t>
      </w:r>
      <w:r>
        <w:rPr>
          <w:rtl/>
        </w:rPr>
        <w:br/>
      </w:r>
      <w:r w:rsidRPr="00E33AC9">
        <w:rPr>
          <w:rFonts w:hint="cs"/>
          <w:b/>
          <w:bCs/>
          <w:sz w:val="18"/>
          <w:szCs w:val="18"/>
          <w:rtl/>
        </w:rPr>
        <w:t>גמרא</w:t>
      </w:r>
      <w:r>
        <w:rPr>
          <w:rFonts w:hint="cs"/>
          <w:sz w:val="18"/>
          <w:szCs w:val="18"/>
          <w:rtl/>
        </w:rPr>
        <w:t xml:space="preserve"> נידה</w:t>
      </w:r>
      <w:r w:rsidRPr="00E33AC9">
        <w:rPr>
          <w:rFonts w:hint="cs"/>
          <w:sz w:val="18"/>
          <w:szCs w:val="18"/>
          <w:rtl/>
        </w:rPr>
        <w:t xml:space="preserve"> (יג:) "</w:t>
      </w:r>
      <w:r w:rsidRPr="00E33AC9">
        <w:rPr>
          <w:rFonts w:cs="Arial" w:hint="cs"/>
          <w:sz w:val="18"/>
          <w:szCs w:val="18"/>
          <w:rtl/>
        </w:rPr>
        <w:t>תניא</w:t>
      </w:r>
      <w:r w:rsidRPr="00E33AC9">
        <w:rPr>
          <w:rFonts w:cs="Arial"/>
          <w:sz w:val="18"/>
          <w:szCs w:val="18"/>
          <w:rtl/>
        </w:rPr>
        <w:t xml:space="preserve">, </w:t>
      </w:r>
      <w:r w:rsidRPr="00E33AC9">
        <w:rPr>
          <w:rFonts w:cs="Arial" w:hint="cs"/>
          <w:sz w:val="18"/>
          <w:szCs w:val="18"/>
          <w:rtl/>
        </w:rPr>
        <w:t>אמר</w:t>
      </w:r>
      <w:r w:rsidRPr="00E33AC9">
        <w:rPr>
          <w:rFonts w:cs="Arial"/>
          <w:sz w:val="18"/>
          <w:szCs w:val="18"/>
          <w:rtl/>
        </w:rPr>
        <w:t xml:space="preserve"> </w:t>
      </w:r>
      <w:r w:rsidRPr="00E33AC9">
        <w:rPr>
          <w:rFonts w:cs="Arial" w:hint="cs"/>
          <w:sz w:val="18"/>
          <w:szCs w:val="18"/>
          <w:rtl/>
        </w:rPr>
        <w:t>רבי</w:t>
      </w:r>
      <w:r w:rsidRPr="00E33AC9">
        <w:rPr>
          <w:rFonts w:cs="Arial"/>
          <w:sz w:val="18"/>
          <w:szCs w:val="18"/>
          <w:rtl/>
        </w:rPr>
        <w:t xml:space="preserve">: </w:t>
      </w:r>
      <w:r w:rsidRPr="00E33AC9">
        <w:rPr>
          <w:rFonts w:cs="Arial" w:hint="cs"/>
          <w:sz w:val="18"/>
          <w:szCs w:val="18"/>
          <w:rtl/>
        </w:rPr>
        <w:t>חרשת</w:t>
      </w:r>
      <w:r w:rsidRPr="00E33AC9">
        <w:rPr>
          <w:rFonts w:cs="Arial"/>
          <w:sz w:val="18"/>
          <w:szCs w:val="18"/>
          <w:rtl/>
        </w:rPr>
        <w:t xml:space="preserve"> </w:t>
      </w:r>
      <w:r w:rsidRPr="00E33AC9">
        <w:rPr>
          <w:rFonts w:cs="Arial" w:hint="cs"/>
          <w:sz w:val="18"/>
          <w:szCs w:val="18"/>
          <w:rtl/>
        </w:rPr>
        <w:t>היתה</w:t>
      </w:r>
      <w:r w:rsidRPr="00E33AC9">
        <w:rPr>
          <w:rFonts w:cs="Arial"/>
          <w:sz w:val="18"/>
          <w:szCs w:val="18"/>
          <w:rtl/>
        </w:rPr>
        <w:t xml:space="preserve"> </w:t>
      </w:r>
      <w:r w:rsidRPr="00E33AC9">
        <w:rPr>
          <w:rFonts w:cs="Arial" w:hint="cs"/>
          <w:sz w:val="18"/>
          <w:szCs w:val="18"/>
          <w:rtl/>
        </w:rPr>
        <w:t>בשכונתינו</w:t>
      </w:r>
      <w:r w:rsidRPr="00E33AC9">
        <w:rPr>
          <w:rFonts w:cs="Arial"/>
          <w:sz w:val="18"/>
          <w:szCs w:val="18"/>
          <w:rtl/>
        </w:rPr>
        <w:t xml:space="preserve">, </w:t>
      </w:r>
      <w:r w:rsidRPr="00E33AC9">
        <w:rPr>
          <w:rFonts w:cs="Arial" w:hint="cs"/>
          <w:sz w:val="18"/>
          <w:szCs w:val="18"/>
          <w:rtl/>
        </w:rPr>
        <w:t>לא</w:t>
      </w:r>
      <w:r w:rsidRPr="00E33AC9">
        <w:rPr>
          <w:rFonts w:cs="Arial"/>
          <w:sz w:val="18"/>
          <w:szCs w:val="18"/>
          <w:rtl/>
        </w:rPr>
        <w:t xml:space="preserve"> </w:t>
      </w:r>
      <w:r w:rsidRPr="00E33AC9">
        <w:rPr>
          <w:rFonts w:cs="Arial" w:hint="cs"/>
          <w:sz w:val="18"/>
          <w:szCs w:val="18"/>
          <w:rtl/>
        </w:rPr>
        <w:t>דיה</w:t>
      </w:r>
      <w:r w:rsidRPr="00E33AC9">
        <w:rPr>
          <w:rFonts w:cs="Arial"/>
          <w:sz w:val="18"/>
          <w:szCs w:val="18"/>
          <w:rtl/>
        </w:rPr>
        <w:t xml:space="preserve"> </w:t>
      </w:r>
      <w:r w:rsidRPr="00E33AC9">
        <w:rPr>
          <w:rFonts w:cs="Arial" w:hint="cs"/>
          <w:sz w:val="18"/>
          <w:szCs w:val="18"/>
          <w:rtl/>
        </w:rPr>
        <w:t>שבודקת</w:t>
      </w:r>
      <w:r w:rsidRPr="00E33AC9">
        <w:rPr>
          <w:rFonts w:cs="Arial"/>
          <w:sz w:val="18"/>
          <w:szCs w:val="18"/>
          <w:rtl/>
        </w:rPr>
        <w:t xml:space="preserve"> </w:t>
      </w:r>
      <w:r w:rsidRPr="00E33AC9">
        <w:rPr>
          <w:rFonts w:cs="Arial" w:hint="cs"/>
          <w:sz w:val="18"/>
          <w:szCs w:val="18"/>
          <w:rtl/>
        </w:rPr>
        <w:t>לעצמה</w:t>
      </w:r>
      <w:r w:rsidRPr="00E33AC9">
        <w:rPr>
          <w:rFonts w:cs="Arial"/>
          <w:sz w:val="18"/>
          <w:szCs w:val="18"/>
          <w:rtl/>
        </w:rPr>
        <w:t xml:space="preserve"> - </w:t>
      </w:r>
      <w:r w:rsidRPr="00E33AC9">
        <w:rPr>
          <w:rFonts w:cs="Arial" w:hint="cs"/>
          <w:sz w:val="18"/>
          <w:szCs w:val="18"/>
          <w:rtl/>
        </w:rPr>
        <w:t>אלא</w:t>
      </w:r>
      <w:r w:rsidRPr="00E33AC9">
        <w:rPr>
          <w:rFonts w:cs="Arial"/>
          <w:sz w:val="18"/>
          <w:szCs w:val="18"/>
          <w:rtl/>
        </w:rPr>
        <w:t xml:space="preserve"> </w:t>
      </w:r>
      <w:r w:rsidRPr="00E33AC9">
        <w:rPr>
          <w:rFonts w:cs="Arial" w:hint="cs"/>
          <w:sz w:val="18"/>
          <w:szCs w:val="18"/>
          <w:rtl/>
        </w:rPr>
        <w:t>שחברותיה</w:t>
      </w:r>
      <w:r w:rsidRPr="00E33AC9">
        <w:rPr>
          <w:rFonts w:cs="Arial"/>
          <w:sz w:val="18"/>
          <w:szCs w:val="18"/>
          <w:rtl/>
        </w:rPr>
        <w:t xml:space="preserve"> </w:t>
      </w:r>
      <w:r w:rsidRPr="00E33AC9">
        <w:rPr>
          <w:rFonts w:cs="Arial" w:hint="cs"/>
          <w:sz w:val="18"/>
          <w:szCs w:val="18"/>
          <w:rtl/>
        </w:rPr>
        <w:t>רואות</w:t>
      </w:r>
      <w:r w:rsidRPr="00E33AC9">
        <w:rPr>
          <w:rFonts w:cs="Arial"/>
          <w:sz w:val="18"/>
          <w:szCs w:val="18"/>
          <w:rtl/>
        </w:rPr>
        <w:t xml:space="preserve"> </w:t>
      </w:r>
      <w:r w:rsidRPr="00E33AC9">
        <w:rPr>
          <w:rFonts w:cs="Arial" w:hint="cs"/>
          <w:sz w:val="18"/>
          <w:szCs w:val="18"/>
          <w:rtl/>
        </w:rPr>
        <w:t>ומראות</w:t>
      </w:r>
      <w:r w:rsidRPr="00E33AC9">
        <w:rPr>
          <w:rFonts w:cs="Arial"/>
          <w:sz w:val="18"/>
          <w:szCs w:val="18"/>
          <w:rtl/>
        </w:rPr>
        <w:t xml:space="preserve"> </w:t>
      </w:r>
      <w:r w:rsidRPr="00E33AC9">
        <w:rPr>
          <w:rFonts w:cs="Arial" w:hint="cs"/>
          <w:sz w:val="18"/>
          <w:szCs w:val="18"/>
          <w:rtl/>
        </w:rPr>
        <w:t>לה". ומשמע להדיא שאשה יכולה לראות מראות דמים לכו"ע</w:t>
      </w:r>
      <w:r>
        <w:rPr>
          <w:rFonts w:cs="Arial" w:hint="cs"/>
          <w:sz w:val="18"/>
          <w:szCs w:val="18"/>
          <w:rtl/>
        </w:rPr>
        <w:t xml:space="preserve">. ולפי"ז יש לומר שאכן </w:t>
      </w:r>
      <w:r w:rsidRPr="00EB692E">
        <w:rPr>
          <w:rFonts w:cs="Arial" w:hint="cs"/>
          <w:sz w:val="18"/>
          <w:szCs w:val="18"/>
          <w:u w:val="single"/>
          <w:rtl/>
        </w:rPr>
        <w:t>אין כלל חילוק בין איש לאישה</w:t>
      </w:r>
      <w:r>
        <w:rPr>
          <w:rFonts w:cs="Arial" w:hint="cs"/>
          <w:sz w:val="18"/>
          <w:szCs w:val="18"/>
          <w:rtl/>
        </w:rPr>
        <w:t>, והסעיף כאן אינו עוסק באשה בדווקא אלא בכל מי שאינו בקי דיו במראות דמים ורוצה לפסוק ע"פ השוואה שלו למקרה אחר שחכם פלוני טיהר לו, ובכה"ג נאמר הדין כאן. אך כאשר מדובר על מומחה לראיית מראות אין חילוק בין איש לאישה ונאמנים.</w:t>
      </w:r>
      <w:r>
        <w:rPr>
          <w:rtl/>
        </w:rPr>
        <w:br/>
      </w:r>
      <w:r w:rsidRPr="00304946">
        <w:rPr>
          <w:rFonts w:hint="cs"/>
          <w:sz w:val="18"/>
          <w:szCs w:val="18"/>
          <w:rtl/>
        </w:rPr>
        <w:t>ולפי"ז, מה שנקטה הגמרא את הסוגייה הנ"ל באשה אינו בדווקא, אלא הוא הדין בכל מי שאינו בקי במראות ולדוגמה בעלמא נקטיה.</w:t>
      </w:r>
      <w:r>
        <w:rPr>
          <w:rFonts w:hint="cs"/>
          <w:rtl/>
        </w:rPr>
        <w:t xml:space="preserve"> </w:t>
      </w:r>
      <w:r w:rsidRPr="004E47EA">
        <w:rPr>
          <w:rFonts w:hint="cs"/>
          <w:sz w:val="18"/>
          <w:szCs w:val="18"/>
          <w:rtl/>
        </w:rPr>
        <w:t>וכן בכל מה שנזכר כאן 'אשה' הוא לאו דווקא, אלא הכוונה היא ל</w:t>
      </w:r>
      <w:r>
        <w:rPr>
          <w:rFonts w:hint="cs"/>
          <w:sz w:val="18"/>
          <w:szCs w:val="18"/>
          <w:rtl/>
        </w:rPr>
        <w:t xml:space="preserve">כל </w:t>
      </w:r>
      <w:r w:rsidRPr="004E47EA">
        <w:rPr>
          <w:rFonts w:hint="cs"/>
          <w:sz w:val="18"/>
          <w:szCs w:val="18"/>
          <w:rtl/>
        </w:rPr>
        <w:t>מי שאינו בקי במראות.</w:t>
      </w:r>
      <w:r>
        <w:rPr>
          <w:rFonts w:hint="cs"/>
          <w:rtl/>
        </w:rPr>
        <w:t xml:space="preserve"> </w:t>
      </w:r>
    </w:p>
  </w:footnote>
  <w:footnote w:id="149">
    <w:p w:rsidR="005953C5" w:rsidRDefault="005953C5" w:rsidP="00620060">
      <w:pPr>
        <w:pStyle w:val="a3"/>
        <w:rPr>
          <w:rtl/>
        </w:rPr>
      </w:pPr>
      <w:r w:rsidRPr="00E33AC9">
        <w:rPr>
          <w:rStyle w:val="a5"/>
          <w:sz w:val="18"/>
          <w:szCs w:val="18"/>
        </w:rPr>
        <w:footnoteRef/>
      </w:r>
      <w:r w:rsidRPr="00E33AC9">
        <w:rPr>
          <w:sz w:val="18"/>
          <w:szCs w:val="18"/>
          <w:rtl/>
        </w:rPr>
        <w:t xml:space="preserve"> </w:t>
      </w:r>
      <w:r w:rsidRPr="00E33AC9">
        <w:rPr>
          <w:rFonts w:hint="cs"/>
          <w:sz w:val="18"/>
          <w:szCs w:val="18"/>
          <w:rtl/>
        </w:rPr>
        <w:t xml:space="preserve">כך הוא פירוש הרשב"א לסוגייה, אך רש"י מפרש באופן שונה </w:t>
      </w:r>
      <w:r w:rsidRPr="00E33AC9">
        <w:rPr>
          <w:sz w:val="18"/>
          <w:szCs w:val="18"/>
          <w:rtl/>
        </w:rPr>
        <w:t>–</w:t>
      </w:r>
      <w:r w:rsidRPr="00E33AC9">
        <w:rPr>
          <w:rFonts w:hint="cs"/>
          <w:sz w:val="18"/>
          <w:szCs w:val="18"/>
          <w:rtl/>
        </w:rPr>
        <w:t xml:space="preserve"> בברייתא מדובר בדם דליתא קמן ולכן נאמנת, אך באיבעיא מדובר בדם דאיתא קמן ולכן אינה נאמנת. </w:t>
      </w:r>
      <w:r>
        <w:rPr>
          <w:sz w:val="18"/>
          <w:szCs w:val="18"/>
          <w:rtl/>
        </w:rPr>
        <w:br/>
      </w:r>
      <w:r w:rsidRPr="00E33AC9">
        <w:rPr>
          <w:rFonts w:hint="cs"/>
          <w:sz w:val="18"/>
          <w:szCs w:val="18"/>
          <w:rtl/>
        </w:rPr>
        <w:t xml:space="preserve">למעשה, נחלקו רש"י ורשב"א בדם דאיתא קמן ולא הובא לפני החכם, האם אישה יכולה לפסוק בו? </w:t>
      </w:r>
      <w:r w:rsidRPr="00512DC2">
        <w:rPr>
          <w:rFonts w:hint="cs"/>
          <w:b/>
          <w:bCs/>
          <w:sz w:val="18"/>
          <w:szCs w:val="18"/>
          <w:rtl/>
        </w:rPr>
        <w:t>רש"י</w:t>
      </w:r>
      <w:r w:rsidRPr="00E33AC9">
        <w:rPr>
          <w:rFonts w:hint="cs"/>
          <w:sz w:val="18"/>
          <w:szCs w:val="18"/>
          <w:rtl/>
        </w:rPr>
        <w:t xml:space="preserve"> סובר שלא אלא עליה להראותו לחכם, אך </w:t>
      </w:r>
      <w:r w:rsidRPr="00512DC2">
        <w:rPr>
          <w:rFonts w:hint="cs"/>
          <w:b/>
          <w:bCs/>
          <w:sz w:val="18"/>
          <w:szCs w:val="18"/>
          <w:rtl/>
        </w:rPr>
        <w:t>הרשב"א</w:t>
      </w:r>
      <w:r w:rsidRPr="00E33AC9">
        <w:rPr>
          <w:rFonts w:hint="cs"/>
          <w:sz w:val="18"/>
          <w:szCs w:val="18"/>
          <w:rtl/>
        </w:rPr>
        <w:t xml:space="preserve"> סובר שהיא יכולה לסמוך על עצמה ולהשוות מראה זה למראה אחר שטיהרו לה בעבר.</w:t>
      </w:r>
    </w:p>
  </w:footnote>
  <w:footnote w:id="150">
    <w:p w:rsidR="005953C5" w:rsidRDefault="005953C5" w:rsidP="00620060">
      <w:pPr>
        <w:pStyle w:val="a3"/>
        <w:rPr>
          <w:rtl/>
        </w:rPr>
      </w:pPr>
      <w:r w:rsidRPr="00290312">
        <w:rPr>
          <w:rStyle w:val="a5"/>
          <w:sz w:val="18"/>
          <w:szCs w:val="18"/>
        </w:rPr>
        <w:footnoteRef/>
      </w:r>
      <w:r w:rsidRPr="00290312">
        <w:rPr>
          <w:sz w:val="18"/>
          <w:szCs w:val="18"/>
          <w:rtl/>
        </w:rPr>
        <w:t xml:space="preserve"> </w:t>
      </w:r>
      <w:r w:rsidRPr="00290312">
        <w:rPr>
          <w:rFonts w:hint="cs"/>
          <w:b/>
          <w:bCs/>
          <w:sz w:val="18"/>
          <w:szCs w:val="18"/>
          <w:rtl/>
        </w:rPr>
        <w:t>טהרת הבית</w:t>
      </w:r>
      <w:r w:rsidRPr="00290312">
        <w:rPr>
          <w:rFonts w:hint="cs"/>
          <w:sz w:val="18"/>
          <w:szCs w:val="18"/>
          <w:rtl/>
        </w:rPr>
        <w:t xml:space="preserve"> </w:t>
      </w:r>
      <w:r w:rsidRPr="00290312">
        <w:rPr>
          <w:sz w:val="18"/>
          <w:szCs w:val="18"/>
          <w:rtl/>
        </w:rPr>
        <w:t>–</w:t>
      </w:r>
      <w:r w:rsidRPr="00290312">
        <w:rPr>
          <w:rFonts w:hint="cs"/>
          <w:sz w:val="18"/>
          <w:szCs w:val="18"/>
          <w:rtl/>
        </w:rPr>
        <w:t xml:space="preserve"> אם החכם מסופק בדין והאשה טוענת שחכם אחר טיהר לה מראה כזה, אם מדובר בכתם ללא הרגשה או אפילו ע"י בדיקת עד </w:t>
      </w:r>
      <w:r w:rsidRPr="00290312">
        <w:rPr>
          <w:sz w:val="18"/>
          <w:szCs w:val="18"/>
          <w:rtl/>
        </w:rPr>
        <w:t>–</w:t>
      </w:r>
      <w:r w:rsidRPr="00290312">
        <w:rPr>
          <w:rFonts w:hint="cs"/>
          <w:sz w:val="18"/>
          <w:szCs w:val="18"/>
          <w:rtl/>
        </w:rPr>
        <w:t xml:space="preserve"> יש להקל.</w:t>
      </w:r>
    </w:p>
  </w:footnote>
  <w:footnote w:id="151">
    <w:p w:rsidR="005953C5" w:rsidRDefault="005953C5" w:rsidP="00620060">
      <w:pPr>
        <w:pStyle w:val="a3"/>
      </w:pPr>
      <w:r w:rsidRPr="00C20FD5">
        <w:rPr>
          <w:rStyle w:val="a5"/>
          <w:sz w:val="18"/>
          <w:szCs w:val="18"/>
        </w:rPr>
        <w:footnoteRef/>
      </w:r>
      <w:r w:rsidRPr="00C20FD5">
        <w:rPr>
          <w:rFonts w:hint="cs"/>
          <w:sz w:val="18"/>
          <w:szCs w:val="18"/>
          <w:rtl/>
        </w:rPr>
        <w:t xml:space="preserve"> כך נאמר בגמרא: "</w:t>
      </w:r>
      <w:r w:rsidRPr="00C20FD5">
        <w:rPr>
          <w:rFonts w:cs="Arial" w:hint="cs"/>
          <w:sz w:val="18"/>
          <w:szCs w:val="18"/>
          <w:rtl/>
        </w:rPr>
        <w:t>ילתא</w:t>
      </w:r>
      <w:r w:rsidRPr="00C20FD5">
        <w:rPr>
          <w:rFonts w:cs="Arial"/>
          <w:sz w:val="18"/>
          <w:szCs w:val="18"/>
          <w:rtl/>
        </w:rPr>
        <w:t xml:space="preserve"> </w:t>
      </w:r>
      <w:r w:rsidRPr="00C20FD5">
        <w:rPr>
          <w:rFonts w:cs="Arial" w:hint="cs"/>
          <w:sz w:val="18"/>
          <w:szCs w:val="18"/>
          <w:rtl/>
        </w:rPr>
        <w:t>אייתא</w:t>
      </w:r>
      <w:r w:rsidRPr="00C20FD5">
        <w:rPr>
          <w:rFonts w:cs="Arial"/>
          <w:sz w:val="18"/>
          <w:szCs w:val="18"/>
          <w:rtl/>
        </w:rPr>
        <w:t xml:space="preserve"> </w:t>
      </w:r>
      <w:r w:rsidRPr="00C20FD5">
        <w:rPr>
          <w:rFonts w:cs="Arial" w:hint="cs"/>
          <w:sz w:val="18"/>
          <w:szCs w:val="18"/>
          <w:rtl/>
        </w:rPr>
        <w:t>דמא</w:t>
      </w:r>
      <w:r w:rsidRPr="00C20FD5">
        <w:rPr>
          <w:rFonts w:cs="Arial"/>
          <w:sz w:val="18"/>
          <w:szCs w:val="18"/>
          <w:rtl/>
        </w:rPr>
        <w:t xml:space="preserve"> </w:t>
      </w:r>
      <w:r w:rsidRPr="00C20FD5">
        <w:rPr>
          <w:rFonts w:cs="Arial" w:hint="cs"/>
          <w:sz w:val="18"/>
          <w:szCs w:val="18"/>
          <w:rtl/>
        </w:rPr>
        <w:t>לקמיה</w:t>
      </w:r>
      <w:r w:rsidRPr="00C20FD5">
        <w:rPr>
          <w:rFonts w:cs="Arial"/>
          <w:sz w:val="18"/>
          <w:szCs w:val="18"/>
          <w:rtl/>
        </w:rPr>
        <w:t xml:space="preserve"> </w:t>
      </w:r>
      <w:r w:rsidRPr="00C20FD5">
        <w:rPr>
          <w:rFonts w:cs="Arial" w:hint="cs"/>
          <w:sz w:val="18"/>
          <w:szCs w:val="18"/>
          <w:rtl/>
        </w:rPr>
        <w:t>דרבה</w:t>
      </w:r>
      <w:r w:rsidRPr="00C20FD5">
        <w:rPr>
          <w:rFonts w:cs="Arial"/>
          <w:sz w:val="18"/>
          <w:szCs w:val="18"/>
          <w:rtl/>
        </w:rPr>
        <w:t xml:space="preserve"> </w:t>
      </w:r>
      <w:r w:rsidRPr="00C20FD5">
        <w:rPr>
          <w:rFonts w:cs="Arial" w:hint="cs"/>
          <w:sz w:val="18"/>
          <w:szCs w:val="18"/>
          <w:rtl/>
        </w:rPr>
        <w:t>בר</w:t>
      </w:r>
      <w:r w:rsidRPr="00C20FD5">
        <w:rPr>
          <w:rFonts w:cs="Arial"/>
          <w:sz w:val="18"/>
          <w:szCs w:val="18"/>
          <w:rtl/>
        </w:rPr>
        <w:t xml:space="preserve"> </w:t>
      </w:r>
      <w:r w:rsidRPr="00C20FD5">
        <w:rPr>
          <w:rFonts w:cs="Arial" w:hint="cs"/>
          <w:sz w:val="18"/>
          <w:szCs w:val="18"/>
          <w:rtl/>
        </w:rPr>
        <w:t>בר</w:t>
      </w:r>
      <w:r w:rsidRPr="00C20FD5">
        <w:rPr>
          <w:rFonts w:cs="Arial"/>
          <w:sz w:val="18"/>
          <w:szCs w:val="18"/>
          <w:rtl/>
        </w:rPr>
        <w:t xml:space="preserve"> </w:t>
      </w:r>
      <w:r w:rsidRPr="00C20FD5">
        <w:rPr>
          <w:rFonts w:cs="Arial" w:hint="cs"/>
          <w:sz w:val="18"/>
          <w:szCs w:val="18"/>
          <w:rtl/>
        </w:rPr>
        <w:t>חנה</w:t>
      </w:r>
      <w:r w:rsidRPr="00C20FD5">
        <w:rPr>
          <w:rFonts w:cs="Arial"/>
          <w:sz w:val="18"/>
          <w:szCs w:val="18"/>
          <w:rtl/>
        </w:rPr>
        <w:t xml:space="preserve"> - </w:t>
      </w:r>
      <w:r w:rsidRPr="00C20FD5">
        <w:rPr>
          <w:rFonts w:cs="Arial" w:hint="cs"/>
          <w:sz w:val="18"/>
          <w:szCs w:val="18"/>
          <w:rtl/>
        </w:rPr>
        <w:t>וטמי</w:t>
      </w:r>
      <w:r w:rsidRPr="00C20FD5">
        <w:rPr>
          <w:rFonts w:cs="Arial"/>
          <w:sz w:val="18"/>
          <w:szCs w:val="18"/>
          <w:rtl/>
        </w:rPr>
        <w:t xml:space="preserve"> </w:t>
      </w:r>
      <w:r w:rsidRPr="00C20FD5">
        <w:rPr>
          <w:rFonts w:cs="Arial" w:hint="cs"/>
          <w:sz w:val="18"/>
          <w:szCs w:val="18"/>
          <w:rtl/>
        </w:rPr>
        <w:t>לה</w:t>
      </w:r>
      <w:r w:rsidRPr="00C20FD5">
        <w:rPr>
          <w:rFonts w:cs="Arial"/>
          <w:sz w:val="18"/>
          <w:szCs w:val="18"/>
          <w:rtl/>
        </w:rPr>
        <w:t xml:space="preserve">, </w:t>
      </w:r>
      <w:r w:rsidRPr="00C20FD5">
        <w:rPr>
          <w:rFonts w:cs="Arial" w:hint="cs"/>
          <w:sz w:val="18"/>
          <w:szCs w:val="18"/>
          <w:rtl/>
        </w:rPr>
        <w:t>הדר</w:t>
      </w:r>
      <w:r w:rsidRPr="00C20FD5">
        <w:rPr>
          <w:rFonts w:cs="Arial"/>
          <w:sz w:val="18"/>
          <w:szCs w:val="18"/>
          <w:rtl/>
        </w:rPr>
        <w:t xml:space="preserve"> </w:t>
      </w:r>
      <w:r w:rsidRPr="00C20FD5">
        <w:rPr>
          <w:rFonts w:cs="Arial" w:hint="cs"/>
          <w:sz w:val="18"/>
          <w:szCs w:val="18"/>
          <w:rtl/>
        </w:rPr>
        <w:t>אייתא</w:t>
      </w:r>
      <w:r w:rsidRPr="00C20FD5">
        <w:rPr>
          <w:rFonts w:cs="Arial"/>
          <w:sz w:val="18"/>
          <w:szCs w:val="18"/>
          <w:rtl/>
        </w:rPr>
        <w:t xml:space="preserve"> </w:t>
      </w:r>
      <w:r w:rsidRPr="00C20FD5">
        <w:rPr>
          <w:rFonts w:cs="Arial" w:hint="cs"/>
          <w:sz w:val="18"/>
          <w:szCs w:val="18"/>
          <w:rtl/>
        </w:rPr>
        <w:t>לקמיה</w:t>
      </w:r>
      <w:r w:rsidRPr="00C20FD5">
        <w:rPr>
          <w:rFonts w:cs="Arial"/>
          <w:sz w:val="18"/>
          <w:szCs w:val="18"/>
          <w:rtl/>
        </w:rPr>
        <w:t xml:space="preserve"> </w:t>
      </w:r>
      <w:r w:rsidRPr="00C20FD5">
        <w:rPr>
          <w:rFonts w:cs="Arial" w:hint="cs"/>
          <w:sz w:val="18"/>
          <w:szCs w:val="18"/>
          <w:rtl/>
        </w:rPr>
        <w:t>דרב</w:t>
      </w:r>
      <w:r w:rsidRPr="00C20FD5">
        <w:rPr>
          <w:rFonts w:cs="Arial"/>
          <w:sz w:val="18"/>
          <w:szCs w:val="18"/>
          <w:rtl/>
        </w:rPr>
        <w:t xml:space="preserve"> </w:t>
      </w:r>
      <w:r w:rsidRPr="00C20FD5">
        <w:rPr>
          <w:rFonts w:cs="Arial" w:hint="cs"/>
          <w:sz w:val="18"/>
          <w:szCs w:val="18"/>
          <w:rtl/>
        </w:rPr>
        <w:t>יצחק</w:t>
      </w:r>
      <w:r w:rsidRPr="00C20FD5">
        <w:rPr>
          <w:rFonts w:cs="Arial"/>
          <w:sz w:val="18"/>
          <w:szCs w:val="18"/>
          <w:rtl/>
        </w:rPr>
        <w:t xml:space="preserve"> </w:t>
      </w:r>
      <w:r w:rsidRPr="00C20FD5">
        <w:rPr>
          <w:rFonts w:cs="Arial" w:hint="cs"/>
          <w:sz w:val="18"/>
          <w:szCs w:val="18"/>
          <w:rtl/>
        </w:rPr>
        <w:t>בריה</w:t>
      </w:r>
      <w:r w:rsidRPr="00C20FD5">
        <w:rPr>
          <w:rFonts w:cs="Arial"/>
          <w:sz w:val="18"/>
          <w:szCs w:val="18"/>
          <w:rtl/>
        </w:rPr>
        <w:t xml:space="preserve"> </w:t>
      </w:r>
      <w:r w:rsidRPr="00C20FD5">
        <w:rPr>
          <w:rFonts w:cs="Arial" w:hint="cs"/>
          <w:sz w:val="18"/>
          <w:szCs w:val="18"/>
          <w:rtl/>
        </w:rPr>
        <w:t>דרב</w:t>
      </w:r>
      <w:r w:rsidRPr="00C20FD5">
        <w:rPr>
          <w:rFonts w:cs="Arial"/>
          <w:sz w:val="18"/>
          <w:szCs w:val="18"/>
          <w:rtl/>
        </w:rPr>
        <w:t xml:space="preserve"> </w:t>
      </w:r>
      <w:r w:rsidRPr="00C20FD5">
        <w:rPr>
          <w:rFonts w:cs="Arial" w:hint="cs"/>
          <w:sz w:val="18"/>
          <w:szCs w:val="18"/>
          <w:rtl/>
        </w:rPr>
        <w:t>יהודה</w:t>
      </w:r>
      <w:r w:rsidRPr="00C20FD5">
        <w:rPr>
          <w:rFonts w:cs="Arial"/>
          <w:sz w:val="18"/>
          <w:szCs w:val="18"/>
          <w:rtl/>
        </w:rPr>
        <w:t xml:space="preserve"> - </w:t>
      </w:r>
      <w:r w:rsidRPr="00C20FD5">
        <w:rPr>
          <w:rFonts w:cs="Arial" w:hint="cs"/>
          <w:sz w:val="18"/>
          <w:szCs w:val="18"/>
          <w:rtl/>
        </w:rPr>
        <w:t>ודכי</w:t>
      </w:r>
      <w:r w:rsidRPr="00C20FD5">
        <w:rPr>
          <w:rFonts w:cs="Arial"/>
          <w:sz w:val="18"/>
          <w:szCs w:val="18"/>
          <w:rtl/>
        </w:rPr>
        <w:t xml:space="preserve"> </w:t>
      </w:r>
      <w:r w:rsidRPr="00C20FD5">
        <w:rPr>
          <w:rFonts w:cs="Arial" w:hint="cs"/>
          <w:sz w:val="18"/>
          <w:szCs w:val="18"/>
          <w:rtl/>
        </w:rPr>
        <w:t>לה</w:t>
      </w:r>
      <w:r w:rsidRPr="00C20FD5">
        <w:rPr>
          <w:rFonts w:cs="Arial"/>
          <w:sz w:val="18"/>
          <w:szCs w:val="18"/>
          <w:rtl/>
        </w:rPr>
        <w:t xml:space="preserve">. </w:t>
      </w:r>
      <w:r w:rsidRPr="00C20FD5">
        <w:rPr>
          <w:rFonts w:cs="Arial" w:hint="cs"/>
          <w:sz w:val="18"/>
          <w:szCs w:val="18"/>
          <w:rtl/>
        </w:rPr>
        <w:t>והיכי</w:t>
      </w:r>
      <w:r w:rsidRPr="00C20FD5">
        <w:rPr>
          <w:rFonts w:cs="Arial"/>
          <w:sz w:val="18"/>
          <w:szCs w:val="18"/>
          <w:rtl/>
        </w:rPr>
        <w:t xml:space="preserve"> </w:t>
      </w:r>
      <w:r w:rsidRPr="00C20FD5">
        <w:rPr>
          <w:rFonts w:cs="Arial" w:hint="cs"/>
          <w:sz w:val="18"/>
          <w:szCs w:val="18"/>
          <w:rtl/>
        </w:rPr>
        <w:t>עביד</w:t>
      </w:r>
      <w:r w:rsidRPr="00C20FD5">
        <w:rPr>
          <w:rFonts w:cs="Arial"/>
          <w:sz w:val="18"/>
          <w:szCs w:val="18"/>
          <w:rtl/>
        </w:rPr>
        <w:t xml:space="preserve"> </w:t>
      </w:r>
      <w:r w:rsidRPr="00C20FD5">
        <w:rPr>
          <w:rFonts w:cs="Arial" w:hint="cs"/>
          <w:sz w:val="18"/>
          <w:szCs w:val="18"/>
          <w:rtl/>
        </w:rPr>
        <w:t>הכי</w:t>
      </w:r>
      <w:r w:rsidRPr="00C20FD5">
        <w:rPr>
          <w:rFonts w:cs="Arial"/>
          <w:sz w:val="18"/>
          <w:szCs w:val="18"/>
          <w:rtl/>
        </w:rPr>
        <w:t xml:space="preserve">? </w:t>
      </w:r>
      <w:r w:rsidRPr="00C20FD5">
        <w:rPr>
          <w:rFonts w:cs="Arial" w:hint="cs"/>
          <w:sz w:val="18"/>
          <w:szCs w:val="18"/>
          <w:rtl/>
        </w:rPr>
        <w:t>והתניא</w:t>
      </w:r>
      <w:r w:rsidRPr="00C20FD5">
        <w:rPr>
          <w:rFonts w:cs="Arial"/>
          <w:sz w:val="18"/>
          <w:szCs w:val="18"/>
          <w:rtl/>
        </w:rPr>
        <w:t xml:space="preserve">: </w:t>
      </w:r>
      <w:r w:rsidRPr="00C20FD5">
        <w:rPr>
          <w:rFonts w:cs="Arial" w:hint="cs"/>
          <w:sz w:val="18"/>
          <w:szCs w:val="18"/>
          <w:rtl/>
        </w:rPr>
        <w:t>חכם</w:t>
      </w:r>
      <w:r w:rsidRPr="00C20FD5">
        <w:rPr>
          <w:rFonts w:cs="Arial"/>
          <w:sz w:val="18"/>
          <w:szCs w:val="18"/>
          <w:rtl/>
        </w:rPr>
        <w:t xml:space="preserve"> </w:t>
      </w:r>
      <w:r w:rsidRPr="00C20FD5">
        <w:rPr>
          <w:rFonts w:cs="Arial" w:hint="cs"/>
          <w:sz w:val="18"/>
          <w:szCs w:val="18"/>
          <w:rtl/>
        </w:rPr>
        <w:t>שטימא</w:t>
      </w:r>
      <w:r w:rsidRPr="00C20FD5">
        <w:rPr>
          <w:rFonts w:cs="Arial"/>
          <w:sz w:val="18"/>
          <w:szCs w:val="18"/>
          <w:rtl/>
        </w:rPr>
        <w:t xml:space="preserve"> - </w:t>
      </w:r>
      <w:r w:rsidRPr="00C20FD5">
        <w:rPr>
          <w:rFonts w:cs="Arial" w:hint="cs"/>
          <w:sz w:val="18"/>
          <w:szCs w:val="18"/>
          <w:rtl/>
        </w:rPr>
        <w:t>אין</w:t>
      </w:r>
      <w:r w:rsidRPr="00C20FD5">
        <w:rPr>
          <w:rFonts w:cs="Arial"/>
          <w:sz w:val="18"/>
          <w:szCs w:val="18"/>
          <w:rtl/>
        </w:rPr>
        <w:t xml:space="preserve"> </w:t>
      </w:r>
      <w:r w:rsidRPr="00C20FD5">
        <w:rPr>
          <w:rFonts w:cs="Arial" w:hint="cs"/>
          <w:sz w:val="18"/>
          <w:szCs w:val="18"/>
          <w:rtl/>
        </w:rPr>
        <w:t>חברו</w:t>
      </w:r>
      <w:r w:rsidRPr="00C20FD5">
        <w:rPr>
          <w:rFonts w:cs="Arial"/>
          <w:sz w:val="18"/>
          <w:szCs w:val="18"/>
          <w:rtl/>
        </w:rPr>
        <w:t xml:space="preserve"> </w:t>
      </w:r>
      <w:r w:rsidRPr="00C20FD5">
        <w:rPr>
          <w:rFonts w:cs="Arial" w:hint="cs"/>
          <w:sz w:val="18"/>
          <w:szCs w:val="18"/>
          <w:rtl/>
        </w:rPr>
        <w:t>רשאי</w:t>
      </w:r>
      <w:r w:rsidRPr="00C20FD5">
        <w:rPr>
          <w:rFonts w:cs="Arial"/>
          <w:sz w:val="18"/>
          <w:szCs w:val="18"/>
          <w:rtl/>
        </w:rPr>
        <w:t xml:space="preserve"> </w:t>
      </w:r>
      <w:r w:rsidRPr="00C20FD5">
        <w:rPr>
          <w:rFonts w:cs="Arial" w:hint="cs"/>
          <w:sz w:val="18"/>
          <w:szCs w:val="18"/>
          <w:rtl/>
        </w:rPr>
        <w:t>לטהר</w:t>
      </w:r>
      <w:r w:rsidRPr="00C20FD5">
        <w:rPr>
          <w:rFonts w:cs="Arial"/>
          <w:sz w:val="18"/>
          <w:szCs w:val="18"/>
          <w:rtl/>
        </w:rPr>
        <w:t xml:space="preserve">, </w:t>
      </w:r>
      <w:r w:rsidRPr="00C20FD5">
        <w:rPr>
          <w:rFonts w:cs="Arial" w:hint="cs"/>
          <w:sz w:val="18"/>
          <w:szCs w:val="18"/>
          <w:rtl/>
        </w:rPr>
        <w:t>אסר</w:t>
      </w:r>
      <w:r w:rsidRPr="00C20FD5">
        <w:rPr>
          <w:rFonts w:cs="Arial"/>
          <w:sz w:val="18"/>
          <w:szCs w:val="18"/>
          <w:rtl/>
        </w:rPr>
        <w:t xml:space="preserve"> - </w:t>
      </w:r>
      <w:r w:rsidRPr="00C20FD5">
        <w:rPr>
          <w:rFonts w:cs="Arial" w:hint="cs"/>
          <w:sz w:val="18"/>
          <w:szCs w:val="18"/>
          <w:rtl/>
        </w:rPr>
        <w:t>אין</w:t>
      </w:r>
      <w:r w:rsidRPr="00C20FD5">
        <w:rPr>
          <w:rFonts w:cs="Arial"/>
          <w:sz w:val="18"/>
          <w:szCs w:val="18"/>
          <w:rtl/>
        </w:rPr>
        <w:t xml:space="preserve"> </w:t>
      </w:r>
      <w:r w:rsidRPr="00C20FD5">
        <w:rPr>
          <w:rFonts w:cs="Arial" w:hint="cs"/>
          <w:sz w:val="18"/>
          <w:szCs w:val="18"/>
          <w:rtl/>
        </w:rPr>
        <w:t>חבירו</w:t>
      </w:r>
      <w:r w:rsidRPr="00C20FD5">
        <w:rPr>
          <w:rFonts w:cs="Arial"/>
          <w:sz w:val="18"/>
          <w:szCs w:val="18"/>
          <w:rtl/>
        </w:rPr>
        <w:t xml:space="preserve"> </w:t>
      </w:r>
      <w:r w:rsidRPr="00C20FD5">
        <w:rPr>
          <w:rFonts w:cs="Arial" w:hint="cs"/>
          <w:sz w:val="18"/>
          <w:szCs w:val="18"/>
          <w:rtl/>
        </w:rPr>
        <w:t>רשאי</w:t>
      </w:r>
      <w:r w:rsidRPr="00C20FD5">
        <w:rPr>
          <w:rFonts w:cs="Arial"/>
          <w:sz w:val="18"/>
          <w:szCs w:val="18"/>
          <w:rtl/>
        </w:rPr>
        <w:t xml:space="preserve"> </w:t>
      </w:r>
      <w:r w:rsidRPr="00C20FD5">
        <w:rPr>
          <w:rFonts w:cs="Arial" w:hint="cs"/>
          <w:sz w:val="18"/>
          <w:szCs w:val="18"/>
          <w:rtl/>
        </w:rPr>
        <w:t>להתיר</w:t>
      </w:r>
      <w:r w:rsidRPr="00C20FD5">
        <w:rPr>
          <w:rFonts w:cs="Arial"/>
          <w:sz w:val="18"/>
          <w:szCs w:val="18"/>
          <w:rtl/>
        </w:rPr>
        <w:t xml:space="preserve">! </w:t>
      </w:r>
      <w:r w:rsidRPr="00C20FD5">
        <w:rPr>
          <w:rFonts w:cs="Arial" w:hint="cs"/>
          <w:sz w:val="18"/>
          <w:szCs w:val="18"/>
          <w:rtl/>
        </w:rPr>
        <w:t>מעיקרא</w:t>
      </w:r>
      <w:r w:rsidRPr="00C20FD5">
        <w:rPr>
          <w:rFonts w:cs="Arial"/>
          <w:sz w:val="18"/>
          <w:szCs w:val="18"/>
          <w:rtl/>
        </w:rPr>
        <w:t xml:space="preserve"> </w:t>
      </w:r>
      <w:r w:rsidRPr="00C20FD5">
        <w:rPr>
          <w:rFonts w:cs="Arial" w:hint="cs"/>
          <w:sz w:val="18"/>
          <w:szCs w:val="18"/>
          <w:rtl/>
        </w:rPr>
        <w:t>טמויי</w:t>
      </w:r>
      <w:r w:rsidRPr="00C20FD5">
        <w:rPr>
          <w:rFonts w:cs="Arial"/>
          <w:sz w:val="18"/>
          <w:szCs w:val="18"/>
          <w:rtl/>
        </w:rPr>
        <w:t xml:space="preserve"> </w:t>
      </w:r>
      <w:r w:rsidRPr="00C20FD5">
        <w:rPr>
          <w:rFonts w:cs="Arial" w:hint="cs"/>
          <w:sz w:val="18"/>
          <w:szCs w:val="18"/>
          <w:rtl/>
        </w:rPr>
        <w:t>הוה</w:t>
      </w:r>
      <w:r w:rsidRPr="00C20FD5">
        <w:rPr>
          <w:rFonts w:cs="Arial"/>
          <w:sz w:val="18"/>
          <w:szCs w:val="18"/>
          <w:rtl/>
        </w:rPr>
        <w:t xml:space="preserve"> </w:t>
      </w:r>
      <w:r w:rsidRPr="00C20FD5">
        <w:rPr>
          <w:rFonts w:cs="Arial" w:hint="cs"/>
          <w:sz w:val="18"/>
          <w:szCs w:val="18"/>
          <w:rtl/>
        </w:rPr>
        <w:t>מטמי</w:t>
      </w:r>
      <w:r w:rsidRPr="00C20FD5">
        <w:rPr>
          <w:rFonts w:cs="Arial"/>
          <w:sz w:val="18"/>
          <w:szCs w:val="18"/>
          <w:rtl/>
        </w:rPr>
        <w:t xml:space="preserve"> </w:t>
      </w:r>
      <w:r w:rsidRPr="00C20FD5">
        <w:rPr>
          <w:rFonts w:cs="Arial" w:hint="cs"/>
          <w:sz w:val="18"/>
          <w:szCs w:val="18"/>
          <w:rtl/>
        </w:rPr>
        <w:t>לה</w:t>
      </w:r>
      <w:r w:rsidRPr="00C20FD5">
        <w:rPr>
          <w:rFonts w:cs="Arial"/>
          <w:sz w:val="18"/>
          <w:szCs w:val="18"/>
          <w:rtl/>
        </w:rPr>
        <w:t xml:space="preserve">, </w:t>
      </w:r>
      <w:r w:rsidRPr="00C20FD5">
        <w:rPr>
          <w:rFonts w:cs="Arial" w:hint="cs"/>
          <w:sz w:val="18"/>
          <w:szCs w:val="18"/>
          <w:rtl/>
        </w:rPr>
        <w:t>כיון</w:t>
      </w:r>
      <w:r w:rsidRPr="00C20FD5">
        <w:rPr>
          <w:rFonts w:cs="Arial"/>
          <w:sz w:val="18"/>
          <w:szCs w:val="18"/>
          <w:rtl/>
        </w:rPr>
        <w:t xml:space="preserve"> </w:t>
      </w:r>
      <w:r w:rsidRPr="00C20FD5">
        <w:rPr>
          <w:rFonts w:cs="Arial" w:hint="cs"/>
          <w:sz w:val="18"/>
          <w:szCs w:val="18"/>
          <w:rtl/>
        </w:rPr>
        <w:t>דא</w:t>
      </w:r>
      <w:r w:rsidRPr="00C20FD5">
        <w:rPr>
          <w:rFonts w:cs="Arial"/>
          <w:sz w:val="18"/>
          <w:szCs w:val="18"/>
          <w:rtl/>
        </w:rPr>
        <w:t>"</w:t>
      </w:r>
      <w:r w:rsidRPr="00C20FD5">
        <w:rPr>
          <w:rFonts w:cs="Arial" w:hint="cs"/>
          <w:sz w:val="18"/>
          <w:szCs w:val="18"/>
          <w:rtl/>
        </w:rPr>
        <w:t>ל</w:t>
      </w:r>
      <w:r w:rsidRPr="00C20FD5">
        <w:rPr>
          <w:rFonts w:cs="Arial"/>
          <w:sz w:val="18"/>
          <w:szCs w:val="18"/>
          <w:rtl/>
        </w:rPr>
        <w:t xml:space="preserve">: </w:t>
      </w:r>
      <w:r w:rsidRPr="00C20FD5">
        <w:rPr>
          <w:rFonts w:cs="Arial" w:hint="cs"/>
          <w:sz w:val="18"/>
          <w:szCs w:val="18"/>
          <w:rtl/>
        </w:rPr>
        <w:t>דכל</w:t>
      </w:r>
      <w:r w:rsidRPr="00C20FD5">
        <w:rPr>
          <w:rFonts w:cs="Arial"/>
          <w:sz w:val="18"/>
          <w:szCs w:val="18"/>
          <w:rtl/>
        </w:rPr>
        <w:t xml:space="preserve"> </w:t>
      </w:r>
      <w:r w:rsidRPr="00C20FD5">
        <w:rPr>
          <w:rFonts w:cs="Arial" w:hint="cs"/>
          <w:sz w:val="18"/>
          <w:szCs w:val="18"/>
          <w:rtl/>
        </w:rPr>
        <w:t>יומא</w:t>
      </w:r>
      <w:r w:rsidRPr="00C20FD5">
        <w:rPr>
          <w:rFonts w:cs="Arial"/>
          <w:sz w:val="18"/>
          <w:szCs w:val="18"/>
          <w:rtl/>
        </w:rPr>
        <w:t xml:space="preserve"> </w:t>
      </w:r>
      <w:r w:rsidRPr="00C20FD5">
        <w:rPr>
          <w:rFonts w:cs="Arial" w:hint="cs"/>
          <w:sz w:val="18"/>
          <w:szCs w:val="18"/>
          <w:rtl/>
        </w:rPr>
        <w:t>הוה</w:t>
      </w:r>
      <w:r w:rsidRPr="00C20FD5">
        <w:rPr>
          <w:rFonts w:cs="Arial"/>
          <w:sz w:val="18"/>
          <w:szCs w:val="18"/>
          <w:rtl/>
        </w:rPr>
        <w:t xml:space="preserve"> </w:t>
      </w:r>
      <w:r w:rsidRPr="00C20FD5">
        <w:rPr>
          <w:rFonts w:cs="Arial" w:hint="cs"/>
          <w:sz w:val="18"/>
          <w:szCs w:val="18"/>
          <w:rtl/>
        </w:rPr>
        <w:t>מדכי</w:t>
      </w:r>
      <w:r w:rsidRPr="00C20FD5">
        <w:rPr>
          <w:rFonts w:cs="Arial"/>
          <w:sz w:val="18"/>
          <w:szCs w:val="18"/>
          <w:rtl/>
        </w:rPr>
        <w:t xml:space="preserve"> </w:t>
      </w:r>
      <w:r w:rsidRPr="00C20FD5">
        <w:rPr>
          <w:rFonts w:cs="Arial" w:hint="cs"/>
          <w:sz w:val="18"/>
          <w:szCs w:val="18"/>
          <w:rtl/>
        </w:rPr>
        <w:t>לי</w:t>
      </w:r>
      <w:r w:rsidRPr="00C20FD5">
        <w:rPr>
          <w:rFonts w:cs="Arial"/>
          <w:sz w:val="18"/>
          <w:szCs w:val="18"/>
          <w:rtl/>
        </w:rPr>
        <w:t xml:space="preserve"> </w:t>
      </w:r>
      <w:r w:rsidRPr="00C20FD5">
        <w:rPr>
          <w:rFonts w:cs="Arial" w:hint="cs"/>
          <w:sz w:val="18"/>
          <w:szCs w:val="18"/>
          <w:rtl/>
        </w:rPr>
        <w:t>כי</w:t>
      </w:r>
      <w:r w:rsidRPr="00C20FD5">
        <w:rPr>
          <w:rFonts w:cs="Arial"/>
          <w:sz w:val="18"/>
          <w:szCs w:val="18"/>
          <w:rtl/>
        </w:rPr>
        <w:t xml:space="preserve"> </w:t>
      </w:r>
      <w:r w:rsidRPr="00C20FD5">
        <w:rPr>
          <w:rFonts w:cs="Arial" w:hint="cs"/>
          <w:sz w:val="18"/>
          <w:szCs w:val="18"/>
          <w:rtl/>
        </w:rPr>
        <w:t>האי</w:t>
      </w:r>
      <w:r w:rsidRPr="00C20FD5">
        <w:rPr>
          <w:rFonts w:cs="Arial"/>
          <w:sz w:val="18"/>
          <w:szCs w:val="18"/>
          <w:rtl/>
        </w:rPr>
        <w:t xml:space="preserve"> </w:t>
      </w:r>
      <w:r w:rsidRPr="00C20FD5">
        <w:rPr>
          <w:rFonts w:cs="Arial" w:hint="cs"/>
          <w:sz w:val="18"/>
          <w:szCs w:val="18"/>
          <w:rtl/>
        </w:rPr>
        <w:t>גונא</w:t>
      </w:r>
      <w:r w:rsidRPr="00C20FD5">
        <w:rPr>
          <w:rFonts w:cs="Arial"/>
          <w:sz w:val="18"/>
          <w:szCs w:val="18"/>
          <w:rtl/>
        </w:rPr>
        <w:t xml:space="preserve">, </w:t>
      </w:r>
      <w:r w:rsidRPr="00C20FD5">
        <w:rPr>
          <w:rFonts w:cs="Arial" w:hint="cs"/>
          <w:sz w:val="18"/>
          <w:szCs w:val="18"/>
          <w:rtl/>
        </w:rPr>
        <w:t>והאידנא</w:t>
      </w:r>
      <w:r w:rsidRPr="00C20FD5">
        <w:rPr>
          <w:rFonts w:cs="Arial"/>
          <w:sz w:val="18"/>
          <w:szCs w:val="18"/>
          <w:rtl/>
        </w:rPr>
        <w:t xml:space="preserve"> </w:t>
      </w:r>
      <w:r w:rsidRPr="00C20FD5">
        <w:rPr>
          <w:rFonts w:cs="Arial" w:hint="cs"/>
          <w:sz w:val="18"/>
          <w:szCs w:val="18"/>
          <w:rtl/>
        </w:rPr>
        <w:t>הוא</w:t>
      </w:r>
      <w:r w:rsidRPr="00C20FD5">
        <w:rPr>
          <w:rFonts w:cs="Arial"/>
          <w:sz w:val="18"/>
          <w:szCs w:val="18"/>
          <w:rtl/>
        </w:rPr>
        <w:t xml:space="preserve"> </w:t>
      </w:r>
      <w:r w:rsidRPr="00C20FD5">
        <w:rPr>
          <w:rFonts w:cs="Arial" w:hint="cs"/>
          <w:sz w:val="18"/>
          <w:szCs w:val="18"/>
          <w:rtl/>
        </w:rPr>
        <w:t>דחש</w:t>
      </w:r>
      <w:r w:rsidRPr="00C20FD5">
        <w:rPr>
          <w:rFonts w:cs="Arial"/>
          <w:sz w:val="18"/>
          <w:szCs w:val="18"/>
          <w:rtl/>
        </w:rPr>
        <w:t xml:space="preserve"> </w:t>
      </w:r>
      <w:r w:rsidRPr="00C20FD5">
        <w:rPr>
          <w:rFonts w:cs="Arial" w:hint="cs"/>
          <w:sz w:val="18"/>
          <w:szCs w:val="18"/>
          <w:rtl/>
        </w:rPr>
        <w:t>בעיניה</w:t>
      </w:r>
      <w:r w:rsidRPr="00C20FD5">
        <w:rPr>
          <w:rFonts w:cs="Arial"/>
          <w:sz w:val="18"/>
          <w:szCs w:val="18"/>
          <w:rtl/>
        </w:rPr>
        <w:t xml:space="preserve"> - </w:t>
      </w:r>
      <w:r w:rsidRPr="00C20FD5">
        <w:rPr>
          <w:rFonts w:cs="Arial" w:hint="cs"/>
          <w:sz w:val="18"/>
          <w:szCs w:val="18"/>
          <w:rtl/>
        </w:rPr>
        <w:t>דכי</w:t>
      </w:r>
      <w:r w:rsidRPr="00C20FD5">
        <w:rPr>
          <w:rFonts w:cs="Arial"/>
          <w:sz w:val="18"/>
          <w:szCs w:val="18"/>
          <w:rtl/>
        </w:rPr>
        <w:t xml:space="preserve"> </w:t>
      </w:r>
      <w:r w:rsidRPr="00C20FD5">
        <w:rPr>
          <w:rFonts w:cs="Arial" w:hint="cs"/>
          <w:sz w:val="18"/>
          <w:szCs w:val="18"/>
          <w:rtl/>
        </w:rPr>
        <w:t>לה</w:t>
      </w:r>
      <w:r w:rsidRPr="00C20FD5">
        <w:rPr>
          <w:rFonts w:cs="Arial"/>
          <w:sz w:val="18"/>
          <w:szCs w:val="18"/>
          <w:rtl/>
        </w:rPr>
        <w:t xml:space="preserve">. </w:t>
      </w:r>
      <w:r w:rsidRPr="00C20FD5">
        <w:rPr>
          <w:rFonts w:cs="Arial" w:hint="cs"/>
          <w:sz w:val="18"/>
          <w:szCs w:val="18"/>
          <w:rtl/>
        </w:rPr>
        <w:t>ומי</w:t>
      </w:r>
      <w:r w:rsidRPr="00C20FD5">
        <w:rPr>
          <w:rFonts w:cs="Arial"/>
          <w:sz w:val="18"/>
          <w:szCs w:val="18"/>
          <w:rtl/>
        </w:rPr>
        <w:t xml:space="preserve"> </w:t>
      </w:r>
      <w:r w:rsidRPr="00C20FD5">
        <w:rPr>
          <w:rFonts w:cs="Arial" w:hint="cs"/>
          <w:sz w:val="18"/>
          <w:szCs w:val="18"/>
          <w:rtl/>
        </w:rPr>
        <w:t>מהימני</w:t>
      </w:r>
      <w:r w:rsidRPr="00C20FD5">
        <w:rPr>
          <w:rFonts w:cs="Arial"/>
          <w:sz w:val="18"/>
          <w:szCs w:val="18"/>
          <w:rtl/>
        </w:rPr>
        <w:t xml:space="preserve">? </w:t>
      </w:r>
      <w:r w:rsidRPr="00C20FD5">
        <w:rPr>
          <w:rFonts w:cs="Arial" w:hint="cs"/>
          <w:sz w:val="18"/>
          <w:szCs w:val="18"/>
          <w:rtl/>
        </w:rPr>
        <w:t>אין</w:t>
      </w:r>
      <w:r w:rsidRPr="00C20FD5">
        <w:rPr>
          <w:rFonts w:cs="Arial"/>
          <w:sz w:val="18"/>
          <w:szCs w:val="18"/>
          <w:rtl/>
        </w:rPr>
        <w:t xml:space="preserve">, </w:t>
      </w:r>
      <w:r w:rsidRPr="00C20FD5">
        <w:rPr>
          <w:rFonts w:cs="Arial" w:hint="cs"/>
          <w:sz w:val="18"/>
          <w:szCs w:val="18"/>
          <w:rtl/>
        </w:rPr>
        <w:t>והתניא</w:t>
      </w:r>
      <w:r w:rsidRPr="00C20FD5">
        <w:rPr>
          <w:rFonts w:cs="Arial"/>
          <w:sz w:val="18"/>
          <w:szCs w:val="18"/>
          <w:rtl/>
        </w:rPr>
        <w:t xml:space="preserve">: </w:t>
      </w:r>
      <w:r w:rsidRPr="00C20FD5">
        <w:rPr>
          <w:rFonts w:cs="Arial" w:hint="cs"/>
          <w:sz w:val="18"/>
          <w:szCs w:val="18"/>
          <w:rtl/>
        </w:rPr>
        <w:t>נאמנת</w:t>
      </w:r>
      <w:r w:rsidRPr="00C20FD5">
        <w:rPr>
          <w:rFonts w:cs="Arial"/>
          <w:sz w:val="18"/>
          <w:szCs w:val="18"/>
          <w:rtl/>
        </w:rPr>
        <w:t xml:space="preserve"> </w:t>
      </w:r>
      <w:r w:rsidRPr="00C20FD5">
        <w:rPr>
          <w:rFonts w:cs="Arial" w:hint="cs"/>
          <w:sz w:val="18"/>
          <w:szCs w:val="18"/>
          <w:rtl/>
        </w:rPr>
        <w:t>אשה</w:t>
      </w:r>
      <w:r w:rsidRPr="00C20FD5">
        <w:rPr>
          <w:rFonts w:cs="Arial"/>
          <w:sz w:val="18"/>
          <w:szCs w:val="18"/>
          <w:rtl/>
        </w:rPr>
        <w:t xml:space="preserve"> </w:t>
      </w:r>
      <w:r w:rsidRPr="00C20FD5">
        <w:rPr>
          <w:rFonts w:cs="Arial" w:hint="cs"/>
          <w:sz w:val="18"/>
          <w:szCs w:val="18"/>
          <w:rtl/>
        </w:rPr>
        <w:t>לומר</w:t>
      </w:r>
      <w:r w:rsidRPr="00C20FD5">
        <w:rPr>
          <w:rFonts w:cs="Arial"/>
          <w:sz w:val="18"/>
          <w:szCs w:val="18"/>
          <w:rtl/>
        </w:rPr>
        <w:t xml:space="preserve"> </w:t>
      </w:r>
      <w:r w:rsidRPr="00C20FD5">
        <w:rPr>
          <w:rFonts w:cs="Arial" w:hint="cs"/>
          <w:sz w:val="18"/>
          <w:szCs w:val="18"/>
          <w:rtl/>
        </w:rPr>
        <w:t>כזה</w:t>
      </w:r>
      <w:r w:rsidRPr="00C20FD5">
        <w:rPr>
          <w:rFonts w:cs="Arial"/>
          <w:sz w:val="18"/>
          <w:szCs w:val="18"/>
          <w:rtl/>
        </w:rPr>
        <w:t xml:space="preserve"> </w:t>
      </w:r>
      <w:r w:rsidRPr="00C20FD5">
        <w:rPr>
          <w:rFonts w:cs="Arial" w:hint="cs"/>
          <w:sz w:val="18"/>
          <w:szCs w:val="18"/>
          <w:rtl/>
        </w:rPr>
        <w:t>ראיתי</w:t>
      </w:r>
      <w:r w:rsidRPr="00C20FD5">
        <w:rPr>
          <w:rFonts w:cs="Arial"/>
          <w:sz w:val="18"/>
          <w:szCs w:val="18"/>
          <w:rtl/>
        </w:rPr>
        <w:t xml:space="preserve"> </w:t>
      </w:r>
      <w:r w:rsidRPr="00C20FD5">
        <w:rPr>
          <w:rFonts w:cs="Arial" w:hint="cs"/>
          <w:sz w:val="18"/>
          <w:szCs w:val="18"/>
          <w:rtl/>
        </w:rPr>
        <w:t>ואבדתיו</w:t>
      </w:r>
      <w:r>
        <w:rPr>
          <w:rFonts w:cs="Arial"/>
          <w:sz w:val="18"/>
          <w:szCs w:val="18"/>
          <w:rtl/>
        </w:rPr>
        <w:t>"</w:t>
      </w:r>
      <w:r>
        <w:rPr>
          <w:rFonts w:cs="Arial" w:hint="cs"/>
          <w:sz w:val="18"/>
          <w:szCs w:val="18"/>
          <w:rtl/>
        </w:rPr>
        <w:t>.</w:t>
      </w:r>
      <w:r w:rsidRPr="00C20FD5">
        <w:rPr>
          <w:rFonts w:cs="Arial"/>
          <w:sz w:val="18"/>
          <w:szCs w:val="18"/>
          <w:rtl/>
        </w:rPr>
        <w:br/>
      </w:r>
      <w:r w:rsidRPr="00C20FD5">
        <w:rPr>
          <w:rFonts w:cs="Arial" w:hint="cs"/>
          <w:sz w:val="18"/>
          <w:szCs w:val="18"/>
          <w:rtl/>
        </w:rPr>
        <w:t xml:space="preserve">מקשה </w:t>
      </w:r>
      <w:r w:rsidRPr="00E1592E">
        <w:rPr>
          <w:rFonts w:cs="Arial" w:hint="cs"/>
          <w:b/>
          <w:bCs/>
          <w:sz w:val="18"/>
          <w:szCs w:val="18"/>
          <w:rtl/>
        </w:rPr>
        <w:t>הרשב"א</w:t>
      </w:r>
      <w:r w:rsidRPr="00C20FD5">
        <w:rPr>
          <w:rFonts w:cs="Arial" w:hint="cs"/>
          <w:sz w:val="18"/>
          <w:szCs w:val="18"/>
          <w:rtl/>
        </w:rPr>
        <w:t xml:space="preserve"> </w:t>
      </w:r>
      <w:r w:rsidRPr="00C20FD5">
        <w:rPr>
          <w:rFonts w:cs="Arial"/>
          <w:sz w:val="18"/>
          <w:szCs w:val="18"/>
          <w:rtl/>
        </w:rPr>
        <w:t>–</w:t>
      </w:r>
      <w:r w:rsidRPr="00C20FD5">
        <w:rPr>
          <w:rFonts w:cs="Arial" w:hint="cs"/>
          <w:sz w:val="18"/>
          <w:szCs w:val="18"/>
          <w:rtl/>
        </w:rPr>
        <w:t xml:space="preserve"> אם האשה נאמנת, מדוע הראתה את הדם לרב נחמן? ומתרץ שבמקום שיש תלמידי חכמים אינה יכולה לראות משום כבודם, משמע דבלאו האי טעמא נאמנת.</w:t>
      </w:r>
      <w:r>
        <w:rPr>
          <w:rFonts w:hint="cs"/>
          <w:rtl/>
        </w:rPr>
        <w:t xml:space="preserve"> </w:t>
      </w:r>
      <w:r>
        <w:rPr>
          <w:sz w:val="18"/>
          <w:szCs w:val="18"/>
          <w:rtl/>
        </w:rPr>
        <w:br/>
      </w:r>
      <w:r w:rsidRPr="00E1592E">
        <w:rPr>
          <w:rFonts w:hint="cs"/>
          <w:sz w:val="18"/>
          <w:szCs w:val="18"/>
          <w:rtl/>
        </w:rPr>
        <w:t xml:space="preserve">ומבאר </w:t>
      </w:r>
      <w:r w:rsidRPr="00E1592E">
        <w:rPr>
          <w:rFonts w:hint="cs"/>
          <w:b/>
          <w:bCs/>
          <w:sz w:val="18"/>
          <w:szCs w:val="18"/>
          <w:rtl/>
        </w:rPr>
        <w:t>שבט הלוי</w:t>
      </w:r>
      <w:r w:rsidRPr="00E1592E">
        <w:rPr>
          <w:rFonts w:hint="cs"/>
          <w:sz w:val="18"/>
          <w:szCs w:val="18"/>
          <w:rtl/>
        </w:rPr>
        <w:t xml:space="preserve"> </w:t>
      </w:r>
      <w:r w:rsidRPr="00E1592E">
        <w:rPr>
          <w:sz w:val="18"/>
          <w:szCs w:val="18"/>
          <w:rtl/>
        </w:rPr>
        <w:t>–</w:t>
      </w:r>
      <w:r w:rsidRPr="00E1592E">
        <w:rPr>
          <w:rFonts w:hint="cs"/>
          <w:sz w:val="18"/>
          <w:szCs w:val="18"/>
          <w:rtl/>
        </w:rPr>
        <w:t xml:space="preserve"> לפי"ז, אישה נאמנת בכל עניין עד שנולד הספק ע"י חכם ויש שור שחוט לפניך, אז אינה נאמנת להכריע את הדבר</w:t>
      </w:r>
      <w:r>
        <w:rPr>
          <w:rFonts w:hint="cs"/>
          <w:rtl/>
        </w:rPr>
        <w:t>.</w:t>
      </w:r>
    </w:p>
  </w:footnote>
  <w:footnote w:id="152">
    <w:p w:rsidR="005953C5" w:rsidRPr="00A543A7" w:rsidRDefault="005953C5" w:rsidP="00620060">
      <w:pPr>
        <w:rPr>
          <w:sz w:val="18"/>
          <w:szCs w:val="18"/>
          <w:rtl/>
        </w:rPr>
      </w:pPr>
      <w:r>
        <w:rPr>
          <w:rStyle w:val="a5"/>
        </w:rPr>
        <w:footnoteRef/>
      </w:r>
      <w:r>
        <w:rPr>
          <w:rtl/>
        </w:rPr>
        <w:t xml:space="preserve"> </w:t>
      </w:r>
      <w:r>
        <w:rPr>
          <w:rFonts w:hint="cs"/>
          <w:b/>
          <w:bCs/>
          <w:sz w:val="18"/>
          <w:szCs w:val="18"/>
          <w:rtl/>
        </w:rPr>
        <w:t>ביאור הסוגייה לפי השיטות השונות</w:t>
      </w:r>
      <w:r>
        <w:rPr>
          <w:b/>
          <w:bCs/>
          <w:sz w:val="18"/>
          <w:szCs w:val="18"/>
          <w:rtl/>
        </w:rPr>
        <w:br/>
      </w:r>
      <w:r w:rsidRPr="00A543A7">
        <w:rPr>
          <w:rFonts w:hint="cs"/>
          <w:b/>
          <w:bCs/>
          <w:sz w:val="18"/>
          <w:szCs w:val="18"/>
          <w:rtl/>
        </w:rPr>
        <w:t>שיטת רש"י</w:t>
      </w:r>
      <w:r w:rsidRPr="00A543A7">
        <w:rPr>
          <w:sz w:val="18"/>
          <w:szCs w:val="18"/>
          <w:u w:val="single"/>
          <w:rtl/>
        </w:rPr>
        <w:br/>
      </w:r>
      <w:r w:rsidRPr="00A543A7">
        <w:rPr>
          <w:rFonts w:hint="cs"/>
          <w:sz w:val="18"/>
          <w:szCs w:val="18"/>
          <w:rtl/>
        </w:rPr>
        <w:t xml:space="preserve">א. </w:t>
      </w:r>
      <w:r w:rsidRPr="00A543A7">
        <w:rPr>
          <w:rFonts w:hint="cs"/>
          <w:sz w:val="18"/>
          <w:szCs w:val="18"/>
          <w:u w:val="single"/>
          <w:rtl/>
        </w:rPr>
        <w:t>טעם שדם בשפופרת אינו מטמא</w:t>
      </w:r>
      <w:r w:rsidRPr="00A543A7">
        <w:rPr>
          <w:rFonts w:hint="cs"/>
          <w:sz w:val="18"/>
          <w:szCs w:val="18"/>
          <w:rtl/>
        </w:rPr>
        <w:t xml:space="preserve"> </w:t>
      </w:r>
      <w:r w:rsidRPr="00A543A7">
        <w:rPr>
          <w:sz w:val="18"/>
          <w:szCs w:val="18"/>
          <w:rtl/>
        </w:rPr>
        <w:t>–</w:t>
      </w:r>
      <w:r w:rsidRPr="00A543A7">
        <w:rPr>
          <w:rFonts w:hint="cs"/>
          <w:sz w:val="18"/>
          <w:szCs w:val="18"/>
          <w:rtl/>
        </w:rPr>
        <w:t xml:space="preserve"> מחמת ההפסק שיש בין הדם לרחם, ולכן לא קשה מהמימרא של רבי יוחנן לגבי דם אגור בחתיכה כיוון שמין במינו אינו חוצץ וטמאה.</w:t>
      </w:r>
      <w:r w:rsidRPr="00A543A7">
        <w:rPr>
          <w:sz w:val="18"/>
          <w:szCs w:val="18"/>
          <w:rtl/>
        </w:rPr>
        <w:br/>
      </w:r>
      <w:r w:rsidRPr="00A543A7">
        <w:rPr>
          <w:rFonts w:hint="cs"/>
          <w:sz w:val="18"/>
          <w:szCs w:val="18"/>
          <w:rtl/>
        </w:rPr>
        <w:t xml:space="preserve">ב. </w:t>
      </w:r>
      <w:r w:rsidRPr="00A543A7">
        <w:rPr>
          <w:rFonts w:hint="cs"/>
          <w:sz w:val="18"/>
          <w:szCs w:val="18"/>
          <w:u w:val="single"/>
          <w:rtl/>
        </w:rPr>
        <w:t>הסבר ההוא אמינא בגמרא</w:t>
      </w:r>
      <w:r w:rsidRPr="00A543A7">
        <w:rPr>
          <w:rFonts w:hint="cs"/>
          <w:sz w:val="18"/>
          <w:szCs w:val="18"/>
          <w:rtl/>
        </w:rPr>
        <w:t xml:space="preserve"> </w:t>
      </w:r>
      <w:r w:rsidRPr="00A543A7">
        <w:rPr>
          <w:rFonts w:hint="cs"/>
          <w:sz w:val="16"/>
          <w:szCs w:val="16"/>
          <w:rtl/>
        </w:rPr>
        <w:t>(לימא</w:t>
      </w:r>
      <w:r w:rsidRPr="00A543A7">
        <w:rPr>
          <w:rFonts w:hint="cs"/>
          <w:sz w:val="14"/>
          <w:szCs w:val="14"/>
          <w:rtl/>
        </w:rPr>
        <w:t xml:space="preserve"> </w:t>
      </w:r>
      <w:r w:rsidRPr="00A543A7">
        <w:rPr>
          <w:rFonts w:cs="Arial" w:hint="cs"/>
          <w:sz w:val="16"/>
          <w:szCs w:val="16"/>
          <w:rtl/>
        </w:rPr>
        <w:t>שפופרת</w:t>
      </w:r>
      <w:r w:rsidRPr="00A543A7">
        <w:rPr>
          <w:rFonts w:hint="cs"/>
          <w:sz w:val="14"/>
          <w:szCs w:val="14"/>
          <w:rtl/>
        </w:rPr>
        <w:t xml:space="preserve"> </w:t>
      </w:r>
      <w:r w:rsidRPr="00A543A7">
        <w:rPr>
          <w:rFonts w:hint="cs"/>
          <w:sz w:val="16"/>
          <w:szCs w:val="16"/>
          <w:rtl/>
        </w:rPr>
        <w:t>תנאי היא)</w:t>
      </w:r>
      <w:r w:rsidRPr="00A543A7">
        <w:rPr>
          <w:rFonts w:hint="cs"/>
          <w:sz w:val="18"/>
          <w:szCs w:val="18"/>
          <w:rtl/>
        </w:rPr>
        <w:t xml:space="preserve"> </w:t>
      </w:r>
      <w:r w:rsidRPr="00A543A7">
        <w:rPr>
          <w:sz w:val="18"/>
          <w:szCs w:val="18"/>
          <w:rtl/>
        </w:rPr>
        <w:t>–</w:t>
      </w:r>
      <w:r w:rsidRPr="00A543A7">
        <w:rPr>
          <w:rFonts w:hint="cs"/>
          <w:sz w:val="18"/>
          <w:szCs w:val="18"/>
          <w:rtl/>
        </w:rPr>
        <w:t xml:space="preserve"> רבי אליעזר מטהר בכל מקרה שיש חציצה בין הדם לרחם, ולכן אף בשפופרת מטהר מטעם זה, אך בפלי פלויי הדם נוגע ברחם וטמאה. לעומת זאת, חכמים מטהרים בחתיכה משום שאין זה דם נידה אלא דם חתיכה ואף בפלי פלויי מטהרים, אך דם היוצא בשפופרת טמא כיוון שהוא דם נידה.</w:t>
      </w:r>
      <w:r w:rsidRPr="00A543A7">
        <w:rPr>
          <w:sz w:val="18"/>
          <w:szCs w:val="18"/>
          <w:rtl/>
        </w:rPr>
        <w:br/>
      </w:r>
      <w:r w:rsidRPr="00A543A7">
        <w:rPr>
          <w:rFonts w:hint="cs"/>
          <w:sz w:val="18"/>
          <w:szCs w:val="18"/>
          <w:rtl/>
        </w:rPr>
        <w:t xml:space="preserve">ג. </w:t>
      </w:r>
      <w:r w:rsidRPr="00A543A7">
        <w:rPr>
          <w:rFonts w:hint="cs"/>
          <w:sz w:val="18"/>
          <w:szCs w:val="18"/>
          <w:u w:val="single"/>
          <w:rtl/>
        </w:rPr>
        <w:t>הסבר דברי אביי</w:t>
      </w:r>
      <w:r w:rsidRPr="00A543A7">
        <w:rPr>
          <w:rFonts w:hint="cs"/>
          <w:sz w:val="18"/>
          <w:szCs w:val="18"/>
          <w:rtl/>
        </w:rPr>
        <w:t xml:space="preserve"> </w:t>
      </w:r>
      <w:r w:rsidRPr="00A543A7">
        <w:rPr>
          <w:sz w:val="18"/>
          <w:szCs w:val="18"/>
          <w:rtl/>
        </w:rPr>
        <w:t>–</w:t>
      </w:r>
      <w:r w:rsidRPr="00A543A7">
        <w:rPr>
          <w:rFonts w:hint="cs"/>
          <w:sz w:val="18"/>
          <w:szCs w:val="18"/>
          <w:rtl/>
        </w:rPr>
        <w:t xml:space="preserve"> בשפופרת לכו"ע טהורה, אלא שנחלקו בדם בחתיכה כשהוא פלי פלויי. רבי אליעזר סובר שגזה"כ "בבשרה" ממעטת רק דם בתוך החתיכה אך דם מחוץ לחתיכה </w:t>
      </w:r>
      <w:r w:rsidRPr="00A543A7">
        <w:rPr>
          <w:rFonts w:hint="cs"/>
          <w:sz w:val="16"/>
          <w:szCs w:val="16"/>
          <w:rtl/>
        </w:rPr>
        <w:t xml:space="preserve">(פלי פלויי) </w:t>
      </w:r>
      <w:r w:rsidRPr="00A543A7">
        <w:rPr>
          <w:rFonts w:hint="cs"/>
          <w:sz w:val="18"/>
          <w:szCs w:val="18"/>
          <w:rtl/>
        </w:rPr>
        <w:t>טמא ואף הוא קרוי "בבשרה". חכמים חולקים ומטהרים גם דם פלי פלויי, כיוון שאין זה דם נידה אלא דם חתיכה.</w:t>
      </w:r>
    </w:p>
    <w:p w:rsidR="005953C5" w:rsidRPr="00A543A7" w:rsidRDefault="005953C5" w:rsidP="00620060">
      <w:pPr>
        <w:rPr>
          <w:sz w:val="18"/>
          <w:szCs w:val="18"/>
          <w:rtl/>
        </w:rPr>
      </w:pPr>
      <w:r w:rsidRPr="00A543A7">
        <w:rPr>
          <w:rFonts w:hint="cs"/>
          <w:sz w:val="18"/>
          <w:szCs w:val="18"/>
          <w:u w:val="single"/>
          <w:rtl/>
        </w:rPr>
        <w:t>קושיות הרא"ש על שיטת רש"י</w:t>
      </w:r>
      <w:r w:rsidRPr="00A543A7">
        <w:rPr>
          <w:sz w:val="18"/>
          <w:szCs w:val="18"/>
          <w:u w:val="single"/>
          <w:rtl/>
        </w:rPr>
        <w:br/>
      </w:r>
      <w:r w:rsidRPr="00A543A7">
        <w:rPr>
          <w:rFonts w:hint="cs"/>
          <w:sz w:val="18"/>
          <w:szCs w:val="18"/>
          <w:rtl/>
        </w:rPr>
        <w:t>א. בריש הסוגייה נאמר בטעם ההיתר של דם בשפופרת "</w:t>
      </w:r>
      <w:r w:rsidRPr="00A543A7">
        <w:rPr>
          <w:rFonts w:cs="Arial" w:hint="cs"/>
          <w:sz w:val="18"/>
          <w:szCs w:val="18"/>
          <w:rtl/>
        </w:rPr>
        <w:t>אין</w:t>
      </w:r>
      <w:r w:rsidRPr="00A543A7">
        <w:rPr>
          <w:rFonts w:cs="Arial"/>
          <w:sz w:val="18"/>
          <w:szCs w:val="18"/>
          <w:rtl/>
        </w:rPr>
        <w:t xml:space="preserve"> </w:t>
      </w:r>
      <w:r w:rsidRPr="00A543A7">
        <w:rPr>
          <w:rFonts w:cs="Arial" w:hint="cs"/>
          <w:sz w:val="18"/>
          <w:szCs w:val="18"/>
          <w:rtl/>
        </w:rPr>
        <w:t>דרכה</w:t>
      </w:r>
      <w:r w:rsidRPr="00A543A7">
        <w:rPr>
          <w:rFonts w:cs="Arial"/>
          <w:sz w:val="18"/>
          <w:szCs w:val="18"/>
          <w:rtl/>
        </w:rPr>
        <w:t xml:space="preserve"> </w:t>
      </w:r>
      <w:r w:rsidRPr="00A543A7">
        <w:rPr>
          <w:rFonts w:cs="Arial" w:hint="cs"/>
          <w:sz w:val="18"/>
          <w:szCs w:val="18"/>
          <w:rtl/>
        </w:rPr>
        <w:t>של</w:t>
      </w:r>
      <w:r w:rsidRPr="00A543A7">
        <w:rPr>
          <w:rFonts w:cs="Arial"/>
          <w:sz w:val="18"/>
          <w:szCs w:val="18"/>
          <w:rtl/>
        </w:rPr>
        <w:t xml:space="preserve"> </w:t>
      </w:r>
      <w:r w:rsidRPr="00A543A7">
        <w:rPr>
          <w:rFonts w:cs="Arial" w:hint="cs"/>
          <w:sz w:val="18"/>
          <w:szCs w:val="18"/>
          <w:rtl/>
        </w:rPr>
        <w:t>אשה</w:t>
      </w:r>
      <w:r w:rsidRPr="00A543A7">
        <w:rPr>
          <w:rFonts w:cs="Arial"/>
          <w:sz w:val="18"/>
          <w:szCs w:val="18"/>
          <w:rtl/>
        </w:rPr>
        <w:t xml:space="preserve"> </w:t>
      </w:r>
      <w:r w:rsidRPr="00A543A7">
        <w:rPr>
          <w:rFonts w:cs="Arial" w:hint="cs"/>
          <w:sz w:val="18"/>
          <w:szCs w:val="18"/>
          <w:rtl/>
        </w:rPr>
        <w:t>לראות</w:t>
      </w:r>
      <w:r w:rsidRPr="00A543A7">
        <w:rPr>
          <w:rFonts w:cs="Arial"/>
          <w:sz w:val="18"/>
          <w:szCs w:val="18"/>
          <w:rtl/>
        </w:rPr>
        <w:t xml:space="preserve"> </w:t>
      </w:r>
      <w:r w:rsidRPr="00A543A7">
        <w:rPr>
          <w:rFonts w:cs="Arial" w:hint="cs"/>
          <w:sz w:val="18"/>
          <w:szCs w:val="18"/>
          <w:rtl/>
        </w:rPr>
        <w:t>דם</w:t>
      </w:r>
      <w:r w:rsidRPr="00A543A7">
        <w:rPr>
          <w:rFonts w:cs="Arial"/>
          <w:sz w:val="18"/>
          <w:szCs w:val="18"/>
          <w:rtl/>
        </w:rPr>
        <w:t xml:space="preserve"> </w:t>
      </w:r>
      <w:r w:rsidRPr="00A543A7">
        <w:rPr>
          <w:rFonts w:cs="Arial" w:hint="cs"/>
          <w:sz w:val="18"/>
          <w:szCs w:val="18"/>
          <w:rtl/>
        </w:rPr>
        <w:t>בשפופרת</w:t>
      </w:r>
      <w:r w:rsidRPr="00A543A7">
        <w:rPr>
          <w:rFonts w:hint="cs"/>
          <w:sz w:val="18"/>
          <w:szCs w:val="18"/>
          <w:rtl/>
        </w:rPr>
        <w:t>", ומפרש רש"י שהטעם הוא משום הפסקה. אלא, שביטוי זה ממש נאמר גם בסוף הסוגייה "</w:t>
      </w:r>
      <w:r w:rsidRPr="00A543A7">
        <w:rPr>
          <w:rFonts w:cs="Arial" w:hint="cs"/>
          <w:sz w:val="18"/>
          <w:szCs w:val="18"/>
          <w:rtl/>
        </w:rPr>
        <w:t>כי</w:t>
      </w:r>
      <w:r w:rsidRPr="00A543A7">
        <w:rPr>
          <w:rFonts w:cs="Arial"/>
          <w:sz w:val="18"/>
          <w:szCs w:val="18"/>
          <w:rtl/>
        </w:rPr>
        <w:t xml:space="preserve"> </w:t>
      </w:r>
      <w:r w:rsidRPr="00A543A7">
        <w:rPr>
          <w:rFonts w:cs="Arial" w:hint="cs"/>
          <w:sz w:val="18"/>
          <w:szCs w:val="18"/>
          <w:rtl/>
        </w:rPr>
        <w:t>פליגי</w:t>
      </w:r>
      <w:r w:rsidRPr="00A543A7">
        <w:rPr>
          <w:rFonts w:cs="Arial"/>
          <w:sz w:val="18"/>
          <w:szCs w:val="18"/>
          <w:rtl/>
        </w:rPr>
        <w:t xml:space="preserve"> - </w:t>
      </w:r>
      <w:r w:rsidRPr="00A543A7">
        <w:rPr>
          <w:rFonts w:cs="Arial" w:hint="cs"/>
          <w:sz w:val="18"/>
          <w:szCs w:val="18"/>
          <w:rtl/>
        </w:rPr>
        <w:t>בחתיכה</w:t>
      </w:r>
      <w:r w:rsidRPr="00A543A7">
        <w:rPr>
          <w:rFonts w:cs="Arial"/>
          <w:sz w:val="18"/>
          <w:szCs w:val="18"/>
          <w:rtl/>
        </w:rPr>
        <w:t xml:space="preserve">; </w:t>
      </w:r>
      <w:r w:rsidRPr="00A543A7">
        <w:rPr>
          <w:rFonts w:cs="Arial" w:hint="cs"/>
          <w:sz w:val="18"/>
          <w:szCs w:val="18"/>
          <w:rtl/>
        </w:rPr>
        <w:t>מר</w:t>
      </w:r>
      <w:r w:rsidRPr="00A543A7">
        <w:rPr>
          <w:rFonts w:cs="Arial"/>
          <w:sz w:val="18"/>
          <w:szCs w:val="18"/>
          <w:rtl/>
        </w:rPr>
        <w:t xml:space="preserve"> </w:t>
      </w:r>
      <w:r w:rsidRPr="00A543A7">
        <w:rPr>
          <w:rFonts w:cs="Arial" w:hint="cs"/>
          <w:sz w:val="18"/>
          <w:szCs w:val="18"/>
          <w:rtl/>
        </w:rPr>
        <w:t>סבר</w:t>
      </w:r>
      <w:r w:rsidRPr="00A543A7">
        <w:rPr>
          <w:rFonts w:cs="Arial"/>
          <w:sz w:val="18"/>
          <w:szCs w:val="18"/>
          <w:rtl/>
        </w:rPr>
        <w:t xml:space="preserve"> </w:t>
      </w:r>
      <w:r w:rsidRPr="00A543A7">
        <w:rPr>
          <w:rFonts w:cs="Arial" w:hint="cs"/>
          <w:sz w:val="18"/>
          <w:szCs w:val="18"/>
          <w:rtl/>
        </w:rPr>
        <w:t>דרכה</w:t>
      </w:r>
      <w:r w:rsidRPr="00A543A7">
        <w:rPr>
          <w:rFonts w:cs="Arial"/>
          <w:sz w:val="18"/>
          <w:szCs w:val="18"/>
          <w:rtl/>
        </w:rPr>
        <w:t xml:space="preserve"> </w:t>
      </w:r>
      <w:r w:rsidRPr="00A543A7">
        <w:rPr>
          <w:rFonts w:cs="Arial" w:hint="cs"/>
          <w:sz w:val="18"/>
          <w:szCs w:val="18"/>
          <w:rtl/>
        </w:rPr>
        <w:t>של</w:t>
      </w:r>
      <w:r w:rsidRPr="00A543A7">
        <w:rPr>
          <w:rFonts w:cs="Arial"/>
          <w:sz w:val="18"/>
          <w:szCs w:val="18"/>
          <w:rtl/>
        </w:rPr>
        <w:t xml:space="preserve"> </w:t>
      </w:r>
      <w:r w:rsidRPr="00A543A7">
        <w:rPr>
          <w:rFonts w:cs="Arial" w:hint="cs"/>
          <w:sz w:val="18"/>
          <w:szCs w:val="18"/>
          <w:rtl/>
        </w:rPr>
        <w:t>אשה</w:t>
      </w:r>
      <w:r w:rsidRPr="00A543A7">
        <w:rPr>
          <w:rFonts w:cs="Arial"/>
          <w:sz w:val="18"/>
          <w:szCs w:val="18"/>
          <w:rtl/>
        </w:rPr>
        <w:t xml:space="preserve"> </w:t>
      </w:r>
      <w:r w:rsidRPr="00A543A7">
        <w:rPr>
          <w:rFonts w:cs="Arial" w:hint="cs"/>
          <w:sz w:val="18"/>
          <w:szCs w:val="18"/>
          <w:rtl/>
        </w:rPr>
        <w:t>לראות</w:t>
      </w:r>
      <w:r w:rsidRPr="00A543A7">
        <w:rPr>
          <w:rFonts w:cs="Arial"/>
          <w:sz w:val="18"/>
          <w:szCs w:val="18"/>
          <w:rtl/>
        </w:rPr>
        <w:t xml:space="preserve"> </w:t>
      </w:r>
      <w:r w:rsidRPr="00A543A7">
        <w:rPr>
          <w:rFonts w:cs="Arial" w:hint="cs"/>
          <w:sz w:val="18"/>
          <w:szCs w:val="18"/>
          <w:rtl/>
        </w:rPr>
        <w:t>דם</w:t>
      </w:r>
      <w:r w:rsidRPr="00A543A7">
        <w:rPr>
          <w:rFonts w:cs="Arial"/>
          <w:sz w:val="18"/>
          <w:szCs w:val="18"/>
          <w:rtl/>
        </w:rPr>
        <w:t xml:space="preserve"> </w:t>
      </w:r>
      <w:r w:rsidRPr="00A543A7">
        <w:rPr>
          <w:rFonts w:cs="Arial" w:hint="cs"/>
          <w:sz w:val="18"/>
          <w:szCs w:val="18"/>
          <w:rtl/>
        </w:rPr>
        <w:t>בחתיכה</w:t>
      </w:r>
      <w:r w:rsidRPr="00A543A7">
        <w:rPr>
          <w:rFonts w:cs="Arial"/>
          <w:sz w:val="18"/>
          <w:szCs w:val="18"/>
          <w:rtl/>
        </w:rPr>
        <w:t xml:space="preserve">, </w:t>
      </w:r>
      <w:r w:rsidRPr="00A543A7">
        <w:rPr>
          <w:rFonts w:cs="Arial" w:hint="cs"/>
          <w:sz w:val="18"/>
          <w:szCs w:val="18"/>
          <w:rtl/>
        </w:rPr>
        <w:t>ומר</w:t>
      </w:r>
      <w:r w:rsidRPr="00A543A7">
        <w:rPr>
          <w:rFonts w:cs="Arial"/>
          <w:sz w:val="18"/>
          <w:szCs w:val="18"/>
          <w:rtl/>
        </w:rPr>
        <w:t xml:space="preserve"> </w:t>
      </w:r>
      <w:r w:rsidRPr="00A543A7">
        <w:rPr>
          <w:rFonts w:cs="Arial" w:hint="cs"/>
          <w:sz w:val="18"/>
          <w:szCs w:val="18"/>
          <w:rtl/>
        </w:rPr>
        <w:t>סבר</w:t>
      </w:r>
      <w:r w:rsidRPr="00A543A7">
        <w:rPr>
          <w:rFonts w:cs="Arial"/>
          <w:sz w:val="18"/>
          <w:szCs w:val="18"/>
          <w:rtl/>
        </w:rPr>
        <w:t xml:space="preserve"> </w:t>
      </w:r>
      <w:r w:rsidRPr="00A543A7">
        <w:rPr>
          <w:rFonts w:cs="Arial" w:hint="cs"/>
          <w:sz w:val="18"/>
          <w:szCs w:val="18"/>
          <w:rtl/>
        </w:rPr>
        <w:t>אין</w:t>
      </w:r>
      <w:r w:rsidRPr="00A543A7">
        <w:rPr>
          <w:rFonts w:cs="Arial"/>
          <w:sz w:val="18"/>
          <w:szCs w:val="18"/>
          <w:rtl/>
        </w:rPr>
        <w:t xml:space="preserve"> </w:t>
      </w:r>
      <w:r w:rsidRPr="00A543A7">
        <w:rPr>
          <w:rFonts w:cs="Arial" w:hint="cs"/>
          <w:sz w:val="18"/>
          <w:szCs w:val="18"/>
          <w:rtl/>
        </w:rPr>
        <w:t>דרכה</w:t>
      </w:r>
      <w:r w:rsidRPr="00A543A7">
        <w:rPr>
          <w:rFonts w:cs="Arial"/>
          <w:sz w:val="18"/>
          <w:szCs w:val="18"/>
          <w:rtl/>
        </w:rPr>
        <w:t xml:space="preserve"> </w:t>
      </w:r>
      <w:r w:rsidRPr="00A543A7">
        <w:rPr>
          <w:rFonts w:cs="Arial" w:hint="cs"/>
          <w:sz w:val="18"/>
          <w:szCs w:val="18"/>
          <w:rtl/>
        </w:rPr>
        <w:t>של</w:t>
      </w:r>
      <w:r w:rsidRPr="00A543A7">
        <w:rPr>
          <w:rFonts w:cs="Arial"/>
          <w:sz w:val="18"/>
          <w:szCs w:val="18"/>
          <w:rtl/>
        </w:rPr>
        <w:t xml:space="preserve"> </w:t>
      </w:r>
      <w:r w:rsidRPr="00A543A7">
        <w:rPr>
          <w:rFonts w:cs="Arial" w:hint="cs"/>
          <w:sz w:val="18"/>
          <w:szCs w:val="18"/>
          <w:rtl/>
        </w:rPr>
        <w:t>אשה</w:t>
      </w:r>
      <w:r w:rsidRPr="00A543A7">
        <w:rPr>
          <w:rFonts w:cs="Arial"/>
          <w:sz w:val="18"/>
          <w:szCs w:val="18"/>
          <w:rtl/>
        </w:rPr>
        <w:t xml:space="preserve"> </w:t>
      </w:r>
      <w:r w:rsidRPr="00A543A7">
        <w:rPr>
          <w:rFonts w:cs="Arial" w:hint="cs"/>
          <w:sz w:val="18"/>
          <w:szCs w:val="18"/>
          <w:rtl/>
        </w:rPr>
        <w:t>לראות</w:t>
      </w:r>
      <w:r w:rsidRPr="00A543A7">
        <w:rPr>
          <w:rFonts w:cs="Arial"/>
          <w:sz w:val="18"/>
          <w:szCs w:val="18"/>
          <w:rtl/>
        </w:rPr>
        <w:t xml:space="preserve"> </w:t>
      </w:r>
      <w:r w:rsidRPr="00A543A7">
        <w:rPr>
          <w:rFonts w:cs="Arial" w:hint="cs"/>
          <w:sz w:val="18"/>
          <w:szCs w:val="18"/>
          <w:rtl/>
        </w:rPr>
        <w:t>דם</w:t>
      </w:r>
      <w:r w:rsidRPr="00A543A7">
        <w:rPr>
          <w:rFonts w:cs="Arial"/>
          <w:sz w:val="18"/>
          <w:szCs w:val="18"/>
          <w:rtl/>
        </w:rPr>
        <w:t xml:space="preserve"> </w:t>
      </w:r>
      <w:r w:rsidRPr="00A543A7">
        <w:rPr>
          <w:rFonts w:cs="Arial" w:hint="cs"/>
          <w:sz w:val="18"/>
          <w:szCs w:val="18"/>
          <w:rtl/>
        </w:rPr>
        <w:t>בחתיכה", וכאן מפרש רש"י שטעם ההיתר הוא משום שאין זה דם נידה אלא דם חתיכה. ומעתה יקשה כיצד מפרש רש"י את אותו מושג באופנים שונים?</w:t>
      </w:r>
      <w:r w:rsidRPr="00A543A7">
        <w:rPr>
          <w:sz w:val="18"/>
          <w:szCs w:val="18"/>
          <w:rtl/>
        </w:rPr>
        <w:br/>
      </w:r>
      <w:r w:rsidRPr="00A543A7">
        <w:rPr>
          <w:rFonts w:hint="cs"/>
          <w:sz w:val="18"/>
          <w:szCs w:val="18"/>
          <w:rtl/>
        </w:rPr>
        <w:t>ב. אם הפירוש של רש"י בסוף הסוגייה נכון, היתה הגמרא צריכה לומר "ומר סבר אין זה דם נידה", כלשון הברייתא לעיל.</w:t>
      </w:r>
      <w:r w:rsidRPr="00A543A7">
        <w:rPr>
          <w:sz w:val="18"/>
          <w:szCs w:val="18"/>
          <w:rtl/>
        </w:rPr>
        <w:br/>
      </w:r>
      <w:r w:rsidRPr="00A543A7">
        <w:rPr>
          <w:rFonts w:hint="cs"/>
          <w:sz w:val="18"/>
          <w:szCs w:val="18"/>
          <w:rtl/>
        </w:rPr>
        <w:t>ג. אביי אינו מחדש מאומה במחלוקת רבי אליעזר וחכמים בדין חתיכה, ואם כן לא היה צריך להציע שנית את הסבר מחלוקתם בדין זה, אלא היה עליו לומר באופן קצר "בשפופרת כולי עלמא לא פליגי דטהורה, כי פליגי בחתיכה".</w:t>
      </w:r>
    </w:p>
    <w:p w:rsidR="005953C5" w:rsidRDefault="005953C5" w:rsidP="00620060">
      <w:pPr>
        <w:pStyle w:val="a3"/>
      </w:pPr>
      <w:r w:rsidRPr="00A543A7">
        <w:rPr>
          <w:rFonts w:hint="cs"/>
          <w:b/>
          <w:bCs/>
          <w:sz w:val="18"/>
          <w:szCs w:val="18"/>
          <w:rtl/>
        </w:rPr>
        <w:t>שיטת רבינו שמשון</w:t>
      </w:r>
      <w:r w:rsidRPr="00A543A7">
        <w:rPr>
          <w:sz w:val="18"/>
          <w:szCs w:val="18"/>
          <w:u w:val="single"/>
          <w:rtl/>
        </w:rPr>
        <w:br/>
      </w:r>
      <w:r w:rsidRPr="00A543A7">
        <w:rPr>
          <w:rFonts w:hint="cs"/>
          <w:sz w:val="18"/>
          <w:szCs w:val="18"/>
          <w:rtl/>
        </w:rPr>
        <w:t xml:space="preserve">נחלקו רבי אליעזר וחכמים בטעם הדין שדם בשפופרת אינו מטמא. רבי אליעזר סובר שזה מטעם הפסקה, ולכן גם דם בחתיכה אינו מטמא, אלא שכאשר הוא פלי פלויי אין חציצה ומטמא. חכמים חולקים וסוברים שטעם דין שפופרת הוא משום שאין דרכה של אשה לראות באופן זה, ולכן גם דם בחתיכה אינו מטמא אפילו פלי פלויי משום שאין דרכה של אשה לראות באופן זה </w:t>
      </w:r>
      <w:r w:rsidRPr="00A543A7">
        <w:rPr>
          <w:rFonts w:hint="cs"/>
          <w:sz w:val="16"/>
          <w:szCs w:val="16"/>
          <w:rtl/>
        </w:rPr>
        <w:t>(ומה שנאמר בברייתא "אין זה דם נידה", כוונתם שאין דם נידה רגיל לבוא באופן זה).</w:t>
      </w:r>
      <w:r w:rsidRPr="00A543A7">
        <w:rPr>
          <w:sz w:val="16"/>
          <w:szCs w:val="16"/>
          <w:rtl/>
        </w:rPr>
        <w:br/>
      </w:r>
    </w:p>
  </w:footnote>
  <w:footnote w:id="153">
    <w:p w:rsidR="005953C5" w:rsidRDefault="005953C5" w:rsidP="00620060">
      <w:pPr>
        <w:pStyle w:val="a3"/>
      </w:pPr>
      <w:r w:rsidRPr="00621F2E">
        <w:rPr>
          <w:rStyle w:val="a5"/>
          <w:sz w:val="18"/>
          <w:szCs w:val="18"/>
        </w:rPr>
        <w:footnoteRef/>
      </w:r>
      <w:r w:rsidRPr="00621F2E">
        <w:rPr>
          <w:sz w:val="18"/>
          <w:szCs w:val="18"/>
          <w:rtl/>
        </w:rPr>
        <w:t xml:space="preserve"> </w:t>
      </w:r>
      <w:r w:rsidRPr="00621F2E">
        <w:rPr>
          <w:rFonts w:hint="cs"/>
          <w:sz w:val="18"/>
          <w:szCs w:val="18"/>
          <w:rtl/>
        </w:rPr>
        <w:t xml:space="preserve">בהסבר דעת </w:t>
      </w:r>
      <w:r w:rsidRPr="00621F2E">
        <w:rPr>
          <w:rFonts w:hint="cs"/>
          <w:b/>
          <w:bCs/>
          <w:sz w:val="18"/>
          <w:szCs w:val="18"/>
          <w:rtl/>
        </w:rPr>
        <w:t>ר"ש</w:t>
      </w:r>
      <w:r w:rsidRPr="00621F2E">
        <w:rPr>
          <w:rFonts w:hint="cs"/>
          <w:sz w:val="18"/>
          <w:szCs w:val="18"/>
          <w:rtl/>
        </w:rPr>
        <w:t xml:space="preserve"> בדין זה נחלקו האחרונים: </w:t>
      </w:r>
      <w:r>
        <w:rPr>
          <w:sz w:val="18"/>
          <w:szCs w:val="18"/>
          <w:rtl/>
        </w:rPr>
        <w:br/>
      </w:r>
      <w:r w:rsidRPr="00621F2E">
        <w:rPr>
          <w:rFonts w:hint="cs"/>
          <w:sz w:val="18"/>
          <w:szCs w:val="18"/>
          <w:rtl/>
        </w:rPr>
        <w:t xml:space="preserve">יש שהבינו שאין דרכה לראות הכוונה היא משום שהדם לא נוגע בבשרה, ומשום כך אף אם תראה את ראייתה החודשית באופן זה </w:t>
      </w:r>
      <w:r w:rsidRPr="00621F2E">
        <w:rPr>
          <w:sz w:val="18"/>
          <w:szCs w:val="18"/>
          <w:rtl/>
        </w:rPr>
        <w:t>–</w:t>
      </w:r>
      <w:r w:rsidRPr="00621F2E">
        <w:rPr>
          <w:rFonts w:hint="cs"/>
          <w:sz w:val="18"/>
          <w:szCs w:val="18"/>
          <w:rtl/>
        </w:rPr>
        <w:t xml:space="preserve"> טהורה. </w:t>
      </w:r>
      <w:r w:rsidRPr="00621F2E">
        <w:rPr>
          <w:rFonts w:hint="cs"/>
          <w:sz w:val="16"/>
          <w:szCs w:val="16"/>
          <w:rtl/>
        </w:rPr>
        <w:t>(כך הבין הגרש"ז ורצה להתיר ע"פ זה לאשה שלא יכלה להתעבר שתשים שפופרת באופן שהדם לא ייגע כלל בבשרה וכך לא תטמא כלל. ברם, יצאו על פסק זה הרבה עוררים ולכן לא פרסמו לבסוף)</w:t>
      </w:r>
      <w:r w:rsidRPr="00621F2E">
        <w:rPr>
          <w:rFonts w:hint="cs"/>
          <w:sz w:val="18"/>
          <w:szCs w:val="18"/>
          <w:rtl/>
        </w:rPr>
        <w:t xml:space="preserve">. </w:t>
      </w:r>
      <w:r>
        <w:rPr>
          <w:sz w:val="18"/>
          <w:szCs w:val="18"/>
          <w:rtl/>
        </w:rPr>
        <w:br/>
      </w:r>
      <w:r w:rsidRPr="00621F2E">
        <w:rPr>
          <w:rFonts w:hint="cs"/>
          <w:sz w:val="18"/>
          <w:szCs w:val="18"/>
          <w:rtl/>
        </w:rPr>
        <w:t>אך יש שהבינו את דברי ר"ש, שטעם טהרתה משום שהראייה היא כתוצאה של מהחדרת השפופרת, ואם כן אין לטהר כאשר מדובר על ראייתה החודשית.</w:t>
      </w:r>
    </w:p>
  </w:footnote>
  <w:footnote w:id="154">
    <w:p w:rsidR="005953C5" w:rsidRDefault="005953C5" w:rsidP="00620060">
      <w:pPr>
        <w:pStyle w:val="a3"/>
      </w:pPr>
      <w:r w:rsidRPr="008070D4">
        <w:rPr>
          <w:rStyle w:val="a5"/>
          <w:sz w:val="18"/>
          <w:szCs w:val="18"/>
        </w:rPr>
        <w:footnoteRef/>
      </w:r>
      <w:r w:rsidRPr="008070D4">
        <w:rPr>
          <w:sz w:val="18"/>
          <w:szCs w:val="18"/>
          <w:rtl/>
        </w:rPr>
        <w:t xml:space="preserve"> </w:t>
      </w:r>
      <w:r w:rsidRPr="008070D4">
        <w:rPr>
          <w:rFonts w:hint="cs"/>
          <w:sz w:val="18"/>
          <w:szCs w:val="18"/>
          <w:rtl/>
        </w:rPr>
        <w:t xml:space="preserve">הסבר </w:t>
      </w:r>
      <w:r w:rsidRPr="008070D4">
        <w:rPr>
          <w:sz w:val="18"/>
          <w:szCs w:val="18"/>
          <w:rtl/>
        </w:rPr>
        <w:t>–</w:t>
      </w:r>
      <w:r w:rsidRPr="008070D4">
        <w:rPr>
          <w:rFonts w:hint="cs"/>
          <w:sz w:val="18"/>
          <w:szCs w:val="18"/>
          <w:rtl/>
        </w:rPr>
        <w:t xml:space="preserve"> </w:t>
      </w:r>
      <w:r w:rsidRPr="008070D4">
        <w:rPr>
          <w:rFonts w:hint="cs"/>
          <w:b/>
          <w:bCs/>
          <w:sz w:val="18"/>
          <w:szCs w:val="18"/>
          <w:rtl/>
        </w:rPr>
        <w:t>הב"ח</w:t>
      </w:r>
      <w:r w:rsidRPr="008070D4">
        <w:rPr>
          <w:rFonts w:hint="cs"/>
          <w:sz w:val="18"/>
          <w:szCs w:val="18"/>
          <w:rtl/>
        </w:rPr>
        <w:t xml:space="preserve"> ער לקושיות שהקשה </w:t>
      </w:r>
      <w:r w:rsidRPr="008070D4">
        <w:rPr>
          <w:rFonts w:hint="cs"/>
          <w:b/>
          <w:bCs/>
          <w:sz w:val="18"/>
          <w:szCs w:val="18"/>
          <w:rtl/>
        </w:rPr>
        <w:t>הרא"ש</w:t>
      </w:r>
      <w:r w:rsidRPr="008070D4">
        <w:rPr>
          <w:rFonts w:hint="cs"/>
          <w:sz w:val="18"/>
          <w:szCs w:val="18"/>
          <w:rtl/>
        </w:rPr>
        <w:t xml:space="preserve"> על שיטת </w:t>
      </w:r>
      <w:r w:rsidRPr="008070D4">
        <w:rPr>
          <w:rFonts w:hint="cs"/>
          <w:b/>
          <w:bCs/>
          <w:sz w:val="18"/>
          <w:szCs w:val="18"/>
          <w:rtl/>
        </w:rPr>
        <w:t>רש"י</w:t>
      </w:r>
      <w:r w:rsidRPr="008070D4">
        <w:rPr>
          <w:rFonts w:hint="cs"/>
          <w:sz w:val="18"/>
          <w:szCs w:val="18"/>
          <w:rtl/>
        </w:rPr>
        <w:t xml:space="preserve">, אלא שאעפ"כ אין הכרח לומר שפירוש ר"ש הוא הנכון, מכיוון </w:t>
      </w:r>
      <w:r w:rsidRPr="008070D4">
        <w:rPr>
          <w:rFonts w:hint="cs"/>
          <w:b/>
          <w:bCs/>
          <w:sz w:val="18"/>
          <w:szCs w:val="18"/>
          <w:rtl/>
        </w:rPr>
        <w:t>שתוספות</w:t>
      </w:r>
      <w:r w:rsidRPr="008070D4">
        <w:rPr>
          <w:rFonts w:hint="cs"/>
          <w:sz w:val="18"/>
          <w:szCs w:val="18"/>
          <w:rtl/>
        </w:rPr>
        <w:t xml:space="preserve"> הקשו אף הם על פירוש רש"י ותירצו באופן שונה </w:t>
      </w:r>
      <w:r w:rsidRPr="008070D4">
        <w:rPr>
          <w:sz w:val="18"/>
          <w:szCs w:val="18"/>
          <w:rtl/>
        </w:rPr>
        <w:t>–</w:t>
      </w:r>
      <w:r w:rsidRPr="008070D4">
        <w:rPr>
          <w:rFonts w:hint="cs"/>
          <w:sz w:val="18"/>
          <w:szCs w:val="18"/>
          <w:rtl/>
        </w:rPr>
        <w:t xml:space="preserve"> נחלקו ר"א וחכמים האם חתיכה העשויה כשפופרת וחוצצת בין הדם לבשר מטמאה, ר"א סובר שדרכה לצאת בעניין זה ולכן טמאה, אך חכמים סוברים שאין זה דם נידות שטימא הכתוב, אך בפלי פלויי סוברים חכמים שטמאה, כיוון שזה דם נידות ונוגע בבשרה. ומאחר שפירוש תוספות יכול להסתדר אף הוא בסוגייה, מנ"ל לומר שפירוש ר"ש הוא הנכון ולטהר אשה שראתה דם בחתיכה באופן של פלי פלויי? </w:t>
      </w:r>
    </w:p>
  </w:footnote>
  <w:footnote w:id="155">
    <w:p w:rsidR="005953C5" w:rsidRDefault="005953C5" w:rsidP="00620060">
      <w:pPr>
        <w:pStyle w:val="a3"/>
        <w:rPr>
          <w:rtl/>
        </w:rPr>
      </w:pPr>
      <w:r w:rsidRPr="00094720">
        <w:rPr>
          <w:rStyle w:val="a5"/>
          <w:sz w:val="18"/>
          <w:szCs w:val="18"/>
        </w:rPr>
        <w:footnoteRef/>
      </w:r>
      <w:r w:rsidRPr="00094720">
        <w:rPr>
          <w:sz w:val="18"/>
          <w:szCs w:val="18"/>
          <w:rtl/>
        </w:rPr>
        <w:t xml:space="preserve"> </w:t>
      </w:r>
      <w:r w:rsidRPr="00094720">
        <w:rPr>
          <w:rFonts w:hint="cs"/>
          <w:sz w:val="18"/>
          <w:szCs w:val="18"/>
          <w:rtl/>
        </w:rPr>
        <w:t xml:space="preserve">א. </w:t>
      </w:r>
      <w:r w:rsidRPr="00094720">
        <w:rPr>
          <w:rFonts w:hint="cs"/>
          <w:b/>
          <w:bCs/>
          <w:sz w:val="18"/>
          <w:szCs w:val="18"/>
          <w:rtl/>
        </w:rPr>
        <w:t>בית יוסף</w:t>
      </w:r>
      <w:r w:rsidRPr="00094720">
        <w:rPr>
          <w:rFonts w:hint="cs"/>
          <w:sz w:val="18"/>
          <w:szCs w:val="18"/>
          <w:rtl/>
        </w:rPr>
        <w:t xml:space="preserve"> </w:t>
      </w:r>
      <w:r w:rsidRPr="00094720">
        <w:rPr>
          <w:sz w:val="18"/>
          <w:szCs w:val="18"/>
          <w:rtl/>
        </w:rPr>
        <w:t>–</w:t>
      </w:r>
      <w:r w:rsidRPr="00094720">
        <w:rPr>
          <w:rFonts w:hint="cs"/>
          <w:sz w:val="18"/>
          <w:szCs w:val="18"/>
          <w:rtl/>
        </w:rPr>
        <w:t xml:space="preserve"> אפשר לומר שהטור סובר כרא"ש, ואם היתה רואה דם להדיא </w:t>
      </w:r>
      <w:r w:rsidRPr="00094720">
        <w:rPr>
          <w:sz w:val="18"/>
          <w:szCs w:val="18"/>
          <w:rtl/>
        </w:rPr>
        <w:t>–</w:t>
      </w:r>
      <w:r w:rsidRPr="00094720">
        <w:rPr>
          <w:rFonts w:hint="cs"/>
          <w:sz w:val="18"/>
          <w:szCs w:val="18"/>
          <w:rtl/>
        </w:rPr>
        <w:t xml:space="preserve"> טמאה, וכ"פ </w:t>
      </w:r>
      <w:r w:rsidRPr="00094720">
        <w:rPr>
          <w:rFonts w:hint="cs"/>
          <w:b/>
          <w:bCs/>
          <w:sz w:val="18"/>
          <w:szCs w:val="18"/>
          <w:rtl/>
        </w:rPr>
        <w:t>בשו"ע</w:t>
      </w:r>
      <w:r w:rsidRPr="00094720">
        <w:rPr>
          <w:rFonts w:hint="cs"/>
          <w:sz w:val="18"/>
          <w:szCs w:val="18"/>
          <w:rtl/>
        </w:rPr>
        <w:t xml:space="preserve">. </w:t>
      </w:r>
      <w:r w:rsidRPr="00094720">
        <w:rPr>
          <w:sz w:val="18"/>
          <w:szCs w:val="18"/>
          <w:rtl/>
        </w:rPr>
        <w:br/>
      </w:r>
      <w:r w:rsidRPr="00094720">
        <w:rPr>
          <w:rFonts w:hint="cs"/>
          <w:sz w:val="18"/>
          <w:szCs w:val="18"/>
          <w:rtl/>
        </w:rPr>
        <w:t>ואין לקשות מדוע דין זה אינו כדין מכה המבואר בסימן קפז', התם מדובר במכה בצדדים וטהורה, אך כאן מדובר במכה במקור עצמו וטמאה.</w:t>
      </w:r>
      <w:r w:rsidRPr="00094720">
        <w:rPr>
          <w:rFonts w:hint="cs"/>
          <w:sz w:val="18"/>
          <w:szCs w:val="18"/>
          <w:rtl/>
        </w:rPr>
        <w:br/>
        <w:t xml:space="preserve">ב. </w:t>
      </w:r>
      <w:r w:rsidRPr="00094720">
        <w:rPr>
          <w:rFonts w:hint="cs"/>
          <w:b/>
          <w:bCs/>
          <w:sz w:val="18"/>
          <w:szCs w:val="18"/>
          <w:rtl/>
        </w:rPr>
        <w:t>דרכי משה</w:t>
      </w:r>
      <w:r w:rsidRPr="00094720">
        <w:rPr>
          <w:rFonts w:hint="cs"/>
          <w:sz w:val="18"/>
          <w:szCs w:val="18"/>
          <w:rtl/>
        </w:rPr>
        <w:t xml:space="preserve"> </w:t>
      </w:r>
      <w:r w:rsidRPr="00094720">
        <w:rPr>
          <w:sz w:val="18"/>
          <w:szCs w:val="18"/>
          <w:rtl/>
        </w:rPr>
        <w:t>–</w:t>
      </w:r>
      <w:r w:rsidRPr="00094720">
        <w:rPr>
          <w:rFonts w:hint="cs"/>
          <w:sz w:val="18"/>
          <w:szCs w:val="18"/>
          <w:rtl/>
        </w:rPr>
        <w:t xml:space="preserve"> דברי הב"י אינם מובנים, שהרי לעיל למדנו שניתן לתלות מכה אף במקור עצמו ולטהר אשה שרואה דם מחמת מכה זו. ולכן יש לומר שר"ש התיר אף כשיוצא דם להדיא, כיוון שתולים לומר שמחמת המכה בא דם זה</w:t>
      </w:r>
    </w:p>
  </w:footnote>
  <w:footnote w:id="156">
    <w:p w:rsidR="005953C5" w:rsidRPr="00EC4C73" w:rsidRDefault="005953C5" w:rsidP="00620060">
      <w:pPr>
        <w:pStyle w:val="a3"/>
        <w:rPr>
          <w:rFonts w:asciiTheme="minorBidi" w:hAnsiTheme="minorBidi"/>
          <w:rtl/>
        </w:rPr>
      </w:pPr>
      <w:r w:rsidRPr="00EC4C73">
        <w:rPr>
          <w:rStyle w:val="a5"/>
          <w:rFonts w:asciiTheme="minorBidi" w:hAnsiTheme="minorBidi"/>
          <w:sz w:val="18"/>
          <w:szCs w:val="18"/>
        </w:rPr>
        <w:footnoteRef/>
      </w:r>
      <w:r w:rsidRPr="00EC4C73">
        <w:rPr>
          <w:rFonts w:asciiTheme="minorBidi" w:hAnsiTheme="minorBidi"/>
          <w:sz w:val="18"/>
          <w:szCs w:val="18"/>
          <w:rtl/>
        </w:rPr>
        <w:t xml:space="preserve"> אמנם, </w:t>
      </w:r>
      <w:r w:rsidRPr="00EC4C73">
        <w:rPr>
          <w:rFonts w:asciiTheme="minorBidi" w:hAnsiTheme="minorBidi"/>
          <w:b/>
          <w:bCs/>
          <w:sz w:val="18"/>
          <w:szCs w:val="18"/>
          <w:rtl/>
        </w:rPr>
        <w:t>הדרכ"מ</w:t>
      </w:r>
      <w:r w:rsidRPr="00EC4C73">
        <w:rPr>
          <w:rFonts w:asciiTheme="minorBidi" w:hAnsiTheme="minorBidi"/>
          <w:sz w:val="18"/>
          <w:szCs w:val="18"/>
          <w:rtl/>
        </w:rPr>
        <w:t xml:space="preserve"> חולק על הבית יוסף, וסובר שכאן טהורה אפילו אם לא הטיל את החתיכות במים, הו"ד </w:t>
      </w:r>
      <w:r w:rsidRPr="00EC4C73">
        <w:rPr>
          <w:rFonts w:asciiTheme="minorBidi" w:hAnsiTheme="minorBidi"/>
          <w:b/>
          <w:bCs/>
          <w:sz w:val="18"/>
          <w:szCs w:val="18"/>
          <w:rtl/>
        </w:rPr>
        <w:t>בש"ך</w:t>
      </w:r>
      <w:r w:rsidRPr="00EC4C73">
        <w:rPr>
          <w:rFonts w:asciiTheme="minorBidi" w:hAnsiTheme="minorBidi"/>
          <w:sz w:val="18"/>
          <w:szCs w:val="18"/>
          <w:rtl/>
        </w:rPr>
        <w:t xml:space="preserve">. </w:t>
      </w:r>
      <w:r>
        <w:rPr>
          <w:rFonts w:asciiTheme="minorBidi" w:hAnsiTheme="minorBidi" w:hint="cs"/>
          <w:sz w:val="18"/>
          <w:szCs w:val="18"/>
          <w:rtl/>
        </w:rPr>
        <w:br/>
      </w:r>
      <w:r w:rsidRPr="00EC4C73">
        <w:rPr>
          <w:rFonts w:asciiTheme="minorBidi" w:hAnsiTheme="minorBidi"/>
          <w:sz w:val="18"/>
          <w:szCs w:val="18"/>
          <w:rtl/>
        </w:rPr>
        <w:t xml:space="preserve">טעמו, כיוון שידוע שאין זה דם קפוי, ומה שהוצרך </w:t>
      </w:r>
      <w:r w:rsidRPr="00EC4C73">
        <w:rPr>
          <w:rFonts w:asciiTheme="minorBidi" w:hAnsiTheme="minorBidi"/>
          <w:b/>
          <w:bCs/>
          <w:sz w:val="18"/>
          <w:szCs w:val="18"/>
          <w:rtl/>
        </w:rPr>
        <w:t>ר"ש</w:t>
      </w:r>
      <w:r w:rsidRPr="00EC4C73">
        <w:rPr>
          <w:rFonts w:asciiTheme="minorBidi" w:hAnsiTheme="minorBidi"/>
          <w:sz w:val="18"/>
          <w:szCs w:val="18"/>
          <w:rtl/>
        </w:rPr>
        <w:t xml:space="preserve"> להתיר בכה"ג היינו רק שלא נאמר שזה גופא היא דרך ראייה.</w:t>
      </w:r>
    </w:p>
  </w:footnote>
  <w:footnote w:id="157">
    <w:p w:rsidR="005953C5" w:rsidRDefault="005953C5" w:rsidP="00620060">
      <w:pPr>
        <w:pStyle w:val="a3"/>
        <w:rPr>
          <w:rtl/>
        </w:rPr>
      </w:pPr>
      <w:r w:rsidRPr="00412684">
        <w:rPr>
          <w:rStyle w:val="a5"/>
          <w:sz w:val="18"/>
          <w:szCs w:val="18"/>
        </w:rPr>
        <w:footnoteRef/>
      </w:r>
      <w:r w:rsidRPr="00412684">
        <w:rPr>
          <w:sz w:val="18"/>
          <w:szCs w:val="18"/>
          <w:rtl/>
        </w:rPr>
        <w:t xml:space="preserve"> </w:t>
      </w:r>
      <w:r w:rsidRPr="00412684">
        <w:rPr>
          <w:rFonts w:hint="cs"/>
          <w:b/>
          <w:bCs/>
          <w:sz w:val="18"/>
          <w:szCs w:val="18"/>
          <w:rtl/>
        </w:rPr>
        <w:t>המעיל צדקה והפלתי</w:t>
      </w:r>
      <w:r w:rsidRPr="00412684">
        <w:rPr>
          <w:rFonts w:hint="cs"/>
          <w:sz w:val="18"/>
          <w:szCs w:val="18"/>
          <w:rtl/>
        </w:rPr>
        <w:t xml:space="preserve"> כתבו פירוש נוסף לדברי </w:t>
      </w:r>
      <w:r w:rsidRPr="00412684">
        <w:rPr>
          <w:rFonts w:hint="cs"/>
          <w:b/>
          <w:bCs/>
          <w:sz w:val="18"/>
          <w:szCs w:val="18"/>
          <w:rtl/>
        </w:rPr>
        <w:t>ר"ש</w:t>
      </w:r>
      <w:r w:rsidRPr="00412684">
        <w:rPr>
          <w:rFonts w:hint="cs"/>
          <w:sz w:val="18"/>
          <w:szCs w:val="18"/>
          <w:rtl/>
        </w:rPr>
        <w:t xml:space="preserve"> - </w:t>
      </w:r>
      <w:r w:rsidRPr="00412684">
        <w:rPr>
          <w:sz w:val="18"/>
          <w:szCs w:val="18"/>
          <w:rtl/>
        </w:rPr>
        <w:br/>
      </w:r>
      <w:r w:rsidRPr="00412684">
        <w:rPr>
          <w:rFonts w:hint="cs"/>
          <w:sz w:val="18"/>
          <w:szCs w:val="18"/>
          <w:rtl/>
        </w:rPr>
        <w:t>מדובר ב'צניחת רחם', ובכה</w:t>
      </w:r>
      <w:r>
        <w:rPr>
          <w:rFonts w:hint="cs"/>
          <w:sz w:val="18"/>
          <w:szCs w:val="18"/>
          <w:rtl/>
        </w:rPr>
        <w:t>"</w:t>
      </w:r>
      <w:r w:rsidRPr="00412684">
        <w:rPr>
          <w:rFonts w:hint="cs"/>
          <w:sz w:val="18"/>
          <w:szCs w:val="18"/>
          <w:rtl/>
        </w:rPr>
        <w:t xml:space="preserve">ג אינה יכולה להיטהר כיוון שהרחם נפתח ויוצא דם, ובאופן זה טיהר </w:t>
      </w:r>
      <w:r w:rsidRPr="00412684">
        <w:rPr>
          <w:rFonts w:hint="cs"/>
          <w:b/>
          <w:bCs/>
          <w:sz w:val="18"/>
          <w:szCs w:val="18"/>
          <w:rtl/>
        </w:rPr>
        <w:t>ר"ש</w:t>
      </w:r>
      <w:r w:rsidRPr="00412684">
        <w:rPr>
          <w:rFonts w:hint="cs"/>
          <w:sz w:val="18"/>
          <w:szCs w:val="18"/>
          <w:rtl/>
        </w:rPr>
        <w:t xml:space="preserve"> משום שהתורה טימאה רק כשהרחם במקומו אך שלא במקומו טהור. אמנם, אחרונים אחרים הקשו דמה לי אם הרחם כאן או כאן. ואמנם, </w:t>
      </w:r>
      <w:r w:rsidRPr="00412684">
        <w:rPr>
          <w:rFonts w:hint="cs"/>
          <w:b/>
          <w:bCs/>
          <w:sz w:val="18"/>
          <w:szCs w:val="18"/>
          <w:rtl/>
        </w:rPr>
        <w:t>החת"ס</w:t>
      </w:r>
      <w:r w:rsidRPr="00412684">
        <w:rPr>
          <w:rFonts w:hint="cs"/>
          <w:sz w:val="18"/>
          <w:szCs w:val="18"/>
          <w:rtl/>
        </w:rPr>
        <w:t xml:space="preserve"> כתב להקל כפלתי הנ"ל, אך סייג זאת רק אם יצא דם שלא בהרגשה. </w:t>
      </w:r>
      <w:r w:rsidRPr="00412684">
        <w:rPr>
          <w:rFonts w:hint="cs"/>
          <w:b/>
          <w:bCs/>
          <w:sz w:val="18"/>
          <w:szCs w:val="18"/>
          <w:rtl/>
        </w:rPr>
        <w:t>ובששה"ל</w:t>
      </w:r>
      <w:r w:rsidRPr="00412684">
        <w:rPr>
          <w:rFonts w:hint="cs"/>
          <w:sz w:val="18"/>
          <w:szCs w:val="18"/>
          <w:rtl/>
        </w:rPr>
        <w:t xml:space="preserve"> כתב שבמקרים מסויימים, כגון באשה זקנה מסולקת דמים שהת</w:t>
      </w:r>
      <w:r>
        <w:rPr>
          <w:rFonts w:hint="cs"/>
          <w:sz w:val="18"/>
          <w:szCs w:val="18"/>
          <w:rtl/>
        </w:rPr>
        <w:t>ח</w:t>
      </w:r>
      <w:r w:rsidRPr="00412684">
        <w:rPr>
          <w:rFonts w:hint="cs"/>
          <w:sz w:val="18"/>
          <w:szCs w:val="18"/>
          <w:rtl/>
        </w:rPr>
        <w:t>ילה כעת לראות דם מחמת צניחת הרחם, יש יותר מקום להקל. ואמנם, למעשה כתב הפת"ש שרק גדולי הדור מוסמכים להורות הלכה בעניינים אלו.</w:t>
      </w:r>
    </w:p>
  </w:footnote>
  <w:footnote w:id="158">
    <w:p w:rsidR="005953C5" w:rsidRDefault="005953C5" w:rsidP="00620060">
      <w:pPr>
        <w:pStyle w:val="a3"/>
        <w:rPr>
          <w:rtl/>
        </w:rPr>
      </w:pPr>
      <w:r w:rsidRPr="00241C89">
        <w:rPr>
          <w:rStyle w:val="a5"/>
          <w:sz w:val="18"/>
          <w:szCs w:val="18"/>
        </w:rPr>
        <w:footnoteRef/>
      </w:r>
      <w:r w:rsidRPr="00241C89">
        <w:rPr>
          <w:sz w:val="18"/>
          <w:szCs w:val="18"/>
          <w:rtl/>
        </w:rPr>
        <w:t xml:space="preserve"> </w:t>
      </w:r>
      <w:r w:rsidRPr="00241C89">
        <w:rPr>
          <w:rFonts w:hint="cs"/>
          <w:b/>
          <w:bCs/>
          <w:sz w:val="18"/>
          <w:szCs w:val="18"/>
          <w:rtl/>
        </w:rPr>
        <w:t>בית יוסף</w:t>
      </w:r>
      <w:r>
        <w:rPr>
          <w:rFonts w:hint="cs"/>
          <w:sz w:val="18"/>
          <w:szCs w:val="18"/>
          <w:rtl/>
        </w:rPr>
        <w:t xml:space="preserve"> - </w:t>
      </w:r>
      <w:r w:rsidRPr="00241C89">
        <w:rPr>
          <w:rFonts w:hint="cs"/>
          <w:sz w:val="18"/>
          <w:szCs w:val="18"/>
          <w:rtl/>
        </w:rPr>
        <w:t xml:space="preserve">אעפ"כ אין לטהר יולדת בלידה יבשה, משום שטמאה מדאורייתא כדין יולדת זכר </w:t>
      </w:r>
      <w:r>
        <w:rPr>
          <w:rFonts w:hint="cs"/>
          <w:sz w:val="18"/>
          <w:szCs w:val="18"/>
          <w:rtl/>
        </w:rPr>
        <w:t xml:space="preserve">או </w:t>
      </w:r>
      <w:r w:rsidRPr="00241C89">
        <w:rPr>
          <w:rFonts w:hint="cs"/>
          <w:sz w:val="18"/>
          <w:szCs w:val="18"/>
          <w:rtl/>
        </w:rPr>
        <w:t>נקבה.</w:t>
      </w:r>
    </w:p>
  </w:footnote>
  <w:footnote w:id="159">
    <w:p w:rsidR="005953C5" w:rsidRDefault="005953C5" w:rsidP="00620060">
      <w:pPr>
        <w:pStyle w:val="a3"/>
      </w:pPr>
      <w:r w:rsidRPr="00983D8B">
        <w:rPr>
          <w:rStyle w:val="a5"/>
          <w:sz w:val="18"/>
          <w:szCs w:val="18"/>
        </w:rPr>
        <w:footnoteRef/>
      </w:r>
      <w:r w:rsidRPr="00983D8B">
        <w:rPr>
          <w:sz w:val="18"/>
          <w:szCs w:val="18"/>
          <w:rtl/>
        </w:rPr>
        <w:t xml:space="preserve"> </w:t>
      </w:r>
      <w:r w:rsidRPr="00F77652">
        <w:rPr>
          <w:rFonts w:hint="cs"/>
          <w:b/>
          <w:bCs/>
          <w:sz w:val="18"/>
          <w:szCs w:val="18"/>
          <w:rtl/>
        </w:rPr>
        <w:t>הב"י</w:t>
      </w:r>
      <w:r w:rsidRPr="00983D8B">
        <w:rPr>
          <w:rFonts w:hint="cs"/>
          <w:sz w:val="18"/>
          <w:szCs w:val="18"/>
          <w:rtl/>
        </w:rPr>
        <w:t xml:space="preserve"> מחזק חילוק זה:</w:t>
      </w:r>
      <w:r w:rsidRPr="00983D8B">
        <w:rPr>
          <w:rFonts w:hint="cs"/>
          <w:sz w:val="18"/>
          <w:szCs w:val="18"/>
          <w:rtl/>
        </w:rPr>
        <w:br/>
        <w:t>א. הגמרא האומרת בדעת חכמים שאין דרכה של אשה לראות דם בחתיכה, קאי על הברייתא בדין שפופרת, והיינו שרק בחתיכה קטנה דומיא דשפופרת טהורה, אך בחתיכה גדולה מזו טמאה מחמת פתיה"ק.</w:t>
      </w:r>
      <w:r w:rsidRPr="00983D8B">
        <w:rPr>
          <w:sz w:val="18"/>
          <w:szCs w:val="18"/>
          <w:rtl/>
        </w:rPr>
        <w:br/>
      </w:r>
      <w:r w:rsidRPr="00983D8B">
        <w:rPr>
          <w:rFonts w:hint="cs"/>
          <w:sz w:val="18"/>
          <w:szCs w:val="18"/>
          <w:rtl/>
        </w:rPr>
        <w:t>ב. לקמן מובא דין לגבי המפלת כמין יבחושים וכדומה, שדינה להטיל למים ואם לא נימוחו טהורה. וכתב הרא"ש על זה, שאפילו רבי יהודה הסובר שאי אפשר לפתיה"ק בלא דם</w:t>
      </w:r>
      <w:r>
        <w:rPr>
          <w:rFonts w:hint="cs"/>
          <w:sz w:val="18"/>
          <w:szCs w:val="18"/>
          <w:rtl/>
        </w:rPr>
        <w:t xml:space="preserve"> מטהר </w:t>
      </w:r>
      <w:r w:rsidRPr="00983D8B">
        <w:rPr>
          <w:rFonts w:hint="cs"/>
          <w:sz w:val="18"/>
          <w:szCs w:val="18"/>
          <w:rtl/>
        </w:rPr>
        <w:t>בכה"ג</w:t>
      </w:r>
      <w:r>
        <w:rPr>
          <w:rFonts w:hint="cs"/>
          <w:sz w:val="18"/>
          <w:szCs w:val="18"/>
          <w:rtl/>
        </w:rPr>
        <w:t>,</w:t>
      </w:r>
      <w:r w:rsidRPr="00983D8B">
        <w:rPr>
          <w:rFonts w:hint="cs"/>
          <w:sz w:val="18"/>
          <w:szCs w:val="18"/>
          <w:rtl/>
        </w:rPr>
        <w:t xml:space="preserve"> משום שבחתיכות קטנות ייתכן שלא ייפתח הקבר.</w:t>
      </w:r>
    </w:p>
  </w:footnote>
  <w:footnote w:id="160">
    <w:p w:rsidR="005953C5" w:rsidRDefault="005953C5" w:rsidP="00620060">
      <w:pPr>
        <w:pStyle w:val="a3"/>
        <w:rPr>
          <w:rtl/>
        </w:rPr>
      </w:pPr>
      <w:r w:rsidRPr="00996A44">
        <w:rPr>
          <w:rStyle w:val="a5"/>
          <w:sz w:val="18"/>
          <w:szCs w:val="18"/>
        </w:rPr>
        <w:footnoteRef/>
      </w:r>
      <w:r w:rsidRPr="00996A44">
        <w:rPr>
          <w:sz w:val="18"/>
          <w:szCs w:val="18"/>
          <w:rtl/>
        </w:rPr>
        <w:t xml:space="preserve"> </w:t>
      </w:r>
      <w:r w:rsidRPr="00996A44">
        <w:rPr>
          <w:rFonts w:hint="cs"/>
          <w:sz w:val="18"/>
          <w:szCs w:val="18"/>
          <w:rtl/>
        </w:rPr>
        <w:t xml:space="preserve">ראיות לשיטת הרא"ש - </w:t>
      </w:r>
      <w:r w:rsidRPr="00996A44">
        <w:rPr>
          <w:sz w:val="18"/>
          <w:szCs w:val="18"/>
          <w:rtl/>
        </w:rPr>
        <w:br/>
      </w:r>
      <w:r w:rsidRPr="00996A44">
        <w:rPr>
          <w:rFonts w:hint="cs"/>
          <w:sz w:val="18"/>
          <w:szCs w:val="18"/>
          <w:vertAlign w:val="superscript"/>
          <w:rtl/>
        </w:rPr>
        <w:t>1</w:t>
      </w:r>
      <w:r w:rsidRPr="00996A44">
        <w:rPr>
          <w:rFonts w:hint="cs"/>
          <w:b/>
          <w:bCs/>
          <w:sz w:val="18"/>
          <w:szCs w:val="18"/>
          <w:rtl/>
        </w:rPr>
        <w:t>גמרא</w:t>
      </w:r>
      <w:r w:rsidRPr="00996A44">
        <w:rPr>
          <w:rFonts w:hint="cs"/>
          <w:sz w:val="18"/>
          <w:szCs w:val="18"/>
          <w:rtl/>
        </w:rPr>
        <w:t xml:space="preserve"> נידה (סו.) "</w:t>
      </w:r>
      <w:r w:rsidRPr="00996A44">
        <w:rPr>
          <w:rFonts w:cs="Arial" w:hint="cs"/>
          <w:sz w:val="18"/>
          <w:szCs w:val="18"/>
          <w:rtl/>
        </w:rPr>
        <w:t>אדבריה</w:t>
      </w:r>
      <w:r w:rsidRPr="00996A44">
        <w:rPr>
          <w:rFonts w:cs="Arial"/>
          <w:sz w:val="18"/>
          <w:szCs w:val="18"/>
          <w:rtl/>
        </w:rPr>
        <w:t xml:space="preserve"> </w:t>
      </w:r>
      <w:r w:rsidRPr="00996A44">
        <w:rPr>
          <w:rFonts w:cs="Arial" w:hint="cs"/>
          <w:sz w:val="18"/>
          <w:szCs w:val="18"/>
          <w:rtl/>
        </w:rPr>
        <w:t>רבא</w:t>
      </w:r>
      <w:r w:rsidRPr="00996A44">
        <w:rPr>
          <w:rFonts w:cs="Arial"/>
          <w:sz w:val="18"/>
          <w:szCs w:val="18"/>
          <w:rtl/>
        </w:rPr>
        <w:t xml:space="preserve"> </w:t>
      </w:r>
      <w:r w:rsidRPr="00996A44">
        <w:rPr>
          <w:rFonts w:cs="Arial" w:hint="cs"/>
          <w:sz w:val="18"/>
          <w:szCs w:val="18"/>
          <w:rtl/>
        </w:rPr>
        <w:t>לרב</w:t>
      </w:r>
      <w:r w:rsidRPr="00996A44">
        <w:rPr>
          <w:rFonts w:cs="Arial"/>
          <w:sz w:val="18"/>
          <w:szCs w:val="18"/>
          <w:rtl/>
        </w:rPr>
        <w:t xml:space="preserve"> </w:t>
      </w:r>
      <w:r w:rsidRPr="00996A44">
        <w:rPr>
          <w:rFonts w:cs="Arial" w:hint="cs"/>
          <w:sz w:val="18"/>
          <w:szCs w:val="18"/>
          <w:rtl/>
        </w:rPr>
        <w:t>שמואל</w:t>
      </w:r>
      <w:r w:rsidRPr="00996A44">
        <w:rPr>
          <w:rFonts w:cs="Arial"/>
          <w:sz w:val="18"/>
          <w:szCs w:val="18"/>
          <w:rtl/>
        </w:rPr>
        <w:t xml:space="preserve"> </w:t>
      </w:r>
      <w:r w:rsidRPr="00996A44">
        <w:rPr>
          <w:rFonts w:cs="Arial" w:hint="cs"/>
          <w:sz w:val="18"/>
          <w:szCs w:val="18"/>
          <w:rtl/>
        </w:rPr>
        <w:t>ודרש</w:t>
      </w:r>
      <w:r w:rsidRPr="00996A44">
        <w:rPr>
          <w:rFonts w:cs="Arial"/>
          <w:sz w:val="18"/>
          <w:szCs w:val="18"/>
          <w:rtl/>
        </w:rPr>
        <w:t xml:space="preserve">: </w:t>
      </w:r>
      <w:r w:rsidRPr="00996A44">
        <w:rPr>
          <w:rFonts w:cs="Arial" w:hint="cs"/>
          <w:sz w:val="18"/>
          <w:szCs w:val="18"/>
          <w:rtl/>
        </w:rPr>
        <w:t>קשתה</w:t>
      </w:r>
      <w:r w:rsidRPr="00996A44">
        <w:rPr>
          <w:rFonts w:cs="Arial"/>
          <w:sz w:val="18"/>
          <w:szCs w:val="18"/>
          <w:rtl/>
        </w:rPr>
        <w:t xml:space="preserve"> </w:t>
      </w:r>
      <w:r w:rsidRPr="00996A44">
        <w:rPr>
          <w:rFonts w:cs="Arial" w:hint="cs"/>
          <w:sz w:val="18"/>
          <w:szCs w:val="18"/>
          <w:rtl/>
        </w:rPr>
        <w:t>שני</w:t>
      </w:r>
      <w:r w:rsidRPr="00996A44">
        <w:rPr>
          <w:rFonts w:cs="Arial"/>
          <w:sz w:val="18"/>
          <w:szCs w:val="18"/>
          <w:rtl/>
        </w:rPr>
        <w:t xml:space="preserve"> </w:t>
      </w:r>
      <w:r w:rsidRPr="00996A44">
        <w:rPr>
          <w:rFonts w:cs="Arial" w:hint="cs"/>
          <w:sz w:val="18"/>
          <w:szCs w:val="18"/>
          <w:rtl/>
        </w:rPr>
        <w:t>ימים</w:t>
      </w:r>
      <w:r w:rsidRPr="00996A44">
        <w:rPr>
          <w:rFonts w:cs="Arial"/>
          <w:sz w:val="18"/>
          <w:szCs w:val="18"/>
          <w:rtl/>
        </w:rPr>
        <w:t xml:space="preserve"> </w:t>
      </w:r>
      <w:r w:rsidRPr="00996A44">
        <w:rPr>
          <w:rFonts w:cs="Arial" w:hint="cs"/>
          <w:sz w:val="18"/>
          <w:szCs w:val="18"/>
          <w:rtl/>
        </w:rPr>
        <w:t>ולשלישי</w:t>
      </w:r>
      <w:r w:rsidRPr="00996A44">
        <w:rPr>
          <w:rFonts w:cs="Arial"/>
          <w:sz w:val="18"/>
          <w:szCs w:val="18"/>
          <w:rtl/>
        </w:rPr>
        <w:t xml:space="preserve"> </w:t>
      </w:r>
      <w:r w:rsidRPr="00996A44">
        <w:rPr>
          <w:rFonts w:cs="Arial" w:hint="cs"/>
          <w:sz w:val="18"/>
          <w:szCs w:val="18"/>
          <w:rtl/>
        </w:rPr>
        <w:t>הפילה</w:t>
      </w:r>
      <w:r w:rsidRPr="00996A44">
        <w:rPr>
          <w:rFonts w:cs="Arial"/>
          <w:sz w:val="18"/>
          <w:szCs w:val="18"/>
          <w:rtl/>
        </w:rPr>
        <w:t xml:space="preserve"> - </w:t>
      </w:r>
      <w:r w:rsidRPr="00996A44">
        <w:rPr>
          <w:rFonts w:cs="Arial" w:hint="cs"/>
          <w:sz w:val="18"/>
          <w:szCs w:val="18"/>
          <w:rtl/>
        </w:rPr>
        <w:t>תשב</w:t>
      </w:r>
      <w:r w:rsidRPr="00996A44">
        <w:rPr>
          <w:rFonts w:cs="Arial"/>
          <w:sz w:val="18"/>
          <w:szCs w:val="18"/>
          <w:rtl/>
        </w:rPr>
        <w:t xml:space="preserve"> </w:t>
      </w:r>
      <w:r w:rsidRPr="00996A44">
        <w:rPr>
          <w:rFonts w:cs="Arial" w:hint="cs"/>
          <w:sz w:val="18"/>
          <w:szCs w:val="18"/>
          <w:rtl/>
        </w:rPr>
        <w:t>שבעה</w:t>
      </w:r>
      <w:r w:rsidRPr="00996A44">
        <w:rPr>
          <w:rFonts w:cs="Arial"/>
          <w:sz w:val="18"/>
          <w:szCs w:val="18"/>
          <w:rtl/>
        </w:rPr>
        <w:t xml:space="preserve"> </w:t>
      </w:r>
      <w:r w:rsidRPr="00996A44">
        <w:rPr>
          <w:rFonts w:cs="Arial" w:hint="cs"/>
          <w:sz w:val="18"/>
          <w:szCs w:val="18"/>
          <w:rtl/>
        </w:rPr>
        <w:t>נקיים</w:t>
      </w:r>
      <w:r w:rsidRPr="00996A44">
        <w:rPr>
          <w:rFonts w:cs="Arial"/>
          <w:sz w:val="18"/>
          <w:szCs w:val="18"/>
          <w:rtl/>
        </w:rPr>
        <w:t xml:space="preserve">. </w:t>
      </w:r>
      <w:r w:rsidRPr="00996A44">
        <w:rPr>
          <w:rFonts w:cs="Arial" w:hint="cs"/>
          <w:sz w:val="18"/>
          <w:szCs w:val="18"/>
          <w:rtl/>
        </w:rPr>
        <w:t>קסבר</w:t>
      </w:r>
      <w:r w:rsidRPr="00996A44">
        <w:rPr>
          <w:rFonts w:cs="Arial"/>
          <w:sz w:val="18"/>
          <w:szCs w:val="18"/>
          <w:rtl/>
        </w:rPr>
        <w:t xml:space="preserve">: </w:t>
      </w:r>
      <w:r w:rsidRPr="00996A44">
        <w:rPr>
          <w:rFonts w:cs="Arial" w:hint="cs"/>
          <w:sz w:val="18"/>
          <w:szCs w:val="18"/>
          <w:rtl/>
        </w:rPr>
        <w:t>אין</w:t>
      </w:r>
      <w:r w:rsidRPr="00996A44">
        <w:rPr>
          <w:rFonts w:cs="Arial"/>
          <w:sz w:val="18"/>
          <w:szCs w:val="18"/>
          <w:rtl/>
        </w:rPr>
        <w:t xml:space="preserve"> </w:t>
      </w:r>
      <w:r w:rsidRPr="00996A44">
        <w:rPr>
          <w:rFonts w:cs="Arial" w:hint="cs"/>
          <w:sz w:val="18"/>
          <w:szCs w:val="18"/>
          <w:rtl/>
        </w:rPr>
        <w:t>קשוי</w:t>
      </w:r>
      <w:r w:rsidRPr="00996A44">
        <w:rPr>
          <w:rFonts w:cs="Arial"/>
          <w:sz w:val="18"/>
          <w:szCs w:val="18"/>
          <w:rtl/>
        </w:rPr>
        <w:t xml:space="preserve"> </w:t>
      </w:r>
      <w:r w:rsidRPr="00996A44">
        <w:rPr>
          <w:rFonts w:cs="Arial" w:hint="cs"/>
          <w:sz w:val="18"/>
          <w:szCs w:val="18"/>
          <w:rtl/>
        </w:rPr>
        <w:t>לנפלים</w:t>
      </w:r>
      <w:r w:rsidRPr="00996A44">
        <w:rPr>
          <w:rFonts w:cs="Arial"/>
          <w:sz w:val="18"/>
          <w:szCs w:val="18"/>
          <w:rtl/>
        </w:rPr>
        <w:t xml:space="preserve">, </w:t>
      </w:r>
      <w:r w:rsidRPr="00996A44">
        <w:rPr>
          <w:rFonts w:cs="Arial" w:hint="cs"/>
          <w:sz w:val="18"/>
          <w:szCs w:val="18"/>
          <w:rtl/>
        </w:rPr>
        <w:t>ואי</w:t>
      </w:r>
      <w:r w:rsidRPr="00996A44">
        <w:rPr>
          <w:rFonts w:cs="Arial"/>
          <w:sz w:val="18"/>
          <w:szCs w:val="18"/>
          <w:rtl/>
        </w:rPr>
        <w:t xml:space="preserve"> </w:t>
      </w:r>
      <w:r w:rsidRPr="00996A44">
        <w:rPr>
          <w:rFonts w:cs="Arial" w:hint="cs"/>
          <w:sz w:val="18"/>
          <w:szCs w:val="18"/>
          <w:rtl/>
        </w:rPr>
        <w:t>אפשר</w:t>
      </w:r>
      <w:r w:rsidRPr="00996A44">
        <w:rPr>
          <w:rFonts w:cs="Arial"/>
          <w:sz w:val="18"/>
          <w:szCs w:val="18"/>
          <w:rtl/>
        </w:rPr>
        <w:t xml:space="preserve"> </w:t>
      </w:r>
      <w:r w:rsidRPr="00996A44">
        <w:rPr>
          <w:rFonts w:cs="Arial" w:hint="cs"/>
          <w:sz w:val="18"/>
          <w:szCs w:val="18"/>
          <w:rtl/>
        </w:rPr>
        <w:t>לפתיחת</w:t>
      </w:r>
      <w:r w:rsidRPr="00996A44">
        <w:rPr>
          <w:rFonts w:cs="Arial"/>
          <w:sz w:val="18"/>
          <w:szCs w:val="18"/>
          <w:rtl/>
        </w:rPr>
        <w:t xml:space="preserve"> </w:t>
      </w:r>
      <w:r w:rsidRPr="00996A44">
        <w:rPr>
          <w:rFonts w:cs="Arial" w:hint="cs"/>
          <w:sz w:val="18"/>
          <w:szCs w:val="18"/>
          <w:rtl/>
        </w:rPr>
        <w:t>הקבר</w:t>
      </w:r>
      <w:r w:rsidRPr="00996A44">
        <w:rPr>
          <w:rFonts w:cs="Arial"/>
          <w:sz w:val="18"/>
          <w:szCs w:val="18"/>
          <w:rtl/>
        </w:rPr>
        <w:t xml:space="preserve"> </w:t>
      </w:r>
      <w:r w:rsidRPr="00996A44">
        <w:rPr>
          <w:rFonts w:cs="Arial" w:hint="cs"/>
          <w:sz w:val="18"/>
          <w:szCs w:val="18"/>
          <w:rtl/>
        </w:rPr>
        <w:t>בלא</w:t>
      </w:r>
      <w:r w:rsidRPr="00996A44">
        <w:rPr>
          <w:rFonts w:cs="Arial"/>
          <w:sz w:val="18"/>
          <w:szCs w:val="18"/>
          <w:rtl/>
        </w:rPr>
        <w:t xml:space="preserve"> </w:t>
      </w:r>
      <w:r w:rsidRPr="00996A44">
        <w:rPr>
          <w:rFonts w:cs="Arial" w:hint="cs"/>
          <w:sz w:val="18"/>
          <w:szCs w:val="18"/>
          <w:rtl/>
        </w:rPr>
        <w:t>דם".</w:t>
      </w:r>
      <w:r w:rsidRPr="00996A44">
        <w:rPr>
          <w:rFonts w:cs="Arial"/>
          <w:sz w:val="18"/>
          <w:szCs w:val="18"/>
          <w:rtl/>
        </w:rPr>
        <w:br/>
      </w:r>
      <w:r w:rsidRPr="00996A44">
        <w:rPr>
          <w:rFonts w:cs="Arial" w:hint="cs"/>
          <w:sz w:val="18"/>
          <w:szCs w:val="18"/>
          <w:rtl/>
        </w:rPr>
        <w:t>מבאר הרא"ש</w:t>
      </w:r>
      <w:r w:rsidRPr="00996A44">
        <w:rPr>
          <w:rFonts w:hint="cs"/>
          <w:sz w:val="18"/>
          <w:szCs w:val="18"/>
          <w:rtl/>
        </w:rPr>
        <w:t xml:space="preserve"> </w:t>
      </w:r>
      <w:r w:rsidRPr="00996A44">
        <w:rPr>
          <w:sz w:val="18"/>
          <w:szCs w:val="18"/>
          <w:rtl/>
        </w:rPr>
        <w:t>–</w:t>
      </w:r>
      <w:r w:rsidRPr="00996A44">
        <w:rPr>
          <w:rFonts w:hint="cs"/>
          <w:sz w:val="18"/>
          <w:szCs w:val="18"/>
          <w:rtl/>
        </w:rPr>
        <w:t xml:space="preserve"> רבא מיירי בכל נפל, אפילו אם לא נגמרה צורתו.</w:t>
      </w:r>
      <w:r w:rsidRPr="00996A44">
        <w:rPr>
          <w:sz w:val="18"/>
          <w:szCs w:val="18"/>
          <w:rtl/>
        </w:rPr>
        <w:t xml:space="preserve"> </w:t>
      </w:r>
      <w:r w:rsidRPr="00996A44">
        <w:rPr>
          <w:sz w:val="18"/>
          <w:szCs w:val="18"/>
          <w:rtl/>
        </w:rPr>
        <w:br/>
      </w:r>
      <w:r w:rsidRPr="00996A44">
        <w:rPr>
          <w:rFonts w:hint="cs"/>
          <w:sz w:val="18"/>
          <w:szCs w:val="18"/>
          <w:vertAlign w:val="superscript"/>
          <w:rtl/>
        </w:rPr>
        <w:t>2</w:t>
      </w:r>
      <w:r w:rsidRPr="00996A44">
        <w:rPr>
          <w:rFonts w:hint="cs"/>
          <w:b/>
          <w:bCs/>
          <w:sz w:val="18"/>
          <w:szCs w:val="18"/>
          <w:rtl/>
        </w:rPr>
        <w:t xml:space="preserve">בגמרא </w:t>
      </w:r>
      <w:r w:rsidRPr="00996A44">
        <w:rPr>
          <w:rFonts w:hint="cs"/>
          <w:sz w:val="18"/>
          <w:szCs w:val="18"/>
          <w:rtl/>
        </w:rPr>
        <w:t>לעיל לגבי חתיכה נחלקו ר"א וחכמים בדין האשה, אע"פ שחתיכה אינה גמר צורת הוולד.</w:t>
      </w:r>
    </w:p>
  </w:footnote>
  <w:footnote w:id="161">
    <w:p w:rsidR="005953C5" w:rsidRDefault="005953C5" w:rsidP="00620060">
      <w:pPr>
        <w:pStyle w:val="a3"/>
        <w:rPr>
          <w:rtl/>
        </w:rPr>
      </w:pPr>
      <w:r w:rsidRPr="00463406">
        <w:rPr>
          <w:rStyle w:val="a5"/>
          <w:sz w:val="18"/>
          <w:szCs w:val="18"/>
        </w:rPr>
        <w:footnoteRef/>
      </w:r>
      <w:r w:rsidRPr="00463406">
        <w:rPr>
          <w:sz w:val="18"/>
          <w:szCs w:val="18"/>
          <w:rtl/>
        </w:rPr>
        <w:t xml:space="preserve"> </w:t>
      </w:r>
      <w:r w:rsidRPr="00331564">
        <w:rPr>
          <w:rFonts w:hint="cs"/>
          <w:b/>
          <w:bCs/>
          <w:sz w:val="18"/>
          <w:szCs w:val="18"/>
          <w:rtl/>
        </w:rPr>
        <w:t>האג"מ</w:t>
      </w:r>
      <w:r w:rsidRPr="00463406">
        <w:rPr>
          <w:rFonts w:hint="cs"/>
          <w:sz w:val="18"/>
          <w:szCs w:val="18"/>
          <w:rtl/>
        </w:rPr>
        <w:t xml:space="preserve"> משיב לגבי בדיקה רפואית שבמהלכה החדירו מכשיר רפואי לאותו המקום, ומצדד להקל מכיוון שדין זה של אין פתיה"ק בלא דם שנוי במחלוקת </w:t>
      </w:r>
      <w:r w:rsidRPr="00463406">
        <w:rPr>
          <w:rFonts w:hint="cs"/>
          <w:sz w:val="16"/>
          <w:szCs w:val="16"/>
          <w:rtl/>
        </w:rPr>
        <w:t>(</w:t>
      </w:r>
      <w:r>
        <w:rPr>
          <w:rFonts w:hint="cs"/>
          <w:sz w:val="16"/>
          <w:szCs w:val="16"/>
          <w:rtl/>
        </w:rPr>
        <w:t>תנאים ו</w:t>
      </w:r>
      <w:r w:rsidRPr="00463406">
        <w:rPr>
          <w:rFonts w:hint="cs"/>
          <w:sz w:val="16"/>
          <w:szCs w:val="16"/>
          <w:rtl/>
        </w:rPr>
        <w:t>ראשונים)</w:t>
      </w:r>
      <w:r w:rsidRPr="00463406">
        <w:rPr>
          <w:rFonts w:hint="cs"/>
          <w:sz w:val="18"/>
          <w:szCs w:val="18"/>
          <w:rtl/>
        </w:rPr>
        <w:t xml:space="preserve">, ובנוסף דין פתיה"ק ע"י גורם חיצוני שנוי אף הוא במחלוקת </w:t>
      </w:r>
      <w:r w:rsidRPr="00463406">
        <w:rPr>
          <w:rFonts w:hint="cs"/>
          <w:sz w:val="16"/>
          <w:szCs w:val="16"/>
          <w:rtl/>
        </w:rPr>
        <w:t>(אחרונים)</w:t>
      </w:r>
      <w:r w:rsidRPr="00463406">
        <w:rPr>
          <w:rFonts w:hint="cs"/>
          <w:sz w:val="18"/>
          <w:szCs w:val="18"/>
          <w:rtl/>
        </w:rPr>
        <w:t>.</w:t>
      </w:r>
    </w:p>
  </w:footnote>
  <w:footnote w:id="162">
    <w:p w:rsidR="005953C5" w:rsidRDefault="005953C5" w:rsidP="00620060">
      <w:pPr>
        <w:pStyle w:val="a3"/>
      </w:pPr>
      <w:r w:rsidRPr="00F66455">
        <w:rPr>
          <w:rStyle w:val="a5"/>
          <w:sz w:val="18"/>
          <w:szCs w:val="18"/>
        </w:rPr>
        <w:footnoteRef/>
      </w:r>
      <w:r w:rsidRPr="00F66455">
        <w:rPr>
          <w:sz w:val="18"/>
          <w:szCs w:val="18"/>
          <w:rtl/>
        </w:rPr>
        <w:t xml:space="preserve"> </w:t>
      </w:r>
      <w:r w:rsidRPr="00F66455">
        <w:rPr>
          <w:rFonts w:hint="cs"/>
          <w:sz w:val="18"/>
          <w:szCs w:val="18"/>
          <w:rtl/>
        </w:rPr>
        <w:t xml:space="preserve">כך ניתן לדייק מדבריו שהקשה על הרא"ש שפסק כרבי יהודה, מדין שפופרת. דהיינו, הרא"ש פסק כר"י שאי אפשר לפתיה"ק בלא דם, אך מאידך פסק הרא"ש בדין שפופרת שהיא טהורה! מוכח שהב"י מבין שאף בפתיחה ע"י גורם חיצוני כשפופרת אמרינן שא"א לפתיה"ק בלא דם. </w:t>
      </w:r>
    </w:p>
  </w:footnote>
  <w:footnote w:id="163">
    <w:p w:rsidR="005953C5" w:rsidRDefault="005953C5" w:rsidP="00620060">
      <w:pPr>
        <w:pStyle w:val="a3"/>
      </w:pPr>
      <w:r w:rsidRPr="009B1B3E">
        <w:rPr>
          <w:rStyle w:val="a5"/>
          <w:sz w:val="18"/>
          <w:szCs w:val="18"/>
        </w:rPr>
        <w:footnoteRef/>
      </w:r>
      <w:r w:rsidRPr="009B1B3E">
        <w:rPr>
          <w:sz w:val="18"/>
          <w:szCs w:val="18"/>
          <w:rtl/>
        </w:rPr>
        <w:t xml:space="preserve"> </w:t>
      </w:r>
      <w:r w:rsidRPr="009B1B3E">
        <w:rPr>
          <w:rFonts w:hint="cs"/>
          <w:b/>
          <w:bCs/>
          <w:sz w:val="18"/>
          <w:szCs w:val="18"/>
          <w:rtl/>
        </w:rPr>
        <w:t>הנוב"י</w:t>
      </w:r>
      <w:r w:rsidRPr="009B1B3E">
        <w:rPr>
          <w:rFonts w:hint="cs"/>
          <w:sz w:val="18"/>
          <w:szCs w:val="18"/>
          <w:rtl/>
        </w:rPr>
        <w:t xml:space="preserve"> כתב שכן הדין אם הכניס הרופא את אצבעו שטמאה מחמת פתיה"ק. </w:t>
      </w:r>
      <w:r>
        <w:rPr>
          <w:sz w:val="18"/>
          <w:szCs w:val="18"/>
          <w:rtl/>
        </w:rPr>
        <w:br/>
      </w:r>
      <w:r w:rsidRPr="009B1B3E">
        <w:rPr>
          <w:rFonts w:hint="cs"/>
          <w:sz w:val="18"/>
          <w:szCs w:val="18"/>
          <w:rtl/>
        </w:rPr>
        <w:t xml:space="preserve">ברם, האחרונים העירו על דבריו שהם לא נכתבו בדקדוק, משום שהאשה עצמה בודקת ע"י שמכניסה אצבעה פנימה, וכן אבר התשמיש גדול מהאצבע ואינה טמאה מחמתו. אלא על כרחך מדובר במכשיר רפואי ארוך מעט שמגיע לפנים. </w:t>
      </w:r>
    </w:p>
  </w:footnote>
  <w:footnote w:id="164">
    <w:p w:rsidR="005953C5" w:rsidRDefault="005953C5" w:rsidP="00620060">
      <w:pPr>
        <w:pStyle w:val="a3"/>
      </w:pPr>
      <w:r w:rsidRPr="00374F31">
        <w:rPr>
          <w:rStyle w:val="a5"/>
          <w:sz w:val="18"/>
          <w:szCs w:val="18"/>
        </w:rPr>
        <w:footnoteRef/>
      </w:r>
      <w:r w:rsidRPr="00374F31">
        <w:rPr>
          <w:sz w:val="18"/>
          <w:szCs w:val="18"/>
          <w:rtl/>
        </w:rPr>
        <w:t xml:space="preserve"> </w:t>
      </w:r>
      <w:r w:rsidRPr="00374F31">
        <w:rPr>
          <w:rFonts w:hint="cs"/>
          <w:sz w:val="18"/>
          <w:szCs w:val="18"/>
          <w:rtl/>
        </w:rPr>
        <w:t xml:space="preserve">ובהערות </w:t>
      </w:r>
      <w:r w:rsidRPr="003A126D">
        <w:rPr>
          <w:rFonts w:hint="cs"/>
          <w:b/>
          <w:bCs/>
          <w:sz w:val="18"/>
          <w:szCs w:val="18"/>
          <w:rtl/>
        </w:rPr>
        <w:t>ברוך טעם</w:t>
      </w:r>
      <w:r>
        <w:rPr>
          <w:rFonts w:hint="cs"/>
          <w:sz w:val="18"/>
          <w:szCs w:val="18"/>
          <w:rtl/>
        </w:rPr>
        <w:t xml:space="preserve"> </w:t>
      </w:r>
      <w:r w:rsidRPr="00374F31">
        <w:rPr>
          <w:rFonts w:hint="cs"/>
          <w:sz w:val="18"/>
          <w:szCs w:val="18"/>
          <w:rtl/>
        </w:rPr>
        <w:t xml:space="preserve">על </w:t>
      </w:r>
      <w:r w:rsidRPr="00374F31">
        <w:rPr>
          <w:rFonts w:hint="cs"/>
          <w:b/>
          <w:bCs/>
          <w:sz w:val="18"/>
          <w:szCs w:val="18"/>
          <w:rtl/>
        </w:rPr>
        <w:t>הנוב"י</w:t>
      </w:r>
      <w:r w:rsidRPr="00374F31">
        <w:rPr>
          <w:rFonts w:hint="cs"/>
          <w:sz w:val="18"/>
          <w:szCs w:val="18"/>
          <w:rtl/>
        </w:rPr>
        <w:t xml:space="preserve">, הוכיח מדברי הרמב"ם ריש פרק המפלת שאף הוא סובר שא"א לפתיה"ק בלא דם נאמר רק בפתיחת הרחם מעצמו ולא בפתיחה ע"י גורם חיצוני. </w:t>
      </w:r>
      <w:r w:rsidRPr="00374F31">
        <w:rPr>
          <w:rFonts w:hint="cs"/>
          <w:b/>
          <w:bCs/>
          <w:sz w:val="18"/>
          <w:szCs w:val="18"/>
          <w:rtl/>
        </w:rPr>
        <w:t>והתפארת למשה</w:t>
      </w:r>
      <w:r w:rsidRPr="00374F31">
        <w:rPr>
          <w:rFonts w:hint="cs"/>
          <w:sz w:val="18"/>
          <w:szCs w:val="18"/>
          <w:rtl/>
        </w:rPr>
        <w:t xml:space="preserve"> הוכיח דין זה מכך שבביאה עצמה השמש דש עד צוואר הרחם</w:t>
      </w:r>
      <w:r>
        <w:rPr>
          <w:rFonts w:hint="cs"/>
          <w:sz w:val="18"/>
          <w:szCs w:val="18"/>
          <w:rtl/>
        </w:rPr>
        <w:t>, וכן בבדיקות לאשה הרואה מחמת תשמיש ובבדיקת הפסק טהרה הן עד מקום שהשמש דדש ואיננו חוששים לפתיה"ק</w:t>
      </w:r>
      <w:r w:rsidRPr="00374F31">
        <w:rPr>
          <w:rFonts w:hint="cs"/>
          <w:sz w:val="18"/>
          <w:szCs w:val="18"/>
          <w:rtl/>
        </w:rPr>
        <w:t>.</w:t>
      </w:r>
    </w:p>
  </w:footnote>
  <w:footnote w:id="165">
    <w:p w:rsidR="005953C5" w:rsidRDefault="005953C5" w:rsidP="00620060">
      <w:pPr>
        <w:pStyle w:val="a3"/>
      </w:pPr>
      <w:r w:rsidRPr="00236B82">
        <w:rPr>
          <w:rStyle w:val="a5"/>
          <w:sz w:val="18"/>
          <w:szCs w:val="18"/>
        </w:rPr>
        <w:footnoteRef/>
      </w:r>
      <w:r w:rsidRPr="00236B82">
        <w:rPr>
          <w:sz w:val="18"/>
          <w:szCs w:val="18"/>
          <w:rtl/>
        </w:rPr>
        <w:t xml:space="preserve"> </w:t>
      </w:r>
      <w:r w:rsidRPr="00236B82">
        <w:rPr>
          <w:rFonts w:hint="cs"/>
          <w:sz w:val="18"/>
          <w:szCs w:val="18"/>
          <w:rtl/>
        </w:rPr>
        <w:t xml:space="preserve">ועיי"ש עוד </w:t>
      </w:r>
      <w:r w:rsidRPr="00236B82">
        <w:rPr>
          <w:rFonts w:hint="cs"/>
          <w:sz w:val="16"/>
          <w:szCs w:val="16"/>
          <w:rtl/>
        </w:rPr>
        <w:t xml:space="preserve">(כרך ב עמוד ס אות ו) </w:t>
      </w:r>
      <w:r w:rsidRPr="00236B82">
        <w:rPr>
          <w:rFonts w:hint="cs"/>
          <w:sz w:val="18"/>
          <w:szCs w:val="18"/>
          <w:rtl/>
        </w:rPr>
        <w:t>שהביא חבילות של אחרונים המקלים בדין זה.</w:t>
      </w:r>
    </w:p>
  </w:footnote>
  <w:footnote w:id="166">
    <w:p w:rsidR="005953C5" w:rsidRDefault="005953C5" w:rsidP="00620060">
      <w:pPr>
        <w:pStyle w:val="a3"/>
        <w:rPr>
          <w:rtl/>
        </w:rPr>
      </w:pPr>
      <w:r w:rsidRPr="00C16077">
        <w:rPr>
          <w:rStyle w:val="a5"/>
          <w:sz w:val="18"/>
          <w:szCs w:val="18"/>
        </w:rPr>
        <w:footnoteRef/>
      </w:r>
      <w:r w:rsidRPr="00C16077">
        <w:rPr>
          <w:sz w:val="18"/>
          <w:szCs w:val="18"/>
          <w:rtl/>
        </w:rPr>
        <w:t xml:space="preserve"> </w:t>
      </w:r>
      <w:r w:rsidRPr="00C16077">
        <w:rPr>
          <w:rFonts w:hint="cs"/>
          <w:b/>
          <w:bCs/>
          <w:sz w:val="18"/>
          <w:szCs w:val="18"/>
          <w:rtl/>
        </w:rPr>
        <w:t>בשבה"ל</w:t>
      </w:r>
      <w:r w:rsidRPr="00C16077">
        <w:rPr>
          <w:rFonts w:hint="cs"/>
          <w:sz w:val="18"/>
          <w:szCs w:val="18"/>
          <w:rtl/>
        </w:rPr>
        <w:t xml:space="preserve"> כתב שזו חומרה, אך מעיקר הדין אין לחוש כך, שכן מוכח מכך שמראה דם טהור אינו אוסר את האישה, מוכח שייתכן מצב של נזילת נוזל מתוך הרחם שאינו מטמא כדין פתיה"ק. אלא שלמעשה החמיר בדין זה כאשר המצב סמוך ממש ללידה, שמא התערב דם עם המים.</w:t>
      </w:r>
    </w:p>
  </w:footnote>
  <w:footnote w:id="167">
    <w:p w:rsidR="005953C5" w:rsidRDefault="005953C5" w:rsidP="00620060">
      <w:pPr>
        <w:pStyle w:val="a3"/>
      </w:pPr>
      <w:r w:rsidRPr="00100DEE">
        <w:rPr>
          <w:rStyle w:val="a5"/>
          <w:sz w:val="18"/>
          <w:szCs w:val="18"/>
        </w:rPr>
        <w:footnoteRef/>
      </w:r>
      <w:r w:rsidRPr="00100DEE">
        <w:rPr>
          <w:sz w:val="18"/>
          <w:szCs w:val="18"/>
          <w:rtl/>
        </w:rPr>
        <w:t xml:space="preserve"> </w:t>
      </w:r>
      <w:r w:rsidRPr="00100DEE">
        <w:rPr>
          <w:rFonts w:hint="cs"/>
          <w:sz w:val="18"/>
          <w:szCs w:val="18"/>
          <w:rtl/>
        </w:rPr>
        <w:t xml:space="preserve">מוסיף </w:t>
      </w:r>
      <w:r w:rsidRPr="00100DEE">
        <w:rPr>
          <w:rFonts w:hint="cs"/>
          <w:b/>
          <w:bCs/>
          <w:sz w:val="18"/>
          <w:szCs w:val="18"/>
          <w:rtl/>
        </w:rPr>
        <w:t>הריטב"א</w:t>
      </w:r>
      <w:r w:rsidRPr="00100DEE">
        <w:rPr>
          <w:rFonts w:hint="cs"/>
          <w:sz w:val="18"/>
          <w:szCs w:val="18"/>
          <w:rtl/>
        </w:rPr>
        <w:t xml:space="preserve"> </w:t>
      </w:r>
      <w:r w:rsidRPr="00100DEE">
        <w:rPr>
          <w:sz w:val="18"/>
          <w:szCs w:val="18"/>
          <w:rtl/>
        </w:rPr>
        <w:t>–</w:t>
      </w:r>
      <w:r w:rsidRPr="00100DEE">
        <w:rPr>
          <w:rFonts w:hint="cs"/>
          <w:sz w:val="18"/>
          <w:szCs w:val="18"/>
          <w:rtl/>
        </w:rPr>
        <w:t xml:space="preserve"> </w:t>
      </w:r>
      <w:r>
        <w:rPr>
          <w:rFonts w:hint="cs"/>
          <w:sz w:val="18"/>
          <w:szCs w:val="18"/>
          <w:rtl/>
        </w:rPr>
        <w:t>"</w:t>
      </w:r>
      <w:r w:rsidRPr="00100DEE">
        <w:rPr>
          <w:rFonts w:hint="cs"/>
          <w:sz w:val="18"/>
          <w:szCs w:val="18"/>
          <w:rtl/>
        </w:rPr>
        <w:t>זה כלל גדול</w:t>
      </w:r>
      <w:r>
        <w:rPr>
          <w:rFonts w:hint="cs"/>
          <w:sz w:val="18"/>
          <w:szCs w:val="18"/>
          <w:rtl/>
        </w:rPr>
        <w:t>"</w:t>
      </w:r>
      <w:r w:rsidRPr="00100DEE">
        <w:rPr>
          <w:rFonts w:hint="cs"/>
          <w:sz w:val="18"/>
          <w:szCs w:val="18"/>
          <w:rtl/>
        </w:rPr>
        <w:t xml:space="preserve">. מדייק </w:t>
      </w:r>
      <w:r w:rsidRPr="00100DEE">
        <w:rPr>
          <w:rFonts w:hint="cs"/>
          <w:b/>
          <w:bCs/>
          <w:sz w:val="18"/>
          <w:szCs w:val="18"/>
          <w:rtl/>
        </w:rPr>
        <w:t>הש"ך</w:t>
      </w:r>
      <w:r w:rsidRPr="00100DEE">
        <w:rPr>
          <w:rFonts w:hint="cs"/>
          <w:sz w:val="18"/>
          <w:szCs w:val="18"/>
          <w:rtl/>
        </w:rPr>
        <w:t xml:space="preserve"> מדבריו </w:t>
      </w:r>
      <w:r w:rsidRPr="00100DEE">
        <w:rPr>
          <w:sz w:val="18"/>
          <w:szCs w:val="18"/>
          <w:rtl/>
        </w:rPr>
        <w:t>–</w:t>
      </w:r>
      <w:r w:rsidRPr="00100DEE">
        <w:rPr>
          <w:rFonts w:hint="cs"/>
          <w:sz w:val="18"/>
          <w:szCs w:val="18"/>
          <w:rtl/>
        </w:rPr>
        <w:t xml:space="preserve"> בכל מקום שהוזכר בש"ס 'פושרים'</w:t>
      </w:r>
      <w:r>
        <w:rPr>
          <w:rFonts w:hint="cs"/>
          <w:sz w:val="18"/>
          <w:szCs w:val="18"/>
          <w:rtl/>
        </w:rPr>
        <w:t>,</w:t>
      </w:r>
      <w:r w:rsidRPr="00100DEE">
        <w:rPr>
          <w:rFonts w:hint="cs"/>
          <w:sz w:val="18"/>
          <w:szCs w:val="18"/>
          <w:rtl/>
        </w:rPr>
        <w:t xml:space="preserve"> הכוונה לחמימות הרוק.</w:t>
      </w:r>
    </w:p>
  </w:footnote>
  <w:footnote w:id="168">
    <w:p w:rsidR="005953C5" w:rsidRDefault="005953C5" w:rsidP="00620060">
      <w:pPr>
        <w:pStyle w:val="a3"/>
      </w:pPr>
      <w:r w:rsidRPr="00992047">
        <w:rPr>
          <w:rStyle w:val="a5"/>
          <w:sz w:val="18"/>
          <w:szCs w:val="18"/>
        </w:rPr>
        <w:footnoteRef/>
      </w:r>
      <w:r w:rsidRPr="00992047">
        <w:rPr>
          <w:sz w:val="18"/>
          <w:szCs w:val="18"/>
          <w:rtl/>
        </w:rPr>
        <w:t xml:space="preserve"> </w:t>
      </w:r>
      <w:r w:rsidRPr="0087774F">
        <w:rPr>
          <w:rFonts w:hint="cs"/>
          <w:b/>
          <w:bCs/>
          <w:sz w:val="18"/>
          <w:szCs w:val="18"/>
          <w:rtl/>
        </w:rPr>
        <w:t>רש"י</w:t>
      </w:r>
      <w:r w:rsidRPr="00992047">
        <w:rPr>
          <w:rFonts w:hint="cs"/>
          <w:sz w:val="18"/>
          <w:szCs w:val="18"/>
          <w:rtl/>
        </w:rPr>
        <w:t xml:space="preserve"> לא כתב זאת להדיא, אך כ</w:t>
      </w:r>
      <w:r>
        <w:rPr>
          <w:rFonts w:hint="cs"/>
          <w:sz w:val="18"/>
          <w:szCs w:val="18"/>
          <w:rtl/>
        </w:rPr>
        <w:t>ך</w:t>
      </w:r>
      <w:r w:rsidRPr="00992047">
        <w:rPr>
          <w:rFonts w:hint="cs"/>
          <w:sz w:val="18"/>
          <w:szCs w:val="18"/>
          <w:rtl/>
        </w:rPr>
        <w:t xml:space="preserve"> מסיק </w:t>
      </w:r>
      <w:r w:rsidRPr="0087774F">
        <w:rPr>
          <w:rFonts w:hint="cs"/>
          <w:b/>
          <w:bCs/>
          <w:sz w:val="18"/>
          <w:szCs w:val="18"/>
          <w:rtl/>
        </w:rPr>
        <w:t>הר"ן</w:t>
      </w:r>
      <w:r w:rsidRPr="00992047">
        <w:rPr>
          <w:rFonts w:hint="cs"/>
          <w:sz w:val="18"/>
          <w:szCs w:val="18"/>
          <w:rtl/>
        </w:rPr>
        <w:t xml:space="preserve"> מדבר</w:t>
      </w:r>
      <w:r>
        <w:rPr>
          <w:rFonts w:hint="cs"/>
          <w:sz w:val="18"/>
          <w:szCs w:val="18"/>
          <w:rtl/>
        </w:rPr>
        <w:t xml:space="preserve">יו - </w:t>
      </w:r>
      <w:r w:rsidRPr="00992047">
        <w:rPr>
          <w:rFonts w:hint="cs"/>
          <w:sz w:val="18"/>
          <w:szCs w:val="18"/>
          <w:rtl/>
        </w:rPr>
        <w:t xml:space="preserve"> </w:t>
      </w:r>
      <w:r>
        <w:rPr>
          <w:sz w:val="18"/>
          <w:szCs w:val="18"/>
          <w:rtl/>
        </w:rPr>
        <w:br/>
      </w:r>
      <w:r w:rsidRPr="0087774F">
        <w:rPr>
          <w:rFonts w:hint="cs"/>
          <w:b/>
          <w:bCs/>
          <w:sz w:val="18"/>
          <w:szCs w:val="18"/>
          <w:rtl/>
        </w:rPr>
        <w:t>רש"י</w:t>
      </w:r>
      <w:r w:rsidRPr="00992047">
        <w:rPr>
          <w:rFonts w:hint="cs"/>
          <w:sz w:val="18"/>
          <w:szCs w:val="18"/>
          <w:rtl/>
        </w:rPr>
        <w:t xml:space="preserve"> בפירושו לסוגייה לעיל מפרש שרב הונא וריש לקיש מתייחסים לאותו מקרה, וכך יש לפרש </w:t>
      </w:r>
      <w:r w:rsidRPr="00992047">
        <w:rPr>
          <w:sz w:val="18"/>
          <w:szCs w:val="18"/>
          <w:rtl/>
        </w:rPr>
        <w:t>–</w:t>
      </w:r>
      <w:r w:rsidRPr="00992047">
        <w:rPr>
          <w:rFonts w:hint="cs"/>
          <w:sz w:val="18"/>
          <w:szCs w:val="18"/>
          <w:rtl/>
        </w:rPr>
        <w:t xml:space="preserve"> ר"ל הגביל את היתר המשנה רק לתוך ל' יום, רב הונא הגביל הגבלה נוספת דווקא בתוך ימי ווסתה. רש"י מציין שרב הונא הורה הוראה זאת דווקא כשבא בתוך ל' יום לראייתה, משמע מדבריו להדיא שגם כשיש ווסת קבוע יש לחוש לעונה בינונית.</w:t>
      </w:r>
    </w:p>
  </w:footnote>
  <w:footnote w:id="169">
    <w:p w:rsidR="005953C5" w:rsidRDefault="005953C5" w:rsidP="00620060">
      <w:pPr>
        <w:pStyle w:val="a3"/>
      </w:pPr>
      <w:r w:rsidRPr="0087774F">
        <w:rPr>
          <w:rStyle w:val="a5"/>
          <w:sz w:val="18"/>
          <w:szCs w:val="18"/>
        </w:rPr>
        <w:footnoteRef/>
      </w:r>
      <w:r w:rsidRPr="0087774F">
        <w:rPr>
          <w:sz w:val="18"/>
          <w:szCs w:val="18"/>
          <w:rtl/>
        </w:rPr>
        <w:t xml:space="preserve"> </w:t>
      </w:r>
      <w:r w:rsidRPr="0087774F">
        <w:rPr>
          <w:rFonts w:hint="cs"/>
          <w:sz w:val="18"/>
          <w:szCs w:val="18"/>
          <w:rtl/>
        </w:rPr>
        <w:t xml:space="preserve">ולפי"ז מפרש הר"ן את הסוגייה לעיל באופן שונה. ר"ל מתייחס בדבריו רק לאשה שאין לה ווסת, ואילו רב הונא מתייחס בדבריו רק לאשה שיש לה ווסת. </w:t>
      </w:r>
    </w:p>
  </w:footnote>
  <w:footnote w:id="170">
    <w:p w:rsidR="005953C5" w:rsidRDefault="005953C5" w:rsidP="00620060">
      <w:pPr>
        <w:pStyle w:val="a3"/>
        <w:rPr>
          <w:rtl/>
        </w:rPr>
      </w:pPr>
      <w:r w:rsidRPr="004E7501">
        <w:rPr>
          <w:rStyle w:val="a5"/>
          <w:sz w:val="18"/>
          <w:szCs w:val="18"/>
        </w:rPr>
        <w:footnoteRef/>
      </w:r>
      <w:r w:rsidRPr="004E7501">
        <w:rPr>
          <w:sz w:val="18"/>
          <w:szCs w:val="18"/>
          <w:rtl/>
        </w:rPr>
        <w:t xml:space="preserve"> </w:t>
      </w:r>
      <w:r w:rsidRPr="004E7501">
        <w:rPr>
          <w:rFonts w:hint="cs"/>
          <w:sz w:val="18"/>
          <w:szCs w:val="18"/>
          <w:rtl/>
        </w:rPr>
        <w:t>מחלוקתם נאמרה לגבי עונה בינונית בלבד, אך בווסת קבוע כבר פסק המחבר לקמן סעיף יג', וכן לעיל בסימן קפד' סעיף ב', שחוששת רק בעונה בו היא למודה לראות.</w:t>
      </w:r>
      <w:r>
        <w:rPr>
          <w:rFonts w:hint="cs"/>
          <w:rtl/>
        </w:rPr>
        <w:t xml:space="preserve"> </w:t>
      </w:r>
      <w:r w:rsidRPr="004E7501">
        <w:rPr>
          <w:rFonts w:hint="cs"/>
          <w:sz w:val="18"/>
          <w:szCs w:val="18"/>
          <w:rtl/>
        </w:rPr>
        <w:t xml:space="preserve">כך מתבאר מדברי </w:t>
      </w:r>
      <w:r w:rsidRPr="007B60D9">
        <w:rPr>
          <w:rFonts w:hint="cs"/>
          <w:b/>
          <w:bCs/>
          <w:sz w:val="18"/>
          <w:szCs w:val="18"/>
          <w:rtl/>
        </w:rPr>
        <w:t>בדה"ש</w:t>
      </w:r>
      <w:r w:rsidRPr="004E7501">
        <w:rPr>
          <w:rFonts w:hint="cs"/>
          <w:sz w:val="18"/>
          <w:szCs w:val="18"/>
          <w:rtl/>
        </w:rPr>
        <w:t xml:space="preserve"> סק"ז.</w:t>
      </w:r>
    </w:p>
  </w:footnote>
  <w:footnote w:id="171">
    <w:p w:rsidR="005953C5" w:rsidRDefault="005953C5" w:rsidP="00620060">
      <w:pPr>
        <w:pStyle w:val="a3"/>
      </w:pPr>
      <w:r w:rsidRPr="00A6703A">
        <w:rPr>
          <w:rStyle w:val="a5"/>
          <w:sz w:val="18"/>
          <w:szCs w:val="18"/>
        </w:rPr>
        <w:footnoteRef/>
      </w:r>
      <w:r w:rsidRPr="00A6703A">
        <w:rPr>
          <w:sz w:val="18"/>
          <w:szCs w:val="18"/>
          <w:rtl/>
        </w:rPr>
        <w:t xml:space="preserve"> </w:t>
      </w:r>
      <w:r w:rsidRPr="00A6703A">
        <w:rPr>
          <w:rFonts w:hint="cs"/>
          <w:sz w:val="18"/>
          <w:szCs w:val="18"/>
          <w:rtl/>
        </w:rPr>
        <w:t xml:space="preserve">כך כתב </w:t>
      </w:r>
      <w:r w:rsidRPr="00A6703A">
        <w:rPr>
          <w:rFonts w:hint="cs"/>
          <w:b/>
          <w:bCs/>
          <w:sz w:val="18"/>
          <w:szCs w:val="18"/>
          <w:rtl/>
        </w:rPr>
        <w:t>הבית יוסף</w:t>
      </w:r>
      <w:r w:rsidRPr="00A6703A">
        <w:rPr>
          <w:rFonts w:hint="cs"/>
          <w:sz w:val="18"/>
          <w:szCs w:val="18"/>
          <w:rtl/>
        </w:rPr>
        <w:t>, שכוונת המשנה היא בין לעניין הפלגה ובין לעניין ימי החודש.</w:t>
      </w:r>
    </w:p>
  </w:footnote>
  <w:footnote w:id="172">
    <w:p w:rsidR="005953C5" w:rsidRDefault="005953C5" w:rsidP="00620060">
      <w:pPr>
        <w:pStyle w:val="a3"/>
        <w:rPr>
          <w:rtl/>
        </w:rPr>
      </w:pPr>
      <w:r w:rsidRPr="004703D3">
        <w:rPr>
          <w:rStyle w:val="a5"/>
          <w:sz w:val="18"/>
          <w:szCs w:val="18"/>
        </w:rPr>
        <w:footnoteRef/>
      </w:r>
      <w:r w:rsidRPr="004703D3">
        <w:rPr>
          <w:sz w:val="18"/>
          <w:szCs w:val="18"/>
          <w:rtl/>
        </w:rPr>
        <w:t xml:space="preserve"> </w:t>
      </w:r>
      <w:r w:rsidRPr="004703D3">
        <w:rPr>
          <w:rFonts w:hint="cs"/>
          <w:sz w:val="18"/>
          <w:szCs w:val="18"/>
          <w:rtl/>
        </w:rPr>
        <w:t>דין זה מבואר יותר בסימן קפד, ט.</w:t>
      </w:r>
    </w:p>
  </w:footnote>
  <w:footnote w:id="173">
    <w:p w:rsidR="005953C5" w:rsidRDefault="005953C5" w:rsidP="00620060">
      <w:pPr>
        <w:pStyle w:val="a3"/>
      </w:pPr>
      <w:r w:rsidRPr="007D5ACB">
        <w:rPr>
          <w:rStyle w:val="a5"/>
          <w:sz w:val="18"/>
          <w:szCs w:val="18"/>
        </w:rPr>
        <w:footnoteRef/>
      </w:r>
      <w:r w:rsidRPr="007D5ACB">
        <w:rPr>
          <w:sz w:val="18"/>
          <w:szCs w:val="18"/>
          <w:rtl/>
        </w:rPr>
        <w:t xml:space="preserve"> </w:t>
      </w:r>
      <w:r w:rsidRPr="007D5ACB">
        <w:rPr>
          <w:rFonts w:hint="cs"/>
          <w:sz w:val="18"/>
          <w:szCs w:val="18"/>
          <w:rtl/>
        </w:rPr>
        <w:t>אמנם, לעיל משמע שהמחבר תפס לעיקר הדין כרמב"ם שבעלת ווסת קבוע מותרת בדיעבד ללא בדיקה</w:t>
      </w:r>
      <w:r>
        <w:rPr>
          <w:rFonts w:hint="cs"/>
          <w:sz w:val="18"/>
          <w:szCs w:val="18"/>
          <w:rtl/>
        </w:rPr>
        <w:t>?</w:t>
      </w:r>
      <w:r w:rsidRPr="007D5ACB">
        <w:rPr>
          <w:rFonts w:hint="cs"/>
          <w:sz w:val="18"/>
          <w:szCs w:val="18"/>
          <w:rtl/>
        </w:rPr>
        <w:t xml:space="preserve"> ולדינא מסיק </w:t>
      </w:r>
      <w:r w:rsidRPr="007D5ACB">
        <w:rPr>
          <w:rFonts w:hint="cs"/>
          <w:b/>
          <w:bCs/>
          <w:sz w:val="18"/>
          <w:szCs w:val="18"/>
          <w:rtl/>
        </w:rPr>
        <w:t>טהרת הבית</w:t>
      </w:r>
      <w:r w:rsidRPr="007D5ACB">
        <w:rPr>
          <w:rFonts w:hint="cs"/>
          <w:sz w:val="18"/>
          <w:szCs w:val="18"/>
          <w:rtl/>
        </w:rPr>
        <w:t xml:space="preserve"> שהעיקר כדברי המחבר כאן, שללא בדיקה אסורה.</w:t>
      </w:r>
    </w:p>
  </w:footnote>
  <w:footnote w:id="174">
    <w:p w:rsidR="005953C5" w:rsidRDefault="005953C5" w:rsidP="00620060">
      <w:pPr>
        <w:pStyle w:val="a3"/>
      </w:pPr>
      <w:r w:rsidRPr="00FA6230">
        <w:rPr>
          <w:rStyle w:val="a5"/>
          <w:sz w:val="18"/>
          <w:szCs w:val="18"/>
        </w:rPr>
        <w:footnoteRef/>
      </w:r>
      <w:r w:rsidRPr="00FA6230">
        <w:rPr>
          <w:sz w:val="18"/>
          <w:szCs w:val="18"/>
          <w:rtl/>
        </w:rPr>
        <w:t xml:space="preserve"> </w:t>
      </w:r>
      <w:r w:rsidRPr="00FA6230">
        <w:rPr>
          <w:rFonts w:hint="cs"/>
          <w:b/>
          <w:bCs/>
          <w:sz w:val="18"/>
          <w:szCs w:val="18"/>
          <w:rtl/>
        </w:rPr>
        <w:t>תורת השלמים</w:t>
      </w:r>
      <w:r>
        <w:rPr>
          <w:rFonts w:hint="cs"/>
          <w:sz w:val="18"/>
          <w:szCs w:val="18"/>
          <w:rtl/>
        </w:rPr>
        <w:t xml:space="preserve"> </w:t>
      </w:r>
      <w:r w:rsidRPr="00FA6230">
        <w:rPr>
          <w:sz w:val="18"/>
          <w:szCs w:val="18"/>
          <w:rtl/>
        </w:rPr>
        <w:t>–</w:t>
      </w:r>
      <w:r w:rsidRPr="00FA6230">
        <w:rPr>
          <w:rFonts w:hint="cs"/>
          <w:sz w:val="18"/>
          <w:szCs w:val="18"/>
          <w:rtl/>
        </w:rPr>
        <w:t xml:space="preserve"> </w:t>
      </w:r>
      <w:r>
        <w:rPr>
          <w:rFonts w:hint="cs"/>
          <w:sz w:val="18"/>
          <w:szCs w:val="18"/>
          <w:rtl/>
        </w:rPr>
        <w:t xml:space="preserve">יום </w:t>
      </w:r>
      <w:r w:rsidRPr="00FA6230">
        <w:rPr>
          <w:rFonts w:hint="cs"/>
          <w:sz w:val="18"/>
          <w:szCs w:val="18"/>
          <w:rtl/>
        </w:rPr>
        <w:t>ל' דינו כווסת קבוע רק לעניין פרישה, אך מכל מקום נעקר בפעם אחת כשאר ווסת שאינו קבוע.</w:t>
      </w:r>
    </w:p>
  </w:footnote>
  <w:footnote w:id="175">
    <w:p w:rsidR="005953C5" w:rsidRDefault="005953C5" w:rsidP="00620060">
      <w:pPr>
        <w:pStyle w:val="a3"/>
        <w:rPr>
          <w:rtl/>
        </w:rPr>
      </w:pPr>
      <w:r w:rsidRPr="00E16DB4">
        <w:rPr>
          <w:rStyle w:val="a5"/>
          <w:sz w:val="18"/>
          <w:szCs w:val="18"/>
        </w:rPr>
        <w:footnoteRef/>
      </w:r>
      <w:r w:rsidRPr="00E16DB4">
        <w:rPr>
          <w:sz w:val="18"/>
          <w:szCs w:val="18"/>
          <w:rtl/>
        </w:rPr>
        <w:t xml:space="preserve"> </w:t>
      </w:r>
      <w:r w:rsidRPr="00E16DB4">
        <w:rPr>
          <w:rFonts w:hint="cs"/>
          <w:sz w:val="18"/>
          <w:szCs w:val="18"/>
          <w:rtl/>
        </w:rPr>
        <w:t xml:space="preserve">קושייה זאת מובאת גם בסימן קפו'. ועיי"ש שהקושייה אינה ברורה די הצורך, משום </w:t>
      </w:r>
      <w:r w:rsidRPr="00E16DB4">
        <w:rPr>
          <w:rFonts w:hint="cs"/>
          <w:b/>
          <w:bCs/>
          <w:sz w:val="18"/>
          <w:szCs w:val="18"/>
          <w:rtl/>
        </w:rPr>
        <w:t xml:space="preserve">שהמחבר </w:t>
      </w:r>
      <w:r w:rsidRPr="00E16DB4">
        <w:rPr>
          <w:rFonts w:hint="cs"/>
          <w:sz w:val="18"/>
          <w:szCs w:val="18"/>
          <w:rtl/>
        </w:rPr>
        <w:t xml:space="preserve">לא פסק להדיא </w:t>
      </w:r>
      <w:r w:rsidRPr="00E16DB4">
        <w:rPr>
          <w:rFonts w:hint="cs"/>
          <w:b/>
          <w:bCs/>
          <w:sz w:val="18"/>
          <w:szCs w:val="18"/>
          <w:rtl/>
        </w:rPr>
        <w:t>כרמב"ם</w:t>
      </w:r>
      <w:r w:rsidRPr="00E16DB4">
        <w:rPr>
          <w:rFonts w:hint="cs"/>
          <w:sz w:val="18"/>
          <w:szCs w:val="18"/>
          <w:rtl/>
        </w:rPr>
        <w:t xml:space="preserve"> לעיל, ושפיר ניתן להבין בדבריו שפסק </w:t>
      </w:r>
      <w:r w:rsidRPr="00E16DB4">
        <w:rPr>
          <w:rFonts w:hint="cs"/>
          <w:b/>
          <w:bCs/>
          <w:sz w:val="18"/>
          <w:szCs w:val="18"/>
          <w:rtl/>
        </w:rPr>
        <w:t xml:space="preserve">כרי"ף </w:t>
      </w:r>
      <w:r w:rsidRPr="00E16DB4">
        <w:rPr>
          <w:rFonts w:hint="cs"/>
          <w:sz w:val="18"/>
          <w:szCs w:val="18"/>
          <w:rtl/>
        </w:rPr>
        <w:t xml:space="preserve">ורק בג"פ הראשונות בעיא בדיקה. אמנם, מדברי </w:t>
      </w:r>
      <w:r w:rsidRPr="00E16DB4">
        <w:rPr>
          <w:rFonts w:hint="cs"/>
          <w:b/>
          <w:bCs/>
          <w:sz w:val="18"/>
          <w:szCs w:val="18"/>
          <w:rtl/>
        </w:rPr>
        <w:t>הט"ז והש"ך</w:t>
      </w:r>
      <w:r w:rsidRPr="00E16DB4">
        <w:rPr>
          <w:rFonts w:hint="cs"/>
          <w:sz w:val="18"/>
          <w:szCs w:val="18"/>
          <w:rtl/>
        </w:rPr>
        <w:t xml:space="preserve"> נראה שלא כך הבינו את דברי </w:t>
      </w:r>
      <w:r w:rsidRPr="00E16DB4">
        <w:rPr>
          <w:rFonts w:hint="cs"/>
          <w:b/>
          <w:bCs/>
          <w:sz w:val="18"/>
          <w:szCs w:val="18"/>
          <w:rtl/>
        </w:rPr>
        <w:t>המחבר</w:t>
      </w:r>
      <w:r w:rsidRPr="00E16DB4">
        <w:rPr>
          <w:rFonts w:hint="cs"/>
          <w:sz w:val="18"/>
          <w:szCs w:val="18"/>
          <w:rtl/>
        </w:rPr>
        <w:t xml:space="preserve">. </w:t>
      </w:r>
    </w:p>
  </w:footnote>
  <w:footnote w:id="176">
    <w:p w:rsidR="005953C5" w:rsidRDefault="005953C5" w:rsidP="00620060">
      <w:pPr>
        <w:pStyle w:val="a3"/>
      </w:pPr>
      <w:r w:rsidRPr="00211F4C">
        <w:rPr>
          <w:rStyle w:val="a5"/>
          <w:sz w:val="18"/>
          <w:szCs w:val="18"/>
        </w:rPr>
        <w:footnoteRef/>
      </w:r>
      <w:r w:rsidRPr="00211F4C">
        <w:rPr>
          <w:sz w:val="18"/>
          <w:szCs w:val="18"/>
          <w:rtl/>
        </w:rPr>
        <w:t xml:space="preserve"> </w:t>
      </w:r>
      <w:r w:rsidRPr="00211F4C">
        <w:rPr>
          <w:rFonts w:hint="cs"/>
          <w:b/>
          <w:bCs/>
          <w:sz w:val="18"/>
          <w:szCs w:val="18"/>
          <w:rtl/>
        </w:rPr>
        <w:t>ששבה"ל</w:t>
      </w:r>
      <w:r w:rsidRPr="00211F4C">
        <w:rPr>
          <w:rFonts w:hint="cs"/>
          <w:sz w:val="18"/>
          <w:szCs w:val="18"/>
          <w:rtl/>
        </w:rPr>
        <w:t xml:space="preserve"> </w:t>
      </w:r>
      <w:r w:rsidRPr="00211F4C">
        <w:rPr>
          <w:sz w:val="18"/>
          <w:szCs w:val="18"/>
          <w:rtl/>
        </w:rPr>
        <w:t>–</w:t>
      </w:r>
      <w:r w:rsidRPr="00211F4C">
        <w:rPr>
          <w:rFonts w:hint="cs"/>
          <w:sz w:val="18"/>
          <w:szCs w:val="18"/>
          <w:rtl/>
        </w:rPr>
        <w:t xml:space="preserve"> בווסת דילוג למפרע מסתבר שאינה חוששת לעולם, כיוון שלאחר כמה דילוגים תפסיק לדלג, שהרי לא תדלג יומיים בין ראייה לראייה. ואמנם, אע"פ שגם בווסת הדילוג להבא מסתבר שתפסוק בשלב מסויים, שהרי לא תדלג עד אינסוף, מכל מקום צריכה לחשוש כן לעולם עד שתקבע ווסת אחר. </w:t>
      </w:r>
    </w:p>
  </w:footnote>
  <w:footnote w:id="177">
    <w:p w:rsidR="005953C5" w:rsidRDefault="005953C5" w:rsidP="00620060">
      <w:pPr>
        <w:pStyle w:val="a3"/>
        <w:rPr>
          <w:rtl/>
        </w:rPr>
      </w:pPr>
      <w:r>
        <w:rPr>
          <w:rStyle w:val="a5"/>
        </w:rPr>
        <w:footnoteRef/>
      </w:r>
      <w:r>
        <w:rPr>
          <w:rtl/>
        </w:rPr>
        <w:t xml:space="preserve"> </w:t>
      </w:r>
      <w:r w:rsidRPr="004C213E">
        <w:rPr>
          <w:rFonts w:hint="cs"/>
          <w:sz w:val="18"/>
          <w:szCs w:val="18"/>
          <w:rtl/>
        </w:rPr>
        <w:t>הוכחת התוספות לדין זה</w:t>
      </w:r>
      <w:r w:rsidRPr="0038111F">
        <w:rPr>
          <w:rFonts w:hint="cs"/>
          <w:sz w:val="18"/>
          <w:szCs w:val="18"/>
          <w:rtl/>
        </w:rPr>
        <w:t xml:space="preserve"> </w:t>
      </w:r>
      <w:r w:rsidRPr="0038111F">
        <w:rPr>
          <w:sz w:val="18"/>
          <w:szCs w:val="18"/>
          <w:rtl/>
        </w:rPr>
        <w:t>–</w:t>
      </w:r>
      <w:r w:rsidRPr="0038111F">
        <w:rPr>
          <w:rFonts w:hint="cs"/>
          <w:sz w:val="18"/>
          <w:szCs w:val="18"/>
          <w:rtl/>
        </w:rPr>
        <w:t xml:space="preserve"> </w:t>
      </w:r>
      <w:r>
        <w:rPr>
          <w:sz w:val="18"/>
          <w:szCs w:val="18"/>
          <w:rtl/>
        </w:rPr>
        <w:br/>
      </w:r>
      <w:r w:rsidRPr="0038111F">
        <w:rPr>
          <w:rFonts w:hint="cs"/>
          <w:sz w:val="18"/>
          <w:szCs w:val="18"/>
          <w:rtl/>
        </w:rPr>
        <w:t>כאמור לעיל נחלקו רב ושמואל: "</w:t>
      </w:r>
      <w:r w:rsidRPr="0038111F">
        <w:rPr>
          <w:rFonts w:cs="Arial" w:hint="cs"/>
          <w:sz w:val="18"/>
          <w:szCs w:val="18"/>
          <w:rtl/>
        </w:rPr>
        <w:t>איתמר</w:t>
      </w:r>
      <w:r w:rsidRPr="0038111F">
        <w:rPr>
          <w:rFonts w:cs="Arial"/>
          <w:sz w:val="18"/>
          <w:szCs w:val="18"/>
          <w:rtl/>
        </w:rPr>
        <w:t xml:space="preserve">, </w:t>
      </w:r>
      <w:r w:rsidRPr="0038111F">
        <w:rPr>
          <w:rFonts w:cs="Arial" w:hint="cs"/>
          <w:sz w:val="18"/>
          <w:szCs w:val="18"/>
          <w:rtl/>
        </w:rPr>
        <w:t>ראתה</w:t>
      </w:r>
      <w:r w:rsidRPr="0038111F">
        <w:rPr>
          <w:rFonts w:cs="Arial"/>
          <w:sz w:val="18"/>
          <w:szCs w:val="18"/>
          <w:rtl/>
        </w:rPr>
        <w:t xml:space="preserve"> </w:t>
      </w:r>
      <w:r w:rsidRPr="0038111F">
        <w:rPr>
          <w:rFonts w:cs="Arial" w:hint="cs"/>
          <w:sz w:val="18"/>
          <w:szCs w:val="18"/>
          <w:rtl/>
        </w:rPr>
        <w:t>יום</w:t>
      </w:r>
      <w:r w:rsidRPr="0038111F">
        <w:rPr>
          <w:rFonts w:cs="Arial"/>
          <w:sz w:val="18"/>
          <w:szCs w:val="18"/>
          <w:rtl/>
        </w:rPr>
        <w:t xml:space="preserve"> </w:t>
      </w:r>
      <w:r w:rsidRPr="0038111F">
        <w:rPr>
          <w:rFonts w:cs="Arial" w:hint="cs"/>
          <w:sz w:val="18"/>
          <w:szCs w:val="18"/>
          <w:rtl/>
        </w:rPr>
        <w:t>חמשה</w:t>
      </w:r>
      <w:r w:rsidRPr="0038111F">
        <w:rPr>
          <w:rFonts w:cs="Arial"/>
          <w:sz w:val="18"/>
          <w:szCs w:val="18"/>
          <w:rtl/>
        </w:rPr>
        <w:t xml:space="preserve"> </w:t>
      </w:r>
      <w:r w:rsidRPr="0038111F">
        <w:rPr>
          <w:rFonts w:cs="Arial" w:hint="cs"/>
          <w:sz w:val="18"/>
          <w:szCs w:val="18"/>
          <w:rtl/>
        </w:rPr>
        <w:t>עשר</w:t>
      </w:r>
      <w:r w:rsidRPr="0038111F">
        <w:rPr>
          <w:rFonts w:cs="Arial"/>
          <w:sz w:val="18"/>
          <w:szCs w:val="18"/>
          <w:rtl/>
        </w:rPr>
        <w:t xml:space="preserve"> </w:t>
      </w:r>
      <w:r w:rsidRPr="0038111F">
        <w:rPr>
          <w:rFonts w:cs="Arial" w:hint="cs"/>
          <w:sz w:val="18"/>
          <w:szCs w:val="18"/>
          <w:rtl/>
        </w:rPr>
        <w:t>לחדש</w:t>
      </w:r>
      <w:r w:rsidRPr="0038111F">
        <w:rPr>
          <w:rFonts w:cs="Arial"/>
          <w:sz w:val="18"/>
          <w:szCs w:val="18"/>
          <w:rtl/>
        </w:rPr>
        <w:t xml:space="preserve"> </w:t>
      </w:r>
      <w:r w:rsidRPr="0038111F">
        <w:rPr>
          <w:rFonts w:cs="Arial" w:hint="cs"/>
          <w:sz w:val="18"/>
          <w:szCs w:val="18"/>
          <w:rtl/>
        </w:rPr>
        <w:t>זה</w:t>
      </w:r>
      <w:r w:rsidRPr="0038111F">
        <w:rPr>
          <w:rFonts w:cs="Arial"/>
          <w:sz w:val="18"/>
          <w:szCs w:val="18"/>
          <w:rtl/>
        </w:rPr>
        <w:t xml:space="preserve">, </w:t>
      </w:r>
      <w:r w:rsidRPr="0038111F">
        <w:rPr>
          <w:rFonts w:cs="Arial" w:hint="cs"/>
          <w:sz w:val="18"/>
          <w:szCs w:val="18"/>
          <w:rtl/>
        </w:rPr>
        <w:t>ויום</w:t>
      </w:r>
      <w:r w:rsidRPr="0038111F">
        <w:rPr>
          <w:rFonts w:cs="Arial"/>
          <w:sz w:val="18"/>
          <w:szCs w:val="18"/>
          <w:rtl/>
        </w:rPr>
        <w:t xml:space="preserve"> </w:t>
      </w:r>
      <w:r w:rsidRPr="0038111F">
        <w:rPr>
          <w:rFonts w:cs="Arial" w:hint="cs"/>
          <w:sz w:val="18"/>
          <w:szCs w:val="18"/>
          <w:rtl/>
        </w:rPr>
        <w:t>ט</w:t>
      </w:r>
      <w:r w:rsidRPr="0038111F">
        <w:rPr>
          <w:rFonts w:cs="Arial"/>
          <w:sz w:val="18"/>
          <w:szCs w:val="18"/>
          <w:rtl/>
        </w:rPr>
        <w:t>"</w:t>
      </w:r>
      <w:r w:rsidRPr="0038111F">
        <w:rPr>
          <w:rFonts w:cs="Arial" w:hint="cs"/>
          <w:sz w:val="18"/>
          <w:szCs w:val="18"/>
          <w:rtl/>
        </w:rPr>
        <w:t>ז</w:t>
      </w:r>
      <w:r w:rsidRPr="0038111F">
        <w:rPr>
          <w:rFonts w:cs="Arial"/>
          <w:sz w:val="18"/>
          <w:szCs w:val="18"/>
          <w:rtl/>
        </w:rPr>
        <w:t xml:space="preserve"> </w:t>
      </w:r>
      <w:r w:rsidRPr="0038111F">
        <w:rPr>
          <w:rFonts w:cs="Arial" w:hint="cs"/>
          <w:sz w:val="18"/>
          <w:szCs w:val="18"/>
          <w:rtl/>
        </w:rPr>
        <w:t>לחדש</w:t>
      </w:r>
      <w:r w:rsidRPr="0038111F">
        <w:rPr>
          <w:rFonts w:cs="Arial"/>
          <w:sz w:val="18"/>
          <w:szCs w:val="18"/>
          <w:rtl/>
        </w:rPr>
        <w:t xml:space="preserve"> </w:t>
      </w:r>
      <w:r w:rsidRPr="0038111F">
        <w:rPr>
          <w:rFonts w:cs="Arial" w:hint="cs"/>
          <w:sz w:val="18"/>
          <w:szCs w:val="18"/>
          <w:rtl/>
        </w:rPr>
        <w:t>זה</w:t>
      </w:r>
      <w:r w:rsidRPr="0038111F">
        <w:rPr>
          <w:rFonts w:cs="Arial"/>
          <w:sz w:val="18"/>
          <w:szCs w:val="18"/>
          <w:rtl/>
        </w:rPr>
        <w:t xml:space="preserve">, </w:t>
      </w:r>
      <w:r w:rsidRPr="0038111F">
        <w:rPr>
          <w:rFonts w:cs="Arial" w:hint="cs"/>
          <w:sz w:val="18"/>
          <w:szCs w:val="18"/>
          <w:rtl/>
        </w:rPr>
        <w:t>ויום</w:t>
      </w:r>
      <w:r w:rsidRPr="0038111F">
        <w:rPr>
          <w:rFonts w:cs="Arial"/>
          <w:sz w:val="18"/>
          <w:szCs w:val="18"/>
          <w:rtl/>
        </w:rPr>
        <w:t xml:space="preserve"> </w:t>
      </w:r>
      <w:r w:rsidRPr="0038111F">
        <w:rPr>
          <w:rFonts w:cs="Arial" w:hint="cs"/>
          <w:sz w:val="18"/>
          <w:szCs w:val="18"/>
          <w:rtl/>
        </w:rPr>
        <w:t>שבעה</w:t>
      </w:r>
      <w:r w:rsidRPr="0038111F">
        <w:rPr>
          <w:rFonts w:cs="Arial"/>
          <w:sz w:val="18"/>
          <w:szCs w:val="18"/>
          <w:rtl/>
        </w:rPr>
        <w:t xml:space="preserve"> </w:t>
      </w:r>
      <w:r w:rsidRPr="0038111F">
        <w:rPr>
          <w:rFonts w:cs="Arial" w:hint="cs"/>
          <w:sz w:val="18"/>
          <w:szCs w:val="18"/>
          <w:rtl/>
        </w:rPr>
        <w:t>עשר</w:t>
      </w:r>
      <w:r w:rsidRPr="0038111F">
        <w:rPr>
          <w:rFonts w:cs="Arial"/>
          <w:sz w:val="18"/>
          <w:szCs w:val="18"/>
          <w:rtl/>
        </w:rPr>
        <w:t xml:space="preserve"> </w:t>
      </w:r>
      <w:r w:rsidRPr="0038111F">
        <w:rPr>
          <w:rFonts w:cs="Arial" w:hint="cs"/>
          <w:sz w:val="18"/>
          <w:szCs w:val="18"/>
          <w:rtl/>
        </w:rPr>
        <w:t>לחדש</w:t>
      </w:r>
      <w:r w:rsidRPr="0038111F">
        <w:rPr>
          <w:rFonts w:cs="Arial"/>
          <w:sz w:val="18"/>
          <w:szCs w:val="18"/>
          <w:rtl/>
        </w:rPr>
        <w:t xml:space="preserve"> </w:t>
      </w:r>
      <w:r w:rsidRPr="0038111F">
        <w:rPr>
          <w:rFonts w:cs="Arial" w:hint="cs"/>
          <w:sz w:val="18"/>
          <w:szCs w:val="18"/>
          <w:rtl/>
        </w:rPr>
        <w:t>זה</w:t>
      </w:r>
      <w:r w:rsidRPr="0038111F">
        <w:rPr>
          <w:rFonts w:cs="Arial"/>
          <w:sz w:val="18"/>
          <w:szCs w:val="18"/>
          <w:rtl/>
        </w:rPr>
        <w:t xml:space="preserve">. </w:t>
      </w:r>
      <w:r w:rsidRPr="0038111F">
        <w:rPr>
          <w:rFonts w:cs="Arial" w:hint="cs"/>
          <w:sz w:val="18"/>
          <w:szCs w:val="18"/>
          <w:rtl/>
        </w:rPr>
        <w:t>רב</w:t>
      </w:r>
      <w:r w:rsidRPr="0038111F">
        <w:rPr>
          <w:rFonts w:cs="Arial"/>
          <w:sz w:val="18"/>
          <w:szCs w:val="18"/>
          <w:rtl/>
        </w:rPr>
        <w:t xml:space="preserve"> </w:t>
      </w:r>
      <w:r w:rsidRPr="0038111F">
        <w:rPr>
          <w:rFonts w:cs="Arial" w:hint="cs"/>
          <w:sz w:val="18"/>
          <w:szCs w:val="18"/>
          <w:rtl/>
        </w:rPr>
        <w:t>אמר</w:t>
      </w:r>
      <w:r w:rsidRPr="0038111F">
        <w:rPr>
          <w:rFonts w:cs="Arial"/>
          <w:sz w:val="18"/>
          <w:szCs w:val="18"/>
          <w:rtl/>
        </w:rPr>
        <w:t xml:space="preserve">: </w:t>
      </w:r>
      <w:r w:rsidRPr="0038111F">
        <w:rPr>
          <w:rFonts w:cs="Arial" w:hint="cs"/>
          <w:sz w:val="18"/>
          <w:szCs w:val="18"/>
          <w:rtl/>
        </w:rPr>
        <w:t>קבעה</w:t>
      </w:r>
      <w:r w:rsidRPr="0038111F">
        <w:rPr>
          <w:rFonts w:cs="Arial"/>
          <w:sz w:val="18"/>
          <w:szCs w:val="18"/>
          <w:rtl/>
        </w:rPr>
        <w:t xml:space="preserve"> </w:t>
      </w:r>
      <w:r w:rsidRPr="0038111F">
        <w:rPr>
          <w:rFonts w:cs="Arial" w:hint="cs"/>
          <w:sz w:val="18"/>
          <w:szCs w:val="18"/>
          <w:rtl/>
        </w:rPr>
        <w:t>לה</w:t>
      </w:r>
      <w:r w:rsidRPr="0038111F">
        <w:rPr>
          <w:rFonts w:cs="Arial"/>
          <w:sz w:val="18"/>
          <w:szCs w:val="18"/>
          <w:rtl/>
        </w:rPr>
        <w:t xml:space="preserve"> </w:t>
      </w:r>
      <w:r w:rsidRPr="0038111F">
        <w:rPr>
          <w:rFonts w:cs="Arial" w:hint="cs"/>
          <w:sz w:val="18"/>
          <w:szCs w:val="18"/>
          <w:rtl/>
        </w:rPr>
        <w:t>וסת</w:t>
      </w:r>
      <w:r w:rsidRPr="0038111F">
        <w:rPr>
          <w:rFonts w:cs="Arial"/>
          <w:sz w:val="18"/>
          <w:szCs w:val="18"/>
          <w:rtl/>
        </w:rPr>
        <w:t xml:space="preserve"> </w:t>
      </w:r>
      <w:r w:rsidRPr="0038111F">
        <w:rPr>
          <w:rFonts w:cs="Arial" w:hint="cs"/>
          <w:sz w:val="18"/>
          <w:szCs w:val="18"/>
          <w:rtl/>
        </w:rPr>
        <w:t>לדילוג</w:t>
      </w:r>
      <w:r w:rsidRPr="0038111F">
        <w:rPr>
          <w:rFonts w:cs="Arial"/>
          <w:sz w:val="18"/>
          <w:szCs w:val="18"/>
          <w:rtl/>
        </w:rPr>
        <w:t xml:space="preserve">. </w:t>
      </w:r>
      <w:r w:rsidRPr="0038111F">
        <w:rPr>
          <w:rFonts w:cs="Arial" w:hint="cs"/>
          <w:sz w:val="18"/>
          <w:szCs w:val="18"/>
          <w:rtl/>
        </w:rPr>
        <w:t>ושמואל</w:t>
      </w:r>
      <w:r w:rsidRPr="0038111F">
        <w:rPr>
          <w:rFonts w:cs="Arial"/>
          <w:sz w:val="18"/>
          <w:szCs w:val="18"/>
          <w:rtl/>
        </w:rPr>
        <w:t xml:space="preserve"> </w:t>
      </w:r>
      <w:r w:rsidRPr="0038111F">
        <w:rPr>
          <w:rFonts w:cs="Arial" w:hint="cs"/>
          <w:sz w:val="18"/>
          <w:szCs w:val="18"/>
          <w:rtl/>
        </w:rPr>
        <w:t>אמר</w:t>
      </w:r>
      <w:r w:rsidRPr="0038111F">
        <w:rPr>
          <w:rFonts w:cs="Arial"/>
          <w:sz w:val="18"/>
          <w:szCs w:val="18"/>
          <w:rtl/>
        </w:rPr>
        <w:t xml:space="preserve">: </w:t>
      </w:r>
      <w:r w:rsidRPr="0038111F">
        <w:rPr>
          <w:rFonts w:cs="Arial" w:hint="cs"/>
          <w:sz w:val="18"/>
          <w:szCs w:val="18"/>
          <w:rtl/>
        </w:rPr>
        <w:t>עד</w:t>
      </w:r>
      <w:r w:rsidRPr="0038111F">
        <w:rPr>
          <w:rFonts w:cs="Arial"/>
          <w:sz w:val="18"/>
          <w:szCs w:val="18"/>
          <w:rtl/>
        </w:rPr>
        <w:t xml:space="preserve"> </w:t>
      </w:r>
      <w:r w:rsidRPr="0038111F">
        <w:rPr>
          <w:rFonts w:cs="Arial" w:hint="cs"/>
          <w:sz w:val="18"/>
          <w:szCs w:val="18"/>
          <w:rtl/>
        </w:rPr>
        <w:t>שתשלש</w:t>
      </w:r>
      <w:r w:rsidRPr="0038111F">
        <w:rPr>
          <w:rFonts w:cs="Arial"/>
          <w:sz w:val="18"/>
          <w:szCs w:val="18"/>
          <w:rtl/>
        </w:rPr>
        <w:t xml:space="preserve"> </w:t>
      </w:r>
      <w:r w:rsidRPr="0038111F">
        <w:rPr>
          <w:rFonts w:cs="Arial" w:hint="cs"/>
          <w:sz w:val="18"/>
          <w:szCs w:val="18"/>
          <w:rtl/>
        </w:rPr>
        <w:t>בדילוג".</w:t>
      </w:r>
      <w:r w:rsidRPr="0038111F">
        <w:rPr>
          <w:sz w:val="18"/>
          <w:szCs w:val="18"/>
          <w:rtl/>
        </w:rPr>
        <w:br/>
      </w:r>
      <w:r w:rsidRPr="0038111F">
        <w:rPr>
          <w:rFonts w:hint="cs"/>
          <w:sz w:val="18"/>
          <w:szCs w:val="18"/>
          <w:rtl/>
        </w:rPr>
        <w:t xml:space="preserve">מקשה תוספות - </w:t>
      </w:r>
      <w:r w:rsidRPr="0038111F">
        <w:rPr>
          <w:rFonts w:cs="Arial" w:hint="cs"/>
          <w:sz w:val="18"/>
          <w:szCs w:val="18"/>
          <w:rtl/>
        </w:rPr>
        <w:t xml:space="preserve">במאי עסקינן? </w:t>
      </w:r>
      <w:r>
        <w:rPr>
          <w:rFonts w:cs="Arial" w:hint="cs"/>
          <w:sz w:val="18"/>
          <w:szCs w:val="18"/>
          <w:rtl/>
        </w:rPr>
        <w:t xml:space="preserve">אם בחודשים מלאים, הרי הפלגותיה שוות וליכא ווסת הדילוג. ואם מדובר בחודשים כסדרן, אחד מלא ואחד חסר אין כאן דילוג שווה! </w:t>
      </w:r>
      <w:r w:rsidRPr="00506580">
        <w:rPr>
          <w:rFonts w:cs="Arial" w:hint="cs"/>
          <w:sz w:val="16"/>
          <w:szCs w:val="16"/>
          <w:rtl/>
        </w:rPr>
        <w:t xml:space="preserve">[כגון </w:t>
      </w:r>
      <w:r w:rsidRPr="00506580">
        <w:rPr>
          <w:rFonts w:cs="Arial"/>
          <w:sz w:val="16"/>
          <w:szCs w:val="16"/>
          <w:rtl/>
        </w:rPr>
        <w:t>–</w:t>
      </w:r>
      <w:r w:rsidRPr="00506580">
        <w:rPr>
          <w:rFonts w:cs="Arial" w:hint="cs"/>
          <w:sz w:val="16"/>
          <w:szCs w:val="16"/>
          <w:rtl/>
        </w:rPr>
        <w:t xml:space="preserve"> ראתה בטו' לניסן שהוא מלא וראתה לטז' אייר, הרי לב'. חזרה וראתה יז' סיון, הרי קירבה ראיותיה ללא' שהרי אייר חסר].</w:t>
      </w:r>
      <w:r>
        <w:rPr>
          <w:rFonts w:cs="Arial" w:hint="cs"/>
          <w:sz w:val="18"/>
          <w:szCs w:val="18"/>
          <w:rtl/>
        </w:rPr>
        <w:t xml:space="preserve"> אלא על כרחך בימי החודש אין צריך הפלגות שוות, אלא ראייתה תלויה בתאריך החודש עצמו. וכן הדין לעניין ווסת הדילוג לימות החודש, שדילוגה נקבע ע"פ ימות החודש.</w:t>
      </w:r>
    </w:p>
  </w:footnote>
  <w:footnote w:id="178">
    <w:p w:rsidR="005953C5" w:rsidRDefault="005953C5" w:rsidP="00620060">
      <w:pPr>
        <w:pStyle w:val="a3"/>
        <w:rPr>
          <w:rtl/>
        </w:rPr>
      </w:pPr>
      <w:r w:rsidRPr="0083470A">
        <w:rPr>
          <w:rStyle w:val="a5"/>
          <w:sz w:val="18"/>
          <w:szCs w:val="18"/>
        </w:rPr>
        <w:footnoteRef/>
      </w:r>
      <w:r w:rsidRPr="0083470A">
        <w:rPr>
          <w:sz w:val="18"/>
          <w:szCs w:val="18"/>
          <w:rtl/>
        </w:rPr>
        <w:t xml:space="preserve"> </w:t>
      </w:r>
      <w:r w:rsidRPr="0083470A">
        <w:rPr>
          <w:rFonts w:hint="cs"/>
          <w:sz w:val="18"/>
          <w:szCs w:val="18"/>
          <w:rtl/>
        </w:rPr>
        <w:t>דין קביעת ווסת לימי השבוע שאינם שווים לא התפרש כאן</w:t>
      </w:r>
      <w:r>
        <w:rPr>
          <w:rFonts w:hint="cs"/>
          <w:sz w:val="18"/>
          <w:szCs w:val="18"/>
          <w:rtl/>
        </w:rPr>
        <w:t>,</w:t>
      </w:r>
      <w:r w:rsidRPr="0083470A">
        <w:rPr>
          <w:rFonts w:hint="cs"/>
          <w:sz w:val="18"/>
          <w:szCs w:val="18"/>
          <w:rtl/>
        </w:rPr>
        <w:t xml:space="preserve"> אלא שהמחבר סומך על מה שפירש בסעיף הבא לעניין ווסת ימי החודש שאינם שווים, ומינה יש ללמוד לווסת השבוע</w:t>
      </w:r>
      <w:r>
        <w:rPr>
          <w:rFonts w:hint="cs"/>
          <w:sz w:val="18"/>
          <w:szCs w:val="18"/>
          <w:rtl/>
        </w:rPr>
        <w:t>.</w:t>
      </w:r>
      <w:r w:rsidRPr="0083470A">
        <w:rPr>
          <w:rFonts w:hint="cs"/>
          <w:sz w:val="18"/>
          <w:szCs w:val="18"/>
          <w:rtl/>
        </w:rPr>
        <w:t xml:space="preserve"> דהיינו שבכל שבוע היא מדלגת יום אחד </w:t>
      </w:r>
      <w:r w:rsidRPr="0083470A">
        <w:rPr>
          <w:rFonts w:hint="cs"/>
          <w:sz w:val="16"/>
          <w:szCs w:val="16"/>
          <w:rtl/>
        </w:rPr>
        <w:t>(או שניים או שלושה, ובלבד שיהיו כל הדילוגים שווים)</w:t>
      </w:r>
      <w:r w:rsidRPr="0083470A">
        <w:rPr>
          <w:rFonts w:hint="cs"/>
          <w:sz w:val="18"/>
          <w:szCs w:val="18"/>
          <w:rtl/>
        </w:rPr>
        <w:t xml:space="preserve">, </w:t>
      </w:r>
      <w:r w:rsidRPr="0083470A">
        <w:rPr>
          <w:rFonts w:hint="cs"/>
          <w:b/>
          <w:bCs/>
          <w:sz w:val="18"/>
          <w:szCs w:val="18"/>
          <w:rtl/>
        </w:rPr>
        <w:t>בדי השולחן</w:t>
      </w:r>
      <w:r w:rsidRPr="0083470A">
        <w:rPr>
          <w:rFonts w:hint="cs"/>
          <w:sz w:val="18"/>
          <w:szCs w:val="18"/>
          <w:rtl/>
        </w:rPr>
        <w:t>.</w:t>
      </w:r>
    </w:p>
  </w:footnote>
  <w:footnote w:id="179">
    <w:p w:rsidR="005953C5" w:rsidRDefault="005953C5" w:rsidP="00620060">
      <w:pPr>
        <w:pStyle w:val="a3"/>
      </w:pPr>
      <w:r w:rsidRPr="00A42343">
        <w:rPr>
          <w:rStyle w:val="a5"/>
          <w:sz w:val="18"/>
          <w:szCs w:val="18"/>
        </w:rPr>
        <w:footnoteRef/>
      </w:r>
      <w:r w:rsidRPr="00A42343">
        <w:rPr>
          <w:sz w:val="18"/>
          <w:szCs w:val="18"/>
          <w:rtl/>
        </w:rPr>
        <w:t xml:space="preserve"> </w:t>
      </w:r>
      <w:r w:rsidRPr="00A42343">
        <w:rPr>
          <w:rFonts w:hint="cs"/>
          <w:sz w:val="18"/>
          <w:szCs w:val="18"/>
          <w:rtl/>
        </w:rPr>
        <w:t>דין זה מוכיח הרשב"א מ</w:t>
      </w:r>
      <w:r>
        <w:rPr>
          <w:rFonts w:hint="cs"/>
          <w:sz w:val="18"/>
          <w:szCs w:val="18"/>
          <w:rtl/>
        </w:rPr>
        <w:t xml:space="preserve">כמה </w:t>
      </w:r>
      <w:r w:rsidRPr="00A42343">
        <w:rPr>
          <w:rFonts w:hint="cs"/>
          <w:sz w:val="18"/>
          <w:szCs w:val="18"/>
          <w:rtl/>
        </w:rPr>
        <w:t xml:space="preserve">מקומות - </w:t>
      </w:r>
      <w:r w:rsidRPr="00A42343">
        <w:rPr>
          <w:sz w:val="18"/>
          <w:szCs w:val="18"/>
          <w:rtl/>
        </w:rPr>
        <w:br/>
      </w:r>
      <w:r w:rsidRPr="00A42343">
        <w:rPr>
          <w:rFonts w:hint="cs"/>
          <w:sz w:val="18"/>
          <w:szCs w:val="18"/>
          <w:rtl/>
        </w:rPr>
        <w:t xml:space="preserve">א. </w:t>
      </w:r>
      <w:r w:rsidRPr="00A42343">
        <w:rPr>
          <w:rFonts w:hint="cs"/>
          <w:b/>
          <w:bCs/>
          <w:sz w:val="18"/>
          <w:szCs w:val="18"/>
          <w:rtl/>
        </w:rPr>
        <w:t>ירושלמי</w:t>
      </w:r>
      <w:r w:rsidRPr="00A42343">
        <w:rPr>
          <w:rFonts w:hint="cs"/>
          <w:sz w:val="18"/>
          <w:szCs w:val="18"/>
          <w:rtl/>
        </w:rPr>
        <w:t xml:space="preserve"> כתובות (א, ב) "</w:t>
      </w:r>
      <w:r w:rsidRPr="00A42343">
        <w:rPr>
          <w:rFonts w:cs="Arial" w:hint="cs"/>
          <w:sz w:val="18"/>
          <w:szCs w:val="18"/>
          <w:rtl/>
        </w:rPr>
        <w:t>אמר</w:t>
      </w:r>
      <w:r w:rsidRPr="00A42343">
        <w:rPr>
          <w:rFonts w:cs="Arial"/>
          <w:sz w:val="18"/>
          <w:szCs w:val="18"/>
          <w:rtl/>
        </w:rPr>
        <w:t xml:space="preserve"> </w:t>
      </w:r>
      <w:r w:rsidRPr="00A42343">
        <w:rPr>
          <w:rFonts w:cs="Arial" w:hint="cs"/>
          <w:sz w:val="18"/>
          <w:szCs w:val="18"/>
          <w:rtl/>
        </w:rPr>
        <w:t>רבי</w:t>
      </w:r>
      <w:r w:rsidRPr="00A42343">
        <w:rPr>
          <w:rFonts w:cs="Arial"/>
          <w:sz w:val="18"/>
          <w:szCs w:val="18"/>
          <w:rtl/>
        </w:rPr>
        <w:t xml:space="preserve"> </w:t>
      </w:r>
      <w:r w:rsidRPr="00A42343">
        <w:rPr>
          <w:rFonts w:cs="Arial" w:hint="cs"/>
          <w:sz w:val="18"/>
          <w:szCs w:val="18"/>
          <w:rtl/>
        </w:rPr>
        <w:t>אבין</w:t>
      </w:r>
      <w:r w:rsidRPr="00A42343">
        <w:rPr>
          <w:rFonts w:cs="Arial"/>
          <w:sz w:val="18"/>
          <w:szCs w:val="18"/>
          <w:rtl/>
        </w:rPr>
        <w:t xml:space="preserve"> </w:t>
      </w:r>
      <w:r w:rsidRPr="00A42343">
        <w:rPr>
          <w:rFonts w:cs="Arial" w:hint="cs"/>
          <w:sz w:val="18"/>
          <w:szCs w:val="18"/>
          <w:rtl/>
        </w:rPr>
        <w:t>"אקרא</w:t>
      </w:r>
      <w:r w:rsidRPr="00A42343">
        <w:rPr>
          <w:rFonts w:cs="Arial"/>
          <w:sz w:val="18"/>
          <w:szCs w:val="18"/>
          <w:rtl/>
        </w:rPr>
        <w:t xml:space="preserve"> </w:t>
      </w:r>
      <w:r w:rsidRPr="00A42343">
        <w:rPr>
          <w:rFonts w:cs="Arial" w:hint="cs"/>
          <w:sz w:val="18"/>
          <w:szCs w:val="18"/>
          <w:rtl/>
        </w:rPr>
        <w:t>לאלוהים</w:t>
      </w:r>
      <w:r w:rsidRPr="00A42343">
        <w:rPr>
          <w:rFonts w:cs="Arial"/>
          <w:sz w:val="18"/>
          <w:szCs w:val="18"/>
          <w:rtl/>
        </w:rPr>
        <w:t xml:space="preserve"> </w:t>
      </w:r>
      <w:r w:rsidRPr="00A42343">
        <w:rPr>
          <w:rFonts w:cs="Arial" w:hint="cs"/>
          <w:sz w:val="18"/>
          <w:szCs w:val="18"/>
          <w:rtl/>
        </w:rPr>
        <w:t>עליון</w:t>
      </w:r>
      <w:r w:rsidRPr="00A42343">
        <w:rPr>
          <w:rFonts w:cs="Arial"/>
          <w:sz w:val="18"/>
          <w:szCs w:val="18"/>
          <w:rtl/>
        </w:rPr>
        <w:t xml:space="preserve"> </w:t>
      </w:r>
      <w:r w:rsidRPr="00A42343">
        <w:rPr>
          <w:rFonts w:cs="Arial" w:hint="cs"/>
          <w:sz w:val="18"/>
          <w:szCs w:val="18"/>
          <w:rtl/>
        </w:rPr>
        <w:t>לאל</w:t>
      </w:r>
      <w:r w:rsidRPr="00A42343">
        <w:rPr>
          <w:rFonts w:cs="Arial"/>
          <w:sz w:val="18"/>
          <w:szCs w:val="18"/>
          <w:rtl/>
        </w:rPr>
        <w:t xml:space="preserve"> </w:t>
      </w:r>
      <w:r w:rsidRPr="00A42343">
        <w:rPr>
          <w:rFonts w:cs="Arial" w:hint="cs"/>
          <w:sz w:val="18"/>
          <w:szCs w:val="18"/>
          <w:rtl/>
        </w:rPr>
        <w:t>גומר</w:t>
      </w:r>
      <w:r w:rsidRPr="00A42343">
        <w:rPr>
          <w:rFonts w:cs="Arial"/>
          <w:sz w:val="18"/>
          <w:szCs w:val="18"/>
          <w:rtl/>
        </w:rPr>
        <w:t xml:space="preserve"> </w:t>
      </w:r>
      <w:r w:rsidRPr="00A42343">
        <w:rPr>
          <w:rFonts w:cs="Arial" w:hint="cs"/>
          <w:sz w:val="18"/>
          <w:szCs w:val="18"/>
          <w:rtl/>
        </w:rPr>
        <w:t>עלי"</w:t>
      </w:r>
      <w:r w:rsidRPr="00A42343">
        <w:rPr>
          <w:rFonts w:cs="Arial"/>
          <w:sz w:val="18"/>
          <w:szCs w:val="18"/>
          <w:rtl/>
        </w:rPr>
        <w:t xml:space="preserve"> </w:t>
      </w:r>
      <w:r w:rsidRPr="00A42343">
        <w:rPr>
          <w:rFonts w:cs="Arial" w:hint="cs"/>
          <w:sz w:val="18"/>
          <w:szCs w:val="18"/>
          <w:rtl/>
        </w:rPr>
        <w:t>- בת</w:t>
      </w:r>
      <w:r w:rsidRPr="00A42343">
        <w:rPr>
          <w:rFonts w:cs="Arial"/>
          <w:sz w:val="18"/>
          <w:szCs w:val="18"/>
          <w:rtl/>
        </w:rPr>
        <w:t xml:space="preserve"> </w:t>
      </w:r>
      <w:r w:rsidRPr="00A42343">
        <w:rPr>
          <w:rFonts w:cs="Arial" w:hint="cs"/>
          <w:sz w:val="18"/>
          <w:szCs w:val="18"/>
          <w:rtl/>
        </w:rPr>
        <w:t>שלש</w:t>
      </w:r>
      <w:r w:rsidRPr="00A42343">
        <w:rPr>
          <w:rFonts w:cs="Arial"/>
          <w:sz w:val="18"/>
          <w:szCs w:val="18"/>
          <w:rtl/>
        </w:rPr>
        <w:t xml:space="preserve"> </w:t>
      </w:r>
      <w:r w:rsidRPr="00A42343">
        <w:rPr>
          <w:rFonts w:cs="Arial" w:hint="cs"/>
          <w:sz w:val="18"/>
          <w:szCs w:val="18"/>
          <w:rtl/>
        </w:rPr>
        <w:t>שנים</w:t>
      </w:r>
      <w:r w:rsidRPr="00A42343">
        <w:rPr>
          <w:rFonts w:cs="Arial"/>
          <w:sz w:val="18"/>
          <w:szCs w:val="18"/>
          <w:rtl/>
        </w:rPr>
        <w:t xml:space="preserve"> </w:t>
      </w:r>
      <w:r w:rsidRPr="00A42343">
        <w:rPr>
          <w:rFonts w:cs="Arial" w:hint="cs"/>
          <w:sz w:val="18"/>
          <w:szCs w:val="18"/>
          <w:rtl/>
        </w:rPr>
        <w:t>ויום</w:t>
      </w:r>
      <w:r w:rsidRPr="00A42343">
        <w:rPr>
          <w:rFonts w:cs="Arial"/>
          <w:sz w:val="18"/>
          <w:szCs w:val="18"/>
          <w:rtl/>
        </w:rPr>
        <w:t xml:space="preserve"> </w:t>
      </w:r>
      <w:r w:rsidRPr="00A42343">
        <w:rPr>
          <w:rFonts w:cs="Arial" w:hint="cs"/>
          <w:sz w:val="18"/>
          <w:szCs w:val="18"/>
          <w:rtl/>
        </w:rPr>
        <w:t>אחד</w:t>
      </w:r>
      <w:r w:rsidRPr="00A42343">
        <w:rPr>
          <w:rFonts w:cs="Arial"/>
          <w:sz w:val="18"/>
          <w:szCs w:val="18"/>
          <w:rtl/>
        </w:rPr>
        <w:t xml:space="preserve"> </w:t>
      </w:r>
      <w:r w:rsidRPr="00A42343">
        <w:rPr>
          <w:rFonts w:cs="Arial" w:hint="cs"/>
          <w:sz w:val="18"/>
          <w:szCs w:val="18"/>
          <w:rtl/>
        </w:rPr>
        <w:t>ונמלכין</w:t>
      </w:r>
      <w:r w:rsidRPr="00A42343">
        <w:rPr>
          <w:rFonts w:cs="Arial"/>
          <w:sz w:val="18"/>
          <w:szCs w:val="18"/>
          <w:rtl/>
        </w:rPr>
        <w:t xml:space="preserve"> </w:t>
      </w:r>
      <w:r w:rsidRPr="00A42343">
        <w:rPr>
          <w:rFonts w:cs="Arial" w:hint="cs"/>
          <w:sz w:val="18"/>
          <w:szCs w:val="18"/>
          <w:rtl/>
        </w:rPr>
        <w:t>בית דין</w:t>
      </w:r>
      <w:r w:rsidRPr="00A42343">
        <w:rPr>
          <w:rFonts w:cs="Arial"/>
          <w:sz w:val="18"/>
          <w:szCs w:val="18"/>
          <w:rtl/>
        </w:rPr>
        <w:t xml:space="preserve"> </w:t>
      </w:r>
      <w:r w:rsidRPr="00A42343">
        <w:rPr>
          <w:rFonts w:cs="Arial" w:hint="cs"/>
          <w:sz w:val="18"/>
          <w:szCs w:val="18"/>
          <w:rtl/>
        </w:rPr>
        <w:t>לעוברו</w:t>
      </w:r>
      <w:r w:rsidRPr="00A42343">
        <w:rPr>
          <w:rFonts w:cs="Arial"/>
          <w:sz w:val="18"/>
          <w:szCs w:val="18"/>
          <w:rtl/>
        </w:rPr>
        <w:t xml:space="preserve"> </w:t>
      </w:r>
      <w:r w:rsidRPr="00A42343">
        <w:rPr>
          <w:rFonts w:cs="Arial" w:hint="cs"/>
          <w:sz w:val="18"/>
          <w:szCs w:val="18"/>
          <w:rtl/>
        </w:rPr>
        <w:t>- הבתולין</w:t>
      </w:r>
      <w:r w:rsidRPr="00A42343">
        <w:rPr>
          <w:rFonts w:cs="Arial"/>
          <w:sz w:val="18"/>
          <w:szCs w:val="18"/>
          <w:rtl/>
        </w:rPr>
        <w:t xml:space="preserve"> </w:t>
      </w:r>
      <w:r w:rsidRPr="00A42343">
        <w:rPr>
          <w:rFonts w:cs="Arial" w:hint="cs"/>
          <w:sz w:val="18"/>
          <w:szCs w:val="18"/>
          <w:rtl/>
        </w:rPr>
        <w:t>חוזרין;</w:t>
      </w:r>
      <w:r w:rsidRPr="00A42343">
        <w:rPr>
          <w:rFonts w:cs="Arial"/>
          <w:sz w:val="18"/>
          <w:szCs w:val="18"/>
          <w:rtl/>
        </w:rPr>
        <w:t xml:space="preserve"> </w:t>
      </w:r>
      <w:r w:rsidRPr="00A42343">
        <w:rPr>
          <w:rFonts w:cs="Arial" w:hint="cs"/>
          <w:sz w:val="18"/>
          <w:szCs w:val="18"/>
          <w:rtl/>
        </w:rPr>
        <w:t>ואם</w:t>
      </w:r>
      <w:r w:rsidRPr="00A42343">
        <w:rPr>
          <w:rFonts w:cs="Arial"/>
          <w:sz w:val="18"/>
          <w:szCs w:val="18"/>
          <w:rtl/>
        </w:rPr>
        <w:t xml:space="preserve"> </w:t>
      </w:r>
      <w:r w:rsidRPr="00A42343">
        <w:rPr>
          <w:rFonts w:cs="Arial" w:hint="cs"/>
          <w:sz w:val="18"/>
          <w:szCs w:val="18"/>
          <w:rtl/>
        </w:rPr>
        <w:t>לאו</w:t>
      </w:r>
      <w:r w:rsidRPr="00A42343">
        <w:rPr>
          <w:rFonts w:cs="Arial"/>
          <w:sz w:val="18"/>
          <w:szCs w:val="18"/>
          <w:rtl/>
        </w:rPr>
        <w:t xml:space="preserve"> </w:t>
      </w:r>
      <w:r w:rsidRPr="00A42343">
        <w:rPr>
          <w:rFonts w:cs="Arial" w:hint="cs"/>
          <w:sz w:val="18"/>
          <w:szCs w:val="18"/>
          <w:rtl/>
        </w:rPr>
        <w:t>אין</w:t>
      </w:r>
      <w:r w:rsidRPr="00A42343">
        <w:rPr>
          <w:rFonts w:cs="Arial"/>
          <w:sz w:val="18"/>
          <w:szCs w:val="18"/>
          <w:rtl/>
        </w:rPr>
        <w:t xml:space="preserve"> </w:t>
      </w:r>
      <w:r w:rsidRPr="00A42343">
        <w:rPr>
          <w:rFonts w:cs="Arial" w:hint="cs"/>
          <w:sz w:val="18"/>
          <w:szCs w:val="18"/>
          <w:rtl/>
        </w:rPr>
        <w:t>הבתולין</w:t>
      </w:r>
      <w:r w:rsidRPr="00A42343">
        <w:rPr>
          <w:rFonts w:cs="Arial"/>
          <w:sz w:val="18"/>
          <w:szCs w:val="18"/>
          <w:rtl/>
        </w:rPr>
        <w:t xml:space="preserve"> </w:t>
      </w:r>
      <w:r w:rsidRPr="00A42343">
        <w:rPr>
          <w:rFonts w:cs="Arial" w:hint="cs"/>
          <w:sz w:val="18"/>
          <w:szCs w:val="18"/>
          <w:rtl/>
        </w:rPr>
        <w:t>חוזרין".</w:t>
      </w:r>
      <w:r w:rsidRPr="00A42343">
        <w:rPr>
          <w:sz w:val="18"/>
          <w:szCs w:val="18"/>
          <w:rtl/>
        </w:rPr>
        <w:br/>
      </w:r>
      <w:r w:rsidRPr="00A42343">
        <w:rPr>
          <w:rFonts w:hint="cs"/>
          <w:sz w:val="18"/>
          <w:szCs w:val="18"/>
          <w:rtl/>
        </w:rPr>
        <w:t>ב. בכל המצוות התלויות בזמן, כגון חמץ בפסח ועינוי יום הכיפורים ס</w:t>
      </w:r>
      <w:r>
        <w:rPr>
          <w:rFonts w:hint="cs"/>
          <w:sz w:val="18"/>
          <w:szCs w:val="18"/>
          <w:rtl/>
        </w:rPr>
        <w:t>ומ</w:t>
      </w:r>
      <w:r w:rsidRPr="00A42343">
        <w:rPr>
          <w:rFonts w:hint="cs"/>
          <w:sz w:val="18"/>
          <w:szCs w:val="18"/>
          <w:rtl/>
        </w:rPr>
        <w:t>כים על קביעת בי"ד.</w:t>
      </w:r>
      <w:r w:rsidRPr="00A42343">
        <w:rPr>
          <w:sz w:val="18"/>
          <w:szCs w:val="18"/>
          <w:rtl/>
        </w:rPr>
        <w:br/>
      </w:r>
      <w:r w:rsidRPr="00A42343">
        <w:rPr>
          <w:rFonts w:hint="cs"/>
          <w:sz w:val="18"/>
          <w:szCs w:val="18"/>
          <w:rtl/>
        </w:rPr>
        <w:t>ג. גם לעניין ביאת קטן בן תשע שנים ויום אחד, מונים ע"פ קביעת החודש של חכמים ולא ע"פ המולד.</w:t>
      </w:r>
    </w:p>
  </w:footnote>
  <w:footnote w:id="180">
    <w:p w:rsidR="005953C5" w:rsidRDefault="005953C5" w:rsidP="00620060">
      <w:pPr>
        <w:pStyle w:val="a3"/>
      </w:pPr>
      <w:r w:rsidRPr="0067715E">
        <w:rPr>
          <w:rStyle w:val="a5"/>
          <w:sz w:val="18"/>
          <w:szCs w:val="18"/>
        </w:rPr>
        <w:footnoteRef/>
      </w:r>
      <w:r w:rsidRPr="0067715E">
        <w:rPr>
          <w:sz w:val="18"/>
          <w:szCs w:val="18"/>
          <w:rtl/>
        </w:rPr>
        <w:t xml:space="preserve"> </w:t>
      </w:r>
      <w:r w:rsidRPr="0067715E">
        <w:rPr>
          <w:rFonts w:hint="cs"/>
          <w:sz w:val="18"/>
          <w:szCs w:val="18"/>
          <w:rtl/>
        </w:rPr>
        <w:t>כלומר, ראייה הראשונה אינה בדילוג כלל ולכן אינה נמנית לקביעת הווסת.</w:t>
      </w:r>
    </w:p>
  </w:footnote>
  <w:footnote w:id="181">
    <w:p w:rsidR="005953C5" w:rsidRDefault="005953C5" w:rsidP="00620060">
      <w:pPr>
        <w:pStyle w:val="a3"/>
        <w:rPr>
          <w:rtl/>
        </w:rPr>
      </w:pPr>
      <w:r>
        <w:rPr>
          <w:rStyle w:val="a5"/>
        </w:rPr>
        <w:footnoteRef/>
      </w:r>
      <w:r>
        <w:rPr>
          <w:rtl/>
        </w:rPr>
        <w:t xml:space="preserve"> </w:t>
      </w:r>
      <w:r w:rsidRPr="00DA676C">
        <w:rPr>
          <w:rFonts w:hint="cs"/>
          <w:sz w:val="18"/>
          <w:szCs w:val="18"/>
          <w:rtl/>
        </w:rPr>
        <w:t xml:space="preserve">בנוסף לחששות המובאים בסמוך, </w:t>
      </w:r>
      <w:r>
        <w:rPr>
          <w:rFonts w:hint="cs"/>
          <w:sz w:val="18"/>
          <w:szCs w:val="18"/>
          <w:rtl/>
        </w:rPr>
        <w:t>מ</w:t>
      </w:r>
      <w:r w:rsidRPr="00DA676C">
        <w:rPr>
          <w:rFonts w:hint="cs"/>
          <w:sz w:val="18"/>
          <w:szCs w:val="18"/>
          <w:rtl/>
        </w:rPr>
        <w:t xml:space="preserve">וסיף </w:t>
      </w:r>
      <w:r w:rsidRPr="00DA676C">
        <w:rPr>
          <w:rFonts w:hint="cs"/>
          <w:b/>
          <w:bCs/>
          <w:sz w:val="18"/>
          <w:szCs w:val="18"/>
          <w:rtl/>
        </w:rPr>
        <w:t>הט"ז</w:t>
      </w:r>
      <w:r w:rsidRPr="00DA676C">
        <w:rPr>
          <w:rFonts w:hint="cs"/>
          <w:sz w:val="18"/>
          <w:szCs w:val="18"/>
          <w:rtl/>
        </w:rPr>
        <w:t xml:space="preserve"> חשש נוסף ע"פ המבואר לקמן בסעיף יג'</w:t>
      </w:r>
      <w:r>
        <w:rPr>
          <w:rFonts w:hint="cs"/>
          <w:sz w:val="18"/>
          <w:szCs w:val="18"/>
          <w:rtl/>
        </w:rPr>
        <w:t xml:space="preserve"> - </w:t>
      </w:r>
      <w:r w:rsidRPr="00DA676C">
        <w:rPr>
          <w:rtl/>
        </w:rPr>
        <w:br/>
      </w:r>
      <w:r w:rsidRPr="00DA676C">
        <w:rPr>
          <w:rFonts w:hint="cs"/>
          <w:sz w:val="18"/>
          <w:szCs w:val="18"/>
          <w:rtl/>
        </w:rPr>
        <w:t>מבואר בסעיף יג' שאם יש שני ווסתות העומדים להיקבע, חוששת לשניהם עד שייקבע אחד מהם.</w:t>
      </w:r>
      <w:r w:rsidRPr="00DA676C">
        <w:rPr>
          <w:sz w:val="18"/>
          <w:szCs w:val="18"/>
          <w:rtl/>
        </w:rPr>
        <w:br/>
      </w:r>
      <w:r w:rsidRPr="00DA676C">
        <w:rPr>
          <w:rFonts w:hint="cs"/>
          <w:sz w:val="18"/>
          <w:szCs w:val="18"/>
          <w:rtl/>
        </w:rPr>
        <w:t>ולפי"ז, אף אם נחמיר כאן כשיטה שנייה, מכל מקום איכא קולא אם יש לה ווסת נוסף שצריכה לחוש לו, שהרי לאחר שנקבע ווסת זה אינה צריכה לחשוש לווסת האחר! ולכן, יש לומר שלעניין זה הוה ליה כאין לה ווסת קבוע וחוששת גם לווסת האחר.</w:t>
      </w:r>
    </w:p>
  </w:footnote>
  <w:footnote w:id="182">
    <w:p w:rsidR="005953C5" w:rsidRDefault="005953C5" w:rsidP="00620060">
      <w:pPr>
        <w:pStyle w:val="a3"/>
        <w:rPr>
          <w:rtl/>
        </w:rPr>
      </w:pPr>
      <w:r w:rsidRPr="00DA676C">
        <w:rPr>
          <w:rStyle w:val="a5"/>
          <w:sz w:val="18"/>
          <w:szCs w:val="18"/>
        </w:rPr>
        <w:footnoteRef/>
      </w:r>
      <w:r w:rsidRPr="00DA676C">
        <w:rPr>
          <w:sz w:val="18"/>
          <w:szCs w:val="18"/>
          <w:rtl/>
        </w:rPr>
        <w:t xml:space="preserve"> </w:t>
      </w:r>
      <w:r w:rsidRPr="00DA676C">
        <w:rPr>
          <w:rFonts w:hint="cs"/>
          <w:sz w:val="18"/>
          <w:szCs w:val="18"/>
          <w:rtl/>
        </w:rPr>
        <w:t xml:space="preserve">חשש זה לא נכתב </w:t>
      </w:r>
      <w:r w:rsidRPr="00DA676C">
        <w:rPr>
          <w:rFonts w:hint="cs"/>
          <w:b/>
          <w:bCs/>
          <w:sz w:val="18"/>
          <w:szCs w:val="18"/>
          <w:rtl/>
        </w:rPr>
        <w:t>בש"ך</w:t>
      </w:r>
      <w:r w:rsidRPr="00DA676C">
        <w:rPr>
          <w:rFonts w:hint="cs"/>
          <w:sz w:val="18"/>
          <w:szCs w:val="18"/>
          <w:rtl/>
        </w:rPr>
        <w:t xml:space="preserve"> להדיא, אך כך כתבו האחרונים. וביאר </w:t>
      </w:r>
      <w:r w:rsidRPr="00DA676C">
        <w:rPr>
          <w:rFonts w:hint="cs"/>
          <w:b/>
          <w:bCs/>
          <w:sz w:val="18"/>
          <w:szCs w:val="18"/>
          <w:rtl/>
        </w:rPr>
        <w:t>בשבה"ל</w:t>
      </w:r>
      <w:r w:rsidRPr="00DA676C">
        <w:rPr>
          <w:rFonts w:hint="cs"/>
          <w:sz w:val="18"/>
          <w:szCs w:val="18"/>
          <w:rtl/>
        </w:rPr>
        <w:t xml:space="preserve"> שהש"ך לא כתב חשש זה מכיוון שאזיל לשיטתיה, דהיינו שעונה בינונית היא יום החודש. אך לדידן דלא קיי"ל כוותיה, אלא עונה בינונית היא יום ל' לראייתה, ע"כ יש לחוש לטז' בנוסף לחשש ביז'.</w:t>
      </w:r>
    </w:p>
  </w:footnote>
  <w:footnote w:id="183">
    <w:p w:rsidR="005953C5" w:rsidRDefault="005953C5" w:rsidP="00620060">
      <w:pPr>
        <w:pStyle w:val="a3"/>
        <w:rPr>
          <w:rtl/>
        </w:rPr>
      </w:pPr>
      <w:r w:rsidRPr="00B471D4">
        <w:rPr>
          <w:rStyle w:val="a5"/>
          <w:sz w:val="18"/>
          <w:szCs w:val="18"/>
        </w:rPr>
        <w:footnoteRef/>
      </w:r>
      <w:r w:rsidRPr="00B471D4">
        <w:rPr>
          <w:sz w:val="18"/>
          <w:szCs w:val="18"/>
          <w:rtl/>
        </w:rPr>
        <w:t xml:space="preserve"> </w:t>
      </w:r>
      <w:r w:rsidRPr="00B471D4">
        <w:rPr>
          <w:rFonts w:hint="cs"/>
          <w:sz w:val="18"/>
          <w:szCs w:val="18"/>
          <w:rtl/>
        </w:rPr>
        <w:t xml:space="preserve">דברי </w:t>
      </w:r>
      <w:r w:rsidRPr="00161B01">
        <w:rPr>
          <w:rFonts w:hint="cs"/>
          <w:b/>
          <w:bCs/>
          <w:sz w:val="18"/>
          <w:szCs w:val="18"/>
          <w:rtl/>
        </w:rPr>
        <w:t>הש"ך</w:t>
      </w:r>
      <w:r w:rsidRPr="00B471D4">
        <w:rPr>
          <w:rFonts w:hint="cs"/>
          <w:sz w:val="18"/>
          <w:szCs w:val="18"/>
          <w:rtl/>
        </w:rPr>
        <w:t xml:space="preserve"> מוכרחים בהסבר הגמרא </w:t>
      </w:r>
      <w:r w:rsidRPr="00B471D4">
        <w:rPr>
          <w:sz w:val="18"/>
          <w:szCs w:val="18"/>
          <w:rtl/>
        </w:rPr>
        <w:t>–</w:t>
      </w:r>
      <w:r w:rsidRPr="00B471D4">
        <w:rPr>
          <w:rFonts w:hint="cs"/>
          <w:sz w:val="18"/>
          <w:szCs w:val="18"/>
          <w:rtl/>
        </w:rPr>
        <w:t xml:space="preserve"> הגמרא מקשה על רב מברייתא שמשמע שקביעת ווסת דילוג אינה נעשית בג' ראיות. רב מתרץ </w:t>
      </w:r>
      <w:r w:rsidRPr="00B471D4">
        <w:rPr>
          <w:sz w:val="18"/>
          <w:szCs w:val="18"/>
          <w:rtl/>
        </w:rPr>
        <w:t>–</w:t>
      </w:r>
      <w:r w:rsidRPr="00B471D4">
        <w:rPr>
          <w:rFonts w:hint="cs"/>
          <w:sz w:val="18"/>
          <w:szCs w:val="18"/>
          <w:rtl/>
        </w:rPr>
        <w:t xml:space="preserve"> למודה שאני, עיין לעיל. לעומת זאת, בק</w:t>
      </w:r>
      <w:r>
        <w:rPr>
          <w:rFonts w:hint="cs"/>
          <w:sz w:val="18"/>
          <w:szCs w:val="18"/>
          <w:rtl/>
        </w:rPr>
        <w:t>ושיי</w:t>
      </w:r>
      <w:r w:rsidRPr="00B471D4">
        <w:rPr>
          <w:rFonts w:hint="cs"/>
          <w:sz w:val="18"/>
          <w:szCs w:val="18"/>
          <w:rtl/>
        </w:rPr>
        <w:t xml:space="preserve">ת הגמרא על שמואל מברייתא שמוכח ממנה שקביעת ווסת הדילוג נעשית בג' פעמים, שמואל דוחה את הקושייה ואומר שמדובר ברגילה לראות לכ', ולכן ווסתה נקבעה ע"פ ד' ראיות. מוכח ששמואל משתמש באותה סברה </w:t>
      </w:r>
      <w:r w:rsidRPr="00B471D4">
        <w:rPr>
          <w:rFonts w:hint="cs"/>
          <w:sz w:val="16"/>
          <w:szCs w:val="16"/>
          <w:rtl/>
        </w:rPr>
        <w:t xml:space="preserve">(למודה) </w:t>
      </w:r>
      <w:r w:rsidRPr="00B471D4">
        <w:rPr>
          <w:rFonts w:hint="cs"/>
          <w:sz w:val="18"/>
          <w:szCs w:val="18"/>
          <w:rtl/>
        </w:rPr>
        <w:t>ועושה ממנה תירוץ לקושייה, על כרחך חלוק הוא על רב בסברה זו.</w:t>
      </w:r>
    </w:p>
  </w:footnote>
  <w:footnote w:id="184">
    <w:p w:rsidR="005953C5" w:rsidRDefault="005953C5" w:rsidP="00620060">
      <w:pPr>
        <w:pStyle w:val="a3"/>
        <w:rPr>
          <w:rtl/>
        </w:rPr>
      </w:pPr>
      <w:r w:rsidRPr="00EC046B">
        <w:rPr>
          <w:rStyle w:val="a5"/>
          <w:sz w:val="18"/>
          <w:szCs w:val="18"/>
        </w:rPr>
        <w:footnoteRef/>
      </w:r>
      <w:r w:rsidRPr="00EC046B">
        <w:rPr>
          <w:sz w:val="18"/>
          <w:szCs w:val="18"/>
          <w:rtl/>
        </w:rPr>
        <w:t xml:space="preserve"> </w:t>
      </w:r>
      <w:r w:rsidRPr="00EC046B">
        <w:rPr>
          <w:rFonts w:hint="cs"/>
          <w:sz w:val="18"/>
          <w:szCs w:val="18"/>
          <w:rtl/>
        </w:rPr>
        <w:t xml:space="preserve">מקור זה אינו מופיע </w:t>
      </w:r>
      <w:r w:rsidRPr="00EC046B">
        <w:rPr>
          <w:rFonts w:hint="cs"/>
          <w:b/>
          <w:bCs/>
          <w:sz w:val="18"/>
          <w:szCs w:val="18"/>
          <w:rtl/>
        </w:rPr>
        <w:t>בבית יוסף</w:t>
      </w:r>
      <w:r w:rsidRPr="00EC046B">
        <w:rPr>
          <w:rFonts w:hint="cs"/>
          <w:sz w:val="18"/>
          <w:szCs w:val="18"/>
          <w:rtl/>
        </w:rPr>
        <w:t xml:space="preserve">, אך כך מציין </w:t>
      </w:r>
      <w:r w:rsidRPr="00EC046B">
        <w:rPr>
          <w:rFonts w:hint="cs"/>
          <w:b/>
          <w:bCs/>
          <w:sz w:val="18"/>
          <w:szCs w:val="18"/>
          <w:rtl/>
        </w:rPr>
        <w:t>הגר"א</w:t>
      </w:r>
      <w:r w:rsidRPr="00EC046B">
        <w:rPr>
          <w:rFonts w:hint="cs"/>
          <w:sz w:val="18"/>
          <w:szCs w:val="18"/>
          <w:rtl/>
        </w:rPr>
        <w:t>.</w:t>
      </w:r>
    </w:p>
  </w:footnote>
  <w:footnote w:id="185">
    <w:p w:rsidR="005953C5" w:rsidRDefault="005953C5" w:rsidP="00620060">
      <w:pPr>
        <w:pStyle w:val="a3"/>
      </w:pPr>
      <w:r w:rsidRPr="005F75FF">
        <w:rPr>
          <w:rStyle w:val="a5"/>
          <w:sz w:val="18"/>
          <w:szCs w:val="18"/>
        </w:rPr>
        <w:footnoteRef/>
      </w:r>
      <w:r w:rsidRPr="005F75FF">
        <w:rPr>
          <w:sz w:val="18"/>
          <w:szCs w:val="18"/>
          <w:rtl/>
        </w:rPr>
        <w:t xml:space="preserve"> </w:t>
      </w:r>
      <w:r w:rsidRPr="005F75FF">
        <w:rPr>
          <w:rFonts w:hint="cs"/>
          <w:b/>
          <w:bCs/>
          <w:sz w:val="18"/>
          <w:szCs w:val="18"/>
          <w:rtl/>
        </w:rPr>
        <w:t>הש"ך</w:t>
      </w:r>
      <w:r w:rsidRPr="005F75FF">
        <w:rPr>
          <w:rFonts w:hint="cs"/>
          <w:sz w:val="18"/>
          <w:szCs w:val="18"/>
          <w:rtl/>
        </w:rPr>
        <w:t xml:space="preserve"> מציין שדין זה פשוט בגמרא נידה סד. וכך נאמר שם: "</w:t>
      </w:r>
      <w:r w:rsidRPr="005F75FF">
        <w:rPr>
          <w:rFonts w:cs="Arial" w:hint="cs"/>
          <w:sz w:val="18"/>
          <w:szCs w:val="18"/>
          <w:rtl/>
        </w:rPr>
        <w:t>איתמר</w:t>
      </w:r>
      <w:r w:rsidRPr="005F75FF">
        <w:rPr>
          <w:rFonts w:cs="Arial"/>
          <w:sz w:val="18"/>
          <w:szCs w:val="18"/>
          <w:rtl/>
        </w:rPr>
        <w:t xml:space="preserve">, </w:t>
      </w:r>
      <w:r w:rsidRPr="005F75FF">
        <w:rPr>
          <w:rFonts w:cs="Arial" w:hint="cs"/>
          <w:sz w:val="18"/>
          <w:szCs w:val="18"/>
          <w:rtl/>
        </w:rPr>
        <w:t>ראתה</w:t>
      </w:r>
      <w:r w:rsidRPr="005F75FF">
        <w:rPr>
          <w:rFonts w:cs="Arial"/>
          <w:sz w:val="18"/>
          <w:szCs w:val="18"/>
          <w:rtl/>
        </w:rPr>
        <w:t xml:space="preserve"> </w:t>
      </w:r>
      <w:r w:rsidRPr="005F75FF">
        <w:rPr>
          <w:rFonts w:cs="Arial" w:hint="cs"/>
          <w:sz w:val="18"/>
          <w:szCs w:val="18"/>
          <w:rtl/>
        </w:rPr>
        <w:t>יום</w:t>
      </w:r>
      <w:r w:rsidRPr="005F75FF">
        <w:rPr>
          <w:rFonts w:cs="Arial"/>
          <w:sz w:val="18"/>
          <w:szCs w:val="18"/>
          <w:rtl/>
        </w:rPr>
        <w:t xml:space="preserve"> </w:t>
      </w:r>
      <w:r w:rsidRPr="005F75FF">
        <w:rPr>
          <w:rFonts w:cs="Arial" w:hint="cs"/>
          <w:sz w:val="18"/>
          <w:szCs w:val="18"/>
          <w:rtl/>
        </w:rPr>
        <w:t>חמשה</w:t>
      </w:r>
      <w:r w:rsidRPr="005F75FF">
        <w:rPr>
          <w:rFonts w:cs="Arial"/>
          <w:sz w:val="18"/>
          <w:szCs w:val="18"/>
          <w:rtl/>
        </w:rPr>
        <w:t xml:space="preserve"> </w:t>
      </w:r>
      <w:r w:rsidRPr="005F75FF">
        <w:rPr>
          <w:rFonts w:cs="Arial" w:hint="cs"/>
          <w:sz w:val="18"/>
          <w:szCs w:val="18"/>
          <w:rtl/>
        </w:rPr>
        <w:t>עשר</w:t>
      </w:r>
      <w:r w:rsidRPr="005F75FF">
        <w:rPr>
          <w:rFonts w:cs="Arial"/>
          <w:sz w:val="18"/>
          <w:szCs w:val="18"/>
          <w:rtl/>
        </w:rPr>
        <w:t xml:space="preserve"> </w:t>
      </w:r>
      <w:r w:rsidRPr="005F75FF">
        <w:rPr>
          <w:rFonts w:cs="Arial" w:hint="cs"/>
          <w:sz w:val="18"/>
          <w:szCs w:val="18"/>
          <w:rtl/>
        </w:rPr>
        <w:t>לחדש</w:t>
      </w:r>
      <w:r w:rsidRPr="005F75FF">
        <w:rPr>
          <w:rFonts w:cs="Arial"/>
          <w:sz w:val="18"/>
          <w:szCs w:val="18"/>
          <w:rtl/>
        </w:rPr>
        <w:t xml:space="preserve"> </w:t>
      </w:r>
      <w:r w:rsidRPr="005F75FF">
        <w:rPr>
          <w:rFonts w:cs="Arial" w:hint="cs"/>
          <w:sz w:val="18"/>
          <w:szCs w:val="18"/>
          <w:rtl/>
        </w:rPr>
        <w:t>זה</w:t>
      </w:r>
      <w:r w:rsidRPr="005F75FF">
        <w:rPr>
          <w:rFonts w:cs="Arial"/>
          <w:sz w:val="18"/>
          <w:szCs w:val="18"/>
          <w:rtl/>
        </w:rPr>
        <w:t xml:space="preserve">, </w:t>
      </w:r>
      <w:r w:rsidRPr="005F75FF">
        <w:rPr>
          <w:rFonts w:cs="Arial" w:hint="cs"/>
          <w:sz w:val="18"/>
          <w:szCs w:val="18"/>
          <w:rtl/>
        </w:rPr>
        <w:t>ויום</w:t>
      </w:r>
      <w:r w:rsidRPr="005F75FF">
        <w:rPr>
          <w:rFonts w:cs="Arial"/>
          <w:sz w:val="18"/>
          <w:szCs w:val="18"/>
          <w:rtl/>
        </w:rPr>
        <w:t xml:space="preserve"> </w:t>
      </w:r>
      <w:r w:rsidRPr="005F75FF">
        <w:rPr>
          <w:rFonts w:cs="Arial" w:hint="cs"/>
          <w:sz w:val="18"/>
          <w:szCs w:val="18"/>
          <w:rtl/>
        </w:rPr>
        <w:t>ט</w:t>
      </w:r>
      <w:r w:rsidRPr="005F75FF">
        <w:rPr>
          <w:rFonts w:cs="Arial"/>
          <w:sz w:val="18"/>
          <w:szCs w:val="18"/>
          <w:rtl/>
        </w:rPr>
        <w:t>"</w:t>
      </w:r>
      <w:r w:rsidRPr="005F75FF">
        <w:rPr>
          <w:rFonts w:cs="Arial" w:hint="cs"/>
          <w:sz w:val="18"/>
          <w:szCs w:val="18"/>
          <w:rtl/>
        </w:rPr>
        <w:t>ז</w:t>
      </w:r>
      <w:r w:rsidRPr="005F75FF">
        <w:rPr>
          <w:rFonts w:cs="Arial"/>
          <w:sz w:val="18"/>
          <w:szCs w:val="18"/>
          <w:rtl/>
        </w:rPr>
        <w:t xml:space="preserve"> </w:t>
      </w:r>
      <w:r w:rsidRPr="005F75FF">
        <w:rPr>
          <w:rFonts w:cs="Arial" w:hint="cs"/>
          <w:sz w:val="18"/>
          <w:szCs w:val="18"/>
          <w:rtl/>
        </w:rPr>
        <w:t>לחדש</w:t>
      </w:r>
      <w:r w:rsidRPr="005F75FF">
        <w:rPr>
          <w:rFonts w:cs="Arial"/>
          <w:sz w:val="18"/>
          <w:szCs w:val="18"/>
          <w:rtl/>
        </w:rPr>
        <w:t xml:space="preserve"> </w:t>
      </w:r>
      <w:r w:rsidRPr="005F75FF">
        <w:rPr>
          <w:rFonts w:cs="Arial" w:hint="cs"/>
          <w:sz w:val="18"/>
          <w:szCs w:val="18"/>
          <w:rtl/>
        </w:rPr>
        <w:t>זה</w:t>
      </w:r>
      <w:r w:rsidRPr="005F75FF">
        <w:rPr>
          <w:rFonts w:cs="Arial"/>
          <w:sz w:val="18"/>
          <w:szCs w:val="18"/>
          <w:rtl/>
        </w:rPr>
        <w:t xml:space="preserve">, </w:t>
      </w:r>
      <w:r w:rsidRPr="005F75FF">
        <w:rPr>
          <w:rFonts w:cs="Arial" w:hint="cs"/>
          <w:sz w:val="18"/>
          <w:szCs w:val="18"/>
          <w:rtl/>
        </w:rPr>
        <w:t>ויום</w:t>
      </w:r>
      <w:r w:rsidRPr="005F75FF">
        <w:rPr>
          <w:rFonts w:cs="Arial"/>
          <w:sz w:val="18"/>
          <w:szCs w:val="18"/>
          <w:rtl/>
        </w:rPr>
        <w:t xml:space="preserve"> </w:t>
      </w:r>
      <w:r w:rsidRPr="005F75FF">
        <w:rPr>
          <w:rFonts w:cs="Arial" w:hint="cs"/>
          <w:sz w:val="18"/>
          <w:szCs w:val="18"/>
          <w:rtl/>
        </w:rPr>
        <w:t>שבעה</w:t>
      </w:r>
      <w:r w:rsidRPr="005F75FF">
        <w:rPr>
          <w:rFonts w:cs="Arial"/>
          <w:sz w:val="18"/>
          <w:szCs w:val="18"/>
          <w:rtl/>
        </w:rPr>
        <w:t xml:space="preserve"> </w:t>
      </w:r>
      <w:r w:rsidRPr="005F75FF">
        <w:rPr>
          <w:rFonts w:cs="Arial" w:hint="cs"/>
          <w:sz w:val="18"/>
          <w:szCs w:val="18"/>
          <w:rtl/>
        </w:rPr>
        <w:t>עשר</w:t>
      </w:r>
      <w:r w:rsidRPr="005F75FF">
        <w:rPr>
          <w:rFonts w:cs="Arial"/>
          <w:sz w:val="18"/>
          <w:szCs w:val="18"/>
          <w:rtl/>
        </w:rPr>
        <w:t xml:space="preserve"> </w:t>
      </w:r>
      <w:r w:rsidRPr="005F75FF">
        <w:rPr>
          <w:rFonts w:cs="Arial" w:hint="cs"/>
          <w:sz w:val="18"/>
          <w:szCs w:val="18"/>
          <w:rtl/>
        </w:rPr>
        <w:t>לחדש</w:t>
      </w:r>
      <w:r w:rsidRPr="005F75FF">
        <w:rPr>
          <w:rFonts w:cs="Arial"/>
          <w:sz w:val="18"/>
          <w:szCs w:val="18"/>
          <w:rtl/>
        </w:rPr>
        <w:t xml:space="preserve"> </w:t>
      </w:r>
      <w:r w:rsidRPr="005F75FF">
        <w:rPr>
          <w:rFonts w:cs="Arial" w:hint="cs"/>
          <w:sz w:val="18"/>
          <w:szCs w:val="18"/>
          <w:rtl/>
        </w:rPr>
        <w:t>זה</w:t>
      </w:r>
      <w:r w:rsidRPr="005F75FF">
        <w:rPr>
          <w:rFonts w:cs="Arial"/>
          <w:sz w:val="18"/>
          <w:szCs w:val="18"/>
          <w:rtl/>
        </w:rPr>
        <w:t xml:space="preserve">. </w:t>
      </w:r>
      <w:r w:rsidRPr="005F75FF">
        <w:rPr>
          <w:rFonts w:cs="Arial" w:hint="cs"/>
          <w:sz w:val="18"/>
          <w:szCs w:val="18"/>
          <w:rtl/>
        </w:rPr>
        <w:t>רב</w:t>
      </w:r>
      <w:r w:rsidRPr="005F75FF">
        <w:rPr>
          <w:rFonts w:cs="Arial"/>
          <w:sz w:val="18"/>
          <w:szCs w:val="18"/>
          <w:rtl/>
        </w:rPr>
        <w:t xml:space="preserve"> </w:t>
      </w:r>
      <w:r w:rsidRPr="005F75FF">
        <w:rPr>
          <w:rFonts w:cs="Arial" w:hint="cs"/>
          <w:sz w:val="18"/>
          <w:szCs w:val="18"/>
          <w:rtl/>
        </w:rPr>
        <w:t>אמר</w:t>
      </w:r>
      <w:r w:rsidRPr="005F75FF">
        <w:rPr>
          <w:rFonts w:cs="Arial"/>
          <w:sz w:val="18"/>
          <w:szCs w:val="18"/>
          <w:rtl/>
        </w:rPr>
        <w:t xml:space="preserve">: </w:t>
      </w:r>
      <w:r w:rsidRPr="005F75FF">
        <w:rPr>
          <w:rFonts w:cs="Arial" w:hint="cs"/>
          <w:sz w:val="18"/>
          <w:szCs w:val="18"/>
          <w:rtl/>
        </w:rPr>
        <w:t>קבעה</w:t>
      </w:r>
      <w:r w:rsidRPr="005F75FF">
        <w:rPr>
          <w:rFonts w:cs="Arial"/>
          <w:sz w:val="18"/>
          <w:szCs w:val="18"/>
          <w:rtl/>
        </w:rPr>
        <w:t xml:space="preserve"> </w:t>
      </w:r>
      <w:r w:rsidRPr="005F75FF">
        <w:rPr>
          <w:rFonts w:cs="Arial" w:hint="cs"/>
          <w:sz w:val="18"/>
          <w:szCs w:val="18"/>
          <w:rtl/>
        </w:rPr>
        <w:t>לה</w:t>
      </w:r>
      <w:r w:rsidRPr="005F75FF">
        <w:rPr>
          <w:rFonts w:cs="Arial"/>
          <w:sz w:val="18"/>
          <w:szCs w:val="18"/>
          <w:rtl/>
        </w:rPr>
        <w:t xml:space="preserve"> </w:t>
      </w:r>
      <w:r w:rsidRPr="005F75FF">
        <w:rPr>
          <w:rFonts w:cs="Arial" w:hint="cs"/>
          <w:sz w:val="18"/>
          <w:szCs w:val="18"/>
          <w:rtl/>
        </w:rPr>
        <w:t>וסת</w:t>
      </w:r>
      <w:r w:rsidRPr="005F75FF">
        <w:rPr>
          <w:rFonts w:cs="Arial"/>
          <w:sz w:val="18"/>
          <w:szCs w:val="18"/>
          <w:rtl/>
        </w:rPr>
        <w:t xml:space="preserve"> </w:t>
      </w:r>
      <w:r w:rsidRPr="005F75FF">
        <w:rPr>
          <w:rFonts w:cs="Arial" w:hint="cs"/>
          <w:sz w:val="18"/>
          <w:szCs w:val="18"/>
          <w:rtl/>
        </w:rPr>
        <w:t>לדילוג</w:t>
      </w:r>
      <w:r w:rsidRPr="005F75FF">
        <w:rPr>
          <w:rFonts w:cs="Arial"/>
          <w:sz w:val="18"/>
          <w:szCs w:val="18"/>
          <w:rtl/>
        </w:rPr>
        <w:t xml:space="preserve">. </w:t>
      </w:r>
      <w:r w:rsidRPr="005F75FF">
        <w:rPr>
          <w:rFonts w:cs="Arial" w:hint="cs"/>
          <w:sz w:val="18"/>
          <w:szCs w:val="18"/>
          <w:rtl/>
        </w:rPr>
        <w:t>ושמואל</w:t>
      </w:r>
      <w:r w:rsidRPr="005F75FF">
        <w:rPr>
          <w:rFonts w:cs="Arial"/>
          <w:sz w:val="18"/>
          <w:szCs w:val="18"/>
          <w:rtl/>
        </w:rPr>
        <w:t xml:space="preserve"> </w:t>
      </w:r>
      <w:r w:rsidRPr="005F75FF">
        <w:rPr>
          <w:rFonts w:cs="Arial" w:hint="cs"/>
          <w:sz w:val="18"/>
          <w:szCs w:val="18"/>
          <w:rtl/>
        </w:rPr>
        <w:t>אמר</w:t>
      </w:r>
      <w:r w:rsidRPr="005F75FF">
        <w:rPr>
          <w:rFonts w:cs="Arial"/>
          <w:sz w:val="18"/>
          <w:szCs w:val="18"/>
          <w:rtl/>
        </w:rPr>
        <w:t xml:space="preserve">: </w:t>
      </w:r>
      <w:r w:rsidRPr="005F75FF">
        <w:rPr>
          <w:rFonts w:cs="Arial" w:hint="cs"/>
          <w:sz w:val="18"/>
          <w:szCs w:val="18"/>
          <w:rtl/>
        </w:rPr>
        <w:t>עד</w:t>
      </w:r>
      <w:r w:rsidRPr="005F75FF">
        <w:rPr>
          <w:rFonts w:cs="Arial"/>
          <w:sz w:val="18"/>
          <w:szCs w:val="18"/>
          <w:rtl/>
        </w:rPr>
        <w:t xml:space="preserve"> </w:t>
      </w:r>
      <w:r w:rsidRPr="005F75FF">
        <w:rPr>
          <w:rFonts w:cs="Arial" w:hint="cs"/>
          <w:sz w:val="18"/>
          <w:szCs w:val="18"/>
          <w:rtl/>
        </w:rPr>
        <w:t>שתשלש</w:t>
      </w:r>
      <w:r w:rsidRPr="005F75FF">
        <w:rPr>
          <w:rFonts w:cs="Arial"/>
          <w:sz w:val="18"/>
          <w:szCs w:val="18"/>
          <w:rtl/>
        </w:rPr>
        <w:t xml:space="preserve"> </w:t>
      </w:r>
      <w:r w:rsidRPr="005F75FF">
        <w:rPr>
          <w:rFonts w:cs="Arial" w:hint="cs"/>
          <w:sz w:val="18"/>
          <w:szCs w:val="18"/>
          <w:rtl/>
        </w:rPr>
        <w:t>בדילוג</w:t>
      </w:r>
      <w:r w:rsidRPr="005F75FF">
        <w:rPr>
          <w:rFonts w:cs="Arial"/>
          <w:sz w:val="18"/>
          <w:szCs w:val="18"/>
          <w:rtl/>
        </w:rPr>
        <w:t>.</w:t>
      </w:r>
      <w:r w:rsidRPr="005F75FF">
        <w:rPr>
          <w:rFonts w:cs="Arial" w:hint="cs"/>
          <w:sz w:val="18"/>
          <w:szCs w:val="18"/>
          <w:rtl/>
        </w:rPr>
        <w:t>..</w:t>
      </w:r>
      <w:r w:rsidRPr="005F75FF">
        <w:rPr>
          <w:rFonts w:cs="Arial"/>
          <w:sz w:val="18"/>
          <w:szCs w:val="18"/>
          <w:rtl/>
        </w:rPr>
        <w:t xml:space="preserve"> </w:t>
      </w:r>
      <w:r w:rsidRPr="005F75FF">
        <w:rPr>
          <w:rFonts w:cs="Arial" w:hint="cs"/>
          <w:sz w:val="18"/>
          <w:szCs w:val="18"/>
          <w:rtl/>
        </w:rPr>
        <w:t>איתיביה</w:t>
      </w:r>
      <w:r w:rsidRPr="005F75FF">
        <w:rPr>
          <w:rFonts w:cs="Arial"/>
          <w:sz w:val="18"/>
          <w:szCs w:val="18"/>
          <w:rtl/>
        </w:rPr>
        <w:t xml:space="preserve">: </w:t>
      </w:r>
      <w:r w:rsidRPr="005F75FF">
        <w:rPr>
          <w:rFonts w:cs="Arial" w:hint="cs"/>
          <w:sz w:val="18"/>
          <w:szCs w:val="18"/>
          <w:rtl/>
        </w:rPr>
        <w:t>היתה</w:t>
      </w:r>
      <w:r w:rsidRPr="005F75FF">
        <w:rPr>
          <w:rFonts w:cs="Arial"/>
          <w:sz w:val="18"/>
          <w:szCs w:val="18"/>
          <w:rtl/>
        </w:rPr>
        <w:t xml:space="preserve"> </w:t>
      </w:r>
      <w:r w:rsidRPr="005F75FF">
        <w:rPr>
          <w:rFonts w:cs="Arial" w:hint="cs"/>
          <w:sz w:val="18"/>
          <w:szCs w:val="18"/>
          <w:rtl/>
        </w:rPr>
        <w:t>למודה</w:t>
      </w:r>
      <w:r w:rsidRPr="005F75FF">
        <w:rPr>
          <w:rFonts w:cs="Arial"/>
          <w:sz w:val="18"/>
          <w:szCs w:val="18"/>
          <w:rtl/>
        </w:rPr>
        <w:t xml:space="preserve"> </w:t>
      </w:r>
      <w:r w:rsidRPr="005F75FF">
        <w:rPr>
          <w:rFonts w:cs="Arial" w:hint="cs"/>
          <w:sz w:val="18"/>
          <w:szCs w:val="18"/>
          <w:rtl/>
        </w:rPr>
        <w:t>להיות</w:t>
      </w:r>
      <w:r w:rsidRPr="005F75FF">
        <w:rPr>
          <w:rFonts w:cs="Arial"/>
          <w:sz w:val="18"/>
          <w:szCs w:val="18"/>
          <w:rtl/>
        </w:rPr>
        <w:t xml:space="preserve"> </w:t>
      </w:r>
      <w:r w:rsidRPr="005F75FF">
        <w:rPr>
          <w:rFonts w:cs="Arial" w:hint="cs"/>
          <w:sz w:val="18"/>
          <w:szCs w:val="18"/>
          <w:rtl/>
        </w:rPr>
        <w:t>רואה</w:t>
      </w:r>
      <w:r w:rsidRPr="005F75FF">
        <w:rPr>
          <w:rFonts w:cs="Arial"/>
          <w:sz w:val="18"/>
          <w:szCs w:val="18"/>
          <w:rtl/>
        </w:rPr>
        <w:t xml:space="preserve"> </w:t>
      </w:r>
      <w:r w:rsidRPr="005F75FF">
        <w:rPr>
          <w:rFonts w:cs="Arial" w:hint="cs"/>
          <w:sz w:val="18"/>
          <w:szCs w:val="18"/>
          <w:rtl/>
        </w:rPr>
        <w:t>יום</w:t>
      </w:r>
      <w:r w:rsidRPr="005F75FF">
        <w:rPr>
          <w:rFonts w:cs="Arial"/>
          <w:sz w:val="18"/>
          <w:szCs w:val="18"/>
          <w:rtl/>
        </w:rPr>
        <w:t xml:space="preserve"> </w:t>
      </w:r>
      <w:r w:rsidRPr="005F75FF">
        <w:rPr>
          <w:rFonts w:cs="Arial" w:hint="cs"/>
          <w:sz w:val="18"/>
          <w:szCs w:val="18"/>
          <w:rtl/>
        </w:rPr>
        <w:t>ט</w:t>
      </w:r>
      <w:r w:rsidRPr="005F75FF">
        <w:rPr>
          <w:rFonts w:cs="Arial"/>
          <w:sz w:val="18"/>
          <w:szCs w:val="18"/>
          <w:rtl/>
        </w:rPr>
        <w:t>"</w:t>
      </w:r>
      <w:r w:rsidRPr="005F75FF">
        <w:rPr>
          <w:rFonts w:cs="Arial" w:hint="cs"/>
          <w:sz w:val="18"/>
          <w:szCs w:val="18"/>
          <w:rtl/>
        </w:rPr>
        <w:t>ו</w:t>
      </w:r>
      <w:r w:rsidRPr="005F75FF">
        <w:rPr>
          <w:rFonts w:cs="Arial"/>
          <w:sz w:val="18"/>
          <w:szCs w:val="18"/>
          <w:rtl/>
        </w:rPr>
        <w:t xml:space="preserve"> </w:t>
      </w:r>
      <w:r w:rsidRPr="005F75FF">
        <w:rPr>
          <w:rFonts w:cs="Arial" w:hint="cs"/>
          <w:sz w:val="18"/>
          <w:szCs w:val="18"/>
          <w:rtl/>
        </w:rPr>
        <w:t>ושינתה</w:t>
      </w:r>
      <w:r w:rsidRPr="005F75FF">
        <w:rPr>
          <w:rFonts w:cs="Arial"/>
          <w:sz w:val="18"/>
          <w:szCs w:val="18"/>
          <w:rtl/>
        </w:rPr>
        <w:t xml:space="preserve"> </w:t>
      </w:r>
      <w:r w:rsidRPr="005F75FF">
        <w:rPr>
          <w:rFonts w:cs="Arial" w:hint="cs"/>
          <w:sz w:val="18"/>
          <w:szCs w:val="18"/>
          <w:rtl/>
        </w:rPr>
        <w:t>ליום</w:t>
      </w:r>
      <w:r w:rsidRPr="005F75FF">
        <w:rPr>
          <w:rFonts w:cs="Arial"/>
          <w:sz w:val="18"/>
          <w:szCs w:val="18"/>
          <w:rtl/>
        </w:rPr>
        <w:t xml:space="preserve"> </w:t>
      </w:r>
      <w:r w:rsidRPr="005F75FF">
        <w:rPr>
          <w:rFonts w:cs="Arial" w:hint="cs"/>
          <w:sz w:val="18"/>
          <w:szCs w:val="18"/>
          <w:rtl/>
        </w:rPr>
        <w:t>ששה</w:t>
      </w:r>
      <w:r w:rsidRPr="005F75FF">
        <w:rPr>
          <w:rFonts w:cs="Arial"/>
          <w:sz w:val="18"/>
          <w:szCs w:val="18"/>
          <w:rtl/>
        </w:rPr>
        <w:t xml:space="preserve"> </w:t>
      </w:r>
      <w:r w:rsidRPr="005F75FF">
        <w:rPr>
          <w:rFonts w:cs="Arial" w:hint="cs"/>
          <w:sz w:val="18"/>
          <w:szCs w:val="18"/>
          <w:rtl/>
        </w:rPr>
        <w:t>עשר</w:t>
      </w:r>
      <w:r w:rsidRPr="005F75FF">
        <w:rPr>
          <w:rFonts w:cs="Arial"/>
          <w:sz w:val="18"/>
          <w:szCs w:val="18"/>
          <w:rtl/>
        </w:rPr>
        <w:t xml:space="preserve"> - </w:t>
      </w:r>
      <w:r w:rsidRPr="005F75FF">
        <w:rPr>
          <w:rFonts w:cs="Arial" w:hint="cs"/>
          <w:sz w:val="18"/>
          <w:szCs w:val="18"/>
          <w:rtl/>
        </w:rPr>
        <w:t>זה</w:t>
      </w:r>
      <w:r w:rsidRPr="005F75FF">
        <w:rPr>
          <w:rFonts w:cs="Arial"/>
          <w:sz w:val="18"/>
          <w:szCs w:val="18"/>
          <w:rtl/>
        </w:rPr>
        <w:t xml:space="preserve"> </w:t>
      </w:r>
      <w:r w:rsidRPr="005F75FF">
        <w:rPr>
          <w:rFonts w:cs="Arial" w:hint="cs"/>
          <w:sz w:val="18"/>
          <w:szCs w:val="18"/>
          <w:rtl/>
        </w:rPr>
        <w:t>וזה</w:t>
      </w:r>
      <w:r w:rsidRPr="005F75FF">
        <w:rPr>
          <w:rFonts w:cs="Arial"/>
          <w:sz w:val="18"/>
          <w:szCs w:val="18"/>
          <w:rtl/>
        </w:rPr>
        <w:t xml:space="preserve"> </w:t>
      </w:r>
      <w:r w:rsidRPr="005F75FF">
        <w:rPr>
          <w:rFonts w:cs="Arial" w:hint="cs"/>
          <w:sz w:val="18"/>
          <w:szCs w:val="18"/>
          <w:rtl/>
        </w:rPr>
        <w:t>אסורין</w:t>
      </w:r>
      <w:r w:rsidRPr="005F75FF">
        <w:rPr>
          <w:rFonts w:cs="Arial"/>
          <w:sz w:val="18"/>
          <w:szCs w:val="18"/>
          <w:rtl/>
        </w:rPr>
        <w:t xml:space="preserve">, </w:t>
      </w:r>
      <w:r w:rsidRPr="005F75FF">
        <w:rPr>
          <w:rFonts w:cs="Arial" w:hint="cs"/>
          <w:sz w:val="18"/>
          <w:szCs w:val="18"/>
          <w:rtl/>
        </w:rPr>
        <w:t>שינתה</w:t>
      </w:r>
      <w:r w:rsidRPr="005F75FF">
        <w:rPr>
          <w:rFonts w:cs="Arial"/>
          <w:sz w:val="18"/>
          <w:szCs w:val="18"/>
          <w:rtl/>
        </w:rPr>
        <w:t xml:space="preserve"> </w:t>
      </w:r>
      <w:r w:rsidRPr="005F75FF">
        <w:rPr>
          <w:rFonts w:cs="Arial" w:hint="cs"/>
          <w:sz w:val="18"/>
          <w:szCs w:val="18"/>
          <w:rtl/>
        </w:rPr>
        <w:t>ליום</w:t>
      </w:r>
      <w:r w:rsidRPr="005F75FF">
        <w:rPr>
          <w:rFonts w:cs="Arial"/>
          <w:sz w:val="18"/>
          <w:szCs w:val="18"/>
          <w:rtl/>
        </w:rPr>
        <w:t xml:space="preserve"> </w:t>
      </w:r>
      <w:r w:rsidRPr="005F75FF">
        <w:rPr>
          <w:rFonts w:cs="Arial" w:hint="cs"/>
          <w:sz w:val="18"/>
          <w:szCs w:val="18"/>
          <w:rtl/>
        </w:rPr>
        <w:t>שבעה</w:t>
      </w:r>
      <w:r w:rsidRPr="005F75FF">
        <w:rPr>
          <w:rFonts w:cs="Arial"/>
          <w:sz w:val="18"/>
          <w:szCs w:val="18"/>
          <w:rtl/>
        </w:rPr>
        <w:t xml:space="preserve"> </w:t>
      </w:r>
      <w:r w:rsidRPr="005F75FF">
        <w:rPr>
          <w:rFonts w:cs="Arial" w:hint="cs"/>
          <w:sz w:val="18"/>
          <w:szCs w:val="18"/>
          <w:rtl/>
        </w:rPr>
        <w:t>עשר</w:t>
      </w:r>
      <w:r w:rsidRPr="005F75FF">
        <w:rPr>
          <w:rFonts w:cs="Arial"/>
          <w:sz w:val="18"/>
          <w:szCs w:val="18"/>
          <w:rtl/>
        </w:rPr>
        <w:t xml:space="preserve"> - </w:t>
      </w:r>
      <w:r w:rsidRPr="005F75FF">
        <w:rPr>
          <w:rFonts w:cs="Arial" w:hint="cs"/>
          <w:sz w:val="18"/>
          <w:szCs w:val="18"/>
          <w:rtl/>
        </w:rPr>
        <w:t>הותר</w:t>
      </w:r>
      <w:r w:rsidRPr="005F75FF">
        <w:rPr>
          <w:rFonts w:cs="Arial"/>
          <w:sz w:val="18"/>
          <w:szCs w:val="18"/>
          <w:rtl/>
        </w:rPr>
        <w:t xml:space="preserve"> </w:t>
      </w:r>
      <w:r w:rsidRPr="005F75FF">
        <w:rPr>
          <w:rFonts w:cs="Arial" w:hint="cs"/>
          <w:sz w:val="18"/>
          <w:szCs w:val="18"/>
          <w:rtl/>
        </w:rPr>
        <w:t>ששה</w:t>
      </w:r>
      <w:r w:rsidRPr="005F75FF">
        <w:rPr>
          <w:rFonts w:cs="Arial"/>
          <w:sz w:val="18"/>
          <w:szCs w:val="18"/>
          <w:rtl/>
        </w:rPr>
        <w:t xml:space="preserve"> </w:t>
      </w:r>
      <w:r w:rsidRPr="005F75FF">
        <w:rPr>
          <w:rFonts w:cs="Arial" w:hint="cs"/>
          <w:sz w:val="18"/>
          <w:szCs w:val="18"/>
          <w:rtl/>
        </w:rPr>
        <w:t>עשר</w:t>
      </w:r>
      <w:r w:rsidRPr="005F75FF">
        <w:rPr>
          <w:rFonts w:cs="Arial"/>
          <w:sz w:val="18"/>
          <w:szCs w:val="18"/>
          <w:rtl/>
        </w:rPr>
        <w:t xml:space="preserve"> </w:t>
      </w:r>
      <w:r w:rsidRPr="005F75FF">
        <w:rPr>
          <w:rFonts w:cs="Arial" w:hint="cs"/>
          <w:sz w:val="18"/>
          <w:szCs w:val="18"/>
          <w:rtl/>
        </w:rPr>
        <w:t>ונאסר</w:t>
      </w:r>
      <w:r w:rsidRPr="005F75FF">
        <w:rPr>
          <w:rFonts w:cs="Arial"/>
          <w:sz w:val="18"/>
          <w:szCs w:val="18"/>
          <w:rtl/>
        </w:rPr>
        <w:t xml:space="preserve"> </w:t>
      </w:r>
      <w:r w:rsidRPr="005F75FF">
        <w:rPr>
          <w:rFonts w:cs="Arial" w:hint="cs"/>
          <w:sz w:val="18"/>
          <w:szCs w:val="18"/>
          <w:rtl/>
        </w:rPr>
        <w:t>חמשה</w:t>
      </w:r>
      <w:r w:rsidRPr="005F75FF">
        <w:rPr>
          <w:rFonts w:cs="Arial"/>
          <w:sz w:val="18"/>
          <w:szCs w:val="18"/>
          <w:rtl/>
        </w:rPr>
        <w:t xml:space="preserve"> </w:t>
      </w:r>
      <w:r w:rsidRPr="005F75FF">
        <w:rPr>
          <w:rFonts w:cs="Arial" w:hint="cs"/>
          <w:sz w:val="18"/>
          <w:szCs w:val="18"/>
          <w:rtl/>
        </w:rPr>
        <w:t>עשר</w:t>
      </w:r>
      <w:r w:rsidRPr="005F75FF">
        <w:rPr>
          <w:rFonts w:cs="Arial"/>
          <w:sz w:val="18"/>
          <w:szCs w:val="18"/>
          <w:rtl/>
        </w:rPr>
        <w:t xml:space="preserve"> </w:t>
      </w:r>
      <w:r w:rsidRPr="005F75FF">
        <w:rPr>
          <w:rFonts w:cs="Arial" w:hint="cs"/>
          <w:sz w:val="18"/>
          <w:szCs w:val="18"/>
          <w:rtl/>
        </w:rPr>
        <w:t>ושבעה</w:t>
      </w:r>
      <w:r w:rsidRPr="005F75FF">
        <w:rPr>
          <w:rFonts w:cs="Arial"/>
          <w:sz w:val="18"/>
          <w:szCs w:val="18"/>
          <w:rtl/>
        </w:rPr>
        <w:t xml:space="preserve"> </w:t>
      </w:r>
      <w:r w:rsidRPr="005F75FF">
        <w:rPr>
          <w:rFonts w:cs="Arial" w:hint="cs"/>
          <w:sz w:val="18"/>
          <w:szCs w:val="18"/>
          <w:rtl/>
        </w:rPr>
        <w:t>עשר</w:t>
      </w:r>
      <w:r w:rsidRPr="005F75FF">
        <w:rPr>
          <w:rFonts w:cs="Arial"/>
          <w:sz w:val="18"/>
          <w:szCs w:val="18"/>
          <w:rtl/>
        </w:rPr>
        <w:t xml:space="preserve">, </w:t>
      </w:r>
      <w:r w:rsidRPr="005F75FF">
        <w:rPr>
          <w:rFonts w:cs="Arial" w:hint="cs"/>
          <w:sz w:val="18"/>
          <w:szCs w:val="18"/>
          <w:rtl/>
        </w:rPr>
        <w:t>שינתה</w:t>
      </w:r>
      <w:r w:rsidRPr="005F75FF">
        <w:rPr>
          <w:rFonts w:cs="Arial"/>
          <w:sz w:val="18"/>
          <w:szCs w:val="18"/>
          <w:rtl/>
        </w:rPr>
        <w:t xml:space="preserve"> </w:t>
      </w:r>
      <w:r w:rsidRPr="005F75FF">
        <w:rPr>
          <w:rFonts w:cs="Arial" w:hint="cs"/>
          <w:sz w:val="18"/>
          <w:szCs w:val="18"/>
          <w:rtl/>
        </w:rPr>
        <w:t>ליום</w:t>
      </w:r>
      <w:r w:rsidRPr="005F75FF">
        <w:rPr>
          <w:rFonts w:cs="Arial"/>
          <w:sz w:val="18"/>
          <w:szCs w:val="18"/>
          <w:rtl/>
        </w:rPr>
        <w:t xml:space="preserve"> </w:t>
      </w:r>
      <w:r w:rsidRPr="005F75FF">
        <w:rPr>
          <w:rFonts w:cs="Arial" w:hint="cs"/>
          <w:sz w:val="18"/>
          <w:szCs w:val="18"/>
          <w:rtl/>
        </w:rPr>
        <w:t>שמונה</w:t>
      </w:r>
      <w:r w:rsidRPr="005F75FF">
        <w:rPr>
          <w:rFonts w:cs="Arial"/>
          <w:sz w:val="18"/>
          <w:szCs w:val="18"/>
          <w:rtl/>
        </w:rPr>
        <w:t xml:space="preserve"> </w:t>
      </w:r>
      <w:r w:rsidRPr="005F75FF">
        <w:rPr>
          <w:rFonts w:cs="Arial" w:hint="cs"/>
          <w:sz w:val="18"/>
          <w:szCs w:val="18"/>
          <w:rtl/>
        </w:rPr>
        <w:t>עשר</w:t>
      </w:r>
      <w:r w:rsidRPr="005F75FF">
        <w:rPr>
          <w:rFonts w:cs="Arial"/>
          <w:sz w:val="18"/>
          <w:szCs w:val="18"/>
          <w:rtl/>
        </w:rPr>
        <w:t xml:space="preserve"> - </w:t>
      </w:r>
      <w:r w:rsidRPr="005F75FF">
        <w:rPr>
          <w:rFonts w:cs="Arial" w:hint="cs"/>
          <w:sz w:val="18"/>
          <w:szCs w:val="18"/>
          <w:rtl/>
        </w:rPr>
        <w:t>הותרו</w:t>
      </w:r>
      <w:r w:rsidRPr="005F75FF">
        <w:rPr>
          <w:rFonts w:cs="Arial"/>
          <w:sz w:val="18"/>
          <w:szCs w:val="18"/>
          <w:rtl/>
        </w:rPr>
        <w:t xml:space="preserve"> </w:t>
      </w:r>
      <w:r w:rsidRPr="005F75FF">
        <w:rPr>
          <w:rFonts w:cs="Arial" w:hint="cs"/>
          <w:sz w:val="18"/>
          <w:szCs w:val="18"/>
          <w:rtl/>
        </w:rPr>
        <w:t>כולן</w:t>
      </w:r>
      <w:r w:rsidRPr="005F75FF">
        <w:rPr>
          <w:rFonts w:cs="Arial"/>
          <w:sz w:val="18"/>
          <w:szCs w:val="18"/>
          <w:rtl/>
        </w:rPr>
        <w:t xml:space="preserve">, </w:t>
      </w:r>
      <w:r w:rsidRPr="005F75FF">
        <w:rPr>
          <w:rFonts w:cs="Arial" w:hint="cs"/>
          <w:sz w:val="18"/>
          <w:szCs w:val="18"/>
          <w:rtl/>
        </w:rPr>
        <w:t>ואין</w:t>
      </w:r>
      <w:r w:rsidRPr="005F75FF">
        <w:rPr>
          <w:rFonts w:cs="Arial"/>
          <w:sz w:val="18"/>
          <w:szCs w:val="18"/>
          <w:rtl/>
        </w:rPr>
        <w:t xml:space="preserve"> </w:t>
      </w:r>
      <w:r w:rsidRPr="005F75FF">
        <w:rPr>
          <w:rFonts w:cs="Arial" w:hint="cs"/>
          <w:sz w:val="18"/>
          <w:szCs w:val="18"/>
          <w:rtl/>
        </w:rPr>
        <w:t>אסור</w:t>
      </w:r>
      <w:r w:rsidRPr="005F75FF">
        <w:rPr>
          <w:rFonts w:cs="Arial"/>
          <w:sz w:val="18"/>
          <w:szCs w:val="18"/>
          <w:rtl/>
        </w:rPr>
        <w:t xml:space="preserve"> </w:t>
      </w:r>
      <w:r w:rsidRPr="005F75FF">
        <w:rPr>
          <w:rFonts w:cs="Arial" w:hint="cs"/>
          <w:sz w:val="18"/>
          <w:szCs w:val="18"/>
          <w:rtl/>
        </w:rPr>
        <w:t>אלא</w:t>
      </w:r>
      <w:r w:rsidRPr="005F75FF">
        <w:rPr>
          <w:rFonts w:cs="Arial"/>
          <w:sz w:val="18"/>
          <w:szCs w:val="18"/>
          <w:rtl/>
        </w:rPr>
        <w:t xml:space="preserve"> </w:t>
      </w:r>
      <w:r w:rsidRPr="005F75FF">
        <w:rPr>
          <w:rFonts w:cs="Arial" w:hint="cs"/>
          <w:sz w:val="18"/>
          <w:szCs w:val="18"/>
          <w:rtl/>
        </w:rPr>
        <w:t>משמונה</w:t>
      </w:r>
      <w:r w:rsidRPr="005F75FF">
        <w:rPr>
          <w:rFonts w:cs="Arial"/>
          <w:sz w:val="18"/>
          <w:szCs w:val="18"/>
          <w:rtl/>
        </w:rPr>
        <w:t xml:space="preserve"> </w:t>
      </w:r>
      <w:r w:rsidRPr="005F75FF">
        <w:rPr>
          <w:rFonts w:cs="Arial" w:hint="cs"/>
          <w:sz w:val="18"/>
          <w:szCs w:val="18"/>
          <w:rtl/>
        </w:rPr>
        <w:t>עשר</w:t>
      </w:r>
      <w:r w:rsidRPr="005F75FF">
        <w:rPr>
          <w:rFonts w:cs="Arial"/>
          <w:sz w:val="18"/>
          <w:szCs w:val="18"/>
          <w:rtl/>
        </w:rPr>
        <w:t xml:space="preserve"> </w:t>
      </w:r>
      <w:r w:rsidRPr="005F75FF">
        <w:rPr>
          <w:rFonts w:cs="Arial" w:hint="cs"/>
          <w:sz w:val="18"/>
          <w:szCs w:val="18"/>
          <w:rtl/>
        </w:rPr>
        <w:t>ואילך</w:t>
      </w:r>
      <w:r w:rsidRPr="005F75FF">
        <w:rPr>
          <w:rFonts w:cs="Arial"/>
          <w:sz w:val="18"/>
          <w:szCs w:val="18"/>
          <w:rtl/>
        </w:rPr>
        <w:t xml:space="preserve">. </w:t>
      </w:r>
      <w:r w:rsidRPr="005F75FF">
        <w:rPr>
          <w:rFonts w:cs="Arial" w:hint="cs"/>
          <w:sz w:val="18"/>
          <w:szCs w:val="18"/>
          <w:rtl/>
        </w:rPr>
        <w:t>קשיא</w:t>
      </w:r>
      <w:r w:rsidRPr="005F75FF">
        <w:rPr>
          <w:rFonts w:cs="Arial"/>
          <w:sz w:val="18"/>
          <w:szCs w:val="18"/>
          <w:rtl/>
        </w:rPr>
        <w:t xml:space="preserve"> </w:t>
      </w:r>
      <w:r w:rsidRPr="005F75FF">
        <w:rPr>
          <w:rFonts w:cs="Arial" w:hint="cs"/>
          <w:sz w:val="18"/>
          <w:szCs w:val="18"/>
          <w:rtl/>
        </w:rPr>
        <w:t>לרב</w:t>
      </w:r>
      <w:r w:rsidRPr="005F75FF">
        <w:rPr>
          <w:rFonts w:cs="Arial"/>
          <w:sz w:val="18"/>
          <w:szCs w:val="18"/>
          <w:rtl/>
        </w:rPr>
        <w:t xml:space="preserve">! </w:t>
      </w:r>
      <w:r w:rsidRPr="005F75FF">
        <w:rPr>
          <w:rFonts w:cs="Arial" w:hint="cs"/>
          <w:sz w:val="18"/>
          <w:szCs w:val="18"/>
          <w:u w:val="single"/>
          <w:rtl/>
        </w:rPr>
        <w:t>אמר</w:t>
      </w:r>
      <w:r w:rsidRPr="005F75FF">
        <w:rPr>
          <w:rFonts w:cs="Arial"/>
          <w:sz w:val="18"/>
          <w:szCs w:val="18"/>
          <w:u w:val="single"/>
          <w:rtl/>
        </w:rPr>
        <w:t xml:space="preserve"> </w:t>
      </w:r>
      <w:r w:rsidRPr="005F75FF">
        <w:rPr>
          <w:rFonts w:cs="Arial" w:hint="cs"/>
          <w:sz w:val="18"/>
          <w:szCs w:val="18"/>
          <w:u w:val="single"/>
          <w:rtl/>
        </w:rPr>
        <w:t>לך</w:t>
      </w:r>
      <w:r w:rsidRPr="005F75FF">
        <w:rPr>
          <w:rFonts w:cs="Arial"/>
          <w:sz w:val="18"/>
          <w:szCs w:val="18"/>
          <w:u w:val="single"/>
          <w:rtl/>
        </w:rPr>
        <w:t xml:space="preserve"> </w:t>
      </w:r>
      <w:r w:rsidRPr="005F75FF">
        <w:rPr>
          <w:rFonts w:cs="Arial" w:hint="cs"/>
          <w:sz w:val="18"/>
          <w:szCs w:val="18"/>
          <w:u w:val="single"/>
          <w:rtl/>
        </w:rPr>
        <w:t>רב</w:t>
      </w:r>
      <w:r w:rsidRPr="005F75FF">
        <w:rPr>
          <w:rFonts w:cs="Arial"/>
          <w:sz w:val="18"/>
          <w:szCs w:val="18"/>
          <w:u w:val="single"/>
          <w:rtl/>
        </w:rPr>
        <w:t xml:space="preserve">: </w:t>
      </w:r>
      <w:r w:rsidRPr="005F75FF">
        <w:rPr>
          <w:rFonts w:cs="Arial" w:hint="cs"/>
          <w:sz w:val="18"/>
          <w:szCs w:val="18"/>
          <w:u w:val="single"/>
          <w:rtl/>
        </w:rPr>
        <w:t>למודה</w:t>
      </w:r>
      <w:r w:rsidRPr="005F75FF">
        <w:rPr>
          <w:rFonts w:cs="Arial"/>
          <w:sz w:val="18"/>
          <w:szCs w:val="18"/>
          <w:u w:val="single"/>
          <w:rtl/>
        </w:rPr>
        <w:t xml:space="preserve"> </w:t>
      </w:r>
      <w:r w:rsidRPr="005F75FF">
        <w:rPr>
          <w:rFonts w:cs="Arial" w:hint="cs"/>
          <w:sz w:val="18"/>
          <w:szCs w:val="18"/>
          <w:u w:val="single"/>
          <w:rtl/>
        </w:rPr>
        <w:t>שאני"</w:t>
      </w:r>
      <w:r w:rsidRPr="005F75FF">
        <w:rPr>
          <w:rFonts w:cs="Arial"/>
          <w:sz w:val="18"/>
          <w:szCs w:val="18"/>
          <w:rtl/>
        </w:rPr>
        <w:t>.</w:t>
      </w:r>
      <w:r w:rsidRPr="005F75FF">
        <w:rPr>
          <w:rFonts w:cs="Arial" w:hint="cs"/>
          <w:sz w:val="18"/>
          <w:szCs w:val="18"/>
          <w:rtl/>
        </w:rPr>
        <w:t xml:space="preserve"> מוכח מכאן שאף לדעת רב המחמיר בקביעת הווסת, מכל מקום אין היום הקבוע של הראייה עולה לחשבון הווסת החדש.</w:t>
      </w:r>
    </w:p>
  </w:footnote>
  <w:footnote w:id="186">
    <w:p w:rsidR="005953C5" w:rsidRDefault="005953C5" w:rsidP="00620060">
      <w:pPr>
        <w:pStyle w:val="a3"/>
        <w:rPr>
          <w:rtl/>
        </w:rPr>
      </w:pPr>
      <w:r w:rsidRPr="0095454B">
        <w:rPr>
          <w:rStyle w:val="a5"/>
          <w:sz w:val="18"/>
          <w:szCs w:val="18"/>
        </w:rPr>
        <w:footnoteRef/>
      </w:r>
      <w:r w:rsidRPr="0095454B">
        <w:rPr>
          <w:sz w:val="18"/>
          <w:szCs w:val="18"/>
          <w:rtl/>
        </w:rPr>
        <w:t xml:space="preserve"> </w:t>
      </w:r>
      <w:r w:rsidRPr="0095454B">
        <w:rPr>
          <w:rFonts w:hint="cs"/>
          <w:b/>
          <w:bCs/>
          <w:sz w:val="18"/>
          <w:szCs w:val="18"/>
          <w:rtl/>
        </w:rPr>
        <w:t>הבית יוסף</w:t>
      </w:r>
      <w:r w:rsidRPr="0095454B">
        <w:rPr>
          <w:rFonts w:hint="cs"/>
          <w:sz w:val="18"/>
          <w:szCs w:val="18"/>
          <w:rtl/>
        </w:rPr>
        <w:t xml:space="preserve"> מעיר </w:t>
      </w:r>
      <w:r w:rsidRPr="0095454B">
        <w:rPr>
          <w:rFonts w:hint="cs"/>
          <w:b/>
          <w:bCs/>
          <w:sz w:val="18"/>
          <w:szCs w:val="18"/>
          <w:rtl/>
        </w:rPr>
        <w:t>שהמגיד משנה</w:t>
      </w:r>
      <w:r w:rsidRPr="0095454B">
        <w:rPr>
          <w:rFonts w:hint="cs"/>
          <w:sz w:val="18"/>
          <w:szCs w:val="18"/>
          <w:rtl/>
        </w:rPr>
        <w:t xml:space="preserve"> כתב שלא נראה כן מדברי </w:t>
      </w:r>
      <w:r w:rsidRPr="0095454B">
        <w:rPr>
          <w:rFonts w:hint="cs"/>
          <w:b/>
          <w:bCs/>
          <w:sz w:val="18"/>
          <w:szCs w:val="18"/>
          <w:rtl/>
        </w:rPr>
        <w:t>הרמב"ם</w:t>
      </w:r>
      <w:r w:rsidRPr="0095454B">
        <w:rPr>
          <w:rFonts w:hint="cs"/>
          <w:sz w:val="18"/>
          <w:szCs w:val="18"/>
          <w:rtl/>
        </w:rPr>
        <w:t xml:space="preserve">. אעפ"כ סובר </w:t>
      </w:r>
      <w:r w:rsidRPr="0095454B">
        <w:rPr>
          <w:rFonts w:hint="cs"/>
          <w:b/>
          <w:bCs/>
          <w:sz w:val="18"/>
          <w:szCs w:val="18"/>
          <w:rtl/>
        </w:rPr>
        <w:t>הבית יוסף</w:t>
      </w:r>
      <w:r w:rsidRPr="0095454B">
        <w:rPr>
          <w:rFonts w:hint="cs"/>
          <w:sz w:val="18"/>
          <w:szCs w:val="18"/>
          <w:rtl/>
        </w:rPr>
        <w:t xml:space="preserve"> שיש לקבוע הלכה כשאר הראשונים כיוון שגדולי המפרשים הסכימו על סברה זו, וכן משום שראייתם ברורה ונכונה. מלבד זאת, ניתן לדייק </w:t>
      </w:r>
      <w:r>
        <w:rPr>
          <w:rFonts w:hint="cs"/>
          <w:b/>
          <w:bCs/>
          <w:sz w:val="18"/>
          <w:szCs w:val="18"/>
          <w:rtl/>
        </w:rPr>
        <w:t>ב</w:t>
      </w:r>
      <w:r w:rsidRPr="0095454B">
        <w:rPr>
          <w:rFonts w:hint="cs"/>
          <w:b/>
          <w:bCs/>
          <w:sz w:val="18"/>
          <w:szCs w:val="18"/>
          <w:rtl/>
        </w:rPr>
        <w:t>רמב"ם</w:t>
      </w:r>
      <w:r w:rsidRPr="0095454B">
        <w:rPr>
          <w:rFonts w:hint="cs"/>
          <w:sz w:val="18"/>
          <w:szCs w:val="18"/>
          <w:rtl/>
        </w:rPr>
        <w:t xml:space="preserve"> כפי שדייקו הראשונים הנ"ל בגמרא, שאינה חוששת לווסת הדילוג עד שתקבע.</w:t>
      </w:r>
    </w:p>
  </w:footnote>
  <w:footnote w:id="187">
    <w:p w:rsidR="005953C5" w:rsidRDefault="005953C5" w:rsidP="00620060">
      <w:pPr>
        <w:pStyle w:val="a3"/>
      </w:pPr>
      <w:r w:rsidRPr="00BC71EB">
        <w:rPr>
          <w:rStyle w:val="a5"/>
          <w:sz w:val="18"/>
          <w:szCs w:val="18"/>
        </w:rPr>
        <w:footnoteRef/>
      </w:r>
      <w:r w:rsidRPr="00BC71EB">
        <w:rPr>
          <w:sz w:val="18"/>
          <w:szCs w:val="18"/>
          <w:rtl/>
        </w:rPr>
        <w:t xml:space="preserve"> </w:t>
      </w:r>
      <w:r w:rsidRPr="00BC71EB">
        <w:rPr>
          <w:rFonts w:hint="cs"/>
          <w:b/>
          <w:bCs/>
          <w:sz w:val="18"/>
          <w:szCs w:val="18"/>
          <w:rtl/>
        </w:rPr>
        <w:t>ט"ז</w:t>
      </w:r>
      <w:r w:rsidRPr="00BC71EB">
        <w:rPr>
          <w:rFonts w:hint="cs"/>
          <w:sz w:val="18"/>
          <w:szCs w:val="18"/>
          <w:rtl/>
        </w:rPr>
        <w:t xml:space="preserve"> </w:t>
      </w:r>
      <w:r w:rsidRPr="00BC71EB">
        <w:rPr>
          <w:sz w:val="18"/>
          <w:szCs w:val="18"/>
          <w:rtl/>
        </w:rPr>
        <w:t>–</w:t>
      </w:r>
      <w:r w:rsidRPr="00BC71EB">
        <w:rPr>
          <w:rFonts w:hint="cs"/>
          <w:sz w:val="18"/>
          <w:szCs w:val="18"/>
          <w:rtl/>
        </w:rPr>
        <w:t xml:space="preserve"> חוששת לשני ימי ראש החודש. ל</w:t>
      </w:r>
      <w:r>
        <w:rPr>
          <w:rFonts w:hint="cs"/>
          <w:sz w:val="18"/>
          <w:szCs w:val="18"/>
          <w:rtl/>
        </w:rPr>
        <w:t>'</w:t>
      </w:r>
      <w:r w:rsidRPr="00BC71EB">
        <w:rPr>
          <w:rFonts w:hint="cs"/>
          <w:sz w:val="18"/>
          <w:szCs w:val="18"/>
          <w:rtl/>
        </w:rPr>
        <w:t xml:space="preserve"> ניסן </w:t>
      </w:r>
      <w:r w:rsidRPr="00BC71EB">
        <w:rPr>
          <w:sz w:val="18"/>
          <w:szCs w:val="18"/>
          <w:rtl/>
        </w:rPr>
        <w:t>–</w:t>
      </w:r>
      <w:r w:rsidRPr="00BC71EB">
        <w:rPr>
          <w:rFonts w:hint="cs"/>
          <w:sz w:val="18"/>
          <w:szCs w:val="18"/>
          <w:rtl/>
        </w:rPr>
        <w:t xml:space="preserve"> עונה בינונית; א' אייר </w:t>
      </w:r>
      <w:r w:rsidRPr="00BC71EB">
        <w:rPr>
          <w:sz w:val="18"/>
          <w:szCs w:val="18"/>
          <w:rtl/>
        </w:rPr>
        <w:t>–</w:t>
      </w:r>
      <w:r w:rsidRPr="00BC71EB">
        <w:rPr>
          <w:rFonts w:hint="cs"/>
          <w:sz w:val="18"/>
          <w:szCs w:val="18"/>
          <w:rtl/>
        </w:rPr>
        <w:t xml:space="preserve"> יום החודש.</w:t>
      </w:r>
    </w:p>
  </w:footnote>
  <w:footnote w:id="188">
    <w:p w:rsidR="005953C5" w:rsidRDefault="005953C5" w:rsidP="00620060">
      <w:pPr>
        <w:pStyle w:val="a3"/>
        <w:rPr>
          <w:rtl/>
        </w:rPr>
      </w:pPr>
      <w:r w:rsidRPr="00861C54">
        <w:rPr>
          <w:rStyle w:val="a5"/>
          <w:sz w:val="18"/>
          <w:szCs w:val="18"/>
        </w:rPr>
        <w:footnoteRef/>
      </w:r>
      <w:r w:rsidRPr="00861C54">
        <w:rPr>
          <w:sz w:val="18"/>
          <w:szCs w:val="18"/>
          <w:rtl/>
        </w:rPr>
        <w:t xml:space="preserve"> </w:t>
      </w:r>
      <w:r w:rsidRPr="00861C54">
        <w:rPr>
          <w:rFonts w:hint="cs"/>
          <w:sz w:val="18"/>
          <w:szCs w:val="18"/>
          <w:rtl/>
        </w:rPr>
        <w:t xml:space="preserve">תוספת ביאור - </w:t>
      </w:r>
      <w:r w:rsidRPr="00861C54">
        <w:rPr>
          <w:sz w:val="18"/>
          <w:szCs w:val="18"/>
          <w:rtl/>
        </w:rPr>
        <w:br/>
      </w:r>
      <w:r w:rsidRPr="00861C54">
        <w:rPr>
          <w:rFonts w:hint="cs"/>
          <w:b/>
          <w:bCs/>
          <w:sz w:val="18"/>
          <w:szCs w:val="18"/>
          <w:rtl/>
        </w:rPr>
        <w:t>ראב"ד</w:t>
      </w:r>
      <w:r w:rsidRPr="00861C54">
        <w:rPr>
          <w:rFonts w:hint="cs"/>
          <w:sz w:val="18"/>
          <w:szCs w:val="18"/>
          <w:rtl/>
        </w:rPr>
        <w:t xml:space="preserve"> </w:t>
      </w:r>
      <w:r w:rsidRPr="00861C54">
        <w:rPr>
          <w:sz w:val="18"/>
          <w:szCs w:val="18"/>
          <w:rtl/>
        </w:rPr>
        <w:t>–</w:t>
      </w:r>
      <w:r w:rsidRPr="00861C54">
        <w:rPr>
          <w:rFonts w:hint="cs"/>
          <w:sz w:val="18"/>
          <w:szCs w:val="18"/>
          <w:rtl/>
        </w:rPr>
        <w:t xml:space="preserve"> מחלוקת רב ושמואל נאמרה רק לגבי ווסת החודש בדילוג, אך לא לגבי ווסת החודש ולא לגבי ווסת ההפלגה. כלומר, בווסת החודש לכו"ע ראייה הראשונה נמנית, ובווסת ההפלגות לכו"ע ראייה ראשונה אינה נמנית. דין ווסת החודש בסירוג דומה יותר לווסת החודש בסידור ולא לווסת החודש בסירוג, ולכן לכו"ע סגי בג' ראיות.</w:t>
      </w:r>
    </w:p>
  </w:footnote>
  <w:footnote w:id="189">
    <w:p w:rsidR="005953C5" w:rsidRPr="00F22B95" w:rsidRDefault="005953C5" w:rsidP="00620060">
      <w:pPr>
        <w:pStyle w:val="a3"/>
        <w:rPr>
          <w:sz w:val="18"/>
          <w:szCs w:val="18"/>
          <w:rtl/>
        </w:rPr>
      </w:pPr>
      <w:r w:rsidRPr="00F22B95">
        <w:rPr>
          <w:rStyle w:val="a5"/>
          <w:sz w:val="18"/>
          <w:szCs w:val="18"/>
        </w:rPr>
        <w:footnoteRef/>
      </w:r>
      <w:r w:rsidRPr="00F22B95">
        <w:rPr>
          <w:sz w:val="18"/>
          <w:szCs w:val="18"/>
          <w:rtl/>
        </w:rPr>
        <w:t xml:space="preserve"> </w:t>
      </w:r>
      <w:r w:rsidRPr="00F22B95">
        <w:rPr>
          <w:rFonts w:hint="cs"/>
          <w:sz w:val="18"/>
          <w:szCs w:val="18"/>
          <w:rtl/>
        </w:rPr>
        <w:t xml:space="preserve">כך היא דעת </w:t>
      </w:r>
      <w:r w:rsidRPr="00F22B95">
        <w:rPr>
          <w:rFonts w:hint="cs"/>
          <w:b/>
          <w:bCs/>
          <w:sz w:val="18"/>
          <w:szCs w:val="18"/>
          <w:rtl/>
        </w:rPr>
        <w:t>הרא"ה</w:t>
      </w:r>
      <w:r w:rsidRPr="00F22B95">
        <w:rPr>
          <w:rFonts w:hint="cs"/>
          <w:sz w:val="18"/>
          <w:szCs w:val="18"/>
          <w:rtl/>
        </w:rPr>
        <w:t xml:space="preserve">. ואע"פ שלא הוזכרה דעתו כלל, לא </w:t>
      </w:r>
      <w:r w:rsidRPr="00F22B95">
        <w:rPr>
          <w:rFonts w:hint="cs"/>
          <w:b/>
          <w:bCs/>
          <w:sz w:val="18"/>
          <w:szCs w:val="18"/>
          <w:rtl/>
        </w:rPr>
        <w:t>בשו"ע</w:t>
      </w:r>
      <w:r w:rsidRPr="00F22B95">
        <w:rPr>
          <w:rFonts w:hint="cs"/>
          <w:sz w:val="18"/>
          <w:szCs w:val="18"/>
          <w:rtl/>
        </w:rPr>
        <w:t xml:space="preserve"> ולא </w:t>
      </w:r>
      <w:r w:rsidRPr="00F22B95">
        <w:rPr>
          <w:rFonts w:hint="cs"/>
          <w:b/>
          <w:bCs/>
          <w:sz w:val="18"/>
          <w:szCs w:val="18"/>
          <w:rtl/>
        </w:rPr>
        <w:t>בבית יוסף</w:t>
      </w:r>
      <w:r w:rsidRPr="00F22B95">
        <w:rPr>
          <w:rFonts w:hint="cs"/>
          <w:sz w:val="18"/>
          <w:szCs w:val="18"/>
          <w:rtl/>
        </w:rPr>
        <w:t xml:space="preserve">, סובר </w:t>
      </w:r>
      <w:r w:rsidRPr="00F22B95">
        <w:rPr>
          <w:rFonts w:hint="cs"/>
          <w:b/>
          <w:bCs/>
          <w:sz w:val="18"/>
          <w:szCs w:val="18"/>
          <w:rtl/>
        </w:rPr>
        <w:t>החוו"ד</w:t>
      </w:r>
      <w:r w:rsidRPr="00F22B95">
        <w:rPr>
          <w:rFonts w:hint="cs"/>
          <w:sz w:val="18"/>
          <w:szCs w:val="18"/>
          <w:rtl/>
        </w:rPr>
        <w:t xml:space="preserve"> שזו כוונת </w:t>
      </w:r>
      <w:r w:rsidRPr="00F22B95">
        <w:rPr>
          <w:rFonts w:hint="cs"/>
          <w:b/>
          <w:bCs/>
          <w:sz w:val="18"/>
          <w:szCs w:val="18"/>
          <w:rtl/>
        </w:rPr>
        <w:t>הט"ז</w:t>
      </w:r>
      <w:r w:rsidRPr="00F22B95">
        <w:rPr>
          <w:rFonts w:hint="cs"/>
          <w:sz w:val="18"/>
          <w:szCs w:val="18"/>
          <w:rtl/>
        </w:rPr>
        <w:t>.</w:t>
      </w:r>
      <w:r w:rsidRPr="00F22B95">
        <w:rPr>
          <w:sz w:val="18"/>
          <w:szCs w:val="18"/>
          <w:rtl/>
        </w:rPr>
        <w:br/>
      </w:r>
      <w:r w:rsidRPr="00F22B95">
        <w:rPr>
          <w:rFonts w:hint="cs"/>
          <w:sz w:val="18"/>
          <w:szCs w:val="18"/>
          <w:rtl/>
        </w:rPr>
        <w:t xml:space="preserve">ההכרח לפרש כך, הוא משום </w:t>
      </w:r>
      <w:r w:rsidRPr="00F22B95">
        <w:rPr>
          <w:rFonts w:hint="cs"/>
          <w:b/>
          <w:bCs/>
          <w:sz w:val="18"/>
          <w:szCs w:val="18"/>
          <w:rtl/>
        </w:rPr>
        <w:t>שהט"ז</w:t>
      </w:r>
      <w:r w:rsidRPr="00F22B95">
        <w:rPr>
          <w:rFonts w:hint="cs"/>
          <w:sz w:val="18"/>
          <w:szCs w:val="18"/>
          <w:rtl/>
        </w:rPr>
        <w:t xml:space="preserve"> עצמו כתב בסעיף ט' לגבי ווסת הסירוג שלדעת רב קובעת רק בד' ראיות. </w:t>
      </w:r>
      <w:r>
        <w:rPr>
          <w:sz w:val="18"/>
          <w:szCs w:val="18"/>
          <w:rtl/>
        </w:rPr>
        <w:br/>
      </w:r>
      <w:r w:rsidRPr="00F22B95">
        <w:rPr>
          <w:rFonts w:hint="cs"/>
          <w:sz w:val="18"/>
          <w:szCs w:val="18"/>
          <w:rtl/>
        </w:rPr>
        <w:t xml:space="preserve">ולכן, </w:t>
      </w:r>
      <w:r w:rsidRPr="00F22B95">
        <w:rPr>
          <w:rFonts w:hint="cs"/>
          <w:b/>
          <w:bCs/>
          <w:sz w:val="18"/>
          <w:szCs w:val="18"/>
          <w:rtl/>
        </w:rPr>
        <w:t>החוו"ד</w:t>
      </w:r>
      <w:r w:rsidRPr="00F22B95">
        <w:rPr>
          <w:rFonts w:hint="cs"/>
          <w:sz w:val="18"/>
          <w:szCs w:val="18"/>
          <w:rtl/>
        </w:rPr>
        <w:t xml:space="preserve"> מגיה מעט בדברי הט"ז כאן ומפרש כאמור בפנים.</w:t>
      </w:r>
    </w:p>
  </w:footnote>
  <w:footnote w:id="190">
    <w:p w:rsidR="005953C5" w:rsidRDefault="005953C5" w:rsidP="00620060">
      <w:pPr>
        <w:pStyle w:val="a3"/>
        <w:rPr>
          <w:rtl/>
        </w:rPr>
      </w:pPr>
      <w:r w:rsidRPr="005C346B">
        <w:rPr>
          <w:rStyle w:val="a5"/>
          <w:sz w:val="18"/>
          <w:szCs w:val="18"/>
        </w:rPr>
        <w:footnoteRef/>
      </w:r>
      <w:r w:rsidRPr="005C346B">
        <w:rPr>
          <w:sz w:val="18"/>
          <w:szCs w:val="18"/>
          <w:rtl/>
        </w:rPr>
        <w:t xml:space="preserve"> </w:t>
      </w:r>
      <w:r w:rsidRPr="005C346B">
        <w:rPr>
          <w:rFonts w:hint="cs"/>
          <w:sz w:val="18"/>
          <w:szCs w:val="18"/>
          <w:rtl/>
        </w:rPr>
        <w:t xml:space="preserve">אמנם, </w:t>
      </w:r>
      <w:r w:rsidRPr="005C346B">
        <w:rPr>
          <w:rFonts w:hint="cs"/>
          <w:b/>
          <w:bCs/>
          <w:sz w:val="18"/>
          <w:szCs w:val="18"/>
          <w:rtl/>
        </w:rPr>
        <w:t>הש"ך</w:t>
      </w:r>
      <w:r w:rsidRPr="005C346B">
        <w:rPr>
          <w:rFonts w:hint="cs"/>
          <w:sz w:val="18"/>
          <w:szCs w:val="18"/>
          <w:rtl/>
        </w:rPr>
        <w:t xml:space="preserve"> מיישב זאת ואומר שכיוון שדרך נשים לראות מל' לל' יום חשיב סירוג אף בכה"ג</w:t>
      </w:r>
      <w:r>
        <w:rPr>
          <w:rFonts w:hint="cs"/>
          <w:sz w:val="18"/>
          <w:szCs w:val="18"/>
          <w:rtl/>
        </w:rPr>
        <w:t>.</w:t>
      </w:r>
      <w:r w:rsidRPr="005C346B">
        <w:rPr>
          <w:rFonts w:hint="cs"/>
          <w:sz w:val="18"/>
          <w:szCs w:val="18"/>
          <w:rtl/>
        </w:rPr>
        <w:t xml:space="preserve"> </w:t>
      </w:r>
      <w:r>
        <w:rPr>
          <w:rFonts w:hint="cs"/>
          <w:sz w:val="18"/>
          <w:szCs w:val="18"/>
          <w:rtl/>
        </w:rPr>
        <w:t>ו</w:t>
      </w:r>
      <w:r w:rsidRPr="005C346B">
        <w:rPr>
          <w:rFonts w:hint="cs"/>
          <w:sz w:val="18"/>
          <w:szCs w:val="18"/>
          <w:rtl/>
        </w:rPr>
        <w:t>מכל מקום מעדיף את הפירוש השני.</w:t>
      </w:r>
    </w:p>
  </w:footnote>
  <w:footnote w:id="191">
    <w:p w:rsidR="005953C5" w:rsidRDefault="005953C5" w:rsidP="00620060">
      <w:pPr>
        <w:pStyle w:val="a3"/>
      </w:pPr>
      <w:r w:rsidRPr="005C346B">
        <w:rPr>
          <w:rStyle w:val="a5"/>
          <w:sz w:val="18"/>
          <w:szCs w:val="18"/>
        </w:rPr>
        <w:footnoteRef/>
      </w:r>
      <w:r w:rsidRPr="005C346B">
        <w:rPr>
          <w:sz w:val="18"/>
          <w:szCs w:val="18"/>
          <w:rtl/>
        </w:rPr>
        <w:t xml:space="preserve"> </w:t>
      </w:r>
      <w:r w:rsidRPr="005C346B">
        <w:rPr>
          <w:rFonts w:hint="cs"/>
          <w:sz w:val="18"/>
          <w:szCs w:val="18"/>
          <w:rtl/>
        </w:rPr>
        <w:t>ואע"פ ששמואל מודה שאם היה לה ווסת קבוע לכ' ודילגה לכא' שראייה זו מהמניין, התם זה משום שראיית כא' ראתה בדילוג, משא"כ כאן שבניסן היא ראייתה הרגילה.</w:t>
      </w:r>
    </w:p>
  </w:footnote>
  <w:footnote w:id="192">
    <w:p w:rsidR="005953C5" w:rsidRDefault="005953C5" w:rsidP="00620060">
      <w:pPr>
        <w:pStyle w:val="a3"/>
        <w:rPr>
          <w:rtl/>
        </w:rPr>
      </w:pPr>
      <w:r w:rsidRPr="00CC4FEB">
        <w:rPr>
          <w:rStyle w:val="a5"/>
          <w:sz w:val="18"/>
          <w:szCs w:val="18"/>
        </w:rPr>
        <w:footnoteRef/>
      </w:r>
      <w:r w:rsidRPr="00CC4FEB">
        <w:rPr>
          <w:sz w:val="18"/>
          <w:szCs w:val="18"/>
          <w:rtl/>
        </w:rPr>
        <w:t xml:space="preserve"> </w:t>
      </w:r>
      <w:r w:rsidRPr="000C4829">
        <w:rPr>
          <w:rFonts w:hint="cs"/>
          <w:b/>
          <w:bCs/>
          <w:sz w:val="18"/>
          <w:szCs w:val="18"/>
          <w:rtl/>
        </w:rPr>
        <w:t>בדה"ש</w:t>
      </w:r>
      <w:r>
        <w:rPr>
          <w:rFonts w:hint="cs"/>
          <w:sz w:val="18"/>
          <w:szCs w:val="18"/>
          <w:rtl/>
        </w:rPr>
        <w:t xml:space="preserve"> מסביר את</w:t>
      </w:r>
      <w:r w:rsidRPr="005D3A44">
        <w:rPr>
          <w:rFonts w:hint="cs"/>
          <w:sz w:val="18"/>
          <w:szCs w:val="18"/>
          <w:rtl/>
        </w:rPr>
        <w:t xml:space="preserve"> דברי </w:t>
      </w:r>
      <w:r w:rsidRPr="005D3A44">
        <w:rPr>
          <w:rFonts w:hint="cs"/>
          <w:b/>
          <w:bCs/>
          <w:sz w:val="18"/>
          <w:szCs w:val="18"/>
          <w:rtl/>
        </w:rPr>
        <w:t>הנוב"י</w:t>
      </w:r>
      <w:r w:rsidRPr="005D3A44">
        <w:rPr>
          <w:rFonts w:hint="cs"/>
          <w:sz w:val="18"/>
          <w:szCs w:val="18"/>
          <w:rtl/>
        </w:rPr>
        <w:t xml:space="preserve"> באופן שונה - </w:t>
      </w:r>
      <w:r w:rsidRPr="005D3A44">
        <w:rPr>
          <w:sz w:val="18"/>
          <w:szCs w:val="18"/>
          <w:rtl/>
        </w:rPr>
        <w:br/>
      </w:r>
      <w:r w:rsidRPr="005D3A44">
        <w:rPr>
          <w:rFonts w:hint="cs"/>
          <w:sz w:val="18"/>
          <w:szCs w:val="18"/>
          <w:rtl/>
        </w:rPr>
        <w:t xml:space="preserve">כל ג' ראיותיה שקבעה ווסתה </w:t>
      </w:r>
      <w:r>
        <w:rPr>
          <w:rFonts w:hint="cs"/>
          <w:sz w:val="18"/>
          <w:szCs w:val="18"/>
          <w:rtl/>
        </w:rPr>
        <w:t>צריכות להיות</w:t>
      </w:r>
      <w:r w:rsidRPr="005D3A44">
        <w:rPr>
          <w:rFonts w:hint="cs"/>
          <w:sz w:val="18"/>
          <w:szCs w:val="18"/>
          <w:rtl/>
        </w:rPr>
        <w:t xml:space="preserve"> באותה עונה. כגון </w:t>
      </w:r>
      <w:r w:rsidRPr="005D3A44">
        <w:rPr>
          <w:sz w:val="18"/>
          <w:szCs w:val="18"/>
          <w:rtl/>
        </w:rPr>
        <w:t>–</w:t>
      </w:r>
      <w:r w:rsidRPr="005D3A44">
        <w:rPr>
          <w:rFonts w:hint="cs"/>
          <w:sz w:val="18"/>
          <w:szCs w:val="18"/>
          <w:rtl/>
        </w:rPr>
        <w:t xml:space="preserve"> ראתה ג' ראיות בהפלגות שוות וכולן ביום או כולן בלילה, הא לאו הכי לא קבעה לה ווסת.</w:t>
      </w:r>
    </w:p>
  </w:footnote>
  <w:footnote w:id="193">
    <w:p w:rsidR="005953C5" w:rsidRDefault="005953C5" w:rsidP="00620060">
      <w:pPr>
        <w:pStyle w:val="a3"/>
      </w:pPr>
      <w:r w:rsidRPr="004D58CF">
        <w:rPr>
          <w:rStyle w:val="a5"/>
          <w:sz w:val="18"/>
          <w:szCs w:val="18"/>
        </w:rPr>
        <w:footnoteRef/>
      </w:r>
      <w:r w:rsidRPr="004D58CF">
        <w:rPr>
          <w:sz w:val="18"/>
          <w:szCs w:val="18"/>
          <w:rtl/>
        </w:rPr>
        <w:t xml:space="preserve"> </w:t>
      </w:r>
      <w:r w:rsidRPr="004D58CF">
        <w:rPr>
          <w:rFonts w:hint="cs"/>
          <w:sz w:val="18"/>
          <w:szCs w:val="18"/>
          <w:rtl/>
        </w:rPr>
        <w:t xml:space="preserve">הנה דברי </w:t>
      </w:r>
      <w:r w:rsidRPr="004D58CF">
        <w:rPr>
          <w:rFonts w:hint="cs"/>
          <w:b/>
          <w:bCs/>
          <w:sz w:val="18"/>
          <w:szCs w:val="18"/>
          <w:rtl/>
        </w:rPr>
        <w:t>הנוב"י</w:t>
      </w:r>
      <w:r w:rsidRPr="004D58CF">
        <w:rPr>
          <w:rFonts w:hint="cs"/>
          <w:sz w:val="18"/>
          <w:szCs w:val="18"/>
          <w:rtl/>
        </w:rPr>
        <w:t xml:space="preserve"> אינם ברורים די הצורך. </w:t>
      </w:r>
      <w:r w:rsidRPr="004D58CF">
        <w:rPr>
          <w:rFonts w:hint="cs"/>
          <w:b/>
          <w:bCs/>
          <w:sz w:val="18"/>
          <w:szCs w:val="18"/>
          <w:rtl/>
        </w:rPr>
        <w:t>שבט הלוי</w:t>
      </w:r>
      <w:r w:rsidRPr="004D58CF">
        <w:rPr>
          <w:rFonts w:hint="cs"/>
          <w:sz w:val="18"/>
          <w:szCs w:val="18"/>
          <w:rtl/>
        </w:rPr>
        <w:t xml:space="preserve"> מפרש את דבריו שונה </w:t>
      </w:r>
      <w:r w:rsidRPr="004D58CF">
        <w:rPr>
          <w:rFonts w:hint="cs"/>
          <w:b/>
          <w:bCs/>
          <w:sz w:val="18"/>
          <w:szCs w:val="18"/>
          <w:rtl/>
        </w:rPr>
        <w:t>מהפת"ש</w:t>
      </w:r>
      <w:r w:rsidRPr="004D58CF">
        <w:rPr>
          <w:rFonts w:hint="cs"/>
          <w:sz w:val="18"/>
          <w:szCs w:val="18"/>
          <w:rtl/>
        </w:rPr>
        <w:t xml:space="preserve"> - </w:t>
      </w:r>
      <w:r w:rsidRPr="004D58CF">
        <w:rPr>
          <w:sz w:val="18"/>
          <w:szCs w:val="18"/>
          <w:rtl/>
        </w:rPr>
        <w:br/>
      </w:r>
      <w:r w:rsidRPr="004D58CF">
        <w:rPr>
          <w:rFonts w:hint="cs"/>
          <w:b/>
          <w:bCs/>
          <w:sz w:val="18"/>
          <w:szCs w:val="18"/>
          <w:rtl/>
        </w:rPr>
        <w:t>הנוב"י</w:t>
      </w:r>
      <w:r w:rsidRPr="004D58CF">
        <w:rPr>
          <w:rFonts w:hint="cs"/>
          <w:sz w:val="18"/>
          <w:szCs w:val="18"/>
          <w:rtl/>
        </w:rPr>
        <w:t xml:space="preserve"> אינו מחלק בין ווסת החודש לווסת ההפלגה, אלא בווסת ההפלגה עצמו בין תחילת קביעתו לבין לאחר שנקבע.</w:t>
      </w:r>
      <w:r>
        <w:rPr>
          <w:rFonts w:hint="cs"/>
          <w:rtl/>
        </w:rPr>
        <w:br/>
      </w:r>
      <w:r w:rsidRPr="004D58CF">
        <w:rPr>
          <w:rFonts w:hint="cs"/>
          <w:sz w:val="18"/>
          <w:szCs w:val="18"/>
          <w:rtl/>
        </w:rPr>
        <w:t xml:space="preserve">לפני שנקבע </w:t>
      </w:r>
      <w:r w:rsidRPr="004D58CF">
        <w:rPr>
          <w:sz w:val="18"/>
          <w:szCs w:val="18"/>
          <w:rtl/>
        </w:rPr>
        <w:t>–</w:t>
      </w:r>
      <w:r w:rsidRPr="004D58CF">
        <w:rPr>
          <w:rFonts w:hint="cs"/>
          <w:sz w:val="18"/>
          <w:szCs w:val="18"/>
          <w:rtl/>
        </w:rPr>
        <w:t xml:space="preserve"> מחשבים רק לפי מספר הימים ואין מתחשבים כלל בעונות, אפילו העונות שוות ולא הימים </w:t>
      </w:r>
      <w:r w:rsidRPr="004D58CF">
        <w:rPr>
          <w:sz w:val="18"/>
          <w:szCs w:val="18"/>
          <w:rtl/>
        </w:rPr>
        <w:t>–</w:t>
      </w:r>
      <w:r w:rsidRPr="004D58CF">
        <w:rPr>
          <w:rFonts w:hint="cs"/>
          <w:sz w:val="18"/>
          <w:szCs w:val="18"/>
          <w:rtl/>
        </w:rPr>
        <w:t xml:space="preserve"> אין זו ווסת. </w:t>
      </w:r>
      <w:r>
        <w:rPr>
          <w:sz w:val="18"/>
          <w:szCs w:val="18"/>
          <w:rtl/>
        </w:rPr>
        <w:br/>
      </w:r>
      <w:r w:rsidRPr="004D58CF">
        <w:rPr>
          <w:rFonts w:hint="cs"/>
          <w:sz w:val="18"/>
          <w:szCs w:val="18"/>
          <w:rtl/>
        </w:rPr>
        <w:t>אך לאחר שנקבע הווסת, שפיר מחשבים את מספר העונות וחוששת לפי עונותיה בלבד.</w:t>
      </w:r>
    </w:p>
  </w:footnote>
  <w:footnote w:id="194">
    <w:p w:rsidR="005953C5" w:rsidRDefault="005953C5" w:rsidP="00620060">
      <w:pPr>
        <w:pStyle w:val="a3"/>
        <w:rPr>
          <w:sz w:val="18"/>
          <w:szCs w:val="18"/>
          <w:rtl/>
        </w:rPr>
      </w:pPr>
      <w:r w:rsidRPr="007A3BDE">
        <w:rPr>
          <w:rStyle w:val="a5"/>
          <w:sz w:val="18"/>
          <w:szCs w:val="18"/>
        </w:rPr>
        <w:footnoteRef/>
      </w:r>
      <w:r w:rsidRPr="007A3BDE">
        <w:rPr>
          <w:sz w:val="18"/>
          <w:szCs w:val="18"/>
          <w:rtl/>
        </w:rPr>
        <w:t xml:space="preserve"> </w:t>
      </w:r>
      <w:r w:rsidRPr="00F42AEA">
        <w:rPr>
          <w:rFonts w:hint="cs"/>
          <w:b/>
          <w:bCs/>
          <w:sz w:val="18"/>
          <w:szCs w:val="18"/>
          <w:rtl/>
        </w:rPr>
        <w:t>הבית יוסף</w:t>
      </w:r>
      <w:r w:rsidRPr="007A3BDE">
        <w:rPr>
          <w:rFonts w:hint="cs"/>
          <w:sz w:val="18"/>
          <w:szCs w:val="18"/>
          <w:rtl/>
        </w:rPr>
        <w:t xml:space="preserve"> הרחיב בדברי </w:t>
      </w:r>
      <w:r w:rsidRPr="00F42AEA">
        <w:rPr>
          <w:rFonts w:hint="cs"/>
          <w:b/>
          <w:bCs/>
          <w:sz w:val="18"/>
          <w:szCs w:val="18"/>
          <w:rtl/>
        </w:rPr>
        <w:t>הרמב"ן</w:t>
      </w:r>
      <w:r w:rsidRPr="007A3BDE">
        <w:rPr>
          <w:rFonts w:hint="cs"/>
          <w:sz w:val="18"/>
          <w:szCs w:val="18"/>
          <w:rtl/>
        </w:rPr>
        <w:t xml:space="preserve">, עליהם מבוסס </w:t>
      </w:r>
      <w:r w:rsidRPr="00F42AEA">
        <w:rPr>
          <w:rFonts w:hint="cs"/>
          <w:b/>
          <w:bCs/>
          <w:sz w:val="18"/>
          <w:szCs w:val="18"/>
          <w:rtl/>
        </w:rPr>
        <w:t>הרמ"א</w:t>
      </w:r>
      <w:r w:rsidRPr="007A3BDE">
        <w:rPr>
          <w:rFonts w:hint="cs"/>
          <w:sz w:val="18"/>
          <w:szCs w:val="18"/>
          <w:rtl/>
        </w:rPr>
        <w:t xml:space="preserve">, והרי לך לשון </w:t>
      </w:r>
      <w:r w:rsidRPr="00F42AEA">
        <w:rPr>
          <w:rFonts w:hint="cs"/>
          <w:b/>
          <w:bCs/>
          <w:sz w:val="18"/>
          <w:szCs w:val="18"/>
          <w:rtl/>
        </w:rPr>
        <w:t>הרמב"ן</w:t>
      </w:r>
      <w:r w:rsidRPr="007A3BDE">
        <w:rPr>
          <w:rFonts w:hint="cs"/>
          <w:sz w:val="18"/>
          <w:szCs w:val="18"/>
          <w:rtl/>
        </w:rPr>
        <w:t>:</w:t>
      </w:r>
      <w:r>
        <w:rPr>
          <w:rFonts w:hint="cs"/>
          <w:rtl/>
        </w:rPr>
        <w:br/>
      </w:r>
      <w:r w:rsidRPr="007A3BDE">
        <w:rPr>
          <w:rFonts w:hint="cs"/>
          <w:sz w:val="18"/>
          <w:szCs w:val="18"/>
          <w:rtl/>
        </w:rPr>
        <w:t>"</w:t>
      </w:r>
      <w:r w:rsidRPr="007A3BDE">
        <w:rPr>
          <w:rFonts w:cs="Arial" w:hint="cs"/>
          <w:sz w:val="18"/>
          <w:szCs w:val="18"/>
          <w:rtl/>
        </w:rPr>
        <w:t>וסת</w:t>
      </w:r>
      <w:r w:rsidRPr="007A3BDE">
        <w:rPr>
          <w:rFonts w:cs="Arial"/>
          <w:sz w:val="18"/>
          <w:szCs w:val="18"/>
          <w:rtl/>
        </w:rPr>
        <w:t xml:space="preserve"> </w:t>
      </w:r>
      <w:r w:rsidRPr="007A3BDE">
        <w:rPr>
          <w:rFonts w:cs="Arial" w:hint="cs"/>
          <w:sz w:val="18"/>
          <w:szCs w:val="18"/>
          <w:rtl/>
        </w:rPr>
        <w:t>החדש</w:t>
      </w:r>
      <w:r w:rsidRPr="007A3BDE">
        <w:rPr>
          <w:rFonts w:cs="Arial"/>
          <w:sz w:val="18"/>
          <w:szCs w:val="18"/>
          <w:rtl/>
        </w:rPr>
        <w:t xml:space="preserve"> </w:t>
      </w:r>
      <w:r w:rsidRPr="007A3BDE">
        <w:rPr>
          <w:rFonts w:cs="Arial" w:hint="cs"/>
          <w:sz w:val="18"/>
          <w:szCs w:val="18"/>
          <w:rtl/>
        </w:rPr>
        <w:t>חוששת</w:t>
      </w:r>
      <w:r w:rsidRPr="007A3BDE">
        <w:rPr>
          <w:rFonts w:cs="Arial"/>
          <w:sz w:val="18"/>
          <w:szCs w:val="18"/>
          <w:rtl/>
        </w:rPr>
        <w:t xml:space="preserve"> </w:t>
      </w:r>
      <w:r w:rsidRPr="007A3BDE">
        <w:rPr>
          <w:rFonts w:cs="Arial" w:hint="cs"/>
          <w:sz w:val="18"/>
          <w:szCs w:val="18"/>
          <w:rtl/>
        </w:rPr>
        <w:t>לו</w:t>
      </w:r>
      <w:r w:rsidRPr="007A3BDE">
        <w:rPr>
          <w:rFonts w:cs="Arial"/>
          <w:sz w:val="18"/>
          <w:szCs w:val="18"/>
          <w:rtl/>
        </w:rPr>
        <w:t xml:space="preserve"> </w:t>
      </w:r>
      <w:r w:rsidRPr="007A3BDE">
        <w:rPr>
          <w:rFonts w:cs="Arial" w:hint="cs"/>
          <w:sz w:val="18"/>
          <w:szCs w:val="18"/>
          <w:rtl/>
        </w:rPr>
        <w:t>בתחילתו</w:t>
      </w:r>
      <w:r w:rsidRPr="007A3BDE">
        <w:rPr>
          <w:rFonts w:cs="Arial"/>
          <w:sz w:val="18"/>
          <w:szCs w:val="18"/>
          <w:rtl/>
        </w:rPr>
        <w:t xml:space="preserve"> </w:t>
      </w:r>
      <w:r w:rsidRPr="007A3BDE">
        <w:rPr>
          <w:rFonts w:cs="Arial" w:hint="cs"/>
          <w:sz w:val="18"/>
          <w:szCs w:val="18"/>
          <w:rtl/>
        </w:rPr>
        <w:t>בפ</w:t>
      </w:r>
      <w:r w:rsidRPr="007A3BDE">
        <w:rPr>
          <w:rFonts w:cs="Arial"/>
          <w:sz w:val="18"/>
          <w:szCs w:val="18"/>
          <w:rtl/>
        </w:rPr>
        <w:t>"</w:t>
      </w:r>
      <w:r w:rsidRPr="007A3BDE">
        <w:rPr>
          <w:rFonts w:cs="Arial" w:hint="cs"/>
          <w:sz w:val="18"/>
          <w:szCs w:val="18"/>
          <w:rtl/>
        </w:rPr>
        <w:t>א</w:t>
      </w:r>
      <w:r w:rsidRPr="007A3BDE">
        <w:rPr>
          <w:rFonts w:cs="Arial"/>
          <w:sz w:val="18"/>
          <w:szCs w:val="18"/>
          <w:rtl/>
        </w:rPr>
        <w:t xml:space="preserve"> </w:t>
      </w:r>
      <w:r w:rsidRPr="007A3BDE">
        <w:rPr>
          <w:rFonts w:cs="Arial" w:hint="cs"/>
          <w:sz w:val="18"/>
          <w:szCs w:val="18"/>
          <w:rtl/>
        </w:rPr>
        <w:t>אבל</w:t>
      </w:r>
      <w:r w:rsidRPr="007A3BDE">
        <w:rPr>
          <w:rFonts w:cs="Arial"/>
          <w:sz w:val="18"/>
          <w:szCs w:val="18"/>
          <w:rtl/>
        </w:rPr>
        <w:t xml:space="preserve"> </w:t>
      </w:r>
      <w:r w:rsidRPr="007A3BDE">
        <w:rPr>
          <w:rFonts w:cs="Arial" w:hint="cs"/>
          <w:sz w:val="18"/>
          <w:szCs w:val="18"/>
          <w:rtl/>
        </w:rPr>
        <w:t>וסת</w:t>
      </w:r>
      <w:r w:rsidRPr="007A3BDE">
        <w:rPr>
          <w:rFonts w:cs="Arial"/>
          <w:sz w:val="18"/>
          <w:szCs w:val="18"/>
          <w:rtl/>
        </w:rPr>
        <w:t xml:space="preserve"> </w:t>
      </w:r>
      <w:r w:rsidRPr="007A3BDE">
        <w:rPr>
          <w:rFonts w:cs="Arial" w:hint="cs"/>
          <w:sz w:val="18"/>
          <w:szCs w:val="18"/>
          <w:rtl/>
        </w:rPr>
        <w:t>ההפלגה</w:t>
      </w:r>
      <w:r w:rsidRPr="007A3BDE">
        <w:rPr>
          <w:rFonts w:cs="Arial"/>
          <w:sz w:val="18"/>
          <w:szCs w:val="18"/>
          <w:rtl/>
        </w:rPr>
        <w:t xml:space="preserve"> </w:t>
      </w:r>
      <w:r w:rsidRPr="007A3BDE">
        <w:rPr>
          <w:rFonts w:cs="Arial" w:hint="cs"/>
          <w:sz w:val="18"/>
          <w:szCs w:val="18"/>
          <w:rtl/>
        </w:rPr>
        <w:t>א</w:t>
      </w:r>
      <w:r>
        <w:rPr>
          <w:rFonts w:cs="Arial" w:hint="cs"/>
          <w:sz w:val="18"/>
          <w:szCs w:val="18"/>
          <w:rtl/>
        </w:rPr>
        <w:t>י אפשר</w:t>
      </w:r>
      <w:r w:rsidRPr="007A3BDE">
        <w:rPr>
          <w:rFonts w:cs="Arial"/>
          <w:sz w:val="18"/>
          <w:szCs w:val="18"/>
          <w:rtl/>
        </w:rPr>
        <w:t xml:space="preserve"> </w:t>
      </w:r>
      <w:r w:rsidRPr="007A3BDE">
        <w:rPr>
          <w:rFonts w:cs="Arial" w:hint="cs"/>
          <w:sz w:val="18"/>
          <w:szCs w:val="18"/>
          <w:rtl/>
        </w:rPr>
        <w:t>לחוש</w:t>
      </w:r>
      <w:r w:rsidRPr="007A3BDE">
        <w:rPr>
          <w:rFonts w:cs="Arial"/>
          <w:sz w:val="18"/>
          <w:szCs w:val="18"/>
          <w:rtl/>
        </w:rPr>
        <w:t xml:space="preserve"> </w:t>
      </w:r>
      <w:r w:rsidRPr="007A3BDE">
        <w:rPr>
          <w:rFonts w:cs="Arial" w:hint="cs"/>
          <w:sz w:val="18"/>
          <w:szCs w:val="18"/>
          <w:rtl/>
        </w:rPr>
        <w:t>לו</w:t>
      </w:r>
      <w:r w:rsidRPr="007A3BDE">
        <w:rPr>
          <w:rFonts w:cs="Arial"/>
          <w:sz w:val="18"/>
          <w:szCs w:val="18"/>
          <w:rtl/>
        </w:rPr>
        <w:t xml:space="preserve"> </w:t>
      </w:r>
      <w:r w:rsidRPr="007A3BDE">
        <w:rPr>
          <w:rFonts w:cs="Arial" w:hint="cs"/>
          <w:sz w:val="18"/>
          <w:szCs w:val="18"/>
          <w:rtl/>
        </w:rPr>
        <w:t>עד</w:t>
      </w:r>
      <w:r w:rsidRPr="007A3BDE">
        <w:rPr>
          <w:rFonts w:cs="Arial"/>
          <w:sz w:val="18"/>
          <w:szCs w:val="18"/>
          <w:rtl/>
        </w:rPr>
        <w:t xml:space="preserve"> </w:t>
      </w:r>
      <w:r w:rsidRPr="007A3BDE">
        <w:rPr>
          <w:rFonts w:cs="Arial" w:hint="cs"/>
          <w:sz w:val="18"/>
          <w:szCs w:val="18"/>
          <w:rtl/>
        </w:rPr>
        <w:t>שתראה</w:t>
      </w:r>
      <w:r w:rsidRPr="007A3BDE">
        <w:rPr>
          <w:rFonts w:cs="Arial"/>
          <w:sz w:val="18"/>
          <w:szCs w:val="18"/>
          <w:rtl/>
        </w:rPr>
        <w:t xml:space="preserve"> </w:t>
      </w:r>
      <w:r w:rsidRPr="007A3BDE">
        <w:rPr>
          <w:rFonts w:cs="Arial" w:hint="cs"/>
          <w:sz w:val="18"/>
          <w:szCs w:val="18"/>
          <w:rtl/>
        </w:rPr>
        <w:t>ראיה</w:t>
      </w:r>
      <w:r w:rsidRPr="007A3BDE">
        <w:rPr>
          <w:rFonts w:cs="Arial"/>
          <w:sz w:val="18"/>
          <w:szCs w:val="18"/>
          <w:rtl/>
        </w:rPr>
        <w:t xml:space="preserve"> </w:t>
      </w:r>
      <w:r w:rsidRPr="007A3BDE">
        <w:rPr>
          <w:rFonts w:cs="Arial" w:hint="cs"/>
          <w:sz w:val="18"/>
          <w:szCs w:val="18"/>
          <w:rtl/>
        </w:rPr>
        <w:t>שנייה</w:t>
      </w:r>
      <w:r w:rsidRPr="007A3BDE">
        <w:rPr>
          <w:rFonts w:cs="Arial"/>
          <w:sz w:val="18"/>
          <w:szCs w:val="18"/>
          <w:rtl/>
        </w:rPr>
        <w:t xml:space="preserve"> </w:t>
      </w:r>
      <w:r w:rsidRPr="007A3BDE">
        <w:rPr>
          <w:rFonts w:cs="Arial" w:hint="cs"/>
          <w:sz w:val="18"/>
          <w:szCs w:val="18"/>
          <w:rtl/>
        </w:rPr>
        <w:t>שהרי</w:t>
      </w:r>
      <w:r w:rsidRPr="007A3BDE">
        <w:rPr>
          <w:rFonts w:cs="Arial"/>
          <w:sz w:val="18"/>
          <w:szCs w:val="18"/>
          <w:rtl/>
        </w:rPr>
        <w:t xml:space="preserve"> </w:t>
      </w:r>
      <w:r w:rsidRPr="007A3BDE">
        <w:rPr>
          <w:rFonts w:cs="Arial" w:hint="cs"/>
          <w:sz w:val="18"/>
          <w:szCs w:val="18"/>
          <w:rtl/>
        </w:rPr>
        <w:t>אינה</w:t>
      </w:r>
      <w:r w:rsidRPr="007A3BDE">
        <w:rPr>
          <w:rFonts w:cs="Arial"/>
          <w:sz w:val="18"/>
          <w:szCs w:val="18"/>
          <w:rtl/>
        </w:rPr>
        <w:t xml:space="preserve"> </w:t>
      </w:r>
      <w:r w:rsidRPr="007A3BDE">
        <w:rPr>
          <w:rFonts w:cs="Arial" w:hint="cs"/>
          <w:sz w:val="18"/>
          <w:szCs w:val="18"/>
          <w:rtl/>
        </w:rPr>
        <w:t>יודעת</w:t>
      </w:r>
      <w:r w:rsidRPr="007A3BDE">
        <w:rPr>
          <w:rFonts w:cs="Arial"/>
          <w:sz w:val="18"/>
          <w:szCs w:val="18"/>
          <w:rtl/>
        </w:rPr>
        <w:t xml:space="preserve"> </w:t>
      </w:r>
      <w:r w:rsidRPr="007A3BDE">
        <w:rPr>
          <w:rFonts w:cs="Arial" w:hint="cs"/>
          <w:sz w:val="18"/>
          <w:szCs w:val="18"/>
          <w:rtl/>
        </w:rPr>
        <w:t>לאיזה</w:t>
      </w:r>
      <w:r w:rsidRPr="007A3BDE">
        <w:rPr>
          <w:rFonts w:cs="Arial"/>
          <w:sz w:val="18"/>
          <w:szCs w:val="18"/>
          <w:rtl/>
        </w:rPr>
        <w:t xml:space="preserve"> </w:t>
      </w:r>
      <w:r w:rsidRPr="007A3BDE">
        <w:rPr>
          <w:rFonts w:cs="Arial" w:hint="cs"/>
          <w:sz w:val="18"/>
          <w:szCs w:val="18"/>
          <w:rtl/>
        </w:rPr>
        <w:t>יום</w:t>
      </w:r>
      <w:r w:rsidRPr="007A3BDE">
        <w:rPr>
          <w:rFonts w:cs="Arial"/>
          <w:sz w:val="18"/>
          <w:szCs w:val="18"/>
          <w:rtl/>
        </w:rPr>
        <w:t xml:space="preserve"> </w:t>
      </w:r>
      <w:r w:rsidRPr="007A3BDE">
        <w:rPr>
          <w:rFonts w:cs="Arial" w:hint="cs"/>
          <w:sz w:val="18"/>
          <w:szCs w:val="18"/>
          <w:rtl/>
        </w:rPr>
        <w:t>היא</w:t>
      </w:r>
      <w:r w:rsidRPr="007A3BDE">
        <w:rPr>
          <w:rFonts w:cs="Arial"/>
          <w:sz w:val="18"/>
          <w:szCs w:val="18"/>
          <w:rtl/>
        </w:rPr>
        <w:t xml:space="preserve"> </w:t>
      </w:r>
      <w:r w:rsidRPr="007A3BDE">
        <w:rPr>
          <w:rFonts w:cs="Arial" w:hint="cs"/>
          <w:sz w:val="18"/>
          <w:szCs w:val="18"/>
          <w:rtl/>
        </w:rPr>
        <w:t>מפלגת</w:t>
      </w:r>
      <w:r w:rsidRPr="007A3BDE">
        <w:rPr>
          <w:rFonts w:cs="Arial"/>
          <w:sz w:val="18"/>
          <w:szCs w:val="18"/>
          <w:rtl/>
        </w:rPr>
        <w:t xml:space="preserve"> </w:t>
      </w:r>
      <w:r w:rsidRPr="007A3BDE">
        <w:rPr>
          <w:rFonts w:cs="Arial" w:hint="cs"/>
          <w:sz w:val="18"/>
          <w:szCs w:val="18"/>
          <w:rtl/>
        </w:rPr>
        <w:t>נמצאת</w:t>
      </w:r>
      <w:r w:rsidRPr="007A3BDE">
        <w:rPr>
          <w:rFonts w:cs="Arial"/>
          <w:sz w:val="18"/>
          <w:szCs w:val="18"/>
          <w:rtl/>
        </w:rPr>
        <w:t xml:space="preserve"> </w:t>
      </w:r>
      <w:r w:rsidRPr="007A3BDE">
        <w:rPr>
          <w:rFonts w:cs="Arial" w:hint="cs"/>
          <w:sz w:val="18"/>
          <w:szCs w:val="18"/>
          <w:rtl/>
        </w:rPr>
        <w:t>אומר</w:t>
      </w:r>
      <w:r w:rsidRPr="007A3BDE">
        <w:rPr>
          <w:rFonts w:cs="Arial"/>
          <w:sz w:val="18"/>
          <w:szCs w:val="18"/>
          <w:rtl/>
        </w:rPr>
        <w:t xml:space="preserve"> </w:t>
      </w:r>
      <w:r w:rsidRPr="007A3BDE">
        <w:rPr>
          <w:rFonts w:cs="Arial" w:hint="cs"/>
          <w:sz w:val="18"/>
          <w:szCs w:val="18"/>
          <w:rtl/>
        </w:rPr>
        <w:t>שהרואה</w:t>
      </w:r>
      <w:r w:rsidRPr="007A3BDE">
        <w:rPr>
          <w:rFonts w:cs="Arial"/>
          <w:sz w:val="18"/>
          <w:szCs w:val="18"/>
          <w:rtl/>
        </w:rPr>
        <w:t xml:space="preserve"> </w:t>
      </w:r>
      <w:r w:rsidRPr="007A3BDE">
        <w:rPr>
          <w:rFonts w:cs="Arial" w:hint="cs"/>
          <w:sz w:val="18"/>
          <w:szCs w:val="18"/>
          <w:rtl/>
        </w:rPr>
        <w:t>ליום</w:t>
      </w:r>
      <w:r w:rsidRPr="007A3BDE">
        <w:rPr>
          <w:rFonts w:cs="Arial"/>
          <w:sz w:val="18"/>
          <w:szCs w:val="18"/>
          <w:rtl/>
        </w:rPr>
        <w:t xml:space="preserve"> </w:t>
      </w:r>
      <w:r w:rsidRPr="007A3BDE">
        <w:rPr>
          <w:rFonts w:cs="Arial" w:hint="cs"/>
          <w:sz w:val="18"/>
          <w:szCs w:val="18"/>
          <w:rtl/>
        </w:rPr>
        <w:t>ר</w:t>
      </w:r>
      <w:r w:rsidRPr="007A3BDE">
        <w:rPr>
          <w:rFonts w:cs="Arial"/>
          <w:sz w:val="18"/>
          <w:szCs w:val="18"/>
          <w:rtl/>
        </w:rPr>
        <w:t>"</w:t>
      </w:r>
      <w:r w:rsidRPr="007A3BDE">
        <w:rPr>
          <w:rFonts w:cs="Arial" w:hint="cs"/>
          <w:sz w:val="18"/>
          <w:szCs w:val="18"/>
          <w:rtl/>
        </w:rPr>
        <w:t>ח</w:t>
      </w:r>
      <w:r w:rsidRPr="007A3BDE">
        <w:rPr>
          <w:rFonts w:cs="Arial"/>
          <w:sz w:val="18"/>
          <w:szCs w:val="18"/>
          <w:rtl/>
        </w:rPr>
        <w:t xml:space="preserve"> </w:t>
      </w:r>
      <w:r w:rsidRPr="007A3BDE">
        <w:rPr>
          <w:rFonts w:cs="Arial" w:hint="cs"/>
          <w:sz w:val="18"/>
          <w:szCs w:val="18"/>
          <w:rtl/>
        </w:rPr>
        <w:t>ניסן</w:t>
      </w:r>
      <w:r w:rsidRPr="007A3BDE">
        <w:rPr>
          <w:rFonts w:cs="Arial"/>
          <w:sz w:val="18"/>
          <w:szCs w:val="18"/>
          <w:rtl/>
        </w:rPr>
        <w:t xml:space="preserve"> </w:t>
      </w:r>
      <w:r w:rsidRPr="007A3BDE">
        <w:rPr>
          <w:rFonts w:cs="Arial" w:hint="cs"/>
          <w:sz w:val="18"/>
          <w:szCs w:val="18"/>
          <w:rtl/>
        </w:rPr>
        <w:t>חוששת</w:t>
      </w:r>
      <w:r w:rsidRPr="007A3BDE">
        <w:rPr>
          <w:rFonts w:cs="Arial"/>
          <w:sz w:val="18"/>
          <w:szCs w:val="18"/>
          <w:rtl/>
        </w:rPr>
        <w:t xml:space="preserve"> </w:t>
      </w:r>
      <w:r w:rsidRPr="007A3BDE">
        <w:rPr>
          <w:rFonts w:cs="Arial" w:hint="cs"/>
          <w:sz w:val="18"/>
          <w:szCs w:val="18"/>
          <w:rtl/>
        </w:rPr>
        <w:t>לר</w:t>
      </w:r>
      <w:r w:rsidRPr="007A3BDE">
        <w:rPr>
          <w:rFonts w:cs="Arial"/>
          <w:sz w:val="18"/>
          <w:szCs w:val="18"/>
          <w:rtl/>
        </w:rPr>
        <w:t>"</w:t>
      </w:r>
      <w:r w:rsidRPr="007A3BDE">
        <w:rPr>
          <w:rFonts w:cs="Arial" w:hint="cs"/>
          <w:sz w:val="18"/>
          <w:szCs w:val="18"/>
          <w:rtl/>
        </w:rPr>
        <w:t>ח</w:t>
      </w:r>
      <w:r w:rsidRPr="007A3BDE">
        <w:rPr>
          <w:rFonts w:cs="Arial"/>
          <w:sz w:val="18"/>
          <w:szCs w:val="18"/>
          <w:rtl/>
        </w:rPr>
        <w:t xml:space="preserve"> </w:t>
      </w:r>
      <w:r w:rsidRPr="007A3BDE">
        <w:rPr>
          <w:rFonts w:cs="Arial" w:hint="cs"/>
          <w:sz w:val="18"/>
          <w:szCs w:val="18"/>
          <w:rtl/>
        </w:rPr>
        <w:t>אייר</w:t>
      </w:r>
      <w:r w:rsidRPr="007A3BDE">
        <w:rPr>
          <w:rFonts w:cs="Arial"/>
          <w:sz w:val="18"/>
          <w:szCs w:val="18"/>
          <w:rtl/>
        </w:rPr>
        <w:t xml:space="preserve"> </w:t>
      </w:r>
      <w:r w:rsidRPr="007A3BDE">
        <w:rPr>
          <w:rFonts w:cs="Arial" w:hint="cs"/>
          <w:sz w:val="18"/>
          <w:szCs w:val="18"/>
          <w:rtl/>
        </w:rPr>
        <w:t>ראתה</w:t>
      </w:r>
      <w:r w:rsidRPr="007A3BDE">
        <w:rPr>
          <w:rFonts w:cs="Arial"/>
          <w:sz w:val="18"/>
          <w:szCs w:val="18"/>
          <w:rtl/>
        </w:rPr>
        <w:t xml:space="preserve"> </w:t>
      </w:r>
      <w:r w:rsidRPr="007A3BDE">
        <w:rPr>
          <w:rFonts w:cs="Arial" w:hint="cs"/>
          <w:sz w:val="18"/>
          <w:szCs w:val="18"/>
          <w:rtl/>
        </w:rPr>
        <w:t>בו</w:t>
      </w:r>
      <w:r w:rsidRPr="007A3BDE">
        <w:rPr>
          <w:rFonts w:cs="Arial"/>
          <w:sz w:val="18"/>
          <w:szCs w:val="18"/>
          <w:rtl/>
        </w:rPr>
        <w:t xml:space="preserve"> </w:t>
      </w:r>
      <w:r w:rsidRPr="007A3BDE">
        <w:rPr>
          <w:rFonts w:cs="Arial" w:hint="cs"/>
          <w:sz w:val="18"/>
          <w:szCs w:val="18"/>
          <w:rtl/>
        </w:rPr>
        <w:t>חוששת</w:t>
      </w:r>
      <w:r w:rsidRPr="007A3BDE">
        <w:rPr>
          <w:rFonts w:cs="Arial"/>
          <w:sz w:val="18"/>
          <w:szCs w:val="18"/>
          <w:rtl/>
        </w:rPr>
        <w:t xml:space="preserve"> </w:t>
      </w:r>
      <w:r w:rsidRPr="007A3BDE">
        <w:rPr>
          <w:rFonts w:cs="Arial" w:hint="cs"/>
          <w:sz w:val="18"/>
          <w:szCs w:val="18"/>
          <w:rtl/>
        </w:rPr>
        <w:t>לר</w:t>
      </w:r>
      <w:r w:rsidRPr="007A3BDE">
        <w:rPr>
          <w:rFonts w:cs="Arial"/>
          <w:sz w:val="18"/>
          <w:szCs w:val="18"/>
          <w:rtl/>
        </w:rPr>
        <w:t>"</w:t>
      </w:r>
      <w:r w:rsidRPr="007A3BDE">
        <w:rPr>
          <w:rFonts w:cs="Arial" w:hint="cs"/>
          <w:sz w:val="18"/>
          <w:szCs w:val="18"/>
          <w:rtl/>
        </w:rPr>
        <w:t>ח</w:t>
      </w:r>
      <w:r w:rsidRPr="007A3BDE">
        <w:rPr>
          <w:rFonts w:cs="Arial"/>
          <w:sz w:val="18"/>
          <w:szCs w:val="18"/>
          <w:rtl/>
        </w:rPr>
        <w:t xml:space="preserve"> </w:t>
      </w:r>
      <w:r w:rsidRPr="007A3BDE">
        <w:rPr>
          <w:rFonts w:cs="Arial" w:hint="cs"/>
          <w:sz w:val="18"/>
          <w:szCs w:val="18"/>
          <w:rtl/>
        </w:rPr>
        <w:t>סיון</w:t>
      </w:r>
      <w:r w:rsidRPr="007A3BDE">
        <w:rPr>
          <w:rFonts w:cs="Arial"/>
          <w:sz w:val="18"/>
          <w:szCs w:val="18"/>
          <w:rtl/>
        </w:rPr>
        <w:t xml:space="preserve"> </w:t>
      </w:r>
      <w:r w:rsidRPr="007A3BDE">
        <w:rPr>
          <w:rFonts w:cs="Arial" w:hint="cs"/>
          <w:sz w:val="18"/>
          <w:szCs w:val="18"/>
          <w:rtl/>
        </w:rPr>
        <w:t>ראתה</w:t>
      </w:r>
      <w:r w:rsidRPr="007A3BDE">
        <w:rPr>
          <w:rFonts w:cs="Arial"/>
          <w:sz w:val="18"/>
          <w:szCs w:val="18"/>
          <w:rtl/>
        </w:rPr>
        <w:t xml:space="preserve"> </w:t>
      </w:r>
      <w:r w:rsidRPr="007A3BDE">
        <w:rPr>
          <w:rFonts w:cs="Arial" w:hint="cs"/>
          <w:sz w:val="18"/>
          <w:szCs w:val="18"/>
          <w:rtl/>
        </w:rPr>
        <w:t>בו</w:t>
      </w:r>
      <w:r w:rsidRPr="007A3BDE">
        <w:rPr>
          <w:rFonts w:cs="Arial"/>
          <w:sz w:val="18"/>
          <w:szCs w:val="18"/>
          <w:rtl/>
        </w:rPr>
        <w:t xml:space="preserve"> </w:t>
      </w:r>
      <w:r w:rsidRPr="007A3BDE">
        <w:rPr>
          <w:rFonts w:cs="Arial" w:hint="cs"/>
          <w:sz w:val="18"/>
          <w:szCs w:val="18"/>
          <w:rtl/>
        </w:rPr>
        <w:t>הוקבע</w:t>
      </w:r>
      <w:r w:rsidRPr="007A3BDE">
        <w:rPr>
          <w:rFonts w:cs="Arial"/>
          <w:sz w:val="18"/>
          <w:szCs w:val="18"/>
          <w:rtl/>
        </w:rPr>
        <w:t xml:space="preserve"> </w:t>
      </w:r>
      <w:r w:rsidRPr="007A3BDE">
        <w:rPr>
          <w:rFonts w:cs="Arial" w:hint="cs"/>
          <w:sz w:val="18"/>
          <w:szCs w:val="18"/>
          <w:rtl/>
        </w:rPr>
        <w:t>וסת</w:t>
      </w:r>
      <w:r w:rsidRPr="007A3BDE">
        <w:rPr>
          <w:rFonts w:cs="Arial"/>
          <w:sz w:val="18"/>
          <w:szCs w:val="18"/>
          <w:rtl/>
        </w:rPr>
        <w:t xml:space="preserve"> </w:t>
      </w:r>
      <w:r w:rsidRPr="007A3BDE">
        <w:rPr>
          <w:rFonts w:cs="Arial" w:hint="cs"/>
          <w:sz w:val="18"/>
          <w:szCs w:val="18"/>
          <w:rtl/>
        </w:rPr>
        <w:t>לראשי</w:t>
      </w:r>
      <w:r w:rsidRPr="007A3BDE">
        <w:rPr>
          <w:rFonts w:cs="Arial"/>
          <w:sz w:val="18"/>
          <w:szCs w:val="18"/>
          <w:rtl/>
        </w:rPr>
        <w:t xml:space="preserve"> </w:t>
      </w:r>
      <w:r w:rsidRPr="007A3BDE">
        <w:rPr>
          <w:rFonts w:cs="Arial" w:hint="cs"/>
          <w:sz w:val="18"/>
          <w:szCs w:val="18"/>
          <w:rtl/>
        </w:rPr>
        <w:t>חדשים</w:t>
      </w:r>
      <w:r w:rsidRPr="007A3BDE">
        <w:rPr>
          <w:rFonts w:cs="Arial"/>
          <w:sz w:val="18"/>
          <w:szCs w:val="18"/>
          <w:rtl/>
        </w:rPr>
        <w:t xml:space="preserve"> </w:t>
      </w:r>
      <w:r w:rsidRPr="007A3BDE">
        <w:rPr>
          <w:rFonts w:cs="Arial" w:hint="cs"/>
          <w:sz w:val="18"/>
          <w:szCs w:val="18"/>
          <w:rtl/>
        </w:rPr>
        <w:t>לא</w:t>
      </w:r>
      <w:r w:rsidRPr="007A3BDE">
        <w:rPr>
          <w:rFonts w:cs="Arial"/>
          <w:sz w:val="18"/>
          <w:szCs w:val="18"/>
          <w:rtl/>
        </w:rPr>
        <w:t xml:space="preserve"> </w:t>
      </w:r>
      <w:r w:rsidRPr="007A3BDE">
        <w:rPr>
          <w:rFonts w:cs="Arial" w:hint="cs"/>
          <w:sz w:val="18"/>
          <w:szCs w:val="18"/>
          <w:rtl/>
        </w:rPr>
        <w:t>ראתה</w:t>
      </w:r>
      <w:r w:rsidRPr="007A3BDE">
        <w:rPr>
          <w:rFonts w:cs="Arial"/>
          <w:sz w:val="18"/>
          <w:szCs w:val="18"/>
          <w:rtl/>
        </w:rPr>
        <w:t xml:space="preserve"> </w:t>
      </w:r>
      <w:r w:rsidRPr="007A3BDE">
        <w:rPr>
          <w:rFonts w:cs="Arial" w:hint="cs"/>
          <w:sz w:val="18"/>
          <w:szCs w:val="18"/>
          <w:rtl/>
        </w:rPr>
        <w:t>לר</w:t>
      </w:r>
      <w:r w:rsidRPr="007A3BDE">
        <w:rPr>
          <w:rFonts w:cs="Arial"/>
          <w:sz w:val="18"/>
          <w:szCs w:val="18"/>
          <w:rtl/>
        </w:rPr>
        <w:t>"</w:t>
      </w:r>
      <w:r w:rsidRPr="007A3BDE">
        <w:rPr>
          <w:rFonts w:cs="Arial" w:hint="cs"/>
          <w:sz w:val="18"/>
          <w:szCs w:val="18"/>
          <w:rtl/>
        </w:rPr>
        <w:t>ח</w:t>
      </w:r>
      <w:r w:rsidRPr="007A3BDE">
        <w:rPr>
          <w:rFonts w:cs="Arial"/>
          <w:sz w:val="18"/>
          <w:szCs w:val="18"/>
          <w:rtl/>
        </w:rPr>
        <w:t xml:space="preserve"> </w:t>
      </w:r>
      <w:r w:rsidRPr="007A3BDE">
        <w:rPr>
          <w:rFonts w:cs="Arial" w:hint="cs"/>
          <w:sz w:val="18"/>
          <w:szCs w:val="18"/>
          <w:rtl/>
        </w:rPr>
        <w:t>סיון</w:t>
      </w:r>
      <w:r w:rsidRPr="007A3BDE">
        <w:rPr>
          <w:rFonts w:cs="Arial"/>
          <w:sz w:val="18"/>
          <w:szCs w:val="18"/>
          <w:rtl/>
        </w:rPr>
        <w:t xml:space="preserve"> </w:t>
      </w:r>
      <w:r w:rsidRPr="007A3BDE">
        <w:rPr>
          <w:rFonts w:cs="Arial" w:hint="cs"/>
          <w:sz w:val="18"/>
          <w:szCs w:val="18"/>
          <w:rtl/>
        </w:rPr>
        <w:t>נעקר</w:t>
      </w:r>
      <w:r w:rsidRPr="007A3BDE">
        <w:rPr>
          <w:rFonts w:cs="Arial"/>
          <w:sz w:val="18"/>
          <w:szCs w:val="18"/>
          <w:rtl/>
        </w:rPr>
        <w:t xml:space="preserve"> </w:t>
      </w:r>
      <w:r w:rsidRPr="007A3BDE">
        <w:rPr>
          <w:rFonts w:cs="Arial" w:hint="cs"/>
          <w:sz w:val="18"/>
          <w:szCs w:val="18"/>
          <w:rtl/>
        </w:rPr>
        <w:t>וסת</w:t>
      </w:r>
      <w:r w:rsidRPr="007A3BDE">
        <w:rPr>
          <w:rFonts w:cs="Arial"/>
          <w:sz w:val="18"/>
          <w:szCs w:val="18"/>
          <w:rtl/>
        </w:rPr>
        <w:t xml:space="preserve"> </w:t>
      </w:r>
      <w:r w:rsidRPr="007A3BDE">
        <w:rPr>
          <w:rFonts w:cs="Arial" w:hint="cs"/>
          <w:sz w:val="18"/>
          <w:szCs w:val="18"/>
          <w:rtl/>
        </w:rPr>
        <w:t>של</w:t>
      </w:r>
      <w:r w:rsidRPr="007A3BDE">
        <w:rPr>
          <w:rFonts w:cs="Arial"/>
          <w:sz w:val="18"/>
          <w:szCs w:val="18"/>
          <w:rtl/>
        </w:rPr>
        <w:t xml:space="preserve"> </w:t>
      </w:r>
      <w:r w:rsidRPr="007A3BDE">
        <w:rPr>
          <w:rFonts w:cs="Arial" w:hint="cs"/>
          <w:sz w:val="18"/>
          <w:szCs w:val="18"/>
          <w:rtl/>
        </w:rPr>
        <w:t>ר</w:t>
      </w:r>
      <w:r w:rsidRPr="007A3BDE">
        <w:rPr>
          <w:rFonts w:cs="Arial"/>
          <w:sz w:val="18"/>
          <w:szCs w:val="18"/>
          <w:rtl/>
        </w:rPr>
        <w:t>"</w:t>
      </w:r>
      <w:r w:rsidRPr="007A3BDE">
        <w:rPr>
          <w:rFonts w:cs="Arial" w:hint="cs"/>
          <w:sz w:val="18"/>
          <w:szCs w:val="18"/>
          <w:rtl/>
        </w:rPr>
        <w:t>ח</w:t>
      </w:r>
      <w:r w:rsidRPr="007A3BDE">
        <w:rPr>
          <w:rFonts w:cs="Arial"/>
          <w:sz w:val="18"/>
          <w:szCs w:val="18"/>
          <w:rtl/>
        </w:rPr>
        <w:t xml:space="preserve"> </w:t>
      </w:r>
      <w:r w:rsidRPr="007A3BDE">
        <w:rPr>
          <w:rFonts w:cs="Arial" w:hint="cs"/>
          <w:sz w:val="18"/>
          <w:szCs w:val="18"/>
          <w:rtl/>
        </w:rPr>
        <w:t>וחוששת</w:t>
      </w:r>
      <w:r w:rsidRPr="007A3BDE">
        <w:rPr>
          <w:rFonts w:cs="Arial"/>
          <w:sz w:val="18"/>
          <w:szCs w:val="18"/>
          <w:rtl/>
        </w:rPr>
        <w:t xml:space="preserve"> </w:t>
      </w:r>
      <w:r w:rsidRPr="007A3BDE">
        <w:rPr>
          <w:rFonts w:cs="Arial" w:hint="cs"/>
          <w:sz w:val="18"/>
          <w:szCs w:val="18"/>
          <w:rtl/>
        </w:rPr>
        <w:t>לשני</w:t>
      </w:r>
      <w:r w:rsidRPr="007A3BDE">
        <w:rPr>
          <w:rFonts w:cs="Arial"/>
          <w:sz w:val="18"/>
          <w:szCs w:val="18"/>
          <w:rtl/>
        </w:rPr>
        <w:t xml:space="preserve"> </w:t>
      </w:r>
      <w:r w:rsidRPr="007A3BDE">
        <w:rPr>
          <w:rFonts w:cs="Arial" w:hint="cs"/>
          <w:sz w:val="18"/>
          <w:szCs w:val="18"/>
          <w:rtl/>
        </w:rPr>
        <w:t>בסיון</w:t>
      </w:r>
      <w:r w:rsidRPr="007A3BDE">
        <w:rPr>
          <w:rFonts w:cs="Arial"/>
          <w:sz w:val="18"/>
          <w:szCs w:val="18"/>
          <w:rtl/>
        </w:rPr>
        <w:t xml:space="preserve"> </w:t>
      </w:r>
      <w:r w:rsidRPr="007A3BDE">
        <w:rPr>
          <w:rFonts w:cs="Arial" w:hint="cs"/>
          <w:sz w:val="18"/>
          <w:szCs w:val="18"/>
          <w:rtl/>
        </w:rPr>
        <w:t>אפשר</w:t>
      </w:r>
      <w:r w:rsidRPr="007A3BDE">
        <w:rPr>
          <w:rFonts w:cs="Arial"/>
          <w:sz w:val="18"/>
          <w:szCs w:val="18"/>
          <w:rtl/>
        </w:rPr>
        <w:t xml:space="preserve"> </w:t>
      </w:r>
      <w:r w:rsidRPr="007A3BDE">
        <w:rPr>
          <w:rFonts w:cs="Arial" w:hint="cs"/>
          <w:sz w:val="18"/>
          <w:szCs w:val="18"/>
          <w:rtl/>
        </w:rPr>
        <w:t>שתראה</w:t>
      </w:r>
      <w:r w:rsidRPr="007A3BDE">
        <w:rPr>
          <w:rFonts w:cs="Arial"/>
          <w:sz w:val="18"/>
          <w:szCs w:val="18"/>
          <w:rtl/>
        </w:rPr>
        <w:t xml:space="preserve"> </w:t>
      </w:r>
      <w:r w:rsidRPr="007A3BDE">
        <w:rPr>
          <w:rFonts w:cs="Arial" w:hint="cs"/>
          <w:sz w:val="18"/>
          <w:szCs w:val="18"/>
          <w:rtl/>
        </w:rPr>
        <w:t>ותקבע</w:t>
      </w:r>
      <w:r w:rsidRPr="007A3BDE">
        <w:rPr>
          <w:rFonts w:cs="Arial"/>
          <w:sz w:val="18"/>
          <w:szCs w:val="18"/>
          <w:rtl/>
        </w:rPr>
        <w:t xml:space="preserve"> </w:t>
      </w:r>
      <w:r w:rsidRPr="007A3BDE">
        <w:rPr>
          <w:rFonts w:cs="Arial" w:hint="cs"/>
          <w:sz w:val="18"/>
          <w:szCs w:val="18"/>
          <w:rtl/>
        </w:rPr>
        <w:t>וסת</w:t>
      </w:r>
      <w:r w:rsidRPr="007A3BDE">
        <w:rPr>
          <w:rFonts w:cs="Arial"/>
          <w:sz w:val="18"/>
          <w:szCs w:val="18"/>
          <w:rtl/>
        </w:rPr>
        <w:t xml:space="preserve"> </w:t>
      </w:r>
      <w:r w:rsidRPr="007A3BDE">
        <w:rPr>
          <w:rFonts w:cs="Arial" w:hint="cs"/>
          <w:sz w:val="18"/>
          <w:szCs w:val="18"/>
          <w:rtl/>
        </w:rPr>
        <w:t>להפלגה</w:t>
      </w:r>
      <w:r w:rsidRPr="007A3BDE">
        <w:rPr>
          <w:rFonts w:cs="Arial"/>
          <w:sz w:val="18"/>
          <w:szCs w:val="18"/>
          <w:rtl/>
        </w:rPr>
        <w:t xml:space="preserve"> </w:t>
      </w:r>
      <w:r w:rsidRPr="007A3BDE">
        <w:rPr>
          <w:rFonts w:cs="Arial" w:hint="cs"/>
          <w:sz w:val="18"/>
          <w:szCs w:val="18"/>
          <w:rtl/>
        </w:rPr>
        <w:t>מל</w:t>
      </w:r>
      <w:r w:rsidRPr="007A3BDE">
        <w:rPr>
          <w:rFonts w:cs="Arial"/>
          <w:sz w:val="18"/>
          <w:szCs w:val="18"/>
          <w:rtl/>
        </w:rPr>
        <w:t>"</w:t>
      </w:r>
      <w:r w:rsidRPr="007A3BDE">
        <w:rPr>
          <w:rFonts w:cs="Arial" w:hint="cs"/>
          <w:sz w:val="18"/>
          <w:szCs w:val="18"/>
          <w:rtl/>
        </w:rPr>
        <w:t>א</w:t>
      </w:r>
      <w:r w:rsidRPr="007A3BDE">
        <w:rPr>
          <w:rFonts w:cs="Arial"/>
          <w:sz w:val="18"/>
          <w:szCs w:val="18"/>
          <w:rtl/>
        </w:rPr>
        <w:t xml:space="preserve"> </w:t>
      </w:r>
      <w:r w:rsidRPr="007A3BDE">
        <w:rPr>
          <w:rFonts w:cs="Arial" w:hint="cs"/>
          <w:sz w:val="18"/>
          <w:szCs w:val="18"/>
          <w:rtl/>
        </w:rPr>
        <w:t>לל</w:t>
      </w:r>
      <w:r w:rsidRPr="007A3BDE">
        <w:rPr>
          <w:rFonts w:cs="Arial"/>
          <w:sz w:val="18"/>
          <w:szCs w:val="18"/>
          <w:rtl/>
        </w:rPr>
        <w:t>"</w:t>
      </w:r>
      <w:r w:rsidRPr="007A3BDE">
        <w:rPr>
          <w:rFonts w:cs="Arial" w:hint="cs"/>
          <w:sz w:val="18"/>
          <w:szCs w:val="18"/>
          <w:rtl/>
        </w:rPr>
        <w:t>א</w:t>
      </w:r>
      <w:r w:rsidRPr="007A3BDE">
        <w:rPr>
          <w:rFonts w:cs="Arial"/>
          <w:sz w:val="18"/>
          <w:szCs w:val="18"/>
          <w:rtl/>
        </w:rPr>
        <w:t xml:space="preserve"> </w:t>
      </w:r>
      <w:r w:rsidRPr="007A3BDE">
        <w:rPr>
          <w:rFonts w:cs="Arial" w:hint="cs"/>
          <w:sz w:val="18"/>
          <w:szCs w:val="18"/>
          <w:rtl/>
        </w:rPr>
        <w:t>שהרי</w:t>
      </w:r>
      <w:r w:rsidRPr="007A3BDE">
        <w:rPr>
          <w:rFonts w:cs="Arial"/>
          <w:sz w:val="18"/>
          <w:szCs w:val="18"/>
          <w:rtl/>
        </w:rPr>
        <w:t xml:space="preserve"> </w:t>
      </w:r>
      <w:r w:rsidRPr="007A3BDE">
        <w:rPr>
          <w:rFonts w:cs="Arial" w:hint="cs"/>
          <w:sz w:val="18"/>
          <w:szCs w:val="18"/>
          <w:rtl/>
        </w:rPr>
        <w:t>ראיית</w:t>
      </w:r>
      <w:r w:rsidRPr="007A3BDE">
        <w:rPr>
          <w:rFonts w:cs="Arial"/>
          <w:sz w:val="18"/>
          <w:szCs w:val="18"/>
          <w:rtl/>
        </w:rPr>
        <w:t xml:space="preserve"> </w:t>
      </w:r>
      <w:r w:rsidRPr="007A3BDE">
        <w:rPr>
          <w:rFonts w:cs="Arial" w:hint="cs"/>
          <w:sz w:val="18"/>
          <w:szCs w:val="18"/>
          <w:rtl/>
        </w:rPr>
        <w:t>ר</w:t>
      </w:r>
      <w:r w:rsidRPr="007A3BDE">
        <w:rPr>
          <w:rFonts w:cs="Arial"/>
          <w:sz w:val="18"/>
          <w:szCs w:val="18"/>
          <w:rtl/>
        </w:rPr>
        <w:t>"</w:t>
      </w:r>
      <w:r w:rsidRPr="007A3BDE">
        <w:rPr>
          <w:rFonts w:cs="Arial" w:hint="cs"/>
          <w:sz w:val="18"/>
          <w:szCs w:val="18"/>
          <w:rtl/>
        </w:rPr>
        <w:t>ח</w:t>
      </w:r>
      <w:r w:rsidRPr="007A3BDE">
        <w:rPr>
          <w:rFonts w:cs="Arial"/>
          <w:sz w:val="18"/>
          <w:szCs w:val="18"/>
          <w:rtl/>
        </w:rPr>
        <w:t xml:space="preserve"> </w:t>
      </w:r>
      <w:r w:rsidRPr="007A3BDE">
        <w:rPr>
          <w:rFonts w:cs="Arial" w:hint="cs"/>
          <w:sz w:val="18"/>
          <w:szCs w:val="18"/>
          <w:rtl/>
        </w:rPr>
        <w:t>ניסן</w:t>
      </w:r>
      <w:r w:rsidRPr="007A3BDE">
        <w:rPr>
          <w:rFonts w:cs="Arial"/>
          <w:sz w:val="18"/>
          <w:szCs w:val="18"/>
          <w:rtl/>
        </w:rPr>
        <w:t xml:space="preserve"> </w:t>
      </w:r>
      <w:r w:rsidRPr="007A3BDE">
        <w:rPr>
          <w:rFonts w:cs="Arial" w:hint="cs"/>
          <w:sz w:val="18"/>
          <w:szCs w:val="18"/>
          <w:rtl/>
        </w:rPr>
        <w:t>ואייר</w:t>
      </w:r>
      <w:r w:rsidRPr="007A3BDE">
        <w:rPr>
          <w:rFonts w:cs="Arial"/>
          <w:sz w:val="18"/>
          <w:szCs w:val="18"/>
          <w:rtl/>
        </w:rPr>
        <w:t xml:space="preserve"> </w:t>
      </w:r>
      <w:r w:rsidRPr="007A3BDE">
        <w:rPr>
          <w:rFonts w:cs="Arial" w:hint="cs"/>
          <w:sz w:val="18"/>
          <w:szCs w:val="18"/>
          <w:rtl/>
        </w:rPr>
        <w:t>שוות</w:t>
      </w:r>
      <w:r w:rsidRPr="007A3BDE">
        <w:rPr>
          <w:rFonts w:cs="Arial"/>
          <w:sz w:val="18"/>
          <w:szCs w:val="18"/>
          <w:rtl/>
        </w:rPr>
        <w:t xml:space="preserve"> </w:t>
      </w:r>
      <w:r w:rsidRPr="007A3BDE">
        <w:rPr>
          <w:rFonts w:cs="Arial" w:hint="cs"/>
          <w:sz w:val="18"/>
          <w:szCs w:val="18"/>
          <w:rtl/>
        </w:rPr>
        <w:t>בהפלגה</w:t>
      </w:r>
      <w:r w:rsidRPr="007A3BDE">
        <w:rPr>
          <w:rFonts w:cs="Arial"/>
          <w:sz w:val="18"/>
          <w:szCs w:val="18"/>
          <w:rtl/>
        </w:rPr>
        <w:t xml:space="preserve"> </w:t>
      </w:r>
      <w:r w:rsidRPr="007A3BDE">
        <w:rPr>
          <w:rFonts w:cs="Arial" w:hint="cs"/>
          <w:sz w:val="18"/>
          <w:szCs w:val="18"/>
          <w:rtl/>
        </w:rPr>
        <w:t>לראיית</w:t>
      </w:r>
      <w:r w:rsidRPr="007A3BDE">
        <w:rPr>
          <w:rFonts w:cs="Arial"/>
          <w:sz w:val="18"/>
          <w:szCs w:val="18"/>
          <w:rtl/>
        </w:rPr>
        <w:t xml:space="preserve"> </w:t>
      </w:r>
      <w:r w:rsidRPr="007A3BDE">
        <w:rPr>
          <w:rFonts w:cs="Arial" w:hint="cs"/>
          <w:sz w:val="18"/>
          <w:szCs w:val="18"/>
          <w:rtl/>
        </w:rPr>
        <w:t>ב</w:t>
      </w:r>
      <w:r w:rsidRPr="007A3BDE">
        <w:rPr>
          <w:rFonts w:cs="Arial"/>
          <w:sz w:val="18"/>
          <w:szCs w:val="18"/>
          <w:rtl/>
        </w:rPr>
        <w:t xml:space="preserve">' </w:t>
      </w:r>
      <w:r w:rsidRPr="007A3BDE">
        <w:rPr>
          <w:rFonts w:cs="Arial" w:hint="cs"/>
          <w:sz w:val="18"/>
          <w:szCs w:val="18"/>
          <w:rtl/>
        </w:rPr>
        <w:t>בסיון</w:t>
      </w:r>
      <w:r w:rsidRPr="007A3BDE">
        <w:rPr>
          <w:rFonts w:cs="Arial"/>
          <w:sz w:val="18"/>
          <w:szCs w:val="18"/>
          <w:rtl/>
        </w:rPr>
        <w:t xml:space="preserve"> </w:t>
      </w:r>
      <w:r w:rsidRPr="007A3BDE">
        <w:rPr>
          <w:rFonts w:cs="Arial" w:hint="cs"/>
          <w:sz w:val="18"/>
          <w:szCs w:val="18"/>
          <w:rtl/>
        </w:rPr>
        <w:t>שניסן</w:t>
      </w:r>
      <w:r w:rsidRPr="007A3BDE">
        <w:rPr>
          <w:rFonts w:cs="Arial"/>
          <w:sz w:val="18"/>
          <w:szCs w:val="18"/>
          <w:rtl/>
        </w:rPr>
        <w:t xml:space="preserve"> </w:t>
      </w:r>
      <w:r w:rsidRPr="007A3BDE">
        <w:rPr>
          <w:rFonts w:cs="Arial" w:hint="cs"/>
          <w:sz w:val="18"/>
          <w:szCs w:val="18"/>
          <w:rtl/>
        </w:rPr>
        <w:t>מלא</w:t>
      </w:r>
      <w:r w:rsidRPr="007A3BDE">
        <w:rPr>
          <w:rFonts w:cs="Arial"/>
          <w:sz w:val="18"/>
          <w:szCs w:val="18"/>
          <w:rtl/>
        </w:rPr>
        <w:t xml:space="preserve"> </w:t>
      </w:r>
      <w:r w:rsidRPr="007A3BDE">
        <w:rPr>
          <w:rFonts w:cs="Arial" w:hint="cs"/>
          <w:sz w:val="18"/>
          <w:szCs w:val="18"/>
          <w:rtl/>
        </w:rPr>
        <w:t>ואייר</w:t>
      </w:r>
      <w:r w:rsidRPr="007A3BDE">
        <w:rPr>
          <w:rFonts w:cs="Arial"/>
          <w:sz w:val="18"/>
          <w:szCs w:val="18"/>
          <w:rtl/>
        </w:rPr>
        <w:t xml:space="preserve"> </w:t>
      </w:r>
      <w:r w:rsidRPr="007A3BDE">
        <w:rPr>
          <w:rFonts w:cs="Arial" w:hint="cs"/>
          <w:sz w:val="18"/>
          <w:szCs w:val="18"/>
          <w:rtl/>
        </w:rPr>
        <w:t>חסר</w:t>
      </w:r>
      <w:r>
        <w:rPr>
          <w:rFonts w:cs="Arial" w:hint="cs"/>
          <w:sz w:val="18"/>
          <w:szCs w:val="18"/>
          <w:rtl/>
        </w:rPr>
        <w:t xml:space="preserve">. </w:t>
      </w:r>
      <w:r>
        <w:rPr>
          <w:rFonts w:cs="Arial"/>
          <w:sz w:val="18"/>
          <w:szCs w:val="18"/>
          <w:rtl/>
        </w:rPr>
        <w:br/>
      </w:r>
      <w:r w:rsidRPr="007A3BDE">
        <w:rPr>
          <w:rFonts w:cs="Arial" w:hint="cs"/>
          <w:sz w:val="18"/>
          <w:szCs w:val="18"/>
          <w:rtl/>
        </w:rPr>
        <w:t>ולעולם</w:t>
      </w:r>
      <w:r w:rsidRPr="007A3BDE">
        <w:rPr>
          <w:rFonts w:cs="Arial"/>
          <w:sz w:val="18"/>
          <w:szCs w:val="18"/>
          <w:rtl/>
        </w:rPr>
        <w:t xml:space="preserve"> </w:t>
      </w:r>
      <w:r w:rsidRPr="007A3BDE">
        <w:rPr>
          <w:rFonts w:cs="Arial" w:hint="cs"/>
          <w:sz w:val="18"/>
          <w:szCs w:val="18"/>
          <w:rtl/>
        </w:rPr>
        <w:t>חוששת</w:t>
      </w:r>
      <w:r w:rsidRPr="007A3BDE">
        <w:rPr>
          <w:rFonts w:cs="Arial"/>
          <w:sz w:val="18"/>
          <w:szCs w:val="18"/>
          <w:rtl/>
        </w:rPr>
        <w:t xml:space="preserve"> </w:t>
      </w:r>
      <w:r w:rsidRPr="007A3BDE">
        <w:rPr>
          <w:rFonts w:cs="Arial" w:hint="cs"/>
          <w:sz w:val="18"/>
          <w:szCs w:val="18"/>
          <w:rtl/>
        </w:rPr>
        <w:t>חששות</w:t>
      </w:r>
      <w:r w:rsidRPr="007A3BDE">
        <w:rPr>
          <w:rFonts w:cs="Arial"/>
          <w:sz w:val="18"/>
          <w:szCs w:val="18"/>
          <w:rtl/>
        </w:rPr>
        <w:t xml:space="preserve"> </w:t>
      </w:r>
      <w:r w:rsidRPr="007A3BDE">
        <w:rPr>
          <w:rFonts w:cs="Arial" w:hint="cs"/>
          <w:sz w:val="18"/>
          <w:szCs w:val="18"/>
          <w:rtl/>
        </w:rPr>
        <w:t>הללו</w:t>
      </w:r>
      <w:r w:rsidRPr="007A3BDE">
        <w:rPr>
          <w:rFonts w:cs="Arial"/>
          <w:sz w:val="18"/>
          <w:szCs w:val="18"/>
          <w:rtl/>
        </w:rPr>
        <w:t xml:space="preserve"> </w:t>
      </w:r>
      <w:r w:rsidRPr="007A3BDE">
        <w:rPr>
          <w:rFonts w:cs="Arial" w:hint="cs"/>
          <w:sz w:val="18"/>
          <w:szCs w:val="18"/>
          <w:rtl/>
        </w:rPr>
        <w:t>לוסת</w:t>
      </w:r>
      <w:r w:rsidRPr="007A3BDE">
        <w:rPr>
          <w:rFonts w:cs="Arial"/>
          <w:sz w:val="18"/>
          <w:szCs w:val="18"/>
          <w:rtl/>
        </w:rPr>
        <w:t xml:space="preserve"> </w:t>
      </w:r>
      <w:r w:rsidRPr="007A3BDE">
        <w:rPr>
          <w:rFonts w:cs="Arial" w:hint="cs"/>
          <w:sz w:val="18"/>
          <w:szCs w:val="18"/>
          <w:rtl/>
        </w:rPr>
        <w:t>החדש</w:t>
      </w:r>
      <w:r w:rsidRPr="007A3BDE">
        <w:rPr>
          <w:rFonts w:cs="Arial"/>
          <w:sz w:val="18"/>
          <w:szCs w:val="18"/>
          <w:rtl/>
        </w:rPr>
        <w:t xml:space="preserve"> </w:t>
      </w:r>
      <w:r w:rsidRPr="007A3BDE">
        <w:rPr>
          <w:rFonts w:cs="Arial" w:hint="cs"/>
          <w:sz w:val="18"/>
          <w:szCs w:val="18"/>
          <w:rtl/>
        </w:rPr>
        <w:t>ולהפלגה</w:t>
      </w:r>
      <w:r w:rsidRPr="007A3BDE">
        <w:rPr>
          <w:rFonts w:cs="Arial"/>
          <w:sz w:val="18"/>
          <w:szCs w:val="18"/>
          <w:rtl/>
        </w:rPr>
        <w:t xml:space="preserve"> </w:t>
      </w:r>
      <w:r w:rsidRPr="007A3BDE">
        <w:rPr>
          <w:rFonts w:cs="Arial" w:hint="cs"/>
          <w:sz w:val="18"/>
          <w:szCs w:val="18"/>
          <w:rtl/>
        </w:rPr>
        <w:t>עד</w:t>
      </w:r>
      <w:r w:rsidRPr="007A3BDE">
        <w:rPr>
          <w:rFonts w:cs="Arial"/>
          <w:sz w:val="18"/>
          <w:szCs w:val="18"/>
          <w:rtl/>
        </w:rPr>
        <w:t xml:space="preserve"> </w:t>
      </w:r>
      <w:r w:rsidRPr="007A3BDE">
        <w:rPr>
          <w:rFonts w:cs="Arial" w:hint="cs"/>
          <w:sz w:val="18"/>
          <w:szCs w:val="18"/>
          <w:rtl/>
        </w:rPr>
        <w:t>שתקבע</w:t>
      </w:r>
      <w:r w:rsidRPr="007A3BDE">
        <w:rPr>
          <w:rFonts w:cs="Arial"/>
          <w:sz w:val="18"/>
          <w:szCs w:val="18"/>
          <w:rtl/>
        </w:rPr>
        <w:t xml:space="preserve"> </w:t>
      </w:r>
      <w:r w:rsidRPr="007A3BDE">
        <w:rPr>
          <w:rFonts w:cs="Arial" w:hint="cs"/>
          <w:sz w:val="18"/>
          <w:szCs w:val="18"/>
          <w:rtl/>
        </w:rPr>
        <w:t>לה</w:t>
      </w:r>
      <w:r w:rsidRPr="007A3BDE">
        <w:rPr>
          <w:rFonts w:cs="Arial"/>
          <w:sz w:val="18"/>
          <w:szCs w:val="18"/>
          <w:rtl/>
        </w:rPr>
        <w:t xml:space="preserve"> </w:t>
      </w:r>
      <w:r w:rsidRPr="007A3BDE">
        <w:rPr>
          <w:rFonts w:cs="Arial" w:hint="cs"/>
          <w:sz w:val="18"/>
          <w:szCs w:val="18"/>
          <w:rtl/>
        </w:rPr>
        <w:t>אחד</w:t>
      </w:r>
      <w:r w:rsidRPr="007A3BDE">
        <w:rPr>
          <w:rFonts w:cs="Arial"/>
          <w:sz w:val="18"/>
          <w:szCs w:val="18"/>
          <w:rtl/>
        </w:rPr>
        <w:t xml:space="preserve"> </w:t>
      </w:r>
      <w:r w:rsidRPr="007A3BDE">
        <w:rPr>
          <w:rFonts w:cs="Arial" w:hint="cs"/>
          <w:sz w:val="18"/>
          <w:szCs w:val="18"/>
          <w:rtl/>
        </w:rPr>
        <w:t>מהם</w:t>
      </w:r>
      <w:r w:rsidRPr="007A3BDE">
        <w:rPr>
          <w:rFonts w:cs="Arial"/>
          <w:sz w:val="18"/>
          <w:szCs w:val="18"/>
          <w:rtl/>
        </w:rPr>
        <w:t xml:space="preserve"> </w:t>
      </w:r>
      <w:r w:rsidRPr="007A3BDE">
        <w:rPr>
          <w:rFonts w:cs="Arial" w:hint="cs"/>
          <w:sz w:val="18"/>
          <w:szCs w:val="18"/>
          <w:rtl/>
        </w:rPr>
        <w:t>ג</w:t>
      </w:r>
      <w:r w:rsidRPr="007A3BDE">
        <w:rPr>
          <w:rFonts w:cs="Arial"/>
          <w:sz w:val="18"/>
          <w:szCs w:val="18"/>
          <w:rtl/>
        </w:rPr>
        <w:t>"</w:t>
      </w:r>
      <w:r w:rsidRPr="007A3BDE">
        <w:rPr>
          <w:rFonts w:cs="Arial" w:hint="cs"/>
          <w:sz w:val="18"/>
          <w:szCs w:val="18"/>
          <w:rtl/>
        </w:rPr>
        <w:t>פ</w:t>
      </w:r>
      <w:r w:rsidRPr="007A3BDE">
        <w:rPr>
          <w:rFonts w:cs="Arial"/>
          <w:sz w:val="18"/>
          <w:szCs w:val="18"/>
          <w:rtl/>
        </w:rPr>
        <w:t xml:space="preserve"> </w:t>
      </w:r>
      <w:r w:rsidRPr="007A3BDE">
        <w:rPr>
          <w:rFonts w:cs="Arial" w:hint="cs"/>
          <w:sz w:val="18"/>
          <w:szCs w:val="18"/>
          <w:rtl/>
        </w:rPr>
        <w:t>כדינו</w:t>
      </w:r>
      <w:r w:rsidRPr="007A3BDE">
        <w:rPr>
          <w:rFonts w:cs="Arial"/>
          <w:sz w:val="18"/>
          <w:szCs w:val="18"/>
          <w:rtl/>
        </w:rPr>
        <w:t xml:space="preserve"> </w:t>
      </w:r>
      <w:r w:rsidRPr="007A3BDE">
        <w:rPr>
          <w:rFonts w:cs="Arial" w:hint="cs"/>
          <w:sz w:val="18"/>
          <w:szCs w:val="18"/>
          <w:rtl/>
        </w:rPr>
        <w:t>כיצד</w:t>
      </w:r>
      <w:r w:rsidRPr="007A3BDE">
        <w:rPr>
          <w:rFonts w:cs="Arial"/>
          <w:sz w:val="18"/>
          <w:szCs w:val="18"/>
          <w:rtl/>
        </w:rPr>
        <w:t xml:space="preserve"> </w:t>
      </w:r>
      <w:r w:rsidRPr="007A3BDE">
        <w:rPr>
          <w:rFonts w:cs="Arial" w:hint="cs"/>
          <w:sz w:val="18"/>
          <w:szCs w:val="18"/>
          <w:rtl/>
        </w:rPr>
        <w:t>ראתה</w:t>
      </w:r>
      <w:r w:rsidRPr="007A3BDE">
        <w:rPr>
          <w:rFonts w:cs="Arial"/>
          <w:sz w:val="18"/>
          <w:szCs w:val="18"/>
          <w:rtl/>
        </w:rPr>
        <w:t xml:space="preserve"> </w:t>
      </w:r>
      <w:r w:rsidRPr="007A3BDE">
        <w:rPr>
          <w:rFonts w:cs="Arial" w:hint="cs"/>
          <w:sz w:val="18"/>
          <w:szCs w:val="18"/>
          <w:rtl/>
        </w:rPr>
        <w:t>באחד</w:t>
      </w:r>
      <w:r w:rsidRPr="007A3BDE">
        <w:rPr>
          <w:rFonts w:cs="Arial"/>
          <w:sz w:val="18"/>
          <w:szCs w:val="18"/>
          <w:rtl/>
        </w:rPr>
        <w:t xml:space="preserve"> </w:t>
      </w:r>
      <w:r w:rsidRPr="007A3BDE">
        <w:rPr>
          <w:rFonts w:cs="Arial" w:hint="cs"/>
          <w:sz w:val="18"/>
          <w:szCs w:val="18"/>
          <w:rtl/>
        </w:rPr>
        <w:t>בניסן</w:t>
      </w:r>
      <w:r w:rsidRPr="007A3BDE">
        <w:rPr>
          <w:rFonts w:cs="Arial"/>
          <w:sz w:val="18"/>
          <w:szCs w:val="18"/>
          <w:rtl/>
        </w:rPr>
        <w:t xml:space="preserve"> </w:t>
      </w:r>
      <w:r w:rsidRPr="007A3BDE">
        <w:rPr>
          <w:rFonts w:cs="Arial" w:hint="cs"/>
          <w:sz w:val="18"/>
          <w:szCs w:val="18"/>
          <w:rtl/>
        </w:rPr>
        <w:t>ובעשרים</w:t>
      </w:r>
      <w:r w:rsidRPr="007A3BDE">
        <w:rPr>
          <w:rFonts w:cs="Arial"/>
          <w:sz w:val="18"/>
          <w:szCs w:val="18"/>
          <w:rtl/>
        </w:rPr>
        <w:t xml:space="preserve"> </w:t>
      </w:r>
      <w:r w:rsidRPr="007A3BDE">
        <w:rPr>
          <w:rFonts w:cs="Arial" w:hint="cs"/>
          <w:sz w:val="18"/>
          <w:szCs w:val="18"/>
          <w:rtl/>
        </w:rPr>
        <w:t>בו</w:t>
      </w:r>
      <w:r w:rsidRPr="007A3BDE">
        <w:rPr>
          <w:rFonts w:cs="Arial"/>
          <w:sz w:val="18"/>
          <w:szCs w:val="18"/>
          <w:rtl/>
        </w:rPr>
        <w:t xml:space="preserve"> </w:t>
      </w:r>
      <w:r w:rsidRPr="007A3BDE">
        <w:rPr>
          <w:rFonts w:cs="Arial" w:hint="cs"/>
          <w:sz w:val="18"/>
          <w:szCs w:val="18"/>
          <w:rtl/>
        </w:rPr>
        <w:t>חוששת</w:t>
      </w:r>
      <w:r w:rsidRPr="007A3BDE">
        <w:rPr>
          <w:rFonts w:cs="Arial"/>
          <w:sz w:val="18"/>
          <w:szCs w:val="18"/>
          <w:rtl/>
        </w:rPr>
        <w:t xml:space="preserve"> </w:t>
      </w:r>
      <w:r w:rsidRPr="007A3BDE">
        <w:rPr>
          <w:rFonts w:cs="Arial" w:hint="cs"/>
          <w:sz w:val="18"/>
          <w:szCs w:val="18"/>
          <w:rtl/>
        </w:rPr>
        <w:t>לאחד</w:t>
      </w:r>
      <w:r w:rsidRPr="007A3BDE">
        <w:rPr>
          <w:rFonts w:cs="Arial"/>
          <w:sz w:val="18"/>
          <w:szCs w:val="18"/>
          <w:rtl/>
        </w:rPr>
        <w:t xml:space="preserve"> </w:t>
      </w:r>
      <w:r w:rsidRPr="007A3BDE">
        <w:rPr>
          <w:rFonts w:cs="Arial" w:hint="cs"/>
          <w:sz w:val="18"/>
          <w:szCs w:val="18"/>
          <w:rtl/>
        </w:rPr>
        <w:t>באייר</w:t>
      </w:r>
      <w:r w:rsidRPr="007A3BDE">
        <w:rPr>
          <w:rFonts w:cs="Arial"/>
          <w:sz w:val="18"/>
          <w:szCs w:val="18"/>
          <w:rtl/>
        </w:rPr>
        <w:t xml:space="preserve"> </w:t>
      </w:r>
      <w:r w:rsidRPr="007A3BDE">
        <w:rPr>
          <w:rFonts w:cs="Arial" w:hint="cs"/>
          <w:sz w:val="18"/>
          <w:szCs w:val="18"/>
          <w:rtl/>
        </w:rPr>
        <w:t>מפני</w:t>
      </w:r>
      <w:r w:rsidRPr="007A3BDE">
        <w:rPr>
          <w:rFonts w:cs="Arial"/>
          <w:sz w:val="18"/>
          <w:szCs w:val="18"/>
          <w:rtl/>
        </w:rPr>
        <w:t xml:space="preserve"> </w:t>
      </w:r>
      <w:r w:rsidRPr="007A3BDE">
        <w:rPr>
          <w:rFonts w:cs="Arial" w:hint="cs"/>
          <w:sz w:val="18"/>
          <w:szCs w:val="18"/>
          <w:rtl/>
        </w:rPr>
        <w:t>ר</w:t>
      </w:r>
      <w:r w:rsidRPr="007A3BDE">
        <w:rPr>
          <w:rFonts w:cs="Arial"/>
          <w:sz w:val="18"/>
          <w:szCs w:val="18"/>
          <w:rtl/>
        </w:rPr>
        <w:t>"</w:t>
      </w:r>
      <w:r w:rsidRPr="007A3BDE">
        <w:rPr>
          <w:rFonts w:cs="Arial" w:hint="cs"/>
          <w:sz w:val="18"/>
          <w:szCs w:val="18"/>
          <w:rtl/>
        </w:rPr>
        <w:t>ח</w:t>
      </w:r>
      <w:r w:rsidRPr="007A3BDE">
        <w:rPr>
          <w:rFonts w:cs="Arial"/>
          <w:sz w:val="18"/>
          <w:szCs w:val="18"/>
          <w:rtl/>
        </w:rPr>
        <w:t xml:space="preserve"> </w:t>
      </w:r>
      <w:r w:rsidRPr="007A3BDE">
        <w:rPr>
          <w:rFonts w:cs="Arial" w:hint="cs"/>
          <w:sz w:val="18"/>
          <w:szCs w:val="18"/>
          <w:rtl/>
        </w:rPr>
        <w:t>ניסן</w:t>
      </w:r>
      <w:r w:rsidRPr="007A3BDE">
        <w:rPr>
          <w:rFonts w:cs="Arial"/>
          <w:sz w:val="18"/>
          <w:szCs w:val="18"/>
          <w:rtl/>
        </w:rPr>
        <w:t xml:space="preserve"> </w:t>
      </w:r>
      <w:r w:rsidRPr="007A3BDE">
        <w:rPr>
          <w:rFonts w:cs="Arial" w:hint="cs"/>
          <w:sz w:val="18"/>
          <w:szCs w:val="18"/>
          <w:rtl/>
        </w:rPr>
        <w:t>ואם</w:t>
      </w:r>
      <w:r w:rsidRPr="007A3BDE">
        <w:rPr>
          <w:rFonts w:cs="Arial"/>
          <w:sz w:val="18"/>
          <w:szCs w:val="18"/>
          <w:rtl/>
        </w:rPr>
        <w:t xml:space="preserve"> </w:t>
      </w:r>
      <w:r w:rsidRPr="007A3BDE">
        <w:rPr>
          <w:rFonts w:cs="Arial" w:hint="cs"/>
          <w:sz w:val="18"/>
          <w:szCs w:val="18"/>
          <w:rtl/>
        </w:rPr>
        <w:t>לא</w:t>
      </w:r>
      <w:r w:rsidRPr="007A3BDE">
        <w:rPr>
          <w:rFonts w:cs="Arial"/>
          <w:sz w:val="18"/>
          <w:szCs w:val="18"/>
          <w:rtl/>
        </w:rPr>
        <w:t xml:space="preserve"> </w:t>
      </w:r>
      <w:r w:rsidRPr="007A3BDE">
        <w:rPr>
          <w:rFonts w:cs="Arial" w:hint="cs"/>
          <w:sz w:val="18"/>
          <w:szCs w:val="18"/>
          <w:rtl/>
        </w:rPr>
        <w:t>ראתה</w:t>
      </w:r>
      <w:r w:rsidRPr="007A3BDE">
        <w:rPr>
          <w:rFonts w:cs="Arial"/>
          <w:sz w:val="18"/>
          <w:szCs w:val="18"/>
          <w:rtl/>
        </w:rPr>
        <w:t xml:space="preserve"> </w:t>
      </w:r>
      <w:r w:rsidRPr="007A3BDE">
        <w:rPr>
          <w:rFonts w:cs="Arial" w:hint="cs"/>
          <w:sz w:val="18"/>
          <w:szCs w:val="18"/>
          <w:rtl/>
        </w:rPr>
        <w:t>חוששת</w:t>
      </w:r>
      <w:r w:rsidRPr="007A3BDE">
        <w:rPr>
          <w:rFonts w:cs="Arial"/>
          <w:sz w:val="18"/>
          <w:szCs w:val="18"/>
          <w:rtl/>
        </w:rPr>
        <w:t xml:space="preserve"> </w:t>
      </w:r>
      <w:r w:rsidRPr="007A3BDE">
        <w:rPr>
          <w:rFonts w:cs="Arial" w:hint="cs"/>
          <w:sz w:val="18"/>
          <w:szCs w:val="18"/>
          <w:rtl/>
        </w:rPr>
        <w:t>לט</w:t>
      </w:r>
      <w:r w:rsidRPr="007A3BDE">
        <w:rPr>
          <w:rFonts w:cs="Arial"/>
          <w:sz w:val="18"/>
          <w:szCs w:val="18"/>
          <w:rtl/>
        </w:rPr>
        <w:t xml:space="preserve">' </w:t>
      </w:r>
      <w:r w:rsidRPr="007A3BDE">
        <w:rPr>
          <w:rFonts w:cs="Arial" w:hint="cs"/>
          <w:sz w:val="18"/>
          <w:szCs w:val="18"/>
          <w:rtl/>
        </w:rPr>
        <w:t>בו</w:t>
      </w:r>
      <w:r w:rsidRPr="007A3BDE">
        <w:rPr>
          <w:rFonts w:cs="Arial"/>
          <w:sz w:val="18"/>
          <w:szCs w:val="18"/>
          <w:rtl/>
        </w:rPr>
        <w:t xml:space="preserve"> </w:t>
      </w:r>
      <w:r w:rsidRPr="007A3BDE">
        <w:rPr>
          <w:rFonts w:cs="Arial" w:hint="cs"/>
          <w:sz w:val="18"/>
          <w:szCs w:val="18"/>
          <w:rtl/>
        </w:rPr>
        <w:t>לשיעור</w:t>
      </w:r>
      <w:r w:rsidRPr="007A3BDE">
        <w:rPr>
          <w:rFonts w:cs="Arial"/>
          <w:sz w:val="18"/>
          <w:szCs w:val="18"/>
          <w:rtl/>
        </w:rPr>
        <w:t xml:space="preserve"> </w:t>
      </w:r>
      <w:r w:rsidRPr="007A3BDE">
        <w:rPr>
          <w:rFonts w:cs="Arial" w:hint="cs"/>
          <w:sz w:val="18"/>
          <w:szCs w:val="18"/>
          <w:rtl/>
        </w:rPr>
        <w:t>הפלגה</w:t>
      </w:r>
      <w:r w:rsidRPr="007A3BDE">
        <w:rPr>
          <w:rFonts w:cs="Arial"/>
          <w:sz w:val="18"/>
          <w:szCs w:val="18"/>
          <w:rtl/>
        </w:rPr>
        <w:t xml:space="preserve"> </w:t>
      </w:r>
      <w:r w:rsidRPr="007A3BDE">
        <w:rPr>
          <w:rFonts w:cs="Arial" w:hint="cs"/>
          <w:sz w:val="18"/>
          <w:szCs w:val="18"/>
          <w:rtl/>
        </w:rPr>
        <w:t>של</w:t>
      </w:r>
      <w:r w:rsidRPr="007A3BDE">
        <w:rPr>
          <w:rFonts w:cs="Arial"/>
          <w:sz w:val="18"/>
          <w:szCs w:val="18"/>
          <w:rtl/>
        </w:rPr>
        <w:t xml:space="preserve"> </w:t>
      </w:r>
      <w:r w:rsidRPr="007A3BDE">
        <w:rPr>
          <w:rFonts w:cs="Arial" w:hint="cs"/>
          <w:sz w:val="18"/>
          <w:szCs w:val="18"/>
          <w:rtl/>
        </w:rPr>
        <w:t>כ</w:t>
      </w:r>
      <w:r w:rsidRPr="007A3BDE">
        <w:rPr>
          <w:rFonts w:cs="Arial"/>
          <w:sz w:val="18"/>
          <w:szCs w:val="18"/>
          <w:rtl/>
        </w:rPr>
        <w:t xml:space="preserve">' </w:t>
      </w:r>
      <w:r w:rsidRPr="007A3BDE">
        <w:rPr>
          <w:rFonts w:cs="Arial" w:hint="cs"/>
          <w:sz w:val="18"/>
          <w:szCs w:val="18"/>
          <w:rtl/>
        </w:rPr>
        <w:t>ראתה</w:t>
      </w:r>
      <w:r w:rsidRPr="007A3BDE">
        <w:rPr>
          <w:rFonts w:cs="Arial"/>
          <w:sz w:val="18"/>
          <w:szCs w:val="18"/>
          <w:rtl/>
        </w:rPr>
        <w:t xml:space="preserve"> </w:t>
      </w:r>
      <w:r w:rsidRPr="007A3BDE">
        <w:rPr>
          <w:rFonts w:cs="Arial" w:hint="cs"/>
          <w:sz w:val="18"/>
          <w:szCs w:val="18"/>
          <w:rtl/>
        </w:rPr>
        <w:t>בט</w:t>
      </w:r>
      <w:r w:rsidRPr="007A3BDE">
        <w:rPr>
          <w:rFonts w:cs="Arial"/>
          <w:sz w:val="18"/>
          <w:szCs w:val="18"/>
          <w:rtl/>
        </w:rPr>
        <w:t xml:space="preserve">' </w:t>
      </w:r>
      <w:r w:rsidRPr="007A3BDE">
        <w:rPr>
          <w:rFonts w:cs="Arial" w:hint="cs"/>
          <w:sz w:val="18"/>
          <w:szCs w:val="18"/>
          <w:rtl/>
        </w:rPr>
        <w:t>בו</w:t>
      </w:r>
      <w:r w:rsidRPr="007A3BDE">
        <w:rPr>
          <w:rFonts w:cs="Arial"/>
          <w:sz w:val="18"/>
          <w:szCs w:val="18"/>
          <w:rtl/>
        </w:rPr>
        <w:t xml:space="preserve"> </w:t>
      </w:r>
      <w:r w:rsidRPr="007A3BDE">
        <w:rPr>
          <w:rFonts w:cs="Arial" w:hint="cs"/>
          <w:sz w:val="18"/>
          <w:szCs w:val="18"/>
          <w:rtl/>
        </w:rPr>
        <w:t>או</w:t>
      </w:r>
      <w:r w:rsidRPr="007A3BDE">
        <w:rPr>
          <w:rFonts w:cs="Arial"/>
          <w:sz w:val="18"/>
          <w:szCs w:val="18"/>
          <w:rtl/>
        </w:rPr>
        <w:t xml:space="preserve"> </w:t>
      </w:r>
      <w:r w:rsidRPr="007A3BDE">
        <w:rPr>
          <w:rFonts w:cs="Arial" w:hint="cs"/>
          <w:sz w:val="18"/>
          <w:szCs w:val="18"/>
          <w:rtl/>
        </w:rPr>
        <w:t>שלא</w:t>
      </w:r>
      <w:r w:rsidRPr="007A3BDE">
        <w:rPr>
          <w:rFonts w:cs="Arial"/>
          <w:sz w:val="18"/>
          <w:szCs w:val="18"/>
          <w:rtl/>
        </w:rPr>
        <w:t xml:space="preserve"> </w:t>
      </w:r>
      <w:r w:rsidRPr="007A3BDE">
        <w:rPr>
          <w:rFonts w:cs="Arial" w:hint="cs"/>
          <w:sz w:val="18"/>
          <w:szCs w:val="18"/>
          <w:rtl/>
        </w:rPr>
        <w:t>ראתה</w:t>
      </w:r>
      <w:r w:rsidRPr="007A3BDE">
        <w:rPr>
          <w:rFonts w:cs="Arial"/>
          <w:sz w:val="18"/>
          <w:szCs w:val="18"/>
          <w:rtl/>
        </w:rPr>
        <w:t xml:space="preserve"> </w:t>
      </w:r>
      <w:r w:rsidRPr="007A3BDE">
        <w:rPr>
          <w:rFonts w:cs="Arial" w:hint="cs"/>
          <w:sz w:val="18"/>
          <w:szCs w:val="18"/>
          <w:rtl/>
        </w:rPr>
        <w:t>חוששת</w:t>
      </w:r>
      <w:r w:rsidRPr="007A3BDE">
        <w:rPr>
          <w:rFonts w:cs="Arial"/>
          <w:sz w:val="18"/>
          <w:szCs w:val="18"/>
          <w:rtl/>
        </w:rPr>
        <w:t xml:space="preserve"> </w:t>
      </w:r>
      <w:r w:rsidRPr="007A3BDE">
        <w:rPr>
          <w:rFonts w:cs="Arial" w:hint="cs"/>
          <w:sz w:val="18"/>
          <w:szCs w:val="18"/>
          <w:rtl/>
        </w:rPr>
        <w:t>לכ</w:t>
      </w:r>
      <w:r w:rsidRPr="007A3BDE">
        <w:rPr>
          <w:rFonts w:cs="Arial"/>
          <w:sz w:val="18"/>
          <w:szCs w:val="18"/>
          <w:rtl/>
        </w:rPr>
        <w:t xml:space="preserve">' </w:t>
      </w:r>
      <w:r w:rsidRPr="007A3BDE">
        <w:rPr>
          <w:rFonts w:cs="Arial" w:hint="cs"/>
          <w:sz w:val="18"/>
          <w:szCs w:val="18"/>
          <w:rtl/>
        </w:rPr>
        <w:t>באייר</w:t>
      </w:r>
      <w:r w:rsidRPr="007A3BDE">
        <w:rPr>
          <w:rFonts w:cs="Arial"/>
          <w:sz w:val="18"/>
          <w:szCs w:val="18"/>
          <w:rtl/>
        </w:rPr>
        <w:t xml:space="preserve"> </w:t>
      </w:r>
      <w:r w:rsidRPr="007A3BDE">
        <w:rPr>
          <w:rFonts w:cs="Arial" w:hint="cs"/>
          <w:sz w:val="18"/>
          <w:szCs w:val="18"/>
          <w:rtl/>
        </w:rPr>
        <w:t>שמא</w:t>
      </w:r>
      <w:r w:rsidRPr="007A3BDE">
        <w:rPr>
          <w:rFonts w:cs="Arial"/>
          <w:sz w:val="18"/>
          <w:szCs w:val="18"/>
          <w:rtl/>
        </w:rPr>
        <w:t xml:space="preserve"> </w:t>
      </w:r>
      <w:r w:rsidRPr="007A3BDE">
        <w:rPr>
          <w:rFonts w:cs="Arial" w:hint="cs"/>
          <w:sz w:val="18"/>
          <w:szCs w:val="18"/>
          <w:rtl/>
        </w:rPr>
        <w:t>בימי</w:t>
      </w:r>
      <w:r w:rsidRPr="007A3BDE">
        <w:rPr>
          <w:rFonts w:cs="Arial"/>
          <w:sz w:val="18"/>
          <w:szCs w:val="18"/>
          <w:rtl/>
        </w:rPr>
        <w:t xml:space="preserve"> </w:t>
      </w:r>
      <w:r w:rsidRPr="007A3BDE">
        <w:rPr>
          <w:rFonts w:cs="Arial" w:hint="cs"/>
          <w:sz w:val="18"/>
          <w:szCs w:val="18"/>
          <w:rtl/>
        </w:rPr>
        <w:t>החודש</w:t>
      </w:r>
      <w:r w:rsidRPr="007A3BDE">
        <w:rPr>
          <w:rFonts w:cs="Arial"/>
          <w:sz w:val="18"/>
          <w:szCs w:val="18"/>
          <w:rtl/>
        </w:rPr>
        <w:t xml:space="preserve"> </w:t>
      </w:r>
      <w:r w:rsidRPr="007A3BDE">
        <w:rPr>
          <w:rFonts w:cs="Arial" w:hint="cs"/>
          <w:sz w:val="18"/>
          <w:szCs w:val="18"/>
          <w:rtl/>
        </w:rPr>
        <w:t>תקבע</w:t>
      </w:r>
      <w:r w:rsidRPr="007A3BDE">
        <w:rPr>
          <w:rFonts w:cs="Arial"/>
          <w:sz w:val="18"/>
          <w:szCs w:val="18"/>
          <w:rtl/>
        </w:rPr>
        <w:t xml:space="preserve"> </w:t>
      </w:r>
      <w:r w:rsidRPr="007A3BDE">
        <w:rPr>
          <w:rFonts w:cs="Arial" w:hint="cs"/>
          <w:sz w:val="18"/>
          <w:szCs w:val="18"/>
          <w:rtl/>
        </w:rPr>
        <w:t>וסת</w:t>
      </w:r>
      <w:r w:rsidRPr="007A3BDE">
        <w:rPr>
          <w:rFonts w:cs="Arial"/>
          <w:sz w:val="18"/>
          <w:szCs w:val="18"/>
          <w:rtl/>
        </w:rPr>
        <w:t xml:space="preserve"> </w:t>
      </w:r>
      <w:r w:rsidRPr="007A3BDE">
        <w:rPr>
          <w:rFonts w:cs="Arial" w:hint="cs"/>
          <w:sz w:val="18"/>
          <w:szCs w:val="18"/>
          <w:rtl/>
        </w:rPr>
        <w:t>שהרי</w:t>
      </w:r>
      <w:r w:rsidRPr="007A3BDE">
        <w:rPr>
          <w:rFonts w:cs="Arial"/>
          <w:sz w:val="18"/>
          <w:szCs w:val="18"/>
          <w:rtl/>
        </w:rPr>
        <w:t xml:space="preserve"> </w:t>
      </w:r>
      <w:r w:rsidRPr="007A3BDE">
        <w:rPr>
          <w:rFonts w:cs="Arial" w:hint="cs"/>
          <w:sz w:val="18"/>
          <w:szCs w:val="18"/>
          <w:rtl/>
        </w:rPr>
        <w:t>ראתה</w:t>
      </w:r>
      <w:r w:rsidRPr="007A3BDE">
        <w:rPr>
          <w:rFonts w:cs="Arial"/>
          <w:sz w:val="18"/>
          <w:szCs w:val="18"/>
          <w:rtl/>
        </w:rPr>
        <w:t xml:space="preserve"> </w:t>
      </w:r>
      <w:r w:rsidRPr="007A3BDE">
        <w:rPr>
          <w:rFonts w:cs="Arial" w:hint="cs"/>
          <w:sz w:val="18"/>
          <w:szCs w:val="18"/>
          <w:rtl/>
        </w:rPr>
        <w:t>בכ</w:t>
      </w:r>
      <w:r w:rsidRPr="007A3BDE">
        <w:rPr>
          <w:rFonts w:cs="Arial"/>
          <w:sz w:val="18"/>
          <w:szCs w:val="18"/>
          <w:rtl/>
        </w:rPr>
        <w:t xml:space="preserve">' </w:t>
      </w:r>
      <w:r w:rsidRPr="007A3BDE">
        <w:rPr>
          <w:rFonts w:cs="Arial" w:hint="cs"/>
          <w:sz w:val="18"/>
          <w:szCs w:val="18"/>
          <w:rtl/>
        </w:rPr>
        <w:t>בניסן</w:t>
      </w:r>
      <w:r w:rsidRPr="007A3BDE">
        <w:rPr>
          <w:rFonts w:cs="Arial"/>
          <w:sz w:val="18"/>
          <w:szCs w:val="18"/>
          <w:rtl/>
        </w:rPr>
        <w:t xml:space="preserve"> </w:t>
      </w:r>
      <w:r>
        <w:rPr>
          <w:rFonts w:cs="Arial" w:hint="cs"/>
          <w:sz w:val="18"/>
          <w:szCs w:val="18"/>
          <w:rtl/>
        </w:rPr>
        <w:t>".</w:t>
      </w:r>
      <w:r>
        <w:rPr>
          <w:rFonts w:cs="Arial"/>
          <w:sz w:val="18"/>
          <w:szCs w:val="18"/>
          <w:rtl/>
        </w:rPr>
        <w:br/>
      </w:r>
      <w:r>
        <w:rPr>
          <w:rFonts w:cs="Arial" w:hint="cs"/>
          <w:sz w:val="18"/>
          <w:szCs w:val="18"/>
          <w:rtl/>
        </w:rPr>
        <w:br/>
        <w:t xml:space="preserve">מבאר </w:t>
      </w:r>
      <w:r>
        <w:rPr>
          <w:rFonts w:cs="Arial" w:hint="cs"/>
          <w:b/>
          <w:bCs/>
          <w:sz w:val="18"/>
          <w:szCs w:val="18"/>
          <w:rtl/>
        </w:rPr>
        <w:t>הב"י</w:t>
      </w:r>
      <w:r>
        <w:rPr>
          <w:rFonts w:cs="Arial" w:hint="cs"/>
          <w:sz w:val="18"/>
          <w:szCs w:val="18"/>
          <w:rtl/>
        </w:rPr>
        <w:t xml:space="preserve"> </w:t>
      </w:r>
      <w:r>
        <w:rPr>
          <w:rFonts w:cs="Arial"/>
          <w:sz w:val="18"/>
          <w:szCs w:val="18"/>
          <w:rtl/>
        </w:rPr>
        <w:t>–</w:t>
      </w:r>
      <w:r>
        <w:rPr>
          <w:rFonts w:cs="Arial" w:hint="cs"/>
          <w:sz w:val="18"/>
          <w:szCs w:val="18"/>
          <w:rtl/>
        </w:rPr>
        <w:t xml:space="preserve"> ב' ראיות אלו גורמות לחוש לג' וסתות שונות: א. ווסת החודש בא'; ב. ווסת החודש בכ'; ג. ווסת הפלגה לכ'.</w:t>
      </w:r>
      <w:r>
        <w:rPr>
          <w:rFonts w:cs="Arial"/>
          <w:sz w:val="18"/>
          <w:szCs w:val="18"/>
          <w:rtl/>
        </w:rPr>
        <w:br/>
      </w:r>
      <w:r>
        <w:rPr>
          <w:rFonts w:cs="Arial" w:hint="cs"/>
          <w:sz w:val="18"/>
          <w:szCs w:val="18"/>
          <w:rtl/>
        </w:rPr>
        <w:t xml:space="preserve">מקשה </w:t>
      </w:r>
      <w:r w:rsidRPr="009A0395">
        <w:rPr>
          <w:rFonts w:cs="Arial" w:hint="cs"/>
          <w:b/>
          <w:bCs/>
          <w:sz w:val="18"/>
          <w:szCs w:val="18"/>
          <w:rtl/>
        </w:rPr>
        <w:t>הב"י</w:t>
      </w:r>
      <w:r>
        <w:rPr>
          <w:rFonts w:cs="Arial" w:hint="cs"/>
          <w:sz w:val="18"/>
          <w:szCs w:val="18"/>
          <w:rtl/>
        </w:rPr>
        <w:t xml:space="preserve"> </w:t>
      </w:r>
      <w:r>
        <w:rPr>
          <w:rFonts w:cs="Arial"/>
          <w:sz w:val="18"/>
          <w:szCs w:val="18"/>
          <w:rtl/>
        </w:rPr>
        <w:t>–</w:t>
      </w:r>
      <w:r>
        <w:rPr>
          <w:rFonts w:cs="Arial" w:hint="cs"/>
          <w:sz w:val="18"/>
          <w:szCs w:val="18"/>
          <w:rtl/>
        </w:rPr>
        <w:t xml:space="preserve"> קיי"ל שווסת שאינו קבוע נעקר בפעם אחת שתראה בזמן אחר, וא"כ מדוע ווסת ר"ח לא נעקר בראיית כ'?</w:t>
      </w:r>
      <w:r>
        <w:rPr>
          <w:rFonts w:cs="Arial" w:hint="cs"/>
          <w:sz w:val="18"/>
          <w:szCs w:val="18"/>
          <w:rtl/>
        </w:rPr>
        <w:br/>
        <w:t xml:space="preserve">מיישב </w:t>
      </w:r>
      <w:r>
        <w:rPr>
          <w:rFonts w:cs="Arial"/>
          <w:sz w:val="18"/>
          <w:szCs w:val="18"/>
          <w:rtl/>
        </w:rPr>
        <w:t>–</w:t>
      </w:r>
      <w:r>
        <w:rPr>
          <w:rFonts w:cs="Arial" w:hint="cs"/>
          <w:sz w:val="18"/>
          <w:szCs w:val="18"/>
          <w:rtl/>
        </w:rPr>
        <w:t xml:space="preserve"> אע"פ שראתה בכ', מכל מקום לא הגיע א', הווסת נעקר רק כשיבוא הזמן שבו חוששת ולא תראה בו. </w:t>
      </w:r>
      <w:r w:rsidRPr="00B00E8C">
        <w:rPr>
          <w:rFonts w:cs="Arial" w:hint="cs"/>
          <w:sz w:val="16"/>
          <w:szCs w:val="16"/>
          <w:rtl/>
        </w:rPr>
        <w:t>(ולכן גם בסמוך חושת לכ' אייר אע"פ שראתה בט' שהיא הפלגת כ', כיוון שעדיין לא בא כ' לחודש שיעקור את כ' ניסן).</w:t>
      </w:r>
      <w:r>
        <w:rPr>
          <w:rFonts w:cs="Arial" w:hint="cs"/>
          <w:sz w:val="18"/>
          <w:szCs w:val="18"/>
          <w:rtl/>
        </w:rPr>
        <w:br/>
        <w:t xml:space="preserve">ועדיין קשה </w:t>
      </w:r>
      <w:r>
        <w:rPr>
          <w:rFonts w:cs="Arial"/>
          <w:sz w:val="18"/>
          <w:szCs w:val="18"/>
          <w:rtl/>
        </w:rPr>
        <w:t>–</w:t>
      </w:r>
      <w:r>
        <w:rPr>
          <w:rFonts w:cs="Arial" w:hint="cs"/>
          <w:sz w:val="18"/>
          <w:szCs w:val="18"/>
          <w:rtl/>
        </w:rPr>
        <w:t xml:space="preserve"> הרמב"ן כתב שאם לא ראתה בא' אייר חוששת לט' בו, משמע שאם ראתה בא' אייר אינה חוששת לט', מדוע?</w:t>
      </w:r>
      <w:r>
        <w:rPr>
          <w:rFonts w:cs="Arial" w:hint="cs"/>
          <w:sz w:val="18"/>
          <w:szCs w:val="18"/>
          <w:rtl/>
        </w:rPr>
        <w:br/>
        <w:t>הרי עדיין יש לה לחוש להפלגת כ' מראיית כ' לחודש הקודם!</w:t>
      </w:r>
      <w:r>
        <w:rPr>
          <w:rFonts w:cs="Arial" w:hint="cs"/>
          <w:sz w:val="18"/>
          <w:szCs w:val="18"/>
          <w:rtl/>
        </w:rPr>
        <w:br/>
        <w:t xml:space="preserve">מיישב </w:t>
      </w:r>
      <w:r>
        <w:rPr>
          <w:rFonts w:cs="Arial"/>
          <w:sz w:val="18"/>
          <w:szCs w:val="18"/>
          <w:rtl/>
        </w:rPr>
        <w:t>–</w:t>
      </w:r>
      <w:r>
        <w:rPr>
          <w:rFonts w:cs="Arial" w:hint="cs"/>
          <w:sz w:val="18"/>
          <w:szCs w:val="18"/>
          <w:rtl/>
        </w:rPr>
        <w:t xml:space="preserve"> כיוון שראתה כבר פעמיים בא' לחודש, מסתמא בו הולך הווסת להיקבע, ולכן אין לחוש להפלגת כ'.</w:t>
      </w:r>
      <w:r>
        <w:rPr>
          <w:rFonts w:cs="Arial" w:hint="cs"/>
          <w:sz w:val="18"/>
          <w:szCs w:val="18"/>
          <w:rtl/>
        </w:rPr>
        <w:br/>
      </w:r>
      <w:r>
        <w:rPr>
          <w:rFonts w:cs="Arial" w:hint="cs"/>
          <w:sz w:val="18"/>
          <w:szCs w:val="18"/>
          <w:rtl/>
        </w:rPr>
        <w:br/>
      </w:r>
      <w:r w:rsidRPr="00954A75">
        <w:rPr>
          <w:rFonts w:cs="Arial" w:hint="cs"/>
          <w:b/>
          <w:bCs/>
          <w:sz w:val="18"/>
          <w:szCs w:val="18"/>
          <w:rtl/>
        </w:rPr>
        <w:t>הדרכי משה</w:t>
      </w:r>
      <w:r>
        <w:rPr>
          <w:rFonts w:cs="Arial" w:hint="cs"/>
          <w:sz w:val="18"/>
          <w:szCs w:val="18"/>
          <w:rtl/>
        </w:rPr>
        <w:t xml:space="preserve"> חולק על </w:t>
      </w:r>
      <w:r w:rsidRPr="00954A75">
        <w:rPr>
          <w:rFonts w:cs="Arial" w:hint="cs"/>
          <w:b/>
          <w:bCs/>
          <w:sz w:val="18"/>
          <w:szCs w:val="18"/>
          <w:rtl/>
        </w:rPr>
        <w:t>הבית יוסף</w:t>
      </w:r>
      <w:r>
        <w:rPr>
          <w:rFonts w:cs="Arial" w:hint="cs"/>
          <w:sz w:val="18"/>
          <w:szCs w:val="18"/>
          <w:rtl/>
        </w:rPr>
        <w:t xml:space="preserve"> </w:t>
      </w:r>
      <w:r>
        <w:rPr>
          <w:rFonts w:cs="Arial"/>
          <w:sz w:val="18"/>
          <w:szCs w:val="18"/>
          <w:rtl/>
        </w:rPr>
        <w:t>–</w:t>
      </w:r>
      <w:r>
        <w:rPr>
          <w:rFonts w:cs="Arial" w:hint="cs"/>
          <w:sz w:val="18"/>
          <w:szCs w:val="18"/>
          <w:rtl/>
        </w:rPr>
        <w:t xml:space="preserve"> לעולם יש לחוש לשני הווסתות כאשר אחד מהם לא נקבע. ולכן, למרות שראתה פעם שנייה בא' אייר, אעפ"כ צריכה לחוש לט' אייר משום שעדיין לא נקבע ווסת החודש ולכן צריכה לחוש גם לווסת ההפלגה.</w:t>
      </w:r>
      <w:r>
        <w:rPr>
          <w:rFonts w:cs="Arial"/>
          <w:sz w:val="18"/>
          <w:szCs w:val="18"/>
          <w:rtl/>
        </w:rPr>
        <w:br/>
      </w:r>
      <w:r w:rsidRPr="001B599E">
        <w:rPr>
          <w:rFonts w:cs="Arial" w:hint="cs"/>
          <w:b/>
          <w:bCs/>
          <w:sz w:val="18"/>
          <w:szCs w:val="18"/>
          <w:rtl/>
        </w:rPr>
        <w:t>הדרכ"מ</w:t>
      </w:r>
      <w:r>
        <w:rPr>
          <w:rFonts w:cs="Arial" w:hint="cs"/>
          <w:sz w:val="18"/>
          <w:szCs w:val="18"/>
          <w:rtl/>
        </w:rPr>
        <w:t xml:space="preserve"> מוכיח את דבריו </w:t>
      </w:r>
      <w:r>
        <w:rPr>
          <w:rFonts w:cs="Arial"/>
          <w:sz w:val="18"/>
          <w:szCs w:val="18"/>
          <w:rtl/>
        </w:rPr>
        <w:t>–</w:t>
      </w:r>
      <w:r>
        <w:rPr>
          <w:rFonts w:cs="Arial" w:hint="cs"/>
          <w:sz w:val="18"/>
          <w:szCs w:val="18"/>
          <w:rtl/>
        </w:rPr>
        <w:t xml:space="preserve"> </w:t>
      </w:r>
      <w:r w:rsidRPr="001B599E">
        <w:rPr>
          <w:rFonts w:cs="Arial" w:hint="cs"/>
          <w:b/>
          <w:bCs/>
          <w:sz w:val="18"/>
          <w:szCs w:val="18"/>
          <w:rtl/>
        </w:rPr>
        <w:t>הרמב"ן</w:t>
      </w:r>
      <w:r>
        <w:rPr>
          <w:rFonts w:cs="Arial" w:hint="cs"/>
          <w:sz w:val="18"/>
          <w:szCs w:val="18"/>
          <w:rtl/>
        </w:rPr>
        <w:t xml:space="preserve"> כתב מייד אחרי כן שאפילו אם ראתה בט' אייר צריכה לחוש לכ' בו, משמע שאע"פ שווסת ההפלגה עומד להיקבע צריכה לחוש לווסת החודש! אלא על כרחך לומר, שכל עוד לא נקבע ווסת אחת חוששת לשני הווסתות.</w:t>
      </w:r>
      <w:r>
        <w:rPr>
          <w:rFonts w:cs="Arial" w:hint="cs"/>
          <w:sz w:val="18"/>
          <w:szCs w:val="18"/>
          <w:rtl/>
        </w:rPr>
        <w:br/>
        <w:t xml:space="preserve">ואמנם, יקשה על הסבר </w:t>
      </w:r>
      <w:r w:rsidRPr="00CC4ACA">
        <w:rPr>
          <w:rFonts w:cs="Arial" w:hint="cs"/>
          <w:b/>
          <w:bCs/>
          <w:sz w:val="18"/>
          <w:szCs w:val="18"/>
          <w:rtl/>
        </w:rPr>
        <w:t>הדרכ"מ</w:t>
      </w:r>
      <w:r>
        <w:rPr>
          <w:rFonts w:cs="Arial" w:hint="cs"/>
          <w:sz w:val="18"/>
          <w:szCs w:val="18"/>
          <w:rtl/>
        </w:rPr>
        <w:t xml:space="preserve"> </w:t>
      </w:r>
      <w:r>
        <w:rPr>
          <w:rFonts w:cs="Arial"/>
          <w:sz w:val="18"/>
          <w:szCs w:val="18"/>
          <w:rtl/>
        </w:rPr>
        <w:t>–</w:t>
      </w:r>
      <w:r>
        <w:rPr>
          <w:rFonts w:cs="Arial" w:hint="cs"/>
          <w:sz w:val="18"/>
          <w:szCs w:val="18"/>
          <w:rtl/>
        </w:rPr>
        <w:t xml:space="preserve"> </w:t>
      </w:r>
      <w:r w:rsidRPr="00CC4ACA">
        <w:rPr>
          <w:rFonts w:cs="Arial" w:hint="cs"/>
          <w:b/>
          <w:bCs/>
          <w:sz w:val="18"/>
          <w:szCs w:val="18"/>
          <w:rtl/>
        </w:rPr>
        <w:t>הרמב"ן</w:t>
      </w:r>
      <w:r>
        <w:rPr>
          <w:rFonts w:cs="Arial" w:hint="cs"/>
          <w:sz w:val="18"/>
          <w:szCs w:val="18"/>
          <w:rtl/>
        </w:rPr>
        <w:t xml:space="preserve"> כתב שלא ראתה בא' אייר וחוששת לט' מחמת ווסת ההפלגה, משמע שאם היתה רואה בא' לא היתה חוששת לט', לכאורה כדברי הב"י שווסת ר"ח היא העיקרית ואינה חוששת להפלגה!</w:t>
      </w:r>
      <w:r>
        <w:rPr>
          <w:rFonts w:cs="Arial" w:hint="cs"/>
          <w:sz w:val="18"/>
          <w:szCs w:val="18"/>
          <w:rtl/>
        </w:rPr>
        <w:br/>
        <w:t xml:space="preserve">מיישב </w:t>
      </w:r>
      <w:r w:rsidRPr="00CC4ACA">
        <w:rPr>
          <w:rFonts w:cs="Arial" w:hint="cs"/>
          <w:b/>
          <w:bCs/>
          <w:sz w:val="18"/>
          <w:szCs w:val="18"/>
          <w:rtl/>
        </w:rPr>
        <w:t>הדרכ"מ</w:t>
      </w:r>
      <w:r>
        <w:rPr>
          <w:rFonts w:cs="Arial" w:hint="cs"/>
          <w:sz w:val="18"/>
          <w:szCs w:val="18"/>
          <w:rtl/>
        </w:rPr>
        <w:t xml:space="preserve"> שהרמב"ן כתב זאת לרבותא </w:t>
      </w:r>
      <w:r>
        <w:rPr>
          <w:rFonts w:cs="Arial"/>
          <w:sz w:val="18"/>
          <w:szCs w:val="18"/>
          <w:rtl/>
        </w:rPr>
        <w:t>–</w:t>
      </w:r>
      <w:r>
        <w:rPr>
          <w:rFonts w:cs="Arial" w:hint="cs"/>
          <w:sz w:val="18"/>
          <w:szCs w:val="18"/>
          <w:rtl/>
        </w:rPr>
        <w:t xml:space="preserve"> למרות שנעקר ווסת של ראש חודש, אפ"ה חוששת לווסת ההפלגה.</w:t>
      </w:r>
      <w:r>
        <w:rPr>
          <w:rFonts w:cs="Arial"/>
          <w:sz w:val="18"/>
          <w:szCs w:val="18"/>
          <w:rtl/>
        </w:rPr>
        <w:br/>
      </w:r>
      <w:r>
        <w:rPr>
          <w:rFonts w:cs="Arial"/>
          <w:sz w:val="18"/>
          <w:szCs w:val="18"/>
          <w:rtl/>
        </w:rPr>
        <w:br/>
      </w:r>
      <w:r>
        <w:rPr>
          <w:rFonts w:cs="Arial" w:hint="cs"/>
          <w:sz w:val="18"/>
          <w:szCs w:val="18"/>
          <w:rtl/>
        </w:rPr>
        <w:t xml:space="preserve">המשך דברי </w:t>
      </w:r>
      <w:r w:rsidRPr="005E27F8">
        <w:rPr>
          <w:rFonts w:cs="Arial" w:hint="cs"/>
          <w:b/>
          <w:bCs/>
          <w:sz w:val="18"/>
          <w:szCs w:val="18"/>
          <w:rtl/>
        </w:rPr>
        <w:t>הרמב"ן</w:t>
      </w:r>
      <w:r>
        <w:rPr>
          <w:rFonts w:cs="Arial" w:hint="cs"/>
          <w:sz w:val="18"/>
          <w:szCs w:val="18"/>
          <w:rtl/>
        </w:rPr>
        <w:t>:</w:t>
      </w:r>
      <w:r>
        <w:rPr>
          <w:rFonts w:cs="Arial"/>
          <w:sz w:val="18"/>
          <w:szCs w:val="18"/>
          <w:rtl/>
        </w:rPr>
        <w:br/>
      </w:r>
      <w:r>
        <w:rPr>
          <w:rFonts w:cs="Arial" w:hint="cs"/>
          <w:sz w:val="18"/>
          <w:szCs w:val="18"/>
          <w:rtl/>
        </w:rPr>
        <w:t>"</w:t>
      </w:r>
      <w:r w:rsidRPr="007A3BDE">
        <w:rPr>
          <w:rFonts w:cs="Arial" w:hint="cs"/>
          <w:sz w:val="18"/>
          <w:szCs w:val="18"/>
          <w:rtl/>
        </w:rPr>
        <w:t>וכן</w:t>
      </w:r>
      <w:r w:rsidRPr="007A3BDE">
        <w:rPr>
          <w:rFonts w:cs="Arial"/>
          <w:sz w:val="18"/>
          <w:szCs w:val="18"/>
          <w:rtl/>
        </w:rPr>
        <w:t xml:space="preserve"> </w:t>
      </w:r>
      <w:r w:rsidRPr="007A3BDE">
        <w:rPr>
          <w:rFonts w:cs="Arial" w:hint="cs"/>
          <w:sz w:val="18"/>
          <w:szCs w:val="18"/>
          <w:rtl/>
        </w:rPr>
        <w:t>היא</w:t>
      </w:r>
      <w:r w:rsidRPr="007A3BDE">
        <w:rPr>
          <w:rFonts w:cs="Arial"/>
          <w:sz w:val="18"/>
          <w:szCs w:val="18"/>
          <w:rtl/>
        </w:rPr>
        <w:t xml:space="preserve"> </w:t>
      </w:r>
      <w:r w:rsidRPr="007A3BDE">
        <w:rPr>
          <w:rFonts w:cs="Arial" w:hint="cs"/>
          <w:sz w:val="18"/>
          <w:szCs w:val="18"/>
          <w:rtl/>
        </w:rPr>
        <w:t>חוששת</w:t>
      </w:r>
      <w:r w:rsidRPr="007A3BDE">
        <w:rPr>
          <w:rFonts w:cs="Arial"/>
          <w:sz w:val="18"/>
          <w:szCs w:val="18"/>
          <w:rtl/>
        </w:rPr>
        <w:t xml:space="preserve"> </w:t>
      </w:r>
      <w:r w:rsidRPr="007A3BDE">
        <w:rPr>
          <w:rFonts w:cs="Arial" w:hint="cs"/>
          <w:sz w:val="18"/>
          <w:szCs w:val="18"/>
          <w:rtl/>
        </w:rPr>
        <w:t>לשניהם</w:t>
      </w:r>
      <w:r w:rsidRPr="007A3BDE">
        <w:rPr>
          <w:rFonts w:cs="Arial"/>
          <w:sz w:val="18"/>
          <w:szCs w:val="18"/>
          <w:rtl/>
        </w:rPr>
        <w:t xml:space="preserve"> </w:t>
      </w:r>
      <w:r w:rsidRPr="007A3BDE">
        <w:rPr>
          <w:rFonts w:cs="Arial" w:hint="cs"/>
          <w:sz w:val="18"/>
          <w:szCs w:val="18"/>
          <w:rtl/>
        </w:rPr>
        <w:t>עד</w:t>
      </w:r>
      <w:r w:rsidRPr="007A3BDE">
        <w:rPr>
          <w:rFonts w:cs="Arial"/>
          <w:sz w:val="18"/>
          <w:szCs w:val="18"/>
          <w:rtl/>
        </w:rPr>
        <w:t xml:space="preserve"> </w:t>
      </w:r>
      <w:r w:rsidRPr="007A3BDE">
        <w:rPr>
          <w:rFonts w:cs="Arial" w:hint="cs"/>
          <w:sz w:val="18"/>
          <w:szCs w:val="18"/>
          <w:rtl/>
        </w:rPr>
        <w:t>שתקבע</w:t>
      </w:r>
      <w:r w:rsidRPr="007A3BDE">
        <w:rPr>
          <w:rFonts w:cs="Arial"/>
          <w:sz w:val="18"/>
          <w:szCs w:val="18"/>
          <w:rtl/>
        </w:rPr>
        <w:t xml:space="preserve"> </w:t>
      </w:r>
      <w:r w:rsidRPr="007A3BDE">
        <w:rPr>
          <w:rFonts w:cs="Arial" w:hint="cs"/>
          <w:sz w:val="18"/>
          <w:szCs w:val="18"/>
          <w:rtl/>
        </w:rPr>
        <w:t>וסת</w:t>
      </w:r>
      <w:r w:rsidRPr="007A3BDE">
        <w:rPr>
          <w:rFonts w:cs="Arial"/>
          <w:sz w:val="18"/>
          <w:szCs w:val="18"/>
          <w:rtl/>
        </w:rPr>
        <w:t xml:space="preserve"> </w:t>
      </w:r>
      <w:r w:rsidRPr="007A3BDE">
        <w:rPr>
          <w:rFonts w:cs="Arial" w:hint="cs"/>
          <w:sz w:val="18"/>
          <w:szCs w:val="18"/>
          <w:rtl/>
        </w:rPr>
        <w:t>ההפלגה</w:t>
      </w:r>
      <w:r w:rsidRPr="007A3BDE">
        <w:rPr>
          <w:rFonts w:cs="Arial"/>
          <w:sz w:val="18"/>
          <w:szCs w:val="18"/>
          <w:rtl/>
        </w:rPr>
        <w:t xml:space="preserve"> </w:t>
      </w:r>
      <w:r w:rsidRPr="007A3BDE">
        <w:rPr>
          <w:rFonts w:cs="Arial" w:hint="cs"/>
          <w:sz w:val="18"/>
          <w:szCs w:val="18"/>
          <w:rtl/>
        </w:rPr>
        <w:t>בארבע</w:t>
      </w:r>
      <w:r w:rsidRPr="007A3BDE">
        <w:rPr>
          <w:rFonts w:cs="Arial"/>
          <w:sz w:val="18"/>
          <w:szCs w:val="18"/>
          <w:rtl/>
        </w:rPr>
        <w:t xml:space="preserve"> </w:t>
      </w:r>
      <w:r w:rsidRPr="007A3BDE">
        <w:rPr>
          <w:rFonts w:cs="Arial" w:hint="cs"/>
          <w:sz w:val="18"/>
          <w:szCs w:val="18"/>
          <w:rtl/>
        </w:rPr>
        <w:t>ראיות</w:t>
      </w:r>
      <w:r w:rsidRPr="007A3BDE">
        <w:rPr>
          <w:rFonts w:cs="Arial"/>
          <w:sz w:val="18"/>
          <w:szCs w:val="18"/>
          <w:rtl/>
        </w:rPr>
        <w:t xml:space="preserve"> </w:t>
      </w:r>
      <w:r w:rsidRPr="007A3BDE">
        <w:rPr>
          <w:rFonts w:cs="Arial" w:hint="cs"/>
          <w:sz w:val="18"/>
          <w:szCs w:val="18"/>
          <w:rtl/>
        </w:rPr>
        <w:t>או</w:t>
      </w:r>
      <w:r w:rsidRPr="007A3BDE">
        <w:rPr>
          <w:rFonts w:cs="Arial"/>
          <w:sz w:val="18"/>
          <w:szCs w:val="18"/>
          <w:rtl/>
        </w:rPr>
        <w:t xml:space="preserve"> </w:t>
      </w:r>
      <w:r w:rsidRPr="007A3BDE">
        <w:rPr>
          <w:rFonts w:cs="Arial" w:hint="cs"/>
          <w:sz w:val="18"/>
          <w:szCs w:val="18"/>
          <w:rtl/>
        </w:rPr>
        <w:t>וסת</w:t>
      </w:r>
      <w:r w:rsidRPr="007A3BDE">
        <w:rPr>
          <w:rFonts w:cs="Arial"/>
          <w:sz w:val="18"/>
          <w:szCs w:val="18"/>
          <w:rtl/>
        </w:rPr>
        <w:t xml:space="preserve"> </w:t>
      </w:r>
      <w:r w:rsidRPr="007A3BDE">
        <w:rPr>
          <w:rFonts w:cs="Arial" w:hint="cs"/>
          <w:sz w:val="18"/>
          <w:szCs w:val="18"/>
          <w:rtl/>
        </w:rPr>
        <w:t>החדש</w:t>
      </w:r>
      <w:r w:rsidRPr="007A3BDE">
        <w:rPr>
          <w:rFonts w:cs="Arial"/>
          <w:sz w:val="18"/>
          <w:szCs w:val="18"/>
          <w:rtl/>
        </w:rPr>
        <w:t xml:space="preserve"> </w:t>
      </w:r>
      <w:r w:rsidRPr="007A3BDE">
        <w:rPr>
          <w:rFonts w:cs="Arial" w:hint="cs"/>
          <w:sz w:val="18"/>
          <w:szCs w:val="18"/>
          <w:rtl/>
        </w:rPr>
        <w:t>בשלשה</w:t>
      </w:r>
      <w:r w:rsidRPr="007A3BDE">
        <w:rPr>
          <w:rFonts w:cs="Arial"/>
          <w:sz w:val="18"/>
          <w:szCs w:val="18"/>
          <w:rtl/>
        </w:rPr>
        <w:t xml:space="preserve"> </w:t>
      </w:r>
      <w:r w:rsidRPr="007A3BDE">
        <w:rPr>
          <w:rFonts w:cs="Arial" w:hint="cs"/>
          <w:sz w:val="18"/>
          <w:szCs w:val="18"/>
          <w:rtl/>
        </w:rPr>
        <w:t>עד</w:t>
      </w:r>
      <w:r w:rsidRPr="007A3BDE">
        <w:rPr>
          <w:rFonts w:cs="Arial"/>
          <w:sz w:val="18"/>
          <w:szCs w:val="18"/>
          <w:rtl/>
        </w:rPr>
        <w:t xml:space="preserve"> </w:t>
      </w:r>
      <w:r w:rsidRPr="007A3BDE">
        <w:rPr>
          <w:rFonts w:cs="Arial" w:hint="cs"/>
          <w:sz w:val="18"/>
          <w:szCs w:val="18"/>
          <w:rtl/>
        </w:rPr>
        <w:t>שתיעקר</w:t>
      </w:r>
      <w:r w:rsidRPr="007A3BDE">
        <w:rPr>
          <w:rFonts w:cs="Arial"/>
          <w:sz w:val="18"/>
          <w:szCs w:val="18"/>
          <w:rtl/>
        </w:rPr>
        <w:t xml:space="preserve"> </w:t>
      </w:r>
      <w:r w:rsidRPr="007A3BDE">
        <w:rPr>
          <w:rFonts w:cs="Arial" w:hint="cs"/>
          <w:sz w:val="18"/>
          <w:szCs w:val="18"/>
          <w:rtl/>
        </w:rPr>
        <w:t>האחר</w:t>
      </w:r>
      <w:r w:rsidRPr="007A3BDE">
        <w:rPr>
          <w:rFonts w:cs="Arial"/>
          <w:sz w:val="18"/>
          <w:szCs w:val="18"/>
          <w:rtl/>
        </w:rPr>
        <w:t xml:space="preserve"> </w:t>
      </w:r>
      <w:r w:rsidRPr="007A3BDE">
        <w:rPr>
          <w:rFonts w:cs="Arial" w:hint="cs"/>
          <w:sz w:val="18"/>
          <w:szCs w:val="18"/>
          <w:rtl/>
        </w:rPr>
        <w:t>בעקירת</w:t>
      </w:r>
      <w:r w:rsidRPr="007A3BDE">
        <w:rPr>
          <w:rFonts w:cs="Arial"/>
          <w:sz w:val="18"/>
          <w:szCs w:val="18"/>
          <w:rtl/>
        </w:rPr>
        <w:t xml:space="preserve"> </w:t>
      </w:r>
      <w:r w:rsidRPr="007A3BDE">
        <w:rPr>
          <w:rFonts w:cs="Arial" w:hint="cs"/>
          <w:sz w:val="18"/>
          <w:szCs w:val="18"/>
          <w:rtl/>
        </w:rPr>
        <w:t>פעם</w:t>
      </w:r>
      <w:r w:rsidRPr="007A3BDE">
        <w:rPr>
          <w:rFonts w:cs="Arial"/>
          <w:sz w:val="18"/>
          <w:szCs w:val="18"/>
          <w:rtl/>
        </w:rPr>
        <w:t xml:space="preserve"> </w:t>
      </w:r>
      <w:r w:rsidRPr="007A3BDE">
        <w:rPr>
          <w:rFonts w:cs="Arial" w:hint="cs"/>
          <w:sz w:val="18"/>
          <w:szCs w:val="18"/>
          <w:rtl/>
        </w:rPr>
        <w:t>אחת".</w:t>
      </w:r>
      <w:r>
        <w:rPr>
          <w:rtl/>
        </w:rPr>
        <w:br/>
      </w:r>
      <w:r w:rsidRPr="0045274C">
        <w:rPr>
          <w:rFonts w:hint="cs"/>
          <w:b/>
          <w:bCs/>
          <w:sz w:val="18"/>
          <w:szCs w:val="18"/>
          <w:rtl/>
        </w:rPr>
        <w:t>הב"י</w:t>
      </w:r>
      <w:r w:rsidRPr="005E27F8">
        <w:rPr>
          <w:rFonts w:hint="cs"/>
          <w:sz w:val="18"/>
          <w:szCs w:val="18"/>
          <w:rtl/>
        </w:rPr>
        <w:t xml:space="preserve"> מקשה על לשון </w:t>
      </w:r>
      <w:r w:rsidRPr="0045274C">
        <w:rPr>
          <w:rFonts w:hint="cs"/>
          <w:b/>
          <w:bCs/>
          <w:sz w:val="18"/>
          <w:szCs w:val="18"/>
          <w:rtl/>
        </w:rPr>
        <w:t>הרמב"ן</w:t>
      </w:r>
      <w:r w:rsidRPr="005E27F8">
        <w:rPr>
          <w:rFonts w:hint="cs"/>
          <w:sz w:val="18"/>
          <w:szCs w:val="18"/>
          <w:rtl/>
        </w:rPr>
        <w:t>, ומסקנתו לפרש כך:</w:t>
      </w:r>
      <w:r w:rsidRPr="005E27F8">
        <w:rPr>
          <w:sz w:val="18"/>
          <w:szCs w:val="18"/>
          <w:rtl/>
        </w:rPr>
        <w:br/>
      </w:r>
      <w:r>
        <w:rPr>
          <w:rFonts w:hint="cs"/>
          <w:sz w:val="18"/>
          <w:szCs w:val="18"/>
          <w:rtl/>
        </w:rPr>
        <w:t xml:space="preserve">כאשר יש שני ווסתות כנ"ל, ווסת יכול להיעקר אפילו רק בפעם אחת שלא תראה, דהיינו שאין דינו כווסת קבוע שנעקר רק בג"פ אלא הוי ווסת חלש ונעקר אפילו בפעם אחת שלא תראה.  </w:t>
      </w:r>
      <w:r>
        <w:rPr>
          <w:sz w:val="18"/>
          <w:szCs w:val="18"/>
          <w:rtl/>
        </w:rPr>
        <w:br/>
      </w:r>
      <w:r>
        <w:rPr>
          <w:rFonts w:hint="cs"/>
          <w:sz w:val="18"/>
          <w:szCs w:val="18"/>
          <w:rtl/>
        </w:rPr>
        <w:t xml:space="preserve">ברם, הסבר זה קשה </w:t>
      </w:r>
      <w:r>
        <w:rPr>
          <w:sz w:val="18"/>
          <w:szCs w:val="18"/>
          <w:rtl/>
        </w:rPr>
        <w:t>–</w:t>
      </w:r>
      <w:r>
        <w:rPr>
          <w:rFonts w:hint="cs"/>
          <w:sz w:val="18"/>
          <w:szCs w:val="18"/>
          <w:rtl/>
        </w:rPr>
        <w:t xml:space="preserve"> כיצד ייתכן שווסת אחד ייקבע ג' פעמים ואילו הווסת האחר לא יעקר בינתיים פעם אחת?</w:t>
      </w:r>
      <w:r>
        <w:rPr>
          <w:sz w:val="18"/>
          <w:szCs w:val="18"/>
          <w:rtl/>
        </w:rPr>
        <w:br/>
      </w:r>
      <w:r>
        <w:rPr>
          <w:rFonts w:hint="cs"/>
          <w:sz w:val="18"/>
          <w:szCs w:val="18"/>
          <w:rtl/>
        </w:rPr>
        <w:t xml:space="preserve">מיישב </w:t>
      </w:r>
      <w:r w:rsidRPr="00B514D0">
        <w:rPr>
          <w:rFonts w:hint="cs"/>
          <w:b/>
          <w:bCs/>
          <w:sz w:val="18"/>
          <w:szCs w:val="18"/>
          <w:rtl/>
        </w:rPr>
        <w:t>הב"י</w:t>
      </w:r>
      <w:r>
        <w:rPr>
          <w:rFonts w:hint="cs"/>
          <w:sz w:val="18"/>
          <w:szCs w:val="18"/>
          <w:rtl/>
        </w:rPr>
        <w:t xml:space="preserve"> - כגון שהפליגה ג' הפלגות כך: א </w:t>
      </w:r>
      <w:r>
        <w:rPr>
          <w:sz w:val="18"/>
          <w:szCs w:val="18"/>
          <w:rtl/>
        </w:rPr>
        <w:t>–</w:t>
      </w:r>
      <w:r>
        <w:rPr>
          <w:rFonts w:hint="cs"/>
          <w:sz w:val="18"/>
          <w:szCs w:val="18"/>
          <w:rtl/>
        </w:rPr>
        <w:t xml:space="preserve"> כ אייר; כ אייר </w:t>
      </w:r>
      <w:r>
        <w:rPr>
          <w:sz w:val="18"/>
          <w:szCs w:val="18"/>
          <w:rtl/>
        </w:rPr>
        <w:t>–</w:t>
      </w:r>
      <w:r>
        <w:rPr>
          <w:rFonts w:hint="cs"/>
          <w:sz w:val="18"/>
          <w:szCs w:val="18"/>
          <w:rtl/>
        </w:rPr>
        <w:t xml:space="preserve"> ט סיון; ט' סיון </w:t>
      </w:r>
      <w:r>
        <w:rPr>
          <w:sz w:val="18"/>
          <w:szCs w:val="18"/>
          <w:rtl/>
        </w:rPr>
        <w:t>–</w:t>
      </w:r>
      <w:r>
        <w:rPr>
          <w:rFonts w:hint="cs"/>
          <w:sz w:val="18"/>
          <w:szCs w:val="18"/>
          <w:rtl/>
        </w:rPr>
        <w:t xml:space="preserve"> א תמוז. במקביל, קבעה גם ווסת החודש בכ', כלומר שראתה בכ' ניסן, כ' אייר וכ' סיון. בכה"ג חוששת לשני הווסתות, כיוון שלא נעקר אחד מהם אפילו פעם אחת. </w:t>
      </w:r>
      <w:r w:rsidRPr="0045274C">
        <w:rPr>
          <w:rFonts w:hint="cs"/>
          <w:sz w:val="16"/>
          <w:szCs w:val="16"/>
          <w:rtl/>
        </w:rPr>
        <w:t xml:space="preserve">[אמנם, זה אינו מדוייק, משום שווסת ההפלגה נעקרה לכאורה כשלא ראתה בט' אייר הוא הפלגתה מכ' ניסן? מיישב הב"י </w:t>
      </w:r>
      <w:r w:rsidRPr="0045274C">
        <w:rPr>
          <w:sz w:val="16"/>
          <w:szCs w:val="16"/>
          <w:rtl/>
        </w:rPr>
        <w:t>–</w:t>
      </w:r>
      <w:r w:rsidRPr="0045274C">
        <w:rPr>
          <w:rFonts w:hint="cs"/>
          <w:sz w:val="16"/>
          <w:szCs w:val="16"/>
          <w:rtl/>
        </w:rPr>
        <w:t xml:space="preserve"> זו אינה חשובה עקירה לפי שהיינו חוששים אז לווסת ראשי החודשים </w:t>
      </w:r>
      <w:r w:rsidRPr="0045274C">
        <w:rPr>
          <w:rFonts w:hint="cs"/>
          <w:sz w:val="14"/>
          <w:szCs w:val="14"/>
          <w:rtl/>
        </w:rPr>
        <w:t>(שראתה בא' ניסן וחששנו לא' אייר, וצ"ע בכוונתו)</w:t>
      </w:r>
      <w:r w:rsidRPr="0045274C">
        <w:rPr>
          <w:rFonts w:hint="cs"/>
          <w:sz w:val="16"/>
          <w:szCs w:val="16"/>
          <w:rtl/>
        </w:rPr>
        <w:t>].</w:t>
      </w:r>
      <w:r>
        <w:rPr>
          <w:rFonts w:hint="cs"/>
          <w:sz w:val="18"/>
          <w:szCs w:val="18"/>
          <w:rtl/>
        </w:rPr>
        <w:br/>
        <w:t xml:space="preserve">אמנם, </w:t>
      </w:r>
      <w:r w:rsidRPr="007C612D">
        <w:rPr>
          <w:rFonts w:hint="cs"/>
          <w:b/>
          <w:bCs/>
          <w:sz w:val="18"/>
          <w:szCs w:val="18"/>
          <w:rtl/>
        </w:rPr>
        <w:t>הדרכ"מ</w:t>
      </w:r>
      <w:r>
        <w:rPr>
          <w:rFonts w:hint="cs"/>
          <w:sz w:val="18"/>
          <w:szCs w:val="18"/>
          <w:rtl/>
        </w:rPr>
        <w:t xml:space="preserve"> חולק על </w:t>
      </w:r>
      <w:r w:rsidRPr="007C612D">
        <w:rPr>
          <w:rFonts w:hint="cs"/>
          <w:b/>
          <w:bCs/>
          <w:sz w:val="18"/>
          <w:szCs w:val="18"/>
          <w:rtl/>
        </w:rPr>
        <w:t>הבית יוסף</w:t>
      </w:r>
      <w:r>
        <w:rPr>
          <w:rFonts w:hint="cs"/>
          <w:sz w:val="18"/>
          <w:szCs w:val="18"/>
          <w:rtl/>
        </w:rPr>
        <w:t>, וסובר שכאשר נקבע ווסת אחד שוב אינה חוששת לווסת השני.</w:t>
      </w:r>
      <w:r>
        <w:rPr>
          <w:sz w:val="18"/>
          <w:szCs w:val="18"/>
          <w:rtl/>
        </w:rPr>
        <w:br/>
      </w:r>
    </w:p>
    <w:p w:rsidR="005953C5" w:rsidRPr="005E27F8" w:rsidRDefault="005953C5" w:rsidP="00620060">
      <w:pPr>
        <w:pStyle w:val="a3"/>
        <w:rPr>
          <w:sz w:val="18"/>
          <w:szCs w:val="18"/>
          <w:rtl/>
        </w:rPr>
      </w:pPr>
      <w:r>
        <w:rPr>
          <w:rFonts w:cs="Arial" w:hint="cs"/>
          <w:sz w:val="18"/>
          <w:szCs w:val="18"/>
          <w:rtl/>
        </w:rPr>
        <w:t xml:space="preserve">[סיכום מחלוקות </w:t>
      </w:r>
      <w:r w:rsidRPr="001C46AD">
        <w:rPr>
          <w:rFonts w:cs="Arial" w:hint="cs"/>
          <w:b/>
          <w:bCs/>
          <w:sz w:val="18"/>
          <w:szCs w:val="18"/>
          <w:rtl/>
        </w:rPr>
        <w:t>ב"י ודרכ"מ</w:t>
      </w:r>
      <w:r>
        <w:rPr>
          <w:rFonts w:cs="Arial" w:hint="cs"/>
          <w:sz w:val="18"/>
          <w:szCs w:val="18"/>
          <w:rtl/>
        </w:rPr>
        <w:t xml:space="preserve"> </w:t>
      </w:r>
      <w:r>
        <w:rPr>
          <w:rFonts w:cs="Arial"/>
          <w:sz w:val="18"/>
          <w:szCs w:val="18"/>
          <w:rtl/>
        </w:rPr>
        <w:t>–</w:t>
      </w:r>
      <w:r>
        <w:rPr>
          <w:rFonts w:cs="Arial" w:hint="cs"/>
          <w:sz w:val="18"/>
          <w:szCs w:val="18"/>
          <w:rtl/>
        </w:rPr>
        <w:t xml:space="preserve"> </w:t>
      </w:r>
      <w:r>
        <w:rPr>
          <w:rFonts w:cs="Arial"/>
          <w:sz w:val="18"/>
          <w:szCs w:val="18"/>
          <w:rtl/>
        </w:rPr>
        <w:br/>
      </w:r>
      <w:r>
        <w:rPr>
          <w:rFonts w:cs="Arial" w:hint="cs"/>
          <w:sz w:val="18"/>
          <w:szCs w:val="18"/>
          <w:rtl/>
        </w:rPr>
        <w:t xml:space="preserve">א. האם בכל אופן יש לחוש לשני הווסתות, כלומר: </w:t>
      </w:r>
      <w:r>
        <w:rPr>
          <w:rFonts w:cs="Arial"/>
          <w:b/>
          <w:bCs/>
          <w:sz w:val="18"/>
          <w:szCs w:val="18"/>
          <w:rtl/>
        </w:rPr>
        <w:br/>
      </w:r>
      <w:r w:rsidRPr="00811777">
        <w:rPr>
          <w:rFonts w:cs="Arial" w:hint="cs"/>
          <w:b/>
          <w:bCs/>
          <w:sz w:val="18"/>
          <w:szCs w:val="18"/>
          <w:rtl/>
        </w:rPr>
        <w:t>ב"י</w:t>
      </w:r>
      <w:r>
        <w:rPr>
          <w:rFonts w:cs="Arial" w:hint="cs"/>
          <w:sz w:val="18"/>
          <w:szCs w:val="18"/>
          <w:rtl/>
        </w:rPr>
        <w:t xml:space="preserve"> - אם יש ווסת אחת העומד להיקבע יותר מהשני, אין חוששים לווסת השני. </w:t>
      </w:r>
      <w:r>
        <w:rPr>
          <w:rFonts w:cs="Arial"/>
          <w:sz w:val="18"/>
          <w:szCs w:val="18"/>
          <w:rtl/>
        </w:rPr>
        <w:br/>
      </w:r>
      <w:r w:rsidRPr="00811777">
        <w:rPr>
          <w:rFonts w:cs="Arial" w:hint="cs"/>
          <w:b/>
          <w:bCs/>
          <w:sz w:val="18"/>
          <w:szCs w:val="18"/>
          <w:rtl/>
        </w:rPr>
        <w:t>דרכ"מ</w:t>
      </w:r>
      <w:r>
        <w:rPr>
          <w:rFonts w:cs="Arial" w:hint="cs"/>
          <w:sz w:val="18"/>
          <w:szCs w:val="18"/>
          <w:rtl/>
        </w:rPr>
        <w:t xml:space="preserve"> - בכל עניין חוששים לשני הווסתות עד שייקבע אחד מהם ג' פעמים כדינו, או עד שיעקר פעם אחת, כפשט הרמב"ן.</w:t>
      </w:r>
      <w:r>
        <w:rPr>
          <w:rFonts w:cs="Arial" w:hint="cs"/>
          <w:sz w:val="18"/>
          <w:szCs w:val="18"/>
          <w:rtl/>
        </w:rPr>
        <w:br/>
      </w:r>
      <w:r>
        <w:rPr>
          <w:rFonts w:cs="Arial"/>
          <w:sz w:val="18"/>
          <w:szCs w:val="18"/>
          <w:rtl/>
        </w:rPr>
        <w:br/>
      </w:r>
      <w:r>
        <w:rPr>
          <w:rFonts w:cs="Arial" w:hint="cs"/>
          <w:sz w:val="18"/>
          <w:szCs w:val="18"/>
          <w:rtl/>
        </w:rPr>
        <w:t>ב. האם ווסת קבוע עוקר ווסת שאינו קבוע?</w:t>
      </w:r>
      <w:r>
        <w:rPr>
          <w:rFonts w:cs="Arial"/>
          <w:sz w:val="18"/>
          <w:szCs w:val="18"/>
          <w:rtl/>
        </w:rPr>
        <w:br/>
      </w:r>
      <w:r w:rsidRPr="007C612D">
        <w:rPr>
          <w:rFonts w:cs="Arial" w:hint="cs"/>
          <w:b/>
          <w:bCs/>
          <w:sz w:val="18"/>
          <w:szCs w:val="18"/>
          <w:rtl/>
        </w:rPr>
        <w:t>בית יוסף</w:t>
      </w:r>
      <w:r>
        <w:rPr>
          <w:rFonts w:cs="Arial" w:hint="cs"/>
          <w:sz w:val="18"/>
          <w:szCs w:val="18"/>
          <w:rtl/>
        </w:rPr>
        <w:t xml:space="preserve"> </w:t>
      </w:r>
      <w:r>
        <w:rPr>
          <w:rFonts w:cs="Arial"/>
          <w:sz w:val="18"/>
          <w:szCs w:val="18"/>
          <w:rtl/>
        </w:rPr>
        <w:t>–</w:t>
      </w:r>
      <w:r>
        <w:rPr>
          <w:rFonts w:cs="Arial" w:hint="cs"/>
          <w:sz w:val="18"/>
          <w:szCs w:val="18"/>
          <w:rtl/>
        </w:rPr>
        <w:t xml:space="preserve"> לא, הווסת נעקר רק כשלא תראה, ואמנם אפילו אם נקבע נעקר בפעם אחת שלא תראה.</w:t>
      </w:r>
      <w:r>
        <w:rPr>
          <w:rFonts w:cs="Arial"/>
          <w:sz w:val="18"/>
          <w:szCs w:val="18"/>
          <w:rtl/>
        </w:rPr>
        <w:br/>
      </w:r>
      <w:r w:rsidRPr="007C612D">
        <w:rPr>
          <w:rFonts w:cs="Arial" w:hint="cs"/>
          <w:b/>
          <w:bCs/>
          <w:sz w:val="18"/>
          <w:szCs w:val="18"/>
          <w:rtl/>
        </w:rPr>
        <w:t>דרכי משה</w:t>
      </w:r>
      <w:r>
        <w:rPr>
          <w:rFonts w:cs="Arial" w:hint="cs"/>
          <w:sz w:val="18"/>
          <w:szCs w:val="18"/>
          <w:rtl/>
        </w:rPr>
        <w:t xml:space="preserve"> </w:t>
      </w:r>
      <w:r>
        <w:rPr>
          <w:rFonts w:cs="Arial"/>
          <w:sz w:val="18"/>
          <w:szCs w:val="18"/>
          <w:rtl/>
        </w:rPr>
        <w:t>–</w:t>
      </w:r>
      <w:r>
        <w:rPr>
          <w:rFonts w:cs="Arial" w:hint="cs"/>
          <w:sz w:val="18"/>
          <w:szCs w:val="18"/>
          <w:rtl/>
        </w:rPr>
        <w:t xml:space="preserve"> כן, ווסת שנקבע עוקר את החשש לווסת השני].</w:t>
      </w:r>
      <w:r>
        <w:rPr>
          <w:rFonts w:hint="cs"/>
          <w:sz w:val="18"/>
          <w:szCs w:val="18"/>
          <w:rtl/>
        </w:rPr>
        <w:br/>
      </w:r>
    </w:p>
  </w:footnote>
  <w:footnote w:id="195">
    <w:p w:rsidR="005953C5" w:rsidRDefault="005953C5" w:rsidP="00620060">
      <w:pPr>
        <w:pStyle w:val="a3"/>
      </w:pPr>
      <w:r w:rsidRPr="00417789">
        <w:rPr>
          <w:rStyle w:val="a5"/>
          <w:sz w:val="18"/>
          <w:szCs w:val="18"/>
        </w:rPr>
        <w:footnoteRef/>
      </w:r>
      <w:r w:rsidRPr="00417789">
        <w:rPr>
          <w:sz w:val="18"/>
          <w:szCs w:val="18"/>
          <w:rtl/>
        </w:rPr>
        <w:t xml:space="preserve"> </w:t>
      </w:r>
      <w:r w:rsidRPr="00417789">
        <w:rPr>
          <w:rFonts w:hint="cs"/>
          <w:sz w:val="18"/>
          <w:szCs w:val="18"/>
          <w:rtl/>
        </w:rPr>
        <w:t xml:space="preserve">מבואר כאן </w:t>
      </w:r>
      <w:r w:rsidRPr="00417789">
        <w:rPr>
          <w:rFonts w:hint="cs"/>
          <w:b/>
          <w:bCs/>
          <w:sz w:val="18"/>
          <w:szCs w:val="18"/>
          <w:rtl/>
        </w:rPr>
        <w:t>ברמ"א</w:t>
      </w:r>
      <w:r w:rsidRPr="00417789">
        <w:rPr>
          <w:rFonts w:hint="cs"/>
          <w:sz w:val="18"/>
          <w:szCs w:val="18"/>
          <w:rtl/>
        </w:rPr>
        <w:t xml:space="preserve"> שאין אפשרות לקבוע ווסת החודש וההפלגה בו זמנית. ברם, נראה שניתן לקבוע שני ווסתות חודש בו זמנית. וכן מוכח מדברי </w:t>
      </w:r>
      <w:r w:rsidRPr="00417789">
        <w:rPr>
          <w:rFonts w:hint="cs"/>
          <w:b/>
          <w:bCs/>
          <w:sz w:val="18"/>
          <w:szCs w:val="18"/>
          <w:rtl/>
        </w:rPr>
        <w:t>החוו"ד</w:t>
      </w:r>
      <w:r w:rsidRPr="00417789">
        <w:rPr>
          <w:rFonts w:hint="cs"/>
          <w:sz w:val="18"/>
          <w:szCs w:val="18"/>
          <w:rtl/>
        </w:rPr>
        <w:t xml:space="preserve"> בסימן קפד', עיי"ש </w:t>
      </w:r>
      <w:r w:rsidRPr="00417789">
        <w:rPr>
          <w:rFonts w:hint="cs"/>
          <w:b/>
          <w:bCs/>
          <w:sz w:val="18"/>
          <w:szCs w:val="18"/>
          <w:rtl/>
        </w:rPr>
        <w:t>בפת"ש</w:t>
      </w:r>
      <w:r w:rsidRPr="00417789">
        <w:rPr>
          <w:rFonts w:hint="cs"/>
          <w:sz w:val="18"/>
          <w:szCs w:val="18"/>
          <w:rtl/>
        </w:rPr>
        <w:t xml:space="preserve"> ט'.</w:t>
      </w:r>
    </w:p>
  </w:footnote>
  <w:footnote w:id="196">
    <w:p w:rsidR="005953C5" w:rsidRDefault="005953C5" w:rsidP="00620060">
      <w:pPr>
        <w:pStyle w:val="a3"/>
      </w:pPr>
      <w:r w:rsidRPr="007E615F">
        <w:rPr>
          <w:rStyle w:val="a5"/>
          <w:sz w:val="18"/>
          <w:szCs w:val="18"/>
        </w:rPr>
        <w:footnoteRef/>
      </w:r>
      <w:r w:rsidRPr="007E615F">
        <w:rPr>
          <w:sz w:val="18"/>
          <w:szCs w:val="18"/>
          <w:rtl/>
        </w:rPr>
        <w:t xml:space="preserve"> </w:t>
      </w:r>
      <w:r w:rsidRPr="007E615F">
        <w:rPr>
          <w:rFonts w:hint="cs"/>
          <w:sz w:val="18"/>
          <w:szCs w:val="18"/>
          <w:rtl/>
        </w:rPr>
        <w:t>כיוון שלא נקבע בג' פעמים, נעקר בפעם אחת.</w:t>
      </w:r>
    </w:p>
  </w:footnote>
  <w:footnote w:id="197">
    <w:p w:rsidR="005953C5" w:rsidRDefault="005953C5" w:rsidP="00620060">
      <w:pPr>
        <w:pStyle w:val="a3"/>
      </w:pPr>
      <w:r w:rsidRPr="007D13E0">
        <w:rPr>
          <w:rStyle w:val="a5"/>
          <w:sz w:val="18"/>
          <w:szCs w:val="18"/>
        </w:rPr>
        <w:footnoteRef/>
      </w:r>
      <w:r w:rsidRPr="007D13E0">
        <w:rPr>
          <w:sz w:val="18"/>
          <w:szCs w:val="18"/>
          <w:rtl/>
        </w:rPr>
        <w:t xml:space="preserve"> </w:t>
      </w:r>
      <w:r w:rsidRPr="007D13E0">
        <w:rPr>
          <w:rFonts w:hint="cs"/>
          <w:sz w:val="18"/>
          <w:szCs w:val="18"/>
          <w:rtl/>
        </w:rPr>
        <w:t xml:space="preserve">ראיות: </w:t>
      </w:r>
      <w:r w:rsidRPr="007D13E0">
        <w:rPr>
          <w:rFonts w:hint="cs"/>
          <w:sz w:val="18"/>
          <w:szCs w:val="18"/>
          <w:vertAlign w:val="superscript"/>
          <w:rtl/>
        </w:rPr>
        <w:t xml:space="preserve">1 </w:t>
      </w:r>
      <w:r w:rsidRPr="007D13E0">
        <w:rPr>
          <w:rFonts w:hint="cs"/>
          <w:sz w:val="18"/>
          <w:szCs w:val="18"/>
          <w:rtl/>
        </w:rPr>
        <w:t>לא מצאנו בשום מקום שראייה אקראית בשינוי זמן תעקור חשש לווסת אחר.</w:t>
      </w:r>
      <w:r w:rsidRPr="007D13E0">
        <w:rPr>
          <w:rFonts w:hint="cs"/>
          <w:sz w:val="18"/>
          <w:szCs w:val="18"/>
          <w:rtl/>
        </w:rPr>
        <w:br/>
        <w:t xml:space="preserve">דוחה </w:t>
      </w:r>
      <w:r w:rsidRPr="007D13E0">
        <w:rPr>
          <w:rFonts w:hint="cs"/>
          <w:b/>
          <w:bCs/>
          <w:sz w:val="18"/>
          <w:szCs w:val="18"/>
          <w:rtl/>
        </w:rPr>
        <w:t>נקה"כ</w:t>
      </w:r>
      <w:r w:rsidRPr="007D13E0">
        <w:rPr>
          <w:rFonts w:hint="cs"/>
          <w:sz w:val="18"/>
          <w:szCs w:val="18"/>
          <w:rtl/>
        </w:rPr>
        <w:t xml:space="preserve"> </w:t>
      </w:r>
      <w:r w:rsidRPr="007D13E0">
        <w:rPr>
          <w:sz w:val="18"/>
          <w:szCs w:val="18"/>
          <w:rtl/>
        </w:rPr>
        <w:t>–</w:t>
      </w:r>
      <w:r w:rsidRPr="007D13E0">
        <w:rPr>
          <w:rFonts w:hint="cs"/>
          <w:sz w:val="18"/>
          <w:szCs w:val="18"/>
          <w:rtl/>
        </w:rPr>
        <w:t xml:space="preserve"> כיוון שראתה בא', הרי עקרה הפלגתה ליב', ולכן אינה חוששת להפלגת כ'. </w:t>
      </w:r>
      <w:r w:rsidRPr="007D13E0">
        <w:rPr>
          <w:sz w:val="18"/>
          <w:szCs w:val="18"/>
          <w:rtl/>
        </w:rPr>
        <w:br/>
      </w:r>
      <w:r w:rsidRPr="007D13E0">
        <w:rPr>
          <w:rFonts w:hint="cs"/>
          <w:sz w:val="18"/>
          <w:szCs w:val="18"/>
          <w:rtl/>
        </w:rPr>
        <w:t xml:space="preserve">ועוד </w:t>
      </w:r>
      <w:r w:rsidRPr="007D13E0">
        <w:rPr>
          <w:sz w:val="18"/>
          <w:szCs w:val="18"/>
          <w:rtl/>
        </w:rPr>
        <w:t>–</w:t>
      </w:r>
      <w:r w:rsidRPr="007D13E0">
        <w:rPr>
          <w:rFonts w:hint="cs"/>
          <w:sz w:val="18"/>
          <w:szCs w:val="18"/>
          <w:rtl/>
        </w:rPr>
        <w:t xml:space="preserve"> </w:t>
      </w:r>
      <w:r w:rsidRPr="007D13E0">
        <w:rPr>
          <w:rFonts w:hint="cs"/>
          <w:sz w:val="18"/>
          <w:szCs w:val="18"/>
          <w:vertAlign w:val="superscript"/>
          <w:rtl/>
        </w:rPr>
        <w:t xml:space="preserve">2 </w:t>
      </w:r>
      <w:r w:rsidRPr="007D13E0">
        <w:rPr>
          <w:rFonts w:hint="cs"/>
          <w:sz w:val="18"/>
          <w:szCs w:val="18"/>
          <w:rtl/>
        </w:rPr>
        <w:t>אם אשה זו תראה בא' ט' וכח' אייר, האם לא תקבע ווסת להפלגת כ' מחמת שראתה באמצע בא'?</w:t>
      </w:r>
      <w:r w:rsidRPr="007D13E0">
        <w:rPr>
          <w:sz w:val="18"/>
          <w:szCs w:val="18"/>
          <w:rtl/>
        </w:rPr>
        <w:br/>
      </w:r>
      <w:r w:rsidRPr="007D13E0">
        <w:rPr>
          <w:rFonts w:hint="cs"/>
          <w:sz w:val="18"/>
          <w:szCs w:val="18"/>
          <w:rtl/>
        </w:rPr>
        <w:t xml:space="preserve">דוחה </w:t>
      </w:r>
      <w:r w:rsidRPr="007D13E0">
        <w:rPr>
          <w:rFonts w:hint="cs"/>
          <w:b/>
          <w:bCs/>
          <w:sz w:val="18"/>
          <w:szCs w:val="18"/>
          <w:rtl/>
        </w:rPr>
        <w:t>נקה"כ</w:t>
      </w:r>
      <w:r w:rsidRPr="007D13E0">
        <w:rPr>
          <w:rFonts w:hint="cs"/>
          <w:sz w:val="18"/>
          <w:szCs w:val="18"/>
          <w:rtl/>
        </w:rPr>
        <w:t xml:space="preserve"> </w:t>
      </w:r>
      <w:r w:rsidRPr="007D13E0">
        <w:rPr>
          <w:sz w:val="18"/>
          <w:szCs w:val="18"/>
          <w:rtl/>
        </w:rPr>
        <w:t>–</w:t>
      </w:r>
      <w:r w:rsidRPr="007D13E0">
        <w:rPr>
          <w:rFonts w:hint="cs"/>
          <w:sz w:val="18"/>
          <w:szCs w:val="18"/>
          <w:rtl/>
        </w:rPr>
        <w:t xml:space="preserve"> לא, מכיוון שראיית א' אייר עקרה הפלגת כ'.</w:t>
      </w:r>
      <w:r>
        <w:rPr>
          <w:rtl/>
        </w:rPr>
        <w:br/>
      </w:r>
      <w:r w:rsidRPr="00767EAA">
        <w:rPr>
          <w:rFonts w:hint="cs"/>
          <w:sz w:val="18"/>
          <w:szCs w:val="18"/>
          <w:rtl/>
        </w:rPr>
        <w:t xml:space="preserve">ועוד </w:t>
      </w:r>
      <w:r w:rsidRPr="00767EAA">
        <w:rPr>
          <w:sz w:val="18"/>
          <w:szCs w:val="18"/>
          <w:rtl/>
        </w:rPr>
        <w:t>–</w:t>
      </w:r>
      <w:r w:rsidRPr="00767EAA">
        <w:rPr>
          <w:rFonts w:hint="cs"/>
          <w:sz w:val="18"/>
          <w:szCs w:val="18"/>
          <w:rtl/>
        </w:rPr>
        <w:t xml:space="preserve"> </w:t>
      </w:r>
      <w:r>
        <w:rPr>
          <w:rFonts w:hint="cs"/>
          <w:sz w:val="18"/>
          <w:szCs w:val="18"/>
          <w:vertAlign w:val="superscript"/>
          <w:rtl/>
        </w:rPr>
        <w:t>3</w:t>
      </w:r>
      <w:r w:rsidRPr="00767EAA">
        <w:rPr>
          <w:rFonts w:hint="cs"/>
          <w:sz w:val="18"/>
          <w:szCs w:val="18"/>
          <w:rtl/>
        </w:rPr>
        <w:t xml:space="preserve"> הטור</w:t>
      </w:r>
      <w:r>
        <w:rPr>
          <w:rFonts w:hint="cs"/>
          <w:sz w:val="18"/>
          <w:szCs w:val="18"/>
          <w:rtl/>
        </w:rPr>
        <w:t xml:space="preserve"> פוסק </w:t>
      </w:r>
      <w:r w:rsidRPr="00767EAA">
        <w:rPr>
          <w:rFonts w:hint="cs"/>
          <w:sz w:val="18"/>
          <w:szCs w:val="18"/>
          <w:rtl/>
        </w:rPr>
        <w:t>בסוף הסימן שאם ראתה פעמיים בראש חודש ופעם נוספת בכה' ואח</w:t>
      </w:r>
      <w:r>
        <w:rPr>
          <w:rFonts w:hint="cs"/>
          <w:sz w:val="18"/>
          <w:szCs w:val="18"/>
          <w:rtl/>
        </w:rPr>
        <w:t xml:space="preserve">ר </w:t>
      </w:r>
      <w:r w:rsidRPr="00767EAA">
        <w:rPr>
          <w:rFonts w:hint="cs"/>
          <w:sz w:val="18"/>
          <w:szCs w:val="18"/>
          <w:rtl/>
        </w:rPr>
        <w:t>כ</w:t>
      </w:r>
      <w:r>
        <w:rPr>
          <w:rFonts w:hint="cs"/>
          <w:sz w:val="18"/>
          <w:szCs w:val="18"/>
          <w:rtl/>
        </w:rPr>
        <w:t>ך</w:t>
      </w:r>
      <w:r w:rsidRPr="00767EAA">
        <w:rPr>
          <w:rFonts w:hint="cs"/>
          <w:sz w:val="18"/>
          <w:szCs w:val="18"/>
          <w:rtl/>
        </w:rPr>
        <w:t xml:space="preserve"> בא', חוששת לשניהם. </w:t>
      </w:r>
      <w:r>
        <w:rPr>
          <w:sz w:val="18"/>
          <w:szCs w:val="18"/>
          <w:rtl/>
        </w:rPr>
        <w:br/>
      </w:r>
      <w:r w:rsidRPr="00767EAA">
        <w:rPr>
          <w:rFonts w:hint="cs"/>
          <w:sz w:val="18"/>
          <w:szCs w:val="18"/>
          <w:rtl/>
        </w:rPr>
        <w:t>ואם כן כל שכן כאן שיש לחוש לשני הווסתות, שהרי ראתה רק פעמיים בא'!</w:t>
      </w:r>
      <w:r>
        <w:rPr>
          <w:rtl/>
        </w:rPr>
        <w:br/>
      </w:r>
      <w:r w:rsidRPr="00767EAA">
        <w:rPr>
          <w:rFonts w:hint="cs"/>
          <w:sz w:val="18"/>
          <w:szCs w:val="18"/>
          <w:rtl/>
        </w:rPr>
        <w:t xml:space="preserve">דוחה </w:t>
      </w:r>
      <w:r w:rsidRPr="00767EAA">
        <w:rPr>
          <w:rFonts w:hint="cs"/>
          <w:b/>
          <w:bCs/>
          <w:sz w:val="18"/>
          <w:szCs w:val="18"/>
          <w:rtl/>
        </w:rPr>
        <w:t xml:space="preserve">נקה"כ </w:t>
      </w:r>
      <w:r w:rsidRPr="00767EAA">
        <w:rPr>
          <w:sz w:val="18"/>
          <w:szCs w:val="18"/>
          <w:rtl/>
        </w:rPr>
        <w:t>–</w:t>
      </w:r>
      <w:r w:rsidRPr="00767EAA">
        <w:rPr>
          <w:rFonts w:hint="cs"/>
          <w:sz w:val="18"/>
          <w:szCs w:val="18"/>
          <w:rtl/>
        </w:rPr>
        <w:t xml:space="preserve"> התם מדובר בווסת החודש ולכן כו"ע מודים שחוששת לשני הווסתות, אך כאן הדיון הוא בווסת ההפלגה.</w:t>
      </w:r>
    </w:p>
  </w:footnote>
  <w:footnote w:id="198">
    <w:p w:rsidR="005953C5" w:rsidRPr="006C6CAF" w:rsidRDefault="005953C5" w:rsidP="00620060">
      <w:pPr>
        <w:pStyle w:val="a3"/>
        <w:rPr>
          <w:sz w:val="18"/>
          <w:szCs w:val="18"/>
        </w:rPr>
      </w:pPr>
      <w:r w:rsidRPr="006C6CAF">
        <w:rPr>
          <w:rStyle w:val="a5"/>
          <w:sz w:val="18"/>
          <w:szCs w:val="18"/>
        </w:rPr>
        <w:footnoteRef/>
      </w:r>
      <w:r w:rsidRPr="006C6CAF">
        <w:rPr>
          <w:rFonts w:hint="cs"/>
          <w:sz w:val="18"/>
          <w:szCs w:val="18"/>
          <w:rtl/>
        </w:rPr>
        <w:t xml:space="preserve"> יסוד מחלוקתם כך </w:t>
      </w:r>
      <w:r w:rsidRPr="006C6CAF">
        <w:rPr>
          <w:sz w:val="18"/>
          <w:szCs w:val="18"/>
          <w:rtl/>
        </w:rPr>
        <w:t>–</w:t>
      </w:r>
      <w:r w:rsidRPr="006C6CAF">
        <w:rPr>
          <w:rFonts w:hint="cs"/>
          <w:sz w:val="18"/>
          <w:szCs w:val="18"/>
          <w:rtl/>
        </w:rPr>
        <w:t xml:space="preserve"> נאמר במשנה נידה (סג:) "</w:t>
      </w:r>
      <w:r w:rsidRPr="006C6CAF">
        <w:rPr>
          <w:rFonts w:cs="Arial" w:hint="cs"/>
          <w:sz w:val="18"/>
          <w:szCs w:val="18"/>
          <w:rtl/>
        </w:rPr>
        <w:t>היתה</w:t>
      </w:r>
      <w:r w:rsidRPr="006C6CAF">
        <w:rPr>
          <w:rFonts w:cs="Arial"/>
          <w:sz w:val="18"/>
          <w:szCs w:val="18"/>
          <w:rtl/>
        </w:rPr>
        <w:t xml:space="preserve"> </w:t>
      </w:r>
      <w:r w:rsidRPr="006C6CAF">
        <w:rPr>
          <w:rFonts w:cs="Arial" w:hint="cs"/>
          <w:sz w:val="18"/>
          <w:szCs w:val="18"/>
          <w:rtl/>
        </w:rPr>
        <w:t>למודה</w:t>
      </w:r>
      <w:r w:rsidRPr="006C6CAF">
        <w:rPr>
          <w:rFonts w:cs="Arial"/>
          <w:sz w:val="18"/>
          <w:szCs w:val="18"/>
          <w:rtl/>
        </w:rPr>
        <w:t xml:space="preserve"> </w:t>
      </w:r>
      <w:r w:rsidRPr="006C6CAF">
        <w:rPr>
          <w:rFonts w:cs="Arial" w:hint="cs"/>
          <w:sz w:val="18"/>
          <w:szCs w:val="18"/>
          <w:rtl/>
        </w:rPr>
        <w:t>להיות</w:t>
      </w:r>
      <w:r w:rsidRPr="006C6CAF">
        <w:rPr>
          <w:rFonts w:cs="Arial"/>
          <w:sz w:val="18"/>
          <w:szCs w:val="18"/>
          <w:rtl/>
        </w:rPr>
        <w:t xml:space="preserve"> </w:t>
      </w:r>
      <w:r w:rsidRPr="006C6CAF">
        <w:rPr>
          <w:rFonts w:cs="Arial" w:hint="cs"/>
          <w:sz w:val="18"/>
          <w:szCs w:val="18"/>
          <w:rtl/>
        </w:rPr>
        <w:t>רואה</w:t>
      </w:r>
      <w:r w:rsidRPr="006C6CAF">
        <w:rPr>
          <w:rFonts w:cs="Arial"/>
          <w:sz w:val="18"/>
          <w:szCs w:val="18"/>
          <w:rtl/>
        </w:rPr>
        <w:t xml:space="preserve"> </w:t>
      </w:r>
      <w:r w:rsidRPr="006C6CAF">
        <w:rPr>
          <w:rFonts w:cs="Arial" w:hint="cs"/>
          <w:sz w:val="18"/>
          <w:szCs w:val="18"/>
          <w:rtl/>
        </w:rPr>
        <w:t>יום</w:t>
      </w:r>
      <w:r w:rsidRPr="006C6CAF">
        <w:rPr>
          <w:rFonts w:cs="Arial"/>
          <w:sz w:val="18"/>
          <w:szCs w:val="18"/>
          <w:rtl/>
        </w:rPr>
        <w:t xml:space="preserve"> </w:t>
      </w:r>
      <w:r w:rsidRPr="006C6CAF">
        <w:rPr>
          <w:rFonts w:cs="Arial" w:hint="cs"/>
          <w:sz w:val="18"/>
          <w:szCs w:val="18"/>
          <w:rtl/>
        </w:rPr>
        <w:t>ט</w:t>
      </w:r>
      <w:r w:rsidRPr="006C6CAF">
        <w:rPr>
          <w:rFonts w:cs="Arial"/>
          <w:sz w:val="18"/>
          <w:szCs w:val="18"/>
          <w:rtl/>
        </w:rPr>
        <w:t>"</w:t>
      </w:r>
      <w:r w:rsidRPr="006C6CAF">
        <w:rPr>
          <w:rFonts w:cs="Arial" w:hint="cs"/>
          <w:sz w:val="18"/>
          <w:szCs w:val="18"/>
          <w:rtl/>
        </w:rPr>
        <w:t>ו</w:t>
      </w:r>
      <w:r w:rsidRPr="006C6CAF">
        <w:rPr>
          <w:rFonts w:cs="Arial"/>
          <w:sz w:val="18"/>
          <w:szCs w:val="18"/>
          <w:rtl/>
        </w:rPr>
        <w:t xml:space="preserve"> </w:t>
      </w:r>
      <w:r w:rsidRPr="006C6CAF">
        <w:rPr>
          <w:rFonts w:cs="Arial" w:hint="cs"/>
          <w:sz w:val="18"/>
          <w:szCs w:val="18"/>
          <w:rtl/>
        </w:rPr>
        <w:t>ושינתה</w:t>
      </w:r>
      <w:r w:rsidRPr="006C6CAF">
        <w:rPr>
          <w:rFonts w:cs="Arial"/>
          <w:sz w:val="18"/>
          <w:szCs w:val="18"/>
          <w:rtl/>
        </w:rPr>
        <w:t xml:space="preserve"> </w:t>
      </w:r>
      <w:r w:rsidRPr="006C6CAF">
        <w:rPr>
          <w:rFonts w:cs="Arial" w:hint="cs"/>
          <w:sz w:val="18"/>
          <w:szCs w:val="18"/>
          <w:rtl/>
        </w:rPr>
        <w:t>להיות</w:t>
      </w:r>
      <w:r w:rsidRPr="006C6CAF">
        <w:rPr>
          <w:rFonts w:cs="Arial"/>
          <w:sz w:val="18"/>
          <w:szCs w:val="18"/>
          <w:rtl/>
        </w:rPr>
        <w:t xml:space="preserve"> </w:t>
      </w:r>
      <w:r w:rsidRPr="006C6CAF">
        <w:rPr>
          <w:rFonts w:cs="Arial" w:hint="cs"/>
          <w:sz w:val="18"/>
          <w:szCs w:val="18"/>
          <w:rtl/>
        </w:rPr>
        <w:t>רואה</w:t>
      </w:r>
      <w:r w:rsidRPr="006C6CAF">
        <w:rPr>
          <w:rFonts w:cs="Arial"/>
          <w:sz w:val="18"/>
          <w:szCs w:val="18"/>
          <w:rtl/>
        </w:rPr>
        <w:t xml:space="preserve"> </w:t>
      </w:r>
      <w:r w:rsidRPr="006C6CAF">
        <w:rPr>
          <w:rFonts w:cs="Arial" w:hint="cs"/>
          <w:sz w:val="18"/>
          <w:szCs w:val="18"/>
          <w:rtl/>
        </w:rPr>
        <w:t>ליום</w:t>
      </w:r>
      <w:r w:rsidRPr="006C6CAF">
        <w:rPr>
          <w:rFonts w:cs="Arial"/>
          <w:sz w:val="18"/>
          <w:szCs w:val="18"/>
          <w:rtl/>
        </w:rPr>
        <w:t xml:space="preserve"> </w:t>
      </w:r>
      <w:r w:rsidRPr="006C6CAF">
        <w:rPr>
          <w:rFonts w:cs="Arial" w:hint="cs"/>
          <w:sz w:val="18"/>
          <w:szCs w:val="18"/>
          <w:rtl/>
        </w:rPr>
        <w:t>כ</w:t>
      </w:r>
      <w:r w:rsidRPr="006C6CAF">
        <w:rPr>
          <w:rFonts w:cs="Arial"/>
          <w:sz w:val="18"/>
          <w:szCs w:val="18"/>
          <w:rtl/>
        </w:rPr>
        <w:t xml:space="preserve">' - </w:t>
      </w:r>
      <w:r w:rsidRPr="006C6CAF">
        <w:rPr>
          <w:rFonts w:cs="Arial" w:hint="cs"/>
          <w:sz w:val="18"/>
          <w:szCs w:val="18"/>
          <w:rtl/>
        </w:rPr>
        <w:t>זה</w:t>
      </w:r>
      <w:r w:rsidRPr="006C6CAF">
        <w:rPr>
          <w:rFonts w:cs="Arial"/>
          <w:sz w:val="18"/>
          <w:szCs w:val="18"/>
          <w:rtl/>
        </w:rPr>
        <w:t xml:space="preserve"> </w:t>
      </w:r>
      <w:r w:rsidRPr="006C6CAF">
        <w:rPr>
          <w:rFonts w:cs="Arial" w:hint="cs"/>
          <w:sz w:val="18"/>
          <w:szCs w:val="18"/>
          <w:rtl/>
        </w:rPr>
        <w:t>וזה</w:t>
      </w:r>
      <w:r w:rsidRPr="006C6CAF">
        <w:rPr>
          <w:rFonts w:cs="Arial"/>
          <w:sz w:val="18"/>
          <w:szCs w:val="18"/>
          <w:rtl/>
        </w:rPr>
        <w:t xml:space="preserve"> </w:t>
      </w:r>
      <w:r w:rsidRPr="006C6CAF">
        <w:rPr>
          <w:rFonts w:cs="Arial" w:hint="cs"/>
          <w:sz w:val="18"/>
          <w:szCs w:val="18"/>
          <w:rtl/>
        </w:rPr>
        <w:t>אסורין"</w:t>
      </w:r>
      <w:r w:rsidRPr="006C6CAF">
        <w:rPr>
          <w:rFonts w:cs="Arial"/>
          <w:sz w:val="18"/>
          <w:szCs w:val="18"/>
          <w:rtl/>
        </w:rPr>
        <w:t>.</w:t>
      </w:r>
      <w:r w:rsidRPr="006C6CAF">
        <w:rPr>
          <w:rFonts w:cs="Arial" w:hint="cs"/>
          <w:sz w:val="18"/>
          <w:szCs w:val="18"/>
          <w:rtl/>
        </w:rPr>
        <w:t xml:space="preserve"> ונחלקו אמוראים בדף לט: בהסבר החשש.</w:t>
      </w:r>
      <w:r w:rsidRPr="006C6CAF">
        <w:rPr>
          <w:rFonts w:cs="Arial"/>
          <w:sz w:val="18"/>
          <w:szCs w:val="18"/>
          <w:rtl/>
        </w:rPr>
        <w:br/>
      </w:r>
      <w:r w:rsidRPr="00595F12">
        <w:rPr>
          <w:rFonts w:cs="Arial" w:hint="cs"/>
          <w:sz w:val="18"/>
          <w:szCs w:val="18"/>
          <w:u w:val="single"/>
          <w:rtl/>
        </w:rPr>
        <w:t>רב הונא ב</w:t>
      </w:r>
      <w:r>
        <w:rPr>
          <w:rFonts w:cs="Arial" w:hint="cs"/>
          <w:sz w:val="18"/>
          <w:szCs w:val="18"/>
          <w:u w:val="single"/>
          <w:rtl/>
        </w:rPr>
        <w:t>רי</w:t>
      </w:r>
      <w:r w:rsidRPr="00595F12">
        <w:rPr>
          <w:rFonts w:cs="Arial" w:hint="cs"/>
          <w:sz w:val="18"/>
          <w:szCs w:val="18"/>
          <w:u w:val="single"/>
          <w:rtl/>
        </w:rPr>
        <w:t>ה דרב יהושע</w:t>
      </w:r>
      <w:r w:rsidRPr="006C6CAF">
        <w:rPr>
          <w:rFonts w:cs="Arial" w:hint="cs"/>
          <w:sz w:val="18"/>
          <w:szCs w:val="18"/>
          <w:rtl/>
        </w:rPr>
        <w:t xml:space="preserve"> </w:t>
      </w:r>
      <w:r w:rsidRPr="006C6CAF">
        <w:rPr>
          <w:rFonts w:cs="Arial"/>
          <w:sz w:val="18"/>
          <w:szCs w:val="18"/>
          <w:rtl/>
        </w:rPr>
        <w:t>–</w:t>
      </w:r>
      <w:r w:rsidRPr="006C6CAF">
        <w:rPr>
          <w:rFonts w:cs="Arial" w:hint="cs"/>
          <w:sz w:val="18"/>
          <w:szCs w:val="18"/>
          <w:rtl/>
        </w:rPr>
        <w:t xml:space="preserve"> החשש ליום טו' נמנה מיום כ', כלומר מראייתה האחרונה.</w:t>
      </w:r>
      <w:r w:rsidRPr="006C6CAF">
        <w:rPr>
          <w:rFonts w:cs="Arial"/>
          <w:sz w:val="18"/>
          <w:szCs w:val="18"/>
          <w:rtl/>
        </w:rPr>
        <w:br/>
      </w:r>
      <w:r w:rsidRPr="00595F12">
        <w:rPr>
          <w:rFonts w:cs="Arial" w:hint="cs"/>
          <w:sz w:val="18"/>
          <w:szCs w:val="18"/>
          <w:u w:val="single"/>
          <w:rtl/>
        </w:rPr>
        <w:t>רב פפא</w:t>
      </w:r>
      <w:r w:rsidRPr="006C6CAF">
        <w:rPr>
          <w:rFonts w:cs="Arial" w:hint="cs"/>
          <w:sz w:val="18"/>
          <w:szCs w:val="18"/>
          <w:rtl/>
        </w:rPr>
        <w:t xml:space="preserve"> </w:t>
      </w:r>
      <w:r w:rsidRPr="006C6CAF">
        <w:rPr>
          <w:rFonts w:cs="Arial"/>
          <w:sz w:val="18"/>
          <w:szCs w:val="18"/>
          <w:rtl/>
        </w:rPr>
        <w:t>–</w:t>
      </w:r>
      <w:r w:rsidRPr="006C6CAF">
        <w:rPr>
          <w:rFonts w:cs="Arial" w:hint="cs"/>
          <w:sz w:val="18"/>
          <w:szCs w:val="18"/>
          <w:rtl/>
        </w:rPr>
        <w:t xml:space="preserve"> החשש ליום טו' נמנה מיום טו' האחרון, כלומר מחמישה ימים לפני ראייתה האחרונה.</w:t>
      </w:r>
      <w:r w:rsidRPr="006C6CAF">
        <w:rPr>
          <w:sz w:val="18"/>
          <w:szCs w:val="18"/>
          <w:rtl/>
        </w:rPr>
        <w:br/>
      </w:r>
      <w:r w:rsidRPr="006C6CAF">
        <w:rPr>
          <w:rFonts w:hint="cs"/>
          <w:sz w:val="18"/>
          <w:szCs w:val="18"/>
          <w:rtl/>
        </w:rPr>
        <w:t>הטור הכריע כרב הונא, החשש אינו מהזמן בו היתה צריכה לראות אלא מראייתה האחרונה.</w:t>
      </w:r>
      <w:r w:rsidRPr="006C6CAF">
        <w:rPr>
          <w:sz w:val="18"/>
          <w:szCs w:val="18"/>
          <w:rtl/>
        </w:rPr>
        <w:br/>
      </w:r>
      <w:r w:rsidRPr="006C6CAF">
        <w:rPr>
          <w:rFonts w:hint="cs"/>
          <w:sz w:val="18"/>
          <w:szCs w:val="18"/>
          <w:rtl/>
        </w:rPr>
        <w:t xml:space="preserve">ועל פי זה טוען </w:t>
      </w:r>
      <w:r w:rsidRPr="006C6CAF">
        <w:rPr>
          <w:rFonts w:hint="cs"/>
          <w:b/>
          <w:bCs/>
          <w:sz w:val="18"/>
          <w:szCs w:val="18"/>
          <w:rtl/>
        </w:rPr>
        <w:t>הב"ח</w:t>
      </w:r>
      <w:r w:rsidRPr="006C6CAF">
        <w:rPr>
          <w:rFonts w:hint="cs"/>
          <w:sz w:val="18"/>
          <w:szCs w:val="18"/>
          <w:rtl/>
        </w:rPr>
        <w:t xml:space="preserve"> </w:t>
      </w:r>
      <w:r w:rsidRPr="006C6CAF">
        <w:rPr>
          <w:sz w:val="18"/>
          <w:szCs w:val="18"/>
          <w:rtl/>
        </w:rPr>
        <w:t>–</w:t>
      </w:r>
      <w:r w:rsidRPr="006C6CAF">
        <w:rPr>
          <w:rFonts w:hint="cs"/>
          <w:sz w:val="18"/>
          <w:szCs w:val="18"/>
          <w:rtl/>
        </w:rPr>
        <w:t xml:space="preserve"> </w:t>
      </w:r>
      <w:r>
        <w:rPr>
          <w:rFonts w:hint="cs"/>
          <w:sz w:val="18"/>
          <w:szCs w:val="18"/>
          <w:rtl/>
        </w:rPr>
        <w:t>בווסת ההפלגה יש לחוש מהראייה האחרונה.</w:t>
      </w:r>
      <w:r w:rsidRPr="006C6CAF">
        <w:rPr>
          <w:sz w:val="18"/>
          <w:szCs w:val="18"/>
          <w:rtl/>
        </w:rPr>
        <w:br/>
      </w:r>
      <w:r w:rsidRPr="006C6CAF">
        <w:rPr>
          <w:rFonts w:hint="cs"/>
          <w:sz w:val="18"/>
          <w:szCs w:val="18"/>
          <w:rtl/>
        </w:rPr>
        <w:t xml:space="preserve">דוחה </w:t>
      </w:r>
      <w:r w:rsidRPr="006C6CAF">
        <w:rPr>
          <w:rFonts w:hint="cs"/>
          <w:b/>
          <w:bCs/>
          <w:sz w:val="18"/>
          <w:szCs w:val="18"/>
          <w:rtl/>
        </w:rPr>
        <w:t>הט"ז</w:t>
      </w:r>
      <w:r>
        <w:rPr>
          <w:rFonts w:hint="cs"/>
          <w:sz w:val="18"/>
          <w:szCs w:val="18"/>
          <w:rtl/>
        </w:rPr>
        <w:t xml:space="preserve"> </w:t>
      </w:r>
      <w:r>
        <w:rPr>
          <w:sz w:val="18"/>
          <w:szCs w:val="18"/>
          <w:rtl/>
        </w:rPr>
        <w:t>–</w:t>
      </w:r>
      <w:r>
        <w:rPr>
          <w:rFonts w:hint="cs"/>
          <w:sz w:val="18"/>
          <w:szCs w:val="18"/>
          <w:rtl/>
        </w:rPr>
        <w:t xml:space="preserve"> דווקא התם הלכה כרב הונא משום שחזינן שאשה זו הרחיקה ראיותיה ואינו בדין לחוש לה שתקרב ראיותיה ולחוש לטו' מטו', אך כאן ראתה בא' אייר ושפיר חיישינן לקירוב ראיותיה וחוששת בט'.</w:t>
      </w:r>
    </w:p>
  </w:footnote>
  <w:footnote w:id="199">
    <w:p w:rsidR="005953C5" w:rsidRDefault="005953C5" w:rsidP="00620060">
      <w:pPr>
        <w:pStyle w:val="a3"/>
        <w:rPr>
          <w:rtl/>
        </w:rPr>
      </w:pPr>
      <w:r w:rsidRPr="00B360D9">
        <w:rPr>
          <w:rStyle w:val="a5"/>
          <w:sz w:val="18"/>
          <w:szCs w:val="18"/>
        </w:rPr>
        <w:footnoteRef/>
      </w:r>
      <w:r w:rsidRPr="00B360D9">
        <w:rPr>
          <w:sz w:val="18"/>
          <w:szCs w:val="18"/>
          <w:rtl/>
        </w:rPr>
        <w:t xml:space="preserve"> </w:t>
      </w:r>
      <w:r w:rsidRPr="00B360D9">
        <w:rPr>
          <w:rFonts w:hint="cs"/>
          <w:sz w:val="18"/>
          <w:szCs w:val="18"/>
          <w:rtl/>
        </w:rPr>
        <w:t xml:space="preserve">להלן דברי </w:t>
      </w:r>
      <w:r w:rsidRPr="00B360D9">
        <w:rPr>
          <w:rFonts w:hint="cs"/>
          <w:b/>
          <w:bCs/>
          <w:sz w:val="18"/>
          <w:szCs w:val="18"/>
          <w:rtl/>
        </w:rPr>
        <w:t>הרמב"ן</w:t>
      </w:r>
      <w:r w:rsidRPr="00B360D9">
        <w:rPr>
          <w:rFonts w:hint="cs"/>
          <w:sz w:val="18"/>
          <w:szCs w:val="18"/>
          <w:rtl/>
        </w:rPr>
        <w:t xml:space="preserve"> שבפירושם נחלקו </w:t>
      </w:r>
      <w:r w:rsidRPr="00B360D9">
        <w:rPr>
          <w:rFonts w:hint="cs"/>
          <w:b/>
          <w:bCs/>
          <w:sz w:val="18"/>
          <w:szCs w:val="18"/>
          <w:rtl/>
        </w:rPr>
        <w:t>הב"י והש"ך</w:t>
      </w:r>
      <w:r w:rsidRPr="00B360D9">
        <w:rPr>
          <w:rFonts w:hint="cs"/>
          <w:sz w:val="18"/>
          <w:szCs w:val="18"/>
          <w:rtl/>
        </w:rPr>
        <w:t xml:space="preserve"> - </w:t>
      </w:r>
      <w:r w:rsidRPr="00B360D9">
        <w:rPr>
          <w:sz w:val="18"/>
          <w:szCs w:val="18"/>
          <w:rtl/>
        </w:rPr>
        <w:br/>
      </w:r>
      <w:r w:rsidRPr="00B360D9">
        <w:rPr>
          <w:rFonts w:hint="cs"/>
          <w:sz w:val="18"/>
          <w:szCs w:val="18"/>
          <w:rtl/>
        </w:rPr>
        <w:t>"</w:t>
      </w:r>
      <w:r w:rsidRPr="00B360D9">
        <w:rPr>
          <w:rFonts w:cs="Arial" w:hint="cs"/>
          <w:sz w:val="18"/>
          <w:szCs w:val="18"/>
          <w:rtl/>
        </w:rPr>
        <w:t>נמצאת</w:t>
      </w:r>
      <w:r w:rsidRPr="00B360D9">
        <w:rPr>
          <w:rFonts w:cs="Arial"/>
          <w:sz w:val="18"/>
          <w:szCs w:val="18"/>
          <w:rtl/>
        </w:rPr>
        <w:t xml:space="preserve"> </w:t>
      </w:r>
      <w:r w:rsidRPr="00B360D9">
        <w:rPr>
          <w:rFonts w:cs="Arial" w:hint="cs"/>
          <w:sz w:val="18"/>
          <w:szCs w:val="18"/>
          <w:rtl/>
        </w:rPr>
        <w:t>אומר</w:t>
      </w:r>
      <w:r w:rsidRPr="00B360D9">
        <w:rPr>
          <w:rFonts w:cs="Arial"/>
          <w:sz w:val="18"/>
          <w:szCs w:val="18"/>
          <w:rtl/>
        </w:rPr>
        <w:t xml:space="preserve"> </w:t>
      </w:r>
      <w:r w:rsidRPr="00B360D9">
        <w:rPr>
          <w:rFonts w:cs="Arial" w:hint="cs"/>
          <w:sz w:val="18"/>
          <w:szCs w:val="18"/>
          <w:rtl/>
        </w:rPr>
        <w:t>שהרואה</w:t>
      </w:r>
      <w:r w:rsidRPr="00B360D9">
        <w:rPr>
          <w:rFonts w:cs="Arial"/>
          <w:sz w:val="18"/>
          <w:szCs w:val="18"/>
          <w:rtl/>
        </w:rPr>
        <w:t xml:space="preserve"> </w:t>
      </w:r>
      <w:r w:rsidRPr="00B360D9">
        <w:rPr>
          <w:rFonts w:cs="Arial" w:hint="cs"/>
          <w:sz w:val="18"/>
          <w:szCs w:val="18"/>
          <w:rtl/>
        </w:rPr>
        <w:t>ליום</w:t>
      </w:r>
      <w:r w:rsidRPr="00B360D9">
        <w:rPr>
          <w:rFonts w:cs="Arial"/>
          <w:sz w:val="18"/>
          <w:szCs w:val="18"/>
          <w:rtl/>
        </w:rPr>
        <w:t xml:space="preserve"> </w:t>
      </w:r>
      <w:r w:rsidRPr="00B360D9">
        <w:rPr>
          <w:rFonts w:cs="Arial" w:hint="cs"/>
          <w:sz w:val="18"/>
          <w:szCs w:val="18"/>
          <w:rtl/>
        </w:rPr>
        <w:t>ר</w:t>
      </w:r>
      <w:r w:rsidRPr="00B360D9">
        <w:rPr>
          <w:rFonts w:cs="Arial"/>
          <w:sz w:val="18"/>
          <w:szCs w:val="18"/>
          <w:rtl/>
        </w:rPr>
        <w:t>"</w:t>
      </w:r>
      <w:r w:rsidRPr="00B360D9">
        <w:rPr>
          <w:rFonts w:cs="Arial" w:hint="cs"/>
          <w:sz w:val="18"/>
          <w:szCs w:val="18"/>
          <w:rtl/>
        </w:rPr>
        <w:t>ח</w:t>
      </w:r>
      <w:r w:rsidRPr="00B360D9">
        <w:rPr>
          <w:rFonts w:cs="Arial"/>
          <w:sz w:val="18"/>
          <w:szCs w:val="18"/>
          <w:rtl/>
        </w:rPr>
        <w:t xml:space="preserve"> </w:t>
      </w:r>
      <w:r w:rsidRPr="00B360D9">
        <w:rPr>
          <w:rFonts w:cs="Arial" w:hint="cs"/>
          <w:sz w:val="18"/>
          <w:szCs w:val="18"/>
          <w:rtl/>
        </w:rPr>
        <w:t>ניסן</w:t>
      </w:r>
      <w:r w:rsidRPr="00B360D9">
        <w:rPr>
          <w:rFonts w:cs="Arial"/>
          <w:sz w:val="18"/>
          <w:szCs w:val="18"/>
          <w:rtl/>
        </w:rPr>
        <w:t xml:space="preserve"> </w:t>
      </w:r>
      <w:r w:rsidRPr="00B360D9">
        <w:rPr>
          <w:rFonts w:cs="Arial" w:hint="cs"/>
          <w:sz w:val="18"/>
          <w:szCs w:val="18"/>
          <w:rtl/>
        </w:rPr>
        <w:t>חוששת</w:t>
      </w:r>
      <w:r w:rsidRPr="00B360D9">
        <w:rPr>
          <w:rFonts w:cs="Arial"/>
          <w:sz w:val="18"/>
          <w:szCs w:val="18"/>
          <w:rtl/>
        </w:rPr>
        <w:t xml:space="preserve"> </w:t>
      </w:r>
      <w:r w:rsidRPr="00B360D9">
        <w:rPr>
          <w:rFonts w:cs="Arial" w:hint="cs"/>
          <w:sz w:val="18"/>
          <w:szCs w:val="18"/>
          <w:rtl/>
        </w:rPr>
        <w:t>לר</w:t>
      </w:r>
      <w:r w:rsidRPr="00B360D9">
        <w:rPr>
          <w:rFonts w:cs="Arial"/>
          <w:sz w:val="18"/>
          <w:szCs w:val="18"/>
          <w:rtl/>
        </w:rPr>
        <w:t>"</w:t>
      </w:r>
      <w:r w:rsidRPr="00B360D9">
        <w:rPr>
          <w:rFonts w:cs="Arial" w:hint="cs"/>
          <w:sz w:val="18"/>
          <w:szCs w:val="18"/>
          <w:rtl/>
        </w:rPr>
        <w:t>ח</w:t>
      </w:r>
      <w:r w:rsidRPr="00B360D9">
        <w:rPr>
          <w:rFonts w:cs="Arial"/>
          <w:sz w:val="18"/>
          <w:szCs w:val="18"/>
          <w:rtl/>
        </w:rPr>
        <w:t xml:space="preserve"> </w:t>
      </w:r>
      <w:r w:rsidRPr="00B360D9">
        <w:rPr>
          <w:rFonts w:cs="Arial" w:hint="cs"/>
          <w:sz w:val="18"/>
          <w:szCs w:val="18"/>
          <w:rtl/>
        </w:rPr>
        <w:t>אייר</w:t>
      </w:r>
      <w:r w:rsidRPr="00B360D9">
        <w:rPr>
          <w:rFonts w:cs="Arial"/>
          <w:sz w:val="18"/>
          <w:szCs w:val="18"/>
          <w:rtl/>
        </w:rPr>
        <w:t xml:space="preserve"> </w:t>
      </w:r>
      <w:r w:rsidRPr="00B360D9">
        <w:rPr>
          <w:rFonts w:cs="Arial" w:hint="cs"/>
          <w:sz w:val="18"/>
          <w:szCs w:val="18"/>
          <w:rtl/>
        </w:rPr>
        <w:t>ראתה</w:t>
      </w:r>
      <w:r w:rsidRPr="00B360D9">
        <w:rPr>
          <w:rFonts w:cs="Arial"/>
          <w:sz w:val="18"/>
          <w:szCs w:val="18"/>
          <w:rtl/>
        </w:rPr>
        <w:t xml:space="preserve"> </w:t>
      </w:r>
      <w:r w:rsidRPr="00B360D9">
        <w:rPr>
          <w:rFonts w:cs="Arial" w:hint="cs"/>
          <w:sz w:val="18"/>
          <w:szCs w:val="18"/>
          <w:rtl/>
        </w:rPr>
        <w:t>בו</w:t>
      </w:r>
      <w:r w:rsidRPr="00B360D9">
        <w:rPr>
          <w:rFonts w:cs="Arial"/>
          <w:sz w:val="18"/>
          <w:szCs w:val="18"/>
          <w:rtl/>
        </w:rPr>
        <w:t xml:space="preserve"> </w:t>
      </w:r>
      <w:r w:rsidRPr="00B360D9">
        <w:rPr>
          <w:rFonts w:cs="Arial" w:hint="cs"/>
          <w:sz w:val="18"/>
          <w:szCs w:val="18"/>
          <w:rtl/>
        </w:rPr>
        <w:t>חוששת</w:t>
      </w:r>
      <w:r w:rsidRPr="00B360D9">
        <w:rPr>
          <w:rFonts w:cs="Arial"/>
          <w:sz w:val="18"/>
          <w:szCs w:val="18"/>
          <w:rtl/>
        </w:rPr>
        <w:t xml:space="preserve"> </w:t>
      </w:r>
      <w:r w:rsidRPr="00B360D9">
        <w:rPr>
          <w:rFonts w:cs="Arial" w:hint="cs"/>
          <w:sz w:val="18"/>
          <w:szCs w:val="18"/>
          <w:rtl/>
        </w:rPr>
        <w:t>לר</w:t>
      </w:r>
      <w:r w:rsidRPr="00B360D9">
        <w:rPr>
          <w:rFonts w:cs="Arial"/>
          <w:sz w:val="18"/>
          <w:szCs w:val="18"/>
          <w:rtl/>
        </w:rPr>
        <w:t>"</w:t>
      </w:r>
      <w:r w:rsidRPr="00B360D9">
        <w:rPr>
          <w:rFonts w:cs="Arial" w:hint="cs"/>
          <w:sz w:val="18"/>
          <w:szCs w:val="18"/>
          <w:rtl/>
        </w:rPr>
        <w:t>ח</w:t>
      </w:r>
      <w:r w:rsidRPr="00B360D9">
        <w:rPr>
          <w:rFonts w:cs="Arial"/>
          <w:sz w:val="18"/>
          <w:szCs w:val="18"/>
          <w:rtl/>
        </w:rPr>
        <w:t xml:space="preserve"> </w:t>
      </w:r>
      <w:r w:rsidRPr="00B360D9">
        <w:rPr>
          <w:rFonts w:cs="Arial" w:hint="cs"/>
          <w:sz w:val="18"/>
          <w:szCs w:val="18"/>
          <w:rtl/>
        </w:rPr>
        <w:t>סיון</w:t>
      </w:r>
      <w:r w:rsidRPr="00B360D9">
        <w:rPr>
          <w:rFonts w:cs="Arial"/>
          <w:sz w:val="18"/>
          <w:szCs w:val="18"/>
          <w:rtl/>
        </w:rPr>
        <w:t xml:space="preserve"> </w:t>
      </w:r>
      <w:r w:rsidRPr="00B360D9">
        <w:rPr>
          <w:rFonts w:cs="Arial" w:hint="cs"/>
          <w:sz w:val="18"/>
          <w:szCs w:val="18"/>
          <w:rtl/>
        </w:rPr>
        <w:t>ראתה</w:t>
      </w:r>
      <w:r w:rsidRPr="00B360D9">
        <w:rPr>
          <w:rFonts w:cs="Arial"/>
          <w:sz w:val="18"/>
          <w:szCs w:val="18"/>
          <w:rtl/>
        </w:rPr>
        <w:t xml:space="preserve"> </w:t>
      </w:r>
      <w:r w:rsidRPr="00B360D9">
        <w:rPr>
          <w:rFonts w:cs="Arial" w:hint="cs"/>
          <w:sz w:val="18"/>
          <w:szCs w:val="18"/>
          <w:rtl/>
        </w:rPr>
        <w:t>בו</w:t>
      </w:r>
      <w:r w:rsidRPr="00B360D9">
        <w:rPr>
          <w:rFonts w:cs="Arial"/>
          <w:sz w:val="18"/>
          <w:szCs w:val="18"/>
          <w:rtl/>
        </w:rPr>
        <w:t xml:space="preserve"> </w:t>
      </w:r>
      <w:r w:rsidRPr="00B360D9">
        <w:rPr>
          <w:rFonts w:cs="Arial" w:hint="cs"/>
          <w:sz w:val="18"/>
          <w:szCs w:val="18"/>
          <w:rtl/>
        </w:rPr>
        <w:t>הוקבע</w:t>
      </w:r>
      <w:r w:rsidRPr="00B360D9">
        <w:rPr>
          <w:rFonts w:cs="Arial"/>
          <w:sz w:val="18"/>
          <w:szCs w:val="18"/>
          <w:rtl/>
        </w:rPr>
        <w:t xml:space="preserve"> </w:t>
      </w:r>
      <w:r w:rsidRPr="00B360D9">
        <w:rPr>
          <w:rFonts w:cs="Arial" w:hint="cs"/>
          <w:sz w:val="18"/>
          <w:szCs w:val="18"/>
          <w:rtl/>
        </w:rPr>
        <w:t>וסת</w:t>
      </w:r>
      <w:r w:rsidRPr="00B360D9">
        <w:rPr>
          <w:rFonts w:cs="Arial"/>
          <w:sz w:val="18"/>
          <w:szCs w:val="18"/>
          <w:rtl/>
        </w:rPr>
        <w:t xml:space="preserve"> </w:t>
      </w:r>
      <w:r w:rsidRPr="00B360D9">
        <w:rPr>
          <w:rFonts w:cs="Arial" w:hint="cs"/>
          <w:sz w:val="18"/>
          <w:szCs w:val="18"/>
          <w:rtl/>
        </w:rPr>
        <w:t>לראשי</w:t>
      </w:r>
      <w:r w:rsidRPr="00B360D9">
        <w:rPr>
          <w:rFonts w:cs="Arial"/>
          <w:sz w:val="18"/>
          <w:szCs w:val="18"/>
          <w:rtl/>
        </w:rPr>
        <w:t xml:space="preserve"> </w:t>
      </w:r>
      <w:r w:rsidRPr="00B360D9">
        <w:rPr>
          <w:rFonts w:cs="Arial" w:hint="cs"/>
          <w:sz w:val="18"/>
          <w:szCs w:val="18"/>
          <w:rtl/>
        </w:rPr>
        <w:t>חדשים</w:t>
      </w:r>
      <w:r w:rsidRPr="00B360D9">
        <w:rPr>
          <w:rFonts w:cs="Arial"/>
          <w:sz w:val="18"/>
          <w:szCs w:val="18"/>
          <w:rtl/>
        </w:rPr>
        <w:t xml:space="preserve"> </w:t>
      </w:r>
      <w:r w:rsidRPr="00B360D9">
        <w:rPr>
          <w:rFonts w:cs="Arial" w:hint="cs"/>
          <w:sz w:val="18"/>
          <w:szCs w:val="18"/>
          <w:rtl/>
        </w:rPr>
        <w:t>לא</w:t>
      </w:r>
      <w:r w:rsidRPr="00B360D9">
        <w:rPr>
          <w:rFonts w:cs="Arial"/>
          <w:sz w:val="18"/>
          <w:szCs w:val="18"/>
          <w:rtl/>
        </w:rPr>
        <w:t xml:space="preserve"> </w:t>
      </w:r>
      <w:r w:rsidRPr="00B360D9">
        <w:rPr>
          <w:rFonts w:cs="Arial" w:hint="cs"/>
          <w:sz w:val="18"/>
          <w:szCs w:val="18"/>
          <w:rtl/>
        </w:rPr>
        <w:t>ראתה</w:t>
      </w:r>
      <w:r w:rsidRPr="00B360D9">
        <w:rPr>
          <w:rFonts w:cs="Arial"/>
          <w:sz w:val="18"/>
          <w:szCs w:val="18"/>
          <w:rtl/>
        </w:rPr>
        <w:t xml:space="preserve"> </w:t>
      </w:r>
      <w:r w:rsidRPr="00B360D9">
        <w:rPr>
          <w:rFonts w:cs="Arial" w:hint="cs"/>
          <w:sz w:val="18"/>
          <w:szCs w:val="18"/>
          <w:rtl/>
        </w:rPr>
        <w:t>לר</w:t>
      </w:r>
      <w:r w:rsidRPr="00B360D9">
        <w:rPr>
          <w:rFonts w:cs="Arial"/>
          <w:sz w:val="18"/>
          <w:szCs w:val="18"/>
          <w:rtl/>
        </w:rPr>
        <w:t>"</w:t>
      </w:r>
      <w:r w:rsidRPr="00B360D9">
        <w:rPr>
          <w:rFonts w:cs="Arial" w:hint="cs"/>
          <w:sz w:val="18"/>
          <w:szCs w:val="18"/>
          <w:rtl/>
        </w:rPr>
        <w:t>ח</w:t>
      </w:r>
      <w:r w:rsidRPr="00B360D9">
        <w:rPr>
          <w:rFonts w:cs="Arial"/>
          <w:sz w:val="18"/>
          <w:szCs w:val="18"/>
          <w:rtl/>
        </w:rPr>
        <w:t xml:space="preserve"> </w:t>
      </w:r>
      <w:r w:rsidRPr="00B360D9">
        <w:rPr>
          <w:rFonts w:cs="Arial" w:hint="cs"/>
          <w:sz w:val="18"/>
          <w:szCs w:val="18"/>
          <w:rtl/>
        </w:rPr>
        <w:t>סיון</w:t>
      </w:r>
      <w:r w:rsidRPr="00B360D9">
        <w:rPr>
          <w:rFonts w:cs="Arial"/>
          <w:sz w:val="18"/>
          <w:szCs w:val="18"/>
          <w:rtl/>
        </w:rPr>
        <w:t xml:space="preserve"> </w:t>
      </w:r>
      <w:r w:rsidRPr="00B360D9">
        <w:rPr>
          <w:rFonts w:cs="Arial" w:hint="cs"/>
          <w:sz w:val="18"/>
          <w:szCs w:val="18"/>
          <w:rtl/>
        </w:rPr>
        <w:t>נעקר</w:t>
      </w:r>
      <w:r w:rsidRPr="00B360D9">
        <w:rPr>
          <w:rFonts w:cs="Arial"/>
          <w:sz w:val="18"/>
          <w:szCs w:val="18"/>
          <w:rtl/>
        </w:rPr>
        <w:t xml:space="preserve"> </w:t>
      </w:r>
      <w:r w:rsidRPr="00B360D9">
        <w:rPr>
          <w:rFonts w:cs="Arial" w:hint="cs"/>
          <w:sz w:val="18"/>
          <w:szCs w:val="18"/>
          <w:rtl/>
        </w:rPr>
        <w:t>וסת</w:t>
      </w:r>
      <w:r w:rsidRPr="00B360D9">
        <w:rPr>
          <w:rFonts w:cs="Arial"/>
          <w:sz w:val="18"/>
          <w:szCs w:val="18"/>
          <w:rtl/>
        </w:rPr>
        <w:t xml:space="preserve"> </w:t>
      </w:r>
      <w:r w:rsidRPr="00B360D9">
        <w:rPr>
          <w:rFonts w:cs="Arial" w:hint="cs"/>
          <w:sz w:val="18"/>
          <w:szCs w:val="18"/>
          <w:rtl/>
        </w:rPr>
        <w:t>של</w:t>
      </w:r>
      <w:r w:rsidRPr="00B360D9">
        <w:rPr>
          <w:rFonts w:cs="Arial"/>
          <w:sz w:val="18"/>
          <w:szCs w:val="18"/>
          <w:rtl/>
        </w:rPr>
        <w:t xml:space="preserve"> </w:t>
      </w:r>
      <w:r w:rsidRPr="00B360D9">
        <w:rPr>
          <w:rFonts w:cs="Arial" w:hint="cs"/>
          <w:sz w:val="18"/>
          <w:szCs w:val="18"/>
          <w:rtl/>
        </w:rPr>
        <w:t>ר</w:t>
      </w:r>
      <w:r w:rsidRPr="00B360D9">
        <w:rPr>
          <w:rFonts w:cs="Arial"/>
          <w:sz w:val="18"/>
          <w:szCs w:val="18"/>
          <w:rtl/>
        </w:rPr>
        <w:t>"</w:t>
      </w:r>
      <w:r w:rsidRPr="00B360D9">
        <w:rPr>
          <w:rFonts w:cs="Arial" w:hint="cs"/>
          <w:sz w:val="18"/>
          <w:szCs w:val="18"/>
          <w:rtl/>
        </w:rPr>
        <w:t>ח</w:t>
      </w:r>
      <w:r w:rsidRPr="00B360D9">
        <w:rPr>
          <w:rFonts w:cs="Arial"/>
          <w:sz w:val="18"/>
          <w:szCs w:val="18"/>
          <w:rtl/>
        </w:rPr>
        <w:t xml:space="preserve"> </w:t>
      </w:r>
      <w:r w:rsidRPr="00B360D9">
        <w:rPr>
          <w:rFonts w:cs="Arial" w:hint="cs"/>
          <w:sz w:val="18"/>
          <w:szCs w:val="18"/>
          <w:rtl/>
        </w:rPr>
        <w:t>וחוששת</w:t>
      </w:r>
      <w:r w:rsidRPr="00B360D9">
        <w:rPr>
          <w:rFonts w:cs="Arial"/>
          <w:sz w:val="18"/>
          <w:szCs w:val="18"/>
          <w:rtl/>
        </w:rPr>
        <w:t xml:space="preserve"> </w:t>
      </w:r>
      <w:r w:rsidRPr="00B360D9">
        <w:rPr>
          <w:rFonts w:cs="Arial" w:hint="cs"/>
          <w:sz w:val="18"/>
          <w:szCs w:val="18"/>
          <w:rtl/>
        </w:rPr>
        <w:t>לשני</w:t>
      </w:r>
      <w:r w:rsidRPr="00B360D9">
        <w:rPr>
          <w:rFonts w:cs="Arial"/>
          <w:sz w:val="18"/>
          <w:szCs w:val="18"/>
          <w:rtl/>
        </w:rPr>
        <w:t xml:space="preserve"> </w:t>
      </w:r>
      <w:r w:rsidRPr="00B360D9">
        <w:rPr>
          <w:rFonts w:cs="Arial" w:hint="cs"/>
          <w:sz w:val="18"/>
          <w:szCs w:val="18"/>
          <w:rtl/>
        </w:rPr>
        <w:t>בסיון</w:t>
      </w:r>
      <w:r w:rsidRPr="00B360D9">
        <w:rPr>
          <w:rFonts w:cs="Arial"/>
          <w:sz w:val="18"/>
          <w:szCs w:val="18"/>
          <w:rtl/>
        </w:rPr>
        <w:t xml:space="preserve"> </w:t>
      </w:r>
      <w:r w:rsidRPr="00B360D9">
        <w:rPr>
          <w:rFonts w:cs="Arial" w:hint="cs"/>
          <w:sz w:val="18"/>
          <w:szCs w:val="18"/>
          <w:rtl/>
        </w:rPr>
        <w:t>אפשר</w:t>
      </w:r>
      <w:r w:rsidRPr="00B360D9">
        <w:rPr>
          <w:rFonts w:cs="Arial"/>
          <w:sz w:val="18"/>
          <w:szCs w:val="18"/>
          <w:rtl/>
        </w:rPr>
        <w:t xml:space="preserve"> </w:t>
      </w:r>
      <w:r w:rsidRPr="00B360D9">
        <w:rPr>
          <w:rFonts w:cs="Arial" w:hint="cs"/>
          <w:sz w:val="18"/>
          <w:szCs w:val="18"/>
          <w:rtl/>
        </w:rPr>
        <w:t>שתראה</w:t>
      </w:r>
      <w:r w:rsidRPr="00B360D9">
        <w:rPr>
          <w:rFonts w:cs="Arial"/>
          <w:sz w:val="18"/>
          <w:szCs w:val="18"/>
          <w:rtl/>
        </w:rPr>
        <w:t xml:space="preserve"> </w:t>
      </w:r>
      <w:r w:rsidRPr="00B360D9">
        <w:rPr>
          <w:rFonts w:cs="Arial" w:hint="cs"/>
          <w:sz w:val="18"/>
          <w:szCs w:val="18"/>
          <w:rtl/>
        </w:rPr>
        <w:t>ותקבע</w:t>
      </w:r>
      <w:r w:rsidRPr="00B360D9">
        <w:rPr>
          <w:rFonts w:cs="Arial"/>
          <w:sz w:val="18"/>
          <w:szCs w:val="18"/>
          <w:rtl/>
        </w:rPr>
        <w:t xml:space="preserve"> </w:t>
      </w:r>
      <w:r w:rsidRPr="00B360D9">
        <w:rPr>
          <w:rFonts w:cs="Arial" w:hint="cs"/>
          <w:sz w:val="18"/>
          <w:szCs w:val="18"/>
          <w:rtl/>
        </w:rPr>
        <w:t>וסת</w:t>
      </w:r>
      <w:r w:rsidRPr="00B360D9">
        <w:rPr>
          <w:rFonts w:cs="Arial"/>
          <w:sz w:val="18"/>
          <w:szCs w:val="18"/>
          <w:rtl/>
        </w:rPr>
        <w:t xml:space="preserve"> </w:t>
      </w:r>
      <w:r w:rsidRPr="00B360D9">
        <w:rPr>
          <w:rFonts w:cs="Arial" w:hint="cs"/>
          <w:sz w:val="18"/>
          <w:szCs w:val="18"/>
          <w:rtl/>
        </w:rPr>
        <w:t>להפלגה</w:t>
      </w:r>
      <w:r w:rsidRPr="00B360D9">
        <w:rPr>
          <w:rFonts w:cs="Arial"/>
          <w:sz w:val="18"/>
          <w:szCs w:val="18"/>
          <w:rtl/>
        </w:rPr>
        <w:t xml:space="preserve"> </w:t>
      </w:r>
      <w:r w:rsidRPr="00B360D9">
        <w:rPr>
          <w:rFonts w:cs="Arial" w:hint="cs"/>
          <w:sz w:val="18"/>
          <w:szCs w:val="18"/>
          <w:rtl/>
        </w:rPr>
        <w:t>מל</w:t>
      </w:r>
      <w:r w:rsidRPr="00B360D9">
        <w:rPr>
          <w:rFonts w:cs="Arial"/>
          <w:sz w:val="18"/>
          <w:szCs w:val="18"/>
          <w:rtl/>
        </w:rPr>
        <w:t>"</w:t>
      </w:r>
      <w:r w:rsidRPr="00B360D9">
        <w:rPr>
          <w:rFonts w:cs="Arial" w:hint="cs"/>
          <w:sz w:val="18"/>
          <w:szCs w:val="18"/>
          <w:rtl/>
        </w:rPr>
        <w:t>א</w:t>
      </w:r>
      <w:r w:rsidRPr="00B360D9">
        <w:rPr>
          <w:rFonts w:cs="Arial"/>
          <w:sz w:val="18"/>
          <w:szCs w:val="18"/>
          <w:rtl/>
        </w:rPr>
        <w:t xml:space="preserve"> </w:t>
      </w:r>
      <w:r w:rsidRPr="00B360D9">
        <w:rPr>
          <w:rFonts w:cs="Arial" w:hint="cs"/>
          <w:sz w:val="18"/>
          <w:szCs w:val="18"/>
          <w:rtl/>
        </w:rPr>
        <w:t>לל</w:t>
      </w:r>
      <w:r w:rsidRPr="00B360D9">
        <w:rPr>
          <w:rFonts w:cs="Arial"/>
          <w:sz w:val="18"/>
          <w:szCs w:val="18"/>
          <w:rtl/>
        </w:rPr>
        <w:t>"</w:t>
      </w:r>
      <w:r w:rsidRPr="00B360D9">
        <w:rPr>
          <w:rFonts w:cs="Arial" w:hint="cs"/>
          <w:sz w:val="18"/>
          <w:szCs w:val="18"/>
          <w:rtl/>
        </w:rPr>
        <w:t>א</w:t>
      </w:r>
      <w:r w:rsidRPr="00B360D9">
        <w:rPr>
          <w:rFonts w:cs="Arial"/>
          <w:sz w:val="18"/>
          <w:szCs w:val="18"/>
          <w:rtl/>
        </w:rPr>
        <w:t xml:space="preserve"> </w:t>
      </w:r>
      <w:r w:rsidRPr="00B360D9">
        <w:rPr>
          <w:rFonts w:cs="Arial" w:hint="cs"/>
          <w:sz w:val="18"/>
          <w:szCs w:val="18"/>
          <w:rtl/>
        </w:rPr>
        <w:t>שהרי</w:t>
      </w:r>
      <w:r w:rsidRPr="00B360D9">
        <w:rPr>
          <w:rFonts w:cs="Arial"/>
          <w:sz w:val="18"/>
          <w:szCs w:val="18"/>
          <w:rtl/>
        </w:rPr>
        <w:t xml:space="preserve"> </w:t>
      </w:r>
      <w:r w:rsidRPr="00B360D9">
        <w:rPr>
          <w:rFonts w:cs="Arial" w:hint="cs"/>
          <w:sz w:val="18"/>
          <w:szCs w:val="18"/>
          <w:rtl/>
        </w:rPr>
        <w:t>ראיית</w:t>
      </w:r>
      <w:r w:rsidRPr="00B360D9">
        <w:rPr>
          <w:rFonts w:cs="Arial"/>
          <w:sz w:val="18"/>
          <w:szCs w:val="18"/>
          <w:rtl/>
        </w:rPr>
        <w:t xml:space="preserve"> </w:t>
      </w:r>
      <w:r w:rsidRPr="00B360D9">
        <w:rPr>
          <w:rFonts w:cs="Arial" w:hint="cs"/>
          <w:sz w:val="18"/>
          <w:szCs w:val="18"/>
          <w:rtl/>
        </w:rPr>
        <w:t>ר</w:t>
      </w:r>
      <w:r w:rsidRPr="00B360D9">
        <w:rPr>
          <w:rFonts w:cs="Arial"/>
          <w:sz w:val="18"/>
          <w:szCs w:val="18"/>
          <w:rtl/>
        </w:rPr>
        <w:t>"</w:t>
      </w:r>
      <w:r w:rsidRPr="00B360D9">
        <w:rPr>
          <w:rFonts w:cs="Arial" w:hint="cs"/>
          <w:sz w:val="18"/>
          <w:szCs w:val="18"/>
          <w:rtl/>
        </w:rPr>
        <w:t>ח</w:t>
      </w:r>
      <w:r w:rsidRPr="00B360D9">
        <w:rPr>
          <w:rFonts w:cs="Arial"/>
          <w:sz w:val="18"/>
          <w:szCs w:val="18"/>
          <w:rtl/>
        </w:rPr>
        <w:t xml:space="preserve"> </w:t>
      </w:r>
      <w:r w:rsidRPr="00B360D9">
        <w:rPr>
          <w:rFonts w:cs="Arial" w:hint="cs"/>
          <w:sz w:val="18"/>
          <w:szCs w:val="18"/>
          <w:rtl/>
        </w:rPr>
        <w:t>ניסן</w:t>
      </w:r>
      <w:r w:rsidRPr="00B360D9">
        <w:rPr>
          <w:rFonts w:cs="Arial"/>
          <w:sz w:val="18"/>
          <w:szCs w:val="18"/>
          <w:rtl/>
        </w:rPr>
        <w:t xml:space="preserve"> </w:t>
      </w:r>
      <w:r w:rsidRPr="00B360D9">
        <w:rPr>
          <w:rFonts w:cs="Arial" w:hint="cs"/>
          <w:sz w:val="18"/>
          <w:szCs w:val="18"/>
          <w:rtl/>
        </w:rPr>
        <w:t>ואייר</w:t>
      </w:r>
      <w:r w:rsidRPr="00B360D9">
        <w:rPr>
          <w:rFonts w:cs="Arial"/>
          <w:sz w:val="18"/>
          <w:szCs w:val="18"/>
          <w:rtl/>
        </w:rPr>
        <w:t xml:space="preserve"> </w:t>
      </w:r>
      <w:r w:rsidRPr="00B360D9">
        <w:rPr>
          <w:rFonts w:cs="Arial" w:hint="cs"/>
          <w:sz w:val="18"/>
          <w:szCs w:val="18"/>
          <w:rtl/>
        </w:rPr>
        <w:t>שוות</w:t>
      </w:r>
      <w:r w:rsidRPr="00B360D9">
        <w:rPr>
          <w:rFonts w:cs="Arial"/>
          <w:sz w:val="18"/>
          <w:szCs w:val="18"/>
          <w:rtl/>
        </w:rPr>
        <w:t xml:space="preserve"> </w:t>
      </w:r>
      <w:r w:rsidRPr="00B360D9">
        <w:rPr>
          <w:rFonts w:cs="Arial" w:hint="cs"/>
          <w:sz w:val="18"/>
          <w:szCs w:val="18"/>
          <w:rtl/>
        </w:rPr>
        <w:t>בהפלגה</w:t>
      </w:r>
      <w:r w:rsidRPr="00B360D9">
        <w:rPr>
          <w:rFonts w:cs="Arial"/>
          <w:sz w:val="18"/>
          <w:szCs w:val="18"/>
          <w:rtl/>
        </w:rPr>
        <w:t xml:space="preserve"> </w:t>
      </w:r>
      <w:r w:rsidRPr="00B360D9">
        <w:rPr>
          <w:rFonts w:cs="Arial" w:hint="cs"/>
          <w:sz w:val="18"/>
          <w:szCs w:val="18"/>
          <w:rtl/>
        </w:rPr>
        <w:t>לראיית</w:t>
      </w:r>
      <w:r w:rsidRPr="00B360D9">
        <w:rPr>
          <w:rFonts w:cs="Arial"/>
          <w:sz w:val="18"/>
          <w:szCs w:val="18"/>
          <w:rtl/>
        </w:rPr>
        <w:t xml:space="preserve"> </w:t>
      </w:r>
      <w:r w:rsidRPr="00B360D9">
        <w:rPr>
          <w:rFonts w:cs="Arial" w:hint="cs"/>
          <w:sz w:val="18"/>
          <w:szCs w:val="18"/>
          <w:rtl/>
        </w:rPr>
        <w:t>ב</w:t>
      </w:r>
      <w:r w:rsidRPr="00B360D9">
        <w:rPr>
          <w:rFonts w:cs="Arial"/>
          <w:sz w:val="18"/>
          <w:szCs w:val="18"/>
          <w:rtl/>
        </w:rPr>
        <w:t xml:space="preserve">' </w:t>
      </w:r>
      <w:r w:rsidRPr="00B360D9">
        <w:rPr>
          <w:rFonts w:cs="Arial" w:hint="cs"/>
          <w:sz w:val="18"/>
          <w:szCs w:val="18"/>
          <w:rtl/>
        </w:rPr>
        <w:t>בסיון</w:t>
      </w:r>
      <w:r w:rsidRPr="00B360D9">
        <w:rPr>
          <w:rFonts w:cs="Arial"/>
          <w:sz w:val="18"/>
          <w:szCs w:val="18"/>
          <w:rtl/>
        </w:rPr>
        <w:t xml:space="preserve"> </w:t>
      </w:r>
      <w:r w:rsidRPr="00B360D9">
        <w:rPr>
          <w:rFonts w:cs="Arial" w:hint="cs"/>
          <w:sz w:val="18"/>
          <w:szCs w:val="18"/>
          <w:rtl/>
        </w:rPr>
        <w:t>שניסן</w:t>
      </w:r>
      <w:r w:rsidRPr="00B360D9">
        <w:rPr>
          <w:rFonts w:cs="Arial"/>
          <w:sz w:val="18"/>
          <w:szCs w:val="18"/>
          <w:rtl/>
        </w:rPr>
        <w:t xml:space="preserve"> </w:t>
      </w:r>
      <w:r w:rsidRPr="00B360D9">
        <w:rPr>
          <w:rFonts w:cs="Arial" w:hint="cs"/>
          <w:sz w:val="18"/>
          <w:szCs w:val="18"/>
          <w:rtl/>
        </w:rPr>
        <w:t>מלא</w:t>
      </w:r>
      <w:r w:rsidRPr="00B360D9">
        <w:rPr>
          <w:rFonts w:cs="Arial"/>
          <w:sz w:val="18"/>
          <w:szCs w:val="18"/>
          <w:rtl/>
        </w:rPr>
        <w:t xml:space="preserve"> </w:t>
      </w:r>
      <w:r w:rsidRPr="00B360D9">
        <w:rPr>
          <w:rFonts w:cs="Arial" w:hint="cs"/>
          <w:sz w:val="18"/>
          <w:szCs w:val="18"/>
          <w:rtl/>
        </w:rPr>
        <w:t>ואייר</w:t>
      </w:r>
      <w:r w:rsidRPr="00B360D9">
        <w:rPr>
          <w:rFonts w:cs="Arial"/>
          <w:sz w:val="18"/>
          <w:szCs w:val="18"/>
          <w:rtl/>
        </w:rPr>
        <w:t xml:space="preserve"> </w:t>
      </w:r>
      <w:r w:rsidRPr="00B360D9">
        <w:rPr>
          <w:rFonts w:cs="Arial" w:hint="cs"/>
          <w:sz w:val="18"/>
          <w:szCs w:val="18"/>
          <w:rtl/>
        </w:rPr>
        <w:t>חסר".</w:t>
      </w:r>
      <w:r w:rsidRPr="00B360D9">
        <w:rPr>
          <w:sz w:val="18"/>
          <w:szCs w:val="18"/>
          <w:rtl/>
        </w:rPr>
        <w:br/>
      </w:r>
      <w:r w:rsidRPr="00B360D9">
        <w:rPr>
          <w:rFonts w:hint="cs"/>
          <w:b/>
          <w:bCs/>
          <w:sz w:val="18"/>
          <w:szCs w:val="18"/>
          <w:rtl/>
        </w:rPr>
        <w:t>ב"י</w:t>
      </w:r>
      <w:r w:rsidRPr="00B360D9">
        <w:rPr>
          <w:rFonts w:hint="cs"/>
          <w:sz w:val="18"/>
          <w:szCs w:val="18"/>
          <w:rtl/>
        </w:rPr>
        <w:t xml:space="preserve"> </w:t>
      </w:r>
      <w:r w:rsidRPr="00B360D9">
        <w:rPr>
          <w:sz w:val="18"/>
          <w:szCs w:val="18"/>
          <w:rtl/>
        </w:rPr>
        <w:t>–</w:t>
      </w:r>
      <w:r w:rsidRPr="00B360D9">
        <w:rPr>
          <w:rFonts w:hint="cs"/>
          <w:sz w:val="18"/>
          <w:szCs w:val="18"/>
          <w:rtl/>
        </w:rPr>
        <w:t xml:space="preserve"> החשש שכתב הרמב"ן לווסת הפלגת לא</w:t>
      </w:r>
      <w:r>
        <w:rPr>
          <w:rFonts w:hint="cs"/>
          <w:sz w:val="18"/>
          <w:szCs w:val="18"/>
          <w:rtl/>
        </w:rPr>
        <w:t>'</w:t>
      </w:r>
      <w:r w:rsidRPr="00B360D9">
        <w:rPr>
          <w:rFonts w:hint="cs"/>
          <w:sz w:val="18"/>
          <w:szCs w:val="18"/>
          <w:rtl/>
        </w:rPr>
        <w:t xml:space="preserve"> אינו החשש היחיד, מכיוון שיש לחוש גם ליום ל' לראייתה.</w:t>
      </w:r>
      <w:r w:rsidRPr="00B360D9">
        <w:rPr>
          <w:sz w:val="18"/>
          <w:szCs w:val="18"/>
          <w:rtl/>
        </w:rPr>
        <w:br/>
      </w:r>
      <w:r w:rsidRPr="00B360D9">
        <w:rPr>
          <w:rFonts w:hint="cs"/>
          <w:sz w:val="18"/>
          <w:szCs w:val="18"/>
          <w:rtl/>
        </w:rPr>
        <w:t xml:space="preserve">וכן כתב </w:t>
      </w:r>
      <w:r w:rsidRPr="00B360D9">
        <w:rPr>
          <w:rFonts w:hint="cs"/>
          <w:b/>
          <w:bCs/>
          <w:sz w:val="18"/>
          <w:szCs w:val="18"/>
          <w:rtl/>
        </w:rPr>
        <w:t>הב"ח</w:t>
      </w:r>
      <w:r w:rsidRPr="00B360D9">
        <w:rPr>
          <w:rFonts w:hint="cs"/>
          <w:sz w:val="18"/>
          <w:szCs w:val="18"/>
          <w:rtl/>
        </w:rPr>
        <w:t>, שיש לה לחוש גם לל' ניסן מפני עונה בינונית שהיא לל' יום מראייתה.</w:t>
      </w:r>
      <w:r w:rsidRPr="00B360D9">
        <w:rPr>
          <w:sz w:val="18"/>
          <w:szCs w:val="18"/>
          <w:rtl/>
        </w:rPr>
        <w:br/>
      </w:r>
      <w:r w:rsidRPr="00B360D9">
        <w:rPr>
          <w:rFonts w:hint="cs"/>
          <w:b/>
          <w:bCs/>
          <w:sz w:val="18"/>
          <w:szCs w:val="18"/>
          <w:rtl/>
        </w:rPr>
        <w:t>ש"ך</w:t>
      </w:r>
      <w:r w:rsidRPr="00B360D9">
        <w:rPr>
          <w:rFonts w:hint="cs"/>
          <w:sz w:val="18"/>
          <w:szCs w:val="18"/>
          <w:rtl/>
        </w:rPr>
        <w:t xml:space="preserve"> </w:t>
      </w:r>
      <w:r w:rsidRPr="00B360D9">
        <w:rPr>
          <w:sz w:val="18"/>
          <w:szCs w:val="18"/>
          <w:rtl/>
        </w:rPr>
        <w:t>–</w:t>
      </w:r>
      <w:r w:rsidRPr="00B360D9">
        <w:rPr>
          <w:rFonts w:hint="cs"/>
          <w:sz w:val="18"/>
          <w:szCs w:val="18"/>
          <w:rtl/>
        </w:rPr>
        <w:t xml:space="preserve"> קשה לומר כן, שאם כן נמצא</w:t>
      </w:r>
      <w:r>
        <w:rPr>
          <w:rFonts w:hint="cs"/>
          <w:sz w:val="18"/>
          <w:szCs w:val="18"/>
          <w:rtl/>
        </w:rPr>
        <w:t>ו</w:t>
      </w:r>
      <w:r w:rsidRPr="00B360D9">
        <w:rPr>
          <w:rFonts w:hint="cs"/>
          <w:sz w:val="18"/>
          <w:szCs w:val="18"/>
          <w:rtl/>
        </w:rPr>
        <w:t xml:space="preserve"> </w:t>
      </w:r>
      <w:r w:rsidRPr="00B360D9">
        <w:rPr>
          <w:rFonts w:hint="cs"/>
          <w:b/>
          <w:bCs/>
          <w:sz w:val="18"/>
          <w:szCs w:val="18"/>
          <w:rtl/>
        </w:rPr>
        <w:t>הרמב"ן והרמ"א</w:t>
      </w:r>
      <w:r w:rsidRPr="00B360D9">
        <w:rPr>
          <w:rFonts w:hint="cs"/>
          <w:sz w:val="18"/>
          <w:szCs w:val="18"/>
          <w:rtl/>
        </w:rPr>
        <w:t xml:space="preserve"> שבאו לפרש את </w:t>
      </w:r>
      <w:r w:rsidRPr="00B360D9">
        <w:rPr>
          <w:rFonts w:hint="cs"/>
          <w:sz w:val="18"/>
          <w:szCs w:val="18"/>
          <w:u w:val="single"/>
          <w:rtl/>
        </w:rPr>
        <w:t>כל</w:t>
      </w:r>
      <w:r w:rsidRPr="00B360D9">
        <w:rPr>
          <w:rFonts w:hint="cs"/>
          <w:sz w:val="18"/>
          <w:szCs w:val="18"/>
          <w:rtl/>
        </w:rPr>
        <w:t xml:space="preserve"> החששות באשה זאת השמיטו דין זה!</w:t>
      </w:r>
      <w:r w:rsidRPr="00B360D9">
        <w:rPr>
          <w:sz w:val="18"/>
          <w:szCs w:val="18"/>
          <w:rtl/>
        </w:rPr>
        <w:br/>
      </w:r>
      <w:r w:rsidRPr="00B360D9">
        <w:rPr>
          <w:rFonts w:hint="cs"/>
          <w:sz w:val="18"/>
          <w:szCs w:val="18"/>
          <w:rtl/>
        </w:rPr>
        <w:t>אלא על כרחך יום עונה בינונית הוא יום החודש</w:t>
      </w:r>
      <w:r>
        <w:rPr>
          <w:rFonts w:hint="cs"/>
          <w:sz w:val="18"/>
          <w:szCs w:val="18"/>
          <w:rtl/>
        </w:rPr>
        <w:t xml:space="preserve">, ודין יום החודש כתבו </w:t>
      </w:r>
      <w:r w:rsidRPr="00970B91">
        <w:rPr>
          <w:rFonts w:hint="cs"/>
          <w:b/>
          <w:bCs/>
          <w:sz w:val="18"/>
          <w:szCs w:val="18"/>
          <w:rtl/>
        </w:rPr>
        <w:t>הרמב"ן והרמ"א</w:t>
      </w:r>
      <w:r>
        <w:rPr>
          <w:rFonts w:hint="cs"/>
          <w:sz w:val="18"/>
          <w:szCs w:val="18"/>
          <w:rtl/>
        </w:rPr>
        <w:t xml:space="preserve"> להדיא</w:t>
      </w:r>
      <w:r w:rsidRPr="00B360D9">
        <w:rPr>
          <w:rFonts w:hint="cs"/>
          <w:sz w:val="18"/>
          <w:szCs w:val="18"/>
          <w:rtl/>
        </w:rPr>
        <w:t>.</w:t>
      </w:r>
      <w:r w:rsidRPr="00B360D9">
        <w:rPr>
          <w:sz w:val="18"/>
          <w:szCs w:val="18"/>
          <w:rtl/>
        </w:rPr>
        <w:br/>
      </w:r>
      <w:r w:rsidRPr="00B360D9">
        <w:rPr>
          <w:rFonts w:hint="cs"/>
          <w:sz w:val="18"/>
          <w:szCs w:val="18"/>
          <w:rtl/>
        </w:rPr>
        <w:t xml:space="preserve">ועוד יקשה על שיטות האחרונים </w:t>
      </w:r>
      <w:r w:rsidRPr="00B360D9">
        <w:rPr>
          <w:sz w:val="18"/>
          <w:szCs w:val="18"/>
          <w:rtl/>
        </w:rPr>
        <w:t>–</w:t>
      </w:r>
      <w:r w:rsidRPr="00B360D9">
        <w:rPr>
          <w:rFonts w:hint="cs"/>
          <w:sz w:val="18"/>
          <w:szCs w:val="18"/>
          <w:rtl/>
        </w:rPr>
        <w:t xml:space="preserve"> החשש ליום ל' הוא משום שסתם נשים דרכן לראות לל'. מאידך, מסתבר שהחשש ליום החודש הוא משום שכך דרך אשה זו לראות ביום החודש הזה. ואם כן, קשיא סתמא אסתמא, מצד אחד סתמא לראות ביום ל' ומצד שני דרכה לראות למחרת ביום החודש</w:t>
      </w:r>
      <w:r w:rsidRPr="00B360D9">
        <w:rPr>
          <w:rFonts w:hint="cs"/>
          <w:sz w:val="16"/>
          <w:szCs w:val="16"/>
          <w:rtl/>
        </w:rPr>
        <w:t xml:space="preserve"> (מדובר בחודש מלא, משום שבחודש חסר ליכא פלוגתא בין הש"ך לב"י, שהרי יום ל' הוא גם יום החודש)</w:t>
      </w:r>
      <w:r w:rsidRPr="00B360D9">
        <w:rPr>
          <w:rFonts w:hint="cs"/>
          <w:sz w:val="18"/>
          <w:szCs w:val="18"/>
          <w:rtl/>
        </w:rPr>
        <w:t>!</w:t>
      </w:r>
      <w:r>
        <w:rPr>
          <w:rtl/>
        </w:rPr>
        <w:br/>
      </w:r>
      <w:r w:rsidRPr="00A123D1">
        <w:rPr>
          <w:rFonts w:hint="cs"/>
          <w:sz w:val="18"/>
          <w:szCs w:val="18"/>
          <w:rtl/>
        </w:rPr>
        <w:t>עוד יש להוכיח זאת מכך שהפוסקים כתבו שג' עונות הם צ' יום, ואילו לשיטת הב"י וסיעתו ג' עונות הם צח' יום.</w:t>
      </w:r>
      <w:r w:rsidRPr="00A123D1">
        <w:rPr>
          <w:sz w:val="18"/>
          <w:szCs w:val="18"/>
          <w:rtl/>
        </w:rPr>
        <w:br/>
      </w:r>
      <w:r w:rsidRPr="00931D53">
        <w:rPr>
          <w:rFonts w:hint="cs"/>
          <w:sz w:val="18"/>
          <w:szCs w:val="18"/>
          <w:u w:val="single"/>
          <w:rtl/>
        </w:rPr>
        <w:t>לסיכום</w:t>
      </w:r>
      <w:r w:rsidRPr="00931D53">
        <w:rPr>
          <w:rFonts w:hint="cs"/>
          <w:sz w:val="18"/>
          <w:szCs w:val="18"/>
          <w:rtl/>
        </w:rPr>
        <w:t xml:space="preserve"> </w:t>
      </w:r>
      <w:r w:rsidRPr="00931D53">
        <w:rPr>
          <w:sz w:val="18"/>
          <w:szCs w:val="18"/>
          <w:rtl/>
        </w:rPr>
        <w:t>–</w:t>
      </w:r>
      <w:r w:rsidRPr="00931D53">
        <w:rPr>
          <w:rFonts w:hint="cs"/>
          <w:sz w:val="18"/>
          <w:szCs w:val="18"/>
          <w:rtl/>
        </w:rPr>
        <w:t xml:space="preserve"> יום</w:t>
      </w:r>
      <w:r w:rsidRPr="002B43B4">
        <w:rPr>
          <w:rFonts w:hint="cs"/>
          <w:sz w:val="18"/>
          <w:szCs w:val="18"/>
          <w:rtl/>
        </w:rPr>
        <w:t xml:space="preserve"> ל' הוא לאו דווקא, משום שבחודש חסר עונה בינונית היא לכט' יום, רק בחודש מלא החשש הוא לל' יום. </w:t>
      </w:r>
      <w:r>
        <w:rPr>
          <w:sz w:val="18"/>
          <w:szCs w:val="18"/>
          <w:rtl/>
        </w:rPr>
        <w:br/>
      </w:r>
      <w:r w:rsidRPr="002B43B4">
        <w:rPr>
          <w:rFonts w:hint="cs"/>
          <w:sz w:val="18"/>
          <w:szCs w:val="18"/>
          <w:rtl/>
        </w:rPr>
        <w:t>ומה שהראשונים כתבו באופן סתמי שעונה בינונית היא ל' יום, הוא משום שסתם חודש מלא.</w:t>
      </w:r>
    </w:p>
  </w:footnote>
  <w:footnote w:id="200">
    <w:p w:rsidR="005953C5" w:rsidRDefault="005953C5" w:rsidP="00620060">
      <w:pPr>
        <w:pStyle w:val="a3"/>
        <w:rPr>
          <w:rtl/>
        </w:rPr>
      </w:pPr>
      <w:r w:rsidRPr="00C41E57">
        <w:rPr>
          <w:rStyle w:val="a5"/>
          <w:sz w:val="18"/>
          <w:szCs w:val="18"/>
        </w:rPr>
        <w:footnoteRef/>
      </w:r>
      <w:r w:rsidRPr="00C41E57">
        <w:rPr>
          <w:sz w:val="18"/>
          <w:szCs w:val="18"/>
          <w:rtl/>
        </w:rPr>
        <w:t xml:space="preserve"> </w:t>
      </w:r>
      <w:r w:rsidRPr="00C41E57">
        <w:rPr>
          <w:rFonts w:hint="cs"/>
          <w:sz w:val="18"/>
          <w:szCs w:val="18"/>
          <w:rtl/>
        </w:rPr>
        <w:t>למעשה, מחלוקתם נאמרה רק בחודש מלא, משום שבחודש חסר יום ל' הוא גם יום החודש.</w:t>
      </w:r>
    </w:p>
  </w:footnote>
  <w:footnote w:id="201">
    <w:p w:rsidR="005953C5" w:rsidRDefault="005953C5" w:rsidP="00620060">
      <w:pPr>
        <w:pStyle w:val="a3"/>
      </w:pPr>
      <w:r w:rsidRPr="00D7446B">
        <w:rPr>
          <w:rStyle w:val="a5"/>
          <w:sz w:val="18"/>
          <w:szCs w:val="18"/>
        </w:rPr>
        <w:footnoteRef/>
      </w:r>
      <w:r w:rsidRPr="00D7446B">
        <w:rPr>
          <w:sz w:val="18"/>
          <w:szCs w:val="18"/>
          <w:rtl/>
        </w:rPr>
        <w:t xml:space="preserve"> </w:t>
      </w:r>
      <w:r w:rsidRPr="00D7446B">
        <w:rPr>
          <w:rFonts w:hint="cs"/>
          <w:b/>
          <w:bCs/>
          <w:sz w:val="18"/>
          <w:szCs w:val="18"/>
          <w:rtl/>
        </w:rPr>
        <w:t xml:space="preserve">ש"ך </w:t>
      </w:r>
      <w:r w:rsidRPr="00D7446B">
        <w:rPr>
          <w:sz w:val="18"/>
          <w:szCs w:val="18"/>
          <w:rtl/>
        </w:rPr>
        <w:t>–</w:t>
      </w:r>
      <w:r w:rsidRPr="00D7446B">
        <w:rPr>
          <w:rFonts w:hint="cs"/>
          <w:sz w:val="18"/>
          <w:szCs w:val="18"/>
          <w:rtl/>
        </w:rPr>
        <w:t xml:space="preserve"> גם כאן מוכח שעונה בינונית היא יום החודש, שהרי המחבר לא כתב שצריכה לחשוש ליד אייר שהוא יום ל' לראייתה.</w:t>
      </w:r>
      <w:r w:rsidRPr="00800E64">
        <w:rPr>
          <w:rFonts w:hint="cs"/>
          <w:sz w:val="18"/>
          <w:szCs w:val="18"/>
          <w:rtl/>
        </w:rPr>
        <w:t xml:space="preserve"> אמנם, </w:t>
      </w:r>
      <w:r w:rsidRPr="00596AE3">
        <w:rPr>
          <w:rFonts w:hint="cs"/>
          <w:b/>
          <w:bCs/>
          <w:sz w:val="18"/>
          <w:szCs w:val="18"/>
          <w:rtl/>
        </w:rPr>
        <w:t>הסדרי טהרה</w:t>
      </w:r>
      <w:r w:rsidRPr="00800E64">
        <w:rPr>
          <w:rFonts w:hint="cs"/>
          <w:sz w:val="18"/>
          <w:szCs w:val="18"/>
          <w:rtl/>
        </w:rPr>
        <w:t xml:space="preserve"> מיישב זאת ע"פ דברי </w:t>
      </w:r>
      <w:r w:rsidRPr="00596AE3">
        <w:rPr>
          <w:rFonts w:hint="cs"/>
          <w:b/>
          <w:bCs/>
          <w:sz w:val="18"/>
          <w:szCs w:val="18"/>
          <w:rtl/>
        </w:rPr>
        <w:t>הש"ך</w:t>
      </w:r>
      <w:r w:rsidRPr="00800E64">
        <w:rPr>
          <w:rFonts w:hint="cs"/>
          <w:sz w:val="18"/>
          <w:szCs w:val="18"/>
          <w:rtl/>
        </w:rPr>
        <w:t xml:space="preserve"> עצמו בסמוך שכתב שמדובר כאן באשה שיש לה ווסת קבוע לראות בטו' </w:t>
      </w:r>
      <w:r w:rsidRPr="00800E64">
        <w:rPr>
          <w:rFonts w:hint="cs"/>
          <w:sz w:val="16"/>
          <w:szCs w:val="16"/>
          <w:rtl/>
        </w:rPr>
        <w:t xml:space="preserve">(ולכן לכו"ע לא סגי כאן בד' ראיות אלא בעיא ה' ראיות) </w:t>
      </w:r>
      <w:r w:rsidRPr="00800E64">
        <w:rPr>
          <w:rFonts w:hint="cs"/>
          <w:sz w:val="18"/>
          <w:szCs w:val="18"/>
          <w:rtl/>
        </w:rPr>
        <w:t>ולכן אינה חוששת לעונה בינונית.</w:t>
      </w:r>
    </w:p>
  </w:footnote>
  <w:footnote w:id="202">
    <w:p w:rsidR="005953C5" w:rsidRDefault="005953C5" w:rsidP="00620060">
      <w:pPr>
        <w:pStyle w:val="a3"/>
        <w:rPr>
          <w:rtl/>
        </w:rPr>
      </w:pPr>
      <w:r w:rsidRPr="00812E9B">
        <w:rPr>
          <w:rStyle w:val="a5"/>
          <w:sz w:val="18"/>
          <w:szCs w:val="18"/>
        </w:rPr>
        <w:footnoteRef/>
      </w:r>
      <w:r w:rsidRPr="00812E9B">
        <w:rPr>
          <w:sz w:val="18"/>
          <w:szCs w:val="18"/>
          <w:rtl/>
        </w:rPr>
        <w:t xml:space="preserve"> </w:t>
      </w:r>
      <w:r w:rsidRPr="00812E9B">
        <w:rPr>
          <w:rFonts w:hint="cs"/>
          <w:sz w:val="18"/>
          <w:szCs w:val="18"/>
          <w:rtl/>
        </w:rPr>
        <w:t>היינו משום שאין ל</w:t>
      </w:r>
      <w:r>
        <w:rPr>
          <w:rFonts w:hint="cs"/>
          <w:sz w:val="18"/>
          <w:szCs w:val="18"/>
          <w:rtl/>
        </w:rPr>
        <w:t>ח</w:t>
      </w:r>
      <w:r w:rsidRPr="00812E9B">
        <w:rPr>
          <w:rFonts w:hint="cs"/>
          <w:sz w:val="18"/>
          <w:szCs w:val="18"/>
          <w:rtl/>
        </w:rPr>
        <w:t xml:space="preserve">וש לווסת הדילוג עד שתקבע. ואמנם, יש לעיין מדוע אינה חוששת לווסת ההפלגה, הרי לכאורה זו הפלגת לא'! מיישב </w:t>
      </w:r>
      <w:r w:rsidRPr="00812E9B">
        <w:rPr>
          <w:rFonts w:hint="cs"/>
          <w:b/>
          <w:bCs/>
          <w:sz w:val="18"/>
          <w:szCs w:val="18"/>
          <w:rtl/>
        </w:rPr>
        <w:t>הש"ך</w:t>
      </w:r>
      <w:r w:rsidRPr="00812E9B">
        <w:rPr>
          <w:rFonts w:hint="cs"/>
          <w:sz w:val="18"/>
          <w:szCs w:val="18"/>
          <w:rtl/>
        </w:rPr>
        <w:t xml:space="preserve"> </w:t>
      </w:r>
      <w:r w:rsidRPr="00812E9B">
        <w:rPr>
          <w:sz w:val="18"/>
          <w:szCs w:val="18"/>
          <w:rtl/>
        </w:rPr>
        <w:t>–</w:t>
      </w:r>
      <w:r w:rsidRPr="00812E9B">
        <w:rPr>
          <w:rFonts w:hint="cs"/>
          <w:sz w:val="18"/>
          <w:szCs w:val="18"/>
          <w:rtl/>
        </w:rPr>
        <w:t xml:space="preserve"> מטו' ניסן לטז' אייר זו הפלגת לב' </w:t>
      </w:r>
      <w:r w:rsidRPr="00812E9B">
        <w:rPr>
          <w:rFonts w:hint="cs"/>
          <w:sz w:val="16"/>
          <w:szCs w:val="16"/>
          <w:rtl/>
        </w:rPr>
        <w:t>(משום שניסן מלא)</w:t>
      </w:r>
      <w:r w:rsidRPr="00812E9B">
        <w:rPr>
          <w:rFonts w:hint="cs"/>
          <w:sz w:val="18"/>
          <w:szCs w:val="18"/>
          <w:rtl/>
        </w:rPr>
        <w:t>, ולכן אינה חוששת כאן ליז' סיון שהוא הפלגת לא' מטז' אייר.</w:t>
      </w:r>
      <w:r w:rsidRPr="00812E9B">
        <w:rPr>
          <w:sz w:val="18"/>
          <w:szCs w:val="18"/>
          <w:rtl/>
        </w:rPr>
        <w:br/>
      </w:r>
      <w:r w:rsidRPr="00812E9B">
        <w:rPr>
          <w:rFonts w:hint="cs"/>
          <w:sz w:val="18"/>
          <w:szCs w:val="18"/>
          <w:rtl/>
        </w:rPr>
        <w:t xml:space="preserve">ומטעם זה אינה חוששת לווסת ההפלגה ביח' תמוז, כיוון שמיז' סיון ליח' תמוז הם לב' יום, ואילו היא חוששת כעת להפלגת לא' יום.  </w:t>
      </w:r>
    </w:p>
  </w:footnote>
  <w:footnote w:id="203">
    <w:p w:rsidR="005953C5" w:rsidRDefault="005953C5" w:rsidP="00620060">
      <w:pPr>
        <w:pStyle w:val="a3"/>
        <w:rPr>
          <w:rtl/>
        </w:rPr>
      </w:pPr>
      <w:r w:rsidRPr="00B426E4">
        <w:rPr>
          <w:rStyle w:val="a5"/>
          <w:sz w:val="18"/>
          <w:szCs w:val="18"/>
        </w:rPr>
        <w:footnoteRef/>
      </w:r>
      <w:r w:rsidRPr="00B426E4">
        <w:rPr>
          <w:sz w:val="18"/>
          <w:szCs w:val="18"/>
          <w:rtl/>
        </w:rPr>
        <w:t xml:space="preserve"> </w:t>
      </w:r>
      <w:r w:rsidRPr="00B426E4">
        <w:rPr>
          <w:rFonts w:hint="cs"/>
          <w:sz w:val="18"/>
          <w:szCs w:val="18"/>
          <w:rtl/>
        </w:rPr>
        <w:t xml:space="preserve">לשון זו </w:t>
      </w:r>
      <w:r>
        <w:rPr>
          <w:rFonts w:hint="cs"/>
          <w:sz w:val="18"/>
          <w:szCs w:val="18"/>
          <w:rtl/>
        </w:rPr>
        <w:t xml:space="preserve">מבוססת על לשון </w:t>
      </w:r>
      <w:r w:rsidRPr="005A2AED">
        <w:rPr>
          <w:rFonts w:hint="cs"/>
          <w:b/>
          <w:bCs/>
          <w:sz w:val="18"/>
          <w:szCs w:val="18"/>
          <w:rtl/>
        </w:rPr>
        <w:t>הרמב"ן</w:t>
      </w:r>
      <w:r w:rsidRPr="00B426E4">
        <w:rPr>
          <w:rFonts w:hint="cs"/>
          <w:sz w:val="18"/>
          <w:szCs w:val="18"/>
          <w:rtl/>
        </w:rPr>
        <w:t xml:space="preserve">, </w:t>
      </w:r>
      <w:r w:rsidRPr="00B426E4">
        <w:rPr>
          <w:rFonts w:hint="cs"/>
          <w:b/>
          <w:bCs/>
          <w:sz w:val="18"/>
          <w:szCs w:val="18"/>
          <w:rtl/>
        </w:rPr>
        <w:t>והבית יוסף</w:t>
      </w:r>
      <w:r w:rsidRPr="00B426E4">
        <w:rPr>
          <w:rFonts w:hint="cs"/>
          <w:sz w:val="18"/>
          <w:szCs w:val="18"/>
          <w:rtl/>
        </w:rPr>
        <w:t xml:space="preserve"> האריך בביאור </w:t>
      </w:r>
      <w:r>
        <w:rPr>
          <w:rFonts w:hint="cs"/>
          <w:sz w:val="18"/>
          <w:szCs w:val="18"/>
          <w:rtl/>
        </w:rPr>
        <w:t>דבריו</w:t>
      </w:r>
      <w:r w:rsidRPr="00B426E4">
        <w:rPr>
          <w:rFonts w:hint="cs"/>
          <w:sz w:val="18"/>
          <w:szCs w:val="18"/>
          <w:rtl/>
        </w:rPr>
        <w:t xml:space="preserve">. בתחילה הציע פירוש שונה לדברי הרמב"ן, אך מסקנתו היא כפי הבנת </w:t>
      </w:r>
      <w:r w:rsidRPr="00B426E4">
        <w:rPr>
          <w:rFonts w:hint="cs"/>
          <w:b/>
          <w:bCs/>
          <w:sz w:val="18"/>
          <w:szCs w:val="18"/>
          <w:rtl/>
        </w:rPr>
        <w:t>הרמ"א</w:t>
      </w:r>
      <w:r w:rsidRPr="00B426E4">
        <w:rPr>
          <w:rFonts w:hint="cs"/>
          <w:sz w:val="18"/>
          <w:szCs w:val="18"/>
          <w:rtl/>
        </w:rPr>
        <w:t xml:space="preserve"> שמדובר על קביעת שני ווסתות.</w:t>
      </w:r>
      <w:r w:rsidRPr="00B426E4">
        <w:rPr>
          <w:sz w:val="18"/>
          <w:szCs w:val="18"/>
          <w:rtl/>
        </w:rPr>
        <w:br/>
      </w:r>
      <w:r>
        <w:rPr>
          <w:rFonts w:hint="cs"/>
          <w:sz w:val="18"/>
          <w:szCs w:val="18"/>
          <w:rtl/>
        </w:rPr>
        <w:t>ו</w:t>
      </w:r>
      <w:r w:rsidRPr="00B426E4">
        <w:rPr>
          <w:rFonts w:hint="cs"/>
          <w:sz w:val="18"/>
          <w:szCs w:val="18"/>
          <w:rtl/>
        </w:rPr>
        <w:t>יש לדקדק מדוע כתב שהראייה הראשונה נמשכה ד' ימים והראייה השנייה נמשכה ג' ימים? הרי כדי להשמיע שקביעות הווסת ביום יז' סגי שראייתה הראשונה נמשכה ג' ימים וראייתה השנייה נמשכה ב' ימים!</w:t>
      </w:r>
      <w:r w:rsidRPr="00B426E4">
        <w:rPr>
          <w:rFonts w:hint="cs"/>
          <w:sz w:val="18"/>
          <w:szCs w:val="18"/>
          <w:rtl/>
        </w:rPr>
        <w:br/>
      </w:r>
      <w:r w:rsidRPr="005A2AED">
        <w:rPr>
          <w:rFonts w:hint="cs"/>
          <w:sz w:val="18"/>
          <w:szCs w:val="18"/>
          <w:rtl/>
        </w:rPr>
        <w:t xml:space="preserve">מיישב </w:t>
      </w:r>
      <w:r w:rsidRPr="005A2AED">
        <w:rPr>
          <w:rFonts w:hint="cs"/>
          <w:b/>
          <w:bCs/>
          <w:sz w:val="18"/>
          <w:szCs w:val="18"/>
          <w:rtl/>
        </w:rPr>
        <w:t>הב"י</w:t>
      </w:r>
      <w:r w:rsidRPr="00B426E4">
        <w:rPr>
          <w:rFonts w:hint="cs"/>
          <w:sz w:val="18"/>
          <w:szCs w:val="18"/>
          <w:rtl/>
        </w:rPr>
        <w:t xml:space="preserve"> </w:t>
      </w:r>
      <w:r w:rsidRPr="00B426E4">
        <w:rPr>
          <w:sz w:val="18"/>
          <w:szCs w:val="18"/>
          <w:rtl/>
        </w:rPr>
        <w:t>–</w:t>
      </w:r>
      <w:r w:rsidRPr="00B426E4">
        <w:rPr>
          <w:rFonts w:hint="cs"/>
          <w:sz w:val="18"/>
          <w:szCs w:val="18"/>
          <w:rtl/>
        </w:rPr>
        <w:t xml:space="preserve"> הרמב"ן השמיע רבותא, שאע"פ ששתי הראיות הראשונות נגמרות ביח', לא בעינן שראייה ג' תיגמר אף היא ביח', אלא העיקר שג' ראיותיה יהיו שוות בכך שראתה בהן ביז'.</w:t>
      </w:r>
      <w:r w:rsidRPr="00B426E4">
        <w:rPr>
          <w:sz w:val="18"/>
          <w:szCs w:val="18"/>
          <w:rtl/>
        </w:rPr>
        <w:br/>
      </w:r>
      <w:r w:rsidRPr="005A2AED">
        <w:rPr>
          <w:rFonts w:hint="cs"/>
          <w:sz w:val="18"/>
          <w:szCs w:val="18"/>
          <w:rtl/>
        </w:rPr>
        <w:t>ועוד יש לדקדק</w:t>
      </w:r>
      <w:r w:rsidRPr="00B426E4">
        <w:rPr>
          <w:rFonts w:hint="cs"/>
          <w:sz w:val="18"/>
          <w:szCs w:val="18"/>
          <w:rtl/>
        </w:rPr>
        <w:t xml:space="preserve"> </w:t>
      </w:r>
      <w:r w:rsidRPr="00B426E4">
        <w:rPr>
          <w:sz w:val="18"/>
          <w:szCs w:val="18"/>
          <w:rtl/>
        </w:rPr>
        <w:t>–</w:t>
      </w:r>
      <w:r w:rsidRPr="00B426E4">
        <w:rPr>
          <w:rFonts w:hint="cs"/>
          <w:sz w:val="18"/>
          <w:szCs w:val="18"/>
          <w:rtl/>
        </w:rPr>
        <w:t xml:space="preserve"> הרמב"ן כתב שהראייה השנייה נמשכה ב' או ג' ימים </w:t>
      </w:r>
      <w:r w:rsidRPr="00B426E4">
        <w:rPr>
          <w:rFonts w:hint="cs"/>
          <w:sz w:val="16"/>
          <w:szCs w:val="16"/>
          <w:rtl/>
        </w:rPr>
        <w:t>(ואילו הרמ"א כתב כאן רק שנמשכה ג' ימים)</w:t>
      </w:r>
      <w:r w:rsidRPr="00B426E4">
        <w:rPr>
          <w:rFonts w:hint="cs"/>
          <w:sz w:val="18"/>
          <w:szCs w:val="18"/>
          <w:rtl/>
        </w:rPr>
        <w:t xml:space="preserve"> מדוע לא הסתפק לכתוב שנמשכה ג' וכלתה ביח', מה הוסיף בכך שנמשכה רק ב' ימים? ואפשר שרצה לחדש שאע"פ שלא נגמרה בשווה עם ראייה ג', מכל מקום כיוון שהשוותה את ג' הראיות ביז' </w:t>
      </w:r>
      <w:r w:rsidRPr="00B426E4">
        <w:rPr>
          <w:sz w:val="18"/>
          <w:szCs w:val="18"/>
          <w:rtl/>
        </w:rPr>
        <w:t>–</w:t>
      </w:r>
      <w:r w:rsidRPr="00B426E4">
        <w:rPr>
          <w:rFonts w:hint="cs"/>
          <w:sz w:val="18"/>
          <w:szCs w:val="18"/>
          <w:rtl/>
        </w:rPr>
        <w:t xml:space="preserve"> קבעה ווסת ביז'.</w:t>
      </w:r>
      <w:r>
        <w:rPr>
          <w:rtl/>
        </w:rPr>
        <w:br/>
      </w:r>
      <w:r w:rsidRPr="00445C3F">
        <w:rPr>
          <w:rFonts w:hint="cs"/>
          <w:sz w:val="18"/>
          <w:szCs w:val="18"/>
          <w:rtl/>
        </w:rPr>
        <w:t xml:space="preserve">אמנם, </w:t>
      </w:r>
      <w:r w:rsidRPr="00445C3F">
        <w:rPr>
          <w:rFonts w:hint="cs"/>
          <w:b/>
          <w:bCs/>
          <w:sz w:val="18"/>
          <w:szCs w:val="18"/>
          <w:rtl/>
        </w:rPr>
        <w:t>הט"ז</w:t>
      </w:r>
      <w:r w:rsidRPr="00445C3F">
        <w:rPr>
          <w:rFonts w:hint="cs"/>
          <w:sz w:val="18"/>
          <w:szCs w:val="18"/>
          <w:rtl/>
        </w:rPr>
        <w:t xml:space="preserve"> הציע פירוש שונה </w:t>
      </w:r>
      <w:r w:rsidRPr="00445C3F">
        <w:rPr>
          <w:sz w:val="18"/>
          <w:szCs w:val="18"/>
          <w:rtl/>
        </w:rPr>
        <w:t>–</w:t>
      </w:r>
      <w:r w:rsidRPr="00445C3F">
        <w:rPr>
          <w:rFonts w:hint="cs"/>
          <w:sz w:val="18"/>
          <w:szCs w:val="18"/>
          <w:rtl/>
        </w:rPr>
        <w:t xml:space="preserve"> החידוש בלשון </w:t>
      </w:r>
      <w:r w:rsidRPr="00445C3F">
        <w:rPr>
          <w:rFonts w:hint="cs"/>
          <w:b/>
          <w:bCs/>
          <w:sz w:val="18"/>
          <w:szCs w:val="18"/>
          <w:rtl/>
        </w:rPr>
        <w:t>הרמב"ן</w:t>
      </w:r>
      <w:r w:rsidRPr="00445C3F">
        <w:rPr>
          <w:rFonts w:hint="cs"/>
          <w:sz w:val="18"/>
          <w:szCs w:val="18"/>
          <w:rtl/>
        </w:rPr>
        <w:t xml:space="preserve"> בב' הראיות הראשונות הוא, שאע"פ שיז' מובלע בהם ואינו תחילה או סוף ראייה, אעפ"כ נחשב לעיקר העונה וקובעת בו ווסת. ומה שלא כתב שבראייה ג' ראתה ב' ימים, הוא משום שאז היה פשיטא שקבעה ווסת ליז' ויח' שהרי יש לה שני ימים שווים שרגילה לראות בהם.</w:t>
      </w:r>
    </w:p>
  </w:footnote>
  <w:footnote w:id="204">
    <w:p w:rsidR="005953C5" w:rsidRDefault="005953C5" w:rsidP="00620060">
      <w:pPr>
        <w:pStyle w:val="a3"/>
        <w:rPr>
          <w:rtl/>
        </w:rPr>
      </w:pPr>
      <w:r w:rsidRPr="006A4CE8">
        <w:rPr>
          <w:rStyle w:val="a5"/>
          <w:sz w:val="18"/>
          <w:szCs w:val="18"/>
        </w:rPr>
        <w:footnoteRef/>
      </w:r>
      <w:r w:rsidRPr="006A4CE8">
        <w:rPr>
          <w:sz w:val="18"/>
          <w:szCs w:val="18"/>
          <w:rtl/>
        </w:rPr>
        <w:t xml:space="preserve"> </w:t>
      </w:r>
      <w:r w:rsidRPr="006A4CE8">
        <w:rPr>
          <w:rFonts w:hint="cs"/>
          <w:sz w:val="18"/>
          <w:szCs w:val="18"/>
          <w:rtl/>
        </w:rPr>
        <w:t xml:space="preserve">מוסיף </w:t>
      </w:r>
      <w:r w:rsidRPr="006A4CE8">
        <w:rPr>
          <w:rFonts w:hint="cs"/>
          <w:b/>
          <w:bCs/>
          <w:sz w:val="18"/>
          <w:szCs w:val="18"/>
          <w:rtl/>
        </w:rPr>
        <w:t>הש"ך</w:t>
      </w:r>
      <w:r w:rsidRPr="006A4CE8">
        <w:rPr>
          <w:rFonts w:hint="cs"/>
          <w:sz w:val="18"/>
          <w:szCs w:val="18"/>
          <w:rtl/>
        </w:rPr>
        <w:t xml:space="preserve"> </w:t>
      </w:r>
      <w:r w:rsidRPr="006A4CE8">
        <w:rPr>
          <w:sz w:val="18"/>
          <w:szCs w:val="18"/>
          <w:rtl/>
        </w:rPr>
        <w:t>–</w:t>
      </w:r>
      <w:r w:rsidRPr="006A4CE8">
        <w:rPr>
          <w:rFonts w:hint="cs"/>
          <w:sz w:val="18"/>
          <w:szCs w:val="18"/>
          <w:rtl/>
        </w:rPr>
        <w:t xml:space="preserve"> אע"פ שגם </w:t>
      </w:r>
      <w:r w:rsidRPr="006A4CE8">
        <w:rPr>
          <w:rFonts w:hint="cs"/>
          <w:b/>
          <w:bCs/>
          <w:sz w:val="18"/>
          <w:szCs w:val="18"/>
          <w:rtl/>
        </w:rPr>
        <w:t>הרמב"ם</w:t>
      </w:r>
      <w:r w:rsidRPr="006A4CE8">
        <w:rPr>
          <w:rFonts w:hint="cs"/>
          <w:sz w:val="18"/>
          <w:szCs w:val="18"/>
          <w:rtl/>
        </w:rPr>
        <w:t xml:space="preserve"> נקט אף הוא דוגמה זו וזו לשונו: "</w:t>
      </w:r>
      <w:r w:rsidRPr="006A4CE8">
        <w:rPr>
          <w:rFonts w:cs="Arial" w:hint="cs"/>
          <w:sz w:val="18"/>
          <w:szCs w:val="18"/>
          <w:rtl/>
        </w:rPr>
        <w:t>היה</w:t>
      </w:r>
      <w:r w:rsidRPr="006A4CE8">
        <w:rPr>
          <w:rFonts w:cs="Arial"/>
          <w:sz w:val="18"/>
          <w:szCs w:val="18"/>
          <w:rtl/>
        </w:rPr>
        <w:t xml:space="preserve"> </w:t>
      </w:r>
      <w:r w:rsidRPr="006A4CE8">
        <w:rPr>
          <w:rFonts w:cs="Arial" w:hint="cs"/>
          <w:sz w:val="18"/>
          <w:szCs w:val="18"/>
          <w:rtl/>
        </w:rPr>
        <w:t>דרכה</w:t>
      </w:r>
      <w:r w:rsidRPr="006A4CE8">
        <w:rPr>
          <w:rFonts w:cs="Arial"/>
          <w:sz w:val="18"/>
          <w:szCs w:val="18"/>
          <w:rtl/>
        </w:rPr>
        <w:t xml:space="preserve"> </w:t>
      </w:r>
      <w:r w:rsidRPr="006A4CE8">
        <w:rPr>
          <w:rFonts w:cs="Arial" w:hint="cs"/>
          <w:sz w:val="18"/>
          <w:szCs w:val="18"/>
          <w:rtl/>
        </w:rPr>
        <w:t>לראות</w:t>
      </w:r>
      <w:r w:rsidRPr="006A4CE8">
        <w:rPr>
          <w:rFonts w:cs="Arial"/>
          <w:sz w:val="18"/>
          <w:szCs w:val="18"/>
          <w:rtl/>
        </w:rPr>
        <w:t xml:space="preserve"> </w:t>
      </w:r>
      <w:r w:rsidRPr="006A4CE8">
        <w:rPr>
          <w:rFonts w:cs="Arial" w:hint="cs"/>
          <w:sz w:val="18"/>
          <w:szCs w:val="18"/>
          <w:rtl/>
        </w:rPr>
        <w:t>יום</w:t>
      </w:r>
      <w:r w:rsidRPr="006A4CE8">
        <w:rPr>
          <w:rFonts w:cs="Arial"/>
          <w:sz w:val="18"/>
          <w:szCs w:val="18"/>
          <w:rtl/>
        </w:rPr>
        <w:t xml:space="preserve"> </w:t>
      </w:r>
      <w:r w:rsidRPr="006A4CE8">
        <w:rPr>
          <w:rFonts w:cs="Arial" w:hint="cs"/>
          <w:sz w:val="18"/>
          <w:szCs w:val="18"/>
          <w:rtl/>
        </w:rPr>
        <w:t>כ</w:t>
      </w:r>
      <w:r w:rsidRPr="006A4CE8">
        <w:rPr>
          <w:rFonts w:cs="Arial"/>
          <w:sz w:val="18"/>
          <w:szCs w:val="18"/>
          <w:rtl/>
        </w:rPr>
        <w:t xml:space="preserve">' </w:t>
      </w:r>
      <w:r w:rsidRPr="006A4CE8">
        <w:rPr>
          <w:rFonts w:cs="Arial" w:hint="cs"/>
          <w:sz w:val="18"/>
          <w:szCs w:val="18"/>
          <w:rtl/>
        </w:rPr>
        <w:t>ושינתה</w:t>
      </w:r>
      <w:r w:rsidRPr="006A4CE8">
        <w:rPr>
          <w:rFonts w:cs="Arial"/>
          <w:sz w:val="18"/>
          <w:szCs w:val="18"/>
          <w:rtl/>
        </w:rPr>
        <w:t xml:space="preserve"> </w:t>
      </w:r>
      <w:r w:rsidRPr="006A4CE8">
        <w:rPr>
          <w:rFonts w:cs="Arial" w:hint="cs"/>
          <w:sz w:val="18"/>
          <w:szCs w:val="18"/>
          <w:rtl/>
        </w:rPr>
        <w:t>ליום</w:t>
      </w:r>
      <w:r w:rsidRPr="006A4CE8">
        <w:rPr>
          <w:rFonts w:cs="Arial"/>
          <w:sz w:val="18"/>
          <w:szCs w:val="18"/>
          <w:rtl/>
        </w:rPr>
        <w:t xml:space="preserve"> </w:t>
      </w:r>
      <w:r w:rsidRPr="006A4CE8">
        <w:rPr>
          <w:rFonts w:cs="Arial" w:hint="cs"/>
          <w:sz w:val="18"/>
          <w:szCs w:val="18"/>
          <w:rtl/>
        </w:rPr>
        <w:t>כ</w:t>
      </w:r>
      <w:r w:rsidRPr="006A4CE8">
        <w:rPr>
          <w:rFonts w:cs="Arial"/>
          <w:sz w:val="18"/>
          <w:szCs w:val="18"/>
          <w:rtl/>
        </w:rPr>
        <w:t>"</w:t>
      </w:r>
      <w:r w:rsidRPr="006A4CE8">
        <w:rPr>
          <w:rFonts w:cs="Arial" w:hint="cs"/>
          <w:sz w:val="18"/>
          <w:szCs w:val="18"/>
          <w:rtl/>
        </w:rPr>
        <w:t>ב</w:t>
      </w:r>
      <w:r w:rsidRPr="006A4CE8">
        <w:rPr>
          <w:rFonts w:cs="Arial"/>
          <w:sz w:val="18"/>
          <w:szCs w:val="18"/>
          <w:rtl/>
        </w:rPr>
        <w:t xml:space="preserve"> </w:t>
      </w:r>
      <w:r w:rsidRPr="006A4CE8">
        <w:rPr>
          <w:rFonts w:cs="Arial" w:hint="cs"/>
          <w:sz w:val="18"/>
          <w:szCs w:val="18"/>
          <w:rtl/>
        </w:rPr>
        <w:t>שניהם</w:t>
      </w:r>
      <w:r w:rsidRPr="006A4CE8">
        <w:rPr>
          <w:rFonts w:cs="Arial"/>
          <w:sz w:val="18"/>
          <w:szCs w:val="18"/>
          <w:rtl/>
        </w:rPr>
        <w:t xml:space="preserve"> </w:t>
      </w:r>
      <w:r w:rsidRPr="006A4CE8">
        <w:rPr>
          <w:rFonts w:cs="Arial" w:hint="cs"/>
          <w:sz w:val="18"/>
          <w:szCs w:val="18"/>
          <w:rtl/>
        </w:rPr>
        <w:t>אסורין</w:t>
      </w:r>
      <w:r w:rsidRPr="006A4CE8">
        <w:rPr>
          <w:rFonts w:cs="Arial"/>
          <w:sz w:val="18"/>
          <w:szCs w:val="18"/>
          <w:rtl/>
        </w:rPr>
        <w:t xml:space="preserve">, </w:t>
      </w:r>
      <w:r w:rsidRPr="006A4CE8">
        <w:rPr>
          <w:rFonts w:cs="Arial" w:hint="cs"/>
          <w:sz w:val="18"/>
          <w:szCs w:val="18"/>
          <w:rtl/>
        </w:rPr>
        <w:t>הגיע</w:t>
      </w:r>
      <w:r w:rsidRPr="006A4CE8">
        <w:rPr>
          <w:rFonts w:cs="Arial"/>
          <w:sz w:val="18"/>
          <w:szCs w:val="18"/>
          <w:rtl/>
        </w:rPr>
        <w:t xml:space="preserve"> </w:t>
      </w:r>
      <w:r w:rsidRPr="006A4CE8">
        <w:rPr>
          <w:rFonts w:cs="Arial" w:hint="cs"/>
          <w:sz w:val="18"/>
          <w:szCs w:val="18"/>
          <w:rtl/>
        </w:rPr>
        <w:t>כ</w:t>
      </w:r>
      <w:r w:rsidRPr="006A4CE8">
        <w:rPr>
          <w:rFonts w:cs="Arial"/>
          <w:sz w:val="18"/>
          <w:szCs w:val="18"/>
          <w:rtl/>
        </w:rPr>
        <w:t xml:space="preserve">' </w:t>
      </w:r>
      <w:r w:rsidRPr="006A4CE8">
        <w:rPr>
          <w:rFonts w:cs="Arial" w:hint="cs"/>
          <w:sz w:val="18"/>
          <w:szCs w:val="18"/>
          <w:rtl/>
        </w:rPr>
        <w:t>ולא</w:t>
      </w:r>
      <w:r w:rsidRPr="006A4CE8">
        <w:rPr>
          <w:rFonts w:cs="Arial"/>
          <w:sz w:val="18"/>
          <w:szCs w:val="18"/>
          <w:rtl/>
        </w:rPr>
        <w:t xml:space="preserve"> </w:t>
      </w:r>
      <w:r w:rsidRPr="006A4CE8">
        <w:rPr>
          <w:rFonts w:cs="Arial" w:hint="cs"/>
          <w:sz w:val="18"/>
          <w:szCs w:val="18"/>
          <w:rtl/>
        </w:rPr>
        <w:t>ראתה</w:t>
      </w:r>
      <w:r w:rsidRPr="006A4CE8">
        <w:rPr>
          <w:rFonts w:cs="Arial"/>
          <w:sz w:val="18"/>
          <w:szCs w:val="18"/>
          <w:rtl/>
        </w:rPr>
        <w:t xml:space="preserve"> </w:t>
      </w:r>
      <w:r w:rsidRPr="006A4CE8">
        <w:rPr>
          <w:rFonts w:cs="Arial" w:hint="cs"/>
          <w:sz w:val="18"/>
          <w:szCs w:val="18"/>
          <w:rtl/>
        </w:rPr>
        <w:t>כ</w:t>
      </w:r>
      <w:r w:rsidRPr="006A4CE8">
        <w:rPr>
          <w:rFonts w:cs="Arial"/>
          <w:sz w:val="18"/>
          <w:szCs w:val="18"/>
          <w:rtl/>
        </w:rPr>
        <w:t>"</w:t>
      </w:r>
      <w:r w:rsidRPr="006A4CE8">
        <w:rPr>
          <w:rFonts w:cs="Arial" w:hint="cs"/>
          <w:sz w:val="18"/>
          <w:szCs w:val="18"/>
          <w:rtl/>
        </w:rPr>
        <w:t>ב</w:t>
      </w:r>
      <w:r w:rsidRPr="006A4CE8">
        <w:rPr>
          <w:rFonts w:cs="Arial"/>
          <w:sz w:val="18"/>
          <w:szCs w:val="18"/>
          <w:rtl/>
        </w:rPr>
        <w:t xml:space="preserve"> </w:t>
      </w:r>
      <w:r w:rsidRPr="006A4CE8">
        <w:rPr>
          <w:rFonts w:cs="Arial" w:hint="cs"/>
          <w:sz w:val="18"/>
          <w:szCs w:val="18"/>
          <w:rtl/>
        </w:rPr>
        <w:t>וראתה</w:t>
      </w:r>
      <w:r w:rsidRPr="006A4CE8">
        <w:rPr>
          <w:rFonts w:cs="Arial"/>
          <w:sz w:val="18"/>
          <w:szCs w:val="18"/>
          <w:rtl/>
        </w:rPr>
        <w:t xml:space="preserve"> </w:t>
      </w:r>
      <w:r w:rsidRPr="006A4CE8">
        <w:rPr>
          <w:rFonts w:cs="Arial" w:hint="cs"/>
          <w:sz w:val="18"/>
          <w:szCs w:val="18"/>
          <w:rtl/>
        </w:rPr>
        <w:t>עדיין</w:t>
      </w:r>
      <w:r w:rsidRPr="006A4CE8">
        <w:rPr>
          <w:rFonts w:cs="Arial"/>
          <w:sz w:val="18"/>
          <w:szCs w:val="18"/>
          <w:rtl/>
        </w:rPr>
        <w:t xml:space="preserve"> </w:t>
      </w:r>
      <w:r w:rsidRPr="006A4CE8">
        <w:rPr>
          <w:rFonts w:cs="Arial" w:hint="cs"/>
          <w:sz w:val="18"/>
          <w:szCs w:val="18"/>
          <w:rtl/>
        </w:rPr>
        <w:t>שניהן</w:t>
      </w:r>
      <w:r w:rsidRPr="006A4CE8">
        <w:rPr>
          <w:rFonts w:cs="Arial"/>
          <w:sz w:val="18"/>
          <w:szCs w:val="18"/>
          <w:rtl/>
        </w:rPr>
        <w:t xml:space="preserve"> </w:t>
      </w:r>
      <w:r w:rsidRPr="006A4CE8">
        <w:rPr>
          <w:rFonts w:cs="Arial" w:hint="cs"/>
          <w:sz w:val="18"/>
          <w:szCs w:val="18"/>
          <w:rtl/>
        </w:rPr>
        <w:t>אסורין</w:t>
      </w:r>
      <w:r w:rsidRPr="006A4CE8">
        <w:rPr>
          <w:rFonts w:cs="Arial"/>
          <w:sz w:val="18"/>
          <w:szCs w:val="18"/>
          <w:rtl/>
        </w:rPr>
        <w:t xml:space="preserve">, </w:t>
      </w:r>
      <w:r w:rsidRPr="006A4CE8">
        <w:rPr>
          <w:rFonts w:cs="Arial" w:hint="cs"/>
          <w:sz w:val="18"/>
          <w:szCs w:val="18"/>
          <w:rtl/>
        </w:rPr>
        <w:t>הגיע</w:t>
      </w:r>
      <w:r w:rsidRPr="006A4CE8">
        <w:rPr>
          <w:rFonts w:cs="Arial"/>
          <w:sz w:val="18"/>
          <w:szCs w:val="18"/>
          <w:rtl/>
        </w:rPr>
        <w:t xml:space="preserve"> </w:t>
      </w:r>
      <w:r w:rsidRPr="006A4CE8">
        <w:rPr>
          <w:rFonts w:cs="Arial" w:hint="cs"/>
          <w:sz w:val="18"/>
          <w:szCs w:val="18"/>
          <w:rtl/>
        </w:rPr>
        <w:t>יום</w:t>
      </w:r>
      <w:r w:rsidRPr="006A4CE8">
        <w:rPr>
          <w:rFonts w:cs="Arial"/>
          <w:sz w:val="18"/>
          <w:szCs w:val="18"/>
          <w:rtl/>
        </w:rPr>
        <w:t xml:space="preserve"> </w:t>
      </w:r>
      <w:r w:rsidRPr="006A4CE8">
        <w:rPr>
          <w:rFonts w:cs="Arial" w:hint="cs"/>
          <w:sz w:val="18"/>
          <w:szCs w:val="18"/>
          <w:rtl/>
        </w:rPr>
        <w:t>כ</w:t>
      </w:r>
      <w:r w:rsidRPr="006A4CE8">
        <w:rPr>
          <w:rFonts w:cs="Arial"/>
          <w:sz w:val="18"/>
          <w:szCs w:val="18"/>
          <w:rtl/>
        </w:rPr>
        <w:t xml:space="preserve">' </w:t>
      </w:r>
      <w:r w:rsidRPr="006A4CE8">
        <w:rPr>
          <w:rFonts w:cs="Arial" w:hint="cs"/>
          <w:sz w:val="18"/>
          <w:szCs w:val="18"/>
          <w:rtl/>
        </w:rPr>
        <w:t>וראתה</w:t>
      </w:r>
      <w:r w:rsidRPr="006A4CE8">
        <w:rPr>
          <w:rFonts w:cs="Arial"/>
          <w:sz w:val="18"/>
          <w:szCs w:val="18"/>
          <w:rtl/>
        </w:rPr>
        <w:t xml:space="preserve"> </w:t>
      </w:r>
      <w:r w:rsidRPr="006A4CE8">
        <w:rPr>
          <w:rFonts w:cs="Arial" w:hint="cs"/>
          <w:sz w:val="18"/>
          <w:szCs w:val="18"/>
          <w:rtl/>
        </w:rPr>
        <w:t>טהר</w:t>
      </w:r>
      <w:r w:rsidRPr="006A4CE8">
        <w:rPr>
          <w:rFonts w:cs="Arial"/>
          <w:sz w:val="18"/>
          <w:szCs w:val="18"/>
          <w:rtl/>
        </w:rPr>
        <w:t xml:space="preserve"> </w:t>
      </w:r>
      <w:r w:rsidRPr="006A4CE8">
        <w:rPr>
          <w:rFonts w:cs="Arial" w:hint="cs"/>
          <w:sz w:val="18"/>
          <w:szCs w:val="18"/>
          <w:rtl/>
        </w:rPr>
        <w:t>יום</w:t>
      </w:r>
      <w:r w:rsidRPr="006A4CE8">
        <w:rPr>
          <w:rFonts w:cs="Arial"/>
          <w:sz w:val="18"/>
          <w:szCs w:val="18"/>
          <w:rtl/>
        </w:rPr>
        <w:t xml:space="preserve"> </w:t>
      </w:r>
      <w:r w:rsidRPr="006A4CE8">
        <w:rPr>
          <w:rFonts w:cs="Arial" w:hint="cs"/>
          <w:sz w:val="18"/>
          <w:szCs w:val="18"/>
          <w:rtl/>
        </w:rPr>
        <w:t>כ</w:t>
      </w:r>
      <w:r w:rsidRPr="006A4CE8">
        <w:rPr>
          <w:rFonts w:cs="Arial"/>
          <w:sz w:val="18"/>
          <w:szCs w:val="18"/>
          <w:rtl/>
        </w:rPr>
        <w:t>"</w:t>
      </w:r>
      <w:r w:rsidRPr="006A4CE8">
        <w:rPr>
          <w:rFonts w:cs="Arial" w:hint="cs"/>
          <w:sz w:val="18"/>
          <w:szCs w:val="18"/>
          <w:rtl/>
        </w:rPr>
        <w:t>ב</w:t>
      </w:r>
      <w:r w:rsidRPr="006A4CE8">
        <w:rPr>
          <w:rFonts w:cs="Arial"/>
          <w:sz w:val="18"/>
          <w:szCs w:val="18"/>
          <w:rtl/>
        </w:rPr>
        <w:t xml:space="preserve">, </w:t>
      </w:r>
      <w:r w:rsidRPr="006A4CE8">
        <w:rPr>
          <w:rFonts w:cs="Arial" w:hint="cs"/>
          <w:sz w:val="18"/>
          <w:szCs w:val="18"/>
          <w:rtl/>
        </w:rPr>
        <w:t>שהרי</w:t>
      </w:r>
      <w:r w:rsidRPr="006A4CE8">
        <w:rPr>
          <w:rFonts w:cs="Arial"/>
          <w:sz w:val="18"/>
          <w:szCs w:val="18"/>
          <w:rtl/>
        </w:rPr>
        <w:t xml:space="preserve"> </w:t>
      </w:r>
      <w:r w:rsidRPr="006A4CE8">
        <w:rPr>
          <w:rFonts w:cs="Arial" w:hint="cs"/>
          <w:sz w:val="18"/>
          <w:szCs w:val="18"/>
          <w:rtl/>
        </w:rPr>
        <w:t>חזרה</w:t>
      </w:r>
      <w:r w:rsidRPr="006A4CE8">
        <w:rPr>
          <w:rFonts w:cs="Arial"/>
          <w:sz w:val="18"/>
          <w:szCs w:val="18"/>
          <w:rtl/>
        </w:rPr>
        <w:t xml:space="preserve"> </w:t>
      </w:r>
      <w:r w:rsidRPr="006A4CE8">
        <w:rPr>
          <w:rFonts w:cs="Arial" w:hint="cs"/>
          <w:sz w:val="18"/>
          <w:szCs w:val="18"/>
          <w:rtl/>
        </w:rPr>
        <w:t>לוסתה</w:t>
      </w:r>
      <w:r w:rsidRPr="006A4CE8">
        <w:rPr>
          <w:rFonts w:cs="Arial"/>
          <w:sz w:val="18"/>
          <w:szCs w:val="18"/>
          <w:rtl/>
        </w:rPr>
        <w:t xml:space="preserve"> </w:t>
      </w:r>
      <w:r w:rsidRPr="006A4CE8">
        <w:rPr>
          <w:rFonts w:cs="Arial" w:hint="cs"/>
          <w:sz w:val="18"/>
          <w:szCs w:val="18"/>
          <w:rtl/>
        </w:rPr>
        <w:t>הקבוע</w:t>
      </w:r>
      <w:r w:rsidRPr="006A4CE8">
        <w:rPr>
          <w:rFonts w:cs="Arial"/>
          <w:sz w:val="18"/>
          <w:szCs w:val="18"/>
          <w:rtl/>
        </w:rPr>
        <w:t xml:space="preserve"> </w:t>
      </w:r>
      <w:r w:rsidRPr="006A4CE8">
        <w:rPr>
          <w:rFonts w:cs="Arial" w:hint="cs"/>
          <w:sz w:val="18"/>
          <w:szCs w:val="18"/>
          <w:rtl/>
        </w:rPr>
        <w:t>ונעקר</w:t>
      </w:r>
      <w:r w:rsidRPr="006A4CE8">
        <w:rPr>
          <w:rFonts w:cs="Arial"/>
          <w:sz w:val="18"/>
          <w:szCs w:val="18"/>
          <w:rtl/>
        </w:rPr>
        <w:t xml:space="preserve"> </w:t>
      </w:r>
      <w:r w:rsidRPr="006A4CE8">
        <w:rPr>
          <w:rFonts w:cs="Arial" w:hint="cs"/>
          <w:sz w:val="18"/>
          <w:szCs w:val="18"/>
          <w:rtl/>
        </w:rPr>
        <w:t>כ</w:t>
      </w:r>
      <w:r w:rsidRPr="006A4CE8">
        <w:rPr>
          <w:rFonts w:cs="Arial"/>
          <w:sz w:val="18"/>
          <w:szCs w:val="18"/>
          <w:rtl/>
        </w:rPr>
        <w:t>"</w:t>
      </w:r>
      <w:r w:rsidRPr="006A4CE8">
        <w:rPr>
          <w:rFonts w:cs="Arial" w:hint="cs"/>
          <w:sz w:val="18"/>
          <w:szCs w:val="18"/>
          <w:rtl/>
        </w:rPr>
        <w:t>ב</w:t>
      </w:r>
      <w:r w:rsidRPr="006A4CE8">
        <w:rPr>
          <w:rFonts w:cs="Arial"/>
          <w:sz w:val="18"/>
          <w:szCs w:val="18"/>
          <w:rtl/>
        </w:rPr>
        <w:t xml:space="preserve"> </w:t>
      </w:r>
      <w:r w:rsidRPr="006A4CE8">
        <w:rPr>
          <w:rFonts w:cs="Arial" w:hint="cs"/>
          <w:sz w:val="18"/>
          <w:szCs w:val="18"/>
          <w:rtl/>
        </w:rPr>
        <w:t>מפני</w:t>
      </w:r>
      <w:r w:rsidRPr="006A4CE8">
        <w:rPr>
          <w:rFonts w:cs="Arial"/>
          <w:sz w:val="18"/>
          <w:szCs w:val="18"/>
          <w:rtl/>
        </w:rPr>
        <w:t xml:space="preserve"> </w:t>
      </w:r>
      <w:r w:rsidRPr="006A4CE8">
        <w:rPr>
          <w:rFonts w:cs="Arial" w:hint="cs"/>
          <w:sz w:val="18"/>
          <w:szCs w:val="18"/>
          <w:rtl/>
        </w:rPr>
        <w:t>שלא</w:t>
      </w:r>
      <w:r w:rsidRPr="006A4CE8">
        <w:rPr>
          <w:rFonts w:cs="Arial"/>
          <w:sz w:val="18"/>
          <w:szCs w:val="18"/>
          <w:rtl/>
        </w:rPr>
        <w:t xml:space="preserve"> </w:t>
      </w:r>
      <w:r w:rsidRPr="006A4CE8">
        <w:rPr>
          <w:rFonts w:cs="Arial" w:hint="cs"/>
          <w:sz w:val="18"/>
          <w:szCs w:val="18"/>
          <w:rtl/>
        </w:rPr>
        <w:t>נקבע</w:t>
      </w:r>
      <w:r w:rsidRPr="006A4CE8">
        <w:rPr>
          <w:rFonts w:cs="Arial"/>
          <w:sz w:val="18"/>
          <w:szCs w:val="18"/>
          <w:rtl/>
        </w:rPr>
        <w:t xml:space="preserve"> </w:t>
      </w:r>
      <w:r w:rsidRPr="006A4CE8">
        <w:rPr>
          <w:rFonts w:cs="Arial" w:hint="cs"/>
          <w:sz w:val="18"/>
          <w:szCs w:val="18"/>
          <w:rtl/>
        </w:rPr>
        <w:t>ג</w:t>
      </w:r>
      <w:r w:rsidRPr="006A4CE8">
        <w:rPr>
          <w:rFonts w:cs="Arial"/>
          <w:sz w:val="18"/>
          <w:szCs w:val="18"/>
          <w:rtl/>
        </w:rPr>
        <w:t xml:space="preserve">' </w:t>
      </w:r>
      <w:r w:rsidRPr="006A4CE8">
        <w:rPr>
          <w:rFonts w:cs="Arial" w:hint="cs"/>
          <w:sz w:val="18"/>
          <w:szCs w:val="18"/>
          <w:rtl/>
        </w:rPr>
        <w:t xml:space="preserve">פעמים". ולכאורה היה יכול לתת דוגמה זו גם באשה שאין לה ווסת קבוע? מיישב </w:t>
      </w:r>
      <w:r w:rsidRPr="006A4CE8">
        <w:rPr>
          <w:rFonts w:cs="Arial" w:hint="cs"/>
          <w:b/>
          <w:bCs/>
          <w:sz w:val="18"/>
          <w:szCs w:val="18"/>
          <w:rtl/>
        </w:rPr>
        <w:t>הש"ך</w:t>
      </w:r>
      <w:r w:rsidRPr="006A4CE8">
        <w:rPr>
          <w:rFonts w:cs="Arial" w:hint="cs"/>
          <w:sz w:val="18"/>
          <w:szCs w:val="18"/>
          <w:rtl/>
        </w:rPr>
        <w:t xml:space="preserve"> </w:t>
      </w:r>
      <w:r w:rsidRPr="006A4CE8">
        <w:rPr>
          <w:rFonts w:cs="Arial"/>
          <w:sz w:val="18"/>
          <w:szCs w:val="18"/>
          <w:rtl/>
        </w:rPr>
        <w:t>–</w:t>
      </w:r>
      <w:r w:rsidRPr="006A4CE8">
        <w:rPr>
          <w:rFonts w:cs="Arial" w:hint="cs"/>
          <w:sz w:val="18"/>
          <w:szCs w:val="18"/>
          <w:rtl/>
        </w:rPr>
        <w:t xml:space="preserve"> </w:t>
      </w:r>
      <w:r w:rsidRPr="006A4CE8">
        <w:rPr>
          <w:rFonts w:cs="Arial" w:hint="cs"/>
          <w:b/>
          <w:bCs/>
          <w:sz w:val="18"/>
          <w:szCs w:val="18"/>
          <w:rtl/>
        </w:rPr>
        <w:t>הרמב"ם</w:t>
      </w:r>
      <w:r w:rsidRPr="006A4CE8">
        <w:rPr>
          <w:rFonts w:cs="Arial" w:hint="cs"/>
          <w:sz w:val="18"/>
          <w:szCs w:val="18"/>
          <w:rtl/>
        </w:rPr>
        <w:t xml:space="preserve"> מיירי </w:t>
      </w:r>
      <w:r>
        <w:rPr>
          <w:rFonts w:cs="Arial" w:hint="cs"/>
          <w:sz w:val="18"/>
          <w:szCs w:val="18"/>
          <w:rtl/>
        </w:rPr>
        <w:t>בווסת</w:t>
      </w:r>
      <w:r w:rsidRPr="006A4CE8">
        <w:rPr>
          <w:rFonts w:cs="Arial" w:hint="cs"/>
          <w:sz w:val="18"/>
          <w:szCs w:val="18"/>
          <w:rtl/>
        </w:rPr>
        <w:t xml:space="preserve"> החודש, ולכן רק ראיית כ' הקב</w:t>
      </w:r>
      <w:r w:rsidRPr="006A4CE8">
        <w:rPr>
          <w:rFonts w:hint="cs"/>
          <w:sz w:val="18"/>
          <w:szCs w:val="18"/>
          <w:rtl/>
        </w:rPr>
        <w:t>ועה עוקרת את החשש לווסת שאינו קבוע, אך בווסת ההפלגות שאינו קבוע אפילו ראייה אחת</w:t>
      </w:r>
      <w:r>
        <w:rPr>
          <w:rFonts w:hint="cs"/>
          <w:sz w:val="18"/>
          <w:szCs w:val="18"/>
          <w:rtl/>
        </w:rPr>
        <w:t xml:space="preserve"> שאינה קבועה</w:t>
      </w:r>
      <w:r w:rsidRPr="006A4CE8">
        <w:rPr>
          <w:rFonts w:hint="cs"/>
          <w:sz w:val="18"/>
          <w:szCs w:val="18"/>
          <w:rtl/>
        </w:rPr>
        <w:t xml:space="preserve"> עוקרת את החשש.</w:t>
      </w:r>
    </w:p>
  </w:footnote>
  <w:footnote w:id="205">
    <w:p w:rsidR="005953C5" w:rsidRDefault="005953C5" w:rsidP="00620060">
      <w:pPr>
        <w:pStyle w:val="a3"/>
        <w:rPr>
          <w:rtl/>
        </w:rPr>
      </w:pPr>
      <w:r w:rsidRPr="00253698">
        <w:rPr>
          <w:rStyle w:val="a5"/>
          <w:sz w:val="18"/>
          <w:szCs w:val="18"/>
        </w:rPr>
        <w:footnoteRef/>
      </w:r>
      <w:r w:rsidRPr="00253698">
        <w:rPr>
          <w:sz w:val="18"/>
          <w:szCs w:val="18"/>
          <w:rtl/>
        </w:rPr>
        <w:t xml:space="preserve"> </w:t>
      </w:r>
      <w:r w:rsidRPr="00253698">
        <w:rPr>
          <w:rFonts w:hint="cs"/>
          <w:sz w:val="18"/>
          <w:szCs w:val="18"/>
          <w:rtl/>
        </w:rPr>
        <w:t xml:space="preserve">הכותרת לסעיף זה ולסעיף הבא היא 'עקירה', אך יש להבחין שזו אינה עקירה רגילה אלא כעין 'ווסת רדום', דהיינו שאם תחזור ותראה פעם אחת כהרגלה </w:t>
      </w:r>
      <w:r w:rsidRPr="00253698">
        <w:rPr>
          <w:sz w:val="18"/>
          <w:szCs w:val="18"/>
          <w:rtl/>
        </w:rPr>
        <w:t>–</w:t>
      </w:r>
      <w:r w:rsidRPr="00253698">
        <w:rPr>
          <w:rFonts w:hint="cs"/>
          <w:sz w:val="18"/>
          <w:szCs w:val="18"/>
          <w:rtl/>
        </w:rPr>
        <w:t xml:space="preserve"> חוזרת לווסת הקבוע לה. </w:t>
      </w:r>
    </w:p>
  </w:footnote>
  <w:footnote w:id="206">
    <w:p w:rsidR="005953C5" w:rsidRDefault="005953C5" w:rsidP="00620060">
      <w:pPr>
        <w:pStyle w:val="a3"/>
      </w:pPr>
      <w:r w:rsidRPr="006A0E37">
        <w:rPr>
          <w:rStyle w:val="a5"/>
          <w:sz w:val="18"/>
          <w:szCs w:val="18"/>
        </w:rPr>
        <w:footnoteRef/>
      </w:r>
      <w:r w:rsidRPr="006A0E37">
        <w:rPr>
          <w:sz w:val="18"/>
          <w:szCs w:val="18"/>
          <w:rtl/>
        </w:rPr>
        <w:t xml:space="preserve"> </w:t>
      </w:r>
      <w:r w:rsidRPr="006A0E37">
        <w:rPr>
          <w:rFonts w:hint="cs"/>
          <w:b/>
          <w:bCs/>
          <w:sz w:val="18"/>
          <w:szCs w:val="18"/>
          <w:rtl/>
        </w:rPr>
        <w:t>בית יוסף</w:t>
      </w:r>
      <w:r w:rsidRPr="006A0E37">
        <w:rPr>
          <w:rFonts w:hint="cs"/>
          <w:sz w:val="18"/>
          <w:szCs w:val="18"/>
          <w:rtl/>
        </w:rPr>
        <w:t xml:space="preserve"> </w:t>
      </w:r>
      <w:r w:rsidRPr="006A0E37">
        <w:rPr>
          <w:sz w:val="18"/>
          <w:szCs w:val="18"/>
          <w:rtl/>
        </w:rPr>
        <w:t>–</w:t>
      </w:r>
      <w:r w:rsidRPr="006A0E37">
        <w:rPr>
          <w:rFonts w:hint="cs"/>
          <w:sz w:val="18"/>
          <w:szCs w:val="18"/>
          <w:rtl/>
        </w:rPr>
        <w:t xml:space="preserve"> תמוה מדוע </w:t>
      </w:r>
      <w:r w:rsidRPr="006A0E37">
        <w:rPr>
          <w:rFonts w:hint="cs"/>
          <w:b/>
          <w:bCs/>
          <w:sz w:val="18"/>
          <w:szCs w:val="18"/>
          <w:rtl/>
        </w:rPr>
        <w:t xml:space="preserve">הטור </w:t>
      </w:r>
      <w:r w:rsidRPr="006A0E37">
        <w:rPr>
          <w:rFonts w:hint="cs"/>
          <w:sz w:val="18"/>
          <w:szCs w:val="18"/>
          <w:rtl/>
        </w:rPr>
        <w:t>פוסק כרבי אליעזר, הרי בגמרא נאמר להדיא שיש לנהוג כ</w:t>
      </w:r>
      <w:r>
        <w:rPr>
          <w:rFonts w:hint="cs"/>
          <w:sz w:val="18"/>
          <w:szCs w:val="18"/>
          <w:rtl/>
        </w:rPr>
        <w:t>וותיה</w:t>
      </w:r>
      <w:r w:rsidRPr="006A0E37">
        <w:rPr>
          <w:rFonts w:hint="cs"/>
          <w:sz w:val="18"/>
          <w:szCs w:val="18"/>
          <w:rtl/>
        </w:rPr>
        <w:t xml:space="preserve"> רק בשעת הדחק!</w:t>
      </w:r>
      <w:r w:rsidRPr="006A0E37">
        <w:rPr>
          <w:rFonts w:hint="cs"/>
          <w:sz w:val="18"/>
          <w:szCs w:val="18"/>
          <w:rtl/>
        </w:rPr>
        <w:br/>
        <w:t xml:space="preserve">אמנם, למעשה </w:t>
      </w:r>
      <w:r w:rsidRPr="006A0E37">
        <w:rPr>
          <w:rFonts w:hint="cs"/>
          <w:b/>
          <w:bCs/>
          <w:sz w:val="18"/>
          <w:szCs w:val="18"/>
          <w:rtl/>
        </w:rPr>
        <w:t>הבית יוסף</w:t>
      </w:r>
      <w:r w:rsidRPr="006A0E37">
        <w:rPr>
          <w:rFonts w:hint="cs"/>
          <w:sz w:val="18"/>
          <w:szCs w:val="18"/>
          <w:rtl/>
        </w:rPr>
        <w:t xml:space="preserve"> פסק כך בשו"ע. </w:t>
      </w:r>
      <w:r w:rsidRPr="006A0E37">
        <w:rPr>
          <w:rFonts w:hint="cs"/>
          <w:b/>
          <w:bCs/>
          <w:sz w:val="18"/>
          <w:szCs w:val="18"/>
          <w:rtl/>
        </w:rPr>
        <w:t>ובדברי חמודות</w:t>
      </w:r>
      <w:r w:rsidRPr="006A0E37">
        <w:rPr>
          <w:rFonts w:hint="cs"/>
          <w:sz w:val="18"/>
          <w:szCs w:val="18"/>
          <w:rtl/>
        </w:rPr>
        <w:t xml:space="preserve"> ביאר, שאע"פ שבגמרא נאמר לפסוק כר"א רק בשעת הדחק, היינו לגבי טהרות, אך בחולין יש להקל טפי.</w:t>
      </w:r>
    </w:p>
  </w:footnote>
  <w:footnote w:id="207">
    <w:p w:rsidR="005953C5" w:rsidRPr="008C3E2A" w:rsidRDefault="005953C5" w:rsidP="00620060">
      <w:pPr>
        <w:pStyle w:val="a3"/>
        <w:rPr>
          <w:rtl/>
        </w:rPr>
      </w:pPr>
      <w:r w:rsidRPr="008C3E2A">
        <w:rPr>
          <w:rStyle w:val="a5"/>
          <w:sz w:val="18"/>
          <w:szCs w:val="18"/>
        </w:rPr>
        <w:footnoteRef/>
      </w:r>
      <w:r w:rsidRPr="008C3E2A">
        <w:rPr>
          <w:sz w:val="18"/>
          <w:szCs w:val="18"/>
          <w:rtl/>
        </w:rPr>
        <w:t xml:space="preserve"> </w:t>
      </w:r>
      <w:r w:rsidRPr="008C3E2A">
        <w:rPr>
          <w:rFonts w:hint="cs"/>
          <w:b/>
          <w:bCs/>
          <w:sz w:val="18"/>
          <w:szCs w:val="18"/>
          <w:rtl/>
        </w:rPr>
        <w:t>ש"ך</w:t>
      </w:r>
      <w:r w:rsidRPr="008C3E2A">
        <w:rPr>
          <w:rFonts w:hint="cs"/>
          <w:sz w:val="18"/>
          <w:szCs w:val="18"/>
          <w:rtl/>
        </w:rPr>
        <w:t xml:space="preserve"> </w:t>
      </w:r>
      <w:r w:rsidRPr="008C3E2A">
        <w:rPr>
          <w:sz w:val="18"/>
          <w:szCs w:val="18"/>
          <w:rtl/>
        </w:rPr>
        <w:t>–</w:t>
      </w:r>
      <w:r w:rsidRPr="008C3E2A">
        <w:rPr>
          <w:rFonts w:hint="cs"/>
          <w:sz w:val="18"/>
          <w:szCs w:val="18"/>
          <w:rtl/>
        </w:rPr>
        <w:t xml:space="preserve"> אע"פ שאין לה ווסת, מכל מקום חוששת להפלגה האחרונה</w:t>
      </w:r>
      <w:r>
        <w:rPr>
          <w:rFonts w:hint="cs"/>
          <w:sz w:val="18"/>
          <w:szCs w:val="18"/>
          <w:rtl/>
        </w:rPr>
        <w:t xml:space="preserve"> וליום החודש</w:t>
      </w:r>
      <w:r w:rsidRPr="008C3E2A">
        <w:rPr>
          <w:rFonts w:hint="cs"/>
          <w:sz w:val="18"/>
          <w:szCs w:val="18"/>
          <w:rtl/>
        </w:rPr>
        <w:t xml:space="preserve"> </w:t>
      </w:r>
      <w:r w:rsidRPr="006A0E37">
        <w:rPr>
          <w:rFonts w:hint="cs"/>
          <w:sz w:val="16"/>
          <w:szCs w:val="16"/>
          <w:rtl/>
        </w:rPr>
        <w:t xml:space="preserve">(ולעונה בינונית לדעת </w:t>
      </w:r>
      <w:r w:rsidRPr="006A0E37">
        <w:rPr>
          <w:rFonts w:hint="cs"/>
          <w:b/>
          <w:bCs/>
          <w:sz w:val="16"/>
          <w:szCs w:val="16"/>
          <w:rtl/>
        </w:rPr>
        <w:t>הב"י</w:t>
      </w:r>
      <w:r w:rsidRPr="006A0E37">
        <w:rPr>
          <w:rFonts w:hint="cs"/>
          <w:sz w:val="16"/>
          <w:szCs w:val="16"/>
          <w:rtl/>
        </w:rPr>
        <w:t>)</w:t>
      </w:r>
      <w:r>
        <w:rPr>
          <w:rFonts w:hint="cs"/>
          <w:sz w:val="18"/>
          <w:szCs w:val="18"/>
          <w:rtl/>
        </w:rPr>
        <w:t>.</w:t>
      </w:r>
    </w:p>
  </w:footnote>
  <w:footnote w:id="208">
    <w:p w:rsidR="005953C5" w:rsidRDefault="005953C5" w:rsidP="00620060">
      <w:pPr>
        <w:pStyle w:val="a3"/>
      </w:pPr>
      <w:r w:rsidRPr="00A744BA">
        <w:rPr>
          <w:rStyle w:val="a5"/>
          <w:sz w:val="18"/>
          <w:szCs w:val="18"/>
        </w:rPr>
        <w:footnoteRef/>
      </w:r>
      <w:r w:rsidRPr="00A744BA">
        <w:rPr>
          <w:sz w:val="18"/>
          <w:szCs w:val="18"/>
          <w:rtl/>
        </w:rPr>
        <w:t xml:space="preserve"> </w:t>
      </w:r>
      <w:r w:rsidRPr="00A744BA">
        <w:rPr>
          <w:rFonts w:hint="cs"/>
          <w:sz w:val="18"/>
          <w:szCs w:val="18"/>
          <w:rtl/>
        </w:rPr>
        <w:t xml:space="preserve">כגון </w:t>
      </w:r>
      <w:r w:rsidRPr="00A744BA">
        <w:rPr>
          <w:sz w:val="18"/>
          <w:szCs w:val="18"/>
          <w:rtl/>
        </w:rPr>
        <w:t>–</w:t>
      </w:r>
      <w:r w:rsidRPr="00A744BA">
        <w:rPr>
          <w:rFonts w:hint="cs"/>
          <w:sz w:val="18"/>
          <w:szCs w:val="18"/>
          <w:rtl/>
        </w:rPr>
        <w:t xml:space="preserve"> ראתה לכ' מראיית לד' האחרונה שראתה, </w:t>
      </w:r>
      <w:r w:rsidRPr="00A744BA">
        <w:rPr>
          <w:rFonts w:hint="cs"/>
          <w:b/>
          <w:bCs/>
          <w:sz w:val="18"/>
          <w:szCs w:val="18"/>
          <w:rtl/>
        </w:rPr>
        <w:t>ט"ז</w:t>
      </w:r>
      <w:r w:rsidRPr="00A744BA">
        <w:rPr>
          <w:rFonts w:hint="cs"/>
          <w:sz w:val="18"/>
          <w:szCs w:val="18"/>
          <w:rtl/>
        </w:rPr>
        <w:t>.</w:t>
      </w:r>
    </w:p>
  </w:footnote>
  <w:footnote w:id="209">
    <w:p w:rsidR="005953C5" w:rsidRPr="00C00E70" w:rsidRDefault="005953C5" w:rsidP="00620060">
      <w:pPr>
        <w:pStyle w:val="a3"/>
        <w:rPr>
          <w:rtl/>
        </w:rPr>
      </w:pPr>
      <w:r w:rsidRPr="00E957FD">
        <w:rPr>
          <w:rStyle w:val="a5"/>
          <w:sz w:val="18"/>
          <w:szCs w:val="18"/>
        </w:rPr>
        <w:footnoteRef/>
      </w:r>
      <w:r w:rsidRPr="00E957FD">
        <w:rPr>
          <w:sz w:val="18"/>
          <w:szCs w:val="18"/>
          <w:rtl/>
        </w:rPr>
        <w:t xml:space="preserve"> </w:t>
      </w:r>
      <w:r w:rsidRPr="00E957FD">
        <w:rPr>
          <w:rFonts w:hint="cs"/>
          <w:b/>
          <w:bCs/>
          <w:sz w:val="18"/>
          <w:szCs w:val="18"/>
          <w:rtl/>
        </w:rPr>
        <w:t>הט"ז</w:t>
      </w:r>
      <w:r w:rsidRPr="00E957FD">
        <w:rPr>
          <w:rFonts w:hint="cs"/>
          <w:sz w:val="18"/>
          <w:szCs w:val="18"/>
          <w:rtl/>
        </w:rPr>
        <w:t xml:space="preserve"> האריך להקשות על שיטת </w:t>
      </w:r>
      <w:r w:rsidRPr="006A0E37">
        <w:rPr>
          <w:rFonts w:hint="cs"/>
          <w:b/>
          <w:bCs/>
          <w:sz w:val="18"/>
          <w:szCs w:val="18"/>
          <w:rtl/>
        </w:rPr>
        <w:t>מהרש"ל</w:t>
      </w:r>
      <w:r w:rsidRPr="00E957FD">
        <w:rPr>
          <w:rFonts w:hint="cs"/>
          <w:sz w:val="18"/>
          <w:szCs w:val="18"/>
          <w:rtl/>
        </w:rPr>
        <w:t xml:space="preserve"> בפירוש דברי </w:t>
      </w:r>
      <w:r w:rsidRPr="006A0E37">
        <w:rPr>
          <w:rFonts w:hint="cs"/>
          <w:b/>
          <w:bCs/>
          <w:sz w:val="18"/>
          <w:szCs w:val="18"/>
          <w:rtl/>
        </w:rPr>
        <w:t>הטור</w:t>
      </w:r>
      <w:r w:rsidRPr="00E957FD">
        <w:rPr>
          <w:rFonts w:hint="cs"/>
          <w:sz w:val="18"/>
          <w:szCs w:val="18"/>
          <w:rtl/>
        </w:rPr>
        <w:t>, להל</w:t>
      </w:r>
      <w:r>
        <w:rPr>
          <w:rFonts w:hint="cs"/>
          <w:sz w:val="18"/>
          <w:szCs w:val="18"/>
          <w:rtl/>
        </w:rPr>
        <w:t>ן</w:t>
      </w:r>
      <w:r w:rsidRPr="00E957FD">
        <w:rPr>
          <w:rFonts w:hint="cs"/>
          <w:sz w:val="18"/>
          <w:szCs w:val="18"/>
          <w:rtl/>
        </w:rPr>
        <w:t xml:space="preserve"> לשון הטור: </w:t>
      </w:r>
      <w:r w:rsidRPr="00E957FD">
        <w:rPr>
          <w:sz w:val="18"/>
          <w:szCs w:val="18"/>
          <w:rtl/>
        </w:rPr>
        <w:br/>
      </w:r>
      <w:r w:rsidRPr="00E957FD">
        <w:rPr>
          <w:rFonts w:hint="cs"/>
          <w:sz w:val="18"/>
          <w:szCs w:val="18"/>
          <w:rtl/>
        </w:rPr>
        <w:t>"</w:t>
      </w:r>
      <w:r w:rsidRPr="00E957FD">
        <w:rPr>
          <w:rFonts w:cs="Arial" w:hint="cs"/>
          <w:sz w:val="18"/>
          <w:szCs w:val="18"/>
          <w:rtl/>
        </w:rPr>
        <w:t>שינתה</w:t>
      </w:r>
      <w:r w:rsidRPr="00E957FD">
        <w:rPr>
          <w:rFonts w:cs="Arial"/>
          <w:sz w:val="18"/>
          <w:szCs w:val="18"/>
          <w:rtl/>
        </w:rPr>
        <w:t xml:space="preserve"> </w:t>
      </w:r>
      <w:r w:rsidRPr="00E957FD">
        <w:rPr>
          <w:rFonts w:cs="Arial" w:hint="cs"/>
          <w:sz w:val="18"/>
          <w:szCs w:val="18"/>
          <w:rtl/>
        </w:rPr>
        <w:t>ראיותיה</w:t>
      </w:r>
      <w:r w:rsidRPr="00E957FD">
        <w:rPr>
          <w:rFonts w:cs="Arial"/>
          <w:sz w:val="18"/>
          <w:szCs w:val="18"/>
          <w:rtl/>
        </w:rPr>
        <w:t xml:space="preserve"> </w:t>
      </w:r>
      <w:r w:rsidRPr="00E957FD">
        <w:rPr>
          <w:rFonts w:cs="Arial" w:hint="cs"/>
          <w:sz w:val="18"/>
          <w:szCs w:val="18"/>
          <w:rtl/>
        </w:rPr>
        <w:t>ולא</w:t>
      </w:r>
      <w:r w:rsidRPr="00E957FD">
        <w:rPr>
          <w:rFonts w:cs="Arial"/>
          <w:sz w:val="18"/>
          <w:szCs w:val="18"/>
          <w:rtl/>
        </w:rPr>
        <w:t xml:space="preserve"> </w:t>
      </w:r>
      <w:r w:rsidRPr="00E957FD">
        <w:rPr>
          <w:rFonts w:cs="Arial" w:hint="cs"/>
          <w:sz w:val="18"/>
          <w:szCs w:val="18"/>
          <w:rtl/>
        </w:rPr>
        <w:t>השווה</w:t>
      </w:r>
      <w:r w:rsidRPr="00E957FD">
        <w:rPr>
          <w:rFonts w:cs="Arial"/>
          <w:sz w:val="18"/>
          <w:szCs w:val="18"/>
          <w:rtl/>
        </w:rPr>
        <w:t xml:space="preserve"> </w:t>
      </w:r>
      <w:r w:rsidRPr="00E957FD">
        <w:rPr>
          <w:rFonts w:cs="Arial" w:hint="cs"/>
          <w:sz w:val="18"/>
          <w:szCs w:val="18"/>
          <w:rtl/>
        </w:rPr>
        <w:t>אותם,</w:t>
      </w:r>
      <w:r w:rsidRPr="00E957FD">
        <w:rPr>
          <w:rFonts w:cs="Arial"/>
          <w:sz w:val="18"/>
          <w:szCs w:val="18"/>
          <w:rtl/>
        </w:rPr>
        <w:t xml:space="preserve"> </w:t>
      </w:r>
      <w:r w:rsidRPr="00E957FD">
        <w:rPr>
          <w:rFonts w:cs="Arial" w:hint="cs"/>
          <w:sz w:val="18"/>
          <w:szCs w:val="18"/>
          <w:rtl/>
        </w:rPr>
        <w:t>כגון</w:t>
      </w:r>
      <w:r w:rsidRPr="00E957FD">
        <w:rPr>
          <w:rFonts w:cs="Arial"/>
          <w:sz w:val="18"/>
          <w:szCs w:val="18"/>
          <w:rtl/>
        </w:rPr>
        <w:t xml:space="preserve"> </w:t>
      </w:r>
      <w:r w:rsidRPr="00E957FD">
        <w:rPr>
          <w:rFonts w:cs="Arial" w:hint="cs"/>
          <w:sz w:val="18"/>
          <w:szCs w:val="18"/>
          <w:rtl/>
        </w:rPr>
        <w:t>ששינתה</w:t>
      </w:r>
      <w:r w:rsidRPr="00E957FD">
        <w:rPr>
          <w:rFonts w:cs="Arial"/>
          <w:sz w:val="18"/>
          <w:szCs w:val="18"/>
          <w:rtl/>
        </w:rPr>
        <w:t xml:space="preserve"> </w:t>
      </w:r>
      <w:r w:rsidRPr="00E957FD">
        <w:rPr>
          <w:rFonts w:cs="Arial" w:hint="cs"/>
          <w:sz w:val="18"/>
          <w:szCs w:val="18"/>
          <w:rtl/>
        </w:rPr>
        <w:t>פעם אחת</w:t>
      </w:r>
      <w:r w:rsidRPr="00E957FD">
        <w:rPr>
          <w:rFonts w:cs="Arial"/>
          <w:sz w:val="18"/>
          <w:szCs w:val="18"/>
          <w:rtl/>
        </w:rPr>
        <w:t xml:space="preserve"> </w:t>
      </w:r>
      <w:r w:rsidRPr="00E957FD">
        <w:rPr>
          <w:rFonts w:cs="Arial" w:hint="cs"/>
          <w:sz w:val="18"/>
          <w:szCs w:val="18"/>
          <w:rtl/>
        </w:rPr>
        <w:t>ליום</w:t>
      </w:r>
      <w:r w:rsidRPr="00E957FD">
        <w:rPr>
          <w:rFonts w:cs="Arial"/>
          <w:sz w:val="18"/>
          <w:szCs w:val="18"/>
          <w:rtl/>
        </w:rPr>
        <w:t xml:space="preserve"> </w:t>
      </w:r>
      <w:r w:rsidRPr="00E957FD">
        <w:rPr>
          <w:rFonts w:cs="Arial" w:hint="cs"/>
          <w:sz w:val="18"/>
          <w:szCs w:val="18"/>
          <w:rtl/>
        </w:rPr>
        <w:t>ל</w:t>
      </w:r>
      <w:r w:rsidRPr="00E957FD">
        <w:rPr>
          <w:rFonts w:cs="Arial"/>
          <w:sz w:val="18"/>
          <w:szCs w:val="18"/>
          <w:rtl/>
        </w:rPr>
        <w:t xml:space="preserve">' </w:t>
      </w:r>
      <w:r w:rsidRPr="00E957FD">
        <w:rPr>
          <w:rFonts w:cs="Arial" w:hint="cs"/>
          <w:sz w:val="18"/>
          <w:szCs w:val="18"/>
          <w:rtl/>
        </w:rPr>
        <w:t>והשני</w:t>
      </w:r>
      <w:r w:rsidRPr="00E957FD">
        <w:rPr>
          <w:rFonts w:cs="Arial"/>
          <w:sz w:val="18"/>
          <w:szCs w:val="18"/>
          <w:rtl/>
        </w:rPr>
        <w:t xml:space="preserve"> </w:t>
      </w:r>
      <w:r w:rsidRPr="00E957FD">
        <w:rPr>
          <w:rFonts w:cs="Arial" w:hint="cs"/>
          <w:sz w:val="18"/>
          <w:szCs w:val="18"/>
          <w:rtl/>
        </w:rPr>
        <w:t>לל</w:t>
      </w:r>
      <w:r w:rsidRPr="00E957FD">
        <w:rPr>
          <w:rFonts w:cs="Arial"/>
          <w:sz w:val="18"/>
          <w:szCs w:val="18"/>
          <w:rtl/>
        </w:rPr>
        <w:t>"</w:t>
      </w:r>
      <w:r w:rsidRPr="00E957FD">
        <w:rPr>
          <w:rFonts w:cs="Arial" w:hint="cs"/>
          <w:sz w:val="18"/>
          <w:szCs w:val="18"/>
          <w:rtl/>
        </w:rPr>
        <w:t>ב</w:t>
      </w:r>
      <w:r w:rsidRPr="00E957FD">
        <w:rPr>
          <w:rFonts w:cs="Arial"/>
          <w:sz w:val="18"/>
          <w:szCs w:val="18"/>
          <w:rtl/>
        </w:rPr>
        <w:t xml:space="preserve"> </w:t>
      </w:r>
      <w:r w:rsidRPr="00E957FD">
        <w:rPr>
          <w:rFonts w:cs="Arial" w:hint="cs"/>
          <w:sz w:val="18"/>
          <w:szCs w:val="18"/>
          <w:rtl/>
        </w:rPr>
        <w:t>והשלישית</w:t>
      </w:r>
      <w:r w:rsidRPr="00E957FD">
        <w:rPr>
          <w:rFonts w:cs="Arial"/>
          <w:sz w:val="18"/>
          <w:szCs w:val="18"/>
          <w:rtl/>
        </w:rPr>
        <w:t xml:space="preserve"> </w:t>
      </w:r>
      <w:r w:rsidRPr="00E957FD">
        <w:rPr>
          <w:rFonts w:cs="Arial" w:hint="cs"/>
          <w:sz w:val="18"/>
          <w:szCs w:val="18"/>
          <w:rtl/>
        </w:rPr>
        <w:t>לל</w:t>
      </w:r>
      <w:r w:rsidRPr="00E957FD">
        <w:rPr>
          <w:rFonts w:cs="Arial"/>
          <w:sz w:val="18"/>
          <w:szCs w:val="18"/>
          <w:rtl/>
        </w:rPr>
        <w:t>"</w:t>
      </w:r>
      <w:r w:rsidRPr="00E957FD">
        <w:rPr>
          <w:rFonts w:cs="Arial" w:hint="cs"/>
          <w:sz w:val="18"/>
          <w:szCs w:val="18"/>
          <w:rtl/>
        </w:rPr>
        <w:t>ד,</w:t>
      </w:r>
      <w:r w:rsidRPr="00E957FD">
        <w:rPr>
          <w:rFonts w:cs="Arial"/>
          <w:sz w:val="18"/>
          <w:szCs w:val="18"/>
          <w:rtl/>
        </w:rPr>
        <w:t xml:space="preserve"> </w:t>
      </w:r>
      <w:r w:rsidRPr="00E957FD">
        <w:rPr>
          <w:rFonts w:cs="Arial" w:hint="cs"/>
          <w:sz w:val="18"/>
          <w:szCs w:val="18"/>
          <w:rtl/>
        </w:rPr>
        <w:t>נעקר</w:t>
      </w:r>
      <w:r w:rsidRPr="00E957FD">
        <w:rPr>
          <w:rFonts w:cs="Arial"/>
          <w:sz w:val="18"/>
          <w:szCs w:val="18"/>
          <w:rtl/>
        </w:rPr>
        <w:t xml:space="preserve"> </w:t>
      </w:r>
      <w:r w:rsidRPr="00E957FD">
        <w:rPr>
          <w:rFonts w:cs="Arial" w:hint="cs"/>
          <w:sz w:val="18"/>
          <w:szCs w:val="18"/>
          <w:rtl/>
        </w:rPr>
        <w:t>וסת</w:t>
      </w:r>
      <w:r w:rsidRPr="00E957FD">
        <w:rPr>
          <w:rFonts w:cs="Arial"/>
          <w:sz w:val="18"/>
          <w:szCs w:val="18"/>
          <w:rtl/>
        </w:rPr>
        <w:t xml:space="preserve"> </w:t>
      </w:r>
      <w:r w:rsidRPr="00E957FD">
        <w:rPr>
          <w:rFonts w:cs="Arial" w:hint="cs"/>
          <w:sz w:val="18"/>
          <w:szCs w:val="18"/>
          <w:rtl/>
        </w:rPr>
        <w:t>הראשון</w:t>
      </w:r>
      <w:r w:rsidRPr="00E957FD">
        <w:rPr>
          <w:rFonts w:cs="Arial"/>
          <w:sz w:val="18"/>
          <w:szCs w:val="18"/>
          <w:rtl/>
        </w:rPr>
        <w:t xml:space="preserve"> </w:t>
      </w:r>
      <w:r w:rsidRPr="00E957FD">
        <w:rPr>
          <w:rFonts w:cs="Arial" w:hint="cs"/>
          <w:sz w:val="18"/>
          <w:szCs w:val="18"/>
          <w:rtl/>
        </w:rPr>
        <w:t>ואין</w:t>
      </w:r>
      <w:r w:rsidRPr="00E957FD">
        <w:rPr>
          <w:rFonts w:cs="Arial"/>
          <w:sz w:val="18"/>
          <w:szCs w:val="18"/>
          <w:rtl/>
        </w:rPr>
        <w:t xml:space="preserve"> </w:t>
      </w:r>
      <w:r w:rsidRPr="00E957FD">
        <w:rPr>
          <w:rFonts w:cs="Arial" w:hint="cs"/>
          <w:sz w:val="18"/>
          <w:szCs w:val="18"/>
          <w:rtl/>
        </w:rPr>
        <w:t>לה</w:t>
      </w:r>
      <w:r w:rsidRPr="00E957FD">
        <w:rPr>
          <w:rFonts w:cs="Arial"/>
          <w:sz w:val="18"/>
          <w:szCs w:val="18"/>
          <w:rtl/>
        </w:rPr>
        <w:t xml:space="preserve"> </w:t>
      </w:r>
      <w:r w:rsidRPr="00E957FD">
        <w:rPr>
          <w:rFonts w:cs="Arial" w:hint="cs"/>
          <w:sz w:val="18"/>
          <w:szCs w:val="18"/>
          <w:rtl/>
        </w:rPr>
        <w:t>וסת</w:t>
      </w:r>
      <w:r w:rsidRPr="00E957FD">
        <w:rPr>
          <w:rFonts w:cs="Arial"/>
          <w:sz w:val="18"/>
          <w:szCs w:val="18"/>
          <w:rtl/>
        </w:rPr>
        <w:t xml:space="preserve"> </w:t>
      </w:r>
      <w:r w:rsidRPr="00E957FD">
        <w:rPr>
          <w:rFonts w:cs="Arial" w:hint="cs"/>
          <w:sz w:val="18"/>
          <w:szCs w:val="18"/>
          <w:rtl/>
        </w:rPr>
        <w:t>כלל.</w:t>
      </w:r>
      <w:r w:rsidRPr="00E957FD">
        <w:rPr>
          <w:rFonts w:cs="Arial"/>
          <w:sz w:val="18"/>
          <w:szCs w:val="18"/>
          <w:rtl/>
        </w:rPr>
        <w:t xml:space="preserve"> </w:t>
      </w:r>
      <w:r w:rsidRPr="00E957FD">
        <w:rPr>
          <w:rFonts w:cs="Arial" w:hint="cs"/>
          <w:sz w:val="18"/>
          <w:szCs w:val="18"/>
          <w:rtl/>
        </w:rPr>
        <w:t>ואם</w:t>
      </w:r>
      <w:r w:rsidRPr="00E957FD">
        <w:rPr>
          <w:rFonts w:cs="Arial"/>
          <w:sz w:val="18"/>
          <w:szCs w:val="18"/>
          <w:rtl/>
        </w:rPr>
        <w:t xml:space="preserve"> </w:t>
      </w:r>
      <w:r w:rsidRPr="00E957FD">
        <w:rPr>
          <w:rFonts w:cs="Arial" w:hint="cs"/>
          <w:sz w:val="18"/>
          <w:szCs w:val="18"/>
          <w:rtl/>
        </w:rPr>
        <w:t>הפסיקה</w:t>
      </w:r>
      <w:r w:rsidRPr="00E957FD">
        <w:rPr>
          <w:rFonts w:cs="Arial"/>
          <w:sz w:val="18"/>
          <w:szCs w:val="18"/>
          <w:rtl/>
        </w:rPr>
        <w:t xml:space="preserve"> </w:t>
      </w:r>
      <w:r w:rsidRPr="00E957FD">
        <w:rPr>
          <w:rFonts w:cs="Arial" w:hint="cs"/>
          <w:sz w:val="18"/>
          <w:szCs w:val="18"/>
          <w:rtl/>
        </w:rPr>
        <w:t>ולא</w:t>
      </w:r>
      <w:r w:rsidRPr="00E957FD">
        <w:rPr>
          <w:rFonts w:cs="Arial"/>
          <w:sz w:val="18"/>
          <w:szCs w:val="18"/>
          <w:rtl/>
        </w:rPr>
        <w:t xml:space="preserve"> </w:t>
      </w:r>
      <w:r w:rsidRPr="00E957FD">
        <w:rPr>
          <w:rFonts w:cs="Arial" w:hint="cs"/>
          <w:sz w:val="18"/>
          <w:szCs w:val="18"/>
          <w:rtl/>
        </w:rPr>
        <w:t>ראתה</w:t>
      </w:r>
      <w:r w:rsidRPr="00E957FD">
        <w:rPr>
          <w:rFonts w:cs="Arial"/>
          <w:sz w:val="18"/>
          <w:szCs w:val="18"/>
          <w:rtl/>
        </w:rPr>
        <w:t xml:space="preserve"> </w:t>
      </w:r>
      <w:r w:rsidRPr="00E957FD">
        <w:rPr>
          <w:rFonts w:cs="Arial" w:hint="cs"/>
          <w:sz w:val="18"/>
          <w:szCs w:val="18"/>
          <w:rtl/>
        </w:rPr>
        <w:t>משעבר</w:t>
      </w:r>
      <w:r w:rsidRPr="00E957FD">
        <w:rPr>
          <w:rFonts w:cs="Arial"/>
          <w:sz w:val="18"/>
          <w:szCs w:val="18"/>
          <w:rtl/>
        </w:rPr>
        <w:t xml:space="preserve"> </w:t>
      </w:r>
      <w:r w:rsidRPr="00E957FD">
        <w:rPr>
          <w:rFonts w:cs="Arial" w:hint="cs"/>
          <w:sz w:val="18"/>
          <w:szCs w:val="18"/>
          <w:rtl/>
        </w:rPr>
        <w:t>עליה</w:t>
      </w:r>
      <w:r w:rsidRPr="00E957FD">
        <w:rPr>
          <w:rFonts w:cs="Arial"/>
          <w:sz w:val="18"/>
          <w:szCs w:val="18"/>
          <w:rtl/>
        </w:rPr>
        <w:t xml:space="preserve"> </w:t>
      </w:r>
      <w:r w:rsidRPr="00E957FD">
        <w:rPr>
          <w:rFonts w:cs="Arial" w:hint="cs"/>
          <w:sz w:val="18"/>
          <w:szCs w:val="18"/>
          <w:rtl/>
        </w:rPr>
        <w:t>יום</w:t>
      </w:r>
      <w:r w:rsidRPr="00E957FD">
        <w:rPr>
          <w:rFonts w:cs="Arial"/>
          <w:sz w:val="18"/>
          <w:szCs w:val="18"/>
          <w:rtl/>
        </w:rPr>
        <w:t xml:space="preserve"> </w:t>
      </w:r>
      <w:r w:rsidRPr="00E957FD">
        <w:rPr>
          <w:rFonts w:cs="Arial" w:hint="cs"/>
          <w:sz w:val="18"/>
          <w:szCs w:val="18"/>
          <w:rtl/>
        </w:rPr>
        <w:t>עשרים,</w:t>
      </w:r>
      <w:r w:rsidRPr="00E957FD">
        <w:rPr>
          <w:rFonts w:cs="Arial"/>
          <w:sz w:val="18"/>
          <w:szCs w:val="18"/>
          <w:rtl/>
        </w:rPr>
        <w:t xml:space="preserve"> </w:t>
      </w:r>
      <w:r w:rsidRPr="00E957FD">
        <w:rPr>
          <w:rFonts w:cs="Arial" w:hint="cs"/>
          <w:sz w:val="18"/>
          <w:szCs w:val="18"/>
          <w:rtl/>
        </w:rPr>
        <w:t>ובדקה</w:t>
      </w:r>
      <w:r w:rsidRPr="00E957FD">
        <w:rPr>
          <w:rFonts w:cs="Arial"/>
          <w:sz w:val="18"/>
          <w:szCs w:val="18"/>
          <w:rtl/>
        </w:rPr>
        <w:t xml:space="preserve"> </w:t>
      </w:r>
      <w:r w:rsidRPr="00E957FD">
        <w:rPr>
          <w:rFonts w:cs="Arial" w:hint="cs"/>
          <w:sz w:val="18"/>
          <w:szCs w:val="18"/>
          <w:rtl/>
        </w:rPr>
        <w:t>ולא</w:t>
      </w:r>
      <w:r w:rsidRPr="00E957FD">
        <w:rPr>
          <w:rFonts w:cs="Arial"/>
          <w:sz w:val="18"/>
          <w:szCs w:val="18"/>
          <w:rtl/>
        </w:rPr>
        <w:t xml:space="preserve"> </w:t>
      </w:r>
      <w:r w:rsidRPr="00E957FD">
        <w:rPr>
          <w:rFonts w:cs="Arial" w:hint="cs"/>
          <w:sz w:val="18"/>
          <w:szCs w:val="18"/>
          <w:rtl/>
        </w:rPr>
        <w:t>ראתה</w:t>
      </w:r>
      <w:r w:rsidRPr="00E957FD">
        <w:rPr>
          <w:rFonts w:cs="Arial"/>
          <w:sz w:val="18"/>
          <w:szCs w:val="18"/>
          <w:rtl/>
        </w:rPr>
        <w:t xml:space="preserve"> </w:t>
      </w:r>
      <w:r w:rsidRPr="00E957FD">
        <w:rPr>
          <w:rFonts w:cs="Arial" w:hint="cs"/>
          <w:sz w:val="18"/>
          <w:szCs w:val="18"/>
          <w:rtl/>
        </w:rPr>
        <w:t>שוב</w:t>
      </w:r>
      <w:r w:rsidRPr="00E957FD">
        <w:rPr>
          <w:rFonts w:cs="Arial"/>
          <w:sz w:val="18"/>
          <w:szCs w:val="18"/>
          <w:rtl/>
        </w:rPr>
        <w:t xml:space="preserve"> </w:t>
      </w:r>
      <w:r w:rsidRPr="00E957FD">
        <w:rPr>
          <w:rFonts w:cs="Arial" w:hint="cs"/>
          <w:sz w:val="18"/>
          <w:szCs w:val="18"/>
          <w:rtl/>
        </w:rPr>
        <w:t>אינה</w:t>
      </w:r>
      <w:r w:rsidRPr="00E957FD">
        <w:rPr>
          <w:rFonts w:cs="Arial"/>
          <w:sz w:val="18"/>
          <w:szCs w:val="18"/>
          <w:rtl/>
        </w:rPr>
        <w:t xml:space="preserve"> </w:t>
      </w:r>
      <w:r w:rsidRPr="00E957FD">
        <w:rPr>
          <w:rFonts w:cs="Arial" w:hint="cs"/>
          <w:sz w:val="18"/>
          <w:szCs w:val="18"/>
          <w:rtl/>
        </w:rPr>
        <w:t>חוששת</w:t>
      </w:r>
      <w:r w:rsidRPr="00E957FD">
        <w:rPr>
          <w:rFonts w:cs="Arial"/>
          <w:sz w:val="18"/>
          <w:szCs w:val="18"/>
          <w:rtl/>
        </w:rPr>
        <w:t xml:space="preserve"> </w:t>
      </w:r>
      <w:r w:rsidRPr="00E957FD">
        <w:rPr>
          <w:rFonts w:cs="Arial" w:hint="cs"/>
          <w:sz w:val="18"/>
          <w:szCs w:val="18"/>
          <w:rtl/>
        </w:rPr>
        <w:t>לעולם.</w:t>
      </w:r>
      <w:r w:rsidRPr="00E957FD">
        <w:rPr>
          <w:rFonts w:cs="Arial"/>
          <w:sz w:val="18"/>
          <w:szCs w:val="18"/>
          <w:rtl/>
        </w:rPr>
        <w:t xml:space="preserve"> </w:t>
      </w:r>
      <w:r w:rsidRPr="00E957FD">
        <w:rPr>
          <w:rFonts w:cs="Arial" w:hint="cs"/>
          <w:sz w:val="18"/>
          <w:szCs w:val="18"/>
          <w:rtl/>
        </w:rPr>
        <w:t>חזרה</w:t>
      </w:r>
      <w:r w:rsidRPr="00E957FD">
        <w:rPr>
          <w:rFonts w:cs="Arial"/>
          <w:sz w:val="18"/>
          <w:szCs w:val="18"/>
          <w:rtl/>
        </w:rPr>
        <w:t xml:space="preserve"> </w:t>
      </w:r>
      <w:r w:rsidRPr="00E957FD">
        <w:rPr>
          <w:rFonts w:cs="Arial" w:hint="cs"/>
          <w:sz w:val="18"/>
          <w:szCs w:val="18"/>
          <w:rtl/>
        </w:rPr>
        <w:t>לראות</w:t>
      </w:r>
      <w:r w:rsidRPr="00E957FD">
        <w:rPr>
          <w:rFonts w:cs="Arial"/>
          <w:sz w:val="18"/>
          <w:szCs w:val="18"/>
          <w:rtl/>
        </w:rPr>
        <w:t xml:space="preserve"> </w:t>
      </w:r>
      <w:r w:rsidRPr="00E957FD">
        <w:rPr>
          <w:rFonts w:cs="Arial" w:hint="cs"/>
          <w:sz w:val="18"/>
          <w:szCs w:val="18"/>
          <w:rtl/>
        </w:rPr>
        <w:t>חוששת</w:t>
      </w:r>
      <w:r w:rsidRPr="00E957FD">
        <w:rPr>
          <w:rFonts w:cs="Arial"/>
          <w:sz w:val="18"/>
          <w:szCs w:val="18"/>
          <w:rtl/>
        </w:rPr>
        <w:t xml:space="preserve"> </w:t>
      </w:r>
      <w:r w:rsidRPr="00E957FD">
        <w:rPr>
          <w:rFonts w:cs="Arial" w:hint="cs"/>
          <w:sz w:val="18"/>
          <w:szCs w:val="18"/>
          <w:rtl/>
        </w:rPr>
        <w:t>ליום</w:t>
      </w:r>
      <w:r w:rsidRPr="00E957FD">
        <w:rPr>
          <w:rFonts w:cs="Arial"/>
          <w:sz w:val="18"/>
          <w:szCs w:val="18"/>
          <w:rtl/>
        </w:rPr>
        <w:t xml:space="preserve"> </w:t>
      </w:r>
      <w:r w:rsidRPr="00E957FD">
        <w:rPr>
          <w:rFonts w:cs="Arial" w:hint="cs"/>
          <w:sz w:val="18"/>
          <w:szCs w:val="18"/>
          <w:rtl/>
        </w:rPr>
        <w:t>כ</w:t>
      </w:r>
      <w:r w:rsidRPr="00E957FD">
        <w:rPr>
          <w:rFonts w:cs="Arial"/>
          <w:sz w:val="18"/>
          <w:szCs w:val="18"/>
          <w:rtl/>
        </w:rPr>
        <w:t xml:space="preserve">' </w:t>
      </w:r>
      <w:r w:rsidRPr="00E957FD">
        <w:rPr>
          <w:rFonts w:cs="Arial" w:hint="cs"/>
          <w:sz w:val="18"/>
          <w:szCs w:val="18"/>
          <w:rtl/>
        </w:rPr>
        <w:t>מראייה</w:t>
      </w:r>
      <w:r w:rsidRPr="00E957FD">
        <w:rPr>
          <w:rFonts w:cs="Arial"/>
          <w:sz w:val="18"/>
          <w:szCs w:val="18"/>
          <w:rtl/>
        </w:rPr>
        <w:t xml:space="preserve"> </w:t>
      </w:r>
      <w:r w:rsidRPr="00E957FD">
        <w:rPr>
          <w:rFonts w:cs="Arial" w:hint="cs"/>
          <w:sz w:val="18"/>
          <w:szCs w:val="18"/>
          <w:rtl/>
        </w:rPr>
        <w:t>זו,</w:t>
      </w:r>
      <w:r w:rsidRPr="00E957FD">
        <w:rPr>
          <w:rFonts w:cs="Arial"/>
          <w:sz w:val="18"/>
          <w:szCs w:val="18"/>
          <w:rtl/>
        </w:rPr>
        <w:t xml:space="preserve"> </w:t>
      </w:r>
      <w:r w:rsidRPr="00E957FD">
        <w:rPr>
          <w:rFonts w:cs="Arial" w:hint="cs"/>
          <w:sz w:val="18"/>
          <w:szCs w:val="18"/>
          <w:rtl/>
        </w:rPr>
        <w:t>שעדיין</w:t>
      </w:r>
      <w:r w:rsidRPr="00E957FD">
        <w:rPr>
          <w:rFonts w:cs="Arial"/>
          <w:sz w:val="18"/>
          <w:szCs w:val="18"/>
          <w:rtl/>
        </w:rPr>
        <w:t xml:space="preserve"> </w:t>
      </w:r>
      <w:r w:rsidRPr="00E957FD">
        <w:rPr>
          <w:rFonts w:cs="Arial" w:hint="cs"/>
          <w:sz w:val="18"/>
          <w:szCs w:val="18"/>
          <w:rtl/>
        </w:rPr>
        <w:t>לא</w:t>
      </w:r>
      <w:r w:rsidRPr="00E957FD">
        <w:rPr>
          <w:rFonts w:cs="Arial"/>
          <w:sz w:val="18"/>
          <w:szCs w:val="18"/>
          <w:rtl/>
        </w:rPr>
        <w:t xml:space="preserve"> </w:t>
      </w:r>
      <w:r w:rsidRPr="00E957FD">
        <w:rPr>
          <w:rFonts w:cs="Arial" w:hint="cs"/>
          <w:sz w:val="18"/>
          <w:szCs w:val="18"/>
          <w:rtl/>
        </w:rPr>
        <w:t>נעקר</w:t>
      </w:r>
      <w:r w:rsidRPr="00E957FD">
        <w:rPr>
          <w:rFonts w:cs="Arial"/>
          <w:sz w:val="18"/>
          <w:szCs w:val="18"/>
          <w:rtl/>
        </w:rPr>
        <w:t xml:space="preserve"> </w:t>
      </w:r>
      <w:r w:rsidRPr="00E957FD">
        <w:rPr>
          <w:rFonts w:cs="Arial" w:hint="cs"/>
          <w:sz w:val="18"/>
          <w:szCs w:val="18"/>
          <w:rtl/>
        </w:rPr>
        <w:t>וסת</w:t>
      </w:r>
      <w:r w:rsidRPr="00E957FD">
        <w:rPr>
          <w:rFonts w:cs="Arial"/>
          <w:sz w:val="18"/>
          <w:szCs w:val="18"/>
          <w:rtl/>
        </w:rPr>
        <w:t xml:space="preserve"> </w:t>
      </w:r>
      <w:r w:rsidRPr="00E957FD">
        <w:rPr>
          <w:rFonts w:cs="Arial" w:hint="cs"/>
          <w:sz w:val="18"/>
          <w:szCs w:val="18"/>
          <w:rtl/>
        </w:rPr>
        <w:t>הראשון</w:t>
      </w:r>
      <w:r w:rsidRPr="00E957FD">
        <w:rPr>
          <w:rFonts w:cs="Arial"/>
          <w:sz w:val="18"/>
          <w:szCs w:val="18"/>
          <w:rtl/>
        </w:rPr>
        <w:t xml:space="preserve"> </w:t>
      </w:r>
      <w:r w:rsidRPr="00E957FD">
        <w:rPr>
          <w:rFonts w:cs="Arial" w:hint="cs"/>
          <w:sz w:val="18"/>
          <w:szCs w:val="18"/>
          <w:rtl/>
        </w:rPr>
        <w:t>ממקומו,</w:t>
      </w:r>
      <w:r w:rsidRPr="00E957FD">
        <w:rPr>
          <w:rFonts w:cs="Arial"/>
          <w:sz w:val="18"/>
          <w:szCs w:val="18"/>
          <w:rtl/>
        </w:rPr>
        <w:t xml:space="preserve"> </w:t>
      </w:r>
      <w:r w:rsidRPr="00E957FD">
        <w:rPr>
          <w:rFonts w:cs="Arial" w:hint="cs"/>
          <w:sz w:val="18"/>
          <w:szCs w:val="18"/>
          <w:rtl/>
        </w:rPr>
        <w:t>בין</w:t>
      </w:r>
      <w:r w:rsidRPr="00E957FD">
        <w:rPr>
          <w:rFonts w:cs="Arial"/>
          <w:sz w:val="18"/>
          <w:szCs w:val="18"/>
          <w:rtl/>
        </w:rPr>
        <w:t xml:space="preserve"> </w:t>
      </w:r>
      <w:r w:rsidRPr="00E957FD">
        <w:rPr>
          <w:rFonts w:cs="Arial" w:hint="cs"/>
          <w:sz w:val="18"/>
          <w:szCs w:val="18"/>
          <w:rtl/>
        </w:rPr>
        <w:t>אם</w:t>
      </w:r>
      <w:r w:rsidRPr="00E957FD">
        <w:rPr>
          <w:rFonts w:cs="Arial"/>
          <w:sz w:val="18"/>
          <w:szCs w:val="18"/>
          <w:rtl/>
        </w:rPr>
        <w:t xml:space="preserve"> </w:t>
      </w:r>
      <w:r w:rsidRPr="00E957FD">
        <w:rPr>
          <w:rFonts w:cs="Arial" w:hint="cs"/>
          <w:sz w:val="18"/>
          <w:szCs w:val="18"/>
          <w:rtl/>
        </w:rPr>
        <w:t>פסקה</w:t>
      </w:r>
      <w:r w:rsidRPr="00E957FD">
        <w:rPr>
          <w:rFonts w:cs="Arial"/>
          <w:sz w:val="18"/>
          <w:szCs w:val="18"/>
          <w:rtl/>
        </w:rPr>
        <w:t xml:space="preserve"> </w:t>
      </w:r>
      <w:r w:rsidRPr="00E957FD">
        <w:rPr>
          <w:rFonts w:cs="Arial" w:hint="cs"/>
          <w:sz w:val="18"/>
          <w:szCs w:val="18"/>
          <w:rtl/>
        </w:rPr>
        <w:t>מלראות</w:t>
      </w:r>
      <w:r w:rsidRPr="00E957FD">
        <w:rPr>
          <w:rFonts w:cs="Arial"/>
          <w:sz w:val="18"/>
          <w:szCs w:val="18"/>
          <w:rtl/>
        </w:rPr>
        <w:t xml:space="preserve"> </w:t>
      </w:r>
      <w:r w:rsidRPr="00E957FD">
        <w:rPr>
          <w:rFonts w:cs="Arial" w:hint="cs"/>
          <w:sz w:val="18"/>
          <w:szCs w:val="18"/>
          <w:rtl/>
        </w:rPr>
        <w:t>או</w:t>
      </w:r>
      <w:r w:rsidRPr="00E957FD">
        <w:rPr>
          <w:rFonts w:cs="Arial"/>
          <w:sz w:val="18"/>
          <w:szCs w:val="18"/>
          <w:rtl/>
        </w:rPr>
        <w:t xml:space="preserve"> </w:t>
      </w:r>
      <w:r w:rsidRPr="00E957FD">
        <w:rPr>
          <w:rFonts w:cs="Arial" w:hint="cs"/>
          <w:sz w:val="18"/>
          <w:szCs w:val="18"/>
          <w:rtl/>
        </w:rPr>
        <w:t>ששינתה</w:t>
      </w:r>
      <w:r w:rsidRPr="00E957FD">
        <w:rPr>
          <w:rFonts w:cs="Arial"/>
          <w:sz w:val="18"/>
          <w:szCs w:val="18"/>
          <w:rtl/>
        </w:rPr>
        <w:t xml:space="preserve"> </w:t>
      </w:r>
      <w:r w:rsidRPr="00E957FD">
        <w:rPr>
          <w:rFonts w:cs="Arial" w:hint="cs"/>
          <w:sz w:val="18"/>
          <w:szCs w:val="18"/>
          <w:rtl/>
        </w:rPr>
        <w:t>בראיות</w:t>
      </w:r>
      <w:r w:rsidRPr="00E957FD">
        <w:rPr>
          <w:rFonts w:cs="Arial"/>
          <w:sz w:val="18"/>
          <w:szCs w:val="18"/>
          <w:rtl/>
        </w:rPr>
        <w:t xml:space="preserve"> </w:t>
      </w:r>
      <w:r w:rsidRPr="00E957FD">
        <w:rPr>
          <w:rFonts w:cs="Arial" w:hint="cs"/>
          <w:sz w:val="18"/>
          <w:szCs w:val="18"/>
          <w:rtl/>
        </w:rPr>
        <w:t>שאינן</w:t>
      </w:r>
      <w:r w:rsidRPr="00E957FD">
        <w:rPr>
          <w:rFonts w:cs="Arial"/>
          <w:sz w:val="18"/>
          <w:szCs w:val="18"/>
          <w:rtl/>
        </w:rPr>
        <w:t xml:space="preserve"> </w:t>
      </w:r>
      <w:r w:rsidRPr="00E957FD">
        <w:rPr>
          <w:rFonts w:cs="Arial" w:hint="cs"/>
          <w:sz w:val="18"/>
          <w:szCs w:val="18"/>
          <w:rtl/>
        </w:rPr>
        <w:t>שוות.</w:t>
      </w:r>
      <w:r w:rsidRPr="00E957FD">
        <w:rPr>
          <w:rFonts w:cs="Arial"/>
          <w:sz w:val="18"/>
          <w:szCs w:val="18"/>
          <w:rtl/>
        </w:rPr>
        <w:t xml:space="preserve"> </w:t>
      </w:r>
      <w:r w:rsidRPr="00E957FD">
        <w:rPr>
          <w:rFonts w:cs="Arial" w:hint="cs"/>
          <w:sz w:val="18"/>
          <w:szCs w:val="18"/>
          <w:rtl/>
        </w:rPr>
        <w:t>שלעולם</w:t>
      </w:r>
      <w:r w:rsidRPr="00E957FD">
        <w:rPr>
          <w:rFonts w:cs="Arial"/>
          <w:sz w:val="18"/>
          <w:szCs w:val="18"/>
          <w:rtl/>
        </w:rPr>
        <w:t xml:space="preserve"> </w:t>
      </w:r>
      <w:r w:rsidRPr="00E957FD">
        <w:rPr>
          <w:rFonts w:cs="Arial" w:hint="cs"/>
          <w:sz w:val="18"/>
          <w:szCs w:val="18"/>
          <w:rtl/>
        </w:rPr>
        <w:t>לא</w:t>
      </w:r>
      <w:r w:rsidRPr="00E957FD">
        <w:rPr>
          <w:rFonts w:cs="Arial"/>
          <w:sz w:val="18"/>
          <w:szCs w:val="18"/>
          <w:rtl/>
        </w:rPr>
        <w:t xml:space="preserve"> </w:t>
      </w:r>
      <w:r w:rsidRPr="00E957FD">
        <w:rPr>
          <w:rFonts w:cs="Arial" w:hint="cs"/>
          <w:sz w:val="18"/>
          <w:szCs w:val="18"/>
          <w:rtl/>
        </w:rPr>
        <w:t>נעקר</w:t>
      </w:r>
      <w:r w:rsidRPr="00E957FD">
        <w:rPr>
          <w:rFonts w:cs="Arial"/>
          <w:sz w:val="18"/>
          <w:szCs w:val="18"/>
          <w:rtl/>
        </w:rPr>
        <w:t xml:space="preserve"> </w:t>
      </w:r>
      <w:r w:rsidRPr="00E957FD">
        <w:rPr>
          <w:rFonts w:cs="Arial" w:hint="cs"/>
          <w:sz w:val="18"/>
          <w:szCs w:val="18"/>
          <w:rtl/>
        </w:rPr>
        <w:t>ווסת</w:t>
      </w:r>
      <w:r w:rsidRPr="00E957FD">
        <w:rPr>
          <w:rFonts w:cs="Arial"/>
          <w:sz w:val="18"/>
          <w:szCs w:val="18"/>
          <w:rtl/>
        </w:rPr>
        <w:t xml:space="preserve"> </w:t>
      </w:r>
      <w:r w:rsidRPr="00E957FD">
        <w:rPr>
          <w:rFonts w:cs="Arial" w:hint="cs"/>
          <w:sz w:val="18"/>
          <w:szCs w:val="18"/>
          <w:rtl/>
        </w:rPr>
        <w:t>הראשון</w:t>
      </w:r>
      <w:r w:rsidRPr="00E957FD">
        <w:rPr>
          <w:rFonts w:cs="Arial"/>
          <w:sz w:val="18"/>
          <w:szCs w:val="18"/>
          <w:rtl/>
        </w:rPr>
        <w:t xml:space="preserve"> </w:t>
      </w:r>
      <w:r w:rsidRPr="00E957FD">
        <w:rPr>
          <w:rFonts w:cs="Arial" w:hint="cs"/>
          <w:sz w:val="18"/>
          <w:szCs w:val="18"/>
          <w:rtl/>
        </w:rPr>
        <w:t>ממקומו</w:t>
      </w:r>
      <w:r w:rsidRPr="00E957FD">
        <w:rPr>
          <w:rFonts w:cs="Arial"/>
          <w:sz w:val="18"/>
          <w:szCs w:val="18"/>
          <w:rtl/>
        </w:rPr>
        <w:t xml:space="preserve"> </w:t>
      </w:r>
      <w:r w:rsidRPr="00E957FD">
        <w:rPr>
          <w:rFonts w:cs="Arial" w:hint="cs"/>
          <w:sz w:val="18"/>
          <w:szCs w:val="18"/>
          <w:rtl/>
        </w:rPr>
        <w:t>עד</w:t>
      </w:r>
      <w:r w:rsidRPr="00E957FD">
        <w:rPr>
          <w:rFonts w:cs="Arial"/>
          <w:sz w:val="18"/>
          <w:szCs w:val="18"/>
          <w:rtl/>
        </w:rPr>
        <w:t xml:space="preserve"> </w:t>
      </w:r>
      <w:r w:rsidRPr="00E957FD">
        <w:rPr>
          <w:rFonts w:cs="Arial" w:hint="cs"/>
          <w:sz w:val="18"/>
          <w:szCs w:val="18"/>
          <w:rtl/>
        </w:rPr>
        <w:t>שתקבענו</w:t>
      </w:r>
      <w:r w:rsidRPr="00E957FD">
        <w:rPr>
          <w:rFonts w:cs="Arial"/>
          <w:sz w:val="18"/>
          <w:szCs w:val="18"/>
          <w:rtl/>
        </w:rPr>
        <w:t xml:space="preserve"> </w:t>
      </w:r>
      <w:r w:rsidRPr="00E957FD">
        <w:rPr>
          <w:rFonts w:cs="Arial" w:hint="cs"/>
          <w:sz w:val="18"/>
          <w:szCs w:val="18"/>
          <w:rtl/>
        </w:rPr>
        <w:t>בג</w:t>
      </w:r>
      <w:r w:rsidRPr="00E957FD">
        <w:rPr>
          <w:rFonts w:cs="Arial"/>
          <w:sz w:val="18"/>
          <w:szCs w:val="18"/>
          <w:rtl/>
        </w:rPr>
        <w:t xml:space="preserve">' </w:t>
      </w:r>
      <w:r w:rsidRPr="00E957FD">
        <w:rPr>
          <w:rFonts w:cs="Arial" w:hint="cs"/>
          <w:sz w:val="18"/>
          <w:szCs w:val="18"/>
          <w:rtl/>
        </w:rPr>
        <w:t>ראיות</w:t>
      </w:r>
      <w:r w:rsidRPr="00E957FD">
        <w:rPr>
          <w:rFonts w:cs="Arial"/>
          <w:sz w:val="18"/>
          <w:szCs w:val="18"/>
          <w:rtl/>
        </w:rPr>
        <w:t xml:space="preserve"> </w:t>
      </w:r>
      <w:r w:rsidRPr="00E957FD">
        <w:rPr>
          <w:rFonts w:cs="Arial" w:hint="cs"/>
          <w:sz w:val="18"/>
          <w:szCs w:val="18"/>
          <w:rtl/>
        </w:rPr>
        <w:t>שוות".</w:t>
      </w:r>
      <w:r w:rsidRPr="00E957FD">
        <w:rPr>
          <w:rFonts w:cs="Arial"/>
          <w:sz w:val="18"/>
          <w:szCs w:val="18"/>
          <w:rtl/>
        </w:rPr>
        <w:br/>
      </w:r>
      <w:r w:rsidRPr="00E957FD">
        <w:rPr>
          <w:rFonts w:cs="Arial" w:hint="cs"/>
          <w:sz w:val="18"/>
          <w:szCs w:val="18"/>
          <w:rtl/>
        </w:rPr>
        <w:t xml:space="preserve">מקשה </w:t>
      </w:r>
      <w:r w:rsidRPr="00E957FD">
        <w:rPr>
          <w:rFonts w:cs="Arial" w:hint="cs"/>
          <w:b/>
          <w:bCs/>
          <w:sz w:val="18"/>
          <w:szCs w:val="18"/>
          <w:rtl/>
        </w:rPr>
        <w:t>הט"ז</w:t>
      </w:r>
      <w:r w:rsidRPr="00E957FD">
        <w:rPr>
          <w:rFonts w:cs="Arial" w:hint="cs"/>
          <w:sz w:val="18"/>
          <w:szCs w:val="18"/>
          <w:rtl/>
        </w:rPr>
        <w:t xml:space="preserve"> - </w:t>
      </w:r>
      <w:r w:rsidRPr="00E957FD">
        <w:rPr>
          <w:rFonts w:cs="Arial"/>
          <w:sz w:val="18"/>
          <w:szCs w:val="18"/>
          <w:rtl/>
        </w:rPr>
        <w:br/>
      </w:r>
      <w:r w:rsidRPr="00E957FD">
        <w:rPr>
          <w:rFonts w:cs="Arial" w:hint="cs"/>
          <w:sz w:val="18"/>
          <w:szCs w:val="18"/>
          <w:rtl/>
        </w:rPr>
        <w:t>א. "בין</w:t>
      </w:r>
      <w:r w:rsidRPr="00E957FD">
        <w:rPr>
          <w:rFonts w:cs="Arial"/>
          <w:sz w:val="18"/>
          <w:szCs w:val="18"/>
          <w:rtl/>
        </w:rPr>
        <w:t xml:space="preserve"> </w:t>
      </w:r>
      <w:r w:rsidRPr="00E957FD">
        <w:rPr>
          <w:rFonts w:cs="Arial" w:hint="cs"/>
          <w:sz w:val="18"/>
          <w:szCs w:val="18"/>
          <w:rtl/>
        </w:rPr>
        <w:t>אם</w:t>
      </w:r>
      <w:r w:rsidRPr="00E957FD">
        <w:rPr>
          <w:rFonts w:cs="Arial"/>
          <w:sz w:val="18"/>
          <w:szCs w:val="18"/>
          <w:rtl/>
        </w:rPr>
        <w:t xml:space="preserve"> </w:t>
      </w:r>
      <w:r w:rsidRPr="00E957FD">
        <w:rPr>
          <w:rFonts w:cs="Arial" w:hint="cs"/>
          <w:sz w:val="18"/>
          <w:szCs w:val="18"/>
          <w:rtl/>
        </w:rPr>
        <w:t>פסקה</w:t>
      </w:r>
      <w:r w:rsidRPr="00E957FD">
        <w:rPr>
          <w:rFonts w:cs="Arial"/>
          <w:sz w:val="18"/>
          <w:szCs w:val="18"/>
          <w:rtl/>
        </w:rPr>
        <w:t xml:space="preserve"> </w:t>
      </w:r>
      <w:r w:rsidRPr="00E957FD">
        <w:rPr>
          <w:rFonts w:cs="Arial" w:hint="cs"/>
          <w:sz w:val="18"/>
          <w:szCs w:val="18"/>
          <w:rtl/>
        </w:rPr>
        <w:t>מלראות</w:t>
      </w:r>
      <w:r w:rsidRPr="00E957FD">
        <w:rPr>
          <w:rFonts w:cs="Arial"/>
          <w:sz w:val="18"/>
          <w:szCs w:val="18"/>
          <w:rtl/>
        </w:rPr>
        <w:t xml:space="preserve"> </w:t>
      </w:r>
      <w:r w:rsidRPr="00E957FD">
        <w:rPr>
          <w:rFonts w:cs="Arial" w:hint="cs"/>
          <w:sz w:val="18"/>
          <w:szCs w:val="18"/>
          <w:rtl/>
        </w:rPr>
        <w:t>או</w:t>
      </w:r>
      <w:r w:rsidRPr="00E957FD">
        <w:rPr>
          <w:rFonts w:cs="Arial"/>
          <w:sz w:val="18"/>
          <w:szCs w:val="18"/>
          <w:rtl/>
        </w:rPr>
        <w:t xml:space="preserve"> </w:t>
      </w:r>
      <w:r w:rsidRPr="00E957FD">
        <w:rPr>
          <w:rFonts w:cs="Arial" w:hint="cs"/>
          <w:sz w:val="18"/>
          <w:szCs w:val="18"/>
          <w:rtl/>
        </w:rPr>
        <w:t>ששינתה</w:t>
      </w:r>
      <w:r w:rsidRPr="00E957FD">
        <w:rPr>
          <w:rFonts w:cs="Arial"/>
          <w:sz w:val="18"/>
          <w:szCs w:val="18"/>
          <w:rtl/>
        </w:rPr>
        <w:t xml:space="preserve"> </w:t>
      </w:r>
      <w:r w:rsidRPr="00E957FD">
        <w:rPr>
          <w:rFonts w:cs="Arial" w:hint="cs"/>
          <w:sz w:val="18"/>
          <w:szCs w:val="18"/>
          <w:rtl/>
        </w:rPr>
        <w:t>בראיות</w:t>
      </w:r>
      <w:r w:rsidRPr="00E957FD">
        <w:rPr>
          <w:rFonts w:cs="Arial"/>
          <w:sz w:val="18"/>
          <w:szCs w:val="18"/>
          <w:rtl/>
        </w:rPr>
        <w:t xml:space="preserve"> </w:t>
      </w:r>
      <w:r w:rsidRPr="00E957FD">
        <w:rPr>
          <w:rFonts w:cs="Arial" w:hint="cs"/>
          <w:sz w:val="18"/>
          <w:szCs w:val="18"/>
          <w:rtl/>
        </w:rPr>
        <w:t>שאינן</w:t>
      </w:r>
      <w:r w:rsidRPr="00E957FD">
        <w:rPr>
          <w:rFonts w:cs="Arial"/>
          <w:sz w:val="18"/>
          <w:szCs w:val="18"/>
          <w:rtl/>
        </w:rPr>
        <w:t xml:space="preserve"> </w:t>
      </w:r>
      <w:r w:rsidRPr="00E957FD">
        <w:rPr>
          <w:rFonts w:cs="Arial" w:hint="cs"/>
          <w:sz w:val="18"/>
          <w:szCs w:val="18"/>
          <w:rtl/>
        </w:rPr>
        <w:t>שוות", שינוי בראיות שאינן שוות אף מהרש"ל מפרש שמדובר על ג' עונות, ואם כן כך יש לפרש גם את הלשון "פסקה מלראות" שמדובר על ג' עונות. ומכיוון שכך יש לפרש בסיפא, הוא הדין שיש לפרש כך גם ברישא: "ואם</w:t>
      </w:r>
      <w:r w:rsidRPr="00E957FD">
        <w:rPr>
          <w:rFonts w:cs="Arial"/>
          <w:sz w:val="18"/>
          <w:szCs w:val="18"/>
          <w:rtl/>
        </w:rPr>
        <w:t xml:space="preserve"> </w:t>
      </w:r>
      <w:r w:rsidRPr="00E957FD">
        <w:rPr>
          <w:rFonts w:cs="Arial" w:hint="cs"/>
          <w:sz w:val="18"/>
          <w:szCs w:val="18"/>
          <w:rtl/>
        </w:rPr>
        <w:t>הפסיקה</w:t>
      </w:r>
      <w:r w:rsidRPr="00E957FD">
        <w:rPr>
          <w:rFonts w:cs="Arial"/>
          <w:sz w:val="18"/>
          <w:szCs w:val="18"/>
          <w:rtl/>
        </w:rPr>
        <w:t xml:space="preserve"> </w:t>
      </w:r>
      <w:r w:rsidRPr="00E957FD">
        <w:rPr>
          <w:rFonts w:cs="Arial" w:hint="cs"/>
          <w:sz w:val="18"/>
          <w:szCs w:val="18"/>
          <w:rtl/>
        </w:rPr>
        <w:t>ולא</w:t>
      </w:r>
      <w:r w:rsidRPr="00E957FD">
        <w:rPr>
          <w:rFonts w:cs="Arial"/>
          <w:sz w:val="18"/>
          <w:szCs w:val="18"/>
          <w:rtl/>
        </w:rPr>
        <w:t xml:space="preserve"> </w:t>
      </w:r>
      <w:r w:rsidRPr="00E957FD">
        <w:rPr>
          <w:rFonts w:cs="Arial" w:hint="cs"/>
          <w:sz w:val="18"/>
          <w:szCs w:val="18"/>
          <w:rtl/>
        </w:rPr>
        <w:t>ראתה</w:t>
      </w:r>
      <w:r w:rsidRPr="00E957FD">
        <w:rPr>
          <w:rFonts w:cs="Arial"/>
          <w:sz w:val="18"/>
          <w:szCs w:val="18"/>
          <w:rtl/>
        </w:rPr>
        <w:t xml:space="preserve"> </w:t>
      </w:r>
      <w:r w:rsidRPr="00E957FD">
        <w:rPr>
          <w:rFonts w:cs="Arial" w:hint="cs"/>
          <w:sz w:val="18"/>
          <w:szCs w:val="18"/>
          <w:rtl/>
        </w:rPr>
        <w:t>משעבר</w:t>
      </w:r>
      <w:r w:rsidRPr="00E957FD">
        <w:rPr>
          <w:rFonts w:cs="Arial"/>
          <w:sz w:val="18"/>
          <w:szCs w:val="18"/>
          <w:rtl/>
        </w:rPr>
        <w:t xml:space="preserve"> </w:t>
      </w:r>
      <w:r w:rsidRPr="00E957FD">
        <w:rPr>
          <w:rFonts w:cs="Arial" w:hint="cs"/>
          <w:sz w:val="18"/>
          <w:szCs w:val="18"/>
          <w:rtl/>
        </w:rPr>
        <w:t>עליה</w:t>
      </w:r>
      <w:r w:rsidRPr="00E957FD">
        <w:rPr>
          <w:rFonts w:cs="Arial"/>
          <w:sz w:val="18"/>
          <w:szCs w:val="18"/>
          <w:rtl/>
        </w:rPr>
        <w:t xml:space="preserve"> </w:t>
      </w:r>
      <w:r w:rsidRPr="00E957FD">
        <w:rPr>
          <w:rFonts w:cs="Arial" w:hint="cs"/>
          <w:sz w:val="18"/>
          <w:szCs w:val="18"/>
          <w:rtl/>
        </w:rPr>
        <w:t>יום</w:t>
      </w:r>
      <w:r w:rsidRPr="00E957FD">
        <w:rPr>
          <w:rFonts w:cs="Arial"/>
          <w:sz w:val="18"/>
          <w:szCs w:val="18"/>
          <w:rtl/>
        </w:rPr>
        <w:t xml:space="preserve"> </w:t>
      </w:r>
      <w:r w:rsidRPr="00E957FD">
        <w:rPr>
          <w:rFonts w:cs="Arial" w:hint="cs"/>
          <w:sz w:val="18"/>
          <w:szCs w:val="18"/>
          <w:rtl/>
        </w:rPr>
        <w:t>עשרים" שהפסיקה מלראות ג' פעמים.</w:t>
      </w:r>
      <w:r w:rsidRPr="00E957FD">
        <w:rPr>
          <w:rFonts w:cs="Arial" w:hint="cs"/>
          <w:sz w:val="18"/>
          <w:szCs w:val="18"/>
          <w:rtl/>
        </w:rPr>
        <w:br/>
        <w:t xml:space="preserve">דחיית </w:t>
      </w:r>
      <w:r w:rsidRPr="00E957FD">
        <w:rPr>
          <w:rFonts w:cs="Arial" w:hint="cs"/>
          <w:b/>
          <w:bCs/>
          <w:sz w:val="18"/>
          <w:szCs w:val="18"/>
          <w:rtl/>
        </w:rPr>
        <w:t>נקה"כ</w:t>
      </w:r>
      <w:r w:rsidRPr="00E957FD">
        <w:rPr>
          <w:rFonts w:cs="Arial" w:hint="cs"/>
          <w:sz w:val="18"/>
          <w:szCs w:val="18"/>
          <w:rtl/>
        </w:rPr>
        <w:t xml:space="preserve"> - </w:t>
      </w:r>
      <w:r w:rsidRPr="00E957FD">
        <w:rPr>
          <w:rFonts w:cs="Arial"/>
          <w:sz w:val="18"/>
          <w:szCs w:val="18"/>
          <w:rtl/>
        </w:rPr>
        <w:br/>
      </w:r>
      <w:r w:rsidRPr="00E957FD">
        <w:rPr>
          <w:rFonts w:cs="Arial" w:hint="cs"/>
          <w:sz w:val="18"/>
          <w:szCs w:val="18"/>
          <w:rtl/>
        </w:rPr>
        <w:t xml:space="preserve">כוונת הטור בתחילת דבריו שפסקה לראות פעם אחת, אע"פ שבסיפא כוונתו לומר שפסקה לראות ג' פעמים. ובכל חלק בדבריו יש רבותא </w:t>
      </w:r>
      <w:r w:rsidRPr="00E957FD">
        <w:rPr>
          <w:rFonts w:cs="Arial"/>
          <w:sz w:val="18"/>
          <w:szCs w:val="18"/>
          <w:rtl/>
        </w:rPr>
        <w:t>–</w:t>
      </w:r>
      <w:r w:rsidRPr="00E957FD">
        <w:rPr>
          <w:rFonts w:cs="Arial" w:hint="cs"/>
          <w:sz w:val="18"/>
          <w:szCs w:val="18"/>
          <w:rtl/>
        </w:rPr>
        <w:t xml:space="preserve"> רישא רבותא קמ"ל שאע"פ שפסקה לראות רק פעם אחת אינה חוששת יותר ליום זה. סיפא רבותא קמ"ל שאע"פ שלא ראתה ג' פעמים, כשחוזרת ורואה פעם אחת כהרגלה חוזרת לווסתה הקבוע לה. </w:t>
      </w:r>
      <w:r w:rsidRPr="00E957FD">
        <w:rPr>
          <w:rFonts w:cs="Arial" w:hint="cs"/>
          <w:sz w:val="16"/>
          <w:szCs w:val="16"/>
          <w:rtl/>
        </w:rPr>
        <w:t>(ויסוד דבריו בנוי על כך שיש לחלק בין לשון "אם פסקה" שהוא לשון עמידה, הפסיקה לגמרי, לבין הלשון "ואם הפסיקה" שמשמעו אפילו פעם אחת).</w:t>
      </w:r>
      <w:r w:rsidRPr="00E957FD">
        <w:rPr>
          <w:rFonts w:cs="Arial"/>
          <w:sz w:val="18"/>
          <w:szCs w:val="18"/>
          <w:rtl/>
        </w:rPr>
        <w:br/>
      </w:r>
      <w:r w:rsidRPr="00E957FD">
        <w:rPr>
          <w:rFonts w:cs="Arial" w:hint="cs"/>
          <w:sz w:val="18"/>
          <w:szCs w:val="18"/>
          <w:rtl/>
        </w:rPr>
        <w:t>ב. מדוע כתב הטור שהיא "הפסיקה" ובנוסף כתב "ולא ראתה"? על כרחך כוונתו שהפסיקה לגמרי ולא רק שלא ראתה באופן חד פעמי. וכן יש לדקדק זאת מכך שכתב</w:t>
      </w:r>
      <w:r w:rsidRPr="00E957FD">
        <w:rPr>
          <w:rFonts w:cs="Arial"/>
          <w:sz w:val="18"/>
          <w:szCs w:val="18"/>
        </w:rPr>
        <w:t xml:space="preserve"> </w:t>
      </w:r>
      <w:r w:rsidRPr="00E957FD">
        <w:rPr>
          <w:rFonts w:cs="Arial" w:hint="cs"/>
          <w:sz w:val="18"/>
          <w:szCs w:val="18"/>
          <w:rtl/>
        </w:rPr>
        <w:t>"משעבר עליה יום העשרים" ולא כתב שלא ראתה ביום העשרים, משמע שמיום העשרים לא ראתה כלל.</w:t>
      </w:r>
      <w:r w:rsidRPr="00E957FD">
        <w:rPr>
          <w:sz w:val="18"/>
          <w:szCs w:val="18"/>
          <w:rtl/>
        </w:rPr>
        <w:br/>
      </w:r>
      <w:r w:rsidRPr="00E957FD">
        <w:rPr>
          <w:rFonts w:hint="cs"/>
          <w:sz w:val="18"/>
          <w:szCs w:val="18"/>
          <w:rtl/>
        </w:rPr>
        <w:t xml:space="preserve">ג. לפי </w:t>
      </w:r>
      <w:r w:rsidRPr="00E957FD">
        <w:rPr>
          <w:rFonts w:hint="cs"/>
          <w:b/>
          <w:bCs/>
          <w:sz w:val="18"/>
          <w:szCs w:val="18"/>
          <w:rtl/>
        </w:rPr>
        <w:t>מהרש"ל</w:t>
      </w:r>
      <w:r w:rsidRPr="00E957FD">
        <w:rPr>
          <w:rFonts w:hint="cs"/>
          <w:sz w:val="18"/>
          <w:szCs w:val="18"/>
          <w:rtl/>
        </w:rPr>
        <w:t xml:space="preserve">, יש חילוק בין עקירת ווסת ההפלגה לעקירת ווסת החודש </w:t>
      </w:r>
      <w:r w:rsidRPr="00E957FD">
        <w:rPr>
          <w:rFonts w:hint="cs"/>
          <w:sz w:val="16"/>
          <w:szCs w:val="16"/>
          <w:rtl/>
        </w:rPr>
        <w:t>(משום שבווסת החודש מודה מהרש"ל לב"י)</w:t>
      </w:r>
      <w:r w:rsidRPr="00E957FD">
        <w:rPr>
          <w:rFonts w:hint="cs"/>
          <w:sz w:val="18"/>
          <w:szCs w:val="18"/>
          <w:rtl/>
        </w:rPr>
        <w:t>, והרי הטור כתב להדיא שאין חילוק בין עקירת ווסת החודש לעקירת ווסת ההפלגה.</w:t>
      </w:r>
      <w:r w:rsidRPr="00E957FD">
        <w:rPr>
          <w:sz w:val="18"/>
          <w:szCs w:val="18"/>
          <w:rtl/>
        </w:rPr>
        <w:br/>
      </w:r>
      <w:r w:rsidRPr="00E957FD">
        <w:rPr>
          <w:rFonts w:hint="cs"/>
          <w:sz w:val="18"/>
          <w:szCs w:val="18"/>
          <w:rtl/>
        </w:rPr>
        <w:t>ד. הטור כתב להדיא בריש הסימן שאין חילוק בין עקירת ווסת החודש לעקירת ווסת ההפלגה, ואילו למהרש"ל יש חילוק ביניהם.</w:t>
      </w:r>
      <w:r w:rsidRPr="00E957FD">
        <w:rPr>
          <w:rFonts w:hint="cs"/>
          <w:sz w:val="18"/>
          <w:szCs w:val="18"/>
          <w:rtl/>
        </w:rPr>
        <w:br/>
        <w:t xml:space="preserve">דחיית </w:t>
      </w:r>
      <w:r w:rsidRPr="00E957FD">
        <w:rPr>
          <w:rFonts w:hint="cs"/>
          <w:b/>
          <w:bCs/>
          <w:sz w:val="18"/>
          <w:szCs w:val="18"/>
          <w:rtl/>
        </w:rPr>
        <w:t>נקה"כ</w:t>
      </w:r>
      <w:r w:rsidRPr="00E957FD">
        <w:rPr>
          <w:rFonts w:hint="cs"/>
          <w:sz w:val="18"/>
          <w:szCs w:val="18"/>
          <w:rtl/>
        </w:rPr>
        <w:t xml:space="preserve"> </w:t>
      </w:r>
      <w:r w:rsidRPr="00E957FD">
        <w:rPr>
          <w:rFonts w:hint="cs"/>
          <w:sz w:val="16"/>
          <w:szCs w:val="16"/>
          <w:rtl/>
        </w:rPr>
        <w:t xml:space="preserve">(לב' הקושיות האחרונות) </w:t>
      </w:r>
      <w:r w:rsidRPr="00E957FD">
        <w:rPr>
          <w:rFonts w:hint="cs"/>
          <w:sz w:val="18"/>
          <w:szCs w:val="18"/>
          <w:rtl/>
        </w:rPr>
        <w:t xml:space="preserve">- </w:t>
      </w:r>
      <w:r w:rsidRPr="00E957FD">
        <w:rPr>
          <w:sz w:val="18"/>
          <w:szCs w:val="18"/>
          <w:rtl/>
        </w:rPr>
        <w:br/>
      </w:r>
      <w:r w:rsidRPr="00E957FD">
        <w:rPr>
          <w:rFonts w:hint="cs"/>
          <w:sz w:val="18"/>
          <w:szCs w:val="18"/>
          <w:rtl/>
        </w:rPr>
        <w:t xml:space="preserve">גם </w:t>
      </w:r>
      <w:r w:rsidRPr="00E957FD">
        <w:rPr>
          <w:rFonts w:hint="cs"/>
          <w:b/>
          <w:bCs/>
          <w:sz w:val="18"/>
          <w:szCs w:val="18"/>
          <w:rtl/>
        </w:rPr>
        <w:t>מהרש"ל</w:t>
      </w:r>
      <w:r w:rsidRPr="00E957FD">
        <w:rPr>
          <w:rFonts w:hint="cs"/>
          <w:sz w:val="18"/>
          <w:szCs w:val="18"/>
          <w:rtl/>
        </w:rPr>
        <w:t xml:space="preserve"> מודה שדין עקירת הווסתות שווה, אלא שכאן אין מדו</w:t>
      </w:r>
      <w:r>
        <w:rPr>
          <w:rFonts w:hint="cs"/>
          <w:sz w:val="18"/>
          <w:szCs w:val="18"/>
          <w:rtl/>
        </w:rPr>
        <w:t>ב</w:t>
      </w:r>
      <w:r w:rsidRPr="00E957FD">
        <w:rPr>
          <w:rFonts w:hint="cs"/>
          <w:sz w:val="18"/>
          <w:szCs w:val="18"/>
          <w:rtl/>
        </w:rPr>
        <w:t>ר על עקירת הווסת, אלא על השהיית הווסת. דהיינו, כאן מדובר על מי שדילגה ולא ראתה פעם אחת, ובדין זה יש חילוק בין ווסת החודש להפלגה, בווסת החודש חוששים לחודש הבא אך בווסת ההפלגה אין חוששים. אך לעניין עקירה אין חילוק שנעקר בג' פעמים.</w:t>
      </w:r>
      <w:r w:rsidRPr="00E957FD">
        <w:rPr>
          <w:sz w:val="18"/>
          <w:szCs w:val="18"/>
          <w:rtl/>
        </w:rPr>
        <w:br/>
      </w:r>
      <w:r w:rsidRPr="00E957FD">
        <w:rPr>
          <w:rFonts w:hint="cs"/>
          <w:sz w:val="18"/>
          <w:szCs w:val="18"/>
          <w:rtl/>
        </w:rPr>
        <w:t xml:space="preserve">ה. עוד יש להביא ראיה מלשון הרשב"א בתוה"ב </w:t>
      </w:r>
      <w:r w:rsidRPr="00E957FD">
        <w:rPr>
          <w:sz w:val="18"/>
          <w:szCs w:val="18"/>
          <w:rtl/>
        </w:rPr>
        <w:t>–</w:t>
      </w:r>
      <w:r w:rsidRPr="00E957FD">
        <w:rPr>
          <w:rFonts w:hint="cs"/>
          <w:sz w:val="18"/>
          <w:szCs w:val="18"/>
          <w:rtl/>
        </w:rPr>
        <w:t xml:space="preserve"> "</w:t>
      </w:r>
      <w:r w:rsidRPr="00E957FD">
        <w:rPr>
          <w:rFonts w:cs="Arial" w:hint="cs"/>
          <w:sz w:val="18"/>
          <w:szCs w:val="18"/>
          <w:rtl/>
        </w:rPr>
        <w:t>כיצד</w:t>
      </w:r>
      <w:r w:rsidRPr="00E957FD">
        <w:rPr>
          <w:rFonts w:cs="Arial"/>
          <w:sz w:val="18"/>
          <w:szCs w:val="18"/>
          <w:rtl/>
        </w:rPr>
        <w:t xml:space="preserve"> </w:t>
      </w:r>
      <w:r w:rsidRPr="00E957FD">
        <w:rPr>
          <w:rFonts w:cs="Arial" w:hint="cs"/>
          <w:sz w:val="18"/>
          <w:szCs w:val="18"/>
          <w:rtl/>
        </w:rPr>
        <w:t>הרי</w:t>
      </w:r>
      <w:r w:rsidRPr="00E957FD">
        <w:rPr>
          <w:rFonts w:cs="Arial"/>
          <w:sz w:val="18"/>
          <w:szCs w:val="18"/>
          <w:rtl/>
        </w:rPr>
        <w:t xml:space="preserve"> </w:t>
      </w:r>
      <w:r w:rsidRPr="00E957FD">
        <w:rPr>
          <w:rFonts w:cs="Arial" w:hint="cs"/>
          <w:sz w:val="18"/>
          <w:szCs w:val="18"/>
          <w:rtl/>
        </w:rPr>
        <w:t>שראתה</w:t>
      </w:r>
      <w:r w:rsidRPr="00E957FD">
        <w:rPr>
          <w:rFonts w:cs="Arial"/>
          <w:sz w:val="18"/>
          <w:szCs w:val="18"/>
          <w:rtl/>
        </w:rPr>
        <w:t xml:space="preserve"> </w:t>
      </w:r>
      <w:r w:rsidRPr="00E957FD">
        <w:rPr>
          <w:rFonts w:cs="Arial" w:hint="cs"/>
          <w:sz w:val="18"/>
          <w:szCs w:val="18"/>
          <w:rtl/>
        </w:rPr>
        <w:t>ולבסוף</w:t>
      </w:r>
      <w:r w:rsidRPr="00E957FD">
        <w:rPr>
          <w:rFonts w:cs="Arial"/>
          <w:sz w:val="18"/>
          <w:szCs w:val="18"/>
          <w:rtl/>
        </w:rPr>
        <w:t xml:space="preserve"> </w:t>
      </w:r>
      <w:r w:rsidRPr="00E957FD">
        <w:rPr>
          <w:rFonts w:cs="Arial" w:hint="cs"/>
          <w:sz w:val="18"/>
          <w:szCs w:val="18"/>
          <w:rtl/>
        </w:rPr>
        <w:t>עשרים</w:t>
      </w:r>
      <w:r w:rsidRPr="00E957FD">
        <w:rPr>
          <w:rFonts w:cs="Arial"/>
          <w:sz w:val="18"/>
          <w:szCs w:val="18"/>
          <w:rtl/>
        </w:rPr>
        <w:t xml:space="preserve"> </w:t>
      </w:r>
      <w:r w:rsidRPr="00E957FD">
        <w:rPr>
          <w:rFonts w:cs="Arial" w:hint="cs"/>
          <w:sz w:val="18"/>
          <w:szCs w:val="18"/>
          <w:rtl/>
        </w:rPr>
        <w:t>חזרה</w:t>
      </w:r>
      <w:r w:rsidRPr="00E957FD">
        <w:rPr>
          <w:rFonts w:cs="Arial"/>
          <w:sz w:val="18"/>
          <w:szCs w:val="18"/>
          <w:rtl/>
        </w:rPr>
        <w:t xml:space="preserve"> </w:t>
      </w:r>
      <w:r w:rsidRPr="00E957FD">
        <w:rPr>
          <w:rFonts w:cs="Arial" w:hint="cs"/>
          <w:sz w:val="18"/>
          <w:szCs w:val="18"/>
          <w:rtl/>
        </w:rPr>
        <w:t>וראתה</w:t>
      </w:r>
      <w:r w:rsidRPr="00E957FD">
        <w:rPr>
          <w:rFonts w:cs="Arial"/>
          <w:sz w:val="18"/>
          <w:szCs w:val="18"/>
          <w:rtl/>
        </w:rPr>
        <w:t xml:space="preserve"> </w:t>
      </w:r>
      <w:r w:rsidRPr="00E957FD">
        <w:rPr>
          <w:rFonts w:cs="Arial" w:hint="cs"/>
          <w:sz w:val="18"/>
          <w:szCs w:val="18"/>
          <w:rtl/>
        </w:rPr>
        <w:t>לכשיגיע</w:t>
      </w:r>
      <w:r w:rsidRPr="00E957FD">
        <w:rPr>
          <w:rFonts w:cs="Arial"/>
          <w:sz w:val="18"/>
          <w:szCs w:val="18"/>
          <w:rtl/>
        </w:rPr>
        <w:t xml:space="preserve"> </w:t>
      </w:r>
      <w:r w:rsidRPr="00E957FD">
        <w:rPr>
          <w:rFonts w:cs="Arial" w:hint="cs"/>
          <w:sz w:val="18"/>
          <w:szCs w:val="18"/>
          <w:rtl/>
        </w:rPr>
        <w:t>יום</w:t>
      </w:r>
      <w:r w:rsidRPr="00E957FD">
        <w:rPr>
          <w:rFonts w:cs="Arial"/>
          <w:sz w:val="18"/>
          <w:szCs w:val="18"/>
          <w:rtl/>
        </w:rPr>
        <w:t xml:space="preserve"> </w:t>
      </w:r>
      <w:r w:rsidRPr="00E957FD">
        <w:rPr>
          <w:rFonts w:cs="Arial" w:hint="cs"/>
          <w:sz w:val="18"/>
          <w:szCs w:val="18"/>
          <w:rtl/>
        </w:rPr>
        <w:t>עשרים</w:t>
      </w:r>
      <w:r w:rsidRPr="00E957FD">
        <w:rPr>
          <w:rFonts w:cs="Arial"/>
          <w:sz w:val="18"/>
          <w:szCs w:val="18"/>
          <w:rtl/>
        </w:rPr>
        <w:t xml:space="preserve"> </w:t>
      </w:r>
      <w:r w:rsidRPr="00E957FD">
        <w:rPr>
          <w:rFonts w:cs="Arial" w:hint="cs"/>
          <w:sz w:val="18"/>
          <w:szCs w:val="18"/>
          <w:rtl/>
        </w:rPr>
        <w:t>חוששת</w:t>
      </w:r>
      <w:r w:rsidRPr="00E957FD">
        <w:rPr>
          <w:rFonts w:cs="Arial"/>
          <w:sz w:val="18"/>
          <w:szCs w:val="18"/>
          <w:rtl/>
        </w:rPr>
        <w:t xml:space="preserve"> </w:t>
      </w:r>
      <w:r w:rsidRPr="00E957FD">
        <w:rPr>
          <w:rFonts w:cs="Arial" w:hint="cs"/>
          <w:sz w:val="18"/>
          <w:szCs w:val="18"/>
          <w:rtl/>
        </w:rPr>
        <w:t>לאותו</w:t>
      </w:r>
      <w:r w:rsidRPr="00E957FD">
        <w:rPr>
          <w:rFonts w:cs="Arial"/>
          <w:sz w:val="18"/>
          <w:szCs w:val="18"/>
          <w:rtl/>
        </w:rPr>
        <w:t xml:space="preserve"> </w:t>
      </w:r>
      <w:r w:rsidRPr="00E957FD">
        <w:rPr>
          <w:rFonts w:cs="Arial" w:hint="cs"/>
          <w:sz w:val="18"/>
          <w:szCs w:val="18"/>
          <w:rtl/>
        </w:rPr>
        <w:t>יום</w:t>
      </w:r>
      <w:r w:rsidRPr="00E957FD">
        <w:rPr>
          <w:rFonts w:cs="Arial"/>
          <w:sz w:val="18"/>
          <w:szCs w:val="18"/>
          <w:rtl/>
        </w:rPr>
        <w:t xml:space="preserve">. </w:t>
      </w:r>
      <w:r w:rsidRPr="00E957FD">
        <w:rPr>
          <w:rFonts w:cs="Arial" w:hint="cs"/>
          <w:sz w:val="18"/>
          <w:szCs w:val="18"/>
          <w:rtl/>
        </w:rPr>
        <w:t>אם</w:t>
      </w:r>
      <w:r w:rsidRPr="00E957FD">
        <w:rPr>
          <w:rFonts w:cs="Arial"/>
          <w:sz w:val="18"/>
          <w:szCs w:val="18"/>
          <w:rtl/>
        </w:rPr>
        <w:t xml:space="preserve"> </w:t>
      </w:r>
      <w:r w:rsidRPr="00E957FD">
        <w:rPr>
          <w:rFonts w:cs="Arial" w:hint="cs"/>
          <w:sz w:val="18"/>
          <w:szCs w:val="18"/>
          <w:rtl/>
        </w:rPr>
        <w:t>חזרה</w:t>
      </w:r>
      <w:r w:rsidRPr="00E957FD">
        <w:rPr>
          <w:rFonts w:cs="Arial"/>
          <w:sz w:val="18"/>
          <w:szCs w:val="18"/>
          <w:rtl/>
        </w:rPr>
        <w:t xml:space="preserve"> </w:t>
      </w:r>
      <w:r w:rsidRPr="00E957FD">
        <w:rPr>
          <w:rFonts w:cs="Arial" w:hint="cs"/>
          <w:sz w:val="18"/>
          <w:szCs w:val="18"/>
          <w:rtl/>
        </w:rPr>
        <w:t>וראתה</w:t>
      </w:r>
      <w:r w:rsidRPr="00E957FD">
        <w:rPr>
          <w:rFonts w:cs="Arial"/>
          <w:sz w:val="18"/>
          <w:szCs w:val="18"/>
          <w:rtl/>
        </w:rPr>
        <w:t xml:space="preserve"> </w:t>
      </w:r>
      <w:r w:rsidRPr="00E957FD">
        <w:rPr>
          <w:rFonts w:cs="Arial" w:hint="cs"/>
          <w:sz w:val="18"/>
          <w:szCs w:val="18"/>
          <w:rtl/>
        </w:rPr>
        <w:t>הרי</w:t>
      </w:r>
      <w:r w:rsidRPr="00E957FD">
        <w:rPr>
          <w:rFonts w:cs="Arial"/>
          <w:sz w:val="18"/>
          <w:szCs w:val="18"/>
          <w:rtl/>
        </w:rPr>
        <w:t xml:space="preserve"> </w:t>
      </w:r>
      <w:r w:rsidRPr="00E957FD">
        <w:rPr>
          <w:rFonts w:cs="Arial" w:hint="cs"/>
          <w:sz w:val="18"/>
          <w:szCs w:val="18"/>
          <w:rtl/>
        </w:rPr>
        <w:t>זו</w:t>
      </w:r>
      <w:r w:rsidRPr="00E957FD">
        <w:rPr>
          <w:rFonts w:cs="Arial"/>
          <w:sz w:val="18"/>
          <w:szCs w:val="18"/>
          <w:rtl/>
        </w:rPr>
        <w:t xml:space="preserve"> </w:t>
      </w:r>
      <w:r w:rsidRPr="00E957FD">
        <w:rPr>
          <w:rFonts w:cs="Arial" w:hint="cs"/>
          <w:sz w:val="18"/>
          <w:szCs w:val="18"/>
          <w:rtl/>
        </w:rPr>
        <w:t>חוששת</w:t>
      </w:r>
      <w:r w:rsidRPr="00E957FD">
        <w:rPr>
          <w:rFonts w:cs="Arial"/>
          <w:sz w:val="18"/>
          <w:szCs w:val="18"/>
          <w:rtl/>
        </w:rPr>
        <w:t xml:space="preserve"> </w:t>
      </w:r>
      <w:r w:rsidRPr="00E957FD">
        <w:rPr>
          <w:rFonts w:cs="Arial" w:hint="cs"/>
          <w:sz w:val="18"/>
          <w:szCs w:val="18"/>
          <w:rtl/>
        </w:rPr>
        <w:t>גם כן</w:t>
      </w:r>
      <w:r w:rsidRPr="00E957FD">
        <w:rPr>
          <w:rFonts w:cs="Arial"/>
          <w:sz w:val="18"/>
          <w:szCs w:val="18"/>
          <w:rtl/>
        </w:rPr>
        <w:t xml:space="preserve"> </w:t>
      </w:r>
      <w:r w:rsidRPr="00E957FD">
        <w:rPr>
          <w:rFonts w:cs="Arial" w:hint="cs"/>
          <w:sz w:val="18"/>
          <w:szCs w:val="18"/>
          <w:rtl/>
        </w:rPr>
        <w:t>ליום</w:t>
      </w:r>
      <w:r w:rsidRPr="00E957FD">
        <w:rPr>
          <w:rFonts w:cs="Arial"/>
          <w:sz w:val="18"/>
          <w:szCs w:val="18"/>
          <w:rtl/>
        </w:rPr>
        <w:t xml:space="preserve"> </w:t>
      </w:r>
      <w:r w:rsidRPr="00E957FD">
        <w:rPr>
          <w:rFonts w:cs="Arial" w:hint="cs"/>
          <w:sz w:val="18"/>
          <w:szCs w:val="18"/>
          <w:rtl/>
        </w:rPr>
        <w:t>עשרים</w:t>
      </w:r>
      <w:r w:rsidRPr="00E957FD">
        <w:rPr>
          <w:rFonts w:cs="Arial"/>
          <w:sz w:val="18"/>
          <w:szCs w:val="18"/>
          <w:rtl/>
        </w:rPr>
        <w:t xml:space="preserve"> </w:t>
      </w:r>
      <w:r w:rsidRPr="00E957FD">
        <w:rPr>
          <w:rFonts w:cs="Arial" w:hint="cs"/>
          <w:sz w:val="18"/>
          <w:szCs w:val="18"/>
          <w:rtl/>
        </w:rPr>
        <w:t>אחרים</w:t>
      </w:r>
      <w:r w:rsidRPr="00E957FD">
        <w:rPr>
          <w:rFonts w:cs="Arial"/>
          <w:sz w:val="18"/>
          <w:szCs w:val="18"/>
          <w:rtl/>
        </w:rPr>
        <w:t xml:space="preserve"> </w:t>
      </w:r>
      <w:r w:rsidRPr="00E957FD">
        <w:rPr>
          <w:rFonts w:cs="Arial" w:hint="cs"/>
          <w:sz w:val="18"/>
          <w:szCs w:val="18"/>
          <w:rtl/>
        </w:rPr>
        <w:t>אם</w:t>
      </w:r>
      <w:r w:rsidRPr="00E957FD">
        <w:rPr>
          <w:rFonts w:cs="Arial"/>
          <w:sz w:val="18"/>
          <w:szCs w:val="18"/>
          <w:rtl/>
        </w:rPr>
        <w:t xml:space="preserve"> </w:t>
      </w:r>
      <w:r w:rsidRPr="00E957FD">
        <w:rPr>
          <w:rFonts w:cs="Arial" w:hint="cs"/>
          <w:sz w:val="18"/>
          <w:szCs w:val="18"/>
          <w:rtl/>
        </w:rPr>
        <w:t>ראתה</w:t>
      </w:r>
      <w:r w:rsidRPr="00E957FD">
        <w:rPr>
          <w:rFonts w:cs="Arial"/>
          <w:sz w:val="18"/>
          <w:szCs w:val="18"/>
          <w:rtl/>
        </w:rPr>
        <w:t xml:space="preserve"> </w:t>
      </w:r>
      <w:r w:rsidRPr="00E957FD">
        <w:rPr>
          <w:rFonts w:cs="Arial" w:hint="cs"/>
          <w:sz w:val="18"/>
          <w:szCs w:val="18"/>
          <w:rtl/>
        </w:rPr>
        <w:t>הרי זה</w:t>
      </w:r>
      <w:r w:rsidRPr="00E957FD">
        <w:rPr>
          <w:rFonts w:cs="Arial"/>
          <w:sz w:val="18"/>
          <w:szCs w:val="18"/>
          <w:rtl/>
        </w:rPr>
        <w:t xml:space="preserve"> </w:t>
      </w:r>
      <w:r w:rsidRPr="00E957FD">
        <w:rPr>
          <w:rFonts w:cs="Arial" w:hint="cs"/>
          <w:sz w:val="18"/>
          <w:szCs w:val="18"/>
          <w:rtl/>
        </w:rPr>
        <w:t>וסת</w:t>
      </w:r>
      <w:r w:rsidRPr="00E957FD">
        <w:rPr>
          <w:rFonts w:cs="Arial"/>
          <w:sz w:val="18"/>
          <w:szCs w:val="18"/>
          <w:rtl/>
        </w:rPr>
        <w:t xml:space="preserve"> </w:t>
      </w:r>
      <w:r w:rsidRPr="00E957FD">
        <w:rPr>
          <w:rFonts w:cs="Arial" w:hint="cs"/>
          <w:sz w:val="18"/>
          <w:szCs w:val="18"/>
          <w:rtl/>
        </w:rPr>
        <w:t>קבוע</w:t>
      </w:r>
      <w:r w:rsidRPr="00E957FD">
        <w:rPr>
          <w:rFonts w:cs="Arial"/>
          <w:sz w:val="18"/>
          <w:szCs w:val="18"/>
          <w:rtl/>
        </w:rPr>
        <w:t xml:space="preserve"> </w:t>
      </w:r>
      <w:r w:rsidRPr="00E957FD">
        <w:rPr>
          <w:rFonts w:cs="Arial" w:hint="cs"/>
          <w:sz w:val="18"/>
          <w:szCs w:val="18"/>
          <w:rtl/>
        </w:rPr>
        <w:t>ואם</w:t>
      </w:r>
      <w:r w:rsidRPr="00E957FD">
        <w:rPr>
          <w:rFonts w:cs="Arial"/>
          <w:sz w:val="18"/>
          <w:szCs w:val="18"/>
          <w:rtl/>
        </w:rPr>
        <w:t xml:space="preserve"> </w:t>
      </w:r>
      <w:r w:rsidRPr="00E957FD">
        <w:rPr>
          <w:rFonts w:cs="Arial" w:hint="cs"/>
          <w:sz w:val="18"/>
          <w:szCs w:val="18"/>
          <w:rtl/>
        </w:rPr>
        <w:t>לא</w:t>
      </w:r>
      <w:r w:rsidRPr="00E957FD">
        <w:rPr>
          <w:rFonts w:cs="Arial"/>
          <w:sz w:val="18"/>
          <w:szCs w:val="18"/>
          <w:rtl/>
        </w:rPr>
        <w:t xml:space="preserve"> </w:t>
      </w:r>
      <w:r w:rsidRPr="00E957FD">
        <w:rPr>
          <w:rFonts w:cs="Arial" w:hint="cs"/>
          <w:sz w:val="18"/>
          <w:szCs w:val="18"/>
          <w:rtl/>
        </w:rPr>
        <w:t>ראתה</w:t>
      </w:r>
      <w:r w:rsidRPr="00E957FD">
        <w:rPr>
          <w:rFonts w:cs="Arial"/>
          <w:sz w:val="18"/>
          <w:szCs w:val="18"/>
          <w:rtl/>
        </w:rPr>
        <w:t xml:space="preserve"> </w:t>
      </w:r>
      <w:r w:rsidRPr="00E957FD">
        <w:rPr>
          <w:rFonts w:cs="Arial" w:hint="cs"/>
          <w:sz w:val="18"/>
          <w:szCs w:val="18"/>
          <w:rtl/>
        </w:rPr>
        <w:t>הרי זה</w:t>
      </w:r>
      <w:r w:rsidRPr="00E957FD">
        <w:rPr>
          <w:rFonts w:cs="Arial"/>
          <w:sz w:val="18"/>
          <w:szCs w:val="18"/>
          <w:rtl/>
        </w:rPr>
        <w:t xml:space="preserve"> </w:t>
      </w:r>
      <w:r w:rsidRPr="00E957FD">
        <w:rPr>
          <w:rFonts w:cs="Arial" w:hint="cs"/>
          <w:sz w:val="18"/>
          <w:szCs w:val="18"/>
          <w:rtl/>
        </w:rPr>
        <w:t>נעקר</w:t>
      </w:r>
      <w:r w:rsidRPr="00E957FD">
        <w:rPr>
          <w:rFonts w:cs="Arial"/>
          <w:sz w:val="18"/>
          <w:szCs w:val="18"/>
          <w:rtl/>
        </w:rPr>
        <w:t xml:space="preserve"> </w:t>
      </w:r>
      <w:r w:rsidRPr="00E957FD">
        <w:rPr>
          <w:rFonts w:cs="Arial" w:hint="cs"/>
          <w:sz w:val="18"/>
          <w:szCs w:val="18"/>
          <w:rtl/>
        </w:rPr>
        <w:t>ושוב</w:t>
      </w:r>
      <w:r w:rsidRPr="00E957FD">
        <w:rPr>
          <w:rFonts w:cs="Arial"/>
          <w:sz w:val="18"/>
          <w:szCs w:val="18"/>
          <w:rtl/>
        </w:rPr>
        <w:t xml:space="preserve"> </w:t>
      </w:r>
      <w:r w:rsidRPr="00E957FD">
        <w:rPr>
          <w:rFonts w:cs="Arial" w:hint="cs"/>
          <w:sz w:val="18"/>
          <w:szCs w:val="18"/>
          <w:rtl/>
        </w:rPr>
        <w:t>אינה</w:t>
      </w:r>
      <w:r w:rsidRPr="00E957FD">
        <w:rPr>
          <w:rFonts w:cs="Arial"/>
          <w:sz w:val="18"/>
          <w:szCs w:val="18"/>
          <w:rtl/>
        </w:rPr>
        <w:t xml:space="preserve"> </w:t>
      </w:r>
      <w:r w:rsidRPr="00E957FD">
        <w:rPr>
          <w:rFonts w:cs="Arial" w:hint="cs"/>
          <w:sz w:val="18"/>
          <w:szCs w:val="18"/>
          <w:rtl/>
        </w:rPr>
        <w:t>חוששת</w:t>
      </w:r>
      <w:r w:rsidRPr="00E957FD">
        <w:rPr>
          <w:rFonts w:cs="Arial"/>
          <w:sz w:val="18"/>
          <w:szCs w:val="18"/>
          <w:rtl/>
        </w:rPr>
        <w:t xml:space="preserve"> </w:t>
      </w:r>
      <w:r w:rsidRPr="00E957FD">
        <w:rPr>
          <w:rFonts w:cs="Arial" w:hint="cs"/>
          <w:sz w:val="18"/>
          <w:szCs w:val="18"/>
          <w:rtl/>
        </w:rPr>
        <w:t>לו</w:t>
      </w:r>
      <w:r w:rsidRPr="00E957FD">
        <w:rPr>
          <w:rFonts w:hint="cs"/>
          <w:sz w:val="18"/>
          <w:szCs w:val="18"/>
          <w:rtl/>
        </w:rPr>
        <w:t>".</w:t>
      </w:r>
      <w:r w:rsidRPr="00E957FD">
        <w:rPr>
          <w:sz w:val="18"/>
          <w:szCs w:val="18"/>
          <w:rtl/>
        </w:rPr>
        <w:br/>
      </w:r>
      <w:r w:rsidRPr="00E957FD">
        <w:rPr>
          <w:rFonts w:hint="cs"/>
          <w:sz w:val="18"/>
          <w:szCs w:val="18"/>
          <w:rtl/>
        </w:rPr>
        <w:t>משמע ברשב"א שעקירת פעם אחת מהני רק לווסת שאינו קבוע, אך בווסת קבוע להפלגה לא מהני עקירת פעם אחת.</w:t>
      </w:r>
      <w:r w:rsidRPr="00E957FD">
        <w:rPr>
          <w:sz w:val="18"/>
          <w:szCs w:val="18"/>
          <w:rtl/>
        </w:rPr>
        <w:br/>
      </w:r>
      <w:r w:rsidRPr="00E957FD">
        <w:rPr>
          <w:rFonts w:hint="cs"/>
          <w:sz w:val="18"/>
          <w:szCs w:val="18"/>
          <w:rtl/>
        </w:rPr>
        <w:t xml:space="preserve">ו. במחלוקת רב הונא ורב פפא באשה ששינתה ווסת ההפלגה פעם אחת וחוששת גם לווסת הקודמת, נפסק כרב הונא שחוששת מעת ראייתה האחרונה ולא מזמן שבו היתה צריכה לראות </w:t>
      </w:r>
      <w:r w:rsidRPr="00E957FD">
        <w:rPr>
          <w:rFonts w:hint="cs"/>
          <w:sz w:val="16"/>
          <w:szCs w:val="16"/>
          <w:rtl/>
        </w:rPr>
        <w:t xml:space="preserve">(כגון </w:t>
      </w:r>
      <w:r w:rsidRPr="00E957FD">
        <w:rPr>
          <w:sz w:val="16"/>
          <w:szCs w:val="16"/>
          <w:rtl/>
        </w:rPr>
        <w:t>–</w:t>
      </w:r>
      <w:r w:rsidRPr="00E957FD">
        <w:rPr>
          <w:rFonts w:hint="cs"/>
          <w:sz w:val="16"/>
          <w:szCs w:val="16"/>
          <w:rtl/>
        </w:rPr>
        <w:t xml:space="preserve"> למודה לכ' ושינתה לל', חוששת לכ' פעם הבאה מיום ל' ואין מונים כ' אלו מיום כ' הקודם שהיתה צריכה לראות)</w:t>
      </w:r>
      <w:r w:rsidRPr="00E957FD">
        <w:rPr>
          <w:rFonts w:hint="cs"/>
          <w:sz w:val="18"/>
          <w:szCs w:val="18"/>
          <w:rtl/>
        </w:rPr>
        <w:t>. בטעם הדין, כתב הרשב"א שהוא משום שזו שינתה לרחק ראייתה ולכן אינו בדין שנחשוש לה לקרב כעת את ראייתה.</w:t>
      </w:r>
      <w:r w:rsidRPr="00E957FD">
        <w:rPr>
          <w:sz w:val="18"/>
          <w:szCs w:val="18"/>
          <w:rtl/>
        </w:rPr>
        <w:br/>
      </w:r>
      <w:r w:rsidRPr="00E957FD">
        <w:rPr>
          <w:rFonts w:hint="cs"/>
          <w:sz w:val="18"/>
          <w:szCs w:val="18"/>
          <w:rtl/>
        </w:rPr>
        <w:t>משמע מדבריו שלולא טעם זה, כגון שלא ראתה כלל, יש לה לחשוש ליום ווסת הרגיל, משום שלא שייך לומר לגביה את הסברה שריחקה ראיותיה.</w:t>
      </w:r>
      <w:r w:rsidRPr="00E957FD">
        <w:rPr>
          <w:sz w:val="18"/>
          <w:szCs w:val="18"/>
          <w:rtl/>
        </w:rPr>
        <w:br/>
      </w:r>
      <w:r w:rsidRPr="00E957FD">
        <w:rPr>
          <w:rFonts w:hint="cs"/>
          <w:sz w:val="18"/>
          <w:szCs w:val="18"/>
          <w:rtl/>
        </w:rPr>
        <w:t xml:space="preserve">ז. מהרש"ל מחלק בין ווסת ההפלגה לווסת החודש. בווסת החודש מודה שאע"פ שלא ראתה פעם אחת חוששת ליום החודש הבא, ואילו בווסת ההפלגות דעתו כאמור לעיל שאם לא ראתה פעם אחת אינה צריכה לחשוש עוד. אך הט"ז תמה על חילוק זה ודעתו היא שאין חילוק. ועוד </w:t>
      </w:r>
      <w:r w:rsidRPr="00E957FD">
        <w:rPr>
          <w:sz w:val="18"/>
          <w:szCs w:val="18"/>
          <w:rtl/>
        </w:rPr>
        <w:t>–</w:t>
      </w:r>
      <w:r w:rsidRPr="00E957FD">
        <w:rPr>
          <w:rFonts w:hint="cs"/>
          <w:sz w:val="18"/>
          <w:szCs w:val="18"/>
          <w:rtl/>
        </w:rPr>
        <w:t xml:space="preserve"> וכי ראייה אחת גורמת לחברתה לבוא? כלומר </w:t>
      </w:r>
      <w:r w:rsidRPr="00E957FD">
        <w:rPr>
          <w:sz w:val="18"/>
          <w:szCs w:val="18"/>
          <w:rtl/>
        </w:rPr>
        <w:t>–</w:t>
      </w:r>
      <w:r w:rsidRPr="00E957FD">
        <w:rPr>
          <w:rFonts w:hint="cs"/>
          <w:sz w:val="18"/>
          <w:szCs w:val="18"/>
          <w:rtl/>
        </w:rPr>
        <w:t xml:space="preserve"> העובדה שדילגה על ראייה אחת אינה מעידה על כך שתדלג גם על ראייה הבאה.</w:t>
      </w:r>
      <w:r w:rsidRPr="00E957FD">
        <w:rPr>
          <w:sz w:val="18"/>
          <w:szCs w:val="18"/>
          <w:rtl/>
        </w:rPr>
        <w:br/>
      </w:r>
      <w:r w:rsidRPr="00E957FD">
        <w:rPr>
          <w:rFonts w:hint="cs"/>
          <w:sz w:val="18"/>
          <w:szCs w:val="18"/>
          <w:rtl/>
        </w:rPr>
        <w:t xml:space="preserve">דחיית </w:t>
      </w:r>
      <w:r w:rsidRPr="00E957FD">
        <w:rPr>
          <w:rFonts w:hint="cs"/>
          <w:b/>
          <w:bCs/>
          <w:sz w:val="18"/>
          <w:szCs w:val="18"/>
          <w:rtl/>
        </w:rPr>
        <w:t xml:space="preserve">נקה"כ </w:t>
      </w:r>
      <w:r w:rsidRPr="00E957FD">
        <w:rPr>
          <w:rFonts w:hint="cs"/>
          <w:sz w:val="18"/>
          <w:szCs w:val="18"/>
          <w:rtl/>
        </w:rPr>
        <w:t xml:space="preserve">- </w:t>
      </w:r>
      <w:r w:rsidRPr="00E957FD">
        <w:rPr>
          <w:sz w:val="18"/>
          <w:szCs w:val="18"/>
          <w:rtl/>
        </w:rPr>
        <w:br/>
      </w:r>
      <w:r w:rsidRPr="00E957FD">
        <w:rPr>
          <w:rFonts w:hint="cs"/>
          <w:sz w:val="18"/>
          <w:szCs w:val="18"/>
          <w:rtl/>
        </w:rPr>
        <w:t>בווסת החודש שפיר יש לחוש בחודש הבא למרות שבחודש הקודם לא ראתה, כיוון שרגילה לראות ביום מסויים שהחודש גורם לה, וא"כ מה שדילגה פעם אחת דרך מקרה הוא ואינו מעיד על עיקר ווסתה. לעומת זאת בווסת ההפלגה רגילה לראות בהפלגות קבועות, ואם כן זו שדילגה פעם אחת אינה צריכה לחשוש להפלגתה הרגילה משום שזו תהיה הפלגת מ' ומדוע תחשוש לה?</w:t>
      </w:r>
    </w:p>
  </w:footnote>
  <w:footnote w:id="210">
    <w:p w:rsidR="005953C5" w:rsidRDefault="005953C5" w:rsidP="00620060">
      <w:pPr>
        <w:pStyle w:val="a3"/>
        <w:rPr>
          <w:rtl/>
        </w:rPr>
      </w:pPr>
      <w:r w:rsidRPr="003C09E6">
        <w:rPr>
          <w:rStyle w:val="a5"/>
          <w:sz w:val="18"/>
          <w:szCs w:val="18"/>
        </w:rPr>
        <w:footnoteRef/>
      </w:r>
      <w:r w:rsidRPr="003C09E6">
        <w:rPr>
          <w:sz w:val="18"/>
          <w:szCs w:val="18"/>
          <w:rtl/>
        </w:rPr>
        <w:t xml:space="preserve"> </w:t>
      </w:r>
      <w:r w:rsidRPr="003C09E6">
        <w:rPr>
          <w:rFonts w:hint="cs"/>
          <w:sz w:val="18"/>
          <w:szCs w:val="18"/>
          <w:rtl/>
        </w:rPr>
        <w:t xml:space="preserve">יסוד המחלוקת </w:t>
      </w:r>
      <w:r w:rsidRPr="003C09E6">
        <w:rPr>
          <w:sz w:val="18"/>
          <w:szCs w:val="18"/>
          <w:rtl/>
        </w:rPr>
        <w:t>–</w:t>
      </w:r>
      <w:r w:rsidRPr="003C09E6">
        <w:rPr>
          <w:rFonts w:hint="cs"/>
          <w:sz w:val="18"/>
          <w:szCs w:val="18"/>
          <w:rtl/>
        </w:rPr>
        <w:t xml:space="preserve"> האם לחשב את הפלגת ל' </w:t>
      </w:r>
      <w:r w:rsidRPr="003C09E6">
        <w:rPr>
          <w:sz w:val="18"/>
          <w:szCs w:val="18"/>
          <w:rtl/>
        </w:rPr>
        <w:t>–</w:t>
      </w:r>
      <w:r w:rsidRPr="003C09E6">
        <w:rPr>
          <w:rFonts w:hint="cs"/>
          <w:sz w:val="18"/>
          <w:szCs w:val="18"/>
          <w:rtl/>
        </w:rPr>
        <w:t xml:space="preserve"> לב' כדילוג כאשר יש לה ווסת קבוע לכ'.</w:t>
      </w:r>
    </w:p>
  </w:footnote>
  <w:footnote w:id="211">
    <w:p w:rsidR="005953C5" w:rsidRDefault="005953C5" w:rsidP="00620060">
      <w:pPr>
        <w:pStyle w:val="a3"/>
      </w:pPr>
      <w:r w:rsidRPr="008A5F9A">
        <w:rPr>
          <w:rStyle w:val="a5"/>
          <w:rFonts w:asciiTheme="minorBidi" w:hAnsiTheme="minorBidi"/>
          <w:sz w:val="18"/>
          <w:szCs w:val="18"/>
        </w:rPr>
        <w:footnoteRef/>
      </w:r>
      <w:r w:rsidRPr="008A5F9A">
        <w:rPr>
          <w:rFonts w:asciiTheme="minorBidi" w:hAnsiTheme="minorBidi"/>
          <w:sz w:val="18"/>
          <w:szCs w:val="18"/>
          <w:rtl/>
        </w:rPr>
        <w:t xml:space="preserve"> </w:t>
      </w:r>
      <w:r w:rsidRPr="008A5F9A">
        <w:rPr>
          <w:rFonts w:asciiTheme="minorBidi" w:hAnsiTheme="minorBidi"/>
          <w:b/>
          <w:bCs/>
          <w:sz w:val="18"/>
          <w:szCs w:val="18"/>
          <w:rtl/>
        </w:rPr>
        <w:t>ש</w:t>
      </w:r>
      <w:r w:rsidRPr="00C3259C">
        <w:rPr>
          <w:rFonts w:hint="cs"/>
          <w:b/>
          <w:bCs/>
          <w:sz w:val="18"/>
          <w:szCs w:val="18"/>
          <w:rtl/>
        </w:rPr>
        <w:t>"ך</w:t>
      </w:r>
      <w:r w:rsidRPr="00C3259C">
        <w:rPr>
          <w:rFonts w:hint="cs"/>
          <w:sz w:val="18"/>
          <w:szCs w:val="18"/>
          <w:rtl/>
        </w:rPr>
        <w:t xml:space="preserve"> </w:t>
      </w:r>
      <w:r w:rsidRPr="00C3259C">
        <w:rPr>
          <w:sz w:val="18"/>
          <w:szCs w:val="18"/>
          <w:rtl/>
        </w:rPr>
        <w:t>–</w:t>
      </w:r>
      <w:r w:rsidRPr="00C3259C">
        <w:rPr>
          <w:rFonts w:hint="cs"/>
          <w:sz w:val="18"/>
          <w:szCs w:val="18"/>
          <w:rtl/>
        </w:rPr>
        <w:t xml:space="preserve"> דווקא בווסת החודש דינא הכי, אך בווסת ההפלגה שדילגה פעם אחת אינה צריכה לחשוש בפעם הבאה. </w:t>
      </w:r>
      <w:r>
        <w:rPr>
          <w:sz w:val="18"/>
          <w:szCs w:val="18"/>
          <w:rtl/>
        </w:rPr>
        <w:br/>
      </w:r>
      <w:r w:rsidRPr="00C3259C">
        <w:rPr>
          <w:rFonts w:hint="cs"/>
          <w:sz w:val="18"/>
          <w:szCs w:val="18"/>
          <w:rtl/>
        </w:rPr>
        <w:t xml:space="preserve">כגון </w:t>
      </w:r>
      <w:r w:rsidRPr="00C3259C">
        <w:rPr>
          <w:sz w:val="18"/>
          <w:szCs w:val="18"/>
          <w:rtl/>
        </w:rPr>
        <w:t>–</w:t>
      </w:r>
      <w:r w:rsidRPr="00C3259C">
        <w:rPr>
          <w:rFonts w:hint="cs"/>
          <w:sz w:val="18"/>
          <w:szCs w:val="18"/>
          <w:rtl/>
        </w:rPr>
        <w:t xml:space="preserve"> רגילה לראות ללב' ולא ראתה, אינה צריכה לחשוש לסד'. ופשוט שדין זה הוא ע"פ המבואר לעיל במחלוקת </w:t>
      </w:r>
      <w:r w:rsidRPr="00C3259C">
        <w:rPr>
          <w:rFonts w:hint="cs"/>
          <w:b/>
          <w:bCs/>
          <w:sz w:val="18"/>
          <w:szCs w:val="18"/>
          <w:rtl/>
        </w:rPr>
        <w:t>מהרש"ל וט"ז</w:t>
      </w:r>
      <w:r w:rsidRPr="00C3259C">
        <w:rPr>
          <w:rFonts w:hint="cs"/>
          <w:sz w:val="18"/>
          <w:szCs w:val="18"/>
          <w:rtl/>
        </w:rPr>
        <w:t xml:space="preserve">, ודעת </w:t>
      </w:r>
      <w:r w:rsidRPr="00C3259C">
        <w:rPr>
          <w:rFonts w:hint="cs"/>
          <w:b/>
          <w:bCs/>
          <w:sz w:val="18"/>
          <w:szCs w:val="18"/>
          <w:rtl/>
        </w:rPr>
        <w:t>הש"ך כמהרש"ל</w:t>
      </w:r>
      <w:r w:rsidRPr="00C3259C">
        <w:rPr>
          <w:rFonts w:hint="cs"/>
          <w:sz w:val="18"/>
          <w:szCs w:val="18"/>
          <w:rtl/>
        </w:rPr>
        <w:t xml:space="preserve">, אך </w:t>
      </w:r>
      <w:r w:rsidRPr="00C3259C">
        <w:rPr>
          <w:rFonts w:hint="cs"/>
          <w:b/>
          <w:bCs/>
          <w:sz w:val="18"/>
          <w:szCs w:val="18"/>
          <w:rtl/>
        </w:rPr>
        <w:t>לט"ז והב"י</w:t>
      </w:r>
      <w:r w:rsidRPr="00C3259C">
        <w:rPr>
          <w:rFonts w:hint="cs"/>
          <w:sz w:val="18"/>
          <w:szCs w:val="18"/>
          <w:rtl/>
        </w:rPr>
        <w:t xml:space="preserve"> צריכה לחשוש עד שתדלג ג' פעמים.</w:t>
      </w:r>
    </w:p>
  </w:footnote>
  <w:footnote w:id="212">
    <w:p w:rsidR="005953C5" w:rsidRDefault="005953C5" w:rsidP="00620060">
      <w:pPr>
        <w:pStyle w:val="a3"/>
      </w:pPr>
      <w:r w:rsidRPr="00E57BAD">
        <w:rPr>
          <w:rStyle w:val="a5"/>
          <w:sz w:val="18"/>
          <w:szCs w:val="18"/>
        </w:rPr>
        <w:footnoteRef/>
      </w:r>
      <w:r w:rsidRPr="00E57BAD">
        <w:rPr>
          <w:sz w:val="18"/>
          <w:szCs w:val="18"/>
          <w:rtl/>
        </w:rPr>
        <w:t xml:space="preserve"> </w:t>
      </w:r>
      <w:r w:rsidRPr="00E57BAD">
        <w:rPr>
          <w:rFonts w:hint="cs"/>
          <w:sz w:val="18"/>
          <w:szCs w:val="18"/>
          <w:rtl/>
        </w:rPr>
        <w:t xml:space="preserve">כלומר, אין קושייה מהברייתא לרב הונא, משום שרב הונא עסק במקרה שונה מהברייתא, </w:t>
      </w:r>
      <w:r w:rsidRPr="00D31D79">
        <w:rPr>
          <w:rFonts w:hint="cs"/>
          <w:sz w:val="18"/>
          <w:szCs w:val="18"/>
          <w:rtl/>
        </w:rPr>
        <w:t>חידושי</w:t>
      </w:r>
      <w:r w:rsidRPr="00D31D79">
        <w:rPr>
          <w:rFonts w:hint="cs"/>
          <w:b/>
          <w:bCs/>
          <w:sz w:val="18"/>
          <w:szCs w:val="18"/>
          <w:rtl/>
        </w:rPr>
        <w:t xml:space="preserve"> </w:t>
      </w:r>
      <w:r>
        <w:rPr>
          <w:rFonts w:hint="cs"/>
          <w:b/>
          <w:bCs/>
          <w:sz w:val="18"/>
          <w:szCs w:val="18"/>
          <w:rtl/>
        </w:rPr>
        <w:t>הר"ן</w:t>
      </w:r>
      <w:r w:rsidRPr="00E57BAD">
        <w:rPr>
          <w:rFonts w:hint="cs"/>
          <w:sz w:val="18"/>
          <w:szCs w:val="18"/>
          <w:rtl/>
        </w:rPr>
        <w:t xml:space="preserve"> ביישוב </w:t>
      </w:r>
      <w:r w:rsidRPr="006A4C88">
        <w:rPr>
          <w:rFonts w:hint="cs"/>
          <w:b/>
          <w:bCs/>
          <w:sz w:val="18"/>
          <w:szCs w:val="18"/>
          <w:rtl/>
        </w:rPr>
        <w:t>רש"י</w:t>
      </w:r>
      <w:r w:rsidRPr="00E57BAD">
        <w:rPr>
          <w:rFonts w:hint="cs"/>
          <w:sz w:val="18"/>
          <w:szCs w:val="18"/>
          <w:rtl/>
        </w:rPr>
        <w:t>.</w:t>
      </w:r>
    </w:p>
  </w:footnote>
  <w:footnote w:id="213">
    <w:p w:rsidR="005953C5" w:rsidRDefault="005953C5" w:rsidP="00620060">
      <w:pPr>
        <w:pStyle w:val="a3"/>
      </w:pPr>
      <w:r w:rsidRPr="00117462">
        <w:rPr>
          <w:rStyle w:val="a5"/>
          <w:sz w:val="18"/>
          <w:szCs w:val="18"/>
        </w:rPr>
        <w:footnoteRef/>
      </w:r>
      <w:r w:rsidRPr="00117462">
        <w:rPr>
          <w:sz w:val="18"/>
          <w:szCs w:val="18"/>
          <w:rtl/>
        </w:rPr>
        <w:t xml:space="preserve"> </w:t>
      </w:r>
      <w:r w:rsidRPr="00117462">
        <w:rPr>
          <w:rFonts w:hint="cs"/>
          <w:sz w:val="18"/>
          <w:szCs w:val="18"/>
          <w:rtl/>
        </w:rPr>
        <w:t>דין קביעת ווסת לימים יבואר אי"ה בסעיף הבא.</w:t>
      </w:r>
    </w:p>
  </w:footnote>
  <w:footnote w:id="214">
    <w:p w:rsidR="005953C5" w:rsidRDefault="005953C5" w:rsidP="00620060">
      <w:pPr>
        <w:pStyle w:val="a3"/>
        <w:rPr>
          <w:rtl/>
        </w:rPr>
      </w:pPr>
      <w:r w:rsidRPr="006406F6">
        <w:rPr>
          <w:rStyle w:val="a5"/>
          <w:sz w:val="18"/>
          <w:szCs w:val="18"/>
        </w:rPr>
        <w:footnoteRef/>
      </w:r>
      <w:r w:rsidRPr="006406F6">
        <w:rPr>
          <w:sz w:val="18"/>
          <w:szCs w:val="18"/>
          <w:rtl/>
        </w:rPr>
        <w:t xml:space="preserve"> </w:t>
      </w:r>
      <w:r w:rsidRPr="006406F6">
        <w:rPr>
          <w:rFonts w:hint="cs"/>
          <w:sz w:val="18"/>
          <w:szCs w:val="18"/>
          <w:rtl/>
        </w:rPr>
        <w:t xml:space="preserve">ועיין לעיל סוף סימן קפד' שלדעת </w:t>
      </w:r>
      <w:r w:rsidRPr="006406F6">
        <w:rPr>
          <w:rFonts w:hint="cs"/>
          <w:b/>
          <w:bCs/>
          <w:sz w:val="18"/>
          <w:szCs w:val="18"/>
          <w:rtl/>
        </w:rPr>
        <w:t>הב"י</w:t>
      </w:r>
      <w:r w:rsidRPr="006406F6">
        <w:rPr>
          <w:rFonts w:hint="cs"/>
          <w:sz w:val="18"/>
          <w:szCs w:val="18"/>
          <w:rtl/>
        </w:rPr>
        <w:t xml:space="preserve"> חוששת גם לעונה בינונית אע"פ שיש לה ווסת מורכב קבוע. </w:t>
      </w:r>
      <w:r>
        <w:rPr>
          <w:sz w:val="18"/>
          <w:szCs w:val="18"/>
          <w:rtl/>
        </w:rPr>
        <w:br/>
      </w:r>
      <w:r w:rsidRPr="006406F6">
        <w:rPr>
          <w:rFonts w:hint="cs"/>
          <w:sz w:val="18"/>
          <w:szCs w:val="18"/>
          <w:rtl/>
        </w:rPr>
        <w:t xml:space="preserve">לעומת זאת, עיי"ש </w:t>
      </w:r>
      <w:r w:rsidRPr="006406F6">
        <w:rPr>
          <w:rFonts w:hint="cs"/>
          <w:b/>
          <w:bCs/>
          <w:sz w:val="18"/>
          <w:szCs w:val="18"/>
          <w:rtl/>
        </w:rPr>
        <w:t>בש"ך</w:t>
      </w:r>
      <w:r w:rsidRPr="006406F6">
        <w:rPr>
          <w:rFonts w:hint="cs"/>
          <w:sz w:val="18"/>
          <w:szCs w:val="18"/>
          <w:rtl/>
        </w:rPr>
        <w:t xml:space="preserve"> שאינה חוששת לעונה בינונית בשאר ווסתות הגוף</w:t>
      </w:r>
      <w:r>
        <w:rPr>
          <w:rFonts w:hint="cs"/>
          <w:sz w:val="18"/>
          <w:szCs w:val="18"/>
          <w:rtl/>
        </w:rPr>
        <w:t>,</w:t>
      </w:r>
      <w:r w:rsidRPr="006406F6">
        <w:rPr>
          <w:rFonts w:hint="cs"/>
          <w:sz w:val="18"/>
          <w:szCs w:val="18"/>
          <w:rtl/>
        </w:rPr>
        <w:t xml:space="preserve"> אלא רק בווסת המורכב מקפיצה ומימים.</w:t>
      </w:r>
    </w:p>
  </w:footnote>
  <w:footnote w:id="215">
    <w:p w:rsidR="005953C5" w:rsidRPr="008A5F9A" w:rsidRDefault="005953C5" w:rsidP="00620060">
      <w:pPr>
        <w:pStyle w:val="a3"/>
        <w:rPr>
          <w:rFonts w:asciiTheme="minorBidi" w:hAnsiTheme="minorBidi"/>
          <w:sz w:val="18"/>
          <w:szCs w:val="18"/>
          <w:rtl/>
        </w:rPr>
      </w:pPr>
      <w:r w:rsidRPr="008A5F9A">
        <w:rPr>
          <w:rStyle w:val="a5"/>
          <w:rFonts w:asciiTheme="minorBidi" w:hAnsiTheme="minorBidi"/>
          <w:sz w:val="18"/>
          <w:szCs w:val="18"/>
        </w:rPr>
        <w:footnoteRef/>
      </w:r>
      <w:r w:rsidRPr="008A5F9A">
        <w:rPr>
          <w:rFonts w:asciiTheme="minorBidi" w:hAnsiTheme="minorBidi"/>
          <w:sz w:val="18"/>
          <w:szCs w:val="18"/>
          <w:rtl/>
        </w:rPr>
        <w:t xml:space="preserve"> </w:t>
      </w:r>
      <w:r>
        <w:rPr>
          <w:rFonts w:asciiTheme="minorBidi" w:hAnsiTheme="minorBidi" w:hint="cs"/>
          <w:sz w:val="18"/>
          <w:szCs w:val="18"/>
          <w:rtl/>
        </w:rPr>
        <w:t>מ</w:t>
      </w:r>
      <w:r w:rsidRPr="008A5F9A">
        <w:rPr>
          <w:rFonts w:asciiTheme="minorBidi" w:hAnsiTheme="minorBidi"/>
          <w:sz w:val="18"/>
          <w:szCs w:val="18"/>
          <w:rtl/>
        </w:rPr>
        <w:t xml:space="preserve">סייג </w:t>
      </w:r>
      <w:r w:rsidRPr="008A5F9A">
        <w:rPr>
          <w:rFonts w:asciiTheme="minorBidi" w:hAnsiTheme="minorBidi"/>
          <w:b/>
          <w:bCs/>
          <w:sz w:val="18"/>
          <w:szCs w:val="18"/>
          <w:rtl/>
        </w:rPr>
        <w:t xml:space="preserve">החוו"ד </w:t>
      </w:r>
      <w:r w:rsidRPr="008A5F9A">
        <w:rPr>
          <w:rFonts w:asciiTheme="minorBidi" w:hAnsiTheme="minorBidi"/>
          <w:sz w:val="18"/>
          <w:szCs w:val="18"/>
          <w:rtl/>
        </w:rPr>
        <w:t>– דברי הש"ך אמורים רק באשה שיש לה ווסת קבוע או שאין לה ווסת קבוע וראתה בינתיים, אך אם אין לה ווסת קבוע ולא ראתה בינתיים, חוששת ליום החודש מטעם עונה בינונית.</w:t>
      </w:r>
    </w:p>
  </w:footnote>
  <w:footnote w:id="216">
    <w:p w:rsidR="005953C5" w:rsidRDefault="005953C5" w:rsidP="00620060">
      <w:pPr>
        <w:pStyle w:val="a3"/>
        <w:rPr>
          <w:rtl/>
        </w:rPr>
      </w:pPr>
      <w:r w:rsidRPr="00562547">
        <w:rPr>
          <w:rStyle w:val="a5"/>
          <w:sz w:val="18"/>
          <w:szCs w:val="18"/>
        </w:rPr>
        <w:footnoteRef/>
      </w:r>
      <w:r w:rsidRPr="00562547">
        <w:rPr>
          <w:sz w:val="18"/>
          <w:szCs w:val="18"/>
          <w:rtl/>
        </w:rPr>
        <w:t xml:space="preserve"> </w:t>
      </w:r>
      <w:r w:rsidRPr="00562547">
        <w:rPr>
          <w:rFonts w:hint="cs"/>
          <w:sz w:val="18"/>
          <w:szCs w:val="18"/>
          <w:rtl/>
        </w:rPr>
        <w:t xml:space="preserve">אע"פ של"ב חולקת על ל"ק, מכל מקום ל"ק מודה לל"ב שקבעה ווסת לימים בלבד, שהרי בל"ק קבעה ווסת מורכב רק מכוח קפיצת השבת, אך אם לא קפצה בשבת וראתה ביום א' </w:t>
      </w:r>
      <w:r w:rsidRPr="00562547">
        <w:rPr>
          <w:sz w:val="18"/>
          <w:szCs w:val="18"/>
          <w:rtl/>
        </w:rPr>
        <w:t>–</w:t>
      </w:r>
      <w:r w:rsidRPr="00562547">
        <w:rPr>
          <w:rFonts w:hint="cs"/>
          <w:sz w:val="18"/>
          <w:szCs w:val="18"/>
          <w:rtl/>
        </w:rPr>
        <w:t xml:space="preserve"> פשוט שקבעה לימים בלבד</w:t>
      </w:r>
      <w:r>
        <w:rPr>
          <w:rFonts w:hint="cs"/>
          <w:sz w:val="18"/>
          <w:szCs w:val="18"/>
          <w:rtl/>
        </w:rPr>
        <w:t xml:space="preserve">, </w:t>
      </w:r>
      <w:r w:rsidRPr="00387A38">
        <w:rPr>
          <w:rFonts w:hint="cs"/>
          <w:b/>
          <w:bCs/>
          <w:sz w:val="18"/>
          <w:szCs w:val="18"/>
          <w:rtl/>
        </w:rPr>
        <w:t>ב"י</w:t>
      </w:r>
      <w:r w:rsidRPr="00562547">
        <w:rPr>
          <w:rFonts w:hint="cs"/>
          <w:sz w:val="18"/>
          <w:szCs w:val="18"/>
          <w:rtl/>
        </w:rPr>
        <w:t>.</w:t>
      </w:r>
    </w:p>
  </w:footnote>
  <w:footnote w:id="217">
    <w:p w:rsidR="005953C5" w:rsidRDefault="005953C5" w:rsidP="00620060">
      <w:pPr>
        <w:pStyle w:val="a3"/>
      </w:pPr>
      <w:r w:rsidRPr="00746544">
        <w:rPr>
          <w:rStyle w:val="a5"/>
          <w:sz w:val="18"/>
          <w:szCs w:val="18"/>
        </w:rPr>
        <w:footnoteRef/>
      </w:r>
      <w:r w:rsidRPr="00746544">
        <w:rPr>
          <w:sz w:val="18"/>
          <w:szCs w:val="18"/>
          <w:rtl/>
        </w:rPr>
        <w:t xml:space="preserve"> </w:t>
      </w:r>
      <w:r w:rsidRPr="00746544">
        <w:rPr>
          <w:rFonts w:hint="cs"/>
          <w:sz w:val="18"/>
          <w:szCs w:val="18"/>
          <w:rtl/>
        </w:rPr>
        <w:t xml:space="preserve">הסבר </w:t>
      </w:r>
      <w:r w:rsidRPr="00746544">
        <w:rPr>
          <w:sz w:val="18"/>
          <w:szCs w:val="18"/>
          <w:rtl/>
        </w:rPr>
        <w:t>–</w:t>
      </w:r>
      <w:r w:rsidRPr="00746544">
        <w:rPr>
          <w:rFonts w:hint="cs"/>
          <w:sz w:val="18"/>
          <w:szCs w:val="18"/>
          <w:rtl/>
        </w:rPr>
        <w:t xml:space="preserve"> הראשונים משתמשים בשיקול זה כמה פעמים בסימן זה. מוכח שהבינו שווסת קבוע הוא חומרה, ולכן </w:t>
      </w:r>
      <w:r w:rsidRPr="00746544">
        <w:rPr>
          <w:rFonts w:hint="cs"/>
          <w:b/>
          <w:bCs/>
          <w:sz w:val="18"/>
          <w:szCs w:val="18"/>
          <w:rtl/>
        </w:rPr>
        <w:t>הש"ך</w:t>
      </w:r>
      <w:r w:rsidRPr="00746544">
        <w:rPr>
          <w:rFonts w:hint="cs"/>
          <w:sz w:val="18"/>
          <w:szCs w:val="18"/>
          <w:rtl/>
        </w:rPr>
        <w:t xml:space="preserve"> פוסק כאן שקבעה ווסת מורכב, כיוון שווסת </w:t>
      </w:r>
      <w:r>
        <w:rPr>
          <w:rFonts w:hint="cs"/>
          <w:sz w:val="18"/>
          <w:szCs w:val="18"/>
          <w:rtl/>
        </w:rPr>
        <w:t>זה</w:t>
      </w:r>
      <w:r w:rsidRPr="00746544">
        <w:rPr>
          <w:rFonts w:hint="cs"/>
          <w:sz w:val="18"/>
          <w:szCs w:val="18"/>
          <w:rtl/>
        </w:rPr>
        <w:t xml:space="preserve"> פחות שכיח מווסת הימים בלבד. ואמנם, אע"פ שיש קולה בווסת שאינו קבוע שאף אם לא בדקה מותרת, מכל מקום יש בכך גם חומרות, שהרי חוששת ליום החודש, להפלגה ולעו"ב.</w:t>
      </w:r>
    </w:p>
  </w:footnote>
  <w:footnote w:id="218">
    <w:p w:rsidR="005953C5" w:rsidRDefault="005953C5" w:rsidP="00620060">
      <w:pPr>
        <w:pStyle w:val="a3"/>
        <w:rPr>
          <w:rtl/>
        </w:rPr>
      </w:pPr>
      <w:r w:rsidRPr="00191183">
        <w:rPr>
          <w:rStyle w:val="a5"/>
          <w:sz w:val="18"/>
          <w:szCs w:val="18"/>
        </w:rPr>
        <w:footnoteRef/>
      </w:r>
      <w:r w:rsidRPr="00191183">
        <w:rPr>
          <w:sz w:val="18"/>
          <w:szCs w:val="18"/>
          <w:rtl/>
        </w:rPr>
        <w:t xml:space="preserve"> </w:t>
      </w:r>
      <w:r w:rsidRPr="00191183">
        <w:rPr>
          <w:rFonts w:hint="cs"/>
          <w:sz w:val="18"/>
          <w:szCs w:val="18"/>
          <w:rtl/>
        </w:rPr>
        <w:t>וכן משמע בגמרא בברכות לגבי רבי כשהיה מפהק הניח ידו על סנטרו.</w:t>
      </w:r>
    </w:p>
  </w:footnote>
  <w:footnote w:id="219">
    <w:p w:rsidR="005953C5" w:rsidRDefault="005953C5" w:rsidP="00620060">
      <w:pPr>
        <w:pStyle w:val="a3"/>
        <w:rPr>
          <w:rtl/>
        </w:rPr>
      </w:pPr>
      <w:r w:rsidRPr="00100B20">
        <w:rPr>
          <w:rStyle w:val="a5"/>
          <w:sz w:val="18"/>
          <w:szCs w:val="18"/>
        </w:rPr>
        <w:footnoteRef/>
      </w:r>
      <w:r w:rsidRPr="00100B20">
        <w:rPr>
          <w:sz w:val="18"/>
          <w:szCs w:val="18"/>
          <w:rtl/>
        </w:rPr>
        <w:t xml:space="preserve"> </w:t>
      </w:r>
      <w:r w:rsidRPr="00100B20">
        <w:rPr>
          <w:rFonts w:hint="cs"/>
          <w:b/>
          <w:bCs/>
          <w:sz w:val="18"/>
          <w:szCs w:val="18"/>
          <w:rtl/>
        </w:rPr>
        <w:t>פת"ש</w:t>
      </w:r>
      <w:r w:rsidRPr="00100B20">
        <w:rPr>
          <w:rFonts w:hint="cs"/>
          <w:sz w:val="18"/>
          <w:szCs w:val="18"/>
          <w:rtl/>
        </w:rPr>
        <w:t xml:space="preserve"> - הפוסקים לא הביאו דין זה, משום שאין דין דם טהור נוהג היום.</w:t>
      </w:r>
      <w:r w:rsidRPr="00100B20">
        <w:rPr>
          <w:sz w:val="18"/>
          <w:szCs w:val="18"/>
          <w:rtl/>
        </w:rPr>
        <w:br/>
      </w:r>
      <w:r w:rsidRPr="00100B20">
        <w:rPr>
          <w:rFonts w:hint="cs"/>
          <w:sz w:val="18"/>
          <w:szCs w:val="18"/>
          <w:rtl/>
        </w:rPr>
        <w:t xml:space="preserve">ומכל מקום כתב </w:t>
      </w:r>
      <w:r>
        <w:rPr>
          <w:rFonts w:hint="cs"/>
          <w:sz w:val="18"/>
          <w:szCs w:val="18"/>
          <w:rtl/>
        </w:rPr>
        <w:t>הפ"י</w:t>
      </w:r>
      <w:r w:rsidRPr="00100B20">
        <w:rPr>
          <w:rFonts w:hint="cs"/>
          <w:sz w:val="18"/>
          <w:szCs w:val="18"/>
          <w:rtl/>
        </w:rPr>
        <w:t>, שהוא הדין אם רגילה לראות כעין מוגלה ואחר זה דם, דהיינו שופעת דם טמא מתוך דם טהור.</w:t>
      </w:r>
    </w:p>
  </w:footnote>
  <w:footnote w:id="220">
    <w:p w:rsidR="005953C5" w:rsidRDefault="005953C5" w:rsidP="00620060">
      <w:pPr>
        <w:pStyle w:val="a3"/>
      </w:pPr>
      <w:r w:rsidRPr="00783DCC">
        <w:rPr>
          <w:rStyle w:val="a5"/>
          <w:sz w:val="18"/>
          <w:szCs w:val="18"/>
        </w:rPr>
        <w:footnoteRef/>
      </w:r>
      <w:r w:rsidRPr="00783DCC">
        <w:rPr>
          <w:sz w:val="18"/>
          <w:szCs w:val="18"/>
          <w:rtl/>
        </w:rPr>
        <w:t xml:space="preserve"> </w:t>
      </w:r>
      <w:r w:rsidRPr="00783DCC">
        <w:rPr>
          <w:rFonts w:hint="cs"/>
          <w:sz w:val="18"/>
          <w:szCs w:val="18"/>
          <w:rtl/>
        </w:rPr>
        <w:t xml:space="preserve">כך היא לשון </w:t>
      </w:r>
      <w:r w:rsidRPr="00783DCC">
        <w:rPr>
          <w:rFonts w:hint="cs"/>
          <w:b/>
          <w:bCs/>
          <w:sz w:val="18"/>
          <w:szCs w:val="18"/>
          <w:rtl/>
        </w:rPr>
        <w:t>הרמב"ם</w:t>
      </w:r>
      <w:r w:rsidRPr="00783DCC">
        <w:rPr>
          <w:rFonts w:hint="cs"/>
          <w:sz w:val="18"/>
          <w:szCs w:val="18"/>
          <w:rtl/>
        </w:rPr>
        <w:t xml:space="preserve"> </w:t>
      </w:r>
      <w:r w:rsidRPr="00783DCC">
        <w:rPr>
          <w:rFonts w:hint="cs"/>
          <w:sz w:val="16"/>
          <w:szCs w:val="16"/>
          <w:rtl/>
        </w:rPr>
        <w:t xml:space="preserve">(פ"ח א </w:t>
      </w:r>
      <w:r w:rsidRPr="00783DCC">
        <w:rPr>
          <w:sz w:val="16"/>
          <w:szCs w:val="16"/>
          <w:rtl/>
        </w:rPr>
        <w:t>–</w:t>
      </w:r>
      <w:r w:rsidRPr="00783DCC">
        <w:rPr>
          <w:rFonts w:hint="cs"/>
          <w:sz w:val="16"/>
          <w:szCs w:val="16"/>
          <w:rtl/>
        </w:rPr>
        <w:t xml:space="preserve"> ב, איסורי ביאה) </w:t>
      </w:r>
      <w:r w:rsidRPr="00783DCC">
        <w:rPr>
          <w:rFonts w:hint="cs"/>
          <w:sz w:val="18"/>
          <w:szCs w:val="18"/>
          <w:rtl/>
        </w:rPr>
        <w:t>"</w:t>
      </w:r>
      <w:r w:rsidRPr="00783DCC">
        <w:rPr>
          <w:rFonts w:cs="Arial" w:hint="cs"/>
          <w:sz w:val="18"/>
          <w:szCs w:val="18"/>
          <w:rtl/>
        </w:rPr>
        <w:t>יש</w:t>
      </w:r>
      <w:r w:rsidRPr="00783DCC">
        <w:rPr>
          <w:rFonts w:cs="Arial"/>
          <w:sz w:val="18"/>
          <w:szCs w:val="18"/>
          <w:rtl/>
        </w:rPr>
        <w:t xml:space="preserve"> </w:t>
      </w:r>
      <w:r w:rsidRPr="00783DCC">
        <w:rPr>
          <w:rFonts w:cs="Arial" w:hint="cs"/>
          <w:sz w:val="18"/>
          <w:szCs w:val="18"/>
          <w:rtl/>
        </w:rPr>
        <w:t>אשה</w:t>
      </w:r>
      <w:r w:rsidRPr="00783DCC">
        <w:rPr>
          <w:rFonts w:cs="Arial"/>
          <w:sz w:val="18"/>
          <w:szCs w:val="18"/>
          <w:rtl/>
        </w:rPr>
        <w:t xml:space="preserve"> </w:t>
      </w:r>
      <w:r w:rsidRPr="00783DCC">
        <w:rPr>
          <w:rFonts w:cs="Arial" w:hint="cs"/>
          <w:sz w:val="18"/>
          <w:szCs w:val="18"/>
          <w:rtl/>
        </w:rPr>
        <w:t>שיש</w:t>
      </w:r>
      <w:r w:rsidRPr="00783DCC">
        <w:rPr>
          <w:rFonts w:cs="Arial"/>
          <w:sz w:val="18"/>
          <w:szCs w:val="18"/>
          <w:rtl/>
        </w:rPr>
        <w:t xml:space="preserve"> </w:t>
      </w:r>
      <w:r w:rsidRPr="00783DCC">
        <w:rPr>
          <w:rFonts w:cs="Arial" w:hint="cs"/>
          <w:sz w:val="18"/>
          <w:szCs w:val="18"/>
          <w:rtl/>
        </w:rPr>
        <w:t>לה</w:t>
      </w:r>
      <w:r w:rsidRPr="00783DCC">
        <w:rPr>
          <w:rFonts w:cs="Arial"/>
          <w:sz w:val="18"/>
          <w:szCs w:val="18"/>
          <w:rtl/>
        </w:rPr>
        <w:t xml:space="preserve"> </w:t>
      </w:r>
      <w:r w:rsidRPr="00783DCC">
        <w:rPr>
          <w:rFonts w:cs="Arial" w:hint="cs"/>
          <w:sz w:val="18"/>
          <w:szCs w:val="18"/>
          <w:rtl/>
        </w:rPr>
        <w:t>וסת</w:t>
      </w:r>
      <w:r w:rsidRPr="00783DCC">
        <w:rPr>
          <w:rFonts w:cs="Arial"/>
          <w:sz w:val="18"/>
          <w:szCs w:val="18"/>
          <w:rtl/>
        </w:rPr>
        <w:t xml:space="preserve"> </w:t>
      </w:r>
      <w:r w:rsidRPr="00783DCC">
        <w:rPr>
          <w:rFonts w:cs="Arial" w:hint="cs"/>
          <w:sz w:val="18"/>
          <w:szCs w:val="18"/>
          <w:rtl/>
        </w:rPr>
        <w:t>ויש</w:t>
      </w:r>
      <w:r w:rsidRPr="00783DCC">
        <w:rPr>
          <w:rFonts w:cs="Arial"/>
          <w:sz w:val="18"/>
          <w:szCs w:val="18"/>
          <w:rtl/>
        </w:rPr>
        <w:t xml:space="preserve"> </w:t>
      </w:r>
      <w:r w:rsidRPr="00783DCC">
        <w:rPr>
          <w:rFonts w:cs="Arial" w:hint="cs"/>
          <w:sz w:val="18"/>
          <w:szCs w:val="18"/>
          <w:rtl/>
        </w:rPr>
        <w:t>אשה</w:t>
      </w:r>
      <w:r w:rsidRPr="00783DCC">
        <w:rPr>
          <w:rFonts w:cs="Arial"/>
          <w:sz w:val="18"/>
          <w:szCs w:val="18"/>
          <w:rtl/>
        </w:rPr>
        <w:t xml:space="preserve"> </w:t>
      </w:r>
      <w:r w:rsidRPr="00783DCC">
        <w:rPr>
          <w:rFonts w:cs="Arial" w:hint="cs"/>
          <w:sz w:val="18"/>
          <w:szCs w:val="18"/>
          <w:rtl/>
        </w:rPr>
        <w:t>שאין</w:t>
      </w:r>
      <w:r w:rsidRPr="00783DCC">
        <w:rPr>
          <w:rFonts w:cs="Arial"/>
          <w:sz w:val="18"/>
          <w:szCs w:val="18"/>
          <w:rtl/>
        </w:rPr>
        <w:t xml:space="preserve"> </w:t>
      </w:r>
      <w:r w:rsidRPr="00783DCC">
        <w:rPr>
          <w:rFonts w:cs="Arial" w:hint="cs"/>
          <w:sz w:val="18"/>
          <w:szCs w:val="18"/>
          <w:rtl/>
        </w:rPr>
        <w:t>לה</w:t>
      </w:r>
      <w:r w:rsidRPr="00783DCC">
        <w:rPr>
          <w:rFonts w:cs="Arial"/>
          <w:sz w:val="18"/>
          <w:szCs w:val="18"/>
          <w:rtl/>
        </w:rPr>
        <w:t xml:space="preserve"> </w:t>
      </w:r>
      <w:r w:rsidRPr="00783DCC">
        <w:rPr>
          <w:rFonts w:cs="Arial" w:hint="cs"/>
          <w:sz w:val="18"/>
          <w:szCs w:val="18"/>
          <w:rtl/>
        </w:rPr>
        <w:t>וסת</w:t>
      </w:r>
      <w:r w:rsidRPr="00783DCC">
        <w:rPr>
          <w:rFonts w:cs="Arial"/>
          <w:sz w:val="18"/>
          <w:szCs w:val="18"/>
          <w:rtl/>
        </w:rPr>
        <w:t xml:space="preserve"> </w:t>
      </w:r>
      <w:r w:rsidRPr="00783DCC">
        <w:rPr>
          <w:rFonts w:cs="Arial" w:hint="cs"/>
          <w:sz w:val="18"/>
          <w:szCs w:val="18"/>
          <w:rtl/>
        </w:rPr>
        <w:t>אלא</w:t>
      </w:r>
      <w:r w:rsidRPr="00783DCC">
        <w:rPr>
          <w:rFonts w:cs="Arial"/>
          <w:sz w:val="18"/>
          <w:szCs w:val="18"/>
          <w:rtl/>
        </w:rPr>
        <w:t xml:space="preserve"> </w:t>
      </w:r>
      <w:r w:rsidRPr="00783DCC">
        <w:rPr>
          <w:rFonts w:cs="Arial" w:hint="cs"/>
          <w:sz w:val="18"/>
          <w:szCs w:val="18"/>
          <w:rtl/>
        </w:rPr>
        <w:t>לא</w:t>
      </w:r>
      <w:r w:rsidRPr="00783DCC">
        <w:rPr>
          <w:rFonts w:cs="Arial"/>
          <w:sz w:val="18"/>
          <w:szCs w:val="18"/>
          <w:rtl/>
        </w:rPr>
        <w:t xml:space="preserve"> </w:t>
      </w:r>
      <w:r w:rsidRPr="00783DCC">
        <w:rPr>
          <w:rFonts w:cs="Arial" w:hint="cs"/>
          <w:sz w:val="18"/>
          <w:szCs w:val="18"/>
          <w:rtl/>
        </w:rPr>
        <w:t>תרגיש</w:t>
      </w:r>
      <w:r w:rsidRPr="00783DCC">
        <w:rPr>
          <w:rFonts w:cs="Arial"/>
          <w:sz w:val="18"/>
          <w:szCs w:val="18"/>
          <w:rtl/>
        </w:rPr>
        <w:t xml:space="preserve"> </w:t>
      </w:r>
      <w:r w:rsidRPr="00783DCC">
        <w:rPr>
          <w:rFonts w:cs="Arial" w:hint="cs"/>
          <w:sz w:val="18"/>
          <w:szCs w:val="18"/>
          <w:rtl/>
        </w:rPr>
        <w:t>בעצמה</w:t>
      </w:r>
      <w:r w:rsidRPr="00783DCC">
        <w:rPr>
          <w:rFonts w:cs="Arial"/>
          <w:sz w:val="18"/>
          <w:szCs w:val="18"/>
          <w:rtl/>
        </w:rPr>
        <w:t xml:space="preserve"> </w:t>
      </w:r>
      <w:r w:rsidRPr="00783DCC">
        <w:rPr>
          <w:rFonts w:cs="Arial" w:hint="cs"/>
          <w:sz w:val="18"/>
          <w:szCs w:val="18"/>
          <w:rtl/>
        </w:rPr>
        <w:t>עד</w:t>
      </w:r>
      <w:r w:rsidRPr="00783DCC">
        <w:rPr>
          <w:rFonts w:cs="Arial"/>
          <w:sz w:val="18"/>
          <w:szCs w:val="18"/>
          <w:rtl/>
        </w:rPr>
        <w:t xml:space="preserve"> </w:t>
      </w:r>
      <w:r w:rsidRPr="00783DCC">
        <w:rPr>
          <w:rFonts w:cs="Arial" w:hint="cs"/>
          <w:sz w:val="18"/>
          <w:szCs w:val="18"/>
          <w:rtl/>
        </w:rPr>
        <w:t>שיצא</w:t>
      </w:r>
      <w:r w:rsidRPr="00783DCC">
        <w:rPr>
          <w:rFonts w:cs="Arial"/>
          <w:sz w:val="18"/>
          <w:szCs w:val="18"/>
          <w:rtl/>
        </w:rPr>
        <w:t xml:space="preserve"> </w:t>
      </w:r>
      <w:r w:rsidRPr="00783DCC">
        <w:rPr>
          <w:rFonts w:cs="Arial" w:hint="cs"/>
          <w:sz w:val="18"/>
          <w:szCs w:val="18"/>
          <w:rtl/>
        </w:rPr>
        <w:t>הדם</w:t>
      </w:r>
      <w:r w:rsidRPr="00783DCC">
        <w:rPr>
          <w:rFonts w:cs="Arial"/>
          <w:sz w:val="18"/>
          <w:szCs w:val="18"/>
          <w:rtl/>
        </w:rPr>
        <w:t xml:space="preserve"> </w:t>
      </w:r>
      <w:r w:rsidRPr="00783DCC">
        <w:rPr>
          <w:rFonts w:cs="Arial" w:hint="cs"/>
          <w:sz w:val="18"/>
          <w:szCs w:val="18"/>
          <w:rtl/>
        </w:rPr>
        <w:t>ואין</w:t>
      </w:r>
      <w:r w:rsidRPr="00783DCC">
        <w:rPr>
          <w:rFonts w:cs="Arial"/>
          <w:sz w:val="18"/>
          <w:szCs w:val="18"/>
          <w:rtl/>
        </w:rPr>
        <w:t xml:space="preserve"> </w:t>
      </w:r>
      <w:r w:rsidRPr="00783DCC">
        <w:rPr>
          <w:rFonts w:cs="Arial" w:hint="cs"/>
          <w:sz w:val="18"/>
          <w:szCs w:val="18"/>
          <w:rtl/>
        </w:rPr>
        <w:t>לה</w:t>
      </w:r>
      <w:r w:rsidRPr="00783DCC">
        <w:rPr>
          <w:rFonts w:cs="Arial"/>
          <w:sz w:val="18"/>
          <w:szCs w:val="18"/>
          <w:rtl/>
        </w:rPr>
        <w:t xml:space="preserve"> </w:t>
      </w:r>
      <w:r w:rsidRPr="00783DCC">
        <w:rPr>
          <w:rFonts w:cs="Arial" w:hint="cs"/>
          <w:sz w:val="18"/>
          <w:szCs w:val="18"/>
          <w:rtl/>
        </w:rPr>
        <w:t>יום</w:t>
      </w:r>
      <w:r w:rsidRPr="00783DCC">
        <w:rPr>
          <w:rFonts w:cs="Arial"/>
          <w:sz w:val="18"/>
          <w:szCs w:val="18"/>
          <w:rtl/>
        </w:rPr>
        <w:t xml:space="preserve"> </w:t>
      </w:r>
      <w:r w:rsidRPr="00783DCC">
        <w:rPr>
          <w:rFonts w:cs="Arial" w:hint="cs"/>
          <w:sz w:val="18"/>
          <w:szCs w:val="18"/>
          <w:rtl/>
        </w:rPr>
        <w:t>קבוע</w:t>
      </w:r>
      <w:r w:rsidRPr="00783DCC">
        <w:rPr>
          <w:rFonts w:cs="Arial"/>
          <w:sz w:val="18"/>
          <w:szCs w:val="18"/>
          <w:rtl/>
        </w:rPr>
        <w:t xml:space="preserve"> </w:t>
      </w:r>
      <w:r w:rsidRPr="00783DCC">
        <w:rPr>
          <w:rFonts w:cs="Arial" w:hint="cs"/>
          <w:sz w:val="18"/>
          <w:szCs w:val="18"/>
          <w:rtl/>
        </w:rPr>
        <w:t>לראייתה</w:t>
      </w:r>
      <w:r w:rsidRPr="00783DCC">
        <w:rPr>
          <w:rFonts w:cs="Arial"/>
          <w:sz w:val="18"/>
          <w:szCs w:val="18"/>
          <w:rtl/>
        </w:rPr>
        <w:t xml:space="preserve">, </w:t>
      </w:r>
      <w:r w:rsidRPr="00783DCC">
        <w:rPr>
          <w:rFonts w:cs="Arial" w:hint="cs"/>
          <w:sz w:val="18"/>
          <w:szCs w:val="18"/>
          <w:rtl/>
        </w:rPr>
        <w:t>וזהו</w:t>
      </w:r>
      <w:r w:rsidRPr="00783DCC">
        <w:rPr>
          <w:rFonts w:cs="Arial"/>
          <w:sz w:val="18"/>
          <w:szCs w:val="18"/>
          <w:rtl/>
        </w:rPr>
        <w:t xml:space="preserve"> </w:t>
      </w:r>
      <w:r w:rsidRPr="00783DCC">
        <w:rPr>
          <w:rFonts w:cs="Arial" w:hint="cs"/>
          <w:sz w:val="18"/>
          <w:szCs w:val="18"/>
          <w:rtl/>
        </w:rPr>
        <w:t>שיש</w:t>
      </w:r>
      <w:r w:rsidRPr="00783DCC">
        <w:rPr>
          <w:rFonts w:cs="Arial"/>
          <w:sz w:val="18"/>
          <w:szCs w:val="18"/>
          <w:rtl/>
        </w:rPr>
        <w:t xml:space="preserve"> </w:t>
      </w:r>
      <w:r w:rsidRPr="00783DCC">
        <w:rPr>
          <w:rFonts w:cs="Arial" w:hint="cs"/>
          <w:sz w:val="18"/>
          <w:szCs w:val="18"/>
          <w:rtl/>
        </w:rPr>
        <w:t>לה</w:t>
      </w:r>
      <w:r w:rsidRPr="00783DCC">
        <w:rPr>
          <w:rFonts w:cs="Arial"/>
          <w:sz w:val="18"/>
          <w:szCs w:val="18"/>
          <w:rtl/>
        </w:rPr>
        <w:t xml:space="preserve"> </w:t>
      </w:r>
      <w:r w:rsidRPr="00783DCC">
        <w:rPr>
          <w:rFonts w:cs="Arial" w:hint="cs"/>
          <w:sz w:val="18"/>
          <w:szCs w:val="18"/>
          <w:rtl/>
        </w:rPr>
        <w:t>וסת</w:t>
      </w:r>
      <w:r w:rsidRPr="00783DCC">
        <w:rPr>
          <w:rFonts w:cs="Arial"/>
          <w:sz w:val="18"/>
          <w:szCs w:val="18"/>
          <w:rtl/>
        </w:rPr>
        <w:t xml:space="preserve"> </w:t>
      </w:r>
      <w:r w:rsidRPr="00783DCC">
        <w:rPr>
          <w:rFonts w:cs="Arial" w:hint="cs"/>
          <w:sz w:val="18"/>
          <w:szCs w:val="18"/>
          <w:rtl/>
        </w:rPr>
        <w:t>היא</w:t>
      </w:r>
      <w:r w:rsidRPr="00783DCC">
        <w:rPr>
          <w:rFonts w:cs="Arial"/>
          <w:sz w:val="18"/>
          <w:szCs w:val="18"/>
          <w:rtl/>
        </w:rPr>
        <w:t xml:space="preserve"> </w:t>
      </w:r>
      <w:r w:rsidRPr="00783DCC">
        <w:rPr>
          <w:rFonts w:cs="Arial" w:hint="cs"/>
          <w:sz w:val="18"/>
          <w:szCs w:val="18"/>
          <w:rtl/>
        </w:rPr>
        <w:t>שיש</w:t>
      </w:r>
      <w:r w:rsidRPr="00783DCC">
        <w:rPr>
          <w:rFonts w:cs="Arial"/>
          <w:sz w:val="18"/>
          <w:szCs w:val="18"/>
          <w:rtl/>
        </w:rPr>
        <w:t xml:space="preserve"> </w:t>
      </w:r>
      <w:r w:rsidRPr="00783DCC">
        <w:rPr>
          <w:rFonts w:cs="Arial" w:hint="cs"/>
          <w:sz w:val="18"/>
          <w:szCs w:val="18"/>
          <w:rtl/>
        </w:rPr>
        <w:t>לה</w:t>
      </w:r>
      <w:r w:rsidRPr="00783DCC">
        <w:rPr>
          <w:rFonts w:cs="Arial"/>
          <w:sz w:val="18"/>
          <w:szCs w:val="18"/>
          <w:rtl/>
        </w:rPr>
        <w:t xml:space="preserve"> </w:t>
      </w:r>
      <w:r w:rsidRPr="00783DCC">
        <w:rPr>
          <w:rFonts w:cs="Arial" w:hint="cs"/>
          <w:sz w:val="18"/>
          <w:szCs w:val="18"/>
          <w:rtl/>
        </w:rPr>
        <w:t>יום</w:t>
      </w:r>
      <w:r w:rsidRPr="00783DCC">
        <w:rPr>
          <w:rFonts w:cs="Arial"/>
          <w:sz w:val="18"/>
          <w:szCs w:val="18"/>
          <w:rtl/>
        </w:rPr>
        <w:t xml:space="preserve"> </w:t>
      </w:r>
      <w:r w:rsidRPr="00783DCC">
        <w:rPr>
          <w:rFonts w:cs="Arial" w:hint="cs"/>
          <w:sz w:val="18"/>
          <w:szCs w:val="18"/>
          <w:rtl/>
        </w:rPr>
        <w:t>קבוע</w:t>
      </w:r>
      <w:r w:rsidRPr="00783DCC">
        <w:rPr>
          <w:rFonts w:cs="Arial"/>
          <w:sz w:val="18"/>
          <w:szCs w:val="18"/>
          <w:rtl/>
        </w:rPr>
        <w:t xml:space="preserve">, </w:t>
      </w:r>
      <w:r w:rsidRPr="00783DCC">
        <w:rPr>
          <w:rFonts w:cs="Arial" w:hint="cs"/>
          <w:sz w:val="18"/>
          <w:szCs w:val="18"/>
          <w:rtl/>
        </w:rPr>
        <w:t>או</w:t>
      </w:r>
      <w:r w:rsidRPr="00783DCC">
        <w:rPr>
          <w:rFonts w:cs="Arial"/>
          <w:sz w:val="18"/>
          <w:szCs w:val="18"/>
          <w:rtl/>
        </w:rPr>
        <w:t xml:space="preserve"> </w:t>
      </w:r>
      <w:r w:rsidRPr="00783DCC">
        <w:rPr>
          <w:rFonts w:cs="Arial" w:hint="cs"/>
          <w:sz w:val="18"/>
          <w:szCs w:val="18"/>
          <w:rtl/>
        </w:rPr>
        <w:t>מכ</w:t>
      </w:r>
      <w:r w:rsidRPr="00783DCC">
        <w:rPr>
          <w:rFonts w:cs="Arial"/>
          <w:sz w:val="18"/>
          <w:szCs w:val="18"/>
          <w:rtl/>
        </w:rPr>
        <w:t xml:space="preserve">' </w:t>
      </w:r>
      <w:r w:rsidRPr="00783DCC">
        <w:rPr>
          <w:rFonts w:cs="Arial" w:hint="cs"/>
          <w:sz w:val="18"/>
          <w:szCs w:val="18"/>
          <w:rtl/>
        </w:rPr>
        <w:t>יום</w:t>
      </w:r>
      <w:r w:rsidRPr="00783DCC">
        <w:rPr>
          <w:rFonts w:cs="Arial"/>
          <w:sz w:val="18"/>
          <w:szCs w:val="18"/>
          <w:rtl/>
        </w:rPr>
        <w:t xml:space="preserve"> </w:t>
      </w:r>
      <w:r w:rsidRPr="00783DCC">
        <w:rPr>
          <w:rFonts w:cs="Arial" w:hint="cs"/>
          <w:sz w:val="18"/>
          <w:szCs w:val="18"/>
          <w:rtl/>
        </w:rPr>
        <w:t>לכ</w:t>
      </w:r>
      <w:r w:rsidRPr="00783DCC">
        <w:rPr>
          <w:rFonts w:cs="Arial"/>
          <w:sz w:val="18"/>
          <w:szCs w:val="18"/>
          <w:rtl/>
        </w:rPr>
        <w:t xml:space="preserve">' </w:t>
      </w:r>
      <w:r w:rsidRPr="00783DCC">
        <w:rPr>
          <w:rFonts w:cs="Arial" w:hint="cs"/>
          <w:sz w:val="18"/>
          <w:szCs w:val="18"/>
          <w:rtl/>
        </w:rPr>
        <w:t>יום</w:t>
      </w:r>
      <w:r w:rsidRPr="00783DCC">
        <w:rPr>
          <w:rFonts w:cs="Arial"/>
          <w:sz w:val="18"/>
          <w:szCs w:val="18"/>
          <w:rtl/>
        </w:rPr>
        <w:t xml:space="preserve">, </w:t>
      </w:r>
      <w:r w:rsidRPr="00783DCC">
        <w:rPr>
          <w:rFonts w:cs="Arial" w:hint="cs"/>
          <w:sz w:val="18"/>
          <w:szCs w:val="18"/>
          <w:rtl/>
        </w:rPr>
        <w:t>או</w:t>
      </w:r>
      <w:r w:rsidRPr="00783DCC">
        <w:rPr>
          <w:rFonts w:cs="Arial"/>
          <w:sz w:val="18"/>
          <w:szCs w:val="18"/>
          <w:rtl/>
        </w:rPr>
        <w:t xml:space="preserve"> </w:t>
      </w:r>
      <w:r w:rsidRPr="00783DCC">
        <w:rPr>
          <w:rFonts w:cs="Arial" w:hint="cs"/>
          <w:sz w:val="18"/>
          <w:szCs w:val="18"/>
          <w:rtl/>
        </w:rPr>
        <w:t>מכ</w:t>
      </w:r>
      <w:r w:rsidRPr="00783DCC">
        <w:rPr>
          <w:rFonts w:cs="Arial"/>
          <w:sz w:val="18"/>
          <w:szCs w:val="18"/>
          <w:rtl/>
        </w:rPr>
        <w:t>"</w:t>
      </w:r>
      <w:r w:rsidRPr="00783DCC">
        <w:rPr>
          <w:rFonts w:cs="Arial" w:hint="cs"/>
          <w:sz w:val="18"/>
          <w:szCs w:val="18"/>
          <w:rtl/>
        </w:rPr>
        <w:t>ד</w:t>
      </w:r>
      <w:r w:rsidRPr="00783DCC">
        <w:rPr>
          <w:rFonts w:cs="Arial"/>
          <w:sz w:val="18"/>
          <w:szCs w:val="18"/>
          <w:rtl/>
        </w:rPr>
        <w:t xml:space="preserve"> </w:t>
      </w:r>
      <w:r w:rsidRPr="00783DCC">
        <w:rPr>
          <w:rFonts w:cs="Arial" w:hint="cs"/>
          <w:sz w:val="18"/>
          <w:szCs w:val="18"/>
          <w:rtl/>
        </w:rPr>
        <w:t>יום</w:t>
      </w:r>
      <w:r w:rsidRPr="00783DCC">
        <w:rPr>
          <w:rFonts w:cs="Arial"/>
          <w:sz w:val="18"/>
          <w:szCs w:val="18"/>
          <w:rtl/>
        </w:rPr>
        <w:t xml:space="preserve"> </w:t>
      </w:r>
      <w:r w:rsidRPr="00783DCC">
        <w:rPr>
          <w:rFonts w:cs="Arial" w:hint="cs"/>
          <w:sz w:val="18"/>
          <w:szCs w:val="18"/>
          <w:rtl/>
        </w:rPr>
        <w:t>לכ</w:t>
      </w:r>
      <w:r w:rsidRPr="00783DCC">
        <w:rPr>
          <w:rFonts w:cs="Arial"/>
          <w:sz w:val="18"/>
          <w:szCs w:val="18"/>
          <w:rtl/>
        </w:rPr>
        <w:t>"</w:t>
      </w:r>
      <w:r w:rsidRPr="00783DCC">
        <w:rPr>
          <w:rFonts w:cs="Arial" w:hint="cs"/>
          <w:sz w:val="18"/>
          <w:szCs w:val="18"/>
          <w:rtl/>
        </w:rPr>
        <w:t>ד</w:t>
      </w:r>
      <w:r w:rsidRPr="00783DCC">
        <w:rPr>
          <w:rFonts w:cs="Arial"/>
          <w:sz w:val="18"/>
          <w:szCs w:val="18"/>
          <w:rtl/>
        </w:rPr>
        <w:t xml:space="preserve"> </w:t>
      </w:r>
      <w:r w:rsidRPr="00783DCC">
        <w:rPr>
          <w:rFonts w:cs="Arial" w:hint="cs"/>
          <w:sz w:val="18"/>
          <w:szCs w:val="18"/>
          <w:rtl/>
        </w:rPr>
        <w:t>יום</w:t>
      </w:r>
      <w:r w:rsidRPr="00783DCC">
        <w:rPr>
          <w:rFonts w:cs="Arial"/>
          <w:sz w:val="18"/>
          <w:szCs w:val="18"/>
          <w:rtl/>
        </w:rPr>
        <w:t xml:space="preserve">, </w:t>
      </w:r>
      <w:r w:rsidRPr="00783DCC">
        <w:rPr>
          <w:rFonts w:cs="Arial" w:hint="cs"/>
          <w:sz w:val="18"/>
          <w:szCs w:val="18"/>
          <w:rtl/>
        </w:rPr>
        <w:t>או</w:t>
      </w:r>
      <w:r w:rsidRPr="00783DCC">
        <w:rPr>
          <w:rFonts w:cs="Arial"/>
          <w:sz w:val="18"/>
          <w:szCs w:val="18"/>
          <w:rtl/>
        </w:rPr>
        <w:t xml:space="preserve"> </w:t>
      </w:r>
      <w:r w:rsidRPr="00783DCC">
        <w:rPr>
          <w:rFonts w:cs="Arial" w:hint="cs"/>
          <w:sz w:val="18"/>
          <w:szCs w:val="18"/>
          <w:rtl/>
        </w:rPr>
        <w:t>פחות</w:t>
      </w:r>
      <w:r w:rsidRPr="00783DCC">
        <w:rPr>
          <w:rFonts w:cs="Arial"/>
          <w:sz w:val="18"/>
          <w:szCs w:val="18"/>
          <w:rtl/>
        </w:rPr>
        <w:t xml:space="preserve"> </w:t>
      </w:r>
      <w:r w:rsidRPr="00783DCC">
        <w:rPr>
          <w:rFonts w:cs="Arial" w:hint="cs"/>
          <w:sz w:val="18"/>
          <w:szCs w:val="18"/>
          <w:rtl/>
        </w:rPr>
        <w:t>או</w:t>
      </w:r>
      <w:r w:rsidRPr="00783DCC">
        <w:rPr>
          <w:rFonts w:cs="Arial"/>
          <w:sz w:val="18"/>
          <w:szCs w:val="18"/>
          <w:rtl/>
        </w:rPr>
        <w:t xml:space="preserve"> </w:t>
      </w:r>
      <w:r w:rsidRPr="00783DCC">
        <w:rPr>
          <w:rFonts w:cs="Arial" w:hint="cs"/>
          <w:sz w:val="18"/>
          <w:szCs w:val="18"/>
          <w:rtl/>
        </w:rPr>
        <w:t>יותר</w:t>
      </w:r>
      <w:r w:rsidRPr="00783DCC">
        <w:rPr>
          <w:rFonts w:cs="Arial"/>
          <w:sz w:val="18"/>
          <w:szCs w:val="18"/>
          <w:rtl/>
        </w:rPr>
        <w:t xml:space="preserve">. </w:t>
      </w:r>
      <w:r w:rsidRPr="00783DCC">
        <w:rPr>
          <w:rFonts w:cs="Arial" w:hint="cs"/>
          <w:sz w:val="18"/>
          <w:szCs w:val="18"/>
          <w:rtl/>
        </w:rPr>
        <w:t>וקודם</w:t>
      </w:r>
      <w:r w:rsidRPr="00783DCC">
        <w:rPr>
          <w:rFonts w:cs="Arial"/>
          <w:sz w:val="18"/>
          <w:szCs w:val="18"/>
          <w:rtl/>
        </w:rPr>
        <w:t xml:space="preserve"> </w:t>
      </w:r>
      <w:r w:rsidRPr="00783DCC">
        <w:rPr>
          <w:rFonts w:cs="Arial" w:hint="cs"/>
          <w:sz w:val="18"/>
          <w:szCs w:val="18"/>
          <w:rtl/>
        </w:rPr>
        <w:t>שיבוא</w:t>
      </w:r>
      <w:r w:rsidRPr="00783DCC">
        <w:rPr>
          <w:rFonts w:cs="Arial"/>
          <w:sz w:val="18"/>
          <w:szCs w:val="18"/>
          <w:rtl/>
        </w:rPr>
        <w:t xml:space="preserve"> </w:t>
      </w:r>
      <w:r w:rsidRPr="00783DCC">
        <w:rPr>
          <w:rFonts w:cs="Arial" w:hint="cs"/>
          <w:sz w:val="18"/>
          <w:szCs w:val="18"/>
          <w:rtl/>
        </w:rPr>
        <w:t>הדם</w:t>
      </w:r>
      <w:r w:rsidRPr="00783DCC">
        <w:rPr>
          <w:rFonts w:cs="Arial"/>
          <w:sz w:val="18"/>
          <w:szCs w:val="18"/>
          <w:rtl/>
        </w:rPr>
        <w:t xml:space="preserve"> </w:t>
      </w:r>
      <w:r w:rsidRPr="00783DCC">
        <w:rPr>
          <w:rFonts w:cs="Arial" w:hint="cs"/>
          <w:sz w:val="18"/>
          <w:szCs w:val="18"/>
          <w:rtl/>
        </w:rPr>
        <w:t>תרגיש</w:t>
      </w:r>
      <w:r w:rsidRPr="00783DCC">
        <w:rPr>
          <w:rFonts w:cs="Arial"/>
          <w:sz w:val="18"/>
          <w:szCs w:val="18"/>
          <w:rtl/>
        </w:rPr>
        <w:t xml:space="preserve"> </w:t>
      </w:r>
      <w:r w:rsidRPr="00783DCC">
        <w:rPr>
          <w:rFonts w:cs="Arial" w:hint="cs"/>
          <w:sz w:val="18"/>
          <w:szCs w:val="18"/>
          <w:rtl/>
        </w:rPr>
        <w:t>בעצמה</w:t>
      </w:r>
      <w:r w:rsidRPr="00783DCC">
        <w:rPr>
          <w:rFonts w:cs="Arial"/>
          <w:sz w:val="18"/>
          <w:szCs w:val="18"/>
          <w:rtl/>
        </w:rPr>
        <w:t xml:space="preserve">, </w:t>
      </w:r>
      <w:r w:rsidRPr="00783DCC">
        <w:rPr>
          <w:rFonts w:cs="Arial" w:hint="cs"/>
          <w:sz w:val="18"/>
          <w:szCs w:val="18"/>
          <w:rtl/>
        </w:rPr>
        <w:t>מפהקת</w:t>
      </w:r>
      <w:r w:rsidRPr="00783DCC">
        <w:rPr>
          <w:rFonts w:cs="Arial"/>
          <w:sz w:val="18"/>
          <w:szCs w:val="18"/>
          <w:rtl/>
        </w:rPr>
        <w:t xml:space="preserve"> </w:t>
      </w:r>
      <w:r w:rsidRPr="00783DCC">
        <w:rPr>
          <w:rFonts w:cs="Arial" w:hint="cs"/>
          <w:sz w:val="18"/>
          <w:szCs w:val="18"/>
          <w:rtl/>
        </w:rPr>
        <w:t>ומתעטשת</w:t>
      </w:r>
      <w:r w:rsidRPr="00783DCC">
        <w:rPr>
          <w:rFonts w:cs="Arial"/>
          <w:sz w:val="18"/>
          <w:szCs w:val="18"/>
          <w:rtl/>
        </w:rPr>
        <w:t xml:space="preserve"> </w:t>
      </w:r>
      <w:r w:rsidRPr="00783DCC">
        <w:rPr>
          <w:rFonts w:cs="Arial" w:hint="cs"/>
          <w:sz w:val="18"/>
          <w:szCs w:val="18"/>
          <w:rtl/>
        </w:rPr>
        <w:t>וחוששת</w:t>
      </w:r>
      <w:r w:rsidRPr="00783DCC">
        <w:rPr>
          <w:rFonts w:cs="Arial"/>
          <w:sz w:val="18"/>
          <w:szCs w:val="18"/>
          <w:rtl/>
        </w:rPr>
        <w:t xml:space="preserve"> </w:t>
      </w:r>
      <w:r w:rsidRPr="00783DCC">
        <w:rPr>
          <w:rFonts w:cs="Arial" w:hint="cs"/>
          <w:sz w:val="18"/>
          <w:szCs w:val="18"/>
          <w:rtl/>
        </w:rPr>
        <w:t>פי</w:t>
      </w:r>
      <w:r w:rsidRPr="00783DCC">
        <w:rPr>
          <w:rFonts w:cs="Arial"/>
          <w:sz w:val="18"/>
          <w:szCs w:val="18"/>
          <w:rtl/>
        </w:rPr>
        <w:t xml:space="preserve"> </w:t>
      </w:r>
      <w:r w:rsidRPr="00783DCC">
        <w:rPr>
          <w:rFonts w:cs="Arial" w:hint="cs"/>
          <w:sz w:val="18"/>
          <w:szCs w:val="18"/>
          <w:rtl/>
        </w:rPr>
        <w:t>כריסה</w:t>
      </w:r>
      <w:r w:rsidRPr="00783DCC">
        <w:rPr>
          <w:rFonts w:cs="Arial"/>
          <w:sz w:val="18"/>
          <w:szCs w:val="18"/>
          <w:rtl/>
        </w:rPr>
        <w:t xml:space="preserve"> </w:t>
      </w:r>
      <w:r w:rsidRPr="00783DCC">
        <w:rPr>
          <w:rFonts w:cs="Arial" w:hint="cs"/>
          <w:sz w:val="18"/>
          <w:szCs w:val="18"/>
          <w:rtl/>
        </w:rPr>
        <w:t>ושיפולי</w:t>
      </w:r>
      <w:r w:rsidRPr="00783DCC">
        <w:rPr>
          <w:rFonts w:cs="Arial"/>
          <w:sz w:val="18"/>
          <w:szCs w:val="18"/>
          <w:rtl/>
        </w:rPr>
        <w:t xml:space="preserve"> </w:t>
      </w:r>
      <w:r w:rsidRPr="00783DCC">
        <w:rPr>
          <w:rFonts w:cs="Arial" w:hint="cs"/>
          <w:sz w:val="18"/>
          <w:szCs w:val="18"/>
          <w:rtl/>
        </w:rPr>
        <w:t>מעיה</w:t>
      </w:r>
      <w:r w:rsidRPr="00783DCC">
        <w:rPr>
          <w:rFonts w:cs="Arial"/>
          <w:sz w:val="18"/>
          <w:szCs w:val="18"/>
          <w:rtl/>
        </w:rPr>
        <w:t xml:space="preserve"> </w:t>
      </w:r>
      <w:r w:rsidRPr="00783DCC">
        <w:rPr>
          <w:rFonts w:cs="Arial" w:hint="cs"/>
          <w:sz w:val="18"/>
          <w:szCs w:val="18"/>
          <w:rtl/>
        </w:rPr>
        <w:t>ויסתמר</w:t>
      </w:r>
      <w:r w:rsidRPr="00783DCC">
        <w:rPr>
          <w:rFonts w:cs="Arial"/>
          <w:sz w:val="18"/>
          <w:szCs w:val="18"/>
          <w:rtl/>
        </w:rPr>
        <w:t xml:space="preserve"> </w:t>
      </w:r>
      <w:r w:rsidRPr="00783DCC">
        <w:rPr>
          <w:rFonts w:cs="Arial" w:hint="cs"/>
          <w:sz w:val="18"/>
          <w:szCs w:val="18"/>
          <w:rtl/>
        </w:rPr>
        <w:t>שערת</w:t>
      </w:r>
      <w:r w:rsidRPr="00783DCC">
        <w:rPr>
          <w:rFonts w:cs="Arial"/>
          <w:sz w:val="18"/>
          <w:szCs w:val="18"/>
          <w:rtl/>
        </w:rPr>
        <w:t xml:space="preserve"> </w:t>
      </w:r>
      <w:r w:rsidRPr="00783DCC">
        <w:rPr>
          <w:rFonts w:cs="Arial" w:hint="cs"/>
          <w:sz w:val="18"/>
          <w:szCs w:val="18"/>
          <w:rtl/>
        </w:rPr>
        <w:t>בשרה</w:t>
      </w:r>
      <w:r w:rsidRPr="00783DCC">
        <w:rPr>
          <w:rFonts w:cs="Arial"/>
          <w:sz w:val="18"/>
          <w:szCs w:val="18"/>
          <w:rtl/>
        </w:rPr>
        <w:t xml:space="preserve"> </w:t>
      </w:r>
      <w:r w:rsidRPr="00783DCC">
        <w:rPr>
          <w:rFonts w:cs="Arial" w:hint="cs"/>
          <w:sz w:val="18"/>
          <w:szCs w:val="18"/>
          <w:rtl/>
        </w:rPr>
        <w:t>או</w:t>
      </w:r>
      <w:r w:rsidRPr="00783DCC">
        <w:rPr>
          <w:rFonts w:cs="Arial"/>
          <w:sz w:val="18"/>
          <w:szCs w:val="18"/>
          <w:rtl/>
        </w:rPr>
        <w:t xml:space="preserve"> </w:t>
      </w:r>
      <w:r w:rsidRPr="00783DCC">
        <w:rPr>
          <w:rFonts w:cs="Arial" w:hint="cs"/>
          <w:sz w:val="18"/>
          <w:szCs w:val="18"/>
          <w:rtl/>
        </w:rPr>
        <w:t>ייחם</w:t>
      </w:r>
      <w:r w:rsidRPr="00783DCC">
        <w:rPr>
          <w:rFonts w:cs="Arial"/>
          <w:sz w:val="18"/>
          <w:szCs w:val="18"/>
          <w:rtl/>
        </w:rPr>
        <w:t xml:space="preserve"> </w:t>
      </w:r>
      <w:r w:rsidRPr="00783DCC">
        <w:rPr>
          <w:rFonts w:cs="Arial" w:hint="cs"/>
          <w:sz w:val="18"/>
          <w:szCs w:val="18"/>
          <w:rtl/>
        </w:rPr>
        <w:t>בשרה</w:t>
      </w:r>
      <w:r w:rsidRPr="00783DCC">
        <w:rPr>
          <w:rFonts w:cs="Arial"/>
          <w:sz w:val="18"/>
          <w:szCs w:val="18"/>
          <w:rtl/>
        </w:rPr>
        <w:t xml:space="preserve"> </w:t>
      </w:r>
      <w:r w:rsidRPr="00783DCC">
        <w:rPr>
          <w:rFonts w:cs="Arial" w:hint="cs"/>
          <w:sz w:val="18"/>
          <w:szCs w:val="18"/>
          <w:rtl/>
        </w:rPr>
        <w:t>וכיוצא</w:t>
      </w:r>
      <w:r w:rsidRPr="00783DCC">
        <w:rPr>
          <w:rFonts w:cs="Arial"/>
          <w:sz w:val="18"/>
          <w:szCs w:val="18"/>
          <w:rtl/>
        </w:rPr>
        <w:t xml:space="preserve"> </w:t>
      </w:r>
      <w:r w:rsidRPr="00783DCC">
        <w:rPr>
          <w:rFonts w:cs="Arial" w:hint="cs"/>
          <w:sz w:val="18"/>
          <w:szCs w:val="18"/>
          <w:rtl/>
        </w:rPr>
        <w:t>במאורעות</w:t>
      </w:r>
      <w:r w:rsidRPr="00783DCC">
        <w:rPr>
          <w:rFonts w:cs="Arial"/>
          <w:sz w:val="18"/>
          <w:szCs w:val="18"/>
          <w:rtl/>
        </w:rPr>
        <w:t xml:space="preserve"> </w:t>
      </w:r>
      <w:r w:rsidRPr="00783DCC">
        <w:rPr>
          <w:rFonts w:cs="Arial" w:hint="cs"/>
          <w:sz w:val="18"/>
          <w:szCs w:val="18"/>
          <w:rtl/>
        </w:rPr>
        <w:t>אלו</w:t>
      </w:r>
      <w:r w:rsidRPr="00783DCC">
        <w:rPr>
          <w:rFonts w:cs="Arial"/>
          <w:sz w:val="18"/>
          <w:szCs w:val="18"/>
          <w:rtl/>
        </w:rPr>
        <w:t xml:space="preserve">, </w:t>
      </w:r>
      <w:r w:rsidRPr="00783DCC">
        <w:rPr>
          <w:rFonts w:cs="Arial" w:hint="cs"/>
          <w:sz w:val="18"/>
          <w:szCs w:val="18"/>
          <w:rtl/>
        </w:rPr>
        <w:t>ויבואו</w:t>
      </w:r>
      <w:r w:rsidRPr="00783DCC">
        <w:rPr>
          <w:rFonts w:cs="Arial"/>
          <w:sz w:val="18"/>
          <w:szCs w:val="18"/>
          <w:rtl/>
        </w:rPr>
        <w:t xml:space="preserve"> </w:t>
      </w:r>
      <w:r w:rsidRPr="00783DCC">
        <w:rPr>
          <w:rFonts w:cs="Arial" w:hint="cs"/>
          <w:sz w:val="18"/>
          <w:szCs w:val="18"/>
          <w:rtl/>
        </w:rPr>
        <w:t>לה</w:t>
      </w:r>
      <w:r w:rsidRPr="00783DCC">
        <w:rPr>
          <w:rFonts w:cs="Arial"/>
          <w:sz w:val="18"/>
          <w:szCs w:val="18"/>
          <w:rtl/>
        </w:rPr>
        <w:t xml:space="preserve"> </w:t>
      </w:r>
      <w:r w:rsidRPr="00783DCC">
        <w:rPr>
          <w:rFonts w:cs="Arial" w:hint="cs"/>
          <w:sz w:val="18"/>
          <w:szCs w:val="18"/>
          <w:rtl/>
        </w:rPr>
        <w:t>וסתות</w:t>
      </w:r>
      <w:r w:rsidRPr="00783DCC">
        <w:rPr>
          <w:rFonts w:cs="Arial"/>
          <w:sz w:val="18"/>
          <w:szCs w:val="18"/>
          <w:rtl/>
        </w:rPr>
        <w:t xml:space="preserve"> </w:t>
      </w:r>
      <w:r w:rsidRPr="00783DCC">
        <w:rPr>
          <w:rFonts w:cs="Arial" w:hint="cs"/>
          <w:sz w:val="18"/>
          <w:szCs w:val="18"/>
          <w:rtl/>
        </w:rPr>
        <w:t>אלו</w:t>
      </w:r>
      <w:r w:rsidRPr="00783DCC">
        <w:rPr>
          <w:rFonts w:cs="Arial"/>
          <w:sz w:val="18"/>
          <w:szCs w:val="18"/>
          <w:rtl/>
        </w:rPr>
        <w:t xml:space="preserve"> </w:t>
      </w:r>
      <w:r w:rsidRPr="00783DCC">
        <w:rPr>
          <w:rFonts w:cs="Arial" w:hint="cs"/>
          <w:sz w:val="18"/>
          <w:szCs w:val="18"/>
          <w:rtl/>
        </w:rPr>
        <w:t>או</w:t>
      </w:r>
      <w:r w:rsidRPr="00783DCC">
        <w:rPr>
          <w:rFonts w:cs="Arial"/>
          <w:sz w:val="18"/>
          <w:szCs w:val="18"/>
          <w:rtl/>
        </w:rPr>
        <w:t xml:space="preserve"> </w:t>
      </w:r>
      <w:r w:rsidRPr="00783DCC">
        <w:rPr>
          <w:rFonts w:cs="Arial" w:hint="cs"/>
          <w:sz w:val="18"/>
          <w:szCs w:val="18"/>
          <w:rtl/>
        </w:rPr>
        <w:t>אחד</w:t>
      </w:r>
      <w:r w:rsidRPr="00783DCC">
        <w:rPr>
          <w:rFonts w:cs="Arial"/>
          <w:sz w:val="18"/>
          <w:szCs w:val="18"/>
          <w:rtl/>
        </w:rPr>
        <w:t xml:space="preserve"> </w:t>
      </w:r>
      <w:r w:rsidRPr="00783DCC">
        <w:rPr>
          <w:rFonts w:cs="Arial" w:hint="cs"/>
          <w:sz w:val="18"/>
          <w:szCs w:val="18"/>
          <w:rtl/>
        </w:rPr>
        <w:t>מהן</w:t>
      </w:r>
      <w:r w:rsidRPr="00783DCC">
        <w:rPr>
          <w:rFonts w:cs="Arial"/>
          <w:sz w:val="18"/>
          <w:szCs w:val="18"/>
          <w:rtl/>
        </w:rPr>
        <w:t xml:space="preserve"> </w:t>
      </w:r>
      <w:r w:rsidRPr="00783DCC">
        <w:rPr>
          <w:rFonts w:cs="Arial" w:hint="cs"/>
          <w:sz w:val="18"/>
          <w:szCs w:val="18"/>
          <w:rtl/>
        </w:rPr>
        <w:t>בשעה</w:t>
      </w:r>
      <w:r w:rsidRPr="00783DCC">
        <w:rPr>
          <w:rFonts w:cs="Arial"/>
          <w:sz w:val="18"/>
          <w:szCs w:val="18"/>
          <w:rtl/>
        </w:rPr>
        <w:t xml:space="preserve"> </w:t>
      </w:r>
      <w:r w:rsidRPr="00783DCC">
        <w:rPr>
          <w:rFonts w:cs="Arial" w:hint="cs"/>
          <w:sz w:val="18"/>
          <w:szCs w:val="18"/>
          <w:rtl/>
        </w:rPr>
        <w:t>הקבועה</w:t>
      </w:r>
      <w:r w:rsidRPr="00783DCC">
        <w:rPr>
          <w:rFonts w:cs="Arial"/>
          <w:sz w:val="18"/>
          <w:szCs w:val="18"/>
          <w:rtl/>
        </w:rPr>
        <w:t xml:space="preserve"> </w:t>
      </w:r>
      <w:r w:rsidRPr="00783DCC">
        <w:rPr>
          <w:rFonts w:cs="Arial" w:hint="cs"/>
          <w:sz w:val="18"/>
          <w:szCs w:val="18"/>
          <w:rtl/>
        </w:rPr>
        <w:t>לה</w:t>
      </w:r>
      <w:r w:rsidRPr="00783DCC">
        <w:rPr>
          <w:rFonts w:cs="Arial"/>
          <w:sz w:val="18"/>
          <w:szCs w:val="18"/>
          <w:rtl/>
        </w:rPr>
        <w:t xml:space="preserve"> </w:t>
      </w:r>
      <w:r w:rsidRPr="00783DCC">
        <w:rPr>
          <w:rFonts w:cs="Arial" w:hint="cs"/>
          <w:sz w:val="18"/>
          <w:szCs w:val="18"/>
          <w:rtl/>
        </w:rPr>
        <w:t>מיום</w:t>
      </w:r>
      <w:r w:rsidRPr="00783DCC">
        <w:rPr>
          <w:rFonts w:cs="Arial"/>
          <w:sz w:val="18"/>
          <w:szCs w:val="18"/>
          <w:rtl/>
        </w:rPr>
        <w:t xml:space="preserve"> </w:t>
      </w:r>
      <w:r w:rsidRPr="00783DCC">
        <w:rPr>
          <w:rFonts w:cs="Arial" w:hint="cs"/>
          <w:sz w:val="18"/>
          <w:szCs w:val="18"/>
          <w:rtl/>
        </w:rPr>
        <w:t>וסתה"</w:t>
      </w:r>
      <w:r w:rsidRPr="00783DCC">
        <w:rPr>
          <w:rFonts w:cs="Arial"/>
          <w:sz w:val="18"/>
          <w:szCs w:val="18"/>
          <w:rtl/>
        </w:rPr>
        <w:t>.</w:t>
      </w:r>
      <w:r w:rsidRPr="00783DCC">
        <w:rPr>
          <w:rFonts w:cs="Arial" w:hint="cs"/>
          <w:sz w:val="18"/>
          <w:szCs w:val="18"/>
          <w:rtl/>
        </w:rPr>
        <w:br/>
        <w:t>משמע להדיא בדבריו שאין אלו ב' ווסתות</w:t>
      </w:r>
      <w:r>
        <w:rPr>
          <w:rFonts w:cs="Arial" w:hint="cs"/>
          <w:sz w:val="18"/>
          <w:szCs w:val="18"/>
          <w:rtl/>
        </w:rPr>
        <w:t xml:space="preserve">, אלא ווסת אחת התלויה בימים אך </w:t>
      </w:r>
      <w:r w:rsidRPr="00783DCC">
        <w:rPr>
          <w:rFonts w:cs="Arial" w:hint="cs"/>
          <w:sz w:val="18"/>
          <w:szCs w:val="18"/>
          <w:rtl/>
        </w:rPr>
        <w:t>יש שינוי בגוף.</w:t>
      </w:r>
    </w:p>
  </w:footnote>
  <w:footnote w:id="221">
    <w:p w:rsidR="005953C5" w:rsidRDefault="005953C5" w:rsidP="00620060">
      <w:pPr>
        <w:pStyle w:val="a3"/>
        <w:rPr>
          <w:rtl/>
        </w:rPr>
      </w:pPr>
      <w:r w:rsidRPr="00295CC8">
        <w:rPr>
          <w:rStyle w:val="a5"/>
          <w:sz w:val="18"/>
          <w:szCs w:val="18"/>
        </w:rPr>
        <w:footnoteRef/>
      </w:r>
      <w:r w:rsidRPr="00295CC8">
        <w:rPr>
          <w:sz w:val="18"/>
          <w:szCs w:val="18"/>
          <w:rtl/>
        </w:rPr>
        <w:t xml:space="preserve"> </w:t>
      </w:r>
      <w:r w:rsidRPr="00295CC8">
        <w:rPr>
          <w:rFonts w:hint="cs"/>
          <w:b/>
          <w:bCs/>
          <w:sz w:val="18"/>
          <w:szCs w:val="18"/>
          <w:rtl/>
        </w:rPr>
        <w:t>ט"ז</w:t>
      </w:r>
      <w:r w:rsidRPr="00295CC8">
        <w:rPr>
          <w:rFonts w:hint="cs"/>
          <w:sz w:val="18"/>
          <w:szCs w:val="18"/>
          <w:rtl/>
        </w:rPr>
        <w:t xml:space="preserve"> </w:t>
      </w:r>
      <w:r w:rsidRPr="00295CC8">
        <w:rPr>
          <w:sz w:val="18"/>
          <w:szCs w:val="18"/>
          <w:rtl/>
        </w:rPr>
        <w:t>–</w:t>
      </w:r>
      <w:r w:rsidRPr="00295CC8">
        <w:rPr>
          <w:rFonts w:hint="cs"/>
          <w:sz w:val="18"/>
          <w:szCs w:val="18"/>
          <w:rtl/>
        </w:rPr>
        <w:t xml:space="preserve"> גם אם לא קבעה אסורה לשמש</w:t>
      </w:r>
      <w:r>
        <w:rPr>
          <w:rFonts w:hint="cs"/>
          <w:sz w:val="18"/>
          <w:szCs w:val="18"/>
          <w:rtl/>
        </w:rPr>
        <w:t>, כפי שמבואר בסעיף כו'</w:t>
      </w:r>
      <w:r w:rsidRPr="00295CC8">
        <w:rPr>
          <w:rFonts w:hint="cs"/>
          <w:sz w:val="18"/>
          <w:szCs w:val="18"/>
          <w:rtl/>
        </w:rPr>
        <w:t xml:space="preserve">. </w:t>
      </w:r>
      <w:r>
        <w:rPr>
          <w:sz w:val="18"/>
          <w:szCs w:val="18"/>
          <w:rtl/>
        </w:rPr>
        <w:br/>
      </w:r>
      <w:r w:rsidRPr="00295CC8">
        <w:rPr>
          <w:rFonts w:hint="cs"/>
          <w:sz w:val="18"/>
          <w:szCs w:val="18"/>
          <w:rtl/>
        </w:rPr>
        <w:t>ולפי"ז, אין כוונת המחבר להורות שאיסור התשמיש נובע מכך שקבעה, אלא כוונתו לומר שאסורה לשמש מחמת השינוי שבגופה, וממילא נדע את החילוק שבין ווסת הקבוע שנעקר רק בג' פעמים לווסת שאינו קבוע שנעקר בפעם אחת.</w:t>
      </w:r>
    </w:p>
  </w:footnote>
  <w:footnote w:id="222">
    <w:p w:rsidR="005953C5" w:rsidRDefault="005953C5" w:rsidP="00620060">
      <w:pPr>
        <w:pStyle w:val="a3"/>
        <w:rPr>
          <w:rtl/>
        </w:rPr>
      </w:pPr>
      <w:r w:rsidRPr="00324723">
        <w:rPr>
          <w:rStyle w:val="a5"/>
          <w:sz w:val="18"/>
          <w:szCs w:val="18"/>
        </w:rPr>
        <w:footnoteRef/>
      </w:r>
      <w:r w:rsidRPr="00324723">
        <w:rPr>
          <w:sz w:val="18"/>
          <w:szCs w:val="18"/>
          <w:rtl/>
        </w:rPr>
        <w:t xml:space="preserve"> </w:t>
      </w:r>
      <w:r w:rsidRPr="00324723">
        <w:rPr>
          <w:rFonts w:hint="cs"/>
          <w:b/>
          <w:bCs/>
          <w:sz w:val="18"/>
          <w:szCs w:val="18"/>
          <w:rtl/>
        </w:rPr>
        <w:t>דרישה</w:t>
      </w:r>
      <w:r w:rsidRPr="00324723">
        <w:rPr>
          <w:rFonts w:hint="cs"/>
          <w:sz w:val="18"/>
          <w:szCs w:val="18"/>
          <w:rtl/>
        </w:rPr>
        <w:t xml:space="preserve"> </w:t>
      </w:r>
      <w:r w:rsidRPr="00324723">
        <w:rPr>
          <w:rFonts w:hint="cs"/>
          <w:sz w:val="16"/>
          <w:szCs w:val="16"/>
          <w:rtl/>
        </w:rPr>
        <w:t>(</w:t>
      </w:r>
      <w:r>
        <w:rPr>
          <w:rFonts w:hint="cs"/>
          <w:sz w:val="16"/>
          <w:szCs w:val="16"/>
          <w:rtl/>
        </w:rPr>
        <w:t>סק</w:t>
      </w:r>
      <w:r w:rsidRPr="00324723">
        <w:rPr>
          <w:rFonts w:hint="cs"/>
          <w:sz w:val="16"/>
          <w:szCs w:val="16"/>
          <w:rtl/>
        </w:rPr>
        <w:t>י</w:t>
      </w:r>
      <w:r>
        <w:rPr>
          <w:rFonts w:hint="cs"/>
          <w:sz w:val="16"/>
          <w:szCs w:val="16"/>
          <w:rtl/>
        </w:rPr>
        <w:t>"</w:t>
      </w:r>
      <w:r w:rsidRPr="00324723">
        <w:rPr>
          <w:rFonts w:hint="cs"/>
          <w:sz w:val="16"/>
          <w:szCs w:val="16"/>
          <w:rtl/>
        </w:rPr>
        <w:t xml:space="preserve">א) </w:t>
      </w:r>
      <w:r w:rsidRPr="00324723">
        <w:rPr>
          <w:sz w:val="18"/>
          <w:szCs w:val="18"/>
          <w:rtl/>
        </w:rPr>
        <w:t>–</w:t>
      </w:r>
      <w:r w:rsidRPr="00324723">
        <w:rPr>
          <w:rFonts w:hint="cs"/>
          <w:sz w:val="18"/>
          <w:szCs w:val="18"/>
          <w:rtl/>
        </w:rPr>
        <w:t xml:space="preserve"> הוא הדין לדעת הבית יוסף בווסת התלוי בקפיצות וימים שקבעתו בג' פעמים, שצריכה לחשוש לקפיצה לבד וליום לבד כדין ווסת שאינו קבוע.</w:t>
      </w:r>
    </w:p>
  </w:footnote>
  <w:footnote w:id="223">
    <w:p w:rsidR="005953C5" w:rsidRDefault="005953C5" w:rsidP="00620060">
      <w:pPr>
        <w:pStyle w:val="a3"/>
      </w:pPr>
      <w:r w:rsidRPr="00D30E4C">
        <w:rPr>
          <w:rStyle w:val="a5"/>
          <w:sz w:val="18"/>
          <w:szCs w:val="18"/>
        </w:rPr>
        <w:footnoteRef/>
      </w:r>
      <w:r w:rsidRPr="00D30E4C">
        <w:rPr>
          <w:sz w:val="18"/>
          <w:szCs w:val="18"/>
          <w:rtl/>
        </w:rPr>
        <w:t xml:space="preserve"> </w:t>
      </w:r>
      <w:r w:rsidRPr="00D30E4C">
        <w:rPr>
          <w:rFonts w:hint="cs"/>
          <w:sz w:val="18"/>
          <w:szCs w:val="18"/>
          <w:rtl/>
        </w:rPr>
        <w:t xml:space="preserve">כך היא הבנת </w:t>
      </w:r>
      <w:r w:rsidRPr="00D30E4C">
        <w:rPr>
          <w:rFonts w:hint="cs"/>
          <w:b/>
          <w:bCs/>
          <w:sz w:val="18"/>
          <w:szCs w:val="18"/>
          <w:rtl/>
        </w:rPr>
        <w:t>הש"ך</w:t>
      </w:r>
      <w:r w:rsidRPr="00D30E4C">
        <w:rPr>
          <w:rFonts w:hint="cs"/>
          <w:sz w:val="18"/>
          <w:szCs w:val="18"/>
          <w:rtl/>
        </w:rPr>
        <w:t xml:space="preserve">. ברם, מדברי </w:t>
      </w:r>
      <w:r w:rsidRPr="00D30E4C">
        <w:rPr>
          <w:rFonts w:hint="cs"/>
          <w:b/>
          <w:bCs/>
          <w:sz w:val="18"/>
          <w:szCs w:val="18"/>
          <w:rtl/>
        </w:rPr>
        <w:t>הט"ז</w:t>
      </w:r>
      <w:r w:rsidRPr="00D30E4C">
        <w:rPr>
          <w:rFonts w:hint="cs"/>
          <w:sz w:val="18"/>
          <w:szCs w:val="18"/>
          <w:rtl/>
        </w:rPr>
        <w:t xml:space="preserve"> יש לדייק שרק לפיהוק גרידא אינה חוששת, אך ליום הווסת חוששת כדין ווסת שאינו קבוע וכדעת המחבר, כ</w:t>
      </w:r>
      <w:r>
        <w:rPr>
          <w:rFonts w:hint="cs"/>
          <w:sz w:val="18"/>
          <w:szCs w:val="18"/>
          <w:rtl/>
        </w:rPr>
        <w:t>ן</w:t>
      </w:r>
      <w:r w:rsidRPr="00D30E4C">
        <w:rPr>
          <w:rFonts w:hint="cs"/>
          <w:sz w:val="18"/>
          <w:szCs w:val="18"/>
          <w:rtl/>
        </w:rPr>
        <w:t xml:space="preserve"> כתב </w:t>
      </w:r>
      <w:r w:rsidRPr="00D30E4C">
        <w:rPr>
          <w:rFonts w:hint="cs"/>
          <w:b/>
          <w:bCs/>
          <w:sz w:val="18"/>
          <w:szCs w:val="18"/>
          <w:rtl/>
        </w:rPr>
        <w:t>החוו"ד</w:t>
      </w:r>
      <w:r w:rsidRPr="00D30E4C">
        <w:rPr>
          <w:rFonts w:hint="cs"/>
          <w:sz w:val="18"/>
          <w:szCs w:val="18"/>
          <w:rtl/>
        </w:rPr>
        <w:t>.</w:t>
      </w:r>
    </w:p>
  </w:footnote>
  <w:footnote w:id="224">
    <w:p w:rsidR="005953C5" w:rsidRDefault="005953C5" w:rsidP="00620060">
      <w:pPr>
        <w:pStyle w:val="a3"/>
        <w:rPr>
          <w:rtl/>
        </w:rPr>
      </w:pPr>
      <w:r w:rsidRPr="003923F8">
        <w:rPr>
          <w:rStyle w:val="a5"/>
          <w:sz w:val="18"/>
          <w:szCs w:val="18"/>
        </w:rPr>
        <w:footnoteRef/>
      </w:r>
      <w:r w:rsidRPr="003923F8">
        <w:rPr>
          <w:sz w:val="18"/>
          <w:szCs w:val="18"/>
          <w:rtl/>
        </w:rPr>
        <w:t xml:space="preserve"> </w:t>
      </w:r>
      <w:r w:rsidRPr="003923F8">
        <w:rPr>
          <w:rFonts w:hint="cs"/>
          <w:sz w:val="18"/>
          <w:szCs w:val="18"/>
          <w:rtl/>
        </w:rPr>
        <w:t xml:space="preserve">דברי </w:t>
      </w:r>
      <w:r w:rsidRPr="003923F8">
        <w:rPr>
          <w:rFonts w:hint="cs"/>
          <w:b/>
          <w:bCs/>
          <w:sz w:val="18"/>
          <w:szCs w:val="18"/>
          <w:rtl/>
        </w:rPr>
        <w:t>הט"ז</w:t>
      </w:r>
      <w:r w:rsidRPr="003923F8">
        <w:rPr>
          <w:rFonts w:hint="cs"/>
          <w:sz w:val="18"/>
          <w:szCs w:val="18"/>
          <w:rtl/>
        </w:rPr>
        <w:t xml:space="preserve"> מדויקים גם מדברי המחבר בסעיף הבא</w:t>
      </w:r>
      <w:r>
        <w:rPr>
          <w:rFonts w:hint="cs"/>
          <w:sz w:val="18"/>
          <w:szCs w:val="18"/>
          <w:rtl/>
        </w:rPr>
        <w:t>,</w:t>
      </w:r>
      <w:r w:rsidRPr="003923F8">
        <w:rPr>
          <w:rFonts w:hint="cs"/>
          <w:sz w:val="18"/>
          <w:szCs w:val="18"/>
          <w:rtl/>
        </w:rPr>
        <w:t xml:space="preserve"> שבו המחבר מתייחס לחשש ליום גרידא ולא כתב שאסור לשמש בו עד שתבדוק.</w:t>
      </w:r>
    </w:p>
  </w:footnote>
  <w:footnote w:id="225">
    <w:p w:rsidR="005953C5" w:rsidRDefault="005953C5" w:rsidP="00620060">
      <w:pPr>
        <w:pStyle w:val="a3"/>
        <w:rPr>
          <w:rtl/>
        </w:rPr>
      </w:pPr>
      <w:r w:rsidRPr="002E5730">
        <w:rPr>
          <w:rStyle w:val="a5"/>
          <w:sz w:val="18"/>
          <w:szCs w:val="18"/>
        </w:rPr>
        <w:footnoteRef/>
      </w:r>
      <w:r w:rsidRPr="002E5730">
        <w:rPr>
          <w:sz w:val="18"/>
          <w:szCs w:val="18"/>
          <w:rtl/>
        </w:rPr>
        <w:t xml:space="preserve"> </w:t>
      </w:r>
      <w:r w:rsidRPr="002E5730">
        <w:rPr>
          <w:rFonts w:hint="cs"/>
          <w:sz w:val="18"/>
          <w:szCs w:val="18"/>
          <w:rtl/>
        </w:rPr>
        <w:t xml:space="preserve">כלומר </w:t>
      </w:r>
      <w:r w:rsidRPr="002E5730">
        <w:rPr>
          <w:sz w:val="18"/>
          <w:szCs w:val="18"/>
          <w:rtl/>
        </w:rPr>
        <w:t>–</w:t>
      </w:r>
      <w:r w:rsidRPr="002E5730">
        <w:rPr>
          <w:rFonts w:hint="cs"/>
          <w:sz w:val="18"/>
          <w:szCs w:val="18"/>
          <w:rtl/>
        </w:rPr>
        <w:t xml:space="preserve"> בתוך שיטת </w:t>
      </w:r>
      <w:r w:rsidRPr="002E5730">
        <w:rPr>
          <w:rFonts w:hint="cs"/>
          <w:b/>
          <w:bCs/>
          <w:sz w:val="18"/>
          <w:szCs w:val="18"/>
          <w:rtl/>
        </w:rPr>
        <w:t>הרא"ש</w:t>
      </w:r>
      <w:r w:rsidRPr="002E5730">
        <w:rPr>
          <w:rFonts w:hint="cs"/>
          <w:sz w:val="18"/>
          <w:szCs w:val="18"/>
          <w:rtl/>
        </w:rPr>
        <w:t xml:space="preserve"> הסובר שיש ווסת לאכילת מאכל חריף, קיימת מחלוקת ראשונים האם </w:t>
      </w:r>
      <w:r>
        <w:rPr>
          <w:rFonts w:hint="cs"/>
          <w:sz w:val="18"/>
          <w:szCs w:val="18"/>
          <w:rtl/>
        </w:rPr>
        <w:t>ווסת זה</w:t>
      </w:r>
      <w:r w:rsidRPr="002E5730">
        <w:rPr>
          <w:rFonts w:hint="cs"/>
          <w:sz w:val="18"/>
          <w:szCs w:val="18"/>
          <w:rtl/>
        </w:rPr>
        <w:t xml:space="preserve"> נקבע אפילו לבד כווסת הפיהוק, או שנקבע רק ע"י צירוף לימים קבועים כווסת הקפיצות.</w:t>
      </w:r>
    </w:p>
  </w:footnote>
  <w:footnote w:id="226">
    <w:p w:rsidR="005953C5" w:rsidRDefault="005953C5" w:rsidP="00620060">
      <w:pPr>
        <w:pStyle w:val="a3"/>
        <w:rPr>
          <w:rtl/>
        </w:rPr>
      </w:pPr>
      <w:r w:rsidRPr="00A45FD1">
        <w:rPr>
          <w:rStyle w:val="a5"/>
          <w:sz w:val="18"/>
          <w:szCs w:val="18"/>
        </w:rPr>
        <w:footnoteRef/>
      </w:r>
      <w:r w:rsidRPr="00A45FD1">
        <w:rPr>
          <w:sz w:val="18"/>
          <w:szCs w:val="18"/>
          <w:rtl/>
        </w:rPr>
        <w:t xml:space="preserve"> </w:t>
      </w:r>
      <w:r w:rsidRPr="00A45FD1">
        <w:rPr>
          <w:rFonts w:hint="cs"/>
          <w:sz w:val="18"/>
          <w:szCs w:val="18"/>
          <w:rtl/>
        </w:rPr>
        <w:t xml:space="preserve">הכרעת </w:t>
      </w:r>
      <w:r w:rsidRPr="00A45FD1">
        <w:rPr>
          <w:rFonts w:hint="cs"/>
          <w:b/>
          <w:bCs/>
          <w:sz w:val="18"/>
          <w:szCs w:val="18"/>
          <w:rtl/>
        </w:rPr>
        <w:t>הרשב"א</w:t>
      </w:r>
      <w:r w:rsidRPr="00A45FD1">
        <w:rPr>
          <w:rFonts w:hint="cs"/>
          <w:sz w:val="18"/>
          <w:szCs w:val="18"/>
          <w:rtl/>
        </w:rPr>
        <w:t xml:space="preserve"> </w:t>
      </w:r>
      <w:r w:rsidRPr="00A45FD1">
        <w:rPr>
          <w:sz w:val="18"/>
          <w:szCs w:val="18"/>
          <w:rtl/>
        </w:rPr>
        <w:t>–</w:t>
      </w:r>
      <w:r w:rsidRPr="00A45FD1">
        <w:rPr>
          <w:rFonts w:hint="cs"/>
          <w:sz w:val="18"/>
          <w:szCs w:val="18"/>
          <w:rtl/>
        </w:rPr>
        <w:t xml:space="preserve"> אסורה כל אותה עונה, כגדולי המורים.</w:t>
      </w:r>
      <w:r w:rsidRPr="00A45FD1">
        <w:rPr>
          <w:sz w:val="18"/>
          <w:szCs w:val="18"/>
          <w:rtl/>
        </w:rPr>
        <w:br/>
      </w:r>
      <w:r w:rsidRPr="00A45FD1">
        <w:rPr>
          <w:rFonts w:hint="cs"/>
          <w:sz w:val="18"/>
          <w:szCs w:val="18"/>
          <w:rtl/>
        </w:rPr>
        <w:t xml:space="preserve">שואל </w:t>
      </w:r>
      <w:r w:rsidRPr="00A45FD1">
        <w:rPr>
          <w:rFonts w:hint="cs"/>
          <w:b/>
          <w:bCs/>
          <w:sz w:val="18"/>
          <w:szCs w:val="18"/>
          <w:rtl/>
        </w:rPr>
        <w:t>הב"י</w:t>
      </w:r>
      <w:r w:rsidRPr="00A45FD1">
        <w:rPr>
          <w:rFonts w:hint="cs"/>
          <w:sz w:val="18"/>
          <w:szCs w:val="18"/>
          <w:rtl/>
        </w:rPr>
        <w:t xml:space="preserve"> </w:t>
      </w:r>
      <w:r w:rsidRPr="00A45FD1">
        <w:rPr>
          <w:sz w:val="18"/>
          <w:szCs w:val="18"/>
          <w:rtl/>
        </w:rPr>
        <w:t>–</w:t>
      </w:r>
      <w:r w:rsidRPr="00A45FD1">
        <w:rPr>
          <w:rFonts w:hint="cs"/>
          <w:sz w:val="18"/>
          <w:szCs w:val="18"/>
          <w:rtl/>
        </w:rPr>
        <w:t xml:space="preserve"> מדוע כאן הרשב</w:t>
      </w:r>
      <w:r>
        <w:rPr>
          <w:rFonts w:hint="cs"/>
          <w:sz w:val="18"/>
          <w:szCs w:val="18"/>
          <w:rtl/>
        </w:rPr>
        <w:t>"</w:t>
      </w:r>
      <w:r w:rsidRPr="00A45FD1">
        <w:rPr>
          <w:rFonts w:hint="cs"/>
          <w:sz w:val="18"/>
          <w:szCs w:val="18"/>
          <w:rtl/>
        </w:rPr>
        <w:t>א פוסק שיש ללכת אחר כ</w:t>
      </w:r>
      <w:r>
        <w:rPr>
          <w:rFonts w:hint="cs"/>
          <w:sz w:val="18"/>
          <w:szCs w:val="18"/>
          <w:rtl/>
        </w:rPr>
        <w:t>ל</w:t>
      </w:r>
      <w:r w:rsidRPr="00A45FD1">
        <w:rPr>
          <w:rFonts w:hint="cs"/>
          <w:sz w:val="18"/>
          <w:szCs w:val="18"/>
          <w:rtl/>
        </w:rPr>
        <w:t xml:space="preserve"> הראייה, הרי לעיל בסימן קפד' לגבי פרישה סמוך לווסת באשה שמז</w:t>
      </w:r>
      <w:r>
        <w:rPr>
          <w:rFonts w:hint="cs"/>
          <w:sz w:val="18"/>
          <w:szCs w:val="18"/>
          <w:rtl/>
        </w:rPr>
        <w:t>לפת</w:t>
      </w:r>
      <w:r w:rsidRPr="00A45FD1">
        <w:rPr>
          <w:rFonts w:hint="cs"/>
          <w:sz w:val="18"/>
          <w:szCs w:val="18"/>
          <w:rtl/>
        </w:rPr>
        <w:t xml:space="preserve"> יומיים או שלושה פסק הרשב"א עצמו כרז"ה שאסורה רק בעונה שרגילה להתחיל בה את הראייה</w:t>
      </w:r>
      <w:r>
        <w:rPr>
          <w:rFonts w:hint="cs"/>
          <w:sz w:val="18"/>
          <w:szCs w:val="18"/>
          <w:rtl/>
        </w:rPr>
        <w:t>,</w:t>
      </w:r>
      <w:r w:rsidRPr="00A45FD1">
        <w:rPr>
          <w:rFonts w:hint="cs"/>
          <w:sz w:val="18"/>
          <w:szCs w:val="18"/>
          <w:rtl/>
        </w:rPr>
        <w:t xml:space="preserve"> ואין לאוסרה בכל משך הזמן שבו רגילה לראות!</w:t>
      </w:r>
      <w:r>
        <w:rPr>
          <w:rtl/>
        </w:rPr>
        <w:br/>
      </w:r>
      <w:r w:rsidRPr="00A45FD1">
        <w:rPr>
          <w:rFonts w:hint="cs"/>
          <w:sz w:val="18"/>
          <w:szCs w:val="18"/>
          <w:rtl/>
        </w:rPr>
        <w:t xml:space="preserve">מיישב </w:t>
      </w:r>
      <w:r w:rsidRPr="00A45FD1">
        <w:rPr>
          <w:sz w:val="18"/>
          <w:szCs w:val="18"/>
          <w:rtl/>
        </w:rPr>
        <w:t>–</w:t>
      </w:r>
      <w:r w:rsidRPr="00A45FD1">
        <w:rPr>
          <w:rFonts w:hint="cs"/>
          <w:sz w:val="18"/>
          <w:szCs w:val="18"/>
          <w:rtl/>
        </w:rPr>
        <w:t xml:space="preserve"> אע"פ שלעיל פסק שיש ללכת אחר תחילת הווסת, ס"ל לרשב"א שאין שיעור תחילת הווסת פחות מעונה. </w:t>
      </w:r>
      <w:r>
        <w:rPr>
          <w:sz w:val="18"/>
          <w:szCs w:val="18"/>
          <w:rtl/>
        </w:rPr>
        <w:br/>
      </w:r>
      <w:r w:rsidRPr="00A45FD1">
        <w:rPr>
          <w:rFonts w:hint="cs"/>
          <w:sz w:val="18"/>
          <w:szCs w:val="18"/>
          <w:rtl/>
        </w:rPr>
        <w:t xml:space="preserve">לכן בסימן קפד' פסק שיש לאוסרה רק בעונה הראשונה של הווסת, וכך פסק גם כאן שיש לאוסרה </w:t>
      </w:r>
      <w:r>
        <w:rPr>
          <w:rFonts w:hint="cs"/>
          <w:sz w:val="18"/>
          <w:szCs w:val="18"/>
          <w:rtl/>
        </w:rPr>
        <w:t>עונה אחת</w:t>
      </w:r>
      <w:r w:rsidRPr="00A45FD1">
        <w:rPr>
          <w:rFonts w:hint="cs"/>
          <w:sz w:val="18"/>
          <w:szCs w:val="18"/>
          <w:rtl/>
        </w:rPr>
        <w:t>.</w:t>
      </w:r>
      <w:r>
        <w:rPr>
          <w:rtl/>
        </w:rPr>
        <w:br/>
      </w:r>
      <w:r w:rsidRPr="005444DE">
        <w:rPr>
          <w:rFonts w:hint="cs"/>
          <w:b/>
          <w:bCs/>
          <w:sz w:val="18"/>
          <w:szCs w:val="18"/>
          <w:rtl/>
        </w:rPr>
        <w:t>והב"ח</w:t>
      </w:r>
      <w:r w:rsidRPr="005444DE">
        <w:rPr>
          <w:rFonts w:hint="cs"/>
          <w:sz w:val="18"/>
          <w:szCs w:val="18"/>
          <w:rtl/>
        </w:rPr>
        <w:t xml:space="preserve"> מיישב </w:t>
      </w:r>
      <w:r w:rsidRPr="005444DE">
        <w:rPr>
          <w:sz w:val="18"/>
          <w:szCs w:val="18"/>
          <w:rtl/>
        </w:rPr>
        <w:t>–</w:t>
      </w:r>
      <w:r w:rsidRPr="005444DE">
        <w:rPr>
          <w:rFonts w:hint="cs"/>
          <w:sz w:val="18"/>
          <w:szCs w:val="18"/>
          <w:rtl/>
        </w:rPr>
        <w:t xml:space="preserve"> כאן מדובר על ראייה אחת ולכן יש לפרוש כל משך הראייה, אך בסימן קפד' מדובר על ראייה של כמה ימים שמחולקת לכמה ראיות ולכן יש לפרוש רק בעונה שרגילה לראות.</w:t>
      </w:r>
      <w:r w:rsidRPr="005444DE">
        <w:rPr>
          <w:sz w:val="18"/>
          <w:szCs w:val="18"/>
          <w:rtl/>
        </w:rPr>
        <w:br/>
      </w:r>
      <w:r w:rsidRPr="005444DE">
        <w:rPr>
          <w:rFonts w:hint="cs"/>
          <w:sz w:val="18"/>
          <w:szCs w:val="18"/>
          <w:rtl/>
        </w:rPr>
        <w:t xml:space="preserve">דוחה </w:t>
      </w:r>
      <w:r w:rsidRPr="005444DE">
        <w:rPr>
          <w:rFonts w:hint="cs"/>
          <w:b/>
          <w:bCs/>
          <w:sz w:val="18"/>
          <w:szCs w:val="18"/>
          <w:rtl/>
        </w:rPr>
        <w:t>הש"ך</w:t>
      </w:r>
      <w:r w:rsidRPr="005444DE">
        <w:rPr>
          <w:rFonts w:hint="cs"/>
          <w:sz w:val="18"/>
          <w:szCs w:val="18"/>
          <w:rtl/>
        </w:rPr>
        <w:t xml:space="preserve"> </w:t>
      </w:r>
      <w:r w:rsidRPr="005444DE">
        <w:rPr>
          <w:sz w:val="18"/>
          <w:szCs w:val="18"/>
          <w:rtl/>
        </w:rPr>
        <w:t>–</w:t>
      </w:r>
      <w:r w:rsidRPr="005444DE">
        <w:rPr>
          <w:rFonts w:hint="cs"/>
          <w:sz w:val="18"/>
          <w:szCs w:val="18"/>
          <w:rtl/>
        </w:rPr>
        <w:t xml:space="preserve"> הרשב"א סובר בסימן קפד' שאם רגילה לראות בלילה ונמשך ביום, אסורה רק בלילה ומותר ביום אע"פ שזו ראייה אחת!</w:t>
      </w:r>
    </w:p>
  </w:footnote>
  <w:footnote w:id="227">
    <w:p w:rsidR="005953C5" w:rsidRDefault="005953C5" w:rsidP="00620060">
      <w:pPr>
        <w:pStyle w:val="a3"/>
        <w:rPr>
          <w:rtl/>
        </w:rPr>
      </w:pPr>
      <w:r w:rsidRPr="007676B3">
        <w:rPr>
          <w:rStyle w:val="a5"/>
          <w:sz w:val="18"/>
          <w:szCs w:val="18"/>
        </w:rPr>
        <w:footnoteRef/>
      </w:r>
      <w:r w:rsidRPr="007676B3">
        <w:rPr>
          <w:sz w:val="18"/>
          <w:szCs w:val="18"/>
          <w:rtl/>
        </w:rPr>
        <w:t xml:space="preserve"> </w:t>
      </w:r>
      <w:r w:rsidRPr="007676B3">
        <w:rPr>
          <w:rFonts w:hint="cs"/>
          <w:sz w:val="18"/>
          <w:szCs w:val="18"/>
          <w:rtl/>
        </w:rPr>
        <w:t xml:space="preserve">הרחבה - </w:t>
      </w:r>
      <w:r w:rsidRPr="007676B3">
        <w:rPr>
          <w:sz w:val="18"/>
          <w:szCs w:val="18"/>
          <w:rtl/>
        </w:rPr>
        <w:br/>
      </w:r>
      <w:r w:rsidRPr="007676B3">
        <w:rPr>
          <w:rFonts w:hint="cs"/>
          <w:sz w:val="18"/>
          <w:szCs w:val="18"/>
          <w:rtl/>
        </w:rPr>
        <w:t>יש להעיר על דברי הט"ז והש"ך כאן וליישב את דבריהם ממה שכתבו לעיל בסעיף יט'.</w:t>
      </w:r>
      <w:r w:rsidRPr="007676B3">
        <w:rPr>
          <w:sz w:val="18"/>
          <w:szCs w:val="18"/>
          <w:rtl/>
        </w:rPr>
        <w:br/>
      </w:r>
      <w:r w:rsidRPr="007676B3">
        <w:rPr>
          <w:rFonts w:hint="cs"/>
          <w:b/>
          <w:bCs/>
          <w:sz w:val="18"/>
          <w:szCs w:val="18"/>
          <w:rtl/>
        </w:rPr>
        <w:t>ט"ז</w:t>
      </w:r>
      <w:r w:rsidRPr="007676B3">
        <w:rPr>
          <w:rFonts w:hint="cs"/>
          <w:sz w:val="18"/>
          <w:szCs w:val="18"/>
          <w:rtl/>
        </w:rPr>
        <w:t xml:space="preserve"> </w:t>
      </w:r>
      <w:r w:rsidRPr="007676B3">
        <w:rPr>
          <w:sz w:val="18"/>
          <w:szCs w:val="18"/>
          <w:rtl/>
        </w:rPr>
        <w:t>–</w:t>
      </w:r>
      <w:r w:rsidRPr="007676B3">
        <w:rPr>
          <w:rFonts w:hint="cs"/>
          <w:sz w:val="18"/>
          <w:szCs w:val="18"/>
          <w:rtl/>
        </w:rPr>
        <w:t xml:space="preserve"> </w:t>
      </w:r>
      <w:r w:rsidRPr="007676B3">
        <w:rPr>
          <w:rFonts w:hint="cs"/>
          <w:b/>
          <w:bCs/>
          <w:sz w:val="18"/>
          <w:szCs w:val="18"/>
          <w:rtl/>
        </w:rPr>
        <w:t>החוו"ד</w:t>
      </w:r>
      <w:r w:rsidRPr="007676B3">
        <w:rPr>
          <w:rFonts w:hint="cs"/>
          <w:sz w:val="18"/>
          <w:szCs w:val="18"/>
          <w:rtl/>
        </w:rPr>
        <w:t xml:space="preserve"> הסביר לעיל בדעת </w:t>
      </w:r>
      <w:r w:rsidRPr="007676B3">
        <w:rPr>
          <w:rFonts w:hint="cs"/>
          <w:b/>
          <w:bCs/>
          <w:sz w:val="18"/>
          <w:szCs w:val="18"/>
          <w:rtl/>
        </w:rPr>
        <w:t>הט"ז</w:t>
      </w:r>
      <w:r w:rsidRPr="007676B3">
        <w:rPr>
          <w:rFonts w:hint="cs"/>
          <w:sz w:val="18"/>
          <w:szCs w:val="18"/>
          <w:rtl/>
        </w:rPr>
        <w:t xml:space="preserve"> שלדעת </w:t>
      </w:r>
      <w:r w:rsidRPr="007676B3">
        <w:rPr>
          <w:rFonts w:hint="cs"/>
          <w:b/>
          <w:bCs/>
          <w:sz w:val="18"/>
          <w:szCs w:val="18"/>
          <w:rtl/>
        </w:rPr>
        <w:t>הרמ"א</w:t>
      </w:r>
      <w:r w:rsidRPr="007676B3">
        <w:rPr>
          <w:rFonts w:hint="cs"/>
          <w:sz w:val="18"/>
          <w:szCs w:val="18"/>
          <w:rtl/>
        </w:rPr>
        <w:t xml:space="preserve"> אינה חוששת לפיהוק לבד, אך ליום עצמו חוששת.</w:t>
      </w:r>
      <w:r w:rsidRPr="007676B3">
        <w:rPr>
          <w:sz w:val="18"/>
          <w:szCs w:val="18"/>
          <w:rtl/>
        </w:rPr>
        <w:br/>
      </w:r>
      <w:r w:rsidRPr="007676B3">
        <w:rPr>
          <w:rFonts w:hint="cs"/>
          <w:sz w:val="18"/>
          <w:szCs w:val="18"/>
          <w:rtl/>
        </w:rPr>
        <w:t xml:space="preserve">ברם, הט"ז כאן מפרש את דברי המחבר שחוששת רק משעת הפיהוק ואילך ביום שרגילה לראות, ולא אתי שפיר ע"פ החוו"ד מדוע לא תחשוש לכל היום כולו ע"פ הרמ"א! ולכן </w:t>
      </w:r>
      <w:r w:rsidRPr="007676B3">
        <w:rPr>
          <w:rFonts w:hint="cs"/>
          <w:b/>
          <w:bCs/>
          <w:sz w:val="18"/>
          <w:szCs w:val="18"/>
          <w:rtl/>
        </w:rPr>
        <w:t>הפרדס רימונים</w:t>
      </w:r>
      <w:r w:rsidRPr="007676B3">
        <w:rPr>
          <w:rFonts w:hint="cs"/>
          <w:sz w:val="18"/>
          <w:szCs w:val="18"/>
          <w:rtl/>
        </w:rPr>
        <w:t xml:space="preserve"> דוחה את הבנת </w:t>
      </w:r>
      <w:r w:rsidRPr="007676B3">
        <w:rPr>
          <w:rFonts w:hint="cs"/>
          <w:b/>
          <w:bCs/>
          <w:sz w:val="18"/>
          <w:szCs w:val="18"/>
          <w:rtl/>
        </w:rPr>
        <w:t>החוו"ד</w:t>
      </w:r>
      <w:r w:rsidRPr="007676B3">
        <w:rPr>
          <w:rFonts w:hint="cs"/>
          <w:sz w:val="18"/>
          <w:szCs w:val="18"/>
          <w:rtl/>
        </w:rPr>
        <w:t xml:space="preserve"> </w:t>
      </w:r>
      <w:r w:rsidRPr="007676B3">
        <w:rPr>
          <w:rFonts w:hint="cs"/>
          <w:b/>
          <w:bCs/>
          <w:sz w:val="18"/>
          <w:szCs w:val="18"/>
          <w:rtl/>
        </w:rPr>
        <w:t>בט"ז</w:t>
      </w:r>
      <w:r w:rsidRPr="007676B3">
        <w:rPr>
          <w:rFonts w:hint="cs"/>
          <w:sz w:val="18"/>
          <w:szCs w:val="18"/>
          <w:rtl/>
        </w:rPr>
        <w:t xml:space="preserve"> לעיל ואומר שלרמ"א אינה חוששת כלל אפילו לא ליום עצמו, אלא שמכל מקום צריכה לחשוש משעת הפיהוק ועד סוף היום.</w:t>
      </w:r>
      <w:r>
        <w:rPr>
          <w:rtl/>
        </w:rPr>
        <w:br/>
      </w:r>
      <w:r w:rsidRPr="00180287">
        <w:rPr>
          <w:rFonts w:hint="cs"/>
          <w:b/>
          <w:bCs/>
          <w:sz w:val="18"/>
          <w:szCs w:val="18"/>
          <w:rtl/>
        </w:rPr>
        <w:t>ש"ך</w:t>
      </w:r>
      <w:r w:rsidRPr="00180287">
        <w:rPr>
          <w:rFonts w:hint="cs"/>
          <w:sz w:val="18"/>
          <w:szCs w:val="18"/>
          <w:rtl/>
        </w:rPr>
        <w:t xml:space="preserve"> </w:t>
      </w:r>
      <w:r w:rsidRPr="00180287">
        <w:rPr>
          <w:sz w:val="18"/>
          <w:szCs w:val="18"/>
          <w:rtl/>
        </w:rPr>
        <w:t>–</w:t>
      </w:r>
      <w:r w:rsidRPr="00180287">
        <w:rPr>
          <w:rFonts w:hint="cs"/>
          <w:sz w:val="18"/>
          <w:szCs w:val="18"/>
          <w:rtl/>
        </w:rPr>
        <w:t xml:space="preserve"> לעיל פירש שלרמ"א אינה חוששת ליום לבד או לפיהוק לבד, ואילו כאן בנקה"כ כתב להדיא שלרמ"א חוששת לכל היום כולו! ויש ליישב </w:t>
      </w:r>
      <w:r w:rsidRPr="00180287">
        <w:rPr>
          <w:sz w:val="18"/>
          <w:szCs w:val="18"/>
          <w:rtl/>
        </w:rPr>
        <w:t>–</w:t>
      </w:r>
      <w:r w:rsidRPr="00180287">
        <w:rPr>
          <w:rFonts w:hint="cs"/>
          <w:sz w:val="18"/>
          <w:szCs w:val="18"/>
          <w:rtl/>
        </w:rPr>
        <w:t xml:space="preserve"> כאן מדובר באשה שרגילה לראות מייד סמוך לווסתה ולכן חוששים שמא תשמש עם בעלה ותתחיל לפהק ותראה מייד, אך באמת אם הוחזקה לראות רק בסוף הפיהוק אינה חוששת ליום עצמו.</w:t>
      </w:r>
    </w:p>
  </w:footnote>
  <w:footnote w:id="228">
    <w:p w:rsidR="005953C5" w:rsidRDefault="005953C5" w:rsidP="00620060">
      <w:pPr>
        <w:pStyle w:val="a3"/>
      </w:pPr>
      <w:r w:rsidRPr="005670D5">
        <w:rPr>
          <w:rStyle w:val="a5"/>
          <w:sz w:val="18"/>
          <w:szCs w:val="18"/>
        </w:rPr>
        <w:footnoteRef/>
      </w:r>
      <w:r w:rsidRPr="005670D5">
        <w:rPr>
          <w:sz w:val="18"/>
          <w:szCs w:val="18"/>
          <w:rtl/>
        </w:rPr>
        <w:t xml:space="preserve"> </w:t>
      </w:r>
      <w:r w:rsidRPr="005670D5">
        <w:rPr>
          <w:rFonts w:hint="cs"/>
          <w:b/>
          <w:bCs/>
          <w:sz w:val="18"/>
          <w:szCs w:val="18"/>
          <w:rtl/>
        </w:rPr>
        <w:t>הבית יוסף</w:t>
      </w:r>
      <w:r w:rsidRPr="005670D5">
        <w:rPr>
          <w:rFonts w:hint="cs"/>
          <w:sz w:val="18"/>
          <w:szCs w:val="18"/>
          <w:rtl/>
        </w:rPr>
        <w:t xml:space="preserve"> מבאר זאת ע"פ הגמרא בהמשך </w:t>
      </w:r>
      <w:r w:rsidRPr="005670D5">
        <w:rPr>
          <w:sz w:val="18"/>
          <w:szCs w:val="18"/>
          <w:rtl/>
        </w:rPr>
        <w:t>–</w:t>
      </w:r>
      <w:r w:rsidRPr="005670D5">
        <w:rPr>
          <w:rFonts w:hint="cs"/>
          <w:sz w:val="18"/>
          <w:szCs w:val="18"/>
          <w:rtl/>
        </w:rPr>
        <w:t xml:space="preserve"> "אמר ריש לקיש: כמה עונה? שלושים יום".</w:t>
      </w:r>
    </w:p>
  </w:footnote>
  <w:footnote w:id="229">
    <w:p w:rsidR="005953C5" w:rsidRDefault="005953C5" w:rsidP="00620060">
      <w:pPr>
        <w:pStyle w:val="a3"/>
        <w:rPr>
          <w:rtl/>
        </w:rPr>
      </w:pPr>
      <w:r w:rsidRPr="001526DD">
        <w:rPr>
          <w:rStyle w:val="a5"/>
          <w:sz w:val="18"/>
          <w:szCs w:val="18"/>
        </w:rPr>
        <w:footnoteRef/>
      </w:r>
      <w:r w:rsidRPr="001526DD">
        <w:rPr>
          <w:b/>
          <w:bCs/>
          <w:sz w:val="18"/>
          <w:szCs w:val="18"/>
          <w:rtl/>
        </w:rPr>
        <w:t xml:space="preserve"> </w:t>
      </w:r>
      <w:r w:rsidRPr="001526DD">
        <w:rPr>
          <w:rFonts w:hint="cs"/>
          <w:b/>
          <w:bCs/>
          <w:sz w:val="18"/>
          <w:szCs w:val="18"/>
          <w:rtl/>
        </w:rPr>
        <w:t xml:space="preserve">ש"ך </w:t>
      </w:r>
      <w:r w:rsidRPr="001526DD">
        <w:rPr>
          <w:sz w:val="18"/>
          <w:szCs w:val="18"/>
          <w:rtl/>
        </w:rPr>
        <w:t>–</w:t>
      </w:r>
      <w:r w:rsidRPr="001526DD">
        <w:rPr>
          <w:rFonts w:hint="cs"/>
          <w:sz w:val="18"/>
          <w:szCs w:val="18"/>
          <w:rtl/>
        </w:rPr>
        <w:t xml:space="preserve"> לכאורה דין זה אינו מייחד </w:t>
      </w:r>
      <w:r>
        <w:rPr>
          <w:rFonts w:hint="cs"/>
          <w:sz w:val="18"/>
          <w:szCs w:val="18"/>
          <w:rtl/>
        </w:rPr>
        <w:t>רק</w:t>
      </w:r>
      <w:r w:rsidRPr="001526DD">
        <w:rPr>
          <w:rFonts w:hint="cs"/>
          <w:sz w:val="18"/>
          <w:szCs w:val="18"/>
          <w:rtl/>
        </w:rPr>
        <w:t xml:space="preserve"> תינוקת, שהרי כל אשה שקבעה ווסת ודילגה עליו ג' פעמים עקרתו ואינה חוששת?</w:t>
      </w:r>
      <w:r w:rsidRPr="001526DD">
        <w:rPr>
          <w:rFonts w:hint="cs"/>
          <w:sz w:val="18"/>
          <w:szCs w:val="18"/>
          <w:rtl/>
        </w:rPr>
        <w:br/>
        <w:t xml:space="preserve">מיישב </w:t>
      </w:r>
      <w:r w:rsidRPr="001526DD">
        <w:rPr>
          <w:sz w:val="18"/>
          <w:szCs w:val="18"/>
          <w:rtl/>
        </w:rPr>
        <w:t>–</w:t>
      </w:r>
      <w:r w:rsidRPr="001526DD">
        <w:rPr>
          <w:rFonts w:hint="cs"/>
          <w:sz w:val="18"/>
          <w:szCs w:val="18"/>
          <w:rtl/>
        </w:rPr>
        <w:t xml:space="preserve"> </w:t>
      </w:r>
      <w:r>
        <w:rPr>
          <w:rFonts w:hint="cs"/>
          <w:sz w:val="18"/>
          <w:szCs w:val="18"/>
          <w:rtl/>
        </w:rPr>
        <w:t>כ</w:t>
      </w:r>
      <w:r w:rsidRPr="001526DD">
        <w:rPr>
          <w:rFonts w:hint="cs"/>
          <w:sz w:val="18"/>
          <w:szCs w:val="18"/>
          <w:rtl/>
        </w:rPr>
        <w:t>אן סגי בעקירה של צ' יום, אך ב</w:t>
      </w:r>
      <w:r>
        <w:rPr>
          <w:rFonts w:hint="cs"/>
          <w:sz w:val="18"/>
          <w:szCs w:val="18"/>
          <w:rtl/>
        </w:rPr>
        <w:t>שא</w:t>
      </w:r>
      <w:r w:rsidRPr="001526DD">
        <w:rPr>
          <w:rFonts w:hint="cs"/>
          <w:sz w:val="18"/>
          <w:szCs w:val="18"/>
          <w:rtl/>
        </w:rPr>
        <w:t xml:space="preserve">ר נשים דרושה עקירה לפי רגילותה. </w:t>
      </w:r>
      <w:r w:rsidRPr="001526DD">
        <w:rPr>
          <w:sz w:val="18"/>
          <w:szCs w:val="18"/>
          <w:rtl/>
        </w:rPr>
        <w:br/>
      </w:r>
      <w:r w:rsidRPr="001526DD">
        <w:rPr>
          <w:rFonts w:hint="cs"/>
          <w:sz w:val="18"/>
          <w:szCs w:val="18"/>
          <w:rtl/>
        </w:rPr>
        <w:t xml:space="preserve">כגון </w:t>
      </w:r>
      <w:r w:rsidRPr="001526DD">
        <w:rPr>
          <w:sz w:val="18"/>
          <w:szCs w:val="18"/>
          <w:rtl/>
        </w:rPr>
        <w:t>–</w:t>
      </w:r>
      <w:r w:rsidRPr="001526DD">
        <w:rPr>
          <w:rFonts w:hint="cs"/>
          <w:sz w:val="18"/>
          <w:szCs w:val="18"/>
          <w:rtl/>
        </w:rPr>
        <w:t xml:space="preserve"> אם רגילה לראות בסירוג, חודש רואה וחודש אינה רואה, עוקרתו רק לאחר שישה חודשים. וכן אם רגילה לראות מלה' יום ללה' יום עוקרתו רק לאחר קה' יום שלא ראתה.</w:t>
      </w:r>
    </w:p>
  </w:footnote>
  <w:footnote w:id="230">
    <w:p w:rsidR="005953C5" w:rsidRDefault="005953C5" w:rsidP="00620060">
      <w:pPr>
        <w:pStyle w:val="a3"/>
        <w:rPr>
          <w:rtl/>
        </w:rPr>
      </w:pPr>
      <w:r w:rsidRPr="00F84C8E">
        <w:rPr>
          <w:rStyle w:val="a5"/>
          <w:sz w:val="18"/>
          <w:szCs w:val="18"/>
        </w:rPr>
        <w:footnoteRef/>
      </w:r>
      <w:r w:rsidRPr="00F84C8E">
        <w:rPr>
          <w:sz w:val="18"/>
          <w:szCs w:val="18"/>
          <w:rtl/>
        </w:rPr>
        <w:t xml:space="preserve"> </w:t>
      </w:r>
      <w:r w:rsidRPr="00F84C8E">
        <w:rPr>
          <w:rFonts w:hint="cs"/>
          <w:sz w:val="18"/>
          <w:szCs w:val="18"/>
          <w:rtl/>
        </w:rPr>
        <w:t>ואע"פ שכך הדין בכל ה</w:t>
      </w:r>
      <w:r>
        <w:rPr>
          <w:rFonts w:hint="cs"/>
          <w:sz w:val="18"/>
          <w:szCs w:val="18"/>
          <w:rtl/>
        </w:rPr>
        <w:t>נש</w:t>
      </w:r>
      <w:r w:rsidRPr="00F84C8E">
        <w:rPr>
          <w:rFonts w:hint="cs"/>
          <w:sz w:val="18"/>
          <w:szCs w:val="18"/>
          <w:rtl/>
        </w:rPr>
        <w:t>ים שאם לא ראו ג' עונות אינו חוששות לווסתן, מכל מקום זקנה עדיפה מהם, שאם תראה ראייה סתמית אינה חוששת לה, אך שאר נשים חוששות ל</w:t>
      </w:r>
      <w:r>
        <w:rPr>
          <w:rFonts w:hint="cs"/>
          <w:sz w:val="18"/>
          <w:szCs w:val="18"/>
          <w:rtl/>
        </w:rPr>
        <w:t>ראייה סתמית</w:t>
      </w:r>
      <w:r w:rsidRPr="00F84C8E">
        <w:rPr>
          <w:rFonts w:hint="cs"/>
          <w:sz w:val="18"/>
          <w:szCs w:val="18"/>
          <w:rtl/>
        </w:rPr>
        <w:t xml:space="preserve"> כווסת שאינו קבוע.</w:t>
      </w:r>
    </w:p>
  </w:footnote>
  <w:footnote w:id="231">
    <w:p w:rsidR="005953C5" w:rsidRDefault="005953C5" w:rsidP="00620060">
      <w:pPr>
        <w:pStyle w:val="a3"/>
      </w:pPr>
      <w:r w:rsidRPr="005F2C36">
        <w:rPr>
          <w:rStyle w:val="a5"/>
          <w:sz w:val="18"/>
          <w:szCs w:val="18"/>
        </w:rPr>
        <w:footnoteRef/>
      </w:r>
      <w:r w:rsidRPr="005F2C36">
        <w:rPr>
          <w:sz w:val="18"/>
          <w:szCs w:val="18"/>
          <w:rtl/>
        </w:rPr>
        <w:t xml:space="preserve"> </w:t>
      </w:r>
      <w:r w:rsidRPr="005F2C36">
        <w:rPr>
          <w:rFonts w:hint="cs"/>
          <w:sz w:val="18"/>
          <w:szCs w:val="18"/>
          <w:rtl/>
        </w:rPr>
        <w:t xml:space="preserve">סיכום ההבדלים בין הנשים שלא ראו צ' יום - </w:t>
      </w:r>
      <w:r w:rsidRPr="005F2C36">
        <w:rPr>
          <w:sz w:val="18"/>
          <w:szCs w:val="18"/>
          <w:rtl/>
        </w:rPr>
        <w:br/>
      </w:r>
      <w:r w:rsidRPr="005F2C36">
        <w:rPr>
          <w:rFonts w:hint="cs"/>
          <w:sz w:val="18"/>
          <w:szCs w:val="18"/>
          <w:rtl/>
        </w:rPr>
        <w:t xml:space="preserve">א. אשה סתם </w:t>
      </w:r>
      <w:r w:rsidRPr="005F2C36">
        <w:rPr>
          <w:sz w:val="18"/>
          <w:szCs w:val="18"/>
          <w:rtl/>
        </w:rPr>
        <w:t>–</w:t>
      </w:r>
      <w:r w:rsidRPr="005F2C36">
        <w:rPr>
          <w:rFonts w:hint="cs"/>
          <w:sz w:val="18"/>
          <w:szCs w:val="18"/>
          <w:rtl/>
        </w:rPr>
        <w:t xml:space="preserve"> 1. חוששת לווסת שאינו קבוע. 2. אם חזרה וראתה בעונות שהיתה רגילה, חוזרת לווסתה.</w:t>
      </w:r>
      <w:r w:rsidRPr="005F2C36">
        <w:rPr>
          <w:sz w:val="18"/>
          <w:szCs w:val="18"/>
          <w:rtl/>
        </w:rPr>
        <w:br/>
      </w:r>
      <w:r w:rsidRPr="005F2C36">
        <w:rPr>
          <w:rFonts w:hint="cs"/>
          <w:sz w:val="18"/>
          <w:szCs w:val="18"/>
          <w:rtl/>
        </w:rPr>
        <w:t xml:space="preserve">ב. זקנה </w:t>
      </w:r>
      <w:r w:rsidRPr="005F2C36">
        <w:rPr>
          <w:sz w:val="18"/>
          <w:szCs w:val="18"/>
          <w:rtl/>
        </w:rPr>
        <w:t>–</w:t>
      </w:r>
      <w:r w:rsidRPr="005F2C36">
        <w:rPr>
          <w:rFonts w:hint="cs"/>
          <w:sz w:val="18"/>
          <w:szCs w:val="18"/>
          <w:rtl/>
        </w:rPr>
        <w:t xml:space="preserve"> </w:t>
      </w:r>
      <w:r>
        <w:rPr>
          <w:rFonts w:hint="cs"/>
          <w:sz w:val="18"/>
          <w:szCs w:val="18"/>
          <w:rtl/>
        </w:rPr>
        <w:t>1. אינה חוששת. 2. חוששת, ככל אשה.</w:t>
      </w:r>
      <w:r w:rsidRPr="005F2C36">
        <w:rPr>
          <w:sz w:val="18"/>
          <w:szCs w:val="18"/>
          <w:rtl/>
        </w:rPr>
        <w:br/>
      </w:r>
      <w:r w:rsidRPr="005F2C36">
        <w:rPr>
          <w:rFonts w:hint="cs"/>
          <w:sz w:val="18"/>
          <w:szCs w:val="18"/>
          <w:rtl/>
        </w:rPr>
        <w:t xml:space="preserve">ג. </w:t>
      </w:r>
      <w:r>
        <w:rPr>
          <w:rFonts w:hint="cs"/>
          <w:sz w:val="18"/>
          <w:szCs w:val="18"/>
          <w:rtl/>
        </w:rPr>
        <w:t xml:space="preserve">קטנה - </w:t>
      </w:r>
      <w:r w:rsidRPr="005F2C36">
        <w:rPr>
          <w:rFonts w:hint="cs"/>
          <w:sz w:val="18"/>
          <w:szCs w:val="18"/>
          <w:rtl/>
        </w:rPr>
        <w:t>אינה חוששת לשני הנ"ל.</w:t>
      </w:r>
    </w:p>
  </w:footnote>
  <w:footnote w:id="232">
    <w:p w:rsidR="005953C5" w:rsidRDefault="005953C5" w:rsidP="00620060">
      <w:pPr>
        <w:pStyle w:val="a3"/>
        <w:rPr>
          <w:rtl/>
        </w:rPr>
      </w:pPr>
      <w:r w:rsidRPr="008018F0">
        <w:rPr>
          <w:rStyle w:val="a5"/>
          <w:sz w:val="18"/>
          <w:szCs w:val="18"/>
        </w:rPr>
        <w:footnoteRef/>
      </w:r>
      <w:r w:rsidRPr="008018F0">
        <w:rPr>
          <w:sz w:val="18"/>
          <w:szCs w:val="18"/>
          <w:rtl/>
        </w:rPr>
        <w:t xml:space="preserve"> </w:t>
      </w:r>
      <w:r>
        <w:rPr>
          <w:rFonts w:hint="cs"/>
          <w:sz w:val="18"/>
          <w:szCs w:val="18"/>
          <w:rtl/>
        </w:rPr>
        <w:t xml:space="preserve">בעבר נהגו לכנות כל אשה מבוגרת בתואר 'אמא' </w:t>
      </w:r>
      <w:r w:rsidRPr="00CD6A09">
        <w:rPr>
          <w:rFonts w:hint="cs"/>
          <w:sz w:val="16"/>
          <w:szCs w:val="16"/>
          <w:rtl/>
        </w:rPr>
        <w:t>[בנוסח התלמוד שלפנינו נכתב 'אמא אמא' פעמיים, ובגליון הש"ס כתב שמילה 'אמא' השנייה נראית כמיותרת]</w:t>
      </w:r>
      <w:r w:rsidRPr="008018F0">
        <w:rPr>
          <w:rFonts w:hint="cs"/>
          <w:sz w:val="18"/>
          <w:szCs w:val="18"/>
          <w:rtl/>
        </w:rPr>
        <w:t xml:space="preserve">. </w:t>
      </w:r>
      <w:r w:rsidRPr="0066661A">
        <w:rPr>
          <w:rFonts w:hint="cs"/>
          <w:sz w:val="18"/>
          <w:szCs w:val="18"/>
          <w:rtl/>
        </w:rPr>
        <w:t xml:space="preserve">ומחלוקת האמוראים היא, האם זקנה היא מי שאומרים עליה כך בסתר, או שזקנה היא מי שאומרים זאת כבר בפניה אך כל זמן שאומרים כך עליה בסתר </w:t>
      </w:r>
      <w:r>
        <w:rPr>
          <w:rFonts w:hint="cs"/>
          <w:sz w:val="18"/>
          <w:szCs w:val="18"/>
          <w:rtl/>
        </w:rPr>
        <w:t xml:space="preserve">היא </w:t>
      </w:r>
      <w:r w:rsidRPr="0066661A">
        <w:rPr>
          <w:rFonts w:hint="cs"/>
          <w:sz w:val="18"/>
          <w:szCs w:val="18"/>
          <w:rtl/>
        </w:rPr>
        <w:t>אינה זקנה.</w:t>
      </w:r>
    </w:p>
  </w:footnote>
  <w:footnote w:id="233">
    <w:p w:rsidR="005953C5" w:rsidRDefault="005953C5" w:rsidP="00620060">
      <w:pPr>
        <w:pStyle w:val="a3"/>
      </w:pPr>
      <w:r w:rsidRPr="0083439B">
        <w:rPr>
          <w:rStyle w:val="a5"/>
          <w:sz w:val="18"/>
          <w:szCs w:val="18"/>
        </w:rPr>
        <w:footnoteRef/>
      </w:r>
      <w:r w:rsidRPr="0083439B">
        <w:rPr>
          <w:sz w:val="18"/>
          <w:szCs w:val="18"/>
          <w:rtl/>
        </w:rPr>
        <w:t xml:space="preserve"> </w:t>
      </w:r>
      <w:r w:rsidRPr="0083439B">
        <w:rPr>
          <w:rFonts w:hint="cs"/>
          <w:sz w:val="18"/>
          <w:szCs w:val="18"/>
          <w:rtl/>
        </w:rPr>
        <w:t xml:space="preserve">שכך היא </w:t>
      </w:r>
      <w:r>
        <w:rPr>
          <w:rFonts w:hint="cs"/>
          <w:sz w:val="18"/>
          <w:szCs w:val="18"/>
          <w:rtl/>
        </w:rPr>
        <w:t>הדרך</w:t>
      </w:r>
      <w:r w:rsidRPr="0083439B">
        <w:rPr>
          <w:rFonts w:hint="cs"/>
          <w:sz w:val="18"/>
          <w:szCs w:val="18"/>
          <w:rtl/>
        </w:rPr>
        <w:t>, תחילה מקפידים על דבר מסויים, ולאחר זמן מתרגלים לכך ואין מקפידים כלפי חוץ אך הבושה נשארת עדיין בפנים, רק בשלב הבא גם הבושה נעלמת.</w:t>
      </w:r>
    </w:p>
  </w:footnote>
  <w:footnote w:id="234">
    <w:p w:rsidR="005953C5" w:rsidRDefault="005953C5" w:rsidP="00620060">
      <w:pPr>
        <w:pStyle w:val="a3"/>
      </w:pPr>
      <w:r w:rsidRPr="003B5D77">
        <w:rPr>
          <w:rStyle w:val="a5"/>
          <w:sz w:val="18"/>
          <w:szCs w:val="18"/>
        </w:rPr>
        <w:footnoteRef/>
      </w:r>
      <w:r w:rsidRPr="003B5D77">
        <w:rPr>
          <w:sz w:val="18"/>
          <w:szCs w:val="18"/>
          <w:rtl/>
        </w:rPr>
        <w:t xml:space="preserve"> </w:t>
      </w:r>
      <w:r w:rsidRPr="003B5D77">
        <w:rPr>
          <w:rFonts w:hint="cs"/>
          <w:sz w:val="18"/>
          <w:szCs w:val="18"/>
          <w:rtl/>
        </w:rPr>
        <w:t xml:space="preserve">המשך הגמרא </w:t>
      </w:r>
      <w:r w:rsidRPr="003B5D77">
        <w:rPr>
          <w:sz w:val="18"/>
          <w:szCs w:val="18"/>
          <w:rtl/>
        </w:rPr>
        <w:t>–</w:t>
      </w:r>
      <w:r w:rsidRPr="003B5D77">
        <w:rPr>
          <w:rFonts w:hint="cs"/>
          <w:sz w:val="18"/>
          <w:szCs w:val="18"/>
          <w:rtl/>
        </w:rPr>
        <w:t xml:space="preserve"> </w:t>
      </w:r>
      <w:r w:rsidRPr="003B5D77">
        <w:rPr>
          <w:rFonts w:cs="Arial" w:hint="cs"/>
          <w:sz w:val="18"/>
          <w:szCs w:val="18"/>
          <w:rtl/>
        </w:rPr>
        <w:t>"אמר</w:t>
      </w:r>
      <w:r w:rsidRPr="003B5D77">
        <w:rPr>
          <w:rFonts w:cs="Arial"/>
          <w:sz w:val="18"/>
          <w:szCs w:val="18"/>
          <w:rtl/>
        </w:rPr>
        <w:t xml:space="preserve"> </w:t>
      </w:r>
      <w:r w:rsidRPr="003B5D77">
        <w:rPr>
          <w:rFonts w:cs="Arial" w:hint="cs"/>
          <w:sz w:val="18"/>
          <w:szCs w:val="18"/>
          <w:rtl/>
        </w:rPr>
        <w:t>רב</w:t>
      </w:r>
      <w:r w:rsidRPr="003B5D77">
        <w:rPr>
          <w:rFonts w:cs="Arial"/>
          <w:sz w:val="18"/>
          <w:szCs w:val="18"/>
          <w:rtl/>
        </w:rPr>
        <w:t xml:space="preserve"> </w:t>
      </w:r>
      <w:r w:rsidRPr="003B5D77">
        <w:rPr>
          <w:rFonts w:cs="Arial" w:hint="cs"/>
          <w:sz w:val="18"/>
          <w:szCs w:val="18"/>
          <w:rtl/>
        </w:rPr>
        <w:t>יוסף</w:t>
      </w:r>
      <w:r w:rsidRPr="003B5D77">
        <w:rPr>
          <w:rFonts w:cs="Arial"/>
          <w:sz w:val="18"/>
          <w:szCs w:val="18"/>
          <w:rtl/>
        </w:rPr>
        <w:t xml:space="preserve">: </w:t>
      </w:r>
      <w:r w:rsidRPr="003B5D77">
        <w:rPr>
          <w:rFonts w:cs="Arial" w:hint="cs"/>
          <w:sz w:val="18"/>
          <w:szCs w:val="18"/>
          <w:rtl/>
        </w:rPr>
        <w:t>לא</w:t>
      </w:r>
      <w:r w:rsidRPr="003B5D77">
        <w:rPr>
          <w:rFonts w:cs="Arial"/>
          <w:sz w:val="18"/>
          <w:szCs w:val="18"/>
          <w:rtl/>
        </w:rPr>
        <w:t xml:space="preserve"> </w:t>
      </w:r>
      <w:r w:rsidRPr="003B5D77">
        <w:rPr>
          <w:rFonts w:cs="Arial" w:hint="cs"/>
          <w:sz w:val="18"/>
          <w:szCs w:val="18"/>
          <w:rtl/>
        </w:rPr>
        <w:t>שמיע</w:t>
      </w:r>
      <w:r w:rsidRPr="003B5D77">
        <w:rPr>
          <w:rFonts w:cs="Arial"/>
          <w:sz w:val="18"/>
          <w:szCs w:val="18"/>
          <w:rtl/>
        </w:rPr>
        <w:t xml:space="preserve"> </w:t>
      </w:r>
      <w:r w:rsidRPr="003B5D77">
        <w:rPr>
          <w:rFonts w:cs="Arial" w:hint="cs"/>
          <w:sz w:val="18"/>
          <w:szCs w:val="18"/>
          <w:rtl/>
        </w:rPr>
        <w:t>לי</w:t>
      </w:r>
      <w:r w:rsidRPr="003B5D77">
        <w:rPr>
          <w:rFonts w:cs="Arial"/>
          <w:sz w:val="18"/>
          <w:szCs w:val="18"/>
          <w:rtl/>
        </w:rPr>
        <w:t xml:space="preserve"> </w:t>
      </w:r>
      <w:r w:rsidRPr="003B5D77">
        <w:rPr>
          <w:rFonts w:cs="Arial" w:hint="cs"/>
          <w:sz w:val="18"/>
          <w:szCs w:val="18"/>
          <w:rtl/>
        </w:rPr>
        <w:t>הא</w:t>
      </w:r>
      <w:r w:rsidRPr="003B5D77">
        <w:rPr>
          <w:rFonts w:cs="Arial"/>
          <w:sz w:val="18"/>
          <w:szCs w:val="18"/>
          <w:rtl/>
        </w:rPr>
        <w:t xml:space="preserve"> </w:t>
      </w:r>
      <w:r w:rsidRPr="003B5D77">
        <w:rPr>
          <w:rFonts w:cs="Arial" w:hint="cs"/>
          <w:sz w:val="18"/>
          <w:szCs w:val="18"/>
          <w:rtl/>
        </w:rPr>
        <w:t>שמעתתא</w:t>
      </w:r>
      <w:r w:rsidRPr="003B5D77">
        <w:rPr>
          <w:rFonts w:cs="Arial"/>
          <w:sz w:val="18"/>
          <w:szCs w:val="18"/>
          <w:rtl/>
        </w:rPr>
        <w:t xml:space="preserve">. </w:t>
      </w:r>
      <w:r w:rsidRPr="003B5D77">
        <w:rPr>
          <w:rFonts w:cs="Arial" w:hint="cs"/>
          <w:sz w:val="18"/>
          <w:szCs w:val="18"/>
          <w:rtl/>
        </w:rPr>
        <w:t>אמר ליה</w:t>
      </w:r>
      <w:r w:rsidRPr="003B5D77">
        <w:rPr>
          <w:rFonts w:cs="Arial"/>
          <w:sz w:val="18"/>
          <w:szCs w:val="18"/>
          <w:rtl/>
        </w:rPr>
        <w:t xml:space="preserve"> </w:t>
      </w:r>
      <w:r w:rsidRPr="003B5D77">
        <w:rPr>
          <w:rFonts w:cs="Arial" w:hint="cs"/>
          <w:sz w:val="18"/>
          <w:szCs w:val="18"/>
          <w:rtl/>
        </w:rPr>
        <w:t>אביי</w:t>
      </w:r>
      <w:r w:rsidRPr="003B5D77">
        <w:rPr>
          <w:rFonts w:cs="Arial"/>
          <w:sz w:val="18"/>
          <w:szCs w:val="18"/>
          <w:rtl/>
        </w:rPr>
        <w:t xml:space="preserve">: </w:t>
      </w:r>
      <w:r w:rsidRPr="003B5D77">
        <w:rPr>
          <w:rFonts w:cs="Arial" w:hint="cs"/>
          <w:sz w:val="18"/>
          <w:szCs w:val="18"/>
          <w:rtl/>
        </w:rPr>
        <w:t>את</w:t>
      </w:r>
      <w:r w:rsidRPr="003B5D77">
        <w:rPr>
          <w:rFonts w:cs="Arial"/>
          <w:sz w:val="18"/>
          <w:szCs w:val="18"/>
          <w:rtl/>
        </w:rPr>
        <w:t xml:space="preserve"> </w:t>
      </w:r>
      <w:r w:rsidRPr="003B5D77">
        <w:rPr>
          <w:rFonts w:cs="Arial" w:hint="cs"/>
          <w:sz w:val="18"/>
          <w:szCs w:val="18"/>
          <w:rtl/>
        </w:rPr>
        <w:t>אמרת</w:t>
      </w:r>
      <w:r w:rsidRPr="003B5D77">
        <w:rPr>
          <w:rFonts w:cs="Arial"/>
          <w:sz w:val="18"/>
          <w:szCs w:val="18"/>
          <w:rtl/>
        </w:rPr>
        <w:t xml:space="preserve"> </w:t>
      </w:r>
      <w:r w:rsidRPr="003B5D77">
        <w:rPr>
          <w:rFonts w:cs="Arial" w:hint="cs"/>
          <w:sz w:val="18"/>
          <w:szCs w:val="18"/>
          <w:rtl/>
        </w:rPr>
        <w:t>ניהלן</w:t>
      </w:r>
      <w:r w:rsidRPr="003B5D77">
        <w:rPr>
          <w:rFonts w:cs="Arial"/>
          <w:sz w:val="18"/>
          <w:szCs w:val="18"/>
          <w:rtl/>
        </w:rPr>
        <w:t xml:space="preserve">, </w:t>
      </w:r>
      <w:r w:rsidRPr="003B5D77">
        <w:rPr>
          <w:rFonts w:cs="Arial" w:hint="cs"/>
          <w:sz w:val="18"/>
          <w:szCs w:val="18"/>
          <w:rtl/>
        </w:rPr>
        <w:t>ואהא</w:t>
      </w:r>
      <w:r w:rsidRPr="003B5D77">
        <w:rPr>
          <w:rFonts w:cs="Arial"/>
          <w:sz w:val="18"/>
          <w:szCs w:val="18"/>
          <w:rtl/>
        </w:rPr>
        <w:t xml:space="preserve"> </w:t>
      </w:r>
      <w:r w:rsidRPr="003B5D77">
        <w:rPr>
          <w:rFonts w:cs="Arial" w:hint="cs"/>
          <w:sz w:val="18"/>
          <w:szCs w:val="18"/>
          <w:rtl/>
        </w:rPr>
        <w:t>אמרת</w:t>
      </w:r>
      <w:r w:rsidRPr="003B5D77">
        <w:rPr>
          <w:rFonts w:cs="Arial"/>
          <w:sz w:val="18"/>
          <w:szCs w:val="18"/>
          <w:rtl/>
        </w:rPr>
        <w:t xml:space="preserve"> </w:t>
      </w:r>
      <w:r w:rsidRPr="003B5D77">
        <w:rPr>
          <w:rFonts w:cs="Arial" w:hint="cs"/>
          <w:sz w:val="18"/>
          <w:szCs w:val="18"/>
          <w:rtl/>
        </w:rPr>
        <w:t>לן</w:t>
      </w:r>
      <w:r w:rsidRPr="003B5D77">
        <w:rPr>
          <w:rFonts w:cs="Arial"/>
          <w:sz w:val="18"/>
          <w:szCs w:val="18"/>
          <w:rtl/>
        </w:rPr>
        <w:t xml:space="preserve">, </w:t>
      </w:r>
      <w:r w:rsidRPr="003B5D77">
        <w:rPr>
          <w:rFonts w:cs="Arial" w:hint="cs"/>
          <w:sz w:val="18"/>
          <w:szCs w:val="18"/>
          <w:rtl/>
        </w:rPr>
        <w:t>היתה</w:t>
      </w:r>
      <w:r w:rsidRPr="003B5D77">
        <w:rPr>
          <w:rFonts w:cs="Arial"/>
          <w:sz w:val="18"/>
          <w:szCs w:val="18"/>
          <w:rtl/>
        </w:rPr>
        <w:t xml:space="preserve"> </w:t>
      </w:r>
      <w:r w:rsidRPr="003B5D77">
        <w:rPr>
          <w:rFonts w:cs="Arial" w:hint="cs"/>
          <w:sz w:val="18"/>
          <w:szCs w:val="18"/>
          <w:rtl/>
        </w:rPr>
        <w:t>למודה</w:t>
      </w:r>
      <w:r w:rsidRPr="003B5D77">
        <w:rPr>
          <w:rFonts w:cs="Arial"/>
          <w:sz w:val="18"/>
          <w:szCs w:val="18"/>
          <w:rtl/>
        </w:rPr>
        <w:t xml:space="preserve"> </w:t>
      </w:r>
      <w:r w:rsidRPr="003B5D77">
        <w:rPr>
          <w:rFonts w:cs="Arial" w:hint="cs"/>
          <w:sz w:val="18"/>
          <w:szCs w:val="18"/>
          <w:rtl/>
        </w:rPr>
        <w:t>להיות</w:t>
      </w:r>
      <w:r w:rsidRPr="003B5D77">
        <w:rPr>
          <w:rFonts w:cs="Arial"/>
          <w:sz w:val="18"/>
          <w:szCs w:val="18"/>
          <w:rtl/>
        </w:rPr>
        <w:t xml:space="preserve"> </w:t>
      </w:r>
      <w:r w:rsidRPr="003B5D77">
        <w:rPr>
          <w:rFonts w:cs="Arial" w:hint="cs"/>
          <w:sz w:val="18"/>
          <w:szCs w:val="18"/>
          <w:rtl/>
        </w:rPr>
        <w:t>רואה</w:t>
      </w:r>
      <w:r w:rsidRPr="003B5D77">
        <w:rPr>
          <w:rFonts w:cs="Arial"/>
          <w:sz w:val="18"/>
          <w:szCs w:val="18"/>
          <w:rtl/>
        </w:rPr>
        <w:t xml:space="preserve"> </w:t>
      </w:r>
      <w:r w:rsidRPr="003B5D77">
        <w:rPr>
          <w:rFonts w:cs="Arial" w:hint="cs"/>
          <w:sz w:val="18"/>
          <w:szCs w:val="18"/>
          <w:rtl/>
        </w:rPr>
        <w:t>יום</w:t>
      </w:r>
      <w:r w:rsidRPr="003B5D77">
        <w:rPr>
          <w:rFonts w:cs="Arial"/>
          <w:sz w:val="18"/>
          <w:szCs w:val="18"/>
          <w:rtl/>
        </w:rPr>
        <w:t xml:space="preserve"> </w:t>
      </w:r>
      <w:r w:rsidRPr="003B5D77">
        <w:rPr>
          <w:rFonts w:cs="Arial" w:hint="cs"/>
          <w:sz w:val="18"/>
          <w:szCs w:val="18"/>
          <w:rtl/>
        </w:rPr>
        <w:t>ט</w:t>
      </w:r>
      <w:r w:rsidRPr="003B5D77">
        <w:rPr>
          <w:rFonts w:cs="Arial"/>
          <w:sz w:val="18"/>
          <w:szCs w:val="18"/>
          <w:rtl/>
        </w:rPr>
        <w:t>"</w:t>
      </w:r>
      <w:r w:rsidRPr="003B5D77">
        <w:rPr>
          <w:rFonts w:cs="Arial" w:hint="cs"/>
          <w:sz w:val="18"/>
          <w:szCs w:val="18"/>
          <w:rtl/>
        </w:rPr>
        <w:t>ו</w:t>
      </w:r>
      <w:r w:rsidRPr="003B5D77">
        <w:rPr>
          <w:rFonts w:cs="Arial"/>
          <w:sz w:val="18"/>
          <w:szCs w:val="18"/>
          <w:rtl/>
        </w:rPr>
        <w:t xml:space="preserve"> </w:t>
      </w:r>
      <w:r w:rsidRPr="003B5D77">
        <w:rPr>
          <w:rFonts w:cs="Arial" w:hint="cs"/>
          <w:sz w:val="18"/>
          <w:szCs w:val="18"/>
          <w:rtl/>
        </w:rPr>
        <w:t>ושינתה</w:t>
      </w:r>
      <w:r w:rsidRPr="003B5D77">
        <w:rPr>
          <w:rFonts w:cs="Arial"/>
          <w:sz w:val="18"/>
          <w:szCs w:val="18"/>
          <w:rtl/>
        </w:rPr>
        <w:t xml:space="preserve"> </w:t>
      </w:r>
      <w:r w:rsidRPr="003B5D77">
        <w:rPr>
          <w:rFonts w:cs="Arial" w:hint="cs"/>
          <w:sz w:val="18"/>
          <w:szCs w:val="18"/>
          <w:rtl/>
        </w:rPr>
        <w:t>ליום</w:t>
      </w:r>
      <w:r w:rsidRPr="003B5D77">
        <w:rPr>
          <w:rFonts w:cs="Arial"/>
          <w:sz w:val="18"/>
          <w:szCs w:val="18"/>
          <w:rtl/>
        </w:rPr>
        <w:t xml:space="preserve"> </w:t>
      </w:r>
      <w:r w:rsidRPr="003B5D77">
        <w:rPr>
          <w:rFonts w:cs="Arial" w:hint="cs"/>
          <w:sz w:val="18"/>
          <w:szCs w:val="18"/>
          <w:rtl/>
        </w:rPr>
        <w:t>כ</w:t>
      </w:r>
      <w:r w:rsidRPr="003B5D77">
        <w:rPr>
          <w:rFonts w:cs="Arial"/>
          <w:sz w:val="18"/>
          <w:szCs w:val="18"/>
          <w:rtl/>
        </w:rPr>
        <w:t xml:space="preserve">' - </w:t>
      </w:r>
      <w:r w:rsidRPr="003B5D77">
        <w:rPr>
          <w:rFonts w:cs="Arial" w:hint="cs"/>
          <w:sz w:val="18"/>
          <w:szCs w:val="18"/>
          <w:rtl/>
        </w:rPr>
        <w:t>זה</w:t>
      </w:r>
      <w:r w:rsidRPr="003B5D77">
        <w:rPr>
          <w:rFonts w:cs="Arial"/>
          <w:sz w:val="18"/>
          <w:szCs w:val="18"/>
          <w:rtl/>
        </w:rPr>
        <w:t xml:space="preserve"> </w:t>
      </w:r>
      <w:r w:rsidRPr="003B5D77">
        <w:rPr>
          <w:rFonts w:cs="Arial" w:hint="cs"/>
          <w:sz w:val="18"/>
          <w:szCs w:val="18"/>
          <w:rtl/>
        </w:rPr>
        <w:t>וזה</w:t>
      </w:r>
      <w:r w:rsidRPr="003B5D77">
        <w:rPr>
          <w:rFonts w:cs="Arial"/>
          <w:sz w:val="18"/>
          <w:szCs w:val="18"/>
          <w:rtl/>
        </w:rPr>
        <w:t xml:space="preserve"> </w:t>
      </w:r>
      <w:r w:rsidRPr="003B5D77">
        <w:rPr>
          <w:rFonts w:cs="Arial" w:hint="cs"/>
          <w:sz w:val="18"/>
          <w:szCs w:val="18"/>
          <w:rtl/>
        </w:rPr>
        <w:t>אסורין</w:t>
      </w:r>
      <w:r w:rsidRPr="003B5D77">
        <w:rPr>
          <w:rFonts w:cs="Arial"/>
          <w:sz w:val="18"/>
          <w:szCs w:val="18"/>
          <w:rtl/>
        </w:rPr>
        <w:t xml:space="preserve"> </w:t>
      </w:r>
      <w:r w:rsidRPr="003B5D77">
        <w:rPr>
          <w:rFonts w:cs="Arial" w:hint="cs"/>
          <w:sz w:val="18"/>
          <w:szCs w:val="18"/>
          <w:rtl/>
        </w:rPr>
        <w:t>לשמש</w:t>
      </w:r>
      <w:r w:rsidRPr="003B5D77">
        <w:rPr>
          <w:rFonts w:cs="Arial"/>
          <w:sz w:val="18"/>
          <w:szCs w:val="18"/>
          <w:rtl/>
        </w:rPr>
        <w:t xml:space="preserve">, </w:t>
      </w:r>
      <w:r w:rsidRPr="003B5D77">
        <w:rPr>
          <w:rFonts w:cs="Arial" w:hint="cs"/>
          <w:sz w:val="18"/>
          <w:szCs w:val="18"/>
          <w:rtl/>
        </w:rPr>
        <w:t>שינתה</w:t>
      </w:r>
      <w:r w:rsidRPr="003B5D77">
        <w:rPr>
          <w:rFonts w:cs="Arial"/>
          <w:sz w:val="18"/>
          <w:szCs w:val="18"/>
          <w:rtl/>
        </w:rPr>
        <w:t xml:space="preserve"> </w:t>
      </w:r>
      <w:r w:rsidRPr="003B5D77">
        <w:rPr>
          <w:rFonts w:cs="Arial" w:hint="cs"/>
          <w:sz w:val="18"/>
          <w:szCs w:val="18"/>
          <w:rtl/>
        </w:rPr>
        <w:t>פעמיים</w:t>
      </w:r>
      <w:r w:rsidRPr="003B5D77">
        <w:rPr>
          <w:rFonts w:cs="Arial"/>
          <w:sz w:val="18"/>
          <w:szCs w:val="18"/>
          <w:rtl/>
        </w:rPr>
        <w:t xml:space="preserve"> </w:t>
      </w:r>
      <w:r w:rsidRPr="003B5D77">
        <w:rPr>
          <w:rFonts w:cs="Arial" w:hint="cs"/>
          <w:sz w:val="18"/>
          <w:szCs w:val="18"/>
          <w:rtl/>
        </w:rPr>
        <w:t>ליום</w:t>
      </w:r>
      <w:r w:rsidRPr="003B5D77">
        <w:rPr>
          <w:rFonts w:cs="Arial"/>
          <w:sz w:val="18"/>
          <w:szCs w:val="18"/>
          <w:rtl/>
        </w:rPr>
        <w:t xml:space="preserve"> </w:t>
      </w:r>
      <w:r w:rsidRPr="003B5D77">
        <w:rPr>
          <w:rFonts w:cs="Arial" w:hint="cs"/>
          <w:sz w:val="18"/>
          <w:szCs w:val="18"/>
          <w:rtl/>
        </w:rPr>
        <w:t>כ</w:t>
      </w:r>
      <w:r w:rsidRPr="003B5D77">
        <w:rPr>
          <w:rFonts w:cs="Arial"/>
          <w:sz w:val="18"/>
          <w:szCs w:val="18"/>
          <w:rtl/>
        </w:rPr>
        <w:t xml:space="preserve">' - </w:t>
      </w:r>
      <w:r w:rsidRPr="003B5D77">
        <w:rPr>
          <w:rFonts w:cs="Arial" w:hint="cs"/>
          <w:sz w:val="18"/>
          <w:szCs w:val="18"/>
          <w:rtl/>
        </w:rPr>
        <w:t>זה</w:t>
      </w:r>
      <w:r w:rsidRPr="003B5D77">
        <w:rPr>
          <w:rFonts w:cs="Arial"/>
          <w:sz w:val="18"/>
          <w:szCs w:val="18"/>
          <w:rtl/>
        </w:rPr>
        <w:t xml:space="preserve"> </w:t>
      </w:r>
      <w:r w:rsidRPr="003B5D77">
        <w:rPr>
          <w:rFonts w:cs="Arial" w:hint="cs"/>
          <w:sz w:val="18"/>
          <w:szCs w:val="18"/>
          <w:rtl/>
        </w:rPr>
        <w:t>וזה</w:t>
      </w:r>
      <w:r w:rsidRPr="003B5D77">
        <w:rPr>
          <w:rFonts w:cs="Arial"/>
          <w:sz w:val="18"/>
          <w:szCs w:val="18"/>
          <w:rtl/>
        </w:rPr>
        <w:t xml:space="preserve"> </w:t>
      </w:r>
      <w:r w:rsidRPr="003B5D77">
        <w:rPr>
          <w:rFonts w:cs="Arial" w:hint="cs"/>
          <w:sz w:val="18"/>
          <w:szCs w:val="18"/>
          <w:rtl/>
        </w:rPr>
        <w:t>אסורין</w:t>
      </w:r>
      <w:r w:rsidRPr="003B5D77">
        <w:rPr>
          <w:rFonts w:cs="Arial"/>
          <w:sz w:val="18"/>
          <w:szCs w:val="18"/>
          <w:rtl/>
        </w:rPr>
        <w:t xml:space="preserve">. </w:t>
      </w:r>
      <w:r w:rsidRPr="003B5D77">
        <w:rPr>
          <w:rFonts w:cs="Arial" w:hint="cs"/>
          <w:sz w:val="18"/>
          <w:szCs w:val="18"/>
          <w:rtl/>
        </w:rPr>
        <w:t>ואמרת</w:t>
      </w:r>
      <w:r w:rsidRPr="003B5D77">
        <w:rPr>
          <w:rFonts w:cs="Arial"/>
          <w:sz w:val="18"/>
          <w:szCs w:val="18"/>
          <w:rtl/>
        </w:rPr>
        <w:t xml:space="preserve"> </w:t>
      </w:r>
      <w:r w:rsidRPr="003B5D77">
        <w:rPr>
          <w:rFonts w:cs="Arial" w:hint="cs"/>
          <w:sz w:val="18"/>
          <w:szCs w:val="18"/>
          <w:rtl/>
        </w:rPr>
        <w:t>לן</w:t>
      </w:r>
      <w:r w:rsidRPr="003B5D77">
        <w:rPr>
          <w:rFonts w:cs="Arial"/>
          <w:sz w:val="18"/>
          <w:szCs w:val="18"/>
          <w:rtl/>
        </w:rPr>
        <w:t xml:space="preserve"> </w:t>
      </w:r>
      <w:r w:rsidRPr="003B5D77">
        <w:rPr>
          <w:rFonts w:cs="Arial" w:hint="cs"/>
          <w:sz w:val="18"/>
          <w:szCs w:val="18"/>
          <w:rtl/>
        </w:rPr>
        <w:t>עלה</w:t>
      </w:r>
      <w:r w:rsidRPr="003B5D77">
        <w:rPr>
          <w:rFonts w:cs="Arial"/>
          <w:sz w:val="18"/>
          <w:szCs w:val="18"/>
          <w:rtl/>
        </w:rPr>
        <w:t xml:space="preserve"> </w:t>
      </w:r>
      <w:r w:rsidRPr="003B5D77">
        <w:rPr>
          <w:rFonts w:cs="Arial" w:hint="cs"/>
          <w:sz w:val="18"/>
          <w:szCs w:val="18"/>
          <w:rtl/>
        </w:rPr>
        <w:t>אמר</w:t>
      </w:r>
      <w:r w:rsidRPr="003B5D77">
        <w:rPr>
          <w:rFonts w:cs="Arial"/>
          <w:sz w:val="18"/>
          <w:szCs w:val="18"/>
          <w:rtl/>
        </w:rPr>
        <w:t xml:space="preserve"> </w:t>
      </w:r>
      <w:r w:rsidRPr="003B5D77">
        <w:rPr>
          <w:rFonts w:cs="Arial" w:hint="cs"/>
          <w:sz w:val="18"/>
          <w:szCs w:val="18"/>
          <w:rtl/>
        </w:rPr>
        <w:t>רב</w:t>
      </w:r>
      <w:r w:rsidRPr="003B5D77">
        <w:rPr>
          <w:rFonts w:cs="Arial"/>
          <w:sz w:val="18"/>
          <w:szCs w:val="18"/>
          <w:rtl/>
        </w:rPr>
        <w:t xml:space="preserve"> </w:t>
      </w:r>
      <w:r w:rsidRPr="003B5D77">
        <w:rPr>
          <w:rFonts w:cs="Arial" w:hint="cs"/>
          <w:sz w:val="18"/>
          <w:szCs w:val="18"/>
          <w:rtl/>
        </w:rPr>
        <w:t>יהודה</w:t>
      </w:r>
      <w:r w:rsidRPr="003B5D77">
        <w:rPr>
          <w:rFonts w:cs="Arial"/>
          <w:sz w:val="18"/>
          <w:szCs w:val="18"/>
          <w:rtl/>
        </w:rPr>
        <w:t xml:space="preserve"> </w:t>
      </w:r>
      <w:r w:rsidRPr="003B5D77">
        <w:rPr>
          <w:rFonts w:cs="Arial" w:hint="cs"/>
          <w:sz w:val="18"/>
          <w:szCs w:val="18"/>
          <w:rtl/>
        </w:rPr>
        <w:t>אמר</w:t>
      </w:r>
      <w:r w:rsidRPr="003B5D77">
        <w:rPr>
          <w:rFonts w:cs="Arial"/>
          <w:sz w:val="18"/>
          <w:szCs w:val="18"/>
          <w:rtl/>
        </w:rPr>
        <w:t xml:space="preserve"> </w:t>
      </w:r>
      <w:r w:rsidRPr="003B5D77">
        <w:rPr>
          <w:rFonts w:cs="Arial" w:hint="cs"/>
          <w:sz w:val="18"/>
          <w:szCs w:val="18"/>
          <w:rtl/>
        </w:rPr>
        <w:t>שמואל</w:t>
      </w:r>
      <w:r w:rsidRPr="003B5D77">
        <w:rPr>
          <w:rFonts w:cs="Arial"/>
          <w:sz w:val="18"/>
          <w:szCs w:val="18"/>
          <w:rtl/>
        </w:rPr>
        <w:t xml:space="preserve">: </w:t>
      </w:r>
      <w:r w:rsidRPr="003B5D77">
        <w:rPr>
          <w:rFonts w:cs="Arial" w:hint="cs"/>
          <w:sz w:val="18"/>
          <w:szCs w:val="18"/>
          <w:rtl/>
        </w:rPr>
        <w:t>לא שנו</w:t>
      </w:r>
      <w:r w:rsidRPr="003B5D77">
        <w:rPr>
          <w:rFonts w:cs="Arial"/>
          <w:sz w:val="18"/>
          <w:szCs w:val="18"/>
          <w:rtl/>
        </w:rPr>
        <w:t xml:space="preserve"> </w:t>
      </w:r>
      <w:r w:rsidRPr="003B5D77">
        <w:rPr>
          <w:rFonts w:cs="Arial" w:hint="cs"/>
          <w:sz w:val="18"/>
          <w:szCs w:val="18"/>
          <w:rtl/>
        </w:rPr>
        <w:t>אלא</w:t>
      </w:r>
      <w:r w:rsidRPr="003B5D77">
        <w:rPr>
          <w:rFonts w:cs="Arial"/>
          <w:sz w:val="18"/>
          <w:szCs w:val="18"/>
          <w:rtl/>
        </w:rPr>
        <w:t xml:space="preserve"> </w:t>
      </w:r>
      <w:r w:rsidRPr="003B5D77">
        <w:rPr>
          <w:rFonts w:cs="Arial" w:hint="cs"/>
          <w:sz w:val="18"/>
          <w:szCs w:val="18"/>
          <w:rtl/>
        </w:rPr>
        <w:t>ט</w:t>
      </w:r>
      <w:r w:rsidRPr="003B5D77">
        <w:rPr>
          <w:rFonts w:cs="Arial"/>
          <w:sz w:val="18"/>
          <w:szCs w:val="18"/>
          <w:rtl/>
        </w:rPr>
        <w:t>"</w:t>
      </w:r>
      <w:r w:rsidRPr="003B5D77">
        <w:rPr>
          <w:rFonts w:cs="Arial" w:hint="cs"/>
          <w:sz w:val="18"/>
          <w:szCs w:val="18"/>
          <w:rtl/>
        </w:rPr>
        <w:t>ו</w:t>
      </w:r>
      <w:r w:rsidRPr="003B5D77">
        <w:rPr>
          <w:rFonts w:cs="Arial"/>
          <w:sz w:val="18"/>
          <w:szCs w:val="18"/>
          <w:rtl/>
        </w:rPr>
        <w:t xml:space="preserve"> </w:t>
      </w:r>
      <w:r w:rsidRPr="003B5D77">
        <w:rPr>
          <w:rFonts w:cs="Arial" w:hint="cs"/>
          <w:sz w:val="18"/>
          <w:szCs w:val="18"/>
          <w:rtl/>
        </w:rPr>
        <w:t>לטבילתה</w:t>
      </w:r>
      <w:r w:rsidRPr="003B5D77">
        <w:rPr>
          <w:rFonts w:cs="Arial"/>
          <w:sz w:val="18"/>
          <w:szCs w:val="18"/>
          <w:rtl/>
        </w:rPr>
        <w:t xml:space="preserve"> </w:t>
      </w:r>
      <w:r w:rsidRPr="003B5D77">
        <w:rPr>
          <w:rFonts w:cs="Arial" w:hint="cs"/>
          <w:sz w:val="18"/>
          <w:szCs w:val="18"/>
          <w:rtl/>
        </w:rPr>
        <w:t>שהן</w:t>
      </w:r>
      <w:r w:rsidRPr="003B5D77">
        <w:rPr>
          <w:rFonts w:cs="Arial"/>
          <w:sz w:val="18"/>
          <w:szCs w:val="18"/>
          <w:rtl/>
        </w:rPr>
        <w:t xml:space="preserve"> </w:t>
      </w:r>
      <w:r w:rsidRPr="003B5D77">
        <w:rPr>
          <w:rFonts w:cs="Arial" w:hint="cs"/>
          <w:sz w:val="18"/>
          <w:szCs w:val="18"/>
          <w:rtl/>
        </w:rPr>
        <w:t>כ</w:t>
      </w:r>
      <w:r w:rsidRPr="003B5D77">
        <w:rPr>
          <w:rFonts w:cs="Arial"/>
          <w:sz w:val="18"/>
          <w:szCs w:val="18"/>
          <w:rtl/>
        </w:rPr>
        <w:t>"</w:t>
      </w:r>
      <w:r w:rsidRPr="003B5D77">
        <w:rPr>
          <w:rFonts w:cs="Arial" w:hint="cs"/>
          <w:sz w:val="18"/>
          <w:szCs w:val="18"/>
          <w:rtl/>
        </w:rPr>
        <w:t>ב</w:t>
      </w:r>
      <w:r w:rsidRPr="003B5D77">
        <w:rPr>
          <w:rFonts w:cs="Arial"/>
          <w:sz w:val="18"/>
          <w:szCs w:val="18"/>
          <w:rtl/>
        </w:rPr>
        <w:t xml:space="preserve"> </w:t>
      </w:r>
      <w:r w:rsidRPr="003B5D77">
        <w:rPr>
          <w:rFonts w:cs="Arial" w:hint="cs"/>
          <w:sz w:val="18"/>
          <w:szCs w:val="18"/>
          <w:rtl/>
        </w:rPr>
        <w:t>לראייתה</w:t>
      </w:r>
      <w:r w:rsidRPr="003B5D77">
        <w:rPr>
          <w:rFonts w:cs="Arial"/>
          <w:sz w:val="18"/>
          <w:szCs w:val="18"/>
          <w:rtl/>
        </w:rPr>
        <w:t xml:space="preserve">, </w:t>
      </w:r>
      <w:r w:rsidRPr="003B5D77">
        <w:rPr>
          <w:rFonts w:cs="Arial" w:hint="cs"/>
          <w:sz w:val="18"/>
          <w:szCs w:val="18"/>
          <w:rtl/>
        </w:rPr>
        <w:t>דהתם</w:t>
      </w:r>
      <w:r w:rsidRPr="003B5D77">
        <w:rPr>
          <w:rFonts w:cs="Arial"/>
          <w:sz w:val="18"/>
          <w:szCs w:val="18"/>
          <w:rtl/>
        </w:rPr>
        <w:t xml:space="preserve"> </w:t>
      </w:r>
      <w:r w:rsidRPr="003B5D77">
        <w:rPr>
          <w:rFonts w:cs="Arial" w:hint="cs"/>
          <w:sz w:val="18"/>
          <w:szCs w:val="18"/>
          <w:rtl/>
        </w:rPr>
        <w:t>בימי</w:t>
      </w:r>
      <w:r w:rsidRPr="003B5D77">
        <w:rPr>
          <w:rFonts w:cs="Arial"/>
          <w:sz w:val="18"/>
          <w:szCs w:val="18"/>
          <w:rtl/>
        </w:rPr>
        <w:t xml:space="preserve"> </w:t>
      </w:r>
      <w:r w:rsidRPr="003B5D77">
        <w:rPr>
          <w:rFonts w:cs="Arial" w:hint="cs"/>
          <w:sz w:val="18"/>
          <w:szCs w:val="18"/>
          <w:rtl/>
        </w:rPr>
        <w:t>נידתה</w:t>
      </w:r>
      <w:r w:rsidRPr="003B5D77">
        <w:rPr>
          <w:rFonts w:cs="Arial"/>
          <w:sz w:val="18"/>
          <w:szCs w:val="18"/>
          <w:rtl/>
        </w:rPr>
        <w:t xml:space="preserve"> </w:t>
      </w:r>
      <w:r w:rsidRPr="003B5D77">
        <w:rPr>
          <w:rFonts w:cs="Arial" w:hint="cs"/>
          <w:sz w:val="18"/>
          <w:szCs w:val="18"/>
          <w:rtl/>
        </w:rPr>
        <w:t>קאי</w:t>
      </w:r>
      <w:r w:rsidRPr="003B5D77">
        <w:rPr>
          <w:rFonts w:cs="Arial"/>
          <w:sz w:val="18"/>
          <w:szCs w:val="18"/>
          <w:rtl/>
        </w:rPr>
        <w:t xml:space="preserve"> </w:t>
      </w:r>
      <w:r w:rsidRPr="003B5D77">
        <w:rPr>
          <w:rFonts w:cs="Arial" w:hint="cs"/>
          <w:sz w:val="18"/>
          <w:szCs w:val="18"/>
          <w:rtl/>
        </w:rPr>
        <w:t>לה</w:t>
      </w:r>
      <w:r w:rsidRPr="003B5D77">
        <w:rPr>
          <w:rFonts w:cs="Arial"/>
          <w:sz w:val="18"/>
          <w:szCs w:val="18"/>
          <w:rtl/>
        </w:rPr>
        <w:t xml:space="preserve">, </w:t>
      </w:r>
      <w:r w:rsidRPr="003B5D77">
        <w:rPr>
          <w:rFonts w:cs="Arial" w:hint="cs"/>
          <w:sz w:val="18"/>
          <w:szCs w:val="18"/>
          <w:rtl/>
        </w:rPr>
        <w:t>אבל</w:t>
      </w:r>
      <w:r w:rsidRPr="003B5D77">
        <w:rPr>
          <w:rFonts w:cs="Arial"/>
          <w:sz w:val="18"/>
          <w:szCs w:val="18"/>
          <w:rtl/>
        </w:rPr>
        <w:t xml:space="preserve"> </w:t>
      </w:r>
      <w:r w:rsidRPr="003B5D77">
        <w:rPr>
          <w:rFonts w:cs="Arial" w:hint="cs"/>
          <w:sz w:val="18"/>
          <w:szCs w:val="18"/>
          <w:rtl/>
        </w:rPr>
        <w:t>ט</w:t>
      </w:r>
      <w:r w:rsidRPr="003B5D77">
        <w:rPr>
          <w:rFonts w:cs="Arial"/>
          <w:sz w:val="18"/>
          <w:szCs w:val="18"/>
          <w:rtl/>
        </w:rPr>
        <w:t>"</w:t>
      </w:r>
      <w:r w:rsidRPr="003B5D77">
        <w:rPr>
          <w:rFonts w:cs="Arial" w:hint="cs"/>
          <w:sz w:val="18"/>
          <w:szCs w:val="18"/>
          <w:rtl/>
        </w:rPr>
        <w:t>ו</w:t>
      </w:r>
      <w:r w:rsidRPr="003B5D77">
        <w:rPr>
          <w:rFonts w:cs="Arial"/>
          <w:sz w:val="18"/>
          <w:szCs w:val="18"/>
          <w:rtl/>
        </w:rPr>
        <w:t xml:space="preserve"> </w:t>
      </w:r>
      <w:r w:rsidRPr="003B5D77">
        <w:rPr>
          <w:rFonts w:cs="Arial" w:hint="cs"/>
          <w:sz w:val="18"/>
          <w:szCs w:val="18"/>
          <w:rtl/>
        </w:rPr>
        <w:t>לראייתה</w:t>
      </w:r>
      <w:r w:rsidRPr="003B5D77">
        <w:rPr>
          <w:rFonts w:cs="Arial"/>
          <w:sz w:val="18"/>
          <w:szCs w:val="18"/>
          <w:rtl/>
        </w:rPr>
        <w:t xml:space="preserve">, </w:t>
      </w:r>
      <w:r w:rsidRPr="003B5D77">
        <w:rPr>
          <w:rFonts w:cs="Arial" w:hint="cs"/>
          <w:sz w:val="18"/>
          <w:szCs w:val="18"/>
          <w:rtl/>
        </w:rPr>
        <w:t>דבימי</w:t>
      </w:r>
      <w:r w:rsidRPr="003B5D77">
        <w:rPr>
          <w:rFonts w:cs="Arial"/>
          <w:sz w:val="18"/>
          <w:szCs w:val="18"/>
          <w:rtl/>
        </w:rPr>
        <w:t xml:space="preserve"> </w:t>
      </w:r>
      <w:r w:rsidRPr="003B5D77">
        <w:rPr>
          <w:rFonts w:cs="Arial" w:hint="cs"/>
          <w:sz w:val="18"/>
          <w:szCs w:val="18"/>
          <w:rtl/>
        </w:rPr>
        <w:t>זיבתה</w:t>
      </w:r>
      <w:r w:rsidRPr="003B5D77">
        <w:rPr>
          <w:rFonts w:cs="Arial"/>
          <w:sz w:val="18"/>
          <w:szCs w:val="18"/>
          <w:rtl/>
        </w:rPr>
        <w:t xml:space="preserve"> </w:t>
      </w:r>
      <w:r w:rsidRPr="003B5D77">
        <w:rPr>
          <w:rFonts w:cs="Arial" w:hint="cs"/>
          <w:sz w:val="18"/>
          <w:szCs w:val="18"/>
          <w:rtl/>
        </w:rPr>
        <w:t>קאי</w:t>
      </w:r>
      <w:r w:rsidRPr="003B5D77">
        <w:rPr>
          <w:rFonts w:cs="Arial"/>
          <w:sz w:val="18"/>
          <w:szCs w:val="18"/>
          <w:rtl/>
        </w:rPr>
        <w:t xml:space="preserve"> - </w:t>
      </w:r>
      <w:r w:rsidRPr="003B5D77">
        <w:rPr>
          <w:rFonts w:cs="Arial" w:hint="cs"/>
          <w:sz w:val="18"/>
          <w:szCs w:val="18"/>
          <w:rtl/>
        </w:rPr>
        <w:t>לא</w:t>
      </w:r>
      <w:r w:rsidRPr="003B5D77">
        <w:rPr>
          <w:rFonts w:cs="Arial"/>
          <w:sz w:val="18"/>
          <w:szCs w:val="18"/>
          <w:rtl/>
        </w:rPr>
        <w:t xml:space="preserve"> </w:t>
      </w:r>
      <w:r w:rsidRPr="003B5D77">
        <w:rPr>
          <w:rFonts w:cs="Arial" w:hint="cs"/>
          <w:sz w:val="18"/>
          <w:szCs w:val="18"/>
          <w:rtl/>
        </w:rPr>
        <w:t>קבעה"</w:t>
      </w:r>
      <w:r w:rsidRPr="003B5D77">
        <w:rPr>
          <w:rFonts w:cs="Arial"/>
          <w:sz w:val="18"/>
          <w:szCs w:val="18"/>
          <w:rtl/>
        </w:rPr>
        <w:t>.</w:t>
      </w:r>
      <w:r w:rsidRPr="003B5D77">
        <w:rPr>
          <w:rFonts w:cs="Arial" w:hint="cs"/>
          <w:sz w:val="18"/>
          <w:szCs w:val="18"/>
          <w:rtl/>
        </w:rPr>
        <w:br/>
        <w:t xml:space="preserve">כלומר </w:t>
      </w:r>
      <w:r w:rsidRPr="003B5D77">
        <w:rPr>
          <w:rFonts w:cs="Arial"/>
          <w:sz w:val="18"/>
          <w:szCs w:val="18"/>
          <w:rtl/>
        </w:rPr>
        <w:t>–</w:t>
      </w:r>
      <w:r w:rsidRPr="003B5D77">
        <w:rPr>
          <w:rFonts w:cs="Arial" w:hint="cs"/>
          <w:sz w:val="18"/>
          <w:szCs w:val="18"/>
          <w:rtl/>
        </w:rPr>
        <w:t xml:space="preserve"> במשנה הנ"ל נאמר שהיתה למודה לראות מטו' לטו' יום, ולכאורה בכה"ג לא קבעה לה ווסת משום שכל ראיותיה בימי זיבתה הן? </w:t>
      </w:r>
      <w:r w:rsidRPr="003B5D77">
        <w:rPr>
          <w:rFonts w:hint="cs"/>
          <w:sz w:val="18"/>
          <w:szCs w:val="18"/>
          <w:rtl/>
        </w:rPr>
        <w:t>משום כך פירש רב יוסף שהיתה למודה לראות מטו' לטו' לאחר טבילתה, כלומר מכב' יום לכב' יום ולכן אין זו ראייה בימי זיבה ושפיר קובעת ווסת.</w:t>
      </w:r>
    </w:p>
  </w:footnote>
  <w:footnote w:id="235">
    <w:p w:rsidR="005953C5" w:rsidRDefault="005953C5" w:rsidP="00620060">
      <w:pPr>
        <w:pStyle w:val="a3"/>
      </w:pPr>
      <w:r w:rsidRPr="00D26898">
        <w:rPr>
          <w:rStyle w:val="a5"/>
          <w:sz w:val="18"/>
          <w:szCs w:val="18"/>
        </w:rPr>
        <w:footnoteRef/>
      </w:r>
      <w:r w:rsidRPr="00D26898">
        <w:rPr>
          <w:sz w:val="18"/>
          <w:szCs w:val="18"/>
          <w:rtl/>
        </w:rPr>
        <w:t xml:space="preserve"> </w:t>
      </w:r>
      <w:r w:rsidRPr="00D26898">
        <w:rPr>
          <w:rFonts w:hint="cs"/>
          <w:b/>
          <w:bCs/>
          <w:sz w:val="18"/>
          <w:szCs w:val="18"/>
          <w:rtl/>
        </w:rPr>
        <w:t>רשב"א</w:t>
      </w:r>
      <w:r w:rsidRPr="00D26898">
        <w:rPr>
          <w:rFonts w:hint="cs"/>
          <w:sz w:val="18"/>
          <w:szCs w:val="18"/>
          <w:rtl/>
        </w:rPr>
        <w:t xml:space="preserve"> </w:t>
      </w:r>
      <w:r w:rsidRPr="00D26898">
        <w:rPr>
          <w:sz w:val="18"/>
          <w:szCs w:val="18"/>
          <w:rtl/>
        </w:rPr>
        <w:t>–</w:t>
      </w:r>
      <w:r w:rsidRPr="00D26898">
        <w:rPr>
          <w:rFonts w:hint="cs"/>
          <w:sz w:val="18"/>
          <w:szCs w:val="18"/>
          <w:rtl/>
        </w:rPr>
        <w:t xml:space="preserve"> מה שסובר ריש לקיש שאשה קובעת ווסת בימי זיבתה, היינו רק אם ראתה זאת ממע</w:t>
      </w:r>
      <w:r>
        <w:rPr>
          <w:rFonts w:hint="cs"/>
          <w:sz w:val="18"/>
          <w:szCs w:val="18"/>
          <w:rtl/>
        </w:rPr>
        <w:t>י</w:t>
      </w:r>
      <w:r w:rsidRPr="00D26898">
        <w:rPr>
          <w:rFonts w:hint="cs"/>
          <w:sz w:val="18"/>
          <w:szCs w:val="18"/>
          <w:rtl/>
        </w:rPr>
        <w:t>ין סתום, אך מודה ר"ל שאין אשה קובעת לה ווסת בימי זיבתה כאשר ראתה ממעיין פתוח.</w:t>
      </w:r>
      <w:r>
        <w:rPr>
          <w:rFonts w:hint="cs"/>
          <w:sz w:val="18"/>
          <w:szCs w:val="18"/>
          <w:rtl/>
        </w:rPr>
        <w:br/>
        <w:t xml:space="preserve">כגון </w:t>
      </w:r>
      <w:r>
        <w:rPr>
          <w:sz w:val="18"/>
          <w:szCs w:val="18"/>
          <w:rtl/>
        </w:rPr>
        <w:t>–</w:t>
      </w:r>
      <w:r>
        <w:rPr>
          <w:rFonts w:hint="cs"/>
          <w:sz w:val="18"/>
          <w:szCs w:val="18"/>
          <w:rtl/>
        </w:rPr>
        <w:t xml:space="preserve"> ראתה פעמיים בא' לחודש, ובפעם השלישית ראתה בכ' לחודש ובא' לחודש, בכה"ג הוי מעיין סתום בימי זיבה וקובעת ווסת.</w:t>
      </w:r>
      <w:r w:rsidRPr="00D26898">
        <w:rPr>
          <w:sz w:val="18"/>
          <w:szCs w:val="18"/>
          <w:rtl/>
        </w:rPr>
        <w:br/>
      </w:r>
      <w:r w:rsidRPr="00D26898">
        <w:rPr>
          <w:rFonts w:hint="cs"/>
          <w:b/>
          <w:bCs/>
          <w:sz w:val="18"/>
          <w:szCs w:val="18"/>
          <w:rtl/>
        </w:rPr>
        <w:t>בית יוסף</w:t>
      </w:r>
      <w:r w:rsidRPr="00D26898">
        <w:rPr>
          <w:rFonts w:hint="cs"/>
          <w:sz w:val="18"/>
          <w:szCs w:val="18"/>
          <w:rtl/>
        </w:rPr>
        <w:t xml:space="preserve"> </w:t>
      </w:r>
      <w:r w:rsidRPr="00D26898">
        <w:rPr>
          <w:sz w:val="18"/>
          <w:szCs w:val="18"/>
          <w:rtl/>
        </w:rPr>
        <w:t>–</w:t>
      </w:r>
      <w:r w:rsidRPr="00D26898">
        <w:rPr>
          <w:rFonts w:hint="cs"/>
          <w:sz w:val="18"/>
          <w:szCs w:val="18"/>
          <w:rtl/>
        </w:rPr>
        <w:t xml:space="preserve"> הרשב"א כתב זאת משום שמשמע שרבי יוחנן אינו חולק בכך ואע"פ שחולק על ר"ל בקביעת ווסת בימי נידתה, מכל מקום מודה שקובעת בימי זיבתה. ולכאורה לפי"ז יש מחלוקת בין רבי יוחנן לרב הונא </w:t>
      </w:r>
      <w:r w:rsidRPr="00193251">
        <w:rPr>
          <w:rFonts w:hint="cs"/>
          <w:sz w:val="16"/>
          <w:szCs w:val="16"/>
          <w:rtl/>
        </w:rPr>
        <w:t xml:space="preserve">(מקור א) </w:t>
      </w:r>
      <w:r w:rsidRPr="00D26898">
        <w:rPr>
          <w:rFonts w:hint="cs"/>
          <w:sz w:val="18"/>
          <w:szCs w:val="18"/>
          <w:rtl/>
        </w:rPr>
        <w:t>הסובר שאין אשה קובעת ווסת בימי זיבתה? ולכן יש לומר שרבי יוחנן מיירי דווקא במעיין סתום ובהא מודה רב הונא הנ"ל שקובעת ווסת.</w:t>
      </w:r>
    </w:p>
  </w:footnote>
  <w:footnote w:id="236">
    <w:p w:rsidR="005953C5" w:rsidRDefault="005953C5" w:rsidP="00620060">
      <w:pPr>
        <w:pStyle w:val="a3"/>
        <w:rPr>
          <w:rtl/>
        </w:rPr>
      </w:pPr>
      <w:r w:rsidRPr="005B3DE6">
        <w:rPr>
          <w:rStyle w:val="a5"/>
          <w:sz w:val="18"/>
          <w:szCs w:val="18"/>
        </w:rPr>
        <w:footnoteRef/>
      </w:r>
      <w:r w:rsidRPr="005B3DE6">
        <w:rPr>
          <w:sz w:val="18"/>
          <w:szCs w:val="18"/>
          <w:rtl/>
        </w:rPr>
        <w:t xml:space="preserve"> </w:t>
      </w:r>
      <w:r w:rsidRPr="005B3DE6">
        <w:rPr>
          <w:rFonts w:hint="cs"/>
          <w:sz w:val="18"/>
          <w:szCs w:val="18"/>
          <w:rtl/>
        </w:rPr>
        <w:t xml:space="preserve">ואמנם, הסבר זה נכון לשיטת רוב הראשונים למעט הרמב"ם. </w:t>
      </w:r>
      <w:r w:rsidRPr="005B3DE6">
        <w:rPr>
          <w:sz w:val="18"/>
          <w:szCs w:val="18"/>
          <w:rtl/>
        </w:rPr>
        <w:br/>
      </w:r>
      <w:r w:rsidRPr="005B3DE6">
        <w:rPr>
          <w:rFonts w:hint="cs"/>
          <w:sz w:val="18"/>
          <w:szCs w:val="18"/>
          <w:rtl/>
        </w:rPr>
        <w:t xml:space="preserve">כלומר </w:t>
      </w:r>
      <w:r w:rsidRPr="005B3DE6">
        <w:rPr>
          <w:sz w:val="18"/>
          <w:szCs w:val="18"/>
          <w:rtl/>
        </w:rPr>
        <w:t>–</w:t>
      </w:r>
      <w:r w:rsidRPr="005B3DE6">
        <w:rPr>
          <w:rFonts w:hint="cs"/>
          <w:sz w:val="18"/>
          <w:szCs w:val="18"/>
          <w:rtl/>
        </w:rPr>
        <w:t xml:space="preserve"> רוב הראשונים סוברים שימי זיבה באים לעולם סמוך לימי נידה </w:t>
      </w:r>
      <w:r w:rsidRPr="005B3DE6">
        <w:rPr>
          <w:rFonts w:hint="cs"/>
          <w:sz w:val="18"/>
          <w:szCs w:val="18"/>
          <w:u w:val="single"/>
          <w:rtl/>
        </w:rPr>
        <w:t>שראתה בהם</w:t>
      </w:r>
      <w:r w:rsidRPr="005B3DE6">
        <w:rPr>
          <w:rFonts w:hint="cs"/>
          <w:sz w:val="18"/>
          <w:szCs w:val="18"/>
          <w:rtl/>
        </w:rPr>
        <w:t>.</w:t>
      </w:r>
      <w:r w:rsidRPr="005B3DE6">
        <w:rPr>
          <w:sz w:val="18"/>
          <w:szCs w:val="18"/>
          <w:rtl/>
        </w:rPr>
        <w:br/>
      </w:r>
      <w:r w:rsidRPr="005B3DE6">
        <w:rPr>
          <w:rFonts w:hint="cs"/>
          <w:sz w:val="18"/>
          <w:szCs w:val="18"/>
          <w:rtl/>
        </w:rPr>
        <w:t xml:space="preserve">ברם, </w:t>
      </w:r>
      <w:r w:rsidRPr="00C01F27">
        <w:rPr>
          <w:rFonts w:hint="cs"/>
          <w:b/>
          <w:bCs/>
          <w:sz w:val="18"/>
          <w:szCs w:val="18"/>
          <w:rtl/>
        </w:rPr>
        <w:t>הרמב"ם</w:t>
      </w:r>
      <w:r w:rsidRPr="005B3DE6">
        <w:rPr>
          <w:rFonts w:hint="cs"/>
          <w:sz w:val="18"/>
          <w:szCs w:val="18"/>
          <w:rtl/>
        </w:rPr>
        <w:t xml:space="preserve"> סובר שלעולם מונה ימי נידה וימי זיבה, בין אם ראתה בימי נידה ובין אם לא ראתה, ולכן הדין כך - </w:t>
      </w:r>
      <w:r>
        <w:rPr>
          <w:rtl/>
        </w:rPr>
        <w:br/>
      </w:r>
      <w:r w:rsidRPr="00175BB3">
        <w:rPr>
          <w:rFonts w:hint="cs"/>
          <w:sz w:val="18"/>
          <w:szCs w:val="18"/>
          <w:rtl/>
        </w:rPr>
        <w:t xml:space="preserve">מעיין סתום </w:t>
      </w:r>
      <w:r w:rsidRPr="00175BB3">
        <w:rPr>
          <w:sz w:val="18"/>
          <w:szCs w:val="18"/>
          <w:rtl/>
        </w:rPr>
        <w:t>–</w:t>
      </w:r>
      <w:r w:rsidRPr="00175BB3">
        <w:rPr>
          <w:rFonts w:hint="cs"/>
          <w:sz w:val="18"/>
          <w:szCs w:val="18"/>
          <w:rtl/>
        </w:rPr>
        <w:t xml:space="preserve"> כל שלא ראתה בימי נידתה קובעת ווסת, כגון שראתה ביום א' לימי זיבתה.</w:t>
      </w:r>
      <w:r w:rsidRPr="00175BB3">
        <w:rPr>
          <w:sz w:val="18"/>
          <w:szCs w:val="18"/>
          <w:rtl/>
        </w:rPr>
        <w:br/>
      </w:r>
      <w:r w:rsidRPr="00175BB3">
        <w:rPr>
          <w:rFonts w:hint="cs"/>
          <w:sz w:val="18"/>
          <w:szCs w:val="18"/>
          <w:rtl/>
        </w:rPr>
        <w:t xml:space="preserve">מעיין פתוח </w:t>
      </w:r>
      <w:r w:rsidRPr="00175BB3">
        <w:rPr>
          <w:sz w:val="18"/>
          <w:szCs w:val="18"/>
          <w:rtl/>
        </w:rPr>
        <w:t>–</w:t>
      </w:r>
      <w:r w:rsidRPr="00175BB3">
        <w:rPr>
          <w:rFonts w:hint="cs"/>
          <w:sz w:val="18"/>
          <w:szCs w:val="18"/>
          <w:rtl/>
        </w:rPr>
        <w:t xml:space="preserve"> כל שראתה בימי נידתה, אינה קובעת לה ווסת נוסף עד סוף ימי זיבתה.</w:t>
      </w:r>
      <w:r w:rsidRPr="00175BB3">
        <w:rPr>
          <w:sz w:val="18"/>
          <w:szCs w:val="18"/>
          <w:rtl/>
        </w:rPr>
        <w:br/>
      </w:r>
      <w:r w:rsidRPr="00175BB3">
        <w:rPr>
          <w:rFonts w:hint="cs"/>
          <w:sz w:val="18"/>
          <w:szCs w:val="18"/>
          <w:rtl/>
        </w:rPr>
        <w:t xml:space="preserve">[כלומר </w:t>
      </w:r>
      <w:r w:rsidRPr="00175BB3">
        <w:rPr>
          <w:sz w:val="18"/>
          <w:szCs w:val="18"/>
          <w:rtl/>
        </w:rPr>
        <w:t>–</w:t>
      </w:r>
      <w:r w:rsidRPr="00175BB3">
        <w:rPr>
          <w:rFonts w:hint="cs"/>
          <w:sz w:val="18"/>
          <w:szCs w:val="18"/>
          <w:rtl/>
        </w:rPr>
        <w:t xml:space="preserve"> לעולם יש מחזור של 18 יום </w:t>
      </w:r>
      <w:r w:rsidRPr="00175BB3">
        <w:rPr>
          <w:rFonts w:hint="cs"/>
          <w:sz w:val="16"/>
          <w:szCs w:val="16"/>
          <w:rtl/>
        </w:rPr>
        <w:t>(7 ימי נידה + 11 ימי נידה)</w:t>
      </w:r>
      <w:r w:rsidRPr="00175BB3">
        <w:rPr>
          <w:rFonts w:hint="cs"/>
          <w:sz w:val="18"/>
          <w:szCs w:val="18"/>
          <w:rtl/>
        </w:rPr>
        <w:t>, אם ראתה באחד מהם בלבד הוי מעיין סתום, אך אם ראתה פעם נוספת באותם 18 יום אינה קובעת ווסת משום שזה נחשב מעיין פתוח].</w:t>
      </w:r>
      <w:r>
        <w:rPr>
          <w:rtl/>
        </w:rPr>
        <w:br/>
      </w:r>
    </w:p>
    <w:p w:rsidR="005953C5" w:rsidRDefault="005953C5" w:rsidP="00620060">
      <w:pPr>
        <w:pStyle w:val="a3"/>
        <w:rPr>
          <w:rtl/>
        </w:rPr>
      </w:pPr>
      <w:r w:rsidRPr="00F8798D">
        <w:rPr>
          <w:rFonts w:hint="cs"/>
          <w:b/>
          <w:bCs/>
          <w:sz w:val="18"/>
          <w:szCs w:val="18"/>
          <w:rtl/>
        </w:rPr>
        <w:t>רש"י</w:t>
      </w:r>
      <w:r w:rsidRPr="00F8798D">
        <w:rPr>
          <w:rFonts w:hint="cs"/>
          <w:sz w:val="18"/>
          <w:szCs w:val="18"/>
          <w:rtl/>
        </w:rPr>
        <w:t xml:space="preserve"> מביא הסבר נוסף למושגים אלו - </w:t>
      </w:r>
      <w:r w:rsidRPr="00F8798D">
        <w:rPr>
          <w:sz w:val="18"/>
          <w:szCs w:val="18"/>
          <w:rtl/>
        </w:rPr>
        <w:br/>
      </w:r>
      <w:r w:rsidRPr="00F8798D">
        <w:rPr>
          <w:rFonts w:hint="cs"/>
          <w:sz w:val="18"/>
          <w:szCs w:val="18"/>
          <w:rtl/>
        </w:rPr>
        <w:t xml:space="preserve">מעיין פתוח </w:t>
      </w:r>
      <w:r w:rsidRPr="00F8798D">
        <w:rPr>
          <w:sz w:val="18"/>
          <w:szCs w:val="18"/>
          <w:rtl/>
        </w:rPr>
        <w:t>–</w:t>
      </w:r>
      <w:r w:rsidRPr="00F8798D">
        <w:rPr>
          <w:rFonts w:hint="cs"/>
          <w:sz w:val="18"/>
          <w:szCs w:val="18"/>
          <w:rtl/>
        </w:rPr>
        <w:t xml:space="preserve"> ראתה א, ב, ג, ד לחודש הראשון, ובחודשיים הבאים ראתה רק בד' לחודש.</w:t>
      </w:r>
      <w:r w:rsidRPr="00F8798D">
        <w:rPr>
          <w:sz w:val="18"/>
          <w:szCs w:val="18"/>
          <w:rtl/>
        </w:rPr>
        <w:br/>
      </w:r>
      <w:r w:rsidRPr="00F8798D">
        <w:rPr>
          <w:rFonts w:hint="cs"/>
          <w:sz w:val="18"/>
          <w:szCs w:val="18"/>
          <w:rtl/>
        </w:rPr>
        <w:t xml:space="preserve">מעיין סתום </w:t>
      </w:r>
      <w:r w:rsidRPr="00F8798D">
        <w:rPr>
          <w:sz w:val="18"/>
          <w:szCs w:val="18"/>
          <w:rtl/>
        </w:rPr>
        <w:t>–</w:t>
      </w:r>
      <w:r w:rsidRPr="00F8798D">
        <w:rPr>
          <w:rFonts w:hint="cs"/>
          <w:sz w:val="18"/>
          <w:szCs w:val="18"/>
          <w:rtl/>
        </w:rPr>
        <w:t xml:space="preserve"> ראתה בא' ובד' </w:t>
      </w:r>
      <w:r w:rsidRPr="00F8798D">
        <w:rPr>
          <w:rFonts w:hint="cs"/>
          <w:sz w:val="16"/>
          <w:szCs w:val="16"/>
          <w:rtl/>
        </w:rPr>
        <w:t xml:space="preserve">(בלבד) </w:t>
      </w:r>
      <w:r w:rsidRPr="00F8798D">
        <w:rPr>
          <w:rFonts w:hint="cs"/>
          <w:sz w:val="18"/>
          <w:szCs w:val="18"/>
          <w:rtl/>
        </w:rPr>
        <w:t>לחודש הראשון, ואילו בחודשיים הבאים ראתה רק בד' לחודש.</w:t>
      </w:r>
      <w:r w:rsidRPr="00F8798D">
        <w:rPr>
          <w:sz w:val="18"/>
          <w:szCs w:val="18"/>
          <w:rtl/>
        </w:rPr>
        <w:br/>
      </w:r>
      <w:r w:rsidRPr="00F8798D">
        <w:rPr>
          <w:rFonts w:hint="cs"/>
          <w:sz w:val="18"/>
          <w:szCs w:val="18"/>
          <w:rtl/>
        </w:rPr>
        <w:t>וכותב רש"י שהוא מעדיף את הפירוש הראשון, כלומר הפירוש שכתוב בפנים.</w:t>
      </w:r>
    </w:p>
  </w:footnote>
  <w:footnote w:id="237">
    <w:p w:rsidR="005953C5" w:rsidRDefault="005953C5" w:rsidP="00620060">
      <w:pPr>
        <w:pStyle w:val="a3"/>
      </w:pPr>
      <w:r w:rsidRPr="00C22B68">
        <w:rPr>
          <w:rStyle w:val="a5"/>
          <w:sz w:val="18"/>
          <w:szCs w:val="18"/>
        </w:rPr>
        <w:footnoteRef/>
      </w:r>
      <w:r w:rsidRPr="00C22B68">
        <w:rPr>
          <w:sz w:val="18"/>
          <w:szCs w:val="18"/>
          <w:rtl/>
        </w:rPr>
        <w:t xml:space="preserve"> </w:t>
      </w:r>
      <w:r w:rsidRPr="00C22B68">
        <w:rPr>
          <w:rFonts w:hint="cs"/>
          <w:b/>
          <w:bCs/>
          <w:sz w:val="18"/>
          <w:szCs w:val="18"/>
          <w:rtl/>
        </w:rPr>
        <w:t>בית יוסף</w:t>
      </w:r>
      <w:r w:rsidRPr="00C22B68">
        <w:rPr>
          <w:rFonts w:hint="cs"/>
          <w:sz w:val="18"/>
          <w:szCs w:val="18"/>
          <w:rtl/>
        </w:rPr>
        <w:t xml:space="preserve"> </w:t>
      </w:r>
      <w:r w:rsidRPr="00C22B68">
        <w:rPr>
          <w:sz w:val="18"/>
          <w:szCs w:val="18"/>
          <w:rtl/>
        </w:rPr>
        <w:t>–</w:t>
      </w:r>
      <w:r w:rsidRPr="00C22B68">
        <w:rPr>
          <w:rFonts w:hint="cs"/>
          <w:sz w:val="18"/>
          <w:szCs w:val="18"/>
          <w:rtl/>
        </w:rPr>
        <w:t xml:space="preserve"> דעת </w:t>
      </w:r>
      <w:r w:rsidRPr="00C22B68">
        <w:rPr>
          <w:rFonts w:hint="cs"/>
          <w:b/>
          <w:bCs/>
          <w:sz w:val="18"/>
          <w:szCs w:val="18"/>
          <w:rtl/>
        </w:rPr>
        <w:t>הרמב"ן</w:t>
      </w:r>
      <w:r w:rsidRPr="00C22B68">
        <w:rPr>
          <w:rFonts w:hint="cs"/>
          <w:sz w:val="18"/>
          <w:szCs w:val="18"/>
          <w:rtl/>
        </w:rPr>
        <w:t xml:space="preserve"> שאינה קובעת ווסת בימי דם טוהר, וכפי שיבואר בסמוך. ברם, מכיוון שאיננו נוהגים דין דם טוהר ומטמאים אותו, ממילא קובעת ווסת באותם ימים </w:t>
      </w:r>
      <w:r w:rsidRPr="00C22B68">
        <w:rPr>
          <w:rFonts w:hint="cs"/>
          <w:sz w:val="16"/>
          <w:szCs w:val="16"/>
          <w:rtl/>
        </w:rPr>
        <w:t xml:space="preserve">(ובשם </w:t>
      </w:r>
      <w:r w:rsidRPr="00C22B68">
        <w:rPr>
          <w:rFonts w:hint="cs"/>
          <w:b/>
          <w:bCs/>
          <w:sz w:val="16"/>
          <w:szCs w:val="16"/>
          <w:rtl/>
        </w:rPr>
        <w:t>המגיד משנה</w:t>
      </w:r>
      <w:r w:rsidRPr="00C22B68">
        <w:rPr>
          <w:rFonts w:hint="cs"/>
          <w:sz w:val="16"/>
          <w:szCs w:val="16"/>
          <w:rtl/>
        </w:rPr>
        <w:t xml:space="preserve"> כתב שקובעת ווסת דווקא להחמיר).</w:t>
      </w:r>
    </w:p>
  </w:footnote>
  <w:footnote w:id="238">
    <w:p w:rsidR="005953C5" w:rsidRDefault="005953C5" w:rsidP="00620060">
      <w:pPr>
        <w:pStyle w:val="a3"/>
        <w:rPr>
          <w:rtl/>
        </w:rPr>
      </w:pPr>
      <w:r w:rsidRPr="00EC387F">
        <w:rPr>
          <w:rStyle w:val="a5"/>
          <w:sz w:val="18"/>
          <w:szCs w:val="18"/>
        </w:rPr>
        <w:footnoteRef/>
      </w:r>
      <w:r w:rsidRPr="00EC387F">
        <w:rPr>
          <w:sz w:val="18"/>
          <w:szCs w:val="18"/>
          <w:rtl/>
        </w:rPr>
        <w:t xml:space="preserve"> </w:t>
      </w:r>
      <w:r w:rsidRPr="00EC387F">
        <w:rPr>
          <w:rFonts w:hint="cs"/>
          <w:b/>
          <w:bCs/>
          <w:sz w:val="18"/>
          <w:szCs w:val="18"/>
          <w:rtl/>
        </w:rPr>
        <w:t>הבית יוסף</w:t>
      </w:r>
      <w:r w:rsidRPr="00EC387F">
        <w:rPr>
          <w:rFonts w:hint="cs"/>
          <w:sz w:val="18"/>
          <w:szCs w:val="18"/>
          <w:rtl/>
        </w:rPr>
        <w:t xml:space="preserve"> מביא את המשך דברי </w:t>
      </w:r>
      <w:r w:rsidRPr="00EC387F">
        <w:rPr>
          <w:rFonts w:hint="cs"/>
          <w:b/>
          <w:bCs/>
          <w:sz w:val="18"/>
          <w:szCs w:val="18"/>
          <w:rtl/>
        </w:rPr>
        <w:t>הרשב"א</w:t>
      </w:r>
      <w:r w:rsidRPr="00EC387F">
        <w:rPr>
          <w:rFonts w:hint="cs"/>
          <w:sz w:val="18"/>
          <w:szCs w:val="18"/>
          <w:rtl/>
        </w:rPr>
        <w:t xml:space="preserve"> שמוסיף לדחות את הוכחת </w:t>
      </w:r>
      <w:r w:rsidRPr="00EC387F">
        <w:rPr>
          <w:rFonts w:hint="cs"/>
          <w:b/>
          <w:bCs/>
          <w:sz w:val="18"/>
          <w:szCs w:val="18"/>
          <w:rtl/>
        </w:rPr>
        <w:t>הרמב"ן</w:t>
      </w:r>
      <w:r w:rsidRPr="00EC387F">
        <w:rPr>
          <w:rFonts w:hint="cs"/>
          <w:sz w:val="18"/>
          <w:szCs w:val="18"/>
          <w:rtl/>
        </w:rPr>
        <w:t xml:space="preserve"> - </w:t>
      </w:r>
      <w:r w:rsidRPr="00EC387F">
        <w:rPr>
          <w:sz w:val="18"/>
          <w:szCs w:val="18"/>
          <w:rtl/>
        </w:rPr>
        <w:br/>
      </w:r>
      <w:r w:rsidRPr="00EC387F">
        <w:rPr>
          <w:rFonts w:hint="cs"/>
          <w:sz w:val="18"/>
          <w:szCs w:val="18"/>
          <w:rtl/>
        </w:rPr>
        <w:t xml:space="preserve">הוכחת </w:t>
      </w:r>
      <w:r w:rsidRPr="00EC387F">
        <w:rPr>
          <w:rFonts w:hint="cs"/>
          <w:b/>
          <w:bCs/>
          <w:sz w:val="18"/>
          <w:szCs w:val="18"/>
          <w:rtl/>
        </w:rPr>
        <w:t>הרמב"ן</w:t>
      </w:r>
      <w:r w:rsidRPr="00EC387F">
        <w:rPr>
          <w:rFonts w:hint="cs"/>
          <w:sz w:val="18"/>
          <w:szCs w:val="18"/>
          <w:rtl/>
        </w:rPr>
        <w:t xml:space="preserve"> היא דווקא לאוקימתא ה</w:t>
      </w:r>
      <w:r>
        <w:rPr>
          <w:rFonts w:hint="cs"/>
          <w:sz w:val="18"/>
          <w:szCs w:val="18"/>
          <w:rtl/>
        </w:rPr>
        <w:t>שנייה ה</w:t>
      </w:r>
      <w:r w:rsidRPr="00EC387F">
        <w:rPr>
          <w:rFonts w:hint="cs"/>
          <w:sz w:val="18"/>
          <w:szCs w:val="18"/>
          <w:rtl/>
        </w:rPr>
        <w:t xml:space="preserve">נאמרת בדעת לוי, אך לדעת רב יש לפרש את המשנה </w:t>
      </w:r>
      <w:r>
        <w:rPr>
          <w:rFonts w:hint="cs"/>
          <w:sz w:val="18"/>
          <w:szCs w:val="18"/>
          <w:rtl/>
        </w:rPr>
        <w:t xml:space="preserve">כאוקימתא הראשונה שמדובר על </w:t>
      </w:r>
      <w:r w:rsidRPr="00EC387F">
        <w:rPr>
          <w:rFonts w:hint="cs"/>
          <w:sz w:val="18"/>
          <w:szCs w:val="18"/>
          <w:rtl/>
        </w:rPr>
        <w:t xml:space="preserve">מבקשת לישב על דם טוהר ולא ביושבת על דם טוהר ממש. </w:t>
      </w:r>
      <w:r>
        <w:rPr>
          <w:sz w:val="18"/>
          <w:szCs w:val="18"/>
          <w:rtl/>
        </w:rPr>
        <w:br/>
      </w:r>
      <w:r w:rsidRPr="00EC387F">
        <w:rPr>
          <w:rFonts w:hint="cs"/>
          <w:sz w:val="18"/>
          <w:szCs w:val="18"/>
          <w:rtl/>
        </w:rPr>
        <w:t xml:space="preserve">הגמרא מקשה על האוקימתא של לוי </w:t>
      </w:r>
      <w:r w:rsidRPr="00EC387F">
        <w:rPr>
          <w:rFonts w:hint="cs"/>
          <w:sz w:val="16"/>
          <w:szCs w:val="16"/>
          <w:rtl/>
        </w:rPr>
        <w:t>(שמדובר על יושבת על דם טוהר)</w:t>
      </w:r>
      <w:r w:rsidRPr="00EC387F">
        <w:rPr>
          <w:rFonts w:hint="cs"/>
          <w:sz w:val="18"/>
          <w:szCs w:val="18"/>
          <w:rtl/>
        </w:rPr>
        <w:t xml:space="preserve"> "מאי למימרא" משמע ש</w:t>
      </w:r>
      <w:r>
        <w:rPr>
          <w:rFonts w:hint="cs"/>
          <w:sz w:val="18"/>
          <w:szCs w:val="18"/>
          <w:rtl/>
        </w:rPr>
        <w:t xml:space="preserve">לדעת המקשן </w:t>
      </w:r>
      <w:r w:rsidRPr="00EC387F">
        <w:rPr>
          <w:rFonts w:hint="cs"/>
          <w:sz w:val="18"/>
          <w:szCs w:val="18"/>
          <w:rtl/>
        </w:rPr>
        <w:t>אין כלל חידוש בהעמדה זאת</w:t>
      </w:r>
      <w:r>
        <w:rPr>
          <w:rFonts w:hint="cs"/>
          <w:sz w:val="18"/>
          <w:szCs w:val="18"/>
          <w:rtl/>
        </w:rPr>
        <w:t>.</w:t>
      </w:r>
      <w:r w:rsidRPr="00EC387F">
        <w:rPr>
          <w:rFonts w:hint="cs"/>
          <w:sz w:val="18"/>
          <w:szCs w:val="18"/>
          <w:rtl/>
        </w:rPr>
        <w:t xml:space="preserve"> כלומר</w:t>
      </w:r>
      <w:r>
        <w:rPr>
          <w:rFonts w:hint="cs"/>
          <w:sz w:val="18"/>
          <w:szCs w:val="18"/>
          <w:rtl/>
        </w:rPr>
        <w:t>,</w:t>
      </w:r>
      <w:r w:rsidRPr="00EC387F">
        <w:rPr>
          <w:rFonts w:hint="cs"/>
          <w:sz w:val="18"/>
          <w:szCs w:val="18"/>
          <w:rtl/>
        </w:rPr>
        <w:t xml:space="preserve"> רב הסובר ש</w:t>
      </w:r>
      <w:r>
        <w:rPr>
          <w:rFonts w:hint="cs"/>
          <w:sz w:val="18"/>
          <w:szCs w:val="18"/>
          <w:rtl/>
        </w:rPr>
        <w:t>ה</w:t>
      </w:r>
      <w:r w:rsidRPr="00EC387F">
        <w:rPr>
          <w:rFonts w:hint="cs"/>
          <w:sz w:val="18"/>
          <w:szCs w:val="18"/>
          <w:rtl/>
        </w:rPr>
        <w:t>משנה מדברת במבקשת לישב על דם טוהר אינו סובר את החידוש של האוקימתא הסופית שאשה אינה קובעת ווסת בימי הנקה</w:t>
      </w:r>
      <w:r>
        <w:rPr>
          <w:rFonts w:hint="cs"/>
          <w:sz w:val="18"/>
          <w:szCs w:val="18"/>
          <w:rtl/>
        </w:rPr>
        <w:t>, ולכן הקשה עליה "מאי למימרא"</w:t>
      </w:r>
      <w:r w:rsidRPr="00EC387F">
        <w:rPr>
          <w:rFonts w:hint="cs"/>
          <w:sz w:val="18"/>
          <w:szCs w:val="18"/>
          <w:rtl/>
        </w:rPr>
        <w:t xml:space="preserve">. ולדינא קיי"ל כרב שמעיין אחד הוא, ממילא האוקימתא הראשונה היא הנכונה. </w:t>
      </w:r>
      <w:r>
        <w:rPr>
          <w:sz w:val="16"/>
          <w:szCs w:val="16"/>
          <w:rtl/>
        </w:rPr>
        <w:br/>
      </w:r>
      <w:r w:rsidRPr="00EC387F">
        <w:rPr>
          <w:rFonts w:hint="cs"/>
          <w:sz w:val="16"/>
          <w:szCs w:val="16"/>
          <w:rtl/>
        </w:rPr>
        <w:t xml:space="preserve">(ואע"פ שהגמרא שואלת לאחר המהלך האחרון </w:t>
      </w:r>
      <w:r w:rsidRPr="00EC387F">
        <w:rPr>
          <w:sz w:val="16"/>
          <w:szCs w:val="16"/>
          <w:rtl/>
        </w:rPr>
        <w:t>–</w:t>
      </w:r>
      <w:r w:rsidRPr="00EC387F">
        <w:rPr>
          <w:rFonts w:hint="cs"/>
          <w:sz w:val="16"/>
          <w:szCs w:val="16"/>
          <w:rtl/>
        </w:rPr>
        <w:t xml:space="preserve"> " הניחא ללוי... אלא לרב" ומשמע לכאורה שרב נצרך אף הוא לאוקימתא השנייה, אין זה אלא רק בדרך של את"ל, את"ל שהמשנה מדברת רק על יושבת על דם טוהר איכא קושייה על רב, אך האמת היא שרב מסביר את המשנה במבקשת לישב על דם טוהר).</w:t>
      </w:r>
    </w:p>
  </w:footnote>
  <w:footnote w:id="239">
    <w:p w:rsidR="005953C5" w:rsidRDefault="005953C5" w:rsidP="00620060">
      <w:pPr>
        <w:pStyle w:val="a3"/>
        <w:rPr>
          <w:rtl/>
        </w:rPr>
      </w:pPr>
      <w:r w:rsidRPr="000A46D1">
        <w:rPr>
          <w:rStyle w:val="a5"/>
          <w:sz w:val="18"/>
          <w:szCs w:val="18"/>
        </w:rPr>
        <w:footnoteRef/>
      </w:r>
      <w:r w:rsidRPr="000A46D1">
        <w:rPr>
          <w:sz w:val="18"/>
          <w:szCs w:val="18"/>
          <w:rtl/>
        </w:rPr>
        <w:t xml:space="preserve"> </w:t>
      </w:r>
      <w:r w:rsidRPr="000A46D1">
        <w:rPr>
          <w:rFonts w:hint="cs"/>
          <w:sz w:val="18"/>
          <w:szCs w:val="18"/>
          <w:rtl/>
        </w:rPr>
        <w:t>כך מבואר בסעיף א' כאן, וכן מבואר בסימן קפד' סעיף יא'.</w:t>
      </w:r>
    </w:p>
  </w:footnote>
  <w:footnote w:id="240">
    <w:p w:rsidR="005953C5" w:rsidRDefault="005953C5" w:rsidP="00620060">
      <w:pPr>
        <w:pStyle w:val="a3"/>
        <w:rPr>
          <w:rtl/>
        </w:rPr>
      </w:pPr>
      <w:r w:rsidRPr="00960345">
        <w:rPr>
          <w:rStyle w:val="a5"/>
          <w:sz w:val="18"/>
          <w:szCs w:val="18"/>
        </w:rPr>
        <w:footnoteRef/>
      </w:r>
      <w:r w:rsidRPr="00960345">
        <w:rPr>
          <w:sz w:val="18"/>
          <w:szCs w:val="18"/>
          <w:rtl/>
        </w:rPr>
        <w:t xml:space="preserve"> </w:t>
      </w:r>
      <w:r w:rsidRPr="00960345">
        <w:rPr>
          <w:rFonts w:hint="cs"/>
          <w:b/>
          <w:bCs/>
          <w:sz w:val="18"/>
          <w:szCs w:val="18"/>
          <w:rtl/>
        </w:rPr>
        <w:t>הרמב"ם</w:t>
      </w:r>
      <w:r w:rsidRPr="00960345">
        <w:rPr>
          <w:rFonts w:hint="cs"/>
          <w:sz w:val="18"/>
          <w:szCs w:val="18"/>
          <w:rtl/>
        </w:rPr>
        <w:t xml:space="preserve"> לא הזכיר כלל דין זה. המגיד משנה מעלה שתי אפשרויות לכך שהרמב"ם התעלם מסוגייה זו המפורשת בסמוך בראיות הרשב"א (ב).</w:t>
      </w:r>
      <w:r w:rsidRPr="00960345">
        <w:rPr>
          <w:sz w:val="18"/>
          <w:szCs w:val="18"/>
          <w:rtl/>
        </w:rPr>
        <w:br/>
      </w:r>
      <w:r w:rsidRPr="00960345">
        <w:rPr>
          <w:rFonts w:hint="cs"/>
          <w:sz w:val="18"/>
          <w:szCs w:val="18"/>
          <w:rtl/>
        </w:rPr>
        <w:t xml:space="preserve">א. הבעיא בגמרא היא לעניין טהרות בלבד, אך לגבי בעלה חוששת לווסתה עד שתעקור, </w:t>
      </w:r>
      <w:r w:rsidRPr="00960345">
        <w:rPr>
          <w:rFonts w:hint="cs"/>
          <w:b/>
          <w:bCs/>
          <w:sz w:val="18"/>
          <w:szCs w:val="18"/>
          <w:rtl/>
        </w:rPr>
        <w:t>כרז"ה</w:t>
      </w:r>
      <w:r w:rsidRPr="00960345">
        <w:rPr>
          <w:rFonts w:hint="cs"/>
          <w:sz w:val="18"/>
          <w:szCs w:val="18"/>
          <w:rtl/>
        </w:rPr>
        <w:t>.</w:t>
      </w:r>
      <w:r w:rsidRPr="00960345">
        <w:rPr>
          <w:sz w:val="18"/>
          <w:szCs w:val="18"/>
          <w:rtl/>
        </w:rPr>
        <w:br/>
      </w:r>
      <w:r w:rsidRPr="00960345">
        <w:rPr>
          <w:rFonts w:hint="cs"/>
          <w:sz w:val="18"/>
          <w:szCs w:val="18"/>
          <w:rtl/>
        </w:rPr>
        <w:t>ב. אין צריך בדיקה, אבל בשעת ווסתה חוששת היא ואסורה לבעלה.</w:t>
      </w:r>
    </w:p>
  </w:footnote>
  <w:footnote w:id="241">
    <w:p w:rsidR="005953C5" w:rsidRDefault="005953C5" w:rsidP="00620060">
      <w:pPr>
        <w:pStyle w:val="a3"/>
        <w:rPr>
          <w:rtl/>
        </w:rPr>
      </w:pPr>
      <w:r w:rsidRPr="00370D5B">
        <w:rPr>
          <w:rStyle w:val="a5"/>
          <w:sz w:val="18"/>
          <w:szCs w:val="18"/>
        </w:rPr>
        <w:footnoteRef/>
      </w:r>
      <w:r w:rsidRPr="00370D5B">
        <w:rPr>
          <w:sz w:val="18"/>
          <w:szCs w:val="18"/>
          <w:rtl/>
        </w:rPr>
        <w:t xml:space="preserve"> </w:t>
      </w:r>
      <w:r w:rsidRPr="00370D5B">
        <w:rPr>
          <w:rFonts w:hint="cs"/>
          <w:b/>
          <w:bCs/>
          <w:sz w:val="18"/>
          <w:szCs w:val="18"/>
          <w:rtl/>
        </w:rPr>
        <w:t>בית יוסף</w:t>
      </w:r>
      <w:r w:rsidRPr="00370D5B">
        <w:rPr>
          <w:rFonts w:hint="cs"/>
          <w:sz w:val="18"/>
          <w:szCs w:val="18"/>
          <w:rtl/>
        </w:rPr>
        <w:t xml:space="preserve"> </w:t>
      </w:r>
      <w:r w:rsidRPr="00370D5B">
        <w:rPr>
          <w:sz w:val="18"/>
          <w:szCs w:val="18"/>
          <w:rtl/>
        </w:rPr>
        <w:t>–</w:t>
      </w:r>
      <w:r w:rsidRPr="00370D5B">
        <w:rPr>
          <w:rFonts w:hint="cs"/>
          <w:sz w:val="18"/>
          <w:szCs w:val="18"/>
          <w:rtl/>
        </w:rPr>
        <w:t xml:space="preserve"> מלשון </w:t>
      </w:r>
      <w:r w:rsidRPr="00370D5B">
        <w:rPr>
          <w:rFonts w:hint="cs"/>
          <w:b/>
          <w:bCs/>
          <w:sz w:val="18"/>
          <w:szCs w:val="18"/>
          <w:rtl/>
        </w:rPr>
        <w:t>הטור</w:t>
      </w:r>
      <w:r w:rsidRPr="00370D5B">
        <w:rPr>
          <w:rFonts w:hint="cs"/>
          <w:sz w:val="18"/>
          <w:szCs w:val="18"/>
          <w:rtl/>
        </w:rPr>
        <w:t xml:space="preserve"> משמע שדין זה לא נאמר בווסת הגוף אלא בווסת המורכב, אך נראה שיש להגיה בדבריו ע"פ מה שכתב </w:t>
      </w:r>
      <w:r w:rsidRPr="00370D5B">
        <w:rPr>
          <w:rFonts w:hint="cs"/>
          <w:b/>
          <w:bCs/>
          <w:sz w:val="18"/>
          <w:szCs w:val="18"/>
          <w:rtl/>
        </w:rPr>
        <w:t>הרשב"א</w:t>
      </w:r>
      <w:r w:rsidRPr="00370D5B">
        <w:rPr>
          <w:rFonts w:hint="cs"/>
          <w:sz w:val="18"/>
          <w:szCs w:val="18"/>
          <w:rtl/>
        </w:rPr>
        <w:t xml:space="preserve"> בתורת הבית. </w:t>
      </w:r>
    </w:p>
  </w:footnote>
  <w:footnote w:id="242">
    <w:p w:rsidR="005953C5" w:rsidRDefault="005953C5" w:rsidP="00620060">
      <w:pPr>
        <w:pStyle w:val="a3"/>
      </w:pPr>
      <w:r w:rsidRPr="00AD065A">
        <w:rPr>
          <w:rStyle w:val="a5"/>
          <w:sz w:val="18"/>
          <w:szCs w:val="18"/>
        </w:rPr>
        <w:footnoteRef/>
      </w:r>
      <w:r w:rsidRPr="00AD065A">
        <w:rPr>
          <w:sz w:val="18"/>
          <w:szCs w:val="18"/>
          <w:rtl/>
        </w:rPr>
        <w:t xml:space="preserve"> </w:t>
      </w:r>
      <w:r w:rsidRPr="00AD065A">
        <w:rPr>
          <w:rFonts w:hint="cs"/>
          <w:sz w:val="18"/>
          <w:szCs w:val="18"/>
          <w:rtl/>
        </w:rPr>
        <w:t>ואין לדמותן לתינוקת וזקנה שרק לאחר ג' ראיות חוזרות לקביעות ווסתן, משום שהן מסולקות דמים בעצם, אך מעוברת ומניקה מסולקת דמים מחמת גורם, כאמור, ובהסתלק הגורם חוזרות לווסתן.</w:t>
      </w:r>
    </w:p>
  </w:footnote>
  <w:footnote w:id="243">
    <w:p w:rsidR="005953C5" w:rsidRDefault="005953C5" w:rsidP="00620060">
      <w:pPr>
        <w:pStyle w:val="a3"/>
        <w:rPr>
          <w:rtl/>
        </w:rPr>
      </w:pPr>
      <w:r w:rsidRPr="005E5A5C">
        <w:rPr>
          <w:rStyle w:val="a5"/>
          <w:sz w:val="18"/>
          <w:szCs w:val="18"/>
        </w:rPr>
        <w:footnoteRef/>
      </w:r>
      <w:r w:rsidRPr="005E5A5C">
        <w:rPr>
          <w:sz w:val="18"/>
          <w:szCs w:val="18"/>
          <w:rtl/>
        </w:rPr>
        <w:t xml:space="preserve"> </w:t>
      </w:r>
      <w:r w:rsidRPr="005E5A5C">
        <w:rPr>
          <w:rFonts w:hint="cs"/>
          <w:sz w:val="18"/>
          <w:szCs w:val="18"/>
          <w:rtl/>
        </w:rPr>
        <w:t>ובכך חמור דין מעוברת ומניקה מדין סתם אשה שפסקה לראות ג' עונות וחזרה לראות בעונה אחרת, שאינה חוששת לווסת הראשון אלא רק לראייה החדשה, אך מעוברת ומניקה חוששות לווסת ולראייה האחרונה.</w:t>
      </w:r>
      <w:r w:rsidRPr="005E5A5C">
        <w:rPr>
          <w:sz w:val="18"/>
          <w:szCs w:val="18"/>
          <w:rtl/>
        </w:rPr>
        <w:br/>
      </w:r>
      <w:r w:rsidRPr="005E5A5C">
        <w:rPr>
          <w:rFonts w:hint="cs"/>
          <w:sz w:val="18"/>
          <w:szCs w:val="18"/>
          <w:rtl/>
        </w:rPr>
        <w:t xml:space="preserve">והטעם </w:t>
      </w:r>
      <w:r w:rsidRPr="005E5A5C">
        <w:rPr>
          <w:sz w:val="18"/>
          <w:szCs w:val="18"/>
          <w:rtl/>
        </w:rPr>
        <w:t>–</w:t>
      </w:r>
      <w:r w:rsidRPr="005E5A5C">
        <w:rPr>
          <w:rFonts w:hint="cs"/>
          <w:sz w:val="18"/>
          <w:szCs w:val="18"/>
          <w:rtl/>
        </w:rPr>
        <w:t xml:space="preserve"> נשים אלו מסולקות דמים מחמת גורם, בהסתלק הגורם חוזרות לווסתן.</w:t>
      </w:r>
    </w:p>
  </w:footnote>
  <w:footnote w:id="244">
    <w:p w:rsidR="005953C5" w:rsidRDefault="005953C5" w:rsidP="00620060">
      <w:pPr>
        <w:pStyle w:val="a3"/>
      </w:pPr>
      <w:r w:rsidRPr="003D2996">
        <w:rPr>
          <w:rStyle w:val="a5"/>
          <w:sz w:val="18"/>
          <w:szCs w:val="18"/>
        </w:rPr>
        <w:footnoteRef/>
      </w:r>
      <w:r w:rsidRPr="003D2996">
        <w:rPr>
          <w:sz w:val="18"/>
          <w:szCs w:val="18"/>
          <w:rtl/>
        </w:rPr>
        <w:t xml:space="preserve"> </w:t>
      </w:r>
      <w:r w:rsidRPr="003D2996">
        <w:rPr>
          <w:rFonts w:hint="cs"/>
          <w:sz w:val="18"/>
          <w:szCs w:val="18"/>
          <w:rtl/>
        </w:rPr>
        <w:t xml:space="preserve">כלומר </w:t>
      </w:r>
      <w:r w:rsidRPr="003D2996">
        <w:rPr>
          <w:sz w:val="18"/>
          <w:szCs w:val="18"/>
          <w:rtl/>
        </w:rPr>
        <w:t>–</w:t>
      </w:r>
      <w:r w:rsidRPr="003D2996">
        <w:rPr>
          <w:rFonts w:hint="cs"/>
          <w:sz w:val="18"/>
          <w:szCs w:val="18"/>
          <w:rtl/>
        </w:rPr>
        <w:t xml:space="preserve"> אפילו אם הדם יצא מאותו מקום, עדיין יש להסתפק שמא הוא דם העלייה ולא דם החדר </w:t>
      </w:r>
      <w:r w:rsidRPr="003D2996">
        <w:rPr>
          <w:rFonts w:hint="cs"/>
          <w:sz w:val="16"/>
          <w:szCs w:val="16"/>
          <w:rtl/>
        </w:rPr>
        <w:t>(עיין גמ</w:t>
      </w:r>
      <w:r>
        <w:rPr>
          <w:rFonts w:hint="cs"/>
          <w:sz w:val="16"/>
          <w:szCs w:val="16"/>
          <w:rtl/>
        </w:rPr>
        <w:t>רא</w:t>
      </w:r>
      <w:r w:rsidRPr="003D2996">
        <w:rPr>
          <w:rFonts w:hint="cs"/>
          <w:sz w:val="16"/>
          <w:szCs w:val="16"/>
          <w:rtl/>
        </w:rPr>
        <w:t xml:space="preserve"> נדה יז:)</w:t>
      </w:r>
      <w:r w:rsidRPr="003D2996">
        <w:rPr>
          <w:rFonts w:hint="cs"/>
          <w:sz w:val="18"/>
          <w:szCs w:val="18"/>
          <w:rtl/>
        </w:rPr>
        <w:t>.</w:t>
      </w:r>
    </w:p>
  </w:footnote>
  <w:footnote w:id="245">
    <w:p w:rsidR="005953C5" w:rsidRDefault="005953C5" w:rsidP="00620060">
      <w:pPr>
        <w:pStyle w:val="a3"/>
      </w:pPr>
      <w:r w:rsidRPr="00D01007">
        <w:rPr>
          <w:rStyle w:val="a5"/>
          <w:sz w:val="18"/>
          <w:szCs w:val="18"/>
        </w:rPr>
        <w:footnoteRef/>
      </w:r>
      <w:r w:rsidRPr="00D01007">
        <w:rPr>
          <w:sz w:val="18"/>
          <w:szCs w:val="18"/>
          <w:rtl/>
        </w:rPr>
        <w:t xml:space="preserve"> </w:t>
      </w:r>
      <w:r w:rsidRPr="00D01007">
        <w:rPr>
          <w:rFonts w:hint="cs"/>
          <w:sz w:val="18"/>
          <w:szCs w:val="18"/>
          <w:rtl/>
        </w:rPr>
        <w:t>אך אם לא בדקה עצמה בביה"ש, יש לחשוש אפילו לשיעור ב' כתמים, שמא כתם אחד בא לה בביה"ש וחוששים לשני הימים, ממילא היא כזבה גדולה.</w:t>
      </w:r>
    </w:p>
  </w:footnote>
  <w:footnote w:id="246">
    <w:p w:rsidR="005953C5" w:rsidRDefault="005953C5" w:rsidP="00620060">
      <w:pPr>
        <w:pStyle w:val="a3"/>
        <w:rPr>
          <w:rtl/>
        </w:rPr>
      </w:pPr>
      <w:r w:rsidRPr="00C94B78">
        <w:rPr>
          <w:rStyle w:val="a5"/>
          <w:sz w:val="18"/>
          <w:szCs w:val="18"/>
        </w:rPr>
        <w:footnoteRef/>
      </w:r>
      <w:r w:rsidRPr="00C94B78">
        <w:rPr>
          <w:sz w:val="18"/>
          <w:szCs w:val="18"/>
          <w:rtl/>
        </w:rPr>
        <w:t xml:space="preserve"> </w:t>
      </w:r>
      <w:r w:rsidRPr="00C94B78">
        <w:rPr>
          <w:rFonts w:hint="cs"/>
          <w:b/>
          <w:bCs/>
          <w:sz w:val="18"/>
          <w:szCs w:val="18"/>
          <w:rtl/>
        </w:rPr>
        <w:t>הראב"ד</w:t>
      </w:r>
      <w:r w:rsidRPr="00C94B78">
        <w:rPr>
          <w:rFonts w:hint="cs"/>
          <w:sz w:val="18"/>
          <w:szCs w:val="18"/>
          <w:rtl/>
        </w:rPr>
        <w:t xml:space="preserve"> השיג על </w:t>
      </w:r>
      <w:r w:rsidRPr="00C94B78">
        <w:rPr>
          <w:rFonts w:hint="cs"/>
          <w:b/>
          <w:bCs/>
          <w:sz w:val="18"/>
          <w:szCs w:val="18"/>
          <w:rtl/>
        </w:rPr>
        <w:t>הרמב"ם</w:t>
      </w:r>
      <w:r w:rsidRPr="00C94B78">
        <w:rPr>
          <w:rFonts w:hint="cs"/>
          <w:sz w:val="18"/>
          <w:szCs w:val="18"/>
          <w:rtl/>
        </w:rPr>
        <w:t>, וזו לשונו: "</w:t>
      </w:r>
      <w:r w:rsidRPr="00C94B78">
        <w:rPr>
          <w:rFonts w:cs="Arial"/>
          <w:sz w:val="18"/>
          <w:szCs w:val="18"/>
          <w:rtl/>
        </w:rPr>
        <w:t>זה שבוש גדול וזהו שאמרנו כתמים צריכין הפסק טהרה ונקיים בעינן ואחר יום מציאה היא מונה</w:t>
      </w:r>
      <w:r w:rsidRPr="00C94B78">
        <w:rPr>
          <w:rFonts w:cs="Arial" w:hint="cs"/>
          <w:sz w:val="18"/>
          <w:szCs w:val="18"/>
          <w:rtl/>
        </w:rPr>
        <w:t xml:space="preserve">". ברור שהראב"ד משיג על כך שהרמב"ם סובר שיש למנות </w:t>
      </w:r>
      <w:r>
        <w:rPr>
          <w:rFonts w:cs="Arial" w:hint="cs"/>
          <w:sz w:val="18"/>
          <w:szCs w:val="18"/>
          <w:rtl/>
        </w:rPr>
        <w:t xml:space="preserve">רק </w:t>
      </w:r>
      <w:r w:rsidRPr="00C94B78">
        <w:rPr>
          <w:rFonts w:cs="Arial" w:hint="cs"/>
          <w:sz w:val="18"/>
          <w:szCs w:val="18"/>
          <w:rtl/>
        </w:rPr>
        <w:t>שישה והוא, אך במה שכתב הראב"ד שצריך הפסק טהרה לא מספיק מובן האם הרמב"ם חולק או שהרמב"ם מסכים לכך, וצ"ע.</w:t>
      </w:r>
    </w:p>
  </w:footnote>
  <w:footnote w:id="247">
    <w:p w:rsidR="005953C5" w:rsidRDefault="005953C5" w:rsidP="00620060">
      <w:pPr>
        <w:pStyle w:val="a3"/>
        <w:rPr>
          <w:rtl/>
        </w:rPr>
      </w:pPr>
      <w:r w:rsidRPr="0082499E">
        <w:rPr>
          <w:rStyle w:val="a5"/>
          <w:sz w:val="18"/>
          <w:szCs w:val="18"/>
        </w:rPr>
        <w:footnoteRef/>
      </w:r>
      <w:r w:rsidRPr="0082499E">
        <w:rPr>
          <w:sz w:val="18"/>
          <w:szCs w:val="18"/>
          <w:rtl/>
        </w:rPr>
        <w:t xml:space="preserve"> </w:t>
      </w:r>
      <w:r w:rsidRPr="0082499E">
        <w:rPr>
          <w:rFonts w:hint="cs"/>
          <w:sz w:val="18"/>
          <w:szCs w:val="18"/>
          <w:rtl/>
        </w:rPr>
        <w:t>והסיבה לכך היא, משום שאם יחלקו בין ראיית כתם בימי זיבה לראייה בימי נידה, נמצאת מצריך את הנשים למנות ימי נידה וימי זבה ויבואו להתקלקל.</w:t>
      </w:r>
    </w:p>
  </w:footnote>
  <w:footnote w:id="248">
    <w:p w:rsidR="005953C5" w:rsidRDefault="005953C5" w:rsidP="00620060">
      <w:pPr>
        <w:pStyle w:val="a3"/>
      </w:pPr>
      <w:r w:rsidRPr="003845CA">
        <w:rPr>
          <w:rStyle w:val="a5"/>
          <w:sz w:val="18"/>
          <w:szCs w:val="18"/>
        </w:rPr>
        <w:footnoteRef/>
      </w:r>
      <w:r w:rsidRPr="003845CA">
        <w:rPr>
          <w:sz w:val="18"/>
          <w:szCs w:val="18"/>
          <w:rtl/>
        </w:rPr>
        <w:t xml:space="preserve"> </w:t>
      </w:r>
      <w:r w:rsidRPr="003845CA">
        <w:rPr>
          <w:rFonts w:hint="cs"/>
          <w:sz w:val="18"/>
          <w:szCs w:val="18"/>
          <w:rtl/>
        </w:rPr>
        <w:t>הגר"א מציין שזהו מקור דברי המחבר בדין זה.</w:t>
      </w:r>
    </w:p>
  </w:footnote>
  <w:footnote w:id="249">
    <w:p w:rsidR="005953C5" w:rsidRDefault="005953C5" w:rsidP="00620060">
      <w:pPr>
        <w:pStyle w:val="a3"/>
      </w:pPr>
      <w:r w:rsidRPr="0015513B">
        <w:rPr>
          <w:rStyle w:val="a5"/>
          <w:sz w:val="18"/>
          <w:szCs w:val="18"/>
        </w:rPr>
        <w:footnoteRef/>
      </w:r>
      <w:r w:rsidRPr="0015513B">
        <w:rPr>
          <w:sz w:val="18"/>
          <w:szCs w:val="18"/>
          <w:rtl/>
        </w:rPr>
        <w:t xml:space="preserve"> </w:t>
      </w:r>
      <w:r w:rsidRPr="0015513B">
        <w:rPr>
          <w:rFonts w:hint="cs"/>
          <w:sz w:val="18"/>
          <w:szCs w:val="18"/>
          <w:rtl/>
        </w:rPr>
        <w:t xml:space="preserve">וכן פסקו כמעט כל האחרונים, עיין באריכות בדברי </w:t>
      </w:r>
      <w:r w:rsidRPr="0015513B">
        <w:rPr>
          <w:rFonts w:hint="cs"/>
          <w:b/>
          <w:bCs/>
          <w:sz w:val="18"/>
          <w:szCs w:val="18"/>
          <w:rtl/>
        </w:rPr>
        <w:t>טהרת הבית</w:t>
      </w:r>
      <w:r w:rsidRPr="0015513B">
        <w:rPr>
          <w:rFonts w:hint="cs"/>
          <w:sz w:val="18"/>
          <w:szCs w:val="18"/>
          <w:rtl/>
        </w:rPr>
        <w:t xml:space="preserve"> חלק א, סימן א' הערה ג. </w:t>
      </w:r>
      <w:r>
        <w:rPr>
          <w:sz w:val="18"/>
          <w:szCs w:val="18"/>
          <w:rtl/>
        </w:rPr>
        <w:br/>
      </w:r>
      <w:r w:rsidRPr="0015513B">
        <w:rPr>
          <w:rFonts w:hint="cs"/>
          <w:sz w:val="18"/>
          <w:szCs w:val="18"/>
          <w:rtl/>
        </w:rPr>
        <w:t xml:space="preserve">ואעפ"כ כתב </w:t>
      </w:r>
      <w:r w:rsidRPr="0015513B">
        <w:rPr>
          <w:rFonts w:hint="cs"/>
          <w:b/>
          <w:bCs/>
          <w:sz w:val="18"/>
          <w:szCs w:val="18"/>
          <w:rtl/>
        </w:rPr>
        <w:t>הציץ אליעזר</w:t>
      </w:r>
      <w:r w:rsidRPr="0015513B">
        <w:rPr>
          <w:rFonts w:hint="cs"/>
          <w:sz w:val="18"/>
          <w:szCs w:val="18"/>
          <w:rtl/>
        </w:rPr>
        <w:t xml:space="preserve"> שאין לומר שבימינו שאינן מרגישות יהיו כולן טמאות רק מדרבנן אפילו כששופעות דם בראייתן החודשית, אלא מסתבר לומר שהרגישה ולאו אדעתא, ולכן </w:t>
      </w:r>
      <w:r>
        <w:rPr>
          <w:rFonts w:hint="cs"/>
          <w:sz w:val="18"/>
          <w:szCs w:val="18"/>
          <w:rtl/>
        </w:rPr>
        <w:t>טמאה</w:t>
      </w:r>
      <w:r w:rsidRPr="0015513B">
        <w:rPr>
          <w:rFonts w:hint="cs"/>
          <w:sz w:val="18"/>
          <w:szCs w:val="18"/>
          <w:rtl/>
        </w:rPr>
        <w:t xml:space="preserve"> מדאורייתא.</w:t>
      </w:r>
    </w:p>
  </w:footnote>
  <w:footnote w:id="250">
    <w:p w:rsidR="005953C5" w:rsidRDefault="005953C5" w:rsidP="00620060">
      <w:pPr>
        <w:pStyle w:val="a3"/>
        <w:rPr>
          <w:rtl/>
        </w:rPr>
      </w:pPr>
      <w:r w:rsidRPr="0059323D">
        <w:rPr>
          <w:rStyle w:val="a5"/>
          <w:sz w:val="18"/>
          <w:szCs w:val="18"/>
        </w:rPr>
        <w:footnoteRef/>
      </w:r>
      <w:r w:rsidRPr="0059323D">
        <w:rPr>
          <w:sz w:val="18"/>
          <w:szCs w:val="18"/>
          <w:rtl/>
        </w:rPr>
        <w:t xml:space="preserve"> </w:t>
      </w:r>
      <w:r w:rsidRPr="0059323D">
        <w:rPr>
          <w:rFonts w:hint="cs"/>
          <w:sz w:val="18"/>
          <w:szCs w:val="18"/>
          <w:rtl/>
        </w:rPr>
        <w:t>זו לשונו לקמן</w:t>
      </w:r>
      <w:r>
        <w:rPr>
          <w:rFonts w:hint="cs"/>
          <w:sz w:val="18"/>
          <w:szCs w:val="18"/>
          <w:rtl/>
        </w:rPr>
        <w:t xml:space="preserve"> </w:t>
      </w:r>
      <w:r w:rsidRPr="003D2996">
        <w:rPr>
          <w:rFonts w:hint="cs"/>
          <w:sz w:val="16"/>
          <w:szCs w:val="16"/>
          <w:rtl/>
        </w:rPr>
        <w:t xml:space="preserve">(סעיף יא') </w:t>
      </w:r>
      <w:r w:rsidRPr="0059323D">
        <w:rPr>
          <w:sz w:val="18"/>
          <w:szCs w:val="18"/>
          <w:rtl/>
        </w:rPr>
        <w:t>–</w:t>
      </w:r>
      <w:r w:rsidRPr="0059323D">
        <w:rPr>
          <w:rFonts w:hint="cs"/>
          <w:sz w:val="18"/>
          <w:szCs w:val="18"/>
          <w:rtl/>
        </w:rPr>
        <w:t xml:space="preserve"> "</w:t>
      </w:r>
      <w:r w:rsidRPr="0059323D">
        <w:rPr>
          <w:rFonts w:cs="Arial"/>
          <w:sz w:val="18"/>
          <w:szCs w:val="18"/>
          <w:rtl/>
        </w:rPr>
        <w:t>וכל אשה שרואה, אפילו כתם, צריכה להמתין ה' ימים עם יום שראתה בו ותפסוק לעת ערב ותספור ז' נקיים וכן נוהגין במדינות אלו ואין לשנות</w:t>
      </w:r>
      <w:r w:rsidRPr="0059323D">
        <w:rPr>
          <w:rFonts w:cs="Arial" w:hint="cs"/>
          <w:sz w:val="18"/>
          <w:szCs w:val="18"/>
          <w:rtl/>
        </w:rPr>
        <w:t>".</w:t>
      </w:r>
    </w:p>
  </w:footnote>
  <w:footnote w:id="251">
    <w:p w:rsidR="005953C5" w:rsidRDefault="005953C5" w:rsidP="00620060">
      <w:pPr>
        <w:pStyle w:val="a3"/>
      </w:pPr>
      <w:r w:rsidRPr="000C3EB4">
        <w:rPr>
          <w:rStyle w:val="a5"/>
          <w:sz w:val="18"/>
          <w:szCs w:val="18"/>
        </w:rPr>
        <w:footnoteRef/>
      </w:r>
      <w:r w:rsidRPr="000C3EB4">
        <w:rPr>
          <w:sz w:val="18"/>
          <w:szCs w:val="18"/>
          <w:rtl/>
        </w:rPr>
        <w:t xml:space="preserve"> </w:t>
      </w:r>
      <w:r>
        <w:rPr>
          <w:rFonts w:hint="cs"/>
          <w:sz w:val="18"/>
          <w:szCs w:val="18"/>
          <w:rtl/>
        </w:rPr>
        <w:t>א. כ</w:t>
      </w:r>
      <w:r w:rsidRPr="000C3EB4">
        <w:rPr>
          <w:rFonts w:hint="cs"/>
          <w:sz w:val="18"/>
          <w:szCs w:val="18"/>
          <w:rtl/>
        </w:rPr>
        <w:t xml:space="preserve">ך נאמר להדיא בדף טז. ואמנם, נאמר שם שאם בדקה עצמה </w:t>
      </w:r>
      <w:r w:rsidRPr="001E329B">
        <w:rPr>
          <w:rFonts w:hint="cs"/>
          <w:sz w:val="18"/>
          <w:szCs w:val="18"/>
          <w:u w:val="single"/>
          <w:rtl/>
        </w:rPr>
        <w:t>מייד</w:t>
      </w:r>
      <w:r w:rsidRPr="000C3EB4">
        <w:rPr>
          <w:rFonts w:hint="cs"/>
          <w:sz w:val="18"/>
          <w:szCs w:val="18"/>
          <w:rtl/>
        </w:rPr>
        <w:t xml:space="preserve"> אינה טמאה, ונראה שהוא הדין כאן שאם בדקה עצמה מייד אינה טמאה, וכך יש לדייק גם מלשון </w:t>
      </w:r>
      <w:r w:rsidRPr="000C3EB4">
        <w:rPr>
          <w:rFonts w:hint="cs"/>
          <w:b/>
          <w:bCs/>
          <w:sz w:val="18"/>
          <w:szCs w:val="18"/>
          <w:rtl/>
        </w:rPr>
        <w:t>תרומת הדשן</w:t>
      </w:r>
      <w:r w:rsidRPr="000C3EB4">
        <w:rPr>
          <w:rFonts w:hint="cs"/>
          <w:sz w:val="18"/>
          <w:szCs w:val="18"/>
          <w:rtl/>
        </w:rPr>
        <w:t xml:space="preserve"> שכתב "ובדקה אחר כך", וכך העתיק גם </w:t>
      </w:r>
      <w:r w:rsidRPr="000C3EB4">
        <w:rPr>
          <w:rFonts w:hint="cs"/>
          <w:b/>
          <w:bCs/>
          <w:sz w:val="18"/>
          <w:szCs w:val="18"/>
          <w:rtl/>
        </w:rPr>
        <w:t>המחבר</w:t>
      </w:r>
      <w:r w:rsidRPr="000C3EB4">
        <w:rPr>
          <w:rFonts w:hint="cs"/>
          <w:sz w:val="18"/>
          <w:szCs w:val="18"/>
          <w:rtl/>
        </w:rPr>
        <w:t>.</w:t>
      </w:r>
      <w:r>
        <w:rPr>
          <w:rFonts w:hint="cs"/>
          <w:rtl/>
        </w:rPr>
        <w:br/>
      </w:r>
      <w:r>
        <w:rPr>
          <w:rFonts w:hint="cs"/>
          <w:sz w:val="18"/>
          <w:szCs w:val="18"/>
          <w:rtl/>
        </w:rPr>
        <w:t xml:space="preserve">ב. </w:t>
      </w:r>
      <w:r w:rsidRPr="00FE27FE">
        <w:rPr>
          <w:rFonts w:hint="cs"/>
          <w:b/>
          <w:bCs/>
          <w:sz w:val="18"/>
          <w:szCs w:val="18"/>
          <w:rtl/>
        </w:rPr>
        <w:t>הדרכי משה</w:t>
      </w:r>
      <w:r w:rsidRPr="00A371E9">
        <w:rPr>
          <w:rFonts w:hint="cs"/>
          <w:sz w:val="18"/>
          <w:szCs w:val="18"/>
          <w:rtl/>
        </w:rPr>
        <w:t xml:space="preserve"> </w:t>
      </w:r>
      <w:r w:rsidRPr="00A371E9">
        <w:rPr>
          <w:rFonts w:hint="cs"/>
          <w:sz w:val="16"/>
          <w:szCs w:val="16"/>
          <w:rtl/>
        </w:rPr>
        <w:t xml:space="preserve">(בסימן קפח, ב) </w:t>
      </w:r>
      <w:r w:rsidRPr="00A371E9">
        <w:rPr>
          <w:rFonts w:hint="cs"/>
          <w:sz w:val="18"/>
          <w:szCs w:val="18"/>
          <w:rtl/>
        </w:rPr>
        <w:t xml:space="preserve">דוחה את ראיית </w:t>
      </w:r>
      <w:r w:rsidRPr="00A371E9">
        <w:rPr>
          <w:rFonts w:hint="cs"/>
          <w:b/>
          <w:bCs/>
          <w:sz w:val="18"/>
          <w:szCs w:val="18"/>
          <w:rtl/>
        </w:rPr>
        <w:t>תרומת הדשן</w:t>
      </w:r>
      <w:r w:rsidRPr="00A371E9">
        <w:rPr>
          <w:rFonts w:hint="cs"/>
          <w:sz w:val="18"/>
          <w:szCs w:val="18"/>
          <w:rtl/>
        </w:rPr>
        <w:t xml:space="preserve">, משום שבגמרא הנ"ל </w:t>
      </w:r>
      <w:r>
        <w:rPr>
          <w:rFonts w:hint="cs"/>
          <w:sz w:val="18"/>
          <w:szCs w:val="18"/>
          <w:rtl/>
        </w:rPr>
        <w:t>מדובר</w:t>
      </w:r>
      <w:r w:rsidRPr="00A371E9">
        <w:rPr>
          <w:rFonts w:hint="cs"/>
          <w:sz w:val="18"/>
          <w:szCs w:val="18"/>
          <w:rtl/>
        </w:rPr>
        <w:t xml:space="preserve"> </w:t>
      </w:r>
      <w:r>
        <w:rPr>
          <w:rFonts w:hint="cs"/>
          <w:sz w:val="18"/>
          <w:szCs w:val="18"/>
          <w:rtl/>
        </w:rPr>
        <w:t>ש</w:t>
      </w:r>
      <w:r w:rsidRPr="00A371E9">
        <w:rPr>
          <w:rFonts w:hint="cs"/>
          <w:sz w:val="18"/>
          <w:szCs w:val="18"/>
          <w:rtl/>
        </w:rPr>
        <w:t>מצאה דם!</w:t>
      </w:r>
      <w:r>
        <w:rPr>
          <w:rFonts w:hint="cs"/>
          <w:sz w:val="18"/>
          <w:szCs w:val="18"/>
          <w:rtl/>
        </w:rPr>
        <w:t xml:space="preserve"> </w:t>
      </w:r>
      <w:r w:rsidRPr="00A371E9">
        <w:rPr>
          <w:rFonts w:hint="cs"/>
          <w:sz w:val="18"/>
          <w:szCs w:val="18"/>
          <w:rtl/>
        </w:rPr>
        <w:t>ועוד, לא נמצא בשום פוסק שכתב כדברי ת"ה האלו. ואמנם, למרות שבדרכי משה דחה דין זה, מכל מקום לא הגיה מאומה על דברי המחבר.</w:t>
      </w:r>
    </w:p>
  </w:footnote>
  <w:footnote w:id="252">
    <w:p w:rsidR="005953C5" w:rsidRPr="006E3C76" w:rsidRDefault="005953C5" w:rsidP="00620060">
      <w:pPr>
        <w:pStyle w:val="a3"/>
        <w:rPr>
          <w:sz w:val="18"/>
          <w:szCs w:val="18"/>
        </w:rPr>
      </w:pPr>
      <w:r w:rsidRPr="006E3C76">
        <w:rPr>
          <w:rStyle w:val="a5"/>
          <w:sz w:val="18"/>
          <w:szCs w:val="18"/>
        </w:rPr>
        <w:footnoteRef/>
      </w:r>
      <w:r w:rsidRPr="006E3C76">
        <w:rPr>
          <w:sz w:val="18"/>
          <w:szCs w:val="18"/>
          <w:rtl/>
        </w:rPr>
        <w:t xml:space="preserve"> </w:t>
      </w:r>
      <w:r w:rsidRPr="006E3C76">
        <w:rPr>
          <w:rFonts w:hint="cs"/>
          <w:b/>
          <w:bCs/>
          <w:sz w:val="18"/>
          <w:szCs w:val="18"/>
          <w:rtl/>
        </w:rPr>
        <w:t>תוה"ש</w:t>
      </w:r>
      <w:r>
        <w:rPr>
          <w:rFonts w:hint="cs"/>
          <w:sz w:val="18"/>
          <w:szCs w:val="18"/>
          <w:rtl/>
        </w:rPr>
        <w:t xml:space="preserve"> </w:t>
      </w:r>
      <w:r>
        <w:rPr>
          <w:sz w:val="18"/>
          <w:szCs w:val="18"/>
          <w:rtl/>
        </w:rPr>
        <w:t>–</w:t>
      </w:r>
      <w:r>
        <w:rPr>
          <w:rFonts w:hint="cs"/>
          <w:sz w:val="18"/>
          <w:szCs w:val="18"/>
          <w:rtl/>
        </w:rPr>
        <w:t xml:space="preserve"> אע"פ </w:t>
      </w:r>
      <w:r w:rsidRPr="006E3C76">
        <w:rPr>
          <w:rFonts w:hint="cs"/>
          <w:b/>
          <w:bCs/>
          <w:sz w:val="18"/>
          <w:szCs w:val="18"/>
          <w:rtl/>
        </w:rPr>
        <w:t>שהבית יוסף</w:t>
      </w:r>
      <w:r>
        <w:rPr>
          <w:rFonts w:hint="cs"/>
          <w:sz w:val="18"/>
          <w:szCs w:val="18"/>
          <w:rtl/>
        </w:rPr>
        <w:t xml:space="preserve"> לא הביא דעה חולקת, כך היא דרכו לכתוב זאת בלשון 'יש מי שאומר' משום שלא מצא דין זה מפורש בפוסקים נוספים.</w:t>
      </w:r>
    </w:p>
  </w:footnote>
  <w:footnote w:id="253">
    <w:p w:rsidR="005953C5" w:rsidRDefault="005953C5" w:rsidP="00620060">
      <w:pPr>
        <w:pStyle w:val="a3"/>
      </w:pPr>
      <w:r w:rsidRPr="00465675">
        <w:rPr>
          <w:rStyle w:val="a5"/>
          <w:sz w:val="18"/>
          <w:szCs w:val="18"/>
        </w:rPr>
        <w:footnoteRef/>
      </w:r>
      <w:r w:rsidRPr="00465675">
        <w:rPr>
          <w:sz w:val="18"/>
          <w:szCs w:val="18"/>
          <w:rtl/>
        </w:rPr>
        <w:t xml:space="preserve"> </w:t>
      </w:r>
      <w:r w:rsidRPr="00465675">
        <w:rPr>
          <w:rFonts w:hint="cs"/>
          <w:sz w:val="18"/>
          <w:szCs w:val="18"/>
          <w:rtl/>
        </w:rPr>
        <w:t xml:space="preserve">זו לשון </w:t>
      </w:r>
      <w:r w:rsidRPr="0022543E">
        <w:rPr>
          <w:rFonts w:hint="cs"/>
          <w:b/>
          <w:bCs/>
          <w:sz w:val="18"/>
          <w:szCs w:val="18"/>
          <w:rtl/>
        </w:rPr>
        <w:t>הרדב"ז</w:t>
      </w:r>
      <w:r w:rsidRPr="00465675">
        <w:rPr>
          <w:rFonts w:hint="cs"/>
          <w:sz w:val="18"/>
          <w:szCs w:val="18"/>
          <w:rtl/>
        </w:rPr>
        <w:t xml:space="preserve"> </w:t>
      </w:r>
      <w:r w:rsidRPr="0022543E">
        <w:rPr>
          <w:rFonts w:hint="cs"/>
          <w:sz w:val="16"/>
          <w:szCs w:val="16"/>
          <w:rtl/>
        </w:rPr>
        <w:t>(שו"ת</w:t>
      </w:r>
      <w:r>
        <w:rPr>
          <w:rFonts w:hint="cs"/>
          <w:sz w:val="16"/>
          <w:szCs w:val="16"/>
          <w:rtl/>
        </w:rPr>
        <w:t xml:space="preserve"> רדב"ז</w:t>
      </w:r>
      <w:r w:rsidRPr="0022543E">
        <w:rPr>
          <w:rFonts w:hint="cs"/>
          <w:sz w:val="16"/>
          <w:szCs w:val="16"/>
          <w:rtl/>
        </w:rPr>
        <w:t xml:space="preserve">, ח"א סימן קמט) </w:t>
      </w:r>
      <w:r>
        <w:rPr>
          <w:rFonts w:hint="cs"/>
          <w:sz w:val="18"/>
          <w:szCs w:val="18"/>
          <w:rtl/>
        </w:rPr>
        <w:t>-</w:t>
      </w:r>
      <w:r w:rsidRPr="00465675">
        <w:rPr>
          <w:rFonts w:hint="cs"/>
          <w:sz w:val="18"/>
          <w:szCs w:val="18"/>
          <w:rtl/>
        </w:rPr>
        <w:t xml:space="preserve"> "</w:t>
      </w:r>
      <w:r>
        <w:rPr>
          <w:rFonts w:cs="Arial" w:hint="cs"/>
          <w:sz w:val="18"/>
          <w:szCs w:val="18"/>
          <w:rtl/>
        </w:rPr>
        <w:t>ו</w:t>
      </w:r>
      <w:r w:rsidRPr="00465675">
        <w:rPr>
          <w:rFonts w:cs="Arial"/>
          <w:sz w:val="18"/>
          <w:szCs w:val="18"/>
          <w:rtl/>
        </w:rPr>
        <w:t>אני אומר כי המקיים חומרא זו עובר משום נשי עמי תגרשון מבית תענוגיה ומבטל מצות עונה</w:t>
      </w:r>
      <w:r w:rsidRPr="00465675">
        <w:rPr>
          <w:rFonts w:hint="cs"/>
          <w:sz w:val="18"/>
          <w:szCs w:val="18"/>
          <w:rtl/>
        </w:rPr>
        <w:t>".</w:t>
      </w:r>
      <w:r>
        <w:rPr>
          <w:rFonts w:hint="cs"/>
          <w:rtl/>
        </w:rPr>
        <w:t xml:space="preserve"> </w:t>
      </w:r>
      <w:r w:rsidRPr="0022543E">
        <w:rPr>
          <w:rFonts w:hint="cs"/>
          <w:sz w:val="18"/>
          <w:szCs w:val="18"/>
          <w:rtl/>
        </w:rPr>
        <w:t>ועיין שם בלשון השאלה שהרדב"ז מתייחס גם לאופן שבו מצאה מראה לבן סמיך ועב.</w:t>
      </w:r>
    </w:p>
  </w:footnote>
  <w:footnote w:id="254">
    <w:p w:rsidR="005953C5" w:rsidRDefault="005953C5" w:rsidP="00620060">
      <w:pPr>
        <w:pStyle w:val="a3"/>
      </w:pPr>
      <w:r w:rsidRPr="0000046B">
        <w:rPr>
          <w:rStyle w:val="a5"/>
          <w:sz w:val="18"/>
          <w:szCs w:val="18"/>
        </w:rPr>
        <w:footnoteRef/>
      </w:r>
      <w:r w:rsidRPr="0000046B">
        <w:rPr>
          <w:sz w:val="18"/>
          <w:szCs w:val="18"/>
          <w:rtl/>
        </w:rPr>
        <w:t xml:space="preserve"> </w:t>
      </w:r>
      <w:r w:rsidRPr="0000046B">
        <w:rPr>
          <w:rFonts w:hint="cs"/>
          <w:sz w:val="18"/>
          <w:szCs w:val="18"/>
          <w:rtl/>
        </w:rPr>
        <w:t xml:space="preserve">ואפילו אם לא קבעה ווסת בכה"ג, כגון שראתה בהפלגות שאינה קובעת בפחות מד' ראיות, אפ"ה כתמה טמא. </w:t>
      </w:r>
      <w:r>
        <w:rPr>
          <w:sz w:val="18"/>
          <w:szCs w:val="18"/>
          <w:rtl/>
        </w:rPr>
        <w:br/>
      </w:r>
      <w:r w:rsidRPr="0000046B">
        <w:rPr>
          <w:rFonts w:hint="cs"/>
          <w:sz w:val="18"/>
          <w:szCs w:val="18"/>
          <w:rtl/>
        </w:rPr>
        <w:t>טעם הדין הוא, משום שדין ווסת אינו תלוי בדין מוחזקת בראיות, ולמרות שלא קבעה ווסת מכל מקום מוחזקת כרואה מחמת ג' ראיותיה.</w:t>
      </w:r>
      <w:r>
        <w:rPr>
          <w:rFonts w:hint="cs"/>
          <w:sz w:val="18"/>
          <w:szCs w:val="18"/>
          <w:rtl/>
        </w:rPr>
        <w:t xml:space="preserve"> </w:t>
      </w:r>
      <w:r w:rsidRPr="0000046B">
        <w:rPr>
          <w:rFonts w:hint="cs"/>
          <w:sz w:val="18"/>
          <w:szCs w:val="18"/>
          <w:rtl/>
        </w:rPr>
        <w:t>ומ</w:t>
      </w:r>
      <w:r>
        <w:rPr>
          <w:rFonts w:hint="cs"/>
          <w:sz w:val="18"/>
          <w:szCs w:val="18"/>
          <w:rtl/>
        </w:rPr>
        <w:t>שום כך,</w:t>
      </w:r>
      <w:r w:rsidRPr="0000046B">
        <w:rPr>
          <w:rFonts w:hint="cs"/>
          <w:sz w:val="18"/>
          <w:szCs w:val="18"/>
          <w:rtl/>
        </w:rPr>
        <w:t xml:space="preserve"> לא נחלקו חזקיה ורבי יוחנן בכתם שבין שלישית לרביעית, </w:t>
      </w:r>
      <w:r w:rsidRPr="0000046B">
        <w:rPr>
          <w:rFonts w:hint="cs"/>
          <w:b/>
          <w:bCs/>
          <w:sz w:val="18"/>
          <w:szCs w:val="18"/>
          <w:rtl/>
        </w:rPr>
        <w:t>בית יוסף</w:t>
      </w:r>
      <w:r w:rsidRPr="0000046B">
        <w:rPr>
          <w:rFonts w:hint="cs"/>
          <w:sz w:val="18"/>
          <w:szCs w:val="18"/>
          <w:rtl/>
        </w:rPr>
        <w:t>.</w:t>
      </w:r>
    </w:p>
  </w:footnote>
  <w:footnote w:id="255">
    <w:p w:rsidR="005953C5" w:rsidRDefault="005953C5" w:rsidP="00620060">
      <w:pPr>
        <w:pStyle w:val="a3"/>
      </w:pPr>
      <w:r w:rsidRPr="00BB6FA7">
        <w:rPr>
          <w:rStyle w:val="a5"/>
          <w:sz w:val="18"/>
          <w:szCs w:val="18"/>
        </w:rPr>
        <w:footnoteRef/>
      </w:r>
      <w:r w:rsidRPr="00BB6FA7">
        <w:rPr>
          <w:sz w:val="18"/>
          <w:szCs w:val="18"/>
          <w:rtl/>
        </w:rPr>
        <w:t xml:space="preserve"> </w:t>
      </w:r>
      <w:r w:rsidRPr="00BD4142">
        <w:rPr>
          <w:rFonts w:hint="cs"/>
          <w:b/>
          <w:bCs/>
          <w:sz w:val="18"/>
          <w:szCs w:val="18"/>
          <w:rtl/>
        </w:rPr>
        <w:t>הרשב"א</w:t>
      </w:r>
      <w:r w:rsidRPr="00BB6FA7">
        <w:rPr>
          <w:rFonts w:hint="cs"/>
          <w:sz w:val="18"/>
          <w:szCs w:val="18"/>
          <w:rtl/>
        </w:rPr>
        <w:t xml:space="preserve"> מ</w:t>
      </w:r>
      <w:r>
        <w:rPr>
          <w:rFonts w:hint="cs"/>
          <w:sz w:val="18"/>
          <w:szCs w:val="18"/>
          <w:rtl/>
        </w:rPr>
        <w:t>וכיח</w:t>
      </w:r>
      <w:r w:rsidRPr="00BB6FA7">
        <w:rPr>
          <w:rFonts w:hint="cs"/>
          <w:sz w:val="18"/>
          <w:szCs w:val="18"/>
          <w:rtl/>
        </w:rPr>
        <w:t xml:space="preserve"> את סברתו </w:t>
      </w:r>
      <w:r>
        <w:rPr>
          <w:rFonts w:hint="cs"/>
          <w:sz w:val="18"/>
          <w:szCs w:val="18"/>
          <w:rtl/>
        </w:rPr>
        <w:t>מ</w:t>
      </w:r>
      <w:r w:rsidRPr="00BB6FA7">
        <w:rPr>
          <w:rFonts w:hint="cs"/>
          <w:sz w:val="18"/>
          <w:szCs w:val="18"/>
          <w:rtl/>
        </w:rPr>
        <w:t xml:space="preserve">סוגייה אחרת במסכת נדה שבה חוששים לנשירת השערות - </w:t>
      </w:r>
      <w:r w:rsidRPr="00BB6FA7">
        <w:rPr>
          <w:sz w:val="18"/>
          <w:szCs w:val="18"/>
          <w:rtl/>
        </w:rPr>
        <w:br/>
      </w:r>
      <w:r w:rsidRPr="00BB6FA7">
        <w:rPr>
          <w:rFonts w:hint="cs"/>
          <w:sz w:val="18"/>
          <w:szCs w:val="18"/>
          <w:rtl/>
        </w:rPr>
        <w:t>"</w:t>
      </w:r>
      <w:r w:rsidRPr="00BB6FA7">
        <w:rPr>
          <w:sz w:val="18"/>
          <w:szCs w:val="18"/>
          <w:rtl/>
        </w:rPr>
        <w:t xml:space="preserve"> </w:t>
      </w:r>
      <w:r w:rsidRPr="00BB6FA7">
        <w:rPr>
          <w:rFonts w:cs="Arial"/>
          <w:sz w:val="18"/>
          <w:szCs w:val="18"/>
          <w:rtl/>
        </w:rPr>
        <w:t>אמר רב דימי מנהרדעא: הלכתא, חוששין שמא נשרו. והני מילי - היכא דקדשה בתוך זמן ובעל לאחר זמן, דאיכא ספיקא דאורייתא, אבל מעיקרא – לא</w:t>
      </w:r>
      <w:r w:rsidRPr="00BB6FA7">
        <w:rPr>
          <w:rFonts w:cs="Arial" w:hint="cs"/>
          <w:sz w:val="18"/>
          <w:szCs w:val="18"/>
          <w:rtl/>
        </w:rPr>
        <w:t>".</w:t>
      </w:r>
      <w:r w:rsidRPr="00BB6FA7">
        <w:rPr>
          <w:rFonts w:cs="Arial"/>
          <w:sz w:val="18"/>
          <w:szCs w:val="18"/>
          <w:rtl/>
        </w:rPr>
        <w:br/>
      </w:r>
      <w:r w:rsidRPr="00BD4142">
        <w:rPr>
          <w:rFonts w:cs="Arial" w:hint="cs"/>
          <w:b/>
          <w:bCs/>
          <w:sz w:val="18"/>
          <w:szCs w:val="18"/>
          <w:rtl/>
        </w:rPr>
        <w:t>הסבר</w:t>
      </w:r>
      <w:r w:rsidRPr="00BB6FA7">
        <w:rPr>
          <w:rFonts w:cs="Arial" w:hint="cs"/>
          <w:sz w:val="18"/>
          <w:szCs w:val="18"/>
          <w:rtl/>
        </w:rPr>
        <w:t xml:space="preserve"> </w:t>
      </w:r>
      <w:r w:rsidRPr="00BB6FA7">
        <w:rPr>
          <w:rFonts w:cs="Arial"/>
          <w:sz w:val="18"/>
          <w:szCs w:val="18"/>
          <w:rtl/>
        </w:rPr>
        <w:t>–</w:t>
      </w:r>
      <w:r w:rsidRPr="00BB6FA7">
        <w:rPr>
          <w:rFonts w:cs="Arial" w:hint="cs"/>
          <w:sz w:val="18"/>
          <w:szCs w:val="18"/>
          <w:rtl/>
        </w:rPr>
        <w:t xml:space="preserve"> מדובר על יתומה שנישאת ע"י אמה ואחיה שקידושיה תופסים </w:t>
      </w:r>
      <w:r>
        <w:rPr>
          <w:rFonts w:cs="Arial" w:hint="cs"/>
          <w:sz w:val="18"/>
          <w:szCs w:val="18"/>
          <w:rtl/>
        </w:rPr>
        <w:t xml:space="preserve">בה </w:t>
      </w:r>
      <w:r w:rsidRPr="00BB6FA7">
        <w:rPr>
          <w:rFonts w:cs="Arial" w:hint="cs"/>
          <w:sz w:val="18"/>
          <w:szCs w:val="18"/>
          <w:rtl/>
        </w:rPr>
        <w:t>מדרבנן ויכולה למאן. אמנם, אם בעל אותה לאחר שהביאה סימנים אינה יכולה למאן והיא אשת איש מדאורייתא. רב דימי פוסק ש</w:t>
      </w:r>
      <w:r w:rsidRPr="00BB6FA7">
        <w:rPr>
          <w:rFonts w:hint="cs"/>
          <w:sz w:val="18"/>
          <w:szCs w:val="18"/>
          <w:rtl/>
        </w:rPr>
        <w:t>קטנה זו שאין רואים אצלה שערות אינה יכולה למאן אם נבעלה לאחר שהגיעה ליב' שנה, טעמו משום שייתכן והיו שערות והם נשרו וכיוון שזהו ספק דאורייתא של אשת איש החמירו בה. אך אם לא נבעלה לאחר יב' שנה, אין זה חשש דאוריית</w:t>
      </w:r>
      <w:r>
        <w:rPr>
          <w:rFonts w:hint="cs"/>
          <w:sz w:val="18"/>
          <w:szCs w:val="18"/>
          <w:rtl/>
        </w:rPr>
        <w:t>א</w:t>
      </w:r>
      <w:r w:rsidRPr="00BB6FA7">
        <w:rPr>
          <w:rFonts w:hint="cs"/>
          <w:sz w:val="18"/>
          <w:szCs w:val="18"/>
          <w:rtl/>
        </w:rPr>
        <w:t xml:space="preserve"> אלא דרבנן ולכן יכולה למאן כשאין לה שערות ואין חוששים לנשירה.</w:t>
      </w:r>
      <w:r w:rsidRPr="00BB6FA7">
        <w:rPr>
          <w:sz w:val="18"/>
          <w:szCs w:val="18"/>
          <w:rtl/>
        </w:rPr>
        <w:br/>
      </w:r>
      <w:r w:rsidRPr="00BB6FA7">
        <w:rPr>
          <w:rFonts w:hint="cs"/>
          <w:sz w:val="18"/>
          <w:szCs w:val="18"/>
          <w:rtl/>
        </w:rPr>
        <w:t>מוכח מהתם שאין חוששים לנשירת השערות בדין דרבנן, וכיוון שכתמים דרבנן אין חוששים בהם לומר ששערותיה נשרו.</w:t>
      </w:r>
    </w:p>
  </w:footnote>
  <w:footnote w:id="256">
    <w:p w:rsidR="005953C5" w:rsidRPr="00965E56" w:rsidRDefault="005953C5" w:rsidP="00620060">
      <w:pPr>
        <w:pStyle w:val="a3"/>
        <w:rPr>
          <w:sz w:val="18"/>
          <w:szCs w:val="18"/>
          <w:rtl/>
        </w:rPr>
      </w:pPr>
      <w:r w:rsidRPr="00965E56">
        <w:rPr>
          <w:rStyle w:val="a5"/>
          <w:sz w:val="18"/>
          <w:szCs w:val="18"/>
        </w:rPr>
        <w:footnoteRef/>
      </w:r>
      <w:r w:rsidRPr="00965E56">
        <w:rPr>
          <w:sz w:val="18"/>
          <w:szCs w:val="18"/>
          <w:rtl/>
        </w:rPr>
        <w:t xml:space="preserve"> </w:t>
      </w:r>
      <w:r w:rsidRPr="00965E56">
        <w:rPr>
          <w:rFonts w:hint="cs"/>
          <w:sz w:val="18"/>
          <w:szCs w:val="18"/>
          <w:rtl/>
        </w:rPr>
        <w:t xml:space="preserve">יש לעיין מה היחס בין </w:t>
      </w:r>
      <w:r w:rsidRPr="00965E56">
        <w:rPr>
          <w:rFonts w:hint="cs"/>
          <w:b/>
          <w:bCs/>
          <w:sz w:val="18"/>
          <w:szCs w:val="18"/>
          <w:rtl/>
        </w:rPr>
        <w:t>המהרש"ל</w:t>
      </w:r>
      <w:r w:rsidRPr="00965E56">
        <w:rPr>
          <w:rFonts w:hint="cs"/>
          <w:sz w:val="18"/>
          <w:szCs w:val="18"/>
          <w:rtl/>
        </w:rPr>
        <w:t xml:space="preserve"> לבין דברי </w:t>
      </w:r>
      <w:r w:rsidRPr="00965E56">
        <w:rPr>
          <w:rFonts w:hint="cs"/>
          <w:b/>
          <w:bCs/>
          <w:sz w:val="18"/>
          <w:szCs w:val="18"/>
          <w:rtl/>
        </w:rPr>
        <w:t>הטור</w:t>
      </w:r>
      <w:r w:rsidRPr="00965E56">
        <w:rPr>
          <w:rFonts w:hint="cs"/>
          <w:sz w:val="18"/>
          <w:szCs w:val="18"/>
          <w:rtl/>
        </w:rPr>
        <w:t xml:space="preserve"> שטיהר כתם גם בתינוקת בעולה.</w:t>
      </w:r>
      <w:r>
        <w:rPr>
          <w:rFonts w:hint="cs"/>
          <w:rtl/>
        </w:rPr>
        <w:t xml:space="preserve"> </w:t>
      </w:r>
      <w:r>
        <w:rPr>
          <w:rFonts w:hint="cs"/>
          <w:sz w:val="18"/>
          <w:szCs w:val="18"/>
          <w:rtl/>
        </w:rPr>
        <w:t xml:space="preserve">ולכאורה יש לומר שזו מחלוקת, שהרי לדברי </w:t>
      </w:r>
      <w:r w:rsidRPr="00965E56">
        <w:rPr>
          <w:rFonts w:hint="cs"/>
          <w:b/>
          <w:bCs/>
          <w:sz w:val="18"/>
          <w:szCs w:val="18"/>
          <w:rtl/>
        </w:rPr>
        <w:t>הטור</w:t>
      </w:r>
      <w:r>
        <w:rPr>
          <w:rFonts w:hint="cs"/>
          <w:sz w:val="18"/>
          <w:szCs w:val="18"/>
          <w:rtl/>
        </w:rPr>
        <w:t xml:space="preserve"> אין חומרה אפילו לאחר בעילה, ואילו </w:t>
      </w:r>
      <w:r w:rsidRPr="00965E56">
        <w:rPr>
          <w:rFonts w:hint="cs"/>
          <w:b/>
          <w:bCs/>
          <w:sz w:val="18"/>
          <w:szCs w:val="18"/>
          <w:rtl/>
        </w:rPr>
        <w:t xml:space="preserve">למהרש"ל </w:t>
      </w:r>
      <w:r>
        <w:rPr>
          <w:rFonts w:hint="cs"/>
          <w:sz w:val="18"/>
          <w:szCs w:val="18"/>
          <w:rtl/>
        </w:rPr>
        <w:t>נהגו לטמא לאחר בעילה כדין דם בתולים.</w:t>
      </w:r>
    </w:p>
  </w:footnote>
  <w:footnote w:id="257">
    <w:p w:rsidR="005953C5" w:rsidRDefault="005953C5" w:rsidP="00620060">
      <w:pPr>
        <w:pStyle w:val="a3"/>
      </w:pPr>
      <w:r w:rsidRPr="0005198F">
        <w:rPr>
          <w:rStyle w:val="a5"/>
          <w:sz w:val="18"/>
          <w:szCs w:val="18"/>
        </w:rPr>
        <w:footnoteRef/>
      </w:r>
      <w:r w:rsidRPr="0005198F">
        <w:rPr>
          <w:sz w:val="18"/>
          <w:szCs w:val="18"/>
          <w:rtl/>
        </w:rPr>
        <w:t xml:space="preserve"> </w:t>
      </w:r>
      <w:r w:rsidRPr="0005198F">
        <w:rPr>
          <w:rFonts w:hint="cs"/>
          <w:sz w:val="18"/>
          <w:szCs w:val="18"/>
          <w:rtl/>
        </w:rPr>
        <w:t xml:space="preserve">כשיטת </w:t>
      </w:r>
      <w:r w:rsidRPr="0005198F">
        <w:rPr>
          <w:rFonts w:hint="cs"/>
          <w:b/>
          <w:bCs/>
          <w:sz w:val="18"/>
          <w:szCs w:val="18"/>
          <w:rtl/>
        </w:rPr>
        <w:t>הרשב"א והטור</w:t>
      </w:r>
      <w:r w:rsidRPr="0005198F">
        <w:rPr>
          <w:rFonts w:hint="cs"/>
          <w:sz w:val="18"/>
          <w:szCs w:val="18"/>
          <w:rtl/>
        </w:rPr>
        <w:t xml:space="preserve"> משמע גם </w:t>
      </w:r>
      <w:r w:rsidRPr="0005198F">
        <w:rPr>
          <w:rFonts w:hint="cs"/>
          <w:b/>
          <w:bCs/>
          <w:sz w:val="18"/>
          <w:szCs w:val="18"/>
          <w:rtl/>
        </w:rPr>
        <w:t>ברש"י</w:t>
      </w:r>
      <w:r w:rsidRPr="0005198F">
        <w:rPr>
          <w:rFonts w:hint="cs"/>
          <w:sz w:val="18"/>
          <w:szCs w:val="18"/>
          <w:rtl/>
        </w:rPr>
        <w:t xml:space="preserve">, משום שהוא מפרש את מדלפת כפירוש זה, </w:t>
      </w:r>
      <w:r w:rsidRPr="0005198F">
        <w:rPr>
          <w:rFonts w:hint="cs"/>
          <w:b/>
          <w:bCs/>
          <w:sz w:val="18"/>
          <w:szCs w:val="18"/>
          <w:rtl/>
        </w:rPr>
        <w:t>בית יוסף</w:t>
      </w:r>
      <w:r w:rsidRPr="0005198F">
        <w:rPr>
          <w:rFonts w:hint="cs"/>
          <w:sz w:val="18"/>
          <w:szCs w:val="18"/>
          <w:rtl/>
        </w:rPr>
        <w:t>.</w:t>
      </w:r>
    </w:p>
  </w:footnote>
  <w:footnote w:id="258">
    <w:p w:rsidR="005953C5" w:rsidRDefault="005953C5" w:rsidP="00620060">
      <w:pPr>
        <w:pStyle w:val="a3"/>
      </w:pPr>
      <w:r w:rsidRPr="009041ED">
        <w:rPr>
          <w:rStyle w:val="a5"/>
          <w:sz w:val="18"/>
          <w:szCs w:val="18"/>
        </w:rPr>
        <w:footnoteRef/>
      </w:r>
      <w:r w:rsidRPr="009041ED">
        <w:rPr>
          <w:sz w:val="18"/>
          <w:szCs w:val="18"/>
          <w:rtl/>
        </w:rPr>
        <w:t xml:space="preserve"> </w:t>
      </w:r>
      <w:r w:rsidRPr="009041ED">
        <w:rPr>
          <w:rFonts w:hint="cs"/>
          <w:b/>
          <w:bCs/>
          <w:sz w:val="18"/>
          <w:szCs w:val="18"/>
          <w:rtl/>
        </w:rPr>
        <w:t xml:space="preserve">הרשב"א </w:t>
      </w:r>
      <w:r w:rsidRPr="009041ED">
        <w:rPr>
          <w:rFonts w:hint="cs"/>
          <w:sz w:val="18"/>
          <w:szCs w:val="18"/>
          <w:rtl/>
        </w:rPr>
        <w:t>מציין שיש חולקים עליו וסוברים שכתמה טמא רק כשהוחזקה בדם, אך הוא דוחה את שיטתם.</w:t>
      </w:r>
    </w:p>
  </w:footnote>
  <w:footnote w:id="259">
    <w:p w:rsidR="005953C5" w:rsidRDefault="005953C5" w:rsidP="00620060">
      <w:pPr>
        <w:pStyle w:val="a3"/>
      </w:pPr>
      <w:r w:rsidRPr="004A3983">
        <w:rPr>
          <w:rStyle w:val="a5"/>
          <w:sz w:val="18"/>
          <w:szCs w:val="18"/>
        </w:rPr>
        <w:footnoteRef/>
      </w:r>
      <w:r w:rsidRPr="004A3983">
        <w:rPr>
          <w:sz w:val="18"/>
          <w:szCs w:val="18"/>
          <w:rtl/>
        </w:rPr>
        <w:t xml:space="preserve"> </w:t>
      </w:r>
      <w:r w:rsidRPr="004A3983">
        <w:rPr>
          <w:rFonts w:hint="cs"/>
          <w:sz w:val="18"/>
          <w:szCs w:val="18"/>
          <w:rtl/>
        </w:rPr>
        <w:t xml:space="preserve">גריס </w:t>
      </w:r>
      <w:r w:rsidRPr="004A3983">
        <w:rPr>
          <w:sz w:val="18"/>
          <w:szCs w:val="18"/>
          <w:rtl/>
        </w:rPr>
        <w:t>–</w:t>
      </w:r>
      <w:r w:rsidRPr="004A3983">
        <w:rPr>
          <w:rFonts w:hint="cs"/>
          <w:sz w:val="18"/>
          <w:szCs w:val="18"/>
          <w:rtl/>
        </w:rPr>
        <w:t xml:space="preserve"> חצי; פול </w:t>
      </w:r>
      <w:r w:rsidRPr="004A3983">
        <w:rPr>
          <w:sz w:val="18"/>
          <w:szCs w:val="18"/>
          <w:rtl/>
        </w:rPr>
        <w:t>–</w:t>
      </w:r>
      <w:r w:rsidRPr="004A3983">
        <w:rPr>
          <w:rFonts w:hint="cs"/>
          <w:sz w:val="18"/>
          <w:szCs w:val="18"/>
          <w:rtl/>
        </w:rPr>
        <w:t xml:space="preserve"> שעועית, ואין הכוונה שיש לחלק את שיעור גודל הפול לשניים, אלא הכוונה היא לחצות אותו בעובי כדי לשטח עיגולו.</w:t>
      </w:r>
    </w:p>
  </w:footnote>
  <w:footnote w:id="260">
    <w:p w:rsidR="005953C5" w:rsidRDefault="005953C5" w:rsidP="00620060">
      <w:pPr>
        <w:pStyle w:val="a3"/>
      </w:pPr>
      <w:r w:rsidRPr="0008769B">
        <w:rPr>
          <w:rStyle w:val="a5"/>
          <w:sz w:val="18"/>
          <w:szCs w:val="18"/>
        </w:rPr>
        <w:footnoteRef/>
      </w:r>
      <w:r w:rsidRPr="0008769B">
        <w:rPr>
          <w:sz w:val="18"/>
          <w:szCs w:val="18"/>
          <w:rtl/>
        </w:rPr>
        <w:t xml:space="preserve"> </w:t>
      </w:r>
      <w:r>
        <w:rPr>
          <w:rFonts w:cs="Arial" w:hint="cs"/>
          <w:sz w:val="18"/>
          <w:szCs w:val="18"/>
          <w:rtl/>
        </w:rPr>
        <w:t>גמרא (שם) "</w:t>
      </w:r>
      <w:r w:rsidRPr="0008769B">
        <w:rPr>
          <w:rFonts w:cs="Arial"/>
          <w:sz w:val="18"/>
          <w:szCs w:val="18"/>
          <w:rtl/>
        </w:rPr>
        <w:t>אמר רשב"ג</w:t>
      </w:r>
      <w:r w:rsidRPr="0008769B">
        <w:rPr>
          <w:rFonts w:cs="Arial" w:hint="cs"/>
          <w:sz w:val="18"/>
          <w:szCs w:val="18"/>
          <w:rtl/>
        </w:rPr>
        <w:t>:...</w:t>
      </w:r>
      <w:r w:rsidRPr="0008769B">
        <w:rPr>
          <w:rFonts w:cs="Arial"/>
          <w:sz w:val="18"/>
          <w:szCs w:val="18"/>
          <w:rtl/>
        </w:rPr>
        <w:t>. אבל נראין דברי ר</w:t>
      </w:r>
      <w:r w:rsidRPr="0008769B">
        <w:rPr>
          <w:rFonts w:cs="Arial" w:hint="cs"/>
          <w:sz w:val="18"/>
          <w:szCs w:val="18"/>
          <w:rtl/>
        </w:rPr>
        <w:t>בי</w:t>
      </w:r>
      <w:r w:rsidRPr="0008769B">
        <w:rPr>
          <w:rFonts w:cs="Arial"/>
          <w:sz w:val="18"/>
          <w:szCs w:val="18"/>
          <w:rtl/>
        </w:rPr>
        <w:t xml:space="preserve"> חנינא בן אנטיגנוס מדברי ומדבריהם, שהיה אומר: עד כמה היא תולה - עד כגריס של פול, ולדבריו אנו מודים</w:t>
      </w:r>
      <w:r w:rsidRPr="0008769B">
        <w:rPr>
          <w:rFonts w:cs="Arial" w:hint="cs"/>
          <w:sz w:val="18"/>
          <w:szCs w:val="18"/>
          <w:rtl/>
        </w:rPr>
        <w:t>"</w:t>
      </w:r>
      <w:r w:rsidRPr="0008769B">
        <w:rPr>
          <w:rFonts w:cs="Arial"/>
          <w:sz w:val="18"/>
          <w:szCs w:val="18"/>
          <w:rtl/>
        </w:rPr>
        <w:t>.</w:t>
      </w:r>
    </w:p>
  </w:footnote>
  <w:footnote w:id="261">
    <w:p w:rsidR="005953C5" w:rsidRDefault="005953C5" w:rsidP="00620060">
      <w:pPr>
        <w:pStyle w:val="a3"/>
      </w:pPr>
      <w:r w:rsidRPr="000133AD">
        <w:rPr>
          <w:rStyle w:val="a5"/>
          <w:sz w:val="18"/>
          <w:szCs w:val="18"/>
        </w:rPr>
        <w:footnoteRef/>
      </w:r>
      <w:r w:rsidRPr="000133AD">
        <w:rPr>
          <w:sz w:val="18"/>
          <w:szCs w:val="18"/>
          <w:rtl/>
        </w:rPr>
        <w:t xml:space="preserve"> </w:t>
      </w:r>
      <w:r w:rsidRPr="000133AD">
        <w:rPr>
          <w:rFonts w:hint="cs"/>
          <w:b/>
          <w:bCs/>
          <w:sz w:val="18"/>
          <w:szCs w:val="18"/>
          <w:rtl/>
        </w:rPr>
        <w:t xml:space="preserve">ספר התרומה </w:t>
      </w:r>
      <w:r w:rsidRPr="000133AD">
        <w:rPr>
          <w:rFonts w:hint="cs"/>
          <w:sz w:val="18"/>
          <w:szCs w:val="18"/>
          <w:rtl/>
        </w:rPr>
        <w:t>חותם ולא מוכיח את דבריו.</w:t>
      </w:r>
    </w:p>
  </w:footnote>
  <w:footnote w:id="262">
    <w:p w:rsidR="005953C5" w:rsidRDefault="005953C5" w:rsidP="00620060">
      <w:pPr>
        <w:pStyle w:val="a3"/>
      </w:pPr>
      <w:r w:rsidRPr="008F54DB">
        <w:rPr>
          <w:rStyle w:val="a5"/>
          <w:sz w:val="18"/>
          <w:szCs w:val="18"/>
        </w:rPr>
        <w:footnoteRef/>
      </w:r>
      <w:r w:rsidRPr="008F54DB">
        <w:rPr>
          <w:sz w:val="18"/>
          <w:szCs w:val="18"/>
          <w:rtl/>
        </w:rPr>
        <w:t xml:space="preserve"> </w:t>
      </w:r>
      <w:r w:rsidRPr="008F54DB">
        <w:rPr>
          <w:rFonts w:hint="cs"/>
          <w:sz w:val="18"/>
          <w:szCs w:val="18"/>
          <w:rtl/>
        </w:rPr>
        <w:t>ציטוט זה הינו חלקי. בגמרא משמע קצת שרבי אליעזר מחמיר אפילו בכתם משוך, אך הראשונים כתבו שאעפ"כ העיקר לדינא הוא להקל בכתם.</w:t>
      </w:r>
    </w:p>
  </w:footnote>
  <w:footnote w:id="263">
    <w:p w:rsidR="005953C5" w:rsidRDefault="005953C5" w:rsidP="00620060">
      <w:pPr>
        <w:pStyle w:val="a3"/>
      </w:pPr>
      <w:r w:rsidRPr="002D3A7C">
        <w:rPr>
          <w:rStyle w:val="a5"/>
          <w:sz w:val="18"/>
          <w:szCs w:val="18"/>
        </w:rPr>
        <w:footnoteRef/>
      </w:r>
      <w:r w:rsidRPr="002D3A7C">
        <w:rPr>
          <w:sz w:val="18"/>
          <w:szCs w:val="18"/>
          <w:rtl/>
        </w:rPr>
        <w:t xml:space="preserve"> </w:t>
      </w:r>
      <w:r w:rsidRPr="002D3A7C">
        <w:rPr>
          <w:rFonts w:hint="cs"/>
          <w:sz w:val="18"/>
          <w:szCs w:val="18"/>
          <w:rtl/>
        </w:rPr>
        <w:t>שערות הגוף עבות מעט יותר משערות הראש.</w:t>
      </w:r>
    </w:p>
  </w:footnote>
  <w:footnote w:id="264">
    <w:p w:rsidR="005953C5" w:rsidRDefault="005953C5" w:rsidP="00620060">
      <w:pPr>
        <w:pStyle w:val="a3"/>
        <w:rPr>
          <w:rtl/>
        </w:rPr>
      </w:pPr>
      <w:r w:rsidRPr="00D20C96">
        <w:rPr>
          <w:rStyle w:val="a5"/>
          <w:sz w:val="18"/>
          <w:szCs w:val="18"/>
        </w:rPr>
        <w:footnoteRef/>
      </w:r>
      <w:r w:rsidRPr="00D20C96">
        <w:rPr>
          <w:sz w:val="18"/>
          <w:szCs w:val="18"/>
          <w:rtl/>
        </w:rPr>
        <w:t xml:space="preserve"> </w:t>
      </w:r>
      <w:r w:rsidRPr="00D20C96">
        <w:rPr>
          <w:rFonts w:hint="cs"/>
          <w:sz w:val="18"/>
          <w:szCs w:val="18"/>
          <w:rtl/>
        </w:rPr>
        <w:t xml:space="preserve">אך עיין לקמן בסעיף ח, שגם </w:t>
      </w:r>
      <w:r w:rsidRPr="00D20C96">
        <w:rPr>
          <w:rFonts w:hint="cs"/>
          <w:b/>
          <w:bCs/>
          <w:sz w:val="18"/>
          <w:szCs w:val="18"/>
          <w:rtl/>
        </w:rPr>
        <w:t>הב"ח</w:t>
      </w:r>
      <w:r w:rsidRPr="00D20C96">
        <w:rPr>
          <w:rFonts w:hint="cs"/>
          <w:sz w:val="18"/>
          <w:szCs w:val="18"/>
          <w:rtl/>
        </w:rPr>
        <w:t xml:space="preserve"> מודה שכתם הנמצ</w:t>
      </w:r>
      <w:r>
        <w:rPr>
          <w:rFonts w:hint="cs"/>
          <w:sz w:val="18"/>
          <w:szCs w:val="18"/>
          <w:rtl/>
        </w:rPr>
        <w:t>א על בשרה חמור טפי ולכן מצטרף ל</w:t>
      </w:r>
      <w:r w:rsidRPr="00D20C96">
        <w:rPr>
          <w:rFonts w:hint="cs"/>
          <w:sz w:val="18"/>
          <w:szCs w:val="18"/>
          <w:rtl/>
        </w:rPr>
        <w:t>שיעור גריס, בניגוד לכתם על חלוקה שאינו מצטרף.</w:t>
      </w:r>
    </w:p>
  </w:footnote>
  <w:footnote w:id="265">
    <w:p w:rsidR="005953C5" w:rsidRDefault="005953C5" w:rsidP="00620060">
      <w:pPr>
        <w:pStyle w:val="a3"/>
      </w:pPr>
      <w:r w:rsidRPr="00E40EF6">
        <w:rPr>
          <w:rStyle w:val="a5"/>
          <w:sz w:val="18"/>
          <w:szCs w:val="18"/>
        </w:rPr>
        <w:footnoteRef/>
      </w:r>
      <w:r w:rsidRPr="00E40EF6">
        <w:rPr>
          <w:sz w:val="18"/>
          <w:szCs w:val="18"/>
          <w:rtl/>
        </w:rPr>
        <w:t xml:space="preserve"> </w:t>
      </w:r>
      <w:r w:rsidRPr="00E40EF6">
        <w:rPr>
          <w:rFonts w:hint="cs"/>
          <w:sz w:val="18"/>
          <w:szCs w:val="18"/>
          <w:rtl/>
        </w:rPr>
        <w:t xml:space="preserve">כך היא לשון </w:t>
      </w:r>
      <w:r w:rsidRPr="00E40EF6">
        <w:rPr>
          <w:rFonts w:hint="cs"/>
          <w:b/>
          <w:bCs/>
          <w:sz w:val="18"/>
          <w:szCs w:val="18"/>
          <w:rtl/>
        </w:rPr>
        <w:t>הגמרא</w:t>
      </w:r>
      <w:r w:rsidRPr="00E40EF6">
        <w:rPr>
          <w:rFonts w:hint="cs"/>
          <w:sz w:val="18"/>
          <w:szCs w:val="18"/>
          <w:rtl/>
        </w:rPr>
        <w:t>: "</w:t>
      </w:r>
      <w:r>
        <w:rPr>
          <w:rFonts w:cs="Arial" w:hint="cs"/>
          <w:sz w:val="18"/>
          <w:szCs w:val="18"/>
          <w:rtl/>
        </w:rPr>
        <w:t>ב</w:t>
      </w:r>
      <w:r w:rsidRPr="00E40EF6">
        <w:rPr>
          <w:rFonts w:cs="Arial"/>
          <w:sz w:val="18"/>
          <w:szCs w:val="18"/>
          <w:rtl/>
        </w:rPr>
        <w:t>עי רבי ירמיה: כשיר מהו, כשורה מהו, טיפין טיפין מהו, לרוחב ירכה מהו? ת</w:t>
      </w:r>
      <w:r w:rsidRPr="00E40EF6">
        <w:rPr>
          <w:rFonts w:cs="Arial" w:hint="cs"/>
          <w:sz w:val="18"/>
          <w:szCs w:val="18"/>
          <w:rtl/>
        </w:rPr>
        <w:t xml:space="preserve">א </w:t>
      </w:r>
      <w:r w:rsidRPr="00E40EF6">
        <w:rPr>
          <w:rFonts w:cs="Arial"/>
          <w:sz w:val="18"/>
          <w:szCs w:val="18"/>
          <w:rtl/>
        </w:rPr>
        <w:t>ש</w:t>
      </w:r>
      <w:r w:rsidRPr="00E40EF6">
        <w:rPr>
          <w:rFonts w:cs="Arial" w:hint="cs"/>
          <w:sz w:val="18"/>
          <w:szCs w:val="18"/>
          <w:rtl/>
        </w:rPr>
        <w:t>מע</w:t>
      </w:r>
      <w:r w:rsidRPr="00E40EF6">
        <w:rPr>
          <w:rFonts w:cs="Arial"/>
          <w:sz w:val="18"/>
          <w:szCs w:val="18"/>
          <w:rtl/>
        </w:rPr>
        <w:t>: על בשרה ספק טמא ספק טהור - טמא. על בשרה - מאי לאו כי האי גוונא? לא, דלמא דעביד כרצועה</w:t>
      </w:r>
      <w:r w:rsidRPr="00E40EF6">
        <w:rPr>
          <w:rFonts w:cs="Arial" w:hint="cs"/>
          <w:sz w:val="18"/>
          <w:szCs w:val="18"/>
          <w:rtl/>
        </w:rPr>
        <w:t>".</w:t>
      </w:r>
      <w:r w:rsidRPr="00E40EF6">
        <w:rPr>
          <w:rFonts w:cs="Arial"/>
          <w:sz w:val="18"/>
          <w:szCs w:val="18"/>
          <w:rtl/>
        </w:rPr>
        <w:br/>
      </w:r>
      <w:r w:rsidRPr="00E40EF6">
        <w:rPr>
          <w:rFonts w:cs="Arial" w:hint="cs"/>
          <w:sz w:val="18"/>
          <w:szCs w:val="18"/>
          <w:rtl/>
        </w:rPr>
        <w:t xml:space="preserve">כאמור לעיל, </w:t>
      </w:r>
      <w:r w:rsidRPr="00E40EF6">
        <w:rPr>
          <w:rFonts w:cs="Arial" w:hint="cs"/>
          <w:b/>
          <w:bCs/>
          <w:sz w:val="18"/>
          <w:szCs w:val="18"/>
          <w:rtl/>
        </w:rPr>
        <w:t>הראב"ד</w:t>
      </w:r>
      <w:r w:rsidRPr="00E40EF6">
        <w:rPr>
          <w:rFonts w:cs="Arial" w:hint="cs"/>
          <w:sz w:val="18"/>
          <w:szCs w:val="18"/>
          <w:rtl/>
        </w:rPr>
        <w:t xml:space="preserve"> וסיעתו מפרשים את הבעיא לגבי צירוף לגודל הכתם, אך </w:t>
      </w:r>
      <w:r w:rsidRPr="00E40EF6">
        <w:rPr>
          <w:rFonts w:cs="Arial" w:hint="cs"/>
          <w:b/>
          <w:bCs/>
          <w:sz w:val="18"/>
          <w:szCs w:val="18"/>
          <w:rtl/>
        </w:rPr>
        <w:t>הרמב"ם</w:t>
      </w:r>
      <w:r w:rsidRPr="00E40EF6">
        <w:rPr>
          <w:rFonts w:cs="Arial" w:hint="cs"/>
          <w:sz w:val="18"/>
          <w:szCs w:val="18"/>
          <w:rtl/>
        </w:rPr>
        <w:t xml:space="preserve"> מפרש את הבעיא האם צורת הכתם מוכיחה שהדם הוא דם מקור.</w:t>
      </w:r>
      <w:r w:rsidRPr="00E40EF6">
        <w:rPr>
          <w:rFonts w:cs="Arial"/>
          <w:sz w:val="18"/>
          <w:szCs w:val="18"/>
          <w:rtl/>
        </w:rPr>
        <w:br/>
      </w:r>
      <w:r>
        <w:rPr>
          <w:rFonts w:hint="cs"/>
          <w:sz w:val="18"/>
          <w:szCs w:val="18"/>
          <w:rtl/>
        </w:rPr>
        <w:t xml:space="preserve">הגמרא מיישבת ''דלמא דעביד כרצועה'', ולכאורה לא אתי שפיר, שהרי אם הבעיא היא לגבי צירוף פשוט שטמאה אפילו בכרצועה, מכיוון שקיי"ל שכתם ארוך מצטרף! </w:t>
      </w:r>
      <w:r w:rsidRPr="00E40EF6">
        <w:rPr>
          <w:rFonts w:hint="cs"/>
          <w:sz w:val="18"/>
          <w:szCs w:val="18"/>
          <w:rtl/>
        </w:rPr>
        <w:t xml:space="preserve">אלא על כורחך יש לפרש </w:t>
      </w:r>
      <w:r w:rsidRPr="00E40EF6">
        <w:rPr>
          <w:rFonts w:hint="cs"/>
          <w:b/>
          <w:bCs/>
          <w:sz w:val="18"/>
          <w:szCs w:val="18"/>
          <w:rtl/>
        </w:rPr>
        <w:t>כרמב"ם</w:t>
      </w:r>
      <w:r w:rsidRPr="00E40EF6">
        <w:rPr>
          <w:rFonts w:hint="cs"/>
          <w:sz w:val="18"/>
          <w:szCs w:val="18"/>
          <w:rtl/>
        </w:rPr>
        <w:t>, שהבעיא אינה על צירוף, כאמור לעיל.</w:t>
      </w:r>
      <w:r w:rsidRPr="00E40EF6">
        <w:rPr>
          <w:sz w:val="18"/>
          <w:szCs w:val="18"/>
          <w:rtl/>
        </w:rPr>
        <w:br/>
      </w:r>
      <w:r w:rsidRPr="00E40EF6">
        <w:rPr>
          <w:rFonts w:hint="cs"/>
          <w:sz w:val="18"/>
          <w:szCs w:val="18"/>
          <w:rtl/>
        </w:rPr>
        <w:t xml:space="preserve">אמנם, </w:t>
      </w:r>
      <w:r w:rsidRPr="00E40EF6">
        <w:rPr>
          <w:rFonts w:hint="cs"/>
          <w:b/>
          <w:bCs/>
          <w:sz w:val="18"/>
          <w:szCs w:val="18"/>
          <w:rtl/>
        </w:rPr>
        <w:t>תוה"ש והדגמ"ר</w:t>
      </w:r>
      <w:r w:rsidRPr="00E40EF6">
        <w:rPr>
          <w:rFonts w:hint="cs"/>
          <w:sz w:val="18"/>
          <w:szCs w:val="18"/>
          <w:rtl/>
        </w:rPr>
        <w:t xml:space="preserve"> דוחים את ראיית </w:t>
      </w:r>
      <w:r w:rsidRPr="00E40EF6">
        <w:rPr>
          <w:rFonts w:hint="cs"/>
          <w:b/>
          <w:bCs/>
          <w:sz w:val="18"/>
          <w:szCs w:val="18"/>
          <w:rtl/>
        </w:rPr>
        <w:t>הש"ך</w:t>
      </w:r>
      <w:r w:rsidRPr="00E40EF6">
        <w:rPr>
          <w:rFonts w:hint="cs"/>
          <w:sz w:val="18"/>
          <w:szCs w:val="18"/>
          <w:rtl/>
        </w:rPr>
        <w:t xml:space="preserve"> </w:t>
      </w:r>
      <w:r w:rsidRPr="00E40EF6">
        <w:rPr>
          <w:sz w:val="18"/>
          <w:szCs w:val="18"/>
          <w:rtl/>
        </w:rPr>
        <w:t>–</w:t>
      </w:r>
      <w:r w:rsidRPr="00E40EF6">
        <w:rPr>
          <w:rFonts w:hint="cs"/>
          <w:sz w:val="18"/>
          <w:szCs w:val="18"/>
          <w:rtl/>
        </w:rPr>
        <w:t xml:space="preserve"> ברייתא זו ה</w:t>
      </w:r>
      <w:r>
        <w:rPr>
          <w:rFonts w:hint="cs"/>
          <w:sz w:val="18"/>
          <w:szCs w:val="18"/>
          <w:rtl/>
        </w:rPr>
        <w:t>ובא</w:t>
      </w:r>
      <w:r w:rsidRPr="00E40EF6">
        <w:rPr>
          <w:rFonts w:hint="cs"/>
          <w:sz w:val="18"/>
          <w:szCs w:val="18"/>
          <w:rtl/>
        </w:rPr>
        <w:t>ה כבר לעיל והגמרא העמידה אותה שעברה בשוק של טבחים ולכן על חלוקה טהור.</w:t>
      </w:r>
    </w:p>
  </w:footnote>
  <w:footnote w:id="266">
    <w:p w:rsidR="005953C5" w:rsidRDefault="005953C5" w:rsidP="00620060">
      <w:pPr>
        <w:pStyle w:val="a3"/>
        <w:rPr>
          <w:rtl/>
        </w:rPr>
      </w:pPr>
      <w:r w:rsidRPr="0036543B">
        <w:rPr>
          <w:rStyle w:val="a5"/>
          <w:sz w:val="18"/>
          <w:szCs w:val="18"/>
        </w:rPr>
        <w:footnoteRef/>
      </w:r>
      <w:r w:rsidRPr="0036543B">
        <w:rPr>
          <w:sz w:val="18"/>
          <w:szCs w:val="18"/>
          <w:rtl/>
        </w:rPr>
        <w:t xml:space="preserve"> </w:t>
      </w:r>
      <w:r w:rsidRPr="0036543B">
        <w:rPr>
          <w:rFonts w:hint="cs"/>
          <w:sz w:val="18"/>
          <w:szCs w:val="18"/>
          <w:rtl/>
        </w:rPr>
        <w:t>ולפי"ז,</w:t>
      </w:r>
      <w:r>
        <w:rPr>
          <w:rFonts w:hint="cs"/>
          <w:sz w:val="18"/>
          <w:szCs w:val="18"/>
          <w:rtl/>
        </w:rPr>
        <w:t xml:space="preserve"> כך היא מחלוקת חכמים ורבי חנינא - </w:t>
      </w:r>
      <w:r>
        <w:rPr>
          <w:sz w:val="18"/>
          <w:szCs w:val="18"/>
          <w:rtl/>
        </w:rPr>
        <w:br/>
      </w:r>
      <w:r w:rsidRPr="0036543B">
        <w:rPr>
          <w:rFonts w:hint="cs"/>
          <w:sz w:val="18"/>
          <w:szCs w:val="18"/>
          <w:rtl/>
        </w:rPr>
        <w:t xml:space="preserve"> חכמים </w:t>
      </w:r>
      <w:r>
        <w:rPr>
          <w:rFonts w:hint="cs"/>
          <w:sz w:val="18"/>
          <w:szCs w:val="18"/>
          <w:rtl/>
        </w:rPr>
        <w:t xml:space="preserve">- במקום </w:t>
      </w:r>
      <w:r w:rsidRPr="0036543B">
        <w:rPr>
          <w:rFonts w:hint="cs"/>
          <w:sz w:val="18"/>
          <w:szCs w:val="18"/>
          <w:rtl/>
        </w:rPr>
        <w:t xml:space="preserve"> שהפשפש מצוי יש לתלות בו למרות שלא הריחה ריחו</w:t>
      </w:r>
      <w:r>
        <w:rPr>
          <w:rFonts w:hint="cs"/>
          <w:sz w:val="18"/>
          <w:szCs w:val="18"/>
          <w:rtl/>
        </w:rPr>
        <w:t>.</w:t>
      </w:r>
      <w:r>
        <w:rPr>
          <w:sz w:val="18"/>
          <w:szCs w:val="18"/>
          <w:rtl/>
        </w:rPr>
        <w:br/>
      </w:r>
      <w:r w:rsidRPr="0036543B">
        <w:rPr>
          <w:rFonts w:hint="cs"/>
          <w:sz w:val="18"/>
          <w:szCs w:val="18"/>
          <w:rtl/>
        </w:rPr>
        <w:t xml:space="preserve">רבי חנינא </w:t>
      </w:r>
      <w:r>
        <w:rPr>
          <w:rFonts w:hint="cs"/>
          <w:sz w:val="18"/>
          <w:szCs w:val="18"/>
          <w:rtl/>
        </w:rPr>
        <w:t xml:space="preserve">- </w:t>
      </w:r>
      <w:r w:rsidRPr="0036543B">
        <w:rPr>
          <w:rFonts w:hint="cs"/>
          <w:sz w:val="18"/>
          <w:szCs w:val="18"/>
          <w:rtl/>
        </w:rPr>
        <w:t xml:space="preserve">אין מצוי שתהרוג פשפש ולא תריח </w:t>
      </w:r>
      <w:r>
        <w:rPr>
          <w:rFonts w:hint="cs"/>
          <w:sz w:val="18"/>
          <w:szCs w:val="18"/>
          <w:rtl/>
        </w:rPr>
        <w:t>אותו</w:t>
      </w:r>
      <w:r w:rsidRPr="0036543B">
        <w:rPr>
          <w:rFonts w:hint="cs"/>
          <w:sz w:val="18"/>
          <w:szCs w:val="18"/>
          <w:rtl/>
        </w:rPr>
        <w:t>, ולכן אפילו במקום שמצוי אין תולים בו אם לא הריחה ריחו.</w:t>
      </w:r>
    </w:p>
  </w:footnote>
  <w:footnote w:id="267">
    <w:p w:rsidR="005953C5" w:rsidRDefault="005953C5" w:rsidP="00620060">
      <w:pPr>
        <w:pStyle w:val="a3"/>
        <w:rPr>
          <w:rtl/>
        </w:rPr>
      </w:pPr>
      <w:r w:rsidRPr="00A84957">
        <w:rPr>
          <w:rStyle w:val="a5"/>
          <w:sz w:val="18"/>
          <w:szCs w:val="18"/>
        </w:rPr>
        <w:footnoteRef/>
      </w:r>
      <w:r w:rsidRPr="00A84957">
        <w:rPr>
          <w:sz w:val="18"/>
          <w:szCs w:val="18"/>
          <w:rtl/>
        </w:rPr>
        <w:t xml:space="preserve"> </w:t>
      </w:r>
      <w:r w:rsidRPr="00A84957">
        <w:rPr>
          <w:rFonts w:hint="cs"/>
          <w:sz w:val="18"/>
          <w:szCs w:val="18"/>
          <w:rtl/>
        </w:rPr>
        <w:t>ולפי"ז, לכו"ע במקום שאינו מצוי אין תולה בו, ובמקום שמצוי לכו"ע תולה בו, ומחלוקתם במקום שמצוי מעט, וקיי"ל כרבי חנינא שאינה תולה במקום שמצוי מעט.</w:t>
      </w:r>
    </w:p>
  </w:footnote>
  <w:footnote w:id="268">
    <w:p w:rsidR="005953C5" w:rsidRDefault="005953C5" w:rsidP="00620060">
      <w:pPr>
        <w:pStyle w:val="a3"/>
      </w:pPr>
      <w:r w:rsidRPr="00B26410">
        <w:rPr>
          <w:rStyle w:val="a5"/>
          <w:sz w:val="18"/>
          <w:szCs w:val="18"/>
        </w:rPr>
        <w:footnoteRef/>
      </w:r>
      <w:r w:rsidRPr="00B26410">
        <w:rPr>
          <w:sz w:val="18"/>
          <w:szCs w:val="18"/>
          <w:rtl/>
        </w:rPr>
        <w:t xml:space="preserve"> </w:t>
      </w:r>
      <w:r w:rsidRPr="00B26410">
        <w:rPr>
          <w:rFonts w:hint="cs"/>
          <w:sz w:val="18"/>
          <w:szCs w:val="18"/>
          <w:rtl/>
        </w:rPr>
        <w:t xml:space="preserve">זו לשון </w:t>
      </w:r>
      <w:r w:rsidRPr="00A0080F">
        <w:rPr>
          <w:rFonts w:hint="cs"/>
          <w:b/>
          <w:bCs/>
          <w:sz w:val="18"/>
          <w:szCs w:val="18"/>
          <w:rtl/>
        </w:rPr>
        <w:t>הרא"ש</w:t>
      </w:r>
      <w:r w:rsidRPr="00B26410">
        <w:rPr>
          <w:rFonts w:hint="cs"/>
          <w:sz w:val="18"/>
          <w:szCs w:val="18"/>
          <w:rtl/>
        </w:rPr>
        <w:t xml:space="preserve"> </w:t>
      </w:r>
      <w:r w:rsidRPr="00B26410">
        <w:rPr>
          <w:sz w:val="18"/>
          <w:szCs w:val="18"/>
          <w:rtl/>
        </w:rPr>
        <w:t>–</w:t>
      </w:r>
      <w:r w:rsidRPr="00B26410">
        <w:rPr>
          <w:rFonts w:hint="cs"/>
          <w:sz w:val="18"/>
          <w:szCs w:val="18"/>
          <w:rtl/>
        </w:rPr>
        <w:t xml:space="preserve"> "</w:t>
      </w:r>
      <w:r w:rsidRPr="00B26410">
        <w:rPr>
          <w:rFonts w:cs="Arial"/>
          <w:sz w:val="18"/>
          <w:szCs w:val="18"/>
          <w:rtl/>
        </w:rPr>
        <w:t>ואף על פי דאין הלכה כרבנן</w:t>
      </w:r>
      <w:r w:rsidRPr="00B26410">
        <w:rPr>
          <w:rFonts w:cs="Arial" w:hint="cs"/>
          <w:sz w:val="18"/>
          <w:szCs w:val="18"/>
          <w:rtl/>
        </w:rPr>
        <w:t>,</w:t>
      </w:r>
      <w:r w:rsidRPr="00B26410">
        <w:rPr>
          <w:rFonts w:cs="Arial"/>
          <w:sz w:val="18"/>
          <w:szCs w:val="18"/>
          <w:rtl/>
        </w:rPr>
        <w:t xml:space="preserve"> מיהו אם הרגה פשפש א</w:t>
      </w:r>
      <w:r>
        <w:rPr>
          <w:rFonts w:cs="Arial" w:hint="cs"/>
          <w:sz w:val="18"/>
          <w:szCs w:val="18"/>
          <w:rtl/>
        </w:rPr>
        <w:t>ו</w:t>
      </w:r>
      <w:r w:rsidRPr="00B26410">
        <w:rPr>
          <w:rFonts w:cs="Arial"/>
          <w:sz w:val="18"/>
          <w:szCs w:val="18"/>
          <w:rtl/>
        </w:rPr>
        <w:t xml:space="preserve"> הריחה ריחו תולה עד כתורמוס דהוי כנתעסקה בכתמים</w:t>
      </w:r>
      <w:r w:rsidRPr="00B26410">
        <w:rPr>
          <w:rFonts w:cs="Arial" w:hint="cs"/>
          <w:sz w:val="18"/>
          <w:szCs w:val="18"/>
          <w:rtl/>
        </w:rPr>
        <w:t>,</w:t>
      </w:r>
      <w:r w:rsidRPr="00B26410">
        <w:rPr>
          <w:rFonts w:cs="Arial"/>
          <w:sz w:val="18"/>
          <w:szCs w:val="18"/>
          <w:rtl/>
        </w:rPr>
        <w:t xml:space="preserve"> אבל מסתמא לא תלינן ביה משום דלא שכיח</w:t>
      </w:r>
      <w:r w:rsidRPr="00B26410">
        <w:rPr>
          <w:rFonts w:hint="cs"/>
          <w:sz w:val="18"/>
          <w:szCs w:val="18"/>
          <w:rtl/>
        </w:rPr>
        <w:t>".</w:t>
      </w:r>
      <w:r w:rsidRPr="00B26410">
        <w:rPr>
          <w:sz w:val="18"/>
          <w:szCs w:val="18"/>
          <w:rtl/>
        </w:rPr>
        <w:br/>
      </w:r>
      <w:r w:rsidRPr="00B26410">
        <w:rPr>
          <w:rFonts w:hint="cs"/>
          <w:sz w:val="18"/>
          <w:szCs w:val="18"/>
          <w:rtl/>
        </w:rPr>
        <w:t xml:space="preserve">בתחילה, מציע </w:t>
      </w:r>
      <w:r w:rsidRPr="00B26410">
        <w:rPr>
          <w:rFonts w:hint="cs"/>
          <w:b/>
          <w:bCs/>
          <w:sz w:val="18"/>
          <w:szCs w:val="18"/>
          <w:rtl/>
        </w:rPr>
        <w:t>הבית יוסף</w:t>
      </w:r>
      <w:r w:rsidRPr="00B26410">
        <w:rPr>
          <w:rFonts w:hint="cs"/>
          <w:sz w:val="18"/>
          <w:szCs w:val="18"/>
          <w:rtl/>
        </w:rPr>
        <w:t xml:space="preserve"> שכוונת הרא"ש במה שכתב "לא שכיח" היינו שאין הדבר שכיח שיהיה סמוך לגוף כל כך ולא תריח בו, ולכן ההבנה ברא"ש היא שאם לא הריחה אינה תולה בו. אך בהמשך דבריו מציע </w:t>
      </w:r>
      <w:r w:rsidRPr="00B26410">
        <w:rPr>
          <w:rFonts w:hint="cs"/>
          <w:b/>
          <w:bCs/>
          <w:sz w:val="18"/>
          <w:szCs w:val="18"/>
          <w:rtl/>
        </w:rPr>
        <w:t>הבית יוסף</w:t>
      </w:r>
      <w:r w:rsidRPr="00B26410">
        <w:rPr>
          <w:rFonts w:hint="cs"/>
          <w:sz w:val="18"/>
          <w:szCs w:val="18"/>
          <w:rtl/>
        </w:rPr>
        <w:t xml:space="preserve"> לפרש ש"לא שכיח" היינו שאין המאכולת שכיחה באותו מקום, אך אם היא שכיחה תולה ב</w:t>
      </w:r>
      <w:r>
        <w:rPr>
          <w:rFonts w:hint="cs"/>
          <w:sz w:val="18"/>
          <w:szCs w:val="18"/>
          <w:rtl/>
        </w:rPr>
        <w:t>ה</w:t>
      </w:r>
      <w:r w:rsidRPr="00B26410">
        <w:rPr>
          <w:rFonts w:hint="cs"/>
          <w:sz w:val="18"/>
          <w:szCs w:val="18"/>
          <w:rtl/>
        </w:rPr>
        <w:t>.</w:t>
      </w:r>
    </w:p>
  </w:footnote>
  <w:footnote w:id="269">
    <w:p w:rsidR="005953C5" w:rsidRDefault="005953C5" w:rsidP="00620060">
      <w:pPr>
        <w:pStyle w:val="a3"/>
        <w:rPr>
          <w:rtl/>
        </w:rPr>
      </w:pPr>
      <w:r w:rsidRPr="00FD5890">
        <w:rPr>
          <w:rStyle w:val="a5"/>
          <w:sz w:val="18"/>
          <w:szCs w:val="18"/>
        </w:rPr>
        <w:footnoteRef/>
      </w:r>
      <w:r w:rsidRPr="00FD5890">
        <w:rPr>
          <w:sz w:val="18"/>
          <w:szCs w:val="18"/>
          <w:rtl/>
        </w:rPr>
        <w:t xml:space="preserve"> </w:t>
      </w:r>
      <w:r w:rsidRPr="00FD5890">
        <w:rPr>
          <w:rFonts w:hint="cs"/>
          <w:b/>
          <w:bCs/>
          <w:sz w:val="18"/>
          <w:szCs w:val="18"/>
          <w:rtl/>
        </w:rPr>
        <w:t>רא"ש</w:t>
      </w:r>
      <w:r w:rsidRPr="00FD5890">
        <w:rPr>
          <w:rFonts w:hint="cs"/>
          <w:sz w:val="18"/>
          <w:szCs w:val="18"/>
          <w:rtl/>
        </w:rPr>
        <w:t xml:space="preserve"> </w:t>
      </w:r>
      <w:r w:rsidRPr="00FD5890">
        <w:rPr>
          <w:sz w:val="18"/>
          <w:szCs w:val="18"/>
          <w:rtl/>
        </w:rPr>
        <w:t>–</w:t>
      </w:r>
      <w:r w:rsidRPr="00FD5890">
        <w:rPr>
          <w:rFonts w:hint="cs"/>
          <w:sz w:val="18"/>
          <w:szCs w:val="18"/>
          <w:rtl/>
        </w:rPr>
        <w:t xml:space="preserve"> כשורה </w:t>
      </w:r>
      <w:r w:rsidRPr="00FD5890">
        <w:rPr>
          <w:sz w:val="18"/>
          <w:szCs w:val="18"/>
          <w:rtl/>
        </w:rPr>
        <w:t>–</w:t>
      </w:r>
      <w:r w:rsidRPr="00FD5890">
        <w:rPr>
          <w:rFonts w:hint="cs"/>
          <w:sz w:val="18"/>
          <w:szCs w:val="18"/>
          <w:rtl/>
        </w:rPr>
        <w:t xml:space="preserve"> מדובר בטיפות טיפות עשויות כשורה, אך אין מדובר בשורה ממש, שהרי אם כן היינו כרצועה. טיפין טיפין </w:t>
      </w:r>
      <w:r w:rsidRPr="00FD5890">
        <w:rPr>
          <w:sz w:val="18"/>
          <w:szCs w:val="18"/>
          <w:rtl/>
        </w:rPr>
        <w:t>–</w:t>
      </w:r>
      <w:r w:rsidRPr="00FD5890">
        <w:rPr>
          <w:rFonts w:hint="cs"/>
          <w:sz w:val="18"/>
          <w:szCs w:val="18"/>
          <w:rtl/>
        </w:rPr>
        <w:t xml:space="preserve"> מדובר בטיפות פזורות באי סדר.</w:t>
      </w:r>
      <w:r w:rsidRPr="00FD5890">
        <w:rPr>
          <w:sz w:val="18"/>
          <w:szCs w:val="18"/>
          <w:rtl/>
        </w:rPr>
        <w:br/>
      </w:r>
      <w:r w:rsidRPr="00FD5890">
        <w:rPr>
          <w:rFonts w:hint="cs"/>
          <w:b/>
          <w:bCs/>
          <w:sz w:val="18"/>
          <w:szCs w:val="18"/>
          <w:rtl/>
        </w:rPr>
        <w:t>רשב"ם</w:t>
      </w:r>
      <w:r w:rsidRPr="00FD5890">
        <w:rPr>
          <w:rFonts w:hint="cs"/>
          <w:sz w:val="18"/>
          <w:szCs w:val="18"/>
          <w:rtl/>
        </w:rPr>
        <w:t xml:space="preserve"> </w:t>
      </w:r>
      <w:r w:rsidRPr="00FD5890">
        <w:rPr>
          <w:sz w:val="18"/>
          <w:szCs w:val="18"/>
          <w:rtl/>
        </w:rPr>
        <w:t>–</w:t>
      </w:r>
      <w:r w:rsidRPr="00FD5890">
        <w:rPr>
          <w:rFonts w:hint="cs"/>
          <w:sz w:val="18"/>
          <w:szCs w:val="18"/>
          <w:rtl/>
        </w:rPr>
        <w:t xml:space="preserve"> שורה </w:t>
      </w:r>
      <w:r w:rsidRPr="00FD5890">
        <w:rPr>
          <w:sz w:val="18"/>
          <w:szCs w:val="18"/>
          <w:rtl/>
        </w:rPr>
        <w:t>–</w:t>
      </w:r>
      <w:r w:rsidRPr="00FD5890">
        <w:rPr>
          <w:rFonts w:hint="cs"/>
          <w:sz w:val="18"/>
          <w:szCs w:val="18"/>
          <w:rtl/>
        </w:rPr>
        <w:t xml:space="preserve"> הרבה שורות של דם אחת ליד חברתה. טיפין טיפין </w:t>
      </w:r>
      <w:r w:rsidRPr="00FD5890">
        <w:rPr>
          <w:sz w:val="18"/>
          <w:szCs w:val="18"/>
          <w:rtl/>
        </w:rPr>
        <w:t>–</w:t>
      </w:r>
      <w:r w:rsidRPr="00FD5890">
        <w:rPr>
          <w:rFonts w:hint="cs"/>
          <w:sz w:val="18"/>
          <w:szCs w:val="18"/>
          <w:rtl/>
        </w:rPr>
        <w:t xml:space="preserve"> עשויות כשורה או כשיר.</w:t>
      </w:r>
    </w:p>
  </w:footnote>
  <w:footnote w:id="270">
    <w:p w:rsidR="005953C5" w:rsidRDefault="005953C5" w:rsidP="00620060">
      <w:pPr>
        <w:pStyle w:val="a3"/>
        <w:rPr>
          <w:rtl/>
        </w:rPr>
      </w:pPr>
      <w:r w:rsidRPr="00C81626">
        <w:rPr>
          <w:rStyle w:val="a5"/>
          <w:sz w:val="18"/>
          <w:szCs w:val="18"/>
        </w:rPr>
        <w:footnoteRef/>
      </w:r>
      <w:r w:rsidRPr="00C81626">
        <w:rPr>
          <w:sz w:val="18"/>
          <w:szCs w:val="18"/>
          <w:rtl/>
        </w:rPr>
        <w:t xml:space="preserve"> </w:t>
      </w:r>
      <w:r w:rsidRPr="00C81626">
        <w:rPr>
          <w:rFonts w:hint="cs"/>
          <w:sz w:val="18"/>
          <w:szCs w:val="18"/>
          <w:rtl/>
        </w:rPr>
        <w:t>שהרי הדיחוי בגמרא בבעיא של רבי ירמיה אינו מכוון לדינא, כאמור לעיל.</w:t>
      </w:r>
    </w:p>
  </w:footnote>
  <w:footnote w:id="271">
    <w:p w:rsidR="005953C5" w:rsidRDefault="005953C5" w:rsidP="00620060">
      <w:pPr>
        <w:pStyle w:val="a3"/>
        <w:rPr>
          <w:rtl/>
        </w:rPr>
      </w:pPr>
      <w:r w:rsidRPr="00740F4A">
        <w:rPr>
          <w:rStyle w:val="a5"/>
          <w:sz w:val="18"/>
          <w:szCs w:val="18"/>
        </w:rPr>
        <w:footnoteRef/>
      </w:r>
      <w:r w:rsidRPr="00740F4A">
        <w:rPr>
          <w:sz w:val="18"/>
          <w:szCs w:val="18"/>
          <w:rtl/>
        </w:rPr>
        <w:t xml:space="preserve"> </w:t>
      </w:r>
      <w:r w:rsidRPr="00740F4A">
        <w:rPr>
          <w:rFonts w:hint="cs"/>
          <w:sz w:val="18"/>
          <w:szCs w:val="18"/>
          <w:rtl/>
        </w:rPr>
        <w:t xml:space="preserve">כפירוש הרשב"א פירשו גם הרמב"ם והרא"ש. ברם, קיים הבדל בין השיטות לדינא - </w:t>
      </w:r>
      <w:r w:rsidRPr="00740F4A">
        <w:rPr>
          <w:sz w:val="18"/>
          <w:szCs w:val="18"/>
          <w:rtl/>
        </w:rPr>
        <w:br/>
      </w:r>
      <w:r w:rsidRPr="00740F4A">
        <w:rPr>
          <w:rFonts w:hint="cs"/>
          <w:sz w:val="18"/>
          <w:szCs w:val="18"/>
          <w:rtl/>
        </w:rPr>
        <w:t>הרשב"א סובר שכתם העשוי טיפות אינו מצטרף לא בבגד ולא בבשרה, כפשט הברייתא לקמן, אך הרמב"ם והרא"ש סוברים שכתם על בשרה מטמא אפילו בכל שהוא. לשיטתם, הברייתא לקמן שנויה רק לגבי כתם הנמצא על הבגד, אך כתם בבשרה מצטרף, כתירוץ התוספות.</w:t>
      </w:r>
    </w:p>
  </w:footnote>
  <w:footnote w:id="272">
    <w:p w:rsidR="005953C5" w:rsidRDefault="005953C5" w:rsidP="00620060">
      <w:pPr>
        <w:pStyle w:val="a3"/>
      </w:pPr>
      <w:r w:rsidRPr="009F2C09">
        <w:rPr>
          <w:rStyle w:val="a5"/>
          <w:sz w:val="18"/>
          <w:szCs w:val="18"/>
        </w:rPr>
        <w:footnoteRef/>
      </w:r>
      <w:r w:rsidRPr="009F2C09">
        <w:rPr>
          <w:sz w:val="18"/>
          <w:szCs w:val="18"/>
          <w:rtl/>
        </w:rPr>
        <w:t xml:space="preserve"> </w:t>
      </w:r>
      <w:r w:rsidRPr="009F2C09">
        <w:rPr>
          <w:rFonts w:hint="cs"/>
          <w:sz w:val="18"/>
          <w:szCs w:val="18"/>
          <w:rtl/>
        </w:rPr>
        <w:t>פסק זה הוא ע"פ הבעיא של רבי ירמיה המצוטטת בסעיף הקודם, וכפי פירוש הרמב"ם, עיי"ש.</w:t>
      </w:r>
    </w:p>
  </w:footnote>
  <w:footnote w:id="273">
    <w:p w:rsidR="005953C5" w:rsidRDefault="005953C5" w:rsidP="00620060">
      <w:pPr>
        <w:pStyle w:val="a3"/>
      </w:pPr>
      <w:r w:rsidRPr="007C4944">
        <w:rPr>
          <w:rStyle w:val="a5"/>
          <w:sz w:val="18"/>
          <w:szCs w:val="18"/>
        </w:rPr>
        <w:footnoteRef/>
      </w:r>
      <w:r w:rsidRPr="007C4944">
        <w:rPr>
          <w:sz w:val="18"/>
          <w:szCs w:val="18"/>
          <w:rtl/>
        </w:rPr>
        <w:t xml:space="preserve"> </w:t>
      </w:r>
      <w:r w:rsidRPr="005717F7">
        <w:rPr>
          <w:rFonts w:hint="cs"/>
          <w:b/>
          <w:bCs/>
          <w:sz w:val="18"/>
          <w:szCs w:val="18"/>
          <w:rtl/>
        </w:rPr>
        <w:t>הב"ח</w:t>
      </w:r>
      <w:r w:rsidRPr="007C4944">
        <w:rPr>
          <w:rFonts w:hint="cs"/>
          <w:sz w:val="18"/>
          <w:szCs w:val="18"/>
          <w:rtl/>
        </w:rPr>
        <w:t xml:space="preserve"> מסתפק מהי כוונת המחבר בדבריו כאן </w:t>
      </w:r>
      <w:r w:rsidRPr="007C4944">
        <w:rPr>
          <w:sz w:val="18"/>
          <w:szCs w:val="18"/>
          <w:rtl/>
        </w:rPr>
        <w:t>–</w:t>
      </w:r>
      <w:r w:rsidRPr="007C4944">
        <w:rPr>
          <w:rFonts w:hint="cs"/>
          <w:sz w:val="18"/>
          <w:szCs w:val="18"/>
          <w:rtl/>
        </w:rPr>
        <w:t xml:space="preserve"> אם נאמר שכוונת המחבר לומר שאפילו כשאין שיעור גריס טמאה, קשה ממה שכתב בסעיף הקודם </w:t>
      </w:r>
      <w:r>
        <w:rPr>
          <w:rFonts w:hint="cs"/>
          <w:sz w:val="18"/>
          <w:szCs w:val="18"/>
          <w:rtl/>
        </w:rPr>
        <w:t>ב</w:t>
      </w:r>
      <w:r w:rsidRPr="007C4944">
        <w:rPr>
          <w:rFonts w:hint="cs"/>
          <w:sz w:val="18"/>
          <w:szCs w:val="18"/>
          <w:rtl/>
        </w:rPr>
        <w:t>שם יש אומרים שטיפות הדם מצטרפות לכגריס, ואילו כאן פסק באופן סתמי שאפילו בכל שהוא טמאה! ואם נאמר שכוונת המחבר היא כפי פירוש הרשב"א לרמב"ם, שבכה"ג של צורות שונות אינה טמאה בצירוף אלא אם כן יש שיעור גריס ועוד במקום אחד, נמצא הרמב"ם מקל יותר מ</w:t>
      </w:r>
      <w:r>
        <w:rPr>
          <w:rFonts w:hint="cs"/>
          <w:sz w:val="18"/>
          <w:szCs w:val="18"/>
          <w:rtl/>
        </w:rPr>
        <w:t>יש</w:t>
      </w:r>
      <w:r w:rsidRPr="007C4944">
        <w:rPr>
          <w:rFonts w:hint="cs"/>
          <w:sz w:val="18"/>
          <w:szCs w:val="18"/>
          <w:rtl/>
        </w:rPr>
        <w:t xml:space="preserve"> אומרים שבסעיף הקודם.</w:t>
      </w:r>
      <w:r w:rsidRPr="007C4944">
        <w:rPr>
          <w:sz w:val="18"/>
          <w:szCs w:val="18"/>
          <w:rtl/>
        </w:rPr>
        <w:br/>
      </w:r>
      <w:r w:rsidRPr="005717F7">
        <w:rPr>
          <w:rFonts w:hint="cs"/>
          <w:b/>
          <w:bCs/>
          <w:sz w:val="18"/>
          <w:szCs w:val="18"/>
          <w:rtl/>
        </w:rPr>
        <w:t>ש"ך</w:t>
      </w:r>
      <w:r w:rsidRPr="007C4944">
        <w:rPr>
          <w:rFonts w:hint="cs"/>
          <w:sz w:val="18"/>
          <w:szCs w:val="18"/>
          <w:rtl/>
        </w:rPr>
        <w:t xml:space="preserve"> </w:t>
      </w:r>
      <w:r w:rsidRPr="007C4944">
        <w:rPr>
          <w:sz w:val="18"/>
          <w:szCs w:val="18"/>
          <w:rtl/>
        </w:rPr>
        <w:t>–</w:t>
      </w:r>
      <w:r w:rsidRPr="007C4944">
        <w:rPr>
          <w:rFonts w:hint="cs"/>
          <w:sz w:val="18"/>
          <w:szCs w:val="18"/>
          <w:rtl/>
        </w:rPr>
        <w:t xml:space="preserve"> דברי הב"ח תמוהים, אין כלל אפשרות להבין ברמב"ם כפי שהבין הב"ח ברשב"א. ההסבר הפשוט ברמב"ם הוא</w:t>
      </w:r>
      <w:r>
        <w:rPr>
          <w:rFonts w:hint="cs"/>
          <w:sz w:val="18"/>
          <w:szCs w:val="18"/>
          <w:rtl/>
        </w:rPr>
        <w:t xml:space="preserve"> </w:t>
      </w:r>
      <w:r w:rsidRPr="007C4944">
        <w:rPr>
          <w:rFonts w:hint="cs"/>
          <w:sz w:val="18"/>
          <w:szCs w:val="18"/>
          <w:rtl/>
        </w:rPr>
        <w:t>שבכל כתם הנמצא על בשרה טמאה, ואין להתחשב כלל מה שיעור הכתם. אלא הדבר ברור שכוונת הרמב"ם והמחבר כאן לומר שאע"פ שהכתם משונה, מכל מקום מקורו באשה וטמא, אך אין כוונתם לברר כאן מהו שיעור הכתם לטמא.</w:t>
      </w:r>
    </w:p>
  </w:footnote>
  <w:footnote w:id="274">
    <w:p w:rsidR="005953C5" w:rsidRDefault="005953C5" w:rsidP="00620060">
      <w:pPr>
        <w:pStyle w:val="a3"/>
      </w:pPr>
      <w:r w:rsidRPr="00E81B87">
        <w:rPr>
          <w:rStyle w:val="a5"/>
          <w:sz w:val="18"/>
          <w:szCs w:val="18"/>
        </w:rPr>
        <w:footnoteRef/>
      </w:r>
      <w:r w:rsidRPr="00E81B87">
        <w:rPr>
          <w:sz w:val="18"/>
          <w:szCs w:val="18"/>
          <w:rtl/>
        </w:rPr>
        <w:t xml:space="preserve"> </w:t>
      </w:r>
      <w:r w:rsidRPr="00E81B87">
        <w:rPr>
          <w:rFonts w:hint="cs"/>
          <w:b/>
          <w:bCs/>
          <w:sz w:val="18"/>
          <w:szCs w:val="18"/>
          <w:rtl/>
        </w:rPr>
        <w:t>ערוך לנר</w:t>
      </w:r>
      <w:r w:rsidRPr="00E81B87">
        <w:rPr>
          <w:rFonts w:hint="cs"/>
          <w:sz w:val="18"/>
          <w:szCs w:val="18"/>
          <w:rtl/>
        </w:rPr>
        <w:t xml:space="preserve"> </w:t>
      </w:r>
      <w:r w:rsidRPr="00E81B87">
        <w:rPr>
          <w:sz w:val="18"/>
          <w:szCs w:val="18"/>
          <w:rtl/>
        </w:rPr>
        <w:t>–</w:t>
      </w:r>
      <w:r w:rsidRPr="00E81B87">
        <w:rPr>
          <w:rFonts w:hint="cs"/>
          <w:sz w:val="18"/>
          <w:szCs w:val="18"/>
          <w:rtl/>
        </w:rPr>
        <w:t xml:space="preserve"> לכאורה דברי התוספות לא אתי שפיר, שהרי אם דם נידה ודאי נוטף על כלי שאינו מקבל טומאה, הכלי טהור והאשה טמאה, ומדוע לא נאמר אף בכה"ג שאין לחלק בין האשה לכלי ולטהר אותה?</w:t>
      </w:r>
      <w:r w:rsidRPr="00E81B87">
        <w:rPr>
          <w:sz w:val="18"/>
          <w:szCs w:val="18"/>
          <w:rtl/>
        </w:rPr>
        <w:br/>
      </w:r>
      <w:r w:rsidRPr="00E81B87">
        <w:rPr>
          <w:rFonts w:hint="cs"/>
          <w:sz w:val="18"/>
          <w:szCs w:val="18"/>
          <w:rtl/>
        </w:rPr>
        <w:t>אלא, כ</w:t>
      </w:r>
      <w:r>
        <w:rPr>
          <w:rFonts w:hint="cs"/>
          <w:sz w:val="18"/>
          <w:szCs w:val="18"/>
          <w:rtl/>
        </w:rPr>
        <w:t>אש</w:t>
      </w:r>
      <w:r w:rsidRPr="00E81B87">
        <w:rPr>
          <w:rFonts w:hint="cs"/>
          <w:sz w:val="18"/>
          <w:szCs w:val="18"/>
          <w:rtl/>
        </w:rPr>
        <w:t>ר יוצא ממנה דם נידה ודאי הטומאה באה ממנה ולא מהכלי, לכן היא טמאה אע"פ שהכלי טהור</w:t>
      </w:r>
      <w:r>
        <w:rPr>
          <w:rFonts w:hint="cs"/>
          <w:sz w:val="18"/>
          <w:szCs w:val="18"/>
          <w:rtl/>
        </w:rPr>
        <w:t>.</w:t>
      </w:r>
      <w:r w:rsidRPr="00E81B87">
        <w:rPr>
          <w:rFonts w:hint="cs"/>
          <w:sz w:val="18"/>
          <w:szCs w:val="18"/>
          <w:rtl/>
        </w:rPr>
        <w:t xml:space="preserve"> אך בכתם הטומאה לא באה ממנה אלא רק מחמת שנמצא הכתם על הכלי, ובכה"ג לא מסתבר לומר שהדבר הגורם טומאה טהור ואילו היא עצמה טמאה.</w:t>
      </w:r>
    </w:p>
  </w:footnote>
  <w:footnote w:id="275">
    <w:p w:rsidR="005953C5" w:rsidRDefault="005953C5" w:rsidP="00620060">
      <w:pPr>
        <w:pStyle w:val="a3"/>
      </w:pPr>
      <w:r w:rsidRPr="005508C6">
        <w:rPr>
          <w:rStyle w:val="a5"/>
          <w:sz w:val="18"/>
          <w:szCs w:val="18"/>
        </w:rPr>
        <w:footnoteRef/>
      </w:r>
      <w:r w:rsidRPr="005508C6">
        <w:rPr>
          <w:sz w:val="18"/>
          <w:szCs w:val="18"/>
          <w:rtl/>
        </w:rPr>
        <w:t xml:space="preserve"> </w:t>
      </w:r>
      <w:r w:rsidRPr="005508C6">
        <w:rPr>
          <w:rFonts w:hint="cs"/>
          <w:sz w:val="18"/>
          <w:szCs w:val="18"/>
          <w:rtl/>
        </w:rPr>
        <w:t xml:space="preserve">כלומר </w:t>
      </w:r>
      <w:r w:rsidRPr="005508C6">
        <w:rPr>
          <w:sz w:val="18"/>
          <w:szCs w:val="18"/>
          <w:rtl/>
        </w:rPr>
        <w:t>–</w:t>
      </w:r>
      <w:r w:rsidRPr="005508C6">
        <w:rPr>
          <w:rFonts w:hint="cs"/>
          <w:sz w:val="18"/>
          <w:szCs w:val="18"/>
          <w:rtl/>
        </w:rPr>
        <w:t xml:space="preserve"> לא היה ברור האם מקור הכתם בדם האשה או לא, רבי ינאי הורה שהאשה תחזור על פעולת האריגה שעשתה לפני כן, ואם אירע שהמקום עליו נמצא הדם חוזר ובא לה כנגד אותו מקום </w:t>
      </w:r>
      <w:r w:rsidRPr="005508C6">
        <w:rPr>
          <w:sz w:val="18"/>
          <w:szCs w:val="18"/>
          <w:rtl/>
        </w:rPr>
        <w:t>–</w:t>
      </w:r>
      <w:r w:rsidRPr="005508C6">
        <w:rPr>
          <w:rFonts w:hint="cs"/>
          <w:sz w:val="18"/>
          <w:szCs w:val="18"/>
          <w:rtl/>
        </w:rPr>
        <w:t xml:space="preserve"> טמאה</w:t>
      </w:r>
      <w:r>
        <w:rPr>
          <w:rFonts w:hint="cs"/>
          <w:sz w:val="18"/>
          <w:szCs w:val="18"/>
          <w:rtl/>
        </w:rPr>
        <w:t>, לפי שיש לומר שהדם ממנה</w:t>
      </w:r>
      <w:r w:rsidRPr="005508C6">
        <w:rPr>
          <w:rFonts w:hint="cs"/>
          <w:sz w:val="18"/>
          <w:szCs w:val="18"/>
          <w:rtl/>
        </w:rPr>
        <w:t>.</w:t>
      </w:r>
    </w:p>
  </w:footnote>
  <w:footnote w:id="276">
    <w:p w:rsidR="005953C5" w:rsidRDefault="005953C5" w:rsidP="00620060">
      <w:pPr>
        <w:pStyle w:val="a3"/>
      </w:pPr>
      <w:r w:rsidRPr="00D24A46">
        <w:rPr>
          <w:rStyle w:val="a5"/>
          <w:sz w:val="18"/>
          <w:szCs w:val="18"/>
        </w:rPr>
        <w:footnoteRef/>
      </w:r>
      <w:r w:rsidRPr="00D24A46">
        <w:rPr>
          <w:sz w:val="18"/>
          <w:szCs w:val="18"/>
          <w:rtl/>
        </w:rPr>
        <w:t xml:space="preserve"> </w:t>
      </w:r>
      <w:r w:rsidRPr="00D24A46">
        <w:rPr>
          <w:rFonts w:hint="cs"/>
          <w:sz w:val="18"/>
          <w:szCs w:val="18"/>
          <w:rtl/>
        </w:rPr>
        <w:t>כפי שנאמר להדיא בגמר(ס:): "</w:t>
      </w:r>
      <w:r w:rsidRPr="00D24A46">
        <w:rPr>
          <w:rFonts w:cs="Arial"/>
          <w:sz w:val="18"/>
          <w:szCs w:val="18"/>
          <w:rtl/>
        </w:rPr>
        <w:t>אמר רב הונא אמר רבי חנינא: מטהר היה רבי נחמיה אפילו באחורי כלי חרס. פשיטא! מהו דתימא: ליגזור גבו אטו תוכו - קמ"ל. אמר אביי: מטהר היה ר</w:t>
      </w:r>
      <w:r w:rsidRPr="00D24A46">
        <w:rPr>
          <w:rFonts w:cs="Arial" w:hint="cs"/>
          <w:sz w:val="18"/>
          <w:szCs w:val="18"/>
          <w:rtl/>
        </w:rPr>
        <w:t>בי</w:t>
      </w:r>
      <w:r w:rsidRPr="00D24A46">
        <w:rPr>
          <w:rFonts w:cs="Arial"/>
          <w:sz w:val="18"/>
          <w:szCs w:val="18"/>
          <w:rtl/>
        </w:rPr>
        <w:t xml:space="preserve"> נחמיה במטלניות שאין בהן שלש על שלש, דלא חזיין לא לעניים ולא לעשירים</w:t>
      </w:r>
      <w:r w:rsidRPr="00D24A46">
        <w:rPr>
          <w:rFonts w:cs="Arial" w:hint="cs"/>
          <w:sz w:val="18"/>
          <w:szCs w:val="18"/>
          <w:rtl/>
        </w:rPr>
        <w:t>".</w:t>
      </w:r>
    </w:p>
  </w:footnote>
  <w:footnote w:id="277">
    <w:p w:rsidR="005953C5" w:rsidRDefault="005953C5" w:rsidP="00620060">
      <w:pPr>
        <w:pStyle w:val="a3"/>
      </w:pPr>
      <w:r w:rsidRPr="005E6B21">
        <w:rPr>
          <w:rStyle w:val="a5"/>
          <w:sz w:val="18"/>
          <w:szCs w:val="18"/>
        </w:rPr>
        <w:footnoteRef/>
      </w:r>
      <w:r w:rsidRPr="005E6B21">
        <w:rPr>
          <w:sz w:val="18"/>
          <w:szCs w:val="18"/>
          <w:rtl/>
        </w:rPr>
        <w:t xml:space="preserve"> </w:t>
      </w:r>
      <w:r w:rsidRPr="005E6B21">
        <w:rPr>
          <w:rFonts w:hint="cs"/>
          <w:sz w:val="18"/>
          <w:szCs w:val="18"/>
          <w:rtl/>
        </w:rPr>
        <w:t xml:space="preserve">אמנם, </w:t>
      </w:r>
      <w:r w:rsidRPr="005E6B21">
        <w:rPr>
          <w:rFonts w:hint="cs"/>
          <w:b/>
          <w:bCs/>
          <w:sz w:val="18"/>
          <w:szCs w:val="18"/>
          <w:rtl/>
        </w:rPr>
        <w:t>בדה"ש</w:t>
      </w:r>
      <w:r w:rsidRPr="005E6B21">
        <w:rPr>
          <w:rFonts w:hint="cs"/>
          <w:sz w:val="18"/>
          <w:szCs w:val="18"/>
          <w:rtl/>
        </w:rPr>
        <w:t xml:space="preserve"> החמיר </w:t>
      </w:r>
      <w:r w:rsidRPr="005E6B21">
        <w:rPr>
          <w:rFonts w:hint="cs"/>
          <w:b/>
          <w:bCs/>
          <w:sz w:val="18"/>
          <w:szCs w:val="18"/>
          <w:rtl/>
        </w:rPr>
        <w:t>כסד"ט</w:t>
      </w:r>
      <w:r w:rsidRPr="005E6B21">
        <w:rPr>
          <w:rFonts w:hint="cs"/>
          <w:sz w:val="18"/>
          <w:szCs w:val="18"/>
          <w:rtl/>
        </w:rPr>
        <w:t>.</w:t>
      </w:r>
    </w:p>
  </w:footnote>
  <w:footnote w:id="278">
    <w:p w:rsidR="005953C5" w:rsidRDefault="005953C5" w:rsidP="00620060">
      <w:pPr>
        <w:pStyle w:val="a3"/>
        <w:rPr>
          <w:rtl/>
        </w:rPr>
      </w:pPr>
      <w:r w:rsidRPr="00251063">
        <w:rPr>
          <w:rStyle w:val="a5"/>
          <w:sz w:val="18"/>
          <w:szCs w:val="18"/>
        </w:rPr>
        <w:footnoteRef/>
      </w:r>
      <w:r w:rsidRPr="00251063">
        <w:rPr>
          <w:sz w:val="18"/>
          <w:szCs w:val="18"/>
          <w:rtl/>
        </w:rPr>
        <w:t xml:space="preserve"> </w:t>
      </w:r>
      <w:r w:rsidRPr="009227E3">
        <w:rPr>
          <w:rFonts w:hint="cs"/>
          <w:b/>
          <w:bCs/>
          <w:sz w:val="18"/>
          <w:szCs w:val="18"/>
          <w:rtl/>
        </w:rPr>
        <w:t>פת"ש</w:t>
      </w:r>
      <w:r w:rsidRPr="00251063">
        <w:rPr>
          <w:rFonts w:hint="cs"/>
          <w:sz w:val="18"/>
          <w:szCs w:val="18"/>
          <w:rtl/>
        </w:rPr>
        <w:t xml:space="preserve"> </w:t>
      </w:r>
      <w:r w:rsidRPr="00251063">
        <w:rPr>
          <w:sz w:val="18"/>
          <w:szCs w:val="18"/>
          <w:rtl/>
        </w:rPr>
        <w:t>–</w:t>
      </w:r>
      <w:r w:rsidRPr="00251063">
        <w:rPr>
          <w:rFonts w:hint="cs"/>
          <w:sz w:val="18"/>
          <w:szCs w:val="18"/>
          <w:rtl/>
        </w:rPr>
        <w:t xml:space="preserve"> הדגמ"ר תמה מדוע המחבר לא חשש לסברת </w:t>
      </w:r>
      <w:r w:rsidRPr="00251063">
        <w:rPr>
          <w:rFonts w:hint="cs"/>
          <w:b/>
          <w:bCs/>
          <w:sz w:val="18"/>
          <w:szCs w:val="18"/>
          <w:rtl/>
        </w:rPr>
        <w:t>רבינו שמחה</w:t>
      </w:r>
      <w:r w:rsidRPr="00251063">
        <w:rPr>
          <w:rFonts w:hint="cs"/>
          <w:sz w:val="18"/>
          <w:szCs w:val="18"/>
          <w:rtl/>
        </w:rPr>
        <w:t xml:space="preserve">, </w:t>
      </w:r>
      <w:r w:rsidRPr="00251063">
        <w:rPr>
          <w:rFonts w:hint="cs"/>
          <w:b/>
          <w:bCs/>
          <w:sz w:val="18"/>
          <w:szCs w:val="18"/>
          <w:rtl/>
        </w:rPr>
        <w:t>הראב"ן והרמב"ן</w:t>
      </w:r>
      <w:r w:rsidRPr="00251063">
        <w:rPr>
          <w:rFonts w:hint="cs"/>
          <w:sz w:val="18"/>
          <w:szCs w:val="18"/>
          <w:rtl/>
        </w:rPr>
        <w:t xml:space="preserve"> שמטמאים לבעלה?</w:t>
      </w:r>
      <w:r>
        <w:rPr>
          <w:sz w:val="18"/>
          <w:szCs w:val="18"/>
          <w:rtl/>
        </w:rPr>
        <w:br/>
      </w:r>
      <w:r>
        <w:rPr>
          <w:rFonts w:hint="cs"/>
          <w:sz w:val="18"/>
          <w:szCs w:val="18"/>
          <w:rtl/>
        </w:rPr>
        <w:t xml:space="preserve">אמנם עיין בספר </w:t>
      </w:r>
      <w:r w:rsidRPr="009227E3">
        <w:rPr>
          <w:rFonts w:hint="cs"/>
          <w:b/>
          <w:bCs/>
          <w:sz w:val="18"/>
          <w:szCs w:val="18"/>
          <w:rtl/>
        </w:rPr>
        <w:t>טהרת הבית</w:t>
      </w:r>
      <w:r>
        <w:rPr>
          <w:rFonts w:hint="cs"/>
          <w:sz w:val="18"/>
          <w:szCs w:val="18"/>
          <w:rtl/>
        </w:rPr>
        <w:t xml:space="preserve"> שתירץ קושייה זו, ומנה ראשונים רבים החולקים על שיטת </w:t>
      </w:r>
      <w:r w:rsidRPr="009227E3">
        <w:rPr>
          <w:rFonts w:hint="cs"/>
          <w:b/>
          <w:bCs/>
          <w:sz w:val="18"/>
          <w:szCs w:val="18"/>
          <w:rtl/>
        </w:rPr>
        <w:t>רבינו שמחה והרמב"ן</w:t>
      </w:r>
      <w:r>
        <w:rPr>
          <w:rFonts w:hint="cs"/>
          <w:sz w:val="18"/>
          <w:szCs w:val="18"/>
          <w:rtl/>
        </w:rPr>
        <w:t xml:space="preserve"> ומטהרים, ורבים המקלים מהאוסרים. ואפילו אם היה זה ספק שקול, יש ללכת לקולא משום שבכתמים שומעים למקלים.</w:t>
      </w:r>
    </w:p>
  </w:footnote>
  <w:footnote w:id="279">
    <w:p w:rsidR="005953C5" w:rsidRDefault="005953C5" w:rsidP="00620060">
      <w:pPr>
        <w:pStyle w:val="a3"/>
      </w:pPr>
      <w:r w:rsidRPr="005715FD">
        <w:rPr>
          <w:rStyle w:val="a5"/>
          <w:sz w:val="18"/>
          <w:szCs w:val="18"/>
        </w:rPr>
        <w:footnoteRef/>
      </w:r>
      <w:r w:rsidRPr="005715FD">
        <w:rPr>
          <w:sz w:val="18"/>
          <w:szCs w:val="18"/>
          <w:rtl/>
        </w:rPr>
        <w:t xml:space="preserve"> </w:t>
      </w:r>
      <w:r w:rsidRPr="005715FD">
        <w:rPr>
          <w:rFonts w:hint="cs"/>
          <w:sz w:val="18"/>
          <w:szCs w:val="18"/>
          <w:rtl/>
        </w:rPr>
        <w:t xml:space="preserve">כדי לחדד הלכה זו, מועתקת כאן לשון הגרע"י </w:t>
      </w:r>
      <w:r w:rsidRPr="005027F8">
        <w:rPr>
          <w:rFonts w:hint="cs"/>
          <w:sz w:val="18"/>
          <w:szCs w:val="18"/>
          <w:rtl/>
        </w:rPr>
        <w:t>בספרו</w:t>
      </w:r>
      <w:r>
        <w:rPr>
          <w:rFonts w:hint="cs"/>
          <w:b/>
          <w:bCs/>
          <w:sz w:val="18"/>
          <w:szCs w:val="18"/>
          <w:rtl/>
        </w:rPr>
        <w:t xml:space="preserve"> </w:t>
      </w:r>
      <w:r w:rsidRPr="005027F8">
        <w:rPr>
          <w:rFonts w:hint="cs"/>
          <w:b/>
          <w:bCs/>
          <w:sz w:val="18"/>
          <w:szCs w:val="18"/>
          <w:rtl/>
        </w:rPr>
        <w:t>טהרת הבית</w:t>
      </w:r>
      <w:r w:rsidRPr="005715FD">
        <w:rPr>
          <w:rFonts w:hint="cs"/>
          <w:sz w:val="18"/>
          <w:szCs w:val="18"/>
          <w:rtl/>
        </w:rPr>
        <w:t xml:space="preserve"> בדין זה: "כשגזרו חכמים על טומאת כתמים, לא גזרו על בגדי צבעונים, לפיכך כתם שנמצא בלי הרגשה על בגד צבוע, אפילו הוא סמוך לבשרה ממש טהורה. ואין חילוק בזה בין בגד הצבוע בצבע אדום או ורוד או צהוב, לשאר צבעים. וכן אין חילוק בין בגד הצבוע בידי אדם לבין הצבוע כך מברייתו בידי שמיים. </w:t>
      </w:r>
      <w:r w:rsidRPr="005715FD">
        <w:rPr>
          <w:rFonts w:hint="cs"/>
          <w:sz w:val="18"/>
          <w:szCs w:val="18"/>
          <w:u w:val="single"/>
          <w:rtl/>
        </w:rPr>
        <w:t>ואף על פי שברור למורה ההוראה שהוא דם היוצא מגופה, כיון שלא הרגישה ואין טומאתו אלא מדברי סופרים, הם אמרו והם אמרו</w:t>
      </w:r>
      <w:r w:rsidRPr="005715FD">
        <w:rPr>
          <w:rFonts w:hint="cs"/>
          <w:sz w:val="18"/>
          <w:szCs w:val="18"/>
          <w:rtl/>
        </w:rPr>
        <w:t>".</w:t>
      </w:r>
    </w:p>
  </w:footnote>
  <w:footnote w:id="280">
    <w:p w:rsidR="005953C5" w:rsidRDefault="005953C5" w:rsidP="00620060">
      <w:pPr>
        <w:pStyle w:val="a3"/>
      </w:pPr>
      <w:r w:rsidRPr="00336AED">
        <w:rPr>
          <w:rStyle w:val="a5"/>
          <w:sz w:val="18"/>
          <w:szCs w:val="18"/>
        </w:rPr>
        <w:footnoteRef/>
      </w:r>
      <w:r w:rsidRPr="00336AED">
        <w:rPr>
          <w:sz w:val="18"/>
          <w:szCs w:val="18"/>
          <w:rtl/>
        </w:rPr>
        <w:t xml:space="preserve"> </w:t>
      </w:r>
      <w:r w:rsidRPr="00336AED">
        <w:rPr>
          <w:rFonts w:hint="cs"/>
          <w:sz w:val="18"/>
          <w:szCs w:val="18"/>
          <w:rtl/>
        </w:rPr>
        <w:t>אמנם, הסבר זה לא ניחא ע"פ גירסתנו בגמרא. בגירסה שלפנינו איתא מאי תקנינהו' ולא 'מאן תקנינהו'.</w:t>
      </w:r>
    </w:p>
  </w:footnote>
  <w:footnote w:id="281">
    <w:p w:rsidR="005953C5" w:rsidRDefault="005953C5" w:rsidP="00620060">
      <w:pPr>
        <w:pStyle w:val="a3"/>
      </w:pPr>
      <w:r w:rsidRPr="001B7CC6">
        <w:rPr>
          <w:rStyle w:val="a5"/>
          <w:sz w:val="18"/>
          <w:szCs w:val="18"/>
        </w:rPr>
        <w:footnoteRef/>
      </w:r>
      <w:r w:rsidRPr="001B7CC6">
        <w:rPr>
          <w:sz w:val="18"/>
          <w:szCs w:val="18"/>
          <w:rtl/>
        </w:rPr>
        <w:t xml:space="preserve"> </w:t>
      </w:r>
      <w:r w:rsidRPr="001B7CC6">
        <w:rPr>
          <w:rFonts w:hint="cs"/>
          <w:sz w:val="18"/>
          <w:szCs w:val="18"/>
          <w:rtl/>
        </w:rPr>
        <w:t xml:space="preserve">יש להעיר על כך שתי הערות - </w:t>
      </w:r>
      <w:r w:rsidRPr="001B7CC6">
        <w:rPr>
          <w:sz w:val="18"/>
          <w:szCs w:val="18"/>
          <w:rtl/>
        </w:rPr>
        <w:br/>
      </w:r>
      <w:r w:rsidRPr="001B7CC6">
        <w:rPr>
          <w:rFonts w:hint="cs"/>
          <w:sz w:val="18"/>
          <w:szCs w:val="18"/>
          <w:rtl/>
        </w:rPr>
        <w:t xml:space="preserve">א. </w:t>
      </w:r>
      <w:r w:rsidRPr="001B7CC6">
        <w:rPr>
          <w:rFonts w:hint="cs"/>
          <w:b/>
          <w:bCs/>
          <w:sz w:val="18"/>
          <w:szCs w:val="18"/>
          <w:rtl/>
        </w:rPr>
        <w:t>טה"ב</w:t>
      </w:r>
      <w:r w:rsidRPr="001B7CC6">
        <w:rPr>
          <w:rFonts w:hint="cs"/>
          <w:sz w:val="18"/>
          <w:szCs w:val="18"/>
          <w:rtl/>
        </w:rPr>
        <w:t xml:space="preserve"> כתב שיש אחרונים המחמירים בג' ימים הראשונים, ע"פ פסק הרמ"א, ולדינא הקל לספרדים ובני עדות המזרח, משמע שלנשים אשכנזיות אין לנהוג בקולא זו, וצ"ע.</w:t>
      </w:r>
      <w:r w:rsidRPr="001B7CC6">
        <w:rPr>
          <w:sz w:val="18"/>
          <w:szCs w:val="18"/>
          <w:rtl/>
        </w:rPr>
        <w:br/>
      </w:r>
      <w:r w:rsidRPr="001B7CC6">
        <w:rPr>
          <w:rFonts w:hint="cs"/>
          <w:sz w:val="18"/>
          <w:szCs w:val="18"/>
          <w:rtl/>
        </w:rPr>
        <w:t xml:space="preserve">ב. מדברי האחרונים המובאים בהערה של </w:t>
      </w:r>
      <w:r w:rsidRPr="001B7CC6">
        <w:rPr>
          <w:rFonts w:hint="cs"/>
          <w:b/>
          <w:bCs/>
          <w:sz w:val="18"/>
          <w:szCs w:val="18"/>
          <w:rtl/>
        </w:rPr>
        <w:t>טה"ב</w:t>
      </w:r>
      <w:r w:rsidRPr="001B7CC6">
        <w:rPr>
          <w:rFonts w:hint="cs"/>
          <w:sz w:val="18"/>
          <w:szCs w:val="18"/>
          <w:rtl/>
        </w:rPr>
        <w:t>, משמע שהקלו לכל אשה ולאו דווקא לאשה שמתקשה להיטהר, וצ"ע.</w:t>
      </w:r>
    </w:p>
  </w:footnote>
  <w:footnote w:id="282">
    <w:p w:rsidR="005953C5" w:rsidRDefault="005953C5" w:rsidP="00620060">
      <w:pPr>
        <w:pStyle w:val="a3"/>
      </w:pPr>
      <w:r w:rsidRPr="00983EAE">
        <w:rPr>
          <w:rStyle w:val="a5"/>
          <w:sz w:val="18"/>
          <w:szCs w:val="18"/>
        </w:rPr>
        <w:footnoteRef/>
      </w:r>
      <w:r w:rsidRPr="00983EAE">
        <w:rPr>
          <w:sz w:val="18"/>
          <w:szCs w:val="18"/>
          <w:rtl/>
        </w:rPr>
        <w:t xml:space="preserve"> </w:t>
      </w:r>
      <w:r w:rsidRPr="00983EAE">
        <w:rPr>
          <w:rFonts w:hint="cs"/>
          <w:b/>
          <w:bCs/>
          <w:sz w:val="18"/>
          <w:szCs w:val="18"/>
          <w:rtl/>
        </w:rPr>
        <w:t>הרב עובדיה</w:t>
      </w:r>
      <w:r w:rsidRPr="00983EAE">
        <w:rPr>
          <w:rFonts w:hint="cs"/>
          <w:sz w:val="18"/>
          <w:szCs w:val="18"/>
          <w:rtl/>
        </w:rPr>
        <w:t xml:space="preserve"> מרחיב בכך </w:t>
      </w:r>
      <w:r w:rsidRPr="00983EAE">
        <w:rPr>
          <w:sz w:val="18"/>
          <w:szCs w:val="18"/>
          <w:rtl/>
        </w:rPr>
        <w:t>–</w:t>
      </w:r>
      <w:r w:rsidRPr="00983EAE">
        <w:rPr>
          <w:rFonts w:hint="cs"/>
          <w:sz w:val="18"/>
          <w:szCs w:val="18"/>
          <w:rtl/>
        </w:rPr>
        <w:t xml:space="preserve"> </w:t>
      </w:r>
      <w:r w:rsidRPr="00983EAE">
        <w:rPr>
          <w:rFonts w:hint="cs"/>
          <w:b/>
          <w:bCs/>
          <w:sz w:val="18"/>
          <w:szCs w:val="18"/>
          <w:rtl/>
        </w:rPr>
        <w:t>בשו"ת באר יצחק</w:t>
      </w:r>
      <w:r w:rsidRPr="00983EAE">
        <w:rPr>
          <w:rFonts w:hint="cs"/>
          <w:sz w:val="18"/>
          <w:szCs w:val="18"/>
          <w:rtl/>
        </w:rPr>
        <w:t xml:space="preserve"> כתב </w:t>
      </w:r>
      <w:r w:rsidRPr="00983EAE">
        <w:rPr>
          <w:rFonts w:hint="cs"/>
          <w:b/>
          <w:bCs/>
          <w:sz w:val="18"/>
          <w:szCs w:val="18"/>
          <w:rtl/>
        </w:rPr>
        <w:t>שהר"ש והרא"ש</w:t>
      </w:r>
      <w:r w:rsidRPr="00983EAE">
        <w:rPr>
          <w:rFonts w:hint="cs"/>
          <w:sz w:val="18"/>
          <w:szCs w:val="18"/>
          <w:rtl/>
        </w:rPr>
        <w:t xml:space="preserve"> לגבי טומאת שלוש על שלוש </w:t>
      </w:r>
      <w:r w:rsidRPr="00983EAE">
        <w:rPr>
          <w:rFonts w:hint="cs"/>
          <w:sz w:val="16"/>
          <w:szCs w:val="16"/>
          <w:rtl/>
        </w:rPr>
        <w:t xml:space="preserve">(אצבעות) </w:t>
      </w:r>
      <w:r w:rsidRPr="00983EAE">
        <w:rPr>
          <w:rFonts w:hint="cs"/>
          <w:sz w:val="18"/>
          <w:szCs w:val="18"/>
          <w:rtl/>
        </w:rPr>
        <w:t xml:space="preserve">סתמו דבריהם ולא חילקו בין צמר ופשתים לשאר בגדים. טעמם, משום שהחילוק הנעשה בגמרא הנ"ל נאמר רק אליבא דרבי ישמעאל הסובר שסתם בגד האמור בתורה הוא צמר ופשתים, אך לרבנן סתם בגד האמור בתורה כולל את כל המינים, כמבואר בגמרא יבמות </w:t>
      </w:r>
      <w:r w:rsidRPr="00983EAE">
        <w:rPr>
          <w:rFonts w:hint="cs"/>
          <w:sz w:val="16"/>
          <w:szCs w:val="16"/>
          <w:rtl/>
        </w:rPr>
        <w:t xml:space="preserve">(ה. בראש העמוד וברש"י שם) </w:t>
      </w:r>
      <w:r w:rsidRPr="00983EAE">
        <w:rPr>
          <w:rFonts w:hint="cs"/>
          <w:sz w:val="18"/>
          <w:szCs w:val="18"/>
          <w:rtl/>
        </w:rPr>
        <w:t>ולכן כל בגד מקבל טומאה בשלוש על שלוש אצבעות.</w:t>
      </w:r>
      <w:r w:rsidRPr="00983EAE">
        <w:rPr>
          <w:sz w:val="18"/>
          <w:szCs w:val="18"/>
          <w:rtl/>
        </w:rPr>
        <w:br/>
      </w:r>
      <w:r w:rsidRPr="00983EAE">
        <w:rPr>
          <w:rFonts w:hint="cs"/>
          <w:sz w:val="18"/>
          <w:szCs w:val="18"/>
          <w:rtl/>
        </w:rPr>
        <w:t xml:space="preserve">בהלכות ציצית </w:t>
      </w:r>
      <w:r w:rsidRPr="00983EAE">
        <w:rPr>
          <w:rFonts w:hint="cs"/>
          <w:b/>
          <w:bCs/>
          <w:sz w:val="18"/>
          <w:szCs w:val="18"/>
          <w:rtl/>
        </w:rPr>
        <w:t xml:space="preserve">המחבר </w:t>
      </w:r>
      <w:r w:rsidRPr="00983EAE">
        <w:rPr>
          <w:rFonts w:hint="cs"/>
          <w:sz w:val="18"/>
          <w:szCs w:val="18"/>
          <w:rtl/>
        </w:rPr>
        <w:t xml:space="preserve">פוסק כדעת </w:t>
      </w:r>
      <w:r w:rsidRPr="00983EAE">
        <w:rPr>
          <w:rFonts w:hint="cs"/>
          <w:b/>
          <w:bCs/>
          <w:sz w:val="18"/>
          <w:szCs w:val="18"/>
          <w:rtl/>
        </w:rPr>
        <w:t>הרמב"ם</w:t>
      </w:r>
      <w:r w:rsidRPr="00983EAE">
        <w:rPr>
          <w:rFonts w:hint="cs"/>
          <w:sz w:val="18"/>
          <w:szCs w:val="18"/>
          <w:rtl/>
        </w:rPr>
        <w:t xml:space="preserve">, שרק בגד צמר ופשתים חייב מדאורייתא בציצית, אך שאר בגדים חייבים בציצית מדרבנן בלבד. </w:t>
      </w:r>
      <w:r w:rsidRPr="00983EAE">
        <w:rPr>
          <w:rFonts w:hint="cs"/>
          <w:b/>
          <w:bCs/>
          <w:sz w:val="18"/>
          <w:szCs w:val="18"/>
          <w:rtl/>
        </w:rPr>
        <w:t>הרמ"א</w:t>
      </w:r>
      <w:r w:rsidRPr="00983EAE">
        <w:rPr>
          <w:rFonts w:hint="cs"/>
          <w:sz w:val="18"/>
          <w:szCs w:val="18"/>
          <w:rtl/>
        </w:rPr>
        <w:t xml:space="preserve"> חולק וסובר שכל בגד חייב בציצית מדאורייתא, וטעמו משום שפוסק </w:t>
      </w:r>
      <w:r w:rsidRPr="00983EAE">
        <w:rPr>
          <w:rFonts w:hint="cs"/>
          <w:b/>
          <w:bCs/>
          <w:sz w:val="18"/>
          <w:szCs w:val="18"/>
          <w:rtl/>
        </w:rPr>
        <w:t>כר"ש והרא"ש</w:t>
      </w:r>
      <w:r w:rsidRPr="00983EAE">
        <w:rPr>
          <w:rFonts w:hint="cs"/>
          <w:sz w:val="18"/>
          <w:szCs w:val="18"/>
          <w:rtl/>
        </w:rPr>
        <w:t xml:space="preserve"> וכרבנן. </w:t>
      </w:r>
      <w:r w:rsidRPr="00983EAE">
        <w:rPr>
          <w:sz w:val="18"/>
          <w:szCs w:val="18"/>
          <w:rtl/>
        </w:rPr>
        <w:br/>
      </w:r>
      <w:r w:rsidRPr="00983EAE">
        <w:rPr>
          <w:rFonts w:hint="cs"/>
          <w:sz w:val="18"/>
          <w:szCs w:val="18"/>
          <w:rtl/>
        </w:rPr>
        <w:t xml:space="preserve">ולכאורה לדעת </w:t>
      </w:r>
      <w:r w:rsidRPr="00983EAE">
        <w:rPr>
          <w:rFonts w:hint="cs"/>
          <w:b/>
          <w:bCs/>
          <w:sz w:val="18"/>
          <w:szCs w:val="18"/>
          <w:rtl/>
        </w:rPr>
        <w:t>הרמ"א</w:t>
      </w:r>
      <w:r w:rsidRPr="00983EAE">
        <w:rPr>
          <w:rFonts w:hint="cs"/>
          <w:sz w:val="18"/>
          <w:szCs w:val="18"/>
          <w:rtl/>
        </w:rPr>
        <w:t xml:space="preserve"> אין להקל בבגד תחתון שלנו, שהרי שלוש על שלוש אצבעות הוא שיעור הטומאה בכל בגד! אלא שהאחרונים כתבו שאף לדעתו יש להקל בכתמים הואיל וזו גזרה דרבנן</w:t>
      </w:r>
      <w:r>
        <w:rPr>
          <w:rFonts w:hint="cs"/>
          <w:sz w:val="18"/>
          <w:szCs w:val="18"/>
          <w:rtl/>
        </w:rPr>
        <w:t xml:space="preserve"> (כך פסק </w:t>
      </w:r>
      <w:r w:rsidRPr="00C43BB8">
        <w:rPr>
          <w:rFonts w:hint="cs"/>
          <w:b/>
          <w:bCs/>
          <w:sz w:val="18"/>
          <w:szCs w:val="18"/>
          <w:rtl/>
        </w:rPr>
        <w:t>מהרש"ם</w:t>
      </w:r>
      <w:r>
        <w:rPr>
          <w:rFonts w:hint="cs"/>
          <w:sz w:val="18"/>
          <w:szCs w:val="18"/>
          <w:rtl/>
        </w:rPr>
        <w:t xml:space="preserve"> בסימן קצ' עמ' נג, וכן כתב שם בשם </w:t>
      </w:r>
      <w:r w:rsidRPr="00C43BB8">
        <w:rPr>
          <w:rFonts w:hint="cs"/>
          <w:b/>
          <w:bCs/>
          <w:sz w:val="18"/>
          <w:szCs w:val="18"/>
          <w:rtl/>
        </w:rPr>
        <w:t>הפרי דעה</w:t>
      </w:r>
      <w:r>
        <w:rPr>
          <w:rFonts w:hint="cs"/>
          <w:sz w:val="18"/>
          <w:szCs w:val="18"/>
          <w:rtl/>
        </w:rPr>
        <w:t>)</w:t>
      </w:r>
      <w:r w:rsidRPr="00983EAE">
        <w:rPr>
          <w:rFonts w:hint="cs"/>
          <w:sz w:val="18"/>
          <w:szCs w:val="18"/>
          <w:rtl/>
        </w:rPr>
        <w:t>.</w:t>
      </w:r>
    </w:p>
  </w:footnote>
  <w:footnote w:id="283">
    <w:p w:rsidR="005953C5" w:rsidRDefault="005953C5" w:rsidP="00620060">
      <w:pPr>
        <w:pStyle w:val="a3"/>
      </w:pPr>
      <w:r w:rsidRPr="000C00C1">
        <w:rPr>
          <w:rStyle w:val="a5"/>
          <w:sz w:val="18"/>
          <w:szCs w:val="18"/>
        </w:rPr>
        <w:footnoteRef/>
      </w:r>
      <w:r w:rsidRPr="000C00C1">
        <w:rPr>
          <w:sz w:val="18"/>
          <w:szCs w:val="18"/>
          <w:rtl/>
        </w:rPr>
        <w:t xml:space="preserve"> </w:t>
      </w:r>
      <w:r w:rsidRPr="000C00C1">
        <w:rPr>
          <w:rFonts w:hint="cs"/>
          <w:b/>
          <w:bCs/>
          <w:sz w:val="18"/>
          <w:szCs w:val="18"/>
          <w:rtl/>
        </w:rPr>
        <w:t>הרב עובדיה</w:t>
      </w:r>
      <w:r w:rsidRPr="000C00C1">
        <w:rPr>
          <w:rFonts w:hint="cs"/>
          <w:sz w:val="18"/>
          <w:szCs w:val="18"/>
          <w:rtl/>
        </w:rPr>
        <w:t xml:space="preserve"> מוכיח שכך היא דעת הפוסקים לגבי טומאת שלוש על שלוש אצבעות, שאפילו אם יש כדי לרבע אין הבגד מקבל טומאה אלא אם כן יהיו בו בפועל שלוש על שלוש. לפי"ז הוא מסיק גם לגבי טומאת שלושה על שלושה טפחים שלא מהני אם יש שיעור לרבע, עד שיהיה בפועל שיעור זה באורך וברוחב הבגד.</w:t>
      </w:r>
      <w:r>
        <w:rPr>
          <w:rFonts w:hint="cs"/>
          <w:sz w:val="18"/>
          <w:szCs w:val="18"/>
          <w:rtl/>
        </w:rPr>
        <w:t xml:space="preserve"> (וכן הראה לי </w:t>
      </w:r>
      <w:r w:rsidRPr="00AC7227">
        <w:rPr>
          <w:rFonts w:hint="cs"/>
          <w:b/>
          <w:bCs/>
          <w:sz w:val="18"/>
          <w:szCs w:val="18"/>
          <w:rtl/>
        </w:rPr>
        <w:t>הרב זכריה בן שלמה</w:t>
      </w:r>
      <w:r>
        <w:rPr>
          <w:rFonts w:hint="cs"/>
          <w:sz w:val="18"/>
          <w:szCs w:val="18"/>
          <w:rtl/>
        </w:rPr>
        <w:t xml:space="preserve"> שכתב בספר '</w:t>
      </w:r>
      <w:r w:rsidRPr="00AC7227">
        <w:rPr>
          <w:rFonts w:hint="cs"/>
          <w:b/>
          <w:bCs/>
          <w:sz w:val="18"/>
          <w:szCs w:val="18"/>
          <w:rtl/>
        </w:rPr>
        <w:t>אשרי</w:t>
      </w:r>
      <w:r>
        <w:rPr>
          <w:rFonts w:hint="cs"/>
          <w:sz w:val="18"/>
          <w:szCs w:val="18"/>
          <w:rtl/>
        </w:rPr>
        <w:t xml:space="preserve"> </w:t>
      </w:r>
      <w:r w:rsidRPr="00AC7227">
        <w:rPr>
          <w:rFonts w:hint="cs"/>
          <w:b/>
          <w:bCs/>
          <w:sz w:val="18"/>
          <w:szCs w:val="18"/>
          <w:rtl/>
        </w:rPr>
        <w:t>האיש</w:t>
      </w:r>
      <w:r>
        <w:rPr>
          <w:rFonts w:hint="cs"/>
          <w:sz w:val="18"/>
          <w:szCs w:val="18"/>
          <w:rtl/>
        </w:rPr>
        <w:t xml:space="preserve">' בשם </w:t>
      </w:r>
      <w:r w:rsidRPr="00AC7227">
        <w:rPr>
          <w:rFonts w:hint="cs"/>
          <w:b/>
          <w:bCs/>
          <w:sz w:val="18"/>
          <w:szCs w:val="18"/>
          <w:rtl/>
        </w:rPr>
        <w:t>הרב אלישיב</w:t>
      </w:r>
      <w:r>
        <w:rPr>
          <w:rFonts w:hint="cs"/>
          <w:sz w:val="18"/>
          <w:szCs w:val="18"/>
          <w:rtl/>
        </w:rPr>
        <w:t xml:space="preserve"> שהעיקר להלכה בהלכות טומאה כדעת </w:t>
      </w:r>
      <w:r w:rsidRPr="00AC7227">
        <w:rPr>
          <w:rFonts w:hint="cs"/>
          <w:b/>
          <w:bCs/>
          <w:sz w:val="18"/>
          <w:szCs w:val="18"/>
          <w:rtl/>
        </w:rPr>
        <w:t>הרמב"ם</w:t>
      </w:r>
      <w:r>
        <w:rPr>
          <w:rFonts w:hint="cs"/>
          <w:sz w:val="18"/>
          <w:szCs w:val="18"/>
          <w:rtl/>
        </w:rPr>
        <w:t>).</w:t>
      </w:r>
      <w:r w:rsidRPr="000C00C1">
        <w:rPr>
          <w:sz w:val="18"/>
          <w:szCs w:val="18"/>
          <w:rtl/>
        </w:rPr>
        <w:br/>
      </w:r>
      <w:r w:rsidRPr="000C00C1">
        <w:rPr>
          <w:rFonts w:hint="cs"/>
          <w:sz w:val="18"/>
          <w:szCs w:val="18"/>
          <w:rtl/>
        </w:rPr>
        <w:t>למעשה מדובר על בגד בשיעור 24 על 24 ס"מ (אן 30 על 30) וזה אינו מצוי בתחתון של ימינו.</w:t>
      </w:r>
      <w:r>
        <w:rPr>
          <w:rtl/>
        </w:rPr>
        <w:br/>
      </w:r>
      <w:r w:rsidRPr="003D49AE">
        <w:rPr>
          <w:rFonts w:hint="cs"/>
          <w:sz w:val="18"/>
          <w:szCs w:val="18"/>
          <w:rtl/>
        </w:rPr>
        <w:t>ומסתבר שבעבר לא הלכו ע</w:t>
      </w:r>
      <w:r>
        <w:rPr>
          <w:rFonts w:hint="cs"/>
          <w:sz w:val="18"/>
          <w:szCs w:val="18"/>
          <w:rtl/>
        </w:rPr>
        <w:t>ם</w:t>
      </w:r>
      <w:r w:rsidRPr="003D49AE">
        <w:rPr>
          <w:rFonts w:hint="cs"/>
          <w:sz w:val="18"/>
          <w:szCs w:val="18"/>
          <w:rtl/>
        </w:rPr>
        <w:t xml:space="preserve"> לבוש תחתון </w:t>
      </w:r>
      <w:r>
        <w:rPr>
          <w:rFonts w:hint="cs"/>
          <w:sz w:val="18"/>
          <w:szCs w:val="18"/>
          <w:rtl/>
        </w:rPr>
        <w:t>כ</w:t>
      </w:r>
      <w:r w:rsidRPr="003D49AE">
        <w:rPr>
          <w:rFonts w:hint="cs"/>
          <w:sz w:val="18"/>
          <w:szCs w:val="18"/>
          <w:rtl/>
        </w:rPr>
        <w:t>מו שיש לנו היום, וממילא גזרת כתמים היתה רלוונטית יותר, וכפי שמוכח בכמה מקומות בגמרא שנמצא כתם על משתיתא וכן ב</w:t>
      </w:r>
      <w:r>
        <w:rPr>
          <w:rFonts w:hint="cs"/>
          <w:sz w:val="18"/>
          <w:szCs w:val="18"/>
          <w:rtl/>
        </w:rPr>
        <w:t>סמ</w:t>
      </w:r>
      <w:r w:rsidRPr="003D49AE">
        <w:rPr>
          <w:rFonts w:hint="cs"/>
          <w:sz w:val="18"/>
          <w:szCs w:val="18"/>
          <w:rtl/>
        </w:rPr>
        <w:t>וך למקום שטחנו הנשים, ובימינו אין מציאות זו קיימת כלל.</w:t>
      </w:r>
    </w:p>
  </w:footnote>
  <w:footnote w:id="284">
    <w:p w:rsidR="005953C5" w:rsidRDefault="005953C5" w:rsidP="00620060">
      <w:pPr>
        <w:pStyle w:val="a3"/>
        <w:rPr>
          <w:rtl/>
        </w:rPr>
      </w:pPr>
      <w:r w:rsidRPr="00EB56E0">
        <w:rPr>
          <w:rStyle w:val="a5"/>
          <w:sz w:val="18"/>
          <w:szCs w:val="18"/>
        </w:rPr>
        <w:footnoteRef/>
      </w:r>
      <w:r w:rsidRPr="00EB56E0">
        <w:rPr>
          <w:sz w:val="18"/>
          <w:szCs w:val="18"/>
          <w:rtl/>
        </w:rPr>
        <w:t xml:space="preserve"> </w:t>
      </w:r>
      <w:r>
        <w:rPr>
          <w:rFonts w:hint="cs"/>
          <w:sz w:val="18"/>
          <w:szCs w:val="18"/>
          <w:rtl/>
        </w:rPr>
        <w:t xml:space="preserve">זו לשון </w:t>
      </w:r>
      <w:r w:rsidRPr="00EB56E0">
        <w:rPr>
          <w:rFonts w:hint="cs"/>
          <w:b/>
          <w:bCs/>
          <w:sz w:val="18"/>
          <w:szCs w:val="18"/>
          <w:rtl/>
        </w:rPr>
        <w:t>הרמב"ם</w:t>
      </w:r>
      <w:r>
        <w:rPr>
          <w:rFonts w:hint="cs"/>
          <w:sz w:val="18"/>
          <w:szCs w:val="18"/>
          <w:rtl/>
        </w:rPr>
        <w:t xml:space="preserve"> בהלכות כלים </w:t>
      </w:r>
      <w:r>
        <w:rPr>
          <w:sz w:val="18"/>
          <w:szCs w:val="18"/>
          <w:rtl/>
        </w:rPr>
        <w:t>–</w:t>
      </w:r>
      <w:r>
        <w:rPr>
          <w:rFonts w:hint="cs"/>
          <w:sz w:val="18"/>
          <w:szCs w:val="18"/>
          <w:rtl/>
        </w:rPr>
        <w:t xml:space="preserve"> "</w:t>
      </w:r>
      <w:r w:rsidRPr="00EB56E0">
        <w:rPr>
          <w:rFonts w:cs="Arial"/>
          <w:sz w:val="18"/>
          <w:szCs w:val="18"/>
          <w:rtl/>
        </w:rPr>
        <w:t>כמה שיעור הבגד להתטמא</w:t>
      </w:r>
      <w:r>
        <w:rPr>
          <w:rFonts w:cs="Arial" w:hint="cs"/>
          <w:sz w:val="18"/>
          <w:szCs w:val="18"/>
          <w:rtl/>
        </w:rPr>
        <w:t>...</w:t>
      </w:r>
      <w:r w:rsidRPr="00EB56E0">
        <w:rPr>
          <w:rFonts w:cs="Arial"/>
          <w:sz w:val="18"/>
          <w:szCs w:val="18"/>
          <w:rtl/>
        </w:rPr>
        <w:t xml:space="preserve"> שלש אצבעות על שלש אצבעות</w:t>
      </w:r>
      <w:r>
        <w:rPr>
          <w:rFonts w:cs="Arial" w:hint="cs"/>
          <w:sz w:val="18"/>
          <w:szCs w:val="18"/>
          <w:rtl/>
        </w:rPr>
        <w:t>... במה דברים אמורים</w:t>
      </w:r>
      <w:r w:rsidRPr="00EB56E0">
        <w:rPr>
          <w:rFonts w:cs="Arial"/>
          <w:sz w:val="18"/>
          <w:szCs w:val="18"/>
          <w:rtl/>
        </w:rPr>
        <w:t xml:space="preserve"> בבגדי צמר ופשתים, אבל בגדים של שאר מינין אין מקבלין טומאה מכל הטומאות אלא אם כן היה בהן שלשה טפחים על שלשה טפחים או יתר</w:t>
      </w:r>
      <w:r>
        <w:rPr>
          <w:rFonts w:cs="Arial" w:hint="cs"/>
          <w:sz w:val="18"/>
          <w:szCs w:val="18"/>
          <w:rtl/>
        </w:rPr>
        <w:t>". ומדברי הרמב"ם האלו יש להסיק לעניינינו, שאין הפד מקבל טומאה כיוון שאין בו שיעור של שלושה על שלושה טפחים.</w:t>
      </w:r>
      <w:r>
        <w:rPr>
          <w:rFonts w:hint="cs"/>
          <w:sz w:val="18"/>
          <w:szCs w:val="18"/>
          <w:rtl/>
        </w:rPr>
        <w:br/>
      </w:r>
      <w:r w:rsidRPr="00EB56E0">
        <w:rPr>
          <w:rFonts w:hint="cs"/>
          <w:sz w:val="18"/>
          <w:szCs w:val="18"/>
          <w:rtl/>
        </w:rPr>
        <w:t xml:space="preserve">עוד יש להוסיף </w:t>
      </w:r>
      <w:r w:rsidRPr="00EB56E0">
        <w:rPr>
          <w:sz w:val="18"/>
          <w:szCs w:val="18"/>
          <w:rtl/>
        </w:rPr>
        <w:t>–</w:t>
      </w:r>
      <w:r w:rsidRPr="00EB56E0">
        <w:rPr>
          <w:rFonts w:hint="cs"/>
          <w:sz w:val="18"/>
          <w:szCs w:val="18"/>
          <w:rtl/>
        </w:rPr>
        <w:t xml:space="preserve"> אפילו אם נאמר שפד דינו ככלי, </w:t>
      </w:r>
      <w:r>
        <w:rPr>
          <w:rFonts w:hint="cs"/>
          <w:sz w:val="18"/>
          <w:szCs w:val="18"/>
          <w:rtl/>
        </w:rPr>
        <w:t>מכל מקום</w:t>
      </w:r>
      <w:r w:rsidRPr="00EB56E0">
        <w:rPr>
          <w:rFonts w:hint="cs"/>
          <w:sz w:val="18"/>
          <w:szCs w:val="18"/>
          <w:rtl/>
        </w:rPr>
        <w:t xml:space="preserve"> יש לומר שאינו מק"ט משום שהוא עשוי לשימוש חד פעמי, וכלי חד פעמי אינו מק"ט. </w:t>
      </w:r>
    </w:p>
  </w:footnote>
  <w:footnote w:id="285">
    <w:p w:rsidR="005953C5" w:rsidRDefault="005953C5" w:rsidP="00620060">
      <w:pPr>
        <w:pStyle w:val="a3"/>
        <w:rPr>
          <w:rtl/>
        </w:rPr>
      </w:pPr>
      <w:r w:rsidRPr="00D66BEE">
        <w:rPr>
          <w:rStyle w:val="a5"/>
          <w:sz w:val="18"/>
          <w:szCs w:val="18"/>
        </w:rPr>
        <w:footnoteRef/>
      </w:r>
      <w:r w:rsidRPr="00D66BEE">
        <w:rPr>
          <w:sz w:val="18"/>
          <w:szCs w:val="18"/>
          <w:rtl/>
        </w:rPr>
        <w:t xml:space="preserve"> </w:t>
      </w:r>
      <w:r w:rsidRPr="00D66BEE">
        <w:rPr>
          <w:rFonts w:hint="cs"/>
          <w:b/>
          <w:bCs/>
          <w:sz w:val="18"/>
          <w:szCs w:val="18"/>
          <w:rtl/>
        </w:rPr>
        <w:t>הרב זכריה בן שלמה</w:t>
      </w:r>
      <w:r w:rsidRPr="00D66BEE">
        <w:rPr>
          <w:rFonts w:hint="cs"/>
          <w:sz w:val="18"/>
          <w:szCs w:val="18"/>
          <w:rtl/>
        </w:rPr>
        <w:t xml:space="preserve"> אמר לי סברה נוספת לה</w:t>
      </w:r>
      <w:r>
        <w:rPr>
          <w:rFonts w:hint="cs"/>
          <w:sz w:val="18"/>
          <w:szCs w:val="18"/>
          <w:rtl/>
        </w:rPr>
        <w:t>ק</w:t>
      </w:r>
      <w:r w:rsidRPr="00D66BEE">
        <w:rPr>
          <w:rFonts w:hint="cs"/>
          <w:sz w:val="18"/>
          <w:szCs w:val="18"/>
          <w:rtl/>
        </w:rPr>
        <w:t xml:space="preserve">ל בדין כתם שנמצא על פד - </w:t>
      </w:r>
      <w:r w:rsidRPr="00D66BEE">
        <w:rPr>
          <w:sz w:val="18"/>
          <w:szCs w:val="18"/>
          <w:rtl/>
        </w:rPr>
        <w:br/>
      </w:r>
      <w:r w:rsidRPr="00D66BEE">
        <w:rPr>
          <w:rFonts w:hint="cs"/>
          <w:b/>
          <w:bCs/>
          <w:sz w:val="18"/>
          <w:szCs w:val="18"/>
          <w:rtl/>
        </w:rPr>
        <w:t>גמרא</w:t>
      </w:r>
      <w:r w:rsidRPr="00D66BEE">
        <w:rPr>
          <w:rFonts w:hint="cs"/>
          <w:sz w:val="18"/>
          <w:szCs w:val="18"/>
          <w:rtl/>
        </w:rPr>
        <w:t xml:space="preserve"> נדה (סב:) "</w:t>
      </w:r>
      <w:r w:rsidRPr="00D66BEE">
        <w:rPr>
          <w:rFonts w:cs="Arial"/>
          <w:sz w:val="18"/>
          <w:szCs w:val="18"/>
          <w:rtl/>
        </w:rPr>
        <w:t>אמר ליה רבי אבא לרב אשי: מידי בקפידא תליא מילתא? א</w:t>
      </w:r>
      <w:r w:rsidRPr="00D66BEE">
        <w:rPr>
          <w:rFonts w:cs="Arial" w:hint="cs"/>
          <w:sz w:val="18"/>
          <w:szCs w:val="18"/>
          <w:rtl/>
        </w:rPr>
        <w:t>מר ליה</w:t>
      </w:r>
      <w:r w:rsidRPr="00D66BEE">
        <w:rPr>
          <w:rFonts w:cs="Arial"/>
          <w:sz w:val="18"/>
          <w:szCs w:val="18"/>
          <w:rtl/>
        </w:rPr>
        <w:t>: אין - דתניא, רבי חייא אומר דם הנדה ודאי - מעביר עליו ז' סמנין ומבטלו, ואמאי? הא דם נדה הוא! אלמא - בקפידא תליא מילתא, ה</w:t>
      </w:r>
      <w:r w:rsidRPr="00D66BEE">
        <w:rPr>
          <w:rFonts w:cs="Arial" w:hint="cs"/>
          <w:sz w:val="18"/>
          <w:szCs w:val="18"/>
          <w:rtl/>
        </w:rPr>
        <w:t>כא נמי</w:t>
      </w:r>
      <w:r w:rsidRPr="00D66BEE">
        <w:rPr>
          <w:rFonts w:cs="Arial"/>
          <w:sz w:val="18"/>
          <w:szCs w:val="18"/>
          <w:rtl/>
        </w:rPr>
        <w:t xml:space="preserve"> - בקפידא תליא מילתא</w:t>
      </w:r>
      <w:r w:rsidRPr="00D66BEE">
        <w:rPr>
          <w:rFonts w:cs="Arial" w:hint="cs"/>
          <w:sz w:val="18"/>
          <w:szCs w:val="18"/>
          <w:rtl/>
        </w:rPr>
        <w:t xml:space="preserve">". </w:t>
      </w:r>
      <w:r w:rsidRPr="00D66BEE">
        <w:rPr>
          <w:rFonts w:cs="Arial"/>
          <w:sz w:val="18"/>
          <w:szCs w:val="18"/>
          <w:rtl/>
        </w:rPr>
        <w:br/>
      </w:r>
      <w:r w:rsidRPr="00D66BEE">
        <w:rPr>
          <w:rFonts w:cs="Arial" w:hint="cs"/>
          <w:sz w:val="18"/>
          <w:szCs w:val="18"/>
          <w:rtl/>
        </w:rPr>
        <w:t xml:space="preserve">מוכח מגמרא זאת שבגד שאין מקפידים על הכתם הנמצא בו, אינו מקבל טומאה, ובפד אין הדרך להקפיד. ואמר לי ששאל את </w:t>
      </w:r>
      <w:r w:rsidRPr="00D66BEE">
        <w:rPr>
          <w:rFonts w:cs="Arial" w:hint="cs"/>
          <w:b/>
          <w:bCs/>
          <w:sz w:val="18"/>
          <w:szCs w:val="18"/>
          <w:rtl/>
        </w:rPr>
        <w:t>הרב נבנצאל</w:t>
      </w:r>
      <w:r w:rsidRPr="00D66BEE">
        <w:rPr>
          <w:rFonts w:cs="Arial" w:hint="cs"/>
          <w:sz w:val="18"/>
          <w:szCs w:val="18"/>
          <w:rtl/>
        </w:rPr>
        <w:t xml:space="preserve"> והורה גם הוא כן.</w:t>
      </w:r>
    </w:p>
  </w:footnote>
  <w:footnote w:id="286">
    <w:p w:rsidR="005953C5" w:rsidRDefault="005953C5" w:rsidP="00620060">
      <w:pPr>
        <w:pStyle w:val="a3"/>
        <w:rPr>
          <w:rtl/>
        </w:rPr>
      </w:pPr>
      <w:r w:rsidRPr="001D0A82">
        <w:rPr>
          <w:rStyle w:val="a5"/>
          <w:sz w:val="18"/>
          <w:szCs w:val="18"/>
        </w:rPr>
        <w:footnoteRef/>
      </w:r>
      <w:r w:rsidRPr="001D0A82">
        <w:rPr>
          <w:sz w:val="18"/>
          <w:szCs w:val="18"/>
          <w:rtl/>
        </w:rPr>
        <w:t xml:space="preserve"> </w:t>
      </w:r>
      <w:r w:rsidRPr="001D0A82">
        <w:rPr>
          <w:rFonts w:hint="cs"/>
          <w:sz w:val="18"/>
          <w:szCs w:val="18"/>
          <w:rtl/>
        </w:rPr>
        <w:t xml:space="preserve">פוסקי זמנינו דנים, לפי שיטת המקלים הנ"ל, האם מותר לאשה להשתמש בתחבושת בז' נקיים. </w:t>
      </w:r>
      <w:r w:rsidRPr="001D0A82">
        <w:rPr>
          <w:sz w:val="18"/>
          <w:szCs w:val="18"/>
          <w:rtl/>
        </w:rPr>
        <w:br/>
      </w:r>
      <w:r w:rsidRPr="001D0A82">
        <w:rPr>
          <w:rFonts w:hint="cs"/>
          <w:sz w:val="18"/>
          <w:szCs w:val="18"/>
          <w:rtl/>
        </w:rPr>
        <w:t>אחת הגישות ההלכתיות לכך היא, שיש להתיר שימוש בתחבושת אף בז' נקיים, אולם אם מופיע כתם גדול מכגריס על התחבושת יש לבצע מייד בדיקה פנימית כדי לבדוק האם היא טמאה</w:t>
      </w:r>
      <w:r>
        <w:rPr>
          <w:rFonts w:hint="cs"/>
          <w:sz w:val="18"/>
          <w:szCs w:val="18"/>
          <w:rtl/>
        </w:rPr>
        <w:t xml:space="preserve">. לעומת זאת, </w:t>
      </w:r>
      <w:r w:rsidRPr="00D66BEE">
        <w:rPr>
          <w:rFonts w:hint="cs"/>
          <w:b/>
          <w:bCs/>
          <w:sz w:val="18"/>
          <w:szCs w:val="18"/>
          <w:rtl/>
        </w:rPr>
        <w:t>הרב גדעון</w:t>
      </w:r>
      <w:r>
        <w:rPr>
          <w:rFonts w:hint="cs"/>
          <w:sz w:val="18"/>
          <w:szCs w:val="18"/>
          <w:rtl/>
        </w:rPr>
        <w:t xml:space="preserve"> פוסק שאשה המניחה פד מטעמי היגיינ</w:t>
      </w:r>
      <w:r>
        <w:rPr>
          <w:rFonts w:hint="eastAsia"/>
          <w:sz w:val="18"/>
          <w:szCs w:val="18"/>
          <w:rtl/>
        </w:rPr>
        <w:t>ה</w:t>
      </w:r>
      <w:r>
        <w:rPr>
          <w:rFonts w:hint="cs"/>
          <w:sz w:val="18"/>
          <w:szCs w:val="18"/>
          <w:rtl/>
        </w:rPr>
        <w:t xml:space="preserve"> במשך כל החודש, רשאית להמשיך וללבוש זאת ללא כל הגבלה. ואולם עיין עוד לקמן סימן קצו' מה שאכתוב בזה בס"ד</w:t>
      </w:r>
      <w:r w:rsidRPr="001D0A82">
        <w:rPr>
          <w:rFonts w:hint="cs"/>
          <w:sz w:val="18"/>
          <w:szCs w:val="18"/>
          <w:rtl/>
        </w:rPr>
        <w:t>.</w:t>
      </w:r>
    </w:p>
  </w:footnote>
  <w:footnote w:id="287">
    <w:p w:rsidR="005953C5" w:rsidRDefault="005953C5" w:rsidP="00620060">
      <w:pPr>
        <w:pStyle w:val="a3"/>
      </w:pPr>
      <w:r w:rsidRPr="00D53FDD">
        <w:rPr>
          <w:rStyle w:val="a5"/>
          <w:sz w:val="18"/>
          <w:szCs w:val="18"/>
        </w:rPr>
        <w:footnoteRef/>
      </w:r>
      <w:r w:rsidRPr="00D53FDD">
        <w:rPr>
          <w:sz w:val="18"/>
          <w:szCs w:val="18"/>
          <w:rtl/>
        </w:rPr>
        <w:t xml:space="preserve"> </w:t>
      </w:r>
      <w:r w:rsidRPr="00D53FDD">
        <w:rPr>
          <w:rFonts w:hint="cs"/>
          <w:sz w:val="18"/>
          <w:szCs w:val="18"/>
          <w:rtl/>
        </w:rPr>
        <w:t xml:space="preserve">וכיוצא בזה כתב </w:t>
      </w:r>
      <w:r w:rsidRPr="00D53FDD">
        <w:rPr>
          <w:rFonts w:hint="cs"/>
          <w:b/>
          <w:bCs/>
          <w:sz w:val="18"/>
          <w:szCs w:val="18"/>
          <w:rtl/>
        </w:rPr>
        <w:t>החזו"א</w:t>
      </w:r>
      <w:r w:rsidRPr="00D53FDD">
        <w:rPr>
          <w:rFonts w:hint="cs"/>
          <w:sz w:val="18"/>
          <w:szCs w:val="18"/>
          <w:rtl/>
        </w:rPr>
        <w:t xml:space="preserve"> לגבי טהרת כלים העשויים מגומי, משום שאף לאחר שהתרבה שאר בגדים שיש בהם ג' על ג' לטומאה, מכל מקום התרבו רק אלו העשויים מטוויה ואריגה כעין צמר ופשתים, אך לא דברים הניתכים ונמסים כמו גומי, וכן יש לומר לפי זה שכך יסבור גם בבגדי ניילון.</w:t>
      </w:r>
    </w:p>
  </w:footnote>
  <w:footnote w:id="288">
    <w:p w:rsidR="005953C5" w:rsidRDefault="005953C5" w:rsidP="00620060">
      <w:pPr>
        <w:pStyle w:val="a3"/>
      </w:pPr>
      <w:r w:rsidRPr="009807B5">
        <w:rPr>
          <w:rStyle w:val="a5"/>
          <w:sz w:val="18"/>
          <w:szCs w:val="18"/>
        </w:rPr>
        <w:footnoteRef/>
      </w:r>
      <w:r w:rsidRPr="009807B5">
        <w:rPr>
          <w:sz w:val="18"/>
          <w:szCs w:val="18"/>
          <w:rtl/>
        </w:rPr>
        <w:t xml:space="preserve"> </w:t>
      </w:r>
      <w:r w:rsidRPr="009807B5">
        <w:rPr>
          <w:rFonts w:hint="cs"/>
          <w:sz w:val="18"/>
          <w:szCs w:val="18"/>
          <w:rtl/>
        </w:rPr>
        <w:t xml:space="preserve">כך היא לשון </w:t>
      </w:r>
      <w:r w:rsidRPr="009807B5">
        <w:rPr>
          <w:rFonts w:hint="cs"/>
          <w:b/>
          <w:bCs/>
          <w:sz w:val="18"/>
          <w:szCs w:val="18"/>
          <w:rtl/>
        </w:rPr>
        <w:t>הרמב"ם</w:t>
      </w:r>
      <w:r w:rsidRPr="009807B5">
        <w:rPr>
          <w:rFonts w:hint="cs"/>
          <w:sz w:val="18"/>
          <w:szCs w:val="18"/>
          <w:rtl/>
        </w:rPr>
        <w:t xml:space="preserve"> בדין זה </w:t>
      </w:r>
      <w:r w:rsidRPr="009807B5">
        <w:rPr>
          <w:rFonts w:hint="cs"/>
          <w:sz w:val="16"/>
          <w:szCs w:val="16"/>
          <w:rtl/>
        </w:rPr>
        <w:t>(כלים, א, ג)</w:t>
      </w:r>
      <w:r w:rsidRPr="009807B5">
        <w:rPr>
          <w:rFonts w:hint="cs"/>
          <w:sz w:val="18"/>
          <w:szCs w:val="18"/>
          <w:rtl/>
        </w:rPr>
        <w:t>: "</w:t>
      </w:r>
      <w:r w:rsidRPr="009807B5">
        <w:rPr>
          <w:rFonts w:cs="Arial"/>
          <w:sz w:val="18"/>
          <w:szCs w:val="18"/>
          <w:rtl/>
        </w:rPr>
        <w:t>חיבר מן הגדל בים עם הגדל בארץ אפילו חוט או משיחה אם חיברו חיבור עד שמשים את שניהן כאילו הן אחד לטומאה שאם נטמא זה יטמא זה הכל מקבל טומאה</w:t>
      </w:r>
      <w:r w:rsidRPr="009807B5">
        <w:rPr>
          <w:rFonts w:cs="Arial" w:hint="cs"/>
          <w:sz w:val="18"/>
          <w:szCs w:val="18"/>
          <w:rtl/>
        </w:rPr>
        <w:t>".</w:t>
      </w:r>
    </w:p>
  </w:footnote>
  <w:footnote w:id="289">
    <w:p w:rsidR="005953C5" w:rsidRDefault="005953C5" w:rsidP="00620060">
      <w:pPr>
        <w:pStyle w:val="a3"/>
      </w:pPr>
      <w:r w:rsidRPr="00C97178">
        <w:rPr>
          <w:rStyle w:val="a5"/>
          <w:sz w:val="18"/>
          <w:szCs w:val="18"/>
        </w:rPr>
        <w:footnoteRef/>
      </w:r>
      <w:r w:rsidRPr="00C97178">
        <w:rPr>
          <w:sz w:val="18"/>
          <w:szCs w:val="18"/>
          <w:rtl/>
        </w:rPr>
        <w:t xml:space="preserve"> </w:t>
      </w:r>
      <w:r w:rsidRPr="00C97178">
        <w:rPr>
          <w:rFonts w:hint="cs"/>
          <w:sz w:val="18"/>
          <w:szCs w:val="18"/>
          <w:rtl/>
        </w:rPr>
        <w:t xml:space="preserve">ובהקשר זה העתיק את דברי </w:t>
      </w:r>
      <w:r w:rsidRPr="00C97178">
        <w:rPr>
          <w:rFonts w:hint="cs"/>
          <w:b/>
          <w:bCs/>
          <w:sz w:val="18"/>
          <w:szCs w:val="18"/>
          <w:rtl/>
        </w:rPr>
        <w:t>הבית מאיר</w:t>
      </w:r>
      <w:r w:rsidRPr="00C97178">
        <w:rPr>
          <w:rFonts w:hint="cs"/>
          <w:sz w:val="18"/>
          <w:szCs w:val="18"/>
          <w:rtl/>
        </w:rPr>
        <w:t xml:space="preserve"> </w:t>
      </w:r>
      <w:r w:rsidRPr="00C97178">
        <w:rPr>
          <w:sz w:val="18"/>
          <w:szCs w:val="18"/>
          <w:rtl/>
        </w:rPr>
        <w:t>–</w:t>
      </w:r>
      <w:r w:rsidRPr="00C97178">
        <w:rPr>
          <w:rFonts w:hint="cs"/>
          <w:sz w:val="18"/>
          <w:szCs w:val="18"/>
          <w:rtl/>
        </w:rPr>
        <w:t xml:space="preserve"> "ודע שכבר כתבתי כמה פעמים, שיותר נוח לי ללמוד מסתימת דברי הראשונים מפירושם של האחרונים".</w:t>
      </w:r>
    </w:p>
  </w:footnote>
  <w:footnote w:id="290">
    <w:p w:rsidR="005953C5" w:rsidRDefault="005953C5" w:rsidP="00620060">
      <w:pPr>
        <w:pStyle w:val="a3"/>
      </w:pPr>
      <w:r w:rsidRPr="00A9235B">
        <w:rPr>
          <w:rStyle w:val="a5"/>
          <w:sz w:val="18"/>
          <w:szCs w:val="18"/>
        </w:rPr>
        <w:footnoteRef/>
      </w:r>
      <w:r w:rsidRPr="00A9235B">
        <w:rPr>
          <w:sz w:val="18"/>
          <w:szCs w:val="18"/>
          <w:rtl/>
        </w:rPr>
        <w:t xml:space="preserve"> </w:t>
      </w:r>
      <w:r w:rsidRPr="00A9235B">
        <w:rPr>
          <w:rFonts w:hint="cs"/>
          <w:b/>
          <w:bCs/>
          <w:sz w:val="18"/>
          <w:szCs w:val="18"/>
          <w:rtl/>
        </w:rPr>
        <w:t>פרישה</w:t>
      </w:r>
      <w:r w:rsidRPr="00A9235B">
        <w:rPr>
          <w:rFonts w:hint="cs"/>
          <w:sz w:val="18"/>
          <w:szCs w:val="18"/>
          <w:rtl/>
        </w:rPr>
        <w:t xml:space="preserve"> </w:t>
      </w:r>
      <w:r w:rsidRPr="00A9235B">
        <w:rPr>
          <w:sz w:val="18"/>
          <w:szCs w:val="18"/>
          <w:rtl/>
        </w:rPr>
        <w:t>–</w:t>
      </w:r>
      <w:r w:rsidRPr="00A9235B">
        <w:rPr>
          <w:rFonts w:hint="cs"/>
          <w:sz w:val="18"/>
          <w:szCs w:val="18"/>
          <w:rtl/>
        </w:rPr>
        <w:t xml:space="preserve"> כגון שישבה כישיבת הישמע</w:t>
      </w:r>
      <w:r>
        <w:rPr>
          <w:rFonts w:hint="cs"/>
          <w:sz w:val="18"/>
          <w:szCs w:val="18"/>
          <w:rtl/>
        </w:rPr>
        <w:t>א</w:t>
      </w:r>
      <w:r w:rsidRPr="00A9235B">
        <w:rPr>
          <w:rFonts w:hint="cs"/>
          <w:sz w:val="18"/>
          <w:szCs w:val="18"/>
          <w:rtl/>
        </w:rPr>
        <w:t xml:space="preserve">לים המניחים את </w:t>
      </w:r>
      <w:r>
        <w:rPr>
          <w:rFonts w:hint="cs"/>
          <w:sz w:val="18"/>
          <w:szCs w:val="18"/>
          <w:rtl/>
        </w:rPr>
        <w:t>ר</w:t>
      </w:r>
      <w:r w:rsidRPr="00A9235B">
        <w:rPr>
          <w:rFonts w:hint="cs"/>
          <w:sz w:val="18"/>
          <w:szCs w:val="18"/>
          <w:rtl/>
        </w:rPr>
        <w:t xml:space="preserve">גליהם תחת עגבותיהם </w:t>
      </w:r>
      <w:r w:rsidRPr="00A9235B">
        <w:rPr>
          <w:rFonts w:hint="cs"/>
          <w:sz w:val="16"/>
          <w:szCs w:val="16"/>
          <w:rtl/>
        </w:rPr>
        <w:t>('ישיבה מזרחית')</w:t>
      </w:r>
      <w:r w:rsidRPr="00A9235B">
        <w:rPr>
          <w:rFonts w:hint="cs"/>
          <w:sz w:val="18"/>
          <w:szCs w:val="18"/>
          <w:rtl/>
        </w:rPr>
        <w:t>.</w:t>
      </w:r>
    </w:p>
  </w:footnote>
  <w:footnote w:id="291">
    <w:p w:rsidR="005953C5" w:rsidRDefault="005953C5" w:rsidP="00620060">
      <w:pPr>
        <w:pStyle w:val="a3"/>
      </w:pPr>
      <w:r w:rsidRPr="00623D21">
        <w:rPr>
          <w:rStyle w:val="a5"/>
          <w:sz w:val="18"/>
          <w:szCs w:val="18"/>
        </w:rPr>
        <w:footnoteRef/>
      </w:r>
      <w:r w:rsidRPr="00623D21">
        <w:rPr>
          <w:sz w:val="18"/>
          <w:szCs w:val="18"/>
          <w:rtl/>
        </w:rPr>
        <w:t xml:space="preserve"> </w:t>
      </w:r>
      <w:r w:rsidRPr="00623D21">
        <w:rPr>
          <w:rFonts w:hint="cs"/>
          <w:b/>
          <w:bCs/>
          <w:sz w:val="18"/>
          <w:szCs w:val="18"/>
          <w:rtl/>
        </w:rPr>
        <w:t>רש"י</w:t>
      </w:r>
      <w:r w:rsidRPr="00623D21">
        <w:rPr>
          <w:rFonts w:hint="cs"/>
          <w:sz w:val="18"/>
          <w:szCs w:val="18"/>
          <w:rtl/>
        </w:rPr>
        <w:t xml:space="preserve"> </w:t>
      </w:r>
      <w:r w:rsidRPr="00623D21">
        <w:rPr>
          <w:sz w:val="18"/>
          <w:szCs w:val="18"/>
          <w:rtl/>
        </w:rPr>
        <w:t>–</w:t>
      </w:r>
      <w:r w:rsidRPr="00623D21">
        <w:rPr>
          <w:rFonts w:hint="cs"/>
          <w:sz w:val="18"/>
          <w:szCs w:val="18"/>
          <w:rtl/>
        </w:rPr>
        <w:t xml:space="preserve"> "</w:t>
      </w:r>
      <w:r w:rsidRPr="00623D21">
        <w:rPr>
          <w:rFonts w:cs="Arial"/>
          <w:sz w:val="18"/>
          <w:szCs w:val="18"/>
          <w:rtl/>
        </w:rPr>
        <w:t>אם נמצא דם כנגד תורפה יכולה לתלות במכה של צוארה שפעמים שמטה את צוארה לפניה ונופל דם המכה על תחתית חלוקה</w:t>
      </w:r>
      <w:r w:rsidRPr="00623D21">
        <w:rPr>
          <w:rFonts w:cs="Arial" w:hint="cs"/>
          <w:sz w:val="18"/>
          <w:szCs w:val="18"/>
          <w:rtl/>
        </w:rPr>
        <w:t>".</w:t>
      </w:r>
    </w:p>
  </w:footnote>
  <w:footnote w:id="292">
    <w:p w:rsidR="005953C5" w:rsidRDefault="005953C5" w:rsidP="00620060">
      <w:pPr>
        <w:pStyle w:val="a3"/>
      </w:pPr>
      <w:r w:rsidRPr="00DF3B36">
        <w:rPr>
          <w:rStyle w:val="a5"/>
          <w:sz w:val="18"/>
          <w:szCs w:val="18"/>
        </w:rPr>
        <w:footnoteRef/>
      </w:r>
      <w:r w:rsidRPr="00DF3B36">
        <w:rPr>
          <w:sz w:val="18"/>
          <w:szCs w:val="18"/>
          <w:rtl/>
        </w:rPr>
        <w:t xml:space="preserve"> </w:t>
      </w:r>
      <w:r w:rsidRPr="00DF3B36">
        <w:rPr>
          <w:rFonts w:hint="cs"/>
          <w:sz w:val="18"/>
          <w:szCs w:val="18"/>
          <w:rtl/>
        </w:rPr>
        <w:t>עיין בהמשך בשם הפת"ש ש</w:t>
      </w:r>
      <w:r>
        <w:rPr>
          <w:rFonts w:hint="cs"/>
          <w:sz w:val="18"/>
          <w:szCs w:val="18"/>
          <w:rtl/>
        </w:rPr>
        <w:t>ב</w:t>
      </w:r>
      <w:r w:rsidRPr="00DF3B36">
        <w:rPr>
          <w:rFonts w:hint="cs"/>
          <w:sz w:val="18"/>
          <w:szCs w:val="18"/>
          <w:rtl/>
        </w:rPr>
        <w:t>דם הנמצא על גב ידה ממש יש להקל בצירוף סברה נוספת.</w:t>
      </w:r>
    </w:p>
  </w:footnote>
  <w:footnote w:id="293">
    <w:p w:rsidR="005953C5" w:rsidRDefault="005953C5" w:rsidP="00620060">
      <w:pPr>
        <w:pStyle w:val="a3"/>
      </w:pPr>
      <w:r w:rsidRPr="004B0330">
        <w:rPr>
          <w:rStyle w:val="a5"/>
          <w:sz w:val="18"/>
          <w:szCs w:val="18"/>
        </w:rPr>
        <w:footnoteRef/>
      </w:r>
      <w:r w:rsidRPr="004B0330">
        <w:rPr>
          <w:sz w:val="18"/>
          <w:szCs w:val="18"/>
          <w:rtl/>
        </w:rPr>
        <w:t xml:space="preserve"> </w:t>
      </w:r>
      <w:r w:rsidRPr="004B0330">
        <w:rPr>
          <w:rFonts w:hint="cs"/>
          <w:sz w:val="18"/>
          <w:szCs w:val="18"/>
          <w:rtl/>
        </w:rPr>
        <w:t xml:space="preserve">אע"פ </w:t>
      </w:r>
      <w:r w:rsidRPr="004B0330">
        <w:rPr>
          <w:rFonts w:hint="cs"/>
          <w:b/>
          <w:bCs/>
          <w:sz w:val="18"/>
          <w:szCs w:val="18"/>
          <w:rtl/>
        </w:rPr>
        <w:t xml:space="preserve">שהמחבר </w:t>
      </w:r>
      <w:r w:rsidRPr="004B0330">
        <w:rPr>
          <w:rFonts w:hint="cs"/>
          <w:sz w:val="18"/>
          <w:szCs w:val="18"/>
          <w:rtl/>
        </w:rPr>
        <w:t xml:space="preserve">לא כתב זאת להדיא, כך הסיק </w:t>
      </w:r>
      <w:r w:rsidRPr="004B0330">
        <w:rPr>
          <w:rFonts w:hint="cs"/>
          <w:b/>
          <w:bCs/>
          <w:sz w:val="18"/>
          <w:szCs w:val="18"/>
          <w:rtl/>
        </w:rPr>
        <w:t>הש"ך</w:t>
      </w:r>
      <w:r w:rsidRPr="004B0330">
        <w:rPr>
          <w:rFonts w:hint="cs"/>
          <w:sz w:val="18"/>
          <w:szCs w:val="18"/>
          <w:rtl/>
        </w:rPr>
        <w:t xml:space="preserve"> מדבריו שאפילו בסתם חיישינן.</w:t>
      </w:r>
    </w:p>
  </w:footnote>
  <w:footnote w:id="294">
    <w:p w:rsidR="005953C5" w:rsidRDefault="005953C5" w:rsidP="00620060">
      <w:pPr>
        <w:pStyle w:val="a3"/>
        <w:rPr>
          <w:rtl/>
        </w:rPr>
      </w:pPr>
      <w:r w:rsidRPr="006268BD">
        <w:rPr>
          <w:rStyle w:val="a5"/>
          <w:sz w:val="18"/>
          <w:szCs w:val="18"/>
        </w:rPr>
        <w:footnoteRef/>
      </w:r>
      <w:r w:rsidRPr="006268BD">
        <w:rPr>
          <w:sz w:val="18"/>
          <w:szCs w:val="18"/>
          <w:rtl/>
        </w:rPr>
        <w:t xml:space="preserve"> </w:t>
      </w:r>
      <w:r w:rsidRPr="006268BD">
        <w:rPr>
          <w:rFonts w:hint="cs"/>
          <w:sz w:val="18"/>
          <w:szCs w:val="18"/>
          <w:rtl/>
        </w:rPr>
        <w:t xml:space="preserve">לעיל הובאה מחלוקת ראשונים האם חוששים שנגעה באותו מקום ולאו אדעתא. </w:t>
      </w:r>
      <w:r>
        <w:rPr>
          <w:sz w:val="18"/>
          <w:szCs w:val="18"/>
          <w:rtl/>
        </w:rPr>
        <w:br/>
      </w:r>
      <w:r w:rsidRPr="006268BD">
        <w:rPr>
          <w:rFonts w:hint="cs"/>
          <w:sz w:val="18"/>
          <w:szCs w:val="18"/>
          <w:rtl/>
        </w:rPr>
        <w:t xml:space="preserve">מדברי </w:t>
      </w:r>
      <w:r w:rsidRPr="006268BD">
        <w:rPr>
          <w:rFonts w:hint="cs"/>
          <w:b/>
          <w:bCs/>
          <w:sz w:val="18"/>
          <w:szCs w:val="18"/>
          <w:rtl/>
        </w:rPr>
        <w:t>המחבר</w:t>
      </w:r>
      <w:r w:rsidRPr="006268BD">
        <w:rPr>
          <w:rFonts w:hint="cs"/>
          <w:sz w:val="18"/>
          <w:szCs w:val="18"/>
          <w:rtl/>
        </w:rPr>
        <w:t xml:space="preserve"> כאן משמע שפסק כסתמות דברי </w:t>
      </w:r>
      <w:r w:rsidRPr="006268BD">
        <w:rPr>
          <w:rFonts w:hint="cs"/>
          <w:b/>
          <w:bCs/>
          <w:sz w:val="18"/>
          <w:szCs w:val="18"/>
          <w:rtl/>
        </w:rPr>
        <w:t>הרמב"ם</w:t>
      </w:r>
      <w:r w:rsidRPr="006268BD">
        <w:rPr>
          <w:rFonts w:hint="cs"/>
          <w:sz w:val="18"/>
          <w:szCs w:val="18"/>
          <w:rtl/>
        </w:rPr>
        <w:t>, כלומר ש</w:t>
      </w:r>
      <w:r>
        <w:rPr>
          <w:rFonts w:hint="cs"/>
          <w:sz w:val="18"/>
          <w:szCs w:val="18"/>
          <w:rtl/>
        </w:rPr>
        <w:t>ה</w:t>
      </w:r>
      <w:r w:rsidRPr="006268BD">
        <w:rPr>
          <w:rFonts w:hint="cs"/>
          <w:sz w:val="18"/>
          <w:szCs w:val="18"/>
          <w:rtl/>
        </w:rPr>
        <w:t xml:space="preserve">חשש </w:t>
      </w:r>
      <w:r>
        <w:rPr>
          <w:rFonts w:hint="cs"/>
          <w:sz w:val="18"/>
          <w:szCs w:val="18"/>
          <w:rtl/>
        </w:rPr>
        <w:t xml:space="preserve">הוא </w:t>
      </w:r>
      <w:r w:rsidRPr="006268BD">
        <w:rPr>
          <w:rFonts w:hint="cs"/>
          <w:sz w:val="18"/>
          <w:szCs w:val="18"/>
          <w:rtl/>
        </w:rPr>
        <w:t xml:space="preserve">שמא נגעה באותו מקום ולאו אדעתא, ולא כפי שפירש </w:t>
      </w:r>
      <w:r w:rsidRPr="006268BD">
        <w:rPr>
          <w:rFonts w:hint="cs"/>
          <w:b/>
          <w:bCs/>
          <w:sz w:val="18"/>
          <w:szCs w:val="18"/>
          <w:rtl/>
        </w:rPr>
        <w:t>המגיד משנה</w:t>
      </w:r>
      <w:r w:rsidRPr="006268BD">
        <w:rPr>
          <w:rFonts w:hint="cs"/>
          <w:sz w:val="18"/>
          <w:szCs w:val="18"/>
          <w:rtl/>
        </w:rPr>
        <w:t xml:space="preserve">. וכן כתב </w:t>
      </w:r>
      <w:r w:rsidRPr="006268BD">
        <w:rPr>
          <w:rFonts w:hint="cs"/>
          <w:b/>
          <w:bCs/>
          <w:sz w:val="18"/>
          <w:szCs w:val="18"/>
          <w:rtl/>
        </w:rPr>
        <w:t>בערוך השולחן</w:t>
      </w:r>
      <w:r w:rsidRPr="006268BD">
        <w:rPr>
          <w:rFonts w:hint="cs"/>
          <w:sz w:val="18"/>
          <w:szCs w:val="18"/>
          <w:rtl/>
        </w:rPr>
        <w:t xml:space="preserve"> שהחשש הוא שמא בדקה ולאו אדעתא. </w:t>
      </w:r>
      <w:r>
        <w:rPr>
          <w:sz w:val="18"/>
          <w:szCs w:val="18"/>
          <w:rtl/>
        </w:rPr>
        <w:br/>
      </w:r>
      <w:r w:rsidRPr="006268BD">
        <w:rPr>
          <w:rFonts w:hint="cs"/>
          <w:sz w:val="18"/>
          <w:szCs w:val="18"/>
          <w:rtl/>
        </w:rPr>
        <w:t xml:space="preserve">ברם, </w:t>
      </w:r>
      <w:r w:rsidRPr="006268BD">
        <w:rPr>
          <w:rFonts w:hint="cs"/>
          <w:b/>
          <w:bCs/>
          <w:sz w:val="18"/>
          <w:szCs w:val="18"/>
          <w:rtl/>
        </w:rPr>
        <w:t>הסדרי טהרה</w:t>
      </w:r>
      <w:r w:rsidRPr="006268BD">
        <w:rPr>
          <w:rFonts w:hint="cs"/>
          <w:sz w:val="18"/>
          <w:szCs w:val="18"/>
          <w:rtl/>
        </w:rPr>
        <w:t xml:space="preserve"> כתב </w:t>
      </w:r>
      <w:r w:rsidRPr="006268BD">
        <w:rPr>
          <w:rFonts w:hint="cs"/>
          <w:b/>
          <w:bCs/>
          <w:sz w:val="18"/>
          <w:szCs w:val="18"/>
          <w:rtl/>
        </w:rPr>
        <w:t xml:space="preserve">שהמחבר </w:t>
      </w:r>
      <w:r w:rsidRPr="006268BD">
        <w:rPr>
          <w:rFonts w:hint="cs"/>
          <w:sz w:val="18"/>
          <w:szCs w:val="18"/>
          <w:rtl/>
        </w:rPr>
        <w:t xml:space="preserve">כתב ע"פ דברי </w:t>
      </w:r>
      <w:r w:rsidRPr="006268BD">
        <w:rPr>
          <w:rFonts w:hint="cs"/>
          <w:b/>
          <w:bCs/>
          <w:sz w:val="18"/>
          <w:szCs w:val="18"/>
          <w:rtl/>
        </w:rPr>
        <w:t>המגיד משנה</w:t>
      </w:r>
      <w:r w:rsidRPr="006268BD">
        <w:rPr>
          <w:rFonts w:hint="cs"/>
          <w:sz w:val="18"/>
          <w:szCs w:val="18"/>
          <w:rtl/>
        </w:rPr>
        <w:t>, ולפי"ז יש לומר שכוונת המחבר כאן אינה שמא נגעה באותו מקום ממש, אלא נגעה סמוך לאותו מקום ומשם ניתז על ידיה</w:t>
      </w:r>
      <w:r>
        <w:rPr>
          <w:rFonts w:hint="cs"/>
          <w:sz w:val="18"/>
          <w:szCs w:val="18"/>
          <w:rtl/>
        </w:rPr>
        <w:t xml:space="preserve"> (ע"פ הערות לטור, הוצאת מכון המאור)</w:t>
      </w:r>
      <w:r w:rsidRPr="006268BD">
        <w:rPr>
          <w:rFonts w:hint="cs"/>
          <w:sz w:val="18"/>
          <w:szCs w:val="18"/>
          <w:rtl/>
        </w:rPr>
        <w:t>.</w:t>
      </w:r>
    </w:p>
  </w:footnote>
  <w:footnote w:id="295">
    <w:p w:rsidR="005953C5" w:rsidRDefault="005953C5" w:rsidP="00620060">
      <w:pPr>
        <w:pStyle w:val="a3"/>
      </w:pPr>
      <w:r w:rsidRPr="008E0715">
        <w:rPr>
          <w:rStyle w:val="a5"/>
          <w:sz w:val="18"/>
          <w:szCs w:val="18"/>
        </w:rPr>
        <w:footnoteRef/>
      </w:r>
      <w:r w:rsidRPr="008E0715">
        <w:rPr>
          <w:sz w:val="18"/>
          <w:szCs w:val="18"/>
          <w:rtl/>
        </w:rPr>
        <w:t xml:space="preserve"> </w:t>
      </w:r>
      <w:r w:rsidRPr="008E0715">
        <w:rPr>
          <w:rFonts w:hint="cs"/>
          <w:b/>
          <w:bCs/>
          <w:sz w:val="18"/>
          <w:szCs w:val="18"/>
          <w:rtl/>
        </w:rPr>
        <w:t>ט"ז</w:t>
      </w:r>
      <w:r w:rsidRPr="008E0715">
        <w:rPr>
          <w:rFonts w:hint="cs"/>
          <w:sz w:val="18"/>
          <w:szCs w:val="18"/>
          <w:rtl/>
        </w:rPr>
        <w:t xml:space="preserve"> </w:t>
      </w:r>
      <w:r w:rsidRPr="008E0715">
        <w:rPr>
          <w:sz w:val="18"/>
          <w:szCs w:val="18"/>
          <w:rtl/>
        </w:rPr>
        <w:t>–</w:t>
      </w:r>
      <w:r w:rsidRPr="008E0715">
        <w:rPr>
          <w:rFonts w:hint="cs"/>
          <w:sz w:val="18"/>
          <w:szCs w:val="18"/>
          <w:rtl/>
        </w:rPr>
        <w:t xml:space="preserve"> ואין חוששים שנגעה באותו מקום בידה ואחר כך העבירה את הדם למקום אחר, כיוון שאין מחזיקים טומא</w:t>
      </w:r>
      <w:r>
        <w:rPr>
          <w:rFonts w:hint="cs"/>
          <w:sz w:val="18"/>
          <w:szCs w:val="18"/>
          <w:rtl/>
        </w:rPr>
        <w:t>ה</w:t>
      </w:r>
      <w:r w:rsidRPr="008E0715">
        <w:rPr>
          <w:rFonts w:hint="cs"/>
          <w:sz w:val="18"/>
          <w:szCs w:val="18"/>
          <w:rtl/>
        </w:rPr>
        <w:t xml:space="preserve"> ממקום למקום, כאמור לעיל.</w:t>
      </w:r>
    </w:p>
  </w:footnote>
  <w:footnote w:id="296">
    <w:p w:rsidR="005953C5" w:rsidRDefault="005953C5" w:rsidP="00620060">
      <w:pPr>
        <w:pStyle w:val="a3"/>
      </w:pPr>
      <w:r w:rsidRPr="008C36A1">
        <w:rPr>
          <w:rStyle w:val="a5"/>
          <w:sz w:val="18"/>
          <w:szCs w:val="18"/>
        </w:rPr>
        <w:footnoteRef/>
      </w:r>
      <w:r w:rsidRPr="008C36A1">
        <w:rPr>
          <w:sz w:val="18"/>
          <w:szCs w:val="18"/>
          <w:rtl/>
        </w:rPr>
        <w:t xml:space="preserve"> </w:t>
      </w:r>
      <w:r w:rsidRPr="008C36A1">
        <w:rPr>
          <w:rFonts w:hint="cs"/>
          <w:b/>
          <w:bCs/>
          <w:sz w:val="18"/>
          <w:szCs w:val="18"/>
          <w:rtl/>
        </w:rPr>
        <w:t>ש"ך</w:t>
      </w:r>
      <w:r w:rsidRPr="008C36A1">
        <w:rPr>
          <w:rFonts w:hint="cs"/>
          <w:sz w:val="18"/>
          <w:szCs w:val="18"/>
          <w:rtl/>
        </w:rPr>
        <w:t xml:space="preserve"> </w:t>
      </w:r>
      <w:r w:rsidRPr="008C36A1">
        <w:rPr>
          <w:sz w:val="18"/>
          <w:szCs w:val="18"/>
          <w:rtl/>
        </w:rPr>
        <w:t>–</w:t>
      </w:r>
      <w:r w:rsidRPr="008C36A1">
        <w:rPr>
          <w:rFonts w:hint="cs"/>
          <w:sz w:val="18"/>
          <w:szCs w:val="18"/>
          <w:rtl/>
        </w:rPr>
        <w:t xml:space="preserve"> הזדקרה היינו שראשה למטה ורגליה למעלה</w:t>
      </w:r>
      <w:r>
        <w:rPr>
          <w:rFonts w:hint="cs"/>
          <w:rtl/>
        </w:rPr>
        <w:t>.</w:t>
      </w:r>
    </w:p>
  </w:footnote>
  <w:footnote w:id="297">
    <w:p w:rsidR="005953C5" w:rsidRDefault="005953C5" w:rsidP="00620060">
      <w:pPr>
        <w:pStyle w:val="a3"/>
        <w:rPr>
          <w:rtl/>
        </w:rPr>
      </w:pPr>
      <w:r w:rsidRPr="001C7854">
        <w:rPr>
          <w:rStyle w:val="a5"/>
          <w:sz w:val="18"/>
          <w:szCs w:val="18"/>
        </w:rPr>
        <w:footnoteRef/>
      </w:r>
      <w:r w:rsidRPr="001C7854">
        <w:rPr>
          <w:sz w:val="18"/>
          <w:szCs w:val="18"/>
          <w:rtl/>
        </w:rPr>
        <w:t xml:space="preserve"> </w:t>
      </w:r>
      <w:r w:rsidRPr="001C7854">
        <w:rPr>
          <w:rFonts w:hint="cs"/>
          <w:sz w:val="18"/>
          <w:szCs w:val="18"/>
          <w:u w:val="single"/>
          <w:rtl/>
        </w:rPr>
        <w:t>הסבר תירוץ הגמרא</w:t>
      </w:r>
      <w:r w:rsidRPr="001C7854">
        <w:rPr>
          <w:sz w:val="18"/>
          <w:szCs w:val="18"/>
          <w:u w:val="single"/>
          <w:rtl/>
        </w:rPr>
        <w:br/>
      </w:r>
      <w:r w:rsidRPr="001C7854">
        <w:rPr>
          <w:rFonts w:hint="cs"/>
          <w:sz w:val="18"/>
          <w:szCs w:val="18"/>
          <w:rtl/>
        </w:rPr>
        <w:t xml:space="preserve">הברייתא מחלקת בין נמצא על בשרה, שטמאה תמיד, לבין נמצא על חלוקה, שטהורה תמיד, בניגוד למשנה המחלקת בין נמצא תחת החגור לנמצא מעל החגור. </w:t>
      </w:r>
      <w:r w:rsidRPr="001C7854">
        <w:rPr>
          <w:sz w:val="18"/>
          <w:szCs w:val="18"/>
          <w:rtl/>
        </w:rPr>
        <w:br/>
      </w:r>
      <w:r w:rsidRPr="001C7854">
        <w:rPr>
          <w:rFonts w:hint="cs"/>
          <w:sz w:val="18"/>
          <w:szCs w:val="18"/>
          <w:rtl/>
        </w:rPr>
        <w:t xml:space="preserve">הגמרא מיישבת את הברייתא בשני אופנים - </w:t>
      </w:r>
      <w:r w:rsidRPr="001C7854">
        <w:rPr>
          <w:sz w:val="18"/>
          <w:szCs w:val="18"/>
          <w:rtl/>
        </w:rPr>
        <w:br/>
      </w:r>
      <w:r w:rsidRPr="001C7854">
        <w:rPr>
          <w:rFonts w:hint="cs"/>
          <w:sz w:val="18"/>
          <w:szCs w:val="18"/>
          <w:rtl/>
        </w:rPr>
        <w:t xml:space="preserve">א. נמצא תחת החגור ועברה בשוק של טבחים - </w:t>
      </w:r>
      <w:r w:rsidRPr="001C7854">
        <w:rPr>
          <w:sz w:val="18"/>
          <w:szCs w:val="18"/>
          <w:rtl/>
        </w:rPr>
        <w:br/>
      </w:r>
      <w:r w:rsidRPr="001C7854">
        <w:rPr>
          <w:rFonts w:hint="cs"/>
          <w:sz w:val="18"/>
          <w:szCs w:val="18"/>
          <w:rtl/>
        </w:rPr>
        <w:t xml:space="preserve">על בשרה </w:t>
      </w:r>
      <w:r w:rsidRPr="001C7854">
        <w:rPr>
          <w:sz w:val="18"/>
          <w:szCs w:val="18"/>
          <w:rtl/>
        </w:rPr>
        <w:t>–</w:t>
      </w:r>
      <w:r w:rsidRPr="001C7854">
        <w:rPr>
          <w:rFonts w:hint="cs"/>
          <w:sz w:val="18"/>
          <w:szCs w:val="18"/>
          <w:rtl/>
        </w:rPr>
        <w:t xml:space="preserve"> טמאה, כיוון שאם מקור הדם מעלמא היה צריך להימצא גם על חלוקה.</w:t>
      </w:r>
      <w:r w:rsidRPr="001C7854">
        <w:rPr>
          <w:sz w:val="18"/>
          <w:szCs w:val="18"/>
          <w:rtl/>
        </w:rPr>
        <w:br/>
      </w:r>
      <w:r w:rsidRPr="001C7854">
        <w:rPr>
          <w:rFonts w:hint="cs"/>
          <w:sz w:val="18"/>
          <w:szCs w:val="18"/>
          <w:rtl/>
        </w:rPr>
        <w:t xml:space="preserve">על חלוקה </w:t>
      </w:r>
      <w:r w:rsidRPr="001C7854">
        <w:rPr>
          <w:sz w:val="18"/>
          <w:szCs w:val="18"/>
          <w:rtl/>
        </w:rPr>
        <w:t>–</w:t>
      </w:r>
      <w:r w:rsidRPr="001C7854">
        <w:rPr>
          <w:rFonts w:hint="cs"/>
          <w:sz w:val="18"/>
          <w:szCs w:val="18"/>
          <w:rtl/>
        </w:rPr>
        <w:t xml:space="preserve"> טהורה, כיוון שאם מקור הדם בגופה היה צריך להימצא גם על בשרה.</w:t>
      </w:r>
      <w:r w:rsidRPr="001C7854">
        <w:rPr>
          <w:sz w:val="18"/>
          <w:szCs w:val="18"/>
          <w:rtl/>
        </w:rPr>
        <w:br/>
      </w:r>
      <w:r w:rsidRPr="001C7854">
        <w:rPr>
          <w:rFonts w:hint="cs"/>
          <w:sz w:val="18"/>
          <w:szCs w:val="18"/>
          <w:rtl/>
        </w:rPr>
        <w:t xml:space="preserve">ב. נמצא מעל החגור אך הזדקרה - </w:t>
      </w:r>
      <w:r w:rsidRPr="001C7854">
        <w:rPr>
          <w:sz w:val="18"/>
          <w:szCs w:val="18"/>
          <w:rtl/>
        </w:rPr>
        <w:br/>
      </w:r>
      <w:r w:rsidRPr="001C7854">
        <w:rPr>
          <w:rFonts w:hint="cs"/>
          <w:sz w:val="18"/>
          <w:szCs w:val="18"/>
          <w:rtl/>
        </w:rPr>
        <w:t xml:space="preserve">על בשרה </w:t>
      </w:r>
      <w:r w:rsidRPr="001C7854">
        <w:rPr>
          <w:sz w:val="18"/>
          <w:szCs w:val="18"/>
          <w:rtl/>
        </w:rPr>
        <w:t>–</w:t>
      </w:r>
      <w:r w:rsidRPr="001C7854">
        <w:rPr>
          <w:rFonts w:hint="cs"/>
          <w:sz w:val="18"/>
          <w:szCs w:val="18"/>
          <w:rtl/>
        </w:rPr>
        <w:t xml:space="preserve"> טמאה, כיוון שאם מקור הדם מעלמא היה צריך להימצא גם על החלוק.</w:t>
      </w:r>
      <w:r w:rsidRPr="001C7854">
        <w:rPr>
          <w:sz w:val="18"/>
          <w:szCs w:val="18"/>
          <w:rtl/>
        </w:rPr>
        <w:br/>
      </w:r>
      <w:r w:rsidRPr="001C7854">
        <w:rPr>
          <w:rFonts w:hint="cs"/>
          <w:sz w:val="18"/>
          <w:szCs w:val="18"/>
          <w:rtl/>
        </w:rPr>
        <w:t xml:space="preserve">על חלוקה </w:t>
      </w:r>
      <w:r w:rsidRPr="001C7854">
        <w:rPr>
          <w:sz w:val="18"/>
          <w:szCs w:val="18"/>
          <w:rtl/>
        </w:rPr>
        <w:t>–</w:t>
      </w:r>
      <w:r w:rsidRPr="001C7854">
        <w:rPr>
          <w:rFonts w:hint="cs"/>
          <w:sz w:val="18"/>
          <w:szCs w:val="18"/>
          <w:rtl/>
        </w:rPr>
        <w:t xml:space="preserve"> טהורה, משום שאם מקור הדם בגופה היה צריך להימצא גם על בשרה.</w:t>
      </w:r>
    </w:p>
  </w:footnote>
  <w:footnote w:id="298">
    <w:p w:rsidR="005953C5" w:rsidRDefault="005953C5" w:rsidP="00620060">
      <w:pPr>
        <w:pStyle w:val="a3"/>
        <w:rPr>
          <w:rtl/>
        </w:rPr>
      </w:pPr>
      <w:r w:rsidRPr="00BA7045">
        <w:rPr>
          <w:rStyle w:val="a5"/>
          <w:sz w:val="18"/>
          <w:szCs w:val="18"/>
        </w:rPr>
        <w:footnoteRef/>
      </w:r>
      <w:r w:rsidRPr="00BA7045">
        <w:rPr>
          <w:sz w:val="18"/>
          <w:szCs w:val="18"/>
          <w:rtl/>
        </w:rPr>
        <w:t xml:space="preserve"> </w:t>
      </w:r>
      <w:r w:rsidRPr="00BA7045">
        <w:rPr>
          <w:rFonts w:hint="cs"/>
          <w:sz w:val="18"/>
          <w:szCs w:val="18"/>
          <w:rtl/>
        </w:rPr>
        <w:t xml:space="preserve">כיצד </w:t>
      </w:r>
      <w:r>
        <w:rPr>
          <w:rFonts w:hint="cs"/>
          <w:sz w:val="18"/>
          <w:szCs w:val="18"/>
          <w:rtl/>
        </w:rPr>
        <w:t>'</w:t>
      </w:r>
      <w:r w:rsidRPr="00BA7045">
        <w:rPr>
          <w:rFonts w:hint="cs"/>
          <w:sz w:val="18"/>
          <w:szCs w:val="18"/>
          <w:rtl/>
        </w:rPr>
        <w:t>נכנס</w:t>
      </w:r>
      <w:r>
        <w:rPr>
          <w:rFonts w:hint="cs"/>
          <w:sz w:val="18"/>
          <w:szCs w:val="18"/>
          <w:rtl/>
        </w:rPr>
        <w:t>'</w:t>
      </w:r>
      <w:r w:rsidRPr="00BA7045">
        <w:rPr>
          <w:rFonts w:hint="cs"/>
          <w:sz w:val="18"/>
          <w:szCs w:val="18"/>
          <w:rtl/>
        </w:rPr>
        <w:t xml:space="preserve"> הסבר הרשב"א בגמרא?</w:t>
      </w:r>
      <w:r w:rsidRPr="00BA7045">
        <w:rPr>
          <w:rFonts w:hint="cs"/>
          <w:sz w:val="18"/>
          <w:szCs w:val="18"/>
          <w:rtl/>
        </w:rPr>
        <w:br/>
        <w:t xml:space="preserve">בתירוץ הראשון </w:t>
      </w:r>
      <w:r w:rsidRPr="00BA7045">
        <w:rPr>
          <w:sz w:val="18"/>
          <w:szCs w:val="18"/>
          <w:rtl/>
        </w:rPr>
        <w:t>–</w:t>
      </w:r>
      <w:r>
        <w:rPr>
          <w:rFonts w:hint="cs"/>
          <w:sz w:val="18"/>
          <w:szCs w:val="18"/>
          <w:rtl/>
        </w:rPr>
        <w:t xml:space="preserve"> </w:t>
      </w:r>
      <w:r w:rsidRPr="00BA7045">
        <w:rPr>
          <w:rFonts w:hint="cs"/>
          <w:sz w:val="18"/>
          <w:szCs w:val="18"/>
          <w:rtl/>
        </w:rPr>
        <w:t xml:space="preserve">כוונת הברייתא היא שאם נמצא דם </w:t>
      </w:r>
      <w:r w:rsidRPr="00BA7045">
        <w:rPr>
          <w:rFonts w:hint="cs"/>
          <w:sz w:val="18"/>
          <w:szCs w:val="18"/>
          <w:u w:val="single"/>
          <w:rtl/>
        </w:rPr>
        <w:t>רק</w:t>
      </w:r>
      <w:r w:rsidRPr="00BA7045">
        <w:rPr>
          <w:rFonts w:hint="cs"/>
          <w:sz w:val="18"/>
          <w:szCs w:val="18"/>
          <w:rtl/>
        </w:rPr>
        <w:t xml:space="preserve"> בשרה טמאה, אך אם נמצא </w:t>
      </w:r>
      <w:r w:rsidRPr="00BA7045">
        <w:rPr>
          <w:rFonts w:hint="cs"/>
          <w:sz w:val="18"/>
          <w:szCs w:val="18"/>
          <w:u w:val="single"/>
          <w:rtl/>
        </w:rPr>
        <w:t>גם</w:t>
      </w:r>
      <w:r w:rsidRPr="00BA7045">
        <w:rPr>
          <w:rFonts w:hint="cs"/>
          <w:sz w:val="18"/>
          <w:szCs w:val="18"/>
          <w:rtl/>
        </w:rPr>
        <w:t xml:space="preserve"> על חלוקה טהורה.</w:t>
      </w:r>
      <w:r w:rsidRPr="00BA7045">
        <w:rPr>
          <w:sz w:val="18"/>
          <w:szCs w:val="18"/>
          <w:rtl/>
        </w:rPr>
        <w:br/>
      </w:r>
      <w:r w:rsidRPr="00BA7045">
        <w:rPr>
          <w:rFonts w:hint="cs"/>
          <w:sz w:val="18"/>
          <w:szCs w:val="18"/>
          <w:rtl/>
        </w:rPr>
        <w:t xml:space="preserve">בתירוץ השני </w:t>
      </w:r>
      <w:r w:rsidRPr="00BA7045">
        <w:rPr>
          <w:sz w:val="18"/>
          <w:szCs w:val="18"/>
          <w:rtl/>
        </w:rPr>
        <w:t>–</w:t>
      </w:r>
      <w:r w:rsidRPr="00BA7045">
        <w:rPr>
          <w:rFonts w:hint="cs"/>
          <w:sz w:val="18"/>
          <w:szCs w:val="18"/>
          <w:rtl/>
        </w:rPr>
        <w:t xml:space="preserve"> כוונת הברייתא היא, שאם נמצא דם </w:t>
      </w:r>
      <w:r w:rsidRPr="00BA7045">
        <w:rPr>
          <w:rFonts w:hint="cs"/>
          <w:sz w:val="18"/>
          <w:szCs w:val="18"/>
          <w:u w:val="single"/>
          <w:rtl/>
        </w:rPr>
        <w:t>גם</w:t>
      </w:r>
      <w:r>
        <w:rPr>
          <w:rFonts w:hint="cs"/>
          <w:sz w:val="18"/>
          <w:szCs w:val="18"/>
          <w:rtl/>
        </w:rPr>
        <w:t xml:space="preserve"> על בשרה</w:t>
      </w:r>
      <w:r w:rsidRPr="00BA7045">
        <w:rPr>
          <w:rFonts w:hint="cs"/>
          <w:sz w:val="18"/>
          <w:szCs w:val="18"/>
          <w:rtl/>
        </w:rPr>
        <w:t xml:space="preserve"> </w:t>
      </w:r>
      <w:r>
        <w:rPr>
          <w:rFonts w:hint="cs"/>
          <w:sz w:val="18"/>
          <w:szCs w:val="18"/>
          <w:rtl/>
        </w:rPr>
        <w:t>טמאה</w:t>
      </w:r>
      <w:r w:rsidRPr="00BA7045">
        <w:rPr>
          <w:rFonts w:hint="cs"/>
          <w:sz w:val="18"/>
          <w:szCs w:val="18"/>
          <w:rtl/>
        </w:rPr>
        <w:t xml:space="preserve">, אך אם נמצא </w:t>
      </w:r>
      <w:r>
        <w:rPr>
          <w:rFonts w:hint="cs"/>
          <w:sz w:val="18"/>
          <w:szCs w:val="18"/>
          <w:u w:val="single"/>
          <w:rtl/>
        </w:rPr>
        <w:t>רק</w:t>
      </w:r>
      <w:r w:rsidRPr="00BA7045">
        <w:rPr>
          <w:rFonts w:hint="cs"/>
          <w:sz w:val="18"/>
          <w:szCs w:val="18"/>
          <w:rtl/>
        </w:rPr>
        <w:t xml:space="preserve"> על חלוקה ט</w:t>
      </w:r>
      <w:r>
        <w:rPr>
          <w:rFonts w:hint="cs"/>
          <w:sz w:val="18"/>
          <w:szCs w:val="18"/>
          <w:rtl/>
        </w:rPr>
        <w:t>הורה</w:t>
      </w:r>
      <w:r w:rsidRPr="00BA7045">
        <w:rPr>
          <w:rFonts w:hint="cs"/>
          <w:sz w:val="18"/>
          <w:szCs w:val="18"/>
          <w:rtl/>
        </w:rPr>
        <w:t>.</w:t>
      </w:r>
    </w:p>
  </w:footnote>
  <w:footnote w:id="299">
    <w:p w:rsidR="005953C5" w:rsidRDefault="005953C5" w:rsidP="00620060">
      <w:pPr>
        <w:pStyle w:val="a3"/>
        <w:rPr>
          <w:rtl/>
        </w:rPr>
      </w:pPr>
      <w:r w:rsidRPr="009E3B85">
        <w:rPr>
          <w:rStyle w:val="a5"/>
          <w:sz w:val="18"/>
          <w:szCs w:val="18"/>
        </w:rPr>
        <w:footnoteRef/>
      </w:r>
      <w:r w:rsidRPr="009E3B85">
        <w:rPr>
          <w:sz w:val="18"/>
          <w:szCs w:val="18"/>
          <w:rtl/>
        </w:rPr>
        <w:t xml:space="preserve"> </w:t>
      </w:r>
      <w:r w:rsidRPr="00753C23">
        <w:rPr>
          <w:rFonts w:hint="cs"/>
          <w:b/>
          <w:bCs/>
          <w:sz w:val="18"/>
          <w:szCs w:val="18"/>
          <w:rtl/>
        </w:rPr>
        <w:t>הבית יוסף</w:t>
      </w:r>
      <w:r w:rsidRPr="009E3B85">
        <w:rPr>
          <w:rFonts w:hint="cs"/>
          <w:sz w:val="18"/>
          <w:szCs w:val="18"/>
          <w:rtl/>
        </w:rPr>
        <w:t xml:space="preserve"> מצביע על קושי בפירוש </w:t>
      </w:r>
      <w:r w:rsidRPr="00753C23">
        <w:rPr>
          <w:rFonts w:hint="cs"/>
          <w:b/>
          <w:bCs/>
          <w:sz w:val="18"/>
          <w:szCs w:val="18"/>
          <w:rtl/>
        </w:rPr>
        <w:t>הרשב"א</w:t>
      </w:r>
      <w:r w:rsidRPr="009E3B85">
        <w:rPr>
          <w:rFonts w:hint="cs"/>
          <w:sz w:val="18"/>
          <w:szCs w:val="18"/>
          <w:rtl/>
        </w:rPr>
        <w:t xml:space="preserve"> - </w:t>
      </w:r>
      <w:r w:rsidRPr="009E3B85">
        <w:rPr>
          <w:sz w:val="18"/>
          <w:szCs w:val="18"/>
          <w:rtl/>
        </w:rPr>
        <w:br/>
      </w:r>
      <w:r w:rsidRPr="009E3B85">
        <w:rPr>
          <w:rFonts w:hint="cs"/>
          <w:sz w:val="18"/>
          <w:szCs w:val="18"/>
          <w:rtl/>
        </w:rPr>
        <w:t xml:space="preserve">שני התירוצים בגמרא אינם מדברים באותה שפה. כשבתירוץ הראשון נאמר 'על בשרה' הכוונה היא שהכתם נמצא על בשרה </w:t>
      </w:r>
      <w:r w:rsidRPr="009E3B85">
        <w:rPr>
          <w:rFonts w:hint="cs"/>
          <w:sz w:val="18"/>
          <w:szCs w:val="18"/>
          <w:u w:val="single"/>
          <w:rtl/>
        </w:rPr>
        <w:t>בלבד</w:t>
      </w:r>
      <w:r w:rsidRPr="009E3B85">
        <w:rPr>
          <w:rFonts w:hint="cs"/>
          <w:sz w:val="18"/>
          <w:szCs w:val="18"/>
          <w:rtl/>
        </w:rPr>
        <w:t xml:space="preserve">, אך בתירוץ השני הכוונה היא </w:t>
      </w:r>
      <w:r w:rsidRPr="009E3B85">
        <w:rPr>
          <w:rFonts w:hint="cs"/>
          <w:sz w:val="18"/>
          <w:szCs w:val="18"/>
          <w:u w:val="single"/>
          <w:rtl/>
        </w:rPr>
        <w:t>גם</w:t>
      </w:r>
      <w:r w:rsidRPr="009E3B85">
        <w:rPr>
          <w:rFonts w:hint="cs"/>
          <w:sz w:val="18"/>
          <w:szCs w:val="18"/>
          <w:rtl/>
        </w:rPr>
        <w:t xml:space="preserve"> על בשרה. וכן בתירוץ הראשון כשנאמר 'על חלוקה' הכוונה היא </w:t>
      </w:r>
      <w:r w:rsidRPr="009E3B85">
        <w:rPr>
          <w:rFonts w:hint="cs"/>
          <w:sz w:val="18"/>
          <w:szCs w:val="18"/>
          <w:u w:val="single"/>
          <w:rtl/>
        </w:rPr>
        <w:t>גם</w:t>
      </w:r>
      <w:r w:rsidRPr="009E3B85">
        <w:rPr>
          <w:rFonts w:hint="cs"/>
          <w:sz w:val="18"/>
          <w:szCs w:val="18"/>
          <w:rtl/>
        </w:rPr>
        <w:t xml:space="preserve"> על חלוקה, אך בתירוץ השני הכוונה היא </w:t>
      </w:r>
      <w:r w:rsidRPr="009E3B85">
        <w:rPr>
          <w:rFonts w:hint="cs"/>
          <w:sz w:val="18"/>
          <w:szCs w:val="18"/>
          <w:u w:val="single"/>
          <w:rtl/>
        </w:rPr>
        <w:t>רק</w:t>
      </w:r>
      <w:r w:rsidRPr="009E3B85">
        <w:rPr>
          <w:rFonts w:hint="cs"/>
          <w:sz w:val="18"/>
          <w:szCs w:val="18"/>
          <w:rtl/>
        </w:rPr>
        <w:t xml:space="preserve"> על חלוקה.</w:t>
      </w:r>
      <w:r w:rsidRPr="009E3B85">
        <w:rPr>
          <w:sz w:val="18"/>
          <w:szCs w:val="18"/>
          <w:rtl/>
        </w:rPr>
        <w:br/>
      </w:r>
      <w:r w:rsidRPr="009E3B85">
        <w:rPr>
          <w:rFonts w:hint="cs"/>
          <w:sz w:val="18"/>
          <w:szCs w:val="18"/>
          <w:rtl/>
        </w:rPr>
        <w:t>קושי זה אינו קיים בשיטת הרמב"ם המובאת בסמוך.</w:t>
      </w:r>
      <w:r w:rsidRPr="009E3B85">
        <w:rPr>
          <w:sz w:val="18"/>
          <w:szCs w:val="18"/>
          <w:rtl/>
        </w:rPr>
        <w:br/>
      </w:r>
      <w:r w:rsidRPr="009E3B85">
        <w:rPr>
          <w:rFonts w:hint="cs"/>
          <w:sz w:val="18"/>
          <w:szCs w:val="18"/>
          <w:rtl/>
        </w:rPr>
        <w:t xml:space="preserve">ואמנם, הבית יוסף מיישב שאם אין הבדל זה קיים בין התירוצים, יוצא שהתירוץ השני אינו מוסיף מאומה על פני התירוץ הראשון מלבד הסברה שכשהזדקרה דין למעלה מהחגור כדין למטה מהחגור כשלא הזדקרה, ואם כן לא היתה הגמרא צריכה להאריך כל כך בהצגת שני תירוצים נפרדים, אלא היה אפשר לומר זאת בקיצור, עיין </w:t>
      </w:r>
      <w:r w:rsidRPr="00753C23">
        <w:rPr>
          <w:rFonts w:hint="cs"/>
          <w:b/>
          <w:bCs/>
          <w:sz w:val="18"/>
          <w:szCs w:val="18"/>
          <w:rtl/>
        </w:rPr>
        <w:t>בבית יוסף</w:t>
      </w:r>
      <w:r w:rsidRPr="009E3B85">
        <w:rPr>
          <w:rFonts w:hint="cs"/>
          <w:sz w:val="18"/>
          <w:szCs w:val="18"/>
          <w:rtl/>
        </w:rPr>
        <w:t>.</w:t>
      </w:r>
    </w:p>
  </w:footnote>
  <w:footnote w:id="300">
    <w:p w:rsidR="005953C5" w:rsidRDefault="005953C5" w:rsidP="00620060">
      <w:pPr>
        <w:pStyle w:val="a3"/>
        <w:rPr>
          <w:rtl/>
        </w:rPr>
      </w:pPr>
      <w:r w:rsidRPr="00AF3591">
        <w:rPr>
          <w:rStyle w:val="a5"/>
          <w:sz w:val="18"/>
          <w:szCs w:val="18"/>
        </w:rPr>
        <w:footnoteRef/>
      </w:r>
      <w:r w:rsidRPr="00AF3591">
        <w:rPr>
          <w:sz w:val="18"/>
          <w:szCs w:val="18"/>
          <w:rtl/>
        </w:rPr>
        <w:t xml:space="preserve"> </w:t>
      </w:r>
      <w:r w:rsidRPr="00AF3591">
        <w:rPr>
          <w:rFonts w:hint="cs"/>
          <w:sz w:val="18"/>
          <w:szCs w:val="18"/>
          <w:rtl/>
        </w:rPr>
        <w:t xml:space="preserve">ההיגיון בדין זה פשוט - </w:t>
      </w:r>
      <w:r w:rsidRPr="00AF3591">
        <w:rPr>
          <w:sz w:val="18"/>
          <w:szCs w:val="18"/>
          <w:rtl/>
        </w:rPr>
        <w:br/>
      </w:r>
      <w:r w:rsidRPr="00AF3591">
        <w:rPr>
          <w:rFonts w:hint="cs"/>
          <w:sz w:val="18"/>
          <w:szCs w:val="18"/>
          <w:rtl/>
        </w:rPr>
        <w:t>בנמצא למטה מהחגור טמאה אפילו כשנמצא על חלוקה בלבד, לכן גם בהזדקרה טמאה כשנמצא על חלוקה בלבד, מכיוון שדין חגור ולמעלה כשהזדקרה זהה לדין מהחגור ולמטה כשלא הזדקרה.</w:t>
      </w:r>
    </w:p>
  </w:footnote>
  <w:footnote w:id="301">
    <w:p w:rsidR="005953C5" w:rsidRDefault="005953C5" w:rsidP="00620060">
      <w:pPr>
        <w:pStyle w:val="a3"/>
      </w:pPr>
      <w:r w:rsidRPr="0036774F">
        <w:rPr>
          <w:rStyle w:val="a5"/>
          <w:sz w:val="18"/>
          <w:szCs w:val="18"/>
        </w:rPr>
        <w:footnoteRef/>
      </w:r>
      <w:r w:rsidRPr="0036774F">
        <w:rPr>
          <w:sz w:val="18"/>
          <w:szCs w:val="18"/>
          <w:rtl/>
        </w:rPr>
        <w:t xml:space="preserve"> </w:t>
      </w:r>
      <w:r w:rsidRPr="0036774F">
        <w:rPr>
          <w:rFonts w:hint="cs"/>
          <w:b/>
          <w:bCs/>
          <w:sz w:val="18"/>
          <w:szCs w:val="18"/>
          <w:rtl/>
        </w:rPr>
        <w:t xml:space="preserve">מגיד משנה </w:t>
      </w:r>
      <w:r w:rsidRPr="0036774F">
        <w:rPr>
          <w:sz w:val="18"/>
          <w:szCs w:val="18"/>
          <w:rtl/>
        </w:rPr>
        <w:t>–</w:t>
      </w:r>
      <w:r w:rsidRPr="0036774F">
        <w:rPr>
          <w:rFonts w:hint="cs"/>
          <w:sz w:val="18"/>
          <w:szCs w:val="18"/>
          <w:rtl/>
        </w:rPr>
        <w:t xml:space="preserve"> להסבר הרמב"ם, התירוץ השני אינו מחדש מאומה על פני התירוץ הראשון, בשני המקרים עברה בשוק ובנמצא על בשרה בלבד טמאה, אך אם נמצא גם על חלוקה טהורה. אלא, שהתירוץ השני מלמדנו שבהזדקרה דין למעלה מהחגור כדין למטה מהחגור כשלא הזדקרה.</w:t>
      </w:r>
      <w:r>
        <w:rPr>
          <w:rtl/>
        </w:rPr>
        <w:br/>
      </w:r>
      <w:r w:rsidRPr="00F527DF">
        <w:rPr>
          <w:rFonts w:hint="cs"/>
          <w:sz w:val="18"/>
          <w:szCs w:val="18"/>
          <w:rtl/>
        </w:rPr>
        <w:t>נקודה זאת אינה מפורשת ברמב"ם, אלא שכך מדייק הבית יוסף ברמב"ם. הרמב"ם כתב "</w:t>
      </w:r>
      <w:r w:rsidRPr="00F527DF">
        <w:rPr>
          <w:rFonts w:cs="Arial"/>
          <w:sz w:val="18"/>
          <w:szCs w:val="18"/>
          <w:rtl/>
        </w:rPr>
        <w:t>ואם נתהפכה וקפצה אפילו מחגור ולמעלה טמאה</w:t>
      </w:r>
      <w:r w:rsidRPr="00F527DF">
        <w:rPr>
          <w:rFonts w:hint="cs"/>
          <w:sz w:val="18"/>
          <w:szCs w:val="18"/>
          <w:rtl/>
        </w:rPr>
        <w:t>" ויש לדייק מכאן שדין למעלה מהגחור בהזדקרה זהה לדין למטה מהחגור כשלא הזדקרה.</w:t>
      </w:r>
      <w:r>
        <w:rPr>
          <w:rtl/>
        </w:rPr>
        <w:br/>
      </w:r>
      <w:r w:rsidRPr="005E163D">
        <w:rPr>
          <w:rFonts w:hint="cs"/>
          <w:sz w:val="18"/>
          <w:szCs w:val="18"/>
          <w:rtl/>
        </w:rPr>
        <w:t xml:space="preserve">ולענ"ד ניתן למצוא לכך הוכחה גם מעצם פירוש הרמב"ם לסוגייה </w:t>
      </w:r>
      <w:r w:rsidRPr="005E163D">
        <w:rPr>
          <w:sz w:val="18"/>
          <w:szCs w:val="18"/>
          <w:rtl/>
        </w:rPr>
        <w:t>–</w:t>
      </w:r>
      <w:r w:rsidRPr="005E163D">
        <w:rPr>
          <w:rFonts w:hint="cs"/>
          <w:sz w:val="18"/>
          <w:szCs w:val="18"/>
          <w:rtl/>
        </w:rPr>
        <w:t xml:space="preserve"> בתירוץ השני כדי לטהר אותה בכתם הנמצא מחגור ולמעלה בחלוקה כשהזדקרה, הוצרכה הגמרא להעמיד שעברה בשוק של טבחים, משמע להדיא שאם לא עברה בשוק של טבחים טמאה כתם הנמצא על חלוקה מחגור ולמעלה. </w:t>
      </w:r>
    </w:p>
  </w:footnote>
  <w:footnote w:id="302">
    <w:p w:rsidR="005953C5" w:rsidRDefault="005953C5" w:rsidP="00620060">
      <w:pPr>
        <w:pStyle w:val="a3"/>
        <w:rPr>
          <w:rtl/>
        </w:rPr>
      </w:pPr>
      <w:r w:rsidRPr="006327C9">
        <w:rPr>
          <w:rStyle w:val="a5"/>
          <w:sz w:val="18"/>
          <w:szCs w:val="18"/>
        </w:rPr>
        <w:footnoteRef/>
      </w:r>
      <w:r w:rsidRPr="006327C9">
        <w:rPr>
          <w:sz w:val="18"/>
          <w:szCs w:val="18"/>
          <w:rtl/>
        </w:rPr>
        <w:t xml:space="preserve"> </w:t>
      </w:r>
      <w:r w:rsidRPr="006327C9">
        <w:rPr>
          <w:rFonts w:hint="cs"/>
          <w:b/>
          <w:bCs/>
          <w:sz w:val="18"/>
          <w:szCs w:val="18"/>
          <w:rtl/>
        </w:rPr>
        <w:t>הטור</w:t>
      </w:r>
      <w:r w:rsidRPr="006327C9">
        <w:rPr>
          <w:rFonts w:hint="cs"/>
          <w:sz w:val="18"/>
          <w:szCs w:val="18"/>
          <w:rtl/>
        </w:rPr>
        <w:t xml:space="preserve"> מביא שיטת ראשונים נוספת בשם 'יש אומרים' - </w:t>
      </w:r>
      <w:r w:rsidRPr="006327C9">
        <w:rPr>
          <w:sz w:val="18"/>
          <w:szCs w:val="18"/>
          <w:rtl/>
        </w:rPr>
        <w:br/>
      </w:r>
      <w:r w:rsidRPr="006327C9">
        <w:rPr>
          <w:rFonts w:hint="cs"/>
          <w:sz w:val="18"/>
          <w:szCs w:val="18"/>
          <w:rtl/>
        </w:rPr>
        <w:t xml:space="preserve">ד. </w:t>
      </w:r>
      <w:r w:rsidRPr="006327C9">
        <w:rPr>
          <w:rFonts w:hint="cs"/>
          <w:b/>
          <w:bCs/>
          <w:sz w:val="18"/>
          <w:szCs w:val="18"/>
          <w:rtl/>
        </w:rPr>
        <w:t>יש אומרים</w:t>
      </w:r>
      <w:r w:rsidRPr="006327C9">
        <w:rPr>
          <w:rFonts w:hint="cs"/>
          <w:sz w:val="16"/>
          <w:szCs w:val="16"/>
          <w:rtl/>
        </w:rPr>
        <w:t xml:space="preserve"> </w:t>
      </w:r>
      <w:r w:rsidRPr="006327C9">
        <w:rPr>
          <w:rFonts w:hint="cs"/>
          <w:sz w:val="18"/>
          <w:szCs w:val="18"/>
          <w:rtl/>
        </w:rPr>
        <w:t xml:space="preserve">- הזדקרה ונמצא דם מחגור ולמעלה אפילו על חלוקה </w:t>
      </w:r>
      <w:r w:rsidRPr="006327C9">
        <w:rPr>
          <w:rFonts w:hint="cs"/>
          <w:sz w:val="18"/>
          <w:szCs w:val="18"/>
          <w:u w:val="single"/>
          <w:rtl/>
        </w:rPr>
        <w:t>בלבד</w:t>
      </w:r>
      <w:r w:rsidRPr="006327C9">
        <w:rPr>
          <w:rFonts w:hint="cs"/>
          <w:sz w:val="18"/>
          <w:szCs w:val="18"/>
          <w:rtl/>
        </w:rPr>
        <w:t>, טמאה.</w:t>
      </w:r>
      <w:r w:rsidRPr="006327C9">
        <w:rPr>
          <w:sz w:val="18"/>
          <w:szCs w:val="18"/>
          <w:rtl/>
        </w:rPr>
        <w:br/>
      </w:r>
      <w:r w:rsidRPr="006327C9">
        <w:rPr>
          <w:rFonts w:hint="cs"/>
          <w:sz w:val="18"/>
          <w:szCs w:val="18"/>
          <w:rtl/>
        </w:rPr>
        <w:t xml:space="preserve">אך אם עברה בשוק של טבחים והזדקרה ונמצא דם </w:t>
      </w:r>
      <w:r w:rsidRPr="006327C9">
        <w:rPr>
          <w:rFonts w:hint="cs"/>
          <w:sz w:val="18"/>
          <w:szCs w:val="18"/>
          <w:u w:val="single"/>
          <w:rtl/>
        </w:rPr>
        <w:t>גם</w:t>
      </w:r>
      <w:r w:rsidRPr="006327C9">
        <w:rPr>
          <w:rFonts w:hint="cs"/>
          <w:sz w:val="18"/>
          <w:szCs w:val="18"/>
          <w:rtl/>
        </w:rPr>
        <w:t xml:space="preserve"> על חלוקה, טהורה.</w:t>
      </w:r>
      <w:r w:rsidRPr="006327C9">
        <w:rPr>
          <w:sz w:val="18"/>
          <w:szCs w:val="18"/>
          <w:rtl/>
        </w:rPr>
        <w:br/>
      </w:r>
      <w:r w:rsidRPr="006327C9">
        <w:rPr>
          <w:rFonts w:hint="cs"/>
          <w:b/>
          <w:bCs/>
          <w:sz w:val="18"/>
          <w:szCs w:val="18"/>
          <w:rtl/>
        </w:rPr>
        <w:t>טעם</w:t>
      </w:r>
      <w:r w:rsidRPr="006327C9">
        <w:rPr>
          <w:rFonts w:hint="cs"/>
          <w:sz w:val="18"/>
          <w:szCs w:val="18"/>
          <w:rtl/>
        </w:rPr>
        <w:t xml:space="preserve"> </w:t>
      </w:r>
      <w:r w:rsidRPr="006327C9">
        <w:rPr>
          <w:sz w:val="18"/>
          <w:szCs w:val="18"/>
          <w:rtl/>
        </w:rPr>
        <w:t>–</w:t>
      </w:r>
      <w:r w:rsidRPr="006327C9">
        <w:rPr>
          <w:rFonts w:hint="cs"/>
          <w:sz w:val="18"/>
          <w:szCs w:val="18"/>
          <w:rtl/>
        </w:rPr>
        <w:t xml:space="preserve"> כאשר הזדקרה, דין למעלה מהחגור כדין למטה מהחגור כשלא הזדקרה.</w:t>
      </w:r>
      <w:r w:rsidRPr="006327C9">
        <w:rPr>
          <w:sz w:val="18"/>
          <w:szCs w:val="18"/>
          <w:rtl/>
        </w:rPr>
        <w:br/>
      </w:r>
      <w:r w:rsidRPr="006327C9">
        <w:rPr>
          <w:rFonts w:hint="cs"/>
          <w:sz w:val="18"/>
          <w:szCs w:val="18"/>
          <w:rtl/>
        </w:rPr>
        <w:t>ואמנם, לאחר העיון בשיטת הרמב"ם ובשיטה זו, נראה לענ"ד שזו אותה שיטה, ולכן היא אינה מובאת בפנים.</w:t>
      </w:r>
    </w:p>
  </w:footnote>
  <w:footnote w:id="303">
    <w:p w:rsidR="005953C5" w:rsidRDefault="005953C5" w:rsidP="00620060">
      <w:pPr>
        <w:pStyle w:val="a3"/>
        <w:rPr>
          <w:rtl/>
        </w:rPr>
      </w:pPr>
      <w:r w:rsidRPr="002371DF">
        <w:rPr>
          <w:rStyle w:val="a5"/>
          <w:sz w:val="18"/>
          <w:szCs w:val="18"/>
        </w:rPr>
        <w:footnoteRef/>
      </w:r>
      <w:r w:rsidRPr="002371DF">
        <w:rPr>
          <w:sz w:val="18"/>
          <w:szCs w:val="18"/>
          <w:rtl/>
        </w:rPr>
        <w:t xml:space="preserve"> </w:t>
      </w:r>
      <w:r w:rsidRPr="002371DF">
        <w:rPr>
          <w:rFonts w:hint="cs"/>
          <w:sz w:val="18"/>
          <w:szCs w:val="18"/>
          <w:rtl/>
        </w:rPr>
        <w:t>אך</w:t>
      </w:r>
      <w:r w:rsidRPr="002371DF">
        <w:rPr>
          <w:rFonts w:hint="cs"/>
          <w:b/>
          <w:bCs/>
          <w:sz w:val="18"/>
          <w:szCs w:val="18"/>
          <w:rtl/>
        </w:rPr>
        <w:t xml:space="preserve"> המחבר</w:t>
      </w:r>
      <w:r w:rsidRPr="002371DF">
        <w:rPr>
          <w:rFonts w:hint="cs"/>
          <w:sz w:val="18"/>
          <w:szCs w:val="18"/>
          <w:rtl/>
        </w:rPr>
        <w:t xml:space="preserve"> לא פסק </w:t>
      </w:r>
      <w:r w:rsidRPr="002371DF">
        <w:rPr>
          <w:rFonts w:hint="cs"/>
          <w:b/>
          <w:bCs/>
          <w:sz w:val="18"/>
          <w:szCs w:val="18"/>
          <w:rtl/>
        </w:rPr>
        <w:t>כראב"ד</w:t>
      </w:r>
      <w:r w:rsidRPr="002371DF">
        <w:rPr>
          <w:rFonts w:hint="cs"/>
          <w:sz w:val="18"/>
          <w:szCs w:val="18"/>
          <w:rtl/>
        </w:rPr>
        <w:t>, שאם עברה בשוק</w:t>
      </w:r>
      <w:r>
        <w:rPr>
          <w:rFonts w:hint="cs"/>
          <w:sz w:val="18"/>
          <w:szCs w:val="18"/>
          <w:rtl/>
        </w:rPr>
        <w:t xml:space="preserve"> אפילו נמצא על בשרה בלבד טהורה.</w:t>
      </w:r>
    </w:p>
  </w:footnote>
  <w:footnote w:id="304">
    <w:p w:rsidR="005953C5" w:rsidRDefault="005953C5" w:rsidP="00620060">
      <w:pPr>
        <w:pStyle w:val="a3"/>
        <w:rPr>
          <w:rtl/>
        </w:rPr>
      </w:pPr>
      <w:r w:rsidRPr="000356B8">
        <w:rPr>
          <w:rStyle w:val="a5"/>
          <w:sz w:val="18"/>
          <w:szCs w:val="18"/>
        </w:rPr>
        <w:footnoteRef/>
      </w:r>
      <w:r w:rsidRPr="000356B8">
        <w:rPr>
          <w:sz w:val="18"/>
          <w:szCs w:val="18"/>
          <w:rtl/>
        </w:rPr>
        <w:t xml:space="preserve"> </w:t>
      </w:r>
      <w:r w:rsidRPr="000356B8">
        <w:rPr>
          <w:rFonts w:hint="cs"/>
          <w:b/>
          <w:bCs/>
          <w:sz w:val="18"/>
          <w:szCs w:val="18"/>
          <w:rtl/>
        </w:rPr>
        <w:t xml:space="preserve">הב"ח </w:t>
      </w:r>
      <w:r w:rsidRPr="000356B8">
        <w:rPr>
          <w:rFonts w:hint="cs"/>
          <w:sz w:val="18"/>
          <w:szCs w:val="18"/>
          <w:rtl/>
        </w:rPr>
        <w:t xml:space="preserve">תמה על המחבר שפסק כדעת הרשב"א שהוא יחיד בהוראה זו. ברם, </w:t>
      </w:r>
      <w:r w:rsidRPr="000356B8">
        <w:rPr>
          <w:rFonts w:hint="cs"/>
          <w:b/>
          <w:bCs/>
          <w:sz w:val="18"/>
          <w:szCs w:val="18"/>
          <w:rtl/>
        </w:rPr>
        <w:t>הש"ך</w:t>
      </w:r>
      <w:r w:rsidRPr="000356B8">
        <w:rPr>
          <w:rFonts w:hint="cs"/>
          <w:sz w:val="18"/>
          <w:szCs w:val="18"/>
          <w:rtl/>
        </w:rPr>
        <w:t xml:space="preserve"> דוחה את קושיית </w:t>
      </w:r>
      <w:r w:rsidRPr="000356B8">
        <w:rPr>
          <w:rFonts w:hint="cs"/>
          <w:b/>
          <w:bCs/>
          <w:sz w:val="18"/>
          <w:szCs w:val="18"/>
          <w:rtl/>
        </w:rPr>
        <w:t>הב"ח</w:t>
      </w:r>
      <w:r w:rsidRPr="000356B8">
        <w:rPr>
          <w:rFonts w:hint="cs"/>
          <w:sz w:val="18"/>
          <w:szCs w:val="18"/>
          <w:rtl/>
        </w:rPr>
        <w:t xml:space="preserve"> ואומר </w:t>
      </w:r>
      <w:r w:rsidRPr="000356B8">
        <w:rPr>
          <w:rFonts w:hint="cs"/>
          <w:b/>
          <w:bCs/>
          <w:sz w:val="18"/>
          <w:szCs w:val="18"/>
          <w:rtl/>
        </w:rPr>
        <w:t>שהרשב"א</w:t>
      </w:r>
      <w:r w:rsidRPr="000356B8">
        <w:rPr>
          <w:rFonts w:hint="cs"/>
          <w:sz w:val="18"/>
          <w:szCs w:val="18"/>
          <w:rtl/>
        </w:rPr>
        <w:t xml:space="preserve"> אינו דעת יחיד, וכך סוברים גם </w:t>
      </w:r>
      <w:r w:rsidRPr="000356B8">
        <w:rPr>
          <w:rFonts w:hint="cs"/>
          <w:b/>
          <w:bCs/>
          <w:sz w:val="18"/>
          <w:szCs w:val="18"/>
          <w:rtl/>
        </w:rPr>
        <w:t>הרמב"ן</w:t>
      </w:r>
      <w:r w:rsidRPr="000356B8">
        <w:rPr>
          <w:rFonts w:hint="cs"/>
          <w:sz w:val="18"/>
          <w:szCs w:val="18"/>
          <w:rtl/>
        </w:rPr>
        <w:t xml:space="preserve">, </w:t>
      </w:r>
      <w:r w:rsidRPr="000356B8">
        <w:rPr>
          <w:rFonts w:hint="cs"/>
          <w:b/>
          <w:bCs/>
          <w:sz w:val="18"/>
          <w:szCs w:val="18"/>
          <w:rtl/>
        </w:rPr>
        <w:t>המגיד משנה ורבינו ירוחם</w:t>
      </w:r>
      <w:r w:rsidRPr="000356B8">
        <w:rPr>
          <w:rFonts w:hint="cs"/>
          <w:sz w:val="18"/>
          <w:szCs w:val="18"/>
          <w:rtl/>
        </w:rPr>
        <w:t>. ומלבד זאת, בדין כתמים שומעים להקל.</w:t>
      </w:r>
    </w:p>
  </w:footnote>
  <w:footnote w:id="305">
    <w:p w:rsidR="005953C5" w:rsidRDefault="005953C5" w:rsidP="00620060">
      <w:pPr>
        <w:pStyle w:val="a3"/>
      </w:pPr>
      <w:r w:rsidRPr="004F35D5">
        <w:rPr>
          <w:rStyle w:val="a5"/>
          <w:sz w:val="18"/>
          <w:szCs w:val="18"/>
        </w:rPr>
        <w:footnoteRef/>
      </w:r>
      <w:r>
        <w:rPr>
          <w:rFonts w:hint="cs"/>
          <w:sz w:val="18"/>
          <w:szCs w:val="18"/>
          <w:rtl/>
        </w:rPr>
        <w:t xml:space="preserve"> כלומר, מכה שיש לבנה או בעלה נחשבת כמכה שיש לה, ולכן תולים בהם אפילו אם הכתם נמצא רק על בשרה.</w:t>
      </w:r>
      <w:r w:rsidRPr="004F35D5">
        <w:rPr>
          <w:sz w:val="18"/>
          <w:szCs w:val="18"/>
          <w:rtl/>
        </w:rPr>
        <w:t xml:space="preserve"> </w:t>
      </w:r>
    </w:p>
  </w:footnote>
  <w:footnote w:id="306">
    <w:p w:rsidR="005953C5" w:rsidRDefault="005953C5" w:rsidP="00620060">
      <w:pPr>
        <w:pStyle w:val="a3"/>
        <w:rPr>
          <w:rtl/>
        </w:rPr>
      </w:pPr>
      <w:r w:rsidRPr="00D4344C">
        <w:rPr>
          <w:rStyle w:val="a5"/>
          <w:sz w:val="18"/>
          <w:szCs w:val="18"/>
        </w:rPr>
        <w:footnoteRef/>
      </w:r>
      <w:r w:rsidRPr="00D4344C">
        <w:rPr>
          <w:sz w:val="18"/>
          <w:szCs w:val="18"/>
          <w:rtl/>
        </w:rPr>
        <w:t xml:space="preserve"> </w:t>
      </w:r>
      <w:r w:rsidRPr="00D4344C">
        <w:rPr>
          <w:rFonts w:hint="cs"/>
          <w:sz w:val="18"/>
          <w:szCs w:val="18"/>
          <w:rtl/>
        </w:rPr>
        <w:t xml:space="preserve">וכן מדייקת הגמרא גם מלשון </w:t>
      </w:r>
      <w:r w:rsidRPr="0032418C">
        <w:rPr>
          <w:rFonts w:hint="cs"/>
          <w:b/>
          <w:bCs/>
          <w:sz w:val="18"/>
          <w:szCs w:val="18"/>
          <w:rtl/>
        </w:rPr>
        <w:t>המשנה</w:t>
      </w:r>
      <w:r w:rsidRPr="00D4344C">
        <w:rPr>
          <w:rFonts w:hint="cs"/>
          <w:sz w:val="18"/>
          <w:szCs w:val="18"/>
          <w:rtl/>
        </w:rPr>
        <w:t xml:space="preserve"> (שם) "</w:t>
      </w:r>
      <w:r w:rsidRPr="00D4344C">
        <w:rPr>
          <w:rFonts w:cs="Arial"/>
          <w:sz w:val="18"/>
          <w:szCs w:val="18"/>
          <w:rtl/>
        </w:rPr>
        <w:t>ותולה בכל דבר שהיא יכולה לתלות;</w:t>
      </w:r>
      <w:r w:rsidRPr="00D4344C">
        <w:rPr>
          <w:rFonts w:cs="Arial" w:hint="cs"/>
          <w:sz w:val="18"/>
          <w:szCs w:val="18"/>
          <w:rtl/>
        </w:rPr>
        <w:t xml:space="preserve">... </w:t>
      </w:r>
      <w:r w:rsidRPr="00D4344C">
        <w:rPr>
          <w:rFonts w:cs="Arial"/>
          <w:sz w:val="18"/>
          <w:szCs w:val="18"/>
          <w:rtl/>
        </w:rPr>
        <w:t>נתעסקה בכתמים, או שישבה בצד העסוקין בהן</w:t>
      </w:r>
      <w:r w:rsidRPr="00D4344C">
        <w:rPr>
          <w:rFonts w:hint="cs"/>
          <w:sz w:val="18"/>
          <w:szCs w:val="18"/>
          <w:rtl/>
        </w:rPr>
        <w:t>" ומדייקת</w:t>
      </w:r>
      <w:r w:rsidRPr="00D4344C">
        <w:rPr>
          <w:rFonts w:hint="cs"/>
          <w:b/>
          <w:bCs/>
          <w:sz w:val="18"/>
          <w:szCs w:val="18"/>
          <w:rtl/>
        </w:rPr>
        <w:t xml:space="preserve"> הגמרא</w:t>
      </w:r>
      <w:r w:rsidRPr="00D4344C">
        <w:rPr>
          <w:rFonts w:hint="cs"/>
          <w:sz w:val="18"/>
          <w:szCs w:val="18"/>
          <w:rtl/>
        </w:rPr>
        <w:t xml:space="preserve">: "ישבה </w:t>
      </w:r>
      <w:r w:rsidRPr="00D4344C">
        <w:rPr>
          <w:sz w:val="18"/>
          <w:szCs w:val="18"/>
          <w:rtl/>
        </w:rPr>
        <w:t>–</w:t>
      </w:r>
      <w:r w:rsidRPr="00D4344C">
        <w:rPr>
          <w:rFonts w:hint="cs"/>
          <w:sz w:val="18"/>
          <w:szCs w:val="18"/>
          <w:rtl/>
        </w:rPr>
        <w:t xml:space="preserve"> אין, לא ישבה </w:t>
      </w:r>
      <w:r w:rsidRPr="00D4344C">
        <w:rPr>
          <w:sz w:val="18"/>
          <w:szCs w:val="18"/>
          <w:rtl/>
        </w:rPr>
        <w:t>–</w:t>
      </w:r>
      <w:r w:rsidRPr="00D4344C">
        <w:rPr>
          <w:rFonts w:hint="cs"/>
          <w:sz w:val="18"/>
          <w:szCs w:val="18"/>
          <w:rtl/>
        </w:rPr>
        <w:t xml:space="preserve"> לא".</w:t>
      </w:r>
    </w:p>
  </w:footnote>
  <w:footnote w:id="307">
    <w:p w:rsidR="005953C5" w:rsidRDefault="005953C5" w:rsidP="00620060">
      <w:pPr>
        <w:pStyle w:val="a3"/>
      </w:pPr>
      <w:r w:rsidRPr="00EF3969">
        <w:rPr>
          <w:rStyle w:val="a5"/>
          <w:sz w:val="18"/>
          <w:szCs w:val="18"/>
        </w:rPr>
        <w:footnoteRef/>
      </w:r>
      <w:r>
        <w:rPr>
          <w:rFonts w:cs="Arial" w:hint="cs"/>
          <w:rtl/>
        </w:rPr>
        <w:t xml:space="preserve"> </w:t>
      </w:r>
      <w:r w:rsidRPr="001E337B">
        <w:rPr>
          <w:rFonts w:cs="Arial" w:hint="cs"/>
          <w:sz w:val="18"/>
          <w:szCs w:val="18"/>
          <w:rtl/>
        </w:rPr>
        <w:t>הסבר דברי רבא:</w:t>
      </w:r>
      <w:r>
        <w:rPr>
          <w:rFonts w:cs="Arial"/>
          <w:sz w:val="18"/>
          <w:szCs w:val="18"/>
          <w:rtl/>
        </w:rPr>
        <w:br/>
      </w:r>
      <w:r w:rsidRPr="00B16FBF">
        <w:rPr>
          <w:rFonts w:cs="Arial" w:hint="cs"/>
          <w:sz w:val="18"/>
          <w:szCs w:val="18"/>
          <w:rtl/>
        </w:rPr>
        <w:t xml:space="preserve">א. </w:t>
      </w:r>
      <w:r w:rsidRPr="00B16FBF">
        <w:rPr>
          <w:rFonts w:cs="Arial" w:hint="cs"/>
          <w:b/>
          <w:bCs/>
          <w:sz w:val="18"/>
          <w:szCs w:val="18"/>
          <w:rtl/>
        </w:rPr>
        <w:t>רש"י</w:t>
      </w:r>
      <w:r w:rsidRPr="00B16FBF">
        <w:rPr>
          <w:rFonts w:cs="Arial" w:hint="cs"/>
          <w:sz w:val="18"/>
          <w:szCs w:val="18"/>
          <w:rtl/>
        </w:rPr>
        <w:t xml:space="preserve"> </w:t>
      </w:r>
      <w:r w:rsidRPr="00B16FBF">
        <w:rPr>
          <w:rFonts w:cs="Arial"/>
          <w:sz w:val="18"/>
          <w:szCs w:val="18"/>
          <w:rtl/>
        </w:rPr>
        <w:t>–</w:t>
      </w:r>
      <w:r w:rsidRPr="00B16FBF">
        <w:rPr>
          <w:rFonts w:cs="Arial" w:hint="cs"/>
          <w:sz w:val="18"/>
          <w:szCs w:val="18"/>
          <w:rtl/>
        </w:rPr>
        <w:t xml:space="preserve"> מדובר שמצאה על החלוק כתם בצבע טהור, כגון בגוון אדום אך ברור שהוא קילור, וכן מצאה גם כתם נוסף שייתכן שהוא דם. בכה"ג תולים לומר שכפי שנפל על חלוקה כתם קילור ואינו ממנה, כך גם נפל עליה הכתם הנוסף ואינו ממנה וטהורה.</w:t>
      </w:r>
      <w:r w:rsidRPr="00B16FBF">
        <w:rPr>
          <w:rFonts w:cs="Arial"/>
          <w:b/>
          <w:bCs/>
          <w:sz w:val="18"/>
          <w:szCs w:val="18"/>
          <w:rtl/>
        </w:rPr>
        <w:br/>
      </w:r>
      <w:r w:rsidRPr="00B16FBF">
        <w:rPr>
          <w:rFonts w:cs="Arial" w:hint="cs"/>
          <w:sz w:val="18"/>
          <w:szCs w:val="18"/>
          <w:rtl/>
        </w:rPr>
        <w:t xml:space="preserve">ב. </w:t>
      </w:r>
      <w:r w:rsidRPr="00B16FBF">
        <w:rPr>
          <w:rFonts w:cs="Arial" w:hint="cs"/>
          <w:b/>
          <w:bCs/>
          <w:sz w:val="18"/>
          <w:szCs w:val="18"/>
          <w:rtl/>
        </w:rPr>
        <w:t>טור</w:t>
      </w:r>
      <w:r w:rsidRPr="00B16FBF">
        <w:rPr>
          <w:rFonts w:cs="Arial" w:hint="cs"/>
          <w:sz w:val="18"/>
          <w:szCs w:val="18"/>
          <w:rtl/>
        </w:rPr>
        <w:t xml:space="preserve"> </w:t>
      </w:r>
      <w:r w:rsidRPr="00B16FBF">
        <w:rPr>
          <w:rFonts w:cs="Arial"/>
          <w:sz w:val="18"/>
          <w:szCs w:val="18"/>
          <w:rtl/>
        </w:rPr>
        <w:t>–</w:t>
      </w:r>
      <w:r w:rsidRPr="00B16FBF">
        <w:rPr>
          <w:rFonts w:cs="Arial" w:hint="cs"/>
          <w:sz w:val="18"/>
          <w:szCs w:val="18"/>
          <w:rtl/>
        </w:rPr>
        <w:t xml:space="preserve"> כוונת רבא היא, שכתם אחד נמצא מחגור ולמעלה וכתם אחר נמצא מחגור ולמטה.</w:t>
      </w:r>
      <w:r w:rsidRPr="00B16FBF">
        <w:rPr>
          <w:rFonts w:cs="Arial"/>
          <w:sz w:val="18"/>
          <w:szCs w:val="18"/>
          <w:rtl/>
        </w:rPr>
        <w:br/>
      </w:r>
      <w:r w:rsidRPr="00B16FBF">
        <w:rPr>
          <w:rFonts w:cs="Arial" w:hint="cs"/>
          <w:sz w:val="18"/>
          <w:szCs w:val="18"/>
          <w:rtl/>
        </w:rPr>
        <w:t xml:space="preserve">מסביר </w:t>
      </w:r>
      <w:r w:rsidRPr="00B16FBF">
        <w:rPr>
          <w:rFonts w:cs="Arial" w:hint="cs"/>
          <w:b/>
          <w:bCs/>
          <w:sz w:val="18"/>
          <w:szCs w:val="18"/>
          <w:rtl/>
        </w:rPr>
        <w:t>הבית יוסף</w:t>
      </w:r>
      <w:r w:rsidRPr="00B16FBF">
        <w:rPr>
          <w:rFonts w:cs="Arial" w:hint="cs"/>
          <w:sz w:val="18"/>
          <w:szCs w:val="18"/>
          <w:rtl/>
        </w:rPr>
        <w:t xml:space="preserve"> </w:t>
      </w:r>
      <w:r w:rsidRPr="00B16FBF">
        <w:rPr>
          <w:rFonts w:cs="Arial"/>
          <w:sz w:val="18"/>
          <w:szCs w:val="18"/>
          <w:rtl/>
        </w:rPr>
        <w:t>–</w:t>
      </w:r>
      <w:r w:rsidRPr="00B16FBF">
        <w:rPr>
          <w:rFonts w:cs="Arial" w:hint="cs"/>
          <w:sz w:val="18"/>
          <w:szCs w:val="18"/>
          <w:rtl/>
        </w:rPr>
        <w:t xml:space="preserve"> אם שני הכתמים נמצאים למטה מהחגור, הרי שיש לטמאה מחמת שני הכתמים! </w:t>
      </w:r>
      <w:r>
        <w:rPr>
          <w:rFonts w:cs="Arial"/>
          <w:rtl/>
        </w:rPr>
        <w:br/>
      </w:r>
      <w:r w:rsidRPr="00B16FBF">
        <w:rPr>
          <w:rFonts w:cs="Arial" w:hint="cs"/>
          <w:sz w:val="18"/>
          <w:szCs w:val="18"/>
          <w:rtl/>
        </w:rPr>
        <w:t xml:space="preserve">אלא על כורחך כהבנת </w:t>
      </w:r>
      <w:r w:rsidRPr="00B16FBF">
        <w:rPr>
          <w:rFonts w:cs="Arial" w:hint="cs"/>
          <w:b/>
          <w:bCs/>
          <w:sz w:val="18"/>
          <w:szCs w:val="18"/>
          <w:rtl/>
        </w:rPr>
        <w:t>הטור</w:t>
      </w:r>
      <w:r w:rsidRPr="00B16FBF">
        <w:rPr>
          <w:rFonts w:cs="Arial" w:hint="cs"/>
          <w:sz w:val="18"/>
          <w:szCs w:val="18"/>
          <w:rtl/>
        </w:rPr>
        <w:t>, שהכתם העליון אינו מטמא ולכן תולים בו גם את התחתון</w:t>
      </w:r>
      <w:r w:rsidRPr="00B16FBF">
        <w:rPr>
          <w:rStyle w:val="a5"/>
          <w:rFonts w:cs="Arial" w:hint="cs"/>
          <w:sz w:val="18"/>
          <w:szCs w:val="18"/>
          <w:rtl/>
        </w:rPr>
        <w:t>.</w:t>
      </w:r>
      <w:r>
        <w:rPr>
          <w:rFonts w:hint="cs"/>
          <w:sz w:val="18"/>
          <w:szCs w:val="18"/>
          <w:rtl/>
        </w:rPr>
        <w:br/>
      </w:r>
      <w:r w:rsidRPr="00EF3969">
        <w:rPr>
          <w:sz w:val="18"/>
          <w:szCs w:val="18"/>
          <w:rtl/>
        </w:rPr>
        <w:t xml:space="preserve"> </w:t>
      </w:r>
      <w:r w:rsidRPr="00EF3969">
        <w:rPr>
          <w:rFonts w:hint="cs"/>
          <w:sz w:val="18"/>
          <w:szCs w:val="18"/>
          <w:rtl/>
        </w:rPr>
        <w:t xml:space="preserve">המכנה המשותף לשני ההסברים זהה </w:t>
      </w:r>
      <w:r w:rsidRPr="00EF3969">
        <w:rPr>
          <w:sz w:val="18"/>
          <w:szCs w:val="18"/>
          <w:rtl/>
        </w:rPr>
        <w:t>–</w:t>
      </w:r>
      <w:r w:rsidRPr="00EF3969">
        <w:rPr>
          <w:rFonts w:hint="cs"/>
          <w:sz w:val="18"/>
          <w:szCs w:val="18"/>
          <w:rtl/>
        </w:rPr>
        <w:t xml:space="preserve"> יש למצוא מציאות שבה כתם אחד טהור, דאל"ה טמאה מחמת שני הכתמים.</w:t>
      </w:r>
      <w:r w:rsidRPr="00EF3969">
        <w:rPr>
          <w:sz w:val="18"/>
          <w:szCs w:val="18"/>
          <w:rtl/>
        </w:rPr>
        <w:br/>
      </w:r>
      <w:r w:rsidRPr="00EF3969">
        <w:rPr>
          <w:rFonts w:hint="cs"/>
          <w:sz w:val="18"/>
          <w:szCs w:val="18"/>
          <w:rtl/>
        </w:rPr>
        <w:t xml:space="preserve">ונראה שאין נפק"מ לדינא בין הפירושים, וגם </w:t>
      </w:r>
      <w:r w:rsidRPr="00EF3969">
        <w:rPr>
          <w:rFonts w:hint="cs"/>
          <w:b/>
          <w:bCs/>
          <w:sz w:val="18"/>
          <w:szCs w:val="18"/>
          <w:rtl/>
        </w:rPr>
        <w:t>הבית יוסף</w:t>
      </w:r>
      <w:r w:rsidRPr="00EF3969">
        <w:rPr>
          <w:rFonts w:hint="cs"/>
          <w:sz w:val="18"/>
          <w:szCs w:val="18"/>
          <w:rtl/>
        </w:rPr>
        <w:t xml:space="preserve"> הסביר רק את פירוש </w:t>
      </w:r>
      <w:r w:rsidRPr="00EF3969">
        <w:rPr>
          <w:rFonts w:hint="cs"/>
          <w:b/>
          <w:bCs/>
          <w:sz w:val="18"/>
          <w:szCs w:val="18"/>
          <w:rtl/>
        </w:rPr>
        <w:t>הטור</w:t>
      </w:r>
      <w:r w:rsidRPr="00EF3969">
        <w:rPr>
          <w:rFonts w:hint="cs"/>
          <w:sz w:val="18"/>
          <w:szCs w:val="18"/>
          <w:rtl/>
        </w:rPr>
        <w:t xml:space="preserve"> ולא חש להביא את </w:t>
      </w:r>
      <w:r w:rsidRPr="00EF3969">
        <w:rPr>
          <w:rFonts w:hint="cs"/>
          <w:b/>
          <w:bCs/>
          <w:sz w:val="18"/>
          <w:szCs w:val="18"/>
          <w:rtl/>
        </w:rPr>
        <w:t>רש"י</w:t>
      </w:r>
      <w:r w:rsidRPr="00EF3969">
        <w:rPr>
          <w:rFonts w:hint="cs"/>
          <w:sz w:val="18"/>
          <w:szCs w:val="18"/>
          <w:rtl/>
        </w:rPr>
        <w:t>.</w:t>
      </w:r>
    </w:p>
  </w:footnote>
  <w:footnote w:id="308">
    <w:p w:rsidR="005953C5" w:rsidRDefault="005953C5" w:rsidP="00620060">
      <w:pPr>
        <w:pStyle w:val="a3"/>
      </w:pPr>
      <w:r w:rsidRPr="00085524">
        <w:rPr>
          <w:rStyle w:val="a5"/>
          <w:sz w:val="18"/>
          <w:szCs w:val="18"/>
        </w:rPr>
        <w:footnoteRef/>
      </w:r>
      <w:r w:rsidRPr="00085524">
        <w:rPr>
          <w:sz w:val="18"/>
          <w:szCs w:val="18"/>
          <w:rtl/>
        </w:rPr>
        <w:t xml:space="preserve"> </w:t>
      </w:r>
      <w:r>
        <w:rPr>
          <w:rFonts w:hint="cs"/>
          <w:sz w:val="18"/>
          <w:szCs w:val="18"/>
          <w:rtl/>
        </w:rPr>
        <w:t xml:space="preserve">ואמנם </w:t>
      </w:r>
      <w:r w:rsidRPr="00085524">
        <w:rPr>
          <w:rFonts w:hint="cs"/>
          <w:b/>
          <w:bCs/>
          <w:sz w:val="18"/>
          <w:szCs w:val="18"/>
          <w:rtl/>
        </w:rPr>
        <w:t xml:space="preserve">הרשב"א </w:t>
      </w:r>
      <w:r w:rsidRPr="00085524">
        <w:rPr>
          <w:rFonts w:hint="cs"/>
          <w:sz w:val="18"/>
          <w:szCs w:val="18"/>
          <w:rtl/>
        </w:rPr>
        <w:t xml:space="preserve">מפרש את תירוץ הגמרא ליישוב דברי רבא באופן שונה מרש"י - </w:t>
      </w:r>
      <w:r w:rsidRPr="00085524">
        <w:rPr>
          <w:sz w:val="18"/>
          <w:szCs w:val="18"/>
          <w:rtl/>
        </w:rPr>
        <w:br/>
      </w:r>
      <w:r w:rsidRPr="00085524">
        <w:rPr>
          <w:rFonts w:hint="cs"/>
          <w:sz w:val="18"/>
          <w:szCs w:val="18"/>
          <w:rtl/>
        </w:rPr>
        <w:t xml:space="preserve">"התעסקה שאני" </w:t>
      </w:r>
      <w:r w:rsidRPr="00085524">
        <w:rPr>
          <w:sz w:val="18"/>
          <w:szCs w:val="18"/>
          <w:rtl/>
        </w:rPr>
        <w:t>–</w:t>
      </w:r>
      <w:r w:rsidRPr="00085524">
        <w:rPr>
          <w:rFonts w:hint="cs"/>
          <w:sz w:val="18"/>
          <w:szCs w:val="18"/>
          <w:rtl/>
        </w:rPr>
        <w:t xml:space="preserve"> כלומר, רבא הורה את הוראתו באופן שניתז עליה דבר כל שהוא והיא לא בדקה מהו, לאחר מכן מצאה כתם נוסף ובכה"ג טהורה.</w:t>
      </w:r>
      <w:r w:rsidRPr="00085524">
        <w:rPr>
          <w:sz w:val="18"/>
          <w:szCs w:val="18"/>
          <w:rtl/>
        </w:rPr>
        <w:br/>
      </w:r>
      <w:r w:rsidRPr="00085524">
        <w:rPr>
          <w:rFonts w:hint="cs"/>
          <w:b/>
          <w:bCs/>
          <w:sz w:val="18"/>
          <w:szCs w:val="18"/>
          <w:rtl/>
        </w:rPr>
        <w:t>טעם</w:t>
      </w:r>
      <w:r w:rsidRPr="00085524">
        <w:rPr>
          <w:rFonts w:hint="cs"/>
          <w:sz w:val="18"/>
          <w:szCs w:val="18"/>
          <w:rtl/>
        </w:rPr>
        <w:t xml:space="preserve"> </w:t>
      </w:r>
      <w:r w:rsidRPr="00085524">
        <w:rPr>
          <w:sz w:val="18"/>
          <w:szCs w:val="18"/>
          <w:rtl/>
        </w:rPr>
        <w:t>–</w:t>
      </w:r>
      <w:r w:rsidRPr="00085524">
        <w:rPr>
          <w:rFonts w:hint="cs"/>
          <w:sz w:val="18"/>
          <w:szCs w:val="18"/>
          <w:rtl/>
        </w:rPr>
        <w:t xml:space="preserve"> כפי שאת הכתם הראשון היא לא בדקה ולא נזהרה בו </w:t>
      </w:r>
      <w:r w:rsidRPr="00085524">
        <w:rPr>
          <w:rFonts w:hint="cs"/>
          <w:sz w:val="16"/>
          <w:szCs w:val="16"/>
          <w:rtl/>
        </w:rPr>
        <w:t xml:space="preserve">(והוא בוודאי טהור) </w:t>
      </w:r>
      <w:r w:rsidRPr="00085524">
        <w:rPr>
          <w:rFonts w:hint="cs"/>
          <w:sz w:val="18"/>
          <w:szCs w:val="18"/>
          <w:rtl/>
        </w:rPr>
        <w:t>כך יש לומר שהכתם הנוסף הגיע אליה מעלמא ולא ממנה, והתעסקה בכתמים אך לאו אדעתא.</w:t>
      </w:r>
    </w:p>
  </w:footnote>
  <w:footnote w:id="309">
    <w:p w:rsidR="005953C5" w:rsidRDefault="005953C5" w:rsidP="00620060">
      <w:pPr>
        <w:pStyle w:val="a3"/>
      </w:pPr>
      <w:r w:rsidRPr="009265B1">
        <w:rPr>
          <w:rStyle w:val="a5"/>
          <w:sz w:val="18"/>
          <w:szCs w:val="18"/>
        </w:rPr>
        <w:footnoteRef/>
      </w:r>
      <w:r w:rsidRPr="009265B1">
        <w:rPr>
          <w:sz w:val="18"/>
          <w:szCs w:val="18"/>
          <w:rtl/>
        </w:rPr>
        <w:t xml:space="preserve"> </w:t>
      </w:r>
      <w:r w:rsidRPr="009265B1">
        <w:rPr>
          <w:rFonts w:hint="cs"/>
          <w:sz w:val="18"/>
          <w:szCs w:val="18"/>
          <w:rtl/>
        </w:rPr>
        <w:t xml:space="preserve">כך הבין </w:t>
      </w:r>
      <w:r w:rsidRPr="009265B1">
        <w:rPr>
          <w:rFonts w:hint="cs"/>
          <w:b/>
          <w:bCs/>
          <w:sz w:val="18"/>
          <w:szCs w:val="18"/>
          <w:rtl/>
        </w:rPr>
        <w:t>הט"ז</w:t>
      </w:r>
      <w:r w:rsidRPr="009265B1">
        <w:rPr>
          <w:rFonts w:hint="cs"/>
          <w:sz w:val="18"/>
          <w:szCs w:val="18"/>
          <w:rtl/>
        </w:rPr>
        <w:t xml:space="preserve"> את דברי </w:t>
      </w:r>
      <w:r w:rsidRPr="009265B1">
        <w:rPr>
          <w:rFonts w:hint="cs"/>
          <w:b/>
          <w:bCs/>
          <w:sz w:val="18"/>
          <w:szCs w:val="18"/>
          <w:rtl/>
        </w:rPr>
        <w:t>הב"ח</w:t>
      </w:r>
      <w:r w:rsidRPr="009265B1">
        <w:rPr>
          <w:rFonts w:hint="cs"/>
          <w:sz w:val="18"/>
          <w:szCs w:val="18"/>
          <w:rtl/>
        </w:rPr>
        <w:t xml:space="preserve"> שכוונתו לטהר את שתי הנשים שבאו לשאול זו אחר זו. ברם, הבנה זו אינה מוכרחת וניתן להבין שכוונת </w:t>
      </w:r>
      <w:r w:rsidRPr="009265B1">
        <w:rPr>
          <w:rFonts w:hint="cs"/>
          <w:b/>
          <w:bCs/>
          <w:sz w:val="18"/>
          <w:szCs w:val="18"/>
          <w:rtl/>
        </w:rPr>
        <w:t xml:space="preserve">הב"ח </w:t>
      </w:r>
      <w:r w:rsidRPr="009265B1">
        <w:rPr>
          <w:rFonts w:hint="cs"/>
          <w:sz w:val="18"/>
          <w:szCs w:val="18"/>
          <w:rtl/>
        </w:rPr>
        <w:t xml:space="preserve">לטהר רק את האשה הראשונה שבאה לשאול, כיוון שמעיקר הדין היא טהורה ואין לטמא אותה מחמת חברתה שבאה אחריה לשאול, וכן הבינו </w:t>
      </w:r>
      <w:r w:rsidRPr="009265B1">
        <w:rPr>
          <w:rFonts w:hint="cs"/>
          <w:b/>
          <w:bCs/>
          <w:sz w:val="18"/>
          <w:szCs w:val="18"/>
          <w:rtl/>
        </w:rPr>
        <w:t>הפרד"ר והתפארת צבי</w:t>
      </w:r>
      <w:r w:rsidRPr="009265B1">
        <w:rPr>
          <w:rFonts w:hint="cs"/>
          <w:sz w:val="18"/>
          <w:szCs w:val="18"/>
          <w:rtl/>
        </w:rPr>
        <w:t>, עיין הערות לטור הוצאת מכון המאור.</w:t>
      </w:r>
    </w:p>
  </w:footnote>
  <w:footnote w:id="310">
    <w:p w:rsidR="005953C5" w:rsidRDefault="005953C5" w:rsidP="00620060">
      <w:pPr>
        <w:pStyle w:val="a3"/>
      </w:pPr>
      <w:r w:rsidRPr="00AA52B0">
        <w:rPr>
          <w:rStyle w:val="a5"/>
          <w:sz w:val="18"/>
          <w:szCs w:val="18"/>
        </w:rPr>
        <w:footnoteRef/>
      </w:r>
      <w:r w:rsidRPr="00AA52B0">
        <w:rPr>
          <w:sz w:val="18"/>
          <w:szCs w:val="18"/>
          <w:rtl/>
        </w:rPr>
        <w:t xml:space="preserve"> </w:t>
      </w:r>
      <w:r w:rsidRPr="00AA52B0">
        <w:rPr>
          <w:rFonts w:hint="cs"/>
          <w:b/>
          <w:bCs/>
          <w:sz w:val="18"/>
          <w:szCs w:val="18"/>
          <w:rtl/>
        </w:rPr>
        <w:t>הפרישה</w:t>
      </w:r>
      <w:r w:rsidRPr="00AA52B0">
        <w:rPr>
          <w:rFonts w:hint="cs"/>
          <w:sz w:val="18"/>
          <w:szCs w:val="18"/>
          <w:rtl/>
        </w:rPr>
        <w:t xml:space="preserve"> כתב אף הוא בדין זה כדברי הט"ז, אלא שהוא נימק זאת בכך שרק בדין דרבנן יש לומר דין 'שני שבילים' אך לא בדין דאורייתא, וכאן זו ראיית דם גמור ולכן שתיה</w:t>
      </w:r>
      <w:r>
        <w:rPr>
          <w:rFonts w:hint="cs"/>
          <w:sz w:val="18"/>
          <w:szCs w:val="18"/>
          <w:rtl/>
        </w:rPr>
        <w:t>ן</w:t>
      </w:r>
      <w:r w:rsidRPr="00AA52B0">
        <w:rPr>
          <w:rFonts w:hint="cs"/>
          <w:sz w:val="18"/>
          <w:szCs w:val="18"/>
          <w:rtl/>
        </w:rPr>
        <w:t xml:space="preserve"> טמאות.</w:t>
      </w:r>
      <w:r w:rsidRPr="00AA52B0">
        <w:rPr>
          <w:sz w:val="18"/>
          <w:szCs w:val="18"/>
          <w:rtl/>
        </w:rPr>
        <w:br/>
      </w:r>
      <w:r w:rsidRPr="00AA52B0">
        <w:rPr>
          <w:rFonts w:hint="cs"/>
          <w:sz w:val="18"/>
          <w:szCs w:val="18"/>
          <w:rtl/>
        </w:rPr>
        <w:t xml:space="preserve">ברם, </w:t>
      </w:r>
      <w:r w:rsidRPr="00AA52B0">
        <w:rPr>
          <w:rFonts w:hint="cs"/>
          <w:b/>
          <w:bCs/>
          <w:sz w:val="18"/>
          <w:szCs w:val="18"/>
          <w:rtl/>
        </w:rPr>
        <w:t>הט"ז</w:t>
      </w:r>
      <w:r w:rsidRPr="00AA52B0">
        <w:rPr>
          <w:rFonts w:hint="cs"/>
          <w:sz w:val="18"/>
          <w:szCs w:val="18"/>
          <w:rtl/>
        </w:rPr>
        <w:t xml:space="preserve"> דוחה את דבריו ומוכיח שגם בדיני דאורייתא משתמשים בסברת 'שני שבילים'. ומלבד זאת, כאן מדובר בכתם שהוא דין דרבנן ולא בדם גמור שטומאתו מדאורייתא. </w:t>
      </w:r>
    </w:p>
  </w:footnote>
  <w:footnote w:id="311">
    <w:p w:rsidR="005953C5" w:rsidRDefault="005953C5" w:rsidP="00620060">
      <w:pPr>
        <w:pStyle w:val="a3"/>
      </w:pPr>
      <w:r w:rsidRPr="00D677B5">
        <w:rPr>
          <w:rStyle w:val="a5"/>
          <w:sz w:val="18"/>
          <w:szCs w:val="18"/>
        </w:rPr>
        <w:footnoteRef/>
      </w:r>
      <w:r w:rsidRPr="00D677B5">
        <w:rPr>
          <w:sz w:val="18"/>
          <w:szCs w:val="18"/>
          <w:rtl/>
        </w:rPr>
        <w:t xml:space="preserve"> </w:t>
      </w:r>
      <w:r w:rsidRPr="00D677B5">
        <w:rPr>
          <w:rFonts w:hint="cs"/>
          <w:sz w:val="18"/>
          <w:szCs w:val="18"/>
          <w:rtl/>
        </w:rPr>
        <w:t xml:space="preserve">כך כתב </w:t>
      </w:r>
      <w:r w:rsidRPr="00D677B5">
        <w:rPr>
          <w:rFonts w:hint="cs"/>
          <w:b/>
          <w:bCs/>
          <w:sz w:val="18"/>
          <w:szCs w:val="18"/>
          <w:rtl/>
        </w:rPr>
        <w:t>המגיד משנה</w:t>
      </w:r>
      <w:r w:rsidRPr="00D677B5">
        <w:rPr>
          <w:rFonts w:hint="cs"/>
          <w:sz w:val="18"/>
          <w:szCs w:val="18"/>
          <w:rtl/>
        </w:rPr>
        <w:t>, אולם הוא עצמו מעיר שזו אינה ראייה גמורה שהרי לא הקשו ממנה לרבי ינאי.</w:t>
      </w:r>
    </w:p>
  </w:footnote>
  <w:footnote w:id="312">
    <w:p w:rsidR="005953C5" w:rsidRDefault="005953C5" w:rsidP="00620060">
      <w:pPr>
        <w:pStyle w:val="a3"/>
        <w:rPr>
          <w:rtl/>
        </w:rPr>
      </w:pPr>
      <w:r w:rsidRPr="003876AB">
        <w:rPr>
          <w:rStyle w:val="a5"/>
          <w:sz w:val="18"/>
          <w:szCs w:val="18"/>
        </w:rPr>
        <w:footnoteRef/>
      </w:r>
      <w:r w:rsidRPr="003876AB">
        <w:rPr>
          <w:sz w:val="18"/>
          <w:szCs w:val="18"/>
          <w:rtl/>
        </w:rPr>
        <w:t xml:space="preserve"> </w:t>
      </w:r>
      <w:r w:rsidRPr="003876AB">
        <w:rPr>
          <w:rFonts w:hint="cs"/>
          <w:sz w:val="18"/>
          <w:szCs w:val="18"/>
          <w:rtl/>
        </w:rPr>
        <w:t xml:space="preserve">נראה שדין זה מבוסס על </w:t>
      </w:r>
      <w:r w:rsidRPr="003876AB">
        <w:rPr>
          <w:rFonts w:hint="cs"/>
          <w:b/>
          <w:bCs/>
          <w:sz w:val="18"/>
          <w:szCs w:val="18"/>
          <w:rtl/>
        </w:rPr>
        <w:t>הגמרא</w:t>
      </w:r>
      <w:r w:rsidRPr="003876AB">
        <w:rPr>
          <w:rFonts w:hint="cs"/>
          <w:sz w:val="18"/>
          <w:szCs w:val="18"/>
          <w:rtl/>
        </w:rPr>
        <w:t xml:space="preserve"> הבאה</w:t>
      </w:r>
      <w:r>
        <w:rPr>
          <w:rFonts w:hint="cs"/>
          <w:sz w:val="18"/>
          <w:szCs w:val="18"/>
          <w:rtl/>
        </w:rPr>
        <w:t xml:space="preserve"> </w:t>
      </w:r>
      <w:r w:rsidRPr="003876AB">
        <w:rPr>
          <w:rFonts w:hint="cs"/>
          <w:sz w:val="18"/>
          <w:szCs w:val="18"/>
          <w:rtl/>
        </w:rPr>
        <w:t>(נדה נח:): "</w:t>
      </w:r>
      <w:r w:rsidRPr="003876AB">
        <w:rPr>
          <w:rFonts w:cs="Arial"/>
          <w:sz w:val="18"/>
          <w:szCs w:val="18"/>
          <w:rtl/>
        </w:rPr>
        <w:t>ולרבנן דאמרי תולה, עד כמה? אמר ר</w:t>
      </w:r>
      <w:r w:rsidRPr="003876AB">
        <w:rPr>
          <w:rFonts w:cs="Arial" w:hint="cs"/>
          <w:sz w:val="18"/>
          <w:szCs w:val="18"/>
          <w:rtl/>
        </w:rPr>
        <w:t xml:space="preserve">ב </w:t>
      </w:r>
      <w:r w:rsidRPr="003876AB">
        <w:rPr>
          <w:rFonts w:cs="Arial"/>
          <w:sz w:val="18"/>
          <w:szCs w:val="18"/>
          <w:rtl/>
        </w:rPr>
        <w:t>נ</w:t>
      </w:r>
      <w:r w:rsidRPr="003876AB">
        <w:rPr>
          <w:rFonts w:cs="Arial" w:hint="cs"/>
          <w:sz w:val="18"/>
          <w:szCs w:val="18"/>
          <w:rtl/>
        </w:rPr>
        <w:t>חמן</w:t>
      </w:r>
      <w:r w:rsidRPr="003876AB">
        <w:rPr>
          <w:rFonts w:cs="Arial"/>
          <w:sz w:val="18"/>
          <w:szCs w:val="18"/>
          <w:rtl/>
        </w:rPr>
        <w:t xml:space="preserve"> בר יצחק: תולה בפשפש - ועד כתורמוס</w:t>
      </w:r>
      <w:r w:rsidRPr="003876AB">
        <w:rPr>
          <w:rFonts w:cs="Arial" w:hint="cs"/>
          <w:sz w:val="18"/>
          <w:szCs w:val="18"/>
          <w:rtl/>
        </w:rPr>
        <w:t>".</w:t>
      </w:r>
      <w:r w:rsidRPr="003876AB">
        <w:rPr>
          <w:rFonts w:hint="cs"/>
          <w:sz w:val="18"/>
          <w:szCs w:val="18"/>
          <w:rtl/>
        </w:rPr>
        <w:t xml:space="preserve"> </w:t>
      </w:r>
    </w:p>
  </w:footnote>
  <w:footnote w:id="313">
    <w:p w:rsidR="005953C5" w:rsidRDefault="005953C5" w:rsidP="00620060">
      <w:pPr>
        <w:pStyle w:val="a3"/>
        <w:rPr>
          <w:rtl/>
        </w:rPr>
      </w:pPr>
      <w:r w:rsidRPr="00EE5A59">
        <w:rPr>
          <w:rStyle w:val="a5"/>
          <w:sz w:val="18"/>
          <w:szCs w:val="18"/>
        </w:rPr>
        <w:footnoteRef/>
      </w:r>
      <w:r w:rsidRPr="00EE5A59">
        <w:rPr>
          <w:sz w:val="18"/>
          <w:szCs w:val="18"/>
          <w:rtl/>
        </w:rPr>
        <w:t xml:space="preserve"> </w:t>
      </w:r>
      <w:r w:rsidRPr="00EE5A59">
        <w:rPr>
          <w:rFonts w:hint="cs"/>
          <w:sz w:val="18"/>
          <w:szCs w:val="18"/>
          <w:rtl/>
        </w:rPr>
        <w:t>המשך</w:t>
      </w:r>
      <w:r w:rsidRPr="00EE5A59">
        <w:rPr>
          <w:rFonts w:hint="cs"/>
          <w:b/>
          <w:bCs/>
          <w:sz w:val="18"/>
          <w:szCs w:val="18"/>
          <w:rtl/>
        </w:rPr>
        <w:t xml:space="preserve"> הגמרא</w:t>
      </w:r>
      <w:r w:rsidRPr="00EE5A59">
        <w:rPr>
          <w:rFonts w:hint="cs"/>
          <w:sz w:val="18"/>
          <w:szCs w:val="18"/>
          <w:rtl/>
        </w:rPr>
        <w:t xml:space="preserve"> שם כך: "</w:t>
      </w:r>
      <w:r w:rsidRPr="00EE5A59">
        <w:rPr>
          <w:rFonts w:cs="Arial"/>
          <w:sz w:val="18"/>
          <w:szCs w:val="18"/>
          <w:rtl/>
        </w:rPr>
        <w:t>והתניא: אין שונין בטהרות! כי אמרינן אין שונין - לקולא, אבל לחומרא – שונין</w:t>
      </w:r>
      <w:r w:rsidRPr="00EE5A59">
        <w:rPr>
          <w:rFonts w:cs="Arial" w:hint="cs"/>
          <w:sz w:val="18"/>
          <w:szCs w:val="18"/>
          <w:rtl/>
        </w:rPr>
        <w:t>".</w:t>
      </w:r>
    </w:p>
  </w:footnote>
  <w:footnote w:id="314">
    <w:p w:rsidR="005953C5" w:rsidRDefault="005953C5" w:rsidP="00620060">
      <w:pPr>
        <w:pStyle w:val="a3"/>
        <w:rPr>
          <w:rtl/>
        </w:rPr>
      </w:pPr>
      <w:r w:rsidRPr="001C6AAB">
        <w:rPr>
          <w:rStyle w:val="a5"/>
          <w:sz w:val="18"/>
          <w:szCs w:val="18"/>
        </w:rPr>
        <w:footnoteRef/>
      </w:r>
      <w:r w:rsidRPr="001C6AAB">
        <w:rPr>
          <w:sz w:val="18"/>
          <w:szCs w:val="18"/>
          <w:rtl/>
        </w:rPr>
        <w:t xml:space="preserve"> </w:t>
      </w:r>
      <w:r w:rsidRPr="001C6AAB">
        <w:rPr>
          <w:rFonts w:hint="cs"/>
          <w:b/>
          <w:bCs/>
          <w:sz w:val="18"/>
          <w:szCs w:val="18"/>
          <w:rtl/>
        </w:rPr>
        <w:t>הבית יוסף</w:t>
      </w:r>
      <w:r w:rsidRPr="001C6AAB">
        <w:rPr>
          <w:rFonts w:hint="cs"/>
          <w:sz w:val="18"/>
          <w:szCs w:val="18"/>
          <w:rtl/>
        </w:rPr>
        <w:t xml:space="preserve"> </w:t>
      </w:r>
      <w:r>
        <w:rPr>
          <w:rFonts w:hint="cs"/>
          <w:sz w:val="18"/>
          <w:szCs w:val="18"/>
          <w:rtl/>
        </w:rPr>
        <w:t>ה</w:t>
      </w:r>
      <w:r w:rsidRPr="001C6AAB">
        <w:rPr>
          <w:rFonts w:hint="cs"/>
          <w:sz w:val="18"/>
          <w:szCs w:val="18"/>
          <w:rtl/>
        </w:rPr>
        <w:t xml:space="preserve">עתיק גם את לשון </w:t>
      </w:r>
      <w:r w:rsidRPr="001C6AAB">
        <w:rPr>
          <w:rFonts w:hint="cs"/>
          <w:b/>
          <w:bCs/>
          <w:sz w:val="18"/>
          <w:szCs w:val="18"/>
          <w:rtl/>
        </w:rPr>
        <w:t>רבינו ירוחם</w:t>
      </w:r>
      <w:r w:rsidRPr="001C6AAB">
        <w:rPr>
          <w:rFonts w:hint="cs"/>
          <w:sz w:val="18"/>
          <w:szCs w:val="18"/>
          <w:rtl/>
        </w:rPr>
        <w:t xml:space="preserve">, שמשמע ממנו לכאורה לטהר בכה"ג שנמצאת מאכולת מעוכה על העד, אלא </w:t>
      </w:r>
      <w:r w:rsidRPr="001C6AAB">
        <w:rPr>
          <w:rFonts w:hint="cs"/>
          <w:b/>
          <w:bCs/>
          <w:sz w:val="18"/>
          <w:szCs w:val="18"/>
          <w:rtl/>
        </w:rPr>
        <w:t>שהבית יוסף</w:t>
      </w:r>
      <w:r w:rsidRPr="001C6AAB">
        <w:rPr>
          <w:rFonts w:hint="cs"/>
          <w:sz w:val="18"/>
          <w:szCs w:val="18"/>
          <w:rtl/>
        </w:rPr>
        <w:t xml:space="preserve"> מגיה בגרסת </w:t>
      </w:r>
      <w:r w:rsidRPr="001C6AAB">
        <w:rPr>
          <w:rFonts w:hint="cs"/>
          <w:b/>
          <w:bCs/>
          <w:sz w:val="18"/>
          <w:szCs w:val="18"/>
          <w:rtl/>
        </w:rPr>
        <w:t>רבינו ירוחם</w:t>
      </w:r>
      <w:r w:rsidRPr="001C6AAB">
        <w:rPr>
          <w:rFonts w:hint="cs"/>
          <w:sz w:val="18"/>
          <w:szCs w:val="18"/>
          <w:rtl/>
        </w:rPr>
        <w:t xml:space="preserve"> באופן שדבריו יתאימו לשיטת </w:t>
      </w:r>
      <w:r w:rsidRPr="001C6AAB">
        <w:rPr>
          <w:rFonts w:hint="cs"/>
          <w:b/>
          <w:bCs/>
          <w:sz w:val="18"/>
          <w:szCs w:val="18"/>
          <w:rtl/>
        </w:rPr>
        <w:t>רשב"א ורש"י</w:t>
      </w:r>
      <w:r w:rsidRPr="001C6AAB">
        <w:rPr>
          <w:rFonts w:hint="cs"/>
          <w:sz w:val="18"/>
          <w:szCs w:val="18"/>
          <w:rtl/>
        </w:rPr>
        <w:t>.</w:t>
      </w:r>
    </w:p>
  </w:footnote>
  <w:footnote w:id="315">
    <w:p w:rsidR="005953C5" w:rsidRDefault="005953C5" w:rsidP="00620060">
      <w:pPr>
        <w:pStyle w:val="a3"/>
        <w:rPr>
          <w:rtl/>
        </w:rPr>
      </w:pPr>
      <w:r w:rsidRPr="00C47453">
        <w:rPr>
          <w:rStyle w:val="a5"/>
          <w:sz w:val="18"/>
          <w:szCs w:val="18"/>
        </w:rPr>
        <w:footnoteRef/>
      </w:r>
      <w:r w:rsidRPr="00C47453">
        <w:rPr>
          <w:sz w:val="18"/>
          <w:szCs w:val="18"/>
          <w:rtl/>
        </w:rPr>
        <w:t xml:space="preserve"> </w:t>
      </w:r>
      <w:r w:rsidRPr="00C47453">
        <w:rPr>
          <w:rFonts w:hint="cs"/>
          <w:sz w:val="18"/>
          <w:szCs w:val="18"/>
          <w:rtl/>
        </w:rPr>
        <w:t xml:space="preserve">כך היא לשון </w:t>
      </w:r>
      <w:r w:rsidRPr="00C47453">
        <w:rPr>
          <w:rFonts w:hint="cs"/>
          <w:b/>
          <w:bCs/>
          <w:sz w:val="18"/>
          <w:szCs w:val="18"/>
          <w:rtl/>
        </w:rPr>
        <w:t>הטור</w:t>
      </w:r>
      <w:r w:rsidRPr="00C47453">
        <w:rPr>
          <w:rFonts w:hint="cs"/>
          <w:sz w:val="18"/>
          <w:szCs w:val="18"/>
          <w:rtl/>
        </w:rPr>
        <w:t xml:space="preserve"> בדין זה </w:t>
      </w:r>
      <w:r w:rsidRPr="00C47453">
        <w:rPr>
          <w:sz w:val="18"/>
          <w:szCs w:val="18"/>
          <w:rtl/>
        </w:rPr>
        <w:t>–</w:t>
      </w:r>
      <w:r w:rsidRPr="00C47453">
        <w:rPr>
          <w:rFonts w:hint="cs"/>
          <w:sz w:val="18"/>
          <w:szCs w:val="18"/>
          <w:rtl/>
        </w:rPr>
        <w:t xml:space="preserve"> "</w:t>
      </w:r>
      <w:r w:rsidRPr="00C47453">
        <w:rPr>
          <w:rFonts w:cs="Arial"/>
          <w:sz w:val="18"/>
          <w:szCs w:val="18"/>
          <w:rtl/>
        </w:rPr>
        <w:t>בדקה עצמה בעד הבדוק לה ולמחר מצאה עליו דם כל שהוא</w:t>
      </w:r>
      <w:r w:rsidRPr="00C47453">
        <w:rPr>
          <w:rFonts w:cs="Arial" w:hint="cs"/>
          <w:sz w:val="18"/>
          <w:szCs w:val="18"/>
          <w:rtl/>
        </w:rPr>
        <w:t>,</w:t>
      </w:r>
      <w:r w:rsidRPr="00C47453">
        <w:rPr>
          <w:rFonts w:cs="Arial"/>
          <w:sz w:val="18"/>
          <w:szCs w:val="18"/>
          <w:rtl/>
        </w:rPr>
        <w:t xml:space="preserve"> או שהניחתו בקופסא ולמחר מצאה עליו דם אפילו כל שהוא</w:t>
      </w:r>
      <w:r w:rsidRPr="00C47453">
        <w:rPr>
          <w:rFonts w:cs="Arial" w:hint="cs"/>
          <w:sz w:val="18"/>
          <w:szCs w:val="18"/>
          <w:rtl/>
        </w:rPr>
        <w:t>,</w:t>
      </w:r>
      <w:r w:rsidRPr="00C47453">
        <w:rPr>
          <w:rFonts w:cs="Arial"/>
          <w:sz w:val="18"/>
          <w:szCs w:val="18"/>
          <w:rtl/>
        </w:rPr>
        <w:t xml:space="preserve"> טמאה</w:t>
      </w:r>
      <w:r w:rsidRPr="00C47453">
        <w:rPr>
          <w:rFonts w:cs="Arial" w:hint="cs"/>
          <w:sz w:val="18"/>
          <w:szCs w:val="18"/>
          <w:rtl/>
        </w:rPr>
        <w:t>.</w:t>
      </w:r>
      <w:r w:rsidRPr="00C47453">
        <w:rPr>
          <w:rFonts w:cs="Arial"/>
          <w:sz w:val="18"/>
          <w:szCs w:val="18"/>
          <w:rtl/>
        </w:rPr>
        <w:t xml:space="preserve"> בין אם הוא עגול או משוך ואפילו מאכולת רצוצה בו</w:t>
      </w:r>
      <w:r w:rsidRPr="00C47453">
        <w:rPr>
          <w:rFonts w:cs="Arial" w:hint="cs"/>
          <w:sz w:val="18"/>
          <w:szCs w:val="18"/>
          <w:rtl/>
        </w:rPr>
        <w:t>".</w:t>
      </w:r>
      <w:r w:rsidRPr="00C47453">
        <w:rPr>
          <w:sz w:val="18"/>
          <w:szCs w:val="18"/>
          <w:rtl/>
        </w:rPr>
        <w:br/>
      </w:r>
      <w:r w:rsidRPr="00C47453">
        <w:rPr>
          <w:rFonts w:hint="cs"/>
          <w:sz w:val="18"/>
          <w:szCs w:val="18"/>
          <w:rtl/>
        </w:rPr>
        <w:t xml:space="preserve">שואל </w:t>
      </w:r>
      <w:r w:rsidRPr="00C47453">
        <w:rPr>
          <w:rFonts w:hint="cs"/>
          <w:b/>
          <w:bCs/>
          <w:sz w:val="18"/>
          <w:szCs w:val="18"/>
          <w:rtl/>
        </w:rPr>
        <w:t>הבית יוסף</w:t>
      </w:r>
      <w:r w:rsidRPr="00C47453">
        <w:rPr>
          <w:rFonts w:hint="cs"/>
          <w:sz w:val="18"/>
          <w:szCs w:val="18"/>
          <w:rtl/>
        </w:rPr>
        <w:t xml:space="preserve"> </w:t>
      </w:r>
      <w:r w:rsidRPr="00C47453">
        <w:rPr>
          <w:sz w:val="18"/>
          <w:szCs w:val="18"/>
          <w:rtl/>
        </w:rPr>
        <w:t>–</w:t>
      </w:r>
      <w:r w:rsidRPr="00C47453">
        <w:rPr>
          <w:rFonts w:hint="cs"/>
          <w:sz w:val="18"/>
          <w:szCs w:val="18"/>
          <w:rtl/>
        </w:rPr>
        <w:t xml:space="preserve"> מדוע הטור כפל את דבריו וביאר את אותו הדין גם בעד שהניחה בקופסה!</w:t>
      </w:r>
      <w:r w:rsidRPr="00C47453">
        <w:rPr>
          <w:sz w:val="18"/>
          <w:szCs w:val="18"/>
          <w:rtl/>
        </w:rPr>
        <w:br/>
      </w:r>
      <w:r w:rsidRPr="00C47453">
        <w:rPr>
          <w:rFonts w:hint="cs"/>
          <w:sz w:val="18"/>
          <w:szCs w:val="18"/>
          <w:rtl/>
        </w:rPr>
        <w:t xml:space="preserve">ושמא כוונתו </w:t>
      </w:r>
      <w:r>
        <w:rPr>
          <w:rFonts w:hint="cs"/>
          <w:sz w:val="18"/>
          <w:szCs w:val="18"/>
          <w:rtl/>
        </w:rPr>
        <w:t xml:space="preserve">ברישא </w:t>
      </w:r>
      <w:r w:rsidRPr="00C47453">
        <w:rPr>
          <w:rFonts w:hint="cs"/>
          <w:sz w:val="18"/>
          <w:szCs w:val="18"/>
          <w:rtl/>
        </w:rPr>
        <w:t>לומר שאפילו אם הניחה מגולה טמאה ואין אומרים שהכתם הגיע מעלמא, ואם כן כל שכן אם הניחה את העד בקופסה שיש לטמאותה, משום שבקופסה ברור שמקור הכתם בבדיקה.</w:t>
      </w:r>
      <w:r>
        <w:rPr>
          <w:sz w:val="18"/>
          <w:szCs w:val="18"/>
          <w:rtl/>
        </w:rPr>
        <w:br/>
      </w:r>
      <w:r>
        <w:rPr>
          <w:rFonts w:hint="cs"/>
          <w:sz w:val="18"/>
          <w:szCs w:val="18"/>
          <w:rtl/>
        </w:rPr>
        <w:t xml:space="preserve">ואמנם, על לשון </w:t>
      </w:r>
      <w:r w:rsidRPr="00BB3B12">
        <w:rPr>
          <w:rFonts w:hint="cs"/>
          <w:b/>
          <w:bCs/>
          <w:sz w:val="18"/>
          <w:szCs w:val="18"/>
          <w:rtl/>
        </w:rPr>
        <w:t>הרשב"א והמחבר</w:t>
      </w:r>
      <w:r>
        <w:rPr>
          <w:rFonts w:hint="cs"/>
          <w:sz w:val="18"/>
          <w:szCs w:val="18"/>
          <w:rtl/>
        </w:rPr>
        <w:t xml:space="preserve"> לא קשה מאומה, משום שברישא מדובר שמצאה את הכתם מייד, ואילו בסיפא מדובר שמצאתו למחרת וקמ"ל שאף בכה"ג טמאה ובלבד שהניחתו בקופסה.</w:t>
      </w:r>
      <w:r w:rsidRPr="00C47453">
        <w:rPr>
          <w:rFonts w:hint="cs"/>
          <w:sz w:val="18"/>
          <w:szCs w:val="18"/>
          <w:rtl/>
        </w:rPr>
        <w:t xml:space="preserve"> </w:t>
      </w:r>
      <w:r>
        <w:rPr>
          <w:rtl/>
        </w:rPr>
        <w:br/>
      </w:r>
      <w:r w:rsidRPr="00FC5C36">
        <w:rPr>
          <w:rFonts w:hint="cs"/>
          <w:b/>
          <w:bCs/>
          <w:sz w:val="18"/>
          <w:szCs w:val="18"/>
          <w:rtl/>
        </w:rPr>
        <w:t>הט"ז</w:t>
      </w:r>
      <w:r w:rsidRPr="00FC5C36">
        <w:rPr>
          <w:rFonts w:hint="cs"/>
          <w:sz w:val="18"/>
          <w:szCs w:val="18"/>
          <w:rtl/>
        </w:rPr>
        <w:t xml:space="preserve"> הקשה אף הוא על לשון הטור </w:t>
      </w:r>
      <w:r w:rsidRPr="00FC5C36">
        <w:rPr>
          <w:sz w:val="18"/>
          <w:szCs w:val="18"/>
          <w:rtl/>
        </w:rPr>
        <w:t>–</w:t>
      </w:r>
      <w:r w:rsidRPr="00FC5C36">
        <w:rPr>
          <w:rFonts w:hint="cs"/>
          <w:sz w:val="18"/>
          <w:szCs w:val="18"/>
          <w:rtl/>
        </w:rPr>
        <w:t xml:space="preserve"> באיזה מקום הניחה את העד ברישא? הרי בסיפא הטור כתב "או שהניחתו בקופסה", ואם כן משמע שברישא גם הניחה במקום מסוים ומה מקום זה?</w:t>
      </w:r>
      <w:r>
        <w:rPr>
          <w:rtl/>
        </w:rPr>
        <w:br/>
      </w:r>
      <w:r w:rsidRPr="00111E2D">
        <w:rPr>
          <w:rFonts w:hint="cs"/>
          <w:sz w:val="18"/>
          <w:szCs w:val="18"/>
          <w:rtl/>
        </w:rPr>
        <w:t xml:space="preserve">מיישב </w:t>
      </w:r>
      <w:r w:rsidRPr="00111E2D">
        <w:rPr>
          <w:rFonts w:hint="cs"/>
          <w:b/>
          <w:bCs/>
          <w:sz w:val="18"/>
          <w:szCs w:val="18"/>
          <w:rtl/>
        </w:rPr>
        <w:t>הט"ז</w:t>
      </w:r>
      <w:r w:rsidRPr="00111E2D">
        <w:rPr>
          <w:rFonts w:hint="cs"/>
          <w:sz w:val="18"/>
          <w:szCs w:val="18"/>
          <w:rtl/>
        </w:rPr>
        <w:t xml:space="preserve"> </w:t>
      </w:r>
      <w:r w:rsidRPr="00111E2D">
        <w:rPr>
          <w:sz w:val="18"/>
          <w:szCs w:val="18"/>
          <w:rtl/>
        </w:rPr>
        <w:t>–</w:t>
      </w:r>
      <w:r w:rsidRPr="00111E2D">
        <w:rPr>
          <w:rFonts w:hint="cs"/>
          <w:sz w:val="18"/>
          <w:szCs w:val="18"/>
          <w:rtl/>
        </w:rPr>
        <w:t xml:space="preserve"> לולא דמסתפינא יש להגיה בדברי הטור ולמחוק את המילה 'למחר', וכוונת </w:t>
      </w:r>
      <w:r w:rsidRPr="00694C0A">
        <w:rPr>
          <w:rFonts w:hint="cs"/>
          <w:b/>
          <w:bCs/>
          <w:sz w:val="18"/>
          <w:szCs w:val="18"/>
          <w:rtl/>
        </w:rPr>
        <w:t>הטור כרשב"א</w:t>
      </w:r>
      <w:r>
        <w:rPr>
          <w:rFonts w:hint="cs"/>
          <w:sz w:val="18"/>
          <w:szCs w:val="18"/>
          <w:rtl/>
        </w:rPr>
        <w:t>.</w:t>
      </w:r>
    </w:p>
  </w:footnote>
  <w:footnote w:id="316">
    <w:p w:rsidR="005953C5" w:rsidRDefault="005953C5" w:rsidP="00620060">
      <w:pPr>
        <w:pStyle w:val="a3"/>
      </w:pPr>
      <w:r w:rsidRPr="004A586E">
        <w:rPr>
          <w:rStyle w:val="a5"/>
          <w:sz w:val="18"/>
          <w:szCs w:val="18"/>
        </w:rPr>
        <w:footnoteRef/>
      </w:r>
      <w:r w:rsidRPr="004A586E">
        <w:rPr>
          <w:sz w:val="18"/>
          <w:szCs w:val="18"/>
          <w:rtl/>
        </w:rPr>
        <w:t xml:space="preserve"> </w:t>
      </w:r>
      <w:r w:rsidRPr="004A586E">
        <w:rPr>
          <w:rFonts w:hint="cs"/>
          <w:b/>
          <w:bCs/>
          <w:sz w:val="18"/>
          <w:szCs w:val="18"/>
          <w:rtl/>
        </w:rPr>
        <w:t>מאיר נתיבים</w:t>
      </w:r>
      <w:r w:rsidRPr="004A586E">
        <w:rPr>
          <w:rFonts w:hint="cs"/>
          <w:sz w:val="18"/>
          <w:szCs w:val="18"/>
          <w:rtl/>
        </w:rPr>
        <w:t xml:space="preserve"> </w:t>
      </w:r>
      <w:r w:rsidRPr="004A586E">
        <w:rPr>
          <w:rFonts w:hint="cs"/>
          <w:sz w:val="16"/>
          <w:szCs w:val="16"/>
          <w:rtl/>
        </w:rPr>
        <w:t xml:space="preserve">(הו"ד </w:t>
      </w:r>
      <w:r w:rsidRPr="004A586E">
        <w:rPr>
          <w:rFonts w:hint="cs"/>
          <w:b/>
          <w:bCs/>
          <w:sz w:val="16"/>
          <w:szCs w:val="16"/>
          <w:rtl/>
        </w:rPr>
        <w:t>בפת"ש</w:t>
      </w:r>
      <w:r w:rsidRPr="004A586E">
        <w:rPr>
          <w:rFonts w:hint="cs"/>
          <w:sz w:val="16"/>
          <w:szCs w:val="16"/>
          <w:rtl/>
        </w:rPr>
        <w:t xml:space="preserve">) </w:t>
      </w:r>
      <w:r>
        <w:rPr>
          <w:rFonts w:hint="cs"/>
          <w:sz w:val="18"/>
          <w:szCs w:val="18"/>
          <w:rtl/>
        </w:rPr>
        <w:t xml:space="preserve">- </w:t>
      </w:r>
      <w:r w:rsidRPr="004A586E">
        <w:rPr>
          <w:rFonts w:hint="cs"/>
          <w:sz w:val="18"/>
          <w:szCs w:val="18"/>
          <w:rtl/>
        </w:rPr>
        <w:t>לאו דווקא נמצא על העד למחר, אלא הוא הדין אם נמצא עליו מייד סמוך לבדיקה.</w:t>
      </w:r>
    </w:p>
  </w:footnote>
  <w:footnote w:id="317">
    <w:p w:rsidR="005953C5" w:rsidRPr="00D565C7" w:rsidRDefault="005953C5" w:rsidP="00620060">
      <w:pPr>
        <w:pStyle w:val="a3"/>
        <w:rPr>
          <w:sz w:val="18"/>
          <w:szCs w:val="18"/>
        </w:rPr>
      </w:pPr>
      <w:r w:rsidRPr="00096856">
        <w:rPr>
          <w:rStyle w:val="a5"/>
          <w:sz w:val="18"/>
          <w:szCs w:val="18"/>
        </w:rPr>
        <w:footnoteRef/>
      </w:r>
      <w:r w:rsidRPr="00096856">
        <w:rPr>
          <w:sz w:val="18"/>
          <w:szCs w:val="18"/>
          <w:rtl/>
        </w:rPr>
        <w:t xml:space="preserve"> </w:t>
      </w:r>
      <w:r w:rsidRPr="00096856">
        <w:rPr>
          <w:rFonts w:hint="cs"/>
          <w:sz w:val="18"/>
          <w:szCs w:val="18"/>
          <w:rtl/>
        </w:rPr>
        <w:t xml:space="preserve">עיין </w:t>
      </w:r>
      <w:r w:rsidRPr="00501C71">
        <w:rPr>
          <w:rFonts w:hint="cs"/>
          <w:b/>
          <w:bCs/>
          <w:sz w:val="18"/>
          <w:szCs w:val="18"/>
          <w:rtl/>
        </w:rPr>
        <w:t>בששה"ל</w:t>
      </w:r>
      <w:r w:rsidRPr="00096856">
        <w:rPr>
          <w:rFonts w:hint="cs"/>
          <w:sz w:val="18"/>
          <w:szCs w:val="18"/>
          <w:rtl/>
        </w:rPr>
        <w:t xml:space="preserve"> שהביא את קושיית </w:t>
      </w:r>
      <w:r w:rsidRPr="00501C71">
        <w:rPr>
          <w:rFonts w:hint="cs"/>
          <w:b/>
          <w:bCs/>
          <w:sz w:val="18"/>
          <w:szCs w:val="18"/>
          <w:rtl/>
        </w:rPr>
        <w:t>החוו"ד</w:t>
      </w:r>
      <w:r w:rsidRPr="00096856">
        <w:rPr>
          <w:rFonts w:hint="cs"/>
          <w:sz w:val="18"/>
          <w:szCs w:val="18"/>
          <w:rtl/>
        </w:rPr>
        <w:t xml:space="preserve"> </w:t>
      </w:r>
      <w:r w:rsidRPr="00096856">
        <w:rPr>
          <w:sz w:val="18"/>
          <w:szCs w:val="18"/>
          <w:rtl/>
        </w:rPr>
        <w:t>–</w:t>
      </w:r>
      <w:r w:rsidRPr="00096856">
        <w:rPr>
          <w:rFonts w:hint="cs"/>
          <w:sz w:val="18"/>
          <w:szCs w:val="18"/>
          <w:rtl/>
        </w:rPr>
        <w:t xml:space="preserve"> ממה נפשך, אם דין המכה כמכה שידוע שמוציאה דם יש לתלות אפילו בשעת ווסתה, ואם איו ידוע שמוציאה דם אפילו שלא בשעת ווסתה אין תולים, כמבואר לעיל בסימן קפז' סעיף ה' בש"ך.</w:t>
      </w:r>
      <w:r>
        <w:rPr>
          <w:rtl/>
        </w:rPr>
        <w:br/>
      </w:r>
      <w:r w:rsidRPr="00D565C7">
        <w:rPr>
          <w:rFonts w:hint="cs"/>
          <w:sz w:val="18"/>
          <w:szCs w:val="18"/>
          <w:rtl/>
        </w:rPr>
        <w:t xml:space="preserve">ולכן </w:t>
      </w:r>
      <w:r w:rsidRPr="00D565C7">
        <w:rPr>
          <w:rFonts w:hint="cs"/>
          <w:b/>
          <w:bCs/>
          <w:sz w:val="18"/>
          <w:szCs w:val="18"/>
          <w:rtl/>
        </w:rPr>
        <w:t>החוו"ד</w:t>
      </w:r>
      <w:r w:rsidRPr="00D565C7">
        <w:rPr>
          <w:rFonts w:hint="cs"/>
          <w:sz w:val="18"/>
          <w:szCs w:val="18"/>
          <w:rtl/>
        </w:rPr>
        <w:t xml:space="preserve"> </w:t>
      </w:r>
      <w:r w:rsidRPr="00D565C7">
        <w:rPr>
          <w:rFonts w:hint="cs"/>
          <w:sz w:val="18"/>
          <w:szCs w:val="18"/>
          <w:u w:val="single"/>
          <w:rtl/>
        </w:rPr>
        <w:t>חולק</w:t>
      </w:r>
      <w:r w:rsidRPr="00D565C7">
        <w:rPr>
          <w:rFonts w:hint="cs"/>
          <w:sz w:val="18"/>
          <w:szCs w:val="18"/>
          <w:rtl/>
        </w:rPr>
        <w:t xml:space="preserve"> על </w:t>
      </w:r>
      <w:r w:rsidRPr="00D565C7">
        <w:rPr>
          <w:rFonts w:hint="cs"/>
          <w:b/>
          <w:bCs/>
          <w:sz w:val="18"/>
          <w:szCs w:val="18"/>
          <w:rtl/>
        </w:rPr>
        <w:t>הט"ז</w:t>
      </w:r>
      <w:r w:rsidRPr="00D565C7">
        <w:rPr>
          <w:rFonts w:hint="cs"/>
          <w:sz w:val="18"/>
          <w:szCs w:val="18"/>
          <w:rtl/>
        </w:rPr>
        <w:t xml:space="preserve"> וסובר שאפילו בשעת ווסתה תולים.</w:t>
      </w:r>
    </w:p>
  </w:footnote>
  <w:footnote w:id="318">
    <w:p w:rsidR="005953C5" w:rsidRDefault="005953C5" w:rsidP="00620060">
      <w:pPr>
        <w:pStyle w:val="a3"/>
      </w:pPr>
      <w:r w:rsidRPr="00501C71">
        <w:rPr>
          <w:rStyle w:val="a5"/>
          <w:sz w:val="18"/>
          <w:szCs w:val="18"/>
        </w:rPr>
        <w:footnoteRef/>
      </w:r>
      <w:r w:rsidRPr="00501C71">
        <w:rPr>
          <w:sz w:val="18"/>
          <w:szCs w:val="18"/>
          <w:rtl/>
        </w:rPr>
        <w:t xml:space="preserve"> </w:t>
      </w:r>
      <w:r w:rsidRPr="00501C71">
        <w:rPr>
          <w:rFonts w:hint="cs"/>
          <w:sz w:val="18"/>
          <w:szCs w:val="18"/>
          <w:rtl/>
        </w:rPr>
        <w:t>ומה הדין לגבי בדיקה בז' נקיים?</w:t>
      </w:r>
      <w:r w:rsidRPr="00501C71">
        <w:rPr>
          <w:rFonts w:hint="cs"/>
          <w:sz w:val="18"/>
          <w:szCs w:val="18"/>
          <w:rtl/>
        </w:rPr>
        <w:br/>
        <w:t xml:space="preserve">כתב </w:t>
      </w:r>
      <w:r w:rsidRPr="00501C71">
        <w:rPr>
          <w:rFonts w:hint="cs"/>
          <w:b/>
          <w:bCs/>
          <w:sz w:val="18"/>
          <w:szCs w:val="18"/>
          <w:rtl/>
        </w:rPr>
        <w:t>בדה"ש</w:t>
      </w:r>
      <w:r w:rsidRPr="00501C71">
        <w:rPr>
          <w:rFonts w:hint="cs"/>
          <w:sz w:val="18"/>
          <w:szCs w:val="18"/>
          <w:rtl/>
        </w:rPr>
        <w:t xml:space="preserve"> בסימן קצו' סעיף ד בביאורים </w:t>
      </w:r>
      <w:r w:rsidRPr="00501C71">
        <w:rPr>
          <w:rFonts w:hint="cs"/>
          <w:sz w:val="16"/>
          <w:szCs w:val="16"/>
          <w:rtl/>
        </w:rPr>
        <w:t xml:space="preserve">(ד"ה ויש אומרים) </w:t>
      </w:r>
      <w:r w:rsidRPr="00501C71">
        <w:rPr>
          <w:rFonts w:hint="cs"/>
          <w:sz w:val="18"/>
          <w:szCs w:val="18"/>
          <w:rtl/>
        </w:rPr>
        <w:t xml:space="preserve">בשם </w:t>
      </w:r>
      <w:r w:rsidRPr="00501C71">
        <w:rPr>
          <w:rFonts w:hint="cs"/>
          <w:b/>
          <w:bCs/>
          <w:sz w:val="18"/>
          <w:szCs w:val="18"/>
          <w:rtl/>
        </w:rPr>
        <w:t>החוו"ד</w:t>
      </w:r>
      <w:r w:rsidRPr="00501C71">
        <w:rPr>
          <w:rFonts w:hint="cs"/>
          <w:sz w:val="18"/>
          <w:szCs w:val="18"/>
          <w:rtl/>
        </w:rPr>
        <w:t xml:space="preserve"> שהיא נטהרת לבעלה רק לאחר שתפסוק בטהרה ותעשה לכל הפחות בדיקה אחת שתצא נקייה לחלוטין. </w:t>
      </w:r>
    </w:p>
  </w:footnote>
  <w:footnote w:id="319">
    <w:p w:rsidR="005953C5" w:rsidRDefault="005953C5" w:rsidP="00620060">
      <w:pPr>
        <w:pStyle w:val="a3"/>
      </w:pPr>
      <w:r w:rsidRPr="008A2A19">
        <w:rPr>
          <w:rStyle w:val="a5"/>
          <w:sz w:val="18"/>
          <w:szCs w:val="18"/>
        </w:rPr>
        <w:footnoteRef/>
      </w:r>
      <w:r w:rsidRPr="008A2A19">
        <w:rPr>
          <w:sz w:val="18"/>
          <w:szCs w:val="18"/>
          <w:rtl/>
        </w:rPr>
        <w:t xml:space="preserve"> </w:t>
      </w:r>
      <w:r w:rsidRPr="008A2A19">
        <w:rPr>
          <w:rFonts w:hint="cs"/>
          <w:sz w:val="18"/>
          <w:szCs w:val="18"/>
          <w:rtl/>
        </w:rPr>
        <w:t>ומקשים העולם שאין זה ספק דרבנן שהרי בא לה ע"י קינוח ושמא הרגישה ולא הבחינה בכך וטמאה מדאורייתא!</w:t>
      </w:r>
      <w:r>
        <w:rPr>
          <w:sz w:val="18"/>
          <w:szCs w:val="18"/>
          <w:rtl/>
        </w:rPr>
        <w:br/>
      </w:r>
      <w:r w:rsidRPr="008A2A19">
        <w:rPr>
          <w:rFonts w:hint="cs"/>
          <w:sz w:val="18"/>
          <w:szCs w:val="18"/>
          <w:rtl/>
        </w:rPr>
        <w:t xml:space="preserve"> ועיין </w:t>
      </w:r>
      <w:r w:rsidRPr="008A2A19">
        <w:rPr>
          <w:rFonts w:hint="cs"/>
          <w:b/>
          <w:bCs/>
          <w:sz w:val="18"/>
          <w:szCs w:val="18"/>
          <w:rtl/>
        </w:rPr>
        <w:t>בששה"ל</w:t>
      </w:r>
      <w:r w:rsidRPr="008A2A19">
        <w:rPr>
          <w:rFonts w:hint="cs"/>
          <w:sz w:val="18"/>
          <w:szCs w:val="18"/>
          <w:rtl/>
        </w:rPr>
        <w:t xml:space="preserve"> שהביא את תירוץ </w:t>
      </w:r>
      <w:r w:rsidRPr="008A2A19">
        <w:rPr>
          <w:rFonts w:hint="cs"/>
          <w:b/>
          <w:bCs/>
          <w:sz w:val="18"/>
          <w:szCs w:val="18"/>
          <w:rtl/>
        </w:rPr>
        <w:t>החוו"ד</w:t>
      </w:r>
      <w:r w:rsidRPr="008A2A19">
        <w:rPr>
          <w:rFonts w:hint="cs"/>
          <w:sz w:val="18"/>
          <w:szCs w:val="18"/>
          <w:rtl/>
        </w:rPr>
        <w:t>, שכיוון שיש לה מכה סמוך לאותו מקום, הרי זה כאילו התעסקה בדמים סמוך לעד והעד מאבד מחזקת בדוק ודינו כעד שאינו בדוק ותולים להקל.</w:t>
      </w:r>
    </w:p>
  </w:footnote>
  <w:footnote w:id="320">
    <w:p w:rsidR="005953C5" w:rsidRDefault="005953C5" w:rsidP="00620060">
      <w:pPr>
        <w:pStyle w:val="a3"/>
      </w:pPr>
      <w:r w:rsidRPr="008C2D1F">
        <w:rPr>
          <w:rStyle w:val="a5"/>
          <w:sz w:val="18"/>
          <w:szCs w:val="18"/>
        </w:rPr>
        <w:footnoteRef/>
      </w:r>
      <w:r w:rsidRPr="008C2D1F">
        <w:rPr>
          <w:sz w:val="18"/>
          <w:szCs w:val="18"/>
          <w:rtl/>
        </w:rPr>
        <w:t xml:space="preserve"> </w:t>
      </w:r>
      <w:r w:rsidRPr="008C2D1F">
        <w:rPr>
          <w:rFonts w:hint="cs"/>
          <w:sz w:val="18"/>
          <w:szCs w:val="18"/>
          <w:rtl/>
        </w:rPr>
        <w:t xml:space="preserve">כך דייק </w:t>
      </w:r>
      <w:r w:rsidRPr="008C2D1F">
        <w:rPr>
          <w:rFonts w:hint="cs"/>
          <w:b/>
          <w:bCs/>
          <w:sz w:val="18"/>
          <w:szCs w:val="18"/>
          <w:rtl/>
        </w:rPr>
        <w:t xml:space="preserve">הטור </w:t>
      </w:r>
      <w:r w:rsidRPr="008C2D1F">
        <w:rPr>
          <w:rFonts w:hint="cs"/>
          <w:sz w:val="18"/>
          <w:szCs w:val="18"/>
          <w:rtl/>
        </w:rPr>
        <w:t xml:space="preserve">מלשון </w:t>
      </w:r>
      <w:r w:rsidRPr="008C2D1F">
        <w:rPr>
          <w:rFonts w:hint="cs"/>
          <w:b/>
          <w:bCs/>
          <w:sz w:val="18"/>
          <w:szCs w:val="18"/>
          <w:rtl/>
        </w:rPr>
        <w:t>הרא"ש</w:t>
      </w:r>
      <w:r w:rsidRPr="008C2D1F">
        <w:rPr>
          <w:rFonts w:hint="cs"/>
          <w:sz w:val="18"/>
          <w:szCs w:val="18"/>
          <w:rtl/>
        </w:rPr>
        <w:t xml:space="preserve">, אך </w:t>
      </w:r>
      <w:r w:rsidRPr="00901493">
        <w:rPr>
          <w:rFonts w:hint="cs"/>
          <w:b/>
          <w:bCs/>
          <w:sz w:val="18"/>
          <w:szCs w:val="18"/>
          <w:rtl/>
        </w:rPr>
        <w:t>הבית יוסף</w:t>
      </w:r>
      <w:r w:rsidRPr="008C2D1F">
        <w:rPr>
          <w:rFonts w:hint="cs"/>
          <w:sz w:val="18"/>
          <w:szCs w:val="18"/>
          <w:rtl/>
        </w:rPr>
        <w:t xml:space="preserve"> מתלבט מהי דעתו של </w:t>
      </w:r>
      <w:r w:rsidRPr="008C2D1F">
        <w:rPr>
          <w:rFonts w:hint="cs"/>
          <w:b/>
          <w:bCs/>
          <w:sz w:val="18"/>
          <w:szCs w:val="18"/>
          <w:rtl/>
        </w:rPr>
        <w:t>הרא"ש</w:t>
      </w:r>
      <w:r w:rsidRPr="008C2D1F">
        <w:rPr>
          <w:rFonts w:hint="cs"/>
          <w:sz w:val="18"/>
          <w:szCs w:val="18"/>
          <w:rtl/>
        </w:rPr>
        <w:t xml:space="preserve">. בסוף דבריו, מסיק </w:t>
      </w:r>
      <w:r w:rsidRPr="008C2D1F">
        <w:rPr>
          <w:rFonts w:hint="cs"/>
          <w:b/>
          <w:bCs/>
          <w:sz w:val="18"/>
          <w:szCs w:val="18"/>
          <w:rtl/>
        </w:rPr>
        <w:t>הבית יוסף</w:t>
      </w:r>
      <w:r w:rsidRPr="008C2D1F">
        <w:rPr>
          <w:rFonts w:hint="cs"/>
          <w:sz w:val="18"/>
          <w:szCs w:val="18"/>
          <w:rtl/>
        </w:rPr>
        <w:t xml:space="preserve">, שכנראה </w:t>
      </w:r>
      <w:r w:rsidRPr="008C2D1F">
        <w:rPr>
          <w:rFonts w:hint="cs"/>
          <w:b/>
          <w:bCs/>
          <w:sz w:val="18"/>
          <w:szCs w:val="18"/>
          <w:rtl/>
        </w:rPr>
        <w:t>הטור</w:t>
      </w:r>
      <w:r w:rsidRPr="008C2D1F">
        <w:rPr>
          <w:rFonts w:hint="cs"/>
          <w:sz w:val="18"/>
          <w:szCs w:val="18"/>
          <w:rtl/>
        </w:rPr>
        <w:t xml:space="preserve"> דייק מכך </w:t>
      </w:r>
      <w:r w:rsidRPr="008C2D1F">
        <w:rPr>
          <w:rFonts w:hint="cs"/>
          <w:b/>
          <w:bCs/>
          <w:sz w:val="18"/>
          <w:szCs w:val="18"/>
          <w:rtl/>
        </w:rPr>
        <w:t>שהרא"ש</w:t>
      </w:r>
      <w:r w:rsidRPr="008C2D1F">
        <w:rPr>
          <w:rFonts w:hint="cs"/>
          <w:sz w:val="18"/>
          <w:szCs w:val="18"/>
          <w:rtl/>
        </w:rPr>
        <w:t xml:space="preserve"> העתיק את לשון הגמרא באופן סתמי, משמע שאינו מחלק בין עגול למשוך ובכל עניין טמאה בכל שהוא.</w:t>
      </w:r>
    </w:p>
  </w:footnote>
  <w:footnote w:id="321">
    <w:p w:rsidR="005953C5" w:rsidRDefault="005953C5" w:rsidP="00620060">
      <w:pPr>
        <w:pStyle w:val="a3"/>
      </w:pPr>
      <w:r w:rsidRPr="00A80B35">
        <w:rPr>
          <w:rStyle w:val="a5"/>
          <w:sz w:val="18"/>
          <w:szCs w:val="18"/>
        </w:rPr>
        <w:footnoteRef/>
      </w:r>
      <w:r w:rsidRPr="00A80B35">
        <w:rPr>
          <w:sz w:val="18"/>
          <w:szCs w:val="18"/>
          <w:rtl/>
        </w:rPr>
        <w:t xml:space="preserve"> </w:t>
      </w:r>
      <w:r w:rsidRPr="00A80B35">
        <w:rPr>
          <w:rFonts w:hint="cs"/>
          <w:sz w:val="18"/>
          <w:szCs w:val="18"/>
          <w:rtl/>
        </w:rPr>
        <w:t xml:space="preserve">מלבד דין בדיקה בעד שאינו בדוק השנוי כאן, יש להבחין באופן נוסף של עד שאינו בדוק - </w:t>
      </w:r>
      <w:r w:rsidRPr="00A80B35">
        <w:rPr>
          <w:sz w:val="18"/>
          <w:szCs w:val="18"/>
          <w:rtl/>
        </w:rPr>
        <w:br/>
      </w:r>
      <w:r w:rsidRPr="00A80B35">
        <w:rPr>
          <w:rFonts w:hint="cs"/>
          <w:sz w:val="18"/>
          <w:szCs w:val="18"/>
          <w:rtl/>
        </w:rPr>
        <w:t xml:space="preserve">בדקה בעד </w:t>
      </w:r>
      <w:r w:rsidRPr="00A80B35">
        <w:rPr>
          <w:rFonts w:hint="cs"/>
          <w:sz w:val="18"/>
          <w:szCs w:val="18"/>
          <w:u w:val="single"/>
          <w:rtl/>
        </w:rPr>
        <w:t>הבדוק</w:t>
      </w:r>
      <w:r w:rsidRPr="00A80B35">
        <w:rPr>
          <w:rFonts w:hint="cs"/>
          <w:sz w:val="18"/>
          <w:szCs w:val="18"/>
          <w:rtl/>
        </w:rPr>
        <w:t xml:space="preserve"> לה ואחר כך הניחתו </w:t>
      </w:r>
      <w:r w:rsidRPr="00A80B35">
        <w:rPr>
          <w:rFonts w:hint="cs"/>
          <w:sz w:val="18"/>
          <w:szCs w:val="18"/>
          <w:u w:val="single"/>
          <w:rtl/>
        </w:rPr>
        <w:t xml:space="preserve">במקום </w:t>
      </w:r>
      <w:r>
        <w:rPr>
          <w:rFonts w:hint="cs"/>
          <w:sz w:val="18"/>
          <w:szCs w:val="18"/>
          <w:u w:val="single"/>
          <w:rtl/>
        </w:rPr>
        <w:t>שעלול להתלכלך</w:t>
      </w:r>
      <w:r w:rsidRPr="00A80B35">
        <w:rPr>
          <w:rFonts w:hint="cs"/>
          <w:sz w:val="18"/>
          <w:szCs w:val="18"/>
          <w:rtl/>
        </w:rPr>
        <w:t>, שאף בכה"ג דינו זהה לדין עד שאינו בדוק</w:t>
      </w:r>
      <w:r>
        <w:rPr>
          <w:rFonts w:hint="cs"/>
          <w:sz w:val="18"/>
          <w:szCs w:val="18"/>
          <w:rtl/>
        </w:rPr>
        <w:t>, להלן סעיף לז'</w:t>
      </w:r>
      <w:r w:rsidRPr="00A80B35">
        <w:rPr>
          <w:rFonts w:hint="cs"/>
          <w:sz w:val="18"/>
          <w:szCs w:val="18"/>
          <w:rtl/>
        </w:rPr>
        <w:t>.</w:t>
      </w:r>
    </w:p>
  </w:footnote>
  <w:footnote w:id="322">
    <w:p w:rsidR="005953C5" w:rsidRPr="006E4BBD" w:rsidRDefault="005953C5" w:rsidP="00620060">
      <w:pPr>
        <w:pStyle w:val="a3"/>
        <w:rPr>
          <w:sz w:val="18"/>
          <w:szCs w:val="18"/>
          <w:rtl/>
        </w:rPr>
      </w:pPr>
      <w:r w:rsidRPr="00F8514E">
        <w:rPr>
          <w:rStyle w:val="a5"/>
          <w:sz w:val="18"/>
          <w:szCs w:val="18"/>
        </w:rPr>
        <w:footnoteRef/>
      </w:r>
      <w:r w:rsidRPr="00F8514E">
        <w:rPr>
          <w:sz w:val="18"/>
          <w:szCs w:val="18"/>
          <w:rtl/>
        </w:rPr>
        <w:t xml:space="preserve"> </w:t>
      </w:r>
      <w:r w:rsidRPr="00F8514E">
        <w:rPr>
          <w:rFonts w:hint="cs"/>
          <w:sz w:val="18"/>
          <w:szCs w:val="18"/>
          <w:rtl/>
        </w:rPr>
        <w:t xml:space="preserve">שיטת </w:t>
      </w:r>
      <w:r w:rsidRPr="006E4BBD">
        <w:rPr>
          <w:rFonts w:hint="cs"/>
          <w:b/>
          <w:bCs/>
          <w:sz w:val="18"/>
          <w:szCs w:val="18"/>
          <w:rtl/>
        </w:rPr>
        <w:t>הרמב"ם</w:t>
      </w:r>
      <w:r w:rsidRPr="00F8514E">
        <w:rPr>
          <w:rFonts w:hint="cs"/>
          <w:sz w:val="18"/>
          <w:szCs w:val="18"/>
          <w:rtl/>
        </w:rPr>
        <w:t xml:space="preserve"> קשה </w:t>
      </w:r>
      <w:r w:rsidRPr="00F8514E">
        <w:rPr>
          <w:sz w:val="18"/>
          <w:szCs w:val="18"/>
          <w:rtl/>
        </w:rPr>
        <w:t>–</w:t>
      </w:r>
      <w:r w:rsidRPr="00F8514E">
        <w:rPr>
          <w:rFonts w:hint="cs"/>
          <w:sz w:val="18"/>
          <w:szCs w:val="18"/>
          <w:rtl/>
        </w:rPr>
        <w:t xml:space="preserve"> מחד לגבי אשה שראתה דם במי רגליה פסק כרבי יוסי שטהורה לגמרי, ואילו כאן פסק כדעת רבי שטמאה נידה, והרי בגמרא השוו את המחלוקות זו לזו וכיצד פסיקת ההלכה אינה שווה?</w:t>
      </w:r>
      <w:r w:rsidRPr="00F8514E">
        <w:rPr>
          <w:rFonts w:hint="cs"/>
          <w:sz w:val="18"/>
          <w:szCs w:val="18"/>
          <w:rtl/>
        </w:rPr>
        <w:br/>
        <w:t xml:space="preserve">וכן קשה גם בשיטת </w:t>
      </w:r>
      <w:r w:rsidRPr="006E4BBD">
        <w:rPr>
          <w:rFonts w:hint="cs"/>
          <w:b/>
          <w:bCs/>
          <w:sz w:val="18"/>
          <w:szCs w:val="18"/>
          <w:rtl/>
        </w:rPr>
        <w:t>הראב"ד</w:t>
      </w:r>
      <w:r w:rsidRPr="00F8514E">
        <w:rPr>
          <w:rFonts w:hint="cs"/>
          <w:sz w:val="18"/>
          <w:szCs w:val="18"/>
          <w:rtl/>
        </w:rPr>
        <w:t xml:space="preserve"> הפוסק כרבי יוסי לגבי דם במי רגליה ואילו כאן פוסק שטמאה משום כתם.</w:t>
      </w:r>
      <w:r w:rsidRPr="00F8514E">
        <w:rPr>
          <w:sz w:val="18"/>
          <w:szCs w:val="18"/>
          <w:rtl/>
        </w:rPr>
        <w:br/>
      </w:r>
      <w:r w:rsidRPr="00F8514E">
        <w:rPr>
          <w:rFonts w:hint="cs"/>
          <w:sz w:val="18"/>
          <w:szCs w:val="18"/>
          <w:rtl/>
        </w:rPr>
        <w:t xml:space="preserve">כן הקשה </w:t>
      </w:r>
      <w:r w:rsidRPr="006E4BBD">
        <w:rPr>
          <w:rFonts w:hint="cs"/>
          <w:b/>
          <w:bCs/>
          <w:sz w:val="18"/>
          <w:szCs w:val="18"/>
          <w:rtl/>
        </w:rPr>
        <w:t>המגיד משנה</w:t>
      </w:r>
      <w:r w:rsidRPr="00F8514E">
        <w:rPr>
          <w:rFonts w:hint="cs"/>
          <w:sz w:val="18"/>
          <w:szCs w:val="18"/>
          <w:rtl/>
        </w:rPr>
        <w:t xml:space="preserve"> על </w:t>
      </w:r>
      <w:r w:rsidRPr="006E4BBD">
        <w:rPr>
          <w:rFonts w:hint="cs"/>
          <w:b/>
          <w:bCs/>
          <w:sz w:val="18"/>
          <w:szCs w:val="18"/>
          <w:rtl/>
        </w:rPr>
        <w:t>הרמב"ם</w:t>
      </w:r>
      <w:r w:rsidRPr="00F8514E">
        <w:rPr>
          <w:rFonts w:hint="cs"/>
          <w:sz w:val="18"/>
          <w:szCs w:val="18"/>
          <w:rtl/>
        </w:rPr>
        <w:t xml:space="preserve"> </w:t>
      </w:r>
      <w:r w:rsidRPr="006E4BBD">
        <w:rPr>
          <w:rFonts w:hint="cs"/>
          <w:sz w:val="16"/>
          <w:szCs w:val="16"/>
          <w:rtl/>
        </w:rPr>
        <w:t>(</w:t>
      </w:r>
      <w:r w:rsidRPr="006E4BBD">
        <w:rPr>
          <w:rFonts w:hint="cs"/>
          <w:b/>
          <w:bCs/>
          <w:sz w:val="16"/>
          <w:szCs w:val="16"/>
          <w:rtl/>
        </w:rPr>
        <w:t>והרשב"א</w:t>
      </w:r>
      <w:r w:rsidRPr="006E4BBD">
        <w:rPr>
          <w:rFonts w:hint="cs"/>
          <w:sz w:val="16"/>
          <w:szCs w:val="16"/>
          <w:rtl/>
        </w:rPr>
        <w:t xml:space="preserve"> על </w:t>
      </w:r>
      <w:r w:rsidRPr="006E4BBD">
        <w:rPr>
          <w:rFonts w:hint="cs"/>
          <w:b/>
          <w:bCs/>
          <w:sz w:val="16"/>
          <w:szCs w:val="16"/>
          <w:rtl/>
        </w:rPr>
        <w:t>הראב"ד</w:t>
      </w:r>
      <w:r w:rsidRPr="006E4BBD">
        <w:rPr>
          <w:rFonts w:hint="cs"/>
          <w:sz w:val="18"/>
          <w:szCs w:val="18"/>
          <w:rtl/>
        </w:rPr>
        <w:t>)</w:t>
      </w:r>
      <w:r>
        <w:rPr>
          <w:rFonts w:hint="cs"/>
          <w:rtl/>
        </w:rPr>
        <w:t xml:space="preserve"> </w:t>
      </w:r>
      <w:r>
        <w:rPr>
          <w:rFonts w:hint="cs"/>
          <w:sz w:val="18"/>
          <w:szCs w:val="18"/>
          <w:rtl/>
        </w:rPr>
        <w:t>ותורף תירוצו הוא, שאין המחלוקות זהות אע"פ שרבי סובר כרבי מאיר, ובא קיי"ל הלכה כרבי יוסי, ואילו בהא קיי"ל הלכה כרבי מחבירו.</w:t>
      </w:r>
    </w:p>
  </w:footnote>
  <w:footnote w:id="323">
    <w:p w:rsidR="005953C5" w:rsidRDefault="005953C5" w:rsidP="00620060">
      <w:pPr>
        <w:pStyle w:val="a3"/>
      </w:pPr>
      <w:r w:rsidRPr="002252C3">
        <w:rPr>
          <w:rStyle w:val="a5"/>
          <w:sz w:val="18"/>
          <w:szCs w:val="18"/>
        </w:rPr>
        <w:footnoteRef/>
      </w:r>
      <w:r w:rsidRPr="002252C3">
        <w:rPr>
          <w:sz w:val="18"/>
          <w:szCs w:val="18"/>
          <w:rtl/>
        </w:rPr>
        <w:t xml:space="preserve"> </w:t>
      </w:r>
      <w:r w:rsidRPr="002252C3">
        <w:rPr>
          <w:rFonts w:hint="cs"/>
          <w:b/>
          <w:bCs/>
          <w:sz w:val="18"/>
          <w:szCs w:val="18"/>
          <w:rtl/>
        </w:rPr>
        <w:t>הבית יוסף</w:t>
      </w:r>
      <w:r w:rsidRPr="002252C3">
        <w:rPr>
          <w:rFonts w:hint="cs"/>
          <w:sz w:val="18"/>
          <w:szCs w:val="18"/>
          <w:rtl/>
        </w:rPr>
        <w:t xml:space="preserve"> מצטט </w:t>
      </w:r>
      <w:r w:rsidRPr="002252C3">
        <w:rPr>
          <w:rFonts w:hint="cs"/>
          <w:b/>
          <w:bCs/>
          <w:sz w:val="18"/>
          <w:szCs w:val="18"/>
          <w:rtl/>
        </w:rPr>
        <w:t>מהרשב"א</w:t>
      </w:r>
      <w:r w:rsidRPr="002252C3">
        <w:rPr>
          <w:rFonts w:hint="cs"/>
          <w:sz w:val="18"/>
          <w:szCs w:val="18"/>
          <w:rtl/>
        </w:rPr>
        <w:t xml:space="preserve"> </w:t>
      </w:r>
      <w:r w:rsidRPr="002252C3">
        <w:rPr>
          <w:sz w:val="18"/>
          <w:szCs w:val="18"/>
          <w:rtl/>
        </w:rPr>
        <w:t>–</w:t>
      </w:r>
      <w:r w:rsidRPr="002252C3">
        <w:rPr>
          <w:rFonts w:hint="cs"/>
          <w:sz w:val="18"/>
          <w:szCs w:val="18"/>
          <w:rtl/>
        </w:rPr>
        <w:t xml:space="preserve"> "והמחמיר תבוא עליו ברכה", לא מצאתי זאת </w:t>
      </w:r>
      <w:r>
        <w:rPr>
          <w:rFonts w:hint="cs"/>
          <w:sz w:val="18"/>
          <w:szCs w:val="18"/>
          <w:rtl/>
        </w:rPr>
        <w:t xml:space="preserve">ברשב"א </w:t>
      </w:r>
      <w:r w:rsidRPr="002252C3">
        <w:rPr>
          <w:rFonts w:hint="cs"/>
          <w:sz w:val="18"/>
          <w:szCs w:val="18"/>
          <w:rtl/>
        </w:rPr>
        <w:t xml:space="preserve">ולא מצאתי </w:t>
      </w:r>
      <w:r>
        <w:rPr>
          <w:rFonts w:hint="cs"/>
          <w:sz w:val="18"/>
          <w:szCs w:val="18"/>
          <w:rtl/>
        </w:rPr>
        <w:t>כלל בדבריו ש</w:t>
      </w:r>
      <w:r w:rsidRPr="002252C3">
        <w:rPr>
          <w:rFonts w:hint="cs"/>
          <w:sz w:val="18"/>
          <w:szCs w:val="18"/>
          <w:rtl/>
        </w:rPr>
        <w:t xml:space="preserve">נטה להחמיר. ואף לפי ציטוט זה, האם כוונת הרשב"א להורות לחומרה?! על פניו נראה שהחמיר שלא מעיקר הדין, ולכן דברי </w:t>
      </w:r>
      <w:r w:rsidRPr="002252C3">
        <w:rPr>
          <w:rFonts w:hint="cs"/>
          <w:b/>
          <w:bCs/>
          <w:sz w:val="18"/>
          <w:szCs w:val="18"/>
          <w:rtl/>
        </w:rPr>
        <w:t>הבית יוסף והמגיד משנה</w:t>
      </w:r>
      <w:r w:rsidRPr="002252C3">
        <w:rPr>
          <w:rFonts w:hint="cs"/>
          <w:sz w:val="18"/>
          <w:szCs w:val="18"/>
          <w:rtl/>
        </w:rPr>
        <w:t xml:space="preserve"> לא ברורים כאן די הצורך.</w:t>
      </w:r>
      <w:r>
        <w:rPr>
          <w:rFonts w:hint="cs"/>
          <w:sz w:val="18"/>
          <w:szCs w:val="18"/>
          <w:rtl/>
        </w:rPr>
        <w:t xml:space="preserve"> </w:t>
      </w:r>
      <w:r w:rsidRPr="002252C3">
        <w:rPr>
          <w:rFonts w:hint="cs"/>
          <w:sz w:val="18"/>
          <w:szCs w:val="18"/>
          <w:rtl/>
        </w:rPr>
        <w:t xml:space="preserve">אולם, </w:t>
      </w:r>
      <w:r w:rsidRPr="002252C3">
        <w:rPr>
          <w:rFonts w:hint="cs"/>
          <w:b/>
          <w:bCs/>
          <w:sz w:val="18"/>
          <w:szCs w:val="18"/>
          <w:rtl/>
        </w:rPr>
        <w:t>הרמב"ן</w:t>
      </w:r>
      <w:r w:rsidRPr="002252C3">
        <w:rPr>
          <w:rFonts w:hint="cs"/>
          <w:sz w:val="18"/>
          <w:szCs w:val="18"/>
          <w:rtl/>
        </w:rPr>
        <w:t xml:space="preserve"> כתב להדיא שיש לנהוג כדברי שאר הראשונים להחמיר בדין זה.</w:t>
      </w:r>
    </w:p>
  </w:footnote>
  <w:footnote w:id="324">
    <w:p w:rsidR="005953C5" w:rsidRDefault="005953C5" w:rsidP="00620060">
      <w:pPr>
        <w:pStyle w:val="a3"/>
        <w:rPr>
          <w:rtl/>
        </w:rPr>
      </w:pPr>
      <w:r w:rsidRPr="00C41E9A">
        <w:rPr>
          <w:rStyle w:val="a5"/>
          <w:sz w:val="18"/>
          <w:szCs w:val="18"/>
        </w:rPr>
        <w:footnoteRef/>
      </w:r>
      <w:r w:rsidRPr="00C41E9A">
        <w:rPr>
          <w:sz w:val="18"/>
          <w:szCs w:val="18"/>
          <w:rtl/>
        </w:rPr>
        <w:t xml:space="preserve"> </w:t>
      </w:r>
      <w:r w:rsidRPr="00C41E9A">
        <w:rPr>
          <w:rFonts w:hint="cs"/>
          <w:sz w:val="18"/>
          <w:szCs w:val="18"/>
          <w:rtl/>
        </w:rPr>
        <w:t xml:space="preserve">ובלשון </w:t>
      </w:r>
      <w:r w:rsidRPr="00C41E9A">
        <w:rPr>
          <w:rFonts w:hint="cs"/>
          <w:b/>
          <w:bCs/>
          <w:sz w:val="18"/>
          <w:szCs w:val="18"/>
          <w:rtl/>
        </w:rPr>
        <w:t>הרשב"א</w:t>
      </w:r>
      <w:r w:rsidRPr="00C41E9A">
        <w:rPr>
          <w:rFonts w:hint="cs"/>
          <w:sz w:val="18"/>
          <w:szCs w:val="18"/>
          <w:rtl/>
        </w:rPr>
        <w:t xml:space="preserve"> </w:t>
      </w:r>
      <w:r w:rsidRPr="00C41E9A">
        <w:rPr>
          <w:sz w:val="18"/>
          <w:szCs w:val="18"/>
          <w:rtl/>
        </w:rPr>
        <w:t>–</w:t>
      </w:r>
      <w:r w:rsidRPr="00C41E9A">
        <w:rPr>
          <w:rFonts w:hint="cs"/>
          <w:sz w:val="18"/>
          <w:szCs w:val="18"/>
          <w:rtl/>
        </w:rPr>
        <w:t xml:space="preserve"> </w:t>
      </w:r>
      <w:r w:rsidRPr="00C41E9A">
        <w:rPr>
          <w:rFonts w:hint="cs"/>
          <w:sz w:val="18"/>
          <w:szCs w:val="18"/>
          <w:u w:val="single"/>
          <w:rtl/>
        </w:rPr>
        <w:t>עד בינוני</w:t>
      </w:r>
      <w:r w:rsidRPr="00C41E9A">
        <w:rPr>
          <w:rFonts w:hint="cs"/>
          <w:sz w:val="18"/>
          <w:szCs w:val="18"/>
          <w:rtl/>
        </w:rPr>
        <w:t xml:space="preserve"> "</w:t>
      </w:r>
      <w:r w:rsidRPr="00C41E9A">
        <w:rPr>
          <w:rFonts w:cs="Arial"/>
          <w:sz w:val="18"/>
          <w:szCs w:val="18"/>
          <w:rtl/>
        </w:rPr>
        <w:t>היינו שהיא נוטלתו ממקום מוצנע</w:t>
      </w:r>
      <w:r>
        <w:rPr>
          <w:rFonts w:cs="Arial" w:hint="cs"/>
          <w:sz w:val="18"/>
          <w:szCs w:val="18"/>
          <w:rtl/>
        </w:rPr>
        <w:t>,</w:t>
      </w:r>
      <w:r w:rsidRPr="00C41E9A">
        <w:rPr>
          <w:rFonts w:cs="Arial"/>
          <w:sz w:val="18"/>
          <w:szCs w:val="18"/>
          <w:rtl/>
        </w:rPr>
        <w:t xml:space="preserve"> שדרכן של נשים</w:t>
      </w:r>
      <w:r>
        <w:rPr>
          <w:rFonts w:cs="Arial" w:hint="cs"/>
          <w:sz w:val="18"/>
          <w:szCs w:val="18"/>
          <w:rtl/>
        </w:rPr>
        <w:t xml:space="preserve"> </w:t>
      </w:r>
      <w:r w:rsidRPr="00C41E9A">
        <w:rPr>
          <w:rFonts w:cs="Arial"/>
          <w:sz w:val="18"/>
          <w:szCs w:val="18"/>
          <w:rtl/>
        </w:rPr>
        <w:t>להצניע ולהכין להם עדים ואין מוליכות בשוק ולא מתעסקים בהם בכתמים</w:t>
      </w:r>
      <w:r w:rsidRPr="00C41E9A">
        <w:rPr>
          <w:rFonts w:cs="Arial" w:hint="cs"/>
          <w:sz w:val="18"/>
          <w:szCs w:val="18"/>
          <w:rtl/>
        </w:rPr>
        <w:t>".</w:t>
      </w:r>
      <w:r w:rsidRPr="00C41E9A">
        <w:rPr>
          <w:rFonts w:cs="Arial"/>
          <w:sz w:val="18"/>
          <w:szCs w:val="18"/>
          <w:rtl/>
        </w:rPr>
        <w:br/>
      </w:r>
      <w:r w:rsidRPr="00C41E9A">
        <w:rPr>
          <w:rFonts w:cs="Arial" w:hint="cs"/>
          <w:sz w:val="18"/>
          <w:szCs w:val="18"/>
          <w:u w:val="single"/>
          <w:rtl/>
        </w:rPr>
        <w:t>עד שאינו בדוק</w:t>
      </w:r>
      <w:r w:rsidRPr="00C41E9A">
        <w:rPr>
          <w:rFonts w:cs="Arial"/>
          <w:sz w:val="18"/>
          <w:szCs w:val="18"/>
          <w:rtl/>
        </w:rPr>
        <w:t xml:space="preserve"> </w:t>
      </w:r>
      <w:r w:rsidRPr="00C41E9A">
        <w:rPr>
          <w:rFonts w:cs="Arial" w:hint="cs"/>
          <w:sz w:val="18"/>
          <w:szCs w:val="18"/>
          <w:rtl/>
        </w:rPr>
        <w:t>"</w:t>
      </w:r>
      <w:r w:rsidRPr="00C41E9A">
        <w:rPr>
          <w:rFonts w:cs="Arial"/>
          <w:sz w:val="18"/>
          <w:szCs w:val="18"/>
          <w:rtl/>
        </w:rPr>
        <w:t>אבל כשלקחה חלוק מן השוק ואינה יודעת ממי לקחתו אי מעובדת כוכבים או מישראלית נדה או טהורה</w:t>
      </w:r>
      <w:r>
        <w:rPr>
          <w:rFonts w:cs="Arial" w:hint="cs"/>
          <w:sz w:val="18"/>
          <w:szCs w:val="18"/>
          <w:rtl/>
        </w:rPr>
        <w:t>,</w:t>
      </w:r>
      <w:r w:rsidRPr="00C41E9A">
        <w:rPr>
          <w:rFonts w:cs="Arial"/>
          <w:sz w:val="18"/>
          <w:szCs w:val="18"/>
          <w:rtl/>
        </w:rPr>
        <w:t xml:space="preserve"> או שקנחה בעד המזדמן לה בבית בכי הא ודאי ליכא מאן דמטמא אפי</w:t>
      </w:r>
      <w:r w:rsidRPr="00C41E9A">
        <w:rPr>
          <w:rFonts w:cs="Arial" w:hint="cs"/>
          <w:sz w:val="18"/>
          <w:szCs w:val="18"/>
          <w:rtl/>
        </w:rPr>
        <w:t>לו</w:t>
      </w:r>
      <w:r w:rsidRPr="00C41E9A">
        <w:rPr>
          <w:rFonts w:cs="Arial"/>
          <w:sz w:val="18"/>
          <w:szCs w:val="18"/>
          <w:rtl/>
        </w:rPr>
        <w:t xml:space="preserve"> משום כתם</w:t>
      </w:r>
      <w:r w:rsidRPr="00C41E9A">
        <w:rPr>
          <w:rFonts w:cs="Arial" w:hint="cs"/>
          <w:sz w:val="18"/>
          <w:szCs w:val="18"/>
          <w:rtl/>
        </w:rPr>
        <w:t>".</w:t>
      </w:r>
    </w:p>
  </w:footnote>
  <w:footnote w:id="325">
    <w:p w:rsidR="005953C5" w:rsidRDefault="005953C5" w:rsidP="00620060">
      <w:pPr>
        <w:pStyle w:val="a3"/>
      </w:pPr>
      <w:r w:rsidRPr="007C49AE">
        <w:rPr>
          <w:rStyle w:val="a5"/>
          <w:sz w:val="18"/>
          <w:szCs w:val="18"/>
        </w:rPr>
        <w:footnoteRef/>
      </w:r>
      <w:r w:rsidRPr="007C49AE">
        <w:rPr>
          <w:sz w:val="18"/>
          <w:szCs w:val="18"/>
          <w:rtl/>
        </w:rPr>
        <w:t xml:space="preserve"> </w:t>
      </w:r>
      <w:r w:rsidRPr="007C49AE">
        <w:rPr>
          <w:rFonts w:hint="cs"/>
          <w:sz w:val="18"/>
          <w:szCs w:val="18"/>
          <w:rtl/>
        </w:rPr>
        <w:t xml:space="preserve">חשוב לציין שקושיית </w:t>
      </w:r>
      <w:r w:rsidRPr="007C49AE">
        <w:rPr>
          <w:rFonts w:hint="cs"/>
          <w:b/>
          <w:bCs/>
          <w:sz w:val="18"/>
          <w:szCs w:val="18"/>
          <w:rtl/>
        </w:rPr>
        <w:t>הרשב"א</w:t>
      </w:r>
      <w:r w:rsidRPr="007C49AE">
        <w:rPr>
          <w:rFonts w:hint="cs"/>
          <w:sz w:val="18"/>
          <w:szCs w:val="18"/>
          <w:rtl/>
        </w:rPr>
        <w:t xml:space="preserve"> אינה מובנת לשיטת </w:t>
      </w:r>
      <w:r w:rsidRPr="007C49AE">
        <w:rPr>
          <w:rFonts w:hint="cs"/>
          <w:b/>
          <w:bCs/>
          <w:sz w:val="18"/>
          <w:szCs w:val="18"/>
          <w:rtl/>
        </w:rPr>
        <w:t>הרמב"ם והראב"ד</w:t>
      </w:r>
      <w:r w:rsidRPr="007C49AE">
        <w:rPr>
          <w:rFonts w:hint="cs"/>
          <w:sz w:val="18"/>
          <w:szCs w:val="18"/>
          <w:rtl/>
        </w:rPr>
        <w:t xml:space="preserve"> לעיל, שהרי הם פסקו לטמא בעד שאינו בדוק, ואם כן לשיטתם באמת אין חילוק בין הסוגיות לעניין דינא</w:t>
      </w:r>
      <w:r>
        <w:rPr>
          <w:rFonts w:hint="cs"/>
          <w:sz w:val="18"/>
          <w:szCs w:val="18"/>
          <w:rtl/>
        </w:rPr>
        <w:t xml:space="preserve">, וכ"כ </w:t>
      </w:r>
      <w:r w:rsidRPr="007C49AE">
        <w:rPr>
          <w:rFonts w:hint="cs"/>
          <w:b/>
          <w:bCs/>
          <w:sz w:val="18"/>
          <w:szCs w:val="18"/>
          <w:rtl/>
        </w:rPr>
        <w:t>התפארת ישראל</w:t>
      </w:r>
      <w:r>
        <w:rPr>
          <w:rFonts w:hint="cs"/>
          <w:sz w:val="18"/>
          <w:szCs w:val="18"/>
          <w:rtl/>
        </w:rPr>
        <w:t xml:space="preserve"> והו"ד הערות לטור הוצאת מכון המאור</w:t>
      </w:r>
      <w:r w:rsidRPr="007C49AE">
        <w:rPr>
          <w:rFonts w:hint="cs"/>
          <w:sz w:val="18"/>
          <w:szCs w:val="18"/>
          <w:rtl/>
        </w:rPr>
        <w:t xml:space="preserve">. </w:t>
      </w:r>
    </w:p>
  </w:footnote>
  <w:footnote w:id="326">
    <w:p w:rsidR="005953C5" w:rsidRDefault="005953C5" w:rsidP="00620060">
      <w:pPr>
        <w:pStyle w:val="a3"/>
      </w:pPr>
      <w:r w:rsidRPr="00C21847">
        <w:rPr>
          <w:rStyle w:val="a5"/>
          <w:sz w:val="18"/>
          <w:szCs w:val="18"/>
        </w:rPr>
        <w:footnoteRef/>
      </w:r>
      <w:r w:rsidRPr="00C21847">
        <w:rPr>
          <w:sz w:val="18"/>
          <w:szCs w:val="18"/>
          <w:rtl/>
        </w:rPr>
        <w:t xml:space="preserve"> </w:t>
      </w:r>
      <w:r>
        <w:rPr>
          <w:rFonts w:hint="cs"/>
          <w:sz w:val="18"/>
          <w:szCs w:val="18"/>
          <w:rtl/>
        </w:rPr>
        <w:t xml:space="preserve">להלן תירוץ </w:t>
      </w:r>
      <w:r w:rsidRPr="00C21847">
        <w:rPr>
          <w:rFonts w:hint="cs"/>
          <w:b/>
          <w:bCs/>
          <w:sz w:val="18"/>
          <w:szCs w:val="18"/>
          <w:rtl/>
        </w:rPr>
        <w:t>תוספות</w:t>
      </w:r>
      <w:r>
        <w:rPr>
          <w:rFonts w:hint="cs"/>
          <w:sz w:val="18"/>
          <w:szCs w:val="18"/>
          <w:rtl/>
        </w:rPr>
        <w:t xml:space="preserve"> לקושייה זו - </w:t>
      </w:r>
      <w:r>
        <w:rPr>
          <w:rFonts w:hint="cs"/>
          <w:sz w:val="18"/>
          <w:szCs w:val="18"/>
          <w:rtl/>
        </w:rPr>
        <w:br/>
      </w:r>
      <w:r w:rsidRPr="00C21847">
        <w:rPr>
          <w:rFonts w:cs="Arial" w:hint="cs"/>
          <w:b/>
          <w:bCs/>
          <w:sz w:val="18"/>
          <w:szCs w:val="18"/>
          <w:rtl/>
        </w:rPr>
        <w:t>תוספות</w:t>
      </w:r>
      <w:r w:rsidRPr="00C21847">
        <w:rPr>
          <w:rFonts w:cs="Arial" w:hint="cs"/>
          <w:sz w:val="18"/>
          <w:szCs w:val="18"/>
          <w:rtl/>
        </w:rPr>
        <w:t xml:space="preserve"> </w:t>
      </w:r>
      <w:r w:rsidRPr="00C21847">
        <w:rPr>
          <w:rFonts w:cs="Arial"/>
          <w:sz w:val="18"/>
          <w:szCs w:val="18"/>
          <w:rtl/>
        </w:rPr>
        <w:t>–</w:t>
      </w:r>
      <w:r w:rsidRPr="00C21847">
        <w:rPr>
          <w:rFonts w:cs="Arial" w:hint="cs"/>
          <w:sz w:val="18"/>
          <w:szCs w:val="18"/>
          <w:rtl/>
        </w:rPr>
        <w:t xml:space="preserve"> באמת אין חילוק בין הסוגיות וגם בשלוש נשים העיקר לדינא לטהר כל אחת בפני עצמה, אלא שמדובר שבאו לשאול בבת אחת, ולכן דינן כדין שניים שהלכו בשני שבילים אחד טמא ואחד טהור ובאו לשאול בבת אחת ששניהם טמאים, הוא הדין כאן שכולן טמאות משום שבאו לשאול בבת אחת.</w:t>
      </w:r>
      <w:r w:rsidRPr="00C21847">
        <w:rPr>
          <w:rFonts w:cs="Arial" w:hint="cs"/>
          <w:sz w:val="18"/>
          <w:szCs w:val="18"/>
          <w:rtl/>
        </w:rPr>
        <w:br/>
        <w:t xml:space="preserve">דוחה </w:t>
      </w:r>
      <w:r w:rsidRPr="00C21847">
        <w:rPr>
          <w:rFonts w:cs="Arial" w:hint="cs"/>
          <w:b/>
          <w:bCs/>
          <w:sz w:val="18"/>
          <w:szCs w:val="18"/>
          <w:rtl/>
        </w:rPr>
        <w:t>הרשב"א</w:t>
      </w:r>
      <w:r w:rsidRPr="00C21847">
        <w:rPr>
          <w:rFonts w:cs="Arial" w:hint="cs"/>
          <w:sz w:val="18"/>
          <w:szCs w:val="18"/>
          <w:rtl/>
        </w:rPr>
        <w:t xml:space="preserve"> </w:t>
      </w:r>
      <w:r w:rsidRPr="00C21847">
        <w:rPr>
          <w:rFonts w:cs="Arial"/>
          <w:sz w:val="18"/>
          <w:szCs w:val="18"/>
          <w:rtl/>
        </w:rPr>
        <w:t>–</w:t>
      </w:r>
      <w:r w:rsidRPr="00C21847">
        <w:rPr>
          <w:rFonts w:cs="Arial" w:hint="cs"/>
          <w:sz w:val="18"/>
          <w:szCs w:val="18"/>
          <w:rtl/>
        </w:rPr>
        <w:t xml:space="preserve"> לפי"ז אם אחת מהנשים רואה דם לאחר מכן יש לטהר את שאר הנשים, ולא משמע כך.</w:t>
      </w:r>
    </w:p>
  </w:footnote>
  <w:footnote w:id="327">
    <w:p w:rsidR="005953C5" w:rsidRDefault="005953C5" w:rsidP="00620060">
      <w:pPr>
        <w:pStyle w:val="a3"/>
        <w:rPr>
          <w:rtl/>
        </w:rPr>
      </w:pPr>
      <w:r w:rsidRPr="00CF6CB7">
        <w:rPr>
          <w:rStyle w:val="a5"/>
          <w:sz w:val="18"/>
          <w:szCs w:val="18"/>
        </w:rPr>
        <w:footnoteRef/>
      </w:r>
      <w:r w:rsidRPr="00CF6CB7">
        <w:rPr>
          <w:sz w:val="18"/>
          <w:szCs w:val="18"/>
          <w:rtl/>
        </w:rPr>
        <w:t xml:space="preserve"> </w:t>
      </w:r>
      <w:r w:rsidRPr="00CF6CB7">
        <w:rPr>
          <w:rFonts w:hint="cs"/>
          <w:sz w:val="18"/>
          <w:szCs w:val="18"/>
          <w:rtl/>
        </w:rPr>
        <w:t xml:space="preserve">לשון </w:t>
      </w:r>
      <w:r w:rsidRPr="00CF6CB7">
        <w:rPr>
          <w:rFonts w:hint="cs"/>
          <w:b/>
          <w:bCs/>
          <w:sz w:val="18"/>
          <w:szCs w:val="18"/>
          <w:rtl/>
        </w:rPr>
        <w:t>הרשב"א</w:t>
      </w:r>
      <w:r w:rsidRPr="00CF6CB7">
        <w:rPr>
          <w:rFonts w:hint="cs"/>
          <w:sz w:val="18"/>
          <w:szCs w:val="18"/>
          <w:rtl/>
        </w:rPr>
        <w:t xml:space="preserve"> אינה חד משמעית בדין זה וניתן להסתפק בדבריו ולפרשן באופן שונה. ואכן, </w:t>
      </w:r>
      <w:r w:rsidRPr="00CF6CB7">
        <w:rPr>
          <w:rFonts w:hint="cs"/>
          <w:b/>
          <w:bCs/>
          <w:sz w:val="18"/>
          <w:szCs w:val="18"/>
          <w:rtl/>
        </w:rPr>
        <w:t>שו"ע הרב</w:t>
      </w:r>
      <w:r w:rsidRPr="00CF6CB7">
        <w:rPr>
          <w:rFonts w:hint="cs"/>
          <w:sz w:val="18"/>
          <w:szCs w:val="18"/>
          <w:rtl/>
        </w:rPr>
        <w:t xml:space="preserve"> </w:t>
      </w:r>
      <w:r w:rsidRPr="00CF6CB7">
        <w:rPr>
          <w:rFonts w:hint="cs"/>
          <w:sz w:val="16"/>
          <w:szCs w:val="16"/>
          <w:rtl/>
        </w:rPr>
        <w:t xml:space="preserve">(ס"ק עא') </w:t>
      </w:r>
      <w:r w:rsidRPr="00CF6CB7">
        <w:rPr>
          <w:rFonts w:hint="cs"/>
          <w:sz w:val="18"/>
          <w:szCs w:val="18"/>
          <w:rtl/>
        </w:rPr>
        <w:t xml:space="preserve">מסביר שכוונת הרשב"א שהעד </w:t>
      </w:r>
      <w:r w:rsidRPr="00CF6CB7">
        <w:rPr>
          <w:rFonts w:hint="cs"/>
          <w:sz w:val="18"/>
          <w:szCs w:val="18"/>
          <w:u w:val="single"/>
          <w:rtl/>
        </w:rPr>
        <w:t>נבדק</w:t>
      </w:r>
      <w:r w:rsidRPr="00CF6CB7">
        <w:rPr>
          <w:rFonts w:hint="cs"/>
          <w:sz w:val="18"/>
          <w:szCs w:val="18"/>
          <w:rtl/>
        </w:rPr>
        <w:t xml:space="preserve"> אלא שהבדיקה היתה לפני כמה ימים, ולכן היא מסופקת </w:t>
      </w:r>
      <w:r>
        <w:rPr>
          <w:rFonts w:hint="cs"/>
          <w:sz w:val="18"/>
          <w:szCs w:val="18"/>
          <w:rtl/>
        </w:rPr>
        <w:t>כעת</w:t>
      </w:r>
      <w:r w:rsidRPr="00CF6CB7">
        <w:rPr>
          <w:rFonts w:hint="cs"/>
          <w:sz w:val="18"/>
          <w:szCs w:val="18"/>
          <w:rtl/>
        </w:rPr>
        <w:t xml:space="preserve"> שמא בינתיים עברה במקום שבו העד עלול להתלכלך</w:t>
      </w:r>
      <w:r>
        <w:rPr>
          <w:rFonts w:hint="cs"/>
          <w:sz w:val="18"/>
          <w:szCs w:val="18"/>
          <w:rtl/>
        </w:rPr>
        <w:t xml:space="preserve">, ואילו ההסבר שכתוב בפנים הוא ע"פ </w:t>
      </w:r>
      <w:r w:rsidRPr="00191D42">
        <w:rPr>
          <w:rFonts w:hint="cs"/>
          <w:b/>
          <w:bCs/>
          <w:sz w:val="18"/>
          <w:szCs w:val="18"/>
          <w:rtl/>
        </w:rPr>
        <w:t>ששבה"ל</w:t>
      </w:r>
      <w:r w:rsidRPr="00CF6CB7">
        <w:rPr>
          <w:rFonts w:hint="cs"/>
          <w:sz w:val="18"/>
          <w:szCs w:val="18"/>
          <w:rtl/>
        </w:rPr>
        <w:t xml:space="preserve">. </w:t>
      </w:r>
    </w:p>
  </w:footnote>
  <w:footnote w:id="328">
    <w:p w:rsidR="005953C5" w:rsidRDefault="005953C5" w:rsidP="00620060">
      <w:pPr>
        <w:pStyle w:val="a3"/>
        <w:rPr>
          <w:rtl/>
        </w:rPr>
      </w:pPr>
      <w:r w:rsidRPr="004D5D5D">
        <w:rPr>
          <w:rStyle w:val="a5"/>
          <w:sz w:val="18"/>
          <w:szCs w:val="18"/>
        </w:rPr>
        <w:footnoteRef/>
      </w:r>
      <w:r w:rsidRPr="004D5D5D">
        <w:rPr>
          <w:sz w:val="18"/>
          <w:szCs w:val="18"/>
          <w:rtl/>
        </w:rPr>
        <w:t xml:space="preserve"> </w:t>
      </w:r>
      <w:r w:rsidRPr="004D5D5D">
        <w:rPr>
          <w:rFonts w:hint="cs"/>
          <w:b/>
          <w:bCs/>
          <w:sz w:val="18"/>
          <w:szCs w:val="18"/>
          <w:rtl/>
        </w:rPr>
        <w:t xml:space="preserve">ט"ז </w:t>
      </w:r>
      <w:r>
        <w:rPr>
          <w:rFonts w:hint="cs"/>
          <w:sz w:val="18"/>
          <w:szCs w:val="18"/>
          <w:rtl/>
        </w:rPr>
        <w:t xml:space="preserve">- </w:t>
      </w:r>
      <w:r w:rsidRPr="004D5D5D">
        <w:rPr>
          <w:rFonts w:hint="cs"/>
          <w:sz w:val="18"/>
          <w:szCs w:val="18"/>
          <w:rtl/>
        </w:rPr>
        <w:t>ההבדל הוא באיזו 'שפה' מדברים. ה'שפה' התלמודית להגדרת אינו בדוק היא זו הכתובה בסעיף לו</w:t>
      </w:r>
      <w:r>
        <w:rPr>
          <w:rFonts w:hint="cs"/>
          <w:sz w:val="18"/>
          <w:szCs w:val="18"/>
          <w:rtl/>
        </w:rPr>
        <w:t>'</w:t>
      </w:r>
      <w:r w:rsidRPr="004D5D5D">
        <w:rPr>
          <w:rFonts w:hint="cs"/>
          <w:sz w:val="18"/>
          <w:szCs w:val="18"/>
          <w:rtl/>
        </w:rPr>
        <w:t xml:space="preserve"> לגבי עד, לעומת זאת בסעיף כאן </w:t>
      </w:r>
      <w:r>
        <w:rPr>
          <w:rFonts w:hint="cs"/>
          <w:sz w:val="18"/>
          <w:szCs w:val="18"/>
          <w:rtl/>
        </w:rPr>
        <w:t>מדברים</w:t>
      </w:r>
      <w:r w:rsidRPr="004D5D5D">
        <w:rPr>
          <w:rFonts w:hint="cs"/>
          <w:sz w:val="18"/>
          <w:szCs w:val="18"/>
          <w:rtl/>
        </w:rPr>
        <w:t xml:space="preserve"> </w:t>
      </w:r>
      <w:r>
        <w:rPr>
          <w:rFonts w:hint="cs"/>
          <w:sz w:val="18"/>
          <w:szCs w:val="18"/>
          <w:rtl/>
        </w:rPr>
        <w:t>ב</w:t>
      </w:r>
      <w:r w:rsidRPr="004D5D5D">
        <w:rPr>
          <w:rFonts w:hint="cs"/>
          <w:sz w:val="18"/>
          <w:szCs w:val="18"/>
          <w:rtl/>
        </w:rPr>
        <w:t>'שפה' של העולם, שחלוק שאין יודעים מאומה לגבי נקיותו קרוי בשם אינו בדוק.</w:t>
      </w:r>
    </w:p>
  </w:footnote>
  <w:footnote w:id="329">
    <w:p w:rsidR="005953C5" w:rsidRDefault="005953C5" w:rsidP="00620060">
      <w:pPr>
        <w:pStyle w:val="a3"/>
        <w:rPr>
          <w:rtl/>
        </w:rPr>
      </w:pPr>
      <w:r w:rsidRPr="00D11634">
        <w:rPr>
          <w:rStyle w:val="a5"/>
          <w:sz w:val="18"/>
          <w:szCs w:val="18"/>
        </w:rPr>
        <w:footnoteRef/>
      </w:r>
      <w:r w:rsidRPr="00D11634">
        <w:rPr>
          <w:sz w:val="18"/>
          <w:szCs w:val="18"/>
          <w:rtl/>
        </w:rPr>
        <w:t xml:space="preserve"> </w:t>
      </w:r>
      <w:r w:rsidRPr="00D11634">
        <w:rPr>
          <w:rFonts w:hint="cs"/>
          <w:sz w:val="18"/>
          <w:szCs w:val="18"/>
          <w:rtl/>
        </w:rPr>
        <w:t xml:space="preserve">בניגוד </w:t>
      </w:r>
      <w:r w:rsidRPr="00D11634">
        <w:rPr>
          <w:rFonts w:hint="cs"/>
          <w:b/>
          <w:bCs/>
          <w:sz w:val="18"/>
          <w:szCs w:val="18"/>
          <w:rtl/>
        </w:rPr>
        <w:t>לט"ז</w:t>
      </w:r>
      <w:r w:rsidRPr="00D11634">
        <w:rPr>
          <w:rFonts w:hint="cs"/>
          <w:sz w:val="18"/>
          <w:szCs w:val="18"/>
          <w:rtl/>
        </w:rPr>
        <w:t xml:space="preserve"> שמחלק בין רמת הנקיות השונה, הרי </w:t>
      </w:r>
      <w:r w:rsidRPr="00D11634">
        <w:rPr>
          <w:rFonts w:hint="cs"/>
          <w:b/>
          <w:bCs/>
          <w:sz w:val="18"/>
          <w:szCs w:val="18"/>
          <w:rtl/>
        </w:rPr>
        <w:t>שהב"ח</w:t>
      </w:r>
      <w:r w:rsidRPr="00D11634">
        <w:rPr>
          <w:rFonts w:hint="cs"/>
          <w:sz w:val="18"/>
          <w:szCs w:val="18"/>
          <w:rtl/>
        </w:rPr>
        <w:t xml:space="preserve"> סבור שרמת הנקיות זהה בשני הסעיפים, אלא שיש לחלק באופן עקרוני בין עד לחלוק.</w:t>
      </w:r>
    </w:p>
  </w:footnote>
  <w:footnote w:id="330">
    <w:p w:rsidR="005953C5" w:rsidRDefault="005953C5" w:rsidP="00620060">
      <w:pPr>
        <w:pStyle w:val="a3"/>
        <w:rPr>
          <w:rtl/>
        </w:rPr>
      </w:pPr>
      <w:r w:rsidRPr="0018391D">
        <w:rPr>
          <w:rStyle w:val="a5"/>
          <w:sz w:val="18"/>
          <w:szCs w:val="18"/>
        </w:rPr>
        <w:footnoteRef/>
      </w:r>
      <w:r w:rsidRPr="0018391D">
        <w:rPr>
          <w:sz w:val="18"/>
          <w:szCs w:val="18"/>
          <w:rtl/>
        </w:rPr>
        <w:t xml:space="preserve"> </w:t>
      </w:r>
      <w:r w:rsidRPr="0018391D">
        <w:rPr>
          <w:rFonts w:hint="cs"/>
          <w:sz w:val="18"/>
          <w:szCs w:val="18"/>
          <w:rtl/>
        </w:rPr>
        <w:t xml:space="preserve">אמנם, </w:t>
      </w:r>
      <w:r w:rsidRPr="0018391D">
        <w:rPr>
          <w:rFonts w:hint="cs"/>
          <w:b/>
          <w:bCs/>
          <w:sz w:val="18"/>
          <w:szCs w:val="18"/>
          <w:rtl/>
        </w:rPr>
        <w:t>הט"ז</w:t>
      </w:r>
      <w:r w:rsidRPr="0018391D">
        <w:rPr>
          <w:rFonts w:hint="cs"/>
          <w:sz w:val="18"/>
          <w:szCs w:val="18"/>
          <w:rtl/>
        </w:rPr>
        <w:t xml:space="preserve"> דוחה את החילוק של </w:t>
      </w:r>
      <w:r w:rsidRPr="0018391D">
        <w:rPr>
          <w:rFonts w:hint="cs"/>
          <w:b/>
          <w:bCs/>
          <w:sz w:val="18"/>
          <w:szCs w:val="18"/>
          <w:rtl/>
        </w:rPr>
        <w:t>הב"ח</w:t>
      </w:r>
      <w:r w:rsidRPr="0018391D">
        <w:rPr>
          <w:rFonts w:hint="cs"/>
          <w:sz w:val="18"/>
          <w:szCs w:val="18"/>
          <w:rtl/>
        </w:rPr>
        <w:t xml:space="preserve"> - </w:t>
      </w:r>
      <w:r w:rsidRPr="0018391D">
        <w:rPr>
          <w:sz w:val="18"/>
          <w:szCs w:val="18"/>
          <w:rtl/>
        </w:rPr>
        <w:br/>
      </w:r>
      <w:r w:rsidRPr="0018391D">
        <w:rPr>
          <w:rFonts w:hint="cs"/>
          <w:sz w:val="18"/>
          <w:szCs w:val="18"/>
          <w:rtl/>
        </w:rPr>
        <w:t xml:space="preserve">א. הסעיף כאן נכתב ע"פ דברי </w:t>
      </w:r>
      <w:r w:rsidRPr="008071A3">
        <w:rPr>
          <w:rFonts w:hint="cs"/>
          <w:b/>
          <w:bCs/>
          <w:sz w:val="18"/>
          <w:szCs w:val="18"/>
          <w:rtl/>
        </w:rPr>
        <w:t>הרשב"א</w:t>
      </w:r>
      <w:r w:rsidRPr="0018391D">
        <w:rPr>
          <w:rFonts w:hint="cs"/>
          <w:sz w:val="18"/>
          <w:szCs w:val="18"/>
          <w:rtl/>
        </w:rPr>
        <w:t xml:space="preserve">, ואילו </w:t>
      </w:r>
      <w:r w:rsidRPr="008071A3">
        <w:rPr>
          <w:rFonts w:hint="cs"/>
          <w:b/>
          <w:bCs/>
          <w:sz w:val="18"/>
          <w:szCs w:val="18"/>
          <w:rtl/>
        </w:rPr>
        <w:t>הרשב"א</w:t>
      </w:r>
      <w:r w:rsidRPr="0018391D">
        <w:rPr>
          <w:rFonts w:hint="cs"/>
          <w:sz w:val="18"/>
          <w:szCs w:val="18"/>
          <w:rtl/>
        </w:rPr>
        <w:t xml:space="preserve"> עצמו מטהר לעיל בסעיף לו', הרי שלא ס"ל החילוק הנ"ל.</w:t>
      </w:r>
      <w:r w:rsidRPr="0018391D">
        <w:rPr>
          <w:sz w:val="18"/>
          <w:szCs w:val="18"/>
          <w:rtl/>
        </w:rPr>
        <w:br/>
      </w:r>
      <w:r w:rsidRPr="0018391D">
        <w:rPr>
          <w:rFonts w:hint="cs"/>
          <w:sz w:val="18"/>
          <w:szCs w:val="18"/>
          <w:rtl/>
        </w:rPr>
        <w:t xml:space="preserve">ב. מדוע יש לחלק בין כתם בחלוק לבין כתם על עד, הרי בשניהם טהורה מדאורייתא וטמאה מדרבנן בלבד כיוון שראתה ללא הרגשה. </w:t>
      </w:r>
      <w:r w:rsidRPr="0088310B">
        <w:rPr>
          <w:rFonts w:hint="cs"/>
          <w:sz w:val="16"/>
          <w:szCs w:val="16"/>
          <w:rtl/>
        </w:rPr>
        <w:t xml:space="preserve">(ובאמת שטענה זו אינה ברורה, שהרי יש לחוש לכך שהרגישה ולא הבחינה בכך מחמת הבדיקה, וכן העירו האחרונים. אולם, יש להעיר </w:t>
      </w:r>
      <w:r w:rsidRPr="0088310B">
        <w:rPr>
          <w:rFonts w:hint="cs"/>
          <w:b/>
          <w:bCs/>
          <w:sz w:val="16"/>
          <w:szCs w:val="16"/>
          <w:rtl/>
        </w:rPr>
        <w:t>שהט"ז</w:t>
      </w:r>
      <w:r w:rsidRPr="0088310B">
        <w:rPr>
          <w:rFonts w:hint="cs"/>
          <w:sz w:val="16"/>
          <w:szCs w:val="16"/>
          <w:rtl/>
        </w:rPr>
        <w:t xml:space="preserve"> כאן מתייחס רק לעד שאינו בדוק, ושמא משום שבגמרא איכא מ"ד המטהר לגמרי, ס"ל לט"ז שלכל היותר יש לטמא מדרבנן ולא מדאורייתא, </w:t>
      </w:r>
      <w:r w:rsidRPr="0088310B">
        <w:rPr>
          <w:rFonts w:hint="cs"/>
          <w:b/>
          <w:bCs/>
          <w:sz w:val="16"/>
          <w:szCs w:val="16"/>
          <w:rtl/>
        </w:rPr>
        <w:t>ששבה"ל</w:t>
      </w:r>
      <w:r w:rsidRPr="0088310B">
        <w:rPr>
          <w:rFonts w:hint="cs"/>
          <w:sz w:val="16"/>
          <w:szCs w:val="16"/>
          <w:rtl/>
        </w:rPr>
        <w:t xml:space="preserve">. ועיין </w:t>
      </w:r>
      <w:r w:rsidRPr="0088310B">
        <w:rPr>
          <w:rFonts w:hint="cs"/>
          <w:b/>
          <w:bCs/>
          <w:sz w:val="16"/>
          <w:szCs w:val="16"/>
          <w:rtl/>
        </w:rPr>
        <w:t>בט"ז</w:t>
      </w:r>
      <w:r w:rsidRPr="0088310B">
        <w:rPr>
          <w:rFonts w:hint="cs"/>
          <w:sz w:val="16"/>
          <w:szCs w:val="16"/>
          <w:rtl/>
        </w:rPr>
        <w:t xml:space="preserve"> האחרון בסימן שחוזר על טענתו זאת, ומדגיש שרק בעד שאינו בדוק ס"ל שאינה טמאה מדאורייתא)</w:t>
      </w:r>
      <w:r w:rsidRPr="0018391D">
        <w:rPr>
          <w:rFonts w:hint="cs"/>
          <w:sz w:val="18"/>
          <w:szCs w:val="18"/>
          <w:rtl/>
        </w:rPr>
        <w:t>.</w:t>
      </w:r>
      <w:r>
        <w:rPr>
          <w:rtl/>
        </w:rPr>
        <w:br/>
      </w:r>
      <w:r w:rsidRPr="009E6A98">
        <w:rPr>
          <w:rFonts w:hint="cs"/>
          <w:sz w:val="18"/>
          <w:szCs w:val="18"/>
          <w:rtl/>
        </w:rPr>
        <w:t xml:space="preserve">ג. הטור כתב בסעיף לו' שטמאה מחמת </w:t>
      </w:r>
      <w:r w:rsidRPr="009E6A98">
        <w:rPr>
          <w:rFonts w:hint="cs"/>
          <w:sz w:val="18"/>
          <w:szCs w:val="18"/>
          <w:u w:val="single"/>
          <w:rtl/>
        </w:rPr>
        <w:t>כתם</w:t>
      </w:r>
      <w:r w:rsidRPr="009E6A98">
        <w:rPr>
          <w:rFonts w:hint="cs"/>
          <w:sz w:val="18"/>
          <w:szCs w:val="18"/>
          <w:rtl/>
        </w:rPr>
        <w:t xml:space="preserve">, הרי שהשווה הדינים להדדי </w:t>
      </w:r>
      <w:r w:rsidRPr="0088310B">
        <w:rPr>
          <w:rFonts w:hint="cs"/>
          <w:sz w:val="16"/>
          <w:szCs w:val="16"/>
          <w:rtl/>
        </w:rPr>
        <w:t xml:space="preserve">(שהרי לא כתב לטמא בעד משום </w:t>
      </w:r>
      <w:r w:rsidRPr="0088310B">
        <w:rPr>
          <w:rFonts w:hint="cs"/>
          <w:sz w:val="16"/>
          <w:szCs w:val="16"/>
          <w:u w:val="single"/>
          <w:rtl/>
        </w:rPr>
        <w:t>נידה</w:t>
      </w:r>
      <w:r w:rsidRPr="0088310B">
        <w:rPr>
          <w:rFonts w:hint="cs"/>
          <w:sz w:val="16"/>
          <w:szCs w:val="16"/>
          <w:rtl/>
        </w:rPr>
        <w:t>)</w:t>
      </w:r>
      <w:r w:rsidRPr="009E6A98">
        <w:rPr>
          <w:rFonts w:hint="cs"/>
          <w:sz w:val="18"/>
          <w:szCs w:val="18"/>
          <w:rtl/>
        </w:rPr>
        <w:t>.</w:t>
      </w:r>
    </w:p>
  </w:footnote>
  <w:footnote w:id="331">
    <w:p w:rsidR="005953C5" w:rsidRDefault="005953C5" w:rsidP="00620060">
      <w:pPr>
        <w:pStyle w:val="a3"/>
      </w:pPr>
      <w:r w:rsidRPr="00C01960">
        <w:rPr>
          <w:rStyle w:val="a5"/>
          <w:sz w:val="18"/>
          <w:szCs w:val="18"/>
        </w:rPr>
        <w:footnoteRef/>
      </w:r>
      <w:r w:rsidRPr="00C01960">
        <w:rPr>
          <w:sz w:val="18"/>
          <w:szCs w:val="18"/>
          <w:rtl/>
        </w:rPr>
        <w:t xml:space="preserve"> </w:t>
      </w:r>
      <w:r w:rsidRPr="00C01960">
        <w:rPr>
          <w:rFonts w:hint="cs"/>
          <w:b/>
          <w:bCs/>
          <w:sz w:val="18"/>
          <w:szCs w:val="18"/>
          <w:rtl/>
        </w:rPr>
        <w:t>רש"י</w:t>
      </w:r>
      <w:r w:rsidRPr="00C01960">
        <w:rPr>
          <w:rFonts w:hint="cs"/>
          <w:sz w:val="18"/>
          <w:szCs w:val="18"/>
          <w:rtl/>
        </w:rPr>
        <w:t xml:space="preserve"> </w:t>
      </w:r>
      <w:r w:rsidRPr="00C01960">
        <w:rPr>
          <w:rFonts w:hint="cs"/>
          <w:sz w:val="16"/>
          <w:szCs w:val="16"/>
          <w:rtl/>
        </w:rPr>
        <w:t xml:space="preserve">(ד"ה </w:t>
      </w:r>
      <w:r w:rsidRPr="00C01960">
        <w:rPr>
          <w:rFonts w:cs="Arial"/>
          <w:sz w:val="16"/>
          <w:szCs w:val="16"/>
          <w:rtl/>
        </w:rPr>
        <w:t>ולענין דינא</w:t>
      </w:r>
      <w:r w:rsidRPr="00C01960">
        <w:rPr>
          <w:rFonts w:cs="Arial" w:hint="cs"/>
          <w:sz w:val="16"/>
          <w:szCs w:val="16"/>
          <w:rtl/>
        </w:rPr>
        <w:t>)</w:t>
      </w:r>
      <w:r w:rsidRPr="00C01960">
        <w:rPr>
          <w:rFonts w:cs="Arial"/>
          <w:sz w:val="16"/>
          <w:szCs w:val="16"/>
          <w:rtl/>
        </w:rPr>
        <w:t xml:space="preserve"> </w:t>
      </w:r>
      <w:r>
        <w:rPr>
          <w:rFonts w:cs="Arial"/>
          <w:sz w:val="18"/>
          <w:szCs w:val="18"/>
          <w:rtl/>
        </w:rPr>
        <w:t>–</w:t>
      </w:r>
      <w:r w:rsidRPr="00C01960">
        <w:rPr>
          <w:rFonts w:cs="Arial"/>
          <w:sz w:val="18"/>
          <w:szCs w:val="18"/>
          <w:rtl/>
        </w:rPr>
        <w:t xml:space="preserve"> </w:t>
      </w:r>
      <w:r>
        <w:rPr>
          <w:rFonts w:cs="Arial" w:hint="cs"/>
          <w:sz w:val="18"/>
          <w:szCs w:val="18"/>
          <w:rtl/>
        </w:rPr>
        <w:t>"</w:t>
      </w:r>
      <w:r w:rsidRPr="00C01960">
        <w:rPr>
          <w:rFonts w:cs="Arial"/>
          <w:sz w:val="18"/>
          <w:szCs w:val="18"/>
          <w:rtl/>
        </w:rPr>
        <w:t>דכבוס הכתם מן החלוק תנן דחבירתה תולה בה דאמרה אחרונה לא מהימנת לי דאת בדקתיה</w:t>
      </w:r>
      <w:r>
        <w:rPr>
          <w:rFonts w:cs="Arial" w:hint="cs"/>
          <w:sz w:val="18"/>
          <w:szCs w:val="18"/>
          <w:rtl/>
        </w:rPr>
        <w:t>"</w:t>
      </w:r>
      <w:r w:rsidRPr="00C01960">
        <w:rPr>
          <w:rFonts w:cs="Arial"/>
          <w:sz w:val="18"/>
          <w:szCs w:val="18"/>
          <w:rtl/>
        </w:rPr>
        <w:t>.</w:t>
      </w:r>
      <w:r>
        <w:rPr>
          <w:rFonts w:hint="cs"/>
          <w:rtl/>
        </w:rPr>
        <w:t xml:space="preserve"> </w:t>
      </w:r>
    </w:p>
  </w:footnote>
  <w:footnote w:id="332">
    <w:p w:rsidR="005953C5" w:rsidRDefault="005953C5" w:rsidP="00620060">
      <w:pPr>
        <w:pStyle w:val="a3"/>
      </w:pPr>
      <w:r w:rsidRPr="00385ACF">
        <w:rPr>
          <w:rStyle w:val="a5"/>
          <w:sz w:val="18"/>
          <w:szCs w:val="18"/>
        </w:rPr>
        <w:footnoteRef/>
      </w:r>
      <w:r w:rsidRPr="00385ACF">
        <w:rPr>
          <w:sz w:val="18"/>
          <w:szCs w:val="18"/>
          <w:rtl/>
        </w:rPr>
        <w:t xml:space="preserve"> </w:t>
      </w:r>
      <w:r w:rsidRPr="00385ACF">
        <w:rPr>
          <w:rFonts w:hint="cs"/>
          <w:sz w:val="18"/>
          <w:szCs w:val="18"/>
          <w:rtl/>
        </w:rPr>
        <w:t xml:space="preserve">אע"פ </w:t>
      </w:r>
      <w:r w:rsidRPr="00385ACF">
        <w:rPr>
          <w:rFonts w:hint="cs"/>
          <w:b/>
          <w:bCs/>
          <w:sz w:val="18"/>
          <w:szCs w:val="18"/>
          <w:rtl/>
        </w:rPr>
        <w:t xml:space="preserve">שבנקה"כ </w:t>
      </w:r>
      <w:r w:rsidRPr="00385ACF">
        <w:rPr>
          <w:rFonts w:hint="cs"/>
          <w:sz w:val="18"/>
          <w:szCs w:val="18"/>
          <w:rtl/>
        </w:rPr>
        <w:t xml:space="preserve">כתב </w:t>
      </w:r>
      <w:r w:rsidRPr="00385ACF">
        <w:rPr>
          <w:rFonts w:hint="cs"/>
          <w:b/>
          <w:bCs/>
          <w:sz w:val="18"/>
          <w:szCs w:val="18"/>
          <w:rtl/>
        </w:rPr>
        <w:t>הש"ך</w:t>
      </w:r>
      <w:r w:rsidRPr="00385ACF">
        <w:rPr>
          <w:rFonts w:hint="cs"/>
          <w:sz w:val="18"/>
          <w:szCs w:val="18"/>
          <w:rtl/>
        </w:rPr>
        <w:t xml:space="preserve"> על דברי </w:t>
      </w:r>
      <w:r w:rsidRPr="00385ACF">
        <w:rPr>
          <w:rFonts w:hint="cs"/>
          <w:b/>
          <w:bCs/>
          <w:sz w:val="18"/>
          <w:szCs w:val="18"/>
          <w:rtl/>
        </w:rPr>
        <w:t>הט"ז</w:t>
      </w:r>
      <w:r w:rsidRPr="00385ACF">
        <w:rPr>
          <w:rFonts w:hint="cs"/>
          <w:sz w:val="18"/>
          <w:szCs w:val="18"/>
          <w:rtl/>
        </w:rPr>
        <w:t>: "עיין מה שכתבתי בש"ך ותראה שאין צריך לזה", מכל מקום ב</w:t>
      </w:r>
      <w:r>
        <w:rPr>
          <w:rFonts w:hint="cs"/>
          <w:sz w:val="18"/>
          <w:szCs w:val="18"/>
          <w:rtl/>
        </w:rPr>
        <w:t xml:space="preserve">פירוש </w:t>
      </w:r>
      <w:r w:rsidRPr="00385ACF">
        <w:rPr>
          <w:rFonts w:hint="cs"/>
          <w:b/>
          <w:bCs/>
          <w:sz w:val="18"/>
          <w:szCs w:val="18"/>
          <w:rtl/>
        </w:rPr>
        <w:t>הש"ך</w:t>
      </w:r>
      <w:r w:rsidRPr="00385ACF">
        <w:rPr>
          <w:rFonts w:hint="cs"/>
          <w:sz w:val="18"/>
          <w:szCs w:val="18"/>
          <w:rtl/>
        </w:rPr>
        <w:t xml:space="preserve"> עצמו פירש </w:t>
      </w:r>
      <w:r w:rsidRPr="00385ACF">
        <w:rPr>
          <w:rFonts w:hint="cs"/>
          <w:b/>
          <w:bCs/>
          <w:sz w:val="18"/>
          <w:szCs w:val="18"/>
          <w:rtl/>
        </w:rPr>
        <w:t>כט"ז</w:t>
      </w:r>
      <w:r w:rsidRPr="00385ACF">
        <w:rPr>
          <w:rFonts w:hint="cs"/>
          <w:sz w:val="18"/>
          <w:szCs w:val="18"/>
          <w:rtl/>
        </w:rPr>
        <w:t>, וצ"ע מהי כוונתו.</w:t>
      </w:r>
    </w:p>
  </w:footnote>
  <w:footnote w:id="333">
    <w:p w:rsidR="005953C5" w:rsidRDefault="005953C5" w:rsidP="00620060">
      <w:pPr>
        <w:pStyle w:val="a3"/>
      </w:pPr>
      <w:r w:rsidRPr="001A5854">
        <w:rPr>
          <w:rStyle w:val="a5"/>
          <w:sz w:val="18"/>
          <w:szCs w:val="18"/>
        </w:rPr>
        <w:footnoteRef/>
      </w:r>
      <w:r w:rsidRPr="001A5854">
        <w:rPr>
          <w:sz w:val="18"/>
          <w:szCs w:val="18"/>
          <w:rtl/>
        </w:rPr>
        <w:t xml:space="preserve"> </w:t>
      </w:r>
      <w:r w:rsidRPr="001A5854">
        <w:rPr>
          <w:rFonts w:hint="cs"/>
          <w:sz w:val="18"/>
          <w:szCs w:val="18"/>
          <w:rtl/>
        </w:rPr>
        <w:t xml:space="preserve">זו לשון </w:t>
      </w:r>
      <w:r w:rsidRPr="001A5854">
        <w:rPr>
          <w:rFonts w:hint="cs"/>
          <w:b/>
          <w:bCs/>
          <w:sz w:val="18"/>
          <w:szCs w:val="18"/>
          <w:rtl/>
        </w:rPr>
        <w:t>הרמב"ם</w:t>
      </w:r>
      <w:r w:rsidRPr="001A5854">
        <w:rPr>
          <w:rFonts w:hint="cs"/>
          <w:sz w:val="18"/>
          <w:szCs w:val="18"/>
          <w:rtl/>
        </w:rPr>
        <w:t>: "</w:t>
      </w:r>
      <w:r w:rsidRPr="001A5854">
        <w:rPr>
          <w:rFonts w:cs="Arial"/>
          <w:sz w:val="18"/>
          <w:szCs w:val="18"/>
          <w:rtl/>
        </w:rPr>
        <w:t xml:space="preserve">האשה שהשאילה חלוקה לנדה בין </w:t>
      </w:r>
      <w:r w:rsidRPr="001A5854">
        <w:rPr>
          <w:rFonts w:cs="Arial" w:hint="cs"/>
          <w:sz w:val="18"/>
          <w:szCs w:val="18"/>
          <w:rtl/>
        </w:rPr>
        <w:t xml:space="preserve">גויה </w:t>
      </w:r>
      <w:r w:rsidRPr="001A5854">
        <w:rPr>
          <w:rFonts w:cs="Arial"/>
          <w:sz w:val="18"/>
          <w:szCs w:val="18"/>
          <w:rtl/>
        </w:rPr>
        <w:t>בין ישראלית וחזרה ולבשה אותו קודם בדיקה ומצאה עליו כתם</w:t>
      </w:r>
      <w:r>
        <w:rPr>
          <w:rFonts w:cs="Arial" w:hint="cs"/>
          <w:sz w:val="18"/>
          <w:szCs w:val="18"/>
          <w:rtl/>
        </w:rPr>
        <w:t>,</w:t>
      </w:r>
      <w:r w:rsidRPr="001A5854">
        <w:rPr>
          <w:rFonts w:cs="Arial"/>
          <w:sz w:val="18"/>
          <w:szCs w:val="18"/>
          <w:rtl/>
        </w:rPr>
        <w:t xml:space="preserve"> ה</w:t>
      </w:r>
      <w:r w:rsidRPr="001A5854">
        <w:rPr>
          <w:rFonts w:cs="Arial" w:hint="cs"/>
          <w:sz w:val="18"/>
          <w:szCs w:val="18"/>
          <w:rtl/>
        </w:rPr>
        <w:t>רי זו</w:t>
      </w:r>
      <w:r w:rsidRPr="001A5854">
        <w:rPr>
          <w:rFonts w:cs="Arial"/>
          <w:sz w:val="18"/>
          <w:szCs w:val="18"/>
          <w:rtl/>
        </w:rPr>
        <w:t xml:space="preserve"> תולה בנדה שלבשה אותו</w:t>
      </w:r>
      <w:r w:rsidRPr="001A5854">
        <w:rPr>
          <w:rFonts w:cs="Arial" w:hint="cs"/>
          <w:sz w:val="18"/>
          <w:szCs w:val="18"/>
          <w:rtl/>
        </w:rPr>
        <w:t>".</w:t>
      </w:r>
      <w:r w:rsidRPr="001A5854">
        <w:rPr>
          <w:sz w:val="18"/>
          <w:szCs w:val="18"/>
          <w:rtl/>
        </w:rPr>
        <w:br/>
      </w:r>
      <w:r w:rsidRPr="001A5854">
        <w:rPr>
          <w:rFonts w:hint="cs"/>
          <w:b/>
          <w:bCs/>
          <w:sz w:val="18"/>
          <w:szCs w:val="18"/>
          <w:rtl/>
        </w:rPr>
        <w:t>מגיד משנה</w:t>
      </w:r>
      <w:r w:rsidRPr="001A5854">
        <w:rPr>
          <w:rFonts w:hint="cs"/>
          <w:sz w:val="18"/>
          <w:szCs w:val="18"/>
          <w:rtl/>
        </w:rPr>
        <w:t xml:space="preserve"> </w:t>
      </w:r>
      <w:r>
        <w:rPr>
          <w:rFonts w:hint="cs"/>
          <w:sz w:val="18"/>
          <w:szCs w:val="18"/>
          <w:rtl/>
        </w:rPr>
        <w:t xml:space="preserve">- </w:t>
      </w:r>
      <w:r w:rsidRPr="001A5854">
        <w:rPr>
          <w:rFonts w:hint="cs"/>
          <w:sz w:val="18"/>
          <w:szCs w:val="18"/>
          <w:rtl/>
        </w:rPr>
        <w:t xml:space="preserve">כוונת </w:t>
      </w:r>
      <w:r w:rsidRPr="001A5854">
        <w:rPr>
          <w:rFonts w:hint="cs"/>
          <w:b/>
          <w:bCs/>
          <w:sz w:val="18"/>
          <w:szCs w:val="18"/>
          <w:rtl/>
        </w:rPr>
        <w:t>הרמב"ם</w:t>
      </w:r>
      <w:r w:rsidRPr="001A5854">
        <w:rPr>
          <w:rFonts w:hint="cs"/>
          <w:sz w:val="18"/>
          <w:szCs w:val="18"/>
          <w:rtl/>
        </w:rPr>
        <w:t xml:space="preserve"> </w:t>
      </w:r>
      <w:r w:rsidRPr="001A5854">
        <w:rPr>
          <w:rFonts w:hint="cs"/>
          <w:sz w:val="18"/>
          <w:szCs w:val="18"/>
          <w:u w:val="single"/>
          <w:rtl/>
        </w:rPr>
        <w:t>לכל</w:t>
      </w:r>
      <w:r w:rsidRPr="00E85C74">
        <w:rPr>
          <w:rFonts w:hint="cs"/>
          <w:sz w:val="18"/>
          <w:szCs w:val="18"/>
          <w:rtl/>
        </w:rPr>
        <w:t xml:space="preserve"> </w:t>
      </w:r>
      <w:r w:rsidRPr="001A5854">
        <w:rPr>
          <w:rFonts w:hint="cs"/>
          <w:sz w:val="18"/>
          <w:szCs w:val="18"/>
          <w:rtl/>
        </w:rPr>
        <w:t xml:space="preserve">גויה, אלא שמכיוון שגויה אינה טובלת הרי היא לעולם כנידה ולכן יש לתלות בה אפילו אם כעת אינה רואה, </w:t>
      </w:r>
      <w:r w:rsidRPr="001A5854">
        <w:rPr>
          <w:rFonts w:hint="cs"/>
          <w:b/>
          <w:bCs/>
          <w:sz w:val="18"/>
          <w:szCs w:val="18"/>
          <w:rtl/>
        </w:rPr>
        <w:t>כרשב"א</w:t>
      </w:r>
      <w:r w:rsidRPr="001A5854">
        <w:rPr>
          <w:rFonts w:hint="cs"/>
          <w:sz w:val="18"/>
          <w:szCs w:val="18"/>
          <w:rtl/>
        </w:rPr>
        <w:t>.</w:t>
      </w:r>
      <w:r w:rsidRPr="001A5854">
        <w:rPr>
          <w:sz w:val="18"/>
          <w:szCs w:val="18"/>
          <w:rtl/>
        </w:rPr>
        <w:br/>
      </w:r>
      <w:r w:rsidRPr="001A5854">
        <w:rPr>
          <w:rFonts w:hint="cs"/>
          <w:sz w:val="18"/>
          <w:szCs w:val="18"/>
          <w:rtl/>
        </w:rPr>
        <w:t xml:space="preserve">דוחה </w:t>
      </w:r>
      <w:r w:rsidRPr="001A5854">
        <w:rPr>
          <w:rFonts w:hint="cs"/>
          <w:b/>
          <w:bCs/>
          <w:sz w:val="18"/>
          <w:szCs w:val="18"/>
          <w:rtl/>
        </w:rPr>
        <w:t>הבית יוסף</w:t>
      </w:r>
      <w:r w:rsidRPr="001A5854">
        <w:rPr>
          <w:rFonts w:hint="cs"/>
          <w:sz w:val="18"/>
          <w:szCs w:val="18"/>
          <w:rtl/>
        </w:rPr>
        <w:t xml:space="preserve"> </w:t>
      </w:r>
      <w:r w:rsidRPr="001A5854">
        <w:rPr>
          <w:sz w:val="18"/>
          <w:szCs w:val="18"/>
          <w:rtl/>
        </w:rPr>
        <w:t>–</w:t>
      </w:r>
      <w:r w:rsidRPr="001A5854">
        <w:rPr>
          <w:rFonts w:hint="cs"/>
          <w:sz w:val="18"/>
          <w:szCs w:val="18"/>
          <w:rtl/>
        </w:rPr>
        <w:t xml:space="preserve"> לפי"ז, אפילו אם הגויה </w:t>
      </w:r>
      <w:r w:rsidRPr="001A5854">
        <w:rPr>
          <w:rFonts w:hint="cs"/>
          <w:sz w:val="18"/>
          <w:szCs w:val="18"/>
          <w:u w:val="single"/>
          <w:rtl/>
        </w:rPr>
        <w:t>קטנה</w:t>
      </w:r>
      <w:r w:rsidRPr="001A5854">
        <w:rPr>
          <w:rFonts w:hint="cs"/>
          <w:sz w:val="18"/>
          <w:szCs w:val="18"/>
          <w:rtl/>
        </w:rPr>
        <w:t xml:space="preserve"> שאינה ראויה לראות וראתה פעם אחת, תולה בה, והרי לרש"י ולרשב"א בוודאי שבכה"ג אינה תולה בה. ומכיוון שממילא צריך לומר שקיימת מחלוקת בין הראשונים, עדיף להיצמד לפשט לשון הרמב"ם ולא לשנות את דבריו.</w:t>
      </w:r>
      <w:r w:rsidRPr="001A5854">
        <w:rPr>
          <w:sz w:val="18"/>
          <w:szCs w:val="18"/>
          <w:rtl/>
        </w:rPr>
        <w:br/>
      </w:r>
      <w:r w:rsidRPr="001A5854">
        <w:rPr>
          <w:rFonts w:hint="cs"/>
          <w:sz w:val="18"/>
          <w:szCs w:val="18"/>
          <w:rtl/>
        </w:rPr>
        <w:t xml:space="preserve">ועוד, הטעם לומר כך אינו מבואר, שהרי לפי"ז יש לתלות גם בישראלית שלא טבלה לנידתה אע"פ שכעת היא מסולקת דמים, ופשוט </w:t>
      </w:r>
      <w:r>
        <w:rPr>
          <w:rFonts w:hint="cs"/>
          <w:sz w:val="18"/>
          <w:szCs w:val="18"/>
          <w:rtl/>
        </w:rPr>
        <w:t>שז</w:t>
      </w:r>
      <w:r w:rsidRPr="001A5854">
        <w:rPr>
          <w:rFonts w:hint="cs"/>
          <w:sz w:val="18"/>
          <w:szCs w:val="18"/>
          <w:rtl/>
        </w:rPr>
        <w:t xml:space="preserve">ה אינו נכון. </w:t>
      </w:r>
      <w:r w:rsidRPr="00CD3961">
        <w:rPr>
          <w:rFonts w:hint="cs"/>
          <w:sz w:val="16"/>
          <w:szCs w:val="16"/>
          <w:rtl/>
        </w:rPr>
        <w:t>(ואע"פ שבנכרית תולה אפילו בכה"ג, זה משום שהיא לא מקפידה כלל על כתמיה, ואינה מנקה את עצמה ובגדיה מכל שאריות הדם, ולכן אע"פ שכעת היא מסולקת דמים מכל מקום תולה בה שמא משאריות הדם הקודם התלכלך, אך ישראלית מקפידה לנקות היטב מכל טיפות הדם ולכן בכה"ג אינ</w:t>
      </w:r>
      <w:r>
        <w:rPr>
          <w:rFonts w:hint="cs"/>
          <w:sz w:val="16"/>
          <w:szCs w:val="16"/>
          <w:rtl/>
        </w:rPr>
        <w:t>ה</w:t>
      </w:r>
      <w:r w:rsidRPr="00CD3961">
        <w:rPr>
          <w:rFonts w:hint="cs"/>
          <w:sz w:val="16"/>
          <w:szCs w:val="16"/>
          <w:rtl/>
        </w:rPr>
        <w:t xml:space="preserve"> תולה בה)</w:t>
      </w:r>
      <w:r w:rsidRPr="001A5854">
        <w:rPr>
          <w:rFonts w:hint="cs"/>
          <w:sz w:val="18"/>
          <w:szCs w:val="18"/>
          <w:rtl/>
        </w:rPr>
        <w:t xml:space="preserve">. </w:t>
      </w:r>
    </w:p>
  </w:footnote>
  <w:footnote w:id="334">
    <w:p w:rsidR="005953C5" w:rsidRDefault="005953C5" w:rsidP="00620060">
      <w:pPr>
        <w:pStyle w:val="a3"/>
        <w:rPr>
          <w:rtl/>
        </w:rPr>
      </w:pPr>
      <w:r w:rsidRPr="00CE579D">
        <w:rPr>
          <w:rStyle w:val="a5"/>
          <w:sz w:val="18"/>
          <w:szCs w:val="18"/>
        </w:rPr>
        <w:footnoteRef/>
      </w:r>
      <w:r w:rsidRPr="00CE579D">
        <w:rPr>
          <w:sz w:val="18"/>
          <w:szCs w:val="18"/>
          <w:rtl/>
        </w:rPr>
        <w:t xml:space="preserve"> </w:t>
      </w:r>
      <w:r w:rsidRPr="00CE579D">
        <w:rPr>
          <w:rFonts w:hint="cs"/>
          <w:sz w:val="18"/>
          <w:szCs w:val="18"/>
          <w:rtl/>
        </w:rPr>
        <w:t xml:space="preserve">כך פירש </w:t>
      </w:r>
      <w:r w:rsidRPr="00CE579D">
        <w:rPr>
          <w:rFonts w:hint="cs"/>
          <w:b/>
          <w:bCs/>
          <w:sz w:val="18"/>
          <w:szCs w:val="18"/>
          <w:rtl/>
        </w:rPr>
        <w:t>הרמב"ם</w:t>
      </w:r>
      <w:r w:rsidRPr="00CE579D">
        <w:rPr>
          <w:rFonts w:hint="cs"/>
          <w:sz w:val="18"/>
          <w:szCs w:val="18"/>
          <w:rtl/>
        </w:rPr>
        <w:t xml:space="preserve">, שתחילה השאילה ואחר כך לבשה היא, בניגוד לפירוש </w:t>
      </w:r>
      <w:r w:rsidRPr="00CE579D">
        <w:rPr>
          <w:rFonts w:hint="cs"/>
          <w:b/>
          <w:bCs/>
          <w:sz w:val="18"/>
          <w:szCs w:val="18"/>
          <w:rtl/>
        </w:rPr>
        <w:t>הרשב"א</w:t>
      </w:r>
      <w:r w:rsidRPr="00CE579D">
        <w:rPr>
          <w:rFonts w:hint="cs"/>
          <w:sz w:val="18"/>
          <w:szCs w:val="18"/>
          <w:rtl/>
        </w:rPr>
        <w:t xml:space="preserve"> המפרש שתחילה לבשה היא ואחר כך השאילה לגויה. ולעניין דינא נראה שאין מחלוקת, ולכן </w:t>
      </w:r>
      <w:r w:rsidRPr="00CD3961">
        <w:rPr>
          <w:rFonts w:hint="cs"/>
          <w:b/>
          <w:bCs/>
          <w:sz w:val="18"/>
          <w:szCs w:val="18"/>
          <w:rtl/>
        </w:rPr>
        <w:t>הבית יוסף</w:t>
      </w:r>
      <w:r w:rsidRPr="00CE579D">
        <w:rPr>
          <w:rFonts w:hint="cs"/>
          <w:sz w:val="18"/>
          <w:szCs w:val="18"/>
          <w:rtl/>
        </w:rPr>
        <w:t xml:space="preserve"> לא דיבר מכך כלל, </w:t>
      </w:r>
      <w:r w:rsidRPr="00CE579D">
        <w:rPr>
          <w:rFonts w:hint="cs"/>
          <w:b/>
          <w:bCs/>
          <w:sz w:val="18"/>
          <w:szCs w:val="18"/>
          <w:rtl/>
        </w:rPr>
        <w:t>ובשו"ע</w:t>
      </w:r>
      <w:r w:rsidRPr="00CE579D">
        <w:rPr>
          <w:rFonts w:hint="cs"/>
          <w:sz w:val="18"/>
          <w:szCs w:val="18"/>
          <w:rtl/>
        </w:rPr>
        <w:t xml:space="preserve"> פסק כשניהם</w:t>
      </w:r>
      <w:r>
        <w:rPr>
          <w:rFonts w:hint="cs"/>
          <w:rtl/>
        </w:rPr>
        <w:t>.</w:t>
      </w:r>
    </w:p>
  </w:footnote>
  <w:footnote w:id="335">
    <w:p w:rsidR="005953C5" w:rsidRDefault="005953C5" w:rsidP="00620060">
      <w:pPr>
        <w:pStyle w:val="a3"/>
      </w:pPr>
      <w:r w:rsidRPr="00F014A7">
        <w:rPr>
          <w:rStyle w:val="a5"/>
          <w:sz w:val="18"/>
          <w:szCs w:val="18"/>
        </w:rPr>
        <w:footnoteRef/>
      </w:r>
      <w:r w:rsidRPr="00F014A7">
        <w:rPr>
          <w:sz w:val="18"/>
          <w:szCs w:val="18"/>
          <w:rtl/>
        </w:rPr>
        <w:t xml:space="preserve"> </w:t>
      </w:r>
      <w:r w:rsidRPr="00F014A7">
        <w:rPr>
          <w:rFonts w:hint="cs"/>
          <w:sz w:val="18"/>
          <w:szCs w:val="18"/>
          <w:rtl/>
        </w:rPr>
        <w:t xml:space="preserve">דין זה מבואר באורך לעיל סימן קיא'. דוגמה לכך היא </w:t>
      </w:r>
      <w:r w:rsidRPr="00F014A7">
        <w:rPr>
          <w:rFonts w:hint="cs"/>
          <w:b/>
          <w:bCs/>
          <w:sz w:val="18"/>
          <w:szCs w:val="18"/>
          <w:rtl/>
        </w:rPr>
        <w:t xml:space="preserve">הגמרא </w:t>
      </w:r>
      <w:r w:rsidRPr="00F014A7">
        <w:rPr>
          <w:rFonts w:hint="cs"/>
          <w:sz w:val="18"/>
          <w:szCs w:val="18"/>
          <w:rtl/>
        </w:rPr>
        <w:t>ב</w:t>
      </w:r>
      <w:r>
        <w:rPr>
          <w:rFonts w:hint="cs"/>
          <w:sz w:val="18"/>
          <w:szCs w:val="18"/>
          <w:rtl/>
        </w:rPr>
        <w:t>פ</w:t>
      </w:r>
      <w:r w:rsidRPr="00F014A7">
        <w:rPr>
          <w:rFonts w:hint="cs"/>
          <w:sz w:val="18"/>
          <w:szCs w:val="18"/>
          <w:rtl/>
        </w:rPr>
        <w:t>סחים (מד.) "</w:t>
      </w:r>
      <w:r w:rsidRPr="00F014A7">
        <w:rPr>
          <w:rFonts w:cs="Arial" w:hint="cs"/>
          <w:sz w:val="18"/>
          <w:szCs w:val="18"/>
          <w:rtl/>
        </w:rPr>
        <w:t>שתי</w:t>
      </w:r>
      <w:r w:rsidRPr="00F014A7">
        <w:rPr>
          <w:rFonts w:cs="Arial"/>
          <w:sz w:val="18"/>
          <w:szCs w:val="18"/>
          <w:rtl/>
        </w:rPr>
        <w:t xml:space="preserve"> </w:t>
      </w:r>
      <w:r w:rsidRPr="00F014A7">
        <w:rPr>
          <w:rFonts w:cs="Arial" w:hint="cs"/>
          <w:sz w:val="18"/>
          <w:szCs w:val="18"/>
          <w:rtl/>
        </w:rPr>
        <w:t>קופות</w:t>
      </w:r>
      <w:r w:rsidRPr="00F014A7">
        <w:rPr>
          <w:rFonts w:cs="Arial"/>
          <w:sz w:val="18"/>
          <w:szCs w:val="18"/>
          <w:rtl/>
        </w:rPr>
        <w:t xml:space="preserve">, </w:t>
      </w:r>
      <w:r w:rsidRPr="00F014A7">
        <w:rPr>
          <w:rFonts w:cs="Arial" w:hint="cs"/>
          <w:sz w:val="18"/>
          <w:szCs w:val="18"/>
          <w:rtl/>
        </w:rPr>
        <w:t>אחת</w:t>
      </w:r>
      <w:r w:rsidRPr="00F014A7">
        <w:rPr>
          <w:rFonts w:cs="Arial"/>
          <w:sz w:val="18"/>
          <w:szCs w:val="18"/>
          <w:rtl/>
        </w:rPr>
        <w:t xml:space="preserve"> </w:t>
      </w:r>
      <w:r w:rsidRPr="00F014A7">
        <w:rPr>
          <w:rFonts w:cs="Arial" w:hint="cs"/>
          <w:sz w:val="18"/>
          <w:szCs w:val="18"/>
          <w:rtl/>
        </w:rPr>
        <w:t>של</w:t>
      </w:r>
      <w:r w:rsidRPr="00F014A7">
        <w:rPr>
          <w:rFonts w:cs="Arial"/>
          <w:sz w:val="18"/>
          <w:szCs w:val="18"/>
          <w:rtl/>
        </w:rPr>
        <w:t xml:space="preserve"> </w:t>
      </w:r>
      <w:r w:rsidRPr="00F014A7">
        <w:rPr>
          <w:rFonts w:cs="Arial" w:hint="cs"/>
          <w:sz w:val="18"/>
          <w:szCs w:val="18"/>
          <w:rtl/>
        </w:rPr>
        <w:t>חולין</w:t>
      </w:r>
      <w:r w:rsidRPr="00F014A7">
        <w:rPr>
          <w:rFonts w:cs="Arial"/>
          <w:sz w:val="18"/>
          <w:szCs w:val="18"/>
          <w:rtl/>
        </w:rPr>
        <w:t xml:space="preserve"> </w:t>
      </w:r>
      <w:r w:rsidRPr="00F014A7">
        <w:rPr>
          <w:rFonts w:cs="Arial" w:hint="cs"/>
          <w:sz w:val="18"/>
          <w:szCs w:val="18"/>
          <w:rtl/>
        </w:rPr>
        <w:t>ואחת</w:t>
      </w:r>
      <w:r w:rsidRPr="00F014A7">
        <w:rPr>
          <w:rFonts w:cs="Arial"/>
          <w:sz w:val="18"/>
          <w:szCs w:val="18"/>
          <w:rtl/>
        </w:rPr>
        <w:t xml:space="preserve"> </w:t>
      </w:r>
      <w:r w:rsidRPr="00F014A7">
        <w:rPr>
          <w:rFonts w:cs="Arial" w:hint="cs"/>
          <w:sz w:val="18"/>
          <w:szCs w:val="18"/>
          <w:rtl/>
        </w:rPr>
        <w:t>של</w:t>
      </w:r>
      <w:r w:rsidRPr="00F014A7">
        <w:rPr>
          <w:rFonts w:cs="Arial"/>
          <w:sz w:val="18"/>
          <w:szCs w:val="18"/>
          <w:rtl/>
        </w:rPr>
        <w:t xml:space="preserve"> </w:t>
      </w:r>
      <w:r w:rsidRPr="00F014A7">
        <w:rPr>
          <w:rFonts w:cs="Arial" w:hint="cs"/>
          <w:sz w:val="18"/>
          <w:szCs w:val="18"/>
          <w:rtl/>
        </w:rPr>
        <w:t>תרומה</w:t>
      </w:r>
      <w:r w:rsidRPr="00F014A7">
        <w:rPr>
          <w:rFonts w:cs="Arial"/>
          <w:sz w:val="18"/>
          <w:szCs w:val="18"/>
          <w:rtl/>
        </w:rPr>
        <w:t xml:space="preserve">, </w:t>
      </w:r>
      <w:r w:rsidRPr="00F014A7">
        <w:rPr>
          <w:rFonts w:cs="Arial" w:hint="cs"/>
          <w:sz w:val="18"/>
          <w:szCs w:val="18"/>
          <w:rtl/>
        </w:rPr>
        <w:t>ולפניהם</w:t>
      </w:r>
      <w:r w:rsidRPr="00F014A7">
        <w:rPr>
          <w:rFonts w:cs="Arial"/>
          <w:sz w:val="18"/>
          <w:szCs w:val="18"/>
          <w:rtl/>
        </w:rPr>
        <w:t xml:space="preserve"> </w:t>
      </w:r>
      <w:r w:rsidRPr="00F014A7">
        <w:rPr>
          <w:rFonts w:cs="Arial" w:hint="cs"/>
          <w:sz w:val="18"/>
          <w:szCs w:val="18"/>
          <w:rtl/>
        </w:rPr>
        <w:t>שתי</w:t>
      </w:r>
      <w:r w:rsidRPr="00F014A7">
        <w:rPr>
          <w:rFonts w:cs="Arial"/>
          <w:sz w:val="18"/>
          <w:szCs w:val="18"/>
          <w:rtl/>
        </w:rPr>
        <w:t xml:space="preserve"> </w:t>
      </w:r>
      <w:r w:rsidRPr="00F014A7">
        <w:rPr>
          <w:rFonts w:cs="Arial" w:hint="cs"/>
          <w:sz w:val="18"/>
          <w:szCs w:val="18"/>
          <w:rtl/>
        </w:rPr>
        <w:t>סאין</w:t>
      </w:r>
      <w:r w:rsidRPr="00F014A7">
        <w:rPr>
          <w:rFonts w:cs="Arial"/>
          <w:sz w:val="18"/>
          <w:szCs w:val="18"/>
          <w:rtl/>
        </w:rPr>
        <w:t xml:space="preserve"> </w:t>
      </w:r>
      <w:r w:rsidRPr="00F014A7">
        <w:rPr>
          <w:rFonts w:cs="Arial" w:hint="cs"/>
          <w:sz w:val="18"/>
          <w:szCs w:val="18"/>
          <w:rtl/>
        </w:rPr>
        <w:t>אחת</w:t>
      </w:r>
      <w:r w:rsidRPr="00F014A7">
        <w:rPr>
          <w:rFonts w:cs="Arial"/>
          <w:sz w:val="18"/>
          <w:szCs w:val="18"/>
          <w:rtl/>
        </w:rPr>
        <w:t xml:space="preserve"> </w:t>
      </w:r>
      <w:r w:rsidRPr="00F014A7">
        <w:rPr>
          <w:rFonts w:cs="Arial" w:hint="cs"/>
          <w:sz w:val="18"/>
          <w:szCs w:val="18"/>
          <w:rtl/>
        </w:rPr>
        <w:t>של</w:t>
      </w:r>
      <w:r w:rsidRPr="00F014A7">
        <w:rPr>
          <w:rFonts w:cs="Arial"/>
          <w:sz w:val="18"/>
          <w:szCs w:val="18"/>
          <w:rtl/>
        </w:rPr>
        <w:t xml:space="preserve"> </w:t>
      </w:r>
      <w:r w:rsidRPr="00F014A7">
        <w:rPr>
          <w:rFonts w:cs="Arial" w:hint="cs"/>
          <w:sz w:val="18"/>
          <w:szCs w:val="18"/>
          <w:rtl/>
        </w:rPr>
        <w:t>חולין</w:t>
      </w:r>
      <w:r w:rsidRPr="00F014A7">
        <w:rPr>
          <w:rFonts w:cs="Arial"/>
          <w:sz w:val="18"/>
          <w:szCs w:val="18"/>
          <w:rtl/>
        </w:rPr>
        <w:t xml:space="preserve"> </w:t>
      </w:r>
      <w:r w:rsidRPr="00F014A7">
        <w:rPr>
          <w:rFonts w:cs="Arial" w:hint="cs"/>
          <w:sz w:val="18"/>
          <w:szCs w:val="18"/>
          <w:rtl/>
        </w:rPr>
        <w:t>ואחת</w:t>
      </w:r>
      <w:r w:rsidRPr="00F014A7">
        <w:rPr>
          <w:rFonts w:cs="Arial"/>
          <w:sz w:val="18"/>
          <w:szCs w:val="18"/>
          <w:rtl/>
        </w:rPr>
        <w:t xml:space="preserve"> </w:t>
      </w:r>
      <w:r w:rsidRPr="00F014A7">
        <w:rPr>
          <w:rFonts w:cs="Arial" w:hint="cs"/>
          <w:sz w:val="18"/>
          <w:szCs w:val="18"/>
          <w:rtl/>
        </w:rPr>
        <w:t>של</w:t>
      </w:r>
      <w:r w:rsidRPr="00F014A7">
        <w:rPr>
          <w:rFonts w:cs="Arial"/>
          <w:sz w:val="18"/>
          <w:szCs w:val="18"/>
          <w:rtl/>
        </w:rPr>
        <w:t xml:space="preserve"> </w:t>
      </w:r>
      <w:r w:rsidRPr="00F014A7">
        <w:rPr>
          <w:rFonts w:cs="Arial" w:hint="cs"/>
          <w:sz w:val="18"/>
          <w:szCs w:val="18"/>
          <w:rtl/>
        </w:rPr>
        <w:t>תרומה</w:t>
      </w:r>
      <w:r w:rsidRPr="00F014A7">
        <w:rPr>
          <w:rFonts w:cs="Arial"/>
          <w:sz w:val="18"/>
          <w:szCs w:val="18"/>
          <w:rtl/>
        </w:rPr>
        <w:t xml:space="preserve">, </w:t>
      </w:r>
      <w:r w:rsidRPr="00F014A7">
        <w:rPr>
          <w:rFonts w:cs="Arial" w:hint="cs"/>
          <w:sz w:val="18"/>
          <w:szCs w:val="18"/>
          <w:rtl/>
        </w:rPr>
        <w:t>ונפלו</w:t>
      </w:r>
      <w:r w:rsidRPr="00F014A7">
        <w:rPr>
          <w:rFonts w:cs="Arial"/>
          <w:sz w:val="18"/>
          <w:szCs w:val="18"/>
          <w:rtl/>
        </w:rPr>
        <w:t xml:space="preserve"> </w:t>
      </w:r>
      <w:r w:rsidRPr="00F014A7">
        <w:rPr>
          <w:rFonts w:cs="Arial" w:hint="cs"/>
          <w:sz w:val="18"/>
          <w:szCs w:val="18"/>
          <w:rtl/>
        </w:rPr>
        <w:t>אלו</w:t>
      </w:r>
      <w:r w:rsidRPr="00F014A7">
        <w:rPr>
          <w:rFonts w:cs="Arial"/>
          <w:sz w:val="18"/>
          <w:szCs w:val="18"/>
          <w:rtl/>
        </w:rPr>
        <w:t xml:space="preserve"> </w:t>
      </w:r>
      <w:r w:rsidRPr="00F014A7">
        <w:rPr>
          <w:rFonts w:cs="Arial" w:hint="cs"/>
          <w:sz w:val="18"/>
          <w:szCs w:val="18"/>
          <w:rtl/>
        </w:rPr>
        <w:t>לתוך</w:t>
      </w:r>
      <w:r w:rsidRPr="00F014A7">
        <w:rPr>
          <w:rFonts w:cs="Arial"/>
          <w:sz w:val="18"/>
          <w:szCs w:val="18"/>
          <w:rtl/>
        </w:rPr>
        <w:t xml:space="preserve"> </w:t>
      </w:r>
      <w:r w:rsidRPr="00F014A7">
        <w:rPr>
          <w:rFonts w:cs="Arial" w:hint="cs"/>
          <w:sz w:val="18"/>
          <w:szCs w:val="18"/>
          <w:rtl/>
        </w:rPr>
        <w:t>אלו</w:t>
      </w:r>
      <w:r w:rsidRPr="00F014A7">
        <w:rPr>
          <w:rFonts w:cs="Arial"/>
          <w:sz w:val="18"/>
          <w:szCs w:val="18"/>
          <w:rtl/>
        </w:rPr>
        <w:t xml:space="preserve"> - </w:t>
      </w:r>
      <w:r w:rsidRPr="00F014A7">
        <w:rPr>
          <w:rFonts w:cs="Arial" w:hint="cs"/>
          <w:sz w:val="18"/>
          <w:szCs w:val="18"/>
          <w:rtl/>
        </w:rPr>
        <w:t>מותרין</w:t>
      </w:r>
      <w:r w:rsidRPr="00F014A7">
        <w:rPr>
          <w:rFonts w:cs="Arial"/>
          <w:sz w:val="18"/>
          <w:szCs w:val="18"/>
          <w:rtl/>
        </w:rPr>
        <w:t xml:space="preserve">, </w:t>
      </w:r>
      <w:r w:rsidRPr="00F014A7">
        <w:rPr>
          <w:rFonts w:cs="Arial" w:hint="cs"/>
          <w:sz w:val="18"/>
          <w:szCs w:val="18"/>
          <w:rtl/>
        </w:rPr>
        <w:t>שאני</w:t>
      </w:r>
      <w:r w:rsidRPr="00F014A7">
        <w:rPr>
          <w:rFonts w:cs="Arial"/>
          <w:sz w:val="18"/>
          <w:szCs w:val="18"/>
          <w:rtl/>
        </w:rPr>
        <w:t xml:space="preserve"> </w:t>
      </w:r>
      <w:r w:rsidRPr="00F014A7">
        <w:rPr>
          <w:rFonts w:cs="Arial" w:hint="cs"/>
          <w:sz w:val="18"/>
          <w:szCs w:val="18"/>
          <w:rtl/>
        </w:rPr>
        <w:t>אומר</w:t>
      </w:r>
      <w:r w:rsidRPr="00F014A7">
        <w:rPr>
          <w:rFonts w:cs="Arial"/>
          <w:sz w:val="18"/>
          <w:szCs w:val="18"/>
          <w:rtl/>
        </w:rPr>
        <w:t xml:space="preserve">: </w:t>
      </w:r>
      <w:r w:rsidRPr="00F014A7">
        <w:rPr>
          <w:rFonts w:cs="Arial" w:hint="cs"/>
          <w:sz w:val="18"/>
          <w:szCs w:val="18"/>
          <w:rtl/>
        </w:rPr>
        <w:t>חולין</w:t>
      </w:r>
      <w:r w:rsidRPr="00F014A7">
        <w:rPr>
          <w:rFonts w:cs="Arial"/>
          <w:sz w:val="18"/>
          <w:szCs w:val="18"/>
          <w:rtl/>
        </w:rPr>
        <w:t xml:space="preserve"> </w:t>
      </w:r>
      <w:r w:rsidRPr="00F014A7">
        <w:rPr>
          <w:rFonts w:cs="Arial" w:hint="cs"/>
          <w:sz w:val="18"/>
          <w:szCs w:val="18"/>
          <w:rtl/>
        </w:rPr>
        <w:t>לתוך</w:t>
      </w:r>
      <w:r w:rsidRPr="00F014A7">
        <w:rPr>
          <w:rFonts w:cs="Arial"/>
          <w:sz w:val="18"/>
          <w:szCs w:val="18"/>
          <w:rtl/>
        </w:rPr>
        <w:t xml:space="preserve"> </w:t>
      </w:r>
      <w:r w:rsidRPr="00F014A7">
        <w:rPr>
          <w:rFonts w:cs="Arial" w:hint="cs"/>
          <w:sz w:val="18"/>
          <w:szCs w:val="18"/>
          <w:rtl/>
        </w:rPr>
        <w:t>חולין</w:t>
      </w:r>
      <w:r w:rsidRPr="00F014A7">
        <w:rPr>
          <w:rFonts w:cs="Arial"/>
          <w:sz w:val="18"/>
          <w:szCs w:val="18"/>
          <w:rtl/>
        </w:rPr>
        <w:t xml:space="preserve"> </w:t>
      </w:r>
      <w:r w:rsidRPr="00F014A7">
        <w:rPr>
          <w:rFonts w:cs="Arial" w:hint="cs"/>
          <w:sz w:val="18"/>
          <w:szCs w:val="18"/>
          <w:rtl/>
        </w:rPr>
        <w:t>נפלו</w:t>
      </w:r>
      <w:r w:rsidRPr="00F014A7">
        <w:rPr>
          <w:rFonts w:cs="Arial"/>
          <w:sz w:val="18"/>
          <w:szCs w:val="18"/>
          <w:rtl/>
        </w:rPr>
        <w:t xml:space="preserve">, </w:t>
      </w:r>
      <w:r w:rsidRPr="00F014A7">
        <w:rPr>
          <w:rFonts w:cs="Arial" w:hint="cs"/>
          <w:sz w:val="18"/>
          <w:szCs w:val="18"/>
          <w:rtl/>
        </w:rPr>
        <w:t>תרומה</w:t>
      </w:r>
      <w:r w:rsidRPr="00F014A7">
        <w:rPr>
          <w:rFonts w:cs="Arial"/>
          <w:sz w:val="18"/>
          <w:szCs w:val="18"/>
          <w:rtl/>
        </w:rPr>
        <w:t xml:space="preserve"> </w:t>
      </w:r>
      <w:r w:rsidRPr="00F014A7">
        <w:rPr>
          <w:rFonts w:cs="Arial" w:hint="cs"/>
          <w:sz w:val="18"/>
          <w:szCs w:val="18"/>
          <w:rtl/>
        </w:rPr>
        <w:t>לתוך</w:t>
      </w:r>
      <w:r w:rsidRPr="00F014A7">
        <w:rPr>
          <w:rFonts w:cs="Arial"/>
          <w:sz w:val="18"/>
          <w:szCs w:val="18"/>
          <w:rtl/>
        </w:rPr>
        <w:t xml:space="preserve"> </w:t>
      </w:r>
      <w:r w:rsidRPr="00F014A7">
        <w:rPr>
          <w:rFonts w:cs="Arial" w:hint="cs"/>
          <w:sz w:val="18"/>
          <w:szCs w:val="18"/>
          <w:rtl/>
        </w:rPr>
        <w:t>תרומה</w:t>
      </w:r>
      <w:r w:rsidRPr="00F014A7">
        <w:rPr>
          <w:rFonts w:cs="Arial"/>
          <w:sz w:val="18"/>
          <w:szCs w:val="18"/>
          <w:rtl/>
        </w:rPr>
        <w:t xml:space="preserve"> </w:t>
      </w:r>
      <w:r w:rsidRPr="00F014A7">
        <w:rPr>
          <w:rFonts w:cs="Arial" w:hint="cs"/>
          <w:sz w:val="18"/>
          <w:szCs w:val="18"/>
          <w:rtl/>
        </w:rPr>
        <w:t>נפלה</w:t>
      </w:r>
      <w:r>
        <w:rPr>
          <w:rFonts w:cs="Arial" w:hint="cs"/>
          <w:sz w:val="18"/>
          <w:szCs w:val="18"/>
          <w:rtl/>
        </w:rPr>
        <w:t xml:space="preserve">". </w:t>
      </w:r>
    </w:p>
  </w:footnote>
  <w:footnote w:id="336">
    <w:p w:rsidR="005953C5" w:rsidRDefault="005953C5" w:rsidP="00620060">
      <w:pPr>
        <w:pStyle w:val="a3"/>
      </w:pPr>
      <w:r w:rsidRPr="00760898">
        <w:rPr>
          <w:rStyle w:val="a5"/>
          <w:sz w:val="18"/>
          <w:szCs w:val="18"/>
        </w:rPr>
        <w:footnoteRef/>
      </w:r>
      <w:r w:rsidRPr="00760898">
        <w:rPr>
          <w:sz w:val="18"/>
          <w:szCs w:val="18"/>
          <w:rtl/>
        </w:rPr>
        <w:t xml:space="preserve"> </w:t>
      </w:r>
      <w:r>
        <w:rPr>
          <w:rFonts w:hint="cs"/>
          <w:b/>
          <w:bCs/>
          <w:sz w:val="18"/>
          <w:szCs w:val="18"/>
          <w:rtl/>
        </w:rPr>
        <w:t>ב"י</w:t>
      </w:r>
      <w:r w:rsidRPr="00760898">
        <w:rPr>
          <w:rFonts w:hint="cs"/>
          <w:sz w:val="18"/>
          <w:szCs w:val="18"/>
          <w:rtl/>
        </w:rPr>
        <w:t xml:space="preserve"> </w:t>
      </w:r>
      <w:r w:rsidRPr="00760898">
        <w:rPr>
          <w:sz w:val="18"/>
          <w:szCs w:val="18"/>
          <w:rtl/>
        </w:rPr>
        <w:t>–</w:t>
      </w:r>
      <w:r w:rsidRPr="00760898">
        <w:rPr>
          <w:rFonts w:hint="cs"/>
          <w:sz w:val="18"/>
          <w:szCs w:val="18"/>
          <w:rtl/>
        </w:rPr>
        <w:t xml:space="preserve"> לרמב"ם הסובר שבעילה על דם טוהר תלויה במנהג המקום, יש לומר שתולה ב</w:t>
      </w:r>
      <w:r>
        <w:rPr>
          <w:rFonts w:hint="cs"/>
          <w:sz w:val="18"/>
          <w:szCs w:val="18"/>
          <w:rtl/>
        </w:rPr>
        <w:t xml:space="preserve">ה אפילו במקום שנהגו בו </w:t>
      </w:r>
      <w:r w:rsidRPr="00760898">
        <w:rPr>
          <w:rFonts w:hint="cs"/>
          <w:sz w:val="18"/>
          <w:szCs w:val="18"/>
          <w:rtl/>
        </w:rPr>
        <w:t>איסור.</w:t>
      </w:r>
      <w:r w:rsidRPr="00760898">
        <w:rPr>
          <w:sz w:val="18"/>
          <w:szCs w:val="18"/>
          <w:rtl/>
        </w:rPr>
        <w:br/>
      </w:r>
      <w:r w:rsidRPr="00760898">
        <w:rPr>
          <w:rFonts w:hint="cs"/>
          <w:b/>
          <w:bCs/>
          <w:sz w:val="18"/>
          <w:szCs w:val="18"/>
          <w:rtl/>
        </w:rPr>
        <w:t xml:space="preserve">טעם </w:t>
      </w:r>
      <w:r w:rsidRPr="00760898">
        <w:rPr>
          <w:sz w:val="18"/>
          <w:szCs w:val="18"/>
          <w:rtl/>
        </w:rPr>
        <w:t>–</w:t>
      </w:r>
      <w:r>
        <w:rPr>
          <w:rFonts w:hint="cs"/>
          <w:sz w:val="18"/>
          <w:szCs w:val="18"/>
          <w:rtl/>
        </w:rPr>
        <w:t xml:space="preserve"> </w:t>
      </w:r>
      <w:r w:rsidRPr="00760898">
        <w:rPr>
          <w:rFonts w:hint="cs"/>
          <w:sz w:val="18"/>
          <w:szCs w:val="18"/>
          <w:rtl/>
        </w:rPr>
        <w:t xml:space="preserve">אם </w:t>
      </w:r>
      <w:r>
        <w:rPr>
          <w:rFonts w:hint="cs"/>
          <w:sz w:val="18"/>
          <w:szCs w:val="18"/>
          <w:rtl/>
        </w:rPr>
        <w:t xml:space="preserve">היא </w:t>
      </w:r>
      <w:r w:rsidRPr="00760898">
        <w:rPr>
          <w:rFonts w:hint="cs"/>
          <w:sz w:val="18"/>
          <w:szCs w:val="18"/>
          <w:rtl/>
        </w:rPr>
        <w:t>תלך למקום שנוהגים היתר יהיה מותר לה להיבעל, אם כן דינה כאשה שנמצאת במקום שנוהגים לבעול.</w:t>
      </w:r>
      <w:r w:rsidRPr="00760898">
        <w:rPr>
          <w:sz w:val="18"/>
          <w:szCs w:val="18"/>
          <w:rtl/>
        </w:rPr>
        <w:br/>
      </w:r>
      <w:r w:rsidRPr="005930EA">
        <w:rPr>
          <w:rFonts w:hint="cs"/>
          <w:b/>
          <w:bCs/>
          <w:sz w:val="18"/>
          <w:szCs w:val="18"/>
          <w:rtl/>
        </w:rPr>
        <w:t>ל</w:t>
      </w:r>
      <w:r w:rsidRPr="00760898">
        <w:rPr>
          <w:rFonts w:hint="cs"/>
          <w:b/>
          <w:bCs/>
          <w:sz w:val="18"/>
          <w:szCs w:val="18"/>
          <w:rtl/>
        </w:rPr>
        <w:t xml:space="preserve">חם ושמלה </w:t>
      </w:r>
      <w:r w:rsidRPr="00760898">
        <w:rPr>
          <w:sz w:val="18"/>
          <w:szCs w:val="18"/>
          <w:rtl/>
        </w:rPr>
        <w:t>–</w:t>
      </w:r>
      <w:r w:rsidRPr="00760898">
        <w:rPr>
          <w:rFonts w:hint="cs"/>
          <w:sz w:val="18"/>
          <w:szCs w:val="18"/>
          <w:rtl/>
        </w:rPr>
        <w:t xml:space="preserve"> סברת </w:t>
      </w:r>
      <w:r>
        <w:rPr>
          <w:rFonts w:hint="cs"/>
          <w:sz w:val="18"/>
          <w:szCs w:val="18"/>
          <w:rtl/>
        </w:rPr>
        <w:t>זו</w:t>
      </w:r>
      <w:r w:rsidRPr="00760898">
        <w:rPr>
          <w:rFonts w:hint="cs"/>
          <w:sz w:val="18"/>
          <w:szCs w:val="18"/>
          <w:rtl/>
        </w:rPr>
        <w:t xml:space="preserve"> דחו</w:t>
      </w:r>
      <w:r>
        <w:rPr>
          <w:rFonts w:hint="cs"/>
          <w:sz w:val="18"/>
          <w:szCs w:val="18"/>
          <w:rtl/>
        </w:rPr>
        <w:t>ק</w:t>
      </w:r>
      <w:r w:rsidRPr="00760898">
        <w:rPr>
          <w:rFonts w:hint="cs"/>
          <w:sz w:val="18"/>
          <w:szCs w:val="18"/>
          <w:rtl/>
        </w:rPr>
        <w:t>ה מאוד, וכי בשביל ספק זה של שמא תלך למקום שנוהגים בו היתר נתלה בו גם במקום שנוהגים בו איסור? ולכן יש לומר ש</w:t>
      </w:r>
      <w:r>
        <w:rPr>
          <w:rFonts w:hint="cs"/>
          <w:sz w:val="18"/>
          <w:szCs w:val="18"/>
          <w:rtl/>
        </w:rPr>
        <w:t>ל</w:t>
      </w:r>
      <w:r w:rsidRPr="00760898">
        <w:rPr>
          <w:rFonts w:hint="cs"/>
          <w:sz w:val="18"/>
          <w:szCs w:val="18"/>
          <w:rtl/>
        </w:rPr>
        <w:t>רמב"ם הכל תלוי במנהג המקום, ש</w:t>
      </w:r>
      <w:r>
        <w:rPr>
          <w:rFonts w:hint="cs"/>
          <w:sz w:val="18"/>
          <w:szCs w:val="18"/>
          <w:rtl/>
        </w:rPr>
        <w:t xml:space="preserve">רק </w:t>
      </w:r>
      <w:r w:rsidRPr="00760898">
        <w:rPr>
          <w:rFonts w:hint="cs"/>
          <w:sz w:val="18"/>
          <w:szCs w:val="18"/>
          <w:rtl/>
        </w:rPr>
        <w:t>אם נוהגים לבעול על דם טוהר יש לתלות בה.</w:t>
      </w:r>
    </w:p>
  </w:footnote>
  <w:footnote w:id="337">
    <w:p w:rsidR="005953C5" w:rsidRDefault="005953C5" w:rsidP="00620060">
      <w:pPr>
        <w:pStyle w:val="a3"/>
      </w:pPr>
      <w:r w:rsidRPr="00787A48">
        <w:rPr>
          <w:rStyle w:val="a5"/>
          <w:sz w:val="18"/>
          <w:szCs w:val="18"/>
        </w:rPr>
        <w:footnoteRef/>
      </w:r>
      <w:r w:rsidRPr="00787A48">
        <w:rPr>
          <w:sz w:val="18"/>
          <w:szCs w:val="18"/>
          <w:rtl/>
        </w:rPr>
        <w:t xml:space="preserve"> </w:t>
      </w:r>
      <w:r w:rsidRPr="00787A48">
        <w:rPr>
          <w:rFonts w:hint="cs"/>
          <w:b/>
          <w:bCs/>
          <w:sz w:val="18"/>
          <w:szCs w:val="18"/>
          <w:rtl/>
        </w:rPr>
        <w:t>דגמ"ר</w:t>
      </w:r>
      <w:r w:rsidRPr="00787A48">
        <w:rPr>
          <w:rFonts w:hint="cs"/>
          <w:sz w:val="18"/>
          <w:szCs w:val="18"/>
          <w:rtl/>
        </w:rPr>
        <w:t xml:space="preserve"> </w:t>
      </w:r>
      <w:r w:rsidRPr="00787A48">
        <w:rPr>
          <w:sz w:val="18"/>
          <w:szCs w:val="18"/>
          <w:rtl/>
        </w:rPr>
        <w:t>–</w:t>
      </w:r>
      <w:r w:rsidRPr="00787A48">
        <w:rPr>
          <w:rFonts w:hint="cs"/>
          <w:sz w:val="18"/>
          <w:szCs w:val="18"/>
          <w:rtl/>
        </w:rPr>
        <w:t xml:space="preserve"> צ"ע מדוע המחבר התנה דין זה דווקא בקטנה שלא ראתה מעולם, בגמרא ריש פרק תינוקת מבואר שתנאי זה נאמר דווקא לגבי נערה, אך בקטנה לא </w:t>
      </w:r>
      <w:r>
        <w:rPr>
          <w:rFonts w:hint="cs"/>
          <w:sz w:val="18"/>
          <w:szCs w:val="18"/>
          <w:rtl/>
        </w:rPr>
        <w:t>א</w:t>
      </w:r>
      <w:r w:rsidRPr="00787A48">
        <w:rPr>
          <w:rFonts w:hint="cs"/>
          <w:sz w:val="18"/>
          <w:szCs w:val="18"/>
          <w:rtl/>
        </w:rPr>
        <w:t xml:space="preserve">כפת לן אם ראתה פעם אחת, ובכל עניין הקלו בה </w:t>
      </w:r>
      <w:r w:rsidRPr="00787A48">
        <w:rPr>
          <w:rFonts w:hint="cs"/>
          <w:sz w:val="16"/>
          <w:szCs w:val="16"/>
          <w:rtl/>
        </w:rPr>
        <w:t xml:space="preserve">(מעיקר הדין) </w:t>
      </w:r>
      <w:r w:rsidRPr="00787A48">
        <w:rPr>
          <w:rFonts w:hint="cs"/>
          <w:sz w:val="18"/>
          <w:szCs w:val="18"/>
          <w:rtl/>
        </w:rPr>
        <w:t>עד שתחיה המכה.</w:t>
      </w:r>
    </w:p>
  </w:footnote>
  <w:footnote w:id="338">
    <w:p w:rsidR="005953C5" w:rsidRDefault="005953C5" w:rsidP="00620060">
      <w:pPr>
        <w:pStyle w:val="a3"/>
      </w:pPr>
      <w:r>
        <w:rPr>
          <w:b/>
          <w:bCs/>
          <w:sz w:val="18"/>
          <w:szCs w:val="18"/>
        </w:rPr>
        <w:t xml:space="preserve"> </w:t>
      </w:r>
      <w:r w:rsidRPr="00CE5D13">
        <w:rPr>
          <w:rStyle w:val="a5"/>
          <w:sz w:val="18"/>
          <w:szCs w:val="18"/>
        </w:rPr>
        <w:footnoteRef/>
      </w:r>
      <w:r w:rsidRPr="00CE5D13">
        <w:rPr>
          <w:rFonts w:hint="cs"/>
          <w:b/>
          <w:bCs/>
          <w:sz w:val="18"/>
          <w:szCs w:val="18"/>
          <w:rtl/>
        </w:rPr>
        <w:t>רשב"א</w:t>
      </w:r>
      <w:r>
        <w:rPr>
          <w:rFonts w:hint="cs"/>
          <w:sz w:val="18"/>
          <w:szCs w:val="18"/>
          <w:rtl/>
        </w:rPr>
        <w:t xml:space="preserve"> -</w:t>
      </w:r>
      <w:r w:rsidRPr="00CE5D13">
        <w:rPr>
          <w:sz w:val="18"/>
          <w:szCs w:val="18"/>
          <w:rtl/>
        </w:rPr>
        <w:t xml:space="preserve"> </w:t>
      </w:r>
      <w:r w:rsidRPr="00CE5D13">
        <w:rPr>
          <w:rFonts w:hint="cs"/>
          <w:sz w:val="18"/>
          <w:szCs w:val="18"/>
          <w:rtl/>
        </w:rPr>
        <w:t>וכן אם השאילה לה בשעה ששתיהן טהורות, ובזמן שהבגד שאול אצלה ראתה השואלת כתם בבגד אחר.</w:t>
      </w:r>
    </w:p>
  </w:footnote>
  <w:footnote w:id="339">
    <w:p w:rsidR="005953C5" w:rsidRDefault="005953C5" w:rsidP="00620060">
      <w:pPr>
        <w:pStyle w:val="a3"/>
      </w:pPr>
      <w:r w:rsidRPr="007831DC">
        <w:rPr>
          <w:rStyle w:val="a5"/>
          <w:sz w:val="18"/>
          <w:szCs w:val="18"/>
        </w:rPr>
        <w:footnoteRef/>
      </w:r>
      <w:r w:rsidRPr="007831DC">
        <w:rPr>
          <w:sz w:val="18"/>
          <w:szCs w:val="18"/>
          <w:rtl/>
        </w:rPr>
        <w:t xml:space="preserve"> </w:t>
      </w:r>
      <w:r w:rsidRPr="007831DC">
        <w:rPr>
          <w:rFonts w:hint="cs"/>
          <w:b/>
          <w:bCs/>
          <w:sz w:val="18"/>
          <w:szCs w:val="18"/>
          <w:rtl/>
        </w:rPr>
        <w:t>ש"ך</w:t>
      </w:r>
      <w:r w:rsidRPr="007831DC">
        <w:rPr>
          <w:rFonts w:hint="cs"/>
          <w:sz w:val="18"/>
          <w:szCs w:val="18"/>
          <w:rtl/>
        </w:rPr>
        <w:t xml:space="preserve"> </w:t>
      </w:r>
      <w:r w:rsidRPr="007831DC">
        <w:rPr>
          <w:sz w:val="18"/>
          <w:szCs w:val="18"/>
          <w:rtl/>
        </w:rPr>
        <w:t>–</w:t>
      </w:r>
      <w:r w:rsidRPr="007831DC">
        <w:rPr>
          <w:rFonts w:hint="cs"/>
          <w:sz w:val="18"/>
          <w:szCs w:val="18"/>
          <w:rtl/>
        </w:rPr>
        <w:t xml:space="preserve"> זו ואין צריך לומר זו קתני, כלומר, אינה תולה את הכתם אפילו בשואלת ששאלה בשעה שהיא טמאה, ואם כן כל שכן שאינה תולה בשואלת שבשעה שנולד הספק עדיין אינה יודעת שהיא טמאה.</w:t>
      </w:r>
    </w:p>
  </w:footnote>
  <w:footnote w:id="340">
    <w:p w:rsidR="005953C5" w:rsidRDefault="005953C5" w:rsidP="00620060">
      <w:pPr>
        <w:pStyle w:val="a3"/>
      </w:pPr>
      <w:r w:rsidRPr="000A305E">
        <w:rPr>
          <w:rStyle w:val="a5"/>
          <w:sz w:val="18"/>
          <w:szCs w:val="18"/>
        </w:rPr>
        <w:footnoteRef/>
      </w:r>
      <w:r w:rsidRPr="000A305E">
        <w:rPr>
          <w:sz w:val="18"/>
          <w:szCs w:val="18"/>
          <w:rtl/>
        </w:rPr>
        <w:t xml:space="preserve"> </w:t>
      </w:r>
      <w:r w:rsidRPr="000A305E">
        <w:rPr>
          <w:rFonts w:hint="cs"/>
          <w:b/>
          <w:bCs/>
          <w:sz w:val="18"/>
          <w:szCs w:val="18"/>
          <w:rtl/>
        </w:rPr>
        <w:t>ש"ך</w:t>
      </w:r>
      <w:r w:rsidRPr="000A305E">
        <w:rPr>
          <w:rFonts w:hint="cs"/>
          <w:sz w:val="18"/>
          <w:szCs w:val="18"/>
          <w:rtl/>
        </w:rPr>
        <w:t xml:space="preserve"> </w:t>
      </w:r>
      <w:r w:rsidRPr="000A305E">
        <w:rPr>
          <w:sz w:val="18"/>
          <w:szCs w:val="18"/>
          <w:rtl/>
        </w:rPr>
        <w:t>–</w:t>
      </w:r>
      <w:r w:rsidRPr="000A305E">
        <w:rPr>
          <w:rFonts w:hint="cs"/>
          <w:sz w:val="18"/>
          <w:szCs w:val="18"/>
          <w:rtl/>
        </w:rPr>
        <w:t xml:space="preserve"> אע"פ שכתם הוא גזרת חכמים, וקיי"ל ספק דרבנן לקולא, מכל מקום כאן אין להקל ולתלות באחת, כיוון ש'מה ראית' לטמא אחת ולטהר את חברתה? ולכן שתיהן טמאות.</w:t>
      </w:r>
    </w:p>
  </w:footnote>
  <w:footnote w:id="341">
    <w:p w:rsidR="005953C5" w:rsidRDefault="005953C5" w:rsidP="00620060">
      <w:pPr>
        <w:pStyle w:val="a3"/>
      </w:pPr>
      <w:r w:rsidRPr="004E61E7">
        <w:rPr>
          <w:rStyle w:val="a5"/>
          <w:sz w:val="18"/>
          <w:szCs w:val="18"/>
        </w:rPr>
        <w:footnoteRef/>
      </w:r>
      <w:r w:rsidRPr="004E61E7">
        <w:rPr>
          <w:sz w:val="18"/>
          <w:szCs w:val="18"/>
          <w:rtl/>
        </w:rPr>
        <w:t xml:space="preserve"> </w:t>
      </w:r>
      <w:r w:rsidRPr="004E61E7">
        <w:rPr>
          <w:rFonts w:hint="cs"/>
          <w:sz w:val="18"/>
          <w:szCs w:val="18"/>
          <w:rtl/>
        </w:rPr>
        <w:t xml:space="preserve">קשה שהרי ממה נפשך כעת היא טמאה, שהרי אפילו אם תתלה בזמן שלא היתה מעוברת יוצא שכעת היא טמאה! </w:t>
      </w:r>
      <w:r w:rsidRPr="004E61E7">
        <w:rPr>
          <w:sz w:val="18"/>
          <w:szCs w:val="18"/>
          <w:rtl/>
        </w:rPr>
        <w:br/>
      </w:r>
      <w:r w:rsidRPr="004E61E7">
        <w:rPr>
          <w:rFonts w:hint="cs"/>
          <w:b/>
          <w:bCs/>
          <w:sz w:val="18"/>
          <w:szCs w:val="18"/>
          <w:rtl/>
        </w:rPr>
        <w:t>בדה"ש</w:t>
      </w:r>
      <w:r w:rsidRPr="004E61E7">
        <w:rPr>
          <w:rFonts w:hint="cs"/>
          <w:sz w:val="18"/>
          <w:szCs w:val="18"/>
          <w:rtl/>
        </w:rPr>
        <w:t xml:space="preserve"> </w:t>
      </w:r>
      <w:r w:rsidRPr="004E61E7">
        <w:rPr>
          <w:sz w:val="18"/>
          <w:szCs w:val="18"/>
          <w:rtl/>
        </w:rPr>
        <w:t>–</w:t>
      </w:r>
      <w:r w:rsidRPr="004E61E7">
        <w:rPr>
          <w:rFonts w:hint="cs"/>
          <w:sz w:val="18"/>
          <w:szCs w:val="18"/>
          <w:rtl/>
        </w:rPr>
        <w:t xml:space="preserve"> מדובר שבית שתי הלבישות היא היתה טמאה וספרה ז"נ וטבלה, ולכן מועיל לה לתלות בזמן שלפני עיבורה.</w:t>
      </w:r>
    </w:p>
  </w:footnote>
  <w:footnote w:id="342">
    <w:p w:rsidR="005953C5" w:rsidRDefault="005953C5" w:rsidP="00620060">
      <w:pPr>
        <w:pStyle w:val="a3"/>
        <w:rPr>
          <w:rtl/>
        </w:rPr>
      </w:pPr>
      <w:r w:rsidRPr="00342D8D">
        <w:rPr>
          <w:rStyle w:val="a5"/>
          <w:sz w:val="18"/>
          <w:szCs w:val="18"/>
        </w:rPr>
        <w:footnoteRef/>
      </w:r>
      <w:r w:rsidRPr="00342D8D">
        <w:rPr>
          <w:sz w:val="18"/>
          <w:szCs w:val="18"/>
          <w:rtl/>
        </w:rPr>
        <w:t xml:space="preserve"> </w:t>
      </w:r>
      <w:r w:rsidRPr="00342D8D">
        <w:rPr>
          <w:rFonts w:hint="cs"/>
          <w:b/>
          <w:bCs/>
          <w:sz w:val="18"/>
          <w:szCs w:val="18"/>
          <w:rtl/>
        </w:rPr>
        <w:t>רש"י</w:t>
      </w:r>
      <w:r w:rsidRPr="00342D8D">
        <w:rPr>
          <w:rFonts w:hint="cs"/>
          <w:sz w:val="18"/>
          <w:szCs w:val="18"/>
          <w:rtl/>
        </w:rPr>
        <w:t xml:space="preserve"> </w:t>
      </w:r>
      <w:r w:rsidRPr="00342D8D">
        <w:rPr>
          <w:sz w:val="18"/>
          <w:szCs w:val="18"/>
          <w:rtl/>
        </w:rPr>
        <w:t>–</w:t>
      </w:r>
      <w:r w:rsidRPr="00342D8D">
        <w:rPr>
          <w:rFonts w:hint="cs"/>
          <w:sz w:val="18"/>
          <w:szCs w:val="18"/>
          <w:rtl/>
        </w:rPr>
        <w:t xml:space="preserve"> כתם מעלה גלד בשעת כביסה, ולכן אם מגליד טהורה. מקדיר, היינו שהכתם נכנס עמוק בתוך הבגד והוא סימן שהכתם חדש ולא עבר כביסה.</w:t>
      </w:r>
      <w:r w:rsidRPr="00342D8D">
        <w:rPr>
          <w:sz w:val="18"/>
          <w:szCs w:val="18"/>
          <w:rtl/>
        </w:rPr>
        <w:br/>
      </w:r>
      <w:r w:rsidRPr="00342D8D">
        <w:rPr>
          <w:rFonts w:hint="cs"/>
          <w:sz w:val="18"/>
          <w:szCs w:val="18"/>
          <w:rtl/>
        </w:rPr>
        <w:t xml:space="preserve">ברם, ראשונים רבים מפרשים הפוך מרש"י, ואף </w:t>
      </w:r>
      <w:r w:rsidRPr="00342D8D">
        <w:rPr>
          <w:rFonts w:hint="cs"/>
          <w:b/>
          <w:bCs/>
          <w:sz w:val="18"/>
          <w:szCs w:val="18"/>
          <w:rtl/>
        </w:rPr>
        <w:t>הרש"ש</w:t>
      </w:r>
      <w:r w:rsidRPr="00342D8D">
        <w:rPr>
          <w:rFonts w:hint="cs"/>
          <w:sz w:val="18"/>
          <w:szCs w:val="18"/>
          <w:rtl/>
        </w:rPr>
        <w:t xml:space="preserve"> פירש ברש"י באופן הפוך, כך שפירושו מתאים לשאר הראשונים.</w:t>
      </w:r>
    </w:p>
  </w:footnote>
  <w:footnote w:id="343">
    <w:p w:rsidR="005953C5" w:rsidRDefault="005953C5" w:rsidP="00620060">
      <w:pPr>
        <w:pStyle w:val="a3"/>
      </w:pPr>
      <w:r w:rsidRPr="00273244">
        <w:rPr>
          <w:rStyle w:val="a5"/>
          <w:sz w:val="18"/>
          <w:szCs w:val="18"/>
        </w:rPr>
        <w:footnoteRef/>
      </w:r>
      <w:r w:rsidRPr="00273244">
        <w:rPr>
          <w:sz w:val="18"/>
          <w:szCs w:val="18"/>
          <w:rtl/>
        </w:rPr>
        <w:t xml:space="preserve"> </w:t>
      </w:r>
      <w:r w:rsidRPr="00273244">
        <w:rPr>
          <w:rFonts w:hint="cs"/>
          <w:b/>
          <w:bCs/>
          <w:sz w:val="18"/>
          <w:szCs w:val="18"/>
          <w:rtl/>
        </w:rPr>
        <w:t>הרמב"ם</w:t>
      </w:r>
      <w:r w:rsidRPr="00273244">
        <w:rPr>
          <w:rFonts w:hint="cs"/>
          <w:sz w:val="18"/>
          <w:szCs w:val="18"/>
          <w:rtl/>
        </w:rPr>
        <w:t xml:space="preserve"> כתב זאת רק בהלכות מטמאי משכב ומושב ולא בהלכות כתמים, אלא </w:t>
      </w:r>
      <w:r w:rsidRPr="00273244">
        <w:rPr>
          <w:rFonts w:hint="cs"/>
          <w:b/>
          <w:bCs/>
          <w:sz w:val="18"/>
          <w:szCs w:val="18"/>
          <w:rtl/>
        </w:rPr>
        <w:t>שהבית יוסף</w:t>
      </w:r>
      <w:r w:rsidRPr="00273244">
        <w:rPr>
          <w:rFonts w:hint="cs"/>
          <w:sz w:val="18"/>
          <w:szCs w:val="18"/>
          <w:rtl/>
        </w:rPr>
        <w:t xml:space="preserve"> הבין שהוא הדין לגבי תליית כתם.</w:t>
      </w:r>
    </w:p>
  </w:footnote>
  <w:footnote w:id="344">
    <w:p w:rsidR="005953C5" w:rsidRDefault="005953C5" w:rsidP="00620060">
      <w:pPr>
        <w:pStyle w:val="a3"/>
      </w:pPr>
      <w:r w:rsidRPr="00584289">
        <w:rPr>
          <w:rStyle w:val="a5"/>
          <w:sz w:val="18"/>
          <w:szCs w:val="18"/>
        </w:rPr>
        <w:footnoteRef/>
      </w:r>
      <w:r w:rsidRPr="00584289">
        <w:rPr>
          <w:sz w:val="18"/>
          <w:szCs w:val="18"/>
          <w:rtl/>
        </w:rPr>
        <w:t xml:space="preserve"> </w:t>
      </w:r>
      <w:r w:rsidRPr="00584289">
        <w:rPr>
          <w:rFonts w:hint="cs"/>
          <w:sz w:val="18"/>
          <w:szCs w:val="18"/>
          <w:rtl/>
        </w:rPr>
        <w:t xml:space="preserve">דברי </w:t>
      </w:r>
      <w:r w:rsidRPr="00584289">
        <w:rPr>
          <w:rFonts w:hint="cs"/>
          <w:b/>
          <w:bCs/>
          <w:sz w:val="18"/>
          <w:szCs w:val="18"/>
          <w:rtl/>
        </w:rPr>
        <w:t>הש"ך</w:t>
      </w:r>
      <w:r w:rsidRPr="00584289">
        <w:rPr>
          <w:rFonts w:hint="cs"/>
          <w:sz w:val="18"/>
          <w:szCs w:val="18"/>
          <w:rtl/>
        </w:rPr>
        <w:t xml:space="preserve"> אינם ברורים די הצורך, וכפי שהקשה גם </w:t>
      </w:r>
      <w:r w:rsidRPr="00584289">
        <w:rPr>
          <w:rFonts w:hint="cs"/>
          <w:b/>
          <w:bCs/>
          <w:sz w:val="18"/>
          <w:szCs w:val="18"/>
          <w:rtl/>
        </w:rPr>
        <w:t xml:space="preserve">הסד"ט </w:t>
      </w:r>
      <w:r w:rsidRPr="00584289">
        <w:rPr>
          <w:sz w:val="18"/>
          <w:szCs w:val="18"/>
          <w:rtl/>
        </w:rPr>
        <w:t>–</w:t>
      </w:r>
      <w:r w:rsidRPr="00584289">
        <w:rPr>
          <w:rFonts w:hint="cs"/>
          <w:sz w:val="18"/>
          <w:szCs w:val="18"/>
          <w:rtl/>
        </w:rPr>
        <w:t xml:space="preserve"> אם הכובסות אינן מקפידות לומר לבעלות החלוק שיש כתם, הרי שזו סברה לטהר, משום שייתכן שהכתם ישן והכובסת לא אמרה לה זאת</w:t>
      </w:r>
      <w:r>
        <w:rPr>
          <w:rFonts w:hint="cs"/>
          <w:sz w:val="18"/>
          <w:szCs w:val="18"/>
          <w:rtl/>
        </w:rPr>
        <w:t xml:space="preserve">, ועיין </w:t>
      </w:r>
      <w:r w:rsidRPr="00584289">
        <w:rPr>
          <w:rFonts w:hint="cs"/>
          <w:b/>
          <w:bCs/>
          <w:sz w:val="18"/>
          <w:szCs w:val="18"/>
          <w:rtl/>
        </w:rPr>
        <w:t>ששבה"ל</w:t>
      </w:r>
      <w:r w:rsidRPr="00584289">
        <w:rPr>
          <w:rFonts w:hint="cs"/>
          <w:sz w:val="18"/>
          <w:szCs w:val="18"/>
          <w:rtl/>
        </w:rPr>
        <w:t>.</w:t>
      </w:r>
    </w:p>
  </w:footnote>
  <w:footnote w:id="345">
    <w:p w:rsidR="005953C5" w:rsidRDefault="005953C5" w:rsidP="00620060">
      <w:pPr>
        <w:pStyle w:val="a3"/>
      </w:pPr>
      <w:r w:rsidRPr="00DC56A9">
        <w:rPr>
          <w:rStyle w:val="a5"/>
          <w:sz w:val="18"/>
          <w:szCs w:val="18"/>
        </w:rPr>
        <w:footnoteRef/>
      </w:r>
      <w:r w:rsidRPr="00DC56A9">
        <w:rPr>
          <w:sz w:val="18"/>
          <w:szCs w:val="18"/>
          <w:rtl/>
        </w:rPr>
        <w:t xml:space="preserve"> </w:t>
      </w:r>
      <w:r w:rsidRPr="00DC56A9">
        <w:rPr>
          <w:rFonts w:hint="cs"/>
          <w:sz w:val="18"/>
          <w:szCs w:val="18"/>
          <w:rtl/>
        </w:rPr>
        <w:t xml:space="preserve">עיקר דין זה לעיל בסעיף </w:t>
      </w:r>
      <w:r>
        <w:rPr>
          <w:rFonts w:hint="cs"/>
          <w:sz w:val="18"/>
          <w:szCs w:val="18"/>
          <w:rtl/>
        </w:rPr>
        <w:t>טו</w:t>
      </w:r>
      <w:r w:rsidRPr="00DC56A9">
        <w:rPr>
          <w:rFonts w:hint="cs"/>
          <w:sz w:val="18"/>
          <w:szCs w:val="18"/>
          <w:rtl/>
        </w:rPr>
        <w:t>', עיין שם.</w:t>
      </w:r>
    </w:p>
  </w:footnote>
  <w:footnote w:id="346">
    <w:p w:rsidR="005953C5" w:rsidRDefault="005953C5" w:rsidP="00620060">
      <w:pPr>
        <w:pStyle w:val="a3"/>
      </w:pPr>
      <w:r w:rsidRPr="004E0A2C">
        <w:rPr>
          <w:rStyle w:val="a5"/>
          <w:sz w:val="18"/>
          <w:szCs w:val="18"/>
        </w:rPr>
        <w:footnoteRef/>
      </w:r>
      <w:r w:rsidRPr="004E0A2C">
        <w:rPr>
          <w:rFonts w:hint="cs"/>
          <w:sz w:val="18"/>
          <w:szCs w:val="18"/>
          <w:rtl/>
        </w:rPr>
        <w:t xml:space="preserve"> </w:t>
      </w:r>
      <w:r w:rsidRPr="004E0A2C">
        <w:rPr>
          <w:rFonts w:hint="cs"/>
          <w:b/>
          <w:bCs/>
          <w:sz w:val="18"/>
          <w:szCs w:val="18"/>
          <w:rtl/>
        </w:rPr>
        <w:t>בית יוסף</w:t>
      </w:r>
      <w:r w:rsidRPr="004E0A2C">
        <w:rPr>
          <w:rFonts w:hint="cs"/>
          <w:sz w:val="18"/>
          <w:szCs w:val="18"/>
          <w:rtl/>
        </w:rPr>
        <w:t xml:space="preserve"> - </w:t>
      </w:r>
      <w:r w:rsidRPr="004E0A2C">
        <w:rPr>
          <w:sz w:val="18"/>
          <w:szCs w:val="18"/>
          <w:rtl/>
        </w:rPr>
        <w:t xml:space="preserve"> </w:t>
      </w:r>
      <w:r w:rsidRPr="004E0A2C">
        <w:rPr>
          <w:rFonts w:hint="cs"/>
          <w:sz w:val="18"/>
          <w:szCs w:val="18"/>
          <w:rtl/>
        </w:rPr>
        <w:t xml:space="preserve">קטע גמרא זה נאמר רק על המשנה הראשונה </w:t>
      </w:r>
      <w:r>
        <w:rPr>
          <w:rFonts w:hint="cs"/>
          <w:sz w:val="18"/>
          <w:szCs w:val="18"/>
          <w:rtl/>
        </w:rPr>
        <w:t>"</w:t>
      </w:r>
      <w:r w:rsidRPr="004E0A2C">
        <w:rPr>
          <w:rFonts w:hint="cs"/>
          <w:sz w:val="18"/>
          <w:szCs w:val="18"/>
          <w:rtl/>
        </w:rPr>
        <w:t xml:space="preserve">בדקה אחת ומצאה </w:t>
      </w:r>
      <w:r w:rsidRPr="004E0A2C">
        <w:rPr>
          <w:rFonts w:hint="cs"/>
          <w:sz w:val="18"/>
          <w:szCs w:val="18"/>
          <w:u w:val="single"/>
          <w:rtl/>
        </w:rPr>
        <w:t>טמאה</w:t>
      </w:r>
      <w:r>
        <w:rPr>
          <w:rFonts w:hint="cs"/>
          <w:sz w:val="18"/>
          <w:szCs w:val="18"/>
          <w:rtl/>
        </w:rPr>
        <w:t>"</w:t>
      </w:r>
      <w:r w:rsidRPr="004E0A2C">
        <w:rPr>
          <w:rFonts w:hint="cs"/>
          <w:sz w:val="18"/>
          <w:szCs w:val="18"/>
          <w:rtl/>
        </w:rPr>
        <w:t xml:space="preserve">, אלא שהראשונים מבינים שהוא הדין לגבי </w:t>
      </w:r>
      <w:r>
        <w:rPr>
          <w:rFonts w:hint="cs"/>
          <w:sz w:val="18"/>
          <w:szCs w:val="18"/>
          <w:rtl/>
        </w:rPr>
        <w:t>"</w:t>
      </w:r>
      <w:r w:rsidRPr="004E0A2C">
        <w:rPr>
          <w:rFonts w:hint="cs"/>
          <w:sz w:val="18"/>
          <w:szCs w:val="18"/>
          <w:rtl/>
        </w:rPr>
        <w:t xml:space="preserve">בדקה ומצאה </w:t>
      </w:r>
      <w:r w:rsidRPr="004E0A2C">
        <w:rPr>
          <w:rFonts w:hint="cs"/>
          <w:sz w:val="18"/>
          <w:szCs w:val="18"/>
          <w:u w:val="single"/>
          <w:rtl/>
        </w:rPr>
        <w:t>טהורה</w:t>
      </w:r>
      <w:r>
        <w:rPr>
          <w:rFonts w:hint="cs"/>
          <w:sz w:val="18"/>
          <w:szCs w:val="18"/>
          <w:rtl/>
        </w:rPr>
        <w:t>"</w:t>
      </w:r>
      <w:r w:rsidRPr="004E0A2C">
        <w:rPr>
          <w:rFonts w:hint="cs"/>
          <w:sz w:val="18"/>
          <w:szCs w:val="18"/>
          <w:rtl/>
        </w:rPr>
        <w:t xml:space="preserve">, דמאי שנא?  </w:t>
      </w:r>
    </w:p>
  </w:footnote>
  <w:footnote w:id="347">
    <w:p w:rsidR="005953C5" w:rsidRDefault="005953C5" w:rsidP="00620060">
      <w:pPr>
        <w:pStyle w:val="a3"/>
        <w:rPr>
          <w:rtl/>
        </w:rPr>
      </w:pPr>
      <w:r w:rsidRPr="00C36E5B">
        <w:rPr>
          <w:rStyle w:val="a5"/>
          <w:sz w:val="18"/>
          <w:szCs w:val="18"/>
        </w:rPr>
        <w:footnoteRef/>
      </w:r>
      <w:r w:rsidRPr="00C36E5B">
        <w:rPr>
          <w:sz w:val="18"/>
          <w:szCs w:val="18"/>
          <w:rtl/>
        </w:rPr>
        <w:t xml:space="preserve"> </w:t>
      </w:r>
      <w:r w:rsidRPr="00C36E5B">
        <w:rPr>
          <w:rFonts w:hint="cs"/>
          <w:sz w:val="18"/>
          <w:szCs w:val="18"/>
          <w:rtl/>
        </w:rPr>
        <w:t xml:space="preserve">וכיצד יש ליישב את שיטת רבי אושעיא </w:t>
      </w:r>
      <w:r w:rsidRPr="00C36E5B">
        <w:rPr>
          <w:rFonts w:hint="cs"/>
          <w:b/>
          <w:bCs/>
          <w:sz w:val="18"/>
          <w:szCs w:val="18"/>
          <w:rtl/>
        </w:rPr>
        <w:t>שהרא"ש</w:t>
      </w:r>
      <w:r w:rsidRPr="00C36E5B">
        <w:rPr>
          <w:rFonts w:hint="cs"/>
          <w:sz w:val="18"/>
          <w:szCs w:val="18"/>
          <w:rtl/>
        </w:rPr>
        <w:t xml:space="preserve">, לקמן, פוסק כמותו? </w:t>
      </w:r>
      <w:r>
        <w:rPr>
          <w:sz w:val="18"/>
          <w:szCs w:val="18"/>
          <w:rtl/>
        </w:rPr>
        <w:br/>
      </w:r>
      <w:r w:rsidRPr="00C36E5B">
        <w:rPr>
          <w:rFonts w:hint="cs"/>
          <w:b/>
          <w:bCs/>
          <w:sz w:val="18"/>
          <w:szCs w:val="18"/>
          <w:rtl/>
        </w:rPr>
        <w:t>מהרש"א</w:t>
      </w:r>
      <w:r w:rsidRPr="00C36E5B">
        <w:rPr>
          <w:rFonts w:hint="cs"/>
          <w:sz w:val="18"/>
          <w:szCs w:val="18"/>
          <w:rtl/>
        </w:rPr>
        <w:t xml:space="preserve"> </w:t>
      </w:r>
      <w:r w:rsidRPr="00C36E5B">
        <w:rPr>
          <w:sz w:val="18"/>
          <w:szCs w:val="18"/>
          <w:rtl/>
        </w:rPr>
        <w:t>–</w:t>
      </w:r>
      <w:r w:rsidRPr="00C36E5B">
        <w:rPr>
          <w:rFonts w:hint="cs"/>
          <w:sz w:val="18"/>
          <w:szCs w:val="18"/>
          <w:rtl/>
        </w:rPr>
        <w:t xml:space="preserve"> יש לומר שבכתמים הקלו חכמים לסמוך על בדיקה זו לחלוטין.</w:t>
      </w:r>
    </w:p>
  </w:footnote>
  <w:footnote w:id="348">
    <w:p w:rsidR="005953C5" w:rsidRDefault="005953C5" w:rsidP="00620060">
      <w:pPr>
        <w:pStyle w:val="a3"/>
      </w:pPr>
      <w:r w:rsidRPr="00905DA1">
        <w:rPr>
          <w:rStyle w:val="a5"/>
          <w:sz w:val="18"/>
          <w:szCs w:val="18"/>
        </w:rPr>
        <w:footnoteRef/>
      </w:r>
      <w:r w:rsidRPr="00905DA1">
        <w:rPr>
          <w:sz w:val="18"/>
          <w:szCs w:val="18"/>
          <w:rtl/>
        </w:rPr>
        <w:t xml:space="preserve"> </w:t>
      </w:r>
      <w:r w:rsidRPr="00905DA1">
        <w:rPr>
          <w:rFonts w:hint="cs"/>
          <w:sz w:val="18"/>
          <w:szCs w:val="18"/>
          <w:rtl/>
        </w:rPr>
        <w:t xml:space="preserve">כפי שמשמע יותר בפשט הגמרא, שדברי רב יהודה מוסבים רק על הרישא במשנה "בדקה </w:t>
      </w:r>
      <w:r w:rsidRPr="00905DA1">
        <w:rPr>
          <w:rFonts w:cs="Arial"/>
          <w:sz w:val="18"/>
          <w:szCs w:val="18"/>
          <w:rtl/>
        </w:rPr>
        <w:t>ונמצאת טמאה</w:t>
      </w:r>
      <w:r w:rsidRPr="00905DA1">
        <w:rPr>
          <w:rFonts w:hint="cs"/>
          <w:sz w:val="18"/>
          <w:szCs w:val="18"/>
          <w:rtl/>
        </w:rPr>
        <w:t>".</w:t>
      </w:r>
    </w:p>
  </w:footnote>
  <w:footnote w:id="349">
    <w:p w:rsidR="005953C5" w:rsidRPr="00C963F1" w:rsidRDefault="005953C5" w:rsidP="00620060">
      <w:pPr>
        <w:pStyle w:val="a3"/>
        <w:rPr>
          <w:sz w:val="18"/>
          <w:szCs w:val="18"/>
        </w:rPr>
      </w:pPr>
      <w:r w:rsidRPr="00C963F1">
        <w:rPr>
          <w:rStyle w:val="a5"/>
          <w:sz w:val="18"/>
          <w:szCs w:val="18"/>
        </w:rPr>
        <w:footnoteRef/>
      </w:r>
      <w:r w:rsidRPr="00C963F1">
        <w:rPr>
          <w:sz w:val="18"/>
          <w:szCs w:val="18"/>
          <w:rtl/>
        </w:rPr>
        <w:t xml:space="preserve"> </w:t>
      </w:r>
      <w:r w:rsidRPr="00C963F1">
        <w:rPr>
          <w:rFonts w:hint="cs"/>
          <w:b/>
          <w:bCs/>
          <w:sz w:val="18"/>
          <w:szCs w:val="18"/>
          <w:rtl/>
        </w:rPr>
        <w:t>ש"ך</w:t>
      </w:r>
      <w:r w:rsidRPr="00C963F1">
        <w:rPr>
          <w:rFonts w:hint="cs"/>
          <w:sz w:val="18"/>
          <w:szCs w:val="18"/>
          <w:rtl/>
        </w:rPr>
        <w:t xml:space="preserve"> </w:t>
      </w:r>
      <w:r w:rsidRPr="00C963F1">
        <w:rPr>
          <w:sz w:val="18"/>
          <w:szCs w:val="18"/>
          <w:rtl/>
        </w:rPr>
        <w:t>–</w:t>
      </w:r>
      <w:r w:rsidRPr="00C963F1">
        <w:rPr>
          <w:rFonts w:hint="cs"/>
          <w:sz w:val="18"/>
          <w:szCs w:val="18"/>
          <w:rtl/>
        </w:rPr>
        <w:t xml:space="preserve"> אפילו אם לילדה יש ווסת קבוע וכתם זה נמצא שלא בשעת ווסתה, מכל מקום תולים בה.</w:t>
      </w:r>
    </w:p>
  </w:footnote>
  <w:footnote w:id="350">
    <w:p w:rsidR="005953C5" w:rsidRDefault="005953C5" w:rsidP="00620060">
      <w:pPr>
        <w:pStyle w:val="a3"/>
      </w:pPr>
      <w:r w:rsidRPr="00C963F1">
        <w:rPr>
          <w:rStyle w:val="a5"/>
          <w:sz w:val="18"/>
          <w:szCs w:val="18"/>
        </w:rPr>
        <w:footnoteRef/>
      </w:r>
      <w:r w:rsidRPr="00C963F1">
        <w:rPr>
          <w:sz w:val="18"/>
          <w:szCs w:val="18"/>
          <w:rtl/>
        </w:rPr>
        <w:t xml:space="preserve"> </w:t>
      </w:r>
      <w:r w:rsidRPr="00C963F1">
        <w:rPr>
          <w:rFonts w:hint="cs"/>
          <w:b/>
          <w:bCs/>
          <w:sz w:val="18"/>
          <w:szCs w:val="18"/>
          <w:rtl/>
        </w:rPr>
        <w:t>רש"י</w:t>
      </w:r>
      <w:r w:rsidRPr="00C963F1">
        <w:rPr>
          <w:rFonts w:hint="cs"/>
          <w:sz w:val="18"/>
          <w:szCs w:val="18"/>
          <w:rtl/>
        </w:rPr>
        <w:t xml:space="preserve"> </w:t>
      </w:r>
      <w:r w:rsidRPr="00C963F1">
        <w:rPr>
          <w:sz w:val="18"/>
          <w:szCs w:val="18"/>
          <w:rtl/>
        </w:rPr>
        <w:t>–</w:t>
      </w:r>
      <w:r w:rsidRPr="00C963F1">
        <w:rPr>
          <w:rFonts w:hint="cs"/>
          <w:sz w:val="18"/>
          <w:szCs w:val="18"/>
          <w:rtl/>
        </w:rPr>
        <w:t xml:space="preserve"> אפילו היא נשואה, וכ"כ </w:t>
      </w:r>
      <w:r w:rsidRPr="00C963F1">
        <w:rPr>
          <w:rFonts w:hint="cs"/>
          <w:b/>
          <w:bCs/>
          <w:sz w:val="18"/>
          <w:szCs w:val="18"/>
          <w:rtl/>
        </w:rPr>
        <w:t>הש"ך</w:t>
      </w:r>
      <w:r w:rsidRPr="00C963F1">
        <w:rPr>
          <w:rFonts w:hint="cs"/>
          <w:sz w:val="18"/>
          <w:szCs w:val="18"/>
          <w:rtl/>
        </w:rPr>
        <w:t>.</w:t>
      </w:r>
    </w:p>
  </w:footnote>
  <w:footnote w:id="351">
    <w:p w:rsidR="005953C5" w:rsidRDefault="005953C5" w:rsidP="00620060">
      <w:pPr>
        <w:pStyle w:val="a3"/>
        <w:rPr>
          <w:rtl/>
        </w:rPr>
      </w:pPr>
      <w:r w:rsidRPr="00061220">
        <w:rPr>
          <w:rStyle w:val="a5"/>
          <w:sz w:val="18"/>
          <w:szCs w:val="18"/>
        </w:rPr>
        <w:footnoteRef/>
      </w:r>
      <w:r w:rsidRPr="00061220">
        <w:rPr>
          <w:sz w:val="18"/>
          <w:szCs w:val="18"/>
          <w:rtl/>
        </w:rPr>
        <w:t xml:space="preserve"> </w:t>
      </w:r>
      <w:r w:rsidRPr="00061220">
        <w:rPr>
          <w:rFonts w:hint="cs"/>
          <w:sz w:val="18"/>
          <w:szCs w:val="18"/>
          <w:rtl/>
        </w:rPr>
        <w:t xml:space="preserve">דין זה אינו מובן דיו, ובפרט למ"ד ווסתות דאורייתא </w:t>
      </w:r>
      <w:r>
        <w:rPr>
          <w:rFonts w:hint="cs"/>
          <w:sz w:val="18"/>
          <w:szCs w:val="18"/>
          <w:rtl/>
        </w:rPr>
        <w:t>ד</w:t>
      </w:r>
      <w:r w:rsidRPr="00061220">
        <w:rPr>
          <w:rFonts w:hint="cs"/>
          <w:sz w:val="18"/>
          <w:szCs w:val="18"/>
          <w:rtl/>
        </w:rPr>
        <w:t>חשבינן לה כאילו ראתה בוודאי,</w:t>
      </w:r>
      <w:r>
        <w:rPr>
          <w:rFonts w:hint="cs"/>
          <w:sz w:val="18"/>
          <w:szCs w:val="18"/>
          <w:rtl/>
        </w:rPr>
        <w:t xml:space="preserve"> </w:t>
      </w:r>
      <w:r w:rsidRPr="00061220">
        <w:rPr>
          <w:rFonts w:hint="cs"/>
          <w:sz w:val="18"/>
          <w:szCs w:val="18"/>
          <w:rtl/>
        </w:rPr>
        <w:t xml:space="preserve">ואפילו למ"ד </w:t>
      </w:r>
      <w:r>
        <w:rPr>
          <w:rFonts w:hint="cs"/>
          <w:sz w:val="18"/>
          <w:szCs w:val="18"/>
          <w:rtl/>
        </w:rPr>
        <w:t>ווסתות דרבנן מכל מקום בשעת ווסת</w:t>
      </w:r>
      <w:r w:rsidRPr="00061220">
        <w:rPr>
          <w:rFonts w:hint="cs"/>
          <w:sz w:val="18"/>
          <w:szCs w:val="18"/>
          <w:rtl/>
        </w:rPr>
        <w:t>ה הדמים מצויים בה יותר, ולכל הפחות יש לדון אותה כבתולה שנב</w:t>
      </w:r>
      <w:r>
        <w:rPr>
          <w:rFonts w:hint="cs"/>
          <w:sz w:val="18"/>
          <w:szCs w:val="18"/>
          <w:rtl/>
        </w:rPr>
        <w:t>על</w:t>
      </w:r>
      <w:r w:rsidRPr="00061220">
        <w:rPr>
          <w:rFonts w:hint="cs"/>
          <w:sz w:val="18"/>
          <w:szCs w:val="18"/>
          <w:rtl/>
        </w:rPr>
        <w:t xml:space="preserve">ה ודמיה טהורים שתולים בה, כדלעיל, כן הקשה </w:t>
      </w:r>
      <w:r w:rsidRPr="00061220">
        <w:rPr>
          <w:rFonts w:hint="cs"/>
          <w:b/>
          <w:bCs/>
          <w:sz w:val="18"/>
          <w:szCs w:val="18"/>
          <w:rtl/>
        </w:rPr>
        <w:t>הפרדס רימונים</w:t>
      </w:r>
      <w:r w:rsidRPr="00061220">
        <w:rPr>
          <w:rFonts w:hint="cs"/>
          <w:sz w:val="18"/>
          <w:szCs w:val="18"/>
          <w:rtl/>
        </w:rPr>
        <w:t xml:space="preserve">, עיי"ש. ואכן, דעת </w:t>
      </w:r>
      <w:r w:rsidRPr="00061220">
        <w:rPr>
          <w:rFonts w:hint="cs"/>
          <w:b/>
          <w:bCs/>
          <w:sz w:val="18"/>
          <w:szCs w:val="18"/>
          <w:rtl/>
        </w:rPr>
        <w:t>המאירי</w:t>
      </w:r>
      <w:r w:rsidRPr="00061220">
        <w:rPr>
          <w:rFonts w:hint="cs"/>
          <w:sz w:val="18"/>
          <w:szCs w:val="18"/>
          <w:rtl/>
        </w:rPr>
        <w:t xml:space="preserve"> שיש לתלות במי שהגיע שעת ווסתה, הו"ד </w:t>
      </w:r>
      <w:r w:rsidRPr="00061220">
        <w:rPr>
          <w:rFonts w:hint="cs"/>
          <w:b/>
          <w:bCs/>
          <w:sz w:val="18"/>
          <w:szCs w:val="18"/>
          <w:rtl/>
        </w:rPr>
        <w:t>בששבה"ל</w:t>
      </w:r>
      <w:r w:rsidRPr="00061220">
        <w:rPr>
          <w:rFonts w:hint="cs"/>
          <w:sz w:val="18"/>
          <w:szCs w:val="18"/>
          <w:rtl/>
        </w:rPr>
        <w:t>.</w:t>
      </w:r>
    </w:p>
  </w:footnote>
  <w:footnote w:id="352">
    <w:p w:rsidR="005953C5" w:rsidRDefault="005953C5" w:rsidP="00620060">
      <w:pPr>
        <w:pStyle w:val="a3"/>
        <w:rPr>
          <w:rtl/>
        </w:rPr>
      </w:pPr>
      <w:r w:rsidRPr="00384127">
        <w:rPr>
          <w:rStyle w:val="a5"/>
          <w:sz w:val="18"/>
          <w:szCs w:val="18"/>
        </w:rPr>
        <w:footnoteRef/>
      </w:r>
      <w:r w:rsidRPr="00384127">
        <w:rPr>
          <w:sz w:val="18"/>
          <w:szCs w:val="18"/>
          <w:rtl/>
        </w:rPr>
        <w:t xml:space="preserve"> </w:t>
      </w:r>
      <w:r>
        <w:rPr>
          <w:rFonts w:hint="cs"/>
          <w:sz w:val="18"/>
          <w:szCs w:val="18"/>
          <w:rtl/>
        </w:rPr>
        <w:t>כעין דין זה נפסק להדיא לעיל בסעיף מד', שיכולה לתלות את הכתם בזמן שהיתה נידה</w:t>
      </w:r>
      <w:r w:rsidRPr="00384127">
        <w:rPr>
          <w:rFonts w:hint="cs"/>
          <w:sz w:val="18"/>
          <w:szCs w:val="18"/>
          <w:rtl/>
        </w:rPr>
        <w:t>.</w:t>
      </w:r>
    </w:p>
  </w:footnote>
  <w:footnote w:id="353">
    <w:p w:rsidR="005953C5" w:rsidRDefault="005953C5" w:rsidP="00620060">
      <w:pPr>
        <w:pStyle w:val="a3"/>
      </w:pPr>
      <w:r w:rsidRPr="00912147">
        <w:rPr>
          <w:rStyle w:val="a5"/>
          <w:sz w:val="18"/>
          <w:szCs w:val="18"/>
        </w:rPr>
        <w:footnoteRef/>
      </w:r>
      <w:r w:rsidRPr="00912147">
        <w:rPr>
          <w:sz w:val="18"/>
          <w:szCs w:val="18"/>
          <w:rtl/>
        </w:rPr>
        <w:t xml:space="preserve"> </w:t>
      </w:r>
      <w:r w:rsidRPr="00912147">
        <w:rPr>
          <w:rFonts w:hint="cs"/>
          <w:sz w:val="18"/>
          <w:szCs w:val="18"/>
          <w:rtl/>
        </w:rPr>
        <w:t xml:space="preserve">הט"ז מוכיח את דבריו מדברי </w:t>
      </w:r>
      <w:r w:rsidRPr="00912147">
        <w:rPr>
          <w:rFonts w:hint="cs"/>
          <w:b/>
          <w:bCs/>
          <w:sz w:val="18"/>
          <w:szCs w:val="18"/>
          <w:rtl/>
        </w:rPr>
        <w:t>השו"ע</w:t>
      </w:r>
      <w:r w:rsidRPr="00912147">
        <w:rPr>
          <w:rFonts w:hint="cs"/>
          <w:sz w:val="18"/>
          <w:szCs w:val="18"/>
          <w:rtl/>
        </w:rPr>
        <w:t xml:space="preserve"> בחו"מ </w:t>
      </w:r>
      <w:r w:rsidRPr="00912147">
        <w:rPr>
          <w:rFonts w:hint="cs"/>
          <w:sz w:val="16"/>
          <w:szCs w:val="16"/>
          <w:rtl/>
        </w:rPr>
        <w:t xml:space="preserve">(עט, יא) </w:t>
      </w:r>
      <w:r w:rsidRPr="00912147">
        <w:rPr>
          <w:sz w:val="18"/>
          <w:szCs w:val="18"/>
          <w:rtl/>
        </w:rPr>
        <w:t>–</w:t>
      </w:r>
      <w:r w:rsidRPr="00912147">
        <w:rPr>
          <w:rFonts w:hint="cs"/>
          <w:sz w:val="18"/>
          <w:szCs w:val="18"/>
          <w:rtl/>
        </w:rPr>
        <w:t xml:space="preserve"> "</w:t>
      </w:r>
      <w:r w:rsidRPr="00912147">
        <w:rPr>
          <w:rFonts w:cs="Arial"/>
          <w:sz w:val="18"/>
          <w:szCs w:val="18"/>
          <w:rtl/>
        </w:rPr>
        <w:t xml:space="preserve">אמר לו: מנה הלויתיך בצד עמוד פלוני, השיבו: לא עברתי בצד עמוד פלוני מעולם, ובאו עדים שעבר בצדו, אבל לא ראו שהלוהו, לא הוחזק כפרן, </w:t>
      </w:r>
      <w:r w:rsidRPr="00912147">
        <w:rPr>
          <w:rFonts w:cs="Arial"/>
          <w:sz w:val="18"/>
          <w:szCs w:val="18"/>
          <w:u w:val="single"/>
          <w:rtl/>
        </w:rPr>
        <w:t>דמלתא דלא רמיא עליה אמר ולאו אדעתיה</w:t>
      </w:r>
      <w:r w:rsidRPr="00912147">
        <w:rPr>
          <w:rFonts w:cs="Arial" w:hint="cs"/>
          <w:sz w:val="18"/>
          <w:szCs w:val="18"/>
          <w:rtl/>
        </w:rPr>
        <w:t>".</w:t>
      </w:r>
    </w:p>
  </w:footnote>
  <w:footnote w:id="354">
    <w:p w:rsidR="005953C5" w:rsidRDefault="005953C5" w:rsidP="00620060">
      <w:pPr>
        <w:pStyle w:val="a3"/>
      </w:pPr>
      <w:r w:rsidRPr="009057D3">
        <w:rPr>
          <w:rStyle w:val="a5"/>
          <w:sz w:val="18"/>
          <w:szCs w:val="18"/>
        </w:rPr>
        <w:footnoteRef/>
      </w:r>
      <w:r w:rsidRPr="009057D3">
        <w:rPr>
          <w:sz w:val="18"/>
          <w:szCs w:val="18"/>
          <w:rtl/>
        </w:rPr>
        <w:t xml:space="preserve"> </w:t>
      </w:r>
      <w:r w:rsidRPr="009057D3">
        <w:rPr>
          <w:rFonts w:hint="cs"/>
          <w:b/>
          <w:bCs/>
          <w:sz w:val="18"/>
          <w:szCs w:val="18"/>
          <w:rtl/>
        </w:rPr>
        <w:t>טהרת הבית</w:t>
      </w:r>
      <w:r w:rsidRPr="009057D3">
        <w:rPr>
          <w:rFonts w:hint="cs"/>
          <w:sz w:val="18"/>
          <w:szCs w:val="18"/>
          <w:rtl/>
        </w:rPr>
        <w:t xml:space="preserve"> </w:t>
      </w:r>
      <w:r w:rsidRPr="009057D3">
        <w:rPr>
          <w:sz w:val="18"/>
          <w:szCs w:val="18"/>
          <w:rtl/>
        </w:rPr>
        <w:t>–</w:t>
      </w:r>
      <w:r w:rsidRPr="009057D3">
        <w:rPr>
          <w:rFonts w:hint="cs"/>
          <w:sz w:val="18"/>
          <w:szCs w:val="18"/>
          <w:rtl/>
        </w:rPr>
        <w:t xml:space="preserve"> מדובר בבדיקה פנימית עמוקה, אך קינוח בעלמא אינו </w:t>
      </w:r>
      <w:r>
        <w:rPr>
          <w:rFonts w:hint="cs"/>
          <w:sz w:val="18"/>
          <w:szCs w:val="18"/>
          <w:rtl/>
        </w:rPr>
        <w:t>כ</w:t>
      </w:r>
      <w:r w:rsidRPr="009057D3">
        <w:rPr>
          <w:rFonts w:hint="cs"/>
          <w:sz w:val="18"/>
          <w:szCs w:val="18"/>
          <w:rtl/>
        </w:rPr>
        <w:t>לום אפילו בעד בדוק, ואין חוששים לו כלל.</w:t>
      </w:r>
    </w:p>
  </w:footnote>
  <w:footnote w:id="355">
    <w:p w:rsidR="005953C5" w:rsidRDefault="005953C5" w:rsidP="00620060">
      <w:pPr>
        <w:pStyle w:val="a3"/>
        <w:rPr>
          <w:rtl/>
        </w:rPr>
      </w:pPr>
      <w:r w:rsidRPr="00BC0CF1">
        <w:rPr>
          <w:rStyle w:val="a5"/>
          <w:sz w:val="18"/>
          <w:szCs w:val="18"/>
        </w:rPr>
        <w:footnoteRef/>
      </w:r>
      <w:r w:rsidRPr="00BC0CF1">
        <w:rPr>
          <w:sz w:val="18"/>
          <w:szCs w:val="18"/>
          <w:rtl/>
        </w:rPr>
        <w:t xml:space="preserve"> </w:t>
      </w:r>
      <w:r w:rsidRPr="00BC0CF1">
        <w:rPr>
          <w:rFonts w:hint="cs"/>
          <w:sz w:val="18"/>
          <w:szCs w:val="18"/>
          <w:rtl/>
        </w:rPr>
        <w:t xml:space="preserve">כפי שבהתעסקה בתרנגולת תולים להקל את כל הכתמים שנמצאים בחלוקה, כך הדין </w:t>
      </w:r>
      <w:r>
        <w:rPr>
          <w:rFonts w:hint="cs"/>
          <w:sz w:val="18"/>
          <w:szCs w:val="18"/>
          <w:rtl/>
        </w:rPr>
        <w:t xml:space="preserve">גם </w:t>
      </w:r>
      <w:r w:rsidRPr="00BC0CF1">
        <w:rPr>
          <w:rFonts w:hint="cs"/>
          <w:sz w:val="18"/>
          <w:szCs w:val="18"/>
          <w:rtl/>
        </w:rPr>
        <w:t>לאידך גיסא.</w:t>
      </w:r>
    </w:p>
  </w:footnote>
  <w:footnote w:id="356">
    <w:p w:rsidR="005953C5" w:rsidRDefault="005953C5" w:rsidP="00620060">
      <w:pPr>
        <w:pStyle w:val="a3"/>
        <w:rPr>
          <w:rtl/>
        </w:rPr>
      </w:pPr>
      <w:r w:rsidRPr="00E62A89">
        <w:rPr>
          <w:rStyle w:val="a5"/>
          <w:sz w:val="18"/>
          <w:szCs w:val="18"/>
        </w:rPr>
        <w:footnoteRef/>
      </w:r>
      <w:r w:rsidRPr="00E62A89">
        <w:rPr>
          <w:sz w:val="18"/>
          <w:szCs w:val="18"/>
          <w:rtl/>
        </w:rPr>
        <w:t xml:space="preserve"> </w:t>
      </w:r>
      <w:r w:rsidRPr="00E62A89">
        <w:rPr>
          <w:rFonts w:hint="cs"/>
          <w:b/>
          <w:bCs/>
          <w:sz w:val="18"/>
          <w:szCs w:val="18"/>
          <w:rtl/>
        </w:rPr>
        <w:t>הט"ז</w:t>
      </w:r>
      <w:r w:rsidRPr="00E62A89">
        <w:rPr>
          <w:rFonts w:hint="cs"/>
          <w:sz w:val="18"/>
          <w:szCs w:val="18"/>
          <w:rtl/>
        </w:rPr>
        <w:t xml:space="preserve"> מוכיח את דבריו - </w:t>
      </w:r>
      <w:r w:rsidRPr="00E62A89">
        <w:rPr>
          <w:rFonts w:hint="cs"/>
          <w:b/>
          <w:bCs/>
          <w:sz w:val="18"/>
          <w:szCs w:val="18"/>
          <w:rtl/>
        </w:rPr>
        <w:t xml:space="preserve">משנה </w:t>
      </w:r>
      <w:r w:rsidRPr="00E62A89">
        <w:rPr>
          <w:rFonts w:hint="cs"/>
          <w:sz w:val="18"/>
          <w:szCs w:val="18"/>
          <w:rtl/>
        </w:rPr>
        <w:t>נדה (ס: - סא.) "</w:t>
      </w:r>
      <w:r w:rsidRPr="00E62A89">
        <w:rPr>
          <w:rFonts w:cs="Arial"/>
          <w:sz w:val="18"/>
          <w:szCs w:val="18"/>
          <w:rtl/>
        </w:rPr>
        <w:t>של</w:t>
      </w:r>
      <w:r w:rsidRPr="00E62A89">
        <w:rPr>
          <w:rFonts w:cs="Arial" w:hint="cs"/>
          <w:sz w:val="18"/>
          <w:szCs w:val="18"/>
          <w:rtl/>
        </w:rPr>
        <w:t>ו</w:t>
      </w:r>
      <w:r w:rsidRPr="00E62A89">
        <w:rPr>
          <w:rFonts w:cs="Arial"/>
          <w:sz w:val="18"/>
          <w:szCs w:val="18"/>
          <w:rtl/>
        </w:rPr>
        <w:t xml:space="preserve">ש נשים שהיו ישנות במטה אחת, ונמצא דם תחת אחת מהן - כולן טמאות. בדקה אחת מהן ונמצאת </w:t>
      </w:r>
      <w:r w:rsidRPr="00E62A89">
        <w:rPr>
          <w:rFonts w:cs="Arial"/>
          <w:sz w:val="18"/>
          <w:szCs w:val="18"/>
          <w:u w:val="single"/>
          <w:rtl/>
        </w:rPr>
        <w:t>טמאה</w:t>
      </w:r>
      <w:r w:rsidRPr="00E62A89">
        <w:rPr>
          <w:rFonts w:cs="Arial"/>
          <w:sz w:val="18"/>
          <w:szCs w:val="18"/>
          <w:rtl/>
        </w:rPr>
        <w:t xml:space="preserve"> - היא טמאה ושתיהן טהורות</w:t>
      </w:r>
      <w:r w:rsidRPr="00E62A89">
        <w:rPr>
          <w:rFonts w:hint="cs"/>
          <w:sz w:val="18"/>
          <w:szCs w:val="18"/>
          <w:rtl/>
        </w:rPr>
        <w:t>".</w:t>
      </w:r>
      <w:r w:rsidRPr="00E62A89">
        <w:rPr>
          <w:sz w:val="18"/>
          <w:szCs w:val="18"/>
          <w:rtl/>
        </w:rPr>
        <w:br/>
      </w:r>
      <w:r w:rsidRPr="00E62A89">
        <w:rPr>
          <w:rFonts w:hint="cs"/>
          <w:sz w:val="18"/>
          <w:szCs w:val="18"/>
          <w:rtl/>
        </w:rPr>
        <w:t xml:space="preserve">לדברי </w:t>
      </w:r>
      <w:r w:rsidRPr="00E62A89">
        <w:rPr>
          <w:rFonts w:hint="cs"/>
          <w:b/>
          <w:bCs/>
          <w:sz w:val="18"/>
          <w:szCs w:val="18"/>
          <w:rtl/>
        </w:rPr>
        <w:t>הרמ"א</w:t>
      </w:r>
      <w:r w:rsidRPr="00E62A89">
        <w:rPr>
          <w:rFonts w:hint="cs"/>
          <w:sz w:val="18"/>
          <w:szCs w:val="18"/>
          <w:rtl/>
        </w:rPr>
        <w:t xml:space="preserve"> אפילו אם בדקה עצמה ומצאה מראה </w:t>
      </w:r>
      <w:r w:rsidRPr="00E62A89">
        <w:rPr>
          <w:rFonts w:hint="cs"/>
          <w:sz w:val="18"/>
          <w:szCs w:val="18"/>
          <w:u w:val="single"/>
          <w:rtl/>
        </w:rPr>
        <w:t>טהור</w:t>
      </w:r>
      <w:r w:rsidRPr="00E62A89">
        <w:rPr>
          <w:rFonts w:hint="cs"/>
          <w:sz w:val="18"/>
          <w:szCs w:val="18"/>
          <w:rtl/>
        </w:rPr>
        <w:t xml:space="preserve"> יש לטהר את שאר הנשים, משום שזו הוחזקה בפתיחת המקור וממילא יש לתלות בה את המראה הטמא!</w:t>
      </w:r>
      <w:r>
        <w:rPr>
          <w:rtl/>
        </w:rPr>
        <w:br/>
      </w:r>
      <w:r w:rsidRPr="00A31F38">
        <w:rPr>
          <w:rFonts w:hint="cs"/>
          <w:sz w:val="18"/>
          <w:szCs w:val="18"/>
          <w:rtl/>
        </w:rPr>
        <w:t xml:space="preserve">ראיה נוספת - </w:t>
      </w:r>
      <w:r w:rsidRPr="00A31F38">
        <w:rPr>
          <w:rFonts w:hint="cs"/>
          <w:b/>
          <w:bCs/>
          <w:sz w:val="18"/>
          <w:szCs w:val="18"/>
          <w:rtl/>
        </w:rPr>
        <w:t xml:space="preserve">משנה </w:t>
      </w:r>
      <w:r w:rsidRPr="00A31F38">
        <w:rPr>
          <w:rFonts w:hint="cs"/>
          <w:sz w:val="18"/>
          <w:szCs w:val="18"/>
          <w:rtl/>
        </w:rPr>
        <w:t>(שם, נח:) "</w:t>
      </w:r>
      <w:r w:rsidRPr="00A31F38">
        <w:rPr>
          <w:rFonts w:cs="Arial"/>
          <w:sz w:val="18"/>
          <w:szCs w:val="18"/>
          <w:rtl/>
        </w:rPr>
        <w:t>מעשה באשה אחת שבאת לפני ר</w:t>
      </w:r>
      <w:r w:rsidRPr="00A31F38">
        <w:rPr>
          <w:rFonts w:cs="Arial" w:hint="cs"/>
          <w:sz w:val="18"/>
          <w:szCs w:val="18"/>
          <w:rtl/>
        </w:rPr>
        <w:t xml:space="preserve">בי </w:t>
      </w:r>
      <w:r w:rsidRPr="00A31F38">
        <w:rPr>
          <w:rFonts w:cs="Arial"/>
          <w:sz w:val="18"/>
          <w:szCs w:val="18"/>
          <w:rtl/>
        </w:rPr>
        <w:t>ע</w:t>
      </w:r>
      <w:r w:rsidRPr="00A31F38">
        <w:rPr>
          <w:rFonts w:cs="Arial" w:hint="cs"/>
          <w:sz w:val="18"/>
          <w:szCs w:val="18"/>
          <w:rtl/>
        </w:rPr>
        <w:t>קיבא</w:t>
      </w:r>
      <w:r w:rsidRPr="00A31F38">
        <w:rPr>
          <w:rFonts w:cs="Arial"/>
          <w:sz w:val="18"/>
          <w:szCs w:val="18"/>
          <w:rtl/>
        </w:rPr>
        <w:t>, אמרה לו: ראיתי כתם. אמר לה: שמא מכה היתה ביך? אמרה לו: הן, וחיתה. אמר לה: שמא יכולה להגלע ולהוציא דם? אמרה לו: הן. וטהרה ר</w:t>
      </w:r>
      <w:r w:rsidRPr="00A31F38">
        <w:rPr>
          <w:rFonts w:cs="Arial" w:hint="cs"/>
          <w:sz w:val="18"/>
          <w:szCs w:val="18"/>
          <w:rtl/>
        </w:rPr>
        <w:t xml:space="preserve">בי </w:t>
      </w:r>
      <w:r w:rsidRPr="00A31F38">
        <w:rPr>
          <w:rFonts w:cs="Arial"/>
          <w:sz w:val="18"/>
          <w:szCs w:val="18"/>
          <w:rtl/>
        </w:rPr>
        <w:t>ע</w:t>
      </w:r>
      <w:r w:rsidRPr="00A31F38">
        <w:rPr>
          <w:rFonts w:cs="Arial" w:hint="cs"/>
          <w:sz w:val="18"/>
          <w:szCs w:val="18"/>
          <w:rtl/>
        </w:rPr>
        <w:t>קיבא".</w:t>
      </w:r>
      <w:r w:rsidRPr="00A31F38">
        <w:rPr>
          <w:rFonts w:cs="Arial"/>
          <w:sz w:val="18"/>
          <w:szCs w:val="18"/>
          <w:rtl/>
        </w:rPr>
        <w:br/>
      </w:r>
      <w:r w:rsidRPr="00A31F38">
        <w:rPr>
          <w:rFonts w:cs="Arial" w:hint="cs"/>
          <w:sz w:val="18"/>
          <w:szCs w:val="18"/>
          <w:rtl/>
        </w:rPr>
        <w:t xml:space="preserve">לדעת </w:t>
      </w:r>
      <w:r w:rsidRPr="00A31F38">
        <w:rPr>
          <w:rFonts w:cs="Arial" w:hint="cs"/>
          <w:b/>
          <w:bCs/>
          <w:sz w:val="18"/>
          <w:szCs w:val="18"/>
          <w:rtl/>
        </w:rPr>
        <w:t>הרמ"א</w:t>
      </w:r>
      <w:r w:rsidRPr="00A31F38">
        <w:rPr>
          <w:rFonts w:cs="Arial" w:hint="cs"/>
          <w:sz w:val="18"/>
          <w:szCs w:val="18"/>
          <w:rtl/>
        </w:rPr>
        <w:t xml:space="preserve">, רבי עקיבא היה צריך לשאול אותה שמא ראתה מראה לבן או ירוק, ואם ראתה מראות אלו יש לטמא אותה משום שהוחזקה בפתיחת המקור. </w:t>
      </w:r>
      <w:r w:rsidRPr="00A31F38">
        <w:rPr>
          <w:rFonts w:cs="Arial" w:hint="cs"/>
          <w:sz w:val="16"/>
          <w:szCs w:val="16"/>
          <w:rtl/>
        </w:rPr>
        <w:t>(ואין לומר שאין צריך לברר דבר זה, משום שדעת הרמ"א היא שמה שמוצאים בכתם להקל, הוא הדין שיש גם להחמיר, כפי שהתבאר בדבריו לעיל).</w:t>
      </w:r>
    </w:p>
  </w:footnote>
  <w:footnote w:id="357">
    <w:p w:rsidR="005953C5" w:rsidRDefault="005953C5" w:rsidP="00620060">
      <w:pPr>
        <w:pStyle w:val="a3"/>
        <w:rPr>
          <w:rtl/>
        </w:rPr>
      </w:pPr>
      <w:r w:rsidRPr="00485B9A">
        <w:rPr>
          <w:rStyle w:val="a5"/>
          <w:sz w:val="18"/>
          <w:szCs w:val="18"/>
        </w:rPr>
        <w:footnoteRef/>
      </w:r>
      <w:r w:rsidRPr="00485B9A">
        <w:rPr>
          <w:sz w:val="18"/>
          <w:szCs w:val="18"/>
          <w:rtl/>
        </w:rPr>
        <w:t xml:space="preserve"> </w:t>
      </w:r>
      <w:r w:rsidRPr="00485B9A">
        <w:rPr>
          <w:rFonts w:hint="cs"/>
          <w:sz w:val="18"/>
          <w:szCs w:val="18"/>
          <w:rtl/>
        </w:rPr>
        <w:t xml:space="preserve">ביאור השלבים בגמרא </w:t>
      </w:r>
      <w:r w:rsidRPr="00485B9A">
        <w:rPr>
          <w:sz w:val="18"/>
          <w:szCs w:val="18"/>
          <w:rtl/>
        </w:rPr>
        <w:t>–</w:t>
      </w:r>
      <w:r w:rsidRPr="00485B9A">
        <w:rPr>
          <w:rFonts w:hint="cs"/>
          <w:sz w:val="18"/>
          <w:szCs w:val="18"/>
          <w:rtl/>
        </w:rPr>
        <w:t xml:space="preserve"> בתחילה, הגמרא הניחה שהטעם לטמא הוא משום שמי רגליים חזרו למקור והביאו דם. </w:t>
      </w:r>
      <w:r>
        <w:rPr>
          <w:sz w:val="18"/>
          <w:szCs w:val="18"/>
          <w:rtl/>
        </w:rPr>
        <w:br/>
      </w:r>
      <w:r w:rsidRPr="00485B9A">
        <w:rPr>
          <w:rFonts w:hint="cs"/>
          <w:sz w:val="18"/>
          <w:szCs w:val="18"/>
          <w:rtl/>
        </w:rPr>
        <w:t xml:space="preserve">התרצן השיב שמדובר ביושבת ומזנקת ולכן המ"ר לא חזרו למקור והביאו דם, כיוון שהיא לא התאפקה מלהטיל מ"ר. </w:t>
      </w:r>
      <w:r>
        <w:rPr>
          <w:sz w:val="18"/>
          <w:szCs w:val="18"/>
          <w:rtl/>
        </w:rPr>
        <w:br/>
      </w:r>
      <w:r w:rsidRPr="00485B9A">
        <w:rPr>
          <w:rFonts w:hint="cs"/>
          <w:sz w:val="18"/>
          <w:szCs w:val="18"/>
          <w:rtl/>
        </w:rPr>
        <w:t>הגמרא מוס</w:t>
      </w:r>
      <w:r>
        <w:rPr>
          <w:rFonts w:hint="cs"/>
          <w:sz w:val="18"/>
          <w:szCs w:val="18"/>
          <w:rtl/>
        </w:rPr>
        <w:t>יפ</w:t>
      </w:r>
      <w:r w:rsidRPr="00485B9A">
        <w:rPr>
          <w:rFonts w:hint="cs"/>
          <w:sz w:val="18"/>
          <w:szCs w:val="18"/>
          <w:rtl/>
        </w:rPr>
        <w:t xml:space="preserve">ה לשאול </w:t>
      </w:r>
      <w:r w:rsidRPr="00485B9A">
        <w:rPr>
          <w:sz w:val="18"/>
          <w:szCs w:val="18"/>
          <w:rtl/>
        </w:rPr>
        <w:t>–</w:t>
      </w:r>
      <w:r w:rsidRPr="00485B9A">
        <w:rPr>
          <w:rFonts w:hint="cs"/>
          <w:sz w:val="18"/>
          <w:szCs w:val="18"/>
          <w:rtl/>
        </w:rPr>
        <w:t xml:space="preserve"> אע"פ שהמ"ר לא חזרו למקור והביאו גם, אכתי יש לחוש שמא לאחר שגמרה להטיל מ"ר ראתה דם מקור ממש. על כך משיבה הגמרא שהדם נמצא בתוך הספל ולא על שפתו, לכן בוודאי שהדם הגיע יחד עם המ"ר.</w:t>
      </w:r>
    </w:p>
  </w:footnote>
  <w:footnote w:id="358">
    <w:p w:rsidR="005953C5" w:rsidRDefault="005953C5" w:rsidP="00620060">
      <w:pPr>
        <w:pStyle w:val="a3"/>
      </w:pPr>
      <w:r w:rsidRPr="00CC3764">
        <w:rPr>
          <w:rStyle w:val="a5"/>
          <w:sz w:val="18"/>
          <w:szCs w:val="18"/>
        </w:rPr>
        <w:footnoteRef/>
      </w:r>
      <w:r w:rsidRPr="00CC3764">
        <w:rPr>
          <w:sz w:val="18"/>
          <w:szCs w:val="18"/>
          <w:rtl/>
        </w:rPr>
        <w:t xml:space="preserve"> </w:t>
      </w:r>
      <w:r w:rsidRPr="00CC3764">
        <w:rPr>
          <w:rFonts w:hint="cs"/>
          <w:sz w:val="18"/>
          <w:szCs w:val="18"/>
          <w:rtl/>
        </w:rPr>
        <w:t xml:space="preserve">בהו"א הגמרא הניחה כך </w:t>
      </w:r>
      <w:r w:rsidRPr="00CC3764">
        <w:rPr>
          <w:sz w:val="18"/>
          <w:szCs w:val="18"/>
          <w:rtl/>
        </w:rPr>
        <w:t>–</w:t>
      </w:r>
      <w:r w:rsidRPr="00CC3764">
        <w:rPr>
          <w:rFonts w:hint="cs"/>
          <w:sz w:val="18"/>
          <w:szCs w:val="18"/>
          <w:rtl/>
        </w:rPr>
        <w:t xml:space="preserve"> המשנה עוסקת בין בזינוק ובין בקילוח. ומעתה יש להקשות </w:t>
      </w:r>
      <w:r w:rsidRPr="00CC3764">
        <w:rPr>
          <w:sz w:val="18"/>
          <w:szCs w:val="18"/>
          <w:rtl/>
        </w:rPr>
        <w:t>–</w:t>
      </w:r>
      <w:r w:rsidRPr="00CC3764">
        <w:rPr>
          <w:rFonts w:hint="cs"/>
          <w:sz w:val="18"/>
          <w:szCs w:val="18"/>
          <w:rtl/>
        </w:rPr>
        <w:t xml:space="preserve"> כיוון שבעומדת טמאה אפילו מזנקת, אע"פ שיש חדא לטיבותא במה שהיא מזנקת, הוא הדין שיש לטמא ביושבת כשהיא שותתת, שהרי אע"פ שיושבת הוא למעליותא, מכל מקום היא שותתת והוי חדא לריעותא ויש לטמא!</w:t>
      </w:r>
      <w:r w:rsidRPr="00CC3764">
        <w:rPr>
          <w:sz w:val="18"/>
          <w:szCs w:val="18"/>
          <w:rtl/>
        </w:rPr>
        <w:br/>
      </w:r>
      <w:r w:rsidRPr="00CC3764">
        <w:rPr>
          <w:rFonts w:hint="cs"/>
          <w:sz w:val="18"/>
          <w:szCs w:val="18"/>
          <w:rtl/>
        </w:rPr>
        <w:t xml:space="preserve">הגמרא מיישבת </w:t>
      </w:r>
      <w:r w:rsidRPr="00CC3764">
        <w:rPr>
          <w:sz w:val="18"/>
          <w:szCs w:val="18"/>
          <w:rtl/>
        </w:rPr>
        <w:t>–</w:t>
      </w:r>
      <w:r w:rsidRPr="00CC3764">
        <w:rPr>
          <w:rFonts w:hint="cs"/>
          <w:sz w:val="18"/>
          <w:szCs w:val="18"/>
          <w:rtl/>
        </w:rPr>
        <w:t xml:space="preserve"> כל המשנה איירי במזנקת, וכדי לטהר לדעת רבי מאיר בעינן תרי למעליותא, יושבת ומזנקת.  </w:t>
      </w:r>
    </w:p>
  </w:footnote>
  <w:footnote w:id="359">
    <w:p w:rsidR="005953C5" w:rsidRPr="0030267C" w:rsidRDefault="005953C5" w:rsidP="00620060">
      <w:pPr>
        <w:rPr>
          <w:sz w:val="18"/>
          <w:szCs w:val="18"/>
          <w:rtl/>
        </w:rPr>
      </w:pPr>
      <w:r w:rsidRPr="0030267C">
        <w:rPr>
          <w:rStyle w:val="a5"/>
          <w:sz w:val="20"/>
          <w:szCs w:val="20"/>
        </w:rPr>
        <w:footnoteRef/>
      </w:r>
      <w:r w:rsidRPr="0030267C">
        <w:rPr>
          <w:sz w:val="20"/>
          <w:szCs w:val="20"/>
          <w:rtl/>
        </w:rPr>
        <w:t xml:space="preserve"> </w:t>
      </w:r>
      <w:r w:rsidRPr="0030267C">
        <w:rPr>
          <w:rFonts w:hint="cs"/>
          <w:b/>
          <w:bCs/>
          <w:sz w:val="18"/>
          <w:szCs w:val="18"/>
          <w:rtl/>
        </w:rPr>
        <w:t xml:space="preserve">האם יש לטמא משום כתם? </w:t>
      </w:r>
      <w:r w:rsidRPr="0030267C">
        <w:rPr>
          <w:b/>
          <w:bCs/>
          <w:sz w:val="18"/>
          <w:szCs w:val="18"/>
          <w:rtl/>
        </w:rPr>
        <w:br/>
      </w:r>
      <w:r w:rsidRPr="0030267C">
        <w:rPr>
          <w:rFonts w:hint="cs"/>
          <w:sz w:val="18"/>
          <w:szCs w:val="18"/>
          <w:u w:val="single"/>
          <w:rtl/>
        </w:rPr>
        <w:t>שיטות הראשונים</w:t>
      </w:r>
      <w:r w:rsidRPr="0030267C">
        <w:rPr>
          <w:sz w:val="18"/>
          <w:szCs w:val="18"/>
          <w:u w:val="single"/>
          <w:rtl/>
        </w:rPr>
        <w:br/>
      </w:r>
      <w:r w:rsidRPr="0030267C">
        <w:rPr>
          <w:rFonts w:hint="cs"/>
          <w:sz w:val="18"/>
          <w:szCs w:val="18"/>
          <w:rtl/>
        </w:rPr>
        <w:t xml:space="preserve">א. </w:t>
      </w:r>
      <w:r w:rsidRPr="0030267C">
        <w:rPr>
          <w:rFonts w:hint="cs"/>
          <w:b/>
          <w:bCs/>
          <w:sz w:val="18"/>
          <w:szCs w:val="18"/>
          <w:rtl/>
        </w:rPr>
        <w:t>ר"ח</w:t>
      </w:r>
      <w:r w:rsidRPr="0030267C">
        <w:rPr>
          <w:rFonts w:hint="cs"/>
          <w:sz w:val="18"/>
          <w:szCs w:val="18"/>
          <w:rtl/>
        </w:rPr>
        <w:t xml:space="preserve"> </w:t>
      </w:r>
      <w:r w:rsidRPr="0030267C">
        <w:rPr>
          <w:sz w:val="18"/>
          <w:szCs w:val="18"/>
          <w:rtl/>
        </w:rPr>
        <w:t>–</w:t>
      </w:r>
      <w:r w:rsidRPr="0030267C">
        <w:rPr>
          <w:rFonts w:hint="cs"/>
          <w:sz w:val="18"/>
          <w:szCs w:val="18"/>
          <w:rtl/>
        </w:rPr>
        <w:t xml:space="preserve"> רבי יוסי מטהר דווקא משום נידה ממש, אך מכל מקום מטמא משום כתם.</w:t>
      </w:r>
      <w:r>
        <w:rPr>
          <w:rFonts w:hint="cs"/>
          <w:sz w:val="18"/>
          <w:szCs w:val="18"/>
          <w:rtl/>
        </w:rPr>
        <w:br/>
        <w:t>אמנם, יושבת ומזנקת טהורה אף לרבי יוסי, שהרי גם רבי מאיר מטהר בכה"ג</w:t>
      </w:r>
      <w:r w:rsidRPr="0030267C">
        <w:rPr>
          <w:sz w:val="18"/>
          <w:szCs w:val="18"/>
          <w:rtl/>
        </w:rPr>
        <w:br/>
      </w:r>
      <w:r w:rsidRPr="0030267C">
        <w:rPr>
          <w:rFonts w:hint="cs"/>
          <w:sz w:val="18"/>
          <w:szCs w:val="18"/>
          <w:rtl/>
        </w:rPr>
        <w:t xml:space="preserve">ב. </w:t>
      </w:r>
      <w:r w:rsidRPr="0030267C">
        <w:rPr>
          <w:rFonts w:hint="cs"/>
          <w:b/>
          <w:bCs/>
          <w:sz w:val="18"/>
          <w:szCs w:val="18"/>
          <w:rtl/>
        </w:rPr>
        <w:t>ר"ן</w:t>
      </w:r>
      <w:r w:rsidRPr="0030267C">
        <w:rPr>
          <w:rFonts w:hint="cs"/>
          <w:sz w:val="18"/>
          <w:szCs w:val="18"/>
          <w:rtl/>
        </w:rPr>
        <w:t xml:space="preserve"> </w:t>
      </w:r>
      <w:r w:rsidRPr="0030267C">
        <w:rPr>
          <w:sz w:val="18"/>
          <w:szCs w:val="18"/>
          <w:rtl/>
        </w:rPr>
        <w:t>–</w:t>
      </w:r>
      <w:r w:rsidRPr="0030267C">
        <w:rPr>
          <w:rFonts w:hint="cs"/>
          <w:sz w:val="18"/>
          <w:szCs w:val="18"/>
          <w:rtl/>
        </w:rPr>
        <w:t xml:space="preserve"> רבי יוסי מטהר לגמרי </w:t>
      </w:r>
      <w:r w:rsidRPr="0030267C">
        <w:rPr>
          <w:rFonts w:hint="cs"/>
          <w:sz w:val="16"/>
          <w:szCs w:val="16"/>
          <w:rtl/>
        </w:rPr>
        <w:t>(והפירוש בשם ר"ח הוא דברי נביאות, וכנראה ר"ח לא פירש כך)</w:t>
      </w:r>
      <w:r w:rsidRPr="0030267C">
        <w:rPr>
          <w:rFonts w:hint="cs"/>
          <w:sz w:val="18"/>
          <w:szCs w:val="18"/>
          <w:rtl/>
        </w:rPr>
        <w:t>.</w:t>
      </w:r>
    </w:p>
    <w:p w:rsidR="005953C5" w:rsidRPr="0030267C" w:rsidRDefault="005953C5" w:rsidP="00620060">
      <w:pPr>
        <w:rPr>
          <w:sz w:val="18"/>
          <w:szCs w:val="18"/>
          <w:rtl/>
        </w:rPr>
      </w:pPr>
      <w:r w:rsidRPr="0030267C">
        <w:rPr>
          <w:rFonts w:hint="cs"/>
          <w:sz w:val="18"/>
          <w:szCs w:val="18"/>
          <w:u w:val="single"/>
          <w:rtl/>
        </w:rPr>
        <w:t>העמדת שיטת ר"ח (בית יוסף)</w:t>
      </w:r>
      <w:r w:rsidRPr="0030267C">
        <w:rPr>
          <w:rFonts w:hint="cs"/>
          <w:sz w:val="18"/>
          <w:szCs w:val="18"/>
          <w:u w:val="single"/>
          <w:rtl/>
        </w:rPr>
        <w:br/>
      </w:r>
      <w:r w:rsidRPr="0030267C">
        <w:rPr>
          <w:rFonts w:hint="cs"/>
          <w:b/>
          <w:bCs/>
          <w:sz w:val="18"/>
          <w:szCs w:val="18"/>
          <w:rtl/>
        </w:rPr>
        <w:t>בית יוסף</w:t>
      </w:r>
      <w:r w:rsidRPr="0030267C">
        <w:rPr>
          <w:rFonts w:hint="cs"/>
          <w:sz w:val="18"/>
          <w:szCs w:val="18"/>
          <w:rtl/>
        </w:rPr>
        <w:t xml:space="preserve"> </w:t>
      </w:r>
      <w:r w:rsidRPr="0030267C">
        <w:rPr>
          <w:sz w:val="18"/>
          <w:szCs w:val="18"/>
          <w:rtl/>
        </w:rPr>
        <w:t>–</w:t>
      </w:r>
      <w:r w:rsidRPr="0030267C">
        <w:rPr>
          <w:rFonts w:hint="cs"/>
          <w:sz w:val="18"/>
          <w:szCs w:val="18"/>
          <w:rtl/>
        </w:rPr>
        <w:t xml:space="preserve"> אין ראוי לדחות את דברי ר"ח, משום שכמה ראשונים העתיקו את דבריו, ונראה שאלו ראיותיו - </w:t>
      </w:r>
      <w:r w:rsidRPr="0030267C">
        <w:rPr>
          <w:sz w:val="18"/>
          <w:szCs w:val="18"/>
          <w:rtl/>
        </w:rPr>
        <w:br/>
      </w:r>
      <w:r w:rsidRPr="0030267C">
        <w:rPr>
          <w:rFonts w:hint="cs"/>
          <w:sz w:val="18"/>
          <w:szCs w:val="18"/>
          <w:rtl/>
        </w:rPr>
        <w:t xml:space="preserve">א. בסיפא של </w:t>
      </w:r>
      <w:r w:rsidRPr="0030267C">
        <w:rPr>
          <w:rFonts w:hint="cs"/>
          <w:b/>
          <w:bCs/>
          <w:sz w:val="18"/>
          <w:szCs w:val="18"/>
          <w:rtl/>
        </w:rPr>
        <w:t>המשנה</w:t>
      </w:r>
      <w:r w:rsidRPr="0030267C">
        <w:rPr>
          <w:rFonts w:hint="cs"/>
          <w:sz w:val="18"/>
          <w:szCs w:val="18"/>
          <w:rtl/>
        </w:rPr>
        <w:t xml:space="preserve"> נאמר: "</w:t>
      </w:r>
      <w:r w:rsidRPr="0030267C">
        <w:rPr>
          <w:rFonts w:cs="Arial" w:hint="cs"/>
          <w:sz w:val="18"/>
          <w:szCs w:val="18"/>
          <w:rtl/>
        </w:rPr>
        <w:t>איש</w:t>
      </w:r>
      <w:r w:rsidRPr="0030267C">
        <w:rPr>
          <w:rFonts w:cs="Arial"/>
          <w:sz w:val="18"/>
          <w:szCs w:val="18"/>
          <w:rtl/>
        </w:rPr>
        <w:t xml:space="preserve"> </w:t>
      </w:r>
      <w:r w:rsidRPr="0030267C">
        <w:rPr>
          <w:rFonts w:cs="Arial" w:hint="cs"/>
          <w:sz w:val="18"/>
          <w:szCs w:val="18"/>
          <w:rtl/>
        </w:rPr>
        <w:t>ואשה</w:t>
      </w:r>
      <w:r w:rsidRPr="0030267C">
        <w:rPr>
          <w:rFonts w:cs="Arial"/>
          <w:sz w:val="18"/>
          <w:szCs w:val="18"/>
          <w:rtl/>
        </w:rPr>
        <w:t xml:space="preserve"> </w:t>
      </w:r>
      <w:r w:rsidRPr="0030267C">
        <w:rPr>
          <w:rFonts w:cs="Arial" w:hint="cs"/>
          <w:sz w:val="18"/>
          <w:szCs w:val="18"/>
          <w:rtl/>
        </w:rPr>
        <w:t>שעשו</w:t>
      </w:r>
      <w:r w:rsidRPr="0030267C">
        <w:rPr>
          <w:rFonts w:cs="Arial"/>
          <w:sz w:val="18"/>
          <w:szCs w:val="18"/>
          <w:rtl/>
        </w:rPr>
        <w:t xml:space="preserve"> </w:t>
      </w:r>
      <w:r w:rsidRPr="0030267C">
        <w:rPr>
          <w:rFonts w:cs="Arial" w:hint="cs"/>
          <w:sz w:val="18"/>
          <w:szCs w:val="18"/>
          <w:rtl/>
        </w:rPr>
        <w:t>צרכיהן</w:t>
      </w:r>
      <w:r w:rsidRPr="0030267C">
        <w:rPr>
          <w:rFonts w:cs="Arial"/>
          <w:sz w:val="18"/>
          <w:szCs w:val="18"/>
          <w:rtl/>
        </w:rPr>
        <w:t xml:space="preserve"> </w:t>
      </w:r>
      <w:r w:rsidRPr="0030267C">
        <w:rPr>
          <w:rFonts w:cs="Arial" w:hint="cs"/>
          <w:sz w:val="18"/>
          <w:szCs w:val="18"/>
          <w:rtl/>
        </w:rPr>
        <w:t>לתוך</w:t>
      </w:r>
      <w:r w:rsidRPr="0030267C">
        <w:rPr>
          <w:rFonts w:cs="Arial"/>
          <w:sz w:val="18"/>
          <w:szCs w:val="18"/>
          <w:rtl/>
        </w:rPr>
        <w:t xml:space="preserve"> </w:t>
      </w:r>
      <w:r w:rsidRPr="0030267C">
        <w:rPr>
          <w:rFonts w:cs="Arial" w:hint="cs"/>
          <w:sz w:val="18"/>
          <w:szCs w:val="18"/>
          <w:rtl/>
        </w:rPr>
        <w:t>הספל</w:t>
      </w:r>
      <w:r w:rsidRPr="0030267C">
        <w:rPr>
          <w:rFonts w:cs="Arial"/>
          <w:sz w:val="18"/>
          <w:szCs w:val="18"/>
          <w:rtl/>
        </w:rPr>
        <w:t xml:space="preserve">, </w:t>
      </w:r>
      <w:r w:rsidRPr="0030267C">
        <w:rPr>
          <w:rFonts w:cs="Arial" w:hint="cs"/>
          <w:sz w:val="18"/>
          <w:szCs w:val="18"/>
          <w:rtl/>
        </w:rPr>
        <w:t>ונמצא</w:t>
      </w:r>
      <w:r w:rsidRPr="0030267C">
        <w:rPr>
          <w:rFonts w:cs="Arial"/>
          <w:sz w:val="18"/>
          <w:szCs w:val="18"/>
          <w:rtl/>
        </w:rPr>
        <w:t xml:space="preserve"> </w:t>
      </w:r>
      <w:r w:rsidRPr="0030267C">
        <w:rPr>
          <w:rFonts w:cs="Arial" w:hint="cs"/>
          <w:sz w:val="18"/>
          <w:szCs w:val="18"/>
          <w:rtl/>
        </w:rPr>
        <w:t>דם</w:t>
      </w:r>
      <w:r w:rsidRPr="0030267C">
        <w:rPr>
          <w:rFonts w:cs="Arial"/>
          <w:sz w:val="18"/>
          <w:szCs w:val="18"/>
          <w:rtl/>
        </w:rPr>
        <w:t xml:space="preserve"> </w:t>
      </w:r>
      <w:r w:rsidRPr="0030267C">
        <w:rPr>
          <w:rFonts w:cs="Arial" w:hint="cs"/>
          <w:sz w:val="18"/>
          <w:szCs w:val="18"/>
          <w:rtl/>
        </w:rPr>
        <w:t>על</w:t>
      </w:r>
      <w:r w:rsidRPr="0030267C">
        <w:rPr>
          <w:rFonts w:cs="Arial"/>
          <w:sz w:val="18"/>
          <w:szCs w:val="18"/>
          <w:rtl/>
        </w:rPr>
        <w:t xml:space="preserve"> </w:t>
      </w:r>
      <w:r w:rsidRPr="0030267C">
        <w:rPr>
          <w:rFonts w:cs="Arial" w:hint="cs"/>
          <w:sz w:val="18"/>
          <w:szCs w:val="18"/>
          <w:rtl/>
        </w:rPr>
        <w:t>המים</w:t>
      </w:r>
      <w:r w:rsidRPr="0030267C">
        <w:rPr>
          <w:rFonts w:cs="Arial"/>
          <w:sz w:val="18"/>
          <w:szCs w:val="18"/>
          <w:rtl/>
        </w:rPr>
        <w:t xml:space="preserve">, </w:t>
      </w:r>
      <w:r w:rsidRPr="0030267C">
        <w:rPr>
          <w:rFonts w:cs="Arial" w:hint="cs"/>
          <w:sz w:val="18"/>
          <w:szCs w:val="18"/>
          <w:rtl/>
        </w:rPr>
        <w:t>רבי</w:t>
      </w:r>
      <w:r w:rsidRPr="0030267C">
        <w:rPr>
          <w:rFonts w:cs="Arial"/>
          <w:sz w:val="18"/>
          <w:szCs w:val="18"/>
          <w:rtl/>
        </w:rPr>
        <w:t xml:space="preserve"> </w:t>
      </w:r>
      <w:r w:rsidRPr="0030267C">
        <w:rPr>
          <w:rFonts w:cs="Arial" w:hint="cs"/>
          <w:sz w:val="18"/>
          <w:szCs w:val="18"/>
          <w:rtl/>
        </w:rPr>
        <w:t>יוסי</w:t>
      </w:r>
      <w:r w:rsidRPr="0030267C">
        <w:rPr>
          <w:rFonts w:cs="Arial"/>
          <w:sz w:val="18"/>
          <w:szCs w:val="18"/>
          <w:rtl/>
        </w:rPr>
        <w:t xml:space="preserve"> – </w:t>
      </w:r>
      <w:r w:rsidRPr="0030267C">
        <w:rPr>
          <w:rFonts w:cs="Arial" w:hint="cs"/>
          <w:sz w:val="18"/>
          <w:szCs w:val="18"/>
          <w:rtl/>
        </w:rPr>
        <w:t>מטהר"</w:t>
      </w:r>
      <w:r w:rsidRPr="0030267C">
        <w:rPr>
          <w:rFonts w:hint="cs"/>
          <w:sz w:val="18"/>
          <w:szCs w:val="18"/>
          <w:rtl/>
        </w:rPr>
        <w:t>.</w:t>
      </w:r>
      <w:r w:rsidRPr="0030267C">
        <w:rPr>
          <w:sz w:val="18"/>
          <w:szCs w:val="18"/>
          <w:rtl/>
        </w:rPr>
        <w:br/>
      </w:r>
      <w:r w:rsidRPr="0030267C">
        <w:rPr>
          <w:rFonts w:hint="cs"/>
          <w:sz w:val="18"/>
          <w:szCs w:val="18"/>
          <w:rtl/>
        </w:rPr>
        <w:t>ובגמרא פירשו: "</w:t>
      </w:r>
      <w:r w:rsidRPr="0030267C">
        <w:rPr>
          <w:rFonts w:hint="cs"/>
          <w:sz w:val="20"/>
          <w:szCs w:val="20"/>
          <w:rtl/>
        </w:rPr>
        <w:t>...</w:t>
      </w:r>
      <w:r w:rsidRPr="0030267C">
        <w:rPr>
          <w:rFonts w:cs="Arial" w:hint="cs"/>
          <w:sz w:val="18"/>
          <w:szCs w:val="18"/>
          <w:rtl/>
        </w:rPr>
        <w:t>ורבי</w:t>
      </w:r>
      <w:r w:rsidRPr="0030267C">
        <w:rPr>
          <w:rFonts w:cs="Arial"/>
          <w:sz w:val="18"/>
          <w:szCs w:val="18"/>
          <w:rtl/>
        </w:rPr>
        <w:t xml:space="preserve"> </w:t>
      </w:r>
      <w:r w:rsidRPr="0030267C">
        <w:rPr>
          <w:rFonts w:cs="Arial" w:hint="cs"/>
          <w:sz w:val="18"/>
          <w:szCs w:val="18"/>
          <w:rtl/>
        </w:rPr>
        <w:t>יוסי</w:t>
      </w:r>
      <w:r w:rsidRPr="0030267C">
        <w:rPr>
          <w:rFonts w:cs="Arial"/>
          <w:sz w:val="18"/>
          <w:szCs w:val="18"/>
          <w:rtl/>
        </w:rPr>
        <w:t xml:space="preserve">, </w:t>
      </w:r>
      <w:r w:rsidRPr="0030267C">
        <w:rPr>
          <w:rFonts w:cs="Arial" w:hint="cs"/>
          <w:sz w:val="18"/>
          <w:szCs w:val="18"/>
          <w:rtl/>
        </w:rPr>
        <w:t>בחד</w:t>
      </w:r>
      <w:r w:rsidRPr="0030267C">
        <w:rPr>
          <w:rFonts w:cs="Arial"/>
          <w:sz w:val="18"/>
          <w:szCs w:val="18"/>
          <w:rtl/>
        </w:rPr>
        <w:t xml:space="preserve"> </w:t>
      </w:r>
      <w:r w:rsidRPr="0030267C">
        <w:rPr>
          <w:rFonts w:cs="Arial" w:hint="cs"/>
          <w:sz w:val="18"/>
          <w:szCs w:val="18"/>
          <w:rtl/>
        </w:rPr>
        <w:t>ספקא</w:t>
      </w:r>
      <w:r w:rsidRPr="0030267C">
        <w:rPr>
          <w:rFonts w:cs="Arial"/>
          <w:sz w:val="18"/>
          <w:szCs w:val="18"/>
          <w:rtl/>
        </w:rPr>
        <w:t xml:space="preserve"> - </w:t>
      </w:r>
      <w:r w:rsidRPr="0030267C">
        <w:rPr>
          <w:rFonts w:cs="Arial" w:hint="cs"/>
          <w:sz w:val="18"/>
          <w:szCs w:val="18"/>
          <w:rtl/>
        </w:rPr>
        <w:t>מטהר</w:t>
      </w:r>
      <w:r w:rsidRPr="0030267C">
        <w:rPr>
          <w:rFonts w:cs="Arial"/>
          <w:sz w:val="18"/>
          <w:szCs w:val="18"/>
          <w:rtl/>
        </w:rPr>
        <w:t xml:space="preserve">, </w:t>
      </w:r>
      <w:r w:rsidRPr="0030267C">
        <w:rPr>
          <w:rFonts w:cs="Arial" w:hint="cs"/>
          <w:sz w:val="18"/>
          <w:szCs w:val="18"/>
          <w:rtl/>
        </w:rPr>
        <w:t>בספק</w:t>
      </w:r>
      <w:r w:rsidRPr="0030267C">
        <w:rPr>
          <w:rFonts w:cs="Arial"/>
          <w:sz w:val="18"/>
          <w:szCs w:val="18"/>
          <w:rtl/>
        </w:rPr>
        <w:t xml:space="preserve"> </w:t>
      </w:r>
      <w:r w:rsidRPr="0030267C">
        <w:rPr>
          <w:rFonts w:cs="Arial" w:hint="cs"/>
          <w:sz w:val="18"/>
          <w:szCs w:val="18"/>
          <w:rtl/>
        </w:rPr>
        <w:t>ספקא</w:t>
      </w:r>
      <w:r w:rsidRPr="0030267C">
        <w:rPr>
          <w:rFonts w:cs="Arial"/>
          <w:sz w:val="18"/>
          <w:szCs w:val="18"/>
          <w:rtl/>
        </w:rPr>
        <w:t xml:space="preserve"> </w:t>
      </w:r>
      <w:r w:rsidRPr="0030267C">
        <w:rPr>
          <w:rFonts w:cs="Arial" w:hint="cs"/>
          <w:sz w:val="18"/>
          <w:szCs w:val="18"/>
          <w:rtl/>
        </w:rPr>
        <w:t>מיבעיא</w:t>
      </w:r>
      <w:r w:rsidRPr="0030267C">
        <w:rPr>
          <w:rFonts w:cs="Arial"/>
          <w:sz w:val="18"/>
          <w:szCs w:val="18"/>
          <w:rtl/>
        </w:rPr>
        <w:t xml:space="preserve">? </w:t>
      </w:r>
      <w:r w:rsidRPr="0030267C">
        <w:rPr>
          <w:rFonts w:cs="Arial" w:hint="cs"/>
          <w:sz w:val="18"/>
          <w:szCs w:val="18"/>
          <w:rtl/>
        </w:rPr>
        <w:t>מהו</w:t>
      </w:r>
      <w:r w:rsidRPr="0030267C">
        <w:rPr>
          <w:rFonts w:cs="Arial"/>
          <w:sz w:val="18"/>
          <w:szCs w:val="18"/>
          <w:rtl/>
        </w:rPr>
        <w:t xml:space="preserve"> </w:t>
      </w:r>
      <w:r w:rsidRPr="0030267C">
        <w:rPr>
          <w:rFonts w:cs="Arial" w:hint="cs"/>
          <w:sz w:val="18"/>
          <w:szCs w:val="18"/>
          <w:rtl/>
        </w:rPr>
        <w:t>דתימא</w:t>
      </w:r>
      <w:r w:rsidRPr="0030267C">
        <w:rPr>
          <w:rFonts w:cs="Arial"/>
          <w:sz w:val="18"/>
          <w:szCs w:val="18"/>
          <w:rtl/>
        </w:rPr>
        <w:t xml:space="preserve">: </w:t>
      </w:r>
      <w:r w:rsidRPr="0030267C">
        <w:rPr>
          <w:rFonts w:cs="Arial" w:hint="cs"/>
          <w:sz w:val="18"/>
          <w:szCs w:val="18"/>
          <w:rtl/>
        </w:rPr>
        <w:t>הני</w:t>
      </w:r>
      <w:r w:rsidRPr="0030267C">
        <w:rPr>
          <w:rFonts w:cs="Arial"/>
          <w:sz w:val="18"/>
          <w:szCs w:val="18"/>
          <w:rtl/>
        </w:rPr>
        <w:t xml:space="preserve"> </w:t>
      </w:r>
      <w:r w:rsidRPr="0030267C">
        <w:rPr>
          <w:rFonts w:cs="Arial" w:hint="cs"/>
          <w:sz w:val="18"/>
          <w:szCs w:val="18"/>
          <w:rtl/>
        </w:rPr>
        <w:t>מילי</w:t>
      </w:r>
      <w:r w:rsidRPr="0030267C">
        <w:rPr>
          <w:rFonts w:cs="Arial"/>
          <w:sz w:val="18"/>
          <w:szCs w:val="18"/>
          <w:rtl/>
        </w:rPr>
        <w:t xml:space="preserve"> - </w:t>
      </w:r>
      <w:r w:rsidRPr="0030267C">
        <w:rPr>
          <w:rFonts w:cs="Arial" w:hint="cs"/>
          <w:sz w:val="18"/>
          <w:szCs w:val="18"/>
          <w:rtl/>
        </w:rPr>
        <w:t>דיעבד</w:t>
      </w:r>
      <w:r w:rsidRPr="0030267C">
        <w:rPr>
          <w:rFonts w:cs="Arial"/>
          <w:sz w:val="18"/>
          <w:szCs w:val="18"/>
          <w:rtl/>
        </w:rPr>
        <w:t xml:space="preserve">, </w:t>
      </w:r>
      <w:r w:rsidRPr="0030267C">
        <w:rPr>
          <w:rFonts w:cs="Arial" w:hint="cs"/>
          <w:sz w:val="18"/>
          <w:szCs w:val="18"/>
          <w:rtl/>
        </w:rPr>
        <w:t>אבל</w:t>
      </w:r>
      <w:r w:rsidRPr="0030267C">
        <w:rPr>
          <w:rFonts w:cs="Arial"/>
          <w:sz w:val="18"/>
          <w:szCs w:val="18"/>
          <w:rtl/>
        </w:rPr>
        <w:t xml:space="preserve"> </w:t>
      </w:r>
      <w:r w:rsidRPr="0030267C">
        <w:rPr>
          <w:rFonts w:cs="Arial" w:hint="cs"/>
          <w:sz w:val="18"/>
          <w:szCs w:val="18"/>
          <w:rtl/>
        </w:rPr>
        <w:t>לכתחלה</w:t>
      </w:r>
      <w:r w:rsidRPr="0030267C">
        <w:rPr>
          <w:rFonts w:cs="Arial"/>
          <w:sz w:val="18"/>
          <w:szCs w:val="18"/>
          <w:rtl/>
        </w:rPr>
        <w:t xml:space="preserve"> - </w:t>
      </w:r>
      <w:r w:rsidRPr="0030267C">
        <w:rPr>
          <w:rFonts w:cs="Arial" w:hint="cs"/>
          <w:sz w:val="18"/>
          <w:szCs w:val="18"/>
          <w:rtl/>
        </w:rPr>
        <w:t>לא</w:t>
      </w:r>
      <w:r w:rsidRPr="0030267C">
        <w:rPr>
          <w:rFonts w:cs="Arial"/>
          <w:sz w:val="18"/>
          <w:szCs w:val="18"/>
          <w:rtl/>
        </w:rPr>
        <w:t xml:space="preserve">, </w:t>
      </w:r>
      <w:r w:rsidRPr="0030267C">
        <w:rPr>
          <w:rFonts w:cs="Arial" w:hint="cs"/>
          <w:sz w:val="18"/>
          <w:szCs w:val="18"/>
          <w:rtl/>
        </w:rPr>
        <w:t>קא</w:t>
      </w:r>
      <w:r w:rsidRPr="0030267C">
        <w:rPr>
          <w:rFonts w:cs="Arial"/>
          <w:sz w:val="18"/>
          <w:szCs w:val="18"/>
          <w:rtl/>
        </w:rPr>
        <w:t xml:space="preserve"> </w:t>
      </w:r>
      <w:r w:rsidRPr="0030267C">
        <w:rPr>
          <w:rFonts w:cs="Arial" w:hint="cs"/>
          <w:sz w:val="18"/>
          <w:szCs w:val="18"/>
          <w:rtl/>
        </w:rPr>
        <w:t>משמע</w:t>
      </w:r>
      <w:r w:rsidRPr="0030267C">
        <w:rPr>
          <w:rFonts w:cs="Arial"/>
          <w:sz w:val="18"/>
          <w:szCs w:val="18"/>
          <w:rtl/>
        </w:rPr>
        <w:t xml:space="preserve"> </w:t>
      </w:r>
      <w:r w:rsidRPr="0030267C">
        <w:rPr>
          <w:rFonts w:cs="Arial" w:hint="cs"/>
          <w:sz w:val="18"/>
          <w:szCs w:val="18"/>
          <w:rtl/>
        </w:rPr>
        <w:t>לן"</w:t>
      </w:r>
      <w:r w:rsidRPr="0030267C">
        <w:rPr>
          <w:rFonts w:cs="Arial"/>
          <w:sz w:val="18"/>
          <w:szCs w:val="18"/>
          <w:rtl/>
        </w:rPr>
        <w:t>.</w:t>
      </w:r>
      <w:r w:rsidRPr="0030267C">
        <w:rPr>
          <w:rFonts w:cs="Arial" w:hint="cs"/>
          <w:sz w:val="18"/>
          <w:szCs w:val="18"/>
          <w:rtl/>
        </w:rPr>
        <w:br/>
        <w:t xml:space="preserve">כלומר </w:t>
      </w:r>
      <w:r w:rsidRPr="0030267C">
        <w:rPr>
          <w:rFonts w:cs="Arial"/>
          <w:sz w:val="18"/>
          <w:szCs w:val="18"/>
          <w:rtl/>
        </w:rPr>
        <w:t>–</w:t>
      </w:r>
      <w:r w:rsidRPr="0030267C">
        <w:rPr>
          <w:rFonts w:cs="Arial" w:hint="cs"/>
          <w:sz w:val="18"/>
          <w:szCs w:val="18"/>
          <w:rtl/>
        </w:rPr>
        <w:t xml:space="preserve"> דברי רבי יוסי בסיפא טעונים הסבר, שהרי ברישא טיהר בספק אחד </w:t>
      </w:r>
      <w:r w:rsidRPr="0030267C">
        <w:rPr>
          <w:rFonts w:cs="Arial" w:hint="cs"/>
          <w:sz w:val="16"/>
          <w:szCs w:val="16"/>
          <w:rtl/>
        </w:rPr>
        <w:t>(ידוע שהדם יצא מהאישה אך אין ידוע אם מהמקור או ממכה)</w:t>
      </w:r>
      <w:r w:rsidRPr="0030267C">
        <w:rPr>
          <w:rFonts w:hint="cs"/>
          <w:sz w:val="18"/>
          <w:szCs w:val="18"/>
          <w:rtl/>
        </w:rPr>
        <w:t xml:space="preserve"> ואם כן בוודאי שבסיפא כשיש שני ספקות </w:t>
      </w:r>
      <w:r w:rsidRPr="0030267C">
        <w:rPr>
          <w:rFonts w:hint="cs"/>
          <w:sz w:val="16"/>
          <w:szCs w:val="16"/>
          <w:rtl/>
        </w:rPr>
        <w:t>(ספק נוסף הוא האם הדם מהאיש או מהאישה)</w:t>
      </w:r>
      <w:r w:rsidRPr="0030267C">
        <w:rPr>
          <w:rFonts w:hint="cs"/>
          <w:sz w:val="18"/>
          <w:szCs w:val="18"/>
          <w:rtl/>
        </w:rPr>
        <w:t xml:space="preserve">מטהר! </w:t>
      </w:r>
      <w:r>
        <w:rPr>
          <w:sz w:val="18"/>
          <w:szCs w:val="18"/>
          <w:rtl/>
        </w:rPr>
        <w:br/>
      </w:r>
      <w:r w:rsidRPr="0030267C">
        <w:rPr>
          <w:rFonts w:hint="cs"/>
          <w:sz w:val="18"/>
          <w:szCs w:val="18"/>
          <w:rtl/>
        </w:rPr>
        <w:t xml:space="preserve">הגמרא מיישבת </w:t>
      </w:r>
      <w:r w:rsidRPr="0030267C">
        <w:rPr>
          <w:sz w:val="18"/>
          <w:szCs w:val="18"/>
          <w:rtl/>
        </w:rPr>
        <w:t>–</w:t>
      </w:r>
      <w:r w:rsidRPr="0030267C">
        <w:rPr>
          <w:rFonts w:hint="cs"/>
          <w:sz w:val="18"/>
          <w:szCs w:val="18"/>
          <w:rtl/>
        </w:rPr>
        <w:t xml:space="preserve"> קמ"ל רבי יוסי בסיפא שאפילו לכתחילה טהורה.</w:t>
      </w:r>
      <w:r w:rsidRPr="0030267C">
        <w:rPr>
          <w:sz w:val="18"/>
          <w:szCs w:val="18"/>
          <w:rtl/>
        </w:rPr>
        <w:br/>
      </w:r>
      <w:r w:rsidRPr="0030267C">
        <w:rPr>
          <w:rFonts w:hint="cs"/>
          <w:sz w:val="18"/>
          <w:szCs w:val="18"/>
          <w:rtl/>
        </w:rPr>
        <w:t xml:space="preserve">ומעתה יש לומר כך </w:t>
      </w:r>
      <w:r w:rsidRPr="0030267C">
        <w:rPr>
          <w:sz w:val="18"/>
          <w:szCs w:val="18"/>
          <w:rtl/>
        </w:rPr>
        <w:t>–</w:t>
      </w:r>
      <w:r w:rsidRPr="0030267C">
        <w:rPr>
          <w:rFonts w:hint="cs"/>
          <w:sz w:val="18"/>
          <w:szCs w:val="18"/>
          <w:rtl/>
        </w:rPr>
        <w:t xml:space="preserve"> דין דיעבד שייך רק בטהרות, אך לבעלה אסורה. וכיוון שהתלמוד מפרש את דברי רבי יוסי לטהרות, איכא למימר שלבעלה </w:t>
      </w:r>
      <w:r>
        <w:rPr>
          <w:rFonts w:hint="cs"/>
          <w:sz w:val="18"/>
          <w:szCs w:val="18"/>
          <w:rtl/>
        </w:rPr>
        <w:t>מודה לרבי מאיר ומטהר רק ביושבת ומזנקת ונמצא דם בתוך הספל ולא על שפתו.</w:t>
      </w:r>
    </w:p>
    <w:p w:rsidR="005953C5" w:rsidRPr="0030267C" w:rsidRDefault="005953C5" w:rsidP="00620060">
      <w:pPr>
        <w:rPr>
          <w:sz w:val="18"/>
          <w:szCs w:val="18"/>
          <w:rtl/>
        </w:rPr>
      </w:pPr>
      <w:r w:rsidRPr="0030267C">
        <w:rPr>
          <w:rFonts w:hint="cs"/>
          <w:sz w:val="18"/>
          <w:szCs w:val="18"/>
          <w:rtl/>
        </w:rPr>
        <w:t xml:space="preserve">ב. </w:t>
      </w:r>
      <w:r w:rsidRPr="0030267C">
        <w:rPr>
          <w:rFonts w:hint="cs"/>
          <w:b/>
          <w:bCs/>
          <w:sz w:val="18"/>
          <w:szCs w:val="18"/>
          <w:rtl/>
        </w:rPr>
        <w:t>גמרא</w:t>
      </w:r>
      <w:r w:rsidRPr="0030267C">
        <w:rPr>
          <w:rFonts w:hint="cs"/>
          <w:sz w:val="18"/>
          <w:szCs w:val="18"/>
          <w:rtl/>
        </w:rPr>
        <w:t xml:space="preserve"> נידה (יד. - יד:) "</w:t>
      </w:r>
      <w:r w:rsidRPr="0030267C">
        <w:rPr>
          <w:rFonts w:cs="Arial" w:hint="cs"/>
          <w:sz w:val="18"/>
          <w:szCs w:val="18"/>
          <w:rtl/>
        </w:rPr>
        <w:t>תניא</w:t>
      </w:r>
      <w:r w:rsidRPr="0030267C">
        <w:rPr>
          <w:rFonts w:cs="Arial"/>
          <w:sz w:val="18"/>
          <w:szCs w:val="18"/>
          <w:rtl/>
        </w:rPr>
        <w:t xml:space="preserve">: </w:t>
      </w:r>
      <w:r w:rsidRPr="0030267C">
        <w:rPr>
          <w:rFonts w:cs="Arial" w:hint="cs"/>
          <w:sz w:val="18"/>
          <w:szCs w:val="18"/>
          <w:rtl/>
        </w:rPr>
        <w:t>בדקה</w:t>
      </w:r>
      <w:r w:rsidRPr="0030267C">
        <w:rPr>
          <w:rFonts w:cs="Arial"/>
          <w:sz w:val="18"/>
          <w:szCs w:val="18"/>
          <w:rtl/>
        </w:rPr>
        <w:t xml:space="preserve"> </w:t>
      </w:r>
      <w:r w:rsidRPr="0030267C">
        <w:rPr>
          <w:rFonts w:cs="Arial" w:hint="cs"/>
          <w:sz w:val="18"/>
          <w:szCs w:val="18"/>
          <w:rtl/>
        </w:rPr>
        <w:t>בעד</w:t>
      </w:r>
      <w:r w:rsidRPr="0030267C">
        <w:rPr>
          <w:rFonts w:cs="Arial"/>
          <w:sz w:val="18"/>
          <w:szCs w:val="18"/>
          <w:rtl/>
        </w:rPr>
        <w:t xml:space="preserve"> </w:t>
      </w:r>
      <w:r w:rsidRPr="0030267C">
        <w:rPr>
          <w:rFonts w:cs="Arial" w:hint="cs"/>
          <w:sz w:val="18"/>
          <w:szCs w:val="18"/>
          <w:rtl/>
        </w:rPr>
        <w:t>שאינו</w:t>
      </w:r>
      <w:r w:rsidRPr="0030267C">
        <w:rPr>
          <w:rFonts w:cs="Arial"/>
          <w:sz w:val="18"/>
          <w:szCs w:val="18"/>
          <w:rtl/>
        </w:rPr>
        <w:t xml:space="preserve"> </w:t>
      </w:r>
      <w:r w:rsidRPr="0030267C">
        <w:rPr>
          <w:rFonts w:cs="Arial" w:hint="cs"/>
          <w:sz w:val="18"/>
          <w:szCs w:val="18"/>
          <w:rtl/>
        </w:rPr>
        <w:t>בדוק</w:t>
      </w:r>
      <w:r w:rsidRPr="0030267C">
        <w:rPr>
          <w:rFonts w:cs="Arial"/>
          <w:sz w:val="18"/>
          <w:szCs w:val="18"/>
          <w:rtl/>
        </w:rPr>
        <w:t xml:space="preserve"> </w:t>
      </w:r>
      <w:r w:rsidRPr="0030267C">
        <w:rPr>
          <w:rFonts w:cs="Arial" w:hint="cs"/>
          <w:sz w:val="18"/>
          <w:szCs w:val="18"/>
          <w:rtl/>
        </w:rPr>
        <w:t>לה</w:t>
      </w:r>
      <w:r w:rsidRPr="0030267C">
        <w:rPr>
          <w:rFonts w:cs="Arial"/>
          <w:sz w:val="18"/>
          <w:szCs w:val="18"/>
          <w:rtl/>
        </w:rPr>
        <w:t xml:space="preserve"> </w:t>
      </w:r>
      <w:r w:rsidRPr="0030267C">
        <w:rPr>
          <w:rFonts w:cs="Arial" w:hint="cs"/>
          <w:sz w:val="18"/>
          <w:szCs w:val="18"/>
          <w:rtl/>
        </w:rPr>
        <w:t>והניחתו</w:t>
      </w:r>
      <w:r w:rsidRPr="0030267C">
        <w:rPr>
          <w:rFonts w:cs="Arial"/>
          <w:sz w:val="18"/>
          <w:szCs w:val="18"/>
          <w:rtl/>
        </w:rPr>
        <w:t xml:space="preserve"> </w:t>
      </w:r>
      <w:r w:rsidRPr="0030267C">
        <w:rPr>
          <w:rFonts w:cs="Arial" w:hint="cs"/>
          <w:sz w:val="18"/>
          <w:szCs w:val="18"/>
          <w:rtl/>
        </w:rPr>
        <w:t>בקופסא</w:t>
      </w:r>
      <w:r w:rsidRPr="0030267C">
        <w:rPr>
          <w:rFonts w:cs="Arial"/>
          <w:sz w:val="18"/>
          <w:szCs w:val="18"/>
          <w:rtl/>
        </w:rPr>
        <w:t xml:space="preserve">, </w:t>
      </w:r>
      <w:r w:rsidRPr="0030267C">
        <w:rPr>
          <w:rFonts w:cs="Arial" w:hint="cs"/>
          <w:sz w:val="18"/>
          <w:szCs w:val="18"/>
          <w:rtl/>
        </w:rPr>
        <w:t>ולמחר</w:t>
      </w:r>
      <w:r w:rsidRPr="0030267C">
        <w:rPr>
          <w:rFonts w:cs="Arial"/>
          <w:sz w:val="18"/>
          <w:szCs w:val="18"/>
          <w:rtl/>
        </w:rPr>
        <w:t xml:space="preserve"> </w:t>
      </w:r>
      <w:r w:rsidRPr="0030267C">
        <w:rPr>
          <w:rFonts w:cs="Arial" w:hint="cs"/>
          <w:sz w:val="18"/>
          <w:szCs w:val="18"/>
          <w:rtl/>
        </w:rPr>
        <w:t>מצאה</w:t>
      </w:r>
      <w:r w:rsidRPr="0030267C">
        <w:rPr>
          <w:rFonts w:cs="Arial"/>
          <w:sz w:val="18"/>
          <w:szCs w:val="18"/>
          <w:rtl/>
        </w:rPr>
        <w:t xml:space="preserve"> </w:t>
      </w:r>
      <w:r w:rsidRPr="0030267C">
        <w:rPr>
          <w:rFonts w:cs="Arial" w:hint="cs"/>
          <w:sz w:val="18"/>
          <w:szCs w:val="18"/>
          <w:rtl/>
        </w:rPr>
        <w:t>עליו</w:t>
      </w:r>
      <w:r w:rsidRPr="0030267C">
        <w:rPr>
          <w:rFonts w:cs="Arial"/>
          <w:sz w:val="18"/>
          <w:szCs w:val="18"/>
          <w:rtl/>
        </w:rPr>
        <w:t xml:space="preserve"> </w:t>
      </w:r>
      <w:r w:rsidRPr="0030267C">
        <w:rPr>
          <w:rFonts w:cs="Arial" w:hint="cs"/>
          <w:sz w:val="18"/>
          <w:szCs w:val="18"/>
          <w:rtl/>
        </w:rPr>
        <w:t>דם</w:t>
      </w:r>
      <w:r w:rsidRPr="0030267C">
        <w:rPr>
          <w:rFonts w:cs="Arial"/>
          <w:sz w:val="18"/>
          <w:szCs w:val="18"/>
          <w:rtl/>
        </w:rPr>
        <w:t xml:space="preserve">, </w:t>
      </w:r>
      <w:r w:rsidRPr="0030267C">
        <w:rPr>
          <w:rFonts w:cs="Arial" w:hint="cs"/>
          <w:sz w:val="18"/>
          <w:szCs w:val="18"/>
          <w:rtl/>
        </w:rPr>
        <w:t>רבי</w:t>
      </w:r>
      <w:r w:rsidRPr="0030267C">
        <w:rPr>
          <w:rFonts w:cs="Arial"/>
          <w:sz w:val="18"/>
          <w:szCs w:val="18"/>
          <w:rtl/>
        </w:rPr>
        <w:t xml:space="preserve"> </w:t>
      </w:r>
      <w:r w:rsidRPr="0030267C">
        <w:rPr>
          <w:rFonts w:cs="Arial" w:hint="cs"/>
          <w:sz w:val="18"/>
          <w:szCs w:val="18"/>
          <w:rtl/>
        </w:rPr>
        <w:t>אומר</w:t>
      </w:r>
      <w:r w:rsidRPr="0030267C">
        <w:rPr>
          <w:rFonts w:cs="Arial"/>
          <w:sz w:val="18"/>
          <w:szCs w:val="18"/>
          <w:rtl/>
        </w:rPr>
        <w:t xml:space="preserve"> </w:t>
      </w:r>
      <w:r w:rsidRPr="0030267C">
        <w:rPr>
          <w:rFonts w:cs="Arial" w:hint="cs"/>
          <w:sz w:val="18"/>
          <w:szCs w:val="18"/>
          <w:rtl/>
        </w:rPr>
        <w:t>טמאה</w:t>
      </w:r>
      <w:r w:rsidRPr="0030267C">
        <w:rPr>
          <w:rFonts w:cs="Arial"/>
          <w:sz w:val="18"/>
          <w:szCs w:val="18"/>
          <w:rtl/>
        </w:rPr>
        <w:t xml:space="preserve"> </w:t>
      </w:r>
      <w:r w:rsidRPr="0030267C">
        <w:rPr>
          <w:rFonts w:cs="Arial" w:hint="cs"/>
          <w:sz w:val="18"/>
          <w:szCs w:val="18"/>
          <w:rtl/>
        </w:rPr>
        <w:t>משום</w:t>
      </w:r>
      <w:r w:rsidRPr="0030267C">
        <w:rPr>
          <w:rFonts w:cs="Arial"/>
          <w:sz w:val="18"/>
          <w:szCs w:val="18"/>
          <w:rtl/>
        </w:rPr>
        <w:t xml:space="preserve"> </w:t>
      </w:r>
      <w:r w:rsidRPr="0030267C">
        <w:rPr>
          <w:rFonts w:cs="Arial" w:hint="cs"/>
          <w:sz w:val="18"/>
          <w:szCs w:val="18"/>
          <w:rtl/>
        </w:rPr>
        <w:t>נדה</w:t>
      </w:r>
      <w:r w:rsidRPr="0030267C">
        <w:rPr>
          <w:rFonts w:cs="Arial"/>
          <w:sz w:val="18"/>
          <w:szCs w:val="18"/>
          <w:rtl/>
        </w:rPr>
        <w:t xml:space="preserve">, </w:t>
      </w:r>
      <w:r w:rsidRPr="0030267C">
        <w:rPr>
          <w:rFonts w:cs="Arial" w:hint="cs"/>
          <w:sz w:val="18"/>
          <w:szCs w:val="18"/>
          <w:rtl/>
        </w:rPr>
        <w:t>ורבי</w:t>
      </w:r>
      <w:r w:rsidRPr="0030267C">
        <w:rPr>
          <w:rFonts w:cs="Arial"/>
          <w:sz w:val="18"/>
          <w:szCs w:val="18"/>
          <w:rtl/>
        </w:rPr>
        <w:t xml:space="preserve"> </w:t>
      </w:r>
      <w:r w:rsidRPr="0030267C">
        <w:rPr>
          <w:rFonts w:cs="Arial" w:hint="cs"/>
          <w:sz w:val="18"/>
          <w:szCs w:val="18"/>
          <w:rtl/>
        </w:rPr>
        <w:t>חייא</w:t>
      </w:r>
      <w:r w:rsidRPr="0030267C">
        <w:rPr>
          <w:rFonts w:cs="Arial"/>
          <w:sz w:val="18"/>
          <w:szCs w:val="18"/>
          <w:rtl/>
        </w:rPr>
        <w:t xml:space="preserve"> </w:t>
      </w:r>
      <w:r w:rsidRPr="0030267C">
        <w:rPr>
          <w:rFonts w:cs="Arial" w:hint="cs"/>
          <w:sz w:val="18"/>
          <w:szCs w:val="18"/>
          <w:rtl/>
        </w:rPr>
        <w:t>אמר</w:t>
      </w:r>
      <w:r w:rsidRPr="0030267C">
        <w:rPr>
          <w:rFonts w:cs="Arial"/>
          <w:sz w:val="18"/>
          <w:szCs w:val="18"/>
          <w:rtl/>
        </w:rPr>
        <w:t xml:space="preserve"> </w:t>
      </w:r>
      <w:r w:rsidRPr="0030267C">
        <w:rPr>
          <w:rFonts w:cs="Arial" w:hint="cs"/>
          <w:sz w:val="18"/>
          <w:szCs w:val="18"/>
          <w:rtl/>
        </w:rPr>
        <w:t>טמאה</w:t>
      </w:r>
      <w:r w:rsidRPr="0030267C">
        <w:rPr>
          <w:rFonts w:cs="Arial"/>
          <w:sz w:val="18"/>
          <w:szCs w:val="18"/>
          <w:rtl/>
        </w:rPr>
        <w:t xml:space="preserve"> </w:t>
      </w:r>
      <w:r w:rsidRPr="0030267C">
        <w:rPr>
          <w:rFonts w:cs="Arial" w:hint="cs"/>
          <w:sz w:val="18"/>
          <w:szCs w:val="18"/>
          <w:rtl/>
        </w:rPr>
        <w:t>משום</w:t>
      </w:r>
      <w:r w:rsidRPr="0030267C">
        <w:rPr>
          <w:rFonts w:cs="Arial"/>
          <w:sz w:val="18"/>
          <w:szCs w:val="18"/>
          <w:rtl/>
        </w:rPr>
        <w:t xml:space="preserve"> </w:t>
      </w:r>
      <w:r w:rsidRPr="0030267C">
        <w:rPr>
          <w:rFonts w:cs="Arial" w:hint="cs"/>
          <w:sz w:val="18"/>
          <w:szCs w:val="18"/>
          <w:rtl/>
        </w:rPr>
        <w:t>כתם... תנא</w:t>
      </w:r>
      <w:r w:rsidRPr="0030267C">
        <w:rPr>
          <w:rFonts w:cs="Arial"/>
          <w:sz w:val="18"/>
          <w:szCs w:val="18"/>
          <w:rtl/>
        </w:rPr>
        <w:t xml:space="preserve"> </w:t>
      </w:r>
      <w:r w:rsidRPr="0030267C">
        <w:rPr>
          <w:rFonts w:cs="Arial" w:hint="cs"/>
          <w:sz w:val="18"/>
          <w:szCs w:val="18"/>
          <w:rtl/>
        </w:rPr>
        <w:t>רבי</w:t>
      </w:r>
      <w:r w:rsidRPr="0030267C">
        <w:rPr>
          <w:rFonts w:cs="Arial"/>
          <w:sz w:val="18"/>
          <w:szCs w:val="18"/>
          <w:rtl/>
        </w:rPr>
        <w:t xml:space="preserve"> - </w:t>
      </w:r>
      <w:r w:rsidRPr="0030267C">
        <w:rPr>
          <w:rFonts w:cs="Arial" w:hint="cs"/>
          <w:sz w:val="18"/>
          <w:szCs w:val="18"/>
          <w:rtl/>
        </w:rPr>
        <w:t>מטמא</w:t>
      </w:r>
      <w:r w:rsidRPr="0030267C">
        <w:rPr>
          <w:rFonts w:cs="Arial"/>
          <w:sz w:val="18"/>
          <w:szCs w:val="18"/>
          <w:rtl/>
        </w:rPr>
        <w:t xml:space="preserve">, </w:t>
      </w:r>
      <w:r w:rsidRPr="0030267C">
        <w:rPr>
          <w:rFonts w:cs="Arial" w:hint="cs"/>
          <w:sz w:val="18"/>
          <w:szCs w:val="18"/>
          <w:rtl/>
        </w:rPr>
        <w:t>ורבי</w:t>
      </w:r>
      <w:r w:rsidRPr="0030267C">
        <w:rPr>
          <w:rFonts w:cs="Arial"/>
          <w:sz w:val="18"/>
          <w:szCs w:val="18"/>
          <w:rtl/>
        </w:rPr>
        <w:t xml:space="preserve"> </w:t>
      </w:r>
      <w:r w:rsidRPr="0030267C">
        <w:rPr>
          <w:rFonts w:cs="Arial" w:hint="cs"/>
          <w:sz w:val="18"/>
          <w:szCs w:val="18"/>
          <w:rtl/>
        </w:rPr>
        <w:t>יוסי</w:t>
      </w:r>
      <w:r w:rsidRPr="0030267C">
        <w:rPr>
          <w:rFonts w:cs="Arial"/>
          <w:sz w:val="18"/>
          <w:szCs w:val="18"/>
          <w:rtl/>
        </w:rPr>
        <w:t xml:space="preserve"> - </w:t>
      </w:r>
      <w:r w:rsidRPr="0030267C">
        <w:rPr>
          <w:rFonts w:cs="Arial" w:hint="cs"/>
          <w:sz w:val="18"/>
          <w:szCs w:val="18"/>
          <w:rtl/>
        </w:rPr>
        <w:t>מטהר</w:t>
      </w:r>
      <w:r w:rsidRPr="0030267C">
        <w:rPr>
          <w:rFonts w:cs="Arial"/>
          <w:sz w:val="18"/>
          <w:szCs w:val="18"/>
          <w:rtl/>
        </w:rPr>
        <w:t xml:space="preserve">. </w:t>
      </w:r>
      <w:r w:rsidRPr="0030267C">
        <w:rPr>
          <w:rFonts w:cs="Arial" w:hint="cs"/>
          <w:sz w:val="18"/>
          <w:szCs w:val="18"/>
          <w:rtl/>
        </w:rPr>
        <w:t>ואמר</w:t>
      </w:r>
      <w:r w:rsidRPr="0030267C">
        <w:rPr>
          <w:rFonts w:cs="Arial"/>
          <w:sz w:val="18"/>
          <w:szCs w:val="18"/>
          <w:rtl/>
        </w:rPr>
        <w:t xml:space="preserve"> </w:t>
      </w:r>
      <w:r w:rsidRPr="0030267C">
        <w:rPr>
          <w:rFonts w:cs="Arial" w:hint="cs"/>
          <w:sz w:val="18"/>
          <w:szCs w:val="18"/>
          <w:rtl/>
        </w:rPr>
        <w:t>רבי</w:t>
      </w:r>
      <w:r w:rsidRPr="0030267C">
        <w:rPr>
          <w:rFonts w:cs="Arial"/>
          <w:sz w:val="18"/>
          <w:szCs w:val="18"/>
          <w:rtl/>
        </w:rPr>
        <w:t xml:space="preserve"> </w:t>
      </w:r>
      <w:r w:rsidRPr="0030267C">
        <w:rPr>
          <w:rFonts w:cs="Arial" w:hint="cs"/>
          <w:sz w:val="18"/>
          <w:szCs w:val="18"/>
          <w:rtl/>
        </w:rPr>
        <w:t>זירא</w:t>
      </w:r>
      <w:r w:rsidRPr="0030267C">
        <w:rPr>
          <w:rFonts w:cs="Arial"/>
          <w:sz w:val="18"/>
          <w:szCs w:val="18"/>
          <w:rtl/>
        </w:rPr>
        <w:t xml:space="preserve">: </w:t>
      </w:r>
      <w:r w:rsidRPr="0030267C">
        <w:rPr>
          <w:rFonts w:cs="Arial" w:hint="cs"/>
          <w:sz w:val="18"/>
          <w:szCs w:val="18"/>
          <w:rtl/>
        </w:rPr>
        <w:t>כשטימא</w:t>
      </w:r>
      <w:r w:rsidRPr="0030267C">
        <w:rPr>
          <w:rFonts w:cs="Arial"/>
          <w:sz w:val="18"/>
          <w:szCs w:val="18"/>
          <w:rtl/>
        </w:rPr>
        <w:t xml:space="preserve"> </w:t>
      </w:r>
      <w:r w:rsidRPr="0030267C">
        <w:rPr>
          <w:rFonts w:cs="Arial" w:hint="cs"/>
          <w:sz w:val="18"/>
          <w:szCs w:val="18"/>
          <w:rtl/>
        </w:rPr>
        <w:t>רבי</w:t>
      </w:r>
      <w:r w:rsidRPr="0030267C">
        <w:rPr>
          <w:rFonts w:cs="Arial"/>
          <w:sz w:val="18"/>
          <w:szCs w:val="18"/>
          <w:rtl/>
        </w:rPr>
        <w:t xml:space="preserve"> – </w:t>
      </w:r>
      <w:r w:rsidRPr="0030267C">
        <w:rPr>
          <w:rFonts w:cs="Arial" w:hint="cs"/>
          <w:sz w:val="18"/>
          <w:szCs w:val="18"/>
          <w:rtl/>
        </w:rPr>
        <w:t>כרבי מאיר</w:t>
      </w:r>
      <w:r w:rsidRPr="0030267C">
        <w:rPr>
          <w:rFonts w:cs="Arial"/>
          <w:sz w:val="18"/>
          <w:szCs w:val="18"/>
          <w:rtl/>
        </w:rPr>
        <w:t xml:space="preserve">, </w:t>
      </w:r>
      <w:r w:rsidRPr="0030267C">
        <w:rPr>
          <w:rFonts w:cs="Arial" w:hint="cs"/>
          <w:sz w:val="18"/>
          <w:szCs w:val="18"/>
          <w:rtl/>
        </w:rPr>
        <w:t>וכשטיהר</w:t>
      </w:r>
      <w:r w:rsidRPr="0030267C">
        <w:rPr>
          <w:rFonts w:cs="Arial"/>
          <w:sz w:val="18"/>
          <w:szCs w:val="18"/>
          <w:rtl/>
        </w:rPr>
        <w:t xml:space="preserve"> </w:t>
      </w:r>
      <w:r w:rsidRPr="0030267C">
        <w:rPr>
          <w:rFonts w:cs="Arial" w:hint="cs"/>
          <w:sz w:val="18"/>
          <w:szCs w:val="18"/>
          <w:rtl/>
        </w:rPr>
        <w:t>רבי</w:t>
      </w:r>
      <w:r w:rsidRPr="0030267C">
        <w:rPr>
          <w:rFonts w:cs="Arial"/>
          <w:sz w:val="18"/>
          <w:szCs w:val="18"/>
          <w:rtl/>
        </w:rPr>
        <w:t xml:space="preserve"> </w:t>
      </w:r>
      <w:r w:rsidRPr="0030267C">
        <w:rPr>
          <w:rFonts w:cs="Arial" w:hint="cs"/>
          <w:sz w:val="18"/>
          <w:szCs w:val="18"/>
          <w:rtl/>
        </w:rPr>
        <w:t>יוסי</w:t>
      </w:r>
      <w:r w:rsidRPr="0030267C">
        <w:rPr>
          <w:rFonts w:cs="Arial"/>
          <w:sz w:val="18"/>
          <w:szCs w:val="18"/>
          <w:rtl/>
        </w:rPr>
        <w:t xml:space="preserve"> - </w:t>
      </w:r>
      <w:r w:rsidRPr="0030267C">
        <w:rPr>
          <w:rFonts w:cs="Arial" w:hint="cs"/>
          <w:sz w:val="18"/>
          <w:szCs w:val="18"/>
          <w:rtl/>
        </w:rPr>
        <w:t>לעצמו</w:t>
      </w:r>
      <w:r w:rsidRPr="0030267C">
        <w:rPr>
          <w:rFonts w:cs="Arial"/>
          <w:sz w:val="18"/>
          <w:szCs w:val="18"/>
          <w:rtl/>
        </w:rPr>
        <w:t xml:space="preserve"> </w:t>
      </w:r>
      <w:r w:rsidRPr="0030267C">
        <w:rPr>
          <w:rFonts w:cs="Arial" w:hint="cs"/>
          <w:sz w:val="16"/>
          <w:szCs w:val="16"/>
          <w:rtl/>
        </w:rPr>
        <w:t xml:space="preserve">(כשיטתו) </w:t>
      </w:r>
      <w:r w:rsidRPr="0030267C">
        <w:rPr>
          <w:rFonts w:cs="Arial" w:hint="cs"/>
          <w:sz w:val="18"/>
          <w:szCs w:val="18"/>
          <w:rtl/>
        </w:rPr>
        <w:t>טיהר</w:t>
      </w:r>
      <w:r w:rsidRPr="0030267C">
        <w:rPr>
          <w:rFonts w:cs="Arial"/>
          <w:sz w:val="18"/>
          <w:szCs w:val="18"/>
          <w:rtl/>
        </w:rPr>
        <w:t xml:space="preserve">. </w:t>
      </w:r>
      <w:r w:rsidRPr="0030267C">
        <w:rPr>
          <w:rFonts w:cs="Arial" w:hint="cs"/>
          <w:sz w:val="18"/>
          <w:szCs w:val="18"/>
          <w:rtl/>
        </w:rPr>
        <w:t>דתניא</w:t>
      </w:r>
      <w:r w:rsidRPr="0030267C">
        <w:rPr>
          <w:rFonts w:cs="Arial"/>
          <w:sz w:val="18"/>
          <w:szCs w:val="18"/>
          <w:rtl/>
        </w:rPr>
        <w:t xml:space="preserve">, </w:t>
      </w:r>
      <w:r w:rsidRPr="0030267C">
        <w:rPr>
          <w:rFonts w:cs="Arial" w:hint="cs"/>
          <w:sz w:val="18"/>
          <w:szCs w:val="18"/>
          <w:rtl/>
        </w:rPr>
        <w:t>האשה</w:t>
      </w:r>
      <w:r w:rsidRPr="0030267C">
        <w:rPr>
          <w:rFonts w:cs="Arial"/>
          <w:sz w:val="18"/>
          <w:szCs w:val="18"/>
          <w:rtl/>
        </w:rPr>
        <w:t xml:space="preserve"> </w:t>
      </w:r>
      <w:r w:rsidRPr="0030267C">
        <w:rPr>
          <w:rFonts w:cs="Arial" w:hint="cs"/>
          <w:sz w:val="18"/>
          <w:szCs w:val="18"/>
          <w:rtl/>
        </w:rPr>
        <w:t>שהיתה</w:t>
      </w:r>
      <w:r w:rsidRPr="0030267C">
        <w:rPr>
          <w:rFonts w:cs="Arial"/>
          <w:sz w:val="18"/>
          <w:szCs w:val="18"/>
          <w:rtl/>
        </w:rPr>
        <w:t xml:space="preserve"> </w:t>
      </w:r>
      <w:r w:rsidRPr="0030267C">
        <w:rPr>
          <w:rFonts w:cs="Arial" w:hint="cs"/>
          <w:sz w:val="18"/>
          <w:szCs w:val="18"/>
          <w:rtl/>
        </w:rPr>
        <w:t>עושה</w:t>
      </w:r>
      <w:r w:rsidRPr="0030267C">
        <w:rPr>
          <w:rFonts w:cs="Arial"/>
          <w:sz w:val="18"/>
          <w:szCs w:val="18"/>
          <w:rtl/>
        </w:rPr>
        <w:t xml:space="preserve"> </w:t>
      </w:r>
      <w:r w:rsidRPr="0030267C">
        <w:rPr>
          <w:rFonts w:cs="Arial" w:hint="cs"/>
          <w:sz w:val="18"/>
          <w:szCs w:val="18"/>
          <w:rtl/>
        </w:rPr>
        <w:t>צרכיה</w:t>
      </w:r>
      <w:r w:rsidRPr="0030267C">
        <w:rPr>
          <w:rFonts w:cs="Arial"/>
          <w:sz w:val="18"/>
          <w:szCs w:val="18"/>
          <w:rtl/>
        </w:rPr>
        <w:t xml:space="preserve"> </w:t>
      </w:r>
      <w:r w:rsidRPr="0030267C">
        <w:rPr>
          <w:rFonts w:cs="Arial" w:hint="cs"/>
          <w:sz w:val="18"/>
          <w:szCs w:val="18"/>
          <w:rtl/>
        </w:rPr>
        <w:t>וראתה</w:t>
      </w:r>
      <w:r w:rsidRPr="0030267C">
        <w:rPr>
          <w:rFonts w:cs="Arial"/>
          <w:sz w:val="18"/>
          <w:szCs w:val="18"/>
          <w:rtl/>
        </w:rPr>
        <w:t xml:space="preserve"> </w:t>
      </w:r>
      <w:r w:rsidRPr="0030267C">
        <w:rPr>
          <w:rFonts w:cs="Arial" w:hint="cs"/>
          <w:sz w:val="18"/>
          <w:szCs w:val="18"/>
          <w:rtl/>
        </w:rPr>
        <w:t>דם</w:t>
      </w:r>
      <w:r w:rsidRPr="0030267C">
        <w:rPr>
          <w:rFonts w:cs="Arial"/>
          <w:sz w:val="18"/>
          <w:szCs w:val="18"/>
          <w:rtl/>
        </w:rPr>
        <w:t xml:space="preserve"> </w:t>
      </w:r>
      <w:r w:rsidRPr="0030267C">
        <w:rPr>
          <w:rFonts w:cs="Arial" w:hint="cs"/>
          <w:sz w:val="18"/>
          <w:szCs w:val="18"/>
          <w:rtl/>
        </w:rPr>
        <w:t>רבי מאיר</w:t>
      </w:r>
      <w:r w:rsidRPr="0030267C">
        <w:rPr>
          <w:rFonts w:cs="Arial"/>
          <w:sz w:val="18"/>
          <w:szCs w:val="18"/>
          <w:rtl/>
        </w:rPr>
        <w:t xml:space="preserve"> </w:t>
      </w:r>
      <w:r w:rsidRPr="0030267C">
        <w:rPr>
          <w:rFonts w:cs="Arial" w:hint="cs"/>
          <w:sz w:val="18"/>
          <w:szCs w:val="18"/>
          <w:rtl/>
        </w:rPr>
        <w:t>אומר</w:t>
      </w:r>
      <w:r w:rsidRPr="0030267C">
        <w:rPr>
          <w:rFonts w:cs="Arial"/>
          <w:sz w:val="18"/>
          <w:szCs w:val="18"/>
          <w:rtl/>
        </w:rPr>
        <w:t xml:space="preserve">: </w:t>
      </w:r>
      <w:r w:rsidRPr="0030267C">
        <w:rPr>
          <w:rFonts w:cs="Arial" w:hint="cs"/>
          <w:sz w:val="18"/>
          <w:szCs w:val="18"/>
          <w:rtl/>
        </w:rPr>
        <w:t>אם</w:t>
      </w:r>
      <w:r w:rsidRPr="0030267C">
        <w:rPr>
          <w:rFonts w:cs="Arial"/>
          <w:sz w:val="18"/>
          <w:szCs w:val="18"/>
          <w:rtl/>
        </w:rPr>
        <w:t xml:space="preserve"> </w:t>
      </w:r>
      <w:r w:rsidRPr="0030267C">
        <w:rPr>
          <w:rFonts w:cs="Arial" w:hint="cs"/>
          <w:sz w:val="18"/>
          <w:szCs w:val="18"/>
          <w:rtl/>
        </w:rPr>
        <w:t>עומדת</w:t>
      </w:r>
      <w:r w:rsidRPr="0030267C">
        <w:rPr>
          <w:rFonts w:cs="Arial"/>
          <w:sz w:val="18"/>
          <w:szCs w:val="18"/>
          <w:rtl/>
        </w:rPr>
        <w:t xml:space="preserve"> - </w:t>
      </w:r>
      <w:r w:rsidRPr="0030267C">
        <w:rPr>
          <w:rFonts w:cs="Arial" w:hint="cs"/>
          <w:sz w:val="18"/>
          <w:szCs w:val="18"/>
          <w:rtl/>
        </w:rPr>
        <w:t>טמאה</w:t>
      </w:r>
      <w:r w:rsidRPr="0030267C">
        <w:rPr>
          <w:rFonts w:cs="Arial"/>
          <w:sz w:val="18"/>
          <w:szCs w:val="18"/>
          <w:rtl/>
        </w:rPr>
        <w:t xml:space="preserve">, </w:t>
      </w:r>
      <w:r w:rsidRPr="0030267C">
        <w:rPr>
          <w:rFonts w:cs="Arial" w:hint="cs"/>
          <w:sz w:val="18"/>
          <w:szCs w:val="18"/>
          <w:rtl/>
        </w:rPr>
        <w:t>אם</w:t>
      </w:r>
      <w:r w:rsidRPr="0030267C">
        <w:rPr>
          <w:rFonts w:cs="Arial"/>
          <w:sz w:val="18"/>
          <w:szCs w:val="18"/>
          <w:rtl/>
        </w:rPr>
        <w:t xml:space="preserve"> </w:t>
      </w:r>
      <w:r w:rsidRPr="0030267C">
        <w:rPr>
          <w:rFonts w:cs="Arial" w:hint="cs"/>
          <w:sz w:val="18"/>
          <w:szCs w:val="18"/>
          <w:rtl/>
        </w:rPr>
        <w:t>יושבת</w:t>
      </w:r>
      <w:r w:rsidRPr="0030267C">
        <w:rPr>
          <w:rFonts w:cs="Arial"/>
          <w:sz w:val="18"/>
          <w:szCs w:val="18"/>
          <w:rtl/>
        </w:rPr>
        <w:t xml:space="preserve"> - </w:t>
      </w:r>
      <w:r w:rsidRPr="0030267C">
        <w:rPr>
          <w:rFonts w:cs="Arial" w:hint="cs"/>
          <w:sz w:val="18"/>
          <w:szCs w:val="18"/>
          <w:rtl/>
        </w:rPr>
        <w:t>טהורה</w:t>
      </w:r>
      <w:r w:rsidRPr="0030267C">
        <w:rPr>
          <w:rFonts w:cs="Arial"/>
          <w:sz w:val="18"/>
          <w:szCs w:val="18"/>
          <w:rtl/>
        </w:rPr>
        <w:t xml:space="preserve">. </w:t>
      </w:r>
      <w:r w:rsidRPr="0030267C">
        <w:rPr>
          <w:rFonts w:cs="Arial" w:hint="cs"/>
          <w:sz w:val="18"/>
          <w:szCs w:val="18"/>
          <w:rtl/>
        </w:rPr>
        <w:t>רבי</w:t>
      </w:r>
      <w:r w:rsidRPr="0030267C">
        <w:rPr>
          <w:rFonts w:cs="Arial"/>
          <w:sz w:val="18"/>
          <w:szCs w:val="18"/>
          <w:rtl/>
        </w:rPr>
        <w:t xml:space="preserve"> </w:t>
      </w:r>
      <w:r w:rsidRPr="0030267C">
        <w:rPr>
          <w:rFonts w:cs="Arial" w:hint="cs"/>
          <w:sz w:val="18"/>
          <w:szCs w:val="18"/>
          <w:rtl/>
        </w:rPr>
        <w:t>יוסי</w:t>
      </w:r>
      <w:r w:rsidRPr="0030267C">
        <w:rPr>
          <w:rFonts w:cs="Arial"/>
          <w:sz w:val="18"/>
          <w:szCs w:val="18"/>
          <w:rtl/>
        </w:rPr>
        <w:t xml:space="preserve"> </w:t>
      </w:r>
      <w:r w:rsidRPr="0030267C">
        <w:rPr>
          <w:rFonts w:cs="Arial" w:hint="cs"/>
          <w:sz w:val="18"/>
          <w:szCs w:val="18"/>
          <w:rtl/>
        </w:rPr>
        <w:t>אומר</w:t>
      </w:r>
      <w:r w:rsidRPr="0030267C">
        <w:rPr>
          <w:rFonts w:cs="Arial"/>
          <w:sz w:val="18"/>
          <w:szCs w:val="18"/>
          <w:rtl/>
        </w:rPr>
        <w:t xml:space="preserve">: </w:t>
      </w:r>
      <w:r w:rsidRPr="0030267C">
        <w:rPr>
          <w:rFonts w:cs="Arial" w:hint="cs"/>
          <w:sz w:val="18"/>
          <w:szCs w:val="18"/>
          <w:rtl/>
        </w:rPr>
        <w:t>בין</w:t>
      </w:r>
      <w:r w:rsidRPr="0030267C">
        <w:rPr>
          <w:rFonts w:cs="Arial"/>
          <w:sz w:val="18"/>
          <w:szCs w:val="18"/>
          <w:rtl/>
        </w:rPr>
        <w:t xml:space="preserve"> </w:t>
      </w:r>
      <w:r w:rsidRPr="0030267C">
        <w:rPr>
          <w:rFonts w:cs="Arial" w:hint="cs"/>
          <w:sz w:val="18"/>
          <w:szCs w:val="18"/>
          <w:rtl/>
        </w:rPr>
        <w:t>כך</w:t>
      </w:r>
      <w:r w:rsidRPr="0030267C">
        <w:rPr>
          <w:rFonts w:cs="Arial"/>
          <w:sz w:val="18"/>
          <w:szCs w:val="18"/>
          <w:rtl/>
        </w:rPr>
        <w:t xml:space="preserve"> </w:t>
      </w:r>
      <w:r w:rsidRPr="0030267C">
        <w:rPr>
          <w:rFonts w:cs="Arial" w:hint="cs"/>
          <w:sz w:val="18"/>
          <w:szCs w:val="18"/>
          <w:rtl/>
        </w:rPr>
        <w:t>ובין</w:t>
      </w:r>
      <w:r w:rsidRPr="0030267C">
        <w:rPr>
          <w:rFonts w:cs="Arial"/>
          <w:sz w:val="18"/>
          <w:szCs w:val="18"/>
          <w:rtl/>
        </w:rPr>
        <w:t xml:space="preserve"> </w:t>
      </w:r>
      <w:r w:rsidRPr="0030267C">
        <w:rPr>
          <w:rFonts w:cs="Arial" w:hint="cs"/>
          <w:sz w:val="18"/>
          <w:szCs w:val="18"/>
          <w:rtl/>
        </w:rPr>
        <w:t>כך</w:t>
      </w:r>
      <w:r w:rsidRPr="0030267C">
        <w:rPr>
          <w:rFonts w:cs="Arial"/>
          <w:sz w:val="18"/>
          <w:szCs w:val="18"/>
          <w:rtl/>
        </w:rPr>
        <w:t xml:space="preserve"> </w:t>
      </w:r>
      <w:r w:rsidRPr="0030267C">
        <w:rPr>
          <w:rFonts w:cs="Arial" w:hint="cs"/>
          <w:sz w:val="18"/>
          <w:szCs w:val="18"/>
          <w:rtl/>
        </w:rPr>
        <w:t>טהורה</w:t>
      </w:r>
      <w:r w:rsidRPr="0030267C">
        <w:rPr>
          <w:rFonts w:hint="cs"/>
          <w:sz w:val="18"/>
          <w:szCs w:val="18"/>
          <w:rtl/>
        </w:rPr>
        <w:t>".</w:t>
      </w:r>
      <w:r w:rsidRPr="0030267C">
        <w:rPr>
          <w:sz w:val="18"/>
          <w:szCs w:val="18"/>
          <w:rtl/>
        </w:rPr>
        <w:br/>
      </w:r>
      <w:r w:rsidRPr="0030267C">
        <w:rPr>
          <w:rFonts w:hint="cs"/>
          <w:sz w:val="18"/>
          <w:szCs w:val="18"/>
          <w:rtl/>
        </w:rPr>
        <w:t xml:space="preserve">הסבר ההוכחה </w:t>
      </w:r>
      <w:r w:rsidRPr="0030267C">
        <w:rPr>
          <w:sz w:val="18"/>
          <w:szCs w:val="18"/>
          <w:rtl/>
        </w:rPr>
        <w:t>–</w:t>
      </w:r>
      <w:r w:rsidRPr="0030267C">
        <w:rPr>
          <w:rFonts w:hint="cs"/>
          <w:sz w:val="18"/>
          <w:szCs w:val="18"/>
          <w:rtl/>
        </w:rPr>
        <w:t xml:space="preserve"> רבי מטמא משום נידה, ואם כן יש לומר שגם רבי מאיר מטמא משום ניד</w:t>
      </w:r>
      <w:r>
        <w:rPr>
          <w:rFonts w:hint="cs"/>
          <w:sz w:val="18"/>
          <w:szCs w:val="18"/>
          <w:rtl/>
        </w:rPr>
        <w:t>ה</w:t>
      </w:r>
      <w:r w:rsidRPr="0030267C">
        <w:rPr>
          <w:rFonts w:hint="cs"/>
          <w:sz w:val="18"/>
          <w:szCs w:val="18"/>
          <w:rtl/>
        </w:rPr>
        <w:t>, שהרי הגמרא כורכת את דעותיהם זאת בזאת. ומעתה יש לומר שדעת רבי יוסי לטמא משום כתם, כדי שלא ניצור מחלוקת קוטבית בין דעות התנאים. כלומר, מאחר שרבי מאיר מטמא משום נידה, נוח יותר לומר שרבי יוסי אינו מטהר לגמרי אלא מטמא משום כתם, כדי לצמצם את מחלוקתם ככל האפשר.</w:t>
      </w:r>
    </w:p>
    <w:p w:rsidR="005953C5" w:rsidRPr="0030267C" w:rsidRDefault="005953C5" w:rsidP="00620060">
      <w:pPr>
        <w:rPr>
          <w:sz w:val="18"/>
          <w:szCs w:val="18"/>
          <w:rtl/>
        </w:rPr>
      </w:pPr>
      <w:r w:rsidRPr="0030267C">
        <w:rPr>
          <w:rFonts w:hint="cs"/>
          <w:sz w:val="18"/>
          <w:szCs w:val="18"/>
          <w:rtl/>
        </w:rPr>
        <w:t xml:space="preserve">ג. ועוד </w:t>
      </w:r>
      <w:r w:rsidRPr="0030267C">
        <w:rPr>
          <w:sz w:val="18"/>
          <w:szCs w:val="18"/>
          <w:rtl/>
        </w:rPr>
        <w:t>–</w:t>
      </w:r>
      <w:r w:rsidRPr="0030267C">
        <w:rPr>
          <w:rFonts w:hint="cs"/>
          <w:sz w:val="18"/>
          <w:szCs w:val="18"/>
          <w:rtl/>
        </w:rPr>
        <w:t xml:space="preserve"> מאחר שרבי חייא מטמא משום כתם, מסתבר לומר שגם באשה העושה צר</w:t>
      </w:r>
      <w:r>
        <w:rPr>
          <w:rFonts w:hint="cs"/>
          <w:sz w:val="18"/>
          <w:szCs w:val="18"/>
          <w:rtl/>
        </w:rPr>
        <w:t>כי</w:t>
      </w:r>
      <w:r w:rsidRPr="0030267C">
        <w:rPr>
          <w:rFonts w:hint="cs"/>
          <w:sz w:val="18"/>
          <w:szCs w:val="18"/>
          <w:rtl/>
        </w:rPr>
        <w:t xml:space="preserve">ה מטמא משום כתם, שהרי הגמרא השוותה את המחלוקות זו לזו. ומסתמא דעת רבי חייא כדעת רבי יוסי, והסבר זה עדיף מלומר שיש ג' דעות בדין האשה שעושה צרכיה </w:t>
      </w:r>
      <w:r w:rsidRPr="0030267C">
        <w:rPr>
          <w:rFonts w:hint="cs"/>
          <w:sz w:val="16"/>
          <w:szCs w:val="16"/>
          <w:rtl/>
        </w:rPr>
        <w:t xml:space="preserve">(כלומר </w:t>
      </w:r>
      <w:r w:rsidRPr="0030267C">
        <w:rPr>
          <w:sz w:val="16"/>
          <w:szCs w:val="16"/>
          <w:rtl/>
        </w:rPr>
        <w:t>–</w:t>
      </w:r>
      <w:r w:rsidRPr="0030267C">
        <w:rPr>
          <w:rFonts w:hint="cs"/>
          <w:sz w:val="16"/>
          <w:szCs w:val="16"/>
          <w:rtl/>
        </w:rPr>
        <w:t xml:space="preserve"> שרבי מאיר מטמא משום נידה, רבי חייא משום כתם ורבי יוסי מטהר לגמרי) </w:t>
      </w:r>
      <w:r w:rsidRPr="0030267C">
        <w:rPr>
          <w:rFonts w:hint="cs"/>
          <w:sz w:val="18"/>
          <w:szCs w:val="18"/>
          <w:rtl/>
        </w:rPr>
        <w:t>אלא עדיף לומר שיש רק ב' דעות, כלומר שרבי חייא ורבי יוסי מטמאים משום כתם.</w:t>
      </w:r>
    </w:p>
    <w:p w:rsidR="005953C5" w:rsidRDefault="005953C5" w:rsidP="00620060">
      <w:pPr>
        <w:rPr>
          <w:rtl/>
        </w:rPr>
      </w:pPr>
      <w:r w:rsidRPr="0030267C">
        <w:rPr>
          <w:rFonts w:hint="cs"/>
          <w:sz w:val="18"/>
          <w:szCs w:val="18"/>
          <w:u w:val="single"/>
          <w:rtl/>
        </w:rPr>
        <w:t>הכרעת הבית יוסף</w:t>
      </w:r>
      <w:r w:rsidRPr="0030267C">
        <w:rPr>
          <w:sz w:val="18"/>
          <w:szCs w:val="18"/>
          <w:u w:val="single"/>
          <w:rtl/>
        </w:rPr>
        <w:br/>
      </w:r>
      <w:r w:rsidRPr="0030267C">
        <w:rPr>
          <w:rFonts w:hint="cs"/>
          <w:sz w:val="18"/>
          <w:szCs w:val="18"/>
          <w:rtl/>
        </w:rPr>
        <w:t>הראיות לשיטת ר"ח הן טובות וראוי לפסוק הלכה כמותו.</w:t>
      </w:r>
      <w:r w:rsidRPr="0030267C">
        <w:rPr>
          <w:sz w:val="18"/>
          <w:szCs w:val="18"/>
          <w:rtl/>
        </w:rPr>
        <w:br/>
      </w:r>
      <w:r w:rsidRPr="0030267C">
        <w:rPr>
          <w:rFonts w:hint="cs"/>
          <w:sz w:val="18"/>
          <w:szCs w:val="18"/>
          <w:rtl/>
        </w:rPr>
        <w:t xml:space="preserve">ואמנם, מכיוון שהפוסקים לא סמכו על דבריו </w:t>
      </w:r>
      <w:r w:rsidRPr="0030267C">
        <w:rPr>
          <w:sz w:val="18"/>
          <w:szCs w:val="18"/>
          <w:rtl/>
        </w:rPr>
        <w:t>–</w:t>
      </w:r>
      <w:r w:rsidRPr="0030267C">
        <w:rPr>
          <w:rFonts w:hint="cs"/>
          <w:sz w:val="18"/>
          <w:szCs w:val="18"/>
          <w:rtl/>
        </w:rPr>
        <w:t xml:space="preserve"> אין הלכה כמותו. </w:t>
      </w:r>
    </w:p>
  </w:footnote>
  <w:footnote w:id="360">
    <w:p w:rsidR="005953C5" w:rsidRDefault="005953C5" w:rsidP="00620060">
      <w:pPr>
        <w:pStyle w:val="a3"/>
        <w:rPr>
          <w:rtl/>
        </w:rPr>
      </w:pPr>
      <w:r w:rsidRPr="002C3C16">
        <w:rPr>
          <w:rStyle w:val="a5"/>
          <w:sz w:val="18"/>
          <w:szCs w:val="18"/>
        </w:rPr>
        <w:footnoteRef/>
      </w:r>
      <w:r w:rsidRPr="002C3C16">
        <w:rPr>
          <w:sz w:val="18"/>
          <w:szCs w:val="18"/>
          <w:rtl/>
        </w:rPr>
        <w:t xml:space="preserve"> </w:t>
      </w:r>
      <w:r w:rsidRPr="002C3C16">
        <w:rPr>
          <w:rFonts w:hint="cs"/>
          <w:b/>
          <w:bCs/>
          <w:sz w:val="18"/>
          <w:szCs w:val="18"/>
          <w:rtl/>
        </w:rPr>
        <w:t>שו"ע</w:t>
      </w:r>
      <w:r w:rsidRPr="002C3C16">
        <w:rPr>
          <w:rFonts w:hint="cs"/>
          <w:sz w:val="18"/>
          <w:szCs w:val="18"/>
          <w:rtl/>
        </w:rPr>
        <w:t xml:space="preserve"> </w:t>
      </w:r>
      <w:r w:rsidRPr="002C3C16">
        <w:rPr>
          <w:rFonts w:hint="cs"/>
          <w:sz w:val="16"/>
          <w:szCs w:val="16"/>
          <w:rtl/>
        </w:rPr>
        <w:t xml:space="preserve">(קצ, מה) </w:t>
      </w:r>
      <w:r w:rsidRPr="002C3C16">
        <w:rPr>
          <w:sz w:val="18"/>
          <w:szCs w:val="18"/>
          <w:rtl/>
        </w:rPr>
        <w:t>–</w:t>
      </w:r>
      <w:r w:rsidRPr="002C3C16">
        <w:rPr>
          <w:rFonts w:hint="cs"/>
          <w:sz w:val="18"/>
          <w:szCs w:val="18"/>
          <w:rtl/>
        </w:rPr>
        <w:t xml:space="preserve"> "</w:t>
      </w:r>
      <w:r w:rsidRPr="002C3C16">
        <w:rPr>
          <w:rFonts w:cs="Arial"/>
          <w:sz w:val="18"/>
          <w:szCs w:val="18"/>
          <w:rtl/>
        </w:rPr>
        <w:t xml:space="preserve">לבשה חלוק קודם שהיתה מעוברת, ואחר שנתעברה לבשתו בלא בדיקה ומצאה עליו כתם, תולה בלבישת הימים שלא היתה מעוברת. </w:t>
      </w:r>
      <w:r w:rsidRPr="002C3C16">
        <w:rPr>
          <w:rFonts w:cs="Arial" w:hint="cs"/>
          <w:sz w:val="16"/>
          <w:szCs w:val="16"/>
          <w:rtl/>
        </w:rPr>
        <w:t xml:space="preserve">הגה: </w:t>
      </w:r>
      <w:r w:rsidRPr="002C3C16">
        <w:rPr>
          <w:rFonts w:cs="Arial"/>
          <w:sz w:val="16"/>
          <w:szCs w:val="16"/>
          <w:u w:val="single"/>
          <w:rtl/>
        </w:rPr>
        <w:t>וכן זקנה תולה בעצמה בימים שלא היתה זקנה</w:t>
      </w:r>
      <w:r w:rsidRPr="002C3C16">
        <w:rPr>
          <w:rFonts w:cs="Arial" w:hint="cs"/>
          <w:sz w:val="18"/>
          <w:szCs w:val="18"/>
          <w:rtl/>
        </w:rPr>
        <w:t>".</w:t>
      </w:r>
    </w:p>
  </w:footnote>
  <w:footnote w:id="361">
    <w:p w:rsidR="005953C5" w:rsidRDefault="005953C5" w:rsidP="00620060">
      <w:pPr>
        <w:pStyle w:val="a3"/>
        <w:rPr>
          <w:rtl/>
        </w:rPr>
      </w:pPr>
      <w:r w:rsidRPr="00D7273C">
        <w:rPr>
          <w:rStyle w:val="a5"/>
          <w:sz w:val="18"/>
          <w:szCs w:val="18"/>
        </w:rPr>
        <w:footnoteRef/>
      </w:r>
      <w:r w:rsidRPr="00D7273C">
        <w:rPr>
          <w:sz w:val="18"/>
          <w:szCs w:val="18"/>
          <w:rtl/>
        </w:rPr>
        <w:t xml:space="preserve"> </w:t>
      </w:r>
      <w:r w:rsidRPr="00D7273C">
        <w:rPr>
          <w:rFonts w:hint="cs"/>
          <w:sz w:val="18"/>
          <w:szCs w:val="18"/>
          <w:rtl/>
        </w:rPr>
        <w:t xml:space="preserve">כלומר </w:t>
      </w:r>
      <w:r w:rsidRPr="00D7273C">
        <w:rPr>
          <w:sz w:val="18"/>
          <w:szCs w:val="18"/>
          <w:rtl/>
        </w:rPr>
        <w:t>–</w:t>
      </w:r>
      <w:r w:rsidRPr="00D7273C">
        <w:rPr>
          <w:rFonts w:hint="cs"/>
          <w:sz w:val="18"/>
          <w:szCs w:val="18"/>
          <w:rtl/>
        </w:rPr>
        <w:t xml:space="preserve"> </w:t>
      </w:r>
      <w:r w:rsidRPr="00D7273C">
        <w:rPr>
          <w:rFonts w:hint="cs"/>
          <w:b/>
          <w:bCs/>
          <w:sz w:val="18"/>
          <w:szCs w:val="18"/>
          <w:rtl/>
        </w:rPr>
        <w:t>הר"ן</w:t>
      </w:r>
      <w:r w:rsidRPr="00D7273C">
        <w:rPr>
          <w:rFonts w:hint="cs"/>
          <w:sz w:val="18"/>
          <w:szCs w:val="18"/>
          <w:rtl/>
        </w:rPr>
        <w:t xml:space="preserve"> סובר שאם נמצא דם על שפת הספל גם רבי יוסי מטמא. טעמו משום שדם המגיע לאחר הטלת מ"ר נמצא על שפת הספל ולא בתוכו, ולכן הוי כרגליים לדבר שהיא טמאה. לעומת זאת, כאשר הדם נמצא על שפת הספל ובתוכו, אין רגליים לדבר שהיא טמאה. אלא יש לומר, שהדם בתוך הספל הגיע עם השתן שזינק בתחילה, ואילו הדם על שפת הספל הגיע עם השתן ששתת בסוף, כדרך שתן להיות שותת בסופו.</w:t>
      </w:r>
      <w:r>
        <w:rPr>
          <w:rFonts w:hint="cs"/>
          <w:rtl/>
        </w:rPr>
        <w:t xml:space="preserve"> </w:t>
      </w:r>
      <w:r>
        <w:rPr>
          <w:rtl/>
        </w:rPr>
        <w:br/>
      </w:r>
      <w:r w:rsidRPr="00B02563">
        <w:rPr>
          <w:rFonts w:hint="cs"/>
          <w:sz w:val="18"/>
          <w:szCs w:val="18"/>
          <w:rtl/>
        </w:rPr>
        <w:t>ואמנם, רבי מאיר מטמא אף בכה"ג משום שחושש למיעוט, ומכיוון שאין הוכחה להיתר, יש לטמאה שמא הדם שעל שפת הספל לא בא עם מ"ר אלא לאחר שתמו המ"ר הגיע הדם.</w:t>
      </w:r>
    </w:p>
  </w:footnote>
  <w:footnote w:id="362">
    <w:p w:rsidR="005953C5" w:rsidRDefault="005953C5" w:rsidP="00620060">
      <w:pPr>
        <w:pStyle w:val="a3"/>
      </w:pPr>
      <w:r w:rsidRPr="00223886">
        <w:rPr>
          <w:rStyle w:val="a5"/>
          <w:sz w:val="18"/>
          <w:szCs w:val="18"/>
        </w:rPr>
        <w:footnoteRef/>
      </w:r>
      <w:r w:rsidRPr="00223886">
        <w:rPr>
          <w:sz w:val="18"/>
          <w:szCs w:val="18"/>
          <w:rtl/>
        </w:rPr>
        <w:t xml:space="preserve"> </w:t>
      </w:r>
      <w:r w:rsidRPr="00223886">
        <w:rPr>
          <w:rFonts w:hint="cs"/>
          <w:sz w:val="18"/>
          <w:szCs w:val="18"/>
          <w:rtl/>
        </w:rPr>
        <w:t>ולמרות שהרמב"ן כתב שאיננו בקיאים בין דם מכה לדם מקור, יש לומר שהוא מיירי בדם מכה הדומה לדם מקור, אך הדם במקרה כאן אינו דומה לגמרי לדם מקור, אלא אלו הם כעין חצץ שרגילים להיוולד בכליות ולכן יש להקל בכך טפי.</w:t>
      </w:r>
    </w:p>
  </w:footnote>
  <w:footnote w:id="363">
    <w:p w:rsidR="005953C5" w:rsidRPr="00180C7D" w:rsidRDefault="005953C5" w:rsidP="00620060">
      <w:pPr>
        <w:pStyle w:val="a3"/>
        <w:rPr>
          <w:rtl/>
        </w:rPr>
      </w:pPr>
      <w:r w:rsidRPr="00180C7D">
        <w:rPr>
          <w:rStyle w:val="a5"/>
          <w:sz w:val="18"/>
          <w:szCs w:val="18"/>
        </w:rPr>
        <w:footnoteRef/>
      </w:r>
      <w:r w:rsidRPr="00180C7D">
        <w:rPr>
          <w:sz w:val="18"/>
          <w:szCs w:val="18"/>
          <w:rtl/>
        </w:rPr>
        <w:t xml:space="preserve"> </w:t>
      </w:r>
      <w:r w:rsidRPr="00180C7D">
        <w:rPr>
          <w:rFonts w:hint="cs"/>
          <w:b/>
          <w:bCs/>
          <w:sz w:val="18"/>
          <w:szCs w:val="18"/>
          <w:rtl/>
        </w:rPr>
        <w:t>הבית יוסף</w:t>
      </w:r>
      <w:r w:rsidRPr="00180C7D">
        <w:rPr>
          <w:rFonts w:hint="cs"/>
          <w:sz w:val="18"/>
          <w:szCs w:val="18"/>
          <w:rtl/>
        </w:rPr>
        <w:t xml:space="preserve"> מעמת את תשובת הרא"ש עם דברי המרדכי - </w:t>
      </w:r>
      <w:r w:rsidRPr="00180C7D">
        <w:rPr>
          <w:sz w:val="18"/>
          <w:szCs w:val="18"/>
          <w:rtl/>
        </w:rPr>
        <w:br/>
      </w:r>
      <w:r w:rsidRPr="00180C7D">
        <w:rPr>
          <w:rFonts w:hint="cs"/>
          <w:b/>
          <w:bCs/>
          <w:sz w:val="18"/>
          <w:szCs w:val="18"/>
          <w:rtl/>
        </w:rPr>
        <w:t>מרדכי</w:t>
      </w:r>
      <w:r w:rsidRPr="00180C7D">
        <w:rPr>
          <w:rFonts w:hint="cs"/>
          <w:sz w:val="18"/>
          <w:szCs w:val="18"/>
          <w:rtl/>
        </w:rPr>
        <w:t xml:space="preserve"> </w:t>
      </w:r>
      <w:r w:rsidRPr="00180C7D">
        <w:rPr>
          <w:sz w:val="18"/>
          <w:szCs w:val="18"/>
          <w:rtl/>
        </w:rPr>
        <w:t>–</w:t>
      </w:r>
      <w:r w:rsidRPr="00180C7D">
        <w:rPr>
          <w:rFonts w:hint="cs"/>
          <w:sz w:val="18"/>
          <w:szCs w:val="18"/>
          <w:rtl/>
        </w:rPr>
        <w:t xml:space="preserve"> אשה שבשעה שמטילה מ"ר רואה על המים קרטין כמין חול, ואחר כך כשמקנחת את עצמה מוצאת דם על עד הקינוח </w:t>
      </w:r>
      <w:r w:rsidRPr="00180C7D">
        <w:rPr>
          <w:sz w:val="18"/>
          <w:szCs w:val="18"/>
          <w:rtl/>
        </w:rPr>
        <w:t>–</w:t>
      </w:r>
      <w:r w:rsidRPr="00180C7D">
        <w:rPr>
          <w:rFonts w:hint="cs"/>
          <w:sz w:val="18"/>
          <w:szCs w:val="18"/>
          <w:rtl/>
        </w:rPr>
        <w:t xml:space="preserve"> טמאה. ולכאורה דבריו שלא כדברי הר"ן!</w:t>
      </w:r>
      <w:r w:rsidRPr="00180C7D">
        <w:rPr>
          <w:rFonts w:hint="cs"/>
          <w:sz w:val="18"/>
          <w:szCs w:val="18"/>
          <w:rtl/>
        </w:rPr>
        <w:br/>
        <w:t xml:space="preserve">מיישב </w:t>
      </w:r>
      <w:r w:rsidRPr="00180C7D">
        <w:rPr>
          <w:rFonts w:hint="cs"/>
          <w:b/>
          <w:bCs/>
          <w:sz w:val="18"/>
          <w:szCs w:val="18"/>
          <w:rtl/>
        </w:rPr>
        <w:t>הב"י</w:t>
      </w:r>
      <w:r w:rsidRPr="00180C7D">
        <w:rPr>
          <w:rFonts w:hint="cs"/>
          <w:sz w:val="18"/>
          <w:szCs w:val="18"/>
          <w:rtl/>
        </w:rPr>
        <w:t xml:space="preserve"> </w:t>
      </w:r>
      <w:r w:rsidRPr="00180C7D">
        <w:rPr>
          <w:sz w:val="18"/>
          <w:szCs w:val="18"/>
          <w:rtl/>
        </w:rPr>
        <w:t>–</w:t>
      </w:r>
      <w:r w:rsidRPr="00180C7D">
        <w:rPr>
          <w:rFonts w:hint="cs"/>
          <w:sz w:val="18"/>
          <w:szCs w:val="18"/>
          <w:rtl/>
        </w:rPr>
        <w:t xml:space="preserve"> במקרה של המרדכי הקרטין היה כמין חול אך לא חול, ועוד יש לטמא אותה משום שראתה דם על עד הקינוח.</w:t>
      </w:r>
      <w:r w:rsidRPr="00180C7D">
        <w:rPr>
          <w:rtl/>
        </w:rPr>
        <w:br/>
      </w:r>
      <w:r w:rsidRPr="00180C7D">
        <w:rPr>
          <w:rFonts w:hint="cs"/>
          <w:b/>
          <w:bCs/>
          <w:sz w:val="18"/>
          <w:szCs w:val="18"/>
          <w:rtl/>
        </w:rPr>
        <w:t>דרכי משה</w:t>
      </w:r>
      <w:r w:rsidRPr="00180C7D">
        <w:rPr>
          <w:rFonts w:hint="cs"/>
          <w:sz w:val="18"/>
          <w:szCs w:val="18"/>
          <w:rtl/>
        </w:rPr>
        <w:t xml:space="preserve"> </w:t>
      </w:r>
      <w:r w:rsidRPr="00180C7D">
        <w:rPr>
          <w:sz w:val="18"/>
          <w:szCs w:val="18"/>
          <w:rtl/>
        </w:rPr>
        <w:t>–</w:t>
      </w:r>
      <w:r w:rsidRPr="00180C7D">
        <w:rPr>
          <w:rFonts w:hint="cs"/>
          <w:sz w:val="18"/>
          <w:szCs w:val="18"/>
          <w:rtl/>
        </w:rPr>
        <w:t xml:space="preserve"> החילוק בין חול לכעין חול אינו נראה, אלא עיקר החילוק הוא החילוק השני שכתב הב"י, שאצל המרדכי מצאה דם על עד הקינוח ולכן טמאה.</w:t>
      </w:r>
    </w:p>
    <w:p w:rsidR="005953C5" w:rsidRPr="00033D17" w:rsidRDefault="005953C5" w:rsidP="00620060">
      <w:pPr>
        <w:pStyle w:val="a3"/>
        <w:rPr>
          <w:sz w:val="18"/>
          <w:szCs w:val="18"/>
          <w:rtl/>
        </w:rPr>
      </w:pPr>
      <w:r w:rsidRPr="00180C7D">
        <w:rPr>
          <w:rFonts w:hint="cs"/>
          <w:b/>
          <w:bCs/>
          <w:sz w:val="18"/>
          <w:szCs w:val="18"/>
          <w:rtl/>
        </w:rPr>
        <w:t>ט"ז</w:t>
      </w:r>
      <w:r w:rsidRPr="00180C7D">
        <w:rPr>
          <w:rFonts w:hint="cs"/>
          <w:sz w:val="18"/>
          <w:szCs w:val="18"/>
          <w:rtl/>
        </w:rPr>
        <w:t xml:space="preserve"> </w:t>
      </w:r>
      <w:r w:rsidRPr="00180C7D">
        <w:rPr>
          <w:sz w:val="18"/>
          <w:szCs w:val="18"/>
          <w:rtl/>
        </w:rPr>
        <w:t>–</w:t>
      </w:r>
      <w:r w:rsidRPr="00180C7D">
        <w:rPr>
          <w:rFonts w:hint="cs"/>
          <w:sz w:val="18"/>
          <w:szCs w:val="18"/>
          <w:rtl/>
        </w:rPr>
        <w:t xml:space="preserve"> קושייה מעיקרא ליתא, המרדכי רק בא לומר שדם הנמצא לאחר הטלת מ"ר טמא.</w:t>
      </w:r>
    </w:p>
  </w:footnote>
  <w:footnote w:id="364">
    <w:p w:rsidR="005953C5" w:rsidRDefault="005953C5" w:rsidP="00620060">
      <w:pPr>
        <w:pStyle w:val="a3"/>
        <w:rPr>
          <w:rtl/>
        </w:rPr>
      </w:pPr>
      <w:r w:rsidRPr="004A1808">
        <w:rPr>
          <w:rStyle w:val="a5"/>
          <w:sz w:val="18"/>
          <w:szCs w:val="18"/>
        </w:rPr>
        <w:footnoteRef/>
      </w:r>
      <w:r w:rsidRPr="004A1808">
        <w:rPr>
          <w:sz w:val="18"/>
          <w:szCs w:val="18"/>
          <w:rtl/>
        </w:rPr>
        <w:t xml:space="preserve"> </w:t>
      </w:r>
      <w:r w:rsidRPr="004A1808">
        <w:rPr>
          <w:rFonts w:hint="cs"/>
          <w:sz w:val="18"/>
          <w:szCs w:val="18"/>
          <w:rtl/>
        </w:rPr>
        <w:t xml:space="preserve">ביאור המחלוקת </w:t>
      </w:r>
      <w:r w:rsidRPr="004A1808">
        <w:rPr>
          <w:sz w:val="18"/>
          <w:szCs w:val="18"/>
          <w:rtl/>
        </w:rPr>
        <w:t>–</w:t>
      </w:r>
      <w:r w:rsidRPr="004A1808">
        <w:rPr>
          <w:rFonts w:hint="cs"/>
          <w:sz w:val="18"/>
          <w:szCs w:val="18"/>
          <w:rtl/>
        </w:rPr>
        <w:t xml:space="preserve"> </w:t>
      </w:r>
      <w:r w:rsidRPr="004A1808">
        <w:rPr>
          <w:sz w:val="18"/>
          <w:szCs w:val="18"/>
          <w:rtl/>
        </w:rPr>
        <w:br/>
      </w:r>
      <w:r w:rsidRPr="004A1808">
        <w:rPr>
          <w:rFonts w:hint="cs"/>
          <w:sz w:val="18"/>
          <w:szCs w:val="18"/>
          <w:rtl/>
        </w:rPr>
        <w:t xml:space="preserve">לאחר </w:t>
      </w:r>
      <w:r w:rsidRPr="004A1808">
        <w:rPr>
          <w:rFonts w:hint="cs"/>
          <w:b/>
          <w:bCs/>
          <w:sz w:val="18"/>
          <w:szCs w:val="18"/>
          <w:rtl/>
        </w:rPr>
        <w:t>שהבית יוסף</w:t>
      </w:r>
      <w:r w:rsidRPr="004A1808">
        <w:rPr>
          <w:rFonts w:hint="cs"/>
          <w:sz w:val="18"/>
          <w:szCs w:val="18"/>
          <w:rtl/>
        </w:rPr>
        <w:t xml:space="preserve"> הציג את טעמי ההיתר של </w:t>
      </w:r>
      <w:r w:rsidRPr="004A1808">
        <w:rPr>
          <w:rFonts w:hint="cs"/>
          <w:b/>
          <w:bCs/>
          <w:sz w:val="18"/>
          <w:szCs w:val="18"/>
          <w:rtl/>
        </w:rPr>
        <w:t>הר"ן</w:t>
      </w:r>
      <w:r w:rsidRPr="004A1808">
        <w:rPr>
          <w:rFonts w:hint="cs"/>
          <w:sz w:val="18"/>
          <w:szCs w:val="18"/>
          <w:rtl/>
        </w:rPr>
        <w:t xml:space="preserve">, כותב הב"י שנראה לו להביא ראיה מהגמרא הנ"ל ששאלו את הרופאים וטיהרו משום שיש לה מכה בתוך מעיה, ולכן אפילו ללא טעמי ההיתר של הר"ן יש לטהר את האשה. </w:t>
      </w:r>
      <w:r w:rsidRPr="004A1808">
        <w:rPr>
          <w:sz w:val="18"/>
          <w:szCs w:val="18"/>
          <w:rtl/>
        </w:rPr>
        <w:br/>
      </w:r>
      <w:r w:rsidRPr="004A1808">
        <w:rPr>
          <w:rFonts w:hint="cs"/>
          <w:sz w:val="18"/>
          <w:szCs w:val="18"/>
          <w:rtl/>
        </w:rPr>
        <w:t xml:space="preserve">אך </w:t>
      </w:r>
      <w:r w:rsidRPr="004A1808">
        <w:rPr>
          <w:rFonts w:hint="cs"/>
          <w:b/>
          <w:bCs/>
          <w:sz w:val="18"/>
          <w:szCs w:val="18"/>
          <w:rtl/>
        </w:rPr>
        <w:t>הדרכי משה</w:t>
      </w:r>
      <w:r w:rsidRPr="004A1808">
        <w:rPr>
          <w:rFonts w:hint="cs"/>
          <w:sz w:val="18"/>
          <w:szCs w:val="18"/>
          <w:rtl/>
        </w:rPr>
        <w:t xml:space="preserve"> כותב </w:t>
      </w:r>
      <w:r w:rsidRPr="004A1808">
        <w:rPr>
          <w:rFonts w:hint="cs"/>
          <w:b/>
          <w:bCs/>
          <w:sz w:val="18"/>
          <w:szCs w:val="18"/>
          <w:rtl/>
        </w:rPr>
        <w:t>שהבית יוסף</w:t>
      </w:r>
      <w:r w:rsidRPr="004A1808">
        <w:rPr>
          <w:rFonts w:hint="cs"/>
          <w:sz w:val="18"/>
          <w:szCs w:val="18"/>
          <w:rtl/>
        </w:rPr>
        <w:t xml:space="preserve"> לא דק, משום שאין סומכים על דברי הרופאים לחוד אלא צריך גם לבדוק את הקרטין במים, ולכן </w:t>
      </w:r>
      <w:r w:rsidRPr="004A1808">
        <w:rPr>
          <w:rFonts w:hint="cs"/>
          <w:b/>
          <w:bCs/>
          <w:sz w:val="18"/>
          <w:szCs w:val="18"/>
          <w:rtl/>
        </w:rPr>
        <w:t>הר"ן</w:t>
      </w:r>
      <w:r w:rsidRPr="004A1808">
        <w:rPr>
          <w:rFonts w:hint="cs"/>
          <w:sz w:val="18"/>
          <w:szCs w:val="18"/>
          <w:rtl/>
        </w:rPr>
        <w:t xml:space="preserve"> כתב את טעמי ההיתר, בכדי לחדש שבכה"ג אין צריך לבדוק את הקרטין כלל.</w:t>
      </w:r>
    </w:p>
  </w:footnote>
  <w:footnote w:id="365">
    <w:p w:rsidR="005953C5" w:rsidRDefault="005953C5" w:rsidP="00620060">
      <w:pPr>
        <w:pStyle w:val="a3"/>
      </w:pPr>
      <w:r>
        <w:rPr>
          <w:rStyle w:val="a5"/>
        </w:rPr>
        <w:footnoteRef/>
      </w:r>
      <w:r>
        <w:rPr>
          <w:rtl/>
        </w:rPr>
        <w:t xml:space="preserve"> </w:t>
      </w:r>
      <w:r w:rsidRPr="00180C7D">
        <w:rPr>
          <w:rFonts w:hint="cs"/>
          <w:sz w:val="18"/>
          <w:szCs w:val="18"/>
          <w:rtl/>
        </w:rPr>
        <w:t>למרות שכבר כמה זמן שלא הרגישה כאב באותו מקום, משום שיש מכות שפוסקות להכאיב למרות שלא התרפאו</w:t>
      </w:r>
      <w:r>
        <w:rPr>
          <w:rFonts w:hint="cs"/>
          <w:rtl/>
        </w:rPr>
        <w:t>.</w:t>
      </w:r>
    </w:p>
  </w:footnote>
  <w:footnote w:id="366">
    <w:p w:rsidR="005953C5" w:rsidRPr="00667D0E" w:rsidRDefault="005953C5" w:rsidP="00620060">
      <w:pPr>
        <w:pStyle w:val="a3"/>
        <w:rPr>
          <w:sz w:val="18"/>
          <w:szCs w:val="18"/>
        </w:rPr>
      </w:pPr>
      <w:r w:rsidRPr="00485B07">
        <w:rPr>
          <w:rStyle w:val="a5"/>
          <w:sz w:val="18"/>
          <w:szCs w:val="18"/>
        </w:rPr>
        <w:footnoteRef/>
      </w:r>
      <w:r w:rsidRPr="00485B07">
        <w:rPr>
          <w:sz w:val="18"/>
          <w:szCs w:val="18"/>
          <w:rtl/>
        </w:rPr>
        <w:t xml:space="preserve"> </w:t>
      </w:r>
      <w:r w:rsidRPr="00485B07">
        <w:rPr>
          <w:rFonts w:hint="cs"/>
          <w:sz w:val="18"/>
          <w:szCs w:val="18"/>
          <w:rtl/>
        </w:rPr>
        <w:t xml:space="preserve">נראה שיסוד המחלוקת כך - </w:t>
      </w:r>
      <w:r w:rsidRPr="00485B07">
        <w:rPr>
          <w:sz w:val="18"/>
          <w:szCs w:val="18"/>
          <w:rtl/>
        </w:rPr>
        <w:br/>
      </w:r>
      <w:r w:rsidRPr="00011DC8">
        <w:rPr>
          <w:rFonts w:hint="cs"/>
          <w:b/>
          <w:bCs/>
          <w:sz w:val="18"/>
          <w:szCs w:val="18"/>
          <w:rtl/>
        </w:rPr>
        <w:t>ראבי"ה</w:t>
      </w:r>
      <w:r w:rsidRPr="00485B07">
        <w:rPr>
          <w:rFonts w:hint="cs"/>
          <w:sz w:val="18"/>
          <w:szCs w:val="18"/>
          <w:rtl/>
        </w:rPr>
        <w:t xml:space="preserve"> מבין שז' נקיים הם מכוח חומרת רבי זירא, היינו מחשש שמא ראתה טיפת דם כחרדל בשעת תביעה ואבד, לכן צריכה למנות ז' נקיים. ולפי"ז נראה שצריכה גם לבדוק עצמה בכל יום מהז', ככל נידה.</w:t>
      </w:r>
      <w:r w:rsidRPr="00485B07">
        <w:rPr>
          <w:sz w:val="18"/>
          <w:szCs w:val="18"/>
          <w:rtl/>
        </w:rPr>
        <w:br/>
      </w:r>
      <w:r w:rsidRPr="00011DC8">
        <w:rPr>
          <w:rFonts w:hint="cs"/>
          <w:b/>
          <w:bCs/>
          <w:sz w:val="18"/>
          <w:szCs w:val="18"/>
          <w:rtl/>
        </w:rPr>
        <w:t>הרשב"א</w:t>
      </w:r>
      <w:r w:rsidRPr="00485B07">
        <w:rPr>
          <w:rFonts w:hint="cs"/>
          <w:sz w:val="18"/>
          <w:szCs w:val="18"/>
          <w:rtl/>
        </w:rPr>
        <w:t xml:space="preserve"> הבין כרא"ש </w:t>
      </w:r>
      <w:r w:rsidRPr="00485B07">
        <w:rPr>
          <w:rFonts w:hint="cs"/>
          <w:sz w:val="16"/>
          <w:szCs w:val="16"/>
          <w:rtl/>
        </w:rPr>
        <w:t xml:space="preserve">(בסמוך) </w:t>
      </w:r>
      <w:r w:rsidRPr="00485B07">
        <w:rPr>
          <w:rFonts w:hint="cs"/>
          <w:sz w:val="18"/>
          <w:szCs w:val="18"/>
          <w:rtl/>
        </w:rPr>
        <w:t>שהחשש הוא מכך שבכל יום תראה ולכן בדיקה בשעת תביעה לא מהני.</w:t>
      </w:r>
      <w:r w:rsidRPr="00485B07">
        <w:rPr>
          <w:sz w:val="18"/>
          <w:szCs w:val="18"/>
          <w:rtl/>
        </w:rPr>
        <w:br/>
      </w:r>
      <w:r w:rsidRPr="00485B07">
        <w:rPr>
          <w:rFonts w:hint="cs"/>
          <w:sz w:val="18"/>
          <w:szCs w:val="18"/>
          <w:rtl/>
        </w:rPr>
        <w:t xml:space="preserve">ויש להוסיף </w:t>
      </w:r>
      <w:r w:rsidRPr="00485B07">
        <w:rPr>
          <w:sz w:val="18"/>
          <w:szCs w:val="18"/>
          <w:rtl/>
        </w:rPr>
        <w:t>–</w:t>
      </w:r>
      <w:r w:rsidRPr="00485B07">
        <w:rPr>
          <w:rFonts w:hint="cs"/>
          <w:sz w:val="18"/>
          <w:szCs w:val="18"/>
          <w:rtl/>
        </w:rPr>
        <w:t xml:space="preserve"> </w:t>
      </w:r>
      <w:r w:rsidRPr="00011DC8">
        <w:rPr>
          <w:rFonts w:hint="cs"/>
          <w:b/>
          <w:bCs/>
          <w:sz w:val="18"/>
          <w:szCs w:val="18"/>
          <w:rtl/>
        </w:rPr>
        <w:t>לראבי"ה</w:t>
      </w:r>
      <w:r w:rsidRPr="00485B07">
        <w:rPr>
          <w:rFonts w:hint="cs"/>
          <w:sz w:val="18"/>
          <w:szCs w:val="18"/>
          <w:rtl/>
        </w:rPr>
        <w:t xml:space="preserve"> החשש הוא רק שמא ראתה בשעת תביעה, לפי שאז חומדת ביותר. </w:t>
      </w:r>
      <w:r>
        <w:rPr>
          <w:b/>
          <w:bCs/>
          <w:sz w:val="18"/>
          <w:szCs w:val="18"/>
          <w:rtl/>
        </w:rPr>
        <w:br/>
      </w:r>
      <w:r w:rsidRPr="00011DC8">
        <w:rPr>
          <w:rFonts w:hint="cs"/>
          <w:b/>
          <w:bCs/>
          <w:sz w:val="18"/>
          <w:szCs w:val="18"/>
          <w:rtl/>
        </w:rPr>
        <w:t>הרשב"א</w:t>
      </w:r>
      <w:r w:rsidRPr="00485B07">
        <w:rPr>
          <w:rFonts w:hint="cs"/>
          <w:sz w:val="18"/>
          <w:szCs w:val="18"/>
          <w:rtl/>
        </w:rPr>
        <w:t xml:space="preserve"> מבין שבכל  יום ויום עלולה לראות, כלומר שבכל יום ויום חומדת ומשתוקקת, וכ"כ </w:t>
      </w:r>
      <w:r w:rsidRPr="00011DC8">
        <w:rPr>
          <w:rFonts w:hint="cs"/>
          <w:b/>
          <w:bCs/>
          <w:sz w:val="18"/>
          <w:szCs w:val="18"/>
          <w:rtl/>
        </w:rPr>
        <w:t>הרא"ש</w:t>
      </w:r>
      <w:r w:rsidRPr="00485B07">
        <w:rPr>
          <w:rFonts w:hint="cs"/>
          <w:sz w:val="18"/>
          <w:szCs w:val="18"/>
          <w:rtl/>
        </w:rPr>
        <w:t xml:space="preserve"> להדיא.</w:t>
      </w:r>
      <w:r>
        <w:rPr>
          <w:rtl/>
        </w:rPr>
        <w:br/>
      </w:r>
      <w:r w:rsidRPr="00667D0E">
        <w:rPr>
          <w:rFonts w:hint="cs"/>
          <w:sz w:val="18"/>
          <w:szCs w:val="18"/>
          <w:rtl/>
        </w:rPr>
        <w:t xml:space="preserve">אמנם, הסבר זה </w:t>
      </w:r>
      <w:r>
        <w:rPr>
          <w:rFonts w:hint="cs"/>
          <w:sz w:val="18"/>
          <w:szCs w:val="18"/>
          <w:rtl/>
        </w:rPr>
        <w:t>עדיין צ"ע</w:t>
      </w:r>
      <w:r w:rsidRPr="00667D0E">
        <w:rPr>
          <w:rFonts w:hint="cs"/>
          <w:sz w:val="18"/>
          <w:szCs w:val="18"/>
          <w:rtl/>
        </w:rPr>
        <w:t>, משום שאינו מובן מדוע לרשב"א צריכה להמתין דווקא ז' ימים?</w:t>
      </w:r>
      <w:r>
        <w:rPr>
          <w:sz w:val="18"/>
          <w:szCs w:val="18"/>
          <w:rtl/>
        </w:rPr>
        <w:br/>
      </w:r>
      <w:r>
        <w:rPr>
          <w:rFonts w:hint="cs"/>
          <w:sz w:val="18"/>
          <w:szCs w:val="18"/>
          <w:rtl/>
        </w:rPr>
        <w:t>וצריך לומר שהחשש הוא שמא התערב דם נידה בדם חימוד, ולכן צריכה לישב דווקא ז' נקיים.</w:t>
      </w:r>
    </w:p>
  </w:footnote>
  <w:footnote w:id="367">
    <w:p w:rsidR="005953C5" w:rsidRDefault="005953C5" w:rsidP="00620060">
      <w:pPr>
        <w:pStyle w:val="a3"/>
        <w:rPr>
          <w:rtl/>
        </w:rPr>
      </w:pPr>
      <w:r w:rsidRPr="008272B8">
        <w:rPr>
          <w:rStyle w:val="a5"/>
          <w:sz w:val="18"/>
          <w:szCs w:val="18"/>
        </w:rPr>
        <w:footnoteRef/>
      </w:r>
      <w:r w:rsidRPr="008272B8">
        <w:rPr>
          <w:sz w:val="18"/>
          <w:szCs w:val="18"/>
          <w:rtl/>
        </w:rPr>
        <w:t xml:space="preserve"> </w:t>
      </w:r>
      <w:r w:rsidRPr="008272B8">
        <w:rPr>
          <w:rFonts w:hint="cs"/>
          <w:sz w:val="18"/>
          <w:szCs w:val="18"/>
          <w:rtl/>
        </w:rPr>
        <w:t xml:space="preserve">קשה </w:t>
      </w:r>
      <w:r w:rsidRPr="008272B8">
        <w:rPr>
          <w:sz w:val="18"/>
          <w:szCs w:val="18"/>
          <w:rtl/>
        </w:rPr>
        <w:t>–</w:t>
      </w:r>
      <w:r w:rsidRPr="008272B8">
        <w:rPr>
          <w:rFonts w:hint="cs"/>
          <w:sz w:val="18"/>
          <w:szCs w:val="18"/>
          <w:rtl/>
        </w:rPr>
        <w:t xml:space="preserve"> לפי ראיה זו, ייתכן שאפילו לא היו שבעה ימים נקיים מדם כלל וכיצד קיימו את הנישואין (</w:t>
      </w:r>
      <w:r w:rsidRPr="008272B8">
        <w:rPr>
          <w:rFonts w:hint="cs"/>
          <w:sz w:val="16"/>
          <w:szCs w:val="16"/>
          <w:rtl/>
        </w:rPr>
        <w:t>הרי רב חנינא סבר שבקטנה לא נוהג דין זה ולא הפריש אותה כלל)</w:t>
      </w:r>
      <w:r w:rsidRPr="008272B8">
        <w:rPr>
          <w:rFonts w:hint="cs"/>
          <w:sz w:val="18"/>
          <w:szCs w:val="18"/>
          <w:rtl/>
        </w:rPr>
        <w:t>?</w:t>
      </w:r>
      <w:r w:rsidRPr="008272B8">
        <w:rPr>
          <w:sz w:val="18"/>
          <w:szCs w:val="18"/>
          <w:rtl/>
        </w:rPr>
        <w:br/>
      </w:r>
      <w:r w:rsidRPr="008272B8">
        <w:rPr>
          <w:rFonts w:hint="cs"/>
          <w:sz w:val="18"/>
          <w:szCs w:val="18"/>
          <w:rtl/>
        </w:rPr>
        <w:t>וכן הקשה הרא"ש, ומחמת קושייתו דחה פירוש זה וגרס בגמרא באופן שונה: "</w:t>
      </w:r>
      <w:r w:rsidRPr="008272B8">
        <w:rPr>
          <w:rFonts w:cs="Arial" w:hint="cs"/>
          <w:sz w:val="18"/>
          <w:szCs w:val="18"/>
          <w:rtl/>
        </w:rPr>
        <w:t>אמר ליה:</w:t>
      </w:r>
      <w:r w:rsidRPr="008272B8">
        <w:rPr>
          <w:rFonts w:cs="Arial"/>
          <w:sz w:val="18"/>
          <w:szCs w:val="18"/>
          <w:rtl/>
        </w:rPr>
        <w:t xml:space="preserve"> </w:t>
      </w:r>
      <w:r w:rsidRPr="008272B8">
        <w:rPr>
          <w:rFonts w:cs="Arial" w:hint="cs"/>
          <w:sz w:val="18"/>
          <w:szCs w:val="18"/>
          <w:rtl/>
        </w:rPr>
        <w:t>ליכתוב</w:t>
      </w:r>
      <w:r w:rsidRPr="008272B8">
        <w:rPr>
          <w:rFonts w:cs="Arial"/>
          <w:sz w:val="18"/>
          <w:szCs w:val="18"/>
          <w:rtl/>
        </w:rPr>
        <w:t xml:space="preserve"> </w:t>
      </w:r>
      <w:r w:rsidRPr="008272B8">
        <w:rPr>
          <w:rFonts w:cs="Arial" w:hint="cs"/>
          <w:sz w:val="18"/>
          <w:szCs w:val="18"/>
          <w:rtl/>
        </w:rPr>
        <w:t>כתובה?</w:t>
      </w:r>
      <w:r w:rsidRPr="008272B8">
        <w:rPr>
          <w:rFonts w:cs="Arial"/>
          <w:sz w:val="18"/>
          <w:szCs w:val="18"/>
          <w:rtl/>
        </w:rPr>
        <w:t xml:space="preserve"> </w:t>
      </w:r>
      <w:r w:rsidRPr="008272B8">
        <w:rPr>
          <w:rFonts w:cs="Arial" w:hint="cs"/>
          <w:sz w:val="18"/>
          <w:szCs w:val="18"/>
          <w:rtl/>
        </w:rPr>
        <w:t>אמר ליה:</w:t>
      </w:r>
      <w:r w:rsidRPr="008272B8">
        <w:rPr>
          <w:rFonts w:cs="Arial"/>
          <w:sz w:val="18"/>
          <w:szCs w:val="18"/>
          <w:rtl/>
        </w:rPr>
        <w:t xml:space="preserve"> </w:t>
      </w:r>
      <w:r w:rsidRPr="008272B8">
        <w:rPr>
          <w:rFonts w:cs="Arial" w:hint="cs"/>
          <w:sz w:val="18"/>
          <w:szCs w:val="18"/>
          <w:rtl/>
        </w:rPr>
        <w:t>לינטר</w:t>
      </w:r>
      <w:r w:rsidRPr="008272B8">
        <w:rPr>
          <w:rFonts w:cs="Arial"/>
          <w:sz w:val="18"/>
          <w:szCs w:val="18"/>
          <w:rtl/>
        </w:rPr>
        <w:t xml:space="preserve"> </w:t>
      </w:r>
      <w:r w:rsidRPr="008272B8">
        <w:rPr>
          <w:rFonts w:cs="Arial" w:hint="cs"/>
          <w:sz w:val="18"/>
          <w:szCs w:val="18"/>
          <w:rtl/>
        </w:rPr>
        <w:t>מר</w:t>
      </w:r>
      <w:r w:rsidRPr="008272B8">
        <w:rPr>
          <w:rFonts w:cs="Arial"/>
          <w:sz w:val="18"/>
          <w:szCs w:val="18"/>
          <w:rtl/>
        </w:rPr>
        <w:t xml:space="preserve"> </w:t>
      </w:r>
      <w:r w:rsidRPr="008272B8">
        <w:rPr>
          <w:rFonts w:cs="Arial" w:hint="cs"/>
          <w:sz w:val="18"/>
          <w:szCs w:val="18"/>
          <w:rtl/>
        </w:rPr>
        <w:t>עד</w:t>
      </w:r>
      <w:r w:rsidRPr="008272B8">
        <w:rPr>
          <w:rFonts w:cs="Arial"/>
          <w:sz w:val="18"/>
          <w:szCs w:val="18"/>
          <w:rtl/>
        </w:rPr>
        <w:t xml:space="preserve"> </w:t>
      </w:r>
      <w:r w:rsidRPr="008272B8">
        <w:rPr>
          <w:rFonts w:cs="Arial" w:hint="cs"/>
          <w:sz w:val="18"/>
          <w:szCs w:val="18"/>
          <w:rtl/>
        </w:rPr>
        <w:t>ד</w:t>
      </w:r>
      <w:r w:rsidRPr="008272B8">
        <w:rPr>
          <w:rFonts w:cs="Arial"/>
          <w:sz w:val="18"/>
          <w:szCs w:val="18"/>
          <w:rtl/>
        </w:rPr>
        <w:t xml:space="preserve">' </w:t>
      </w:r>
      <w:r w:rsidRPr="008272B8">
        <w:rPr>
          <w:rFonts w:cs="Arial" w:hint="cs"/>
          <w:sz w:val="18"/>
          <w:szCs w:val="18"/>
          <w:rtl/>
        </w:rPr>
        <w:t>אחרינא.</w:t>
      </w:r>
      <w:r w:rsidRPr="008272B8">
        <w:rPr>
          <w:rFonts w:cs="Arial"/>
          <w:sz w:val="18"/>
          <w:szCs w:val="18"/>
          <w:rtl/>
        </w:rPr>
        <w:t xml:space="preserve"> </w:t>
      </w:r>
      <w:r w:rsidRPr="008272B8">
        <w:rPr>
          <w:rFonts w:cs="Arial" w:hint="cs"/>
          <w:sz w:val="18"/>
          <w:szCs w:val="18"/>
          <w:rtl/>
        </w:rPr>
        <w:t>אמר ליה:</w:t>
      </w:r>
      <w:r w:rsidRPr="008272B8">
        <w:rPr>
          <w:rFonts w:cs="Arial"/>
          <w:sz w:val="18"/>
          <w:szCs w:val="18"/>
          <w:rtl/>
        </w:rPr>
        <w:t xml:space="preserve"> </w:t>
      </w:r>
      <w:r w:rsidRPr="008272B8">
        <w:rPr>
          <w:rFonts w:cs="Arial" w:hint="cs"/>
          <w:sz w:val="18"/>
          <w:szCs w:val="18"/>
          <w:rtl/>
        </w:rPr>
        <w:t>אמאי?</w:t>
      </w:r>
      <w:r w:rsidRPr="008272B8">
        <w:rPr>
          <w:rFonts w:cs="Arial"/>
          <w:sz w:val="18"/>
          <w:szCs w:val="18"/>
          <w:rtl/>
        </w:rPr>
        <w:t xml:space="preserve"> </w:t>
      </w:r>
      <w:r w:rsidRPr="008272B8">
        <w:rPr>
          <w:rFonts w:cs="Arial" w:hint="cs"/>
          <w:sz w:val="18"/>
          <w:szCs w:val="18"/>
          <w:rtl/>
        </w:rPr>
        <w:t>אמר ליה:</w:t>
      </w:r>
      <w:r w:rsidRPr="008272B8">
        <w:rPr>
          <w:rFonts w:cs="Arial"/>
          <w:sz w:val="18"/>
          <w:szCs w:val="18"/>
          <w:rtl/>
        </w:rPr>
        <w:t xml:space="preserve"> </w:t>
      </w:r>
      <w:r w:rsidRPr="008272B8">
        <w:rPr>
          <w:rFonts w:cs="Arial" w:hint="cs"/>
          <w:sz w:val="18"/>
          <w:szCs w:val="18"/>
          <w:rtl/>
        </w:rPr>
        <w:t>לא</w:t>
      </w:r>
      <w:r w:rsidRPr="008272B8">
        <w:rPr>
          <w:rFonts w:cs="Arial"/>
          <w:sz w:val="18"/>
          <w:szCs w:val="18"/>
          <w:rtl/>
        </w:rPr>
        <w:t xml:space="preserve"> </w:t>
      </w:r>
      <w:r w:rsidRPr="008272B8">
        <w:rPr>
          <w:rFonts w:cs="Arial" w:hint="cs"/>
          <w:sz w:val="18"/>
          <w:szCs w:val="18"/>
          <w:rtl/>
        </w:rPr>
        <w:t>סבירא ליה</w:t>
      </w:r>
      <w:r w:rsidRPr="008272B8">
        <w:rPr>
          <w:rFonts w:cs="Arial"/>
          <w:sz w:val="18"/>
          <w:szCs w:val="18"/>
          <w:rtl/>
        </w:rPr>
        <w:t xml:space="preserve"> </w:t>
      </w:r>
      <w:r w:rsidRPr="008272B8">
        <w:rPr>
          <w:rFonts w:cs="Arial" w:hint="cs"/>
          <w:sz w:val="18"/>
          <w:szCs w:val="18"/>
          <w:rtl/>
        </w:rPr>
        <w:t>למר</w:t>
      </w:r>
      <w:r w:rsidRPr="008272B8">
        <w:rPr>
          <w:rFonts w:cs="Arial"/>
          <w:sz w:val="18"/>
          <w:szCs w:val="18"/>
          <w:rtl/>
        </w:rPr>
        <w:t xml:space="preserve"> </w:t>
      </w:r>
      <w:r w:rsidRPr="008272B8">
        <w:rPr>
          <w:rFonts w:cs="Arial" w:hint="cs"/>
          <w:sz w:val="18"/>
          <w:szCs w:val="18"/>
          <w:rtl/>
        </w:rPr>
        <w:t>להא</w:t>
      </w:r>
      <w:r w:rsidRPr="008272B8">
        <w:rPr>
          <w:rFonts w:cs="Arial"/>
          <w:sz w:val="18"/>
          <w:szCs w:val="18"/>
          <w:rtl/>
        </w:rPr>
        <w:t xml:space="preserve"> </w:t>
      </w:r>
      <w:r w:rsidRPr="008272B8">
        <w:rPr>
          <w:rFonts w:cs="Arial" w:hint="cs"/>
          <w:sz w:val="18"/>
          <w:szCs w:val="18"/>
          <w:rtl/>
        </w:rPr>
        <w:t>דרבא</w:t>
      </w:r>
      <w:r w:rsidRPr="008272B8">
        <w:rPr>
          <w:rFonts w:cs="Arial"/>
          <w:sz w:val="18"/>
          <w:szCs w:val="18"/>
          <w:rtl/>
        </w:rPr>
        <w:t xml:space="preserve"> </w:t>
      </w:r>
      <w:r w:rsidRPr="008272B8">
        <w:rPr>
          <w:rFonts w:cs="Arial" w:hint="cs"/>
          <w:sz w:val="18"/>
          <w:szCs w:val="18"/>
          <w:rtl/>
        </w:rPr>
        <w:t>תבעוה</w:t>
      </w:r>
      <w:r w:rsidRPr="008272B8">
        <w:rPr>
          <w:rFonts w:cs="Arial"/>
          <w:sz w:val="18"/>
          <w:szCs w:val="18"/>
          <w:rtl/>
        </w:rPr>
        <w:t xml:space="preserve"> </w:t>
      </w:r>
      <w:r w:rsidRPr="008272B8">
        <w:rPr>
          <w:rFonts w:cs="Arial" w:hint="cs"/>
          <w:sz w:val="18"/>
          <w:szCs w:val="18"/>
          <w:rtl/>
        </w:rPr>
        <w:t>לינשא?</w:t>
      </w:r>
      <w:r w:rsidRPr="008272B8">
        <w:rPr>
          <w:rFonts w:cs="Arial"/>
          <w:sz w:val="18"/>
          <w:szCs w:val="18"/>
          <w:rtl/>
        </w:rPr>
        <w:t xml:space="preserve"> </w:t>
      </w:r>
      <w:r w:rsidRPr="008272B8">
        <w:rPr>
          <w:rFonts w:cs="Arial" w:hint="cs"/>
          <w:sz w:val="18"/>
          <w:szCs w:val="18"/>
          <w:rtl/>
        </w:rPr>
        <w:t>וכו</w:t>
      </w:r>
      <w:r w:rsidRPr="008272B8">
        <w:rPr>
          <w:rFonts w:cs="Arial"/>
          <w:sz w:val="18"/>
          <w:szCs w:val="18"/>
          <w:rtl/>
        </w:rPr>
        <w:t>'</w:t>
      </w:r>
      <w:r w:rsidRPr="008272B8">
        <w:rPr>
          <w:rFonts w:hint="cs"/>
          <w:sz w:val="18"/>
          <w:szCs w:val="18"/>
          <w:rtl/>
        </w:rPr>
        <w:t>".</w:t>
      </w:r>
      <w:r w:rsidRPr="008272B8">
        <w:rPr>
          <w:sz w:val="18"/>
          <w:szCs w:val="18"/>
          <w:rtl/>
        </w:rPr>
        <w:br/>
      </w:r>
      <w:r w:rsidRPr="008272B8">
        <w:rPr>
          <w:rFonts w:hint="cs"/>
          <w:sz w:val="18"/>
          <w:szCs w:val="18"/>
          <w:rtl/>
        </w:rPr>
        <w:t>ומאחר שהודיעו זאת קודם הנישואין, הפריש את בתו ז' נקיים לפני כן.</w:t>
      </w:r>
    </w:p>
  </w:footnote>
  <w:footnote w:id="368">
    <w:p w:rsidR="005953C5" w:rsidRDefault="005953C5" w:rsidP="00620060">
      <w:pPr>
        <w:pStyle w:val="a3"/>
      </w:pPr>
      <w:r w:rsidRPr="00EC47F1">
        <w:rPr>
          <w:rStyle w:val="a5"/>
          <w:sz w:val="18"/>
          <w:szCs w:val="18"/>
        </w:rPr>
        <w:footnoteRef/>
      </w:r>
      <w:r w:rsidRPr="00EC47F1">
        <w:rPr>
          <w:sz w:val="18"/>
          <w:szCs w:val="18"/>
          <w:rtl/>
        </w:rPr>
        <w:t xml:space="preserve"> </w:t>
      </w:r>
      <w:r w:rsidRPr="00EC47F1">
        <w:rPr>
          <w:rFonts w:hint="cs"/>
          <w:b/>
          <w:bCs/>
          <w:sz w:val="18"/>
          <w:szCs w:val="18"/>
          <w:rtl/>
        </w:rPr>
        <w:t>הרשב"א</w:t>
      </w:r>
      <w:r w:rsidRPr="00EC47F1">
        <w:rPr>
          <w:rFonts w:hint="cs"/>
          <w:sz w:val="18"/>
          <w:szCs w:val="18"/>
          <w:rtl/>
        </w:rPr>
        <w:t xml:space="preserve"> תמה על כך </w:t>
      </w:r>
      <w:r w:rsidRPr="00EC47F1">
        <w:rPr>
          <w:sz w:val="18"/>
          <w:szCs w:val="18"/>
          <w:rtl/>
        </w:rPr>
        <w:t>–</w:t>
      </w:r>
      <w:r w:rsidRPr="00EC47F1">
        <w:rPr>
          <w:rFonts w:hint="cs"/>
          <w:sz w:val="18"/>
          <w:szCs w:val="18"/>
          <w:rtl/>
        </w:rPr>
        <w:t xml:space="preserve"> ממה נפשך, אם</w:t>
      </w:r>
      <w:r>
        <w:rPr>
          <w:rFonts w:hint="cs"/>
          <w:sz w:val="18"/>
          <w:szCs w:val="18"/>
          <w:rtl/>
        </w:rPr>
        <w:t xml:space="preserve"> חוששים לה כפי שחוששים לכל נידה</w:t>
      </w:r>
      <w:r w:rsidRPr="00EC47F1">
        <w:rPr>
          <w:rFonts w:hint="cs"/>
          <w:sz w:val="18"/>
          <w:szCs w:val="18"/>
          <w:rtl/>
        </w:rPr>
        <w:t xml:space="preserve"> עליה לעשות הפסק טהרה, ואילו אם אין חוששים לה כחשש נידה רגיל יש לפטרה גם מבדיקה זו.</w:t>
      </w:r>
      <w:r w:rsidRPr="00EC47F1">
        <w:rPr>
          <w:sz w:val="18"/>
          <w:szCs w:val="18"/>
          <w:rtl/>
        </w:rPr>
        <w:br/>
      </w:r>
      <w:r w:rsidRPr="00EC47F1">
        <w:rPr>
          <w:rFonts w:hint="cs"/>
          <w:sz w:val="18"/>
          <w:szCs w:val="18"/>
          <w:rtl/>
        </w:rPr>
        <w:t>ואמנם, לדינא חושש הרשב"א לשיטה זו ובעי בדיקה אחת תוך ז'.</w:t>
      </w:r>
    </w:p>
  </w:footnote>
  <w:footnote w:id="369">
    <w:p w:rsidR="005953C5" w:rsidRDefault="005953C5" w:rsidP="00620060">
      <w:pPr>
        <w:pStyle w:val="a3"/>
      </w:pPr>
      <w:r w:rsidRPr="009D30A9">
        <w:rPr>
          <w:rStyle w:val="a5"/>
          <w:sz w:val="18"/>
          <w:szCs w:val="18"/>
        </w:rPr>
        <w:footnoteRef/>
      </w:r>
      <w:r w:rsidRPr="009D30A9">
        <w:rPr>
          <w:sz w:val="18"/>
          <w:szCs w:val="18"/>
          <w:rtl/>
        </w:rPr>
        <w:t xml:space="preserve"> </w:t>
      </w:r>
      <w:r w:rsidRPr="009D30A9">
        <w:rPr>
          <w:rFonts w:hint="cs"/>
          <w:b/>
          <w:bCs/>
          <w:sz w:val="18"/>
          <w:szCs w:val="18"/>
          <w:rtl/>
        </w:rPr>
        <w:t>גמרא</w:t>
      </w:r>
      <w:r w:rsidRPr="009D30A9">
        <w:rPr>
          <w:rFonts w:hint="cs"/>
          <w:sz w:val="18"/>
          <w:szCs w:val="18"/>
          <w:rtl/>
        </w:rPr>
        <w:t xml:space="preserve"> נידה (סו.) "</w:t>
      </w:r>
      <w:r w:rsidRPr="009D30A9">
        <w:rPr>
          <w:rFonts w:cs="Arial" w:hint="cs"/>
          <w:sz w:val="18"/>
          <w:szCs w:val="18"/>
          <w:rtl/>
        </w:rPr>
        <w:t>אמר ליה</w:t>
      </w:r>
      <w:r w:rsidRPr="009D30A9">
        <w:rPr>
          <w:rFonts w:cs="Arial"/>
          <w:sz w:val="18"/>
          <w:szCs w:val="18"/>
          <w:rtl/>
        </w:rPr>
        <w:t xml:space="preserve"> </w:t>
      </w:r>
      <w:r w:rsidRPr="009D30A9">
        <w:rPr>
          <w:rFonts w:cs="Arial" w:hint="cs"/>
          <w:sz w:val="18"/>
          <w:szCs w:val="18"/>
          <w:rtl/>
        </w:rPr>
        <w:t>רב</w:t>
      </w:r>
      <w:r w:rsidRPr="009D30A9">
        <w:rPr>
          <w:rFonts w:cs="Arial"/>
          <w:sz w:val="18"/>
          <w:szCs w:val="18"/>
          <w:rtl/>
        </w:rPr>
        <w:t xml:space="preserve"> </w:t>
      </w:r>
      <w:r w:rsidRPr="009D30A9">
        <w:rPr>
          <w:rFonts w:cs="Arial" w:hint="cs"/>
          <w:sz w:val="18"/>
          <w:szCs w:val="18"/>
          <w:rtl/>
        </w:rPr>
        <w:t>פפא</w:t>
      </w:r>
      <w:r w:rsidRPr="009D30A9">
        <w:rPr>
          <w:rFonts w:cs="Arial"/>
          <w:sz w:val="18"/>
          <w:szCs w:val="18"/>
          <w:rtl/>
        </w:rPr>
        <w:t xml:space="preserve"> </w:t>
      </w:r>
      <w:r w:rsidRPr="009D30A9">
        <w:rPr>
          <w:rFonts w:cs="Arial" w:hint="cs"/>
          <w:sz w:val="18"/>
          <w:szCs w:val="18"/>
          <w:rtl/>
        </w:rPr>
        <w:t>לרבא</w:t>
      </w:r>
      <w:r w:rsidRPr="009D30A9">
        <w:rPr>
          <w:rFonts w:cs="Arial"/>
          <w:sz w:val="18"/>
          <w:szCs w:val="18"/>
          <w:rtl/>
        </w:rPr>
        <w:t xml:space="preserve">: </w:t>
      </w:r>
      <w:r w:rsidRPr="009D30A9">
        <w:rPr>
          <w:rFonts w:cs="Arial" w:hint="cs"/>
          <w:sz w:val="18"/>
          <w:szCs w:val="18"/>
          <w:rtl/>
        </w:rPr>
        <w:t>מאי</w:t>
      </w:r>
      <w:r w:rsidRPr="009D30A9">
        <w:rPr>
          <w:rFonts w:cs="Arial"/>
          <w:sz w:val="18"/>
          <w:szCs w:val="18"/>
          <w:rtl/>
        </w:rPr>
        <w:t xml:space="preserve"> </w:t>
      </w:r>
      <w:r w:rsidRPr="009D30A9">
        <w:rPr>
          <w:rFonts w:cs="Arial" w:hint="cs"/>
          <w:sz w:val="18"/>
          <w:szCs w:val="18"/>
          <w:rtl/>
        </w:rPr>
        <w:t>אריא...</w:t>
      </w:r>
      <w:r w:rsidRPr="009D30A9">
        <w:rPr>
          <w:rFonts w:cs="Arial"/>
          <w:sz w:val="18"/>
          <w:szCs w:val="18"/>
          <w:rtl/>
        </w:rPr>
        <w:t xml:space="preserve"> </w:t>
      </w:r>
      <w:r w:rsidRPr="009D30A9">
        <w:rPr>
          <w:rFonts w:cs="Arial" w:hint="cs"/>
          <w:sz w:val="18"/>
          <w:szCs w:val="18"/>
          <w:rtl/>
        </w:rPr>
        <w:t>דהא</w:t>
      </w:r>
      <w:r w:rsidRPr="009D30A9">
        <w:rPr>
          <w:rFonts w:cs="Arial"/>
          <w:sz w:val="18"/>
          <w:szCs w:val="18"/>
          <w:rtl/>
        </w:rPr>
        <w:t xml:space="preserve"> </w:t>
      </w:r>
      <w:r w:rsidRPr="009D30A9">
        <w:rPr>
          <w:rFonts w:cs="Arial" w:hint="cs"/>
          <w:sz w:val="18"/>
          <w:szCs w:val="18"/>
          <w:rtl/>
        </w:rPr>
        <w:t>אמר רבי</w:t>
      </w:r>
      <w:r w:rsidRPr="009D30A9">
        <w:rPr>
          <w:rFonts w:cs="Arial"/>
          <w:sz w:val="18"/>
          <w:szCs w:val="18"/>
          <w:rtl/>
        </w:rPr>
        <w:t xml:space="preserve"> </w:t>
      </w:r>
      <w:r w:rsidRPr="009D30A9">
        <w:rPr>
          <w:rFonts w:cs="Arial" w:hint="cs"/>
          <w:sz w:val="18"/>
          <w:szCs w:val="18"/>
          <w:rtl/>
        </w:rPr>
        <w:t>זירא</w:t>
      </w:r>
      <w:r w:rsidRPr="009D30A9">
        <w:rPr>
          <w:rFonts w:cs="Arial"/>
          <w:sz w:val="18"/>
          <w:szCs w:val="18"/>
          <w:rtl/>
        </w:rPr>
        <w:t xml:space="preserve">: </w:t>
      </w:r>
      <w:r w:rsidRPr="009D30A9">
        <w:rPr>
          <w:rFonts w:cs="Arial" w:hint="cs"/>
          <w:sz w:val="18"/>
          <w:szCs w:val="18"/>
          <w:rtl/>
        </w:rPr>
        <w:t>בנות</w:t>
      </w:r>
      <w:r w:rsidRPr="009D30A9">
        <w:rPr>
          <w:rFonts w:cs="Arial"/>
          <w:sz w:val="18"/>
          <w:szCs w:val="18"/>
          <w:rtl/>
        </w:rPr>
        <w:t xml:space="preserve"> </w:t>
      </w:r>
      <w:r w:rsidRPr="009D30A9">
        <w:rPr>
          <w:rFonts w:cs="Arial" w:hint="cs"/>
          <w:sz w:val="18"/>
          <w:szCs w:val="18"/>
          <w:rtl/>
        </w:rPr>
        <w:t>ישראל</w:t>
      </w:r>
      <w:r w:rsidRPr="009D30A9">
        <w:rPr>
          <w:rFonts w:cs="Arial"/>
          <w:sz w:val="18"/>
          <w:szCs w:val="18"/>
          <w:rtl/>
        </w:rPr>
        <w:t xml:space="preserve"> </w:t>
      </w:r>
      <w:r w:rsidRPr="009D30A9">
        <w:rPr>
          <w:rFonts w:cs="Arial" w:hint="cs"/>
          <w:sz w:val="18"/>
          <w:szCs w:val="18"/>
          <w:rtl/>
        </w:rPr>
        <w:t>החמירו</w:t>
      </w:r>
      <w:r w:rsidRPr="009D30A9">
        <w:rPr>
          <w:rFonts w:cs="Arial"/>
          <w:sz w:val="18"/>
          <w:szCs w:val="18"/>
          <w:rtl/>
        </w:rPr>
        <w:t xml:space="preserve"> </w:t>
      </w:r>
      <w:r w:rsidRPr="009D30A9">
        <w:rPr>
          <w:rFonts w:cs="Arial" w:hint="cs"/>
          <w:sz w:val="18"/>
          <w:szCs w:val="18"/>
          <w:rtl/>
        </w:rPr>
        <w:t>על</w:t>
      </w:r>
      <w:r w:rsidRPr="009D30A9">
        <w:rPr>
          <w:rFonts w:cs="Arial"/>
          <w:sz w:val="18"/>
          <w:szCs w:val="18"/>
          <w:rtl/>
        </w:rPr>
        <w:t xml:space="preserve"> </w:t>
      </w:r>
      <w:r w:rsidRPr="009D30A9">
        <w:rPr>
          <w:rFonts w:cs="Arial" w:hint="cs"/>
          <w:sz w:val="18"/>
          <w:szCs w:val="18"/>
          <w:rtl/>
        </w:rPr>
        <w:t>עצמן</w:t>
      </w:r>
      <w:r w:rsidRPr="009D30A9">
        <w:rPr>
          <w:rFonts w:cs="Arial"/>
          <w:sz w:val="18"/>
          <w:szCs w:val="18"/>
          <w:rtl/>
        </w:rPr>
        <w:t xml:space="preserve">, </w:t>
      </w:r>
      <w:r w:rsidRPr="009D30A9">
        <w:rPr>
          <w:rFonts w:cs="Arial" w:hint="cs"/>
          <w:sz w:val="18"/>
          <w:szCs w:val="18"/>
          <w:rtl/>
        </w:rPr>
        <w:t>שאפילו</w:t>
      </w:r>
      <w:r w:rsidRPr="009D30A9">
        <w:rPr>
          <w:rFonts w:cs="Arial"/>
          <w:sz w:val="18"/>
          <w:szCs w:val="18"/>
          <w:rtl/>
        </w:rPr>
        <w:t xml:space="preserve"> </w:t>
      </w:r>
      <w:r w:rsidRPr="009D30A9">
        <w:rPr>
          <w:rFonts w:cs="Arial" w:hint="cs"/>
          <w:sz w:val="18"/>
          <w:szCs w:val="18"/>
          <w:rtl/>
        </w:rPr>
        <w:t>רואות</w:t>
      </w:r>
      <w:r w:rsidRPr="009D30A9">
        <w:rPr>
          <w:rFonts w:cs="Arial"/>
          <w:sz w:val="18"/>
          <w:szCs w:val="18"/>
          <w:rtl/>
        </w:rPr>
        <w:t xml:space="preserve"> </w:t>
      </w:r>
      <w:r w:rsidRPr="009D30A9">
        <w:rPr>
          <w:rFonts w:cs="Arial" w:hint="cs"/>
          <w:sz w:val="18"/>
          <w:szCs w:val="18"/>
          <w:rtl/>
        </w:rPr>
        <w:t>טפת</w:t>
      </w:r>
      <w:r w:rsidRPr="009D30A9">
        <w:rPr>
          <w:rFonts w:cs="Arial"/>
          <w:sz w:val="18"/>
          <w:szCs w:val="18"/>
          <w:rtl/>
        </w:rPr>
        <w:t xml:space="preserve"> </w:t>
      </w:r>
      <w:r w:rsidRPr="009D30A9">
        <w:rPr>
          <w:rFonts w:cs="Arial" w:hint="cs"/>
          <w:sz w:val="18"/>
          <w:szCs w:val="18"/>
          <w:rtl/>
        </w:rPr>
        <w:t>דם</w:t>
      </w:r>
      <w:r w:rsidRPr="009D30A9">
        <w:rPr>
          <w:rFonts w:cs="Arial"/>
          <w:sz w:val="18"/>
          <w:szCs w:val="18"/>
          <w:rtl/>
        </w:rPr>
        <w:t xml:space="preserve"> </w:t>
      </w:r>
      <w:r w:rsidRPr="009D30A9">
        <w:rPr>
          <w:rFonts w:cs="Arial" w:hint="cs"/>
          <w:sz w:val="18"/>
          <w:szCs w:val="18"/>
          <w:rtl/>
        </w:rPr>
        <w:t>כחרדל</w:t>
      </w:r>
      <w:r w:rsidRPr="009D30A9">
        <w:rPr>
          <w:rFonts w:cs="Arial"/>
          <w:sz w:val="18"/>
          <w:szCs w:val="18"/>
          <w:rtl/>
        </w:rPr>
        <w:t xml:space="preserve"> - </w:t>
      </w:r>
      <w:r w:rsidRPr="009D30A9">
        <w:rPr>
          <w:rFonts w:cs="Arial" w:hint="cs"/>
          <w:sz w:val="18"/>
          <w:szCs w:val="18"/>
          <w:rtl/>
        </w:rPr>
        <w:t>יושבות</w:t>
      </w:r>
      <w:r w:rsidRPr="009D30A9">
        <w:rPr>
          <w:rFonts w:cs="Arial"/>
          <w:sz w:val="18"/>
          <w:szCs w:val="18"/>
          <w:rtl/>
        </w:rPr>
        <w:t xml:space="preserve"> </w:t>
      </w:r>
      <w:r w:rsidRPr="009D30A9">
        <w:rPr>
          <w:rFonts w:cs="Arial" w:hint="cs"/>
          <w:sz w:val="18"/>
          <w:szCs w:val="18"/>
          <w:rtl/>
        </w:rPr>
        <w:t>עליה</w:t>
      </w:r>
      <w:r w:rsidRPr="009D30A9">
        <w:rPr>
          <w:rFonts w:cs="Arial"/>
          <w:sz w:val="18"/>
          <w:szCs w:val="18"/>
          <w:rtl/>
        </w:rPr>
        <w:t xml:space="preserve"> </w:t>
      </w:r>
      <w:r w:rsidRPr="009D30A9">
        <w:rPr>
          <w:rFonts w:cs="Arial" w:hint="cs"/>
          <w:sz w:val="18"/>
          <w:szCs w:val="18"/>
          <w:rtl/>
        </w:rPr>
        <w:t>שבעה</w:t>
      </w:r>
      <w:r w:rsidRPr="009D30A9">
        <w:rPr>
          <w:rFonts w:cs="Arial"/>
          <w:sz w:val="18"/>
          <w:szCs w:val="18"/>
          <w:rtl/>
        </w:rPr>
        <w:t xml:space="preserve"> </w:t>
      </w:r>
      <w:r w:rsidRPr="009D30A9">
        <w:rPr>
          <w:rFonts w:cs="Arial" w:hint="cs"/>
          <w:sz w:val="18"/>
          <w:szCs w:val="18"/>
          <w:rtl/>
        </w:rPr>
        <w:t>נקיים</w:t>
      </w:r>
      <w:r w:rsidRPr="009D30A9">
        <w:rPr>
          <w:rFonts w:cs="Arial"/>
          <w:sz w:val="18"/>
          <w:szCs w:val="18"/>
          <w:rtl/>
        </w:rPr>
        <w:t xml:space="preserve">! </w:t>
      </w:r>
      <w:r w:rsidRPr="009D30A9">
        <w:rPr>
          <w:rFonts w:cs="Arial" w:hint="cs"/>
          <w:sz w:val="18"/>
          <w:szCs w:val="18"/>
          <w:rtl/>
        </w:rPr>
        <w:t>אמר ליה</w:t>
      </w:r>
      <w:r w:rsidRPr="009D30A9">
        <w:rPr>
          <w:rFonts w:cs="Arial"/>
          <w:sz w:val="18"/>
          <w:szCs w:val="18"/>
          <w:rtl/>
        </w:rPr>
        <w:t xml:space="preserve">: </w:t>
      </w:r>
      <w:r w:rsidRPr="009D30A9">
        <w:rPr>
          <w:rFonts w:cs="Arial" w:hint="cs"/>
          <w:sz w:val="18"/>
          <w:szCs w:val="18"/>
          <w:rtl/>
        </w:rPr>
        <w:t>אמינא</w:t>
      </w:r>
      <w:r w:rsidRPr="009D30A9">
        <w:rPr>
          <w:rFonts w:cs="Arial"/>
          <w:sz w:val="18"/>
          <w:szCs w:val="18"/>
          <w:rtl/>
        </w:rPr>
        <w:t xml:space="preserve"> </w:t>
      </w:r>
      <w:r w:rsidRPr="009D30A9">
        <w:rPr>
          <w:rFonts w:cs="Arial" w:hint="cs"/>
          <w:sz w:val="18"/>
          <w:szCs w:val="18"/>
          <w:rtl/>
        </w:rPr>
        <w:t>לך</w:t>
      </w:r>
      <w:r w:rsidRPr="009D30A9">
        <w:rPr>
          <w:rFonts w:cs="Arial"/>
          <w:sz w:val="18"/>
          <w:szCs w:val="18"/>
          <w:rtl/>
        </w:rPr>
        <w:t xml:space="preserve"> </w:t>
      </w:r>
      <w:r w:rsidRPr="009D30A9">
        <w:rPr>
          <w:rFonts w:cs="Arial" w:hint="cs"/>
          <w:sz w:val="18"/>
          <w:szCs w:val="18"/>
          <w:rtl/>
        </w:rPr>
        <w:t>איסורא</w:t>
      </w:r>
      <w:r w:rsidRPr="009D30A9">
        <w:rPr>
          <w:rFonts w:cs="Arial"/>
          <w:sz w:val="18"/>
          <w:szCs w:val="18"/>
          <w:rtl/>
        </w:rPr>
        <w:t xml:space="preserve">, </w:t>
      </w:r>
      <w:r w:rsidRPr="009D30A9">
        <w:rPr>
          <w:rFonts w:cs="Arial" w:hint="cs"/>
          <w:sz w:val="18"/>
          <w:szCs w:val="18"/>
          <w:rtl/>
        </w:rPr>
        <w:t>ואת</w:t>
      </w:r>
      <w:r w:rsidRPr="009D30A9">
        <w:rPr>
          <w:rFonts w:cs="Arial"/>
          <w:sz w:val="18"/>
          <w:szCs w:val="18"/>
          <w:rtl/>
        </w:rPr>
        <w:t xml:space="preserve"> </w:t>
      </w:r>
      <w:r w:rsidRPr="009D30A9">
        <w:rPr>
          <w:rFonts w:cs="Arial" w:hint="cs"/>
          <w:sz w:val="18"/>
          <w:szCs w:val="18"/>
          <w:rtl/>
        </w:rPr>
        <w:t>אמרת</w:t>
      </w:r>
      <w:r w:rsidRPr="009D30A9">
        <w:rPr>
          <w:rFonts w:cs="Arial"/>
          <w:sz w:val="18"/>
          <w:szCs w:val="18"/>
          <w:rtl/>
        </w:rPr>
        <w:t xml:space="preserve"> </w:t>
      </w:r>
      <w:r w:rsidRPr="009D30A9">
        <w:rPr>
          <w:rFonts w:cs="Arial" w:hint="cs"/>
          <w:sz w:val="18"/>
          <w:szCs w:val="18"/>
          <w:rtl/>
        </w:rPr>
        <w:t>מנהגא</w:t>
      </w:r>
      <w:r w:rsidRPr="009D30A9">
        <w:rPr>
          <w:rFonts w:cs="Arial"/>
          <w:sz w:val="18"/>
          <w:szCs w:val="18"/>
          <w:rtl/>
        </w:rPr>
        <w:t xml:space="preserve">? </w:t>
      </w:r>
      <w:r w:rsidRPr="009D30A9">
        <w:rPr>
          <w:rFonts w:cs="Arial" w:hint="cs"/>
          <w:sz w:val="18"/>
          <w:szCs w:val="18"/>
          <w:rtl/>
        </w:rPr>
        <w:t>היכא</w:t>
      </w:r>
      <w:r w:rsidRPr="009D30A9">
        <w:rPr>
          <w:rFonts w:cs="Arial"/>
          <w:sz w:val="18"/>
          <w:szCs w:val="18"/>
          <w:rtl/>
        </w:rPr>
        <w:t xml:space="preserve"> </w:t>
      </w:r>
      <w:r w:rsidRPr="009D30A9">
        <w:rPr>
          <w:rFonts w:cs="Arial" w:hint="cs"/>
          <w:sz w:val="18"/>
          <w:szCs w:val="18"/>
          <w:rtl/>
        </w:rPr>
        <w:t>דאחמור</w:t>
      </w:r>
      <w:r w:rsidRPr="009D30A9">
        <w:rPr>
          <w:rFonts w:cs="Arial"/>
          <w:sz w:val="18"/>
          <w:szCs w:val="18"/>
          <w:rtl/>
        </w:rPr>
        <w:t xml:space="preserve"> - </w:t>
      </w:r>
      <w:r w:rsidRPr="009D30A9">
        <w:rPr>
          <w:rFonts w:cs="Arial" w:hint="cs"/>
          <w:sz w:val="18"/>
          <w:szCs w:val="18"/>
          <w:rtl/>
        </w:rPr>
        <w:t>אחמור</w:t>
      </w:r>
      <w:r w:rsidRPr="009D30A9">
        <w:rPr>
          <w:rFonts w:cs="Arial"/>
          <w:sz w:val="18"/>
          <w:szCs w:val="18"/>
          <w:rtl/>
        </w:rPr>
        <w:t xml:space="preserve">, </w:t>
      </w:r>
      <w:r w:rsidRPr="009D30A9">
        <w:rPr>
          <w:rFonts w:cs="Arial" w:hint="cs"/>
          <w:sz w:val="18"/>
          <w:szCs w:val="18"/>
          <w:rtl/>
        </w:rPr>
        <w:t>היכא</w:t>
      </w:r>
      <w:r w:rsidRPr="009D30A9">
        <w:rPr>
          <w:rFonts w:cs="Arial"/>
          <w:sz w:val="18"/>
          <w:szCs w:val="18"/>
          <w:rtl/>
        </w:rPr>
        <w:t xml:space="preserve"> </w:t>
      </w:r>
      <w:r w:rsidRPr="009D30A9">
        <w:rPr>
          <w:rFonts w:cs="Arial" w:hint="cs"/>
          <w:sz w:val="18"/>
          <w:szCs w:val="18"/>
          <w:rtl/>
        </w:rPr>
        <w:t>דלא</w:t>
      </w:r>
      <w:r w:rsidRPr="009D30A9">
        <w:rPr>
          <w:rFonts w:cs="Arial"/>
          <w:sz w:val="18"/>
          <w:szCs w:val="18"/>
          <w:rtl/>
        </w:rPr>
        <w:t xml:space="preserve"> </w:t>
      </w:r>
      <w:r w:rsidRPr="009D30A9">
        <w:rPr>
          <w:rFonts w:cs="Arial" w:hint="cs"/>
          <w:sz w:val="18"/>
          <w:szCs w:val="18"/>
          <w:rtl/>
        </w:rPr>
        <w:t>אחמור</w:t>
      </w:r>
      <w:r w:rsidRPr="009D30A9">
        <w:rPr>
          <w:rFonts w:cs="Arial"/>
          <w:sz w:val="18"/>
          <w:szCs w:val="18"/>
          <w:rtl/>
        </w:rPr>
        <w:t xml:space="preserve"> - </w:t>
      </w:r>
      <w:r w:rsidRPr="009D30A9">
        <w:rPr>
          <w:rFonts w:cs="Arial" w:hint="cs"/>
          <w:sz w:val="18"/>
          <w:szCs w:val="18"/>
          <w:rtl/>
        </w:rPr>
        <w:t>לא</w:t>
      </w:r>
      <w:r w:rsidRPr="009D30A9">
        <w:rPr>
          <w:rFonts w:cs="Arial"/>
          <w:sz w:val="18"/>
          <w:szCs w:val="18"/>
          <w:rtl/>
        </w:rPr>
        <w:t xml:space="preserve"> </w:t>
      </w:r>
      <w:r w:rsidRPr="009D30A9">
        <w:rPr>
          <w:rFonts w:cs="Arial" w:hint="cs"/>
          <w:sz w:val="18"/>
          <w:szCs w:val="18"/>
          <w:rtl/>
        </w:rPr>
        <w:t>אחמור".</w:t>
      </w:r>
    </w:p>
  </w:footnote>
  <w:footnote w:id="370">
    <w:p w:rsidR="005953C5" w:rsidRPr="00492AC5" w:rsidRDefault="005953C5" w:rsidP="00620060">
      <w:pPr>
        <w:pStyle w:val="a3"/>
        <w:rPr>
          <w:sz w:val="18"/>
          <w:szCs w:val="18"/>
          <w:rtl/>
        </w:rPr>
      </w:pPr>
      <w:r w:rsidRPr="00492AC5">
        <w:rPr>
          <w:rStyle w:val="a5"/>
          <w:sz w:val="18"/>
          <w:szCs w:val="18"/>
        </w:rPr>
        <w:footnoteRef/>
      </w:r>
      <w:r w:rsidRPr="00492AC5">
        <w:rPr>
          <w:sz w:val="18"/>
          <w:szCs w:val="18"/>
          <w:rtl/>
        </w:rPr>
        <w:t xml:space="preserve"> </w:t>
      </w:r>
      <w:r w:rsidRPr="00492AC5">
        <w:rPr>
          <w:rFonts w:hint="cs"/>
          <w:sz w:val="18"/>
          <w:szCs w:val="18"/>
          <w:rtl/>
        </w:rPr>
        <w:t xml:space="preserve">וכן כתב </w:t>
      </w:r>
      <w:r w:rsidRPr="00492AC5">
        <w:rPr>
          <w:rFonts w:hint="cs"/>
          <w:b/>
          <w:bCs/>
          <w:sz w:val="18"/>
          <w:szCs w:val="18"/>
          <w:rtl/>
        </w:rPr>
        <w:t>הגר"א</w:t>
      </w:r>
      <w:r w:rsidRPr="00492AC5">
        <w:rPr>
          <w:rFonts w:hint="cs"/>
          <w:sz w:val="18"/>
          <w:szCs w:val="18"/>
          <w:rtl/>
        </w:rPr>
        <w:t xml:space="preserve"> </w:t>
      </w:r>
      <w:r w:rsidRPr="00492AC5">
        <w:rPr>
          <w:sz w:val="18"/>
          <w:szCs w:val="18"/>
          <w:rtl/>
        </w:rPr>
        <w:t>–</w:t>
      </w:r>
      <w:r w:rsidRPr="00492AC5">
        <w:rPr>
          <w:rFonts w:hint="cs"/>
          <w:sz w:val="18"/>
          <w:szCs w:val="18"/>
          <w:rtl/>
        </w:rPr>
        <w:t xml:space="preserve"> "דלא הוחזקה מע</w:t>
      </w:r>
      <w:r>
        <w:rPr>
          <w:rFonts w:hint="cs"/>
          <w:sz w:val="18"/>
          <w:szCs w:val="18"/>
          <w:rtl/>
        </w:rPr>
        <w:t>י</w:t>
      </w:r>
      <w:r w:rsidRPr="00492AC5">
        <w:rPr>
          <w:rFonts w:hint="cs"/>
          <w:sz w:val="18"/>
          <w:szCs w:val="18"/>
          <w:rtl/>
        </w:rPr>
        <w:t>ינה פתוח</w:t>
      </w:r>
      <w:r>
        <w:rPr>
          <w:rFonts w:hint="cs"/>
          <w:sz w:val="18"/>
          <w:szCs w:val="18"/>
          <w:rtl/>
        </w:rPr>
        <w:t>,</w:t>
      </w:r>
      <w:r w:rsidRPr="00492AC5">
        <w:rPr>
          <w:rFonts w:hint="cs"/>
          <w:sz w:val="18"/>
          <w:szCs w:val="18"/>
          <w:rtl/>
        </w:rPr>
        <w:t xml:space="preserve"> אלא חששא בעלמא מחמת חימוד לטיפה כחרדל".</w:t>
      </w:r>
      <w:r>
        <w:rPr>
          <w:rFonts w:hint="cs"/>
          <w:sz w:val="18"/>
          <w:szCs w:val="18"/>
          <w:rtl/>
        </w:rPr>
        <w:t xml:space="preserve"> ומשמע להדיא שאם הוחזק מעיינה פתוח צריכה לעשות הפסק טהרה.</w:t>
      </w:r>
    </w:p>
  </w:footnote>
  <w:footnote w:id="371">
    <w:p w:rsidR="005953C5" w:rsidRDefault="005953C5" w:rsidP="00620060">
      <w:pPr>
        <w:pStyle w:val="a3"/>
      </w:pPr>
      <w:r w:rsidRPr="00BC3D3F">
        <w:rPr>
          <w:rStyle w:val="a5"/>
          <w:sz w:val="18"/>
          <w:szCs w:val="18"/>
        </w:rPr>
        <w:footnoteRef/>
      </w:r>
      <w:r w:rsidRPr="00BC3D3F">
        <w:rPr>
          <w:sz w:val="18"/>
          <w:szCs w:val="18"/>
          <w:rtl/>
        </w:rPr>
        <w:t xml:space="preserve"> </w:t>
      </w:r>
      <w:r w:rsidRPr="00BC3D3F">
        <w:rPr>
          <w:rFonts w:hint="cs"/>
          <w:sz w:val="18"/>
          <w:szCs w:val="18"/>
          <w:rtl/>
        </w:rPr>
        <w:t xml:space="preserve">עוד אפשר להוסיף </w:t>
      </w:r>
      <w:r w:rsidRPr="00BC3D3F">
        <w:rPr>
          <w:sz w:val="18"/>
          <w:szCs w:val="18"/>
          <w:rtl/>
        </w:rPr>
        <w:t>–</w:t>
      </w:r>
      <w:r w:rsidRPr="00BC3D3F">
        <w:rPr>
          <w:rFonts w:hint="cs"/>
          <w:sz w:val="18"/>
          <w:szCs w:val="18"/>
          <w:rtl/>
        </w:rPr>
        <w:t xml:space="preserve"> אפילו אם בגמרא מדובר בגדולה, אינה צריכה לעשות הפסק טהרה משום שנהגו לטבול לטהרות, ממילא הטהרה לפני הנישואין היתה רק מדם חימוד, אך בזמנינו אין טובלות רווקות וממילא צריכה לעשות הפסק ככל נידה, וכ"כ </w:t>
      </w:r>
      <w:r w:rsidRPr="00BC3D3F">
        <w:rPr>
          <w:rFonts w:hint="cs"/>
          <w:b/>
          <w:bCs/>
          <w:sz w:val="18"/>
          <w:szCs w:val="18"/>
          <w:rtl/>
        </w:rPr>
        <w:t>בששבה"ל</w:t>
      </w:r>
      <w:r w:rsidRPr="00BC3D3F">
        <w:rPr>
          <w:rFonts w:hint="cs"/>
          <w:sz w:val="18"/>
          <w:szCs w:val="18"/>
          <w:rtl/>
        </w:rPr>
        <w:t xml:space="preserve">. </w:t>
      </w:r>
    </w:p>
  </w:footnote>
  <w:footnote w:id="372">
    <w:p w:rsidR="005953C5" w:rsidRDefault="005953C5" w:rsidP="00620060">
      <w:pPr>
        <w:pStyle w:val="a3"/>
        <w:rPr>
          <w:rtl/>
        </w:rPr>
      </w:pPr>
      <w:r w:rsidRPr="008C0EAC">
        <w:rPr>
          <w:rStyle w:val="a5"/>
          <w:sz w:val="18"/>
          <w:szCs w:val="18"/>
        </w:rPr>
        <w:footnoteRef/>
      </w:r>
      <w:r w:rsidRPr="008C0EAC">
        <w:rPr>
          <w:sz w:val="18"/>
          <w:szCs w:val="18"/>
          <w:rtl/>
        </w:rPr>
        <w:t xml:space="preserve"> </w:t>
      </w:r>
      <w:r w:rsidRPr="008C0EAC">
        <w:rPr>
          <w:rFonts w:hint="cs"/>
          <w:sz w:val="18"/>
          <w:szCs w:val="18"/>
          <w:rtl/>
        </w:rPr>
        <w:t xml:space="preserve">קצת קשה </w:t>
      </w:r>
      <w:r w:rsidRPr="008C0EAC">
        <w:rPr>
          <w:sz w:val="18"/>
          <w:szCs w:val="18"/>
          <w:rtl/>
        </w:rPr>
        <w:t>–</w:t>
      </w:r>
      <w:r w:rsidRPr="008C0EAC">
        <w:rPr>
          <w:rFonts w:hint="cs"/>
          <w:sz w:val="18"/>
          <w:szCs w:val="18"/>
          <w:rtl/>
        </w:rPr>
        <w:t xml:space="preserve"> מדוע </w:t>
      </w:r>
      <w:r w:rsidRPr="008C0EAC">
        <w:rPr>
          <w:rFonts w:hint="cs"/>
          <w:b/>
          <w:bCs/>
          <w:sz w:val="18"/>
          <w:szCs w:val="18"/>
          <w:rtl/>
        </w:rPr>
        <w:t>הט"ז</w:t>
      </w:r>
      <w:r w:rsidRPr="008C0EAC">
        <w:rPr>
          <w:rFonts w:hint="cs"/>
          <w:sz w:val="18"/>
          <w:szCs w:val="18"/>
          <w:rtl/>
        </w:rPr>
        <w:t xml:space="preserve"> </w:t>
      </w:r>
      <w:r w:rsidRPr="008C0EAC">
        <w:rPr>
          <w:rFonts w:hint="cs"/>
          <w:sz w:val="16"/>
          <w:szCs w:val="16"/>
          <w:rtl/>
        </w:rPr>
        <w:t>(</w:t>
      </w:r>
      <w:r w:rsidRPr="008C0EAC">
        <w:rPr>
          <w:rFonts w:hint="cs"/>
          <w:b/>
          <w:bCs/>
          <w:sz w:val="16"/>
          <w:szCs w:val="16"/>
          <w:rtl/>
        </w:rPr>
        <w:t xml:space="preserve">והחוו"ד </w:t>
      </w:r>
      <w:r w:rsidRPr="008C0EAC">
        <w:rPr>
          <w:rFonts w:hint="cs"/>
          <w:sz w:val="16"/>
          <w:szCs w:val="16"/>
          <w:rtl/>
        </w:rPr>
        <w:t xml:space="preserve">בסמוך) </w:t>
      </w:r>
      <w:r w:rsidRPr="008C0EAC">
        <w:rPr>
          <w:rFonts w:hint="cs"/>
          <w:sz w:val="18"/>
          <w:szCs w:val="18"/>
          <w:rtl/>
        </w:rPr>
        <w:t>מבין שבועז שכב עם רות באותו לילה שבאה אליו לגורן, הרי בכתוב עצמו אין הכרח להבין כך, וכן נאמר להדיא בגמרא בסנהדרין (יט:) שבועז כבש את יצרו ולא שכב עמה.</w:t>
      </w:r>
      <w:r>
        <w:rPr>
          <w:rFonts w:hint="cs"/>
          <w:rtl/>
        </w:rPr>
        <w:t xml:space="preserve"> </w:t>
      </w:r>
      <w:r w:rsidRPr="00EC3706">
        <w:rPr>
          <w:rFonts w:hint="cs"/>
          <w:sz w:val="18"/>
          <w:szCs w:val="18"/>
          <w:rtl/>
        </w:rPr>
        <w:t xml:space="preserve">ובס"ד מצאתי שכן הקשה </w:t>
      </w:r>
      <w:r w:rsidRPr="00EC3706">
        <w:rPr>
          <w:rFonts w:hint="cs"/>
          <w:b/>
          <w:bCs/>
          <w:sz w:val="18"/>
          <w:szCs w:val="18"/>
          <w:rtl/>
        </w:rPr>
        <w:t>הכרתי</w:t>
      </w:r>
      <w:r w:rsidRPr="00EC3706">
        <w:rPr>
          <w:rFonts w:hint="cs"/>
          <w:sz w:val="18"/>
          <w:szCs w:val="18"/>
          <w:rtl/>
        </w:rPr>
        <w:t>.</w:t>
      </w:r>
    </w:p>
  </w:footnote>
  <w:footnote w:id="373">
    <w:p w:rsidR="005953C5" w:rsidRDefault="005953C5" w:rsidP="00620060">
      <w:pPr>
        <w:pStyle w:val="a3"/>
        <w:rPr>
          <w:rtl/>
        </w:rPr>
      </w:pPr>
      <w:r w:rsidRPr="005210B6">
        <w:rPr>
          <w:rStyle w:val="a5"/>
          <w:sz w:val="18"/>
          <w:szCs w:val="18"/>
        </w:rPr>
        <w:footnoteRef/>
      </w:r>
      <w:r w:rsidRPr="005210B6">
        <w:rPr>
          <w:sz w:val="18"/>
          <w:szCs w:val="18"/>
          <w:rtl/>
        </w:rPr>
        <w:t xml:space="preserve"> </w:t>
      </w:r>
      <w:r w:rsidRPr="005210B6">
        <w:rPr>
          <w:rFonts w:hint="cs"/>
          <w:sz w:val="18"/>
          <w:szCs w:val="18"/>
          <w:rtl/>
        </w:rPr>
        <w:t xml:space="preserve">הנה הט"ז הביא מחלוקת בינו לדרישה בהבנת דברי הרשב"א - </w:t>
      </w:r>
      <w:r w:rsidRPr="005210B6">
        <w:rPr>
          <w:sz w:val="18"/>
          <w:szCs w:val="18"/>
          <w:rtl/>
        </w:rPr>
        <w:br/>
      </w:r>
      <w:r w:rsidRPr="005210B6">
        <w:rPr>
          <w:rFonts w:hint="cs"/>
          <w:b/>
          <w:bCs/>
          <w:sz w:val="18"/>
          <w:szCs w:val="18"/>
          <w:rtl/>
        </w:rPr>
        <w:t>דרישה</w:t>
      </w:r>
      <w:r w:rsidRPr="005210B6">
        <w:rPr>
          <w:rFonts w:hint="cs"/>
          <w:sz w:val="18"/>
          <w:szCs w:val="18"/>
          <w:rtl/>
        </w:rPr>
        <w:t xml:space="preserve"> </w:t>
      </w:r>
      <w:r w:rsidRPr="005210B6">
        <w:rPr>
          <w:sz w:val="18"/>
          <w:szCs w:val="18"/>
          <w:rtl/>
        </w:rPr>
        <w:t>–</w:t>
      </w:r>
      <w:r w:rsidRPr="005210B6">
        <w:rPr>
          <w:rFonts w:hint="cs"/>
          <w:sz w:val="18"/>
          <w:szCs w:val="18"/>
          <w:rtl/>
        </w:rPr>
        <w:t xml:space="preserve"> יש להבין, מדוע הרשב"א לא כתב שז' נקיים הנמנים משעת התביעה אינם מועילים משום שבסמוך לחופה יהיה חימוד חדש?</w:t>
      </w:r>
      <w:r w:rsidRPr="005210B6">
        <w:rPr>
          <w:sz w:val="18"/>
          <w:szCs w:val="18"/>
          <w:rtl/>
        </w:rPr>
        <w:br/>
      </w:r>
      <w:r w:rsidRPr="005210B6">
        <w:rPr>
          <w:rFonts w:hint="cs"/>
          <w:sz w:val="18"/>
          <w:szCs w:val="18"/>
          <w:rtl/>
        </w:rPr>
        <w:t xml:space="preserve">תשובה </w:t>
      </w:r>
      <w:r w:rsidRPr="005210B6">
        <w:rPr>
          <w:sz w:val="18"/>
          <w:szCs w:val="18"/>
          <w:rtl/>
        </w:rPr>
        <w:t>–</w:t>
      </w:r>
      <w:r w:rsidRPr="005210B6">
        <w:rPr>
          <w:rFonts w:hint="cs"/>
          <w:sz w:val="18"/>
          <w:szCs w:val="18"/>
          <w:rtl/>
        </w:rPr>
        <w:t xml:space="preserve"> הרשב"א סובר שבשעת תביעה אין בכלל חימוד, ולכן אם התחילה למנות ז' נקיים משעת תביעה והקדימו את מועד החופה </w:t>
      </w:r>
      <w:r w:rsidRPr="005210B6">
        <w:rPr>
          <w:sz w:val="18"/>
          <w:szCs w:val="18"/>
          <w:rtl/>
        </w:rPr>
        <w:t>–</w:t>
      </w:r>
      <w:r w:rsidRPr="005210B6">
        <w:rPr>
          <w:rFonts w:hint="cs"/>
          <w:sz w:val="18"/>
          <w:szCs w:val="18"/>
          <w:rtl/>
        </w:rPr>
        <w:t xml:space="preserve"> צריכה למנות ז' נקיים שנית, כיוון שבשעת תביעה ליכא חימוד כלל.</w:t>
      </w:r>
      <w:r w:rsidRPr="005210B6">
        <w:rPr>
          <w:sz w:val="18"/>
          <w:szCs w:val="18"/>
          <w:rtl/>
        </w:rPr>
        <w:br/>
      </w:r>
      <w:r w:rsidRPr="005210B6">
        <w:rPr>
          <w:rFonts w:hint="cs"/>
          <w:sz w:val="18"/>
          <w:szCs w:val="18"/>
          <w:rtl/>
        </w:rPr>
        <w:t xml:space="preserve">אמנם, אם התחילו להכין צרכי חופה והתחילה למנות ז' נקיים והקדימו את החופה באופן שז' נקיים סמוכים לחופה </w:t>
      </w:r>
      <w:r w:rsidRPr="005210B6">
        <w:rPr>
          <w:sz w:val="18"/>
          <w:szCs w:val="18"/>
          <w:rtl/>
        </w:rPr>
        <w:t>–</w:t>
      </w:r>
      <w:r w:rsidRPr="005210B6">
        <w:rPr>
          <w:rFonts w:hint="cs"/>
          <w:sz w:val="18"/>
          <w:szCs w:val="18"/>
          <w:rtl/>
        </w:rPr>
        <w:t xml:space="preserve"> מהני הז' נקיים שמנתה. ברם, אם לא הקדימו את מועד החופה, לא מהני ז' נקיים שמנתה וצריכה למנות שנית.</w:t>
      </w:r>
      <w:r w:rsidRPr="005210B6">
        <w:rPr>
          <w:sz w:val="18"/>
          <w:szCs w:val="18"/>
          <w:rtl/>
        </w:rPr>
        <w:br/>
      </w:r>
      <w:r w:rsidRPr="005210B6">
        <w:rPr>
          <w:rFonts w:hint="cs"/>
          <w:b/>
          <w:bCs/>
          <w:sz w:val="18"/>
          <w:szCs w:val="18"/>
          <w:rtl/>
        </w:rPr>
        <w:t>ט"ז</w:t>
      </w:r>
      <w:r w:rsidRPr="005210B6">
        <w:rPr>
          <w:rFonts w:hint="cs"/>
          <w:sz w:val="18"/>
          <w:szCs w:val="18"/>
          <w:rtl/>
        </w:rPr>
        <w:t xml:space="preserve"> </w:t>
      </w:r>
      <w:r w:rsidRPr="005210B6">
        <w:rPr>
          <w:sz w:val="18"/>
          <w:szCs w:val="18"/>
          <w:rtl/>
        </w:rPr>
        <w:t>–</w:t>
      </w:r>
      <w:r w:rsidRPr="005210B6">
        <w:rPr>
          <w:rFonts w:hint="cs"/>
          <w:sz w:val="18"/>
          <w:szCs w:val="18"/>
          <w:rtl/>
        </w:rPr>
        <w:t xml:space="preserve"> הבנת הדרישה ברשב"א שגויה, ז' נקיים אינם צריכים להיות סמוך לחופה אלא משעה שמתחילים להכין את צרכי החופה יש חימוד ומהני ז' נקיים אפילו אם לא הקדימו את מועד החופה. ונראה מדברי המחבר שסובר כט"ז ומהני ז' נקיים אפילו כשאינם סמוכים לנישואין.</w:t>
      </w:r>
    </w:p>
  </w:footnote>
  <w:footnote w:id="374">
    <w:p w:rsidR="005953C5" w:rsidRDefault="005953C5" w:rsidP="00620060">
      <w:pPr>
        <w:pStyle w:val="a3"/>
      </w:pPr>
      <w:r w:rsidRPr="0070593D">
        <w:rPr>
          <w:rStyle w:val="a5"/>
          <w:sz w:val="18"/>
          <w:szCs w:val="18"/>
        </w:rPr>
        <w:footnoteRef/>
      </w:r>
      <w:r w:rsidRPr="0070593D">
        <w:rPr>
          <w:sz w:val="18"/>
          <w:szCs w:val="18"/>
          <w:rtl/>
        </w:rPr>
        <w:t xml:space="preserve"> </w:t>
      </w:r>
      <w:r>
        <w:rPr>
          <w:rFonts w:hint="cs"/>
          <w:b/>
          <w:bCs/>
          <w:sz w:val="18"/>
          <w:szCs w:val="18"/>
          <w:rtl/>
        </w:rPr>
        <w:t>הט"ז</w:t>
      </w:r>
      <w:r w:rsidRPr="0070593D">
        <w:rPr>
          <w:rFonts w:hint="cs"/>
          <w:sz w:val="18"/>
          <w:szCs w:val="18"/>
          <w:rtl/>
        </w:rPr>
        <w:t xml:space="preserve"> מבאר את המחלוקת בין הדעות השונות - </w:t>
      </w:r>
      <w:r w:rsidRPr="0070593D">
        <w:rPr>
          <w:sz w:val="18"/>
          <w:szCs w:val="18"/>
          <w:rtl/>
        </w:rPr>
        <w:br/>
      </w:r>
      <w:r w:rsidRPr="0070593D">
        <w:rPr>
          <w:rFonts w:hint="cs"/>
          <w:sz w:val="18"/>
          <w:szCs w:val="18"/>
          <w:rtl/>
        </w:rPr>
        <w:t xml:space="preserve">לדעת </w:t>
      </w:r>
      <w:r w:rsidRPr="0070593D">
        <w:rPr>
          <w:rFonts w:hint="cs"/>
          <w:b/>
          <w:bCs/>
          <w:sz w:val="18"/>
          <w:szCs w:val="18"/>
          <w:rtl/>
        </w:rPr>
        <w:t>הרשב"א והמחבר</w:t>
      </w:r>
      <w:r w:rsidRPr="0070593D">
        <w:rPr>
          <w:rFonts w:hint="cs"/>
          <w:sz w:val="18"/>
          <w:szCs w:val="18"/>
          <w:rtl/>
        </w:rPr>
        <w:t xml:space="preserve"> - החשש הוא מחמת חימוד אחד בלבד שקיים בשעת הכנת צרכי החופה.</w:t>
      </w:r>
      <w:r w:rsidRPr="0070593D">
        <w:rPr>
          <w:sz w:val="18"/>
          <w:szCs w:val="18"/>
          <w:rtl/>
        </w:rPr>
        <w:br/>
      </w:r>
      <w:r w:rsidRPr="0070593D">
        <w:rPr>
          <w:rFonts w:hint="cs"/>
          <w:sz w:val="18"/>
          <w:szCs w:val="18"/>
          <w:rtl/>
        </w:rPr>
        <w:t xml:space="preserve">לדעת </w:t>
      </w:r>
      <w:r w:rsidRPr="0070593D">
        <w:rPr>
          <w:rFonts w:hint="cs"/>
          <w:b/>
          <w:bCs/>
          <w:sz w:val="18"/>
          <w:szCs w:val="18"/>
          <w:rtl/>
        </w:rPr>
        <w:t>רשב"ם והרמ"א</w:t>
      </w:r>
      <w:r w:rsidRPr="0070593D">
        <w:rPr>
          <w:rFonts w:hint="cs"/>
          <w:sz w:val="18"/>
          <w:szCs w:val="18"/>
          <w:rtl/>
        </w:rPr>
        <w:t xml:space="preserve"> </w:t>
      </w:r>
      <w:r w:rsidRPr="0070593D">
        <w:rPr>
          <w:sz w:val="18"/>
          <w:szCs w:val="18"/>
          <w:rtl/>
        </w:rPr>
        <w:t>–</w:t>
      </w:r>
      <w:r w:rsidRPr="0070593D">
        <w:rPr>
          <w:rFonts w:hint="cs"/>
          <w:sz w:val="18"/>
          <w:szCs w:val="18"/>
          <w:rtl/>
        </w:rPr>
        <w:t xml:space="preserve"> יש לחוש לחימוד כל זמן שמתקרב מועד הנישואין.</w:t>
      </w:r>
    </w:p>
  </w:footnote>
  <w:footnote w:id="375">
    <w:p w:rsidR="005953C5" w:rsidRDefault="005953C5" w:rsidP="00620060">
      <w:pPr>
        <w:pStyle w:val="a3"/>
        <w:rPr>
          <w:rtl/>
        </w:rPr>
      </w:pPr>
      <w:r w:rsidRPr="00AB4FFB">
        <w:rPr>
          <w:rStyle w:val="a5"/>
          <w:sz w:val="18"/>
          <w:szCs w:val="18"/>
        </w:rPr>
        <w:footnoteRef/>
      </w:r>
      <w:r w:rsidRPr="00AB4FFB">
        <w:rPr>
          <w:sz w:val="18"/>
          <w:szCs w:val="18"/>
          <w:rtl/>
        </w:rPr>
        <w:t xml:space="preserve"> </w:t>
      </w:r>
      <w:r w:rsidRPr="00AB4FFB">
        <w:rPr>
          <w:rFonts w:hint="cs"/>
          <w:sz w:val="18"/>
          <w:szCs w:val="18"/>
          <w:rtl/>
        </w:rPr>
        <w:t xml:space="preserve">אמנם, על עצם המנהג כתב </w:t>
      </w:r>
      <w:r w:rsidRPr="00AB4FFB">
        <w:rPr>
          <w:rFonts w:hint="cs"/>
          <w:b/>
          <w:bCs/>
          <w:sz w:val="18"/>
          <w:szCs w:val="18"/>
          <w:rtl/>
        </w:rPr>
        <w:t>השל"ה</w:t>
      </w:r>
      <w:r w:rsidRPr="00AB4FFB">
        <w:rPr>
          <w:rFonts w:hint="cs"/>
          <w:sz w:val="18"/>
          <w:szCs w:val="18"/>
          <w:rtl/>
        </w:rPr>
        <w:t xml:space="preserve"> שהוא אינו מנהג טוב </w:t>
      </w:r>
      <w:r w:rsidRPr="00AB4FFB">
        <w:rPr>
          <w:rFonts w:hint="cs"/>
          <w:sz w:val="16"/>
          <w:szCs w:val="16"/>
          <w:rtl/>
        </w:rPr>
        <w:t xml:space="preserve">(והו"ד בחלקם </w:t>
      </w:r>
      <w:r w:rsidRPr="00AB4FFB">
        <w:rPr>
          <w:rFonts w:hint="cs"/>
          <w:b/>
          <w:bCs/>
          <w:sz w:val="16"/>
          <w:szCs w:val="16"/>
          <w:rtl/>
        </w:rPr>
        <w:t>בבאר הגולה</w:t>
      </w:r>
      <w:r w:rsidRPr="00AB4FFB">
        <w:rPr>
          <w:rFonts w:hint="cs"/>
          <w:sz w:val="16"/>
          <w:szCs w:val="16"/>
          <w:rtl/>
        </w:rPr>
        <w:t xml:space="preserve">), </w:t>
      </w:r>
      <w:r w:rsidRPr="00AB4FFB">
        <w:rPr>
          <w:rFonts w:hint="cs"/>
          <w:sz w:val="18"/>
          <w:szCs w:val="18"/>
          <w:rtl/>
        </w:rPr>
        <w:t>אלו דבריו -</w:t>
      </w:r>
      <w:r w:rsidRPr="00AB4FFB">
        <w:rPr>
          <w:sz w:val="18"/>
          <w:szCs w:val="18"/>
          <w:rtl/>
        </w:rPr>
        <w:br/>
      </w:r>
      <w:r w:rsidRPr="00AB4FFB">
        <w:rPr>
          <w:rFonts w:hint="cs"/>
          <w:sz w:val="18"/>
          <w:szCs w:val="18"/>
          <w:rtl/>
        </w:rPr>
        <w:t>"</w:t>
      </w:r>
      <w:r w:rsidRPr="00AB4FFB">
        <w:rPr>
          <w:rFonts w:cs="Arial" w:hint="cs"/>
          <w:sz w:val="18"/>
          <w:szCs w:val="18"/>
          <w:rtl/>
        </w:rPr>
        <w:t>עוד</w:t>
      </w:r>
      <w:r w:rsidRPr="00AB4FFB">
        <w:rPr>
          <w:rFonts w:cs="Arial"/>
          <w:sz w:val="18"/>
          <w:szCs w:val="18"/>
          <w:rtl/>
        </w:rPr>
        <w:t xml:space="preserve"> </w:t>
      </w:r>
      <w:r w:rsidRPr="00AB4FFB">
        <w:rPr>
          <w:rFonts w:cs="Arial" w:hint="cs"/>
          <w:sz w:val="18"/>
          <w:szCs w:val="18"/>
          <w:rtl/>
        </w:rPr>
        <w:t>באתי</w:t>
      </w:r>
      <w:r w:rsidRPr="00AB4FFB">
        <w:rPr>
          <w:rFonts w:cs="Arial"/>
          <w:sz w:val="18"/>
          <w:szCs w:val="18"/>
          <w:rtl/>
        </w:rPr>
        <w:t xml:space="preserve"> </w:t>
      </w:r>
      <w:r w:rsidRPr="00AB4FFB">
        <w:rPr>
          <w:rFonts w:cs="Arial" w:hint="cs"/>
          <w:sz w:val="18"/>
          <w:szCs w:val="18"/>
          <w:rtl/>
        </w:rPr>
        <w:t>להזהיר</w:t>
      </w:r>
      <w:r w:rsidRPr="00AB4FFB">
        <w:rPr>
          <w:rFonts w:cs="Arial"/>
          <w:sz w:val="18"/>
          <w:szCs w:val="18"/>
          <w:rtl/>
        </w:rPr>
        <w:t xml:space="preserve"> </w:t>
      </w:r>
      <w:r w:rsidRPr="00AB4FFB">
        <w:rPr>
          <w:rFonts w:cs="Arial" w:hint="cs"/>
          <w:sz w:val="18"/>
          <w:szCs w:val="18"/>
          <w:rtl/>
        </w:rPr>
        <w:t>בכיוצא</w:t>
      </w:r>
      <w:r w:rsidRPr="00AB4FFB">
        <w:rPr>
          <w:rFonts w:cs="Arial"/>
          <w:sz w:val="18"/>
          <w:szCs w:val="18"/>
          <w:rtl/>
        </w:rPr>
        <w:t xml:space="preserve"> </w:t>
      </w:r>
      <w:r w:rsidRPr="00AB4FFB">
        <w:rPr>
          <w:rFonts w:cs="Arial" w:hint="cs"/>
          <w:sz w:val="18"/>
          <w:szCs w:val="18"/>
          <w:rtl/>
        </w:rPr>
        <w:t>בזה</w:t>
      </w:r>
      <w:r w:rsidRPr="00AB4FFB">
        <w:rPr>
          <w:rFonts w:cs="Arial"/>
          <w:sz w:val="18"/>
          <w:szCs w:val="18"/>
          <w:rtl/>
        </w:rPr>
        <w:t xml:space="preserve">, </w:t>
      </w:r>
      <w:r w:rsidRPr="00AB4FFB">
        <w:rPr>
          <w:rFonts w:cs="Arial" w:hint="cs"/>
          <w:sz w:val="18"/>
          <w:szCs w:val="18"/>
          <w:rtl/>
        </w:rPr>
        <w:t>מנהג</w:t>
      </w:r>
      <w:r w:rsidRPr="00AB4FFB">
        <w:rPr>
          <w:rFonts w:cs="Arial"/>
          <w:sz w:val="18"/>
          <w:szCs w:val="18"/>
          <w:rtl/>
        </w:rPr>
        <w:t xml:space="preserve"> </w:t>
      </w:r>
      <w:r w:rsidRPr="00AB4FFB">
        <w:rPr>
          <w:rFonts w:cs="Arial" w:hint="cs"/>
          <w:sz w:val="18"/>
          <w:szCs w:val="18"/>
          <w:rtl/>
        </w:rPr>
        <w:t>שהוא</w:t>
      </w:r>
      <w:r w:rsidRPr="00AB4FFB">
        <w:rPr>
          <w:rFonts w:cs="Arial"/>
          <w:sz w:val="18"/>
          <w:szCs w:val="18"/>
          <w:rtl/>
        </w:rPr>
        <w:t xml:space="preserve"> </w:t>
      </w:r>
      <w:r w:rsidRPr="00AB4FFB">
        <w:rPr>
          <w:rFonts w:cs="Arial" w:hint="cs"/>
          <w:sz w:val="18"/>
          <w:szCs w:val="18"/>
          <w:rtl/>
        </w:rPr>
        <w:t>גיהנם</w:t>
      </w:r>
      <w:r w:rsidRPr="00AB4FFB">
        <w:rPr>
          <w:rFonts w:cs="Arial"/>
          <w:sz w:val="18"/>
          <w:szCs w:val="18"/>
          <w:rtl/>
        </w:rPr>
        <w:t xml:space="preserve">, </w:t>
      </w:r>
      <w:r w:rsidRPr="00AB4FFB">
        <w:rPr>
          <w:rFonts w:cs="Arial" w:hint="cs"/>
          <w:sz w:val="18"/>
          <w:szCs w:val="18"/>
          <w:rtl/>
        </w:rPr>
        <w:t>שעושין</w:t>
      </w:r>
      <w:r w:rsidRPr="00AB4FFB">
        <w:rPr>
          <w:rFonts w:cs="Arial"/>
          <w:sz w:val="18"/>
          <w:szCs w:val="18"/>
          <w:rtl/>
        </w:rPr>
        <w:t xml:space="preserve"> </w:t>
      </w:r>
      <w:r w:rsidRPr="00AB4FFB">
        <w:rPr>
          <w:rFonts w:cs="Arial" w:hint="cs"/>
          <w:sz w:val="18"/>
          <w:szCs w:val="18"/>
          <w:rtl/>
        </w:rPr>
        <w:t>חופה</w:t>
      </w:r>
      <w:r w:rsidRPr="00AB4FFB">
        <w:rPr>
          <w:rFonts w:cs="Arial"/>
          <w:sz w:val="18"/>
          <w:szCs w:val="18"/>
          <w:rtl/>
        </w:rPr>
        <w:t xml:space="preserve"> </w:t>
      </w:r>
      <w:r w:rsidRPr="00AB4FFB">
        <w:rPr>
          <w:rFonts w:cs="Arial" w:hint="cs"/>
          <w:sz w:val="18"/>
          <w:szCs w:val="18"/>
          <w:rtl/>
        </w:rPr>
        <w:t>בערב</w:t>
      </w:r>
      <w:r w:rsidRPr="00AB4FFB">
        <w:rPr>
          <w:rFonts w:cs="Arial"/>
          <w:sz w:val="18"/>
          <w:szCs w:val="18"/>
          <w:rtl/>
        </w:rPr>
        <w:t xml:space="preserve"> </w:t>
      </w:r>
      <w:r w:rsidRPr="00AB4FFB">
        <w:rPr>
          <w:rFonts w:cs="Arial" w:hint="cs"/>
          <w:sz w:val="18"/>
          <w:szCs w:val="18"/>
          <w:rtl/>
        </w:rPr>
        <w:t>שבת</w:t>
      </w:r>
      <w:r w:rsidRPr="00AB4FFB">
        <w:rPr>
          <w:rFonts w:cs="Arial"/>
          <w:sz w:val="18"/>
          <w:szCs w:val="18"/>
          <w:rtl/>
        </w:rPr>
        <w:t xml:space="preserve">, </w:t>
      </w:r>
      <w:r w:rsidRPr="00AB4FFB">
        <w:rPr>
          <w:rFonts w:cs="Arial" w:hint="cs"/>
          <w:sz w:val="18"/>
          <w:szCs w:val="18"/>
          <w:rtl/>
        </w:rPr>
        <w:t>והכלה</w:t>
      </w:r>
      <w:r w:rsidRPr="00AB4FFB">
        <w:rPr>
          <w:rFonts w:cs="Arial"/>
          <w:sz w:val="18"/>
          <w:szCs w:val="18"/>
          <w:rtl/>
        </w:rPr>
        <w:t xml:space="preserve"> </w:t>
      </w:r>
      <w:r w:rsidRPr="00AB4FFB">
        <w:rPr>
          <w:rFonts w:cs="Arial" w:hint="cs"/>
          <w:sz w:val="18"/>
          <w:szCs w:val="18"/>
          <w:rtl/>
        </w:rPr>
        <w:t>אף</w:t>
      </w:r>
      <w:r w:rsidRPr="00AB4FFB">
        <w:rPr>
          <w:rFonts w:cs="Arial"/>
          <w:sz w:val="18"/>
          <w:szCs w:val="18"/>
          <w:rtl/>
        </w:rPr>
        <w:t xml:space="preserve"> </w:t>
      </w:r>
      <w:r w:rsidRPr="00AB4FFB">
        <w:rPr>
          <w:rFonts w:cs="Arial" w:hint="cs"/>
          <w:sz w:val="18"/>
          <w:szCs w:val="18"/>
          <w:rtl/>
        </w:rPr>
        <w:t>אם</w:t>
      </w:r>
      <w:r w:rsidRPr="00AB4FFB">
        <w:rPr>
          <w:rFonts w:cs="Arial"/>
          <w:sz w:val="18"/>
          <w:szCs w:val="18"/>
          <w:rtl/>
        </w:rPr>
        <w:t xml:space="preserve"> </w:t>
      </w:r>
      <w:r w:rsidRPr="00AB4FFB">
        <w:rPr>
          <w:rFonts w:cs="Arial" w:hint="cs"/>
          <w:sz w:val="18"/>
          <w:szCs w:val="18"/>
          <w:rtl/>
        </w:rPr>
        <w:t>היא</w:t>
      </w:r>
      <w:r w:rsidRPr="00AB4FFB">
        <w:rPr>
          <w:rFonts w:cs="Arial"/>
          <w:sz w:val="18"/>
          <w:szCs w:val="18"/>
          <w:rtl/>
        </w:rPr>
        <w:t xml:space="preserve"> </w:t>
      </w:r>
      <w:r w:rsidRPr="00AB4FFB">
        <w:rPr>
          <w:rFonts w:cs="Arial" w:hint="cs"/>
          <w:sz w:val="18"/>
          <w:szCs w:val="18"/>
          <w:rtl/>
        </w:rPr>
        <w:t>כשרה</w:t>
      </w:r>
      <w:r w:rsidRPr="00AB4FFB">
        <w:rPr>
          <w:rFonts w:cs="Arial"/>
          <w:sz w:val="18"/>
          <w:szCs w:val="18"/>
          <w:rtl/>
        </w:rPr>
        <w:t xml:space="preserve"> </w:t>
      </w:r>
      <w:r w:rsidRPr="00AB4FFB">
        <w:rPr>
          <w:rFonts w:cs="Arial" w:hint="cs"/>
          <w:sz w:val="18"/>
          <w:szCs w:val="18"/>
          <w:rtl/>
        </w:rPr>
        <w:t>שוכב</w:t>
      </w:r>
      <w:r w:rsidRPr="00AB4FFB">
        <w:rPr>
          <w:rFonts w:cs="Arial"/>
          <w:sz w:val="18"/>
          <w:szCs w:val="18"/>
          <w:rtl/>
        </w:rPr>
        <w:t xml:space="preserve"> </w:t>
      </w:r>
      <w:r w:rsidRPr="00AB4FFB">
        <w:rPr>
          <w:rFonts w:cs="Arial" w:hint="cs"/>
          <w:sz w:val="18"/>
          <w:szCs w:val="18"/>
          <w:rtl/>
        </w:rPr>
        <w:t>החתן</w:t>
      </w:r>
      <w:r w:rsidRPr="00AB4FFB">
        <w:rPr>
          <w:rFonts w:cs="Arial"/>
          <w:sz w:val="18"/>
          <w:szCs w:val="18"/>
          <w:rtl/>
        </w:rPr>
        <w:t xml:space="preserve"> </w:t>
      </w:r>
      <w:r w:rsidRPr="00AB4FFB">
        <w:rPr>
          <w:rFonts w:cs="Arial" w:hint="cs"/>
          <w:sz w:val="18"/>
          <w:szCs w:val="18"/>
          <w:rtl/>
        </w:rPr>
        <w:t>אצלה</w:t>
      </w:r>
      <w:r w:rsidRPr="00AB4FFB">
        <w:rPr>
          <w:rFonts w:cs="Arial"/>
          <w:sz w:val="18"/>
          <w:szCs w:val="18"/>
          <w:rtl/>
        </w:rPr>
        <w:t xml:space="preserve"> </w:t>
      </w:r>
      <w:r w:rsidRPr="00AB4FFB">
        <w:rPr>
          <w:rFonts w:cs="Arial" w:hint="cs"/>
          <w:sz w:val="18"/>
          <w:szCs w:val="18"/>
          <w:rtl/>
        </w:rPr>
        <w:t>איזה</w:t>
      </w:r>
      <w:r w:rsidRPr="00AB4FFB">
        <w:rPr>
          <w:rFonts w:cs="Arial"/>
          <w:sz w:val="18"/>
          <w:szCs w:val="18"/>
          <w:rtl/>
        </w:rPr>
        <w:t xml:space="preserve"> </w:t>
      </w:r>
      <w:r w:rsidRPr="00AB4FFB">
        <w:rPr>
          <w:rFonts w:cs="Arial" w:hint="cs"/>
          <w:sz w:val="18"/>
          <w:szCs w:val="18"/>
          <w:rtl/>
        </w:rPr>
        <w:t>לילות</w:t>
      </w:r>
      <w:r w:rsidRPr="00AB4FFB">
        <w:rPr>
          <w:rFonts w:cs="Arial"/>
          <w:sz w:val="18"/>
          <w:szCs w:val="18"/>
          <w:rtl/>
        </w:rPr>
        <w:t xml:space="preserve"> </w:t>
      </w:r>
      <w:r w:rsidRPr="00AB4FFB">
        <w:rPr>
          <w:rFonts w:cs="Arial" w:hint="cs"/>
          <w:sz w:val="18"/>
          <w:szCs w:val="18"/>
          <w:rtl/>
        </w:rPr>
        <w:t>קודם</w:t>
      </w:r>
      <w:r w:rsidRPr="00AB4FFB">
        <w:rPr>
          <w:rFonts w:cs="Arial"/>
          <w:sz w:val="18"/>
          <w:szCs w:val="18"/>
          <w:rtl/>
        </w:rPr>
        <w:t xml:space="preserve"> </w:t>
      </w:r>
      <w:r w:rsidRPr="00AB4FFB">
        <w:rPr>
          <w:rFonts w:cs="Arial" w:hint="cs"/>
          <w:sz w:val="18"/>
          <w:szCs w:val="18"/>
          <w:rtl/>
        </w:rPr>
        <w:t>שבועל</w:t>
      </w:r>
      <w:r w:rsidRPr="00AB4FFB">
        <w:rPr>
          <w:rFonts w:cs="Arial"/>
          <w:sz w:val="18"/>
          <w:szCs w:val="18"/>
          <w:rtl/>
        </w:rPr>
        <w:t xml:space="preserve"> </w:t>
      </w:r>
      <w:r w:rsidRPr="00AB4FFB">
        <w:rPr>
          <w:rFonts w:cs="Arial" w:hint="cs"/>
          <w:sz w:val="18"/>
          <w:szCs w:val="18"/>
          <w:rtl/>
        </w:rPr>
        <w:t>בעילת</w:t>
      </w:r>
      <w:r w:rsidRPr="00AB4FFB">
        <w:rPr>
          <w:rFonts w:cs="Arial"/>
          <w:sz w:val="18"/>
          <w:szCs w:val="18"/>
          <w:rtl/>
        </w:rPr>
        <w:t xml:space="preserve"> </w:t>
      </w:r>
      <w:r w:rsidRPr="00AB4FFB">
        <w:rPr>
          <w:rFonts w:cs="Arial" w:hint="cs"/>
          <w:sz w:val="18"/>
          <w:szCs w:val="18"/>
          <w:rtl/>
        </w:rPr>
        <w:t>מצוה</w:t>
      </w:r>
      <w:r w:rsidRPr="00AB4FFB">
        <w:rPr>
          <w:rFonts w:cs="Arial"/>
          <w:sz w:val="18"/>
          <w:szCs w:val="18"/>
          <w:rtl/>
        </w:rPr>
        <w:t xml:space="preserve">, </w:t>
      </w:r>
      <w:r w:rsidRPr="00AB4FFB">
        <w:rPr>
          <w:rFonts w:cs="Arial" w:hint="cs"/>
          <w:sz w:val="18"/>
          <w:szCs w:val="18"/>
          <w:rtl/>
        </w:rPr>
        <w:t>ואז</w:t>
      </w:r>
      <w:r w:rsidRPr="00AB4FFB">
        <w:rPr>
          <w:rFonts w:cs="Arial"/>
          <w:sz w:val="18"/>
          <w:szCs w:val="18"/>
          <w:rtl/>
        </w:rPr>
        <w:t xml:space="preserve"> </w:t>
      </w:r>
      <w:r w:rsidRPr="00AB4FFB">
        <w:rPr>
          <w:rFonts w:cs="Arial" w:hint="cs"/>
          <w:sz w:val="18"/>
          <w:szCs w:val="18"/>
          <w:rtl/>
        </w:rPr>
        <w:t>בא</w:t>
      </w:r>
      <w:r w:rsidRPr="00AB4FFB">
        <w:rPr>
          <w:rFonts w:cs="Arial"/>
          <w:sz w:val="18"/>
          <w:szCs w:val="18"/>
          <w:rtl/>
        </w:rPr>
        <w:t xml:space="preserve"> </w:t>
      </w:r>
      <w:r w:rsidRPr="00AB4FFB">
        <w:rPr>
          <w:rFonts w:cs="Arial" w:hint="cs"/>
          <w:sz w:val="18"/>
          <w:szCs w:val="18"/>
          <w:rtl/>
        </w:rPr>
        <w:t>לידי</w:t>
      </w:r>
      <w:r w:rsidRPr="00AB4FFB">
        <w:rPr>
          <w:rFonts w:cs="Arial"/>
          <w:sz w:val="18"/>
          <w:szCs w:val="18"/>
          <w:rtl/>
        </w:rPr>
        <w:t xml:space="preserve"> </w:t>
      </w:r>
      <w:r w:rsidRPr="00AB4FFB">
        <w:rPr>
          <w:rFonts w:cs="Arial" w:hint="cs"/>
          <w:sz w:val="18"/>
          <w:szCs w:val="18"/>
          <w:rtl/>
        </w:rPr>
        <w:t>חטא</w:t>
      </w:r>
      <w:r w:rsidRPr="00AB4FFB">
        <w:rPr>
          <w:rFonts w:cs="Arial"/>
          <w:sz w:val="18"/>
          <w:szCs w:val="18"/>
          <w:rtl/>
        </w:rPr>
        <w:t xml:space="preserve">, </w:t>
      </w:r>
      <w:r w:rsidRPr="00AB4FFB">
        <w:rPr>
          <w:rFonts w:cs="Arial" w:hint="cs"/>
          <w:sz w:val="18"/>
          <w:szCs w:val="18"/>
          <w:rtl/>
        </w:rPr>
        <w:t>כי</w:t>
      </w:r>
      <w:r w:rsidRPr="00AB4FFB">
        <w:rPr>
          <w:rFonts w:cs="Arial"/>
          <w:sz w:val="18"/>
          <w:szCs w:val="18"/>
          <w:rtl/>
        </w:rPr>
        <w:t xml:space="preserve"> </w:t>
      </w:r>
      <w:r w:rsidRPr="00AB4FFB">
        <w:rPr>
          <w:rFonts w:cs="Arial" w:hint="cs"/>
          <w:sz w:val="18"/>
          <w:szCs w:val="18"/>
          <w:rtl/>
        </w:rPr>
        <w:t>מסתמא</w:t>
      </w:r>
      <w:r w:rsidRPr="00AB4FFB">
        <w:rPr>
          <w:rFonts w:cs="Arial"/>
          <w:sz w:val="18"/>
          <w:szCs w:val="18"/>
          <w:rtl/>
        </w:rPr>
        <w:t xml:space="preserve"> </w:t>
      </w:r>
      <w:r w:rsidRPr="00AB4FFB">
        <w:rPr>
          <w:rFonts w:cs="Arial" w:hint="cs"/>
          <w:sz w:val="18"/>
          <w:szCs w:val="18"/>
          <w:rtl/>
        </w:rPr>
        <w:t>שוכבי</w:t>
      </w:r>
      <w:r>
        <w:rPr>
          <w:rFonts w:cs="Arial" w:hint="cs"/>
          <w:sz w:val="18"/>
          <w:szCs w:val="18"/>
          <w:rtl/>
        </w:rPr>
        <w:t>ם</w:t>
      </w:r>
      <w:r w:rsidRPr="00AB4FFB">
        <w:rPr>
          <w:rFonts w:cs="Arial"/>
          <w:sz w:val="18"/>
          <w:szCs w:val="18"/>
          <w:rtl/>
        </w:rPr>
        <w:t xml:space="preserve"> </w:t>
      </w:r>
      <w:r w:rsidRPr="00AB4FFB">
        <w:rPr>
          <w:rFonts w:cs="Arial" w:hint="cs"/>
          <w:sz w:val="18"/>
          <w:szCs w:val="18"/>
          <w:rtl/>
        </w:rPr>
        <w:t>שניהם</w:t>
      </w:r>
      <w:r w:rsidRPr="00AB4FFB">
        <w:rPr>
          <w:rFonts w:cs="Arial"/>
          <w:sz w:val="18"/>
          <w:szCs w:val="18"/>
          <w:rtl/>
        </w:rPr>
        <w:t xml:space="preserve"> </w:t>
      </w:r>
      <w:r w:rsidRPr="00AB4FFB">
        <w:rPr>
          <w:rFonts w:cs="Arial" w:hint="cs"/>
          <w:sz w:val="18"/>
          <w:szCs w:val="18"/>
          <w:rtl/>
        </w:rPr>
        <w:t>ערומים</w:t>
      </w:r>
      <w:r w:rsidRPr="00AB4FFB">
        <w:rPr>
          <w:rFonts w:cs="Arial"/>
          <w:sz w:val="18"/>
          <w:szCs w:val="18"/>
          <w:rtl/>
        </w:rPr>
        <w:t xml:space="preserve">, </w:t>
      </w:r>
      <w:r w:rsidRPr="00AB4FFB">
        <w:rPr>
          <w:rFonts w:cs="Arial" w:hint="cs"/>
          <w:sz w:val="18"/>
          <w:szCs w:val="18"/>
          <w:rtl/>
        </w:rPr>
        <w:t>והוא</w:t>
      </w:r>
      <w:r w:rsidRPr="00AB4FFB">
        <w:rPr>
          <w:rFonts w:cs="Arial"/>
          <w:sz w:val="18"/>
          <w:szCs w:val="18"/>
          <w:rtl/>
        </w:rPr>
        <w:t xml:space="preserve"> </w:t>
      </w:r>
      <w:r w:rsidRPr="00AB4FFB">
        <w:rPr>
          <w:rFonts w:cs="Arial" w:hint="cs"/>
          <w:sz w:val="18"/>
          <w:szCs w:val="18"/>
          <w:rtl/>
        </w:rPr>
        <w:t>מתא</w:t>
      </w:r>
      <w:r>
        <w:rPr>
          <w:rFonts w:cs="Arial" w:hint="cs"/>
          <w:sz w:val="18"/>
          <w:szCs w:val="18"/>
          <w:rtl/>
        </w:rPr>
        <w:t>ו</w:t>
      </w:r>
      <w:r w:rsidRPr="00AB4FFB">
        <w:rPr>
          <w:rFonts w:cs="Arial" w:hint="cs"/>
          <w:sz w:val="18"/>
          <w:szCs w:val="18"/>
          <w:rtl/>
        </w:rPr>
        <w:t>וה</w:t>
      </w:r>
      <w:r w:rsidRPr="00AB4FFB">
        <w:rPr>
          <w:rFonts w:cs="Arial"/>
          <w:sz w:val="18"/>
          <w:szCs w:val="18"/>
          <w:rtl/>
        </w:rPr>
        <w:t xml:space="preserve"> </w:t>
      </w:r>
      <w:r w:rsidRPr="00AB4FFB">
        <w:rPr>
          <w:rFonts w:cs="Arial" w:hint="cs"/>
          <w:sz w:val="18"/>
          <w:szCs w:val="18"/>
          <w:rtl/>
        </w:rPr>
        <w:t>וחושק</w:t>
      </w:r>
      <w:r w:rsidRPr="00AB4FFB">
        <w:rPr>
          <w:rFonts w:cs="Arial"/>
          <w:sz w:val="18"/>
          <w:szCs w:val="18"/>
          <w:rtl/>
        </w:rPr>
        <w:t xml:space="preserve"> </w:t>
      </w:r>
      <w:r w:rsidRPr="00AB4FFB">
        <w:rPr>
          <w:rFonts w:cs="Arial" w:hint="cs"/>
          <w:sz w:val="18"/>
          <w:szCs w:val="18"/>
          <w:rtl/>
        </w:rPr>
        <w:t>בה</w:t>
      </w:r>
      <w:r w:rsidRPr="00AB4FFB">
        <w:rPr>
          <w:rFonts w:cs="Arial"/>
          <w:sz w:val="18"/>
          <w:szCs w:val="18"/>
          <w:rtl/>
        </w:rPr>
        <w:t xml:space="preserve">, </w:t>
      </w:r>
      <w:r w:rsidRPr="00AB4FFB">
        <w:rPr>
          <w:rFonts w:cs="Arial" w:hint="cs"/>
          <w:sz w:val="18"/>
          <w:szCs w:val="18"/>
          <w:rtl/>
        </w:rPr>
        <w:t>ויצרו</w:t>
      </w:r>
      <w:r w:rsidRPr="00AB4FFB">
        <w:rPr>
          <w:rFonts w:cs="Arial"/>
          <w:sz w:val="18"/>
          <w:szCs w:val="18"/>
          <w:rtl/>
        </w:rPr>
        <w:t xml:space="preserve"> </w:t>
      </w:r>
      <w:r w:rsidRPr="00AB4FFB">
        <w:rPr>
          <w:rFonts w:cs="Arial" w:hint="cs"/>
          <w:sz w:val="18"/>
          <w:szCs w:val="18"/>
          <w:rtl/>
        </w:rPr>
        <w:t>תוקפו</w:t>
      </w:r>
      <w:r w:rsidRPr="00AB4FFB">
        <w:rPr>
          <w:rFonts w:cs="Arial"/>
          <w:sz w:val="18"/>
          <w:szCs w:val="18"/>
          <w:rtl/>
        </w:rPr>
        <w:t xml:space="preserve"> </w:t>
      </w:r>
      <w:r w:rsidRPr="00AB4FFB">
        <w:rPr>
          <w:rFonts w:cs="Arial" w:hint="cs"/>
          <w:sz w:val="18"/>
          <w:szCs w:val="18"/>
          <w:rtl/>
        </w:rPr>
        <w:t>ואינו</w:t>
      </w:r>
      <w:r w:rsidRPr="00AB4FFB">
        <w:rPr>
          <w:rFonts w:cs="Arial"/>
          <w:sz w:val="18"/>
          <w:szCs w:val="18"/>
          <w:rtl/>
        </w:rPr>
        <w:t xml:space="preserve"> </w:t>
      </w:r>
      <w:r w:rsidRPr="00AB4FFB">
        <w:rPr>
          <w:rFonts w:cs="Arial" w:hint="cs"/>
          <w:sz w:val="18"/>
          <w:szCs w:val="18"/>
          <w:rtl/>
        </w:rPr>
        <w:t>בועל</w:t>
      </w:r>
      <w:r w:rsidRPr="00AB4FFB">
        <w:rPr>
          <w:rFonts w:cs="Arial"/>
          <w:sz w:val="18"/>
          <w:szCs w:val="18"/>
          <w:rtl/>
        </w:rPr>
        <w:t xml:space="preserve"> </w:t>
      </w:r>
      <w:r w:rsidRPr="00AB4FFB">
        <w:rPr>
          <w:rFonts w:cs="Arial" w:hint="cs"/>
          <w:sz w:val="18"/>
          <w:szCs w:val="18"/>
          <w:rtl/>
        </w:rPr>
        <w:t>אותה</w:t>
      </w:r>
      <w:r w:rsidRPr="00AB4FFB">
        <w:rPr>
          <w:rFonts w:cs="Arial"/>
          <w:sz w:val="18"/>
          <w:szCs w:val="18"/>
          <w:rtl/>
        </w:rPr>
        <w:t xml:space="preserve">. </w:t>
      </w:r>
      <w:r w:rsidRPr="00AB4FFB">
        <w:rPr>
          <w:rFonts w:cs="Arial" w:hint="cs"/>
          <w:sz w:val="18"/>
          <w:szCs w:val="18"/>
          <w:rtl/>
        </w:rPr>
        <w:t>ועל</w:t>
      </w:r>
      <w:r w:rsidRPr="00AB4FFB">
        <w:rPr>
          <w:rFonts w:cs="Arial"/>
          <w:sz w:val="18"/>
          <w:szCs w:val="18"/>
          <w:rtl/>
        </w:rPr>
        <w:t xml:space="preserve"> </w:t>
      </w:r>
      <w:r w:rsidRPr="00AB4FFB">
        <w:rPr>
          <w:rFonts w:cs="Arial" w:hint="cs"/>
          <w:sz w:val="18"/>
          <w:szCs w:val="18"/>
          <w:rtl/>
        </w:rPr>
        <w:t>הרוב</w:t>
      </w:r>
      <w:r w:rsidRPr="00AB4FFB">
        <w:rPr>
          <w:rFonts w:cs="Arial"/>
          <w:sz w:val="18"/>
          <w:szCs w:val="18"/>
          <w:rtl/>
        </w:rPr>
        <w:t xml:space="preserve"> </w:t>
      </w:r>
      <w:r w:rsidRPr="00AB4FFB">
        <w:rPr>
          <w:rFonts w:cs="Arial" w:hint="cs"/>
          <w:sz w:val="18"/>
          <w:szCs w:val="18"/>
          <w:rtl/>
        </w:rPr>
        <w:t>בא</w:t>
      </w:r>
      <w:r w:rsidRPr="00AB4FFB">
        <w:rPr>
          <w:rFonts w:cs="Arial"/>
          <w:sz w:val="18"/>
          <w:szCs w:val="18"/>
          <w:rtl/>
        </w:rPr>
        <w:t xml:space="preserve"> </w:t>
      </w:r>
      <w:r w:rsidRPr="00AB4FFB">
        <w:rPr>
          <w:rFonts w:cs="Arial" w:hint="cs"/>
          <w:sz w:val="18"/>
          <w:szCs w:val="18"/>
          <w:rtl/>
        </w:rPr>
        <w:t>לידי</w:t>
      </w:r>
      <w:r w:rsidRPr="00AB4FFB">
        <w:rPr>
          <w:rFonts w:cs="Arial"/>
          <w:sz w:val="18"/>
          <w:szCs w:val="18"/>
          <w:rtl/>
        </w:rPr>
        <w:t xml:space="preserve"> </w:t>
      </w:r>
      <w:r w:rsidRPr="00AB4FFB">
        <w:rPr>
          <w:rFonts w:cs="Arial" w:hint="cs"/>
          <w:sz w:val="18"/>
          <w:szCs w:val="18"/>
          <w:rtl/>
        </w:rPr>
        <w:t>הוצאת</w:t>
      </w:r>
      <w:r w:rsidRPr="00AB4FFB">
        <w:rPr>
          <w:rFonts w:cs="Arial"/>
          <w:sz w:val="18"/>
          <w:szCs w:val="18"/>
          <w:rtl/>
        </w:rPr>
        <w:t xml:space="preserve"> </w:t>
      </w:r>
      <w:r w:rsidRPr="00AB4FFB">
        <w:rPr>
          <w:rFonts w:cs="Arial" w:hint="cs"/>
          <w:sz w:val="18"/>
          <w:szCs w:val="18"/>
          <w:rtl/>
        </w:rPr>
        <w:t>זרע</w:t>
      </w:r>
      <w:r w:rsidRPr="00AB4FFB">
        <w:rPr>
          <w:rFonts w:cs="Arial"/>
          <w:sz w:val="18"/>
          <w:szCs w:val="18"/>
          <w:rtl/>
        </w:rPr>
        <w:t xml:space="preserve">, </w:t>
      </w:r>
      <w:r w:rsidRPr="00AB4FFB">
        <w:rPr>
          <w:rFonts w:cs="Arial" w:hint="cs"/>
          <w:sz w:val="18"/>
          <w:szCs w:val="18"/>
          <w:rtl/>
        </w:rPr>
        <w:t>לידי</w:t>
      </w:r>
      <w:r w:rsidRPr="00AB4FFB">
        <w:rPr>
          <w:rFonts w:cs="Arial"/>
          <w:sz w:val="18"/>
          <w:szCs w:val="18"/>
          <w:rtl/>
        </w:rPr>
        <w:t xml:space="preserve"> </w:t>
      </w:r>
      <w:r w:rsidRPr="00AB4FFB">
        <w:rPr>
          <w:rFonts w:cs="Arial" w:hint="cs"/>
          <w:sz w:val="18"/>
          <w:szCs w:val="18"/>
          <w:rtl/>
        </w:rPr>
        <w:t>קרי</w:t>
      </w:r>
      <w:r w:rsidRPr="00AB4FFB">
        <w:rPr>
          <w:rFonts w:cs="Arial"/>
          <w:sz w:val="18"/>
          <w:szCs w:val="18"/>
          <w:rtl/>
        </w:rPr>
        <w:t xml:space="preserve">. </w:t>
      </w:r>
      <w:r w:rsidRPr="00AB4FFB">
        <w:rPr>
          <w:rFonts w:cs="Arial" w:hint="cs"/>
          <w:sz w:val="18"/>
          <w:szCs w:val="18"/>
          <w:rtl/>
        </w:rPr>
        <w:t>על</w:t>
      </w:r>
      <w:r w:rsidRPr="00AB4FFB">
        <w:rPr>
          <w:rFonts w:cs="Arial"/>
          <w:sz w:val="18"/>
          <w:szCs w:val="18"/>
          <w:rtl/>
        </w:rPr>
        <w:t xml:space="preserve"> </w:t>
      </w:r>
      <w:r w:rsidRPr="00AB4FFB">
        <w:rPr>
          <w:rFonts w:cs="Arial" w:hint="cs"/>
          <w:sz w:val="18"/>
          <w:szCs w:val="18"/>
          <w:rtl/>
        </w:rPr>
        <w:t>כן</w:t>
      </w:r>
      <w:r w:rsidRPr="00AB4FFB">
        <w:rPr>
          <w:rFonts w:cs="Arial"/>
          <w:sz w:val="18"/>
          <w:szCs w:val="18"/>
          <w:rtl/>
        </w:rPr>
        <w:t xml:space="preserve"> </w:t>
      </w:r>
      <w:r w:rsidRPr="00AB4FFB">
        <w:rPr>
          <w:rFonts w:cs="Arial" w:hint="cs"/>
          <w:sz w:val="18"/>
          <w:szCs w:val="18"/>
          <w:rtl/>
        </w:rPr>
        <w:t>יהיה</w:t>
      </w:r>
      <w:r w:rsidRPr="00AB4FFB">
        <w:rPr>
          <w:rFonts w:cs="Arial"/>
          <w:sz w:val="18"/>
          <w:szCs w:val="18"/>
          <w:rtl/>
        </w:rPr>
        <w:t xml:space="preserve"> </w:t>
      </w:r>
      <w:r w:rsidRPr="00AB4FFB">
        <w:rPr>
          <w:rFonts w:cs="Arial" w:hint="cs"/>
          <w:sz w:val="18"/>
          <w:szCs w:val="18"/>
          <w:rtl/>
        </w:rPr>
        <w:t>שם</w:t>
      </w:r>
      <w:r w:rsidRPr="00AB4FFB">
        <w:rPr>
          <w:rFonts w:cs="Arial"/>
          <w:sz w:val="18"/>
          <w:szCs w:val="18"/>
          <w:rtl/>
        </w:rPr>
        <w:t xml:space="preserve"> </w:t>
      </w:r>
      <w:r w:rsidRPr="00AB4FFB">
        <w:rPr>
          <w:rFonts w:cs="Arial" w:hint="cs"/>
          <w:sz w:val="18"/>
          <w:szCs w:val="18"/>
          <w:rtl/>
        </w:rPr>
        <w:t>שמים</w:t>
      </w:r>
      <w:r w:rsidRPr="00AB4FFB">
        <w:rPr>
          <w:rFonts w:cs="Arial"/>
          <w:sz w:val="18"/>
          <w:szCs w:val="18"/>
          <w:rtl/>
        </w:rPr>
        <w:t xml:space="preserve"> </w:t>
      </w:r>
      <w:r w:rsidRPr="00AB4FFB">
        <w:rPr>
          <w:rFonts w:cs="Arial" w:hint="cs"/>
          <w:sz w:val="18"/>
          <w:szCs w:val="18"/>
          <w:rtl/>
        </w:rPr>
        <w:t>מקודש</w:t>
      </w:r>
      <w:r w:rsidRPr="00AB4FFB">
        <w:rPr>
          <w:rFonts w:cs="Arial"/>
          <w:sz w:val="18"/>
          <w:szCs w:val="18"/>
          <w:rtl/>
        </w:rPr>
        <w:t xml:space="preserve"> </w:t>
      </w:r>
      <w:r w:rsidRPr="00AB4FFB">
        <w:rPr>
          <w:rFonts w:cs="Arial" w:hint="cs"/>
          <w:sz w:val="18"/>
          <w:szCs w:val="18"/>
          <w:rtl/>
        </w:rPr>
        <w:t>על</w:t>
      </w:r>
      <w:r w:rsidRPr="00AB4FFB">
        <w:rPr>
          <w:rFonts w:cs="Arial"/>
          <w:sz w:val="18"/>
          <w:szCs w:val="18"/>
          <w:rtl/>
        </w:rPr>
        <w:t xml:space="preserve"> </w:t>
      </w:r>
      <w:r w:rsidRPr="00AB4FFB">
        <w:rPr>
          <w:rFonts w:cs="Arial" w:hint="cs"/>
          <w:sz w:val="18"/>
          <w:szCs w:val="18"/>
          <w:rtl/>
        </w:rPr>
        <w:t>ידכם</w:t>
      </w:r>
      <w:r w:rsidRPr="00AB4FFB">
        <w:rPr>
          <w:rFonts w:cs="Arial"/>
          <w:sz w:val="18"/>
          <w:szCs w:val="18"/>
          <w:rtl/>
        </w:rPr>
        <w:t xml:space="preserve">, </w:t>
      </w:r>
      <w:r w:rsidRPr="00AB4FFB">
        <w:rPr>
          <w:rFonts w:cs="Arial" w:hint="cs"/>
          <w:sz w:val="18"/>
          <w:szCs w:val="18"/>
          <w:rtl/>
        </w:rPr>
        <w:t>שתעשו</w:t>
      </w:r>
      <w:r w:rsidRPr="00AB4FFB">
        <w:rPr>
          <w:rFonts w:cs="Arial"/>
          <w:sz w:val="18"/>
          <w:szCs w:val="18"/>
          <w:rtl/>
        </w:rPr>
        <w:t xml:space="preserve"> </w:t>
      </w:r>
      <w:r w:rsidRPr="00AB4FFB">
        <w:rPr>
          <w:rFonts w:cs="Arial" w:hint="cs"/>
          <w:sz w:val="18"/>
          <w:szCs w:val="18"/>
          <w:rtl/>
        </w:rPr>
        <w:t>חתונה</w:t>
      </w:r>
      <w:r w:rsidRPr="00AB4FFB">
        <w:rPr>
          <w:rFonts w:cs="Arial"/>
          <w:sz w:val="18"/>
          <w:szCs w:val="18"/>
          <w:rtl/>
        </w:rPr>
        <w:t xml:space="preserve"> </w:t>
      </w:r>
      <w:r w:rsidRPr="00AB4FFB">
        <w:rPr>
          <w:rFonts w:cs="Arial" w:hint="cs"/>
          <w:sz w:val="18"/>
          <w:szCs w:val="18"/>
          <w:rtl/>
        </w:rPr>
        <w:t>לבניכם</w:t>
      </w:r>
      <w:r w:rsidRPr="00AB4FFB">
        <w:rPr>
          <w:rFonts w:cs="Arial"/>
          <w:sz w:val="18"/>
          <w:szCs w:val="18"/>
          <w:rtl/>
        </w:rPr>
        <w:t xml:space="preserve"> </w:t>
      </w:r>
      <w:r w:rsidRPr="00AB4FFB">
        <w:rPr>
          <w:rFonts w:cs="Arial" w:hint="cs"/>
          <w:sz w:val="18"/>
          <w:szCs w:val="18"/>
          <w:rtl/>
        </w:rPr>
        <w:t>כציווי</w:t>
      </w:r>
      <w:r w:rsidRPr="00AB4FFB">
        <w:rPr>
          <w:rFonts w:cs="Arial"/>
          <w:sz w:val="18"/>
          <w:szCs w:val="18"/>
          <w:rtl/>
        </w:rPr>
        <w:t xml:space="preserve"> </w:t>
      </w:r>
      <w:r w:rsidRPr="00AB4FFB">
        <w:rPr>
          <w:rFonts w:cs="Arial" w:hint="cs"/>
          <w:sz w:val="18"/>
          <w:szCs w:val="18"/>
          <w:rtl/>
        </w:rPr>
        <w:t>רבותינו</w:t>
      </w:r>
      <w:r w:rsidRPr="00AB4FFB">
        <w:rPr>
          <w:rFonts w:cs="Arial"/>
          <w:sz w:val="18"/>
          <w:szCs w:val="18"/>
          <w:rtl/>
        </w:rPr>
        <w:t xml:space="preserve"> </w:t>
      </w:r>
      <w:r w:rsidRPr="00AB4FFB">
        <w:rPr>
          <w:rFonts w:cs="Arial" w:hint="cs"/>
          <w:sz w:val="18"/>
          <w:szCs w:val="18"/>
          <w:rtl/>
        </w:rPr>
        <w:t>ז</w:t>
      </w:r>
      <w:r w:rsidRPr="00AB4FFB">
        <w:rPr>
          <w:rFonts w:cs="Arial"/>
          <w:sz w:val="18"/>
          <w:szCs w:val="18"/>
          <w:rtl/>
        </w:rPr>
        <w:t>"</w:t>
      </w:r>
      <w:r w:rsidRPr="00AB4FFB">
        <w:rPr>
          <w:rFonts w:cs="Arial" w:hint="cs"/>
          <w:sz w:val="18"/>
          <w:szCs w:val="18"/>
          <w:rtl/>
        </w:rPr>
        <w:t>ל</w:t>
      </w:r>
      <w:r w:rsidRPr="00AB4FFB">
        <w:rPr>
          <w:rFonts w:cs="Arial"/>
          <w:sz w:val="18"/>
          <w:szCs w:val="18"/>
          <w:rtl/>
        </w:rPr>
        <w:t xml:space="preserve"> (</w:t>
      </w:r>
      <w:r w:rsidRPr="00AB4FFB">
        <w:rPr>
          <w:rFonts w:cs="Arial" w:hint="cs"/>
          <w:sz w:val="18"/>
          <w:szCs w:val="18"/>
          <w:rtl/>
        </w:rPr>
        <w:t>כתובות</w:t>
      </w:r>
      <w:r w:rsidRPr="00AB4FFB">
        <w:rPr>
          <w:rFonts w:cs="Arial"/>
          <w:sz w:val="18"/>
          <w:szCs w:val="18"/>
          <w:rtl/>
        </w:rPr>
        <w:t xml:space="preserve"> </w:t>
      </w:r>
      <w:r w:rsidRPr="00AB4FFB">
        <w:rPr>
          <w:rFonts w:cs="Arial" w:hint="cs"/>
          <w:sz w:val="18"/>
          <w:szCs w:val="18"/>
          <w:rtl/>
        </w:rPr>
        <w:t>ב</w:t>
      </w:r>
      <w:r w:rsidRPr="00AB4FFB">
        <w:rPr>
          <w:rFonts w:cs="Arial"/>
          <w:sz w:val="18"/>
          <w:szCs w:val="18"/>
          <w:rtl/>
        </w:rPr>
        <w:t xml:space="preserve"> </w:t>
      </w:r>
      <w:r w:rsidRPr="00AB4FFB">
        <w:rPr>
          <w:rFonts w:cs="Arial" w:hint="cs"/>
          <w:sz w:val="18"/>
          <w:szCs w:val="18"/>
          <w:rtl/>
        </w:rPr>
        <w:t>א</w:t>
      </w:r>
      <w:r w:rsidRPr="00AB4FFB">
        <w:rPr>
          <w:rFonts w:cs="Arial"/>
          <w:sz w:val="18"/>
          <w:szCs w:val="18"/>
          <w:rtl/>
        </w:rPr>
        <w:t xml:space="preserve">) </w:t>
      </w:r>
      <w:r w:rsidRPr="00AB4FFB">
        <w:rPr>
          <w:rFonts w:cs="Arial" w:hint="cs"/>
          <w:sz w:val="18"/>
          <w:szCs w:val="18"/>
          <w:rtl/>
        </w:rPr>
        <w:t>בתולה</w:t>
      </w:r>
      <w:r w:rsidRPr="00AB4FFB">
        <w:rPr>
          <w:rFonts w:cs="Arial"/>
          <w:sz w:val="18"/>
          <w:szCs w:val="18"/>
          <w:rtl/>
        </w:rPr>
        <w:t xml:space="preserve"> </w:t>
      </w:r>
      <w:r w:rsidRPr="00AB4FFB">
        <w:rPr>
          <w:rFonts w:cs="Arial" w:hint="cs"/>
          <w:sz w:val="18"/>
          <w:szCs w:val="18"/>
          <w:rtl/>
        </w:rPr>
        <w:t>נשאת</w:t>
      </w:r>
      <w:r w:rsidRPr="00AB4FFB">
        <w:rPr>
          <w:rFonts w:cs="Arial"/>
          <w:sz w:val="18"/>
          <w:szCs w:val="18"/>
          <w:rtl/>
        </w:rPr>
        <w:t xml:space="preserve"> </w:t>
      </w:r>
      <w:r w:rsidRPr="00AB4FFB">
        <w:rPr>
          <w:rFonts w:cs="Arial" w:hint="cs"/>
          <w:sz w:val="18"/>
          <w:szCs w:val="18"/>
          <w:rtl/>
        </w:rPr>
        <w:t>ליום</w:t>
      </w:r>
      <w:r w:rsidRPr="00AB4FFB">
        <w:rPr>
          <w:rFonts w:cs="Arial"/>
          <w:sz w:val="18"/>
          <w:szCs w:val="18"/>
          <w:rtl/>
        </w:rPr>
        <w:t xml:space="preserve"> </w:t>
      </w:r>
      <w:r w:rsidRPr="00AB4FFB">
        <w:rPr>
          <w:rFonts w:cs="Arial" w:hint="cs"/>
          <w:sz w:val="18"/>
          <w:szCs w:val="18"/>
          <w:rtl/>
        </w:rPr>
        <w:t>רביעי</w:t>
      </w:r>
      <w:r w:rsidRPr="00AB4FFB">
        <w:rPr>
          <w:rFonts w:cs="Arial"/>
          <w:sz w:val="18"/>
          <w:szCs w:val="18"/>
          <w:rtl/>
        </w:rPr>
        <w:t xml:space="preserve">, </w:t>
      </w:r>
      <w:r w:rsidRPr="00AB4FFB">
        <w:rPr>
          <w:rFonts w:cs="Arial" w:hint="cs"/>
          <w:sz w:val="18"/>
          <w:szCs w:val="18"/>
          <w:rtl/>
        </w:rPr>
        <w:t>ויבעלנה</w:t>
      </w:r>
      <w:r w:rsidRPr="00AB4FFB">
        <w:rPr>
          <w:rFonts w:cs="Arial"/>
          <w:sz w:val="18"/>
          <w:szCs w:val="18"/>
          <w:rtl/>
        </w:rPr>
        <w:t xml:space="preserve"> </w:t>
      </w:r>
      <w:r w:rsidRPr="00AB4FFB">
        <w:rPr>
          <w:rFonts w:cs="Arial" w:hint="cs"/>
          <w:sz w:val="18"/>
          <w:szCs w:val="18"/>
          <w:rtl/>
        </w:rPr>
        <w:t>בעילת</w:t>
      </w:r>
      <w:r w:rsidRPr="00AB4FFB">
        <w:rPr>
          <w:rFonts w:cs="Arial"/>
          <w:sz w:val="18"/>
          <w:szCs w:val="18"/>
          <w:rtl/>
        </w:rPr>
        <w:t xml:space="preserve"> </w:t>
      </w:r>
      <w:r w:rsidRPr="00AB4FFB">
        <w:rPr>
          <w:rFonts w:cs="Arial" w:hint="cs"/>
          <w:sz w:val="18"/>
          <w:szCs w:val="18"/>
          <w:rtl/>
        </w:rPr>
        <w:t>מצוה</w:t>
      </w:r>
      <w:r w:rsidRPr="00AB4FFB">
        <w:rPr>
          <w:rFonts w:cs="Arial"/>
          <w:sz w:val="18"/>
          <w:szCs w:val="18"/>
          <w:rtl/>
        </w:rPr>
        <w:t xml:space="preserve"> </w:t>
      </w:r>
      <w:r w:rsidRPr="00AB4FFB">
        <w:rPr>
          <w:rFonts w:cs="Arial" w:hint="cs"/>
          <w:sz w:val="18"/>
          <w:szCs w:val="18"/>
          <w:rtl/>
        </w:rPr>
        <w:t>בלילה</w:t>
      </w:r>
      <w:r w:rsidRPr="00AB4FFB">
        <w:rPr>
          <w:rFonts w:cs="Arial"/>
          <w:sz w:val="18"/>
          <w:szCs w:val="18"/>
          <w:rtl/>
        </w:rPr>
        <w:t xml:space="preserve"> </w:t>
      </w:r>
      <w:r w:rsidRPr="00AB4FFB">
        <w:rPr>
          <w:rFonts w:cs="Arial" w:hint="cs"/>
          <w:sz w:val="18"/>
          <w:szCs w:val="18"/>
          <w:rtl/>
        </w:rPr>
        <w:t>ההוא</w:t>
      </w:r>
      <w:r w:rsidRPr="00AB4FFB">
        <w:rPr>
          <w:rFonts w:cs="Arial"/>
          <w:sz w:val="18"/>
          <w:szCs w:val="18"/>
          <w:rtl/>
        </w:rPr>
        <w:t xml:space="preserve">. </w:t>
      </w:r>
      <w:r w:rsidRPr="00AB4FFB">
        <w:rPr>
          <w:rFonts w:cs="Arial" w:hint="cs"/>
          <w:sz w:val="18"/>
          <w:szCs w:val="18"/>
          <w:rtl/>
        </w:rPr>
        <w:t>וכן</w:t>
      </w:r>
      <w:r w:rsidRPr="00AB4FFB">
        <w:rPr>
          <w:rFonts w:cs="Arial"/>
          <w:sz w:val="18"/>
          <w:szCs w:val="18"/>
          <w:rtl/>
        </w:rPr>
        <w:t xml:space="preserve"> </w:t>
      </w:r>
      <w:r w:rsidRPr="00AB4FFB">
        <w:rPr>
          <w:rFonts w:cs="Arial" w:hint="cs"/>
          <w:sz w:val="18"/>
          <w:szCs w:val="18"/>
          <w:rtl/>
        </w:rPr>
        <w:t>אם</w:t>
      </w:r>
      <w:r w:rsidRPr="00AB4FFB">
        <w:rPr>
          <w:rFonts w:cs="Arial"/>
          <w:sz w:val="18"/>
          <w:szCs w:val="18"/>
          <w:rtl/>
        </w:rPr>
        <w:t xml:space="preserve"> </w:t>
      </w:r>
      <w:r w:rsidRPr="00AB4FFB">
        <w:rPr>
          <w:rFonts w:cs="Arial" w:hint="cs"/>
          <w:sz w:val="18"/>
          <w:szCs w:val="18"/>
          <w:rtl/>
        </w:rPr>
        <w:t>יהיו</w:t>
      </w:r>
      <w:r w:rsidRPr="00AB4FFB">
        <w:rPr>
          <w:rFonts w:cs="Arial"/>
          <w:sz w:val="18"/>
          <w:szCs w:val="18"/>
          <w:rtl/>
        </w:rPr>
        <w:t xml:space="preserve"> </w:t>
      </w:r>
      <w:r w:rsidRPr="00AB4FFB">
        <w:rPr>
          <w:rFonts w:cs="Arial" w:hint="cs"/>
          <w:sz w:val="18"/>
          <w:szCs w:val="18"/>
          <w:rtl/>
        </w:rPr>
        <w:t>הנ</w:t>
      </w:r>
      <w:r>
        <w:rPr>
          <w:rFonts w:cs="Arial" w:hint="cs"/>
          <w:sz w:val="18"/>
          <w:szCs w:val="18"/>
          <w:rtl/>
        </w:rPr>
        <w:t>י</w:t>
      </w:r>
      <w:r w:rsidRPr="00AB4FFB">
        <w:rPr>
          <w:rFonts w:cs="Arial" w:hint="cs"/>
          <w:sz w:val="18"/>
          <w:szCs w:val="18"/>
          <w:rtl/>
        </w:rPr>
        <w:t>שואי</w:t>
      </w:r>
      <w:r>
        <w:rPr>
          <w:rFonts w:cs="Arial" w:hint="cs"/>
          <w:sz w:val="18"/>
          <w:szCs w:val="18"/>
          <w:rtl/>
        </w:rPr>
        <w:t>ם</w:t>
      </w:r>
      <w:r w:rsidRPr="00AB4FFB">
        <w:rPr>
          <w:rFonts w:cs="Arial"/>
          <w:sz w:val="18"/>
          <w:szCs w:val="18"/>
          <w:rtl/>
        </w:rPr>
        <w:t xml:space="preserve"> </w:t>
      </w:r>
      <w:r w:rsidRPr="00AB4FFB">
        <w:rPr>
          <w:rFonts w:cs="Arial" w:hint="cs"/>
          <w:sz w:val="18"/>
          <w:szCs w:val="18"/>
          <w:rtl/>
        </w:rPr>
        <w:t>בשבת</w:t>
      </w:r>
      <w:r w:rsidRPr="00AB4FFB">
        <w:rPr>
          <w:rFonts w:cs="Arial"/>
          <w:sz w:val="18"/>
          <w:szCs w:val="18"/>
          <w:rtl/>
        </w:rPr>
        <w:t xml:space="preserve">, </w:t>
      </w:r>
      <w:r w:rsidRPr="00AB4FFB">
        <w:rPr>
          <w:rFonts w:cs="Arial" w:hint="cs"/>
          <w:sz w:val="18"/>
          <w:szCs w:val="18"/>
          <w:rtl/>
        </w:rPr>
        <w:t>אזי</w:t>
      </w:r>
      <w:r w:rsidRPr="00AB4FFB">
        <w:rPr>
          <w:rFonts w:cs="Arial"/>
          <w:sz w:val="18"/>
          <w:szCs w:val="18"/>
          <w:rtl/>
        </w:rPr>
        <w:t xml:space="preserve"> </w:t>
      </w:r>
      <w:r w:rsidRPr="00AB4FFB">
        <w:rPr>
          <w:rFonts w:cs="Arial" w:hint="cs"/>
          <w:sz w:val="18"/>
          <w:szCs w:val="18"/>
          <w:rtl/>
        </w:rPr>
        <w:t>לא</w:t>
      </w:r>
      <w:r w:rsidRPr="00AB4FFB">
        <w:rPr>
          <w:rFonts w:cs="Arial"/>
          <w:sz w:val="18"/>
          <w:szCs w:val="18"/>
          <w:rtl/>
        </w:rPr>
        <w:t xml:space="preserve"> </w:t>
      </w:r>
      <w:r w:rsidRPr="00AB4FFB">
        <w:rPr>
          <w:rFonts w:cs="Arial" w:hint="cs"/>
          <w:sz w:val="18"/>
          <w:szCs w:val="18"/>
          <w:rtl/>
        </w:rPr>
        <w:t>ישכב</w:t>
      </w:r>
      <w:r w:rsidRPr="00AB4FFB">
        <w:rPr>
          <w:rFonts w:cs="Arial"/>
          <w:sz w:val="18"/>
          <w:szCs w:val="18"/>
          <w:rtl/>
        </w:rPr>
        <w:t xml:space="preserve"> </w:t>
      </w:r>
      <w:r w:rsidRPr="00AB4FFB">
        <w:rPr>
          <w:rFonts w:cs="Arial" w:hint="cs"/>
          <w:sz w:val="18"/>
          <w:szCs w:val="18"/>
          <w:rtl/>
        </w:rPr>
        <w:t>החתן</w:t>
      </w:r>
      <w:r w:rsidRPr="00AB4FFB">
        <w:rPr>
          <w:rFonts w:cs="Arial"/>
          <w:sz w:val="18"/>
          <w:szCs w:val="18"/>
          <w:rtl/>
        </w:rPr>
        <w:t xml:space="preserve"> </w:t>
      </w:r>
      <w:r w:rsidRPr="00AB4FFB">
        <w:rPr>
          <w:rFonts w:cs="Arial" w:hint="cs"/>
          <w:sz w:val="18"/>
          <w:szCs w:val="18"/>
          <w:rtl/>
        </w:rPr>
        <w:t>כלל</w:t>
      </w:r>
      <w:r w:rsidRPr="00AB4FFB">
        <w:rPr>
          <w:rFonts w:cs="Arial"/>
          <w:sz w:val="18"/>
          <w:szCs w:val="18"/>
          <w:rtl/>
        </w:rPr>
        <w:t xml:space="preserve"> </w:t>
      </w:r>
      <w:r w:rsidRPr="00AB4FFB">
        <w:rPr>
          <w:rFonts w:cs="Arial" w:hint="cs"/>
          <w:sz w:val="18"/>
          <w:szCs w:val="18"/>
          <w:rtl/>
        </w:rPr>
        <w:t>אצל</w:t>
      </w:r>
      <w:r w:rsidRPr="00AB4FFB">
        <w:rPr>
          <w:rFonts w:cs="Arial"/>
          <w:sz w:val="18"/>
          <w:szCs w:val="18"/>
          <w:rtl/>
        </w:rPr>
        <w:t xml:space="preserve"> </w:t>
      </w:r>
      <w:r w:rsidRPr="00AB4FFB">
        <w:rPr>
          <w:rFonts w:cs="Arial" w:hint="cs"/>
          <w:sz w:val="18"/>
          <w:szCs w:val="18"/>
          <w:rtl/>
        </w:rPr>
        <w:t>הכלה</w:t>
      </w:r>
      <w:r w:rsidRPr="00AB4FFB">
        <w:rPr>
          <w:rFonts w:cs="Arial"/>
          <w:sz w:val="18"/>
          <w:szCs w:val="18"/>
          <w:rtl/>
        </w:rPr>
        <w:t xml:space="preserve"> </w:t>
      </w:r>
      <w:r w:rsidRPr="00AB4FFB">
        <w:rPr>
          <w:rFonts w:cs="Arial" w:hint="cs"/>
          <w:sz w:val="18"/>
          <w:szCs w:val="18"/>
          <w:rtl/>
        </w:rPr>
        <w:t>עד</w:t>
      </w:r>
      <w:r w:rsidRPr="00AB4FFB">
        <w:rPr>
          <w:rFonts w:cs="Arial"/>
          <w:sz w:val="18"/>
          <w:szCs w:val="18"/>
          <w:rtl/>
        </w:rPr>
        <w:t xml:space="preserve"> </w:t>
      </w:r>
      <w:r w:rsidRPr="00AB4FFB">
        <w:rPr>
          <w:rFonts w:cs="Arial" w:hint="cs"/>
          <w:sz w:val="18"/>
          <w:szCs w:val="18"/>
          <w:rtl/>
        </w:rPr>
        <w:t>הלילה</w:t>
      </w:r>
      <w:r w:rsidRPr="00AB4FFB">
        <w:rPr>
          <w:rFonts w:cs="Arial"/>
          <w:sz w:val="18"/>
          <w:szCs w:val="18"/>
          <w:rtl/>
        </w:rPr>
        <w:t xml:space="preserve"> </w:t>
      </w:r>
      <w:r w:rsidRPr="00AB4FFB">
        <w:rPr>
          <w:rFonts w:cs="Arial" w:hint="cs"/>
          <w:sz w:val="18"/>
          <w:szCs w:val="18"/>
          <w:rtl/>
        </w:rPr>
        <w:t>שרוצה</w:t>
      </w:r>
      <w:r w:rsidRPr="00AB4FFB">
        <w:rPr>
          <w:rFonts w:cs="Arial"/>
          <w:sz w:val="18"/>
          <w:szCs w:val="18"/>
          <w:rtl/>
        </w:rPr>
        <w:t xml:space="preserve"> </w:t>
      </w:r>
      <w:r w:rsidRPr="00AB4FFB">
        <w:rPr>
          <w:rFonts w:cs="Arial" w:hint="cs"/>
          <w:sz w:val="18"/>
          <w:szCs w:val="18"/>
          <w:rtl/>
        </w:rPr>
        <w:t>לבעול</w:t>
      </w:r>
      <w:r w:rsidRPr="00AB4FFB">
        <w:rPr>
          <w:rFonts w:cs="Arial"/>
          <w:sz w:val="18"/>
          <w:szCs w:val="18"/>
          <w:rtl/>
        </w:rPr>
        <w:t xml:space="preserve"> </w:t>
      </w:r>
      <w:r w:rsidRPr="00AB4FFB">
        <w:rPr>
          <w:rFonts w:cs="Arial" w:hint="cs"/>
          <w:sz w:val="18"/>
          <w:szCs w:val="18"/>
          <w:rtl/>
        </w:rPr>
        <w:t>אותה</w:t>
      </w:r>
      <w:r w:rsidRPr="00AB4FFB">
        <w:rPr>
          <w:rFonts w:cs="Arial"/>
          <w:sz w:val="18"/>
          <w:szCs w:val="18"/>
          <w:rtl/>
        </w:rPr>
        <w:t xml:space="preserve">. </w:t>
      </w:r>
      <w:r w:rsidRPr="00AB4FFB">
        <w:rPr>
          <w:rFonts w:cs="Arial" w:hint="cs"/>
          <w:sz w:val="18"/>
          <w:szCs w:val="18"/>
          <w:rtl/>
        </w:rPr>
        <w:t>כל</w:t>
      </w:r>
      <w:r w:rsidRPr="00AB4FFB">
        <w:rPr>
          <w:rFonts w:cs="Arial"/>
          <w:sz w:val="18"/>
          <w:szCs w:val="18"/>
          <w:rtl/>
        </w:rPr>
        <w:t xml:space="preserve"> </w:t>
      </w:r>
      <w:r w:rsidRPr="00AB4FFB">
        <w:rPr>
          <w:rFonts w:cs="Arial" w:hint="cs"/>
          <w:sz w:val="18"/>
          <w:szCs w:val="18"/>
          <w:rtl/>
        </w:rPr>
        <w:t>זה</w:t>
      </w:r>
      <w:r w:rsidRPr="00AB4FFB">
        <w:rPr>
          <w:rFonts w:cs="Arial"/>
          <w:sz w:val="18"/>
          <w:szCs w:val="18"/>
          <w:rtl/>
        </w:rPr>
        <w:t xml:space="preserve"> </w:t>
      </w:r>
      <w:r w:rsidRPr="00AB4FFB">
        <w:rPr>
          <w:rFonts w:cs="Arial" w:hint="cs"/>
          <w:sz w:val="18"/>
          <w:szCs w:val="18"/>
          <w:rtl/>
        </w:rPr>
        <w:t>אני</w:t>
      </w:r>
      <w:r w:rsidRPr="00AB4FFB">
        <w:rPr>
          <w:rFonts w:cs="Arial"/>
          <w:sz w:val="18"/>
          <w:szCs w:val="18"/>
          <w:rtl/>
        </w:rPr>
        <w:t xml:space="preserve"> </w:t>
      </w:r>
      <w:r w:rsidRPr="00AB4FFB">
        <w:rPr>
          <w:rFonts w:cs="Arial" w:hint="cs"/>
          <w:sz w:val="18"/>
          <w:szCs w:val="18"/>
          <w:rtl/>
        </w:rPr>
        <w:t>מצווה</w:t>
      </w:r>
      <w:r w:rsidRPr="00AB4FFB">
        <w:rPr>
          <w:rFonts w:cs="Arial"/>
          <w:sz w:val="18"/>
          <w:szCs w:val="18"/>
          <w:rtl/>
        </w:rPr>
        <w:t xml:space="preserve"> </w:t>
      </w:r>
      <w:r w:rsidRPr="00AB4FFB">
        <w:rPr>
          <w:rFonts w:cs="Arial" w:hint="cs"/>
          <w:sz w:val="18"/>
          <w:szCs w:val="18"/>
          <w:rtl/>
        </w:rPr>
        <w:t>בתוקף</w:t>
      </w:r>
      <w:r w:rsidRPr="00AB4FFB">
        <w:rPr>
          <w:rFonts w:cs="Arial"/>
          <w:sz w:val="18"/>
          <w:szCs w:val="18"/>
          <w:rtl/>
        </w:rPr>
        <w:t xml:space="preserve"> </w:t>
      </w:r>
      <w:r w:rsidRPr="00AB4FFB">
        <w:rPr>
          <w:rFonts w:cs="Arial" w:hint="cs"/>
          <w:sz w:val="18"/>
          <w:szCs w:val="18"/>
          <w:rtl/>
        </w:rPr>
        <w:t>ציווי</w:t>
      </w:r>
      <w:r w:rsidRPr="00AB4FFB">
        <w:rPr>
          <w:rFonts w:cs="Arial"/>
          <w:sz w:val="18"/>
          <w:szCs w:val="18"/>
          <w:rtl/>
        </w:rPr>
        <w:t xml:space="preserve">, </w:t>
      </w:r>
      <w:r w:rsidRPr="00AB4FFB">
        <w:rPr>
          <w:rFonts w:cs="Arial" w:hint="cs"/>
          <w:sz w:val="18"/>
          <w:szCs w:val="18"/>
          <w:rtl/>
        </w:rPr>
        <w:t>ועליכם</w:t>
      </w:r>
      <w:r w:rsidRPr="00AB4FFB">
        <w:rPr>
          <w:rFonts w:cs="Arial"/>
          <w:sz w:val="18"/>
          <w:szCs w:val="18"/>
          <w:rtl/>
        </w:rPr>
        <w:t xml:space="preserve"> </w:t>
      </w:r>
      <w:r w:rsidRPr="00AB4FFB">
        <w:rPr>
          <w:rFonts w:cs="Arial" w:hint="cs"/>
          <w:sz w:val="18"/>
          <w:szCs w:val="18"/>
          <w:rtl/>
        </w:rPr>
        <w:t>לקיים</w:t>
      </w:r>
      <w:r w:rsidRPr="00AB4FFB">
        <w:rPr>
          <w:rFonts w:cs="Arial"/>
          <w:sz w:val="18"/>
          <w:szCs w:val="18"/>
          <w:rtl/>
        </w:rPr>
        <w:t xml:space="preserve"> </w:t>
      </w:r>
      <w:r w:rsidRPr="00AB4FFB">
        <w:rPr>
          <w:rFonts w:cs="Arial" w:hint="cs"/>
          <w:sz w:val="18"/>
          <w:szCs w:val="18"/>
          <w:rtl/>
        </w:rPr>
        <w:t>גזירות</w:t>
      </w:r>
      <w:r>
        <w:rPr>
          <w:rFonts w:cs="Arial" w:hint="cs"/>
          <w:sz w:val="18"/>
          <w:szCs w:val="18"/>
          <w:rtl/>
        </w:rPr>
        <w:t>י</w:t>
      </w:r>
      <w:r w:rsidRPr="00AB4FFB">
        <w:rPr>
          <w:rFonts w:cs="Arial" w:hint="cs"/>
          <w:sz w:val="18"/>
          <w:szCs w:val="18"/>
          <w:rtl/>
        </w:rPr>
        <w:t>י</w:t>
      </w:r>
      <w:r w:rsidRPr="00AB4FFB">
        <w:rPr>
          <w:rFonts w:cs="Arial"/>
          <w:sz w:val="18"/>
          <w:szCs w:val="18"/>
          <w:rtl/>
        </w:rPr>
        <w:t xml:space="preserve"> </w:t>
      </w:r>
      <w:r w:rsidRPr="00AB4FFB">
        <w:rPr>
          <w:rFonts w:cs="Arial" w:hint="cs"/>
          <w:sz w:val="18"/>
          <w:szCs w:val="18"/>
          <w:rtl/>
        </w:rPr>
        <w:t>כבנים</w:t>
      </w:r>
      <w:r w:rsidRPr="00AB4FFB">
        <w:rPr>
          <w:rFonts w:cs="Arial"/>
          <w:sz w:val="18"/>
          <w:szCs w:val="18"/>
          <w:rtl/>
        </w:rPr>
        <w:t xml:space="preserve"> </w:t>
      </w:r>
      <w:r w:rsidRPr="00AB4FFB">
        <w:rPr>
          <w:rFonts w:cs="Arial" w:hint="cs"/>
          <w:sz w:val="18"/>
          <w:szCs w:val="18"/>
          <w:rtl/>
        </w:rPr>
        <w:t>לאב</w:t>
      </w:r>
      <w:r w:rsidRPr="00AB4FFB">
        <w:rPr>
          <w:rFonts w:cs="Arial"/>
          <w:sz w:val="18"/>
          <w:szCs w:val="18"/>
          <w:rtl/>
        </w:rPr>
        <w:t xml:space="preserve"> </w:t>
      </w:r>
      <w:r w:rsidRPr="00AB4FFB">
        <w:rPr>
          <w:rFonts w:cs="Arial" w:hint="cs"/>
          <w:sz w:val="18"/>
          <w:szCs w:val="18"/>
          <w:rtl/>
        </w:rPr>
        <w:t>וכתלמידים</w:t>
      </w:r>
      <w:r w:rsidRPr="00AB4FFB">
        <w:rPr>
          <w:rFonts w:cs="Arial"/>
          <w:sz w:val="18"/>
          <w:szCs w:val="18"/>
          <w:rtl/>
        </w:rPr>
        <w:t xml:space="preserve"> </w:t>
      </w:r>
      <w:r w:rsidRPr="00AB4FFB">
        <w:rPr>
          <w:rFonts w:cs="Arial" w:hint="cs"/>
          <w:sz w:val="18"/>
          <w:szCs w:val="18"/>
          <w:rtl/>
        </w:rPr>
        <w:t>לרבם</w:t>
      </w:r>
      <w:r w:rsidRPr="00AB4FFB">
        <w:rPr>
          <w:rFonts w:cs="Arial"/>
          <w:sz w:val="18"/>
          <w:szCs w:val="18"/>
          <w:rtl/>
        </w:rPr>
        <w:t xml:space="preserve">, </w:t>
      </w:r>
      <w:r w:rsidRPr="00AB4FFB">
        <w:rPr>
          <w:rFonts w:cs="Arial" w:hint="cs"/>
          <w:sz w:val="18"/>
          <w:szCs w:val="18"/>
          <w:rtl/>
        </w:rPr>
        <w:t>וה</w:t>
      </w:r>
      <w:r>
        <w:rPr>
          <w:rFonts w:cs="Arial" w:hint="cs"/>
          <w:sz w:val="18"/>
          <w:szCs w:val="18"/>
          <w:rtl/>
        </w:rPr>
        <w:t>י</w:t>
      </w:r>
      <w:r w:rsidRPr="00AB4FFB">
        <w:rPr>
          <w:rFonts w:cs="Arial" w:hint="cs"/>
          <w:sz w:val="18"/>
          <w:szCs w:val="18"/>
          <w:rtl/>
        </w:rPr>
        <w:t>שמרו</w:t>
      </w:r>
      <w:r w:rsidRPr="00AB4FFB">
        <w:rPr>
          <w:rFonts w:cs="Arial"/>
          <w:sz w:val="18"/>
          <w:szCs w:val="18"/>
          <w:rtl/>
        </w:rPr>
        <w:t xml:space="preserve"> </w:t>
      </w:r>
      <w:r w:rsidRPr="00AB4FFB">
        <w:rPr>
          <w:rFonts w:cs="Arial" w:hint="cs"/>
          <w:sz w:val="18"/>
          <w:szCs w:val="18"/>
          <w:rtl/>
        </w:rPr>
        <w:t>לכם</w:t>
      </w:r>
      <w:r w:rsidRPr="00AB4FFB">
        <w:rPr>
          <w:rFonts w:cs="Arial"/>
          <w:sz w:val="18"/>
          <w:szCs w:val="18"/>
          <w:rtl/>
        </w:rPr>
        <w:t xml:space="preserve"> </w:t>
      </w:r>
      <w:r w:rsidRPr="00AB4FFB">
        <w:rPr>
          <w:rFonts w:cs="Arial" w:hint="cs"/>
          <w:sz w:val="18"/>
          <w:szCs w:val="18"/>
          <w:rtl/>
        </w:rPr>
        <w:t>במא</w:t>
      </w:r>
      <w:r>
        <w:rPr>
          <w:rFonts w:cs="Arial" w:hint="cs"/>
          <w:sz w:val="18"/>
          <w:szCs w:val="18"/>
          <w:rtl/>
        </w:rPr>
        <w:t>ו</w:t>
      </w:r>
      <w:r w:rsidRPr="00AB4FFB">
        <w:rPr>
          <w:rFonts w:cs="Arial" w:hint="cs"/>
          <w:sz w:val="18"/>
          <w:szCs w:val="18"/>
          <w:rtl/>
        </w:rPr>
        <w:t>ד</w:t>
      </w:r>
      <w:r w:rsidRPr="00AB4FFB">
        <w:rPr>
          <w:rFonts w:cs="Arial"/>
          <w:sz w:val="18"/>
          <w:szCs w:val="18"/>
          <w:rtl/>
        </w:rPr>
        <w:t xml:space="preserve">, </w:t>
      </w:r>
      <w:r w:rsidRPr="00AB4FFB">
        <w:rPr>
          <w:rFonts w:cs="Arial" w:hint="cs"/>
          <w:sz w:val="18"/>
          <w:szCs w:val="18"/>
          <w:rtl/>
        </w:rPr>
        <w:t>ואז</w:t>
      </w:r>
      <w:r w:rsidRPr="00AB4FFB">
        <w:rPr>
          <w:rFonts w:cs="Arial"/>
          <w:sz w:val="18"/>
          <w:szCs w:val="18"/>
          <w:rtl/>
        </w:rPr>
        <w:t xml:space="preserve"> </w:t>
      </w:r>
      <w:r w:rsidRPr="00AB4FFB">
        <w:rPr>
          <w:rFonts w:cs="Arial" w:hint="cs"/>
          <w:sz w:val="18"/>
          <w:szCs w:val="18"/>
          <w:rtl/>
        </w:rPr>
        <w:t>ה</w:t>
      </w:r>
      <w:r w:rsidRPr="00AB4FFB">
        <w:rPr>
          <w:rFonts w:cs="Arial"/>
          <w:sz w:val="18"/>
          <w:szCs w:val="18"/>
          <w:rtl/>
        </w:rPr>
        <w:t xml:space="preserve">' </w:t>
      </w:r>
      <w:r w:rsidRPr="00AB4FFB">
        <w:rPr>
          <w:rFonts w:cs="Arial" w:hint="cs"/>
          <w:sz w:val="18"/>
          <w:szCs w:val="18"/>
          <w:rtl/>
        </w:rPr>
        <w:t>שומרכם".</w:t>
      </w:r>
    </w:p>
  </w:footnote>
  <w:footnote w:id="376">
    <w:p w:rsidR="005953C5" w:rsidRDefault="005953C5" w:rsidP="00620060">
      <w:pPr>
        <w:pStyle w:val="a3"/>
        <w:rPr>
          <w:rtl/>
        </w:rPr>
      </w:pPr>
      <w:r w:rsidRPr="00896B74">
        <w:rPr>
          <w:rStyle w:val="a5"/>
          <w:sz w:val="18"/>
          <w:szCs w:val="18"/>
        </w:rPr>
        <w:footnoteRef/>
      </w:r>
      <w:r w:rsidRPr="00896B74">
        <w:rPr>
          <w:sz w:val="18"/>
          <w:szCs w:val="18"/>
          <w:rtl/>
        </w:rPr>
        <w:t xml:space="preserve"> </w:t>
      </w:r>
      <w:r w:rsidRPr="00896B74">
        <w:rPr>
          <w:rFonts w:hint="cs"/>
          <w:sz w:val="18"/>
          <w:szCs w:val="18"/>
          <w:rtl/>
        </w:rPr>
        <w:t xml:space="preserve">ולפי"ז צריך לומר שאע"פ שהרמ"א כתב שצריכה לבדוק עצמה אם לא </w:t>
      </w:r>
      <w:r w:rsidRPr="00896B74">
        <w:rPr>
          <w:rFonts w:hint="cs"/>
          <w:sz w:val="18"/>
          <w:szCs w:val="18"/>
          <w:u w:val="single"/>
          <w:rtl/>
        </w:rPr>
        <w:t>נבעלה</w:t>
      </w:r>
      <w:r w:rsidRPr="00896B74">
        <w:rPr>
          <w:rFonts w:hint="cs"/>
          <w:sz w:val="18"/>
          <w:szCs w:val="18"/>
          <w:rtl/>
        </w:rPr>
        <w:t xml:space="preserve">, כוונתו לומר שלא נבעלה משום שלא </w:t>
      </w:r>
      <w:r w:rsidRPr="00896B74">
        <w:rPr>
          <w:rFonts w:hint="cs"/>
          <w:sz w:val="18"/>
          <w:szCs w:val="18"/>
          <w:u w:val="single"/>
          <w:rtl/>
        </w:rPr>
        <w:t>נישאה</w:t>
      </w:r>
      <w:r w:rsidRPr="00896B74">
        <w:rPr>
          <w:rFonts w:hint="cs"/>
          <w:sz w:val="18"/>
          <w:szCs w:val="18"/>
          <w:rtl/>
        </w:rPr>
        <w:t>, אך אם נישאה אינה צריכה בדיקה.</w:t>
      </w:r>
    </w:p>
  </w:footnote>
  <w:footnote w:id="377">
    <w:p w:rsidR="005953C5" w:rsidRDefault="005953C5" w:rsidP="00620060">
      <w:pPr>
        <w:pStyle w:val="a3"/>
      </w:pPr>
      <w:r w:rsidRPr="00DE45AF">
        <w:rPr>
          <w:rStyle w:val="a5"/>
          <w:sz w:val="18"/>
          <w:szCs w:val="18"/>
        </w:rPr>
        <w:footnoteRef/>
      </w:r>
      <w:r w:rsidRPr="00DE45AF">
        <w:rPr>
          <w:sz w:val="18"/>
          <w:szCs w:val="18"/>
          <w:rtl/>
        </w:rPr>
        <w:t xml:space="preserve"> </w:t>
      </w:r>
      <w:r w:rsidRPr="00DE45AF">
        <w:rPr>
          <w:rFonts w:hint="cs"/>
          <w:b/>
          <w:bCs/>
          <w:sz w:val="18"/>
          <w:szCs w:val="18"/>
          <w:rtl/>
        </w:rPr>
        <w:t>הכו"פ</w:t>
      </w:r>
      <w:r w:rsidRPr="00DE45AF">
        <w:rPr>
          <w:rFonts w:hint="cs"/>
          <w:sz w:val="18"/>
          <w:szCs w:val="18"/>
          <w:rtl/>
        </w:rPr>
        <w:t xml:space="preserve"> תמה על דברי </w:t>
      </w:r>
      <w:r w:rsidRPr="00DE45AF">
        <w:rPr>
          <w:rFonts w:hint="cs"/>
          <w:b/>
          <w:bCs/>
          <w:sz w:val="18"/>
          <w:szCs w:val="18"/>
          <w:rtl/>
        </w:rPr>
        <w:t>המ"ב</w:t>
      </w:r>
      <w:r w:rsidRPr="00DE45AF">
        <w:rPr>
          <w:rFonts w:hint="cs"/>
          <w:sz w:val="18"/>
          <w:szCs w:val="18"/>
          <w:rtl/>
        </w:rPr>
        <w:t xml:space="preserve"> </w:t>
      </w:r>
      <w:r w:rsidRPr="00DE45AF">
        <w:rPr>
          <w:sz w:val="18"/>
          <w:szCs w:val="18"/>
          <w:rtl/>
        </w:rPr>
        <w:t>–</w:t>
      </w:r>
      <w:r w:rsidRPr="00DE45AF">
        <w:rPr>
          <w:rFonts w:hint="cs"/>
          <w:sz w:val="18"/>
          <w:szCs w:val="18"/>
          <w:rtl/>
        </w:rPr>
        <w:t xml:space="preserve"> מדוע הגביל דין זה לז' ימים דווקא, אם החשש לחימוד נוסף קיים אז אפילו פחות מז' ימים צריכה ז"נ שוב, ואם אין חשש חימוד חדש אז אפילו יותר מז' יום מהני ללא בדיקה נוספת!</w:t>
      </w:r>
      <w:r w:rsidRPr="00DE45AF">
        <w:rPr>
          <w:rFonts w:hint="cs"/>
          <w:sz w:val="18"/>
          <w:szCs w:val="18"/>
          <w:rtl/>
        </w:rPr>
        <w:br/>
        <w:t xml:space="preserve">מיישב </w:t>
      </w:r>
      <w:r w:rsidRPr="00DE45AF">
        <w:rPr>
          <w:rFonts w:hint="cs"/>
          <w:b/>
          <w:bCs/>
          <w:sz w:val="18"/>
          <w:szCs w:val="18"/>
          <w:rtl/>
        </w:rPr>
        <w:t>הסדרי טהרה</w:t>
      </w:r>
      <w:r w:rsidRPr="00DE45AF">
        <w:rPr>
          <w:rFonts w:hint="cs"/>
          <w:sz w:val="18"/>
          <w:szCs w:val="18"/>
          <w:rtl/>
        </w:rPr>
        <w:t xml:space="preserve"> </w:t>
      </w:r>
      <w:r w:rsidRPr="00DE45AF">
        <w:rPr>
          <w:sz w:val="18"/>
          <w:szCs w:val="18"/>
          <w:rtl/>
        </w:rPr>
        <w:t>–</w:t>
      </w:r>
      <w:r w:rsidRPr="00DE45AF">
        <w:rPr>
          <w:rFonts w:hint="cs"/>
          <w:sz w:val="18"/>
          <w:szCs w:val="18"/>
          <w:rtl/>
        </w:rPr>
        <w:t xml:space="preserve"> בדיקה אחת מהני לז' ימים, כלומר לשישה ימים שלאחר מכן או לשישה ימים שלפני כן, ולכן נכונים דברי המ"ב, ועיין עוד בדבריו.</w:t>
      </w:r>
    </w:p>
  </w:footnote>
  <w:footnote w:id="378">
    <w:p w:rsidR="005953C5" w:rsidRDefault="005953C5" w:rsidP="00620060">
      <w:pPr>
        <w:pStyle w:val="a3"/>
      </w:pPr>
      <w:r w:rsidRPr="007A27E8">
        <w:rPr>
          <w:rStyle w:val="a5"/>
          <w:sz w:val="18"/>
          <w:szCs w:val="18"/>
        </w:rPr>
        <w:footnoteRef/>
      </w:r>
      <w:r w:rsidRPr="007A27E8">
        <w:rPr>
          <w:sz w:val="18"/>
          <w:szCs w:val="18"/>
          <w:rtl/>
        </w:rPr>
        <w:t xml:space="preserve"> </w:t>
      </w:r>
      <w:r w:rsidRPr="007A27E8">
        <w:rPr>
          <w:rFonts w:hint="cs"/>
          <w:sz w:val="18"/>
          <w:szCs w:val="18"/>
          <w:rtl/>
        </w:rPr>
        <w:t>לכאורה ניתן להוכיח מזה שעיקר החימוד הוא על הביאה ולא על שם נ</w:t>
      </w:r>
      <w:r>
        <w:rPr>
          <w:rFonts w:hint="cs"/>
          <w:sz w:val="18"/>
          <w:szCs w:val="18"/>
          <w:rtl/>
        </w:rPr>
        <w:t>שואה</w:t>
      </w:r>
      <w:r w:rsidRPr="007A27E8">
        <w:rPr>
          <w:rFonts w:hint="cs"/>
          <w:sz w:val="18"/>
          <w:szCs w:val="18"/>
          <w:rtl/>
        </w:rPr>
        <w:t xml:space="preserve"> שיש לה, דאלת"ה מאי </w:t>
      </w:r>
      <w:r>
        <w:rPr>
          <w:rFonts w:hint="cs"/>
          <w:sz w:val="18"/>
          <w:szCs w:val="18"/>
          <w:rtl/>
        </w:rPr>
        <w:t>נפק"מ</w:t>
      </w:r>
      <w:r w:rsidRPr="007A27E8">
        <w:rPr>
          <w:rFonts w:hint="cs"/>
          <w:sz w:val="18"/>
          <w:szCs w:val="18"/>
          <w:rtl/>
        </w:rPr>
        <w:t xml:space="preserve"> </w:t>
      </w:r>
      <w:r>
        <w:rPr>
          <w:rFonts w:hint="cs"/>
          <w:sz w:val="18"/>
          <w:szCs w:val="18"/>
          <w:rtl/>
        </w:rPr>
        <w:t>מי החתן</w:t>
      </w:r>
      <w:r w:rsidRPr="007A27E8">
        <w:rPr>
          <w:rFonts w:hint="cs"/>
          <w:sz w:val="18"/>
          <w:szCs w:val="18"/>
          <w:rtl/>
        </w:rPr>
        <w:t>?</w:t>
      </w:r>
    </w:p>
  </w:footnote>
  <w:footnote w:id="379">
    <w:p w:rsidR="005953C5" w:rsidRDefault="005953C5" w:rsidP="00620060">
      <w:pPr>
        <w:pStyle w:val="a3"/>
        <w:rPr>
          <w:rtl/>
        </w:rPr>
      </w:pPr>
      <w:r w:rsidRPr="00CD1AC9">
        <w:rPr>
          <w:rStyle w:val="a5"/>
          <w:sz w:val="18"/>
          <w:szCs w:val="18"/>
        </w:rPr>
        <w:footnoteRef/>
      </w:r>
      <w:r w:rsidRPr="00CD1AC9">
        <w:rPr>
          <w:sz w:val="18"/>
          <w:szCs w:val="18"/>
          <w:rtl/>
        </w:rPr>
        <w:t xml:space="preserve"> </w:t>
      </w:r>
      <w:r w:rsidRPr="00CD1AC9">
        <w:rPr>
          <w:rFonts w:hint="cs"/>
          <w:sz w:val="18"/>
          <w:szCs w:val="18"/>
          <w:rtl/>
        </w:rPr>
        <w:t>להרחבה בדין זה עיין בהלכות אבלות סימן שמב'.</w:t>
      </w:r>
    </w:p>
  </w:footnote>
  <w:footnote w:id="380">
    <w:p w:rsidR="005953C5" w:rsidRPr="007D4C80" w:rsidRDefault="005953C5" w:rsidP="00620060">
      <w:pPr>
        <w:pStyle w:val="a3"/>
      </w:pPr>
      <w:r w:rsidRPr="006C083C">
        <w:rPr>
          <w:rStyle w:val="a5"/>
          <w:sz w:val="18"/>
          <w:szCs w:val="18"/>
        </w:rPr>
        <w:footnoteRef/>
      </w:r>
      <w:r w:rsidRPr="006C083C">
        <w:rPr>
          <w:sz w:val="18"/>
          <w:szCs w:val="18"/>
          <w:rtl/>
        </w:rPr>
        <w:t xml:space="preserve"> </w:t>
      </w:r>
      <w:r w:rsidRPr="006C083C">
        <w:rPr>
          <w:rFonts w:hint="cs"/>
          <w:sz w:val="18"/>
          <w:szCs w:val="18"/>
          <w:rtl/>
        </w:rPr>
        <w:t xml:space="preserve">יש להבין מהי לשון 'עבר' דמשמע שעשה איסור, והרי לדעת הרא"ש מותר לכתחילה לכנוס נידה לחופה והכי קיי"ל </w:t>
      </w:r>
      <w:r w:rsidRPr="006C083C">
        <w:rPr>
          <w:rFonts w:hint="cs"/>
          <w:sz w:val="16"/>
          <w:szCs w:val="16"/>
          <w:rtl/>
        </w:rPr>
        <w:t>(כמבואר באבן העזר סימן סא')</w:t>
      </w:r>
      <w:r w:rsidRPr="006C083C">
        <w:rPr>
          <w:rFonts w:hint="cs"/>
          <w:sz w:val="18"/>
          <w:szCs w:val="18"/>
          <w:rtl/>
        </w:rPr>
        <w:t>!</w:t>
      </w:r>
      <w:r w:rsidRPr="006C083C">
        <w:rPr>
          <w:sz w:val="18"/>
          <w:szCs w:val="18"/>
          <w:rtl/>
        </w:rPr>
        <w:br/>
      </w:r>
      <w:r w:rsidRPr="006C083C">
        <w:rPr>
          <w:rFonts w:hint="cs"/>
          <w:sz w:val="18"/>
          <w:szCs w:val="18"/>
          <w:rtl/>
        </w:rPr>
        <w:t xml:space="preserve">בפשטות יש לומר שהמחבר כתב זאת ע"פ מה שכתב בדעת הרמב"ם, שרק לת"ח מותר לשאת אשה בתוך ז"נ אך לשאר אדם אסור ולכן אתי שפי לשון 'עבר', וכ"כ </w:t>
      </w:r>
      <w:r w:rsidRPr="006C083C">
        <w:rPr>
          <w:rFonts w:hint="cs"/>
          <w:b/>
          <w:bCs/>
          <w:sz w:val="18"/>
          <w:szCs w:val="18"/>
          <w:rtl/>
        </w:rPr>
        <w:t>ששבה"ל</w:t>
      </w:r>
      <w:r w:rsidRPr="006C083C">
        <w:rPr>
          <w:rFonts w:hint="cs"/>
          <w:sz w:val="18"/>
          <w:szCs w:val="18"/>
          <w:rtl/>
        </w:rPr>
        <w:t xml:space="preserve">. </w:t>
      </w:r>
      <w:r>
        <w:rPr>
          <w:sz w:val="18"/>
          <w:szCs w:val="18"/>
          <w:rtl/>
        </w:rPr>
        <w:br/>
      </w:r>
      <w:r w:rsidRPr="006C083C">
        <w:rPr>
          <w:rFonts w:hint="cs"/>
          <w:sz w:val="18"/>
          <w:szCs w:val="18"/>
          <w:rtl/>
        </w:rPr>
        <w:t>ברם, הסבר זה אינו מתיישב משום שבדין נידה גמורה כתב המחבר כלשון הזו: "</w:t>
      </w:r>
      <w:r w:rsidRPr="006C083C">
        <w:rPr>
          <w:rFonts w:cs="Arial" w:hint="cs"/>
          <w:sz w:val="18"/>
          <w:szCs w:val="18"/>
          <w:rtl/>
        </w:rPr>
        <w:t>כשר</w:t>
      </w:r>
      <w:r w:rsidRPr="006C083C">
        <w:rPr>
          <w:rFonts w:cs="Arial"/>
          <w:sz w:val="18"/>
          <w:szCs w:val="18"/>
          <w:rtl/>
        </w:rPr>
        <w:t xml:space="preserve"> </w:t>
      </w:r>
      <w:r w:rsidRPr="006C083C">
        <w:rPr>
          <w:rFonts w:cs="Arial" w:hint="cs"/>
          <w:sz w:val="18"/>
          <w:szCs w:val="18"/>
          <w:rtl/>
        </w:rPr>
        <w:t>הדבר</w:t>
      </w:r>
      <w:r w:rsidRPr="006C083C">
        <w:rPr>
          <w:rFonts w:cs="Arial"/>
          <w:sz w:val="18"/>
          <w:szCs w:val="18"/>
          <w:rtl/>
        </w:rPr>
        <w:t xml:space="preserve"> </w:t>
      </w:r>
      <w:r w:rsidRPr="006C083C">
        <w:rPr>
          <w:rFonts w:cs="Arial" w:hint="cs"/>
          <w:sz w:val="18"/>
          <w:szCs w:val="18"/>
          <w:rtl/>
        </w:rPr>
        <w:t>שלא</w:t>
      </w:r>
      <w:r w:rsidRPr="006C083C">
        <w:rPr>
          <w:rFonts w:cs="Arial"/>
          <w:sz w:val="18"/>
          <w:szCs w:val="18"/>
          <w:rtl/>
        </w:rPr>
        <w:t xml:space="preserve"> </w:t>
      </w:r>
      <w:r w:rsidRPr="006C083C">
        <w:rPr>
          <w:rFonts w:cs="Arial" w:hint="cs"/>
          <w:sz w:val="18"/>
          <w:szCs w:val="18"/>
          <w:rtl/>
        </w:rPr>
        <w:t>תינשא</w:t>
      </w:r>
      <w:r w:rsidRPr="006C083C">
        <w:rPr>
          <w:rFonts w:cs="Arial"/>
          <w:sz w:val="18"/>
          <w:szCs w:val="18"/>
          <w:rtl/>
        </w:rPr>
        <w:t xml:space="preserve"> </w:t>
      </w:r>
      <w:r w:rsidRPr="006C083C">
        <w:rPr>
          <w:rFonts w:cs="Arial" w:hint="cs"/>
          <w:sz w:val="18"/>
          <w:szCs w:val="18"/>
          <w:rtl/>
        </w:rPr>
        <w:t>עד</w:t>
      </w:r>
      <w:r w:rsidRPr="006C083C">
        <w:rPr>
          <w:rFonts w:cs="Arial"/>
          <w:sz w:val="18"/>
          <w:szCs w:val="18"/>
          <w:rtl/>
        </w:rPr>
        <w:t xml:space="preserve"> </w:t>
      </w:r>
      <w:r w:rsidRPr="006C083C">
        <w:rPr>
          <w:rFonts w:cs="Arial" w:hint="cs"/>
          <w:sz w:val="18"/>
          <w:szCs w:val="18"/>
          <w:rtl/>
        </w:rPr>
        <w:t>שתטהר".</w:t>
      </w:r>
      <w:r w:rsidRPr="006C083C">
        <w:rPr>
          <w:rFonts w:hint="cs"/>
          <w:sz w:val="18"/>
          <w:szCs w:val="18"/>
          <w:rtl/>
        </w:rPr>
        <w:t xml:space="preserve"> ואם כן מדוע הפליג לכתוב כאן 'עבר' ומשמע שעשה איסור ממש? וכתב </w:t>
      </w:r>
      <w:r w:rsidRPr="006C083C">
        <w:rPr>
          <w:rFonts w:hint="cs"/>
          <w:b/>
          <w:bCs/>
          <w:sz w:val="18"/>
          <w:szCs w:val="18"/>
          <w:rtl/>
        </w:rPr>
        <w:t>ששבה"ל</w:t>
      </w:r>
      <w:r w:rsidRPr="006C083C">
        <w:rPr>
          <w:rFonts w:hint="cs"/>
          <w:sz w:val="18"/>
          <w:szCs w:val="18"/>
          <w:rtl/>
        </w:rPr>
        <w:t xml:space="preserve"> בשם </w:t>
      </w:r>
      <w:r w:rsidRPr="006C083C">
        <w:rPr>
          <w:rFonts w:hint="cs"/>
          <w:b/>
          <w:bCs/>
          <w:sz w:val="18"/>
          <w:szCs w:val="18"/>
          <w:rtl/>
        </w:rPr>
        <w:t>יוסף דעת</w:t>
      </w:r>
      <w:r w:rsidRPr="006C083C">
        <w:rPr>
          <w:rFonts w:hint="cs"/>
          <w:sz w:val="18"/>
          <w:szCs w:val="18"/>
          <w:rtl/>
        </w:rPr>
        <w:t xml:space="preserve"> שכיוון שז"נ הוא דין דרבנן אתו לזלזולי ביה ולהקל כיוון שלא ראתה דם ממש, ולכן נקט המחבר לשון זו.</w:t>
      </w:r>
    </w:p>
  </w:footnote>
  <w:footnote w:id="381">
    <w:p w:rsidR="005953C5" w:rsidRDefault="005953C5" w:rsidP="00620060">
      <w:pPr>
        <w:pStyle w:val="a3"/>
        <w:rPr>
          <w:rtl/>
        </w:rPr>
      </w:pPr>
      <w:r w:rsidRPr="001E0C1E">
        <w:rPr>
          <w:rStyle w:val="a5"/>
          <w:sz w:val="18"/>
          <w:szCs w:val="18"/>
        </w:rPr>
        <w:footnoteRef/>
      </w:r>
      <w:r w:rsidRPr="001E0C1E">
        <w:rPr>
          <w:sz w:val="18"/>
          <w:szCs w:val="18"/>
          <w:rtl/>
        </w:rPr>
        <w:t xml:space="preserve"> </w:t>
      </w:r>
      <w:r w:rsidRPr="001E0C1E">
        <w:rPr>
          <w:rFonts w:hint="cs"/>
          <w:b/>
          <w:bCs/>
          <w:sz w:val="18"/>
          <w:szCs w:val="18"/>
          <w:rtl/>
        </w:rPr>
        <w:t>ששבה"ל</w:t>
      </w:r>
      <w:r w:rsidRPr="001E0C1E">
        <w:rPr>
          <w:rFonts w:hint="cs"/>
          <w:sz w:val="18"/>
          <w:szCs w:val="18"/>
          <w:rtl/>
        </w:rPr>
        <w:t xml:space="preserve"> </w:t>
      </w:r>
      <w:r w:rsidRPr="001E0C1E">
        <w:rPr>
          <w:sz w:val="18"/>
          <w:szCs w:val="18"/>
          <w:rtl/>
        </w:rPr>
        <w:t>–</w:t>
      </w:r>
      <w:r w:rsidRPr="001E0C1E">
        <w:rPr>
          <w:rFonts w:hint="cs"/>
          <w:sz w:val="18"/>
          <w:szCs w:val="18"/>
          <w:rtl/>
        </w:rPr>
        <w:t xml:space="preserve"> הרבה טועים בלשון הרמ"א שכתב 'חדר', דלשון הרשב"א בתוה"ב והעתיקו הב"י הוא 'בתים', ושני חדרים אינם מועילים, שהרי בית אחד ושני חדרים בתוכו ואין הפתח נעול ביניהם אין לך ייחוד גדול מזה.</w:t>
      </w:r>
      <w:r>
        <w:rPr>
          <w:rtl/>
        </w:rPr>
        <w:br/>
      </w:r>
      <w:r w:rsidRPr="003B69D5">
        <w:rPr>
          <w:rFonts w:hint="cs"/>
          <w:sz w:val="18"/>
          <w:szCs w:val="18"/>
          <w:rtl/>
        </w:rPr>
        <w:t>אמנם, אם נועלת את החדר שלה מבפנים, יש להחשיב זאת כשומר אחד אע"פ שיכולים להיפגש במסדרון, ומהני כסניף להקל כשיש עוד שומר אחד. וכן באופן של ספק האם אסורים בייחוד, כגון שהערה בה בלבד</w:t>
      </w:r>
      <w:r>
        <w:rPr>
          <w:rFonts w:hint="cs"/>
          <w:sz w:val="18"/>
          <w:szCs w:val="18"/>
          <w:rtl/>
        </w:rPr>
        <w:t>, עיין בסמוך.</w:t>
      </w:r>
    </w:p>
  </w:footnote>
  <w:footnote w:id="382">
    <w:p w:rsidR="005953C5" w:rsidRDefault="005953C5" w:rsidP="00620060">
      <w:pPr>
        <w:pStyle w:val="a3"/>
        <w:rPr>
          <w:rtl/>
        </w:rPr>
      </w:pPr>
      <w:r w:rsidRPr="00053291">
        <w:rPr>
          <w:rStyle w:val="a5"/>
          <w:sz w:val="18"/>
          <w:szCs w:val="18"/>
        </w:rPr>
        <w:footnoteRef/>
      </w:r>
      <w:r w:rsidRPr="00053291">
        <w:rPr>
          <w:sz w:val="18"/>
          <w:szCs w:val="18"/>
          <w:rtl/>
        </w:rPr>
        <w:t xml:space="preserve"> </w:t>
      </w:r>
      <w:r w:rsidRPr="00053291">
        <w:rPr>
          <w:rFonts w:hint="cs"/>
          <w:sz w:val="18"/>
          <w:szCs w:val="18"/>
          <w:rtl/>
        </w:rPr>
        <w:t>ואין לומר שהברייתא בכתובות סומכת על החילוק שעושה הגמרא ביבמות, משום שהחילוק בין ת"ח לשאר אנשים נאמר בגמרא ביבמות ע"י אמוראים, ואין לומר שהתנא בכתובות סמך עצמו על חילוק שיעשו אח"כ אמוראים בעניין אחר.</w:t>
      </w:r>
      <w:r>
        <w:rPr>
          <w:sz w:val="18"/>
          <w:szCs w:val="18"/>
          <w:rtl/>
        </w:rPr>
        <w:br/>
      </w:r>
      <w:r>
        <w:rPr>
          <w:rFonts w:hint="cs"/>
          <w:sz w:val="18"/>
          <w:szCs w:val="18"/>
          <w:rtl/>
        </w:rPr>
        <w:t xml:space="preserve">אמנם, ניתן לומר שדרך הברייתא לסתום, ומה שהתלמוד לא חש לפרש זאת משום שסמך על הגמרא ביבמות. </w:t>
      </w:r>
      <w:r>
        <w:rPr>
          <w:sz w:val="18"/>
          <w:szCs w:val="18"/>
          <w:rtl/>
        </w:rPr>
        <w:br/>
      </w:r>
      <w:r>
        <w:rPr>
          <w:rFonts w:hint="cs"/>
          <w:sz w:val="18"/>
          <w:szCs w:val="18"/>
          <w:rtl/>
        </w:rPr>
        <w:t>אך מכל מקום קשה מדוע הרמב"ם עצמו לא כתב זאת להדיא לגבי נידה.</w:t>
      </w:r>
    </w:p>
  </w:footnote>
  <w:footnote w:id="383">
    <w:p w:rsidR="005953C5" w:rsidRDefault="005953C5" w:rsidP="00620060">
      <w:pPr>
        <w:pStyle w:val="a3"/>
      </w:pPr>
      <w:r w:rsidRPr="00501358">
        <w:rPr>
          <w:rStyle w:val="a5"/>
          <w:sz w:val="18"/>
          <w:szCs w:val="18"/>
        </w:rPr>
        <w:footnoteRef/>
      </w:r>
      <w:r w:rsidRPr="00501358">
        <w:rPr>
          <w:sz w:val="18"/>
          <w:szCs w:val="18"/>
          <w:rtl/>
        </w:rPr>
        <w:t xml:space="preserve"> </w:t>
      </w:r>
      <w:r w:rsidRPr="00501358">
        <w:rPr>
          <w:rFonts w:hint="cs"/>
          <w:sz w:val="18"/>
          <w:szCs w:val="18"/>
          <w:rtl/>
        </w:rPr>
        <w:t>עיין בהרחבה באבן העזר סימן סא'.</w:t>
      </w:r>
    </w:p>
  </w:footnote>
  <w:footnote w:id="384">
    <w:p w:rsidR="005953C5" w:rsidRDefault="005953C5" w:rsidP="00620060">
      <w:pPr>
        <w:pStyle w:val="a3"/>
        <w:rPr>
          <w:rtl/>
        </w:rPr>
      </w:pPr>
      <w:r w:rsidRPr="00F33A98">
        <w:rPr>
          <w:rStyle w:val="a5"/>
          <w:sz w:val="18"/>
          <w:szCs w:val="18"/>
        </w:rPr>
        <w:footnoteRef/>
      </w:r>
      <w:r w:rsidRPr="00F33A98">
        <w:rPr>
          <w:sz w:val="18"/>
          <w:szCs w:val="18"/>
          <w:rtl/>
        </w:rPr>
        <w:t xml:space="preserve"> </w:t>
      </w:r>
      <w:r w:rsidRPr="00F33A98">
        <w:rPr>
          <w:rFonts w:hint="cs"/>
          <w:sz w:val="18"/>
          <w:szCs w:val="18"/>
          <w:rtl/>
        </w:rPr>
        <w:t xml:space="preserve">ולפי"ז יש לפרש את לשון הגמרא "ולא בעל" היינו שלא היתה ראויה לבעילה ולכן צריך שימור, אך אם היתה ראויה לבעילה אין צריך שימור, </w:t>
      </w:r>
      <w:r w:rsidRPr="00F33A98">
        <w:rPr>
          <w:rFonts w:hint="cs"/>
          <w:b/>
          <w:bCs/>
          <w:sz w:val="18"/>
          <w:szCs w:val="18"/>
          <w:rtl/>
        </w:rPr>
        <w:t>ט"ז</w:t>
      </w:r>
      <w:r w:rsidRPr="00F33A98">
        <w:rPr>
          <w:rFonts w:hint="cs"/>
          <w:sz w:val="18"/>
          <w:szCs w:val="18"/>
          <w:rtl/>
        </w:rPr>
        <w:t>.</w:t>
      </w:r>
    </w:p>
  </w:footnote>
  <w:footnote w:id="385">
    <w:p w:rsidR="005953C5" w:rsidRDefault="005953C5" w:rsidP="00620060">
      <w:pPr>
        <w:pStyle w:val="a3"/>
      </w:pPr>
      <w:r w:rsidRPr="00FC5A1E">
        <w:rPr>
          <w:rStyle w:val="a5"/>
          <w:sz w:val="18"/>
          <w:szCs w:val="18"/>
        </w:rPr>
        <w:footnoteRef/>
      </w:r>
      <w:r w:rsidRPr="00FC5A1E">
        <w:rPr>
          <w:sz w:val="18"/>
          <w:szCs w:val="18"/>
          <w:rtl/>
        </w:rPr>
        <w:t xml:space="preserve"> </w:t>
      </w:r>
      <w:r w:rsidRPr="00FC5A1E">
        <w:rPr>
          <w:rFonts w:hint="cs"/>
          <w:sz w:val="18"/>
          <w:szCs w:val="18"/>
          <w:rtl/>
        </w:rPr>
        <w:t xml:space="preserve">דברי </w:t>
      </w:r>
      <w:r w:rsidRPr="00FC5A1E">
        <w:rPr>
          <w:rFonts w:hint="cs"/>
          <w:b/>
          <w:bCs/>
          <w:sz w:val="18"/>
          <w:szCs w:val="18"/>
          <w:rtl/>
        </w:rPr>
        <w:t>הט"ז</w:t>
      </w:r>
      <w:r w:rsidRPr="00FC5A1E">
        <w:rPr>
          <w:rFonts w:hint="cs"/>
          <w:sz w:val="18"/>
          <w:szCs w:val="18"/>
          <w:rtl/>
        </w:rPr>
        <w:t xml:space="preserve"> מבוססים על </w:t>
      </w:r>
      <w:r w:rsidRPr="00FC5A1E">
        <w:rPr>
          <w:rFonts w:hint="cs"/>
          <w:b/>
          <w:bCs/>
          <w:sz w:val="18"/>
          <w:szCs w:val="18"/>
          <w:rtl/>
        </w:rPr>
        <w:t>תוספות</w:t>
      </w:r>
      <w:r w:rsidRPr="00FC5A1E">
        <w:rPr>
          <w:rFonts w:hint="cs"/>
          <w:sz w:val="18"/>
          <w:szCs w:val="18"/>
          <w:rtl/>
        </w:rPr>
        <w:t xml:space="preserve"> במסכת כתובות </w:t>
      </w:r>
      <w:r w:rsidRPr="00FC5A1E">
        <w:rPr>
          <w:rFonts w:hint="cs"/>
          <w:sz w:val="16"/>
          <w:szCs w:val="16"/>
          <w:rtl/>
        </w:rPr>
        <w:t xml:space="preserve">(ט: ד"ה מאי לאו) </w:t>
      </w:r>
      <w:r w:rsidRPr="00FC5A1E">
        <w:rPr>
          <w:rFonts w:hint="cs"/>
          <w:sz w:val="18"/>
          <w:szCs w:val="18"/>
          <w:rtl/>
        </w:rPr>
        <w:t>"</w:t>
      </w:r>
      <w:r w:rsidRPr="00FC5A1E">
        <w:rPr>
          <w:rFonts w:cs="Arial" w:hint="cs"/>
          <w:sz w:val="18"/>
          <w:szCs w:val="18"/>
          <w:rtl/>
        </w:rPr>
        <w:t>כיון</w:t>
      </w:r>
      <w:r w:rsidRPr="00FC5A1E">
        <w:rPr>
          <w:rFonts w:cs="Arial"/>
          <w:sz w:val="18"/>
          <w:szCs w:val="18"/>
          <w:rtl/>
        </w:rPr>
        <w:t xml:space="preserve"> </w:t>
      </w:r>
      <w:r w:rsidRPr="00FC5A1E">
        <w:rPr>
          <w:rFonts w:cs="Arial" w:hint="cs"/>
          <w:sz w:val="18"/>
          <w:szCs w:val="18"/>
          <w:rtl/>
        </w:rPr>
        <w:t>דמתייחד</w:t>
      </w:r>
      <w:r w:rsidRPr="00FC5A1E">
        <w:rPr>
          <w:rFonts w:cs="Arial"/>
          <w:sz w:val="18"/>
          <w:szCs w:val="18"/>
          <w:rtl/>
        </w:rPr>
        <w:t xml:space="preserve"> </w:t>
      </w:r>
      <w:r w:rsidRPr="00FC5A1E">
        <w:rPr>
          <w:rFonts w:cs="Arial" w:hint="cs"/>
          <w:sz w:val="18"/>
          <w:szCs w:val="18"/>
          <w:rtl/>
        </w:rPr>
        <w:t>עמה</w:t>
      </w:r>
      <w:r w:rsidRPr="00FC5A1E">
        <w:rPr>
          <w:rFonts w:cs="Arial"/>
          <w:sz w:val="18"/>
          <w:szCs w:val="18"/>
          <w:rtl/>
        </w:rPr>
        <w:t xml:space="preserve"> </w:t>
      </w:r>
      <w:r w:rsidRPr="00FC5A1E">
        <w:rPr>
          <w:rFonts w:cs="Arial" w:hint="cs"/>
          <w:sz w:val="18"/>
          <w:szCs w:val="18"/>
          <w:rtl/>
        </w:rPr>
        <w:t>ודאי</w:t>
      </w:r>
      <w:r w:rsidRPr="00FC5A1E">
        <w:rPr>
          <w:rFonts w:cs="Arial"/>
          <w:sz w:val="18"/>
          <w:szCs w:val="18"/>
          <w:rtl/>
        </w:rPr>
        <w:t xml:space="preserve"> </w:t>
      </w:r>
      <w:r w:rsidRPr="00FC5A1E">
        <w:rPr>
          <w:rFonts w:cs="Arial" w:hint="cs"/>
          <w:sz w:val="18"/>
          <w:szCs w:val="18"/>
          <w:rtl/>
        </w:rPr>
        <w:t>בא</w:t>
      </w:r>
      <w:r w:rsidRPr="00FC5A1E">
        <w:rPr>
          <w:rFonts w:cs="Arial"/>
          <w:sz w:val="18"/>
          <w:szCs w:val="18"/>
          <w:rtl/>
        </w:rPr>
        <w:t xml:space="preserve"> </w:t>
      </w:r>
      <w:r w:rsidRPr="00FC5A1E">
        <w:rPr>
          <w:rFonts w:cs="Arial" w:hint="cs"/>
          <w:sz w:val="18"/>
          <w:szCs w:val="18"/>
          <w:rtl/>
        </w:rPr>
        <w:t>עליה</w:t>
      </w:r>
      <w:r w:rsidRPr="00FC5A1E">
        <w:rPr>
          <w:rFonts w:cs="Arial"/>
          <w:sz w:val="18"/>
          <w:szCs w:val="18"/>
          <w:rtl/>
        </w:rPr>
        <w:t xml:space="preserve"> </w:t>
      </w:r>
      <w:r w:rsidRPr="00FC5A1E">
        <w:rPr>
          <w:rFonts w:cs="Arial" w:hint="cs"/>
          <w:sz w:val="18"/>
          <w:szCs w:val="18"/>
          <w:rtl/>
        </w:rPr>
        <w:t>דלא</w:t>
      </w:r>
      <w:r w:rsidRPr="00FC5A1E">
        <w:rPr>
          <w:rFonts w:cs="Arial"/>
          <w:sz w:val="18"/>
          <w:szCs w:val="18"/>
          <w:rtl/>
        </w:rPr>
        <w:t xml:space="preserve"> </w:t>
      </w:r>
      <w:r w:rsidRPr="00FC5A1E">
        <w:rPr>
          <w:rFonts w:cs="Arial" w:hint="cs"/>
          <w:sz w:val="18"/>
          <w:szCs w:val="18"/>
          <w:rtl/>
        </w:rPr>
        <w:t>מוקי</w:t>
      </w:r>
      <w:r w:rsidRPr="00FC5A1E">
        <w:rPr>
          <w:rFonts w:cs="Arial"/>
          <w:sz w:val="18"/>
          <w:szCs w:val="18"/>
          <w:rtl/>
        </w:rPr>
        <w:t xml:space="preserve"> </w:t>
      </w:r>
      <w:r w:rsidRPr="00FC5A1E">
        <w:rPr>
          <w:rFonts w:cs="Arial" w:hint="cs"/>
          <w:sz w:val="18"/>
          <w:szCs w:val="18"/>
          <w:rtl/>
        </w:rPr>
        <w:t>איניש</w:t>
      </w:r>
      <w:r w:rsidRPr="00FC5A1E">
        <w:rPr>
          <w:rFonts w:cs="Arial"/>
          <w:sz w:val="18"/>
          <w:szCs w:val="18"/>
          <w:rtl/>
        </w:rPr>
        <w:t xml:space="preserve"> </w:t>
      </w:r>
      <w:r w:rsidRPr="00FC5A1E">
        <w:rPr>
          <w:rFonts w:cs="Arial" w:hint="cs"/>
          <w:sz w:val="18"/>
          <w:szCs w:val="18"/>
          <w:rtl/>
        </w:rPr>
        <w:t>אנפשיה.</w:t>
      </w:r>
      <w:r w:rsidRPr="00FC5A1E">
        <w:rPr>
          <w:rFonts w:cs="Arial"/>
          <w:sz w:val="18"/>
          <w:szCs w:val="18"/>
          <w:rtl/>
        </w:rPr>
        <w:t xml:space="preserve"> </w:t>
      </w:r>
      <w:r w:rsidRPr="00FC5A1E">
        <w:rPr>
          <w:rFonts w:cs="Arial" w:hint="cs"/>
          <w:sz w:val="18"/>
          <w:szCs w:val="18"/>
          <w:rtl/>
        </w:rPr>
        <w:t>ואף</w:t>
      </w:r>
      <w:r w:rsidRPr="00FC5A1E">
        <w:rPr>
          <w:rFonts w:cs="Arial"/>
          <w:sz w:val="18"/>
          <w:szCs w:val="18"/>
          <w:rtl/>
        </w:rPr>
        <w:t xml:space="preserve"> </w:t>
      </w:r>
      <w:r w:rsidRPr="00FC5A1E">
        <w:rPr>
          <w:rFonts w:cs="Arial" w:hint="cs"/>
          <w:sz w:val="18"/>
          <w:szCs w:val="18"/>
          <w:rtl/>
        </w:rPr>
        <w:t>על</w:t>
      </w:r>
      <w:r w:rsidRPr="00FC5A1E">
        <w:rPr>
          <w:rFonts w:cs="Arial"/>
          <w:sz w:val="18"/>
          <w:szCs w:val="18"/>
          <w:rtl/>
        </w:rPr>
        <w:t xml:space="preserve"> </w:t>
      </w:r>
      <w:r w:rsidRPr="00FC5A1E">
        <w:rPr>
          <w:rFonts w:cs="Arial" w:hint="cs"/>
          <w:sz w:val="18"/>
          <w:szCs w:val="18"/>
          <w:rtl/>
        </w:rPr>
        <w:t>גב</w:t>
      </w:r>
      <w:r w:rsidRPr="00FC5A1E">
        <w:rPr>
          <w:rFonts w:cs="Arial"/>
          <w:sz w:val="18"/>
          <w:szCs w:val="18"/>
          <w:rtl/>
        </w:rPr>
        <w:t xml:space="preserve"> </w:t>
      </w:r>
      <w:r w:rsidRPr="00FC5A1E">
        <w:rPr>
          <w:rFonts w:cs="Arial" w:hint="cs"/>
          <w:sz w:val="18"/>
          <w:szCs w:val="18"/>
          <w:rtl/>
        </w:rPr>
        <w:t>דגבי</w:t>
      </w:r>
      <w:r w:rsidRPr="00FC5A1E">
        <w:rPr>
          <w:rFonts w:cs="Arial"/>
          <w:sz w:val="18"/>
          <w:szCs w:val="18"/>
          <w:rtl/>
        </w:rPr>
        <w:t xml:space="preserve"> </w:t>
      </w:r>
      <w:r w:rsidRPr="00FC5A1E">
        <w:rPr>
          <w:rFonts w:cs="Arial" w:hint="cs"/>
          <w:sz w:val="18"/>
          <w:szCs w:val="18"/>
          <w:rtl/>
        </w:rPr>
        <w:t>יבמה</w:t>
      </w:r>
      <w:r w:rsidRPr="00FC5A1E">
        <w:rPr>
          <w:rFonts w:cs="Arial"/>
          <w:sz w:val="18"/>
          <w:szCs w:val="18"/>
          <w:rtl/>
        </w:rPr>
        <w:t xml:space="preserve"> </w:t>
      </w:r>
      <w:r w:rsidRPr="00FC5A1E">
        <w:rPr>
          <w:rFonts w:cs="Arial" w:hint="cs"/>
          <w:sz w:val="18"/>
          <w:szCs w:val="18"/>
          <w:rtl/>
        </w:rPr>
        <w:t>אמרינן</w:t>
      </w:r>
      <w:r w:rsidRPr="00FC5A1E">
        <w:rPr>
          <w:rFonts w:cs="Arial"/>
          <w:sz w:val="18"/>
          <w:szCs w:val="18"/>
          <w:rtl/>
        </w:rPr>
        <w:t xml:space="preserve"> </w:t>
      </w:r>
      <w:r w:rsidRPr="00FC5A1E">
        <w:rPr>
          <w:rFonts w:cs="Arial" w:hint="cs"/>
          <w:sz w:val="18"/>
          <w:szCs w:val="18"/>
          <w:rtl/>
        </w:rPr>
        <w:t>דעד</w:t>
      </w:r>
      <w:r w:rsidRPr="00FC5A1E">
        <w:rPr>
          <w:rFonts w:cs="Arial"/>
          <w:sz w:val="18"/>
          <w:szCs w:val="18"/>
          <w:rtl/>
        </w:rPr>
        <w:t xml:space="preserve"> </w:t>
      </w:r>
      <w:r w:rsidRPr="00FC5A1E">
        <w:rPr>
          <w:rFonts w:cs="Arial" w:hint="cs"/>
          <w:sz w:val="18"/>
          <w:szCs w:val="18"/>
          <w:rtl/>
        </w:rPr>
        <w:t>ל</w:t>
      </w:r>
      <w:r w:rsidRPr="00FC5A1E">
        <w:rPr>
          <w:rFonts w:cs="Arial"/>
          <w:sz w:val="18"/>
          <w:szCs w:val="18"/>
          <w:rtl/>
        </w:rPr>
        <w:t xml:space="preserve">' </w:t>
      </w:r>
      <w:r w:rsidRPr="00FC5A1E">
        <w:rPr>
          <w:rFonts w:cs="Arial" w:hint="cs"/>
          <w:sz w:val="18"/>
          <w:szCs w:val="18"/>
          <w:rtl/>
        </w:rPr>
        <w:t>יום</w:t>
      </w:r>
      <w:r w:rsidRPr="00FC5A1E">
        <w:rPr>
          <w:rFonts w:cs="Arial"/>
          <w:sz w:val="18"/>
          <w:szCs w:val="18"/>
          <w:rtl/>
        </w:rPr>
        <w:t xml:space="preserve"> </w:t>
      </w:r>
      <w:r w:rsidRPr="00FC5A1E">
        <w:rPr>
          <w:rFonts w:cs="Arial" w:hint="cs"/>
          <w:sz w:val="18"/>
          <w:szCs w:val="18"/>
          <w:rtl/>
        </w:rPr>
        <w:t>מוקי</w:t>
      </w:r>
      <w:r w:rsidRPr="00FC5A1E">
        <w:rPr>
          <w:rFonts w:cs="Arial"/>
          <w:sz w:val="18"/>
          <w:szCs w:val="18"/>
          <w:rtl/>
        </w:rPr>
        <w:t xml:space="preserve"> </w:t>
      </w:r>
      <w:r w:rsidRPr="00FC5A1E">
        <w:rPr>
          <w:rFonts w:cs="Arial" w:hint="cs"/>
          <w:sz w:val="18"/>
          <w:szCs w:val="18"/>
          <w:rtl/>
        </w:rPr>
        <w:t>אנפשיה,</w:t>
      </w:r>
      <w:r w:rsidRPr="00FC5A1E">
        <w:rPr>
          <w:rFonts w:cs="Arial"/>
          <w:sz w:val="18"/>
          <w:szCs w:val="18"/>
          <w:rtl/>
        </w:rPr>
        <w:t xml:space="preserve"> </w:t>
      </w:r>
      <w:r w:rsidRPr="00FC5A1E">
        <w:rPr>
          <w:rFonts w:cs="Arial" w:hint="cs"/>
          <w:sz w:val="18"/>
          <w:szCs w:val="18"/>
          <w:rtl/>
        </w:rPr>
        <w:t>רוב</w:t>
      </w:r>
      <w:r w:rsidRPr="00FC5A1E">
        <w:rPr>
          <w:rFonts w:cs="Arial"/>
          <w:sz w:val="18"/>
          <w:szCs w:val="18"/>
          <w:rtl/>
        </w:rPr>
        <w:t xml:space="preserve"> </w:t>
      </w:r>
      <w:r w:rsidRPr="00FC5A1E">
        <w:rPr>
          <w:rFonts w:cs="Arial" w:hint="cs"/>
          <w:sz w:val="18"/>
          <w:szCs w:val="18"/>
          <w:rtl/>
        </w:rPr>
        <w:t>פעמים</w:t>
      </w:r>
      <w:r w:rsidRPr="00FC5A1E">
        <w:rPr>
          <w:rFonts w:cs="Arial"/>
          <w:sz w:val="18"/>
          <w:szCs w:val="18"/>
          <w:rtl/>
        </w:rPr>
        <w:t xml:space="preserve"> </w:t>
      </w:r>
      <w:r w:rsidRPr="00FC5A1E">
        <w:rPr>
          <w:rFonts w:cs="Arial" w:hint="cs"/>
          <w:sz w:val="18"/>
          <w:szCs w:val="18"/>
          <w:rtl/>
        </w:rPr>
        <w:t>לא</w:t>
      </w:r>
      <w:r w:rsidRPr="00FC5A1E">
        <w:rPr>
          <w:rFonts w:cs="Arial"/>
          <w:sz w:val="18"/>
          <w:szCs w:val="18"/>
          <w:rtl/>
        </w:rPr>
        <w:t xml:space="preserve"> </w:t>
      </w:r>
      <w:r w:rsidRPr="00FC5A1E">
        <w:rPr>
          <w:rFonts w:cs="Arial" w:hint="cs"/>
          <w:sz w:val="18"/>
          <w:szCs w:val="18"/>
          <w:rtl/>
        </w:rPr>
        <w:t>מוקי</w:t>
      </w:r>
      <w:r w:rsidRPr="00FC5A1E">
        <w:rPr>
          <w:rFonts w:cs="Arial"/>
          <w:sz w:val="18"/>
          <w:szCs w:val="18"/>
          <w:rtl/>
        </w:rPr>
        <w:t xml:space="preserve"> </w:t>
      </w:r>
      <w:r w:rsidRPr="00FC5A1E">
        <w:rPr>
          <w:rFonts w:cs="Arial" w:hint="cs"/>
          <w:sz w:val="18"/>
          <w:szCs w:val="18"/>
          <w:rtl/>
        </w:rPr>
        <w:t>אנפשיה</w:t>
      </w:r>
      <w:r w:rsidRPr="00FC5A1E">
        <w:rPr>
          <w:rFonts w:cs="Arial"/>
          <w:sz w:val="18"/>
          <w:szCs w:val="18"/>
          <w:rtl/>
        </w:rPr>
        <w:t xml:space="preserve"> </w:t>
      </w:r>
      <w:r w:rsidRPr="00FC5A1E">
        <w:rPr>
          <w:rFonts w:cs="Arial" w:hint="cs"/>
          <w:sz w:val="18"/>
          <w:szCs w:val="18"/>
          <w:rtl/>
        </w:rPr>
        <w:t>אפי</w:t>
      </w:r>
      <w:r w:rsidRPr="00FC5A1E">
        <w:rPr>
          <w:rFonts w:cs="Arial"/>
          <w:sz w:val="18"/>
          <w:szCs w:val="18"/>
          <w:rtl/>
        </w:rPr>
        <w:t xml:space="preserve">' </w:t>
      </w:r>
      <w:r w:rsidRPr="00FC5A1E">
        <w:rPr>
          <w:rFonts w:cs="Arial" w:hint="cs"/>
          <w:sz w:val="18"/>
          <w:szCs w:val="18"/>
          <w:rtl/>
        </w:rPr>
        <w:t>שעה</w:t>
      </w:r>
      <w:r w:rsidRPr="00FC5A1E">
        <w:rPr>
          <w:rFonts w:cs="Arial"/>
          <w:sz w:val="18"/>
          <w:szCs w:val="18"/>
          <w:rtl/>
        </w:rPr>
        <w:t xml:space="preserve"> </w:t>
      </w:r>
      <w:r w:rsidRPr="00FC5A1E">
        <w:rPr>
          <w:rFonts w:cs="Arial" w:hint="cs"/>
          <w:sz w:val="18"/>
          <w:szCs w:val="18"/>
          <w:rtl/>
        </w:rPr>
        <w:t>אחת,</w:t>
      </w:r>
      <w:r w:rsidRPr="00FC5A1E">
        <w:rPr>
          <w:rFonts w:cs="Arial"/>
          <w:sz w:val="18"/>
          <w:szCs w:val="18"/>
          <w:rtl/>
        </w:rPr>
        <w:t xml:space="preserve"> </w:t>
      </w:r>
      <w:r w:rsidRPr="00FC5A1E">
        <w:rPr>
          <w:rFonts w:cs="Arial" w:hint="cs"/>
          <w:sz w:val="18"/>
          <w:szCs w:val="18"/>
          <w:rtl/>
        </w:rPr>
        <w:t>דעל</w:t>
      </w:r>
      <w:r w:rsidRPr="00FC5A1E">
        <w:rPr>
          <w:rFonts w:cs="Arial"/>
          <w:sz w:val="18"/>
          <w:szCs w:val="18"/>
          <w:rtl/>
        </w:rPr>
        <w:t xml:space="preserve"> </w:t>
      </w:r>
      <w:r w:rsidRPr="00FC5A1E">
        <w:rPr>
          <w:rFonts w:cs="Arial" w:hint="cs"/>
          <w:sz w:val="18"/>
          <w:szCs w:val="18"/>
          <w:rtl/>
        </w:rPr>
        <w:t>דעת</w:t>
      </w:r>
      <w:r w:rsidRPr="00FC5A1E">
        <w:rPr>
          <w:rFonts w:cs="Arial"/>
          <w:sz w:val="18"/>
          <w:szCs w:val="18"/>
          <w:rtl/>
        </w:rPr>
        <w:t xml:space="preserve"> </w:t>
      </w:r>
      <w:r w:rsidRPr="00FC5A1E">
        <w:rPr>
          <w:rFonts w:cs="Arial" w:hint="cs"/>
          <w:sz w:val="18"/>
          <w:szCs w:val="18"/>
          <w:rtl/>
        </w:rPr>
        <w:t>כן</w:t>
      </w:r>
      <w:r w:rsidRPr="00FC5A1E">
        <w:rPr>
          <w:rFonts w:cs="Arial"/>
          <w:sz w:val="18"/>
          <w:szCs w:val="18"/>
          <w:rtl/>
        </w:rPr>
        <w:t xml:space="preserve"> </w:t>
      </w:r>
      <w:r w:rsidRPr="00FC5A1E">
        <w:rPr>
          <w:rFonts w:cs="Arial" w:hint="cs"/>
          <w:sz w:val="18"/>
          <w:szCs w:val="18"/>
          <w:rtl/>
        </w:rPr>
        <w:t>מתייחד</w:t>
      </w:r>
      <w:r w:rsidRPr="00FC5A1E">
        <w:rPr>
          <w:rFonts w:cs="Arial"/>
          <w:sz w:val="18"/>
          <w:szCs w:val="18"/>
          <w:rtl/>
        </w:rPr>
        <w:t xml:space="preserve"> </w:t>
      </w:r>
      <w:r w:rsidRPr="00FC5A1E">
        <w:rPr>
          <w:rFonts w:cs="Arial" w:hint="cs"/>
          <w:sz w:val="18"/>
          <w:szCs w:val="18"/>
          <w:rtl/>
        </w:rPr>
        <w:t>עמה</w:t>
      </w:r>
      <w:r w:rsidRPr="00FC5A1E">
        <w:rPr>
          <w:rFonts w:cs="Arial"/>
          <w:sz w:val="18"/>
          <w:szCs w:val="18"/>
          <w:rtl/>
        </w:rPr>
        <w:t xml:space="preserve"> </w:t>
      </w:r>
      <w:r w:rsidRPr="00FC5A1E">
        <w:rPr>
          <w:rFonts w:cs="Arial" w:hint="cs"/>
          <w:sz w:val="18"/>
          <w:szCs w:val="18"/>
          <w:rtl/>
        </w:rPr>
        <w:t>ואיתרע</w:t>
      </w:r>
      <w:r w:rsidRPr="00FC5A1E">
        <w:rPr>
          <w:rFonts w:cs="Arial"/>
          <w:sz w:val="18"/>
          <w:szCs w:val="18"/>
          <w:rtl/>
        </w:rPr>
        <w:t xml:space="preserve"> </w:t>
      </w:r>
      <w:r w:rsidRPr="00FC5A1E">
        <w:rPr>
          <w:rFonts w:cs="Arial" w:hint="cs"/>
          <w:sz w:val="18"/>
          <w:szCs w:val="18"/>
          <w:rtl/>
        </w:rPr>
        <w:t>חזקה"</w:t>
      </w:r>
      <w:r w:rsidRPr="00FC5A1E">
        <w:rPr>
          <w:rFonts w:cs="Arial"/>
          <w:sz w:val="18"/>
          <w:szCs w:val="18"/>
          <w:rtl/>
        </w:rPr>
        <w:t>.</w:t>
      </w:r>
    </w:p>
  </w:footnote>
  <w:footnote w:id="386">
    <w:p w:rsidR="005953C5" w:rsidRDefault="005953C5" w:rsidP="00620060">
      <w:pPr>
        <w:pStyle w:val="a3"/>
      </w:pPr>
      <w:r w:rsidRPr="005B0967">
        <w:rPr>
          <w:rStyle w:val="a5"/>
          <w:sz w:val="18"/>
          <w:szCs w:val="18"/>
        </w:rPr>
        <w:footnoteRef/>
      </w:r>
      <w:r w:rsidRPr="005B0967">
        <w:rPr>
          <w:sz w:val="18"/>
          <w:szCs w:val="18"/>
          <w:rtl/>
        </w:rPr>
        <w:t xml:space="preserve"> </w:t>
      </w:r>
      <w:r w:rsidRPr="005B0967">
        <w:rPr>
          <w:rFonts w:hint="cs"/>
          <w:sz w:val="18"/>
          <w:szCs w:val="18"/>
          <w:rtl/>
        </w:rPr>
        <w:t xml:space="preserve">אך הביא תחילה את </w:t>
      </w:r>
      <w:r w:rsidRPr="005B0967">
        <w:rPr>
          <w:rFonts w:hint="cs"/>
          <w:b/>
          <w:bCs/>
          <w:sz w:val="18"/>
          <w:szCs w:val="18"/>
          <w:rtl/>
        </w:rPr>
        <w:t>מהרש"ל</w:t>
      </w:r>
      <w:r w:rsidRPr="005B0967">
        <w:rPr>
          <w:rFonts w:hint="cs"/>
          <w:sz w:val="18"/>
          <w:szCs w:val="18"/>
          <w:rtl/>
        </w:rPr>
        <w:t xml:space="preserve"> המחמיר מכוח דיוק בסוגייה, אלא שלפי גרסתנו אין דיוק זה מוכרח.</w:t>
      </w:r>
      <w:r>
        <w:rPr>
          <w:rtl/>
        </w:rPr>
        <w:br/>
      </w:r>
      <w:r w:rsidRPr="00E1309F">
        <w:rPr>
          <w:rFonts w:hint="cs"/>
          <w:sz w:val="18"/>
          <w:szCs w:val="18"/>
          <w:rtl/>
        </w:rPr>
        <w:t xml:space="preserve">וכן </w:t>
      </w:r>
      <w:r w:rsidRPr="00E1309F">
        <w:rPr>
          <w:rFonts w:hint="cs"/>
          <w:b/>
          <w:bCs/>
          <w:sz w:val="18"/>
          <w:szCs w:val="18"/>
          <w:rtl/>
        </w:rPr>
        <w:t>ששבה"ל</w:t>
      </w:r>
      <w:r w:rsidRPr="00E1309F">
        <w:rPr>
          <w:rFonts w:hint="cs"/>
          <w:sz w:val="18"/>
          <w:szCs w:val="18"/>
          <w:rtl/>
        </w:rPr>
        <w:t xml:space="preserve"> </w:t>
      </w:r>
      <w:r w:rsidRPr="00E1309F">
        <w:rPr>
          <w:rFonts w:hint="cs"/>
          <w:sz w:val="16"/>
          <w:szCs w:val="16"/>
          <w:rtl/>
        </w:rPr>
        <w:t xml:space="preserve">(אות ג) </w:t>
      </w:r>
      <w:r w:rsidRPr="00E1309F">
        <w:rPr>
          <w:rFonts w:hint="cs"/>
          <w:sz w:val="18"/>
          <w:szCs w:val="18"/>
          <w:rtl/>
        </w:rPr>
        <w:t>החמיר מעט בדין זה, וכתב שלמרות שהחתן הערה בכלתו צריכים שמירה אחת. דהיינו שאין צריך שתי שמירות אלא כל אחד יישן בחדרו והיא תנעל את עצמה בחדרה.</w:t>
      </w:r>
    </w:p>
  </w:footnote>
  <w:footnote w:id="387">
    <w:p w:rsidR="005953C5" w:rsidRDefault="005953C5" w:rsidP="00620060">
      <w:pPr>
        <w:pStyle w:val="a3"/>
      </w:pPr>
      <w:r w:rsidRPr="00E03901">
        <w:rPr>
          <w:rStyle w:val="a5"/>
          <w:sz w:val="18"/>
          <w:szCs w:val="18"/>
        </w:rPr>
        <w:footnoteRef/>
      </w:r>
      <w:r w:rsidRPr="00E03901">
        <w:rPr>
          <w:sz w:val="18"/>
          <w:szCs w:val="18"/>
          <w:rtl/>
        </w:rPr>
        <w:t xml:space="preserve"> </w:t>
      </w:r>
      <w:r w:rsidRPr="00E03901">
        <w:rPr>
          <w:rFonts w:hint="cs"/>
          <w:sz w:val="18"/>
          <w:szCs w:val="18"/>
          <w:rtl/>
        </w:rPr>
        <w:t>מה ההוה אמינא להפרישם, הרי כיוון שבעל אותה לא תקיף יצריה ומותר להתייחד!</w:t>
      </w:r>
      <w:r w:rsidRPr="00E03901">
        <w:rPr>
          <w:rFonts w:hint="cs"/>
          <w:sz w:val="18"/>
          <w:szCs w:val="18"/>
          <w:rtl/>
        </w:rPr>
        <w:br/>
      </w:r>
      <w:r w:rsidRPr="0020354D">
        <w:rPr>
          <w:rFonts w:hint="cs"/>
          <w:b/>
          <w:bCs/>
          <w:sz w:val="18"/>
          <w:szCs w:val="18"/>
          <w:rtl/>
        </w:rPr>
        <w:t>ששבה"ל</w:t>
      </w:r>
      <w:r w:rsidRPr="00E03901">
        <w:rPr>
          <w:rFonts w:hint="cs"/>
          <w:sz w:val="18"/>
          <w:szCs w:val="18"/>
          <w:rtl/>
        </w:rPr>
        <w:t xml:space="preserve"> </w:t>
      </w:r>
      <w:r w:rsidRPr="00E03901">
        <w:rPr>
          <w:sz w:val="18"/>
          <w:szCs w:val="18"/>
          <w:rtl/>
        </w:rPr>
        <w:t>–</w:t>
      </w:r>
      <w:r w:rsidRPr="00E03901">
        <w:rPr>
          <w:rFonts w:hint="cs"/>
          <w:sz w:val="18"/>
          <w:szCs w:val="18"/>
          <w:rtl/>
        </w:rPr>
        <w:t xml:space="preserve"> כוונת </w:t>
      </w:r>
      <w:r w:rsidRPr="0020354D">
        <w:rPr>
          <w:rFonts w:hint="cs"/>
          <w:b/>
          <w:bCs/>
          <w:sz w:val="18"/>
          <w:szCs w:val="18"/>
          <w:rtl/>
        </w:rPr>
        <w:t>הט"ז</w:t>
      </w:r>
      <w:r w:rsidRPr="00E03901">
        <w:rPr>
          <w:rFonts w:hint="cs"/>
          <w:sz w:val="18"/>
          <w:szCs w:val="18"/>
          <w:rtl/>
        </w:rPr>
        <w:t xml:space="preserve"> שאין להפרישם כדי להבחין בין זרע כשר לזרע פסול (</w:t>
      </w:r>
      <w:r w:rsidRPr="00E03901">
        <w:rPr>
          <w:rFonts w:hint="cs"/>
          <w:sz w:val="16"/>
          <w:szCs w:val="16"/>
          <w:rtl/>
        </w:rPr>
        <w:t>עיין לקמן סימן קצו' סקי"א בט"ז שאיש הבועל אשתו נידה צריך לפרוש צ' יום כדי להבחין בין זרע כשר לפסול)</w:t>
      </w:r>
      <w:r w:rsidRPr="00E03901">
        <w:rPr>
          <w:rFonts w:hint="cs"/>
          <w:sz w:val="18"/>
          <w:szCs w:val="18"/>
          <w:rtl/>
        </w:rPr>
        <w:t>. והטעם לכך הוא, משום שזהו איסור דרבנן בלבד.</w:t>
      </w:r>
    </w:p>
  </w:footnote>
  <w:footnote w:id="388">
    <w:p w:rsidR="005953C5" w:rsidRPr="004D210E" w:rsidRDefault="005953C5" w:rsidP="00620060">
      <w:pPr>
        <w:pStyle w:val="a3"/>
        <w:rPr>
          <w:sz w:val="18"/>
          <w:szCs w:val="18"/>
        </w:rPr>
      </w:pPr>
      <w:r w:rsidRPr="004D210E">
        <w:rPr>
          <w:rStyle w:val="a5"/>
          <w:sz w:val="18"/>
          <w:szCs w:val="18"/>
        </w:rPr>
        <w:footnoteRef/>
      </w:r>
      <w:r w:rsidRPr="004D210E">
        <w:rPr>
          <w:sz w:val="18"/>
          <w:szCs w:val="18"/>
          <w:rtl/>
        </w:rPr>
        <w:t xml:space="preserve"> </w:t>
      </w:r>
      <w:r w:rsidRPr="004D210E">
        <w:rPr>
          <w:rFonts w:hint="cs"/>
          <w:sz w:val="18"/>
          <w:szCs w:val="18"/>
          <w:u w:val="single"/>
          <w:rtl/>
        </w:rPr>
        <w:t>ביאור</w:t>
      </w:r>
      <w:r w:rsidRPr="004D210E">
        <w:rPr>
          <w:rFonts w:hint="cs"/>
          <w:sz w:val="18"/>
          <w:szCs w:val="18"/>
          <w:rtl/>
        </w:rPr>
        <w:t xml:space="preserve"> </w:t>
      </w:r>
      <w:r w:rsidRPr="004D210E">
        <w:rPr>
          <w:sz w:val="18"/>
          <w:szCs w:val="18"/>
          <w:rtl/>
        </w:rPr>
        <w:t>–</w:t>
      </w:r>
      <w:r w:rsidRPr="004D210E">
        <w:rPr>
          <w:rFonts w:hint="cs"/>
          <w:sz w:val="18"/>
          <w:szCs w:val="18"/>
          <w:rtl/>
        </w:rPr>
        <w:t xml:space="preserve"> הספק הקודם בגמרא היה לעניין תוספת כתובה, כך מוכח מהת"ש שמביאה הגמרא לפשוט את הבעיא הקודמת "</w:t>
      </w:r>
      <w:r w:rsidRPr="004D210E">
        <w:rPr>
          <w:rFonts w:cs="Arial" w:hint="cs"/>
          <w:sz w:val="18"/>
          <w:szCs w:val="18"/>
          <w:rtl/>
        </w:rPr>
        <w:t>תא</w:t>
      </w:r>
      <w:r w:rsidRPr="004D210E">
        <w:rPr>
          <w:rFonts w:cs="Arial"/>
          <w:sz w:val="18"/>
          <w:szCs w:val="18"/>
          <w:rtl/>
        </w:rPr>
        <w:t xml:space="preserve"> </w:t>
      </w:r>
      <w:r w:rsidRPr="004D210E">
        <w:rPr>
          <w:rFonts w:cs="Arial" w:hint="cs"/>
          <w:sz w:val="18"/>
          <w:szCs w:val="18"/>
          <w:rtl/>
        </w:rPr>
        <w:t>שמע</w:t>
      </w:r>
      <w:r w:rsidRPr="004D210E">
        <w:rPr>
          <w:rFonts w:cs="Arial"/>
          <w:sz w:val="18"/>
          <w:szCs w:val="18"/>
          <w:rtl/>
        </w:rPr>
        <w:t xml:space="preserve">, </w:t>
      </w:r>
      <w:r w:rsidRPr="004D210E">
        <w:rPr>
          <w:rFonts w:cs="Arial" w:hint="cs"/>
          <w:sz w:val="18"/>
          <w:szCs w:val="18"/>
          <w:rtl/>
        </w:rPr>
        <w:t>דתני</w:t>
      </w:r>
      <w:r w:rsidRPr="004D210E">
        <w:rPr>
          <w:rFonts w:cs="Arial"/>
          <w:sz w:val="18"/>
          <w:szCs w:val="18"/>
          <w:rtl/>
        </w:rPr>
        <w:t xml:space="preserve"> </w:t>
      </w:r>
      <w:r w:rsidRPr="004D210E">
        <w:rPr>
          <w:rFonts w:cs="Arial" w:hint="cs"/>
          <w:sz w:val="18"/>
          <w:szCs w:val="18"/>
          <w:rtl/>
        </w:rPr>
        <w:t>רב</w:t>
      </w:r>
      <w:r w:rsidRPr="004D210E">
        <w:rPr>
          <w:rFonts w:cs="Arial"/>
          <w:sz w:val="18"/>
          <w:szCs w:val="18"/>
          <w:rtl/>
        </w:rPr>
        <w:t xml:space="preserve"> </w:t>
      </w:r>
      <w:r w:rsidRPr="004D210E">
        <w:rPr>
          <w:rFonts w:cs="Arial" w:hint="cs"/>
          <w:sz w:val="18"/>
          <w:szCs w:val="18"/>
          <w:rtl/>
        </w:rPr>
        <w:t>יוסף</w:t>
      </w:r>
      <w:r w:rsidRPr="004D210E">
        <w:rPr>
          <w:rFonts w:cs="Arial"/>
          <w:sz w:val="18"/>
          <w:szCs w:val="18"/>
          <w:rtl/>
        </w:rPr>
        <w:t xml:space="preserve">: </w:t>
      </w:r>
      <w:r w:rsidRPr="004D210E">
        <w:rPr>
          <w:rFonts w:cs="Arial" w:hint="cs"/>
          <w:sz w:val="18"/>
          <w:szCs w:val="18"/>
          <w:rtl/>
        </w:rPr>
        <w:t>שלא</w:t>
      </w:r>
      <w:r w:rsidRPr="004D210E">
        <w:rPr>
          <w:rFonts w:cs="Arial"/>
          <w:sz w:val="18"/>
          <w:szCs w:val="18"/>
          <w:rtl/>
        </w:rPr>
        <w:t xml:space="preserve"> </w:t>
      </w:r>
      <w:r w:rsidRPr="004D210E">
        <w:rPr>
          <w:rFonts w:cs="Arial" w:hint="cs"/>
          <w:sz w:val="18"/>
          <w:szCs w:val="18"/>
          <w:rtl/>
        </w:rPr>
        <w:t>כתב</w:t>
      </w:r>
      <w:r w:rsidRPr="004D210E">
        <w:rPr>
          <w:rFonts w:cs="Arial"/>
          <w:sz w:val="18"/>
          <w:szCs w:val="18"/>
          <w:rtl/>
        </w:rPr>
        <w:t xml:space="preserve"> </w:t>
      </w:r>
      <w:r w:rsidRPr="004D210E">
        <w:rPr>
          <w:rFonts w:cs="Arial" w:hint="cs"/>
          <w:sz w:val="18"/>
          <w:szCs w:val="18"/>
          <w:rtl/>
        </w:rPr>
        <w:t>לה</w:t>
      </w:r>
      <w:r w:rsidRPr="004D210E">
        <w:rPr>
          <w:rFonts w:cs="Arial"/>
          <w:sz w:val="18"/>
          <w:szCs w:val="18"/>
          <w:rtl/>
        </w:rPr>
        <w:t xml:space="preserve"> </w:t>
      </w:r>
      <w:r w:rsidRPr="004D210E">
        <w:rPr>
          <w:rFonts w:cs="Arial" w:hint="cs"/>
          <w:sz w:val="18"/>
          <w:szCs w:val="18"/>
          <w:rtl/>
        </w:rPr>
        <w:t>אלא</w:t>
      </w:r>
      <w:r w:rsidRPr="004D210E">
        <w:rPr>
          <w:rFonts w:cs="Arial"/>
          <w:sz w:val="18"/>
          <w:szCs w:val="18"/>
          <w:rtl/>
        </w:rPr>
        <w:t xml:space="preserve"> </w:t>
      </w:r>
      <w:r w:rsidRPr="004D210E">
        <w:rPr>
          <w:rFonts w:cs="Arial" w:hint="cs"/>
          <w:sz w:val="18"/>
          <w:szCs w:val="18"/>
          <w:rtl/>
        </w:rPr>
        <w:t>על</w:t>
      </w:r>
      <w:r w:rsidRPr="004D210E">
        <w:rPr>
          <w:rFonts w:cs="Arial"/>
          <w:sz w:val="18"/>
          <w:szCs w:val="18"/>
          <w:rtl/>
        </w:rPr>
        <w:t xml:space="preserve"> </w:t>
      </w:r>
      <w:r w:rsidRPr="004D210E">
        <w:rPr>
          <w:rFonts w:cs="Arial" w:hint="cs"/>
          <w:sz w:val="18"/>
          <w:szCs w:val="18"/>
          <w:rtl/>
        </w:rPr>
        <w:t>חיבת</w:t>
      </w:r>
      <w:r w:rsidRPr="004D210E">
        <w:rPr>
          <w:rFonts w:cs="Arial"/>
          <w:sz w:val="18"/>
          <w:szCs w:val="18"/>
          <w:rtl/>
        </w:rPr>
        <w:t xml:space="preserve"> </w:t>
      </w:r>
      <w:r w:rsidRPr="004D210E">
        <w:rPr>
          <w:rFonts w:cs="Arial" w:hint="cs"/>
          <w:sz w:val="18"/>
          <w:szCs w:val="18"/>
          <w:rtl/>
        </w:rPr>
        <w:t>לילה</w:t>
      </w:r>
      <w:r w:rsidRPr="004D210E">
        <w:rPr>
          <w:rFonts w:cs="Arial"/>
          <w:sz w:val="18"/>
          <w:szCs w:val="18"/>
          <w:rtl/>
        </w:rPr>
        <w:t xml:space="preserve"> </w:t>
      </w:r>
      <w:r w:rsidRPr="004D210E">
        <w:rPr>
          <w:rFonts w:cs="Arial" w:hint="cs"/>
          <w:sz w:val="18"/>
          <w:szCs w:val="18"/>
          <w:rtl/>
        </w:rPr>
        <w:t>הראשון</w:t>
      </w:r>
      <w:r w:rsidRPr="004D210E">
        <w:rPr>
          <w:rFonts w:cs="Arial"/>
          <w:sz w:val="18"/>
          <w:szCs w:val="18"/>
          <w:rtl/>
        </w:rPr>
        <w:t xml:space="preserve">; </w:t>
      </w:r>
      <w:r w:rsidRPr="004D210E">
        <w:rPr>
          <w:rFonts w:cs="Arial" w:hint="cs"/>
          <w:sz w:val="18"/>
          <w:szCs w:val="18"/>
          <w:rtl/>
        </w:rPr>
        <w:t>אי</w:t>
      </w:r>
      <w:r w:rsidRPr="004D210E">
        <w:rPr>
          <w:rFonts w:cs="Arial"/>
          <w:sz w:val="18"/>
          <w:szCs w:val="18"/>
          <w:rtl/>
        </w:rPr>
        <w:t xml:space="preserve"> </w:t>
      </w:r>
      <w:r w:rsidRPr="004D210E">
        <w:rPr>
          <w:rFonts w:cs="Arial" w:hint="cs"/>
          <w:sz w:val="18"/>
          <w:szCs w:val="18"/>
          <w:rtl/>
        </w:rPr>
        <w:t>אמרת</w:t>
      </w:r>
      <w:r w:rsidRPr="004D210E">
        <w:rPr>
          <w:rFonts w:cs="Arial"/>
          <w:sz w:val="18"/>
          <w:szCs w:val="18"/>
          <w:rtl/>
        </w:rPr>
        <w:t xml:space="preserve"> </w:t>
      </w:r>
      <w:r w:rsidRPr="004D210E">
        <w:rPr>
          <w:rFonts w:cs="Arial" w:hint="cs"/>
          <w:sz w:val="18"/>
          <w:szCs w:val="18"/>
          <w:rtl/>
        </w:rPr>
        <w:t>בשלמא</w:t>
      </w:r>
      <w:r w:rsidRPr="004D210E">
        <w:rPr>
          <w:rFonts w:cs="Arial"/>
          <w:sz w:val="18"/>
          <w:szCs w:val="18"/>
          <w:rtl/>
        </w:rPr>
        <w:t xml:space="preserve"> </w:t>
      </w:r>
      <w:r w:rsidRPr="004D210E">
        <w:rPr>
          <w:rFonts w:cs="Arial" w:hint="cs"/>
          <w:sz w:val="18"/>
          <w:szCs w:val="18"/>
          <w:rtl/>
        </w:rPr>
        <w:t>חיבת</w:t>
      </w:r>
      <w:r w:rsidRPr="004D210E">
        <w:rPr>
          <w:rFonts w:cs="Arial"/>
          <w:sz w:val="18"/>
          <w:szCs w:val="18"/>
          <w:rtl/>
        </w:rPr>
        <w:t xml:space="preserve"> </w:t>
      </w:r>
      <w:r w:rsidRPr="004D210E">
        <w:rPr>
          <w:rFonts w:cs="Arial" w:hint="cs"/>
          <w:sz w:val="18"/>
          <w:szCs w:val="18"/>
          <w:rtl/>
        </w:rPr>
        <w:t>חופה</w:t>
      </w:r>
      <w:r w:rsidRPr="004D210E">
        <w:rPr>
          <w:rFonts w:cs="Arial"/>
          <w:sz w:val="18"/>
          <w:szCs w:val="18"/>
          <w:rtl/>
        </w:rPr>
        <w:t xml:space="preserve"> </w:t>
      </w:r>
      <w:r w:rsidRPr="004D210E">
        <w:rPr>
          <w:rFonts w:cs="Arial" w:hint="cs"/>
          <w:sz w:val="18"/>
          <w:szCs w:val="18"/>
          <w:rtl/>
        </w:rPr>
        <w:t>קונה</w:t>
      </w:r>
      <w:r w:rsidRPr="004D210E">
        <w:rPr>
          <w:rFonts w:cs="Arial"/>
          <w:sz w:val="18"/>
          <w:szCs w:val="18"/>
          <w:rtl/>
        </w:rPr>
        <w:t xml:space="preserve">, </w:t>
      </w:r>
      <w:r w:rsidRPr="004D210E">
        <w:rPr>
          <w:rFonts w:cs="Arial" w:hint="cs"/>
          <w:sz w:val="18"/>
          <w:szCs w:val="18"/>
          <w:rtl/>
        </w:rPr>
        <w:t>היינו</w:t>
      </w:r>
      <w:r w:rsidRPr="004D210E">
        <w:rPr>
          <w:rFonts w:cs="Arial"/>
          <w:sz w:val="18"/>
          <w:szCs w:val="18"/>
          <w:rtl/>
        </w:rPr>
        <w:t xml:space="preserve"> </w:t>
      </w:r>
      <w:r w:rsidRPr="004D210E">
        <w:rPr>
          <w:rFonts w:cs="Arial" w:hint="cs"/>
          <w:sz w:val="18"/>
          <w:szCs w:val="18"/>
          <w:rtl/>
        </w:rPr>
        <w:t>דאמר</w:t>
      </w:r>
      <w:r w:rsidRPr="004D210E">
        <w:rPr>
          <w:rFonts w:cs="Arial"/>
          <w:sz w:val="18"/>
          <w:szCs w:val="18"/>
          <w:rtl/>
        </w:rPr>
        <w:t xml:space="preserve"> </w:t>
      </w:r>
      <w:r w:rsidRPr="004D210E">
        <w:rPr>
          <w:rFonts w:cs="Arial" w:hint="cs"/>
          <w:sz w:val="18"/>
          <w:szCs w:val="18"/>
          <w:rtl/>
        </w:rPr>
        <w:t>לילה</w:t>
      </w:r>
      <w:r w:rsidRPr="004D210E">
        <w:rPr>
          <w:rFonts w:cs="Arial"/>
          <w:sz w:val="18"/>
          <w:szCs w:val="18"/>
          <w:rtl/>
        </w:rPr>
        <w:t xml:space="preserve"> </w:t>
      </w:r>
      <w:r w:rsidRPr="004D210E">
        <w:rPr>
          <w:rFonts w:cs="Arial" w:hint="cs"/>
          <w:sz w:val="18"/>
          <w:szCs w:val="18"/>
          <w:rtl/>
        </w:rPr>
        <w:t>הראשון</w:t>
      </w:r>
      <w:r w:rsidRPr="004D210E">
        <w:rPr>
          <w:rFonts w:cs="Arial"/>
          <w:sz w:val="18"/>
          <w:szCs w:val="18"/>
          <w:rtl/>
        </w:rPr>
        <w:t xml:space="preserve">, </w:t>
      </w:r>
      <w:r w:rsidRPr="004D210E">
        <w:rPr>
          <w:rFonts w:cs="Arial" w:hint="cs"/>
          <w:sz w:val="18"/>
          <w:szCs w:val="18"/>
          <w:rtl/>
        </w:rPr>
        <w:t>אלא</w:t>
      </w:r>
      <w:r w:rsidRPr="004D210E">
        <w:rPr>
          <w:rFonts w:cs="Arial"/>
          <w:sz w:val="18"/>
          <w:szCs w:val="18"/>
          <w:rtl/>
        </w:rPr>
        <w:t xml:space="preserve"> </w:t>
      </w:r>
      <w:r w:rsidRPr="004D210E">
        <w:rPr>
          <w:rFonts w:cs="Arial" w:hint="cs"/>
          <w:sz w:val="18"/>
          <w:szCs w:val="18"/>
          <w:rtl/>
        </w:rPr>
        <w:t>אי</w:t>
      </w:r>
      <w:r w:rsidRPr="004D210E">
        <w:rPr>
          <w:rFonts w:cs="Arial"/>
          <w:sz w:val="18"/>
          <w:szCs w:val="18"/>
          <w:rtl/>
        </w:rPr>
        <w:t xml:space="preserve"> </w:t>
      </w:r>
      <w:r w:rsidRPr="004D210E">
        <w:rPr>
          <w:rFonts w:cs="Arial" w:hint="cs"/>
          <w:sz w:val="18"/>
          <w:szCs w:val="18"/>
          <w:rtl/>
        </w:rPr>
        <w:t>אמרת</w:t>
      </w:r>
      <w:r w:rsidRPr="004D210E">
        <w:rPr>
          <w:rFonts w:cs="Arial"/>
          <w:sz w:val="18"/>
          <w:szCs w:val="18"/>
          <w:rtl/>
        </w:rPr>
        <w:t xml:space="preserve"> </w:t>
      </w:r>
      <w:r w:rsidRPr="004D210E">
        <w:rPr>
          <w:rFonts w:cs="Arial" w:hint="cs"/>
          <w:sz w:val="18"/>
          <w:szCs w:val="18"/>
          <w:rtl/>
        </w:rPr>
        <w:t>חיבת</w:t>
      </w:r>
      <w:r w:rsidRPr="004D210E">
        <w:rPr>
          <w:rFonts w:cs="Arial"/>
          <w:sz w:val="18"/>
          <w:szCs w:val="18"/>
          <w:rtl/>
        </w:rPr>
        <w:t xml:space="preserve"> </w:t>
      </w:r>
      <w:r w:rsidRPr="004D210E">
        <w:rPr>
          <w:rFonts w:cs="Arial" w:hint="cs"/>
          <w:sz w:val="18"/>
          <w:szCs w:val="18"/>
          <w:rtl/>
        </w:rPr>
        <w:t>ביאה</w:t>
      </w:r>
      <w:r w:rsidRPr="004D210E">
        <w:rPr>
          <w:rFonts w:cs="Arial"/>
          <w:sz w:val="18"/>
          <w:szCs w:val="18"/>
          <w:rtl/>
        </w:rPr>
        <w:t xml:space="preserve"> </w:t>
      </w:r>
      <w:r w:rsidRPr="004D210E">
        <w:rPr>
          <w:rFonts w:cs="Arial" w:hint="cs"/>
          <w:sz w:val="18"/>
          <w:szCs w:val="18"/>
          <w:rtl/>
        </w:rPr>
        <w:t>קונה</w:t>
      </w:r>
      <w:r w:rsidRPr="004D210E">
        <w:rPr>
          <w:rFonts w:cs="Arial"/>
          <w:sz w:val="18"/>
          <w:szCs w:val="18"/>
          <w:rtl/>
        </w:rPr>
        <w:t xml:space="preserve">, </w:t>
      </w:r>
      <w:r w:rsidRPr="004D210E">
        <w:rPr>
          <w:rFonts w:cs="Arial" w:hint="cs"/>
          <w:sz w:val="18"/>
          <w:szCs w:val="18"/>
          <w:rtl/>
        </w:rPr>
        <w:t>ביאה</w:t>
      </w:r>
      <w:r w:rsidRPr="004D210E">
        <w:rPr>
          <w:rFonts w:cs="Arial"/>
          <w:sz w:val="18"/>
          <w:szCs w:val="18"/>
          <w:rtl/>
        </w:rPr>
        <w:t xml:space="preserve"> </w:t>
      </w:r>
      <w:r w:rsidRPr="004D210E">
        <w:rPr>
          <w:rFonts w:cs="Arial" w:hint="cs"/>
          <w:sz w:val="18"/>
          <w:szCs w:val="18"/>
          <w:rtl/>
        </w:rPr>
        <w:t>בלילה</w:t>
      </w:r>
      <w:r w:rsidRPr="004D210E">
        <w:rPr>
          <w:rFonts w:cs="Arial"/>
          <w:sz w:val="18"/>
          <w:szCs w:val="18"/>
          <w:rtl/>
        </w:rPr>
        <w:t xml:space="preserve"> </w:t>
      </w:r>
      <w:r w:rsidRPr="004D210E">
        <w:rPr>
          <w:rFonts w:cs="Arial" w:hint="cs"/>
          <w:sz w:val="18"/>
          <w:szCs w:val="18"/>
          <w:rtl/>
        </w:rPr>
        <w:t>הראשון</w:t>
      </w:r>
      <w:r w:rsidRPr="004D210E">
        <w:rPr>
          <w:rFonts w:cs="Arial"/>
          <w:sz w:val="18"/>
          <w:szCs w:val="18"/>
          <w:rtl/>
        </w:rPr>
        <w:t xml:space="preserve"> </w:t>
      </w:r>
      <w:r w:rsidRPr="004D210E">
        <w:rPr>
          <w:rFonts w:cs="Arial" w:hint="cs"/>
          <w:sz w:val="18"/>
          <w:szCs w:val="18"/>
          <w:rtl/>
        </w:rPr>
        <w:t>איתא</w:t>
      </w:r>
      <w:r w:rsidRPr="004D210E">
        <w:rPr>
          <w:rFonts w:cs="Arial"/>
          <w:sz w:val="18"/>
          <w:szCs w:val="18"/>
          <w:rtl/>
        </w:rPr>
        <w:t xml:space="preserve">, </w:t>
      </w:r>
      <w:r w:rsidRPr="004D210E">
        <w:rPr>
          <w:rFonts w:cs="Arial" w:hint="cs"/>
          <w:sz w:val="18"/>
          <w:szCs w:val="18"/>
          <w:rtl/>
        </w:rPr>
        <w:t>מכאן</w:t>
      </w:r>
      <w:r w:rsidRPr="004D210E">
        <w:rPr>
          <w:rFonts w:cs="Arial"/>
          <w:sz w:val="18"/>
          <w:szCs w:val="18"/>
          <w:rtl/>
        </w:rPr>
        <w:t xml:space="preserve"> </w:t>
      </w:r>
      <w:r w:rsidRPr="004D210E">
        <w:rPr>
          <w:rFonts w:cs="Arial" w:hint="cs"/>
          <w:sz w:val="18"/>
          <w:szCs w:val="18"/>
          <w:rtl/>
        </w:rPr>
        <w:t>ואילך</w:t>
      </w:r>
      <w:r w:rsidRPr="004D210E">
        <w:rPr>
          <w:rFonts w:cs="Arial"/>
          <w:sz w:val="18"/>
          <w:szCs w:val="18"/>
          <w:rtl/>
        </w:rPr>
        <w:t xml:space="preserve"> </w:t>
      </w:r>
      <w:r w:rsidRPr="004D210E">
        <w:rPr>
          <w:rFonts w:cs="Arial" w:hint="cs"/>
          <w:sz w:val="18"/>
          <w:szCs w:val="18"/>
          <w:rtl/>
        </w:rPr>
        <w:t>ליתא</w:t>
      </w:r>
      <w:r w:rsidRPr="004D210E">
        <w:rPr>
          <w:rFonts w:cs="Arial"/>
          <w:sz w:val="18"/>
          <w:szCs w:val="18"/>
          <w:rtl/>
        </w:rPr>
        <w:t>?</w:t>
      </w:r>
      <w:r w:rsidRPr="004D210E">
        <w:rPr>
          <w:rFonts w:cs="Arial" w:hint="cs"/>
          <w:sz w:val="18"/>
          <w:szCs w:val="18"/>
          <w:rtl/>
        </w:rPr>
        <w:t>". הרא"ש מסיק מסמיכות הבעיות שהנושא שלהן הוא אותו נושא, וכפי שהבעיא הראשונה איירי לעניין תוספת כתובה, כך יש להבין גם את הבעיא השנייה.</w:t>
      </w:r>
    </w:p>
  </w:footnote>
  <w:footnote w:id="389">
    <w:p w:rsidR="005953C5" w:rsidRPr="004D210E" w:rsidRDefault="005953C5" w:rsidP="00620060">
      <w:pPr>
        <w:pStyle w:val="a3"/>
        <w:rPr>
          <w:sz w:val="18"/>
          <w:szCs w:val="18"/>
        </w:rPr>
      </w:pPr>
      <w:r w:rsidRPr="004D210E">
        <w:rPr>
          <w:rStyle w:val="a5"/>
          <w:sz w:val="18"/>
          <w:szCs w:val="18"/>
        </w:rPr>
        <w:footnoteRef/>
      </w:r>
      <w:r w:rsidRPr="004D210E">
        <w:rPr>
          <w:sz w:val="18"/>
          <w:szCs w:val="18"/>
          <w:rtl/>
        </w:rPr>
        <w:t xml:space="preserve"> </w:t>
      </w:r>
      <w:r w:rsidRPr="004D210E">
        <w:rPr>
          <w:rFonts w:hint="cs"/>
          <w:b/>
          <w:bCs/>
          <w:sz w:val="18"/>
          <w:szCs w:val="18"/>
          <w:rtl/>
        </w:rPr>
        <w:t>ב"ש</w:t>
      </w:r>
      <w:r w:rsidRPr="004D210E">
        <w:rPr>
          <w:rFonts w:hint="cs"/>
          <w:sz w:val="18"/>
          <w:szCs w:val="18"/>
          <w:rtl/>
        </w:rPr>
        <w:t xml:space="preserve"> </w:t>
      </w:r>
      <w:r w:rsidRPr="004D210E">
        <w:rPr>
          <w:sz w:val="18"/>
          <w:szCs w:val="18"/>
          <w:rtl/>
        </w:rPr>
        <w:t>–</w:t>
      </w:r>
      <w:r w:rsidRPr="004D210E">
        <w:rPr>
          <w:rFonts w:hint="cs"/>
          <w:sz w:val="18"/>
          <w:szCs w:val="18"/>
          <w:rtl/>
        </w:rPr>
        <w:t xml:space="preserve"> לשיטת הרמב"ם שחופה היא ייחוד, יש לעיין מאי מיבעיא ליה לגמרא מה הדין בחופת נידה, הרי אינו יכול להתייחד עמה וכיצד יקנה אותה ע"י חופת איסור?</w:t>
      </w:r>
      <w:r w:rsidRPr="004D210E">
        <w:rPr>
          <w:sz w:val="18"/>
          <w:szCs w:val="18"/>
          <w:rtl/>
        </w:rPr>
        <w:br/>
      </w:r>
      <w:r w:rsidRPr="004D210E">
        <w:rPr>
          <w:rFonts w:hint="cs"/>
          <w:sz w:val="18"/>
          <w:szCs w:val="18"/>
          <w:rtl/>
        </w:rPr>
        <w:t xml:space="preserve">ויש לומר </w:t>
      </w:r>
      <w:r w:rsidRPr="004D210E">
        <w:rPr>
          <w:sz w:val="18"/>
          <w:szCs w:val="18"/>
          <w:rtl/>
        </w:rPr>
        <w:t>–</w:t>
      </w:r>
      <w:r w:rsidRPr="004D210E">
        <w:rPr>
          <w:rFonts w:hint="cs"/>
          <w:sz w:val="18"/>
          <w:szCs w:val="18"/>
          <w:rtl/>
        </w:rPr>
        <w:t xml:space="preserve"> מדובר שפירסה נידה לאחר החופה, כשיטת המרדכי לקמן, ודלא כרא"ש.</w:t>
      </w:r>
      <w:r w:rsidRPr="004D210E">
        <w:rPr>
          <w:sz w:val="18"/>
          <w:szCs w:val="18"/>
          <w:rtl/>
        </w:rPr>
        <w:br/>
      </w:r>
      <w:r w:rsidRPr="004D210E">
        <w:rPr>
          <w:rFonts w:hint="cs"/>
          <w:sz w:val="18"/>
          <w:szCs w:val="18"/>
          <w:rtl/>
        </w:rPr>
        <w:t xml:space="preserve">ועוד יש לומר </w:t>
      </w:r>
      <w:r w:rsidRPr="004D210E">
        <w:rPr>
          <w:sz w:val="18"/>
          <w:szCs w:val="18"/>
          <w:rtl/>
        </w:rPr>
        <w:t>–</w:t>
      </w:r>
      <w:r w:rsidRPr="004D210E">
        <w:rPr>
          <w:rFonts w:hint="cs"/>
          <w:sz w:val="18"/>
          <w:szCs w:val="18"/>
          <w:rtl/>
        </w:rPr>
        <w:t xml:space="preserve"> מדובר שקידש אותה בביאה, ולכן מותר להתייחד עמה, כפי שנאמר בגמרא ריש כתובות.</w:t>
      </w:r>
    </w:p>
  </w:footnote>
  <w:footnote w:id="390">
    <w:p w:rsidR="005953C5" w:rsidRDefault="005953C5" w:rsidP="00620060">
      <w:pPr>
        <w:pStyle w:val="a3"/>
        <w:rPr>
          <w:rtl/>
        </w:rPr>
      </w:pPr>
      <w:r>
        <w:rPr>
          <w:rStyle w:val="a5"/>
        </w:rPr>
        <w:footnoteRef/>
      </w:r>
      <w:r>
        <w:rPr>
          <w:rtl/>
        </w:rPr>
        <w:t xml:space="preserve"> </w:t>
      </w:r>
      <w:r w:rsidRPr="00F64C02">
        <w:rPr>
          <w:rFonts w:hint="cs"/>
          <w:sz w:val="18"/>
          <w:szCs w:val="18"/>
          <w:rtl/>
        </w:rPr>
        <w:t>ולמרות שפשטו את הבעיא הקודמת שחיבת חופה קונה אף ללא ביאה, מכל מקום יש לומר שחיבת חופה דחזיא לביאה קונה, א</w:t>
      </w:r>
      <w:r>
        <w:rPr>
          <w:rFonts w:hint="cs"/>
          <w:sz w:val="18"/>
          <w:szCs w:val="18"/>
          <w:rtl/>
        </w:rPr>
        <w:t>ך</w:t>
      </w:r>
      <w:r w:rsidRPr="00F64C02">
        <w:rPr>
          <w:rFonts w:hint="cs"/>
          <w:sz w:val="18"/>
          <w:szCs w:val="18"/>
          <w:rtl/>
        </w:rPr>
        <w:t xml:space="preserve"> חופה שאינה ראויה לביאה שמא אינה קונה.</w:t>
      </w:r>
    </w:p>
  </w:footnote>
  <w:footnote w:id="391">
    <w:p w:rsidR="005953C5" w:rsidRPr="004D210E" w:rsidRDefault="005953C5" w:rsidP="00620060">
      <w:pPr>
        <w:pStyle w:val="a3"/>
        <w:rPr>
          <w:sz w:val="18"/>
          <w:szCs w:val="18"/>
          <w:rtl/>
        </w:rPr>
      </w:pPr>
      <w:r w:rsidRPr="004D210E">
        <w:rPr>
          <w:rStyle w:val="a5"/>
          <w:sz w:val="18"/>
          <w:szCs w:val="18"/>
        </w:rPr>
        <w:footnoteRef/>
      </w:r>
      <w:r w:rsidRPr="004D210E">
        <w:rPr>
          <w:sz w:val="18"/>
          <w:szCs w:val="18"/>
          <w:rtl/>
        </w:rPr>
        <w:t xml:space="preserve"> </w:t>
      </w:r>
      <w:r w:rsidRPr="004D210E">
        <w:rPr>
          <w:rFonts w:hint="cs"/>
          <w:sz w:val="18"/>
          <w:szCs w:val="18"/>
          <w:rtl/>
        </w:rPr>
        <w:t>אמנם, לכאורה נראה שיש לדחות ראיה זו, כיוון שבחופת פסולות דעתו לבוא עליה מייד ולכן קונה, אך בחופת נידה אין דעתו לבוא עליה ולכן יש לומר שאינה קונה! אך מדברי הר"ן נראה שאינו מחלק בהכי, אלא העיקר הוא האם החופה ראויה בעצם לביאה.</w:t>
      </w:r>
    </w:p>
  </w:footnote>
  <w:footnote w:id="392">
    <w:p w:rsidR="005953C5" w:rsidRDefault="005953C5" w:rsidP="00620060">
      <w:pPr>
        <w:pStyle w:val="a3"/>
      </w:pPr>
      <w:r w:rsidRPr="00BA7085">
        <w:rPr>
          <w:rStyle w:val="a5"/>
          <w:sz w:val="18"/>
          <w:szCs w:val="18"/>
        </w:rPr>
        <w:footnoteRef/>
      </w:r>
      <w:r w:rsidRPr="00BA7085">
        <w:rPr>
          <w:sz w:val="18"/>
          <w:szCs w:val="18"/>
          <w:rtl/>
        </w:rPr>
        <w:t xml:space="preserve"> </w:t>
      </w:r>
      <w:r w:rsidRPr="00BA7085">
        <w:rPr>
          <w:rFonts w:hint="cs"/>
          <w:sz w:val="18"/>
          <w:szCs w:val="18"/>
          <w:rtl/>
        </w:rPr>
        <w:t xml:space="preserve">ומפרש </w:t>
      </w:r>
      <w:r w:rsidRPr="00BA7085">
        <w:rPr>
          <w:rFonts w:hint="cs"/>
          <w:b/>
          <w:bCs/>
          <w:sz w:val="18"/>
          <w:szCs w:val="18"/>
          <w:rtl/>
        </w:rPr>
        <w:t>הבית יוסף</w:t>
      </w:r>
      <w:r w:rsidRPr="00BA7085">
        <w:rPr>
          <w:rFonts w:hint="cs"/>
          <w:sz w:val="18"/>
          <w:szCs w:val="18"/>
          <w:rtl/>
        </w:rPr>
        <w:t xml:space="preserve"> בשני אופנים - </w:t>
      </w:r>
      <w:r w:rsidRPr="00BA7085">
        <w:rPr>
          <w:sz w:val="18"/>
          <w:szCs w:val="18"/>
          <w:rtl/>
        </w:rPr>
        <w:br/>
      </w:r>
      <w:r w:rsidRPr="00BA7085">
        <w:rPr>
          <w:rFonts w:hint="cs"/>
          <w:sz w:val="18"/>
          <w:szCs w:val="18"/>
          <w:rtl/>
        </w:rPr>
        <w:t>א. יפרוש לפני השרת בתולים.</w:t>
      </w:r>
      <w:r w:rsidRPr="00BA7085">
        <w:rPr>
          <w:sz w:val="18"/>
          <w:szCs w:val="18"/>
          <w:rtl/>
        </w:rPr>
        <w:br/>
      </w:r>
      <w:r w:rsidRPr="00BA7085">
        <w:rPr>
          <w:rFonts w:hint="cs"/>
          <w:sz w:val="18"/>
          <w:szCs w:val="18"/>
          <w:rtl/>
        </w:rPr>
        <w:t>ב. יימנע לגמרי מקיום מצוות פר"ו.</w:t>
      </w:r>
    </w:p>
  </w:footnote>
  <w:footnote w:id="393">
    <w:p w:rsidR="005953C5" w:rsidRDefault="005953C5" w:rsidP="00620060">
      <w:pPr>
        <w:pStyle w:val="a3"/>
        <w:rPr>
          <w:rtl/>
        </w:rPr>
      </w:pPr>
      <w:r w:rsidRPr="00223320">
        <w:rPr>
          <w:rStyle w:val="a5"/>
          <w:sz w:val="18"/>
          <w:szCs w:val="18"/>
        </w:rPr>
        <w:footnoteRef/>
      </w:r>
      <w:r w:rsidRPr="00223320">
        <w:rPr>
          <w:sz w:val="18"/>
          <w:szCs w:val="18"/>
          <w:rtl/>
        </w:rPr>
        <w:t xml:space="preserve"> </w:t>
      </w:r>
      <w:r w:rsidRPr="00223320">
        <w:rPr>
          <w:rFonts w:hint="cs"/>
          <w:sz w:val="18"/>
          <w:szCs w:val="18"/>
          <w:rtl/>
        </w:rPr>
        <w:t xml:space="preserve">אמנם, תירוץ זה קשה </w:t>
      </w:r>
      <w:r w:rsidRPr="00223320">
        <w:rPr>
          <w:sz w:val="18"/>
          <w:szCs w:val="18"/>
          <w:rtl/>
        </w:rPr>
        <w:t>–</w:t>
      </w:r>
      <w:r w:rsidRPr="00223320">
        <w:rPr>
          <w:rFonts w:hint="cs"/>
          <w:sz w:val="18"/>
          <w:szCs w:val="18"/>
          <w:rtl/>
        </w:rPr>
        <w:t xml:space="preserve"> משמע לפי"ז שתולים דם רק במכה שאינה עוברת, אך במכה עוברת אין תולים דם משום שהמכה אינה יכולה לאסור אותה על בעלה עולמית. ברם, מדברי הפוסקים בסימן קפז' לא משמע שחילקו כך!</w:t>
      </w:r>
      <w:r>
        <w:rPr>
          <w:rFonts w:hint="cs"/>
          <w:rtl/>
        </w:rPr>
        <w:t xml:space="preserve"> </w:t>
      </w:r>
      <w:r w:rsidRPr="00D97637">
        <w:rPr>
          <w:rFonts w:hint="cs"/>
          <w:sz w:val="18"/>
          <w:szCs w:val="18"/>
          <w:rtl/>
        </w:rPr>
        <w:t xml:space="preserve">כך הקשה </w:t>
      </w:r>
      <w:r w:rsidRPr="00D97637">
        <w:rPr>
          <w:rFonts w:hint="cs"/>
          <w:b/>
          <w:bCs/>
          <w:sz w:val="18"/>
          <w:szCs w:val="18"/>
          <w:rtl/>
        </w:rPr>
        <w:t>הסדרי טהרה</w:t>
      </w:r>
      <w:r w:rsidRPr="00D97637">
        <w:rPr>
          <w:rFonts w:hint="cs"/>
          <w:sz w:val="18"/>
          <w:szCs w:val="18"/>
          <w:rtl/>
        </w:rPr>
        <w:t xml:space="preserve">, </w:t>
      </w:r>
      <w:r w:rsidRPr="00D97637">
        <w:rPr>
          <w:rFonts w:hint="cs"/>
          <w:b/>
          <w:bCs/>
          <w:sz w:val="18"/>
          <w:szCs w:val="18"/>
          <w:rtl/>
        </w:rPr>
        <w:t>והאג"מ</w:t>
      </w:r>
      <w:r w:rsidRPr="00D97637">
        <w:rPr>
          <w:rFonts w:hint="cs"/>
          <w:sz w:val="18"/>
          <w:szCs w:val="18"/>
          <w:rtl/>
        </w:rPr>
        <w:t xml:space="preserve"> </w:t>
      </w:r>
      <w:r w:rsidRPr="00D97637">
        <w:rPr>
          <w:rFonts w:hint="cs"/>
          <w:sz w:val="16"/>
          <w:szCs w:val="16"/>
          <w:rtl/>
        </w:rPr>
        <w:t xml:space="preserve">(חלק א' סימן פז') </w:t>
      </w:r>
      <w:r w:rsidRPr="00D97637">
        <w:rPr>
          <w:rFonts w:hint="cs"/>
          <w:sz w:val="18"/>
          <w:szCs w:val="18"/>
          <w:rtl/>
        </w:rPr>
        <w:t>מיישבו, עיי"ש.</w:t>
      </w:r>
    </w:p>
  </w:footnote>
  <w:footnote w:id="394">
    <w:p w:rsidR="005953C5" w:rsidRDefault="005953C5" w:rsidP="00620060">
      <w:pPr>
        <w:pStyle w:val="a3"/>
        <w:rPr>
          <w:rtl/>
        </w:rPr>
      </w:pPr>
      <w:r w:rsidRPr="00ED43B4">
        <w:rPr>
          <w:rStyle w:val="a5"/>
          <w:sz w:val="18"/>
          <w:szCs w:val="18"/>
        </w:rPr>
        <w:footnoteRef/>
      </w:r>
      <w:r w:rsidRPr="00ED43B4">
        <w:rPr>
          <w:sz w:val="18"/>
          <w:szCs w:val="18"/>
          <w:rtl/>
        </w:rPr>
        <w:t xml:space="preserve"> </w:t>
      </w:r>
      <w:r w:rsidRPr="00ED43B4">
        <w:rPr>
          <w:rFonts w:hint="cs"/>
          <w:sz w:val="18"/>
          <w:szCs w:val="18"/>
          <w:rtl/>
        </w:rPr>
        <w:t xml:space="preserve">דברי </w:t>
      </w:r>
      <w:r w:rsidRPr="00633F23">
        <w:rPr>
          <w:rFonts w:hint="cs"/>
          <w:b/>
          <w:bCs/>
          <w:sz w:val="18"/>
          <w:szCs w:val="18"/>
          <w:rtl/>
        </w:rPr>
        <w:t>הרא"ש</w:t>
      </w:r>
      <w:r w:rsidRPr="00ED43B4">
        <w:rPr>
          <w:rFonts w:hint="cs"/>
          <w:sz w:val="18"/>
          <w:szCs w:val="18"/>
          <w:rtl/>
        </w:rPr>
        <w:t xml:space="preserve"> מסתייעים גם מסיפור המסופר בגמרא (סה.) </w:t>
      </w:r>
      <w:r w:rsidRPr="00ED43B4">
        <w:rPr>
          <w:sz w:val="18"/>
          <w:szCs w:val="18"/>
          <w:rtl/>
        </w:rPr>
        <w:t>–</w:t>
      </w:r>
      <w:r w:rsidRPr="00ED43B4">
        <w:rPr>
          <w:rFonts w:hint="cs"/>
          <w:sz w:val="18"/>
          <w:szCs w:val="18"/>
          <w:rtl/>
        </w:rPr>
        <w:t xml:space="preserve"> </w:t>
      </w:r>
      <w:r>
        <w:rPr>
          <w:rtl/>
        </w:rPr>
        <w:br/>
      </w:r>
      <w:r w:rsidRPr="00ED43B4">
        <w:rPr>
          <w:rFonts w:hint="cs"/>
          <w:sz w:val="18"/>
          <w:szCs w:val="18"/>
          <w:rtl/>
        </w:rPr>
        <w:t>"</w:t>
      </w:r>
      <w:r w:rsidRPr="00ED43B4">
        <w:rPr>
          <w:rFonts w:cs="Arial" w:hint="cs"/>
          <w:sz w:val="18"/>
          <w:szCs w:val="18"/>
          <w:rtl/>
        </w:rPr>
        <w:t>מנימין</w:t>
      </w:r>
      <w:r w:rsidRPr="00ED43B4">
        <w:rPr>
          <w:rFonts w:cs="Arial"/>
          <w:sz w:val="18"/>
          <w:szCs w:val="18"/>
          <w:rtl/>
        </w:rPr>
        <w:t xml:space="preserve"> </w:t>
      </w:r>
      <w:r w:rsidRPr="00ED43B4">
        <w:rPr>
          <w:rFonts w:cs="Arial" w:hint="cs"/>
          <w:sz w:val="18"/>
          <w:szCs w:val="18"/>
          <w:rtl/>
        </w:rPr>
        <w:t>סקסנאה</w:t>
      </w:r>
      <w:r w:rsidRPr="00ED43B4">
        <w:rPr>
          <w:rFonts w:cs="Arial"/>
          <w:sz w:val="18"/>
          <w:szCs w:val="18"/>
          <w:rtl/>
        </w:rPr>
        <w:t xml:space="preserve"> </w:t>
      </w:r>
      <w:r w:rsidRPr="00ED43B4">
        <w:rPr>
          <w:rFonts w:cs="Arial" w:hint="cs"/>
          <w:sz w:val="18"/>
          <w:szCs w:val="18"/>
          <w:rtl/>
        </w:rPr>
        <w:t>הוה</w:t>
      </w:r>
      <w:r w:rsidRPr="00ED43B4">
        <w:rPr>
          <w:rFonts w:cs="Arial"/>
          <w:sz w:val="18"/>
          <w:szCs w:val="18"/>
          <w:rtl/>
        </w:rPr>
        <w:t xml:space="preserve"> </w:t>
      </w:r>
      <w:r w:rsidRPr="00ED43B4">
        <w:rPr>
          <w:rFonts w:cs="Arial" w:hint="cs"/>
          <w:sz w:val="18"/>
          <w:szCs w:val="18"/>
          <w:rtl/>
        </w:rPr>
        <w:t>שקיל</w:t>
      </w:r>
      <w:r w:rsidRPr="00ED43B4">
        <w:rPr>
          <w:rFonts w:cs="Arial"/>
          <w:sz w:val="18"/>
          <w:szCs w:val="18"/>
          <w:rtl/>
        </w:rPr>
        <w:t xml:space="preserve"> </w:t>
      </w:r>
      <w:r w:rsidRPr="00ED43B4">
        <w:rPr>
          <w:rFonts w:cs="Arial" w:hint="cs"/>
          <w:sz w:val="18"/>
          <w:szCs w:val="18"/>
          <w:rtl/>
        </w:rPr>
        <w:t>ואזיל</w:t>
      </w:r>
      <w:r w:rsidRPr="00ED43B4">
        <w:rPr>
          <w:rFonts w:cs="Arial"/>
          <w:sz w:val="18"/>
          <w:szCs w:val="18"/>
          <w:rtl/>
        </w:rPr>
        <w:t xml:space="preserve"> </w:t>
      </w:r>
      <w:r w:rsidRPr="00ED43B4">
        <w:rPr>
          <w:rFonts w:cs="Arial" w:hint="cs"/>
          <w:sz w:val="18"/>
          <w:szCs w:val="18"/>
          <w:rtl/>
        </w:rPr>
        <w:t>לאתריה</w:t>
      </w:r>
      <w:r w:rsidRPr="00ED43B4">
        <w:rPr>
          <w:rFonts w:cs="Arial"/>
          <w:sz w:val="18"/>
          <w:szCs w:val="18"/>
          <w:rtl/>
        </w:rPr>
        <w:t xml:space="preserve"> </w:t>
      </w:r>
      <w:r w:rsidRPr="00ED43B4">
        <w:rPr>
          <w:rFonts w:cs="Arial" w:hint="cs"/>
          <w:sz w:val="18"/>
          <w:szCs w:val="18"/>
          <w:rtl/>
        </w:rPr>
        <w:t>דשמואל</w:t>
      </w:r>
      <w:r w:rsidRPr="00ED43B4">
        <w:rPr>
          <w:rFonts w:cs="Arial"/>
          <w:sz w:val="18"/>
          <w:szCs w:val="18"/>
          <w:rtl/>
        </w:rPr>
        <w:t xml:space="preserve">, </w:t>
      </w:r>
      <w:r w:rsidRPr="00ED43B4">
        <w:rPr>
          <w:rFonts w:cs="Arial" w:hint="cs"/>
          <w:sz w:val="18"/>
          <w:szCs w:val="18"/>
          <w:rtl/>
        </w:rPr>
        <w:t>סבר</w:t>
      </w:r>
      <w:r w:rsidRPr="00ED43B4">
        <w:rPr>
          <w:rFonts w:cs="Arial"/>
          <w:sz w:val="18"/>
          <w:szCs w:val="18"/>
          <w:rtl/>
        </w:rPr>
        <w:t xml:space="preserve"> </w:t>
      </w:r>
      <w:r w:rsidRPr="00ED43B4">
        <w:rPr>
          <w:rFonts w:cs="Arial" w:hint="cs"/>
          <w:sz w:val="18"/>
          <w:szCs w:val="18"/>
          <w:rtl/>
        </w:rPr>
        <w:t>למעבד</w:t>
      </w:r>
      <w:r w:rsidRPr="00ED43B4">
        <w:rPr>
          <w:rFonts w:cs="Arial"/>
          <w:sz w:val="18"/>
          <w:szCs w:val="18"/>
          <w:rtl/>
        </w:rPr>
        <w:t xml:space="preserve"> </w:t>
      </w:r>
      <w:r w:rsidRPr="00ED43B4">
        <w:rPr>
          <w:rFonts w:cs="Arial" w:hint="cs"/>
          <w:sz w:val="18"/>
          <w:szCs w:val="18"/>
          <w:rtl/>
        </w:rPr>
        <w:t>עובדא</w:t>
      </w:r>
      <w:r w:rsidRPr="00ED43B4">
        <w:rPr>
          <w:rFonts w:cs="Arial"/>
          <w:sz w:val="18"/>
          <w:szCs w:val="18"/>
          <w:rtl/>
        </w:rPr>
        <w:t xml:space="preserve"> </w:t>
      </w:r>
      <w:r w:rsidRPr="00ED43B4">
        <w:rPr>
          <w:rFonts w:cs="Arial" w:hint="cs"/>
          <w:sz w:val="18"/>
          <w:szCs w:val="18"/>
          <w:rtl/>
        </w:rPr>
        <w:t>כוותיה</w:t>
      </w:r>
      <w:r w:rsidRPr="00ED43B4">
        <w:rPr>
          <w:rFonts w:cs="Arial"/>
          <w:sz w:val="18"/>
          <w:szCs w:val="18"/>
          <w:rtl/>
        </w:rPr>
        <w:t xml:space="preserve"> </w:t>
      </w:r>
      <w:r w:rsidRPr="00ED43B4">
        <w:rPr>
          <w:rFonts w:cs="Arial" w:hint="cs"/>
          <w:sz w:val="18"/>
          <w:szCs w:val="18"/>
          <w:rtl/>
        </w:rPr>
        <w:t>דרב</w:t>
      </w:r>
      <w:r w:rsidRPr="00ED43B4">
        <w:rPr>
          <w:rFonts w:cs="Arial"/>
          <w:sz w:val="18"/>
          <w:szCs w:val="18"/>
          <w:rtl/>
        </w:rPr>
        <w:t xml:space="preserve"> </w:t>
      </w:r>
      <w:r w:rsidRPr="00ED43B4">
        <w:rPr>
          <w:rFonts w:cs="Arial" w:hint="cs"/>
          <w:sz w:val="18"/>
          <w:szCs w:val="18"/>
          <w:rtl/>
        </w:rPr>
        <w:t>אפילו</w:t>
      </w:r>
      <w:r w:rsidRPr="00ED43B4">
        <w:rPr>
          <w:rFonts w:cs="Arial"/>
          <w:sz w:val="18"/>
          <w:szCs w:val="18"/>
          <w:rtl/>
        </w:rPr>
        <w:t xml:space="preserve"> </w:t>
      </w:r>
      <w:r w:rsidRPr="00ED43B4">
        <w:rPr>
          <w:rFonts w:cs="Arial" w:hint="cs"/>
          <w:sz w:val="18"/>
          <w:szCs w:val="18"/>
          <w:rtl/>
        </w:rPr>
        <w:t>ראתה</w:t>
      </w:r>
      <w:r w:rsidRPr="00ED43B4">
        <w:rPr>
          <w:rFonts w:cs="Arial"/>
          <w:sz w:val="18"/>
          <w:szCs w:val="18"/>
          <w:rtl/>
        </w:rPr>
        <w:t xml:space="preserve">. </w:t>
      </w:r>
      <w:r w:rsidRPr="00ED43B4">
        <w:rPr>
          <w:rFonts w:cs="Arial" w:hint="cs"/>
          <w:sz w:val="18"/>
          <w:szCs w:val="18"/>
          <w:rtl/>
        </w:rPr>
        <w:t>אמר</w:t>
      </w:r>
      <w:r w:rsidRPr="00ED43B4">
        <w:rPr>
          <w:rFonts w:cs="Arial"/>
          <w:sz w:val="18"/>
          <w:szCs w:val="18"/>
          <w:rtl/>
        </w:rPr>
        <w:t xml:space="preserve">: </w:t>
      </w:r>
      <w:r w:rsidRPr="00ED43B4">
        <w:rPr>
          <w:rFonts w:cs="Arial" w:hint="cs"/>
          <w:sz w:val="18"/>
          <w:szCs w:val="18"/>
          <w:rtl/>
        </w:rPr>
        <w:t>לא</w:t>
      </w:r>
      <w:r w:rsidRPr="00ED43B4">
        <w:rPr>
          <w:rFonts w:cs="Arial"/>
          <w:sz w:val="18"/>
          <w:szCs w:val="18"/>
          <w:rtl/>
        </w:rPr>
        <w:t xml:space="preserve"> </w:t>
      </w:r>
      <w:r w:rsidRPr="00ED43B4">
        <w:rPr>
          <w:rFonts w:cs="Arial" w:hint="cs"/>
          <w:sz w:val="18"/>
          <w:szCs w:val="18"/>
          <w:rtl/>
        </w:rPr>
        <w:t>פליג</w:t>
      </w:r>
      <w:r w:rsidRPr="00ED43B4">
        <w:rPr>
          <w:rFonts w:cs="Arial"/>
          <w:sz w:val="18"/>
          <w:szCs w:val="18"/>
          <w:rtl/>
        </w:rPr>
        <w:t xml:space="preserve"> </w:t>
      </w:r>
      <w:r w:rsidRPr="00ED43B4">
        <w:rPr>
          <w:rFonts w:cs="Arial" w:hint="cs"/>
          <w:sz w:val="18"/>
          <w:szCs w:val="18"/>
          <w:rtl/>
        </w:rPr>
        <w:t>רב</w:t>
      </w:r>
      <w:r w:rsidRPr="00ED43B4">
        <w:rPr>
          <w:rFonts w:cs="Arial"/>
          <w:sz w:val="18"/>
          <w:szCs w:val="18"/>
          <w:rtl/>
        </w:rPr>
        <w:t xml:space="preserve"> </w:t>
      </w:r>
      <w:r w:rsidRPr="00ED43B4">
        <w:rPr>
          <w:rFonts w:cs="Arial" w:hint="cs"/>
          <w:sz w:val="18"/>
          <w:szCs w:val="18"/>
          <w:rtl/>
        </w:rPr>
        <w:t>בין</w:t>
      </w:r>
      <w:r w:rsidRPr="00ED43B4">
        <w:rPr>
          <w:rFonts w:cs="Arial"/>
          <w:sz w:val="18"/>
          <w:szCs w:val="18"/>
          <w:rtl/>
        </w:rPr>
        <w:t xml:space="preserve"> </w:t>
      </w:r>
      <w:r w:rsidRPr="00ED43B4">
        <w:rPr>
          <w:rFonts w:cs="Arial" w:hint="cs"/>
          <w:sz w:val="18"/>
          <w:szCs w:val="18"/>
          <w:rtl/>
        </w:rPr>
        <w:t>ראתה</w:t>
      </w:r>
      <w:r w:rsidRPr="00ED43B4">
        <w:rPr>
          <w:rFonts w:cs="Arial"/>
          <w:sz w:val="18"/>
          <w:szCs w:val="18"/>
          <w:rtl/>
        </w:rPr>
        <w:t xml:space="preserve"> </w:t>
      </w:r>
      <w:r w:rsidRPr="00ED43B4">
        <w:rPr>
          <w:rFonts w:cs="Arial" w:hint="cs"/>
          <w:sz w:val="18"/>
          <w:szCs w:val="18"/>
          <w:rtl/>
        </w:rPr>
        <w:t>בין</w:t>
      </w:r>
      <w:r w:rsidRPr="00ED43B4">
        <w:rPr>
          <w:rFonts w:cs="Arial"/>
          <w:sz w:val="18"/>
          <w:szCs w:val="18"/>
          <w:rtl/>
        </w:rPr>
        <w:t xml:space="preserve"> </w:t>
      </w:r>
      <w:r w:rsidRPr="00ED43B4">
        <w:rPr>
          <w:rFonts w:cs="Arial" w:hint="cs"/>
          <w:sz w:val="18"/>
          <w:szCs w:val="18"/>
          <w:rtl/>
        </w:rPr>
        <w:t>לא</w:t>
      </w:r>
      <w:r w:rsidRPr="00ED43B4">
        <w:rPr>
          <w:rFonts w:cs="Arial"/>
          <w:sz w:val="18"/>
          <w:szCs w:val="18"/>
          <w:rtl/>
        </w:rPr>
        <w:t xml:space="preserve"> </w:t>
      </w:r>
      <w:r w:rsidRPr="00ED43B4">
        <w:rPr>
          <w:rFonts w:cs="Arial" w:hint="cs"/>
          <w:sz w:val="18"/>
          <w:szCs w:val="18"/>
          <w:rtl/>
        </w:rPr>
        <w:t>ראתה</w:t>
      </w:r>
      <w:r w:rsidRPr="00ED43B4">
        <w:rPr>
          <w:rFonts w:cs="Arial"/>
          <w:sz w:val="18"/>
          <w:szCs w:val="18"/>
          <w:rtl/>
        </w:rPr>
        <w:t xml:space="preserve">. </w:t>
      </w:r>
      <w:r w:rsidRPr="00ED43B4">
        <w:rPr>
          <w:rFonts w:cs="Arial" w:hint="cs"/>
          <w:sz w:val="18"/>
          <w:szCs w:val="18"/>
          <w:rtl/>
        </w:rPr>
        <w:t>קדים</w:t>
      </w:r>
      <w:r w:rsidRPr="00ED43B4">
        <w:rPr>
          <w:rFonts w:cs="Arial"/>
          <w:sz w:val="18"/>
          <w:szCs w:val="18"/>
          <w:rtl/>
        </w:rPr>
        <w:t xml:space="preserve"> </w:t>
      </w:r>
      <w:r w:rsidRPr="00ED43B4">
        <w:rPr>
          <w:rFonts w:cs="Arial" w:hint="cs"/>
          <w:sz w:val="18"/>
          <w:szCs w:val="18"/>
          <w:rtl/>
        </w:rPr>
        <w:t>שכיב</w:t>
      </w:r>
      <w:r w:rsidRPr="00ED43B4">
        <w:rPr>
          <w:rFonts w:cs="Arial"/>
          <w:sz w:val="18"/>
          <w:szCs w:val="18"/>
          <w:rtl/>
        </w:rPr>
        <w:t xml:space="preserve"> </w:t>
      </w:r>
      <w:r w:rsidRPr="00ED43B4">
        <w:rPr>
          <w:rFonts w:cs="Arial" w:hint="cs"/>
          <w:sz w:val="18"/>
          <w:szCs w:val="18"/>
          <w:rtl/>
        </w:rPr>
        <w:t>באורחא</w:t>
      </w:r>
      <w:r w:rsidRPr="00ED43B4">
        <w:rPr>
          <w:rFonts w:cs="Arial"/>
          <w:sz w:val="18"/>
          <w:szCs w:val="18"/>
          <w:rtl/>
        </w:rPr>
        <w:t xml:space="preserve">. </w:t>
      </w:r>
      <w:r w:rsidRPr="00ED43B4">
        <w:rPr>
          <w:rFonts w:cs="Arial" w:hint="cs"/>
          <w:sz w:val="18"/>
          <w:szCs w:val="18"/>
          <w:rtl/>
        </w:rPr>
        <w:t>קרי</w:t>
      </w:r>
      <w:r w:rsidRPr="00ED43B4">
        <w:rPr>
          <w:rFonts w:cs="Arial"/>
          <w:sz w:val="18"/>
          <w:szCs w:val="18"/>
          <w:rtl/>
        </w:rPr>
        <w:t xml:space="preserve"> </w:t>
      </w:r>
      <w:r w:rsidRPr="00ED43B4">
        <w:rPr>
          <w:rFonts w:cs="Arial" w:hint="cs"/>
          <w:sz w:val="18"/>
          <w:szCs w:val="18"/>
          <w:rtl/>
        </w:rPr>
        <w:t>שמואל</w:t>
      </w:r>
      <w:r w:rsidRPr="00ED43B4">
        <w:rPr>
          <w:rFonts w:cs="Arial"/>
          <w:sz w:val="18"/>
          <w:szCs w:val="18"/>
          <w:rtl/>
        </w:rPr>
        <w:t xml:space="preserve"> </w:t>
      </w:r>
      <w:r w:rsidRPr="00ED43B4">
        <w:rPr>
          <w:rFonts w:cs="Arial" w:hint="cs"/>
          <w:sz w:val="18"/>
          <w:szCs w:val="18"/>
          <w:rtl/>
        </w:rPr>
        <w:t>עליה</w:t>
      </w:r>
      <w:r w:rsidRPr="00ED43B4">
        <w:rPr>
          <w:rFonts w:cs="Arial"/>
          <w:sz w:val="18"/>
          <w:szCs w:val="18"/>
          <w:rtl/>
        </w:rPr>
        <w:t xml:space="preserve"> </w:t>
      </w:r>
      <w:r w:rsidRPr="00ED43B4">
        <w:rPr>
          <w:rFonts w:cs="Arial" w:hint="cs"/>
          <w:sz w:val="18"/>
          <w:szCs w:val="18"/>
          <w:rtl/>
        </w:rPr>
        <w:t>דרב</w:t>
      </w:r>
      <w:r w:rsidRPr="00ED43B4">
        <w:rPr>
          <w:rFonts w:cs="Arial"/>
          <w:sz w:val="18"/>
          <w:szCs w:val="18"/>
          <w:rtl/>
        </w:rPr>
        <w:t xml:space="preserve">: </w:t>
      </w:r>
      <w:r w:rsidRPr="00ED43B4">
        <w:rPr>
          <w:rFonts w:cs="Arial" w:hint="cs"/>
          <w:sz w:val="18"/>
          <w:szCs w:val="18"/>
          <w:rtl/>
        </w:rPr>
        <w:t>לא</w:t>
      </w:r>
      <w:r w:rsidRPr="00ED43B4">
        <w:rPr>
          <w:rFonts w:cs="Arial"/>
          <w:sz w:val="18"/>
          <w:szCs w:val="18"/>
          <w:rtl/>
        </w:rPr>
        <w:t xml:space="preserve"> </w:t>
      </w:r>
      <w:r w:rsidRPr="00ED43B4">
        <w:rPr>
          <w:rFonts w:cs="Arial" w:hint="cs"/>
          <w:sz w:val="18"/>
          <w:szCs w:val="18"/>
          <w:rtl/>
        </w:rPr>
        <w:t>יאונה</w:t>
      </w:r>
      <w:r w:rsidRPr="00ED43B4">
        <w:rPr>
          <w:rFonts w:cs="Arial"/>
          <w:sz w:val="18"/>
          <w:szCs w:val="18"/>
          <w:rtl/>
        </w:rPr>
        <w:t xml:space="preserve"> </w:t>
      </w:r>
      <w:r w:rsidRPr="00ED43B4">
        <w:rPr>
          <w:rFonts w:cs="Arial" w:hint="cs"/>
          <w:sz w:val="18"/>
          <w:szCs w:val="18"/>
          <w:rtl/>
        </w:rPr>
        <w:t>לצדיק</w:t>
      </w:r>
      <w:r w:rsidRPr="00ED43B4">
        <w:rPr>
          <w:rFonts w:cs="Arial"/>
          <w:sz w:val="18"/>
          <w:szCs w:val="18"/>
          <w:rtl/>
        </w:rPr>
        <w:t xml:space="preserve"> </w:t>
      </w:r>
      <w:r w:rsidRPr="00ED43B4">
        <w:rPr>
          <w:rFonts w:cs="Arial" w:hint="cs"/>
          <w:sz w:val="18"/>
          <w:szCs w:val="18"/>
          <w:rtl/>
        </w:rPr>
        <w:t>כל</w:t>
      </w:r>
      <w:r w:rsidRPr="00ED43B4">
        <w:rPr>
          <w:rFonts w:cs="Arial"/>
          <w:sz w:val="18"/>
          <w:szCs w:val="18"/>
          <w:rtl/>
        </w:rPr>
        <w:t xml:space="preserve"> </w:t>
      </w:r>
      <w:r w:rsidRPr="00ED43B4">
        <w:rPr>
          <w:rFonts w:cs="Arial" w:hint="cs"/>
          <w:sz w:val="18"/>
          <w:szCs w:val="18"/>
          <w:rtl/>
        </w:rPr>
        <w:t>און".</w:t>
      </w:r>
    </w:p>
  </w:footnote>
  <w:footnote w:id="395">
    <w:p w:rsidR="005953C5" w:rsidRDefault="005953C5" w:rsidP="00620060">
      <w:pPr>
        <w:pStyle w:val="a3"/>
      </w:pPr>
      <w:r w:rsidRPr="008959A7">
        <w:rPr>
          <w:rStyle w:val="a5"/>
          <w:sz w:val="18"/>
          <w:szCs w:val="18"/>
        </w:rPr>
        <w:footnoteRef/>
      </w:r>
      <w:r w:rsidRPr="008959A7">
        <w:rPr>
          <w:sz w:val="18"/>
          <w:szCs w:val="18"/>
          <w:rtl/>
        </w:rPr>
        <w:t xml:space="preserve"> </w:t>
      </w:r>
      <w:r w:rsidRPr="008959A7">
        <w:rPr>
          <w:rFonts w:hint="cs"/>
          <w:sz w:val="18"/>
          <w:szCs w:val="18"/>
          <w:rtl/>
        </w:rPr>
        <w:t xml:space="preserve">הסבר </w:t>
      </w:r>
      <w:r w:rsidRPr="008959A7">
        <w:rPr>
          <w:sz w:val="18"/>
          <w:szCs w:val="18"/>
          <w:rtl/>
        </w:rPr>
        <w:t>–</w:t>
      </w:r>
      <w:r w:rsidRPr="008959A7">
        <w:rPr>
          <w:rFonts w:hint="cs"/>
          <w:sz w:val="18"/>
          <w:szCs w:val="18"/>
          <w:rtl/>
        </w:rPr>
        <w:t xml:space="preserve"> כיוון שנתן לה ארבע לילות, על כורחך מיירי בלא ראתה, משום ש</w:t>
      </w:r>
      <w:r>
        <w:rPr>
          <w:rFonts w:hint="cs"/>
          <w:sz w:val="18"/>
          <w:szCs w:val="18"/>
          <w:rtl/>
        </w:rPr>
        <w:t xml:space="preserve">אם </w:t>
      </w:r>
      <w:r w:rsidRPr="008959A7">
        <w:rPr>
          <w:rFonts w:hint="cs"/>
          <w:sz w:val="18"/>
          <w:szCs w:val="18"/>
          <w:rtl/>
        </w:rPr>
        <w:t xml:space="preserve">ראתה נותנים לה רק לילה ראשון. </w:t>
      </w:r>
      <w:r>
        <w:rPr>
          <w:sz w:val="18"/>
          <w:szCs w:val="18"/>
          <w:rtl/>
        </w:rPr>
        <w:br/>
      </w:r>
      <w:r w:rsidRPr="008959A7">
        <w:rPr>
          <w:rFonts w:hint="cs"/>
          <w:sz w:val="18"/>
          <w:szCs w:val="18"/>
          <w:rtl/>
        </w:rPr>
        <w:t>מעתה, כיוון שהגמרא מקשה מנערה שלא ראתה, הוא הדין גם לתינוקת דמאי שנא? כלומר, רואים בגמרא שחומרה זו לא נאמרה רק בנערה שהגיע זמנה לראות.</w:t>
      </w:r>
    </w:p>
  </w:footnote>
  <w:footnote w:id="396">
    <w:p w:rsidR="005953C5" w:rsidRDefault="005953C5" w:rsidP="00620060">
      <w:pPr>
        <w:pStyle w:val="a3"/>
        <w:rPr>
          <w:rtl/>
        </w:rPr>
      </w:pPr>
      <w:r w:rsidRPr="0007518B">
        <w:rPr>
          <w:rStyle w:val="a5"/>
          <w:sz w:val="18"/>
          <w:szCs w:val="18"/>
        </w:rPr>
        <w:footnoteRef/>
      </w:r>
      <w:r w:rsidRPr="0007518B">
        <w:rPr>
          <w:sz w:val="18"/>
          <w:szCs w:val="18"/>
          <w:rtl/>
        </w:rPr>
        <w:t xml:space="preserve"> </w:t>
      </w:r>
      <w:r w:rsidRPr="0007518B">
        <w:rPr>
          <w:rFonts w:hint="cs"/>
          <w:sz w:val="18"/>
          <w:szCs w:val="18"/>
          <w:rtl/>
        </w:rPr>
        <w:t>ולפי"ז, יש לומר שרב ושמואל לא למדו הלכה למעשה מפרק תינוקת רק ב</w:t>
      </w:r>
      <w:r>
        <w:rPr>
          <w:rFonts w:hint="cs"/>
          <w:sz w:val="18"/>
          <w:szCs w:val="18"/>
          <w:rtl/>
        </w:rPr>
        <w:t>נערה</w:t>
      </w:r>
      <w:r w:rsidRPr="0007518B">
        <w:rPr>
          <w:rFonts w:hint="cs"/>
          <w:sz w:val="18"/>
          <w:szCs w:val="18"/>
          <w:rtl/>
        </w:rPr>
        <w:t xml:space="preserve"> שהגיע זמנה</w:t>
      </w:r>
      <w:r>
        <w:rPr>
          <w:rFonts w:hint="cs"/>
          <w:sz w:val="18"/>
          <w:szCs w:val="18"/>
          <w:rtl/>
        </w:rPr>
        <w:t xml:space="preserve"> לראות</w:t>
      </w:r>
      <w:r w:rsidRPr="0007518B">
        <w:rPr>
          <w:rFonts w:hint="cs"/>
          <w:sz w:val="18"/>
          <w:szCs w:val="18"/>
          <w:rtl/>
        </w:rPr>
        <w:t>, אך כשלא הגיע זמנה שפיר למדו מהמשנה שאינו פורש.</w:t>
      </w:r>
      <w:r>
        <w:rPr>
          <w:rtl/>
        </w:rPr>
        <w:br/>
      </w:r>
      <w:r w:rsidRPr="008C0EE1">
        <w:rPr>
          <w:rFonts w:hint="cs"/>
          <w:sz w:val="18"/>
          <w:szCs w:val="18"/>
          <w:rtl/>
        </w:rPr>
        <w:t xml:space="preserve">אמנם, אין להתעלם מהירושלמי </w:t>
      </w:r>
      <w:r w:rsidRPr="009F3F86">
        <w:rPr>
          <w:rFonts w:hint="cs"/>
          <w:sz w:val="16"/>
          <w:szCs w:val="16"/>
          <w:rtl/>
        </w:rPr>
        <w:t xml:space="preserve">(המצוטט לעיל) </w:t>
      </w:r>
      <w:r w:rsidRPr="008C0EE1">
        <w:rPr>
          <w:rFonts w:hint="cs"/>
          <w:sz w:val="18"/>
          <w:szCs w:val="18"/>
          <w:rtl/>
        </w:rPr>
        <w:t xml:space="preserve">שמשמע </w:t>
      </w:r>
      <w:r>
        <w:rPr>
          <w:rFonts w:hint="cs"/>
          <w:sz w:val="18"/>
          <w:szCs w:val="18"/>
          <w:rtl/>
        </w:rPr>
        <w:t>ש</w:t>
      </w:r>
      <w:r w:rsidRPr="008C0EE1">
        <w:rPr>
          <w:rFonts w:hint="cs"/>
          <w:sz w:val="18"/>
          <w:szCs w:val="18"/>
          <w:rtl/>
        </w:rPr>
        <w:t>נהגו להחמיר בכל דיני תינוקת!</w:t>
      </w:r>
      <w:r w:rsidRPr="008C0EE1">
        <w:rPr>
          <w:rFonts w:hint="cs"/>
          <w:sz w:val="18"/>
          <w:szCs w:val="18"/>
          <w:rtl/>
        </w:rPr>
        <w:br/>
        <w:t xml:space="preserve">ויש לומר </w:t>
      </w:r>
      <w:r w:rsidRPr="008C0EE1">
        <w:rPr>
          <w:sz w:val="18"/>
          <w:szCs w:val="18"/>
          <w:rtl/>
        </w:rPr>
        <w:t>–</w:t>
      </w:r>
      <w:r w:rsidRPr="008C0EE1">
        <w:rPr>
          <w:rFonts w:hint="cs"/>
          <w:sz w:val="18"/>
          <w:szCs w:val="18"/>
          <w:rtl/>
        </w:rPr>
        <w:t xml:space="preserve"> בארץ ישראל החמירו בכל ה</w:t>
      </w:r>
      <w:r>
        <w:rPr>
          <w:rFonts w:hint="cs"/>
          <w:sz w:val="18"/>
          <w:szCs w:val="18"/>
          <w:rtl/>
        </w:rPr>
        <w:t>נש</w:t>
      </w:r>
      <w:r w:rsidRPr="008C0EE1">
        <w:rPr>
          <w:rFonts w:hint="cs"/>
          <w:sz w:val="18"/>
          <w:szCs w:val="18"/>
          <w:rtl/>
        </w:rPr>
        <w:t>ים לפרוש לאחר בעילת מצווה, אך בבבל החמירו רק כשהגיע זמנה לראות וראתה. ואמנם, אפילו בארץ ישראל כנראה שמנהג זה לא היה רווח בכל המקומות, משום שהגמרא מציינת את רבי ינאי כמיוחד שפרש אפילו מתינוקת שלא הגיע זמנה לראות, משמע ששאר העולם לא נהג בחומרה זאת.</w:t>
      </w:r>
      <w:r>
        <w:rPr>
          <w:sz w:val="18"/>
          <w:szCs w:val="18"/>
          <w:rtl/>
        </w:rPr>
        <w:br/>
      </w:r>
      <w:r>
        <w:rPr>
          <w:rFonts w:hint="cs"/>
          <w:sz w:val="18"/>
          <w:szCs w:val="18"/>
          <w:rtl/>
        </w:rPr>
        <w:t xml:space="preserve">ואמנם, יש להקשות על הסבר זה של הרי"ף והרמב"ם - </w:t>
      </w:r>
      <w:r>
        <w:rPr>
          <w:rFonts w:hint="cs"/>
          <w:sz w:val="18"/>
          <w:szCs w:val="18"/>
          <w:rtl/>
        </w:rPr>
        <w:br/>
        <w:t>בבבלי נאמר בשם שמואל שהחומרה היא רק כשראתה, ואילו בירושלמי המימרא אף היא בשם שמואל נאמרה שיש לפרוש בכל הנשים, וכיצד שמואל סותר את עצמו?</w:t>
      </w:r>
      <w:r>
        <w:rPr>
          <w:rFonts w:hint="cs"/>
          <w:sz w:val="18"/>
          <w:szCs w:val="18"/>
          <w:rtl/>
        </w:rPr>
        <w:br/>
        <w:t xml:space="preserve">ויש לומר </w:t>
      </w:r>
      <w:r>
        <w:rPr>
          <w:sz w:val="18"/>
          <w:szCs w:val="18"/>
          <w:rtl/>
        </w:rPr>
        <w:t>–</w:t>
      </w:r>
      <w:r>
        <w:rPr>
          <w:rFonts w:hint="cs"/>
          <w:sz w:val="18"/>
          <w:szCs w:val="18"/>
          <w:rtl/>
        </w:rPr>
        <w:t xml:space="preserve"> בבבלי נאמר העיקר לדינא, ואילו בירושלמי נאמר המנהג למעשה.</w:t>
      </w:r>
    </w:p>
  </w:footnote>
  <w:footnote w:id="397">
    <w:p w:rsidR="005953C5" w:rsidRDefault="005953C5" w:rsidP="00620060">
      <w:pPr>
        <w:pStyle w:val="a3"/>
        <w:rPr>
          <w:rtl/>
        </w:rPr>
      </w:pPr>
      <w:r w:rsidRPr="00C432C3">
        <w:rPr>
          <w:rStyle w:val="a5"/>
          <w:sz w:val="18"/>
          <w:szCs w:val="18"/>
        </w:rPr>
        <w:footnoteRef/>
      </w:r>
      <w:r w:rsidRPr="00C432C3">
        <w:rPr>
          <w:sz w:val="18"/>
          <w:szCs w:val="18"/>
          <w:rtl/>
        </w:rPr>
        <w:t xml:space="preserve"> </w:t>
      </w:r>
      <w:r w:rsidRPr="00C432C3">
        <w:rPr>
          <w:rFonts w:hint="cs"/>
          <w:b/>
          <w:bCs/>
          <w:sz w:val="18"/>
          <w:szCs w:val="18"/>
          <w:rtl/>
        </w:rPr>
        <w:t>הבית יוסף</w:t>
      </w:r>
      <w:r w:rsidRPr="00C432C3">
        <w:rPr>
          <w:rFonts w:hint="cs"/>
          <w:sz w:val="18"/>
          <w:szCs w:val="18"/>
          <w:rtl/>
        </w:rPr>
        <w:t xml:space="preserve"> מביא את תשובת </w:t>
      </w:r>
      <w:r w:rsidRPr="00C432C3">
        <w:rPr>
          <w:rFonts w:hint="cs"/>
          <w:b/>
          <w:bCs/>
          <w:sz w:val="18"/>
          <w:szCs w:val="18"/>
          <w:rtl/>
        </w:rPr>
        <w:t>הרשב"א</w:t>
      </w:r>
      <w:r w:rsidRPr="00C432C3">
        <w:rPr>
          <w:rFonts w:hint="cs"/>
          <w:sz w:val="18"/>
          <w:szCs w:val="18"/>
          <w:rtl/>
        </w:rPr>
        <w:t xml:space="preserve"> שדוחה בחריפות את שיטת </w:t>
      </w:r>
      <w:r w:rsidRPr="00C432C3">
        <w:rPr>
          <w:rFonts w:hint="cs"/>
          <w:b/>
          <w:bCs/>
          <w:sz w:val="18"/>
          <w:szCs w:val="18"/>
          <w:rtl/>
        </w:rPr>
        <w:t>הרמב"ם</w:t>
      </w:r>
      <w:r w:rsidRPr="00C432C3">
        <w:rPr>
          <w:rFonts w:hint="cs"/>
          <w:sz w:val="18"/>
          <w:szCs w:val="18"/>
          <w:rtl/>
        </w:rPr>
        <w:t xml:space="preserve"> - </w:t>
      </w:r>
      <w:r w:rsidRPr="00C432C3">
        <w:rPr>
          <w:sz w:val="18"/>
          <w:szCs w:val="18"/>
          <w:rtl/>
        </w:rPr>
        <w:br/>
      </w:r>
      <w:r w:rsidRPr="00C432C3">
        <w:rPr>
          <w:rFonts w:hint="cs"/>
          <w:sz w:val="18"/>
          <w:szCs w:val="18"/>
          <w:rtl/>
        </w:rPr>
        <w:t>להסבר הרמב"ם יוצא שרב ושמואל פסקו כבית שמאי, שרק אם ראתה פורש לאחר בעילת מצווה. ואם כן, לא מובן מדוע הגמרא מקשה עליהם מהמשנה ומדברי רבי, הרי הם פסקו כבית שמאי! ואם כוונת הגמרא להקשות שדברי בית שמאי במקום בית הלל אינה משנה, היה צריך להקשות כך להדיא.</w:t>
      </w:r>
      <w:r w:rsidRPr="00C432C3">
        <w:rPr>
          <w:sz w:val="18"/>
          <w:szCs w:val="18"/>
          <w:rtl/>
        </w:rPr>
        <w:br/>
      </w:r>
      <w:r w:rsidRPr="00C432C3">
        <w:rPr>
          <w:rFonts w:hint="cs"/>
          <w:sz w:val="18"/>
          <w:szCs w:val="18"/>
          <w:rtl/>
        </w:rPr>
        <w:t xml:space="preserve">ועוד </w:t>
      </w:r>
      <w:r w:rsidRPr="00C432C3">
        <w:rPr>
          <w:sz w:val="18"/>
          <w:szCs w:val="18"/>
          <w:rtl/>
        </w:rPr>
        <w:t>–</w:t>
      </w:r>
      <w:r w:rsidRPr="00C432C3">
        <w:rPr>
          <w:rFonts w:hint="cs"/>
          <w:sz w:val="18"/>
          <w:szCs w:val="18"/>
          <w:rtl/>
        </w:rPr>
        <w:t xml:space="preserve"> מכך שהגמרא אומרת שרב ושמאול לא היו מעלים כלום מפרק תינוקת, משמע</w:t>
      </w:r>
      <w:r>
        <w:rPr>
          <w:rFonts w:hint="cs"/>
          <w:sz w:val="18"/>
          <w:szCs w:val="18"/>
          <w:rtl/>
        </w:rPr>
        <w:t xml:space="preserve"> שכל החילוקים הנ"ל אינם נכונים.</w:t>
      </w:r>
    </w:p>
  </w:footnote>
  <w:footnote w:id="398">
    <w:p w:rsidR="005953C5" w:rsidRDefault="005953C5" w:rsidP="00620060">
      <w:pPr>
        <w:pStyle w:val="a3"/>
      </w:pPr>
      <w:r w:rsidRPr="001F0489">
        <w:rPr>
          <w:rStyle w:val="a5"/>
          <w:sz w:val="18"/>
          <w:szCs w:val="18"/>
        </w:rPr>
        <w:footnoteRef/>
      </w:r>
      <w:r w:rsidRPr="001F0489">
        <w:rPr>
          <w:sz w:val="18"/>
          <w:szCs w:val="18"/>
          <w:rtl/>
        </w:rPr>
        <w:t xml:space="preserve"> </w:t>
      </w:r>
      <w:r w:rsidRPr="001F0489">
        <w:rPr>
          <w:rFonts w:hint="cs"/>
          <w:sz w:val="18"/>
          <w:szCs w:val="18"/>
          <w:rtl/>
        </w:rPr>
        <w:t xml:space="preserve">אמנם, גם </w:t>
      </w:r>
      <w:r w:rsidRPr="001F0489">
        <w:rPr>
          <w:rFonts w:hint="cs"/>
          <w:b/>
          <w:bCs/>
          <w:sz w:val="18"/>
          <w:szCs w:val="18"/>
          <w:rtl/>
        </w:rPr>
        <w:t>הראב"ד</w:t>
      </w:r>
      <w:r w:rsidRPr="001F0489">
        <w:rPr>
          <w:rFonts w:hint="cs"/>
          <w:sz w:val="18"/>
          <w:szCs w:val="18"/>
          <w:rtl/>
        </w:rPr>
        <w:t xml:space="preserve"> מודה שאינו צריך לנעוץ ציפורניו בקרקע עד שימות האבר.</w:t>
      </w:r>
      <w:r w:rsidRPr="001F0489">
        <w:rPr>
          <w:sz w:val="18"/>
          <w:szCs w:val="18"/>
          <w:rtl/>
        </w:rPr>
        <w:br/>
      </w:r>
      <w:r w:rsidRPr="001F0489">
        <w:rPr>
          <w:rFonts w:hint="cs"/>
          <w:b/>
          <w:bCs/>
          <w:sz w:val="18"/>
          <w:szCs w:val="18"/>
          <w:rtl/>
        </w:rPr>
        <w:t>טעם</w:t>
      </w:r>
      <w:r w:rsidRPr="001F0489">
        <w:rPr>
          <w:rFonts w:hint="cs"/>
          <w:sz w:val="18"/>
          <w:szCs w:val="18"/>
          <w:rtl/>
        </w:rPr>
        <w:t xml:space="preserve"> </w:t>
      </w:r>
      <w:r>
        <w:rPr>
          <w:rFonts w:hint="cs"/>
          <w:sz w:val="18"/>
          <w:szCs w:val="18"/>
          <w:rtl/>
        </w:rPr>
        <w:t xml:space="preserve">- </w:t>
      </w:r>
      <w:r w:rsidRPr="001F0489">
        <w:rPr>
          <w:rFonts w:hint="cs"/>
          <w:sz w:val="18"/>
          <w:szCs w:val="18"/>
          <w:rtl/>
        </w:rPr>
        <w:t>התירו לו לגמ</w:t>
      </w:r>
      <w:r>
        <w:rPr>
          <w:rFonts w:hint="cs"/>
          <w:sz w:val="18"/>
          <w:szCs w:val="18"/>
          <w:rtl/>
        </w:rPr>
        <w:t>ור</w:t>
      </w:r>
      <w:r w:rsidRPr="001F0489">
        <w:rPr>
          <w:rFonts w:hint="cs"/>
          <w:sz w:val="18"/>
          <w:szCs w:val="18"/>
          <w:rtl/>
        </w:rPr>
        <w:t xml:space="preserve"> את הביאה כדרכו, ולכן ממתין עד שימות האבר וזהו גמר ביאה.</w:t>
      </w:r>
    </w:p>
  </w:footnote>
  <w:footnote w:id="399">
    <w:p w:rsidR="005953C5" w:rsidRDefault="005953C5" w:rsidP="00620060">
      <w:pPr>
        <w:pStyle w:val="a3"/>
      </w:pPr>
      <w:r w:rsidRPr="00BA3C6B">
        <w:rPr>
          <w:rStyle w:val="a5"/>
          <w:sz w:val="18"/>
          <w:szCs w:val="18"/>
        </w:rPr>
        <w:footnoteRef/>
      </w:r>
      <w:r w:rsidRPr="00BA3C6B">
        <w:rPr>
          <w:sz w:val="18"/>
          <w:szCs w:val="18"/>
          <w:rtl/>
        </w:rPr>
        <w:t xml:space="preserve"> </w:t>
      </w:r>
      <w:r w:rsidRPr="00BA3C6B">
        <w:rPr>
          <w:rFonts w:hint="cs"/>
          <w:sz w:val="18"/>
          <w:szCs w:val="18"/>
          <w:rtl/>
        </w:rPr>
        <w:t xml:space="preserve">הרחבה - </w:t>
      </w:r>
      <w:r w:rsidRPr="00BA3C6B">
        <w:rPr>
          <w:sz w:val="18"/>
          <w:szCs w:val="18"/>
          <w:rtl/>
        </w:rPr>
        <w:br/>
      </w:r>
      <w:r w:rsidRPr="00BA3C6B">
        <w:rPr>
          <w:rFonts w:hint="cs"/>
          <w:sz w:val="18"/>
          <w:szCs w:val="18"/>
          <w:rtl/>
        </w:rPr>
        <w:t xml:space="preserve">זו לשון </w:t>
      </w:r>
      <w:r w:rsidRPr="00BA3C6B">
        <w:rPr>
          <w:rFonts w:hint="cs"/>
          <w:b/>
          <w:bCs/>
          <w:sz w:val="18"/>
          <w:szCs w:val="18"/>
          <w:rtl/>
        </w:rPr>
        <w:t>הטור</w:t>
      </w:r>
      <w:r w:rsidRPr="00BA3C6B">
        <w:rPr>
          <w:rFonts w:hint="cs"/>
          <w:sz w:val="18"/>
          <w:szCs w:val="18"/>
          <w:rtl/>
        </w:rPr>
        <w:t xml:space="preserve"> בדין זה </w:t>
      </w:r>
      <w:r w:rsidRPr="00BA3C6B">
        <w:rPr>
          <w:sz w:val="18"/>
          <w:szCs w:val="18"/>
          <w:rtl/>
        </w:rPr>
        <w:t>–</w:t>
      </w:r>
      <w:r w:rsidRPr="00BA3C6B">
        <w:rPr>
          <w:rFonts w:hint="cs"/>
          <w:sz w:val="18"/>
          <w:szCs w:val="18"/>
          <w:rtl/>
        </w:rPr>
        <w:t xml:space="preserve"> "</w:t>
      </w:r>
      <w:r w:rsidRPr="00BA3C6B">
        <w:rPr>
          <w:rFonts w:cs="Arial" w:hint="cs"/>
          <w:sz w:val="18"/>
          <w:szCs w:val="18"/>
          <w:rtl/>
        </w:rPr>
        <w:t>אפילו</w:t>
      </w:r>
      <w:r w:rsidRPr="00BA3C6B">
        <w:rPr>
          <w:rFonts w:cs="Arial"/>
          <w:sz w:val="18"/>
          <w:szCs w:val="18"/>
          <w:rtl/>
        </w:rPr>
        <w:t xml:space="preserve"> </w:t>
      </w:r>
      <w:r w:rsidRPr="00BA3C6B">
        <w:rPr>
          <w:rFonts w:cs="Arial" w:hint="cs"/>
          <w:sz w:val="18"/>
          <w:szCs w:val="18"/>
          <w:rtl/>
        </w:rPr>
        <w:t>היא</w:t>
      </w:r>
      <w:r w:rsidRPr="00BA3C6B">
        <w:rPr>
          <w:rFonts w:cs="Arial"/>
          <w:sz w:val="18"/>
          <w:szCs w:val="18"/>
          <w:rtl/>
        </w:rPr>
        <w:t xml:space="preserve"> </w:t>
      </w:r>
      <w:r w:rsidRPr="00BA3C6B">
        <w:rPr>
          <w:rFonts w:cs="Arial" w:hint="cs"/>
          <w:sz w:val="18"/>
          <w:szCs w:val="18"/>
          <w:rtl/>
        </w:rPr>
        <w:t>קטנה</w:t>
      </w:r>
      <w:r w:rsidRPr="00BA3C6B">
        <w:rPr>
          <w:rFonts w:cs="Arial"/>
          <w:sz w:val="18"/>
          <w:szCs w:val="18"/>
          <w:rtl/>
        </w:rPr>
        <w:t xml:space="preserve"> </w:t>
      </w:r>
      <w:r w:rsidRPr="00BA3C6B">
        <w:rPr>
          <w:rFonts w:cs="Arial" w:hint="cs"/>
          <w:sz w:val="18"/>
          <w:szCs w:val="18"/>
          <w:rtl/>
        </w:rPr>
        <w:t>שלא</w:t>
      </w:r>
      <w:r w:rsidRPr="00BA3C6B">
        <w:rPr>
          <w:rFonts w:cs="Arial"/>
          <w:sz w:val="18"/>
          <w:szCs w:val="18"/>
          <w:rtl/>
        </w:rPr>
        <w:t xml:space="preserve"> </w:t>
      </w:r>
      <w:r w:rsidRPr="00BA3C6B">
        <w:rPr>
          <w:rFonts w:cs="Arial" w:hint="cs"/>
          <w:sz w:val="18"/>
          <w:szCs w:val="18"/>
          <w:rtl/>
        </w:rPr>
        <w:t>הגיע</w:t>
      </w:r>
      <w:r w:rsidRPr="00BA3C6B">
        <w:rPr>
          <w:rFonts w:cs="Arial"/>
          <w:sz w:val="18"/>
          <w:szCs w:val="18"/>
          <w:rtl/>
        </w:rPr>
        <w:t xml:space="preserve"> </w:t>
      </w:r>
      <w:r w:rsidRPr="00BA3C6B">
        <w:rPr>
          <w:rFonts w:cs="Arial" w:hint="cs"/>
          <w:sz w:val="18"/>
          <w:szCs w:val="18"/>
          <w:rtl/>
        </w:rPr>
        <w:t>זמנה</w:t>
      </w:r>
      <w:r w:rsidRPr="00BA3C6B">
        <w:rPr>
          <w:rFonts w:cs="Arial"/>
          <w:sz w:val="18"/>
          <w:szCs w:val="18"/>
          <w:rtl/>
        </w:rPr>
        <w:t xml:space="preserve"> </w:t>
      </w:r>
      <w:r w:rsidRPr="00BA3C6B">
        <w:rPr>
          <w:rFonts w:cs="Arial" w:hint="cs"/>
          <w:sz w:val="18"/>
          <w:szCs w:val="18"/>
          <w:rtl/>
        </w:rPr>
        <w:t>לראות</w:t>
      </w:r>
      <w:r w:rsidRPr="00BA3C6B">
        <w:rPr>
          <w:rFonts w:cs="Arial"/>
          <w:sz w:val="18"/>
          <w:szCs w:val="18"/>
          <w:rtl/>
        </w:rPr>
        <w:t xml:space="preserve"> </w:t>
      </w:r>
      <w:r w:rsidRPr="00BA3C6B">
        <w:rPr>
          <w:rFonts w:cs="Arial" w:hint="cs"/>
          <w:sz w:val="18"/>
          <w:szCs w:val="18"/>
          <w:rtl/>
        </w:rPr>
        <w:t>ולא</w:t>
      </w:r>
      <w:r w:rsidRPr="00BA3C6B">
        <w:rPr>
          <w:rFonts w:cs="Arial"/>
          <w:sz w:val="18"/>
          <w:szCs w:val="18"/>
          <w:rtl/>
        </w:rPr>
        <w:t xml:space="preserve"> </w:t>
      </w:r>
      <w:r w:rsidRPr="00BA3C6B">
        <w:rPr>
          <w:rFonts w:cs="Arial" w:hint="cs"/>
          <w:sz w:val="18"/>
          <w:szCs w:val="18"/>
          <w:rtl/>
        </w:rPr>
        <w:t>ראתה,</w:t>
      </w:r>
      <w:r w:rsidRPr="00BA3C6B">
        <w:rPr>
          <w:rFonts w:cs="Arial"/>
          <w:sz w:val="18"/>
          <w:szCs w:val="18"/>
          <w:rtl/>
        </w:rPr>
        <w:t xml:space="preserve"> </w:t>
      </w:r>
      <w:r w:rsidRPr="00BA3C6B">
        <w:rPr>
          <w:rFonts w:cs="Arial" w:hint="cs"/>
          <w:sz w:val="18"/>
          <w:szCs w:val="18"/>
          <w:rtl/>
        </w:rPr>
        <w:t>ואפילו</w:t>
      </w:r>
      <w:r w:rsidRPr="00BA3C6B">
        <w:rPr>
          <w:rFonts w:cs="Arial"/>
          <w:sz w:val="18"/>
          <w:szCs w:val="18"/>
          <w:rtl/>
        </w:rPr>
        <w:t xml:space="preserve"> </w:t>
      </w:r>
      <w:r w:rsidRPr="00BA3C6B">
        <w:rPr>
          <w:rFonts w:cs="Arial" w:hint="cs"/>
          <w:sz w:val="18"/>
          <w:szCs w:val="18"/>
          <w:rtl/>
        </w:rPr>
        <w:t>בוגרת</w:t>
      </w:r>
      <w:r w:rsidRPr="00BA3C6B">
        <w:rPr>
          <w:rFonts w:cs="Arial"/>
          <w:sz w:val="18"/>
          <w:szCs w:val="18"/>
          <w:rtl/>
        </w:rPr>
        <w:t xml:space="preserve"> </w:t>
      </w:r>
      <w:r w:rsidRPr="00BA3C6B">
        <w:rPr>
          <w:rFonts w:cs="Arial" w:hint="cs"/>
          <w:sz w:val="18"/>
          <w:szCs w:val="18"/>
          <w:rtl/>
        </w:rPr>
        <w:t>שכלו</w:t>
      </w:r>
      <w:r w:rsidRPr="00BA3C6B">
        <w:rPr>
          <w:rFonts w:cs="Arial"/>
          <w:sz w:val="18"/>
          <w:szCs w:val="18"/>
          <w:rtl/>
        </w:rPr>
        <w:t xml:space="preserve"> </w:t>
      </w:r>
      <w:r w:rsidRPr="00BA3C6B">
        <w:rPr>
          <w:rFonts w:cs="Arial" w:hint="cs"/>
          <w:sz w:val="18"/>
          <w:szCs w:val="18"/>
          <w:rtl/>
        </w:rPr>
        <w:t>בתוליה,</w:t>
      </w:r>
      <w:r w:rsidRPr="00BA3C6B">
        <w:rPr>
          <w:rFonts w:cs="Arial"/>
          <w:sz w:val="18"/>
          <w:szCs w:val="18"/>
          <w:rtl/>
        </w:rPr>
        <w:t xml:space="preserve"> </w:t>
      </w:r>
      <w:r w:rsidRPr="00BA3C6B">
        <w:rPr>
          <w:rFonts w:cs="Arial" w:hint="cs"/>
          <w:sz w:val="18"/>
          <w:szCs w:val="18"/>
          <w:rtl/>
        </w:rPr>
        <w:t>ואפילו</w:t>
      </w:r>
      <w:r w:rsidRPr="00BA3C6B">
        <w:rPr>
          <w:rFonts w:cs="Arial"/>
          <w:sz w:val="18"/>
          <w:szCs w:val="18"/>
          <w:rtl/>
        </w:rPr>
        <w:t xml:space="preserve"> </w:t>
      </w:r>
      <w:r w:rsidRPr="00BA3C6B">
        <w:rPr>
          <w:rFonts w:cs="Arial" w:hint="cs"/>
          <w:sz w:val="18"/>
          <w:szCs w:val="18"/>
          <w:rtl/>
        </w:rPr>
        <w:t>בדקה</w:t>
      </w:r>
      <w:r w:rsidRPr="00BA3C6B">
        <w:rPr>
          <w:rFonts w:cs="Arial"/>
          <w:sz w:val="18"/>
          <w:szCs w:val="18"/>
          <w:rtl/>
        </w:rPr>
        <w:t xml:space="preserve"> </w:t>
      </w:r>
      <w:r w:rsidRPr="00BA3C6B">
        <w:rPr>
          <w:rFonts w:cs="Arial" w:hint="cs"/>
          <w:sz w:val="18"/>
          <w:szCs w:val="18"/>
          <w:rtl/>
        </w:rPr>
        <w:t>ולא</w:t>
      </w:r>
      <w:r w:rsidRPr="00BA3C6B">
        <w:rPr>
          <w:rFonts w:cs="Arial"/>
          <w:sz w:val="18"/>
          <w:szCs w:val="18"/>
          <w:rtl/>
        </w:rPr>
        <w:t xml:space="preserve"> </w:t>
      </w:r>
      <w:r w:rsidRPr="00BA3C6B">
        <w:rPr>
          <w:rFonts w:cs="Arial" w:hint="cs"/>
          <w:sz w:val="18"/>
          <w:szCs w:val="18"/>
          <w:rtl/>
        </w:rPr>
        <w:t>מצאה</w:t>
      </w:r>
      <w:r w:rsidRPr="00BA3C6B">
        <w:rPr>
          <w:rFonts w:cs="Arial"/>
          <w:sz w:val="18"/>
          <w:szCs w:val="18"/>
          <w:rtl/>
        </w:rPr>
        <w:t xml:space="preserve"> </w:t>
      </w:r>
      <w:r w:rsidRPr="00BA3C6B">
        <w:rPr>
          <w:rFonts w:cs="Arial" w:hint="cs"/>
          <w:sz w:val="18"/>
          <w:szCs w:val="18"/>
          <w:rtl/>
        </w:rPr>
        <w:t>דם</w:t>
      </w:r>
      <w:r w:rsidRPr="00BA3C6B">
        <w:rPr>
          <w:rFonts w:hint="cs"/>
          <w:sz w:val="18"/>
          <w:szCs w:val="18"/>
          <w:rtl/>
        </w:rPr>
        <w:t xml:space="preserve">". לעומת זאת, </w:t>
      </w:r>
      <w:r w:rsidRPr="00BA3C6B">
        <w:rPr>
          <w:rFonts w:hint="cs"/>
          <w:b/>
          <w:bCs/>
          <w:sz w:val="18"/>
          <w:szCs w:val="18"/>
          <w:rtl/>
        </w:rPr>
        <w:t>המחבר</w:t>
      </w:r>
      <w:r w:rsidRPr="00BA3C6B">
        <w:rPr>
          <w:rFonts w:hint="cs"/>
          <w:sz w:val="18"/>
          <w:szCs w:val="18"/>
          <w:rtl/>
        </w:rPr>
        <w:t xml:space="preserve"> השמיט את</w:t>
      </w:r>
      <w:r w:rsidRPr="00BA3C6B">
        <w:rPr>
          <w:rFonts w:cs="Arial" w:hint="cs"/>
          <w:sz w:val="18"/>
          <w:szCs w:val="18"/>
          <w:rtl/>
        </w:rPr>
        <w:t xml:space="preserve"> "ואפילו</w:t>
      </w:r>
      <w:r w:rsidRPr="00BA3C6B">
        <w:rPr>
          <w:rFonts w:cs="Arial"/>
          <w:sz w:val="18"/>
          <w:szCs w:val="18"/>
          <w:rtl/>
        </w:rPr>
        <w:t xml:space="preserve"> </w:t>
      </w:r>
      <w:r w:rsidRPr="00BA3C6B">
        <w:rPr>
          <w:rFonts w:cs="Arial" w:hint="cs"/>
          <w:sz w:val="18"/>
          <w:szCs w:val="18"/>
          <w:rtl/>
        </w:rPr>
        <w:t>בוגרת</w:t>
      </w:r>
      <w:r w:rsidRPr="00BA3C6B">
        <w:rPr>
          <w:rFonts w:cs="Arial"/>
          <w:sz w:val="18"/>
          <w:szCs w:val="18"/>
          <w:rtl/>
        </w:rPr>
        <w:t xml:space="preserve"> </w:t>
      </w:r>
      <w:r w:rsidRPr="00BA3C6B">
        <w:rPr>
          <w:rFonts w:cs="Arial" w:hint="cs"/>
          <w:sz w:val="18"/>
          <w:szCs w:val="18"/>
          <w:rtl/>
        </w:rPr>
        <w:t>שכלו</w:t>
      </w:r>
      <w:r w:rsidRPr="00BA3C6B">
        <w:rPr>
          <w:rFonts w:cs="Arial"/>
          <w:sz w:val="18"/>
          <w:szCs w:val="18"/>
          <w:rtl/>
        </w:rPr>
        <w:t xml:space="preserve"> </w:t>
      </w:r>
      <w:r w:rsidRPr="00BA3C6B">
        <w:rPr>
          <w:rFonts w:cs="Arial" w:hint="cs"/>
          <w:sz w:val="18"/>
          <w:szCs w:val="18"/>
          <w:rtl/>
        </w:rPr>
        <w:t>בתוליה".</w:t>
      </w:r>
      <w:r w:rsidRPr="00BA3C6B">
        <w:rPr>
          <w:rFonts w:cs="Arial"/>
          <w:sz w:val="18"/>
          <w:szCs w:val="18"/>
          <w:rtl/>
        </w:rPr>
        <w:br/>
      </w:r>
      <w:r w:rsidRPr="00BA3C6B">
        <w:rPr>
          <w:rFonts w:cs="Arial" w:hint="cs"/>
          <w:sz w:val="18"/>
          <w:szCs w:val="18"/>
          <w:rtl/>
        </w:rPr>
        <w:t xml:space="preserve">טעמו של </w:t>
      </w:r>
      <w:r w:rsidRPr="00BA3C6B">
        <w:rPr>
          <w:rFonts w:cs="Arial" w:hint="cs"/>
          <w:b/>
          <w:bCs/>
          <w:sz w:val="18"/>
          <w:szCs w:val="18"/>
          <w:rtl/>
        </w:rPr>
        <w:t>המחבר</w:t>
      </w:r>
      <w:r w:rsidRPr="00BA3C6B">
        <w:rPr>
          <w:rFonts w:cs="Arial" w:hint="cs"/>
          <w:sz w:val="18"/>
          <w:szCs w:val="18"/>
          <w:rtl/>
        </w:rPr>
        <w:t xml:space="preserve"> מבואר </w:t>
      </w:r>
      <w:r w:rsidRPr="00BA3C6B">
        <w:rPr>
          <w:rFonts w:cs="Arial" w:hint="cs"/>
          <w:b/>
          <w:bCs/>
          <w:sz w:val="18"/>
          <w:szCs w:val="18"/>
          <w:rtl/>
        </w:rPr>
        <w:t>בבית יוסף</w:t>
      </w:r>
      <w:r w:rsidRPr="00BA3C6B">
        <w:rPr>
          <w:rFonts w:cs="Arial" w:hint="cs"/>
          <w:sz w:val="18"/>
          <w:szCs w:val="18"/>
          <w:rtl/>
        </w:rPr>
        <w:t>, שהקשה על הטור מה שייך לומר 'אפילו בוגרת'</w:t>
      </w:r>
      <w:r w:rsidRPr="00BA3C6B">
        <w:rPr>
          <w:rFonts w:hint="cs"/>
          <w:sz w:val="18"/>
          <w:szCs w:val="18"/>
          <w:rtl/>
        </w:rPr>
        <w:t>, אדרבה, מכיוון שהיא בוגרת לכן יש לפרוש משום שהדם הוא ודאי דם נידה ואינו מחמת בתולים!</w:t>
      </w:r>
      <w:r w:rsidRPr="00BA3C6B">
        <w:rPr>
          <w:rFonts w:hint="cs"/>
          <w:sz w:val="18"/>
          <w:szCs w:val="18"/>
          <w:rtl/>
        </w:rPr>
        <w:br/>
        <w:t xml:space="preserve">מיישב </w:t>
      </w:r>
      <w:r w:rsidRPr="00BA3C6B">
        <w:rPr>
          <w:rFonts w:hint="cs"/>
          <w:b/>
          <w:bCs/>
          <w:sz w:val="18"/>
          <w:szCs w:val="18"/>
          <w:rtl/>
        </w:rPr>
        <w:t xml:space="preserve">הט"ז </w:t>
      </w:r>
      <w:r w:rsidRPr="00BA3C6B">
        <w:rPr>
          <w:rFonts w:hint="cs"/>
          <w:sz w:val="18"/>
          <w:szCs w:val="18"/>
          <w:rtl/>
        </w:rPr>
        <w:t>- כוונת הטור לומר ש</w:t>
      </w:r>
      <w:r>
        <w:rPr>
          <w:rFonts w:hint="cs"/>
          <w:sz w:val="18"/>
          <w:szCs w:val="18"/>
          <w:rtl/>
        </w:rPr>
        <w:t>לא ראתה דם כלל ו</w:t>
      </w:r>
      <w:r w:rsidRPr="00BA3C6B">
        <w:rPr>
          <w:rFonts w:hint="cs"/>
          <w:sz w:val="18"/>
          <w:szCs w:val="18"/>
          <w:rtl/>
        </w:rPr>
        <w:t>יש סיבה לכך שלא ראתה דם, דהיינו מכיוון שכלו בתוליה, ואם כן היה צד להתיר משום שאין לומר שמא חיפה שכבת זרע את דם הבתולים, אפילו הכ</w:t>
      </w:r>
      <w:r>
        <w:rPr>
          <w:rFonts w:hint="cs"/>
          <w:sz w:val="18"/>
          <w:szCs w:val="18"/>
          <w:rtl/>
        </w:rPr>
        <w:t>י יפרוש שמא ראתה טיפת דם כחרדל ו</w:t>
      </w:r>
      <w:r w:rsidRPr="00BA3C6B">
        <w:rPr>
          <w:rFonts w:hint="cs"/>
          <w:sz w:val="18"/>
          <w:szCs w:val="18"/>
          <w:rtl/>
        </w:rPr>
        <w:t>אבדה.</w:t>
      </w:r>
      <w:r>
        <w:rPr>
          <w:rFonts w:hint="cs"/>
          <w:rtl/>
        </w:rPr>
        <w:t xml:space="preserve"> </w:t>
      </w:r>
      <w:r w:rsidRPr="001234CA">
        <w:rPr>
          <w:rFonts w:hint="cs"/>
          <w:sz w:val="16"/>
          <w:szCs w:val="16"/>
          <w:rtl/>
        </w:rPr>
        <w:t>(אמנם, גם הב"י מציע תירוץ זה, אך דעתו אינו נוחה משום שלשון הטור היתה צריכה להיות שונה מעט לפי"ז, עיי"ש).</w:t>
      </w:r>
    </w:p>
  </w:footnote>
  <w:footnote w:id="400">
    <w:p w:rsidR="005953C5" w:rsidRDefault="005953C5" w:rsidP="00620060">
      <w:pPr>
        <w:pStyle w:val="a3"/>
        <w:rPr>
          <w:rtl/>
        </w:rPr>
      </w:pPr>
      <w:r w:rsidRPr="006F1C7A">
        <w:rPr>
          <w:rStyle w:val="a5"/>
          <w:sz w:val="18"/>
          <w:szCs w:val="18"/>
        </w:rPr>
        <w:footnoteRef/>
      </w:r>
      <w:r w:rsidRPr="006F1C7A">
        <w:rPr>
          <w:sz w:val="18"/>
          <w:szCs w:val="18"/>
          <w:rtl/>
        </w:rPr>
        <w:t xml:space="preserve"> </w:t>
      </w:r>
      <w:r w:rsidRPr="006F1C7A">
        <w:rPr>
          <w:rFonts w:hint="cs"/>
          <w:b/>
          <w:bCs/>
          <w:sz w:val="18"/>
          <w:szCs w:val="18"/>
          <w:rtl/>
        </w:rPr>
        <w:t>שבט הלוי</w:t>
      </w:r>
      <w:r w:rsidRPr="006F1C7A">
        <w:rPr>
          <w:rFonts w:hint="cs"/>
          <w:sz w:val="18"/>
          <w:szCs w:val="18"/>
          <w:rtl/>
        </w:rPr>
        <w:t xml:space="preserve"> </w:t>
      </w:r>
      <w:r w:rsidRPr="006F1C7A">
        <w:rPr>
          <w:sz w:val="18"/>
          <w:szCs w:val="18"/>
          <w:rtl/>
        </w:rPr>
        <w:t>–</w:t>
      </w:r>
      <w:r w:rsidRPr="006F1C7A">
        <w:rPr>
          <w:rFonts w:hint="cs"/>
          <w:sz w:val="18"/>
          <w:szCs w:val="18"/>
          <w:rtl/>
        </w:rPr>
        <w:t xml:space="preserve"> בכל התורה כולה העראה חשובה כגמר ביאה. הרמ"א הקל כאן דעת הראב"ד שאם לא מצאה דם טהורה.</w:t>
      </w:r>
      <w:r>
        <w:rPr>
          <w:rtl/>
        </w:rPr>
        <w:br/>
      </w:r>
      <w:r w:rsidRPr="006F1C7A">
        <w:rPr>
          <w:rFonts w:hint="cs"/>
          <w:sz w:val="18"/>
          <w:szCs w:val="18"/>
          <w:rtl/>
        </w:rPr>
        <w:t>והטעם נראה, משום שבהעראה ליכא השרת בתולים וליכא דם.</w:t>
      </w:r>
    </w:p>
  </w:footnote>
  <w:footnote w:id="401">
    <w:p w:rsidR="005953C5" w:rsidRDefault="005953C5" w:rsidP="00620060">
      <w:pPr>
        <w:pStyle w:val="a3"/>
      </w:pPr>
      <w:r w:rsidRPr="006A5832">
        <w:rPr>
          <w:rStyle w:val="a5"/>
          <w:sz w:val="18"/>
          <w:szCs w:val="18"/>
        </w:rPr>
        <w:footnoteRef/>
      </w:r>
      <w:r w:rsidRPr="006A5832">
        <w:rPr>
          <w:sz w:val="18"/>
          <w:szCs w:val="18"/>
          <w:rtl/>
        </w:rPr>
        <w:t xml:space="preserve"> </w:t>
      </w:r>
      <w:r w:rsidRPr="006A5832">
        <w:rPr>
          <w:rFonts w:hint="cs"/>
          <w:sz w:val="18"/>
          <w:szCs w:val="18"/>
          <w:rtl/>
        </w:rPr>
        <w:t xml:space="preserve">אם מסתפקים האם היה גמר ביאה, מחלק </w:t>
      </w:r>
      <w:r w:rsidRPr="006A5832">
        <w:rPr>
          <w:rFonts w:hint="cs"/>
          <w:b/>
          <w:bCs/>
          <w:sz w:val="18"/>
          <w:szCs w:val="18"/>
          <w:rtl/>
        </w:rPr>
        <w:t>בדה"ש</w:t>
      </w:r>
      <w:r w:rsidRPr="006A5832">
        <w:rPr>
          <w:rFonts w:hint="cs"/>
          <w:sz w:val="18"/>
          <w:szCs w:val="18"/>
          <w:rtl/>
        </w:rPr>
        <w:t xml:space="preserve"> כך - </w:t>
      </w:r>
      <w:r w:rsidRPr="006A5832">
        <w:rPr>
          <w:sz w:val="18"/>
          <w:szCs w:val="18"/>
          <w:rtl/>
        </w:rPr>
        <w:br/>
      </w:r>
      <w:r w:rsidRPr="006A5832">
        <w:rPr>
          <w:rFonts w:hint="cs"/>
          <w:sz w:val="18"/>
          <w:szCs w:val="18"/>
          <w:rtl/>
        </w:rPr>
        <w:t>אם היה לה צער בשעת הביאה, נאסרו.</w:t>
      </w:r>
      <w:r w:rsidRPr="006A5832">
        <w:rPr>
          <w:sz w:val="18"/>
          <w:szCs w:val="18"/>
          <w:rtl/>
        </w:rPr>
        <w:br/>
      </w:r>
      <w:r w:rsidRPr="006A5832">
        <w:rPr>
          <w:rFonts w:hint="cs"/>
          <w:sz w:val="18"/>
          <w:szCs w:val="18"/>
          <w:rtl/>
        </w:rPr>
        <w:t xml:space="preserve">אם לא היה לה צער </w:t>
      </w:r>
      <w:r w:rsidRPr="006A5832">
        <w:rPr>
          <w:rFonts w:hint="cs"/>
          <w:sz w:val="16"/>
          <w:szCs w:val="16"/>
          <w:rtl/>
        </w:rPr>
        <w:t xml:space="preserve">(ובדקה עצמה) </w:t>
      </w:r>
      <w:r w:rsidRPr="006A5832">
        <w:rPr>
          <w:rFonts w:hint="cs"/>
          <w:sz w:val="18"/>
          <w:szCs w:val="18"/>
          <w:rtl/>
        </w:rPr>
        <w:t>לא נאסרו.</w:t>
      </w:r>
    </w:p>
  </w:footnote>
  <w:footnote w:id="402">
    <w:p w:rsidR="005953C5" w:rsidRDefault="005953C5" w:rsidP="00620060">
      <w:pPr>
        <w:pStyle w:val="a3"/>
      </w:pPr>
      <w:r w:rsidRPr="009C7455">
        <w:rPr>
          <w:rStyle w:val="a5"/>
          <w:sz w:val="18"/>
          <w:szCs w:val="18"/>
        </w:rPr>
        <w:footnoteRef/>
      </w:r>
      <w:r w:rsidRPr="009C7455">
        <w:rPr>
          <w:sz w:val="18"/>
          <w:szCs w:val="18"/>
          <w:rtl/>
        </w:rPr>
        <w:t xml:space="preserve"> </w:t>
      </w:r>
      <w:r w:rsidRPr="009C7455">
        <w:rPr>
          <w:rFonts w:hint="cs"/>
          <w:sz w:val="18"/>
          <w:szCs w:val="18"/>
          <w:rtl/>
        </w:rPr>
        <w:t xml:space="preserve">זו לשון </w:t>
      </w:r>
      <w:r w:rsidRPr="009C7455">
        <w:rPr>
          <w:rFonts w:hint="cs"/>
          <w:b/>
          <w:bCs/>
          <w:sz w:val="18"/>
          <w:szCs w:val="18"/>
          <w:rtl/>
        </w:rPr>
        <w:t>הרמב"ם</w:t>
      </w:r>
      <w:r w:rsidRPr="009C7455">
        <w:rPr>
          <w:rFonts w:hint="cs"/>
          <w:sz w:val="18"/>
          <w:szCs w:val="18"/>
          <w:rtl/>
        </w:rPr>
        <w:t xml:space="preserve"> </w:t>
      </w:r>
      <w:r w:rsidRPr="009C7455">
        <w:rPr>
          <w:rFonts w:hint="cs"/>
          <w:sz w:val="16"/>
          <w:szCs w:val="16"/>
          <w:rtl/>
        </w:rPr>
        <w:t xml:space="preserve">(איסורי ביאה, יא, ח) </w:t>
      </w:r>
      <w:r w:rsidRPr="009C7455">
        <w:rPr>
          <w:rFonts w:hint="cs"/>
          <w:sz w:val="18"/>
          <w:szCs w:val="18"/>
          <w:rtl/>
        </w:rPr>
        <w:t xml:space="preserve">- </w:t>
      </w:r>
      <w:r w:rsidRPr="009C7455">
        <w:rPr>
          <w:sz w:val="18"/>
          <w:szCs w:val="18"/>
          <w:rtl/>
        </w:rPr>
        <w:br/>
      </w:r>
      <w:r w:rsidRPr="009C7455">
        <w:rPr>
          <w:rFonts w:hint="cs"/>
          <w:sz w:val="18"/>
          <w:szCs w:val="18"/>
          <w:rtl/>
        </w:rPr>
        <w:t>"</w:t>
      </w:r>
      <w:r w:rsidRPr="009C7455">
        <w:rPr>
          <w:rFonts w:cs="Arial" w:hint="cs"/>
          <w:sz w:val="18"/>
          <w:szCs w:val="18"/>
          <w:rtl/>
        </w:rPr>
        <w:t>דין</w:t>
      </w:r>
      <w:r w:rsidRPr="009C7455">
        <w:rPr>
          <w:rFonts w:cs="Arial"/>
          <w:sz w:val="18"/>
          <w:szCs w:val="18"/>
          <w:rtl/>
        </w:rPr>
        <w:t xml:space="preserve"> </w:t>
      </w:r>
      <w:r w:rsidRPr="009C7455">
        <w:rPr>
          <w:rFonts w:cs="Arial" w:hint="cs"/>
          <w:sz w:val="18"/>
          <w:szCs w:val="18"/>
          <w:rtl/>
        </w:rPr>
        <w:t>דם</w:t>
      </w:r>
      <w:r w:rsidRPr="009C7455">
        <w:rPr>
          <w:rFonts w:cs="Arial"/>
          <w:sz w:val="18"/>
          <w:szCs w:val="18"/>
          <w:rtl/>
        </w:rPr>
        <w:t xml:space="preserve"> </w:t>
      </w:r>
      <w:r w:rsidRPr="009C7455">
        <w:rPr>
          <w:rFonts w:cs="Arial" w:hint="cs"/>
          <w:sz w:val="18"/>
          <w:szCs w:val="18"/>
          <w:rtl/>
        </w:rPr>
        <w:t>בתולים... וכל</w:t>
      </w:r>
      <w:r w:rsidRPr="009C7455">
        <w:rPr>
          <w:rFonts w:cs="Arial"/>
          <w:sz w:val="18"/>
          <w:szCs w:val="18"/>
          <w:rtl/>
        </w:rPr>
        <w:t xml:space="preserve"> </w:t>
      </w:r>
      <w:r w:rsidRPr="009C7455">
        <w:rPr>
          <w:rFonts w:cs="Arial" w:hint="cs"/>
          <w:sz w:val="18"/>
          <w:szCs w:val="18"/>
          <w:rtl/>
        </w:rPr>
        <w:t>זמן</w:t>
      </w:r>
      <w:r w:rsidRPr="009C7455">
        <w:rPr>
          <w:rFonts w:cs="Arial"/>
          <w:sz w:val="18"/>
          <w:szCs w:val="18"/>
          <w:rtl/>
        </w:rPr>
        <w:t xml:space="preserve"> </w:t>
      </w:r>
      <w:r w:rsidRPr="009C7455">
        <w:rPr>
          <w:rFonts w:cs="Arial" w:hint="cs"/>
          <w:sz w:val="18"/>
          <w:szCs w:val="18"/>
          <w:rtl/>
        </w:rPr>
        <w:t>שתראה</w:t>
      </w:r>
      <w:r w:rsidRPr="009C7455">
        <w:rPr>
          <w:rFonts w:cs="Arial"/>
          <w:sz w:val="18"/>
          <w:szCs w:val="18"/>
          <w:rtl/>
        </w:rPr>
        <w:t xml:space="preserve"> </w:t>
      </w:r>
      <w:r w:rsidRPr="009C7455">
        <w:rPr>
          <w:rFonts w:cs="Arial" w:hint="cs"/>
          <w:sz w:val="18"/>
          <w:szCs w:val="18"/>
          <w:rtl/>
        </w:rPr>
        <w:t>הדם</w:t>
      </w:r>
      <w:r w:rsidRPr="009C7455">
        <w:rPr>
          <w:rFonts w:cs="Arial"/>
          <w:sz w:val="18"/>
          <w:szCs w:val="18"/>
          <w:rtl/>
        </w:rPr>
        <w:t xml:space="preserve"> </w:t>
      </w:r>
      <w:r w:rsidRPr="009C7455">
        <w:rPr>
          <w:rFonts w:cs="Arial" w:hint="cs"/>
          <w:sz w:val="18"/>
          <w:szCs w:val="18"/>
          <w:rtl/>
        </w:rPr>
        <w:t>מחמת</w:t>
      </w:r>
      <w:r w:rsidRPr="009C7455">
        <w:rPr>
          <w:rFonts w:cs="Arial"/>
          <w:sz w:val="18"/>
          <w:szCs w:val="18"/>
          <w:rtl/>
        </w:rPr>
        <w:t xml:space="preserve"> </w:t>
      </w:r>
      <w:r w:rsidRPr="009C7455">
        <w:rPr>
          <w:rFonts w:cs="Arial" w:hint="cs"/>
          <w:sz w:val="18"/>
          <w:szCs w:val="18"/>
          <w:rtl/>
        </w:rPr>
        <w:t>המכה</w:t>
      </w:r>
      <w:r w:rsidRPr="009C7455">
        <w:rPr>
          <w:rFonts w:cs="Arial"/>
          <w:sz w:val="18"/>
          <w:szCs w:val="18"/>
          <w:rtl/>
        </w:rPr>
        <w:t xml:space="preserve"> </w:t>
      </w:r>
      <w:r w:rsidRPr="009C7455">
        <w:rPr>
          <w:rFonts w:cs="Arial" w:hint="cs"/>
          <w:sz w:val="18"/>
          <w:szCs w:val="18"/>
          <w:rtl/>
        </w:rPr>
        <w:t>הרי</w:t>
      </w:r>
      <w:r w:rsidRPr="009C7455">
        <w:rPr>
          <w:rFonts w:cs="Arial"/>
          <w:sz w:val="18"/>
          <w:szCs w:val="18"/>
          <w:rtl/>
        </w:rPr>
        <w:t xml:space="preserve"> </w:t>
      </w:r>
      <w:r w:rsidRPr="009C7455">
        <w:rPr>
          <w:rFonts w:cs="Arial" w:hint="cs"/>
          <w:sz w:val="18"/>
          <w:szCs w:val="18"/>
          <w:rtl/>
        </w:rPr>
        <w:t>היא</w:t>
      </w:r>
      <w:r w:rsidRPr="009C7455">
        <w:rPr>
          <w:rFonts w:cs="Arial"/>
          <w:sz w:val="18"/>
          <w:szCs w:val="18"/>
          <w:rtl/>
        </w:rPr>
        <w:t xml:space="preserve"> </w:t>
      </w:r>
      <w:r w:rsidRPr="009C7455">
        <w:rPr>
          <w:rFonts w:cs="Arial" w:hint="cs"/>
          <w:sz w:val="18"/>
          <w:szCs w:val="18"/>
          <w:rtl/>
        </w:rPr>
        <w:t>טמאה</w:t>
      </w:r>
      <w:r w:rsidRPr="009C7455">
        <w:rPr>
          <w:rFonts w:cs="Arial"/>
          <w:sz w:val="18"/>
          <w:szCs w:val="18"/>
          <w:rtl/>
        </w:rPr>
        <w:t xml:space="preserve">, </w:t>
      </w:r>
      <w:r w:rsidRPr="009C7455">
        <w:rPr>
          <w:rFonts w:cs="Arial" w:hint="cs"/>
          <w:sz w:val="18"/>
          <w:szCs w:val="18"/>
          <w:rtl/>
        </w:rPr>
        <w:t>ואחר</w:t>
      </w:r>
      <w:r w:rsidRPr="009C7455">
        <w:rPr>
          <w:rFonts w:cs="Arial"/>
          <w:sz w:val="18"/>
          <w:szCs w:val="18"/>
          <w:rtl/>
        </w:rPr>
        <w:t xml:space="preserve"> </w:t>
      </w:r>
      <w:r w:rsidRPr="009C7455">
        <w:rPr>
          <w:rFonts w:cs="Arial" w:hint="cs"/>
          <w:sz w:val="18"/>
          <w:szCs w:val="18"/>
          <w:rtl/>
        </w:rPr>
        <w:t>שיפסוק</w:t>
      </w:r>
      <w:r w:rsidRPr="009C7455">
        <w:rPr>
          <w:rFonts w:cs="Arial"/>
          <w:sz w:val="18"/>
          <w:szCs w:val="18"/>
          <w:rtl/>
        </w:rPr>
        <w:t xml:space="preserve"> </w:t>
      </w:r>
      <w:r w:rsidRPr="009C7455">
        <w:rPr>
          <w:rFonts w:cs="Arial" w:hint="cs"/>
          <w:sz w:val="18"/>
          <w:szCs w:val="18"/>
          <w:rtl/>
        </w:rPr>
        <w:t>הדם</w:t>
      </w:r>
      <w:r w:rsidRPr="009C7455">
        <w:rPr>
          <w:rFonts w:cs="Arial"/>
          <w:sz w:val="18"/>
          <w:szCs w:val="18"/>
          <w:rtl/>
        </w:rPr>
        <w:t xml:space="preserve"> </w:t>
      </w:r>
      <w:r w:rsidRPr="009C7455">
        <w:rPr>
          <w:rFonts w:cs="Arial" w:hint="cs"/>
          <w:sz w:val="18"/>
          <w:szCs w:val="18"/>
          <w:rtl/>
        </w:rPr>
        <w:t>סופרת</w:t>
      </w:r>
      <w:r w:rsidRPr="009C7455">
        <w:rPr>
          <w:rFonts w:cs="Arial"/>
          <w:sz w:val="18"/>
          <w:szCs w:val="18"/>
          <w:rtl/>
        </w:rPr>
        <w:t xml:space="preserve"> </w:t>
      </w:r>
      <w:r w:rsidRPr="009C7455">
        <w:rPr>
          <w:rFonts w:cs="Arial" w:hint="cs"/>
          <w:sz w:val="18"/>
          <w:szCs w:val="18"/>
          <w:rtl/>
        </w:rPr>
        <w:t>ז</w:t>
      </w:r>
      <w:r w:rsidRPr="009C7455">
        <w:rPr>
          <w:rFonts w:cs="Arial"/>
          <w:sz w:val="18"/>
          <w:szCs w:val="18"/>
          <w:rtl/>
        </w:rPr>
        <w:t xml:space="preserve">' </w:t>
      </w:r>
      <w:r w:rsidRPr="009C7455">
        <w:rPr>
          <w:rFonts w:cs="Arial" w:hint="cs"/>
          <w:sz w:val="18"/>
          <w:szCs w:val="18"/>
          <w:rtl/>
        </w:rPr>
        <w:t>ימים</w:t>
      </w:r>
      <w:r w:rsidRPr="009C7455">
        <w:rPr>
          <w:rFonts w:cs="Arial"/>
          <w:sz w:val="18"/>
          <w:szCs w:val="18"/>
          <w:rtl/>
        </w:rPr>
        <w:t xml:space="preserve"> </w:t>
      </w:r>
      <w:r w:rsidRPr="009C7455">
        <w:rPr>
          <w:rFonts w:cs="Arial" w:hint="cs"/>
          <w:sz w:val="18"/>
          <w:szCs w:val="18"/>
          <w:rtl/>
        </w:rPr>
        <w:t>נקיים".</w:t>
      </w:r>
      <w:r w:rsidRPr="009C7455">
        <w:rPr>
          <w:rFonts w:cs="Arial"/>
          <w:sz w:val="18"/>
          <w:szCs w:val="18"/>
          <w:rtl/>
        </w:rPr>
        <w:br/>
      </w:r>
      <w:r w:rsidRPr="009C7455">
        <w:rPr>
          <w:rFonts w:cs="Arial" w:hint="cs"/>
          <w:b/>
          <w:bCs/>
          <w:sz w:val="18"/>
          <w:szCs w:val="18"/>
          <w:rtl/>
        </w:rPr>
        <w:t>הגה"מ</w:t>
      </w:r>
      <w:r w:rsidRPr="009C7455">
        <w:rPr>
          <w:rFonts w:cs="Arial" w:hint="cs"/>
          <w:sz w:val="18"/>
          <w:szCs w:val="18"/>
          <w:rtl/>
        </w:rPr>
        <w:t xml:space="preserve"> </w:t>
      </w:r>
      <w:r w:rsidRPr="009C7455">
        <w:rPr>
          <w:rFonts w:cs="Arial"/>
          <w:sz w:val="18"/>
          <w:szCs w:val="18"/>
          <w:rtl/>
        </w:rPr>
        <w:t>–</w:t>
      </w:r>
      <w:r w:rsidRPr="009C7455">
        <w:rPr>
          <w:rFonts w:cs="Arial" w:hint="cs"/>
          <w:sz w:val="18"/>
          <w:szCs w:val="18"/>
          <w:rtl/>
        </w:rPr>
        <w:t xml:space="preserve"> משמע ברמב"ם שמייד לאחר שהדם פוסק מונה ז' נקיים, ואינה צריכה להמתין עד שתפלוט ש"ז.</w:t>
      </w:r>
      <w:r w:rsidRPr="009C7455">
        <w:rPr>
          <w:rFonts w:cs="Arial"/>
          <w:sz w:val="18"/>
          <w:szCs w:val="18"/>
          <w:rtl/>
        </w:rPr>
        <w:br/>
      </w:r>
      <w:r w:rsidRPr="009C7455">
        <w:rPr>
          <w:rFonts w:cs="Arial" w:hint="cs"/>
          <w:b/>
          <w:bCs/>
          <w:sz w:val="18"/>
          <w:szCs w:val="18"/>
          <w:rtl/>
        </w:rPr>
        <w:t>בית יוסף</w:t>
      </w:r>
      <w:r w:rsidRPr="009C7455">
        <w:rPr>
          <w:rFonts w:cs="Arial" w:hint="cs"/>
          <w:sz w:val="18"/>
          <w:szCs w:val="18"/>
          <w:rtl/>
        </w:rPr>
        <w:t xml:space="preserve"> </w:t>
      </w:r>
      <w:r w:rsidRPr="009C7455">
        <w:rPr>
          <w:rFonts w:cs="Arial"/>
          <w:sz w:val="18"/>
          <w:szCs w:val="18"/>
          <w:rtl/>
        </w:rPr>
        <w:t>–</w:t>
      </w:r>
      <w:r w:rsidRPr="009C7455">
        <w:rPr>
          <w:rFonts w:cs="Arial" w:hint="cs"/>
          <w:sz w:val="18"/>
          <w:szCs w:val="18"/>
          <w:rtl/>
        </w:rPr>
        <w:t xml:space="preserve"> הרמב"ם לא נחית כאן לדיני פליטת ש"ז, אלא רק השמיע את עיקר הדין שבדם בתולים יש למנות ז' נקיים, ואם היה סובר שיש חילוק בינה לשאר נידה היה לו לפרש להדיא את החילוק.</w:t>
      </w:r>
    </w:p>
  </w:footnote>
  <w:footnote w:id="403">
    <w:p w:rsidR="005953C5" w:rsidRDefault="005953C5" w:rsidP="00620060">
      <w:pPr>
        <w:pStyle w:val="a3"/>
        <w:rPr>
          <w:rtl/>
        </w:rPr>
      </w:pPr>
      <w:r w:rsidRPr="00546E90">
        <w:rPr>
          <w:rStyle w:val="a5"/>
          <w:sz w:val="18"/>
          <w:szCs w:val="18"/>
        </w:rPr>
        <w:footnoteRef/>
      </w:r>
      <w:r w:rsidRPr="00546E90">
        <w:rPr>
          <w:sz w:val="18"/>
          <w:szCs w:val="18"/>
          <w:rtl/>
        </w:rPr>
        <w:t xml:space="preserve"> </w:t>
      </w:r>
      <w:r w:rsidRPr="00546E90">
        <w:rPr>
          <w:rFonts w:hint="cs"/>
          <w:sz w:val="18"/>
          <w:szCs w:val="18"/>
          <w:u w:val="single"/>
          <w:rtl/>
        </w:rPr>
        <w:t xml:space="preserve">דין </w:t>
      </w:r>
      <w:r>
        <w:rPr>
          <w:rFonts w:hint="cs"/>
          <w:sz w:val="18"/>
          <w:szCs w:val="18"/>
          <w:u w:val="single"/>
          <w:rtl/>
        </w:rPr>
        <w:t xml:space="preserve">טהרה לאחר שראתה </w:t>
      </w:r>
      <w:r w:rsidRPr="00546E90">
        <w:rPr>
          <w:rFonts w:hint="cs"/>
          <w:sz w:val="18"/>
          <w:szCs w:val="18"/>
          <w:u w:val="single"/>
          <w:rtl/>
        </w:rPr>
        <w:t>דם בתולים בביאה שנייה (ששבה"ל)</w:t>
      </w:r>
      <w:r w:rsidRPr="00546E90">
        <w:rPr>
          <w:rFonts w:hint="cs"/>
          <w:sz w:val="18"/>
          <w:szCs w:val="18"/>
          <w:u w:val="single"/>
          <w:rtl/>
        </w:rPr>
        <w:br/>
      </w:r>
      <w:r w:rsidRPr="00546E90">
        <w:rPr>
          <w:rFonts w:hint="cs"/>
          <w:sz w:val="18"/>
          <w:szCs w:val="18"/>
          <w:rtl/>
        </w:rPr>
        <w:t xml:space="preserve">יש אומרים </w:t>
      </w:r>
      <w:r w:rsidRPr="00546E90">
        <w:rPr>
          <w:sz w:val="18"/>
          <w:szCs w:val="18"/>
          <w:rtl/>
        </w:rPr>
        <w:t>–</w:t>
      </w:r>
      <w:r w:rsidRPr="00546E90">
        <w:rPr>
          <w:rFonts w:hint="cs"/>
          <w:sz w:val="18"/>
          <w:szCs w:val="18"/>
          <w:rtl/>
        </w:rPr>
        <w:t xml:space="preserve"> רק בביאה א' הקלו כנגד הרמ"א, אך בביאה ב' וג' לא הקלו אע"פ שהיה דם בתולים.</w:t>
      </w:r>
      <w:r w:rsidRPr="00546E90">
        <w:rPr>
          <w:rFonts w:hint="cs"/>
          <w:sz w:val="18"/>
          <w:szCs w:val="18"/>
          <w:u w:val="single"/>
          <w:rtl/>
        </w:rPr>
        <w:br/>
      </w:r>
      <w:r w:rsidRPr="00546E90">
        <w:rPr>
          <w:rFonts w:hint="cs"/>
          <w:sz w:val="18"/>
          <w:szCs w:val="18"/>
          <w:rtl/>
        </w:rPr>
        <w:t xml:space="preserve">ויש אומרים </w:t>
      </w:r>
      <w:r w:rsidRPr="00546E90">
        <w:rPr>
          <w:sz w:val="18"/>
          <w:szCs w:val="18"/>
          <w:rtl/>
        </w:rPr>
        <w:t>–</w:t>
      </w:r>
      <w:r w:rsidRPr="00546E90">
        <w:rPr>
          <w:rFonts w:hint="cs"/>
          <w:sz w:val="18"/>
          <w:szCs w:val="18"/>
          <w:rtl/>
        </w:rPr>
        <w:t xml:space="preserve"> ביאה א' לאו דווקא, אלא הוא הדין בכל הביאות שיש לחוש לדם בתולים.</w:t>
      </w:r>
      <w:r w:rsidRPr="00546E90">
        <w:rPr>
          <w:sz w:val="18"/>
          <w:szCs w:val="18"/>
          <w:rtl/>
        </w:rPr>
        <w:br/>
      </w:r>
      <w:r w:rsidRPr="00546E90">
        <w:rPr>
          <w:rFonts w:hint="cs"/>
          <w:sz w:val="18"/>
          <w:szCs w:val="18"/>
          <w:rtl/>
        </w:rPr>
        <w:t xml:space="preserve">למעשה </w:t>
      </w:r>
      <w:r w:rsidRPr="00546E90">
        <w:rPr>
          <w:sz w:val="18"/>
          <w:szCs w:val="18"/>
          <w:rtl/>
        </w:rPr>
        <w:t>–</w:t>
      </w:r>
      <w:r w:rsidRPr="00546E90">
        <w:rPr>
          <w:rFonts w:hint="cs"/>
          <w:sz w:val="18"/>
          <w:szCs w:val="18"/>
          <w:rtl/>
        </w:rPr>
        <w:t xml:space="preserve"> אם הביאה הראשונה היתה ביאה גמורה עם ריבוי דם, בדרך כלל לא יהיה דם בתולים בביאה שנייה, ואם ראתה דם אין מקלים.</w:t>
      </w:r>
      <w:r w:rsidRPr="00546E90">
        <w:rPr>
          <w:sz w:val="18"/>
          <w:szCs w:val="18"/>
          <w:rtl/>
        </w:rPr>
        <w:br/>
      </w:r>
      <w:r w:rsidRPr="00546E90">
        <w:rPr>
          <w:rFonts w:hint="cs"/>
          <w:sz w:val="18"/>
          <w:szCs w:val="18"/>
          <w:rtl/>
        </w:rPr>
        <w:t>ברם, מצוי שבביאה ראשונה לא היתה ביאה גמורה אלא שמחמירים למנות ז' נקיים אפילו כשאין דם, ו</w:t>
      </w:r>
      <w:r>
        <w:rPr>
          <w:rFonts w:hint="cs"/>
          <w:sz w:val="18"/>
          <w:szCs w:val="18"/>
          <w:rtl/>
        </w:rPr>
        <w:t>יש לעשות שאלת חכם, ו</w:t>
      </w:r>
      <w:r w:rsidRPr="00546E90">
        <w:rPr>
          <w:rFonts w:hint="cs"/>
          <w:sz w:val="18"/>
          <w:szCs w:val="18"/>
          <w:rtl/>
        </w:rPr>
        <w:t xml:space="preserve">לצורך </w:t>
      </w:r>
      <w:r>
        <w:rPr>
          <w:rFonts w:hint="cs"/>
          <w:sz w:val="18"/>
          <w:szCs w:val="18"/>
          <w:rtl/>
        </w:rPr>
        <w:t>מקלים</w:t>
      </w:r>
      <w:r w:rsidRPr="00546E90">
        <w:rPr>
          <w:rFonts w:hint="cs"/>
          <w:sz w:val="18"/>
          <w:szCs w:val="18"/>
          <w:rtl/>
        </w:rPr>
        <w:t>.</w:t>
      </w:r>
    </w:p>
  </w:footnote>
  <w:footnote w:id="404">
    <w:p w:rsidR="005953C5" w:rsidRDefault="005953C5" w:rsidP="00620060">
      <w:pPr>
        <w:pStyle w:val="a3"/>
        <w:rPr>
          <w:rtl/>
        </w:rPr>
      </w:pPr>
      <w:r w:rsidRPr="00933BCC">
        <w:rPr>
          <w:rStyle w:val="a5"/>
          <w:sz w:val="18"/>
          <w:szCs w:val="18"/>
        </w:rPr>
        <w:footnoteRef/>
      </w:r>
      <w:r w:rsidRPr="00933BCC">
        <w:rPr>
          <w:sz w:val="18"/>
          <w:szCs w:val="18"/>
          <w:rtl/>
        </w:rPr>
        <w:t xml:space="preserve"> </w:t>
      </w:r>
      <w:r w:rsidRPr="00933BCC">
        <w:rPr>
          <w:rFonts w:hint="cs"/>
          <w:b/>
          <w:bCs/>
          <w:sz w:val="18"/>
          <w:szCs w:val="18"/>
          <w:rtl/>
        </w:rPr>
        <w:t>ששבה"ל</w:t>
      </w:r>
      <w:r w:rsidRPr="00933BCC">
        <w:rPr>
          <w:rFonts w:hint="cs"/>
          <w:sz w:val="18"/>
          <w:szCs w:val="18"/>
          <w:rtl/>
        </w:rPr>
        <w:t xml:space="preserve"> </w:t>
      </w:r>
      <w:r w:rsidRPr="00933BCC">
        <w:rPr>
          <w:sz w:val="18"/>
          <w:szCs w:val="18"/>
          <w:rtl/>
        </w:rPr>
        <w:t>–</w:t>
      </w:r>
      <w:r w:rsidRPr="00933BCC">
        <w:rPr>
          <w:rFonts w:hint="cs"/>
          <w:sz w:val="18"/>
          <w:szCs w:val="18"/>
          <w:rtl/>
        </w:rPr>
        <w:t xml:space="preserve"> מקשים העולם מה ראו חכמים להקל דווקא בזה?</w:t>
      </w:r>
      <w:r>
        <w:rPr>
          <w:rFonts w:hint="cs"/>
          <w:sz w:val="18"/>
          <w:szCs w:val="18"/>
          <w:rtl/>
        </w:rPr>
        <w:t xml:space="preserve"> </w:t>
      </w:r>
      <w:r w:rsidRPr="00933BCC">
        <w:rPr>
          <w:rFonts w:hint="cs"/>
          <w:sz w:val="18"/>
          <w:szCs w:val="18"/>
          <w:rtl/>
        </w:rPr>
        <w:t>וכנראה שהוא משום היכר בין דם נידה לדם בתולים.</w:t>
      </w:r>
    </w:p>
  </w:footnote>
  <w:footnote w:id="405">
    <w:p w:rsidR="005953C5" w:rsidRDefault="005953C5" w:rsidP="00620060">
      <w:pPr>
        <w:pStyle w:val="a3"/>
      </w:pPr>
      <w:r w:rsidRPr="007D42B9">
        <w:rPr>
          <w:rStyle w:val="a5"/>
          <w:sz w:val="18"/>
          <w:szCs w:val="18"/>
        </w:rPr>
        <w:footnoteRef/>
      </w:r>
      <w:r w:rsidRPr="007D42B9">
        <w:rPr>
          <w:sz w:val="18"/>
          <w:szCs w:val="18"/>
          <w:rtl/>
        </w:rPr>
        <w:t xml:space="preserve"> </w:t>
      </w:r>
      <w:r w:rsidRPr="007D42B9">
        <w:rPr>
          <w:rFonts w:hint="cs"/>
          <w:sz w:val="18"/>
          <w:szCs w:val="18"/>
          <w:rtl/>
        </w:rPr>
        <w:t>ע"פ הספר '</w:t>
      </w:r>
      <w:r w:rsidRPr="007D42B9">
        <w:rPr>
          <w:rFonts w:hint="cs"/>
          <w:b/>
          <w:bCs/>
          <w:sz w:val="18"/>
          <w:szCs w:val="18"/>
          <w:rtl/>
        </w:rPr>
        <w:t>שירת</w:t>
      </w:r>
      <w:r w:rsidRPr="007D42B9">
        <w:rPr>
          <w:rFonts w:hint="cs"/>
          <w:sz w:val="18"/>
          <w:szCs w:val="18"/>
          <w:rtl/>
        </w:rPr>
        <w:t xml:space="preserve"> </w:t>
      </w:r>
      <w:r w:rsidRPr="007D42B9">
        <w:rPr>
          <w:rFonts w:hint="cs"/>
          <w:b/>
          <w:bCs/>
          <w:sz w:val="18"/>
          <w:szCs w:val="18"/>
          <w:rtl/>
        </w:rPr>
        <w:t>הים</w:t>
      </w:r>
      <w:r w:rsidRPr="007D42B9">
        <w:rPr>
          <w:rFonts w:hint="cs"/>
          <w:sz w:val="18"/>
          <w:szCs w:val="18"/>
          <w:rtl/>
        </w:rPr>
        <w:t>'.</w:t>
      </w:r>
    </w:p>
  </w:footnote>
  <w:footnote w:id="406">
    <w:p w:rsidR="005953C5" w:rsidRDefault="005953C5" w:rsidP="00620060">
      <w:pPr>
        <w:pStyle w:val="a3"/>
      </w:pPr>
      <w:r w:rsidRPr="00B46BFB">
        <w:rPr>
          <w:rStyle w:val="a5"/>
          <w:sz w:val="18"/>
          <w:szCs w:val="18"/>
        </w:rPr>
        <w:footnoteRef/>
      </w:r>
      <w:r w:rsidRPr="00B46BFB">
        <w:rPr>
          <w:sz w:val="18"/>
          <w:szCs w:val="18"/>
          <w:rtl/>
        </w:rPr>
        <w:t xml:space="preserve"> </w:t>
      </w:r>
      <w:r w:rsidRPr="00B46BFB">
        <w:rPr>
          <w:rFonts w:hint="cs"/>
          <w:sz w:val="18"/>
          <w:szCs w:val="18"/>
          <w:rtl/>
        </w:rPr>
        <w:t xml:space="preserve">ולדברי </w:t>
      </w:r>
      <w:r w:rsidRPr="00B46BFB">
        <w:rPr>
          <w:rFonts w:hint="cs"/>
          <w:b/>
          <w:bCs/>
          <w:sz w:val="18"/>
          <w:szCs w:val="18"/>
          <w:rtl/>
        </w:rPr>
        <w:t>הלבוש</w:t>
      </w:r>
      <w:r w:rsidRPr="00B46BFB">
        <w:rPr>
          <w:rFonts w:hint="cs"/>
          <w:sz w:val="18"/>
          <w:szCs w:val="18"/>
          <w:rtl/>
        </w:rPr>
        <w:t xml:space="preserve"> לעיל, שחכמים גזרו על דם בתולים עצמו שיטמא, פשוט שגם כאן טמאה.</w:t>
      </w:r>
    </w:p>
  </w:footnote>
  <w:footnote w:id="407">
    <w:p w:rsidR="005953C5" w:rsidRDefault="005953C5" w:rsidP="00620060">
      <w:pPr>
        <w:pStyle w:val="a3"/>
      </w:pPr>
      <w:r w:rsidRPr="00B36A5F">
        <w:rPr>
          <w:rStyle w:val="a5"/>
          <w:sz w:val="18"/>
          <w:szCs w:val="18"/>
        </w:rPr>
        <w:footnoteRef/>
      </w:r>
      <w:r w:rsidRPr="00B36A5F">
        <w:rPr>
          <w:sz w:val="18"/>
          <w:szCs w:val="18"/>
          <w:rtl/>
        </w:rPr>
        <w:t xml:space="preserve"> </w:t>
      </w:r>
      <w:r w:rsidRPr="00B36A5F">
        <w:rPr>
          <w:rFonts w:hint="cs"/>
          <w:sz w:val="18"/>
          <w:szCs w:val="18"/>
          <w:rtl/>
        </w:rPr>
        <w:t xml:space="preserve">נחלקו הראשונים בביאור דברי רבי מרינוס </w:t>
      </w:r>
      <w:r w:rsidRPr="00B36A5F">
        <w:rPr>
          <w:rFonts w:hint="cs"/>
          <w:sz w:val="16"/>
          <w:szCs w:val="16"/>
          <w:rtl/>
        </w:rPr>
        <w:t>(ע"פ הסבר 'ארטסקרול' (שוטנשטיין</w:t>
      </w:r>
      <w:r>
        <w:rPr>
          <w:rFonts w:hint="cs"/>
          <w:sz w:val="16"/>
          <w:szCs w:val="16"/>
          <w:rtl/>
        </w:rPr>
        <w:t>)</w:t>
      </w:r>
      <w:r w:rsidRPr="00B36A5F">
        <w:rPr>
          <w:rFonts w:hint="cs"/>
          <w:sz w:val="16"/>
          <w:szCs w:val="16"/>
          <w:rtl/>
        </w:rPr>
        <w:t>)</w:t>
      </w:r>
      <w:r>
        <w:rPr>
          <w:rFonts w:hint="cs"/>
          <w:sz w:val="18"/>
          <w:szCs w:val="18"/>
          <w:rtl/>
        </w:rPr>
        <w:t>.</w:t>
      </w:r>
      <w:r w:rsidRPr="00B36A5F">
        <w:rPr>
          <w:rFonts w:hint="cs"/>
          <w:sz w:val="16"/>
          <w:szCs w:val="16"/>
          <w:rtl/>
        </w:rPr>
        <w:t xml:space="preserve"> </w:t>
      </w:r>
      <w:r w:rsidRPr="00B36A5F">
        <w:rPr>
          <w:rFonts w:hint="cs"/>
          <w:sz w:val="18"/>
          <w:szCs w:val="18"/>
          <w:rtl/>
        </w:rPr>
        <w:t xml:space="preserve">- </w:t>
      </w:r>
      <w:r w:rsidRPr="00B36A5F">
        <w:rPr>
          <w:sz w:val="18"/>
          <w:szCs w:val="18"/>
          <w:rtl/>
        </w:rPr>
        <w:br/>
      </w:r>
      <w:r w:rsidRPr="00C3158D">
        <w:rPr>
          <w:rFonts w:hint="cs"/>
          <w:b/>
          <w:bCs/>
          <w:sz w:val="18"/>
          <w:szCs w:val="18"/>
          <w:rtl/>
        </w:rPr>
        <w:t>רמב"ן</w:t>
      </w:r>
      <w:r w:rsidRPr="00B36A5F">
        <w:rPr>
          <w:rFonts w:hint="cs"/>
          <w:sz w:val="18"/>
          <w:szCs w:val="18"/>
          <w:rtl/>
        </w:rPr>
        <w:t xml:space="preserve"> </w:t>
      </w:r>
      <w:r w:rsidRPr="00B36A5F">
        <w:rPr>
          <w:sz w:val="18"/>
          <w:szCs w:val="18"/>
          <w:rtl/>
        </w:rPr>
        <w:t>–</w:t>
      </w:r>
      <w:r w:rsidRPr="00B36A5F">
        <w:rPr>
          <w:rFonts w:hint="cs"/>
          <w:sz w:val="18"/>
          <w:szCs w:val="18"/>
          <w:rtl/>
        </w:rPr>
        <w:t xml:space="preserve"> מדובר בלידה רגילה, כלומר שראתה בה דם</w:t>
      </w:r>
      <w:r>
        <w:rPr>
          <w:rFonts w:hint="cs"/>
          <w:sz w:val="18"/>
          <w:szCs w:val="18"/>
          <w:rtl/>
        </w:rPr>
        <w:t>,</w:t>
      </w:r>
      <w:r w:rsidRPr="00B36A5F">
        <w:rPr>
          <w:rFonts w:hint="cs"/>
          <w:sz w:val="18"/>
          <w:szCs w:val="18"/>
          <w:rtl/>
        </w:rPr>
        <w:t xml:space="preserve"> ואעפ"כ אין הדם והלידה סותרים את ז' הנקיים.</w:t>
      </w:r>
      <w:r w:rsidRPr="00B36A5F">
        <w:rPr>
          <w:sz w:val="18"/>
          <w:szCs w:val="18"/>
          <w:rtl/>
        </w:rPr>
        <w:br/>
      </w:r>
      <w:r w:rsidRPr="00B36A5F">
        <w:rPr>
          <w:rFonts w:hint="cs"/>
          <w:sz w:val="18"/>
          <w:szCs w:val="18"/>
          <w:rtl/>
        </w:rPr>
        <w:t>הדם אינו סותר משום שהוא בכלל דם קושי שאינו מטמא בזיבה, וכל שאינו מטמא בזיבה אינו סותר ז"נ.</w:t>
      </w:r>
      <w:r w:rsidRPr="00B36A5F">
        <w:rPr>
          <w:sz w:val="18"/>
          <w:szCs w:val="18"/>
          <w:rtl/>
        </w:rPr>
        <w:br/>
      </w:r>
      <w:r w:rsidRPr="00B36A5F">
        <w:rPr>
          <w:rFonts w:hint="cs"/>
          <w:sz w:val="18"/>
          <w:szCs w:val="18"/>
          <w:rtl/>
        </w:rPr>
        <w:t>הלידה עצמה אינה סותרת משום שאינה נחשבת כטומאת ראייה אלא כטומאת מגע, וטומאת מגע אינה סותרת.</w:t>
      </w:r>
      <w:r w:rsidRPr="00B36A5F">
        <w:rPr>
          <w:sz w:val="18"/>
          <w:szCs w:val="18"/>
          <w:rtl/>
        </w:rPr>
        <w:br/>
      </w:r>
      <w:r w:rsidRPr="00C3158D">
        <w:rPr>
          <w:rFonts w:hint="cs"/>
          <w:b/>
          <w:bCs/>
          <w:sz w:val="18"/>
          <w:szCs w:val="18"/>
          <w:rtl/>
        </w:rPr>
        <w:t xml:space="preserve">תוספות </w:t>
      </w:r>
      <w:r w:rsidRPr="00B36A5F">
        <w:rPr>
          <w:sz w:val="18"/>
          <w:szCs w:val="18"/>
          <w:rtl/>
        </w:rPr>
        <w:t>–</w:t>
      </w:r>
      <w:r w:rsidRPr="00B36A5F">
        <w:rPr>
          <w:rFonts w:hint="cs"/>
          <w:sz w:val="18"/>
          <w:szCs w:val="18"/>
          <w:rtl/>
        </w:rPr>
        <w:t xml:space="preserve"> מדובר במקרה שלא ראתה דם בלידה, אך אם ראתה דם בלידה סותרת את ז"נ. לפי"ז, רבי מרינוס מלמדנו שהלידה עצמה אינה סותרת את הנקיים.</w:t>
      </w:r>
    </w:p>
  </w:footnote>
  <w:footnote w:id="408">
    <w:p w:rsidR="005953C5" w:rsidRDefault="005953C5" w:rsidP="00620060">
      <w:pPr>
        <w:pStyle w:val="a3"/>
        <w:rPr>
          <w:rtl/>
        </w:rPr>
      </w:pPr>
      <w:r w:rsidRPr="003B4C07">
        <w:rPr>
          <w:rStyle w:val="a5"/>
          <w:sz w:val="18"/>
          <w:szCs w:val="18"/>
        </w:rPr>
        <w:footnoteRef/>
      </w:r>
      <w:r w:rsidRPr="003B4C07">
        <w:rPr>
          <w:sz w:val="18"/>
          <w:szCs w:val="18"/>
          <w:rtl/>
        </w:rPr>
        <w:t xml:space="preserve"> </w:t>
      </w:r>
      <w:r w:rsidRPr="003B4C07">
        <w:rPr>
          <w:rFonts w:hint="cs"/>
          <w:sz w:val="18"/>
          <w:szCs w:val="18"/>
          <w:rtl/>
        </w:rPr>
        <w:t>ר"ת יצטרך להסביר של' של יע"ל היא 'לידה', כלומר דבהא נמי קיי"ל כאביי.</w:t>
      </w:r>
    </w:p>
  </w:footnote>
  <w:footnote w:id="409">
    <w:p w:rsidR="005953C5" w:rsidRDefault="005953C5" w:rsidP="00620060">
      <w:pPr>
        <w:pStyle w:val="a3"/>
      </w:pPr>
      <w:r w:rsidRPr="003B11C4">
        <w:rPr>
          <w:rStyle w:val="a5"/>
          <w:sz w:val="18"/>
          <w:szCs w:val="18"/>
        </w:rPr>
        <w:footnoteRef/>
      </w:r>
      <w:r w:rsidRPr="003B11C4">
        <w:rPr>
          <w:sz w:val="18"/>
          <w:szCs w:val="18"/>
          <w:rtl/>
        </w:rPr>
        <w:t xml:space="preserve"> </w:t>
      </w:r>
      <w:r w:rsidRPr="003B11C4">
        <w:rPr>
          <w:rFonts w:hint="cs"/>
          <w:sz w:val="18"/>
          <w:szCs w:val="18"/>
          <w:rtl/>
        </w:rPr>
        <w:t xml:space="preserve">הרא"ש מביא ראיה לדבריו מהגמרא (לו.) </w:t>
      </w:r>
      <w:r w:rsidRPr="003B11C4">
        <w:rPr>
          <w:sz w:val="18"/>
          <w:szCs w:val="18"/>
          <w:rtl/>
        </w:rPr>
        <w:t>–</w:t>
      </w:r>
      <w:r w:rsidRPr="003B11C4">
        <w:rPr>
          <w:rFonts w:hint="cs"/>
          <w:sz w:val="18"/>
          <w:szCs w:val="18"/>
          <w:rtl/>
        </w:rPr>
        <w:t xml:space="preserve"> "</w:t>
      </w:r>
      <w:r w:rsidRPr="003B11C4">
        <w:rPr>
          <w:rFonts w:cs="Arial" w:hint="cs"/>
          <w:sz w:val="18"/>
          <w:szCs w:val="18"/>
          <w:rtl/>
        </w:rPr>
        <w:t>תא</w:t>
      </w:r>
      <w:r w:rsidRPr="003B11C4">
        <w:rPr>
          <w:rFonts w:cs="Arial"/>
          <w:sz w:val="18"/>
          <w:szCs w:val="18"/>
          <w:rtl/>
        </w:rPr>
        <w:t xml:space="preserve"> </w:t>
      </w:r>
      <w:r w:rsidRPr="003B11C4">
        <w:rPr>
          <w:rFonts w:cs="Arial" w:hint="cs"/>
          <w:sz w:val="18"/>
          <w:szCs w:val="18"/>
          <w:rtl/>
        </w:rPr>
        <w:t>שמע</w:t>
      </w:r>
      <w:r w:rsidRPr="003B11C4">
        <w:rPr>
          <w:rFonts w:cs="Arial"/>
          <w:sz w:val="18"/>
          <w:szCs w:val="18"/>
          <w:rtl/>
        </w:rPr>
        <w:t xml:space="preserve">: </w:t>
      </w:r>
      <w:r w:rsidRPr="003B11C4">
        <w:rPr>
          <w:rFonts w:cs="Arial" w:hint="cs"/>
          <w:sz w:val="18"/>
          <w:szCs w:val="18"/>
          <w:rtl/>
        </w:rPr>
        <w:t>יולדת</w:t>
      </w:r>
      <w:r w:rsidRPr="003B11C4">
        <w:rPr>
          <w:rFonts w:cs="Arial"/>
          <w:sz w:val="18"/>
          <w:szCs w:val="18"/>
          <w:rtl/>
        </w:rPr>
        <w:t xml:space="preserve"> </w:t>
      </w:r>
      <w:r w:rsidRPr="003B11C4">
        <w:rPr>
          <w:rFonts w:cs="Arial" w:hint="cs"/>
          <w:sz w:val="18"/>
          <w:szCs w:val="18"/>
          <w:rtl/>
        </w:rPr>
        <w:t>בזוב</w:t>
      </w:r>
      <w:r w:rsidRPr="003B11C4">
        <w:rPr>
          <w:rFonts w:cs="Arial"/>
          <w:sz w:val="18"/>
          <w:szCs w:val="18"/>
          <w:rtl/>
        </w:rPr>
        <w:t xml:space="preserve"> </w:t>
      </w:r>
      <w:r w:rsidRPr="003B11C4">
        <w:rPr>
          <w:rFonts w:cs="Arial" w:hint="cs"/>
          <w:sz w:val="18"/>
          <w:szCs w:val="18"/>
          <w:rtl/>
        </w:rPr>
        <w:t>שספרה</w:t>
      </w:r>
      <w:r w:rsidRPr="003B11C4">
        <w:rPr>
          <w:rFonts w:cs="Arial"/>
          <w:sz w:val="18"/>
          <w:szCs w:val="18"/>
          <w:rtl/>
        </w:rPr>
        <w:t xml:space="preserve"> </w:t>
      </w:r>
      <w:r w:rsidRPr="003B11C4">
        <w:rPr>
          <w:rFonts w:cs="Arial" w:hint="cs"/>
          <w:sz w:val="18"/>
          <w:szCs w:val="18"/>
          <w:rtl/>
        </w:rPr>
        <w:t>ולא</w:t>
      </w:r>
      <w:r w:rsidRPr="003B11C4">
        <w:rPr>
          <w:rFonts w:cs="Arial"/>
          <w:sz w:val="18"/>
          <w:szCs w:val="18"/>
          <w:rtl/>
        </w:rPr>
        <w:t xml:space="preserve"> </w:t>
      </w:r>
      <w:r w:rsidRPr="003B11C4">
        <w:rPr>
          <w:rFonts w:cs="Arial" w:hint="cs"/>
          <w:sz w:val="18"/>
          <w:szCs w:val="18"/>
          <w:rtl/>
        </w:rPr>
        <w:t>טבלה</w:t>
      </w:r>
      <w:r w:rsidRPr="003B11C4">
        <w:rPr>
          <w:rFonts w:cs="Arial"/>
          <w:sz w:val="18"/>
          <w:szCs w:val="18"/>
          <w:rtl/>
        </w:rPr>
        <w:t xml:space="preserve"> </w:t>
      </w:r>
      <w:r w:rsidRPr="003B11C4">
        <w:rPr>
          <w:rFonts w:cs="Arial" w:hint="cs"/>
          <w:sz w:val="18"/>
          <w:szCs w:val="18"/>
          <w:rtl/>
        </w:rPr>
        <w:t>וראתה</w:t>
      </w:r>
      <w:r w:rsidRPr="003B11C4">
        <w:rPr>
          <w:rFonts w:cs="Arial"/>
          <w:sz w:val="18"/>
          <w:szCs w:val="18"/>
          <w:rtl/>
        </w:rPr>
        <w:t xml:space="preserve">, </w:t>
      </w:r>
      <w:r w:rsidRPr="003B11C4">
        <w:rPr>
          <w:rFonts w:cs="Arial" w:hint="cs"/>
          <w:sz w:val="18"/>
          <w:szCs w:val="18"/>
          <w:rtl/>
        </w:rPr>
        <w:t>הלכו</w:t>
      </w:r>
      <w:r w:rsidRPr="003B11C4">
        <w:rPr>
          <w:rFonts w:cs="Arial"/>
          <w:sz w:val="18"/>
          <w:szCs w:val="18"/>
          <w:rtl/>
        </w:rPr>
        <w:t xml:space="preserve"> </w:t>
      </w:r>
      <w:r w:rsidRPr="003B11C4">
        <w:rPr>
          <w:rFonts w:cs="Arial" w:hint="cs"/>
          <w:sz w:val="18"/>
          <w:szCs w:val="18"/>
          <w:rtl/>
        </w:rPr>
        <w:t>ב</w:t>
      </w:r>
      <w:r w:rsidRPr="003B11C4">
        <w:rPr>
          <w:rFonts w:cs="Arial"/>
          <w:sz w:val="18"/>
          <w:szCs w:val="18"/>
          <w:rtl/>
        </w:rPr>
        <w:t>"</w:t>
      </w:r>
      <w:r w:rsidRPr="003B11C4">
        <w:rPr>
          <w:rFonts w:cs="Arial" w:hint="cs"/>
          <w:sz w:val="18"/>
          <w:szCs w:val="18"/>
          <w:rtl/>
        </w:rPr>
        <w:t>ש</w:t>
      </w:r>
      <w:r w:rsidRPr="003B11C4">
        <w:rPr>
          <w:rFonts w:cs="Arial"/>
          <w:sz w:val="18"/>
          <w:szCs w:val="18"/>
          <w:rtl/>
        </w:rPr>
        <w:t xml:space="preserve"> </w:t>
      </w:r>
      <w:r w:rsidRPr="003B11C4">
        <w:rPr>
          <w:rFonts w:cs="Arial" w:hint="cs"/>
          <w:sz w:val="18"/>
          <w:szCs w:val="18"/>
          <w:rtl/>
        </w:rPr>
        <w:t>לשיטתן</w:t>
      </w:r>
      <w:r w:rsidRPr="003B11C4">
        <w:rPr>
          <w:rFonts w:cs="Arial"/>
          <w:sz w:val="18"/>
          <w:szCs w:val="18"/>
          <w:rtl/>
        </w:rPr>
        <w:t xml:space="preserve"> </w:t>
      </w:r>
      <w:r w:rsidRPr="003B11C4">
        <w:rPr>
          <w:rFonts w:cs="Arial" w:hint="cs"/>
          <w:sz w:val="18"/>
          <w:szCs w:val="18"/>
          <w:rtl/>
        </w:rPr>
        <w:t>ובית</w:t>
      </w:r>
      <w:r w:rsidRPr="003B11C4">
        <w:rPr>
          <w:rFonts w:cs="Arial"/>
          <w:sz w:val="18"/>
          <w:szCs w:val="18"/>
          <w:rtl/>
        </w:rPr>
        <w:t xml:space="preserve"> </w:t>
      </w:r>
      <w:r w:rsidRPr="003B11C4">
        <w:rPr>
          <w:rFonts w:cs="Arial" w:hint="cs"/>
          <w:sz w:val="18"/>
          <w:szCs w:val="18"/>
          <w:rtl/>
        </w:rPr>
        <w:t>הלל</w:t>
      </w:r>
      <w:r w:rsidRPr="003B11C4">
        <w:rPr>
          <w:rFonts w:cs="Arial"/>
          <w:sz w:val="18"/>
          <w:szCs w:val="18"/>
          <w:rtl/>
        </w:rPr>
        <w:t xml:space="preserve"> </w:t>
      </w:r>
      <w:r w:rsidRPr="003B11C4">
        <w:rPr>
          <w:rFonts w:cs="Arial" w:hint="cs"/>
          <w:sz w:val="18"/>
          <w:szCs w:val="18"/>
          <w:rtl/>
        </w:rPr>
        <w:t>לשיטתן</w:t>
      </w:r>
      <w:r w:rsidRPr="003B11C4">
        <w:rPr>
          <w:rFonts w:cs="Arial"/>
          <w:sz w:val="18"/>
          <w:szCs w:val="18"/>
          <w:rtl/>
        </w:rPr>
        <w:t xml:space="preserve">. </w:t>
      </w:r>
      <w:r w:rsidRPr="003B11C4">
        <w:rPr>
          <w:rFonts w:cs="Arial" w:hint="cs"/>
          <w:sz w:val="18"/>
          <w:szCs w:val="18"/>
          <w:rtl/>
        </w:rPr>
        <w:t>בשלמא</w:t>
      </w:r>
      <w:r w:rsidRPr="003B11C4">
        <w:rPr>
          <w:rFonts w:cs="Arial"/>
          <w:sz w:val="18"/>
          <w:szCs w:val="18"/>
          <w:rtl/>
        </w:rPr>
        <w:t xml:space="preserve"> </w:t>
      </w:r>
      <w:r w:rsidRPr="003B11C4">
        <w:rPr>
          <w:rFonts w:cs="Arial" w:hint="cs"/>
          <w:sz w:val="18"/>
          <w:szCs w:val="18"/>
          <w:rtl/>
        </w:rPr>
        <w:t>לרב</w:t>
      </w:r>
      <w:r w:rsidRPr="003B11C4">
        <w:rPr>
          <w:rFonts w:cs="Arial"/>
          <w:sz w:val="18"/>
          <w:szCs w:val="18"/>
          <w:rtl/>
        </w:rPr>
        <w:t xml:space="preserve"> </w:t>
      </w:r>
      <w:r w:rsidRPr="003B11C4">
        <w:rPr>
          <w:rFonts w:cs="Arial" w:hint="cs"/>
          <w:sz w:val="18"/>
          <w:szCs w:val="18"/>
          <w:rtl/>
        </w:rPr>
        <w:t>דאמר</w:t>
      </w:r>
      <w:r w:rsidRPr="003B11C4">
        <w:rPr>
          <w:rFonts w:cs="Arial"/>
          <w:sz w:val="18"/>
          <w:szCs w:val="18"/>
          <w:rtl/>
        </w:rPr>
        <w:t xml:space="preserve"> </w:t>
      </w:r>
      <w:r w:rsidRPr="003B11C4">
        <w:rPr>
          <w:rFonts w:cs="Arial" w:hint="cs"/>
          <w:sz w:val="18"/>
          <w:szCs w:val="18"/>
          <w:rtl/>
        </w:rPr>
        <w:t>מעין</w:t>
      </w:r>
      <w:r w:rsidRPr="003B11C4">
        <w:rPr>
          <w:rFonts w:cs="Arial"/>
          <w:sz w:val="18"/>
          <w:szCs w:val="18"/>
          <w:rtl/>
        </w:rPr>
        <w:t xml:space="preserve"> </w:t>
      </w:r>
      <w:r w:rsidRPr="003B11C4">
        <w:rPr>
          <w:rFonts w:cs="Arial" w:hint="cs"/>
          <w:sz w:val="18"/>
          <w:szCs w:val="18"/>
          <w:rtl/>
        </w:rPr>
        <w:t>אחד</w:t>
      </w:r>
      <w:r w:rsidRPr="003B11C4">
        <w:rPr>
          <w:rFonts w:cs="Arial"/>
          <w:sz w:val="18"/>
          <w:szCs w:val="18"/>
          <w:rtl/>
        </w:rPr>
        <w:t xml:space="preserve"> </w:t>
      </w:r>
      <w:r w:rsidRPr="003B11C4">
        <w:rPr>
          <w:rFonts w:cs="Arial" w:hint="cs"/>
          <w:sz w:val="18"/>
          <w:szCs w:val="18"/>
          <w:rtl/>
        </w:rPr>
        <w:t>הוא</w:t>
      </w:r>
      <w:r w:rsidRPr="003B11C4">
        <w:rPr>
          <w:rFonts w:cs="Arial"/>
          <w:sz w:val="18"/>
          <w:szCs w:val="18"/>
          <w:rtl/>
        </w:rPr>
        <w:t xml:space="preserve"> - </w:t>
      </w:r>
      <w:r w:rsidRPr="003B11C4">
        <w:rPr>
          <w:rFonts w:cs="Arial" w:hint="cs"/>
          <w:sz w:val="18"/>
          <w:szCs w:val="18"/>
          <w:rtl/>
        </w:rPr>
        <w:t>משום</w:t>
      </w:r>
      <w:r w:rsidRPr="003B11C4">
        <w:rPr>
          <w:rFonts w:cs="Arial"/>
          <w:sz w:val="18"/>
          <w:szCs w:val="18"/>
          <w:rtl/>
        </w:rPr>
        <w:t xml:space="preserve"> </w:t>
      </w:r>
      <w:r w:rsidRPr="003B11C4">
        <w:rPr>
          <w:rFonts w:cs="Arial" w:hint="cs"/>
          <w:sz w:val="18"/>
          <w:szCs w:val="18"/>
          <w:rtl/>
        </w:rPr>
        <w:t>הכי</w:t>
      </w:r>
      <w:r w:rsidRPr="003B11C4">
        <w:rPr>
          <w:rFonts w:cs="Arial"/>
          <w:sz w:val="18"/>
          <w:szCs w:val="18"/>
          <w:rtl/>
        </w:rPr>
        <w:t xml:space="preserve"> </w:t>
      </w:r>
      <w:r w:rsidRPr="003B11C4">
        <w:rPr>
          <w:rFonts w:cs="Arial" w:hint="cs"/>
          <w:sz w:val="18"/>
          <w:szCs w:val="18"/>
          <w:rtl/>
        </w:rPr>
        <w:t>מטמא</w:t>
      </w:r>
      <w:r w:rsidRPr="003B11C4">
        <w:rPr>
          <w:rFonts w:cs="Arial"/>
          <w:sz w:val="18"/>
          <w:szCs w:val="18"/>
          <w:rtl/>
        </w:rPr>
        <w:t xml:space="preserve"> </w:t>
      </w:r>
      <w:r w:rsidRPr="003B11C4">
        <w:rPr>
          <w:rFonts w:cs="Arial" w:hint="cs"/>
          <w:sz w:val="18"/>
          <w:szCs w:val="18"/>
          <w:rtl/>
        </w:rPr>
        <w:t>לח</w:t>
      </w:r>
      <w:r w:rsidRPr="003B11C4">
        <w:rPr>
          <w:rFonts w:cs="Arial"/>
          <w:sz w:val="18"/>
          <w:szCs w:val="18"/>
          <w:rtl/>
        </w:rPr>
        <w:t xml:space="preserve"> </w:t>
      </w:r>
      <w:r w:rsidRPr="003B11C4">
        <w:rPr>
          <w:rFonts w:cs="Arial" w:hint="cs"/>
          <w:sz w:val="18"/>
          <w:szCs w:val="18"/>
          <w:rtl/>
        </w:rPr>
        <w:t>ויבש</w:t>
      </w:r>
      <w:r w:rsidRPr="003B11C4">
        <w:rPr>
          <w:rFonts w:cs="Arial"/>
          <w:sz w:val="18"/>
          <w:szCs w:val="18"/>
          <w:rtl/>
        </w:rPr>
        <w:t xml:space="preserve">, </w:t>
      </w:r>
      <w:r w:rsidRPr="003B11C4">
        <w:rPr>
          <w:rFonts w:cs="Arial" w:hint="cs"/>
          <w:sz w:val="18"/>
          <w:szCs w:val="18"/>
          <w:rtl/>
        </w:rPr>
        <w:t>אלא</w:t>
      </w:r>
      <w:r w:rsidRPr="003B11C4">
        <w:rPr>
          <w:rFonts w:cs="Arial"/>
          <w:sz w:val="18"/>
          <w:szCs w:val="18"/>
          <w:rtl/>
        </w:rPr>
        <w:t xml:space="preserve"> </w:t>
      </w:r>
      <w:r w:rsidRPr="003B11C4">
        <w:rPr>
          <w:rFonts w:cs="Arial" w:hint="cs"/>
          <w:sz w:val="18"/>
          <w:szCs w:val="18"/>
          <w:rtl/>
        </w:rPr>
        <w:t>ללוי</w:t>
      </w:r>
      <w:r w:rsidRPr="003B11C4">
        <w:rPr>
          <w:rFonts w:cs="Arial"/>
          <w:sz w:val="18"/>
          <w:szCs w:val="18"/>
          <w:rtl/>
        </w:rPr>
        <w:t xml:space="preserve"> </w:t>
      </w:r>
      <w:r w:rsidRPr="003B11C4">
        <w:rPr>
          <w:rFonts w:cs="Arial" w:hint="cs"/>
          <w:sz w:val="18"/>
          <w:szCs w:val="18"/>
          <w:rtl/>
        </w:rPr>
        <w:t>דאמר</w:t>
      </w:r>
      <w:r w:rsidRPr="003B11C4">
        <w:rPr>
          <w:rFonts w:cs="Arial"/>
          <w:sz w:val="18"/>
          <w:szCs w:val="18"/>
          <w:rtl/>
        </w:rPr>
        <w:t xml:space="preserve"> </w:t>
      </w:r>
      <w:r w:rsidRPr="003B11C4">
        <w:rPr>
          <w:rFonts w:cs="Arial" w:hint="cs"/>
          <w:sz w:val="18"/>
          <w:szCs w:val="18"/>
          <w:rtl/>
        </w:rPr>
        <w:t>שני</w:t>
      </w:r>
      <w:r w:rsidRPr="003B11C4">
        <w:rPr>
          <w:rFonts w:cs="Arial"/>
          <w:sz w:val="18"/>
          <w:szCs w:val="18"/>
          <w:rtl/>
        </w:rPr>
        <w:t xml:space="preserve"> </w:t>
      </w:r>
      <w:r w:rsidRPr="003B11C4">
        <w:rPr>
          <w:rFonts w:cs="Arial" w:hint="cs"/>
          <w:sz w:val="18"/>
          <w:szCs w:val="18"/>
          <w:rtl/>
        </w:rPr>
        <w:t>מעינות</w:t>
      </w:r>
      <w:r w:rsidRPr="003B11C4">
        <w:rPr>
          <w:rFonts w:cs="Arial"/>
          <w:sz w:val="18"/>
          <w:szCs w:val="18"/>
          <w:rtl/>
        </w:rPr>
        <w:t xml:space="preserve"> </w:t>
      </w:r>
      <w:r w:rsidRPr="003B11C4">
        <w:rPr>
          <w:rFonts w:cs="Arial" w:hint="cs"/>
          <w:sz w:val="18"/>
          <w:szCs w:val="18"/>
          <w:rtl/>
        </w:rPr>
        <w:t>הן</w:t>
      </w:r>
      <w:r w:rsidRPr="003B11C4">
        <w:rPr>
          <w:rFonts w:cs="Arial"/>
          <w:sz w:val="18"/>
          <w:szCs w:val="18"/>
          <w:rtl/>
        </w:rPr>
        <w:t xml:space="preserve"> </w:t>
      </w:r>
      <w:r w:rsidRPr="003B11C4">
        <w:rPr>
          <w:rFonts w:cs="Arial" w:hint="cs"/>
          <w:sz w:val="18"/>
          <w:szCs w:val="18"/>
          <w:rtl/>
        </w:rPr>
        <w:t>אמאי</w:t>
      </w:r>
      <w:r w:rsidRPr="003B11C4">
        <w:rPr>
          <w:rFonts w:cs="Arial"/>
          <w:sz w:val="18"/>
          <w:szCs w:val="18"/>
          <w:rtl/>
        </w:rPr>
        <w:t xml:space="preserve"> </w:t>
      </w:r>
      <w:r w:rsidRPr="003B11C4">
        <w:rPr>
          <w:rFonts w:cs="Arial" w:hint="cs"/>
          <w:sz w:val="18"/>
          <w:szCs w:val="18"/>
          <w:rtl/>
        </w:rPr>
        <w:t>מטמא</w:t>
      </w:r>
      <w:r w:rsidRPr="003B11C4">
        <w:rPr>
          <w:rFonts w:cs="Arial"/>
          <w:sz w:val="18"/>
          <w:szCs w:val="18"/>
          <w:rtl/>
        </w:rPr>
        <w:t xml:space="preserve"> </w:t>
      </w:r>
      <w:r w:rsidRPr="003B11C4">
        <w:rPr>
          <w:rFonts w:cs="Arial" w:hint="cs"/>
          <w:sz w:val="18"/>
          <w:szCs w:val="18"/>
          <w:rtl/>
        </w:rPr>
        <w:t>לח</w:t>
      </w:r>
      <w:r w:rsidRPr="003B11C4">
        <w:rPr>
          <w:rFonts w:cs="Arial"/>
          <w:sz w:val="18"/>
          <w:szCs w:val="18"/>
          <w:rtl/>
        </w:rPr>
        <w:t xml:space="preserve"> </w:t>
      </w:r>
      <w:r w:rsidRPr="003B11C4">
        <w:rPr>
          <w:rFonts w:cs="Arial" w:hint="cs"/>
          <w:sz w:val="18"/>
          <w:szCs w:val="18"/>
          <w:rtl/>
        </w:rPr>
        <w:t>ויבש</w:t>
      </w:r>
      <w:r w:rsidRPr="003B11C4">
        <w:rPr>
          <w:rFonts w:cs="Arial"/>
          <w:sz w:val="18"/>
          <w:szCs w:val="18"/>
          <w:rtl/>
        </w:rPr>
        <w:t xml:space="preserve">? </w:t>
      </w:r>
      <w:r w:rsidRPr="003B11C4">
        <w:rPr>
          <w:rFonts w:cs="Arial" w:hint="cs"/>
          <w:sz w:val="18"/>
          <w:szCs w:val="18"/>
          <w:rtl/>
        </w:rPr>
        <w:t>אמר</w:t>
      </w:r>
      <w:r w:rsidRPr="003B11C4">
        <w:rPr>
          <w:rFonts w:cs="Arial"/>
          <w:sz w:val="18"/>
          <w:szCs w:val="18"/>
          <w:rtl/>
        </w:rPr>
        <w:t xml:space="preserve"> </w:t>
      </w:r>
      <w:r w:rsidRPr="003B11C4">
        <w:rPr>
          <w:rFonts w:cs="Arial" w:hint="cs"/>
          <w:sz w:val="18"/>
          <w:szCs w:val="18"/>
          <w:rtl/>
        </w:rPr>
        <w:t>לך</w:t>
      </w:r>
      <w:r w:rsidRPr="003B11C4">
        <w:rPr>
          <w:rFonts w:cs="Arial"/>
          <w:sz w:val="18"/>
          <w:szCs w:val="18"/>
          <w:rtl/>
        </w:rPr>
        <w:t xml:space="preserve"> </w:t>
      </w:r>
      <w:r w:rsidRPr="003B11C4">
        <w:rPr>
          <w:rFonts w:cs="Arial" w:hint="cs"/>
          <w:sz w:val="18"/>
          <w:szCs w:val="18"/>
          <w:rtl/>
        </w:rPr>
        <w:t>לוי</w:t>
      </w:r>
      <w:r w:rsidRPr="003B11C4">
        <w:rPr>
          <w:rFonts w:cs="Arial"/>
          <w:sz w:val="18"/>
          <w:szCs w:val="18"/>
          <w:rtl/>
        </w:rPr>
        <w:t xml:space="preserve">: </w:t>
      </w:r>
      <w:r w:rsidRPr="003B11C4">
        <w:rPr>
          <w:rFonts w:cs="Arial" w:hint="cs"/>
          <w:sz w:val="18"/>
          <w:szCs w:val="18"/>
          <w:rtl/>
        </w:rPr>
        <w:t>אנא</w:t>
      </w:r>
      <w:r w:rsidRPr="003B11C4">
        <w:rPr>
          <w:rFonts w:cs="Arial"/>
          <w:sz w:val="18"/>
          <w:szCs w:val="18"/>
          <w:rtl/>
        </w:rPr>
        <w:t xml:space="preserve"> </w:t>
      </w:r>
      <w:r w:rsidRPr="003B11C4">
        <w:rPr>
          <w:rFonts w:cs="Arial" w:hint="cs"/>
          <w:sz w:val="18"/>
          <w:szCs w:val="18"/>
          <w:rtl/>
        </w:rPr>
        <w:t>דאמרי</w:t>
      </w:r>
      <w:r w:rsidRPr="003B11C4">
        <w:rPr>
          <w:rFonts w:cs="Arial"/>
          <w:sz w:val="18"/>
          <w:szCs w:val="18"/>
          <w:rtl/>
        </w:rPr>
        <w:t xml:space="preserve"> - </w:t>
      </w:r>
      <w:r w:rsidRPr="003B11C4">
        <w:rPr>
          <w:rFonts w:cs="Arial" w:hint="cs"/>
          <w:sz w:val="18"/>
          <w:szCs w:val="18"/>
          <w:rtl/>
        </w:rPr>
        <w:t>כתנא</w:t>
      </w:r>
      <w:r w:rsidRPr="003B11C4">
        <w:rPr>
          <w:rFonts w:cs="Arial"/>
          <w:sz w:val="18"/>
          <w:szCs w:val="18"/>
          <w:rtl/>
        </w:rPr>
        <w:t xml:space="preserve"> </w:t>
      </w:r>
      <w:r w:rsidRPr="003B11C4">
        <w:rPr>
          <w:rFonts w:cs="Arial" w:hint="cs"/>
          <w:sz w:val="18"/>
          <w:szCs w:val="18"/>
          <w:rtl/>
        </w:rPr>
        <w:t>דשוין</w:t>
      </w:r>
      <w:r w:rsidRPr="003B11C4">
        <w:rPr>
          <w:rFonts w:cs="Arial"/>
          <w:sz w:val="18"/>
          <w:szCs w:val="18"/>
          <w:rtl/>
        </w:rPr>
        <w:t xml:space="preserve">. </w:t>
      </w:r>
      <w:r w:rsidRPr="003B11C4">
        <w:rPr>
          <w:rFonts w:cs="Arial" w:hint="cs"/>
          <w:sz w:val="18"/>
          <w:szCs w:val="18"/>
          <w:rtl/>
        </w:rPr>
        <w:t>ואיבעית</w:t>
      </w:r>
      <w:r w:rsidRPr="003B11C4">
        <w:rPr>
          <w:rFonts w:cs="Arial"/>
          <w:sz w:val="18"/>
          <w:szCs w:val="18"/>
          <w:rtl/>
        </w:rPr>
        <w:t xml:space="preserve"> </w:t>
      </w:r>
      <w:r w:rsidRPr="003B11C4">
        <w:rPr>
          <w:rFonts w:cs="Arial" w:hint="cs"/>
          <w:sz w:val="18"/>
          <w:szCs w:val="18"/>
          <w:rtl/>
        </w:rPr>
        <w:t>אימא</w:t>
      </w:r>
      <w:r w:rsidRPr="003B11C4">
        <w:rPr>
          <w:rFonts w:cs="Arial"/>
          <w:sz w:val="18"/>
          <w:szCs w:val="18"/>
          <w:rtl/>
        </w:rPr>
        <w:t xml:space="preserve">: </w:t>
      </w:r>
      <w:r w:rsidRPr="003B11C4">
        <w:rPr>
          <w:rFonts w:cs="Arial" w:hint="cs"/>
          <w:sz w:val="18"/>
          <w:szCs w:val="18"/>
          <w:rtl/>
        </w:rPr>
        <w:t>בשופעת</w:t>
      </w:r>
      <w:r w:rsidRPr="003B11C4">
        <w:rPr>
          <w:rFonts w:cs="Arial"/>
          <w:sz w:val="18"/>
          <w:szCs w:val="18"/>
          <w:rtl/>
        </w:rPr>
        <w:t xml:space="preserve">. </w:t>
      </w:r>
      <w:r w:rsidRPr="003B11C4">
        <w:rPr>
          <w:rFonts w:cs="Arial" w:hint="cs"/>
          <w:sz w:val="18"/>
          <w:szCs w:val="18"/>
          <w:rtl/>
        </w:rPr>
        <w:t>והא</w:t>
      </w:r>
      <w:r w:rsidRPr="003B11C4">
        <w:rPr>
          <w:rFonts w:cs="Arial"/>
          <w:sz w:val="18"/>
          <w:szCs w:val="18"/>
          <w:rtl/>
        </w:rPr>
        <w:t xml:space="preserve"> </w:t>
      </w:r>
      <w:r w:rsidRPr="003B11C4">
        <w:rPr>
          <w:rFonts w:cs="Arial" w:hint="cs"/>
          <w:sz w:val="18"/>
          <w:szCs w:val="18"/>
          <w:rtl/>
        </w:rPr>
        <w:t>ספרה</w:t>
      </w:r>
      <w:r w:rsidRPr="003B11C4">
        <w:rPr>
          <w:rFonts w:cs="Arial"/>
          <w:sz w:val="18"/>
          <w:szCs w:val="18"/>
          <w:rtl/>
        </w:rPr>
        <w:t xml:space="preserve"> </w:t>
      </w:r>
      <w:r w:rsidRPr="003B11C4">
        <w:rPr>
          <w:rFonts w:cs="Arial" w:hint="cs"/>
          <w:sz w:val="18"/>
          <w:szCs w:val="18"/>
          <w:rtl/>
        </w:rPr>
        <w:t>קתני</w:t>
      </w:r>
      <w:r w:rsidRPr="003B11C4">
        <w:rPr>
          <w:rFonts w:cs="Arial"/>
          <w:sz w:val="18"/>
          <w:szCs w:val="18"/>
          <w:rtl/>
        </w:rPr>
        <w:t xml:space="preserve">! </w:t>
      </w:r>
      <w:r w:rsidRPr="003B11C4">
        <w:rPr>
          <w:rFonts w:cs="Arial" w:hint="cs"/>
          <w:sz w:val="18"/>
          <w:szCs w:val="18"/>
          <w:u w:val="single"/>
          <w:rtl/>
        </w:rPr>
        <w:t>הכא</w:t>
      </w:r>
      <w:r w:rsidRPr="003B11C4">
        <w:rPr>
          <w:rFonts w:cs="Arial"/>
          <w:sz w:val="18"/>
          <w:szCs w:val="18"/>
          <w:u w:val="single"/>
          <w:rtl/>
        </w:rPr>
        <w:t xml:space="preserve"> </w:t>
      </w:r>
      <w:r w:rsidRPr="003B11C4">
        <w:rPr>
          <w:rFonts w:cs="Arial" w:hint="cs"/>
          <w:sz w:val="18"/>
          <w:szCs w:val="18"/>
          <w:u w:val="single"/>
          <w:rtl/>
        </w:rPr>
        <w:t>ביולדת</w:t>
      </w:r>
      <w:r w:rsidRPr="003B11C4">
        <w:rPr>
          <w:rFonts w:cs="Arial"/>
          <w:sz w:val="18"/>
          <w:szCs w:val="18"/>
          <w:u w:val="single"/>
          <w:rtl/>
        </w:rPr>
        <w:t xml:space="preserve"> </w:t>
      </w:r>
      <w:r w:rsidRPr="003B11C4">
        <w:rPr>
          <w:rFonts w:cs="Arial" w:hint="cs"/>
          <w:sz w:val="18"/>
          <w:szCs w:val="18"/>
          <w:u w:val="single"/>
          <w:rtl/>
        </w:rPr>
        <w:t>נקבה</w:t>
      </w:r>
      <w:r w:rsidRPr="003B11C4">
        <w:rPr>
          <w:rFonts w:cs="Arial"/>
          <w:sz w:val="18"/>
          <w:szCs w:val="18"/>
          <w:u w:val="single"/>
          <w:rtl/>
        </w:rPr>
        <w:t xml:space="preserve"> </w:t>
      </w:r>
      <w:r w:rsidRPr="003B11C4">
        <w:rPr>
          <w:rFonts w:cs="Arial" w:hint="cs"/>
          <w:sz w:val="18"/>
          <w:szCs w:val="18"/>
          <w:u w:val="single"/>
          <w:rtl/>
        </w:rPr>
        <w:t>בזוב</w:t>
      </w:r>
      <w:r w:rsidRPr="003B11C4">
        <w:rPr>
          <w:rFonts w:cs="Arial"/>
          <w:sz w:val="18"/>
          <w:szCs w:val="18"/>
          <w:u w:val="single"/>
          <w:rtl/>
        </w:rPr>
        <w:t xml:space="preserve"> </w:t>
      </w:r>
      <w:r w:rsidRPr="003B11C4">
        <w:rPr>
          <w:rFonts w:cs="Arial" w:hint="cs"/>
          <w:sz w:val="18"/>
          <w:szCs w:val="18"/>
          <w:u w:val="single"/>
          <w:rtl/>
        </w:rPr>
        <w:t>עסקינן</w:t>
      </w:r>
      <w:r w:rsidRPr="003B11C4">
        <w:rPr>
          <w:rFonts w:cs="Arial"/>
          <w:sz w:val="18"/>
          <w:szCs w:val="18"/>
          <w:u w:val="single"/>
          <w:rtl/>
        </w:rPr>
        <w:t xml:space="preserve">, </w:t>
      </w:r>
      <w:r w:rsidRPr="003B11C4">
        <w:rPr>
          <w:rFonts w:cs="Arial" w:hint="cs"/>
          <w:sz w:val="18"/>
          <w:szCs w:val="18"/>
          <w:u w:val="single"/>
          <w:rtl/>
        </w:rPr>
        <w:t>דשבוע</w:t>
      </w:r>
      <w:r w:rsidRPr="003B11C4">
        <w:rPr>
          <w:rFonts w:cs="Arial"/>
          <w:sz w:val="18"/>
          <w:szCs w:val="18"/>
          <w:u w:val="single"/>
          <w:rtl/>
        </w:rPr>
        <w:t xml:space="preserve"> </w:t>
      </w:r>
      <w:r w:rsidRPr="003B11C4">
        <w:rPr>
          <w:rFonts w:cs="Arial" w:hint="cs"/>
          <w:sz w:val="18"/>
          <w:szCs w:val="18"/>
          <w:u w:val="single"/>
          <w:rtl/>
        </w:rPr>
        <w:t>קמא</w:t>
      </w:r>
      <w:r w:rsidRPr="003B11C4">
        <w:rPr>
          <w:rFonts w:cs="Arial"/>
          <w:sz w:val="18"/>
          <w:szCs w:val="18"/>
          <w:u w:val="single"/>
          <w:rtl/>
        </w:rPr>
        <w:t xml:space="preserve"> </w:t>
      </w:r>
      <w:r w:rsidRPr="003B11C4">
        <w:rPr>
          <w:rFonts w:cs="Arial" w:hint="cs"/>
          <w:sz w:val="18"/>
          <w:szCs w:val="18"/>
          <w:u w:val="single"/>
          <w:rtl/>
        </w:rPr>
        <w:t>פסקה</w:t>
      </w:r>
      <w:r w:rsidRPr="003B11C4">
        <w:rPr>
          <w:rFonts w:cs="Arial"/>
          <w:sz w:val="18"/>
          <w:szCs w:val="18"/>
          <w:u w:val="single"/>
          <w:rtl/>
        </w:rPr>
        <w:t xml:space="preserve">, </w:t>
      </w:r>
      <w:r w:rsidRPr="003B11C4">
        <w:rPr>
          <w:rFonts w:cs="Arial" w:hint="cs"/>
          <w:sz w:val="18"/>
          <w:szCs w:val="18"/>
          <w:u w:val="single"/>
          <w:rtl/>
        </w:rPr>
        <w:t>שבוע</w:t>
      </w:r>
      <w:r w:rsidRPr="003B11C4">
        <w:rPr>
          <w:rFonts w:cs="Arial"/>
          <w:sz w:val="18"/>
          <w:szCs w:val="18"/>
          <w:u w:val="single"/>
          <w:rtl/>
        </w:rPr>
        <w:t xml:space="preserve"> </w:t>
      </w:r>
      <w:r w:rsidRPr="003B11C4">
        <w:rPr>
          <w:rFonts w:cs="Arial" w:hint="cs"/>
          <w:sz w:val="18"/>
          <w:szCs w:val="18"/>
          <w:u w:val="single"/>
          <w:rtl/>
        </w:rPr>
        <w:t>בתרא</w:t>
      </w:r>
      <w:r w:rsidRPr="003B11C4">
        <w:rPr>
          <w:rFonts w:cs="Arial"/>
          <w:sz w:val="18"/>
          <w:szCs w:val="18"/>
          <w:u w:val="single"/>
          <w:rtl/>
        </w:rPr>
        <w:t xml:space="preserve"> </w:t>
      </w:r>
      <w:r w:rsidRPr="003B11C4">
        <w:rPr>
          <w:rFonts w:cs="Arial" w:hint="cs"/>
          <w:sz w:val="18"/>
          <w:szCs w:val="18"/>
          <w:u w:val="single"/>
          <w:rtl/>
        </w:rPr>
        <w:t>לא</w:t>
      </w:r>
      <w:r w:rsidRPr="003B11C4">
        <w:rPr>
          <w:rFonts w:cs="Arial"/>
          <w:sz w:val="18"/>
          <w:szCs w:val="18"/>
          <w:u w:val="single"/>
          <w:rtl/>
        </w:rPr>
        <w:t xml:space="preserve"> </w:t>
      </w:r>
      <w:r w:rsidRPr="003B11C4">
        <w:rPr>
          <w:rFonts w:cs="Arial" w:hint="cs"/>
          <w:sz w:val="18"/>
          <w:szCs w:val="18"/>
          <w:u w:val="single"/>
          <w:rtl/>
        </w:rPr>
        <w:t>פסקה</w:t>
      </w:r>
      <w:r w:rsidRPr="003B11C4">
        <w:rPr>
          <w:rFonts w:cs="Arial"/>
          <w:sz w:val="18"/>
          <w:szCs w:val="18"/>
          <w:u w:val="single"/>
          <w:rtl/>
        </w:rPr>
        <w:t xml:space="preserve">, </w:t>
      </w:r>
      <w:r w:rsidRPr="003B11C4">
        <w:rPr>
          <w:rFonts w:cs="Arial" w:hint="cs"/>
          <w:sz w:val="18"/>
          <w:szCs w:val="18"/>
          <w:u w:val="single"/>
          <w:rtl/>
        </w:rPr>
        <w:t>וקסבר</w:t>
      </w:r>
      <w:r w:rsidRPr="003B11C4">
        <w:rPr>
          <w:rFonts w:cs="Arial"/>
          <w:sz w:val="18"/>
          <w:szCs w:val="18"/>
          <w:u w:val="single"/>
          <w:rtl/>
        </w:rPr>
        <w:t xml:space="preserve">: </w:t>
      </w:r>
      <w:r w:rsidRPr="003B11C4">
        <w:rPr>
          <w:rFonts w:cs="Arial" w:hint="cs"/>
          <w:sz w:val="18"/>
          <w:szCs w:val="18"/>
          <w:u w:val="single"/>
          <w:rtl/>
        </w:rPr>
        <w:t>ימי</w:t>
      </w:r>
      <w:r w:rsidRPr="003B11C4">
        <w:rPr>
          <w:rFonts w:cs="Arial"/>
          <w:sz w:val="18"/>
          <w:szCs w:val="18"/>
          <w:u w:val="single"/>
          <w:rtl/>
        </w:rPr>
        <w:t xml:space="preserve"> </w:t>
      </w:r>
      <w:r w:rsidRPr="003B11C4">
        <w:rPr>
          <w:rFonts w:cs="Arial" w:hint="cs"/>
          <w:sz w:val="18"/>
          <w:szCs w:val="18"/>
          <w:u w:val="single"/>
          <w:rtl/>
        </w:rPr>
        <w:t>לידתה</w:t>
      </w:r>
      <w:r w:rsidRPr="003B11C4">
        <w:rPr>
          <w:rFonts w:cs="Arial"/>
          <w:sz w:val="18"/>
          <w:szCs w:val="18"/>
          <w:u w:val="single"/>
          <w:rtl/>
        </w:rPr>
        <w:t xml:space="preserve"> </w:t>
      </w:r>
      <w:r w:rsidRPr="003B11C4">
        <w:rPr>
          <w:rFonts w:cs="Arial" w:hint="cs"/>
          <w:sz w:val="18"/>
          <w:szCs w:val="18"/>
          <w:u w:val="single"/>
          <w:rtl/>
        </w:rPr>
        <w:t>שאין</w:t>
      </w:r>
      <w:r w:rsidRPr="003B11C4">
        <w:rPr>
          <w:rFonts w:cs="Arial"/>
          <w:sz w:val="18"/>
          <w:szCs w:val="18"/>
          <w:u w:val="single"/>
          <w:rtl/>
        </w:rPr>
        <w:t xml:space="preserve"> </w:t>
      </w:r>
      <w:r w:rsidRPr="003B11C4">
        <w:rPr>
          <w:rFonts w:cs="Arial" w:hint="cs"/>
          <w:sz w:val="18"/>
          <w:szCs w:val="18"/>
          <w:u w:val="single"/>
          <w:rtl/>
        </w:rPr>
        <w:t>רואה</w:t>
      </w:r>
      <w:r w:rsidRPr="003B11C4">
        <w:rPr>
          <w:rFonts w:cs="Arial"/>
          <w:sz w:val="18"/>
          <w:szCs w:val="18"/>
          <w:u w:val="single"/>
          <w:rtl/>
        </w:rPr>
        <w:t xml:space="preserve"> </w:t>
      </w:r>
      <w:r w:rsidRPr="003B11C4">
        <w:rPr>
          <w:rFonts w:cs="Arial" w:hint="cs"/>
          <w:sz w:val="18"/>
          <w:szCs w:val="18"/>
          <w:u w:val="single"/>
          <w:rtl/>
        </w:rPr>
        <w:t>בהן</w:t>
      </w:r>
      <w:r w:rsidRPr="003B11C4">
        <w:rPr>
          <w:rFonts w:cs="Arial"/>
          <w:sz w:val="18"/>
          <w:szCs w:val="18"/>
          <w:u w:val="single"/>
          <w:rtl/>
        </w:rPr>
        <w:t xml:space="preserve"> - </w:t>
      </w:r>
      <w:r w:rsidRPr="003B11C4">
        <w:rPr>
          <w:rFonts w:cs="Arial" w:hint="cs"/>
          <w:sz w:val="18"/>
          <w:szCs w:val="18"/>
          <w:u w:val="single"/>
          <w:rtl/>
        </w:rPr>
        <w:t>עולין</w:t>
      </w:r>
      <w:r w:rsidRPr="003B11C4">
        <w:rPr>
          <w:rFonts w:cs="Arial"/>
          <w:sz w:val="18"/>
          <w:szCs w:val="18"/>
          <w:u w:val="single"/>
          <w:rtl/>
        </w:rPr>
        <w:t xml:space="preserve"> </w:t>
      </w:r>
      <w:r w:rsidRPr="003B11C4">
        <w:rPr>
          <w:rFonts w:cs="Arial" w:hint="cs"/>
          <w:sz w:val="18"/>
          <w:szCs w:val="18"/>
          <w:u w:val="single"/>
          <w:rtl/>
        </w:rPr>
        <w:t>לה</w:t>
      </w:r>
      <w:r w:rsidRPr="003B11C4">
        <w:rPr>
          <w:rFonts w:cs="Arial"/>
          <w:sz w:val="18"/>
          <w:szCs w:val="18"/>
          <w:u w:val="single"/>
          <w:rtl/>
        </w:rPr>
        <w:t xml:space="preserve"> </w:t>
      </w:r>
      <w:r w:rsidRPr="003B11C4">
        <w:rPr>
          <w:rFonts w:cs="Arial" w:hint="cs"/>
          <w:sz w:val="18"/>
          <w:szCs w:val="18"/>
          <w:u w:val="single"/>
          <w:rtl/>
        </w:rPr>
        <w:t>לספירת</w:t>
      </w:r>
      <w:r w:rsidRPr="003B11C4">
        <w:rPr>
          <w:rFonts w:cs="Arial"/>
          <w:sz w:val="18"/>
          <w:szCs w:val="18"/>
          <w:u w:val="single"/>
          <w:rtl/>
        </w:rPr>
        <w:t xml:space="preserve"> </w:t>
      </w:r>
      <w:r w:rsidRPr="003B11C4">
        <w:rPr>
          <w:rFonts w:cs="Arial" w:hint="cs"/>
          <w:sz w:val="18"/>
          <w:szCs w:val="18"/>
          <w:u w:val="single"/>
          <w:rtl/>
        </w:rPr>
        <w:t>זיבתה</w:t>
      </w:r>
      <w:r>
        <w:rPr>
          <w:rFonts w:cs="Arial" w:hint="cs"/>
          <w:sz w:val="18"/>
          <w:szCs w:val="18"/>
          <w:rtl/>
        </w:rPr>
        <w:t>"</w:t>
      </w:r>
      <w:r w:rsidRPr="003B11C4">
        <w:rPr>
          <w:rFonts w:cs="Arial"/>
          <w:sz w:val="18"/>
          <w:szCs w:val="18"/>
          <w:rtl/>
        </w:rPr>
        <w:t>.</w:t>
      </w:r>
    </w:p>
  </w:footnote>
  <w:footnote w:id="410">
    <w:p w:rsidR="005953C5" w:rsidRDefault="005953C5" w:rsidP="00620060">
      <w:pPr>
        <w:pStyle w:val="a3"/>
        <w:rPr>
          <w:rtl/>
        </w:rPr>
      </w:pPr>
      <w:r w:rsidRPr="007324A9">
        <w:rPr>
          <w:rStyle w:val="a5"/>
          <w:sz w:val="18"/>
          <w:szCs w:val="18"/>
        </w:rPr>
        <w:footnoteRef/>
      </w:r>
      <w:r w:rsidRPr="007324A9">
        <w:rPr>
          <w:sz w:val="18"/>
          <w:szCs w:val="18"/>
          <w:rtl/>
        </w:rPr>
        <w:t xml:space="preserve"> </w:t>
      </w:r>
      <w:r w:rsidRPr="007324A9">
        <w:rPr>
          <w:rFonts w:hint="cs"/>
          <w:sz w:val="18"/>
          <w:szCs w:val="18"/>
          <w:rtl/>
        </w:rPr>
        <w:t xml:space="preserve">אמנם, הרא"ש מפקפק מעט </w:t>
      </w:r>
      <w:r>
        <w:rPr>
          <w:rFonts w:hint="cs"/>
          <w:sz w:val="18"/>
          <w:szCs w:val="18"/>
          <w:rtl/>
        </w:rPr>
        <w:t xml:space="preserve">בחידוש זה </w:t>
      </w:r>
      <w:r w:rsidRPr="007324A9">
        <w:rPr>
          <w:rFonts w:hint="cs"/>
          <w:sz w:val="18"/>
          <w:szCs w:val="18"/>
          <w:rtl/>
        </w:rPr>
        <w:t xml:space="preserve">ומעלה אפשרות לחלק בין הדינים </w:t>
      </w:r>
      <w:r w:rsidRPr="007324A9">
        <w:rPr>
          <w:sz w:val="18"/>
          <w:szCs w:val="18"/>
          <w:rtl/>
        </w:rPr>
        <w:t>–</w:t>
      </w:r>
      <w:r w:rsidRPr="007324A9">
        <w:rPr>
          <w:rFonts w:hint="cs"/>
          <w:sz w:val="18"/>
          <w:szCs w:val="18"/>
          <w:rtl/>
        </w:rPr>
        <w:t xml:space="preserve"> דווקא יולדת אינה צריכה למנות ז"נ משום שדם זה אינו יכול לגרום לה טומאת נידה ואף לא טומאת זיבה, משא"כ כאן שדם זה מטמא מחמת נידות!</w:t>
      </w:r>
      <w:r w:rsidRPr="007324A9">
        <w:rPr>
          <w:rFonts w:hint="cs"/>
          <w:sz w:val="18"/>
          <w:szCs w:val="18"/>
          <w:rtl/>
        </w:rPr>
        <w:br/>
        <w:t>ומכל מקום נראה שאין לחלק, וטעמו משו</w:t>
      </w:r>
      <w:r>
        <w:rPr>
          <w:rFonts w:hint="cs"/>
          <w:sz w:val="18"/>
          <w:szCs w:val="18"/>
          <w:rtl/>
        </w:rPr>
        <w:t>ם</w:t>
      </w:r>
      <w:r w:rsidRPr="007324A9">
        <w:rPr>
          <w:rFonts w:hint="cs"/>
          <w:sz w:val="18"/>
          <w:szCs w:val="18"/>
          <w:rtl/>
        </w:rPr>
        <w:t xml:space="preserve"> שמסתבר לומר שדין סתירת ז"נ נוהג רק בז"נ עצמם.</w:t>
      </w:r>
    </w:p>
  </w:footnote>
  <w:footnote w:id="411">
    <w:p w:rsidR="005953C5" w:rsidRDefault="005953C5" w:rsidP="00620060">
      <w:pPr>
        <w:pStyle w:val="a3"/>
      </w:pPr>
      <w:r w:rsidRPr="00D55A80">
        <w:rPr>
          <w:rStyle w:val="a5"/>
          <w:sz w:val="18"/>
          <w:szCs w:val="18"/>
        </w:rPr>
        <w:footnoteRef/>
      </w:r>
      <w:r w:rsidRPr="00D55A80">
        <w:rPr>
          <w:sz w:val="18"/>
          <w:szCs w:val="18"/>
          <w:rtl/>
        </w:rPr>
        <w:t xml:space="preserve"> </w:t>
      </w:r>
      <w:r w:rsidRPr="00D55A80">
        <w:rPr>
          <w:rFonts w:hint="cs"/>
          <w:b/>
          <w:bCs/>
          <w:sz w:val="18"/>
          <w:szCs w:val="18"/>
          <w:rtl/>
        </w:rPr>
        <w:t>הט"ז</w:t>
      </w:r>
      <w:r w:rsidRPr="00D55A80">
        <w:rPr>
          <w:rFonts w:hint="cs"/>
          <w:sz w:val="18"/>
          <w:szCs w:val="18"/>
          <w:rtl/>
        </w:rPr>
        <w:t xml:space="preserve"> מוסיף ומנמק </w:t>
      </w:r>
      <w:r w:rsidRPr="00D55A80">
        <w:rPr>
          <w:sz w:val="18"/>
          <w:szCs w:val="18"/>
          <w:rtl/>
        </w:rPr>
        <w:t>–</w:t>
      </w:r>
      <w:r w:rsidRPr="00D55A80">
        <w:rPr>
          <w:rFonts w:hint="cs"/>
          <w:sz w:val="18"/>
          <w:szCs w:val="18"/>
          <w:rtl/>
        </w:rPr>
        <w:t xml:space="preserve"> אם מועילה חומרת רבי זירא לטמא דם טוהר ולהצריך ז' נקיים מחמתו, כל שכן שתועיל חומרתו לכך שדם טמא יצריך ז' נקיים.</w:t>
      </w:r>
    </w:p>
  </w:footnote>
  <w:footnote w:id="412">
    <w:p w:rsidR="005953C5" w:rsidRDefault="005953C5" w:rsidP="00620060">
      <w:pPr>
        <w:pStyle w:val="a3"/>
        <w:rPr>
          <w:rtl/>
        </w:rPr>
      </w:pPr>
      <w:r w:rsidRPr="00A02064">
        <w:rPr>
          <w:rStyle w:val="a5"/>
          <w:sz w:val="18"/>
          <w:szCs w:val="18"/>
        </w:rPr>
        <w:footnoteRef/>
      </w:r>
      <w:r w:rsidRPr="00A02064">
        <w:rPr>
          <w:sz w:val="18"/>
          <w:szCs w:val="18"/>
          <w:rtl/>
        </w:rPr>
        <w:t xml:space="preserve"> </w:t>
      </w:r>
      <w:r w:rsidRPr="00A02064">
        <w:rPr>
          <w:rFonts w:hint="cs"/>
          <w:sz w:val="18"/>
          <w:szCs w:val="18"/>
          <w:rtl/>
        </w:rPr>
        <w:t>כמה זמן פורשת?</w:t>
      </w:r>
      <w:r w:rsidRPr="00A02064">
        <w:rPr>
          <w:rFonts w:hint="cs"/>
          <w:sz w:val="18"/>
          <w:szCs w:val="18"/>
          <w:rtl/>
        </w:rPr>
        <w:br/>
      </w:r>
      <w:r w:rsidRPr="00A02064">
        <w:rPr>
          <w:rFonts w:hint="cs"/>
          <w:b/>
          <w:bCs/>
          <w:sz w:val="18"/>
          <w:szCs w:val="18"/>
          <w:rtl/>
        </w:rPr>
        <w:t>רא"ש</w:t>
      </w:r>
      <w:r w:rsidRPr="00A02064">
        <w:rPr>
          <w:rFonts w:hint="cs"/>
          <w:sz w:val="18"/>
          <w:szCs w:val="18"/>
          <w:rtl/>
        </w:rPr>
        <w:t xml:space="preserve"> </w:t>
      </w:r>
      <w:r w:rsidRPr="00A02064">
        <w:rPr>
          <w:sz w:val="18"/>
          <w:szCs w:val="18"/>
          <w:rtl/>
        </w:rPr>
        <w:t>–</w:t>
      </w:r>
      <w:r w:rsidRPr="00A02064">
        <w:rPr>
          <w:rFonts w:hint="cs"/>
          <w:sz w:val="18"/>
          <w:szCs w:val="18"/>
          <w:rtl/>
        </w:rPr>
        <w:t xml:space="preserve"> לילה אחד.</w:t>
      </w:r>
      <w:r w:rsidRPr="00A02064">
        <w:rPr>
          <w:sz w:val="18"/>
          <w:szCs w:val="18"/>
          <w:rtl/>
        </w:rPr>
        <w:br/>
      </w:r>
      <w:r w:rsidRPr="00A02064">
        <w:rPr>
          <w:rFonts w:hint="cs"/>
          <w:b/>
          <w:bCs/>
          <w:sz w:val="18"/>
          <w:szCs w:val="18"/>
          <w:rtl/>
        </w:rPr>
        <w:t>ובשם רבותיו</w:t>
      </w:r>
      <w:r w:rsidRPr="00A02064">
        <w:rPr>
          <w:rFonts w:hint="cs"/>
          <w:sz w:val="18"/>
          <w:szCs w:val="18"/>
          <w:rtl/>
        </w:rPr>
        <w:t xml:space="preserve"> </w:t>
      </w:r>
      <w:r w:rsidRPr="00A02064">
        <w:rPr>
          <w:sz w:val="18"/>
          <w:szCs w:val="18"/>
          <w:rtl/>
        </w:rPr>
        <w:t>–</w:t>
      </w:r>
      <w:r w:rsidRPr="00A02064">
        <w:rPr>
          <w:rFonts w:hint="cs"/>
          <w:sz w:val="18"/>
          <w:szCs w:val="18"/>
          <w:rtl/>
        </w:rPr>
        <w:t xml:space="preserve"> לילה ויום, אך הרא"ש דחה את פירושם משום שבכל מקום שנאמר בו עונה הכוונה היא ללילה אחד.</w:t>
      </w:r>
    </w:p>
  </w:footnote>
  <w:footnote w:id="413">
    <w:p w:rsidR="005953C5" w:rsidRDefault="005953C5" w:rsidP="00620060">
      <w:pPr>
        <w:pStyle w:val="a3"/>
      </w:pPr>
      <w:r w:rsidRPr="008C2FDE">
        <w:rPr>
          <w:rStyle w:val="a5"/>
          <w:sz w:val="18"/>
          <w:szCs w:val="18"/>
        </w:rPr>
        <w:footnoteRef/>
      </w:r>
      <w:r w:rsidRPr="008C2FDE">
        <w:rPr>
          <w:sz w:val="18"/>
          <w:szCs w:val="18"/>
          <w:rtl/>
        </w:rPr>
        <w:t xml:space="preserve"> </w:t>
      </w:r>
      <w:r w:rsidRPr="008C2FDE">
        <w:rPr>
          <w:rFonts w:hint="cs"/>
          <w:b/>
          <w:bCs/>
          <w:sz w:val="18"/>
          <w:szCs w:val="18"/>
          <w:rtl/>
        </w:rPr>
        <w:t>הרשב"א</w:t>
      </w:r>
      <w:r w:rsidRPr="008C2FDE">
        <w:rPr>
          <w:rFonts w:hint="cs"/>
          <w:sz w:val="18"/>
          <w:szCs w:val="18"/>
          <w:rtl/>
        </w:rPr>
        <w:t xml:space="preserve"> דוחה טעם זה </w:t>
      </w:r>
      <w:r w:rsidRPr="008C2FDE">
        <w:rPr>
          <w:sz w:val="18"/>
          <w:szCs w:val="18"/>
          <w:rtl/>
        </w:rPr>
        <w:t>–</w:t>
      </w:r>
      <w:r w:rsidRPr="008C2FDE">
        <w:rPr>
          <w:rFonts w:hint="cs"/>
          <w:sz w:val="18"/>
          <w:szCs w:val="18"/>
          <w:rtl/>
        </w:rPr>
        <w:t xml:space="preserve"> בזמן הגמרא נהגו את חומרת רבי זירא, ואעפ"כ מוכח שנהגו כדין תורה להתיר דם טוהר, ואם כן אין לתלות חומרות אלו זו בזו.</w:t>
      </w:r>
      <w:r w:rsidRPr="008C2FDE">
        <w:rPr>
          <w:sz w:val="18"/>
          <w:szCs w:val="18"/>
          <w:rtl/>
        </w:rPr>
        <w:br/>
      </w:r>
      <w:r w:rsidRPr="008C2FDE">
        <w:rPr>
          <w:rFonts w:hint="cs"/>
          <w:sz w:val="18"/>
          <w:szCs w:val="18"/>
          <w:rtl/>
        </w:rPr>
        <w:t xml:space="preserve">מיישב </w:t>
      </w:r>
      <w:r w:rsidRPr="008C2FDE">
        <w:rPr>
          <w:rFonts w:hint="cs"/>
          <w:b/>
          <w:bCs/>
          <w:sz w:val="18"/>
          <w:szCs w:val="18"/>
          <w:rtl/>
        </w:rPr>
        <w:t>הבית יוסף</w:t>
      </w:r>
      <w:r w:rsidRPr="008C2FDE">
        <w:rPr>
          <w:rFonts w:hint="cs"/>
          <w:sz w:val="18"/>
          <w:szCs w:val="18"/>
          <w:rtl/>
        </w:rPr>
        <w:t xml:space="preserve"> </w:t>
      </w:r>
      <w:r w:rsidRPr="008C2FDE">
        <w:rPr>
          <w:sz w:val="18"/>
          <w:szCs w:val="18"/>
          <w:rtl/>
        </w:rPr>
        <w:t>–</w:t>
      </w:r>
      <w:r w:rsidRPr="008C2FDE">
        <w:rPr>
          <w:rFonts w:hint="cs"/>
          <w:sz w:val="18"/>
          <w:szCs w:val="18"/>
          <w:rtl/>
        </w:rPr>
        <w:t xml:space="preserve"> שמא ע</w:t>
      </w:r>
      <w:r>
        <w:rPr>
          <w:rFonts w:hint="cs"/>
          <w:sz w:val="18"/>
          <w:szCs w:val="18"/>
          <w:rtl/>
        </w:rPr>
        <w:t>ד</w:t>
      </w:r>
      <w:r w:rsidRPr="008C2FDE">
        <w:rPr>
          <w:rFonts w:hint="cs"/>
          <w:sz w:val="18"/>
          <w:szCs w:val="18"/>
          <w:rtl/>
        </w:rPr>
        <w:t>יין לא פשטה תקנת רבי זירא ביניהם, אך לאחר שפשטה אפשר שנהגו איסור בדם טוהר.</w:t>
      </w:r>
    </w:p>
  </w:footnote>
  <w:footnote w:id="414">
    <w:p w:rsidR="005953C5" w:rsidRDefault="005953C5" w:rsidP="00620060">
      <w:pPr>
        <w:pStyle w:val="a3"/>
      </w:pPr>
      <w:r w:rsidRPr="003B1823">
        <w:rPr>
          <w:rStyle w:val="a5"/>
          <w:sz w:val="18"/>
          <w:szCs w:val="18"/>
        </w:rPr>
        <w:footnoteRef/>
      </w:r>
      <w:r w:rsidRPr="003B1823">
        <w:rPr>
          <w:sz w:val="18"/>
          <w:szCs w:val="18"/>
          <w:rtl/>
        </w:rPr>
        <w:t xml:space="preserve"> </w:t>
      </w:r>
      <w:r w:rsidRPr="003B1823">
        <w:rPr>
          <w:rFonts w:hint="cs"/>
          <w:b/>
          <w:bCs/>
          <w:sz w:val="18"/>
          <w:szCs w:val="18"/>
          <w:rtl/>
        </w:rPr>
        <w:t>שתי טבילות לדעת רבינו תם</w:t>
      </w:r>
      <w:r w:rsidRPr="003B1823">
        <w:rPr>
          <w:b/>
          <w:bCs/>
          <w:sz w:val="18"/>
          <w:szCs w:val="18"/>
          <w:rtl/>
        </w:rPr>
        <w:br/>
      </w:r>
      <w:r w:rsidRPr="003B1823">
        <w:rPr>
          <w:rFonts w:hint="cs"/>
          <w:b/>
          <w:bCs/>
          <w:sz w:val="18"/>
          <w:szCs w:val="18"/>
          <w:rtl/>
        </w:rPr>
        <w:t>תרומה</w:t>
      </w:r>
      <w:r w:rsidRPr="003B1823">
        <w:rPr>
          <w:rFonts w:hint="cs"/>
          <w:sz w:val="18"/>
          <w:szCs w:val="18"/>
          <w:rtl/>
        </w:rPr>
        <w:t xml:space="preserve"> </w:t>
      </w:r>
      <w:r w:rsidRPr="003B1823">
        <w:rPr>
          <w:sz w:val="18"/>
          <w:szCs w:val="18"/>
          <w:rtl/>
        </w:rPr>
        <w:t>–</w:t>
      </w:r>
      <w:r w:rsidRPr="003B1823">
        <w:rPr>
          <w:rFonts w:hint="cs"/>
          <w:sz w:val="18"/>
          <w:szCs w:val="18"/>
          <w:rtl/>
        </w:rPr>
        <w:t xml:space="preserve"> לדעת ר"ת שפסק כרבא שאינה מונה ז"נ בתוך ימי טומאתה, יש לומר שכל יולדת צריכה ב' טבילות כדי להיטהר.</w:t>
      </w:r>
      <w:r w:rsidRPr="003B1823">
        <w:rPr>
          <w:sz w:val="18"/>
          <w:szCs w:val="18"/>
          <w:rtl/>
        </w:rPr>
        <w:br/>
      </w:r>
      <w:r w:rsidRPr="003B1823">
        <w:rPr>
          <w:rFonts w:hint="cs"/>
          <w:sz w:val="18"/>
          <w:szCs w:val="18"/>
          <w:rtl/>
        </w:rPr>
        <w:t xml:space="preserve">כלומר </w:t>
      </w:r>
      <w:r w:rsidRPr="003B1823">
        <w:rPr>
          <w:sz w:val="18"/>
          <w:szCs w:val="18"/>
          <w:rtl/>
        </w:rPr>
        <w:t>–</w:t>
      </w:r>
      <w:r w:rsidRPr="003B1823">
        <w:rPr>
          <w:rFonts w:hint="cs"/>
          <w:sz w:val="18"/>
          <w:szCs w:val="18"/>
          <w:rtl/>
        </w:rPr>
        <w:t xml:space="preserve"> טבילה אחת בסוף ימי טומאתה להוציאה מטומאת לידה, וטבילה שנייה לאחר ז"נ להוציאה מדין זבה.</w:t>
      </w:r>
      <w:r w:rsidRPr="003B1823">
        <w:rPr>
          <w:sz w:val="18"/>
          <w:szCs w:val="18"/>
          <w:rtl/>
        </w:rPr>
        <w:br/>
      </w:r>
      <w:r w:rsidRPr="003B1823">
        <w:rPr>
          <w:rFonts w:hint="cs"/>
          <w:sz w:val="16"/>
          <w:szCs w:val="16"/>
          <w:rtl/>
        </w:rPr>
        <w:t>(ספר התרומה כותב שטעם זאת הוא משום שקיי"ל כרב דמעיין אחד הוא, וכוונתו לומר שאילו ללוי יכולה לטבול בתוך ימי טומאת לידה אם פסק המעיין, אך לרב לא מהני מה שפסק בתוך יד' ימי טומאתה, שהרי מכל מקום טמאה).</w:t>
      </w:r>
    </w:p>
  </w:footnote>
  <w:footnote w:id="415">
    <w:p w:rsidR="005953C5" w:rsidRDefault="005953C5" w:rsidP="00620060">
      <w:pPr>
        <w:pStyle w:val="a3"/>
        <w:rPr>
          <w:rtl/>
        </w:rPr>
      </w:pPr>
      <w:r w:rsidRPr="002D54A7">
        <w:rPr>
          <w:rStyle w:val="a5"/>
          <w:sz w:val="18"/>
          <w:szCs w:val="18"/>
        </w:rPr>
        <w:footnoteRef/>
      </w:r>
      <w:r w:rsidRPr="002D54A7">
        <w:rPr>
          <w:sz w:val="18"/>
          <w:szCs w:val="18"/>
          <w:rtl/>
        </w:rPr>
        <w:t xml:space="preserve"> </w:t>
      </w:r>
      <w:r w:rsidRPr="002D54A7">
        <w:rPr>
          <w:rFonts w:hint="cs"/>
          <w:sz w:val="18"/>
          <w:szCs w:val="18"/>
          <w:rtl/>
        </w:rPr>
        <w:t>האם ניתן לגזור על מקום מסויים שינהגו בחומרה זו?</w:t>
      </w:r>
      <w:r>
        <w:rPr>
          <w:rFonts w:hint="cs"/>
          <w:rtl/>
        </w:rPr>
        <w:br/>
      </w:r>
      <w:r w:rsidRPr="00C87571">
        <w:rPr>
          <w:rFonts w:hint="cs"/>
          <w:b/>
          <w:bCs/>
          <w:sz w:val="18"/>
          <w:szCs w:val="18"/>
          <w:rtl/>
        </w:rPr>
        <w:t>מהרי"ק</w:t>
      </w:r>
      <w:r w:rsidRPr="00342379">
        <w:rPr>
          <w:rFonts w:hint="cs"/>
          <w:sz w:val="18"/>
          <w:szCs w:val="18"/>
          <w:rtl/>
        </w:rPr>
        <w:t xml:space="preserve"> </w:t>
      </w:r>
      <w:r w:rsidRPr="00342379">
        <w:rPr>
          <w:sz w:val="18"/>
          <w:szCs w:val="18"/>
          <w:rtl/>
        </w:rPr>
        <w:t>–</w:t>
      </w:r>
      <w:r w:rsidRPr="00342379">
        <w:rPr>
          <w:rFonts w:hint="cs"/>
          <w:sz w:val="18"/>
          <w:szCs w:val="18"/>
          <w:rtl/>
        </w:rPr>
        <w:t xml:space="preserve"> לא, הדבר הוא חומרה דאתי לידי קולא </w:t>
      </w:r>
      <w:r w:rsidRPr="00342379">
        <w:rPr>
          <w:rFonts w:hint="cs"/>
          <w:sz w:val="16"/>
          <w:szCs w:val="16"/>
          <w:rtl/>
        </w:rPr>
        <w:t>(ייתכן שכוונתו לומר ששמא יבואו לנהוג בשאר מנהגי הצדוקים)</w:t>
      </w:r>
      <w:r>
        <w:rPr>
          <w:rFonts w:hint="cs"/>
          <w:sz w:val="18"/>
          <w:szCs w:val="18"/>
          <w:rtl/>
        </w:rPr>
        <w:t>.</w:t>
      </w:r>
      <w:r>
        <w:rPr>
          <w:rtl/>
        </w:rPr>
        <w:br/>
      </w:r>
      <w:r w:rsidRPr="00C87571">
        <w:rPr>
          <w:rFonts w:hint="cs"/>
          <w:b/>
          <w:bCs/>
          <w:sz w:val="18"/>
          <w:szCs w:val="18"/>
          <w:rtl/>
        </w:rPr>
        <w:t>בית יוסף</w:t>
      </w:r>
      <w:r w:rsidRPr="00C87571">
        <w:rPr>
          <w:rFonts w:hint="cs"/>
          <w:sz w:val="18"/>
          <w:szCs w:val="18"/>
          <w:rtl/>
        </w:rPr>
        <w:t xml:space="preserve"> </w:t>
      </w:r>
      <w:r w:rsidRPr="00C87571">
        <w:rPr>
          <w:sz w:val="18"/>
          <w:szCs w:val="18"/>
          <w:rtl/>
        </w:rPr>
        <w:t>–</w:t>
      </w:r>
      <w:r w:rsidRPr="00C87571">
        <w:rPr>
          <w:rFonts w:hint="cs"/>
          <w:sz w:val="18"/>
          <w:szCs w:val="18"/>
          <w:rtl/>
        </w:rPr>
        <w:t xml:space="preserve"> כן, אם בני המקום פרוצים באיסור נידה אפשר לגזור גזרה זאת עליהם.</w:t>
      </w:r>
    </w:p>
  </w:footnote>
  <w:footnote w:id="416">
    <w:p w:rsidR="005953C5" w:rsidRDefault="005953C5" w:rsidP="00620060">
      <w:pPr>
        <w:pStyle w:val="a3"/>
        <w:rPr>
          <w:rtl/>
        </w:rPr>
      </w:pPr>
      <w:r w:rsidRPr="00886F6E">
        <w:rPr>
          <w:rStyle w:val="a5"/>
          <w:sz w:val="18"/>
          <w:szCs w:val="18"/>
        </w:rPr>
        <w:footnoteRef/>
      </w:r>
      <w:r w:rsidRPr="00886F6E">
        <w:rPr>
          <w:sz w:val="18"/>
          <w:szCs w:val="18"/>
          <w:rtl/>
        </w:rPr>
        <w:t xml:space="preserve"> </w:t>
      </w:r>
      <w:r w:rsidRPr="00886F6E">
        <w:rPr>
          <w:rFonts w:hint="cs"/>
          <w:sz w:val="18"/>
          <w:szCs w:val="18"/>
          <w:rtl/>
        </w:rPr>
        <w:t>ועיין בגמרא שם מדוע הוזכר זכר, שלכאורה הוא ללא צורך.</w:t>
      </w:r>
    </w:p>
  </w:footnote>
  <w:footnote w:id="417">
    <w:p w:rsidR="005953C5" w:rsidRDefault="005953C5" w:rsidP="00620060">
      <w:pPr>
        <w:pStyle w:val="a3"/>
      </w:pPr>
      <w:r w:rsidRPr="0078405B">
        <w:rPr>
          <w:rStyle w:val="a5"/>
          <w:sz w:val="18"/>
          <w:szCs w:val="18"/>
        </w:rPr>
        <w:footnoteRef/>
      </w:r>
      <w:r w:rsidRPr="0078405B">
        <w:rPr>
          <w:sz w:val="18"/>
          <w:szCs w:val="18"/>
          <w:rtl/>
        </w:rPr>
        <w:t xml:space="preserve"> </w:t>
      </w:r>
      <w:r w:rsidRPr="0078405B">
        <w:rPr>
          <w:rFonts w:hint="cs"/>
          <w:sz w:val="18"/>
          <w:szCs w:val="18"/>
          <w:rtl/>
        </w:rPr>
        <w:t xml:space="preserve">למעט דעת </w:t>
      </w:r>
      <w:r w:rsidRPr="0078405B">
        <w:rPr>
          <w:rFonts w:hint="cs"/>
          <w:b/>
          <w:bCs/>
          <w:sz w:val="18"/>
          <w:szCs w:val="18"/>
          <w:rtl/>
        </w:rPr>
        <w:t>הרמב"ן</w:t>
      </w:r>
      <w:r w:rsidRPr="0078405B">
        <w:rPr>
          <w:rFonts w:hint="cs"/>
          <w:sz w:val="18"/>
          <w:szCs w:val="18"/>
          <w:rtl/>
        </w:rPr>
        <w:t xml:space="preserve"> ע"פ </w:t>
      </w:r>
      <w:r w:rsidRPr="0078405B">
        <w:rPr>
          <w:rFonts w:hint="cs"/>
          <w:b/>
          <w:bCs/>
          <w:sz w:val="18"/>
          <w:szCs w:val="18"/>
          <w:rtl/>
        </w:rPr>
        <w:t>הטור</w:t>
      </w:r>
      <w:r>
        <w:rPr>
          <w:rFonts w:hint="cs"/>
          <w:sz w:val="18"/>
          <w:szCs w:val="18"/>
          <w:rtl/>
        </w:rPr>
        <w:t xml:space="preserve"> שפוסק כרבי ישמעאל</w:t>
      </w:r>
      <w:r w:rsidRPr="0078405B">
        <w:rPr>
          <w:rFonts w:hint="cs"/>
          <w:sz w:val="18"/>
          <w:szCs w:val="18"/>
          <w:rtl/>
        </w:rPr>
        <w:t xml:space="preserve">, אך </w:t>
      </w:r>
      <w:r w:rsidRPr="0078405B">
        <w:rPr>
          <w:rFonts w:hint="cs"/>
          <w:b/>
          <w:bCs/>
          <w:sz w:val="18"/>
          <w:szCs w:val="18"/>
          <w:rtl/>
        </w:rPr>
        <w:t>הב"י</w:t>
      </w:r>
      <w:r w:rsidRPr="0078405B">
        <w:rPr>
          <w:rFonts w:hint="cs"/>
          <w:sz w:val="18"/>
          <w:szCs w:val="18"/>
          <w:rtl/>
        </w:rPr>
        <w:t xml:space="preserve"> כתב שספר מוטעה נזדמן לו לטור, והרמב"ן </w:t>
      </w:r>
      <w:r>
        <w:rPr>
          <w:rFonts w:hint="cs"/>
          <w:sz w:val="18"/>
          <w:szCs w:val="18"/>
          <w:rtl/>
        </w:rPr>
        <w:t>פוסק</w:t>
      </w:r>
      <w:r w:rsidRPr="0078405B">
        <w:rPr>
          <w:rFonts w:hint="cs"/>
          <w:sz w:val="18"/>
          <w:szCs w:val="18"/>
          <w:rtl/>
        </w:rPr>
        <w:t xml:space="preserve"> כשאר הראשונים</w:t>
      </w:r>
      <w:r>
        <w:rPr>
          <w:rFonts w:hint="cs"/>
          <w:sz w:val="18"/>
          <w:szCs w:val="18"/>
          <w:rtl/>
        </w:rPr>
        <w:t xml:space="preserve"> כדעת חכמים</w:t>
      </w:r>
      <w:r w:rsidRPr="0078405B">
        <w:rPr>
          <w:rFonts w:hint="cs"/>
          <w:sz w:val="18"/>
          <w:szCs w:val="18"/>
          <w:rtl/>
        </w:rPr>
        <w:t>.</w:t>
      </w:r>
    </w:p>
  </w:footnote>
  <w:footnote w:id="418">
    <w:p w:rsidR="005953C5" w:rsidRDefault="005953C5" w:rsidP="00620060">
      <w:pPr>
        <w:pStyle w:val="a3"/>
        <w:rPr>
          <w:rtl/>
        </w:rPr>
      </w:pPr>
      <w:r w:rsidRPr="00093B24">
        <w:rPr>
          <w:rStyle w:val="a5"/>
          <w:sz w:val="18"/>
          <w:szCs w:val="18"/>
        </w:rPr>
        <w:footnoteRef/>
      </w:r>
      <w:r w:rsidRPr="00093B24">
        <w:rPr>
          <w:sz w:val="18"/>
          <w:szCs w:val="18"/>
          <w:rtl/>
        </w:rPr>
        <w:t xml:space="preserve"> </w:t>
      </w:r>
      <w:r w:rsidRPr="00093B24">
        <w:rPr>
          <w:rFonts w:hint="cs"/>
          <w:sz w:val="18"/>
          <w:szCs w:val="18"/>
          <w:rtl/>
        </w:rPr>
        <w:t xml:space="preserve">אמנם, אם טבלה לכתם לאחר שטבלה לראייה, נחלקו האחרונים - </w:t>
      </w:r>
      <w:r w:rsidRPr="00093B24">
        <w:rPr>
          <w:sz w:val="18"/>
          <w:szCs w:val="18"/>
          <w:rtl/>
        </w:rPr>
        <w:br/>
      </w:r>
      <w:r w:rsidRPr="00093B24">
        <w:rPr>
          <w:rFonts w:hint="cs"/>
          <w:sz w:val="18"/>
          <w:szCs w:val="18"/>
          <w:rtl/>
        </w:rPr>
        <w:t xml:space="preserve">א. </w:t>
      </w:r>
      <w:r w:rsidRPr="00093B24">
        <w:rPr>
          <w:rFonts w:hint="cs"/>
          <w:b/>
          <w:bCs/>
          <w:sz w:val="18"/>
          <w:szCs w:val="18"/>
          <w:rtl/>
        </w:rPr>
        <w:t>עבודת הגרשוני</w:t>
      </w:r>
      <w:r w:rsidRPr="00093B24">
        <w:rPr>
          <w:rFonts w:hint="cs"/>
          <w:sz w:val="18"/>
          <w:szCs w:val="18"/>
          <w:rtl/>
        </w:rPr>
        <w:t xml:space="preserve"> </w:t>
      </w:r>
      <w:r w:rsidRPr="00093B24">
        <w:rPr>
          <w:sz w:val="18"/>
          <w:szCs w:val="18"/>
          <w:rtl/>
        </w:rPr>
        <w:t>–</w:t>
      </w:r>
      <w:r w:rsidRPr="00093B24">
        <w:rPr>
          <w:rFonts w:hint="cs"/>
          <w:sz w:val="18"/>
          <w:szCs w:val="18"/>
          <w:rtl/>
        </w:rPr>
        <w:t xml:space="preserve"> הדבר צריך תלמוד האם מונים מטבילה ראשונה או מטבילה לכתם.</w:t>
      </w:r>
      <w:r w:rsidRPr="00093B24">
        <w:rPr>
          <w:sz w:val="18"/>
          <w:szCs w:val="18"/>
          <w:rtl/>
        </w:rPr>
        <w:br/>
      </w:r>
      <w:r w:rsidRPr="00093B24">
        <w:rPr>
          <w:rFonts w:hint="cs"/>
          <w:sz w:val="18"/>
          <w:szCs w:val="18"/>
          <w:rtl/>
        </w:rPr>
        <w:t xml:space="preserve">ב. </w:t>
      </w:r>
      <w:r w:rsidRPr="00093B24">
        <w:rPr>
          <w:rFonts w:hint="cs"/>
          <w:b/>
          <w:bCs/>
          <w:sz w:val="18"/>
          <w:szCs w:val="18"/>
          <w:rtl/>
        </w:rPr>
        <w:t>תשובה מאהבה</w:t>
      </w:r>
      <w:r w:rsidRPr="00093B24">
        <w:rPr>
          <w:rFonts w:hint="cs"/>
          <w:sz w:val="18"/>
          <w:szCs w:val="18"/>
          <w:rtl/>
        </w:rPr>
        <w:t xml:space="preserve"> </w:t>
      </w:r>
      <w:r w:rsidRPr="00093B24">
        <w:rPr>
          <w:sz w:val="18"/>
          <w:szCs w:val="18"/>
          <w:rtl/>
        </w:rPr>
        <w:t>–</w:t>
      </w:r>
      <w:r w:rsidRPr="00093B24">
        <w:rPr>
          <w:rFonts w:hint="cs"/>
          <w:sz w:val="18"/>
          <w:szCs w:val="18"/>
          <w:rtl/>
        </w:rPr>
        <w:t xml:space="preserve"> מונים מטבילתה הראשונה.</w:t>
      </w:r>
      <w:r w:rsidRPr="00093B24">
        <w:rPr>
          <w:sz w:val="18"/>
          <w:szCs w:val="18"/>
          <w:rtl/>
        </w:rPr>
        <w:br/>
      </w:r>
      <w:r w:rsidRPr="00093B24">
        <w:rPr>
          <w:rFonts w:hint="cs"/>
          <w:b/>
          <w:bCs/>
          <w:sz w:val="18"/>
          <w:szCs w:val="18"/>
          <w:rtl/>
        </w:rPr>
        <w:t>טעם</w:t>
      </w:r>
      <w:r w:rsidRPr="00093B24">
        <w:rPr>
          <w:rFonts w:hint="cs"/>
          <w:sz w:val="18"/>
          <w:szCs w:val="18"/>
          <w:rtl/>
        </w:rPr>
        <w:t xml:space="preserve"> </w:t>
      </w:r>
      <w:r w:rsidRPr="00093B24">
        <w:rPr>
          <w:sz w:val="18"/>
          <w:szCs w:val="18"/>
          <w:rtl/>
        </w:rPr>
        <w:t>–</w:t>
      </w:r>
      <w:r w:rsidRPr="00093B24">
        <w:rPr>
          <w:rFonts w:hint="cs"/>
          <w:sz w:val="18"/>
          <w:szCs w:val="18"/>
          <w:rtl/>
        </w:rPr>
        <w:t xml:space="preserve"> גזירת כתמים נאמרה להחמיר על דברי תורה, ואם תאמר למנות מטבילה לכתם נמצאת מקל.</w:t>
      </w:r>
    </w:p>
  </w:footnote>
  <w:footnote w:id="419">
    <w:p w:rsidR="005953C5" w:rsidRDefault="005953C5" w:rsidP="00620060">
      <w:pPr>
        <w:pStyle w:val="a3"/>
      </w:pPr>
      <w:r w:rsidRPr="00A20580">
        <w:rPr>
          <w:rStyle w:val="a5"/>
          <w:sz w:val="18"/>
          <w:szCs w:val="18"/>
        </w:rPr>
        <w:footnoteRef/>
      </w:r>
      <w:r w:rsidRPr="00A20580">
        <w:rPr>
          <w:sz w:val="18"/>
          <w:szCs w:val="18"/>
          <w:rtl/>
        </w:rPr>
        <w:t xml:space="preserve"> </w:t>
      </w:r>
      <w:r w:rsidRPr="00A20580">
        <w:rPr>
          <w:rFonts w:hint="cs"/>
          <w:sz w:val="18"/>
          <w:szCs w:val="18"/>
          <w:rtl/>
        </w:rPr>
        <w:t xml:space="preserve">הסבר המושג ודין גוף אטום - </w:t>
      </w:r>
      <w:r w:rsidRPr="00A20580">
        <w:rPr>
          <w:sz w:val="18"/>
          <w:szCs w:val="18"/>
          <w:rtl/>
        </w:rPr>
        <w:br/>
      </w:r>
      <w:r w:rsidRPr="00A20580">
        <w:rPr>
          <w:rFonts w:hint="cs"/>
          <w:b/>
          <w:bCs/>
          <w:sz w:val="18"/>
          <w:szCs w:val="18"/>
          <w:rtl/>
        </w:rPr>
        <w:t>גמרא</w:t>
      </w:r>
      <w:r w:rsidRPr="00A20580">
        <w:rPr>
          <w:rFonts w:hint="cs"/>
          <w:sz w:val="18"/>
          <w:szCs w:val="18"/>
          <w:rtl/>
        </w:rPr>
        <w:t xml:space="preserve"> </w:t>
      </w:r>
      <w:r w:rsidRPr="00A20580">
        <w:rPr>
          <w:rFonts w:cs="Arial" w:hint="cs"/>
          <w:sz w:val="18"/>
          <w:szCs w:val="18"/>
          <w:rtl/>
        </w:rPr>
        <w:t>(שם, כג:) "תנו רבנן</w:t>
      </w:r>
      <w:r w:rsidRPr="00A20580">
        <w:rPr>
          <w:rFonts w:cs="Arial"/>
          <w:sz w:val="18"/>
          <w:szCs w:val="18"/>
          <w:rtl/>
        </w:rPr>
        <w:t xml:space="preserve">: </w:t>
      </w:r>
      <w:r w:rsidRPr="00A20580">
        <w:rPr>
          <w:rFonts w:cs="Arial" w:hint="cs"/>
          <w:sz w:val="18"/>
          <w:szCs w:val="18"/>
          <w:rtl/>
        </w:rPr>
        <w:t>המפלת</w:t>
      </w:r>
      <w:r w:rsidRPr="00A20580">
        <w:rPr>
          <w:rFonts w:cs="Arial"/>
          <w:sz w:val="18"/>
          <w:szCs w:val="18"/>
          <w:rtl/>
        </w:rPr>
        <w:t xml:space="preserve"> </w:t>
      </w:r>
      <w:r w:rsidRPr="00A20580">
        <w:rPr>
          <w:rFonts w:cs="Arial" w:hint="cs"/>
          <w:sz w:val="18"/>
          <w:szCs w:val="18"/>
          <w:rtl/>
        </w:rPr>
        <w:t>גוף</w:t>
      </w:r>
      <w:r w:rsidRPr="00A20580">
        <w:rPr>
          <w:rFonts w:cs="Arial"/>
          <w:sz w:val="18"/>
          <w:szCs w:val="18"/>
          <w:rtl/>
        </w:rPr>
        <w:t xml:space="preserve"> </w:t>
      </w:r>
      <w:r w:rsidRPr="00A20580">
        <w:rPr>
          <w:rFonts w:cs="Arial" w:hint="cs"/>
          <w:sz w:val="18"/>
          <w:szCs w:val="18"/>
          <w:rtl/>
        </w:rPr>
        <w:t>אטום</w:t>
      </w:r>
      <w:r w:rsidRPr="00A20580">
        <w:rPr>
          <w:rFonts w:cs="Arial"/>
          <w:sz w:val="18"/>
          <w:szCs w:val="18"/>
          <w:rtl/>
        </w:rPr>
        <w:t xml:space="preserve"> - </w:t>
      </w:r>
      <w:r w:rsidRPr="00A20580">
        <w:rPr>
          <w:rFonts w:cs="Arial" w:hint="cs"/>
          <w:sz w:val="18"/>
          <w:szCs w:val="18"/>
          <w:rtl/>
        </w:rPr>
        <w:t>אין</w:t>
      </w:r>
      <w:r w:rsidRPr="00A20580">
        <w:rPr>
          <w:rFonts w:cs="Arial"/>
          <w:sz w:val="18"/>
          <w:szCs w:val="18"/>
          <w:rtl/>
        </w:rPr>
        <w:t xml:space="preserve"> </w:t>
      </w:r>
      <w:r w:rsidRPr="00A20580">
        <w:rPr>
          <w:rFonts w:cs="Arial" w:hint="cs"/>
          <w:sz w:val="18"/>
          <w:szCs w:val="18"/>
          <w:rtl/>
        </w:rPr>
        <w:t>אמו</w:t>
      </w:r>
      <w:r w:rsidRPr="00A20580">
        <w:rPr>
          <w:rFonts w:cs="Arial"/>
          <w:sz w:val="18"/>
          <w:szCs w:val="18"/>
          <w:rtl/>
        </w:rPr>
        <w:t xml:space="preserve"> </w:t>
      </w:r>
      <w:r w:rsidRPr="00A20580">
        <w:rPr>
          <w:rFonts w:cs="Arial" w:hint="cs"/>
          <w:sz w:val="18"/>
          <w:szCs w:val="18"/>
          <w:rtl/>
        </w:rPr>
        <w:t>טמאה</w:t>
      </w:r>
      <w:r w:rsidRPr="00A20580">
        <w:rPr>
          <w:rFonts w:cs="Arial"/>
          <w:sz w:val="18"/>
          <w:szCs w:val="18"/>
          <w:rtl/>
        </w:rPr>
        <w:t xml:space="preserve"> </w:t>
      </w:r>
      <w:r w:rsidRPr="00A20580">
        <w:rPr>
          <w:rFonts w:cs="Arial" w:hint="cs"/>
          <w:sz w:val="18"/>
          <w:szCs w:val="18"/>
          <w:rtl/>
        </w:rPr>
        <w:t>לידה</w:t>
      </w:r>
      <w:r w:rsidRPr="00A20580">
        <w:rPr>
          <w:rFonts w:cs="Arial"/>
          <w:sz w:val="18"/>
          <w:szCs w:val="18"/>
          <w:rtl/>
        </w:rPr>
        <w:t xml:space="preserve">. </w:t>
      </w:r>
      <w:r w:rsidRPr="00A20580">
        <w:rPr>
          <w:rFonts w:cs="Arial" w:hint="cs"/>
          <w:sz w:val="18"/>
          <w:szCs w:val="18"/>
          <w:rtl/>
        </w:rPr>
        <w:t>ואיזהו</w:t>
      </w:r>
      <w:r w:rsidRPr="00A20580">
        <w:rPr>
          <w:rFonts w:cs="Arial"/>
          <w:sz w:val="18"/>
          <w:szCs w:val="18"/>
          <w:rtl/>
        </w:rPr>
        <w:t xml:space="preserve"> </w:t>
      </w:r>
      <w:r w:rsidRPr="00A20580">
        <w:rPr>
          <w:rFonts w:cs="Arial" w:hint="cs"/>
          <w:sz w:val="18"/>
          <w:szCs w:val="18"/>
          <w:rtl/>
        </w:rPr>
        <w:t>גוף</w:t>
      </w:r>
      <w:r w:rsidRPr="00A20580">
        <w:rPr>
          <w:rFonts w:cs="Arial"/>
          <w:sz w:val="18"/>
          <w:szCs w:val="18"/>
          <w:rtl/>
        </w:rPr>
        <w:t xml:space="preserve"> </w:t>
      </w:r>
      <w:r w:rsidRPr="00A20580">
        <w:rPr>
          <w:rFonts w:cs="Arial" w:hint="cs"/>
          <w:sz w:val="18"/>
          <w:szCs w:val="18"/>
          <w:rtl/>
        </w:rPr>
        <w:t>אטום</w:t>
      </w:r>
      <w:r w:rsidRPr="00A20580">
        <w:rPr>
          <w:rFonts w:cs="Arial"/>
          <w:sz w:val="18"/>
          <w:szCs w:val="18"/>
          <w:rtl/>
        </w:rPr>
        <w:t xml:space="preserve">? </w:t>
      </w:r>
      <w:r w:rsidRPr="00A20580">
        <w:rPr>
          <w:rFonts w:cs="Arial" w:hint="cs"/>
          <w:sz w:val="18"/>
          <w:szCs w:val="18"/>
          <w:rtl/>
        </w:rPr>
        <w:t>רבי</w:t>
      </w:r>
      <w:r w:rsidRPr="00A20580">
        <w:rPr>
          <w:rFonts w:cs="Arial"/>
          <w:sz w:val="18"/>
          <w:szCs w:val="18"/>
          <w:rtl/>
        </w:rPr>
        <w:t xml:space="preserve"> </w:t>
      </w:r>
      <w:r w:rsidRPr="00A20580">
        <w:rPr>
          <w:rFonts w:cs="Arial" w:hint="cs"/>
          <w:sz w:val="18"/>
          <w:szCs w:val="18"/>
          <w:rtl/>
        </w:rPr>
        <w:t>אומר</w:t>
      </w:r>
      <w:r w:rsidRPr="00A20580">
        <w:rPr>
          <w:rFonts w:cs="Arial"/>
          <w:sz w:val="18"/>
          <w:szCs w:val="18"/>
          <w:rtl/>
        </w:rPr>
        <w:t xml:space="preserve">: </w:t>
      </w:r>
      <w:r w:rsidRPr="00A20580">
        <w:rPr>
          <w:rFonts w:cs="Arial" w:hint="cs"/>
          <w:sz w:val="18"/>
          <w:szCs w:val="18"/>
          <w:rtl/>
        </w:rPr>
        <w:t>כדי</w:t>
      </w:r>
      <w:r w:rsidRPr="00A20580">
        <w:rPr>
          <w:rFonts w:cs="Arial"/>
          <w:sz w:val="18"/>
          <w:szCs w:val="18"/>
          <w:rtl/>
        </w:rPr>
        <w:t xml:space="preserve"> </w:t>
      </w:r>
      <w:r w:rsidRPr="00A20580">
        <w:rPr>
          <w:rFonts w:cs="Arial" w:hint="cs"/>
          <w:sz w:val="18"/>
          <w:szCs w:val="18"/>
          <w:rtl/>
        </w:rPr>
        <w:t>שינטל</w:t>
      </w:r>
      <w:r w:rsidRPr="00A20580">
        <w:rPr>
          <w:rFonts w:cs="Arial"/>
          <w:sz w:val="18"/>
          <w:szCs w:val="18"/>
          <w:rtl/>
        </w:rPr>
        <w:t xml:space="preserve"> </w:t>
      </w:r>
      <w:r w:rsidRPr="00A20580">
        <w:rPr>
          <w:rFonts w:cs="Arial" w:hint="cs"/>
          <w:sz w:val="18"/>
          <w:szCs w:val="18"/>
          <w:rtl/>
        </w:rPr>
        <w:t>מן</w:t>
      </w:r>
      <w:r w:rsidRPr="00A20580">
        <w:rPr>
          <w:rFonts w:cs="Arial"/>
          <w:sz w:val="18"/>
          <w:szCs w:val="18"/>
          <w:rtl/>
        </w:rPr>
        <w:t xml:space="preserve"> </w:t>
      </w:r>
      <w:r w:rsidRPr="00A20580">
        <w:rPr>
          <w:rFonts w:cs="Arial" w:hint="cs"/>
          <w:sz w:val="18"/>
          <w:szCs w:val="18"/>
          <w:rtl/>
        </w:rPr>
        <w:t>החי</w:t>
      </w:r>
      <w:r w:rsidRPr="00A20580">
        <w:rPr>
          <w:rFonts w:cs="Arial"/>
          <w:sz w:val="18"/>
          <w:szCs w:val="18"/>
          <w:rtl/>
        </w:rPr>
        <w:t xml:space="preserve"> </w:t>
      </w:r>
      <w:r w:rsidRPr="00A20580">
        <w:rPr>
          <w:rFonts w:cs="Arial" w:hint="cs"/>
          <w:sz w:val="18"/>
          <w:szCs w:val="18"/>
          <w:rtl/>
        </w:rPr>
        <w:t>וימות</w:t>
      </w:r>
      <w:r w:rsidRPr="00A20580">
        <w:rPr>
          <w:rFonts w:cs="Arial"/>
          <w:sz w:val="18"/>
          <w:szCs w:val="18"/>
          <w:rtl/>
        </w:rPr>
        <w:t xml:space="preserve">. </w:t>
      </w:r>
      <w:r w:rsidRPr="00A20580">
        <w:rPr>
          <w:rFonts w:cs="Arial" w:hint="cs"/>
          <w:sz w:val="18"/>
          <w:szCs w:val="18"/>
          <w:rtl/>
        </w:rPr>
        <w:t>וכמה</w:t>
      </w:r>
      <w:r w:rsidRPr="00A20580">
        <w:rPr>
          <w:rFonts w:cs="Arial"/>
          <w:sz w:val="18"/>
          <w:szCs w:val="18"/>
          <w:rtl/>
        </w:rPr>
        <w:t xml:space="preserve"> </w:t>
      </w:r>
      <w:r w:rsidRPr="00A20580">
        <w:rPr>
          <w:rFonts w:cs="Arial" w:hint="cs"/>
          <w:sz w:val="18"/>
          <w:szCs w:val="18"/>
          <w:rtl/>
        </w:rPr>
        <w:t>ינטל</w:t>
      </w:r>
      <w:r w:rsidRPr="00A20580">
        <w:rPr>
          <w:rFonts w:cs="Arial"/>
          <w:sz w:val="18"/>
          <w:szCs w:val="18"/>
          <w:rtl/>
        </w:rPr>
        <w:t xml:space="preserve"> </w:t>
      </w:r>
      <w:r w:rsidRPr="00A20580">
        <w:rPr>
          <w:rFonts w:cs="Arial" w:hint="cs"/>
          <w:sz w:val="18"/>
          <w:szCs w:val="18"/>
          <w:rtl/>
        </w:rPr>
        <w:t>מן</w:t>
      </w:r>
      <w:r w:rsidRPr="00A20580">
        <w:rPr>
          <w:rFonts w:cs="Arial"/>
          <w:sz w:val="18"/>
          <w:szCs w:val="18"/>
          <w:rtl/>
        </w:rPr>
        <w:t xml:space="preserve"> </w:t>
      </w:r>
      <w:r w:rsidRPr="00A20580">
        <w:rPr>
          <w:rFonts w:cs="Arial" w:hint="cs"/>
          <w:sz w:val="18"/>
          <w:szCs w:val="18"/>
          <w:rtl/>
        </w:rPr>
        <w:t>החי</w:t>
      </w:r>
      <w:r w:rsidRPr="00A20580">
        <w:rPr>
          <w:rFonts w:cs="Arial"/>
          <w:sz w:val="18"/>
          <w:szCs w:val="18"/>
          <w:rtl/>
        </w:rPr>
        <w:t xml:space="preserve"> </w:t>
      </w:r>
      <w:r w:rsidRPr="00A20580">
        <w:rPr>
          <w:rFonts w:cs="Arial" w:hint="cs"/>
          <w:sz w:val="18"/>
          <w:szCs w:val="18"/>
          <w:rtl/>
        </w:rPr>
        <w:t>וימות</w:t>
      </w:r>
      <w:r w:rsidRPr="00A20580">
        <w:rPr>
          <w:rFonts w:cs="Arial"/>
          <w:sz w:val="18"/>
          <w:szCs w:val="18"/>
          <w:rtl/>
        </w:rPr>
        <w:t xml:space="preserve">? </w:t>
      </w:r>
      <w:r w:rsidRPr="00A20580">
        <w:rPr>
          <w:rFonts w:cs="Arial" w:hint="cs"/>
          <w:sz w:val="18"/>
          <w:szCs w:val="18"/>
          <w:rtl/>
        </w:rPr>
        <w:t>רבי</w:t>
      </w:r>
      <w:r w:rsidRPr="00A20580">
        <w:rPr>
          <w:rFonts w:cs="Arial"/>
          <w:sz w:val="18"/>
          <w:szCs w:val="18"/>
          <w:rtl/>
        </w:rPr>
        <w:t xml:space="preserve"> </w:t>
      </w:r>
      <w:r w:rsidRPr="00A20580">
        <w:rPr>
          <w:rFonts w:cs="Arial" w:hint="cs"/>
          <w:sz w:val="18"/>
          <w:szCs w:val="18"/>
          <w:rtl/>
        </w:rPr>
        <w:t>זכאי</w:t>
      </w:r>
      <w:r w:rsidRPr="00A20580">
        <w:rPr>
          <w:rFonts w:cs="Arial"/>
          <w:sz w:val="18"/>
          <w:szCs w:val="18"/>
          <w:rtl/>
        </w:rPr>
        <w:t xml:space="preserve"> </w:t>
      </w:r>
      <w:r w:rsidRPr="00A20580">
        <w:rPr>
          <w:rFonts w:cs="Arial" w:hint="cs"/>
          <w:sz w:val="18"/>
          <w:szCs w:val="18"/>
          <w:rtl/>
        </w:rPr>
        <w:t>אומר</w:t>
      </w:r>
      <w:r w:rsidRPr="00A20580">
        <w:rPr>
          <w:rFonts w:cs="Arial"/>
          <w:sz w:val="18"/>
          <w:szCs w:val="18"/>
          <w:rtl/>
        </w:rPr>
        <w:t>:</w:t>
      </w:r>
      <w:r w:rsidRPr="00A20580">
        <w:rPr>
          <w:rFonts w:hint="cs"/>
          <w:sz w:val="18"/>
          <w:szCs w:val="18"/>
          <w:rtl/>
        </w:rPr>
        <w:t xml:space="preserve"> </w:t>
      </w:r>
      <w:r w:rsidRPr="00A20580">
        <w:rPr>
          <w:rFonts w:cs="Arial" w:hint="cs"/>
          <w:sz w:val="18"/>
          <w:szCs w:val="18"/>
          <w:rtl/>
        </w:rPr>
        <w:t>עד</w:t>
      </w:r>
      <w:r w:rsidRPr="00A20580">
        <w:rPr>
          <w:rFonts w:cs="Arial"/>
          <w:sz w:val="18"/>
          <w:szCs w:val="18"/>
          <w:rtl/>
        </w:rPr>
        <w:t xml:space="preserve"> </w:t>
      </w:r>
      <w:r w:rsidRPr="00A20580">
        <w:rPr>
          <w:rFonts w:cs="Arial" w:hint="cs"/>
          <w:sz w:val="18"/>
          <w:szCs w:val="18"/>
          <w:rtl/>
        </w:rPr>
        <w:t>הארכובה</w:t>
      </w:r>
      <w:r w:rsidRPr="00A20580">
        <w:rPr>
          <w:rFonts w:cs="Arial"/>
          <w:sz w:val="18"/>
          <w:szCs w:val="18"/>
          <w:rtl/>
        </w:rPr>
        <w:t xml:space="preserve">, </w:t>
      </w:r>
      <w:r w:rsidRPr="00A20580">
        <w:rPr>
          <w:rFonts w:cs="Arial" w:hint="cs"/>
          <w:sz w:val="18"/>
          <w:szCs w:val="18"/>
          <w:rtl/>
        </w:rPr>
        <w:t>רבי</w:t>
      </w:r>
      <w:r w:rsidRPr="00A20580">
        <w:rPr>
          <w:rFonts w:cs="Arial"/>
          <w:sz w:val="18"/>
          <w:szCs w:val="18"/>
          <w:rtl/>
        </w:rPr>
        <w:t xml:space="preserve"> </w:t>
      </w:r>
      <w:r w:rsidRPr="00A20580">
        <w:rPr>
          <w:rFonts w:cs="Arial" w:hint="cs"/>
          <w:sz w:val="18"/>
          <w:szCs w:val="18"/>
          <w:rtl/>
        </w:rPr>
        <w:t>ינאי</w:t>
      </w:r>
      <w:r w:rsidRPr="00A20580">
        <w:rPr>
          <w:rFonts w:cs="Arial"/>
          <w:sz w:val="18"/>
          <w:szCs w:val="18"/>
          <w:rtl/>
        </w:rPr>
        <w:t xml:space="preserve"> </w:t>
      </w:r>
      <w:r w:rsidRPr="00A20580">
        <w:rPr>
          <w:rFonts w:cs="Arial" w:hint="cs"/>
          <w:sz w:val="18"/>
          <w:szCs w:val="18"/>
          <w:rtl/>
        </w:rPr>
        <w:t>אומר</w:t>
      </w:r>
      <w:r w:rsidRPr="00A20580">
        <w:rPr>
          <w:rFonts w:cs="Arial"/>
          <w:sz w:val="18"/>
          <w:szCs w:val="18"/>
          <w:rtl/>
        </w:rPr>
        <w:t xml:space="preserve">: </w:t>
      </w:r>
      <w:r w:rsidRPr="00A20580">
        <w:rPr>
          <w:rFonts w:cs="Arial" w:hint="cs"/>
          <w:sz w:val="18"/>
          <w:szCs w:val="18"/>
          <w:rtl/>
        </w:rPr>
        <w:t>עד</w:t>
      </w:r>
      <w:r w:rsidRPr="00A20580">
        <w:rPr>
          <w:rFonts w:cs="Arial"/>
          <w:sz w:val="18"/>
          <w:szCs w:val="18"/>
          <w:rtl/>
        </w:rPr>
        <w:t xml:space="preserve"> </w:t>
      </w:r>
      <w:r w:rsidRPr="00A20580">
        <w:rPr>
          <w:rFonts w:cs="Arial" w:hint="cs"/>
          <w:sz w:val="18"/>
          <w:szCs w:val="18"/>
          <w:rtl/>
        </w:rPr>
        <w:t>לנקביו</w:t>
      </w:r>
      <w:r w:rsidRPr="00A20580">
        <w:rPr>
          <w:rFonts w:cs="Arial"/>
          <w:sz w:val="18"/>
          <w:szCs w:val="18"/>
          <w:rtl/>
        </w:rPr>
        <w:t xml:space="preserve">, </w:t>
      </w:r>
      <w:r w:rsidRPr="00A20580">
        <w:rPr>
          <w:rFonts w:cs="Arial" w:hint="cs"/>
          <w:sz w:val="18"/>
          <w:szCs w:val="18"/>
          <w:rtl/>
        </w:rPr>
        <w:t>רבי</w:t>
      </w:r>
      <w:r w:rsidRPr="00A20580">
        <w:rPr>
          <w:rFonts w:cs="Arial"/>
          <w:sz w:val="18"/>
          <w:szCs w:val="18"/>
          <w:rtl/>
        </w:rPr>
        <w:t xml:space="preserve"> </w:t>
      </w:r>
      <w:r w:rsidRPr="00A20580">
        <w:rPr>
          <w:rFonts w:cs="Arial" w:hint="cs"/>
          <w:sz w:val="18"/>
          <w:szCs w:val="18"/>
          <w:rtl/>
        </w:rPr>
        <w:t>יוחנן</w:t>
      </w:r>
      <w:r w:rsidRPr="00A20580">
        <w:rPr>
          <w:rFonts w:cs="Arial"/>
          <w:sz w:val="18"/>
          <w:szCs w:val="18"/>
          <w:rtl/>
        </w:rPr>
        <w:t xml:space="preserve"> </w:t>
      </w:r>
      <w:r w:rsidRPr="00A20580">
        <w:rPr>
          <w:rFonts w:cs="Arial" w:hint="cs"/>
          <w:sz w:val="18"/>
          <w:szCs w:val="18"/>
          <w:rtl/>
        </w:rPr>
        <w:t>אומר</w:t>
      </w:r>
      <w:r w:rsidRPr="00A20580">
        <w:rPr>
          <w:rFonts w:cs="Arial"/>
          <w:sz w:val="18"/>
          <w:szCs w:val="18"/>
          <w:rtl/>
        </w:rPr>
        <w:t xml:space="preserve"> </w:t>
      </w:r>
      <w:r w:rsidRPr="00A20580">
        <w:rPr>
          <w:rFonts w:cs="Arial" w:hint="cs"/>
          <w:sz w:val="18"/>
          <w:szCs w:val="18"/>
          <w:rtl/>
        </w:rPr>
        <w:t>משום</w:t>
      </w:r>
      <w:r w:rsidRPr="00A20580">
        <w:rPr>
          <w:rFonts w:cs="Arial"/>
          <w:sz w:val="18"/>
          <w:szCs w:val="18"/>
          <w:rtl/>
        </w:rPr>
        <w:t xml:space="preserve"> </w:t>
      </w:r>
      <w:r w:rsidRPr="00A20580">
        <w:rPr>
          <w:rFonts w:cs="Arial" w:hint="cs"/>
          <w:sz w:val="18"/>
          <w:szCs w:val="18"/>
          <w:rtl/>
        </w:rPr>
        <w:t>רבי</w:t>
      </w:r>
      <w:r w:rsidRPr="00A20580">
        <w:rPr>
          <w:rFonts w:cs="Arial"/>
          <w:sz w:val="18"/>
          <w:szCs w:val="18"/>
          <w:rtl/>
        </w:rPr>
        <w:t xml:space="preserve"> </w:t>
      </w:r>
      <w:r w:rsidRPr="00A20580">
        <w:rPr>
          <w:rFonts w:cs="Arial" w:hint="cs"/>
          <w:sz w:val="18"/>
          <w:szCs w:val="18"/>
          <w:rtl/>
        </w:rPr>
        <w:t>יוסי</w:t>
      </w:r>
      <w:r w:rsidRPr="00A20580">
        <w:rPr>
          <w:rFonts w:cs="Arial"/>
          <w:sz w:val="18"/>
          <w:szCs w:val="18"/>
          <w:rtl/>
        </w:rPr>
        <w:t xml:space="preserve"> </w:t>
      </w:r>
      <w:r w:rsidRPr="00A20580">
        <w:rPr>
          <w:rFonts w:cs="Arial" w:hint="cs"/>
          <w:sz w:val="18"/>
          <w:szCs w:val="18"/>
          <w:rtl/>
        </w:rPr>
        <w:t>בן</w:t>
      </w:r>
      <w:r w:rsidRPr="00A20580">
        <w:rPr>
          <w:rFonts w:cs="Arial"/>
          <w:sz w:val="18"/>
          <w:szCs w:val="18"/>
          <w:rtl/>
        </w:rPr>
        <w:t xml:space="preserve"> </w:t>
      </w:r>
      <w:r w:rsidRPr="00A20580">
        <w:rPr>
          <w:rFonts w:cs="Arial" w:hint="cs"/>
          <w:sz w:val="18"/>
          <w:szCs w:val="18"/>
          <w:rtl/>
        </w:rPr>
        <w:t>יהושע</w:t>
      </w:r>
      <w:r w:rsidRPr="00A20580">
        <w:rPr>
          <w:rFonts w:cs="Arial"/>
          <w:sz w:val="18"/>
          <w:szCs w:val="18"/>
          <w:rtl/>
        </w:rPr>
        <w:t xml:space="preserve">: </w:t>
      </w:r>
      <w:r w:rsidRPr="00A20580">
        <w:rPr>
          <w:rFonts w:cs="Arial" w:hint="cs"/>
          <w:sz w:val="18"/>
          <w:szCs w:val="18"/>
          <w:rtl/>
        </w:rPr>
        <w:t>עד</w:t>
      </w:r>
      <w:r w:rsidRPr="00A20580">
        <w:rPr>
          <w:rFonts w:cs="Arial"/>
          <w:sz w:val="18"/>
          <w:szCs w:val="18"/>
          <w:rtl/>
        </w:rPr>
        <w:t xml:space="preserve"> </w:t>
      </w:r>
      <w:r w:rsidRPr="00A20580">
        <w:rPr>
          <w:rFonts w:cs="Arial" w:hint="cs"/>
          <w:sz w:val="18"/>
          <w:szCs w:val="18"/>
          <w:rtl/>
        </w:rPr>
        <w:t>מקום</w:t>
      </w:r>
      <w:r w:rsidRPr="00A20580">
        <w:rPr>
          <w:rFonts w:cs="Arial"/>
          <w:sz w:val="18"/>
          <w:szCs w:val="18"/>
          <w:rtl/>
        </w:rPr>
        <w:t xml:space="preserve"> </w:t>
      </w:r>
      <w:r w:rsidRPr="00A20580">
        <w:rPr>
          <w:rFonts w:cs="Arial" w:hint="cs"/>
          <w:sz w:val="18"/>
          <w:szCs w:val="18"/>
          <w:rtl/>
        </w:rPr>
        <w:t>טבורו".</w:t>
      </w:r>
      <w:r w:rsidRPr="00A20580">
        <w:rPr>
          <w:sz w:val="18"/>
          <w:szCs w:val="18"/>
          <w:rtl/>
        </w:rPr>
        <w:br/>
      </w:r>
      <w:r w:rsidRPr="00A20580">
        <w:rPr>
          <w:rFonts w:hint="cs"/>
          <w:sz w:val="18"/>
          <w:szCs w:val="18"/>
          <w:rtl/>
        </w:rPr>
        <w:t xml:space="preserve">גוף אטום </w:t>
      </w:r>
      <w:r w:rsidRPr="00A20580">
        <w:rPr>
          <w:sz w:val="18"/>
          <w:szCs w:val="18"/>
          <w:rtl/>
        </w:rPr>
        <w:t>–</w:t>
      </w:r>
      <w:r w:rsidRPr="00A20580">
        <w:rPr>
          <w:rFonts w:hint="cs"/>
          <w:sz w:val="18"/>
          <w:szCs w:val="18"/>
          <w:rtl/>
        </w:rPr>
        <w:t xml:space="preserve"> בא לפנינו חסר אבר שאילו יינטל מהחי ימות, ונראה שנברא בחיסרון זה.</w:t>
      </w:r>
      <w:r w:rsidRPr="00A20580">
        <w:rPr>
          <w:sz w:val="18"/>
          <w:szCs w:val="18"/>
          <w:rtl/>
        </w:rPr>
        <w:br/>
      </w:r>
      <w:r w:rsidRPr="00F83B9E">
        <w:rPr>
          <w:rFonts w:hint="cs"/>
          <w:b/>
          <w:bCs/>
          <w:sz w:val="18"/>
          <w:szCs w:val="18"/>
          <w:rtl/>
        </w:rPr>
        <w:t>הראב"ד</w:t>
      </w:r>
      <w:r w:rsidRPr="00A20580">
        <w:rPr>
          <w:rFonts w:hint="cs"/>
          <w:sz w:val="18"/>
          <w:szCs w:val="18"/>
          <w:rtl/>
        </w:rPr>
        <w:t xml:space="preserve"> פוסק כרבי זכאי עד הארכובה, אך </w:t>
      </w:r>
      <w:r w:rsidRPr="00F83B9E">
        <w:rPr>
          <w:rFonts w:hint="cs"/>
          <w:b/>
          <w:bCs/>
          <w:sz w:val="18"/>
          <w:szCs w:val="18"/>
          <w:rtl/>
        </w:rPr>
        <w:t>הרמב"ם</w:t>
      </w:r>
      <w:r w:rsidRPr="00A20580">
        <w:rPr>
          <w:rFonts w:hint="cs"/>
          <w:sz w:val="18"/>
          <w:szCs w:val="18"/>
          <w:rtl/>
        </w:rPr>
        <w:t xml:space="preserve"> פוסק כרבי יוחנן עד טיבורו, ועיין </w:t>
      </w:r>
      <w:r w:rsidRPr="00F83B9E">
        <w:rPr>
          <w:rFonts w:hint="cs"/>
          <w:b/>
          <w:bCs/>
          <w:sz w:val="18"/>
          <w:szCs w:val="18"/>
          <w:rtl/>
        </w:rPr>
        <w:t>בבית יוסף</w:t>
      </w:r>
      <w:r w:rsidRPr="00A20580">
        <w:rPr>
          <w:rFonts w:hint="cs"/>
          <w:sz w:val="18"/>
          <w:szCs w:val="18"/>
          <w:rtl/>
        </w:rPr>
        <w:t xml:space="preserve"> שהניח את פסק </w:t>
      </w:r>
      <w:r w:rsidRPr="00F83B9E">
        <w:rPr>
          <w:rFonts w:hint="cs"/>
          <w:b/>
          <w:bCs/>
          <w:sz w:val="18"/>
          <w:szCs w:val="18"/>
          <w:rtl/>
        </w:rPr>
        <w:t>הרמב"ם</w:t>
      </w:r>
      <w:r w:rsidRPr="00A20580">
        <w:rPr>
          <w:rFonts w:hint="cs"/>
          <w:sz w:val="18"/>
          <w:szCs w:val="18"/>
          <w:rtl/>
        </w:rPr>
        <w:t xml:space="preserve"> בצ"ע.</w:t>
      </w:r>
      <w:r>
        <w:rPr>
          <w:rtl/>
        </w:rPr>
        <w:br/>
      </w:r>
      <w:r w:rsidRPr="00051E92">
        <w:rPr>
          <w:rFonts w:hint="cs"/>
          <w:sz w:val="18"/>
          <w:szCs w:val="18"/>
          <w:rtl/>
        </w:rPr>
        <w:t xml:space="preserve">ומכל מקום, לעניינינו </w:t>
      </w:r>
      <w:r w:rsidRPr="00051E92">
        <w:rPr>
          <w:sz w:val="18"/>
          <w:szCs w:val="18"/>
          <w:rtl/>
        </w:rPr>
        <w:t>–</w:t>
      </w:r>
      <w:r w:rsidRPr="00051E92">
        <w:rPr>
          <w:rFonts w:hint="cs"/>
          <w:sz w:val="18"/>
          <w:szCs w:val="18"/>
          <w:rtl/>
        </w:rPr>
        <w:t xml:space="preserve"> הכוונה בגמרא היא שאם הפילה יד או רגל חתוכים, כלומר שניכר בהם חיתוך האצבעות, אמו טמאה לידה ואין מתירים אותה מכוח ספק שמא מגוף אטום הפילה.</w:t>
      </w:r>
    </w:p>
  </w:footnote>
  <w:footnote w:id="420">
    <w:p w:rsidR="005953C5" w:rsidRDefault="005953C5" w:rsidP="00620060">
      <w:pPr>
        <w:pStyle w:val="a3"/>
      </w:pPr>
      <w:r w:rsidRPr="00EE533E">
        <w:rPr>
          <w:rStyle w:val="a5"/>
          <w:sz w:val="18"/>
          <w:szCs w:val="18"/>
        </w:rPr>
        <w:footnoteRef/>
      </w:r>
      <w:r w:rsidRPr="00EE533E">
        <w:rPr>
          <w:sz w:val="18"/>
          <w:szCs w:val="18"/>
          <w:rtl/>
        </w:rPr>
        <w:t xml:space="preserve"> </w:t>
      </w:r>
      <w:r w:rsidRPr="00EE533E">
        <w:rPr>
          <w:rFonts w:hint="cs"/>
          <w:sz w:val="18"/>
          <w:szCs w:val="18"/>
          <w:rtl/>
        </w:rPr>
        <w:t xml:space="preserve">הגדרת 'הלכה למעשה - </w:t>
      </w:r>
      <w:r w:rsidRPr="00EE533E">
        <w:rPr>
          <w:sz w:val="18"/>
          <w:szCs w:val="18"/>
          <w:rtl/>
        </w:rPr>
        <w:br/>
      </w:r>
      <w:r w:rsidRPr="00EE533E">
        <w:rPr>
          <w:rFonts w:hint="cs"/>
          <w:sz w:val="18"/>
          <w:szCs w:val="18"/>
          <w:rtl/>
        </w:rPr>
        <w:t>גמרא בבא בתרא (קל:) "</w:t>
      </w:r>
      <w:r w:rsidRPr="00EE533E">
        <w:rPr>
          <w:rFonts w:cs="Arial"/>
          <w:sz w:val="18"/>
          <w:szCs w:val="18"/>
          <w:rtl/>
        </w:rPr>
        <w:t xml:space="preserve"> </w:t>
      </w:r>
      <w:r w:rsidRPr="00EE533E">
        <w:rPr>
          <w:rFonts w:cs="Arial" w:hint="cs"/>
          <w:sz w:val="18"/>
          <w:szCs w:val="18"/>
          <w:rtl/>
        </w:rPr>
        <w:t>תנו</w:t>
      </w:r>
      <w:r w:rsidRPr="00EE533E">
        <w:rPr>
          <w:rFonts w:cs="Arial"/>
          <w:sz w:val="18"/>
          <w:szCs w:val="18"/>
          <w:rtl/>
        </w:rPr>
        <w:t xml:space="preserve"> </w:t>
      </w:r>
      <w:r w:rsidRPr="00EE533E">
        <w:rPr>
          <w:rFonts w:cs="Arial" w:hint="cs"/>
          <w:sz w:val="18"/>
          <w:szCs w:val="18"/>
          <w:rtl/>
        </w:rPr>
        <w:t>רבנן</w:t>
      </w:r>
      <w:r w:rsidRPr="00EE533E">
        <w:rPr>
          <w:rFonts w:cs="Arial"/>
          <w:sz w:val="18"/>
          <w:szCs w:val="18"/>
          <w:rtl/>
        </w:rPr>
        <w:t xml:space="preserve">: </w:t>
      </w:r>
      <w:r w:rsidRPr="00EE533E">
        <w:rPr>
          <w:rFonts w:cs="Arial" w:hint="cs"/>
          <w:sz w:val="18"/>
          <w:szCs w:val="18"/>
          <w:rtl/>
        </w:rPr>
        <w:t>אין</w:t>
      </w:r>
      <w:r w:rsidRPr="00EE533E">
        <w:rPr>
          <w:rFonts w:cs="Arial"/>
          <w:sz w:val="18"/>
          <w:szCs w:val="18"/>
          <w:rtl/>
        </w:rPr>
        <w:t xml:space="preserve"> </w:t>
      </w:r>
      <w:r w:rsidRPr="00EE533E">
        <w:rPr>
          <w:rFonts w:cs="Arial" w:hint="cs"/>
          <w:sz w:val="18"/>
          <w:szCs w:val="18"/>
          <w:rtl/>
        </w:rPr>
        <w:t>למדין</w:t>
      </w:r>
      <w:r w:rsidRPr="00EE533E">
        <w:rPr>
          <w:rFonts w:cs="Arial"/>
          <w:sz w:val="18"/>
          <w:szCs w:val="18"/>
          <w:rtl/>
        </w:rPr>
        <w:t xml:space="preserve"> </w:t>
      </w:r>
      <w:r w:rsidRPr="00EE533E">
        <w:rPr>
          <w:rFonts w:cs="Arial" w:hint="cs"/>
          <w:sz w:val="18"/>
          <w:szCs w:val="18"/>
          <w:rtl/>
        </w:rPr>
        <w:t>הלכה</w:t>
      </w:r>
      <w:r w:rsidRPr="00EE533E">
        <w:rPr>
          <w:rFonts w:cs="Arial"/>
          <w:sz w:val="18"/>
          <w:szCs w:val="18"/>
          <w:rtl/>
        </w:rPr>
        <w:t xml:space="preserve"> </w:t>
      </w:r>
      <w:r w:rsidRPr="00EE533E">
        <w:rPr>
          <w:rFonts w:cs="Arial" w:hint="cs"/>
          <w:sz w:val="18"/>
          <w:szCs w:val="18"/>
          <w:rtl/>
        </w:rPr>
        <w:t>לא</w:t>
      </w:r>
      <w:r w:rsidRPr="00EE533E">
        <w:rPr>
          <w:rFonts w:cs="Arial"/>
          <w:sz w:val="18"/>
          <w:szCs w:val="18"/>
          <w:rtl/>
        </w:rPr>
        <w:t xml:space="preserve"> </w:t>
      </w:r>
      <w:r w:rsidRPr="00EE533E">
        <w:rPr>
          <w:rFonts w:cs="Arial" w:hint="cs"/>
          <w:sz w:val="18"/>
          <w:szCs w:val="18"/>
          <w:rtl/>
        </w:rPr>
        <w:t>מפי</w:t>
      </w:r>
      <w:r w:rsidRPr="00EE533E">
        <w:rPr>
          <w:rFonts w:cs="Arial"/>
          <w:sz w:val="18"/>
          <w:szCs w:val="18"/>
          <w:rtl/>
        </w:rPr>
        <w:t xml:space="preserve"> </w:t>
      </w:r>
      <w:r w:rsidRPr="00EE533E">
        <w:rPr>
          <w:rFonts w:cs="Arial" w:hint="cs"/>
          <w:sz w:val="18"/>
          <w:szCs w:val="18"/>
          <w:rtl/>
        </w:rPr>
        <w:t>למוד</w:t>
      </w:r>
      <w:r w:rsidRPr="00EE533E">
        <w:rPr>
          <w:rFonts w:cs="Arial"/>
          <w:sz w:val="18"/>
          <w:szCs w:val="18"/>
          <w:rtl/>
        </w:rPr>
        <w:t xml:space="preserve"> </w:t>
      </w:r>
      <w:r w:rsidRPr="00EE533E">
        <w:rPr>
          <w:rFonts w:cs="Arial" w:hint="cs"/>
          <w:sz w:val="18"/>
          <w:szCs w:val="18"/>
          <w:rtl/>
        </w:rPr>
        <w:t>ולא</w:t>
      </w:r>
      <w:r w:rsidRPr="00EE533E">
        <w:rPr>
          <w:rFonts w:cs="Arial"/>
          <w:sz w:val="18"/>
          <w:szCs w:val="18"/>
          <w:rtl/>
        </w:rPr>
        <w:t xml:space="preserve"> </w:t>
      </w:r>
      <w:r w:rsidRPr="00EE533E">
        <w:rPr>
          <w:rFonts w:cs="Arial" w:hint="cs"/>
          <w:sz w:val="18"/>
          <w:szCs w:val="18"/>
          <w:rtl/>
        </w:rPr>
        <w:t>מפי</w:t>
      </w:r>
      <w:r w:rsidRPr="00EE533E">
        <w:rPr>
          <w:rFonts w:cs="Arial"/>
          <w:sz w:val="18"/>
          <w:szCs w:val="18"/>
          <w:rtl/>
        </w:rPr>
        <w:t xml:space="preserve"> </w:t>
      </w:r>
      <w:r w:rsidRPr="00EE533E">
        <w:rPr>
          <w:rFonts w:cs="Arial" w:hint="cs"/>
          <w:sz w:val="18"/>
          <w:szCs w:val="18"/>
          <w:rtl/>
        </w:rPr>
        <w:t>מעשה</w:t>
      </w:r>
      <w:r w:rsidRPr="00EE533E">
        <w:rPr>
          <w:rFonts w:cs="Arial"/>
          <w:sz w:val="18"/>
          <w:szCs w:val="18"/>
          <w:rtl/>
        </w:rPr>
        <w:t xml:space="preserve"> - </w:t>
      </w:r>
      <w:r w:rsidRPr="00EE533E">
        <w:rPr>
          <w:rFonts w:cs="Arial" w:hint="cs"/>
          <w:sz w:val="18"/>
          <w:szCs w:val="18"/>
          <w:rtl/>
        </w:rPr>
        <w:t>עד</w:t>
      </w:r>
      <w:r w:rsidRPr="00EE533E">
        <w:rPr>
          <w:rFonts w:cs="Arial"/>
          <w:sz w:val="18"/>
          <w:szCs w:val="18"/>
          <w:rtl/>
        </w:rPr>
        <w:t xml:space="preserve"> </w:t>
      </w:r>
      <w:r w:rsidRPr="00EE533E">
        <w:rPr>
          <w:rFonts w:cs="Arial" w:hint="cs"/>
          <w:sz w:val="18"/>
          <w:szCs w:val="18"/>
          <w:rtl/>
        </w:rPr>
        <w:t>שיאמרו</w:t>
      </w:r>
      <w:r w:rsidRPr="00EE533E">
        <w:rPr>
          <w:rFonts w:cs="Arial"/>
          <w:sz w:val="18"/>
          <w:szCs w:val="18"/>
          <w:rtl/>
        </w:rPr>
        <w:t xml:space="preserve"> </w:t>
      </w:r>
      <w:r w:rsidRPr="00EE533E">
        <w:rPr>
          <w:rFonts w:cs="Arial" w:hint="cs"/>
          <w:sz w:val="18"/>
          <w:szCs w:val="18"/>
          <w:rtl/>
        </w:rPr>
        <w:t>לו</w:t>
      </w:r>
      <w:r w:rsidRPr="00EE533E">
        <w:rPr>
          <w:rFonts w:cs="Arial"/>
          <w:sz w:val="18"/>
          <w:szCs w:val="18"/>
          <w:rtl/>
        </w:rPr>
        <w:t xml:space="preserve"> </w:t>
      </w:r>
      <w:r w:rsidRPr="00EE533E">
        <w:rPr>
          <w:rFonts w:cs="Arial" w:hint="cs"/>
          <w:sz w:val="18"/>
          <w:szCs w:val="18"/>
          <w:rtl/>
        </w:rPr>
        <w:t>הלכה</w:t>
      </w:r>
      <w:r w:rsidRPr="00EE533E">
        <w:rPr>
          <w:rFonts w:cs="Arial"/>
          <w:sz w:val="18"/>
          <w:szCs w:val="18"/>
          <w:rtl/>
        </w:rPr>
        <w:t xml:space="preserve"> </w:t>
      </w:r>
      <w:r w:rsidRPr="00EE533E">
        <w:rPr>
          <w:rFonts w:cs="Arial" w:hint="cs"/>
          <w:sz w:val="18"/>
          <w:szCs w:val="18"/>
          <w:rtl/>
        </w:rPr>
        <w:t>למעשה</w:t>
      </w:r>
      <w:r w:rsidRPr="00EE533E">
        <w:rPr>
          <w:rFonts w:cs="Arial"/>
          <w:sz w:val="18"/>
          <w:szCs w:val="18"/>
          <w:rtl/>
        </w:rPr>
        <w:t xml:space="preserve">, </w:t>
      </w:r>
      <w:r w:rsidRPr="00EE533E">
        <w:rPr>
          <w:rFonts w:cs="Arial" w:hint="cs"/>
          <w:sz w:val="18"/>
          <w:szCs w:val="18"/>
          <w:rtl/>
        </w:rPr>
        <w:t>שאל</w:t>
      </w:r>
      <w:r w:rsidRPr="00EE533E">
        <w:rPr>
          <w:rFonts w:cs="Arial"/>
          <w:sz w:val="18"/>
          <w:szCs w:val="18"/>
          <w:rtl/>
        </w:rPr>
        <w:t xml:space="preserve"> </w:t>
      </w:r>
      <w:r w:rsidRPr="00EE533E">
        <w:rPr>
          <w:rFonts w:cs="Arial" w:hint="cs"/>
          <w:sz w:val="18"/>
          <w:szCs w:val="18"/>
          <w:rtl/>
        </w:rPr>
        <w:t>ואמרו</w:t>
      </w:r>
      <w:r w:rsidRPr="00EE533E">
        <w:rPr>
          <w:rFonts w:cs="Arial"/>
          <w:sz w:val="18"/>
          <w:szCs w:val="18"/>
          <w:rtl/>
        </w:rPr>
        <w:t xml:space="preserve"> </w:t>
      </w:r>
      <w:r w:rsidRPr="00EE533E">
        <w:rPr>
          <w:rFonts w:cs="Arial" w:hint="cs"/>
          <w:sz w:val="18"/>
          <w:szCs w:val="18"/>
          <w:rtl/>
        </w:rPr>
        <w:t>לו</w:t>
      </w:r>
      <w:r w:rsidRPr="00EE533E">
        <w:rPr>
          <w:rFonts w:cs="Arial"/>
          <w:sz w:val="18"/>
          <w:szCs w:val="18"/>
          <w:rtl/>
        </w:rPr>
        <w:t xml:space="preserve"> </w:t>
      </w:r>
      <w:r w:rsidRPr="00EE533E">
        <w:rPr>
          <w:rFonts w:cs="Arial" w:hint="cs"/>
          <w:sz w:val="18"/>
          <w:szCs w:val="18"/>
          <w:rtl/>
        </w:rPr>
        <w:t>הלכה</w:t>
      </w:r>
      <w:r w:rsidRPr="00EE533E">
        <w:rPr>
          <w:rFonts w:cs="Arial"/>
          <w:sz w:val="18"/>
          <w:szCs w:val="18"/>
          <w:rtl/>
        </w:rPr>
        <w:t xml:space="preserve"> </w:t>
      </w:r>
      <w:r w:rsidRPr="00EE533E">
        <w:rPr>
          <w:rFonts w:cs="Arial" w:hint="cs"/>
          <w:sz w:val="18"/>
          <w:szCs w:val="18"/>
          <w:rtl/>
        </w:rPr>
        <w:t>למעשה</w:t>
      </w:r>
      <w:r w:rsidRPr="00EE533E">
        <w:rPr>
          <w:rFonts w:cs="Arial"/>
          <w:sz w:val="18"/>
          <w:szCs w:val="18"/>
          <w:rtl/>
        </w:rPr>
        <w:t xml:space="preserve"> - </w:t>
      </w:r>
      <w:r w:rsidRPr="00EE533E">
        <w:rPr>
          <w:rFonts w:cs="Arial" w:hint="cs"/>
          <w:sz w:val="18"/>
          <w:szCs w:val="18"/>
          <w:rtl/>
        </w:rPr>
        <w:t>ילך</w:t>
      </w:r>
      <w:r w:rsidRPr="00EE533E">
        <w:rPr>
          <w:rFonts w:cs="Arial"/>
          <w:sz w:val="18"/>
          <w:szCs w:val="18"/>
          <w:rtl/>
        </w:rPr>
        <w:t xml:space="preserve"> </w:t>
      </w:r>
      <w:r w:rsidRPr="00EE533E">
        <w:rPr>
          <w:rFonts w:cs="Arial" w:hint="cs"/>
          <w:sz w:val="18"/>
          <w:szCs w:val="18"/>
          <w:rtl/>
        </w:rPr>
        <w:t>ויעשה</w:t>
      </w:r>
      <w:r w:rsidRPr="00EE533E">
        <w:rPr>
          <w:rFonts w:cs="Arial"/>
          <w:sz w:val="18"/>
          <w:szCs w:val="18"/>
          <w:rtl/>
        </w:rPr>
        <w:t xml:space="preserve"> </w:t>
      </w:r>
      <w:r w:rsidRPr="00EE533E">
        <w:rPr>
          <w:rFonts w:cs="Arial" w:hint="cs"/>
          <w:sz w:val="18"/>
          <w:szCs w:val="18"/>
          <w:rtl/>
        </w:rPr>
        <w:t>מעשה".</w:t>
      </w:r>
      <w:r w:rsidRPr="00EE533E">
        <w:rPr>
          <w:rFonts w:cs="Arial"/>
          <w:sz w:val="18"/>
          <w:szCs w:val="18"/>
          <w:rtl/>
        </w:rPr>
        <w:br/>
      </w:r>
      <w:r w:rsidRPr="00EE533E">
        <w:rPr>
          <w:rFonts w:cs="Arial" w:hint="cs"/>
          <w:sz w:val="18"/>
          <w:szCs w:val="18"/>
          <w:rtl/>
        </w:rPr>
        <w:t xml:space="preserve">רשב"ם </w:t>
      </w:r>
      <w:r w:rsidRPr="00EE533E">
        <w:rPr>
          <w:rFonts w:cs="Arial"/>
          <w:sz w:val="18"/>
          <w:szCs w:val="18"/>
          <w:rtl/>
        </w:rPr>
        <w:t>–</w:t>
      </w:r>
      <w:r w:rsidRPr="00EE533E">
        <w:rPr>
          <w:rFonts w:cs="Arial" w:hint="cs"/>
          <w:sz w:val="18"/>
          <w:szCs w:val="18"/>
          <w:rtl/>
        </w:rPr>
        <w:t xml:space="preserve"> "</w:t>
      </w:r>
      <w:r w:rsidRPr="00EE533E">
        <w:rPr>
          <w:rFonts w:hint="cs"/>
          <w:sz w:val="18"/>
          <w:szCs w:val="18"/>
          <w:rtl/>
        </w:rPr>
        <w:t xml:space="preserve"> </w:t>
      </w:r>
      <w:r w:rsidRPr="00EE533E">
        <w:rPr>
          <w:rFonts w:cs="Arial" w:hint="cs"/>
          <w:sz w:val="18"/>
          <w:szCs w:val="18"/>
          <w:rtl/>
        </w:rPr>
        <w:t>אומר</w:t>
      </w:r>
      <w:r w:rsidRPr="00EE533E">
        <w:rPr>
          <w:rFonts w:cs="Arial"/>
          <w:sz w:val="18"/>
          <w:szCs w:val="18"/>
          <w:rtl/>
        </w:rPr>
        <w:t xml:space="preserve"> </w:t>
      </w:r>
      <w:r w:rsidRPr="00EE533E">
        <w:rPr>
          <w:rFonts w:cs="Arial" w:hint="cs"/>
          <w:sz w:val="18"/>
          <w:szCs w:val="18"/>
          <w:rtl/>
        </w:rPr>
        <w:t>לכם</w:t>
      </w:r>
      <w:r w:rsidRPr="00EE533E">
        <w:rPr>
          <w:rFonts w:cs="Arial"/>
          <w:sz w:val="18"/>
          <w:szCs w:val="18"/>
          <w:rtl/>
        </w:rPr>
        <w:t xml:space="preserve"> </w:t>
      </w:r>
      <w:r w:rsidRPr="00EE533E">
        <w:rPr>
          <w:rFonts w:cs="Arial" w:hint="cs"/>
          <w:sz w:val="18"/>
          <w:szCs w:val="18"/>
          <w:rtl/>
        </w:rPr>
        <w:t>הלכה</w:t>
      </w:r>
      <w:r w:rsidRPr="00EE533E">
        <w:rPr>
          <w:rFonts w:cs="Arial"/>
          <w:sz w:val="18"/>
          <w:szCs w:val="18"/>
          <w:rtl/>
        </w:rPr>
        <w:t xml:space="preserve"> </w:t>
      </w:r>
      <w:r w:rsidRPr="00EE533E">
        <w:rPr>
          <w:rFonts w:cs="Arial" w:hint="cs"/>
          <w:sz w:val="18"/>
          <w:szCs w:val="18"/>
          <w:rtl/>
        </w:rPr>
        <w:t>בשעה</w:t>
      </w:r>
      <w:r w:rsidRPr="00EE533E">
        <w:rPr>
          <w:rFonts w:cs="Arial"/>
          <w:sz w:val="18"/>
          <w:szCs w:val="18"/>
          <w:rtl/>
        </w:rPr>
        <w:t xml:space="preserve"> </w:t>
      </w:r>
      <w:r w:rsidRPr="00EE533E">
        <w:rPr>
          <w:rFonts w:cs="Arial" w:hint="cs"/>
          <w:sz w:val="18"/>
          <w:szCs w:val="18"/>
          <w:rtl/>
        </w:rPr>
        <w:t>שתשאלו</w:t>
      </w:r>
      <w:r w:rsidRPr="00EE533E">
        <w:rPr>
          <w:rFonts w:cs="Arial"/>
          <w:sz w:val="18"/>
          <w:szCs w:val="18"/>
          <w:rtl/>
        </w:rPr>
        <w:t xml:space="preserve"> </w:t>
      </w:r>
      <w:r w:rsidRPr="00EE533E">
        <w:rPr>
          <w:rFonts w:cs="Arial" w:hint="cs"/>
          <w:sz w:val="18"/>
          <w:szCs w:val="18"/>
          <w:rtl/>
        </w:rPr>
        <w:t>לי</w:t>
      </w:r>
      <w:r w:rsidRPr="00EE533E">
        <w:rPr>
          <w:rFonts w:cs="Arial"/>
          <w:sz w:val="18"/>
          <w:szCs w:val="18"/>
          <w:rtl/>
        </w:rPr>
        <w:t xml:space="preserve"> </w:t>
      </w:r>
      <w:r w:rsidRPr="00EE533E">
        <w:rPr>
          <w:rFonts w:cs="Arial" w:hint="cs"/>
          <w:sz w:val="18"/>
          <w:szCs w:val="18"/>
          <w:rtl/>
        </w:rPr>
        <w:t>על</w:t>
      </w:r>
      <w:r w:rsidRPr="00EE533E">
        <w:rPr>
          <w:rFonts w:cs="Arial"/>
          <w:sz w:val="18"/>
          <w:szCs w:val="18"/>
          <w:rtl/>
        </w:rPr>
        <w:t xml:space="preserve"> </w:t>
      </w:r>
      <w:r w:rsidRPr="00EE533E">
        <w:rPr>
          <w:rFonts w:cs="Arial" w:hint="cs"/>
          <w:sz w:val="18"/>
          <w:szCs w:val="18"/>
          <w:rtl/>
        </w:rPr>
        <w:t>ידי</w:t>
      </w:r>
      <w:r w:rsidRPr="00EE533E">
        <w:rPr>
          <w:rFonts w:cs="Arial"/>
          <w:sz w:val="18"/>
          <w:szCs w:val="18"/>
          <w:rtl/>
        </w:rPr>
        <w:t xml:space="preserve"> </w:t>
      </w:r>
      <w:r w:rsidRPr="00EE533E">
        <w:rPr>
          <w:rFonts w:cs="Arial" w:hint="cs"/>
          <w:sz w:val="18"/>
          <w:szCs w:val="18"/>
          <w:rtl/>
        </w:rPr>
        <w:t>מעשה</w:t>
      </w:r>
      <w:r w:rsidRPr="00EE533E">
        <w:rPr>
          <w:rFonts w:cs="Arial"/>
          <w:sz w:val="18"/>
          <w:szCs w:val="18"/>
          <w:rtl/>
        </w:rPr>
        <w:t xml:space="preserve"> </w:t>
      </w:r>
      <w:r w:rsidRPr="00EE533E">
        <w:rPr>
          <w:rFonts w:cs="Arial" w:hint="cs"/>
          <w:sz w:val="18"/>
          <w:szCs w:val="18"/>
          <w:rtl/>
        </w:rPr>
        <w:t>דבשעת</w:t>
      </w:r>
      <w:r w:rsidRPr="00EE533E">
        <w:rPr>
          <w:rFonts w:cs="Arial"/>
          <w:sz w:val="18"/>
          <w:szCs w:val="18"/>
          <w:rtl/>
        </w:rPr>
        <w:t xml:space="preserve"> </w:t>
      </w:r>
      <w:r w:rsidRPr="00EE533E">
        <w:rPr>
          <w:rFonts w:cs="Arial" w:hint="cs"/>
          <w:sz w:val="18"/>
          <w:szCs w:val="18"/>
          <w:rtl/>
        </w:rPr>
        <w:t>מעשה</w:t>
      </w:r>
      <w:r w:rsidRPr="00EE533E">
        <w:rPr>
          <w:rFonts w:cs="Arial"/>
          <w:sz w:val="18"/>
          <w:szCs w:val="18"/>
          <w:rtl/>
        </w:rPr>
        <w:t xml:space="preserve"> </w:t>
      </w:r>
      <w:r w:rsidRPr="00EE533E">
        <w:rPr>
          <w:rFonts w:cs="Arial" w:hint="cs"/>
          <w:sz w:val="18"/>
          <w:szCs w:val="18"/>
          <w:rtl/>
        </w:rPr>
        <w:t>אדם</w:t>
      </w:r>
      <w:r w:rsidRPr="00EE533E">
        <w:rPr>
          <w:rFonts w:cs="Arial"/>
          <w:sz w:val="18"/>
          <w:szCs w:val="18"/>
          <w:rtl/>
        </w:rPr>
        <w:t xml:space="preserve"> </w:t>
      </w:r>
      <w:r w:rsidRPr="00EE533E">
        <w:rPr>
          <w:rFonts w:cs="Arial" w:hint="cs"/>
          <w:sz w:val="18"/>
          <w:szCs w:val="18"/>
          <w:rtl/>
        </w:rPr>
        <w:t>ירא</w:t>
      </w:r>
      <w:r w:rsidRPr="00EE533E">
        <w:rPr>
          <w:rFonts w:cs="Arial"/>
          <w:sz w:val="18"/>
          <w:szCs w:val="18"/>
          <w:rtl/>
        </w:rPr>
        <w:t xml:space="preserve"> </w:t>
      </w:r>
      <w:r w:rsidRPr="00EE533E">
        <w:rPr>
          <w:rFonts w:cs="Arial" w:hint="cs"/>
          <w:sz w:val="18"/>
          <w:szCs w:val="18"/>
          <w:rtl/>
        </w:rPr>
        <w:t>לידון</w:t>
      </w:r>
      <w:r w:rsidRPr="00EE533E">
        <w:rPr>
          <w:rFonts w:cs="Arial"/>
          <w:sz w:val="18"/>
          <w:szCs w:val="18"/>
          <w:rtl/>
        </w:rPr>
        <w:t xml:space="preserve"> </w:t>
      </w:r>
      <w:r w:rsidRPr="00EE533E">
        <w:rPr>
          <w:rFonts w:cs="Arial" w:hint="cs"/>
          <w:sz w:val="18"/>
          <w:szCs w:val="18"/>
          <w:rtl/>
        </w:rPr>
        <w:t>ומכוון</w:t>
      </w:r>
      <w:r w:rsidRPr="00EE533E">
        <w:rPr>
          <w:rFonts w:cs="Arial"/>
          <w:sz w:val="18"/>
          <w:szCs w:val="18"/>
          <w:rtl/>
        </w:rPr>
        <w:t xml:space="preserve"> </w:t>
      </w:r>
      <w:r w:rsidRPr="00EE533E">
        <w:rPr>
          <w:rFonts w:cs="Arial" w:hint="cs"/>
          <w:sz w:val="18"/>
          <w:szCs w:val="18"/>
          <w:rtl/>
        </w:rPr>
        <w:t>לבו</w:t>
      </w:r>
      <w:r w:rsidRPr="00EE533E">
        <w:rPr>
          <w:rFonts w:cs="Arial"/>
          <w:sz w:val="18"/>
          <w:szCs w:val="18"/>
          <w:rtl/>
        </w:rPr>
        <w:t xml:space="preserve"> </w:t>
      </w:r>
      <w:r w:rsidRPr="00EE533E">
        <w:rPr>
          <w:rFonts w:cs="Arial" w:hint="cs"/>
          <w:sz w:val="18"/>
          <w:szCs w:val="18"/>
          <w:rtl/>
        </w:rPr>
        <w:t>יותר".</w:t>
      </w:r>
      <w:r>
        <w:rPr>
          <w:rtl/>
        </w:rPr>
        <w:br/>
      </w:r>
      <w:r>
        <w:rPr>
          <w:rFonts w:hint="cs"/>
          <w:rtl/>
        </w:rPr>
        <w:t xml:space="preserve">על פי הגדרה זו, מובנים דברי </w:t>
      </w:r>
      <w:r w:rsidRPr="00EE533E">
        <w:rPr>
          <w:rFonts w:hint="cs"/>
          <w:b/>
          <w:bCs/>
          <w:rtl/>
        </w:rPr>
        <w:t>הבית יוסף</w:t>
      </w:r>
      <w:r>
        <w:rPr>
          <w:rFonts w:hint="cs"/>
          <w:rtl/>
        </w:rPr>
        <w:t xml:space="preserve"> שרבי חנינא לא שאל את רב הלכה למעשה ולכן אין ללמוד מדבריו.</w:t>
      </w:r>
    </w:p>
  </w:footnote>
  <w:footnote w:id="421">
    <w:p w:rsidR="005953C5" w:rsidRDefault="005953C5" w:rsidP="00620060">
      <w:pPr>
        <w:pStyle w:val="a3"/>
      </w:pPr>
      <w:r w:rsidRPr="00D01AFC">
        <w:rPr>
          <w:rStyle w:val="a5"/>
          <w:sz w:val="18"/>
          <w:szCs w:val="18"/>
        </w:rPr>
        <w:footnoteRef/>
      </w:r>
      <w:r w:rsidRPr="00D01AFC">
        <w:rPr>
          <w:sz w:val="18"/>
          <w:szCs w:val="18"/>
          <w:rtl/>
        </w:rPr>
        <w:t xml:space="preserve"> </w:t>
      </w:r>
      <w:r w:rsidRPr="00D01AFC">
        <w:rPr>
          <w:rFonts w:hint="cs"/>
          <w:sz w:val="18"/>
          <w:szCs w:val="18"/>
          <w:rtl/>
        </w:rPr>
        <w:t xml:space="preserve">למעט דעת הרמב"ם שהעתיק הלכות אלו כהווייתן. </w:t>
      </w:r>
      <w:r>
        <w:rPr>
          <w:sz w:val="18"/>
          <w:szCs w:val="18"/>
          <w:rtl/>
        </w:rPr>
        <w:br/>
      </w:r>
      <w:r w:rsidRPr="00D01AFC">
        <w:rPr>
          <w:rFonts w:hint="cs"/>
          <w:sz w:val="18"/>
          <w:szCs w:val="18"/>
          <w:rtl/>
        </w:rPr>
        <w:t xml:space="preserve">ברם, הבאנו לעיל את הסבר </w:t>
      </w:r>
      <w:r w:rsidRPr="00D01AFC">
        <w:rPr>
          <w:rFonts w:hint="cs"/>
          <w:b/>
          <w:bCs/>
          <w:sz w:val="18"/>
          <w:szCs w:val="18"/>
          <w:rtl/>
        </w:rPr>
        <w:t>הבית יוסף</w:t>
      </w:r>
      <w:r w:rsidRPr="00D01AFC">
        <w:rPr>
          <w:rFonts w:hint="cs"/>
          <w:sz w:val="18"/>
          <w:szCs w:val="18"/>
          <w:rtl/>
        </w:rPr>
        <w:t xml:space="preserve"> בדברי </w:t>
      </w:r>
      <w:r w:rsidRPr="00D01AFC">
        <w:rPr>
          <w:rFonts w:hint="cs"/>
          <w:b/>
          <w:bCs/>
          <w:sz w:val="18"/>
          <w:szCs w:val="18"/>
          <w:rtl/>
        </w:rPr>
        <w:t>הרמב"ם</w:t>
      </w:r>
      <w:r w:rsidRPr="00D01AFC">
        <w:rPr>
          <w:rFonts w:hint="cs"/>
          <w:sz w:val="18"/>
          <w:szCs w:val="18"/>
          <w:rtl/>
        </w:rPr>
        <w:t xml:space="preserve">, שאע"פ שפסק כך כוונתו לומר שרק מי שבקי בחילוקים אלו יכול להורות על פיהן הלכה למעשה, וכנראה שגם כאן צריך </w:t>
      </w:r>
      <w:r>
        <w:rPr>
          <w:rFonts w:hint="cs"/>
          <w:sz w:val="18"/>
          <w:szCs w:val="18"/>
          <w:rtl/>
        </w:rPr>
        <w:t>להסביר כך את דבריו</w:t>
      </w:r>
      <w:r w:rsidRPr="00D01AFC">
        <w:rPr>
          <w:rFonts w:hint="cs"/>
          <w:sz w:val="18"/>
          <w:szCs w:val="18"/>
          <w:rtl/>
        </w:rPr>
        <w:t>.</w:t>
      </w:r>
    </w:p>
  </w:footnote>
  <w:footnote w:id="422">
    <w:p w:rsidR="005953C5" w:rsidRDefault="005953C5" w:rsidP="00620060">
      <w:pPr>
        <w:pStyle w:val="a3"/>
      </w:pPr>
      <w:r w:rsidRPr="0010575D">
        <w:rPr>
          <w:rStyle w:val="a5"/>
          <w:sz w:val="18"/>
          <w:szCs w:val="18"/>
        </w:rPr>
        <w:footnoteRef/>
      </w:r>
      <w:r w:rsidRPr="0010575D">
        <w:rPr>
          <w:sz w:val="18"/>
          <w:szCs w:val="18"/>
          <w:rtl/>
        </w:rPr>
        <w:t xml:space="preserve"> </w:t>
      </w:r>
      <w:r w:rsidRPr="0010575D">
        <w:rPr>
          <w:rFonts w:hint="cs"/>
          <w:b/>
          <w:bCs/>
          <w:sz w:val="18"/>
          <w:szCs w:val="18"/>
          <w:rtl/>
        </w:rPr>
        <w:t>ש"ך</w:t>
      </w:r>
      <w:r>
        <w:rPr>
          <w:rFonts w:hint="cs"/>
          <w:sz w:val="18"/>
          <w:szCs w:val="18"/>
          <w:rtl/>
        </w:rPr>
        <w:t xml:space="preserve"> - </w:t>
      </w:r>
      <w:r w:rsidRPr="0010575D">
        <w:rPr>
          <w:rFonts w:hint="cs"/>
          <w:sz w:val="18"/>
          <w:szCs w:val="18"/>
          <w:rtl/>
        </w:rPr>
        <w:t>ומספק טמאה שבועיים, כ</w:t>
      </w:r>
      <w:r>
        <w:rPr>
          <w:rFonts w:hint="cs"/>
          <w:sz w:val="18"/>
          <w:szCs w:val="18"/>
          <w:rtl/>
        </w:rPr>
        <w:t xml:space="preserve">דין </w:t>
      </w:r>
      <w:r w:rsidRPr="0010575D">
        <w:rPr>
          <w:rFonts w:hint="cs"/>
          <w:sz w:val="18"/>
          <w:szCs w:val="18"/>
          <w:rtl/>
        </w:rPr>
        <w:t>יולדת נקבה.</w:t>
      </w:r>
    </w:p>
  </w:footnote>
  <w:footnote w:id="423">
    <w:p w:rsidR="005953C5" w:rsidRDefault="005953C5" w:rsidP="00620060">
      <w:pPr>
        <w:pStyle w:val="a3"/>
        <w:rPr>
          <w:rtl/>
        </w:rPr>
      </w:pPr>
      <w:r w:rsidRPr="00D83ED2">
        <w:rPr>
          <w:rStyle w:val="a5"/>
          <w:sz w:val="18"/>
          <w:szCs w:val="18"/>
        </w:rPr>
        <w:footnoteRef/>
      </w:r>
      <w:r w:rsidRPr="00D83ED2">
        <w:rPr>
          <w:sz w:val="18"/>
          <w:szCs w:val="18"/>
          <w:rtl/>
        </w:rPr>
        <w:t xml:space="preserve"> </w:t>
      </w:r>
      <w:r w:rsidRPr="0010575D">
        <w:rPr>
          <w:rFonts w:hint="cs"/>
          <w:b/>
          <w:bCs/>
          <w:sz w:val="18"/>
          <w:szCs w:val="18"/>
          <w:rtl/>
        </w:rPr>
        <w:t>בית יוסף</w:t>
      </w:r>
      <w:r w:rsidRPr="00D83ED2">
        <w:rPr>
          <w:rFonts w:hint="cs"/>
          <w:sz w:val="18"/>
          <w:szCs w:val="18"/>
          <w:rtl/>
        </w:rPr>
        <w:t xml:space="preserve"> </w:t>
      </w:r>
      <w:r w:rsidRPr="00D83ED2">
        <w:rPr>
          <w:sz w:val="18"/>
          <w:szCs w:val="18"/>
          <w:rtl/>
        </w:rPr>
        <w:t>–</w:t>
      </w:r>
      <w:r w:rsidRPr="00D83ED2">
        <w:rPr>
          <w:rFonts w:hint="cs"/>
          <w:sz w:val="18"/>
          <w:szCs w:val="18"/>
          <w:rtl/>
        </w:rPr>
        <w:t xml:space="preserve"> </w:t>
      </w:r>
      <w:r w:rsidRPr="0010575D">
        <w:rPr>
          <w:rFonts w:hint="cs"/>
          <w:b/>
          <w:bCs/>
          <w:sz w:val="18"/>
          <w:szCs w:val="18"/>
          <w:rtl/>
        </w:rPr>
        <w:t>הרמב"ם</w:t>
      </w:r>
      <w:r w:rsidRPr="00D83ED2">
        <w:rPr>
          <w:rFonts w:hint="cs"/>
          <w:sz w:val="18"/>
          <w:szCs w:val="18"/>
          <w:rtl/>
        </w:rPr>
        <w:t xml:space="preserve"> </w:t>
      </w:r>
      <w:r>
        <w:rPr>
          <w:rFonts w:hint="cs"/>
          <w:sz w:val="18"/>
          <w:szCs w:val="18"/>
          <w:rtl/>
        </w:rPr>
        <w:t>ה</w:t>
      </w:r>
      <w:r w:rsidRPr="00D83ED2">
        <w:rPr>
          <w:rFonts w:hint="cs"/>
          <w:sz w:val="18"/>
          <w:szCs w:val="18"/>
          <w:rtl/>
        </w:rPr>
        <w:t xml:space="preserve">שמיט דין 'ושטו נקוב' ושמא פירש את טעמו של רבא המטמא משום דס"ל טריפה חיה, וכיוון שהוא פוסק כמ"ד טריפה אינה חיה לא פסק שהיא טמאה </w:t>
      </w:r>
      <w:r w:rsidRPr="00D83ED2">
        <w:rPr>
          <w:rFonts w:hint="cs"/>
          <w:sz w:val="16"/>
          <w:szCs w:val="16"/>
          <w:rtl/>
        </w:rPr>
        <w:t>(ומה שלא פסק לטהר, היינו משום  שדרכו של הרמב"ם בד"כ לכתוב רק את הדינים הסדורים בתלמוד אליבא דהלכתא).</w:t>
      </w:r>
    </w:p>
  </w:footnote>
  <w:footnote w:id="424">
    <w:p w:rsidR="005953C5" w:rsidRDefault="005953C5" w:rsidP="00620060">
      <w:pPr>
        <w:pStyle w:val="a3"/>
        <w:rPr>
          <w:rtl/>
        </w:rPr>
      </w:pPr>
      <w:r w:rsidRPr="00DC65D9">
        <w:rPr>
          <w:rStyle w:val="a5"/>
          <w:sz w:val="18"/>
          <w:szCs w:val="18"/>
        </w:rPr>
        <w:footnoteRef/>
      </w:r>
      <w:r w:rsidRPr="00DC65D9">
        <w:rPr>
          <w:sz w:val="18"/>
          <w:szCs w:val="18"/>
          <w:rtl/>
        </w:rPr>
        <w:t xml:space="preserve"> </w:t>
      </w:r>
      <w:r w:rsidRPr="00DC65D9">
        <w:rPr>
          <w:rFonts w:hint="cs"/>
          <w:b/>
          <w:bCs/>
          <w:sz w:val="18"/>
          <w:szCs w:val="18"/>
          <w:rtl/>
        </w:rPr>
        <w:t>רשב"א</w:t>
      </w:r>
      <w:r w:rsidRPr="00DC65D9">
        <w:rPr>
          <w:rFonts w:hint="cs"/>
          <w:sz w:val="18"/>
          <w:szCs w:val="18"/>
          <w:rtl/>
        </w:rPr>
        <w:t xml:space="preserve"> </w:t>
      </w:r>
      <w:r w:rsidRPr="00DC65D9">
        <w:rPr>
          <w:sz w:val="18"/>
          <w:szCs w:val="18"/>
          <w:rtl/>
        </w:rPr>
        <w:t>–</w:t>
      </w:r>
      <w:r w:rsidRPr="00DC65D9">
        <w:rPr>
          <w:rFonts w:hint="cs"/>
          <w:sz w:val="18"/>
          <w:szCs w:val="18"/>
          <w:rtl/>
        </w:rPr>
        <w:t xml:space="preserve"> יש גורסים בגמרא יאפכא, ולכן לדינא יש לומר שבתרוייהו טמאה מספק.</w:t>
      </w:r>
    </w:p>
  </w:footnote>
  <w:footnote w:id="425">
    <w:p w:rsidR="005953C5" w:rsidRDefault="005953C5" w:rsidP="00620060">
      <w:pPr>
        <w:pStyle w:val="a3"/>
        <w:rPr>
          <w:rtl/>
        </w:rPr>
      </w:pPr>
      <w:r w:rsidRPr="00542CB4">
        <w:rPr>
          <w:rStyle w:val="a5"/>
          <w:sz w:val="18"/>
          <w:szCs w:val="18"/>
        </w:rPr>
        <w:footnoteRef/>
      </w:r>
      <w:r w:rsidRPr="00542CB4">
        <w:rPr>
          <w:sz w:val="18"/>
          <w:szCs w:val="18"/>
          <w:rtl/>
        </w:rPr>
        <w:t xml:space="preserve"> </w:t>
      </w:r>
      <w:r w:rsidRPr="00542CB4">
        <w:rPr>
          <w:rFonts w:hint="cs"/>
          <w:sz w:val="18"/>
          <w:szCs w:val="18"/>
          <w:rtl/>
        </w:rPr>
        <w:t xml:space="preserve">הרחבה - </w:t>
      </w:r>
      <w:r w:rsidRPr="00542CB4">
        <w:rPr>
          <w:sz w:val="18"/>
          <w:szCs w:val="18"/>
          <w:rtl/>
        </w:rPr>
        <w:br/>
      </w:r>
      <w:r w:rsidRPr="00542CB4">
        <w:rPr>
          <w:rFonts w:hint="cs"/>
          <w:b/>
          <w:bCs/>
          <w:sz w:val="18"/>
          <w:szCs w:val="18"/>
          <w:rtl/>
        </w:rPr>
        <w:t>הבית יוסף</w:t>
      </w:r>
      <w:r w:rsidRPr="00542CB4">
        <w:rPr>
          <w:rFonts w:hint="cs"/>
          <w:sz w:val="18"/>
          <w:szCs w:val="18"/>
          <w:rtl/>
        </w:rPr>
        <w:t xml:space="preserve"> מסביר את המחלוקת בין </w:t>
      </w:r>
      <w:r w:rsidRPr="00542CB4">
        <w:rPr>
          <w:rFonts w:hint="cs"/>
          <w:b/>
          <w:bCs/>
          <w:sz w:val="18"/>
          <w:szCs w:val="18"/>
          <w:rtl/>
        </w:rPr>
        <w:t>רש"י לרשב"א</w:t>
      </w:r>
      <w:r w:rsidRPr="00542CB4">
        <w:rPr>
          <w:rFonts w:hint="cs"/>
          <w:sz w:val="18"/>
          <w:szCs w:val="18"/>
          <w:rtl/>
        </w:rPr>
        <w:t xml:space="preserve"> - </w:t>
      </w:r>
      <w:r w:rsidRPr="00542CB4">
        <w:rPr>
          <w:sz w:val="18"/>
          <w:szCs w:val="18"/>
          <w:rtl/>
        </w:rPr>
        <w:br/>
      </w:r>
      <w:r w:rsidRPr="00542CB4">
        <w:rPr>
          <w:rFonts w:hint="cs"/>
          <w:sz w:val="18"/>
          <w:szCs w:val="18"/>
          <w:rtl/>
        </w:rPr>
        <w:t>כך היא לשון הגמרא: "</w:t>
      </w:r>
      <w:r w:rsidRPr="00542CB4">
        <w:rPr>
          <w:rFonts w:cs="Arial" w:hint="cs"/>
          <w:sz w:val="18"/>
          <w:szCs w:val="18"/>
          <w:rtl/>
        </w:rPr>
        <w:t>שמואל</w:t>
      </w:r>
      <w:r w:rsidRPr="00542CB4">
        <w:rPr>
          <w:rFonts w:cs="Arial"/>
          <w:sz w:val="18"/>
          <w:szCs w:val="18"/>
          <w:rtl/>
        </w:rPr>
        <w:t xml:space="preserve"> </w:t>
      </w:r>
      <w:r w:rsidRPr="00542CB4">
        <w:rPr>
          <w:rFonts w:cs="Arial" w:hint="cs"/>
          <w:sz w:val="18"/>
          <w:szCs w:val="18"/>
          <w:rtl/>
        </w:rPr>
        <w:t>ותלמידי</w:t>
      </w:r>
      <w:r w:rsidRPr="00542CB4">
        <w:rPr>
          <w:rFonts w:cs="Arial"/>
          <w:sz w:val="18"/>
          <w:szCs w:val="18"/>
          <w:rtl/>
        </w:rPr>
        <w:t xml:space="preserve"> </w:t>
      </w:r>
      <w:r w:rsidRPr="00542CB4">
        <w:rPr>
          <w:rFonts w:cs="Arial" w:hint="cs"/>
          <w:sz w:val="18"/>
          <w:szCs w:val="18"/>
          <w:rtl/>
        </w:rPr>
        <w:t>דרב</w:t>
      </w:r>
      <w:r w:rsidRPr="00542CB4">
        <w:rPr>
          <w:rFonts w:cs="Arial"/>
          <w:sz w:val="18"/>
          <w:szCs w:val="18"/>
          <w:rtl/>
        </w:rPr>
        <w:t xml:space="preserve"> </w:t>
      </w:r>
      <w:r w:rsidRPr="00542CB4">
        <w:rPr>
          <w:rFonts w:cs="Arial" w:hint="cs"/>
          <w:sz w:val="18"/>
          <w:szCs w:val="18"/>
          <w:rtl/>
        </w:rPr>
        <w:t>ורב</w:t>
      </w:r>
      <w:r w:rsidRPr="00542CB4">
        <w:rPr>
          <w:rFonts w:cs="Arial"/>
          <w:sz w:val="18"/>
          <w:szCs w:val="18"/>
          <w:rtl/>
        </w:rPr>
        <w:t xml:space="preserve"> </w:t>
      </w:r>
      <w:r w:rsidRPr="00542CB4">
        <w:rPr>
          <w:rFonts w:cs="Arial" w:hint="cs"/>
          <w:sz w:val="18"/>
          <w:szCs w:val="18"/>
          <w:rtl/>
        </w:rPr>
        <w:t>יהודה</w:t>
      </w:r>
      <w:r w:rsidRPr="00542CB4">
        <w:rPr>
          <w:rFonts w:cs="Arial"/>
          <w:sz w:val="18"/>
          <w:szCs w:val="18"/>
          <w:rtl/>
        </w:rPr>
        <w:t xml:space="preserve"> </w:t>
      </w:r>
      <w:r w:rsidRPr="00542CB4">
        <w:rPr>
          <w:rFonts w:cs="Arial" w:hint="cs"/>
          <w:sz w:val="18"/>
          <w:szCs w:val="18"/>
          <w:rtl/>
        </w:rPr>
        <w:t>הוו</w:t>
      </w:r>
      <w:r w:rsidRPr="00542CB4">
        <w:rPr>
          <w:rFonts w:cs="Arial"/>
          <w:sz w:val="18"/>
          <w:szCs w:val="18"/>
          <w:rtl/>
        </w:rPr>
        <w:t xml:space="preserve"> </w:t>
      </w:r>
      <w:r w:rsidRPr="00542CB4">
        <w:rPr>
          <w:rFonts w:cs="Arial" w:hint="cs"/>
          <w:sz w:val="18"/>
          <w:szCs w:val="18"/>
          <w:rtl/>
        </w:rPr>
        <w:t>יתבי</w:t>
      </w:r>
      <w:r w:rsidRPr="00542CB4">
        <w:rPr>
          <w:rFonts w:cs="Arial"/>
          <w:sz w:val="18"/>
          <w:szCs w:val="18"/>
          <w:rtl/>
        </w:rPr>
        <w:t xml:space="preserve">, </w:t>
      </w:r>
      <w:r w:rsidRPr="00542CB4">
        <w:rPr>
          <w:rFonts w:cs="Arial" w:hint="cs"/>
          <w:sz w:val="18"/>
          <w:szCs w:val="18"/>
          <w:rtl/>
        </w:rPr>
        <w:t>חליף</w:t>
      </w:r>
      <w:r w:rsidRPr="00542CB4">
        <w:rPr>
          <w:rFonts w:cs="Arial"/>
          <w:sz w:val="18"/>
          <w:szCs w:val="18"/>
          <w:rtl/>
        </w:rPr>
        <w:t xml:space="preserve"> </w:t>
      </w:r>
      <w:r w:rsidRPr="00542CB4">
        <w:rPr>
          <w:rFonts w:cs="Arial" w:hint="cs"/>
          <w:sz w:val="18"/>
          <w:szCs w:val="18"/>
          <w:rtl/>
        </w:rPr>
        <w:t>ואזיל</w:t>
      </w:r>
      <w:r w:rsidRPr="00542CB4">
        <w:rPr>
          <w:rFonts w:cs="Arial"/>
          <w:sz w:val="18"/>
          <w:szCs w:val="18"/>
          <w:rtl/>
        </w:rPr>
        <w:t xml:space="preserve"> </w:t>
      </w:r>
      <w:r w:rsidRPr="00542CB4">
        <w:rPr>
          <w:rFonts w:cs="Arial" w:hint="cs"/>
          <w:sz w:val="18"/>
          <w:szCs w:val="18"/>
          <w:rtl/>
        </w:rPr>
        <w:t>רב</w:t>
      </w:r>
      <w:r w:rsidRPr="00542CB4">
        <w:rPr>
          <w:rFonts w:cs="Arial"/>
          <w:sz w:val="18"/>
          <w:szCs w:val="18"/>
          <w:rtl/>
        </w:rPr>
        <w:t xml:space="preserve"> </w:t>
      </w:r>
      <w:r w:rsidRPr="00542CB4">
        <w:rPr>
          <w:rFonts w:cs="Arial" w:hint="cs"/>
          <w:sz w:val="18"/>
          <w:szCs w:val="18"/>
          <w:rtl/>
        </w:rPr>
        <w:t>יוסף</w:t>
      </w:r>
      <w:r w:rsidRPr="00542CB4">
        <w:rPr>
          <w:rFonts w:cs="Arial"/>
          <w:sz w:val="18"/>
          <w:szCs w:val="18"/>
          <w:rtl/>
        </w:rPr>
        <w:t xml:space="preserve"> </w:t>
      </w:r>
      <w:r w:rsidRPr="00542CB4">
        <w:rPr>
          <w:rFonts w:cs="Arial" w:hint="cs"/>
          <w:sz w:val="18"/>
          <w:szCs w:val="18"/>
          <w:rtl/>
        </w:rPr>
        <w:t>בריה</w:t>
      </w:r>
      <w:r w:rsidRPr="00542CB4">
        <w:rPr>
          <w:rFonts w:cs="Arial"/>
          <w:sz w:val="18"/>
          <w:szCs w:val="18"/>
          <w:rtl/>
        </w:rPr>
        <w:t xml:space="preserve"> </w:t>
      </w:r>
      <w:r w:rsidRPr="00542CB4">
        <w:rPr>
          <w:rFonts w:cs="Arial" w:hint="cs"/>
          <w:sz w:val="18"/>
          <w:szCs w:val="18"/>
          <w:rtl/>
        </w:rPr>
        <w:t>דרב</w:t>
      </w:r>
      <w:r w:rsidRPr="00542CB4">
        <w:rPr>
          <w:rFonts w:cs="Arial"/>
          <w:sz w:val="18"/>
          <w:szCs w:val="18"/>
          <w:rtl/>
        </w:rPr>
        <w:t xml:space="preserve"> </w:t>
      </w:r>
      <w:r w:rsidRPr="00542CB4">
        <w:rPr>
          <w:rFonts w:cs="Arial" w:hint="cs"/>
          <w:sz w:val="18"/>
          <w:szCs w:val="18"/>
          <w:rtl/>
        </w:rPr>
        <w:t>מנשיא</w:t>
      </w:r>
      <w:r w:rsidRPr="00542CB4">
        <w:rPr>
          <w:rFonts w:cs="Arial"/>
          <w:sz w:val="18"/>
          <w:szCs w:val="18"/>
          <w:rtl/>
        </w:rPr>
        <w:t xml:space="preserve"> </w:t>
      </w:r>
      <w:r w:rsidRPr="00542CB4">
        <w:rPr>
          <w:rFonts w:cs="Arial" w:hint="cs"/>
          <w:sz w:val="18"/>
          <w:szCs w:val="18"/>
          <w:rtl/>
        </w:rPr>
        <w:t>מדויל</w:t>
      </w:r>
      <w:r w:rsidRPr="00542CB4">
        <w:rPr>
          <w:rFonts w:cs="Arial"/>
          <w:sz w:val="18"/>
          <w:szCs w:val="18"/>
          <w:rtl/>
        </w:rPr>
        <w:t xml:space="preserve"> </w:t>
      </w:r>
      <w:r w:rsidRPr="00542CB4">
        <w:rPr>
          <w:rFonts w:cs="Arial" w:hint="cs"/>
          <w:sz w:val="18"/>
          <w:szCs w:val="18"/>
          <w:rtl/>
        </w:rPr>
        <w:t>לאפייהו... אמר</w:t>
      </w:r>
      <w:r w:rsidRPr="00542CB4">
        <w:rPr>
          <w:rFonts w:cs="Arial"/>
          <w:sz w:val="18"/>
          <w:szCs w:val="18"/>
          <w:rtl/>
        </w:rPr>
        <w:t xml:space="preserve"> </w:t>
      </w:r>
      <w:r w:rsidRPr="00542CB4">
        <w:rPr>
          <w:rFonts w:cs="Arial" w:hint="cs"/>
          <w:sz w:val="18"/>
          <w:szCs w:val="18"/>
          <w:rtl/>
        </w:rPr>
        <w:t>ליה</w:t>
      </w:r>
      <w:r w:rsidRPr="00542CB4">
        <w:rPr>
          <w:rFonts w:cs="Arial"/>
          <w:sz w:val="18"/>
          <w:szCs w:val="18"/>
          <w:rtl/>
        </w:rPr>
        <w:t xml:space="preserve"> </w:t>
      </w:r>
      <w:r w:rsidRPr="00542CB4">
        <w:rPr>
          <w:rFonts w:cs="Arial" w:hint="cs"/>
          <w:sz w:val="18"/>
          <w:szCs w:val="18"/>
          <w:rtl/>
        </w:rPr>
        <w:t>שמואל</w:t>
      </w:r>
      <w:r w:rsidRPr="00542CB4">
        <w:rPr>
          <w:rFonts w:cs="Arial"/>
          <w:sz w:val="18"/>
          <w:szCs w:val="18"/>
          <w:rtl/>
        </w:rPr>
        <w:t xml:space="preserve">: </w:t>
      </w:r>
      <w:r w:rsidRPr="00542CB4">
        <w:rPr>
          <w:rFonts w:cs="Arial" w:hint="cs"/>
          <w:sz w:val="18"/>
          <w:szCs w:val="18"/>
          <w:rtl/>
        </w:rPr>
        <w:t>מאי</w:t>
      </w:r>
      <w:r w:rsidRPr="00542CB4">
        <w:rPr>
          <w:rFonts w:cs="Arial"/>
          <w:sz w:val="18"/>
          <w:szCs w:val="18"/>
          <w:rtl/>
        </w:rPr>
        <w:t xml:space="preserve"> </w:t>
      </w:r>
      <w:r w:rsidRPr="00542CB4">
        <w:rPr>
          <w:rFonts w:cs="Arial" w:hint="cs"/>
          <w:sz w:val="18"/>
          <w:szCs w:val="18"/>
          <w:rtl/>
        </w:rPr>
        <w:t>אמר</w:t>
      </w:r>
      <w:r w:rsidRPr="00542CB4">
        <w:rPr>
          <w:rFonts w:cs="Arial"/>
          <w:sz w:val="18"/>
          <w:szCs w:val="18"/>
          <w:rtl/>
        </w:rPr>
        <w:t xml:space="preserve"> </w:t>
      </w:r>
      <w:r w:rsidRPr="00542CB4">
        <w:rPr>
          <w:rFonts w:cs="Arial" w:hint="cs"/>
          <w:sz w:val="18"/>
          <w:szCs w:val="18"/>
          <w:rtl/>
        </w:rPr>
        <w:t>רב</w:t>
      </w:r>
      <w:r w:rsidRPr="00542CB4">
        <w:rPr>
          <w:rFonts w:cs="Arial"/>
          <w:sz w:val="18"/>
          <w:szCs w:val="18"/>
          <w:rtl/>
        </w:rPr>
        <w:t xml:space="preserve"> </w:t>
      </w:r>
      <w:r w:rsidRPr="00542CB4">
        <w:rPr>
          <w:rFonts w:cs="Arial" w:hint="cs"/>
          <w:sz w:val="18"/>
          <w:szCs w:val="18"/>
          <w:rtl/>
        </w:rPr>
        <w:t>בשליא</w:t>
      </w:r>
      <w:r w:rsidRPr="00542CB4">
        <w:rPr>
          <w:rFonts w:cs="Arial"/>
          <w:sz w:val="18"/>
          <w:szCs w:val="18"/>
          <w:rtl/>
        </w:rPr>
        <w:t xml:space="preserve">? </w:t>
      </w:r>
      <w:r w:rsidRPr="00542CB4">
        <w:rPr>
          <w:rFonts w:cs="Arial" w:hint="cs"/>
          <w:sz w:val="18"/>
          <w:szCs w:val="18"/>
          <w:rtl/>
        </w:rPr>
        <w:t>א</w:t>
      </w:r>
      <w:r>
        <w:rPr>
          <w:rFonts w:cs="Arial" w:hint="cs"/>
          <w:sz w:val="18"/>
          <w:szCs w:val="18"/>
          <w:rtl/>
        </w:rPr>
        <w:t xml:space="preserve">מר </w:t>
      </w:r>
      <w:r w:rsidRPr="00542CB4">
        <w:rPr>
          <w:rFonts w:cs="Arial" w:hint="cs"/>
          <w:sz w:val="18"/>
          <w:szCs w:val="18"/>
          <w:rtl/>
        </w:rPr>
        <w:t>ל</w:t>
      </w:r>
      <w:r>
        <w:rPr>
          <w:rFonts w:cs="Arial" w:hint="cs"/>
          <w:sz w:val="18"/>
          <w:szCs w:val="18"/>
          <w:rtl/>
        </w:rPr>
        <w:t>יה</w:t>
      </w:r>
      <w:r w:rsidRPr="00542CB4">
        <w:rPr>
          <w:rFonts w:cs="Arial"/>
          <w:sz w:val="18"/>
          <w:szCs w:val="18"/>
          <w:rtl/>
        </w:rPr>
        <w:t xml:space="preserve">, </w:t>
      </w:r>
      <w:r w:rsidRPr="00542CB4">
        <w:rPr>
          <w:rFonts w:cs="Arial" w:hint="cs"/>
          <w:sz w:val="18"/>
          <w:szCs w:val="18"/>
          <w:rtl/>
        </w:rPr>
        <w:t>הכי</w:t>
      </w:r>
      <w:r w:rsidRPr="00542CB4">
        <w:rPr>
          <w:rFonts w:cs="Arial"/>
          <w:sz w:val="18"/>
          <w:szCs w:val="18"/>
          <w:rtl/>
        </w:rPr>
        <w:t xml:space="preserve"> </w:t>
      </w:r>
      <w:r w:rsidRPr="00542CB4">
        <w:rPr>
          <w:rFonts w:cs="Arial" w:hint="cs"/>
          <w:sz w:val="18"/>
          <w:szCs w:val="18"/>
          <w:rtl/>
        </w:rPr>
        <w:t>אמר</w:t>
      </w:r>
      <w:r w:rsidRPr="00542CB4">
        <w:rPr>
          <w:rFonts w:cs="Arial"/>
          <w:sz w:val="18"/>
          <w:szCs w:val="18"/>
          <w:rtl/>
        </w:rPr>
        <w:t xml:space="preserve"> </w:t>
      </w:r>
      <w:r w:rsidRPr="00542CB4">
        <w:rPr>
          <w:rFonts w:cs="Arial" w:hint="cs"/>
          <w:sz w:val="18"/>
          <w:szCs w:val="18"/>
          <w:rtl/>
        </w:rPr>
        <w:t>רב</w:t>
      </w:r>
      <w:r w:rsidRPr="00542CB4">
        <w:rPr>
          <w:rFonts w:cs="Arial"/>
          <w:sz w:val="18"/>
          <w:szCs w:val="18"/>
          <w:rtl/>
        </w:rPr>
        <w:t xml:space="preserve">: </w:t>
      </w:r>
      <w:r w:rsidRPr="00542CB4">
        <w:rPr>
          <w:rFonts w:cs="Arial" w:hint="cs"/>
          <w:sz w:val="18"/>
          <w:szCs w:val="18"/>
          <w:rtl/>
        </w:rPr>
        <w:t>אין</w:t>
      </w:r>
      <w:r w:rsidRPr="00542CB4">
        <w:rPr>
          <w:rFonts w:cs="Arial"/>
          <w:sz w:val="18"/>
          <w:szCs w:val="18"/>
          <w:rtl/>
        </w:rPr>
        <w:t xml:space="preserve"> </w:t>
      </w:r>
      <w:r w:rsidRPr="00542CB4">
        <w:rPr>
          <w:rFonts w:cs="Arial" w:hint="cs"/>
          <w:sz w:val="18"/>
          <w:szCs w:val="18"/>
          <w:rtl/>
        </w:rPr>
        <w:t>תולין</w:t>
      </w:r>
      <w:r w:rsidRPr="00542CB4">
        <w:rPr>
          <w:rFonts w:cs="Arial"/>
          <w:sz w:val="18"/>
          <w:szCs w:val="18"/>
          <w:rtl/>
        </w:rPr>
        <w:t xml:space="preserve"> </w:t>
      </w:r>
      <w:r w:rsidRPr="00542CB4">
        <w:rPr>
          <w:rFonts w:cs="Arial" w:hint="cs"/>
          <w:sz w:val="18"/>
          <w:szCs w:val="18"/>
          <w:rtl/>
        </w:rPr>
        <w:t>את</w:t>
      </w:r>
      <w:r w:rsidRPr="00542CB4">
        <w:rPr>
          <w:rFonts w:cs="Arial"/>
          <w:sz w:val="18"/>
          <w:szCs w:val="18"/>
          <w:rtl/>
        </w:rPr>
        <w:t xml:space="preserve"> </w:t>
      </w:r>
      <w:r w:rsidRPr="00542CB4">
        <w:rPr>
          <w:rFonts w:cs="Arial" w:hint="cs"/>
          <w:sz w:val="18"/>
          <w:szCs w:val="18"/>
          <w:rtl/>
        </w:rPr>
        <w:t>השליא</w:t>
      </w:r>
      <w:r w:rsidRPr="00542CB4">
        <w:rPr>
          <w:rFonts w:cs="Arial"/>
          <w:sz w:val="18"/>
          <w:szCs w:val="18"/>
          <w:rtl/>
        </w:rPr>
        <w:t xml:space="preserve"> </w:t>
      </w:r>
      <w:r w:rsidRPr="00542CB4">
        <w:rPr>
          <w:rFonts w:cs="Arial" w:hint="cs"/>
          <w:sz w:val="18"/>
          <w:szCs w:val="18"/>
          <w:rtl/>
        </w:rPr>
        <w:t>אלא</w:t>
      </w:r>
      <w:r w:rsidRPr="00542CB4">
        <w:rPr>
          <w:rFonts w:cs="Arial"/>
          <w:sz w:val="18"/>
          <w:szCs w:val="18"/>
          <w:rtl/>
        </w:rPr>
        <w:t xml:space="preserve"> </w:t>
      </w:r>
      <w:r w:rsidRPr="00542CB4">
        <w:rPr>
          <w:rFonts w:cs="Arial" w:hint="cs"/>
          <w:sz w:val="18"/>
          <w:szCs w:val="18"/>
          <w:rtl/>
        </w:rPr>
        <w:t>בדבר</w:t>
      </w:r>
      <w:r w:rsidRPr="00542CB4">
        <w:rPr>
          <w:rFonts w:cs="Arial"/>
          <w:sz w:val="18"/>
          <w:szCs w:val="18"/>
          <w:rtl/>
        </w:rPr>
        <w:t xml:space="preserve"> </w:t>
      </w:r>
      <w:r w:rsidRPr="00542CB4">
        <w:rPr>
          <w:rFonts w:cs="Arial" w:hint="cs"/>
          <w:sz w:val="18"/>
          <w:szCs w:val="18"/>
          <w:rtl/>
        </w:rPr>
        <w:t>של</w:t>
      </w:r>
      <w:r w:rsidRPr="00542CB4">
        <w:rPr>
          <w:rFonts w:cs="Arial"/>
          <w:sz w:val="18"/>
          <w:szCs w:val="18"/>
          <w:rtl/>
        </w:rPr>
        <w:t xml:space="preserve"> </w:t>
      </w:r>
      <w:r w:rsidRPr="00542CB4">
        <w:rPr>
          <w:rFonts w:cs="Arial" w:hint="cs"/>
          <w:sz w:val="18"/>
          <w:szCs w:val="18"/>
          <w:rtl/>
        </w:rPr>
        <w:t>קיימא</w:t>
      </w:r>
      <w:r w:rsidRPr="00542CB4">
        <w:rPr>
          <w:rFonts w:cs="Arial"/>
          <w:sz w:val="18"/>
          <w:szCs w:val="18"/>
          <w:rtl/>
        </w:rPr>
        <w:t xml:space="preserve">. </w:t>
      </w:r>
      <w:r w:rsidRPr="00542CB4">
        <w:rPr>
          <w:rFonts w:cs="Arial" w:hint="cs"/>
          <w:sz w:val="18"/>
          <w:szCs w:val="18"/>
          <w:rtl/>
        </w:rPr>
        <w:t>שיילינהו</w:t>
      </w:r>
      <w:r w:rsidRPr="00542CB4">
        <w:rPr>
          <w:rFonts w:cs="Arial"/>
          <w:sz w:val="18"/>
          <w:szCs w:val="18"/>
          <w:rtl/>
        </w:rPr>
        <w:t xml:space="preserve"> </w:t>
      </w:r>
      <w:r w:rsidRPr="00542CB4">
        <w:rPr>
          <w:rFonts w:cs="Arial" w:hint="cs"/>
          <w:sz w:val="18"/>
          <w:szCs w:val="18"/>
          <w:rtl/>
        </w:rPr>
        <w:t>שמואל</w:t>
      </w:r>
      <w:r w:rsidRPr="00542CB4">
        <w:rPr>
          <w:rFonts w:cs="Arial"/>
          <w:sz w:val="18"/>
          <w:szCs w:val="18"/>
          <w:rtl/>
        </w:rPr>
        <w:t xml:space="preserve"> </w:t>
      </w:r>
      <w:r w:rsidRPr="00542CB4">
        <w:rPr>
          <w:rFonts w:cs="Arial" w:hint="cs"/>
          <w:sz w:val="18"/>
          <w:szCs w:val="18"/>
          <w:rtl/>
        </w:rPr>
        <w:t>לכל</w:t>
      </w:r>
      <w:r w:rsidRPr="00542CB4">
        <w:rPr>
          <w:rFonts w:cs="Arial"/>
          <w:sz w:val="18"/>
          <w:szCs w:val="18"/>
          <w:rtl/>
        </w:rPr>
        <w:t xml:space="preserve"> </w:t>
      </w:r>
      <w:r w:rsidRPr="00542CB4">
        <w:rPr>
          <w:rFonts w:cs="Arial" w:hint="cs"/>
          <w:sz w:val="18"/>
          <w:szCs w:val="18"/>
          <w:rtl/>
        </w:rPr>
        <w:t>תלמידי</w:t>
      </w:r>
      <w:r w:rsidRPr="00542CB4">
        <w:rPr>
          <w:rFonts w:cs="Arial"/>
          <w:sz w:val="18"/>
          <w:szCs w:val="18"/>
          <w:rtl/>
        </w:rPr>
        <w:t xml:space="preserve"> </w:t>
      </w:r>
      <w:r w:rsidRPr="00542CB4">
        <w:rPr>
          <w:rFonts w:cs="Arial" w:hint="cs"/>
          <w:sz w:val="18"/>
          <w:szCs w:val="18"/>
          <w:rtl/>
        </w:rPr>
        <w:t>דרב</w:t>
      </w:r>
      <w:r w:rsidRPr="00542CB4">
        <w:rPr>
          <w:rFonts w:cs="Arial"/>
          <w:sz w:val="18"/>
          <w:szCs w:val="18"/>
          <w:rtl/>
        </w:rPr>
        <w:t xml:space="preserve"> </w:t>
      </w:r>
      <w:r w:rsidRPr="00542CB4">
        <w:rPr>
          <w:rFonts w:cs="Arial" w:hint="cs"/>
          <w:sz w:val="18"/>
          <w:szCs w:val="18"/>
          <w:rtl/>
        </w:rPr>
        <w:t>ואמרי</w:t>
      </w:r>
      <w:r w:rsidRPr="00542CB4">
        <w:rPr>
          <w:rFonts w:cs="Arial"/>
          <w:sz w:val="18"/>
          <w:szCs w:val="18"/>
          <w:rtl/>
        </w:rPr>
        <w:t xml:space="preserve"> </w:t>
      </w:r>
      <w:r w:rsidRPr="00542CB4">
        <w:rPr>
          <w:rFonts w:cs="Arial" w:hint="cs"/>
          <w:sz w:val="18"/>
          <w:szCs w:val="18"/>
          <w:rtl/>
        </w:rPr>
        <w:t>ליה</w:t>
      </w:r>
      <w:r w:rsidRPr="00542CB4">
        <w:rPr>
          <w:rFonts w:cs="Arial"/>
          <w:sz w:val="18"/>
          <w:szCs w:val="18"/>
          <w:rtl/>
        </w:rPr>
        <w:t xml:space="preserve"> </w:t>
      </w:r>
      <w:r w:rsidRPr="00542CB4">
        <w:rPr>
          <w:rFonts w:cs="Arial" w:hint="cs"/>
          <w:sz w:val="18"/>
          <w:szCs w:val="18"/>
          <w:rtl/>
        </w:rPr>
        <w:t>הכי</w:t>
      </w:r>
      <w:r w:rsidRPr="00542CB4">
        <w:rPr>
          <w:rFonts w:cs="Arial"/>
          <w:sz w:val="18"/>
          <w:szCs w:val="18"/>
          <w:rtl/>
        </w:rPr>
        <w:t xml:space="preserve">, </w:t>
      </w:r>
      <w:r w:rsidRPr="00542CB4">
        <w:rPr>
          <w:rFonts w:cs="Arial" w:hint="cs"/>
          <w:sz w:val="18"/>
          <w:szCs w:val="18"/>
          <w:rtl/>
        </w:rPr>
        <w:t>הדר</w:t>
      </w:r>
      <w:r w:rsidRPr="00542CB4">
        <w:rPr>
          <w:rFonts w:cs="Arial"/>
          <w:sz w:val="18"/>
          <w:szCs w:val="18"/>
          <w:rtl/>
        </w:rPr>
        <w:t xml:space="preserve"> </w:t>
      </w:r>
      <w:r w:rsidRPr="00542CB4">
        <w:rPr>
          <w:rFonts w:cs="Arial" w:hint="cs"/>
          <w:sz w:val="18"/>
          <w:szCs w:val="18"/>
          <w:rtl/>
        </w:rPr>
        <w:t>חזייה</w:t>
      </w:r>
      <w:r w:rsidRPr="00542CB4">
        <w:rPr>
          <w:rFonts w:cs="Arial"/>
          <w:sz w:val="18"/>
          <w:szCs w:val="18"/>
          <w:rtl/>
        </w:rPr>
        <w:t xml:space="preserve"> </w:t>
      </w:r>
      <w:r w:rsidRPr="00542CB4">
        <w:rPr>
          <w:rFonts w:cs="Arial" w:hint="cs"/>
          <w:sz w:val="18"/>
          <w:szCs w:val="18"/>
          <w:rtl/>
        </w:rPr>
        <w:t>לרב</w:t>
      </w:r>
      <w:r w:rsidRPr="00542CB4">
        <w:rPr>
          <w:rFonts w:cs="Arial"/>
          <w:sz w:val="18"/>
          <w:szCs w:val="18"/>
          <w:rtl/>
        </w:rPr>
        <w:t xml:space="preserve"> </w:t>
      </w:r>
      <w:r w:rsidRPr="00542CB4">
        <w:rPr>
          <w:rFonts w:cs="Arial" w:hint="cs"/>
          <w:sz w:val="18"/>
          <w:szCs w:val="18"/>
          <w:rtl/>
        </w:rPr>
        <w:t>יהודה</w:t>
      </w:r>
      <w:r w:rsidRPr="00542CB4">
        <w:rPr>
          <w:rFonts w:cs="Arial"/>
          <w:sz w:val="18"/>
          <w:szCs w:val="18"/>
          <w:rtl/>
        </w:rPr>
        <w:t xml:space="preserve"> </w:t>
      </w:r>
      <w:r w:rsidRPr="00542CB4">
        <w:rPr>
          <w:rFonts w:cs="Arial" w:hint="cs"/>
          <w:sz w:val="18"/>
          <w:szCs w:val="18"/>
          <w:rtl/>
        </w:rPr>
        <w:t>בישות."</w:t>
      </w:r>
      <w:r w:rsidRPr="00542CB4">
        <w:rPr>
          <w:rFonts w:cs="Arial"/>
          <w:sz w:val="18"/>
          <w:szCs w:val="18"/>
          <w:rtl/>
        </w:rPr>
        <w:br/>
      </w:r>
      <w:r w:rsidRPr="00542CB4">
        <w:rPr>
          <w:rFonts w:cs="Arial" w:hint="cs"/>
          <w:sz w:val="18"/>
          <w:szCs w:val="18"/>
          <w:rtl/>
        </w:rPr>
        <w:t xml:space="preserve">מדוע רב יהודה התבייש משמואל? מסביר </w:t>
      </w:r>
      <w:r w:rsidRPr="00EA6ED4">
        <w:rPr>
          <w:rFonts w:cs="Arial" w:hint="cs"/>
          <w:b/>
          <w:bCs/>
          <w:sz w:val="18"/>
          <w:szCs w:val="18"/>
          <w:rtl/>
        </w:rPr>
        <w:t>רש"י</w:t>
      </w:r>
      <w:r w:rsidRPr="00542CB4">
        <w:rPr>
          <w:rFonts w:cs="Arial" w:hint="cs"/>
          <w:sz w:val="18"/>
          <w:szCs w:val="18"/>
          <w:rtl/>
        </w:rPr>
        <w:t xml:space="preserve"> </w:t>
      </w:r>
      <w:r w:rsidRPr="00542CB4">
        <w:rPr>
          <w:rFonts w:cs="Arial"/>
          <w:sz w:val="18"/>
          <w:szCs w:val="18"/>
          <w:rtl/>
        </w:rPr>
        <w:t>–</w:t>
      </w:r>
      <w:r w:rsidRPr="00542CB4">
        <w:rPr>
          <w:rFonts w:cs="Arial" w:hint="cs"/>
          <w:sz w:val="18"/>
          <w:szCs w:val="18"/>
          <w:rtl/>
        </w:rPr>
        <w:t xml:space="preserve"> "דשמעה</w:t>
      </w:r>
      <w:r w:rsidRPr="00542CB4">
        <w:rPr>
          <w:rFonts w:cs="Arial"/>
          <w:sz w:val="18"/>
          <w:szCs w:val="18"/>
          <w:rtl/>
        </w:rPr>
        <w:t xml:space="preserve"> </w:t>
      </w:r>
      <w:r w:rsidRPr="00542CB4">
        <w:rPr>
          <w:rFonts w:cs="Arial" w:hint="cs"/>
          <w:sz w:val="18"/>
          <w:szCs w:val="18"/>
          <w:rtl/>
        </w:rPr>
        <w:t>ולא</w:t>
      </w:r>
      <w:r w:rsidRPr="00542CB4">
        <w:rPr>
          <w:rFonts w:cs="Arial"/>
          <w:sz w:val="18"/>
          <w:szCs w:val="18"/>
          <w:rtl/>
        </w:rPr>
        <w:t xml:space="preserve"> </w:t>
      </w:r>
      <w:r w:rsidRPr="00542CB4">
        <w:rPr>
          <w:rFonts w:cs="Arial" w:hint="cs"/>
          <w:sz w:val="18"/>
          <w:szCs w:val="18"/>
          <w:rtl/>
        </w:rPr>
        <w:t>אמרה</w:t>
      </w:r>
      <w:r w:rsidRPr="00542CB4">
        <w:rPr>
          <w:rFonts w:cs="Arial"/>
          <w:sz w:val="18"/>
          <w:szCs w:val="18"/>
          <w:rtl/>
        </w:rPr>
        <w:t xml:space="preserve"> </w:t>
      </w:r>
      <w:r w:rsidRPr="00542CB4">
        <w:rPr>
          <w:rFonts w:cs="Arial" w:hint="cs"/>
          <w:sz w:val="18"/>
          <w:szCs w:val="18"/>
          <w:rtl/>
        </w:rPr>
        <w:t xml:space="preserve">ניהליה". </w:t>
      </w:r>
      <w:r>
        <w:rPr>
          <w:rFonts w:cs="Arial"/>
          <w:sz w:val="18"/>
          <w:szCs w:val="18"/>
          <w:rtl/>
        </w:rPr>
        <w:br/>
      </w:r>
      <w:r w:rsidRPr="00542CB4">
        <w:rPr>
          <w:rFonts w:cs="Arial" w:hint="cs"/>
          <w:sz w:val="18"/>
          <w:szCs w:val="18"/>
          <w:rtl/>
        </w:rPr>
        <w:t>ברם, לכאורה אינו מובן שהרי לעיל מיניה א</w:t>
      </w:r>
      <w:r>
        <w:rPr>
          <w:rFonts w:cs="Arial" w:hint="cs"/>
          <w:sz w:val="18"/>
          <w:szCs w:val="18"/>
          <w:rtl/>
        </w:rPr>
        <w:t>י</w:t>
      </w:r>
      <w:r w:rsidRPr="00542CB4">
        <w:rPr>
          <w:rFonts w:cs="Arial" w:hint="cs"/>
          <w:sz w:val="18"/>
          <w:szCs w:val="18"/>
          <w:rtl/>
        </w:rPr>
        <w:t>תא להדיא מימרא משם רב יהודה: "</w:t>
      </w:r>
      <w:r w:rsidRPr="00542CB4">
        <w:rPr>
          <w:rFonts w:hint="cs"/>
          <w:sz w:val="18"/>
          <w:szCs w:val="18"/>
          <w:rtl/>
        </w:rPr>
        <w:t xml:space="preserve">אמר רב יהודה... </w:t>
      </w:r>
      <w:r w:rsidRPr="00542CB4">
        <w:rPr>
          <w:rFonts w:cs="Arial" w:hint="cs"/>
          <w:sz w:val="18"/>
          <w:szCs w:val="18"/>
          <w:rtl/>
        </w:rPr>
        <w:t>אמר</w:t>
      </w:r>
      <w:r w:rsidRPr="00542CB4">
        <w:rPr>
          <w:rFonts w:cs="Arial"/>
          <w:sz w:val="18"/>
          <w:szCs w:val="18"/>
          <w:rtl/>
        </w:rPr>
        <w:t xml:space="preserve"> </w:t>
      </w:r>
      <w:r w:rsidRPr="00542CB4">
        <w:rPr>
          <w:rFonts w:cs="Arial" w:hint="cs"/>
          <w:sz w:val="18"/>
          <w:szCs w:val="18"/>
          <w:rtl/>
        </w:rPr>
        <w:t>רב</w:t>
      </w:r>
      <w:r w:rsidRPr="00542CB4">
        <w:rPr>
          <w:rFonts w:cs="Arial"/>
          <w:sz w:val="18"/>
          <w:szCs w:val="18"/>
          <w:rtl/>
        </w:rPr>
        <w:t xml:space="preserve"> </w:t>
      </w:r>
      <w:r w:rsidRPr="00542CB4">
        <w:rPr>
          <w:rFonts w:cs="Arial" w:hint="cs"/>
          <w:sz w:val="18"/>
          <w:szCs w:val="18"/>
          <w:rtl/>
        </w:rPr>
        <w:t>הכי</w:t>
      </w:r>
      <w:r w:rsidRPr="00542CB4">
        <w:rPr>
          <w:rFonts w:cs="Arial"/>
          <w:sz w:val="18"/>
          <w:szCs w:val="18"/>
          <w:rtl/>
        </w:rPr>
        <w:t xml:space="preserve">: </w:t>
      </w:r>
      <w:r w:rsidRPr="00542CB4">
        <w:rPr>
          <w:rFonts w:cs="Arial" w:hint="cs"/>
          <w:sz w:val="18"/>
          <w:szCs w:val="18"/>
          <w:rtl/>
        </w:rPr>
        <w:t>הפילה</w:t>
      </w:r>
      <w:r w:rsidRPr="00542CB4">
        <w:rPr>
          <w:rFonts w:cs="Arial"/>
          <w:sz w:val="18"/>
          <w:szCs w:val="18"/>
          <w:rtl/>
        </w:rPr>
        <w:t xml:space="preserve"> </w:t>
      </w:r>
      <w:r w:rsidRPr="00542CB4">
        <w:rPr>
          <w:rFonts w:cs="Arial" w:hint="cs"/>
          <w:sz w:val="18"/>
          <w:szCs w:val="18"/>
          <w:rtl/>
        </w:rPr>
        <w:t>נפל</w:t>
      </w:r>
      <w:r w:rsidRPr="00542CB4">
        <w:rPr>
          <w:rFonts w:cs="Arial"/>
          <w:sz w:val="18"/>
          <w:szCs w:val="18"/>
          <w:rtl/>
        </w:rPr>
        <w:t xml:space="preserve"> </w:t>
      </w:r>
      <w:r w:rsidRPr="00542CB4">
        <w:rPr>
          <w:rFonts w:cs="Arial" w:hint="cs"/>
          <w:sz w:val="18"/>
          <w:szCs w:val="18"/>
          <w:rtl/>
        </w:rPr>
        <w:t>ואחר</w:t>
      </w:r>
      <w:r w:rsidRPr="00542CB4">
        <w:rPr>
          <w:rFonts w:cs="Arial"/>
          <w:sz w:val="18"/>
          <w:szCs w:val="18"/>
          <w:rtl/>
        </w:rPr>
        <w:t xml:space="preserve"> </w:t>
      </w:r>
      <w:r w:rsidRPr="00542CB4">
        <w:rPr>
          <w:rFonts w:cs="Arial" w:hint="cs"/>
          <w:sz w:val="18"/>
          <w:szCs w:val="18"/>
          <w:rtl/>
        </w:rPr>
        <w:t>כך</w:t>
      </w:r>
      <w:r w:rsidRPr="00542CB4">
        <w:rPr>
          <w:rFonts w:cs="Arial"/>
          <w:sz w:val="18"/>
          <w:szCs w:val="18"/>
          <w:rtl/>
        </w:rPr>
        <w:t xml:space="preserve"> </w:t>
      </w:r>
      <w:r w:rsidRPr="00542CB4">
        <w:rPr>
          <w:rFonts w:cs="Arial" w:hint="cs"/>
          <w:sz w:val="18"/>
          <w:szCs w:val="18"/>
          <w:rtl/>
        </w:rPr>
        <w:t>הפילה</w:t>
      </w:r>
      <w:r w:rsidRPr="00542CB4">
        <w:rPr>
          <w:rFonts w:cs="Arial"/>
          <w:sz w:val="18"/>
          <w:szCs w:val="18"/>
          <w:rtl/>
        </w:rPr>
        <w:t xml:space="preserve"> </w:t>
      </w:r>
      <w:r w:rsidRPr="00542CB4">
        <w:rPr>
          <w:rFonts w:cs="Arial" w:hint="cs"/>
          <w:sz w:val="18"/>
          <w:szCs w:val="18"/>
          <w:rtl/>
        </w:rPr>
        <w:t>שליא</w:t>
      </w:r>
      <w:r w:rsidRPr="00542CB4">
        <w:rPr>
          <w:rFonts w:cs="Arial"/>
          <w:sz w:val="18"/>
          <w:szCs w:val="18"/>
          <w:rtl/>
        </w:rPr>
        <w:t xml:space="preserve"> - </w:t>
      </w:r>
      <w:r w:rsidRPr="00542CB4">
        <w:rPr>
          <w:rFonts w:cs="Arial" w:hint="cs"/>
          <w:sz w:val="18"/>
          <w:szCs w:val="18"/>
          <w:rtl/>
        </w:rPr>
        <w:t>כל</w:t>
      </w:r>
      <w:r w:rsidRPr="00542CB4">
        <w:rPr>
          <w:rFonts w:cs="Arial"/>
          <w:sz w:val="18"/>
          <w:szCs w:val="18"/>
          <w:rtl/>
        </w:rPr>
        <w:t xml:space="preserve"> </w:t>
      </w:r>
      <w:r w:rsidRPr="00542CB4">
        <w:rPr>
          <w:rFonts w:cs="Arial" w:hint="cs"/>
          <w:sz w:val="18"/>
          <w:szCs w:val="18"/>
          <w:rtl/>
        </w:rPr>
        <w:t>שלושה</w:t>
      </w:r>
      <w:r w:rsidRPr="00542CB4">
        <w:rPr>
          <w:rFonts w:cs="Arial"/>
          <w:sz w:val="18"/>
          <w:szCs w:val="18"/>
          <w:rtl/>
        </w:rPr>
        <w:t xml:space="preserve"> </w:t>
      </w:r>
      <w:r w:rsidRPr="00542CB4">
        <w:rPr>
          <w:rFonts w:cs="Arial" w:hint="cs"/>
          <w:sz w:val="18"/>
          <w:szCs w:val="18"/>
          <w:rtl/>
        </w:rPr>
        <w:t>ימים</w:t>
      </w:r>
      <w:r w:rsidRPr="00542CB4">
        <w:rPr>
          <w:rFonts w:cs="Arial"/>
          <w:sz w:val="18"/>
          <w:szCs w:val="18"/>
          <w:rtl/>
        </w:rPr>
        <w:t xml:space="preserve"> </w:t>
      </w:r>
      <w:r w:rsidRPr="00542CB4">
        <w:rPr>
          <w:rFonts w:cs="Arial" w:hint="cs"/>
          <w:sz w:val="18"/>
          <w:szCs w:val="18"/>
          <w:rtl/>
        </w:rPr>
        <w:t>תולין</w:t>
      </w:r>
      <w:r w:rsidRPr="00542CB4">
        <w:rPr>
          <w:rFonts w:cs="Arial"/>
          <w:sz w:val="18"/>
          <w:szCs w:val="18"/>
          <w:rtl/>
        </w:rPr>
        <w:t xml:space="preserve"> </w:t>
      </w:r>
      <w:r w:rsidRPr="00542CB4">
        <w:rPr>
          <w:rFonts w:cs="Arial" w:hint="cs"/>
          <w:sz w:val="18"/>
          <w:szCs w:val="18"/>
          <w:rtl/>
        </w:rPr>
        <w:t>את</w:t>
      </w:r>
      <w:r w:rsidRPr="00542CB4">
        <w:rPr>
          <w:rFonts w:cs="Arial"/>
          <w:sz w:val="18"/>
          <w:szCs w:val="18"/>
          <w:rtl/>
        </w:rPr>
        <w:t xml:space="preserve"> </w:t>
      </w:r>
      <w:r w:rsidRPr="00542CB4">
        <w:rPr>
          <w:rFonts w:cs="Arial" w:hint="cs"/>
          <w:sz w:val="18"/>
          <w:szCs w:val="18"/>
          <w:rtl/>
        </w:rPr>
        <w:t>השליא</w:t>
      </w:r>
      <w:r w:rsidRPr="00542CB4">
        <w:rPr>
          <w:rFonts w:cs="Arial"/>
          <w:sz w:val="18"/>
          <w:szCs w:val="18"/>
          <w:rtl/>
        </w:rPr>
        <w:t xml:space="preserve"> </w:t>
      </w:r>
      <w:r w:rsidRPr="00542CB4">
        <w:rPr>
          <w:rFonts w:cs="Arial" w:hint="cs"/>
          <w:sz w:val="18"/>
          <w:szCs w:val="18"/>
          <w:rtl/>
        </w:rPr>
        <w:t xml:space="preserve">בוולד". </w:t>
      </w:r>
      <w:r w:rsidRPr="00542CB4">
        <w:rPr>
          <w:rFonts w:cs="Arial"/>
          <w:sz w:val="18"/>
          <w:szCs w:val="18"/>
          <w:rtl/>
        </w:rPr>
        <w:br/>
      </w:r>
      <w:r w:rsidRPr="00542CB4">
        <w:rPr>
          <w:rFonts w:cs="Arial" w:hint="cs"/>
          <w:sz w:val="18"/>
          <w:szCs w:val="18"/>
          <w:rtl/>
        </w:rPr>
        <w:t xml:space="preserve">כלומר </w:t>
      </w:r>
      <w:r w:rsidRPr="00542CB4">
        <w:rPr>
          <w:rFonts w:cs="Arial"/>
          <w:sz w:val="18"/>
          <w:szCs w:val="18"/>
          <w:rtl/>
        </w:rPr>
        <w:t>–</w:t>
      </w:r>
      <w:r w:rsidRPr="00542CB4">
        <w:rPr>
          <w:rFonts w:cs="Arial" w:hint="cs"/>
          <w:sz w:val="18"/>
          <w:szCs w:val="18"/>
          <w:rtl/>
        </w:rPr>
        <w:t xml:space="preserve"> רב יהודה סובר שתולים שליה אפילו ב</w:t>
      </w:r>
      <w:r>
        <w:rPr>
          <w:rFonts w:cs="Arial" w:hint="cs"/>
          <w:sz w:val="18"/>
          <w:szCs w:val="18"/>
          <w:rtl/>
        </w:rPr>
        <w:t>נפל</w:t>
      </w:r>
      <w:r w:rsidRPr="00542CB4">
        <w:rPr>
          <w:rFonts w:cs="Arial" w:hint="cs"/>
          <w:sz w:val="18"/>
          <w:szCs w:val="18"/>
          <w:rtl/>
        </w:rPr>
        <w:t>, אם כן מדוע שמואל מקפיד על רב יהודה שלא אמר לו שדעת רב היא שאין תולים שליה ב</w:t>
      </w:r>
      <w:r>
        <w:rPr>
          <w:rFonts w:cs="Arial" w:hint="cs"/>
          <w:sz w:val="18"/>
          <w:szCs w:val="18"/>
          <w:rtl/>
        </w:rPr>
        <w:t>נפל</w:t>
      </w:r>
      <w:r w:rsidRPr="00542CB4">
        <w:rPr>
          <w:rFonts w:cs="Arial" w:hint="cs"/>
          <w:sz w:val="18"/>
          <w:szCs w:val="18"/>
          <w:rtl/>
        </w:rPr>
        <w:t xml:space="preserve">, מה שלא אמר לו זאת הוא משום שלא שמיע ליה או משום שאינו סובר כך, שהרי רב יהודה עצמו </w:t>
      </w:r>
      <w:r>
        <w:rPr>
          <w:rFonts w:cs="Arial" w:hint="cs"/>
          <w:sz w:val="18"/>
          <w:szCs w:val="18"/>
          <w:rtl/>
        </w:rPr>
        <w:t>סו</w:t>
      </w:r>
      <w:r w:rsidRPr="00542CB4">
        <w:rPr>
          <w:rFonts w:cs="Arial" w:hint="cs"/>
          <w:sz w:val="18"/>
          <w:szCs w:val="18"/>
          <w:rtl/>
        </w:rPr>
        <w:t>בר שרב פוסק לתלות שליה אפילו ב</w:t>
      </w:r>
      <w:r>
        <w:rPr>
          <w:rFonts w:cs="Arial" w:hint="cs"/>
          <w:sz w:val="18"/>
          <w:szCs w:val="18"/>
          <w:rtl/>
        </w:rPr>
        <w:t>נפל</w:t>
      </w:r>
      <w:r w:rsidRPr="00542CB4">
        <w:rPr>
          <w:rFonts w:cs="Arial" w:hint="cs"/>
          <w:sz w:val="18"/>
          <w:szCs w:val="18"/>
          <w:rtl/>
        </w:rPr>
        <w:t>, כאמור.</w:t>
      </w:r>
      <w:r w:rsidRPr="00542CB4">
        <w:rPr>
          <w:rFonts w:cs="Arial"/>
          <w:sz w:val="18"/>
          <w:szCs w:val="18"/>
          <w:rtl/>
        </w:rPr>
        <w:br/>
      </w:r>
      <w:r w:rsidRPr="00542CB4">
        <w:rPr>
          <w:rFonts w:cs="Arial" w:hint="cs"/>
          <w:sz w:val="18"/>
          <w:szCs w:val="18"/>
          <w:rtl/>
        </w:rPr>
        <w:t xml:space="preserve">לכן, </w:t>
      </w:r>
      <w:r>
        <w:rPr>
          <w:rFonts w:cs="Arial" w:hint="cs"/>
          <w:sz w:val="18"/>
          <w:szCs w:val="18"/>
          <w:rtl/>
        </w:rPr>
        <w:t>ע"כ</w:t>
      </w:r>
      <w:r w:rsidRPr="00542CB4">
        <w:rPr>
          <w:rFonts w:cs="Arial" w:hint="cs"/>
          <w:sz w:val="18"/>
          <w:szCs w:val="18"/>
          <w:rtl/>
        </w:rPr>
        <w:t xml:space="preserve"> צריך לומר ששמואל הקפיד מכיוון שרב חידש דבר נוסף </w:t>
      </w:r>
      <w:r w:rsidRPr="00542CB4">
        <w:rPr>
          <w:rFonts w:cs="Arial"/>
          <w:sz w:val="18"/>
          <w:szCs w:val="18"/>
          <w:rtl/>
        </w:rPr>
        <w:t>–</w:t>
      </w:r>
      <w:r w:rsidRPr="00542CB4">
        <w:rPr>
          <w:rFonts w:cs="Arial" w:hint="cs"/>
          <w:sz w:val="18"/>
          <w:szCs w:val="18"/>
          <w:rtl/>
        </w:rPr>
        <w:t xml:space="preserve"> תולים רק בנפל שאם היו כלים חודשיו היה בר קיימא.</w:t>
      </w:r>
      <w:r>
        <w:rPr>
          <w:rFonts w:cs="Arial"/>
          <w:rtl/>
        </w:rPr>
        <w:br/>
      </w:r>
      <w:r w:rsidRPr="001F63BE">
        <w:rPr>
          <w:rFonts w:cs="Arial" w:hint="cs"/>
          <w:sz w:val="18"/>
          <w:szCs w:val="18"/>
          <w:rtl/>
        </w:rPr>
        <w:t xml:space="preserve">אמנם, </w:t>
      </w:r>
      <w:r w:rsidRPr="001F63BE">
        <w:rPr>
          <w:rFonts w:cs="Arial" w:hint="cs"/>
          <w:b/>
          <w:bCs/>
          <w:sz w:val="18"/>
          <w:szCs w:val="18"/>
          <w:rtl/>
        </w:rPr>
        <w:t>הרשב"א</w:t>
      </w:r>
      <w:r w:rsidRPr="001F63BE">
        <w:rPr>
          <w:rFonts w:cs="Arial" w:hint="cs"/>
          <w:sz w:val="18"/>
          <w:szCs w:val="18"/>
          <w:rtl/>
        </w:rPr>
        <w:t xml:space="preserve"> מסביר את מהלך הגמרא באופן שונה </w:t>
      </w:r>
      <w:r w:rsidRPr="001F63BE">
        <w:rPr>
          <w:rFonts w:cs="Arial"/>
          <w:sz w:val="18"/>
          <w:szCs w:val="18"/>
          <w:rtl/>
        </w:rPr>
        <w:t>–</w:t>
      </w:r>
      <w:r w:rsidRPr="001F63BE">
        <w:rPr>
          <w:rFonts w:cs="Arial" w:hint="cs"/>
          <w:sz w:val="18"/>
          <w:szCs w:val="18"/>
          <w:rtl/>
        </w:rPr>
        <w:t xml:space="preserve"> מימרות אלו של רב פליגי חד על חברתה. רב יהודה שמע מרב שתולים את השלייה אפילו בנפל, ואילו לאחר מכן רב חזר בו והורה שאין תולים בנפל אלא רק בוולד בר קיימא. ומה שהקפיד שמואל על רב יהודה הוא משום שרב יהודה לא נכח </w:t>
      </w:r>
      <w:r>
        <w:rPr>
          <w:rFonts w:cs="Arial" w:hint="cs"/>
          <w:sz w:val="18"/>
          <w:szCs w:val="18"/>
          <w:rtl/>
        </w:rPr>
        <w:t>ב</w:t>
      </w:r>
      <w:r w:rsidRPr="001F63BE">
        <w:rPr>
          <w:rFonts w:cs="Arial" w:hint="cs"/>
          <w:sz w:val="18"/>
          <w:szCs w:val="18"/>
          <w:rtl/>
        </w:rPr>
        <w:t>בית המדרש ב</w:t>
      </w:r>
      <w:r>
        <w:rPr>
          <w:rFonts w:cs="Arial" w:hint="cs"/>
          <w:sz w:val="18"/>
          <w:szCs w:val="18"/>
          <w:rtl/>
        </w:rPr>
        <w:t>שע</w:t>
      </w:r>
      <w:r w:rsidRPr="001F63BE">
        <w:rPr>
          <w:rFonts w:cs="Arial" w:hint="cs"/>
          <w:sz w:val="18"/>
          <w:szCs w:val="18"/>
          <w:rtl/>
        </w:rPr>
        <w:t xml:space="preserve">ה שרב חזר בו והיה עליו לברר מה למדו. </w:t>
      </w:r>
      <w:r>
        <w:rPr>
          <w:rFonts w:cs="Arial"/>
          <w:sz w:val="18"/>
          <w:szCs w:val="18"/>
          <w:rtl/>
        </w:rPr>
        <w:br/>
      </w:r>
      <w:r>
        <w:rPr>
          <w:rFonts w:cs="Arial" w:hint="cs"/>
          <w:sz w:val="18"/>
          <w:szCs w:val="18"/>
          <w:rtl/>
        </w:rPr>
        <w:t xml:space="preserve">לסיכום </w:t>
      </w:r>
      <w:r>
        <w:rPr>
          <w:rFonts w:cs="Arial"/>
          <w:sz w:val="18"/>
          <w:szCs w:val="18"/>
          <w:rtl/>
        </w:rPr>
        <w:t>–</w:t>
      </w:r>
      <w:r>
        <w:rPr>
          <w:rFonts w:cs="Arial" w:hint="cs"/>
          <w:sz w:val="18"/>
          <w:szCs w:val="18"/>
          <w:rtl/>
        </w:rPr>
        <w:t xml:space="preserve"> הרשב"א אינו מיישב את המימרות זו עם זו ולכן הוא מסביר את המימרא השנייה באופן פשוט, תולים רק בוולד.</w:t>
      </w:r>
    </w:p>
  </w:footnote>
  <w:footnote w:id="426">
    <w:p w:rsidR="005953C5" w:rsidRDefault="005953C5" w:rsidP="00620060">
      <w:pPr>
        <w:pStyle w:val="a3"/>
      </w:pPr>
      <w:r w:rsidRPr="00756FCA">
        <w:rPr>
          <w:rStyle w:val="a5"/>
          <w:sz w:val="18"/>
          <w:szCs w:val="18"/>
        </w:rPr>
        <w:footnoteRef/>
      </w:r>
      <w:r w:rsidRPr="00756FCA">
        <w:rPr>
          <w:sz w:val="18"/>
          <w:szCs w:val="18"/>
          <w:rtl/>
        </w:rPr>
        <w:t xml:space="preserve"> </w:t>
      </w:r>
      <w:r w:rsidRPr="00756FCA">
        <w:rPr>
          <w:rFonts w:hint="cs"/>
          <w:sz w:val="18"/>
          <w:szCs w:val="18"/>
          <w:rtl/>
        </w:rPr>
        <w:t xml:space="preserve">כך כתב </w:t>
      </w:r>
      <w:r w:rsidRPr="00756FCA">
        <w:rPr>
          <w:rFonts w:hint="cs"/>
          <w:b/>
          <w:bCs/>
          <w:sz w:val="18"/>
          <w:szCs w:val="18"/>
          <w:rtl/>
        </w:rPr>
        <w:t>הטור</w:t>
      </w:r>
      <w:r w:rsidRPr="00756FCA">
        <w:rPr>
          <w:rFonts w:hint="cs"/>
          <w:sz w:val="18"/>
          <w:szCs w:val="18"/>
          <w:rtl/>
        </w:rPr>
        <w:t xml:space="preserve">. אמנם, </w:t>
      </w:r>
      <w:r w:rsidRPr="00756FCA">
        <w:rPr>
          <w:rFonts w:hint="cs"/>
          <w:b/>
          <w:bCs/>
          <w:sz w:val="18"/>
          <w:szCs w:val="18"/>
          <w:rtl/>
        </w:rPr>
        <w:t>הבית יוסף</w:t>
      </w:r>
      <w:r w:rsidRPr="00756FCA">
        <w:rPr>
          <w:rFonts w:hint="cs"/>
          <w:sz w:val="18"/>
          <w:szCs w:val="18"/>
          <w:rtl/>
        </w:rPr>
        <w:t xml:space="preserve"> העיר על כך שאפילו בנקבה איכא נפקותא</w:t>
      </w:r>
      <w:r>
        <w:rPr>
          <w:rFonts w:hint="cs"/>
          <w:sz w:val="18"/>
          <w:szCs w:val="18"/>
          <w:rtl/>
        </w:rPr>
        <w:t>, כגון</w:t>
      </w:r>
      <w:r w:rsidRPr="00756FCA">
        <w:rPr>
          <w:rFonts w:hint="cs"/>
          <w:sz w:val="18"/>
          <w:szCs w:val="18"/>
          <w:rtl/>
        </w:rPr>
        <w:t xml:space="preserve"> אם יצא אחת לפני שיקעה ואחת לאחר שקיעה, אלא שהטור קיצר והשמיע נפקותא אפילו כאשר הנפל דמות זכר.</w:t>
      </w:r>
    </w:p>
  </w:footnote>
  <w:footnote w:id="427">
    <w:p w:rsidR="005953C5" w:rsidRDefault="005953C5" w:rsidP="00620060">
      <w:pPr>
        <w:pStyle w:val="a3"/>
      </w:pPr>
      <w:r w:rsidRPr="00101A31">
        <w:rPr>
          <w:rStyle w:val="a5"/>
          <w:sz w:val="18"/>
          <w:szCs w:val="18"/>
        </w:rPr>
        <w:footnoteRef/>
      </w:r>
      <w:r w:rsidRPr="00101A31">
        <w:rPr>
          <w:sz w:val="18"/>
          <w:szCs w:val="18"/>
          <w:rtl/>
        </w:rPr>
        <w:t xml:space="preserve"> </w:t>
      </w:r>
      <w:r w:rsidRPr="00101A31">
        <w:rPr>
          <w:rFonts w:hint="cs"/>
          <w:sz w:val="18"/>
          <w:szCs w:val="18"/>
          <w:rtl/>
        </w:rPr>
        <w:t>הוא הדין ליולדת וולד חי שאינו נפל, ומה שנקטה המשנה 'נפל' היינו אגב המשניות הקודמות.</w:t>
      </w:r>
    </w:p>
  </w:footnote>
  <w:footnote w:id="428">
    <w:p w:rsidR="005953C5" w:rsidRDefault="005953C5" w:rsidP="00620060">
      <w:pPr>
        <w:pStyle w:val="a3"/>
        <w:rPr>
          <w:rtl/>
        </w:rPr>
      </w:pPr>
      <w:r>
        <w:rPr>
          <w:rStyle w:val="a5"/>
        </w:rPr>
        <w:footnoteRef/>
      </w:r>
      <w:r>
        <w:rPr>
          <w:rtl/>
        </w:rPr>
        <w:t xml:space="preserve"> </w:t>
      </w:r>
      <w:r>
        <w:rPr>
          <w:rFonts w:hint="cs"/>
          <w:rtl/>
        </w:rPr>
        <w:t>ע"פ '</w:t>
      </w:r>
      <w:r w:rsidRPr="005A00F8">
        <w:rPr>
          <w:rFonts w:hint="cs"/>
          <w:b/>
          <w:bCs/>
          <w:rtl/>
        </w:rPr>
        <w:t>שירת הים</w:t>
      </w:r>
      <w:r>
        <w:rPr>
          <w:rFonts w:hint="cs"/>
          <w:rtl/>
        </w:rPr>
        <w:t>'.</w:t>
      </w:r>
    </w:p>
  </w:footnote>
  <w:footnote w:id="429">
    <w:p w:rsidR="005953C5" w:rsidRDefault="005953C5" w:rsidP="00620060">
      <w:pPr>
        <w:pStyle w:val="a3"/>
      </w:pPr>
      <w:r w:rsidRPr="00E0411E">
        <w:rPr>
          <w:rStyle w:val="a5"/>
          <w:sz w:val="18"/>
          <w:szCs w:val="18"/>
        </w:rPr>
        <w:footnoteRef/>
      </w:r>
      <w:r w:rsidRPr="00E0411E">
        <w:rPr>
          <w:sz w:val="18"/>
          <w:szCs w:val="18"/>
          <w:rtl/>
        </w:rPr>
        <w:t xml:space="preserve"> </w:t>
      </w:r>
      <w:r w:rsidRPr="00E0411E">
        <w:rPr>
          <w:rFonts w:hint="cs"/>
          <w:sz w:val="18"/>
          <w:szCs w:val="18"/>
          <w:rtl/>
        </w:rPr>
        <w:t xml:space="preserve">יש </w:t>
      </w:r>
      <w:r>
        <w:rPr>
          <w:rFonts w:hint="cs"/>
          <w:sz w:val="18"/>
          <w:szCs w:val="18"/>
          <w:rtl/>
        </w:rPr>
        <w:t>לשים לב</w:t>
      </w:r>
      <w:r w:rsidRPr="00E0411E">
        <w:rPr>
          <w:rFonts w:hint="cs"/>
          <w:sz w:val="18"/>
          <w:szCs w:val="18"/>
          <w:rtl/>
        </w:rPr>
        <w:t xml:space="preserve"> </w:t>
      </w:r>
      <w:r w:rsidRPr="00E0411E">
        <w:rPr>
          <w:rFonts w:hint="cs"/>
          <w:b/>
          <w:bCs/>
          <w:sz w:val="18"/>
          <w:szCs w:val="18"/>
          <w:rtl/>
        </w:rPr>
        <w:t>שהרמב"ם</w:t>
      </w:r>
      <w:r w:rsidRPr="00E0411E">
        <w:rPr>
          <w:rFonts w:hint="cs"/>
          <w:sz w:val="18"/>
          <w:szCs w:val="18"/>
          <w:rtl/>
        </w:rPr>
        <w:t xml:space="preserve"> מתייחס כאן רק לנגיעה של חיבה, באשר לדין נגיעה שאין בה חיבה, יבואר אי"ה בהמשך הסימן.</w:t>
      </w:r>
    </w:p>
  </w:footnote>
  <w:footnote w:id="430">
    <w:p w:rsidR="005953C5" w:rsidRDefault="005953C5" w:rsidP="00620060">
      <w:pPr>
        <w:pStyle w:val="a3"/>
      </w:pPr>
      <w:r w:rsidRPr="005C25C1">
        <w:rPr>
          <w:rStyle w:val="a5"/>
          <w:sz w:val="18"/>
          <w:szCs w:val="18"/>
        </w:rPr>
        <w:footnoteRef/>
      </w:r>
      <w:r w:rsidRPr="005C25C1">
        <w:rPr>
          <w:sz w:val="18"/>
          <w:szCs w:val="18"/>
          <w:rtl/>
        </w:rPr>
        <w:t xml:space="preserve"> </w:t>
      </w:r>
      <w:r w:rsidRPr="005C25C1">
        <w:rPr>
          <w:rFonts w:hint="cs"/>
          <w:sz w:val="18"/>
          <w:szCs w:val="18"/>
          <w:rtl/>
        </w:rPr>
        <w:t xml:space="preserve">בהמשך דבריו, </w:t>
      </w:r>
      <w:r w:rsidRPr="005C25C1">
        <w:rPr>
          <w:rFonts w:hint="cs"/>
          <w:b/>
          <w:bCs/>
          <w:sz w:val="18"/>
          <w:szCs w:val="18"/>
          <w:rtl/>
        </w:rPr>
        <w:t>הרמב"ן</w:t>
      </w:r>
      <w:r w:rsidRPr="005C25C1">
        <w:rPr>
          <w:rFonts w:hint="cs"/>
          <w:sz w:val="18"/>
          <w:szCs w:val="18"/>
          <w:rtl/>
        </w:rPr>
        <w:t xml:space="preserve"> מוכיח זאת מגמרא במסכת שבת </w:t>
      </w:r>
      <w:r w:rsidRPr="005C25C1">
        <w:rPr>
          <w:sz w:val="18"/>
          <w:szCs w:val="18"/>
          <w:rtl/>
        </w:rPr>
        <w:t>–</w:t>
      </w:r>
      <w:r w:rsidRPr="005C25C1">
        <w:rPr>
          <w:rFonts w:hint="cs"/>
          <w:sz w:val="18"/>
          <w:szCs w:val="18"/>
          <w:rtl/>
        </w:rPr>
        <w:t xml:space="preserve"> "</w:t>
      </w:r>
      <w:r w:rsidRPr="005C25C1">
        <w:rPr>
          <w:rFonts w:cs="Arial"/>
          <w:sz w:val="18"/>
          <w:szCs w:val="18"/>
          <w:rtl/>
        </w:rPr>
        <w:t>שהרי בגמר</w:t>
      </w:r>
      <w:r w:rsidRPr="005C25C1">
        <w:rPr>
          <w:rFonts w:cs="Arial" w:hint="cs"/>
          <w:sz w:val="18"/>
          <w:szCs w:val="18"/>
          <w:rtl/>
        </w:rPr>
        <w:t>א</w:t>
      </w:r>
      <w:r w:rsidRPr="005C25C1">
        <w:rPr>
          <w:rFonts w:cs="Arial"/>
          <w:sz w:val="18"/>
          <w:szCs w:val="18"/>
          <w:rtl/>
        </w:rPr>
        <w:t xml:space="preserve"> שבת שאלו בנדה אם מותר שישכב בעלה עמה במטה אחת היא בבגדה והוא בבגדו</w:t>
      </w:r>
      <w:r w:rsidRPr="005C25C1">
        <w:rPr>
          <w:rFonts w:cs="Arial" w:hint="cs"/>
          <w:sz w:val="18"/>
          <w:szCs w:val="18"/>
          <w:rtl/>
        </w:rPr>
        <w:t>,</w:t>
      </w:r>
      <w:r w:rsidRPr="005C25C1">
        <w:rPr>
          <w:rFonts w:cs="Arial"/>
          <w:sz w:val="18"/>
          <w:szCs w:val="18"/>
          <w:rtl/>
        </w:rPr>
        <w:t xml:space="preserve"> והיו מהם מי שאסר והעלו ופליגא דרבי פדת דאמר רבי פדת לא אסרה תורה אלא קריבה של</w:t>
      </w:r>
      <w:r w:rsidRPr="005C25C1">
        <w:rPr>
          <w:rFonts w:cs="Arial" w:hint="cs"/>
          <w:sz w:val="18"/>
          <w:szCs w:val="18"/>
          <w:rtl/>
        </w:rPr>
        <w:t xml:space="preserve"> </w:t>
      </w:r>
      <w:r w:rsidRPr="005C25C1">
        <w:rPr>
          <w:rFonts w:cs="Arial"/>
          <w:sz w:val="18"/>
          <w:szCs w:val="18"/>
          <w:rtl/>
        </w:rPr>
        <w:t>גלוי ער</w:t>
      </w:r>
      <w:r w:rsidRPr="005C25C1">
        <w:rPr>
          <w:rFonts w:cs="Arial" w:hint="cs"/>
          <w:sz w:val="18"/>
          <w:szCs w:val="18"/>
          <w:rtl/>
        </w:rPr>
        <w:t>ו</w:t>
      </w:r>
      <w:r w:rsidRPr="005C25C1">
        <w:rPr>
          <w:rFonts w:cs="Arial"/>
          <w:sz w:val="18"/>
          <w:szCs w:val="18"/>
          <w:rtl/>
        </w:rPr>
        <w:t>וה בלבד שנא</w:t>
      </w:r>
      <w:r w:rsidRPr="005C25C1">
        <w:rPr>
          <w:rFonts w:cs="Arial" w:hint="cs"/>
          <w:sz w:val="18"/>
          <w:szCs w:val="18"/>
          <w:rtl/>
        </w:rPr>
        <w:t>מר</w:t>
      </w:r>
      <w:r w:rsidRPr="005C25C1">
        <w:rPr>
          <w:rFonts w:cs="Arial"/>
          <w:sz w:val="18"/>
          <w:szCs w:val="18"/>
          <w:rtl/>
        </w:rPr>
        <w:t xml:space="preserve"> איש איש אל כל שאר בשרו לא תקרבו לגלות ערוה. </w:t>
      </w:r>
      <w:r w:rsidRPr="005C25C1">
        <w:rPr>
          <w:rFonts w:cs="Arial"/>
          <w:sz w:val="18"/>
          <w:szCs w:val="18"/>
          <w:u w:val="single"/>
          <w:rtl/>
        </w:rPr>
        <w:t>והנה אין לא תקרבו לגלות ער</w:t>
      </w:r>
      <w:r w:rsidRPr="005C25C1">
        <w:rPr>
          <w:rFonts w:cs="Arial" w:hint="cs"/>
          <w:sz w:val="18"/>
          <w:szCs w:val="18"/>
          <w:u w:val="single"/>
          <w:rtl/>
        </w:rPr>
        <w:t>ו</w:t>
      </w:r>
      <w:r w:rsidRPr="005C25C1">
        <w:rPr>
          <w:rFonts w:cs="Arial"/>
          <w:sz w:val="18"/>
          <w:szCs w:val="18"/>
          <w:u w:val="single"/>
          <w:rtl/>
        </w:rPr>
        <w:t>וה נדרש להם לאו בפני עצמו כברייתא השנויה בספרא אבל ידרשוהו בקריבה של</w:t>
      </w:r>
      <w:r w:rsidRPr="005C25C1">
        <w:rPr>
          <w:rFonts w:cs="Arial" w:hint="cs"/>
          <w:sz w:val="18"/>
          <w:szCs w:val="18"/>
          <w:u w:val="single"/>
          <w:rtl/>
        </w:rPr>
        <w:t xml:space="preserve"> </w:t>
      </w:r>
      <w:r w:rsidRPr="005C25C1">
        <w:rPr>
          <w:rFonts w:cs="Arial"/>
          <w:sz w:val="18"/>
          <w:szCs w:val="18"/>
          <w:u w:val="single"/>
          <w:rtl/>
        </w:rPr>
        <w:t>גלוי ער</w:t>
      </w:r>
      <w:r w:rsidRPr="005C25C1">
        <w:rPr>
          <w:rFonts w:cs="Arial" w:hint="cs"/>
          <w:sz w:val="18"/>
          <w:szCs w:val="18"/>
          <w:u w:val="single"/>
          <w:rtl/>
        </w:rPr>
        <w:t>ו</w:t>
      </w:r>
      <w:r w:rsidRPr="005C25C1">
        <w:rPr>
          <w:rFonts w:cs="Arial"/>
          <w:sz w:val="18"/>
          <w:szCs w:val="18"/>
          <w:u w:val="single"/>
          <w:rtl/>
        </w:rPr>
        <w:t>וה בלבד</w:t>
      </w:r>
      <w:r w:rsidRPr="005C25C1">
        <w:rPr>
          <w:rFonts w:cs="Arial" w:hint="cs"/>
          <w:sz w:val="18"/>
          <w:szCs w:val="18"/>
          <w:rtl/>
        </w:rPr>
        <w:t>.</w:t>
      </w:r>
      <w:r w:rsidRPr="005C25C1">
        <w:rPr>
          <w:rFonts w:cs="Arial"/>
          <w:sz w:val="18"/>
          <w:szCs w:val="18"/>
          <w:rtl/>
        </w:rPr>
        <w:br/>
        <w:t>ומן הידוע עוד ממנהגם בתלמוד</w:t>
      </w:r>
      <w:r w:rsidRPr="005C25C1">
        <w:rPr>
          <w:rFonts w:cs="Arial" w:hint="cs"/>
          <w:sz w:val="18"/>
          <w:szCs w:val="18"/>
          <w:rtl/>
        </w:rPr>
        <w:t>,</w:t>
      </w:r>
      <w:r w:rsidRPr="005C25C1">
        <w:rPr>
          <w:rFonts w:cs="Arial"/>
          <w:sz w:val="18"/>
          <w:szCs w:val="18"/>
          <w:rtl/>
        </w:rPr>
        <w:t xml:space="preserve"> שאם היתה הברייתא הזו אצלם אמת</w:t>
      </w:r>
      <w:r w:rsidRPr="005C25C1">
        <w:rPr>
          <w:rFonts w:cs="Arial" w:hint="cs"/>
          <w:sz w:val="18"/>
          <w:szCs w:val="18"/>
          <w:rtl/>
        </w:rPr>
        <w:t>,</w:t>
      </w:r>
      <w:r w:rsidRPr="005C25C1">
        <w:rPr>
          <w:rFonts w:cs="Arial"/>
          <w:sz w:val="18"/>
          <w:szCs w:val="18"/>
          <w:rtl/>
        </w:rPr>
        <w:t xml:space="preserve"> והיו דבריו של</w:t>
      </w:r>
      <w:r w:rsidRPr="005C25C1">
        <w:rPr>
          <w:rFonts w:cs="Arial" w:hint="cs"/>
          <w:sz w:val="18"/>
          <w:szCs w:val="18"/>
          <w:rtl/>
        </w:rPr>
        <w:t xml:space="preserve"> </w:t>
      </w:r>
      <w:r w:rsidRPr="005C25C1">
        <w:rPr>
          <w:rFonts w:cs="Arial"/>
          <w:sz w:val="18"/>
          <w:szCs w:val="18"/>
          <w:rtl/>
        </w:rPr>
        <w:t>רבי פדת חלוקין בכך היו בעלי הגמרא מביאים אותה עליו לתיובתא ואומרים מתיבי אילו נאמר ואל אשה וכו' ומעלים ממנה תיובתא דרבי פדת תיובתא. וכיון שלא עשו כן נבין מהם כי אצלם זה האיסור מדרבנן</w:t>
      </w:r>
      <w:r w:rsidRPr="005C25C1">
        <w:rPr>
          <w:rFonts w:cs="Arial" w:hint="cs"/>
          <w:sz w:val="18"/>
          <w:szCs w:val="18"/>
          <w:rtl/>
        </w:rPr>
        <w:t>".</w:t>
      </w:r>
    </w:p>
  </w:footnote>
  <w:footnote w:id="431">
    <w:p w:rsidR="005953C5" w:rsidRDefault="005953C5" w:rsidP="00620060">
      <w:pPr>
        <w:pStyle w:val="a3"/>
      </w:pPr>
      <w:r w:rsidRPr="0038316A">
        <w:rPr>
          <w:rStyle w:val="a5"/>
          <w:sz w:val="18"/>
          <w:szCs w:val="18"/>
        </w:rPr>
        <w:footnoteRef/>
      </w:r>
      <w:r w:rsidRPr="0038316A">
        <w:rPr>
          <w:sz w:val="18"/>
          <w:szCs w:val="18"/>
          <w:rtl/>
        </w:rPr>
        <w:t xml:space="preserve"> </w:t>
      </w:r>
      <w:r w:rsidRPr="0038316A">
        <w:rPr>
          <w:rFonts w:hint="cs"/>
          <w:sz w:val="18"/>
          <w:szCs w:val="18"/>
          <w:rtl/>
        </w:rPr>
        <w:t>ואם כן מדוע אליהו חילק בשאלתו את אשת אותו התלמיד בין ימי נידות לימי ליבון? בנוסף לתירוץ ר"ת הנ"ל, יש אומרים שאליהו ידע שאותו תלמיד הקל לעצמו בימי ליבון טפי מימי נידות, אך אין כוונת אליהו שדין ימים אלו קל יותר.</w:t>
      </w:r>
    </w:p>
  </w:footnote>
  <w:footnote w:id="432">
    <w:p w:rsidR="005953C5" w:rsidRDefault="005953C5" w:rsidP="00620060">
      <w:pPr>
        <w:pStyle w:val="a3"/>
      </w:pPr>
      <w:r w:rsidRPr="004F0471">
        <w:rPr>
          <w:rStyle w:val="a5"/>
          <w:sz w:val="18"/>
          <w:szCs w:val="18"/>
        </w:rPr>
        <w:footnoteRef/>
      </w:r>
      <w:r w:rsidRPr="004F0471">
        <w:rPr>
          <w:sz w:val="18"/>
          <w:szCs w:val="18"/>
          <w:rtl/>
        </w:rPr>
        <w:t xml:space="preserve"> </w:t>
      </w:r>
      <w:r w:rsidRPr="004F0471">
        <w:rPr>
          <w:rFonts w:hint="cs"/>
          <w:sz w:val="18"/>
          <w:szCs w:val="18"/>
          <w:rtl/>
        </w:rPr>
        <w:t xml:space="preserve">מקור הדין </w:t>
      </w:r>
      <w:r w:rsidRPr="00AD59F3">
        <w:rPr>
          <w:rFonts w:hint="cs"/>
          <w:b/>
          <w:bCs/>
          <w:sz w:val="18"/>
          <w:szCs w:val="18"/>
          <w:rtl/>
        </w:rPr>
        <w:t>במחזור ויטרי</w:t>
      </w:r>
      <w:r w:rsidRPr="004F0471">
        <w:rPr>
          <w:rFonts w:hint="cs"/>
          <w:sz w:val="18"/>
          <w:szCs w:val="18"/>
          <w:rtl/>
        </w:rPr>
        <w:t xml:space="preserve">, שם כותב </w:t>
      </w:r>
      <w:r w:rsidRPr="00AD59F3">
        <w:rPr>
          <w:rFonts w:hint="cs"/>
          <w:b/>
          <w:bCs/>
          <w:sz w:val="18"/>
          <w:szCs w:val="18"/>
          <w:rtl/>
        </w:rPr>
        <w:t>רבינו שמעיה</w:t>
      </w:r>
      <w:r w:rsidRPr="004F0471">
        <w:rPr>
          <w:rFonts w:hint="cs"/>
          <w:sz w:val="18"/>
          <w:szCs w:val="18"/>
          <w:rtl/>
        </w:rPr>
        <w:t xml:space="preserve"> </w:t>
      </w:r>
      <w:r w:rsidRPr="00AD59F3">
        <w:rPr>
          <w:rFonts w:hint="cs"/>
          <w:b/>
          <w:bCs/>
          <w:sz w:val="18"/>
          <w:szCs w:val="18"/>
          <w:rtl/>
        </w:rPr>
        <w:t>שרש"י</w:t>
      </w:r>
      <w:r w:rsidRPr="004F0471">
        <w:rPr>
          <w:rFonts w:hint="cs"/>
          <w:sz w:val="18"/>
          <w:szCs w:val="18"/>
          <w:rtl/>
        </w:rPr>
        <w:t xml:space="preserve"> היה נזהר שלא להעביר מפתח מידו לידה.</w:t>
      </w:r>
    </w:p>
  </w:footnote>
  <w:footnote w:id="433">
    <w:p w:rsidR="005953C5" w:rsidRDefault="005953C5" w:rsidP="00620060">
      <w:pPr>
        <w:pStyle w:val="a3"/>
      </w:pPr>
      <w:r w:rsidRPr="005C6FD8">
        <w:rPr>
          <w:rStyle w:val="a5"/>
          <w:sz w:val="18"/>
          <w:szCs w:val="18"/>
        </w:rPr>
        <w:footnoteRef/>
      </w:r>
      <w:r w:rsidRPr="005C6FD8">
        <w:rPr>
          <w:sz w:val="18"/>
          <w:szCs w:val="18"/>
          <w:rtl/>
        </w:rPr>
        <w:t xml:space="preserve"> </w:t>
      </w:r>
      <w:r w:rsidRPr="005C6FD8">
        <w:rPr>
          <w:rFonts w:hint="cs"/>
          <w:sz w:val="18"/>
          <w:szCs w:val="18"/>
          <w:rtl/>
        </w:rPr>
        <w:t xml:space="preserve">אמנם, </w:t>
      </w:r>
      <w:r w:rsidRPr="005C6FD8">
        <w:rPr>
          <w:rFonts w:hint="cs"/>
          <w:b/>
          <w:bCs/>
          <w:sz w:val="18"/>
          <w:szCs w:val="18"/>
          <w:rtl/>
        </w:rPr>
        <w:t>הרשב"א</w:t>
      </w:r>
      <w:r w:rsidRPr="005C6FD8">
        <w:rPr>
          <w:rFonts w:hint="cs"/>
          <w:sz w:val="18"/>
          <w:szCs w:val="18"/>
          <w:rtl/>
        </w:rPr>
        <w:t xml:space="preserve"> בתשובה </w:t>
      </w:r>
      <w:r w:rsidRPr="005C6FD8">
        <w:rPr>
          <w:rFonts w:hint="cs"/>
          <w:sz w:val="16"/>
          <w:szCs w:val="16"/>
          <w:rtl/>
        </w:rPr>
        <w:t xml:space="preserve">(מובא בבית יוסף אה"ע סימן כא) </w:t>
      </w:r>
      <w:r w:rsidRPr="005C6FD8">
        <w:rPr>
          <w:rFonts w:hint="cs"/>
          <w:sz w:val="18"/>
          <w:szCs w:val="18"/>
          <w:rtl/>
        </w:rPr>
        <w:t>כתב שטעם האיסור הוא משום שמביא לקירוב הדעת, ולכן אסור דווקא באשתו מפני שמביא לקירוב הדעת, אך בשאר עריות לא אסרו.</w:t>
      </w:r>
    </w:p>
  </w:footnote>
  <w:footnote w:id="434">
    <w:p w:rsidR="005953C5" w:rsidRDefault="005953C5" w:rsidP="00620060">
      <w:pPr>
        <w:pStyle w:val="a3"/>
      </w:pPr>
      <w:r w:rsidRPr="004F0471">
        <w:rPr>
          <w:rStyle w:val="a5"/>
          <w:sz w:val="18"/>
          <w:szCs w:val="18"/>
        </w:rPr>
        <w:footnoteRef/>
      </w:r>
      <w:r w:rsidRPr="004F0471">
        <w:rPr>
          <w:sz w:val="18"/>
          <w:szCs w:val="18"/>
          <w:rtl/>
        </w:rPr>
        <w:t xml:space="preserve"> </w:t>
      </w:r>
      <w:r w:rsidRPr="004F0471">
        <w:rPr>
          <w:rFonts w:hint="cs"/>
          <w:sz w:val="18"/>
          <w:szCs w:val="18"/>
          <w:rtl/>
        </w:rPr>
        <w:t>קטע זה אינו כתוב בגמרא אלא מופיע רק בתנא דבי אליהו, ואמנם, בגירס</w:t>
      </w:r>
      <w:r>
        <w:rPr>
          <w:rFonts w:hint="cs"/>
          <w:sz w:val="18"/>
          <w:szCs w:val="18"/>
          <w:rtl/>
        </w:rPr>
        <w:t>ת התנדב"א</w:t>
      </w:r>
      <w:r w:rsidRPr="004F0471">
        <w:rPr>
          <w:rFonts w:hint="cs"/>
          <w:sz w:val="18"/>
          <w:szCs w:val="18"/>
          <w:rtl/>
        </w:rPr>
        <w:t xml:space="preserve"> שלפנינו כתוב: "</w:t>
      </w:r>
      <w:r w:rsidRPr="004F0471">
        <w:rPr>
          <w:rFonts w:cs="Arial"/>
          <w:sz w:val="18"/>
          <w:szCs w:val="18"/>
          <w:rtl/>
        </w:rPr>
        <w:t xml:space="preserve">שמא </w:t>
      </w:r>
      <w:r w:rsidRPr="004F0471">
        <w:rPr>
          <w:rFonts w:cs="Arial"/>
          <w:sz w:val="18"/>
          <w:szCs w:val="18"/>
          <w:u w:val="single"/>
          <w:rtl/>
        </w:rPr>
        <w:t>הסכתה</w:t>
      </w:r>
      <w:r w:rsidRPr="004F0471">
        <w:rPr>
          <w:rFonts w:cs="Arial"/>
          <w:sz w:val="18"/>
          <w:szCs w:val="18"/>
          <w:rtl/>
        </w:rPr>
        <w:t xml:space="preserve"> לו את שמן בידך, ונגע ביך אפילו באצבעו הקטנה, אמרה לי, חי ראשך, רחצתי לו רגליו וסכה אני לו שמן</w:t>
      </w:r>
      <w:r w:rsidRPr="004F0471">
        <w:rPr>
          <w:rFonts w:hint="cs"/>
          <w:sz w:val="18"/>
          <w:szCs w:val="18"/>
          <w:rtl/>
        </w:rPr>
        <w:t>".</w:t>
      </w:r>
    </w:p>
  </w:footnote>
  <w:footnote w:id="435">
    <w:p w:rsidR="005953C5" w:rsidRDefault="005953C5" w:rsidP="00620060">
      <w:pPr>
        <w:pStyle w:val="a3"/>
      </w:pPr>
      <w:r w:rsidRPr="00843B50">
        <w:rPr>
          <w:rStyle w:val="a5"/>
          <w:sz w:val="18"/>
          <w:szCs w:val="18"/>
        </w:rPr>
        <w:footnoteRef/>
      </w:r>
      <w:r w:rsidRPr="00843B50">
        <w:rPr>
          <w:sz w:val="18"/>
          <w:szCs w:val="18"/>
          <w:rtl/>
        </w:rPr>
        <w:t xml:space="preserve"> </w:t>
      </w:r>
      <w:r w:rsidRPr="00843B50">
        <w:rPr>
          <w:rFonts w:hint="cs"/>
          <w:b/>
          <w:bCs/>
          <w:sz w:val="18"/>
          <w:szCs w:val="18"/>
          <w:rtl/>
        </w:rPr>
        <w:t>במשמרת הטהרה</w:t>
      </w:r>
      <w:r w:rsidRPr="00843B50">
        <w:rPr>
          <w:rFonts w:hint="cs"/>
          <w:sz w:val="18"/>
          <w:szCs w:val="18"/>
          <w:rtl/>
        </w:rPr>
        <w:t xml:space="preserve"> </w:t>
      </w:r>
      <w:r w:rsidRPr="00843B50">
        <w:rPr>
          <w:rFonts w:hint="cs"/>
          <w:sz w:val="16"/>
          <w:szCs w:val="16"/>
          <w:rtl/>
        </w:rPr>
        <w:t xml:space="preserve">(עמ' צה </w:t>
      </w:r>
      <w:r w:rsidRPr="00843B50">
        <w:rPr>
          <w:sz w:val="16"/>
          <w:szCs w:val="16"/>
          <w:rtl/>
        </w:rPr>
        <w:t>–</w:t>
      </w:r>
      <w:r w:rsidRPr="00843B50">
        <w:rPr>
          <w:rFonts w:hint="cs"/>
          <w:sz w:val="16"/>
          <w:szCs w:val="16"/>
          <w:rtl/>
        </w:rPr>
        <w:t xml:space="preserve"> צו) </w:t>
      </w:r>
      <w:r w:rsidRPr="00843B50">
        <w:rPr>
          <w:rFonts w:hint="cs"/>
          <w:sz w:val="18"/>
          <w:szCs w:val="18"/>
          <w:rtl/>
        </w:rPr>
        <w:t xml:space="preserve">כתב בשם </w:t>
      </w:r>
      <w:r w:rsidRPr="00843B50">
        <w:rPr>
          <w:rFonts w:hint="cs"/>
          <w:b/>
          <w:bCs/>
          <w:sz w:val="18"/>
          <w:szCs w:val="18"/>
          <w:rtl/>
        </w:rPr>
        <w:t>הרשב"ץ ומהרי</w:t>
      </w:r>
      <w:r>
        <w:rPr>
          <w:rFonts w:hint="cs"/>
          <w:b/>
          <w:bCs/>
          <w:sz w:val="18"/>
          <w:szCs w:val="18"/>
          <w:rtl/>
        </w:rPr>
        <w:t>ק</w:t>
      </w:r>
      <w:r w:rsidRPr="00843B50">
        <w:rPr>
          <w:rFonts w:hint="cs"/>
          <w:b/>
          <w:bCs/>
          <w:sz w:val="18"/>
          <w:szCs w:val="18"/>
          <w:rtl/>
        </w:rPr>
        <w:t>"ש</w:t>
      </w:r>
      <w:r w:rsidRPr="00843B50">
        <w:rPr>
          <w:rFonts w:hint="cs"/>
          <w:sz w:val="18"/>
          <w:szCs w:val="18"/>
          <w:rtl/>
        </w:rPr>
        <w:t xml:space="preserve"> להתיר, ובלבד שלא יהיה בדרך שחוק.</w:t>
      </w:r>
      <w:r w:rsidRPr="00843B50">
        <w:rPr>
          <w:sz w:val="18"/>
          <w:szCs w:val="18"/>
          <w:rtl/>
        </w:rPr>
        <w:br/>
      </w:r>
      <w:r w:rsidRPr="00843B50">
        <w:rPr>
          <w:rFonts w:hint="cs"/>
          <w:sz w:val="18"/>
          <w:szCs w:val="18"/>
          <w:rtl/>
        </w:rPr>
        <w:t xml:space="preserve">ולעניין דברי האוסרים </w:t>
      </w:r>
      <w:r w:rsidRPr="00843B50">
        <w:rPr>
          <w:sz w:val="18"/>
          <w:szCs w:val="18"/>
          <w:rtl/>
        </w:rPr>
        <w:t>–</w:t>
      </w:r>
      <w:r w:rsidRPr="00843B50">
        <w:rPr>
          <w:rFonts w:hint="cs"/>
          <w:sz w:val="18"/>
          <w:szCs w:val="18"/>
          <w:rtl/>
        </w:rPr>
        <w:t xml:space="preserve"> </w:t>
      </w:r>
      <w:r w:rsidRPr="00843B50">
        <w:rPr>
          <w:rFonts w:hint="cs"/>
          <w:b/>
          <w:bCs/>
          <w:sz w:val="18"/>
          <w:szCs w:val="18"/>
          <w:rtl/>
        </w:rPr>
        <w:t>מהר"ם מרוטנבורג</w:t>
      </w:r>
      <w:r w:rsidRPr="00843B50">
        <w:rPr>
          <w:rFonts w:hint="cs"/>
          <w:sz w:val="18"/>
          <w:szCs w:val="18"/>
          <w:rtl/>
        </w:rPr>
        <w:t xml:space="preserve"> אוסר אף הוא לזרוק, וראייתו מכך שבגמרא בכתובות נאמר על אמוראים שנשותיהם הניחו את הכוס על השולחן לפניהם, ויש לדייק שזריקה אסורה. ברם, יש לדחות ראיה זאת, משום שהתם אי אפשר בזריקה משום שתכולת הכוס תישפך.</w:t>
      </w:r>
    </w:p>
  </w:footnote>
  <w:footnote w:id="436">
    <w:p w:rsidR="005953C5" w:rsidRDefault="005953C5" w:rsidP="00620060">
      <w:pPr>
        <w:pStyle w:val="a3"/>
      </w:pPr>
      <w:r w:rsidRPr="003C4499">
        <w:rPr>
          <w:rStyle w:val="a5"/>
          <w:sz w:val="18"/>
          <w:szCs w:val="18"/>
        </w:rPr>
        <w:footnoteRef/>
      </w:r>
      <w:r w:rsidRPr="003C4499">
        <w:rPr>
          <w:sz w:val="18"/>
          <w:szCs w:val="18"/>
          <w:rtl/>
        </w:rPr>
        <w:t xml:space="preserve"> </w:t>
      </w:r>
      <w:r>
        <w:rPr>
          <w:rFonts w:hint="cs"/>
          <w:sz w:val="18"/>
          <w:szCs w:val="18"/>
          <w:rtl/>
        </w:rPr>
        <w:t xml:space="preserve">לגבי שאלת ההסתכלות באשתו נידה, ניתן להציע </w:t>
      </w:r>
      <w:r w:rsidRPr="003C4499">
        <w:rPr>
          <w:rFonts w:hint="cs"/>
          <w:sz w:val="18"/>
          <w:szCs w:val="18"/>
          <w:rtl/>
        </w:rPr>
        <w:t xml:space="preserve">פתרון נוסף - </w:t>
      </w:r>
      <w:r w:rsidRPr="003C4499">
        <w:rPr>
          <w:sz w:val="18"/>
          <w:szCs w:val="18"/>
          <w:rtl/>
        </w:rPr>
        <w:br/>
      </w:r>
      <w:r w:rsidRPr="003C4499">
        <w:rPr>
          <w:rFonts w:hint="cs"/>
          <w:sz w:val="18"/>
          <w:szCs w:val="18"/>
          <w:rtl/>
        </w:rPr>
        <w:t>האשה תטבול טבילה ראשונה ללא שבעלה מסתכל, ולאחר טבילה זו מסתבר שהיא כבר טהורה, ולאחר מכן תטבול שנית ובטבילה זו בעלה ישגיח שטבלה כראוי.</w:t>
      </w:r>
    </w:p>
  </w:footnote>
  <w:footnote w:id="437">
    <w:p w:rsidR="005953C5" w:rsidRDefault="005953C5" w:rsidP="00620060">
      <w:pPr>
        <w:pStyle w:val="a3"/>
      </w:pPr>
      <w:r w:rsidRPr="006D50E9">
        <w:rPr>
          <w:rStyle w:val="a5"/>
          <w:sz w:val="18"/>
          <w:szCs w:val="18"/>
        </w:rPr>
        <w:footnoteRef/>
      </w:r>
      <w:r w:rsidRPr="006D50E9">
        <w:rPr>
          <w:sz w:val="18"/>
          <w:szCs w:val="18"/>
          <w:rtl/>
        </w:rPr>
        <w:t xml:space="preserve"> </w:t>
      </w:r>
      <w:r w:rsidRPr="006D50E9">
        <w:rPr>
          <w:rFonts w:hint="cs"/>
          <w:sz w:val="18"/>
          <w:szCs w:val="18"/>
          <w:rtl/>
        </w:rPr>
        <w:t>נראה לכאורה שאף היא אסורה לגעת בבגדיו בעודו לבוש בהם, דמאי שנא?</w:t>
      </w:r>
    </w:p>
  </w:footnote>
  <w:footnote w:id="438">
    <w:p w:rsidR="005953C5" w:rsidRDefault="005953C5" w:rsidP="00620060">
      <w:pPr>
        <w:pStyle w:val="a3"/>
      </w:pPr>
      <w:r w:rsidRPr="002E5A2B">
        <w:rPr>
          <w:rStyle w:val="a5"/>
          <w:sz w:val="18"/>
          <w:szCs w:val="18"/>
        </w:rPr>
        <w:footnoteRef/>
      </w:r>
      <w:r w:rsidRPr="002E5A2B">
        <w:rPr>
          <w:sz w:val="18"/>
          <w:szCs w:val="18"/>
          <w:rtl/>
        </w:rPr>
        <w:t xml:space="preserve"> </w:t>
      </w:r>
      <w:r w:rsidRPr="002E5A2B">
        <w:rPr>
          <w:rFonts w:hint="cs"/>
          <w:b/>
          <w:bCs/>
          <w:sz w:val="18"/>
          <w:szCs w:val="18"/>
          <w:rtl/>
        </w:rPr>
        <w:t>במשמרת הטהרה</w:t>
      </w:r>
      <w:r w:rsidRPr="002E5A2B">
        <w:rPr>
          <w:rFonts w:hint="cs"/>
          <w:sz w:val="18"/>
          <w:szCs w:val="18"/>
          <w:rtl/>
        </w:rPr>
        <w:t xml:space="preserve"> הביא בשם </w:t>
      </w:r>
      <w:r w:rsidRPr="002E5A2B">
        <w:rPr>
          <w:rFonts w:hint="cs"/>
          <w:b/>
          <w:bCs/>
          <w:sz w:val="18"/>
          <w:szCs w:val="18"/>
          <w:rtl/>
        </w:rPr>
        <w:t>הרוקח</w:t>
      </w:r>
      <w:r w:rsidRPr="002E5A2B">
        <w:rPr>
          <w:rFonts w:hint="cs"/>
          <w:sz w:val="18"/>
          <w:szCs w:val="18"/>
          <w:rtl/>
        </w:rPr>
        <w:t xml:space="preserve"> את המעשה הבא </w:t>
      </w:r>
      <w:r w:rsidRPr="002E5A2B">
        <w:rPr>
          <w:sz w:val="18"/>
          <w:szCs w:val="18"/>
          <w:rtl/>
        </w:rPr>
        <w:t>–</w:t>
      </w:r>
      <w:r w:rsidRPr="002E5A2B">
        <w:rPr>
          <w:rFonts w:hint="cs"/>
          <w:sz w:val="18"/>
          <w:szCs w:val="18"/>
          <w:rtl/>
        </w:rPr>
        <w:t xml:space="preserve"> "</w:t>
      </w:r>
      <w:r w:rsidRPr="002E5A2B">
        <w:rPr>
          <w:rFonts w:cs="Arial"/>
          <w:sz w:val="18"/>
          <w:szCs w:val="18"/>
          <w:rtl/>
        </w:rPr>
        <w:t>מעשה בתלמיד אחד שמת ולא הלכו אחר מ</w:t>
      </w:r>
      <w:r>
        <w:rPr>
          <w:rFonts w:cs="Arial" w:hint="cs"/>
          <w:sz w:val="18"/>
          <w:szCs w:val="18"/>
          <w:rtl/>
        </w:rPr>
        <w:t>י</w:t>
      </w:r>
      <w:r w:rsidRPr="002E5A2B">
        <w:rPr>
          <w:rFonts w:cs="Arial"/>
          <w:sz w:val="18"/>
          <w:szCs w:val="18"/>
          <w:rtl/>
        </w:rPr>
        <w:t>טתו עשרה בני אדם</w:t>
      </w:r>
      <w:r>
        <w:rPr>
          <w:rFonts w:cs="Arial" w:hint="cs"/>
          <w:sz w:val="18"/>
          <w:szCs w:val="18"/>
          <w:rtl/>
        </w:rPr>
        <w:t>.</w:t>
      </w:r>
      <w:r w:rsidRPr="002E5A2B">
        <w:rPr>
          <w:rFonts w:cs="Arial"/>
          <w:sz w:val="18"/>
          <w:szCs w:val="18"/>
          <w:rtl/>
        </w:rPr>
        <w:t xml:space="preserve"> התחיל חבירו לבכות</w:t>
      </w:r>
      <w:r>
        <w:rPr>
          <w:rFonts w:cs="Arial" w:hint="cs"/>
          <w:sz w:val="18"/>
          <w:szCs w:val="18"/>
          <w:rtl/>
        </w:rPr>
        <w:t>,</w:t>
      </w:r>
      <w:r w:rsidRPr="002E5A2B">
        <w:rPr>
          <w:rFonts w:cs="Arial"/>
          <w:sz w:val="18"/>
          <w:szCs w:val="18"/>
          <w:rtl/>
        </w:rPr>
        <w:t xml:space="preserve"> אמר</w:t>
      </w:r>
      <w:r>
        <w:rPr>
          <w:rFonts w:cs="Arial" w:hint="cs"/>
          <w:sz w:val="18"/>
          <w:szCs w:val="18"/>
          <w:rtl/>
        </w:rPr>
        <w:t>:</w:t>
      </w:r>
      <w:r w:rsidRPr="002E5A2B">
        <w:rPr>
          <w:rFonts w:cs="Arial"/>
          <w:sz w:val="18"/>
          <w:szCs w:val="18"/>
          <w:rtl/>
        </w:rPr>
        <w:t xml:space="preserve"> זו תורה וזו שכרה</w:t>
      </w:r>
      <w:r>
        <w:rPr>
          <w:rFonts w:cs="Arial" w:hint="cs"/>
          <w:sz w:val="18"/>
          <w:szCs w:val="18"/>
          <w:rtl/>
        </w:rPr>
        <w:t>?!</w:t>
      </w:r>
      <w:r w:rsidRPr="002E5A2B">
        <w:rPr>
          <w:rFonts w:cs="Arial"/>
          <w:sz w:val="18"/>
          <w:szCs w:val="18"/>
          <w:rtl/>
        </w:rPr>
        <w:t xml:space="preserve"> פקח הקדוש ברוך הוא עיניו בחלום ואמר לו</w:t>
      </w:r>
      <w:r>
        <w:rPr>
          <w:rFonts w:cs="Arial" w:hint="cs"/>
          <w:sz w:val="18"/>
          <w:szCs w:val="18"/>
          <w:rtl/>
        </w:rPr>
        <w:t>:</w:t>
      </w:r>
      <w:r w:rsidRPr="002E5A2B">
        <w:rPr>
          <w:rFonts w:cs="Arial"/>
          <w:sz w:val="18"/>
          <w:szCs w:val="18"/>
          <w:rtl/>
        </w:rPr>
        <w:t xml:space="preserve"> חבירך לא עבר עבירה מימיו</w:t>
      </w:r>
      <w:r>
        <w:rPr>
          <w:rFonts w:cs="Arial" w:hint="cs"/>
          <w:sz w:val="18"/>
          <w:szCs w:val="18"/>
          <w:rtl/>
        </w:rPr>
        <w:t>,</w:t>
      </w:r>
      <w:r w:rsidRPr="002E5A2B">
        <w:rPr>
          <w:rFonts w:cs="Arial"/>
          <w:sz w:val="18"/>
          <w:szCs w:val="18"/>
          <w:rtl/>
        </w:rPr>
        <w:t xml:space="preserve"> כי אם פעם אחת עברה אשתו נדה לפניו ונגע בבגדיה</w:t>
      </w:r>
      <w:r>
        <w:rPr>
          <w:rFonts w:cs="Arial" w:hint="cs"/>
          <w:sz w:val="18"/>
          <w:szCs w:val="18"/>
          <w:rtl/>
        </w:rPr>
        <w:t>,</w:t>
      </w:r>
      <w:r w:rsidRPr="002E5A2B">
        <w:rPr>
          <w:rFonts w:cs="Arial"/>
          <w:sz w:val="18"/>
          <w:szCs w:val="18"/>
          <w:rtl/>
        </w:rPr>
        <w:t xml:space="preserve"> לכן הגבו עבירה ממנו. בו בלילה ראה את חבירו מהלך בתוך הפרדס בתוך המעין של מים בתוך גן עדן</w:t>
      </w:r>
      <w:r w:rsidRPr="002E5A2B">
        <w:rPr>
          <w:rFonts w:cs="Arial" w:hint="cs"/>
          <w:sz w:val="18"/>
          <w:szCs w:val="18"/>
          <w:rtl/>
        </w:rPr>
        <w:t>".</w:t>
      </w:r>
    </w:p>
  </w:footnote>
  <w:footnote w:id="439">
    <w:p w:rsidR="005953C5" w:rsidRDefault="005953C5" w:rsidP="00620060">
      <w:pPr>
        <w:pStyle w:val="a3"/>
      </w:pPr>
      <w:r w:rsidRPr="00C24E68">
        <w:rPr>
          <w:rStyle w:val="a5"/>
          <w:sz w:val="18"/>
          <w:szCs w:val="18"/>
        </w:rPr>
        <w:footnoteRef/>
      </w:r>
      <w:r w:rsidRPr="00C24E68">
        <w:rPr>
          <w:sz w:val="18"/>
          <w:szCs w:val="18"/>
          <w:rtl/>
        </w:rPr>
        <w:t xml:space="preserve"> </w:t>
      </w:r>
      <w:r w:rsidRPr="00C24E68">
        <w:rPr>
          <w:rFonts w:hint="cs"/>
          <w:sz w:val="18"/>
          <w:szCs w:val="18"/>
          <w:rtl/>
        </w:rPr>
        <w:t>בדבריו שבספר</w:t>
      </w:r>
      <w:r w:rsidRPr="00C24E68">
        <w:rPr>
          <w:rFonts w:hint="cs"/>
          <w:b/>
          <w:bCs/>
          <w:sz w:val="18"/>
          <w:szCs w:val="18"/>
          <w:rtl/>
        </w:rPr>
        <w:t xml:space="preserve"> טהרת הבית </w:t>
      </w:r>
      <w:r w:rsidRPr="00C24E68">
        <w:rPr>
          <w:rFonts w:hint="cs"/>
          <w:sz w:val="18"/>
          <w:szCs w:val="18"/>
          <w:rtl/>
        </w:rPr>
        <w:t>משמע להקל טפי, אך בקיצור</w:t>
      </w:r>
      <w:r w:rsidRPr="00C24E68">
        <w:rPr>
          <w:rFonts w:hint="cs"/>
          <w:sz w:val="16"/>
          <w:szCs w:val="16"/>
          <w:rtl/>
        </w:rPr>
        <w:t xml:space="preserve"> (הנדפס בסוף הספר) </w:t>
      </w:r>
      <w:r w:rsidRPr="00C24E68">
        <w:rPr>
          <w:rFonts w:hint="cs"/>
          <w:sz w:val="18"/>
          <w:szCs w:val="18"/>
          <w:rtl/>
        </w:rPr>
        <w:t>כתב כפי שכתוב בפנים.</w:t>
      </w:r>
    </w:p>
  </w:footnote>
  <w:footnote w:id="440">
    <w:p w:rsidR="005953C5" w:rsidRDefault="005953C5" w:rsidP="00620060">
      <w:pPr>
        <w:pStyle w:val="a3"/>
        <w:rPr>
          <w:rtl/>
        </w:rPr>
      </w:pPr>
      <w:r w:rsidRPr="00F86F0F">
        <w:rPr>
          <w:rStyle w:val="a5"/>
          <w:sz w:val="18"/>
          <w:szCs w:val="18"/>
        </w:rPr>
        <w:footnoteRef/>
      </w:r>
      <w:r w:rsidRPr="00F86F0F">
        <w:rPr>
          <w:sz w:val="18"/>
          <w:szCs w:val="18"/>
          <w:rtl/>
        </w:rPr>
        <w:t xml:space="preserve"> </w:t>
      </w:r>
      <w:r w:rsidRPr="00F86F0F">
        <w:rPr>
          <w:rFonts w:hint="cs"/>
          <w:sz w:val="18"/>
          <w:szCs w:val="18"/>
          <w:rtl/>
        </w:rPr>
        <w:t xml:space="preserve">דין זה תלוי בשאלה האם הכלל 'חי נושא את עצמו' נאמר גם בתינוק קטן ביותר. עיין </w:t>
      </w:r>
      <w:r w:rsidRPr="00F9106E">
        <w:rPr>
          <w:rFonts w:hint="cs"/>
          <w:b/>
          <w:bCs/>
          <w:sz w:val="18"/>
          <w:szCs w:val="18"/>
          <w:rtl/>
        </w:rPr>
        <w:t xml:space="preserve">תוספות </w:t>
      </w:r>
      <w:r w:rsidRPr="00F86F0F">
        <w:rPr>
          <w:rFonts w:hint="cs"/>
          <w:sz w:val="18"/>
          <w:szCs w:val="18"/>
          <w:rtl/>
        </w:rPr>
        <w:t xml:space="preserve">בשבת </w:t>
      </w:r>
      <w:r w:rsidRPr="00F86F0F">
        <w:rPr>
          <w:rFonts w:hint="cs"/>
          <w:sz w:val="16"/>
          <w:szCs w:val="16"/>
          <w:rtl/>
        </w:rPr>
        <w:t xml:space="preserve">(קל. ד"ה רבי אליעזר אומר) </w:t>
      </w:r>
      <w:r w:rsidRPr="00F86F0F">
        <w:rPr>
          <w:rFonts w:hint="cs"/>
          <w:sz w:val="18"/>
          <w:szCs w:val="18"/>
          <w:rtl/>
        </w:rPr>
        <w:t xml:space="preserve">הסובר שגם בתינוק בן ח' ימים אמרינן 'חי נושא את עצמו'. ואולם </w:t>
      </w:r>
      <w:r w:rsidRPr="00F9106E">
        <w:rPr>
          <w:rFonts w:hint="cs"/>
          <w:b/>
          <w:bCs/>
          <w:sz w:val="18"/>
          <w:szCs w:val="18"/>
          <w:rtl/>
        </w:rPr>
        <w:t>הרשב"א</w:t>
      </w:r>
      <w:r w:rsidRPr="00F86F0F">
        <w:rPr>
          <w:rFonts w:hint="cs"/>
          <w:sz w:val="18"/>
          <w:szCs w:val="18"/>
          <w:rtl/>
        </w:rPr>
        <w:t xml:space="preserve"> בחידושיו כתב שכלל זה נאמר רק בתינוק גדול קצת, וע"פ זה כתב </w:t>
      </w:r>
      <w:r w:rsidRPr="00F9106E">
        <w:rPr>
          <w:rFonts w:hint="cs"/>
          <w:b/>
          <w:bCs/>
          <w:sz w:val="18"/>
          <w:szCs w:val="18"/>
          <w:rtl/>
        </w:rPr>
        <w:t>הפת"ש</w:t>
      </w:r>
      <w:r w:rsidRPr="00F86F0F">
        <w:rPr>
          <w:rFonts w:hint="cs"/>
          <w:sz w:val="18"/>
          <w:szCs w:val="18"/>
          <w:rtl/>
        </w:rPr>
        <w:t xml:space="preserve"> להחמיר.</w:t>
      </w:r>
      <w:r>
        <w:rPr>
          <w:rtl/>
        </w:rPr>
        <w:br/>
      </w:r>
      <w:r w:rsidRPr="00F9106E">
        <w:rPr>
          <w:rFonts w:hint="cs"/>
          <w:sz w:val="18"/>
          <w:szCs w:val="18"/>
          <w:rtl/>
        </w:rPr>
        <w:t xml:space="preserve">ברם, </w:t>
      </w:r>
      <w:r w:rsidRPr="00F9106E">
        <w:rPr>
          <w:rFonts w:hint="cs"/>
          <w:b/>
          <w:bCs/>
          <w:sz w:val="18"/>
          <w:szCs w:val="18"/>
          <w:rtl/>
        </w:rPr>
        <w:t>ערוך השולחן</w:t>
      </w:r>
      <w:r w:rsidRPr="00F9106E">
        <w:rPr>
          <w:rFonts w:hint="cs"/>
          <w:sz w:val="18"/>
          <w:szCs w:val="18"/>
          <w:rtl/>
        </w:rPr>
        <w:t xml:space="preserve"> מקשה על סברת </w:t>
      </w:r>
      <w:r w:rsidRPr="00F9106E">
        <w:rPr>
          <w:rFonts w:hint="cs"/>
          <w:b/>
          <w:bCs/>
          <w:sz w:val="18"/>
          <w:szCs w:val="18"/>
          <w:rtl/>
        </w:rPr>
        <w:t>התשב"ץ</w:t>
      </w:r>
      <w:r w:rsidRPr="00F9106E">
        <w:rPr>
          <w:rFonts w:hint="cs"/>
          <w:sz w:val="18"/>
          <w:szCs w:val="18"/>
          <w:rtl/>
        </w:rPr>
        <w:t xml:space="preserve"> </w:t>
      </w:r>
      <w:r w:rsidRPr="00F9106E">
        <w:rPr>
          <w:sz w:val="18"/>
          <w:szCs w:val="18"/>
          <w:rtl/>
        </w:rPr>
        <w:t>–</w:t>
      </w:r>
      <w:r w:rsidRPr="00F9106E">
        <w:rPr>
          <w:rFonts w:hint="cs"/>
          <w:sz w:val="18"/>
          <w:szCs w:val="18"/>
          <w:rtl/>
        </w:rPr>
        <w:t xml:space="preserve"> מה עניין איסורי שבת, שבהם נאמר הכלל 'חי נושא את עצמו' לדיני הרחקות בנידה? משמע שכוונתו לומר שהרי כאן חוששים שמא יגעו זה בזה, ומה מהני שהחי נושא את עצמו?</w:t>
      </w:r>
      <w:r w:rsidRPr="00F9106E">
        <w:rPr>
          <w:sz w:val="18"/>
          <w:szCs w:val="18"/>
          <w:rtl/>
        </w:rPr>
        <w:br/>
      </w:r>
      <w:r w:rsidRPr="00F9106E">
        <w:rPr>
          <w:rFonts w:hint="cs"/>
          <w:sz w:val="18"/>
          <w:szCs w:val="18"/>
          <w:rtl/>
        </w:rPr>
        <w:t xml:space="preserve">מיישב </w:t>
      </w:r>
      <w:r w:rsidRPr="00F9106E">
        <w:rPr>
          <w:rFonts w:hint="cs"/>
          <w:b/>
          <w:bCs/>
          <w:sz w:val="18"/>
          <w:szCs w:val="18"/>
          <w:rtl/>
        </w:rPr>
        <w:t>במשמרת הטהרה</w:t>
      </w:r>
      <w:r w:rsidRPr="00F9106E">
        <w:rPr>
          <w:rFonts w:hint="cs"/>
          <w:sz w:val="18"/>
          <w:szCs w:val="18"/>
          <w:rtl/>
        </w:rPr>
        <w:t xml:space="preserve"> </w:t>
      </w:r>
      <w:r w:rsidRPr="00F9106E">
        <w:rPr>
          <w:sz w:val="18"/>
          <w:szCs w:val="18"/>
          <w:rtl/>
        </w:rPr>
        <w:t>–</w:t>
      </w:r>
      <w:r w:rsidRPr="00F9106E">
        <w:rPr>
          <w:rFonts w:hint="cs"/>
          <w:sz w:val="18"/>
          <w:szCs w:val="18"/>
          <w:rtl/>
        </w:rPr>
        <w:t xml:space="preserve"> כיוון שהושטה אינה אסורה מן הדין, יש להקל בטעם כל דהו.</w:t>
      </w:r>
      <w:r w:rsidRPr="00F9106E">
        <w:rPr>
          <w:rFonts w:hint="cs"/>
          <w:sz w:val="18"/>
          <w:szCs w:val="18"/>
          <w:rtl/>
        </w:rPr>
        <w:br/>
        <w:t xml:space="preserve">עוד דחה </w:t>
      </w:r>
      <w:r w:rsidRPr="00F9106E">
        <w:rPr>
          <w:rFonts w:hint="cs"/>
          <w:b/>
          <w:bCs/>
          <w:sz w:val="18"/>
          <w:szCs w:val="18"/>
          <w:rtl/>
        </w:rPr>
        <w:t>בשבט הלוי</w:t>
      </w:r>
      <w:r w:rsidRPr="00F9106E">
        <w:rPr>
          <w:rFonts w:hint="cs"/>
          <w:sz w:val="18"/>
          <w:szCs w:val="18"/>
          <w:rtl/>
        </w:rPr>
        <w:t xml:space="preserve"> את היתרו של </w:t>
      </w:r>
      <w:r w:rsidRPr="00F9106E">
        <w:rPr>
          <w:rFonts w:hint="cs"/>
          <w:b/>
          <w:bCs/>
          <w:sz w:val="18"/>
          <w:szCs w:val="18"/>
          <w:rtl/>
        </w:rPr>
        <w:t>התשב"ץ</w:t>
      </w:r>
      <w:r w:rsidRPr="00F9106E">
        <w:rPr>
          <w:rFonts w:hint="cs"/>
          <w:sz w:val="18"/>
          <w:szCs w:val="18"/>
          <w:rtl/>
        </w:rPr>
        <w:t xml:space="preserve"> </w:t>
      </w:r>
      <w:r w:rsidRPr="00F9106E">
        <w:rPr>
          <w:sz w:val="18"/>
          <w:szCs w:val="18"/>
          <w:rtl/>
        </w:rPr>
        <w:t>–</w:t>
      </w:r>
      <w:r w:rsidRPr="00F9106E">
        <w:rPr>
          <w:rFonts w:hint="cs"/>
          <w:sz w:val="18"/>
          <w:szCs w:val="18"/>
          <w:rtl/>
        </w:rPr>
        <w:t xml:space="preserve"> </w:t>
      </w:r>
      <w:r w:rsidRPr="00F9106E">
        <w:rPr>
          <w:rFonts w:hint="cs"/>
          <w:b/>
          <w:bCs/>
          <w:sz w:val="18"/>
          <w:szCs w:val="18"/>
          <w:rtl/>
        </w:rPr>
        <w:t>התשב"ץ</w:t>
      </w:r>
      <w:r w:rsidRPr="00F9106E">
        <w:rPr>
          <w:rFonts w:hint="cs"/>
          <w:sz w:val="18"/>
          <w:szCs w:val="18"/>
          <w:rtl/>
        </w:rPr>
        <w:t xml:space="preserve"> לטעמיה אזיל שהתיר לזרוק חפץ מידו לידה, אך לדידן שאוסרים זאת, הוא הדין שהושטת תינוק אסורה.</w:t>
      </w:r>
      <w:r w:rsidRPr="00F9106E">
        <w:rPr>
          <w:sz w:val="18"/>
          <w:szCs w:val="18"/>
          <w:rtl/>
        </w:rPr>
        <w:br/>
      </w:r>
      <w:r w:rsidRPr="00F9106E">
        <w:rPr>
          <w:rFonts w:hint="cs"/>
          <w:sz w:val="18"/>
          <w:szCs w:val="18"/>
          <w:rtl/>
        </w:rPr>
        <w:t xml:space="preserve">ואמנם, </w:t>
      </w:r>
      <w:r w:rsidRPr="00F9106E">
        <w:rPr>
          <w:rFonts w:hint="cs"/>
          <w:b/>
          <w:bCs/>
          <w:sz w:val="18"/>
          <w:szCs w:val="18"/>
          <w:rtl/>
        </w:rPr>
        <w:t>במשמרת הטהרה</w:t>
      </w:r>
      <w:r w:rsidRPr="00F9106E">
        <w:rPr>
          <w:rFonts w:hint="cs"/>
          <w:sz w:val="18"/>
          <w:szCs w:val="18"/>
          <w:rtl/>
        </w:rPr>
        <w:t xml:space="preserve"> יישב את שיטת </w:t>
      </w:r>
      <w:r w:rsidRPr="00F9106E">
        <w:rPr>
          <w:rFonts w:hint="cs"/>
          <w:b/>
          <w:bCs/>
          <w:sz w:val="18"/>
          <w:szCs w:val="18"/>
          <w:rtl/>
        </w:rPr>
        <w:t xml:space="preserve">התשב"ץ </w:t>
      </w:r>
      <w:r w:rsidRPr="00F9106E">
        <w:rPr>
          <w:sz w:val="18"/>
          <w:szCs w:val="18"/>
          <w:rtl/>
        </w:rPr>
        <w:t>–</w:t>
      </w:r>
      <w:r w:rsidRPr="00F9106E">
        <w:rPr>
          <w:rFonts w:hint="cs"/>
          <w:sz w:val="18"/>
          <w:szCs w:val="18"/>
          <w:rtl/>
        </w:rPr>
        <w:t xml:space="preserve"> תינוק שאני מזריקה, בזריקה החפץ מגיע מכוחו של הזורק, אך בתינוק הוא מעצמו יוצא אל השני.</w:t>
      </w:r>
    </w:p>
  </w:footnote>
  <w:footnote w:id="441">
    <w:p w:rsidR="005953C5" w:rsidRDefault="005953C5" w:rsidP="00620060">
      <w:pPr>
        <w:pStyle w:val="a3"/>
        <w:rPr>
          <w:rtl/>
        </w:rPr>
      </w:pPr>
      <w:r w:rsidRPr="0036797C">
        <w:rPr>
          <w:rStyle w:val="a5"/>
          <w:sz w:val="18"/>
          <w:szCs w:val="18"/>
        </w:rPr>
        <w:footnoteRef/>
      </w:r>
      <w:r w:rsidRPr="0036797C">
        <w:rPr>
          <w:sz w:val="18"/>
          <w:szCs w:val="18"/>
          <w:rtl/>
        </w:rPr>
        <w:t xml:space="preserve"> </w:t>
      </w:r>
      <w:r w:rsidRPr="0036797C">
        <w:rPr>
          <w:rFonts w:hint="cs"/>
          <w:sz w:val="18"/>
          <w:szCs w:val="18"/>
          <w:rtl/>
        </w:rPr>
        <w:t xml:space="preserve">נימוקים להקל </w:t>
      </w:r>
      <w:r w:rsidRPr="0036797C">
        <w:rPr>
          <w:sz w:val="18"/>
          <w:szCs w:val="18"/>
          <w:rtl/>
        </w:rPr>
        <w:t>–</w:t>
      </w:r>
      <w:r w:rsidRPr="0036797C">
        <w:rPr>
          <w:rFonts w:hint="cs"/>
          <w:b/>
          <w:bCs/>
          <w:sz w:val="18"/>
          <w:szCs w:val="18"/>
          <w:rtl/>
        </w:rPr>
        <w:t xml:space="preserve"> הרמב"ם </w:t>
      </w:r>
      <w:r w:rsidRPr="0036797C">
        <w:rPr>
          <w:rFonts w:hint="cs"/>
          <w:sz w:val="18"/>
          <w:szCs w:val="18"/>
          <w:rtl/>
        </w:rPr>
        <w:t xml:space="preserve">ועוד ראשונים מתירים להעביר חפץ מידו לידה. ועוד, מדובר כאן על מצווה ולזמן קצר ופעם בכמה שנים ונעשה  ע"י שינוי, וכן משום שאין חשש שמא יגע בבשרה. ועוד יש להתיר משום נחת רוח לאשה </w:t>
      </w:r>
      <w:r w:rsidRPr="0036797C">
        <w:rPr>
          <w:rFonts w:hint="cs"/>
          <w:sz w:val="16"/>
          <w:szCs w:val="16"/>
          <w:rtl/>
        </w:rPr>
        <w:t>(ומצאנו סברה זו בתלמוד לעניין סמיכה על קדשים, וכן התיר תרומת הדשן לנשים להיכנס לבית הכנסת אף בעת נידותן משום נחת רוח, עיין במשמרת הטהרה שם)</w:t>
      </w:r>
      <w:r w:rsidRPr="0036797C">
        <w:rPr>
          <w:rFonts w:hint="cs"/>
          <w:sz w:val="18"/>
          <w:szCs w:val="18"/>
          <w:rtl/>
        </w:rPr>
        <w:t>.</w:t>
      </w:r>
    </w:p>
  </w:footnote>
  <w:footnote w:id="442">
    <w:p w:rsidR="005953C5" w:rsidRDefault="005953C5" w:rsidP="00620060">
      <w:pPr>
        <w:pStyle w:val="a3"/>
      </w:pPr>
      <w:r w:rsidRPr="00CD0F82">
        <w:rPr>
          <w:rStyle w:val="a5"/>
          <w:sz w:val="18"/>
          <w:szCs w:val="18"/>
        </w:rPr>
        <w:footnoteRef/>
      </w:r>
      <w:r w:rsidRPr="00CD0F82">
        <w:rPr>
          <w:sz w:val="18"/>
          <w:szCs w:val="18"/>
          <w:rtl/>
        </w:rPr>
        <w:t xml:space="preserve"> </w:t>
      </w:r>
      <w:r w:rsidRPr="00CD0F82">
        <w:rPr>
          <w:rFonts w:hint="cs"/>
          <w:sz w:val="18"/>
          <w:szCs w:val="18"/>
          <w:rtl/>
        </w:rPr>
        <w:t>ואף בשכיבה על מיטתה כתב המאירי שזו חומרה יתרה, ואם כן אין לנו להוסיף על חומרה זו.</w:t>
      </w:r>
    </w:p>
  </w:footnote>
  <w:footnote w:id="443">
    <w:p w:rsidR="005953C5" w:rsidRDefault="005953C5" w:rsidP="00620060">
      <w:pPr>
        <w:pStyle w:val="a3"/>
      </w:pPr>
      <w:r w:rsidRPr="003321D2">
        <w:rPr>
          <w:rStyle w:val="a5"/>
          <w:sz w:val="18"/>
          <w:szCs w:val="18"/>
        </w:rPr>
        <w:footnoteRef/>
      </w:r>
      <w:r w:rsidRPr="003321D2">
        <w:rPr>
          <w:sz w:val="18"/>
          <w:szCs w:val="18"/>
          <w:rtl/>
        </w:rPr>
        <w:t xml:space="preserve"> </w:t>
      </w:r>
      <w:r w:rsidRPr="003321D2">
        <w:rPr>
          <w:rFonts w:hint="cs"/>
          <w:sz w:val="18"/>
          <w:szCs w:val="18"/>
          <w:rtl/>
        </w:rPr>
        <w:t xml:space="preserve">אלו הם הראשונים שאינם סוברים כלל את האיסור </w:t>
      </w:r>
      <w:r w:rsidRPr="003321D2">
        <w:rPr>
          <w:sz w:val="18"/>
          <w:szCs w:val="18"/>
          <w:rtl/>
        </w:rPr>
        <w:t>–</w:t>
      </w:r>
      <w:r w:rsidRPr="003321D2">
        <w:rPr>
          <w:rFonts w:hint="cs"/>
          <w:sz w:val="18"/>
          <w:szCs w:val="18"/>
          <w:rtl/>
        </w:rPr>
        <w:t xml:space="preserve"> </w:t>
      </w:r>
      <w:r w:rsidRPr="003321D2">
        <w:rPr>
          <w:rFonts w:hint="cs"/>
          <w:b/>
          <w:bCs/>
          <w:sz w:val="18"/>
          <w:szCs w:val="18"/>
          <w:rtl/>
        </w:rPr>
        <w:t>רמב"ם</w:t>
      </w:r>
      <w:r w:rsidRPr="003321D2">
        <w:rPr>
          <w:rFonts w:hint="cs"/>
          <w:sz w:val="18"/>
          <w:szCs w:val="18"/>
          <w:rtl/>
        </w:rPr>
        <w:t>,</w:t>
      </w:r>
      <w:r w:rsidRPr="003321D2">
        <w:rPr>
          <w:rFonts w:hint="cs"/>
          <w:b/>
          <w:bCs/>
          <w:sz w:val="18"/>
          <w:szCs w:val="18"/>
          <w:rtl/>
        </w:rPr>
        <w:t xml:space="preserve"> יראים</w:t>
      </w:r>
      <w:r w:rsidRPr="003321D2">
        <w:rPr>
          <w:rFonts w:hint="cs"/>
          <w:sz w:val="18"/>
          <w:szCs w:val="18"/>
          <w:rtl/>
        </w:rPr>
        <w:t xml:space="preserve">, </w:t>
      </w:r>
      <w:r w:rsidRPr="003321D2">
        <w:rPr>
          <w:rFonts w:hint="cs"/>
          <w:b/>
          <w:bCs/>
          <w:sz w:val="18"/>
          <w:szCs w:val="18"/>
          <w:rtl/>
        </w:rPr>
        <w:t>מאירי</w:t>
      </w:r>
      <w:r w:rsidRPr="003321D2">
        <w:rPr>
          <w:rFonts w:hint="cs"/>
          <w:sz w:val="18"/>
          <w:szCs w:val="18"/>
          <w:rtl/>
        </w:rPr>
        <w:t xml:space="preserve">, </w:t>
      </w:r>
      <w:r w:rsidRPr="003321D2">
        <w:rPr>
          <w:rFonts w:hint="cs"/>
          <w:b/>
          <w:bCs/>
          <w:sz w:val="18"/>
          <w:szCs w:val="18"/>
          <w:rtl/>
        </w:rPr>
        <w:t>רא"ה</w:t>
      </w:r>
      <w:r w:rsidRPr="003321D2">
        <w:rPr>
          <w:rFonts w:hint="cs"/>
          <w:sz w:val="18"/>
          <w:szCs w:val="18"/>
          <w:rtl/>
        </w:rPr>
        <w:t xml:space="preserve">, </w:t>
      </w:r>
      <w:r w:rsidRPr="003321D2">
        <w:rPr>
          <w:rFonts w:hint="cs"/>
          <w:b/>
          <w:bCs/>
          <w:sz w:val="18"/>
          <w:szCs w:val="18"/>
          <w:rtl/>
        </w:rPr>
        <w:t>סמ"ג והתרומה</w:t>
      </w:r>
      <w:r w:rsidRPr="003321D2">
        <w:rPr>
          <w:rFonts w:hint="cs"/>
          <w:sz w:val="18"/>
          <w:szCs w:val="18"/>
          <w:rtl/>
        </w:rPr>
        <w:t xml:space="preserve"> (ואמנם חלקם סיימו את דבריהם בכך שהמחמיר תבוא עליו ברכה).</w:t>
      </w:r>
    </w:p>
  </w:footnote>
  <w:footnote w:id="444">
    <w:p w:rsidR="005953C5" w:rsidRDefault="005953C5" w:rsidP="00620060">
      <w:pPr>
        <w:pStyle w:val="a3"/>
      </w:pPr>
      <w:r w:rsidRPr="002855DC">
        <w:rPr>
          <w:rStyle w:val="a5"/>
          <w:sz w:val="18"/>
          <w:szCs w:val="18"/>
        </w:rPr>
        <w:footnoteRef/>
      </w:r>
      <w:r w:rsidRPr="002855DC">
        <w:rPr>
          <w:sz w:val="18"/>
          <w:szCs w:val="18"/>
          <w:rtl/>
        </w:rPr>
        <w:t xml:space="preserve"> </w:t>
      </w:r>
      <w:r w:rsidRPr="002855DC">
        <w:rPr>
          <w:rFonts w:hint="cs"/>
          <w:sz w:val="18"/>
          <w:szCs w:val="18"/>
          <w:rtl/>
        </w:rPr>
        <w:t xml:space="preserve">וסברה כעין זו מצאנו </w:t>
      </w:r>
      <w:r w:rsidRPr="002855DC">
        <w:rPr>
          <w:rFonts w:hint="cs"/>
          <w:b/>
          <w:bCs/>
          <w:sz w:val="18"/>
          <w:szCs w:val="18"/>
          <w:rtl/>
        </w:rPr>
        <w:t>בגמרא</w:t>
      </w:r>
      <w:r w:rsidRPr="002855DC">
        <w:rPr>
          <w:rFonts w:hint="cs"/>
          <w:sz w:val="18"/>
          <w:szCs w:val="18"/>
          <w:rtl/>
        </w:rPr>
        <w:t xml:space="preserve"> פסחים (יא.) לגבי חמץ: "</w:t>
      </w:r>
      <w:r w:rsidRPr="002855DC">
        <w:rPr>
          <w:rFonts w:cs="Arial"/>
          <w:sz w:val="18"/>
          <w:szCs w:val="18"/>
          <w:rtl/>
        </w:rPr>
        <w:t>הוא עצמו מחזר עליו לשורפו, מיכל קאכיל מיניה?</w:t>
      </w:r>
      <w:r w:rsidRPr="002855DC">
        <w:rPr>
          <w:rFonts w:hint="cs"/>
          <w:sz w:val="18"/>
          <w:szCs w:val="18"/>
          <w:rtl/>
        </w:rPr>
        <w:t>"</w:t>
      </w:r>
    </w:p>
  </w:footnote>
  <w:footnote w:id="445">
    <w:p w:rsidR="005953C5" w:rsidRDefault="005953C5" w:rsidP="00620060">
      <w:pPr>
        <w:pStyle w:val="a3"/>
      </w:pPr>
      <w:r w:rsidRPr="00337DE9">
        <w:rPr>
          <w:rStyle w:val="a5"/>
          <w:sz w:val="18"/>
          <w:szCs w:val="18"/>
        </w:rPr>
        <w:footnoteRef/>
      </w:r>
      <w:r w:rsidRPr="00337DE9">
        <w:rPr>
          <w:sz w:val="18"/>
          <w:szCs w:val="18"/>
          <w:rtl/>
        </w:rPr>
        <w:t xml:space="preserve"> </w:t>
      </w:r>
      <w:r w:rsidRPr="00337DE9">
        <w:rPr>
          <w:rFonts w:hint="cs"/>
          <w:sz w:val="18"/>
          <w:szCs w:val="18"/>
          <w:rtl/>
        </w:rPr>
        <w:t>האם כל דבר של חיבה אסור בימי נידותה?</w:t>
      </w:r>
      <w:r w:rsidRPr="00337DE9">
        <w:rPr>
          <w:sz w:val="18"/>
          <w:szCs w:val="18"/>
          <w:rtl/>
        </w:rPr>
        <w:br/>
      </w:r>
      <w:r w:rsidRPr="00337DE9">
        <w:rPr>
          <w:rFonts w:hint="cs"/>
          <w:b/>
          <w:bCs/>
          <w:sz w:val="18"/>
          <w:szCs w:val="18"/>
          <w:rtl/>
        </w:rPr>
        <w:t>טהרת הבית</w:t>
      </w:r>
      <w:r w:rsidRPr="00337DE9">
        <w:rPr>
          <w:rFonts w:hint="cs"/>
          <w:sz w:val="18"/>
          <w:szCs w:val="18"/>
          <w:rtl/>
        </w:rPr>
        <w:t xml:space="preserve"> כותב שרק חיבה המביאה לידי הרגל דבר אסורה, ולכן התיר לתת מתנה לאשתו בימי נידותה.</w:t>
      </w:r>
      <w:r w:rsidRPr="00337DE9">
        <w:rPr>
          <w:sz w:val="18"/>
          <w:szCs w:val="18"/>
          <w:rtl/>
        </w:rPr>
        <w:br/>
      </w:r>
      <w:r w:rsidRPr="00337DE9">
        <w:rPr>
          <w:rFonts w:hint="cs"/>
          <w:sz w:val="18"/>
          <w:szCs w:val="18"/>
          <w:rtl/>
        </w:rPr>
        <w:t xml:space="preserve">אמנם, </w:t>
      </w:r>
      <w:r w:rsidRPr="00337DE9">
        <w:rPr>
          <w:rFonts w:hint="cs"/>
          <w:b/>
          <w:bCs/>
          <w:sz w:val="18"/>
          <w:szCs w:val="18"/>
          <w:rtl/>
        </w:rPr>
        <w:t>שבט הלוי</w:t>
      </w:r>
      <w:r w:rsidRPr="00337DE9">
        <w:rPr>
          <w:rFonts w:hint="cs"/>
          <w:sz w:val="18"/>
          <w:szCs w:val="18"/>
          <w:rtl/>
        </w:rPr>
        <w:t xml:space="preserve"> כתב שמתנה המיוחדת לקירוב לבבות, כגון מתנה שנותן לה קודם יום הטבילה, פשוט שאסור. </w:t>
      </w:r>
      <w:r>
        <w:rPr>
          <w:sz w:val="18"/>
          <w:szCs w:val="18"/>
          <w:rtl/>
        </w:rPr>
        <w:br/>
      </w:r>
      <w:r w:rsidRPr="00337DE9">
        <w:rPr>
          <w:rFonts w:hint="cs"/>
          <w:sz w:val="18"/>
          <w:szCs w:val="18"/>
          <w:rtl/>
        </w:rPr>
        <w:t xml:space="preserve">אך </w:t>
      </w:r>
      <w:r w:rsidRPr="00337DE9">
        <w:rPr>
          <w:rFonts w:hint="cs"/>
          <w:b/>
          <w:bCs/>
          <w:sz w:val="18"/>
          <w:szCs w:val="18"/>
          <w:rtl/>
        </w:rPr>
        <w:t>בטה"ב</w:t>
      </w:r>
      <w:r w:rsidRPr="00337DE9">
        <w:rPr>
          <w:rFonts w:hint="cs"/>
          <w:sz w:val="18"/>
          <w:szCs w:val="18"/>
          <w:rtl/>
        </w:rPr>
        <w:t xml:space="preserve"> כתב שהכל לפי העניין ואין לקבוע בכך מסמרות.</w:t>
      </w:r>
    </w:p>
  </w:footnote>
  <w:footnote w:id="446">
    <w:p w:rsidR="005953C5" w:rsidRDefault="005953C5" w:rsidP="00620060">
      <w:pPr>
        <w:pStyle w:val="a3"/>
        <w:rPr>
          <w:rtl/>
        </w:rPr>
      </w:pPr>
      <w:r w:rsidRPr="00961E12">
        <w:rPr>
          <w:rStyle w:val="a5"/>
          <w:sz w:val="18"/>
          <w:szCs w:val="18"/>
        </w:rPr>
        <w:footnoteRef/>
      </w:r>
      <w:r w:rsidRPr="00961E12">
        <w:rPr>
          <w:sz w:val="18"/>
          <w:szCs w:val="18"/>
          <w:rtl/>
        </w:rPr>
        <w:t xml:space="preserve"> </w:t>
      </w:r>
      <w:r w:rsidRPr="00961E12">
        <w:rPr>
          <w:rFonts w:hint="cs"/>
          <w:sz w:val="18"/>
          <w:szCs w:val="18"/>
          <w:rtl/>
        </w:rPr>
        <w:t xml:space="preserve">דברי </w:t>
      </w:r>
      <w:r w:rsidRPr="00961E12">
        <w:rPr>
          <w:rFonts w:hint="cs"/>
          <w:b/>
          <w:bCs/>
          <w:sz w:val="18"/>
          <w:szCs w:val="18"/>
          <w:rtl/>
        </w:rPr>
        <w:t>הרא"ש</w:t>
      </w:r>
      <w:r w:rsidRPr="00961E12">
        <w:rPr>
          <w:rFonts w:hint="cs"/>
          <w:sz w:val="18"/>
          <w:szCs w:val="18"/>
          <w:rtl/>
        </w:rPr>
        <w:t xml:space="preserve"> טעונים ביאור - </w:t>
      </w:r>
      <w:r w:rsidRPr="00961E12">
        <w:rPr>
          <w:sz w:val="18"/>
          <w:szCs w:val="18"/>
          <w:rtl/>
        </w:rPr>
        <w:br/>
      </w:r>
      <w:r w:rsidRPr="00961E12">
        <w:rPr>
          <w:rFonts w:hint="cs"/>
          <w:sz w:val="18"/>
          <w:szCs w:val="18"/>
          <w:rtl/>
        </w:rPr>
        <w:t>מכיוון שהגזרה מעיקרא היתה רק בשולחן קטן, ומטעם חיבה, אין מקום לאסור כלל בשולחן גדול ומדוע צריך היכר?</w:t>
      </w:r>
      <w:r w:rsidRPr="00961E12">
        <w:rPr>
          <w:rFonts w:hint="cs"/>
          <w:sz w:val="18"/>
          <w:szCs w:val="18"/>
          <w:rtl/>
        </w:rPr>
        <w:br/>
        <w:t xml:space="preserve">מיישב </w:t>
      </w:r>
      <w:r w:rsidRPr="00961E12">
        <w:rPr>
          <w:rFonts w:hint="cs"/>
          <w:b/>
          <w:bCs/>
          <w:sz w:val="18"/>
          <w:szCs w:val="18"/>
          <w:rtl/>
        </w:rPr>
        <w:t>התפארת צבי</w:t>
      </w:r>
      <w:r w:rsidRPr="00961E12">
        <w:rPr>
          <w:rFonts w:hint="cs"/>
          <w:sz w:val="18"/>
          <w:szCs w:val="18"/>
          <w:rtl/>
        </w:rPr>
        <w:t xml:space="preserve"> </w:t>
      </w:r>
      <w:r w:rsidRPr="00961E12">
        <w:rPr>
          <w:sz w:val="18"/>
          <w:szCs w:val="18"/>
          <w:rtl/>
        </w:rPr>
        <w:t>–</w:t>
      </w:r>
      <w:r w:rsidRPr="00961E12">
        <w:rPr>
          <w:rFonts w:hint="cs"/>
          <w:sz w:val="18"/>
          <w:szCs w:val="18"/>
          <w:rtl/>
        </w:rPr>
        <w:t xml:space="preserve"> כוונת </w:t>
      </w:r>
      <w:r w:rsidRPr="00961E12">
        <w:rPr>
          <w:rFonts w:hint="cs"/>
          <w:b/>
          <w:bCs/>
          <w:sz w:val="18"/>
          <w:szCs w:val="18"/>
          <w:rtl/>
        </w:rPr>
        <w:t>הרא"ש</w:t>
      </w:r>
      <w:r w:rsidRPr="00961E12">
        <w:rPr>
          <w:rFonts w:hint="cs"/>
          <w:sz w:val="18"/>
          <w:szCs w:val="18"/>
          <w:rtl/>
        </w:rPr>
        <w:t xml:space="preserve"> היא להקל דווקא כשאוכלים רבים על השולחן, בכה"ג אין חיבה בין הבעל לאשתו, אך אם סועד עמה על שולחן אחד והם לבדם, אפילו בשולחן גדול יש חיבה, ולכן היכר הוא מעיקר הדין.</w:t>
      </w:r>
    </w:p>
  </w:footnote>
  <w:footnote w:id="447">
    <w:p w:rsidR="005953C5" w:rsidRDefault="005953C5" w:rsidP="00620060">
      <w:pPr>
        <w:pStyle w:val="a3"/>
      </w:pPr>
      <w:r w:rsidRPr="00D21C50">
        <w:rPr>
          <w:rStyle w:val="a5"/>
          <w:sz w:val="18"/>
          <w:szCs w:val="18"/>
        </w:rPr>
        <w:footnoteRef/>
      </w:r>
      <w:r w:rsidRPr="00D21C50">
        <w:rPr>
          <w:sz w:val="18"/>
          <w:szCs w:val="18"/>
          <w:rtl/>
        </w:rPr>
        <w:t xml:space="preserve"> </w:t>
      </w:r>
      <w:r w:rsidRPr="00D21C50">
        <w:rPr>
          <w:rFonts w:hint="cs"/>
          <w:sz w:val="18"/>
          <w:szCs w:val="18"/>
          <w:rtl/>
        </w:rPr>
        <w:t xml:space="preserve">כך כתבו </w:t>
      </w:r>
      <w:r w:rsidRPr="00D21C50">
        <w:rPr>
          <w:rFonts w:hint="cs"/>
          <w:b/>
          <w:bCs/>
          <w:sz w:val="18"/>
          <w:szCs w:val="18"/>
          <w:rtl/>
        </w:rPr>
        <w:t>בטהרת הבית</w:t>
      </w:r>
      <w:r w:rsidRPr="00D21C50">
        <w:rPr>
          <w:rFonts w:hint="cs"/>
          <w:sz w:val="18"/>
          <w:szCs w:val="18"/>
          <w:rtl/>
        </w:rPr>
        <w:t xml:space="preserve"> עמ' קכד בהערה בשם הגרע"י. טעמו להקל, הוא ע"פ סברת הרמב"ם והרא"ש.</w:t>
      </w:r>
    </w:p>
  </w:footnote>
  <w:footnote w:id="448">
    <w:p w:rsidR="005953C5" w:rsidRDefault="005953C5" w:rsidP="00620060">
      <w:pPr>
        <w:pStyle w:val="a3"/>
      </w:pPr>
      <w:r w:rsidRPr="00E44996">
        <w:rPr>
          <w:rStyle w:val="a5"/>
          <w:sz w:val="18"/>
          <w:szCs w:val="18"/>
        </w:rPr>
        <w:footnoteRef/>
      </w:r>
      <w:r w:rsidRPr="00E44996">
        <w:rPr>
          <w:sz w:val="18"/>
          <w:szCs w:val="18"/>
          <w:rtl/>
        </w:rPr>
        <w:t xml:space="preserve"> </w:t>
      </w:r>
      <w:r w:rsidRPr="00E44996">
        <w:rPr>
          <w:rFonts w:hint="cs"/>
          <w:b/>
          <w:bCs/>
          <w:sz w:val="18"/>
          <w:szCs w:val="18"/>
          <w:rtl/>
        </w:rPr>
        <w:t>בטהרת הבית</w:t>
      </w:r>
      <w:r w:rsidRPr="00E44996">
        <w:rPr>
          <w:rFonts w:hint="cs"/>
          <w:sz w:val="18"/>
          <w:szCs w:val="18"/>
          <w:rtl/>
        </w:rPr>
        <w:t xml:space="preserve"> העיר</w:t>
      </w:r>
      <w:r>
        <w:rPr>
          <w:rFonts w:hint="cs"/>
          <w:sz w:val="18"/>
          <w:szCs w:val="18"/>
          <w:rtl/>
        </w:rPr>
        <w:t xml:space="preserve"> </w:t>
      </w:r>
      <w:r w:rsidRPr="00E44996">
        <w:rPr>
          <w:sz w:val="18"/>
          <w:szCs w:val="18"/>
          <w:rtl/>
        </w:rPr>
        <w:t>–</w:t>
      </w:r>
      <w:r w:rsidRPr="00E44996">
        <w:rPr>
          <w:rFonts w:hint="cs"/>
          <w:sz w:val="18"/>
          <w:szCs w:val="18"/>
          <w:rtl/>
        </w:rPr>
        <w:t xml:space="preserve"> "ואצלינו לא מצוי שיאכלו האיש והאשה בקערה אחת אפילו בזמן טהרתה, ולכן אין להאריך בזה". </w:t>
      </w:r>
    </w:p>
  </w:footnote>
  <w:footnote w:id="449">
    <w:p w:rsidR="005953C5" w:rsidRDefault="005953C5" w:rsidP="00620060">
      <w:pPr>
        <w:pStyle w:val="a3"/>
      </w:pPr>
      <w:r w:rsidRPr="00020E03">
        <w:rPr>
          <w:rStyle w:val="a5"/>
          <w:sz w:val="18"/>
          <w:szCs w:val="18"/>
        </w:rPr>
        <w:footnoteRef/>
      </w:r>
      <w:r w:rsidRPr="00020E03">
        <w:rPr>
          <w:sz w:val="18"/>
          <w:szCs w:val="18"/>
          <w:rtl/>
        </w:rPr>
        <w:t xml:space="preserve"> </w:t>
      </w:r>
      <w:r w:rsidRPr="00020E03">
        <w:rPr>
          <w:rFonts w:hint="cs"/>
          <w:sz w:val="18"/>
          <w:szCs w:val="18"/>
          <w:rtl/>
        </w:rPr>
        <w:t xml:space="preserve">עיין בסמוך </w:t>
      </w:r>
      <w:r w:rsidRPr="00020E03">
        <w:rPr>
          <w:rFonts w:hint="cs"/>
          <w:b/>
          <w:bCs/>
          <w:sz w:val="18"/>
          <w:szCs w:val="18"/>
          <w:rtl/>
        </w:rPr>
        <w:t>שהפת"ש</w:t>
      </w:r>
      <w:r w:rsidRPr="00020E03">
        <w:rPr>
          <w:rFonts w:hint="cs"/>
          <w:sz w:val="18"/>
          <w:szCs w:val="18"/>
          <w:rtl/>
        </w:rPr>
        <w:t xml:space="preserve"> דוחה את דברי </w:t>
      </w:r>
      <w:r w:rsidRPr="00020E03">
        <w:rPr>
          <w:rFonts w:hint="cs"/>
          <w:b/>
          <w:bCs/>
          <w:sz w:val="18"/>
          <w:szCs w:val="18"/>
          <w:rtl/>
        </w:rPr>
        <w:t>המ"ב</w:t>
      </w:r>
      <w:r w:rsidRPr="00020E03">
        <w:rPr>
          <w:rFonts w:hint="cs"/>
          <w:sz w:val="18"/>
          <w:szCs w:val="18"/>
          <w:rtl/>
        </w:rPr>
        <w:t xml:space="preserve"> משום שאי אפשר להיזהר בכך שיאכל הוא לאחר אשתו ללא שאדם אחר מפסיק ביניהם. ואולם, </w:t>
      </w:r>
      <w:r w:rsidRPr="00020E03">
        <w:rPr>
          <w:rFonts w:hint="cs"/>
          <w:b/>
          <w:bCs/>
          <w:sz w:val="18"/>
          <w:szCs w:val="18"/>
          <w:rtl/>
        </w:rPr>
        <w:t>טה"ב</w:t>
      </w:r>
      <w:r w:rsidRPr="00020E03">
        <w:rPr>
          <w:rFonts w:hint="cs"/>
          <w:sz w:val="18"/>
          <w:szCs w:val="18"/>
          <w:rtl/>
        </w:rPr>
        <w:t xml:space="preserve"> </w:t>
      </w:r>
      <w:r>
        <w:rPr>
          <w:rFonts w:hint="cs"/>
          <w:sz w:val="18"/>
          <w:szCs w:val="18"/>
          <w:rtl/>
        </w:rPr>
        <w:t xml:space="preserve">(עמ' קכא) </w:t>
      </w:r>
      <w:r w:rsidRPr="00020E03">
        <w:rPr>
          <w:rFonts w:hint="cs"/>
          <w:sz w:val="18"/>
          <w:szCs w:val="18"/>
          <w:rtl/>
        </w:rPr>
        <w:t xml:space="preserve">מיישב שהאיסור לאכול משיירי מאכל אשתו נאמר רק כשהמאכל מיוחד לה, משא"כ כאן שאינו מיוחד לה אלא הוא מיועד לכל בני הבית ס"ל </w:t>
      </w:r>
      <w:r w:rsidRPr="00020E03">
        <w:rPr>
          <w:rFonts w:hint="cs"/>
          <w:b/>
          <w:bCs/>
          <w:sz w:val="18"/>
          <w:szCs w:val="18"/>
          <w:rtl/>
        </w:rPr>
        <w:t>למ"ב</w:t>
      </w:r>
      <w:r w:rsidRPr="00020E03">
        <w:rPr>
          <w:rFonts w:hint="cs"/>
          <w:sz w:val="18"/>
          <w:szCs w:val="18"/>
          <w:rtl/>
        </w:rPr>
        <w:t xml:space="preserve"> שמותר.</w:t>
      </w:r>
      <w:r w:rsidRPr="00020E03">
        <w:rPr>
          <w:sz w:val="18"/>
          <w:szCs w:val="18"/>
          <w:rtl/>
        </w:rPr>
        <w:br/>
      </w:r>
      <w:r w:rsidRPr="00020E03">
        <w:rPr>
          <w:rFonts w:hint="cs"/>
          <w:sz w:val="18"/>
          <w:szCs w:val="18"/>
          <w:rtl/>
        </w:rPr>
        <w:t>ואמנם, לעצם הדין, טה"ב מביא שהספרדים לא קיבלו חומרה זו של אכילת שיירי מאכל אשתו, ולכן כאשר סועדים עם בני הבית מותר להם לאכול מקערה אחת.</w:t>
      </w:r>
    </w:p>
  </w:footnote>
  <w:footnote w:id="450">
    <w:p w:rsidR="005953C5" w:rsidRDefault="005953C5" w:rsidP="00620060">
      <w:pPr>
        <w:pStyle w:val="a3"/>
      </w:pPr>
      <w:r w:rsidRPr="00776413">
        <w:rPr>
          <w:rStyle w:val="a5"/>
          <w:sz w:val="18"/>
          <w:szCs w:val="18"/>
        </w:rPr>
        <w:footnoteRef/>
      </w:r>
      <w:r w:rsidRPr="00776413">
        <w:rPr>
          <w:sz w:val="18"/>
          <w:szCs w:val="18"/>
          <w:rtl/>
        </w:rPr>
        <w:t xml:space="preserve"> </w:t>
      </w:r>
      <w:r w:rsidRPr="00776413">
        <w:rPr>
          <w:rFonts w:hint="cs"/>
          <w:b/>
          <w:bCs/>
          <w:sz w:val="18"/>
          <w:szCs w:val="18"/>
          <w:rtl/>
        </w:rPr>
        <w:t>טהרת הבית</w:t>
      </w:r>
      <w:r w:rsidRPr="00776413">
        <w:rPr>
          <w:rFonts w:hint="cs"/>
          <w:sz w:val="18"/>
          <w:szCs w:val="18"/>
          <w:rtl/>
        </w:rPr>
        <w:t xml:space="preserve"> </w:t>
      </w:r>
      <w:r w:rsidRPr="00776413">
        <w:rPr>
          <w:rFonts w:hint="cs"/>
          <w:sz w:val="16"/>
          <w:szCs w:val="16"/>
          <w:rtl/>
        </w:rPr>
        <w:t>(עמ' קיג)</w:t>
      </w:r>
      <w:r w:rsidRPr="00776413">
        <w:rPr>
          <w:sz w:val="18"/>
          <w:szCs w:val="18"/>
          <w:rtl/>
        </w:rPr>
        <w:t>–</w:t>
      </w:r>
      <w:r w:rsidRPr="00776413">
        <w:rPr>
          <w:rFonts w:hint="cs"/>
          <w:sz w:val="18"/>
          <w:szCs w:val="18"/>
          <w:rtl/>
        </w:rPr>
        <w:t xml:space="preserve"> יש להקל ללא שום היכר כאשר סועדים איתם אנשים נוספים.</w:t>
      </w:r>
      <w:r w:rsidRPr="00776413">
        <w:rPr>
          <w:sz w:val="18"/>
          <w:szCs w:val="18"/>
          <w:rtl/>
        </w:rPr>
        <w:br/>
      </w:r>
      <w:r w:rsidRPr="00776413">
        <w:rPr>
          <w:rFonts w:hint="cs"/>
          <w:sz w:val="18"/>
          <w:szCs w:val="18"/>
          <w:rtl/>
        </w:rPr>
        <w:t xml:space="preserve">וביאר </w:t>
      </w:r>
      <w:r w:rsidRPr="00776413">
        <w:rPr>
          <w:rFonts w:hint="cs"/>
          <w:b/>
          <w:bCs/>
          <w:sz w:val="18"/>
          <w:szCs w:val="18"/>
          <w:rtl/>
        </w:rPr>
        <w:t>במשמרת הטהרה</w:t>
      </w:r>
      <w:r w:rsidRPr="00776413">
        <w:rPr>
          <w:rFonts w:hint="cs"/>
          <w:sz w:val="18"/>
          <w:szCs w:val="18"/>
          <w:rtl/>
        </w:rPr>
        <w:t xml:space="preserve"> </w:t>
      </w:r>
      <w:r w:rsidRPr="00776413">
        <w:rPr>
          <w:rFonts w:hint="cs"/>
          <w:sz w:val="16"/>
          <w:szCs w:val="16"/>
          <w:rtl/>
        </w:rPr>
        <w:t xml:space="preserve">(עמ' קיט) </w:t>
      </w:r>
      <w:r w:rsidRPr="00776413">
        <w:rPr>
          <w:rFonts w:hint="cs"/>
          <w:sz w:val="18"/>
          <w:szCs w:val="18"/>
          <w:rtl/>
        </w:rPr>
        <w:t xml:space="preserve">שנחלקו הראשונים בדין זה, עיי"ש. </w:t>
      </w:r>
      <w:r>
        <w:rPr>
          <w:sz w:val="18"/>
          <w:szCs w:val="18"/>
          <w:rtl/>
        </w:rPr>
        <w:br/>
      </w:r>
      <w:r w:rsidRPr="00776413">
        <w:rPr>
          <w:rFonts w:hint="cs"/>
          <w:sz w:val="18"/>
          <w:szCs w:val="18"/>
          <w:rtl/>
        </w:rPr>
        <w:t xml:space="preserve">ומכל מקום סיים להקל, משום שיש לצרף את סברת </w:t>
      </w:r>
      <w:r w:rsidRPr="00776413">
        <w:rPr>
          <w:rFonts w:hint="cs"/>
          <w:b/>
          <w:bCs/>
          <w:sz w:val="18"/>
          <w:szCs w:val="18"/>
          <w:rtl/>
        </w:rPr>
        <w:t>הרמב"ם</w:t>
      </w:r>
      <w:r>
        <w:rPr>
          <w:rFonts w:hint="cs"/>
          <w:sz w:val="18"/>
          <w:szCs w:val="18"/>
          <w:rtl/>
        </w:rPr>
        <w:t xml:space="preserve"> הסובר שהאיסור נאמר </w:t>
      </w:r>
      <w:r w:rsidRPr="00776413">
        <w:rPr>
          <w:rFonts w:hint="cs"/>
          <w:sz w:val="18"/>
          <w:szCs w:val="18"/>
          <w:rtl/>
        </w:rPr>
        <w:t xml:space="preserve">רק באכילה </w:t>
      </w:r>
      <w:r w:rsidRPr="00776413">
        <w:rPr>
          <w:rFonts w:hint="cs"/>
          <w:sz w:val="18"/>
          <w:szCs w:val="18"/>
          <w:u w:val="single"/>
          <w:rtl/>
        </w:rPr>
        <w:t>מקערה אחת</w:t>
      </w:r>
      <w:r w:rsidRPr="00776413">
        <w:rPr>
          <w:rFonts w:hint="cs"/>
          <w:sz w:val="18"/>
          <w:szCs w:val="18"/>
          <w:rtl/>
        </w:rPr>
        <w:t xml:space="preserve">, וכן יש לצרף את סברת </w:t>
      </w:r>
      <w:r w:rsidRPr="00776413">
        <w:rPr>
          <w:rFonts w:hint="cs"/>
          <w:b/>
          <w:bCs/>
          <w:sz w:val="18"/>
          <w:szCs w:val="18"/>
          <w:rtl/>
        </w:rPr>
        <w:t>הרא"ש</w:t>
      </w:r>
      <w:r w:rsidRPr="00776413">
        <w:rPr>
          <w:rFonts w:hint="cs"/>
          <w:sz w:val="18"/>
          <w:szCs w:val="18"/>
          <w:rtl/>
        </w:rPr>
        <w:t xml:space="preserve"> שהאיסור נאמר דווקא בשולחן קטן, אך בשולחן גדול מותר.</w:t>
      </w:r>
    </w:p>
  </w:footnote>
  <w:footnote w:id="451">
    <w:p w:rsidR="005953C5" w:rsidRDefault="005953C5" w:rsidP="00620060">
      <w:pPr>
        <w:pStyle w:val="a3"/>
        <w:rPr>
          <w:rtl/>
        </w:rPr>
      </w:pPr>
      <w:r w:rsidRPr="00CD784E">
        <w:rPr>
          <w:rStyle w:val="a5"/>
          <w:sz w:val="18"/>
          <w:szCs w:val="18"/>
        </w:rPr>
        <w:footnoteRef/>
      </w:r>
      <w:r w:rsidRPr="00CD784E">
        <w:rPr>
          <w:sz w:val="18"/>
          <w:szCs w:val="18"/>
          <w:rtl/>
        </w:rPr>
        <w:t xml:space="preserve"> </w:t>
      </w:r>
      <w:r w:rsidRPr="00CD784E">
        <w:rPr>
          <w:rFonts w:hint="cs"/>
          <w:sz w:val="18"/>
          <w:szCs w:val="18"/>
          <w:rtl/>
        </w:rPr>
        <w:t xml:space="preserve">אמנם, </w:t>
      </w:r>
      <w:r w:rsidRPr="00CD784E">
        <w:rPr>
          <w:rFonts w:hint="cs"/>
          <w:b/>
          <w:bCs/>
          <w:sz w:val="18"/>
          <w:szCs w:val="18"/>
          <w:rtl/>
        </w:rPr>
        <w:t>הסד"ט</w:t>
      </w:r>
      <w:r w:rsidRPr="00CD784E">
        <w:rPr>
          <w:rFonts w:hint="cs"/>
          <w:sz w:val="18"/>
          <w:szCs w:val="18"/>
          <w:rtl/>
        </w:rPr>
        <w:t xml:space="preserve"> השיג על הש"ך וכתב </w:t>
      </w:r>
      <w:r w:rsidRPr="00CD784E">
        <w:rPr>
          <w:rFonts w:hint="cs"/>
          <w:b/>
          <w:bCs/>
          <w:sz w:val="18"/>
          <w:szCs w:val="18"/>
          <w:rtl/>
        </w:rPr>
        <w:t>שהרמ"א</w:t>
      </w:r>
      <w:r w:rsidRPr="00CD784E">
        <w:rPr>
          <w:rFonts w:hint="cs"/>
          <w:sz w:val="18"/>
          <w:szCs w:val="18"/>
          <w:rtl/>
        </w:rPr>
        <w:t xml:space="preserve"> כתב דין בשם יש אומרים משום שדין אכילה קל מדין שתייה, כמבואר בהערה הבאה.</w:t>
      </w:r>
    </w:p>
  </w:footnote>
  <w:footnote w:id="452">
    <w:p w:rsidR="005953C5" w:rsidRDefault="005953C5" w:rsidP="00620060">
      <w:pPr>
        <w:pStyle w:val="a3"/>
      </w:pPr>
      <w:r w:rsidRPr="00CD784E">
        <w:rPr>
          <w:rStyle w:val="a5"/>
          <w:sz w:val="18"/>
          <w:szCs w:val="18"/>
        </w:rPr>
        <w:footnoteRef/>
      </w:r>
      <w:r w:rsidRPr="00CD784E">
        <w:rPr>
          <w:sz w:val="18"/>
          <w:szCs w:val="18"/>
          <w:rtl/>
        </w:rPr>
        <w:t xml:space="preserve"> </w:t>
      </w:r>
      <w:r w:rsidRPr="00CD784E">
        <w:rPr>
          <w:rFonts w:hint="cs"/>
          <w:sz w:val="18"/>
          <w:szCs w:val="18"/>
          <w:rtl/>
        </w:rPr>
        <w:t>ומאי שנא שיורי מאכל משיורי הכוס?</w:t>
      </w:r>
      <w:r w:rsidRPr="00CD784E">
        <w:rPr>
          <w:rFonts w:hint="cs"/>
          <w:sz w:val="18"/>
          <w:szCs w:val="18"/>
          <w:rtl/>
        </w:rPr>
        <w:br/>
      </w:r>
      <w:r w:rsidRPr="00CD784E">
        <w:rPr>
          <w:rFonts w:hint="cs"/>
          <w:b/>
          <w:bCs/>
          <w:sz w:val="18"/>
          <w:szCs w:val="18"/>
          <w:rtl/>
        </w:rPr>
        <w:t>סדרי טהרה</w:t>
      </w:r>
      <w:r w:rsidRPr="00CD784E">
        <w:rPr>
          <w:rFonts w:hint="cs"/>
          <w:sz w:val="18"/>
          <w:szCs w:val="18"/>
          <w:rtl/>
        </w:rPr>
        <w:t xml:space="preserve"> </w:t>
      </w:r>
      <w:r w:rsidRPr="00CD784E">
        <w:rPr>
          <w:sz w:val="18"/>
          <w:szCs w:val="18"/>
          <w:rtl/>
        </w:rPr>
        <w:t>–</w:t>
      </w:r>
      <w:r w:rsidRPr="00CD784E">
        <w:rPr>
          <w:rFonts w:hint="cs"/>
          <w:sz w:val="18"/>
          <w:szCs w:val="18"/>
          <w:rtl/>
        </w:rPr>
        <w:t xml:space="preserve"> באכילה אפשר לאכול יחד, ומכיוון שאינם אוכלים יחד אין כל כך חיבה ומותר. מה שאין כן בשתייה שאי אפשר לשתות כאחד, ולכן גם בשתייה של אחד אחרי השני יש חיבה </w:t>
      </w:r>
      <w:r>
        <w:rPr>
          <w:rFonts w:hint="cs"/>
          <w:sz w:val="18"/>
          <w:szCs w:val="18"/>
          <w:rtl/>
        </w:rPr>
        <w:t>ו</w:t>
      </w:r>
      <w:r w:rsidRPr="00CD784E">
        <w:rPr>
          <w:rFonts w:hint="cs"/>
          <w:sz w:val="18"/>
          <w:szCs w:val="18"/>
          <w:rtl/>
        </w:rPr>
        <w:t>אסור.</w:t>
      </w:r>
      <w:r>
        <w:rPr>
          <w:rtl/>
        </w:rPr>
        <w:br/>
      </w:r>
      <w:r w:rsidRPr="00CD784E">
        <w:rPr>
          <w:rFonts w:hint="cs"/>
          <w:sz w:val="18"/>
          <w:szCs w:val="18"/>
          <w:rtl/>
        </w:rPr>
        <w:t xml:space="preserve">ועוד </w:t>
      </w:r>
      <w:r w:rsidRPr="00CD784E">
        <w:rPr>
          <w:sz w:val="18"/>
          <w:szCs w:val="18"/>
          <w:rtl/>
        </w:rPr>
        <w:t>–</w:t>
      </w:r>
      <w:r w:rsidRPr="00CD784E">
        <w:rPr>
          <w:rFonts w:hint="cs"/>
          <w:sz w:val="18"/>
          <w:szCs w:val="18"/>
          <w:rtl/>
        </w:rPr>
        <w:t xml:space="preserve"> אין דרך העולם שאחד שותה משיורי כוס חברו, ולכן בשתייתם יש חיבה, משא"כ באכילה שיש אוכלים משיורי מאכל חברם ולכן אין בכך חיבה.</w:t>
      </w:r>
    </w:p>
  </w:footnote>
  <w:footnote w:id="453">
    <w:p w:rsidR="005953C5" w:rsidRDefault="005953C5" w:rsidP="00620060">
      <w:pPr>
        <w:pStyle w:val="a3"/>
        <w:rPr>
          <w:rtl/>
        </w:rPr>
      </w:pPr>
      <w:r w:rsidRPr="00781337">
        <w:rPr>
          <w:rStyle w:val="a5"/>
          <w:sz w:val="18"/>
          <w:szCs w:val="18"/>
        </w:rPr>
        <w:footnoteRef/>
      </w:r>
      <w:r w:rsidRPr="00781337">
        <w:rPr>
          <w:sz w:val="18"/>
          <w:szCs w:val="18"/>
          <w:rtl/>
        </w:rPr>
        <w:t xml:space="preserve"> </w:t>
      </w:r>
      <w:r w:rsidRPr="00DD3BE0">
        <w:rPr>
          <w:rFonts w:hint="cs"/>
          <w:b/>
          <w:bCs/>
          <w:sz w:val="18"/>
          <w:szCs w:val="18"/>
          <w:rtl/>
        </w:rPr>
        <w:t>טהרת הבית</w:t>
      </w:r>
      <w:r w:rsidRPr="00781337">
        <w:rPr>
          <w:rFonts w:hint="cs"/>
          <w:sz w:val="18"/>
          <w:szCs w:val="18"/>
          <w:rtl/>
        </w:rPr>
        <w:t xml:space="preserve"> </w:t>
      </w:r>
      <w:r w:rsidRPr="00781337">
        <w:rPr>
          <w:rFonts w:hint="cs"/>
          <w:sz w:val="16"/>
          <w:szCs w:val="16"/>
          <w:rtl/>
        </w:rPr>
        <w:t>(עמ' קכה, הערה 48)</w:t>
      </w:r>
      <w:r w:rsidRPr="00781337">
        <w:rPr>
          <w:rFonts w:hint="cs"/>
          <w:sz w:val="18"/>
          <w:szCs w:val="18"/>
          <w:rtl/>
        </w:rPr>
        <w:t xml:space="preserve"> מסייג היתר זה ואומר שהוא נאמר רק במאכל, אך במשקה אין נראה להתיר לשתות לאחר שאשתו נידה טעמה מהכוס. טעם החילוק הוא, מפני שאכילה אינה ישירות מהקדרה אלא ע"י כף או צלחת המפסיקות, אך טעימת הכוס של שניהם הוי מאותה הכוס ולכן חמור טפי ואסור.</w:t>
      </w:r>
    </w:p>
  </w:footnote>
  <w:footnote w:id="454">
    <w:p w:rsidR="005953C5" w:rsidRDefault="005953C5" w:rsidP="00620060">
      <w:pPr>
        <w:pStyle w:val="a3"/>
      </w:pPr>
      <w:r w:rsidRPr="00D749B2">
        <w:rPr>
          <w:rStyle w:val="a5"/>
          <w:sz w:val="18"/>
          <w:szCs w:val="18"/>
        </w:rPr>
        <w:footnoteRef/>
      </w:r>
      <w:r w:rsidRPr="00D749B2">
        <w:rPr>
          <w:sz w:val="18"/>
          <w:szCs w:val="18"/>
          <w:rtl/>
        </w:rPr>
        <w:t xml:space="preserve"> </w:t>
      </w:r>
      <w:r w:rsidRPr="00D749B2">
        <w:rPr>
          <w:rFonts w:hint="cs"/>
          <w:b/>
          <w:bCs/>
          <w:sz w:val="18"/>
          <w:szCs w:val="18"/>
          <w:rtl/>
        </w:rPr>
        <w:t>הסמ"ק</w:t>
      </w:r>
      <w:r w:rsidRPr="00D749B2">
        <w:rPr>
          <w:rFonts w:hint="cs"/>
          <w:sz w:val="18"/>
          <w:szCs w:val="18"/>
          <w:rtl/>
        </w:rPr>
        <w:t xml:space="preserve"> כתב זאת בפירוש, אך </w:t>
      </w:r>
      <w:r w:rsidRPr="00D749B2">
        <w:rPr>
          <w:rFonts w:hint="cs"/>
          <w:b/>
          <w:bCs/>
          <w:sz w:val="18"/>
          <w:szCs w:val="18"/>
          <w:rtl/>
        </w:rPr>
        <w:t>הבית יוסף</w:t>
      </w:r>
      <w:r w:rsidRPr="00D749B2">
        <w:rPr>
          <w:rFonts w:hint="cs"/>
          <w:sz w:val="18"/>
          <w:szCs w:val="18"/>
          <w:rtl/>
        </w:rPr>
        <w:t xml:space="preserve"> מעיר שכך נראה גם מדברי </w:t>
      </w:r>
      <w:r w:rsidRPr="00D749B2">
        <w:rPr>
          <w:rFonts w:hint="cs"/>
          <w:b/>
          <w:bCs/>
          <w:sz w:val="18"/>
          <w:szCs w:val="18"/>
          <w:rtl/>
        </w:rPr>
        <w:t>הרמב"ם</w:t>
      </w:r>
      <w:r w:rsidRPr="00D749B2">
        <w:rPr>
          <w:rFonts w:hint="cs"/>
          <w:sz w:val="18"/>
          <w:szCs w:val="18"/>
          <w:rtl/>
        </w:rPr>
        <w:t xml:space="preserve">, </w:t>
      </w:r>
      <w:r w:rsidRPr="00D749B2">
        <w:rPr>
          <w:rFonts w:hint="cs"/>
          <w:b/>
          <w:bCs/>
          <w:sz w:val="18"/>
          <w:szCs w:val="18"/>
          <w:rtl/>
        </w:rPr>
        <w:t>רא"ש</w:t>
      </w:r>
      <w:r w:rsidRPr="00D749B2">
        <w:rPr>
          <w:rFonts w:hint="cs"/>
          <w:sz w:val="18"/>
          <w:szCs w:val="18"/>
          <w:rtl/>
        </w:rPr>
        <w:t xml:space="preserve">, </w:t>
      </w:r>
      <w:r w:rsidRPr="00D749B2">
        <w:rPr>
          <w:rFonts w:hint="cs"/>
          <w:b/>
          <w:bCs/>
          <w:sz w:val="18"/>
          <w:szCs w:val="18"/>
          <w:rtl/>
        </w:rPr>
        <w:t>רשב"א</w:t>
      </w:r>
      <w:r w:rsidRPr="00D749B2">
        <w:rPr>
          <w:rFonts w:hint="cs"/>
          <w:sz w:val="18"/>
          <w:szCs w:val="18"/>
          <w:rtl/>
        </w:rPr>
        <w:t xml:space="preserve">, </w:t>
      </w:r>
      <w:r w:rsidRPr="00D749B2">
        <w:rPr>
          <w:rFonts w:hint="cs"/>
          <w:b/>
          <w:bCs/>
          <w:sz w:val="18"/>
          <w:szCs w:val="18"/>
          <w:rtl/>
        </w:rPr>
        <w:t>רבינו ירוחם</w:t>
      </w:r>
      <w:r w:rsidRPr="00D749B2">
        <w:rPr>
          <w:rFonts w:hint="cs"/>
          <w:sz w:val="18"/>
          <w:szCs w:val="18"/>
          <w:rtl/>
        </w:rPr>
        <w:t xml:space="preserve"> ועוד ראשונים שלא הזכירו איסור זה.</w:t>
      </w:r>
    </w:p>
  </w:footnote>
  <w:footnote w:id="455">
    <w:p w:rsidR="005953C5" w:rsidRDefault="005953C5" w:rsidP="00620060">
      <w:pPr>
        <w:pStyle w:val="a3"/>
        <w:rPr>
          <w:rtl/>
        </w:rPr>
      </w:pPr>
      <w:r w:rsidRPr="00CF1E41">
        <w:rPr>
          <w:rStyle w:val="a5"/>
          <w:sz w:val="18"/>
          <w:szCs w:val="18"/>
        </w:rPr>
        <w:footnoteRef/>
      </w:r>
      <w:r w:rsidRPr="00CF1E41">
        <w:rPr>
          <w:sz w:val="18"/>
          <w:szCs w:val="18"/>
          <w:rtl/>
        </w:rPr>
        <w:t xml:space="preserve"> </w:t>
      </w:r>
      <w:r w:rsidRPr="00CF1E41">
        <w:rPr>
          <w:rFonts w:hint="cs"/>
          <w:b/>
          <w:bCs/>
          <w:sz w:val="18"/>
          <w:szCs w:val="18"/>
          <w:rtl/>
        </w:rPr>
        <w:t>ערוך השולחן</w:t>
      </w:r>
      <w:r w:rsidRPr="00CF1E41">
        <w:rPr>
          <w:rFonts w:hint="cs"/>
          <w:sz w:val="18"/>
          <w:szCs w:val="18"/>
          <w:rtl/>
        </w:rPr>
        <w:t xml:space="preserve"> </w:t>
      </w:r>
      <w:r w:rsidRPr="00CF1E41">
        <w:rPr>
          <w:sz w:val="18"/>
          <w:szCs w:val="18"/>
          <w:rtl/>
        </w:rPr>
        <w:t>–</w:t>
      </w:r>
      <w:r w:rsidRPr="00CF1E41">
        <w:rPr>
          <w:rFonts w:hint="cs"/>
          <w:sz w:val="18"/>
          <w:szCs w:val="18"/>
          <w:rtl/>
        </w:rPr>
        <w:t xml:space="preserve"> דברי </w:t>
      </w:r>
      <w:r w:rsidRPr="00CF1E41">
        <w:rPr>
          <w:rFonts w:hint="cs"/>
          <w:b/>
          <w:bCs/>
          <w:sz w:val="18"/>
          <w:szCs w:val="18"/>
          <w:rtl/>
        </w:rPr>
        <w:t>הרמ"א</w:t>
      </w:r>
      <w:r w:rsidRPr="00CF1E41">
        <w:rPr>
          <w:rFonts w:hint="cs"/>
          <w:sz w:val="18"/>
          <w:szCs w:val="18"/>
          <w:rtl/>
        </w:rPr>
        <w:t xml:space="preserve"> תמוהים, שהרי מכל מקום יש חשש שמא ע"י כך שהיא שותה מהכוס ומראה לו חיבה בכך, הוא ירגיל אותה לעבירה! וצריך לומר שרק כאשר הוא שותה אחריה יש בכך חיבה, אך כשהיא שותה אחריו אין בכך חיבה.</w:t>
      </w:r>
    </w:p>
  </w:footnote>
  <w:footnote w:id="456">
    <w:p w:rsidR="005953C5" w:rsidRDefault="005953C5" w:rsidP="00620060">
      <w:pPr>
        <w:pStyle w:val="a3"/>
      </w:pPr>
      <w:r w:rsidRPr="00EC220B">
        <w:rPr>
          <w:rStyle w:val="a5"/>
          <w:sz w:val="18"/>
          <w:szCs w:val="18"/>
        </w:rPr>
        <w:footnoteRef/>
      </w:r>
      <w:r w:rsidRPr="00EC220B">
        <w:rPr>
          <w:sz w:val="18"/>
          <w:szCs w:val="18"/>
          <w:rtl/>
        </w:rPr>
        <w:t xml:space="preserve"> </w:t>
      </w:r>
      <w:r w:rsidRPr="00EC220B">
        <w:rPr>
          <w:rFonts w:hint="cs"/>
          <w:b/>
          <w:bCs/>
          <w:sz w:val="18"/>
          <w:szCs w:val="18"/>
          <w:rtl/>
        </w:rPr>
        <w:t>טהרת הבית</w:t>
      </w:r>
      <w:r w:rsidRPr="00EC220B">
        <w:rPr>
          <w:rFonts w:hint="cs"/>
          <w:sz w:val="18"/>
          <w:szCs w:val="18"/>
          <w:rtl/>
        </w:rPr>
        <w:t xml:space="preserve"> </w:t>
      </w:r>
      <w:r w:rsidRPr="00EC220B">
        <w:rPr>
          <w:sz w:val="18"/>
          <w:szCs w:val="18"/>
          <w:rtl/>
        </w:rPr>
        <w:t>–</w:t>
      </w:r>
      <w:r w:rsidRPr="00EC220B">
        <w:rPr>
          <w:rFonts w:hint="cs"/>
          <w:sz w:val="18"/>
          <w:szCs w:val="18"/>
          <w:rtl/>
        </w:rPr>
        <w:t xml:space="preserve"> דין זה אינו מעיקר הדין, שהרי רוב הראשונים הקלו, כאמור לעיל, אלא שנהגו להחמיר.</w:t>
      </w:r>
    </w:p>
  </w:footnote>
  <w:footnote w:id="457">
    <w:p w:rsidR="005953C5" w:rsidRDefault="005953C5" w:rsidP="00620060">
      <w:pPr>
        <w:pStyle w:val="a3"/>
      </w:pPr>
      <w:r w:rsidRPr="00E85B4C">
        <w:rPr>
          <w:rStyle w:val="a5"/>
          <w:sz w:val="18"/>
          <w:szCs w:val="18"/>
        </w:rPr>
        <w:footnoteRef/>
      </w:r>
      <w:r w:rsidRPr="00E85B4C">
        <w:rPr>
          <w:sz w:val="18"/>
          <w:szCs w:val="18"/>
          <w:rtl/>
        </w:rPr>
        <w:t xml:space="preserve"> </w:t>
      </w:r>
      <w:r w:rsidRPr="00E85B4C">
        <w:rPr>
          <w:rFonts w:hint="cs"/>
          <w:b/>
          <w:bCs/>
          <w:sz w:val="18"/>
          <w:szCs w:val="18"/>
          <w:rtl/>
        </w:rPr>
        <w:t>ששבה"ל</w:t>
      </w:r>
      <w:r w:rsidRPr="00E85B4C">
        <w:rPr>
          <w:rFonts w:hint="cs"/>
          <w:sz w:val="18"/>
          <w:szCs w:val="18"/>
          <w:rtl/>
        </w:rPr>
        <w:t xml:space="preserve"> </w:t>
      </w:r>
      <w:r w:rsidRPr="00E85B4C">
        <w:rPr>
          <w:sz w:val="18"/>
          <w:szCs w:val="18"/>
          <w:rtl/>
        </w:rPr>
        <w:t>–</w:t>
      </w:r>
      <w:r w:rsidRPr="00E85B4C">
        <w:rPr>
          <w:rFonts w:hint="cs"/>
          <w:sz w:val="18"/>
          <w:szCs w:val="18"/>
          <w:rtl/>
        </w:rPr>
        <w:t xml:space="preserve"> מסתבר שקביעות המיטה היא ע"פ השינה בלילה. ולפי"ז, אם הלכו להתארח במקום אחר המיטה שישנה עליה בלילה היא המיטה שלה.</w:t>
      </w:r>
    </w:p>
  </w:footnote>
  <w:footnote w:id="458">
    <w:p w:rsidR="005953C5" w:rsidRDefault="005953C5" w:rsidP="00620060">
      <w:pPr>
        <w:pStyle w:val="a3"/>
      </w:pPr>
      <w:r w:rsidRPr="003905B6">
        <w:rPr>
          <w:rStyle w:val="a5"/>
          <w:sz w:val="18"/>
          <w:szCs w:val="18"/>
        </w:rPr>
        <w:footnoteRef/>
      </w:r>
      <w:r w:rsidRPr="003905B6">
        <w:rPr>
          <w:sz w:val="18"/>
          <w:szCs w:val="18"/>
          <w:rtl/>
        </w:rPr>
        <w:t xml:space="preserve"> </w:t>
      </w:r>
      <w:r w:rsidRPr="003905B6">
        <w:rPr>
          <w:rFonts w:hint="cs"/>
          <w:sz w:val="18"/>
          <w:szCs w:val="18"/>
          <w:rtl/>
        </w:rPr>
        <w:t xml:space="preserve">כך כתב </w:t>
      </w:r>
      <w:r w:rsidRPr="006A6088">
        <w:rPr>
          <w:rFonts w:hint="cs"/>
          <w:b/>
          <w:bCs/>
          <w:sz w:val="18"/>
          <w:szCs w:val="18"/>
          <w:rtl/>
        </w:rPr>
        <w:t>הש"ך</w:t>
      </w:r>
      <w:r w:rsidRPr="003905B6">
        <w:rPr>
          <w:rFonts w:hint="cs"/>
          <w:sz w:val="18"/>
          <w:szCs w:val="18"/>
          <w:rtl/>
        </w:rPr>
        <w:t xml:space="preserve"> בשם </w:t>
      </w:r>
      <w:r w:rsidRPr="006A6088">
        <w:rPr>
          <w:rFonts w:hint="cs"/>
          <w:b/>
          <w:bCs/>
          <w:sz w:val="18"/>
          <w:szCs w:val="18"/>
          <w:rtl/>
        </w:rPr>
        <w:t>הב"ח</w:t>
      </w:r>
      <w:r w:rsidRPr="003905B6">
        <w:rPr>
          <w:rFonts w:hint="cs"/>
          <w:sz w:val="18"/>
          <w:szCs w:val="18"/>
          <w:rtl/>
        </w:rPr>
        <w:t xml:space="preserve">, אמנם דבריו צ"ע משום </w:t>
      </w:r>
      <w:r w:rsidRPr="006A6088">
        <w:rPr>
          <w:rFonts w:hint="cs"/>
          <w:b/>
          <w:bCs/>
          <w:sz w:val="18"/>
          <w:szCs w:val="18"/>
          <w:rtl/>
        </w:rPr>
        <w:t>שהב"ח</w:t>
      </w:r>
      <w:r w:rsidRPr="003905B6">
        <w:rPr>
          <w:rFonts w:hint="cs"/>
          <w:sz w:val="18"/>
          <w:szCs w:val="18"/>
          <w:rtl/>
        </w:rPr>
        <w:t xml:space="preserve"> סייג להדיא שמותר רק שלא בפניה, </w:t>
      </w:r>
      <w:r w:rsidRPr="003905B6">
        <w:rPr>
          <w:rFonts w:hint="cs"/>
          <w:b/>
          <w:bCs/>
          <w:sz w:val="18"/>
          <w:szCs w:val="18"/>
          <w:rtl/>
        </w:rPr>
        <w:t>סד"ט</w:t>
      </w:r>
      <w:r w:rsidRPr="003905B6">
        <w:rPr>
          <w:rFonts w:hint="cs"/>
          <w:sz w:val="18"/>
          <w:szCs w:val="18"/>
          <w:rtl/>
        </w:rPr>
        <w:t>.</w:t>
      </w:r>
    </w:p>
  </w:footnote>
  <w:footnote w:id="459">
    <w:p w:rsidR="005953C5" w:rsidRDefault="005953C5" w:rsidP="00620060">
      <w:pPr>
        <w:pStyle w:val="a3"/>
      </w:pPr>
      <w:r w:rsidRPr="00C67103">
        <w:rPr>
          <w:rStyle w:val="a5"/>
          <w:sz w:val="18"/>
          <w:szCs w:val="18"/>
        </w:rPr>
        <w:footnoteRef/>
      </w:r>
      <w:r w:rsidRPr="00C67103">
        <w:rPr>
          <w:sz w:val="18"/>
          <w:szCs w:val="18"/>
          <w:rtl/>
        </w:rPr>
        <w:t xml:space="preserve"> </w:t>
      </w:r>
      <w:r w:rsidRPr="00C67103">
        <w:rPr>
          <w:rFonts w:hint="cs"/>
          <w:b/>
          <w:bCs/>
          <w:sz w:val="18"/>
          <w:szCs w:val="18"/>
          <w:rtl/>
        </w:rPr>
        <w:t>בדה"ש</w:t>
      </w:r>
      <w:r w:rsidRPr="00C67103">
        <w:rPr>
          <w:rFonts w:hint="cs"/>
          <w:sz w:val="18"/>
          <w:szCs w:val="18"/>
          <w:rtl/>
        </w:rPr>
        <w:t xml:space="preserve"> </w:t>
      </w:r>
      <w:r w:rsidRPr="00185D20">
        <w:rPr>
          <w:rFonts w:hint="cs"/>
          <w:sz w:val="16"/>
          <w:szCs w:val="16"/>
          <w:rtl/>
        </w:rPr>
        <w:t xml:space="preserve">(סקפ"ו) </w:t>
      </w:r>
      <w:r w:rsidRPr="00C67103">
        <w:rPr>
          <w:sz w:val="18"/>
          <w:szCs w:val="18"/>
          <w:rtl/>
        </w:rPr>
        <w:t>–</w:t>
      </w:r>
      <w:r w:rsidRPr="00C67103">
        <w:rPr>
          <w:rFonts w:hint="cs"/>
          <w:sz w:val="18"/>
          <w:szCs w:val="18"/>
          <w:rtl/>
        </w:rPr>
        <w:t xml:space="preserve"> צ"ע מה דין ספסל </w:t>
      </w:r>
      <w:r>
        <w:rPr>
          <w:rFonts w:hint="cs"/>
          <w:sz w:val="18"/>
          <w:szCs w:val="18"/>
          <w:rtl/>
        </w:rPr>
        <w:t>ש</w:t>
      </w:r>
      <w:r w:rsidRPr="00C67103">
        <w:rPr>
          <w:rFonts w:hint="cs"/>
          <w:sz w:val="18"/>
          <w:szCs w:val="18"/>
          <w:rtl/>
        </w:rPr>
        <w:t>מחובר לכותל אך מתנדנד. מחד, מפשט לשון הרמ"א משמע שמותר משום שהוא מחובר, אך מאידך קשה לומר כך שהרי מכל מקום קיים טעם האיסור אף בכה"ג.</w:t>
      </w:r>
    </w:p>
  </w:footnote>
  <w:footnote w:id="460">
    <w:p w:rsidR="005953C5" w:rsidRDefault="005953C5" w:rsidP="00620060">
      <w:pPr>
        <w:pStyle w:val="a3"/>
        <w:rPr>
          <w:rtl/>
        </w:rPr>
      </w:pPr>
      <w:r w:rsidRPr="006A6088">
        <w:rPr>
          <w:rStyle w:val="a5"/>
          <w:sz w:val="18"/>
          <w:szCs w:val="18"/>
        </w:rPr>
        <w:footnoteRef/>
      </w:r>
      <w:r w:rsidRPr="006A6088">
        <w:rPr>
          <w:sz w:val="18"/>
          <w:szCs w:val="18"/>
          <w:rtl/>
        </w:rPr>
        <w:t xml:space="preserve"> </w:t>
      </w:r>
      <w:r w:rsidRPr="006A6088">
        <w:rPr>
          <w:rFonts w:hint="cs"/>
          <w:sz w:val="18"/>
          <w:szCs w:val="18"/>
          <w:rtl/>
        </w:rPr>
        <w:t>האם יש להקל ע"י הפסק של אדם אחר ביניהם?</w:t>
      </w:r>
      <w:r>
        <w:rPr>
          <w:rFonts w:hint="cs"/>
          <w:rtl/>
        </w:rPr>
        <w:br/>
      </w:r>
      <w:r w:rsidRPr="006A6088">
        <w:rPr>
          <w:rFonts w:hint="cs"/>
          <w:sz w:val="18"/>
          <w:szCs w:val="18"/>
          <w:rtl/>
        </w:rPr>
        <w:t xml:space="preserve">א. </w:t>
      </w:r>
      <w:r w:rsidRPr="006A6088">
        <w:rPr>
          <w:rFonts w:hint="cs"/>
          <w:b/>
          <w:bCs/>
          <w:sz w:val="18"/>
          <w:szCs w:val="18"/>
          <w:rtl/>
        </w:rPr>
        <w:t>שו"ת שערי צדק</w:t>
      </w:r>
      <w:r w:rsidRPr="006A6088">
        <w:rPr>
          <w:rFonts w:hint="cs"/>
          <w:sz w:val="18"/>
          <w:szCs w:val="18"/>
          <w:rtl/>
        </w:rPr>
        <w:t xml:space="preserve"> </w:t>
      </w:r>
      <w:r w:rsidRPr="006A6088">
        <w:rPr>
          <w:rFonts w:hint="cs"/>
          <w:sz w:val="16"/>
          <w:szCs w:val="16"/>
          <w:rtl/>
        </w:rPr>
        <w:t xml:space="preserve">(בעל </w:t>
      </w:r>
      <w:r w:rsidRPr="006A6088">
        <w:rPr>
          <w:rFonts w:hint="cs"/>
          <w:b/>
          <w:bCs/>
          <w:sz w:val="16"/>
          <w:szCs w:val="16"/>
          <w:rtl/>
        </w:rPr>
        <w:t>החיי אדם</w:t>
      </w:r>
      <w:r w:rsidRPr="006A6088">
        <w:rPr>
          <w:rFonts w:hint="cs"/>
          <w:sz w:val="16"/>
          <w:szCs w:val="16"/>
          <w:rtl/>
        </w:rPr>
        <w:t xml:space="preserve">) </w:t>
      </w:r>
      <w:r w:rsidRPr="006A6088">
        <w:rPr>
          <w:sz w:val="18"/>
          <w:szCs w:val="18"/>
          <w:rtl/>
        </w:rPr>
        <w:t>–</w:t>
      </w:r>
      <w:r w:rsidRPr="006A6088">
        <w:rPr>
          <w:rFonts w:hint="cs"/>
          <w:sz w:val="18"/>
          <w:szCs w:val="18"/>
          <w:rtl/>
        </w:rPr>
        <w:t xml:space="preserve"> אין להקל בכך.</w:t>
      </w:r>
      <w:r w:rsidRPr="006A6088">
        <w:rPr>
          <w:sz w:val="18"/>
          <w:szCs w:val="18"/>
          <w:rtl/>
        </w:rPr>
        <w:br/>
      </w:r>
      <w:r w:rsidRPr="006A6088">
        <w:rPr>
          <w:rFonts w:hint="cs"/>
          <w:b/>
          <w:bCs/>
          <w:sz w:val="18"/>
          <w:szCs w:val="18"/>
          <w:rtl/>
        </w:rPr>
        <w:t>טעם</w:t>
      </w:r>
      <w:r w:rsidRPr="006A6088">
        <w:rPr>
          <w:rFonts w:hint="cs"/>
          <w:sz w:val="18"/>
          <w:szCs w:val="18"/>
          <w:rtl/>
        </w:rPr>
        <w:t xml:space="preserve"> </w:t>
      </w:r>
      <w:r w:rsidRPr="006A6088">
        <w:rPr>
          <w:sz w:val="18"/>
          <w:szCs w:val="18"/>
          <w:rtl/>
        </w:rPr>
        <w:t>–</w:t>
      </w:r>
      <w:r w:rsidRPr="006A6088">
        <w:rPr>
          <w:rFonts w:hint="cs"/>
          <w:sz w:val="18"/>
          <w:szCs w:val="18"/>
          <w:rtl/>
        </w:rPr>
        <w:t xml:space="preserve"> הרמ"א פסק בדעה הראשונה לאסור באופן סתמי, קולא זו מובאת רק בשם יש אומרים, וקיי"ל הלכה כסתם.</w:t>
      </w:r>
      <w:r w:rsidRPr="006A6088">
        <w:rPr>
          <w:sz w:val="18"/>
          <w:szCs w:val="18"/>
          <w:rtl/>
        </w:rPr>
        <w:br/>
      </w:r>
      <w:r w:rsidRPr="006A6088">
        <w:rPr>
          <w:rFonts w:hint="cs"/>
          <w:sz w:val="18"/>
          <w:szCs w:val="18"/>
          <w:rtl/>
        </w:rPr>
        <w:t xml:space="preserve">ב. </w:t>
      </w:r>
      <w:r w:rsidRPr="006A6088">
        <w:rPr>
          <w:rFonts w:hint="cs"/>
          <w:b/>
          <w:bCs/>
          <w:sz w:val="18"/>
          <w:szCs w:val="18"/>
          <w:rtl/>
        </w:rPr>
        <w:t>טהרת הבית</w:t>
      </w:r>
      <w:r w:rsidRPr="006A6088">
        <w:rPr>
          <w:rFonts w:hint="cs"/>
          <w:sz w:val="18"/>
          <w:szCs w:val="18"/>
          <w:rtl/>
        </w:rPr>
        <w:t xml:space="preserve"> </w:t>
      </w:r>
      <w:r w:rsidRPr="006A6088">
        <w:rPr>
          <w:rFonts w:hint="cs"/>
          <w:sz w:val="16"/>
          <w:szCs w:val="16"/>
          <w:rtl/>
        </w:rPr>
        <w:t xml:space="preserve">(עמ' קמד) </w:t>
      </w:r>
      <w:r w:rsidRPr="006A6088">
        <w:rPr>
          <w:sz w:val="18"/>
          <w:szCs w:val="18"/>
          <w:rtl/>
        </w:rPr>
        <w:t>–</w:t>
      </w:r>
      <w:r w:rsidRPr="006A6088">
        <w:rPr>
          <w:rFonts w:hint="cs"/>
          <w:sz w:val="18"/>
          <w:szCs w:val="18"/>
          <w:rtl/>
        </w:rPr>
        <w:t xml:space="preserve"> הנוהגים בחומרה זו יכולים להקל כרמ"א הנ"ל.</w:t>
      </w:r>
      <w:r w:rsidRPr="006A6088">
        <w:rPr>
          <w:sz w:val="18"/>
          <w:szCs w:val="18"/>
          <w:rtl/>
        </w:rPr>
        <w:br/>
      </w:r>
      <w:r w:rsidRPr="006A6088">
        <w:rPr>
          <w:rFonts w:hint="cs"/>
          <w:b/>
          <w:bCs/>
          <w:sz w:val="18"/>
          <w:szCs w:val="18"/>
          <w:rtl/>
        </w:rPr>
        <w:t xml:space="preserve">טעם </w:t>
      </w:r>
      <w:r w:rsidRPr="006A6088">
        <w:rPr>
          <w:sz w:val="18"/>
          <w:szCs w:val="18"/>
          <w:rtl/>
        </w:rPr>
        <w:t>–</w:t>
      </w:r>
      <w:r w:rsidRPr="006A6088">
        <w:rPr>
          <w:rFonts w:hint="cs"/>
          <w:sz w:val="18"/>
          <w:szCs w:val="18"/>
          <w:rtl/>
        </w:rPr>
        <w:t xml:space="preserve"> הלכה כסתם נאמרה רק כאשר מפורש בדעה הסתמית כנגד הדעה החלוקת, אך כאן לא נזכר בדעה הראשונה שיש להחמיר אפילו בהפסק אדם אחר ביניהם.</w:t>
      </w:r>
      <w:r>
        <w:rPr>
          <w:rtl/>
        </w:rPr>
        <w:br/>
      </w:r>
      <w:r w:rsidRPr="000342F1">
        <w:rPr>
          <w:rFonts w:hint="cs"/>
          <w:b/>
          <w:bCs/>
          <w:sz w:val="18"/>
          <w:szCs w:val="18"/>
          <w:rtl/>
        </w:rPr>
        <w:t>הדרכי טהרה</w:t>
      </w:r>
      <w:r w:rsidRPr="000342F1">
        <w:rPr>
          <w:rFonts w:hint="cs"/>
          <w:sz w:val="18"/>
          <w:szCs w:val="18"/>
          <w:rtl/>
        </w:rPr>
        <w:t xml:space="preserve"> </w:t>
      </w:r>
      <w:r w:rsidRPr="00C67103">
        <w:rPr>
          <w:rFonts w:hint="cs"/>
          <w:sz w:val="16"/>
          <w:szCs w:val="16"/>
          <w:rtl/>
        </w:rPr>
        <w:t xml:space="preserve">(עמ' 78) </w:t>
      </w:r>
      <w:r w:rsidRPr="000342F1">
        <w:rPr>
          <w:rFonts w:hint="cs"/>
          <w:sz w:val="18"/>
          <w:szCs w:val="18"/>
          <w:rtl/>
        </w:rPr>
        <w:t>תולה מחלוקת זו בשאלה מהו טעם האיסור. אם האיסור הוא משום נגיעה, הרי שע"י הפסק מותר, משום שאין חשש נגיעה. אך אם האיסור הוא מפני קירוב וחיבה, אף ע"י הפסק יש קירוב וחיבה ואסור.</w:t>
      </w:r>
      <w:r>
        <w:rPr>
          <w:rtl/>
        </w:rPr>
        <w:br/>
      </w:r>
      <w:r w:rsidRPr="004E3D5E">
        <w:rPr>
          <w:rFonts w:hint="cs"/>
          <w:sz w:val="18"/>
          <w:szCs w:val="18"/>
          <w:rtl/>
        </w:rPr>
        <w:t xml:space="preserve">לעומתו, </w:t>
      </w:r>
      <w:r w:rsidRPr="004E3D5E">
        <w:rPr>
          <w:rFonts w:hint="cs"/>
          <w:b/>
          <w:bCs/>
          <w:sz w:val="18"/>
          <w:szCs w:val="18"/>
          <w:rtl/>
        </w:rPr>
        <w:t>בדה"ש</w:t>
      </w:r>
      <w:r>
        <w:rPr>
          <w:rFonts w:hint="cs"/>
          <w:sz w:val="18"/>
          <w:szCs w:val="18"/>
          <w:rtl/>
        </w:rPr>
        <w:t xml:space="preserve"> </w:t>
      </w:r>
      <w:r w:rsidRPr="004E3D5E">
        <w:rPr>
          <w:rFonts w:hint="cs"/>
          <w:sz w:val="16"/>
          <w:szCs w:val="16"/>
          <w:rtl/>
        </w:rPr>
        <w:t xml:space="preserve">(סקפ"ט) </w:t>
      </w:r>
      <w:r w:rsidRPr="004E3D5E">
        <w:rPr>
          <w:rFonts w:hint="cs"/>
          <w:sz w:val="18"/>
          <w:szCs w:val="18"/>
          <w:rtl/>
        </w:rPr>
        <w:t>מסביר שקולא זו נאמרה אליבא דשני הטעמים, דאף לטעם קירוב וחיבה מהני הפסק.</w:t>
      </w:r>
      <w:r>
        <w:rPr>
          <w:rFonts w:hint="cs"/>
          <w:rtl/>
        </w:rPr>
        <w:t xml:space="preserve"> </w:t>
      </w:r>
      <w:r w:rsidRPr="004C3F43">
        <w:rPr>
          <w:rFonts w:hint="cs"/>
          <w:sz w:val="18"/>
          <w:szCs w:val="18"/>
          <w:rtl/>
        </w:rPr>
        <w:t xml:space="preserve">ואמנם, סייג את דבריו </w:t>
      </w:r>
      <w:r w:rsidRPr="004C3F43">
        <w:rPr>
          <w:rFonts w:hint="cs"/>
          <w:sz w:val="16"/>
          <w:szCs w:val="16"/>
          <w:rtl/>
        </w:rPr>
        <w:t xml:space="preserve">(בביאורים, ד"ה כשאדם) </w:t>
      </w:r>
      <w:r w:rsidRPr="004C3F43">
        <w:rPr>
          <w:rFonts w:hint="cs"/>
          <w:sz w:val="18"/>
          <w:szCs w:val="18"/>
          <w:rtl/>
        </w:rPr>
        <w:t>שרק הפסק אדם מהני, אך הפסק תיבה או תינוק צ"ע אם מהני, ונראה כוונתו לומר שלטעם קירוב וחיבה מהני הפסק רק ע"י אדם.</w:t>
      </w:r>
    </w:p>
  </w:footnote>
  <w:footnote w:id="461">
    <w:p w:rsidR="005953C5" w:rsidRDefault="005953C5" w:rsidP="00620060">
      <w:pPr>
        <w:pStyle w:val="a3"/>
        <w:rPr>
          <w:rtl/>
        </w:rPr>
      </w:pPr>
      <w:r w:rsidRPr="00813FFA">
        <w:rPr>
          <w:rStyle w:val="a5"/>
          <w:sz w:val="18"/>
          <w:szCs w:val="18"/>
        </w:rPr>
        <w:footnoteRef/>
      </w:r>
      <w:r w:rsidRPr="00813FFA">
        <w:rPr>
          <w:sz w:val="18"/>
          <w:szCs w:val="18"/>
          <w:rtl/>
        </w:rPr>
        <w:t xml:space="preserve"> </w:t>
      </w:r>
      <w:r w:rsidRPr="00813FFA">
        <w:rPr>
          <w:rFonts w:hint="cs"/>
          <w:sz w:val="18"/>
          <w:szCs w:val="18"/>
          <w:rtl/>
        </w:rPr>
        <w:t xml:space="preserve">וכן מוכח מדברי </w:t>
      </w:r>
      <w:r w:rsidRPr="00813FFA">
        <w:rPr>
          <w:rFonts w:hint="cs"/>
          <w:b/>
          <w:bCs/>
          <w:sz w:val="18"/>
          <w:szCs w:val="18"/>
          <w:rtl/>
        </w:rPr>
        <w:t xml:space="preserve">תרומת הדשן </w:t>
      </w:r>
      <w:r w:rsidRPr="00813FFA">
        <w:rPr>
          <w:rFonts w:hint="cs"/>
          <w:sz w:val="18"/>
          <w:szCs w:val="18"/>
          <w:rtl/>
        </w:rPr>
        <w:t>המועתקת בהערה בסמוך.</w:t>
      </w:r>
    </w:p>
  </w:footnote>
  <w:footnote w:id="462">
    <w:p w:rsidR="005953C5" w:rsidRDefault="005953C5" w:rsidP="00620060">
      <w:pPr>
        <w:pStyle w:val="a3"/>
        <w:rPr>
          <w:rtl/>
        </w:rPr>
      </w:pPr>
      <w:r w:rsidRPr="00C60BB1">
        <w:rPr>
          <w:rStyle w:val="a5"/>
          <w:sz w:val="18"/>
          <w:szCs w:val="18"/>
        </w:rPr>
        <w:footnoteRef/>
      </w:r>
      <w:r w:rsidRPr="00C60BB1">
        <w:rPr>
          <w:sz w:val="18"/>
          <w:szCs w:val="18"/>
          <w:rtl/>
        </w:rPr>
        <w:t xml:space="preserve"> </w:t>
      </w:r>
      <w:r w:rsidRPr="00C60BB1">
        <w:rPr>
          <w:rFonts w:hint="cs"/>
          <w:sz w:val="18"/>
          <w:szCs w:val="18"/>
          <w:rtl/>
        </w:rPr>
        <w:t xml:space="preserve">זו לשון </w:t>
      </w:r>
      <w:r w:rsidRPr="00C60BB1">
        <w:rPr>
          <w:rFonts w:hint="cs"/>
          <w:b/>
          <w:bCs/>
          <w:sz w:val="18"/>
          <w:szCs w:val="18"/>
          <w:rtl/>
        </w:rPr>
        <w:t>תרומת הדשן</w:t>
      </w:r>
      <w:r w:rsidRPr="00C60BB1">
        <w:rPr>
          <w:rFonts w:hint="cs"/>
          <w:sz w:val="18"/>
          <w:szCs w:val="18"/>
          <w:rtl/>
        </w:rPr>
        <w:t xml:space="preserve"> </w:t>
      </w:r>
      <w:r w:rsidRPr="00C60BB1">
        <w:rPr>
          <w:sz w:val="18"/>
          <w:szCs w:val="18"/>
          <w:rtl/>
        </w:rPr>
        <w:t>–</w:t>
      </w:r>
      <w:r w:rsidRPr="00C60BB1">
        <w:rPr>
          <w:rFonts w:hint="cs"/>
          <w:sz w:val="18"/>
          <w:szCs w:val="18"/>
          <w:rtl/>
        </w:rPr>
        <w:t xml:space="preserve"> "...</w:t>
      </w:r>
      <w:r w:rsidRPr="00C60BB1">
        <w:rPr>
          <w:rFonts w:cs="Arial"/>
          <w:sz w:val="18"/>
          <w:szCs w:val="18"/>
          <w:rtl/>
        </w:rPr>
        <w:t>דדוקא ישיבה על הספסל ביחד נראה בדרך חיבה דרך אוהבים להתקבץ יחד ולהתוועד בכה</w:t>
      </w:r>
      <w:r>
        <w:rPr>
          <w:rFonts w:cs="Arial" w:hint="cs"/>
          <w:sz w:val="18"/>
          <w:szCs w:val="18"/>
          <w:rtl/>
        </w:rPr>
        <w:t>אי גוונא</w:t>
      </w:r>
      <w:r w:rsidRPr="00C60BB1">
        <w:rPr>
          <w:rFonts w:cs="Arial"/>
          <w:sz w:val="18"/>
          <w:szCs w:val="18"/>
          <w:rtl/>
        </w:rPr>
        <w:t>. אבל בישיבה בעגלה שדרך בני אדם נ</w:t>
      </w:r>
      <w:r>
        <w:rPr>
          <w:rFonts w:cs="Arial" w:hint="cs"/>
          <w:sz w:val="18"/>
          <w:szCs w:val="18"/>
          <w:rtl/>
        </w:rPr>
        <w:t>ו</w:t>
      </w:r>
      <w:r w:rsidRPr="00C60BB1">
        <w:rPr>
          <w:rFonts w:cs="Arial"/>
          <w:sz w:val="18"/>
          <w:szCs w:val="18"/>
          <w:rtl/>
        </w:rPr>
        <w:t>כרים להתקבץ כמה פעמים לבא יחד ולהצטרף לשכור עגלה בין כולם ללכת בה מעיר לעיר</w:t>
      </w:r>
      <w:r>
        <w:rPr>
          <w:rFonts w:cs="Arial" w:hint="cs"/>
          <w:sz w:val="18"/>
          <w:szCs w:val="18"/>
          <w:rtl/>
        </w:rPr>
        <w:t>,</w:t>
      </w:r>
      <w:r w:rsidRPr="00C60BB1">
        <w:rPr>
          <w:rFonts w:cs="Arial"/>
          <w:sz w:val="18"/>
          <w:szCs w:val="18"/>
          <w:rtl/>
        </w:rPr>
        <w:t xml:space="preserve"> לאו מילתא דחיבה היא כלל, דאפילו אם עכשיו אין בעגלה אלא האיש ואשתו וגם עגלה שלהם היא מ</w:t>
      </w:r>
      <w:r>
        <w:rPr>
          <w:rFonts w:cs="Arial" w:hint="cs"/>
          <w:sz w:val="18"/>
          <w:szCs w:val="18"/>
          <w:rtl/>
        </w:rPr>
        <w:t xml:space="preserve">כל </w:t>
      </w:r>
      <w:r w:rsidRPr="00C60BB1">
        <w:rPr>
          <w:rFonts w:cs="Arial"/>
          <w:sz w:val="18"/>
          <w:szCs w:val="18"/>
          <w:rtl/>
        </w:rPr>
        <w:t>מ</w:t>
      </w:r>
      <w:r>
        <w:rPr>
          <w:rFonts w:cs="Arial" w:hint="cs"/>
          <w:sz w:val="18"/>
          <w:szCs w:val="18"/>
          <w:rtl/>
        </w:rPr>
        <w:t>קום</w:t>
      </w:r>
      <w:r w:rsidRPr="00C60BB1">
        <w:rPr>
          <w:rFonts w:cs="Arial"/>
          <w:sz w:val="18"/>
          <w:szCs w:val="18"/>
          <w:rtl/>
        </w:rPr>
        <w:t xml:space="preserve"> לאו דרך חיבה הוא</w:t>
      </w:r>
      <w:r w:rsidRPr="00C60BB1">
        <w:rPr>
          <w:rFonts w:cs="Arial" w:hint="cs"/>
          <w:sz w:val="18"/>
          <w:szCs w:val="18"/>
          <w:rtl/>
        </w:rPr>
        <w:t xml:space="preserve">... </w:t>
      </w:r>
      <w:r w:rsidRPr="00C60BB1">
        <w:rPr>
          <w:rFonts w:cs="Arial"/>
          <w:sz w:val="18"/>
          <w:szCs w:val="18"/>
          <w:rtl/>
        </w:rPr>
        <w:t>אמנם ללכת בעגלה עם אשתו נידה דרך טיול לגנות ולכרמים וכה"ג לא ברירנא להתיר</w:t>
      </w:r>
      <w:r w:rsidRPr="00C60BB1">
        <w:rPr>
          <w:rFonts w:cs="Arial" w:hint="cs"/>
          <w:sz w:val="18"/>
          <w:szCs w:val="18"/>
          <w:rtl/>
        </w:rPr>
        <w:t>".</w:t>
      </w:r>
    </w:p>
  </w:footnote>
  <w:footnote w:id="463">
    <w:p w:rsidR="005953C5" w:rsidRDefault="005953C5" w:rsidP="00620060">
      <w:pPr>
        <w:pStyle w:val="a3"/>
      </w:pPr>
      <w:r w:rsidRPr="003A70F8">
        <w:rPr>
          <w:rStyle w:val="a5"/>
          <w:sz w:val="18"/>
          <w:szCs w:val="18"/>
        </w:rPr>
        <w:footnoteRef/>
      </w:r>
      <w:r w:rsidRPr="003A70F8">
        <w:rPr>
          <w:sz w:val="18"/>
          <w:szCs w:val="18"/>
          <w:rtl/>
        </w:rPr>
        <w:t xml:space="preserve"> </w:t>
      </w:r>
      <w:r w:rsidRPr="003A70F8">
        <w:rPr>
          <w:rFonts w:hint="cs"/>
          <w:sz w:val="18"/>
          <w:szCs w:val="18"/>
          <w:rtl/>
        </w:rPr>
        <w:t xml:space="preserve">השאלה היא כיצד יש לקרוא את דברי </w:t>
      </w:r>
      <w:r w:rsidRPr="003A70F8">
        <w:rPr>
          <w:rFonts w:hint="cs"/>
          <w:b/>
          <w:bCs/>
          <w:sz w:val="18"/>
          <w:szCs w:val="18"/>
          <w:rtl/>
        </w:rPr>
        <w:t>הרמ"א</w:t>
      </w:r>
      <w:r w:rsidRPr="003A70F8">
        <w:rPr>
          <w:rFonts w:hint="cs"/>
          <w:sz w:val="18"/>
          <w:szCs w:val="18"/>
          <w:rtl/>
        </w:rPr>
        <w:t>.</w:t>
      </w:r>
      <w:r w:rsidRPr="003A70F8">
        <w:rPr>
          <w:sz w:val="18"/>
          <w:szCs w:val="18"/>
          <w:rtl/>
        </w:rPr>
        <w:br/>
      </w:r>
      <w:r w:rsidRPr="003A70F8">
        <w:rPr>
          <w:rFonts w:hint="cs"/>
          <w:sz w:val="18"/>
          <w:szCs w:val="18"/>
          <w:rtl/>
        </w:rPr>
        <w:t xml:space="preserve">ניתן להבין שדבריו נמשכים לדין שכתב לפני כן, אסור לשבת על ספסל מתנדנד והוא הדין שאין לשבת בעגלה ובספינה מהאי טעמא, וכך הבין </w:t>
      </w:r>
      <w:r w:rsidRPr="003A70F8">
        <w:rPr>
          <w:rFonts w:hint="cs"/>
          <w:b/>
          <w:bCs/>
          <w:sz w:val="18"/>
          <w:szCs w:val="18"/>
          <w:rtl/>
        </w:rPr>
        <w:t>האג"מ</w:t>
      </w:r>
      <w:r w:rsidRPr="003A70F8">
        <w:rPr>
          <w:rFonts w:hint="cs"/>
          <w:sz w:val="18"/>
          <w:szCs w:val="18"/>
          <w:rtl/>
        </w:rPr>
        <w:t xml:space="preserve">. אלא שהבנה זו קשה לענ"ד, מדוע </w:t>
      </w:r>
      <w:r w:rsidRPr="003A70F8">
        <w:rPr>
          <w:rFonts w:hint="cs"/>
          <w:b/>
          <w:bCs/>
          <w:sz w:val="18"/>
          <w:szCs w:val="18"/>
          <w:rtl/>
        </w:rPr>
        <w:t>הרמ"א</w:t>
      </w:r>
      <w:r w:rsidRPr="003A70F8">
        <w:rPr>
          <w:rFonts w:hint="cs"/>
          <w:sz w:val="18"/>
          <w:szCs w:val="18"/>
          <w:rtl/>
        </w:rPr>
        <w:t xml:space="preserve"> התיר כאשר נוסע לצרכיו? ועוד, טיול רגלי מותר? טיול שכל אחד מגיע בעגלה לבדו מותר? וצ"ע.</w:t>
      </w:r>
      <w:r w:rsidRPr="003A70F8">
        <w:rPr>
          <w:rFonts w:hint="cs"/>
          <w:sz w:val="18"/>
          <w:szCs w:val="18"/>
          <w:rtl/>
        </w:rPr>
        <w:br/>
        <w:t xml:space="preserve">לעומת זאת, ההבנה של </w:t>
      </w:r>
      <w:r w:rsidRPr="003A70F8">
        <w:rPr>
          <w:rFonts w:hint="cs"/>
          <w:b/>
          <w:bCs/>
          <w:sz w:val="18"/>
          <w:szCs w:val="18"/>
          <w:rtl/>
        </w:rPr>
        <w:t>ערוה"ש</w:t>
      </w:r>
      <w:r w:rsidRPr="003A70F8">
        <w:rPr>
          <w:rFonts w:hint="cs"/>
          <w:sz w:val="18"/>
          <w:szCs w:val="18"/>
          <w:rtl/>
        </w:rPr>
        <w:t xml:space="preserve"> היא </w:t>
      </w:r>
      <w:r w:rsidRPr="003A70F8">
        <w:rPr>
          <w:rFonts w:hint="cs"/>
          <w:b/>
          <w:bCs/>
          <w:sz w:val="18"/>
          <w:szCs w:val="18"/>
          <w:rtl/>
        </w:rPr>
        <w:t>שהרמ"א</w:t>
      </w:r>
      <w:r w:rsidRPr="003A70F8">
        <w:rPr>
          <w:rFonts w:hint="cs"/>
          <w:sz w:val="18"/>
          <w:szCs w:val="18"/>
          <w:rtl/>
        </w:rPr>
        <w:t xml:space="preserve"> בא לומר דין חדש, דין טיול שאסור מצד קירוב הדעת, העגלה אינה עיקר הנקודה, העיקר הוא הטיול שאסור, ולכן בהליכה לצרכיו מותר.</w:t>
      </w:r>
    </w:p>
  </w:footnote>
  <w:footnote w:id="464">
    <w:p w:rsidR="005953C5" w:rsidRDefault="005953C5" w:rsidP="00620060">
      <w:pPr>
        <w:pStyle w:val="a3"/>
        <w:rPr>
          <w:rtl/>
        </w:rPr>
      </w:pPr>
      <w:r w:rsidRPr="00AA1487">
        <w:rPr>
          <w:rStyle w:val="a5"/>
          <w:sz w:val="18"/>
          <w:szCs w:val="18"/>
        </w:rPr>
        <w:footnoteRef/>
      </w:r>
      <w:r w:rsidRPr="00AA1487">
        <w:rPr>
          <w:sz w:val="18"/>
          <w:szCs w:val="18"/>
          <w:rtl/>
        </w:rPr>
        <w:t xml:space="preserve"> </w:t>
      </w:r>
      <w:r w:rsidRPr="00AA1487">
        <w:rPr>
          <w:rFonts w:hint="cs"/>
          <w:sz w:val="18"/>
          <w:szCs w:val="18"/>
          <w:rtl/>
        </w:rPr>
        <w:t xml:space="preserve">לרב </w:t>
      </w:r>
      <w:r w:rsidRPr="00AA1487">
        <w:rPr>
          <w:rFonts w:hint="cs"/>
          <w:b/>
          <w:bCs/>
          <w:sz w:val="18"/>
          <w:szCs w:val="18"/>
          <w:rtl/>
        </w:rPr>
        <w:t>שלמה לוי</w:t>
      </w:r>
      <w:r w:rsidRPr="00AA1487">
        <w:rPr>
          <w:rFonts w:hint="cs"/>
          <w:sz w:val="18"/>
          <w:szCs w:val="18"/>
          <w:rtl/>
        </w:rPr>
        <w:t xml:space="preserve"> שליט"א.</w:t>
      </w:r>
      <w:r w:rsidRPr="00AA1487">
        <w:rPr>
          <w:sz w:val="18"/>
          <w:szCs w:val="18"/>
          <w:rtl/>
        </w:rPr>
        <w:br/>
      </w:r>
      <w:r w:rsidRPr="00AA1487">
        <w:rPr>
          <w:rFonts w:hint="cs"/>
          <w:sz w:val="18"/>
          <w:szCs w:val="18"/>
          <w:rtl/>
        </w:rPr>
        <w:t xml:space="preserve">והוסיף </w:t>
      </w:r>
      <w:r w:rsidRPr="00AA1487">
        <w:rPr>
          <w:sz w:val="18"/>
          <w:szCs w:val="18"/>
          <w:rtl/>
        </w:rPr>
        <w:t>–</w:t>
      </w:r>
      <w:r w:rsidRPr="00AA1487">
        <w:rPr>
          <w:rFonts w:hint="cs"/>
          <w:sz w:val="18"/>
          <w:szCs w:val="18"/>
          <w:rtl/>
        </w:rPr>
        <w:t xml:space="preserve"> לפי"ז, כאשר בני זוג רוצים לטייל יחד, יש לעשות מאמץ ולתכנן את הטיול כך שהוא יהיה בזמן טהרתה. כאשר הדבר אינו מתאפשר, יש לשקול שימוש חד פעמי בגלולות לסידור הווסת.</w:t>
      </w:r>
    </w:p>
  </w:footnote>
  <w:footnote w:id="465">
    <w:p w:rsidR="005953C5" w:rsidRDefault="005953C5" w:rsidP="00620060">
      <w:pPr>
        <w:pStyle w:val="a3"/>
      </w:pPr>
      <w:r w:rsidRPr="00053B75">
        <w:rPr>
          <w:rStyle w:val="a5"/>
          <w:sz w:val="18"/>
          <w:szCs w:val="18"/>
        </w:rPr>
        <w:footnoteRef/>
      </w:r>
      <w:r w:rsidRPr="00053B75">
        <w:rPr>
          <w:sz w:val="18"/>
          <w:szCs w:val="18"/>
          <w:rtl/>
        </w:rPr>
        <w:t xml:space="preserve"> </w:t>
      </w:r>
      <w:r w:rsidRPr="00053B75">
        <w:rPr>
          <w:rFonts w:hint="cs"/>
          <w:sz w:val="18"/>
          <w:szCs w:val="18"/>
          <w:rtl/>
        </w:rPr>
        <w:t xml:space="preserve">בספר </w:t>
      </w:r>
      <w:r w:rsidRPr="00053B75">
        <w:rPr>
          <w:rFonts w:hint="cs"/>
          <w:b/>
          <w:bCs/>
          <w:sz w:val="18"/>
          <w:szCs w:val="18"/>
          <w:rtl/>
        </w:rPr>
        <w:t>טהרת בת ישראל</w:t>
      </w:r>
      <w:r w:rsidRPr="00053B75">
        <w:rPr>
          <w:rFonts w:hint="cs"/>
          <w:sz w:val="18"/>
          <w:szCs w:val="18"/>
          <w:rtl/>
        </w:rPr>
        <w:t xml:space="preserve"> כתב שחכם אחד השיג על היתר זה, ו</w:t>
      </w:r>
      <w:r>
        <w:rPr>
          <w:rFonts w:hint="cs"/>
          <w:sz w:val="18"/>
          <w:szCs w:val="18"/>
          <w:rtl/>
        </w:rPr>
        <w:t xml:space="preserve">כתב </w:t>
      </w:r>
      <w:r w:rsidRPr="00053B75">
        <w:rPr>
          <w:rFonts w:hint="cs"/>
          <w:sz w:val="18"/>
          <w:szCs w:val="18"/>
          <w:rtl/>
        </w:rPr>
        <w:t xml:space="preserve">שאין להתיר זאת מפני שספסלי האוטובוס צרים ובהכרח יבואו לגעת זה בזה. אך </w:t>
      </w:r>
      <w:r w:rsidRPr="00053B75">
        <w:rPr>
          <w:rFonts w:hint="cs"/>
          <w:b/>
          <w:bCs/>
          <w:sz w:val="18"/>
          <w:szCs w:val="18"/>
          <w:rtl/>
        </w:rPr>
        <w:t>החזו"א</w:t>
      </w:r>
      <w:r w:rsidRPr="00053B75">
        <w:rPr>
          <w:rFonts w:hint="cs"/>
          <w:sz w:val="18"/>
          <w:szCs w:val="18"/>
          <w:rtl/>
        </w:rPr>
        <w:t xml:space="preserve"> כתב אף הוא שיש להקל בדין זה, והוסיף שאם נאסור זאת, אנחנו מביאים את ר</w:t>
      </w:r>
      <w:r>
        <w:rPr>
          <w:rFonts w:hint="cs"/>
          <w:sz w:val="18"/>
          <w:szCs w:val="18"/>
          <w:rtl/>
        </w:rPr>
        <w:t>וב</w:t>
      </w:r>
      <w:r w:rsidRPr="00053B75">
        <w:rPr>
          <w:rFonts w:hint="cs"/>
          <w:sz w:val="18"/>
          <w:szCs w:val="18"/>
          <w:rtl/>
        </w:rPr>
        <w:t xml:space="preserve"> אנשי העולם לידי ניסיון, ולכן יש להקל.</w:t>
      </w:r>
    </w:p>
  </w:footnote>
  <w:footnote w:id="466">
    <w:p w:rsidR="005953C5" w:rsidRDefault="005953C5" w:rsidP="00620060">
      <w:pPr>
        <w:pStyle w:val="a3"/>
      </w:pPr>
      <w:r w:rsidRPr="00CD458C">
        <w:rPr>
          <w:rStyle w:val="a5"/>
          <w:sz w:val="18"/>
          <w:szCs w:val="18"/>
        </w:rPr>
        <w:footnoteRef/>
      </w:r>
      <w:r w:rsidRPr="00CD458C">
        <w:rPr>
          <w:sz w:val="18"/>
          <w:szCs w:val="18"/>
          <w:rtl/>
        </w:rPr>
        <w:t xml:space="preserve"> </w:t>
      </w:r>
      <w:r w:rsidRPr="00CD458C">
        <w:rPr>
          <w:rFonts w:hint="cs"/>
          <w:sz w:val="18"/>
          <w:szCs w:val="18"/>
          <w:rtl/>
        </w:rPr>
        <w:t xml:space="preserve">סיכום. שינה על מיטתה לכו"ע אסור. ישיבה. </w:t>
      </w:r>
      <w:r>
        <w:rPr>
          <w:rFonts w:hint="cs"/>
          <w:b/>
          <w:bCs/>
          <w:sz w:val="18"/>
          <w:szCs w:val="18"/>
          <w:rtl/>
        </w:rPr>
        <w:t>מחבר ו</w:t>
      </w:r>
      <w:r w:rsidRPr="00CD458C">
        <w:rPr>
          <w:rFonts w:hint="cs"/>
          <w:b/>
          <w:bCs/>
          <w:sz w:val="18"/>
          <w:szCs w:val="18"/>
          <w:rtl/>
        </w:rPr>
        <w:t>ט"ז</w:t>
      </w:r>
      <w:r>
        <w:rPr>
          <w:rFonts w:hint="cs"/>
          <w:sz w:val="18"/>
          <w:szCs w:val="18"/>
          <w:rtl/>
        </w:rPr>
        <w:t xml:space="preserve"> אסור אף שלא בפניה</w:t>
      </w:r>
      <w:r w:rsidRPr="00CD458C">
        <w:rPr>
          <w:rFonts w:hint="cs"/>
          <w:sz w:val="18"/>
          <w:szCs w:val="18"/>
          <w:rtl/>
        </w:rPr>
        <w:t xml:space="preserve">, </w:t>
      </w:r>
      <w:r w:rsidRPr="00CD458C">
        <w:rPr>
          <w:rFonts w:hint="cs"/>
          <w:b/>
          <w:bCs/>
          <w:sz w:val="18"/>
          <w:szCs w:val="18"/>
          <w:rtl/>
        </w:rPr>
        <w:t>ב"ח וש"ך</w:t>
      </w:r>
      <w:r w:rsidRPr="00CD458C">
        <w:rPr>
          <w:rFonts w:hint="cs"/>
          <w:sz w:val="18"/>
          <w:szCs w:val="18"/>
          <w:rtl/>
        </w:rPr>
        <w:t xml:space="preserve"> מ</w:t>
      </w:r>
      <w:r>
        <w:rPr>
          <w:rFonts w:hint="cs"/>
          <w:sz w:val="18"/>
          <w:szCs w:val="18"/>
          <w:rtl/>
        </w:rPr>
        <w:t>ותר כשלבוש</w:t>
      </w:r>
      <w:r w:rsidRPr="00CD458C">
        <w:rPr>
          <w:rFonts w:hint="cs"/>
          <w:sz w:val="18"/>
          <w:szCs w:val="18"/>
          <w:rtl/>
        </w:rPr>
        <w:t>. היא על מיטתו. מותרת לשבת אך אסורה לישון</w:t>
      </w:r>
      <w:r>
        <w:rPr>
          <w:rFonts w:hint="cs"/>
          <w:sz w:val="18"/>
          <w:szCs w:val="18"/>
          <w:rtl/>
        </w:rPr>
        <w:t xml:space="preserve">, </w:t>
      </w:r>
      <w:r w:rsidRPr="00CD458C">
        <w:rPr>
          <w:rFonts w:hint="cs"/>
          <w:b/>
          <w:bCs/>
          <w:sz w:val="18"/>
          <w:szCs w:val="18"/>
          <w:rtl/>
        </w:rPr>
        <w:t>ט"ז</w:t>
      </w:r>
      <w:r w:rsidRPr="00CD458C">
        <w:rPr>
          <w:rFonts w:hint="cs"/>
          <w:sz w:val="18"/>
          <w:szCs w:val="18"/>
          <w:rtl/>
        </w:rPr>
        <w:t>.</w:t>
      </w:r>
    </w:p>
  </w:footnote>
  <w:footnote w:id="467">
    <w:p w:rsidR="005953C5" w:rsidRDefault="005953C5" w:rsidP="00620060">
      <w:pPr>
        <w:pStyle w:val="a3"/>
      </w:pPr>
      <w:r w:rsidRPr="008F42BD">
        <w:rPr>
          <w:rStyle w:val="a5"/>
          <w:sz w:val="18"/>
          <w:szCs w:val="18"/>
        </w:rPr>
        <w:footnoteRef/>
      </w:r>
      <w:r w:rsidRPr="008F42BD">
        <w:rPr>
          <w:sz w:val="18"/>
          <w:szCs w:val="18"/>
          <w:rtl/>
        </w:rPr>
        <w:t xml:space="preserve"> </w:t>
      </w:r>
      <w:r w:rsidRPr="008F42BD">
        <w:rPr>
          <w:rFonts w:hint="cs"/>
          <w:sz w:val="18"/>
          <w:szCs w:val="18"/>
          <w:rtl/>
        </w:rPr>
        <w:t xml:space="preserve">זו לשון </w:t>
      </w:r>
      <w:r w:rsidRPr="00B30BFF">
        <w:rPr>
          <w:rFonts w:hint="cs"/>
          <w:b/>
          <w:bCs/>
          <w:sz w:val="18"/>
          <w:szCs w:val="18"/>
          <w:rtl/>
        </w:rPr>
        <w:t>הרמב"ם</w:t>
      </w:r>
      <w:r w:rsidRPr="008F42BD">
        <w:rPr>
          <w:rFonts w:hint="cs"/>
          <w:sz w:val="18"/>
          <w:szCs w:val="18"/>
          <w:rtl/>
        </w:rPr>
        <w:t xml:space="preserve"> בהלכה זו </w:t>
      </w:r>
      <w:r w:rsidRPr="00B30BFF">
        <w:rPr>
          <w:rFonts w:hint="cs"/>
          <w:sz w:val="16"/>
          <w:szCs w:val="16"/>
          <w:rtl/>
        </w:rPr>
        <w:t xml:space="preserve">(איסורי ביאה, יא, יח)  </w:t>
      </w:r>
      <w:r w:rsidRPr="008F42BD">
        <w:rPr>
          <w:sz w:val="18"/>
          <w:szCs w:val="18"/>
          <w:rtl/>
        </w:rPr>
        <w:t>–</w:t>
      </w:r>
      <w:r w:rsidRPr="008F42BD">
        <w:rPr>
          <w:rFonts w:hint="cs"/>
          <w:sz w:val="18"/>
          <w:szCs w:val="18"/>
          <w:rtl/>
        </w:rPr>
        <w:t xml:space="preserve"> "</w:t>
      </w:r>
      <w:r w:rsidRPr="008F42BD">
        <w:rPr>
          <w:rFonts w:cs="Arial"/>
          <w:sz w:val="18"/>
          <w:szCs w:val="18"/>
          <w:rtl/>
        </w:rPr>
        <w:t>ואסור לאדם שידבק באשתו בשבעת ימים נקיים אלו ואף על פי שהיא בכסותה והוא בכסותו ולא יקרב לה ולא יגע בה אפילו באצבע קטנה</w:t>
      </w:r>
      <w:r w:rsidRPr="008F42BD">
        <w:rPr>
          <w:rFonts w:cs="Arial" w:hint="cs"/>
          <w:sz w:val="18"/>
          <w:szCs w:val="18"/>
          <w:rtl/>
        </w:rPr>
        <w:t>".</w:t>
      </w:r>
      <w:r w:rsidRPr="008F42BD">
        <w:rPr>
          <w:rFonts w:cs="Arial"/>
          <w:sz w:val="18"/>
          <w:szCs w:val="18"/>
          <w:rtl/>
        </w:rPr>
        <w:br/>
      </w:r>
      <w:r w:rsidRPr="00B30BFF">
        <w:rPr>
          <w:rFonts w:cs="Arial" w:hint="cs"/>
          <w:b/>
          <w:bCs/>
          <w:sz w:val="18"/>
          <w:szCs w:val="18"/>
          <w:rtl/>
        </w:rPr>
        <w:t>מגיד משנה</w:t>
      </w:r>
      <w:r w:rsidRPr="008F42BD">
        <w:rPr>
          <w:rFonts w:cs="Arial" w:hint="cs"/>
          <w:sz w:val="18"/>
          <w:szCs w:val="18"/>
          <w:rtl/>
        </w:rPr>
        <w:t xml:space="preserve"> </w:t>
      </w:r>
      <w:r w:rsidRPr="008F42BD">
        <w:rPr>
          <w:rFonts w:cs="Arial"/>
          <w:sz w:val="18"/>
          <w:szCs w:val="18"/>
          <w:rtl/>
        </w:rPr>
        <w:t>–</w:t>
      </w:r>
      <w:r w:rsidRPr="008F42BD">
        <w:rPr>
          <w:rFonts w:cs="Arial" w:hint="cs"/>
          <w:sz w:val="18"/>
          <w:szCs w:val="18"/>
          <w:rtl/>
        </w:rPr>
        <w:t xml:space="preserve"> מקור דברי </w:t>
      </w:r>
      <w:r w:rsidRPr="00B30BFF">
        <w:rPr>
          <w:rFonts w:cs="Arial" w:hint="cs"/>
          <w:b/>
          <w:bCs/>
          <w:sz w:val="18"/>
          <w:szCs w:val="18"/>
          <w:rtl/>
        </w:rPr>
        <w:t>הרמב"ם</w:t>
      </w:r>
      <w:r w:rsidRPr="008F42BD">
        <w:rPr>
          <w:rFonts w:cs="Arial" w:hint="cs"/>
          <w:sz w:val="18"/>
          <w:szCs w:val="18"/>
          <w:rtl/>
        </w:rPr>
        <w:t xml:space="preserve"> בסוגייה הנ"ל מסכת שבת. משמע שהבין שהרמב"ם אוסר לישון במיטה אחת.</w:t>
      </w:r>
      <w:r>
        <w:rPr>
          <w:rtl/>
        </w:rPr>
        <w:br/>
      </w:r>
      <w:r w:rsidRPr="00B30BFF">
        <w:rPr>
          <w:rFonts w:hint="cs"/>
          <w:sz w:val="18"/>
          <w:szCs w:val="18"/>
          <w:rtl/>
        </w:rPr>
        <w:t>אמנם, הרמב"ם לא כתב איסור זה להדיא, ו</w:t>
      </w:r>
      <w:r>
        <w:rPr>
          <w:rFonts w:hint="cs"/>
          <w:sz w:val="18"/>
          <w:szCs w:val="18"/>
          <w:rtl/>
        </w:rPr>
        <w:t xml:space="preserve">על פי זה </w:t>
      </w:r>
      <w:r w:rsidRPr="00B30BFF">
        <w:rPr>
          <w:rFonts w:hint="cs"/>
          <w:sz w:val="18"/>
          <w:szCs w:val="18"/>
          <w:rtl/>
        </w:rPr>
        <w:t>כתב בספר '</w:t>
      </w:r>
      <w:r w:rsidRPr="00B30BFF">
        <w:rPr>
          <w:rFonts w:hint="cs"/>
          <w:b/>
          <w:bCs/>
          <w:sz w:val="18"/>
          <w:szCs w:val="18"/>
          <w:rtl/>
        </w:rPr>
        <w:t>שירת</w:t>
      </w:r>
      <w:r w:rsidRPr="00B30BFF">
        <w:rPr>
          <w:rFonts w:hint="cs"/>
          <w:sz w:val="18"/>
          <w:szCs w:val="18"/>
          <w:rtl/>
        </w:rPr>
        <w:t xml:space="preserve"> </w:t>
      </w:r>
      <w:r w:rsidRPr="00B30BFF">
        <w:rPr>
          <w:rFonts w:hint="cs"/>
          <w:b/>
          <w:bCs/>
          <w:sz w:val="18"/>
          <w:szCs w:val="18"/>
          <w:rtl/>
        </w:rPr>
        <w:t>הים</w:t>
      </w:r>
      <w:r w:rsidRPr="00B30BFF">
        <w:rPr>
          <w:rFonts w:hint="cs"/>
          <w:sz w:val="18"/>
          <w:szCs w:val="18"/>
          <w:rtl/>
        </w:rPr>
        <w:t xml:space="preserve">' שיש מהנוהגים כדעת הרמב"ם, שאינם מפרידים מיטותיהם </w:t>
      </w:r>
      <w:r>
        <w:rPr>
          <w:rFonts w:hint="cs"/>
          <w:sz w:val="18"/>
          <w:szCs w:val="18"/>
          <w:rtl/>
        </w:rPr>
        <w:t>כשאשתו נידה.</w:t>
      </w:r>
    </w:p>
  </w:footnote>
  <w:footnote w:id="468">
    <w:p w:rsidR="005953C5" w:rsidRDefault="005953C5" w:rsidP="00620060">
      <w:pPr>
        <w:pStyle w:val="a3"/>
      </w:pPr>
      <w:r w:rsidRPr="00E43B74">
        <w:rPr>
          <w:rStyle w:val="a5"/>
          <w:sz w:val="18"/>
          <w:szCs w:val="18"/>
        </w:rPr>
        <w:footnoteRef/>
      </w:r>
      <w:r w:rsidRPr="00E43B74">
        <w:rPr>
          <w:sz w:val="18"/>
          <w:szCs w:val="18"/>
          <w:rtl/>
        </w:rPr>
        <w:t xml:space="preserve"> </w:t>
      </w:r>
      <w:r w:rsidRPr="00E43B74">
        <w:rPr>
          <w:rFonts w:hint="cs"/>
          <w:b/>
          <w:bCs/>
          <w:sz w:val="18"/>
          <w:szCs w:val="18"/>
          <w:rtl/>
        </w:rPr>
        <w:t>טהרת הבית</w:t>
      </w:r>
      <w:r w:rsidRPr="00E43B74">
        <w:rPr>
          <w:rFonts w:hint="cs"/>
          <w:sz w:val="18"/>
          <w:szCs w:val="18"/>
          <w:rtl/>
        </w:rPr>
        <w:t xml:space="preserve"> </w:t>
      </w:r>
      <w:r w:rsidRPr="00E43B74">
        <w:rPr>
          <w:rFonts w:hint="cs"/>
          <w:sz w:val="16"/>
          <w:szCs w:val="16"/>
          <w:rtl/>
        </w:rPr>
        <w:t xml:space="preserve">(עמ' קנו </w:t>
      </w:r>
      <w:r w:rsidRPr="00E43B74">
        <w:rPr>
          <w:sz w:val="16"/>
          <w:szCs w:val="16"/>
          <w:rtl/>
        </w:rPr>
        <w:t>–</w:t>
      </w:r>
      <w:r w:rsidRPr="00E43B74">
        <w:rPr>
          <w:rFonts w:hint="cs"/>
          <w:sz w:val="16"/>
          <w:szCs w:val="16"/>
          <w:rtl/>
        </w:rPr>
        <w:t xml:space="preserve"> קנז) </w:t>
      </w:r>
      <w:r w:rsidRPr="00E43B74">
        <w:rPr>
          <w:sz w:val="18"/>
          <w:szCs w:val="18"/>
          <w:rtl/>
        </w:rPr>
        <w:t>–</w:t>
      </w:r>
      <w:r w:rsidRPr="00E43B74">
        <w:rPr>
          <w:rFonts w:hint="cs"/>
          <w:sz w:val="18"/>
          <w:szCs w:val="18"/>
          <w:rtl/>
        </w:rPr>
        <w:t xml:space="preserve"> משמע מדברי רוב הראשונים שאיסור קרבה לערווה כשהוא בבגדו והיא בבגדה, אפילו באשת רעהו אינו דאורייתא אלא דרבנן.</w:t>
      </w:r>
    </w:p>
  </w:footnote>
  <w:footnote w:id="469">
    <w:p w:rsidR="005953C5" w:rsidRDefault="005953C5" w:rsidP="00620060">
      <w:pPr>
        <w:pStyle w:val="a3"/>
      </w:pPr>
      <w:r w:rsidRPr="00DE77AE">
        <w:rPr>
          <w:rStyle w:val="a5"/>
          <w:sz w:val="18"/>
          <w:szCs w:val="18"/>
        </w:rPr>
        <w:footnoteRef/>
      </w:r>
      <w:r w:rsidRPr="00DE77AE">
        <w:rPr>
          <w:sz w:val="18"/>
          <w:szCs w:val="18"/>
          <w:rtl/>
        </w:rPr>
        <w:t xml:space="preserve"> </w:t>
      </w:r>
      <w:r w:rsidRPr="00DE77AE">
        <w:rPr>
          <w:rFonts w:hint="cs"/>
          <w:sz w:val="18"/>
          <w:szCs w:val="18"/>
          <w:rtl/>
        </w:rPr>
        <w:t xml:space="preserve">אע"פ </w:t>
      </w:r>
      <w:r w:rsidRPr="00DE77AE">
        <w:rPr>
          <w:rFonts w:hint="cs"/>
          <w:b/>
          <w:bCs/>
          <w:sz w:val="18"/>
          <w:szCs w:val="18"/>
          <w:rtl/>
        </w:rPr>
        <w:t>שהרמ"א</w:t>
      </w:r>
      <w:r w:rsidRPr="00DE77AE">
        <w:rPr>
          <w:rFonts w:hint="cs"/>
          <w:sz w:val="18"/>
          <w:szCs w:val="18"/>
          <w:rtl/>
        </w:rPr>
        <w:t xml:space="preserve"> פסק כדברי </w:t>
      </w:r>
      <w:r w:rsidRPr="00DE77AE">
        <w:rPr>
          <w:rFonts w:hint="cs"/>
          <w:b/>
          <w:bCs/>
          <w:sz w:val="18"/>
          <w:szCs w:val="18"/>
          <w:rtl/>
        </w:rPr>
        <w:t>המרדכי</w:t>
      </w:r>
      <w:r w:rsidRPr="00DE77AE">
        <w:rPr>
          <w:rFonts w:hint="cs"/>
          <w:sz w:val="18"/>
          <w:szCs w:val="18"/>
          <w:rtl/>
        </w:rPr>
        <w:t xml:space="preserve">, השמיט את ההיתר שכתב המרדכי לישון יחד ע"י הפסק ביניהם. </w:t>
      </w:r>
      <w:r>
        <w:rPr>
          <w:sz w:val="18"/>
          <w:szCs w:val="18"/>
          <w:rtl/>
        </w:rPr>
        <w:br/>
      </w:r>
      <w:r w:rsidRPr="00DE77AE">
        <w:rPr>
          <w:rFonts w:hint="cs"/>
          <w:sz w:val="18"/>
          <w:szCs w:val="18"/>
          <w:rtl/>
        </w:rPr>
        <w:t>בין הפוסקים האחרונים לא מצאתי התייחסות משמעותית לאפשרות זאת, למעט בספר '</w:t>
      </w:r>
      <w:r w:rsidRPr="00DE77AE">
        <w:rPr>
          <w:rFonts w:hint="cs"/>
          <w:b/>
          <w:bCs/>
          <w:sz w:val="18"/>
          <w:szCs w:val="18"/>
          <w:rtl/>
        </w:rPr>
        <w:t>שערי</w:t>
      </w:r>
      <w:r w:rsidRPr="00DE77AE">
        <w:rPr>
          <w:rFonts w:hint="cs"/>
          <w:sz w:val="18"/>
          <w:szCs w:val="18"/>
          <w:rtl/>
        </w:rPr>
        <w:t xml:space="preserve"> </w:t>
      </w:r>
      <w:r w:rsidRPr="00DE77AE">
        <w:rPr>
          <w:rFonts w:hint="cs"/>
          <w:b/>
          <w:bCs/>
          <w:sz w:val="18"/>
          <w:szCs w:val="18"/>
          <w:rtl/>
        </w:rPr>
        <w:t>אורה</w:t>
      </w:r>
      <w:r w:rsidRPr="00DE77AE">
        <w:rPr>
          <w:rFonts w:hint="cs"/>
          <w:sz w:val="18"/>
          <w:szCs w:val="18"/>
          <w:rtl/>
        </w:rPr>
        <w:t>'</w:t>
      </w:r>
      <w:r>
        <w:rPr>
          <w:rFonts w:hint="cs"/>
          <w:sz w:val="18"/>
          <w:szCs w:val="18"/>
          <w:rtl/>
        </w:rPr>
        <w:t>.</w:t>
      </w:r>
      <w:r w:rsidRPr="00DE77AE">
        <w:rPr>
          <w:rFonts w:hint="cs"/>
          <w:sz w:val="18"/>
          <w:szCs w:val="18"/>
          <w:rtl/>
        </w:rPr>
        <w:t xml:space="preserve"> </w:t>
      </w:r>
      <w:r>
        <w:rPr>
          <w:rFonts w:hint="cs"/>
          <w:sz w:val="18"/>
          <w:szCs w:val="18"/>
          <w:rtl/>
        </w:rPr>
        <w:t xml:space="preserve">ופסק שם, </w:t>
      </w:r>
      <w:r w:rsidRPr="00DE77AE">
        <w:rPr>
          <w:rFonts w:hint="cs"/>
          <w:sz w:val="18"/>
          <w:szCs w:val="18"/>
          <w:rtl/>
        </w:rPr>
        <w:t xml:space="preserve">שכשאין אפשרות להפריד בין המיטות צריך אחד מבני הזוג להוריד מזרון ולישון על הרצפה, ואם גם זה אינו אפשרי </w:t>
      </w:r>
      <w:r w:rsidRPr="00DE77AE">
        <w:rPr>
          <w:rFonts w:hint="cs"/>
          <w:sz w:val="16"/>
          <w:szCs w:val="16"/>
          <w:rtl/>
        </w:rPr>
        <w:t xml:space="preserve">(כגון שיש מזרון אחד גדול עבור שניהם) </w:t>
      </w:r>
      <w:r w:rsidRPr="00DE77AE">
        <w:rPr>
          <w:rFonts w:hint="cs"/>
          <w:sz w:val="18"/>
          <w:szCs w:val="18"/>
          <w:rtl/>
        </w:rPr>
        <w:t>מותר לישון יחד ע"י שיניחו הפסק גדול ומשמעותי לרוב אורך המיטה, והפסק זה אינו רק מחמת היכר אלא צריך למנוע קרבה פיזית ביניהם.</w:t>
      </w:r>
    </w:p>
  </w:footnote>
  <w:footnote w:id="470">
    <w:p w:rsidR="005953C5" w:rsidRDefault="005953C5" w:rsidP="00620060">
      <w:pPr>
        <w:pStyle w:val="a3"/>
        <w:rPr>
          <w:rtl/>
        </w:rPr>
      </w:pPr>
      <w:r w:rsidRPr="00BD70D5">
        <w:rPr>
          <w:rStyle w:val="a5"/>
          <w:sz w:val="18"/>
          <w:szCs w:val="18"/>
        </w:rPr>
        <w:footnoteRef/>
      </w:r>
      <w:r w:rsidRPr="00BD70D5">
        <w:rPr>
          <w:sz w:val="18"/>
          <w:szCs w:val="18"/>
          <w:rtl/>
        </w:rPr>
        <w:t xml:space="preserve"> </w:t>
      </w:r>
      <w:r w:rsidRPr="00BD70D5">
        <w:rPr>
          <w:rFonts w:hint="cs"/>
          <w:b/>
          <w:bCs/>
          <w:sz w:val="18"/>
          <w:szCs w:val="18"/>
          <w:rtl/>
        </w:rPr>
        <w:t>בדי השולחן</w:t>
      </w:r>
      <w:r w:rsidRPr="00BD70D5">
        <w:rPr>
          <w:rFonts w:hint="cs"/>
          <w:sz w:val="18"/>
          <w:szCs w:val="18"/>
          <w:rtl/>
        </w:rPr>
        <w:t xml:space="preserve"> </w:t>
      </w:r>
      <w:r w:rsidRPr="00BD70D5">
        <w:rPr>
          <w:sz w:val="18"/>
          <w:szCs w:val="18"/>
          <w:rtl/>
        </w:rPr>
        <w:t>–</w:t>
      </w:r>
      <w:r w:rsidRPr="00BD70D5">
        <w:rPr>
          <w:rFonts w:hint="cs"/>
          <w:sz w:val="18"/>
          <w:szCs w:val="18"/>
          <w:rtl/>
        </w:rPr>
        <w:t xml:space="preserve"> שינה לאו דווקא, הוא הדין שאין לשכב עמה יחד במיטה כשאינו ישן, וכן היא לשון </w:t>
      </w:r>
      <w:r w:rsidRPr="00BD70D5">
        <w:rPr>
          <w:rFonts w:hint="cs"/>
          <w:b/>
          <w:bCs/>
          <w:sz w:val="18"/>
          <w:szCs w:val="18"/>
          <w:rtl/>
        </w:rPr>
        <w:t>הרמב"ן</w:t>
      </w:r>
      <w:r w:rsidRPr="00BD70D5">
        <w:rPr>
          <w:rFonts w:hint="cs"/>
          <w:sz w:val="18"/>
          <w:szCs w:val="18"/>
          <w:rtl/>
        </w:rPr>
        <w:t xml:space="preserve"> "לא ישכב עמה על מיטה אחת". ומה שכתב </w:t>
      </w:r>
      <w:r w:rsidRPr="00BD70D5">
        <w:rPr>
          <w:rFonts w:hint="cs"/>
          <w:b/>
          <w:bCs/>
          <w:sz w:val="18"/>
          <w:szCs w:val="18"/>
          <w:rtl/>
        </w:rPr>
        <w:t>המחבר</w:t>
      </w:r>
      <w:r w:rsidRPr="00BD70D5">
        <w:rPr>
          <w:rFonts w:hint="cs"/>
          <w:sz w:val="18"/>
          <w:szCs w:val="18"/>
          <w:rtl/>
        </w:rPr>
        <w:t xml:space="preserve"> לשון שינה, רבותא קמ"ל, שאע"פ שהדרך היא לישון בקירוב בשר, וא"כ שינה בבגדים היא שינוי, אין שינוי זה מתיר.</w:t>
      </w:r>
    </w:p>
  </w:footnote>
  <w:footnote w:id="471">
    <w:p w:rsidR="005953C5" w:rsidRDefault="005953C5" w:rsidP="00620060">
      <w:pPr>
        <w:pStyle w:val="a3"/>
      </w:pPr>
      <w:r w:rsidRPr="00886F4F">
        <w:rPr>
          <w:rStyle w:val="a5"/>
          <w:sz w:val="18"/>
          <w:szCs w:val="18"/>
        </w:rPr>
        <w:footnoteRef/>
      </w:r>
      <w:r w:rsidRPr="00886F4F">
        <w:rPr>
          <w:sz w:val="18"/>
          <w:szCs w:val="18"/>
          <w:rtl/>
        </w:rPr>
        <w:t xml:space="preserve"> </w:t>
      </w:r>
      <w:r w:rsidRPr="00886F4F">
        <w:rPr>
          <w:rFonts w:hint="cs"/>
          <w:sz w:val="18"/>
          <w:szCs w:val="18"/>
          <w:rtl/>
        </w:rPr>
        <w:t xml:space="preserve">נראה ש"ראש" לאו דווקא, שהרי </w:t>
      </w:r>
      <w:r w:rsidRPr="00886F4F">
        <w:rPr>
          <w:rFonts w:hint="cs"/>
          <w:b/>
          <w:bCs/>
          <w:sz w:val="18"/>
          <w:szCs w:val="18"/>
          <w:rtl/>
        </w:rPr>
        <w:t>הפת"ש</w:t>
      </w:r>
      <w:r w:rsidRPr="00886F4F">
        <w:rPr>
          <w:rFonts w:hint="cs"/>
          <w:sz w:val="18"/>
          <w:szCs w:val="18"/>
          <w:rtl/>
        </w:rPr>
        <w:t xml:space="preserve"> כתב להדיא להקל אף כשראשה נוגע ברגלי חברתה. </w:t>
      </w:r>
      <w:r>
        <w:rPr>
          <w:sz w:val="18"/>
          <w:szCs w:val="18"/>
          <w:rtl/>
        </w:rPr>
        <w:br/>
      </w:r>
      <w:r w:rsidRPr="00886F4F">
        <w:rPr>
          <w:rFonts w:hint="cs"/>
          <w:sz w:val="18"/>
          <w:szCs w:val="18"/>
          <w:rtl/>
        </w:rPr>
        <w:t xml:space="preserve">ברם, עיקר דברי </w:t>
      </w:r>
      <w:r w:rsidRPr="00886F4F">
        <w:rPr>
          <w:rFonts w:hint="cs"/>
          <w:b/>
          <w:bCs/>
          <w:sz w:val="18"/>
          <w:szCs w:val="18"/>
          <w:rtl/>
        </w:rPr>
        <w:t>ששבה"ל</w:t>
      </w:r>
      <w:r w:rsidRPr="00886F4F">
        <w:rPr>
          <w:rFonts w:hint="cs"/>
          <w:sz w:val="18"/>
          <w:szCs w:val="18"/>
          <w:rtl/>
        </w:rPr>
        <w:t xml:space="preserve"> אינם ברורים לי, שהרי </w:t>
      </w:r>
      <w:r w:rsidRPr="00886F4F">
        <w:rPr>
          <w:rFonts w:hint="cs"/>
          <w:b/>
          <w:bCs/>
          <w:sz w:val="18"/>
          <w:szCs w:val="18"/>
          <w:rtl/>
        </w:rPr>
        <w:t>הפת"ש</w:t>
      </w:r>
      <w:r w:rsidRPr="00886F4F">
        <w:rPr>
          <w:rFonts w:hint="cs"/>
          <w:sz w:val="18"/>
          <w:szCs w:val="18"/>
          <w:rtl/>
        </w:rPr>
        <w:t xml:space="preserve"> כתב בטעם האיסור שהוא דווקא כשישן פניו מול פניה, משום שע"י שרואה את אשתו יבוא לעבירה, ומשמע שבכל אופן אחר, אפילו כעין "ר" יש להקל, וצ"ע. </w:t>
      </w:r>
    </w:p>
  </w:footnote>
  <w:footnote w:id="472">
    <w:p w:rsidR="005953C5" w:rsidRDefault="005953C5" w:rsidP="00620060">
      <w:pPr>
        <w:pStyle w:val="a3"/>
        <w:rPr>
          <w:rtl/>
        </w:rPr>
      </w:pPr>
      <w:r w:rsidRPr="00605645">
        <w:rPr>
          <w:rStyle w:val="a5"/>
          <w:sz w:val="18"/>
          <w:szCs w:val="18"/>
        </w:rPr>
        <w:footnoteRef/>
      </w:r>
      <w:r w:rsidRPr="00605645">
        <w:rPr>
          <w:sz w:val="18"/>
          <w:szCs w:val="18"/>
          <w:rtl/>
        </w:rPr>
        <w:t xml:space="preserve"> </w:t>
      </w:r>
      <w:r w:rsidRPr="00605645">
        <w:rPr>
          <w:rFonts w:hint="cs"/>
          <w:sz w:val="18"/>
          <w:szCs w:val="18"/>
          <w:rtl/>
        </w:rPr>
        <w:t xml:space="preserve">ועל חומרת שבט הלוי המובאת בסמוך, להרחיק עד כדי שלא יוכלו לנגוע זה בזה ע"י הושטת יד, כתב </w:t>
      </w:r>
      <w:r w:rsidRPr="00605645">
        <w:rPr>
          <w:rFonts w:hint="cs"/>
          <w:b/>
          <w:bCs/>
          <w:sz w:val="18"/>
          <w:szCs w:val="18"/>
          <w:rtl/>
        </w:rPr>
        <w:t>טה"ב</w:t>
      </w:r>
      <w:r w:rsidRPr="00605645">
        <w:rPr>
          <w:rFonts w:hint="cs"/>
          <w:sz w:val="18"/>
          <w:szCs w:val="18"/>
          <w:rtl/>
        </w:rPr>
        <w:t xml:space="preserve"> </w:t>
      </w:r>
      <w:r w:rsidRPr="00605645">
        <w:rPr>
          <w:sz w:val="18"/>
          <w:szCs w:val="18"/>
          <w:rtl/>
        </w:rPr>
        <w:t>–</w:t>
      </w:r>
      <w:r w:rsidRPr="00605645">
        <w:rPr>
          <w:rFonts w:hint="cs"/>
          <w:sz w:val="18"/>
          <w:szCs w:val="18"/>
          <w:rtl/>
        </w:rPr>
        <w:t xml:space="preserve"> "אין לזה כל יסוד בהלכה. והמחמיר יחמיר לעצמו, אבל אין להורות כן לאחרים, ולא תוסיפו פן תגרעו".</w:t>
      </w:r>
    </w:p>
  </w:footnote>
  <w:footnote w:id="473">
    <w:p w:rsidR="005953C5" w:rsidRDefault="005953C5" w:rsidP="00620060">
      <w:pPr>
        <w:pStyle w:val="a3"/>
      </w:pPr>
      <w:r w:rsidRPr="00FF5C3A">
        <w:rPr>
          <w:rStyle w:val="a5"/>
          <w:sz w:val="18"/>
          <w:szCs w:val="18"/>
        </w:rPr>
        <w:footnoteRef/>
      </w:r>
      <w:r w:rsidRPr="00FF5C3A">
        <w:rPr>
          <w:sz w:val="18"/>
          <w:szCs w:val="18"/>
          <w:rtl/>
        </w:rPr>
        <w:t xml:space="preserve"> </w:t>
      </w:r>
      <w:r w:rsidRPr="00FF5C3A">
        <w:rPr>
          <w:rFonts w:hint="cs"/>
          <w:sz w:val="18"/>
          <w:szCs w:val="18"/>
          <w:rtl/>
        </w:rPr>
        <w:t xml:space="preserve">ומקור דין זה </w:t>
      </w:r>
      <w:r w:rsidRPr="00FF5C3A">
        <w:rPr>
          <w:rFonts w:hint="cs"/>
          <w:b/>
          <w:bCs/>
          <w:sz w:val="18"/>
          <w:szCs w:val="18"/>
          <w:rtl/>
        </w:rPr>
        <w:t xml:space="preserve">בגמרא </w:t>
      </w:r>
      <w:r w:rsidRPr="00FF5C3A">
        <w:rPr>
          <w:rFonts w:hint="cs"/>
          <w:sz w:val="18"/>
          <w:szCs w:val="18"/>
          <w:rtl/>
        </w:rPr>
        <w:t>עירובין (סג:) "</w:t>
      </w:r>
      <w:r w:rsidRPr="00FF5C3A">
        <w:rPr>
          <w:rFonts w:cs="Arial"/>
          <w:sz w:val="18"/>
          <w:szCs w:val="18"/>
          <w:rtl/>
        </w:rPr>
        <w:t xml:space="preserve">אמר רב ברונא אמר רב: כל הישן בקילעא שאיש ואשתו שרויין בה - עליו הכתוב אומר נשי עמי תגרשון מבית תענוגיה. ואמר רב יוסף: </w:t>
      </w:r>
      <w:r w:rsidRPr="00FF5C3A">
        <w:rPr>
          <w:rFonts w:cs="Arial"/>
          <w:sz w:val="18"/>
          <w:szCs w:val="18"/>
          <w:u w:val="single"/>
          <w:rtl/>
        </w:rPr>
        <w:t>אפילו באשתו נדה</w:t>
      </w:r>
      <w:r w:rsidRPr="00FF5C3A">
        <w:rPr>
          <w:rFonts w:cs="Arial" w:hint="cs"/>
          <w:sz w:val="18"/>
          <w:szCs w:val="18"/>
          <w:rtl/>
        </w:rPr>
        <w:t>".</w:t>
      </w:r>
    </w:p>
  </w:footnote>
  <w:footnote w:id="474">
    <w:p w:rsidR="005953C5" w:rsidRDefault="005953C5" w:rsidP="00620060">
      <w:pPr>
        <w:pStyle w:val="a3"/>
      </w:pPr>
      <w:r w:rsidRPr="00B3641B">
        <w:rPr>
          <w:rStyle w:val="a5"/>
          <w:sz w:val="18"/>
          <w:szCs w:val="18"/>
        </w:rPr>
        <w:footnoteRef/>
      </w:r>
      <w:r w:rsidRPr="00B3641B">
        <w:rPr>
          <w:sz w:val="18"/>
          <w:szCs w:val="18"/>
          <w:rtl/>
        </w:rPr>
        <w:t xml:space="preserve"> </w:t>
      </w:r>
      <w:r w:rsidRPr="00B3641B">
        <w:rPr>
          <w:rFonts w:hint="cs"/>
          <w:b/>
          <w:bCs/>
          <w:sz w:val="18"/>
          <w:szCs w:val="18"/>
          <w:rtl/>
        </w:rPr>
        <w:t>בדי השולחן</w:t>
      </w:r>
      <w:r w:rsidRPr="00B3641B">
        <w:rPr>
          <w:rFonts w:hint="cs"/>
          <w:sz w:val="18"/>
          <w:szCs w:val="18"/>
          <w:rtl/>
        </w:rPr>
        <w:t xml:space="preserve"> מסופק בדין מיטת קומתיים, האם יש לאסור משום שהן נוגעות זו בזו, ונטה להקל ע"פ סברת הפת"ש שכל שאינן נראות מיטה אחת שרי. אמנם, הוסיף להסתפק מצד שבדרך כלל במיטות אלו מצוי שהן מתנדנדות מעט ואחד מרגיש בשכיבת השני, והציע לתלות זאת במחלוקת </w:t>
      </w:r>
      <w:r w:rsidRPr="00B3641B">
        <w:rPr>
          <w:rFonts w:hint="cs"/>
          <w:b/>
          <w:bCs/>
          <w:sz w:val="18"/>
          <w:szCs w:val="18"/>
          <w:rtl/>
        </w:rPr>
        <w:t>הט"ז והש"ך</w:t>
      </w:r>
      <w:r w:rsidRPr="00B3641B">
        <w:rPr>
          <w:rFonts w:hint="cs"/>
          <w:sz w:val="18"/>
          <w:szCs w:val="18"/>
          <w:rtl/>
        </w:rPr>
        <w:t xml:space="preserve"> בטעם איסור ספסל. לדעת </w:t>
      </w:r>
      <w:r w:rsidRPr="00B3641B">
        <w:rPr>
          <w:rFonts w:hint="cs"/>
          <w:b/>
          <w:bCs/>
          <w:sz w:val="18"/>
          <w:szCs w:val="18"/>
          <w:rtl/>
        </w:rPr>
        <w:t>הש"ך</w:t>
      </w:r>
      <w:r w:rsidRPr="00B3641B">
        <w:rPr>
          <w:rFonts w:hint="cs"/>
          <w:sz w:val="18"/>
          <w:szCs w:val="18"/>
          <w:rtl/>
        </w:rPr>
        <w:t xml:space="preserve"> שנדנוד הוי כנגיעה אסור, אך לדעת </w:t>
      </w:r>
      <w:r w:rsidRPr="00B3641B">
        <w:rPr>
          <w:rFonts w:hint="cs"/>
          <w:b/>
          <w:bCs/>
          <w:sz w:val="18"/>
          <w:szCs w:val="18"/>
          <w:rtl/>
        </w:rPr>
        <w:t xml:space="preserve">הט"ז </w:t>
      </w:r>
      <w:r w:rsidRPr="00B3641B">
        <w:rPr>
          <w:rFonts w:hint="cs"/>
          <w:sz w:val="18"/>
          <w:szCs w:val="18"/>
          <w:rtl/>
        </w:rPr>
        <w:t>שנדנוד אסור מטעם קירוב וחיבה יש לומר שבכה"ג אין קירוב, וסיים בצ"ע.</w:t>
      </w:r>
    </w:p>
  </w:footnote>
  <w:footnote w:id="475">
    <w:p w:rsidR="005953C5" w:rsidRDefault="005953C5" w:rsidP="00620060">
      <w:pPr>
        <w:pStyle w:val="a3"/>
      </w:pPr>
      <w:r w:rsidRPr="00405BF5">
        <w:rPr>
          <w:rStyle w:val="a5"/>
          <w:sz w:val="18"/>
          <w:szCs w:val="18"/>
        </w:rPr>
        <w:footnoteRef/>
      </w:r>
      <w:r w:rsidRPr="00405BF5">
        <w:rPr>
          <w:sz w:val="18"/>
          <w:szCs w:val="18"/>
          <w:rtl/>
        </w:rPr>
        <w:t xml:space="preserve"> </w:t>
      </w:r>
      <w:r w:rsidRPr="00405BF5">
        <w:rPr>
          <w:rFonts w:hint="cs"/>
          <w:sz w:val="18"/>
          <w:szCs w:val="18"/>
          <w:rtl/>
        </w:rPr>
        <w:t>עוד יש להוכיח זאת מכך, שלדעת חלק מהראשונים איסור הוא בבגדו והוא בבגדה אינו דאורייתא אלא דרבנן, ולכן אין הכרח לומר את הכלל 'אין היקש למחצה' בהיקש זה.</w:t>
      </w:r>
    </w:p>
  </w:footnote>
  <w:footnote w:id="476">
    <w:p w:rsidR="005953C5" w:rsidRDefault="005953C5" w:rsidP="00620060">
      <w:pPr>
        <w:pStyle w:val="a3"/>
      </w:pPr>
      <w:r w:rsidRPr="002A3DF2">
        <w:rPr>
          <w:rStyle w:val="a5"/>
          <w:sz w:val="18"/>
          <w:szCs w:val="18"/>
        </w:rPr>
        <w:footnoteRef/>
      </w:r>
      <w:r w:rsidRPr="002A3DF2">
        <w:rPr>
          <w:sz w:val="18"/>
          <w:szCs w:val="18"/>
          <w:rtl/>
        </w:rPr>
        <w:t xml:space="preserve"> </w:t>
      </w:r>
      <w:r w:rsidRPr="002A3DF2">
        <w:rPr>
          <w:rFonts w:hint="cs"/>
          <w:sz w:val="18"/>
          <w:szCs w:val="18"/>
          <w:rtl/>
        </w:rPr>
        <w:t>האם מותר להביט באשתו נידה אפילו במקומות המכוסים שבה לדעת הרמב"ם?</w:t>
      </w:r>
      <w:r w:rsidRPr="002A3DF2">
        <w:rPr>
          <w:rFonts w:hint="cs"/>
          <w:sz w:val="18"/>
          <w:szCs w:val="18"/>
          <w:rtl/>
        </w:rPr>
        <w:br/>
      </w:r>
      <w:r w:rsidRPr="002A3DF2">
        <w:rPr>
          <w:rFonts w:hint="cs"/>
          <w:b/>
          <w:bCs/>
          <w:sz w:val="18"/>
          <w:szCs w:val="18"/>
          <w:rtl/>
        </w:rPr>
        <w:t>הראב"ד</w:t>
      </w:r>
      <w:r w:rsidRPr="002A3DF2">
        <w:rPr>
          <w:rFonts w:hint="cs"/>
          <w:sz w:val="18"/>
          <w:szCs w:val="18"/>
          <w:rtl/>
        </w:rPr>
        <w:t xml:space="preserve"> השיג על הרמב"ם וכתב: </w:t>
      </w:r>
      <w:r w:rsidRPr="002A3DF2">
        <w:rPr>
          <w:rFonts w:cs="Arial" w:hint="cs"/>
          <w:sz w:val="18"/>
          <w:szCs w:val="18"/>
          <w:rtl/>
        </w:rPr>
        <w:t>"</w:t>
      </w:r>
      <w:r w:rsidRPr="002A3DF2">
        <w:rPr>
          <w:rFonts w:cs="Arial"/>
          <w:sz w:val="18"/>
          <w:szCs w:val="18"/>
          <w:rtl/>
        </w:rPr>
        <w:t>אבל לא במקום הסתר שלה</w:t>
      </w:r>
      <w:r w:rsidRPr="002A3DF2">
        <w:rPr>
          <w:rFonts w:hint="cs"/>
          <w:sz w:val="18"/>
          <w:szCs w:val="18"/>
          <w:rtl/>
        </w:rPr>
        <w:t xml:space="preserve">", אך </w:t>
      </w:r>
      <w:r w:rsidRPr="002A3DF2">
        <w:rPr>
          <w:rFonts w:hint="cs"/>
          <w:b/>
          <w:bCs/>
          <w:sz w:val="18"/>
          <w:szCs w:val="18"/>
          <w:rtl/>
        </w:rPr>
        <w:t>המגיד משנה</w:t>
      </w:r>
      <w:r w:rsidRPr="002A3DF2">
        <w:rPr>
          <w:rFonts w:hint="cs"/>
          <w:sz w:val="18"/>
          <w:szCs w:val="18"/>
          <w:rtl/>
        </w:rPr>
        <w:t xml:space="preserve"> מיישב: "</w:t>
      </w:r>
      <w:r w:rsidRPr="002A3DF2">
        <w:rPr>
          <w:rFonts w:cs="Arial"/>
          <w:sz w:val="18"/>
          <w:szCs w:val="18"/>
          <w:rtl/>
        </w:rPr>
        <w:t>ובנדרים לא הזכירו אלא במקום הט</w:t>
      </w:r>
      <w:r w:rsidRPr="002A3DF2">
        <w:rPr>
          <w:rFonts w:cs="Arial" w:hint="cs"/>
          <w:sz w:val="18"/>
          <w:szCs w:val="18"/>
          <w:rtl/>
        </w:rPr>
        <w:t>י</w:t>
      </w:r>
      <w:r w:rsidRPr="002A3DF2">
        <w:rPr>
          <w:rFonts w:cs="Arial"/>
          <w:sz w:val="18"/>
          <w:szCs w:val="18"/>
          <w:rtl/>
        </w:rPr>
        <w:t>נופת</w:t>
      </w:r>
      <w:r w:rsidRPr="002A3DF2">
        <w:rPr>
          <w:rFonts w:cs="Arial" w:hint="cs"/>
          <w:sz w:val="18"/>
          <w:szCs w:val="18"/>
          <w:rtl/>
        </w:rPr>
        <w:t>,</w:t>
      </w:r>
      <w:r w:rsidRPr="002A3DF2">
        <w:rPr>
          <w:rFonts w:cs="Arial"/>
          <w:sz w:val="18"/>
          <w:szCs w:val="18"/>
          <w:rtl/>
        </w:rPr>
        <w:t xml:space="preserve"> אבל לא הוצרך רבינו לבאר איסורו שכבר כתב ולא ישחוק ולא יקל עמה וכ</w:t>
      </w:r>
      <w:r w:rsidRPr="002A3DF2">
        <w:rPr>
          <w:rFonts w:cs="Arial" w:hint="cs"/>
          <w:sz w:val="18"/>
          <w:szCs w:val="18"/>
          <w:rtl/>
        </w:rPr>
        <w:t xml:space="preserve">ל </w:t>
      </w:r>
      <w:r w:rsidRPr="002A3DF2">
        <w:rPr>
          <w:rFonts w:cs="Arial"/>
          <w:sz w:val="18"/>
          <w:szCs w:val="18"/>
          <w:rtl/>
        </w:rPr>
        <w:t>ש</w:t>
      </w:r>
      <w:r w:rsidRPr="002A3DF2">
        <w:rPr>
          <w:rFonts w:cs="Arial" w:hint="cs"/>
          <w:sz w:val="18"/>
          <w:szCs w:val="18"/>
          <w:rtl/>
        </w:rPr>
        <w:t>כן</w:t>
      </w:r>
      <w:r w:rsidRPr="002A3DF2">
        <w:rPr>
          <w:rFonts w:cs="Arial"/>
          <w:sz w:val="18"/>
          <w:szCs w:val="18"/>
          <w:rtl/>
        </w:rPr>
        <w:t xml:space="preserve"> ההסתכלות </w:t>
      </w:r>
      <w:r w:rsidRPr="002A3DF2">
        <w:rPr>
          <w:rFonts w:cs="Arial"/>
          <w:sz w:val="18"/>
          <w:szCs w:val="18"/>
          <w:u w:val="single"/>
          <w:rtl/>
        </w:rPr>
        <w:t>באותו מקום</w:t>
      </w:r>
      <w:r w:rsidRPr="002A3DF2">
        <w:rPr>
          <w:rFonts w:cs="Arial" w:hint="cs"/>
          <w:sz w:val="18"/>
          <w:szCs w:val="18"/>
          <w:rtl/>
        </w:rPr>
        <w:t>".</w:t>
      </w:r>
      <w:r w:rsidRPr="002A3DF2">
        <w:rPr>
          <w:rFonts w:hint="cs"/>
          <w:sz w:val="18"/>
          <w:szCs w:val="18"/>
          <w:rtl/>
        </w:rPr>
        <w:t xml:space="preserve"> משמע מדבריו שמותר להסתכל אפילו במקומות המכוסים שבה.</w:t>
      </w:r>
      <w:r w:rsidRPr="002A3DF2">
        <w:rPr>
          <w:sz w:val="18"/>
          <w:szCs w:val="18"/>
          <w:rtl/>
        </w:rPr>
        <w:br/>
      </w:r>
      <w:r w:rsidRPr="002A3DF2">
        <w:rPr>
          <w:rFonts w:hint="cs"/>
          <w:sz w:val="18"/>
          <w:szCs w:val="18"/>
          <w:rtl/>
        </w:rPr>
        <w:t xml:space="preserve">אמנם, </w:t>
      </w:r>
      <w:r w:rsidRPr="002A3DF2">
        <w:rPr>
          <w:rFonts w:hint="cs"/>
          <w:b/>
          <w:bCs/>
          <w:sz w:val="18"/>
          <w:szCs w:val="18"/>
          <w:rtl/>
        </w:rPr>
        <w:t>הבית יוסף</w:t>
      </w:r>
      <w:r w:rsidRPr="002A3DF2">
        <w:rPr>
          <w:rFonts w:hint="cs"/>
          <w:sz w:val="18"/>
          <w:szCs w:val="18"/>
          <w:rtl/>
        </w:rPr>
        <w:t xml:space="preserve"> הביא את דברי </w:t>
      </w:r>
      <w:r w:rsidRPr="002A3DF2">
        <w:rPr>
          <w:rFonts w:hint="cs"/>
          <w:b/>
          <w:bCs/>
          <w:sz w:val="18"/>
          <w:szCs w:val="18"/>
          <w:rtl/>
        </w:rPr>
        <w:t>הרמב"ם</w:t>
      </w:r>
      <w:r w:rsidRPr="002A3DF2">
        <w:rPr>
          <w:rFonts w:hint="cs"/>
          <w:sz w:val="18"/>
          <w:szCs w:val="18"/>
          <w:rtl/>
        </w:rPr>
        <w:t xml:space="preserve"> האלו כדי לבאר שמותר להסתכל בשאר המקומות שאינם מכוסים, ואולי ניתן לדייק מדבריו שהבין בדעת הרמב"ם שבמקומות המכוסים אסור להסתכל, אך מכל מקום לא כתב זאת להדיא.</w:t>
      </w:r>
      <w:r w:rsidRPr="002A3DF2">
        <w:rPr>
          <w:sz w:val="18"/>
          <w:szCs w:val="18"/>
          <w:rtl/>
        </w:rPr>
        <w:br/>
      </w:r>
      <w:r w:rsidRPr="002A3DF2">
        <w:rPr>
          <w:rFonts w:hint="cs"/>
          <w:sz w:val="18"/>
          <w:szCs w:val="18"/>
          <w:rtl/>
        </w:rPr>
        <w:t xml:space="preserve">ועיין </w:t>
      </w:r>
      <w:r w:rsidRPr="002A3DF2">
        <w:rPr>
          <w:rFonts w:hint="cs"/>
          <w:b/>
          <w:bCs/>
          <w:sz w:val="18"/>
          <w:szCs w:val="18"/>
          <w:rtl/>
        </w:rPr>
        <w:t xml:space="preserve">בטהרת הבית </w:t>
      </w:r>
      <w:r w:rsidRPr="002A3DF2">
        <w:rPr>
          <w:rFonts w:hint="cs"/>
          <w:sz w:val="16"/>
          <w:szCs w:val="16"/>
          <w:rtl/>
        </w:rPr>
        <w:t xml:space="preserve">(עמ' קסג </w:t>
      </w:r>
      <w:r w:rsidRPr="002A3DF2">
        <w:rPr>
          <w:sz w:val="16"/>
          <w:szCs w:val="16"/>
          <w:rtl/>
        </w:rPr>
        <w:t>–</w:t>
      </w:r>
      <w:r w:rsidRPr="002A3DF2">
        <w:rPr>
          <w:rFonts w:hint="cs"/>
          <w:sz w:val="16"/>
          <w:szCs w:val="16"/>
          <w:rtl/>
        </w:rPr>
        <w:t xml:space="preserve"> קסו) </w:t>
      </w:r>
      <w:r w:rsidRPr="002A3DF2">
        <w:rPr>
          <w:rFonts w:hint="cs"/>
          <w:sz w:val="18"/>
          <w:szCs w:val="18"/>
          <w:rtl/>
        </w:rPr>
        <w:t xml:space="preserve">שהרחיב בביאור דעת הרמב"ם, והעלה להקל. </w:t>
      </w:r>
      <w:r w:rsidRPr="002A3DF2">
        <w:rPr>
          <w:sz w:val="18"/>
          <w:szCs w:val="18"/>
          <w:rtl/>
        </w:rPr>
        <w:br/>
      </w:r>
      <w:r w:rsidRPr="002A3DF2">
        <w:rPr>
          <w:rFonts w:hint="cs"/>
          <w:sz w:val="18"/>
          <w:szCs w:val="18"/>
          <w:rtl/>
        </w:rPr>
        <w:t xml:space="preserve">בנוסף, הביא שם ראשונים נוספים המקלים ומתירים להסתכל במקומות המכוסים באשתו נידה. </w:t>
      </w:r>
      <w:r w:rsidRPr="002A3DF2">
        <w:rPr>
          <w:sz w:val="18"/>
          <w:szCs w:val="18"/>
          <w:rtl/>
        </w:rPr>
        <w:br/>
      </w:r>
      <w:r w:rsidRPr="002A3DF2">
        <w:rPr>
          <w:rFonts w:hint="cs"/>
          <w:sz w:val="18"/>
          <w:szCs w:val="18"/>
          <w:rtl/>
        </w:rPr>
        <w:t xml:space="preserve">בנוסף, הביא את דברי </w:t>
      </w:r>
      <w:r w:rsidRPr="002A3DF2">
        <w:rPr>
          <w:rFonts w:hint="cs"/>
          <w:b/>
          <w:bCs/>
          <w:sz w:val="18"/>
          <w:szCs w:val="18"/>
          <w:rtl/>
        </w:rPr>
        <w:t>הבית יוסף</w:t>
      </w:r>
      <w:r w:rsidRPr="002A3DF2">
        <w:rPr>
          <w:rFonts w:hint="cs"/>
          <w:sz w:val="18"/>
          <w:szCs w:val="18"/>
          <w:rtl/>
        </w:rPr>
        <w:t xml:space="preserve"> כאן שמשמע שהשווה את דעת הרמב"ם לדעת הרשב"א האוסר להסתכל במקומות המכוסים, אך מאידך הביא את דברי </w:t>
      </w:r>
      <w:r w:rsidRPr="002A3DF2">
        <w:rPr>
          <w:rFonts w:hint="cs"/>
          <w:b/>
          <w:bCs/>
          <w:sz w:val="18"/>
          <w:szCs w:val="18"/>
          <w:rtl/>
        </w:rPr>
        <w:t>הב"י</w:t>
      </w:r>
      <w:r w:rsidRPr="002A3DF2">
        <w:rPr>
          <w:rFonts w:hint="cs"/>
          <w:sz w:val="18"/>
          <w:szCs w:val="18"/>
          <w:rtl/>
        </w:rPr>
        <w:t xml:space="preserve"> באבן העזר (סימן כא') ששם פירש את הרמב"ם כהסבר המגיד משנה שרק הסתכלות במקום התורף אסורה!</w:t>
      </w:r>
      <w:r w:rsidRPr="002A3DF2">
        <w:rPr>
          <w:rFonts w:hint="cs"/>
          <w:sz w:val="18"/>
          <w:szCs w:val="18"/>
          <w:rtl/>
        </w:rPr>
        <w:br/>
        <w:t>ולכן הסיק לדינא, שאע"פ שמעיקר הדין סובר הבית יוסף שמותר להסתכל באשתו נידה אפילו במקומות המכוסים, מ</w:t>
      </w:r>
      <w:r>
        <w:rPr>
          <w:rFonts w:hint="cs"/>
          <w:sz w:val="18"/>
          <w:szCs w:val="18"/>
          <w:rtl/>
        </w:rPr>
        <w:t>כ</w:t>
      </w:r>
      <w:r w:rsidRPr="002A3DF2">
        <w:rPr>
          <w:rFonts w:hint="cs"/>
          <w:sz w:val="18"/>
          <w:szCs w:val="18"/>
          <w:rtl/>
        </w:rPr>
        <w:t>ל מקום ראוי להחמיר כדעת שאר הראשונים. ומשום כך, לא כתב המחבר לשון איסור אלא כתב "לא י</w:t>
      </w:r>
      <w:r>
        <w:rPr>
          <w:rFonts w:hint="cs"/>
          <w:sz w:val="18"/>
          <w:szCs w:val="18"/>
          <w:rtl/>
        </w:rPr>
        <w:t>סת</w:t>
      </w:r>
      <w:r w:rsidRPr="002A3DF2">
        <w:rPr>
          <w:rFonts w:hint="cs"/>
          <w:sz w:val="18"/>
          <w:szCs w:val="18"/>
          <w:rtl/>
        </w:rPr>
        <w:t>כל", ללמדנו שזו חומרה, וכן דעת אחרונים נוספים.</w:t>
      </w:r>
      <w:r w:rsidRPr="002A3DF2">
        <w:rPr>
          <w:sz w:val="18"/>
          <w:szCs w:val="18"/>
          <w:rtl/>
        </w:rPr>
        <w:br/>
      </w:r>
      <w:r w:rsidRPr="002A3DF2">
        <w:rPr>
          <w:rFonts w:hint="cs"/>
          <w:sz w:val="18"/>
          <w:szCs w:val="18"/>
          <w:rtl/>
        </w:rPr>
        <w:t>ולפי"ז, יש לומר שר"ל מיירי נמי באשתו נידה, דהיינו שאיסור ההסתכלות באשתו נידה הוא רק במקום התורף.</w:t>
      </w:r>
      <w:r w:rsidRPr="002A3DF2">
        <w:rPr>
          <w:rtl/>
        </w:rPr>
        <w:br/>
      </w:r>
      <w:r w:rsidRPr="002A3DF2">
        <w:rPr>
          <w:rFonts w:hint="cs"/>
          <w:sz w:val="18"/>
          <w:szCs w:val="18"/>
          <w:rtl/>
        </w:rPr>
        <w:t xml:space="preserve">וכן כתב </w:t>
      </w:r>
      <w:r w:rsidRPr="002A3DF2">
        <w:rPr>
          <w:rFonts w:hint="cs"/>
          <w:b/>
          <w:bCs/>
          <w:sz w:val="18"/>
          <w:szCs w:val="18"/>
          <w:rtl/>
        </w:rPr>
        <w:t>הנוב"י</w:t>
      </w:r>
      <w:r w:rsidRPr="002A3DF2">
        <w:rPr>
          <w:rFonts w:hint="cs"/>
          <w:sz w:val="18"/>
          <w:szCs w:val="18"/>
          <w:rtl/>
        </w:rPr>
        <w:t xml:space="preserve"> על דברי </w:t>
      </w:r>
      <w:r w:rsidRPr="002A3DF2">
        <w:rPr>
          <w:rFonts w:hint="cs"/>
          <w:b/>
          <w:bCs/>
          <w:sz w:val="18"/>
          <w:szCs w:val="18"/>
          <w:rtl/>
        </w:rPr>
        <w:t xml:space="preserve">הט"ז </w:t>
      </w:r>
      <w:r w:rsidRPr="002A3DF2">
        <w:rPr>
          <w:rFonts w:hint="cs"/>
          <w:sz w:val="18"/>
          <w:szCs w:val="18"/>
          <w:rtl/>
        </w:rPr>
        <w:t xml:space="preserve">בסימן קצח' </w:t>
      </w:r>
      <w:r w:rsidRPr="002A3DF2">
        <w:rPr>
          <w:rFonts w:hint="cs"/>
          <w:sz w:val="16"/>
          <w:szCs w:val="16"/>
          <w:rtl/>
        </w:rPr>
        <w:t xml:space="preserve">(סקי"ד) </w:t>
      </w:r>
      <w:r w:rsidRPr="002A3DF2">
        <w:rPr>
          <w:rFonts w:hint="cs"/>
          <w:sz w:val="18"/>
          <w:szCs w:val="18"/>
          <w:rtl/>
        </w:rPr>
        <w:t xml:space="preserve">ששני גדולי הדור, </w:t>
      </w:r>
      <w:r w:rsidRPr="004A5B10">
        <w:rPr>
          <w:rFonts w:hint="cs"/>
          <w:b/>
          <w:bCs/>
          <w:sz w:val="18"/>
          <w:szCs w:val="18"/>
          <w:rtl/>
        </w:rPr>
        <w:t>הריב"ק ושר מקוצי</w:t>
      </w:r>
      <w:r w:rsidRPr="002A3DF2">
        <w:rPr>
          <w:rFonts w:hint="cs"/>
          <w:sz w:val="18"/>
          <w:szCs w:val="18"/>
          <w:rtl/>
        </w:rPr>
        <w:t xml:space="preserve"> היו מצריכים את נשותיהן </w:t>
      </w:r>
      <w:r w:rsidRPr="006801D1">
        <w:rPr>
          <w:rFonts w:hint="cs"/>
          <w:sz w:val="18"/>
          <w:szCs w:val="18"/>
          <w:rtl/>
        </w:rPr>
        <w:t>לעמוד לפניהם ערומות לפני טבילה כדי לראות שאין עליהן חציצה, והיינו משום שס"ל כדעת המגיד משנה הנ"ל.</w:t>
      </w:r>
    </w:p>
  </w:footnote>
  <w:footnote w:id="477">
    <w:p w:rsidR="005953C5" w:rsidRDefault="005953C5" w:rsidP="00620060">
      <w:pPr>
        <w:pStyle w:val="a3"/>
      </w:pPr>
      <w:r w:rsidRPr="006801D1">
        <w:rPr>
          <w:rStyle w:val="a5"/>
          <w:sz w:val="18"/>
          <w:szCs w:val="18"/>
        </w:rPr>
        <w:footnoteRef/>
      </w:r>
      <w:r w:rsidRPr="006801D1">
        <w:rPr>
          <w:sz w:val="18"/>
          <w:szCs w:val="18"/>
          <w:rtl/>
        </w:rPr>
        <w:t xml:space="preserve"> </w:t>
      </w:r>
      <w:r w:rsidRPr="006801D1">
        <w:rPr>
          <w:rFonts w:hint="cs"/>
          <w:sz w:val="18"/>
          <w:szCs w:val="18"/>
          <w:rtl/>
        </w:rPr>
        <w:t>וכן כתבו הפוסקים במ</w:t>
      </w:r>
      <w:r>
        <w:rPr>
          <w:rFonts w:hint="cs"/>
          <w:sz w:val="18"/>
          <w:szCs w:val="18"/>
          <w:rtl/>
        </w:rPr>
        <w:t>קו</w:t>
      </w:r>
      <w:r w:rsidRPr="006801D1">
        <w:rPr>
          <w:rFonts w:hint="cs"/>
          <w:sz w:val="18"/>
          <w:szCs w:val="18"/>
          <w:rtl/>
        </w:rPr>
        <w:t>מות נוספים שנאסר</w:t>
      </w:r>
      <w:r>
        <w:rPr>
          <w:rFonts w:hint="cs"/>
          <w:sz w:val="18"/>
          <w:szCs w:val="18"/>
          <w:rtl/>
        </w:rPr>
        <w:t>ה</w:t>
      </w:r>
      <w:r w:rsidRPr="006801D1">
        <w:rPr>
          <w:rFonts w:hint="cs"/>
          <w:sz w:val="18"/>
          <w:szCs w:val="18"/>
          <w:rtl/>
        </w:rPr>
        <w:t xml:space="preserve"> בהם הסתכלות. כגון </w:t>
      </w:r>
      <w:r w:rsidRPr="006801D1">
        <w:rPr>
          <w:rFonts w:hint="cs"/>
          <w:b/>
          <w:bCs/>
          <w:sz w:val="18"/>
          <w:szCs w:val="18"/>
          <w:rtl/>
        </w:rPr>
        <w:t>השו"ע</w:t>
      </w:r>
      <w:r w:rsidRPr="006801D1">
        <w:rPr>
          <w:rFonts w:hint="cs"/>
          <w:sz w:val="18"/>
          <w:szCs w:val="18"/>
          <w:rtl/>
        </w:rPr>
        <w:t xml:space="preserve"> </w:t>
      </w:r>
      <w:r w:rsidRPr="006801D1">
        <w:rPr>
          <w:rFonts w:hint="cs"/>
          <w:sz w:val="16"/>
          <w:szCs w:val="16"/>
          <w:rtl/>
        </w:rPr>
        <w:t xml:space="preserve">(אה"ע, כא, א) </w:t>
      </w:r>
      <w:r w:rsidRPr="006801D1">
        <w:rPr>
          <w:rFonts w:hint="cs"/>
          <w:sz w:val="18"/>
          <w:szCs w:val="18"/>
          <w:rtl/>
        </w:rPr>
        <w:t>"</w:t>
      </w:r>
      <w:r w:rsidRPr="006801D1">
        <w:rPr>
          <w:rFonts w:cs="Arial"/>
          <w:sz w:val="18"/>
          <w:szCs w:val="18"/>
          <w:rtl/>
        </w:rPr>
        <w:t xml:space="preserve">והמסתכל אפילו באצבע קטנה של אשה  </w:t>
      </w:r>
      <w:r w:rsidRPr="006801D1">
        <w:rPr>
          <w:rFonts w:cs="Arial"/>
          <w:sz w:val="18"/>
          <w:szCs w:val="18"/>
          <w:u w:val="single"/>
          <w:rtl/>
        </w:rPr>
        <w:t>ונתכוין ליהנות</w:t>
      </w:r>
      <w:r w:rsidRPr="006801D1">
        <w:rPr>
          <w:rFonts w:cs="Arial"/>
          <w:sz w:val="18"/>
          <w:szCs w:val="18"/>
          <w:rtl/>
        </w:rPr>
        <w:t xml:space="preserve"> ממנה, כאלו נסתכל בבית התורף</w:t>
      </w:r>
      <w:r w:rsidRPr="006801D1">
        <w:rPr>
          <w:rFonts w:hint="cs"/>
          <w:sz w:val="18"/>
          <w:szCs w:val="18"/>
          <w:rtl/>
        </w:rPr>
        <w:t xml:space="preserve">". וכן כתבו </w:t>
      </w:r>
      <w:r w:rsidRPr="006801D1">
        <w:rPr>
          <w:rFonts w:hint="cs"/>
          <w:b/>
          <w:bCs/>
          <w:sz w:val="18"/>
          <w:szCs w:val="18"/>
          <w:rtl/>
        </w:rPr>
        <w:t>תלמידי רבינו יונה</w:t>
      </w:r>
      <w:r w:rsidRPr="006801D1">
        <w:rPr>
          <w:rFonts w:hint="cs"/>
          <w:sz w:val="18"/>
          <w:szCs w:val="18"/>
          <w:rtl/>
        </w:rPr>
        <w:t xml:space="preserve"> לעניין קריאת שמע מול טפח מגולה שבערווה. וכן כתב </w:t>
      </w:r>
      <w:r w:rsidRPr="006801D1">
        <w:rPr>
          <w:rFonts w:hint="cs"/>
          <w:b/>
          <w:bCs/>
          <w:sz w:val="18"/>
          <w:szCs w:val="18"/>
          <w:rtl/>
        </w:rPr>
        <w:t>הרא"ש</w:t>
      </w:r>
      <w:r w:rsidRPr="006801D1">
        <w:rPr>
          <w:rFonts w:hint="cs"/>
          <w:sz w:val="18"/>
          <w:szCs w:val="18"/>
          <w:rtl/>
        </w:rPr>
        <w:t xml:space="preserve"> לגבי הסתכלות בקשת.</w:t>
      </w:r>
    </w:p>
  </w:footnote>
  <w:footnote w:id="478">
    <w:p w:rsidR="005953C5" w:rsidRDefault="005953C5" w:rsidP="00620060">
      <w:pPr>
        <w:pStyle w:val="a3"/>
        <w:rPr>
          <w:rtl/>
        </w:rPr>
      </w:pPr>
      <w:r w:rsidRPr="00294103">
        <w:rPr>
          <w:rStyle w:val="a5"/>
          <w:sz w:val="18"/>
          <w:szCs w:val="18"/>
        </w:rPr>
        <w:footnoteRef/>
      </w:r>
      <w:r w:rsidRPr="00294103">
        <w:rPr>
          <w:b/>
          <w:bCs/>
          <w:sz w:val="18"/>
          <w:szCs w:val="18"/>
          <w:rtl/>
        </w:rPr>
        <w:t xml:space="preserve"> </w:t>
      </w:r>
      <w:r w:rsidRPr="00294103">
        <w:rPr>
          <w:rFonts w:hint="cs"/>
          <w:b/>
          <w:bCs/>
          <w:sz w:val="18"/>
          <w:szCs w:val="18"/>
          <w:rtl/>
        </w:rPr>
        <w:t>ראיה</w:t>
      </w:r>
      <w:r w:rsidRPr="00294103">
        <w:rPr>
          <w:rFonts w:hint="cs"/>
          <w:sz w:val="18"/>
          <w:szCs w:val="18"/>
          <w:rtl/>
        </w:rPr>
        <w:t xml:space="preserve"> </w:t>
      </w:r>
      <w:r w:rsidRPr="00294103">
        <w:rPr>
          <w:sz w:val="18"/>
          <w:szCs w:val="18"/>
          <w:rtl/>
        </w:rPr>
        <w:t>–</w:t>
      </w:r>
      <w:r w:rsidRPr="00294103">
        <w:rPr>
          <w:rFonts w:hint="cs"/>
          <w:sz w:val="18"/>
          <w:szCs w:val="18"/>
          <w:rtl/>
        </w:rPr>
        <w:t xml:space="preserve"> נאמר </w:t>
      </w:r>
      <w:r w:rsidRPr="00294103">
        <w:rPr>
          <w:rFonts w:hint="cs"/>
          <w:b/>
          <w:bCs/>
          <w:sz w:val="18"/>
          <w:szCs w:val="18"/>
          <w:rtl/>
        </w:rPr>
        <w:t>בגמרא</w:t>
      </w:r>
      <w:r w:rsidRPr="00294103">
        <w:rPr>
          <w:rFonts w:hint="cs"/>
          <w:sz w:val="18"/>
          <w:szCs w:val="18"/>
          <w:rtl/>
        </w:rPr>
        <w:t xml:space="preserve"> </w:t>
      </w:r>
      <w:r w:rsidRPr="00294103">
        <w:rPr>
          <w:rFonts w:cs="Arial"/>
          <w:sz w:val="18"/>
          <w:szCs w:val="18"/>
          <w:rtl/>
        </w:rPr>
        <w:t xml:space="preserve">כתובות </w:t>
      </w:r>
      <w:r w:rsidRPr="00294103">
        <w:rPr>
          <w:rFonts w:cs="Arial" w:hint="cs"/>
          <w:sz w:val="18"/>
          <w:szCs w:val="18"/>
          <w:rtl/>
        </w:rPr>
        <w:t>(</w:t>
      </w:r>
      <w:r w:rsidRPr="00294103">
        <w:rPr>
          <w:rFonts w:cs="Arial"/>
          <w:sz w:val="18"/>
          <w:szCs w:val="18"/>
          <w:rtl/>
        </w:rPr>
        <w:t>עב</w:t>
      </w:r>
      <w:r w:rsidRPr="00294103">
        <w:rPr>
          <w:rFonts w:cs="Arial" w:hint="cs"/>
          <w:sz w:val="18"/>
          <w:szCs w:val="18"/>
          <w:rtl/>
        </w:rPr>
        <w:t>.)</w:t>
      </w:r>
      <w:r w:rsidRPr="00294103">
        <w:rPr>
          <w:rFonts w:cs="Arial"/>
          <w:sz w:val="18"/>
          <w:szCs w:val="18"/>
          <w:rtl/>
        </w:rPr>
        <w:t xml:space="preserve"> </w:t>
      </w:r>
      <w:r w:rsidRPr="00294103">
        <w:rPr>
          <w:rFonts w:cs="Arial" w:hint="cs"/>
          <w:sz w:val="18"/>
          <w:szCs w:val="18"/>
          <w:rtl/>
        </w:rPr>
        <w:t>"</w:t>
      </w:r>
      <w:r w:rsidRPr="00294103">
        <w:rPr>
          <w:rFonts w:cs="Arial"/>
          <w:sz w:val="18"/>
          <w:szCs w:val="18"/>
          <w:rtl/>
        </w:rPr>
        <w:t>אזהרה לבנות ישראל שלא יצאו בפרוע ראש</w:t>
      </w:r>
      <w:r w:rsidRPr="00294103">
        <w:rPr>
          <w:rFonts w:cs="Arial" w:hint="cs"/>
          <w:sz w:val="18"/>
          <w:szCs w:val="18"/>
          <w:rtl/>
        </w:rPr>
        <w:t xml:space="preserve">", וכן פסקו </w:t>
      </w:r>
      <w:r w:rsidRPr="00294103">
        <w:rPr>
          <w:rFonts w:cs="Arial" w:hint="cs"/>
          <w:b/>
          <w:bCs/>
          <w:sz w:val="18"/>
          <w:szCs w:val="18"/>
          <w:rtl/>
        </w:rPr>
        <w:t>הרמב"ם והמחבר</w:t>
      </w:r>
      <w:r w:rsidRPr="00294103">
        <w:rPr>
          <w:rFonts w:cs="Arial" w:hint="cs"/>
          <w:sz w:val="18"/>
          <w:szCs w:val="18"/>
          <w:rtl/>
        </w:rPr>
        <w:t xml:space="preserve"> שאין לבנות ישראל לצאת בשוק בשער פרוע. ואם גם בימי נידותה אסורה ללכת בביתה בגילוי הראש, מדוע הודגש שהאיסור הוא דווקא כשיוצאת לשוק, הרי ימי נידותה האם כרבע או שליש מימי חייה ואי</w:t>
      </w:r>
      <w:r>
        <w:rPr>
          <w:rFonts w:cs="Arial" w:hint="cs"/>
          <w:sz w:val="18"/>
          <w:szCs w:val="18"/>
          <w:rtl/>
        </w:rPr>
        <w:t>ך</w:t>
      </w:r>
      <w:r w:rsidRPr="00294103">
        <w:rPr>
          <w:rFonts w:cs="Arial" w:hint="cs"/>
          <w:sz w:val="18"/>
          <w:szCs w:val="18"/>
          <w:rtl/>
        </w:rPr>
        <w:t xml:space="preserve"> השמיטו זאת? אלא על כורחך שאין זה בכלל האיסור. וכן מסתבר שכשיוצאת לשוק צריכה להתלבש יותר בצניעות ממה שהיא לבושה בביתה. ואמנם, המחמיר בעניינים אלו משובח.</w:t>
      </w:r>
    </w:p>
  </w:footnote>
  <w:footnote w:id="479">
    <w:p w:rsidR="005953C5" w:rsidRPr="008A533F" w:rsidRDefault="005953C5" w:rsidP="00620060">
      <w:pPr>
        <w:pStyle w:val="a3"/>
        <w:rPr>
          <w:sz w:val="18"/>
          <w:szCs w:val="18"/>
        </w:rPr>
      </w:pPr>
      <w:r w:rsidRPr="008A533F">
        <w:rPr>
          <w:rStyle w:val="a5"/>
          <w:sz w:val="18"/>
          <w:szCs w:val="18"/>
        </w:rPr>
        <w:footnoteRef/>
      </w:r>
      <w:r w:rsidRPr="008A533F">
        <w:rPr>
          <w:sz w:val="18"/>
          <w:szCs w:val="18"/>
          <w:rtl/>
        </w:rPr>
        <w:t xml:space="preserve"> </w:t>
      </w:r>
      <w:r w:rsidRPr="008A533F">
        <w:rPr>
          <w:rFonts w:hint="cs"/>
          <w:b/>
          <w:bCs/>
          <w:sz w:val="18"/>
          <w:szCs w:val="18"/>
          <w:rtl/>
        </w:rPr>
        <w:t>ערוך השולחן</w:t>
      </w:r>
      <w:r w:rsidRPr="008A533F">
        <w:rPr>
          <w:rFonts w:hint="cs"/>
          <w:sz w:val="18"/>
          <w:szCs w:val="18"/>
          <w:rtl/>
        </w:rPr>
        <w:t xml:space="preserve"> מיישב את קושיית </w:t>
      </w:r>
      <w:r w:rsidRPr="00E31E14">
        <w:rPr>
          <w:rFonts w:hint="cs"/>
          <w:b/>
          <w:bCs/>
          <w:sz w:val="18"/>
          <w:szCs w:val="18"/>
          <w:rtl/>
        </w:rPr>
        <w:t>תורת השלמים</w:t>
      </w:r>
      <w:r w:rsidRPr="008A533F">
        <w:rPr>
          <w:rFonts w:hint="cs"/>
          <w:sz w:val="18"/>
          <w:szCs w:val="18"/>
          <w:rtl/>
        </w:rPr>
        <w:t xml:space="preserve"> כך - </w:t>
      </w:r>
      <w:r w:rsidRPr="008A533F">
        <w:rPr>
          <w:sz w:val="18"/>
          <w:szCs w:val="18"/>
          <w:rtl/>
        </w:rPr>
        <w:br/>
      </w:r>
      <w:r w:rsidRPr="008A533F">
        <w:rPr>
          <w:rFonts w:hint="cs"/>
          <w:b/>
          <w:bCs/>
          <w:sz w:val="18"/>
          <w:szCs w:val="18"/>
          <w:rtl/>
        </w:rPr>
        <w:t>הבית יוסף</w:t>
      </w:r>
      <w:r w:rsidRPr="008A533F">
        <w:rPr>
          <w:rFonts w:hint="cs"/>
          <w:sz w:val="18"/>
          <w:szCs w:val="18"/>
          <w:rtl/>
        </w:rPr>
        <w:t xml:space="preserve"> הסמיך את דין לבישת בגדים מיוחדים לימי נידותה לדין היתר קישוט בימי נידותה. וכוונתו לומר שאין דעות בני האדם שוות, יש מי שכשרואה את אשתו מקושטת בימי נידותה כבימי טהרתה, מתגנה עליו, אך יש מי שאשתו מתגנה עליו דווקא אם בימי נידותה לובשת בגדים גרועים. ולכן יש שתי סוגיות הנראות סותרות, מחד בסוגיות בכתובות </w:t>
      </w:r>
      <w:r w:rsidRPr="008A533F">
        <w:rPr>
          <w:rFonts w:hint="cs"/>
          <w:sz w:val="16"/>
          <w:szCs w:val="16"/>
          <w:rtl/>
        </w:rPr>
        <w:t xml:space="preserve">(סה: ועב.) </w:t>
      </w:r>
      <w:r w:rsidRPr="008A533F">
        <w:rPr>
          <w:rFonts w:hint="cs"/>
          <w:sz w:val="18"/>
          <w:szCs w:val="18"/>
          <w:rtl/>
        </w:rPr>
        <w:t xml:space="preserve">משמע שנידה לובשת בגדים שונים בימי נידותה, ומסתמא הם גרועים מבגדי טהרתה, אך מאידך בגמרא במסכת שבת </w:t>
      </w:r>
      <w:r w:rsidRPr="008A533F">
        <w:rPr>
          <w:rFonts w:hint="cs"/>
          <w:sz w:val="16"/>
          <w:szCs w:val="16"/>
          <w:rtl/>
        </w:rPr>
        <w:t xml:space="preserve">(מובאת בסעיף הבא) </w:t>
      </w:r>
      <w:r w:rsidRPr="008A533F">
        <w:rPr>
          <w:rFonts w:hint="cs"/>
          <w:sz w:val="18"/>
          <w:szCs w:val="18"/>
          <w:rtl/>
        </w:rPr>
        <w:t xml:space="preserve">משמע שנידה מתקשטת כבימי טהרתה. והעניין הוא שאין בכך כלל אחיד, אלא הכל לפי מה שהוא אדם. ועל פי זה, כתב הטור והמחבר שמהראוי לבחור דרך זאת שלא תתקשט בימי נידותה אלא תייחד לה בגדים, וזאת כדי שיזכרו תמיד שהיא נידה, ומכל מקום אין יכולים לכוף אותו לבחור דרך זאת אם היא אינה מתאימה לו. </w:t>
      </w:r>
    </w:p>
  </w:footnote>
  <w:footnote w:id="480">
    <w:p w:rsidR="005953C5" w:rsidRDefault="005953C5" w:rsidP="00620060">
      <w:pPr>
        <w:pStyle w:val="a3"/>
        <w:rPr>
          <w:rtl/>
        </w:rPr>
      </w:pPr>
      <w:r w:rsidRPr="00676D6F">
        <w:rPr>
          <w:rStyle w:val="a5"/>
          <w:sz w:val="18"/>
          <w:szCs w:val="18"/>
        </w:rPr>
        <w:footnoteRef/>
      </w:r>
      <w:r w:rsidRPr="00676D6F">
        <w:rPr>
          <w:sz w:val="18"/>
          <w:szCs w:val="18"/>
          <w:rtl/>
        </w:rPr>
        <w:t xml:space="preserve"> </w:t>
      </w:r>
      <w:r w:rsidRPr="00676D6F">
        <w:rPr>
          <w:rFonts w:hint="cs"/>
          <w:b/>
          <w:bCs/>
          <w:sz w:val="18"/>
          <w:szCs w:val="18"/>
          <w:rtl/>
        </w:rPr>
        <w:t>תורת השלמים</w:t>
      </w:r>
      <w:r w:rsidRPr="00676D6F">
        <w:rPr>
          <w:rFonts w:hint="cs"/>
          <w:sz w:val="18"/>
          <w:szCs w:val="18"/>
          <w:rtl/>
        </w:rPr>
        <w:t xml:space="preserve"> </w:t>
      </w:r>
      <w:r w:rsidRPr="00676D6F">
        <w:rPr>
          <w:sz w:val="18"/>
          <w:szCs w:val="18"/>
          <w:rtl/>
        </w:rPr>
        <w:t>–</w:t>
      </w:r>
      <w:r w:rsidRPr="00676D6F">
        <w:rPr>
          <w:rFonts w:hint="cs"/>
          <w:sz w:val="18"/>
          <w:szCs w:val="18"/>
          <w:rtl/>
        </w:rPr>
        <w:t xml:space="preserve"> לכאורה יש לומר שרבי עקיבא אזיל לטעמיה בגיטין, שאפילו אם מצא אחרת נאה הימנה צריך לגרשה, אך לחכמים שחולקים על ר"ע וסוברים שמציאת אשה אחרת נאה יותר אינה עילה לגירושין, אסורה להתקשט! </w:t>
      </w:r>
      <w:r>
        <w:rPr>
          <w:sz w:val="18"/>
          <w:szCs w:val="18"/>
          <w:rtl/>
        </w:rPr>
        <w:br/>
      </w:r>
      <w:r w:rsidRPr="00676D6F">
        <w:rPr>
          <w:rFonts w:hint="cs"/>
          <w:sz w:val="18"/>
          <w:szCs w:val="18"/>
          <w:rtl/>
        </w:rPr>
        <w:t>וצריך לומר שאע"פ שר"ע אזיל לטעמיה, מכל מקום אף בלא האי טעמא שנמצא בעלה מגרשה מותר לה להתקשט כדי שלא תתגנה על בעלה.</w:t>
      </w:r>
      <w:r>
        <w:rPr>
          <w:rtl/>
        </w:rPr>
        <w:br/>
      </w:r>
      <w:r w:rsidRPr="009F6653">
        <w:rPr>
          <w:rFonts w:hint="cs"/>
          <w:sz w:val="18"/>
          <w:szCs w:val="18"/>
          <w:rtl/>
        </w:rPr>
        <w:t xml:space="preserve">וכתב עוד תירוץ בשם </w:t>
      </w:r>
      <w:r w:rsidRPr="009F6653">
        <w:rPr>
          <w:rFonts w:hint="cs"/>
          <w:b/>
          <w:bCs/>
          <w:sz w:val="18"/>
          <w:szCs w:val="18"/>
          <w:rtl/>
        </w:rPr>
        <w:t>הלחם חמודות</w:t>
      </w:r>
      <w:r w:rsidRPr="009F6653">
        <w:rPr>
          <w:rFonts w:hint="cs"/>
          <w:sz w:val="18"/>
          <w:szCs w:val="18"/>
          <w:rtl/>
        </w:rPr>
        <w:t xml:space="preserve"> </w:t>
      </w:r>
      <w:r w:rsidRPr="009F6653">
        <w:rPr>
          <w:sz w:val="18"/>
          <w:szCs w:val="18"/>
          <w:rtl/>
        </w:rPr>
        <w:t>–</w:t>
      </w:r>
      <w:r w:rsidRPr="009F6653">
        <w:rPr>
          <w:rFonts w:hint="cs"/>
          <w:sz w:val="18"/>
          <w:szCs w:val="18"/>
          <w:rtl/>
        </w:rPr>
        <w:t xml:space="preserve"> אע"פ שקיי"ל שאסור לגרשה אם מצא אחרת נאה הימנה, מכל מקום חששו שמא ע"י כך שתתגנה עליו ישים לה עלילות דברים ויבוא לגרשה כאילו מטעם אחר.</w:t>
      </w:r>
    </w:p>
  </w:footnote>
  <w:footnote w:id="481">
    <w:p w:rsidR="005953C5" w:rsidRDefault="005953C5" w:rsidP="00620060">
      <w:pPr>
        <w:pStyle w:val="a3"/>
      </w:pPr>
      <w:r w:rsidRPr="0063336D">
        <w:rPr>
          <w:rStyle w:val="a5"/>
          <w:sz w:val="18"/>
          <w:szCs w:val="18"/>
        </w:rPr>
        <w:footnoteRef/>
      </w:r>
      <w:r w:rsidRPr="0063336D">
        <w:rPr>
          <w:sz w:val="18"/>
          <w:szCs w:val="18"/>
          <w:rtl/>
        </w:rPr>
        <w:t xml:space="preserve"> </w:t>
      </w:r>
      <w:r w:rsidRPr="0063336D">
        <w:rPr>
          <w:rFonts w:hint="cs"/>
          <w:b/>
          <w:bCs/>
          <w:sz w:val="18"/>
          <w:szCs w:val="18"/>
          <w:rtl/>
        </w:rPr>
        <w:t>גר"א</w:t>
      </w:r>
      <w:r w:rsidRPr="0063336D">
        <w:rPr>
          <w:rFonts w:hint="cs"/>
          <w:sz w:val="18"/>
          <w:szCs w:val="18"/>
          <w:rtl/>
        </w:rPr>
        <w:t xml:space="preserve"> </w:t>
      </w:r>
      <w:r w:rsidRPr="0063336D">
        <w:rPr>
          <w:sz w:val="18"/>
          <w:szCs w:val="18"/>
          <w:rtl/>
        </w:rPr>
        <w:t>–</w:t>
      </w:r>
      <w:r w:rsidRPr="0063336D">
        <w:rPr>
          <w:rFonts w:hint="cs"/>
          <w:sz w:val="18"/>
          <w:szCs w:val="18"/>
          <w:rtl/>
        </w:rPr>
        <w:t xml:space="preserve"> כך כת</w:t>
      </w:r>
      <w:r>
        <w:rPr>
          <w:rFonts w:hint="cs"/>
          <w:sz w:val="18"/>
          <w:szCs w:val="18"/>
          <w:rtl/>
        </w:rPr>
        <w:t>וב</w:t>
      </w:r>
      <w:r w:rsidRPr="0063336D">
        <w:rPr>
          <w:rFonts w:hint="cs"/>
          <w:sz w:val="18"/>
          <w:szCs w:val="18"/>
          <w:rtl/>
        </w:rPr>
        <w:t xml:space="preserve"> </w:t>
      </w:r>
      <w:r w:rsidRPr="0063336D">
        <w:rPr>
          <w:rFonts w:hint="cs"/>
          <w:b/>
          <w:bCs/>
          <w:sz w:val="18"/>
          <w:szCs w:val="18"/>
          <w:rtl/>
        </w:rPr>
        <w:t>באבות דרבי נתן</w:t>
      </w:r>
      <w:r w:rsidRPr="0063336D">
        <w:rPr>
          <w:rFonts w:hint="cs"/>
          <w:sz w:val="18"/>
          <w:szCs w:val="18"/>
          <w:rtl/>
        </w:rPr>
        <w:t>: "</w:t>
      </w:r>
      <w:r w:rsidRPr="0063336D">
        <w:rPr>
          <w:rFonts w:cs="Arial"/>
          <w:sz w:val="18"/>
          <w:szCs w:val="18"/>
          <w:rtl/>
        </w:rPr>
        <w:t>יכול תרחץ פניה ותכחול את עיניה</w:t>
      </w:r>
      <w:r w:rsidRPr="0063336D">
        <w:rPr>
          <w:rFonts w:cs="Arial" w:hint="cs"/>
          <w:sz w:val="18"/>
          <w:szCs w:val="18"/>
          <w:rtl/>
        </w:rPr>
        <w:t>?</w:t>
      </w:r>
      <w:r w:rsidRPr="0063336D">
        <w:rPr>
          <w:rFonts w:cs="Arial"/>
          <w:sz w:val="18"/>
          <w:szCs w:val="18"/>
          <w:rtl/>
        </w:rPr>
        <w:t xml:space="preserve"> ת</w:t>
      </w:r>
      <w:r w:rsidRPr="0063336D">
        <w:rPr>
          <w:rFonts w:cs="Arial" w:hint="cs"/>
          <w:sz w:val="18"/>
          <w:szCs w:val="18"/>
          <w:rtl/>
        </w:rPr>
        <w:t>למוד לומר</w:t>
      </w:r>
      <w:r w:rsidRPr="0063336D">
        <w:rPr>
          <w:rFonts w:cs="Arial"/>
          <w:sz w:val="18"/>
          <w:szCs w:val="18"/>
          <w:rtl/>
        </w:rPr>
        <w:t xml:space="preserve"> והדוה בנ</w:t>
      </w:r>
      <w:r>
        <w:rPr>
          <w:rFonts w:cs="Arial" w:hint="cs"/>
          <w:sz w:val="18"/>
          <w:szCs w:val="18"/>
          <w:rtl/>
        </w:rPr>
        <w:t>י</w:t>
      </w:r>
      <w:r w:rsidRPr="0063336D">
        <w:rPr>
          <w:rFonts w:cs="Arial"/>
          <w:sz w:val="18"/>
          <w:szCs w:val="18"/>
          <w:rtl/>
        </w:rPr>
        <w:t>דתה</w:t>
      </w:r>
      <w:r w:rsidRPr="0063336D">
        <w:rPr>
          <w:rFonts w:cs="Arial" w:hint="cs"/>
          <w:sz w:val="18"/>
          <w:szCs w:val="18"/>
          <w:rtl/>
        </w:rPr>
        <w:t xml:space="preserve">. </w:t>
      </w:r>
      <w:r w:rsidRPr="0063336D">
        <w:rPr>
          <w:rFonts w:cs="Arial"/>
          <w:sz w:val="18"/>
          <w:szCs w:val="18"/>
          <w:rtl/>
        </w:rPr>
        <w:t>כל ימים שבנ</w:t>
      </w:r>
      <w:r>
        <w:rPr>
          <w:rFonts w:cs="Arial" w:hint="cs"/>
          <w:sz w:val="18"/>
          <w:szCs w:val="18"/>
          <w:rtl/>
        </w:rPr>
        <w:t>י</w:t>
      </w:r>
      <w:r w:rsidRPr="0063336D">
        <w:rPr>
          <w:rFonts w:cs="Arial"/>
          <w:sz w:val="18"/>
          <w:szCs w:val="18"/>
          <w:rtl/>
        </w:rPr>
        <w:t>דתה תהיה בנ</w:t>
      </w:r>
      <w:r>
        <w:rPr>
          <w:rFonts w:cs="Arial" w:hint="cs"/>
          <w:sz w:val="18"/>
          <w:szCs w:val="18"/>
          <w:rtl/>
        </w:rPr>
        <w:t>י</w:t>
      </w:r>
      <w:r w:rsidRPr="0063336D">
        <w:rPr>
          <w:rFonts w:cs="Arial"/>
          <w:sz w:val="18"/>
          <w:szCs w:val="18"/>
          <w:rtl/>
        </w:rPr>
        <w:t>דוי. מכאן אמרו כל המנולת עצמה בימי נ</w:t>
      </w:r>
      <w:r>
        <w:rPr>
          <w:rFonts w:cs="Arial" w:hint="cs"/>
          <w:sz w:val="18"/>
          <w:szCs w:val="18"/>
          <w:rtl/>
        </w:rPr>
        <w:t>י</w:t>
      </w:r>
      <w:r w:rsidRPr="0063336D">
        <w:rPr>
          <w:rFonts w:cs="Arial"/>
          <w:sz w:val="18"/>
          <w:szCs w:val="18"/>
          <w:rtl/>
        </w:rPr>
        <w:t>דתה רוח חכמים נוחה הימנה וכל המקשטת עצמה בימי נ</w:t>
      </w:r>
      <w:r>
        <w:rPr>
          <w:rFonts w:cs="Arial" w:hint="cs"/>
          <w:sz w:val="18"/>
          <w:szCs w:val="18"/>
          <w:rtl/>
        </w:rPr>
        <w:t>י</w:t>
      </w:r>
      <w:r w:rsidRPr="0063336D">
        <w:rPr>
          <w:rFonts w:cs="Arial"/>
          <w:sz w:val="18"/>
          <w:szCs w:val="18"/>
          <w:rtl/>
        </w:rPr>
        <w:t>דתה אין רוח חכמים נוחה הימנה</w:t>
      </w:r>
      <w:r w:rsidRPr="0063336D">
        <w:rPr>
          <w:rFonts w:cs="Arial" w:hint="cs"/>
          <w:sz w:val="18"/>
          <w:szCs w:val="18"/>
          <w:rtl/>
        </w:rPr>
        <w:t>".</w:t>
      </w:r>
      <w:r>
        <w:rPr>
          <w:rFonts w:hint="cs"/>
          <w:rtl/>
        </w:rPr>
        <w:t xml:space="preserve"> </w:t>
      </w:r>
      <w:r w:rsidRPr="0063336D">
        <w:rPr>
          <w:rFonts w:hint="cs"/>
          <w:b/>
          <w:bCs/>
          <w:sz w:val="18"/>
          <w:szCs w:val="18"/>
          <w:rtl/>
        </w:rPr>
        <w:t>והגר"א</w:t>
      </w:r>
      <w:r w:rsidRPr="0063336D">
        <w:rPr>
          <w:rFonts w:hint="cs"/>
          <w:sz w:val="18"/>
          <w:szCs w:val="18"/>
          <w:rtl/>
        </w:rPr>
        <w:t xml:space="preserve"> מוסיף שברייתא זו נאמרה גם לשיטת רבי עקיבא</w:t>
      </w:r>
      <w:r w:rsidRPr="002135D5">
        <w:rPr>
          <w:rFonts w:hint="cs"/>
          <w:sz w:val="18"/>
          <w:szCs w:val="18"/>
          <w:rtl/>
        </w:rPr>
        <w:t xml:space="preserve">, </w:t>
      </w:r>
      <w:r>
        <w:rPr>
          <w:rFonts w:hint="cs"/>
          <w:sz w:val="18"/>
          <w:szCs w:val="18"/>
          <w:rtl/>
        </w:rPr>
        <w:t>ומוכח</w:t>
      </w:r>
      <w:r w:rsidRPr="002135D5">
        <w:rPr>
          <w:rFonts w:hint="cs"/>
          <w:sz w:val="18"/>
          <w:szCs w:val="18"/>
          <w:rtl/>
        </w:rPr>
        <w:t xml:space="preserve"> מכך שכתוב: "אין רוח חכמים" וכו'. </w:t>
      </w:r>
      <w:r w:rsidRPr="002135D5">
        <w:rPr>
          <w:sz w:val="18"/>
          <w:szCs w:val="18"/>
          <w:rtl/>
        </w:rPr>
        <w:br/>
      </w:r>
      <w:r w:rsidRPr="002135D5">
        <w:rPr>
          <w:rFonts w:hint="cs"/>
          <w:b/>
          <w:bCs/>
          <w:sz w:val="18"/>
          <w:szCs w:val="18"/>
          <w:rtl/>
        </w:rPr>
        <w:t>טה"ב</w:t>
      </w:r>
      <w:r w:rsidRPr="002135D5">
        <w:rPr>
          <w:rFonts w:hint="cs"/>
          <w:sz w:val="18"/>
          <w:szCs w:val="18"/>
          <w:rtl/>
        </w:rPr>
        <w:t xml:space="preserve"> </w:t>
      </w:r>
      <w:r w:rsidRPr="002135D5">
        <w:rPr>
          <w:rFonts w:hint="cs"/>
          <w:sz w:val="16"/>
          <w:szCs w:val="16"/>
          <w:rtl/>
        </w:rPr>
        <w:t xml:space="preserve">(עמ' קפז </w:t>
      </w:r>
      <w:r w:rsidRPr="002135D5">
        <w:rPr>
          <w:sz w:val="16"/>
          <w:szCs w:val="16"/>
          <w:rtl/>
        </w:rPr>
        <w:t>–</w:t>
      </w:r>
      <w:r w:rsidRPr="002135D5">
        <w:rPr>
          <w:rFonts w:hint="cs"/>
          <w:sz w:val="16"/>
          <w:szCs w:val="16"/>
          <w:rtl/>
        </w:rPr>
        <w:t xml:space="preserve"> קפט) </w:t>
      </w:r>
      <w:r w:rsidRPr="002135D5">
        <w:rPr>
          <w:sz w:val="18"/>
          <w:szCs w:val="18"/>
          <w:rtl/>
        </w:rPr>
        <w:t>–</w:t>
      </w:r>
      <w:r w:rsidRPr="002135D5">
        <w:rPr>
          <w:rFonts w:hint="cs"/>
          <w:sz w:val="18"/>
          <w:szCs w:val="18"/>
          <w:rtl/>
        </w:rPr>
        <w:t xml:space="preserve"> דיוקו של הגר"א מכך </w:t>
      </w:r>
      <w:r>
        <w:rPr>
          <w:rFonts w:hint="cs"/>
          <w:sz w:val="18"/>
          <w:szCs w:val="18"/>
          <w:rtl/>
        </w:rPr>
        <w:t>שלא נאמר בברייתא שז</w:t>
      </w:r>
      <w:r w:rsidRPr="002135D5">
        <w:rPr>
          <w:rFonts w:hint="cs"/>
          <w:sz w:val="18"/>
          <w:szCs w:val="18"/>
          <w:rtl/>
        </w:rPr>
        <w:t>הו איסור גמור להתקשט, כדעת זקנים הראשונים, אלא על כורחך כר"ע ברייתא זו, ואע</w:t>
      </w:r>
      <w:r>
        <w:rPr>
          <w:rFonts w:hint="cs"/>
          <w:sz w:val="18"/>
          <w:szCs w:val="18"/>
          <w:rtl/>
        </w:rPr>
        <w:t>"</w:t>
      </w:r>
      <w:r w:rsidRPr="002135D5">
        <w:rPr>
          <w:rFonts w:hint="cs"/>
          <w:sz w:val="18"/>
          <w:szCs w:val="18"/>
          <w:rtl/>
        </w:rPr>
        <w:t>פ שהתיר קישוט מכל מקום אין רוח חכמים נוחה מכך.</w:t>
      </w:r>
      <w:r w:rsidRPr="002135D5">
        <w:rPr>
          <w:sz w:val="18"/>
          <w:szCs w:val="18"/>
          <w:rtl/>
        </w:rPr>
        <w:br/>
      </w:r>
      <w:r w:rsidRPr="002135D5">
        <w:rPr>
          <w:rFonts w:hint="cs"/>
          <w:sz w:val="18"/>
          <w:szCs w:val="18"/>
          <w:rtl/>
        </w:rPr>
        <w:t xml:space="preserve">ואמנם, </w:t>
      </w:r>
      <w:r w:rsidRPr="002135D5">
        <w:rPr>
          <w:rFonts w:hint="cs"/>
          <w:b/>
          <w:bCs/>
          <w:sz w:val="18"/>
          <w:szCs w:val="18"/>
          <w:rtl/>
        </w:rPr>
        <w:t>טה"ב</w:t>
      </w:r>
      <w:r w:rsidRPr="002135D5">
        <w:rPr>
          <w:rFonts w:hint="cs"/>
          <w:sz w:val="18"/>
          <w:szCs w:val="18"/>
          <w:rtl/>
        </w:rPr>
        <w:t xml:space="preserve"> עצמו סובר שאין דיוק זה מוכרח, ויש לומר שברייתא זו נאמרה בשיטת זקנים הראשונים בלבד.</w:t>
      </w:r>
    </w:p>
  </w:footnote>
  <w:footnote w:id="482">
    <w:p w:rsidR="005953C5" w:rsidRDefault="005953C5" w:rsidP="00620060">
      <w:pPr>
        <w:pStyle w:val="a3"/>
      </w:pPr>
      <w:r w:rsidRPr="002135D5">
        <w:rPr>
          <w:rStyle w:val="a5"/>
          <w:sz w:val="18"/>
          <w:szCs w:val="18"/>
        </w:rPr>
        <w:footnoteRef/>
      </w:r>
      <w:r w:rsidRPr="002135D5">
        <w:rPr>
          <w:sz w:val="18"/>
          <w:szCs w:val="18"/>
          <w:rtl/>
        </w:rPr>
        <w:t xml:space="preserve"> </w:t>
      </w:r>
      <w:r w:rsidRPr="002135D5">
        <w:rPr>
          <w:rFonts w:hint="cs"/>
          <w:sz w:val="18"/>
          <w:szCs w:val="18"/>
          <w:rtl/>
        </w:rPr>
        <w:t xml:space="preserve">מה הדין כאשר בעלה אומר שאינו מקפיד על כך שלא תתקשט? </w:t>
      </w:r>
      <w:r w:rsidRPr="00CB184E">
        <w:rPr>
          <w:rFonts w:hint="cs"/>
          <w:sz w:val="16"/>
          <w:szCs w:val="16"/>
          <w:rtl/>
        </w:rPr>
        <w:t>(</w:t>
      </w:r>
      <w:r w:rsidRPr="00CB184E">
        <w:rPr>
          <w:rFonts w:hint="cs"/>
          <w:b/>
          <w:bCs/>
          <w:sz w:val="16"/>
          <w:szCs w:val="16"/>
          <w:rtl/>
        </w:rPr>
        <w:t>טה"ב</w:t>
      </w:r>
      <w:r w:rsidRPr="00CB184E">
        <w:rPr>
          <w:rFonts w:hint="cs"/>
          <w:sz w:val="16"/>
          <w:szCs w:val="16"/>
          <w:rtl/>
        </w:rPr>
        <w:t xml:space="preserve"> עמ' קפט)</w:t>
      </w:r>
      <w:r w:rsidRPr="002135D5">
        <w:rPr>
          <w:rFonts w:hint="cs"/>
          <w:sz w:val="18"/>
          <w:szCs w:val="18"/>
          <w:rtl/>
        </w:rPr>
        <w:br/>
      </w:r>
      <w:r w:rsidRPr="002135D5">
        <w:rPr>
          <w:rFonts w:hint="cs"/>
          <w:b/>
          <w:bCs/>
          <w:sz w:val="18"/>
          <w:szCs w:val="18"/>
          <w:rtl/>
        </w:rPr>
        <w:t>שערי טוהר</w:t>
      </w:r>
      <w:r w:rsidRPr="002135D5">
        <w:rPr>
          <w:rFonts w:hint="cs"/>
          <w:sz w:val="18"/>
          <w:szCs w:val="18"/>
          <w:rtl/>
        </w:rPr>
        <w:t xml:space="preserve"> </w:t>
      </w:r>
      <w:r w:rsidRPr="002135D5">
        <w:rPr>
          <w:sz w:val="18"/>
          <w:szCs w:val="18"/>
          <w:rtl/>
        </w:rPr>
        <w:t>–</w:t>
      </w:r>
      <w:r w:rsidRPr="002135D5">
        <w:rPr>
          <w:rFonts w:hint="cs"/>
          <w:sz w:val="18"/>
          <w:szCs w:val="18"/>
          <w:rtl/>
        </w:rPr>
        <w:t xml:space="preserve"> אינה רשאית להתקשט, כיוון שעיקר ההיתר הוא כדי שלא תתגנה עליו.</w:t>
      </w:r>
      <w:r w:rsidRPr="002135D5">
        <w:rPr>
          <w:sz w:val="18"/>
          <w:szCs w:val="18"/>
          <w:rtl/>
        </w:rPr>
        <w:br/>
      </w:r>
      <w:r w:rsidRPr="002135D5">
        <w:rPr>
          <w:rFonts w:hint="cs"/>
          <w:b/>
          <w:bCs/>
          <w:sz w:val="18"/>
          <w:szCs w:val="18"/>
          <w:rtl/>
        </w:rPr>
        <w:t>טה"ב</w:t>
      </w:r>
      <w:r w:rsidRPr="002135D5">
        <w:rPr>
          <w:rFonts w:hint="cs"/>
          <w:sz w:val="18"/>
          <w:szCs w:val="18"/>
          <w:rtl/>
        </w:rPr>
        <w:t xml:space="preserve"> </w:t>
      </w:r>
      <w:r w:rsidRPr="002135D5">
        <w:rPr>
          <w:sz w:val="18"/>
          <w:szCs w:val="18"/>
          <w:rtl/>
        </w:rPr>
        <w:t>–</w:t>
      </w:r>
      <w:r w:rsidRPr="002135D5">
        <w:rPr>
          <w:rFonts w:hint="cs"/>
          <w:sz w:val="18"/>
          <w:szCs w:val="18"/>
          <w:rtl/>
        </w:rPr>
        <w:t xml:space="preserve"> תתקשט, כיוון שבדורות אלו רבה הפריצות בעולם, ויש לחוש שמא ייתן עיניו באשה אחרת.</w:t>
      </w:r>
    </w:p>
  </w:footnote>
  <w:footnote w:id="483">
    <w:p w:rsidR="005953C5" w:rsidRDefault="005953C5" w:rsidP="00620060">
      <w:pPr>
        <w:pStyle w:val="a3"/>
      </w:pPr>
      <w:r w:rsidRPr="001260C2">
        <w:rPr>
          <w:rStyle w:val="a5"/>
          <w:sz w:val="18"/>
          <w:szCs w:val="18"/>
        </w:rPr>
        <w:footnoteRef/>
      </w:r>
      <w:r w:rsidRPr="001260C2">
        <w:rPr>
          <w:sz w:val="18"/>
          <w:szCs w:val="18"/>
          <w:rtl/>
        </w:rPr>
        <w:t xml:space="preserve"> </w:t>
      </w:r>
      <w:r w:rsidRPr="001260C2">
        <w:rPr>
          <w:rFonts w:hint="cs"/>
          <w:sz w:val="18"/>
          <w:szCs w:val="18"/>
          <w:rtl/>
        </w:rPr>
        <w:t>וכן אין לאשה להביא לבעלה שמן לסוך בו, כפי שמשמע מסיפור המעשה על  אותו תלמיד במסכת שבת</w:t>
      </w:r>
      <w:r w:rsidRPr="001260C2">
        <w:rPr>
          <w:rFonts w:hint="cs"/>
          <w:sz w:val="16"/>
          <w:szCs w:val="16"/>
          <w:rtl/>
        </w:rPr>
        <w:t xml:space="preserve"> (יג:) </w:t>
      </w:r>
      <w:r w:rsidRPr="001260C2">
        <w:rPr>
          <w:rFonts w:hint="cs"/>
          <w:sz w:val="18"/>
          <w:szCs w:val="18"/>
          <w:rtl/>
        </w:rPr>
        <w:t>משום שגם זה הוא דבר של חיבה.</w:t>
      </w:r>
    </w:p>
  </w:footnote>
  <w:footnote w:id="484">
    <w:p w:rsidR="005953C5" w:rsidRDefault="005953C5" w:rsidP="00620060">
      <w:pPr>
        <w:pStyle w:val="a3"/>
      </w:pPr>
      <w:r w:rsidRPr="001260C2">
        <w:rPr>
          <w:rStyle w:val="a5"/>
          <w:sz w:val="18"/>
          <w:szCs w:val="18"/>
        </w:rPr>
        <w:footnoteRef/>
      </w:r>
      <w:r w:rsidRPr="001260C2">
        <w:rPr>
          <w:sz w:val="18"/>
          <w:szCs w:val="18"/>
          <w:rtl/>
        </w:rPr>
        <w:t xml:space="preserve"> </w:t>
      </w:r>
      <w:r w:rsidRPr="001260C2">
        <w:rPr>
          <w:rFonts w:hint="cs"/>
          <w:b/>
          <w:bCs/>
          <w:sz w:val="18"/>
          <w:szCs w:val="18"/>
          <w:rtl/>
        </w:rPr>
        <w:t>הרא"ש וסמ"ג</w:t>
      </w:r>
      <w:r w:rsidRPr="001260C2">
        <w:rPr>
          <w:rFonts w:hint="cs"/>
          <w:sz w:val="18"/>
          <w:szCs w:val="18"/>
          <w:rtl/>
        </w:rPr>
        <w:t xml:space="preserve"> נחלקו גם לגבי הושטת חפצים. </w:t>
      </w:r>
      <w:r w:rsidRPr="001260C2">
        <w:rPr>
          <w:rFonts w:hint="cs"/>
          <w:b/>
          <w:bCs/>
          <w:sz w:val="18"/>
          <w:szCs w:val="18"/>
          <w:rtl/>
        </w:rPr>
        <w:t>הסמ"ג</w:t>
      </w:r>
      <w:r w:rsidRPr="001260C2">
        <w:rPr>
          <w:rFonts w:hint="cs"/>
          <w:sz w:val="18"/>
          <w:szCs w:val="18"/>
          <w:rtl/>
        </w:rPr>
        <w:t xml:space="preserve"> סובר שאין ראיה מדין מזיגת כוס לשאר ה</w:t>
      </w:r>
      <w:r>
        <w:rPr>
          <w:rFonts w:hint="cs"/>
          <w:sz w:val="18"/>
          <w:szCs w:val="18"/>
          <w:rtl/>
        </w:rPr>
        <w:t>וש</w:t>
      </w:r>
      <w:r w:rsidRPr="001260C2">
        <w:rPr>
          <w:rFonts w:hint="cs"/>
          <w:sz w:val="18"/>
          <w:szCs w:val="18"/>
          <w:rtl/>
        </w:rPr>
        <w:t xml:space="preserve">טה, מכיוון שבכוס יש חיבה, אך </w:t>
      </w:r>
      <w:r w:rsidRPr="001260C2">
        <w:rPr>
          <w:rFonts w:hint="cs"/>
          <w:b/>
          <w:bCs/>
          <w:sz w:val="18"/>
          <w:szCs w:val="18"/>
          <w:rtl/>
        </w:rPr>
        <w:t>הרא"ש</w:t>
      </w:r>
      <w:r w:rsidRPr="001260C2">
        <w:rPr>
          <w:rFonts w:hint="cs"/>
          <w:sz w:val="18"/>
          <w:szCs w:val="18"/>
          <w:rtl/>
        </w:rPr>
        <w:t xml:space="preserve"> </w:t>
      </w:r>
      <w:r>
        <w:rPr>
          <w:rFonts w:hint="cs"/>
          <w:sz w:val="18"/>
          <w:szCs w:val="18"/>
          <w:rtl/>
        </w:rPr>
        <w:t xml:space="preserve">סובר </w:t>
      </w:r>
      <w:r w:rsidRPr="001260C2">
        <w:rPr>
          <w:rFonts w:hint="cs"/>
          <w:sz w:val="18"/>
          <w:szCs w:val="18"/>
          <w:rtl/>
        </w:rPr>
        <w:t>שהושטה אסורה ואין זה קשור לסוגייה כאן המדברת על מזיגת המים ביין, כאמור.</w:t>
      </w:r>
    </w:p>
  </w:footnote>
  <w:footnote w:id="485">
    <w:p w:rsidR="005953C5" w:rsidRDefault="005953C5" w:rsidP="00620060">
      <w:pPr>
        <w:pStyle w:val="a3"/>
      </w:pPr>
      <w:r w:rsidRPr="00D07774">
        <w:rPr>
          <w:rStyle w:val="a5"/>
          <w:sz w:val="18"/>
          <w:szCs w:val="18"/>
        </w:rPr>
        <w:footnoteRef/>
      </w:r>
      <w:r w:rsidRPr="00D07774">
        <w:rPr>
          <w:sz w:val="18"/>
          <w:szCs w:val="18"/>
          <w:rtl/>
        </w:rPr>
        <w:t xml:space="preserve"> </w:t>
      </w:r>
      <w:r w:rsidRPr="00D07774">
        <w:rPr>
          <w:rFonts w:hint="cs"/>
          <w:b/>
          <w:bCs/>
          <w:sz w:val="18"/>
          <w:szCs w:val="18"/>
          <w:rtl/>
        </w:rPr>
        <w:t>לחם ושמלה</w:t>
      </w:r>
      <w:r w:rsidRPr="00D07774">
        <w:rPr>
          <w:rFonts w:hint="cs"/>
          <w:sz w:val="18"/>
          <w:szCs w:val="18"/>
          <w:rtl/>
        </w:rPr>
        <w:t xml:space="preserve"> </w:t>
      </w:r>
      <w:r w:rsidRPr="00D07774">
        <w:rPr>
          <w:sz w:val="18"/>
          <w:szCs w:val="18"/>
          <w:rtl/>
        </w:rPr>
        <w:t>–</w:t>
      </w:r>
      <w:r w:rsidRPr="00D07774">
        <w:rPr>
          <w:rFonts w:hint="cs"/>
          <w:sz w:val="18"/>
          <w:szCs w:val="18"/>
          <w:rtl/>
        </w:rPr>
        <w:t xml:space="preserve"> נעלם מעיני הבית יוסף דברי הרמב"ם בהלכות אישות, שם כתב להדיא שמותר לאשה למזוג את הכוס לבעלה ע"י שינוי, ולא חילק בין ת"ח לעם הארץ, ודברי הבית יוסף צ"ע.</w:t>
      </w:r>
      <w:r w:rsidRPr="00D07774">
        <w:rPr>
          <w:sz w:val="18"/>
          <w:szCs w:val="18"/>
          <w:rtl/>
        </w:rPr>
        <w:br/>
      </w:r>
      <w:r w:rsidRPr="00D07774">
        <w:rPr>
          <w:rFonts w:hint="cs"/>
          <w:b/>
          <w:bCs/>
          <w:sz w:val="18"/>
          <w:szCs w:val="18"/>
          <w:rtl/>
        </w:rPr>
        <w:t>תפארת צבי</w:t>
      </w:r>
      <w:r w:rsidRPr="00D07774">
        <w:rPr>
          <w:rFonts w:hint="cs"/>
          <w:sz w:val="18"/>
          <w:szCs w:val="18"/>
          <w:rtl/>
        </w:rPr>
        <w:t xml:space="preserve"> </w:t>
      </w:r>
      <w:r w:rsidRPr="00D07774">
        <w:rPr>
          <w:sz w:val="18"/>
          <w:szCs w:val="18"/>
          <w:rtl/>
        </w:rPr>
        <w:t>–</w:t>
      </w:r>
      <w:r w:rsidRPr="00D07774">
        <w:rPr>
          <w:rFonts w:hint="cs"/>
          <w:sz w:val="18"/>
          <w:szCs w:val="18"/>
          <w:rtl/>
        </w:rPr>
        <w:t xml:space="preserve"> יש ליישב את דברי </w:t>
      </w:r>
      <w:r w:rsidRPr="004E5477">
        <w:rPr>
          <w:rFonts w:hint="cs"/>
          <w:b/>
          <w:bCs/>
          <w:sz w:val="18"/>
          <w:szCs w:val="18"/>
          <w:rtl/>
        </w:rPr>
        <w:t>הבית יוסף</w:t>
      </w:r>
      <w:r w:rsidRPr="00D07774">
        <w:rPr>
          <w:rFonts w:hint="cs"/>
          <w:sz w:val="18"/>
          <w:szCs w:val="18"/>
          <w:rtl/>
        </w:rPr>
        <w:t xml:space="preserve">. זו לשון </w:t>
      </w:r>
      <w:r w:rsidRPr="004E5477">
        <w:rPr>
          <w:rFonts w:hint="cs"/>
          <w:b/>
          <w:bCs/>
          <w:sz w:val="18"/>
          <w:szCs w:val="18"/>
          <w:rtl/>
        </w:rPr>
        <w:t>הרמב"ם</w:t>
      </w:r>
      <w:r w:rsidRPr="00D07774">
        <w:rPr>
          <w:rFonts w:hint="cs"/>
          <w:sz w:val="18"/>
          <w:szCs w:val="18"/>
          <w:rtl/>
        </w:rPr>
        <w:t xml:space="preserve"> עליו מדבר </w:t>
      </w:r>
      <w:r w:rsidRPr="004E5477">
        <w:rPr>
          <w:rFonts w:hint="cs"/>
          <w:b/>
          <w:bCs/>
          <w:sz w:val="18"/>
          <w:szCs w:val="18"/>
          <w:rtl/>
        </w:rPr>
        <w:t>הבית יוסף</w:t>
      </w:r>
      <w:r w:rsidRPr="00D07774">
        <w:rPr>
          <w:rFonts w:hint="cs"/>
          <w:sz w:val="18"/>
          <w:szCs w:val="18"/>
          <w:rtl/>
        </w:rPr>
        <w:t xml:space="preserve"> </w:t>
      </w:r>
      <w:r w:rsidRPr="00D07774">
        <w:rPr>
          <w:sz w:val="18"/>
          <w:szCs w:val="18"/>
          <w:rtl/>
        </w:rPr>
        <w:t>–</w:t>
      </w:r>
      <w:r w:rsidRPr="00D07774">
        <w:rPr>
          <w:rFonts w:hint="cs"/>
          <w:sz w:val="18"/>
          <w:szCs w:val="18"/>
          <w:rtl/>
        </w:rPr>
        <w:t xml:space="preserve"> "</w:t>
      </w:r>
      <w:r w:rsidRPr="00D07774">
        <w:rPr>
          <w:rFonts w:cs="Arial"/>
          <w:sz w:val="18"/>
          <w:szCs w:val="18"/>
          <w:rtl/>
        </w:rPr>
        <w:t xml:space="preserve">כל מלאכות שהאשה עושה לבעלה נדה עושה לבעלה חוץ </w:t>
      </w:r>
      <w:r w:rsidRPr="00D07774">
        <w:rPr>
          <w:rFonts w:cs="Arial" w:hint="cs"/>
          <w:sz w:val="18"/>
          <w:szCs w:val="18"/>
          <w:rtl/>
        </w:rPr>
        <w:t>מ...</w:t>
      </w:r>
      <w:r w:rsidRPr="00D07774">
        <w:rPr>
          <w:rFonts w:cs="Arial"/>
          <w:sz w:val="18"/>
          <w:szCs w:val="18"/>
          <w:rtl/>
        </w:rPr>
        <w:t xml:space="preserve"> ומזיגת הכוס והצעת המטה בפניו</w:t>
      </w:r>
      <w:r w:rsidRPr="00D07774">
        <w:rPr>
          <w:rFonts w:cs="Arial" w:hint="cs"/>
          <w:sz w:val="18"/>
          <w:szCs w:val="18"/>
          <w:rtl/>
        </w:rPr>
        <w:t xml:space="preserve">". ויש לומר שתיבת 'בפניו' קאי גם על מזיגת הכוס, דהיינו שמזיגת הכוס בפניו אסורה אפילו ע"י שינוי, ולכן לא כתב כאן הרמב"ם ששינוי מהני, </w:t>
      </w:r>
      <w:r>
        <w:rPr>
          <w:rFonts w:cs="Arial" w:hint="cs"/>
          <w:sz w:val="18"/>
          <w:szCs w:val="18"/>
          <w:rtl/>
        </w:rPr>
        <w:t>מה שאין כן</w:t>
      </w:r>
      <w:r w:rsidRPr="00D07774">
        <w:rPr>
          <w:rFonts w:cs="Arial" w:hint="cs"/>
          <w:sz w:val="18"/>
          <w:szCs w:val="18"/>
          <w:rtl/>
        </w:rPr>
        <w:t xml:space="preserve"> בהלכות אישות שמדובר שלא בפניו ולכן שינוי מהני</w:t>
      </w:r>
      <w:r>
        <w:rPr>
          <w:rFonts w:cs="Arial" w:hint="cs"/>
          <w:sz w:val="18"/>
          <w:szCs w:val="18"/>
          <w:rtl/>
        </w:rPr>
        <w:t xml:space="preserve"> </w:t>
      </w:r>
      <w:r w:rsidRPr="00CB184E">
        <w:rPr>
          <w:rFonts w:cs="Arial" w:hint="cs"/>
          <w:sz w:val="16"/>
          <w:szCs w:val="16"/>
          <w:rtl/>
        </w:rPr>
        <w:t>(ע"פ הערות לטור, הוצאת מכון המאור)</w:t>
      </w:r>
      <w:r w:rsidRPr="00D07774">
        <w:rPr>
          <w:rFonts w:cs="Arial" w:hint="cs"/>
          <w:sz w:val="18"/>
          <w:szCs w:val="18"/>
          <w:rtl/>
        </w:rPr>
        <w:t>.</w:t>
      </w:r>
      <w:r w:rsidRPr="00D07774">
        <w:rPr>
          <w:rFonts w:cs="Arial"/>
          <w:sz w:val="18"/>
          <w:szCs w:val="18"/>
          <w:rtl/>
        </w:rPr>
        <w:t xml:space="preserve"> </w:t>
      </w:r>
      <w:r w:rsidRPr="00D07774">
        <w:rPr>
          <w:rFonts w:hint="cs"/>
          <w:sz w:val="18"/>
          <w:szCs w:val="18"/>
          <w:rtl/>
        </w:rPr>
        <w:t xml:space="preserve"> </w:t>
      </w:r>
    </w:p>
  </w:footnote>
  <w:footnote w:id="486">
    <w:p w:rsidR="005953C5" w:rsidRDefault="005953C5" w:rsidP="00620060">
      <w:pPr>
        <w:pStyle w:val="a3"/>
      </w:pPr>
      <w:r w:rsidRPr="00353264">
        <w:rPr>
          <w:rStyle w:val="a5"/>
          <w:sz w:val="18"/>
          <w:szCs w:val="18"/>
        </w:rPr>
        <w:footnoteRef/>
      </w:r>
      <w:r w:rsidRPr="00353264">
        <w:rPr>
          <w:sz w:val="18"/>
          <w:szCs w:val="18"/>
          <w:rtl/>
        </w:rPr>
        <w:t xml:space="preserve"> </w:t>
      </w:r>
      <w:r w:rsidRPr="00353264">
        <w:rPr>
          <w:rFonts w:hint="cs"/>
          <w:b/>
          <w:bCs/>
          <w:sz w:val="18"/>
          <w:szCs w:val="18"/>
          <w:rtl/>
        </w:rPr>
        <w:t>הב"ח</w:t>
      </w:r>
      <w:r w:rsidRPr="00353264">
        <w:rPr>
          <w:rFonts w:hint="cs"/>
          <w:sz w:val="18"/>
          <w:szCs w:val="18"/>
          <w:rtl/>
        </w:rPr>
        <w:t xml:space="preserve"> כותב שדבריו מבוססים על סיפור המעשה במסכת שבת וכן על דברי ספר התרומה. וזו לשון ספר התרומה: "</w:t>
      </w:r>
      <w:r w:rsidRPr="00353264">
        <w:rPr>
          <w:rFonts w:cs="Arial"/>
          <w:sz w:val="18"/>
          <w:szCs w:val="18"/>
          <w:rtl/>
        </w:rPr>
        <w:t>אסור ליגע באשתו כל ימי נדותה אפילו באצבע קטנה ויש נזהרין אפילו להושיט לה שום דבר ולכל הפחות דבר מאכל ומשתה טוב ונכון ליזהר שלא יושיט מידו לידה</w:t>
      </w:r>
      <w:r w:rsidRPr="00353264">
        <w:rPr>
          <w:rFonts w:cs="Arial" w:hint="cs"/>
          <w:sz w:val="18"/>
          <w:szCs w:val="18"/>
          <w:rtl/>
        </w:rPr>
        <w:t>".</w:t>
      </w:r>
      <w:r w:rsidRPr="00353264">
        <w:rPr>
          <w:sz w:val="18"/>
          <w:szCs w:val="18"/>
          <w:rtl/>
        </w:rPr>
        <w:br/>
      </w:r>
      <w:r w:rsidRPr="00353264">
        <w:rPr>
          <w:rFonts w:hint="cs"/>
          <w:sz w:val="18"/>
          <w:szCs w:val="18"/>
          <w:rtl/>
        </w:rPr>
        <w:t xml:space="preserve">מקשה </w:t>
      </w:r>
      <w:r w:rsidRPr="00353264">
        <w:rPr>
          <w:rFonts w:hint="cs"/>
          <w:b/>
          <w:bCs/>
          <w:sz w:val="18"/>
          <w:szCs w:val="18"/>
          <w:rtl/>
        </w:rPr>
        <w:t>הלחם ושמלה</w:t>
      </w:r>
      <w:r w:rsidRPr="00353264">
        <w:rPr>
          <w:rFonts w:hint="cs"/>
          <w:sz w:val="18"/>
          <w:szCs w:val="18"/>
          <w:rtl/>
        </w:rPr>
        <w:t xml:space="preserve"> </w:t>
      </w:r>
      <w:r w:rsidRPr="00353264">
        <w:rPr>
          <w:sz w:val="18"/>
          <w:szCs w:val="18"/>
          <w:rtl/>
        </w:rPr>
        <w:t>–</w:t>
      </w:r>
      <w:r w:rsidRPr="00353264">
        <w:rPr>
          <w:rFonts w:hint="cs"/>
          <w:sz w:val="18"/>
          <w:szCs w:val="18"/>
          <w:rtl/>
        </w:rPr>
        <w:t xml:space="preserve"> התרומה מדבר על איסור הושטה מיד ליד, ולכן כתב להחמיר גם בדבר מאכל ומשתה, אך הוא לא מיירי כלל לעניין איסור הגשת מאכל לשולחן! וצ"ע. אמנם, עיין </w:t>
      </w:r>
      <w:r w:rsidRPr="00353264">
        <w:rPr>
          <w:rFonts w:hint="cs"/>
          <w:b/>
          <w:bCs/>
          <w:sz w:val="18"/>
          <w:szCs w:val="18"/>
          <w:rtl/>
        </w:rPr>
        <w:t>פרדס רימונים</w:t>
      </w:r>
      <w:r w:rsidRPr="00353264">
        <w:rPr>
          <w:rFonts w:hint="cs"/>
          <w:sz w:val="18"/>
          <w:szCs w:val="18"/>
          <w:rtl/>
        </w:rPr>
        <w:t xml:space="preserve">, מקשה זהב סק"ג שיישב את שיטת הב"ח </w:t>
      </w:r>
      <w:r w:rsidRPr="00353264">
        <w:rPr>
          <w:rFonts w:hint="cs"/>
          <w:sz w:val="16"/>
          <w:szCs w:val="16"/>
          <w:rtl/>
        </w:rPr>
        <w:t>(ע"פ הערות לטור, הוצאת מכון המאור)</w:t>
      </w:r>
      <w:r w:rsidRPr="00353264">
        <w:rPr>
          <w:rFonts w:hint="cs"/>
          <w:sz w:val="18"/>
          <w:szCs w:val="18"/>
          <w:rtl/>
        </w:rPr>
        <w:t>.</w:t>
      </w:r>
    </w:p>
  </w:footnote>
  <w:footnote w:id="487">
    <w:p w:rsidR="005953C5" w:rsidRDefault="005953C5" w:rsidP="00620060">
      <w:pPr>
        <w:pStyle w:val="a3"/>
      </w:pPr>
      <w:r w:rsidRPr="00AB2CE9">
        <w:rPr>
          <w:rStyle w:val="a5"/>
          <w:sz w:val="18"/>
          <w:szCs w:val="18"/>
        </w:rPr>
        <w:footnoteRef/>
      </w:r>
      <w:r w:rsidRPr="00AB2CE9">
        <w:rPr>
          <w:sz w:val="18"/>
          <w:szCs w:val="18"/>
          <w:rtl/>
        </w:rPr>
        <w:t xml:space="preserve"> </w:t>
      </w:r>
      <w:r w:rsidRPr="00AB2CE9">
        <w:rPr>
          <w:rFonts w:hint="cs"/>
          <w:sz w:val="18"/>
          <w:szCs w:val="18"/>
          <w:rtl/>
        </w:rPr>
        <w:t xml:space="preserve">דין זה מבוסס על דברי </w:t>
      </w:r>
      <w:r w:rsidRPr="00AB2CE9">
        <w:rPr>
          <w:rFonts w:hint="cs"/>
          <w:b/>
          <w:bCs/>
          <w:sz w:val="18"/>
          <w:szCs w:val="18"/>
          <w:rtl/>
        </w:rPr>
        <w:t xml:space="preserve">התוספות </w:t>
      </w:r>
      <w:r w:rsidRPr="00AB2CE9">
        <w:rPr>
          <w:rFonts w:hint="cs"/>
          <w:sz w:val="18"/>
          <w:szCs w:val="18"/>
          <w:rtl/>
        </w:rPr>
        <w:t xml:space="preserve">בריש מסכת כתובות </w:t>
      </w:r>
      <w:r w:rsidRPr="00AB2CE9">
        <w:rPr>
          <w:rFonts w:hint="cs"/>
          <w:sz w:val="16"/>
          <w:szCs w:val="16"/>
          <w:rtl/>
        </w:rPr>
        <w:t>(ד:, ד"ה והצעת)</w:t>
      </w:r>
      <w:r w:rsidRPr="00AB2CE9">
        <w:rPr>
          <w:rFonts w:hint="cs"/>
          <w:sz w:val="18"/>
          <w:szCs w:val="18"/>
          <w:rtl/>
        </w:rPr>
        <w:t xml:space="preserve">. אך עיי"ש שדין זה תלוי בגרסות שונות בגמרא בהמשך. </w:t>
      </w:r>
      <w:r w:rsidRPr="00AB2CE9">
        <w:rPr>
          <w:rFonts w:hint="cs"/>
          <w:b/>
          <w:bCs/>
          <w:sz w:val="18"/>
          <w:szCs w:val="18"/>
          <w:rtl/>
        </w:rPr>
        <w:t>הרמ"א</w:t>
      </w:r>
      <w:r w:rsidRPr="00AB2CE9">
        <w:rPr>
          <w:rFonts w:hint="cs"/>
          <w:sz w:val="18"/>
          <w:szCs w:val="18"/>
          <w:rtl/>
        </w:rPr>
        <w:t xml:space="preserve"> באבן העזר הביא את שתי הדעות, </w:t>
      </w:r>
      <w:r w:rsidRPr="00AB2CE9">
        <w:rPr>
          <w:rFonts w:hint="cs"/>
          <w:b/>
          <w:bCs/>
          <w:sz w:val="18"/>
          <w:szCs w:val="18"/>
          <w:rtl/>
        </w:rPr>
        <w:t>והש"ך</w:t>
      </w:r>
      <w:r w:rsidRPr="00AB2CE9">
        <w:rPr>
          <w:rFonts w:hint="cs"/>
          <w:sz w:val="18"/>
          <w:szCs w:val="18"/>
          <w:rtl/>
        </w:rPr>
        <w:t xml:space="preserve"> </w:t>
      </w:r>
      <w:r>
        <w:rPr>
          <w:rFonts w:hint="cs"/>
          <w:sz w:val="18"/>
          <w:szCs w:val="18"/>
          <w:rtl/>
        </w:rPr>
        <w:t xml:space="preserve">כאן </w:t>
      </w:r>
      <w:r w:rsidRPr="00AB2CE9">
        <w:rPr>
          <w:rFonts w:hint="cs"/>
          <w:sz w:val="18"/>
          <w:szCs w:val="18"/>
          <w:rtl/>
        </w:rPr>
        <w:t xml:space="preserve">מציין לדברי </w:t>
      </w:r>
      <w:r w:rsidRPr="00AB2CE9">
        <w:rPr>
          <w:rFonts w:hint="cs"/>
          <w:b/>
          <w:bCs/>
          <w:sz w:val="18"/>
          <w:szCs w:val="18"/>
          <w:rtl/>
        </w:rPr>
        <w:t>הרמ"א</w:t>
      </w:r>
      <w:r w:rsidRPr="00AB2CE9">
        <w:rPr>
          <w:rFonts w:hint="cs"/>
          <w:sz w:val="18"/>
          <w:szCs w:val="18"/>
          <w:rtl/>
        </w:rPr>
        <w:t xml:space="preserve"> שם. האחרונים כתבו שכוונת </w:t>
      </w:r>
      <w:r w:rsidRPr="00AB2CE9">
        <w:rPr>
          <w:rFonts w:hint="cs"/>
          <w:b/>
          <w:bCs/>
          <w:sz w:val="18"/>
          <w:szCs w:val="18"/>
          <w:rtl/>
        </w:rPr>
        <w:t>הש"ך</w:t>
      </w:r>
      <w:r w:rsidRPr="00AB2CE9">
        <w:rPr>
          <w:rFonts w:hint="cs"/>
          <w:sz w:val="18"/>
          <w:szCs w:val="18"/>
          <w:rtl/>
        </w:rPr>
        <w:t xml:space="preserve"> להחמיר ולאסור אפילו בהצעת כר וכסת שאינו דרך חיבה, וכן הסכימו מעט מהאחרונים שיש להחמיר. ברם, </w:t>
      </w:r>
      <w:r w:rsidRPr="00AB2CE9">
        <w:rPr>
          <w:rFonts w:hint="cs"/>
          <w:b/>
          <w:bCs/>
          <w:sz w:val="18"/>
          <w:szCs w:val="18"/>
          <w:rtl/>
        </w:rPr>
        <w:t>טה"ב</w:t>
      </w:r>
      <w:r w:rsidRPr="00AB2CE9">
        <w:rPr>
          <w:rFonts w:hint="cs"/>
          <w:sz w:val="18"/>
          <w:szCs w:val="18"/>
          <w:rtl/>
        </w:rPr>
        <w:t xml:space="preserve"> </w:t>
      </w:r>
      <w:r w:rsidRPr="00AB2CE9">
        <w:rPr>
          <w:rFonts w:hint="cs"/>
          <w:sz w:val="16"/>
          <w:szCs w:val="16"/>
          <w:rtl/>
        </w:rPr>
        <w:t xml:space="preserve">(עמ' רד) </w:t>
      </w:r>
      <w:r w:rsidRPr="00AB2CE9">
        <w:rPr>
          <w:rFonts w:hint="cs"/>
          <w:sz w:val="18"/>
          <w:szCs w:val="18"/>
          <w:rtl/>
        </w:rPr>
        <w:t xml:space="preserve">כתב שרוב האחרונים הקלו בכך ולכן ניתן להקל בשופי כדעת </w:t>
      </w:r>
      <w:r w:rsidRPr="00AB2CE9">
        <w:rPr>
          <w:rFonts w:hint="cs"/>
          <w:b/>
          <w:bCs/>
          <w:sz w:val="18"/>
          <w:szCs w:val="18"/>
          <w:rtl/>
        </w:rPr>
        <w:t>המחבר</w:t>
      </w:r>
      <w:r w:rsidRPr="00AB2CE9">
        <w:rPr>
          <w:rFonts w:hint="cs"/>
          <w:sz w:val="18"/>
          <w:szCs w:val="18"/>
          <w:rtl/>
        </w:rPr>
        <w:t>.</w:t>
      </w:r>
    </w:p>
  </w:footnote>
  <w:footnote w:id="488">
    <w:p w:rsidR="005953C5" w:rsidRDefault="005953C5" w:rsidP="00620060">
      <w:pPr>
        <w:pStyle w:val="a3"/>
        <w:rPr>
          <w:rtl/>
        </w:rPr>
      </w:pPr>
      <w:r w:rsidRPr="005C60BB">
        <w:rPr>
          <w:rStyle w:val="a5"/>
          <w:sz w:val="18"/>
          <w:szCs w:val="18"/>
        </w:rPr>
        <w:footnoteRef/>
      </w:r>
      <w:r w:rsidRPr="005C60BB">
        <w:rPr>
          <w:sz w:val="18"/>
          <w:szCs w:val="18"/>
          <w:rtl/>
        </w:rPr>
        <w:t xml:space="preserve"> </w:t>
      </w:r>
      <w:r w:rsidRPr="005C60BB">
        <w:rPr>
          <w:rFonts w:hint="cs"/>
          <w:sz w:val="18"/>
          <w:szCs w:val="18"/>
          <w:rtl/>
        </w:rPr>
        <w:t xml:space="preserve">ע"פ תוספות בעבודה זרה </w:t>
      </w:r>
      <w:r w:rsidRPr="005C60BB">
        <w:rPr>
          <w:rFonts w:hint="cs"/>
          <w:sz w:val="16"/>
          <w:szCs w:val="16"/>
          <w:rtl/>
        </w:rPr>
        <w:t xml:space="preserve">(סה. ד"ה ה"ג) </w:t>
      </w:r>
      <w:r w:rsidRPr="005C60BB">
        <w:rPr>
          <w:rFonts w:hint="cs"/>
          <w:sz w:val="18"/>
          <w:szCs w:val="18"/>
          <w:rtl/>
        </w:rPr>
        <w:t xml:space="preserve">וכ"כ </w:t>
      </w:r>
      <w:r w:rsidRPr="005C60BB">
        <w:rPr>
          <w:rFonts w:hint="cs"/>
          <w:b/>
          <w:bCs/>
          <w:sz w:val="18"/>
          <w:szCs w:val="18"/>
          <w:rtl/>
        </w:rPr>
        <w:t>בטה"ב</w:t>
      </w:r>
      <w:r w:rsidRPr="005C60BB">
        <w:rPr>
          <w:rFonts w:hint="cs"/>
          <w:sz w:val="18"/>
          <w:szCs w:val="18"/>
          <w:rtl/>
        </w:rPr>
        <w:t xml:space="preserve"> עמ' רד הערה 117.</w:t>
      </w:r>
    </w:p>
  </w:footnote>
  <w:footnote w:id="489">
    <w:p w:rsidR="005953C5" w:rsidRDefault="005953C5" w:rsidP="00620060">
      <w:pPr>
        <w:pStyle w:val="a3"/>
      </w:pPr>
      <w:r w:rsidRPr="008A5626">
        <w:rPr>
          <w:rStyle w:val="a5"/>
          <w:sz w:val="18"/>
          <w:szCs w:val="18"/>
        </w:rPr>
        <w:footnoteRef/>
      </w:r>
      <w:r w:rsidRPr="008A5626">
        <w:rPr>
          <w:sz w:val="18"/>
          <w:szCs w:val="18"/>
          <w:rtl/>
        </w:rPr>
        <w:t xml:space="preserve"> </w:t>
      </w:r>
      <w:r w:rsidRPr="008A5626">
        <w:rPr>
          <w:rFonts w:hint="cs"/>
          <w:sz w:val="18"/>
          <w:szCs w:val="18"/>
          <w:rtl/>
        </w:rPr>
        <w:t xml:space="preserve">אמנם, </w:t>
      </w:r>
      <w:r w:rsidRPr="008A5626">
        <w:rPr>
          <w:rFonts w:hint="cs"/>
          <w:b/>
          <w:bCs/>
          <w:sz w:val="18"/>
          <w:szCs w:val="18"/>
          <w:rtl/>
        </w:rPr>
        <w:t>טה"ב</w:t>
      </w:r>
      <w:r w:rsidRPr="008A5626">
        <w:rPr>
          <w:rFonts w:hint="cs"/>
          <w:sz w:val="18"/>
          <w:szCs w:val="18"/>
          <w:rtl/>
        </w:rPr>
        <w:t xml:space="preserve"> מעיר על פסק זה מדברי </w:t>
      </w:r>
      <w:r w:rsidRPr="008A5626">
        <w:rPr>
          <w:rFonts w:hint="cs"/>
          <w:b/>
          <w:bCs/>
          <w:sz w:val="18"/>
          <w:szCs w:val="18"/>
          <w:rtl/>
        </w:rPr>
        <w:t>הרא"ש</w:t>
      </w:r>
      <w:r w:rsidRPr="008A5626">
        <w:rPr>
          <w:rFonts w:hint="cs"/>
          <w:sz w:val="18"/>
          <w:szCs w:val="18"/>
          <w:rtl/>
        </w:rPr>
        <w:t>: "</w:t>
      </w:r>
      <w:r w:rsidRPr="008A5626">
        <w:rPr>
          <w:rFonts w:cs="Arial"/>
          <w:sz w:val="18"/>
          <w:szCs w:val="18"/>
          <w:rtl/>
        </w:rPr>
        <w:t>אם הוא חולה ואשתו נדה ואין לו מי שישמשנו זולתה מותרת לשמשו רק שתזהר ביותר מהרחצת פניו ידיו ורגליו והצעת המטה בפניו</w:t>
      </w:r>
      <w:r w:rsidRPr="008A5626">
        <w:rPr>
          <w:rFonts w:cs="Arial" w:hint="cs"/>
          <w:sz w:val="18"/>
          <w:szCs w:val="18"/>
          <w:rtl/>
        </w:rPr>
        <w:t>".</w:t>
      </w:r>
      <w:r w:rsidRPr="008A5626">
        <w:rPr>
          <w:rFonts w:cs="Arial"/>
          <w:sz w:val="18"/>
          <w:szCs w:val="18"/>
          <w:rtl/>
        </w:rPr>
        <w:br/>
      </w:r>
      <w:r w:rsidRPr="008A5626">
        <w:rPr>
          <w:rFonts w:cs="Arial" w:hint="cs"/>
          <w:sz w:val="18"/>
          <w:szCs w:val="18"/>
          <w:rtl/>
        </w:rPr>
        <w:t xml:space="preserve">ואם איתא שמותר לה להציע מיטתו כשהוא עוצם עיניו, מדוע לא כתב זאת הרא"ש? </w:t>
      </w:r>
      <w:r>
        <w:rPr>
          <w:rFonts w:cs="Arial" w:hint="cs"/>
          <w:sz w:val="18"/>
          <w:szCs w:val="18"/>
          <w:rtl/>
        </w:rPr>
        <w:t>בר</w:t>
      </w:r>
      <w:r w:rsidRPr="008A5626">
        <w:rPr>
          <w:rFonts w:cs="Arial" w:hint="cs"/>
          <w:sz w:val="18"/>
          <w:szCs w:val="18"/>
          <w:rtl/>
        </w:rPr>
        <w:t>ם, אע"פ שמדברי הרא"ש נראה שלא ס"ל האי היתר של עצימת העיניים, מכל מקום יש להקל כרשב"א כיוון ש</w:t>
      </w:r>
      <w:r>
        <w:rPr>
          <w:rFonts w:cs="Arial" w:hint="cs"/>
          <w:sz w:val="18"/>
          <w:szCs w:val="18"/>
          <w:rtl/>
        </w:rPr>
        <w:t>מדובר</w:t>
      </w:r>
      <w:r w:rsidRPr="008A5626">
        <w:rPr>
          <w:rFonts w:cs="Arial" w:hint="cs"/>
          <w:sz w:val="18"/>
          <w:szCs w:val="18"/>
          <w:rtl/>
        </w:rPr>
        <w:t xml:space="preserve"> </w:t>
      </w:r>
      <w:r>
        <w:rPr>
          <w:rFonts w:cs="Arial" w:hint="cs"/>
          <w:sz w:val="18"/>
          <w:szCs w:val="18"/>
          <w:rtl/>
        </w:rPr>
        <w:t>ב</w:t>
      </w:r>
      <w:r w:rsidRPr="008A5626">
        <w:rPr>
          <w:rFonts w:cs="Arial" w:hint="cs"/>
          <w:sz w:val="18"/>
          <w:szCs w:val="18"/>
          <w:rtl/>
        </w:rPr>
        <w:t>דין דרבנן.</w:t>
      </w:r>
      <w:r>
        <w:rPr>
          <w:rtl/>
        </w:rPr>
        <w:br/>
      </w:r>
      <w:r w:rsidRPr="008A5626">
        <w:rPr>
          <w:rFonts w:hint="cs"/>
          <w:sz w:val="16"/>
          <w:szCs w:val="16"/>
          <w:rtl/>
        </w:rPr>
        <w:t>[</w:t>
      </w:r>
      <w:r w:rsidRPr="008A5626">
        <w:rPr>
          <w:rFonts w:hint="cs"/>
          <w:b/>
          <w:bCs/>
          <w:sz w:val="16"/>
          <w:szCs w:val="16"/>
          <w:rtl/>
        </w:rPr>
        <w:t>טה"ב</w:t>
      </w:r>
      <w:r w:rsidRPr="008A5626">
        <w:rPr>
          <w:rFonts w:hint="cs"/>
          <w:sz w:val="16"/>
          <w:szCs w:val="16"/>
          <w:rtl/>
        </w:rPr>
        <w:t xml:space="preserve"> </w:t>
      </w:r>
      <w:r w:rsidRPr="008A5626">
        <w:rPr>
          <w:sz w:val="16"/>
          <w:szCs w:val="16"/>
          <w:rtl/>
        </w:rPr>
        <w:t>–</w:t>
      </w:r>
      <w:r w:rsidRPr="008A5626">
        <w:rPr>
          <w:rFonts w:hint="cs"/>
          <w:sz w:val="16"/>
          <w:szCs w:val="16"/>
          <w:rtl/>
        </w:rPr>
        <w:t xml:space="preserve"> לפי זה, נראה שהוא הדין שמותרת להציע מיטה לאורחים שלא בפניהם. כלומר, אע"פ שנפסק באה"ע שאין משתמשים כלל באשה, מכל מקום בכה"ג שלא בפניהם מותר].</w:t>
      </w:r>
    </w:p>
  </w:footnote>
  <w:footnote w:id="490">
    <w:p w:rsidR="005953C5" w:rsidRDefault="005953C5" w:rsidP="00620060">
      <w:pPr>
        <w:pStyle w:val="a3"/>
      </w:pPr>
      <w:r w:rsidRPr="0038316A">
        <w:rPr>
          <w:rStyle w:val="a5"/>
          <w:sz w:val="18"/>
          <w:szCs w:val="18"/>
        </w:rPr>
        <w:footnoteRef/>
      </w:r>
      <w:r w:rsidRPr="0038316A">
        <w:rPr>
          <w:sz w:val="18"/>
          <w:szCs w:val="18"/>
          <w:rtl/>
        </w:rPr>
        <w:t xml:space="preserve"> </w:t>
      </w:r>
      <w:r w:rsidRPr="0038316A">
        <w:rPr>
          <w:rFonts w:hint="cs"/>
          <w:sz w:val="18"/>
          <w:szCs w:val="18"/>
          <w:rtl/>
        </w:rPr>
        <w:t>ואם כן מדוע אליהו חילק בשאלתו את אשת אותו התלמיד בין ימי נידות לימי ליבון? בנוסף לתירוץ ר"ת הנ"ל, יש אומרים שאליהו ידע שאותו תלמיד הקל לעצמו בימי ליבון טפי מימי נידות, אך אין כוונת אליהו שדין ימים אלו קל יותר.</w:t>
      </w:r>
    </w:p>
  </w:footnote>
  <w:footnote w:id="491">
    <w:p w:rsidR="005953C5" w:rsidRDefault="005953C5" w:rsidP="00620060">
      <w:pPr>
        <w:pStyle w:val="a3"/>
        <w:rPr>
          <w:rtl/>
        </w:rPr>
      </w:pPr>
      <w:r w:rsidRPr="004D0CDD">
        <w:rPr>
          <w:rStyle w:val="a5"/>
          <w:sz w:val="18"/>
          <w:szCs w:val="18"/>
        </w:rPr>
        <w:footnoteRef/>
      </w:r>
      <w:r w:rsidRPr="004D0CDD">
        <w:rPr>
          <w:sz w:val="18"/>
          <w:szCs w:val="18"/>
          <w:rtl/>
        </w:rPr>
        <w:t xml:space="preserve"> </w:t>
      </w:r>
      <w:r w:rsidRPr="004D0CDD">
        <w:rPr>
          <w:rFonts w:hint="cs"/>
          <w:b/>
          <w:bCs/>
          <w:sz w:val="18"/>
          <w:szCs w:val="18"/>
          <w:rtl/>
        </w:rPr>
        <w:t>גר"א</w:t>
      </w:r>
      <w:r w:rsidRPr="004D0CDD">
        <w:rPr>
          <w:rFonts w:hint="cs"/>
          <w:sz w:val="18"/>
          <w:szCs w:val="18"/>
          <w:rtl/>
        </w:rPr>
        <w:t xml:space="preserve"> </w:t>
      </w:r>
      <w:r w:rsidRPr="004D0CDD">
        <w:rPr>
          <w:sz w:val="18"/>
          <w:szCs w:val="18"/>
          <w:rtl/>
        </w:rPr>
        <w:t>–</w:t>
      </w:r>
      <w:r w:rsidRPr="004D0CDD">
        <w:rPr>
          <w:rFonts w:hint="cs"/>
          <w:sz w:val="18"/>
          <w:szCs w:val="18"/>
          <w:rtl/>
        </w:rPr>
        <w:t xml:space="preserve"> מקור מחלוקת הראשונים והפוסקים </w:t>
      </w:r>
      <w:r w:rsidRPr="005B0AEC">
        <w:rPr>
          <w:rFonts w:hint="cs"/>
          <w:b/>
          <w:bCs/>
          <w:sz w:val="18"/>
          <w:szCs w:val="18"/>
          <w:rtl/>
        </w:rPr>
        <w:t xml:space="preserve">בגמרא </w:t>
      </w:r>
      <w:r w:rsidRPr="004D0CDD">
        <w:rPr>
          <w:rFonts w:hint="cs"/>
          <w:sz w:val="18"/>
          <w:szCs w:val="18"/>
          <w:rtl/>
        </w:rPr>
        <w:t>פסחים</w:t>
      </w:r>
      <w:r>
        <w:rPr>
          <w:rFonts w:hint="cs"/>
          <w:sz w:val="18"/>
          <w:szCs w:val="18"/>
          <w:rtl/>
        </w:rPr>
        <w:t xml:space="preserve"> </w:t>
      </w:r>
      <w:r w:rsidRPr="004D0CDD">
        <w:rPr>
          <w:rFonts w:hint="cs"/>
          <w:sz w:val="16"/>
          <w:szCs w:val="16"/>
          <w:rtl/>
        </w:rPr>
        <w:t xml:space="preserve">(כה. </w:t>
      </w:r>
      <w:r w:rsidRPr="004D0CDD">
        <w:rPr>
          <w:sz w:val="16"/>
          <w:szCs w:val="16"/>
          <w:rtl/>
        </w:rPr>
        <w:t>–</w:t>
      </w:r>
      <w:r w:rsidRPr="004D0CDD">
        <w:rPr>
          <w:rFonts w:hint="cs"/>
          <w:sz w:val="16"/>
          <w:szCs w:val="16"/>
          <w:rtl/>
        </w:rPr>
        <w:t xml:space="preserve"> כה:)</w:t>
      </w:r>
      <w:r w:rsidRPr="004D0CDD">
        <w:rPr>
          <w:rFonts w:hint="cs"/>
          <w:sz w:val="18"/>
          <w:szCs w:val="18"/>
          <w:rtl/>
        </w:rPr>
        <w:t>: "</w:t>
      </w:r>
      <w:r w:rsidRPr="004D0CDD">
        <w:rPr>
          <w:rFonts w:cs="Arial"/>
          <w:sz w:val="18"/>
          <w:szCs w:val="18"/>
          <w:rtl/>
        </w:rPr>
        <w:t>כי אתא רבין אמר רבי יוחנן: בכל מתרפאין, חוץ מעבודה זרה וגילוי עריות</w:t>
      </w:r>
      <w:r w:rsidRPr="004D0CDD">
        <w:rPr>
          <w:sz w:val="18"/>
          <w:szCs w:val="18"/>
          <w:rtl/>
        </w:rPr>
        <w:t xml:space="preserve"> </w:t>
      </w:r>
      <w:r w:rsidRPr="004D0CDD">
        <w:rPr>
          <w:rFonts w:cs="Arial"/>
          <w:sz w:val="18"/>
          <w:szCs w:val="18"/>
          <w:rtl/>
        </w:rPr>
        <w:t>ושפיכות דמים</w:t>
      </w:r>
      <w:r w:rsidRPr="004D0CDD">
        <w:rPr>
          <w:rFonts w:cs="Arial" w:hint="cs"/>
          <w:sz w:val="18"/>
          <w:szCs w:val="18"/>
          <w:rtl/>
        </w:rPr>
        <w:t xml:space="preserve">". ובגמרא מסכת סנהדרין משמע שגם לאו של "לא תקרבו לגלות ערווה" בכלל האיסור, כלומר לא רק המעשה עצמו אלא גם נגיעה בערווה, ולכן </w:t>
      </w:r>
      <w:r w:rsidRPr="005B0AEC">
        <w:rPr>
          <w:rFonts w:cs="Arial" w:hint="cs"/>
          <w:b/>
          <w:bCs/>
          <w:sz w:val="18"/>
          <w:szCs w:val="18"/>
          <w:rtl/>
        </w:rPr>
        <w:t>המחבר</w:t>
      </w:r>
      <w:r w:rsidRPr="004D0CDD">
        <w:rPr>
          <w:rFonts w:cs="Arial" w:hint="cs"/>
          <w:sz w:val="18"/>
          <w:szCs w:val="18"/>
          <w:rtl/>
        </w:rPr>
        <w:t xml:space="preserve"> אוסר. אך </w:t>
      </w:r>
      <w:r w:rsidRPr="005B0AEC">
        <w:rPr>
          <w:rFonts w:cs="Arial" w:hint="cs"/>
          <w:b/>
          <w:bCs/>
          <w:sz w:val="18"/>
          <w:szCs w:val="18"/>
          <w:rtl/>
        </w:rPr>
        <w:t>הרמ"א</w:t>
      </w:r>
      <w:r w:rsidRPr="004D0CDD">
        <w:rPr>
          <w:rFonts w:cs="Arial" w:hint="cs"/>
          <w:sz w:val="18"/>
          <w:szCs w:val="18"/>
          <w:rtl/>
        </w:rPr>
        <w:t xml:space="preserve"> פוסק ע"פ </w:t>
      </w:r>
      <w:r w:rsidRPr="005B0AEC">
        <w:rPr>
          <w:rFonts w:cs="Arial" w:hint="cs"/>
          <w:b/>
          <w:bCs/>
          <w:sz w:val="18"/>
          <w:szCs w:val="18"/>
          <w:rtl/>
        </w:rPr>
        <w:t>השל"ג</w:t>
      </w:r>
      <w:r w:rsidRPr="004D0CDD">
        <w:rPr>
          <w:rFonts w:cs="Arial" w:hint="cs"/>
          <w:sz w:val="18"/>
          <w:szCs w:val="18"/>
          <w:rtl/>
        </w:rPr>
        <w:t xml:space="preserve"> שהבין שלאו זה נאמר דווקא אם מתכוון בשביל ערווה, אך כשאינו מתכוון לערווה לאו זה מדרבנן ולכן התיר כשאשתו חולה.</w:t>
      </w:r>
    </w:p>
  </w:footnote>
  <w:footnote w:id="492">
    <w:p w:rsidR="005953C5" w:rsidRDefault="005953C5" w:rsidP="00620060">
      <w:pPr>
        <w:pStyle w:val="a3"/>
        <w:rPr>
          <w:rtl/>
        </w:rPr>
      </w:pPr>
      <w:r w:rsidRPr="00747AD7">
        <w:rPr>
          <w:rStyle w:val="a5"/>
          <w:sz w:val="18"/>
          <w:szCs w:val="18"/>
        </w:rPr>
        <w:footnoteRef/>
      </w:r>
      <w:r w:rsidRPr="00747AD7">
        <w:rPr>
          <w:sz w:val="18"/>
          <w:szCs w:val="18"/>
          <w:rtl/>
        </w:rPr>
        <w:t xml:space="preserve"> </w:t>
      </w:r>
      <w:r w:rsidRPr="00747AD7">
        <w:rPr>
          <w:rFonts w:hint="cs"/>
          <w:sz w:val="18"/>
          <w:szCs w:val="18"/>
          <w:rtl/>
        </w:rPr>
        <w:t>מועתק מתוך הספר '</w:t>
      </w:r>
      <w:r w:rsidRPr="00747AD7">
        <w:rPr>
          <w:rFonts w:hint="cs"/>
          <w:b/>
          <w:bCs/>
          <w:sz w:val="18"/>
          <w:szCs w:val="18"/>
          <w:rtl/>
        </w:rPr>
        <w:t>שירת</w:t>
      </w:r>
      <w:r w:rsidRPr="00747AD7">
        <w:rPr>
          <w:rFonts w:hint="cs"/>
          <w:sz w:val="18"/>
          <w:szCs w:val="18"/>
          <w:rtl/>
        </w:rPr>
        <w:t xml:space="preserve"> </w:t>
      </w:r>
      <w:r w:rsidRPr="00747AD7">
        <w:rPr>
          <w:rFonts w:hint="cs"/>
          <w:b/>
          <w:bCs/>
          <w:sz w:val="18"/>
          <w:szCs w:val="18"/>
          <w:rtl/>
        </w:rPr>
        <w:t>הים</w:t>
      </w:r>
      <w:r w:rsidRPr="00747AD7">
        <w:rPr>
          <w:rFonts w:hint="cs"/>
          <w:sz w:val="18"/>
          <w:szCs w:val="18"/>
          <w:rtl/>
        </w:rPr>
        <w:t>'.</w:t>
      </w:r>
    </w:p>
  </w:footnote>
  <w:footnote w:id="493">
    <w:p w:rsidR="005953C5" w:rsidRDefault="005953C5" w:rsidP="00620060">
      <w:pPr>
        <w:pStyle w:val="a3"/>
        <w:rPr>
          <w:rtl/>
        </w:rPr>
      </w:pPr>
      <w:r w:rsidRPr="000A14C8">
        <w:rPr>
          <w:rStyle w:val="a5"/>
          <w:sz w:val="18"/>
          <w:szCs w:val="18"/>
        </w:rPr>
        <w:footnoteRef/>
      </w:r>
      <w:r w:rsidRPr="000A14C8">
        <w:rPr>
          <w:sz w:val="18"/>
          <w:szCs w:val="18"/>
          <w:rtl/>
        </w:rPr>
        <w:t xml:space="preserve"> </w:t>
      </w:r>
      <w:r w:rsidRPr="000A14C8">
        <w:rPr>
          <w:rFonts w:hint="cs"/>
          <w:sz w:val="18"/>
          <w:szCs w:val="18"/>
          <w:rtl/>
        </w:rPr>
        <w:t xml:space="preserve">דברי </w:t>
      </w:r>
      <w:r w:rsidRPr="0076720F">
        <w:rPr>
          <w:rFonts w:hint="cs"/>
          <w:b/>
          <w:bCs/>
          <w:sz w:val="18"/>
          <w:szCs w:val="18"/>
          <w:rtl/>
        </w:rPr>
        <w:t>הרמ"א</w:t>
      </w:r>
      <w:r w:rsidRPr="000A14C8">
        <w:rPr>
          <w:rFonts w:hint="cs"/>
          <w:sz w:val="18"/>
          <w:szCs w:val="18"/>
          <w:rtl/>
        </w:rPr>
        <w:t xml:space="preserve"> קשים. בסעיף טז' התיר לבעל לשמש את אשתו כשאין מישהו אחר, וההיתר שם לא סוייג בכך שיש סכנה אם לא ישמש אותה. אם כן קשה, מדוע כאן מסייג </w:t>
      </w:r>
      <w:r w:rsidRPr="0076720F">
        <w:rPr>
          <w:rFonts w:hint="cs"/>
          <w:b/>
          <w:bCs/>
          <w:sz w:val="18"/>
          <w:szCs w:val="18"/>
          <w:rtl/>
        </w:rPr>
        <w:t>הרמ"א</w:t>
      </w:r>
      <w:r w:rsidRPr="000A14C8">
        <w:rPr>
          <w:rFonts w:hint="cs"/>
          <w:sz w:val="18"/>
          <w:szCs w:val="18"/>
          <w:rtl/>
        </w:rPr>
        <w:t xml:space="preserve"> את ההיתר ואומר שאם אין סכנה אסור? מאי שנא מסעיף טז' שהתיר אף כשאין סכנה בדבר?</w:t>
      </w:r>
      <w:r w:rsidRPr="000A14C8">
        <w:rPr>
          <w:rFonts w:hint="cs"/>
          <w:sz w:val="18"/>
          <w:szCs w:val="18"/>
          <w:rtl/>
        </w:rPr>
        <w:br/>
        <w:t xml:space="preserve">עיין </w:t>
      </w:r>
      <w:r w:rsidRPr="000A14C8">
        <w:rPr>
          <w:rFonts w:hint="cs"/>
          <w:b/>
          <w:bCs/>
          <w:sz w:val="18"/>
          <w:szCs w:val="18"/>
          <w:rtl/>
        </w:rPr>
        <w:t>בדי השולחן</w:t>
      </w:r>
      <w:r w:rsidRPr="000A14C8">
        <w:rPr>
          <w:rFonts w:hint="cs"/>
          <w:sz w:val="18"/>
          <w:szCs w:val="18"/>
          <w:rtl/>
        </w:rPr>
        <w:t xml:space="preserve"> בביאורים שכתב בשם האחרונים שתי תשובות בדבר - </w:t>
      </w:r>
      <w:r w:rsidRPr="000A14C8">
        <w:rPr>
          <w:sz w:val="18"/>
          <w:szCs w:val="18"/>
          <w:rtl/>
        </w:rPr>
        <w:br/>
      </w:r>
      <w:r w:rsidRPr="000A14C8">
        <w:rPr>
          <w:rFonts w:hint="cs"/>
          <w:sz w:val="18"/>
          <w:szCs w:val="18"/>
          <w:rtl/>
        </w:rPr>
        <w:t>א. סיוע לאשתו נידה הוא דבר שבוודאי יועיל לה, אך מישוש הדופק ספק יועיל, שמא לא יבחין בחולי או לא ידע כיצד לרפא.</w:t>
      </w:r>
      <w:r w:rsidRPr="000A14C8">
        <w:rPr>
          <w:sz w:val="18"/>
          <w:szCs w:val="18"/>
          <w:rtl/>
        </w:rPr>
        <w:br/>
      </w:r>
      <w:r w:rsidRPr="000A14C8">
        <w:rPr>
          <w:rFonts w:hint="cs"/>
          <w:sz w:val="18"/>
          <w:szCs w:val="18"/>
          <w:rtl/>
        </w:rPr>
        <w:t xml:space="preserve">ב. </w:t>
      </w:r>
      <w:r w:rsidRPr="000A14C8">
        <w:rPr>
          <w:rFonts w:hint="cs"/>
          <w:b/>
          <w:bCs/>
          <w:sz w:val="18"/>
          <w:szCs w:val="18"/>
          <w:rtl/>
        </w:rPr>
        <w:t>בית שערים</w:t>
      </w:r>
      <w:r w:rsidRPr="000A14C8">
        <w:rPr>
          <w:rFonts w:hint="cs"/>
          <w:sz w:val="18"/>
          <w:szCs w:val="18"/>
          <w:rtl/>
        </w:rPr>
        <w:t xml:space="preserve"> </w:t>
      </w:r>
      <w:r w:rsidRPr="000A14C8">
        <w:rPr>
          <w:sz w:val="18"/>
          <w:szCs w:val="18"/>
          <w:rtl/>
        </w:rPr>
        <w:t>–</w:t>
      </w:r>
      <w:r w:rsidRPr="000A14C8">
        <w:rPr>
          <w:rFonts w:hint="cs"/>
          <w:sz w:val="18"/>
          <w:szCs w:val="18"/>
          <w:rtl/>
        </w:rPr>
        <w:t xml:space="preserve"> בסעיף טז' שמדובר על סיוע, הבעל טרוד בסיוע לראות שלא יזיק ויקלקל, אך במישוש הדופק לא שייך קלקול</w:t>
      </w:r>
      <w:r>
        <w:rPr>
          <w:rFonts w:hint="cs"/>
          <w:rtl/>
        </w:rPr>
        <w:t xml:space="preserve"> </w:t>
      </w:r>
      <w:r w:rsidRPr="00D65AEB">
        <w:rPr>
          <w:rFonts w:hint="cs"/>
          <w:sz w:val="18"/>
          <w:szCs w:val="18"/>
          <w:rtl/>
        </w:rPr>
        <w:t>ולכן יש חשש הרה</w:t>
      </w:r>
      <w:r>
        <w:rPr>
          <w:rFonts w:hint="cs"/>
          <w:sz w:val="18"/>
          <w:szCs w:val="18"/>
          <w:rtl/>
        </w:rPr>
        <w:t>ו</w:t>
      </w:r>
      <w:r w:rsidRPr="00D65AEB">
        <w:rPr>
          <w:rFonts w:hint="cs"/>
          <w:sz w:val="18"/>
          <w:szCs w:val="18"/>
          <w:rtl/>
        </w:rPr>
        <w:t>ר.</w:t>
      </w:r>
    </w:p>
  </w:footnote>
  <w:footnote w:id="494">
    <w:p w:rsidR="005953C5" w:rsidRDefault="005953C5" w:rsidP="00620060">
      <w:pPr>
        <w:pStyle w:val="a3"/>
      </w:pPr>
      <w:r w:rsidRPr="0080148C">
        <w:rPr>
          <w:rStyle w:val="a5"/>
          <w:sz w:val="18"/>
          <w:szCs w:val="18"/>
        </w:rPr>
        <w:footnoteRef/>
      </w:r>
      <w:r w:rsidRPr="0080148C">
        <w:rPr>
          <w:sz w:val="18"/>
          <w:szCs w:val="18"/>
          <w:rtl/>
        </w:rPr>
        <w:t xml:space="preserve"> </w:t>
      </w:r>
      <w:r w:rsidRPr="0080148C">
        <w:rPr>
          <w:rFonts w:hint="cs"/>
          <w:sz w:val="18"/>
          <w:szCs w:val="18"/>
          <w:rtl/>
        </w:rPr>
        <w:t xml:space="preserve">קצת משמע </w:t>
      </w:r>
      <w:r w:rsidRPr="0080148C">
        <w:rPr>
          <w:rFonts w:hint="cs"/>
          <w:b/>
          <w:bCs/>
          <w:sz w:val="18"/>
          <w:szCs w:val="18"/>
          <w:rtl/>
        </w:rPr>
        <w:t xml:space="preserve">בש"ך </w:t>
      </w:r>
      <w:r w:rsidRPr="0080148C">
        <w:rPr>
          <w:rFonts w:hint="cs"/>
          <w:sz w:val="18"/>
          <w:szCs w:val="18"/>
          <w:rtl/>
        </w:rPr>
        <w:t>שטיפול בעל באשתו נידה חמור יותר מטיפול של רופא אחר, כיוון שברופא אחר הש"ך לא סייג שמותר רק כשיש סכנה, ואילו בהיתר מישוש הדופק ע"י בעלה מסייג הש"ך דווקא כשיש סכנה</w:t>
      </w:r>
      <w:r>
        <w:rPr>
          <w:rFonts w:hint="cs"/>
          <w:sz w:val="18"/>
          <w:szCs w:val="18"/>
          <w:rtl/>
        </w:rPr>
        <w:t>, וקצת צ"ע</w:t>
      </w:r>
      <w:r w:rsidRPr="0080148C">
        <w:rPr>
          <w:rFonts w:hint="cs"/>
          <w:sz w:val="18"/>
          <w:szCs w:val="18"/>
          <w:rtl/>
        </w:rPr>
        <w:t>.</w:t>
      </w:r>
    </w:p>
  </w:footnote>
  <w:footnote w:id="495">
    <w:p w:rsidR="005953C5" w:rsidRDefault="005953C5" w:rsidP="00620060">
      <w:pPr>
        <w:pStyle w:val="a3"/>
      </w:pPr>
      <w:r w:rsidRPr="001D6FCB">
        <w:rPr>
          <w:rStyle w:val="a5"/>
          <w:sz w:val="18"/>
          <w:szCs w:val="18"/>
        </w:rPr>
        <w:footnoteRef/>
      </w:r>
      <w:r w:rsidRPr="001D6FCB">
        <w:rPr>
          <w:sz w:val="18"/>
          <w:szCs w:val="18"/>
          <w:rtl/>
        </w:rPr>
        <w:t xml:space="preserve"> </w:t>
      </w:r>
      <w:r w:rsidRPr="001D6FCB">
        <w:rPr>
          <w:rFonts w:hint="cs"/>
          <w:sz w:val="18"/>
          <w:szCs w:val="18"/>
          <w:rtl/>
        </w:rPr>
        <w:t xml:space="preserve">ובתירוץ זה מיושבת קושייה על שיטת </w:t>
      </w:r>
      <w:r w:rsidRPr="001D6FCB">
        <w:rPr>
          <w:rFonts w:hint="cs"/>
          <w:b/>
          <w:bCs/>
          <w:sz w:val="18"/>
          <w:szCs w:val="18"/>
          <w:rtl/>
        </w:rPr>
        <w:t>הבית יוסף</w:t>
      </w:r>
      <w:r w:rsidRPr="001D6FCB">
        <w:rPr>
          <w:rFonts w:hint="cs"/>
          <w:sz w:val="18"/>
          <w:szCs w:val="18"/>
          <w:rtl/>
        </w:rPr>
        <w:t xml:space="preserve"> </w:t>
      </w:r>
      <w:r w:rsidRPr="001D6FCB">
        <w:rPr>
          <w:sz w:val="18"/>
          <w:szCs w:val="18"/>
          <w:rtl/>
        </w:rPr>
        <w:t>–</w:t>
      </w:r>
      <w:r w:rsidRPr="001D6FCB">
        <w:rPr>
          <w:rFonts w:hint="cs"/>
          <w:sz w:val="18"/>
          <w:szCs w:val="18"/>
          <w:rtl/>
        </w:rPr>
        <w:t xml:space="preserve"> </w:t>
      </w:r>
      <w:r w:rsidRPr="001D6FCB">
        <w:rPr>
          <w:rFonts w:hint="cs"/>
          <w:b/>
          <w:bCs/>
          <w:sz w:val="18"/>
          <w:szCs w:val="18"/>
          <w:rtl/>
        </w:rPr>
        <w:t>גמרא</w:t>
      </w:r>
      <w:r w:rsidRPr="001D6FCB">
        <w:rPr>
          <w:rFonts w:hint="cs"/>
          <w:sz w:val="18"/>
          <w:szCs w:val="18"/>
          <w:rtl/>
        </w:rPr>
        <w:t xml:space="preserve"> סוטה (כא:) "</w:t>
      </w:r>
      <w:r w:rsidRPr="001D6FCB">
        <w:rPr>
          <w:rFonts w:cs="Arial"/>
          <w:sz w:val="18"/>
          <w:szCs w:val="18"/>
          <w:rtl/>
        </w:rPr>
        <w:t>היכי דמי חסיד שוטה? כגון דקא טבעה איתתא בנהרא, ואמר: לאו אורח ארעא לאיסתכולי בה ואצולה</w:t>
      </w:r>
      <w:r w:rsidRPr="001D6FCB">
        <w:rPr>
          <w:rFonts w:cs="Arial" w:hint="cs"/>
          <w:sz w:val="18"/>
          <w:szCs w:val="18"/>
          <w:rtl/>
        </w:rPr>
        <w:t xml:space="preserve">". </w:t>
      </w:r>
      <w:r>
        <w:rPr>
          <w:rFonts w:cs="Arial" w:hint="cs"/>
          <w:sz w:val="18"/>
          <w:szCs w:val="18"/>
          <w:rtl/>
        </w:rPr>
        <w:br/>
        <w:t xml:space="preserve">לכאורה מוכח מכאן שלא </w:t>
      </w:r>
      <w:r w:rsidRPr="001D6FCB">
        <w:rPr>
          <w:rFonts w:cs="Arial" w:hint="cs"/>
          <w:b/>
          <w:bCs/>
          <w:sz w:val="18"/>
          <w:szCs w:val="18"/>
          <w:rtl/>
        </w:rPr>
        <w:t>כבית יוסף</w:t>
      </w:r>
      <w:r>
        <w:rPr>
          <w:rFonts w:cs="Arial" w:hint="cs"/>
          <w:sz w:val="18"/>
          <w:szCs w:val="18"/>
          <w:rtl/>
        </w:rPr>
        <w:t>, ומותר לאדם להציל אשה או לרפא אותה אע"פ שנוגע ומסתכל בה!</w:t>
      </w:r>
      <w:r w:rsidRPr="001D6FCB">
        <w:rPr>
          <w:rFonts w:cs="Arial"/>
          <w:sz w:val="18"/>
          <w:szCs w:val="18"/>
          <w:rtl/>
        </w:rPr>
        <w:br/>
      </w:r>
      <w:r>
        <w:rPr>
          <w:rFonts w:cs="Arial" w:hint="cs"/>
          <w:sz w:val="18"/>
          <w:szCs w:val="18"/>
          <w:rtl/>
        </w:rPr>
        <w:t xml:space="preserve">ולפי הנ"ל אתי שפיר, </w:t>
      </w:r>
      <w:r w:rsidRPr="001D6FCB">
        <w:rPr>
          <w:rFonts w:cs="Arial" w:hint="cs"/>
          <w:sz w:val="18"/>
          <w:szCs w:val="18"/>
          <w:rtl/>
        </w:rPr>
        <w:t xml:space="preserve">כוונת הגמרא להתיר משום שאין זו נגיעה של חיבה, ולכן מותר לאדם לרפא נשים, אלא שבאשתו הדין שונה מכיוון </w:t>
      </w:r>
      <w:r w:rsidRPr="001D6FCB">
        <w:rPr>
          <w:rFonts w:cs="Arial" w:hint="cs"/>
          <w:b/>
          <w:bCs/>
          <w:sz w:val="18"/>
          <w:szCs w:val="18"/>
          <w:rtl/>
        </w:rPr>
        <w:t>שהב"י</w:t>
      </w:r>
      <w:r w:rsidRPr="001D6FCB">
        <w:rPr>
          <w:rFonts w:cs="Arial" w:hint="cs"/>
          <w:sz w:val="18"/>
          <w:szCs w:val="18"/>
          <w:rtl/>
        </w:rPr>
        <w:t xml:space="preserve"> חושש לנגיעה של חיבה.</w:t>
      </w:r>
    </w:p>
  </w:footnote>
  <w:footnote w:id="496">
    <w:p w:rsidR="005953C5" w:rsidRDefault="005953C5" w:rsidP="00620060">
      <w:pPr>
        <w:pStyle w:val="a3"/>
      </w:pPr>
      <w:r w:rsidRPr="00E82F61">
        <w:rPr>
          <w:rStyle w:val="a5"/>
          <w:sz w:val="18"/>
          <w:szCs w:val="18"/>
        </w:rPr>
        <w:footnoteRef/>
      </w:r>
      <w:r w:rsidRPr="00E82F61">
        <w:rPr>
          <w:sz w:val="18"/>
          <w:szCs w:val="18"/>
          <w:rtl/>
        </w:rPr>
        <w:t xml:space="preserve"> </w:t>
      </w:r>
      <w:r w:rsidRPr="00E82F61">
        <w:rPr>
          <w:rFonts w:hint="cs"/>
          <w:sz w:val="18"/>
          <w:szCs w:val="18"/>
          <w:rtl/>
        </w:rPr>
        <w:t>ע"פ אחרונים המובאים בספר '</w:t>
      </w:r>
      <w:r w:rsidRPr="00E82F61">
        <w:rPr>
          <w:rFonts w:hint="cs"/>
          <w:b/>
          <w:bCs/>
          <w:sz w:val="18"/>
          <w:szCs w:val="18"/>
          <w:rtl/>
        </w:rPr>
        <w:t>שירת הים</w:t>
      </w:r>
      <w:r w:rsidRPr="00E82F61">
        <w:rPr>
          <w:rFonts w:hint="cs"/>
          <w:sz w:val="18"/>
          <w:szCs w:val="18"/>
          <w:rtl/>
        </w:rPr>
        <w:t>'.</w:t>
      </w:r>
    </w:p>
  </w:footnote>
  <w:footnote w:id="497">
    <w:p w:rsidR="005953C5" w:rsidRDefault="005953C5" w:rsidP="00620060">
      <w:pPr>
        <w:pStyle w:val="a3"/>
        <w:rPr>
          <w:rtl/>
        </w:rPr>
      </w:pPr>
      <w:r w:rsidRPr="00FA2643">
        <w:rPr>
          <w:rStyle w:val="a5"/>
          <w:sz w:val="18"/>
          <w:szCs w:val="18"/>
        </w:rPr>
        <w:footnoteRef/>
      </w:r>
      <w:r w:rsidRPr="00FA2643">
        <w:rPr>
          <w:sz w:val="18"/>
          <w:szCs w:val="18"/>
          <w:rtl/>
        </w:rPr>
        <w:t xml:space="preserve"> </w:t>
      </w:r>
      <w:r w:rsidRPr="00FA2643">
        <w:rPr>
          <w:rFonts w:hint="cs"/>
          <w:sz w:val="18"/>
          <w:szCs w:val="18"/>
          <w:rtl/>
        </w:rPr>
        <w:t xml:space="preserve">אמנם, בהמשך הגמרא מובאת מחלוקת אמוראים בדין זה - </w:t>
      </w:r>
      <w:r w:rsidRPr="00FA2643">
        <w:rPr>
          <w:sz w:val="18"/>
          <w:szCs w:val="18"/>
          <w:rtl/>
        </w:rPr>
        <w:br/>
      </w:r>
      <w:r w:rsidRPr="00FA2643">
        <w:rPr>
          <w:rFonts w:cs="Arial" w:hint="cs"/>
          <w:sz w:val="18"/>
          <w:szCs w:val="18"/>
          <w:rtl/>
        </w:rPr>
        <w:t>"</w:t>
      </w:r>
      <w:r w:rsidRPr="00FA2643">
        <w:rPr>
          <w:rFonts w:cs="Arial"/>
          <w:sz w:val="18"/>
          <w:szCs w:val="18"/>
          <w:rtl/>
        </w:rPr>
        <w:t>מתקיף לה רמי בר חמא: ותספרנו, ואנן נמי ניספריה, דקיימא לן מקצת היום ככולו! אמר רבא: אם כן שכבת זרע דסתר בזיבה היכי משכחת לה? והא מקצת היום ככולו! אי דחזאי בפלגא דיומא - ה"נ, הכא במאי עסקינן - דחזאי סמוך לשקיעת החמה. וליקום ולימא ליה לקרא: כי כתיבא סמוך לשקיעת החמה כתיבא? אין, על כרחך שבקיה לקרא, דאיהו דחיק ומוקי אנפשיה</w:t>
      </w:r>
      <w:r w:rsidRPr="00FA2643">
        <w:rPr>
          <w:rFonts w:hint="cs"/>
          <w:sz w:val="18"/>
          <w:szCs w:val="18"/>
          <w:rtl/>
        </w:rPr>
        <w:t>".</w:t>
      </w:r>
      <w:r w:rsidRPr="00FA2643">
        <w:rPr>
          <w:sz w:val="18"/>
          <w:szCs w:val="18"/>
          <w:rtl/>
        </w:rPr>
        <w:br/>
      </w:r>
      <w:r w:rsidRPr="00FA2643">
        <w:rPr>
          <w:rFonts w:hint="cs"/>
          <w:sz w:val="18"/>
          <w:szCs w:val="18"/>
          <w:u w:val="single"/>
          <w:rtl/>
        </w:rPr>
        <w:t>הסבר</w:t>
      </w:r>
      <w:r w:rsidRPr="00FA2643">
        <w:rPr>
          <w:rFonts w:hint="cs"/>
          <w:sz w:val="18"/>
          <w:szCs w:val="18"/>
          <w:rtl/>
        </w:rPr>
        <w:t xml:space="preserve"> </w:t>
      </w:r>
      <w:r w:rsidRPr="00FA2643">
        <w:rPr>
          <w:sz w:val="18"/>
          <w:szCs w:val="18"/>
          <w:rtl/>
        </w:rPr>
        <w:t>–</w:t>
      </w:r>
      <w:r w:rsidRPr="00FA2643">
        <w:rPr>
          <w:rFonts w:hint="cs"/>
          <w:sz w:val="18"/>
          <w:szCs w:val="18"/>
          <w:rtl/>
        </w:rPr>
        <w:t xml:space="preserve"> רמי בר חמא מבין שניתן לספור את היום ההפסק כיום הראשון לז' נקיים, טעמו משום שמקצת היום ככולו. רבא דוחה ומשיב שאם כן אין היכי תמצי שזב סותר את מניינו מחמת שכבת זרע, שהרי תמיד יישאר לו מקצת היום שייחשב למניין הנקיים. רמי בר חמא נדחק ומשיב שיש היכי תמצי לסתירת זב, כגון שראה סמוך לביה"ש ולכן אינו יכול למנות אפילו את מקצת היום. ברם, תירוץ זה דחוק וברור שהפסוק לא עוסק במקרה רחוק כל כך. וכן מוכח </w:t>
      </w:r>
      <w:r w:rsidRPr="00FA2643">
        <w:rPr>
          <w:rFonts w:hint="cs"/>
          <w:b/>
          <w:bCs/>
          <w:sz w:val="18"/>
          <w:szCs w:val="18"/>
          <w:rtl/>
        </w:rPr>
        <w:t>בגמרא</w:t>
      </w:r>
      <w:r w:rsidRPr="00FA2643">
        <w:rPr>
          <w:rFonts w:hint="cs"/>
          <w:sz w:val="18"/>
          <w:szCs w:val="18"/>
          <w:rtl/>
        </w:rPr>
        <w:t xml:space="preserve"> במקום אחר </w:t>
      </w:r>
      <w:r w:rsidRPr="00FA2643">
        <w:rPr>
          <w:rFonts w:hint="cs"/>
          <w:sz w:val="16"/>
          <w:szCs w:val="16"/>
          <w:rtl/>
        </w:rPr>
        <w:t xml:space="preserve">(סט.) </w:t>
      </w:r>
      <w:r w:rsidRPr="00FA2643">
        <w:rPr>
          <w:rFonts w:hint="cs"/>
          <w:sz w:val="18"/>
          <w:szCs w:val="18"/>
          <w:rtl/>
        </w:rPr>
        <w:t xml:space="preserve">שאין למנות את יום ההפסק כראשון לז' נקיים </w:t>
      </w:r>
      <w:r w:rsidRPr="00FA2643">
        <w:rPr>
          <w:sz w:val="18"/>
          <w:szCs w:val="18"/>
          <w:rtl/>
        </w:rPr>
        <w:t>–</w:t>
      </w:r>
      <w:r w:rsidRPr="00FA2643">
        <w:rPr>
          <w:rFonts w:hint="cs"/>
          <w:sz w:val="18"/>
          <w:szCs w:val="18"/>
          <w:rtl/>
        </w:rPr>
        <w:t xml:space="preserve"> </w:t>
      </w:r>
      <w:r>
        <w:rPr>
          <w:sz w:val="18"/>
          <w:szCs w:val="18"/>
          <w:rtl/>
        </w:rPr>
        <w:br/>
      </w:r>
      <w:r w:rsidRPr="00FA2643">
        <w:rPr>
          <w:rFonts w:hint="cs"/>
          <w:sz w:val="18"/>
          <w:szCs w:val="18"/>
          <w:rtl/>
        </w:rPr>
        <w:t>"</w:t>
      </w:r>
      <w:r w:rsidRPr="00FA2643">
        <w:rPr>
          <w:rFonts w:cs="Arial"/>
          <w:sz w:val="18"/>
          <w:szCs w:val="18"/>
          <w:rtl/>
        </w:rPr>
        <w:t>אמר רב: זבה שהפרישה בטהרה בשלישי שלה - סופרתו למנין ז' נקיים. אמר ליה רב ששת לרב ירמיה בר אבא: רב ככותאי אמרה לשמעתיה, דאמרי יום שפוסקת בו סופרתו למנין ז'</w:t>
      </w:r>
      <w:r w:rsidRPr="00FA2643">
        <w:rPr>
          <w:rFonts w:cs="Arial" w:hint="cs"/>
          <w:sz w:val="18"/>
          <w:szCs w:val="18"/>
          <w:rtl/>
        </w:rPr>
        <w:t xml:space="preserve">?! </w:t>
      </w:r>
      <w:r w:rsidRPr="00FA2643">
        <w:rPr>
          <w:rFonts w:cs="Arial"/>
          <w:sz w:val="18"/>
          <w:szCs w:val="18"/>
          <w:rtl/>
        </w:rPr>
        <w:t>כי קאמר רב - לבר משלישי</w:t>
      </w:r>
      <w:r w:rsidRPr="00FA2643">
        <w:rPr>
          <w:rFonts w:cs="Arial" w:hint="cs"/>
          <w:sz w:val="18"/>
          <w:szCs w:val="18"/>
          <w:rtl/>
        </w:rPr>
        <w:t xml:space="preserve">..." </w:t>
      </w:r>
      <w:r w:rsidRPr="00FA2643">
        <w:rPr>
          <w:rFonts w:cs="Arial"/>
          <w:sz w:val="18"/>
          <w:szCs w:val="18"/>
          <w:rtl/>
        </w:rPr>
        <w:br/>
      </w:r>
      <w:r w:rsidRPr="00FA2643">
        <w:rPr>
          <w:rFonts w:cs="Arial" w:hint="cs"/>
          <w:sz w:val="18"/>
          <w:szCs w:val="18"/>
          <w:rtl/>
        </w:rPr>
        <w:t xml:space="preserve">מוכח בגמרא שהדבר ברור לכו"ע שאין יום </w:t>
      </w:r>
      <w:r w:rsidRPr="00FA2643">
        <w:rPr>
          <w:rFonts w:hint="cs"/>
          <w:sz w:val="18"/>
          <w:szCs w:val="18"/>
          <w:rtl/>
        </w:rPr>
        <w:t>ההפסק עולה למניין ז' נקיים.</w:t>
      </w:r>
    </w:p>
  </w:footnote>
  <w:footnote w:id="498">
    <w:p w:rsidR="005953C5" w:rsidRDefault="005953C5" w:rsidP="00620060">
      <w:pPr>
        <w:pStyle w:val="a3"/>
        <w:rPr>
          <w:rtl/>
        </w:rPr>
      </w:pPr>
      <w:r w:rsidRPr="00293AF5">
        <w:rPr>
          <w:rStyle w:val="a5"/>
          <w:sz w:val="18"/>
          <w:szCs w:val="18"/>
        </w:rPr>
        <w:footnoteRef/>
      </w:r>
      <w:r w:rsidRPr="00293AF5">
        <w:rPr>
          <w:sz w:val="18"/>
          <w:szCs w:val="18"/>
          <w:rtl/>
        </w:rPr>
        <w:t xml:space="preserve"> </w:t>
      </w:r>
      <w:r w:rsidRPr="00293AF5">
        <w:rPr>
          <w:rFonts w:hint="cs"/>
          <w:sz w:val="18"/>
          <w:szCs w:val="18"/>
          <w:rtl/>
        </w:rPr>
        <w:t>וכן יש לדקדק מלשון הגמרא: "ומעיקרא מאי סבר?" משמע שלאחר מכן חזר בו</w:t>
      </w:r>
      <w:r w:rsidRPr="00E04456">
        <w:rPr>
          <w:rFonts w:hint="cs"/>
          <w:sz w:val="16"/>
          <w:szCs w:val="16"/>
          <w:rtl/>
        </w:rPr>
        <w:t>.</w:t>
      </w:r>
      <w:r w:rsidRPr="00E04456">
        <w:rPr>
          <w:rFonts w:hint="cs"/>
          <w:sz w:val="18"/>
          <w:szCs w:val="18"/>
          <w:rtl/>
        </w:rPr>
        <w:t xml:space="preserve"> </w:t>
      </w:r>
      <w:r w:rsidRPr="00E04456">
        <w:rPr>
          <w:rFonts w:hint="cs"/>
          <w:sz w:val="16"/>
          <w:szCs w:val="16"/>
          <w:rtl/>
        </w:rPr>
        <w:t>[ומניין לרשב"א שאף בשחרית מועילה הבדיקה? נראה פשוט שגם זה יש לדייק מלשון השאלה של רבי: "</w:t>
      </w:r>
      <w:r w:rsidRPr="00E04456">
        <w:rPr>
          <w:rFonts w:cs="Arial"/>
          <w:sz w:val="16"/>
          <w:szCs w:val="16"/>
          <w:rtl/>
        </w:rPr>
        <w:t>נדה שבדקה עצמה יום ז' שחרית ומצאה טהורה</w:t>
      </w:r>
      <w:r w:rsidRPr="00E04456">
        <w:rPr>
          <w:rFonts w:cs="Arial" w:hint="cs"/>
          <w:sz w:val="16"/>
          <w:szCs w:val="16"/>
          <w:rtl/>
        </w:rPr>
        <w:t xml:space="preserve">... </w:t>
      </w:r>
      <w:r w:rsidRPr="00E04456">
        <w:rPr>
          <w:rFonts w:cs="Arial"/>
          <w:sz w:val="16"/>
          <w:szCs w:val="16"/>
          <w:rtl/>
        </w:rPr>
        <w:t>מהו?</w:t>
      </w:r>
      <w:r w:rsidRPr="00E04456">
        <w:rPr>
          <w:rFonts w:hint="cs"/>
          <w:sz w:val="16"/>
          <w:szCs w:val="16"/>
          <w:rtl/>
        </w:rPr>
        <w:t>" ועל זה קאי מה שאמר שטעה שלא שאל על היום הראשון, משמע שבבדיקת שחרית מיירי גם ביום הראשון].</w:t>
      </w:r>
    </w:p>
  </w:footnote>
  <w:footnote w:id="499">
    <w:p w:rsidR="005953C5" w:rsidRDefault="005953C5" w:rsidP="00620060">
      <w:pPr>
        <w:pStyle w:val="a3"/>
      </w:pPr>
      <w:r w:rsidRPr="00BD0BAA">
        <w:rPr>
          <w:rStyle w:val="a5"/>
          <w:sz w:val="18"/>
          <w:szCs w:val="18"/>
        </w:rPr>
        <w:footnoteRef/>
      </w:r>
      <w:r w:rsidRPr="00BD0BAA">
        <w:rPr>
          <w:sz w:val="18"/>
          <w:szCs w:val="18"/>
          <w:rtl/>
        </w:rPr>
        <w:t xml:space="preserve"> </w:t>
      </w:r>
      <w:r w:rsidRPr="00BD0BAA">
        <w:rPr>
          <w:rFonts w:hint="cs"/>
          <w:sz w:val="18"/>
          <w:szCs w:val="18"/>
          <w:rtl/>
        </w:rPr>
        <w:t xml:space="preserve">זו לשון </w:t>
      </w:r>
      <w:r w:rsidRPr="00BD0BAA">
        <w:rPr>
          <w:rFonts w:hint="cs"/>
          <w:b/>
          <w:bCs/>
          <w:sz w:val="18"/>
          <w:szCs w:val="18"/>
          <w:rtl/>
        </w:rPr>
        <w:t>הרמב"ם</w:t>
      </w:r>
      <w:r w:rsidRPr="00BD0BAA">
        <w:rPr>
          <w:rFonts w:hint="cs"/>
          <w:sz w:val="18"/>
          <w:szCs w:val="18"/>
          <w:rtl/>
        </w:rPr>
        <w:t xml:space="preserve"> </w:t>
      </w:r>
      <w:r w:rsidRPr="00BD0BAA">
        <w:rPr>
          <w:sz w:val="18"/>
          <w:szCs w:val="18"/>
          <w:rtl/>
        </w:rPr>
        <w:t>–</w:t>
      </w:r>
      <w:r w:rsidRPr="00BD0BAA">
        <w:rPr>
          <w:rFonts w:hint="cs"/>
          <w:sz w:val="18"/>
          <w:szCs w:val="18"/>
          <w:rtl/>
        </w:rPr>
        <w:t xml:space="preserve"> "...</w:t>
      </w:r>
      <w:r w:rsidRPr="00BD0BAA">
        <w:rPr>
          <w:sz w:val="18"/>
          <w:szCs w:val="18"/>
          <w:rtl/>
        </w:rPr>
        <w:t xml:space="preserve"> </w:t>
      </w:r>
      <w:r w:rsidRPr="00BD0BAA">
        <w:rPr>
          <w:rFonts w:cs="Arial"/>
          <w:sz w:val="18"/>
          <w:szCs w:val="18"/>
          <w:rtl/>
        </w:rPr>
        <w:t>ויום ראשון של נדה אף על פי שמצאה בו טהורה ה</w:t>
      </w:r>
      <w:r w:rsidRPr="00BD0BAA">
        <w:rPr>
          <w:rFonts w:cs="Arial" w:hint="cs"/>
          <w:sz w:val="18"/>
          <w:szCs w:val="18"/>
          <w:rtl/>
        </w:rPr>
        <w:t>רי זו</w:t>
      </w:r>
      <w:r w:rsidRPr="00BD0BAA">
        <w:rPr>
          <w:rFonts w:cs="Arial"/>
          <w:sz w:val="18"/>
          <w:szCs w:val="18"/>
          <w:rtl/>
        </w:rPr>
        <w:t xml:space="preserve"> כמי שמצאה טמאה שיום ראשון כולו הוחזק המעין פתוח</w:t>
      </w:r>
      <w:r w:rsidRPr="00BD0BAA">
        <w:rPr>
          <w:rFonts w:cs="Arial" w:hint="cs"/>
          <w:sz w:val="18"/>
          <w:szCs w:val="18"/>
          <w:rtl/>
        </w:rPr>
        <w:t>"</w:t>
      </w:r>
      <w:r w:rsidRPr="00BD0BAA">
        <w:rPr>
          <w:rFonts w:cs="Arial"/>
          <w:sz w:val="18"/>
          <w:szCs w:val="18"/>
          <w:rtl/>
        </w:rPr>
        <w:t>.</w:t>
      </w:r>
      <w:r w:rsidRPr="00BD0BAA">
        <w:rPr>
          <w:rFonts w:cs="Arial" w:hint="cs"/>
          <w:sz w:val="18"/>
          <w:szCs w:val="18"/>
          <w:rtl/>
        </w:rPr>
        <w:t xml:space="preserve"> </w:t>
      </w:r>
      <w:r>
        <w:rPr>
          <w:rFonts w:cs="Arial"/>
          <w:sz w:val="18"/>
          <w:szCs w:val="18"/>
          <w:rtl/>
        </w:rPr>
        <w:br/>
      </w:r>
      <w:r w:rsidRPr="00BD0BAA">
        <w:rPr>
          <w:rFonts w:cs="Arial" w:hint="cs"/>
          <w:b/>
          <w:bCs/>
          <w:sz w:val="18"/>
          <w:szCs w:val="18"/>
          <w:rtl/>
        </w:rPr>
        <w:t>הרמב"ם</w:t>
      </w:r>
      <w:r w:rsidRPr="00BD0BAA">
        <w:rPr>
          <w:rFonts w:cs="Arial" w:hint="cs"/>
          <w:sz w:val="18"/>
          <w:szCs w:val="18"/>
          <w:rtl/>
        </w:rPr>
        <w:t xml:space="preserve"> לא חילק בין בדיקת שחרית לבדיקת ביה"ש. ברם, </w:t>
      </w:r>
      <w:r w:rsidRPr="00BD0BAA">
        <w:rPr>
          <w:rFonts w:cs="Arial" w:hint="cs"/>
          <w:b/>
          <w:bCs/>
          <w:sz w:val="18"/>
          <w:szCs w:val="18"/>
          <w:rtl/>
        </w:rPr>
        <w:t>הבית יוסף</w:t>
      </w:r>
      <w:r w:rsidRPr="00BD0BAA">
        <w:rPr>
          <w:rFonts w:cs="Arial" w:hint="cs"/>
          <w:sz w:val="18"/>
          <w:szCs w:val="18"/>
          <w:rtl/>
        </w:rPr>
        <w:t xml:space="preserve"> מדייק זאת מתוך דברי </w:t>
      </w:r>
      <w:r w:rsidRPr="00BD0BAA">
        <w:rPr>
          <w:rFonts w:cs="Arial" w:hint="cs"/>
          <w:b/>
          <w:bCs/>
          <w:sz w:val="18"/>
          <w:szCs w:val="18"/>
          <w:rtl/>
        </w:rPr>
        <w:t>המגיד משנה</w:t>
      </w:r>
      <w:r w:rsidRPr="00BD0BAA">
        <w:rPr>
          <w:rFonts w:cs="Arial" w:hint="cs"/>
          <w:sz w:val="18"/>
          <w:szCs w:val="18"/>
          <w:rtl/>
        </w:rPr>
        <w:t xml:space="preserve">. </w:t>
      </w:r>
      <w:r>
        <w:rPr>
          <w:rFonts w:cs="Arial"/>
          <w:b/>
          <w:bCs/>
          <w:sz w:val="18"/>
          <w:szCs w:val="18"/>
          <w:rtl/>
        </w:rPr>
        <w:br/>
      </w:r>
      <w:r w:rsidRPr="00BD0BAA">
        <w:rPr>
          <w:rFonts w:cs="Arial" w:hint="cs"/>
          <w:b/>
          <w:bCs/>
          <w:sz w:val="18"/>
          <w:szCs w:val="18"/>
          <w:rtl/>
        </w:rPr>
        <w:t>המגיד משנה</w:t>
      </w:r>
      <w:r w:rsidRPr="00BD0BAA">
        <w:rPr>
          <w:rFonts w:cs="Arial" w:hint="cs"/>
          <w:sz w:val="18"/>
          <w:szCs w:val="18"/>
          <w:rtl/>
        </w:rPr>
        <w:t xml:space="preserve"> מביא שתי שיטות ראשונים, אחת </w:t>
      </w:r>
      <w:r w:rsidRPr="00BD0BAA">
        <w:rPr>
          <w:rFonts w:cs="Arial" w:hint="cs"/>
          <w:b/>
          <w:bCs/>
          <w:sz w:val="18"/>
          <w:szCs w:val="18"/>
          <w:rtl/>
        </w:rPr>
        <w:t>כרשב"א</w:t>
      </w:r>
      <w:r w:rsidRPr="00BD0BAA">
        <w:rPr>
          <w:rFonts w:cs="Arial" w:hint="cs"/>
          <w:sz w:val="18"/>
          <w:szCs w:val="18"/>
          <w:rtl/>
        </w:rPr>
        <w:t xml:space="preserve"> והשנייה מתירה רק אם בדקה בבין השמשות</w:t>
      </w:r>
      <w:r>
        <w:rPr>
          <w:rFonts w:cs="Arial" w:hint="cs"/>
          <w:sz w:val="18"/>
          <w:szCs w:val="18"/>
          <w:rtl/>
        </w:rPr>
        <w:t xml:space="preserve">, </w:t>
      </w:r>
      <w:r w:rsidRPr="00191883">
        <w:rPr>
          <w:rFonts w:cs="Arial" w:hint="cs"/>
          <w:b/>
          <w:bCs/>
          <w:sz w:val="18"/>
          <w:szCs w:val="18"/>
          <w:rtl/>
        </w:rPr>
        <w:t>כרמב"ן</w:t>
      </w:r>
      <w:r w:rsidRPr="00BD0BAA">
        <w:rPr>
          <w:rFonts w:cs="Arial" w:hint="cs"/>
          <w:sz w:val="18"/>
          <w:szCs w:val="18"/>
          <w:rtl/>
        </w:rPr>
        <w:t xml:space="preserve">. </w:t>
      </w:r>
      <w:r>
        <w:rPr>
          <w:rFonts w:cs="Arial"/>
          <w:sz w:val="18"/>
          <w:szCs w:val="18"/>
          <w:rtl/>
        </w:rPr>
        <w:br/>
      </w:r>
      <w:r>
        <w:rPr>
          <w:rFonts w:cs="Arial" w:hint="cs"/>
          <w:sz w:val="18"/>
          <w:szCs w:val="18"/>
          <w:rtl/>
        </w:rPr>
        <w:t xml:space="preserve">מדייק </w:t>
      </w:r>
      <w:r w:rsidRPr="00BD0BAA">
        <w:rPr>
          <w:rFonts w:cs="Arial" w:hint="cs"/>
          <w:b/>
          <w:bCs/>
          <w:sz w:val="18"/>
          <w:szCs w:val="18"/>
          <w:rtl/>
        </w:rPr>
        <w:t>הבית יוסף</w:t>
      </w:r>
      <w:r>
        <w:rPr>
          <w:rFonts w:cs="Arial" w:hint="cs"/>
          <w:sz w:val="18"/>
          <w:szCs w:val="18"/>
          <w:rtl/>
        </w:rPr>
        <w:t xml:space="preserve"> - </w:t>
      </w:r>
      <w:r w:rsidRPr="00BD0BAA">
        <w:rPr>
          <w:rFonts w:cs="Arial" w:hint="cs"/>
          <w:sz w:val="18"/>
          <w:szCs w:val="18"/>
          <w:rtl/>
        </w:rPr>
        <w:t xml:space="preserve">אם </w:t>
      </w:r>
      <w:r w:rsidRPr="00BD0BAA">
        <w:rPr>
          <w:rFonts w:cs="Arial" w:hint="cs"/>
          <w:b/>
          <w:bCs/>
          <w:sz w:val="18"/>
          <w:szCs w:val="18"/>
          <w:rtl/>
        </w:rPr>
        <w:t>המגיד משנה</w:t>
      </w:r>
      <w:r w:rsidRPr="00BD0BAA">
        <w:rPr>
          <w:rFonts w:cs="Arial" w:hint="cs"/>
          <w:sz w:val="18"/>
          <w:szCs w:val="18"/>
          <w:rtl/>
        </w:rPr>
        <w:t xml:space="preserve"> היה סובר </w:t>
      </w:r>
      <w:r w:rsidRPr="00BD0BAA">
        <w:rPr>
          <w:rFonts w:cs="Arial" w:hint="cs"/>
          <w:b/>
          <w:bCs/>
          <w:sz w:val="18"/>
          <w:szCs w:val="18"/>
          <w:rtl/>
        </w:rPr>
        <w:t>שהרמב"ם</w:t>
      </w:r>
      <w:r w:rsidRPr="00BD0BAA">
        <w:rPr>
          <w:rFonts w:cs="Arial" w:hint="cs"/>
          <w:sz w:val="18"/>
          <w:szCs w:val="18"/>
          <w:rtl/>
        </w:rPr>
        <w:t xml:space="preserve"> הוא שיטה שלישית, לא היה שותק מלומר זאת.  </w:t>
      </w:r>
    </w:p>
  </w:footnote>
  <w:footnote w:id="500">
    <w:p w:rsidR="005953C5" w:rsidRDefault="005953C5" w:rsidP="00620060">
      <w:pPr>
        <w:pStyle w:val="a3"/>
      </w:pPr>
      <w:r w:rsidRPr="003C1933">
        <w:rPr>
          <w:rStyle w:val="a5"/>
          <w:sz w:val="18"/>
          <w:szCs w:val="18"/>
        </w:rPr>
        <w:footnoteRef/>
      </w:r>
      <w:r w:rsidRPr="003C1933">
        <w:rPr>
          <w:sz w:val="18"/>
          <w:szCs w:val="18"/>
          <w:rtl/>
        </w:rPr>
        <w:t xml:space="preserve"> </w:t>
      </w:r>
      <w:r>
        <w:rPr>
          <w:rFonts w:hint="cs"/>
          <w:b/>
          <w:bCs/>
          <w:sz w:val="18"/>
          <w:szCs w:val="18"/>
          <w:rtl/>
        </w:rPr>
        <w:t>ה</w:t>
      </w:r>
      <w:r w:rsidRPr="003C1933">
        <w:rPr>
          <w:rFonts w:hint="cs"/>
          <w:b/>
          <w:bCs/>
          <w:sz w:val="18"/>
          <w:szCs w:val="18"/>
          <w:rtl/>
        </w:rPr>
        <w:t>סדרי טהרה</w:t>
      </w:r>
      <w:r w:rsidRPr="003C1933">
        <w:rPr>
          <w:rFonts w:hint="cs"/>
          <w:sz w:val="18"/>
          <w:szCs w:val="18"/>
          <w:rtl/>
        </w:rPr>
        <w:t xml:space="preserve"> </w:t>
      </w:r>
      <w:r>
        <w:rPr>
          <w:rFonts w:hint="cs"/>
          <w:sz w:val="18"/>
          <w:szCs w:val="18"/>
          <w:rtl/>
        </w:rPr>
        <w:t xml:space="preserve">מרחיב בטעמו של </w:t>
      </w:r>
      <w:r w:rsidRPr="003C1933">
        <w:rPr>
          <w:rFonts w:hint="cs"/>
          <w:b/>
          <w:bCs/>
          <w:sz w:val="18"/>
          <w:szCs w:val="18"/>
          <w:rtl/>
        </w:rPr>
        <w:t>הרמב"ן</w:t>
      </w:r>
      <w:r>
        <w:rPr>
          <w:rFonts w:hint="cs"/>
          <w:sz w:val="18"/>
          <w:szCs w:val="18"/>
          <w:rtl/>
        </w:rPr>
        <w:t xml:space="preserve"> </w:t>
      </w:r>
      <w:r w:rsidRPr="003C1933">
        <w:rPr>
          <w:rFonts w:hint="cs"/>
          <w:sz w:val="18"/>
          <w:szCs w:val="18"/>
          <w:rtl/>
        </w:rPr>
        <w:t>- מוכח בגמרא שלדעת חכמים אין הבדל בין בדיקת שחרית לבדיקת ביה"ש שאין ידיה מונחות בין עיניה, ובדיקות אלו מועילות בדיעבד, משום שלכתחילה בעינן ידיה בין עיניה כל ביה"ש. ואם כן, דעת חכמים דמתניתין היא שבדיקה ביום א' שחרית אינה מועילה, ולפי דברי הרמב"ן הוא הדין גם לבדיקת ביה"ש ביום א'. ומה כן מועיל? בדיקה במוך דחוק כל ביה"ש, כלומר 'ידיה בין עיניה'.</w:t>
      </w:r>
    </w:p>
  </w:footnote>
  <w:footnote w:id="501">
    <w:p w:rsidR="005953C5" w:rsidRDefault="005953C5" w:rsidP="00620060">
      <w:pPr>
        <w:pStyle w:val="a3"/>
        <w:rPr>
          <w:rtl/>
        </w:rPr>
      </w:pPr>
      <w:r w:rsidRPr="004823C4">
        <w:rPr>
          <w:rStyle w:val="a5"/>
          <w:sz w:val="18"/>
          <w:szCs w:val="18"/>
        </w:rPr>
        <w:footnoteRef/>
      </w:r>
      <w:r w:rsidRPr="004823C4">
        <w:rPr>
          <w:sz w:val="18"/>
          <w:szCs w:val="18"/>
          <w:rtl/>
        </w:rPr>
        <w:t xml:space="preserve"> </w:t>
      </w:r>
      <w:r w:rsidRPr="004823C4">
        <w:rPr>
          <w:rFonts w:hint="cs"/>
          <w:sz w:val="18"/>
          <w:szCs w:val="18"/>
          <w:rtl/>
        </w:rPr>
        <w:t xml:space="preserve">אמנם, </w:t>
      </w:r>
      <w:r w:rsidRPr="004823C4">
        <w:rPr>
          <w:rFonts w:hint="cs"/>
          <w:b/>
          <w:bCs/>
          <w:sz w:val="18"/>
          <w:szCs w:val="18"/>
          <w:rtl/>
        </w:rPr>
        <w:t>הגר"א</w:t>
      </w:r>
      <w:r w:rsidRPr="004823C4">
        <w:rPr>
          <w:rFonts w:hint="cs"/>
          <w:sz w:val="18"/>
          <w:szCs w:val="18"/>
          <w:rtl/>
        </w:rPr>
        <w:t xml:space="preserve"> כותב שגם המחבר מודה שבדיקת שחרית מועילה בדיעבד, אלא שלכתחילה פסק להחמיר כרבי יהודה.</w:t>
      </w:r>
    </w:p>
  </w:footnote>
  <w:footnote w:id="502">
    <w:p w:rsidR="005953C5" w:rsidRDefault="005953C5" w:rsidP="00620060">
      <w:pPr>
        <w:pStyle w:val="a3"/>
        <w:rPr>
          <w:rtl/>
        </w:rPr>
      </w:pPr>
      <w:r w:rsidRPr="00A026C1">
        <w:rPr>
          <w:rStyle w:val="a5"/>
          <w:sz w:val="18"/>
          <w:szCs w:val="18"/>
        </w:rPr>
        <w:footnoteRef/>
      </w:r>
      <w:r w:rsidRPr="00A026C1">
        <w:rPr>
          <w:sz w:val="18"/>
          <w:szCs w:val="18"/>
          <w:rtl/>
        </w:rPr>
        <w:t xml:space="preserve"> </w:t>
      </w:r>
      <w:r w:rsidRPr="00A026C1">
        <w:rPr>
          <w:rFonts w:hint="cs"/>
          <w:sz w:val="18"/>
          <w:szCs w:val="18"/>
          <w:rtl/>
        </w:rPr>
        <w:t>עיין שם שהאריך מאוד לבסס פסק זה ולסלק מעליו קושיות שונות.</w:t>
      </w:r>
    </w:p>
  </w:footnote>
  <w:footnote w:id="503">
    <w:p w:rsidR="005953C5" w:rsidRDefault="005953C5" w:rsidP="00620060">
      <w:pPr>
        <w:pStyle w:val="a3"/>
      </w:pPr>
      <w:r w:rsidRPr="00FC1883">
        <w:rPr>
          <w:rStyle w:val="a5"/>
          <w:sz w:val="18"/>
          <w:szCs w:val="18"/>
        </w:rPr>
        <w:footnoteRef/>
      </w:r>
      <w:r w:rsidRPr="00FC1883">
        <w:rPr>
          <w:sz w:val="18"/>
          <w:szCs w:val="18"/>
          <w:rtl/>
        </w:rPr>
        <w:t xml:space="preserve"> </w:t>
      </w:r>
      <w:r w:rsidRPr="00FC1883">
        <w:rPr>
          <w:rFonts w:hint="cs"/>
          <w:sz w:val="18"/>
          <w:szCs w:val="18"/>
          <w:rtl/>
        </w:rPr>
        <w:t>נראה כוונתו לפי שיטת האומרים שהפסק טהרה דרבנן, אך לסוברים שהפסק טהרה דאורייתא לא מהני לצרף ספק זה.</w:t>
      </w:r>
    </w:p>
  </w:footnote>
  <w:footnote w:id="504">
    <w:p w:rsidR="005953C5" w:rsidRDefault="005953C5" w:rsidP="00620060">
      <w:pPr>
        <w:pStyle w:val="a3"/>
      </w:pPr>
      <w:r w:rsidRPr="00811173">
        <w:rPr>
          <w:rStyle w:val="a5"/>
          <w:sz w:val="18"/>
          <w:szCs w:val="18"/>
        </w:rPr>
        <w:footnoteRef/>
      </w:r>
      <w:r w:rsidRPr="00811173">
        <w:rPr>
          <w:sz w:val="18"/>
          <w:szCs w:val="18"/>
          <w:rtl/>
        </w:rPr>
        <w:t xml:space="preserve"> </w:t>
      </w:r>
      <w:r w:rsidRPr="00811173">
        <w:rPr>
          <w:rFonts w:hint="cs"/>
          <w:sz w:val="18"/>
          <w:szCs w:val="18"/>
          <w:rtl/>
        </w:rPr>
        <w:t xml:space="preserve">אמנם, </w:t>
      </w:r>
      <w:r w:rsidRPr="00811173">
        <w:rPr>
          <w:rFonts w:hint="cs"/>
          <w:b/>
          <w:bCs/>
          <w:sz w:val="18"/>
          <w:szCs w:val="18"/>
          <w:rtl/>
        </w:rPr>
        <w:t>הש"ך</w:t>
      </w:r>
      <w:r w:rsidRPr="00811173">
        <w:rPr>
          <w:rFonts w:hint="cs"/>
          <w:sz w:val="18"/>
          <w:szCs w:val="18"/>
          <w:rtl/>
        </w:rPr>
        <w:t xml:space="preserve"> חותם את דבריו באופן תמוה מעט: "</w:t>
      </w:r>
      <w:r w:rsidRPr="00811173">
        <w:rPr>
          <w:rFonts w:cs="Arial"/>
          <w:sz w:val="18"/>
          <w:szCs w:val="18"/>
          <w:rtl/>
        </w:rPr>
        <w:t>מבואר מהאגור שהבאתי דאף להמקילים היינו עד כ"ד שעות וא</w:t>
      </w:r>
      <w:r w:rsidRPr="00811173">
        <w:rPr>
          <w:rFonts w:cs="Arial" w:hint="cs"/>
          <w:sz w:val="18"/>
          <w:szCs w:val="18"/>
          <w:rtl/>
        </w:rPr>
        <w:t>ם כן</w:t>
      </w:r>
      <w:r w:rsidRPr="00811173">
        <w:rPr>
          <w:rFonts w:cs="Arial"/>
          <w:sz w:val="18"/>
          <w:szCs w:val="18"/>
          <w:rtl/>
        </w:rPr>
        <w:t xml:space="preserve"> כשהיום גדול כל כך חשבינן יום ולילה ש</w:t>
      </w:r>
      <w:r w:rsidRPr="00811173">
        <w:rPr>
          <w:rFonts w:cs="Arial" w:hint="cs"/>
          <w:sz w:val="18"/>
          <w:szCs w:val="18"/>
          <w:rtl/>
        </w:rPr>
        <w:t>ו</w:t>
      </w:r>
      <w:r w:rsidRPr="00811173">
        <w:rPr>
          <w:rFonts w:cs="Arial"/>
          <w:sz w:val="18"/>
          <w:szCs w:val="18"/>
          <w:rtl/>
        </w:rPr>
        <w:t>וים אבל בתר הכי לכ</w:t>
      </w:r>
      <w:r w:rsidRPr="00811173">
        <w:rPr>
          <w:rFonts w:cs="Arial" w:hint="cs"/>
          <w:sz w:val="18"/>
          <w:szCs w:val="18"/>
          <w:rtl/>
        </w:rPr>
        <w:t>ולי עלמא</w:t>
      </w:r>
      <w:r w:rsidRPr="00811173">
        <w:rPr>
          <w:rFonts w:cs="Arial"/>
          <w:sz w:val="18"/>
          <w:szCs w:val="18"/>
          <w:rtl/>
        </w:rPr>
        <w:t xml:space="preserve"> אסור</w:t>
      </w:r>
      <w:r w:rsidRPr="00811173">
        <w:rPr>
          <w:rFonts w:cs="Arial" w:hint="cs"/>
          <w:sz w:val="18"/>
          <w:szCs w:val="18"/>
          <w:rtl/>
        </w:rPr>
        <w:t>".</w:t>
      </w:r>
      <w:r w:rsidRPr="00811173">
        <w:rPr>
          <w:sz w:val="18"/>
          <w:szCs w:val="18"/>
          <w:rtl/>
        </w:rPr>
        <w:br/>
      </w:r>
      <w:r w:rsidRPr="00811173">
        <w:rPr>
          <w:rFonts w:hint="cs"/>
          <w:sz w:val="18"/>
          <w:szCs w:val="18"/>
          <w:rtl/>
        </w:rPr>
        <w:t xml:space="preserve">מסביר </w:t>
      </w:r>
      <w:r w:rsidRPr="00811173">
        <w:rPr>
          <w:rFonts w:hint="cs"/>
          <w:b/>
          <w:bCs/>
          <w:sz w:val="18"/>
          <w:szCs w:val="18"/>
          <w:rtl/>
        </w:rPr>
        <w:t>ששבה"ל</w:t>
      </w:r>
      <w:r w:rsidRPr="00811173">
        <w:rPr>
          <w:rFonts w:hint="cs"/>
          <w:sz w:val="18"/>
          <w:szCs w:val="18"/>
          <w:rtl/>
        </w:rPr>
        <w:t xml:space="preserve"> </w:t>
      </w:r>
      <w:r w:rsidRPr="00811173">
        <w:rPr>
          <w:sz w:val="18"/>
          <w:szCs w:val="18"/>
          <w:rtl/>
        </w:rPr>
        <w:t>–</w:t>
      </w:r>
      <w:r w:rsidRPr="00811173">
        <w:rPr>
          <w:rFonts w:hint="cs"/>
          <w:sz w:val="18"/>
          <w:szCs w:val="18"/>
          <w:rtl/>
        </w:rPr>
        <w:t xml:space="preserve"> כוונת </w:t>
      </w:r>
      <w:r w:rsidRPr="00811173">
        <w:rPr>
          <w:rFonts w:hint="cs"/>
          <w:b/>
          <w:bCs/>
          <w:sz w:val="18"/>
          <w:szCs w:val="18"/>
          <w:rtl/>
        </w:rPr>
        <w:t>הש"ך</w:t>
      </w:r>
      <w:r w:rsidRPr="00811173">
        <w:rPr>
          <w:rFonts w:hint="cs"/>
          <w:sz w:val="18"/>
          <w:szCs w:val="18"/>
          <w:rtl/>
        </w:rPr>
        <w:t xml:space="preserve"> לומר שיש לחשב את הלילה והיום באופן שווה, כך שבימות הקיץ אפילו בעוד היום גדול הוי שבת ואינה יכולה לעשות הפסק אף לדעת המקלים</w:t>
      </w:r>
      <w:r>
        <w:rPr>
          <w:rFonts w:hint="cs"/>
          <w:sz w:val="18"/>
          <w:szCs w:val="18"/>
          <w:rtl/>
        </w:rPr>
        <w:t xml:space="preserve"> </w:t>
      </w:r>
      <w:r w:rsidRPr="008E2883">
        <w:rPr>
          <w:rFonts w:hint="cs"/>
          <w:sz w:val="16"/>
          <w:szCs w:val="16"/>
          <w:rtl/>
        </w:rPr>
        <w:t xml:space="preserve">(כלומר </w:t>
      </w:r>
      <w:r w:rsidRPr="008E2883">
        <w:rPr>
          <w:sz w:val="16"/>
          <w:szCs w:val="16"/>
          <w:rtl/>
        </w:rPr>
        <w:t>–</w:t>
      </w:r>
      <w:r w:rsidRPr="008E2883">
        <w:rPr>
          <w:rFonts w:hint="cs"/>
          <w:sz w:val="16"/>
          <w:szCs w:val="16"/>
          <w:rtl/>
        </w:rPr>
        <w:t xml:space="preserve"> שש שעות לפני חצות ושש לאחר חצות</w:t>
      </w:r>
      <w:r>
        <w:rPr>
          <w:rFonts w:hint="cs"/>
          <w:sz w:val="16"/>
          <w:szCs w:val="16"/>
          <w:rtl/>
        </w:rPr>
        <w:t xml:space="preserve">, ע"פ </w:t>
      </w:r>
      <w:r w:rsidRPr="0019757E">
        <w:rPr>
          <w:rFonts w:hint="cs"/>
          <w:b/>
          <w:bCs/>
          <w:sz w:val="16"/>
          <w:szCs w:val="16"/>
          <w:rtl/>
        </w:rPr>
        <w:t>נקה"כ</w:t>
      </w:r>
      <w:r>
        <w:rPr>
          <w:rFonts w:hint="cs"/>
          <w:sz w:val="16"/>
          <w:szCs w:val="16"/>
          <w:rtl/>
        </w:rPr>
        <w:t xml:space="preserve"> סימן קפד'</w:t>
      </w:r>
      <w:r w:rsidRPr="008E2883">
        <w:rPr>
          <w:rFonts w:hint="cs"/>
          <w:sz w:val="16"/>
          <w:szCs w:val="16"/>
          <w:rtl/>
        </w:rPr>
        <w:t>)</w:t>
      </w:r>
      <w:r w:rsidRPr="00811173">
        <w:rPr>
          <w:rFonts w:hint="cs"/>
          <w:sz w:val="18"/>
          <w:szCs w:val="18"/>
          <w:rtl/>
        </w:rPr>
        <w:t xml:space="preserve">. </w:t>
      </w:r>
      <w:r>
        <w:rPr>
          <w:sz w:val="18"/>
          <w:szCs w:val="18"/>
          <w:rtl/>
        </w:rPr>
        <w:br/>
      </w:r>
      <w:r w:rsidRPr="00811173">
        <w:rPr>
          <w:rFonts w:hint="cs"/>
          <w:sz w:val="18"/>
          <w:szCs w:val="18"/>
          <w:rtl/>
        </w:rPr>
        <w:t xml:space="preserve">ברם, דברי </w:t>
      </w:r>
      <w:r w:rsidRPr="008E2883">
        <w:rPr>
          <w:rFonts w:hint="cs"/>
          <w:b/>
          <w:bCs/>
          <w:sz w:val="18"/>
          <w:szCs w:val="18"/>
          <w:rtl/>
        </w:rPr>
        <w:t>הש"ך</w:t>
      </w:r>
      <w:r w:rsidRPr="00811173">
        <w:rPr>
          <w:rFonts w:hint="cs"/>
          <w:sz w:val="18"/>
          <w:szCs w:val="18"/>
          <w:rtl/>
        </w:rPr>
        <w:t xml:space="preserve"> צריכים עיון, מכיוון שקיי"ל לגבי כל דיני שבת שהם חלים רק מהשקיעה, והעושה מלאכה לפני כן אין סוקלים אותו, ואם כן מדוע החמיר הש"ך לגבי בדיקת הפסק טהרה?</w:t>
      </w:r>
    </w:p>
  </w:footnote>
  <w:footnote w:id="505">
    <w:p w:rsidR="005953C5" w:rsidRDefault="005953C5" w:rsidP="00620060">
      <w:pPr>
        <w:pStyle w:val="a3"/>
        <w:rPr>
          <w:rtl/>
        </w:rPr>
      </w:pPr>
      <w:r w:rsidRPr="00C80C98">
        <w:rPr>
          <w:rStyle w:val="a5"/>
          <w:sz w:val="18"/>
          <w:szCs w:val="18"/>
        </w:rPr>
        <w:footnoteRef/>
      </w:r>
      <w:r w:rsidRPr="00C80C98">
        <w:rPr>
          <w:sz w:val="18"/>
          <w:szCs w:val="18"/>
          <w:rtl/>
        </w:rPr>
        <w:t xml:space="preserve"> </w:t>
      </w:r>
      <w:r w:rsidRPr="00C80C98">
        <w:rPr>
          <w:rFonts w:hint="cs"/>
          <w:sz w:val="18"/>
          <w:szCs w:val="18"/>
          <w:rtl/>
        </w:rPr>
        <w:t xml:space="preserve">זו לשון </w:t>
      </w:r>
      <w:r w:rsidRPr="00C80C98">
        <w:rPr>
          <w:rFonts w:hint="cs"/>
          <w:b/>
          <w:bCs/>
          <w:sz w:val="18"/>
          <w:szCs w:val="18"/>
          <w:rtl/>
        </w:rPr>
        <w:t>הרמב"ן</w:t>
      </w:r>
      <w:r w:rsidRPr="00C80C98">
        <w:rPr>
          <w:rFonts w:hint="cs"/>
          <w:sz w:val="18"/>
          <w:szCs w:val="18"/>
          <w:rtl/>
        </w:rPr>
        <w:t xml:space="preserve"> </w:t>
      </w:r>
      <w:r w:rsidRPr="00C80C98">
        <w:rPr>
          <w:rFonts w:hint="cs"/>
          <w:sz w:val="16"/>
          <w:szCs w:val="16"/>
          <w:rtl/>
        </w:rPr>
        <w:t xml:space="preserve">(הו"ד </w:t>
      </w:r>
      <w:r w:rsidRPr="00C80C98">
        <w:rPr>
          <w:rFonts w:hint="cs"/>
          <w:b/>
          <w:bCs/>
          <w:sz w:val="16"/>
          <w:szCs w:val="16"/>
          <w:rtl/>
        </w:rPr>
        <w:t>בבית יוסף</w:t>
      </w:r>
      <w:r w:rsidRPr="00C80C98">
        <w:rPr>
          <w:rFonts w:hint="cs"/>
          <w:sz w:val="16"/>
          <w:szCs w:val="16"/>
          <w:rtl/>
        </w:rPr>
        <w:t xml:space="preserve">) </w:t>
      </w:r>
      <w:r w:rsidRPr="00C80C98">
        <w:rPr>
          <w:sz w:val="18"/>
          <w:szCs w:val="18"/>
          <w:rtl/>
        </w:rPr>
        <w:t>–</w:t>
      </w:r>
      <w:r w:rsidRPr="00C80C98">
        <w:rPr>
          <w:rFonts w:hint="cs"/>
          <w:sz w:val="18"/>
          <w:szCs w:val="18"/>
          <w:rtl/>
        </w:rPr>
        <w:t xml:space="preserve"> "</w:t>
      </w:r>
      <w:r w:rsidRPr="00C80C98">
        <w:rPr>
          <w:rFonts w:cs="Arial"/>
          <w:sz w:val="18"/>
          <w:szCs w:val="18"/>
          <w:rtl/>
        </w:rPr>
        <w:t>ראתה בזמן הזה יום אחד בשחרית ופסקה בו ביום</w:t>
      </w:r>
      <w:r w:rsidRPr="00C80C98">
        <w:rPr>
          <w:rFonts w:cs="Arial" w:hint="cs"/>
          <w:sz w:val="18"/>
          <w:szCs w:val="18"/>
          <w:rtl/>
        </w:rPr>
        <w:t>,</w:t>
      </w:r>
      <w:r w:rsidRPr="00C80C98">
        <w:rPr>
          <w:rFonts w:cs="Arial"/>
          <w:sz w:val="18"/>
          <w:szCs w:val="18"/>
          <w:rtl/>
        </w:rPr>
        <w:t xml:space="preserve"> אינה מונה מיום המחרת עד שתחזור לבדוק ויהיו ידיה בין עיניה כל בין השמשות</w:t>
      </w:r>
      <w:r w:rsidRPr="00C80C98">
        <w:rPr>
          <w:rFonts w:cs="Arial" w:hint="cs"/>
          <w:sz w:val="18"/>
          <w:szCs w:val="18"/>
          <w:rtl/>
        </w:rPr>
        <w:t>,</w:t>
      </w:r>
      <w:r w:rsidRPr="00C80C98">
        <w:rPr>
          <w:rFonts w:cs="Arial"/>
          <w:sz w:val="18"/>
          <w:szCs w:val="18"/>
          <w:rtl/>
        </w:rPr>
        <w:t xml:space="preserve"> שחזקת היום הראשון כולו טמא שהוחזק מעין פתוח ודמיה חוזרין לה אף על פי שפסקה בשחרית</w:t>
      </w:r>
      <w:r w:rsidRPr="00C80C98">
        <w:rPr>
          <w:rFonts w:hint="cs"/>
          <w:sz w:val="18"/>
          <w:szCs w:val="18"/>
          <w:rtl/>
        </w:rPr>
        <w:t>".</w:t>
      </w:r>
      <w:r w:rsidRPr="00C80C98">
        <w:rPr>
          <w:sz w:val="18"/>
          <w:szCs w:val="18"/>
          <w:rtl/>
        </w:rPr>
        <w:br/>
      </w:r>
      <w:r w:rsidRPr="00C80C98">
        <w:rPr>
          <w:rFonts w:hint="cs"/>
          <w:sz w:val="18"/>
          <w:szCs w:val="18"/>
          <w:rtl/>
        </w:rPr>
        <w:t xml:space="preserve">ועיין </w:t>
      </w:r>
      <w:r w:rsidRPr="00C80C98">
        <w:rPr>
          <w:rFonts w:hint="cs"/>
          <w:b/>
          <w:bCs/>
          <w:sz w:val="18"/>
          <w:szCs w:val="18"/>
          <w:rtl/>
        </w:rPr>
        <w:t>בסדרי טהרה</w:t>
      </w:r>
      <w:r w:rsidRPr="00C80C98">
        <w:rPr>
          <w:rFonts w:hint="cs"/>
          <w:sz w:val="18"/>
          <w:szCs w:val="18"/>
          <w:rtl/>
        </w:rPr>
        <w:t xml:space="preserve"> שהוכיח את שיטת </w:t>
      </w:r>
      <w:r w:rsidRPr="00C80C98">
        <w:rPr>
          <w:rFonts w:hint="cs"/>
          <w:b/>
          <w:bCs/>
          <w:sz w:val="18"/>
          <w:szCs w:val="18"/>
          <w:rtl/>
        </w:rPr>
        <w:t>הרמב"ן</w:t>
      </w:r>
      <w:r w:rsidRPr="00C80C98">
        <w:rPr>
          <w:rFonts w:hint="cs"/>
          <w:sz w:val="18"/>
          <w:szCs w:val="18"/>
          <w:rtl/>
        </w:rPr>
        <w:t xml:space="preserve"> מתוך לשון הברייתא המובאת לעיל - "</w:t>
      </w:r>
      <w:r w:rsidRPr="00C80C98">
        <w:rPr>
          <w:rFonts w:cs="Arial"/>
          <w:sz w:val="18"/>
          <w:szCs w:val="18"/>
          <w:rtl/>
        </w:rPr>
        <w:t>תניא, אמרו לו לר</w:t>
      </w:r>
      <w:r w:rsidRPr="00C80C98">
        <w:rPr>
          <w:rFonts w:cs="Arial" w:hint="cs"/>
          <w:sz w:val="18"/>
          <w:szCs w:val="18"/>
          <w:rtl/>
        </w:rPr>
        <w:t>בי</w:t>
      </w:r>
      <w:r w:rsidRPr="00C80C98">
        <w:rPr>
          <w:rFonts w:cs="Arial"/>
          <w:sz w:val="18"/>
          <w:szCs w:val="18"/>
          <w:rtl/>
        </w:rPr>
        <w:t xml:space="preserve"> יהודה: אלמלי ידיה מונחות בעיניה כל בין השמשות - יפה אתה אומר, עכשיו - אימר עם סלוק ידיה ראתה</w:t>
      </w:r>
      <w:r w:rsidRPr="00C80C98">
        <w:rPr>
          <w:rFonts w:cs="Arial" w:hint="cs"/>
          <w:sz w:val="18"/>
          <w:szCs w:val="18"/>
          <w:rtl/>
        </w:rPr>
        <w:t xml:space="preserve">..." </w:t>
      </w:r>
      <w:r w:rsidRPr="00C80C98">
        <w:rPr>
          <w:rFonts w:cs="Arial"/>
          <w:sz w:val="18"/>
          <w:szCs w:val="18"/>
          <w:rtl/>
        </w:rPr>
        <w:br/>
      </w:r>
      <w:r w:rsidRPr="00C80C98">
        <w:rPr>
          <w:rFonts w:cs="Arial" w:hint="cs"/>
          <w:sz w:val="18"/>
          <w:szCs w:val="18"/>
          <w:rtl/>
        </w:rPr>
        <w:t xml:space="preserve">מוכח שחכמים משווים את דין בדיקת שחרית לבדיקת ביה"ש הנעשית שלא ע"י מוך דחוק. כלומר, אין עדיפות לבדיקת ביה"ש על פני בדיקת שחרית, בשתי הבדיקות קיים חשש שעם סילוק ידיה ראתה. ולכן, האפשרות היחידה המסלקת חשש זה, היא ע"י מוך דחוק. מוך דחוק עדיף מבדיקה סתמית ומהני אפילו ביום הראשון. </w:t>
      </w:r>
    </w:p>
  </w:footnote>
  <w:footnote w:id="506">
    <w:p w:rsidR="005953C5" w:rsidRDefault="005953C5" w:rsidP="00620060">
      <w:pPr>
        <w:pStyle w:val="a3"/>
      </w:pPr>
      <w:r w:rsidRPr="009A3504">
        <w:rPr>
          <w:rStyle w:val="a5"/>
          <w:sz w:val="18"/>
          <w:szCs w:val="18"/>
        </w:rPr>
        <w:footnoteRef/>
      </w:r>
      <w:r w:rsidRPr="009A3504">
        <w:rPr>
          <w:sz w:val="18"/>
          <w:szCs w:val="18"/>
          <w:rtl/>
        </w:rPr>
        <w:t xml:space="preserve"> </w:t>
      </w:r>
      <w:r w:rsidRPr="009A3504">
        <w:rPr>
          <w:rFonts w:hint="cs"/>
          <w:b/>
          <w:bCs/>
          <w:sz w:val="18"/>
          <w:szCs w:val="18"/>
          <w:rtl/>
        </w:rPr>
        <w:t>טהרת הבית</w:t>
      </w:r>
      <w:r w:rsidRPr="009A3504">
        <w:rPr>
          <w:rFonts w:hint="cs"/>
          <w:sz w:val="18"/>
          <w:szCs w:val="18"/>
          <w:rtl/>
        </w:rPr>
        <w:t xml:space="preserve"> </w:t>
      </w:r>
      <w:r w:rsidRPr="009A3504">
        <w:rPr>
          <w:rFonts w:hint="cs"/>
          <w:sz w:val="16"/>
          <w:szCs w:val="16"/>
          <w:rtl/>
        </w:rPr>
        <w:t xml:space="preserve">(עמ' שב </w:t>
      </w:r>
      <w:r w:rsidRPr="009A3504">
        <w:rPr>
          <w:sz w:val="16"/>
          <w:szCs w:val="16"/>
          <w:rtl/>
        </w:rPr>
        <w:t>–</w:t>
      </w:r>
      <w:r w:rsidRPr="009A3504">
        <w:rPr>
          <w:rFonts w:hint="cs"/>
          <w:sz w:val="16"/>
          <w:szCs w:val="16"/>
          <w:rtl/>
        </w:rPr>
        <w:t xml:space="preserve"> שג) </w:t>
      </w:r>
      <w:r w:rsidRPr="009A3504">
        <w:rPr>
          <w:sz w:val="18"/>
          <w:szCs w:val="18"/>
          <w:rtl/>
        </w:rPr>
        <w:t>–</w:t>
      </w:r>
      <w:r w:rsidRPr="009A3504">
        <w:rPr>
          <w:rFonts w:hint="cs"/>
          <w:sz w:val="18"/>
          <w:szCs w:val="18"/>
          <w:rtl/>
        </w:rPr>
        <w:t xml:space="preserve"> נראה שגם כוונת </w:t>
      </w:r>
      <w:r w:rsidRPr="009A3504">
        <w:rPr>
          <w:rFonts w:hint="cs"/>
          <w:b/>
          <w:bCs/>
          <w:sz w:val="18"/>
          <w:szCs w:val="18"/>
          <w:rtl/>
        </w:rPr>
        <w:t>המחבר כרמ"א</w:t>
      </w:r>
      <w:r w:rsidRPr="009A3504">
        <w:rPr>
          <w:rFonts w:hint="cs"/>
          <w:sz w:val="18"/>
          <w:szCs w:val="18"/>
          <w:rtl/>
        </w:rPr>
        <w:t>, ואין מוך דחוק מעכב.</w:t>
      </w:r>
      <w:r w:rsidRPr="009A3504">
        <w:rPr>
          <w:sz w:val="18"/>
          <w:szCs w:val="18"/>
          <w:rtl/>
        </w:rPr>
        <w:br/>
      </w:r>
      <w:r w:rsidRPr="009A3504">
        <w:rPr>
          <w:rFonts w:hint="cs"/>
          <w:sz w:val="18"/>
          <w:szCs w:val="18"/>
          <w:rtl/>
        </w:rPr>
        <w:t xml:space="preserve">הסבר </w:t>
      </w:r>
      <w:r w:rsidRPr="009A3504">
        <w:rPr>
          <w:sz w:val="18"/>
          <w:szCs w:val="18"/>
          <w:rtl/>
        </w:rPr>
        <w:t>–</w:t>
      </w:r>
      <w:r w:rsidRPr="009A3504">
        <w:rPr>
          <w:rFonts w:hint="cs"/>
          <w:sz w:val="18"/>
          <w:szCs w:val="18"/>
          <w:rtl/>
        </w:rPr>
        <w:t xml:space="preserve"> המחבר כתב לשון "צריכה", ומשמעות לשון זו היא, שדין זה אינו מעכב אלא הוא לכתחילה, וכן מוכח בכמה מקומות בש"ס ובראשונים שלשון "צריך" אינה לעיכוב.</w:t>
      </w:r>
      <w:r w:rsidRPr="009A3504">
        <w:rPr>
          <w:sz w:val="18"/>
          <w:szCs w:val="18"/>
          <w:rtl/>
        </w:rPr>
        <w:br/>
      </w:r>
      <w:r w:rsidRPr="009A3504">
        <w:rPr>
          <w:rFonts w:hint="cs"/>
          <w:sz w:val="18"/>
          <w:szCs w:val="18"/>
          <w:rtl/>
        </w:rPr>
        <w:t xml:space="preserve">ועוד </w:t>
      </w:r>
      <w:r w:rsidRPr="009A3504">
        <w:rPr>
          <w:sz w:val="18"/>
          <w:szCs w:val="18"/>
          <w:rtl/>
        </w:rPr>
        <w:t>–</w:t>
      </w:r>
      <w:r w:rsidRPr="009A3504">
        <w:rPr>
          <w:rFonts w:hint="cs"/>
          <w:sz w:val="18"/>
          <w:szCs w:val="18"/>
          <w:rtl/>
        </w:rPr>
        <w:t xml:space="preserve"> דברי המחבר כאן סתומים האם התכוון להחמיר גם בדיעבד. ובמקום שדברי פוסק אחד סתומים, יש לפרש את דבריו שיתאימו לדברי רוב הפוסקים. ומכיוון שכאן יש ראשונים המתירים לבדוק אף לכתחילה בשחרית וכן פסק הרמ"א, יש לומר שגם כוונת המחבר כך היא.</w:t>
      </w:r>
    </w:p>
  </w:footnote>
  <w:footnote w:id="507">
    <w:p w:rsidR="005953C5" w:rsidRDefault="005953C5" w:rsidP="00620060">
      <w:pPr>
        <w:pStyle w:val="a3"/>
      </w:pPr>
      <w:r w:rsidRPr="00B15A05">
        <w:rPr>
          <w:rStyle w:val="a5"/>
          <w:sz w:val="18"/>
          <w:szCs w:val="18"/>
        </w:rPr>
        <w:footnoteRef/>
      </w:r>
      <w:r w:rsidRPr="00B15A05">
        <w:rPr>
          <w:sz w:val="18"/>
          <w:szCs w:val="18"/>
          <w:rtl/>
        </w:rPr>
        <w:t xml:space="preserve"> </w:t>
      </w:r>
      <w:r w:rsidRPr="00B15A05">
        <w:rPr>
          <w:rFonts w:hint="cs"/>
          <w:b/>
          <w:bCs/>
          <w:sz w:val="18"/>
          <w:szCs w:val="18"/>
          <w:rtl/>
        </w:rPr>
        <w:t>טהרת הבית</w:t>
      </w:r>
      <w:r>
        <w:rPr>
          <w:rFonts w:hint="cs"/>
          <w:sz w:val="18"/>
          <w:szCs w:val="18"/>
          <w:rtl/>
        </w:rPr>
        <w:t xml:space="preserve"> </w:t>
      </w:r>
      <w:r w:rsidRPr="00B15A05">
        <w:rPr>
          <w:rFonts w:hint="cs"/>
          <w:sz w:val="16"/>
          <w:szCs w:val="16"/>
          <w:rtl/>
        </w:rPr>
        <w:t xml:space="preserve">(עמ' רצז) </w:t>
      </w:r>
      <w:r>
        <w:rPr>
          <w:rFonts w:hint="cs"/>
          <w:sz w:val="18"/>
          <w:szCs w:val="18"/>
          <w:rtl/>
        </w:rPr>
        <w:t xml:space="preserve">- </w:t>
      </w:r>
      <w:r w:rsidRPr="00B15A05">
        <w:rPr>
          <w:rFonts w:hint="cs"/>
          <w:sz w:val="18"/>
          <w:szCs w:val="18"/>
          <w:rtl/>
        </w:rPr>
        <w:t xml:space="preserve">יש להעיר שהפסק טהרה של כלה בתולה שונה מהפסק של נשואה או של כלה אלמנה וגרושה. מכיוון שבתולה פתחה סתום ולכן אינה </w:t>
      </w:r>
      <w:r>
        <w:rPr>
          <w:rFonts w:hint="cs"/>
          <w:sz w:val="18"/>
          <w:szCs w:val="18"/>
          <w:rtl/>
        </w:rPr>
        <w:t>יכולה</w:t>
      </w:r>
      <w:r w:rsidRPr="00B15A05">
        <w:rPr>
          <w:rFonts w:hint="cs"/>
          <w:sz w:val="18"/>
          <w:szCs w:val="18"/>
          <w:rtl/>
        </w:rPr>
        <w:t xml:space="preserve"> לעשות הפסק במוך דחוק אלא ע"י בדיקה רגילה, ויש לה ל</w:t>
      </w:r>
      <w:r>
        <w:rPr>
          <w:rFonts w:hint="cs"/>
          <w:sz w:val="18"/>
          <w:szCs w:val="18"/>
          <w:rtl/>
        </w:rPr>
        <w:t>ה</w:t>
      </w:r>
      <w:r w:rsidRPr="00B15A05">
        <w:rPr>
          <w:rFonts w:hint="cs"/>
          <w:sz w:val="18"/>
          <w:szCs w:val="18"/>
          <w:rtl/>
        </w:rPr>
        <w:t>סמיך אותה ככל האפשר לבי</w:t>
      </w:r>
      <w:r>
        <w:rPr>
          <w:rFonts w:hint="cs"/>
          <w:sz w:val="18"/>
          <w:szCs w:val="18"/>
          <w:rtl/>
        </w:rPr>
        <w:t>ן השמשות</w:t>
      </w:r>
      <w:r w:rsidRPr="00B15A05">
        <w:rPr>
          <w:rFonts w:hint="cs"/>
          <w:sz w:val="18"/>
          <w:szCs w:val="18"/>
          <w:rtl/>
        </w:rPr>
        <w:t>.</w:t>
      </w:r>
    </w:p>
  </w:footnote>
  <w:footnote w:id="508">
    <w:p w:rsidR="005953C5" w:rsidRDefault="005953C5" w:rsidP="00620060">
      <w:pPr>
        <w:pStyle w:val="a3"/>
        <w:rPr>
          <w:rtl/>
        </w:rPr>
      </w:pPr>
      <w:r w:rsidRPr="005826CA">
        <w:rPr>
          <w:rStyle w:val="a5"/>
          <w:sz w:val="18"/>
          <w:szCs w:val="18"/>
        </w:rPr>
        <w:footnoteRef/>
      </w:r>
      <w:r w:rsidRPr="005826CA">
        <w:rPr>
          <w:sz w:val="18"/>
          <w:szCs w:val="18"/>
          <w:rtl/>
        </w:rPr>
        <w:t xml:space="preserve"> </w:t>
      </w:r>
      <w:r w:rsidRPr="005826CA">
        <w:rPr>
          <w:rFonts w:hint="cs"/>
          <w:sz w:val="18"/>
          <w:szCs w:val="18"/>
          <w:rtl/>
        </w:rPr>
        <w:t xml:space="preserve">עוד הוסיף לפי"ז </w:t>
      </w:r>
      <w:r w:rsidRPr="005826CA">
        <w:rPr>
          <w:rFonts w:hint="cs"/>
          <w:sz w:val="16"/>
          <w:szCs w:val="16"/>
          <w:rtl/>
        </w:rPr>
        <w:t xml:space="preserve">(ע"פ </w:t>
      </w:r>
      <w:r w:rsidRPr="005826CA">
        <w:rPr>
          <w:rFonts w:hint="cs"/>
          <w:b/>
          <w:bCs/>
          <w:sz w:val="16"/>
          <w:szCs w:val="16"/>
          <w:rtl/>
        </w:rPr>
        <w:t>תורת השלמים</w:t>
      </w:r>
      <w:r w:rsidRPr="005826CA">
        <w:rPr>
          <w:rFonts w:hint="cs"/>
          <w:sz w:val="16"/>
          <w:szCs w:val="16"/>
          <w:rtl/>
        </w:rPr>
        <w:t xml:space="preserve">) </w:t>
      </w:r>
      <w:r>
        <w:rPr>
          <w:rFonts w:hint="cs"/>
          <w:sz w:val="18"/>
          <w:szCs w:val="18"/>
          <w:rtl/>
        </w:rPr>
        <w:t xml:space="preserve">- </w:t>
      </w:r>
      <w:r w:rsidRPr="005826CA">
        <w:rPr>
          <w:rFonts w:hint="cs"/>
          <w:sz w:val="18"/>
          <w:szCs w:val="18"/>
          <w:rtl/>
        </w:rPr>
        <w:t xml:space="preserve">אף </w:t>
      </w:r>
      <w:r w:rsidRPr="005826CA">
        <w:rPr>
          <w:rFonts w:hint="cs"/>
          <w:b/>
          <w:bCs/>
          <w:sz w:val="18"/>
          <w:szCs w:val="18"/>
          <w:rtl/>
        </w:rPr>
        <w:t>לרמ"א</w:t>
      </w:r>
      <w:r w:rsidRPr="005826CA">
        <w:rPr>
          <w:rFonts w:hint="cs"/>
          <w:sz w:val="18"/>
          <w:szCs w:val="18"/>
          <w:rtl/>
        </w:rPr>
        <w:t xml:space="preserve"> הסובר שאין להקל בכתם הנמצא בתוך ג' ימים הראשונים של הז' נקיים, יש תקנה באופן זה. דהיינו, שתפסוק בטהרה מתי שתוכל, ובג' הימים הראשונים מייד לאחר ההפסק תנהג את חומרת הרמ"א הנ"ל שאין תולים להקל, ובשאר הז' נקיים תולים </w:t>
      </w:r>
      <w:r>
        <w:rPr>
          <w:rFonts w:hint="cs"/>
          <w:sz w:val="18"/>
          <w:szCs w:val="18"/>
          <w:rtl/>
        </w:rPr>
        <w:t xml:space="preserve">את </w:t>
      </w:r>
      <w:r w:rsidRPr="005826CA">
        <w:rPr>
          <w:rFonts w:hint="cs"/>
          <w:sz w:val="18"/>
          <w:szCs w:val="18"/>
          <w:rtl/>
        </w:rPr>
        <w:t>כתמה להקל.</w:t>
      </w:r>
    </w:p>
  </w:footnote>
  <w:footnote w:id="509">
    <w:p w:rsidR="005953C5" w:rsidRDefault="005953C5" w:rsidP="00620060">
      <w:pPr>
        <w:pStyle w:val="a3"/>
        <w:rPr>
          <w:rtl/>
        </w:rPr>
      </w:pPr>
      <w:r w:rsidRPr="005A5E7B">
        <w:rPr>
          <w:rStyle w:val="a5"/>
          <w:sz w:val="18"/>
          <w:szCs w:val="18"/>
        </w:rPr>
        <w:footnoteRef/>
      </w:r>
      <w:r w:rsidRPr="005A5E7B">
        <w:rPr>
          <w:sz w:val="18"/>
          <w:szCs w:val="18"/>
          <w:rtl/>
        </w:rPr>
        <w:t xml:space="preserve"> </w:t>
      </w:r>
      <w:r w:rsidRPr="005A5E7B">
        <w:rPr>
          <w:rFonts w:hint="cs"/>
          <w:sz w:val="18"/>
          <w:szCs w:val="18"/>
          <w:rtl/>
        </w:rPr>
        <w:t xml:space="preserve">משמע שיש להחמיר לכתחילה ברחיצה זו, ואמנם לא ברור מספיק מדוע החמיר בכך, </w:t>
      </w:r>
      <w:r>
        <w:rPr>
          <w:rFonts w:hint="cs"/>
          <w:sz w:val="18"/>
          <w:szCs w:val="18"/>
          <w:rtl/>
        </w:rPr>
        <w:t>משום ש</w:t>
      </w:r>
      <w:r w:rsidRPr="005A5E7B">
        <w:rPr>
          <w:rFonts w:hint="cs"/>
          <w:sz w:val="18"/>
          <w:szCs w:val="18"/>
          <w:rtl/>
        </w:rPr>
        <w:t>לכאורה הרחיצה נועדה להקל עליה, ומה שייך להחמיר בכך?</w:t>
      </w:r>
      <w:r>
        <w:rPr>
          <w:rFonts w:hint="cs"/>
          <w:rtl/>
        </w:rPr>
        <w:t xml:space="preserve"> </w:t>
      </w:r>
      <w:r w:rsidRPr="00DA4F29">
        <w:rPr>
          <w:rFonts w:hint="cs"/>
          <w:sz w:val="18"/>
          <w:szCs w:val="18"/>
          <w:rtl/>
        </w:rPr>
        <w:t>ויש לומר שרחצה זו באה גם להחמיר עליה, משום שאם תמצא כתם בבגדה לא תוכל לתלותו בימים שראתה.</w:t>
      </w:r>
    </w:p>
  </w:footnote>
  <w:footnote w:id="510">
    <w:p w:rsidR="005953C5" w:rsidRDefault="005953C5" w:rsidP="00620060">
      <w:pPr>
        <w:pStyle w:val="a3"/>
        <w:rPr>
          <w:rtl/>
        </w:rPr>
      </w:pPr>
      <w:r w:rsidRPr="00FD02B7">
        <w:rPr>
          <w:rStyle w:val="a5"/>
          <w:sz w:val="18"/>
          <w:szCs w:val="18"/>
        </w:rPr>
        <w:footnoteRef/>
      </w:r>
      <w:r w:rsidRPr="00FD02B7">
        <w:rPr>
          <w:sz w:val="18"/>
          <w:szCs w:val="18"/>
          <w:rtl/>
        </w:rPr>
        <w:t xml:space="preserve"> </w:t>
      </w:r>
      <w:r w:rsidRPr="00FD02B7">
        <w:rPr>
          <w:rFonts w:hint="cs"/>
          <w:sz w:val="18"/>
          <w:szCs w:val="18"/>
          <w:rtl/>
        </w:rPr>
        <w:t>יש לעיין האם יכולה לעשות ה</w:t>
      </w:r>
      <w:r>
        <w:rPr>
          <w:rFonts w:hint="cs"/>
          <w:sz w:val="18"/>
          <w:szCs w:val="18"/>
          <w:rtl/>
        </w:rPr>
        <w:t>פס</w:t>
      </w:r>
      <w:r w:rsidRPr="00FD02B7">
        <w:rPr>
          <w:rFonts w:hint="cs"/>
          <w:sz w:val="18"/>
          <w:szCs w:val="18"/>
          <w:rtl/>
        </w:rPr>
        <w:t>ק טהרה מייד לאחר הרחיצה, או שיש לה להמתין שיעור זמן מהרחיצה עד ההפס"ט?</w:t>
      </w:r>
      <w:r w:rsidRPr="00FD02B7">
        <w:rPr>
          <w:rFonts w:hint="cs"/>
          <w:sz w:val="18"/>
          <w:szCs w:val="18"/>
          <w:rtl/>
        </w:rPr>
        <w:br/>
      </w:r>
      <w:r w:rsidRPr="00FD02B7">
        <w:rPr>
          <w:rFonts w:hint="cs"/>
          <w:b/>
          <w:bCs/>
          <w:sz w:val="18"/>
          <w:szCs w:val="18"/>
          <w:rtl/>
        </w:rPr>
        <w:t>בדה"ש</w:t>
      </w:r>
      <w:r w:rsidRPr="00FD02B7">
        <w:rPr>
          <w:rFonts w:hint="cs"/>
          <w:sz w:val="18"/>
          <w:szCs w:val="18"/>
          <w:rtl/>
        </w:rPr>
        <w:t xml:space="preserve"> </w:t>
      </w:r>
      <w:r w:rsidRPr="00FD02B7">
        <w:rPr>
          <w:rFonts w:hint="cs"/>
          <w:sz w:val="16"/>
          <w:szCs w:val="16"/>
          <w:rtl/>
        </w:rPr>
        <w:t xml:space="preserve">(ריש הסימן, ד"ה 'שתפסוק בטהרה') </w:t>
      </w:r>
      <w:r w:rsidRPr="00FD02B7">
        <w:rPr>
          <w:rFonts w:hint="cs"/>
          <w:sz w:val="18"/>
          <w:szCs w:val="18"/>
          <w:rtl/>
        </w:rPr>
        <w:t xml:space="preserve">מביא את דעת </w:t>
      </w:r>
      <w:r w:rsidRPr="00FD02B7">
        <w:rPr>
          <w:rFonts w:hint="cs"/>
          <w:b/>
          <w:bCs/>
          <w:sz w:val="18"/>
          <w:szCs w:val="18"/>
          <w:rtl/>
        </w:rPr>
        <w:t>החזו"א</w:t>
      </w:r>
      <w:r w:rsidRPr="00FD02B7">
        <w:rPr>
          <w:rFonts w:hint="cs"/>
          <w:sz w:val="18"/>
          <w:szCs w:val="18"/>
          <w:rtl/>
        </w:rPr>
        <w:t xml:space="preserve"> - </w:t>
      </w:r>
      <w:r w:rsidRPr="00FD02B7">
        <w:rPr>
          <w:sz w:val="18"/>
          <w:szCs w:val="18"/>
          <w:rtl/>
        </w:rPr>
        <w:br/>
      </w:r>
      <w:r w:rsidRPr="00FD02B7">
        <w:rPr>
          <w:rFonts w:hint="cs"/>
          <w:sz w:val="18"/>
          <w:szCs w:val="18"/>
          <w:rtl/>
        </w:rPr>
        <w:t xml:space="preserve">אין להקל בכך, אלא יש לה להמתין שיעור זמן ורק לאחר מכן לעשות הפס"ט. וכן הדין אם ההפסק הראשון יצא לא נקי ורוצה לבדוק שנית לאחר </w:t>
      </w:r>
      <w:r w:rsidRPr="005A5E7B">
        <w:rPr>
          <w:rFonts w:hint="cs"/>
          <w:sz w:val="18"/>
          <w:szCs w:val="18"/>
          <w:rtl/>
        </w:rPr>
        <w:t>רחיצה, שצריכה להמתין, כאמור. ואמנם, אשה שהניחה את המוך כל ביה"ש, אין להחמיר בה, שהרי המוך נמצא זמן מרובה והוא מוודא שהמעיין נפסק, אך מי שאינה מניחה מוך דחוק צריכה להחמיר, כנ"ל.</w:t>
      </w:r>
      <w:r w:rsidRPr="005A5E7B">
        <w:rPr>
          <w:sz w:val="18"/>
          <w:szCs w:val="18"/>
          <w:rtl/>
        </w:rPr>
        <w:br/>
      </w:r>
      <w:r w:rsidRPr="005A5E7B">
        <w:rPr>
          <w:rFonts w:hint="cs"/>
          <w:sz w:val="18"/>
          <w:szCs w:val="18"/>
          <w:rtl/>
        </w:rPr>
        <w:t xml:space="preserve">ואמנם, בדה"ש עצמו מפקפק על חומרת החזו"א, שהרי דין זה שכיח מאוד ומדוע הפוסקים לא התייחסו לכך ולא כתבו להחמיר ולהמתין מהרחיצה עד הבדיקה? וכן הוכיח מדברי </w:t>
      </w:r>
      <w:r w:rsidRPr="005A5E7B">
        <w:rPr>
          <w:rFonts w:hint="cs"/>
          <w:b/>
          <w:bCs/>
          <w:sz w:val="18"/>
          <w:szCs w:val="18"/>
          <w:rtl/>
        </w:rPr>
        <w:t>החוו"ד</w:t>
      </w:r>
      <w:r w:rsidRPr="005A5E7B">
        <w:rPr>
          <w:rFonts w:hint="cs"/>
          <w:sz w:val="18"/>
          <w:szCs w:val="18"/>
          <w:rtl/>
        </w:rPr>
        <w:t xml:space="preserve"> שיכולה להפסיק בטהרה מייד לאחר הרחיצה. ועוד  הקשה על </w:t>
      </w:r>
      <w:r w:rsidRPr="005A5E7B">
        <w:rPr>
          <w:rFonts w:hint="cs"/>
          <w:b/>
          <w:bCs/>
          <w:sz w:val="18"/>
          <w:szCs w:val="18"/>
          <w:rtl/>
        </w:rPr>
        <w:t>החזו"א</w:t>
      </w:r>
      <w:r w:rsidRPr="005A5E7B">
        <w:rPr>
          <w:rFonts w:hint="cs"/>
          <w:sz w:val="18"/>
          <w:szCs w:val="18"/>
          <w:rtl/>
        </w:rPr>
        <w:t>, מה שיעור הזמן שצריכה להמתין בין הרחיצה לבדיקה?</w:t>
      </w:r>
      <w:r w:rsidRPr="005A5E7B">
        <w:rPr>
          <w:sz w:val="18"/>
          <w:szCs w:val="18"/>
          <w:rtl/>
        </w:rPr>
        <w:br/>
      </w:r>
      <w:r w:rsidRPr="005A5E7B">
        <w:rPr>
          <w:rFonts w:hint="cs"/>
          <w:sz w:val="18"/>
          <w:szCs w:val="18"/>
          <w:rtl/>
        </w:rPr>
        <w:t>אמנם, לענ"ד מה שהפוסקים לא כתבו דין זה אינו הוכחה, שמא היה פשוט להם שאין לרחוץ לפני הבדיקה, שהרי אם רוחצת בסמוך לבדיקה, הבדיקה היא כחוכא ואטלולא, וצ"ע.</w:t>
      </w:r>
    </w:p>
  </w:footnote>
  <w:footnote w:id="511">
    <w:p w:rsidR="005953C5" w:rsidRDefault="005953C5" w:rsidP="00620060">
      <w:pPr>
        <w:pStyle w:val="a3"/>
        <w:rPr>
          <w:rtl/>
        </w:rPr>
      </w:pPr>
      <w:r w:rsidRPr="00BA4C10">
        <w:rPr>
          <w:rStyle w:val="a5"/>
          <w:sz w:val="18"/>
          <w:szCs w:val="18"/>
        </w:rPr>
        <w:footnoteRef/>
      </w:r>
      <w:r w:rsidRPr="00BA4C10">
        <w:rPr>
          <w:sz w:val="18"/>
          <w:szCs w:val="18"/>
          <w:rtl/>
        </w:rPr>
        <w:t xml:space="preserve"> </w:t>
      </w:r>
      <w:r w:rsidRPr="00BA4C10">
        <w:rPr>
          <w:rFonts w:hint="cs"/>
          <w:sz w:val="18"/>
          <w:szCs w:val="18"/>
          <w:rtl/>
        </w:rPr>
        <w:t>אמנם, יש לעיין בטעם זה, משום שעשתה הפסק טהרה כדי לוודא שפסקה לראות! וכנראה צריך לומר שהפס"ט אינו מועיל לגמרי, ומטעם זה גם אין מקלים בכתמים בג' הימים הראשונים.</w:t>
      </w:r>
    </w:p>
  </w:footnote>
  <w:footnote w:id="512">
    <w:p w:rsidR="005953C5" w:rsidRDefault="005953C5" w:rsidP="00620060">
      <w:pPr>
        <w:pStyle w:val="a3"/>
      </w:pPr>
      <w:r w:rsidRPr="00CC283C">
        <w:rPr>
          <w:rStyle w:val="a5"/>
          <w:sz w:val="18"/>
          <w:szCs w:val="18"/>
        </w:rPr>
        <w:footnoteRef/>
      </w:r>
      <w:r w:rsidRPr="00CC283C">
        <w:rPr>
          <w:sz w:val="18"/>
          <w:szCs w:val="18"/>
          <w:rtl/>
        </w:rPr>
        <w:t xml:space="preserve"> </w:t>
      </w:r>
      <w:r w:rsidRPr="00CC283C">
        <w:rPr>
          <w:rFonts w:hint="cs"/>
          <w:sz w:val="18"/>
          <w:szCs w:val="18"/>
          <w:rtl/>
        </w:rPr>
        <w:t xml:space="preserve">ועל פי זה העלה להקל באשה שיש לה פצעים ומחמתם קשה לה להיטהר בז' נקיים </w:t>
      </w:r>
      <w:r w:rsidRPr="00CC283C">
        <w:rPr>
          <w:sz w:val="18"/>
          <w:szCs w:val="18"/>
          <w:rtl/>
        </w:rPr>
        <w:t>–</w:t>
      </w:r>
      <w:r w:rsidRPr="00CC283C">
        <w:rPr>
          <w:rFonts w:hint="cs"/>
          <w:sz w:val="18"/>
          <w:szCs w:val="18"/>
          <w:rtl/>
        </w:rPr>
        <w:t xml:space="preserve"> אין צריך שהתחתון יהיה לבן, אלא סגי בכך שהפד המונח צמוד לאותו מקום יהיה לבן ובכך תוכל לבדוק את צבע הדם. ומה שאין הפד מק"ט אינו כלום, שטעם לבישת הלבנים אינו כדי לטמא אותה.</w:t>
      </w:r>
    </w:p>
  </w:footnote>
  <w:footnote w:id="513">
    <w:p w:rsidR="005953C5" w:rsidRDefault="005953C5" w:rsidP="00620060">
      <w:pPr>
        <w:pStyle w:val="a3"/>
      </w:pPr>
      <w:r w:rsidRPr="00CF7AA0">
        <w:rPr>
          <w:rStyle w:val="a5"/>
          <w:sz w:val="18"/>
          <w:szCs w:val="18"/>
        </w:rPr>
        <w:footnoteRef/>
      </w:r>
      <w:r w:rsidRPr="00CF7AA0">
        <w:rPr>
          <w:sz w:val="18"/>
          <w:szCs w:val="18"/>
          <w:rtl/>
        </w:rPr>
        <w:t xml:space="preserve"> </w:t>
      </w:r>
      <w:r w:rsidRPr="00CF7AA0">
        <w:rPr>
          <w:rFonts w:hint="cs"/>
          <w:b/>
          <w:bCs/>
          <w:sz w:val="18"/>
          <w:szCs w:val="18"/>
          <w:rtl/>
        </w:rPr>
        <w:t>המעיל צדקה</w:t>
      </w:r>
      <w:r w:rsidRPr="00CF7AA0">
        <w:rPr>
          <w:rFonts w:hint="cs"/>
          <w:sz w:val="18"/>
          <w:szCs w:val="18"/>
          <w:rtl/>
        </w:rPr>
        <w:t xml:space="preserve"> כתב שני טעמים לדבריו - </w:t>
      </w:r>
      <w:r w:rsidRPr="00CF7AA0">
        <w:rPr>
          <w:sz w:val="18"/>
          <w:szCs w:val="18"/>
          <w:rtl/>
        </w:rPr>
        <w:br/>
      </w:r>
      <w:r w:rsidRPr="00CF7AA0">
        <w:rPr>
          <w:rFonts w:hint="cs"/>
          <w:sz w:val="18"/>
          <w:szCs w:val="18"/>
          <w:rtl/>
        </w:rPr>
        <w:t>א. אף שלא בעינן בדוקים, אבל  בעינן ספורים, וכל שלא החשיבתם כספורים לא מהני.</w:t>
      </w:r>
      <w:r w:rsidRPr="00CF7AA0">
        <w:rPr>
          <w:sz w:val="18"/>
          <w:szCs w:val="18"/>
          <w:rtl/>
        </w:rPr>
        <w:br/>
      </w:r>
      <w:r w:rsidRPr="00CF7AA0">
        <w:rPr>
          <w:rFonts w:hint="cs"/>
          <w:sz w:val="18"/>
          <w:szCs w:val="18"/>
          <w:rtl/>
        </w:rPr>
        <w:t>ב. דיל</w:t>
      </w:r>
      <w:r>
        <w:rPr>
          <w:rFonts w:hint="cs"/>
          <w:sz w:val="18"/>
          <w:szCs w:val="18"/>
          <w:rtl/>
        </w:rPr>
        <w:t>מא</w:t>
      </w:r>
      <w:r w:rsidRPr="00CF7AA0">
        <w:rPr>
          <w:rFonts w:hint="cs"/>
          <w:sz w:val="18"/>
          <w:szCs w:val="18"/>
          <w:rtl/>
        </w:rPr>
        <w:t xml:space="preserve"> ארגשה ולאו אדעתא.</w:t>
      </w:r>
    </w:p>
  </w:footnote>
  <w:footnote w:id="514">
    <w:p w:rsidR="005953C5" w:rsidRDefault="005953C5" w:rsidP="00620060">
      <w:pPr>
        <w:pStyle w:val="a3"/>
      </w:pPr>
      <w:r w:rsidRPr="00B7443F">
        <w:rPr>
          <w:rStyle w:val="a5"/>
          <w:sz w:val="18"/>
          <w:szCs w:val="18"/>
        </w:rPr>
        <w:footnoteRef/>
      </w:r>
      <w:r w:rsidRPr="00B7443F">
        <w:rPr>
          <w:sz w:val="18"/>
          <w:szCs w:val="18"/>
          <w:rtl/>
        </w:rPr>
        <w:t xml:space="preserve"> </w:t>
      </w:r>
      <w:r w:rsidRPr="00B7443F">
        <w:rPr>
          <w:rFonts w:hint="cs"/>
          <w:sz w:val="18"/>
          <w:szCs w:val="18"/>
          <w:rtl/>
        </w:rPr>
        <w:t xml:space="preserve">אחת הקושיות שמקשים על דברי </w:t>
      </w:r>
      <w:r w:rsidRPr="00B7443F">
        <w:rPr>
          <w:rFonts w:hint="cs"/>
          <w:b/>
          <w:bCs/>
          <w:sz w:val="18"/>
          <w:szCs w:val="18"/>
          <w:rtl/>
        </w:rPr>
        <w:t>המעיל צדקה</w:t>
      </w:r>
      <w:r w:rsidRPr="00B7443F">
        <w:rPr>
          <w:rFonts w:hint="cs"/>
          <w:sz w:val="18"/>
          <w:szCs w:val="18"/>
          <w:rtl/>
        </w:rPr>
        <w:t xml:space="preserve"> היא, מדין חרשת ושוטה שאחרות בודקות אותן, והרי חרשת ושוטה בוודאי מסיחות דעתן מהספירה. ואמנם, תירצו קושייה זו, שכיוון שאחרות בודקות אותן, הרי דעת האחרות כדעתן ובכך שאחרות אינן מסיחות דעתן סגי.</w:t>
      </w:r>
    </w:p>
  </w:footnote>
  <w:footnote w:id="515">
    <w:p w:rsidR="005953C5" w:rsidRDefault="005953C5" w:rsidP="00620060">
      <w:pPr>
        <w:pStyle w:val="a3"/>
        <w:rPr>
          <w:rtl/>
        </w:rPr>
      </w:pPr>
      <w:r w:rsidRPr="000B68B3">
        <w:rPr>
          <w:rStyle w:val="a5"/>
          <w:sz w:val="18"/>
          <w:szCs w:val="18"/>
        </w:rPr>
        <w:footnoteRef/>
      </w:r>
      <w:r w:rsidRPr="000B68B3">
        <w:rPr>
          <w:sz w:val="18"/>
          <w:szCs w:val="18"/>
          <w:rtl/>
        </w:rPr>
        <w:t xml:space="preserve"> </w:t>
      </w:r>
      <w:r w:rsidRPr="000B68B3">
        <w:rPr>
          <w:rFonts w:hint="cs"/>
          <w:sz w:val="18"/>
          <w:szCs w:val="18"/>
          <w:rtl/>
        </w:rPr>
        <w:t>מניין ל</w:t>
      </w:r>
      <w:r>
        <w:rPr>
          <w:rFonts w:hint="cs"/>
          <w:sz w:val="18"/>
          <w:szCs w:val="18"/>
          <w:rtl/>
        </w:rPr>
        <w:t>מד</w:t>
      </w:r>
      <w:r w:rsidRPr="000B68B3">
        <w:rPr>
          <w:rFonts w:hint="cs"/>
          <w:sz w:val="18"/>
          <w:szCs w:val="18"/>
          <w:rtl/>
        </w:rPr>
        <w:t>ו הראשונים שצריכה לבדוק עצמה בכל יום?</w:t>
      </w:r>
      <w:r w:rsidRPr="000B68B3">
        <w:rPr>
          <w:rFonts w:hint="cs"/>
          <w:sz w:val="18"/>
          <w:szCs w:val="18"/>
          <w:rtl/>
        </w:rPr>
        <w:br/>
        <w:t xml:space="preserve">אולי למדו זאת מלשון המשנה </w:t>
      </w:r>
      <w:r w:rsidRPr="000B68B3">
        <w:rPr>
          <w:rFonts w:hint="cs"/>
          <w:sz w:val="16"/>
          <w:szCs w:val="16"/>
          <w:rtl/>
        </w:rPr>
        <w:t xml:space="preserve">(בסמוך היא תבואר באריכות) </w:t>
      </w:r>
      <w:r w:rsidRPr="000B68B3">
        <w:rPr>
          <w:rFonts w:hint="cs"/>
          <w:sz w:val="18"/>
          <w:szCs w:val="18"/>
          <w:rtl/>
        </w:rPr>
        <w:t>"</w:t>
      </w:r>
      <w:r w:rsidRPr="000B68B3">
        <w:rPr>
          <w:rFonts w:cs="Arial"/>
          <w:sz w:val="18"/>
          <w:szCs w:val="18"/>
          <w:rtl/>
        </w:rPr>
        <w:t>הזב והזבה שבדקו עצמן ביום ראשון ומצאו טהור</w:t>
      </w:r>
      <w:r w:rsidRPr="000B68B3">
        <w:rPr>
          <w:rFonts w:cs="Arial" w:hint="cs"/>
          <w:sz w:val="18"/>
          <w:szCs w:val="18"/>
          <w:rtl/>
        </w:rPr>
        <w:t>..." ומכך שהמשנה מנוסחת בלשון דיעבד, משמע שלכתחילה אין להסתפק בבדיקות אלו בלבד.</w:t>
      </w:r>
      <w:r>
        <w:rPr>
          <w:rtl/>
        </w:rPr>
        <w:br/>
      </w:r>
      <w:r w:rsidRPr="00814C0A">
        <w:rPr>
          <w:rFonts w:hint="cs"/>
          <w:sz w:val="18"/>
          <w:szCs w:val="18"/>
          <w:rtl/>
        </w:rPr>
        <w:t>ובכל אופן, משמע שהפסק הטהרה אינו מ</w:t>
      </w:r>
      <w:r>
        <w:rPr>
          <w:rFonts w:hint="cs"/>
          <w:sz w:val="18"/>
          <w:szCs w:val="18"/>
          <w:rtl/>
        </w:rPr>
        <w:t>וודא ש</w:t>
      </w:r>
      <w:r w:rsidRPr="00814C0A">
        <w:rPr>
          <w:rFonts w:hint="cs"/>
          <w:sz w:val="18"/>
          <w:szCs w:val="18"/>
          <w:rtl/>
        </w:rPr>
        <w:t>פסק מעיינה, ולכן הראשונים כתבו שצריכה לבדוק את עצמה.</w:t>
      </w:r>
    </w:p>
  </w:footnote>
  <w:footnote w:id="516">
    <w:p w:rsidR="005953C5" w:rsidRDefault="005953C5" w:rsidP="00620060">
      <w:pPr>
        <w:pStyle w:val="a3"/>
        <w:rPr>
          <w:rtl/>
        </w:rPr>
      </w:pPr>
      <w:r w:rsidRPr="000E5CAE">
        <w:rPr>
          <w:rStyle w:val="a5"/>
          <w:sz w:val="18"/>
          <w:szCs w:val="18"/>
        </w:rPr>
        <w:footnoteRef/>
      </w:r>
      <w:r w:rsidRPr="000E5CAE">
        <w:rPr>
          <w:sz w:val="18"/>
          <w:szCs w:val="18"/>
          <w:rtl/>
        </w:rPr>
        <w:t xml:space="preserve"> </w:t>
      </w:r>
      <w:r w:rsidRPr="000E5CAE">
        <w:rPr>
          <w:rFonts w:hint="cs"/>
          <w:sz w:val="18"/>
          <w:szCs w:val="18"/>
          <w:rtl/>
        </w:rPr>
        <w:t xml:space="preserve">האחרונים נחלקו בהבנת דברי </w:t>
      </w:r>
      <w:r w:rsidRPr="000E5CAE">
        <w:rPr>
          <w:rFonts w:hint="cs"/>
          <w:b/>
          <w:bCs/>
          <w:sz w:val="18"/>
          <w:szCs w:val="18"/>
          <w:rtl/>
        </w:rPr>
        <w:t>הבית יוסף</w:t>
      </w:r>
      <w:r w:rsidRPr="000E5CAE">
        <w:rPr>
          <w:rFonts w:hint="cs"/>
          <w:sz w:val="18"/>
          <w:szCs w:val="18"/>
          <w:rtl/>
        </w:rPr>
        <w:t>. יש שלמדו שכוונתו כפשוטו, דהיינו שחובת הבדיקה בז' נקיים היא דאורייתא</w:t>
      </w:r>
      <w:r>
        <w:rPr>
          <w:rFonts w:hint="cs"/>
          <w:sz w:val="18"/>
          <w:szCs w:val="18"/>
          <w:rtl/>
        </w:rPr>
        <w:t>, וכן הבין רעק"א</w:t>
      </w:r>
      <w:r w:rsidRPr="000E5CAE">
        <w:rPr>
          <w:rFonts w:hint="cs"/>
          <w:sz w:val="18"/>
          <w:szCs w:val="18"/>
          <w:rtl/>
        </w:rPr>
        <w:t xml:space="preserve">. לעומת זאת, יש </w:t>
      </w:r>
      <w:r>
        <w:rPr>
          <w:rFonts w:hint="cs"/>
          <w:sz w:val="18"/>
          <w:szCs w:val="18"/>
          <w:rtl/>
        </w:rPr>
        <w:t>ש</w:t>
      </w:r>
      <w:r w:rsidRPr="000E5CAE">
        <w:rPr>
          <w:rFonts w:hint="cs"/>
          <w:sz w:val="18"/>
          <w:szCs w:val="18"/>
          <w:rtl/>
        </w:rPr>
        <w:t>כתבו שבוודאי חובת הבדיקה אינה דאורייתא אלא דרבנן בלבד</w:t>
      </w:r>
      <w:r>
        <w:rPr>
          <w:rFonts w:hint="cs"/>
          <w:sz w:val="18"/>
          <w:szCs w:val="18"/>
          <w:rtl/>
        </w:rPr>
        <w:t>, שהרי לאחר שעשתה הפסק טהרה כדין עומדת היא כעת בחזקת טהרה. ואעפ"כ</w:t>
      </w:r>
      <w:r w:rsidRPr="000E5CAE">
        <w:rPr>
          <w:rFonts w:hint="cs"/>
          <w:sz w:val="18"/>
          <w:szCs w:val="18"/>
          <w:rtl/>
        </w:rPr>
        <w:t xml:space="preserve"> הב"י כתב להחמיר משום ששורש האיסור, </w:t>
      </w:r>
      <w:r>
        <w:rPr>
          <w:rFonts w:hint="cs"/>
          <w:sz w:val="18"/>
          <w:szCs w:val="18"/>
          <w:rtl/>
        </w:rPr>
        <w:t xml:space="preserve">כלומר איסור נידה, הוא מדאורייתא, ועיין באריכות </w:t>
      </w:r>
      <w:r w:rsidRPr="00CA42A3">
        <w:rPr>
          <w:rFonts w:hint="cs"/>
          <w:b/>
          <w:bCs/>
          <w:sz w:val="18"/>
          <w:szCs w:val="18"/>
          <w:rtl/>
        </w:rPr>
        <w:t>בטהרת הבית</w:t>
      </w:r>
      <w:r>
        <w:rPr>
          <w:rFonts w:hint="cs"/>
          <w:sz w:val="18"/>
          <w:szCs w:val="18"/>
          <w:rtl/>
        </w:rPr>
        <w:t xml:space="preserve"> </w:t>
      </w:r>
      <w:r w:rsidRPr="00324967">
        <w:rPr>
          <w:rFonts w:hint="cs"/>
          <w:sz w:val="16"/>
          <w:szCs w:val="16"/>
          <w:rtl/>
        </w:rPr>
        <w:t xml:space="preserve">(עמ' שכג והלאה </w:t>
      </w:r>
      <w:r w:rsidRPr="00CA42A3">
        <w:rPr>
          <w:rFonts w:hint="cs"/>
          <w:b/>
          <w:bCs/>
          <w:sz w:val="16"/>
          <w:szCs w:val="16"/>
          <w:rtl/>
        </w:rPr>
        <w:t>במשמרת הטהרה</w:t>
      </w:r>
      <w:r w:rsidRPr="00324967">
        <w:rPr>
          <w:rFonts w:hint="cs"/>
          <w:sz w:val="16"/>
          <w:szCs w:val="16"/>
          <w:rtl/>
        </w:rPr>
        <w:t>)</w:t>
      </w:r>
      <w:r w:rsidRPr="00324967">
        <w:rPr>
          <w:rFonts w:hint="cs"/>
          <w:sz w:val="18"/>
          <w:szCs w:val="18"/>
          <w:rtl/>
        </w:rPr>
        <w:t>.</w:t>
      </w:r>
    </w:p>
  </w:footnote>
  <w:footnote w:id="517">
    <w:p w:rsidR="005953C5" w:rsidRDefault="005953C5" w:rsidP="00620060">
      <w:pPr>
        <w:pStyle w:val="a3"/>
        <w:rPr>
          <w:rtl/>
        </w:rPr>
      </w:pPr>
      <w:r w:rsidRPr="004C39A9">
        <w:rPr>
          <w:rStyle w:val="a5"/>
          <w:sz w:val="18"/>
          <w:szCs w:val="18"/>
        </w:rPr>
        <w:footnoteRef/>
      </w:r>
      <w:r w:rsidRPr="004C39A9">
        <w:rPr>
          <w:sz w:val="18"/>
          <w:szCs w:val="18"/>
          <w:rtl/>
        </w:rPr>
        <w:t xml:space="preserve"> </w:t>
      </w:r>
      <w:r w:rsidRPr="004C39A9">
        <w:rPr>
          <w:rFonts w:hint="cs"/>
          <w:b/>
          <w:bCs/>
          <w:sz w:val="18"/>
          <w:szCs w:val="18"/>
          <w:rtl/>
        </w:rPr>
        <w:t>והרב גדעון</w:t>
      </w:r>
      <w:r w:rsidRPr="004C39A9">
        <w:rPr>
          <w:rFonts w:hint="cs"/>
          <w:sz w:val="18"/>
          <w:szCs w:val="18"/>
          <w:rtl/>
        </w:rPr>
        <w:t xml:space="preserve"> כתב, שאם בדקה עצמה ביום הראשון והשביעי, ובאחד מימים אלו בדקה עצמה רק בלילה, יש לומר שבדיעבד יכולה לטבול, הואיל ויש פוסקים שהקלו אף בבדיקה אחת בלבד.</w:t>
      </w:r>
    </w:p>
  </w:footnote>
  <w:footnote w:id="518">
    <w:p w:rsidR="005953C5" w:rsidRDefault="005953C5" w:rsidP="00620060">
      <w:pPr>
        <w:pStyle w:val="a3"/>
      </w:pPr>
      <w:r w:rsidRPr="00C234DF">
        <w:rPr>
          <w:rStyle w:val="a5"/>
          <w:sz w:val="18"/>
          <w:szCs w:val="18"/>
        </w:rPr>
        <w:footnoteRef/>
      </w:r>
      <w:r w:rsidRPr="00C234DF">
        <w:rPr>
          <w:sz w:val="18"/>
          <w:szCs w:val="18"/>
          <w:rtl/>
        </w:rPr>
        <w:t xml:space="preserve"> </w:t>
      </w:r>
      <w:r w:rsidRPr="00C234DF">
        <w:rPr>
          <w:rFonts w:hint="cs"/>
          <w:sz w:val="18"/>
          <w:szCs w:val="18"/>
          <w:rtl/>
        </w:rPr>
        <w:t xml:space="preserve">וזו לשון </w:t>
      </w:r>
      <w:r w:rsidRPr="00C234DF">
        <w:rPr>
          <w:rFonts w:hint="cs"/>
          <w:b/>
          <w:bCs/>
          <w:sz w:val="18"/>
          <w:szCs w:val="18"/>
          <w:rtl/>
        </w:rPr>
        <w:t>ערוך השולחן</w:t>
      </w:r>
      <w:r w:rsidRPr="00C234DF">
        <w:rPr>
          <w:rFonts w:hint="cs"/>
          <w:sz w:val="18"/>
          <w:szCs w:val="18"/>
          <w:rtl/>
        </w:rPr>
        <w:t xml:space="preserve"> בדין זה </w:t>
      </w:r>
      <w:r w:rsidRPr="00C234DF">
        <w:rPr>
          <w:sz w:val="18"/>
          <w:szCs w:val="18"/>
          <w:rtl/>
        </w:rPr>
        <w:t>–</w:t>
      </w:r>
      <w:r w:rsidRPr="00C234DF">
        <w:rPr>
          <w:rFonts w:hint="cs"/>
          <w:sz w:val="18"/>
          <w:szCs w:val="18"/>
          <w:rtl/>
        </w:rPr>
        <w:t xml:space="preserve"> "</w:t>
      </w:r>
      <w:r w:rsidRPr="00C234DF">
        <w:rPr>
          <w:rFonts w:cs="Arial"/>
          <w:sz w:val="18"/>
          <w:szCs w:val="18"/>
          <w:rtl/>
        </w:rPr>
        <w:t xml:space="preserve">ולכן </w:t>
      </w:r>
      <w:r w:rsidRPr="00C234DF">
        <w:rPr>
          <w:rFonts w:cs="Arial" w:hint="cs"/>
          <w:sz w:val="18"/>
          <w:szCs w:val="18"/>
          <w:rtl/>
        </w:rPr>
        <w:t>נראה לעניות דעתי</w:t>
      </w:r>
      <w:r w:rsidRPr="00C234DF">
        <w:rPr>
          <w:rFonts w:cs="Arial"/>
          <w:sz w:val="18"/>
          <w:szCs w:val="18"/>
          <w:rtl/>
        </w:rPr>
        <w:t xml:space="preserve"> דוודאי חלילה לנו לסור מדברי רבינו הב</w:t>
      </w:r>
      <w:r w:rsidRPr="00C234DF">
        <w:rPr>
          <w:rFonts w:cs="Arial" w:hint="cs"/>
          <w:sz w:val="18"/>
          <w:szCs w:val="18"/>
          <w:rtl/>
        </w:rPr>
        <w:t>ית יוסף</w:t>
      </w:r>
      <w:r w:rsidRPr="00C234DF">
        <w:rPr>
          <w:rFonts w:cs="Arial"/>
          <w:sz w:val="18"/>
          <w:szCs w:val="18"/>
          <w:rtl/>
        </w:rPr>
        <w:t xml:space="preserve"> שכתב דאין להקל</w:t>
      </w:r>
      <w:r w:rsidRPr="00C234DF">
        <w:rPr>
          <w:rFonts w:cs="Arial" w:hint="cs"/>
          <w:sz w:val="18"/>
          <w:szCs w:val="18"/>
          <w:rtl/>
        </w:rPr>
        <w:t>,</w:t>
      </w:r>
      <w:r w:rsidRPr="00C234DF">
        <w:rPr>
          <w:rFonts w:cs="Arial"/>
          <w:sz w:val="18"/>
          <w:szCs w:val="18"/>
          <w:rtl/>
        </w:rPr>
        <w:t xml:space="preserve"> ואדרבא רוב נשים בודקות בכל יום פעמיים</w:t>
      </w:r>
      <w:r w:rsidRPr="00C234DF">
        <w:rPr>
          <w:rFonts w:cs="Arial" w:hint="cs"/>
          <w:sz w:val="18"/>
          <w:szCs w:val="18"/>
          <w:rtl/>
        </w:rPr>
        <w:t>.</w:t>
      </w:r>
      <w:r w:rsidRPr="00C234DF">
        <w:rPr>
          <w:rFonts w:cs="Arial"/>
          <w:sz w:val="18"/>
          <w:szCs w:val="18"/>
          <w:rtl/>
        </w:rPr>
        <w:t xml:space="preserve"> האמנם בזמננו יש הרבה נשים שמוכות ולוקות בחדרי בטנן במכות ופצעים תוך הרחם באופן שהבדיקה קשתה להן מאד ותולין הבדיקות שאינן טהורות בהמכות והפצעים ובדוחק גדול מוצאות בדיקות נקיות לכן מורין להן כעיקר הדין שיהיה לה בדיקה טהורה ביום הפסק טהרתה ובדיקה אחת בכל הז' ימים וכן מורין הלכה למעשה אבל בלא שום בדיקה כלל חלילה להקל וכן מבואר מדברי גדולי אחרונים</w:t>
      </w:r>
      <w:r w:rsidRPr="00C234DF">
        <w:rPr>
          <w:rFonts w:cs="Arial" w:hint="cs"/>
          <w:sz w:val="18"/>
          <w:szCs w:val="18"/>
          <w:rtl/>
        </w:rPr>
        <w:t>".</w:t>
      </w:r>
    </w:p>
  </w:footnote>
  <w:footnote w:id="519">
    <w:p w:rsidR="005953C5" w:rsidRDefault="005953C5" w:rsidP="00620060">
      <w:pPr>
        <w:pStyle w:val="a3"/>
        <w:rPr>
          <w:rtl/>
        </w:rPr>
      </w:pPr>
      <w:r w:rsidRPr="00E04082">
        <w:rPr>
          <w:rStyle w:val="a5"/>
          <w:sz w:val="18"/>
          <w:szCs w:val="18"/>
        </w:rPr>
        <w:footnoteRef/>
      </w:r>
      <w:r w:rsidRPr="00E04082">
        <w:rPr>
          <w:sz w:val="18"/>
          <w:szCs w:val="18"/>
          <w:rtl/>
        </w:rPr>
        <w:t xml:space="preserve"> </w:t>
      </w:r>
      <w:r w:rsidRPr="00E04082">
        <w:rPr>
          <w:rFonts w:hint="cs"/>
          <w:sz w:val="18"/>
          <w:szCs w:val="18"/>
          <w:rtl/>
        </w:rPr>
        <w:t xml:space="preserve">הסבר </w:t>
      </w:r>
      <w:r w:rsidRPr="00E04082">
        <w:rPr>
          <w:sz w:val="18"/>
          <w:szCs w:val="18"/>
          <w:rtl/>
        </w:rPr>
        <w:t>–</w:t>
      </w:r>
      <w:r w:rsidRPr="00E04082">
        <w:rPr>
          <w:rFonts w:hint="cs"/>
          <w:sz w:val="18"/>
          <w:szCs w:val="18"/>
          <w:rtl/>
        </w:rPr>
        <w:t xml:space="preserve"> </w:t>
      </w:r>
      <w:r w:rsidRPr="00E04082">
        <w:rPr>
          <w:rFonts w:hint="cs"/>
          <w:b/>
          <w:bCs/>
          <w:sz w:val="18"/>
          <w:szCs w:val="18"/>
          <w:rtl/>
        </w:rPr>
        <w:t>תוספות</w:t>
      </w:r>
      <w:r w:rsidRPr="00E04082">
        <w:rPr>
          <w:rFonts w:hint="cs"/>
          <w:sz w:val="18"/>
          <w:szCs w:val="18"/>
          <w:rtl/>
        </w:rPr>
        <w:t xml:space="preserve"> </w:t>
      </w:r>
      <w:r w:rsidRPr="00E04082">
        <w:rPr>
          <w:rFonts w:hint="cs"/>
          <w:sz w:val="16"/>
          <w:szCs w:val="16"/>
          <w:rtl/>
        </w:rPr>
        <w:t xml:space="preserve">(סט. ד"ה שבעה) </w:t>
      </w:r>
      <w:r w:rsidRPr="00E04082">
        <w:rPr>
          <w:rFonts w:hint="cs"/>
          <w:sz w:val="18"/>
          <w:szCs w:val="18"/>
          <w:rtl/>
        </w:rPr>
        <w:t xml:space="preserve">כתבו שבדיקה </w:t>
      </w:r>
      <w:r>
        <w:rPr>
          <w:rFonts w:hint="cs"/>
          <w:sz w:val="18"/>
          <w:szCs w:val="18"/>
          <w:rtl/>
        </w:rPr>
        <w:t xml:space="preserve">היא </w:t>
      </w:r>
      <w:r w:rsidRPr="00E04082">
        <w:rPr>
          <w:rFonts w:hint="cs"/>
          <w:sz w:val="18"/>
          <w:szCs w:val="18"/>
          <w:rtl/>
        </w:rPr>
        <w:t xml:space="preserve">משום ספירה ואין ספירה בלילה. </w:t>
      </w:r>
      <w:r>
        <w:rPr>
          <w:sz w:val="18"/>
          <w:szCs w:val="18"/>
          <w:rtl/>
        </w:rPr>
        <w:br/>
      </w:r>
      <w:r w:rsidRPr="00E04082">
        <w:rPr>
          <w:rFonts w:hint="cs"/>
          <w:sz w:val="18"/>
          <w:szCs w:val="18"/>
          <w:rtl/>
        </w:rPr>
        <w:t xml:space="preserve">ברם, </w:t>
      </w:r>
      <w:r w:rsidRPr="00E04082">
        <w:rPr>
          <w:rFonts w:hint="cs"/>
          <w:b/>
          <w:bCs/>
          <w:sz w:val="18"/>
          <w:szCs w:val="18"/>
          <w:rtl/>
        </w:rPr>
        <w:t>הרשב"א</w:t>
      </w:r>
      <w:r w:rsidRPr="00E04082">
        <w:rPr>
          <w:rFonts w:hint="cs"/>
          <w:sz w:val="18"/>
          <w:szCs w:val="18"/>
          <w:rtl/>
        </w:rPr>
        <w:t xml:space="preserve"> חולק וסובר שבדיקה בלילה מהני, ולטעמיה אזיל שסגי בסופן אע"פ שאין תחילתן, מוכח שהבדיקות אינן משום ספירה, אלא ימים מוחזקים בטהרה בעינן.</w:t>
      </w:r>
      <w:r>
        <w:rPr>
          <w:rFonts w:hint="cs"/>
          <w:sz w:val="18"/>
          <w:szCs w:val="18"/>
          <w:rtl/>
        </w:rPr>
        <w:t xml:space="preserve"> </w:t>
      </w:r>
      <w:r>
        <w:rPr>
          <w:b/>
          <w:bCs/>
          <w:sz w:val="18"/>
          <w:szCs w:val="18"/>
          <w:rtl/>
        </w:rPr>
        <w:br/>
      </w:r>
      <w:r w:rsidRPr="00E04082">
        <w:rPr>
          <w:rFonts w:hint="cs"/>
          <w:b/>
          <w:bCs/>
          <w:sz w:val="18"/>
          <w:szCs w:val="18"/>
          <w:rtl/>
        </w:rPr>
        <w:t>הסד"ט</w:t>
      </w:r>
      <w:r>
        <w:rPr>
          <w:rFonts w:hint="cs"/>
          <w:sz w:val="18"/>
          <w:szCs w:val="18"/>
          <w:rtl/>
        </w:rPr>
        <w:t xml:space="preserve"> פוסק כתוספות, אך </w:t>
      </w:r>
      <w:r w:rsidRPr="00E04082">
        <w:rPr>
          <w:rFonts w:hint="cs"/>
          <w:b/>
          <w:bCs/>
          <w:sz w:val="18"/>
          <w:szCs w:val="18"/>
          <w:rtl/>
        </w:rPr>
        <w:t>טה"ב</w:t>
      </w:r>
      <w:r>
        <w:rPr>
          <w:rFonts w:hint="cs"/>
          <w:sz w:val="18"/>
          <w:szCs w:val="18"/>
          <w:rtl/>
        </w:rPr>
        <w:t xml:space="preserve"> מביא אחרונים רבים המקלים בבדיקה הנעשית בלילה ע"י מוך דחוק.</w:t>
      </w:r>
      <w:r>
        <w:rPr>
          <w:rtl/>
        </w:rPr>
        <w:br/>
      </w:r>
      <w:r w:rsidRPr="006563B5">
        <w:rPr>
          <w:rFonts w:hint="cs"/>
          <w:sz w:val="18"/>
          <w:szCs w:val="18"/>
          <w:rtl/>
        </w:rPr>
        <w:t xml:space="preserve">ואמנם, גם </w:t>
      </w:r>
      <w:r w:rsidRPr="006563B5">
        <w:rPr>
          <w:rFonts w:hint="cs"/>
          <w:b/>
          <w:bCs/>
          <w:sz w:val="18"/>
          <w:szCs w:val="18"/>
          <w:rtl/>
        </w:rPr>
        <w:t>הסד"ט</w:t>
      </w:r>
      <w:r w:rsidRPr="006563B5">
        <w:rPr>
          <w:rFonts w:hint="cs"/>
          <w:sz w:val="18"/>
          <w:szCs w:val="18"/>
          <w:rtl/>
        </w:rPr>
        <w:t xml:space="preserve"> סובר שבאופנים בהם הקלו להתיר אשה ע"י בדיקה אחת, הוא הדין שיש להקל אף אם נעשתה בלילה, והטעם מבואר, שהרי בכה"ג אין צריך ספורים לפנינו.</w:t>
      </w:r>
    </w:p>
  </w:footnote>
  <w:footnote w:id="520">
    <w:p w:rsidR="005953C5" w:rsidRDefault="005953C5" w:rsidP="00620060">
      <w:pPr>
        <w:pStyle w:val="a3"/>
        <w:rPr>
          <w:rtl/>
        </w:rPr>
      </w:pPr>
      <w:r w:rsidRPr="00BA7739">
        <w:rPr>
          <w:rStyle w:val="a5"/>
          <w:sz w:val="18"/>
          <w:szCs w:val="18"/>
        </w:rPr>
        <w:footnoteRef/>
      </w:r>
      <w:r w:rsidRPr="00BA7739">
        <w:rPr>
          <w:sz w:val="18"/>
          <w:szCs w:val="18"/>
          <w:rtl/>
        </w:rPr>
        <w:t xml:space="preserve"> </w:t>
      </w:r>
      <w:r w:rsidRPr="00BA7739">
        <w:rPr>
          <w:rFonts w:hint="cs"/>
          <w:sz w:val="18"/>
          <w:szCs w:val="18"/>
          <w:rtl/>
        </w:rPr>
        <w:t xml:space="preserve">אמנם, </w:t>
      </w:r>
      <w:r w:rsidRPr="00BA7739">
        <w:rPr>
          <w:rFonts w:hint="cs"/>
          <w:b/>
          <w:bCs/>
          <w:sz w:val="18"/>
          <w:szCs w:val="18"/>
          <w:rtl/>
        </w:rPr>
        <w:t>טה"ב</w:t>
      </w:r>
      <w:r w:rsidRPr="00BA7739">
        <w:rPr>
          <w:rFonts w:hint="cs"/>
          <w:sz w:val="18"/>
          <w:szCs w:val="18"/>
          <w:rtl/>
        </w:rPr>
        <w:t xml:space="preserve"> מביא את דעת </w:t>
      </w:r>
      <w:r w:rsidRPr="00BA7739">
        <w:rPr>
          <w:rFonts w:hint="cs"/>
          <w:b/>
          <w:bCs/>
          <w:sz w:val="18"/>
          <w:szCs w:val="18"/>
          <w:rtl/>
        </w:rPr>
        <w:t>המשנה למלך</w:t>
      </w:r>
      <w:r w:rsidRPr="00BA7739">
        <w:rPr>
          <w:rFonts w:hint="cs"/>
          <w:sz w:val="18"/>
          <w:szCs w:val="18"/>
          <w:rtl/>
        </w:rPr>
        <w:t xml:space="preserve"> הסובר שבספק במעשה האם נעשה אין אומרים ספק דרבנן לקולא, אלא רק כאשר ידוע שהמעשה נעשה אך אין ידוע אם נעשה כדין. מכל מקום יש חולקים על סברתו, וכן </w:t>
      </w:r>
      <w:r w:rsidRPr="00BA7739">
        <w:rPr>
          <w:rFonts w:hint="cs"/>
          <w:b/>
          <w:bCs/>
          <w:sz w:val="18"/>
          <w:szCs w:val="18"/>
          <w:rtl/>
        </w:rPr>
        <w:t>הט"ז</w:t>
      </w:r>
      <w:r w:rsidRPr="00BA7739">
        <w:rPr>
          <w:rFonts w:hint="cs"/>
          <w:sz w:val="18"/>
          <w:szCs w:val="18"/>
          <w:rtl/>
        </w:rPr>
        <w:t xml:space="preserve"> בהלכות מליחה כתב להדיא שאם אשה רגילה תמיד למלוח את הבשר וכעת מסופקת אם מ</w:t>
      </w:r>
      <w:r>
        <w:rPr>
          <w:rFonts w:hint="cs"/>
          <w:sz w:val="18"/>
          <w:szCs w:val="18"/>
          <w:rtl/>
        </w:rPr>
        <w:t>לח</w:t>
      </w:r>
      <w:r w:rsidRPr="00BA7739">
        <w:rPr>
          <w:rFonts w:hint="cs"/>
          <w:sz w:val="18"/>
          <w:szCs w:val="18"/>
          <w:rtl/>
        </w:rPr>
        <w:t xml:space="preserve">ה, מקלים ואומרים שמלחה. הרי </w:t>
      </w:r>
      <w:r w:rsidRPr="00BA7739">
        <w:rPr>
          <w:rFonts w:hint="cs"/>
          <w:b/>
          <w:bCs/>
          <w:sz w:val="18"/>
          <w:szCs w:val="18"/>
          <w:rtl/>
        </w:rPr>
        <w:t>שהט"ז</w:t>
      </w:r>
      <w:r w:rsidRPr="00BA7739">
        <w:rPr>
          <w:rFonts w:hint="cs"/>
          <w:sz w:val="18"/>
          <w:szCs w:val="18"/>
          <w:rtl/>
        </w:rPr>
        <w:t xml:space="preserve"> חולק על סברת </w:t>
      </w:r>
      <w:r w:rsidRPr="00BA7739">
        <w:rPr>
          <w:rFonts w:hint="cs"/>
          <w:b/>
          <w:bCs/>
          <w:sz w:val="18"/>
          <w:szCs w:val="18"/>
          <w:rtl/>
        </w:rPr>
        <w:t>המשנה למלך</w:t>
      </w:r>
      <w:r w:rsidRPr="00BA7739">
        <w:rPr>
          <w:rFonts w:hint="cs"/>
          <w:sz w:val="18"/>
          <w:szCs w:val="18"/>
          <w:rtl/>
        </w:rPr>
        <w:t xml:space="preserve"> וסובר שאף בספק האם מעשה נעשה אומרים ספק דרבנן לקולא.</w:t>
      </w:r>
    </w:p>
  </w:footnote>
  <w:footnote w:id="521">
    <w:p w:rsidR="005953C5" w:rsidRDefault="005953C5" w:rsidP="00620060">
      <w:pPr>
        <w:pStyle w:val="a3"/>
      </w:pPr>
      <w:r w:rsidRPr="00CE2290">
        <w:rPr>
          <w:rStyle w:val="a5"/>
          <w:sz w:val="18"/>
          <w:szCs w:val="18"/>
        </w:rPr>
        <w:footnoteRef/>
      </w:r>
      <w:r w:rsidRPr="00CE2290">
        <w:rPr>
          <w:sz w:val="18"/>
          <w:szCs w:val="18"/>
          <w:rtl/>
        </w:rPr>
        <w:t xml:space="preserve"> </w:t>
      </w:r>
      <w:r w:rsidRPr="00CE2290">
        <w:rPr>
          <w:rFonts w:hint="cs"/>
          <w:sz w:val="18"/>
          <w:szCs w:val="18"/>
          <w:rtl/>
        </w:rPr>
        <w:t xml:space="preserve">ומטעם זה, כנראה, פסק </w:t>
      </w:r>
      <w:r w:rsidRPr="00CE2290">
        <w:rPr>
          <w:rFonts w:hint="cs"/>
          <w:b/>
          <w:bCs/>
          <w:sz w:val="18"/>
          <w:szCs w:val="18"/>
          <w:rtl/>
        </w:rPr>
        <w:t>הקיצור שולחן ערוך</w:t>
      </w:r>
      <w:r w:rsidRPr="00CE2290">
        <w:rPr>
          <w:rFonts w:hint="cs"/>
          <w:sz w:val="18"/>
          <w:szCs w:val="18"/>
          <w:rtl/>
        </w:rPr>
        <w:t xml:space="preserve"> שאין לאשה להתרחץ ביום הווסת, שמא מחמת הרחצה לא תראה טיפת דם שיצאה ממנה. אמנם, גם חומרה זו דוחה </w:t>
      </w:r>
      <w:r w:rsidRPr="00F17F3E">
        <w:rPr>
          <w:rFonts w:hint="cs"/>
          <w:b/>
          <w:bCs/>
          <w:sz w:val="18"/>
          <w:szCs w:val="18"/>
          <w:rtl/>
        </w:rPr>
        <w:t>טה"ב</w:t>
      </w:r>
      <w:r w:rsidRPr="00CE2290">
        <w:rPr>
          <w:rFonts w:hint="cs"/>
          <w:sz w:val="18"/>
          <w:szCs w:val="18"/>
          <w:rtl/>
        </w:rPr>
        <w:t xml:space="preserve"> וכותב שאין לה מקור.</w:t>
      </w:r>
    </w:p>
  </w:footnote>
  <w:footnote w:id="522">
    <w:p w:rsidR="005953C5" w:rsidRDefault="005953C5" w:rsidP="00620060">
      <w:pPr>
        <w:pStyle w:val="a3"/>
      </w:pPr>
      <w:r w:rsidRPr="004E2985">
        <w:rPr>
          <w:rStyle w:val="a5"/>
          <w:sz w:val="18"/>
          <w:szCs w:val="18"/>
        </w:rPr>
        <w:footnoteRef/>
      </w:r>
      <w:r w:rsidRPr="004E2985">
        <w:rPr>
          <w:sz w:val="18"/>
          <w:szCs w:val="18"/>
          <w:rtl/>
        </w:rPr>
        <w:t xml:space="preserve"> </w:t>
      </w:r>
      <w:r w:rsidRPr="004E2985">
        <w:rPr>
          <w:rFonts w:hint="cs"/>
          <w:b/>
          <w:bCs/>
          <w:sz w:val="18"/>
          <w:szCs w:val="18"/>
          <w:rtl/>
        </w:rPr>
        <w:t>הרב גדעון</w:t>
      </w:r>
      <w:r w:rsidRPr="004E2985">
        <w:rPr>
          <w:rFonts w:hint="cs"/>
          <w:sz w:val="18"/>
          <w:szCs w:val="18"/>
          <w:rtl/>
        </w:rPr>
        <w:t xml:space="preserve"> כתב בשם </w:t>
      </w:r>
      <w:r w:rsidRPr="004E2985">
        <w:rPr>
          <w:rFonts w:hint="cs"/>
          <w:b/>
          <w:bCs/>
          <w:sz w:val="18"/>
          <w:szCs w:val="18"/>
          <w:rtl/>
        </w:rPr>
        <w:t>בדה"ש</w:t>
      </w:r>
      <w:r w:rsidRPr="004E2985">
        <w:rPr>
          <w:rFonts w:hint="cs"/>
          <w:sz w:val="18"/>
          <w:szCs w:val="18"/>
          <w:rtl/>
        </w:rPr>
        <w:t xml:space="preserve"> שיש לחלק בין בדיקת הפס"ט לבדיקת ז' נקיים </w:t>
      </w:r>
      <w:r w:rsidRPr="004E2985">
        <w:rPr>
          <w:sz w:val="18"/>
          <w:szCs w:val="18"/>
          <w:rtl/>
        </w:rPr>
        <w:t>–</w:t>
      </w:r>
      <w:r w:rsidRPr="004E2985">
        <w:rPr>
          <w:rFonts w:hint="cs"/>
          <w:sz w:val="18"/>
          <w:szCs w:val="18"/>
          <w:rtl/>
        </w:rPr>
        <w:t xml:space="preserve"> בהפס"ט הבדיקה בודקת שפסק מעיינה, ולכן יש לומר שאם שטפה עצמה בסמוך ממש לבדיקה </w:t>
      </w:r>
      <w:r w:rsidRPr="004E2985">
        <w:rPr>
          <w:sz w:val="18"/>
          <w:szCs w:val="18"/>
          <w:rtl/>
        </w:rPr>
        <w:t>–</w:t>
      </w:r>
      <w:r w:rsidRPr="004E2985">
        <w:rPr>
          <w:rFonts w:hint="cs"/>
          <w:sz w:val="18"/>
          <w:szCs w:val="18"/>
          <w:rtl/>
        </w:rPr>
        <w:t xml:space="preserve"> לא מהני. לעומת זאת, לאחר הפס"ט, בבדיקת ז' נקיים, הבדיקה היא מטעם גזה"כ שבעינן שהימים האלו יהיו מוחזקים בטהרה ע"י הבדיקה, ולכן יש לומר שמותרת לשטוף באותו מקום, כיוון שמצאה עצמה טהורה בשעת הבדיקה. ואמנם, </w:t>
      </w:r>
      <w:r w:rsidRPr="004E2985">
        <w:rPr>
          <w:rFonts w:hint="cs"/>
          <w:b/>
          <w:bCs/>
          <w:sz w:val="18"/>
          <w:szCs w:val="18"/>
          <w:rtl/>
        </w:rPr>
        <w:t>הרב גדעון</w:t>
      </w:r>
      <w:r w:rsidRPr="004E2985">
        <w:rPr>
          <w:rFonts w:hint="cs"/>
          <w:sz w:val="18"/>
          <w:szCs w:val="18"/>
          <w:rtl/>
        </w:rPr>
        <w:t xml:space="preserve"> הניח זאת בצ"ע, משום שיש לומר שבדיקה כזאת אינה מחזקת אותה כלל בטהרה.</w:t>
      </w:r>
    </w:p>
  </w:footnote>
  <w:footnote w:id="523">
    <w:p w:rsidR="005953C5" w:rsidRPr="00A657A0" w:rsidRDefault="005953C5" w:rsidP="00620060">
      <w:pPr>
        <w:pStyle w:val="a3"/>
        <w:rPr>
          <w:sz w:val="18"/>
          <w:szCs w:val="18"/>
          <w:rtl/>
        </w:rPr>
      </w:pPr>
      <w:r w:rsidRPr="00A657A0">
        <w:rPr>
          <w:rStyle w:val="a5"/>
          <w:sz w:val="18"/>
          <w:szCs w:val="18"/>
        </w:rPr>
        <w:footnoteRef/>
      </w:r>
      <w:r w:rsidRPr="00A657A0">
        <w:rPr>
          <w:sz w:val="18"/>
          <w:szCs w:val="18"/>
          <w:rtl/>
        </w:rPr>
        <w:t xml:space="preserve"> </w:t>
      </w:r>
      <w:r w:rsidRPr="00A657A0">
        <w:rPr>
          <w:rFonts w:ascii="Arial" w:hAnsi="Arial" w:cs="Arial"/>
          <w:color w:val="222222"/>
          <w:sz w:val="18"/>
          <w:szCs w:val="18"/>
          <w:shd w:val="clear" w:color="auto" w:fill="FFFFFF"/>
          <w:rtl/>
        </w:rPr>
        <w:t xml:space="preserve">צמר </w:t>
      </w:r>
      <w:r w:rsidRPr="006C3134">
        <w:rPr>
          <w:rFonts w:ascii="Arial" w:hAnsi="Arial" w:cs="Arial"/>
          <w:color w:val="222222"/>
          <w:sz w:val="18"/>
          <w:szCs w:val="18"/>
          <w:shd w:val="clear" w:color="auto" w:fill="FFFFFF"/>
          <w:rtl/>
        </w:rPr>
        <w:t>גפן</w:t>
      </w:r>
      <w:r w:rsidRPr="006C3134">
        <w:rPr>
          <w:rFonts w:ascii="Arial" w:hAnsi="Arial" w:cs="Arial"/>
          <w:color w:val="222222"/>
          <w:sz w:val="18"/>
          <w:szCs w:val="18"/>
          <w:shd w:val="clear" w:color="auto" w:fill="FFFFFF"/>
        </w:rPr>
        <w:t> </w:t>
      </w:r>
      <w:r w:rsidRPr="006C3134">
        <w:rPr>
          <w:rFonts w:ascii="Arial" w:hAnsi="Arial" w:cs="Arial"/>
          <w:color w:val="222222"/>
          <w:sz w:val="18"/>
          <w:szCs w:val="18"/>
          <w:shd w:val="clear" w:color="auto" w:fill="FFFFFF"/>
          <w:rtl/>
        </w:rPr>
        <w:t>הוא מוצר עשוי מ</w:t>
      </w:r>
      <w:hyperlink r:id="rId1" w:tooltip="כותנה" w:history="1">
        <w:r w:rsidRPr="006C3134">
          <w:rPr>
            <w:rStyle w:val="Hyperlink"/>
            <w:rFonts w:ascii="Arial" w:hAnsi="Arial" w:cs="Arial"/>
            <w:color w:val="5A3696"/>
            <w:sz w:val="18"/>
            <w:szCs w:val="18"/>
            <w:shd w:val="clear" w:color="auto" w:fill="FFFFFF"/>
            <w:rtl/>
          </w:rPr>
          <w:t>כותנה</w:t>
        </w:r>
      </w:hyperlink>
      <w:r w:rsidRPr="006C3134">
        <w:rPr>
          <w:rFonts w:ascii="Arial" w:hAnsi="Arial" w:cs="Arial"/>
          <w:color w:val="222222"/>
          <w:sz w:val="18"/>
          <w:szCs w:val="18"/>
          <w:shd w:val="clear" w:color="auto" w:fill="FFFFFF"/>
        </w:rPr>
        <w:t> </w:t>
      </w:r>
      <w:r w:rsidRPr="006C3134">
        <w:rPr>
          <w:rFonts w:ascii="Arial" w:hAnsi="Arial" w:cs="Arial"/>
          <w:color w:val="222222"/>
          <w:sz w:val="18"/>
          <w:szCs w:val="18"/>
          <w:shd w:val="clear" w:color="auto" w:fill="FFFFFF"/>
          <w:rtl/>
        </w:rPr>
        <w:t>טבעית לא מעובדת</w:t>
      </w:r>
      <w:r w:rsidRPr="006C3134">
        <w:rPr>
          <w:rFonts w:hint="cs"/>
          <w:sz w:val="18"/>
          <w:szCs w:val="18"/>
          <w:rtl/>
        </w:rPr>
        <w:t>, ויקיפדיה.</w:t>
      </w:r>
    </w:p>
  </w:footnote>
  <w:footnote w:id="524">
    <w:p w:rsidR="005953C5" w:rsidRPr="006C3134" w:rsidRDefault="005953C5" w:rsidP="00620060">
      <w:pPr>
        <w:pStyle w:val="a3"/>
        <w:rPr>
          <w:sz w:val="18"/>
          <w:szCs w:val="18"/>
          <w:rtl/>
        </w:rPr>
      </w:pPr>
      <w:r w:rsidRPr="00E70771">
        <w:rPr>
          <w:rStyle w:val="a5"/>
          <w:sz w:val="18"/>
          <w:szCs w:val="18"/>
        </w:rPr>
        <w:footnoteRef/>
      </w:r>
      <w:r w:rsidRPr="00E70771">
        <w:rPr>
          <w:sz w:val="18"/>
          <w:szCs w:val="18"/>
          <w:rtl/>
        </w:rPr>
        <w:t xml:space="preserve"> </w:t>
      </w:r>
      <w:r w:rsidRPr="00E70771">
        <w:rPr>
          <w:rFonts w:ascii="Arial" w:hAnsi="Arial" w:cs="Arial"/>
          <w:color w:val="222222"/>
          <w:sz w:val="18"/>
          <w:szCs w:val="18"/>
          <w:shd w:val="clear" w:color="auto" w:fill="FFFFFF"/>
          <w:rtl/>
        </w:rPr>
        <w:t>הצמר</w:t>
      </w:r>
      <w:r w:rsidRPr="00E70771">
        <w:rPr>
          <w:rFonts w:ascii="Arial" w:hAnsi="Arial" w:cs="Arial"/>
          <w:color w:val="222222"/>
          <w:sz w:val="18"/>
          <w:szCs w:val="18"/>
          <w:shd w:val="clear" w:color="auto" w:fill="FFFFFF"/>
        </w:rPr>
        <w:t> </w:t>
      </w:r>
      <w:r w:rsidRPr="00E70771">
        <w:rPr>
          <w:rFonts w:ascii="Arial" w:hAnsi="Arial" w:cs="Arial"/>
          <w:color w:val="222222"/>
          <w:sz w:val="18"/>
          <w:szCs w:val="18"/>
          <w:shd w:val="clear" w:color="auto" w:fill="FFFFFF"/>
          <w:rtl/>
        </w:rPr>
        <w:t>ה</w:t>
      </w:r>
      <w:r w:rsidRPr="006C3134">
        <w:rPr>
          <w:rFonts w:ascii="Arial" w:hAnsi="Arial" w:cs="Arial"/>
          <w:color w:val="222222"/>
          <w:sz w:val="18"/>
          <w:szCs w:val="18"/>
          <w:shd w:val="clear" w:color="auto" w:fill="FFFFFF"/>
          <w:rtl/>
        </w:rPr>
        <w:t>וא</w:t>
      </w:r>
      <w:r w:rsidRPr="006C3134">
        <w:rPr>
          <w:rFonts w:ascii="Arial" w:hAnsi="Arial" w:cs="Arial"/>
          <w:color w:val="222222"/>
          <w:sz w:val="18"/>
          <w:szCs w:val="18"/>
          <w:shd w:val="clear" w:color="auto" w:fill="FFFFFF"/>
        </w:rPr>
        <w:t> </w:t>
      </w:r>
      <w:hyperlink r:id="rId2" w:tooltip="סיב" w:history="1">
        <w:r w:rsidRPr="006C3134">
          <w:rPr>
            <w:rStyle w:val="Hyperlink"/>
            <w:rFonts w:ascii="Arial" w:hAnsi="Arial" w:cs="Arial"/>
            <w:color w:val="5A3696"/>
            <w:sz w:val="18"/>
            <w:szCs w:val="18"/>
            <w:shd w:val="clear" w:color="auto" w:fill="FFFFFF"/>
            <w:rtl/>
          </w:rPr>
          <w:t>סיב</w:t>
        </w:r>
      </w:hyperlink>
      <w:r w:rsidRPr="006C3134">
        <w:rPr>
          <w:rFonts w:ascii="Arial" w:hAnsi="Arial" w:cs="Arial"/>
          <w:color w:val="222222"/>
          <w:sz w:val="18"/>
          <w:szCs w:val="18"/>
          <w:shd w:val="clear" w:color="auto" w:fill="FFFFFF"/>
        </w:rPr>
        <w:t> </w:t>
      </w:r>
      <w:r w:rsidRPr="006C3134">
        <w:rPr>
          <w:rFonts w:ascii="Arial" w:hAnsi="Arial" w:cs="Arial"/>
          <w:color w:val="222222"/>
          <w:sz w:val="18"/>
          <w:szCs w:val="18"/>
          <w:shd w:val="clear" w:color="auto" w:fill="FFFFFF"/>
          <w:rtl/>
        </w:rPr>
        <w:t>המופק מ</w:t>
      </w:r>
      <w:hyperlink r:id="rId3" w:tooltip="שיער" w:history="1">
        <w:r w:rsidRPr="006C3134">
          <w:rPr>
            <w:rStyle w:val="Hyperlink"/>
            <w:rFonts w:ascii="Arial" w:hAnsi="Arial" w:cs="Arial"/>
            <w:color w:val="5A3696"/>
            <w:sz w:val="18"/>
            <w:szCs w:val="18"/>
            <w:shd w:val="clear" w:color="auto" w:fill="FFFFFF"/>
            <w:rtl/>
          </w:rPr>
          <w:t>שיער</w:t>
        </w:r>
      </w:hyperlink>
      <w:r w:rsidRPr="006C3134">
        <w:rPr>
          <w:rFonts w:ascii="Arial" w:hAnsi="Arial" w:cs="Arial"/>
          <w:color w:val="222222"/>
          <w:sz w:val="18"/>
          <w:szCs w:val="18"/>
          <w:shd w:val="clear" w:color="auto" w:fill="FFFFFF"/>
        </w:rPr>
        <w:t> </w:t>
      </w:r>
      <w:r w:rsidRPr="006C3134">
        <w:rPr>
          <w:rFonts w:ascii="Arial" w:hAnsi="Arial" w:cs="Arial"/>
          <w:color w:val="222222"/>
          <w:sz w:val="18"/>
          <w:szCs w:val="18"/>
          <w:shd w:val="clear" w:color="auto" w:fill="FFFFFF"/>
          <w:rtl/>
        </w:rPr>
        <w:t>של</w:t>
      </w:r>
      <w:r w:rsidRPr="006C3134">
        <w:rPr>
          <w:rFonts w:ascii="Arial" w:hAnsi="Arial" w:cs="Arial"/>
          <w:color w:val="222222"/>
          <w:sz w:val="18"/>
          <w:szCs w:val="18"/>
          <w:shd w:val="clear" w:color="auto" w:fill="FFFFFF"/>
        </w:rPr>
        <w:t> </w:t>
      </w:r>
      <w:hyperlink r:id="rId4" w:tooltip="בעלי חיים" w:history="1">
        <w:r w:rsidRPr="006C3134">
          <w:rPr>
            <w:rStyle w:val="Hyperlink"/>
            <w:rFonts w:ascii="Arial" w:hAnsi="Arial" w:cs="Arial"/>
            <w:color w:val="5A3696"/>
            <w:sz w:val="18"/>
            <w:szCs w:val="18"/>
            <w:shd w:val="clear" w:color="auto" w:fill="FFFFFF"/>
            <w:rtl/>
          </w:rPr>
          <w:t>בעלי חיים</w:t>
        </w:r>
      </w:hyperlink>
      <w:r w:rsidRPr="006C3134">
        <w:rPr>
          <w:rFonts w:ascii="Arial" w:hAnsi="Arial" w:cs="Arial"/>
          <w:color w:val="222222"/>
          <w:sz w:val="18"/>
          <w:szCs w:val="18"/>
          <w:shd w:val="clear" w:color="auto" w:fill="FFFFFF"/>
        </w:rPr>
        <w:t> </w:t>
      </w:r>
      <w:r w:rsidRPr="006C3134">
        <w:rPr>
          <w:rFonts w:ascii="Arial" w:hAnsi="Arial" w:cs="Arial"/>
          <w:sz w:val="18"/>
          <w:szCs w:val="18"/>
          <w:shd w:val="clear" w:color="auto" w:fill="FFFFFF"/>
          <w:rtl/>
        </w:rPr>
        <w:t>מבויתים</w:t>
      </w:r>
      <w:r w:rsidRPr="006C3134">
        <w:rPr>
          <w:rFonts w:ascii="Arial" w:hAnsi="Arial" w:cs="Arial" w:hint="cs"/>
          <w:color w:val="222222"/>
          <w:sz w:val="18"/>
          <w:szCs w:val="18"/>
          <w:shd w:val="clear" w:color="auto" w:fill="FFFFFF"/>
          <w:rtl/>
        </w:rPr>
        <w:t>,</w:t>
      </w:r>
      <w:r w:rsidRPr="006C3134">
        <w:rPr>
          <w:rFonts w:ascii="Arial" w:hAnsi="Arial" w:cs="Arial"/>
          <w:color w:val="222222"/>
          <w:sz w:val="18"/>
          <w:szCs w:val="18"/>
          <w:shd w:val="clear" w:color="auto" w:fill="FFFFFF"/>
        </w:rPr>
        <w:t xml:space="preserve"> </w:t>
      </w:r>
      <w:r w:rsidRPr="006C3134">
        <w:rPr>
          <w:rFonts w:ascii="Arial" w:hAnsi="Arial" w:cs="Arial"/>
          <w:color w:val="222222"/>
          <w:sz w:val="18"/>
          <w:szCs w:val="18"/>
          <w:shd w:val="clear" w:color="auto" w:fill="FFFFFF"/>
          <w:rtl/>
        </w:rPr>
        <w:t>בדרך כלל</w:t>
      </w:r>
      <w:r w:rsidRPr="006C3134">
        <w:rPr>
          <w:rFonts w:ascii="Arial" w:hAnsi="Arial" w:cs="Arial"/>
          <w:color w:val="222222"/>
          <w:sz w:val="18"/>
          <w:szCs w:val="18"/>
          <w:shd w:val="clear" w:color="auto" w:fill="FFFFFF"/>
        </w:rPr>
        <w:t> </w:t>
      </w:r>
      <w:hyperlink r:id="rId5" w:tooltip="כבש" w:history="1">
        <w:r w:rsidRPr="006C3134">
          <w:rPr>
            <w:rStyle w:val="Hyperlink"/>
            <w:rFonts w:ascii="Arial" w:hAnsi="Arial" w:cs="Arial"/>
            <w:color w:val="5A3696"/>
            <w:sz w:val="18"/>
            <w:szCs w:val="18"/>
            <w:shd w:val="clear" w:color="auto" w:fill="FFFFFF"/>
            <w:rtl/>
          </w:rPr>
          <w:t>כבשים</w:t>
        </w:r>
      </w:hyperlink>
      <w:r w:rsidRPr="006C3134">
        <w:rPr>
          <w:rFonts w:hint="cs"/>
          <w:sz w:val="18"/>
          <w:szCs w:val="18"/>
          <w:rtl/>
        </w:rPr>
        <w:t>, ויקיפדיה.</w:t>
      </w:r>
    </w:p>
  </w:footnote>
  <w:footnote w:id="525">
    <w:p w:rsidR="005953C5" w:rsidRPr="00E70771" w:rsidRDefault="005953C5" w:rsidP="00620060">
      <w:pPr>
        <w:pStyle w:val="a3"/>
        <w:rPr>
          <w:sz w:val="18"/>
          <w:szCs w:val="18"/>
          <w:rtl/>
        </w:rPr>
      </w:pPr>
      <w:r w:rsidRPr="006C3134">
        <w:rPr>
          <w:rStyle w:val="a5"/>
          <w:sz w:val="18"/>
          <w:szCs w:val="18"/>
        </w:rPr>
        <w:footnoteRef/>
      </w:r>
      <w:r w:rsidRPr="006C3134">
        <w:rPr>
          <w:sz w:val="18"/>
          <w:szCs w:val="18"/>
          <w:rtl/>
        </w:rPr>
        <w:t xml:space="preserve"> </w:t>
      </w:r>
      <w:r w:rsidRPr="006C3134">
        <w:rPr>
          <w:rFonts w:ascii="Arial" w:hAnsi="Arial" w:cs="Arial"/>
          <w:b/>
          <w:bCs/>
          <w:color w:val="222222"/>
          <w:sz w:val="18"/>
          <w:szCs w:val="18"/>
          <w:shd w:val="clear" w:color="auto" w:fill="FFFFFF"/>
          <w:rtl/>
        </w:rPr>
        <w:t>פִּשְׁתָּן</w:t>
      </w:r>
      <w:r w:rsidRPr="006C3134">
        <w:rPr>
          <w:rFonts w:ascii="Arial" w:hAnsi="Arial" w:cs="Arial"/>
          <w:color w:val="222222"/>
          <w:sz w:val="18"/>
          <w:szCs w:val="18"/>
          <w:shd w:val="clear" w:color="auto" w:fill="FFFFFF"/>
        </w:rPr>
        <w:t xml:space="preserve"> </w:t>
      </w:r>
      <w:r w:rsidRPr="006C3134">
        <w:rPr>
          <w:rFonts w:ascii="Arial" w:hAnsi="Arial" w:cs="Arial"/>
          <w:color w:val="222222"/>
          <w:sz w:val="18"/>
          <w:szCs w:val="18"/>
          <w:shd w:val="clear" w:color="auto" w:fill="FFFFFF"/>
          <w:rtl/>
        </w:rPr>
        <w:t>הוא צמח מ</w:t>
      </w:r>
      <w:hyperlink r:id="rId6" w:tooltip="סוג (טקסונומיה)" w:history="1">
        <w:r w:rsidRPr="006C3134">
          <w:rPr>
            <w:rStyle w:val="Hyperlink"/>
            <w:rFonts w:ascii="Arial" w:hAnsi="Arial" w:cs="Arial"/>
            <w:color w:val="5A3696"/>
            <w:sz w:val="18"/>
            <w:szCs w:val="18"/>
            <w:shd w:val="clear" w:color="auto" w:fill="FFFFFF"/>
            <w:rtl/>
          </w:rPr>
          <w:t>סוג</w:t>
        </w:r>
      </w:hyperlink>
      <w:r w:rsidRPr="006C3134">
        <w:rPr>
          <w:rFonts w:ascii="Arial" w:hAnsi="Arial" w:cs="Arial"/>
          <w:color w:val="222222"/>
          <w:sz w:val="18"/>
          <w:szCs w:val="18"/>
          <w:shd w:val="clear" w:color="auto" w:fill="FFFFFF"/>
        </w:rPr>
        <w:t> </w:t>
      </w:r>
      <w:hyperlink r:id="rId7" w:tooltip="פשתה" w:history="1">
        <w:r w:rsidRPr="006C3134">
          <w:rPr>
            <w:rStyle w:val="Hyperlink"/>
            <w:rFonts w:ascii="Arial" w:hAnsi="Arial" w:cs="Arial"/>
            <w:color w:val="5A3696"/>
            <w:sz w:val="18"/>
            <w:szCs w:val="18"/>
            <w:shd w:val="clear" w:color="auto" w:fill="FFFFFF"/>
            <w:rtl/>
          </w:rPr>
          <w:t>פשתה</w:t>
        </w:r>
      </w:hyperlink>
      <w:r w:rsidRPr="006C3134">
        <w:rPr>
          <w:rFonts w:ascii="Arial" w:hAnsi="Arial" w:cs="Arial"/>
          <w:color w:val="222222"/>
          <w:sz w:val="18"/>
          <w:szCs w:val="18"/>
          <w:shd w:val="clear" w:color="auto" w:fill="FFFFFF"/>
        </w:rPr>
        <w:t> </w:t>
      </w:r>
      <w:r w:rsidRPr="006C3134">
        <w:rPr>
          <w:rFonts w:ascii="Arial" w:hAnsi="Arial" w:cs="Arial"/>
          <w:color w:val="222222"/>
          <w:sz w:val="18"/>
          <w:szCs w:val="18"/>
          <w:shd w:val="clear" w:color="auto" w:fill="FFFFFF"/>
          <w:rtl/>
        </w:rPr>
        <w:t>מ</w:t>
      </w:r>
      <w:hyperlink r:id="rId8" w:history="1">
        <w:r w:rsidRPr="006C3134">
          <w:rPr>
            <w:rStyle w:val="Hyperlink"/>
            <w:rFonts w:ascii="Arial" w:hAnsi="Arial" w:cs="Arial"/>
            <w:color w:val="5A3696"/>
            <w:sz w:val="18"/>
            <w:szCs w:val="18"/>
            <w:shd w:val="clear" w:color="auto" w:fill="FFFFFF"/>
            <w:rtl/>
          </w:rPr>
          <w:t>משפחת</w:t>
        </w:r>
      </w:hyperlink>
      <w:r w:rsidRPr="006C3134">
        <w:rPr>
          <w:rFonts w:ascii="Arial" w:hAnsi="Arial" w:cs="Arial"/>
          <w:color w:val="222222"/>
          <w:sz w:val="18"/>
          <w:szCs w:val="18"/>
          <w:shd w:val="clear" w:color="auto" w:fill="FFFFFF"/>
        </w:rPr>
        <w:t> </w:t>
      </w:r>
      <w:r w:rsidRPr="006C3134">
        <w:rPr>
          <w:rFonts w:ascii="Arial" w:hAnsi="Arial" w:cs="Arial"/>
          <w:color w:val="222222"/>
          <w:sz w:val="18"/>
          <w:szCs w:val="18"/>
          <w:shd w:val="clear" w:color="auto" w:fill="FFFFFF"/>
          <w:rtl/>
        </w:rPr>
        <w:t>ה</w:t>
      </w:r>
      <w:hyperlink r:id="rId9" w:tooltip="פשתיים" w:history="1">
        <w:r w:rsidRPr="006C3134">
          <w:rPr>
            <w:rStyle w:val="Hyperlink"/>
            <w:rFonts w:ascii="Arial" w:hAnsi="Arial" w:cs="Arial"/>
            <w:color w:val="5A3696"/>
            <w:sz w:val="18"/>
            <w:szCs w:val="18"/>
            <w:shd w:val="clear" w:color="auto" w:fill="FFFFFF"/>
            <w:rtl/>
          </w:rPr>
          <w:t>פשתיים</w:t>
        </w:r>
      </w:hyperlink>
      <w:r w:rsidRPr="006C3134">
        <w:rPr>
          <w:rFonts w:hint="cs"/>
          <w:sz w:val="18"/>
          <w:szCs w:val="18"/>
          <w:rtl/>
        </w:rPr>
        <w:t>, ויקיפדיה.</w:t>
      </w:r>
    </w:p>
  </w:footnote>
  <w:footnote w:id="526">
    <w:p w:rsidR="005953C5" w:rsidRDefault="005953C5" w:rsidP="00620060">
      <w:pPr>
        <w:pStyle w:val="a3"/>
      </w:pPr>
      <w:r w:rsidRPr="00AB355E">
        <w:rPr>
          <w:rStyle w:val="a5"/>
          <w:sz w:val="18"/>
          <w:szCs w:val="18"/>
        </w:rPr>
        <w:footnoteRef/>
      </w:r>
      <w:r w:rsidRPr="00AB355E">
        <w:rPr>
          <w:sz w:val="18"/>
          <w:szCs w:val="18"/>
          <w:rtl/>
        </w:rPr>
        <w:t xml:space="preserve"> </w:t>
      </w:r>
      <w:r w:rsidRPr="00AB355E">
        <w:rPr>
          <w:rFonts w:hint="cs"/>
          <w:sz w:val="18"/>
          <w:szCs w:val="18"/>
          <w:rtl/>
        </w:rPr>
        <w:t>ולא כטעמו של רש"י שהחיסרון בבגד חדש הוא משום שאינו לבן כל כך.</w:t>
      </w:r>
    </w:p>
  </w:footnote>
  <w:footnote w:id="527">
    <w:p w:rsidR="005953C5" w:rsidRDefault="005953C5" w:rsidP="00620060">
      <w:pPr>
        <w:pStyle w:val="a3"/>
      </w:pPr>
      <w:r w:rsidRPr="004543B8">
        <w:rPr>
          <w:rStyle w:val="a5"/>
          <w:sz w:val="18"/>
          <w:szCs w:val="18"/>
        </w:rPr>
        <w:footnoteRef/>
      </w:r>
      <w:r w:rsidRPr="004543B8">
        <w:rPr>
          <w:sz w:val="18"/>
          <w:szCs w:val="18"/>
          <w:rtl/>
        </w:rPr>
        <w:t xml:space="preserve"> </w:t>
      </w:r>
      <w:r w:rsidRPr="004543B8">
        <w:rPr>
          <w:rFonts w:hint="cs"/>
          <w:b/>
          <w:bCs/>
          <w:sz w:val="18"/>
          <w:szCs w:val="18"/>
          <w:rtl/>
        </w:rPr>
        <w:t>נודע ביהודה</w:t>
      </w:r>
      <w:r w:rsidRPr="004543B8">
        <w:rPr>
          <w:rFonts w:hint="cs"/>
          <w:sz w:val="18"/>
          <w:szCs w:val="18"/>
          <w:rtl/>
        </w:rPr>
        <w:t xml:space="preserve"> </w:t>
      </w:r>
      <w:r w:rsidRPr="004543B8">
        <w:rPr>
          <w:sz w:val="18"/>
          <w:szCs w:val="18"/>
          <w:rtl/>
        </w:rPr>
        <w:t>–</w:t>
      </w:r>
      <w:r w:rsidRPr="004543B8">
        <w:rPr>
          <w:rFonts w:hint="cs"/>
          <w:sz w:val="18"/>
          <w:szCs w:val="18"/>
          <w:rtl/>
        </w:rPr>
        <w:t xml:space="preserve"> דעת הראב"ד היא, שלגבי בעלה אין חוששים שמא כותלי בית הרחם העמידו דם.</w:t>
      </w:r>
      <w:r w:rsidRPr="004543B8">
        <w:rPr>
          <w:sz w:val="18"/>
          <w:szCs w:val="18"/>
          <w:rtl/>
        </w:rPr>
        <w:br/>
      </w:r>
      <w:r w:rsidRPr="004543B8">
        <w:rPr>
          <w:rFonts w:hint="cs"/>
          <w:sz w:val="18"/>
          <w:szCs w:val="18"/>
          <w:rtl/>
        </w:rPr>
        <w:t xml:space="preserve">ראיה </w:t>
      </w:r>
      <w:r w:rsidRPr="004543B8">
        <w:rPr>
          <w:sz w:val="18"/>
          <w:szCs w:val="18"/>
          <w:rtl/>
        </w:rPr>
        <w:t>–</w:t>
      </w:r>
      <w:r w:rsidRPr="004543B8">
        <w:rPr>
          <w:rFonts w:hint="cs"/>
          <w:sz w:val="18"/>
          <w:szCs w:val="18"/>
          <w:rtl/>
        </w:rPr>
        <w:t xml:space="preserve"> זבה שספרה ז' נקיים וטבלה ולמחר ראתה, מונה מעתה ז' ימי נידה, ואין חוששים לומר שטיפת דם יצאה מאתמול לבית החיצון וכותלי בית הרחם העמידוה ותמנה מעתה ז' נקיים שנית כדי זבה</w:t>
      </w:r>
      <w:r>
        <w:rPr>
          <w:rFonts w:hint="cs"/>
          <w:sz w:val="18"/>
          <w:szCs w:val="18"/>
          <w:rtl/>
        </w:rPr>
        <w:t>.</w:t>
      </w:r>
    </w:p>
  </w:footnote>
  <w:footnote w:id="528">
    <w:p w:rsidR="005953C5" w:rsidRDefault="005953C5" w:rsidP="00620060">
      <w:pPr>
        <w:pStyle w:val="a3"/>
      </w:pPr>
      <w:r w:rsidRPr="009B042B">
        <w:rPr>
          <w:rStyle w:val="a5"/>
          <w:sz w:val="18"/>
          <w:szCs w:val="18"/>
        </w:rPr>
        <w:footnoteRef/>
      </w:r>
      <w:r w:rsidRPr="009B042B">
        <w:rPr>
          <w:rFonts w:hint="cs"/>
          <w:sz w:val="18"/>
          <w:szCs w:val="18"/>
          <w:rtl/>
        </w:rPr>
        <w:t xml:space="preserve"> </w:t>
      </w:r>
      <w:r w:rsidRPr="00E65A09">
        <w:rPr>
          <w:rFonts w:hint="cs"/>
          <w:b/>
          <w:bCs/>
          <w:sz w:val="18"/>
          <w:szCs w:val="18"/>
          <w:rtl/>
        </w:rPr>
        <w:t>בית יוסף</w:t>
      </w:r>
      <w:r w:rsidRPr="009B042B">
        <w:rPr>
          <w:rFonts w:hint="cs"/>
          <w:sz w:val="18"/>
          <w:szCs w:val="18"/>
          <w:rtl/>
        </w:rPr>
        <w:t xml:space="preserve"> </w:t>
      </w:r>
      <w:r w:rsidRPr="009B042B">
        <w:rPr>
          <w:sz w:val="18"/>
          <w:szCs w:val="18"/>
          <w:rtl/>
        </w:rPr>
        <w:t>–</w:t>
      </w:r>
      <w:r w:rsidRPr="009B042B">
        <w:rPr>
          <w:rFonts w:hint="cs"/>
          <w:sz w:val="18"/>
          <w:szCs w:val="18"/>
          <w:rtl/>
        </w:rPr>
        <w:t xml:space="preserve"> דברי </w:t>
      </w:r>
      <w:r w:rsidRPr="00E65A09">
        <w:rPr>
          <w:rFonts w:hint="cs"/>
          <w:b/>
          <w:bCs/>
          <w:sz w:val="18"/>
          <w:szCs w:val="18"/>
          <w:rtl/>
        </w:rPr>
        <w:t>הרא"ש</w:t>
      </w:r>
      <w:r w:rsidRPr="009B042B">
        <w:rPr>
          <w:rFonts w:hint="cs"/>
          <w:sz w:val="18"/>
          <w:szCs w:val="18"/>
          <w:rtl/>
        </w:rPr>
        <w:t xml:space="preserve"> אינם ברורים בדין זה. מחד, בפרק תינוקת כתב להדיא</w:t>
      </w:r>
      <w:r>
        <w:rPr>
          <w:rFonts w:hint="cs"/>
          <w:sz w:val="18"/>
          <w:szCs w:val="18"/>
          <w:rtl/>
        </w:rPr>
        <w:t xml:space="preserve"> שיש לבדוק עד מקום שהשמשי דש</w:t>
      </w:r>
      <w:r w:rsidRPr="009B042B">
        <w:rPr>
          <w:rFonts w:hint="cs"/>
          <w:sz w:val="18"/>
          <w:szCs w:val="18"/>
          <w:rtl/>
        </w:rPr>
        <w:t>, אך מאידך בקיצור הלכות נידה השמיט פרט זה וכתב באופן סתמי שיש לה לבדוק בעומק ככל שמתאפשר לה.</w:t>
      </w:r>
      <w:r>
        <w:rPr>
          <w:rFonts w:hint="cs"/>
          <w:rtl/>
        </w:rPr>
        <w:t xml:space="preserve"> </w:t>
      </w:r>
      <w:r w:rsidRPr="00E65A09">
        <w:rPr>
          <w:rFonts w:hint="cs"/>
          <w:sz w:val="18"/>
          <w:szCs w:val="18"/>
          <w:rtl/>
        </w:rPr>
        <w:t xml:space="preserve">משום כך, </w:t>
      </w:r>
      <w:r w:rsidRPr="00E65A09">
        <w:rPr>
          <w:rFonts w:hint="cs"/>
          <w:b/>
          <w:bCs/>
          <w:sz w:val="18"/>
          <w:szCs w:val="18"/>
          <w:rtl/>
        </w:rPr>
        <w:t>הבית יוסף</w:t>
      </w:r>
      <w:r w:rsidRPr="00E65A09">
        <w:rPr>
          <w:rFonts w:hint="cs"/>
          <w:sz w:val="18"/>
          <w:szCs w:val="18"/>
          <w:rtl/>
        </w:rPr>
        <w:t xml:space="preserve"> מבין שדברי </w:t>
      </w:r>
      <w:r w:rsidRPr="00E65A09">
        <w:rPr>
          <w:rFonts w:hint="cs"/>
          <w:b/>
          <w:bCs/>
          <w:sz w:val="18"/>
          <w:szCs w:val="18"/>
          <w:rtl/>
        </w:rPr>
        <w:t>הרא"ש</w:t>
      </w:r>
      <w:r w:rsidRPr="00E65A09">
        <w:rPr>
          <w:rFonts w:hint="cs"/>
          <w:sz w:val="18"/>
          <w:szCs w:val="18"/>
          <w:rtl/>
        </w:rPr>
        <w:t xml:space="preserve"> בפרק תינוקת אינם בדו</w:t>
      </w:r>
      <w:r>
        <w:rPr>
          <w:rFonts w:hint="cs"/>
          <w:sz w:val="18"/>
          <w:szCs w:val="18"/>
          <w:rtl/>
        </w:rPr>
        <w:t>ו</w:t>
      </w:r>
      <w:r w:rsidRPr="00E65A09">
        <w:rPr>
          <w:rFonts w:hint="cs"/>
          <w:sz w:val="18"/>
          <w:szCs w:val="18"/>
          <w:rtl/>
        </w:rPr>
        <w:t>קא ואינם לעיכוב, משום שאם פרט זה מעכב, לא היה משמיטו.</w:t>
      </w:r>
    </w:p>
  </w:footnote>
  <w:footnote w:id="529">
    <w:p w:rsidR="005953C5" w:rsidRDefault="005953C5" w:rsidP="00620060">
      <w:pPr>
        <w:pStyle w:val="a3"/>
      </w:pPr>
      <w:r w:rsidRPr="00AD3D02">
        <w:rPr>
          <w:rStyle w:val="a5"/>
          <w:sz w:val="18"/>
          <w:szCs w:val="18"/>
        </w:rPr>
        <w:footnoteRef/>
      </w:r>
      <w:r w:rsidRPr="00AD3D02">
        <w:rPr>
          <w:sz w:val="18"/>
          <w:szCs w:val="18"/>
          <w:rtl/>
        </w:rPr>
        <w:t xml:space="preserve"> </w:t>
      </w:r>
      <w:r>
        <w:rPr>
          <w:rFonts w:hint="cs"/>
          <w:sz w:val="18"/>
          <w:szCs w:val="18"/>
          <w:u w:val="single"/>
          <w:rtl/>
        </w:rPr>
        <w:t>האם בעל נפש צריך להחמיר בבדיקות לעומק</w:t>
      </w:r>
      <w:r>
        <w:rPr>
          <w:rFonts w:hint="cs"/>
          <w:sz w:val="18"/>
          <w:szCs w:val="18"/>
          <w:rtl/>
        </w:rPr>
        <w:br/>
      </w:r>
      <w:r w:rsidRPr="00AD3D02">
        <w:rPr>
          <w:rFonts w:hint="cs"/>
          <w:sz w:val="18"/>
          <w:szCs w:val="18"/>
          <w:rtl/>
        </w:rPr>
        <w:t xml:space="preserve">מה כוונת </w:t>
      </w:r>
      <w:r w:rsidRPr="00AD3D02">
        <w:rPr>
          <w:rFonts w:hint="cs"/>
          <w:b/>
          <w:bCs/>
          <w:sz w:val="18"/>
          <w:szCs w:val="18"/>
          <w:rtl/>
        </w:rPr>
        <w:t>תרומת הדשן</w:t>
      </w:r>
      <w:r w:rsidRPr="00AD3D02">
        <w:rPr>
          <w:rFonts w:hint="cs"/>
          <w:sz w:val="18"/>
          <w:szCs w:val="18"/>
          <w:rtl/>
        </w:rPr>
        <w:t xml:space="preserve"> בביטוי 'הנח להם לישראל'?</w:t>
      </w:r>
      <w:r w:rsidRPr="00AD3D02">
        <w:rPr>
          <w:rFonts w:hint="cs"/>
          <w:sz w:val="18"/>
          <w:szCs w:val="18"/>
          <w:rtl/>
        </w:rPr>
        <w:br/>
      </w:r>
      <w:r w:rsidRPr="00AD3D02">
        <w:rPr>
          <w:rFonts w:hint="cs"/>
          <w:b/>
          <w:bCs/>
          <w:sz w:val="18"/>
          <w:szCs w:val="18"/>
          <w:rtl/>
        </w:rPr>
        <w:t>הבית יוסף</w:t>
      </w:r>
      <w:r w:rsidRPr="00AD3D02">
        <w:rPr>
          <w:rFonts w:hint="cs"/>
          <w:sz w:val="18"/>
          <w:szCs w:val="18"/>
          <w:rtl/>
        </w:rPr>
        <w:t xml:space="preserve"> מציע שתי אפשרויות - </w:t>
      </w:r>
      <w:r w:rsidRPr="00AD3D02">
        <w:rPr>
          <w:sz w:val="18"/>
          <w:szCs w:val="18"/>
          <w:rtl/>
        </w:rPr>
        <w:br/>
      </w:r>
      <w:r w:rsidRPr="00AD3D02">
        <w:rPr>
          <w:rFonts w:hint="cs"/>
          <w:sz w:val="18"/>
          <w:szCs w:val="18"/>
          <w:rtl/>
        </w:rPr>
        <w:t xml:space="preserve">א. </w:t>
      </w:r>
      <w:r w:rsidRPr="00AD3D02">
        <w:rPr>
          <w:rFonts w:hint="cs"/>
          <w:b/>
          <w:bCs/>
          <w:sz w:val="18"/>
          <w:szCs w:val="18"/>
          <w:rtl/>
        </w:rPr>
        <w:t>גמרא</w:t>
      </w:r>
      <w:r w:rsidRPr="00AD3D02">
        <w:rPr>
          <w:rFonts w:hint="cs"/>
          <w:sz w:val="18"/>
          <w:szCs w:val="18"/>
          <w:rtl/>
        </w:rPr>
        <w:t xml:space="preserve"> פסחים (סו.) "</w:t>
      </w:r>
      <w:r w:rsidRPr="00AD3D02">
        <w:rPr>
          <w:rFonts w:cs="Arial"/>
          <w:sz w:val="18"/>
          <w:szCs w:val="18"/>
          <w:rtl/>
        </w:rPr>
        <w:t>הנח להן לישראל אם אין נביאים הן - בני נביאים הן</w:t>
      </w:r>
      <w:r w:rsidRPr="00AD3D02">
        <w:rPr>
          <w:rFonts w:cs="Arial" w:hint="cs"/>
          <w:sz w:val="18"/>
          <w:szCs w:val="18"/>
          <w:rtl/>
        </w:rPr>
        <w:t>". ולפי"ז, אפילו בעל נפש אינו צריך להחמיר.</w:t>
      </w:r>
      <w:r>
        <w:rPr>
          <w:rtl/>
        </w:rPr>
        <w:br/>
      </w:r>
      <w:r w:rsidRPr="00AD3D02">
        <w:rPr>
          <w:rFonts w:hint="cs"/>
          <w:sz w:val="18"/>
          <w:szCs w:val="18"/>
          <w:rtl/>
        </w:rPr>
        <w:t xml:space="preserve">ב. </w:t>
      </w:r>
      <w:r w:rsidRPr="00AD3D02">
        <w:rPr>
          <w:rFonts w:hint="cs"/>
          <w:b/>
          <w:bCs/>
          <w:sz w:val="18"/>
          <w:szCs w:val="18"/>
          <w:rtl/>
        </w:rPr>
        <w:t xml:space="preserve">גמרא </w:t>
      </w:r>
      <w:r w:rsidRPr="00AD3D02">
        <w:rPr>
          <w:rFonts w:hint="cs"/>
          <w:sz w:val="18"/>
          <w:szCs w:val="18"/>
          <w:rtl/>
        </w:rPr>
        <w:t>שבת (קמח:) "</w:t>
      </w:r>
      <w:r w:rsidRPr="00AD3D02">
        <w:rPr>
          <w:rFonts w:cs="Arial"/>
          <w:sz w:val="18"/>
          <w:szCs w:val="18"/>
          <w:rtl/>
        </w:rPr>
        <w:t>הנח לישראל, מוטב שיהו שוגגין ואל יהו מזידין</w:t>
      </w:r>
      <w:r w:rsidRPr="00AD3D02">
        <w:rPr>
          <w:rFonts w:cs="Arial" w:hint="cs"/>
          <w:sz w:val="18"/>
          <w:szCs w:val="18"/>
          <w:rtl/>
        </w:rPr>
        <w:t>". ולפי"ז, בעל נפש יחמיר.</w:t>
      </w:r>
    </w:p>
  </w:footnote>
  <w:footnote w:id="530">
    <w:p w:rsidR="005953C5" w:rsidRDefault="005953C5" w:rsidP="00620060">
      <w:pPr>
        <w:pStyle w:val="a3"/>
        <w:rPr>
          <w:rtl/>
        </w:rPr>
      </w:pPr>
      <w:r w:rsidRPr="001352B6">
        <w:rPr>
          <w:rStyle w:val="a5"/>
          <w:sz w:val="18"/>
          <w:szCs w:val="18"/>
        </w:rPr>
        <w:footnoteRef/>
      </w:r>
      <w:r w:rsidRPr="001352B6">
        <w:rPr>
          <w:sz w:val="18"/>
          <w:szCs w:val="18"/>
          <w:rtl/>
        </w:rPr>
        <w:t xml:space="preserve"> </w:t>
      </w:r>
      <w:r w:rsidRPr="001352B6">
        <w:rPr>
          <w:rFonts w:hint="cs"/>
          <w:sz w:val="18"/>
          <w:szCs w:val="18"/>
          <w:rtl/>
        </w:rPr>
        <w:t xml:space="preserve">אמנם, </w:t>
      </w:r>
      <w:r w:rsidRPr="001352B6">
        <w:rPr>
          <w:rFonts w:hint="cs"/>
          <w:b/>
          <w:bCs/>
          <w:sz w:val="18"/>
          <w:szCs w:val="18"/>
          <w:rtl/>
        </w:rPr>
        <w:t>הבית יוסף</w:t>
      </w:r>
      <w:r w:rsidRPr="001352B6">
        <w:rPr>
          <w:rFonts w:hint="cs"/>
          <w:sz w:val="18"/>
          <w:szCs w:val="18"/>
          <w:rtl/>
        </w:rPr>
        <w:t xml:space="preserve"> מעיר על כך מדברי </w:t>
      </w:r>
      <w:r w:rsidRPr="001352B6">
        <w:rPr>
          <w:rFonts w:hint="cs"/>
          <w:b/>
          <w:bCs/>
          <w:sz w:val="18"/>
          <w:szCs w:val="18"/>
          <w:rtl/>
        </w:rPr>
        <w:t>הרמב"ם</w:t>
      </w:r>
      <w:r w:rsidRPr="001352B6">
        <w:rPr>
          <w:rFonts w:hint="cs"/>
          <w:sz w:val="18"/>
          <w:szCs w:val="18"/>
          <w:rtl/>
        </w:rPr>
        <w:t xml:space="preserve"> </w:t>
      </w:r>
      <w:r w:rsidRPr="001352B6">
        <w:rPr>
          <w:sz w:val="18"/>
          <w:szCs w:val="18"/>
          <w:rtl/>
        </w:rPr>
        <w:t>–</w:t>
      </w:r>
      <w:r w:rsidRPr="001352B6">
        <w:rPr>
          <w:rFonts w:hint="cs"/>
          <w:sz w:val="18"/>
          <w:szCs w:val="18"/>
          <w:rtl/>
        </w:rPr>
        <w:t xml:space="preserve"> "</w:t>
      </w:r>
      <w:r w:rsidRPr="001352B6">
        <w:rPr>
          <w:rFonts w:cs="Arial"/>
          <w:sz w:val="18"/>
          <w:szCs w:val="18"/>
          <w:rtl/>
        </w:rPr>
        <w:t>ובשעת גמר ביאה</w:t>
      </w:r>
      <w:r w:rsidRPr="001352B6">
        <w:rPr>
          <w:rFonts w:cs="Arial" w:hint="cs"/>
          <w:sz w:val="18"/>
          <w:szCs w:val="18"/>
          <w:rtl/>
        </w:rPr>
        <w:t>,</w:t>
      </w:r>
      <w:r w:rsidRPr="001352B6">
        <w:rPr>
          <w:rFonts w:cs="Arial"/>
          <w:sz w:val="18"/>
          <w:szCs w:val="18"/>
          <w:rtl/>
        </w:rPr>
        <w:t xml:space="preserve"> האבר נכנס בפרוזדור ואינו מגיע עד ראשו שמבפנים</w:t>
      </w:r>
      <w:r w:rsidRPr="001352B6">
        <w:rPr>
          <w:rFonts w:cs="Arial" w:hint="cs"/>
          <w:sz w:val="18"/>
          <w:szCs w:val="18"/>
          <w:rtl/>
        </w:rPr>
        <w:t>,</w:t>
      </w:r>
      <w:r w:rsidRPr="001352B6">
        <w:rPr>
          <w:rFonts w:cs="Arial"/>
          <w:sz w:val="18"/>
          <w:szCs w:val="18"/>
          <w:rtl/>
        </w:rPr>
        <w:t xml:space="preserve"> אלא רחוק ממנו מעט לפי האצבעות</w:t>
      </w:r>
      <w:r w:rsidRPr="001352B6">
        <w:rPr>
          <w:rFonts w:cs="Arial" w:hint="cs"/>
          <w:sz w:val="18"/>
          <w:szCs w:val="18"/>
          <w:rtl/>
        </w:rPr>
        <w:t xml:space="preserve">". </w:t>
      </w:r>
      <w:r>
        <w:rPr>
          <w:rFonts w:cs="Arial"/>
          <w:sz w:val="18"/>
          <w:szCs w:val="18"/>
          <w:rtl/>
        </w:rPr>
        <w:br/>
      </w:r>
      <w:r w:rsidRPr="001352B6">
        <w:rPr>
          <w:rFonts w:cs="Arial" w:hint="cs"/>
          <w:sz w:val="18"/>
          <w:szCs w:val="18"/>
          <w:rtl/>
        </w:rPr>
        <w:t xml:space="preserve">ולפי"ז, אפילו אם תבדוק עד מקום שהשמש דש, עדיין אינה יוצאת ידי חובת בדיקה, משום שאינה בודקת את כל הבית החיצון! אלא, יש לומר שהמחמירים סוברים שמה שניתן לבדוק בבדיקה זו, צריכה לבדוק. או שאינם סוברים כדעת הרמב"ם בזה, אלא דעתם היא שבמקום שהאבר גומר לדוש נגמר הבית החיצון, וממילא ניתן לבדוק </w:t>
      </w:r>
      <w:r w:rsidRPr="001352B6">
        <w:rPr>
          <w:rFonts w:hint="cs"/>
          <w:sz w:val="18"/>
          <w:szCs w:val="18"/>
          <w:rtl/>
        </w:rPr>
        <w:t>כהוגן בכל הבית החיצון.</w:t>
      </w:r>
    </w:p>
  </w:footnote>
  <w:footnote w:id="531">
    <w:p w:rsidR="005953C5" w:rsidRDefault="005953C5" w:rsidP="00620060">
      <w:pPr>
        <w:pStyle w:val="a3"/>
      </w:pPr>
      <w:r w:rsidRPr="005E6D25">
        <w:rPr>
          <w:rStyle w:val="a5"/>
          <w:sz w:val="18"/>
          <w:szCs w:val="18"/>
        </w:rPr>
        <w:footnoteRef/>
      </w:r>
      <w:r w:rsidRPr="005E6D25">
        <w:rPr>
          <w:sz w:val="18"/>
          <w:szCs w:val="18"/>
          <w:rtl/>
        </w:rPr>
        <w:t xml:space="preserve"> </w:t>
      </w:r>
      <w:r w:rsidRPr="005E6D25">
        <w:rPr>
          <w:rFonts w:hint="cs"/>
          <w:sz w:val="18"/>
          <w:szCs w:val="18"/>
          <w:rtl/>
        </w:rPr>
        <w:t>באמת שדברי המחבר אינם ברורים, משום שבבית יוסף כתב שרק בעל נפש יחוש להחמיר ויצווה בביתו שבדיקת הפס"ט וכן בדיקה אחת מז' נקיים תהיה עד מקום שהשמש דש, ואילו בשו"ע החמיר טובא, שכתב דין בדיקה עד מקום שהשמש דש לעיקר הדין, ורק במקום שקשה מאוד הקל שתבדוק באופן זה רק בבדיקת הפס"ט ובבדיקה אחת מז' נקיים, וצ"ע.</w:t>
      </w:r>
      <w:r>
        <w:rPr>
          <w:rtl/>
        </w:rPr>
        <w:br/>
      </w:r>
      <w:r w:rsidRPr="00EE7FB4">
        <w:rPr>
          <w:rFonts w:hint="cs"/>
          <w:sz w:val="18"/>
          <w:szCs w:val="18"/>
          <w:rtl/>
        </w:rPr>
        <w:t>ואמנם, בספר '</w:t>
      </w:r>
      <w:r w:rsidRPr="00EE7FB4">
        <w:rPr>
          <w:rFonts w:hint="cs"/>
          <w:b/>
          <w:bCs/>
          <w:sz w:val="18"/>
          <w:szCs w:val="18"/>
          <w:rtl/>
        </w:rPr>
        <w:t>אבני שוהם</w:t>
      </w:r>
      <w:r w:rsidRPr="00EE7FB4">
        <w:rPr>
          <w:rFonts w:hint="cs"/>
          <w:sz w:val="18"/>
          <w:szCs w:val="18"/>
          <w:rtl/>
        </w:rPr>
        <w:t xml:space="preserve">' כתב באופן פשוט </w:t>
      </w:r>
      <w:r w:rsidRPr="00EE7FB4">
        <w:rPr>
          <w:rFonts w:hint="cs"/>
          <w:b/>
          <w:bCs/>
          <w:sz w:val="18"/>
          <w:szCs w:val="18"/>
          <w:rtl/>
        </w:rPr>
        <w:t>שהמחבר והרמ"א</w:t>
      </w:r>
      <w:r w:rsidRPr="00EE7FB4">
        <w:rPr>
          <w:rFonts w:hint="cs"/>
          <w:sz w:val="18"/>
          <w:szCs w:val="18"/>
          <w:rtl/>
        </w:rPr>
        <w:t xml:space="preserve"> לא פליגי, אלא שהמחבר סמך על מה שכתב בבית יוסף. לעומת זאת, </w:t>
      </w:r>
      <w:r w:rsidRPr="00EE7FB4">
        <w:rPr>
          <w:rFonts w:hint="cs"/>
          <w:b/>
          <w:bCs/>
          <w:sz w:val="18"/>
          <w:szCs w:val="18"/>
          <w:rtl/>
        </w:rPr>
        <w:t>ערוך השולחן</w:t>
      </w:r>
      <w:r w:rsidRPr="00EE7FB4">
        <w:rPr>
          <w:rFonts w:hint="cs"/>
          <w:sz w:val="18"/>
          <w:szCs w:val="18"/>
          <w:rtl/>
        </w:rPr>
        <w:t xml:space="preserve"> הבין כהבנתנו שזו מחלוקת.</w:t>
      </w:r>
      <w:r w:rsidRPr="00EE7FB4">
        <w:rPr>
          <w:sz w:val="18"/>
          <w:szCs w:val="18"/>
          <w:rtl/>
        </w:rPr>
        <w:br/>
      </w:r>
      <w:r w:rsidRPr="00EE7FB4">
        <w:rPr>
          <w:rFonts w:hint="cs"/>
          <w:sz w:val="18"/>
          <w:szCs w:val="18"/>
          <w:rtl/>
        </w:rPr>
        <w:t>ו</w:t>
      </w:r>
      <w:r>
        <w:rPr>
          <w:rFonts w:hint="cs"/>
          <w:sz w:val="18"/>
          <w:szCs w:val="18"/>
          <w:rtl/>
        </w:rPr>
        <w:t>לדינא</w:t>
      </w:r>
      <w:r w:rsidRPr="00EE7FB4">
        <w:rPr>
          <w:rFonts w:hint="cs"/>
          <w:sz w:val="18"/>
          <w:szCs w:val="18"/>
          <w:rtl/>
        </w:rPr>
        <w:t xml:space="preserve">, </w:t>
      </w:r>
      <w:r w:rsidRPr="00EE7FB4">
        <w:rPr>
          <w:rFonts w:hint="cs"/>
          <w:b/>
          <w:bCs/>
          <w:sz w:val="18"/>
          <w:szCs w:val="18"/>
          <w:rtl/>
        </w:rPr>
        <w:t>טה"ב</w:t>
      </w:r>
      <w:r w:rsidRPr="00EE7FB4">
        <w:rPr>
          <w:rFonts w:hint="cs"/>
          <w:sz w:val="18"/>
          <w:szCs w:val="18"/>
          <w:rtl/>
        </w:rPr>
        <w:t xml:space="preserve"> </w:t>
      </w:r>
      <w:r w:rsidRPr="00EE7FB4">
        <w:rPr>
          <w:rFonts w:hint="cs"/>
          <w:sz w:val="16"/>
          <w:szCs w:val="16"/>
          <w:rtl/>
        </w:rPr>
        <w:t xml:space="preserve">(עמ' שע) </w:t>
      </w:r>
      <w:r w:rsidRPr="00EE7FB4">
        <w:rPr>
          <w:rFonts w:hint="cs"/>
          <w:sz w:val="18"/>
          <w:szCs w:val="18"/>
          <w:rtl/>
        </w:rPr>
        <w:t xml:space="preserve">הביא פוסקים רבים המקלים שלא לבדוק כלל עד מקום שהשמש דש, והם סוברים שבדיקה זו היא למצוה מן המובחר ואינה לעיכוב כלל. ברם, הכרעת </w:t>
      </w:r>
      <w:r w:rsidRPr="00EE7FB4">
        <w:rPr>
          <w:rFonts w:hint="cs"/>
          <w:b/>
          <w:bCs/>
          <w:sz w:val="18"/>
          <w:szCs w:val="18"/>
          <w:rtl/>
        </w:rPr>
        <w:t>טה"ב</w:t>
      </w:r>
      <w:r w:rsidRPr="00EE7FB4">
        <w:rPr>
          <w:rFonts w:hint="cs"/>
          <w:sz w:val="18"/>
          <w:szCs w:val="18"/>
          <w:rtl/>
        </w:rPr>
        <w:t xml:space="preserve"> אינה כך, אלא ס"ל שלכתחילה במקום שאין מנהג ברור יש להחמיר </w:t>
      </w:r>
      <w:r w:rsidRPr="00EE7FB4">
        <w:rPr>
          <w:rFonts w:hint="cs"/>
          <w:b/>
          <w:bCs/>
          <w:sz w:val="18"/>
          <w:szCs w:val="18"/>
          <w:rtl/>
        </w:rPr>
        <w:t>כשו"ע</w:t>
      </w:r>
      <w:r w:rsidRPr="00EE7FB4">
        <w:rPr>
          <w:rFonts w:hint="cs"/>
          <w:sz w:val="18"/>
          <w:szCs w:val="18"/>
          <w:rtl/>
        </w:rPr>
        <w:t xml:space="preserve"> בבדיקת הפס"ט ובבדיקה אחת מהז' נקיים, אלא שאם כואב לה בבדיקה זו יכולה להקל </w:t>
      </w:r>
      <w:r w:rsidRPr="00EE7FB4">
        <w:rPr>
          <w:rFonts w:hint="cs"/>
          <w:b/>
          <w:bCs/>
          <w:sz w:val="18"/>
          <w:szCs w:val="18"/>
          <w:rtl/>
        </w:rPr>
        <w:t>כרמ"א</w:t>
      </w:r>
      <w:r w:rsidRPr="00EE7FB4">
        <w:rPr>
          <w:rFonts w:hint="cs"/>
          <w:sz w:val="18"/>
          <w:szCs w:val="18"/>
          <w:rtl/>
        </w:rPr>
        <w:t xml:space="preserve">. </w:t>
      </w:r>
    </w:p>
  </w:footnote>
  <w:footnote w:id="532">
    <w:p w:rsidR="005953C5" w:rsidRPr="00CE7F93" w:rsidRDefault="005953C5" w:rsidP="00620060">
      <w:pPr>
        <w:pStyle w:val="a3"/>
        <w:rPr>
          <w:sz w:val="18"/>
          <w:szCs w:val="18"/>
        </w:rPr>
      </w:pPr>
      <w:r w:rsidRPr="00CE7F93">
        <w:rPr>
          <w:rStyle w:val="a5"/>
          <w:sz w:val="18"/>
          <w:szCs w:val="18"/>
        </w:rPr>
        <w:footnoteRef/>
      </w:r>
      <w:r w:rsidRPr="00CE7F93">
        <w:rPr>
          <w:sz w:val="18"/>
          <w:szCs w:val="18"/>
          <w:rtl/>
        </w:rPr>
        <w:t xml:space="preserve"> </w:t>
      </w:r>
      <w:r w:rsidRPr="00CE7F93">
        <w:rPr>
          <w:rFonts w:hint="cs"/>
          <w:sz w:val="18"/>
          <w:szCs w:val="18"/>
          <w:rtl/>
        </w:rPr>
        <w:t xml:space="preserve">מלבד הטעם שכתוב בפנים, הרחיב </w:t>
      </w:r>
      <w:r w:rsidRPr="00CE7F93">
        <w:rPr>
          <w:rFonts w:hint="cs"/>
          <w:b/>
          <w:bCs/>
          <w:sz w:val="18"/>
          <w:szCs w:val="18"/>
          <w:rtl/>
        </w:rPr>
        <w:t>הנודע ביהודה</w:t>
      </w:r>
      <w:r w:rsidRPr="00CE7F93">
        <w:rPr>
          <w:rFonts w:hint="cs"/>
          <w:sz w:val="18"/>
          <w:szCs w:val="18"/>
          <w:rtl/>
        </w:rPr>
        <w:t xml:space="preserve"> לבאר את עיקר הדין של בדיקה בחו"ס, והוכיח מדברי הרי"ף והרמב"ם שאף הם סוברים כראב"ד שמעיקר הדין סגי בקינוח בעלמא, וכן הוכיח מגמרא בסנהדרין.</w:t>
      </w:r>
    </w:p>
  </w:footnote>
  <w:footnote w:id="533">
    <w:p w:rsidR="005953C5" w:rsidRDefault="005953C5" w:rsidP="00620060">
      <w:pPr>
        <w:pStyle w:val="a3"/>
      </w:pPr>
      <w:r w:rsidRPr="00CE7F93">
        <w:rPr>
          <w:rStyle w:val="a5"/>
          <w:sz w:val="18"/>
          <w:szCs w:val="18"/>
        </w:rPr>
        <w:footnoteRef/>
      </w:r>
      <w:r w:rsidRPr="00CE7F93">
        <w:rPr>
          <w:sz w:val="18"/>
          <w:szCs w:val="18"/>
          <w:rtl/>
        </w:rPr>
        <w:t xml:space="preserve"> </w:t>
      </w:r>
      <w:r w:rsidRPr="00CE7F93">
        <w:rPr>
          <w:rFonts w:hint="cs"/>
          <w:sz w:val="18"/>
          <w:szCs w:val="18"/>
          <w:rtl/>
        </w:rPr>
        <w:t xml:space="preserve">זו לשון </w:t>
      </w:r>
      <w:r w:rsidRPr="00CE7F93">
        <w:rPr>
          <w:rFonts w:hint="cs"/>
          <w:b/>
          <w:bCs/>
          <w:sz w:val="18"/>
          <w:szCs w:val="18"/>
          <w:rtl/>
        </w:rPr>
        <w:t>רש"י</w:t>
      </w:r>
      <w:r w:rsidRPr="00CE7F93">
        <w:rPr>
          <w:rFonts w:hint="cs"/>
          <w:sz w:val="18"/>
          <w:szCs w:val="18"/>
          <w:rtl/>
        </w:rPr>
        <w:t xml:space="preserve"> בפסחים (פא.) "</w:t>
      </w:r>
      <w:r w:rsidRPr="00CE7F93">
        <w:rPr>
          <w:rFonts w:cs="Arial"/>
          <w:sz w:val="18"/>
          <w:szCs w:val="18"/>
          <w:rtl/>
        </w:rPr>
        <w:t>ולפי הדברים</w:t>
      </w:r>
      <w:r w:rsidRPr="00CE7F93">
        <w:rPr>
          <w:rFonts w:cs="Arial" w:hint="cs"/>
          <w:sz w:val="18"/>
          <w:szCs w:val="18"/>
          <w:rtl/>
        </w:rPr>
        <w:t>,</w:t>
      </w:r>
      <w:r w:rsidRPr="00CE7F93">
        <w:rPr>
          <w:rFonts w:cs="Arial"/>
          <w:sz w:val="18"/>
          <w:szCs w:val="18"/>
          <w:rtl/>
        </w:rPr>
        <w:t xml:space="preserve"> למאן דאמר מקצת היום ככולו תח</w:t>
      </w:r>
      <w:r w:rsidRPr="00CE7F93">
        <w:rPr>
          <w:rFonts w:cs="Arial" w:hint="cs"/>
          <w:sz w:val="18"/>
          <w:szCs w:val="18"/>
          <w:rtl/>
        </w:rPr>
        <w:t>י</w:t>
      </w:r>
      <w:r w:rsidRPr="00CE7F93">
        <w:rPr>
          <w:rFonts w:cs="Arial"/>
          <w:sz w:val="18"/>
          <w:szCs w:val="18"/>
          <w:rtl/>
        </w:rPr>
        <w:t>לת הלילה עולה לספירתה ואין צריך עלות השחר</w:t>
      </w:r>
      <w:r w:rsidRPr="00CE7F93">
        <w:rPr>
          <w:rFonts w:hint="cs"/>
          <w:sz w:val="18"/>
          <w:szCs w:val="18"/>
          <w:rtl/>
        </w:rPr>
        <w:t>".</w:t>
      </w:r>
    </w:p>
  </w:footnote>
  <w:footnote w:id="534">
    <w:p w:rsidR="005953C5" w:rsidRDefault="005953C5" w:rsidP="00620060">
      <w:pPr>
        <w:pStyle w:val="a3"/>
        <w:rPr>
          <w:rtl/>
        </w:rPr>
      </w:pPr>
      <w:r w:rsidRPr="00E7471E">
        <w:rPr>
          <w:rStyle w:val="a5"/>
          <w:sz w:val="18"/>
          <w:szCs w:val="18"/>
        </w:rPr>
        <w:footnoteRef/>
      </w:r>
      <w:r w:rsidRPr="00E7471E">
        <w:rPr>
          <w:sz w:val="18"/>
          <w:szCs w:val="18"/>
          <w:rtl/>
        </w:rPr>
        <w:t xml:space="preserve"> </w:t>
      </w:r>
      <w:r w:rsidRPr="00E7471E">
        <w:rPr>
          <w:rFonts w:hint="cs"/>
          <w:sz w:val="18"/>
          <w:szCs w:val="18"/>
          <w:rtl/>
        </w:rPr>
        <w:t>המשנה לעיל איירי לעניין טהרות בלבד, וממנה הסיקו לגבי ווסתות. ומדברי המחבר כאן משמע שגם לגבי ז' נקיים מהני בדיקת אחרות, שהרי אם לא כן עדיין היא אסורה לבעלה</w:t>
      </w:r>
      <w:r>
        <w:rPr>
          <w:rFonts w:hint="cs"/>
          <w:sz w:val="18"/>
          <w:szCs w:val="18"/>
          <w:rtl/>
        </w:rPr>
        <w:t xml:space="preserve">, וכ"כ </w:t>
      </w:r>
      <w:r w:rsidRPr="00E7471E">
        <w:rPr>
          <w:rFonts w:hint="cs"/>
          <w:b/>
          <w:bCs/>
          <w:sz w:val="18"/>
          <w:szCs w:val="18"/>
          <w:rtl/>
        </w:rPr>
        <w:t>ששבה"ל</w:t>
      </w:r>
      <w:r w:rsidRPr="00E7471E">
        <w:rPr>
          <w:rFonts w:hint="cs"/>
          <w:sz w:val="18"/>
          <w:szCs w:val="18"/>
          <w:rtl/>
        </w:rPr>
        <w:t>.</w:t>
      </w:r>
    </w:p>
  </w:footnote>
  <w:footnote w:id="535">
    <w:p w:rsidR="005953C5" w:rsidRDefault="005953C5" w:rsidP="00620060">
      <w:pPr>
        <w:pStyle w:val="a3"/>
      </w:pPr>
      <w:r w:rsidRPr="003E4F01">
        <w:rPr>
          <w:rStyle w:val="a5"/>
          <w:sz w:val="18"/>
          <w:szCs w:val="18"/>
        </w:rPr>
        <w:footnoteRef/>
      </w:r>
      <w:r w:rsidRPr="003E4F01">
        <w:rPr>
          <w:sz w:val="18"/>
          <w:szCs w:val="18"/>
          <w:rtl/>
        </w:rPr>
        <w:t xml:space="preserve"> </w:t>
      </w:r>
      <w:r w:rsidRPr="003E4F01">
        <w:rPr>
          <w:rFonts w:hint="cs"/>
          <w:sz w:val="18"/>
          <w:szCs w:val="18"/>
          <w:rtl/>
        </w:rPr>
        <w:t xml:space="preserve">מקור דין זה בקושיית </w:t>
      </w:r>
      <w:r w:rsidRPr="003E4F01">
        <w:rPr>
          <w:rFonts w:hint="cs"/>
          <w:b/>
          <w:bCs/>
          <w:sz w:val="18"/>
          <w:szCs w:val="18"/>
          <w:rtl/>
        </w:rPr>
        <w:t>רעק"א</w:t>
      </w:r>
      <w:r w:rsidRPr="003E4F01">
        <w:rPr>
          <w:rFonts w:hint="cs"/>
          <w:sz w:val="18"/>
          <w:szCs w:val="18"/>
          <w:rtl/>
        </w:rPr>
        <w:t xml:space="preserve"> על המשנה הנ"ל </w:t>
      </w:r>
      <w:r w:rsidRPr="003E4F01">
        <w:rPr>
          <w:sz w:val="18"/>
          <w:szCs w:val="18"/>
          <w:rtl/>
        </w:rPr>
        <w:t>–</w:t>
      </w:r>
      <w:r w:rsidRPr="003E4F01">
        <w:rPr>
          <w:rFonts w:hint="cs"/>
          <w:sz w:val="18"/>
          <w:szCs w:val="18"/>
          <w:rtl/>
        </w:rPr>
        <w:t xml:space="preserve"> "</w:t>
      </w:r>
      <w:r w:rsidRPr="003E4F01">
        <w:rPr>
          <w:rFonts w:cs="Arial"/>
          <w:sz w:val="18"/>
          <w:szCs w:val="18"/>
          <w:rtl/>
        </w:rPr>
        <w:t>החרשת והשוטה והסומא ושנטרפה דעתה, אם יש להם פקחות - מתקנות אותן והן אוכלות בתרומה</w:t>
      </w:r>
      <w:r w:rsidRPr="003E4F01">
        <w:rPr>
          <w:rFonts w:cs="Arial" w:hint="cs"/>
          <w:sz w:val="18"/>
          <w:szCs w:val="18"/>
          <w:rtl/>
        </w:rPr>
        <w:t>"</w:t>
      </w:r>
      <w:r w:rsidRPr="003E4F01">
        <w:rPr>
          <w:rFonts w:cs="Arial"/>
          <w:sz w:val="18"/>
          <w:szCs w:val="18"/>
          <w:rtl/>
        </w:rPr>
        <w:t>.</w:t>
      </w:r>
      <w:r w:rsidRPr="003E4F01">
        <w:rPr>
          <w:sz w:val="18"/>
          <w:szCs w:val="18"/>
          <w:rtl/>
        </w:rPr>
        <w:br/>
      </w:r>
      <w:r w:rsidRPr="003E4F01">
        <w:rPr>
          <w:rFonts w:hint="cs"/>
          <w:sz w:val="18"/>
          <w:szCs w:val="18"/>
          <w:rtl/>
        </w:rPr>
        <w:t xml:space="preserve">קשה </w:t>
      </w:r>
      <w:r w:rsidRPr="003E4F01">
        <w:rPr>
          <w:sz w:val="18"/>
          <w:szCs w:val="18"/>
          <w:rtl/>
        </w:rPr>
        <w:t>–</w:t>
      </w:r>
      <w:r w:rsidRPr="003E4F01">
        <w:rPr>
          <w:rFonts w:hint="cs"/>
          <w:sz w:val="18"/>
          <w:szCs w:val="18"/>
          <w:rtl/>
        </w:rPr>
        <w:t xml:space="preserve"> מדוע המשנה השמיטה דין קטנה, הרי בכל מקום רגילים להזכיר קטן יחד עם חרש ושוטה! וצ"ע.</w:t>
      </w:r>
      <w:r w:rsidRPr="003E4F01">
        <w:rPr>
          <w:sz w:val="18"/>
          <w:szCs w:val="18"/>
          <w:rtl/>
        </w:rPr>
        <w:br/>
      </w:r>
      <w:r w:rsidRPr="003E4F01">
        <w:rPr>
          <w:rFonts w:hint="cs"/>
          <w:sz w:val="18"/>
          <w:szCs w:val="18"/>
          <w:rtl/>
        </w:rPr>
        <w:t xml:space="preserve">מיישב </w:t>
      </w:r>
      <w:r w:rsidRPr="003E4F01">
        <w:rPr>
          <w:rFonts w:hint="cs"/>
          <w:b/>
          <w:bCs/>
          <w:sz w:val="18"/>
          <w:szCs w:val="18"/>
          <w:rtl/>
        </w:rPr>
        <w:t>בדה"ש</w:t>
      </w:r>
      <w:r w:rsidRPr="003E4F01">
        <w:rPr>
          <w:rFonts w:hint="cs"/>
          <w:sz w:val="18"/>
          <w:szCs w:val="18"/>
          <w:rtl/>
        </w:rPr>
        <w:t xml:space="preserve"> </w:t>
      </w:r>
      <w:r w:rsidRPr="003E4F01">
        <w:rPr>
          <w:sz w:val="18"/>
          <w:szCs w:val="18"/>
          <w:rtl/>
        </w:rPr>
        <w:t>–</w:t>
      </w:r>
      <w:r w:rsidRPr="003E4F01">
        <w:rPr>
          <w:rFonts w:hint="cs"/>
          <w:sz w:val="18"/>
          <w:szCs w:val="18"/>
          <w:rtl/>
        </w:rPr>
        <w:t xml:space="preserve"> בקטנה מועיל אם גדולה עומדת על גבה ומשגיחה שבודקת עצמה כראוי, מפני שהיא מקבלת מרות ועושה כפי שאומרת לה הגדולה, אך בשוטה וחרשת לא מועיל.</w:t>
      </w:r>
      <w:r w:rsidRPr="003E4F01">
        <w:rPr>
          <w:sz w:val="18"/>
          <w:szCs w:val="18"/>
          <w:rtl/>
        </w:rPr>
        <w:br/>
      </w:r>
      <w:r w:rsidRPr="003E4F01">
        <w:rPr>
          <w:rFonts w:hint="cs"/>
          <w:sz w:val="18"/>
          <w:szCs w:val="18"/>
          <w:rtl/>
        </w:rPr>
        <w:t xml:space="preserve">ברם, </w:t>
      </w:r>
      <w:r w:rsidRPr="003E4F01">
        <w:rPr>
          <w:rFonts w:hint="cs"/>
          <w:b/>
          <w:bCs/>
          <w:sz w:val="18"/>
          <w:szCs w:val="18"/>
          <w:rtl/>
        </w:rPr>
        <w:t>טה"ב</w:t>
      </w:r>
      <w:r w:rsidRPr="003E4F01">
        <w:rPr>
          <w:rFonts w:hint="cs"/>
          <w:sz w:val="18"/>
          <w:szCs w:val="18"/>
          <w:rtl/>
        </w:rPr>
        <w:t xml:space="preserve"> דוחה זאת וסובר שאף בחרשת ושוטה מועיל אם גדולה עומדת על גבה ומשגיחה שהיא טובלת כדין, וכן כתב בשו"ת </w:t>
      </w:r>
      <w:r w:rsidRPr="003E4F01">
        <w:rPr>
          <w:rFonts w:hint="cs"/>
          <w:b/>
          <w:bCs/>
          <w:sz w:val="18"/>
          <w:szCs w:val="18"/>
          <w:rtl/>
        </w:rPr>
        <w:t>שואל ומשיב</w:t>
      </w:r>
      <w:r w:rsidRPr="003E4F01">
        <w:rPr>
          <w:rFonts w:hint="cs"/>
          <w:sz w:val="18"/>
          <w:szCs w:val="18"/>
          <w:rtl/>
        </w:rPr>
        <w:t xml:space="preserve">. ובעיקר קושיית </w:t>
      </w:r>
      <w:r w:rsidRPr="003E4F01">
        <w:rPr>
          <w:rFonts w:hint="cs"/>
          <w:b/>
          <w:bCs/>
          <w:sz w:val="18"/>
          <w:szCs w:val="18"/>
          <w:rtl/>
        </w:rPr>
        <w:t>רעק"א</w:t>
      </w:r>
      <w:r w:rsidRPr="003E4F01">
        <w:rPr>
          <w:rFonts w:hint="cs"/>
          <w:sz w:val="18"/>
          <w:szCs w:val="18"/>
          <w:rtl/>
        </w:rPr>
        <w:t xml:space="preserve">, תירץ </w:t>
      </w:r>
      <w:r w:rsidRPr="003E4F01">
        <w:rPr>
          <w:rFonts w:hint="cs"/>
          <w:b/>
          <w:bCs/>
          <w:sz w:val="18"/>
          <w:szCs w:val="18"/>
          <w:rtl/>
        </w:rPr>
        <w:t>העל"נ</w:t>
      </w:r>
      <w:r w:rsidRPr="003E4F01">
        <w:rPr>
          <w:rFonts w:hint="cs"/>
          <w:sz w:val="18"/>
          <w:szCs w:val="18"/>
          <w:rtl/>
        </w:rPr>
        <w:t xml:space="preserve"> שכיוון שאין מצוי שקטנה תראה דם ותצטרך למנות נקיים ולבדוק, לכן לא קתני. ועדיף ליישב באופן זה ולא לבנות יסוד על בסיס קושייה.</w:t>
      </w:r>
    </w:p>
  </w:footnote>
  <w:footnote w:id="536">
    <w:p w:rsidR="005953C5" w:rsidRDefault="005953C5" w:rsidP="00620060">
      <w:pPr>
        <w:pStyle w:val="a3"/>
        <w:rPr>
          <w:rtl/>
        </w:rPr>
      </w:pPr>
      <w:r w:rsidRPr="00C11F0E">
        <w:rPr>
          <w:rStyle w:val="a5"/>
          <w:sz w:val="18"/>
          <w:szCs w:val="18"/>
        </w:rPr>
        <w:footnoteRef/>
      </w:r>
      <w:r w:rsidRPr="00C11F0E">
        <w:rPr>
          <w:sz w:val="18"/>
          <w:szCs w:val="18"/>
          <w:rtl/>
        </w:rPr>
        <w:t xml:space="preserve"> </w:t>
      </w:r>
      <w:r w:rsidRPr="00C11F0E">
        <w:rPr>
          <w:rFonts w:hint="cs"/>
          <w:sz w:val="18"/>
          <w:szCs w:val="18"/>
          <w:rtl/>
        </w:rPr>
        <w:t xml:space="preserve">ואמנם, </w:t>
      </w:r>
      <w:r w:rsidRPr="00C11F0E">
        <w:rPr>
          <w:rFonts w:hint="cs"/>
          <w:b/>
          <w:bCs/>
          <w:sz w:val="18"/>
          <w:szCs w:val="18"/>
          <w:rtl/>
        </w:rPr>
        <w:t>בששבה"ל</w:t>
      </w:r>
      <w:r w:rsidRPr="00C11F0E">
        <w:rPr>
          <w:rFonts w:hint="cs"/>
          <w:sz w:val="18"/>
          <w:szCs w:val="18"/>
          <w:rtl/>
        </w:rPr>
        <w:t xml:space="preserve"> הקשה על הט"ז, שהרי דין בדיקות נלמד כבר לעיל בסעיף ד', ומ</w:t>
      </w:r>
      <w:r>
        <w:rPr>
          <w:rFonts w:hint="cs"/>
          <w:sz w:val="18"/>
          <w:szCs w:val="18"/>
          <w:rtl/>
        </w:rPr>
        <w:t>ד</w:t>
      </w:r>
      <w:r w:rsidRPr="00C11F0E">
        <w:rPr>
          <w:rFonts w:hint="cs"/>
          <w:sz w:val="18"/>
          <w:szCs w:val="18"/>
          <w:rtl/>
        </w:rPr>
        <w:t xml:space="preserve">וע שהמחבר יחזור על כך כאן? </w:t>
      </w:r>
      <w:r w:rsidRPr="00C11F0E">
        <w:rPr>
          <w:rFonts w:hint="cs"/>
          <w:b/>
          <w:bCs/>
          <w:sz w:val="18"/>
          <w:szCs w:val="18"/>
          <w:rtl/>
        </w:rPr>
        <w:t>ובבדה"ש</w:t>
      </w:r>
      <w:r w:rsidRPr="00C11F0E">
        <w:rPr>
          <w:rFonts w:hint="cs"/>
          <w:sz w:val="18"/>
          <w:szCs w:val="18"/>
          <w:rtl/>
        </w:rPr>
        <w:t xml:space="preserve"> כתב בשם </w:t>
      </w:r>
      <w:r w:rsidRPr="00C11F0E">
        <w:rPr>
          <w:rFonts w:hint="cs"/>
          <w:b/>
          <w:bCs/>
          <w:sz w:val="18"/>
          <w:szCs w:val="18"/>
          <w:rtl/>
        </w:rPr>
        <w:t>החוו"ד</w:t>
      </w:r>
      <w:r w:rsidRPr="00C11F0E">
        <w:rPr>
          <w:rFonts w:hint="cs"/>
          <w:sz w:val="18"/>
          <w:szCs w:val="18"/>
          <w:rtl/>
        </w:rPr>
        <w:t xml:space="preserve"> לבאר באופן שונה </w:t>
      </w:r>
      <w:r w:rsidRPr="00C11F0E">
        <w:rPr>
          <w:sz w:val="18"/>
          <w:szCs w:val="18"/>
          <w:rtl/>
        </w:rPr>
        <w:t>–</w:t>
      </w:r>
      <w:r w:rsidRPr="00C11F0E">
        <w:rPr>
          <w:rFonts w:hint="cs"/>
          <w:sz w:val="18"/>
          <w:szCs w:val="18"/>
          <w:rtl/>
        </w:rPr>
        <w:t xml:space="preserve"> קיי"ל לקמן שאינה טובלת ביום ז', דחיישינן שמא לאחר שתשמש תראה דם ותסתור מניינה, ונמצא ששימש עם זבה. וכאן השמיע המחבר שאף בכה"ג של סתירת מניינה קיים החשש הנ"ל, אך אם היתה זו טומאה חדשה לא היה קיים החשש הנ"ל. </w:t>
      </w:r>
      <w:r w:rsidRPr="00C11F0E">
        <w:rPr>
          <w:rFonts w:hint="cs"/>
          <w:sz w:val="16"/>
          <w:szCs w:val="16"/>
          <w:rtl/>
        </w:rPr>
        <w:t>(ולא זכיתי להבין דבריו, שהרי גם אם זו טומאה חדשה, מכל מקום קיי"ל האידנא כרבי זירא, ואף אם זו טומאה חדשה אינה טובלת ביום ז' מחמת החשש הנ"ל).</w:t>
      </w:r>
    </w:p>
  </w:footnote>
  <w:footnote w:id="537">
    <w:p w:rsidR="005953C5" w:rsidRDefault="005953C5" w:rsidP="00620060">
      <w:pPr>
        <w:pStyle w:val="a3"/>
        <w:rPr>
          <w:rtl/>
        </w:rPr>
      </w:pPr>
      <w:r>
        <w:rPr>
          <w:rStyle w:val="a5"/>
        </w:rPr>
        <w:footnoteRef/>
      </w:r>
      <w:r>
        <w:rPr>
          <w:rtl/>
        </w:rPr>
        <w:t xml:space="preserve"> </w:t>
      </w:r>
      <w:r w:rsidRPr="00300D44">
        <w:rPr>
          <w:rFonts w:asciiTheme="minorBidi" w:hAnsiTheme="minorBidi"/>
          <w:sz w:val="18"/>
          <w:szCs w:val="18"/>
          <w:rtl/>
        </w:rPr>
        <w:t xml:space="preserve">כתב על כך </w:t>
      </w:r>
      <w:r w:rsidRPr="00300D44">
        <w:rPr>
          <w:rFonts w:asciiTheme="minorBidi" w:hAnsiTheme="minorBidi"/>
          <w:b/>
          <w:bCs/>
          <w:sz w:val="18"/>
          <w:szCs w:val="18"/>
          <w:rtl/>
        </w:rPr>
        <w:t>הרב גדעון</w:t>
      </w:r>
      <w:r w:rsidRPr="00300D44">
        <w:rPr>
          <w:rFonts w:asciiTheme="minorBidi" w:hAnsiTheme="minorBidi"/>
          <w:sz w:val="18"/>
          <w:szCs w:val="18"/>
          <w:rtl/>
        </w:rPr>
        <w:t xml:space="preserve"> - ויש לדון, מהו מקורם של הראשונים לחדש חומרא גדולה כזו נגד משמעות הגמרות והפוסקים, שלאחר הפס"ט אפשר לתלות בכל מה שאפשר לתלות כאשר האשה בחזקת טהרה. וכן מנ"ל החילוק בין ג</w:t>
      </w:r>
      <w:r>
        <w:rPr>
          <w:rFonts w:asciiTheme="minorBidi" w:hAnsiTheme="minorBidi" w:hint="cs"/>
          <w:sz w:val="18"/>
          <w:szCs w:val="18"/>
          <w:rtl/>
        </w:rPr>
        <w:t>' ימים</w:t>
      </w:r>
      <w:r w:rsidRPr="00300D44">
        <w:rPr>
          <w:rFonts w:asciiTheme="minorBidi" w:hAnsiTheme="minorBidi"/>
          <w:sz w:val="18"/>
          <w:szCs w:val="18"/>
          <w:rtl/>
        </w:rPr>
        <w:t xml:space="preserve"> ראשונים לשאר ימים.</w:t>
      </w:r>
      <w:r>
        <w:rPr>
          <w:rtl/>
        </w:rPr>
        <w:br/>
      </w:r>
      <w:r w:rsidRPr="00B211DC">
        <w:rPr>
          <w:rFonts w:hint="cs"/>
          <w:sz w:val="18"/>
          <w:szCs w:val="18"/>
          <w:rtl/>
        </w:rPr>
        <w:t xml:space="preserve">ואמנם, בביאור </w:t>
      </w:r>
      <w:r w:rsidRPr="00B211DC">
        <w:rPr>
          <w:rFonts w:hint="cs"/>
          <w:b/>
          <w:bCs/>
          <w:sz w:val="18"/>
          <w:szCs w:val="18"/>
          <w:rtl/>
        </w:rPr>
        <w:t>הגר"א</w:t>
      </w:r>
      <w:r w:rsidRPr="00B211DC">
        <w:rPr>
          <w:rFonts w:hint="cs"/>
          <w:sz w:val="18"/>
          <w:szCs w:val="18"/>
          <w:rtl/>
        </w:rPr>
        <w:t xml:space="preserve"> הביא ראיה לדברי הראשונים </w:t>
      </w:r>
      <w:r w:rsidRPr="00B211DC">
        <w:rPr>
          <w:rFonts w:hint="cs"/>
          <w:b/>
          <w:bCs/>
          <w:sz w:val="18"/>
          <w:szCs w:val="18"/>
          <w:rtl/>
        </w:rPr>
        <w:t>ממשנה</w:t>
      </w:r>
      <w:r w:rsidRPr="00B211DC">
        <w:rPr>
          <w:rFonts w:hint="cs"/>
          <w:sz w:val="18"/>
          <w:szCs w:val="18"/>
          <w:rtl/>
        </w:rPr>
        <w:t xml:space="preserve"> בזבים (א, ב) </w:t>
      </w:r>
      <w:r w:rsidRPr="00B211DC">
        <w:rPr>
          <w:sz w:val="18"/>
          <w:szCs w:val="18"/>
          <w:rtl/>
        </w:rPr>
        <w:t>–</w:t>
      </w:r>
      <w:r w:rsidRPr="00B211DC">
        <w:rPr>
          <w:rFonts w:hint="cs"/>
          <w:sz w:val="18"/>
          <w:szCs w:val="18"/>
          <w:rtl/>
        </w:rPr>
        <w:t xml:space="preserve"> </w:t>
      </w:r>
      <w:r w:rsidRPr="00B211DC">
        <w:rPr>
          <w:rFonts w:cs="Arial" w:hint="cs"/>
          <w:sz w:val="18"/>
          <w:szCs w:val="18"/>
          <w:rtl/>
        </w:rPr>
        <w:t>"</w:t>
      </w:r>
      <w:r w:rsidRPr="00B211DC">
        <w:rPr>
          <w:rFonts w:cs="Arial"/>
          <w:sz w:val="18"/>
          <w:szCs w:val="18"/>
          <w:rtl/>
        </w:rPr>
        <w:t xml:space="preserve">הרואה קרי ביום השלישי לספירת זובו </w:t>
      </w:r>
      <w:r w:rsidRPr="00B211DC">
        <w:rPr>
          <w:rFonts w:cs="Arial" w:hint="cs"/>
          <w:sz w:val="18"/>
          <w:szCs w:val="18"/>
          <w:rtl/>
        </w:rPr>
        <w:t xml:space="preserve">- </w:t>
      </w:r>
      <w:r w:rsidRPr="00B211DC">
        <w:rPr>
          <w:rFonts w:cs="Arial"/>
          <w:sz w:val="18"/>
          <w:szCs w:val="18"/>
          <w:rtl/>
        </w:rPr>
        <w:t>בית שמאי אומרים</w:t>
      </w:r>
      <w:r w:rsidRPr="00B211DC">
        <w:rPr>
          <w:rFonts w:cs="Arial" w:hint="cs"/>
          <w:sz w:val="18"/>
          <w:szCs w:val="18"/>
          <w:rtl/>
        </w:rPr>
        <w:t>:</w:t>
      </w:r>
      <w:r w:rsidRPr="00B211DC">
        <w:rPr>
          <w:rFonts w:cs="Arial"/>
          <w:sz w:val="18"/>
          <w:szCs w:val="18"/>
          <w:rtl/>
        </w:rPr>
        <w:t xml:space="preserve"> סותר שני ימים שלפניו</w:t>
      </w:r>
      <w:r w:rsidRPr="00B211DC">
        <w:rPr>
          <w:rFonts w:cs="Arial" w:hint="cs"/>
          <w:sz w:val="18"/>
          <w:szCs w:val="18"/>
          <w:rtl/>
        </w:rPr>
        <w:t>;</w:t>
      </w:r>
      <w:r w:rsidRPr="00B211DC">
        <w:rPr>
          <w:rFonts w:cs="Arial"/>
          <w:sz w:val="18"/>
          <w:szCs w:val="18"/>
          <w:rtl/>
        </w:rPr>
        <w:t xml:space="preserve"> ובית הלל אומרים</w:t>
      </w:r>
      <w:r w:rsidRPr="00B211DC">
        <w:rPr>
          <w:rFonts w:cs="Arial" w:hint="cs"/>
          <w:sz w:val="18"/>
          <w:szCs w:val="18"/>
          <w:rtl/>
        </w:rPr>
        <w:t>:</w:t>
      </w:r>
      <w:r w:rsidRPr="00B211DC">
        <w:rPr>
          <w:rFonts w:cs="Arial"/>
          <w:sz w:val="18"/>
          <w:szCs w:val="18"/>
          <w:rtl/>
        </w:rPr>
        <w:t xml:space="preserve"> לא סתר אלא יומו</w:t>
      </w:r>
      <w:r w:rsidRPr="00B211DC">
        <w:rPr>
          <w:rFonts w:hint="cs"/>
          <w:sz w:val="18"/>
          <w:szCs w:val="18"/>
          <w:rtl/>
        </w:rPr>
        <w:t>".</w:t>
      </w:r>
      <w:r w:rsidRPr="00B211DC">
        <w:rPr>
          <w:sz w:val="18"/>
          <w:szCs w:val="18"/>
          <w:rtl/>
        </w:rPr>
        <w:br/>
      </w:r>
      <w:r w:rsidRPr="00B211DC">
        <w:rPr>
          <w:rFonts w:hint="cs"/>
          <w:sz w:val="18"/>
          <w:szCs w:val="18"/>
          <w:rtl/>
        </w:rPr>
        <w:t>אך הרב גדעון כתב שראיה זו אינה ברורה, משום שמניין לנו להשוות זב לזבה? ועוד, אדרבה, מה הראיה משיטת בית שמאי, קיי"ל כבית הלל ואם כן מוכח מהתם שאין חוששים לחומרה זו!</w:t>
      </w:r>
    </w:p>
  </w:footnote>
  <w:footnote w:id="538">
    <w:p w:rsidR="005953C5" w:rsidRDefault="005953C5" w:rsidP="00620060">
      <w:pPr>
        <w:pStyle w:val="a3"/>
      </w:pPr>
      <w:r w:rsidRPr="00932A2A">
        <w:rPr>
          <w:rStyle w:val="a5"/>
          <w:sz w:val="18"/>
          <w:szCs w:val="18"/>
        </w:rPr>
        <w:footnoteRef/>
      </w:r>
      <w:r w:rsidRPr="00932A2A">
        <w:rPr>
          <w:sz w:val="18"/>
          <w:szCs w:val="18"/>
          <w:rtl/>
        </w:rPr>
        <w:t xml:space="preserve"> </w:t>
      </w:r>
      <w:r w:rsidRPr="00932A2A">
        <w:rPr>
          <w:rFonts w:hint="cs"/>
          <w:b/>
          <w:bCs/>
          <w:sz w:val="18"/>
          <w:szCs w:val="18"/>
          <w:rtl/>
        </w:rPr>
        <w:t xml:space="preserve">הדרכי משה </w:t>
      </w:r>
      <w:r w:rsidRPr="00932A2A">
        <w:rPr>
          <w:rFonts w:hint="cs"/>
          <w:sz w:val="18"/>
          <w:szCs w:val="18"/>
          <w:rtl/>
        </w:rPr>
        <w:t xml:space="preserve">מסלק קושייה על ראייתו - </w:t>
      </w:r>
      <w:r w:rsidRPr="00932A2A">
        <w:rPr>
          <w:sz w:val="18"/>
          <w:szCs w:val="18"/>
          <w:rtl/>
        </w:rPr>
        <w:br/>
      </w:r>
      <w:r w:rsidRPr="00932A2A">
        <w:rPr>
          <w:rFonts w:hint="cs"/>
          <w:sz w:val="18"/>
          <w:szCs w:val="18"/>
          <w:rtl/>
        </w:rPr>
        <w:t>לכאורה יש לדחות, דווקא ברואה ממש תולים במכה שידוע שמוציאה דם, כיוון שמעיינה סתום וכעת היא תחילת ראייתה, על כורחך מקור הדם הוא המכה. ואולם, כאן מדובר כשמעיינה פתוח, ואם כן אין לתלות את הכתם במכה אלא בראייה!</w:t>
      </w:r>
      <w:r w:rsidRPr="00932A2A">
        <w:rPr>
          <w:rFonts w:hint="cs"/>
          <w:sz w:val="18"/>
          <w:szCs w:val="18"/>
          <w:rtl/>
        </w:rPr>
        <w:br/>
        <w:t xml:space="preserve">דוחה הדרכי משה </w:t>
      </w:r>
      <w:r w:rsidRPr="00932A2A">
        <w:rPr>
          <w:sz w:val="18"/>
          <w:szCs w:val="18"/>
          <w:rtl/>
        </w:rPr>
        <w:t>–</w:t>
      </w:r>
      <w:r w:rsidRPr="00932A2A">
        <w:rPr>
          <w:rFonts w:hint="cs"/>
          <w:sz w:val="18"/>
          <w:szCs w:val="18"/>
          <w:rtl/>
        </w:rPr>
        <w:t xml:space="preserve"> הרי אפילו בשעת ווסתה יש מקלים לתלות את הדם במכה, כיוון שס"ל ווסתות דרבנן, והמחמירים שלא לתלות במכה ס"ל ווסתות דא</w:t>
      </w:r>
      <w:r>
        <w:rPr>
          <w:rFonts w:hint="cs"/>
          <w:sz w:val="18"/>
          <w:szCs w:val="18"/>
          <w:rtl/>
        </w:rPr>
        <w:t>ורייתא</w:t>
      </w:r>
      <w:r w:rsidRPr="00932A2A">
        <w:rPr>
          <w:rFonts w:hint="cs"/>
          <w:sz w:val="18"/>
          <w:szCs w:val="18"/>
          <w:rtl/>
        </w:rPr>
        <w:t>, אך בכתם דרבנן בוודאי שיש לתלות לכולי עלמא.</w:t>
      </w:r>
    </w:p>
  </w:footnote>
  <w:footnote w:id="539">
    <w:p w:rsidR="005953C5" w:rsidRDefault="005953C5" w:rsidP="00620060">
      <w:pPr>
        <w:pStyle w:val="a3"/>
        <w:rPr>
          <w:rtl/>
        </w:rPr>
      </w:pPr>
      <w:r>
        <w:rPr>
          <w:rStyle w:val="a5"/>
        </w:rPr>
        <w:footnoteRef/>
      </w:r>
      <w:r>
        <w:rPr>
          <w:rFonts w:hint="cs"/>
          <w:sz w:val="18"/>
          <w:szCs w:val="18"/>
          <w:rtl/>
        </w:rPr>
        <w:t xml:space="preserve"> </w:t>
      </w:r>
      <w:r w:rsidRPr="00DA7D19">
        <w:rPr>
          <w:rFonts w:hint="cs"/>
          <w:sz w:val="18"/>
          <w:szCs w:val="18"/>
          <w:rtl/>
        </w:rPr>
        <w:t xml:space="preserve">וכן כתב </w:t>
      </w:r>
      <w:r w:rsidRPr="00DA7D19">
        <w:rPr>
          <w:rFonts w:hint="cs"/>
          <w:b/>
          <w:bCs/>
          <w:sz w:val="18"/>
          <w:szCs w:val="18"/>
          <w:rtl/>
        </w:rPr>
        <w:t>הבית יוסף</w:t>
      </w:r>
      <w:r w:rsidRPr="00DA7D19">
        <w:rPr>
          <w:rFonts w:hint="cs"/>
          <w:sz w:val="18"/>
          <w:szCs w:val="18"/>
          <w:rtl/>
        </w:rPr>
        <w:t xml:space="preserve"> להדיא בשם </w:t>
      </w:r>
      <w:r w:rsidRPr="00FA7BD3">
        <w:rPr>
          <w:rFonts w:hint="cs"/>
          <w:b/>
          <w:bCs/>
          <w:sz w:val="18"/>
          <w:szCs w:val="18"/>
          <w:rtl/>
        </w:rPr>
        <w:t>הרשב"א</w:t>
      </w:r>
      <w:r w:rsidRPr="00DA7D19">
        <w:rPr>
          <w:rFonts w:hint="cs"/>
          <w:sz w:val="18"/>
          <w:szCs w:val="18"/>
          <w:rtl/>
        </w:rPr>
        <w:t xml:space="preserve"> שאין חילוק בין ימי טהרתה לימי ספירה, בכל עניין תולים כתמים לקולא.</w:t>
      </w:r>
    </w:p>
  </w:footnote>
  <w:footnote w:id="540">
    <w:p w:rsidR="005953C5" w:rsidRDefault="005953C5" w:rsidP="00620060">
      <w:pPr>
        <w:pStyle w:val="a3"/>
        <w:rPr>
          <w:rtl/>
        </w:rPr>
      </w:pPr>
      <w:r w:rsidRPr="003C7A57">
        <w:rPr>
          <w:rStyle w:val="a5"/>
          <w:sz w:val="18"/>
          <w:szCs w:val="18"/>
        </w:rPr>
        <w:footnoteRef/>
      </w:r>
      <w:r w:rsidRPr="003C7A57">
        <w:rPr>
          <w:sz w:val="18"/>
          <w:szCs w:val="18"/>
          <w:rtl/>
        </w:rPr>
        <w:t xml:space="preserve"> </w:t>
      </w:r>
      <w:r w:rsidRPr="003C7A57">
        <w:rPr>
          <w:rFonts w:hint="cs"/>
          <w:b/>
          <w:bCs/>
          <w:sz w:val="18"/>
          <w:szCs w:val="18"/>
          <w:rtl/>
        </w:rPr>
        <w:t>הש"ך</w:t>
      </w:r>
      <w:r w:rsidRPr="003C7A57">
        <w:rPr>
          <w:rFonts w:hint="cs"/>
          <w:sz w:val="18"/>
          <w:szCs w:val="18"/>
          <w:rtl/>
        </w:rPr>
        <w:t xml:space="preserve"> האריך מאוד להקשות על דברי </w:t>
      </w:r>
      <w:r w:rsidRPr="003C7A57">
        <w:rPr>
          <w:rFonts w:hint="cs"/>
          <w:b/>
          <w:bCs/>
          <w:sz w:val="18"/>
          <w:szCs w:val="18"/>
          <w:rtl/>
        </w:rPr>
        <w:t>הרמ"א</w:t>
      </w:r>
      <w:r w:rsidRPr="003C7A57">
        <w:rPr>
          <w:rFonts w:hint="cs"/>
          <w:sz w:val="18"/>
          <w:szCs w:val="18"/>
          <w:rtl/>
        </w:rPr>
        <w:t xml:space="preserve">, להל מקצת קושיותיו - </w:t>
      </w:r>
      <w:r w:rsidRPr="003C7A57">
        <w:rPr>
          <w:rFonts w:hint="cs"/>
          <w:sz w:val="18"/>
          <w:szCs w:val="18"/>
          <w:rtl/>
        </w:rPr>
        <w:br/>
        <w:t xml:space="preserve">א. </w:t>
      </w:r>
      <w:r w:rsidRPr="003C7A57">
        <w:rPr>
          <w:rFonts w:hint="cs"/>
          <w:b/>
          <w:bCs/>
          <w:sz w:val="18"/>
          <w:szCs w:val="18"/>
          <w:rtl/>
        </w:rPr>
        <w:t>הרמ"א</w:t>
      </w:r>
      <w:r w:rsidRPr="003C7A57">
        <w:rPr>
          <w:rFonts w:hint="cs"/>
          <w:sz w:val="18"/>
          <w:szCs w:val="18"/>
          <w:rtl/>
        </w:rPr>
        <w:t xml:space="preserve"> כתב שמדברי המרדכי משמע שהחמיר רק במכה שאין ידוע שמוציאה דם, אך מדברי המרדכי משמע שהוא מתייחס לכל מכה, שהרי סתם ולא חילק.</w:t>
      </w:r>
      <w:r w:rsidRPr="003C7A57">
        <w:rPr>
          <w:sz w:val="18"/>
          <w:szCs w:val="18"/>
          <w:rtl/>
        </w:rPr>
        <w:br/>
      </w:r>
      <w:r w:rsidRPr="003C7A57">
        <w:rPr>
          <w:rFonts w:hint="cs"/>
          <w:sz w:val="18"/>
          <w:szCs w:val="18"/>
          <w:rtl/>
        </w:rPr>
        <w:t>ב.</w:t>
      </w:r>
      <w:r w:rsidRPr="003C7A57">
        <w:rPr>
          <w:rFonts w:hint="cs"/>
          <w:b/>
          <w:bCs/>
          <w:sz w:val="18"/>
          <w:szCs w:val="18"/>
          <w:rtl/>
        </w:rPr>
        <w:t xml:space="preserve"> המרדכי </w:t>
      </w:r>
      <w:r w:rsidRPr="003C7A57">
        <w:rPr>
          <w:rFonts w:hint="cs"/>
          <w:sz w:val="18"/>
          <w:szCs w:val="18"/>
          <w:rtl/>
        </w:rPr>
        <w:t xml:space="preserve">כתב להדיא שאפילו אם התעסקה בדם ציפור אין תולים אע"פ שיש דם לפנינו, ואם כן כל שכן שאין תולים במכה. ואמנם, </w:t>
      </w:r>
      <w:r w:rsidRPr="003C7A57">
        <w:rPr>
          <w:rFonts w:hint="cs"/>
          <w:b/>
          <w:bCs/>
          <w:sz w:val="18"/>
          <w:szCs w:val="18"/>
          <w:rtl/>
        </w:rPr>
        <w:t xml:space="preserve">הרמ"א </w:t>
      </w:r>
      <w:r w:rsidRPr="003C7A57">
        <w:rPr>
          <w:rFonts w:hint="cs"/>
          <w:sz w:val="18"/>
          <w:szCs w:val="18"/>
          <w:rtl/>
        </w:rPr>
        <w:t>יחלק ויאמר שדם ציפור בא מחוץ לגופה ויכולה להיזהר, משא"כ במכה שבגופה שאינה יכולה להיזהר. ואולם, חילוק זה אינו במשמע דברי המרדכי.</w:t>
      </w:r>
      <w:r w:rsidRPr="003C7A57">
        <w:rPr>
          <w:sz w:val="18"/>
          <w:szCs w:val="18"/>
          <w:rtl/>
        </w:rPr>
        <w:br/>
      </w:r>
      <w:r w:rsidRPr="003C7A57">
        <w:rPr>
          <w:rFonts w:hint="cs"/>
          <w:sz w:val="18"/>
          <w:szCs w:val="18"/>
          <w:rtl/>
        </w:rPr>
        <w:t xml:space="preserve">ג. מדברי הראשונים בטעם החומרה, שצריכה לדעת בוודאות שפסק מעיינה, מוכח שאין חילוק באיזו מכה מדובר, כל שאינה יודעת בוודאות שפסק דם מקורה </w:t>
      </w:r>
      <w:r w:rsidRPr="003C7A57">
        <w:rPr>
          <w:sz w:val="18"/>
          <w:szCs w:val="18"/>
          <w:rtl/>
        </w:rPr>
        <w:t>–</w:t>
      </w:r>
      <w:r w:rsidRPr="003C7A57">
        <w:rPr>
          <w:rFonts w:hint="cs"/>
          <w:sz w:val="18"/>
          <w:szCs w:val="18"/>
          <w:rtl/>
        </w:rPr>
        <w:t xml:space="preserve"> אין תולה האת הכתם במכה. </w:t>
      </w:r>
      <w:r w:rsidRPr="003C7A57">
        <w:rPr>
          <w:sz w:val="18"/>
          <w:szCs w:val="18"/>
          <w:rtl/>
        </w:rPr>
        <w:br/>
      </w:r>
      <w:r w:rsidRPr="003C7A57">
        <w:rPr>
          <w:rFonts w:hint="cs"/>
          <w:sz w:val="18"/>
          <w:szCs w:val="18"/>
          <w:rtl/>
        </w:rPr>
        <w:t xml:space="preserve">ד. מה שכתב </w:t>
      </w:r>
      <w:r w:rsidRPr="003C7A57">
        <w:rPr>
          <w:rFonts w:hint="cs"/>
          <w:b/>
          <w:bCs/>
          <w:sz w:val="18"/>
          <w:szCs w:val="18"/>
          <w:rtl/>
        </w:rPr>
        <w:t>הרמ"א</w:t>
      </w:r>
      <w:r w:rsidRPr="003C7A57">
        <w:rPr>
          <w:rFonts w:hint="cs"/>
          <w:sz w:val="18"/>
          <w:szCs w:val="18"/>
          <w:rtl/>
        </w:rPr>
        <w:t xml:space="preserve"> להקל משום שחומרה זו אינה מפורשת בשאר הראשונים, הרי במכה מקומות מצאנו דין שהשמיטו שאר הראשונים, ואמרינן 'ילמד סתום מו המפורש'. ומדברי </w:t>
      </w:r>
      <w:r w:rsidRPr="003C7A57">
        <w:rPr>
          <w:rFonts w:hint="cs"/>
          <w:b/>
          <w:bCs/>
          <w:sz w:val="18"/>
          <w:szCs w:val="18"/>
          <w:rtl/>
        </w:rPr>
        <w:t>הרשב"א</w:t>
      </w:r>
      <w:r w:rsidRPr="003C7A57">
        <w:rPr>
          <w:rFonts w:hint="cs"/>
          <w:sz w:val="18"/>
          <w:szCs w:val="18"/>
          <w:rtl/>
        </w:rPr>
        <w:t xml:space="preserve"> אין להביא ראיה שאין מקום לחומרה זו, משום שניתן לפרש </w:t>
      </w:r>
      <w:r w:rsidRPr="003C7A57">
        <w:rPr>
          <w:rFonts w:hint="cs"/>
          <w:b/>
          <w:bCs/>
          <w:sz w:val="18"/>
          <w:szCs w:val="18"/>
          <w:rtl/>
        </w:rPr>
        <w:t>שהרשב"א</w:t>
      </w:r>
      <w:r w:rsidRPr="003C7A57">
        <w:rPr>
          <w:rFonts w:hint="cs"/>
          <w:sz w:val="18"/>
          <w:szCs w:val="18"/>
          <w:rtl/>
        </w:rPr>
        <w:t xml:space="preserve"> קאי על לאחר שלושת הימים הראשונים.</w:t>
      </w:r>
    </w:p>
  </w:footnote>
  <w:footnote w:id="541">
    <w:p w:rsidR="005953C5" w:rsidRDefault="005953C5" w:rsidP="00620060">
      <w:pPr>
        <w:pStyle w:val="a3"/>
        <w:rPr>
          <w:rtl/>
        </w:rPr>
      </w:pPr>
      <w:r w:rsidRPr="0076650D">
        <w:rPr>
          <w:rStyle w:val="a5"/>
          <w:sz w:val="18"/>
          <w:szCs w:val="18"/>
        </w:rPr>
        <w:footnoteRef/>
      </w:r>
      <w:r w:rsidRPr="0076650D">
        <w:rPr>
          <w:sz w:val="18"/>
          <w:szCs w:val="18"/>
          <w:rtl/>
        </w:rPr>
        <w:t xml:space="preserve"> </w:t>
      </w:r>
      <w:r w:rsidRPr="0076650D">
        <w:rPr>
          <w:rFonts w:hint="cs"/>
          <w:sz w:val="18"/>
          <w:szCs w:val="18"/>
          <w:rtl/>
        </w:rPr>
        <w:t xml:space="preserve">יש להרחיב מעט בביאור סוגייה זו, וכך היא לשון הברייתא המובאת קודם לכן (מא:) - </w:t>
      </w:r>
      <w:r w:rsidRPr="0076650D">
        <w:rPr>
          <w:sz w:val="18"/>
          <w:szCs w:val="18"/>
          <w:rtl/>
        </w:rPr>
        <w:br/>
      </w:r>
      <w:r w:rsidRPr="0076650D">
        <w:rPr>
          <w:rFonts w:cs="Arial" w:hint="cs"/>
          <w:sz w:val="18"/>
          <w:szCs w:val="18"/>
          <w:rtl/>
        </w:rPr>
        <w:t>"</w:t>
      </w:r>
      <w:r w:rsidRPr="0076650D">
        <w:rPr>
          <w:rFonts w:cs="Arial"/>
          <w:sz w:val="18"/>
          <w:szCs w:val="18"/>
          <w:rtl/>
        </w:rPr>
        <w:t>תנו רבנן: בבשרה - מלמד שמטמאה בפנים כבחוץ, ואין לי אלא נדה, זבה מנין – ת</w:t>
      </w:r>
      <w:r w:rsidRPr="0076650D">
        <w:rPr>
          <w:rFonts w:cs="Arial" w:hint="cs"/>
          <w:sz w:val="18"/>
          <w:szCs w:val="18"/>
          <w:rtl/>
        </w:rPr>
        <w:t>למוד לומר</w:t>
      </w:r>
      <w:r w:rsidRPr="0076650D">
        <w:rPr>
          <w:rFonts w:cs="Arial"/>
          <w:sz w:val="18"/>
          <w:szCs w:val="18"/>
          <w:rtl/>
        </w:rPr>
        <w:t xml:space="preserve"> זובה בבשרה. פולטת ש</w:t>
      </w:r>
      <w:r w:rsidRPr="0076650D">
        <w:rPr>
          <w:rFonts w:cs="Arial" w:hint="cs"/>
          <w:sz w:val="18"/>
          <w:szCs w:val="18"/>
          <w:rtl/>
        </w:rPr>
        <w:t>כבת זרע</w:t>
      </w:r>
      <w:r w:rsidRPr="0076650D">
        <w:rPr>
          <w:rFonts w:cs="Arial"/>
          <w:sz w:val="18"/>
          <w:szCs w:val="18"/>
          <w:rtl/>
        </w:rPr>
        <w:t xml:space="preserve"> מנין – ת</w:t>
      </w:r>
      <w:r w:rsidRPr="0076650D">
        <w:rPr>
          <w:rFonts w:cs="Arial" w:hint="cs"/>
          <w:sz w:val="18"/>
          <w:szCs w:val="18"/>
          <w:rtl/>
        </w:rPr>
        <w:t xml:space="preserve">למוד </w:t>
      </w:r>
      <w:r w:rsidRPr="0076650D">
        <w:rPr>
          <w:rFonts w:cs="Arial"/>
          <w:sz w:val="18"/>
          <w:szCs w:val="18"/>
          <w:rtl/>
        </w:rPr>
        <w:t>ל</w:t>
      </w:r>
      <w:r w:rsidRPr="0076650D">
        <w:rPr>
          <w:rFonts w:cs="Arial" w:hint="cs"/>
          <w:sz w:val="18"/>
          <w:szCs w:val="18"/>
          <w:rtl/>
        </w:rPr>
        <w:t>ומר</w:t>
      </w:r>
      <w:r w:rsidRPr="0076650D">
        <w:rPr>
          <w:rFonts w:cs="Arial"/>
          <w:sz w:val="18"/>
          <w:szCs w:val="18"/>
          <w:rtl/>
        </w:rPr>
        <w:t xml:space="preserve"> יהיה. ור</w:t>
      </w:r>
      <w:r w:rsidRPr="0076650D">
        <w:rPr>
          <w:rFonts w:cs="Arial" w:hint="cs"/>
          <w:sz w:val="18"/>
          <w:szCs w:val="18"/>
          <w:rtl/>
        </w:rPr>
        <w:t>בי</w:t>
      </w:r>
      <w:r w:rsidRPr="0076650D">
        <w:rPr>
          <w:rFonts w:cs="Arial"/>
          <w:sz w:val="18"/>
          <w:szCs w:val="18"/>
          <w:rtl/>
        </w:rPr>
        <w:t xml:space="preserve"> שמעון אומר: דיה כבועלה, מה בועלה - אינו מטמא עד שתצא טומאה לחוץ, אף היא - אינה מטמאה עד שתצא טומאתה לחוץ</w:t>
      </w:r>
      <w:r w:rsidRPr="0076650D">
        <w:rPr>
          <w:rFonts w:cs="Arial" w:hint="cs"/>
          <w:sz w:val="18"/>
          <w:szCs w:val="18"/>
          <w:rtl/>
        </w:rPr>
        <w:t>"</w:t>
      </w:r>
      <w:r w:rsidRPr="0076650D">
        <w:rPr>
          <w:rFonts w:cs="Arial"/>
          <w:sz w:val="18"/>
          <w:szCs w:val="18"/>
          <w:rtl/>
        </w:rPr>
        <w:t>.</w:t>
      </w:r>
      <w:r w:rsidRPr="0076650D">
        <w:rPr>
          <w:sz w:val="18"/>
          <w:szCs w:val="18"/>
          <w:rtl/>
        </w:rPr>
        <w:br/>
      </w:r>
      <w:r w:rsidRPr="0076650D">
        <w:rPr>
          <w:rFonts w:hint="cs"/>
          <w:sz w:val="18"/>
          <w:szCs w:val="18"/>
          <w:rtl/>
        </w:rPr>
        <w:t xml:space="preserve">הסבר </w:t>
      </w:r>
      <w:r w:rsidRPr="0076650D">
        <w:rPr>
          <w:sz w:val="18"/>
          <w:szCs w:val="18"/>
          <w:rtl/>
        </w:rPr>
        <w:t>–</w:t>
      </w:r>
      <w:r w:rsidRPr="0076650D">
        <w:rPr>
          <w:rFonts w:hint="cs"/>
          <w:sz w:val="18"/>
          <w:szCs w:val="18"/>
          <w:rtl/>
        </w:rPr>
        <w:t xml:space="preserve"> לדעת חכמים, אשה הפולטת שכבת זרע נטמאת אף לפני שהזרע יצא החוצה, לדעת רבי שמעון היא טמאה רק כאשר הזרע יוצא החוצה.</w:t>
      </w:r>
      <w:r w:rsidRPr="0076650D">
        <w:rPr>
          <w:sz w:val="18"/>
          <w:szCs w:val="18"/>
          <w:rtl/>
        </w:rPr>
        <w:br/>
      </w:r>
      <w:r w:rsidRPr="0076650D">
        <w:rPr>
          <w:rFonts w:hint="cs"/>
          <w:sz w:val="18"/>
          <w:szCs w:val="18"/>
          <w:rtl/>
        </w:rPr>
        <w:t xml:space="preserve">לאחר הקדמה זו, ניתן להבין טוב יותר את הבעיא הכתובה בפנים, ומצוטטת כאן באופן רחב יותר </w:t>
      </w:r>
      <w:r w:rsidRPr="0076650D">
        <w:rPr>
          <w:sz w:val="18"/>
          <w:szCs w:val="18"/>
          <w:rtl/>
        </w:rPr>
        <w:t>–</w:t>
      </w:r>
      <w:r w:rsidRPr="0076650D">
        <w:rPr>
          <w:rFonts w:hint="cs"/>
          <w:sz w:val="18"/>
          <w:szCs w:val="18"/>
          <w:rtl/>
        </w:rPr>
        <w:t xml:space="preserve"> </w:t>
      </w:r>
      <w:r w:rsidRPr="0076650D">
        <w:rPr>
          <w:sz w:val="18"/>
          <w:szCs w:val="18"/>
          <w:rtl/>
        </w:rPr>
        <w:br/>
      </w:r>
      <w:r w:rsidRPr="0076650D">
        <w:rPr>
          <w:rFonts w:hint="cs"/>
          <w:sz w:val="18"/>
          <w:szCs w:val="18"/>
          <w:rtl/>
        </w:rPr>
        <w:t>"</w:t>
      </w:r>
      <w:r w:rsidRPr="0076650D">
        <w:rPr>
          <w:rFonts w:cs="Arial"/>
          <w:sz w:val="18"/>
          <w:szCs w:val="18"/>
          <w:rtl/>
        </w:rPr>
        <w:t xml:space="preserve">בעא מיניה רב שמואל בר ביסנא מאביי: פולטת שכבת זרע, רואה הויא או נוגעת הויא? נפקא מינה: לסתור, ולטמא במשהו, ולטמא בפנים כבחוץ. </w:t>
      </w:r>
      <w:r w:rsidRPr="0076650D">
        <w:rPr>
          <w:rFonts w:cs="Arial" w:hint="cs"/>
          <w:sz w:val="18"/>
          <w:szCs w:val="18"/>
          <w:rtl/>
        </w:rPr>
        <w:br/>
      </w:r>
      <w:r w:rsidRPr="0076650D">
        <w:rPr>
          <w:rFonts w:cs="Arial"/>
          <w:sz w:val="18"/>
          <w:szCs w:val="18"/>
          <w:rtl/>
        </w:rPr>
        <w:t>מה נפשך, אי שמיע ליה מתניתין, לרבנן - רואה הויא, ולר</w:t>
      </w:r>
      <w:r w:rsidRPr="0076650D">
        <w:rPr>
          <w:rFonts w:cs="Arial" w:hint="cs"/>
          <w:sz w:val="18"/>
          <w:szCs w:val="18"/>
          <w:rtl/>
        </w:rPr>
        <w:t>בי</w:t>
      </w:r>
      <w:r w:rsidRPr="0076650D">
        <w:rPr>
          <w:rFonts w:cs="Arial"/>
          <w:sz w:val="18"/>
          <w:szCs w:val="18"/>
          <w:rtl/>
        </w:rPr>
        <w:t xml:space="preserve"> שמעון - נוגעת הויא. ואי לא שמיע ליה מתניתין, מסתברא - נוגעת הויא! </w:t>
      </w:r>
      <w:r w:rsidRPr="0076650D">
        <w:rPr>
          <w:rFonts w:cs="Arial" w:hint="cs"/>
          <w:sz w:val="18"/>
          <w:szCs w:val="18"/>
          <w:rtl/>
        </w:rPr>
        <w:br/>
      </w:r>
      <w:r w:rsidRPr="0076650D">
        <w:rPr>
          <w:rFonts w:cs="Arial"/>
          <w:sz w:val="18"/>
          <w:szCs w:val="18"/>
          <w:rtl/>
        </w:rPr>
        <w:t>לעולם שמיע ליה מתניתין, ואליבא דרבנן - לא קמיבעיא ליה, כי קא מיבעיא ליה - אליבא דר</w:t>
      </w:r>
      <w:r w:rsidRPr="0076650D">
        <w:rPr>
          <w:rFonts w:cs="Arial" w:hint="cs"/>
          <w:sz w:val="18"/>
          <w:szCs w:val="18"/>
          <w:rtl/>
        </w:rPr>
        <w:t xml:space="preserve">בי </w:t>
      </w:r>
      <w:r w:rsidRPr="0076650D">
        <w:rPr>
          <w:rFonts w:cs="Arial"/>
          <w:sz w:val="18"/>
          <w:szCs w:val="18"/>
          <w:rtl/>
        </w:rPr>
        <w:t>ש</w:t>
      </w:r>
      <w:r w:rsidRPr="0076650D">
        <w:rPr>
          <w:rFonts w:cs="Arial" w:hint="cs"/>
          <w:sz w:val="18"/>
          <w:szCs w:val="18"/>
          <w:rtl/>
        </w:rPr>
        <w:t>מעון</w:t>
      </w:r>
      <w:r w:rsidRPr="0076650D">
        <w:rPr>
          <w:rFonts w:cs="Arial"/>
          <w:sz w:val="18"/>
          <w:szCs w:val="18"/>
          <w:rtl/>
        </w:rPr>
        <w:t xml:space="preserve"> ולטמא בפנים כבחוץ - לא קמיבעיא ליה, כי קמיבעיא ליה - לסתור ולטמא בכל שהוא, מאי? כי קאמר רבי שמעון דיה כבועלה - הני מילי לטמויי בפנים כבחוץ, אבל לסתור ולטמא בכל שהוא - רואה הויא, או דילמא - לא שנא?</w:t>
      </w:r>
      <w:r w:rsidRPr="0076650D">
        <w:rPr>
          <w:rFonts w:cs="Arial" w:hint="cs"/>
          <w:sz w:val="18"/>
          <w:szCs w:val="18"/>
          <w:rtl/>
        </w:rPr>
        <w:t>".</w:t>
      </w:r>
      <w:r w:rsidRPr="0076650D">
        <w:rPr>
          <w:rFonts w:cs="Arial"/>
          <w:sz w:val="18"/>
          <w:szCs w:val="18"/>
          <w:rtl/>
        </w:rPr>
        <w:br/>
      </w:r>
      <w:r w:rsidRPr="0076650D">
        <w:rPr>
          <w:rFonts w:cs="Arial" w:hint="cs"/>
          <w:sz w:val="18"/>
          <w:szCs w:val="18"/>
          <w:rtl/>
        </w:rPr>
        <w:t xml:space="preserve">הסבר </w:t>
      </w:r>
      <w:r w:rsidRPr="0076650D">
        <w:rPr>
          <w:rFonts w:cs="Arial"/>
          <w:sz w:val="18"/>
          <w:szCs w:val="18"/>
          <w:rtl/>
        </w:rPr>
        <w:t>–</w:t>
      </w:r>
      <w:r w:rsidRPr="0076650D">
        <w:rPr>
          <w:rFonts w:cs="Arial" w:hint="cs"/>
          <w:sz w:val="18"/>
          <w:szCs w:val="18"/>
          <w:rtl/>
        </w:rPr>
        <w:t xml:space="preserve"> ישנן שלושה הבדלים הלכתיים בין טומאה בחוץ לבין טומאה בפנים </w:t>
      </w:r>
      <w:r w:rsidRPr="0076650D">
        <w:rPr>
          <w:rFonts w:cs="Arial"/>
          <w:sz w:val="18"/>
          <w:szCs w:val="18"/>
          <w:rtl/>
        </w:rPr>
        <w:t>–</w:t>
      </w:r>
      <w:r w:rsidRPr="0076650D">
        <w:rPr>
          <w:rFonts w:cs="Arial" w:hint="cs"/>
          <w:sz w:val="18"/>
          <w:szCs w:val="18"/>
          <w:rtl/>
        </w:rPr>
        <w:t xml:space="preserve"> א. אם היא רואה, הרי שסותרת את מניין הנקיים, בניגוד לטומאת מגע שאינה סותרת </w:t>
      </w:r>
      <w:r w:rsidRPr="0076650D">
        <w:rPr>
          <w:rFonts w:cs="Arial" w:hint="cs"/>
          <w:sz w:val="16"/>
          <w:szCs w:val="16"/>
          <w:rtl/>
        </w:rPr>
        <w:t>(שהרי לא שמענו שזבה הנוגעת בשרץ סותרת נקיים)</w:t>
      </w:r>
      <w:r w:rsidRPr="0076650D">
        <w:rPr>
          <w:rFonts w:cs="Arial" w:hint="cs"/>
          <w:sz w:val="18"/>
          <w:szCs w:val="18"/>
          <w:rtl/>
        </w:rPr>
        <w:t>.</w:t>
      </w:r>
      <w:r w:rsidRPr="0076650D">
        <w:rPr>
          <w:rFonts w:cs="Arial"/>
          <w:sz w:val="18"/>
          <w:szCs w:val="18"/>
          <w:rtl/>
        </w:rPr>
        <w:br/>
      </w:r>
      <w:r w:rsidRPr="0076650D">
        <w:rPr>
          <w:rFonts w:cs="Arial" w:hint="cs"/>
          <w:sz w:val="18"/>
          <w:szCs w:val="18"/>
          <w:rtl/>
        </w:rPr>
        <w:t xml:space="preserve">ב. טומאת ראייה היא במשהו, בניגוד לטומאה מגע שיש לה שיעור </w:t>
      </w:r>
      <w:r w:rsidRPr="0076650D">
        <w:rPr>
          <w:rFonts w:cs="Arial" w:hint="cs"/>
          <w:sz w:val="16"/>
          <w:szCs w:val="16"/>
          <w:rtl/>
        </w:rPr>
        <w:t>(שרץ ב</w:t>
      </w:r>
      <w:r>
        <w:rPr>
          <w:rFonts w:cs="Arial" w:hint="cs"/>
          <w:sz w:val="16"/>
          <w:szCs w:val="16"/>
          <w:rtl/>
        </w:rPr>
        <w:t>כ</w:t>
      </w:r>
      <w:r w:rsidRPr="0076650D">
        <w:rPr>
          <w:rFonts w:cs="Arial" w:hint="cs"/>
          <w:sz w:val="16"/>
          <w:szCs w:val="16"/>
          <w:rtl/>
        </w:rPr>
        <w:t>עדשה, נבלה בכזית)</w:t>
      </w:r>
      <w:r w:rsidRPr="0076650D">
        <w:rPr>
          <w:rFonts w:cs="Arial" w:hint="cs"/>
          <w:sz w:val="18"/>
          <w:szCs w:val="18"/>
          <w:rtl/>
        </w:rPr>
        <w:t>.</w:t>
      </w:r>
      <w:r w:rsidRPr="0076650D">
        <w:rPr>
          <w:rFonts w:cs="Arial"/>
          <w:sz w:val="18"/>
          <w:szCs w:val="18"/>
          <w:rtl/>
        </w:rPr>
        <w:br/>
      </w:r>
      <w:r w:rsidRPr="0076650D">
        <w:rPr>
          <w:rFonts w:cs="Arial" w:hint="cs"/>
          <w:sz w:val="18"/>
          <w:szCs w:val="18"/>
          <w:rtl/>
        </w:rPr>
        <w:t>ג. טומאת ראיית זוב היא אף כאשר הזרע טרם יצא החוצה, בניגוד לטומאת מגע.</w:t>
      </w:r>
      <w:r w:rsidRPr="0076650D">
        <w:rPr>
          <w:rFonts w:cs="Arial"/>
          <w:sz w:val="18"/>
          <w:szCs w:val="18"/>
          <w:rtl/>
        </w:rPr>
        <w:br/>
      </w:r>
      <w:r w:rsidRPr="0076650D">
        <w:rPr>
          <w:rFonts w:cs="Arial" w:hint="cs"/>
          <w:sz w:val="18"/>
          <w:szCs w:val="18"/>
          <w:rtl/>
        </w:rPr>
        <w:t>הנקודה עבורה חשוב לנו הדיון היא, כמובן, האם פולטת שכבת זרע סותרת כדין רואה.</w:t>
      </w:r>
      <w:r w:rsidRPr="0076650D">
        <w:rPr>
          <w:rFonts w:cs="Arial"/>
          <w:sz w:val="18"/>
          <w:szCs w:val="18"/>
          <w:rtl/>
        </w:rPr>
        <w:br/>
      </w:r>
      <w:r w:rsidRPr="0076650D">
        <w:rPr>
          <w:rFonts w:cs="Arial" w:hint="cs"/>
          <w:sz w:val="18"/>
          <w:szCs w:val="18"/>
          <w:rtl/>
        </w:rPr>
        <w:t xml:space="preserve">הגמרא משיבה שלדעת חכמים ברור שהיא רואה, שהרי היא נטמאת בפנים כבחוץ, כדין זוב. ואולם, הבעיא היא לדעת רבי שמעון. </w:t>
      </w:r>
      <w:r w:rsidRPr="0076650D">
        <w:rPr>
          <w:rFonts w:cs="Arial"/>
          <w:sz w:val="18"/>
          <w:szCs w:val="18"/>
          <w:rtl/>
        </w:rPr>
        <w:br/>
      </w:r>
      <w:r w:rsidRPr="0076650D">
        <w:rPr>
          <w:rFonts w:cs="Arial" w:hint="cs"/>
          <w:sz w:val="18"/>
          <w:szCs w:val="18"/>
          <w:rtl/>
        </w:rPr>
        <w:t xml:space="preserve">מסקנת הגמרא כך </w:t>
      </w:r>
      <w:r w:rsidRPr="0076650D">
        <w:rPr>
          <w:rFonts w:cs="Arial"/>
          <w:sz w:val="18"/>
          <w:szCs w:val="18"/>
          <w:rtl/>
        </w:rPr>
        <w:t>–</w:t>
      </w:r>
      <w:r w:rsidRPr="0076650D">
        <w:rPr>
          <w:rFonts w:cs="Arial" w:hint="cs"/>
          <w:sz w:val="18"/>
          <w:szCs w:val="18"/>
          <w:rtl/>
        </w:rPr>
        <w:t xml:space="preserve"> </w:t>
      </w:r>
      <w:r w:rsidRPr="0076650D">
        <w:rPr>
          <w:rFonts w:hint="cs"/>
          <w:sz w:val="18"/>
          <w:szCs w:val="18"/>
          <w:rtl/>
        </w:rPr>
        <w:t>"</w:t>
      </w:r>
      <w:r w:rsidRPr="0076650D">
        <w:rPr>
          <w:rFonts w:cs="Arial"/>
          <w:sz w:val="18"/>
          <w:szCs w:val="18"/>
          <w:rtl/>
        </w:rPr>
        <w:t>א</w:t>
      </w:r>
      <w:r w:rsidRPr="0076650D">
        <w:rPr>
          <w:rFonts w:cs="Arial" w:hint="cs"/>
          <w:sz w:val="18"/>
          <w:szCs w:val="18"/>
          <w:rtl/>
        </w:rPr>
        <w:t xml:space="preserve">מר </w:t>
      </w:r>
      <w:r w:rsidRPr="0076650D">
        <w:rPr>
          <w:rFonts w:cs="Arial"/>
          <w:sz w:val="18"/>
          <w:szCs w:val="18"/>
          <w:rtl/>
        </w:rPr>
        <w:t>ל</w:t>
      </w:r>
      <w:r w:rsidRPr="0076650D">
        <w:rPr>
          <w:rFonts w:cs="Arial" w:hint="cs"/>
          <w:sz w:val="18"/>
          <w:szCs w:val="18"/>
          <w:rtl/>
        </w:rPr>
        <w:t>יה</w:t>
      </w:r>
      <w:r w:rsidRPr="0076650D">
        <w:rPr>
          <w:rFonts w:cs="Arial"/>
          <w:sz w:val="18"/>
          <w:szCs w:val="18"/>
          <w:rtl/>
        </w:rPr>
        <w:t>: רואה הויא. אתא שייליה לרבא, א</w:t>
      </w:r>
      <w:r w:rsidRPr="0076650D">
        <w:rPr>
          <w:rFonts w:cs="Arial" w:hint="cs"/>
          <w:sz w:val="18"/>
          <w:szCs w:val="18"/>
          <w:rtl/>
        </w:rPr>
        <w:t xml:space="preserve">מר </w:t>
      </w:r>
      <w:r w:rsidRPr="0076650D">
        <w:rPr>
          <w:rFonts w:cs="Arial"/>
          <w:sz w:val="18"/>
          <w:szCs w:val="18"/>
          <w:rtl/>
        </w:rPr>
        <w:t>ל</w:t>
      </w:r>
      <w:r w:rsidRPr="0076650D">
        <w:rPr>
          <w:rFonts w:cs="Arial" w:hint="cs"/>
          <w:sz w:val="18"/>
          <w:szCs w:val="18"/>
          <w:rtl/>
        </w:rPr>
        <w:t>יה</w:t>
      </w:r>
      <w:r w:rsidRPr="0076650D">
        <w:rPr>
          <w:rFonts w:cs="Arial"/>
          <w:sz w:val="18"/>
          <w:szCs w:val="18"/>
          <w:rtl/>
        </w:rPr>
        <w:t>: רואה הויא. אתא לקמיה דרב יוסף, א</w:t>
      </w:r>
      <w:r w:rsidRPr="0076650D">
        <w:rPr>
          <w:rFonts w:cs="Arial" w:hint="cs"/>
          <w:sz w:val="18"/>
          <w:szCs w:val="18"/>
          <w:rtl/>
        </w:rPr>
        <w:t xml:space="preserve">מר </w:t>
      </w:r>
      <w:r w:rsidRPr="0076650D">
        <w:rPr>
          <w:rFonts w:cs="Arial"/>
          <w:sz w:val="18"/>
          <w:szCs w:val="18"/>
          <w:rtl/>
        </w:rPr>
        <w:t>ל</w:t>
      </w:r>
      <w:r w:rsidRPr="0076650D">
        <w:rPr>
          <w:rFonts w:cs="Arial" w:hint="cs"/>
          <w:sz w:val="18"/>
          <w:szCs w:val="18"/>
          <w:rtl/>
        </w:rPr>
        <w:t>יה</w:t>
      </w:r>
      <w:r w:rsidRPr="0076650D">
        <w:rPr>
          <w:rFonts w:cs="Arial"/>
          <w:sz w:val="18"/>
          <w:szCs w:val="18"/>
          <w:rtl/>
        </w:rPr>
        <w:t>: רואה הויא. הדר אתא לקמיה דאביי, א</w:t>
      </w:r>
      <w:r w:rsidRPr="0076650D">
        <w:rPr>
          <w:rFonts w:cs="Arial" w:hint="cs"/>
          <w:sz w:val="18"/>
          <w:szCs w:val="18"/>
          <w:rtl/>
        </w:rPr>
        <w:t xml:space="preserve">מר </w:t>
      </w:r>
      <w:r w:rsidRPr="0076650D">
        <w:rPr>
          <w:rFonts w:cs="Arial"/>
          <w:sz w:val="18"/>
          <w:szCs w:val="18"/>
          <w:rtl/>
        </w:rPr>
        <w:t>ל</w:t>
      </w:r>
      <w:r w:rsidRPr="0076650D">
        <w:rPr>
          <w:rFonts w:cs="Arial" w:hint="cs"/>
          <w:sz w:val="18"/>
          <w:szCs w:val="18"/>
          <w:rtl/>
        </w:rPr>
        <w:t>יה</w:t>
      </w:r>
      <w:r w:rsidRPr="0076650D">
        <w:rPr>
          <w:rFonts w:cs="Arial"/>
          <w:sz w:val="18"/>
          <w:szCs w:val="18"/>
          <w:rtl/>
        </w:rPr>
        <w:t>: כולכו ברוקא חדא תפיתו. אמר ליה: שפיר אמרי לך, עד כאן לא קאמר ר</w:t>
      </w:r>
      <w:r w:rsidRPr="0076650D">
        <w:rPr>
          <w:rFonts w:cs="Arial" w:hint="cs"/>
          <w:sz w:val="18"/>
          <w:szCs w:val="18"/>
          <w:rtl/>
        </w:rPr>
        <w:t>בי שמעון</w:t>
      </w:r>
      <w:r w:rsidRPr="0076650D">
        <w:rPr>
          <w:rFonts w:cs="Arial"/>
          <w:sz w:val="18"/>
          <w:szCs w:val="18"/>
          <w:rtl/>
        </w:rPr>
        <w:t xml:space="preserve"> דיה כבועלה - אלא לטמא בפנים כבחוץ, אבל לסתור ולטמא בכל שהוא - רואה הויא</w:t>
      </w:r>
      <w:r w:rsidRPr="0076650D">
        <w:rPr>
          <w:rFonts w:cs="Arial" w:hint="cs"/>
          <w:sz w:val="18"/>
          <w:szCs w:val="18"/>
          <w:rtl/>
        </w:rPr>
        <w:t>"</w:t>
      </w:r>
      <w:r w:rsidRPr="0076650D">
        <w:rPr>
          <w:rFonts w:cs="Arial"/>
          <w:sz w:val="18"/>
          <w:szCs w:val="18"/>
          <w:rtl/>
        </w:rPr>
        <w:t>.</w:t>
      </w:r>
      <w:r w:rsidRPr="0076650D">
        <w:rPr>
          <w:sz w:val="18"/>
          <w:szCs w:val="18"/>
          <w:rtl/>
        </w:rPr>
        <w:br/>
      </w:r>
      <w:r w:rsidRPr="0076650D">
        <w:rPr>
          <w:rFonts w:hint="cs"/>
          <w:sz w:val="18"/>
          <w:szCs w:val="18"/>
          <w:rtl/>
        </w:rPr>
        <w:t xml:space="preserve">כלומר </w:t>
      </w:r>
      <w:r w:rsidRPr="0076650D">
        <w:rPr>
          <w:sz w:val="18"/>
          <w:szCs w:val="18"/>
          <w:rtl/>
        </w:rPr>
        <w:t>–</w:t>
      </w:r>
      <w:r w:rsidRPr="0076650D">
        <w:rPr>
          <w:rFonts w:hint="cs"/>
          <w:sz w:val="18"/>
          <w:szCs w:val="18"/>
          <w:rtl/>
        </w:rPr>
        <w:t xml:space="preserve"> מתוך הברייתא עצמה יש לדקדק בדברי רבי שמעון שסבירא ליה שהיא מטמאה כרואה ולא כנוגעת, שהרי הוא אמר "דיה כבועלה". כלומר, רבי שמעון היה יכול לחלוק ולומר שהיא אינה מטמאה מבפנים משו</w:t>
      </w:r>
      <w:r>
        <w:rPr>
          <w:rFonts w:hint="cs"/>
          <w:sz w:val="18"/>
          <w:szCs w:val="18"/>
          <w:rtl/>
        </w:rPr>
        <w:t>ם</w:t>
      </w:r>
      <w:r w:rsidRPr="0076650D">
        <w:rPr>
          <w:rFonts w:hint="cs"/>
          <w:sz w:val="18"/>
          <w:szCs w:val="18"/>
          <w:rtl/>
        </w:rPr>
        <w:t xml:space="preserve"> שזו אינה טומאה ראייה, אך הוא בחר לנסח את דבריו בסגנון שונה, ועל כורחך כוונתו שרק במקום בו ההשוואה לאיש תגרום לה להיות כטומאת מגע סבירא ליה </w:t>
      </w:r>
      <w:r>
        <w:rPr>
          <w:rFonts w:hint="cs"/>
          <w:sz w:val="18"/>
          <w:szCs w:val="18"/>
          <w:rtl/>
        </w:rPr>
        <w:t>לחלוק</w:t>
      </w:r>
      <w:r w:rsidRPr="0076650D">
        <w:rPr>
          <w:rFonts w:hint="cs"/>
          <w:sz w:val="18"/>
          <w:szCs w:val="18"/>
          <w:rtl/>
        </w:rPr>
        <w:t xml:space="preserve">, אך בשאר הדינים ס"ל שזו טומאת ראייה, </w:t>
      </w:r>
      <w:r w:rsidRPr="0076650D">
        <w:rPr>
          <w:rFonts w:hint="cs"/>
          <w:b/>
          <w:bCs/>
          <w:sz w:val="18"/>
          <w:szCs w:val="18"/>
          <w:rtl/>
        </w:rPr>
        <w:t>מהר"ם</w:t>
      </w:r>
      <w:r w:rsidRPr="0076650D">
        <w:rPr>
          <w:rFonts w:hint="cs"/>
          <w:sz w:val="18"/>
          <w:szCs w:val="18"/>
          <w:rtl/>
        </w:rPr>
        <w:t>.</w:t>
      </w:r>
    </w:p>
  </w:footnote>
  <w:footnote w:id="542">
    <w:p w:rsidR="005953C5" w:rsidRDefault="005953C5" w:rsidP="00620060">
      <w:pPr>
        <w:pStyle w:val="a3"/>
      </w:pPr>
      <w:r w:rsidRPr="002B7013">
        <w:rPr>
          <w:rStyle w:val="a5"/>
          <w:sz w:val="18"/>
          <w:szCs w:val="18"/>
        </w:rPr>
        <w:footnoteRef/>
      </w:r>
      <w:r w:rsidRPr="002B7013">
        <w:rPr>
          <w:sz w:val="18"/>
          <w:szCs w:val="18"/>
          <w:rtl/>
        </w:rPr>
        <w:t xml:space="preserve"> </w:t>
      </w:r>
      <w:r w:rsidRPr="002B7013">
        <w:rPr>
          <w:rFonts w:hint="cs"/>
          <w:sz w:val="18"/>
          <w:szCs w:val="18"/>
          <w:rtl/>
        </w:rPr>
        <w:t xml:space="preserve">כגון </w:t>
      </w:r>
      <w:r w:rsidRPr="002B7013">
        <w:rPr>
          <w:sz w:val="18"/>
          <w:szCs w:val="18"/>
          <w:rtl/>
        </w:rPr>
        <w:t>–</w:t>
      </w:r>
      <w:r w:rsidRPr="002B7013">
        <w:rPr>
          <w:rFonts w:hint="cs"/>
          <w:sz w:val="18"/>
          <w:szCs w:val="18"/>
          <w:rtl/>
        </w:rPr>
        <w:t xml:space="preserve"> שימשה במוצ"ש בעשר בערב, כל ש"ז שתפלוט בליל רביעי עד עשר בערב דינה טמא, משום שעדיין לא עברו שש עונות שלמות.</w:t>
      </w:r>
    </w:p>
  </w:footnote>
  <w:footnote w:id="543">
    <w:p w:rsidR="005953C5" w:rsidRDefault="005953C5" w:rsidP="00620060">
      <w:pPr>
        <w:pStyle w:val="a3"/>
      </w:pPr>
      <w:r w:rsidRPr="00906058">
        <w:rPr>
          <w:rStyle w:val="a5"/>
          <w:sz w:val="18"/>
          <w:szCs w:val="18"/>
        </w:rPr>
        <w:footnoteRef/>
      </w:r>
      <w:r w:rsidRPr="00906058">
        <w:rPr>
          <w:sz w:val="18"/>
          <w:szCs w:val="18"/>
          <w:rtl/>
        </w:rPr>
        <w:t xml:space="preserve"> </w:t>
      </w:r>
      <w:r w:rsidRPr="00906058">
        <w:rPr>
          <w:rFonts w:hint="cs"/>
          <w:sz w:val="18"/>
          <w:szCs w:val="18"/>
          <w:rtl/>
        </w:rPr>
        <w:t xml:space="preserve">כך מפרש </w:t>
      </w:r>
      <w:r w:rsidRPr="00187A18">
        <w:rPr>
          <w:rFonts w:hint="cs"/>
          <w:b/>
          <w:bCs/>
          <w:sz w:val="18"/>
          <w:szCs w:val="18"/>
          <w:rtl/>
        </w:rPr>
        <w:t>הרמב"ם</w:t>
      </w:r>
      <w:r w:rsidRPr="00906058">
        <w:rPr>
          <w:rFonts w:hint="cs"/>
          <w:sz w:val="18"/>
          <w:szCs w:val="18"/>
          <w:rtl/>
        </w:rPr>
        <w:t xml:space="preserve"> את דברי ראב"ע </w:t>
      </w:r>
      <w:r w:rsidRPr="00906058">
        <w:rPr>
          <w:rFonts w:hint="cs"/>
          <w:sz w:val="16"/>
          <w:szCs w:val="16"/>
          <w:rtl/>
        </w:rPr>
        <w:t>(מקוואת, ח, ג)</w:t>
      </w:r>
      <w:r w:rsidRPr="00906058">
        <w:rPr>
          <w:rFonts w:hint="cs"/>
          <w:sz w:val="18"/>
          <w:szCs w:val="18"/>
          <w:rtl/>
        </w:rPr>
        <w:t xml:space="preserve">. ברם, </w:t>
      </w:r>
      <w:r w:rsidRPr="00187A18">
        <w:rPr>
          <w:rFonts w:hint="cs"/>
          <w:b/>
          <w:bCs/>
          <w:sz w:val="18"/>
          <w:szCs w:val="18"/>
          <w:rtl/>
        </w:rPr>
        <w:t>רש"י</w:t>
      </w:r>
      <w:r w:rsidRPr="00906058">
        <w:rPr>
          <w:rFonts w:hint="cs"/>
          <w:sz w:val="18"/>
          <w:szCs w:val="18"/>
          <w:rtl/>
        </w:rPr>
        <w:t xml:space="preserve"> מפרש שלדעת ראב"ע אין משמעות למספר העונות, אלא בכל אופן ביום השלישי לשימושה טהורה, פעמים שאלו שתי עונות שלמות ופעמים שאלו ארבע עונות.</w:t>
      </w:r>
    </w:p>
  </w:footnote>
  <w:footnote w:id="544">
    <w:p w:rsidR="005953C5" w:rsidRDefault="005953C5" w:rsidP="00620060">
      <w:pPr>
        <w:pStyle w:val="a3"/>
      </w:pPr>
      <w:r w:rsidRPr="00694AF3">
        <w:rPr>
          <w:rStyle w:val="a5"/>
          <w:sz w:val="18"/>
          <w:szCs w:val="18"/>
        </w:rPr>
        <w:footnoteRef/>
      </w:r>
      <w:r w:rsidRPr="00694AF3">
        <w:rPr>
          <w:sz w:val="18"/>
          <w:szCs w:val="18"/>
          <w:rtl/>
        </w:rPr>
        <w:t xml:space="preserve"> </w:t>
      </w:r>
      <w:r w:rsidRPr="00694AF3">
        <w:rPr>
          <w:rFonts w:hint="cs"/>
          <w:b/>
          <w:bCs/>
          <w:sz w:val="18"/>
          <w:szCs w:val="18"/>
          <w:rtl/>
        </w:rPr>
        <w:t xml:space="preserve">הב"ח </w:t>
      </w:r>
      <w:r w:rsidRPr="00694AF3">
        <w:rPr>
          <w:rFonts w:hint="cs"/>
          <w:sz w:val="18"/>
          <w:szCs w:val="18"/>
          <w:rtl/>
        </w:rPr>
        <w:t xml:space="preserve">מחזק את שיטתו גם מלשון </w:t>
      </w:r>
      <w:r w:rsidRPr="00694AF3">
        <w:rPr>
          <w:rFonts w:hint="cs"/>
          <w:b/>
          <w:bCs/>
          <w:sz w:val="18"/>
          <w:szCs w:val="18"/>
          <w:rtl/>
        </w:rPr>
        <w:t>תרומת הדשן</w:t>
      </w:r>
      <w:r w:rsidRPr="00694AF3">
        <w:rPr>
          <w:rFonts w:hint="cs"/>
          <w:sz w:val="18"/>
          <w:szCs w:val="18"/>
          <w:rtl/>
        </w:rPr>
        <w:t xml:space="preserve"> - </w:t>
      </w:r>
      <w:r w:rsidRPr="00694AF3">
        <w:rPr>
          <w:sz w:val="18"/>
          <w:szCs w:val="18"/>
          <w:rtl/>
        </w:rPr>
        <w:br/>
      </w:r>
      <w:r w:rsidRPr="00694AF3">
        <w:rPr>
          <w:rFonts w:hint="cs"/>
          <w:sz w:val="18"/>
          <w:szCs w:val="18"/>
          <w:rtl/>
        </w:rPr>
        <w:t xml:space="preserve">בשאלה המובאת </w:t>
      </w:r>
      <w:r w:rsidRPr="00694AF3">
        <w:rPr>
          <w:rFonts w:hint="cs"/>
          <w:b/>
          <w:bCs/>
          <w:sz w:val="18"/>
          <w:szCs w:val="18"/>
          <w:rtl/>
        </w:rPr>
        <w:t>בת"ה</w:t>
      </w:r>
      <w:r w:rsidRPr="00694AF3">
        <w:rPr>
          <w:rFonts w:hint="cs"/>
          <w:sz w:val="18"/>
          <w:szCs w:val="18"/>
          <w:rtl/>
        </w:rPr>
        <w:t xml:space="preserve"> הוא נשאל להדיא האם יש להחמיר גם כשלא שימשה או שבעלה אינו בעיר, אך בתשובה לא כתוב להדיא שיש להחמיר גם כשבעלה אינו בעיר, ומשמע קצת שדווקא כשעלה בעיר החמיר כשלא שימשה אטו שימשה, אך כשבעלה אינו בעיר משמע שלא החמיר.</w:t>
      </w:r>
      <w:r w:rsidRPr="00694AF3">
        <w:rPr>
          <w:sz w:val="18"/>
          <w:szCs w:val="18"/>
          <w:rtl/>
        </w:rPr>
        <w:br/>
      </w:r>
      <w:r w:rsidRPr="00694AF3">
        <w:rPr>
          <w:rFonts w:hint="cs"/>
          <w:sz w:val="18"/>
          <w:szCs w:val="18"/>
          <w:rtl/>
        </w:rPr>
        <w:t xml:space="preserve">אמנם, </w:t>
      </w:r>
      <w:r w:rsidRPr="00694AF3">
        <w:rPr>
          <w:rFonts w:hint="cs"/>
          <w:b/>
          <w:bCs/>
          <w:sz w:val="18"/>
          <w:szCs w:val="18"/>
          <w:rtl/>
        </w:rPr>
        <w:t>הש"ך</w:t>
      </w:r>
      <w:r w:rsidRPr="00694AF3">
        <w:rPr>
          <w:rFonts w:hint="cs"/>
          <w:sz w:val="18"/>
          <w:szCs w:val="18"/>
          <w:rtl/>
        </w:rPr>
        <w:t xml:space="preserve"> דוחה ראייה זו, מכיוון שמקובל בידינו שהשאלות שת"ה כותב הן שאלות שהוא חיבר, ולכן יש לדקדק פרטים הלכתיים גם מלשון השאלה</w:t>
      </w:r>
      <w:r>
        <w:rPr>
          <w:rFonts w:hint="cs"/>
          <w:rtl/>
        </w:rPr>
        <w:t>.</w:t>
      </w:r>
    </w:p>
  </w:footnote>
  <w:footnote w:id="545">
    <w:p w:rsidR="005953C5" w:rsidRDefault="005953C5" w:rsidP="00620060">
      <w:pPr>
        <w:pStyle w:val="a3"/>
        <w:rPr>
          <w:rtl/>
        </w:rPr>
      </w:pPr>
      <w:r w:rsidRPr="00FD5E85">
        <w:rPr>
          <w:rStyle w:val="a5"/>
          <w:sz w:val="18"/>
          <w:szCs w:val="18"/>
        </w:rPr>
        <w:footnoteRef/>
      </w:r>
      <w:r w:rsidRPr="00FD5E85">
        <w:rPr>
          <w:sz w:val="18"/>
          <w:szCs w:val="18"/>
          <w:rtl/>
        </w:rPr>
        <w:t xml:space="preserve"> </w:t>
      </w:r>
      <w:r w:rsidRPr="00FD5E85">
        <w:rPr>
          <w:rFonts w:hint="cs"/>
          <w:sz w:val="18"/>
          <w:szCs w:val="18"/>
          <w:rtl/>
        </w:rPr>
        <w:t xml:space="preserve">אמנם, </w:t>
      </w:r>
      <w:r w:rsidRPr="00FD5E85">
        <w:rPr>
          <w:rFonts w:hint="cs"/>
          <w:b/>
          <w:bCs/>
          <w:sz w:val="18"/>
          <w:szCs w:val="18"/>
          <w:rtl/>
        </w:rPr>
        <w:t>הרב קוק</w:t>
      </w:r>
      <w:r w:rsidRPr="00FD5E85">
        <w:rPr>
          <w:rFonts w:hint="cs"/>
          <w:sz w:val="18"/>
          <w:szCs w:val="18"/>
          <w:rtl/>
        </w:rPr>
        <w:t xml:space="preserve"> הוכיח בסימן הנ"ל שאף דעת הלבוש לא היתה להחמיר בכתם.</w:t>
      </w:r>
    </w:p>
  </w:footnote>
  <w:footnote w:id="546">
    <w:p w:rsidR="005953C5" w:rsidRDefault="005953C5" w:rsidP="00620060">
      <w:pPr>
        <w:pStyle w:val="a3"/>
        <w:rPr>
          <w:rtl/>
        </w:rPr>
      </w:pPr>
      <w:r w:rsidRPr="008666F9">
        <w:rPr>
          <w:rStyle w:val="a5"/>
          <w:sz w:val="18"/>
          <w:szCs w:val="18"/>
        </w:rPr>
        <w:footnoteRef/>
      </w:r>
      <w:r w:rsidRPr="008666F9">
        <w:rPr>
          <w:rFonts w:hint="cs"/>
          <w:sz w:val="18"/>
          <w:szCs w:val="18"/>
          <w:rtl/>
        </w:rPr>
        <w:t xml:space="preserve"> דברי </w:t>
      </w:r>
      <w:r w:rsidRPr="008666F9">
        <w:rPr>
          <w:rFonts w:hint="cs"/>
          <w:b/>
          <w:bCs/>
          <w:sz w:val="18"/>
          <w:szCs w:val="18"/>
          <w:rtl/>
        </w:rPr>
        <w:t>הש"ך</w:t>
      </w:r>
      <w:r w:rsidRPr="008666F9">
        <w:rPr>
          <w:rFonts w:hint="cs"/>
          <w:sz w:val="18"/>
          <w:szCs w:val="18"/>
          <w:rtl/>
        </w:rPr>
        <w:t xml:space="preserve"> להחמיר גם בכל</w:t>
      </w:r>
      <w:r>
        <w:rPr>
          <w:rFonts w:hint="cs"/>
          <w:sz w:val="18"/>
          <w:szCs w:val="18"/>
          <w:rtl/>
        </w:rPr>
        <w:t>ה</w:t>
      </w:r>
      <w:r w:rsidRPr="008666F9">
        <w:rPr>
          <w:rFonts w:hint="cs"/>
          <w:sz w:val="18"/>
          <w:szCs w:val="18"/>
          <w:rtl/>
        </w:rPr>
        <w:t xml:space="preserve"> תמוהים, כיוון שעדיין לא שימשה כל עיקר ומה הסברה להחמיר? </w:t>
      </w:r>
      <w:r>
        <w:rPr>
          <w:sz w:val="18"/>
          <w:szCs w:val="18"/>
          <w:rtl/>
        </w:rPr>
        <w:br/>
      </w:r>
      <w:r w:rsidRPr="008666F9">
        <w:rPr>
          <w:rFonts w:hint="cs"/>
          <w:sz w:val="18"/>
          <w:szCs w:val="18"/>
          <w:rtl/>
        </w:rPr>
        <w:t xml:space="preserve">ועיין </w:t>
      </w:r>
      <w:r w:rsidRPr="008666F9">
        <w:rPr>
          <w:rFonts w:hint="cs"/>
          <w:b/>
          <w:bCs/>
          <w:sz w:val="18"/>
          <w:szCs w:val="18"/>
          <w:rtl/>
        </w:rPr>
        <w:t>בדגמ"ר</w:t>
      </w:r>
      <w:r w:rsidRPr="008666F9">
        <w:rPr>
          <w:rFonts w:hint="cs"/>
          <w:sz w:val="18"/>
          <w:szCs w:val="18"/>
          <w:rtl/>
        </w:rPr>
        <w:t xml:space="preserve"> שיישב קושייה זו כך - </w:t>
      </w:r>
      <w:r w:rsidRPr="008666F9">
        <w:rPr>
          <w:sz w:val="18"/>
          <w:szCs w:val="18"/>
          <w:rtl/>
        </w:rPr>
        <w:t xml:space="preserve"> </w:t>
      </w:r>
      <w:r w:rsidRPr="008666F9">
        <w:rPr>
          <w:rFonts w:hint="cs"/>
          <w:sz w:val="18"/>
          <w:szCs w:val="18"/>
          <w:rtl/>
        </w:rPr>
        <w:br/>
        <w:t xml:space="preserve">כוונת </w:t>
      </w:r>
      <w:r w:rsidRPr="008666F9">
        <w:rPr>
          <w:rFonts w:hint="cs"/>
          <w:b/>
          <w:bCs/>
          <w:sz w:val="18"/>
          <w:szCs w:val="18"/>
          <w:rtl/>
        </w:rPr>
        <w:t>הש"ך</w:t>
      </w:r>
      <w:r w:rsidRPr="008666F9">
        <w:rPr>
          <w:rFonts w:hint="cs"/>
          <w:sz w:val="18"/>
          <w:szCs w:val="18"/>
          <w:rtl/>
        </w:rPr>
        <w:t xml:space="preserve"> להחמיר לכתחילה דווקא כשלא היתה נידה לפני ראייתה, כגון בתולת דמים שראתה כעת פעם ראשונה, או מינקת שהיתה טהורה בעת מיתת בעלה וראתה כעת לאחר כד' חודש, אך אם היתה כבר נידה אין להחמיר ומונה מייד.</w:t>
      </w:r>
      <w:r w:rsidRPr="008666F9">
        <w:rPr>
          <w:rFonts w:hint="cs"/>
          <w:sz w:val="16"/>
          <w:szCs w:val="16"/>
          <w:rtl/>
        </w:rPr>
        <w:t xml:space="preserve"> [הנקודה סביבה נסוב הדיון היא, עד כמה יש להחמיר כשלא שימשה אטו שימשה. </w:t>
      </w:r>
      <w:r w:rsidRPr="008666F9">
        <w:rPr>
          <w:rFonts w:hint="cs"/>
          <w:b/>
          <w:bCs/>
          <w:sz w:val="16"/>
          <w:szCs w:val="16"/>
          <w:rtl/>
        </w:rPr>
        <w:t>הדגמ"ר</w:t>
      </w:r>
      <w:r w:rsidRPr="008666F9">
        <w:rPr>
          <w:rFonts w:hint="cs"/>
          <w:sz w:val="16"/>
          <w:szCs w:val="16"/>
          <w:rtl/>
        </w:rPr>
        <w:t xml:space="preserve"> מחדד </w:t>
      </w:r>
      <w:r w:rsidRPr="008666F9">
        <w:rPr>
          <w:rFonts w:hint="cs"/>
          <w:b/>
          <w:bCs/>
          <w:sz w:val="16"/>
          <w:szCs w:val="16"/>
          <w:rtl/>
        </w:rPr>
        <w:t>בש"ך</w:t>
      </w:r>
      <w:r w:rsidRPr="008666F9">
        <w:rPr>
          <w:rFonts w:hint="cs"/>
          <w:sz w:val="16"/>
          <w:szCs w:val="16"/>
          <w:rtl/>
        </w:rPr>
        <w:t xml:space="preserve"> שכוונתו להחמיר רק באשה שהיתה טהורה ומותרת, אך בטמאה שאסורה ממילא אין להחמיר].</w:t>
      </w:r>
    </w:p>
  </w:footnote>
  <w:footnote w:id="547">
    <w:p w:rsidR="005953C5" w:rsidRDefault="005953C5" w:rsidP="00620060">
      <w:pPr>
        <w:pStyle w:val="a3"/>
      </w:pPr>
      <w:r w:rsidRPr="00026F24">
        <w:rPr>
          <w:rStyle w:val="a5"/>
          <w:sz w:val="18"/>
          <w:szCs w:val="18"/>
        </w:rPr>
        <w:footnoteRef/>
      </w:r>
      <w:r w:rsidRPr="00026F24">
        <w:rPr>
          <w:sz w:val="18"/>
          <w:szCs w:val="18"/>
          <w:rtl/>
        </w:rPr>
        <w:t xml:space="preserve"> </w:t>
      </w:r>
      <w:r w:rsidRPr="00026F24">
        <w:rPr>
          <w:rFonts w:hint="cs"/>
          <w:sz w:val="18"/>
          <w:szCs w:val="18"/>
          <w:rtl/>
        </w:rPr>
        <w:t>ויש שהתירו מטעם זה למנות את יום הכיפורים וט' באב כיום נוסף.</w:t>
      </w:r>
    </w:p>
  </w:footnote>
  <w:footnote w:id="548">
    <w:p w:rsidR="005953C5" w:rsidRDefault="005953C5" w:rsidP="00620060">
      <w:pPr>
        <w:pStyle w:val="a3"/>
        <w:rPr>
          <w:rtl/>
        </w:rPr>
      </w:pPr>
      <w:r w:rsidRPr="00F75D98">
        <w:rPr>
          <w:rStyle w:val="a5"/>
          <w:sz w:val="18"/>
          <w:szCs w:val="18"/>
        </w:rPr>
        <w:footnoteRef/>
      </w:r>
      <w:r w:rsidRPr="00F75D98">
        <w:rPr>
          <w:sz w:val="18"/>
          <w:szCs w:val="18"/>
          <w:rtl/>
        </w:rPr>
        <w:t xml:space="preserve"> </w:t>
      </w:r>
      <w:r w:rsidRPr="00F75D98">
        <w:rPr>
          <w:rFonts w:hint="cs"/>
          <w:sz w:val="18"/>
          <w:szCs w:val="18"/>
          <w:rtl/>
        </w:rPr>
        <w:t xml:space="preserve">כך כתב </w:t>
      </w:r>
      <w:r w:rsidRPr="00F75D98">
        <w:rPr>
          <w:rFonts w:hint="cs"/>
          <w:b/>
          <w:bCs/>
          <w:sz w:val="18"/>
          <w:szCs w:val="18"/>
          <w:rtl/>
        </w:rPr>
        <w:t>הסמ"ק</w:t>
      </w:r>
      <w:r>
        <w:rPr>
          <w:rFonts w:hint="cs"/>
          <w:sz w:val="18"/>
          <w:szCs w:val="18"/>
          <w:rtl/>
        </w:rPr>
        <w:t>,</w:t>
      </w:r>
      <w:r w:rsidRPr="00F75D98">
        <w:rPr>
          <w:rFonts w:hint="cs"/>
          <w:sz w:val="18"/>
          <w:szCs w:val="18"/>
          <w:rtl/>
        </w:rPr>
        <w:t xml:space="preserve"> והוסיף שהם ארבעה ימים. ואע"פ שלכאורה שש עונות אינן אלא שלושה ימים, מכל מקום יש לגרוע את העונה ששימשה בה</w:t>
      </w:r>
      <w:r>
        <w:rPr>
          <w:rFonts w:hint="cs"/>
          <w:sz w:val="18"/>
          <w:szCs w:val="18"/>
          <w:rtl/>
        </w:rPr>
        <w:t>,</w:t>
      </w:r>
      <w:r w:rsidRPr="00F75D98">
        <w:rPr>
          <w:rFonts w:hint="cs"/>
          <w:sz w:val="18"/>
          <w:szCs w:val="18"/>
          <w:rtl/>
        </w:rPr>
        <w:t xml:space="preserve"> ואם שי</w:t>
      </w:r>
      <w:r>
        <w:rPr>
          <w:rFonts w:hint="cs"/>
          <w:sz w:val="18"/>
          <w:szCs w:val="18"/>
          <w:rtl/>
        </w:rPr>
        <w:t>מש</w:t>
      </w:r>
      <w:r w:rsidRPr="00F75D98">
        <w:rPr>
          <w:rFonts w:hint="cs"/>
          <w:sz w:val="18"/>
          <w:szCs w:val="18"/>
          <w:rtl/>
        </w:rPr>
        <w:t xml:space="preserve">ה בלילה יש לגרוע גם את יום המחרת, כמבואר </w:t>
      </w:r>
      <w:r w:rsidRPr="00F75D98">
        <w:rPr>
          <w:rFonts w:hint="cs"/>
          <w:b/>
          <w:bCs/>
          <w:sz w:val="18"/>
          <w:szCs w:val="18"/>
          <w:rtl/>
        </w:rPr>
        <w:t>בש"ך</w:t>
      </w:r>
      <w:r w:rsidRPr="00F75D98">
        <w:rPr>
          <w:rFonts w:hint="cs"/>
          <w:sz w:val="18"/>
          <w:szCs w:val="18"/>
          <w:rtl/>
        </w:rPr>
        <w:t xml:space="preserve"> סקי"ח.</w:t>
      </w:r>
    </w:p>
  </w:footnote>
  <w:footnote w:id="549">
    <w:p w:rsidR="005953C5" w:rsidRDefault="005953C5" w:rsidP="00620060">
      <w:pPr>
        <w:pStyle w:val="a3"/>
        <w:rPr>
          <w:rtl/>
        </w:rPr>
      </w:pPr>
      <w:r w:rsidRPr="002B072B">
        <w:rPr>
          <w:rStyle w:val="a5"/>
          <w:sz w:val="18"/>
          <w:szCs w:val="18"/>
        </w:rPr>
        <w:footnoteRef/>
      </w:r>
      <w:r w:rsidRPr="002B072B">
        <w:rPr>
          <w:sz w:val="18"/>
          <w:szCs w:val="18"/>
          <w:rtl/>
        </w:rPr>
        <w:t xml:space="preserve"> </w:t>
      </w:r>
      <w:r w:rsidRPr="002B072B">
        <w:rPr>
          <w:rFonts w:hint="cs"/>
          <w:b/>
          <w:bCs/>
          <w:sz w:val="18"/>
          <w:szCs w:val="18"/>
          <w:rtl/>
        </w:rPr>
        <w:t>ט"ז</w:t>
      </w:r>
      <w:r w:rsidRPr="002B072B">
        <w:rPr>
          <w:rFonts w:hint="cs"/>
          <w:sz w:val="18"/>
          <w:szCs w:val="18"/>
          <w:rtl/>
        </w:rPr>
        <w:t xml:space="preserve"> </w:t>
      </w:r>
      <w:r w:rsidRPr="002B072B">
        <w:rPr>
          <w:sz w:val="18"/>
          <w:szCs w:val="18"/>
          <w:rtl/>
        </w:rPr>
        <w:t>–</w:t>
      </w:r>
      <w:r w:rsidRPr="002B072B">
        <w:rPr>
          <w:rFonts w:hint="cs"/>
          <w:sz w:val="18"/>
          <w:szCs w:val="18"/>
          <w:rtl/>
        </w:rPr>
        <w:t xml:space="preserve"> פשוט שהוא הדין אם טעתה יומיים שצריכה להמתין שש עונות ולמנות יומיים נקיים, אלא שהמחבר לא כתב זאת משום שאין מצוי לטעות ביומיים.</w:t>
      </w:r>
    </w:p>
  </w:footnote>
  <w:footnote w:id="550">
    <w:p w:rsidR="005953C5" w:rsidRDefault="005953C5" w:rsidP="00620060">
      <w:pPr>
        <w:pStyle w:val="a3"/>
      </w:pPr>
      <w:r w:rsidRPr="00E93984">
        <w:rPr>
          <w:rStyle w:val="a5"/>
          <w:sz w:val="18"/>
          <w:szCs w:val="18"/>
        </w:rPr>
        <w:footnoteRef/>
      </w:r>
      <w:r w:rsidRPr="00E93984">
        <w:rPr>
          <w:sz w:val="18"/>
          <w:szCs w:val="18"/>
          <w:rtl/>
        </w:rPr>
        <w:t xml:space="preserve"> </w:t>
      </w:r>
      <w:r w:rsidRPr="00E93984">
        <w:rPr>
          <w:rFonts w:hint="cs"/>
          <w:sz w:val="18"/>
          <w:szCs w:val="18"/>
          <w:rtl/>
        </w:rPr>
        <w:t>וכן הדין לגבי אשה שנאנסה תחת בעלה, שאם בעלה היה מצוי לה בתשעים יום שקודם האונס אינם צריכים לפרוש מתשמיש כדי להבחין בין זרע כשר לפסול, משום שהפרשה זו לא תועיל, כמבואר.</w:t>
      </w:r>
    </w:p>
  </w:footnote>
  <w:footnote w:id="551">
    <w:p w:rsidR="005953C5" w:rsidRDefault="005953C5" w:rsidP="00620060">
      <w:pPr>
        <w:pStyle w:val="a3"/>
        <w:rPr>
          <w:rtl/>
        </w:rPr>
      </w:pPr>
      <w:r w:rsidRPr="0089367F">
        <w:rPr>
          <w:rStyle w:val="a5"/>
          <w:sz w:val="18"/>
          <w:szCs w:val="18"/>
        </w:rPr>
        <w:footnoteRef/>
      </w:r>
      <w:r w:rsidRPr="0089367F">
        <w:rPr>
          <w:sz w:val="18"/>
          <w:szCs w:val="18"/>
          <w:rtl/>
        </w:rPr>
        <w:t xml:space="preserve"> </w:t>
      </w:r>
      <w:r w:rsidRPr="0089367F">
        <w:rPr>
          <w:rFonts w:hint="cs"/>
          <w:b/>
          <w:bCs/>
          <w:sz w:val="18"/>
          <w:szCs w:val="18"/>
          <w:rtl/>
        </w:rPr>
        <w:t>הט"ז</w:t>
      </w:r>
      <w:r w:rsidRPr="0089367F">
        <w:rPr>
          <w:rFonts w:hint="cs"/>
          <w:sz w:val="18"/>
          <w:szCs w:val="18"/>
          <w:rtl/>
        </w:rPr>
        <w:t xml:space="preserve"> מעיר שאם עברה על דין דרבנן אינם צריכים להבחין בין זרע כשר לפסול. כגון אם לא ספרה ז"נ מחמת דם חימוד, וכפי שכתב להדיא בסוף סימן קצב'.</w:t>
      </w:r>
    </w:p>
  </w:footnote>
  <w:footnote w:id="552">
    <w:p w:rsidR="005953C5" w:rsidRDefault="005953C5" w:rsidP="00620060">
      <w:pPr>
        <w:pStyle w:val="a3"/>
      </w:pPr>
      <w:r w:rsidRPr="00997D89">
        <w:rPr>
          <w:rStyle w:val="a5"/>
          <w:sz w:val="18"/>
          <w:szCs w:val="18"/>
        </w:rPr>
        <w:footnoteRef/>
      </w:r>
      <w:r w:rsidRPr="00997D89">
        <w:rPr>
          <w:sz w:val="18"/>
          <w:szCs w:val="18"/>
          <w:rtl/>
        </w:rPr>
        <w:t xml:space="preserve"> </w:t>
      </w:r>
      <w:r w:rsidRPr="00997D89">
        <w:rPr>
          <w:rFonts w:hint="cs"/>
          <w:sz w:val="18"/>
          <w:szCs w:val="18"/>
          <w:rtl/>
        </w:rPr>
        <w:t xml:space="preserve">אמנם, </w:t>
      </w:r>
      <w:r w:rsidRPr="00997D89">
        <w:rPr>
          <w:rFonts w:hint="cs"/>
          <w:b/>
          <w:bCs/>
          <w:sz w:val="18"/>
          <w:szCs w:val="18"/>
          <w:rtl/>
        </w:rPr>
        <w:t>הבית יוסף</w:t>
      </w:r>
      <w:r w:rsidRPr="00997D89">
        <w:rPr>
          <w:rFonts w:hint="cs"/>
          <w:sz w:val="18"/>
          <w:szCs w:val="18"/>
          <w:rtl/>
        </w:rPr>
        <w:t xml:space="preserve"> מציע פירוש נוסף </w:t>
      </w:r>
      <w:r w:rsidRPr="00997D89">
        <w:rPr>
          <w:sz w:val="18"/>
          <w:szCs w:val="18"/>
          <w:rtl/>
        </w:rPr>
        <w:t>–</w:t>
      </w:r>
      <w:r w:rsidRPr="00997D89">
        <w:rPr>
          <w:rFonts w:hint="cs"/>
          <w:sz w:val="18"/>
          <w:szCs w:val="18"/>
          <w:rtl/>
        </w:rPr>
        <w:t xml:space="preserve"> כיבוד הבית הוא כפשוטו, והכוונה היא שבשעה שכיבדה את הבית ושחתה פלטה את הזרע.</w:t>
      </w:r>
    </w:p>
  </w:footnote>
  <w:footnote w:id="553">
    <w:p w:rsidR="005953C5" w:rsidRDefault="005953C5" w:rsidP="00620060">
      <w:pPr>
        <w:pStyle w:val="a3"/>
      </w:pPr>
      <w:r w:rsidRPr="00997D89">
        <w:rPr>
          <w:rStyle w:val="a5"/>
          <w:sz w:val="18"/>
          <w:szCs w:val="18"/>
        </w:rPr>
        <w:footnoteRef/>
      </w:r>
      <w:r w:rsidRPr="00997D89">
        <w:rPr>
          <w:sz w:val="18"/>
          <w:szCs w:val="18"/>
          <w:rtl/>
        </w:rPr>
        <w:t xml:space="preserve"> </w:t>
      </w:r>
      <w:r w:rsidRPr="00997D89">
        <w:rPr>
          <w:rFonts w:hint="cs"/>
          <w:sz w:val="18"/>
          <w:szCs w:val="18"/>
          <w:rtl/>
        </w:rPr>
        <w:t>ובאמת שמחלוקת זו תלויה בגרסות השונות בגמרא, ו</w:t>
      </w:r>
      <w:r>
        <w:rPr>
          <w:rFonts w:hint="cs"/>
          <w:sz w:val="18"/>
          <w:szCs w:val="18"/>
          <w:rtl/>
        </w:rPr>
        <w:t>עיין בגמרא מהדורת 'עוז והדר' הגהות וציונים אות</w:t>
      </w:r>
      <w:r w:rsidRPr="00997D89">
        <w:rPr>
          <w:rFonts w:hint="cs"/>
          <w:sz w:val="18"/>
          <w:szCs w:val="18"/>
          <w:rtl/>
        </w:rPr>
        <w:t xml:space="preserve"> ג.</w:t>
      </w:r>
    </w:p>
  </w:footnote>
  <w:footnote w:id="554">
    <w:p w:rsidR="005953C5" w:rsidRDefault="005953C5" w:rsidP="00620060">
      <w:pPr>
        <w:pStyle w:val="a3"/>
      </w:pPr>
      <w:r w:rsidRPr="00E623E6">
        <w:rPr>
          <w:rStyle w:val="a5"/>
          <w:sz w:val="18"/>
          <w:szCs w:val="18"/>
        </w:rPr>
        <w:footnoteRef/>
      </w:r>
      <w:r w:rsidRPr="00E623E6">
        <w:rPr>
          <w:sz w:val="18"/>
          <w:szCs w:val="18"/>
          <w:rtl/>
        </w:rPr>
        <w:t xml:space="preserve"> </w:t>
      </w:r>
      <w:r w:rsidRPr="00E623E6">
        <w:rPr>
          <w:rFonts w:hint="cs"/>
          <w:sz w:val="18"/>
          <w:szCs w:val="18"/>
          <w:rtl/>
        </w:rPr>
        <w:t xml:space="preserve">וכ"פ </w:t>
      </w:r>
      <w:r w:rsidRPr="00E623E6">
        <w:rPr>
          <w:rFonts w:hint="cs"/>
          <w:b/>
          <w:bCs/>
          <w:sz w:val="18"/>
          <w:szCs w:val="18"/>
          <w:rtl/>
        </w:rPr>
        <w:t>טה"ב</w:t>
      </w:r>
      <w:r w:rsidRPr="00E623E6">
        <w:rPr>
          <w:rFonts w:hint="cs"/>
          <w:sz w:val="18"/>
          <w:szCs w:val="18"/>
          <w:rtl/>
        </w:rPr>
        <w:t>, אלא שכתב על הצד היותר טוב לעשות זאת ע"י מוך וכן לרחוץ באמבטיה חמה.</w:t>
      </w:r>
    </w:p>
  </w:footnote>
  <w:footnote w:id="555">
    <w:p w:rsidR="005953C5" w:rsidRDefault="005953C5" w:rsidP="00620060">
      <w:pPr>
        <w:pStyle w:val="a3"/>
      </w:pPr>
      <w:r w:rsidRPr="00D47BD1">
        <w:rPr>
          <w:rStyle w:val="a5"/>
          <w:sz w:val="18"/>
          <w:szCs w:val="18"/>
        </w:rPr>
        <w:footnoteRef/>
      </w:r>
      <w:r w:rsidRPr="00D47BD1">
        <w:rPr>
          <w:sz w:val="18"/>
          <w:szCs w:val="18"/>
          <w:rtl/>
        </w:rPr>
        <w:t xml:space="preserve"> </w:t>
      </w:r>
      <w:r w:rsidRPr="00D47BD1">
        <w:rPr>
          <w:rFonts w:hint="cs"/>
          <w:b/>
          <w:bCs/>
          <w:sz w:val="18"/>
          <w:szCs w:val="18"/>
          <w:rtl/>
        </w:rPr>
        <w:t>ש"ך</w:t>
      </w:r>
      <w:r w:rsidRPr="00D47BD1">
        <w:rPr>
          <w:rFonts w:hint="cs"/>
          <w:sz w:val="18"/>
          <w:szCs w:val="18"/>
          <w:rtl/>
        </w:rPr>
        <w:t xml:space="preserve"> </w:t>
      </w:r>
      <w:r w:rsidRPr="00D47BD1">
        <w:rPr>
          <w:sz w:val="18"/>
          <w:szCs w:val="18"/>
          <w:rtl/>
        </w:rPr>
        <w:t>–</w:t>
      </w:r>
      <w:r w:rsidRPr="00D47BD1">
        <w:rPr>
          <w:rFonts w:hint="cs"/>
          <w:sz w:val="18"/>
          <w:szCs w:val="18"/>
          <w:rtl/>
        </w:rPr>
        <w:t xml:space="preserve"> דברי הרמ"א אינם ברורים מספיק, מה שייכת הגזרה לכאן? </w:t>
      </w:r>
      <w:r w:rsidRPr="00D47BD1">
        <w:rPr>
          <w:sz w:val="18"/>
          <w:szCs w:val="18"/>
          <w:rtl/>
        </w:rPr>
        <w:br/>
      </w:r>
      <w:r w:rsidRPr="00D47BD1">
        <w:rPr>
          <w:rFonts w:hint="cs"/>
          <w:sz w:val="18"/>
          <w:szCs w:val="18"/>
          <w:rtl/>
        </w:rPr>
        <w:t xml:space="preserve">אמנם, למעשה </w:t>
      </w:r>
      <w:r w:rsidRPr="007B2B38">
        <w:rPr>
          <w:rFonts w:hint="cs"/>
          <w:b/>
          <w:bCs/>
          <w:sz w:val="18"/>
          <w:szCs w:val="18"/>
          <w:rtl/>
        </w:rPr>
        <w:t>הש"ך</w:t>
      </w:r>
      <w:r w:rsidRPr="00D47BD1">
        <w:rPr>
          <w:rFonts w:hint="cs"/>
          <w:sz w:val="18"/>
          <w:szCs w:val="18"/>
          <w:rtl/>
        </w:rPr>
        <w:t xml:space="preserve"> לא הקל כיוון שלא עדיף דין הפלטת הזרע מדין אשה שלא שימשה כלל. </w:t>
      </w:r>
      <w:r>
        <w:rPr>
          <w:sz w:val="18"/>
          <w:szCs w:val="18"/>
          <w:rtl/>
        </w:rPr>
        <w:br/>
      </w:r>
      <w:r w:rsidRPr="00D47BD1">
        <w:rPr>
          <w:rFonts w:hint="cs"/>
          <w:sz w:val="18"/>
          <w:szCs w:val="18"/>
          <w:rtl/>
        </w:rPr>
        <w:t xml:space="preserve">ואפילו באשה שטעתה במניין הימים, כבסעיף הקודם, שבה לא שייכת הגזרה של 'לא שימשה אטו שימשה' מכיוון שזהו דין שאינו מצוי, מכל מקום אין להקל כנגד </w:t>
      </w:r>
      <w:r w:rsidRPr="00D566C9">
        <w:rPr>
          <w:rFonts w:hint="cs"/>
          <w:b/>
          <w:bCs/>
          <w:sz w:val="18"/>
          <w:szCs w:val="18"/>
          <w:rtl/>
        </w:rPr>
        <w:t>הסמ"ק</w:t>
      </w:r>
      <w:r w:rsidRPr="00D566C9">
        <w:rPr>
          <w:rFonts w:hint="cs"/>
          <w:sz w:val="18"/>
          <w:szCs w:val="18"/>
          <w:rtl/>
        </w:rPr>
        <w:t>. ברם,</w:t>
      </w:r>
      <w:r>
        <w:rPr>
          <w:rFonts w:hint="cs"/>
          <w:rtl/>
        </w:rPr>
        <w:t xml:space="preserve"> </w:t>
      </w:r>
      <w:r w:rsidRPr="00D566C9">
        <w:rPr>
          <w:rFonts w:hint="cs"/>
          <w:b/>
          <w:bCs/>
          <w:sz w:val="18"/>
          <w:szCs w:val="18"/>
          <w:rtl/>
        </w:rPr>
        <w:t>הסד"ט</w:t>
      </w:r>
      <w:r w:rsidRPr="00D566C9">
        <w:rPr>
          <w:rFonts w:hint="cs"/>
          <w:sz w:val="18"/>
          <w:szCs w:val="18"/>
          <w:rtl/>
        </w:rPr>
        <w:t xml:space="preserve"> כתב להקל בכה"ג, וטעמו משום שלא שייך לגזור 'לא שימשה אטו שימשה' במקרה כזה שאינו מצוי.</w:t>
      </w:r>
    </w:p>
  </w:footnote>
  <w:footnote w:id="556">
    <w:p w:rsidR="005953C5" w:rsidRDefault="005953C5" w:rsidP="00620060">
      <w:pPr>
        <w:pStyle w:val="a3"/>
      </w:pPr>
      <w:r w:rsidRPr="008D57AB">
        <w:rPr>
          <w:rStyle w:val="a5"/>
          <w:sz w:val="18"/>
          <w:szCs w:val="18"/>
        </w:rPr>
        <w:footnoteRef/>
      </w:r>
      <w:r w:rsidRPr="008D57AB">
        <w:rPr>
          <w:sz w:val="18"/>
          <w:szCs w:val="18"/>
          <w:rtl/>
        </w:rPr>
        <w:t xml:space="preserve"> </w:t>
      </w:r>
      <w:r w:rsidRPr="008D57AB">
        <w:rPr>
          <w:rFonts w:hint="cs"/>
          <w:sz w:val="18"/>
          <w:szCs w:val="18"/>
          <w:rtl/>
        </w:rPr>
        <w:t>ע"פ דפי המקורות של הרב גדעון</w:t>
      </w:r>
      <w:r>
        <w:rPr>
          <w:rFonts w:hint="cs"/>
          <w:sz w:val="18"/>
          <w:szCs w:val="18"/>
          <w:rtl/>
        </w:rPr>
        <w:t>.</w:t>
      </w:r>
    </w:p>
  </w:footnote>
  <w:footnote w:id="557">
    <w:p w:rsidR="005953C5" w:rsidRDefault="005953C5" w:rsidP="00620060">
      <w:pPr>
        <w:pStyle w:val="a3"/>
      </w:pPr>
      <w:r w:rsidRPr="006A0E1A">
        <w:rPr>
          <w:rStyle w:val="a5"/>
          <w:sz w:val="18"/>
          <w:szCs w:val="18"/>
        </w:rPr>
        <w:footnoteRef/>
      </w:r>
      <w:r w:rsidRPr="006A0E1A">
        <w:rPr>
          <w:sz w:val="18"/>
          <w:szCs w:val="18"/>
          <w:rtl/>
        </w:rPr>
        <w:t xml:space="preserve"> </w:t>
      </w:r>
      <w:r w:rsidRPr="006A0E1A">
        <w:rPr>
          <w:rFonts w:hint="cs"/>
          <w:sz w:val="18"/>
          <w:szCs w:val="18"/>
          <w:rtl/>
        </w:rPr>
        <w:t xml:space="preserve">אמנם, האחרונים הקשו </w:t>
      </w:r>
      <w:r w:rsidRPr="006A0E1A">
        <w:rPr>
          <w:sz w:val="18"/>
          <w:szCs w:val="18"/>
          <w:rtl/>
        </w:rPr>
        <w:t>–</w:t>
      </w:r>
      <w:r w:rsidRPr="006A0E1A">
        <w:rPr>
          <w:rFonts w:hint="cs"/>
          <w:sz w:val="18"/>
          <w:szCs w:val="18"/>
          <w:rtl/>
        </w:rPr>
        <w:t xml:space="preserve"> שמא רק לטהרות צריכה טבילה אך לא לבעלה?</w:t>
      </w:r>
    </w:p>
  </w:footnote>
  <w:footnote w:id="558">
    <w:p w:rsidR="005953C5" w:rsidRDefault="005953C5" w:rsidP="00620060">
      <w:pPr>
        <w:pStyle w:val="a3"/>
      </w:pPr>
      <w:r w:rsidRPr="00230FDB">
        <w:rPr>
          <w:rStyle w:val="a5"/>
          <w:sz w:val="18"/>
          <w:szCs w:val="18"/>
        </w:rPr>
        <w:footnoteRef/>
      </w:r>
      <w:r w:rsidRPr="00230FDB">
        <w:rPr>
          <w:sz w:val="18"/>
          <w:szCs w:val="18"/>
          <w:rtl/>
        </w:rPr>
        <w:t xml:space="preserve"> </w:t>
      </w:r>
      <w:r w:rsidRPr="00C11129">
        <w:rPr>
          <w:rFonts w:hint="cs"/>
          <w:b/>
          <w:bCs/>
          <w:sz w:val="18"/>
          <w:szCs w:val="18"/>
          <w:rtl/>
        </w:rPr>
        <w:t>הגמרא</w:t>
      </w:r>
      <w:r w:rsidRPr="00230FDB">
        <w:rPr>
          <w:rFonts w:hint="cs"/>
          <w:sz w:val="18"/>
          <w:szCs w:val="18"/>
          <w:rtl/>
        </w:rPr>
        <w:t xml:space="preserve"> </w:t>
      </w:r>
      <w:r>
        <w:rPr>
          <w:rFonts w:hint="cs"/>
          <w:sz w:val="18"/>
          <w:szCs w:val="18"/>
          <w:rtl/>
        </w:rPr>
        <w:t xml:space="preserve">שם </w:t>
      </w:r>
      <w:r w:rsidRPr="00230FDB">
        <w:rPr>
          <w:rFonts w:hint="cs"/>
          <w:sz w:val="18"/>
          <w:szCs w:val="18"/>
          <w:rtl/>
        </w:rPr>
        <w:t xml:space="preserve">מבארת כיצד הגיעו </w:t>
      </w:r>
      <w:r>
        <w:rPr>
          <w:rFonts w:hint="cs"/>
          <w:sz w:val="18"/>
          <w:szCs w:val="18"/>
          <w:rtl/>
        </w:rPr>
        <w:t>לכמות זו של טבילות.</w:t>
      </w:r>
    </w:p>
  </w:footnote>
  <w:footnote w:id="559">
    <w:p w:rsidR="005953C5" w:rsidRDefault="005953C5" w:rsidP="00620060">
      <w:pPr>
        <w:pStyle w:val="a3"/>
      </w:pPr>
      <w:r w:rsidRPr="00ED50B9">
        <w:rPr>
          <w:rStyle w:val="a5"/>
          <w:sz w:val="18"/>
          <w:szCs w:val="18"/>
        </w:rPr>
        <w:footnoteRef/>
      </w:r>
      <w:r w:rsidRPr="00ED50B9">
        <w:rPr>
          <w:sz w:val="18"/>
          <w:szCs w:val="18"/>
          <w:rtl/>
        </w:rPr>
        <w:t xml:space="preserve"> </w:t>
      </w:r>
      <w:r w:rsidRPr="00ED50B9">
        <w:rPr>
          <w:rFonts w:hint="cs"/>
          <w:sz w:val="18"/>
          <w:szCs w:val="18"/>
          <w:rtl/>
        </w:rPr>
        <w:t xml:space="preserve">אמנם, </w:t>
      </w:r>
      <w:r w:rsidRPr="00ED50B9">
        <w:rPr>
          <w:rFonts w:hint="cs"/>
          <w:b/>
          <w:bCs/>
          <w:sz w:val="18"/>
          <w:szCs w:val="18"/>
          <w:rtl/>
        </w:rPr>
        <w:t>הב"ח</w:t>
      </w:r>
      <w:r w:rsidRPr="00ED50B9">
        <w:rPr>
          <w:rFonts w:hint="cs"/>
          <w:sz w:val="18"/>
          <w:szCs w:val="18"/>
          <w:rtl/>
        </w:rPr>
        <w:t xml:space="preserve"> דוחה ראיה זו </w:t>
      </w:r>
      <w:r w:rsidRPr="00ED50B9">
        <w:rPr>
          <w:sz w:val="18"/>
          <w:szCs w:val="18"/>
          <w:rtl/>
        </w:rPr>
        <w:t>–</w:t>
      </w:r>
      <w:r w:rsidRPr="00ED50B9">
        <w:rPr>
          <w:rFonts w:hint="cs"/>
          <w:sz w:val="18"/>
          <w:szCs w:val="18"/>
          <w:rtl/>
        </w:rPr>
        <w:t xml:space="preserve"> הסיבה שאסור לה לעמוד בטומאתה היא שמא יבוא עליה בעלה. </w:t>
      </w:r>
      <w:r>
        <w:rPr>
          <w:sz w:val="18"/>
          <w:szCs w:val="18"/>
          <w:rtl/>
        </w:rPr>
        <w:br/>
      </w:r>
      <w:r w:rsidRPr="00ED50B9">
        <w:rPr>
          <w:rFonts w:hint="cs"/>
          <w:sz w:val="18"/>
          <w:szCs w:val="18"/>
          <w:rtl/>
        </w:rPr>
        <w:t xml:space="preserve">אך </w:t>
      </w:r>
      <w:r w:rsidRPr="00ED50B9">
        <w:rPr>
          <w:rFonts w:hint="cs"/>
          <w:b/>
          <w:bCs/>
          <w:sz w:val="18"/>
          <w:szCs w:val="18"/>
          <w:rtl/>
        </w:rPr>
        <w:t>הט"ז</w:t>
      </w:r>
      <w:r w:rsidRPr="00ED50B9">
        <w:rPr>
          <w:rFonts w:hint="cs"/>
          <w:sz w:val="18"/>
          <w:szCs w:val="18"/>
          <w:rtl/>
        </w:rPr>
        <w:t xml:space="preserve"> דוחה את דחיית </w:t>
      </w:r>
      <w:r w:rsidRPr="00ED50B9">
        <w:rPr>
          <w:rFonts w:hint="cs"/>
          <w:b/>
          <w:bCs/>
          <w:sz w:val="18"/>
          <w:szCs w:val="18"/>
          <w:rtl/>
        </w:rPr>
        <w:t>הב"ח</w:t>
      </w:r>
      <w:r w:rsidRPr="00ED50B9">
        <w:rPr>
          <w:rFonts w:hint="cs"/>
          <w:sz w:val="18"/>
          <w:szCs w:val="18"/>
          <w:rtl/>
        </w:rPr>
        <w:t xml:space="preserve"> </w:t>
      </w:r>
      <w:r w:rsidRPr="00ED50B9">
        <w:rPr>
          <w:sz w:val="18"/>
          <w:szCs w:val="18"/>
          <w:rtl/>
        </w:rPr>
        <w:t>–</w:t>
      </w:r>
      <w:r w:rsidRPr="00ED50B9">
        <w:rPr>
          <w:rFonts w:hint="cs"/>
          <w:sz w:val="18"/>
          <w:szCs w:val="18"/>
          <w:rtl/>
        </w:rPr>
        <w:t xml:space="preserve"> כוונת הירושלמי לומר שאפילו אם האשה סבורה שבעלה לא יבוא מהדרך, מותר לבעלה לבוא עליה, ועל כורחך הטעם הוא משום שהאשה לא עמדה בטומאתה מחמת האיסור שיש בכך, מוכח שטבילה בזמנה מצווה.   </w:t>
      </w:r>
    </w:p>
  </w:footnote>
  <w:footnote w:id="560">
    <w:p w:rsidR="005953C5" w:rsidRDefault="005953C5" w:rsidP="00620060">
      <w:pPr>
        <w:pStyle w:val="a3"/>
        <w:rPr>
          <w:rtl/>
        </w:rPr>
      </w:pPr>
      <w:r w:rsidRPr="00C11129">
        <w:rPr>
          <w:rStyle w:val="a5"/>
          <w:sz w:val="18"/>
          <w:szCs w:val="18"/>
        </w:rPr>
        <w:footnoteRef/>
      </w:r>
      <w:r w:rsidRPr="00C11129">
        <w:rPr>
          <w:sz w:val="18"/>
          <w:szCs w:val="18"/>
          <w:rtl/>
        </w:rPr>
        <w:t xml:space="preserve"> </w:t>
      </w:r>
      <w:r w:rsidRPr="00C11129">
        <w:rPr>
          <w:rFonts w:hint="cs"/>
          <w:sz w:val="18"/>
          <w:szCs w:val="18"/>
          <w:rtl/>
        </w:rPr>
        <w:t xml:space="preserve">כך נאמר </w:t>
      </w:r>
      <w:r w:rsidRPr="00C11129">
        <w:rPr>
          <w:rFonts w:hint="cs"/>
          <w:b/>
          <w:bCs/>
          <w:sz w:val="18"/>
          <w:szCs w:val="18"/>
          <w:rtl/>
        </w:rPr>
        <w:t>בגמרא</w:t>
      </w:r>
      <w:r w:rsidRPr="00C11129">
        <w:rPr>
          <w:rFonts w:hint="cs"/>
          <w:sz w:val="18"/>
          <w:szCs w:val="18"/>
          <w:rtl/>
        </w:rPr>
        <w:t xml:space="preserve"> נידה (סז:) "</w:t>
      </w:r>
      <w:r w:rsidRPr="00C11129">
        <w:rPr>
          <w:rFonts w:cs="Arial"/>
          <w:sz w:val="18"/>
          <w:szCs w:val="18"/>
          <w:rtl/>
        </w:rPr>
        <w:t>אמר ליה רב פפא לרבא ולאביי: מכדי האידנא כולהו ספק זבות שוינהו רבנן, ליטבלינהו ביממא דשביעאה?</w:t>
      </w:r>
      <w:r w:rsidRPr="00C11129">
        <w:rPr>
          <w:rFonts w:cs="Arial" w:hint="cs"/>
          <w:sz w:val="18"/>
          <w:szCs w:val="18"/>
          <w:rtl/>
        </w:rPr>
        <w:t>" ואם טבילה בזמנה היתה מצווה, היו טובלות ביום השביעי.</w:t>
      </w:r>
    </w:p>
  </w:footnote>
  <w:footnote w:id="561">
    <w:p w:rsidR="005953C5" w:rsidRDefault="005953C5" w:rsidP="00620060">
      <w:pPr>
        <w:pStyle w:val="a3"/>
        <w:rPr>
          <w:rtl/>
        </w:rPr>
      </w:pPr>
      <w:r w:rsidRPr="00161683">
        <w:rPr>
          <w:rStyle w:val="a5"/>
          <w:sz w:val="18"/>
          <w:szCs w:val="18"/>
        </w:rPr>
        <w:footnoteRef/>
      </w:r>
      <w:r w:rsidRPr="00161683">
        <w:rPr>
          <w:sz w:val="18"/>
          <w:szCs w:val="18"/>
          <w:rtl/>
        </w:rPr>
        <w:t xml:space="preserve"> </w:t>
      </w:r>
      <w:r w:rsidRPr="00161683">
        <w:rPr>
          <w:rFonts w:hint="cs"/>
          <w:sz w:val="18"/>
          <w:szCs w:val="18"/>
          <w:rtl/>
        </w:rPr>
        <w:t xml:space="preserve">כך מבואר </w:t>
      </w:r>
      <w:r w:rsidRPr="00161683">
        <w:rPr>
          <w:rFonts w:hint="cs"/>
          <w:b/>
          <w:bCs/>
          <w:sz w:val="18"/>
          <w:szCs w:val="18"/>
          <w:rtl/>
        </w:rPr>
        <w:t xml:space="preserve">בגמרא </w:t>
      </w:r>
      <w:r w:rsidRPr="00161683">
        <w:rPr>
          <w:rFonts w:hint="cs"/>
          <w:sz w:val="18"/>
          <w:szCs w:val="18"/>
          <w:rtl/>
        </w:rPr>
        <w:t xml:space="preserve">עירובין (סג:) </w:t>
      </w:r>
      <w:r w:rsidRPr="00161683">
        <w:rPr>
          <w:rFonts w:cs="Arial" w:hint="cs"/>
          <w:sz w:val="18"/>
          <w:szCs w:val="18"/>
          <w:rtl/>
        </w:rPr>
        <w:t>"</w:t>
      </w:r>
      <w:r w:rsidRPr="00161683">
        <w:rPr>
          <w:rFonts w:cs="Arial"/>
          <w:sz w:val="18"/>
          <w:szCs w:val="18"/>
          <w:rtl/>
        </w:rPr>
        <w:t xml:space="preserve">אמר רבי אבא בר פפא: לא נענש יהושע </w:t>
      </w:r>
      <w:r w:rsidRPr="00161683">
        <w:rPr>
          <w:rFonts w:cs="Arial" w:hint="cs"/>
          <w:sz w:val="16"/>
          <w:szCs w:val="16"/>
          <w:rtl/>
        </w:rPr>
        <w:t xml:space="preserve">(להיות ערירי) </w:t>
      </w:r>
      <w:r w:rsidRPr="00161683">
        <w:rPr>
          <w:rFonts w:cs="Arial"/>
          <w:sz w:val="18"/>
          <w:szCs w:val="18"/>
          <w:rtl/>
        </w:rPr>
        <w:t>אלא בשביל שביטל את ישראל לילה אחת מפריה ורביה, שנאמר ויהי בהיות יהושע ביריחו וישא עיניו וירא וגו' וכתיב ויאמר לא כי אני שר צבא ה' עתה באתי וגו'. אמר לו: אמש ביטלתם תמיד של בין הערבים, ועכשיו ביטלתם תלמוד תורה. - על איזה מהן באת? - אמר לו: עתה באתי. מיד: וילך יהושע בלילה ההוא בתוך העמק. ואמר רבי יוחנן: מלמד שהלך בעומקה של הלכה. וגמירי: דכל זמן שארון ושכינה שרויין שלא במקומן - אסורין בתשמיש המטה</w:t>
      </w:r>
      <w:r w:rsidRPr="00161683">
        <w:rPr>
          <w:rFonts w:cs="Arial" w:hint="cs"/>
          <w:sz w:val="18"/>
          <w:szCs w:val="18"/>
          <w:rtl/>
        </w:rPr>
        <w:t xml:space="preserve"> </w:t>
      </w:r>
      <w:r w:rsidRPr="00161683">
        <w:rPr>
          <w:rFonts w:cs="Arial" w:hint="cs"/>
          <w:sz w:val="16"/>
          <w:szCs w:val="16"/>
          <w:rtl/>
        </w:rPr>
        <w:t xml:space="preserve">(רש"י - </w:t>
      </w:r>
      <w:r w:rsidRPr="00161683">
        <w:rPr>
          <w:rFonts w:cs="Arial"/>
          <w:sz w:val="16"/>
          <w:szCs w:val="16"/>
          <w:rtl/>
        </w:rPr>
        <w:t>ואותו לילה שהוכיחם המלאך היו מבטלים תלמוד תורה, בשביל שהיו אורבין על העיר ולא החזירו בערב את ארון למקומו בגלגל והוא הלילה שביטלו מפריה ורביה</w:t>
      </w:r>
      <w:r w:rsidRPr="00161683">
        <w:rPr>
          <w:rFonts w:cs="Arial" w:hint="cs"/>
          <w:sz w:val="16"/>
          <w:szCs w:val="16"/>
          <w:rtl/>
        </w:rPr>
        <w:t>)</w:t>
      </w:r>
      <w:r w:rsidRPr="00161683">
        <w:rPr>
          <w:rFonts w:cs="Arial" w:hint="cs"/>
          <w:sz w:val="18"/>
          <w:szCs w:val="18"/>
          <w:rtl/>
        </w:rPr>
        <w:t>"</w:t>
      </w:r>
      <w:r w:rsidRPr="00161683">
        <w:rPr>
          <w:rFonts w:cs="Arial"/>
          <w:sz w:val="18"/>
          <w:szCs w:val="18"/>
          <w:rtl/>
        </w:rPr>
        <w:t>.</w:t>
      </w:r>
    </w:p>
  </w:footnote>
  <w:footnote w:id="562">
    <w:p w:rsidR="005953C5" w:rsidRDefault="005953C5" w:rsidP="00620060">
      <w:pPr>
        <w:pStyle w:val="a3"/>
      </w:pPr>
      <w:r w:rsidRPr="002658DB">
        <w:rPr>
          <w:rStyle w:val="a5"/>
          <w:sz w:val="18"/>
          <w:szCs w:val="18"/>
        </w:rPr>
        <w:footnoteRef/>
      </w:r>
      <w:r w:rsidRPr="002658DB">
        <w:rPr>
          <w:sz w:val="18"/>
          <w:szCs w:val="18"/>
          <w:rtl/>
        </w:rPr>
        <w:t xml:space="preserve"> </w:t>
      </w:r>
      <w:r w:rsidRPr="002658DB">
        <w:rPr>
          <w:rFonts w:hint="cs"/>
          <w:sz w:val="18"/>
          <w:szCs w:val="18"/>
          <w:rtl/>
        </w:rPr>
        <w:t>ע"פ '</w:t>
      </w:r>
      <w:r w:rsidRPr="002658DB">
        <w:rPr>
          <w:rFonts w:hint="cs"/>
          <w:b/>
          <w:bCs/>
          <w:sz w:val="18"/>
          <w:szCs w:val="18"/>
          <w:rtl/>
        </w:rPr>
        <w:t>שירת</w:t>
      </w:r>
      <w:r w:rsidRPr="002658DB">
        <w:rPr>
          <w:rFonts w:hint="cs"/>
          <w:sz w:val="18"/>
          <w:szCs w:val="18"/>
          <w:rtl/>
        </w:rPr>
        <w:t xml:space="preserve"> </w:t>
      </w:r>
      <w:r w:rsidRPr="002658DB">
        <w:rPr>
          <w:rFonts w:hint="cs"/>
          <w:b/>
          <w:bCs/>
          <w:sz w:val="18"/>
          <w:szCs w:val="18"/>
          <w:rtl/>
        </w:rPr>
        <w:t>הים</w:t>
      </w:r>
      <w:r w:rsidRPr="002658DB">
        <w:rPr>
          <w:rFonts w:hint="cs"/>
          <w:sz w:val="18"/>
          <w:szCs w:val="18"/>
          <w:rtl/>
        </w:rPr>
        <w:t>'.</w:t>
      </w:r>
    </w:p>
  </w:footnote>
  <w:footnote w:id="563">
    <w:p w:rsidR="005953C5" w:rsidRDefault="005953C5" w:rsidP="00620060">
      <w:pPr>
        <w:pStyle w:val="a3"/>
      </w:pPr>
      <w:r w:rsidRPr="006262E4">
        <w:rPr>
          <w:rStyle w:val="a5"/>
          <w:sz w:val="18"/>
          <w:szCs w:val="18"/>
        </w:rPr>
        <w:footnoteRef/>
      </w:r>
      <w:r w:rsidRPr="006262E4">
        <w:rPr>
          <w:sz w:val="18"/>
          <w:szCs w:val="18"/>
          <w:rtl/>
        </w:rPr>
        <w:t xml:space="preserve"> </w:t>
      </w:r>
      <w:r w:rsidRPr="006262E4">
        <w:rPr>
          <w:rFonts w:hint="cs"/>
          <w:sz w:val="18"/>
          <w:szCs w:val="18"/>
          <w:rtl/>
        </w:rPr>
        <w:t xml:space="preserve">ומה הדין בטבילה של מניקה ומעוברת או זקנה שאינן ראויות להתעבר מביאה זו, האם גם בכה"ג הוי טבילה מצווה? </w:t>
      </w:r>
      <w:r w:rsidRPr="006262E4">
        <w:rPr>
          <w:rFonts w:hint="cs"/>
          <w:b/>
          <w:bCs/>
          <w:sz w:val="18"/>
          <w:szCs w:val="18"/>
          <w:rtl/>
        </w:rPr>
        <w:t>ששבה"ל</w:t>
      </w:r>
      <w:r w:rsidRPr="006262E4">
        <w:rPr>
          <w:rFonts w:hint="cs"/>
          <w:sz w:val="18"/>
          <w:szCs w:val="18"/>
          <w:rtl/>
        </w:rPr>
        <w:t xml:space="preserve"> </w:t>
      </w:r>
      <w:r w:rsidRPr="006262E4">
        <w:rPr>
          <w:sz w:val="18"/>
          <w:szCs w:val="18"/>
          <w:rtl/>
        </w:rPr>
        <w:t>–</w:t>
      </w:r>
      <w:r w:rsidRPr="006262E4">
        <w:rPr>
          <w:rFonts w:hint="cs"/>
          <w:sz w:val="18"/>
          <w:szCs w:val="18"/>
          <w:rtl/>
        </w:rPr>
        <w:t xml:space="preserve"> כן, משום שהחיוב הוא מכוח מצוות עונה, ולכן אפילו כשאין אפשרות מעשית לקיים מצוות עונה, כגון מחמת בעייה בריאותית, צריכה ל</w:t>
      </w:r>
      <w:r>
        <w:rPr>
          <w:rFonts w:hint="cs"/>
          <w:sz w:val="18"/>
          <w:szCs w:val="18"/>
          <w:rtl/>
        </w:rPr>
        <w:t>טב</w:t>
      </w:r>
      <w:r w:rsidRPr="006262E4">
        <w:rPr>
          <w:rFonts w:hint="cs"/>
          <w:sz w:val="18"/>
          <w:szCs w:val="18"/>
          <w:rtl/>
        </w:rPr>
        <w:t xml:space="preserve">ול משום קריבות והיתר נגיעה. </w:t>
      </w:r>
    </w:p>
  </w:footnote>
  <w:footnote w:id="564">
    <w:p w:rsidR="005953C5" w:rsidRDefault="005953C5" w:rsidP="00620060">
      <w:pPr>
        <w:pStyle w:val="a3"/>
      </w:pPr>
      <w:r w:rsidRPr="005E76A8">
        <w:rPr>
          <w:rStyle w:val="a5"/>
          <w:sz w:val="18"/>
          <w:szCs w:val="18"/>
        </w:rPr>
        <w:footnoteRef/>
      </w:r>
      <w:r w:rsidRPr="005E76A8">
        <w:rPr>
          <w:sz w:val="18"/>
          <w:szCs w:val="18"/>
          <w:rtl/>
        </w:rPr>
        <w:t xml:space="preserve"> </w:t>
      </w:r>
      <w:r w:rsidRPr="005E76A8">
        <w:rPr>
          <w:rFonts w:hint="cs"/>
          <w:sz w:val="18"/>
          <w:szCs w:val="18"/>
          <w:rtl/>
        </w:rPr>
        <w:t xml:space="preserve">כך היא לשון </w:t>
      </w:r>
      <w:r w:rsidRPr="005E76A8">
        <w:rPr>
          <w:rFonts w:hint="cs"/>
          <w:b/>
          <w:bCs/>
          <w:sz w:val="18"/>
          <w:szCs w:val="18"/>
          <w:rtl/>
        </w:rPr>
        <w:t>הגמרא</w:t>
      </w:r>
      <w:r w:rsidRPr="005E76A8">
        <w:rPr>
          <w:rFonts w:hint="cs"/>
          <w:sz w:val="18"/>
          <w:szCs w:val="18"/>
          <w:rtl/>
        </w:rPr>
        <w:t xml:space="preserve"> שם בהמשך </w:t>
      </w:r>
      <w:r w:rsidRPr="005E76A8">
        <w:rPr>
          <w:sz w:val="18"/>
          <w:szCs w:val="18"/>
          <w:rtl/>
        </w:rPr>
        <w:t>–</w:t>
      </w:r>
      <w:r w:rsidRPr="005E76A8">
        <w:rPr>
          <w:rFonts w:hint="cs"/>
          <w:sz w:val="18"/>
          <w:szCs w:val="18"/>
          <w:rtl/>
        </w:rPr>
        <w:t xml:space="preserve"> "</w:t>
      </w:r>
      <w:r w:rsidRPr="005E76A8">
        <w:rPr>
          <w:rFonts w:cs="Arial"/>
          <w:sz w:val="18"/>
          <w:szCs w:val="18"/>
          <w:rtl/>
        </w:rPr>
        <w:t>הא תינח מים יפים, מים רעים מאי איכא למימר? - אמר רב נחמן בר יצחק: פעמים שאדם בא</w:t>
      </w:r>
      <w:r w:rsidRPr="005E76A8">
        <w:rPr>
          <w:rFonts w:cs="Arial" w:hint="cs"/>
          <w:sz w:val="18"/>
          <w:szCs w:val="18"/>
          <w:rtl/>
        </w:rPr>
        <w:t xml:space="preserve"> </w:t>
      </w:r>
      <w:r w:rsidRPr="005E76A8">
        <w:rPr>
          <w:rFonts w:cs="Arial"/>
          <w:sz w:val="18"/>
          <w:szCs w:val="18"/>
          <w:rtl/>
        </w:rPr>
        <w:t>בשרב, ורוחץ אפילו במי משרה. - תינח בימות החמה, בימות הגשמים מאי איכא למימר? - אמר רב נחמן בר יצחק: פעמים שאדם בא מן השדה מלוכלך בטיט ובצואה, ורוחץ אפילו בימות הגשמים. - תינח בשבת, ביום הכפורים מאי איכא למימר? - אמר רבא: מי איכא מידי דבשבת שרי וביום הכפורים אסור? אלא, הואיל ובשבת שרי ביום הכפורים נמי שרי</w:t>
      </w:r>
      <w:r w:rsidRPr="005E76A8">
        <w:rPr>
          <w:rFonts w:cs="Arial" w:hint="cs"/>
          <w:sz w:val="18"/>
          <w:szCs w:val="18"/>
          <w:rtl/>
        </w:rPr>
        <w:t>"</w:t>
      </w:r>
      <w:r w:rsidRPr="005E76A8">
        <w:rPr>
          <w:rFonts w:cs="Arial"/>
          <w:sz w:val="18"/>
          <w:szCs w:val="18"/>
          <w:rtl/>
        </w:rPr>
        <w:t>.</w:t>
      </w:r>
    </w:p>
  </w:footnote>
  <w:footnote w:id="565">
    <w:p w:rsidR="005953C5" w:rsidRDefault="005953C5" w:rsidP="00620060">
      <w:pPr>
        <w:pStyle w:val="a3"/>
      </w:pPr>
      <w:r w:rsidRPr="003221D0">
        <w:rPr>
          <w:rStyle w:val="a5"/>
          <w:sz w:val="18"/>
          <w:szCs w:val="18"/>
        </w:rPr>
        <w:footnoteRef/>
      </w:r>
      <w:r w:rsidRPr="003221D0">
        <w:rPr>
          <w:sz w:val="18"/>
          <w:szCs w:val="18"/>
          <w:rtl/>
        </w:rPr>
        <w:t xml:space="preserve"> </w:t>
      </w:r>
      <w:r w:rsidRPr="003221D0">
        <w:rPr>
          <w:rFonts w:hint="cs"/>
          <w:sz w:val="18"/>
          <w:szCs w:val="18"/>
          <w:rtl/>
        </w:rPr>
        <w:t xml:space="preserve">וכן פסק גם בהלכות שבת </w:t>
      </w:r>
      <w:r w:rsidRPr="003221D0">
        <w:rPr>
          <w:rFonts w:hint="cs"/>
          <w:sz w:val="16"/>
          <w:szCs w:val="16"/>
          <w:rtl/>
        </w:rPr>
        <w:t xml:space="preserve">(שכו, ח) </w:t>
      </w:r>
      <w:r w:rsidRPr="003221D0">
        <w:rPr>
          <w:rFonts w:hint="cs"/>
          <w:sz w:val="18"/>
          <w:szCs w:val="18"/>
          <w:rtl/>
        </w:rPr>
        <w:t>"</w:t>
      </w:r>
      <w:r w:rsidRPr="003221D0">
        <w:rPr>
          <w:rFonts w:cs="Arial"/>
          <w:sz w:val="18"/>
          <w:szCs w:val="18"/>
          <w:rtl/>
        </w:rPr>
        <w:t>אדם מותר לטבול מטומאתו בשבת</w:t>
      </w:r>
      <w:r w:rsidRPr="003221D0">
        <w:rPr>
          <w:rFonts w:cs="Arial" w:hint="cs"/>
          <w:sz w:val="18"/>
          <w:szCs w:val="18"/>
          <w:rtl/>
        </w:rPr>
        <w:t>".</w:t>
      </w:r>
    </w:p>
  </w:footnote>
  <w:footnote w:id="566">
    <w:p w:rsidR="005953C5" w:rsidRDefault="005953C5" w:rsidP="00620060">
      <w:pPr>
        <w:pStyle w:val="a3"/>
      </w:pPr>
      <w:r w:rsidRPr="003221D0">
        <w:rPr>
          <w:rStyle w:val="a5"/>
          <w:sz w:val="18"/>
          <w:szCs w:val="18"/>
        </w:rPr>
        <w:footnoteRef/>
      </w:r>
      <w:r w:rsidRPr="003221D0">
        <w:rPr>
          <w:sz w:val="18"/>
          <w:szCs w:val="18"/>
          <w:rtl/>
        </w:rPr>
        <w:t xml:space="preserve"> </w:t>
      </w:r>
      <w:r w:rsidRPr="003221D0">
        <w:rPr>
          <w:rFonts w:hint="cs"/>
          <w:b/>
          <w:bCs/>
          <w:sz w:val="18"/>
          <w:szCs w:val="18"/>
          <w:rtl/>
        </w:rPr>
        <w:t>הבית יוסף</w:t>
      </w:r>
      <w:r w:rsidRPr="003221D0">
        <w:rPr>
          <w:rFonts w:hint="cs"/>
          <w:sz w:val="18"/>
          <w:szCs w:val="18"/>
          <w:rtl/>
        </w:rPr>
        <w:t xml:space="preserve"> מקשה מגמרא זו על שיטת המרדכי שאוסר לטבול בשבת, שהרי נאמר להדיא בגמרא שמותר מטעם הנ"ל ומדוע אסר? אמנם, </w:t>
      </w:r>
      <w:r w:rsidRPr="003221D0">
        <w:rPr>
          <w:rFonts w:hint="cs"/>
          <w:b/>
          <w:bCs/>
          <w:sz w:val="18"/>
          <w:szCs w:val="18"/>
          <w:rtl/>
        </w:rPr>
        <w:t>הדרכ"מ</w:t>
      </w:r>
      <w:r w:rsidRPr="003221D0">
        <w:rPr>
          <w:rFonts w:hint="cs"/>
          <w:sz w:val="18"/>
          <w:szCs w:val="18"/>
          <w:rtl/>
        </w:rPr>
        <w:t xml:space="preserve"> מציע ליישב שכוונת הגמרא להתיר דווקא </w:t>
      </w:r>
      <w:r>
        <w:rPr>
          <w:rFonts w:hint="cs"/>
          <w:sz w:val="18"/>
          <w:szCs w:val="18"/>
          <w:rtl/>
        </w:rPr>
        <w:t>טב</w:t>
      </w:r>
      <w:r w:rsidRPr="003221D0">
        <w:rPr>
          <w:rFonts w:hint="cs"/>
          <w:sz w:val="18"/>
          <w:szCs w:val="18"/>
          <w:rtl/>
        </w:rPr>
        <w:t>ילה בזמנה מטעם שאדם נראה כמיקר, אך טבילה שלא בזמנה אסורה, וכיוון שכיום אין לנו טבילה בזמנה אסור בכל אופן.</w:t>
      </w:r>
    </w:p>
  </w:footnote>
  <w:footnote w:id="567">
    <w:p w:rsidR="005953C5" w:rsidRDefault="005953C5" w:rsidP="00620060">
      <w:pPr>
        <w:pStyle w:val="a3"/>
      </w:pPr>
      <w:r w:rsidRPr="002E2087">
        <w:rPr>
          <w:rStyle w:val="a5"/>
          <w:sz w:val="18"/>
          <w:szCs w:val="18"/>
        </w:rPr>
        <w:footnoteRef/>
      </w:r>
      <w:r w:rsidRPr="002E2087">
        <w:rPr>
          <w:sz w:val="18"/>
          <w:szCs w:val="18"/>
          <w:rtl/>
        </w:rPr>
        <w:t xml:space="preserve"> </w:t>
      </w:r>
      <w:r w:rsidRPr="002E2087">
        <w:rPr>
          <w:rFonts w:hint="cs"/>
          <w:sz w:val="18"/>
          <w:szCs w:val="18"/>
          <w:rtl/>
        </w:rPr>
        <w:t>אמנם, יש מקשים שהרי לא שייך לומר נראה כמיקר על טבילה במקווה, שהרי היא מברכת לפני הטבילה, ומ</w:t>
      </w:r>
      <w:r>
        <w:rPr>
          <w:rFonts w:hint="cs"/>
          <w:sz w:val="18"/>
          <w:szCs w:val="18"/>
          <w:rtl/>
        </w:rPr>
        <w:t>וכ</w:t>
      </w:r>
      <w:r w:rsidRPr="002E2087">
        <w:rPr>
          <w:rFonts w:hint="cs"/>
          <w:sz w:val="18"/>
          <w:szCs w:val="18"/>
          <w:rtl/>
        </w:rPr>
        <w:t xml:space="preserve">ח שעושה כן כדי להיטהר לבעלה! ומטעם זה יש אחרונים שכתבו לברך בלחש, וכ"כ </w:t>
      </w:r>
      <w:r w:rsidRPr="002E2087">
        <w:rPr>
          <w:rFonts w:hint="cs"/>
          <w:b/>
          <w:bCs/>
          <w:sz w:val="18"/>
          <w:szCs w:val="18"/>
          <w:rtl/>
        </w:rPr>
        <w:t>הפת"ש</w:t>
      </w:r>
      <w:r w:rsidRPr="002E2087">
        <w:rPr>
          <w:rFonts w:hint="cs"/>
          <w:sz w:val="18"/>
          <w:szCs w:val="18"/>
          <w:rtl/>
        </w:rPr>
        <w:t xml:space="preserve"> בסימן ר'. </w:t>
      </w:r>
      <w:r>
        <w:rPr>
          <w:sz w:val="18"/>
          <w:szCs w:val="18"/>
          <w:rtl/>
        </w:rPr>
        <w:br/>
      </w:r>
      <w:r w:rsidRPr="002E2087">
        <w:rPr>
          <w:rFonts w:hint="cs"/>
          <w:sz w:val="18"/>
          <w:szCs w:val="18"/>
          <w:rtl/>
        </w:rPr>
        <w:t xml:space="preserve">אמנם, </w:t>
      </w:r>
      <w:r w:rsidRPr="002E2087">
        <w:rPr>
          <w:rFonts w:hint="cs"/>
          <w:b/>
          <w:bCs/>
          <w:sz w:val="18"/>
          <w:szCs w:val="18"/>
          <w:rtl/>
        </w:rPr>
        <w:t>טה"ב</w:t>
      </w:r>
      <w:r w:rsidRPr="002E2087">
        <w:rPr>
          <w:rFonts w:hint="cs"/>
          <w:sz w:val="18"/>
          <w:szCs w:val="18"/>
          <w:rtl/>
        </w:rPr>
        <w:t xml:space="preserve"> כתב שלולא דמסתפינא היה נותן טעם להתיר </w:t>
      </w:r>
      <w:r w:rsidRPr="002E2087">
        <w:rPr>
          <w:sz w:val="18"/>
          <w:szCs w:val="18"/>
          <w:rtl/>
        </w:rPr>
        <w:t>–</w:t>
      </w:r>
      <w:r w:rsidRPr="002E2087">
        <w:rPr>
          <w:rFonts w:hint="cs"/>
          <w:sz w:val="18"/>
          <w:szCs w:val="18"/>
          <w:rtl/>
        </w:rPr>
        <w:t xml:space="preserve"> כיוון שבעצם מעשה הטבילה אינה נראית כמתקנת אלא כמיקר, ממילא לא גזרו על טבילה זו כלל ומותר גם לברך עליה.</w:t>
      </w:r>
    </w:p>
  </w:footnote>
  <w:footnote w:id="568">
    <w:p w:rsidR="005953C5" w:rsidRDefault="005953C5" w:rsidP="00620060">
      <w:pPr>
        <w:pStyle w:val="a3"/>
      </w:pPr>
      <w:r w:rsidRPr="005D05AA">
        <w:rPr>
          <w:rStyle w:val="a5"/>
          <w:sz w:val="18"/>
          <w:szCs w:val="18"/>
        </w:rPr>
        <w:footnoteRef/>
      </w:r>
      <w:r w:rsidRPr="005D05AA">
        <w:rPr>
          <w:sz w:val="18"/>
          <w:szCs w:val="18"/>
          <w:rtl/>
        </w:rPr>
        <w:t xml:space="preserve"> </w:t>
      </w:r>
      <w:r w:rsidRPr="005D05AA">
        <w:rPr>
          <w:rFonts w:hint="cs"/>
          <w:sz w:val="18"/>
          <w:szCs w:val="18"/>
          <w:rtl/>
        </w:rPr>
        <w:t>ואע"פ שבגמרא ביצה נאמר שמותר לטבול בשבת מטעם שנראה כמיקר, אפילו הכי יש להחמיר בכך היום</w:t>
      </w:r>
      <w:r>
        <w:rPr>
          <w:rFonts w:hint="cs"/>
          <w:sz w:val="18"/>
          <w:szCs w:val="18"/>
          <w:rtl/>
        </w:rPr>
        <w:t xml:space="preserve">, </w:t>
      </w:r>
      <w:r w:rsidRPr="005D05AA">
        <w:rPr>
          <w:rFonts w:hint="cs"/>
          <w:sz w:val="18"/>
          <w:szCs w:val="18"/>
          <w:rtl/>
        </w:rPr>
        <w:t>משום שאין מנהגינו לרחוץ בשבת להקר, ולכן מוכח מילתא שכוונת הטובלת לטבילה ולא להקר.</w:t>
      </w:r>
    </w:p>
  </w:footnote>
  <w:footnote w:id="569">
    <w:p w:rsidR="005953C5" w:rsidRDefault="005953C5" w:rsidP="00620060">
      <w:pPr>
        <w:pStyle w:val="a3"/>
      </w:pPr>
      <w:r w:rsidRPr="00724150">
        <w:rPr>
          <w:rStyle w:val="a5"/>
          <w:sz w:val="18"/>
          <w:szCs w:val="18"/>
        </w:rPr>
        <w:footnoteRef/>
      </w:r>
      <w:r w:rsidRPr="00724150">
        <w:rPr>
          <w:sz w:val="18"/>
          <w:szCs w:val="18"/>
          <w:rtl/>
        </w:rPr>
        <w:t xml:space="preserve"> </w:t>
      </w:r>
      <w:r w:rsidRPr="00724150">
        <w:rPr>
          <w:rFonts w:hint="cs"/>
          <w:sz w:val="18"/>
          <w:szCs w:val="18"/>
          <w:rtl/>
        </w:rPr>
        <w:t xml:space="preserve">כך מסביר </w:t>
      </w:r>
      <w:r w:rsidRPr="00724150">
        <w:rPr>
          <w:rFonts w:hint="cs"/>
          <w:b/>
          <w:bCs/>
          <w:sz w:val="18"/>
          <w:szCs w:val="18"/>
          <w:rtl/>
        </w:rPr>
        <w:t>הב"ח</w:t>
      </w:r>
      <w:r w:rsidRPr="00724150">
        <w:rPr>
          <w:rFonts w:hint="cs"/>
          <w:sz w:val="18"/>
          <w:szCs w:val="18"/>
          <w:rtl/>
        </w:rPr>
        <w:t xml:space="preserve"> את דברי </w:t>
      </w:r>
      <w:r w:rsidRPr="00724150">
        <w:rPr>
          <w:rFonts w:hint="cs"/>
          <w:b/>
          <w:bCs/>
          <w:sz w:val="18"/>
          <w:szCs w:val="18"/>
          <w:rtl/>
        </w:rPr>
        <w:t>ת"ה</w:t>
      </w:r>
      <w:r w:rsidRPr="00724150">
        <w:rPr>
          <w:rFonts w:hint="cs"/>
          <w:sz w:val="18"/>
          <w:szCs w:val="18"/>
          <w:rtl/>
        </w:rPr>
        <w:t>, אך למעשה אינו פוסק כמותו, כאמור לעיל.</w:t>
      </w:r>
    </w:p>
  </w:footnote>
  <w:footnote w:id="570">
    <w:p w:rsidR="005953C5" w:rsidRDefault="005953C5" w:rsidP="00620060">
      <w:pPr>
        <w:pStyle w:val="a3"/>
      </w:pPr>
      <w:r w:rsidRPr="007D46B4">
        <w:rPr>
          <w:rStyle w:val="a5"/>
          <w:sz w:val="18"/>
          <w:szCs w:val="18"/>
        </w:rPr>
        <w:footnoteRef/>
      </w:r>
      <w:r w:rsidRPr="007D46B4">
        <w:rPr>
          <w:sz w:val="18"/>
          <w:szCs w:val="18"/>
          <w:rtl/>
        </w:rPr>
        <w:t xml:space="preserve"> </w:t>
      </w:r>
      <w:r w:rsidRPr="007D46B4">
        <w:rPr>
          <w:rFonts w:hint="cs"/>
          <w:b/>
          <w:bCs/>
          <w:sz w:val="18"/>
          <w:szCs w:val="18"/>
          <w:rtl/>
        </w:rPr>
        <w:t>וששבה"ל</w:t>
      </w:r>
      <w:r w:rsidRPr="007D46B4">
        <w:rPr>
          <w:rFonts w:hint="cs"/>
          <w:sz w:val="18"/>
          <w:szCs w:val="18"/>
          <w:rtl/>
        </w:rPr>
        <w:t xml:space="preserve"> הוסיף להקשות </w:t>
      </w:r>
      <w:r w:rsidRPr="007D46B4">
        <w:rPr>
          <w:sz w:val="18"/>
          <w:szCs w:val="18"/>
          <w:rtl/>
        </w:rPr>
        <w:t>–</w:t>
      </w:r>
      <w:r w:rsidRPr="007D46B4">
        <w:rPr>
          <w:rFonts w:hint="cs"/>
          <w:sz w:val="18"/>
          <w:szCs w:val="18"/>
          <w:rtl/>
        </w:rPr>
        <w:t xml:space="preserve"> הרי </w:t>
      </w:r>
      <w:r>
        <w:rPr>
          <w:rFonts w:hint="cs"/>
          <w:sz w:val="18"/>
          <w:szCs w:val="18"/>
          <w:rtl/>
        </w:rPr>
        <w:t>החמירו גם להתחיל מניין ז'</w:t>
      </w:r>
      <w:r w:rsidRPr="007D46B4">
        <w:rPr>
          <w:rFonts w:hint="cs"/>
          <w:sz w:val="18"/>
          <w:szCs w:val="18"/>
          <w:rtl/>
        </w:rPr>
        <w:t xml:space="preserve"> בכל אשה רק לאחר ה' ימים מראייתה, ולפי"ז לא תימצא אשה שליל טבילתה בשבת שיהיה מותר לה לטבול.</w:t>
      </w:r>
    </w:p>
  </w:footnote>
  <w:footnote w:id="571">
    <w:p w:rsidR="005953C5" w:rsidRDefault="005953C5" w:rsidP="00620060">
      <w:pPr>
        <w:pStyle w:val="a3"/>
      </w:pPr>
      <w:r w:rsidRPr="00444D53">
        <w:rPr>
          <w:rStyle w:val="a5"/>
          <w:sz w:val="18"/>
          <w:szCs w:val="18"/>
        </w:rPr>
        <w:footnoteRef/>
      </w:r>
      <w:r w:rsidRPr="00444D53">
        <w:rPr>
          <w:sz w:val="18"/>
          <w:szCs w:val="18"/>
          <w:rtl/>
        </w:rPr>
        <w:t xml:space="preserve"> </w:t>
      </w:r>
      <w:r w:rsidRPr="00444D53">
        <w:rPr>
          <w:rFonts w:hint="cs"/>
          <w:sz w:val="18"/>
          <w:szCs w:val="18"/>
          <w:rtl/>
        </w:rPr>
        <w:t xml:space="preserve">מדינא דגמרא מותר לבעול בתולה בשבת, וכ"פ </w:t>
      </w:r>
      <w:r w:rsidRPr="00444D53">
        <w:rPr>
          <w:rFonts w:hint="cs"/>
          <w:b/>
          <w:bCs/>
          <w:sz w:val="18"/>
          <w:szCs w:val="18"/>
          <w:rtl/>
        </w:rPr>
        <w:t>המחבר</w:t>
      </w:r>
      <w:r w:rsidRPr="00444D53">
        <w:rPr>
          <w:rFonts w:hint="cs"/>
          <w:sz w:val="18"/>
          <w:szCs w:val="18"/>
          <w:rtl/>
        </w:rPr>
        <w:t xml:space="preserve"> בהלכות שבת (רפ', ב) "</w:t>
      </w:r>
      <w:r w:rsidRPr="00444D53">
        <w:rPr>
          <w:rFonts w:cs="Arial"/>
          <w:sz w:val="18"/>
          <w:szCs w:val="18"/>
          <w:rtl/>
        </w:rPr>
        <w:t>מותר לבעול לכתחלה בתולה בשבת ואין בו משום חובל ולא משום צער לה</w:t>
      </w:r>
      <w:r w:rsidRPr="00444D53">
        <w:rPr>
          <w:rFonts w:cs="Arial" w:hint="cs"/>
          <w:sz w:val="18"/>
          <w:szCs w:val="18"/>
          <w:rtl/>
        </w:rPr>
        <w:t xml:space="preserve">". ואמנם, אע"פ </w:t>
      </w:r>
      <w:r w:rsidRPr="00444D53">
        <w:rPr>
          <w:rFonts w:cs="Arial" w:hint="cs"/>
          <w:b/>
          <w:bCs/>
          <w:sz w:val="18"/>
          <w:szCs w:val="18"/>
          <w:rtl/>
        </w:rPr>
        <w:t>שהש"ך</w:t>
      </w:r>
      <w:r w:rsidRPr="00444D53">
        <w:rPr>
          <w:rFonts w:cs="Arial" w:hint="cs"/>
          <w:sz w:val="18"/>
          <w:szCs w:val="18"/>
          <w:rtl/>
        </w:rPr>
        <w:t xml:space="preserve"> כתב מנהג זה, כתב </w:t>
      </w:r>
      <w:r w:rsidRPr="00444D53">
        <w:rPr>
          <w:rFonts w:cs="Arial" w:hint="cs"/>
          <w:b/>
          <w:bCs/>
          <w:sz w:val="18"/>
          <w:szCs w:val="18"/>
          <w:rtl/>
        </w:rPr>
        <w:t>ששבה"ל</w:t>
      </w:r>
      <w:r w:rsidRPr="00444D53">
        <w:rPr>
          <w:rFonts w:cs="Arial" w:hint="cs"/>
          <w:sz w:val="18"/>
          <w:szCs w:val="18"/>
          <w:rtl/>
        </w:rPr>
        <w:t xml:space="preserve"> שהוא מנהג גרוע ורע מאוד, ואם אירע כן יש לבעול אפילו ביאה ראשונה בשבת.</w:t>
      </w:r>
    </w:p>
  </w:footnote>
  <w:footnote w:id="572">
    <w:p w:rsidR="005953C5" w:rsidRDefault="005953C5" w:rsidP="00620060">
      <w:pPr>
        <w:pStyle w:val="a3"/>
      </w:pPr>
      <w:r w:rsidRPr="0017093F">
        <w:rPr>
          <w:rStyle w:val="a5"/>
          <w:sz w:val="18"/>
          <w:szCs w:val="18"/>
        </w:rPr>
        <w:footnoteRef/>
      </w:r>
      <w:r w:rsidRPr="0017093F">
        <w:rPr>
          <w:sz w:val="18"/>
          <w:szCs w:val="18"/>
          <w:rtl/>
        </w:rPr>
        <w:t xml:space="preserve"> </w:t>
      </w:r>
      <w:r w:rsidRPr="0017093F">
        <w:rPr>
          <w:rFonts w:hint="cs"/>
          <w:sz w:val="18"/>
          <w:szCs w:val="18"/>
          <w:rtl/>
        </w:rPr>
        <w:t>דין נישואי בתולה ואלמנה ביום שישי ובעילתן בשבת, מבואר בה</w:t>
      </w:r>
      <w:r>
        <w:rPr>
          <w:rFonts w:hint="cs"/>
          <w:sz w:val="18"/>
          <w:szCs w:val="18"/>
          <w:rtl/>
        </w:rPr>
        <w:t>רח</w:t>
      </w:r>
      <w:r w:rsidRPr="0017093F">
        <w:rPr>
          <w:rFonts w:hint="cs"/>
          <w:sz w:val="18"/>
          <w:szCs w:val="18"/>
          <w:rtl/>
        </w:rPr>
        <w:t>בה בשו"ע אבן העזר, סימן סד' סעיף ה'.</w:t>
      </w:r>
      <w:r>
        <w:rPr>
          <w:rFonts w:hint="cs"/>
          <w:rtl/>
        </w:rPr>
        <w:t xml:space="preserve"> </w:t>
      </w:r>
      <w:r w:rsidRPr="00E5669B">
        <w:rPr>
          <w:rFonts w:hint="cs"/>
          <w:sz w:val="18"/>
          <w:szCs w:val="18"/>
          <w:rtl/>
        </w:rPr>
        <w:t xml:space="preserve">ונביא כאן את דברי </w:t>
      </w:r>
      <w:r w:rsidRPr="00E5669B">
        <w:rPr>
          <w:rFonts w:hint="cs"/>
          <w:b/>
          <w:bCs/>
          <w:sz w:val="18"/>
          <w:szCs w:val="18"/>
          <w:rtl/>
        </w:rPr>
        <w:t>המשנה ברורה</w:t>
      </w:r>
      <w:r w:rsidRPr="00E5669B">
        <w:rPr>
          <w:rFonts w:hint="cs"/>
          <w:sz w:val="18"/>
          <w:szCs w:val="18"/>
          <w:rtl/>
        </w:rPr>
        <w:t xml:space="preserve"> </w:t>
      </w:r>
      <w:r w:rsidRPr="00E5669B">
        <w:rPr>
          <w:rFonts w:hint="cs"/>
          <w:sz w:val="16"/>
          <w:szCs w:val="16"/>
          <w:rtl/>
        </w:rPr>
        <w:t xml:space="preserve">(סימן שלט, סקל"ב) </w:t>
      </w:r>
      <w:r w:rsidRPr="00E5669B">
        <w:rPr>
          <w:rFonts w:hint="cs"/>
          <w:sz w:val="18"/>
          <w:szCs w:val="18"/>
          <w:rtl/>
        </w:rPr>
        <w:t xml:space="preserve">הנוגעים לדין זה </w:t>
      </w:r>
      <w:r>
        <w:rPr>
          <w:sz w:val="18"/>
          <w:szCs w:val="18"/>
          <w:rtl/>
        </w:rPr>
        <w:t>–</w:t>
      </w:r>
      <w:r w:rsidRPr="00E5669B">
        <w:rPr>
          <w:rFonts w:hint="cs"/>
          <w:sz w:val="18"/>
          <w:szCs w:val="18"/>
          <w:rtl/>
        </w:rPr>
        <w:t xml:space="preserve"> </w:t>
      </w:r>
      <w:r>
        <w:rPr>
          <w:rFonts w:cs="Arial" w:hint="cs"/>
          <w:sz w:val="18"/>
          <w:szCs w:val="18"/>
          <w:rtl/>
        </w:rPr>
        <w:t>"</w:t>
      </w:r>
      <w:r w:rsidRPr="00E5669B">
        <w:rPr>
          <w:rFonts w:cs="Arial"/>
          <w:sz w:val="18"/>
          <w:szCs w:val="18"/>
          <w:rtl/>
        </w:rPr>
        <w:t>אף באלמנה לא בעינן ביאה ממש וסגי אם</w:t>
      </w:r>
      <w:r>
        <w:rPr>
          <w:rFonts w:cs="Arial"/>
          <w:sz w:val="18"/>
          <w:szCs w:val="18"/>
          <w:rtl/>
        </w:rPr>
        <w:t xml:space="preserve"> היתה יחוד הראוי לביאה לקנותה ע</w:t>
      </w:r>
      <w:r>
        <w:rPr>
          <w:rFonts w:cs="Arial" w:hint="cs"/>
          <w:sz w:val="18"/>
          <w:szCs w:val="18"/>
          <w:rtl/>
        </w:rPr>
        <w:t>ל ידי זה</w:t>
      </w:r>
      <w:r w:rsidRPr="00E5669B">
        <w:rPr>
          <w:rFonts w:cs="Arial"/>
          <w:sz w:val="18"/>
          <w:szCs w:val="18"/>
          <w:rtl/>
        </w:rPr>
        <w:t xml:space="preserve"> קנין גמור למהוי כנשואה לכל דבר</w:t>
      </w:r>
      <w:r>
        <w:rPr>
          <w:rFonts w:cs="Arial" w:hint="cs"/>
          <w:sz w:val="18"/>
          <w:szCs w:val="18"/>
          <w:rtl/>
        </w:rPr>
        <w:t>,</w:t>
      </w:r>
      <w:r w:rsidRPr="00E5669B">
        <w:rPr>
          <w:rFonts w:cs="Arial"/>
          <w:sz w:val="18"/>
          <w:szCs w:val="18"/>
          <w:rtl/>
        </w:rPr>
        <w:t xml:space="preserve"> וכן הסכימו הרבה פוסקים</w:t>
      </w:r>
      <w:r>
        <w:rPr>
          <w:rFonts w:cs="Arial" w:hint="cs"/>
          <w:sz w:val="18"/>
          <w:szCs w:val="18"/>
          <w:rtl/>
        </w:rPr>
        <w:t>.</w:t>
      </w:r>
      <w:r w:rsidRPr="00E5669B">
        <w:rPr>
          <w:rFonts w:cs="Arial"/>
          <w:sz w:val="18"/>
          <w:szCs w:val="18"/>
          <w:rtl/>
        </w:rPr>
        <w:t xml:space="preserve"> ולפ</w:t>
      </w:r>
      <w:r>
        <w:rPr>
          <w:rFonts w:cs="Arial" w:hint="cs"/>
          <w:sz w:val="18"/>
          <w:szCs w:val="18"/>
          <w:rtl/>
        </w:rPr>
        <w:t>י זה,</w:t>
      </w:r>
      <w:r w:rsidRPr="00E5669B">
        <w:rPr>
          <w:rFonts w:cs="Arial"/>
          <w:sz w:val="18"/>
          <w:szCs w:val="18"/>
          <w:rtl/>
        </w:rPr>
        <w:t xml:space="preserve"> אם כנס אותה בע</w:t>
      </w:r>
      <w:r>
        <w:rPr>
          <w:rFonts w:cs="Arial" w:hint="cs"/>
          <w:sz w:val="18"/>
          <w:szCs w:val="18"/>
          <w:rtl/>
        </w:rPr>
        <w:t>רב שבת</w:t>
      </w:r>
      <w:r w:rsidRPr="00E5669B">
        <w:rPr>
          <w:rFonts w:cs="Arial"/>
          <w:sz w:val="18"/>
          <w:szCs w:val="18"/>
          <w:rtl/>
        </w:rPr>
        <w:t xml:space="preserve"> והיתה טהורה</w:t>
      </w:r>
      <w:r>
        <w:rPr>
          <w:rFonts w:cs="Arial" w:hint="cs"/>
          <w:sz w:val="18"/>
          <w:szCs w:val="18"/>
          <w:rtl/>
        </w:rPr>
        <w:t>,</w:t>
      </w:r>
      <w:r w:rsidRPr="00E5669B">
        <w:rPr>
          <w:rFonts w:cs="Arial"/>
          <w:sz w:val="18"/>
          <w:szCs w:val="18"/>
          <w:rtl/>
        </w:rPr>
        <w:t xml:space="preserve"> והכניסה אחר החופה לחדר </w:t>
      </w:r>
      <w:r>
        <w:rPr>
          <w:rFonts w:cs="Arial" w:hint="cs"/>
          <w:sz w:val="18"/>
          <w:szCs w:val="18"/>
          <w:rtl/>
        </w:rPr>
        <w:t>מבעוד יום</w:t>
      </w:r>
      <w:r w:rsidRPr="00E5669B">
        <w:rPr>
          <w:rFonts w:cs="Arial"/>
          <w:sz w:val="18"/>
          <w:szCs w:val="18"/>
          <w:rtl/>
        </w:rPr>
        <w:t xml:space="preserve"> ונתיחד עמה</w:t>
      </w:r>
      <w:r>
        <w:rPr>
          <w:rFonts w:cs="Arial" w:hint="cs"/>
          <w:sz w:val="18"/>
          <w:szCs w:val="18"/>
          <w:rtl/>
        </w:rPr>
        <w:t>,</w:t>
      </w:r>
      <w:r w:rsidRPr="00E5669B">
        <w:rPr>
          <w:rFonts w:cs="Arial"/>
          <w:sz w:val="18"/>
          <w:szCs w:val="18"/>
          <w:rtl/>
        </w:rPr>
        <w:t xml:space="preserve"> ולא היו שם בני אדם קנה אותה קנין גמור</w:t>
      </w:r>
      <w:r>
        <w:rPr>
          <w:rFonts w:cs="Arial" w:hint="cs"/>
          <w:sz w:val="18"/>
          <w:szCs w:val="18"/>
          <w:rtl/>
        </w:rPr>
        <w:t>,</w:t>
      </w:r>
      <w:r w:rsidRPr="00E5669B">
        <w:rPr>
          <w:rFonts w:cs="Arial"/>
          <w:sz w:val="18"/>
          <w:szCs w:val="18"/>
          <w:rtl/>
        </w:rPr>
        <w:t xml:space="preserve"> ומותר אח</w:t>
      </w:r>
      <w:r>
        <w:rPr>
          <w:rFonts w:cs="Arial" w:hint="cs"/>
          <w:sz w:val="18"/>
          <w:szCs w:val="18"/>
          <w:rtl/>
        </w:rPr>
        <w:t>ר כך</w:t>
      </w:r>
      <w:r w:rsidRPr="00E5669B">
        <w:rPr>
          <w:rFonts w:cs="Arial"/>
          <w:sz w:val="18"/>
          <w:szCs w:val="18"/>
          <w:rtl/>
        </w:rPr>
        <w:t xml:space="preserve"> לבוא עליה בשבת</w:t>
      </w:r>
      <w:r>
        <w:rPr>
          <w:rFonts w:cs="Arial" w:hint="cs"/>
          <w:sz w:val="18"/>
          <w:szCs w:val="18"/>
          <w:rtl/>
        </w:rPr>
        <w:t>.</w:t>
      </w:r>
      <w:r w:rsidRPr="00E5669B">
        <w:rPr>
          <w:rFonts w:cs="Arial"/>
          <w:sz w:val="18"/>
          <w:szCs w:val="18"/>
          <w:rtl/>
        </w:rPr>
        <w:t xml:space="preserve"> אבל אם לא היתה טהורה </w:t>
      </w:r>
      <w:r>
        <w:rPr>
          <w:rFonts w:cs="Arial" w:hint="cs"/>
          <w:sz w:val="18"/>
          <w:szCs w:val="18"/>
          <w:rtl/>
        </w:rPr>
        <w:t>מבעוד יום,</w:t>
      </w:r>
      <w:r w:rsidRPr="00E5669B">
        <w:rPr>
          <w:rFonts w:cs="Arial"/>
          <w:sz w:val="18"/>
          <w:szCs w:val="18"/>
          <w:rtl/>
        </w:rPr>
        <w:t xml:space="preserve"> או שלא נתיחד עמה בחדר מיוחד מבע</w:t>
      </w:r>
      <w:r>
        <w:rPr>
          <w:rFonts w:cs="Arial" w:hint="cs"/>
          <w:sz w:val="18"/>
          <w:szCs w:val="18"/>
          <w:rtl/>
        </w:rPr>
        <w:t>וד יום,</w:t>
      </w:r>
      <w:r w:rsidRPr="00E5669B">
        <w:rPr>
          <w:rFonts w:cs="Arial"/>
          <w:sz w:val="18"/>
          <w:szCs w:val="18"/>
          <w:rtl/>
        </w:rPr>
        <w:t xml:space="preserve"> אסור לבוא עליה בשבת</w:t>
      </w:r>
      <w:r>
        <w:rPr>
          <w:rFonts w:cs="Arial" w:hint="cs"/>
          <w:sz w:val="18"/>
          <w:szCs w:val="18"/>
          <w:rtl/>
        </w:rPr>
        <w:t>...</w:t>
      </w:r>
      <w:r>
        <w:rPr>
          <w:rFonts w:cs="Arial"/>
          <w:sz w:val="18"/>
          <w:szCs w:val="18"/>
          <w:rtl/>
        </w:rPr>
        <w:br/>
      </w:r>
      <w:r w:rsidRPr="00E5669B">
        <w:rPr>
          <w:rFonts w:cs="Arial"/>
          <w:sz w:val="18"/>
          <w:szCs w:val="18"/>
          <w:rtl/>
        </w:rPr>
        <w:t>ודע דהרבה אחרונים כתבו דאפילו בבתולה יש ליזהר לכתחלה שיתיחדו אחר החופה בע</w:t>
      </w:r>
      <w:r>
        <w:rPr>
          <w:rFonts w:cs="Arial" w:hint="cs"/>
          <w:sz w:val="18"/>
          <w:szCs w:val="18"/>
          <w:rtl/>
        </w:rPr>
        <w:t>רב שבת</w:t>
      </w:r>
      <w:r w:rsidRPr="00E5669B">
        <w:rPr>
          <w:rFonts w:cs="Arial"/>
          <w:sz w:val="18"/>
          <w:szCs w:val="18"/>
          <w:rtl/>
        </w:rPr>
        <w:t xml:space="preserve"> מבע</w:t>
      </w:r>
      <w:r>
        <w:rPr>
          <w:rFonts w:cs="Arial" w:hint="cs"/>
          <w:sz w:val="18"/>
          <w:szCs w:val="18"/>
          <w:rtl/>
        </w:rPr>
        <w:t>וד יום</w:t>
      </w:r>
      <w:r w:rsidRPr="00E5669B">
        <w:rPr>
          <w:rFonts w:cs="Arial"/>
          <w:sz w:val="18"/>
          <w:szCs w:val="18"/>
          <w:rtl/>
        </w:rPr>
        <w:t xml:space="preserve"> די</w:t>
      </w:r>
      <w:r>
        <w:rPr>
          <w:rFonts w:cs="Arial" w:hint="cs"/>
          <w:sz w:val="18"/>
          <w:szCs w:val="18"/>
          <w:rtl/>
        </w:rPr>
        <w:t xml:space="preserve">ש </w:t>
      </w:r>
      <w:r w:rsidRPr="00E5669B">
        <w:rPr>
          <w:rFonts w:cs="Arial"/>
          <w:sz w:val="18"/>
          <w:szCs w:val="18"/>
          <w:rtl/>
        </w:rPr>
        <w:t>א</w:t>
      </w:r>
      <w:r>
        <w:rPr>
          <w:rFonts w:cs="Arial" w:hint="cs"/>
          <w:sz w:val="18"/>
          <w:szCs w:val="18"/>
          <w:rtl/>
        </w:rPr>
        <w:t>ומרים</w:t>
      </w:r>
      <w:r w:rsidRPr="00E5669B">
        <w:rPr>
          <w:rFonts w:cs="Arial"/>
          <w:sz w:val="18"/>
          <w:szCs w:val="18"/>
          <w:rtl/>
        </w:rPr>
        <w:t xml:space="preserve"> דחופה שלנו מה שמעמידין אותן תחת הכלונסאות לא מקרי עדיין חופה והיא כמקודשת בעלמא</w:t>
      </w:r>
      <w:r>
        <w:rPr>
          <w:rFonts w:cs="Arial" w:hint="cs"/>
          <w:sz w:val="18"/>
          <w:szCs w:val="18"/>
          <w:rtl/>
        </w:rPr>
        <w:t>,</w:t>
      </w:r>
      <w:r w:rsidRPr="00E5669B">
        <w:rPr>
          <w:rFonts w:cs="Arial"/>
          <w:sz w:val="18"/>
          <w:szCs w:val="18"/>
          <w:rtl/>
        </w:rPr>
        <w:t xml:space="preserve"> וא</w:t>
      </w:r>
      <w:r>
        <w:rPr>
          <w:rFonts w:cs="Arial" w:hint="cs"/>
          <w:sz w:val="18"/>
          <w:szCs w:val="18"/>
          <w:rtl/>
        </w:rPr>
        <w:t>ם כן</w:t>
      </w:r>
      <w:r w:rsidRPr="00E5669B">
        <w:rPr>
          <w:rFonts w:cs="Arial"/>
          <w:sz w:val="18"/>
          <w:szCs w:val="18"/>
          <w:rtl/>
        </w:rPr>
        <w:t xml:space="preserve"> כשבא עליה בלילה ביאה הראשונה הוא קונה קנין בשבת</w:t>
      </w:r>
      <w:r>
        <w:rPr>
          <w:rFonts w:cs="Arial" w:hint="cs"/>
          <w:sz w:val="18"/>
          <w:szCs w:val="18"/>
          <w:rtl/>
        </w:rPr>
        <w:t>.</w:t>
      </w:r>
      <w:r w:rsidRPr="00E5669B">
        <w:rPr>
          <w:rFonts w:cs="Arial"/>
          <w:sz w:val="18"/>
          <w:szCs w:val="18"/>
          <w:rtl/>
        </w:rPr>
        <w:t xml:space="preserve"> ואך דבבתולה סגי אפילו ביחוד בעלמא מבע</w:t>
      </w:r>
      <w:r>
        <w:rPr>
          <w:rFonts w:cs="Arial" w:hint="cs"/>
          <w:sz w:val="18"/>
          <w:szCs w:val="18"/>
          <w:rtl/>
        </w:rPr>
        <w:t>וד יום</w:t>
      </w:r>
      <w:r w:rsidRPr="00E5669B">
        <w:rPr>
          <w:rFonts w:cs="Arial"/>
          <w:sz w:val="18"/>
          <w:szCs w:val="18"/>
          <w:rtl/>
        </w:rPr>
        <w:t xml:space="preserve"> ולא בעינן דוקא יחוד הראוי לביאה</w:t>
      </w:r>
      <w:r>
        <w:rPr>
          <w:rFonts w:cs="Arial" w:hint="cs"/>
          <w:sz w:val="18"/>
          <w:szCs w:val="18"/>
          <w:rtl/>
        </w:rPr>
        <w:t>.</w:t>
      </w:r>
      <w:r w:rsidRPr="00E5669B">
        <w:rPr>
          <w:rFonts w:cs="Arial"/>
          <w:sz w:val="18"/>
          <w:szCs w:val="18"/>
          <w:rtl/>
        </w:rPr>
        <w:t xml:space="preserve"> ולכן אפילו אם היתה נדה או שבני אדם נכנסין ויוצאין שם באותו חדר</w:t>
      </w:r>
      <w:r>
        <w:rPr>
          <w:rFonts w:cs="Arial" w:hint="cs"/>
          <w:sz w:val="18"/>
          <w:szCs w:val="18"/>
          <w:rtl/>
        </w:rPr>
        <w:t>,</w:t>
      </w:r>
      <w:r w:rsidRPr="00E5669B">
        <w:rPr>
          <w:rFonts w:cs="Arial"/>
          <w:sz w:val="18"/>
          <w:szCs w:val="18"/>
          <w:rtl/>
        </w:rPr>
        <w:t xml:space="preserve"> ולא הוי יחוד הראוי לביאה</w:t>
      </w:r>
      <w:r>
        <w:rPr>
          <w:rFonts w:cs="Arial" w:hint="cs"/>
          <w:sz w:val="18"/>
          <w:szCs w:val="18"/>
          <w:rtl/>
        </w:rPr>
        <w:t>,</w:t>
      </w:r>
      <w:r w:rsidRPr="00E5669B">
        <w:rPr>
          <w:rFonts w:cs="Arial"/>
          <w:sz w:val="18"/>
          <w:szCs w:val="18"/>
          <w:rtl/>
        </w:rPr>
        <w:t xml:space="preserve"> אעפ"כ הוי חופה גמורה וקונה בבתולה קנין גמור למהוי כנשואה בכל הדברים</w:t>
      </w:r>
      <w:r>
        <w:rPr>
          <w:rFonts w:cs="Arial" w:hint="cs"/>
          <w:sz w:val="18"/>
          <w:szCs w:val="18"/>
          <w:rtl/>
        </w:rPr>
        <w:t>"</w:t>
      </w:r>
      <w:r w:rsidRPr="00E5669B">
        <w:rPr>
          <w:rFonts w:hint="cs"/>
          <w:sz w:val="18"/>
          <w:szCs w:val="18"/>
          <w:rtl/>
        </w:rPr>
        <w:t>.</w:t>
      </w:r>
    </w:p>
  </w:footnote>
  <w:footnote w:id="573">
    <w:p w:rsidR="005953C5" w:rsidRDefault="005953C5" w:rsidP="00620060">
      <w:pPr>
        <w:pStyle w:val="a3"/>
        <w:rPr>
          <w:rtl/>
        </w:rPr>
      </w:pPr>
      <w:r w:rsidRPr="00D30C56">
        <w:rPr>
          <w:rStyle w:val="a5"/>
          <w:sz w:val="18"/>
          <w:szCs w:val="18"/>
        </w:rPr>
        <w:footnoteRef/>
      </w:r>
      <w:r w:rsidRPr="00D30C56">
        <w:rPr>
          <w:sz w:val="18"/>
          <w:szCs w:val="18"/>
          <w:rtl/>
        </w:rPr>
        <w:t xml:space="preserve"> </w:t>
      </w:r>
      <w:r w:rsidRPr="00D30C56">
        <w:rPr>
          <w:rFonts w:hint="cs"/>
          <w:b/>
          <w:bCs/>
          <w:sz w:val="18"/>
          <w:szCs w:val="18"/>
          <w:rtl/>
        </w:rPr>
        <w:t>פת"ש</w:t>
      </w:r>
      <w:r w:rsidRPr="00D30C56">
        <w:rPr>
          <w:rFonts w:hint="cs"/>
          <w:sz w:val="18"/>
          <w:szCs w:val="18"/>
          <w:rtl/>
        </w:rPr>
        <w:t xml:space="preserve"> </w:t>
      </w:r>
      <w:r>
        <w:rPr>
          <w:rFonts w:hint="cs"/>
          <w:sz w:val="18"/>
          <w:szCs w:val="18"/>
          <w:rtl/>
        </w:rPr>
        <w:t xml:space="preserve">- </w:t>
      </w:r>
      <w:r w:rsidRPr="00D30C56">
        <w:rPr>
          <w:rFonts w:hint="cs"/>
          <w:sz w:val="18"/>
          <w:szCs w:val="18"/>
          <w:rtl/>
        </w:rPr>
        <w:t>יש פקפקו על עצה זו, שהרי הרמ"א כתב להחמיר בכה"ג ולחוש לשיטת רש"י שאין לחפוף בלילה ולטבול בלילה. אלא שיש תירצו קושייה זו בכך שכיוון שלא טבלה מחמת דברי חכמים הוי כלא אפשר, ובכה"ג לא החמיר הרמ"א.</w:t>
      </w:r>
    </w:p>
  </w:footnote>
  <w:footnote w:id="574">
    <w:p w:rsidR="005953C5" w:rsidRDefault="005953C5" w:rsidP="00620060">
      <w:pPr>
        <w:pStyle w:val="a3"/>
      </w:pPr>
      <w:r w:rsidRPr="004139BA">
        <w:rPr>
          <w:rStyle w:val="a5"/>
          <w:sz w:val="18"/>
          <w:szCs w:val="18"/>
        </w:rPr>
        <w:footnoteRef/>
      </w:r>
      <w:r w:rsidRPr="004139BA">
        <w:rPr>
          <w:sz w:val="18"/>
          <w:szCs w:val="18"/>
          <w:rtl/>
        </w:rPr>
        <w:t xml:space="preserve"> </w:t>
      </w:r>
      <w:r w:rsidRPr="004139BA">
        <w:rPr>
          <w:rFonts w:hint="cs"/>
          <w:sz w:val="18"/>
          <w:szCs w:val="18"/>
          <w:rtl/>
        </w:rPr>
        <w:t>כיוון שכל דבר שהוא משום שבות לא גזרו עליו בביה"ש במקום מצווה.</w:t>
      </w:r>
    </w:p>
  </w:footnote>
  <w:footnote w:id="575">
    <w:p w:rsidR="005953C5" w:rsidRDefault="005953C5" w:rsidP="00620060">
      <w:pPr>
        <w:pStyle w:val="a3"/>
      </w:pPr>
      <w:r w:rsidRPr="008D2042">
        <w:rPr>
          <w:rStyle w:val="a5"/>
          <w:sz w:val="18"/>
          <w:szCs w:val="18"/>
        </w:rPr>
        <w:footnoteRef/>
      </w:r>
      <w:r w:rsidRPr="008D2042">
        <w:rPr>
          <w:sz w:val="18"/>
          <w:szCs w:val="18"/>
          <w:rtl/>
        </w:rPr>
        <w:t xml:space="preserve"> </w:t>
      </w:r>
      <w:r w:rsidRPr="008D2042">
        <w:rPr>
          <w:rFonts w:hint="cs"/>
          <w:sz w:val="18"/>
          <w:szCs w:val="18"/>
          <w:rtl/>
        </w:rPr>
        <w:t xml:space="preserve">אמנם, </w:t>
      </w:r>
      <w:r w:rsidRPr="008D2042">
        <w:rPr>
          <w:rFonts w:hint="cs"/>
          <w:b/>
          <w:bCs/>
          <w:sz w:val="18"/>
          <w:szCs w:val="18"/>
          <w:rtl/>
        </w:rPr>
        <w:t>הנוב"י</w:t>
      </w:r>
      <w:r w:rsidRPr="008D2042">
        <w:rPr>
          <w:rFonts w:hint="cs"/>
          <w:sz w:val="18"/>
          <w:szCs w:val="18"/>
          <w:rtl/>
        </w:rPr>
        <w:t xml:space="preserve"> כתב שאין לנו לקבל דבר שאין אנחנו רואים אם טעמו נכון.</w:t>
      </w:r>
      <w:r>
        <w:rPr>
          <w:rFonts w:hint="cs"/>
          <w:rtl/>
        </w:rPr>
        <w:t xml:space="preserve"> </w:t>
      </w:r>
      <w:r w:rsidRPr="008D2042">
        <w:rPr>
          <w:rFonts w:hint="cs"/>
          <w:sz w:val="18"/>
          <w:szCs w:val="18"/>
          <w:rtl/>
        </w:rPr>
        <w:t>אלא שאף הוא כתב שאינו מוחה בידי הנשים, ומוטב יהיו שוגגים ולא מזידים.</w:t>
      </w:r>
    </w:p>
  </w:footnote>
  <w:footnote w:id="576">
    <w:p w:rsidR="005953C5" w:rsidRDefault="005953C5" w:rsidP="00620060">
      <w:pPr>
        <w:pStyle w:val="a3"/>
        <w:rPr>
          <w:rtl/>
        </w:rPr>
      </w:pPr>
      <w:r w:rsidRPr="001F4AA1">
        <w:rPr>
          <w:rStyle w:val="a5"/>
          <w:sz w:val="18"/>
          <w:szCs w:val="18"/>
        </w:rPr>
        <w:footnoteRef/>
      </w:r>
      <w:r w:rsidRPr="001F4AA1">
        <w:rPr>
          <w:sz w:val="18"/>
          <w:szCs w:val="18"/>
          <w:rtl/>
        </w:rPr>
        <w:t xml:space="preserve"> </w:t>
      </w:r>
      <w:r w:rsidRPr="001F4AA1">
        <w:rPr>
          <w:rFonts w:hint="cs"/>
          <w:sz w:val="18"/>
          <w:szCs w:val="18"/>
          <w:rtl/>
        </w:rPr>
        <w:t xml:space="preserve">ואמנם, מעיקרא לא סבר רב גזירה זו, כפי שנאמר להדיא </w:t>
      </w:r>
      <w:r w:rsidRPr="001F4AA1">
        <w:rPr>
          <w:rFonts w:hint="cs"/>
          <w:b/>
          <w:bCs/>
          <w:sz w:val="18"/>
          <w:szCs w:val="18"/>
          <w:rtl/>
        </w:rPr>
        <w:t>בגמרא</w:t>
      </w:r>
      <w:r w:rsidRPr="001F4AA1">
        <w:rPr>
          <w:rFonts w:hint="cs"/>
          <w:sz w:val="18"/>
          <w:szCs w:val="18"/>
          <w:rtl/>
        </w:rPr>
        <w:t xml:space="preserve"> (שם) "</w:t>
      </w:r>
      <w:r w:rsidRPr="001F4AA1">
        <w:rPr>
          <w:rFonts w:cs="Arial"/>
          <w:sz w:val="18"/>
          <w:szCs w:val="18"/>
          <w:rtl/>
        </w:rPr>
        <w:t>אמר רב: נדה בזמנה - אינה טובלת אלא בלילה, ושלא בזמנה - טובלת בין ביום בין בלילה. רבי יוחנן אמר: בין בזמנה בין שלא בזמנה - אינה טובלת אלא בלילה, משום סרך בתה. ואף רב הדר ביה</w:t>
      </w:r>
      <w:r w:rsidRPr="001F4AA1">
        <w:rPr>
          <w:rFonts w:cs="Arial" w:hint="cs"/>
          <w:sz w:val="18"/>
          <w:szCs w:val="18"/>
          <w:rtl/>
        </w:rPr>
        <w:t>" וכו'.</w:t>
      </w:r>
    </w:p>
  </w:footnote>
  <w:footnote w:id="577">
    <w:p w:rsidR="005953C5" w:rsidRDefault="005953C5" w:rsidP="00620060">
      <w:pPr>
        <w:pStyle w:val="a3"/>
        <w:rPr>
          <w:rtl/>
        </w:rPr>
      </w:pPr>
      <w:r w:rsidRPr="007A4193">
        <w:rPr>
          <w:rStyle w:val="a5"/>
          <w:sz w:val="18"/>
          <w:szCs w:val="18"/>
        </w:rPr>
        <w:footnoteRef/>
      </w:r>
      <w:r w:rsidRPr="007A4193">
        <w:rPr>
          <w:sz w:val="18"/>
          <w:szCs w:val="18"/>
          <w:rtl/>
        </w:rPr>
        <w:t xml:space="preserve"> </w:t>
      </w:r>
      <w:r w:rsidRPr="007A4193">
        <w:rPr>
          <w:rFonts w:hint="cs"/>
          <w:sz w:val="18"/>
          <w:szCs w:val="18"/>
          <w:rtl/>
        </w:rPr>
        <w:t xml:space="preserve">אמנם, </w:t>
      </w:r>
      <w:r w:rsidRPr="007A4193">
        <w:rPr>
          <w:rFonts w:hint="cs"/>
          <w:b/>
          <w:bCs/>
          <w:sz w:val="18"/>
          <w:szCs w:val="18"/>
          <w:rtl/>
        </w:rPr>
        <w:t>הרשב"א</w:t>
      </w:r>
      <w:r w:rsidRPr="007A4193">
        <w:rPr>
          <w:rFonts w:hint="cs"/>
          <w:sz w:val="18"/>
          <w:szCs w:val="18"/>
          <w:rtl/>
        </w:rPr>
        <w:t xml:space="preserve"> דוחה את דברי </w:t>
      </w:r>
      <w:r w:rsidRPr="007A4193">
        <w:rPr>
          <w:rFonts w:hint="cs"/>
          <w:b/>
          <w:bCs/>
          <w:sz w:val="18"/>
          <w:szCs w:val="18"/>
          <w:rtl/>
        </w:rPr>
        <w:t>הרז"ה</w:t>
      </w:r>
      <w:r w:rsidRPr="007A4193">
        <w:rPr>
          <w:rFonts w:hint="cs"/>
          <w:sz w:val="18"/>
          <w:szCs w:val="18"/>
          <w:rtl/>
        </w:rPr>
        <w:t xml:space="preserve"> ומוכיח כן ממהלך הגמרא שם </w:t>
      </w:r>
      <w:r w:rsidRPr="007A4193">
        <w:rPr>
          <w:sz w:val="18"/>
          <w:szCs w:val="18"/>
          <w:rtl/>
        </w:rPr>
        <w:t>–</w:t>
      </w:r>
      <w:r w:rsidRPr="007A4193">
        <w:rPr>
          <w:rFonts w:hint="cs"/>
          <w:sz w:val="18"/>
          <w:szCs w:val="18"/>
          <w:rtl/>
        </w:rPr>
        <w:t xml:space="preserve"> </w:t>
      </w:r>
      <w:r w:rsidRPr="007A4193">
        <w:rPr>
          <w:sz w:val="18"/>
          <w:szCs w:val="18"/>
          <w:rtl/>
        </w:rPr>
        <w:br/>
      </w:r>
      <w:r w:rsidRPr="007A4193">
        <w:rPr>
          <w:rFonts w:hint="cs"/>
          <w:sz w:val="18"/>
          <w:szCs w:val="18"/>
          <w:rtl/>
        </w:rPr>
        <w:t>"</w:t>
      </w:r>
      <w:r w:rsidRPr="007A4193">
        <w:rPr>
          <w:rFonts w:cs="Arial"/>
          <w:sz w:val="18"/>
          <w:szCs w:val="18"/>
          <w:rtl/>
        </w:rPr>
        <w:t>אתקין רב אידי בנרש למטבל ביומא דתמניא, משום אריותא. רב אחא בר יעקב בפפוניא משום גנבי. רב יהודה בפומבדיתא משום צנה. רבא במחוזא משום אבולאי. אמר ליה רב פפא לרבא ולאביי: מכדי האידנא כולהו ספק זבות שוינהו רבנן, ליטבלינהו ביממא דשביעאה?</w:t>
      </w:r>
      <w:r w:rsidRPr="007A4193">
        <w:rPr>
          <w:rFonts w:cs="Arial" w:hint="cs"/>
          <w:sz w:val="18"/>
          <w:szCs w:val="18"/>
          <w:rtl/>
        </w:rPr>
        <w:t>"</w:t>
      </w:r>
      <w:r w:rsidRPr="007A4193">
        <w:rPr>
          <w:rFonts w:cs="Arial" w:hint="cs"/>
          <w:sz w:val="18"/>
          <w:szCs w:val="18"/>
          <w:rtl/>
        </w:rPr>
        <w:br/>
        <w:t xml:space="preserve">משמע שקושיית רב פפא היתה על תקנת האמוראים שהורו </w:t>
      </w:r>
      <w:r w:rsidRPr="007A4193">
        <w:rPr>
          <w:rFonts w:cs="Arial" w:hint="cs"/>
          <w:sz w:val="18"/>
          <w:szCs w:val="18"/>
          <w:u w:val="single"/>
          <w:rtl/>
        </w:rPr>
        <w:t>לטבול</w:t>
      </w:r>
      <w:r w:rsidRPr="007A4193">
        <w:rPr>
          <w:rFonts w:cs="Arial" w:hint="cs"/>
          <w:sz w:val="18"/>
          <w:szCs w:val="18"/>
          <w:rtl/>
        </w:rPr>
        <w:t xml:space="preserve"> ביום השמיני, ורב פפא שאל מדוע לא </w:t>
      </w:r>
      <w:r w:rsidRPr="007A4193">
        <w:rPr>
          <w:rFonts w:cs="Arial" w:hint="cs"/>
          <w:sz w:val="18"/>
          <w:szCs w:val="18"/>
          <w:u w:val="single"/>
          <w:rtl/>
        </w:rPr>
        <w:t>לטבול</w:t>
      </w:r>
      <w:r w:rsidRPr="007A4193">
        <w:rPr>
          <w:rFonts w:cs="Arial" w:hint="cs"/>
          <w:sz w:val="18"/>
          <w:szCs w:val="18"/>
          <w:rtl/>
        </w:rPr>
        <w:t xml:space="preserve"> ביום השביעי, ועל כך השיבו אביי ורבא שהדבר אסור משום רבי שמעון.</w:t>
      </w:r>
    </w:p>
  </w:footnote>
  <w:footnote w:id="578">
    <w:p w:rsidR="005953C5" w:rsidRDefault="005953C5" w:rsidP="00620060">
      <w:pPr>
        <w:pStyle w:val="a3"/>
        <w:rPr>
          <w:rtl/>
        </w:rPr>
      </w:pPr>
      <w:r w:rsidRPr="00726132">
        <w:rPr>
          <w:rStyle w:val="a5"/>
          <w:sz w:val="18"/>
          <w:szCs w:val="18"/>
        </w:rPr>
        <w:footnoteRef/>
      </w:r>
      <w:r w:rsidRPr="00726132">
        <w:rPr>
          <w:sz w:val="18"/>
          <w:szCs w:val="18"/>
          <w:rtl/>
        </w:rPr>
        <w:t xml:space="preserve"> </w:t>
      </w:r>
      <w:r w:rsidRPr="00726132">
        <w:rPr>
          <w:rFonts w:hint="cs"/>
          <w:sz w:val="18"/>
          <w:szCs w:val="18"/>
          <w:rtl/>
        </w:rPr>
        <w:t xml:space="preserve">קיימת מחלוקת בין המפרשים באיזה יום התיר ר"ת לטבול. </w:t>
      </w:r>
      <w:r>
        <w:rPr>
          <w:sz w:val="18"/>
          <w:szCs w:val="18"/>
          <w:rtl/>
        </w:rPr>
        <w:br/>
      </w:r>
      <w:r w:rsidRPr="00726132">
        <w:rPr>
          <w:rFonts w:hint="cs"/>
          <w:b/>
          <w:bCs/>
          <w:sz w:val="18"/>
          <w:szCs w:val="18"/>
          <w:rtl/>
        </w:rPr>
        <w:t>חידוד הלכות</w:t>
      </w:r>
      <w:r w:rsidRPr="00726132">
        <w:rPr>
          <w:rFonts w:hint="cs"/>
          <w:sz w:val="18"/>
          <w:szCs w:val="18"/>
          <w:rtl/>
        </w:rPr>
        <w:t xml:space="preserve"> </w:t>
      </w:r>
      <w:r>
        <w:rPr>
          <w:rFonts w:hint="cs"/>
          <w:sz w:val="18"/>
          <w:szCs w:val="18"/>
          <w:rtl/>
        </w:rPr>
        <w:t xml:space="preserve">- </w:t>
      </w:r>
      <w:r w:rsidRPr="00726132">
        <w:rPr>
          <w:rFonts w:hint="cs"/>
          <w:sz w:val="18"/>
          <w:szCs w:val="18"/>
          <w:rtl/>
        </w:rPr>
        <w:t>ר"ת התיר לטבול אף ביום השביעי, משום שנידה דידן סופרת ז"נ כזבה, ולכן מעיקר הדין מותר לה לטבול ביום ז', אלא שחכמים אס</w:t>
      </w:r>
      <w:r>
        <w:rPr>
          <w:rFonts w:hint="cs"/>
          <w:sz w:val="18"/>
          <w:szCs w:val="18"/>
          <w:rtl/>
        </w:rPr>
        <w:t>רו</w:t>
      </w:r>
      <w:r w:rsidRPr="00726132">
        <w:rPr>
          <w:rFonts w:hint="cs"/>
          <w:sz w:val="18"/>
          <w:szCs w:val="18"/>
          <w:rtl/>
        </w:rPr>
        <w:t xml:space="preserve"> משום סרך בתה, אך בכה"ג ליכא למיחש. </w:t>
      </w:r>
      <w:r>
        <w:rPr>
          <w:sz w:val="18"/>
          <w:szCs w:val="18"/>
          <w:rtl/>
        </w:rPr>
        <w:br/>
      </w:r>
      <w:r>
        <w:rPr>
          <w:rFonts w:hint="cs"/>
          <w:sz w:val="18"/>
          <w:szCs w:val="18"/>
          <w:rtl/>
        </w:rPr>
        <w:t xml:space="preserve">משמע </w:t>
      </w:r>
      <w:r w:rsidRPr="00726132">
        <w:rPr>
          <w:rFonts w:hint="cs"/>
          <w:b/>
          <w:bCs/>
          <w:sz w:val="18"/>
          <w:szCs w:val="18"/>
          <w:rtl/>
        </w:rPr>
        <w:t>בטור</w:t>
      </w:r>
      <w:r>
        <w:rPr>
          <w:rFonts w:hint="cs"/>
          <w:sz w:val="18"/>
          <w:szCs w:val="18"/>
          <w:rtl/>
        </w:rPr>
        <w:t>,</w:t>
      </w:r>
      <w:r w:rsidRPr="00726132">
        <w:rPr>
          <w:rFonts w:hint="cs"/>
          <w:sz w:val="18"/>
          <w:szCs w:val="18"/>
          <w:rtl/>
        </w:rPr>
        <w:t xml:space="preserve"> וכן כתב </w:t>
      </w:r>
      <w:r w:rsidRPr="00726132">
        <w:rPr>
          <w:rFonts w:hint="cs"/>
          <w:b/>
          <w:bCs/>
          <w:sz w:val="18"/>
          <w:szCs w:val="18"/>
          <w:rtl/>
        </w:rPr>
        <w:t>הש"ך</w:t>
      </w:r>
      <w:r w:rsidRPr="00726132">
        <w:rPr>
          <w:rFonts w:hint="cs"/>
          <w:sz w:val="18"/>
          <w:szCs w:val="18"/>
          <w:rtl/>
        </w:rPr>
        <w:t xml:space="preserve"> להדיא</w:t>
      </w:r>
      <w:r>
        <w:rPr>
          <w:rFonts w:hint="cs"/>
          <w:sz w:val="18"/>
          <w:szCs w:val="18"/>
          <w:rtl/>
        </w:rPr>
        <w:t xml:space="preserve"> - </w:t>
      </w:r>
      <w:r w:rsidRPr="00726132">
        <w:rPr>
          <w:rFonts w:hint="cs"/>
          <w:b/>
          <w:bCs/>
          <w:sz w:val="18"/>
          <w:szCs w:val="18"/>
          <w:rtl/>
        </w:rPr>
        <w:t>ר"ת</w:t>
      </w:r>
      <w:r w:rsidRPr="00726132">
        <w:rPr>
          <w:rFonts w:hint="cs"/>
          <w:sz w:val="18"/>
          <w:szCs w:val="18"/>
          <w:rtl/>
        </w:rPr>
        <w:t xml:space="preserve"> התיר לטבול ביום רק ביום השמיני </w:t>
      </w:r>
      <w:r w:rsidRPr="00726132">
        <w:rPr>
          <w:rFonts w:hint="cs"/>
          <w:sz w:val="16"/>
          <w:szCs w:val="16"/>
          <w:rtl/>
        </w:rPr>
        <w:t>(דהיינו גם באופן שאין אונס, אך כשיש אונס בלאו הכי שרי, יבואר בסעיפים הבאים)</w:t>
      </w:r>
      <w:r w:rsidRPr="00726132">
        <w:rPr>
          <w:rFonts w:hint="cs"/>
          <w:sz w:val="18"/>
          <w:szCs w:val="18"/>
          <w:rtl/>
        </w:rPr>
        <w:t xml:space="preserve"> אך לא ביום השביעי. ובעזרת ה' נרחיב בדין זה בהמשך.</w:t>
      </w:r>
    </w:p>
  </w:footnote>
  <w:footnote w:id="579">
    <w:p w:rsidR="005953C5" w:rsidRDefault="005953C5" w:rsidP="00620060">
      <w:pPr>
        <w:pStyle w:val="a3"/>
      </w:pPr>
      <w:r w:rsidRPr="00C53C35">
        <w:rPr>
          <w:rStyle w:val="a5"/>
          <w:sz w:val="18"/>
          <w:szCs w:val="18"/>
        </w:rPr>
        <w:footnoteRef/>
      </w:r>
      <w:r w:rsidRPr="00C53C35">
        <w:rPr>
          <w:sz w:val="18"/>
          <w:szCs w:val="18"/>
          <w:rtl/>
        </w:rPr>
        <w:t xml:space="preserve"> </w:t>
      </w:r>
      <w:r w:rsidRPr="00C53C35">
        <w:rPr>
          <w:rFonts w:hint="cs"/>
          <w:b/>
          <w:bCs/>
          <w:sz w:val="18"/>
          <w:szCs w:val="18"/>
          <w:rtl/>
        </w:rPr>
        <w:t>הרא"ש</w:t>
      </w:r>
      <w:r w:rsidRPr="00C53C35">
        <w:rPr>
          <w:rFonts w:hint="cs"/>
          <w:sz w:val="18"/>
          <w:szCs w:val="18"/>
          <w:rtl/>
        </w:rPr>
        <w:t xml:space="preserve"> כתב בשם </w:t>
      </w:r>
      <w:r w:rsidRPr="00C53C35">
        <w:rPr>
          <w:rFonts w:hint="cs"/>
          <w:b/>
          <w:bCs/>
          <w:sz w:val="18"/>
          <w:szCs w:val="18"/>
          <w:rtl/>
        </w:rPr>
        <w:t xml:space="preserve">ר"ת </w:t>
      </w:r>
      <w:r w:rsidRPr="00C53C35">
        <w:rPr>
          <w:rFonts w:hint="cs"/>
          <w:sz w:val="18"/>
          <w:szCs w:val="18"/>
          <w:rtl/>
        </w:rPr>
        <w:t>שצריכה לטבול סמוך לחשיכה</w:t>
      </w:r>
      <w:r>
        <w:rPr>
          <w:rFonts w:hint="cs"/>
          <w:sz w:val="18"/>
          <w:szCs w:val="18"/>
          <w:rtl/>
        </w:rPr>
        <w:t xml:space="preserve">. </w:t>
      </w:r>
      <w:r w:rsidRPr="00C53C35">
        <w:rPr>
          <w:rFonts w:hint="cs"/>
          <w:sz w:val="18"/>
          <w:szCs w:val="18"/>
          <w:rtl/>
        </w:rPr>
        <w:t>אמנם</w:t>
      </w:r>
      <w:r>
        <w:rPr>
          <w:rFonts w:hint="cs"/>
          <w:sz w:val="18"/>
          <w:szCs w:val="18"/>
          <w:rtl/>
        </w:rPr>
        <w:t>,</w:t>
      </w:r>
      <w:r w:rsidRPr="00C53C35">
        <w:rPr>
          <w:rFonts w:hint="cs"/>
          <w:sz w:val="18"/>
          <w:szCs w:val="18"/>
          <w:rtl/>
        </w:rPr>
        <w:t xml:space="preserve"> </w:t>
      </w:r>
      <w:r w:rsidRPr="00C53C35">
        <w:rPr>
          <w:rFonts w:hint="cs"/>
          <w:b/>
          <w:bCs/>
          <w:sz w:val="18"/>
          <w:szCs w:val="18"/>
          <w:rtl/>
        </w:rPr>
        <w:t>הבית יוסף</w:t>
      </w:r>
      <w:r w:rsidRPr="00C53C35">
        <w:rPr>
          <w:rFonts w:hint="cs"/>
          <w:sz w:val="18"/>
          <w:szCs w:val="18"/>
          <w:rtl/>
        </w:rPr>
        <w:t xml:space="preserve"> מסביר שזה לאו דווקא, אלא יכולה לטבול גם בעוד היום גדול רק שתשוב לביתה משחשיכה.</w:t>
      </w:r>
    </w:p>
  </w:footnote>
  <w:footnote w:id="580">
    <w:p w:rsidR="005953C5" w:rsidRDefault="005953C5" w:rsidP="00620060">
      <w:pPr>
        <w:pStyle w:val="a3"/>
      </w:pPr>
      <w:r w:rsidRPr="00113521">
        <w:rPr>
          <w:rStyle w:val="a5"/>
          <w:sz w:val="18"/>
          <w:szCs w:val="18"/>
        </w:rPr>
        <w:footnoteRef/>
      </w:r>
      <w:r w:rsidRPr="00113521">
        <w:rPr>
          <w:sz w:val="18"/>
          <w:szCs w:val="18"/>
          <w:rtl/>
        </w:rPr>
        <w:t xml:space="preserve"> </w:t>
      </w:r>
      <w:r w:rsidRPr="00113521">
        <w:rPr>
          <w:rFonts w:hint="cs"/>
          <w:sz w:val="18"/>
          <w:szCs w:val="18"/>
          <w:rtl/>
        </w:rPr>
        <w:t xml:space="preserve">ואע"פ </w:t>
      </w:r>
      <w:r w:rsidRPr="00113521">
        <w:rPr>
          <w:rFonts w:hint="cs"/>
          <w:b/>
          <w:bCs/>
          <w:sz w:val="18"/>
          <w:szCs w:val="18"/>
          <w:rtl/>
        </w:rPr>
        <w:t>שהחת"ס</w:t>
      </w:r>
      <w:r w:rsidRPr="00113521">
        <w:rPr>
          <w:rFonts w:hint="cs"/>
          <w:sz w:val="18"/>
          <w:szCs w:val="18"/>
          <w:rtl/>
        </w:rPr>
        <w:t xml:space="preserve"> כתב שאין לה ללכת לבית חברתה, יש לומר שכוונתו דווקא על בית חברתה משום שהבעל יידע באיזה בית היא נמצאת ועלולים לבוא להיפגש, אך כשהוא הולך לבית הכנסת ולא ייצא משם עד שחשיכה והיא גם כן לא תלך לבית הכנסת </w:t>
      </w:r>
      <w:r w:rsidRPr="00113521">
        <w:rPr>
          <w:sz w:val="18"/>
          <w:szCs w:val="18"/>
          <w:rtl/>
        </w:rPr>
        <w:t>–</w:t>
      </w:r>
      <w:r w:rsidRPr="00113521">
        <w:rPr>
          <w:rFonts w:hint="cs"/>
          <w:sz w:val="18"/>
          <w:szCs w:val="18"/>
          <w:rtl/>
        </w:rPr>
        <w:t xml:space="preserve"> אין לחוש. </w:t>
      </w:r>
      <w:r>
        <w:rPr>
          <w:sz w:val="18"/>
          <w:szCs w:val="18"/>
          <w:rtl/>
        </w:rPr>
        <w:br/>
      </w:r>
      <w:r w:rsidRPr="00113521">
        <w:rPr>
          <w:rFonts w:hint="cs"/>
          <w:sz w:val="18"/>
          <w:szCs w:val="18"/>
          <w:rtl/>
        </w:rPr>
        <w:t xml:space="preserve">וגם על עיקר דברי </w:t>
      </w:r>
      <w:r w:rsidRPr="00113521">
        <w:rPr>
          <w:rFonts w:hint="cs"/>
          <w:b/>
          <w:bCs/>
          <w:sz w:val="18"/>
          <w:szCs w:val="18"/>
          <w:rtl/>
        </w:rPr>
        <w:t>החת"ס</w:t>
      </w:r>
      <w:r w:rsidRPr="00113521">
        <w:rPr>
          <w:rFonts w:hint="cs"/>
          <w:sz w:val="18"/>
          <w:szCs w:val="18"/>
          <w:rtl/>
        </w:rPr>
        <w:t xml:space="preserve"> יש להשיב </w:t>
      </w:r>
      <w:r w:rsidRPr="00113521">
        <w:rPr>
          <w:sz w:val="18"/>
          <w:szCs w:val="18"/>
          <w:rtl/>
        </w:rPr>
        <w:t>–</w:t>
      </w:r>
      <w:r w:rsidRPr="00113521">
        <w:rPr>
          <w:rFonts w:hint="cs"/>
          <w:sz w:val="18"/>
          <w:szCs w:val="18"/>
          <w:rtl/>
        </w:rPr>
        <w:t xml:space="preserve"> החשש הוא רק שאם ייפגשו יבואו לחטוא משום שהוא איסור קל, אך אין לחוש שבמזיד ילכו לחפש אחד את השני כדי לחטוא</w:t>
      </w:r>
      <w:r>
        <w:rPr>
          <w:rFonts w:hint="cs"/>
          <w:sz w:val="18"/>
          <w:szCs w:val="18"/>
          <w:rtl/>
        </w:rPr>
        <w:t>.</w:t>
      </w:r>
      <w:r w:rsidRPr="00113521">
        <w:rPr>
          <w:rFonts w:hint="cs"/>
          <w:sz w:val="18"/>
          <w:szCs w:val="18"/>
          <w:rtl/>
        </w:rPr>
        <w:t xml:space="preserve"> ומכל מקום יש לחוש לדברי </w:t>
      </w:r>
      <w:r w:rsidRPr="00113521">
        <w:rPr>
          <w:rFonts w:hint="cs"/>
          <w:b/>
          <w:bCs/>
          <w:sz w:val="18"/>
          <w:szCs w:val="18"/>
          <w:rtl/>
        </w:rPr>
        <w:t>החת"ס</w:t>
      </w:r>
      <w:r w:rsidRPr="00113521">
        <w:rPr>
          <w:rFonts w:hint="cs"/>
          <w:sz w:val="18"/>
          <w:szCs w:val="18"/>
          <w:rtl/>
        </w:rPr>
        <w:t>, אך בכה"ג שהוא הולך לבית הכנסת או שיש ילדים בבית יש להקל, כאמור בפנים.</w:t>
      </w:r>
    </w:p>
  </w:footnote>
  <w:footnote w:id="581">
    <w:p w:rsidR="005953C5" w:rsidRPr="00113521" w:rsidRDefault="005953C5" w:rsidP="00620060">
      <w:pPr>
        <w:pStyle w:val="a3"/>
        <w:rPr>
          <w:rtl/>
        </w:rPr>
      </w:pPr>
      <w:r w:rsidRPr="00113521">
        <w:rPr>
          <w:rStyle w:val="a5"/>
          <w:sz w:val="18"/>
          <w:szCs w:val="18"/>
        </w:rPr>
        <w:footnoteRef/>
      </w:r>
      <w:r w:rsidRPr="00113521">
        <w:rPr>
          <w:sz w:val="18"/>
          <w:szCs w:val="18"/>
          <w:rtl/>
        </w:rPr>
        <w:t xml:space="preserve"> </w:t>
      </w:r>
      <w:r w:rsidRPr="00113521">
        <w:rPr>
          <w:rFonts w:hint="cs"/>
          <w:sz w:val="18"/>
          <w:szCs w:val="18"/>
          <w:rtl/>
        </w:rPr>
        <w:t xml:space="preserve">ואמנם, יש להעיר שפתרון זה אינו מוסכם על כל האחרונים, עיין למשל בדברי </w:t>
      </w:r>
      <w:r w:rsidRPr="00113521">
        <w:rPr>
          <w:rFonts w:hint="cs"/>
          <w:b/>
          <w:bCs/>
          <w:sz w:val="18"/>
          <w:szCs w:val="18"/>
          <w:rtl/>
        </w:rPr>
        <w:t>ערוך השולחן</w:t>
      </w:r>
      <w:r w:rsidRPr="00113521">
        <w:rPr>
          <w:rFonts w:hint="cs"/>
          <w:sz w:val="18"/>
          <w:szCs w:val="18"/>
          <w:rtl/>
        </w:rPr>
        <w:t xml:space="preserve"> </w:t>
      </w:r>
      <w:r w:rsidRPr="00B573DB">
        <w:rPr>
          <w:rFonts w:hint="cs"/>
          <w:sz w:val="16"/>
          <w:szCs w:val="16"/>
          <w:rtl/>
        </w:rPr>
        <w:t xml:space="preserve">(סעיף יד') </w:t>
      </w:r>
      <w:r w:rsidRPr="00113521">
        <w:rPr>
          <w:sz w:val="18"/>
          <w:szCs w:val="18"/>
          <w:rtl/>
        </w:rPr>
        <w:t>–</w:t>
      </w:r>
      <w:r w:rsidRPr="00113521">
        <w:rPr>
          <w:rFonts w:hint="cs"/>
          <w:sz w:val="18"/>
          <w:szCs w:val="18"/>
          <w:rtl/>
        </w:rPr>
        <w:t xml:space="preserve"> </w:t>
      </w:r>
      <w:r w:rsidRPr="00113521">
        <w:rPr>
          <w:sz w:val="18"/>
          <w:szCs w:val="18"/>
          <w:rtl/>
        </w:rPr>
        <w:br/>
      </w:r>
      <w:r w:rsidRPr="00113521">
        <w:rPr>
          <w:rFonts w:hint="cs"/>
          <w:sz w:val="18"/>
          <w:szCs w:val="18"/>
          <w:rtl/>
        </w:rPr>
        <w:t>"</w:t>
      </w:r>
      <w:r w:rsidRPr="00113521">
        <w:rPr>
          <w:rFonts w:cs="Arial"/>
          <w:sz w:val="18"/>
          <w:szCs w:val="18"/>
          <w:rtl/>
        </w:rPr>
        <w:t>ול</w:t>
      </w:r>
      <w:r w:rsidRPr="00113521">
        <w:rPr>
          <w:rFonts w:cs="Arial" w:hint="cs"/>
          <w:sz w:val="18"/>
          <w:szCs w:val="18"/>
          <w:rtl/>
        </w:rPr>
        <w:t>פי זה</w:t>
      </w:r>
      <w:r w:rsidRPr="00113521">
        <w:rPr>
          <w:rFonts w:cs="Arial"/>
          <w:sz w:val="18"/>
          <w:szCs w:val="18"/>
          <w:rtl/>
        </w:rPr>
        <w:t xml:space="preserve"> בנות הכפרים שבאות לעיר למק</w:t>
      </w:r>
      <w:r w:rsidRPr="00113521">
        <w:rPr>
          <w:rFonts w:cs="Arial" w:hint="cs"/>
          <w:sz w:val="18"/>
          <w:szCs w:val="18"/>
          <w:rtl/>
        </w:rPr>
        <w:t>ו</w:t>
      </w:r>
      <w:r w:rsidRPr="00113521">
        <w:rPr>
          <w:rFonts w:cs="Arial"/>
          <w:sz w:val="18"/>
          <w:szCs w:val="18"/>
          <w:rtl/>
        </w:rPr>
        <w:t>וה וקשה להן ליסע בלילה מחוץ לעיר הנה ביום ח' פשיטא שיכולה לטבול ביום דזהו כאונס גמור</w:t>
      </w:r>
      <w:r w:rsidRPr="00113521">
        <w:rPr>
          <w:rFonts w:cs="Arial" w:hint="cs"/>
          <w:sz w:val="18"/>
          <w:szCs w:val="18"/>
          <w:rtl/>
        </w:rPr>
        <w:t>,</w:t>
      </w:r>
      <w:r w:rsidRPr="00113521">
        <w:rPr>
          <w:rFonts w:cs="Arial"/>
          <w:sz w:val="18"/>
          <w:szCs w:val="18"/>
          <w:rtl/>
        </w:rPr>
        <w:t xml:space="preserve"> אלא אפילו ביום ז' נכון להתיישב לסמוך על דעת רבינו תם</w:t>
      </w:r>
      <w:r w:rsidRPr="00113521">
        <w:rPr>
          <w:rFonts w:cs="Arial" w:hint="cs"/>
          <w:sz w:val="18"/>
          <w:szCs w:val="18"/>
          <w:rtl/>
        </w:rPr>
        <w:t>,</w:t>
      </w:r>
      <w:r w:rsidRPr="00113521">
        <w:rPr>
          <w:rFonts w:cs="Arial"/>
          <w:sz w:val="18"/>
          <w:szCs w:val="18"/>
          <w:rtl/>
        </w:rPr>
        <w:t xml:space="preserve"> כיון שלא תב</w:t>
      </w:r>
      <w:r>
        <w:rPr>
          <w:rFonts w:cs="Arial" w:hint="cs"/>
          <w:sz w:val="18"/>
          <w:szCs w:val="18"/>
          <w:rtl/>
        </w:rPr>
        <w:t>ו</w:t>
      </w:r>
      <w:r w:rsidRPr="00113521">
        <w:rPr>
          <w:rFonts w:cs="Arial"/>
          <w:sz w:val="18"/>
          <w:szCs w:val="18"/>
          <w:rtl/>
        </w:rPr>
        <w:t>א לביתה עד הלילה</w:t>
      </w:r>
      <w:r w:rsidRPr="00113521">
        <w:rPr>
          <w:rFonts w:cs="Arial" w:hint="cs"/>
          <w:sz w:val="18"/>
          <w:szCs w:val="18"/>
          <w:rtl/>
        </w:rPr>
        <w:t>.</w:t>
      </w:r>
      <w:r w:rsidRPr="00113521">
        <w:rPr>
          <w:rFonts w:cs="Arial"/>
          <w:sz w:val="18"/>
          <w:szCs w:val="18"/>
          <w:rtl/>
        </w:rPr>
        <w:t xml:space="preserve"> </w:t>
      </w:r>
      <w:r w:rsidRPr="00113521">
        <w:rPr>
          <w:rFonts w:cs="Arial"/>
          <w:sz w:val="18"/>
          <w:szCs w:val="18"/>
          <w:u w:val="single"/>
          <w:rtl/>
        </w:rPr>
        <w:t>ולכן בע</w:t>
      </w:r>
      <w:r>
        <w:rPr>
          <w:rFonts w:cs="Arial" w:hint="cs"/>
          <w:sz w:val="18"/>
          <w:szCs w:val="18"/>
          <w:u w:val="single"/>
          <w:rtl/>
        </w:rPr>
        <w:t>רב שבת</w:t>
      </w:r>
      <w:r w:rsidRPr="00113521">
        <w:rPr>
          <w:rFonts w:cs="Arial"/>
          <w:sz w:val="18"/>
          <w:szCs w:val="18"/>
          <w:u w:val="single"/>
          <w:rtl/>
        </w:rPr>
        <w:t xml:space="preserve"> </w:t>
      </w:r>
      <w:r>
        <w:rPr>
          <w:rFonts w:cs="Arial" w:hint="cs"/>
          <w:sz w:val="18"/>
          <w:szCs w:val="18"/>
          <w:u w:val="single"/>
          <w:rtl/>
        </w:rPr>
        <w:t>וערב יום טוב</w:t>
      </w:r>
      <w:r w:rsidRPr="00113521">
        <w:rPr>
          <w:rFonts w:cs="Arial"/>
          <w:sz w:val="18"/>
          <w:szCs w:val="18"/>
          <w:u w:val="single"/>
          <w:rtl/>
        </w:rPr>
        <w:t xml:space="preserve"> וודאי אסורה ביום ז' שהרי מוכרחת לבא קודם הלילה</w:t>
      </w:r>
      <w:r w:rsidRPr="00113521">
        <w:rPr>
          <w:rFonts w:hint="cs"/>
          <w:sz w:val="18"/>
          <w:szCs w:val="18"/>
          <w:rtl/>
        </w:rPr>
        <w:t>".</w:t>
      </w:r>
      <w:r>
        <w:rPr>
          <w:rtl/>
        </w:rPr>
        <w:br/>
      </w:r>
      <w:r w:rsidRPr="00621682">
        <w:rPr>
          <w:rFonts w:hint="cs"/>
          <w:sz w:val="18"/>
          <w:szCs w:val="18"/>
          <w:rtl/>
        </w:rPr>
        <w:t xml:space="preserve">ועיין </w:t>
      </w:r>
      <w:r w:rsidRPr="00621682">
        <w:rPr>
          <w:rFonts w:hint="cs"/>
          <w:b/>
          <w:bCs/>
          <w:sz w:val="18"/>
          <w:szCs w:val="18"/>
          <w:rtl/>
        </w:rPr>
        <w:t>בששבה"ל</w:t>
      </w:r>
      <w:r w:rsidRPr="00621682">
        <w:rPr>
          <w:rFonts w:hint="cs"/>
          <w:sz w:val="18"/>
          <w:szCs w:val="18"/>
          <w:rtl/>
        </w:rPr>
        <w:t xml:space="preserve"> </w:t>
      </w:r>
      <w:r w:rsidRPr="00621682">
        <w:rPr>
          <w:rFonts w:hint="cs"/>
          <w:sz w:val="16"/>
          <w:szCs w:val="16"/>
          <w:rtl/>
        </w:rPr>
        <w:t xml:space="preserve">(סעיף ד' אות ב) </w:t>
      </w:r>
      <w:r w:rsidRPr="00621682">
        <w:rPr>
          <w:rFonts w:hint="cs"/>
          <w:sz w:val="18"/>
          <w:szCs w:val="18"/>
          <w:rtl/>
        </w:rPr>
        <w:t xml:space="preserve">שהביא את דברי </w:t>
      </w:r>
      <w:r w:rsidRPr="00621682">
        <w:rPr>
          <w:rFonts w:hint="cs"/>
          <w:b/>
          <w:bCs/>
          <w:sz w:val="18"/>
          <w:szCs w:val="18"/>
          <w:rtl/>
        </w:rPr>
        <w:t>החזו"א</w:t>
      </w:r>
      <w:r w:rsidRPr="00621682">
        <w:rPr>
          <w:rFonts w:hint="cs"/>
          <w:sz w:val="18"/>
          <w:szCs w:val="18"/>
          <w:rtl/>
        </w:rPr>
        <w:t xml:space="preserve"> המחמיר טובא בדין זה. והביא מעשה באחד שהיה צריך להפליג עם אשתו באונייה למשך כמה שבועות, והאונייה היתה צריכה להפליג ביום השביעי לנקיים קודם הלילה, ושאלו את </w:t>
      </w:r>
      <w:r w:rsidRPr="00621682">
        <w:rPr>
          <w:rFonts w:hint="cs"/>
          <w:b/>
          <w:bCs/>
          <w:sz w:val="18"/>
          <w:szCs w:val="18"/>
          <w:rtl/>
        </w:rPr>
        <w:t>החזו"א</w:t>
      </w:r>
      <w:r w:rsidRPr="00621682">
        <w:rPr>
          <w:rFonts w:hint="cs"/>
          <w:sz w:val="18"/>
          <w:szCs w:val="18"/>
          <w:rtl/>
        </w:rPr>
        <w:t xml:space="preserve"> האם ניתן להתיר לה לטבול ביום השביעי מבעו"י ולא ייפגשו עד הלילה</w:t>
      </w:r>
      <w:r>
        <w:rPr>
          <w:rFonts w:hint="cs"/>
          <w:sz w:val="18"/>
          <w:szCs w:val="18"/>
          <w:rtl/>
        </w:rPr>
        <w:t>, והורה לאיסור</w:t>
      </w:r>
      <w:r w:rsidRPr="00621682">
        <w:rPr>
          <w:rFonts w:hint="cs"/>
          <w:sz w:val="18"/>
          <w:szCs w:val="18"/>
          <w:rtl/>
        </w:rPr>
        <w:t xml:space="preserve">. </w:t>
      </w:r>
      <w:r>
        <w:rPr>
          <w:sz w:val="18"/>
          <w:szCs w:val="18"/>
          <w:rtl/>
        </w:rPr>
        <w:br/>
      </w:r>
      <w:r w:rsidRPr="00621682">
        <w:rPr>
          <w:rFonts w:hint="cs"/>
          <w:sz w:val="18"/>
          <w:szCs w:val="18"/>
          <w:rtl/>
        </w:rPr>
        <w:t xml:space="preserve">אמנם, </w:t>
      </w:r>
      <w:r w:rsidRPr="00621682">
        <w:rPr>
          <w:rFonts w:hint="cs"/>
          <w:b/>
          <w:bCs/>
          <w:sz w:val="18"/>
          <w:szCs w:val="18"/>
          <w:rtl/>
        </w:rPr>
        <w:t>ששבה"ל</w:t>
      </w:r>
      <w:r w:rsidRPr="00621682">
        <w:rPr>
          <w:rFonts w:hint="cs"/>
          <w:sz w:val="18"/>
          <w:szCs w:val="18"/>
          <w:rtl/>
        </w:rPr>
        <w:t xml:space="preserve"> כתב שיש להתיר אם הנסיעה היא לזמן ממושך והאשה לא תוכל לטבול כעת </w:t>
      </w:r>
      <w:r>
        <w:rPr>
          <w:rFonts w:hint="cs"/>
          <w:sz w:val="18"/>
          <w:szCs w:val="18"/>
          <w:rtl/>
        </w:rPr>
        <w:t>ב</w:t>
      </w:r>
      <w:r w:rsidRPr="00621682">
        <w:rPr>
          <w:rFonts w:hint="cs"/>
          <w:sz w:val="18"/>
          <w:szCs w:val="18"/>
          <w:rtl/>
        </w:rPr>
        <w:t>משך כמה שבועות.</w:t>
      </w:r>
    </w:p>
  </w:footnote>
  <w:footnote w:id="582">
    <w:p w:rsidR="005953C5" w:rsidRDefault="005953C5" w:rsidP="00620060">
      <w:pPr>
        <w:pStyle w:val="a3"/>
        <w:rPr>
          <w:rtl/>
        </w:rPr>
      </w:pPr>
      <w:r w:rsidRPr="005A5F4E">
        <w:rPr>
          <w:rStyle w:val="a5"/>
          <w:sz w:val="18"/>
          <w:szCs w:val="18"/>
        </w:rPr>
        <w:footnoteRef/>
      </w:r>
      <w:r w:rsidRPr="005A5F4E">
        <w:rPr>
          <w:sz w:val="18"/>
          <w:szCs w:val="18"/>
          <w:rtl/>
        </w:rPr>
        <w:t xml:space="preserve"> </w:t>
      </w:r>
      <w:r w:rsidRPr="005A5F4E">
        <w:rPr>
          <w:rFonts w:hint="cs"/>
          <w:sz w:val="18"/>
          <w:szCs w:val="18"/>
          <w:rtl/>
        </w:rPr>
        <w:t>עצה זו ניתנה לגבי כפר שאין בו מקווה, והמקווה הקרוב אליהם נמצא במרחק ג' שעות נסיעה. בימות החול טובלות הנשים ביום ח' וחוזרות לבית</w:t>
      </w:r>
      <w:r>
        <w:rPr>
          <w:rFonts w:hint="cs"/>
          <w:sz w:val="18"/>
          <w:szCs w:val="18"/>
          <w:rtl/>
        </w:rPr>
        <w:t>ן</w:t>
      </w:r>
      <w:r w:rsidRPr="005A5F4E">
        <w:rPr>
          <w:rFonts w:hint="cs"/>
          <w:sz w:val="18"/>
          <w:szCs w:val="18"/>
          <w:rtl/>
        </w:rPr>
        <w:t xml:space="preserve">, אך כאשר יום ח' חל בשבת אינן יכולות לטבול אלא רק ביום ראשון שהוא יום ט' לנקיים. במקרה כזה כתב </w:t>
      </w:r>
      <w:r w:rsidRPr="005A5F4E">
        <w:rPr>
          <w:rFonts w:hint="cs"/>
          <w:b/>
          <w:bCs/>
          <w:sz w:val="18"/>
          <w:szCs w:val="18"/>
          <w:rtl/>
        </w:rPr>
        <w:t>החת"ס</w:t>
      </w:r>
      <w:r w:rsidRPr="005A5F4E">
        <w:rPr>
          <w:rFonts w:hint="cs"/>
          <w:sz w:val="18"/>
          <w:szCs w:val="18"/>
          <w:rtl/>
        </w:rPr>
        <w:t xml:space="preserve"> את העצה הנ"ל, ויטבלו בערב שבת שהוא יום ח' לדעת המחבר.</w:t>
      </w:r>
    </w:p>
  </w:footnote>
  <w:footnote w:id="583">
    <w:p w:rsidR="005953C5" w:rsidRDefault="005953C5" w:rsidP="00620060">
      <w:pPr>
        <w:pStyle w:val="a3"/>
      </w:pPr>
      <w:r w:rsidRPr="00657102">
        <w:rPr>
          <w:rStyle w:val="a5"/>
          <w:sz w:val="18"/>
          <w:szCs w:val="18"/>
        </w:rPr>
        <w:footnoteRef/>
      </w:r>
      <w:r w:rsidRPr="00657102">
        <w:rPr>
          <w:sz w:val="18"/>
          <w:szCs w:val="18"/>
          <w:rtl/>
        </w:rPr>
        <w:t xml:space="preserve"> </w:t>
      </w:r>
      <w:r w:rsidRPr="00657102">
        <w:rPr>
          <w:rFonts w:hint="cs"/>
          <w:b/>
          <w:bCs/>
          <w:sz w:val="18"/>
          <w:szCs w:val="18"/>
          <w:rtl/>
        </w:rPr>
        <w:t xml:space="preserve">הש"ך </w:t>
      </w:r>
      <w:r w:rsidRPr="00657102">
        <w:rPr>
          <w:rFonts w:hint="cs"/>
          <w:sz w:val="18"/>
          <w:szCs w:val="18"/>
          <w:rtl/>
        </w:rPr>
        <w:t xml:space="preserve">מוכיח את דבריו מהדין השנוי בסוף סימן קצו </w:t>
      </w:r>
      <w:r w:rsidRPr="00657102">
        <w:rPr>
          <w:sz w:val="18"/>
          <w:szCs w:val="18"/>
          <w:rtl/>
        </w:rPr>
        <w:t>–</w:t>
      </w:r>
      <w:r w:rsidRPr="00657102">
        <w:rPr>
          <w:rFonts w:hint="cs"/>
          <w:sz w:val="18"/>
          <w:szCs w:val="18"/>
          <w:rtl/>
        </w:rPr>
        <w:t xml:space="preserve"> "</w:t>
      </w:r>
      <w:r w:rsidRPr="00657102">
        <w:rPr>
          <w:rFonts w:cs="Arial"/>
          <w:sz w:val="18"/>
          <w:szCs w:val="18"/>
          <w:rtl/>
        </w:rPr>
        <w:t>אם טעתה במני</w:t>
      </w:r>
      <w:r>
        <w:rPr>
          <w:rFonts w:cs="Arial" w:hint="cs"/>
          <w:sz w:val="18"/>
          <w:szCs w:val="18"/>
          <w:rtl/>
        </w:rPr>
        <w:t>י</w:t>
      </w:r>
      <w:r w:rsidRPr="00657102">
        <w:rPr>
          <w:rFonts w:cs="Arial"/>
          <w:sz w:val="18"/>
          <w:szCs w:val="18"/>
          <w:rtl/>
        </w:rPr>
        <w:t xml:space="preserve">ן יום אחד וטבלה ושמשה, צריכה להמתין ששה עונות שלימות ואחר כך תמנה יום אחד נקי ותטבול; אך סתירה שלאחר שבעה, כגון שלא טבלה כראוי ושמשה, </w:t>
      </w:r>
      <w:r w:rsidRPr="00657102">
        <w:rPr>
          <w:rFonts w:cs="Arial"/>
          <w:sz w:val="18"/>
          <w:szCs w:val="18"/>
          <w:u w:val="single"/>
          <w:rtl/>
        </w:rPr>
        <w:t>הרי זו טובלת בכל עת</w:t>
      </w:r>
      <w:r w:rsidRPr="00657102">
        <w:rPr>
          <w:rFonts w:cs="Arial" w:hint="cs"/>
          <w:sz w:val="18"/>
          <w:szCs w:val="18"/>
          <w:rtl/>
        </w:rPr>
        <w:t>"</w:t>
      </w:r>
      <w:r w:rsidRPr="00657102">
        <w:rPr>
          <w:rFonts w:cs="Arial"/>
          <w:sz w:val="18"/>
          <w:szCs w:val="18"/>
          <w:rtl/>
        </w:rPr>
        <w:t>.</w:t>
      </w:r>
      <w:r w:rsidRPr="00657102">
        <w:rPr>
          <w:rFonts w:cs="Arial" w:hint="cs"/>
          <w:sz w:val="18"/>
          <w:szCs w:val="18"/>
          <w:rtl/>
        </w:rPr>
        <w:t xml:space="preserve"> </w:t>
      </w:r>
      <w:r>
        <w:rPr>
          <w:rFonts w:cs="Arial"/>
          <w:sz w:val="18"/>
          <w:szCs w:val="18"/>
          <w:rtl/>
        </w:rPr>
        <w:br/>
      </w:r>
      <w:r w:rsidRPr="00657102">
        <w:rPr>
          <w:rFonts w:cs="Arial" w:hint="cs"/>
          <w:sz w:val="18"/>
          <w:szCs w:val="18"/>
          <w:rtl/>
        </w:rPr>
        <w:t>משמע שלא החמירו עליה לטבול בכה"ג דווקא בלילה, אלא יכולה לטבול אפילו ביום וליכא משום גזרת סרך בתה.</w:t>
      </w:r>
    </w:p>
  </w:footnote>
  <w:footnote w:id="584">
    <w:p w:rsidR="005953C5" w:rsidRDefault="005953C5" w:rsidP="00620060">
      <w:pPr>
        <w:pStyle w:val="a3"/>
        <w:rPr>
          <w:rtl/>
        </w:rPr>
      </w:pPr>
      <w:r w:rsidRPr="00D247D6">
        <w:rPr>
          <w:rStyle w:val="a5"/>
          <w:sz w:val="18"/>
          <w:szCs w:val="18"/>
        </w:rPr>
        <w:footnoteRef/>
      </w:r>
      <w:r w:rsidRPr="00D247D6">
        <w:rPr>
          <w:sz w:val="18"/>
          <w:szCs w:val="18"/>
          <w:rtl/>
        </w:rPr>
        <w:t xml:space="preserve"> </w:t>
      </w:r>
      <w:r w:rsidRPr="00D247D6">
        <w:rPr>
          <w:rFonts w:hint="cs"/>
          <w:sz w:val="18"/>
          <w:szCs w:val="18"/>
          <w:rtl/>
        </w:rPr>
        <w:t xml:space="preserve">אמנם, </w:t>
      </w:r>
      <w:r w:rsidRPr="00D247D6">
        <w:rPr>
          <w:rFonts w:hint="cs"/>
          <w:b/>
          <w:bCs/>
          <w:sz w:val="18"/>
          <w:szCs w:val="18"/>
          <w:rtl/>
        </w:rPr>
        <w:t>הרב גדעון</w:t>
      </w:r>
      <w:r w:rsidRPr="00D247D6">
        <w:rPr>
          <w:rFonts w:hint="cs"/>
          <w:sz w:val="18"/>
          <w:szCs w:val="18"/>
          <w:rtl/>
        </w:rPr>
        <w:t xml:space="preserve"> כתב שאם מחמת כן לא תוכל לטבול ולשמש עם החתן באותו הלילה, יש להקל. </w:t>
      </w:r>
    </w:p>
  </w:footnote>
  <w:footnote w:id="585">
    <w:p w:rsidR="005953C5" w:rsidRDefault="005953C5" w:rsidP="00620060">
      <w:pPr>
        <w:pStyle w:val="a3"/>
      </w:pPr>
      <w:r w:rsidRPr="00715361">
        <w:rPr>
          <w:rStyle w:val="a5"/>
          <w:sz w:val="18"/>
          <w:szCs w:val="18"/>
        </w:rPr>
        <w:footnoteRef/>
      </w:r>
      <w:r w:rsidRPr="00715361">
        <w:rPr>
          <w:sz w:val="18"/>
          <w:szCs w:val="18"/>
          <w:rtl/>
        </w:rPr>
        <w:t xml:space="preserve"> </w:t>
      </w:r>
      <w:r w:rsidRPr="00715361">
        <w:rPr>
          <w:rFonts w:hint="cs"/>
          <w:sz w:val="18"/>
          <w:szCs w:val="18"/>
          <w:rtl/>
        </w:rPr>
        <w:t xml:space="preserve">הסיבה לכך היא, משום שטבילה ביום השביעי בעייתית משתי סיבות </w:t>
      </w:r>
      <w:r w:rsidRPr="00715361">
        <w:rPr>
          <w:sz w:val="18"/>
          <w:szCs w:val="18"/>
          <w:rtl/>
        </w:rPr>
        <w:t>–</w:t>
      </w:r>
      <w:r w:rsidRPr="00715361">
        <w:rPr>
          <w:rFonts w:hint="cs"/>
          <w:sz w:val="18"/>
          <w:szCs w:val="18"/>
          <w:rtl/>
        </w:rPr>
        <w:t xml:space="preserve"> </w:t>
      </w:r>
      <w:r>
        <w:rPr>
          <w:sz w:val="18"/>
          <w:szCs w:val="18"/>
          <w:rtl/>
        </w:rPr>
        <w:br/>
      </w:r>
      <w:r w:rsidRPr="00715361">
        <w:rPr>
          <w:rFonts w:hint="cs"/>
          <w:sz w:val="18"/>
          <w:szCs w:val="18"/>
          <w:rtl/>
        </w:rPr>
        <w:t xml:space="preserve">א. סרך בתה, כפי שהוכיחו תוספות שגזרה זו שייכת גם בנידה דידן. </w:t>
      </w:r>
      <w:r>
        <w:rPr>
          <w:sz w:val="18"/>
          <w:szCs w:val="18"/>
          <w:rtl/>
        </w:rPr>
        <w:br/>
      </w:r>
      <w:r w:rsidRPr="00715361">
        <w:rPr>
          <w:rFonts w:hint="cs"/>
          <w:sz w:val="18"/>
          <w:szCs w:val="18"/>
          <w:rtl/>
        </w:rPr>
        <w:t>ב. שמא תשמש ותראה באותו יום ותסתור מניינה.</w:t>
      </w:r>
    </w:p>
  </w:footnote>
  <w:footnote w:id="586">
    <w:p w:rsidR="005953C5" w:rsidRDefault="005953C5" w:rsidP="00620060">
      <w:pPr>
        <w:pStyle w:val="a3"/>
      </w:pPr>
      <w:r w:rsidRPr="00433C0D">
        <w:rPr>
          <w:rStyle w:val="a5"/>
          <w:sz w:val="18"/>
          <w:szCs w:val="18"/>
        </w:rPr>
        <w:footnoteRef/>
      </w:r>
      <w:r w:rsidRPr="00433C0D">
        <w:rPr>
          <w:sz w:val="18"/>
          <w:szCs w:val="18"/>
          <w:rtl/>
        </w:rPr>
        <w:t xml:space="preserve"> </w:t>
      </w:r>
      <w:r w:rsidRPr="00433C0D">
        <w:rPr>
          <w:rFonts w:hint="cs"/>
          <w:sz w:val="18"/>
          <w:szCs w:val="18"/>
          <w:rtl/>
        </w:rPr>
        <w:t xml:space="preserve">וכתב להביא ראיה לכך מהגמרא בנידה - </w:t>
      </w:r>
      <w:r w:rsidRPr="00433C0D">
        <w:rPr>
          <w:sz w:val="18"/>
          <w:szCs w:val="18"/>
          <w:rtl/>
        </w:rPr>
        <w:br/>
      </w:r>
      <w:r w:rsidRPr="00433C0D">
        <w:rPr>
          <w:rFonts w:hint="cs"/>
          <w:sz w:val="18"/>
          <w:szCs w:val="18"/>
          <w:rtl/>
        </w:rPr>
        <w:t xml:space="preserve">רבא התיר לטבול ביום השמיני משום אבולאי, ופירש רש"י </w:t>
      </w:r>
      <w:r w:rsidRPr="00433C0D">
        <w:rPr>
          <w:rFonts w:hint="cs"/>
          <w:sz w:val="16"/>
          <w:szCs w:val="16"/>
          <w:rtl/>
        </w:rPr>
        <w:t xml:space="preserve">(בפירוש השני) </w:t>
      </w:r>
      <w:r w:rsidRPr="00433C0D">
        <w:rPr>
          <w:rFonts w:hint="cs"/>
          <w:sz w:val="18"/>
          <w:szCs w:val="18"/>
          <w:rtl/>
        </w:rPr>
        <w:t>שהיו בורות ופחתים וחשש שמא תיפול ותסתכן. לכאורה יש להורות לנשים אלו לטבול בלילה ולהדליק אבוקה שתאיר להן את הדרך! אלא יש לומר שע"י האבוקה יראו אותן ולכן רבא התיר להן לטבול ביום השמיני. מוכח לפי"ז שמשום צניעות מותר לטבול ביום השמיני.</w:t>
      </w:r>
    </w:p>
  </w:footnote>
  <w:footnote w:id="587">
    <w:p w:rsidR="005953C5" w:rsidRDefault="005953C5" w:rsidP="00620060">
      <w:pPr>
        <w:pStyle w:val="a3"/>
      </w:pPr>
      <w:r w:rsidRPr="00BB3358">
        <w:rPr>
          <w:rStyle w:val="a5"/>
          <w:sz w:val="18"/>
          <w:szCs w:val="18"/>
        </w:rPr>
        <w:footnoteRef/>
      </w:r>
      <w:r w:rsidRPr="00BB3358">
        <w:rPr>
          <w:sz w:val="18"/>
          <w:szCs w:val="18"/>
          <w:rtl/>
        </w:rPr>
        <w:t xml:space="preserve"> </w:t>
      </w:r>
      <w:r w:rsidRPr="00BB3358">
        <w:rPr>
          <w:rFonts w:hint="cs"/>
          <w:b/>
          <w:bCs/>
          <w:sz w:val="18"/>
          <w:szCs w:val="18"/>
          <w:rtl/>
        </w:rPr>
        <w:t>ערוך השולחן</w:t>
      </w:r>
      <w:r w:rsidRPr="00BB3358">
        <w:rPr>
          <w:rFonts w:hint="cs"/>
          <w:sz w:val="18"/>
          <w:szCs w:val="18"/>
          <w:rtl/>
        </w:rPr>
        <w:t xml:space="preserve"> </w:t>
      </w:r>
      <w:r w:rsidRPr="00BB3358">
        <w:rPr>
          <w:sz w:val="18"/>
          <w:szCs w:val="18"/>
          <w:rtl/>
        </w:rPr>
        <w:t>–</w:t>
      </w:r>
      <w:r w:rsidRPr="00BB3358">
        <w:rPr>
          <w:rFonts w:hint="cs"/>
          <w:sz w:val="18"/>
          <w:szCs w:val="18"/>
          <w:rtl/>
        </w:rPr>
        <w:t xml:space="preserve"> "</w:t>
      </w:r>
      <w:r w:rsidRPr="00BB3358">
        <w:rPr>
          <w:rFonts w:cs="Arial"/>
          <w:sz w:val="18"/>
          <w:szCs w:val="18"/>
          <w:rtl/>
        </w:rPr>
        <w:t>וטוב להחמיר במקום שאפשר ואין טורח גדול</w:t>
      </w:r>
      <w:r w:rsidRPr="00BB3358">
        <w:rPr>
          <w:rFonts w:cs="Arial" w:hint="cs"/>
          <w:sz w:val="18"/>
          <w:szCs w:val="18"/>
          <w:rtl/>
        </w:rPr>
        <w:t>.</w:t>
      </w:r>
      <w:r w:rsidRPr="00BB3358">
        <w:rPr>
          <w:rFonts w:cs="Arial"/>
          <w:sz w:val="18"/>
          <w:szCs w:val="18"/>
          <w:rtl/>
        </w:rPr>
        <w:t xml:space="preserve"> אבל אם לא אפשר או שיש טורח גדול</w:t>
      </w:r>
      <w:r w:rsidRPr="00BB3358">
        <w:rPr>
          <w:rFonts w:cs="Arial" w:hint="cs"/>
          <w:sz w:val="18"/>
          <w:szCs w:val="18"/>
          <w:rtl/>
        </w:rPr>
        <w:t>,</w:t>
      </w:r>
      <w:r w:rsidRPr="00BB3358">
        <w:rPr>
          <w:rFonts w:cs="Arial"/>
          <w:sz w:val="18"/>
          <w:szCs w:val="18"/>
          <w:rtl/>
        </w:rPr>
        <w:t xml:space="preserve"> פשיטא שהעיקר כהרמב"ם כיון שכך סתמו </w:t>
      </w:r>
      <w:r w:rsidRPr="00BB3358">
        <w:rPr>
          <w:rFonts w:cs="Arial" w:hint="cs"/>
          <w:sz w:val="18"/>
          <w:szCs w:val="18"/>
          <w:rtl/>
        </w:rPr>
        <w:t>בשולחן ערוך</w:t>
      </w:r>
      <w:r w:rsidRPr="00BB3358">
        <w:rPr>
          <w:rFonts w:cs="Arial"/>
          <w:sz w:val="18"/>
          <w:szCs w:val="18"/>
          <w:rtl/>
        </w:rPr>
        <w:t xml:space="preserve"> ומסתמא עשתה בשוגג</w:t>
      </w:r>
      <w:r w:rsidRPr="00BB3358">
        <w:rPr>
          <w:rFonts w:cs="Arial" w:hint="cs"/>
          <w:sz w:val="18"/>
          <w:szCs w:val="18"/>
          <w:rtl/>
        </w:rPr>
        <w:t>".</w:t>
      </w:r>
      <w:r>
        <w:rPr>
          <w:rtl/>
        </w:rPr>
        <w:br/>
      </w:r>
      <w:r w:rsidRPr="003166DC">
        <w:rPr>
          <w:rFonts w:hint="cs"/>
          <w:sz w:val="18"/>
          <w:szCs w:val="18"/>
          <w:rtl/>
        </w:rPr>
        <w:t xml:space="preserve">אך </w:t>
      </w:r>
      <w:r w:rsidRPr="003166DC">
        <w:rPr>
          <w:rFonts w:hint="cs"/>
          <w:b/>
          <w:bCs/>
          <w:sz w:val="18"/>
          <w:szCs w:val="18"/>
          <w:rtl/>
        </w:rPr>
        <w:t>טה"ב</w:t>
      </w:r>
      <w:r w:rsidRPr="003166DC">
        <w:rPr>
          <w:rFonts w:hint="cs"/>
          <w:sz w:val="18"/>
          <w:szCs w:val="18"/>
          <w:rtl/>
        </w:rPr>
        <w:t xml:space="preserve"> כתב שמנהג הספרדים כדעת</w:t>
      </w:r>
      <w:r w:rsidRPr="003166DC">
        <w:rPr>
          <w:rFonts w:hint="cs"/>
          <w:b/>
          <w:bCs/>
          <w:sz w:val="18"/>
          <w:szCs w:val="18"/>
          <w:rtl/>
        </w:rPr>
        <w:t xml:space="preserve"> המחבר</w:t>
      </w:r>
      <w:r w:rsidRPr="003166DC">
        <w:rPr>
          <w:rFonts w:hint="cs"/>
          <w:sz w:val="18"/>
          <w:szCs w:val="18"/>
          <w:rtl/>
        </w:rPr>
        <w:t xml:space="preserve"> להקל בכך בדיעבד.</w:t>
      </w:r>
      <w:r w:rsidRPr="003166DC">
        <w:rPr>
          <w:sz w:val="18"/>
          <w:szCs w:val="18"/>
          <w:rtl/>
        </w:rPr>
        <w:br/>
      </w:r>
      <w:r w:rsidRPr="003166DC">
        <w:rPr>
          <w:rFonts w:hint="cs"/>
          <w:sz w:val="18"/>
          <w:szCs w:val="18"/>
          <w:rtl/>
        </w:rPr>
        <w:t xml:space="preserve">ולעניין ברכה על הטבילה השנייה, לדעת </w:t>
      </w:r>
      <w:r w:rsidRPr="003166DC">
        <w:rPr>
          <w:rFonts w:hint="cs"/>
          <w:b/>
          <w:bCs/>
          <w:sz w:val="18"/>
          <w:szCs w:val="18"/>
          <w:rtl/>
        </w:rPr>
        <w:t>הב"ח והש"ך</w:t>
      </w:r>
      <w:r w:rsidRPr="003166DC">
        <w:rPr>
          <w:rFonts w:hint="cs"/>
          <w:sz w:val="18"/>
          <w:szCs w:val="18"/>
          <w:rtl/>
        </w:rPr>
        <w:t xml:space="preserve">, כתב </w:t>
      </w:r>
      <w:r w:rsidRPr="003166DC">
        <w:rPr>
          <w:rFonts w:hint="cs"/>
          <w:b/>
          <w:bCs/>
          <w:sz w:val="18"/>
          <w:szCs w:val="18"/>
          <w:rtl/>
        </w:rPr>
        <w:t>בדה"ש</w:t>
      </w:r>
      <w:r w:rsidRPr="003166DC">
        <w:rPr>
          <w:rFonts w:hint="cs"/>
          <w:sz w:val="18"/>
          <w:szCs w:val="18"/>
          <w:rtl/>
        </w:rPr>
        <w:t xml:space="preserve"> שאין לברך. </w:t>
      </w:r>
    </w:p>
  </w:footnote>
  <w:footnote w:id="588">
    <w:p w:rsidR="005953C5" w:rsidRDefault="005953C5" w:rsidP="00620060">
      <w:pPr>
        <w:pStyle w:val="a3"/>
      </w:pPr>
      <w:r w:rsidRPr="00453484">
        <w:rPr>
          <w:rStyle w:val="a5"/>
          <w:sz w:val="18"/>
          <w:szCs w:val="18"/>
        </w:rPr>
        <w:footnoteRef/>
      </w:r>
      <w:r w:rsidRPr="00453484">
        <w:rPr>
          <w:sz w:val="18"/>
          <w:szCs w:val="18"/>
          <w:rtl/>
        </w:rPr>
        <w:t xml:space="preserve"> </w:t>
      </w:r>
      <w:r w:rsidRPr="00453484">
        <w:rPr>
          <w:rFonts w:hint="cs"/>
          <w:b/>
          <w:bCs/>
          <w:sz w:val="18"/>
          <w:szCs w:val="18"/>
          <w:rtl/>
        </w:rPr>
        <w:t>רבינו תם</w:t>
      </w:r>
      <w:r w:rsidRPr="00453484">
        <w:rPr>
          <w:rFonts w:hint="cs"/>
          <w:sz w:val="18"/>
          <w:szCs w:val="18"/>
          <w:rtl/>
        </w:rPr>
        <w:t xml:space="preserve"> מוכיח שדברי </w:t>
      </w:r>
      <w:r w:rsidRPr="00453484">
        <w:rPr>
          <w:rFonts w:hint="cs"/>
          <w:b/>
          <w:bCs/>
          <w:sz w:val="18"/>
          <w:szCs w:val="18"/>
          <w:rtl/>
        </w:rPr>
        <w:t>רש"י</w:t>
      </w:r>
      <w:r w:rsidRPr="00453484">
        <w:rPr>
          <w:rFonts w:hint="cs"/>
          <w:sz w:val="18"/>
          <w:szCs w:val="18"/>
          <w:rtl/>
        </w:rPr>
        <w:t xml:space="preserve"> אינם נכונים - </w:t>
      </w:r>
      <w:r w:rsidRPr="00453484">
        <w:rPr>
          <w:sz w:val="18"/>
          <w:szCs w:val="18"/>
          <w:rtl/>
        </w:rPr>
        <w:br/>
      </w:r>
      <w:r w:rsidRPr="00453484">
        <w:rPr>
          <w:rFonts w:hint="cs"/>
          <w:sz w:val="18"/>
          <w:szCs w:val="18"/>
          <w:rtl/>
        </w:rPr>
        <w:t xml:space="preserve">א. </w:t>
      </w:r>
      <w:r w:rsidRPr="00453484">
        <w:rPr>
          <w:rFonts w:hint="cs"/>
          <w:b/>
          <w:bCs/>
          <w:sz w:val="18"/>
          <w:szCs w:val="18"/>
          <w:rtl/>
        </w:rPr>
        <w:t>גמרא</w:t>
      </w:r>
      <w:r w:rsidRPr="00453484">
        <w:rPr>
          <w:rFonts w:hint="cs"/>
          <w:sz w:val="18"/>
          <w:szCs w:val="18"/>
          <w:rtl/>
        </w:rPr>
        <w:t xml:space="preserve"> יבמות (עח.) "</w:t>
      </w:r>
      <w:r w:rsidRPr="00453484">
        <w:rPr>
          <w:rFonts w:cs="Arial"/>
          <w:sz w:val="18"/>
          <w:szCs w:val="18"/>
          <w:rtl/>
        </w:rPr>
        <w:t>אמר רבא: נכרית מעוברת שנתגיירה - בנה אין צריך טבילה, אמאי אין צריך טבילה? וכי תימא משום דרבי יצחק, דאמר רבי יצחק: דבר תורה, רובו ומקפיד עליו - חוצץ, רובו שאינו מקפיד עליו - אינו חוצץ,</w:t>
      </w:r>
      <w:r w:rsidRPr="00453484">
        <w:rPr>
          <w:sz w:val="18"/>
          <w:szCs w:val="18"/>
          <w:rtl/>
        </w:rPr>
        <w:t xml:space="preserve"> </w:t>
      </w:r>
      <w:r w:rsidRPr="00453484">
        <w:rPr>
          <w:rFonts w:cs="Arial"/>
          <w:sz w:val="18"/>
          <w:szCs w:val="18"/>
          <w:rtl/>
        </w:rPr>
        <w:t>והא אמר רב כהנא: לא שנו אלא רובו, אבל כולו - חוצץ!</w:t>
      </w:r>
      <w:r w:rsidRPr="00453484">
        <w:rPr>
          <w:rFonts w:cs="Arial" w:hint="cs"/>
          <w:sz w:val="18"/>
          <w:szCs w:val="18"/>
          <w:rtl/>
        </w:rPr>
        <w:t>"</w:t>
      </w:r>
      <w:r w:rsidRPr="00453484">
        <w:rPr>
          <w:sz w:val="18"/>
          <w:szCs w:val="18"/>
          <w:rtl/>
        </w:rPr>
        <w:br/>
      </w:r>
      <w:r w:rsidRPr="00453484">
        <w:rPr>
          <w:rFonts w:hint="cs"/>
          <w:sz w:val="18"/>
          <w:szCs w:val="18"/>
          <w:rtl/>
        </w:rPr>
        <w:t xml:space="preserve">והרי לשיטת רש"י הקושייה צריכה להיות שונה </w:t>
      </w:r>
      <w:r w:rsidRPr="00453484">
        <w:rPr>
          <w:sz w:val="18"/>
          <w:szCs w:val="18"/>
          <w:rtl/>
        </w:rPr>
        <w:t>–</w:t>
      </w:r>
      <w:r w:rsidRPr="00453484">
        <w:rPr>
          <w:rFonts w:hint="cs"/>
          <w:sz w:val="18"/>
          <w:szCs w:val="18"/>
          <w:rtl/>
        </w:rPr>
        <w:t xml:space="preserve"> רבי יצחק דיבר על שער בלבד, אך בגופו אפילו מיעוטו שאינו מקפיד עליו חוצץ ומדוע עלתה טבילה לוולד?</w:t>
      </w:r>
      <w:r w:rsidRPr="00453484">
        <w:rPr>
          <w:rFonts w:hint="cs"/>
          <w:sz w:val="18"/>
          <w:szCs w:val="18"/>
          <w:rtl/>
        </w:rPr>
        <w:br/>
        <w:t xml:space="preserve">ב. </w:t>
      </w:r>
      <w:r w:rsidRPr="00453484">
        <w:rPr>
          <w:rFonts w:hint="cs"/>
          <w:b/>
          <w:bCs/>
          <w:sz w:val="18"/>
          <w:szCs w:val="18"/>
          <w:rtl/>
        </w:rPr>
        <w:t>גמרא</w:t>
      </w:r>
      <w:r w:rsidRPr="00453484">
        <w:rPr>
          <w:rFonts w:hint="cs"/>
          <w:sz w:val="18"/>
          <w:szCs w:val="18"/>
          <w:rtl/>
        </w:rPr>
        <w:t xml:space="preserve"> זבחים (צח:) "</w:t>
      </w:r>
      <w:r w:rsidRPr="00453484">
        <w:rPr>
          <w:rFonts w:cs="Arial"/>
          <w:sz w:val="18"/>
          <w:szCs w:val="18"/>
          <w:rtl/>
        </w:rPr>
        <w:t>אמר רבא: פשיטא לי, דם על בגדו חוצץ, ואם טבח הוא - אינו חוצץ</w:t>
      </w:r>
      <w:r w:rsidRPr="00453484">
        <w:rPr>
          <w:rFonts w:cs="Arial" w:hint="cs"/>
          <w:sz w:val="18"/>
          <w:szCs w:val="18"/>
          <w:rtl/>
        </w:rPr>
        <w:t>". מוכח שמיעוטו שאינו מקפיד עליו נאמר גם בבגד ולא רק בשער, לא כרש"י.</w:t>
      </w:r>
      <w:r w:rsidRPr="00453484">
        <w:rPr>
          <w:rFonts w:hint="cs"/>
          <w:sz w:val="18"/>
          <w:szCs w:val="18"/>
          <w:rtl/>
        </w:rPr>
        <w:t xml:space="preserve"> </w:t>
      </w:r>
    </w:p>
  </w:footnote>
  <w:footnote w:id="589">
    <w:p w:rsidR="005953C5" w:rsidRDefault="005953C5" w:rsidP="00620060">
      <w:pPr>
        <w:pStyle w:val="a3"/>
        <w:rPr>
          <w:rtl/>
        </w:rPr>
      </w:pPr>
      <w:r w:rsidRPr="009F5BAA">
        <w:rPr>
          <w:rStyle w:val="a5"/>
          <w:sz w:val="18"/>
          <w:szCs w:val="18"/>
        </w:rPr>
        <w:footnoteRef/>
      </w:r>
      <w:r w:rsidRPr="009F5BAA">
        <w:rPr>
          <w:sz w:val="18"/>
          <w:szCs w:val="18"/>
          <w:rtl/>
        </w:rPr>
        <w:t xml:space="preserve"> </w:t>
      </w:r>
      <w:r w:rsidRPr="009F5BAA">
        <w:rPr>
          <w:rFonts w:hint="cs"/>
          <w:sz w:val="18"/>
          <w:szCs w:val="18"/>
          <w:rtl/>
        </w:rPr>
        <w:t xml:space="preserve">כך היא לשון </w:t>
      </w:r>
      <w:r w:rsidRPr="00F641BF">
        <w:rPr>
          <w:rFonts w:hint="cs"/>
          <w:b/>
          <w:bCs/>
          <w:sz w:val="18"/>
          <w:szCs w:val="18"/>
          <w:rtl/>
        </w:rPr>
        <w:t>הרמב"ם</w:t>
      </w:r>
      <w:r w:rsidRPr="009F5BAA">
        <w:rPr>
          <w:rFonts w:hint="cs"/>
          <w:sz w:val="18"/>
          <w:szCs w:val="18"/>
          <w:rtl/>
        </w:rPr>
        <w:t xml:space="preserve"> בדין זה</w:t>
      </w:r>
      <w:r w:rsidRPr="009F5BAA">
        <w:rPr>
          <w:rFonts w:hint="cs"/>
          <w:sz w:val="16"/>
          <w:szCs w:val="16"/>
          <w:rtl/>
        </w:rPr>
        <w:t xml:space="preserve"> (הלכות מקוואות, ב, טו) </w:t>
      </w:r>
      <w:r w:rsidRPr="009F5BAA">
        <w:rPr>
          <w:sz w:val="18"/>
          <w:szCs w:val="18"/>
          <w:rtl/>
        </w:rPr>
        <w:t>–</w:t>
      </w:r>
      <w:r w:rsidRPr="009F5BAA">
        <w:rPr>
          <w:rFonts w:hint="cs"/>
          <w:sz w:val="18"/>
          <w:szCs w:val="18"/>
          <w:rtl/>
        </w:rPr>
        <w:t xml:space="preserve"> "</w:t>
      </w:r>
      <w:r w:rsidRPr="009F5BAA">
        <w:rPr>
          <w:rFonts w:cs="Arial"/>
          <w:sz w:val="18"/>
          <w:szCs w:val="18"/>
          <w:rtl/>
        </w:rPr>
        <w:t>שערה אחת שנקשרה חוצצת והוא שיהיה מקפיד עליה</w:t>
      </w:r>
      <w:r w:rsidRPr="009F5BAA">
        <w:rPr>
          <w:rFonts w:cs="Arial" w:hint="cs"/>
          <w:sz w:val="18"/>
          <w:szCs w:val="18"/>
          <w:rtl/>
        </w:rPr>
        <w:t>".</w:t>
      </w:r>
      <w:r>
        <w:rPr>
          <w:rtl/>
        </w:rPr>
        <w:br/>
      </w:r>
      <w:r w:rsidRPr="009F5BAA">
        <w:rPr>
          <w:rFonts w:hint="cs"/>
          <w:b/>
          <w:bCs/>
          <w:sz w:val="18"/>
          <w:szCs w:val="18"/>
          <w:rtl/>
        </w:rPr>
        <w:t>בית יוסף</w:t>
      </w:r>
      <w:r w:rsidRPr="009F5BAA">
        <w:rPr>
          <w:rFonts w:hint="cs"/>
          <w:sz w:val="18"/>
          <w:szCs w:val="18"/>
          <w:rtl/>
        </w:rPr>
        <w:t xml:space="preserve"> </w:t>
      </w:r>
      <w:r w:rsidRPr="009F5BAA">
        <w:rPr>
          <w:sz w:val="18"/>
          <w:szCs w:val="18"/>
          <w:rtl/>
        </w:rPr>
        <w:t>–</w:t>
      </w:r>
      <w:r w:rsidRPr="009F5BAA">
        <w:rPr>
          <w:rFonts w:hint="cs"/>
          <w:sz w:val="18"/>
          <w:szCs w:val="18"/>
          <w:rtl/>
        </w:rPr>
        <w:t xml:space="preserve"> הדבר ידוע שאין דרך העולם להקפיד על שערה אחת שנקשרה, ואעפ"כ סובר </w:t>
      </w:r>
      <w:r w:rsidRPr="00F641BF">
        <w:rPr>
          <w:rFonts w:hint="cs"/>
          <w:b/>
          <w:bCs/>
          <w:sz w:val="18"/>
          <w:szCs w:val="18"/>
          <w:rtl/>
        </w:rPr>
        <w:t>הרמב"ם</w:t>
      </w:r>
      <w:r w:rsidRPr="009F5BAA">
        <w:rPr>
          <w:rFonts w:hint="cs"/>
          <w:sz w:val="18"/>
          <w:szCs w:val="18"/>
          <w:rtl/>
        </w:rPr>
        <w:t xml:space="preserve"> שאם הטובל מקפיד בכך </w:t>
      </w:r>
      <w:r w:rsidRPr="009F5BAA">
        <w:rPr>
          <w:sz w:val="18"/>
          <w:szCs w:val="18"/>
          <w:rtl/>
        </w:rPr>
        <w:t>–</w:t>
      </w:r>
      <w:r w:rsidRPr="009F5BAA">
        <w:rPr>
          <w:rFonts w:hint="cs"/>
          <w:sz w:val="18"/>
          <w:szCs w:val="18"/>
          <w:rtl/>
        </w:rPr>
        <w:t xml:space="preserve"> חוצץ, משמע שהכל תלוי בדעתו של הטובל בין לקולא ובין לחומרה. </w:t>
      </w:r>
      <w:r>
        <w:rPr>
          <w:sz w:val="18"/>
          <w:szCs w:val="18"/>
          <w:rtl/>
        </w:rPr>
        <w:br/>
      </w:r>
      <w:r w:rsidRPr="009F5BAA">
        <w:rPr>
          <w:rFonts w:hint="cs"/>
          <w:sz w:val="18"/>
          <w:szCs w:val="18"/>
          <w:rtl/>
        </w:rPr>
        <w:t xml:space="preserve">דהיינו, למרות </w:t>
      </w:r>
      <w:r w:rsidRPr="00F641BF">
        <w:rPr>
          <w:rFonts w:hint="cs"/>
          <w:b/>
          <w:bCs/>
          <w:sz w:val="18"/>
          <w:szCs w:val="18"/>
          <w:rtl/>
        </w:rPr>
        <w:t>שהרמב"ם</w:t>
      </w:r>
      <w:r w:rsidRPr="009F5BAA">
        <w:rPr>
          <w:rFonts w:hint="cs"/>
          <w:sz w:val="18"/>
          <w:szCs w:val="18"/>
          <w:rtl/>
        </w:rPr>
        <w:t xml:space="preserve"> התייחס בדבריו רק למקרה שהטובל מקפיד </w:t>
      </w:r>
      <w:r>
        <w:rPr>
          <w:rFonts w:hint="cs"/>
          <w:sz w:val="18"/>
          <w:szCs w:val="18"/>
          <w:rtl/>
        </w:rPr>
        <w:t>ו</w:t>
      </w:r>
      <w:r w:rsidRPr="009F5BAA">
        <w:rPr>
          <w:rFonts w:hint="cs"/>
          <w:sz w:val="18"/>
          <w:szCs w:val="18"/>
          <w:rtl/>
        </w:rPr>
        <w:t xml:space="preserve">העולם אינו מקפיד </w:t>
      </w:r>
      <w:r w:rsidRPr="009F5BAA">
        <w:rPr>
          <w:rFonts w:hint="cs"/>
          <w:sz w:val="16"/>
          <w:szCs w:val="16"/>
          <w:rtl/>
        </w:rPr>
        <w:t xml:space="preserve">(שיבואר מייד בסמוך) </w:t>
      </w:r>
      <w:r w:rsidRPr="009F5BAA">
        <w:rPr>
          <w:rFonts w:hint="cs"/>
          <w:sz w:val="18"/>
          <w:szCs w:val="18"/>
          <w:rtl/>
        </w:rPr>
        <w:t>יש לומר שכוונתו גם למקרה שהטובל אינו מקפיד אך העולם מקפיד ש</w:t>
      </w:r>
      <w:r>
        <w:rPr>
          <w:rFonts w:hint="cs"/>
          <w:sz w:val="18"/>
          <w:szCs w:val="18"/>
          <w:rtl/>
        </w:rPr>
        <w:t>א</w:t>
      </w:r>
      <w:r w:rsidRPr="009F5BAA">
        <w:rPr>
          <w:rFonts w:hint="cs"/>
          <w:sz w:val="18"/>
          <w:szCs w:val="18"/>
          <w:rtl/>
        </w:rPr>
        <w:t>ינו חוצץ, ומכל מקום צ"ע בדעתו</w:t>
      </w:r>
      <w:r>
        <w:rPr>
          <w:rFonts w:hint="cs"/>
          <w:rtl/>
        </w:rPr>
        <w:t>.</w:t>
      </w:r>
    </w:p>
  </w:footnote>
  <w:footnote w:id="590">
    <w:p w:rsidR="005953C5" w:rsidRDefault="005953C5" w:rsidP="00620060">
      <w:pPr>
        <w:pStyle w:val="a3"/>
        <w:rPr>
          <w:rtl/>
        </w:rPr>
      </w:pPr>
      <w:r w:rsidRPr="00CC67A4">
        <w:rPr>
          <w:rStyle w:val="a5"/>
          <w:sz w:val="18"/>
          <w:szCs w:val="18"/>
        </w:rPr>
        <w:footnoteRef/>
      </w:r>
      <w:r w:rsidRPr="00CC67A4">
        <w:rPr>
          <w:sz w:val="18"/>
          <w:szCs w:val="18"/>
          <w:rtl/>
        </w:rPr>
        <w:t xml:space="preserve"> </w:t>
      </w:r>
      <w:r w:rsidRPr="00CC67A4">
        <w:rPr>
          <w:rFonts w:hint="cs"/>
          <w:b/>
          <w:bCs/>
          <w:sz w:val="18"/>
          <w:szCs w:val="18"/>
          <w:rtl/>
        </w:rPr>
        <w:t xml:space="preserve">ששבה"ל </w:t>
      </w:r>
      <w:r w:rsidRPr="00CC67A4">
        <w:rPr>
          <w:sz w:val="18"/>
          <w:szCs w:val="18"/>
          <w:rtl/>
        </w:rPr>
        <w:t>–</w:t>
      </w:r>
      <w:r w:rsidRPr="00CC67A4">
        <w:rPr>
          <w:rFonts w:hint="cs"/>
          <w:sz w:val="18"/>
          <w:szCs w:val="18"/>
          <w:rtl/>
        </w:rPr>
        <w:t xml:space="preserve"> האחרונים התקשו בשאלה מה המקור לגזרה זו? אדרבה, בגמרא נאמר להדיא שאין לגזור על מיעוטו שאינו מקפיד כיוון שזו גזירה לגזירה, ואם כן כיצד יכולים אנחנו לגזור במה שחז"ל קבעו שאין לגזור?</w:t>
      </w:r>
      <w:r w:rsidRPr="00CC67A4">
        <w:rPr>
          <w:rFonts w:hint="cs"/>
          <w:sz w:val="18"/>
          <w:szCs w:val="18"/>
          <w:rtl/>
        </w:rPr>
        <w:br/>
        <w:t>ואמנם, יש ליישב שאין הכוונה גזרה אטו מיעוטו המקפיד וכדומה, אלא שחוששים למיעוט ידיעה של בני האדם מה נקרא מקפיד</w:t>
      </w:r>
      <w:r>
        <w:rPr>
          <w:rFonts w:hint="cs"/>
          <w:sz w:val="18"/>
          <w:szCs w:val="18"/>
          <w:rtl/>
        </w:rPr>
        <w:t>,</w:t>
      </w:r>
      <w:r w:rsidRPr="00CC67A4">
        <w:rPr>
          <w:rFonts w:hint="cs"/>
          <w:sz w:val="18"/>
          <w:szCs w:val="18"/>
          <w:rtl/>
        </w:rPr>
        <w:t xml:space="preserve"> וכן יש דברים שמסופקים אצלינו האם מקרי מקפיד, ומש"ה החמירו בכל עניין. ועוד יש לומר, שחששו </w:t>
      </w:r>
      <w:r>
        <w:rPr>
          <w:rFonts w:hint="cs"/>
          <w:sz w:val="18"/>
          <w:szCs w:val="18"/>
          <w:rtl/>
        </w:rPr>
        <w:t xml:space="preserve">משום שגם אם היא </w:t>
      </w:r>
      <w:r w:rsidRPr="00CC67A4">
        <w:rPr>
          <w:rFonts w:hint="cs"/>
          <w:sz w:val="18"/>
          <w:szCs w:val="18"/>
          <w:rtl/>
        </w:rPr>
        <w:t>אינה מקפידה, מכל מקום ייתכן שנשים אחרות מקפידות בכך ולכן החמירו.</w:t>
      </w:r>
    </w:p>
  </w:footnote>
  <w:footnote w:id="591">
    <w:p w:rsidR="005953C5" w:rsidRDefault="005953C5" w:rsidP="00620060">
      <w:pPr>
        <w:pStyle w:val="a3"/>
      </w:pPr>
      <w:r w:rsidRPr="00027F32">
        <w:rPr>
          <w:rStyle w:val="a5"/>
          <w:sz w:val="18"/>
          <w:szCs w:val="18"/>
        </w:rPr>
        <w:footnoteRef/>
      </w:r>
      <w:r w:rsidRPr="00027F32">
        <w:rPr>
          <w:sz w:val="18"/>
          <w:szCs w:val="18"/>
          <w:rtl/>
        </w:rPr>
        <w:t xml:space="preserve"> </w:t>
      </w:r>
      <w:r w:rsidRPr="00027F32">
        <w:rPr>
          <w:rFonts w:hint="cs"/>
          <w:sz w:val="18"/>
          <w:szCs w:val="18"/>
          <w:rtl/>
        </w:rPr>
        <w:t>ואין לומר שחוטים אלו הם מיעוטו שאינו מקפיד עליו, כיוון שמקפידה עליהם להסירם בשעת חפיפה, וכיוון שבחלק מה</w:t>
      </w:r>
      <w:r>
        <w:rPr>
          <w:rFonts w:hint="cs"/>
          <w:sz w:val="18"/>
          <w:szCs w:val="18"/>
          <w:rtl/>
        </w:rPr>
        <w:t>ז</w:t>
      </w:r>
      <w:r w:rsidRPr="00027F32">
        <w:rPr>
          <w:rFonts w:hint="cs"/>
          <w:sz w:val="18"/>
          <w:szCs w:val="18"/>
          <w:rtl/>
        </w:rPr>
        <w:t>מן מקפידה עליהם, לעולם הם חוצצים</w:t>
      </w:r>
      <w:r>
        <w:rPr>
          <w:rFonts w:hint="cs"/>
          <w:sz w:val="18"/>
          <w:szCs w:val="18"/>
          <w:rtl/>
        </w:rPr>
        <w:t xml:space="preserve">, </w:t>
      </w:r>
      <w:r w:rsidRPr="00027F32">
        <w:rPr>
          <w:rFonts w:hint="cs"/>
          <w:b/>
          <w:bCs/>
          <w:sz w:val="18"/>
          <w:szCs w:val="18"/>
          <w:rtl/>
        </w:rPr>
        <w:t>רא"ש</w:t>
      </w:r>
      <w:r w:rsidRPr="00027F32">
        <w:rPr>
          <w:rFonts w:hint="cs"/>
          <w:sz w:val="18"/>
          <w:szCs w:val="18"/>
          <w:rtl/>
        </w:rPr>
        <w:t>.</w:t>
      </w:r>
    </w:p>
  </w:footnote>
  <w:footnote w:id="592">
    <w:p w:rsidR="005953C5" w:rsidRDefault="005953C5" w:rsidP="00620060">
      <w:pPr>
        <w:pStyle w:val="a3"/>
        <w:rPr>
          <w:rtl/>
        </w:rPr>
      </w:pPr>
      <w:r w:rsidRPr="00E178FC">
        <w:rPr>
          <w:rStyle w:val="a5"/>
          <w:sz w:val="18"/>
          <w:szCs w:val="18"/>
        </w:rPr>
        <w:footnoteRef/>
      </w:r>
      <w:r w:rsidRPr="00E178FC">
        <w:rPr>
          <w:sz w:val="18"/>
          <w:szCs w:val="18"/>
          <w:rtl/>
        </w:rPr>
        <w:t xml:space="preserve"> </w:t>
      </w:r>
      <w:r w:rsidRPr="00E178FC">
        <w:rPr>
          <w:rFonts w:hint="cs"/>
          <w:b/>
          <w:bCs/>
          <w:sz w:val="18"/>
          <w:szCs w:val="18"/>
          <w:rtl/>
        </w:rPr>
        <w:t>רש"י</w:t>
      </w:r>
      <w:r w:rsidRPr="00E178FC">
        <w:rPr>
          <w:rFonts w:hint="cs"/>
          <w:sz w:val="18"/>
          <w:szCs w:val="18"/>
          <w:rtl/>
        </w:rPr>
        <w:t xml:space="preserve"> - </w:t>
      </w:r>
      <w:r w:rsidRPr="00E178FC">
        <w:rPr>
          <w:rFonts w:cs="Arial"/>
          <w:sz w:val="18"/>
          <w:szCs w:val="18"/>
          <w:rtl/>
        </w:rPr>
        <w:t>צמר קרוי רך לגבי פשתן ולגבי שיער.</w:t>
      </w:r>
      <w:r w:rsidRPr="00E178FC">
        <w:rPr>
          <w:rFonts w:hint="cs"/>
          <w:sz w:val="18"/>
          <w:szCs w:val="18"/>
          <w:rtl/>
        </w:rPr>
        <w:t xml:space="preserve"> קשה </w:t>
      </w:r>
      <w:r w:rsidRPr="00E178FC">
        <w:rPr>
          <w:sz w:val="18"/>
          <w:szCs w:val="18"/>
          <w:rtl/>
        </w:rPr>
        <w:t>–</w:t>
      </w:r>
      <w:r w:rsidRPr="00E178FC">
        <w:rPr>
          <w:rFonts w:hint="cs"/>
          <w:sz w:val="18"/>
          <w:szCs w:val="18"/>
          <w:rtl/>
        </w:rPr>
        <w:t xml:space="preserve"> שער. רך </w:t>
      </w:r>
      <w:r w:rsidRPr="00E178FC">
        <w:rPr>
          <w:sz w:val="18"/>
          <w:szCs w:val="18"/>
          <w:rtl/>
        </w:rPr>
        <w:t>–</w:t>
      </w:r>
      <w:r w:rsidRPr="00E178FC">
        <w:rPr>
          <w:rFonts w:hint="cs"/>
          <w:sz w:val="18"/>
          <w:szCs w:val="18"/>
          <w:rtl/>
        </w:rPr>
        <w:t xml:space="preserve"> בשר.</w:t>
      </w:r>
    </w:p>
  </w:footnote>
  <w:footnote w:id="593">
    <w:p w:rsidR="005953C5" w:rsidRDefault="005953C5" w:rsidP="00620060">
      <w:pPr>
        <w:pStyle w:val="a3"/>
      </w:pPr>
      <w:r w:rsidRPr="00811CCB">
        <w:rPr>
          <w:rStyle w:val="a5"/>
          <w:sz w:val="18"/>
          <w:szCs w:val="18"/>
        </w:rPr>
        <w:footnoteRef/>
      </w:r>
      <w:r w:rsidRPr="00811CCB">
        <w:rPr>
          <w:sz w:val="18"/>
          <w:szCs w:val="18"/>
          <w:rtl/>
        </w:rPr>
        <w:t xml:space="preserve"> </w:t>
      </w:r>
      <w:r w:rsidRPr="00811CCB">
        <w:rPr>
          <w:rFonts w:hint="cs"/>
          <w:b/>
          <w:bCs/>
          <w:sz w:val="18"/>
          <w:szCs w:val="18"/>
          <w:rtl/>
        </w:rPr>
        <w:t>ששבה"ל</w:t>
      </w:r>
      <w:r>
        <w:rPr>
          <w:rFonts w:hint="cs"/>
          <w:sz w:val="18"/>
          <w:szCs w:val="18"/>
          <w:rtl/>
        </w:rPr>
        <w:t xml:space="preserve"> - </w:t>
      </w:r>
      <w:r w:rsidRPr="00811CCB">
        <w:rPr>
          <w:rFonts w:hint="cs"/>
          <w:sz w:val="18"/>
          <w:szCs w:val="18"/>
          <w:rtl/>
        </w:rPr>
        <w:t>מהו גדר רפוי?</w:t>
      </w:r>
      <w:r w:rsidRPr="00811CCB">
        <w:rPr>
          <w:sz w:val="18"/>
          <w:szCs w:val="18"/>
          <w:rtl/>
        </w:rPr>
        <w:br/>
      </w:r>
      <w:r w:rsidRPr="00811CCB">
        <w:rPr>
          <w:rFonts w:hint="cs"/>
          <w:b/>
          <w:bCs/>
          <w:sz w:val="18"/>
          <w:szCs w:val="18"/>
          <w:rtl/>
        </w:rPr>
        <w:t>סדרי טהרה</w:t>
      </w:r>
      <w:r w:rsidRPr="00811CCB">
        <w:rPr>
          <w:rFonts w:hint="cs"/>
          <w:sz w:val="18"/>
          <w:szCs w:val="18"/>
          <w:rtl/>
        </w:rPr>
        <w:t xml:space="preserve"> </w:t>
      </w:r>
      <w:r w:rsidRPr="00811CCB">
        <w:rPr>
          <w:sz w:val="18"/>
          <w:szCs w:val="18"/>
          <w:rtl/>
        </w:rPr>
        <w:t>–</w:t>
      </w:r>
      <w:r w:rsidRPr="00811CCB">
        <w:rPr>
          <w:rFonts w:hint="cs"/>
          <w:sz w:val="18"/>
          <w:szCs w:val="18"/>
          <w:rtl/>
        </w:rPr>
        <w:t xml:space="preserve"> מדברי המחבר לגבי קטלא, משמע שכל דבר שאינו חונק נידון כרפוי.</w:t>
      </w:r>
      <w:r w:rsidRPr="00811CCB">
        <w:rPr>
          <w:sz w:val="18"/>
          <w:szCs w:val="18"/>
          <w:rtl/>
        </w:rPr>
        <w:br/>
      </w:r>
      <w:r w:rsidRPr="00811CCB">
        <w:rPr>
          <w:rFonts w:hint="cs"/>
          <w:b/>
          <w:bCs/>
          <w:sz w:val="18"/>
          <w:szCs w:val="18"/>
          <w:rtl/>
        </w:rPr>
        <w:t>ש"ך</w:t>
      </w:r>
      <w:r w:rsidRPr="00811CCB">
        <w:rPr>
          <w:rFonts w:hint="cs"/>
          <w:sz w:val="18"/>
          <w:szCs w:val="18"/>
          <w:rtl/>
        </w:rPr>
        <w:t xml:space="preserve"> </w:t>
      </w:r>
      <w:r w:rsidRPr="00811CCB">
        <w:rPr>
          <w:rFonts w:hint="cs"/>
          <w:sz w:val="16"/>
          <w:szCs w:val="16"/>
          <w:rtl/>
        </w:rPr>
        <w:t xml:space="preserve">(לקמן, סקנ"ו) </w:t>
      </w:r>
      <w:r w:rsidRPr="00811CCB">
        <w:rPr>
          <w:rFonts w:hint="cs"/>
          <w:sz w:val="18"/>
          <w:szCs w:val="18"/>
          <w:rtl/>
        </w:rPr>
        <w:t>כל דבר המהודק לגוף חוצץ.</w:t>
      </w:r>
      <w:r w:rsidRPr="00811CCB">
        <w:rPr>
          <w:sz w:val="18"/>
          <w:szCs w:val="18"/>
          <w:rtl/>
        </w:rPr>
        <w:br/>
      </w:r>
      <w:r w:rsidRPr="00811CCB">
        <w:rPr>
          <w:rFonts w:hint="cs"/>
          <w:sz w:val="18"/>
          <w:szCs w:val="18"/>
          <w:rtl/>
        </w:rPr>
        <w:t xml:space="preserve">ונראה שכך הוא מנהג העולם להחמיר כש"ך. ובפרט לפי מה שכתב </w:t>
      </w:r>
      <w:r w:rsidRPr="00811CCB">
        <w:rPr>
          <w:rFonts w:hint="cs"/>
          <w:b/>
          <w:bCs/>
          <w:sz w:val="18"/>
          <w:szCs w:val="18"/>
          <w:rtl/>
        </w:rPr>
        <w:t>הרמ"א</w:t>
      </w:r>
      <w:r w:rsidRPr="00811CCB">
        <w:rPr>
          <w:rFonts w:hint="cs"/>
          <w:sz w:val="18"/>
          <w:szCs w:val="18"/>
          <w:rtl/>
        </w:rPr>
        <w:t xml:space="preserve"> בהלכות נטילת ידיים שאין אנו בקיאים מה נקרא רפוי ומה אינו רפוי, זו לשונו </w:t>
      </w:r>
      <w:r w:rsidRPr="00811CCB">
        <w:rPr>
          <w:rFonts w:hint="cs"/>
          <w:sz w:val="16"/>
          <w:szCs w:val="16"/>
          <w:rtl/>
        </w:rPr>
        <w:t>(קסא, ג)</w:t>
      </w:r>
      <w:r>
        <w:rPr>
          <w:rFonts w:hint="cs"/>
          <w:sz w:val="16"/>
          <w:szCs w:val="16"/>
          <w:rtl/>
        </w:rPr>
        <w:t>:</w:t>
      </w:r>
      <w:r w:rsidRPr="00811CCB">
        <w:rPr>
          <w:rFonts w:hint="cs"/>
          <w:sz w:val="16"/>
          <w:szCs w:val="16"/>
          <w:rtl/>
        </w:rPr>
        <w:t xml:space="preserve"> </w:t>
      </w:r>
      <w:r w:rsidRPr="00811CCB">
        <w:rPr>
          <w:rFonts w:hint="cs"/>
          <w:sz w:val="18"/>
          <w:szCs w:val="18"/>
          <w:rtl/>
        </w:rPr>
        <w:t>"</w:t>
      </w:r>
      <w:r w:rsidRPr="00811CCB">
        <w:rPr>
          <w:rFonts w:cs="Arial"/>
          <w:sz w:val="18"/>
          <w:szCs w:val="18"/>
          <w:rtl/>
        </w:rPr>
        <w:t xml:space="preserve">צריך להסיר הטבעת מעל ידו בשעת נט"י </w:t>
      </w:r>
      <w:r>
        <w:rPr>
          <w:rFonts w:cs="Arial" w:hint="cs"/>
          <w:sz w:val="16"/>
          <w:szCs w:val="16"/>
          <w:rtl/>
        </w:rPr>
        <w:t xml:space="preserve">הגה: </w:t>
      </w:r>
      <w:r w:rsidRPr="00811CCB">
        <w:rPr>
          <w:rFonts w:cs="Arial"/>
          <w:sz w:val="16"/>
          <w:szCs w:val="16"/>
          <w:rtl/>
        </w:rPr>
        <w:t>ואפילו הוא רפוי</w:t>
      </w:r>
      <w:r>
        <w:rPr>
          <w:rFonts w:cs="Arial" w:hint="cs"/>
          <w:sz w:val="16"/>
          <w:szCs w:val="16"/>
          <w:rtl/>
        </w:rPr>
        <w:t xml:space="preserve"> </w:t>
      </w:r>
      <w:r>
        <w:rPr>
          <w:rFonts w:cs="Arial"/>
          <w:sz w:val="16"/>
          <w:szCs w:val="16"/>
          <w:rtl/>
        </w:rPr>
        <w:t>ואפי</w:t>
      </w:r>
      <w:r>
        <w:rPr>
          <w:rFonts w:cs="Arial" w:hint="cs"/>
          <w:sz w:val="16"/>
          <w:szCs w:val="16"/>
          <w:rtl/>
        </w:rPr>
        <w:t>לו</w:t>
      </w:r>
      <w:r w:rsidRPr="00811CCB">
        <w:rPr>
          <w:rFonts w:cs="Arial"/>
          <w:sz w:val="16"/>
          <w:szCs w:val="16"/>
          <w:rtl/>
        </w:rPr>
        <w:t xml:space="preserve"> אינו מקפיד עליו בשעת נטילה, הואיל ומקפיד ע</w:t>
      </w:r>
      <w:r>
        <w:rPr>
          <w:rFonts w:cs="Arial"/>
          <w:sz w:val="16"/>
          <w:szCs w:val="16"/>
          <w:rtl/>
        </w:rPr>
        <w:t>ליו בשעה שעושה מלאכה, שלא יטנפו</w:t>
      </w:r>
      <w:r>
        <w:rPr>
          <w:rFonts w:cs="Arial" w:hint="cs"/>
          <w:sz w:val="16"/>
          <w:szCs w:val="16"/>
          <w:rtl/>
        </w:rPr>
        <w:t xml:space="preserve">. </w:t>
      </w:r>
      <w:r w:rsidRPr="00811CCB">
        <w:rPr>
          <w:rFonts w:cs="Arial"/>
          <w:sz w:val="16"/>
          <w:szCs w:val="16"/>
          <w:rtl/>
        </w:rPr>
        <w:t xml:space="preserve">ונהגו קצת להקל אם הוא רפוי, </w:t>
      </w:r>
      <w:r w:rsidRPr="00811CCB">
        <w:rPr>
          <w:rFonts w:cs="Arial"/>
          <w:sz w:val="16"/>
          <w:szCs w:val="16"/>
          <w:u w:val="single"/>
          <w:rtl/>
        </w:rPr>
        <w:t>אבל יש להחמיר, כי אין אנו בקיאים איזה מיקרי רפוי</w:t>
      </w:r>
      <w:r w:rsidRPr="00811CCB">
        <w:rPr>
          <w:rFonts w:cs="Arial" w:hint="cs"/>
          <w:sz w:val="16"/>
          <w:szCs w:val="16"/>
          <w:rtl/>
        </w:rPr>
        <w:t>".</w:t>
      </w:r>
    </w:p>
  </w:footnote>
  <w:footnote w:id="594">
    <w:p w:rsidR="005953C5" w:rsidRDefault="005953C5" w:rsidP="00620060">
      <w:pPr>
        <w:pStyle w:val="a3"/>
      </w:pPr>
      <w:r w:rsidRPr="00C61BD3">
        <w:rPr>
          <w:rStyle w:val="a5"/>
          <w:sz w:val="18"/>
          <w:szCs w:val="18"/>
        </w:rPr>
        <w:footnoteRef/>
      </w:r>
      <w:r w:rsidRPr="00C61BD3">
        <w:rPr>
          <w:sz w:val="18"/>
          <w:szCs w:val="18"/>
          <w:rtl/>
        </w:rPr>
        <w:t xml:space="preserve"> </w:t>
      </w:r>
      <w:r w:rsidRPr="00C61BD3">
        <w:rPr>
          <w:rFonts w:hint="cs"/>
          <w:b/>
          <w:bCs/>
          <w:sz w:val="18"/>
          <w:szCs w:val="18"/>
          <w:rtl/>
        </w:rPr>
        <w:t xml:space="preserve">הש"ך </w:t>
      </w:r>
      <w:r w:rsidRPr="00C61BD3">
        <w:rPr>
          <w:rFonts w:hint="cs"/>
          <w:sz w:val="18"/>
          <w:szCs w:val="18"/>
          <w:rtl/>
        </w:rPr>
        <w:t xml:space="preserve">סיים את דבריו במילים "ויש ליישב". </w:t>
      </w:r>
      <w:r w:rsidRPr="00C61BD3">
        <w:rPr>
          <w:rFonts w:hint="cs"/>
          <w:b/>
          <w:bCs/>
          <w:sz w:val="18"/>
          <w:szCs w:val="18"/>
          <w:rtl/>
        </w:rPr>
        <w:t>ששבה"ל</w:t>
      </w:r>
      <w:r w:rsidRPr="00C61BD3">
        <w:rPr>
          <w:rFonts w:hint="cs"/>
          <w:sz w:val="18"/>
          <w:szCs w:val="18"/>
          <w:rtl/>
        </w:rPr>
        <w:t xml:space="preserve"> כותב כמה תירוצים - </w:t>
      </w:r>
      <w:r w:rsidRPr="00C61BD3">
        <w:rPr>
          <w:sz w:val="18"/>
          <w:szCs w:val="18"/>
          <w:rtl/>
        </w:rPr>
        <w:br/>
      </w:r>
      <w:r w:rsidRPr="00C61BD3">
        <w:rPr>
          <w:rFonts w:hint="cs"/>
          <w:sz w:val="18"/>
          <w:szCs w:val="18"/>
          <w:rtl/>
        </w:rPr>
        <w:t>א. המחבר קיצר בהלכות שבת משום שאינו עוסק בדיני חציצה, וסמך על הפירוט שכתב בהלכות חציצה.</w:t>
      </w:r>
      <w:r w:rsidRPr="00C61BD3">
        <w:rPr>
          <w:sz w:val="18"/>
          <w:szCs w:val="18"/>
          <w:rtl/>
        </w:rPr>
        <w:br/>
      </w:r>
      <w:r w:rsidRPr="00C61BD3">
        <w:rPr>
          <w:rFonts w:hint="cs"/>
          <w:sz w:val="18"/>
          <w:szCs w:val="18"/>
          <w:rtl/>
        </w:rPr>
        <w:t xml:space="preserve">ב. לעניין הוצאה לרה"ר הקל, כיוון שלחלק גדול מהפוסקים אין לנו רה"ר דאורייתא, אך לעניין חציצה שהיא דאורייתא החמיר שדווקא חלו אינו חוצץ. </w:t>
      </w:r>
      <w:r w:rsidRPr="00C61BD3">
        <w:rPr>
          <w:rFonts w:hint="cs"/>
          <w:sz w:val="16"/>
          <w:szCs w:val="16"/>
          <w:rtl/>
        </w:rPr>
        <w:t>(אך זה קשה קצת משום שדיני הוצאה בנויים על דיני טבילה)</w:t>
      </w:r>
      <w:r w:rsidRPr="00C61BD3">
        <w:rPr>
          <w:rFonts w:hint="cs"/>
          <w:sz w:val="18"/>
          <w:szCs w:val="18"/>
          <w:rtl/>
        </w:rPr>
        <w:t>.</w:t>
      </w:r>
      <w:r w:rsidRPr="00C61BD3">
        <w:rPr>
          <w:sz w:val="18"/>
          <w:szCs w:val="18"/>
          <w:rtl/>
        </w:rPr>
        <w:br/>
      </w:r>
      <w:r w:rsidRPr="00C61BD3">
        <w:rPr>
          <w:rFonts w:hint="cs"/>
          <w:sz w:val="18"/>
          <w:szCs w:val="18"/>
          <w:rtl/>
        </w:rPr>
        <w:t>ג. בדיני שבת הקל משום שהוא רק ספק שמא תזדמן לה טבילה, אך בהלכות חצי</w:t>
      </w:r>
      <w:r>
        <w:rPr>
          <w:rFonts w:hint="cs"/>
          <w:sz w:val="18"/>
          <w:szCs w:val="18"/>
          <w:rtl/>
        </w:rPr>
        <w:t>צ</w:t>
      </w:r>
      <w:r w:rsidRPr="00C61BD3">
        <w:rPr>
          <w:rFonts w:hint="cs"/>
          <w:sz w:val="18"/>
          <w:szCs w:val="18"/>
          <w:rtl/>
        </w:rPr>
        <w:t>ה החמיר משום שהוא וודאי.</w:t>
      </w:r>
    </w:p>
  </w:footnote>
  <w:footnote w:id="595">
    <w:p w:rsidR="005953C5" w:rsidRDefault="005953C5" w:rsidP="00620060">
      <w:pPr>
        <w:pStyle w:val="a3"/>
        <w:rPr>
          <w:rtl/>
        </w:rPr>
      </w:pPr>
      <w:r w:rsidRPr="00DF7B60">
        <w:rPr>
          <w:rStyle w:val="a5"/>
          <w:sz w:val="18"/>
          <w:szCs w:val="18"/>
        </w:rPr>
        <w:footnoteRef/>
      </w:r>
      <w:r w:rsidRPr="00DF7B60">
        <w:rPr>
          <w:sz w:val="18"/>
          <w:szCs w:val="18"/>
          <w:rtl/>
        </w:rPr>
        <w:t xml:space="preserve"> </w:t>
      </w:r>
      <w:r w:rsidRPr="00DF7B60">
        <w:rPr>
          <w:rFonts w:hint="cs"/>
          <w:sz w:val="18"/>
          <w:szCs w:val="18"/>
          <w:rtl/>
        </w:rPr>
        <w:t xml:space="preserve">להבנת הסוגייה בשלמות, יש להקדים הקדמה קצרה - </w:t>
      </w:r>
      <w:r w:rsidRPr="00DF7B60">
        <w:rPr>
          <w:sz w:val="18"/>
          <w:szCs w:val="18"/>
          <w:rtl/>
        </w:rPr>
        <w:br/>
      </w:r>
      <w:r w:rsidRPr="00DF7B60">
        <w:rPr>
          <w:rFonts w:hint="cs"/>
          <w:sz w:val="18"/>
          <w:szCs w:val="18"/>
          <w:rtl/>
        </w:rPr>
        <w:t xml:space="preserve">כך נאמר </w:t>
      </w:r>
      <w:r w:rsidRPr="00DF7B60">
        <w:rPr>
          <w:rFonts w:hint="cs"/>
          <w:b/>
          <w:bCs/>
          <w:sz w:val="18"/>
          <w:szCs w:val="18"/>
          <w:rtl/>
        </w:rPr>
        <w:t>במשנה</w:t>
      </w:r>
      <w:r w:rsidRPr="00DF7B60">
        <w:rPr>
          <w:rFonts w:hint="cs"/>
          <w:sz w:val="18"/>
          <w:szCs w:val="18"/>
          <w:rtl/>
        </w:rPr>
        <w:t xml:space="preserve"> (שם)</w:t>
      </w:r>
      <w:r w:rsidRPr="00DF7B60">
        <w:rPr>
          <w:sz w:val="18"/>
          <w:szCs w:val="18"/>
          <w:rtl/>
        </w:rPr>
        <w:t xml:space="preserve"> </w:t>
      </w:r>
      <w:r w:rsidRPr="00DF7B60">
        <w:rPr>
          <w:rFonts w:hint="cs"/>
          <w:sz w:val="18"/>
          <w:szCs w:val="18"/>
          <w:rtl/>
        </w:rPr>
        <w:t>"</w:t>
      </w:r>
      <w:r w:rsidRPr="00DF7B60">
        <w:rPr>
          <w:rFonts w:cs="Arial"/>
          <w:sz w:val="18"/>
          <w:szCs w:val="18"/>
          <w:rtl/>
        </w:rPr>
        <w:t>במה אשה יוצאה ובמה אינה יוצאה? לא תצא אשה לא בחוטי צמר, ולא בחוטי פשתן, ולא ברצועות שבראשה. ולא תטבול בהן עד שתרפם.</w:t>
      </w:r>
      <w:r w:rsidRPr="00DF7B60">
        <w:rPr>
          <w:rFonts w:cs="Arial" w:hint="cs"/>
          <w:sz w:val="18"/>
          <w:szCs w:val="18"/>
          <w:rtl/>
        </w:rPr>
        <w:t>"</w:t>
      </w:r>
      <w:r w:rsidRPr="00DF7B60">
        <w:rPr>
          <w:rFonts w:cs="Arial"/>
          <w:sz w:val="18"/>
          <w:szCs w:val="18"/>
          <w:rtl/>
        </w:rPr>
        <w:br/>
      </w:r>
      <w:r w:rsidRPr="00DF7B60">
        <w:rPr>
          <w:rFonts w:cs="Arial" w:hint="cs"/>
          <w:b/>
          <w:bCs/>
          <w:sz w:val="18"/>
          <w:szCs w:val="18"/>
          <w:rtl/>
        </w:rPr>
        <w:t>וב</w:t>
      </w:r>
      <w:r w:rsidRPr="00DF7B60">
        <w:rPr>
          <w:rFonts w:cs="Arial"/>
          <w:b/>
          <w:bCs/>
          <w:sz w:val="18"/>
          <w:szCs w:val="18"/>
          <w:rtl/>
        </w:rPr>
        <w:t>גמרא</w:t>
      </w:r>
      <w:r w:rsidRPr="00DF7B60">
        <w:rPr>
          <w:rFonts w:cs="Arial"/>
          <w:sz w:val="18"/>
          <w:szCs w:val="18"/>
          <w:rtl/>
        </w:rPr>
        <w:t xml:space="preserve"> </w:t>
      </w:r>
      <w:r w:rsidRPr="00DF7B60">
        <w:rPr>
          <w:rFonts w:cs="Arial" w:hint="cs"/>
          <w:sz w:val="18"/>
          <w:szCs w:val="18"/>
          <w:rtl/>
        </w:rPr>
        <w:t>"</w:t>
      </w:r>
      <w:r w:rsidRPr="00DF7B60">
        <w:rPr>
          <w:rFonts w:cs="Arial"/>
          <w:sz w:val="18"/>
          <w:szCs w:val="18"/>
          <w:rtl/>
        </w:rPr>
        <w:t>טבילה מאן דכר שמה? - אמר רב נחמן בר יצחק אמר רבה בר אבוה: מה טעם קאמר, מה טעם לא תצא אשה לא בחוטי צמר ולא בחוטי פשתן - מפני שאמרו חכמים בחול לא תטבול בהן עד שתרפם. וכיון דבחול לא תטבול בהן עד שתרפם - בשבת לא תצא, דילמא מיתרמי לה טבילה של מצוה ושריא להו, ואתי לאתויינהו ארבע אמות ברשות הרבים</w:t>
      </w:r>
      <w:r w:rsidRPr="00DF7B60">
        <w:rPr>
          <w:rFonts w:cs="Arial" w:hint="cs"/>
          <w:sz w:val="18"/>
          <w:szCs w:val="18"/>
          <w:rtl/>
        </w:rPr>
        <w:t>"</w:t>
      </w:r>
      <w:r w:rsidRPr="00DF7B60">
        <w:rPr>
          <w:rFonts w:cs="Arial"/>
          <w:sz w:val="18"/>
          <w:szCs w:val="18"/>
          <w:rtl/>
        </w:rPr>
        <w:t>.</w:t>
      </w:r>
      <w:r w:rsidRPr="00DF7B60">
        <w:rPr>
          <w:rFonts w:hint="cs"/>
          <w:sz w:val="18"/>
          <w:szCs w:val="18"/>
          <w:rtl/>
        </w:rPr>
        <w:t xml:space="preserve"> לאחר קטע זה בגמרא מובא הקטע המצוטט בפנים, בו הגמרא דנה ב'תיכי חלילתא'. </w:t>
      </w:r>
      <w:r w:rsidRPr="00DF7B60">
        <w:rPr>
          <w:rFonts w:hint="cs"/>
          <w:b/>
          <w:bCs/>
          <w:sz w:val="18"/>
          <w:szCs w:val="18"/>
          <w:rtl/>
        </w:rPr>
        <w:t>רש"י</w:t>
      </w:r>
      <w:r w:rsidRPr="00DF7B60">
        <w:rPr>
          <w:rFonts w:hint="cs"/>
          <w:sz w:val="18"/>
          <w:szCs w:val="18"/>
          <w:rtl/>
        </w:rPr>
        <w:t xml:space="preserve"> סובר שהדיון נסוב רק סביב דין היציאה בהם בשבת לרה"ר אך לא לעניין חציצה בטבילה</w:t>
      </w:r>
      <w:r>
        <w:rPr>
          <w:rFonts w:hint="cs"/>
          <w:sz w:val="18"/>
          <w:szCs w:val="18"/>
          <w:rtl/>
        </w:rPr>
        <w:t>. לעומת זאת,</w:t>
      </w:r>
      <w:r w:rsidRPr="00DF7B60">
        <w:rPr>
          <w:rFonts w:hint="cs"/>
          <w:sz w:val="18"/>
          <w:szCs w:val="18"/>
          <w:rtl/>
        </w:rPr>
        <w:t xml:space="preserve"> </w:t>
      </w:r>
      <w:r w:rsidRPr="00DF7B60">
        <w:rPr>
          <w:rFonts w:hint="cs"/>
          <w:b/>
          <w:bCs/>
          <w:sz w:val="18"/>
          <w:szCs w:val="18"/>
          <w:rtl/>
        </w:rPr>
        <w:t>רבותיו של רש"</w:t>
      </w:r>
      <w:r w:rsidRPr="00DF7B60">
        <w:rPr>
          <w:rFonts w:hint="cs"/>
          <w:sz w:val="18"/>
          <w:szCs w:val="18"/>
          <w:rtl/>
        </w:rPr>
        <w:t>י חולקים וסוברים שהסוגייה איירי גם לעניין חציצה בטבילה.</w:t>
      </w:r>
    </w:p>
  </w:footnote>
  <w:footnote w:id="596">
    <w:p w:rsidR="005953C5" w:rsidRDefault="005953C5" w:rsidP="00620060">
      <w:pPr>
        <w:pStyle w:val="a3"/>
      </w:pPr>
      <w:r w:rsidRPr="007B71E8">
        <w:rPr>
          <w:rStyle w:val="a5"/>
          <w:sz w:val="18"/>
          <w:szCs w:val="18"/>
        </w:rPr>
        <w:footnoteRef/>
      </w:r>
      <w:r w:rsidRPr="007B71E8">
        <w:rPr>
          <w:sz w:val="18"/>
          <w:szCs w:val="18"/>
          <w:rtl/>
        </w:rPr>
        <w:t xml:space="preserve"> </w:t>
      </w:r>
      <w:r w:rsidRPr="007B71E8">
        <w:rPr>
          <w:rFonts w:hint="cs"/>
          <w:sz w:val="18"/>
          <w:szCs w:val="18"/>
          <w:rtl/>
        </w:rPr>
        <w:t>אבל לל</w:t>
      </w:r>
      <w:r>
        <w:rPr>
          <w:rFonts w:hint="cs"/>
          <w:sz w:val="18"/>
          <w:szCs w:val="18"/>
          <w:rtl/>
        </w:rPr>
        <w:t xml:space="preserve">ישנא קמא </w:t>
      </w:r>
      <w:r w:rsidRPr="007B71E8">
        <w:rPr>
          <w:rFonts w:hint="cs"/>
          <w:sz w:val="18"/>
          <w:szCs w:val="18"/>
          <w:rtl/>
        </w:rPr>
        <w:t xml:space="preserve"> אין החוטים חוצצים אפילו בכה"ג משום ששערו הוי מיעוטו שמקפיד עליו שחוצץ מדרבנן, ואע"פ שהיה ראוי לגזור, מכל מקום לא גזרו הואיל ולא רצו לחלק בין אריג נקי לאריג מוזהב או מלוכלך. </w:t>
      </w:r>
      <w:r w:rsidRPr="007B71E8">
        <w:rPr>
          <w:rFonts w:hint="cs"/>
          <w:sz w:val="16"/>
          <w:szCs w:val="16"/>
          <w:rtl/>
        </w:rPr>
        <w:t>(</w:t>
      </w:r>
      <w:r w:rsidRPr="007B71E8">
        <w:rPr>
          <w:rFonts w:hint="cs"/>
          <w:b/>
          <w:bCs/>
          <w:sz w:val="16"/>
          <w:szCs w:val="16"/>
          <w:rtl/>
        </w:rPr>
        <w:t xml:space="preserve">הבית יוסף </w:t>
      </w:r>
      <w:r w:rsidRPr="007B71E8">
        <w:rPr>
          <w:rFonts w:hint="cs"/>
          <w:sz w:val="16"/>
          <w:szCs w:val="16"/>
          <w:rtl/>
        </w:rPr>
        <w:t>מוסיף, שלפי"ז צריך לומר שרש"י סובר כרמב"ם ששערו וגופו נחשבים יחד לעניין חציצה, בניגוד לשיטת הגאונים הסוברים שראשו נידון בנפרד מגופו ואם יש חציצה על רוב שער הראש הוי רובו ומקפיד עליו וחוצץ).</w:t>
      </w:r>
    </w:p>
  </w:footnote>
  <w:footnote w:id="597">
    <w:p w:rsidR="005953C5" w:rsidRDefault="005953C5" w:rsidP="00620060">
      <w:pPr>
        <w:pStyle w:val="a3"/>
        <w:rPr>
          <w:rtl/>
        </w:rPr>
      </w:pPr>
      <w:r>
        <w:rPr>
          <w:rStyle w:val="a5"/>
        </w:rPr>
        <w:footnoteRef/>
      </w:r>
      <w:r>
        <w:rPr>
          <w:rtl/>
        </w:rPr>
        <w:t xml:space="preserve"> </w:t>
      </w:r>
      <w:r w:rsidRPr="002129B2">
        <w:rPr>
          <w:rFonts w:hint="cs"/>
          <w:sz w:val="18"/>
          <w:szCs w:val="18"/>
          <w:rtl/>
        </w:rPr>
        <w:t xml:space="preserve">ואמנם, יקשה לפי זה מדוע שתי שערות </w:t>
      </w:r>
      <w:r>
        <w:rPr>
          <w:rFonts w:hint="cs"/>
          <w:sz w:val="18"/>
          <w:szCs w:val="18"/>
          <w:rtl/>
        </w:rPr>
        <w:t xml:space="preserve">או יותר </w:t>
      </w:r>
      <w:r w:rsidRPr="002129B2">
        <w:rPr>
          <w:rFonts w:hint="cs"/>
          <w:sz w:val="18"/>
          <w:szCs w:val="18"/>
          <w:rtl/>
        </w:rPr>
        <w:t>הקשורות יחד אינן חוצצות אפילו כשמקפידה עליהן</w:t>
      </w:r>
      <w:r>
        <w:rPr>
          <w:rFonts w:hint="cs"/>
          <w:sz w:val="18"/>
          <w:szCs w:val="18"/>
          <w:rtl/>
        </w:rPr>
        <w:t xml:space="preserve"> </w:t>
      </w:r>
      <w:r w:rsidRPr="005D71A5">
        <w:rPr>
          <w:rFonts w:hint="cs"/>
          <w:sz w:val="16"/>
          <w:szCs w:val="16"/>
          <w:rtl/>
        </w:rPr>
        <w:t>(סעיף ה)</w:t>
      </w:r>
      <w:r w:rsidRPr="002129B2">
        <w:rPr>
          <w:rFonts w:hint="cs"/>
          <w:sz w:val="18"/>
          <w:szCs w:val="18"/>
          <w:rtl/>
        </w:rPr>
        <w:t>? ומה בכך שאינן מונעות את המים להיכנס, סוף סוף מקפידה! ויש לומר שרק בדבר חיצוני לגופה החמירו רבותיו של רש"י, אך בדבר שהוא מגופה והמים נכנסים תחתיו לא החמירו למרות שמ</w:t>
      </w:r>
      <w:r>
        <w:rPr>
          <w:rFonts w:hint="cs"/>
          <w:sz w:val="18"/>
          <w:szCs w:val="18"/>
          <w:rtl/>
        </w:rPr>
        <w:t>קפ</w:t>
      </w:r>
      <w:r w:rsidRPr="002129B2">
        <w:rPr>
          <w:rFonts w:hint="cs"/>
          <w:sz w:val="18"/>
          <w:szCs w:val="18"/>
          <w:rtl/>
        </w:rPr>
        <w:t xml:space="preserve">ידה. </w:t>
      </w:r>
      <w:r w:rsidRPr="002129B2">
        <w:rPr>
          <w:sz w:val="18"/>
          <w:szCs w:val="18"/>
          <w:rtl/>
        </w:rPr>
        <w:t xml:space="preserve"> </w:t>
      </w:r>
    </w:p>
  </w:footnote>
  <w:footnote w:id="598">
    <w:p w:rsidR="005953C5" w:rsidRDefault="005953C5" w:rsidP="00620060">
      <w:pPr>
        <w:pStyle w:val="a3"/>
        <w:rPr>
          <w:rtl/>
        </w:rPr>
      </w:pPr>
      <w:r>
        <w:rPr>
          <w:rStyle w:val="a5"/>
        </w:rPr>
        <w:footnoteRef/>
      </w:r>
      <w:r>
        <w:rPr>
          <w:rtl/>
        </w:rPr>
        <w:t xml:space="preserve"> </w:t>
      </w:r>
      <w:r w:rsidRPr="006C6136">
        <w:rPr>
          <w:rFonts w:hint="cs"/>
          <w:sz w:val="18"/>
          <w:szCs w:val="18"/>
          <w:rtl/>
        </w:rPr>
        <w:t xml:space="preserve">והנפק"מ בין הסברים אלו תהיה </w:t>
      </w:r>
      <w:r>
        <w:rPr>
          <w:rFonts w:hint="cs"/>
          <w:sz w:val="18"/>
          <w:szCs w:val="18"/>
          <w:rtl/>
        </w:rPr>
        <w:t xml:space="preserve">למשל </w:t>
      </w:r>
      <w:r w:rsidRPr="006C6136">
        <w:rPr>
          <w:rFonts w:hint="cs"/>
          <w:sz w:val="18"/>
          <w:szCs w:val="18"/>
          <w:rtl/>
        </w:rPr>
        <w:t xml:space="preserve">בביאור סעיפים ג </w:t>
      </w:r>
      <w:r w:rsidRPr="006C6136">
        <w:rPr>
          <w:sz w:val="18"/>
          <w:szCs w:val="18"/>
          <w:rtl/>
        </w:rPr>
        <w:t>–</w:t>
      </w:r>
      <w:r w:rsidRPr="006C6136">
        <w:rPr>
          <w:rFonts w:hint="cs"/>
          <w:sz w:val="18"/>
          <w:szCs w:val="18"/>
          <w:rtl/>
        </w:rPr>
        <w:t xml:space="preserve"> ד</w:t>
      </w:r>
      <w:r>
        <w:rPr>
          <w:rFonts w:hint="cs"/>
          <w:sz w:val="18"/>
          <w:szCs w:val="18"/>
          <w:rtl/>
        </w:rPr>
        <w:t xml:space="preserve"> </w:t>
      </w:r>
      <w:r w:rsidRPr="006C6136">
        <w:rPr>
          <w:rFonts w:hint="cs"/>
          <w:sz w:val="16"/>
          <w:szCs w:val="16"/>
          <w:rtl/>
        </w:rPr>
        <w:t>(מעשה רשת וחוטים שאינם חוצצים)</w:t>
      </w:r>
      <w:r w:rsidRPr="006C6136">
        <w:rPr>
          <w:rFonts w:hint="cs"/>
          <w:sz w:val="18"/>
          <w:szCs w:val="18"/>
          <w:rtl/>
        </w:rPr>
        <w:t xml:space="preserve">. </w:t>
      </w:r>
      <w:r w:rsidRPr="006C6136">
        <w:rPr>
          <w:rFonts w:hint="cs"/>
          <w:b/>
          <w:bCs/>
          <w:sz w:val="18"/>
          <w:szCs w:val="18"/>
          <w:rtl/>
        </w:rPr>
        <w:t>לפת"ש</w:t>
      </w:r>
      <w:r w:rsidRPr="006C6136">
        <w:rPr>
          <w:rFonts w:hint="cs"/>
          <w:sz w:val="18"/>
          <w:szCs w:val="18"/>
          <w:rtl/>
        </w:rPr>
        <w:t xml:space="preserve"> מדובר דווקא במיעוטו אבל ברובו חוצץ למרות שאינה מקפידה, אך </w:t>
      </w:r>
      <w:r w:rsidRPr="006C6136">
        <w:rPr>
          <w:rFonts w:hint="cs"/>
          <w:b/>
          <w:bCs/>
          <w:sz w:val="18"/>
          <w:szCs w:val="18"/>
          <w:rtl/>
        </w:rPr>
        <w:t>לסד"ט</w:t>
      </w:r>
      <w:r w:rsidRPr="006C6136">
        <w:rPr>
          <w:rFonts w:hint="cs"/>
          <w:sz w:val="18"/>
          <w:szCs w:val="18"/>
          <w:rtl/>
        </w:rPr>
        <w:t xml:space="preserve"> מדובר אפילו ברובו</w:t>
      </w:r>
      <w:r>
        <w:rPr>
          <w:rFonts w:hint="cs"/>
          <w:sz w:val="18"/>
          <w:szCs w:val="18"/>
          <w:rtl/>
        </w:rPr>
        <w:t>.</w:t>
      </w:r>
    </w:p>
  </w:footnote>
  <w:footnote w:id="599">
    <w:p w:rsidR="005953C5" w:rsidRDefault="005953C5" w:rsidP="00620060">
      <w:pPr>
        <w:pStyle w:val="a3"/>
      </w:pPr>
      <w:r w:rsidRPr="000365BC">
        <w:rPr>
          <w:rStyle w:val="a5"/>
          <w:sz w:val="18"/>
          <w:szCs w:val="18"/>
        </w:rPr>
        <w:footnoteRef/>
      </w:r>
      <w:r w:rsidRPr="000365BC">
        <w:rPr>
          <w:rFonts w:hint="cs"/>
          <w:sz w:val="18"/>
          <w:szCs w:val="18"/>
          <w:rtl/>
        </w:rPr>
        <w:t xml:space="preserve"> תמוה מדוע המחבר כתב דין פנויה, הרי אין לנו נפק"מ בכך משום שפנויות אינן טובלות?</w:t>
      </w:r>
      <w:r w:rsidRPr="000365BC">
        <w:rPr>
          <w:rFonts w:hint="cs"/>
          <w:sz w:val="18"/>
          <w:szCs w:val="18"/>
          <w:rtl/>
        </w:rPr>
        <w:br/>
        <w:t xml:space="preserve">מיישב </w:t>
      </w:r>
      <w:r w:rsidRPr="000365BC">
        <w:rPr>
          <w:rFonts w:hint="cs"/>
          <w:b/>
          <w:bCs/>
          <w:sz w:val="18"/>
          <w:szCs w:val="18"/>
          <w:rtl/>
        </w:rPr>
        <w:t>הב"ח</w:t>
      </w:r>
      <w:r w:rsidRPr="000365BC">
        <w:rPr>
          <w:rFonts w:hint="cs"/>
          <w:sz w:val="18"/>
          <w:szCs w:val="18"/>
          <w:rtl/>
        </w:rPr>
        <w:t xml:space="preserve"> - כוונתו שאפילו בנשואה דומיא דפנויה, דהיינו שאין בעלה מקפיד חוצץ, דאזלינן בתר רוב נשואות, ולכן אמר המחבר שרק בפנויה אינו חוצץ אך לא בשום נשואה.</w:t>
      </w:r>
      <w:r w:rsidRPr="000365BC">
        <w:rPr>
          <w:rFonts w:hint="cs"/>
          <w:sz w:val="18"/>
          <w:szCs w:val="18"/>
          <w:rtl/>
        </w:rPr>
        <w:br/>
        <w:t xml:space="preserve">ואמנם, משמע </w:t>
      </w:r>
      <w:r w:rsidRPr="000365BC">
        <w:rPr>
          <w:rFonts w:hint="cs"/>
          <w:b/>
          <w:bCs/>
          <w:sz w:val="18"/>
          <w:szCs w:val="18"/>
          <w:rtl/>
        </w:rPr>
        <w:t>בט"ז</w:t>
      </w:r>
      <w:r w:rsidRPr="000365BC">
        <w:rPr>
          <w:rFonts w:hint="cs"/>
          <w:sz w:val="18"/>
          <w:szCs w:val="18"/>
          <w:rtl/>
        </w:rPr>
        <w:t xml:space="preserve"> שדין זה נאמר רק בשער דבוק, כדברי המ</w:t>
      </w:r>
      <w:r>
        <w:rPr>
          <w:rFonts w:hint="cs"/>
          <w:sz w:val="18"/>
          <w:szCs w:val="18"/>
          <w:rtl/>
        </w:rPr>
        <w:t>חבר בריש דבריו שכתב להדיא: "...</w:t>
      </w:r>
      <w:r w:rsidRPr="000365BC">
        <w:rPr>
          <w:rFonts w:hint="cs"/>
          <w:sz w:val="18"/>
          <w:szCs w:val="18"/>
          <w:rtl/>
        </w:rPr>
        <w:t>הנדבק מחמת זיעה", ומשמע שאם רחצה היטב באותו מקום עלתה לה טבילה, ועיין בסמוך בהרחבה.</w:t>
      </w:r>
    </w:p>
  </w:footnote>
  <w:footnote w:id="600">
    <w:p w:rsidR="005953C5" w:rsidRPr="00917020" w:rsidRDefault="005953C5" w:rsidP="00620060">
      <w:pPr>
        <w:pStyle w:val="a3"/>
        <w:rPr>
          <w:sz w:val="18"/>
          <w:szCs w:val="18"/>
          <w:rtl/>
        </w:rPr>
      </w:pPr>
      <w:r w:rsidRPr="001C2ED2">
        <w:rPr>
          <w:rStyle w:val="a5"/>
          <w:sz w:val="18"/>
          <w:szCs w:val="18"/>
        </w:rPr>
        <w:footnoteRef/>
      </w:r>
      <w:r w:rsidRPr="001C2ED2">
        <w:rPr>
          <w:sz w:val="18"/>
          <w:szCs w:val="18"/>
          <w:rtl/>
        </w:rPr>
        <w:t xml:space="preserve"> </w:t>
      </w:r>
      <w:r w:rsidRPr="001C2ED2">
        <w:rPr>
          <w:rFonts w:hint="cs"/>
          <w:b/>
          <w:bCs/>
          <w:sz w:val="18"/>
          <w:szCs w:val="18"/>
          <w:rtl/>
        </w:rPr>
        <w:t>פת"ש</w:t>
      </w:r>
      <w:r w:rsidRPr="001C2ED2">
        <w:rPr>
          <w:rFonts w:hint="cs"/>
          <w:sz w:val="18"/>
          <w:szCs w:val="18"/>
          <w:rtl/>
        </w:rPr>
        <w:t xml:space="preserve"> </w:t>
      </w:r>
      <w:r w:rsidRPr="001C2ED2">
        <w:rPr>
          <w:sz w:val="18"/>
          <w:szCs w:val="18"/>
          <w:rtl/>
        </w:rPr>
        <w:t>–</w:t>
      </w:r>
      <w:r w:rsidRPr="001C2ED2">
        <w:rPr>
          <w:rFonts w:hint="cs"/>
          <w:sz w:val="18"/>
          <w:szCs w:val="18"/>
          <w:rtl/>
        </w:rPr>
        <w:t xml:space="preserve"> </w:t>
      </w:r>
      <w:r w:rsidRPr="001C2ED2">
        <w:rPr>
          <w:rFonts w:hint="cs"/>
          <w:b/>
          <w:bCs/>
          <w:sz w:val="18"/>
          <w:szCs w:val="18"/>
          <w:rtl/>
        </w:rPr>
        <w:t xml:space="preserve">המרדכי </w:t>
      </w:r>
      <w:r w:rsidRPr="001C2ED2">
        <w:rPr>
          <w:rFonts w:hint="cs"/>
          <w:sz w:val="18"/>
          <w:szCs w:val="18"/>
          <w:rtl/>
        </w:rPr>
        <w:t>לא הסתפק בטעם שאינה מקפדת</w:t>
      </w:r>
      <w:r>
        <w:rPr>
          <w:rFonts w:hint="cs"/>
          <w:sz w:val="18"/>
          <w:szCs w:val="18"/>
          <w:rtl/>
        </w:rPr>
        <w:t xml:space="preserve"> מפני הסכנה</w:t>
      </w:r>
      <w:r w:rsidRPr="001C2ED2">
        <w:rPr>
          <w:rFonts w:hint="cs"/>
          <w:sz w:val="18"/>
          <w:szCs w:val="18"/>
          <w:rtl/>
        </w:rPr>
        <w:t xml:space="preserve">, כיוון שטעם זה מהני להסביר רק </w:t>
      </w:r>
      <w:r>
        <w:rPr>
          <w:rFonts w:hint="cs"/>
          <w:sz w:val="18"/>
          <w:szCs w:val="18"/>
          <w:rtl/>
        </w:rPr>
        <w:t>לגבי חציה במיעוט</w:t>
      </w:r>
      <w:r w:rsidRPr="001C2ED2">
        <w:rPr>
          <w:rFonts w:hint="cs"/>
          <w:sz w:val="18"/>
          <w:szCs w:val="18"/>
          <w:rtl/>
        </w:rPr>
        <w:t>, אך כאן מדובר שרוב השער דבוק, ואם השער נידון בפני עצמו הוי רוב ולכן צריך טעמים נוספים.</w:t>
      </w:r>
      <w:r>
        <w:rPr>
          <w:rFonts w:hint="cs"/>
          <w:rtl/>
        </w:rPr>
        <w:t xml:space="preserve"> </w:t>
      </w:r>
      <w:r>
        <w:rPr>
          <w:sz w:val="18"/>
          <w:szCs w:val="18"/>
          <w:rtl/>
        </w:rPr>
        <w:br/>
      </w:r>
      <w:r>
        <w:rPr>
          <w:rFonts w:hint="cs"/>
          <w:sz w:val="18"/>
          <w:szCs w:val="18"/>
          <w:rtl/>
        </w:rPr>
        <w:t xml:space="preserve">לדיון זה יש נפק"מ למשל כאשר יש לאשה חור בעור התוף ולכן היא מניחה שם ספוג וכדומה שימנע את המים לבוא. </w:t>
      </w:r>
      <w:r>
        <w:rPr>
          <w:sz w:val="18"/>
          <w:szCs w:val="18"/>
          <w:rtl/>
        </w:rPr>
        <w:br/>
      </w:r>
      <w:r>
        <w:rPr>
          <w:rFonts w:hint="cs"/>
          <w:sz w:val="18"/>
          <w:szCs w:val="18"/>
          <w:rtl/>
        </w:rPr>
        <w:t xml:space="preserve">אם נאמר שטעם סכנה לחוד מהני, שפיר עולה לה טבילה. אמנם, יש להקשות על כך מדין חץ </w:t>
      </w:r>
      <w:r w:rsidRPr="00917020">
        <w:rPr>
          <w:rFonts w:hint="cs"/>
          <w:sz w:val="16"/>
          <w:szCs w:val="16"/>
          <w:rtl/>
        </w:rPr>
        <w:t xml:space="preserve">(לקמן, יא') </w:t>
      </w:r>
      <w:r>
        <w:rPr>
          <w:rFonts w:hint="cs"/>
          <w:sz w:val="18"/>
          <w:szCs w:val="18"/>
          <w:rtl/>
        </w:rPr>
        <w:t xml:space="preserve">שמשמע דלא סגי בטעם סכנה לחוד. ואמנם יש לדחות שהתם אין סכנה. </w:t>
      </w:r>
      <w:r>
        <w:rPr>
          <w:rFonts w:hint="cs"/>
          <w:sz w:val="18"/>
          <w:szCs w:val="18"/>
          <w:rtl/>
        </w:rPr>
        <w:br/>
        <w:t xml:space="preserve">למעשה, כתב </w:t>
      </w:r>
      <w:r w:rsidRPr="00917020">
        <w:rPr>
          <w:rFonts w:hint="cs"/>
          <w:b/>
          <w:bCs/>
          <w:sz w:val="18"/>
          <w:szCs w:val="18"/>
          <w:rtl/>
        </w:rPr>
        <w:t>הרב גדעון</w:t>
      </w:r>
      <w:r>
        <w:rPr>
          <w:rFonts w:hint="cs"/>
          <w:sz w:val="18"/>
          <w:szCs w:val="18"/>
          <w:rtl/>
        </w:rPr>
        <w:t xml:space="preserve"> שאם יש סברה שהאשה מעוניינת בהשארת החציצה, וממילא לא דמי לחץ שאינה מעוניינת </w:t>
      </w:r>
      <w:r>
        <w:rPr>
          <w:sz w:val="18"/>
          <w:szCs w:val="18"/>
          <w:rtl/>
        </w:rPr>
        <w:t>–</w:t>
      </w:r>
      <w:r>
        <w:rPr>
          <w:rFonts w:hint="cs"/>
          <w:sz w:val="18"/>
          <w:szCs w:val="18"/>
          <w:rtl/>
        </w:rPr>
        <w:t xml:space="preserve"> יש להקל. ולכן יש להקל בסתימת שורש כאשר יש בכך סכנה, וכ"כ </w:t>
      </w:r>
      <w:r w:rsidRPr="006F7DBB">
        <w:rPr>
          <w:rFonts w:hint="cs"/>
          <w:b/>
          <w:bCs/>
          <w:sz w:val="18"/>
          <w:szCs w:val="18"/>
          <w:rtl/>
        </w:rPr>
        <w:t>ששבה"ל</w:t>
      </w:r>
      <w:r>
        <w:rPr>
          <w:rFonts w:hint="cs"/>
          <w:sz w:val="18"/>
          <w:szCs w:val="18"/>
          <w:rtl/>
        </w:rPr>
        <w:t xml:space="preserve"> </w:t>
      </w:r>
      <w:r w:rsidRPr="006F7DBB">
        <w:rPr>
          <w:rFonts w:hint="cs"/>
          <w:sz w:val="16"/>
          <w:szCs w:val="16"/>
          <w:rtl/>
        </w:rPr>
        <w:t>(אות ז)</w:t>
      </w:r>
      <w:r>
        <w:rPr>
          <w:rFonts w:hint="cs"/>
          <w:sz w:val="18"/>
          <w:szCs w:val="18"/>
          <w:rtl/>
        </w:rPr>
        <w:t xml:space="preserve">. </w:t>
      </w:r>
    </w:p>
  </w:footnote>
  <w:footnote w:id="601">
    <w:p w:rsidR="005953C5" w:rsidRDefault="005953C5" w:rsidP="00620060">
      <w:pPr>
        <w:pStyle w:val="a3"/>
      </w:pPr>
      <w:r w:rsidRPr="0015160D">
        <w:rPr>
          <w:rStyle w:val="a5"/>
          <w:sz w:val="18"/>
          <w:szCs w:val="18"/>
        </w:rPr>
        <w:footnoteRef/>
      </w:r>
      <w:r w:rsidRPr="0015160D">
        <w:rPr>
          <w:sz w:val="18"/>
          <w:szCs w:val="18"/>
          <w:rtl/>
        </w:rPr>
        <w:t xml:space="preserve"> </w:t>
      </w:r>
      <w:r>
        <w:rPr>
          <w:rFonts w:hint="cs"/>
          <w:sz w:val="18"/>
          <w:szCs w:val="18"/>
          <w:rtl/>
        </w:rPr>
        <w:t>'</w:t>
      </w:r>
      <w:r w:rsidRPr="0015160D">
        <w:rPr>
          <w:rFonts w:hint="cs"/>
          <w:sz w:val="18"/>
          <w:szCs w:val="18"/>
          <w:rtl/>
        </w:rPr>
        <w:t>רביתיה</w:t>
      </w:r>
      <w:r>
        <w:rPr>
          <w:rFonts w:hint="cs"/>
          <w:sz w:val="18"/>
          <w:szCs w:val="18"/>
          <w:rtl/>
        </w:rPr>
        <w:t>'</w:t>
      </w:r>
      <w:r w:rsidRPr="0015160D">
        <w:rPr>
          <w:rFonts w:hint="cs"/>
          <w:sz w:val="18"/>
          <w:szCs w:val="18"/>
          <w:rtl/>
        </w:rPr>
        <w:t xml:space="preserve"> </w:t>
      </w:r>
      <w:r w:rsidRPr="0015160D">
        <w:rPr>
          <w:sz w:val="18"/>
          <w:szCs w:val="18"/>
          <w:rtl/>
        </w:rPr>
        <w:t>–</w:t>
      </w:r>
      <w:r w:rsidRPr="0015160D">
        <w:rPr>
          <w:rFonts w:hint="cs"/>
          <w:sz w:val="18"/>
          <w:szCs w:val="18"/>
          <w:rtl/>
        </w:rPr>
        <w:t xml:space="preserve"> הוא מושג שתרגומו המילולי לעברית 'גידולו', כלומר, חלק בלתי נפרד ומהותי. כך האמא עבור ה</w:t>
      </w:r>
      <w:r>
        <w:rPr>
          <w:rFonts w:hint="cs"/>
          <w:sz w:val="18"/>
          <w:szCs w:val="18"/>
          <w:rtl/>
        </w:rPr>
        <w:t>עובר</w:t>
      </w:r>
      <w:r w:rsidRPr="0015160D">
        <w:rPr>
          <w:rFonts w:hint="cs"/>
          <w:sz w:val="18"/>
          <w:szCs w:val="18"/>
          <w:rtl/>
        </w:rPr>
        <w:t>, וכך השער עבור מי שאינה רוצה לגלחו מפני הסכנה.</w:t>
      </w:r>
    </w:p>
  </w:footnote>
  <w:footnote w:id="602">
    <w:p w:rsidR="005953C5" w:rsidRDefault="005953C5" w:rsidP="00620060">
      <w:pPr>
        <w:pStyle w:val="a3"/>
      </w:pPr>
      <w:r w:rsidRPr="00845774">
        <w:rPr>
          <w:rStyle w:val="a5"/>
          <w:sz w:val="18"/>
          <w:szCs w:val="18"/>
        </w:rPr>
        <w:footnoteRef/>
      </w:r>
      <w:r w:rsidRPr="00845774">
        <w:rPr>
          <w:sz w:val="18"/>
          <w:szCs w:val="18"/>
          <w:rtl/>
        </w:rPr>
        <w:t xml:space="preserve"> </w:t>
      </w:r>
      <w:r w:rsidRPr="00845774">
        <w:rPr>
          <w:rFonts w:hint="cs"/>
          <w:b/>
          <w:bCs/>
          <w:sz w:val="18"/>
          <w:szCs w:val="18"/>
          <w:rtl/>
        </w:rPr>
        <w:t>ששבה"ל</w:t>
      </w:r>
      <w:r w:rsidRPr="00845774">
        <w:rPr>
          <w:rFonts w:hint="cs"/>
          <w:sz w:val="18"/>
          <w:szCs w:val="18"/>
          <w:rtl/>
        </w:rPr>
        <w:t xml:space="preserve"> </w:t>
      </w:r>
      <w:r w:rsidRPr="00845774">
        <w:rPr>
          <w:sz w:val="18"/>
          <w:szCs w:val="18"/>
          <w:rtl/>
        </w:rPr>
        <w:t>–</w:t>
      </w:r>
      <w:r w:rsidRPr="00845774">
        <w:rPr>
          <w:rFonts w:hint="cs"/>
          <w:sz w:val="18"/>
          <w:szCs w:val="18"/>
          <w:rtl/>
        </w:rPr>
        <w:t xml:space="preserve"> רעק"א מדייק מכאן לדין גבס שחוצץ. דהיינו, הטעם שכתב </w:t>
      </w:r>
      <w:r w:rsidRPr="00C038D6">
        <w:rPr>
          <w:rFonts w:hint="cs"/>
          <w:b/>
          <w:bCs/>
          <w:sz w:val="18"/>
          <w:szCs w:val="18"/>
          <w:rtl/>
        </w:rPr>
        <w:t>המהרש"א</w:t>
      </w:r>
      <w:r w:rsidRPr="00845774">
        <w:rPr>
          <w:rFonts w:hint="cs"/>
          <w:sz w:val="18"/>
          <w:szCs w:val="18"/>
          <w:rtl/>
        </w:rPr>
        <w:t xml:space="preserve"> כאן </w:t>
      </w:r>
      <w:r w:rsidRPr="00845774">
        <w:rPr>
          <w:rFonts w:hint="cs"/>
          <w:sz w:val="16"/>
          <w:szCs w:val="16"/>
          <w:rtl/>
        </w:rPr>
        <w:t xml:space="preserve">(בשם </w:t>
      </w:r>
      <w:r w:rsidRPr="00C038D6">
        <w:rPr>
          <w:rFonts w:hint="cs"/>
          <w:b/>
          <w:bCs/>
          <w:sz w:val="16"/>
          <w:szCs w:val="16"/>
          <w:rtl/>
        </w:rPr>
        <w:t>המרדכי</w:t>
      </w:r>
      <w:r w:rsidRPr="00845774">
        <w:rPr>
          <w:rFonts w:hint="cs"/>
          <w:sz w:val="16"/>
          <w:szCs w:val="16"/>
          <w:rtl/>
        </w:rPr>
        <w:t xml:space="preserve">) </w:t>
      </w:r>
      <w:r w:rsidRPr="00845774">
        <w:rPr>
          <w:rFonts w:hint="cs"/>
          <w:sz w:val="18"/>
          <w:szCs w:val="18"/>
          <w:rtl/>
        </w:rPr>
        <w:t xml:space="preserve">להתיר טבילה עם שער זה, הוא משום סכנה ורביתיה, משמע שטעם סכנה לחוד אינו מהני אלא רק בצירוף טעם 'רביתיה' שבטל לגוף, ודבר חיצוני כמו גבס אינו בטל, הוא אינו 'רביתיה' וחוצץ. אמנם יש לדחות דיוק זה, כיוון שיש לומר שמיירי כאן שרוב השער קשור ולא סגי בטעם שאינה מקפדת </w:t>
      </w:r>
      <w:r w:rsidRPr="00845774">
        <w:rPr>
          <w:rFonts w:hint="cs"/>
          <w:sz w:val="16"/>
          <w:szCs w:val="16"/>
          <w:rtl/>
        </w:rPr>
        <w:t>(כיוון שמקום השער נידון בפני עצמו)</w:t>
      </w:r>
      <w:r w:rsidRPr="00845774">
        <w:rPr>
          <w:rFonts w:hint="cs"/>
          <w:sz w:val="18"/>
          <w:szCs w:val="18"/>
          <w:rtl/>
        </w:rPr>
        <w:t xml:space="preserve">. </w:t>
      </w:r>
    </w:p>
  </w:footnote>
  <w:footnote w:id="603">
    <w:p w:rsidR="005953C5" w:rsidRDefault="005953C5" w:rsidP="00620060">
      <w:pPr>
        <w:pStyle w:val="a3"/>
      </w:pPr>
      <w:r>
        <w:rPr>
          <w:rStyle w:val="a5"/>
        </w:rPr>
        <w:footnoteRef/>
      </w:r>
      <w:r>
        <w:rPr>
          <w:rtl/>
        </w:rPr>
        <w:t xml:space="preserve"> </w:t>
      </w:r>
      <w:r w:rsidRPr="00F764A8">
        <w:rPr>
          <w:rFonts w:hint="cs"/>
          <w:b/>
          <w:bCs/>
          <w:sz w:val="18"/>
          <w:szCs w:val="18"/>
          <w:rtl/>
        </w:rPr>
        <w:t>ששבה"ל</w:t>
      </w:r>
      <w:r w:rsidRPr="00F764A8">
        <w:rPr>
          <w:rFonts w:hint="cs"/>
          <w:sz w:val="18"/>
          <w:szCs w:val="18"/>
          <w:rtl/>
        </w:rPr>
        <w:t xml:space="preserve"> </w:t>
      </w:r>
      <w:r w:rsidRPr="00F764A8">
        <w:rPr>
          <w:sz w:val="18"/>
          <w:szCs w:val="18"/>
          <w:rtl/>
        </w:rPr>
        <w:t>–</w:t>
      </w:r>
      <w:r w:rsidRPr="00F764A8">
        <w:rPr>
          <w:rFonts w:hint="cs"/>
          <w:sz w:val="18"/>
          <w:szCs w:val="18"/>
          <w:rtl/>
        </w:rPr>
        <w:t xml:space="preserve"> נשים ספרדיות מקפידות להסיר שער אותו מקום, אך נשים אשכנזיות לא נהגו להחמיר בזה. כנראה שטעם החומרה הוא משום חשש חציצה מחמת הזיעה שקשה להסירה, ולכן נהגו לגלח.</w:t>
      </w:r>
      <w:r>
        <w:rPr>
          <w:rFonts w:hint="cs"/>
          <w:sz w:val="18"/>
          <w:szCs w:val="18"/>
          <w:rtl/>
        </w:rPr>
        <w:t xml:space="preserve"> אמנם, בתורת הטהרה כתב שבדורות האחרונים השתנה המנהג וגם הנשים הספרדיות אינן מסירות שער אותו מקום והבעלים אינם מקפידים על כך, ולכן יש להקל לכתחילה, ובלבד שתנקה את המקום היטב </w:t>
      </w:r>
      <w:r w:rsidRPr="009721E8">
        <w:rPr>
          <w:rFonts w:hint="cs"/>
          <w:sz w:val="16"/>
          <w:szCs w:val="16"/>
          <w:rtl/>
        </w:rPr>
        <w:t>(ע"פ '</w:t>
      </w:r>
      <w:r w:rsidRPr="009721E8">
        <w:rPr>
          <w:rFonts w:hint="cs"/>
          <w:b/>
          <w:bCs/>
          <w:sz w:val="16"/>
          <w:szCs w:val="16"/>
          <w:rtl/>
        </w:rPr>
        <w:t>שירת</w:t>
      </w:r>
      <w:r w:rsidRPr="009721E8">
        <w:rPr>
          <w:rFonts w:hint="cs"/>
          <w:sz w:val="16"/>
          <w:szCs w:val="16"/>
          <w:rtl/>
        </w:rPr>
        <w:t xml:space="preserve"> </w:t>
      </w:r>
      <w:r w:rsidRPr="009721E8">
        <w:rPr>
          <w:rFonts w:hint="cs"/>
          <w:b/>
          <w:bCs/>
          <w:sz w:val="16"/>
          <w:szCs w:val="16"/>
          <w:rtl/>
        </w:rPr>
        <w:t>הים</w:t>
      </w:r>
      <w:r w:rsidRPr="009721E8">
        <w:rPr>
          <w:rFonts w:hint="cs"/>
          <w:sz w:val="16"/>
          <w:szCs w:val="16"/>
          <w:rtl/>
        </w:rPr>
        <w:t>')</w:t>
      </w:r>
      <w:r>
        <w:rPr>
          <w:rFonts w:hint="cs"/>
          <w:sz w:val="18"/>
          <w:szCs w:val="18"/>
          <w:rtl/>
        </w:rPr>
        <w:t>.</w:t>
      </w:r>
    </w:p>
  </w:footnote>
  <w:footnote w:id="604">
    <w:p w:rsidR="005953C5" w:rsidRDefault="005953C5" w:rsidP="00620060">
      <w:pPr>
        <w:pStyle w:val="a3"/>
      </w:pPr>
      <w:r w:rsidRPr="00D641B5">
        <w:rPr>
          <w:rStyle w:val="a5"/>
          <w:sz w:val="18"/>
          <w:szCs w:val="18"/>
        </w:rPr>
        <w:footnoteRef/>
      </w:r>
      <w:r w:rsidRPr="00D641B5">
        <w:rPr>
          <w:sz w:val="18"/>
          <w:szCs w:val="18"/>
          <w:rtl/>
        </w:rPr>
        <w:t xml:space="preserve"> </w:t>
      </w:r>
      <w:r>
        <w:rPr>
          <w:rFonts w:hint="cs"/>
          <w:sz w:val="18"/>
          <w:szCs w:val="18"/>
          <w:rtl/>
        </w:rPr>
        <w:t xml:space="preserve">סברה זו </w:t>
      </w:r>
      <w:r w:rsidRPr="00D641B5">
        <w:rPr>
          <w:rFonts w:hint="cs"/>
          <w:sz w:val="18"/>
          <w:szCs w:val="18"/>
          <w:rtl/>
        </w:rPr>
        <w:t xml:space="preserve">כתב להדיא </w:t>
      </w:r>
      <w:r w:rsidRPr="00D641B5">
        <w:rPr>
          <w:rFonts w:hint="cs"/>
          <w:b/>
          <w:bCs/>
          <w:sz w:val="18"/>
          <w:szCs w:val="18"/>
          <w:rtl/>
        </w:rPr>
        <w:t>הפת"ש</w:t>
      </w:r>
      <w:r w:rsidRPr="00D641B5">
        <w:rPr>
          <w:rFonts w:hint="cs"/>
          <w:sz w:val="18"/>
          <w:szCs w:val="18"/>
          <w:rtl/>
        </w:rPr>
        <w:t xml:space="preserve"> בריש הסימן, אות א'.</w:t>
      </w:r>
    </w:p>
  </w:footnote>
  <w:footnote w:id="605">
    <w:p w:rsidR="005953C5" w:rsidRDefault="005953C5" w:rsidP="00620060">
      <w:pPr>
        <w:pStyle w:val="a3"/>
        <w:rPr>
          <w:rtl/>
        </w:rPr>
      </w:pPr>
      <w:r w:rsidRPr="00D641B5">
        <w:rPr>
          <w:rStyle w:val="a5"/>
          <w:sz w:val="18"/>
          <w:szCs w:val="18"/>
        </w:rPr>
        <w:footnoteRef/>
      </w:r>
      <w:r w:rsidRPr="00D641B5">
        <w:rPr>
          <w:sz w:val="18"/>
          <w:szCs w:val="18"/>
          <w:rtl/>
        </w:rPr>
        <w:t xml:space="preserve"> </w:t>
      </w:r>
      <w:r w:rsidRPr="00D641B5">
        <w:rPr>
          <w:rFonts w:hint="cs"/>
          <w:sz w:val="18"/>
          <w:szCs w:val="18"/>
          <w:rtl/>
        </w:rPr>
        <w:t xml:space="preserve">לכאורה טעם זה תלוי במחלוקת רש"י ורבותיו. </w:t>
      </w:r>
      <w:r w:rsidRPr="00D641B5">
        <w:rPr>
          <w:rFonts w:hint="cs"/>
          <w:b/>
          <w:bCs/>
          <w:sz w:val="18"/>
          <w:szCs w:val="18"/>
          <w:rtl/>
        </w:rPr>
        <w:t>לרש"י</w:t>
      </w:r>
      <w:r w:rsidRPr="00D641B5">
        <w:rPr>
          <w:rFonts w:hint="cs"/>
          <w:sz w:val="18"/>
          <w:szCs w:val="18"/>
          <w:rtl/>
        </w:rPr>
        <w:t xml:space="preserve"> כל שמקפיד עליו ואינו מונע ביאת מים אינו חוצץ, אך</w:t>
      </w:r>
      <w:r w:rsidRPr="00D641B5">
        <w:rPr>
          <w:rFonts w:hint="cs"/>
          <w:b/>
          <w:bCs/>
          <w:sz w:val="18"/>
          <w:szCs w:val="18"/>
          <w:rtl/>
        </w:rPr>
        <w:t xml:space="preserve"> לרבותיו</w:t>
      </w:r>
      <w:r w:rsidRPr="00D641B5">
        <w:rPr>
          <w:rFonts w:hint="cs"/>
          <w:sz w:val="18"/>
          <w:szCs w:val="18"/>
          <w:rtl/>
        </w:rPr>
        <w:t xml:space="preserve"> חוצץ. ברם, נראה כאן להקל אפילו לדעת רבותיו, </w:t>
      </w:r>
      <w:r>
        <w:rPr>
          <w:rFonts w:hint="cs"/>
          <w:sz w:val="18"/>
          <w:szCs w:val="18"/>
          <w:rtl/>
        </w:rPr>
        <w:t>משום</w:t>
      </w:r>
      <w:r w:rsidRPr="00D641B5">
        <w:rPr>
          <w:rFonts w:hint="cs"/>
          <w:sz w:val="18"/>
          <w:szCs w:val="18"/>
          <w:rtl/>
        </w:rPr>
        <w:t xml:space="preserve"> </w:t>
      </w:r>
      <w:r>
        <w:rPr>
          <w:rFonts w:hint="cs"/>
          <w:sz w:val="18"/>
          <w:szCs w:val="18"/>
          <w:rtl/>
        </w:rPr>
        <w:t>ש</w:t>
      </w:r>
      <w:r w:rsidRPr="00D641B5">
        <w:rPr>
          <w:rFonts w:hint="cs"/>
          <w:sz w:val="18"/>
          <w:szCs w:val="18"/>
          <w:rtl/>
        </w:rPr>
        <w:t xml:space="preserve">הם מיירי בדבר שאינו גופו, והרי </w:t>
      </w:r>
      <w:r w:rsidRPr="00D641B5">
        <w:rPr>
          <w:rFonts w:hint="cs"/>
          <w:b/>
          <w:bCs/>
          <w:sz w:val="18"/>
          <w:szCs w:val="18"/>
          <w:rtl/>
        </w:rPr>
        <w:t>טה"ב</w:t>
      </w:r>
      <w:r w:rsidRPr="00D641B5">
        <w:rPr>
          <w:rFonts w:hint="cs"/>
          <w:sz w:val="18"/>
          <w:szCs w:val="18"/>
          <w:rtl/>
        </w:rPr>
        <w:t xml:space="preserve"> כתב להדיא סברה להקל בכל מיעוטו ומקפיד שאם הוא חלק מהגוף אינו חוצץ.</w:t>
      </w:r>
    </w:p>
  </w:footnote>
  <w:footnote w:id="606">
    <w:p w:rsidR="005953C5" w:rsidRDefault="005953C5" w:rsidP="00620060">
      <w:pPr>
        <w:pStyle w:val="a3"/>
      </w:pPr>
      <w:r w:rsidRPr="00786BDA">
        <w:rPr>
          <w:rStyle w:val="a5"/>
          <w:sz w:val="18"/>
          <w:szCs w:val="18"/>
        </w:rPr>
        <w:footnoteRef/>
      </w:r>
      <w:r w:rsidRPr="00786BDA">
        <w:rPr>
          <w:sz w:val="18"/>
          <w:szCs w:val="18"/>
          <w:rtl/>
        </w:rPr>
        <w:t xml:space="preserve"> </w:t>
      </w:r>
      <w:r w:rsidRPr="00786BDA">
        <w:rPr>
          <w:rFonts w:hint="cs"/>
          <w:sz w:val="18"/>
          <w:szCs w:val="18"/>
          <w:rtl/>
        </w:rPr>
        <w:t xml:space="preserve">זו לשון </w:t>
      </w:r>
      <w:r w:rsidRPr="00786BDA">
        <w:rPr>
          <w:rFonts w:hint="cs"/>
          <w:b/>
          <w:bCs/>
          <w:sz w:val="18"/>
          <w:szCs w:val="18"/>
          <w:rtl/>
        </w:rPr>
        <w:t>רבינו ירוחם</w:t>
      </w:r>
      <w:r w:rsidRPr="00786BDA">
        <w:rPr>
          <w:rFonts w:hint="cs"/>
          <w:sz w:val="18"/>
          <w:szCs w:val="18"/>
          <w:rtl/>
        </w:rPr>
        <w:t xml:space="preserve"> </w:t>
      </w:r>
      <w:r w:rsidRPr="00786BDA">
        <w:rPr>
          <w:sz w:val="18"/>
          <w:szCs w:val="18"/>
          <w:rtl/>
        </w:rPr>
        <w:t>–</w:t>
      </w:r>
      <w:r w:rsidRPr="00786BDA">
        <w:rPr>
          <w:rFonts w:hint="cs"/>
          <w:sz w:val="18"/>
          <w:szCs w:val="18"/>
          <w:rtl/>
        </w:rPr>
        <w:t xml:space="preserve"> </w:t>
      </w:r>
      <w:r w:rsidRPr="00786BDA">
        <w:rPr>
          <w:rFonts w:cs="Arial" w:hint="cs"/>
          <w:sz w:val="18"/>
          <w:szCs w:val="18"/>
          <w:rtl/>
        </w:rPr>
        <w:t>"</w:t>
      </w:r>
      <w:r w:rsidRPr="00786BDA">
        <w:rPr>
          <w:rFonts w:cs="Arial"/>
          <w:sz w:val="18"/>
          <w:szCs w:val="18"/>
          <w:rtl/>
        </w:rPr>
        <w:t>לפלוף יבש חוצץ וזהו שחוץ לעין משיתחיל להיות ירוק ככחול שבעין אינו חוצץ ואפילו שע"ג העין ואף על גב דבתוספתא איתא דחוצץ וכן בש"ס דוקא לטהרות אבל לבעלה לא וכן עיקר וכן הסכימו רוב הפוסקים דגרסינן ולית הלכתא</w:t>
      </w:r>
      <w:r w:rsidRPr="00786BDA">
        <w:rPr>
          <w:rFonts w:cs="Arial" w:hint="cs"/>
          <w:sz w:val="18"/>
          <w:szCs w:val="18"/>
          <w:rtl/>
        </w:rPr>
        <w:t>".</w:t>
      </w:r>
      <w:r w:rsidRPr="00786BDA">
        <w:rPr>
          <w:rFonts w:cs="Arial"/>
          <w:sz w:val="18"/>
          <w:szCs w:val="18"/>
          <w:rtl/>
        </w:rPr>
        <w:br/>
      </w:r>
      <w:r w:rsidRPr="00786BDA">
        <w:rPr>
          <w:rFonts w:cs="Arial" w:hint="cs"/>
          <w:b/>
          <w:bCs/>
          <w:sz w:val="18"/>
          <w:szCs w:val="18"/>
          <w:rtl/>
        </w:rPr>
        <w:t>בית יוסף</w:t>
      </w:r>
      <w:r w:rsidRPr="00786BDA">
        <w:rPr>
          <w:rFonts w:cs="Arial" w:hint="cs"/>
          <w:sz w:val="18"/>
          <w:szCs w:val="18"/>
          <w:rtl/>
        </w:rPr>
        <w:t xml:space="preserve"> </w:t>
      </w:r>
      <w:r w:rsidRPr="00786BDA">
        <w:rPr>
          <w:rFonts w:cs="Arial"/>
          <w:sz w:val="18"/>
          <w:szCs w:val="18"/>
          <w:rtl/>
        </w:rPr>
        <w:t>–</w:t>
      </w:r>
      <w:r w:rsidRPr="00786BDA">
        <w:rPr>
          <w:rFonts w:cs="Arial" w:hint="cs"/>
          <w:sz w:val="18"/>
          <w:szCs w:val="18"/>
          <w:rtl/>
        </w:rPr>
        <w:t xml:space="preserve"> מוכח שרבינו ירוחם גורס כן רק על חלק מההלכות, שהרי לגבי לפלוף החמיר.</w:t>
      </w:r>
      <w:r w:rsidRPr="00786BDA">
        <w:rPr>
          <w:rFonts w:cs="Arial"/>
          <w:sz w:val="18"/>
          <w:szCs w:val="18"/>
          <w:rtl/>
        </w:rPr>
        <w:br/>
      </w:r>
      <w:r w:rsidRPr="00786BDA">
        <w:rPr>
          <w:rFonts w:cs="Arial" w:hint="cs"/>
          <w:b/>
          <w:bCs/>
          <w:sz w:val="18"/>
          <w:szCs w:val="18"/>
          <w:rtl/>
        </w:rPr>
        <w:t>ש"ך</w:t>
      </w:r>
      <w:r w:rsidRPr="00786BDA">
        <w:rPr>
          <w:rFonts w:cs="Arial" w:hint="cs"/>
          <w:sz w:val="18"/>
          <w:szCs w:val="18"/>
          <w:rtl/>
        </w:rPr>
        <w:t xml:space="preserve"> </w:t>
      </w:r>
      <w:r w:rsidRPr="00786BDA">
        <w:rPr>
          <w:rFonts w:cs="Arial"/>
          <w:sz w:val="18"/>
          <w:szCs w:val="18"/>
          <w:rtl/>
        </w:rPr>
        <w:t>–</w:t>
      </w:r>
      <w:r w:rsidRPr="00786BDA">
        <w:rPr>
          <w:rFonts w:cs="Arial" w:hint="cs"/>
          <w:sz w:val="18"/>
          <w:szCs w:val="18"/>
          <w:rtl/>
        </w:rPr>
        <w:t xml:space="preserve"> החומרה בגמרא לגבי לפלוף שבעין נאמרה רק לגבי לפלוף בתוך העין, אך רבינו ירוחם מדבר כאן על לפלוף שמחוץ לעין. לפי"ז, שפיר יש לומר </w:t>
      </w:r>
      <w:r w:rsidRPr="00786BDA">
        <w:rPr>
          <w:rFonts w:cs="Arial" w:hint="cs"/>
          <w:b/>
          <w:bCs/>
          <w:sz w:val="18"/>
          <w:szCs w:val="18"/>
          <w:rtl/>
        </w:rPr>
        <w:t>שרי"ו</w:t>
      </w:r>
      <w:r w:rsidRPr="00786BDA">
        <w:rPr>
          <w:rFonts w:cs="Arial" w:hint="cs"/>
          <w:sz w:val="18"/>
          <w:szCs w:val="18"/>
          <w:rtl/>
        </w:rPr>
        <w:t xml:space="preserve"> סובר שכל דינים אלו אינם להלכה, ואעפ"כ פסק שלפלוף חוץ לעין חוצץ, אך אין מדברי הגמרא כאן אלא מדברי המשנה במקוואות </w:t>
      </w:r>
      <w:r w:rsidRPr="00786BDA">
        <w:rPr>
          <w:rFonts w:cs="Arial" w:hint="cs"/>
          <w:sz w:val="16"/>
          <w:szCs w:val="16"/>
          <w:rtl/>
        </w:rPr>
        <w:t>(עיין בסעיף הבא)</w:t>
      </w:r>
      <w:r w:rsidRPr="00786BDA">
        <w:rPr>
          <w:rFonts w:cs="Arial" w:hint="cs"/>
          <w:sz w:val="18"/>
          <w:szCs w:val="18"/>
          <w:rtl/>
        </w:rPr>
        <w:t xml:space="preserve">. </w:t>
      </w:r>
    </w:p>
  </w:footnote>
  <w:footnote w:id="607">
    <w:p w:rsidR="005953C5" w:rsidRDefault="005953C5" w:rsidP="00620060">
      <w:pPr>
        <w:pStyle w:val="a3"/>
        <w:rPr>
          <w:rtl/>
        </w:rPr>
      </w:pPr>
      <w:r w:rsidRPr="00C7576B">
        <w:rPr>
          <w:rStyle w:val="a5"/>
          <w:sz w:val="18"/>
          <w:szCs w:val="18"/>
        </w:rPr>
        <w:footnoteRef/>
      </w:r>
      <w:r w:rsidRPr="00C7576B">
        <w:rPr>
          <w:sz w:val="18"/>
          <w:szCs w:val="18"/>
          <w:rtl/>
        </w:rPr>
        <w:t xml:space="preserve"> </w:t>
      </w:r>
      <w:r w:rsidRPr="00C7576B">
        <w:rPr>
          <w:rFonts w:hint="cs"/>
          <w:b/>
          <w:bCs/>
          <w:sz w:val="18"/>
          <w:szCs w:val="18"/>
          <w:rtl/>
        </w:rPr>
        <w:t>ראב"ד</w:t>
      </w:r>
      <w:r w:rsidRPr="00C7576B">
        <w:rPr>
          <w:rFonts w:hint="cs"/>
          <w:sz w:val="18"/>
          <w:szCs w:val="18"/>
          <w:rtl/>
        </w:rPr>
        <w:t xml:space="preserve"> </w:t>
      </w:r>
      <w:r w:rsidRPr="00C7576B">
        <w:rPr>
          <w:sz w:val="18"/>
          <w:szCs w:val="18"/>
          <w:rtl/>
        </w:rPr>
        <w:t>–</w:t>
      </w:r>
      <w:r w:rsidRPr="00C7576B">
        <w:rPr>
          <w:rFonts w:hint="cs"/>
          <w:sz w:val="18"/>
          <w:szCs w:val="18"/>
          <w:rtl/>
        </w:rPr>
        <w:t xml:space="preserve"> דברי רבי יוחנן וריש לקיש הם היינו הך. ר"ל הורה שצריכה לטבול כדרך גדילתה, ורבי יוחנן הורה שאין לה לעצום עיניה ביותר מפני שאין זה כדרך גדילתה.</w:t>
      </w:r>
    </w:p>
  </w:footnote>
  <w:footnote w:id="608">
    <w:p w:rsidR="005953C5" w:rsidRDefault="005953C5" w:rsidP="00620060">
      <w:pPr>
        <w:pStyle w:val="a3"/>
        <w:rPr>
          <w:rtl/>
        </w:rPr>
      </w:pPr>
      <w:r w:rsidRPr="00E61486">
        <w:rPr>
          <w:rStyle w:val="a5"/>
          <w:sz w:val="18"/>
          <w:szCs w:val="18"/>
        </w:rPr>
        <w:footnoteRef/>
      </w:r>
      <w:r w:rsidRPr="00E61486">
        <w:rPr>
          <w:sz w:val="18"/>
          <w:szCs w:val="18"/>
          <w:rtl/>
        </w:rPr>
        <w:t xml:space="preserve"> </w:t>
      </w:r>
      <w:r w:rsidRPr="00E61486">
        <w:rPr>
          <w:rFonts w:hint="cs"/>
          <w:sz w:val="18"/>
          <w:szCs w:val="18"/>
          <w:rtl/>
        </w:rPr>
        <w:t xml:space="preserve">זו לשון </w:t>
      </w:r>
      <w:r w:rsidRPr="00E61486">
        <w:rPr>
          <w:rFonts w:hint="cs"/>
          <w:b/>
          <w:bCs/>
          <w:sz w:val="18"/>
          <w:szCs w:val="18"/>
          <w:rtl/>
        </w:rPr>
        <w:t>הרמב"ם</w:t>
      </w:r>
      <w:r w:rsidRPr="00E61486">
        <w:rPr>
          <w:rFonts w:hint="cs"/>
          <w:sz w:val="18"/>
          <w:szCs w:val="18"/>
          <w:rtl/>
        </w:rPr>
        <w:t xml:space="preserve"> בדין זה ובדין הסמוך לו: </w:t>
      </w:r>
      <w:r>
        <w:rPr>
          <w:sz w:val="18"/>
          <w:szCs w:val="18"/>
          <w:rtl/>
        </w:rPr>
        <w:br/>
      </w:r>
      <w:r w:rsidRPr="00E61486">
        <w:rPr>
          <w:rFonts w:hint="cs"/>
          <w:sz w:val="18"/>
          <w:szCs w:val="18"/>
          <w:rtl/>
        </w:rPr>
        <w:t>"</w:t>
      </w:r>
      <w:r w:rsidRPr="00E61486">
        <w:rPr>
          <w:rFonts w:cs="Arial"/>
          <w:sz w:val="18"/>
          <w:szCs w:val="18"/>
          <w:rtl/>
        </w:rPr>
        <w:t>שרטה בבשרה והוציא דם וטבלה, בתוך שלשה ימים אין מקום השריטות חוצץ לאחר שלשה ימים חוצץ מפני שהדם נקפה שם כגלד שע"ג המכה, וכן לפלוף שבעין אם היה יבש והוא שהתחיל להוריק חוצץ בנדה</w:t>
      </w:r>
      <w:r w:rsidRPr="00E61486">
        <w:rPr>
          <w:rFonts w:cs="Arial" w:hint="cs"/>
          <w:sz w:val="18"/>
          <w:szCs w:val="18"/>
          <w:rtl/>
        </w:rPr>
        <w:t>".</w:t>
      </w:r>
      <w:r w:rsidRPr="00E61486">
        <w:rPr>
          <w:rFonts w:cs="Arial"/>
          <w:sz w:val="18"/>
          <w:szCs w:val="18"/>
          <w:rtl/>
        </w:rPr>
        <w:br/>
      </w:r>
      <w:r w:rsidRPr="00E61486">
        <w:rPr>
          <w:rFonts w:cs="Arial" w:hint="cs"/>
          <w:b/>
          <w:bCs/>
          <w:sz w:val="18"/>
          <w:szCs w:val="18"/>
          <w:rtl/>
        </w:rPr>
        <w:t>טור</w:t>
      </w:r>
      <w:r w:rsidRPr="00E61486">
        <w:rPr>
          <w:rFonts w:cs="Arial" w:hint="cs"/>
          <w:sz w:val="18"/>
          <w:szCs w:val="18"/>
          <w:rtl/>
        </w:rPr>
        <w:t xml:space="preserve"> </w:t>
      </w:r>
      <w:r w:rsidRPr="00E61486">
        <w:rPr>
          <w:rFonts w:cs="Arial"/>
          <w:sz w:val="18"/>
          <w:szCs w:val="18"/>
          <w:rtl/>
        </w:rPr>
        <w:t>–</w:t>
      </w:r>
      <w:r w:rsidRPr="00E61486">
        <w:rPr>
          <w:rFonts w:cs="Arial" w:hint="cs"/>
          <w:sz w:val="18"/>
          <w:szCs w:val="18"/>
          <w:rtl/>
        </w:rPr>
        <w:t xml:space="preserve"> "</w:t>
      </w:r>
      <w:r w:rsidRPr="00E61486">
        <w:rPr>
          <w:rFonts w:cs="Arial"/>
          <w:sz w:val="18"/>
          <w:szCs w:val="18"/>
          <w:rtl/>
        </w:rPr>
        <w:t>והרמב"ם חילק על שבתוך העין בין בתוך ג' ימים ולאחר ג' ושחוץ לעין כתב סתם חוצץ אפילו תוך ג'</w:t>
      </w:r>
      <w:r w:rsidRPr="00E61486">
        <w:rPr>
          <w:rFonts w:cs="Arial" w:hint="cs"/>
          <w:sz w:val="18"/>
          <w:szCs w:val="18"/>
          <w:rtl/>
        </w:rPr>
        <w:t>".</w:t>
      </w:r>
      <w:r w:rsidRPr="00E61486">
        <w:rPr>
          <w:rFonts w:cs="Arial"/>
          <w:sz w:val="18"/>
          <w:szCs w:val="18"/>
          <w:rtl/>
        </w:rPr>
        <w:br/>
      </w:r>
      <w:r w:rsidRPr="00E61486">
        <w:rPr>
          <w:rFonts w:cs="Arial" w:hint="cs"/>
          <w:b/>
          <w:bCs/>
          <w:sz w:val="18"/>
          <w:szCs w:val="18"/>
          <w:rtl/>
        </w:rPr>
        <w:t>בית יוסף</w:t>
      </w:r>
      <w:r w:rsidRPr="00E61486">
        <w:rPr>
          <w:rFonts w:cs="Arial" w:hint="cs"/>
          <w:sz w:val="18"/>
          <w:szCs w:val="18"/>
          <w:rtl/>
        </w:rPr>
        <w:t xml:space="preserve"> </w:t>
      </w:r>
      <w:r w:rsidRPr="00E61486">
        <w:rPr>
          <w:rFonts w:cs="Arial"/>
          <w:sz w:val="18"/>
          <w:szCs w:val="18"/>
          <w:rtl/>
        </w:rPr>
        <w:t>–</w:t>
      </w:r>
      <w:r w:rsidRPr="00E61486">
        <w:rPr>
          <w:rFonts w:cs="Arial" w:hint="cs"/>
          <w:sz w:val="18"/>
          <w:szCs w:val="18"/>
          <w:rtl/>
        </w:rPr>
        <w:t xml:space="preserve"> דברי </w:t>
      </w:r>
      <w:r w:rsidRPr="00E61486">
        <w:rPr>
          <w:rFonts w:cs="Arial" w:hint="cs"/>
          <w:b/>
          <w:bCs/>
          <w:sz w:val="18"/>
          <w:szCs w:val="18"/>
          <w:rtl/>
        </w:rPr>
        <w:t>הטור</w:t>
      </w:r>
      <w:r w:rsidRPr="00E61486">
        <w:rPr>
          <w:rFonts w:cs="Arial" w:hint="cs"/>
          <w:sz w:val="18"/>
          <w:szCs w:val="18"/>
          <w:rtl/>
        </w:rPr>
        <w:t xml:space="preserve"> תמוהים, הרי </w:t>
      </w:r>
      <w:r w:rsidRPr="00E61486">
        <w:rPr>
          <w:rFonts w:cs="Arial" w:hint="cs"/>
          <w:b/>
          <w:bCs/>
          <w:sz w:val="18"/>
          <w:szCs w:val="18"/>
          <w:rtl/>
        </w:rPr>
        <w:t>הרמב"ם</w:t>
      </w:r>
      <w:r w:rsidRPr="00E61486">
        <w:rPr>
          <w:rFonts w:cs="Arial" w:hint="cs"/>
          <w:sz w:val="18"/>
          <w:szCs w:val="18"/>
          <w:rtl/>
        </w:rPr>
        <w:t xml:space="preserve"> כתב להדיא לחלק בין לפלוף שהתחיל להוריק לבין לפלוף שלא הוריק? </w:t>
      </w:r>
      <w:r>
        <w:rPr>
          <w:rFonts w:cs="Arial"/>
          <w:sz w:val="18"/>
          <w:szCs w:val="18"/>
          <w:rtl/>
        </w:rPr>
        <w:br/>
      </w:r>
      <w:r w:rsidRPr="00E61486">
        <w:rPr>
          <w:rFonts w:cs="Arial" w:hint="cs"/>
          <w:sz w:val="18"/>
          <w:szCs w:val="18"/>
          <w:rtl/>
        </w:rPr>
        <w:t xml:space="preserve">אלא שכנראה </w:t>
      </w:r>
      <w:r w:rsidRPr="00E61486">
        <w:rPr>
          <w:rFonts w:cs="Arial" w:hint="cs"/>
          <w:b/>
          <w:bCs/>
          <w:sz w:val="18"/>
          <w:szCs w:val="18"/>
          <w:rtl/>
        </w:rPr>
        <w:t>הטור</w:t>
      </w:r>
      <w:r w:rsidRPr="00E61486">
        <w:rPr>
          <w:rFonts w:cs="Arial" w:hint="cs"/>
          <w:sz w:val="18"/>
          <w:szCs w:val="18"/>
          <w:rtl/>
        </w:rPr>
        <w:t xml:space="preserve"> הבין שדברי </w:t>
      </w:r>
      <w:r w:rsidRPr="00E61486">
        <w:rPr>
          <w:rFonts w:cs="Arial" w:hint="cs"/>
          <w:b/>
          <w:bCs/>
          <w:sz w:val="18"/>
          <w:szCs w:val="18"/>
          <w:rtl/>
        </w:rPr>
        <w:t>הרמב"ם</w:t>
      </w:r>
      <w:r w:rsidRPr="00E61486">
        <w:rPr>
          <w:rFonts w:cs="Arial" w:hint="cs"/>
          <w:sz w:val="18"/>
          <w:szCs w:val="18"/>
          <w:rtl/>
        </w:rPr>
        <w:t xml:space="preserve"> לגבי לפלוף נמשכים אחרי מה שכתב לפני כן לגבי שריטה, שבה </w:t>
      </w:r>
      <w:r w:rsidRPr="00E61486">
        <w:rPr>
          <w:rFonts w:cs="Arial" w:hint="cs"/>
          <w:b/>
          <w:bCs/>
          <w:sz w:val="18"/>
          <w:szCs w:val="18"/>
          <w:rtl/>
        </w:rPr>
        <w:t>הרמב"ם</w:t>
      </w:r>
      <w:r w:rsidRPr="00E61486">
        <w:rPr>
          <w:rFonts w:cs="Arial" w:hint="cs"/>
          <w:sz w:val="18"/>
          <w:szCs w:val="18"/>
          <w:rtl/>
        </w:rPr>
        <w:t xml:space="preserve"> מחלק להדיא בין תוך ג' לאחר ג', וסובר הטור שע"י המילה "וכן" הרמב"ם יוצר שיוויון בין הדינים. </w:t>
      </w:r>
      <w:r>
        <w:rPr>
          <w:rFonts w:cs="Arial"/>
          <w:sz w:val="18"/>
          <w:szCs w:val="18"/>
          <w:rtl/>
        </w:rPr>
        <w:br/>
      </w:r>
      <w:r w:rsidRPr="00E61486">
        <w:rPr>
          <w:rFonts w:cs="Arial" w:hint="cs"/>
          <w:sz w:val="18"/>
          <w:szCs w:val="18"/>
          <w:rtl/>
        </w:rPr>
        <w:t xml:space="preserve">ברם, </w:t>
      </w:r>
      <w:r w:rsidRPr="00E61486">
        <w:rPr>
          <w:rFonts w:cs="Arial" w:hint="cs"/>
          <w:b/>
          <w:bCs/>
          <w:sz w:val="18"/>
          <w:szCs w:val="18"/>
          <w:rtl/>
        </w:rPr>
        <w:t>הבית יוסף</w:t>
      </w:r>
      <w:r w:rsidRPr="00E61486">
        <w:rPr>
          <w:rFonts w:cs="Arial" w:hint="cs"/>
          <w:sz w:val="18"/>
          <w:szCs w:val="18"/>
          <w:rtl/>
        </w:rPr>
        <w:t xml:space="preserve"> דוחה את הבנת </w:t>
      </w:r>
      <w:r w:rsidRPr="00E61486">
        <w:rPr>
          <w:rFonts w:cs="Arial" w:hint="cs"/>
          <w:b/>
          <w:bCs/>
          <w:sz w:val="18"/>
          <w:szCs w:val="18"/>
          <w:rtl/>
        </w:rPr>
        <w:t>הטור</w:t>
      </w:r>
      <w:r w:rsidRPr="00E61486">
        <w:rPr>
          <w:rFonts w:cs="Arial" w:hint="cs"/>
          <w:sz w:val="18"/>
          <w:szCs w:val="18"/>
          <w:rtl/>
        </w:rPr>
        <w:t xml:space="preserve"> ומוכיח שאין לה הבנה. </w:t>
      </w:r>
      <w:r>
        <w:rPr>
          <w:rFonts w:cs="Arial"/>
          <w:sz w:val="18"/>
          <w:szCs w:val="18"/>
          <w:rtl/>
        </w:rPr>
        <w:br/>
      </w:r>
      <w:r w:rsidRPr="00E61486">
        <w:rPr>
          <w:rFonts w:cs="Arial" w:hint="cs"/>
          <w:sz w:val="18"/>
          <w:szCs w:val="18"/>
          <w:rtl/>
        </w:rPr>
        <w:t xml:space="preserve">ומלבד זאת, מדוע </w:t>
      </w:r>
      <w:r w:rsidRPr="00E61486">
        <w:rPr>
          <w:rFonts w:cs="Arial" w:hint="cs"/>
          <w:b/>
          <w:bCs/>
          <w:sz w:val="18"/>
          <w:szCs w:val="18"/>
          <w:rtl/>
        </w:rPr>
        <w:t>שהרמב"ם</w:t>
      </w:r>
      <w:r w:rsidRPr="00E61486">
        <w:rPr>
          <w:rFonts w:cs="Arial" w:hint="cs"/>
          <w:sz w:val="18"/>
          <w:szCs w:val="18"/>
          <w:rtl/>
        </w:rPr>
        <w:t xml:space="preserve"> ימציא שיעור ליבשות, הרי מר עוקבא נתן שיעור משהתחיל להוריק!</w:t>
      </w:r>
    </w:p>
  </w:footnote>
  <w:footnote w:id="609">
    <w:p w:rsidR="005953C5" w:rsidRDefault="005953C5" w:rsidP="00620060">
      <w:pPr>
        <w:pStyle w:val="a3"/>
      </w:pPr>
      <w:r w:rsidRPr="00A22670">
        <w:rPr>
          <w:rStyle w:val="a5"/>
          <w:sz w:val="18"/>
          <w:szCs w:val="18"/>
        </w:rPr>
        <w:footnoteRef/>
      </w:r>
      <w:r w:rsidRPr="00A22670">
        <w:rPr>
          <w:sz w:val="18"/>
          <w:szCs w:val="18"/>
          <w:rtl/>
        </w:rPr>
        <w:t xml:space="preserve"> </w:t>
      </w:r>
      <w:r w:rsidRPr="00A22670">
        <w:rPr>
          <w:rFonts w:hint="cs"/>
          <w:sz w:val="18"/>
          <w:szCs w:val="18"/>
          <w:rtl/>
        </w:rPr>
        <w:t xml:space="preserve">ביאור </w:t>
      </w:r>
      <w:r w:rsidRPr="00A22670">
        <w:rPr>
          <w:sz w:val="18"/>
          <w:szCs w:val="18"/>
          <w:rtl/>
        </w:rPr>
        <w:t>–</w:t>
      </w:r>
      <w:r w:rsidRPr="00A22670">
        <w:rPr>
          <w:rFonts w:hint="cs"/>
          <w:sz w:val="18"/>
          <w:szCs w:val="18"/>
          <w:rtl/>
        </w:rPr>
        <w:t xml:space="preserve"> בדין לפלוף שחוץ לעין לית מאן דפליג שחוצץ, שהרי כך נאמר להדיא במשנה. </w:t>
      </w:r>
    </w:p>
  </w:footnote>
  <w:footnote w:id="610">
    <w:p w:rsidR="005953C5" w:rsidRDefault="005953C5" w:rsidP="00620060">
      <w:pPr>
        <w:pStyle w:val="a3"/>
        <w:rPr>
          <w:rtl/>
        </w:rPr>
      </w:pPr>
      <w:r w:rsidRPr="00D63639">
        <w:rPr>
          <w:rStyle w:val="a5"/>
          <w:sz w:val="18"/>
          <w:szCs w:val="18"/>
        </w:rPr>
        <w:footnoteRef/>
      </w:r>
      <w:r w:rsidRPr="00D63639">
        <w:rPr>
          <w:sz w:val="18"/>
          <w:szCs w:val="18"/>
          <w:rtl/>
        </w:rPr>
        <w:t xml:space="preserve"> </w:t>
      </w:r>
      <w:r w:rsidRPr="00D63639">
        <w:rPr>
          <w:rFonts w:hint="cs"/>
          <w:sz w:val="18"/>
          <w:szCs w:val="18"/>
          <w:rtl/>
        </w:rPr>
        <w:t xml:space="preserve">בדברי </w:t>
      </w:r>
      <w:r w:rsidRPr="00D63639">
        <w:rPr>
          <w:rFonts w:hint="cs"/>
          <w:b/>
          <w:bCs/>
          <w:sz w:val="18"/>
          <w:szCs w:val="18"/>
          <w:rtl/>
        </w:rPr>
        <w:t>הרמב"ם</w:t>
      </w:r>
      <w:r w:rsidRPr="00D63639">
        <w:rPr>
          <w:rFonts w:hint="cs"/>
          <w:sz w:val="18"/>
          <w:szCs w:val="18"/>
          <w:rtl/>
        </w:rPr>
        <w:t xml:space="preserve"> יש גרסות שונות. בעוד </w:t>
      </w:r>
      <w:r w:rsidRPr="00D63639">
        <w:rPr>
          <w:rFonts w:hint="cs"/>
          <w:b/>
          <w:bCs/>
          <w:sz w:val="18"/>
          <w:szCs w:val="18"/>
          <w:rtl/>
        </w:rPr>
        <w:t xml:space="preserve">והטור </w:t>
      </w:r>
      <w:r w:rsidRPr="00D63639">
        <w:rPr>
          <w:rFonts w:hint="cs"/>
          <w:sz w:val="18"/>
          <w:szCs w:val="18"/>
          <w:rtl/>
        </w:rPr>
        <w:t xml:space="preserve">גרס כגרסה הכתובה בפנים, הרי שהגרסה שלפנינו, וכך מעדיף </w:t>
      </w:r>
      <w:r w:rsidRPr="00D63639">
        <w:rPr>
          <w:rFonts w:hint="cs"/>
          <w:b/>
          <w:bCs/>
          <w:sz w:val="18"/>
          <w:szCs w:val="18"/>
          <w:rtl/>
        </w:rPr>
        <w:t>הכס"מ</w:t>
      </w:r>
      <w:r w:rsidRPr="00D63639">
        <w:rPr>
          <w:rFonts w:hint="cs"/>
          <w:sz w:val="18"/>
          <w:szCs w:val="18"/>
          <w:rtl/>
        </w:rPr>
        <w:t xml:space="preserve"> לגרוס</w:t>
      </w:r>
      <w:r>
        <w:rPr>
          <w:rFonts w:hint="cs"/>
          <w:sz w:val="18"/>
          <w:szCs w:val="18"/>
          <w:rtl/>
        </w:rPr>
        <w:t>,</w:t>
      </w:r>
      <w:r w:rsidRPr="00D63639">
        <w:rPr>
          <w:rFonts w:hint="cs"/>
          <w:sz w:val="18"/>
          <w:szCs w:val="18"/>
          <w:rtl/>
        </w:rPr>
        <w:t xml:space="preserve"> היא: "</w:t>
      </w:r>
      <w:r w:rsidRPr="00D63639">
        <w:rPr>
          <w:rFonts w:cs="Arial"/>
          <w:sz w:val="18"/>
          <w:szCs w:val="18"/>
          <w:rtl/>
        </w:rPr>
        <w:t xml:space="preserve">ואם היו עיניה </w:t>
      </w:r>
      <w:r w:rsidRPr="00D63639">
        <w:rPr>
          <w:rFonts w:cs="Arial"/>
          <w:sz w:val="18"/>
          <w:szCs w:val="18"/>
          <w:u w:val="single"/>
          <w:rtl/>
        </w:rPr>
        <w:t>פורחות</w:t>
      </w:r>
      <w:r w:rsidRPr="00D63639">
        <w:rPr>
          <w:rFonts w:cs="Arial" w:hint="cs"/>
          <w:sz w:val="18"/>
          <w:szCs w:val="18"/>
          <w:rtl/>
        </w:rPr>
        <w:t>"</w:t>
      </w:r>
      <w:r w:rsidRPr="00D63639">
        <w:rPr>
          <w:rFonts w:cs="Arial"/>
          <w:sz w:val="18"/>
          <w:szCs w:val="18"/>
          <w:rtl/>
        </w:rPr>
        <w:t xml:space="preserve"> </w:t>
      </w:r>
      <w:r w:rsidRPr="00D63639">
        <w:rPr>
          <w:rFonts w:cs="Arial" w:hint="cs"/>
          <w:sz w:val="18"/>
          <w:szCs w:val="18"/>
          <w:rtl/>
        </w:rPr>
        <w:t>וכו'</w:t>
      </w:r>
      <w:r w:rsidRPr="00D63639">
        <w:rPr>
          <w:rFonts w:hint="cs"/>
          <w:sz w:val="18"/>
          <w:szCs w:val="18"/>
          <w:rtl/>
        </w:rPr>
        <w:t xml:space="preserve">. </w:t>
      </w:r>
      <w:r w:rsidRPr="00D63639">
        <w:rPr>
          <w:rFonts w:hint="cs"/>
          <w:b/>
          <w:bCs/>
          <w:sz w:val="18"/>
          <w:szCs w:val="18"/>
          <w:rtl/>
        </w:rPr>
        <w:t>הבית יוסף</w:t>
      </w:r>
      <w:r w:rsidRPr="00D63639">
        <w:rPr>
          <w:rFonts w:hint="cs"/>
          <w:sz w:val="18"/>
          <w:szCs w:val="18"/>
          <w:rtl/>
        </w:rPr>
        <w:t xml:space="preserve"> מסביר שאף לפי גרסת </w:t>
      </w:r>
      <w:r w:rsidRPr="00D63639">
        <w:rPr>
          <w:rFonts w:hint="cs"/>
          <w:b/>
          <w:bCs/>
          <w:sz w:val="18"/>
          <w:szCs w:val="18"/>
          <w:rtl/>
        </w:rPr>
        <w:t>הטור</w:t>
      </w:r>
      <w:r w:rsidRPr="00D63639">
        <w:rPr>
          <w:rFonts w:hint="cs"/>
          <w:sz w:val="18"/>
          <w:szCs w:val="18"/>
          <w:rtl/>
        </w:rPr>
        <w:t xml:space="preserve"> יש לפרש את </w:t>
      </w:r>
      <w:r w:rsidRPr="00D63639">
        <w:rPr>
          <w:rFonts w:hint="cs"/>
          <w:b/>
          <w:bCs/>
          <w:sz w:val="18"/>
          <w:szCs w:val="18"/>
          <w:rtl/>
        </w:rPr>
        <w:t>הרמב"ם</w:t>
      </w:r>
      <w:r w:rsidRPr="00D63639">
        <w:rPr>
          <w:rFonts w:hint="cs"/>
          <w:sz w:val="18"/>
          <w:szCs w:val="18"/>
          <w:rtl/>
        </w:rPr>
        <w:t xml:space="preserve"> </w:t>
      </w:r>
      <w:r w:rsidRPr="00D63639">
        <w:rPr>
          <w:rFonts w:hint="cs"/>
          <w:b/>
          <w:bCs/>
          <w:sz w:val="18"/>
          <w:szCs w:val="18"/>
          <w:rtl/>
        </w:rPr>
        <w:t>כרש"י</w:t>
      </w:r>
      <w:r w:rsidRPr="00D63639">
        <w:rPr>
          <w:rFonts w:hint="cs"/>
          <w:sz w:val="18"/>
          <w:szCs w:val="18"/>
          <w:rtl/>
        </w:rPr>
        <w:t xml:space="preserve">. </w:t>
      </w:r>
      <w:r>
        <w:rPr>
          <w:sz w:val="18"/>
          <w:szCs w:val="18"/>
          <w:rtl/>
        </w:rPr>
        <w:br/>
      </w:r>
      <w:r w:rsidRPr="00D63639">
        <w:rPr>
          <w:rFonts w:hint="cs"/>
          <w:sz w:val="18"/>
          <w:szCs w:val="18"/>
          <w:rtl/>
        </w:rPr>
        <w:t xml:space="preserve">ברם, </w:t>
      </w:r>
      <w:r w:rsidRPr="00D63639">
        <w:rPr>
          <w:rFonts w:hint="cs"/>
          <w:b/>
          <w:bCs/>
          <w:sz w:val="18"/>
          <w:szCs w:val="18"/>
          <w:rtl/>
        </w:rPr>
        <w:t>הט"ז</w:t>
      </w:r>
      <w:r w:rsidRPr="00D63639">
        <w:rPr>
          <w:rFonts w:hint="cs"/>
          <w:sz w:val="18"/>
          <w:szCs w:val="18"/>
          <w:rtl/>
        </w:rPr>
        <w:t xml:space="preserve"> מוכיח את הסברו </w:t>
      </w:r>
      <w:r w:rsidRPr="00D63639">
        <w:rPr>
          <w:rFonts w:hint="cs"/>
          <w:b/>
          <w:bCs/>
          <w:sz w:val="18"/>
          <w:szCs w:val="18"/>
          <w:rtl/>
        </w:rPr>
        <w:t>ברמב"ם</w:t>
      </w:r>
      <w:r w:rsidRPr="00D63639">
        <w:rPr>
          <w:rFonts w:hint="cs"/>
          <w:sz w:val="18"/>
          <w:szCs w:val="18"/>
          <w:rtl/>
        </w:rPr>
        <w:t xml:space="preserve"> מדבריו בהלכה הסמוכה: "</w:t>
      </w:r>
      <w:r w:rsidRPr="00D63639">
        <w:rPr>
          <w:rFonts w:cs="Arial"/>
          <w:sz w:val="18"/>
          <w:szCs w:val="18"/>
          <w:rtl/>
        </w:rPr>
        <w:t>פתחה עיניה ביותר או עיצמתן ביותר לא עלתה לה טבילה</w:t>
      </w:r>
      <w:r w:rsidRPr="00D63639">
        <w:rPr>
          <w:rFonts w:cs="Arial" w:hint="cs"/>
          <w:sz w:val="18"/>
          <w:szCs w:val="18"/>
          <w:rtl/>
        </w:rPr>
        <w:t xml:space="preserve">", ודין זה נאמר בוודאי על שעת טבילה עצמה, מוכח שגם הדין הקודם לגבי כחול נאמר על שעת טבילה עצמה וקמ"ל שע"י פתיחת העיניים בשעת טבילה </w:t>
      </w:r>
      <w:r w:rsidRPr="00D63639">
        <w:rPr>
          <w:rFonts w:cs="Arial" w:hint="cs"/>
          <w:sz w:val="16"/>
          <w:szCs w:val="16"/>
          <w:rtl/>
        </w:rPr>
        <w:t xml:space="preserve">(פתיחה שאינה גורמת לחציצה) </w:t>
      </w:r>
      <w:r w:rsidRPr="00D63639">
        <w:rPr>
          <w:rFonts w:cs="Arial" w:hint="cs"/>
          <w:sz w:val="18"/>
          <w:szCs w:val="18"/>
          <w:rtl/>
        </w:rPr>
        <w:t>אין הכחול חוצץ.</w:t>
      </w:r>
    </w:p>
  </w:footnote>
  <w:footnote w:id="611">
    <w:p w:rsidR="005953C5" w:rsidRDefault="005953C5" w:rsidP="00620060">
      <w:pPr>
        <w:pStyle w:val="a3"/>
      </w:pPr>
      <w:r w:rsidRPr="004D74DC">
        <w:rPr>
          <w:rStyle w:val="a5"/>
          <w:sz w:val="18"/>
          <w:szCs w:val="18"/>
        </w:rPr>
        <w:footnoteRef/>
      </w:r>
      <w:r w:rsidRPr="004D74DC">
        <w:rPr>
          <w:sz w:val="18"/>
          <w:szCs w:val="18"/>
          <w:rtl/>
        </w:rPr>
        <w:t xml:space="preserve"> </w:t>
      </w:r>
      <w:r w:rsidRPr="004D74DC">
        <w:rPr>
          <w:rFonts w:hint="cs"/>
          <w:sz w:val="18"/>
          <w:szCs w:val="18"/>
          <w:rtl/>
        </w:rPr>
        <w:t xml:space="preserve">ולדעת </w:t>
      </w:r>
      <w:r w:rsidRPr="004D74DC">
        <w:rPr>
          <w:rFonts w:hint="cs"/>
          <w:b/>
          <w:bCs/>
          <w:sz w:val="18"/>
          <w:szCs w:val="18"/>
          <w:rtl/>
        </w:rPr>
        <w:t>הש"ך</w:t>
      </w:r>
      <w:r w:rsidRPr="004D74DC">
        <w:rPr>
          <w:rFonts w:hint="cs"/>
          <w:sz w:val="18"/>
          <w:szCs w:val="18"/>
          <w:rtl/>
        </w:rPr>
        <w:t xml:space="preserve"> לעיל</w:t>
      </w:r>
      <w:r>
        <w:rPr>
          <w:rFonts w:hint="cs"/>
          <w:sz w:val="18"/>
          <w:szCs w:val="18"/>
          <w:rtl/>
        </w:rPr>
        <w:t>, וכן לחלק גדול מהראשונים</w:t>
      </w:r>
      <w:r w:rsidRPr="004D74DC">
        <w:rPr>
          <w:rFonts w:hint="cs"/>
          <w:sz w:val="18"/>
          <w:szCs w:val="18"/>
          <w:rtl/>
        </w:rPr>
        <w:t>, גם כאן בדיעבד אינו חוצץ.</w:t>
      </w:r>
    </w:p>
  </w:footnote>
  <w:footnote w:id="612">
    <w:p w:rsidR="005953C5" w:rsidRDefault="005953C5" w:rsidP="00620060">
      <w:pPr>
        <w:pStyle w:val="a3"/>
      </w:pPr>
      <w:r w:rsidRPr="0010742C">
        <w:rPr>
          <w:rStyle w:val="a5"/>
          <w:sz w:val="18"/>
          <w:szCs w:val="18"/>
        </w:rPr>
        <w:footnoteRef/>
      </w:r>
      <w:r w:rsidRPr="0010742C">
        <w:rPr>
          <w:sz w:val="18"/>
          <w:szCs w:val="18"/>
          <w:rtl/>
        </w:rPr>
        <w:t xml:space="preserve"> </w:t>
      </w:r>
      <w:r w:rsidRPr="0010742C">
        <w:rPr>
          <w:rFonts w:hint="cs"/>
          <w:sz w:val="18"/>
          <w:szCs w:val="18"/>
          <w:rtl/>
        </w:rPr>
        <w:t xml:space="preserve">אמנם, יש מחמירים בסתימה זמנית העומדת להיות פחות משלושים יום, וכן דעת </w:t>
      </w:r>
      <w:r w:rsidRPr="0010742C">
        <w:rPr>
          <w:rFonts w:hint="cs"/>
          <w:b/>
          <w:bCs/>
          <w:sz w:val="18"/>
          <w:szCs w:val="18"/>
          <w:rtl/>
        </w:rPr>
        <w:t>בדה"ש וששבה"ל</w:t>
      </w:r>
      <w:r w:rsidRPr="0010742C">
        <w:rPr>
          <w:rFonts w:hint="cs"/>
          <w:sz w:val="18"/>
          <w:szCs w:val="18"/>
          <w:rtl/>
        </w:rPr>
        <w:t>. אך בסתימה העומדת ליותר משלושים יום, לדעת רוב הפוסקים אינה חוצצת.</w:t>
      </w:r>
    </w:p>
  </w:footnote>
  <w:footnote w:id="613">
    <w:p w:rsidR="005953C5" w:rsidRDefault="005953C5" w:rsidP="00620060">
      <w:pPr>
        <w:pStyle w:val="a3"/>
      </w:pPr>
      <w:r w:rsidRPr="00D54A86">
        <w:rPr>
          <w:rStyle w:val="a5"/>
          <w:sz w:val="18"/>
          <w:szCs w:val="18"/>
        </w:rPr>
        <w:footnoteRef/>
      </w:r>
      <w:r w:rsidRPr="00D54A86">
        <w:rPr>
          <w:sz w:val="18"/>
          <w:szCs w:val="18"/>
          <w:rtl/>
        </w:rPr>
        <w:t xml:space="preserve"> </w:t>
      </w:r>
      <w:r w:rsidRPr="00D54A86">
        <w:rPr>
          <w:rFonts w:hint="cs"/>
          <w:sz w:val="18"/>
          <w:szCs w:val="18"/>
          <w:rtl/>
        </w:rPr>
        <w:t xml:space="preserve">לכאורה אם מצטערת להסיר הוי מיעוטו שאינה מקפידה עליו מחמת הכאב? וכן דן </w:t>
      </w:r>
      <w:r w:rsidRPr="00D54A86">
        <w:rPr>
          <w:rFonts w:hint="cs"/>
          <w:b/>
          <w:bCs/>
          <w:sz w:val="18"/>
          <w:szCs w:val="18"/>
          <w:rtl/>
        </w:rPr>
        <w:t>הסד"ט</w:t>
      </w:r>
      <w:r w:rsidRPr="00D54A86">
        <w:rPr>
          <w:rFonts w:hint="cs"/>
          <w:sz w:val="18"/>
          <w:szCs w:val="18"/>
          <w:rtl/>
        </w:rPr>
        <w:t>.</w:t>
      </w:r>
    </w:p>
  </w:footnote>
  <w:footnote w:id="614">
    <w:p w:rsidR="005953C5" w:rsidRDefault="005953C5" w:rsidP="00620060">
      <w:pPr>
        <w:pStyle w:val="a3"/>
      </w:pPr>
      <w:r w:rsidRPr="007E0839">
        <w:rPr>
          <w:rStyle w:val="a5"/>
          <w:sz w:val="18"/>
          <w:szCs w:val="18"/>
        </w:rPr>
        <w:footnoteRef/>
      </w:r>
      <w:r w:rsidRPr="007E0839">
        <w:rPr>
          <w:sz w:val="18"/>
          <w:szCs w:val="18"/>
          <w:rtl/>
        </w:rPr>
        <w:t xml:space="preserve"> </w:t>
      </w:r>
      <w:r w:rsidRPr="007E0839">
        <w:rPr>
          <w:rFonts w:hint="cs"/>
          <w:b/>
          <w:bCs/>
          <w:sz w:val="18"/>
          <w:szCs w:val="18"/>
          <w:rtl/>
        </w:rPr>
        <w:t>ששבה"ל</w:t>
      </w:r>
      <w:r w:rsidRPr="007E0839">
        <w:rPr>
          <w:rFonts w:hint="cs"/>
          <w:sz w:val="18"/>
          <w:szCs w:val="18"/>
          <w:rtl/>
        </w:rPr>
        <w:t xml:space="preserve"> </w:t>
      </w:r>
      <w:r w:rsidRPr="007E0839">
        <w:rPr>
          <w:rFonts w:hint="cs"/>
          <w:sz w:val="16"/>
          <w:szCs w:val="16"/>
          <w:rtl/>
        </w:rPr>
        <w:t xml:space="preserve">(עמ' שיט' ד"ה דם) </w:t>
      </w:r>
      <w:r w:rsidRPr="007E0839">
        <w:rPr>
          <w:sz w:val="18"/>
          <w:szCs w:val="18"/>
          <w:rtl/>
        </w:rPr>
        <w:t>–</w:t>
      </w:r>
      <w:r w:rsidRPr="007E0839">
        <w:rPr>
          <w:rFonts w:hint="cs"/>
          <w:sz w:val="18"/>
          <w:szCs w:val="18"/>
          <w:rtl/>
        </w:rPr>
        <w:t xml:space="preserve"> אשה שיש לה פצע מוגלתי לא תעשה בו חור לפני הטבילה, משום שבהיותו סגור אינו חוצץ, כמבואר בפנים, ואילו ע"י שעושה בו חור נעשה שאלה. לכאורה דבריו אינם ברורים, שהרי גם אם תעשה בו חור הוי ריר לח ואינו חוצץ, ושמא ע"י שתעשה בו חור יווצרו שא</w:t>
      </w:r>
      <w:r>
        <w:rPr>
          <w:rFonts w:hint="cs"/>
          <w:sz w:val="18"/>
          <w:szCs w:val="18"/>
          <w:rtl/>
        </w:rPr>
        <w:t>רי</w:t>
      </w:r>
      <w:r w:rsidRPr="007E0839">
        <w:rPr>
          <w:rFonts w:hint="cs"/>
          <w:sz w:val="18"/>
          <w:szCs w:val="18"/>
          <w:rtl/>
        </w:rPr>
        <w:t>ות עור וכד</w:t>
      </w:r>
      <w:r>
        <w:rPr>
          <w:rFonts w:hint="cs"/>
          <w:sz w:val="18"/>
          <w:szCs w:val="18"/>
          <w:rtl/>
        </w:rPr>
        <w:t>ומ</w:t>
      </w:r>
      <w:r w:rsidRPr="007E0839">
        <w:rPr>
          <w:rFonts w:hint="cs"/>
          <w:sz w:val="18"/>
          <w:szCs w:val="18"/>
          <w:rtl/>
        </w:rPr>
        <w:t>ה שי</w:t>
      </w:r>
      <w:r>
        <w:rPr>
          <w:rFonts w:hint="cs"/>
          <w:sz w:val="18"/>
          <w:szCs w:val="18"/>
          <w:rtl/>
        </w:rPr>
        <w:t>חצצו.</w:t>
      </w:r>
    </w:p>
  </w:footnote>
  <w:footnote w:id="615">
    <w:p w:rsidR="005953C5" w:rsidRDefault="005953C5" w:rsidP="00620060">
      <w:pPr>
        <w:pStyle w:val="a3"/>
      </w:pPr>
      <w:r w:rsidRPr="0046754E">
        <w:rPr>
          <w:rStyle w:val="a5"/>
          <w:sz w:val="18"/>
          <w:szCs w:val="18"/>
        </w:rPr>
        <w:footnoteRef/>
      </w:r>
      <w:r w:rsidRPr="0046754E">
        <w:rPr>
          <w:sz w:val="18"/>
          <w:szCs w:val="18"/>
          <w:rtl/>
        </w:rPr>
        <w:t xml:space="preserve"> </w:t>
      </w:r>
      <w:r w:rsidRPr="0046754E">
        <w:rPr>
          <w:rFonts w:hint="cs"/>
          <w:sz w:val="18"/>
          <w:szCs w:val="18"/>
          <w:rtl/>
        </w:rPr>
        <w:t xml:space="preserve">ביאור </w:t>
      </w:r>
      <w:r w:rsidRPr="0046754E">
        <w:rPr>
          <w:sz w:val="18"/>
          <w:szCs w:val="18"/>
          <w:rtl/>
        </w:rPr>
        <w:t>–</w:t>
      </w:r>
      <w:r w:rsidRPr="0046754E">
        <w:rPr>
          <w:rFonts w:hint="cs"/>
          <w:sz w:val="18"/>
          <w:szCs w:val="18"/>
          <w:rtl/>
        </w:rPr>
        <w:t xml:space="preserve"> </w:t>
      </w:r>
      <w:r w:rsidRPr="0046754E">
        <w:rPr>
          <w:rFonts w:hint="cs"/>
          <w:b/>
          <w:bCs/>
          <w:sz w:val="18"/>
          <w:szCs w:val="18"/>
          <w:rtl/>
        </w:rPr>
        <w:t>בשו"ת פנים מאירות</w:t>
      </w:r>
      <w:r w:rsidRPr="0046754E">
        <w:rPr>
          <w:rFonts w:hint="cs"/>
          <w:sz w:val="18"/>
          <w:szCs w:val="18"/>
          <w:rtl/>
        </w:rPr>
        <w:t xml:space="preserve"> כתב סברה להקל - הוי מיעוטו שאינו מקפיד עליו, ואע"</w:t>
      </w:r>
      <w:r>
        <w:rPr>
          <w:rFonts w:hint="cs"/>
          <w:sz w:val="18"/>
          <w:szCs w:val="18"/>
          <w:rtl/>
        </w:rPr>
        <w:t xml:space="preserve">פ ששאר נשים מקפידות על כך, </w:t>
      </w:r>
      <w:r w:rsidRPr="0046754E">
        <w:rPr>
          <w:rFonts w:hint="cs"/>
          <w:sz w:val="18"/>
          <w:szCs w:val="18"/>
          <w:rtl/>
        </w:rPr>
        <w:t xml:space="preserve">יש לומר שאם היו חולות כאשה זו אף הן לא היו מקפידות בכך. קרי, ההקפדה לא נמדדת לפי דרך העולם, אלא לפי המצב העכשווי, וכיוון שכעת היא רוצה בכך ונוח לה בחציצה זו, אינה חציצה. אמנם, </w:t>
      </w:r>
      <w:r w:rsidRPr="0046754E">
        <w:rPr>
          <w:rFonts w:hint="cs"/>
          <w:b/>
          <w:bCs/>
          <w:sz w:val="18"/>
          <w:szCs w:val="18"/>
          <w:rtl/>
        </w:rPr>
        <w:t>הסד"ט</w:t>
      </w:r>
      <w:r w:rsidRPr="0046754E">
        <w:rPr>
          <w:rFonts w:hint="cs"/>
          <w:sz w:val="18"/>
          <w:szCs w:val="18"/>
          <w:rtl/>
        </w:rPr>
        <w:t xml:space="preserve"> כתב ש</w:t>
      </w:r>
      <w:r>
        <w:rPr>
          <w:rFonts w:hint="cs"/>
          <w:sz w:val="18"/>
          <w:szCs w:val="18"/>
          <w:rtl/>
        </w:rPr>
        <w:t>זו</w:t>
      </w:r>
      <w:r w:rsidRPr="0046754E">
        <w:rPr>
          <w:rFonts w:hint="cs"/>
          <w:sz w:val="18"/>
          <w:szCs w:val="18"/>
          <w:rtl/>
        </w:rPr>
        <w:t xml:space="preserve"> סברה קלושה, ואם כן אף ברטייה זמנית יש לומר שאינה חוצצת כיוון שגם שאר נשים אם היה להן פצע לא היו מקפידות על כך. ואמנם, </w:t>
      </w:r>
      <w:r w:rsidRPr="0046754E">
        <w:rPr>
          <w:rFonts w:hint="cs"/>
          <w:b/>
          <w:bCs/>
          <w:sz w:val="18"/>
          <w:szCs w:val="18"/>
          <w:rtl/>
        </w:rPr>
        <w:t>טה"ב</w:t>
      </w:r>
      <w:r w:rsidRPr="0046754E">
        <w:rPr>
          <w:rFonts w:hint="cs"/>
          <w:sz w:val="18"/>
          <w:szCs w:val="18"/>
          <w:rtl/>
        </w:rPr>
        <w:t xml:space="preserve"> כתב בשם כמה מגדולי הפוסקים, כגון </w:t>
      </w:r>
      <w:r w:rsidRPr="0046754E">
        <w:rPr>
          <w:rFonts w:hint="cs"/>
          <w:b/>
          <w:bCs/>
          <w:sz w:val="18"/>
          <w:szCs w:val="18"/>
          <w:rtl/>
        </w:rPr>
        <w:t>הציץ אליעזר</w:t>
      </w:r>
      <w:r w:rsidRPr="0046754E">
        <w:rPr>
          <w:rFonts w:hint="cs"/>
          <w:sz w:val="18"/>
          <w:szCs w:val="18"/>
          <w:rtl/>
        </w:rPr>
        <w:t xml:space="preserve">, שיש להקל בכל עניין. ולדינא פסק </w:t>
      </w:r>
      <w:r w:rsidRPr="0046754E">
        <w:rPr>
          <w:rFonts w:hint="cs"/>
          <w:b/>
          <w:bCs/>
          <w:sz w:val="18"/>
          <w:szCs w:val="18"/>
          <w:rtl/>
        </w:rPr>
        <w:t>טה"ב</w:t>
      </w:r>
      <w:r w:rsidRPr="0046754E">
        <w:rPr>
          <w:rFonts w:hint="cs"/>
          <w:sz w:val="18"/>
          <w:szCs w:val="18"/>
          <w:rtl/>
        </w:rPr>
        <w:t xml:space="preserve"> בפנים כדברי </w:t>
      </w:r>
      <w:r w:rsidRPr="0046754E">
        <w:rPr>
          <w:rFonts w:hint="cs"/>
          <w:b/>
          <w:bCs/>
          <w:sz w:val="18"/>
          <w:szCs w:val="18"/>
          <w:rtl/>
        </w:rPr>
        <w:t>שו"ת הר צבי</w:t>
      </w:r>
      <w:r w:rsidRPr="0046754E">
        <w:rPr>
          <w:rFonts w:hint="cs"/>
          <w:sz w:val="18"/>
          <w:szCs w:val="18"/>
          <w:rtl/>
        </w:rPr>
        <w:t xml:space="preserve"> שאם נותרו ימים מועטים עד להסרת הגבס יש לנסות להשפיע על הבעל לדחות את הטבילה. אמנם, מדבריו בהערה נראה שנוטה להקל בכל אופן.</w:t>
      </w:r>
      <w:r>
        <w:rPr>
          <w:rFonts w:hint="cs"/>
          <w:rtl/>
        </w:rPr>
        <w:t xml:space="preserve"> </w:t>
      </w:r>
    </w:p>
  </w:footnote>
  <w:footnote w:id="616">
    <w:p w:rsidR="005953C5" w:rsidRDefault="005953C5" w:rsidP="00620060">
      <w:pPr>
        <w:pStyle w:val="a3"/>
      </w:pPr>
      <w:r w:rsidRPr="00B87663">
        <w:rPr>
          <w:rStyle w:val="a5"/>
          <w:sz w:val="18"/>
          <w:szCs w:val="18"/>
        </w:rPr>
        <w:footnoteRef/>
      </w:r>
      <w:r w:rsidRPr="00B87663">
        <w:rPr>
          <w:sz w:val="18"/>
          <w:szCs w:val="18"/>
          <w:rtl/>
        </w:rPr>
        <w:t xml:space="preserve"> </w:t>
      </w:r>
      <w:r w:rsidRPr="00B87663">
        <w:rPr>
          <w:rFonts w:hint="cs"/>
          <w:sz w:val="18"/>
          <w:szCs w:val="18"/>
          <w:rtl/>
        </w:rPr>
        <w:t xml:space="preserve">דברי </w:t>
      </w:r>
      <w:r w:rsidRPr="00B87663">
        <w:rPr>
          <w:rFonts w:hint="cs"/>
          <w:b/>
          <w:bCs/>
          <w:sz w:val="18"/>
          <w:szCs w:val="18"/>
          <w:rtl/>
        </w:rPr>
        <w:t>הבית יוסף</w:t>
      </w:r>
      <w:r w:rsidRPr="00B87663">
        <w:rPr>
          <w:rFonts w:hint="cs"/>
          <w:sz w:val="18"/>
          <w:szCs w:val="18"/>
          <w:rtl/>
        </w:rPr>
        <w:t xml:space="preserve"> נראים תמוהים, מכיוון שאם המשנה מדברת בחץ שאינו נראה, היא גם לא כשיטת רבי. </w:t>
      </w:r>
      <w:r>
        <w:rPr>
          <w:sz w:val="18"/>
          <w:szCs w:val="18"/>
          <w:rtl/>
        </w:rPr>
        <w:br/>
      </w:r>
      <w:r w:rsidRPr="00B87663">
        <w:rPr>
          <w:rFonts w:hint="cs"/>
          <w:sz w:val="18"/>
          <w:szCs w:val="18"/>
          <w:rtl/>
        </w:rPr>
        <w:t xml:space="preserve">כלומר, רבי אמר רק במתכת שאינו חוצץ אך בשל עץ חוצץ, ואם כן המשנה שאינה מחלקת כך אינה כרבי. </w:t>
      </w:r>
      <w:r w:rsidRPr="00B87663">
        <w:rPr>
          <w:rFonts w:hint="cs"/>
          <w:b/>
          <w:bCs/>
          <w:sz w:val="18"/>
          <w:szCs w:val="18"/>
          <w:rtl/>
        </w:rPr>
        <w:t>החידושי הגהות</w:t>
      </w:r>
      <w:r w:rsidRPr="00B87663">
        <w:rPr>
          <w:rFonts w:hint="cs"/>
          <w:sz w:val="18"/>
          <w:szCs w:val="18"/>
          <w:rtl/>
        </w:rPr>
        <w:t xml:space="preserve"> מתרץ </w:t>
      </w:r>
      <w:r w:rsidRPr="00B87663">
        <w:rPr>
          <w:rFonts w:hint="cs"/>
          <w:b/>
          <w:bCs/>
          <w:sz w:val="18"/>
          <w:szCs w:val="18"/>
          <w:rtl/>
        </w:rPr>
        <w:t>שלבית יוסף</w:t>
      </w:r>
      <w:r w:rsidRPr="00B87663">
        <w:rPr>
          <w:rFonts w:hint="cs"/>
          <w:sz w:val="18"/>
          <w:szCs w:val="18"/>
          <w:rtl/>
        </w:rPr>
        <w:t xml:space="preserve"> היתה גרסה שונה, ולגירסתו החילוק בין מתכת לעץ נאמר רק בשיטת חכמים אך רבי אינו מחלק ובכל עניין אינו חוצץ. מעתה שפיר יש לומר שאם התוספתא איירי באינו נראה, הרי שהמשנה נאמרה אליבא דרבי בלבד.</w:t>
      </w:r>
    </w:p>
  </w:footnote>
  <w:footnote w:id="617">
    <w:p w:rsidR="005953C5" w:rsidRDefault="005953C5" w:rsidP="00620060">
      <w:pPr>
        <w:pStyle w:val="a3"/>
      </w:pPr>
      <w:r w:rsidRPr="00CF7F0B">
        <w:rPr>
          <w:rStyle w:val="a5"/>
          <w:sz w:val="18"/>
          <w:szCs w:val="18"/>
        </w:rPr>
        <w:footnoteRef/>
      </w:r>
      <w:r w:rsidRPr="00CF7F0B">
        <w:rPr>
          <w:sz w:val="18"/>
          <w:szCs w:val="18"/>
          <w:rtl/>
        </w:rPr>
        <w:t xml:space="preserve"> </w:t>
      </w:r>
      <w:r w:rsidRPr="00CF7F0B">
        <w:rPr>
          <w:rFonts w:hint="cs"/>
          <w:b/>
          <w:bCs/>
          <w:sz w:val="18"/>
          <w:szCs w:val="18"/>
          <w:rtl/>
        </w:rPr>
        <w:t>רמב"ם</w:t>
      </w:r>
      <w:r w:rsidRPr="00CF7F0B">
        <w:rPr>
          <w:rFonts w:hint="cs"/>
          <w:sz w:val="18"/>
          <w:szCs w:val="18"/>
          <w:rtl/>
        </w:rPr>
        <w:t xml:space="preserve"> </w:t>
      </w:r>
      <w:r w:rsidRPr="00CF7F0B">
        <w:rPr>
          <w:sz w:val="18"/>
          <w:szCs w:val="18"/>
          <w:rtl/>
        </w:rPr>
        <w:t>–</w:t>
      </w:r>
      <w:r w:rsidRPr="00CF7F0B">
        <w:rPr>
          <w:rFonts w:hint="cs"/>
          <w:sz w:val="18"/>
          <w:szCs w:val="18"/>
          <w:rtl/>
        </w:rPr>
        <w:t xml:space="preserve"> העתיק את לשון המשנה בלבד.</w:t>
      </w:r>
      <w:r w:rsidRPr="00CF7F0B">
        <w:rPr>
          <w:rFonts w:hint="cs"/>
          <w:sz w:val="18"/>
          <w:szCs w:val="18"/>
          <w:rtl/>
        </w:rPr>
        <w:br/>
      </w:r>
      <w:r w:rsidRPr="00CF7F0B">
        <w:rPr>
          <w:rFonts w:hint="cs"/>
          <w:b/>
          <w:bCs/>
          <w:sz w:val="18"/>
          <w:szCs w:val="18"/>
          <w:rtl/>
        </w:rPr>
        <w:t>בית יוסף</w:t>
      </w:r>
      <w:r w:rsidRPr="00CF7F0B">
        <w:rPr>
          <w:rFonts w:hint="cs"/>
          <w:sz w:val="18"/>
          <w:szCs w:val="18"/>
          <w:rtl/>
        </w:rPr>
        <w:t xml:space="preserve"> </w:t>
      </w:r>
      <w:r w:rsidRPr="00CF7F0B">
        <w:rPr>
          <w:sz w:val="18"/>
          <w:szCs w:val="18"/>
          <w:rtl/>
        </w:rPr>
        <w:t>–</w:t>
      </w:r>
      <w:r w:rsidRPr="00CF7F0B">
        <w:rPr>
          <w:rFonts w:hint="cs"/>
          <w:sz w:val="18"/>
          <w:szCs w:val="18"/>
          <w:rtl/>
        </w:rPr>
        <w:t xml:space="preserve"> משמע שהרמב"ם פירש בתוספתא שאינו נראה, ואע"פ שיוצא לפי"ז דמתניתין כשיטת רבי בלבד היא שנויה. </w:t>
      </w:r>
      <w:r w:rsidRPr="00615D50">
        <w:rPr>
          <w:rFonts w:hint="cs"/>
          <w:sz w:val="18"/>
          <w:szCs w:val="18"/>
          <w:rtl/>
        </w:rPr>
        <w:t xml:space="preserve">אמנם, </w:t>
      </w:r>
      <w:r w:rsidRPr="00615D50">
        <w:rPr>
          <w:rFonts w:hint="cs"/>
          <w:b/>
          <w:bCs/>
          <w:sz w:val="18"/>
          <w:szCs w:val="18"/>
          <w:rtl/>
        </w:rPr>
        <w:t>הש"ך</w:t>
      </w:r>
      <w:r w:rsidRPr="00615D50">
        <w:rPr>
          <w:rFonts w:hint="cs"/>
          <w:sz w:val="18"/>
          <w:szCs w:val="18"/>
          <w:rtl/>
        </w:rPr>
        <w:t xml:space="preserve"> חולק וסובר שגם </w:t>
      </w:r>
      <w:r w:rsidRPr="00615D50">
        <w:rPr>
          <w:rFonts w:hint="cs"/>
          <w:b/>
          <w:bCs/>
          <w:sz w:val="18"/>
          <w:szCs w:val="18"/>
          <w:rtl/>
        </w:rPr>
        <w:t>הרמב"ם</w:t>
      </w:r>
      <w:r w:rsidRPr="00615D50">
        <w:rPr>
          <w:rFonts w:hint="cs"/>
          <w:sz w:val="18"/>
          <w:szCs w:val="18"/>
          <w:rtl/>
        </w:rPr>
        <w:t xml:space="preserve"> מפרש בתוספתא שנראה. </w:t>
      </w:r>
      <w:r w:rsidRPr="00615D50">
        <w:rPr>
          <w:rFonts w:hint="cs"/>
          <w:b/>
          <w:bCs/>
          <w:sz w:val="18"/>
          <w:szCs w:val="18"/>
          <w:rtl/>
        </w:rPr>
        <w:t>הש"ך</w:t>
      </w:r>
      <w:r w:rsidRPr="00615D50">
        <w:rPr>
          <w:rFonts w:hint="cs"/>
          <w:sz w:val="18"/>
          <w:szCs w:val="18"/>
          <w:rtl/>
        </w:rPr>
        <w:t xml:space="preserve"> מקשה על </w:t>
      </w:r>
      <w:r w:rsidRPr="00615D50">
        <w:rPr>
          <w:rFonts w:hint="cs"/>
          <w:b/>
          <w:bCs/>
          <w:sz w:val="18"/>
          <w:szCs w:val="18"/>
          <w:rtl/>
        </w:rPr>
        <w:t>הב"י</w:t>
      </w:r>
      <w:r w:rsidRPr="00615D50">
        <w:rPr>
          <w:rFonts w:hint="cs"/>
          <w:sz w:val="18"/>
          <w:szCs w:val="18"/>
          <w:rtl/>
        </w:rPr>
        <w:t xml:space="preserve"> </w:t>
      </w:r>
      <w:r w:rsidRPr="00615D50">
        <w:rPr>
          <w:sz w:val="18"/>
          <w:szCs w:val="18"/>
          <w:rtl/>
        </w:rPr>
        <w:t>–</w:t>
      </w:r>
      <w:r w:rsidRPr="00615D50">
        <w:rPr>
          <w:rFonts w:hint="cs"/>
          <w:sz w:val="18"/>
          <w:szCs w:val="18"/>
          <w:rtl/>
        </w:rPr>
        <w:t xml:space="preserve"> אם התוספתא איירי באינו נראה, היו צריכים </w:t>
      </w:r>
    </w:p>
  </w:footnote>
  <w:footnote w:id="618">
    <w:p w:rsidR="005953C5" w:rsidRDefault="005953C5" w:rsidP="00620060">
      <w:pPr>
        <w:pStyle w:val="a3"/>
      </w:pPr>
      <w:r w:rsidRPr="005B35AA">
        <w:rPr>
          <w:rStyle w:val="a5"/>
          <w:sz w:val="18"/>
          <w:szCs w:val="18"/>
        </w:rPr>
        <w:footnoteRef/>
      </w:r>
      <w:r w:rsidRPr="005B35AA">
        <w:rPr>
          <w:sz w:val="18"/>
          <w:szCs w:val="18"/>
          <w:rtl/>
        </w:rPr>
        <w:t xml:space="preserve"> </w:t>
      </w:r>
      <w:r w:rsidRPr="005B35AA">
        <w:rPr>
          <w:rFonts w:hint="cs"/>
          <w:sz w:val="18"/>
          <w:szCs w:val="18"/>
          <w:rtl/>
        </w:rPr>
        <w:t xml:space="preserve">באמת </w:t>
      </w:r>
      <w:r w:rsidRPr="005B35AA">
        <w:rPr>
          <w:rFonts w:hint="cs"/>
          <w:b/>
          <w:bCs/>
          <w:sz w:val="18"/>
          <w:szCs w:val="18"/>
          <w:rtl/>
        </w:rPr>
        <w:t>הש"ך</w:t>
      </w:r>
      <w:r w:rsidRPr="005B35AA">
        <w:rPr>
          <w:rFonts w:hint="cs"/>
          <w:sz w:val="18"/>
          <w:szCs w:val="18"/>
          <w:rtl/>
        </w:rPr>
        <w:t xml:space="preserve"> כתב שיש להחמיר, אך באותו משפט כתב שרק כשהוא שווה לבשר חוצץ אך משוקע אינו חוצץ. </w:t>
      </w:r>
      <w:r>
        <w:rPr>
          <w:sz w:val="18"/>
          <w:szCs w:val="18"/>
          <w:rtl/>
        </w:rPr>
        <w:br/>
      </w:r>
      <w:r w:rsidRPr="005B35AA">
        <w:rPr>
          <w:rFonts w:hint="cs"/>
          <w:sz w:val="18"/>
          <w:szCs w:val="18"/>
          <w:rtl/>
        </w:rPr>
        <w:t xml:space="preserve">וכבר תמה על כך </w:t>
      </w:r>
      <w:r w:rsidRPr="005B35AA">
        <w:rPr>
          <w:rFonts w:hint="cs"/>
          <w:b/>
          <w:bCs/>
          <w:sz w:val="18"/>
          <w:szCs w:val="18"/>
          <w:rtl/>
        </w:rPr>
        <w:t>רע"א</w:t>
      </w:r>
      <w:r w:rsidRPr="005B35AA">
        <w:rPr>
          <w:rFonts w:hint="cs"/>
          <w:sz w:val="18"/>
          <w:szCs w:val="18"/>
          <w:rtl/>
        </w:rPr>
        <w:t xml:space="preserve"> שדברי </w:t>
      </w:r>
      <w:r w:rsidRPr="005B35AA">
        <w:rPr>
          <w:rFonts w:hint="cs"/>
          <w:b/>
          <w:bCs/>
          <w:sz w:val="18"/>
          <w:szCs w:val="18"/>
          <w:rtl/>
        </w:rPr>
        <w:t>הש"ך</w:t>
      </w:r>
      <w:r w:rsidRPr="005B35AA">
        <w:rPr>
          <w:rFonts w:hint="cs"/>
          <w:sz w:val="18"/>
          <w:szCs w:val="18"/>
          <w:rtl/>
        </w:rPr>
        <w:t xml:space="preserve"> תמוהים שהרי אם כוונתו להחמיר כאחד הצדדים של </w:t>
      </w:r>
      <w:r w:rsidRPr="005B35AA">
        <w:rPr>
          <w:rFonts w:hint="cs"/>
          <w:b/>
          <w:bCs/>
          <w:sz w:val="18"/>
          <w:szCs w:val="18"/>
          <w:rtl/>
        </w:rPr>
        <w:t>הב"י</w:t>
      </w:r>
      <w:r w:rsidRPr="005B35AA">
        <w:rPr>
          <w:rFonts w:hint="cs"/>
          <w:sz w:val="18"/>
          <w:szCs w:val="18"/>
          <w:rtl/>
        </w:rPr>
        <w:t xml:space="preserve">, עליו להחמיר אפילו במשוקע! ולכן כתב </w:t>
      </w:r>
      <w:r w:rsidRPr="005B35AA">
        <w:rPr>
          <w:rFonts w:hint="cs"/>
          <w:b/>
          <w:bCs/>
          <w:sz w:val="18"/>
          <w:szCs w:val="18"/>
          <w:rtl/>
        </w:rPr>
        <w:t>הסד"ט</w:t>
      </w:r>
      <w:r w:rsidRPr="005B35AA">
        <w:rPr>
          <w:rFonts w:hint="cs"/>
          <w:sz w:val="18"/>
          <w:szCs w:val="18"/>
          <w:rtl/>
        </w:rPr>
        <w:t xml:space="preserve"> שיש לגרוס בש"ך "ונראה לקולא", וטעמו משום שזהו ספק בדרבנן, </w:t>
      </w:r>
      <w:r w:rsidRPr="005B35AA">
        <w:rPr>
          <w:rFonts w:hint="cs"/>
          <w:b/>
          <w:bCs/>
          <w:sz w:val="18"/>
          <w:szCs w:val="18"/>
          <w:rtl/>
        </w:rPr>
        <w:t>ששבה"ל</w:t>
      </w:r>
      <w:r w:rsidRPr="005B35AA">
        <w:rPr>
          <w:rFonts w:hint="cs"/>
          <w:sz w:val="18"/>
          <w:szCs w:val="18"/>
          <w:rtl/>
        </w:rPr>
        <w:t>.</w:t>
      </w:r>
    </w:p>
  </w:footnote>
  <w:footnote w:id="619">
    <w:p w:rsidR="005953C5" w:rsidRDefault="005953C5" w:rsidP="00620060">
      <w:pPr>
        <w:pStyle w:val="a3"/>
      </w:pPr>
      <w:r w:rsidRPr="00FC3CF6">
        <w:rPr>
          <w:rStyle w:val="a5"/>
          <w:sz w:val="18"/>
          <w:szCs w:val="18"/>
        </w:rPr>
        <w:footnoteRef/>
      </w:r>
      <w:r w:rsidRPr="00FC3CF6">
        <w:rPr>
          <w:sz w:val="18"/>
          <w:szCs w:val="18"/>
          <w:rtl/>
        </w:rPr>
        <w:t xml:space="preserve"> </w:t>
      </w:r>
      <w:r w:rsidRPr="00FC3CF6">
        <w:rPr>
          <w:rFonts w:hint="cs"/>
          <w:sz w:val="18"/>
          <w:szCs w:val="18"/>
          <w:rtl/>
        </w:rPr>
        <w:t>כיוון שזו חציצה שבבית הסתרים יש יותר מקום להקל.</w:t>
      </w:r>
    </w:p>
  </w:footnote>
  <w:footnote w:id="620">
    <w:p w:rsidR="005953C5" w:rsidRDefault="005953C5" w:rsidP="00620060">
      <w:pPr>
        <w:pStyle w:val="a3"/>
        <w:rPr>
          <w:rtl/>
        </w:rPr>
      </w:pPr>
      <w:r w:rsidRPr="00CC320B">
        <w:rPr>
          <w:rStyle w:val="a5"/>
          <w:sz w:val="18"/>
          <w:szCs w:val="18"/>
        </w:rPr>
        <w:footnoteRef/>
      </w:r>
      <w:r w:rsidRPr="00CC320B">
        <w:rPr>
          <w:sz w:val="18"/>
          <w:szCs w:val="18"/>
          <w:rtl/>
        </w:rPr>
        <w:t xml:space="preserve"> </w:t>
      </w:r>
      <w:r w:rsidRPr="00CC320B">
        <w:rPr>
          <w:rFonts w:hint="cs"/>
          <w:b/>
          <w:bCs/>
          <w:sz w:val="18"/>
          <w:szCs w:val="18"/>
          <w:rtl/>
        </w:rPr>
        <w:t>ששבה"ל</w:t>
      </w:r>
      <w:r w:rsidRPr="00CC320B">
        <w:rPr>
          <w:rFonts w:hint="cs"/>
          <w:sz w:val="18"/>
          <w:szCs w:val="18"/>
          <w:rtl/>
        </w:rPr>
        <w:t xml:space="preserve"> </w:t>
      </w:r>
      <w:r w:rsidRPr="00CC320B">
        <w:rPr>
          <w:sz w:val="18"/>
          <w:szCs w:val="18"/>
          <w:rtl/>
        </w:rPr>
        <w:t>–</w:t>
      </w:r>
      <w:r w:rsidRPr="00CC320B">
        <w:rPr>
          <w:rFonts w:hint="cs"/>
          <w:sz w:val="18"/>
          <w:szCs w:val="18"/>
          <w:rtl/>
        </w:rPr>
        <w:t xml:space="preserve"> מדוע זיעה אינה חוצצת?</w:t>
      </w:r>
      <w:r w:rsidRPr="00CC320B">
        <w:rPr>
          <w:rFonts w:hint="cs"/>
          <w:sz w:val="18"/>
          <w:szCs w:val="18"/>
          <w:rtl/>
        </w:rPr>
        <w:br/>
      </w:r>
      <w:r w:rsidRPr="00CC320B">
        <w:rPr>
          <w:rFonts w:hint="cs"/>
          <w:b/>
          <w:bCs/>
          <w:sz w:val="18"/>
          <w:szCs w:val="18"/>
          <w:rtl/>
        </w:rPr>
        <w:t>ב"ח</w:t>
      </w:r>
      <w:r w:rsidRPr="00CC320B">
        <w:rPr>
          <w:rFonts w:hint="cs"/>
          <w:sz w:val="18"/>
          <w:szCs w:val="18"/>
          <w:rtl/>
        </w:rPr>
        <w:t xml:space="preserve"> </w:t>
      </w:r>
      <w:r w:rsidRPr="00CC320B">
        <w:rPr>
          <w:sz w:val="18"/>
          <w:szCs w:val="18"/>
          <w:rtl/>
        </w:rPr>
        <w:t>–</w:t>
      </w:r>
      <w:r w:rsidRPr="00CC320B">
        <w:rPr>
          <w:rFonts w:hint="cs"/>
          <w:sz w:val="18"/>
          <w:szCs w:val="18"/>
          <w:rtl/>
        </w:rPr>
        <w:t xml:space="preserve"> הזיעה לחה והמים נכנסים היטב.</w:t>
      </w:r>
      <w:r w:rsidRPr="00CC320B">
        <w:rPr>
          <w:sz w:val="18"/>
          <w:szCs w:val="18"/>
          <w:rtl/>
        </w:rPr>
        <w:br/>
      </w:r>
      <w:r w:rsidRPr="00CC320B">
        <w:rPr>
          <w:rFonts w:hint="cs"/>
          <w:sz w:val="18"/>
          <w:szCs w:val="18"/>
          <w:rtl/>
        </w:rPr>
        <w:t xml:space="preserve">אמנם, ניתן לומר </w:t>
      </w:r>
      <w:r>
        <w:rPr>
          <w:rFonts w:hint="cs"/>
          <w:sz w:val="18"/>
          <w:szCs w:val="18"/>
          <w:rtl/>
        </w:rPr>
        <w:t>טעם שונה, ש</w:t>
      </w:r>
      <w:r w:rsidRPr="00CC320B">
        <w:rPr>
          <w:rFonts w:hint="cs"/>
          <w:sz w:val="18"/>
          <w:szCs w:val="18"/>
          <w:rtl/>
        </w:rPr>
        <w:t>אנשים אינם מקפידים על כך ורק אם נגלד מקפידים.</w:t>
      </w:r>
      <w:r w:rsidRPr="00CC320B">
        <w:rPr>
          <w:sz w:val="18"/>
          <w:szCs w:val="18"/>
          <w:rtl/>
        </w:rPr>
        <w:br/>
      </w:r>
      <w:r w:rsidRPr="00CC320B">
        <w:rPr>
          <w:rFonts w:hint="cs"/>
          <w:sz w:val="18"/>
          <w:szCs w:val="18"/>
          <w:rtl/>
        </w:rPr>
        <w:t xml:space="preserve">ולפי"ז יש מקום להחמיר בזמנינו שאנשים מקפידים על זיעה למרות שלא </w:t>
      </w:r>
      <w:r>
        <w:rPr>
          <w:rFonts w:hint="cs"/>
          <w:sz w:val="18"/>
          <w:szCs w:val="18"/>
          <w:rtl/>
        </w:rPr>
        <w:t>הג</w:t>
      </w:r>
      <w:r w:rsidRPr="00CC320B">
        <w:rPr>
          <w:rFonts w:hint="cs"/>
          <w:sz w:val="18"/>
          <w:szCs w:val="18"/>
          <w:rtl/>
        </w:rPr>
        <w:t>ל</w:t>
      </w:r>
      <w:r>
        <w:rPr>
          <w:rFonts w:hint="cs"/>
          <w:sz w:val="18"/>
          <w:szCs w:val="18"/>
          <w:rtl/>
        </w:rPr>
        <w:t>י</w:t>
      </w:r>
      <w:r w:rsidRPr="00CC320B">
        <w:rPr>
          <w:rFonts w:hint="cs"/>
          <w:sz w:val="18"/>
          <w:szCs w:val="18"/>
          <w:rtl/>
        </w:rPr>
        <w:t>דה.</w:t>
      </w:r>
    </w:p>
  </w:footnote>
  <w:footnote w:id="621">
    <w:p w:rsidR="005953C5" w:rsidRDefault="005953C5" w:rsidP="00620060">
      <w:pPr>
        <w:pStyle w:val="a3"/>
      </w:pPr>
      <w:r w:rsidRPr="00366570">
        <w:rPr>
          <w:rStyle w:val="a5"/>
          <w:sz w:val="18"/>
          <w:szCs w:val="18"/>
        </w:rPr>
        <w:footnoteRef/>
      </w:r>
      <w:r w:rsidRPr="00366570">
        <w:rPr>
          <w:sz w:val="18"/>
          <w:szCs w:val="18"/>
          <w:rtl/>
        </w:rPr>
        <w:t xml:space="preserve"> </w:t>
      </w:r>
      <w:r w:rsidRPr="00366570">
        <w:rPr>
          <w:rFonts w:hint="cs"/>
          <w:b/>
          <w:bCs/>
          <w:sz w:val="18"/>
          <w:szCs w:val="18"/>
          <w:rtl/>
        </w:rPr>
        <w:t>ששבה"ל</w:t>
      </w:r>
      <w:r w:rsidRPr="00366570">
        <w:rPr>
          <w:rFonts w:hint="cs"/>
          <w:sz w:val="18"/>
          <w:szCs w:val="18"/>
          <w:rtl/>
        </w:rPr>
        <w:t xml:space="preserve"> </w:t>
      </w:r>
      <w:r w:rsidRPr="00366570">
        <w:rPr>
          <w:sz w:val="18"/>
          <w:szCs w:val="18"/>
          <w:rtl/>
        </w:rPr>
        <w:t>–</w:t>
      </w:r>
      <w:r w:rsidRPr="00366570">
        <w:rPr>
          <w:rFonts w:hint="cs"/>
          <w:sz w:val="18"/>
          <w:szCs w:val="18"/>
          <w:rtl/>
        </w:rPr>
        <w:t xml:space="preserve"> אפשר שלא נכלל בחומרה זו טיט לח שהפרה שותה ממנו</w:t>
      </w:r>
      <w:r>
        <w:rPr>
          <w:rFonts w:hint="cs"/>
          <w:sz w:val="18"/>
          <w:szCs w:val="18"/>
          <w:rtl/>
        </w:rPr>
        <w:t>,</w:t>
      </w:r>
      <w:r w:rsidRPr="00366570">
        <w:rPr>
          <w:rFonts w:hint="cs"/>
          <w:sz w:val="18"/>
          <w:szCs w:val="18"/>
          <w:rtl/>
        </w:rPr>
        <w:t xml:space="preserve"> </w:t>
      </w:r>
      <w:r>
        <w:rPr>
          <w:rFonts w:hint="cs"/>
          <w:sz w:val="18"/>
          <w:szCs w:val="18"/>
          <w:rtl/>
        </w:rPr>
        <w:t xml:space="preserve">שהוא </w:t>
      </w:r>
      <w:r w:rsidRPr="00366570">
        <w:rPr>
          <w:rFonts w:hint="cs"/>
          <w:sz w:val="18"/>
          <w:szCs w:val="18"/>
          <w:rtl/>
        </w:rPr>
        <w:t>מפורש להיתר בסימן רא'.</w:t>
      </w:r>
    </w:p>
  </w:footnote>
  <w:footnote w:id="622">
    <w:p w:rsidR="005953C5" w:rsidRDefault="005953C5" w:rsidP="00620060">
      <w:pPr>
        <w:pStyle w:val="a3"/>
        <w:rPr>
          <w:rtl/>
        </w:rPr>
      </w:pPr>
      <w:r w:rsidRPr="005810EE">
        <w:rPr>
          <w:rStyle w:val="a5"/>
          <w:sz w:val="18"/>
          <w:szCs w:val="18"/>
        </w:rPr>
        <w:footnoteRef/>
      </w:r>
      <w:r w:rsidRPr="005810EE">
        <w:rPr>
          <w:sz w:val="18"/>
          <w:szCs w:val="18"/>
          <w:rtl/>
        </w:rPr>
        <w:t xml:space="preserve"> </w:t>
      </w:r>
      <w:r w:rsidRPr="005810EE">
        <w:rPr>
          <w:rFonts w:hint="cs"/>
          <w:sz w:val="18"/>
          <w:szCs w:val="18"/>
          <w:rtl/>
        </w:rPr>
        <w:t xml:space="preserve">אמנם, </w:t>
      </w:r>
      <w:r w:rsidRPr="005810EE">
        <w:rPr>
          <w:rFonts w:hint="cs"/>
          <w:b/>
          <w:bCs/>
          <w:sz w:val="18"/>
          <w:szCs w:val="18"/>
          <w:rtl/>
        </w:rPr>
        <w:t>הבית יוסף</w:t>
      </w:r>
      <w:r w:rsidRPr="005810EE">
        <w:rPr>
          <w:rFonts w:hint="cs"/>
          <w:sz w:val="18"/>
          <w:szCs w:val="18"/>
          <w:rtl/>
        </w:rPr>
        <w:t xml:space="preserve"> מביא בשם </w:t>
      </w:r>
      <w:r w:rsidRPr="005810EE">
        <w:rPr>
          <w:rFonts w:hint="cs"/>
          <w:b/>
          <w:bCs/>
          <w:sz w:val="18"/>
          <w:szCs w:val="18"/>
          <w:rtl/>
        </w:rPr>
        <w:t>הסמ"ג</w:t>
      </w:r>
      <w:r w:rsidRPr="005810EE">
        <w:rPr>
          <w:rFonts w:hint="cs"/>
          <w:sz w:val="18"/>
          <w:szCs w:val="18"/>
          <w:rtl/>
        </w:rPr>
        <w:t xml:space="preserve"> </w:t>
      </w:r>
      <w:r>
        <w:rPr>
          <w:rFonts w:hint="cs"/>
          <w:sz w:val="18"/>
          <w:szCs w:val="18"/>
          <w:rtl/>
        </w:rPr>
        <w:t>קושייה</w:t>
      </w:r>
      <w:r w:rsidRPr="005810EE">
        <w:rPr>
          <w:rFonts w:hint="cs"/>
          <w:sz w:val="18"/>
          <w:szCs w:val="18"/>
          <w:rtl/>
        </w:rPr>
        <w:t xml:space="preserve"> על דברי </w:t>
      </w:r>
      <w:r w:rsidRPr="005810EE">
        <w:rPr>
          <w:rFonts w:hint="cs"/>
          <w:b/>
          <w:bCs/>
          <w:sz w:val="18"/>
          <w:szCs w:val="18"/>
          <w:rtl/>
        </w:rPr>
        <w:t>הרמב"ם</w:t>
      </w:r>
      <w:r w:rsidRPr="005810EE">
        <w:rPr>
          <w:rFonts w:hint="cs"/>
          <w:sz w:val="18"/>
          <w:szCs w:val="18"/>
          <w:rtl/>
        </w:rPr>
        <w:t xml:space="preserve"> האלו, משום שמפורש בגמרא בזבחים שדם לח אינו חוצץ. ברם, </w:t>
      </w:r>
      <w:r w:rsidRPr="005810EE">
        <w:rPr>
          <w:rFonts w:hint="cs"/>
          <w:b/>
          <w:bCs/>
          <w:sz w:val="18"/>
          <w:szCs w:val="18"/>
          <w:rtl/>
        </w:rPr>
        <w:t>הכס"מ</w:t>
      </w:r>
      <w:r w:rsidRPr="005810EE">
        <w:rPr>
          <w:rFonts w:hint="cs"/>
          <w:sz w:val="18"/>
          <w:szCs w:val="18"/>
          <w:rtl/>
        </w:rPr>
        <w:t xml:space="preserve"> כתב ליישב שדם הנסרך חוצץ טפי ולכן אפילו לח חוצץ. </w:t>
      </w:r>
    </w:p>
  </w:footnote>
  <w:footnote w:id="623">
    <w:p w:rsidR="005953C5" w:rsidRDefault="005953C5" w:rsidP="00620060">
      <w:pPr>
        <w:pStyle w:val="a3"/>
      </w:pPr>
      <w:r w:rsidRPr="001723E0">
        <w:rPr>
          <w:rStyle w:val="a5"/>
          <w:sz w:val="18"/>
          <w:szCs w:val="18"/>
        </w:rPr>
        <w:footnoteRef/>
      </w:r>
      <w:r w:rsidRPr="001723E0">
        <w:rPr>
          <w:sz w:val="18"/>
          <w:szCs w:val="18"/>
          <w:rtl/>
        </w:rPr>
        <w:t xml:space="preserve"> </w:t>
      </w:r>
      <w:r>
        <w:rPr>
          <w:rFonts w:hint="cs"/>
          <w:sz w:val="18"/>
          <w:szCs w:val="18"/>
          <w:rtl/>
        </w:rPr>
        <w:t>גדר</w:t>
      </w:r>
      <w:r w:rsidRPr="001723E0">
        <w:rPr>
          <w:rFonts w:hint="cs"/>
          <w:sz w:val="18"/>
          <w:szCs w:val="18"/>
          <w:rtl/>
        </w:rPr>
        <w:t xml:space="preserve"> ממשות </w:t>
      </w:r>
      <w:r w:rsidRPr="001723E0">
        <w:rPr>
          <w:sz w:val="18"/>
          <w:szCs w:val="18"/>
          <w:rtl/>
        </w:rPr>
        <w:t>–</w:t>
      </w:r>
      <w:r w:rsidRPr="001723E0">
        <w:rPr>
          <w:rFonts w:hint="cs"/>
          <w:sz w:val="18"/>
          <w:szCs w:val="18"/>
          <w:rtl/>
        </w:rPr>
        <w:t xml:space="preserve"> אם יש הבדל בעובי בין הבשר ל</w:t>
      </w:r>
      <w:r>
        <w:rPr>
          <w:rFonts w:hint="cs"/>
          <w:sz w:val="18"/>
          <w:szCs w:val="18"/>
          <w:rtl/>
        </w:rPr>
        <w:t>צבע</w:t>
      </w:r>
      <w:r w:rsidRPr="001723E0">
        <w:rPr>
          <w:rFonts w:hint="cs"/>
          <w:sz w:val="18"/>
          <w:szCs w:val="18"/>
          <w:rtl/>
        </w:rPr>
        <w:t>, אך אם בהעברת היד אין מרגי</w:t>
      </w:r>
      <w:r>
        <w:rPr>
          <w:rFonts w:hint="cs"/>
          <w:sz w:val="18"/>
          <w:szCs w:val="18"/>
          <w:rtl/>
        </w:rPr>
        <w:t xml:space="preserve">שים בהבדל אין בו ממש </w:t>
      </w:r>
      <w:r w:rsidRPr="00D16CB4">
        <w:rPr>
          <w:rFonts w:hint="cs"/>
          <w:sz w:val="16"/>
          <w:szCs w:val="16"/>
          <w:rtl/>
        </w:rPr>
        <w:t>(הרב שאול)</w:t>
      </w:r>
      <w:r>
        <w:rPr>
          <w:rFonts w:hint="cs"/>
          <w:rtl/>
        </w:rPr>
        <w:t>.</w:t>
      </w:r>
    </w:p>
  </w:footnote>
  <w:footnote w:id="624">
    <w:p w:rsidR="005953C5" w:rsidRDefault="005953C5" w:rsidP="00620060">
      <w:pPr>
        <w:pStyle w:val="a3"/>
      </w:pPr>
      <w:r w:rsidRPr="00F416CE">
        <w:rPr>
          <w:rStyle w:val="a5"/>
          <w:sz w:val="18"/>
          <w:szCs w:val="18"/>
        </w:rPr>
        <w:footnoteRef/>
      </w:r>
      <w:r w:rsidRPr="00F416CE">
        <w:rPr>
          <w:sz w:val="18"/>
          <w:szCs w:val="18"/>
          <w:rtl/>
        </w:rPr>
        <w:t xml:space="preserve"> </w:t>
      </w:r>
      <w:r w:rsidRPr="00F416CE">
        <w:rPr>
          <w:rFonts w:hint="cs"/>
          <w:b/>
          <w:bCs/>
          <w:sz w:val="18"/>
          <w:szCs w:val="18"/>
          <w:rtl/>
        </w:rPr>
        <w:t>ששבה"ל</w:t>
      </w:r>
      <w:r w:rsidRPr="00F416CE">
        <w:rPr>
          <w:rFonts w:hint="cs"/>
          <w:sz w:val="18"/>
          <w:szCs w:val="18"/>
          <w:rtl/>
        </w:rPr>
        <w:t xml:space="preserve"> מתלבט מהו הטעם העיקרי להיתר, האם הטעם שאין בצבע ממש או הטעם שהצבע לנוי. ונפק"מ למשל במקום שאין הצבע לנוי, כגון שהתלכלכו ידיה מחומר ניקיון וכדומה. לטעם שאין בצבע ממש אינו חוצץ, אך לטעם שהצבע נוי הוי חצ</w:t>
      </w:r>
      <w:r>
        <w:rPr>
          <w:rFonts w:hint="cs"/>
          <w:sz w:val="18"/>
          <w:szCs w:val="18"/>
          <w:rtl/>
        </w:rPr>
        <w:t>י</w:t>
      </w:r>
      <w:r w:rsidRPr="00F416CE">
        <w:rPr>
          <w:rFonts w:hint="cs"/>
          <w:sz w:val="18"/>
          <w:szCs w:val="18"/>
          <w:rtl/>
        </w:rPr>
        <w:t>צה כיוון שכאן אינו נוי. ולמעשה יש להקל, דהיינו להסיר את ממשות הצבע בלבד, ומה שנשאר הוי מראה בלבד.</w:t>
      </w:r>
    </w:p>
  </w:footnote>
  <w:footnote w:id="625">
    <w:p w:rsidR="005953C5" w:rsidRDefault="005953C5" w:rsidP="00620060">
      <w:pPr>
        <w:pStyle w:val="a3"/>
      </w:pPr>
      <w:r w:rsidRPr="000553E4">
        <w:rPr>
          <w:rStyle w:val="a5"/>
          <w:sz w:val="18"/>
          <w:szCs w:val="18"/>
        </w:rPr>
        <w:footnoteRef/>
      </w:r>
      <w:r w:rsidRPr="000553E4">
        <w:rPr>
          <w:sz w:val="18"/>
          <w:szCs w:val="18"/>
          <w:rtl/>
        </w:rPr>
        <w:t xml:space="preserve"> </w:t>
      </w:r>
      <w:r w:rsidRPr="000553E4">
        <w:rPr>
          <w:rFonts w:hint="cs"/>
          <w:b/>
          <w:bCs/>
          <w:sz w:val="18"/>
          <w:szCs w:val="18"/>
          <w:rtl/>
        </w:rPr>
        <w:t>ששבה"ל</w:t>
      </w:r>
      <w:r w:rsidRPr="000553E4">
        <w:rPr>
          <w:rFonts w:hint="cs"/>
          <w:sz w:val="18"/>
          <w:szCs w:val="18"/>
          <w:rtl/>
        </w:rPr>
        <w:t xml:space="preserve"> </w:t>
      </w:r>
      <w:r w:rsidRPr="000553E4">
        <w:rPr>
          <w:sz w:val="18"/>
          <w:szCs w:val="18"/>
          <w:rtl/>
        </w:rPr>
        <w:t>–</w:t>
      </w:r>
      <w:r w:rsidRPr="000553E4">
        <w:rPr>
          <w:rFonts w:hint="cs"/>
          <w:sz w:val="18"/>
          <w:szCs w:val="18"/>
          <w:rtl/>
        </w:rPr>
        <w:t xml:space="preserve"> דברי </w:t>
      </w:r>
      <w:r w:rsidRPr="000553E4">
        <w:rPr>
          <w:rFonts w:hint="cs"/>
          <w:b/>
          <w:bCs/>
          <w:sz w:val="18"/>
          <w:szCs w:val="18"/>
          <w:rtl/>
        </w:rPr>
        <w:t>הט"ז</w:t>
      </w:r>
      <w:r w:rsidRPr="000553E4">
        <w:rPr>
          <w:rFonts w:hint="cs"/>
          <w:sz w:val="18"/>
          <w:szCs w:val="18"/>
          <w:rtl/>
        </w:rPr>
        <w:t xml:space="preserve"> אינם ברורים די הצורך. בתחילה כתב להקל בפחם משום שאינה מקפידה, אך בסוף דבריו כתב שאינו דומה לדיו שחוצץ משום שבדיו יש ממשות וכאן אין ממשות. משמע </w:t>
      </w:r>
      <w:r w:rsidRPr="000553E4">
        <w:rPr>
          <w:rFonts w:hint="cs"/>
          <w:b/>
          <w:bCs/>
          <w:sz w:val="18"/>
          <w:szCs w:val="18"/>
          <w:rtl/>
        </w:rPr>
        <w:t>מהט"ז</w:t>
      </w:r>
      <w:r w:rsidRPr="000553E4">
        <w:rPr>
          <w:rFonts w:hint="cs"/>
          <w:sz w:val="18"/>
          <w:szCs w:val="18"/>
          <w:rtl/>
        </w:rPr>
        <w:t xml:space="preserve"> שכל טעם אינו עומד בפני עצמו, וצריך שלא תקפיד וגם לא יהיה בצבע ממש כדי להתיר. אך לדינא העלה דלא </w:t>
      </w:r>
      <w:r w:rsidRPr="000553E4">
        <w:rPr>
          <w:rFonts w:hint="cs"/>
          <w:b/>
          <w:bCs/>
          <w:sz w:val="18"/>
          <w:szCs w:val="18"/>
          <w:rtl/>
        </w:rPr>
        <w:t>כט"ז</w:t>
      </w:r>
      <w:r w:rsidRPr="000553E4">
        <w:rPr>
          <w:rFonts w:hint="cs"/>
          <w:sz w:val="18"/>
          <w:szCs w:val="18"/>
          <w:rtl/>
        </w:rPr>
        <w:t xml:space="preserve">, אלא יש להקל תמיד כאשר צבע הוא מראה בלבד ואין בו ממש אע"פ שהיא מקפידה. וכן הביא את דברי </w:t>
      </w:r>
      <w:r w:rsidRPr="000553E4">
        <w:rPr>
          <w:rFonts w:hint="cs"/>
          <w:b/>
          <w:bCs/>
          <w:sz w:val="18"/>
          <w:szCs w:val="18"/>
          <w:rtl/>
        </w:rPr>
        <w:t>הסד"ט</w:t>
      </w:r>
      <w:r w:rsidRPr="000553E4">
        <w:rPr>
          <w:rFonts w:hint="cs"/>
          <w:sz w:val="18"/>
          <w:szCs w:val="18"/>
          <w:rtl/>
        </w:rPr>
        <w:t xml:space="preserve"> שכתב שהעיקר תלוי האם מקפידה או אינה מקפידה, ולפי"ז יש להקל גם כשיש ממשות אם אינה מקפידה.</w:t>
      </w:r>
    </w:p>
  </w:footnote>
  <w:footnote w:id="626">
    <w:p w:rsidR="005953C5" w:rsidRDefault="005953C5" w:rsidP="00620060">
      <w:pPr>
        <w:pStyle w:val="a3"/>
        <w:rPr>
          <w:rtl/>
        </w:rPr>
      </w:pPr>
      <w:r w:rsidRPr="0073301A">
        <w:rPr>
          <w:rStyle w:val="a5"/>
          <w:sz w:val="18"/>
          <w:szCs w:val="18"/>
        </w:rPr>
        <w:footnoteRef/>
      </w:r>
      <w:r w:rsidRPr="0073301A">
        <w:rPr>
          <w:sz w:val="18"/>
          <w:szCs w:val="18"/>
          <w:rtl/>
        </w:rPr>
        <w:t xml:space="preserve"> </w:t>
      </w:r>
      <w:r w:rsidRPr="0073301A">
        <w:rPr>
          <w:rFonts w:hint="cs"/>
          <w:sz w:val="18"/>
          <w:szCs w:val="18"/>
          <w:rtl/>
        </w:rPr>
        <w:t xml:space="preserve">כך היא גירסת </w:t>
      </w:r>
      <w:r w:rsidRPr="0073301A">
        <w:rPr>
          <w:rFonts w:hint="cs"/>
          <w:b/>
          <w:bCs/>
          <w:sz w:val="18"/>
          <w:szCs w:val="18"/>
          <w:rtl/>
        </w:rPr>
        <w:t>הבית יוסף</w:t>
      </w:r>
      <w:r w:rsidRPr="0073301A">
        <w:rPr>
          <w:rFonts w:hint="cs"/>
          <w:sz w:val="18"/>
          <w:szCs w:val="18"/>
          <w:rtl/>
        </w:rPr>
        <w:t>, אמנם הגירסה לפנינו היא: "אין חוצצין".</w:t>
      </w:r>
    </w:p>
  </w:footnote>
  <w:footnote w:id="627">
    <w:p w:rsidR="005953C5" w:rsidRDefault="005953C5" w:rsidP="00620060">
      <w:pPr>
        <w:pStyle w:val="a3"/>
        <w:rPr>
          <w:rtl/>
        </w:rPr>
      </w:pPr>
      <w:r w:rsidRPr="00897EBC">
        <w:rPr>
          <w:rStyle w:val="a5"/>
          <w:sz w:val="18"/>
          <w:szCs w:val="18"/>
        </w:rPr>
        <w:footnoteRef/>
      </w:r>
      <w:r w:rsidRPr="00897EBC">
        <w:rPr>
          <w:sz w:val="18"/>
          <w:szCs w:val="18"/>
          <w:rtl/>
        </w:rPr>
        <w:t xml:space="preserve"> </w:t>
      </w:r>
      <w:r w:rsidRPr="00897EBC">
        <w:rPr>
          <w:rFonts w:hint="cs"/>
          <w:sz w:val="18"/>
          <w:szCs w:val="18"/>
          <w:rtl/>
        </w:rPr>
        <w:t xml:space="preserve">משמע </w:t>
      </w:r>
      <w:r w:rsidRPr="00897EBC">
        <w:rPr>
          <w:rFonts w:hint="cs"/>
          <w:b/>
          <w:bCs/>
          <w:sz w:val="18"/>
          <w:szCs w:val="18"/>
          <w:rtl/>
        </w:rPr>
        <w:t>שהמחבר</w:t>
      </w:r>
      <w:r w:rsidRPr="00897EBC">
        <w:rPr>
          <w:rFonts w:hint="cs"/>
          <w:sz w:val="18"/>
          <w:szCs w:val="18"/>
          <w:rtl/>
        </w:rPr>
        <w:t xml:space="preserve"> לא החמיר בדין זה, וכ"פ </w:t>
      </w:r>
      <w:r w:rsidRPr="00897EBC">
        <w:rPr>
          <w:rFonts w:hint="cs"/>
          <w:b/>
          <w:bCs/>
          <w:sz w:val="18"/>
          <w:szCs w:val="18"/>
          <w:rtl/>
        </w:rPr>
        <w:t>טה"ב</w:t>
      </w:r>
      <w:r w:rsidRPr="00897EBC">
        <w:rPr>
          <w:rFonts w:hint="cs"/>
          <w:sz w:val="18"/>
          <w:szCs w:val="18"/>
          <w:rtl/>
        </w:rPr>
        <w:t xml:space="preserve"> להדיא.</w:t>
      </w:r>
    </w:p>
  </w:footnote>
  <w:footnote w:id="628">
    <w:p w:rsidR="005953C5" w:rsidRDefault="005953C5" w:rsidP="00620060">
      <w:pPr>
        <w:pStyle w:val="a3"/>
        <w:rPr>
          <w:rtl/>
        </w:rPr>
      </w:pPr>
      <w:r w:rsidRPr="00354A8C">
        <w:rPr>
          <w:rStyle w:val="a5"/>
          <w:sz w:val="18"/>
          <w:szCs w:val="18"/>
        </w:rPr>
        <w:footnoteRef/>
      </w:r>
      <w:r w:rsidRPr="00354A8C">
        <w:rPr>
          <w:sz w:val="18"/>
          <w:szCs w:val="18"/>
          <w:rtl/>
        </w:rPr>
        <w:t xml:space="preserve"> </w:t>
      </w:r>
      <w:r w:rsidRPr="00354A8C">
        <w:rPr>
          <w:rFonts w:hint="cs"/>
          <w:sz w:val="18"/>
          <w:szCs w:val="18"/>
          <w:rtl/>
        </w:rPr>
        <w:t xml:space="preserve">נקודת המחלוקת היא מה הטעם שמחמתו יש ליטול את הציפורניים - </w:t>
      </w:r>
      <w:r w:rsidRPr="00354A8C">
        <w:rPr>
          <w:sz w:val="18"/>
          <w:szCs w:val="18"/>
          <w:rtl/>
        </w:rPr>
        <w:br/>
      </w:r>
      <w:r w:rsidRPr="00354A8C">
        <w:rPr>
          <w:rFonts w:hint="cs"/>
          <w:b/>
          <w:bCs/>
          <w:sz w:val="18"/>
          <w:szCs w:val="18"/>
          <w:rtl/>
        </w:rPr>
        <w:t>רמ"א</w:t>
      </w:r>
      <w:r w:rsidRPr="00354A8C">
        <w:rPr>
          <w:rFonts w:hint="cs"/>
          <w:sz w:val="18"/>
          <w:szCs w:val="18"/>
          <w:rtl/>
        </w:rPr>
        <w:t xml:space="preserve"> </w:t>
      </w:r>
      <w:r w:rsidRPr="00354A8C">
        <w:rPr>
          <w:sz w:val="18"/>
          <w:szCs w:val="18"/>
          <w:rtl/>
        </w:rPr>
        <w:t>–</w:t>
      </w:r>
      <w:r w:rsidRPr="00354A8C">
        <w:rPr>
          <w:rFonts w:hint="cs"/>
          <w:sz w:val="18"/>
          <w:szCs w:val="18"/>
          <w:rtl/>
        </w:rPr>
        <w:t xml:space="preserve"> מסתבר שיש בציפורן לכלוך חוצץ </w:t>
      </w:r>
      <w:r w:rsidRPr="00354A8C">
        <w:rPr>
          <w:rFonts w:hint="cs"/>
          <w:sz w:val="16"/>
          <w:szCs w:val="16"/>
          <w:rtl/>
        </w:rPr>
        <w:t xml:space="preserve">(כ"כ </w:t>
      </w:r>
      <w:r w:rsidRPr="00354A8C">
        <w:rPr>
          <w:rFonts w:hint="cs"/>
          <w:b/>
          <w:bCs/>
          <w:sz w:val="16"/>
          <w:szCs w:val="16"/>
          <w:rtl/>
        </w:rPr>
        <w:t>הט"ז</w:t>
      </w:r>
      <w:r w:rsidRPr="00354A8C">
        <w:rPr>
          <w:rFonts w:hint="cs"/>
          <w:sz w:val="16"/>
          <w:szCs w:val="16"/>
          <w:rtl/>
        </w:rPr>
        <w:t xml:space="preserve"> בשם </w:t>
      </w:r>
      <w:r w:rsidRPr="00354A8C">
        <w:rPr>
          <w:rFonts w:hint="cs"/>
          <w:b/>
          <w:bCs/>
          <w:sz w:val="16"/>
          <w:szCs w:val="16"/>
          <w:rtl/>
        </w:rPr>
        <w:t>הגהש"ד</w:t>
      </w:r>
      <w:r w:rsidRPr="00354A8C">
        <w:rPr>
          <w:rFonts w:hint="cs"/>
          <w:sz w:val="16"/>
          <w:szCs w:val="16"/>
          <w:rtl/>
        </w:rPr>
        <w:t xml:space="preserve"> שהוא מקור דברי </w:t>
      </w:r>
      <w:r w:rsidRPr="00354A8C">
        <w:rPr>
          <w:rFonts w:hint="cs"/>
          <w:b/>
          <w:bCs/>
          <w:sz w:val="16"/>
          <w:szCs w:val="16"/>
          <w:rtl/>
        </w:rPr>
        <w:t>הרמ"א</w:t>
      </w:r>
      <w:r w:rsidRPr="00354A8C">
        <w:rPr>
          <w:rFonts w:hint="cs"/>
          <w:sz w:val="16"/>
          <w:szCs w:val="16"/>
          <w:rtl/>
        </w:rPr>
        <w:t xml:space="preserve"> כאן)</w:t>
      </w:r>
      <w:r w:rsidRPr="00354A8C">
        <w:rPr>
          <w:rFonts w:hint="cs"/>
          <w:sz w:val="18"/>
          <w:szCs w:val="18"/>
          <w:rtl/>
        </w:rPr>
        <w:t>.</w:t>
      </w:r>
      <w:r w:rsidRPr="00354A8C">
        <w:rPr>
          <w:sz w:val="18"/>
          <w:szCs w:val="18"/>
          <w:rtl/>
        </w:rPr>
        <w:br/>
      </w:r>
      <w:r w:rsidRPr="00354A8C">
        <w:rPr>
          <w:rFonts w:hint="cs"/>
          <w:b/>
          <w:bCs/>
          <w:sz w:val="18"/>
          <w:szCs w:val="18"/>
          <w:rtl/>
        </w:rPr>
        <w:t>ב"ח וט"ז</w:t>
      </w:r>
      <w:r w:rsidRPr="00354A8C">
        <w:rPr>
          <w:rFonts w:hint="cs"/>
          <w:sz w:val="18"/>
          <w:szCs w:val="18"/>
          <w:rtl/>
        </w:rPr>
        <w:t xml:space="preserve"> </w:t>
      </w:r>
      <w:r w:rsidRPr="00354A8C">
        <w:rPr>
          <w:sz w:val="18"/>
          <w:szCs w:val="18"/>
          <w:rtl/>
        </w:rPr>
        <w:t>–</w:t>
      </w:r>
      <w:r w:rsidRPr="00354A8C">
        <w:rPr>
          <w:rFonts w:hint="cs"/>
          <w:sz w:val="18"/>
          <w:szCs w:val="18"/>
          <w:rtl/>
        </w:rPr>
        <w:t xml:space="preserve"> לחשוש לראב"ן שגם ציפורן נקייה חוצצת משום שעתידה להיקצץ.</w:t>
      </w:r>
    </w:p>
  </w:footnote>
  <w:footnote w:id="629">
    <w:p w:rsidR="005953C5" w:rsidRDefault="005953C5" w:rsidP="00620060">
      <w:pPr>
        <w:pStyle w:val="a3"/>
        <w:rPr>
          <w:rtl/>
        </w:rPr>
      </w:pPr>
      <w:r w:rsidRPr="00BA2057">
        <w:rPr>
          <w:rStyle w:val="a5"/>
          <w:sz w:val="18"/>
          <w:szCs w:val="18"/>
        </w:rPr>
        <w:footnoteRef/>
      </w:r>
      <w:r w:rsidRPr="00BA2057">
        <w:rPr>
          <w:sz w:val="18"/>
          <w:szCs w:val="18"/>
          <w:rtl/>
        </w:rPr>
        <w:t xml:space="preserve"> </w:t>
      </w:r>
      <w:r w:rsidRPr="00BA2057">
        <w:rPr>
          <w:rFonts w:hint="cs"/>
          <w:sz w:val="18"/>
          <w:szCs w:val="18"/>
          <w:rtl/>
        </w:rPr>
        <w:t>שינוי זה ה</w:t>
      </w:r>
      <w:r>
        <w:rPr>
          <w:rFonts w:hint="cs"/>
          <w:sz w:val="18"/>
          <w:szCs w:val="18"/>
          <w:rtl/>
        </w:rPr>
        <w:t>י</w:t>
      </w:r>
      <w:r w:rsidRPr="00BA2057">
        <w:rPr>
          <w:rFonts w:hint="cs"/>
          <w:sz w:val="18"/>
          <w:szCs w:val="18"/>
          <w:rtl/>
        </w:rPr>
        <w:t xml:space="preserve">ינו בשיניה או בידיה. אך </w:t>
      </w:r>
      <w:r w:rsidRPr="00B55921">
        <w:rPr>
          <w:rFonts w:hint="cs"/>
          <w:b/>
          <w:bCs/>
          <w:sz w:val="18"/>
          <w:szCs w:val="18"/>
          <w:rtl/>
        </w:rPr>
        <w:t xml:space="preserve">המרדכי </w:t>
      </w:r>
      <w:r w:rsidRPr="00BA2057">
        <w:rPr>
          <w:rFonts w:hint="cs"/>
          <w:sz w:val="18"/>
          <w:szCs w:val="18"/>
          <w:rtl/>
        </w:rPr>
        <w:t>סובר שבאופנים אלו אינה חותכת יפה את ציפורניה.</w:t>
      </w:r>
    </w:p>
  </w:footnote>
  <w:footnote w:id="630">
    <w:p w:rsidR="005953C5" w:rsidRDefault="005953C5" w:rsidP="00620060">
      <w:pPr>
        <w:pStyle w:val="a3"/>
        <w:rPr>
          <w:rtl/>
        </w:rPr>
      </w:pPr>
      <w:r w:rsidRPr="004B6E43">
        <w:rPr>
          <w:rStyle w:val="a5"/>
          <w:sz w:val="18"/>
          <w:szCs w:val="18"/>
        </w:rPr>
        <w:footnoteRef/>
      </w:r>
      <w:r w:rsidRPr="004B6E43">
        <w:rPr>
          <w:sz w:val="18"/>
          <w:szCs w:val="18"/>
          <w:rtl/>
        </w:rPr>
        <w:t xml:space="preserve"> </w:t>
      </w:r>
      <w:r w:rsidRPr="00EC63DC">
        <w:rPr>
          <w:rFonts w:hint="cs"/>
          <w:b/>
          <w:bCs/>
          <w:sz w:val="18"/>
          <w:szCs w:val="18"/>
          <w:rtl/>
        </w:rPr>
        <w:t>ה</w:t>
      </w:r>
      <w:r w:rsidRPr="004B6E43">
        <w:rPr>
          <w:rFonts w:hint="cs"/>
          <w:b/>
          <w:bCs/>
          <w:sz w:val="18"/>
          <w:szCs w:val="18"/>
          <w:rtl/>
        </w:rPr>
        <w:t xml:space="preserve">ש"ך </w:t>
      </w:r>
      <w:r w:rsidRPr="004B6E43">
        <w:rPr>
          <w:rFonts w:hint="cs"/>
          <w:sz w:val="18"/>
          <w:szCs w:val="18"/>
          <w:rtl/>
        </w:rPr>
        <w:t>ע</w:t>
      </w:r>
      <w:r>
        <w:rPr>
          <w:rFonts w:hint="cs"/>
          <w:sz w:val="18"/>
          <w:szCs w:val="18"/>
          <w:rtl/>
        </w:rPr>
        <w:t>צ</w:t>
      </w:r>
      <w:r w:rsidRPr="004B6E43">
        <w:rPr>
          <w:rFonts w:hint="cs"/>
          <w:sz w:val="18"/>
          <w:szCs w:val="18"/>
          <w:rtl/>
        </w:rPr>
        <w:t>מו סובר שאף אם תיטול את ציפורניה בכלי אין בכך איסור דאורייתא, כיוון שנטילת ציפורניים היא מלאכה שאינה צריכה לגופה וקיי"ל כרבי שמעון, ושפיר הוי שבות דשבות במקום מצווה. אמנם לדינא לא מלאו ליבו להקל בכך, משום שמשמע מדברי המחבר באו"ח שהחמיר בנטילת ציפורניים בכלי וכתב שחייב חטאת. ואמנם, עדיין יש מקום להתיר זאת ע"פ שיטות הראשונים המקלות באמירה לגוי אפילו באיסור דאורייתא, אלא שלמעשה, כאמור לעיל, הש"ך לא רצה להקל בכך.</w:t>
      </w:r>
    </w:p>
  </w:footnote>
  <w:footnote w:id="631">
    <w:p w:rsidR="005953C5" w:rsidRDefault="005953C5" w:rsidP="00620060">
      <w:pPr>
        <w:pStyle w:val="a3"/>
        <w:rPr>
          <w:rtl/>
        </w:rPr>
      </w:pPr>
      <w:r w:rsidRPr="00897EBC">
        <w:rPr>
          <w:rStyle w:val="a5"/>
          <w:sz w:val="18"/>
          <w:szCs w:val="18"/>
        </w:rPr>
        <w:footnoteRef/>
      </w:r>
      <w:r w:rsidRPr="00897EBC">
        <w:rPr>
          <w:sz w:val="18"/>
          <w:szCs w:val="18"/>
          <w:rtl/>
        </w:rPr>
        <w:t xml:space="preserve"> </w:t>
      </w:r>
      <w:r w:rsidRPr="00897EBC">
        <w:rPr>
          <w:rFonts w:hint="cs"/>
          <w:sz w:val="18"/>
          <w:szCs w:val="18"/>
          <w:rtl/>
        </w:rPr>
        <w:t xml:space="preserve">וכן פסק </w:t>
      </w:r>
      <w:r w:rsidRPr="00897EBC">
        <w:rPr>
          <w:rFonts w:hint="cs"/>
          <w:b/>
          <w:bCs/>
          <w:sz w:val="18"/>
          <w:szCs w:val="18"/>
          <w:rtl/>
        </w:rPr>
        <w:t xml:space="preserve">טה"ב </w:t>
      </w:r>
      <w:r w:rsidRPr="00897EBC">
        <w:rPr>
          <w:rFonts w:hint="cs"/>
          <w:sz w:val="16"/>
          <w:szCs w:val="16"/>
          <w:rtl/>
        </w:rPr>
        <w:t xml:space="preserve">(עמ' צ) </w:t>
      </w:r>
      <w:r w:rsidRPr="00897EBC">
        <w:rPr>
          <w:rFonts w:hint="cs"/>
          <w:sz w:val="18"/>
          <w:szCs w:val="18"/>
          <w:rtl/>
        </w:rPr>
        <w:t xml:space="preserve">והוסיף </w:t>
      </w:r>
      <w:r w:rsidRPr="00897EBC">
        <w:rPr>
          <w:sz w:val="18"/>
          <w:szCs w:val="18"/>
          <w:rtl/>
        </w:rPr>
        <w:t>–</w:t>
      </w:r>
      <w:r w:rsidRPr="00897EBC">
        <w:rPr>
          <w:rFonts w:hint="cs"/>
          <w:sz w:val="18"/>
          <w:szCs w:val="18"/>
          <w:rtl/>
        </w:rPr>
        <w:t xml:space="preserve"> "ותטבול כדת, ולא תדחה טבילתה למוצאי שבת, שמצוות ה</w:t>
      </w:r>
      <w:r>
        <w:rPr>
          <w:rFonts w:hint="cs"/>
          <w:sz w:val="18"/>
          <w:szCs w:val="18"/>
          <w:rtl/>
        </w:rPr>
        <w:t>טב</w:t>
      </w:r>
      <w:r w:rsidRPr="00897EBC">
        <w:rPr>
          <w:rFonts w:hint="cs"/>
          <w:sz w:val="18"/>
          <w:szCs w:val="18"/>
          <w:rtl/>
        </w:rPr>
        <w:t>ילה בזמנה עדיפא".</w:t>
      </w:r>
    </w:p>
  </w:footnote>
  <w:footnote w:id="632">
    <w:p w:rsidR="005953C5" w:rsidRDefault="005953C5" w:rsidP="00620060">
      <w:pPr>
        <w:pStyle w:val="a3"/>
      </w:pPr>
      <w:r w:rsidRPr="00286E5A">
        <w:rPr>
          <w:rStyle w:val="a5"/>
          <w:sz w:val="18"/>
          <w:szCs w:val="18"/>
        </w:rPr>
        <w:footnoteRef/>
      </w:r>
      <w:r w:rsidRPr="00286E5A">
        <w:rPr>
          <w:sz w:val="18"/>
          <w:szCs w:val="18"/>
          <w:rtl/>
        </w:rPr>
        <w:t xml:space="preserve"> </w:t>
      </w:r>
      <w:r w:rsidRPr="00286E5A">
        <w:rPr>
          <w:rFonts w:hint="cs"/>
          <w:sz w:val="18"/>
          <w:szCs w:val="18"/>
          <w:rtl/>
        </w:rPr>
        <w:t xml:space="preserve">אמנם, משמע מדבריו שלכתחילה יש להחמיר בהן כמו בציפורני הידיים. ואמנם, הקולא שהקל בדיעבד מסתברת מאוד לפי הטעמים שכתב </w:t>
      </w:r>
      <w:r w:rsidRPr="00286E5A">
        <w:rPr>
          <w:rFonts w:hint="cs"/>
          <w:b/>
          <w:bCs/>
          <w:sz w:val="18"/>
          <w:szCs w:val="18"/>
          <w:rtl/>
        </w:rPr>
        <w:t>הבית יוסף</w:t>
      </w:r>
      <w:r w:rsidRPr="00286E5A">
        <w:rPr>
          <w:rFonts w:hint="cs"/>
          <w:sz w:val="18"/>
          <w:szCs w:val="18"/>
          <w:rtl/>
        </w:rPr>
        <w:t xml:space="preserve"> להחמיר בציפורניים, משום שטעמים אלו אינם שייכים בציפורני הרגליים, ודו"ק.</w:t>
      </w:r>
    </w:p>
  </w:footnote>
  <w:footnote w:id="633">
    <w:p w:rsidR="005953C5" w:rsidRDefault="005953C5" w:rsidP="00620060">
      <w:pPr>
        <w:pStyle w:val="a3"/>
      </w:pPr>
      <w:r w:rsidRPr="006D1390">
        <w:rPr>
          <w:rStyle w:val="a5"/>
          <w:sz w:val="18"/>
          <w:szCs w:val="18"/>
        </w:rPr>
        <w:footnoteRef/>
      </w:r>
      <w:r w:rsidRPr="006D1390">
        <w:rPr>
          <w:sz w:val="18"/>
          <w:szCs w:val="18"/>
          <w:rtl/>
        </w:rPr>
        <w:t xml:space="preserve"> </w:t>
      </w:r>
      <w:r w:rsidRPr="006D1390">
        <w:rPr>
          <w:rFonts w:hint="cs"/>
          <w:sz w:val="18"/>
          <w:szCs w:val="18"/>
          <w:rtl/>
        </w:rPr>
        <w:t xml:space="preserve">וכן פסק גם </w:t>
      </w:r>
      <w:r w:rsidRPr="006D1390">
        <w:rPr>
          <w:rFonts w:hint="cs"/>
          <w:b/>
          <w:bCs/>
          <w:sz w:val="18"/>
          <w:szCs w:val="18"/>
          <w:rtl/>
        </w:rPr>
        <w:t>טה"ב</w:t>
      </w:r>
      <w:r w:rsidRPr="006D1390">
        <w:rPr>
          <w:rFonts w:hint="cs"/>
          <w:sz w:val="18"/>
          <w:szCs w:val="18"/>
          <w:rtl/>
        </w:rPr>
        <w:t xml:space="preserve"> </w:t>
      </w:r>
      <w:r w:rsidRPr="006D1390">
        <w:rPr>
          <w:rFonts w:hint="cs"/>
          <w:sz w:val="16"/>
          <w:szCs w:val="16"/>
          <w:rtl/>
        </w:rPr>
        <w:t xml:space="preserve">(עמ' צח ובהערת המהדיר) </w:t>
      </w:r>
      <w:r w:rsidRPr="006D1390">
        <w:rPr>
          <w:rFonts w:hint="cs"/>
          <w:sz w:val="18"/>
          <w:szCs w:val="18"/>
          <w:rtl/>
        </w:rPr>
        <w:t>והוסיף שהוא הדין כשהציפורן צבועה בלק. אמנם, אם חלק מהצבע ירד הוי חציצה וצריכה להסיר את כולו או לצבוע מחדש.</w:t>
      </w:r>
    </w:p>
  </w:footnote>
  <w:footnote w:id="634">
    <w:p w:rsidR="005953C5" w:rsidRDefault="005953C5" w:rsidP="00620060">
      <w:pPr>
        <w:pStyle w:val="a3"/>
        <w:rPr>
          <w:rtl/>
        </w:rPr>
      </w:pPr>
      <w:r w:rsidRPr="00463226">
        <w:rPr>
          <w:rStyle w:val="a5"/>
          <w:sz w:val="18"/>
          <w:szCs w:val="18"/>
        </w:rPr>
        <w:footnoteRef/>
      </w:r>
      <w:r w:rsidRPr="00463226">
        <w:rPr>
          <w:sz w:val="18"/>
          <w:szCs w:val="18"/>
          <w:rtl/>
        </w:rPr>
        <w:t xml:space="preserve"> </w:t>
      </w:r>
      <w:r w:rsidRPr="00463226">
        <w:rPr>
          <w:rFonts w:hint="cs"/>
          <w:sz w:val="18"/>
          <w:szCs w:val="18"/>
          <w:rtl/>
        </w:rPr>
        <w:t xml:space="preserve">כך היא גירסת </w:t>
      </w:r>
      <w:r w:rsidRPr="00463226">
        <w:rPr>
          <w:rFonts w:hint="cs"/>
          <w:b/>
          <w:bCs/>
          <w:sz w:val="18"/>
          <w:szCs w:val="18"/>
          <w:rtl/>
        </w:rPr>
        <w:t>הבית יוסף</w:t>
      </w:r>
      <w:r w:rsidRPr="00463226">
        <w:rPr>
          <w:rFonts w:hint="cs"/>
          <w:sz w:val="18"/>
          <w:szCs w:val="18"/>
          <w:rtl/>
        </w:rPr>
        <w:t>, אך הגירסה לפנינו היא: "אין חוצצין".</w:t>
      </w:r>
    </w:p>
  </w:footnote>
  <w:footnote w:id="635">
    <w:p w:rsidR="005953C5" w:rsidRDefault="005953C5" w:rsidP="00620060">
      <w:pPr>
        <w:pStyle w:val="a3"/>
      </w:pPr>
      <w:r w:rsidRPr="00E705AE">
        <w:rPr>
          <w:rStyle w:val="a5"/>
          <w:sz w:val="18"/>
          <w:szCs w:val="18"/>
        </w:rPr>
        <w:footnoteRef/>
      </w:r>
      <w:r w:rsidRPr="00E705AE">
        <w:rPr>
          <w:sz w:val="18"/>
          <w:szCs w:val="18"/>
          <w:rtl/>
        </w:rPr>
        <w:t xml:space="preserve"> </w:t>
      </w:r>
      <w:r w:rsidRPr="00E705AE">
        <w:rPr>
          <w:rFonts w:hint="cs"/>
          <w:sz w:val="18"/>
          <w:szCs w:val="18"/>
          <w:rtl/>
        </w:rPr>
        <w:t>בגירסת התוספתא שלפנינו: "יוחנן".</w:t>
      </w:r>
    </w:p>
  </w:footnote>
  <w:footnote w:id="636">
    <w:p w:rsidR="005953C5" w:rsidRDefault="005953C5" w:rsidP="00620060">
      <w:pPr>
        <w:pStyle w:val="a3"/>
      </w:pPr>
      <w:r w:rsidRPr="00CF0AC2">
        <w:rPr>
          <w:rStyle w:val="a5"/>
          <w:sz w:val="18"/>
          <w:szCs w:val="18"/>
        </w:rPr>
        <w:footnoteRef/>
      </w:r>
      <w:r w:rsidRPr="00CF0AC2">
        <w:rPr>
          <w:sz w:val="18"/>
          <w:szCs w:val="18"/>
          <w:rtl/>
        </w:rPr>
        <w:t xml:space="preserve"> </w:t>
      </w:r>
      <w:r w:rsidRPr="00CF0AC2">
        <w:rPr>
          <w:rFonts w:hint="cs"/>
          <w:b/>
          <w:bCs/>
          <w:sz w:val="18"/>
          <w:szCs w:val="18"/>
          <w:rtl/>
        </w:rPr>
        <w:t>הבית יוסף</w:t>
      </w:r>
      <w:r w:rsidRPr="00CF0AC2">
        <w:rPr>
          <w:rFonts w:hint="cs"/>
          <w:sz w:val="18"/>
          <w:szCs w:val="18"/>
          <w:rtl/>
        </w:rPr>
        <w:t xml:space="preserve"> מציג שתי אפשרויות אלו להסביר את שיטת </w:t>
      </w:r>
      <w:r w:rsidRPr="00CF0AC2">
        <w:rPr>
          <w:rFonts w:hint="cs"/>
          <w:b/>
          <w:bCs/>
          <w:sz w:val="18"/>
          <w:szCs w:val="18"/>
          <w:rtl/>
        </w:rPr>
        <w:t>הרמב"ם</w:t>
      </w:r>
      <w:r w:rsidRPr="00CF0AC2">
        <w:rPr>
          <w:rFonts w:hint="cs"/>
          <w:sz w:val="18"/>
          <w:szCs w:val="18"/>
          <w:rtl/>
        </w:rPr>
        <w:t>.</w:t>
      </w:r>
    </w:p>
  </w:footnote>
  <w:footnote w:id="637">
    <w:p w:rsidR="005953C5" w:rsidRDefault="005953C5" w:rsidP="00620060">
      <w:pPr>
        <w:pStyle w:val="a3"/>
      </w:pPr>
      <w:r w:rsidRPr="00CF0AC2">
        <w:rPr>
          <w:rStyle w:val="a5"/>
          <w:sz w:val="18"/>
          <w:szCs w:val="18"/>
        </w:rPr>
        <w:footnoteRef/>
      </w:r>
      <w:r w:rsidRPr="00CF0AC2">
        <w:rPr>
          <w:sz w:val="18"/>
          <w:szCs w:val="18"/>
          <w:rtl/>
        </w:rPr>
        <w:t xml:space="preserve"> </w:t>
      </w:r>
      <w:r>
        <w:rPr>
          <w:rFonts w:hint="cs"/>
          <w:sz w:val="18"/>
          <w:szCs w:val="18"/>
          <w:rtl/>
        </w:rPr>
        <w:t xml:space="preserve">ואין לומר שחכמים החולקים </w:t>
      </w:r>
      <w:r w:rsidRPr="00CF0AC2">
        <w:rPr>
          <w:rFonts w:hint="cs"/>
          <w:sz w:val="18"/>
          <w:szCs w:val="18"/>
          <w:rtl/>
        </w:rPr>
        <w:t>ס</w:t>
      </w:r>
      <w:r>
        <w:rPr>
          <w:rFonts w:hint="cs"/>
          <w:sz w:val="18"/>
          <w:szCs w:val="18"/>
          <w:rtl/>
        </w:rPr>
        <w:t>ו</w:t>
      </w:r>
      <w:r w:rsidRPr="00CF0AC2">
        <w:rPr>
          <w:rFonts w:hint="cs"/>
          <w:sz w:val="18"/>
          <w:szCs w:val="18"/>
          <w:rtl/>
        </w:rPr>
        <w:t>ברים שבכל עניין חוצצת, דאם כן לא היה שותק מסדר התוספתא לומר זאת, כדי שלא נבוא להקל בכל עניין.</w:t>
      </w:r>
    </w:p>
  </w:footnote>
  <w:footnote w:id="638">
    <w:p w:rsidR="005953C5" w:rsidRDefault="005953C5" w:rsidP="00620060">
      <w:pPr>
        <w:pStyle w:val="a3"/>
      </w:pPr>
      <w:r w:rsidRPr="00463226">
        <w:rPr>
          <w:rStyle w:val="a5"/>
          <w:sz w:val="18"/>
          <w:szCs w:val="18"/>
        </w:rPr>
        <w:footnoteRef/>
      </w:r>
      <w:r w:rsidRPr="00463226">
        <w:rPr>
          <w:sz w:val="18"/>
          <w:szCs w:val="18"/>
          <w:rtl/>
        </w:rPr>
        <w:t xml:space="preserve"> </w:t>
      </w:r>
      <w:r w:rsidRPr="00463226">
        <w:rPr>
          <w:rFonts w:hint="cs"/>
          <w:sz w:val="18"/>
          <w:szCs w:val="18"/>
          <w:rtl/>
        </w:rPr>
        <w:t xml:space="preserve">כך הוכיח </w:t>
      </w:r>
      <w:r w:rsidRPr="00463226">
        <w:rPr>
          <w:rFonts w:hint="cs"/>
          <w:b/>
          <w:bCs/>
          <w:sz w:val="18"/>
          <w:szCs w:val="18"/>
          <w:rtl/>
        </w:rPr>
        <w:t xml:space="preserve">הבית יוסף </w:t>
      </w:r>
      <w:r w:rsidRPr="00463226">
        <w:rPr>
          <w:rFonts w:hint="cs"/>
          <w:sz w:val="18"/>
          <w:szCs w:val="18"/>
          <w:rtl/>
        </w:rPr>
        <w:t xml:space="preserve">מדברי </w:t>
      </w:r>
      <w:r w:rsidRPr="00463226">
        <w:rPr>
          <w:rFonts w:hint="cs"/>
          <w:b/>
          <w:bCs/>
          <w:sz w:val="18"/>
          <w:szCs w:val="18"/>
          <w:rtl/>
        </w:rPr>
        <w:t>ר"ש</w:t>
      </w:r>
      <w:r w:rsidRPr="00463226">
        <w:rPr>
          <w:rFonts w:hint="cs"/>
          <w:sz w:val="18"/>
          <w:szCs w:val="18"/>
          <w:rtl/>
        </w:rPr>
        <w:t>, שדין מקום חיבור הבשר בגוף נידון כעת כבית הסתרים. וקיי"ל שאם יש חציצה בבית הסתרים צריכה טבילה שנית.</w:t>
      </w:r>
      <w:r>
        <w:rPr>
          <w:rFonts w:hint="cs"/>
          <w:rtl/>
        </w:rPr>
        <w:t xml:space="preserve"> </w:t>
      </w:r>
    </w:p>
  </w:footnote>
  <w:footnote w:id="639">
    <w:p w:rsidR="005953C5" w:rsidRDefault="005953C5" w:rsidP="00620060">
      <w:pPr>
        <w:pStyle w:val="a3"/>
        <w:rPr>
          <w:rtl/>
        </w:rPr>
      </w:pPr>
      <w:r w:rsidRPr="00DC69F7">
        <w:rPr>
          <w:rStyle w:val="a5"/>
          <w:sz w:val="18"/>
          <w:szCs w:val="18"/>
        </w:rPr>
        <w:footnoteRef/>
      </w:r>
      <w:r w:rsidRPr="00DC69F7">
        <w:rPr>
          <w:sz w:val="18"/>
          <w:szCs w:val="18"/>
          <w:rtl/>
        </w:rPr>
        <w:t xml:space="preserve"> </w:t>
      </w:r>
      <w:r w:rsidRPr="00DC69F7">
        <w:rPr>
          <w:rFonts w:hint="cs"/>
          <w:sz w:val="18"/>
          <w:szCs w:val="18"/>
          <w:rtl/>
        </w:rPr>
        <w:t xml:space="preserve">אמנם, </w:t>
      </w:r>
      <w:r w:rsidRPr="00687B1A">
        <w:rPr>
          <w:rFonts w:hint="cs"/>
          <w:b/>
          <w:bCs/>
          <w:sz w:val="18"/>
          <w:szCs w:val="18"/>
          <w:rtl/>
        </w:rPr>
        <w:t>הרמב"ם</w:t>
      </w:r>
      <w:r w:rsidRPr="00DC69F7">
        <w:rPr>
          <w:rFonts w:hint="cs"/>
          <w:sz w:val="18"/>
          <w:szCs w:val="18"/>
          <w:rtl/>
        </w:rPr>
        <w:t xml:space="preserve"> אינו סובר כך, שהרי לדעתו ציפורן אינה חוצצת בכל אופן. וצריך לומר לדעתו, שמכיוון שגם ציפורן שלימה עתידה להיקצץ ואפילו הכי אינה חוצצת, לכן גם כשהיא מדולדלת בגוף אינה חוצצת.</w:t>
      </w:r>
    </w:p>
  </w:footnote>
  <w:footnote w:id="640">
    <w:p w:rsidR="005953C5" w:rsidRDefault="005953C5" w:rsidP="00620060">
      <w:pPr>
        <w:pStyle w:val="a3"/>
      </w:pPr>
      <w:r w:rsidRPr="00872D0E">
        <w:rPr>
          <w:rStyle w:val="a5"/>
          <w:sz w:val="18"/>
          <w:szCs w:val="18"/>
        </w:rPr>
        <w:footnoteRef/>
      </w:r>
      <w:r w:rsidRPr="00872D0E">
        <w:rPr>
          <w:sz w:val="18"/>
          <w:szCs w:val="18"/>
          <w:rtl/>
        </w:rPr>
        <w:t xml:space="preserve"> </w:t>
      </w:r>
      <w:r w:rsidRPr="00872D0E">
        <w:rPr>
          <w:rFonts w:hint="cs"/>
          <w:b/>
          <w:bCs/>
          <w:sz w:val="18"/>
          <w:szCs w:val="18"/>
          <w:rtl/>
        </w:rPr>
        <w:t>והרמב"ם</w:t>
      </w:r>
      <w:r w:rsidRPr="00872D0E">
        <w:rPr>
          <w:rFonts w:hint="cs"/>
          <w:sz w:val="18"/>
          <w:szCs w:val="18"/>
          <w:rtl/>
        </w:rPr>
        <w:t xml:space="preserve"> סובר שגם בפירשה מיעוטה יכולה היא להסיר את החלק שפרש, ומכך שאינה מסירתו מוכח שאינה מקפדת ולכן אינו חוצץ.</w:t>
      </w:r>
    </w:p>
  </w:footnote>
  <w:footnote w:id="641">
    <w:p w:rsidR="005953C5" w:rsidRPr="005361FD" w:rsidRDefault="005953C5" w:rsidP="00620060">
      <w:pPr>
        <w:pStyle w:val="a3"/>
        <w:rPr>
          <w:sz w:val="18"/>
          <w:szCs w:val="18"/>
        </w:rPr>
      </w:pPr>
      <w:r w:rsidRPr="005361FD">
        <w:rPr>
          <w:rStyle w:val="a5"/>
          <w:sz w:val="18"/>
          <w:szCs w:val="18"/>
        </w:rPr>
        <w:footnoteRef/>
      </w:r>
      <w:r w:rsidRPr="005361FD">
        <w:rPr>
          <w:sz w:val="18"/>
          <w:szCs w:val="18"/>
          <w:rtl/>
        </w:rPr>
        <w:t xml:space="preserve"> </w:t>
      </w:r>
      <w:r w:rsidRPr="005361FD">
        <w:rPr>
          <w:rFonts w:hint="cs"/>
          <w:b/>
          <w:bCs/>
          <w:sz w:val="18"/>
          <w:szCs w:val="18"/>
          <w:rtl/>
        </w:rPr>
        <w:t>הש"ך</w:t>
      </w:r>
      <w:r w:rsidRPr="005361FD">
        <w:rPr>
          <w:rFonts w:hint="cs"/>
          <w:sz w:val="18"/>
          <w:szCs w:val="18"/>
          <w:rtl/>
        </w:rPr>
        <w:t xml:space="preserve"> דחה הסבר זה </w:t>
      </w:r>
      <w:r w:rsidRPr="005361FD">
        <w:rPr>
          <w:rFonts w:hint="cs"/>
          <w:sz w:val="16"/>
          <w:szCs w:val="16"/>
          <w:rtl/>
        </w:rPr>
        <w:t>(אך לא הסביר מדוע)</w:t>
      </w:r>
      <w:r w:rsidRPr="005361FD">
        <w:rPr>
          <w:rFonts w:hint="cs"/>
          <w:sz w:val="18"/>
          <w:szCs w:val="18"/>
          <w:rtl/>
        </w:rPr>
        <w:t>,</w:t>
      </w:r>
      <w:r>
        <w:rPr>
          <w:rFonts w:hint="cs"/>
          <w:sz w:val="16"/>
          <w:szCs w:val="16"/>
          <w:rtl/>
        </w:rPr>
        <w:t xml:space="preserve"> </w:t>
      </w:r>
      <w:r w:rsidRPr="005361FD">
        <w:rPr>
          <w:rFonts w:hint="cs"/>
          <w:sz w:val="18"/>
          <w:szCs w:val="18"/>
          <w:rtl/>
        </w:rPr>
        <w:t>והעדיף את ההסבר הראשון של הבית יוסף.</w:t>
      </w:r>
    </w:p>
  </w:footnote>
  <w:footnote w:id="642">
    <w:p w:rsidR="005953C5" w:rsidRDefault="005953C5" w:rsidP="00620060">
      <w:pPr>
        <w:pStyle w:val="a3"/>
        <w:rPr>
          <w:rtl/>
        </w:rPr>
      </w:pPr>
      <w:r w:rsidRPr="003F28B0">
        <w:rPr>
          <w:rStyle w:val="a5"/>
          <w:sz w:val="18"/>
          <w:szCs w:val="18"/>
        </w:rPr>
        <w:footnoteRef/>
      </w:r>
      <w:r w:rsidRPr="003F28B0">
        <w:rPr>
          <w:sz w:val="18"/>
          <w:szCs w:val="18"/>
          <w:rtl/>
        </w:rPr>
        <w:t xml:space="preserve"> </w:t>
      </w:r>
      <w:r w:rsidRPr="003F28B0">
        <w:rPr>
          <w:rFonts w:hint="cs"/>
          <w:b/>
          <w:bCs/>
          <w:sz w:val="18"/>
          <w:szCs w:val="18"/>
          <w:rtl/>
        </w:rPr>
        <w:t>הרמב"ם</w:t>
      </w:r>
      <w:r w:rsidRPr="003F28B0">
        <w:rPr>
          <w:rFonts w:hint="cs"/>
          <w:sz w:val="18"/>
          <w:szCs w:val="18"/>
          <w:rtl/>
        </w:rPr>
        <w:t xml:space="preserve"> סובר שאפילו כשפירשה מיעוטה עומדת היא להיקצץ</w:t>
      </w:r>
      <w:r>
        <w:rPr>
          <w:rFonts w:hint="cs"/>
          <w:sz w:val="18"/>
          <w:szCs w:val="18"/>
          <w:rtl/>
        </w:rPr>
        <w:t>,</w:t>
      </w:r>
      <w:r w:rsidRPr="003F28B0">
        <w:rPr>
          <w:rFonts w:hint="cs"/>
          <w:sz w:val="18"/>
          <w:szCs w:val="18"/>
          <w:rtl/>
        </w:rPr>
        <w:t xml:space="preserve"> ולכן החציצה שעליה אינה חוצצת.</w:t>
      </w:r>
    </w:p>
  </w:footnote>
  <w:footnote w:id="643">
    <w:p w:rsidR="005953C5" w:rsidRDefault="005953C5" w:rsidP="00620060">
      <w:pPr>
        <w:pStyle w:val="a3"/>
      </w:pPr>
      <w:r w:rsidRPr="00BE2911">
        <w:rPr>
          <w:rStyle w:val="a5"/>
          <w:sz w:val="18"/>
          <w:szCs w:val="18"/>
        </w:rPr>
        <w:footnoteRef/>
      </w:r>
      <w:r w:rsidRPr="00BE2911">
        <w:rPr>
          <w:sz w:val="18"/>
          <w:szCs w:val="18"/>
          <w:rtl/>
        </w:rPr>
        <w:t xml:space="preserve"> </w:t>
      </w:r>
      <w:r w:rsidRPr="00BE2911">
        <w:rPr>
          <w:rFonts w:hint="cs"/>
          <w:b/>
          <w:bCs/>
          <w:sz w:val="18"/>
          <w:szCs w:val="18"/>
          <w:rtl/>
        </w:rPr>
        <w:t>טה"ב</w:t>
      </w:r>
      <w:r w:rsidRPr="00BE2911">
        <w:rPr>
          <w:rFonts w:hint="cs"/>
          <w:sz w:val="18"/>
          <w:szCs w:val="18"/>
          <w:rtl/>
        </w:rPr>
        <w:t xml:space="preserve"> כותב ש"לא מצאנו מי שחולק בזה". ואע"פ </w:t>
      </w:r>
      <w:r w:rsidRPr="00BE2911">
        <w:rPr>
          <w:rFonts w:hint="cs"/>
          <w:b/>
          <w:bCs/>
          <w:sz w:val="18"/>
          <w:szCs w:val="18"/>
          <w:rtl/>
        </w:rPr>
        <w:t>שהרא"ש</w:t>
      </w:r>
      <w:r w:rsidRPr="00BE2911">
        <w:rPr>
          <w:rFonts w:hint="cs"/>
          <w:sz w:val="18"/>
          <w:szCs w:val="18"/>
          <w:rtl/>
        </w:rPr>
        <w:t xml:space="preserve"> וכן </w:t>
      </w:r>
      <w:r w:rsidRPr="00BE2911">
        <w:rPr>
          <w:rFonts w:hint="cs"/>
          <w:b/>
          <w:bCs/>
          <w:sz w:val="18"/>
          <w:szCs w:val="18"/>
          <w:rtl/>
        </w:rPr>
        <w:t xml:space="preserve">המחבר </w:t>
      </w:r>
      <w:r w:rsidRPr="00BE2911">
        <w:rPr>
          <w:rFonts w:hint="cs"/>
          <w:sz w:val="18"/>
          <w:szCs w:val="18"/>
          <w:rtl/>
        </w:rPr>
        <w:t>פסקו להדיא שבשר מדולדל חוצץ, צריך לחלק בין בשר מדולדל ששנוי במחלוקת כנ"ל, לבין תלתולי בשר שלכו"ע אינם חוצצים.</w:t>
      </w:r>
    </w:p>
  </w:footnote>
  <w:footnote w:id="644">
    <w:p w:rsidR="005953C5" w:rsidRDefault="005953C5" w:rsidP="00620060">
      <w:pPr>
        <w:pStyle w:val="a3"/>
        <w:rPr>
          <w:rtl/>
        </w:rPr>
      </w:pPr>
      <w:r w:rsidRPr="00FD2D7A">
        <w:rPr>
          <w:rStyle w:val="a5"/>
          <w:sz w:val="18"/>
          <w:szCs w:val="18"/>
        </w:rPr>
        <w:footnoteRef/>
      </w:r>
      <w:r w:rsidRPr="00FD2D7A">
        <w:rPr>
          <w:sz w:val="18"/>
          <w:szCs w:val="18"/>
          <w:rtl/>
        </w:rPr>
        <w:t xml:space="preserve"> </w:t>
      </w:r>
      <w:r w:rsidRPr="00FD2D7A">
        <w:rPr>
          <w:rFonts w:hint="cs"/>
          <w:sz w:val="18"/>
          <w:szCs w:val="18"/>
          <w:rtl/>
        </w:rPr>
        <w:t>ע"פ הדפים של הרב גדעון.</w:t>
      </w:r>
    </w:p>
  </w:footnote>
  <w:footnote w:id="645">
    <w:p w:rsidR="005953C5" w:rsidRDefault="005953C5" w:rsidP="00620060">
      <w:pPr>
        <w:pStyle w:val="a3"/>
        <w:rPr>
          <w:rtl/>
        </w:rPr>
      </w:pPr>
      <w:r w:rsidRPr="00530FE1">
        <w:rPr>
          <w:rStyle w:val="a5"/>
          <w:sz w:val="18"/>
          <w:szCs w:val="18"/>
        </w:rPr>
        <w:footnoteRef/>
      </w:r>
      <w:r w:rsidRPr="00530FE1">
        <w:rPr>
          <w:sz w:val="18"/>
          <w:szCs w:val="18"/>
          <w:rtl/>
        </w:rPr>
        <w:t xml:space="preserve"> </w:t>
      </w:r>
      <w:r w:rsidRPr="00530FE1">
        <w:rPr>
          <w:rFonts w:hint="cs"/>
          <w:sz w:val="18"/>
          <w:szCs w:val="18"/>
          <w:rtl/>
        </w:rPr>
        <w:t xml:space="preserve">לוחות שעושים הרופאים על גבי מכה, </w:t>
      </w:r>
      <w:r w:rsidRPr="00530FE1">
        <w:rPr>
          <w:rFonts w:hint="cs"/>
          <w:b/>
          <w:bCs/>
          <w:sz w:val="18"/>
          <w:szCs w:val="18"/>
          <w:rtl/>
        </w:rPr>
        <w:t>ש"ך</w:t>
      </w:r>
      <w:r w:rsidRPr="00530FE1">
        <w:rPr>
          <w:rFonts w:hint="cs"/>
          <w:sz w:val="18"/>
          <w:szCs w:val="18"/>
          <w:rtl/>
        </w:rPr>
        <w:t>, וכנראה כוונתו לגבס.</w:t>
      </w:r>
    </w:p>
  </w:footnote>
  <w:footnote w:id="646">
    <w:p w:rsidR="005953C5" w:rsidRDefault="005953C5" w:rsidP="00620060">
      <w:pPr>
        <w:pStyle w:val="a3"/>
      </w:pPr>
      <w:r w:rsidRPr="00385F68">
        <w:rPr>
          <w:rStyle w:val="a5"/>
          <w:sz w:val="18"/>
          <w:szCs w:val="18"/>
        </w:rPr>
        <w:footnoteRef/>
      </w:r>
      <w:r w:rsidRPr="00385F68">
        <w:rPr>
          <w:sz w:val="18"/>
          <w:szCs w:val="18"/>
          <w:rtl/>
        </w:rPr>
        <w:t xml:space="preserve"> </w:t>
      </w:r>
      <w:r w:rsidRPr="00385F68">
        <w:rPr>
          <w:rFonts w:hint="cs"/>
          <w:b/>
          <w:bCs/>
          <w:sz w:val="18"/>
          <w:szCs w:val="18"/>
          <w:rtl/>
        </w:rPr>
        <w:t>רעק"א</w:t>
      </w:r>
      <w:r>
        <w:rPr>
          <w:rFonts w:hint="cs"/>
          <w:sz w:val="18"/>
          <w:szCs w:val="18"/>
          <w:rtl/>
        </w:rPr>
        <w:t xml:space="preserve"> - </w:t>
      </w:r>
      <w:r w:rsidRPr="00385F68">
        <w:rPr>
          <w:rFonts w:hint="cs"/>
          <w:sz w:val="18"/>
          <w:szCs w:val="18"/>
          <w:rtl/>
        </w:rPr>
        <w:t>הרמ"א כתב באו"ח שאיננו בקיאים מהו נקרא רפוי ומה אינו רפוי</w:t>
      </w:r>
      <w:r>
        <w:rPr>
          <w:rFonts w:hint="cs"/>
          <w:sz w:val="18"/>
          <w:szCs w:val="18"/>
          <w:rtl/>
        </w:rPr>
        <w:t xml:space="preserve"> </w:t>
      </w:r>
      <w:r w:rsidRPr="00385F68">
        <w:rPr>
          <w:rFonts w:hint="cs"/>
          <w:sz w:val="16"/>
          <w:szCs w:val="16"/>
          <w:rtl/>
        </w:rPr>
        <w:t>(וכן בריש הסימן כתב שלכתחילה לא תטבול אפילו בדבר שאינו חוצץ מעיקר הדין, אטו חוצץ)</w:t>
      </w:r>
      <w:r w:rsidRPr="00385F68">
        <w:rPr>
          <w:rFonts w:hint="cs"/>
          <w:sz w:val="18"/>
          <w:szCs w:val="18"/>
          <w:rtl/>
        </w:rPr>
        <w:t>. אך אם שימשה ומסופקת אם היה רפוי, אינה צריכה טבילה שנית.</w:t>
      </w:r>
    </w:p>
  </w:footnote>
  <w:footnote w:id="647">
    <w:p w:rsidR="005953C5" w:rsidRDefault="005953C5" w:rsidP="00620060">
      <w:pPr>
        <w:pStyle w:val="a3"/>
      </w:pPr>
      <w:r w:rsidRPr="0037413F">
        <w:rPr>
          <w:rStyle w:val="a5"/>
          <w:sz w:val="18"/>
          <w:szCs w:val="18"/>
        </w:rPr>
        <w:footnoteRef/>
      </w:r>
      <w:r w:rsidRPr="0037413F">
        <w:rPr>
          <w:sz w:val="18"/>
          <w:szCs w:val="18"/>
          <w:rtl/>
        </w:rPr>
        <w:t xml:space="preserve"> </w:t>
      </w:r>
      <w:r w:rsidRPr="0037413F">
        <w:rPr>
          <w:rFonts w:hint="cs"/>
          <w:sz w:val="18"/>
          <w:szCs w:val="18"/>
          <w:rtl/>
        </w:rPr>
        <w:t xml:space="preserve">בסעיף י' פסק </w:t>
      </w:r>
      <w:r w:rsidRPr="0037413F">
        <w:rPr>
          <w:rFonts w:hint="cs"/>
          <w:b/>
          <w:bCs/>
          <w:sz w:val="18"/>
          <w:szCs w:val="18"/>
          <w:rtl/>
        </w:rPr>
        <w:t xml:space="preserve">המחבר </w:t>
      </w:r>
      <w:r w:rsidRPr="0037413F">
        <w:rPr>
          <w:rFonts w:hint="cs"/>
          <w:sz w:val="18"/>
          <w:szCs w:val="18"/>
          <w:rtl/>
        </w:rPr>
        <w:t>שרטייה חוצצת ולא חילק בין רפויה למהודקת, וצריך לומר שסמך עצמו על מה שחילק כן כאן.</w:t>
      </w:r>
    </w:p>
  </w:footnote>
  <w:footnote w:id="648">
    <w:p w:rsidR="005953C5" w:rsidRDefault="005953C5" w:rsidP="00620060">
      <w:pPr>
        <w:pStyle w:val="a3"/>
      </w:pPr>
      <w:r w:rsidRPr="00F8394A">
        <w:rPr>
          <w:rStyle w:val="a5"/>
          <w:sz w:val="18"/>
          <w:szCs w:val="18"/>
        </w:rPr>
        <w:footnoteRef/>
      </w:r>
      <w:r w:rsidRPr="00F8394A">
        <w:rPr>
          <w:sz w:val="18"/>
          <w:szCs w:val="18"/>
          <w:rtl/>
        </w:rPr>
        <w:t xml:space="preserve"> </w:t>
      </w:r>
      <w:r w:rsidRPr="00F8394A">
        <w:rPr>
          <w:rFonts w:hint="cs"/>
          <w:b/>
          <w:bCs/>
          <w:sz w:val="18"/>
          <w:szCs w:val="18"/>
          <w:rtl/>
        </w:rPr>
        <w:t>בדה"ש</w:t>
      </w:r>
      <w:r w:rsidRPr="00F8394A">
        <w:rPr>
          <w:rFonts w:hint="cs"/>
          <w:sz w:val="18"/>
          <w:szCs w:val="18"/>
          <w:rtl/>
        </w:rPr>
        <w:t xml:space="preserve"> </w:t>
      </w:r>
      <w:r w:rsidRPr="00F8394A">
        <w:rPr>
          <w:sz w:val="18"/>
          <w:szCs w:val="18"/>
          <w:rtl/>
        </w:rPr>
        <w:t>–</w:t>
      </w:r>
      <w:r w:rsidRPr="00F8394A">
        <w:rPr>
          <w:rFonts w:hint="cs"/>
          <w:sz w:val="18"/>
          <w:szCs w:val="18"/>
          <w:rtl/>
        </w:rPr>
        <w:t xml:space="preserve"> אם יש בטבעת באבן טובה יש להחמיר.</w:t>
      </w:r>
      <w:r w:rsidRPr="00F8394A">
        <w:rPr>
          <w:sz w:val="18"/>
          <w:szCs w:val="18"/>
          <w:rtl/>
        </w:rPr>
        <w:br/>
      </w:r>
      <w:r w:rsidRPr="00F8394A">
        <w:rPr>
          <w:rFonts w:hint="cs"/>
          <w:b/>
          <w:bCs/>
          <w:sz w:val="18"/>
          <w:szCs w:val="18"/>
          <w:rtl/>
        </w:rPr>
        <w:t>טעם</w:t>
      </w:r>
      <w:r w:rsidRPr="00F8394A">
        <w:rPr>
          <w:rFonts w:hint="cs"/>
          <w:sz w:val="18"/>
          <w:szCs w:val="18"/>
          <w:rtl/>
        </w:rPr>
        <w:t xml:space="preserve"> </w:t>
      </w:r>
      <w:r w:rsidRPr="00F8394A">
        <w:rPr>
          <w:sz w:val="18"/>
          <w:szCs w:val="18"/>
          <w:rtl/>
        </w:rPr>
        <w:t>–</w:t>
      </w:r>
      <w:r w:rsidRPr="00F8394A">
        <w:rPr>
          <w:rFonts w:hint="cs"/>
          <w:sz w:val="18"/>
          <w:szCs w:val="18"/>
          <w:rtl/>
        </w:rPr>
        <w:t xml:space="preserve"> מקפדת להסיר את הטבעת בשעה שבאה במים כדי שהיא לא תתלכלך.</w:t>
      </w:r>
    </w:p>
  </w:footnote>
  <w:footnote w:id="649">
    <w:p w:rsidR="005953C5" w:rsidRDefault="005953C5" w:rsidP="00620060">
      <w:pPr>
        <w:pStyle w:val="a3"/>
      </w:pPr>
      <w:r w:rsidRPr="00D9622C">
        <w:rPr>
          <w:rStyle w:val="a5"/>
          <w:sz w:val="18"/>
          <w:szCs w:val="18"/>
        </w:rPr>
        <w:footnoteRef/>
      </w:r>
      <w:r w:rsidRPr="00D9622C">
        <w:rPr>
          <w:sz w:val="18"/>
          <w:szCs w:val="18"/>
          <w:rtl/>
        </w:rPr>
        <w:t xml:space="preserve"> </w:t>
      </w:r>
      <w:r w:rsidRPr="00D9622C">
        <w:rPr>
          <w:rFonts w:hint="cs"/>
          <w:sz w:val="18"/>
          <w:szCs w:val="18"/>
          <w:rtl/>
        </w:rPr>
        <w:t>ודבריו נראים עיקר לדינא, שה</w:t>
      </w:r>
      <w:r>
        <w:rPr>
          <w:rFonts w:hint="cs"/>
          <w:sz w:val="18"/>
          <w:szCs w:val="18"/>
          <w:rtl/>
        </w:rPr>
        <w:t>רי</w:t>
      </w:r>
      <w:r w:rsidRPr="00D9622C">
        <w:rPr>
          <w:rFonts w:hint="cs"/>
          <w:sz w:val="18"/>
          <w:szCs w:val="18"/>
          <w:rtl/>
        </w:rPr>
        <w:t xml:space="preserve"> </w:t>
      </w:r>
      <w:r w:rsidRPr="00D9622C">
        <w:rPr>
          <w:rFonts w:hint="cs"/>
          <w:b/>
          <w:bCs/>
          <w:sz w:val="18"/>
          <w:szCs w:val="18"/>
          <w:rtl/>
        </w:rPr>
        <w:t>הרא"ש</w:t>
      </w:r>
      <w:r w:rsidRPr="00D9622C">
        <w:rPr>
          <w:rFonts w:hint="cs"/>
          <w:sz w:val="18"/>
          <w:szCs w:val="18"/>
          <w:rtl/>
        </w:rPr>
        <w:t xml:space="preserve"> הקשה על עיקר דין זה כאמור לעיל, והטעם להחמיר הוא רק משום שלפעמים מקפידה להסיר, כגון בשעת לישה, ובאשה זו אין טעם להחמיר ואין לנו לחדש גזרות מדעתנו.</w:t>
      </w:r>
    </w:p>
  </w:footnote>
  <w:footnote w:id="650">
    <w:p w:rsidR="005953C5" w:rsidRDefault="005953C5" w:rsidP="00620060">
      <w:pPr>
        <w:pStyle w:val="a3"/>
      </w:pPr>
      <w:r w:rsidRPr="00385F68">
        <w:rPr>
          <w:rStyle w:val="a5"/>
          <w:sz w:val="18"/>
          <w:szCs w:val="18"/>
        </w:rPr>
        <w:footnoteRef/>
      </w:r>
      <w:r w:rsidRPr="00385F68">
        <w:rPr>
          <w:sz w:val="18"/>
          <w:szCs w:val="18"/>
          <w:rtl/>
        </w:rPr>
        <w:t xml:space="preserve"> </w:t>
      </w:r>
      <w:r w:rsidRPr="00385F68">
        <w:rPr>
          <w:rFonts w:hint="cs"/>
          <w:sz w:val="18"/>
          <w:szCs w:val="18"/>
          <w:rtl/>
        </w:rPr>
        <w:t xml:space="preserve">אך היא עצמה לא תניח ידיה על עיניה, משום שע"י כך יתכסה הבשר שבין הזרוע לאמה. </w:t>
      </w:r>
      <w:r w:rsidRPr="00385F68">
        <w:rPr>
          <w:sz w:val="18"/>
          <w:szCs w:val="18"/>
          <w:rtl/>
        </w:rPr>
        <w:br/>
      </w:r>
      <w:r w:rsidRPr="00385F68">
        <w:rPr>
          <w:rFonts w:hint="cs"/>
          <w:sz w:val="18"/>
          <w:szCs w:val="18"/>
          <w:rtl/>
        </w:rPr>
        <w:t>ולגבי חפיפת מקום העיניים, יש להקל ע"י עיון של אשה אחרת או שהיא עצמה תתבונן במראה.</w:t>
      </w:r>
    </w:p>
  </w:footnote>
  <w:footnote w:id="651">
    <w:p w:rsidR="005953C5" w:rsidRPr="00652F22" w:rsidRDefault="005953C5" w:rsidP="00620060">
      <w:pPr>
        <w:pStyle w:val="a3"/>
      </w:pPr>
      <w:r w:rsidRPr="00285B37">
        <w:rPr>
          <w:rStyle w:val="a5"/>
          <w:sz w:val="18"/>
          <w:szCs w:val="18"/>
        </w:rPr>
        <w:footnoteRef/>
      </w:r>
      <w:r w:rsidRPr="00285B37">
        <w:rPr>
          <w:sz w:val="18"/>
          <w:szCs w:val="18"/>
          <w:rtl/>
        </w:rPr>
        <w:t xml:space="preserve"> </w:t>
      </w:r>
      <w:r w:rsidRPr="00285B37">
        <w:rPr>
          <w:rFonts w:hint="cs"/>
          <w:b/>
          <w:bCs/>
          <w:sz w:val="18"/>
          <w:szCs w:val="18"/>
          <w:rtl/>
        </w:rPr>
        <w:t>הב"ח</w:t>
      </w:r>
      <w:r w:rsidRPr="00285B37">
        <w:rPr>
          <w:rFonts w:hint="cs"/>
          <w:sz w:val="18"/>
          <w:szCs w:val="18"/>
          <w:rtl/>
        </w:rPr>
        <w:t xml:space="preserve"> דקדק כן מלשון</w:t>
      </w:r>
      <w:r w:rsidRPr="00285B37">
        <w:rPr>
          <w:rFonts w:hint="cs"/>
          <w:b/>
          <w:bCs/>
          <w:sz w:val="18"/>
          <w:szCs w:val="18"/>
          <w:rtl/>
        </w:rPr>
        <w:t xml:space="preserve"> הטור</w:t>
      </w:r>
      <w:r w:rsidRPr="00285B37">
        <w:rPr>
          <w:rFonts w:hint="cs"/>
          <w:sz w:val="18"/>
          <w:szCs w:val="18"/>
          <w:rtl/>
        </w:rPr>
        <w:t xml:space="preserve"> שכתב </w:t>
      </w:r>
      <w:r w:rsidRPr="00285B37">
        <w:rPr>
          <w:sz w:val="18"/>
          <w:szCs w:val="18"/>
          <w:rtl/>
        </w:rPr>
        <w:t>–</w:t>
      </w:r>
      <w:r w:rsidRPr="00285B37">
        <w:rPr>
          <w:rFonts w:hint="cs"/>
          <w:sz w:val="18"/>
          <w:szCs w:val="18"/>
          <w:rtl/>
        </w:rPr>
        <w:t xml:space="preserve"> "</w:t>
      </w:r>
      <w:r w:rsidRPr="00285B37">
        <w:rPr>
          <w:rFonts w:cs="Arial"/>
          <w:sz w:val="18"/>
          <w:szCs w:val="18"/>
          <w:u w:val="single"/>
          <w:rtl/>
        </w:rPr>
        <w:t>צריכה</w:t>
      </w:r>
      <w:r w:rsidRPr="00285B37">
        <w:rPr>
          <w:rFonts w:cs="Arial"/>
          <w:sz w:val="18"/>
          <w:szCs w:val="18"/>
          <w:rtl/>
        </w:rPr>
        <w:t xml:space="preserve"> לחוץ שיניה שלא יהא שום דבר דבוק בה </w:t>
      </w:r>
      <w:r w:rsidRPr="00285B37">
        <w:rPr>
          <w:rFonts w:cs="Arial"/>
          <w:sz w:val="18"/>
          <w:szCs w:val="18"/>
          <w:u w:val="single"/>
          <w:rtl/>
        </w:rPr>
        <w:t>שאם טבלה ונמצא שום דבר ביניהם לא עלתה לה טביל</w:t>
      </w:r>
      <w:r w:rsidRPr="00285B37">
        <w:rPr>
          <w:rFonts w:cs="Arial" w:hint="cs"/>
          <w:sz w:val="18"/>
          <w:szCs w:val="18"/>
          <w:u w:val="single"/>
          <w:rtl/>
        </w:rPr>
        <w:t>ה</w:t>
      </w:r>
      <w:r w:rsidRPr="00285B37">
        <w:rPr>
          <w:rFonts w:cs="Arial" w:hint="cs"/>
          <w:sz w:val="18"/>
          <w:szCs w:val="18"/>
          <w:rtl/>
        </w:rPr>
        <w:t xml:space="preserve">". משמע שאין זה חוב אלא עצה טובה קמ"ל. דיוק זה דייק גם </w:t>
      </w:r>
      <w:r w:rsidRPr="00285B37">
        <w:rPr>
          <w:rFonts w:cs="Arial" w:hint="cs"/>
          <w:b/>
          <w:bCs/>
          <w:sz w:val="18"/>
          <w:szCs w:val="18"/>
          <w:rtl/>
        </w:rPr>
        <w:t>תרומת הדשן</w:t>
      </w:r>
      <w:r w:rsidRPr="00285B37">
        <w:rPr>
          <w:rFonts w:cs="Arial" w:hint="cs"/>
          <w:sz w:val="18"/>
          <w:szCs w:val="18"/>
          <w:rtl/>
        </w:rPr>
        <w:t xml:space="preserve"> לגבי בדיקת סכין בין שחיטת כמה עופות, זו לשון </w:t>
      </w:r>
      <w:r w:rsidRPr="00285B37">
        <w:rPr>
          <w:rFonts w:cs="Arial" w:hint="cs"/>
          <w:b/>
          <w:bCs/>
          <w:sz w:val="18"/>
          <w:szCs w:val="18"/>
          <w:rtl/>
        </w:rPr>
        <w:t>המחבר והרמ"א</w:t>
      </w:r>
      <w:r w:rsidRPr="00285B37">
        <w:rPr>
          <w:rFonts w:cs="Arial" w:hint="cs"/>
          <w:sz w:val="18"/>
          <w:szCs w:val="18"/>
          <w:rtl/>
        </w:rPr>
        <w:t xml:space="preserve"> שם </w:t>
      </w:r>
      <w:r w:rsidRPr="00285B37">
        <w:rPr>
          <w:rFonts w:cs="Arial" w:hint="cs"/>
          <w:sz w:val="16"/>
          <w:szCs w:val="16"/>
          <w:rtl/>
        </w:rPr>
        <w:t xml:space="preserve">(סימן יח) </w:t>
      </w:r>
      <w:r w:rsidRPr="00285B37">
        <w:rPr>
          <w:rFonts w:cs="Arial" w:hint="cs"/>
          <w:sz w:val="18"/>
          <w:szCs w:val="18"/>
          <w:rtl/>
        </w:rPr>
        <w:t>"</w:t>
      </w:r>
      <w:r w:rsidRPr="00285B37">
        <w:rPr>
          <w:rFonts w:cs="Arial"/>
          <w:sz w:val="18"/>
          <w:szCs w:val="18"/>
          <w:rtl/>
        </w:rPr>
        <w:t xml:space="preserve">השוחט בהמות רבות או עופות הרבה, צריך לבדוק בין כל אחד ואחד; שאם לא עשה כן ובדק באחרונה ונמצאת סכין פגומה, הרי הכל ספק נבילות ואפילו הראשונה. </w:t>
      </w:r>
      <w:r w:rsidRPr="00285B37">
        <w:rPr>
          <w:rFonts w:cs="Arial"/>
          <w:sz w:val="18"/>
          <w:szCs w:val="18"/>
          <w:u w:val="single"/>
          <w:rtl/>
        </w:rPr>
        <w:t>הגה: ומי שרוצה להכניס עצמו לספק זה אין צריך לבדוק סכין בין שחיטה לשחיטה</w:t>
      </w:r>
      <w:r w:rsidRPr="00285B37">
        <w:rPr>
          <w:rFonts w:cs="Arial" w:hint="cs"/>
          <w:sz w:val="18"/>
          <w:szCs w:val="18"/>
          <w:rtl/>
        </w:rPr>
        <w:t xml:space="preserve">". </w:t>
      </w:r>
      <w:r>
        <w:rPr>
          <w:rFonts w:cs="Arial"/>
          <w:sz w:val="18"/>
          <w:szCs w:val="18"/>
          <w:rtl/>
        </w:rPr>
        <w:br/>
      </w:r>
      <w:r w:rsidRPr="00285B37">
        <w:rPr>
          <w:rFonts w:cs="Arial" w:hint="cs"/>
          <w:sz w:val="18"/>
          <w:szCs w:val="18"/>
          <w:rtl/>
        </w:rPr>
        <w:t xml:space="preserve">דברי </w:t>
      </w:r>
      <w:r w:rsidRPr="00285B37">
        <w:rPr>
          <w:rFonts w:cs="Arial" w:hint="cs"/>
          <w:b/>
          <w:bCs/>
          <w:sz w:val="18"/>
          <w:szCs w:val="18"/>
          <w:rtl/>
        </w:rPr>
        <w:t>הרמ"א</w:t>
      </w:r>
      <w:r w:rsidRPr="00285B37">
        <w:rPr>
          <w:rFonts w:cs="Arial" w:hint="cs"/>
          <w:sz w:val="18"/>
          <w:szCs w:val="18"/>
          <w:rtl/>
        </w:rPr>
        <w:t xml:space="preserve"> הם ע"פ </w:t>
      </w:r>
      <w:r w:rsidRPr="00285B37">
        <w:rPr>
          <w:rFonts w:cs="Arial" w:hint="cs"/>
          <w:b/>
          <w:bCs/>
          <w:sz w:val="18"/>
          <w:szCs w:val="18"/>
          <w:rtl/>
        </w:rPr>
        <w:t>ת"ה</w:t>
      </w:r>
      <w:r w:rsidRPr="00285B37">
        <w:rPr>
          <w:rFonts w:cs="Arial" w:hint="cs"/>
          <w:sz w:val="18"/>
          <w:szCs w:val="18"/>
          <w:rtl/>
        </w:rPr>
        <w:t xml:space="preserve">, שהבין התם שזו עצה טובה בלבד. </w:t>
      </w:r>
      <w:r w:rsidRPr="00285B37">
        <w:rPr>
          <w:rFonts w:cs="Arial" w:hint="cs"/>
          <w:b/>
          <w:bCs/>
          <w:sz w:val="18"/>
          <w:szCs w:val="18"/>
          <w:rtl/>
        </w:rPr>
        <w:t>הב"ח</w:t>
      </w:r>
      <w:r w:rsidRPr="00285B37">
        <w:rPr>
          <w:rFonts w:cs="Arial" w:hint="cs"/>
          <w:sz w:val="18"/>
          <w:szCs w:val="18"/>
          <w:rtl/>
        </w:rPr>
        <w:t xml:space="preserve"> טוען שיש שוויון בי</w:t>
      </w:r>
      <w:r>
        <w:rPr>
          <w:rFonts w:cs="Arial" w:hint="cs"/>
          <w:sz w:val="18"/>
          <w:szCs w:val="18"/>
          <w:rtl/>
        </w:rPr>
        <w:t>ן המקרים וגם כאן זו עצה טובה</w:t>
      </w:r>
      <w:r w:rsidRPr="00285B37">
        <w:rPr>
          <w:rFonts w:cs="Arial" w:hint="cs"/>
          <w:sz w:val="18"/>
          <w:szCs w:val="18"/>
          <w:rtl/>
        </w:rPr>
        <w:t xml:space="preserve">. ברם, </w:t>
      </w:r>
      <w:r w:rsidRPr="00285B37">
        <w:rPr>
          <w:rFonts w:cs="Arial" w:hint="cs"/>
          <w:b/>
          <w:bCs/>
          <w:sz w:val="18"/>
          <w:szCs w:val="18"/>
          <w:rtl/>
        </w:rPr>
        <w:t>הש"ך</w:t>
      </w:r>
      <w:r w:rsidRPr="00285B37">
        <w:rPr>
          <w:rFonts w:cs="Arial" w:hint="cs"/>
          <w:sz w:val="18"/>
          <w:szCs w:val="18"/>
          <w:rtl/>
        </w:rPr>
        <w:t xml:space="preserve"> דוחה הוכחה זו </w:t>
      </w:r>
      <w:r w:rsidRPr="00285B37">
        <w:rPr>
          <w:rFonts w:cs="Arial"/>
          <w:sz w:val="18"/>
          <w:szCs w:val="18"/>
          <w:rtl/>
        </w:rPr>
        <w:t>–</w:t>
      </w:r>
      <w:r w:rsidRPr="00285B37">
        <w:rPr>
          <w:rFonts w:cs="Arial" w:hint="cs"/>
          <w:sz w:val="18"/>
          <w:szCs w:val="18"/>
          <w:rtl/>
        </w:rPr>
        <w:t xml:space="preserve"> דברי </w:t>
      </w:r>
      <w:r w:rsidRPr="00285B37">
        <w:rPr>
          <w:rFonts w:cs="Arial" w:hint="cs"/>
          <w:b/>
          <w:bCs/>
          <w:sz w:val="18"/>
          <w:szCs w:val="18"/>
          <w:rtl/>
        </w:rPr>
        <w:t>ת"ה</w:t>
      </w:r>
      <w:r w:rsidRPr="00285B37">
        <w:rPr>
          <w:rFonts w:cs="Arial" w:hint="cs"/>
          <w:sz w:val="18"/>
          <w:szCs w:val="18"/>
          <w:rtl/>
        </w:rPr>
        <w:t xml:space="preserve"> נאמרו רק לגבי </w:t>
      </w:r>
      <w:r>
        <w:rPr>
          <w:rFonts w:cs="Arial" w:hint="cs"/>
          <w:sz w:val="18"/>
          <w:szCs w:val="18"/>
          <w:rtl/>
        </w:rPr>
        <w:t>ש</w:t>
      </w:r>
      <w:r w:rsidRPr="00285B37">
        <w:rPr>
          <w:rFonts w:cs="Arial" w:hint="cs"/>
          <w:sz w:val="18"/>
          <w:szCs w:val="18"/>
          <w:rtl/>
        </w:rPr>
        <w:t xml:space="preserve">חיטה, משום שממילא יש חובה לבדוק את הסכין לאחר השחיטה, ולכן לא תיגרם תקלה מכך שלא יבדוק בין שחיטה לשחיטה, ולכל היותר ייגרם לשוחט נזק כלכלי. לעומת זאת, בטבילה אין חובה לבדוק את השיניים לאחר מעשה, ולכן יש חשש אמיתי </w:t>
      </w:r>
      <w:r>
        <w:rPr>
          <w:rFonts w:cs="Arial" w:hint="cs"/>
          <w:sz w:val="18"/>
          <w:szCs w:val="18"/>
          <w:rtl/>
        </w:rPr>
        <w:t>ל</w:t>
      </w:r>
      <w:r w:rsidRPr="00285B37">
        <w:rPr>
          <w:rFonts w:cs="Arial" w:hint="cs"/>
          <w:sz w:val="18"/>
          <w:szCs w:val="18"/>
          <w:rtl/>
        </w:rPr>
        <w:t>כך שהטבילה תהיה פסולה.</w:t>
      </w:r>
      <w:r w:rsidRPr="00285B37">
        <w:rPr>
          <w:rFonts w:cs="Arial"/>
          <w:sz w:val="18"/>
          <w:szCs w:val="18"/>
          <w:rtl/>
        </w:rPr>
        <w:t xml:space="preserve"> </w:t>
      </w:r>
      <w:r w:rsidRPr="00285B37">
        <w:rPr>
          <w:rFonts w:cs="Arial" w:hint="cs"/>
          <w:sz w:val="18"/>
          <w:szCs w:val="18"/>
          <w:rtl/>
        </w:rPr>
        <w:t xml:space="preserve"> </w:t>
      </w:r>
    </w:p>
  </w:footnote>
  <w:footnote w:id="652">
    <w:p w:rsidR="005953C5" w:rsidRDefault="005953C5" w:rsidP="00620060">
      <w:pPr>
        <w:pStyle w:val="a3"/>
        <w:rPr>
          <w:rtl/>
        </w:rPr>
      </w:pPr>
      <w:r w:rsidRPr="0010742C">
        <w:rPr>
          <w:rStyle w:val="a5"/>
          <w:sz w:val="18"/>
          <w:szCs w:val="18"/>
        </w:rPr>
        <w:footnoteRef/>
      </w:r>
      <w:r w:rsidRPr="0010742C">
        <w:rPr>
          <w:sz w:val="18"/>
          <w:szCs w:val="18"/>
          <w:rtl/>
        </w:rPr>
        <w:t xml:space="preserve"> </w:t>
      </w:r>
      <w:r w:rsidRPr="0010742C">
        <w:rPr>
          <w:rFonts w:hint="cs"/>
          <w:sz w:val="18"/>
          <w:szCs w:val="18"/>
          <w:rtl/>
        </w:rPr>
        <w:t xml:space="preserve">כתבו האחרונים שכן הדין גם בסעודת מצווה. אמנם, אם תיגרם לה בושה שירגישו </w:t>
      </w:r>
      <w:r>
        <w:rPr>
          <w:rFonts w:hint="cs"/>
          <w:sz w:val="18"/>
          <w:szCs w:val="18"/>
          <w:rtl/>
        </w:rPr>
        <w:t>ש</w:t>
      </w:r>
      <w:r w:rsidRPr="0010742C">
        <w:rPr>
          <w:rFonts w:hint="cs"/>
          <w:sz w:val="18"/>
          <w:szCs w:val="18"/>
          <w:rtl/>
        </w:rPr>
        <w:t xml:space="preserve">היא עומדת לטבול, כתב </w:t>
      </w:r>
      <w:r w:rsidRPr="00F14B45">
        <w:rPr>
          <w:rFonts w:hint="cs"/>
          <w:b/>
          <w:bCs/>
          <w:sz w:val="18"/>
          <w:szCs w:val="18"/>
          <w:rtl/>
        </w:rPr>
        <w:t>ששבה"ל</w:t>
      </w:r>
      <w:r w:rsidRPr="0010742C">
        <w:rPr>
          <w:rFonts w:hint="cs"/>
          <w:sz w:val="18"/>
          <w:szCs w:val="18"/>
          <w:rtl/>
        </w:rPr>
        <w:t xml:space="preserve"> להקל</w:t>
      </w:r>
      <w:r w:rsidRPr="00F14B45">
        <w:rPr>
          <w:rFonts w:hint="cs"/>
          <w:sz w:val="18"/>
          <w:szCs w:val="18"/>
          <w:rtl/>
        </w:rPr>
        <w:t>,</w:t>
      </w:r>
      <w:r w:rsidRPr="00F14B45">
        <w:rPr>
          <w:rFonts w:hint="cs"/>
          <w:b/>
          <w:bCs/>
          <w:sz w:val="18"/>
          <w:szCs w:val="18"/>
          <w:rtl/>
        </w:rPr>
        <w:t xml:space="preserve"> ובבדה"ש</w:t>
      </w:r>
      <w:r w:rsidRPr="0010742C">
        <w:rPr>
          <w:rFonts w:hint="cs"/>
          <w:sz w:val="18"/>
          <w:szCs w:val="18"/>
          <w:rtl/>
        </w:rPr>
        <w:t xml:space="preserve"> החמיר.</w:t>
      </w:r>
    </w:p>
  </w:footnote>
  <w:footnote w:id="653">
    <w:p w:rsidR="005953C5" w:rsidRDefault="005953C5" w:rsidP="00620060">
      <w:pPr>
        <w:pStyle w:val="a3"/>
        <w:rPr>
          <w:rtl/>
        </w:rPr>
      </w:pPr>
      <w:r w:rsidRPr="00A5080C">
        <w:rPr>
          <w:rStyle w:val="a5"/>
          <w:sz w:val="18"/>
          <w:szCs w:val="18"/>
        </w:rPr>
        <w:footnoteRef/>
      </w:r>
      <w:r w:rsidRPr="00A5080C">
        <w:rPr>
          <w:sz w:val="18"/>
          <w:szCs w:val="18"/>
          <w:rtl/>
        </w:rPr>
        <w:t xml:space="preserve"> </w:t>
      </w:r>
      <w:r>
        <w:rPr>
          <w:rFonts w:hint="cs"/>
          <w:sz w:val="18"/>
          <w:szCs w:val="18"/>
          <w:rtl/>
        </w:rPr>
        <w:t xml:space="preserve"> </w:t>
      </w:r>
      <w:r w:rsidRPr="00A5080C">
        <w:rPr>
          <w:rFonts w:hint="cs"/>
          <w:b/>
          <w:bCs/>
          <w:sz w:val="18"/>
          <w:szCs w:val="18"/>
          <w:rtl/>
        </w:rPr>
        <w:t>ששבה"ל</w:t>
      </w:r>
      <w:r>
        <w:rPr>
          <w:rFonts w:hint="cs"/>
          <w:sz w:val="18"/>
          <w:szCs w:val="18"/>
          <w:rtl/>
        </w:rPr>
        <w:t xml:space="preserve"> - </w:t>
      </w:r>
      <w:r w:rsidRPr="00A5080C">
        <w:rPr>
          <w:rFonts w:hint="cs"/>
          <w:sz w:val="18"/>
          <w:szCs w:val="18"/>
          <w:rtl/>
        </w:rPr>
        <w:t xml:space="preserve">בית הסתרים </w:t>
      </w:r>
      <w:r w:rsidRPr="00A5080C">
        <w:rPr>
          <w:sz w:val="18"/>
          <w:szCs w:val="18"/>
          <w:rtl/>
        </w:rPr>
        <w:t>–</w:t>
      </w:r>
      <w:r w:rsidRPr="00A5080C">
        <w:rPr>
          <w:rFonts w:hint="cs"/>
          <w:sz w:val="18"/>
          <w:szCs w:val="18"/>
          <w:rtl/>
        </w:rPr>
        <w:t xml:space="preserve"> תוך האף, תוך האוזן, תוך הפה, אותו מקום.</w:t>
      </w:r>
      <w:r w:rsidRPr="00A5080C">
        <w:rPr>
          <w:sz w:val="18"/>
          <w:szCs w:val="18"/>
          <w:rtl/>
        </w:rPr>
        <w:br/>
      </w:r>
      <w:r w:rsidRPr="00A5080C">
        <w:rPr>
          <w:rFonts w:hint="cs"/>
          <w:sz w:val="18"/>
          <w:szCs w:val="18"/>
          <w:rtl/>
        </w:rPr>
        <w:t xml:space="preserve">בית הקמטים </w:t>
      </w:r>
      <w:r w:rsidRPr="00A5080C">
        <w:rPr>
          <w:sz w:val="18"/>
          <w:szCs w:val="18"/>
          <w:rtl/>
        </w:rPr>
        <w:t>–</w:t>
      </w:r>
      <w:r w:rsidRPr="00A5080C">
        <w:rPr>
          <w:rFonts w:hint="cs"/>
          <w:sz w:val="18"/>
          <w:szCs w:val="18"/>
          <w:rtl/>
        </w:rPr>
        <w:t xml:space="preserve"> כל קמטי הבשר שיש בגוף, כבית השחי ותחת הצוואר.</w:t>
      </w:r>
    </w:p>
  </w:footnote>
  <w:footnote w:id="654">
    <w:p w:rsidR="005953C5" w:rsidRDefault="005953C5" w:rsidP="00620060">
      <w:pPr>
        <w:pStyle w:val="a3"/>
      </w:pPr>
      <w:r w:rsidRPr="0097397E">
        <w:rPr>
          <w:rStyle w:val="a5"/>
          <w:sz w:val="18"/>
          <w:szCs w:val="18"/>
        </w:rPr>
        <w:footnoteRef/>
      </w:r>
      <w:r w:rsidRPr="0097397E">
        <w:rPr>
          <w:sz w:val="18"/>
          <w:szCs w:val="18"/>
          <w:rtl/>
        </w:rPr>
        <w:t xml:space="preserve"> </w:t>
      </w:r>
      <w:r w:rsidRPr="0097397E">
        <w:rPr>
          <w:rFonts w:hint="cs"/>
          <w:b/>
          <w:bCs/>
          <w:sz w:val="18"/>
          <w:szCs w:val="18"/>
          <w:rtl/>
        </w:rPr>
        <w:t>בדה"ש</w:t>
      </w:r>
      <w:r w:rsidRPr="0097397E">
        <w:rPr>
          <w:rFonts w:hint="cs"/>
          <w:sz w:val="18"/>
          <w:szCs w:val="18"/>
          <w:rtl/>
        </w:rPr>
        <w:t xml:space="preserve"> </w:t>
      </w:r>
      <w:r w:rsidRPr="0097397E">
        <w:rPr>
          <w:sz w:val="18"/>
          <w:szCs w:val="18"/>
          <w:rtl/>
        </w:rPr>
        <w:t>–</w:t>
      </w:r>
      <w:r w:rsidRPr="0097397E">
        <w:rPr>
          <w:rFonts w:hint="cs"/>
          <w:sz w:val="18"/>
          <w:szCs w:val="18"/>
          <w:rtl/>
        </w:rPr>
        <w:t xml:space="preserve"> מסתבר שלאחר הטבילה צריכה לבדוק במקומות אלו אם הי</w:t>
      </w:r>
      <w:r>
        <w:rPr>
          <w:rFonts w:hint="cs"/>
          <w:sz w:val="18"/>
          <w:szCs w:val="18"/>
          <w:rtl/>
        </w:rPr>
        <w:t>ת</w:t>
      </w:r>
      <w:r w:rsidRPr="0097397E">
        <w:rPr>
          <w:rFonts w:hint="cs"/>
          <w:sz w:val="18"/>
          <w:szCs w:val="18"/>
          <w:rtl/>
        </w:rPr>
        <w:t xml:space="preserve">ה בהן חציצה, כשם שצריכה היא לבדוק לפני </w:t>
      </w:r>
      <w:r w:rsidRPr="00AF6CC3">
        <w:rPr>
          <w:rFonts w:hint="cs"/>
          <w:sz w:val="18"/>
          <w:szCs w:val="18"/>
          <w:rtl/>
        </w:rPr>
        <w:t>כן</w:t>
      </w:r>
      <w:r>
        <w:rPr>
          <w:rFonts w:hint="cs"/>
          <w:rtl/>
        </w:rPr>
        <w:t>.</w:t>
      </w:r>
    </w:p>
  </w:footnote>
  <w:footnote w:id="655">
    <w:p w:rsidR="005953C5" w:rsidRPr="00EE08ED" w:rsidRDefault="005953C5" w:rsidP="00620060">
      <w:pPr>
        <w:pStyle w:val="a3"/>
        <w:rPr>
          <w:sz w:val="18"/>
          <w:szCs w:val="18"/>
        </w:rPr>
      </w:pPr>
      <w:r w:rsidRPr="00EE08ED">
        <w:rPr>
          <w:rStyle w:val="a5"/>
          <w:sz w:val="18"/>
          <w:szCs w:val="18"/>
        </w:rPr>
        <w:footnoteRef/>
      </w:r>
      <w:r w:rsidRPr="00EE08ED">
        <w:rPr>
          <w:sz w:val="18"/>
          <w:szCs w:val="18"/>
          <w:rtl/>
        </w:rPr>
        <w:t xml:space="preserve"> </w:t>
      </w:r>
      <w:r w:rsidRPr="00EE08ED">
        <w:rPr>
          <w:rFonts w:hint="cs"/>
          <w:sz w:val="18"/>
          <w:szCs w:val="18"/>
          <w:rtl/>
        </w:rPr>
        <w:t>ולדינא לא רצה לסמוך על חילוק זה, וכתב שאם יסכימו עמו עוד שני רבנים יורה כך למעשה.</w:t>
      </w:r>
      <w:r>
        <w:rPr>
          <w:sz w:val="18"/>
          <w:szCs w:val="18"/>
          <w:rtl/>
        </w:rPr>
        <w:br/>
      </w:r>
      <w:r>
        <w:rPr>
          <w:rFonts w:hint="cs"/>
          <w:sz w:val="18"/>
          <w:szCs w:val="18"/>
          <w:rtl/>
        </w:rPr>
        <w:t xml:space="preserve">ועיין </w:t>
      </w:r>
      <w:r w:rsidRPr="005446C8">
        <w:rPr>
          <w:rFonts w:hint="cs"/>
          <w:b/>
          <w:bCs/>
          <w:sz w:val="18"/>
          <w:szCs w:val="18"/>
          <w:rtl/>
        </w:rPr>
        <w:t>בפת"ש</w:t>
      </w:r>
      <w:r>
        <w:rPr>
          <w:rFonts w:hint="cs"/>
          <w:sz w:val="18"/>
          <w:szCs w:val="18"/>
          <w:rtl/>
        </w:rPr>
        <w:t xml:space="preserve"> בהרחבה לגבי הפסק טהרה ובדיקת ז' נקיים כיצד תעשה.</w:t>
      </w:r>
    </w:p>
  </w:footnote>
  <w:footnote w:id="656">
    <w:p w:rsidR="005953C5" w:rsidRDefault="005953C5" w:rsidP="00620060">
      <w:pPr>
        <w:pStyle w:val="a3"/>
        <w:rPr>
          <w:rtl/>
        </w:rPr>
      </w:pPr>
      <w:r w:rsidRPr="002B5C67">
        <w:rPr>
          <w:rStyle w:val="a5"/>
          <w:sz w:val="18"/>
          <w:szCs w:val="18"/>
        </w:rPr>
        <w:footnoteRef/>
      </w:r>
      <w:r w:rsidRPr="002B5C67">
        <w:rPr>
          <w:sz w:val="18"/>
          <w:szCs w:val="18"/>
          <w:rtl/>
        </w:rPr>
        <w:t xml:space="preserve"> </w:t>
      </w:r>
      <w:r w:rsidRPr="002B5C67">
        <w:rPr>
          <w:rFonts w:hint="cs"/>
          <w:sz w:val="18"/>
          <w:szCs w:val="18"/>
          <w:rtl/>
        </w:rPr>
        <w:t xml:space="preserve">ברישא של משנה זו נאמר כך </w:t>
      </w:r>
      <w:r w:rsidRPr="002B5C67">
        <w:rPr>
          <w:sz w:val="18"/>
          <w:szCs w:val="18"/>
          <w:rtl/>
        </w:rPr>
        <w:t>–</w:t>
      </w:r>
      <w:r w:rsidRPr="002B5C67">
        <w:rPr>
          <w:rFonts w:hint="cs"/>
          <w:sz w:val="18"/>
          <w:szCs w:val="18"/>
          <w:rtl/>
        </w:rPr>
        <w:t xml:space="preserve"> "</w:t>
      </w:r>
      <w:r w:rsidRPr="002B5C67">
        <w:rPr>
          <w:rFonts w:cs="Arial"/>
          <w:sz w:val="18"/>
          <w:szCs w:val="18"/>
          <w:rtl/>
        </w:rPr>
        <w:t>נדה שנתנה מעות בפיה וירדה וטבלה טהורה מטומאתה אבל טמאה היא על גב רוקה</w:t>
      </w:r>
      <w:r w:rsidRPr="002B5C67">
        <w:rPr>
          <w:rFonts w:cs="Arial" w:hint="cs"/>
          <w:sz w:val="18"/>
          <w:szCs w:val="18"/>
          <w:rtl/>
        </w:rPr>
        <w:t>". ומעיר הבית יוסף שלגבי טבילה פשיטא שעלתה הואיל שאין המטבעות מהודקות בפיה ולכן אינן חוצצות, אך התנא קמ"ל לגבי טומאה מחמת רוקה. אמנם, מכיוון שלדידן אין נפקותא בדין זה השמיטוהו הפוסקים.</w:t>
      </w:r>
    </w:p>
  </w:footnote>
  <w:footnote w:id="657">
    <w:p w:rsidR="005953C5" w:rsidRPr="00DA68BA" w:rsidRDefault="005953C5" w:rsidP="00620060">
      <w:pPr>
        <w:pStyle w:val="a3"/>
        <w:rPr>
          <w:sz w:val="18"/>
          <w:szCs w:val="18"/>
          <w:rtl/>
        </w:rPr>
      </w:pPr>
      <w:r w:rsidRPr="00DA68BA">
        <w:rPr>
          <w:rStyle w:val="a5"/>
          <w:sz w:val="18"/>
          <w:szCs w:val="18"/>
        </w:rPr>
        <w:footnoteRef/>
      </w:r>
      <w:r w:rsidRPr="00DA68BA">
        <w:rPr>
          <w:sz w:val="18"/>
          <w:szCs w:val="18"/>
          <w:rtl/>
        </w:rPr>
        <w:t xml:space="preserve"> </w:t>
      </w:r>
      <w:r w:rsidRPr="00DA68BA">
        <w:rPr>
          <w:rFonts w:hint="cs"/>
          <w:b/>
          <w:bCs/>
          <w:sz w:val="18"/>
          <w:szCs w:val="18"/>
          <w:rtl/>
        </w:rPr>
        <w:t>בדה"ש</w:t>
      </w:r>
      <w:r w:rsidRPr="00DA68BA">
        <w:rPr>
          <w:rFonts w:hint="cs"/>
          <w:sz w:val="18"/>
          <w:szCs w:val="18"/>
          <w:rtl/>
        </w:rPr>
        <w:t xml:space="preserve"> תלה זאת בשאלה מדוע הידוק השפתיים חוצץ. </w:t>
      </w:r>
      <w:r w:rsidRPr="00DA68BA">
        <w:rPr>
          <w:rFonts w:hint="cs"/>
          <w:b/>
          <w:bCs/>
          <w:sz w:val="18"/>
          <w:szCs w:val="18"/>
          <w:rtl/>
        </w:rPr>
        <w:t>ר"ש</w:t>
      </w:r>
      <w:r w:rsidRPr="00DA68BA">
        <w:rPr>
          <w:rFonts w:hint="cs"/>
          <w:sz w:val="18"/>
          <w:szCs w:val="18"/>
          <w:rtl/>
        </w:rPr>
        <w:t xml:space="preserve"> כתב שהוא מטעם שאין המים ראויים להיכנס, אך יש מפרשים שהטעם הוא משום שחלק מהשפתיים מכוסה והוי כמיעוטו שמקפדת עליו. לפי"ז, יש לומר </w:t>
      </w:r>
      <w:r w:rsidRPr="00DA68BA">
        <w:rPr>
          <w:rFonts w:hint="cs"/>
          <w:b/>
          <w:bCs/>
          <w:sz w:val="18"/>
          <w:szCs w:val="18"/>
          <w:rtl/>
        </w:rPr>
        <w:t>שהחמודי דניאל</w:t>
      </w:r>
      <w:r w:rsidRPr="00DA68BA">
        <w:rPr>
          <w:rFonts w:hint="cs"/>
          <w:sz w:val="18"/>
          <w:szCs w:val="18"/>
          <w:rtl/>
        </w:rPr>
        <w:t xml:space="preserve"> סובר כטעם השני, וכיוון שבשיניים אין חלק מכוסה טהורה.</w:t>
      </w:r>
    </w:p>
  </w:footnote>
  <w:footnote w:id="658">
    <w:p w:rsidR="005953C5" w:rsidRDefault="005953C5" w:rsidP="00620060">
      <w:pPr>
        <w:pStyle w:val="a3"/>
      </w:pPr>
      <w:r w:rsidRPr="00DA68BA">
        <w:rPr>
          <w:rStyle w:val="a5"/>
          <w:sz w:val="18"/>
          <w:szCs w:val="18"/>
        </w:rPr>
        <w:footnoteRef/>
      </w:r>
      <w:r w:rsidRPr="00DA68BA">
        <w:rPr>
          <w:sz w:val="18"/>
          <w:szCs w:val="18"/>
          <w:rtl/>
        </w:rPr>
        <w:t xml:space="preserve"> </w:t>
      </w:r>
      <w:r w:rsidRPr="00DA68BA">
        <w:rPr>
          <w:rFonts w:hint="cs"/>
          <w:sz w:val="18"/>
          <w:szCs w:val="18"/>
          <w:rtl/>
        </w:rPr>
        <w:t>שחושש לטעמו של ר"ש דאין המקום ראוי לביאת מים, והכא נמי כן הוא.</w:t>
      </w:r>
    </w:p>
  </w:footnote>
  <w:footnote w:id="659">
    <w:p w:rsidR="005953C5" w:rsidRDefault="005953C5" w:rsidP="00620060">
      <w:pPr>
        <w:pStyle w:val="a3"/>
      </w:pPr>
      <w:r w:rsidRPr="00C26F79">
        <w:rPr>
          <w:rStyle w:val="a5"/>
          <w:sz w:val="18"/>
          <w:szCs w:val="18"/>
        </w:rPr>
        <w:footnoteRef/>
      </w:r>
      <w:r w:rsidRPr="00C26F79">
        <w:rPr>
          <w:sz w:val="18"/>
          <w:szCs w:val="18"/>
          <w:rtl/>
        </w:rPr>
        <w:t xml:space="preserve"> </w:t>
      </w:r>
      <w:r w:rsidRPr="00C26F79">
        <w:rPr>
          <w:rFonts w:hint="cs"/>
          <w:b/>
          <w:bCs/>
          <w:sz w:val="18"/>
          <w:szCs w:val="18"/>
          <w:rtl/>
        </w:rPr>
        <w:t>הב"ח</w:t>
      </w:r>
      <w:r w:rsidRPr="00C26F79">
        <w:rPr>
          <w:rFonts w:hint="cs"/>
          <w:sz w:val="18"/>
          <w:szCs w:val="18"/>
          <w:rtl/>
        </w:rPr>
        <w:t xml:space="preserve"> לא המציא סברה זו, אלא היא נכתבה כבר בדברי </w:t>
      </w:r>
      <w:r w:rsidRPr="00C26F79">
        <w:rPr>
          <w:rFonts w:hint="cs"/>
          <w:b/>
          <w:bCs/>
          <w:sz w:val="18"/>
          <w:szCs w:val="18"/>
          <w:rtl/>
        </w:rPr>
        <w:t>הרא"ה</w:t>
      </w:r>
      <w:r w:rsidRPr="00C26F79">
        <w:rPr>
          <w:rFonts w:hint="cs"/>
          <w:sz w:val="18"/>
          <w:szCs w:val="18"/>
          <w:rtl/>
        </w:rPr>
        <w:t xml:space="preserve"> ליישב את שיטת </w:t>
      </w:r>
      <w:r w:rsidRPr="00C26F79">
        <w:rPr>
          <w:rFonts w:hint="cs"/>
          <w:b/>
          <w:bCs/>
          <w:sz w:val="18"/>
          <w:szCs w:val="18"/>
          <w:rtl/>
        </w:rPr>
        <w:t>הרמב"ם</w:t>
      </w:r>
      <w:r w:rsidRPr="00C26F79">
        <w:rPr>
          <w:rFonts w:hint="cs"/>
          <w:sz w:val="18"/>
          <w:szCs w:val="18"/>
          <w:rtl/>
        </w:rPr>
        <w:t>.</w:t>
      </w:r>
      <w:r w:rsidRPr="00C26F79">
        <w:rPr>
          <w:sz w:val="18"/>
          <w:szCs w:val="18"/>
          <w:rtl/>
        </w:rPr>
        <w:br/>
      </w:r>
      <w:r w:rsidRPr="00C26F79">
        <w:rPr>
          <w:rFonts w:hint="cs"/>
          <w:sz w:val="18"/>
          <w:szCs w:val="18"/>
          <w:rtl/>
        </w:rPr>
        <w:t xml:space="preserve">ביאור </w:t>
      </w:r>
      <w:r w:rsidRPr="00C26F79">
        <w:rPr>
          <w:sz w:val="18"/>
          <w:szCs w:val="18"/>
          <w:rtl/>
        </w:rPr>
        <w:t>–</w:t>
      </w:r>
      <w:r w:rsidRPr="00C26F79">
        <w:rPr>
          <w:rFonts w:hint="cs"/>
          <w:sz w:val="18"/>
          <w:szCs w:val="18"/>
          <w:rtl/>
        </w:rPr>
        <w:t xml:space="preserve"> </w:t>
      </w:r>
      <w:r w:rsidRPr="00C26F79">
        <w:rPr>
          <w:rFonts w:hint="cs"/>
          <w:b/>
          <w:bCs/>
          <w:sz w:val="18"/>
          <w:szCs w:val="18"/>
          <w:rtl/>
        </w:rPr>
        <w:t>הרשב"א</w:t>
      </w:r>
      <w:r w:rsidRPr="00C26F79">
        <w:rPr>
          <w:rFonts w:hint="cs"/>
          <w:sz w:val="18"/>
          <w:szCs w:val="18"/>
          <w:rtl/>
        </w:rPr>
        <w:t xml:space="preserve"> הקשה בתוה"ב על שיטת </w:t>
      </w:r>
      <w:r w:rsidRPr="00C26F79">
        <w:rPr>
          <w:rFonts w:hint="cs"/>
          <w:b/>
          <w:bCs/>
          <w:sz w:val="18"/>
          <w:szCs w:val="18"/>
          <w:rtl/>
        </w:rPr>
        <w:t>הרמב"ם</w:t>
      </w:r>
      <w:r w:rsidRPr="00C26F79">
        <w:rPr>
          <w:rFonts w:hint="cs"/>
          <w:sz w:val="18"/>
          <w:szCs w:val="18"/>
          <w:rtl/>
        </w:rPr>
        <w:t xml:space="preserve"> מדין שירים ונזמים שאין גוזרים בהם רפוי אטו אינו רפוי, ואם כן מאי שנא כאן </w:t>
      </w:r>
      <w:r w:rsidRPr="00C26F79">
        <w:rPr>
          <w:rFonts w:hint="cs"/>
          <w:b/>
          <w:bCs/>
          <w:sz w:val="18"/>
          <w:szCs w:val="18"/>
          <w:rtl/>
        </w:rPr>
        <w:t>שהרמב"ם</w:t>
      </w:r>
      <w:r w:rsidRPr="00C26F79">
        <w:rPr>
          <w:rFonts w:hint="cs"/>
          <w:sz w:val="18"/>
          <w:szCs w:val="18"/>
          <w:rtl/>
        </w:rPr>
        <w:t xml:space="preserve"> גוזר? ותירץ הרא"ה שדווקא באוחז באדם יש לחוש שיהדק חזק כדי שלא ייפלו מידו</w:t>
      </w:r>
      <w:r>
        <w:rPr>
          <w:rFonts w:hint="cs"/>
          <w:sz w:val="18"/>
          <w:szCs w:val="18"/>
          <w:rtl/>
        </w:rPr>
        <w:t>,</w:t>
      </w:r>
      <w:r w:rsidRPr="00C26F79">
        <w:rPr>
          <w:rFonts w:hint="cs"/>
          <w:sz w:val="18"/>
          <w:szCs w:val="18"/>
          <w:rtl/>
        </w:rPr>
        <w:t xml:space="preserve"> אבל בשאר דוכתי אין סברה לגזור זאת.</w:t>
      </w:r>
    </w:p>
  </w:footnote>
  <w:footnote w:id="660">
    <w:p w:rsidR="005953C5" w:rsidRDefault="005953C5" w:rsidP="00620060">
      <w:pPr>
        <w:pStyle w:val="a3"/>
      </w:pPr>
      <w:r w:rsidRPr="009C13FC">
        <w:rPr>
          <w:rStyle w:val="a5"/>
          <w:sz w:val="18"/>
          <w:szCs w:val="18"/>
        </w:rPr>
        <w:footnoteRef/>
      </w:r>
      <w:r w:rsidRPr="009C13FC">
        <w:rPr>
          <w:sz w:val="18"/>
          <w:szCs w:val="18"/>
          <w:rtl/>
        </w:rPr>
        <w:t xml:space="preserve"> </w:t>
      </w:r>
      <w:r w:rsidRPr="009C13FC">
        <w:rPr>
          <w:rFonts w:hint="cs"/>
          <w:sz w:val="18"/>
          <w:szCs w:val="18"/>
          <w:rtl/>
        </w:rPr>
        <w:t xml:space="preserve">וכן דעת </w:t>
      </w:r>
      <w:r w:rsidRPr="009C13FC">
        <w:rPr>
          <w:rFonts w:hint="cs"/>
          <w:b/>
          <w:bCs/>
          <w:sz w:val="18"/>
          <w:szCs w:val="18"/>
          <w:rtl/>
        </w:rPr>
        <w:t>המרדכי</w:t>
      </w:r>
      <w:r w:rsidRPr="009C13FC">
        <w:rPr>
          <w:rFonts w:hint="cs"/>
          <w:sz w:val="18"/>
          <w:szCs w:val="18"/>
          <w:rtl/>
        </w:rPr>
        <w:t xml:space="preserve"> לגבי טבילת כלים, ולכן פסק שאין להטביל כלי מלא מים בתוך כלי אחר, משום שמחמת כובד הכלי מתהווה חציצה בתחתיתו.</w:t>
      </w:r>
    </w:p>
  </w:footnote>
  <w:footnote w:id="661">
    <w:p w:rsidR="005953C5" w:rsidRPr="00A31AC1" w:rsidRDefault="005953C5" w:rsidP="00620060">
      <w:pPr>
        <w:pStyle w:val="a3"/>
        <w:rPr>
          <w:sz w:val="18"/>
          <w:szCs w:val="18"/>
          <w:rtl/>
        </w:rPr>
      </w:pPr>
      <w:r w:rsidRPr="00A31AC1">
        <w:rPr>
          <w:rStyle w:val="a5"/>
          <w:sz w:val="18"/>
          <w:szCs w:val="18"/>
        </w:rPr>
        <w:footnoteRef/>
      </w:r>
      <w:r w:rsidRPr="00A31AC1">
        <w:rPr>
          <w:sz w:val="18"/>
          <w:szCs w:val="18"/>
          <w:rtl/>
        </w:rPr>
        <w:t xml:space="preserve"> </w:t>
      </w:r>
      <w:r w:rsidRPr="00A31AC1">
        <w:rPr>
          <w:rFonts w:hint="cs"/>
          <w:sz w:val="18"/>
          <w:szCs w:val="18"/>
          <w:rtl/>
        </w:rPr>
        <w:t xml:space="preserve">עיין במאמרו של הרב </w:t>
      </w:r>
      <w:r w:rsidRPr="00A31AC1">
        <w:rPr>
          <w:rFonts w:hint="cs"/>
          <w:b/>
          <w:bCs/>
          <w:sz w:val="18"/>
          <w:szCs w:val="18"/>
          <w:rtl/>
        </w:rPr>
        <w:t>יחיאל מיכל שטרן</w:t>
      </w:r>
      <w:r w:rsidRPr="00A31AC1">
        <w:rPr>
          <w:rFonts w:hint="cs"/>
          <w:sz w:val="18"/>
          <w:szCs w:val="18"/>
          <w:rtl/>
        </w:rPr>
        <w:t xml:space="preserve"> - </w:t>
      </w:r>
      <w:r w:rsidRPr="00A31AC1">
        <w:rPr>
          <w:sz w:val="18"/>
          <w:szCs w:val="18"/>
          <w:rtl/>
        </w:rPr>
        <w:br/>
      </w:r>
      <w:r w:rsidRPr="00A31AC1">
        <w:rPr>
          <w:rFonts w:hint="cs"/>
          <w:sz w:val="18"/>
          <w:szCs w:val="18"/>
          <w:rtl/>
        </w:rPr>
        <w:t xml:space="preserve"> </w:t>
      </w:r>
      <w:r w:rsidRPr="00A31AC1">
        <w:rPr>
          <w:rFonts w:cs="Arial"/>
          <w:sz w:val="18"/>
          <w:szCs w:val="18"/>
          <w:rtl/>
        </w:rPr>
        <w:t>כותר: הצעה לטבילת נשים נכות ומשותקות גפיים</w:t>
      </w:r>
    </w:p>
    <w:p w:rsidR="005953C5" w:rsidRPr="00A31AC1" w:rsidRDefault="005953C5" w:rsidP="00620060">
      <w:pPr>
        <w:pStyle w:val="a3"/>
        <w:rPr>
          <w:sz w:val="18"/>
          <w:szCs w:val="18"/>
          <w:rtl/>
        </w:rPr>
      </w:pPr>
      <w:r w:rsidRPr="00A31AC1">
        <w:rPr>
          <w:rFonts w:cs="Arial"/>
          <w:sz w:val="18"/>
          <w:szCs w:val="18"/>
          <w:rtl/>
        </w:rPr>
        <w:t>מחבר: הרב יחיאל מיכל שטרן</w:t>
      </w:r>
    </w:p>
    <w:p w:rsidR="005953C5" w:rsidRDefault="005953C5" w:rsidP="00620060">
      <w:pPr>
        <w:pStyle w:val="a3"/>
      </w:pPr>
      <w:r w:rsidRPr="00A31AC1">
        <w:rPr>
          <w:rFonts w:cs="Arial"/>
          <w:sz w:val="18"/>
          <w:szCs w:val="18"/>
          <w:rtl/>
        </w:rPr>
        <w:t xml:space="preserve">כתב עת: עמק הלכה אסיא א, 275 - 257 </w:t>
      </w:r>
      <w:r w:rsidRPr="00A31AC1">
        <w:rPr>
          <w:rFonts w:hint="cs"/>
          <w:sz w:val="18"/>
          <w:szCs w:val="18"/>
          <w:rtl/>
        </w:rPr>
        <w:t xml:space="preserve"> </w:t>
      </w:r>
      <w:r w:rsidRPr="00A31AC1">
        <w:rPr>
          <w:sz w:val="18"/>
          <w:szCs w:val="18"/>
          <w:rtl/>
        </w:rPr>
        <w:br/>
      </w:r>
      <w:r w:rsidRPr="00A31AC1">
        <w:rPr>
          <w:rFonts w:hint="cs"/>
          <w:sz w:val="18"/>
          <w:szCs w:val="18"/>
          <w:rtl/>
        </w:rPr>
        <w:t xml:space="preserve">וכתב שם עוד </w:t>
      </w:r>
      <w:r w:rsidRPr="00A31AC1">
        <w:rPr>
          <w:sz w:val="18"/>
          <w:szCs w:val="18"/>
          <w:rtl/>
        </w:rPr>
        <w:t>–</w:t>
      </w:r>
      <w:r w:rsidRPr="00A31AC1">
        <w:rPr>
          <w:rFonts w:hint="cs"/>
          <w:sz w:val="18"/>
          <w:szCs w:val="18"/>
          <w:rtl/>
        </w:rPr>
        <w:t xml:space="preserve"> יש לה להגביה עצמה מעט בשעה שהמעלית נכנסת למקווה. ביאור </w:t>
      </w:r>
      <w:r w:rsidRPr="00A31AC1">
        <w:rPr>
          <w:sz w:val="18"/>
          <w:szCs w:val="18"/>
          <w:rtl/>
        </w:rPr>
        <w:t>–</w:t>
      </w:r>
      <w:r w:rsidRPr="00A31AC1">
        <w:rPr>
          <w:rFonts w:hint="cs"/>
          <w:sz w:val="18"/>
          <w:szCs w:val="18"/>
          <w:rtl/>
        </w:rPr>
        <w:t xml:space="preserve"> ה</w:t>
      </w:r>
      <w:r>
        <w:rPr>
          <w:rFonts w:hint="cs"/>
          <w:sz w:val="18"/>
          <w:szCs w:val="18"/>
          <w:rtl/>
        </w:rPr>
        <w:t>ראשונים</w:t>
      </w:r>
      <w:r w:rsidRPr="00A31AC1">
        <w:rPr>
          <w:rFonts w:hint="cs"/>
          <w:sz w:val="18"/>
          <w:szCs w:val="18"/>
          <w:rtl/>
        </w:rPr>
        <w:t xml:space="preserve"> כתבו שקרקע המקווה אינה חוצצת בכפות רגלי הטובל משום שהמים מקדמים ובאים. בטבילת נכה באופן הנ"ל ליכא סברה זו ומקום המושב בכיסא מהווה חציצה. לכן, צריכה להתרומם מעט בשעה שנכנסת למים </w:t>
      </w:r>
      <w:r w:rsidRPr="00A31AC1">
        <w:rPr>
          <w:rFonts w:hint="cs"/>
          <w:sz w:val="16"/>
          <w:szCs w:val="16"/>
          <w:rtl/>
        </w:rPr>
        <w:t>(או כשהיא כבר בתוך המים גם כן מהני לענ"ד)</w:t>
      </w:r>
      <w:r w:rsidRPr="00A31AC1">
        <w:rPr>
          <w:rFonts w:hint="cs"/>
          <w:sz w:val="18"/>
          <w:szCs w:val="18"/>
          <w:rtl/>
        </w:rPr>
        <w:t xml:space="preserve">. </w:t>
      </w:r>
    </w:p>
  </w:footnote>
  <w:footnote w:id="662">
    <w:p w:rsidR="005953C5" w:rsidRDefault="005953C5" w:rsidP="00620060">
      <w:pPr>
        <w:pStyle w:val="a3"/>
        <w:rPr>
          <w:rtl/>
        </w:rPr>
      </w:pPr>
      <w:r w:rsidRPr="006709E6">
        <w:rPr>
          <w:rStyle w:val="a5"/>
          <w:sz w:val="18"/>
          <w:szCs w:val="18"/>
        </w:rPr>
        <w:footnoteRef/>
      </w:r>
      <w:r w:rsidRPr="006709E6">
        <w:rPr>
          <w:sz w:val="18"/>
          <w:szCs w:val="18"/>
          <w:rtl/>
        </w:rPr>
        <w:t xml:space="preserve"> </w:t>
      </w:r>
      <w:r w:rsidRPr="006709E6">
        <w:rPr>
          <w:rFonts w:hint="cs"/>
          <w:b/>
          <w:bCs/>
          <w:sz w:val="18"/>
          <w:szCs w:val="18"/>
          <w:rtl/>
        </w:rPr>
        <w:t>ש"ך</w:t>
      </w:r>
      <w:r w:rsidRPr="006709E6">
        <w:rPr>
          <w:rFonts w:hint="cs"/>
          <w:sz w:val="18"/>
          <w:szCs w:val="18"/>
          <w:rtl/>
        </w:rPr>
        <w:t xml:space="preserve"> </w:t>
      </w:r>
      <w:r w:rsidRPr="006709E6">
        <w:rPr>
          <w:sz w:val="18"/>
          <w:szCs w:val="18"/>
          <w:rtl/>
        </w:rPr>
        <w:t>–</w:t>
      </w:r>
      <w:r w:rsidRPr="006709E6">
        <w:rPr>
          <w:rFonts w:hint="cs"/>
          <w:sz w:val="18"/>
          <w:szCs w:val="18"/>
          <w:rtl/>
        </w:rPr>
        <w:t xml:space="preserve"> </w:t>
      </w:r>
      <w:r w:rsidRPr="006709E6">
        <w:rPr>
          <w:rFonts w:hint="cs"/>
          <w:b/>
          <w:bCs/>
          <w:sz w:val="18"/>
          <w:szCs w:val="18"/>
          <w:rtl/>
        </w:rPr>
        <w:t>הריב"ש</w:t>
      </w:r>
      <w:r w:rsidRPr="006709E6">
        <w:rPr>
          <w:rFonts w:hint="cs"/>
          <w:sz w:val="18"/>
          <w:szCs w:val="18"/>
          <w:rtl/>
        </w:rPr>
        <w:t xml:space="preserve"> כתב לכך טעם שונה. </w:t>
      </w:r>
      <w:r w:rsidRPr="00D63A9F">
        <w:rPr>
          <w:rFonts w:hint="cs"/>
          <w:sz w:val="18"/>
          <w:szCs w:val="18"/>
          <w:rtl/>
        </w:rPr>
        <w:t>אמנם,</w:t>
      </w:r>
      <w:r>
        <w:rPr>
          <w:rFonts w:hint="cs"/>
          <w:b/>
          <w:bCs/>
          <w:sz w:val="18"/>
          <w:szCs w:val="18"/>
          <w:rtl/>
        </w:rPr>
        <w:t xml:space="preserve"> </w:t>
      </w:r>
      <w:r w:rsidRPr="006709E6">
        <w:rPr>
          <w:rFonts w:hint="cs"/>
          <w:b/>
          <w:bCs/>
          <w:sz w:val="18"/>
          <w:szCs w:val="18"/>
          <w:rtl/>
        </w:rPr>
        <w:t>הריב"ש</w:t>
      </w:r>
      <w:r w:rsidRPr="006709E6">
        <w:rPr>
          <w:rFonts w:hint="cs"/>
          <w:sz w:val="18"/>
          <w:szCs w:val="18"/>
          <w:rtl/>
        </w:rPr>
        <w:t xml:space="preserve"> בדבריו מתייחס לרישא של התוספתא הנ"ל </w:t>
      </w:r>
      <w:r w:rsidRPr="006709E6">
        <w:rPr>
          <w:sz w:val="18"/>
          <w:szCs w:val="18"/>
          <w:rtl/>
        </w:rPr>
        <w:t>–</w:t>
      </w:r>
      <w:r w:rsidRPr="006709E6">
        <w:rPr>
          <w:rFonts w:hint="cs"/>
          <w:sz w:val="18"/>
          <w:szCs w:val="18"/>
          <w:rtl/>
        </w:rPr>
        <w:t xml:space="preserve"> "</w:t>
      </w:r>
      <w:r w:rsidRPr="006709E6">
        <w:rPr>
          <w:rFonts w:cs="Arial"/>
          <w:sz w:val="18"/>
          <w:szCs w:val="18"/>
          <w:rtl/>
        </w:rPr>
        <w:t>הקופץ למקו</w:t>
      </w:r>
      <w:r w:rsidRPr="006709E6">
        <w:rPr>
          <w:rFonts w:cs="Arial" w:hint="cs"/>
          <w:sz w:val="18"/>
          <w:szCs w:val="18"/>
          <w:rtl/>
        </w:rPr>
        <w:t>ו</w:t>
      </w:r>
      <w:r w:rsidRPr="006709E6">
        <w:rPr>
          <w:rFonts w:cs="Arial"/>
          <w:sz w:val="18"/>
          <w:szCs w:val="18"/>
          <w:rtl/>
        </w:rPr>
        <w:t>ה הרי זה מגונה הטובל פעמים במק</w:t>
      </w:r>
      <w:r w:rsidRPr="006709E6">
        <w:rPr>
          <w:rFonts w:cs="Arial" w:hint="cs"/>
          <w:sz w:val="18"/>
          <w:szCs w:val="18"/>
          <w:rtl/>
        </w:rPr>
        <w:t>ו</w:t>
      </w:r>
      <w:r w:rsidRPr="006709E6">
        <w:rPr>
          <w:rFonts w:cs="Arial"/>
          <w:sz w:val="18"/>
          <w:szCs w:val="18"/>
          <w:rtl/>
        </w:rPr>
        <w:t>וה הרי זה מגונה</w:t>
      </w:r>
      <w:r w:rsidRPr="006709E6">
        <w:rPr>
          <w:rFonts w:cs="Arial" w:hint="cs"/>
          <w:sz w:val="18"/>
          <w:szCs w:val="18"/>
          <w:rtl/>
        </w:rPr>
        <w:t xml:space="preserve">". ופירש </w:t>
      </w:r>
      <w:r w:rsidRPr="006709E6">
        <w:rPr>
          <w:rFonts w:cs="Arial" w:hint="cs"/>
          <w:b/>
          <w:bCs/>
          <w:sz w:val="18"/>
          <w:szCs w:val="18"/>
          <w:rtl/>
        </w:rPr>
        <w:t>הריב"ש</w:t>
      </w:r>
      <w:r w:rsidRPr="006709E6">
        <w:rPr>
          <w:rFonts w:cs="Arial" w:hint="cs"/>
          <w:sz w:val="18"/>
          <w:szCs w:val="18"/>
          <w:rtl/>
        </w:rPr>
        <w:t xml:space="preserve"> </w:t>
      </w:r>
      <w:r w:rsidRPr="006709E6">
        <w:rPr>
          <w:rFonts w:cs="Arial" w:hint="cs"/>
          <w:b/>
          <w:bCs/>
          <w:sz w:val="18"/>
          <w:szCs w:val="18"/>
          <w:rtl/>
        </w:rPr>
        <w:t>שהרמב"ם</w:t>
      </w:r>
      <w:r w:rsidRPr="006709E6">
        <w:rPr>
          <w:rFonts w:cs="Arial" w:hint="cs"/>
          <w:sz w:val="18"/>
          <w:szCs w:val="18"/>
          <w:rtl/>
        </w:rPr>
        <w:t xml:space="preserve"> מנמק זאת בכך שזה נראה זלזול בטבילה. לפי"ז יש לומר שגם בכה"ג שמניח ידו על חברו הוי כזלזול בטבילה</w:t>
      </w:r>
      <w:r>
        <w:rPr>
          <w:rFonts w:cs="Arial" w:hint="cs"/>
          <w:sz w:val="18"/>
          <w:szCs w:val="18"/>
          <w:rtl/>
        </w:rPr>
        <w:t xml:space="preserve">, ומסתבר שזו כוונת </w:t>
      </w:r>
      <w:r w:rsidRPr="006709E6">
        <w:rPr>
          <w:rFonts w:cs="Arial" w:hint="cs"/>
          <w:b/>
          <w:bCs/>
          <w:sz w:val="18"/>
          <w:szCs w:val="18"/>
          <w:rtl/>
        </w:rPr>
        <w:t>הש"ך</w:t>
      </w:r>
      <w:r w:rsidRPr="006709E6">
        <w:rPr>
          <w:rFonts w:cs="Arial" w:hint="cs"/>
          <w:sz w:val="18"/>
          <w:szCs w:val="18"/>
          <w:rtl/>
        </w:rPr>
        <w:t>.</w:t>
      </w:r>
      <w:r w:rsidRPr="006709E6">
        <w:rPr>
          <w:rFonts w:hint="cs"/>
          <w:sz w:val="18"/>
          <w:szCs w:val="18"/>
          <w:rtl/>
        </w:rPr>
        <w:t xml:space="preserve"> </w:t>
      </w:r>
    </w:p>
  </w:footnote>
  <w:footnote w:id="663">
    <w:p w:rsidR="005953C5" w:rsidRDefault="005953C5" w:rsidP="00620060">
      <w:pPr>
        <w:pStyle w:val="a3"/>
      </w:pPr>
      <w:r w:rsidRPr="004B5482">
        <w:rPr>
          <w:rStyle w:val="a5"/>
          <w:sz w:val="18"/>
          <w:szCs w:val="18"/>
        </w:rPr>
        <w:footnoteRef/>
      </w:r>
      <w:r w:rsidRPr="004B5482">
        <w:rPr>
          <w:sz w:val="18"/>
          <w:szCs w:val="18"/>
          <w:rtl/>
        </w:rPr>
        <w:t xml:space="preserve"> </w:t>
      </w:r>
      <w:r w:rsidRPr="004B5482">
        <w:rPr>
          <w:rFonts w:hint="cs"/>
          <w:b/>
          <w:bCs/>
          <w:sz w:val="18"/>
          <w:szCs w:val="18"/>
          <w:rtl/>
        </w:rPr>
        <w:t>ששבה"ל</w:t>
      </w:r>
      <w:r w:rsidRPr="004B5482">
        <w:rPr>
          <w:rFonts w:hint="cs"/>
          <w:sz w:val="18"/>
          <w:szCs w:val="18"/>
          <w:rtl/>
        </w:rPr>
        <w:t xml:space="preserve"> </w:t>
      </w:r>
      <w:r w:rsidRPr="004B5482">
        <w:rPr>
          <w:sz w:val="18"/>
          <w:szCs w:val="18"/>
          <w:rtl/>
        </w:rPr>
        <w:t>–</w:t>
      </w:r>
      <w:r w:rsidRPr="004B5482">
        <w:rPr>
          <w:rFonts w:hint="cs"/>
          <w:sz w:val="18"/>
          <w:szCs w:val="18"/>
          <w:rtl/>
        </w:rPr>
        <w:t xml:space="preserve"> עדיין אינו מחוור מספיק מה טעם ההיתר, הרי סוף סוף בשעת הטבילה עצמה אין חיבור!</w:t>
      </w:r>
    </w:p>
  </w:footnote>
  <w:footnote w:id="664">
    <w:p w:rsidR="005953C5" w:rsidRDefault="005953C5" w:rsidP="00620060">
      <w:pPr>
        <w:pStyle w:val="a3"/>
      </w:pPr>
      <w:r w:rsidRPr="000C0FA8">
        <w:rPr>
          <w:rStyle w:val="a5"/>
          <w:sz w:val="18"/>
          <w:szCs w:val="18"/>
        </w:rPr>
        <w:footnoteRef/>
      </w:r>
      <w:r w:rsidRPr="000C0FA8">
        <w:rPr>
          <w:sz w:val="18"/>
          <w:szCs w:val="18"/>
          <w:rtl/>
        </w:rPr>
        <w:t xml:space="preserve"> </w:t>
      </w:r>
      <w:r w:rsidRPr="000C0FA8">
        <w:rPr>
          <w:rFonts w:hint="cs"/>
          <w:b/>
          <w:bCs/>
          <w:sz w:val="18"/>
          <w:szCs w:val="18"/>
          <w:rtl/>
        </w:rPr>
        <w:t>ש"ך</w:t>
      </w:r>
      <w:r w:rsidRPr="000C0FA8">
        <w:rPr>
          <w:rFonts w:hint="cs"/>
          <w:sz w:val="18"/>
          <w:szCs w:val="18"/>
          <w:rtl/>
        </w:rPr>
        <w:t xml:space="preserve"> </w:t>
      </w:r>
      <w:r w:rsidRPr="000C0FA8">
        <w:rPr>
          <w:sz w:val="18"/>
          <w:szCs w:val="18"/>
          <w:rtl/>
        </w:rPr>
        <w:t>–</w:t>
      </w:r>
      <w:r w:rsidRPr="000C0FA8">
        <w:rPr>
          <w:rFonts w:hint="cs"/>
          <w:sz w:val="18"/>
          <w:szCs w:val="18"/>
          <w:rtl/>
        </w:rPr>
        <w:t xml:space="preserve"> אין לדייק מכאן שכשיש טיט מותר לה לטבול ובלבד שתגביה רגליה, אלא כשיש טיט אין לה לטבול כלל, כדלקמן סעיף לג. ואמנם, ייתכן </w:t>
      </w:r>
      <w:r>
        <w:rPr>
          <w:rFonts w:hint="cs"/>
          <w:sz w:val="18"/>
          <w:szCs w:val="18"/>
          <w:rtl/>
        </w:rPr>
        <w:t>שיש חילוק בין סוגי טיט שונים, ובסוג טיט מסויים מותר לה לטבול.</w:t>
      </w:r>
    </w:p>
  </w:footnote>
  <w:footnote w:id="665">
    <w:p w:rsidR="005953C5" w:rsidRDefault="005953C5" w:rsidP="00620060">
      <w:pPr>
        <w:pStyle w:val="a3"/>
      </w:pPr>
      <w:r w:rsidRPr="00977D50">
        <w:rPr>
          <w:rStyle w:val="a5"/>
          <w:sz w:val="18"/>
          <w:szCs w:val="18"/>
        </w:rPr>
        <w:footnoteRef/>
      </w:r>
      <w:r w:rsidRPr="00977D50">
        <w:rPr>
          <w:sz w:val="18"/>
          <w:szCs w:val="18"/>
          <w:rtl/>
        </w:rPr>
        <w:t xml:space="preserve"> </w:t>
      </w:r>
      <w:r w:rsidRPr="00977D50">
        <w:rPr>
          <w:rFonts w:hint="cs"/>
          <w:b/>
          <w:bCs/>
          <w:sz w:val="18"/>
          <w:szCs w:val="18"/>
          <w:rtl/>
        </w:rPr>
        <w:t>ששבה"ל</w:t>
      </w:r>
      <w:r w:rsidRPr="00977D50">
        <w:rPr>
          <w:rFonts w:hint="cs"/>
          <w:sz w:val="18"/>
          <w:szCs w:val="18"/>
          <w:rtl/>
        </w:rPr>
        <w:t xml:space="preserve"> </w:t>
      </w:r>
      <w:r w:rsidRPr="00977D50">
        <w:rPr>
          <w:sz w:val="18"/>
          <w:szCs w:val="18"/>
          <w:rtl/>
        </w:rPr>
        <w:t>–</w:t>
      </w:r>
      <w:r w:rsidRPr="00977D50">
        <w:rPr>
          <w:rFonts w:hint="cs"/>
          <w:sz w:val="18"/>
          <w:szCs w:val="18"/>
          <w:rtl/>
        </w:rPr>
        <w:t xml:space="preserve"> ומקרה זה ייתכן רק אם נכנס</w:t>
      </w:r>
      <w:r>
        <w:rPr>
          <w:rFonts w:hint="cs"/>
          <w:sz w:val="18"/>
          <w:szCs w:val="18"/>
          <w:rtl/>
        </w:rPr>
        <w:t>ה</w:t>
      </w:r>
      <w:r w:rsidRPr="00977D50">
        <w:rPr>
          <w:rFonts w:hint="cs"/>
          <w:sz w:val="18"/>
          <w:szCs w:val="18"/>
          <w:rtl/>
        </w:rPr>
        <w:t xml:space="preserve"> למקווה ריק ורגלי</w:t>
      </w:r>
      <w:r>
        <w:rPr>
          <w:rFonts w:hint="cs"/>
          <w:sz w:val="18"/>
          <w:szCs w:val="18"/>
          <w:rtl/>
        </w:rPr>
        <w:t>ה</w:t>
      </w:r>
      <w:r w:rsidRPr="00977D50">
        <w:rPr>
          <w:rFonts w:hint="cs"/>
          <w:sz w:val="18"/>
          <w:szCs w:val="18"/>
          <w:rtl/>
        </w:rPr>
        <w:t xml:space="preserve"> לחות ממים תלושים ואח"כ מילאו את המקווה.</w:t>
      </w:r>
    </w:p>
  </w:footnote>
  <w:footnote w:id="666">
    <w:p w:rsidR="005953C5" w:rsidRDefault="005953C5" w:rsidP="00620060">
      <w:pPr>
        <w:pStyle w:val="a3"/>
      </w:pPr>
      <w:r w:rsidRPr="003A2263">
        <w:rPr>
          <w:rStyle w:val="a5"/>
          <w:sz w:val="18"/>
          <w:szCs w:val="18"/>
        </w:rPr>
        <w:footnoteRef/>
      </w:r>
      <w:r w:rsidRPr="003A2263">
        <w:rPr>
          <w:sz w:val="18"/>
          <w:szCs w:val="18"/>
          <w:rtl/>
        </w:rPr>
        <w:t xml:space="preserve"> </w:t>
      </w:r>
      <w:r w:rsidRPr="003A2263">
        <w:rPr>
          <w:rFonts w:hint="cs"/>
          <w:sz w:val="18"/>
          <w:szCs w:val="18"/>
          <w:rtl/>
        </w:rPr>
        <w:t xml:space="preserve">לשון </w:t>
      </w:r>
      <w:r w:rsidRPr="003A2263">
        <w:rPr>
          <w:rFonts w:hint="cs"/>
          <w:b/>
          <w:bCs/>
          <w:sz w:val="18"/>
          <w:szCs w:val="18"/>
          <w:rtl/>
        </w:rPr>
        <w:t>הרמב"ם</w:t>
      </w:r>
      <w:r w:rsidRPr="003A2263">
        <w:rPr>
          <w:rFonts w:hint="cs"/>
          <w:sz w:val="18"/>
          <w:szCs w:val="18"/>
          <w:rtl/>
        </w:rPr>
        <w:t xml:space="preserve"> </w:t>
      </w:r>
      <w:r w:rsidRPr="003A2263">
        <w:rPr>
          <w:sz w:val="18"/>
          <w:szCs w:val="18"/>
          <w:rtl/>
        </w:rPr>
        <w:t>–</w:t>
      </w:r>
      <w:r w:rsidRPr="003A2263">
        <w:rPr>
          <w:rFonts w:hint="cs"/>
          <w:sz w:val="18"/>
          <w:szCs w:val="18"/>
          <w:rtl/>
        </w:rPr>
        <w:t xml:space="preserve"> "</w:t>
      </w:r>
      <w:r w:rsidRPr="003A2263">
        <w:rPr>
          <w:rFonts w:cs="Arial"/>
          <w:sz w:val="18"/>
          <w:szCs w:val="18"/>
          <w:rtl/>
        </w:rPr>
        <w:t>ולא תטבול על גבי כלי חרס או סל וכיוצא בהן</w:t>
      </w:r>
      <w:r w:rsidRPr="003A2263">
        <w:rPr>
          <w:rFonts w:cs="Arial" w:hint="cs"/>
          <w:sz w:val="18"/>
          <w:szCs w:val="18"/>
          <w:rtl/>
        </w:rPr>
        <w:t>,</w:t>
      </w:r>
      <w:r w:rsidRPr="003A2263">
        <w:rPr>
          <w:rFonts w:cs="Arial"/>
          <w:sz w:val="18"/>
          <w:szCs w:val="18"/>
          <w:rtl/>
        </w:rPr>
        <w:t xml:space="preserve"> מפני שמפחדת ולא תעלה לה טבילה</w:t>
      </w:r>
      <w:r w:rsidRPr="003A2263">
        <w:rPr>
          <w:rFonts w:cs="Arial" w:hint="cs"/>
          <w:sz w:val="18"/>
          <w:szCs w:val="18"/>
          <w:rtl/>
        </w:rPr>
        <w:t>".</w:t>
      </w:r>
      <w:r w:rsidRPr="003A2263">
        <w:rPr>
          <w:rFonts w:hint="cs"/>
          <w:sz w:val="18"/>
          <w:szCs w:val="18"/>
          <w:rtl/>
        </w:rPr>
        <w:t xml:space="preserve"> </w:t>
      </w:r>
      <w:r w:rsidRPr="003A2263">
        <w:rPr>
          <w:sz w:val="18"/>
          <w:szCs w:val="18"/>
          <w:rtl/>
        </w:rPr>
        <w:br/>
      </w:r>
      <w:r w:rsidRPr="003A2263">
        <w:rPr>
          <w:rFonts w:hint="cs"/>
          <w:b/>
          <w:bCs/>
          <w:sz w:val="18"/>
          <w:szCs w:val="18"/>
          <w:rtl/>
        </w:rPr>
        <w:t>בית יוסף</w:t>
      </w:r>
      <w:r w:rsidRPr="003A2263">
        <w:rPr>
          <w:rFonts w:hint="cs"/>
          <w:sz w:val="18"/>
          <w:szCs w:val="18"/>
          <w:rtl/>
        </w:rPr>
        <w:t xml:space="preserve"> </w:t>
      </w:r>
      <w:r w:rsidRPr="003A2263">
        <w:rPr>
          <w:sz w:val="18"/>
          <w:szCs w:val="18"/>
          <w:rtl/>
        </w:rPr>
        <w:t>–</w:t>
      </w:r>
      <w:r w:rsidRPr="003A2263">
        <w:rPr>
          <w:rFonts w:hint="cs"/>
          <w:sz w:val="18"/>
          <w:szCs w:val="18"/>
          <w:rtl/>
        </w:rPr>
        <w:t xml:space="preserve"> מכך שהרמב"ם כתב "ולא תעלה לה טבילה" משמע שאף בדיעבד לא מהני. </w:t>
      </w:r>
      <w:r>
        <w:rPr>
          <w:rFonts w:hint="cs"/>
          <w:sz w:val="18"/>
          <w:szCs w:val="18"/>
          <w:rtl/>
        </w:rPr>
        <w:br/>
      </w:r>
      <w:r w:rsidRPr="003A2263">
        <w:rPr>
          <w:rFonts w:hint="cs"/>
          <w:sz w:val="18"/>
          <w:szCs w:val="18"/>
          <w:rtl/>
        </w:rPr>
        <w:t xml:space="preserve">ברם, יש לדחות </w:t>
      </w:r>
      <w:r w:rsidRPr="003A2263">
        <w:rPr>
          <w:sz w:val="18"/>
          <w:szCs w:val="18"/>
          <w:rtl/>
        </w:rPr>
        <w:t>–</w:t>
      </w:r>
      <w:r w:rsidRPr="003A2263">
        <w:rPr>
          <w:rFonts w:hint="cs"/>
          <w:sz w:val="18"/>
          <w:szCs w:val="18"/>
          <w:rtl/>
        </w:rPr>
        <w:t xml:space="preserve"> אם היה סובר הרמב"ם שאף בדיעבד לא מהני, היה צריך לומר "אם טבלה לא עלתה לה טבילה", ומכך שלא כתב כך משמע שרק לכתחילה יש להיזהר בכך.</w:t>
      </w:r>
    </w:p>
  </w:footnote>
  <w:footnote w:id="667">
    <w:p w:rsidR="005953C5" w:rsidRDefault="005953C5" w:rsidP="00620060">
      <w:pPr>
        <w:pStyle w:val="a3"/>
      </w:pPr>
      <w:r w:rsidRPr="00D46791">
        <w:rPr>
          <w:rStyle w:val="a5"/>
          <w:sz w:val="18"/>
          <w:szCs w:val="18"/>
        </w:rPr>
        <w:footnoteRef/>
      </w:r>
      <w:r w:rsidRPr="00D46791">
        <w:rPr>
          <w:sz w:val="18"/>
          <w:szCs w:val="18"/>
          <w:rtl/>
        </w:rPr>
        <w:t xml:space="preserve"> </w:t>
      </w:r>
      <w:r w:rsidRPr="00D46791">
        <w:rPr>
          <w:rFonts w:hint="cs"/>
          <w:sz w:val="18"/>
          <w:szCs w:val="18"/>
          <w:rtl/>
        </w:rPr>
        <w:t xml:space="preserve">כך פירש </w:t>
      </w:r>
      <w:r w:rsidRPr="00D46791">
        <w:rPr>
          <w:rFonts w:hint="cs"/>
          <w:b/>
          <w:bCs/>
          <w:sz w:val="18"/>
          <w:szCs w:val="18"/>
          <w:rtl/>
        </w:rPr>
        <w:t>הבית יוסף</w:t>
      </w:r>
      <w:r w:rsidRPr="00D46791">
        <w:rPr>
          <w:rFonts w:hint="cs"/>
          <w:sz w:val="18"/>
          <w:szCs w:val="18"/>
          <w:rtl/>
        </w:rPr>
        <w:t xml:space="preserve"> בדרך הראשונה. ברם, </w:t>
      </w:r>
      <w:r w:rsidRPr="00D46791">
        <w:rPr>
          <w:rFonts w:hint="cs"/>
          <w:b/>
          <w:bCs/>
          <w:sz w:val="18"/>
          <w:szCs w:val="18"/>
          <w:rtl/>
        </w:rPr>
        <w:t>הבית יוסף</w:t>
      </w:r>
      <w:r w:rsidRPr="00D46791">
        <w:rPr>
          <w:rFonts w:hint="cs"/>
          <w:sz w:val="18"/>
          <w:szCs w:val="18"/>
          <w:rtl/>
        </w:rPr>
        <w:t xml:space="preserve"> מציג פירוש נוסף לדברי </w:t>
      </w:r>
      <w:r w:rsidRPr="00D46791">
        <w:rPr>
          <w:rFonts w:hint="cs"/>
          <w:b/>
          <w:bCs/>
          <w:sz w:val="18"/>
          <w:szCs w:val="18"/>
          <w:rtl/>
        </w:rPr>
        <w:t>הרא"ש</w:t>
      </w:r>
      <w:r w:rsidRPr="00D46791">
        <w:rPr>
          <w:rFonts w:hint="cs"/>
          <w:sz w:val="18"/>
          <w:szCs w:val="18"/>
          <w:rtl/>
        </w:rPr>
        <w:t xml:space="preserve"> - </w:t>
      </w:r>
      <w:r w:rsidRPr="00D46791">
        <w:rPr>
          <w:sz w:val="18"/>
          <w:szCs w:val="18"/>
          <w:rtl/>
        </w:rPr>
        <w:br/>
      </w:r>
      <w:r w:rsidRPr="00D46791">
        <w:rPr>
          <w:rFonts w:hint="cs"/>
          <w:sz w:val="18"/>
          <w:szCs w:val="18"/>
          <w:rtl/>
        </w:rPr>
        <w:t>אם כל המעיין עובר על גבי הכלי אין לטבול על גבי הכלי אטו תוך הכלי, אך אם רק חלק מהמעיין עובר על גבי הכלי ואילו חלקו לא עובר על הכלי נאסר לטבול על גבו רק מחמת ביעתותא</w:t>
      </w:r>
      <w:r>
        <w:rPr>
          <w:rFonts w:hint="cs"/>
          <w:sz w:val="18"/>
          <w:szCs w:val="18"/>
          <w:rtl/>
        </w:rPr>
        <w:t>, ובדיעבד עלתה לה טבילה</w:t>
      </w:r>
      <w:r w:rsidRPr="00D46791">
        <w:rPr>
          <w:rFonts w:hint="cs"/>
          <w:sz w:val="18"/>
          <w:szCs w:val="18"/>
          <w:rtl/>
        </w:rPr>
        <w:t>.</w:t>
      </w:r>
      <w:r>
        <w:rPr>
          <w:rtl/>
        </w:rPr>
        <w:br/>
      </w:r>
      <w:r w:rsidRPr="00F41554">
        <w:rPr>
          <w:rFonts w:hint="cs"/>
          <w:sz w:val="18"/>
          <w:szCs w:val="18"/>
          <w:rtl/>
        </w:rPr>
        <w:t xml:space="preserve">ודע, שפירוש זה עולה בקנה אחד עם דברי </w:t>
      </w:r>
      <w:r w:rsidRPr="00F41554">
        <w:rPr>
          <w:rFonts w:hint="cs"/>
          <w:b/>
          <w:bCs/>
          <w:sz w:val="18"/>
          <w:szCs w:val="18"/>
          <w:rtl/>
        </w:rPr>
        <w:t>הרמב"ם</w:t>
      </w:r>
      <w:r w:rsidRPr="00F41554">
        <w:rPr>
          <w:rFonts w:hint="cs"/>
          <w:sz w:val="18"/>
          <w:szCs w:val="18"/>
          <w:rtl/>
        </w:rPr>
        <w:t xml:space="preserve"> בסוגייה, וכפי שהאריך </w:t>
      </w:r>
      <w:r w:rsidRPr="00F41554">
        <w:rPr>
          <w:rFonts w:hint="cs"/>
          <w:b/>
          <w:bCs/>
          <w:sz w:val="18"/>
          <w:szCs w:val="18"/>
          <w:rtl/>
        </w:rPr>
        <w:t>הבית יוסף</w:t>
      </w:r>
      <w:r w:rsidRPr="00F41554">
        <w:rPr>
          <w:rFonts w:hint="cs"/>
          <w:sz w:val="18"/>
          <w:szCs w:val="18"/>
          <w:rtl/>
        </w:rPr>
        <w:t xml:space="preserve"> לבאר.</w:t>
      </w:r>
    </w:p>
  </w:footnote>
  <w:footnote w:id="668">
    <w:p w:rsidR="005953C5" w:rsidRDefault="005953C5" w:rsidP="00620060">
      <w:pPr>
        <w:pStyle w:val="a3"/>
      </w:pPr>
      <w:r w:rsidRPr="00345B2A">
        <w:rPr>
          <w:rStyle w:val="a5"/>
          <w:sz w:val="18"/>
          <w:szCs w:val="18"/>
        </w:rPr>
        <w:footnoteRef/>
      </w:r>
      <w:r w:rsidRPr="00345B2A">
        <w:rPr>
          <w:sz w:val="18"/>
          <w:szCs w:val="18"/>
          <w:rtl/>
        </w:rPr>
        <w:t xml:space="preserve"> </w:t>
      </w:r>
      <w:r w:rsidRPr="00345B2A">
        <w:rPr>
          <w:rFonts w:hint="cs"/>
          <w:b/>
          <w:bCs/>
          <w:sz w:val="18"/>
          <w:szCs w:val="18"/>
          <w:rtl/>
        </w:rPr>
        <w:t>חזון אי"ש</w:t>
      </w:r>
      <w:r w:rsidRPr="00345B2A">
        <w:rPr>
          <w:rFonts w:hint="cs"/>
          <w:sz w:val="18"/>
          <w:szCs w:val="18"/>
          <w:rtl/>
        </w:rPr>
        <w:t xml:space="preserve"> </w:t>
      </w:r>
      <w:r w:rsidRPr="00345B2A">
        <w:rPr>
          <w:sz w:val="18"/>
          <w:szCs w:val="18"/>
          <w:rtl/>
        </w:rPr>
        <w:t>–</w:t>
      </w:r>
      <w:r w:rsidRPr="00345B2A">
        <w:rPr>
          <w:rFonts w:hint="cs"/>
          <w:sz w:val="18"/>
          <w:szCs w:val="18"/>
          <w:rtl/>
        </w:rPr>
        <w:t xml:space="preserve"> מה החילוק בין שיטת הרשב"א לבין שיטת הרמב"ם והרא"ש? הרי הרשב"א האוסר לטבול ע"ג כלי המקבל טומאה סובר זאת משום גזרת מרחצאות, דהיינו שלא יבואו לטבול תוך הכלי, ואם כן לכאורה שיטתו זהה לרמב"ם והרא"ש!</w:t>
      </w:r>
      <w:r w:rsidRPr="00345B2A">
        <w:rPr>
          <w:sz w:val="18"/>
          <w:szCs w:val="18"/>
          <w:rtl/>
        </w:rPr>
        <w:br/>
      </w:r>
      <w:r w:rsidRPr="00345B2A">
        <w:rPr>
          <w:rFonts w:hint="cs"/>
          <w:sz w:val="18"/>
          <w:szCs w:val="18"/>
          <w:rtl/>
        </w:rPr>
        <w:t xml:space="preserve">מיישב </w:t>
      </w:r>
      <w:r w:rsidRPr="00345B2A">
        <w:rPr>
          <w:sz w:val="18"/>
          <w:szCs w:val="18"/>
          <w:rtl/>
        </w:rPr>
        <w:t>–</w:t>
      </w:r>
      <w:r w:rsidRPr="00345B2A">
        <w:rPr>
          <w:rFonts w:hint="cs"/>
          <w:sz w:val="18"/>
          <w:szCs w:val="18"/>
          <w:rtl/>
        </w:rPr>
        <w:t xml:space="preserve"> לרמב"ם ורא"ש מותר לטבול על גבי נסרים המיוחדים למדרס, וכן מותר לטבול על גבי כלי תלוש, אך לרשב"א אסור מפני שהם מקבלים טומאה.</w:t>
      </w:r>
      <w:r>
        <w:rPr>
          <w:rtl/>
        </w:rPr>
        <w:br/>
      </w:r>
      <w:r w:rsidRPr="0069628D">
        <w:rPr>
          <w:rFonts w:hint="cs"/>
          <w:sz w:val="18"/>
          <w:szCs w:val="18"/>
          <w:rtl/>
        </w:rPr>
        <w:t xml:space="preserve">ואמנם, </w:t>
      </w:r>
      <w:r w:rsidRPr="0069628D">
        <w:rPr>
          <w:rFonts w:hint="cs"/>
          <w:b/>
          <w:bCs/>
          <w:sz w:val="18"/>
          <w:szCs w:val="18"/>
          <w:rtl/>
        </w:rPr>
        <w:t>הבית יוסף</w:t>
      </w:r>
      <w:r w:rsidRPr="0069628D">
        <w:rPr>
          <w:rFonts w:hint="cs"/>
          <w:sz w:val="18"/>
          <w:szCs w:val="18"/>
          <w:rtl/>
        </w:rPr>
        <w:t xml:space="preserve"> הסתפק בכך, דלכאורה יש לומר שהרא"ש מחמיר טפי מהרשב"א, כיוון שלרא"ש נאסר לטבול אחורי כל כלי אפילו אם אינו מק"ט, ואילו לרשב"א מותר לטבול אחרוי כלי שאינו מק"ט.</w:t>
      </w:r>
    </w:p>
  </w:footnote>
  <w:footnote w:id="669">
    <w:p w:rsidR="005953C5" w:rsidRDefault="005953C5" w:rsidP="00620060">
      <w:pPr>
        <w:pStyle w:val="a3"/>
      </w:pPr>
      <w:r w:rsidRPr="00FA19E5">
        <w:rPr>
          <w:rStyle w:val="a5"/>
          <w:sz w:val="18"/>
          <w:szCs w:val="18"/>
        </w:rPr>
        <w:footnoteRef/>
      </w:r>
      <w:r w:rsidRPr="00FA19E5">
        <w:rPr>
          <w:sz w:val="18"/>
          <w:szCs w:val="18"/>
          <w:rtl/>
        </w:rPr>
        <w:t xml:space="preserve"> </w:t>
      </w:r>
      <w:r w:rsidRPr="00FA19E5">
        <w:rPr>
          <w:rFonts w:hint="cs"/>
          <w:b/>
          <w:bCs/>
          <w:sz w:val="18"/>
          <w:szCs w:val="18"/>
          <w:rtl/>
        </w:rPr>
        <w:t>בית יוסף</w:t>
      </w:r>
      <w:r w:rsidRPr="00FA19E5">
        <w:rPr>
          <w:rFonts w:hint="cs"/>
          <w:sz w:val="18"/>
          <w:szCs w:val="18"/>
          <w:rtl/>
        </w:rPr>
        <w:t xml:space="preserve"> </w:t>
      </w:r>
      <w:r w:rsidRPr="00FA19E5">
        <w:rPr>
          <w:sz w:val="18"/>
          <w:szCs w:val="18"/>
          <w:rtl/>
        </w:rPr>
        <w:t>–</w:t>
      </w:r>
      <w:r w:rsidRPr="00FA19E5">
        <w:rPr>
          <w:rFonts w:hint="cs"/>
          <w:sz w:val="18"/>
          <w:szCs w:val="18"/>
          <w:rtl/>
        </w:rPr>
        <w:t xml:space="preserve"> מדברי הטור לא משמע כך, שסתם וכתב בדעת אביו הרא"ש שהוא אינו מחלק בזה. פשט דברי </w:t>
      </w:r>
      <w:r w:rsidRPr="00FA19E5">
        <w:rPr>
          <w:rFonts w:hint="cs"/>
          <w:b/>
          <w:bCs/>
          <w:sz w:val="18"/>
          <w:szCs w:val="18"/>
          <w:rtl/>
        </w:rPr>
        <w:t xml:space="preserve">הטור </w:t>
      </w:r>
      <w:r w:rsidRPr="00FA19E5">
        <w:rPr>
          <w:rFonts w:hint="cs"/>
          <w:sz w:val="18"/>
          <w:szCs w:val="18"/>
          <w:rtl/>
        </w:rPr>
        <w:t>הם שהרא"ש מקל אף בכלי המקבל טומאה! אמנם, ניתן ליישב את הטור שכוונתו שהרא"ש אינו מחלק ובכל עניין לא עלתה טבילה, או אפשר שהט</w:t>
      </w:r>
      <w:r>
        <w:rPr>
          <w:rFonts w:hint="cs"/>
          <w:sz w:val="18"/>
          <w:szCs w:val="18"/>
          <w:rtl/>
        </w:rPr>
        <w:t>ו</w:t>
      </w:r>
      <w:r w:rsidRPr="00FA19E5">
        <w:rPr>
          <w:rFonts w:hint="cs"/>
          <w:sz w:val="18"/>
          <w:szCs w:val="18"/>
          <w:rtl/>
        </w:rPr>
        <w:t>ר הסתפק מהי דעת הרא"ש ולכן סתם</w:t>
      </w:r>
      <w:r>
        <w:rPr>
          <w:rFonts w:hint="cs"/>
          <w:sz w:val="18"/>
          <w:szCs w:val="18"/>
          <w:rtl/>
        </w:rPr>
        <w:t xml:space="preserve"> דבריו</w:t>
      </w:r>
      <w:r w:rsidRPr="00FA19E5">
        <w:rPr>
          <w:rFonts w:hint="cs"/>
          <w:sz w:val="18"/>
          <w:szCs w:val="18"/>
          <w:rtl/>
        </w:rPr>
        <w:t>.</w:t>
      </w:r>
    </w:p>
  </w:footnote>
  <w:footnote w:id="670">
    <w:p w:rsidR="005953C5" w:rsidRDefault="005953C5" w:rsidP="00620060">
      <w:pPr>
        <w:pStyle w:val="a3"/>
        <w:rPr>
          <w:rtl/>
        </w:rPr>
      </w:pPr>
      <w:r w:rsidRPr="00586557">
        <w:rPr>
          <w:rStyle w:val="a5"/>
          <w:sz w:val="18"/>
          <w:szCs w:val="18"/>
        </w:rPr>
        <w:footnoteRef/>
      </w:r>
      <w:r w:rsidRPr="00586557">
        <w:rPr>
          <w:sz w:val="18"/>
          <w:szCs w:val="18"/>
          <w:rtl/>
        </w:rPr>
        <w:t xml:space="preserve"> </w:t>
      </w:r>
      <w:r w:rsidRPr="00586557">
        <w:rPr>
          <w:rFonts w:hint="cs"/>
          <w:b/>
          <w:bCs/>
          <w:sz w:val="18"/>
          <w:szCs w:val="18"/>
          <w:rtl/>
        </w:rPr>
        <w:t>בית יוסף</w:t>
      </w:r>
      <w:r w:rsidRPr="00586557">
        <w:rPr>
          <w:rFonts w:hint="cs"/>
          <w:sz w:val="18"/>
          <w:szCs w:val="18"/>
          <w:rtl/>
        </w:rPr>
        <w:t xml:space="preserve"> </w:t>
      </w:r>
      <w:r w:rsidRPr="00586557">
        <w:rPr>
          <w:sz w:val="18"/>
          <w:szCs w:val="18"/>
          <w:rtl/>
        </w:rPr>
        <w:t>–</w:t>
      </w:r>
      <w:r w:rsidRPr="00586557">
        <w:rPr>
          <w:rFonts w:hint="cs"/>
          <w:sz w:val="18"/>
          <w:szCs w:val="18"/>
          <w:rtl/>
        </w:rPr>
        <w:t xml:space="preserve"> לפי"ז יקשה מה רבא מחדש בכך שאוסר לטבול על גבי כלי חרס, הרי כך נאמר כבר במשנה?</w:t>
      </w:r>
      <w:r w:rsidRPr="00586557">
        <w:rPr>
          <w:rFonts w:hint="cs"/>
          <w:sz w:val="18"/>
          <w:szCs w:val="18"/>
          <w:rtl/>
        </w:rPr>
        <w:br/>
        <w:t xml:space="preserve">ויש לומר </w:t>
      </w:r>
      <w:r w:rsidRPr="00586557">
        <w:rPr>
          <w:sz w:val="18"/>
          <w:szCs w:val="18"/>
          <w:rtl/>
        </w:rPr>
        <w:t>–</w:t>
      </w:r>
      <w:r w:rsidRPr="00586557">
        <w:rPr>
          <w:rFonts w:hint="cs"/>
          <w:sz w:val="18"/>
          <w:szCs w:val="18"/>
          <w:rtl/>
        </w:rPr>
        <w:t xml:space="preserve"> רבא מחדש שאין לטבול אפילו </w:t>
      </w:r>
      <w:r>
        <w:rPr>
          <w:rFonts w:hint="cs"/>
          <w:sz w:val="18"/>
          <w:szCs w:val="18"/>
          <w:rtl/>
        </w:rPr>
        <w:t xml:space="preserve">על אחורי </w:t>
      </w:r>
      <w:r w:rsidRPr="00586557">
        <w:rPr>
          <w:rFonts w:hint="cs"/>
          <w:sz w:val="18"/>
          <w:szCs w:val="18"/>
          <w:rtl/>
        </w:rPr>
        <w:t>כלי מנוקב, בניגוד למשנה שהורתה כך רק בכלי שלם.</w:t>
      </w:r>
    </w:p>
  </w:footnote>
  <w:footnote w:id="671">
    <w:p w:rsidR="005953C5" w:rsidRDefault="005953C5" w:rsidP="00620060">
      <w:pPr>
        <w:pStyle w:val="a3"/>
        <w:rPr>
          <w:rtl/>
        </w:rPr>
      </w:pPr>
      <w:r w:rsidRPr="006A604D">
        <w:rPr>
          <w:rStyle w:val="a5"/>
          <w:sz w:val="18"/>
          <w:szCs w:val="18"/>
        </w:rPr>
        <w:footnoteRef/>
      </w:r>
      <w:r w:rsidRPr="006A604D">
        <w:rPr>
          <w:sz w:val="18"/>
          <w:szCs w:val="18"/>
          <w:rtl/>
        </w:rPr>
        <w:t xml:space="preserve"> </w:t>
      </w:r>
      <w:r w:rsidRPr="006A604D">
        <w:rPr>
          <w:rFonts w:hint="cs"/>
          <w:sz w:val="18"/>
          <w:szCs w:val="18"/>
          <w:u w:val="single"/>
          <w:rtl/>
        </w:rPr>
        <w:t>הבהרות (גר"א)</w:t>
      </w:r>
      <w:r w:rsidRPr="006A604D">
        <w:rPr>
          <w:rFonts w:hint="cs"/>
          <w:sz w:val="18"/>
          <w:szCs w:val="18"/>
          <w:u w:val="single"/>
          <w:rtl/>
        </w:rPr>
        <w:br/>
      </w:r>
      <w:r w:rsidRPr="006A604D">
        <w:rPr>
          <w:rFonts w:hint="cs"/>
          <w:sz w:val="18"/>
          <w:szCs w:val="18"/>
          <w:rtl/>
        </w:rPr>
        <w:t>א. לכאורה הסולם אינו מטמא משום שהוא מחובר לקרקע?</w:t>
      </w:r>
      <w:r w:rsidRPr="006A604D">
        <w:rPr>
          <w:rFonts w:hint="cs"/>
          <w:sz w:val="18"/>
          <w:szCs w:val="18"/>
          <w:rtl/>
        </w:rPr>
        <w:br/>
      </w:r>
      <w:r w:rsidRPr="00944B61">
        <w:rPr>
          <w:rFonts w:hint="cs"/>
          <w:b/>
          <w:bCs/>
          <w:sz w:val="18"/>
          <w:szCs w:val="18"/>
          <w:rtl/>
        </w:rPr>
        <w:t>גמרא</w:t>
      </w:r>
      <w:r w:rsidRPr="006A604D">
        <w:rPr>
          <w:rFonts w:hint="cs"/>
          <w:sz w:val="18"/>
          <w:szCs w:val="18"/>
          <w:rtl/>
        </w:rPr>
        <w:t xml:space="preserve"> ב</w:t>
      </w:r>
      <w:r>
        <w:rPr>
          <w:rFonts w:hint="cs"/>
          <w:sz w:val="18"/>
          <w:szCs w:val="18"/>
          <w:rtl/>
        </w:rPr>
        <w:t xml:space="preserve">"ב </w:t>
      </w:r>
      <w:r w:rsidRPr="006A604D">
        <w:rPr>
          <w:rFonts w:hint="cs"/>
          <w:sz w:val="18"/>
          <w:szCs w:val="18"/>
          <w:rtl/>
        </w:rPr>
        <w:t>(סו:) "</w:t>
      </w:r>
      <w:r w:rsidRPr="006A604D">
        <w:rPr>
          <w:rFonts w:cs="Arial"/>
          <w:sz w:val="18"/>
          <w:szCs w:val="18"/>
          <w:rtl/>
        </w:rPr>
        <w:t>ת</w:t>
      </w:r>
      <w:r w:rsidRPr="006A604D">
        <w:rPr>
          <w:rFonts w:cs="Arial" w:hint="cs"/>
          <w:sz w:val="18"/>
          <w:szCs w:val="18"/>
          <w:rtl/>
        </w:rPr>
        <w:t xml:space="preserve">נו </w:t>
      </w:r>
      <w:r w:rsidRPr="006A604D">
        <w:rPr>
          <w:rFonts w:cs="Arial"/>
          <w:sz w:val="18"/>
          <w:szCs w:val="18"/>
          <w:rtl/>
        </w:rPr>
        <w:t>ר</w:t>
      </w:r>
      <w:r w:rsidRPr="006A604D">
        <w:rPr>
          <w:rFonts w:cs="Arial" w:hint="cs"/>
          <w:sz w:val="18"/>
          <w:szCs w:val="18"/>
          <w:rtl/>
        </w:rPr>
        <w:t>בנן:</w:t>
      </w:r>
      <w:r w:rsidRPr="006A604D">
        <w:rPr>
          <w:rFonts w:cs="Arial"/>
          <w:sz w:val="18"/>
          <w:szCs w:val="18"/>
          <w:rtl/>
        </w:rPr>
        <w:t xml:space="preserve"> צינור שחקקו ולבסוף קבעו - פוסל את המק</w:t>
      </w:r>
      <w:r w:rsidRPr="006A604D">
        <w:rPr>
          <w:rFonts w:cs="Arial" w:hint="cs"/>
          <w:sz w:val="18"/>
          <w:szCs w:val="18"/>
          <w:rtl/>
        </w:rPr>
        <w:t>ו</w:t>
      </w:r>
      <w:r w:rsidRPr="006A604D">
        <w:rPr>
          <w:rFonts w:cs="Arial"/>
          <w:sz w:val="18"/>
          <w:szCs w:val="18"/>
          <w:rtl/>
        </w:rPr>
        <w:t>וה, קבעו ולבסוף חקקו - אינו פוסל את המק</w:t>
      </w:r>
      <w:r w:rsidRPr="006A604D">
        <w:rPr>
          <w:rFonts w:cs="Arial" w:hint="cs"/>
          <w:sz w:val="18"/>
          <w:szCs w:val="18"/>
          <w:rtl/>
        </w:rPr>
        <w:t>ו</w:t>
      </w:r>
      <w:r w:rsidRPr="006A604D">
        <w:rPr>
          <w:rFonts w:cs="Arial"/>
          <w:sz w:val="18"/>
          <w:szCs w:val="18"/>
          <w:rtl/>
        </w:rPr>
        <w:t>וה</w:t>
      </w:r>
      <w:r w:rsidRPr="006A604D">
        <w:rPr>
          <w:rFonts w:cs="Arial" w:hint="cs"/>
          <w:sz w:val="18"/>
          <w:szCs w:val="18"/>
          <w:rtl/>
        </w:rPr>
        <w:t>".</w:t>
      </w:r>
      <w:r w:rsidRPr="006A604D">
        <w:rPr>
          <w:rFonts w:cs="Arial"/>
          <w:sz w:val="18"/>
          <w:szCs w:val="18"/>
          <w:rtl/>
        </w:rPr>
        <w:br/>
      </w:r>
      <w:r w:rsidRPr="006A604D">
        <w:rPr>
          <w:rFonts w:cs="Arial" w:hint="cs"/>
          <w:sz w:val="18"/>
          <w:szCs w:val="18"/>
          <w:rtl/>
        </w:rPr>
        <w:t>מגמרא זו מוכח שחיבור כלי לקרקע אינו מפקיע ממנו תורת כלי, והוא הדין כאן.</w:t>
      </w:r>
      <w:r w:rsidRPr="006A604D">
        <w:rPr>
          <w:rFonts w:cs="Arial"/>
          <w:sz w:val="18"/>
          <w:szCs w:val="18"/>
          <w:rtl/>
        </w:rPr>
        <w:br/>
      </w:r>
      <w:r w:rsidRPr="006A604D">
        <w:rPr>
          <w:rFonts w:cs="Arial" w:hint="cs"/>
          <w:sz w:val="18"/>
          <w:szCs w:val="18"/>
          <w:rtl/>
        </w:rPr>
        <w:t>ב. המחבר כתב שאין לטבול על הסולם משום שהוא ראוי למדרס, משא"כ בכלי אבן וחרס. ברם, לכאורה אף ללא טומאת מדרס אין לטבול על גבי הסולם, משום שהגמרא בהדיא אומרת (שם בסמוך, סו.) "</w:t>
      </w:r>
      <w:r w:rsidRPr="006A604D">
        <w:rPr>
          <w:rFonts w:cs="Arial"/>
          <w:sz w:val="18"/>
          <w:szCs w:val="18"/>
          <w:rtl/>
        </w:rPr>
        <w:t>שאני פשוטי כלי עץ, דטומאה דרבנן</w:t>
      </w:r>
      <w:r w:rsidRPr="006A604D">
        <w:rPr>
          <w:rFonts w:cs="Arial" w:hint="cs"/>
          <w:sz w:val="18"/>
          <w:szCs w:val="18"/>
          <w:rtl/>
        </w:rPr>
        <w:t>". ואם כן אף ללא טעם טומאת מדרס אין לעמוד על גבי הסולם משום שהוא מק"ט!</w:t>
      </w:r>
      <w:r w:rsidRPr="006A604D">
        <w:rPr>
          <w:rFonts w:cs="Arial" w:hint="cs"/>
          <w:sz w:val="18"/>
          <w:szCs w:val="18"/>
          <w:rtl/>
        </w:rPr>
        <w:br/>
        <w:t xml:space="preserve"> מיישב </w:t>
      </w:r>
      <w:r w:rsidRPr="006A604D">
        <w:rPr>
          <w:rFonts w:cs="Arial" w:hint="cs"/>
          <w:b/>
          <w:bCs/>
          <w:sz w:val="18"/>
          <w:szCs w:val="18"/>
          <w:rtl/>
        </w:rPr>
        <w:t>הגר"א</w:t>
      </w:r>
      <w:r w:rsidRPr="006A604D">
        <w:rPr>
          <w:rFonts w:cs="Arial" w:hint="cs"/>
          <w:sz w:val="18"/>
          <w:szCs w:val="18"/>
          <w:rtl/>
        </w:rPr>
        <w:t xml:space="preserve"> </w:t>
      </w:r>
      <w:r w:rsidRPr="006A604D">
        <w:rPr>
          <w:rFonts w:cs="Arial"/>
          <w:sz w:val="18"/>
          <w:szCs w:val="18"/>
          <w:rtl/>
        </w:rPr>
        <w:t>–</w:t>
      </w:r>
      <w:r w:rsidRPr="006A604D">
        <w:rPr>
          <w:rFonts w:cs="Arial" w:hint="cs"/>
          <w:sz w:val="18"/>
          <w:szCs w:val="18"/>
          <w:rtl/>
        </w:rPr>
        <w:t xml:space="preserve"> </w:t>
      </w:r>
      <w:r w:rsidRPr="006A604D">
        <w:rPr>
          <w:rFonts w:cs="Arial" w:hint="cs"/>
          <w:b/>
          <w:bCs/>
          <w:sz w:val="18"/>
          <w:szCs w:val="18"/>
          <w:rtl/>
        </w:rPr>
        <w:t>תוספות</w:t>
      </w:r>
      <w:r w:rsidRPr="006A604D">
        <w:rPr>
          <w:rFonts w:cs="Arial" w:hint="cs"/>
          <w:sz w:val="18"/>
          <w:szCs w:val="18"/>
          <w:rtl/>
        </w:rPr>
        <w:t xml:space="preserve"> שם מבארים שדין פשוטי עץ אינו כולל סולם, משום שרק דבר המשמש את האדם ואת משמשי האדם טמא, אך סולם משמש את האדם בלבד אך אינו משמש את משמשיו </w:t>
      </w:r>
      <w:r w:rsidRPr="006A604D">
        <w:rPr>
          <w:rFonts w:cs="Arial" w:hint="cs"/>
          <w:sz w:val="16"/>
          <w:szCs w:val="16"/>
          <w:rtl/>
        </w:rPr>
        <w:t>(לאפוקי משק ושולחן שהם משמשים גם את משמשי האדם, כגון בכך שנותן בשק או על השולחן את חפציו)</w:t>
      </w:r>
      <w:r w:rsidRPr="006A604D">
        <w:rPr>
          <w:rFonts w:cs="Arial" w:hint="cs"/>
          <w:sz w:val="18"/>
          <w:szCs w:val="18"/>
          <w:rtl/>
        </w:rPr>
        <w:t>.</w:t>
      </w:r>
    </w:p>
  </w:footnote>
  <w:footnote w:id="672">
    <w:p w:rsidR="005953C5" w:rsidRDefault="005953C5" w:rsidP="00620060">
      <w:pPr>
        <w:pStyle w:val="a3"/>
      </w:pPr>
      <w:r w:rsidRPr="001F4AEE">
        <w:rPr>
          <w:rStyle w:val="a5"/>
          <w:sz w:val="18"/>
          <w:szCs w:val="18"/>
        </w:rPr>
        <w:footnoteRef/>
      </w:r>
      <w:r w:rsidRPr="001F4AEE">
        <w:rPr>
          <w:sz w:val="18"/>
          <w:szCs w:val="18"/>
          <w:rtl/>
        </w:rPr>
        <w:t xml:space="preserve"> </w:t>
      </w:r>
      <w:r w:rsidRPr="001F4AEE">
        <w:rPr>
          <w:rFonts w:hint="cs"/>
          <w:sz w:val="18"/>
          <w:szCs w:val="18"/>
          <w:rtl/>
        </w:rPr>
        <w:t xml:space="preserve">הוכחת </w:t>
      </w:r>
      <w:r w:rsidRPr="001F4AEE">
        <w:rPr>
          <w:rFonts w:hint="cs"/>
          <w:b/>
          <w:bCs/>
          <w:sz w:val="18"/>
          <w:szCs w:val="18"/>
          <w:rtl/>
        </w:rPr>
        <w:t>הט"ז</w:t>
      </w:r>
      <w:r w:rsidRPr="001F4AEE">
        <w:rPr>
          <w:rFonts w:hint="cs"/>
          <w:sz w:val="18"/>
          <w:szCs w:val="18"/>
          <w:rtl/>
        </w:rPr>
        <w:t xml:space="preserve"> לדבריו </w:t>
      </w:r>
      <w:r w:rsidRPr="001F4AEE">
        <w:rPr>
          <w:sz w:val="18"/>
          <w:szCs w:val="18"/>
          <w:rtl/>
        </w:rPr>
        <w:t>–</w:t>
      </w:r>
      <w:r w:rsidRPr="001F4AEE">
        <w:rPr>
          <w:rFonts w:hint="cs"/>
          <w:sz w:val="18"/>
          <w:szCs w:val="18"/>
          <w:rtl/>
        </w:rPr>
        <w:t xml:space="preserve"> </w:t>
      </w:r>
      <w:r w:rsidRPr="001F4AEE">
        <w:rPr>
          <w:rFonts w:hint="cs"/>
          <w:b/>
          <w:bCs/>
          <w:sz w:val="18"/>
          <w:szCs w:val="18"/>
          <w:rtl/>
        </w:rPr>
        <w:t>הראב"ד</w:t>
      </w:r>
      <w:r w:rsidRPr="001F4AEE">
        <w:rPr>
          <w:rFonts w:hint="cs"/>
          <w:sz w:val="18"/>
          <w:szCs w:val="18"/>
          <w:rtl/>
        </w:rPr>
        <w:t xml:space="preserve"> כתב להדיא שאין לטבול על גבי נסרים </w:t>
      </w:r>
      <w:r w:rsidRPr="001F4AEE">
        <w:rPr>
          <w:rFonts w:hint="cs"/>
          <w:sz w:val="18"/>
          <w:szCs w:val="18"/>
          <w:u w:val="single"/>
          <w:rtl/>
        </w:rPr>
        <w:t>הראויים</w:t>
      </w:r>
      <w:r w:rsidRPr="001F4AEE">
        <w:rPr>
          <w:rFonts w:hint="cs"/>
          <w:sz w:val="18"/>
          <w:szCs w:val="18"/>
          <w:rtl/>
        </w:rPr>
        <w:t xml:space="preserve"> לטומאת מדרס, משמע שאפילו אם כעת אינם מק"ט, מכל מקום אין לטבול ע"ג.</w:t>
      </w:r>
    </w:p>
  </w:footnote>
  <w:footnote w:id="673">
    <w:p w:rsidR="005953C5" w:rsidRDefault="005953C5" w:rsidP="00620060">
      <w:pPr>
        <w:pStyle w:val="a3"/>
      </w:pPr>
      <w:r w:rsidRPr="00EF7CC4">
        <w:rPr>
          <w:rStyle w:val="a5"/>
          <w:sz w:val="18"/>
          <w:szCs w:val="18"/>
        </w:rPr>
        <w:footnoteRef/>
      </w:r>
      <w:r w:rsidRPr="00EF7CC4">
        <w:rPr>
          <w:sz w:val="18"/>
          <w:szCs w:val="18"/>
          <w:rtl/>
        </w:rPr>
        <w:t xml:space="preserve"> </w:t>
      </w:r>
      <w:r w:rsidRPr="00EF7CC4">
        <w:rPr>
          <w:rFonts w:hint="cs"/>
          <w:sz w:val="18"/>
          <w:szCs w:val="18"/>
          <w:rtl/>
        </w:rPr>
        <w:t xml:space="preserve">ועוד יש לומר </w:t>
      </w:r>
      <w:r w:rsidRPr="00EF7CC4">
        <w:rPr>
          <w:sz w:val="18"/>
          <w:szCs w:val="18"/>
          <w:rtl/>
        </w:rPr>
        <w:t>–</w:t>
      </w:r>
      <w:r w:rsidRPr="00EF7CC4">
        <w:rPr>
          <w:rFonts w:hint="cs"/>
          <w:sz w:val="18"/>
          <w:szCs w:val="18"/>
          <w:rtl/>
        </w:rPr>
        <w:t xml:space="preserve"> הגזרה שמא יעשה את הכלי במקום מוצא המים ולא היה בו נקב כשפ"ה נאמרה דווקא בכלי שטהרתו תלויה בנקב זה, משא"כ ב</w:t>
      </w:r>
      <w:r>
        <w:rPr>
          <w:rFonts w:hint="cs"/>
          <w:sz w:val="18"/>
          <w:szCs w:val="18"/>
          <w:rtl/>
        </w:rPr>
        <w:t>פש</w:t>
      </w:r>
      <w:r w:rsidRPr="00EF7CC4">
        <w:rPr>
          <w:rFonts w:hint="cs"/>
          <w:sz w:val="18"/>
          <w:szCs w:val="18"/>
          <w:rtl/>
        </w:rPr>
        <w:t>וטי כל עץ שאף ללא נקב זה טהורים, ולכן אין לגזור בסילון וכל דדמי ליה כיוון שהוא פשוטי כלי עץ ואינו מק"ט.</w:t>
      </w:r>
    </w:p>
  </w:footnote>
  <w:footnote w:id="674">
    <w:p w:rsidR="005953C5" w:rsidRDefault="005953C5" w:rsidP="00620060">
      <w:pPr>
        <w:pStyle w:val="a3"/>
        <w:rPr>
          <w:rtl/>
        </w:rPr>
      </w:pPr>
      <w:r w:rsidRPr="0046590D">
        <w:rPr>
          <w:rStyle w:val="a5"/>
          <w:sz w:val="18"/>
          <w:szCs w:val="18"/>
        </w:rPr>
        <w:footnoteRef/>
      </w:r>
      <w:r w:rsidRPr="0046590D">
        <w:rPr>
          <w:sz w:val="18"/>
          <w:szCs w:val="18"/>
          <w:rtl/>
        </w:rPr>
        <w:t xml:space="preserve"> </w:t>
      </w:r>
      <w:r w:rsidRPr="0046590D">
        <w:rPr>
          <w:rFonts w:hint="cs"/>
          <w:b/>
          <w:bCs/>
          <w:sz w:val="18"/>
          <w:szCs w:val="18"/>
          <w:rtl/>
        </w:rPr>
        <w:t>ערוך השולחן</w:t>
      </w:r>
      <w:r w:rsidRPr="0046590D">
        <w:rPr>
          <w:rFonts w:hint="cs"/>
          <w:sz w:val="18"/>
          <w:szCs w:val="18"/>
          <w:rtl/>
        </w:rPr>
        <w:t xml:space="preserve"> מסכם את כלל התירוצים </w:t>
      </w:r>
      <w:r w:rsidRPr="0046590D">
        <w:rPr>
          <w:sz w:val="18"/>
          <w:szCs w:val="18"/>
          <w:rtl/>
        </w:rPr>
        <w:t>–</w:t>
      </w:r>
      <w:r w:rsidRPr="0046590D">
        <w:rPr>
          <w:rFonts w:hint="cs"/>
          <w:sz w:val="18"/>
          <w:szCs w:val="18"/>
          <w:rtl/>
        </w:rPr>
        <w:t xml:space="preserve"> "</w:t>
      </w:r>
      <w:r w:rsidRPr="0046590D">
        <w:rPr>
          <w:rFonts w:cs="Arial"/>
          <w:sz w:val="18"/>
          <w:szCs w:val="18"/>
          <w:rtl/>
        </w:rPr>
        <w:t>ותורף דבריהם כן הוא</w:t>
      </w:r>
      <w:r>
        <w:rPr>
          <w:rFonts w:cs="Arial" w:hint="cs"/>
          <w:sz w:val="18"/>
          <w:szCs w:val="18"/>
          <w:rtl/>
        </w:rPr>
        <w:t>,</w:t>
      </w:r>
      <w:r w:rsidRPr="0046590D">
        <w:rPr>
          <w:rFonts w:cs="Arial"/>
          <w:sz w:val="18"/>
          <w:szCs w:val="18"/>
          <w:rtl/>
        </w:rPr>
        <w:t xml:space="preserve"> דזה שכתבו נסרים הראויים למדרסות הכוונה נסרים המיוחדים לכלים וראוים למדרס כמו ספסל וכיוצא בו</w:t>
      </w:r>
      <w:r>
        <w:rPr>
          <w:rFonts w:cs="Arial" w:hint="cs"/>
          <w:sz w:val="18"/>
          <w:szCs w:val="18"/>
          <w:rtl/>
        </w:rPr>
        <w:t>,</w:t>
      </w:r>
      <w:r w:rsidRPr="0046590D">
        <w:rPr>
          <w:rFonts w:cs="Arial"/>
          <w:sz w:val="18"/>
          <w:szCs w:val="18"/>
          <w:rtl/>
        </w:rPr>
        <w:t xml:space="preserve"> ולא בנסרים העומדים לבניין שאין שם כלי עליהם כלל וכ</w:t>
      </w:r>
      <w:r>
        <w:rPr>
          <w:rFonts w:cs="Arial" w:hint="cs"/>
          <w:sz w:val="18"/>
          <w:szCs w:val="18"/>
          <w:rtl/>
        </w:rPr>
        <w:t xml:space="preserve">ל שכן </w:t>
      </w:r>
      <w:r w:rsidRPr="0046590D">
        <w:rPr>
          <w:rFonts w:cs="Arial"/>
          <w:sz w:val="18"/>
          <w:szCs w:val="18"/>
          <w:rtl/>
        </w:rPr>
        <w:t>אם דבקן במסמרים שנעשו בניין גמור</w:t>
      </w:r>
      <w:r w:rsidRPr="0046590D">
        <w:rPr>
          <w:rFonts w:cs="Arial" w:hint="cs"/>
          <w:sz w:val="18"/>
          <w:szCs w:val="18"/>
          <w:rtl/>
        </w:rPr>
        <w:t>".</w:t>
      </w:r>
    </w:p>
  </w:footnote>
  <w:footnote w:id="675">
    <w:p w:rsidR="005953C5" w:rsidRDefault="005953C5" w:rsidP="00620060">
      <w:pPr>
        <w:pStyle w:val="a3"/>
      </w:pPr>
      <w:r w:rsidRPr="009C5074">
        <w:rPr>
          <w:rStyle w:val="a5"/>
          <w:sz w:val="18"/>
          <w:szCs w:val="18"/>
        </w:rPr>
        <w:footnoteRef/>
      </w:r>
      <w:r w:rsidRPr="009C5074">
        <w:rPr>
          <w:sz w:val="18"/>
          <w:szCs w:val="18"/>
          <w:rtl/>
        </w:rPr>
        <w:t xml:space="preserve"> </w:t>
      </w:r>
      <w:r w:rsidRPr="009C5074">
        <w:rPr>
          <w:rFonts w:hint="cs"/>
          <w:sz w:val="18"/>
          <w:szCs w:val="18"/>
          <w:rtl/>
        </w:rPr>
        <w:t xml:space="preserve">ועיין לעיל </w:t>
      </w:r>
      <w:r w:rsidRPr="009C5074">
        <w:rPr>
          <w:rFonts w:hint="cs"/>
          <w:b/>
          <w:bCs/>
          <w:sz w:val="18"/>
          <w:szCs w:val="18"/>
          <w:rtl/>
        </w:rPr>
        <w:t xml:space="preserve">בש"ך </w:t>
      </w:r>
      <w:r w:rsidRPr="009C5074">
        <w:rPr>
          <w:rFonts w:hint="cs"/>
          <w:sz w:val="18"/>
          <w:szCs w:val="18"/>
          <w:rtl/>
        </w:rPr>
        <w:t xml:space="preserve">סק"מ, שמשמע ממנו שבטבילה בטיט לח צריכה להגביה רגליה שלא ייגעו בטיט, וכ"כ </w:t>
      </w:r>
      <w:r w:rsidRPr="009C5074">
        <w:rPr>
          <w:rFonts w:hint="cs"/>
          <w:b/>
          <w:bCs/>
          <w:sz w:val="18"/>
          <w:szCs w:val="18"/>
          <w:rtl/>
        </w:rPr>
        <w:t>ששבה"ל</w:t>
      </w:r>
      <w:r w:rsidRPr="009C5074">
        <w:rPr>
          <w:rFonts w:hint="cs"/>
          <w:sz w:val="18"/>
          <w:szCs w:val="18"/>
          <w:rtl/>
        </w:rPr>
        <w:t>, אלא שהוסיף שהאחרונים תמהו מניין לו לש"ך לחדש כך, ואמנם לכתחילה חשש לחומרה זו.</w:t>
      </w:r>
    </w:p>
  </w:footnote>
  <w:footnote w:id="676">
    <w:p w:rsidR="005953C5" w:rsidRDefault="005953C5" w:rsidP="00620060">
      <w:pPr>
        <w:pStyle w:val="a3"/>
      </w:pPr>
      <w:r w:rsidRPr="001F7E39">
        <w:rPr>
          <w:rStyle w:val="a5"/>
          <w:sz w:val="18"/>
          <w:szCs w:val="18"/>
        </w:rPr>
        <w:footnoteRef/>
      </w:r>
      <w:r w:rsidRPr="001F7E39">
        <w:rPr>
          <w:sz w:val="18"/>
          <w:szCs w:val="18"/>
          <w:rtl/>
        </w:rPr>
        <w:t xml:space="preserve"> </w:t>
      </w:r>
      <w:r w:rsidRPr="001F7E39">
        <w:rPr>
          <w:rFonts w:hint="cs"/>
          <w:sz w:val="18"/>
          <w:szCs w:val="18"/>
          <w:rtl/>
        </w:rPr>
        <w:t>כך כתב</w:t>
      </w:r>
      <w:r w:rsidRPr="001F7E39">
        <w:rPr>
          <w:rFonts w:hint="cs"/>
          <w:b/>
          <w:bCs/>
          <w:sz w:val="18"/>
          <w:szCs w:val="18"/>
          <w:rtl/>
        </w:rPr>
        <w:t xml:space="preserve"> הטור</w:t>
      </w:r>
      <w:r w:rsidRPr="001F7E39">
        <w:rPr>
          <w:rFonts w:hint="cs"/>
          <w:sz w:val="18"/>
          <w:szCs w:val="18"/>
          <w:rtl/>
        </w:rPr>
        <w:t xml:space="preserve"> ולא סייג. אמנם, </w:t>
      </w:r>
      <w:r w:rsidRPr="001F7E39">
        <w:rPr>
          <w:rFonts w:hint="cs"/>
          <w:b/>
          <w:bCs/>
          <w:sz w:val="18"/>
          <w:szCs w:val="18"/>
          <w:rtl/>
        </w:rPr>
        <w:t>ערו</w:t>
      </w:r>
      <w:r>
        <w:rPr>
          <w:rFonts w:hint="cs"/>
          <w:b/>
          <w:bCs/>
          <w:sz w:val="18"/>
          <w:szCs w:val="18"/>
          <w:rtl/>
        </w:rPr>
        <w:t xml:space="preserve">ך השולחן </w:t>
      </w:r>
      <w:r w:rsidRPr="001F7E39">
        <w:rPr>
          <w:rFonts w:hint="cs"/>
          <w:sz w:val="18"/>
          <w:szCs w:val="18"/>
          <w:rtl/>
        </w:rPr>
        <w:t>סייג שטבילתה מהני רק אם אומרת שדקדקה יפה בטבילה.</w:t>
      </w:r>
    </w:p>
  </w:footnote>
  <w:footnote w:id="677">
    <w:p w:rsidR="005953C5" w:rsidRDefault="005953C5" w:rsidP="00620060">
      <w:pPr>
        <w:pStyle w:val="a3"/>
      </w:pPr>
      <w:r w:rsidRPr="008D42E1">
        <w:rPr>
          <w:rStyle w:val="a5"/>
          <w:sz w:val="18"/>
          <w:szCs w:val="18"/>
        </w:rPr>
        <w:footnoteRef/>
      </w:r>
      <w:r w:rsidRPr="008D42E1">
        <w:rPr>
          <w:sz w:val="18"/>
          <w:szCs w:val="18"/>
          <w:rtl/>
        </w:rPr>
        <w:t xml:space="preserve"> </w:t>
      </w:r>
      <w:r w:rsidRPr="008D42E1">
        <w:rPr>
          <w:rFonts w:hint="cs"/>
          <w:sz w:val="18"/>
          <w:szCs w:val="18"/>
          <w:rtl/>
        </w:rPr>
        <w:t>היתר זה מבוסס על הגמרא שם בסמוך "</w:t>
      </w:r>
      <w:r w:rsidRPr="008D42E1">
        <w:rPr>
          <w:rFonts w:cs="Arial"/>
          <w:sz w:val="18"/>
          <w:szCs w:val="18"/>
          <w:rtl/>
        </w:rPr>
        <w:t>אבוה דשמואל עבד לבנתיה מקוואות ביומי ניסן, ומפצי ביומי תשרי</w:t>
      </w:r>
      <w:r w:rsidRPr="008D42E1">
        <w:rPr>
          <w:rFonts w:cs="Arial" w:hint="cs"/>
          <w:sz w:val="18"/>
          <w:szCs w:val="18"/>
          <w:rtl/>
        </w:rPr>
        <w:t xml:space="preserve">". </w:t>
      </w:r>
      <w:r>
        <w:rPr>
          <w:rFonts w:cs="Arial"/>
          <w:sz w:val="18"/>
          <w:szCs w:val="18"/>
          <w:rtl/>
        </w:rPr>
        <w:br/>
      </w:r>
      <w:r w:rsidRPr="008D42E1">
        <w:rPr>
          <w:rFonts w:cs="Arial" w:hint="cs"/>
          <w:sz w:val="18"/>
          <w:szCs w:val="18"/>
          <w:rtl/>
        </w:rPr>
        <w:t>ופירשו חלק מהראשונים ש</w:t>
      </w:r>
      <w:r>
        <w:rPr>
          <w:rFonts w:cs="Arial" w:hint="cs"/>
          <w:sz w:val="18"/>
          <w:szCs w:val="18"/>
          <w:rtl/>
        </w:rPr>
        <w:t>'</w:t>
      </w:r>
      <w:r w:rsidRPr="008D42E1">
        <w:rPr>
          <w:rFonts w:cs="Arial" w:hint="cs"/>
          <w:sz w:val="18"/>
          <w:szCs w:val="18"/>
          <w:rtl/>
        </w:rPr>
        <w:t>מפצי</w:t>
      </w:r>
      <w:r>
        <w:rPr>
          <w:rFonts w:cs="Arial" w:hint="cs"/>
          <w:sz w:val="18"/>
          <w:szCs w:val="18"/>
          <w:rtl/>
        </w:rPr>
        <w:t>'</w:t>
      </w:r>
      <w:r w:rsidRPr="008D42E1">
        <w:rPr>
          <w:rFonts w:cs="Arial" w:hint="cs"/>
          <w:sz w:val="18"/>
          <w:szCs w:val="18"/>
          <w:rtl/>
        </w:rPr>
        <w:t xml:space="preserve"> הן מחיצות שעשה </w:t>
      </w:r>
      <w:r>
        <w:rPr>
          <w:rFonts w:cs="Arial" w:hint="cs"/>
          <w:sz w:val="18"/>
          <w:szCs w:val="18"/>
          <w:rtl/>
        </w:rPr>
        <w:t xml:space="preserve">שמואל </w:t>
      </w:r>
      <w:r w:rsidRPr="008D42E1">
        <w:rPr>
          <w:rFonts w:cs="Arial" w:hint="cs"/>
          <w:sz w:val="18"/>
          <w:szCs w:val="18"/>
          <w:rtl/>
        </w:rPr>
        <w:t>בנהר</w:t>
      </w:r>
      <w:r>
        <w:rPr>
          <w:rFonts w:cs="Arial" w:hint="cs"/>
          <w:sz w:val="18"/>
          <w:szCs w:val="18"/>
          <w:rtl/>
        </w:rPr>
        <w:t>,</w:t>
      </w:r>
      <w:r w:rsidRPr="008D42E1">
        <w:rPr>
          <w:rFonts w:cs="Arial" w:hint="cs"/>
          <w:sz w:val="18"/>
          <w:szCs w:val="18"/>
          <w:rtl/>
        </w:rPr>
        <w:t xml:space="preserve"> כדי לאפשר לבנותיו לטבול שם בצניעות.</w:t>
      </w:r>
    </w:p>
  </w:footnote>
  <w:footnote w:id="678">
    <w:p w:rsidR="005953C5" w:rsidRDefault="005953C5" w:rsidP="00620060">
      <w:pPr>
        <w:pStyle w:val="a3"/>
        <w:rPr>
          <w:rtl/>
        </w:rPr>
      </w:pPr>
      <w:r w:rsidRPr="009D0EC0">
        <w:rPr>
          <w:rStyle w:val="a5"/>
          <w:sz w:val="18"/>
          <w:szCs w:val="18"/>
        </w:rPr>
        <w:footnoteRef/>
      </w:r>
      <w:r w:rsidRPr="009D0EC0">
        <w:rPr>
          <w:sz w:val="18"/>
          <w:szCs w:val="18"/>
          <w:rtl/>
        </w:rPr>
        <w:t xml:space="preserve"> </w:t>
      </w:r>
      <w:r w:rsidRPr="009D0EC0">
        <w:rPr>
          <w:rFonts w:hint="cs"/>
          <w:sz w:val="18"/>
          <w:szCs w:val="18"/>
          <w:rtl/>
        </w:rPr>
        <w:t>ולפי"ז שונה דין האיש מדין האשה, משום שהאיש צריך להגביה את שתי ידיו.</w:t>
      </w:r>
    </w:p>
  </w:footnote>
  <w:footnote w:id="679">
    <w:p w:rsidR="005953C5" w:rsidRDefault="005953C5" w:rsidP="00620060">
      <w:pPr>
        <w:pStyle w:val="a3"/>
        <w:rPr>
          <w:rtl/>
        </w:rPr>
      </w:pPr>
      <w:r w:rsidRPr="009705EB">
        <w:rPr>
          <w:rStyle w:val="a5"/>
          <w:sz w:val="18"/>
          <w:szCs w:val="18"/>
        </w:rPr>
        <w:footnoteRef/>
      </w:r>
      <w:r w:rsidRPr="009705EB">
        <w:rPr>
          <w:sz w:val="18"/>
          <w:szCs w:val="18"/>
          <w:rtl/>
        </w:rPr>
        <w:t xml:space="preserve"> </w:t>
      </w:r>
      <w:r w:rsidRPr="009705EB">
        <w:rPr>
          <w:rFonts w:hint="cs"/>
          <w:sz w:val="18"/>
          <w:szCs w:val="18"/>
          <w:rtl/>
        </w:rPr>
        <w:t>ולפי"ז, הם גורסים בגמרא: "</w:t>
      </w:r>
      <w:r w:rsidRPr="009705EB">
        <w:rPr>
          <w:rFonts w:cs="Arial"/>
          <w:sz w:val="18"/>
          <w:szCs w:val="18"/>
          <w:rtl/>
        </w:rPr>
        <w:t>ולית הלכתא ככל הני שמעתתא כי איתמר הני לטהרות אבל לבעלה לא</w:t>
      </w:r>
      <w:r w:rsidRPr="009705EB">
        <w:rPr>
          <w:rFonts w:cs="Arial" w:hint="cs"/>
          <w:sz w:val="18"/>
          <w:szCs w:val="18"/>
          <w:rtl/>
        </w:rPr>
        <w:t>,</w:t>
      </w:r>
      <w:r w:rsidRPr="009705EB">
        <w:rPr>
          <w:rFonts w:cs="Arial"/>
          <w:sz w:val="18"/>
          <w:szCs w:val="18"/>
          <w:rtl/>
        </w:rPr>
        <w:t xml:space="preserve"> כי הא דאמר ריש לקיש אשה לא תטבול אלא דרך גדילתה</w:t>
      </w:r>
      <w:r w:rsidRPr="009705EB">
        <w:rPr>
          <w:rFonts w:cs="Arial" w:hint="cs"/>
          <w:sz w:val="18"/>
          <w:szCs w:val="18"/>
          <w:rtl/>
        </w:rPr>
        <w:t>".</w:t>
      </w:r>
      <w:r w:rsidRPr="009705EB">
        <w:rPr>
          <w:rFonts w:hint="cs"/>
          <w:sz w:val="18"/>
          <w:szCs w:val="18"/>
          <w:rtl/>
        </w:rPr>
        <w:t xml:space="preserve"> </w:t>
      </w:r>
      <w:r>
        <w:rPr>
          <w:sz w:val="18"/>
          <w:szCs w:val="18"/>
          <w:rtl/>
        </w:rPr>
        <w:br/>
      </w:r>
      <w:r w:rsidRPr="009705EB">
        <w:rPr>
          <w:rFonts w:hint="cs"/>
          <w:sz w:val="18"/>
          <w:szCs w:val="18"/>
          <w:rtl/>
        </w:rPr>
        <w:t xml:space="preserve">כלומר </w:t>
      </w:r>
      <w:r w:rsidRPr="009705EB">
        <w:rPr>
          <w:sz w:val="18"/>
          <w:szCs w:val="18"/>
          <w:rtl/>
        </w:rPr>
        <w:t>–</w:t>
      </w:r>
      <w:r w:rsidRPr="009705EB">
        <w:rPr>
          <w:rFonts w:hint="cs"/>
          <w:sz w:val="18"/>
          <w:szCs w:val="18"/>
          <w:rtl/>
        </w:rPr>
        <w:t xml:space="preserve"> כפי שחומרת ר"ל נאמרה </w:t>
      </w:r>
      <w:r>
        <w:rPr>
          <w:rFonts w:hint="cs"/>
          <w:sz w:val="18"/>
          <w:szCs w:val="18"/>
          <w:rtl/>
        </w:rPr>
        <w:t xml:space="preserve">רק </w:t>
      </w:r>
      <w:r w:rsidRPr="009705EB">
        <w:rPr>
          <w:rFonts w:hint="cs"/>
          <w:sz w:val="18"/>
          <w:szCs w:val="18"/>
          <w:rtl/>
        </w:rPr>
        <w:t xml:space="preserve">לטהרות ולא לבעלה, הוא הדין לגבי </w:t>
      </w:r>
      <w:r>
        <w:rPr>
          <w:rFonts w:hint="cs"/>
          <w:sz w:val="18"/>
          <w:szCs w:val="18"/>
          <w:rtl/>
        </w:rPr>
        <w:t xml:space="preserve">שאר </w:t>
      </w:r>
      <w:r w:rsidRPr="009705EB">
        <w:rPr>
          <w:rFonts w:hint="cs"/>
          <w:sz w:val="18"/>
          <w:szCs w:val="18"/>
          <w:rtl/>
        </w:rPr>
        <w:t>החומרות שבגמרא שהן רק לטהרות.</w:t>
      </w:r>
    </w:p>
  </w:footnote>
  <w:footnote w:id="680">
    <w:p w:rsidR="005953C5" w:rsidRDefault="005953C5" w:rsidP="00620060">
      <w:pPr>
        <w:pStyle w:val="a3"/>
        <w:rPr>
          <w:rtl/>
        </w:rPr>
      </w:pPr>
      <w:r w:rsidRPr="00120B41">
        <w:rPr>
          <w:rStyle w:val="a5"/>
          <w:sz w:val="18"/>
          <w:szCs w:val="18"/>
        </w:rPr>
        <w:footnoteRef/>
      </w:r>
      <w:r w:rsidRPr="00120B41">
        <w:rPr>
          <w:sz w:val="18"/>
          <w:szCs w:val="18"/>
          <w:rtl/>
        </w:rPr>
        <w:t xml:space="preserve"> </w:t>
      </w:r>
      <w:r w:rsidRPr="00120B41">
        <w:rPr>
          <w:rFonts w:hint="cs"/>
          <w:sz w:val="18"/>
          <w:szCs w:val="18"/>
          <w:rtl/>
        </w:rPr>
        <w:t xml:space="preserve">אע"פ </w:t>
      </w:r>
      <w:r w:rsidRPr="00120B41">
        <w:rPr>
          <w:rFonts w:hint="cs"/>
          <w:b/>
          <w:bCs/>
          <w:sz w:val="18"/>
          <w:szCs w:val="18"/>
          <w:rtl/>
        </w:rPr>
        <w:t xml:space="preserve">שהערוך </w:t>
      </w:r>
      <w:r w:rsidRPr="00120B41">
        <w:rPr>
          <w:rFonts w:hint="cs"/>
          <w:sz w:val="18"/>
          <w:szCs w:val="18"/>
          <w:rtl/>
        </w:rPr>
        <w:t>כתב כך, לא רציתי לכתוב שהמחבר פוסק כמותו, משום שמשמע מדברי הערוך שאף לכתחילה א"צ להקפיד לבעלה</w:t>
      </w:r>
      <w:r>
        <w:rPr>
          <w:rFonts w:hint="cs"/>
          <w:sz w:val="18"/>
          <w:szCs w:val="18"/>
          <w:rtl/>
        </w:rPr>
        <w:t>,</w:t>
      </w:r>
      <w:r w:rsidRPr="00120B41">
        <w:rPr>
          <w:rFonts w:hint="cs"/>
          <w:sz w:val="18"/>
          <w:szCs w:val="18"/>
          <w:rtl/>
        </w:rPr>
        <w:t xml:space="preserve"> </w:t>
      </w:r>
      <w:r>
        <w:rPr>
          <w:rFonts w:hint="cs"/>
          <w:sz w:val="18"/>
          <w:szCs w:val="18"/>
          <w:rtl/>
        </w:rPr>
        <w:t>ואילו</w:t>
      </w:r>
      <w:r w:rsidRPr="00120B41">
        <w:rPr>
          <w:rFonts w:hint="cs"/>
          <w:sz w:val="18"/>
          <w:szCs w:val="18"/>
          <w:rtl/>
        </w:rPr>
        <w:t xml:space="preserve"> מדברי המחבר משמע לחוש לכך לכתחילה.</w:t>
      </w:r>
    </w:p>
  </w:footnote>
  <w:footnote w:id="681">
    <w:p w:rsidR="005953C5" w:rsidRPr="00E734C6" w:rsidRDefault="005953C5" w:rsidP="00620060">
      <w:pPr>
        <w:pStyle w:val="a3"/>
        <w:rPr>
          <w:sz w:val="18"/>
          <w:szCs w:val="18"/>
        </w:rPr>
      </w:pPr>
      <w:r w:rsidRPr="00E734C6">
        <w:rPr>
          <w:rStyle w:val="a5"/>
          <w:sz w:val="18"/>
          <w:szCs w:val="18"/>
        </w:rPr>
        <w:footnoteRef/>
      </w:r>
      <w:r w:rsidRPr="00E734C6">
        <w:rPr>
          <w:sz w:val="18"/>
          <w:szCs w:val="18"/>
          <w:rtl/>
        </w:rPr>
        <w:t xml:space="preserve"> </w:t>
      </w:r>
      <w:r w:rsidRPr="00E734C6">
        <w:rPr>
          <w:rFonts w:hint="cs"/>
          <w:b/>
          <w:bCs/>
          <w:sz w:val="18"/>
          <w:szCs w:val="18"/>
          <w:rtl/>
        </w:rPr>
        <w:t>ששבה"ל</w:t>
      </w:r>
      <w:r w:rsidRPr="00E734C6">
        <w:rPr>
          <w:rFonts w:hint="cs"/>
          <w:sz w:val="18"/>
          <w:szCs w:val="18"/>
          <w:rtl/>
        </w:rPr>
        <w:t xml:space="preserve"> </w:t>
      </w:r>
      <w:r w:rsidRPr="00E734C6">
        <w:rPr>
          <w:sz w:val="18"/>
          <w:szCs w:val="18"/>
          <w:rtl/>
        </w:rPr>
        <w:t>–</w:t>
      </w:r>
      <w:r w:rsidRPr="00E734C6">
        <w:rPr>
          <w:rFonts w:hint="cs"/>
          <w:sz w:val="18"/>
          <w:szCs w:val="18"/>
          <w:rtl/>
        </w:rPr>
        <w:t xml:space="preserve"> האחרונים נחלקו בכוונת הש"ך האם דעתו להחמיר אף בדיעבד ולחלוק על המחבר, או שהקשה סתירה אך אינו חולק לדינא.</w:t>
      </w:r>
    </w:p>
  </w:footnote>
  <w:footnote w:id="682">
    <w:p w:rsidR="005953C5" w:rsidRDefault="005953C5" w:rsidP="00620060">
      <w:pPr>
        <w:pStyle w:val="a3"/>
        <w:rPr>
          <w:rtl/>
        </w:rPr>
      </w:pPr>
      <w:r w:rsidRPr="001F7E39">
        <w:rPr>
          <w:rStyle w:val="a5"/>
          <w:sz w:val="18"/>
          <w:szCs w:val="18"/>
        </w:rPr>
        <w:footnoteRef/>
      </w:r>
      <w:r w:rsidRPr="001F7E39">
        <w:rPr>
          <w:sz w:val="18"/>
          <w:szCs w:val="18"/>
          <w:rtl/>
        </w:rPr>
        <w:t xml:space="preserve"> </w:t>
      </w:r>
      <w:r w:rsidRPr="001F7E39">
        <w:rPr>
          <w:rFonts w:hint="cs"/>
          <w:b/>
          <w:bCs/>
          <w:sz w:val="18"/>
          <w:szCs w:val="18"/>
          <w:rtl/>
        </w:rPr>
        <w:t>ערוך השולחן</w:t>
      </w:r>
      <w:r w:rsidRPr="001F7E39">
        <w:rPr>
          <w:rFonts w:hint="cs"/>
          <w:sz w:val="18"/>
          <w:szCs w:val="18"/>
          <w:rtl/>
        </w:rPr>
        <w:t xml:space="preserve"> </w:t>
      </w:r>
      <w:r>
        <w:rPr>
          <w:rFonts w:hint="cs"/>
          <w:sz w:val="18"/>
          <w:szCs w:val="18"/>
          <w:rtl/>
        </w:rPr>
        <w:t xml:space="preserve">- </w:t>
      </w:r>
      <w:r w:rsidRPr="001F7E39">
        <w:rPr>
          <w:rFonts w:hint="cs"/>
          <w:sz w:val="18"/>
          <w:szCs w:val="18"/>
          <w:rtl/>
        </w:rPr>
        <w:t>ע"פ תוספתא זו מוכח</w:t>
      </w:r>
      <w:r>
        <w:rPr>
          <w:rFonts w:hint="cs"/>
          <w:sz w:val="18"/>
          <w:szCs w:val="18"/>
          <w:rtl/>
        </w:rPr>
        <w:t xml:space="preserve"> פסק </w:t>
      </w:r>
      <w:r w:rsidRPr="001F7E39">
        <w:rPr>
          <w:rFonts w:hint="cs"/>
          <w:sz w:val="18"/>
          <w:szCs w:val="18"/>
          <w:rtl/>
        </w:rPr>
        <w:t xml:space="preserve">המחבר לעיל לגבי טבילה שלא כדרך גדילתה </w:t>
      </w:r>
      <w:r>
        <w:rPr>
          <w:rFonts w:hint="cs"/>
          <w:sz w:val="18"/>
          <w:szCs w:val="18"/>
          <w:rtl/>
        </w:rPr>
        <w:t>ש</w:t>
      </w:r>
      <w:r w:rsidRPr="001F7E39">
        <w:rPr>
          <w:rFonts w:hint="cs"/>
          <w:sz w:val="18"/>
          <w:szCs w:val="18"/>
          <w:rtl/>
        </w:rPr>
        <w:t>אינה מעכבת. וכן יש להוכיח מהא דלקמן שהטובלת במקווה רדוד תשטח עצמה בתוכו וטבילתה מהני, והרי שכיבה גרועה מטבילה בקומה זקופה.</w:t>
      </w:r>
      <w:r w:rsidRPr="001F7E39">
        <w:rPr>
          <w:sz w:val="18"/>
          <w:szCs w:val="18"/>
          <w:rtl/>
        </w:rPr>
        <w:br/>
      </w:r>
      <w:r w:rsidRPr="001F7E39">
        <w:rPr>
          <w:rFonts w:hint="cs"/>
          <w:sz w:val="18"/>
          <w:szCs w:val="18"/>
          <w:rtl/>
        </w:rPr>
        <w:t xml:space="preserve">ולכן יש לומר שדין זה קל יותר משאר הדינים שנכתבו בגמרא הנ"ל, </w:t>
      </w:r>
      <w:r>
        <w:rPr>
          <w:rFonts w:hint="cs"/>
          <w:sz w:val="18"/>
          <w:szCs w:val="18"/>
          <w:rtl/>
        </w:rPr>
        <w:t xml:space="preserve">משום כך </w:t>
      </w:r>
      <w:r w:rsidRPr="001F7E39">
        <w:rPr>
          <w:rFonts w:hint="cs"/>
          <w:b/>
          <w:bCs/>
          <w:sz w:val="18"/>
          <w:szCs w:val="18"/>
          <w:rtl/>
        </w:rPr>
        <w:t>הב"י</w:t>
      </w:r>
      <w:r w:rsidRPr="001F7E39">
        <w:rPr>
          <w:rFonts w:hint="cs"/>
          <w:sz w:val="18"/>
          <w:szCs w:val="18"/>
          <w:rtl/>
        </w:rPr>
        <w:t xml:space="preserve"> הקל בו</w:t>
      </w:r>
      <w:r>
        <w:rPr>
          <w:rFonts w:hint="cs"/>
          <w:sz w:val="18"/>
          <w:szCs w:val="18"/>
          <w:rtl/>
        </w:rPr>
        <w:t xml:space="preserve">, ותמיהת </w:t>
      </w:r>
      <w:r w:rsidRPr="00DA09FE">
        <w:rPr>
          <w:rFonts w:hint="cs"/>
          <w:b/>
          <w:bCs/>
          <w:sz w:val="18"/>
          <w:szCs w:val="18"/>
          <w:rtl/>
        </w:rPr>
        <w:t>הש"ך</w:t>
      </w:r>
      <w:r>
        <w:rPr>
          <w:rFonts w:hint="cs"/>
          <w:sz w:val="18"/>
          <w:szCs w:val="18"/>
          <w:rtl/>
        </w:rPr>
        <w:t xml:space="preserve"> מיושבת</w:t>
      </w:r>
      <w:r w:rsidRPr="001F7E39">
        <w:rPr>
          <w:rFonts w:hint="cs"/>
          <w:sz w:val="18"/>
          <w:szCs w:val="18"/>
          <w:rtl/>
        </w:rPr>
        <w:t>.</w:t>
      </w:r>
    </w:p>
  </w:footnote>
  <w:footnote w:id="683">
    <w:p w:rsidR="005953C5" w:rsidRPr="005D664F" w:rsidRDefault="005953C5" w:rsidP="00620060">
      <w:pPr>
        <w:pStyle w:val="a3"/>
        <w:rPr>
          <w:sz w:val="18"/>
          <w:szCs w:val="18"/>
        </w:rPr>
      </w:pPr>
      <w:r w:rsidRPr="005D664F">
        <w:rPr>
          <w:rStyle w:val="a5"/>
          <w:sz w:val="18"/>
          <w:szCs w:val="18"/>
        </w:rPr>
        <w:footnoteRef/>
      </w:r>
      <w:r w:rsidRPr="005D664F">
        <w:rPr>
          <w:sz w:val="18"/>
          <w:szCs w:val="18"/>
          <w:rtl/>
        </w:rPr>
        <w:t xml:space="preserve"> </w:t>
      </w:r>
      <w:r w:rsidRPr="005D664F">
        <w:rPr>
          <w:rFonts w:ascii="Arial" w:hAnsi="Arial" w:cs="Arial"/>
          <w:color w:val="222222"/>
          <w:sz w:val="18"/>
          <w:szCs w:val="18"/>
          <w:shd w:val="clear" w:color="auto" w:fill="FFFFFF"/>
          <w:rtl/>
        </w:rPr>
        <w:t>באופן מדידת שיעור הזרת ישנן שתי אפשרויות. יש שכתבו שהוא המרחק בין האגודל לזרת במתיחת היד והפרדת האצבעות. ויש שכתבו שמאחר והאמה היא הארוכה באצבעות, ממילא נקבעה הזרת שהיא הקצרה באצבעות לשער בה חצי ממידת האמה</w:t>
      </w:r>
      <w:r w:rsidRPr="005D664F">
        <w:rPr>
          <w:rFonts w:ascii="Arial" w:hAnsi="Arial" w:cs="Arial" w:hint="cs"/>
          <w:color w:val="222222"/>
          <w:sz w:val="18"/>
          <w:szCs w:val="18"/>
          <w:shd w:val="clear" w:color="auto" w:fill="FFFFFF"/>
          <w:rtl/>
        </w:rPr>
        <w:t xml:space="preserve">, </w:t>
      </w:r>
      <w:r>
        <w:rPr>
          <w:rFonts w:ascii="Arial" w:hAnsi="Arial" w:cs="Arial" w:hint="cs"/>
          <w:color w:val="222222"/>
          <w:sz w:val="18"/>
          <w:szCs w:val="18"/>
          <w:shd w:val="clear" w:color="auto" w:fill="FFFFFF"/>
          <w:rtl/>
        </w:rPr>
        <w:t xml:space="preserve">מתוך </w:t>
      </w:r>
      <w:r w:rsidRPr="005D664F">
        <w:rPr>
          <w:rFonts w:ascii="Arial" w:hAnsi="Arial" w:cs="Arial" w:hint="cs"/>
          <w:color w:val="222222"/>
          <w:sz w:val="18"/>
          <w:szCs w:val="18"/>
          <w:shd w:val="clear" w:color="auto" w:fill="FFFFFF"/>
          <w:rtl/>
        </w:rPr>
        <w:t>ויקיפדיה.</w:t>
      </w:r>
    </w:p>
  </w:footnote>
  <w:footnote w:id="684">
    <w:p w:rsidR="005953C5" w:rsidRDefault="005953C5" w:rsidP="00620060">
      <w:pPr>
        <w:pStyle w:val="a3"/>
        <w:rPr>
          <w:rtl/>
        </w:rPr>
      </w:pPr>
      <w:r w:rsidRPr="00F43F73">
        <w:rPr>
          <w:rStyle w:val="a5"/>
          <w:sz w:val="18"/>
          <w:szCs w:val="18"/>
        </w:rPr>
        <w:footnoteRef/>
      </w:r>
      <w:r w:rsidRPr="00F43F73">
        <w:rPr>
          <w:sz w:val="18"/>
          <w:szCs w:val="18"/>
          <w:rtl/>
        </w:rPr>
        <w:t xml:space="preserve"> </w:t>
      </w:r>
      <w:r w:rsidRPr="00F43F73">
        <w:rPr>
          <w:rFonts w:hint="cs"/>
          <w:b/>
          <w:bCs/>
          <w:sz w:val="18"/>
          <w:szCs w:val="18"/>
          <w:rtl/>
        </w:rPr>
        <w:t>גר"א</w:t>
      </w:r>
      <w:r w:rsidRPr="00F43F73">
        <w:rPr>
          <w:rFonts w:hint="cs"/>
          <w:sz w:val="18"/>
          <w:szCs w:val="18"/>
          <w:rtl/>
        </w:rPr>
        <w:t xml:space="preserve"> </w:t>
      </w:r>
      <w:r w:rsidRPr="00F43F73">
        <w:rPr>
          <w:sz w:val="18"/>
          <w:szCs w:val="18"/>
          <w:rtl/>
        </w:rPr>
        <w:t>–</w:t>
      </w:r>
      <w:r w:rsidRPr="00F43F73">
        <w:rPr>
          <w:rFonts w:hint="cs"/>
          <w:sz w:val="18"/>
          <w:szCs w:val="18"/>
          <w:rtl/>
        </w:rPr>
        <w:t xml:space="preserve"> כך מוכח גם מהתוספתא שפסק הרמב"ם לגבי טבילה בישיבה, שאם המים באים לכל הגוף כהוגן, מהני טבילה בכל צורה.</w:t>
      </w:r>
    </w:p>
  </w:footnote>
  <w:footnote w:id="685">
    <w:p w:rsidR="005953C5" w:rsidRDefault="005953C5" w:rsidP="00620060">
      <w:pPr>
        <w:pStyle w:val="a3"/>
      </w:pPr>
      <w:r w:rsidRPr="00533122">
        <w:rPr>
          <w:rStyle w:val="a5"/>
          <w:sz w:val="18"/>
          <w:szCs w:val="18"/>
        </w:rPr>
        <w:footnoteRef/>
      </w:r>
      <w:r w:rsidRPr="00533122">
        <w:rPr>
          <w:sz w:val="18"/>
          <w:szCs w:val="18"/>
          <w:rtl/>
        </w:rPr>
        <w:t xml:space="preserve"> </w:t>
      </w:r>
      <w:r w:rsidRPr="00533122">
        <w:rPr>
          <w:rFonts w:hint="cs"/>
          <w:b/>
          <w:bCs/>
          <w:sz w:val="18"/>
          <w:szCs w:val="18"/>
          <w:rtl/>
        </w:rPr>
        <w:t>דרכי משה</w:t>
      </w:r>
      <w:r w:rsidRPr="00533122">
        <w:rPr>
          <w:rFonts w:hint="cs"/>
          <w:sz w:val="18"/>
          <w:szCs w:val="18"/>
          <w:rtl/>
        </w:rPr>
        <w:t xml:space="preserve"> </w:t>
      </w:r>
      <w:r w:rsidRPr="00533122">
        <w:rPr>
          <w:rFonts w:hint="cs"/>
          <w:sz w:val="16"/>
          <w:szCs w:val="16"/>
          <w:rtl/>
        </w:rPr>
        <w:t xml:space="preserve">(סקי"א) </w:t>
      </w:r>
      <w:r w:rsidRPr="00533122">
        <w:rPr>
          <w:sz w:val="18"/>
          <w:szCs w:val="18"/>
          <w:rtl/>
        </w:rPr>
        <w:t>–</w:t>
      </w:r>
      <w:r w:rsidRPr="00533122">
        <w:rPr>
          <w:rFonts w:hint="cs"/>
          <w:sz w:val="18"/>
          <w:szCs w:val="18"/>
          <w:rtl/>
        </w:rPr>
        <w:t xml:space="preserve"> </w:t>
      </w:r>
      <w:r>
        <w:rPr>
          <w:rFonts w:hint="cs"/>
          <w:b/>
          <w:bCs/>
          <w:sz w:val="18"/>
          <w:szCs w:val="18"/>
          <w:rtl/>
        </w:rPr>
        <w:t>ה</w:t>
      </w:r>
      <w:r w:rsidRPr="00533122">
        <w:rPr>
          <w:rFonts w:hint="cs"/>
          <w:b/>
          <w:bCs/>
          <w:sz w:val="18"/>
          <w:szCs w:val="18"/>
          <w:rtl/>
        </w:rPr>
        <w:t>שערי דורא</w:t>
      </w:r>
      <w:r w:rsidRPr="00533122">
        <w:rPr>
          <w:rFonts w:hint="cs"/>
          <w:sz w:val="18"/>
          <w:szCs w:val="18"/>
          <w:rtl/>
        </w:rPr>
        <w:t xml:space="preserve"> כתב שלכתחילה צריכה לפתוח את הפה בשעת טבילה, אך אין </w:t>
      </w:r>
      <w:r>
        <w:rPr>
          <w:rFonts w:hint="cs"/>
          <w:sz w:val="18"/>
          <w:szCs w:val="18"/>
          <w:rtl/>
        </w:rPr>
        <w:t>דבריו נראים</w:t>
      </w:r>
      <w:r w:rsidRPr="00533122">
        <w:rPr>
          <w:rFonts w:hint="cs"/>
          <w:sz w:val="18"/>
          <w:szCs w:val="18"/>
          <w:rtl/>
        </w:rPr>
        <w:t>.</w:t>
      </w:r>
    </w:p>
  </w:footnote>
  <w:footnote w:id="686">
    <w:p w:rsidR="005953C5" w:rsidRDefault="005953C5" w:rsidP="00620060">
      <w:pPr>
        <w:pStyle w:val="a3"/>
        <w:rPr>
          <w:rtl/>
        </w:rPr>
      </w:pPr>
      <w:r w:rsidRPr="00C708D3">
        <w:rPr>
          <w:rStyle w:val="a5"/>
          <w:sz w:val="18"/>
          <w:szCs w:val="18"/>
        </w:rPr>
        <w:footnoteRef/>
      </w:r>
      <w:r w:rsidRPr="00C708D3">
        <w:rPr>
          <w:sz w:val="18"/>
          <w:szCs w:val="18"/>
          <w:rtl/>
        </w:rPr>
        <w:t xml:space="preserve"> </w:t>
      </w:r>
      <w:r w:rsidRPr="00C708D3">
        <w:rPr>
          <w:rFonts w:hint="cs"/>
          <w:sz w:val="18"/>
          <w:szCs w:val="18"/>
          <w:rtl/>
        </w:rPr>
        <w:t>עיין בהרחבה בהקדמה לסעיף ז'.</w:t>
      </w:r>
    </w:p>
  </w:footnote>
  <w:footnote w:id="687">
    <w:p w:rsidR="005953C5" w:rsidRDefault="005953C5" w:rsidP="00620060">
      <w:pPr>
        <w:pStyle w:val="a3"/>
      </w:pPr>
      <w:r w:rsidRPr="00AB4ACE">
        <w:rPr>
          <w:rStyle w:val="a5"/>
          <w:sz w:val="18"/>
          <w:szCs w:val="18"/>
        </w:rPr>
        <w:footnoteRef/>
      </w:r>
      <w:r w:rsidRPr="00AB4ACE">
        <w:rPr>
          <w:sz w:val="18"/>
          <w:szCs w:val="18"/>
          <w:rtl/>
        </w:rPr>
        <w:t xml:space="preserve"> </w:t>
      </w:r>
      <w:r w:rsidRPr="00AB4ACE">
        <w:rPr>
          <w:rFonts w:hint="cs"/>
          <w:sz w:val="18"/>
          <w:szCs w:val="18"/>
          <w:rtl/>
        </w:rPr>
        <w:t xml:space="preserve">מעניין </w:t>
      </w:r>
      <w:r w:rsidRPr="00AB4ACE">
        <w:rPr>
          <w:rFonts w:hint="cs"/>
          <w:b/>
          <w:bCs/>
          <w:sz w:val="18"/>
          <w:szCs w:val="18"/>
          <w:rtl/>
        </w:rPr>
        <w:t>שהרא"ש</w:t>
      </w:r>
      <w:r w:rsidRPr="00AB4ACE">
        <w:rPr>
          <w:rFonts w:hint="cs"/>
          <w:sz w:val="18"/>
          <w:szCs w:val="18"/>
          <w:rtl/>
        </w:rPr>
        <w:t xml:space="preserve"> סמך זו להלכה נוספת, זו לשונו</w:t>
      </w:r>
      <w:r w:rsidRPr="00AB4ACE">
        <w:rPr>
          <w:rFonts w:hint="cs"/>
          <w:sz w:val="16"/>
          <w:szCs w:val="16"/>
          <w:rtl/>
        </w:rPr>
        <w:t xml:space="preserve"> (הל</w:t>
      </w:r>
      <w:r>
        <w:rPr>
          <w:rFonts w:hint="cs"/>
          <w:sz w:val="16"/>
          <w:szCs w:val="16"/>
          <w:rtl/>
        </w:rPr>
        <w:t xml:space="preserve">' מקוואות, </w:t>
      </w:r>
      <w:r w:rsidRPr="00AB4ACE">
        <w:rPr>
          <w:rFonts w:hint="cs"/>
          <w:sz w:val="16"/>
          <w:szCs w:val="16"/>
          <w:rtl/>
        </w:rPr>
        <w:t xml:space="preserve">כח) </w:t>
      </w:r>
      <w:r w:rsidRPr="00AB4ACE">
        <w:rPr>
          <w:sz w:val="18"/>
          <w:szCs w:val="18"/>
          <w:rtl/>
        </w:rPr>
        <w:t>–</w:t>
      </w:r>
      <w:r w:rsidRPr="00AB4ACE">
        <w:rPr>
          <w:rFonts w:hint="cs"/>
          <w:sz w:val="18"/>
          <w:szCs w:val="18"/>
          <w:rtl/>
        </w:rPr>
        <w:t xml:space="preserve"> "</w:t>
      </w:r>
      <w:r w:rsidRPr="00AB4ACE">
        <w:rPr>
          <w:rFonts w:cs="Arial"/>
          <w:sz w:val="18"/>
          <w:szCs w:val="18"/>
          <w:rtl/>
        </w:rPr>
        <w:t>נדה יכולה לטבול בבגדיה לפי שהמים נכנסין תחת הבגדים</w:t>
      </w:r>
      <w:r>
        <w:rPr>
          <w:rFonts w:cs="Arial" w:hint="cs"/>
          <w:sz w:val="18"/>
          <w:szCs w:val="18"/>
          <w:rtl/>
        </w:rPr>
        <w:t>,</w:t>
      </w:r>
      <w:r w:rsidRPr="00AB4ACE">
        <w:rPr>
          <w:rFonts w:cs="Arial"/>
          <w:sz w:val="18"/>
          <w:szCs w:val="18"/>
          <w:rtl/>
        </w:rPr>
        <w:t xml:space="preserve"> וצריך שתהא אשה עומדת עליה בשעת טבילה שתראה שנכנסה כולה במים שלא נשארו משערותיה בחוץ</w:t>
      </w:r>
      <w:r w:rsidRPr="00AB4ACE">
        <w:rPr>
          <w:rFonts w:cs="Arial" w:hint="cs"/>
          <w:sz w:val="18"/>
          <w:szCs w:val="18"/>
          <w:rtl/>
        </w:rPr>
        <w:t>". ודו"ק.</w:t>
      </w:r>
    </w:p>
  </w:footnote>
  <w:footnote w:id="688">
    <w:p w:rsidR="005953C5" w:rsidRDefault="005953C5" w:rsidP="00620060">
      <w:pPr>
        <w:pStyle w:val="a3"/>
      </w:pPr>
      <w:r w:rsidRPr="002C04CA">
        <w:rPr>
          <w:rStyle w:val="a5"/>
          <w:sz w:val="18"/>
          <w:szCs w:val="18"/>
        </w:rPr>
        <w:footnoteRef/>
      </w:r>
      <w:r w:rsidRPr="002C04CA">
        <w:rPr>
          <w:sz w:val="18"/>
          <w:szCs w:val="18"/>
          <w:rtl/>
        </w:rPr>
        <w:t xml:space="preserve"> </w:t>
      </w:r>
      <w:r w:rsidRPr="002C04CA">
        <w:rPr>
          <w:rFonts w:hint="cs"/>
          <w:b/>
          <w:bCs/>
          <w:sz w:val="18"/>
          <w:szCs w:val="18"/>
          <w:rtl/>
        </w:rPr>
        <w:t>גר"א</w:t>
      </w:r>
      <w:r w:rsidRPr="002C04CA">
        <w:rPr>
          <w:rFonts w:hint="cs"/>
          <w:sz w:val="18"/>
          <w:szCs w:val="18"/>
          <w:rtl/>
        </w:rPr>
        <w:t xml:space="preserve"> </w:t>
      </w:r>
      <w:r w:rsidRPr="002C04CA">
        <w:rPr>
          <w:sz w:val="18"/>
          <w:szCs w:val="18"/>
          <w:rtl/>
        </w:rPr>
        <w:t>–</w:t>
      </w:r>
      <w:r>
        <w:rPr>
          <w:rFonts w:hint="cs"/>
          <w:sz w:val="18"/>
          <w:szCs w:val="18"/>
          <w:rtl/>
        </w:rPr>
        <w:t xml:space="preserve"> </w:t>
      </w:r>
      <w:r w:rsidRPr="002C04CA">
        <w:rPr>
          <w:rFonts w:hint="cs"/>
          <w:sz w:val="18"/>
          <w:szCs w:val="18"/>
          <w:rtl/>
        </w:rPr>
        <w:t>לפי טעם זה אינם נאמנים גם בטבילה לטומאת כתם, משום שבאתחזק איסורא אף בדרבן אינם נאמנים.</w:t>
      </w:r>
    </w:p>
  </w:footnote>
  <w:footnote w:id="689">
    <w:p w:rsidR="005953C5" w:rsidRDefault="005953C5" w:rsidP="00620060">
      <w:pPr>
        <w:pStyle w:val="a3"/>
        <w:rPr>
          <w:rtl/>
        </w:rPr>
      </w:pPr>
      <w:r w:rsidRPr="005642BB">
        <w:rPr>
          <w:rStyle w:val="a5"/>
          <w:sz w:val="18"/>
          <w:szCs w:val="18"/>
        </w:rPr>
        <w:footnoteRef/>
      </w:r>
      <w:r w:rsidRPr="005642BB">
        <w:rPr>
          <w:sz w:val="18"/>
          <w:szCs w:val="18"/>
          <w:rtl/>
        </w:rPr>
        <w:t xml:space="preserve"> </w:t>
      </w:r>
      <w:r w:rsidRPr="005642BB">
        <w:rPr>
          <w:rFonts w:hint="cs"/>
          <w:b/>
          <w:bCs/>
          <w:sz w:val="18"/>
          <w:szCs w:val="18"/>
          <w:rtl/>
        </w:rPr>
        <w:t>בית יוסף</w:t>
      </w:r>
      <w:r w:rsidRPr="005642BB">
        <w:rPr>
          <w:rFonts w:hint="cs"/>
          <w:sz w:val="18"/>
          <w:szCs w:val="18"/>
          <w:rtl/>
        </w:rPr>
        <w:t xml:space="preserve"> </w:t>
      </w:r>
      <w:r w:rsidRPr="005642BB">
        <w:rPr>
          <w:sz w:val="18"/>
          <w:szCs w:val="18"/>
          <w:rtl/>
        </w:rPr>
        <w:t>–</w:t>
      </w:r>
      <w:r w:rsidRPr="005642BB">
        <w:rPr>
          <w:rFonts w:hint="cs"/>
          <w:sz w:val="18"/>
          <w:szCs w:val="18"/>
          <w:rtl/>
        </w:rPr>
        <w:t xml:space="preserve"> הראב"ד כתב רק את האפשרות לטבול עם חוטי שער, הרשב"א כתב את שלוש האפשרויות, ומשמע שהראב"ד אינו חולק אלא נקט תיקון אחד מתוך שלושה אפשריים.</w:t>
      </w:r>
    </w:p>
  </w:footnote>
  <w:footnote w:id="690">
    <w:p w:rsidR="005953C5" w:rsidRDefault="005953C5" w:rsidP="00620060">
      <w:pPr>
        <w:pStyle w:val="a3"/>
        <w:rPr>
          <w:rtl/>
        </w:rPr>
      </w:pPr>
      <w:r w:rsidRPr="009F79A8">
        <w:rPr>
          <w:rStyle w:val="a5"/>
          <w:sz w:val="18"/>
          <w:szCs w:val="18"/>
        </w:rPr>
        <w:footnoteRef/>
      </w:r>
      <w:r w:rsidRPr="009F79A8">
        <w:rPr>
          <w:sz w:val="18"/>
          <w:szCs w:val="18"/>
          <w:rtl/>
        </w:rPr>
        <w:t xml:space="preserve"> </w:t>
      </w:r>
      <w:r w:rsidRPr="009F79A8">
        <w:rPr>
          <w:rFonts w:hint="cs"/>
          <w:b/>
          <w:bCs/>
          <w:sz w:val="18"/>
          <w:szCs w:val="18"/>
          <w:rtl/>
        </w:rPr>
        <w:t>בית יוסף</w:t>
      </w:r>
      <w:r w:rsidRPr="001D1BCD">
        <w:rPr>
          <w:rFonts w:hint="cs"/>
          <w:sz w:val="18"/>
          <w:szCs w:val="18"/>
          <w:rtl/>
        </w:rPr>
        <w:t>:</w:t>
      </w:r>
      <w:r>
        <w:rPr>
          <w:sz w:val="18"/>
          <w:szCs w:val="18"/>
          <w:rtl/>
        </w:rPr>
        <w:br/>
      </w:r>
      <w:r w:rsidRPr="009F79A8">
        <w:rPr>
          <w:rFonts w:hint="cs"/>
          <w:sz w:val="18"/>
          <w:szCs w:val="18"/>
          <w:rtl/>
        </w:rPr>
        <w:t xml:space="preserve">א. דין זה כתב גם </w:t>
      </w:r>
      <w:r w:rsidRPr="009F79A8">
        <w:rPr>
          <w:rFonts w:hint="cs"/>
          <w:b/>
          <w:bCs/>
          <w:sz w:val="18"/>
          <w:szCs w:val="18"/>
          <w:rtl/>
        </w:rPr>
        <w:t>הרא"ש</w:t>
      </w:r>
      <w:r w:rsidRPr="009F79A8">
        <w:rPr>
          <w:rFonts w:hint="cs"/>
          <w:sz w:val="18"/>
          <w:szCs w:val="18"/>
          <w:rtl/>
        </w:rPr>
        <w:t xml:space="preserve">, ויש לתמוה על </w:t>
      </w:r>
      <w:r w:rsidRPr="009F79A8">
        <w:rPr>
          <w:rFonts w:hint="cs"/>
          <w:b/>
          <w:bCs/>
          <w:sz w:val="18"/>
          <w:szCs w:val="18"/>
          <w:rtl/>
        </w:rPr>
        <w:t>הטור</w:t>
      </w:r>
      <w:r w:rsidRPr="009F79A8">
        <w:rPr>
          <w:rFonts w:hint="cs"/>
          <w:sz w:val="18"/>
          <w:szCs w:val="18"/>
          <w:rtl/>
        </w:rPr>
        <w:t xml:space="preserve"> שהשמיטו. ואין לומר שהשמיט מכוח הגרסה "ולית הלכתא ככל הני שמעתתא", שהרי </w:t>
      </w:r>
      <w:r w:rsidRPr="009F79A8">
        <w:rPr>
          <w:rFonts w:hint="cs"/>
          <w:b/>
          <w:bCs/>
          <w:sz w:val="18"/>
          <w:szCs w:val="18"/>
          <w:rtl/>
        </w:rPr>
        <w:t>הרא"ש</w:t>
      </w:r>
      <w:r w:rsidRPr="009F79A8">
        <w:rPr>
          <w:rFonts w:hint="cs"/>
          <w:sz w:val="18"/>
          <w:szCs w:val="18"/>
          <w:rtl/>
        </w:rPr>
        <w:t xml:space="preserve"> כתב לחוש </w:t>
      </w:r>
      <w:r w:rsidRPr="009F79A8">
        <w:rPr>
          <w:rFonts w:hint="cs"/>
          <w:b/>
          <w:bCs/>
          <w:sz w:val="18"/>
          <w:szCs w:val="18"/>
          <w:rtl/>
        </w:rPr>
        <w:t>לרש"י</w:t>
      </w:r>
      <w:r w:rsidRPr="009F79A8">
        <w:rPr>
          <w:rFonts w:hint="cs"/>
          <w:sz w:val="18"/>
          <w:szCs w:val="18"/>
          <w:rtl/>
        </w:rPr>
        <w:t xml:space="preserve"> שאינו גורס זאת.</w:t>
      </w:r>
      <w:r w:rsidRPr="009F79A8">
        <w:rPr>
          <w:sz w:val="18"/>
          <w:szCs w:val="18"/>
          <w:rtl/>
        </w:rPr>
        <w:br/>
      </w:r>
      <w:r w:rsidRPr="009F79A8">
        <w:rPr>
          <w:rFonts w:hint="cs"/>
          <w:sz w:val="18"/>
          <w:szCs w:val="18"/>
          <w:rtl/>
        </w:rPr>
        <w:t xml:space="preserve">ב. </w:t>
      </w:r>
      <w:r w:rsidRPr="009F79A8">
        <w:rPr>
          <w:rFonts w:hint="cs"/>
          <w:b/>
          <w:bCs/>
          <w:sz w:val="18"/>
          <w:szCs w:val="18"/>
          <w:rtl/>
        </w:rPr>
        <w:t>הרמב"ם</w:t>
      </w:r>
      <w:r w:rsidRPr="009F79A8">
        <w:rPr>
          <w:rFonts w:hint="cs"/>
          <w:sz w:val="18"/>
          <w:szCs w:val="18"/>
          <w:rtl/>
        </w:rPr>
        <w:t xml:space="preserve"> פסק דין זה אך השמיט דין נתנה תבשיל לבנה וטבלה </w:t>
      </w:r>
      <w:r w:rsidRPr="009F79A8">
        <w:rPr>
          <w:sz w:val="18"/>
          <w:szCs w:val="18"/>
          <w:rtl/>
        </w:rPr>
        <w:t>–</w:t>
      </w:r>
      <w:r w:rsidRPr="009F79A8">
        <w:rPr>
          <w:rFonts w:hint="cs"/>
          <w:sz w:val="18"/>
          <w:szCs w:val="18"/>
          <w:rtl/>
        </w:rPr>
        <w:t xml:space="preserve"> לא עלתה לה טבילה, וס"ל שעלתה לה טבילה. ודבריו תמוהים, שאם גורס "ולית הלכתא" וכו' מדוע חילק בין הדינים האלו? ויש לומר שגרס את הדין של מפשלת בנה לפני הדין של נתנה תבשיל לבנה, ולכן המשפט "ולית הלכתא" לא קאי על דין מפשלת את בנה. </w:t>
      </w:r>
      <w:r>
        <w:rPr>
          <w:sz w:val="18"/>
          <w:szCs w:val="18"/>
          <w:rtl/>
        </w:rPr>
        <w:br/>
      </w:r>
      <w:r w:rsidRPr="009F79A8">
        <w:rPr>
          <w:rFonts w:hint="cs"/>
          <w:sz w:val="18"/>
          <w:szCs w:val="18"/>
          <w:rtl/>
        </w:rPr>
        <w:t>ומה החילוק בסברה? יש לומר שכשנתנה תבשיל לבנה יודעת היא שנשאר עליה תבשיל חוצץ ומקפדת להסירו, אך כשהפשילה את בנה אינה יודעת לדקדק בכך שנדבק עליה דבר חוצץ.</w:t>
      </w:r>
    </w:p>
  </w:footnote>
  <w:footnote w:id="691">
    <w:p w:rsidR="005953C5" w:rsidRDefault="005953C5" w:rsidP="00620060">
      <w:pPr>
        <w:pStyle w:val="a3"/>
      </w:pPr>
      <w:r w:rsidRPr="00AA6E99">
        <w:rPr>
          <w:rStyle w:val="a5"/>
          <w:sz w:val="18"/>
          <w:szCs w:val="18"/>
        </w:rPr>
        <w:footnoteRef/>
      </w:r>
      <w:r w:rsidRPr="00AA6E99">
        <w:rPr>
          <w:sz w:val="18"/>
          <w:szCs w:val="18"/>
          <w:rtl/>
        </w:rPr>
        <w:t xml:space="preserve"> </w:t>
      </w:r>
      <w:r w:rsidRPr="00AA6E99">
        <w:rPr>
          <w:rFonts w:hint="cs"/>
          <w:sz w:val="18"/>
          <w:szCs w:val="18"/>
          <w:rtl/>
        </w:rPr>
        <w:t xml:space="preserve">וטעמו של ר"ע הוא, </w:t>
      </w:r>
      <w:r>
        <w:rPr>
          <w:rFonts w:hint="cs"/>
          <w:sz w:val="18"/>
          <w:szCs w:val="18"/>
          <w:rtl/>
        </w:rPr>
        <w:t xml:space="preserve">משום </w:t>
      </w:r>
      <w:r w:rsidRPr="00AA6E99">
        <w:rPr>
          <w:rFonts w:hint="cs"/>
          <w:sz w:val="18"/>
          <w:szCs w:val="18"/>
          <w:rtl/>
        </w:rPr>
        <w:t xml:space="preserve">שבית הסתרים אינו צריך להיות ראוי לביאת </w:t>
      </w:r>
      <w:r>
        <w:rPr>
          <w:rFonts w:hint="cs"/>
          <w:sz w:val="18"/>
          <w:szCs w:val="18"/>
          <w:rtl/>
        </w:rPr>
        <w:t>מי</w:t>
      </w:r>
      <w:r w:rsidRPr="00AA6E99">
        <w:rPr>
          <w:rFonts w:hint="cs"/>
          <w:sz w:val="18"/>
          <w:szCs w:val="18"/>
          <w:rtl/>
        </w:rPr>
        <w:t>ם, אך לא קיי"ל כוותיה.</w:t>
      </w:r>
    </w:p>
  </w:footnote>
  <w:footnote w:id="692">
    <w:p w:rsidR="005953C5" w:rsidRDefault="005953C5" w:rsidP="00620060">
      <w:pPr>
        <w:pStyle w:val="a3"/>
      </w:pPr>
      <w:r w:rsidRPr="00BB43BA">
        <w:rPr>
          <w:rStyle w:val="a5"/>
          <w:sz w:val="18"/>
          <w:szCs w:val="18"/>
        </w:rPr>
        <w:footnoteRef/>
      </w:r>
      <w:r w:rsidRPr="00BB43BA">
        <w:rPr>
          <w:sz w:val="18"/>
          <w:szCs w:val="18"/>
          <w:rtl/>
        </w:rPr>
        <w:t xml:space="preserve"> </w:t>
      </w:r>
      <w:r w:rsidRPr="00BB43BA">
        <w:rPr>
          <w:rFonts w:hint="cs"/>
          <w:b/>
          <w:bCs/>
          <w:sz w:val="18"/>
          <w:szCs w:val="18"/>
          <w:rtl/>
        </w:rPr>
        <w:t>גר"א</w:t>
      </w:r>
      <w:r w:rsidRPr="00BB43BA">
        <w:rPr>
          <w:rFonts w:hint="cs"/>
          <w:sz w:val="18"/>
          <w:szCs w:val="18"/>
          <w:rtl/>
        </w:rPr>
        <w:t xml:space="preserve"> </w:t>
      </w:r>
      <w:r w:rsidRPr="00BB43BA">
        <w:rPr>
          <w:sz w:val="18"/>
          <w:szCs w:val="18"/>
          <w:rtl/>
        </w:rPr>
        <w:t>–</w:t>
      </w:r>
      <w:r w:rsidRPr="00BB43BA">
        <w:rPr>
          <w:rFonts w:hint="cs"/>
          <w:sz w:val="18"/>
          <w:szCs w:val="18"/>
          <w:rtl/>
        </w:rPr>
        <w:t xml:space="preserve"> </w:t>
      </w:r>
      <w:r w:rsidRPr="00D62171">
        <w:rPr>
          <w:rFonts w:hint="cs"/>
          <w:b/>
          <w:bCs/>
          <w:sz w:val="18"/>
          <w:szCs w:val="18"/>
          <w:rtl/>
        </w:rPr>
        <w:t>השערי דורא</w:t>
      </w:r>
      <w:r w:rsidRPr="00BB43BA">
        <w:rPr>
          <w:rFonts w:hint="cs"/>
          <w:sz w:val="18"/>
          <w:szCs w:val="18"/>
          <w:rtl/>
        </w:rPr>
        <w:t xml:space="preserve"> כתב שראייתו מהגמרא במסכת נידה (מג.) "</w:t>
      </w:r>
      <w:r w:rsidRPr="00BB43BA">
        <w:rPr>
          <w:rFonts w:cs="Arial"/>
          <w:sz w:val="18"/>
          <w:szCs w:val="18"/>
          <w:rtl/>
        </w:rPr>
        <w:t>בעי רבא: זבה שנעקרו מימי רגליה וירדה וטבלה, מהו? אם תמצא לומר בתר עקירה אזלינן, הני מילי שכבת זרע, דלא מצי נקיט לה, אבל מימי רגליה דמצי נקיט לה - לא, או דילמא לא שנא? תיקו</w:t>
      </w:r>
      <w:r w:rsidRPr="00BB43BA">
        <w:rPr>
          <w:rFonts w:cs="Arial" w:hint="cs"/>
          <w:sz w:val="18"/>
          <w:szCs w:val="18"/>
          <w:rtl/>
        </w:rPr>
        <w:t>".</w:t>
      </w:r>
      <w:r>
        <w:rPr>
          <w:rFonts w:cs="Arial" w:hint="cs"/>
          <w:sz w:val="18"/>
          <w:szCs w:val="18"/>
          <w:rtl/>
        </w:rPr>
        <w:t xml:space="preserve"> </w:t>
      </w:r>
      <w:r w:rsidRPr="00BB43BA">
        <w:rPr>
          <w:rFonts w:cs="Arial" w:hint="cs"/>
          <w:sz w:val="18"/>
          <w:szCs w:val="18"/>
          <w:rtl/>
        </w:rPr>
        <w:t>ולכאורה מוכח שמי רגליים מעכבים, ויש להסיק מכאן לשאר צואת הגוף.</w:t>
      </w:r>
      <w:r w:rsidRPr="00BB43BA">
        <w:rPr>
          <w:rFonts w:cs="Arial"/>
          <w:sz w:val="18"/>
          <w:szCs w:val="18"/>
          <w:rtl/>
        </w:rPr>
        <w:br/>
      </w:r>
      <w:r w:rsidRPr="00BB43BA">
        <w:rPr>
          <w:rFonts w:cs="Arial" w:hint="cs"/>
          <w:sz w:val="18"/>
          <w:szCs w:val="18"/>
          <w:rtl/>
        </w:rPr>
        <w:t xml:space="preserve">ברם, </w:t>
      </w:r>
      <w:r w:rsidRPr="00D62171">
        <w:rPr>
          <w:rFonts w:cs="Arial" w:hint="cs"/>
          <w:b/>
          <w:bCs/>
          <w:sz w:val="18"/>
          <w:szCs w:val="18"/>
          <w:rtl/>
        </w:rPr>
        <w:t>בהגהת שערי דורא</w:t>
      </w:r>
      <w:r w:rsidRPr="00BB43BA">
        <w:rPr>
          <w:rFonts w:cs="Arial" w:hint="cs"/>
          <w:sz w:val="18"/>
          <w:szCs w:val="18"/>
          <w:rtl/>
        </w:rPr>
        <w:t xml:space="preserve"> דחה ראייה זו, מכיוון שהגמרא עוסקת דווקא בזבה ולעניין טהרות אך לא לעניין טבילה. </w:t>
      </w:r>
      <w:r>
        <w:rPr>
          <w:rFonts w:cs="Arial"/>
          <w:sz w:val="18"/>
          <w:szCs w:val="18"/>
          <w:rtl/>
        </w:rPr>
        <w:br/>
      </w:r>
      <w:r w:rsidRPr="00BB43BA">
        <w:rPr>
          <w:rFonts w:cs="Arial" w:hint="cs"/>
          <w:sz w:val="18"/>
          <w:szCs w:val="18"/>
          <w:rtl/>
        </w:rPr>
        <w:t>ומעתה מוכח מגמרא זו להיפך, דווקא לגבי טהרת זבה הסתפקו בדין זה, אך לעניין טהרת נידה לבעלה פשיטא שאין צואה מעכבת כלל, וצ"ע</w:t>
      </w:r>
      <w:r>
        <w:rPr>
          <w:rFonts w:cs="Arial" w:hint="cs"/>
          <w:sz w:val="18"/>
          <w:szCs w:val="18"/>
          <w:rtl/>
        </w:rPr>
        <w:t xml:space="preserve"> </w:t>
      </w:r>
      <w:r w:rsidRPr="00F94577">
        <w:rPr>
          <w:rFonts w:cs="Arial" w:hint="cs"/>
          <w:sz w:val="16"/>
          <w:szCs w:val="16"/>
          <w:rtl/>
        </w:rPr>
        <w:t>(והגהה זו מובאת בדרכי משה לקמן סימן קצט' אות ב)</w:t>
      </w:r>
      <w:r w:rsidRPr="00BB43BA">
        <w:rPr>
          <w:rFonts w:cs="Arial" w:hint="cs"/>
          <w:sz w:val="18"/>
          <w:szCs w:val="18"/>
          <w:rtl/>
        </w:rPr>
        <w:t>.</w:t>
      </w:r>
    </w:p>
  </w:footnote>
  <w:footnote w:id="693">
    <w:p w:rsidR="005953C5" w:rsidRDefault="005953C5" w:rsidP="00620060">
      <w:pPr>
        <w:pStyle w:val="a3"/>
        <w:rPr>
          <w:rtl/>
        </w:rPr>
      </w:pPr>
      <w:r w:rsidRPr="00D62171">
        <w:rPr>
          <w:rStyle w:val="a5"/>
          <w:sz w:val="18"/>
          <w:szCs w:val="18"/>
        </w:rPr>
        <w:footnoteRef/>
      </w:r>
      <w:r w:rsidRPr="00D62171">
        <w:rPr>
          <w:sz w:val="18"/>
          <w:szCs w:val="18"/>
          <w:rtl/>
        </w:rPr>
        <w:t xml:space="preserve"> </w:t>
      </w:r>
      <w:r w:rsidRPr="00D62171">
        <w:rPr>
          <w:rFonts w:hint="cs"/>
          <w:b/>
          <w:bCs/>
          <w:sz w:val="18"/>
          <w:szCs w:val="18"/>
          <w:rtl/>
        </w:rPr>
        <w:t>בדה"ש</w:t>
      </w:r>
      <w:r w:rsidRPr="00D62171">
        <w:rPr>
          <w:rFonts w:hint="cs"/>
          <w:sz w:val="18"/>
          <w:szCs w:val="18"/>
          <w:rtl/>
        </w:rPr>
        <w:t xml:space="preserve"> </w:t>
      </w:r>
      <w:r w:rsidRPr="00D62171">
        <w:rPr>
          <w:sz w:val="18"/>
          <w:szCs w:val="18"/>
          <w:rtl/>
        </w:rPr>
        <w:t>–</w:t>
      </w:r>
      <w:r w:rsidRPr="00D62171">
        <w:rPr>
          <w:rFonts w:hint="cs"/>
          <w:sz w:val="18"/>
          <w:szCs w:val="18"/>
          <w:rtl/>
        </w:rPr>
        <w:t xml:space="preserve"> צואת האף אינה חוצצת בדיעבד דווקא כשהיא מעט בעומק, אך כשהיא בשפת האף יש להחמיר אף בדיעבד.</w:t>
      </w:r>
    </w:p>
  </w:footnote>
  <w:footnote w:id="694">
    <w:p w:rsidR="005953C5" w:rsidRDefault="005953C5" w:rsidP="00620060">
      <w:pPr>
        <w:pStyle w:val="a3"/>
        <w:rPr>
          <w:rtl/>
        </w:rPr>
      </w:pPr>
      <w:r w:rsidRPr="009312F9">
        <w:rPr>
          <w:rStyle w:val="a5"/>
          <w:sz w:val="18"/>
          <w:szCs w:val="18"/>
        </w:rPr>
        <w:footnoteRef/>
      </w:r>
      <w:r w:rsidRPr="009312F9">
        <w:rPr>
          <w:sz w:val="18"/>
          <w:szCs w:val="18"/>
          <w:rtl/>
        </w:rPr>
        <w:t xml:space="preserve"> </w:t>
      </w:r>
      <w:r w:rsidRPr="009312F9">
        <w:rPr>
          <w:rFonts w:hint="cs"/>
          <w:sz w:val="18"/>
          <w:szCs w:val="18"/>
          <w:rtl/>
        </w:rPr>
        <w:t xml:space="preserve">לשון </w:t>
      </w:r>
      <w:r w:rsidRPr="009312F9">
        <w:rPr>
          <w:rFonts w:hint="cs"/>
          <w:b/>
          <w:bCs/>
          <w:sz w:val="18"/>
          <w:szCs w:val="18"/>
          <w:rtl/>
        </w:rPr>
        <w:t>ערוך השולחן</w:t>
      </w:r>
      <w:r w:rsidRPr="009312F9">
        <w:rPr>
          <w:rFonts w:hint="cs"/>
          <w:sz w:val="18"/>
          <w:szCs w:val="18"/>
          <w:rtl/>
        </w:rPr>
        <w:t xml:space="preserve"> ברורה מעט יותר בדין זה </w:t>
      </w:r>
      <w:r w:rsidRPr="009312F9">
        <w:rPr>
          <w:sz w:val="18"/>
          <w:szCs w:val="18"/>
          <w:rtl/>
        </w:rPr>
        <w:t>–</w:t>
      </w:r>
      <w:r w:rsidRPr="009312F9">
        <w:rPr>
          <w:rFonts w:hint="cs"/>
          <w:sz w:val="18"/>
          <w:szCs w:val="18"/>
          <w:rtl/>
        </w:rPr>
        <w:t xml:space="preserve"> "</w:t>
      </w:r>
      <w:r w:rsidRPr="009312F9">
        <w:rPr>
          <w:rFonts w:cs="Arial"/>
          <w:sz w:val="18"/>
          <w:szCs w:val="18"/>
          <w:rtl/>
        </w:rPr>
        <w:t>וכן ריסי העיני</w:t>
      </w:r>
      <w:r>
        <w:rPr>
          <w:rFonts w:cs="Arial" w:hint="cs"/>
          <w:sz w:val="18"/>
          <w:szCs w:val="18"/>
          <w:rtl/>
        </w:rPr>
        <w:t>י</w:t>
      </w:r>
      <w:r w:rsidRPr="009312F9">
        <w:rPr>
          <w:rFonts w:cs="Arial"/>
          <w:sz w:val="18"/>
          <w:szCs w:val="18"/>
          <w:rtl/>
        </w:rPr>
        <w:t>ם כלומר הגבינין צריכה ליזהר שלא יהיו מדובקים איזה שערות מגביני מטה לגביני מעלה</w:t>
      </w:r>
      <w:r>
        <w:rPr>
          <w:rFonts w:cs="Arial" w:hint="cs"/>
          <w:sz w:val="18"/>
          <w:szCs w:val="18"/>
          <w:rtl/>
        </w:rPr>
        <w:t>.</w:t>
      </w:r>
      <w:r w:rsidRPr="009312F9">
        <w:rPr>
          <w:rFonts w:cs="Arial"/>
          <w:sz w:val="18"/>
          <w:szCs w:val="18"/>
          <w:rtl/>
        </w:rPr>
        <w:t xml:space="preserve"> וכן לפעמים יש שגביני מטה עולה שיער או שתי שערות למעלה ונוקבין בריסי עיניה מלמעלה ויוצאין משם והוי חציצה</w:t>
      </w:r>
      <w:r w:rsidRPr="009312F9">
        <w:rPr>
          <w:rFonts w:hint="cs"/>
          <w:sz w:val="18"/>
          <w:szCs w:val="18"/>
          <w:rtl/>
        </w:rPr>
        <w:t>".</w:t>
      </w:r>
    </w:p>
  </w:footnote>
  <w:footnote w:id="695">
    <w:p w:rsidR="005953C5" w:rsidRDefault="005953C5" w:rsidP="00620060">
      <w:pPr>
        <w:pStyle w:val="a3"/>
      </w:pPr>
      <w:r w:rsidRPr="009312F9">
        <w:rPr>
          <w:rStyle w:val="a5"/>
          <w:sz w:val="18"/>
          <w:szCs w:val="18"/>
        </w:rPr>
        <w:footnoteRef/>
      </w:r>
      <w:r w:rsidRPr="009312F9">
        <w:rPr>
          <w:sz w:val="18"/>
          <w:szCs w:val="18"/>
          <w:rtl/>
        </w:rPr>
        <w:t xml:space="preserve"> </w:t>
      </w:r>
      <w:r w:rsidRPr="009312F9">
        <w:rPr>
          <w:rFonts w:hint="cs"/>
          <w:sz w:val="18"/>
          <w:szCs w:val="18"/>
          <w:rtl/>
        </w:rPr>
        <w:t>ובתחילת דבריו כתב שחציצה זו רק למי שמקפיד, אך בסוף העדיף לפרש כפי שכתוב בפנים.</w:t>
      </w:r>
    </w:p>
  </w:footnote>
  <w:footnote w:id="696">
    <w:p w:rsidR="005953C5" w:rsidRDefault="005953C5" w:rsidP="00620060">
      <w:pPr>
        <w:pStyle w:val="a3"/>
      </w:pPr>
      <w:r w:rsidRPr="006000B5">
        <w:rPr>
          <w:rStyle w:val="a5"/>
          <w:sz w:val="18"/>
          <w:szCs w:val="18"/>
        </w:rPr>
        <w:footnoteRef/>
      </w:r>
      <w:r w:rsidRPr="006000B5">
        <w:rPr>
          <w:sz w:val="18"/>
          <w:szCs w:val="18"/>
          <w:rtl/>
        </w:rPr>
        <w:t xml:space="preserve"> </w:t>
      </w:r>
      <w:r w:rsidRPr="006000B5">
        <w:rPr>
          <w:rFonts w:hint="cs"/>
          <w:sz w:val="18"/>
          <w:szCs w:val="18"/>
          <w:rtl/>
        </w:rPr>
        <w:t>אמנם, כתב שלעניין תפילין אינו חוצץ</w:t>
      </w:r>
      <w:r>
        <w:rPr>
          <w:rFonts w:hint="cs"/>
          <w:sz w:val="18"/>
          <w:szCs w:val="18"/>
          <w:rtl/>
        </w:rPr>
        <w:t>,</w:t>
      </w:r>
      <w:r w:rsidRPr="006000B5">
        <w:rPr>
          <w:rFonts w:hint="cs"/>
          <w:sz w:val="18"/>
          <w:szCs w:val="18"/>
          <w:rtl/>
        </w:rPr>
        <w:t xml:space="preserve"> משום שהוא מיירי לגבי אבק העשוי לנוי וכל העשוי לנוי אינו חוצץ.  </w:t>
      </w:r>
      <w:r>
        <w:rPr>
          <w:sz w:val="18"/>
          <w:szCs w:val="18"/>
          <w:rtl/>
        </w:rPr>
        <w:br/>
      </w:r>
      <w:r w:rsidRPr="006000B5">
        <w:rPr>
          <w:rFonts w:hint="cs"/>
          <w:sz w:val="18"/>
          <w:szCs w:val="18"/>
          <w:rtl/>
        </w:rPr>
        <w:t xml:space="preserve">ברם, אין טעם זה מתיר לטבול באבק זה, משום שמייד </w:t>
      </w:r>
      <w:r>
        <w:rPr>
          <w:rFonts w:hint="cs"/>
          <w:sz w:val="18"/>
          <w:szCs w:val="18"/>
          <w:rtl/>
        </w:rPr>
        <w:t>כשב</w:t>
      </w:r>
      <w:r w:rsidRPr="006000B5">
        <w:rPr>
          <w:rFonts w:hint="cs"/>
          <w:sz w:val="18"/>
          <w:szCs w:val="18"/>
          <w:rtl/>
        </w:rPr>
        <w:t>א</w:t>
      </w:r>
      <w:r>
        <w:rPr>
          <w:rFonts w:hint="cs"/>
          <w:sz w:val="18"/>
          <w:szCs w:val="18"/>
          <w:rtl/>
        </w:rPr>
        <w:t>ה</w:t>
      </w:r>
      <w:r w:rsidRPr="006000B5">
        <w:rPr>
          <w:rFonts w:hint="cs"/>
          <w:sz w:val="18"/>
          <w:szCs w:val="18"/>
          <w:rtl/>
        </w:rPr>
        <w:t xml:space="preserve"> האשה במים אזיל לה נוי זה וחוצץ.</w:t>
      </w:r>
    </w:p>
  </w:footnote>
  <w:footnote w:id="697">
    <w:p w:rsidR="005953C5" w:rsidRPr="0069593D" w:rsidRDefault="005953C5" w:rsidP="00620060">
      <w:pPr>
        <w:pStyle w:val="a3"/>
        <w:rPr>
          <w:sz w:val="18"/>
          <w:szCs w:val="18"/>
          <w:rtl/>
        </w:rPr>
      </w:pPr>
      <w:r w:rsidRPr="0069593D">
        <w:rPr>
          <w:rStyle w:val="a5"/>
          <w:sz w:val="18"/>
          <w:szCs w:val="18"/>
        </w:rPr>
        <w:footnoteRef/>
      </w:r>
      <w:r w:rsidRPr="0069593D">
        <w:rPr>
          <w:sz w:val="18"/>
          <w:szCs w:val="18"/>
          <w:rtl/>
        </w:rPr>
        <w:t xml:space="preserve"> </w:t>
      </w:r>
      <w:r w:rsidRPr="0069593D">
        <w:rPr>
          <w:rFonts w:hint="cs"/>
          <w:b/>
          <w:bCs/>
          <w:sz w:val="18"/>
          <w:szCs w:val="18"/>
          <w:rtl/>
        </w:rPr>
        <w:t>רש"י</w:t>
      </w:r>
      <w:r w:rsidRPr="0069593D">
        <w:rPr>
          <w:rFonts w:hint="cs"/>
          <w:sz w:val="18"/>
          <w:szCs w:val="18"/>
          <w:rtl/>
        </w:rPr>
        <w:t xml:space="preserve"> - </w:t>
      </w:r>
      <w:r w:rsidRPr="0069593D">
        <w:rPr>
          <w:rFonts w:cs="Arial"/>
          <w:sz w:val="18"/>
          <w:szCs w:val="18"/>
          <w:rtl/>
        </w:rPr>
        <w:t>שאין לה בגדים - טהורים, להחליף וללבוש אחר טבילתה, והיום יום טוב, ואינה יכולה להטביל את אלו שעליה.</w:t>
      </w:r>
    </w:p>
    <w:p w:rsidR="005953C5" w:rsidRDefault="005953C5" w:rsidP="00620060">
      <w:pPr>
        <w:pStyle w:val="a3"/>
        <w:rPr>
          <w:rtl/>
        </w:rPr>
      </w:pPr>
      <w:r w:rsidRPr="0069593D">
        <w:rPr>
          <w:rFonts w:cs="Arial"/>
          <w:sz w:val="18"/>
          <w:szCs w:val="18"/>
          <w:rtl/>
        </w:rPr>
        <w:t>מערמת וטובלת - כשהיא לבושה, וסלקא לה טבילה אף לכלים, ולא מוכחא מלתא שהיא מתקנת - דלטבילת עצמה נכנסה, ואדם מותר לטבול כבית הלל, דנראה כמיקר, כדלקמן.</w:t>
      </w:r>
    </w:p>
  </w:footnote>
  <w:footnote w:id="698">
    <w:p w:rsidR="005953C5" w:rsidRDefault="005953C5" w:rsidP="00620060">
      <w:pPr>
        <w:pStyle w:val="a3"/>
      </w:pPr>
      <w:r w:rsidRPr="004566E8">
        <w:rPr>
          <w:rStyle w:val="a5"/>
          <w:sz w:val="18"/>
          <w:szCs w:val="18"/>
        </w:rPr>
        <w:footnoteRef/>
      </w:r>
      <w:r w:rsidRPr="004566E8">
        <w:rPr>
          <w:sz w:val="18"/>
          <w:szCs w:val="18"/>
          <w:rtl/>
        </w:rPr>
        <w:t xml:space="preserve"> </w:t>
      </w:r>
      <w:r w:rsidRPr="004566E8">
        <w:rPr>
          <w:rFonts w:hint="cs"/>
          <w:sz w:val="18"/>
          <w:szCs w:val="18"/>
          <w:rtl/>
        </w:rPr>
        <w:t xml:space="preserve">האחרונים נחלקו האם מותרת לטבול כך לכתחילה. ולכאורה זו מחלוקת ראשונים בין </w:t>
      </w:r>
      <w:r w:rsidRPr="00F82542">
        <w:rPr>
          <w:rFonts w:hint="cs"/>
          <w:b/>
          <w:bCs/>
          <w:sz w:val="18"/>
          <w:szCs w:val="18"/>
          <w:rtl/>
        </w:rPr>
        <w:t>הרא"ש לרמב"ם</w:t>
      </w:r>
      <w:r>
        <w:rPr>
          <w:rFonts w:hint="cs"/>
          <w:sz w:val="18"/>
          <w:szCs w:val="18"/>
          <w:rtl/>
        </w:rPr>
        <w:t xml:space="preserve"> - </w:t>
      </w:r>
      <w:r w:rsidRPr="004566E8">
        <w:rPr>
          <w:rFonts w:hint="cs"/>
          <w:sz w:val="18"/>
          <w:szCs w:val="18"/>
          <w:rtl/>
        </w:rPr>
        <w:t xml:space="preserve"> </w:t>
      </w:r>
      <w:r>
        <w:rPr>
          <w:sz w:val="18"/>
          <w:szCs w:val="18"/>
          <w:rtl/>
        </w:rPr>
        <w:br/>
      </w:r>
      <w:r w:rsidRPr="004566E8">
        <w:rPr>
          <w:rFonts w:hint="cs"/>
          <w:sz w:val="18"/>
          <w:szCs w:val="18"/>
          <w:rtl/>
        </w:rPr>
        <w:t xml:space="preserve">זו לשון </w:t>
      </w:r>
      <w:r w:rsidRPr="004566E8">
        <w:rPr>
          <w:rFonts w:hint="cs"/>
          <w:b/>
          <w:bCs/>
          <w:sz w:val="18"/>
          <w:szCs w:val="18"/>
          <w:rtl/>
        </w:rPr>
        <w:t>הרא"ש</w:t>
      </w:r>
      <w:r w:rsidRPr="004566E8">
        <w:rPr>
          <w:rFonts w:hint="cs"/>
          <w:sz w:val="18"/>
          <w:szCs w:val="18"/>
          <w:rtl/>
        </w:rPr>
        <w:t xml:space="preserve"> </w:t>
      </w:r>
      <w:r w:rsidRPr="004566E8">
        <w:rPr>
          <w:sz w:val="18"/>
          <w:szCs w:val="18"/>
          <w:rtl/>
        </w:rPr>
        <w:t>–</w:t>
      </w:r>
      <w:r w:rsidRPr="004566E8">
        <w:rPr>
          <w:rFonts w:hint="cs"/>
          <w:sz w:val="18"/>
          <w:szCs w:val="18"/>
          <w:rtl/>
        </w:rPr>
        <w:t xml:space="preserve"> </w:t>
      </w:r>
      <w:r w:rsidRPr="004566E8">
        <w:rPr>
          <w:rFonts w:cs="Arial" w:hint="cs"/>
          <w:sz w:val="18"/>
          <w:szCs w:val="18"/>
          <w:rtl/>
        </w:rPr>
        <w:t>"</w:t>
      </w:r>
      <w:r w:rsidRPr="004566E8">
        <w:rPr>
          <w:rFonts w:cs="Arial"/>
          <w:sz w:val="18"/>
          <w:szCs w:val="18"/>
          <w:rtl/>
        </w:rPr>
        <w:t>נדה יכולה לטבול בבגדיה לפי שהמים נכנסין תחת הבגדי</w:t>
      </w:r>
      <w:r w:rsidRPr="004566E8">
        <w:rPr>
          <w:rFonts w:cs="Arial" w:hint="cs"/>
          <w:sz w:val="18"/>
          <w:szCs w:val="18"/>
          <w:rtl/>
        </w:rPr>
        <w:t>ם</w:t>
      </w:r>
      <w:r w:rsidRPr="004566E8">
        <w:rPr>
          <w:rFonts w:hint="cs"/>
          <w:sz w:val="18"/>
          <w:szCs w:val="18"/>
          <w:rtl/>
        </w:rPr>
        <w:t>", משמע לכתחילה.</w:t>
      </w:r>
      <w:r w:rsidRPr="004566E8">
        <w:rPr>
          <w:sz w:val="18"/>
          <w:szCs w:val="18"/>
          <w:rtl/>
        </w:rPr>
        <w:br/>
      </w:r>
      <w:r w:rsidRPr="004566E8">
        <w:rPr>
          <w:rFonts w:hint="cs"/>
          <w:sz w:val="18"/>
          <w:szCs w:val="18"/>
          <w:rtl/>
        </w:rPr>
        <w:t xml:space="preserve">לשון </w:t>
      </w:r>
      <w:r w:rsidRPr="004566E8">
        <w:rPr>
          <w:rFonts w:hint="cs"/>
          <w:b/>
          <w:bCs/>
          <w:sz w:val="18"/>
          <w:szCs w:val="18"/>
          <w:rtl/>
        </w:rPr>
        <w:t>הרמב"ם</w:t>
      </w:r>
      <w:r w:rsidRPr="004566E8">
        <w:rPr>
          <w:rFonts w:hint="cs"/>
          <w:sz w:val="18"/>
          <w:szCs w:val="18"/>
          <w:rtl/>
        </w:rPr>
        <w:t xml:space="preserve"> </w:t>
      </w:r>
      <w:r w:rsidRPr="004566E8">
        <w:rPr>
          <w:sz w:val="18"/>
          <w:szCs w:val="18"/>
          <w:rtl/>
        </w:rPr>
        <w:t>–</w:t>
      </w:r>
      <w:r w:rsidRPr="004566E8">
        <w:rPr>
          <w:rFonts w:hint="cs"/>
          <w:sz w:val="18"/>
          <w:szCs w:val="18"/>
          <w:rtl/>
        </w:rPr>
        <w:t xml:space="preserve"> "</w:t>
      </w:r>
      <w:r w:rsidRPr="004566E8">
        <w:rPr>
          <w:rFonts w:cs="Arial"/>
          <w:sz w:val="18"/>
          <w:szCs w:val="18"/>
          <w:rtl/>
        </w:rPr>
        <w:t>וכל הטמאין שטבלו בבגדיהן עלתה להן טבילה מפני שהמים באין בהן ואינן חוצצין, וכן הנדה שטבלה בבגדיה מותרת לבעלה</w:t>
      </w:r>
      <w:r w:rsidRPr="004566E8">
        <w:rPr>
          <w:rFonts w:cs="Arial" w:hint="cs"/>
          <w:sz w:val="18"/>
          <w:szCs w:val="18"/>
          <w:rtl/>
        </w:rPr>
        <w:t xml:space="preserve">", משמע בדיעבד וכן משמע מלשון </w:t>
      </w:r>
      <w:r w:rsidRPr="004566E8">
        <w:rPr>
          <w:rFonts w:cs="Arial" w:hint="cs"/>
          <w:b/>
          <w:bCs/>
          <w:sz w:val="18"/>
          <w:szCs w:val="18"/>
          <w:rtl/>
        </w:rPr>
        <w:t>המחבר</w:t>
      </w:r>
      <w:r w:rsidRPr="004566E8">
        <w:rPr>
          <w:rFonts w:cs="Arial" w:hint="cs"/>
          <w:sz w:val="18"/>
          <w:szCs w:val="18"/>
          <w:rtl/>
        </w:rPr>
        <w:t>.</w:t>
      </w:r>
    </w:p>
  </w:footnote>
  <w:footnote w:id="699">
    <w:p w:rsidR="005953C5" w:rsidRDefault="005953C5" w:rsidP="00620060">
      <w:pPr>
        <w:pStyle w:val="a3"/>
      </w:pPr>
      <w:r w:rsidRPr="00695306">
        <w:rPr>
          <w:rStyle w:val="a5"/>
          <w:sz w:val="18"/>
          <w:szCs w:val="18"/>
        </w:rPr>
        <w:footnoteRef/>
      </w:r>
      <w:r w:rsidRPr="00695306">
        <w:rPr>
          <w:sz w:val="18"/>
          <w:szCs w:val="18"/>
          <w:rtl/>
        </w:rPr>
        <w:t xml:space="preserve"> </w:t>
      </w:r>
      <w:r w:rsidRPr="00695306">
        <w:rPr>
          <w:rFonts w:hint="cs"/>
          <w:sz w:val="18"/>
          <w:szCs w:val="18"/>
          <w:rtl/>
        </w:rPr>
        <w:t xml:space="preserve">לא זכיתי להבין טעם דין זה. בטעם הדין שכינים שאינה יכולה להסיר אינן חוצצות, כתב </w:t>
      </w:r>
      <w:r w:rsidRPr="00695306">
        <w:rPr>
          <w:rFonts w:hint="cs"/>
          <w:b/>
          <w:bCs/>
          <w:sz w:val="18"/>
          <w:szCs w:val="18"/>
          <w:rtl/>
        </w:rPr>
        <w:t>הגר"א</w:t>
      </w:r>
      <w:r w:rsidRPr="00695306">
        <w:rPr>
          <w:rFonts w:hint="cs"/>
          <w:sz w:val="18"/>
          <w:szCs w:val="18"/>
          <w:rtl/>
        </w:rPr>
        <w:t xml:space="preserve"> שכיון דרביתיה הוא אינה מקפדת, אם  כן מדוע יש לחלק בין כינה מתה לכינה חיה?</w:t>
      </w:r>
    </w:p>
  </w:footnote>
  <w:footnote w:id="700">
    <w:p w:rsidR="005953C5" w:rsidRDefault="005953C5" w:rsidP="00620060">
      <w:pPr>
        <w:pStyle w:val="a3"/>
        <w:rPr>
          <w:rtl/>
        </w:rPr>
      </w:pPr>
      <w:r w:rsidRPr="00E00DA8">
        <w:rPr>
          <w:rStyle w:val="a5"/>
          <w:sz w:val="18"/>
          <w:szCs w:val="18"/>
        </w:rPr>
        <w:footnoteRef/>
      </w:r>
      <w:r w:rsidRPr="00E00DA8">
        <w:rPr>
          <w:sz w:val="18"/>
          <w:szCs w:val="18"/>
          <w:rtl/>
        </w:rPr>
        <w:t xml:space="preserve"> </w:t>
      </w:r>
      <w:r w:rsidRPr="00E00DA8">
        <w:rPr>
          <w:rFonts w:hint="cs"/>
          <w:b/>
          <w:bCs/>
          <w:sz w:val="18"/>
          <w:szCs w:val="18"/>
          <w:rtl/>
        </w:rPr>
        <w:t>בית יוסף</w:t>
      </w:r>
      <w:r w:rsidRPr="00E00DA8">
        <w:rPr>
          <w:rFonts w:hint="cs"/>
          <w:sz w:val="18"/>
          <w:szCs w:val="18"/>
          <w:rtl/>
        </w:rPr>
        <w:t xml:space="preserve"> </w:t>
      </w:r>
      <w:r w:rsidRPr="00E00DA8">
        <w:rPr>
          <w:sz w:val="18"/>
          <w:szCs w:val="18"/>
          <w:rtl/>
        </w:rPr>
        <w:t>–</w:t>
      </w:r>
      <w:r w:rsidRPr="00E00DA8">
        <w:rPr>
          <w:rFonts w:hint="cs"/>
          <w:sz w:val="18"/>
          <w:szCs w:val="18"/>
          <w:rtl/>
        </w:rPr>
        <w:t xml:space="preserve"> מחלוקת חכמים ורבי נתן נאמרה לעניין שחיטה.</w:t>
      </w:r>
      <w:r>
        <w:rPr>
          <w:rFonts w:hint="cs"/>
          <w:sz w:val="18"/>
          <w:szCs w:val="18"/>
          <w:rtl/>
        </w:rPr>
        <w:t xml:space="preserve"> לכו"ע שחיטה ללא כוונה כשרה, אלא שנחלקו מהי שחיטה ללא כוונה</w:t>
      </w:r>
      <w:r w:rsidRPr="00E00DA8">
        <w:rPr>
          <w:rFonts w:hint="cs"/>
          <w:sz w:val="18"/>
          <w:szCs w:val="18"/>
          <w:rtl/>
        </w:rPr>
        <w:t xml:space="preserve"> חכמים סוברים ששחיטה ללא כוונה כשרה רק אם השוחט התכוון לכל הפחות לחתוך דבר מה, אך לרבי נתן שחיטה כשרה ללא כוונה אף אם זרק סכין והלכה ושחטה</w:t>
      </w:r>
      <w:r>
        <w:rPr>
          <w:rFonts w:hint="cs"/>
          <w:sz w:val="18"/>
          <w:szCs w:val="18"/>
          <w:rtl/>
        </w:rPr>
        <w:t xml:space="preserve"> מעצמה</w:t>
      </w:r>
      <w:r w:rsidRPr="00E00DA8">
        <w:rPr>
          <w:rFonts w:hint="cs"/>
          <w:sz w:val="18"/>
          <w:szCs w:val="18"/>
          <w:rtl/>
        </w:rPr>
        <w:t>.</w:t>
      </w:r>
    </w:p>
  </w:footnote>
  <w:footnote w:id="701">
    <w:p w:rsidR="005953C5" w:rsidRDefault="005953C5" w:rsidP="00620060">
      <w:pPr>
        <w:pStyle w:val="a3"/>
        <w:rPr>
          <w:rtl/>
        </w:rPr>
      </w:pPr>
      <w:r w:rsidRPr="001B61BB">
        <w:rPr>
          <w:rStyle w:val="a5"/>
          <w:sz w:val="18"/>
          <w:szCs w:val="18"/>
        </w:rPr>
        <w:footnoteRef/>
      </w:r>
      <w:r w:rsidRPr="001B61BB">
        <w:rPr>
          <w:sz w:val="18"/>
          <w:szCs w:val="18"/>
          <w:rtl/>
        </w:rPr>
        <w:t xml:space="preserve"> </w:t>
      </w:r>
      <w:r w:rsidRPr="001B61BB">
        <w:rPr>
          <w:rFonts w:hint="cs"/>
          <w:sz w:val="18"/>
          <w:szCs w:val="18"/>
          <w:rtl/>
        </w:rPr>
        <w:t>כנראה כך היא גירסת הרשב"א, אך לפנינו נכתב רבא באל"ף.</w:t>
      </w:r>
    </w:p>
  </w:footnote>
  <w:footnote w:id="702">
    <w:p w:rsidR="005953C5" w:rsidRDefault="005953C5" w:rsidP="00620060">
      <w:pPr>
        <w:pStyle w:val="a3"/>
        <w:rPr>
          <w:rtl/>
        </w:rPr>
      </w:pPr>
      <w:r w:rsidRPr="00B00875">
        <w:rPr>
          <w:rStyle w:val="a5"/>
          <w:sz w:val="18"/>
          <w:szCs w:val="18"/>
        </w:rPr>
        <w:footnoteRef/>
      </w:r>
      <w:r w:rsidRPr="00B00875">
        <w:rPr>
          <w:sz w:val="18"/>
          <w:szCs w:val="18"/>
          <w:rtl/>
        </w:rPr>
        <w:t xml:space="preserve"> </w:t>
      </w:r>
      <w:r w:rsidRPr="00B00875">
        <w:rPr>
          <w:rFonts w:hint="cs"/>
          <w:b/>
          <w:bCs/>
          <w:sz w:val="18"/>
          <w:szCs w:val="18"/>
          <w:rtl/>
        </w:rPr>
        <w:t>חמודי דניאל</w:t>
      </w:r>
      <w:r w:rsidRPr="00B00875">
        <w:rPr>
          <w:rFonts w:hint="cs"/>
          <w:sz w:val="18"/>
          <w:szCs w:val="18"/>
          <w:rtl/>
        </w:rPr>
        <w:t xml:space="preserve"> </w:t>
      </w:r>
      <w:r w:rsidRPr="00B00875">
        <w:rPr>
          <w:sz w:val="18"/>
          <w:szCs w:val="18"/>
          <w:rtl/>
        </w:rPr>
        <w:t>–</w:t>
      </w:r>
      <w:r w:rsidRPr="00B00875">
        <w:rPr>
          <w:rFonts w:hint="cs"/>
          <w:sz w:val="18"/>
          <w:szCs w:val="18"/>
          <w:rtl/>
        </w:rPr>
        <w:t xml:space="preserve"> דווקא אם נאנסה ע"י חברתה, אך אם נאנסה ע"י איש שדחפה למים, לא מהני</w:t>
      </w:r>
      <w:r>
        <w:rPr>
          <w:rFonts w:hint="cs"/>
          <w:sz w:val="18"/>
          <w:szCs w:val="18"/>
          <w:rtl/>
        </w:rPr>
        <w:t>. וצ"ע מאי שנא</w:t>
      </w:r>
      <w:r w:rsidRPr="00B00875">
        <w:rPr>
          <w:rFonts w:hint="cs"/>
          <w:sz w:val="18"/>
          <w:szCs w:val="18"/>
          <w:rtl/>
        </w:rPr>
        <w:t>.</w:t>
      </w:r>
      <w:r>
        <w:rPr>
          <w:rtl/>
        </w:rPr>
        <w:br/>
      </w:r>
      <w:r w:rsidRPr="00FF6FD4">
        <w:rPr>
          <w:rFonts w:hint="cs"/>
          <w:b/>
          <w:bCs/>
          <w:sz w:val="18"/>
          <w:szCs w:val="18"/>
          <w:rtl/>
        </w:rPr>
        <w:t>לבושי שרד</w:t>
      </w:r>
      <w:r w:rsidRPr="00FF6FD4">
        <w:rPr>
          <w:rFonts w:hint="cs"/>
          <w:sz w:val="18"/>
          <w:szCs w:val="18"/>
          <w:rtl/>
        </w:rPr>
        <w:t xml:space="preserve"> </w:t>
      </w:r>
      <w:r w:rsidRPr="00FF6FD4">
        <w:rPr>
          <w:sz w:val="18"/>
          <w:szCs w:val="18"/>
          <w:rtl/>
        </w:rPr>
        <w:t>–</w:t>
      </w:r>
      <w:r w:rsidRPr="00FF6FD4">
        <w:rPr>
          <w:rFonts w:hint="cs"/>
          <w:sz w:val="18"/>
          <w:szCs w:val="18"/>
          <w:rtl/>
        </w:rPr>
        <w:t xml:space="preserve"> אם ירדה להקר ואחר כך נמלכה לטבול אך לא הגביהה רגליה, יש להקל.</w:t>
      </w:r>
    </w:p>
  </w:footnote>
  <w:footnote w:id="703">
    <w:p w:rsidR="005953C5" w:rsidRPr="00EF76AE" w:rsidRDefault="005953C5" w:rsidP="00620060">
      <w:pPr>
        <w:pStyle w:val="a3"/>
        <w:rPr>
          <w:sz w:val="18"/>
          <w:szCs w:val="18"/>
          <w:rtl/>
        </w:rPr>
      </w:pPr>
      <w:r w:rsidRPr="00EF76AE">
        <w:rPr>
          <w:rStyle w:val="a5"/>
          <w:sz w:val="18"/>
          <w:szCs w:val="18"/>
        </w:rPr>
        <w:footnoteRef/>
      </w:r>
      <w:r w:rsidRPr="00EF76AE">
        <w:rPr>
          <w:sz w:val="18"/>
          <w:szCs w:val="18"/>
          <w:rtl/>
        </w:rPr>
        <w:t xml:space="preserve"> </w:t>
      </w:r>
      <w:r w:rsidRPr="00EF76AE">
        <w:rPr>
          <w:rFonts w:hint="cs"/>
          <w:sz w:val="18"/>
          <w:szCs w:val="18"/>
          <w:rtl/>
        </w:rPr>
        <w:t xml:space="preserve">זו לשון </w:t>
      </w:r>
      <w:r w:rsidRPr="00EF76AE">
        <w:rPr>
          <w:rFonts w:hint="cs"/>
          <w:b/>
          <w:bCs/>
          <w:sz w:val="18"/>
          <w:szCs w:val="18"/>
          <w:rtl/>
        </w:rPr>
        <w:t>השערי דורא</w:t>
      </w:r>
      <w:r w:rsidRPr="00EF76AE">
        <w:rPr>
          <w:rFonts w:hint="cs"/>
          <w:sz w:val="18"/>
          <w:szCs w:val="18"/>
          <w:rtl/>
        </w:rPr>
        <w:t xml:space="preserve"> (סימן כג) </w:t>
      </w:r>
      <w:r w:rsidRPr="00EF76AE">
        <w:rPr>
          <w:sz w:val="18"/>
          <w:szCs w:val="18"/>
          <w:rtl/>
        </w:rPr>
        <w:t>–</w:t>
      </w:r>
      <w:r w:rsidRPr="00EF76AE">
        <w:rPr>
          <w:rFonts w:hint="cs"/>
          <w:sz w:val="18"/>
          <w:szCs w:val="18"/>
          <w:rtl/>
        </w:rPr>
        <w:t xml:space="preserve"> "</w:t>
      </w:r>
      <w:r w:rsidRPr="00EF76AE">
        <w:rPr>
          <w:rFonts w:cs="Arial"/>
          <w:sz w:val="18"/>
          <w:szCs w:val="18"/>
          <w:rtl/>
        </w:rPr>
        <w:t xml:space="preserve">ואשה היוצאת מן הטבילה חבירתה תפגע בה פן יפגעו בה גוים או חזיר או כלב או חמור לקראתה. כי ספר המקצועות כתב אם טבלה ופגעה בכלב או בכל דבר טמא אם האשה יריאה שמים לא תשמש עם בעלה עד שתחזור ותטבול כדי שלא יהיו לה בנים מכוערים ודומים לכלב. וכן אם פגעה בחמור תטבול פעם אחרת כדי שלא יהיו לה בנים טפשים כחמור וכן אם פגעה בעם הארץ וכן בגוים. </w:t>
      </w:r>
      <w:r>
        <w:rPr>
          <w:rFonts w:cs="Arial" w:hint="cs"/>
          <w:sz w:val="18"/>
          <w:szCs w:val="18"/>
          <w:rtl/>
        </w:rPr>
        <w:br/>
      </w:r>
      <w:r w:rsidRPr="00EF76AE">
        <w:rPr>
          <w:rFonts w:cs="Arial"/>
          <w:sz w:val="18"/>
          <w:szCs w:val="18"/>
          <w:rtl/>
        </w:rPr>
        <w:t>ומעשה באלישע כהן גדול שלא היו לו בנים מתקיימים ונכנס לפני הקדוש ברוך הוא ואמר לפניו רבון כל העולמים מפני מה יש לצדיקים בנים ולי אין בנים. והשיבו מפני שנוהגים בטהרה בשעה שמשמשין מטותיהן. הלך והרצה הדברים לאשתו וקבלו עליהם לעשות כן. פעם אחת ירדה לטבול ופגע בה מצורע וחזרה וטבלה ועלתה ופגע בה חזיר וחזרה וטבלה ועלתה ופגע בה גמל ובפעם רביעית גוי ובפעם חמישית ערל בשישית כלב בשביעית חמור בשמינית סוס בתשיעית עם הארץ בעשירית ישמעאל ובכל פעם טבלה פעם אחרת. נכמרו רחמיו של הקדוש ברוך הוא ואמר למטטרון שר הפנים עד מתי צדקת זו מצטערת לך ועמוד לפני צדקת זו על פתח המקוה כדי שתתעבר הלילה הזאת ותלד צדיק קדוש וטהור. מיד ירד מטטרון שר הפנים וישב על פתח המקוה וראתהו ורצתה לחזור ולטבול אמר לה מטטרון דעי שאני מטטרון שר הפנים וכבר בא עלבונך לפני הקדוש ברוך הוא והוא שיגרני אצלך. מיד שמחה שמחה גדולה והלכה ונתעברה באות' לילה את רבי ישמעאל בן אלישע כהן גדול והיה דיוקנו דומה למטטרון. מה עשה מטטרון נעשה סנדיקיס, פירוש בעל ברית. לפיכך כל שעה שהיה רבי ישמעאל רוצה לעלות לרקיע היה מזכיר השם שמסר לו מטטרון שר הפנים ועלה.</w:t>
      </w:r>
    </w:p>
    <w:p w:rsidR="005953C5" w:rsidRPr="00EF76AE" w:rsidRDefault="005953C5" w:rsidP="00620060">
      <w:pPr>
        <w:pStyle w:val="a3"/>
        <w:rPr>
          <w:sz w:val="18"/>
          <w:szCs w:val="18"/>
          <w:rtl/>
        </w:rPr>
      </w:pPr>
      <w:r w:rsidRPr="00EF76AE">
        <w:rPr>
          <w:rFonts w:cs="Arial"/>
          <w:sz w:val="18"/>
          <w:szCs w:val="18"/>
          <w:rtl/>
        </w:rPr>
        <w:t>לכך אמר הספר לשם בברכות (כ ע"א) שרבי יוחנן היה יתיב על שערי טבילה שלא יפגעו בה חמור או דבר טמא. כך פר"ח.</w:t>
      </w:r>
    </w:p>
    <w:p w:rsidR="005953C5" w:rsidRDefault="005953C5" w:rsidP="00620060">
      <w:pPr>
        <w:pStyle w:val="a3"/>
      </w:pPr>
      <w:r w:rsidRPr="00EF76AE">
        <w:rPr>
          <w:rFonts w:cs="Arial"/>
          <w:sz w:val="18"/>
          <w:szCs w:val="18"/>
          <w:rtl/>
        </w:rPr>
        <w:t>ומנהג שפוגעת בחבירתה שהולכת עמה לבית הטבילה כשהיא עולה מן המק</w:t>
      </w:r>
      <w:r>
        <w:rPr>
          <w:rFonts w:cs="Arial" w:hint="cs"/>
          <w:sz w:val="18"/>
          <w:szCs w:val="18"/>
          <w:rtl/>
        </w:rPr>
        <w:t>ו</w:t>
      </w:r>
      <w:r w:rsidRPr="00EF76AE">
        <w:rPr>
          <w:rFonts w:cs="Arial"/>
          <w:sz w:val="18"/>
          <w:szCs w:val="18"/>
          <w:rtl/>
        </w:rPr>
        <w:t>וה.</w:t>
      </w:r>
    </w:p>
  </w:footnote>
  <w:footnote w:id="704">
    <w:p w:rsidR="005953C5" w:rsidRDefault="005953C5" w:rsidP="00620060">
      <w:pPr>
        <w:pStyle w:val="a3"/>
      </w:pPr>
      <w:r w:rsidRPr="00837086">
        <w:rPr>
          <w:rStyle w:val="a5"/>
          <w:sz w:val="18"/>
          <w:szCs w:val="18"/>
        </w:rPr>
        <w:footnoteRef/>
      </w:r>
      <w:r w:rsidRPr="00837086">
        <w:rPr>
          <w:sz w:val="18"/>
          <w:szCs w:val="18"/>
          <w:rtl/>
        </w:rPr>
        <w:t xml:space="preserve"> </w:t>
      </w:r>
      <w:r w:rsidRPr="00837086">
        <w:rPr>
          <w:rFonts w:hint="cs"/>
          <w:sz w:val="18"/>
          <w:szCs w:val="18"/>
          <w:rtl/>
        </w:rPr>
        <w:t>כנראה טעמו משום שאם תישאר שם לחלוחית משקה היא תבחין בכך.</w:t>
      </w:r>
    </w:p>
  </w:footnote>
  <w:footnote w:id="705">
    <w:p w:rsidR="005953C5" w:rsidRDefault="005953C5" w:rsidP="00620060">
      <w:pPr>
        <w:pStyle w:val="a3"/>
        <w:rPr>
          <w:rtl/>
        </w:rPr>
      </w:pPr>
      <w:r w:rsidRPr="0005185A">
        <w:rPr>
          <w:rStyle w:val="a5"/>
          <w:sz w:val="18"/>
          <w:szCs w:val="18"/>
        </w:rPr>
        <w:footnoteRef/>
      </w:r>
      <w:r w:rsidRPr="0005185A">
        <w:rPr>
          <w:sz w:val="18"/>
          <w:szCs w:val="18"/>
          <w:rtl/>
        </w:rPr>
        <w:t xml:space="preserve"> </w:t>
      </w:r>
      <w:r w:rsidRPr="0005185A">
        <w:rPr>
          <w:rFonts w:hint="cs"/>
          <w:b/>
          <w:bCs/>
          <w:sz w:val="18"/>
          <w:szCs w:val="18"/>
          <w:rtl/>
        </w:rPr>
        <w:t>בית יוסף</w:t>
      </w:r>
      <w:r w:rsidRPr="0005185A">
        <w:rPr>
          <w:rFonts w:hint="cs"/>
          <w:sz w:val="18"/>
          <w:szCs w:val="18"/>
          <w:rtl/>
        </w:rPr>
        <w:t xml:space="preserve"> </w:t>
      </w:r>
      <w:r w:rsidRPr="0005185A">
        <w:rPr>
          <w:sz w:val="18"/>
          <w:szCs w:val="18"/>
          <w:rtl/>
        </w:rPr>
        <w:t>–</w:t>
      </w:r>
      <w:r w:rsidRPr="0005185A">
        <w:rPr>
          <w:rFonts w:hint="cs"/>
          <w:sz w:val="18"/>
          <w:szCs w:val="18"/>
          <w:rtl/>
        </w:rPr>
        <w:t xml:space="preserve"> ברור שמקום הראש מלוכלך יותר משאר הגוף, ולכן הראשונים שמצריכים חפיפה בגוף אינם באים לאפוקי חפיפת הראש.</w:t>
      </w:r>
    </w:p>
  </w:footnote>
  <w:footnote w:id="706">
    <w:p w:rsidR="005953C5" w:rsidRDefault="005953C5" w:rsidP="00620060">
      <w:pPr>
        <w:pStyle w:val="a3"/>
      </w:pPr>
      <w:r w:rsidRPr="00137FF9">
        <w:rPr>
          <w:rStyle w:val="a5"/>
          <w:sz w:val="18"/>
          <w:szCs w:val="18"/>
        </w:rPr>
        <w:footnoteRef/>
      </w:r>
      <w:r w:rsidRPr="00137FF9">
        <w:rPr>
          <w:sz w:val="18"/>
          <w:szCs w:val="18"/>
          <w:rtl/>
        </w:rPr>
        <w:t xml:space="preserve"> </w:t>
      </w:r>
      <w:r w:rsidRPr="00137FF9">
        <w:rPr>
          <w:rFonts w:hint="cs"/>
          <w:b/>
          <w:bCs/>
          <w:sz w:val="18"/>
          <w:szCs w:val="18"/>
          <w:rtl/>
        </w:rPr>
        <w:t>ששבה"ל</w:t>
      </w:r>
      <w:r w:rsidRPr="00137FF9">
        <w:rPr>
          <w:rFonts w:hint="cs"/>
          <w:sz w:val="18"/>
          <w:szCs w:val="18"/>
          <w:rtl/>
        </w:rPr>
        <w:t xml:space="preserve"> </w:t>
      </w:r>
      <w:r w:rsidRPr="00137FF9">
        <w:rPr>
          <w:sz w:val="18"/>
          <w:szCs w:val="18"/>
          <w:rtl/>
        </w:rPr>
        <w:t>–</w:t>
      </w:r>
      <w:r w:rsidRPr="00137FF9">
        <w:rPr>
          <w:rFonts w:hint="cs"/>
          <w:sz w:val="18"/>
          <w:szCs w:val="18"/>
          <w:rtl/>
        </w:rPr>
        <w:t xml:space="preserve"> אפשר שמטעם זה נהגו במקוואות שהמשגיחה על הטבילה בודקת את הטובלת שלא תהיה עליה חציצה.</w:t>
      </w:r>
    </w:p>
  </w:footnote>
  <w:footnote w:id="707">
    <w:p w:rsidR="005953C5" w:rsidRDefault="005953C5" w:rsidP="00620060">
      <w:pPr>
        <w:pStyle w:val="a3"/>
      </w:pPr>
      <w:r w:rsidRPr="0024445A">
        <w:rPr>
          <w:rStyle w:val="a5"/>
          <w:sz w:val="18"/>
          <w:szCs w:val="18"/>
        </w:rPr>
        <w:footnoteRef/>
      </w:r>
      <w:r w:rsidRPr="0024445A">
        <w:rPr>
          <w:sz w:val="18"/>
          <w:szCs w:val="18"/>
          <w:rtl/>
        </w:rPr>
        <w:t xml:space="preserve"> </w:t>
      </w:r>
      <w:r w:rsidRPr="0024445A">
        <w:rPr>
          <w:rFonts w:hint="cs"/>
          <w:sz w:val="18"/>
          <w:szCs w:val="18"/>
          <w:rtl/>
        </w:rPr>
        <w:t xml:space="preserve">אמנם דעת </w:t>
      </w:r>
      <w:r w:rsidRPr="0024445A">
        <w:rPr>
          <w:rFonts w:hint="cs"/>
          <w:b/>
          <w:bCs/>
          <w:sz w:val="18"/>
          <w:szCs w:val="18"/>
          <w:rtl/>
        </w:rPr>
        <w:t xml:space="preserve">הט"ז </w:t>
      </w:r>
      <w:r w:rsidRPr="0024445A">
        <w:rPr>
          <w:rFonts w:hint="cs"/>
          <w:sz w:val="18"/>
          <w:szCs w:val="18"/>
          <w:rtl/>
        </w:rPr>
        <w:t xml:space="preserve">שאשה שחפפה אינה צריכה לעיין, ואם כן דברי </w:t>
      </w:r>
      <w:r w:rsidRPr="0024445A">
        <w:rPr>
          <w:rFonts w:hint="cs"/>
          <w:b/>
          <w:bCs/>
          <w:sz w:val="18"/>
          <w:szCs w:val="18"/>
          <w:rtl/>
        </w:rPr>
        <w:t>הנוב"י</w:t>
      </w:r>
      <w:r w:rsidRPr="0024445A">
        <w:rPr>
          <w:rFonts w:hint="cs"/>
          <w:sz w:val="18"/>
          <w:szCs w:val="18"/>
          <w:rtl/>
        </w:rPr>
        <w:t xml:space="preserve"> ייתכנו רק </w:t>
      </w:r>
      <w:r>
        <w:rPr>
          <w:rFonts w:hint="cs"/>
          <w:sz w:val="18"/>
          <w:szCs w:val="18"/>
          <w:rtl/>
        </w:rPr>
        <w:t xml:space="preserve">אם </w:t>
      </w:r>
      <w:r w:rsidRPr="0024445A">
        <w:rPr>
          <w:rFonts w:hint="cs"/>
          <w:sz w:val="18"/>
          <w:szCs w:val="18"/>
          <w:rtl/>
        </w:rPr>
        <w:t>לא חפפה.</w:t>
      </w:r>
    </w:p>
  </w:footnote>
  <w:footnote w:id="708">
    <w:p w:rsidR="005953C5" w:rsidRDefault="005953C5" w:rsidP="00620060">
      <w:pPr>
        <w:pStyle w:val="a3"/>
        <w:rPr>
          <w:rtl/>
        </w:rPr>
      </w:pPr>
      <w:r w:rsidRPr="001B418C">
        <w:rPr>
          <w:rStyle w:val="a5"/>
          <w:sz w:val="18"/>
          <w:szCs w:val="18"/>
        </w:rPr>
        <w:footnoteRef/>
      </w:r>
      <w:r w:rsidRPr="001B418C">
        <w:rPr>
          <w:sz w:val="18"/>
          <w:szCs w:val="18"/>
          <w:rtl/>
        </w:rPr>
        <w:t xml:space="preserve"> </w:t>
      </w:r>
      <w:r w:rsidRPr="001B418C">
        <w:rPr>
          <w:rFonts w:hint="cs"/>
          <w:b/>
          <w:bCs/>
          <w:sz w:val="18"/>
          <w:szCs w:val="18"/>
          <w:rtl/>
        </w:rPr>
        <w:t>ראב"ד</w:t>
      </w:r>
      <w:r w:rsidRPr="001B418C">
        <w:rPr>
          <w:rFonts w:hint="cs"/>
          <w:sz w:val="18"/>
          <w:szCs w:val="18"/>
          <w:rtl/>
        </w:rPr>
        <w:t xml:space="preserve"> </w:t>
      </w:r>
      <w:r w:rsidRPr="001B418C">
        <w:rPr>
          <w:sz w:val="18"/>
          <w:szCs w:val="18"/>
          <w:rtl/>
        </w:rPr>
        <w:t>–</w:t>
      </w:r>
      <w:r w:rsidRPr="001B418C">
        <w:rPr>
          <w:rFonts w:hint="cs"/>
          <w:sz w:val="18"/>
          <w:szCs w:val="18"/>
          <w:rtl/>
        </w:rPr>
        <w:t xml:space="preserve"> וחוששים שמא שערות קטנות יסתבכו בשערות הארוכות וייקשרו זו בזו</w:t>
      </w:r>
      <w:r>
        <w:rPr>
          <w:rFonts w:hint="cs"/>
          <w:sz w:val="18"/>
          <w:szCs w:val="18"/>
          <w:rtl/>
        </w:rPr>
        <w:t>,</w:t>
      </w:r>
      <w:r w:rsidRPr="001B418C">
        <w:rPr>
          <w:rFonts w:hint="cs"/>
          <w:sz w:val="18"/>
          <w:szCs w:val="18"/>
          <w:rtl/>
        </w:rPr>
        <w:t xml:space="preserve"> והמים </w:t>
      </w:r>
      <w:r>
        <w:rPr>
          <w:rFonts w:hint="cs"/>
          <w:sz w:val="18"/>
          <w:szCs w:val="18"/>
          <w:rtl/>
        </w:rPr>
        <w:t xml:space="preserve">לא </w:t>
      </w:r>
      <w:r w:rsidRPr="001B418C">
        <w:rPr>
          <w:rFonts w:hint="cs"/>
          <w:sz w:val="18"/>
          <w:szCs w:val="18"/>
          <w:rtl/>
        </w:rPr>
        <w:t>יבואו בה</w:t>
      </w:r>
      <w:r>
        <w:rPr>
          <w:rFonts w:hint="cs"/>
          <w:sz w:val="18"/>
          <w:szCs w:val="18"/>
          <w:rtl/>
        </w:rPr>
        <w:t>ן</w:t>
      </w:r>
      <w:r w:rsidRPr="001B418C">
        <w:rPr>
          <w:rFonts w:hint="cs"/>
          <w:sz w:val="18"/>
          <w:szCs w:val="18"/>
          <w:rtl/>
        </w:rPr>
        <w:t xml:space="preserve"> יפה.</w:t>
      </w:r>
    </w:p>
  </w:footnote>
  <w:footnote w:id="709">
    <w:p w:rsidR="005953C5" w:rsidRDefault="005953C5" w:rsidP="00620060">
      <w:pPr>
        <w:pStyle w:val="a3"/>
      </w:pPr>
      <w:r w:rsidRPr="0072359C">
        <w:rPr>
          <w:rStyle w:val="a5"/>
          <w:sz w:val="18"/>
          <w:szCs w:val="18"/>
        </w:rPr>
        <w:footnoteRef/>
      </w:r>
      <w:r w:rsidRPr="0072359C">
        <w:rPr>
          <w:sz w:val="18"/>
          <w:szCs w:val="18"/>
          <w:rtl/>
        </w:rPr>
        <w:t xml:space="preserve"> </w:t>
      </w:r>
      <w:r w:rsidRPr="0072359C">
        <w:rPr>
          <w:rFonts w:hint="cs"/>
          <w:sz w:val="18"/>
          <w:szCs w:val="18"/>
          <w:rtl/>
        </w:rPr>
        <w:t xml:space="preserve">אע"פ </w:t>
      </w:r>
      <w:r w:rsidRPr="0072359C">
        <w:rPr>
          <w:rFonts w:hint="cs"/>
          <w:b/>
          <w:bCs/>
          <w:sz w:val="18"/>
          <w:szCs w:val="18"/>
          <w:rtl/>
        </w:rPr>
        <w:t>שמהרי"ק</w:t>
      </w:r>
      <w:r w:rsidRPr="0072359C">
        <w:rPr>
          <w:rFonts w:hint="cs"/>
          <w:sz w:val="18"/>
          <w:szCs w:val="18"/>
          <w:rtl/>
        </w:rPr>
        <w:t xml:space="preserve"> עצמו סובר שהדחת הקמטים נעשית במים דווקא ולא ביין, אעפ"כ כאן יש להקל שהרי הגמרא לא הגבילה למשקה מסויים, בניגוד לדין הדחת הקמטים שנאמר בה להדיא "מים".</w:t>
      </w:r>
    </w:p>
  </w:footnote>
  <w:footnote w:id="710">
    <w:p w:rsidR="005953C5" w:rsidRPr="0089109D" w:rsidRDefault="005953C5" w:rsidP="00620060">
      <w:pPr>
        <w:pStyle w:val="a3"/>
        <w:rPr>
          <w:rFonts w:asciiTheme="minorBidi" w:hAnsiTheme="minorBidi"/>
          <w:rtl/>
        </w:rPr>
      </w:pPr>
      <w:r w:rsidRPr="0089109D">
        <w:rPr>
          <w:rStyle w:val="a5"/>
          <w:rFonts w:asciiTheme="minorBidi" w:hAnsiTheme="minorBidi"/>
          <w:sz w:val="18"/>
          <w:szCs w:val="18"/>
        </w:rPr>
        <w:footnoteRef/>
      </w:r>
      <w:r w:rsidRPr="0089109D">
        <w:rPr>
          <w:rFonts w:asciiTheme="minorBidi" w:hAnsiTheme="minorBidi"/>
          <w:sz w:val="18"/>
          <w:szCs w:val="18"/>
          <w:rtl/>
        </w:rPr>
        <w:t xml:space="preserve"> </w:t>
      </w:r>
      <w:r w:rsidRPr="0089109D">
        <w:rPr>
          <w:rFonts w:asciiTheme="minorBidi" w:hAnsiTheme="minorBidi"/>
          <w:b/>
          <w:bCs/>
          <w:sz w:val="18"/>
          <w:szCs w:val="18"/>
          <w:rtl/>
        </w:rPr>
        <w:t>ב"ח</w:t>
      </w:r>
      <w:r w:rsidRPr="0089109D">
        <w:rPr>
          <w:rFonts w:asciiTheme="minorBidi" w:hAnsiTheme="minorBidi"/>
          <w:sz w:val="18"/>
          <w:szCs w:val="18"/>
          <w:rtl/>
        </w:rPr>
        <w:t xml:space="preserve"> - דברי </w:t>
      </w:r>
      <w:r w:rsidRPr="0089109D">
        <w:rPr>
          <w:rFonts w:asciiTheme="minorBidi" w:hAnsiTheme="minorBidi"/>
          <w:b/>
          <w:bCs/>
          <w:sz w:val="18"/>
          <w:szCs w:val="18"/>
          <w:rtl/>
        </w:rPr>
        <w:t>מהרי"ק</w:t>
      </w:r>
      <w:r w:rsidRPr="0089109D">
        <w:rPr>
          <w:rFonts w:asciiTheme="minorBidi" w:hAnsiTheme="minorBidi"/>
          <w:sz w:val="18"/>
          <w:szCs w:val="18"/>
          <w:rtl/>
        </w:rPr>
        <w:t xml:space="preserve"> הם בסתמא, דאין לחוש מספק </w:t>
      </w:r>
      <w:r>
        <w:rPr>
          <w:rFonts w:asciiTheme="minorBidi" w:hAnsiTheme="minorBidi" w:hint="cs"/>
          <w:sz w:val="18"/>
          <w:szCs w:val="18"/>
          <w:rtl/>
        </w:rPr>
        <w:t>ב</w:t>
      </w:r>
      <w:r w:rsidRPr="0089109D">
        <w:rPr>
          <w:rFonts w:asciiTheme="minorBidi" w:hAnsiTheme="minorBidi"/>
          <w:sz w:val="18"/>
          <w:szCs w:val="18"/>
          <w:rtl/>
        </w:rPr>
        <w:t>חומרים אחרים, א</w:t>
      </w:r>
      <w:r>
        <w:rPr>
          <w:rFonts w:asciiTheme="minorBidi" w:hAnsiTheme="minorBidi" w:hint="cs"/>
          <w:sz w:val="18"/>
          <w:szCs w:val="18"/>
          <w:rtl/>
        </w:rPr>
        <w:t>ך</w:t>
      </w:r>
      <w:r w:rsidRPr="0089109D">
        <w:rPr>
          <w:rFonts w:asciiTheme="minorBidi" w:hAnsiTheme="minorBidi"/>
          <w:sz w:val="18"/>
          <w:szCs w:val="18"/>
          <w:rtl/>
        </w:rPr>
        <w:t xml:space="preserve"> אם ידוע לנו שמסבך ודאי שאסור להשתמש ב</w:t>
      </w:r>
      <w:r>
        <w:rPr>
          <w:rFonts w:asciiTheme="minorBidi" w:hAnsiTheme="minorBidi" w:hint="cs"/>
          <w:sz w:val="18"/>
          <w:szCs w:val="18"/>
          <w:rtl/>
        </w:rPr>
        <w:t>ו.</w:t>
      </w:r>
    </w:p>
  </w:footnote>
  <w:footnote w:id="711">
    <w:p w:rsidR="005953C5" w:rsidRDefault="005953C5" w:rsidP="00620060">
      <w:pPr>
        <w:pStyle w:val="a3"/>
        <w:rPr>
          <w:rtl/>
        </w:rPr>
      </w:pPr>
      <w:r>
        <w:rPr>
          <w:rStyle w:val="a5"/>
        </w:rPr>
        <w:footnoteRef/>
      </w:r>
      <w:r>
        <w:rPr>
          <w:rtl/>
        </w:rPr>
        <w:t xml:space="preserve"> </w:t>
      </w:r>
      <w:r w:rsidRPr="0089109D">
        <w:rPr>
          <w:rFonts w:ascii="Arial" w:hAnsi="Arial" w:cs="Arial"/>
          <w:sz w:val="18"/>
          <w:szCs w:val="18"/>
          <w:rtl/>
        </w:rPr>
        <w:t>וכמובן שלדעת רוב הראשונים דין זה הוא בשער בלבד, ולכן אע"פ שהמנהג הוא לרחוץ כל הגוף במים חמים כנ"ל בסעיף א</w:t>
      </w:r>
      <w:r>
        <w:rPr>
          <w:rFonts w:ascii="Arial" w:hAnsi="Arial" w:cs="Arial" w:hint="cs"/>
          <w:sz w:val="18"/>
          <w:szCs w:val="18"/>
          <w:rtl/>
        </w:rPr>
        <w:t>'</w:t>
      </w:r>
      <w:r w:rsidRPr="0089109D">
        <w:rPr>
          <w:rFonts w:ascii="Arial" w:hAnsi="Arial" w:cs="Arial"/>
          <w:sz w:val="18"/>
          <w:szCs w:val="18"/>
          <w:rtl/>
        </w:rPr>
        <w:t>, אם אין לה מספיק מים חמים, תרחץ את שאר גופה במים קרים, ותשתמש במים החמים לשער</w:t>
      </w:r>
      <w:r>
        <w:rPr>
          <w:rFonts w:ascii="Arial" w:hAnsi="Arial" w:cs="Arial" w:hint="cs"/>
          <w:sz w:val="18"/>
          <w:szCs w:val="18"/>
          <w:rtl/>
        </w:rPr>
        <w:t xml:space="preserve">, </w:t>
      </w:r>
      <w:r w:rsidRPr="0089109D">
        <w:rPr>
          <w:rFonts w:ascii="Arial" w:hAnsi="Arial" w:cs="Arial"/>
          <w:b/>
          <w:bCs/>
          <w:sz w:val="18"/>
          <w:szCs w:val="18"/>
          <w:rtl/>
        </w:rPr>
        <w:t>בדה"ש</w:t>
      </w:r>
      <w:r w:rsidRPr="0089109D">
        <w:rPr>
          <w:rFonts w:ascii="Arial" w:hAnsi="Arial" w:cs="Arial"/>
          <w:sz w:val="18"/>
          <w:szCs w:val="18"/>
          <w:rtl/>
        </w:rPr>
        <w:t xml:space="preserve"> יט.</w:t>
      </w:r>
      <w:r>
        <w:rPr>
          <w:rtl/>
        </w:rPr>
        <w:br/>
      </w:r>
      <w:r w:rsidRPr="0089109D">
        <w:rPr>
          <w:rFonts w:ascii="Arial" w:hAnsi="Arial" w:cs="Arial"/>
          <w:sz w:val="18"/>
          <w:szCs w:val="18"/>
          <w:rtl/>
        </w:rPr>
        <w:t>ולדעת רוב פוסקים בשעת הצורך אפשר להסתפק במים פושרים</w:t>
      </w:r>
      <w:r>
        <w:rPr>
          <w:rFonts w:ascii="Arial" w:hAnsi="Arial" w:cs="Arial" w:hint="cs"/>
          <w:sz w:val="18"/>
          <w:szCs w:val="18"/>
          <w:rtl/>
        </w:rPr>
        <w:t xml:space="preserve"> ולאו דווקא בחמים ממש.</w:t>
      </w:r>
    </w:p>
  </w:footnote>
  <w:footnote w:id="712">
    <w:p w:rsidR="005953C5" w:rsidRDefault="005953C5" w:rsidP="00620060">
      <w:pPr>
        <w:pStyle w:val="a3"/>
      </w:pPr>
      <w:r w:rsidRPr="00A44677">
        <w:rPr>
          <w:rStyle w:val="a5"/>
          <w:sz w:val="18"/>
          <w:szCs w:val="18"/>
        </w:rPr>
        <w:footnoteRef/>
      </w:r>
      <w:r w:rsidRPr="00A44677">
        <w:rPr>
          <w:sz w:val="18"/>
          <w:szCs w:val="18"/>
          <w:rtl/>
        </w:rPr>
        <w:t xml:space="preserve"> </w:t>
      </w:r>
      <w:r w:rsidRPr="00A44677">
        <w:rPr>
          <w:rFonts w:hint="cs"/>
          <w:b/>
          <w:bCs/>
          <w:sz w:val="18"/>
          <w:szCs w:val="18"/>
          <w:rtl/>
        </w:rPr>
        <w:t>ש"ך</w:t>
      </w:r>
      <w:r w:rsidRPr="00A44677">
        <w:rPr>
          <w:rFonts w:hint="cs"/>
          <w:sz w:val="18"/>
          <w:szCs w:val="18"/>
          <w:rtl/>
        </w:rPr>
        <w:t xml:space="preserve"> </w:t>
      </w:r>
      <w:r w:rsidRPr="00A44677">
        <w:rPr>
          <w:sz w:val="18"/>
          <w:szCs w:val="18"/>
          <w:rtl/>
        </w:rPr>
        <w:t>–</w:t>
      </w:r>
      <w:r w:rsidRPr="00A44677">
        <w:rPr>
          <w:rFonts w:hint="cs"/>
          <w:sz w:val="18"/>
          <w:szCs w:val="18"/>
          <w:rtl/>
        </w:rPr>
        <w:t xml:space="preserve"> מדוע צריכה לנסות, לכאורה נחזי אנן האם היין מסבך את השער?</w:t>
      </w:r>
      <w:r w:rsidRPr="00A44677">
        <w:rPr>
          <w:rFonts w:hint="cs"/>
          <w:sz w:val="18"/>
          <w:szCs w:val="18"/>
          <w:rtl/>
        </w:rPr>
        <w:br/>
        <w:t>ויש לומר שיש הבדל בטבע השער בין אשה לאשה, ולכן כל אחת צריכה לבדוק זאת בעצמה.</w:t>
      </w:r>
    </w:p>
  </w:footnote>
  <w:footnote w:id="713">
    <w:p w:rsidR="005953C5" w:rsidRDefault="005953C5" w:rsidP="00620060">
      <w:pPr>
        <w:pStyle w:val="a3"/>
      </w:pPr>
      <w:r w:rsidRPr="004C01B8">
        <w:rPr>
          <w:rStyle w:val="a5"/>
          <w:sz w:val="18"/>
          <w:szCs w:val="18"/>
        </w:rPr>
        <w:footnoteRef/>
      </w:r>
      <w:r w:rsidRPr="004C01B8">
        <w:rPr>
          <w:sz w:val="18"/>
          <w:szCs w:val="18"/>
          <w:rtl/>
        </w:rPr>
        <w:t xml:space="preserve"> </w:t>
      </w:r>
      <w:r w:rsidRPr="004C01B8">
        <w:rPr>
          <w:rFonts w:hint="cs"/>
          <w:sz w:val="18"/>
          <w:szCs w:val="18"/>
          <w:rtl/>
        </w:rPr>
        <w:t xml:space="preserve">נחלקו האחרונים בדעת </w:t>
      </w:r>
      <w:r w:rsidRPr="004C01B8">
        <w:rPr>
          <w:rFonts w:hint="cs"/>
          <w:b/>
          <w:bCs/>
          <w:sz w:val="18"/>
          <w:szCs w:val="18"/>
          <w:rtl/>
        </w:rPr>
        <w:t>הש"ך</w:t>
      </w:r>
      <w:r w:rsidRPr="004C01B8">
        <w:rPr>
          <w:rFonts w:hint="cs"/>
          <w:sz w:val="18"/>
          <w:szCs w:val="18"/>
          <w:rtl/>
        </w:rPr>
        <w:t xml:space="preserve"> </w:t>
      </w:r>
      <w:r w:rsidRPr="004C01B8">
        <w:rPr>
          <w:sz w:val="18"/>
          <w:szCs w:val="18"/>
          <w:rtl/>
        </w:rPr>
        <w:t>–</w:t>
      </w:r>
      <w:r w:rsidRPr="004C01B8">
        <w:rPr>
          <w:rFonts w:hint="cs"/>
          <w:sz w:val="18"/>
          <w:szCs w:val="18"/>
          <w:rtl/>
        </w:rPr>
        <w:t xml:space="preserve"> </w:t>
      </w:r>
      <w:r w:rsidRPr="004C01B8">
        <w:rPr>
          <w:rFonts w:hint="cs"/>
          <w:b/>
          <w:bCs/>
          <w:sz w:val="18"/>
          <w:szCs w:val="18"/>
          <w:rtl/>
        </w:rPr>
        <w:t>החכמת אדם</w:t>
      </w:r>
      <w:r w:rsidRPr="004C01B8">
        <w:rPr>
          <w:rFonts w:hint="cs"/>
          <w:sz w:val="18"/>
          <w:szCs w:val="18"/>
          <w:rtl/>
        </w:rPr>
        <w:t xml:space="preserve"> סובר שאם חפפה בנתר </w:t>
      </w:r>
      <w:r>
        <w:rPr>
          <w:rFonts w:hint="cs"/>
          <w:sz w:val="18"/>
          <w:szCs w:val="18"/>
          <w:rtl/>
        </w:rPr>
        <w:t xml:space="preserve">וכו' </w:t>
      </w:r>
      <w:r w:rsidRPr="004C01B8">
        <w:rPr>
          <w:rFonts w:hint="cs"/>
          <w:sz w:val="18"/>
          <w:szCs w:val="18"/>
          <w:rtl/>
        </w:rPr>
        <w:t>וראתה ששערה אינו מסובך מותרת לטבול, אך יש מחמירים שרק אם כבר טבלה אינה צריכה לחזור ולטבול אך כל זמן שלא טבלה אסורה לטבול.</w:t>
      </w:r>
      <w:r>
        <w:rPr>
          <w:rtl/>
        </w:rPr>
        <w:br/>
      </w:r>
      <w:r w:rsidRPr="00AA7BA4">
        <w:rPr>
          <w:rFonts w:hint="cs"/>
          <w:sz w:val="18"/>
          <w:szCs w:val="18"/>
          <w:rtl/>
        </w:rPr>
        <w:t xml:space="preserve">לפי"ז יש לדון באשה שיש לה רק מים קרים, האם מותרת לחפוף בהם לכתחילה ולבדוק </w:t>
      </w:r>
      <w:r>
        <w:rPr>
          <w:rFonts w:hint="cs"/>
          <w:sz w:val="18"/>
          <w:szCs w:val="18"/>
          <w:rtl/>
        </w:rPr>
        <w:t>אחר כך</w:t>
      </w:r>
      <w:r w:rsidRPr="00AA7BA4">
        <w:rPr>
          <w:rFonts w:hint="cs"/>
          <w:sz w:val="18"/>
          <w:szCs w:val="18"/>
          <w:rtl/>
        </w:rPr>
        <w:t xml:space="preserve"> ששערותיה לא הסתבכו</w:t>
      </w:r>
      <w:r>
        <w:rPr>
          <w:rFonts w:hint="cs"/>
          <w:sz w:val="18"/>
          <w:szCs w:val="18"/>
          <w:rtl/>
        </w:rPr>
        <w:t>?</w:t>
      </w:r>
      <w:r>
        <w:rPr>
          <w:rtl/>
        </w:rPr>
        <w:br/>
      </w:r>
      <w:r w:rsidRPr="00D50BD3">
        <w:rPr>
          <w:rFonts w:hint="cs"/>
          <w:sz w:val="18"/>
          <w:szCs w:val="18"/>
          <w:rtl/>
        </w:rPr>
        <w:t xml:space="preserve">ואע"פ שהרמ"א התיר רק בדיעבד, יש לומר ששעת הדחק כדיעבד דמי, </w:t>
      </w:r>
      <w:r w:rsidRPr="00D50BD3">
        <w:rPr>
          <w:rFonts w:hint="cs"/>
          <w:b/>
          <w:bCs/>
          <w:sz w:val="18"/>
          <w:szCs w:val="18"/>
          <w:rtl/>
        </w:rPr>
        <w:t>בדה"ש</w:t>
      </w:r>
      <w:r w:rsidRPr="00D50BD3">
        <w:rPr>
          <w:rFonts w:hint="cs"/>
          <w:sz w:val="18"/>
          <w:szCs w:val="18"/>
          <w:rtl/>
        </w:rPr>
        <w:t xml:space="preserve"> נוטה להחמיר, אך דעת </w:t>
      </w:r>
      <w:r w:rsidRPr="00D50BD3">
        <w:rPr>
          <w:rFonts w:hint="cs"/>
          <w:b/>
          <w:bCs/>
          <w:sz w:val="18"/>
          <w:szCs w:val="18"/>
          <w:rtl/>
        </w:rPr>
        <w:t>הרב גדעון</w:t>
      </w:r>
      <w:r w:rsidRPr="00D50BD3">
        <w:rPr>
          <w:rFonts w:hint="cs"/>
          <w:sz w:val="18"/>
          <w:szCs w:val="18"/>
          <w:rtl/>
        </w:rPr>
        <w:t xml:space="preserve"> להקל.</w:t>
      </w:r>
    </w:p>
  </w:footnote>
  <w:footnote w:id="714">
    <w:p w:rsidR="005953C5" w:rsidRDefault="005953C5" w:rsidP="00620060">
      <w:pPr>
        <w:pStyle w:val="a3"/>
        <w:rPr>
          <w:rtl/>
        </w:rPr>
      </w:pPr>
      <w:r w:rsidRPr="00280EFC">
        <w:rPr>
          <w:rStyle w:val="a5"/>
          <w:sz w:val="18"/>
          <w:szCs w:val="18"/>
        </w:rPr>
        <w:footnoteRef/>
      </w:r>
      <w:r w:rsidRPr="00280EFC">
        <w:rPr>
          <w:sz w:val="18"/>
          <w:szCs w:val="18"/>
          <w:rtl/>
        </w:rPr>
        <w:t xml:space="preserve"> </w:t>
      </w:r>
      <w:r w:rsidRPr="00280EFC">
        <w:rPr>
          <w:rFonts w:hint="cs"/>
          <w:sz w:val="18"/>
          <w:szCs w:val="18"/>
          <w:rtl/>
        </w:rPr>
        <w:t xml:space="preserve">דברי </w:t>
      </w:r>
      <w:r w:rsidRPr="00280EFC">
        <w:rPr>
          <w:rFonts w:hint="cs"/>
          <w:b/>
          <w:bCs/>
          <w:sz w:val="18"/>
          <w:szCs w:val="18"/>
          <w:rtl/>
        </w:rPr>
        <w:t>הש"ך</w:t>
      </w:r>
      <w:r w:rsidRPr="00280EFC">
        <w:rPr>
          <w:rFonts w:hint="cs"/>
          <w:sz w:val="18"/>
          <w:szCs w:val="18"/>
          <w:rtl/>
        </w:rPr>
        <w:t xml:space="preserve"> מדוייקים מאוד בדברי </w:t>
      </w:r>
      <w:r w:rsidRPr="00280EFC">
        <w:rPr>
          <w:rFonts w:hint="cs"/>
          <w:b/>
          <w:bCs/>
          <w:sz w:val="18"/>
          <w:szCs w:val="18"/>
          <w:rtl/>
        </w:rPr>
        <w:t>הרמ"א</w:t>
      </w:r>
      <w:r w:rsidRPr="00280EFC">
        <w:rPr>
          <w:rFonts w:hint="cs"/>
          <w:sz w:val="18"/>
          <w:szCs w:val="18"/>
          <w:rtl/>
        </w:rPr>
        <w:t>. שלגבי נתר וכו' כתב לשון דיעבד שכבר נעשה ובכה"ג אם עיינה ששערה לא נדבק שרי. לעומת זאת בדין חפיפה ביין נקט לשון של לכתחילה</w:t>
      </w:r>
      <w:r>
        <w:rPr>
          <w:rFonts w:hint="cs"/>
          <w:sz w:val="18"/>
          <w:szCs w:val="18"/>
          <w:rtl/>
        </w:rPr>
        <w:t>,</w:t>
      </w:r>
      <w:r w:rsidRPr="00280EFC">
        <w:rPr>
          <w:rFonts w:hint="cs"/>
          <w:sz w:val="18"/>
          <w:szCs w:val="18"/>
          <w:rtl/>
        </w:rPr>
        <w:t xml:space="preserve"> כאשר זו האפשרות היחידה שלה.</w:t>
      </w:r>
    </w:p>
  </w:footnote>
  <w:footnote w:id="715">
    <w:p w:rsidR="005953C5" w:rsidRDefault="005953C5" w:rsidP="00620060">
      <w:pPr>
        <w:pStyle w:val="a3"/>
      </w:pPr>
      <w:r w:rsidRPr="001A4BAD">
        <w:rPr>
          <w:rStyle w:val="a5"/>
          <w:sz w:val="18"/>
          <w:szCs w:val="18"/>
        </w:rPr>
        <w:footnoteRef/>
      </w:r>
      <w:r w:rsidRPr="001A4BAD">
        <w:rPr>
          <w:sz w:val="18"/>
          <w:szCs w:val="18"/>
          <w:rtl/>
        </w:rPr>
        <w:t xml:space="preserve"> </w:t>
      </w:r>
      <w:r w:rsidRPr="001A4BAD">
        <w:rPr>
          <w:rFonts w:hint="cs"/>
          <w:b/>
          <w:bCs/>
          <w:sz w:val="18"/>
          <w:szCs w:val="18"/>
          <w:rtl/>
        </w:rPr>
        <w:t>הבית יוסף</w:t>
      </w:r>
      <w:r w:rsidRPr="001A4BAD">
        <w:rPr>
          <w:rFonts w:hint="cs"/>
          <w:sz w:val="18"/>
          <w:szCs w:val="18"/>
          <w:rtl/>
        </w:rPr>
        <w:t xml:space="preserve"> עומד על ההבדל שבין </w:t>
      </w:r>
      <w:r w:rsidRPr="001A4BAD">
        <w:rPr>
          <w:rFonts w:hint="cs"/>
          <w:b/>
          <w:bCs/>
          <w:sz w:val="18"/>
          <w:szCs w:val="18"/>
          <w:rtl/>
        </w:rPr>
        <w:t>רש"י לשאילתות</w:t>
      </w:r>
      <w:r w:rsidRPr="001A4BAD">
        <w:rPr>
          <w:rFonts w:hint="cs"/>
          <w:sz w:val="18"/>
          <w:szCs w:val="18"/>
          <w:rtl/>
        </w:rPr>
        <w:t xml:space="preserve"> לגבי דיעבד </w:t>
      </w:r>
      <w:r w:rsidRPr="001A4BAD">
        <w:rPr>
          <w:sz w:val="18"/>
          <w:szCs w:val="18"/>
          <w:rtl/>
        </w:rPr>
        <w:t>–</w:t>
      </w:r>
      <w:r w:rsidRPr="001A4BAD">
        <w:rPr>
          <w:rFonts w:hint="cs"/>
          <w:sz w:val="18"/>
          <w:szCs w:val="18"/>
          <w:rtl/>
        </w:rPr>
        <w:t xml:space="preserve"> </w:t>
      </w:r>
      <w:r w:rsidRPr="001A4BAD">
        <w:rPr>
          <w:rFonts w:hint="cs"/>
          <w:b/>
          <w:bCs/>
          <w:sz w:val="18"/>
          <w:szCs w:val="18"/>
          <w:rtl/>
        </w:rPr>
        <w:t>לרש"י</w:t>
      </w:r>
      <w:r w:rsidRPr="001A4BAD">
        <w:rPr>
          <w:rFonts w:hint="cs"/>
          <w:sz w:val="18"/>
          <w:szCs w:val="18"/>
          <w:rtl/>
        </w:rPr>
        <w:t xml:space="preserve"> מותר לחפוף בלילה אלא שטוב יותר לחפוף ביום, לעומת זאת </w:t>
      </w:r>
      <w:r w:rsidRPr="001A4BAD">
        <w:rPr>
          <w:rFonts w:hint="cs"/>
          <w:b/>
          <w:bCs/>
          <w:sz w:val="18"/>
          <w:szCs w:val="18"/>
          <w:rtl/>
        </w:rPr>
        <w:t>לשאילתות</w:t>
      </w:r>
      <w:r w:rsidRPr="001A4BAD">
        <w:rPr>
          <w:rFonts w:hint="cs"/>
          <w:sz w:val="18"/>
          <w:szCs w:val="18"/>
          <w:rtl/>
        </w:rPr>
        <w:t xml:space="preserve"> מותר לחפוף ביום רק כשאין אפשרות לחפוף בלילה.</w:t>
      </w:r>
    </w:p>
  </w:footnote>
  <w:footnote w:id="716">
    <w:p w:rsidR="005953C5" w:rsidRDefault="005953C5" w:rsidP="00620060">
      <w:pPr>
        <w:pStyle w:val="a3"/>
      </w:pPr>
      <w:r w:rsidRPr="0088193B">
        <w:rPr>
          <w:rStyle w:val="a5"/>
          <w:sz w:val="18"/>
          <w:szCs w:val="18"/>
        </w:rPr>
        <w:footnoteRef/>
      </w:r>
      <w:r w:rsidRPr="0088193B">
        <w:rPr>
          <w:sz w:val="18"/>
          <w:szCs w:val="18"/>
          <w:rtl/>
        </w:rPr>
        <w:t xml:space="preserve"> </w:t>
      </w:r>
      <w:r w:rsidRPr="0088193B">
        <w:rPr>
          <w:rFonts w:hint="cs"/>
          <w:b/>
          <w:bCs/>
          <w:sz w:val="18"/>
          <w:szCs w:val="18"/>
          <w:rtl/>
        </w:rPr>
        <w:t>ט"ז</w:t>
      </w:r>
      <w:r w:rsidRPr="0088193B">
        <w:rPr>
          <w:rFonts w:hint="cs"/>
          <w:sz w:val="18"/>
          <w:szCs w:val="18"/>
          <w:rtl/>
        </w:rPr>
        <w:t xml:space="preserve"> </w:t>
      </w:r>
      <w:r w:rsidRPr="0088193B">
        <w:rPr>
          <w:sz w:val="18"/>
          <w:szCs w:val="18"/>
          <w:rtl/>
        </w:rPr>
        <w:t>–</w:t>
      </w:r>
      <w:r w:rsidRPr="0088193B">
        <w:rPr>
          <w:rFonts w:hint="cs"/>
          <w:sz w:val="18"/>
          <w:szCs w:val="18"/>
          <w:rtl/>
        </w:rPr>
        <w:t xml:space="preserve"> אך תעיין בגופה סמוך לטבילה.</w:t>
      </w:r>
    </w:p>
  </w:footnote>
  <w:footnote w:id="717">
    <w:p w:rsidR="005953C5" w:rsidRDefault="005953C5" w:rsidP="00620060">
      <w:pPr>
        <w:pStyle w:val="a3"/>
        <w:rPr>
          <w:rtl/>
        </w:rPr>
      </w:pPr>
      <w:r w:rsidRPr="00164CB4">
        <w:rPr>
          <w:rStyle w:val="a5"/>
          <w:sz w:val="18"/>
          <w:szCs w:val="18"/>
        </w:rPr>
        <w:footnoteRef/>
      </w:r>
      <w:r w:rsidRPr="00164CB4">
        <w:rPr>
          <w:sz w:val="18"/>
          <w:szCs w:val="18"/>
          <w:rtl/>
        </w:rPr>
        <w:t xml:space="preserve"> </w:t>
      </w:r>
      <w:r w:rsidRPr="00164CB4">
        <w:rPr>
          <w:rFonts w:hint="cs"/>
          <w:sz w:val="18"/>
          <w:szCs w:val="18"/>
          <w:rtl/>
        </w:rPr>
        <w:t xml:space="preserve">הסבר הסעיף ע"פ </w:t>
      </w:r>
      <w:r w:rsidRPr="00164CB4">
        <w:rPr>
          <w:rFonts w:hint="cs"/>
          <w:b/>
          <w:bCs/>
          <w:sz w:val="18"/>
          <w:szCs w:val="18"/>
          <w:rtl/>
        </w:rPr>
        <w:t>הגר"א</w:t>
      </w:r>
      <w:r w:rsidRPr="00164CB4">
        <w:rPr>
          <w:rFonts w:hint="cs"/>
          <w:sz w:val="18"/>
          <w:szCs w:val="18"/>
          <w:rtl/>
        </w:rPr>
        <w:t xml:space="preserve"> - </w:t>
      </w:r>
      <w:r w:rsidRPr="00164CB4">
        <w:rPr>
          <w:rFonts w:cs="Arial"/>
          <w:sz w:val="18"/>
          <w:szCs w:val="18"/>
          <w:rtl/>
        </w:rPr>
        <w:t>חפיפה צריכה להיות לכתח</w:t>
      </w:r>
      <w:r w:rsidRPr="00164CB4">
        <w:rPr>
          <w:rFonts w:cs="Arial" w:hint="cs"/>
          <w:sz w:val="18"/>
          <w:szCs w:val="18"/>
          <w:rtl/>
        </w:rPr>
        <w:t>י</w:t>
      </w:r>
      <w:r w:rsidRPr="00164CB4">
        <w:rPr>
          <w:rFonts w:cs="Arial"/>
          <w:sz w:val="18"/>
          <w:szCs w:val="18"/>
          <w:rtl/>
        </w:rPr>
        <w:t>לה סמוך לטבילתה</w:t>
      </w:r>
      <w:r w:rsidRPr="00164CB4">
        <w:rPr>
          <w:rFonts w:cs="Arial" w:hint="cs"/>
          <w:sz w:val="18"/>
          <w:szCs w:val="18"/>
          <w:rtl/>
        </w:rPr>
        <w:t xml:space="preserve"> </w:t>
      </w:r>
      <w:r w:rsidRPr="00164CB4">
        <w:rPr>
          <w:rFonts w:cs="Arial"/>
          <w:sz w:val="18"/>
          <w:szCs w:val="18"/>
          <w:rtl/>
        </w:rPr>
        <w:t>–</w:t>
      </w:r>
      <w:r w:rsidRPr="00164CB4">
        <w:rPr>
          <w:rFonts w:cs="Arial" w:hint="cs"/>
          <w:sz w:val="18"/>
          <w:szCs w:val="18"/>
          <w:rtl/>
        </w:rPr>
        <w:t xml:space="preserve"> כשאילתות.</w:t>
      </w:r>
      <w:r w:rsidRPr="00164CB4">
        <w:rPr>
          <w:rFonts w:cs="Arial"/>
          <w:sz w:val="18"/>
          <w:szCs w:val="18"/>
          <w:rtl/>
        </w:rPr>
        <w:t xml:space="preserve"> </w:t>
      </w:r>
      <w:r w:rsidRPr="00164CB4">
        <w:rPr>
          <w:rFonts w:cs="Arial" w:hint="cs"/>
          <w:sz w:val="18"/>
          <w:szCs w:val="18"/>
          <w:rtl/>
        </w:rPr>
        <w:br/>
      </w:r>
      <w:r w:rsidRPr="00164CB4">
        <w:rPr>
          <w:rFonts w:cs="Arial"/>
          <w:sz w:val="18"/>
          <w:szCs w:val="18"/>
          <w:rtl/>
        </w:rPr>
        <w:t>והמנהג הכשר שתתחיל לחוף מבעוד יום ועוסקת בחפיפה עד שתחשך, ואז תטבול</w:t>
      </w:r>
      <w:r w:rsidRPr="00164CB4">
        <w:rPr>
          <w:rFonts w:cs="Arial" w:hint="cs"/>
          <w:sz w:val="18"/>
          <w:szCs w:val="18"/>
          <w:rtl/>
        </w:rPr>
        <w:t xml:space="preserve"> </w:t>
      </w:r>
      <w:r w:rsidRPr="00164CB4">
        <w:rPr>
          <w:rFonts w:cs="Arial"/>
          <w:sz w:val="18"/>
          <w:szCs w:val="18"/>
          <w:rtl/>
        </w:rPr>
        <w:t>–</w:t>
      </w:r>
      <w:r w:rsidRPr="00164CB4">
        <w:rPr>
          <w:rFonts w:cs="Arial" w:hint="cs"/>
          <w:sz w:val="18"/>
          <w:szCs w:val="18"/>
          <w:rtl/>
        </w:rPr>
        <w:t xml:space="preserve"> לצאת ידי חובת שתי הדעות.</w:t>
      </w:r>
      <w:r>
        <w:rPr>
          <w:rFonts w:cs="Arial" w:hint="cs"/>
          <w:rtl/>
        </w:rPr>
        <w:br/>
      </w:r>
      <w:r w:rsidRPr="0062300C">
        <w:rPr>
          <w:rFonts w:cs="Arial"/>
          <w:sz w:val="18"/>
          <w:szCs w:val="18"/>
          <w:rtl/>
        </w:rPr>
        <w:t>הגה: ובשעת הדחק שצריכה לחוף ביום</w:t>
      </w:r>
      <w:r>
        <w:rPr>
          <w:rFonts w:cs="Arial" w:hint="cs"/>
          <w:sz w:val="18"/>
          <w:szCs w:val="18"/>
          <w:rtl/>
        </w:rPr>
        <w:t xml:space="preserve"> </w:t>
      </w:r>
      <w:r>
        <w:rPr>
          <w:rFonts w:cs="Arial"/>
          <w:sz w:val="18"/>
          <w:szCs w:val="18"/>
          <w:rtl/>
        </w:rPr>
        <w:t>–</w:t>
      </w:r>
      <w:r>
        <w:rPr>
          <w:rFonts w:cs="Arial" w:hint="cs"/>
          <w:sz w:val="18"/>
          <w:szCs w:val="18"/>
          <w:rtl/>
        </w:rPr>
        <w:t xml:space="preserve"> כן כתב הרמב"ם, ששעת הדחק היא לאו דווקא כשטבילתה בליל שבת שצריכה לחפוף מבעוד יום, אלא אפילו אם יש לה שעת הדחק פרטית מותרת להקדים את החפיפה ליום.</w:t>
      </w:r>
      <w:r>
        <w:rPr>
          <w:rFonts w:cs="Arial" w:hint="cs"/>
          <w:sz w:val="18"/>
          <w:szCs w:val="18"/>
          <w:rtl/>
        </w:rPr>
        <w:br/>
      </w:r>
      <w:r w:rsidRPr="0062300C">
        <w:rPr>
          <w:rFonts w:cs="Arial"/>
          <w:sz w:val="18"/>
          <w:szCs w:val="18"/>
          <w:rtl/>
        </w:rPr>
        <w:t>או שא</w:t>
      </w:r>
      <w:r w:rsidRPr="0062300C">
        <w:rPr>
          <w:rFonts w:cs="Arial" w:hint="cs"/>
          <w:sz w:val="18"/>
          <w:szCs w:val="18"/>
          <w:rtl/>
        </w:rPr>
        <w:t>י אפשר</w:t>
      </w:r>
      <w:r w:rsidRPr="0062300C">
        <w:rPr>
          <w:rFonts w:cs="Arial"/>
          <w:sz w:val="18"/>
          <w:szCs w:val="18"/>
          <w:rtl/>
        </w:rPr>
        <w:t xml:space="preserve"> לה לחוף ביום וצריכה לחוף בלילה, יכולה לעשות</w:t>
      </w:r>
      <w:r>
        <w:rPr>
          <w:rFonts w:cs="Arial" w:hint="cs"/>
          <w:sz w:val="18"/>
          <w:szCs w:val="18"/>
          <w:rtl/>
        </w:rPr>
        <w:t xml:space="preserve"> </w:t>
      </w:r>
      <w:r>
        <w:rPr>
          <w:rFonts w:cs="Arial"/>
          <w:sz w:val="18"/>
          <w:szCs w:val="18"/>
          <w:rtl/>
        </w:rPr>
        <w:t>–</w:t>
      </w:r>
      <w:r>
        <w:rPr>
          <w:rFonts w:cs="Arial" w:hint="cs"/>
          <w:sz w:val="18"/>
          <w:szCs w:val="18"/>
          <w:rtl/>
        </w:rPr>
        <w:t xml:space="preserve"> כדעת רש"י.</w:t>
      </w:r>
      <w:r w:rsidRPr="0062300C">
        <w:rPr>
          <w:rFonts w:cs="Arial"/>
          <w:sz w:val="18"/>
          <w:szCs w:val="18"/>
          <w:rtl/>
        </w:rPr>
        <w:t xml:space="preserve"> </w:t>
      </w:r>
    </w:p>
  </w:footnote>
  <w:footnote w:id="718">
    <w:p w:rsidR="005953C5" w:rsidRDefault="005953C5" w:rsidP="00620060">
      <w:pPr>
        <w:pStyle w:val="a3"/>
      </w:pPr>
      <w:r>
        <w:rPr>
          <w:rStyle w:val="a5"/>
        </w:rPr>
        <w:footnoteRef/>
      </w:r>
      <w:r>
        <w:rPr>
          <w:rtl/>
        </w:rPr>
        <w:t xml:space="preserve"> </w:t>
      </w:r>
      <w:r w:rsidRPr="0088193B">
        <w:rPr>
          <w:rFonts w:asciiTheme="minorBidi" w:hAnsiTheme="minorBidi"/>
          <w:sz w:val="18"/>
          <w:szCs w:val="18"/>
          <w:rtl/>
        </w:rPr>
        <w:t xml:space="preserve">מנהג </w:t>
      </w:r>
      <w:r>
        <w:rPr>
          <w:rFonts w:asciiTheme="minorBidi" w:hAnsiTheme="minorBidi" w:hint="cs"/>
          <w:sz w:val="18"/>
          <w:szCs w:val="18"/>
          <w:rtl/>
        </w:rPr>
        <w:t>זה</w:t>
      </w:r>
      <w:r w:rsidRPr="0088193B">
        <w:rPr>
          <w:rFonts w:asciiTheme="minorBidi" w:hAnsiTheme="minorBidi"/>
          <w:sz w:val="18"/>
          <w:szCs w:val="18"/>
          <w:rtl/>
        </w:rPr>
        <w:t xml:space="preserve"> כולל </w:t>
      </w:r>
      <w:r>
        <w:rPr>
          <w:rFonts w:asciiTheme="minorBidi" w:hAnsiTheme="minorBidi" w:hint="cs"/>
          <w:sz w:val="18"/>
          <w:szCs w:val="18"/>
          <w:rtl/>
        </w:rPr>
        <w:t xml:space="preserve">את </w:t>
      </w:r>
      <w:r w:rsidRPr="0088193B">
        <w:rPr>
          <w:rFonts w:asciiTheme="minorBidi" w:hAnsiTheme="minorBidi"/>
          <w:sz w:val="18"/>
          <w:szCs w:val="18"/>
          <w:rtl/>
        </w:rPr>
        <w:t>גזיזת הצפורניים ולא שתשב שעה במים.</w:t>
      </w:r>
    </w:p>
  </w:footnote>
  <w:footnote w:id="719">
    <w:p w:rsidR="005953C5" w:rsidRDefault="005953C5" w:rsidP="00620060">
      <w:pPr>
        <w:pStyle w:val="a3"/>
      </w:pPr>
      <w:r w:rsidRPr="00E61E63">
        <w:rPr>
          <w:rStyle w:val="a5"/>
          <w:sz w:val="18"/>
          <w:szCs w:val="18"/>
        </w:rPr>
        <w:footnoteRef/>
      </w:r>
      <w:r w:rsidRPr="00E61E63">
        <w:rPr>
          <w:sz w:val="18"/>
          <w:szCs w:val="18"/>
          <w:rtl/>
        </w:rPr>
        <w:t xml:space="preserve"> </w:t>
      </w:r>
      <w:r w:rsidRPr="00E61E63">
        <w:rPr>
          <w:rFonts w:hint="cs"/>
          <w:b/>
          <w:bCs/>
          <w:sz w:val="18"/>
          <w:szCs w:val="18"/>
          <w:rtl/>
        </w:rPr>
        <w:t xml:space="preserve">כלבו </w:t>
      </w:r>
      <w:r w:rsidRPr="00E61E63">
        <w:rPr>
          <w:sz w:val="18"/>
          <w:szCs w:val="18"/>
          <w:rtl/>
        </w:rPr>
        <w:t>–</w:t>
      </w:r>
      <w:r w:rsidRPr="00E61E63">
        <w:rPr>
          <w:rFonts w:hint="cs"/>
          <w:sz w:val="18"/>
          <w:szCs w:val="18"/>
          <w:rtl/>
        </w:rPr>
        <w:t xml:space="preserve"> "</w:t>
      </w:r>
      <w:r w:rsidRPr="00E61E63">
        <w:rPr>
          <w:rFonts w:cs="Arial"/>
          <w:sz w:val="18"/>
          <w:szCs w:val="18"/>
          <w:rtl/>
        </w:rPr>
        <w:t>אני תמה היאך אשה יכולה לטבול בליל שבת ויום טוב והיאך תנצל מסחיטת שער</w:t>
      </w:r>
      <w:r w:rsidRPr="00E61E63">
        <w:rPr>
          <w:rFonts w:cs="Arial" w:hint="cs"/>
          <w:sz w:val="18"/>
          <w:szCs w:val="18"/>
          <w:rtl/>
        </w:rPr>
        <w:t>?</w:t>
      </w:r>
      <w:r w:rsidRPr="00E61E63">
        <w:rPr>
          <w:rFonts w:cs="Arial"/>
          <w:sz w:val="18"/>
          <w:szCs w:val="18"/>
          <w:rtl/>
        </w:rPr>
        <w:t xml:space="preserve"> ולכך אני אומר שראויה הטבילה לידחות עד מוצאי שבת ויום טוב</w:t>
      </w:r>
      <w:r w:rsidRPr="00E61E63">
        <w:rPr>
          <w:rFonts w:cs="Arial" w:hint="cs"/>
          <w:sz w:val="18"/>
          <w:szCs w:val="18"/>
          <w:rtl/>
        </w:rPr>
        <w:t>".</w:t>
      </w:r>
      <w:r w:rsidRPr="00E61E63">
        <w:rPr>
          <w:rFonts w:cs="Arial"/>
          <w:sz w:val="18"/>
          <w:szCs w:val="18"/>
          <w:rtl/>
        </w:rPr>
        <w:br/>
      </w:r>
      <w:r w:rsidRPr="00E61E63">
        <w:rPr>
          <w:rFonts w:cs="Arial" w:hint="cs"/>
          <w:b/>
          <w:bCs/>
          <w:sz w:val="18"/>
          <w:szCs w:val="18"/>
          <w:rtl/>
        </w:rPr>
        <w:t>בית יוסף</w:t>
      </w:r>
      <w:r w:rsidRPr="00E61E63">
        <w:rPr>
          <w:rFonts w:cs="Arial" w:hint="cs"/>
          <w:sz w:val="18"/>
          <w:szCs w:val="18"/>
          <w:rtl/>
        </w:rPr>
        <w:t xml:space="preserve"> </w:t>
      </w:r>
      <w:r w:rsidRPr="00E61E63">
        <w:rPr>
          <w:rFonts w:cs="Arial"/>
          <w:sz w:val="18"/>
          <w:szCs w:val="18"/>
          <w:rtl/>
        </w:rPr>
        <w:t>–</w:t>
      </w:r>
      <w:r w:rsidRPr="00E61E63">
        <w:rPr>
          <w:rFonts w:cs="Arial" w:hint="cs"/>
          <w:sz w:val="18"/>
          <w:szCs w:val="18"/>
          <w:rtl/>
        </w:rPr>
        <w:t xml:space="preserve"> אע"פ שגם </w:t>
      </w:r>
      <w:r w:rsidRPr="00E61E63">
        <w:rPr>
          <w:rFonts w:cs="Arial" w:hint="cs"/>
          <w:b/>
          <w:bCs/>
          <w:sz w:val="18"/>
          <w:szCs w:val="18"/>
          <w:rtl/>
        </w:rPr>
        <w:t>הראב"ד</w:t>
      </w:r>
      <w:r w:rsidRPr="00E61E63">
        <w:rPr>
          <w:rFonts w:cs="Arial" w:hint="cs"/>
          <w:sz w:val="18"/>
          <w:szCs w:val="18"/>
          <w:rtl/>
        </w:rPr>
        <w:t xml:space="preserve"> כתב כך, אין לדחות את דברי כל הראשונים שהתירו לטבול בשבת. ולעניין סחיטה יש ליישב ע"פ דברי </w:t>
      </w:r>
      <w:r w:rsidRPr="00E61E63">
        <w:rPr>
          <w:rFonts w:cs="Arial" w:hint="cs"/>
          <w:b/>
          <w:bCs/>
          <w:sz w:val="18"/>
          <w:szCs w:val="18"/>
          <w:rtl/>
        </w:rPr>
        <w:t xml:space="preserve">הרמב"ם </w:t>
      </w:r>
      <w:r w:rsidRPr="00E61E63">
        <w:rPr>
          <w:rFonts w:cs="Arial" w:hint="cs"/>
          <w:sz w:val="18"/>
          <w:szCs w:val="18"/>
          <w:rtl/>
        </w:rPr>
        <w:t>ש</w:t>
      </w:r>
      <w:r>
        <w:rPr>
          <w:rFonts w:cs="Arial" w:hint="cs"/>
          <w:sz w:val="18"/>
          <w:szCs w:val="18"/>
          <w:rtl/>
        </w:rPr>
        <w:t>כתב ש</w:t>
      </w:r>
      <w:r w:rsidRPr="00E61E63">
        <w:rPr>
          <w:rFonts w:cs="Arial" w:hint="cs"/>
          <w:sz w:val="18"/>
          <w:szCs w:val="18"/>
          <w:rtl/>
        </w:rPr>
        <w:t xml:space="preserve">אין סחיטה </w:t>
      </w:r>
      <w:r w:rsidRPr="00244C87">
        <w:rPr>
          <w:rFonts w:cs="Arial" w:hint="cs"/>
          <w:sz w:val="16"/>
          <w:szCs w:val="16"/>
          <w:rtl/>
        </w:rPr>
        <w:t xml:space="preserve">בשער (אמנם, </w:t>
      </w:r>
      <w:r w:rsidRPr="00244C87">
        <w:rPr>
          <w:rFonts w:cs="Arial" w:hint="cs"/>
          <w:b/>
          <w:bCs/>
          <w:sz w:val="16"/>
          <w:szCs w:val="16"/>
          <w:rtl/>
        </w:rPr>
        <w:t>הבית יוסף</w:t>
      </w:r>
      <w:r w:rsidRPr="00244C87">
        <w:rPr>
          <w:rFonts w:cs="Arial" w:hint="cs"/>
          <w:sz w:val="16"/>
          <w:szCs w:val="16"/>
          <w:rtl/>
        </w:rPr>
        <w:t xml:space="preserve"> באו"ח סימן של' כתב שאף לדעת </w:t>
      </w:r>
      <w:r w:rsidRPr="00244C87">
        <w:rPr>
          <w:rFonts w:cs="Arial" w:hint="cs"/>
          <w:b/>
          <w:bCs/>
          <w:sz w:val="16"/>
          <w:szCs w:val="16"/>
          <w:rtl/>
        </w:rPr>
        <w:t>הרמב"ם</w:t>
      </w:r>
      <w:r w:rsidRPr="00244C87">
        <w:rPr>
          <w:rFonts w:cs="Arial" w:hint="cs"/>
          <w:sz w:val="16"/>
          <w:szCs w:val="16"/>
          <w:rtl/>
        </w:rPr>
        <w:t xml:space="preserve"> יש איסור סחיטה בשער, ומשמע מדרבנן)</w:t>
      </w:r>
      <w:r w:rsidRPr="00E61E63">
        <w:rPr>
          <w:rFonts w:cs="Arial" w:hint="cs"/>
          <w:sz w:val="18"/>
          <w:szCs w:val="18"/>
          <w:rtl/>
        </w:rPr>
        <w:t>.</w:t>
      </w:r>
      <w:r w:rsidRPr="00E61E63">
        <w:rPr>
          <w:rFonts w:cs="Arial"/>
          <w:sz w:val="18"/>
          <w:szCs w:val="18"/>
          <w:rtl/>
        </w:rPr>
        <w:t xml:space="preserve"> </w:t>
      </w:r>
      <w:r w:rsidRPr="00E61E63">
        <w:rPr>
          <w:rFonts w:hint="cs"/>
          <w:sz w:val="18"/>
          <w:szCs w:val="18"/>
          <w:rtl/>
        </w:rPr>
        <w:t xml:space="preserve"> </w:t>
      </w:r>
    </w:p>
  </w:footnote>
  <w:footnote w:id="720">
    <w:p w:rsidR="005953C5" w:rsidRDefault="005953C5" w:rsidP="00620060">
      <w:pPr>
        <w:pStyle w:val="a3"/>
      </w:pPr>
      <w:r w:rsidRPr="00A2445A">
        <w:rPr>
          <w:rStyle w:val="a5"/>
          <w:sz w:val="18"/>
          <w:szCs w:val="18"/>
        </w:rPr>
        <w:footnoteRef/>
      </w:r>
      <w:r w:rsidRPr="00A2445A">
        <w:rPr>
          <w:sz w:val="18"/>
          <w:szCs w:val="18"/>
          <w:rtl/>
        </w:rPr>
        <w:t xml:space="preserve"> </w:t>
      </w:r>
      <w:r w:rsidRPr="00A2445A">
        <w:rPr>
          <w:rFonts w:hint="cs"/>
          <w:b/>
          <w:bCs/>
          <w:sz w:val="18"/>
          <w:szCs w:val="18"/>
          <w:rtl/>
        </w:rPr>
        <w:t>גמרא</w:t>
      </w:r>
      <w:r w:rsidRPr="00A2445A">
        <w:rPr>
          <w:rFonts w:hint="cs"/>
          <w:sz w:val="18"/>
          <w:szCs w:val="18"/>
          <w:rtl/>
        </w:rPr>
        <w:t xml:space="preserve"> נידה (סח.) "</w:t>
      </w:r>
      <w:r w:rsidRPr="00A2445A">
        <w:rPr>
          <w:rFonts w:cs="Arial"/>
          <w:sz w:val="18"/>
          <w:szCs w:val="18"/>
          <w:rtl/>
        </w:rPr>
        <w:t>הדר אוקי רבא אמורא עליה ודרש: דברים שאמרתי לפניכם טעות הן בידי, ברם כך אמרו משמיה דרבי יוחנן אשה לא תחוף בערב שבת ותטבול במוצאי שבת, ותמה על עצמך היאך חופפת ביום וטובלת בלילה - הא בעינן סמוך לחפיפה טבילה וליכא! והלכתא: אשה חופפת ביום וטובלת בלילה. והלכתא: אשה לא תחוף אלא בלילה. (אלא) קשיא הלכתא אהלכתא! לא קשיא, הא - דאפשר, הא - דלא אפשר</w:t>
      </w:r>
      <w:r w:rsidRPr="00A2445A">
        <w:rPr>
          <w:rFonts w:cs="Arial" w:hint="cs"/>
          <w:sz w:val="18"/>
          <w:szCs w:val="18"/>
          <w:rtl/>
        </w:rPr>
        <w:t>".</w:t>
      </w:r>
      <w:r w:rsidRPr="00A2445A">
        <w:rPr>
          <w:rFonts w:cs="Arial"/>
          <w:sz w:val="18"/>
          <w:szCs w:val="18"/>
          <w:rtl/>
        </w:rPr>
        <w:br/>
      </w:r>
      <w:r w:rsidRPr="00A2445A">
        <w:rPr>
          <w:rFonts w:cs="Arial" w:hint="cs"/>
          <w:b/>
          <w:bCs/>
          <w:sz w:val="18"/>
          <w:szCs w:val="18"/>
          <w:rtl/>
        </w:rPr>
        <w:t>בית יוסף</w:t>
      </w:r>
      <w:r w:rsidRPr="00A2445A">
        <w:rPr>
          <w:rFonts w:cs="Arial" w:hint="cs"/>
          <w:sz w:val="18"/>
          <w:szCs w:val="18"/>
          <w:rtl/>
        </w:rPr>
        <w:t xml:space="preserve"> </w:t>
      </w:r>
      <w:r w:rsidRPr="00A2445A">
        <w:rPr>
          <w:rFonts w:cs="Arial"/>
          <w:sz w:val="18"/>
          <w:szCs w:val="18"/>
          <w:rtl/>
        </w:rPr>
        <w:t>–</w:t>
      </w:r>
      <w:r w:rsidRPr="00A2445A">
        <w:rPr>
          <w:rFonts w:cs="Arial" w:hint="cs"/>
          <w:sz w:val="18"/>
          <w:szCs w:val="18"/>
          <w:rtl/>
        </w:rPr>
        <w:t xml:space="preserve"> הרמב"ם מבין שגם כש"אי אפשר" והתירו להרחיק חפיפה מטבילה, התירו רק הרחקת יום אחד שהרי הדיון בגמרא נסוב סביב הרחקת יום אחד</w:t>
      </w:r>
      <w:r w:rsidRPr="00A2445A">
        <w:rPr>
          <w:rFonts w:hint="cs"/>
          <w:sz w:val="18"/>
          <w:szCs w:val="18"/>
          <w:rtl/>
        </w:rPr>
        <w:t xml:space="preserve"> ותו לא.</w:t>
      </w:r>
    </w:p>
  </w:footnote>
  <w:footnote w:id="721">
    <w:p w:rsidR="005953C5" w:rsidRPr="003C2561" w:rsidRDefault="005953C5" w:rsidP="00620060">
      <w:pPr>
        <w:pStyle w:val="a3"/>
        <w:rPr>
          <w:sz w:val="18"/>
          <w:szCs w:val="18"/>
        </w:rPr>
      </w:pPr>
      <w:r w:rsidRPr="003C2561">
        <w:rPr>
          <w:rStyle w:val="a5"/>
          <w:sz w:val="18"/>
          <w:szCs w:val="18"/>
        </w:rPr>
        <w:footnoteRef/>
      </w:r>
      <w:r w:rsidRPr="003C2561">
        <w:rPr>
          <w:sz w:val="18"/>
          <w:szCs w:val="18"/>
          <w:rtl/>
        </w:rPr>
        <w:t xml:space="preserve"> </w:t>
      </w:r>
      <w:r w:rsidRPr="003C2561">
        <w:rPr>
          <w:rFonts w:hint="cs"/>
          <w:sz w:val="18"/>
          <w:szCs w:val="18"/>
          <w:rtl/>
        </w:rPr>
        <w:t xml:space="preserve">האחרונים יישבו את דברי הטור, שוודאי גם הוא מודה שיש חיוב לעיין בשעת הטבילה ומכל מקום יש להיזהר כנ"ל - </w:t>
      </w:r>
      <w:r w:rsidRPr="003C2561">
        <w:rPr>
          <w:sz w:val="18"/>
          <w:szCs w:val="18"/>
          <w:rtl/>
        </w:rPr>
        <w:br/>
      </w:r>
      <w:r w:rsidRPr="003C2561">
        <w:rPr>
          <w:rFonts w:hint="cs"/>
          <w:b/>
          <w:bCs/>
          <w:sz w:val="18"/>
          <w:szCs w:val="18"/>
          <w:rtl/>
        </w:rPr>
        <w:t>ש"ך</w:t>
      </w:r>
      <w:r>
        <w:rPr>
          <w:rFonts w:hint="cs"/>
          <w:sz w:val="18"/>
          <w:szCs w:val="18"/>
          <w:rtl/>
        </w:rPr>
        <w:t xml:space="preserve"> - </w:t>
      </w:r>
      <w:r w:rsidRPr="003C2561">
        <w:rPr>
          <w:rFonts w:hint="cs"/>
          <w:sz w:val="18"/>
          <w:szCs w:val="18"/>
          <w:rtl/>
        </w:rPr>
        <w:t>צריכה להיזהר מלגעת בדבר חוצץ</w:t>
      </w:r>
      <w:r>
        <w:rPr>
          <w:rFonts w:hint="cs"/>
          <w:sz w:val="18"/>
          <w:szCs w:val="18"/>
          <w:rtl/>
        </w:rPr>
        <w:t xml:space="preserve"> </w:t>
      </w:r>
      <w:r w:rsidRPr="003C2561">
        <w:rPr>
          <w:rFonts w:hint="cs"/>
          <w:sz w:val="18"/>
          <w:szCs w:val="18"/>
          <w:rtl/>
        </w:rPr>
        <w:t xml:space="preserve">שמא תשכח לעיין סמוך לטבילה. </w:t>
      </w:r>
      <w:r>
        <w:rPr>
          <w:sz w:val="18"/>
          <w:szCs w:val="18"/>
          <w:rtl/>
        </w:rPr>
        <w:br/>
      </w:r>
      <w:r w:rsidRPr="003C2561">
        <w:rPr>
          <w:rFonts w:hint="cs"/>
          <w:b/>
          <w:bCs/>
          <w:sz w:val="18"/>
          <w:szCs w:val="18"/>
          <w:rtl/>
        </w:rPr>
        <w:t>ט"ז</w:t>
      </w:r>
      <w:r w:rsidRPr="003C2561">
        <w:rPr>
          <w:rFonts w:hint="cs"/>
          <w:sz w:val="18"/>
          <w:szCs w:val="18"/>
          <w:rtl/>
        </w:rPr>
        <w:t xml:space="preserve"> </w:t>
      </w:r>
      <w:r>
        <w:rPr>
          <w:rFonts w:hint="cs"/>
          <w:sz w:val="18"/>
          <w:szCs w:val="18"/>
          <w:rtl/>
        </w:rPr>
        <w:t xml:space="preserve">- </w:t>
      </w:r>
      <w:r w:rsidRPr="003C2561">
        <w:rPr>
          <w:rFonts w:hint="cs"/>
          <w:sz w:val="18"/>
          <w:szCs w:val="18"/>
          <w:rtl/>
        </w:rPr>
        <w:t>מכיוון שאינה חופפת במוצ"ש וסומכת על חפיפת יום חול, צריכה להיזהר מכל דבר חוצץ.</w:t>
      </w:r>
    </w:p>
  </w:footnote>
  <w:footnote w:id="722">
    <w:p w:rsidR="005953C5" w:rsidRDefault="005953C5" w:rsidP="00620060">
      <w:pPr>
        <w:pStyle w:val="a3"/>
        <w:rPr>
          <w:rtl/>
        </w:rPr>
      </w:pPr>
      <w:r w:rsidRPr="00F64699">
        <w:rPr>
          <w:rStyle w:val="a5"/>
          <w:sz w:val="18"/>
          <w:szCs w:val="18"/>
        </w:rPr>
        <w:footnoteRef/>
      </w:r>
      <w:r w:rsidRPr="00F64699">
        <w:rPr>
          <w:sz w:val="18"/>
          <w:szCs w:val="18"/>
          <w:rtl/>
        </w:rPr>
        <w:t xml:space="preserve"> </w:t>
      </w:r>
      <w:r w:rsidRPr="00F64699">
        <w:rPr>
          <w:rFonts w:hint="cs"/>
          <w:b/>
          <w:bCs/>
          <w:sz w:val="18"/>
          <w:szCs w:val="18"/>
          <w:rtl/>
        </w:rPr>
        <w:t>הבית יוסף</w:t>
      </w:r>
      <w:r w:rsidRPr="00F64699">
        <w:rPr>
          <w:rFonts w:hint="cs"/>
          <w:sz w:val="18"/>
          <w:szCs w:val="18"/>
          <w:rtl/>
        </w:rPr>
        <w:t xml:space="preserve"> מנסה ליישב את מנהג הנשים הנ"ל - </w:t>
      </w:r>
      <w:r w:rsidRPr="00F64699">
        <w:rPr>
          <w:sz w:val="18"/>
          <w:szCs w:val="18"/>
          <w:rtl/>
        </w:rPr>
        <w:br/>
      </w:r>
      <w:r w:rsidRPr="00F64699">
        <w:rPr>
          <w:rFonts w:hint="cs"/>
          <w:sz w:val="18"/>
          <w:szCs w:val="18"/>
          <w:rtl/>
        </w:rPr>
        <w:t>א. ס"ל כמ"ד שעיון הגוף אינו דאורייתא אלא תקנת עזרא, ואם כן עיון נעשה בשעת החפיפה ואין להפרידם.</w:t>
      </w:r>
      <w:r w:rsidRPr="00F64699">
        <w:rPr>
          <w:sz w:val="18"/>
          <w:szCs w:val="18"/>
          <w:rtl/>
        </w:rPr>
        <w:br/>
      </w:r>
      <w:r w:rsidRPr="00F64699">
        <w:rPr>
          <w:rFonts w:hint="cs"/>
          <w:sz w:val="18"/>
          <w:szCs w:val="18"/>
          <w:rtl/>
        </w:rPr>
        <w:t>ב. ס"ל כמ"ד עיון הגוף דאורייתא, אלא שרגילות לעיין בשעת חפיפה, וכעת שהרחיקו את החפיפה יש לחשוש שישכחו לעיין, ולכן הנהיגו לעיין בשעת חפיפה ולהיזהר מנגיעה בתבשיל.</w:t>
      </w:r>
    </w:p>
  </w:footnote>
  <w:footnote w:id="723">
    <w:p w:rsidR="005953C5" w:rsidRDefault="005953C5" w:rsidP="00620060">
      <w:pPr>
        <w:pStyle w:val="a3"/>
        <w:rPr>
          <w:rtl/>
        </w:rPr>
      </w:pPr>
      <w:r w:rsidRPr="00FE5A98">
        <w:rPr>
          <w:rStyle w:val="a5"/>
          <w:sz w:val="18"/>
          <w:szCs w:val="18"/>
        </w:rPr>
        <w:footnoteRef/>
      </w:r>
      <w:r w:rsidRPr="00FE5A98">
        <w:rPr>
          <w:sz w:val="18"/>
          <w:szCs w:val="18"/>
          <w:rtl/>
        </w:rPr>
        <w:t xml:space="preserve"> </w:t>
      </w:r>
      <w:r w:rsidRPr="00FE5A98">
        <w:rPr>
          <w:rFonts w:hint="cs"/>
          <w:sz w:val="18"/>
          <w:szCs w:val="18"/>
          <w:rtl/>
        </w:rPr>
        <w:t xml:space="preserve">כך גם מיישב </w:t>
      </w:r>
      <w:r w:rsidRPr="00FE5A98">
        <w:rPr>
          <w:rFonts w:hint="cs"/>
          <w:b/>
          <w:bCs/>
          <w:sz w:val="18"/>
          <w:szCs w:val="18"/>
          <w:rtl/>
        </w:rPr>
        <w:t xml:space="preserve">הש"ך </w:t>
      </w:r>
      <w:r w:rsidRPr="00FE5A98">
        <w:rPr>
          <w:rFonts w:hint="cs"/>
          <w:sz w:val="18"/>
          <w:szCs w:val="18"/>
          <w:rtl/>
        </w:rPr>
        <w:t xml:space="preserve">את דברי </w:t>
      </w:r>
      <w:r w:rsidRPr="00FE5A98">
        <w:rPr>
          <w:rFonts w:hint="cs"/>
          <w:b/>
          <w:bCs/>
          <w:sz w:val="18"/>
          <w:szCs w:val="18"/>
          <w:rtl/>
        </w:rPr>
        <w:t xml:space="preserve">הטור </w:t>
      </w:r>
      <w:r w:rsidRPr="00FE5A98">
        <w:rPr>
          <w:rFonts w:hint="cs"/>
          <w:sz w:val="18"/>
          <w:szCs w:val="18"/>
          <w:rtl/>
        </w:rPr>
        <w:t xml:space="preserve">מקושיות </w:t>
      </w:r>
      <w:r w:rsidRPr="00FE5A98">
        <w:rPr>
          <w:rFonts w:hint="cs"/>
          <w:b/>
          <w:bCs/>
          <w:sz w:val="18"/>
          <w:szCs w:val="18"/>
          <w:rtl/>
        </w:rPr>
        <w:t>הבית יוסף</w:t>
      </w:r>
      <w:r w:rsidRPr="00FE5A98">
        <w:rPr>
          <w:rFonts w:hint="cs"/>
          <w:sz w:val="18"/>
          <w:szCs w:val="18"/>
          <w:rtl/>
        </w:rPr>
        <w:t xml:space="preserve">, שוודאי </w:t>
      </w:r>
      <w:r>
        <w:rPr>
          <w:rFonts w:hint="cs"/>
          <w:sz w:val="18"/>
          <w:szCs w:val="18"/>
          <w:rtl/>
        </w:rPr>
        <w:t xml:space="preserve">גם </w:t>
      </w:r>
      <w:r w:rsidRPr="00FE5A98">
        <w:rPr>
          <w:rFonts w:hint="cs"/>
          <w:sz w:val="18"/>
          <w:szCs w:val="18"/>
          <w:rtl/>
        </w:rPr>
        <w:t xml:space="preserve">כוונת </w:t>
      </w:r>
      <w:r w:rsidRPr="00FE5A98">
        <w:rPr>
          <w:rFonts w:hint="cs"/>
          <w:b/>
          <w:bCs/>
          <w:sz w:val="18"/>
          <w:szCs w:val="18"/>
          <w:rtl/>
        </w:rPr>
        <w:t xml:space="preserve">הטור </w:t>
      </w:r>
      <w:r w:rsidRPr="00FE5A98">
        <w:rPr>
          <w:rFonts w:hint="cs"/>
          <w:sz w:val="18"/>
          <w:szCs w:val="18"/>
          <w:rtl/>
        </w:rPr>
        <w:t xml:space="preserve">שצריך לעיין בשעת טבילה, אלא קמ"ל </w:t>
      </w:r>
      <w:r w:rsidRPr="00FE5A98">
        <w:rPr>
          <w:rFonts w:hint="cs"/>
          <w:b/>
          <w:bCs/>
          <w:sz w:val="18"/>
          <w:szCs w:val="18"/>
          <w:rtl/>
        </w:rPr>
        <w:t>הטור</w:t>
      </w:r>
      <w:r w:rsidRPr="00FE5A98">
        <w:rPr>
          <w:rFonts w:hint="cs"/>
          <w:sz w:val="18"/>
          <w:szCs w:val="18"/>
          <w:rtl/>
        </w:rPr>
        <w:t xml:space="preserve"> שאע"פ שחפפה ועיינה, צריכה לעיין שנית סמוך לטבילה.</w:t>
      </w:r>
      <w:r>
        <w:rPr>
          <w:rFonts w:hint="cs"/>
          <w:sz w:val="18"/>
          <w:szCs w:val="18"/>
          <w:rtl/>
        </w:rPr>
        <w:t xml:space="preserve"> ואמנם אעפ"כ צריכה להיזהר מלגעת בדבר חוצץ, שמא תשכח לעיין סמוך לטבילה. </w:t>
      </w:r>
      <w:r w:rsidRPr="009304B4">
        <w:rPr>
          <w:rFonts w:hint="cs"/>
          <w:b/>
          <w:bCs/>
          <w:sz w:val="18"/>
          <w:szCs w:val="18"/>
          <w:rtl/>
        </w:rPr>
        <w:t>והט"</w:t>
      </w:r>
      <w:r w:rsidRPr="003B1D29">
        <w:rPr>
          <w:rFonts w:hint="cs"/>
          <w:b/>
          <w:bCs/>
          <w:sz w:val="18"/>
          <w:szCs w:val="18"/>
          <w:rtl/>
        </w:rPr>
        <w:t>ז</w:t>
      </w:r>
      <w:r w:rsidRPr="003B1D29">
        <w:rPr>
          <w:rFonts w:hint="cs"/>
          <w:sz w:val="18"/>
          <w:szCs w:val="18"/>
          <w:rtl/>
        </w:rPr>
        <w:t xml:space="preserve"> יישב את דברי הטור, שמכיוון שאינה חופפת במוצ"ש וסומכת על חפיפת יום חול, צריכה להיזהר מכל דבר חוצץ.</w:t>
      </w:r>
    </w:p>
  </w:footnote>
  <w:footnote w:id="724">
    <w:p w:rsidR="005953C5" w:rsidRDefault="005953C5" w:rsidP="00620060">
      <w:pPr>
        <w:pStyle w:val="a3"/>
      </w:pPr>
      <w:r w:rsidRPr="00785B85">
        <w:rPr>
          <w:rStyle w:val="a5"/>
          <w:sz w:val="18"/>
          <w:szCs w:val="18"/>
        </w:rPr>
        <w:footnoteRef/>
      </w:r>
      <w:r w:rsidRPr="00785B85">
        <w:rPr>
          <w:sz w:val="18"/>
          <w:szCs w:val="18"/>
          <w:rtl/>
        </w:rPr>
        <w:t xml:space="preserve"> </w:t>
      </w:r>
      <w:r w:rsidRPr="00785B85">
        <w:rPr>
          <w:rFonts w:hint="cs"/>
          <w:b/>
          <w:bCs/>
          <w:sz w:val="18"/>
          <w:szCs w:val="18"/>
          <w:rtl/>
        </w:rPr>
        <w:t>ששבה"ל</w:t>
      </w:r>
      <w:r w:rsidRPr="00785B85">
        <w:rPr>
          <w:rFonts w:hint="cs"/>
          <w:sz w:val="18"/>
          <w:szCs w:val="18"/>
          <w:rtl/>
        </w:rPr>
        <w:t xml:space="preserve"> </w:t>
      </w:r>
      <w:r w:rsidRPr="00785B85">
        <w:rPr>
          <w:sz w:val="18"/>
          <w:szCs w:val="18"/>
          <w:rtl/>
        </w:rPr>
        <w:t>–</w:t>
      </w:r>
      <w:r w:rsidRPr="00785B85">
        <w:rPr>
          <w:rFonts w:hint="cs"/>
          <w:sz w:val="18"/>
          <w:szCs w:val="18"/>
          <w:rtl/>
        </w:rPr>
        <w:t xml:space="preserve"> טעם הדין הוא</w:t>
      </w:r>
      <w:r>
        <w:rPr>
          <w:rFonts w:hint="cs"/>
          <w:sz w:val="18"/>
          <w:szCs w:val="18"/>
          <w:rtl/>
        </w:rPr>
        <w:t>,</w:t>
      </w:r>
      <w:r w:rsidRPr="00785B85">
        <w:rPr>
          <w:rFonts w:hint="cs"/>
          <w:sz w:val="18"/>
          <w:szCs w:val="18"/>
          <w:rtl/>
        </w:rPr>
        <w:t xml:space="preserve"> משום שלב"ה אמרינן "מתוך שהותרה הבערה לצורך אוכל נפש, הותרה נמי שלא לצורך אוכל נפש". ואמנם בעינן דבר השווה לכל נפש, ורחצת כל הגוף או רובו אינה שווה לכל נפש, אך רחצת פיו"ר שווה לכל נפש.</w:t>
      </w:r>
      <w:r>
        <w:rPr>
          <w:rFonts w:hint="cs"/>
          <w:rtl/>
        </w:rPr>
        <w:t xml:space="preserve"> </w:t>
      </w:r>
      <w:r w:rsidRPr="00785B85">
        <w:rPr>
          <w:rFonts w:hint="cs"/>
          <w:sz w:val="18"/>
          <w:szCs w:val="18"/>
          <w:rtl/>
        </w:rPr>
        <w:t>ומהמחבר משמע שה"ה רחצת שאר אברים שאינם רוב הגוף שווה לכל נפש.</w:t>
      </w:r>
    </w:p>
  </w:footnote>
  <w:footnote w:id="725">
    <w:p w:rsidR="005953C5" w:rsidRDefault="005953C5" w:rsidP="00620060">
      <w:pPr>
        <w:pStyle w:val="a3"/>
        <w:rPr>
          <w:rtl/>
        </w:rPr>
      </w:pPr>
      <w:r w:rsidRPr="00EB0C2B">
        <w:rPr>
          <w:rStyle w:val="a5"/>
          <w:sz w:val="18"/>
          <w:szCs w:val="18"/>
        </w:rPr>
        <w:footnoteRef/>
      </w:r>
      <w:r w:rsidRPr="00EB0C2B">
        <w:rPr>
          <w:sz w:val="18"/>
          <w:szCs w:val="18"/>
          <w:rtl/>
        </w:rPr>
        <w:t xml:space="preserve"> </w:t>
      </w:r>
      <w:r w:rsidRPr="008D21D7">
        <w:rPr>
          <w:rFonts w:hint="cs"/>
          <w:sz w:val="18"/>
          <w:szCs w:val="18"/>
          <w:rtl/>
        </w:rPr>
        <w:t>לכאורה אין טעם זה מובן, שה</w:t>
      </w:r>
      <w:r>
        <w:rPr>
          <w:rFonts w:hint="cs"/>
          <w:sz w:val="18"/>
          <w:szCs w:val="18"/>
          <w:rtl/>
        </w:rPr>
        <w:t>רי</w:t>
      </w:r>
      <w:r w:rsidRPr="008D21D7">
        <w:rPr>
          <w:rFonts w:hint="cs"/>
          <w:sz w:val="18"/>
          <w:szCs w:val="18"/>
          <w:rtl/>
        </w:rPr>
        <w:t xml:space="preserve"> אלו הן שתי קולות שונות, האחת קול</w:t>
      </w:r>
      <w:r>
        <w:rPr>
          <w:rFonts w:hint="cs"/>
          <w:sz w:val="18"/>
          <w:szCs w:val="18"/>
          <w:rtl/>
        </w:rPr>
        <w:t>א</w:t>
      </w:r>
      <w:r w:rsidRPr="008D21D7">
        <w:rPr>
          <w:rFonts w:hint="cs"/>
          <w:sz w:val="18"/>
          <w:szCs w:val="18"/>
          <w:rtl/>
        </w:rPr>
        <w:t xml:space="preserve"> בטבילה והשנייה קול</w:t>
      </w:r>
      <w:r>
        <w:rPr>
          <w:rFonts w:hint="cs"/>
          <w:sz w:val="18"/>
          <w:szCs w:val="18"/>
          <w:rtl/>
        </w:rPr>
        <w:t>א</w:t>
      </w:r>
      <w:r w:rsidRPr="008D21D7">
        <w:rPr>
          <w:rFonts w:hint="cs"/>
          <w:sz w:val="18"/>
          <w:szCs w:val="18"/>
          <w:rtl/>
        </w:rPr>
        <w:t xml:space="preserve"> בחפיפה?</w:t>
      </w:r>
      <w:r w:rsidRPr="008D21D7">
        <w:rPr>
          <w:sz w:val="18"/>
          <w:szCs w:val="18"/>
          <w:rtl/>
        </w:rPr>
        <w:br/>
      </w:r>
      <w:r w:rsidRPr="008D21D7">
        <w:rPr>
          <w:rFonts w:hint="cs"/>
          <w:sz w:val="18"/>
          <w:szCs w:val="18"/>
          <w:rtl/>
        </w:rPr>
        <w:t xml:space="preserve">א. </w:t>
      </w:r>
      <w:r w:rsidRPr="008D21D7">
        <w:rPr>
          <w:rFonts w:hint="cs"/>
          <w:b/>
          <w:bCs/>
          <w:sz w:val="18"/>
          <w:szCs w:val="18"/>
          <w:rtl/>
        </w:rPr>
        <w:t>אור שמח</w:t>
      </w:r>
      <w:r w:rsidRPr="00EB0C2B">
        <w:rPr>
          <w:rFonts w:hint="cs"/>
          <w:sz w:val="18"/>
          <w:szCs w:val="18"/>
          <w:rtl/>
        </w:rPr>
        <w:t xml:space="preserve"> </w:t>
      </w:r>
      <w:r w:rsidRPr="00EB0C2B">
        <w:rPr>
          <w:sz w:val="18"/>
          <w:szCs w:val="18"/>
          <w:rtl/>
        </w:rPr>
        <w:t>–</w:t>
      </w:r>
      <w:r w:rsidRPr="00EB0C2B">
        <w:rPr>
          <w:rFonts w:hint="cs"/>
          <w:sz w:val="18"/>
          <w:szCs w:val="18"/>
          <w:rtl/>
        </w:rPr>
        <w:t xml:space="preserve"> ר"ת סובר כשאילתות שעיקר החפיפה בלילה. לולא הקולא של טבילת יום היתה דוחה את טבילתה וטובלת במוצ"ש לאחר חפיפה </w:t>
      </w:r>
      <w:r w:rsidRPr="00EB0C2B">
        <w:rPr>
          <w:rFonts w:hint="cs"/>
          <w:sz w:val="16"/>
          <w:szCs w:val="16"/>
          <w:rtl/>
        </w:rPr>
        <w:t>(או ביום א' סמוך לחפיפה)</w:t>
      </w:r>
      <w:r w:rsidRPr="00EB0C2B">
        <w:rPr>
          <w:rFonts w:hint="cs"/>
          <w:sz w:val="18"/>
          <w:szCs w:val="18"/>
          <w:rtl/>
        </w:rPr>
        <w:t xml:space="preserve"> ויוצא שרק בגלל שהקלנו לה לטבול ביום היא מרחיקה את החפיפה מטבילה.</w:t>
      </w:r>
      <w:r>
        <w:rPr>
          <w:rtl/>
        </w:rPr>
        <w:br/>
      </w:r>
      <w:r w:rsidRPr="008D21D7">
        <w:rPr>
          <w:rFonts w:hint="cs"/>
          <w:sz w:val="18"/>
          <w:szCs w:val="18"/>
          <w:rtl/>
        </w:rPr>
        <w:t xml:space="preserve">ב. </w:t>
      </w:r>
      <w:r w:rsidRPr="008D21D7">
        <w:rPr>
          <w:rFonts w:hint="cs"/>
          <w:b/>
          <w:bCs/>
          <w:sz w:val="18"/>
          <w:szCs w:val="18"/>
          <w:rtl/>
        </w:rPr>
        <w:t>שו"ת בגדי ישע</w:t>
      </w:r>
      <w:r w:rsidRPr="008D21D7">
        <w:rPr>
          <w:rFonts w:hint="cs"/>
          <w:sz w:val="18"/>
          <w:szCs w:val="18"/>
          <w:rtl/>
        </w:rPr>
        <w:t xml:space="preserve"> </w:t>
      </w:r>
      <w:r w:rsidRPr="008D21D7">
        <w:rPr>
          <w:sz w:val="18"/>
          <w:szCs w:val="18"/>
          <w:rtl/>
        </w:rPr>
        <w:t>–</w:t>
      </w:r>
      <w:r w:rsidRPr="008D21D7">
        <w:rPr>
          <w:rFonts w:hint="cs"/>
          <w:sz w:val="18"/>
          <w:szCs w:val="18"/>
          <w:rtl/>
        </w:rPr>
        <w:t xml:space="preserve"> כל קולא כאן היא מחמת שעת הדחק, שבשעת הדחק התירו לה להרחיק חפיפה מטבילה והתירו לה לטבול ביום. אם כן ראינו שבכוח שעה"ד לדחות גזירה אחת, אך אין ב</w:t>
      </w:r>
      <w:r>
        <w:rPr>
          <w:rFonts w:hint="cs"/>
          <w:sz w:val="18"/>
          <w:szCs w:val="18"/>
          <w:rtl/>
        </w:rPr>
        <w:t>כ</w:t>
      </w:r>
      <w:r w:rsidRPr="008D21D7">
        <w:rPr>
          <w:rFonts w:hint="cs"/>
          <w:sz w:val="18"/>
          <w:szCs w:val="18"/>
          <w:rtl/>
        </w:rPr>
        <w:t>וח שעה"</w:t>
      </w:r>
      <w:r>
        <w:rPr>
          <w:rFonts w:hint="cs"/>
          <w:sz w:val="18"/>
          <w:szCs w:val="18"/>
          <w:rtl/>
        </w:rPr>
        <w:t>ד</w:t>
      </w:r>
      <w:r w:rsidRPr="008D21D7">
        <w:rPr>
          <w:rFonts w:hint="cs"/>
          <w:sz w:val="18"/>
          <w:szCs w:val="18"/>
          <w:rtl/>
        </w:rPr>
        <w:t xml:space="preserve"> לדחות שתי גזרות.</w:t>
      </w:r>
      <w:r>
        <w:rPr>
          <w:rtl/>
        </w:rPr>
        <w:br/>
      </w:r>
      <w:r w:rsidRPr="00B002B6">
        <w:rPr>
          <w:rFonts w:hint="cs"/>
          <w:sz w:val="18"/>
          <w:szCs w:val="18"/>
          <w:rtl/>
        </w:rPr>
        <w:t xml:space="preserve">ג. בספר </w:t>
      </w:r>
      <w:r w:rsidRPr="00B002B6">
        <w:rPr>
          <w:rFonts w:hint="cs"/>
          <w:b/>
          <w:bCs/>
          <w:sz w:val="18"/>
          <w:szCs w:val="18"/>
          <w:rtl/>
        </w:rPr>
        <w:t>הי</w:t>
      </w:r>
      <w:r>
        <w:rPr>
          <w:rFonts w:hint="cs"/>
          <w:b/>
          <w:bCs/>
          <w:sz w:val="18"/>
          <w:szCs w:val="18"/>
          <w:rtl/>
        </w:rPr>
        <w:t>שר</w:t>
      </w:r>
      <w:r w:rsidRPr="00B002B6">
        <w:rPr>
          <w:rFonts w:hint="cs"/>
          <w:b/>
          <w:bCs/>
          <w:sz w:val="18"/>
          <w:szCs w:val="18"/>
          <w:rtl/>
        </w:rPr>
        <w:t xml:space="preserve"> לר"ת</w:t>
      </w:r>
      <w:r w:rsidRPr="00B002B6">
        <w:rPr>
          <w:rFonts w:hint="cs"/>
          <w:sz w:val="18"/>
          <w:szCs w:val="18"/>
          <w:rtl/>
        </w:rPr>
        <w:t xml:space="preserve"> נימק באופן הבא </w:t>
      </w:r>
      <w:r w:rsidRPr="00B002B6">
        <w:rPr>
          <w:sz w:val="18"/>
          <w:szCs w:val="18"/>
          <w:rtl/>
        </w:rPr>
        <w:t>–</w:t>
      </w:r>
      <w:r w:rsidRPr="00B002B6">
        <w:rPr>
          <w:rFonts w:hint="cs"/>
          <w:sz w:val="18"/>
          <w:szCs w:val="18"/>
          <w:rtl/>
        </w:rPr>
        <w:t xml:space="preserve"> התירו להרחיק חפיפה מטבילה רק כש</w:t>
      </w:r>
      <w:r>
        <w:rPr>
          <w:rFonts w:hint="cs"/>
          <w:sz w:val="18"/>
          <w:szCs w:val="18"/>
          <w:rtl/>
        </w:rPr>
        <w:t>'</w:t>
      </w:r>
      <w:r w:rsidRPr="00B002B6">
        <w:rPr>
          <w:rFonts w:hint="cs"/>
          <w:sz w:val="18"/>
          <w:szCs w:val="18"/>
          <w:rtl/>
        </w:rPr>
        <w:t>אי אפשר</w:t>
      </w:r>
      <w:r>
        <w:rPr>
          <w:rFonts w:hint="cs"/>
          <w:sz w:val="18"/>
          <w:szCs w:val="18"/>
          <w:rtl/>
        </w:rPr>
        <w:t>'</w:t>
      </w:r>
      <w:r w:rsidRPr="00B002B6">
        <w:rPr>
          <w:rFonts w:hint="cs"/>
          <w:sz w:val="18"/>
          <w:szCs w:val="18"/>
          <w:rtl/>
        </w:rPr>
        <w:t>, כגון שמוצ"ש הוא ליל יו"ט. אך בכה"ג אינו מקרי 'אי אפשר' להתיר הרחקת חפיפה מטבילה, שהרי שפיר אפשר לטבול בליל שבת.</w:t>
      </w:r>
    </w:p>
  </w:footnote>
  <w:footnote w:id="726">
    <w:p w:rsidR="005953C5" w:rsidRDefault="005953C5" w:rsidP="00620060">
      <w:pPr>
        <w:pStyle w:val="a3"/>
        <w:rPr>
          <w:rtl/>
        </w:rPr>
      </w:pPr>
      <w:r w:rsidRPr="007455AA">
        <w:rPr>
          <w:rStyle w:val="a5"/>
          <w:sz w:val="18"/>
          <w:szCs w:val="18"/>
        </w:rPr>
        <w:footnoteRef/>
      </w:r>
      <w:r w:rsidRPr="007455AA">
        <w:rPr>
          <w:sz w:val="18"/>
          <w:szCs w:val="18"/>
          <w:rtl/>
        </w:rPr>
        <w:t xml:space="preserve"> </w:t>
      </w:r>
      <w:r w:rsidRPr="007455AA">
        <w:rPr>
          <w:rFonts w:hint="cs"/>
          <w:sz w:val="18"/>
          <w:szCs w:val="18"/>
          <w:rtl/>
        </w:rPr>
        <w:t xml:space="preserve">בדברי </w:t>
      </w:r>
      <w:r w:rsidRPr="007455AA">
        <w:rPr>
          <w:rFonts w:hint="cs"/>
          <w:b/>
          <w:bCs/>
          <w:sz w:val="18"/>
          <w:szCs w:val="18"/>
          <w:rtl/>
        </w:rPr>
        <w:t>הרשב"א</w:t>
      </w:r>
      <w:r w:rsidRPr="007455AA">
        <w:rPr>
          <w:rFonts w:hint="cs"/>
          <w:sz w:val="18"/>
          <w:szCs w:val="18"/>
          <w:rtl/>
        </w:rPr>
        <w:t xml:space="preserve"> אין מקום להתלבט, משום שהוא כתב להדיא שהרחיקה חפיפה ועיון מטבילה ואפ"ה עלתה לה טבילה כשלא נמצא עליה דבר חוצץ. ברם, בדברי </w:t>
      </w:r>
      <w:r w:rsidRPr="007455AA">
        <w:rPr>
          <w:rFonts w:hint="cs"/>
          <w:b/>
          <w:bCs/>
          <w:sz w:val="18"/>
          <w:szCs w:val="18"/>
          <w:rtl/>
        </w:rPr>
        <w:t>הר"ן</w:t>
      </w:r>
      <w:r w:rsidRPr="007455AA">
        <w:rPr>
          <w:rFonts w:hint="cs"/>
          <w:sz w:val="18"/>
          <w:szCs w:val="18"/>
          <w:rtl/>
        </w:rPr>
        <w:t xml:space="preserve"> יש מקום לדון. </w:t>
      </w:r>
      <w:r w:rsidRPr="007455AA">
        <w:rPr>
          <w:rFonts w:hint="cs"/>
          <w:b/>
          <w:bCs/>
          <w:sz w:val="18"/>
          <w:szCs w:val="18"/>
          <w:rtl/>
        </w:rPr>
        <w:t>הר"ן</w:t>
      </w:r>
      <w:r w:rsidRPr="007455AA">
        <w:rPr>
          <w:rFonts w:hint="cs"/>
          <w:sz w:val="18"/>
          <w:szCs w:val="18"/>
          <w:rtl/>
        </w:rPr>
        <w:t xml:space="preserve"> מתייחס להרחקת חפיפה מטבילה וכותב שמרבא שמעינן שבדיעבד מהני, </w:t>
      </w:r>
      <w:r w:rsidRPr="007455AA">
        <w:rPr>
          <w:rFonts w:hint="cs"/>
          <w:b/>
          <w:bCs/>
          <w:sz w:val="18"/>
          <w:szCs w:val="18"/>
          <w:rtl/>
        </w:rPr>
        <w:t>כרשב"א</w:t>
      </w:r>
      <w:r w:rsidRPr="007455AA">
        <w:rPr>
          <w:rFonts w:hint="cs"/>
          <w:sz w:val="18"/>
          <w:szCs w:val="18"/>
          <w:rtl/>
        </w:rPr>
        <w:t xml:space="preserve">. אלא </w:t>
      </w:r>
      <w:r w:rsidRPr="007455AA">
        <w:rPr>
          <w:rFonts w:hint="cs"/>
          <w:b/>
          <w:bCs/>
          <w:sz w:val="18"/>
          <w:szCs w:val="18"/>
          <w:rtl/>
        </w:rPr>
        <w:t>שהר"ן</w:t>
      </w:r>
      <w:r w:rsidRPr="007455AA">
        <w:rPr>
          <w:rFonts w:hint="cs"/>
          <w:sz w:val="18"/>
          <w:szCs w:val="18"/>
          <w:rtl/>
        </w:rPr>
        <w:t xml:space="preserve"> לא כתב מאומה לגבי הרחקת עיון מטבילה, ולכאורה יש לומר שעיון מרוחק מטבילה מעכב אפילו בדיעבד למרות שלא נמצא עליה דבר חוצץ. ובפשט דברי רבא משמע טפי כהסבר זה. ברם, </w:t>
      </w:r>
      <w:r w:rsidRPr="007455AA">
        <w:rPr>
          <w:rFonts w:hint="cs"/>
          <w:b/>
          <w:bCs/>
          <w:sz w:val="18"/>
          <w:szCs w:val="18"/>
          <w:rtl/>
        </w:rPr>
        <w:t>הבית יוסף</w:t>
      </w:r>
      <w:r w:rsidRPr="007455AA">
        <w:rPr>
          <w:rFonts w:hint="cs"/>
          <w:sz w:val="18"/>
          <w:szCs w:val="18"/>
          <w:rtl/>
        </w:rPr>
        <w:t xml:space="preserve"> כרך את </w:t>
      </w:r>
      <w:r w:rsidRPr="007455AA">
        <w:rPr>
          <w:rFonts w:hint="cs"/>
          <w:b/>
          <w:bCs/>
          <w:sz w:val="18"/>
          <w:szCs w:val="18"/>
          <w:rtl/>
        </w:rPr>
        <w:t>הרשב"א והר"ן</w:t>
      </w:r>
      <w:r w:rsidRPr="007455AA">
        <w:rPr>
          <w:rFonts w:hint="cs"/>
          <w:sz w:val="18"/>
          <w:szCs w:val="18"/>
          <w:rtl/>
        </w:rPr>
        <w:t xml:space="preserve"> לשיטה אחת, משמע שס"ל דלא פליגי.</w:t>
      </w:r>
    </w:p>
  </w:footnote>
  <w:footnote w:id="727">
    <w:p w:rsidR="005953C5" w:rsidRDefault="005953C5" w:rsidP="00620060">
      <w:pPr>
        <w:pStyle w:val="a3"/>
        <w:rPr>
          <w:rtl/>
        </w:rPr>
      </w:pPr>
      <w:r w:rsidRPr="00D2398D">
        <w:rPr>
          <w:rStyle w:val="a5"/>
          <w:sz w:val="18"/>
          <w:szCs w:val="18"/>
        </w:rPr>
        <w:footnoteRef/>
      </w:r>
      <w:r w:rsidRPr="00D2398D">
        <w:rPr>
          <w:sz w:val="18"/>
          <w:szCs w:val="18"/>
          <w:rtl/>
        </w:rPr>
        <w:t xml:space="preserve"> </w:t>
      </w:r>
      <w:r w:rsidRPr="00D2398D">
        <w:rPr>
          <w:rFonts w:hint="cs"/>
          <w:sz w:val="18"/>
          <w:szCs w:val="18"/>
          <w:rtl/>
        </w:rPr>
        <w:t xml:space="preserve">ר"ן </w:t>
      </w:r>
      <w:r w:rsidRPr="00D2398D">
        <w:rPr>
          <w:sz w:val="18"/>
          <w:szCs w:val="18"/>
          <w:rtl/>
        </w:rPr>
        <w:t>–</w:t>
      </w:r>
      <w:r w:rsidRPr="00D2398D">
        <w:rPr>
          <w:rFonts w:hint="cs"/>
          <w:sz w:val="18"/>
          <w:szCs w:val="18"/>
          <w:rtl/>
        </w:rPr>
        <w:t xml:space="preserve"> כך יש ללמוד מהנפק"מ השנייה המובאת בגמרא הנ"ל: "</w:t>
      </w:r>
      <w:r w:rsidRPr="00D2398D">
        <w:rPr>
          <w:rFonts w:asciiTheme="minorBidi" w:hAnsiTheme="minorBidi" w:cs="Arial"/>
          <w:sz w:val="18"/>
          <w:szCs w:val="18"/>
          <w:rtl/>
        </w:rPr>
        <w:t>מיחף ביממא ולמטבל בליליא</w:t>
      </w:r>
      <w:r w:rsidRPr="00D2398D">
        <w:rPr>
          <w:rFonts w:asciiTheme="minorBidi" w:hAnsiTheme="minorBidi" w:cs="Arial" w:hint="cs"/>
          <w:sz w:val="18"/>
          <w:szCs w:val="18"/>
          <w:rtl/>
        </w:rPr>
        <w:t>", וסתם ולא פירש.</w:t>
      </w:r>
      <w:r>
        <w:rPr>
          <w:rFonts w:hint="cs"/>
          <w:rtl/>
        </w:rPr>
        <w:br/>
      </w:r>
      <w:r w:rsidRPr="00250DA5">
        <w:rPr>
          <w:rFonts w:hint="cs"/>
          <w:sz w:val="18"/>
          <w:szCs w:val="18"/>
          <w:rtl/>
        </w:rPr>
        <w:t xml:space="preserve">האחרונים התלבטו מהי כוונת הר"ן. </w:t>
      </w:r>
      <w:r w:rsidRPr="00250DA5">
        <w:rPr>
          <w:rFonts w:hint="cs"/>
          <w:b/>
          <w:bCs/>
          <w:sz w:val="18"/>
          <w:szCs w:val="18"/>
          <w:rtl/>
        </w:rPr>
        <w:t>מהר"ם</w:t>
      </w:r>
      <w:r w:rsidRPr="00250DA5">
        <w:rPr>
          <w:rFonts w:hint="cs"/>
          <w:sz w:val="18"/>
          <w:szCs w:val="18"/>
          <w:rtl/>
        </w:rPr>
        <w:t xml:space="preserve"> </w:t>
      </w:r>
      <w:r w:rsidRPr="00250DA5">
        <w:rPr>
          <w:sz w:val="18"/>
          <w:szCs w:val="18"/>
          <w:rtl/>
        </w:rPr>
        <w:t>–</w:t>
      </w:r>
      <w:r w:rsidRPr="00250DA5">
        <w:rPr>
          <w:rFonts w:hint="cs"/>
          <w:sz w:val="18"/>
          <w:szCs w:val="18"/>
          <w:rtl/>
        </w:rPr>
        <w:t xml:space="preserve"> דברי הר"ן אינם ברורים. ועיין בדברי </w:t>
      </w:r>
      <w:r w:rsidRPr="00250DA5">
        <w:rPr>
          <w:rFonts w:hint="cs"/>
          <w:b/>
          <w:bCs/>
          <w:sz w:val="18"/>
          <w:szCs w:val="18"/>
          <w:rtl/>
        </w:rPr>
        <w:t>המלאכת יו"ט</w:t>
      </w:r>
      <w:r w:rsidRPr="00250DA5">
        <w:rPr>
          <w:rFonts w:hint="cs"/>
          <w:sz w:val="18"/>
          <w:szCs w:val="18"/>
          <w:rtl/>
        </w:rPr>
        <w:t xml:space="preserve"> </w:t>
      </w:r>
      <w:r w:rsidRPr="00250DA5">
        <w:rPr>
          <w:rFonts w:hint="cs"/>
          <w:sz w:val="16"/>
          <w:szCs w:val="16"/>
          <w:rtl/>
        </w:rPr>
        <w:t>(הו"ד בילקוט מפרשים החדש על הרי"ף, מהדורת עוז והדר)</w:t>
      </w:r>
      <w:r w:rsidRPr="00250DA5">
        <w:rPr>
          <w:rFonts w:hint="cs"/>
          <w:sz w:val="18"/>
          <w:szCs w:val="18"/>
          <w:rtl/>
        </w:rPr>
        <w:t xml:space="preserve"> מה שכתב להסביר את דברי הר"ן ואכמ"ל.</w:t>
      </w:r>
    </w:p>
  </w:footnote>
  <w:footnote w:id="728">
    <w:p w:rsidR="005953C5" w:rsidRDefault="005953C5" w:rsidP="00620060">
      <w:pPr>
        <w:pStyle w:val="a3"/>
        <w:rPr>
          <w:rtl/>
        </w:rPr>
      </w:pPr>
      <w:r w:rsidRPr="005D733C">
        <w:rPr>
          <w:rStyle w:val="a5"/>
          <w:sz w:val="18"/>
          <w:szCs w:val="18"/>
        </w:rPr>
        <w:footnoteRef/>
      </w:r>
      <w:r>
        <w:rPr>
          <w:rFonts w:hint="cs"/>
          <w:sz w:val="18"/>
          <w:szCs w:val="18"/>
          <w:rtl/>
        </w:rPr>
        <w:t xml:space="preserve"> </w:t>
      </w:r>
      <w:r w:rsidRPr="005D733C">
        <w:rPr>
          <w:rFonts w:hint="cs"/>
          <w:b/>
          <w:bCs/>
          <w:sz w:val="18"/>
          <w:szCs w:val="18"/>
          <w:rtl/>
        </w:rPr>
        <w:t>בדה"ש</w:t>
      </w:r>
      <w:r w:rsidRPr="005D733C">
        <w:rPr>
          <w:sz w:val="18"/>
          <w:szCs w:val="18"/>
          <w:rtl/>
        </w:rPr>
        <w:t xml:space="preserve"> </w:t>
      </w:r>
      <w:r>
        <w:rPr>
          <w:rFonts w:hint="cs"/>
          <w:sz w:val="18"/>
          <w:szCs w:val="18"/>
          <w:rtl/>
        </w:rPr>
        <w:t xml:space="preserve">- </w:t>
      </w:r>
      <w:r w:rsidRPr="005D733C">
        <w:rPr>
          <w:rFonts w:hint="cs"/>
          <w:sz w:val="18"/>
          <w:szCs w:val="18"/>
          <w:rtl/>
        </w:rPr>
        <w:t>כלומר שחל ליל טבילתה ב</w:t>
      </w:r>
      <w:r>
        <w:rPr>
          <w:rFonts w:hint="cs"/>
          <w:sz w:val="18"/>
          <w:szCs w:val="18"/>
          <w:rtl/>
        </w:rPr>
        <w:t xml:space="preserve">ליל </w:t>
      </w:r>
      <w:r w:rsidRPr="005D733C">
        <w:rPr>
          <w:rFonts w:hint="cs"/>
          <w:sz w:val="18"/>
          <w:szCs w:val="18"/>
          <w:rtl/>
        </w:rPr>
        <w:t xml:space="preserve">יו"ט </w:t>
      </w:r>
      <w:r>
        <w:rPr>
          <w:rFonts w:hint="cs"/>
          <w:sz w:val="18"/>
          <w:szCs w:val="18"/>
          <w:rtl/>
        </w:rPr>
        <w:t>ו</w:t>
      </w:r>
      <w:r w:rsidRPr="005D733C">
        <w:rPr>
          <w:rFonts w:hint="cs"/>
          <w:sz w:val="18"/>
          <w:szCs w:val="18"/>
          <w:rtl/>
        </w:rPr>
        <w:t>לא היתה יכולה לחפוף סמוך לטבילה</w:t>
      </w:r>
      <w:r>
        <w:rPr>
          <w:rFonts w:hint="cs"/>
          <w:sz w:val="18"/>
          <w:szCs w:val="18"/>
          <w:rtl/>
        </w:rPr>
        <w:t xml:space="preserve"> </w:t>
      </w:r>
      <w:r w:rsidRPr="005F7223">
        <w:rPr>
          <w:rFonts w:hint="cs"/>
          <w:sz w:val="16"/>
          <w:szCs w:val="16"/>
          <w:rtl/>
        </w:rPr>
        <w:t>(נראה כוונתו ליל יו"ט שהוא מוצ"ש)</w:t>
      </w:r>
      <w:r w:rsidRPr="005F7223">
        <w:rPr>
          <w:rFonts w:hint="cs"/>
          <w:sz w:val="18"/>
          <w:szCs w:val="18"/>
          <w:rtl/>
        </w:rPr>
        <w:t>.</w:t>
      </w:r>
    </w:p>
  </w:footnote>
  <w:footnote w:id="729">
    <w:p w:rsidR="005953C5" w:rsidRDefault="005953C5" w:rsidP="00620060">
      <w:pPr>
        <w:pStyle w:val="a3"/>
      </w:pPr>
      <w:r w:rsidRPr="006222C0">
        <w:rPr>
          <w:rStyle w:val="a5"/>
          <w:sz w:val="18"/>
          <w:szCs w:val="18"/>
        </w:rPr>
        <w:footnoteRef/>
      </w:r>
      <w:r w:rsidRPr="006222C0">
        <w:rPr>
          <w:sz w:val="18"/>
          <w:szCs w:val="18"/>
          <w:rtl/>
        </w:rPr>
        <w:t xml:space="preserve"> </w:t>
      </w:r>
      <w:r w:rsidRPr="006222C0">
        <w:rPr>
          <w:rFonts w:hint="cs"/>
          <w:b/>
          <w:bCs/>
          <w:sz w:val="18"/>
          <w:szCs w:val="18"/>
          <w:rtl/>
        </w:rPr>
        <w:t>גר"א</w:t>
      </w:r>
      <w:r w:rsidRPr="006222C0">
        <w:rPr>
          <w:rFonts w:hint="cs"/>
          <w:sz w:val="18"/>
          <w:szCs w:val="18"/>
          <w:rtl/>
        </w:rPr>
        <w:t xml:space="preserve"> </w:t>
      </w:r>
      <w:r w:rsidRPr="006222C0">
        <w:rPr>
          <w:sz w:val="18"/>
          <w:szCs w:val="18"/>
          <w:rtl/>
        </w:rPr>
        <w:t>–</w:t>
      </w:r>
      <w:r w:rsidRPr="006222C0">
        <w:rPr>
          <w:rFonts w:hint="cs"/>
          <w:sz w:val="18"/>
          <w:szCs w:val="18"/>
          <w:rtl/>
        </w:rPr>
        <w:t xml:space="preserve"> תימה דאם כן מאי איכא בין לישנא קמא ללישנא בתרא, שהרי לשתי הלישנות הדבר תלוי אם חפפה באותו היום!</w:t>
      </w:r>
    </w:p>
  </w:footnote>
  <w:footnote w:id="730">
    <w:p w:rsidR="005953C5" w:rsidRDefault="005953C5" w:rsidP="00620060">
      <w:pPr>
        <w:pStyle w:val="a3"/>
      </w:pPr>
      <w:r w:rsidRPr="00B110A2">
        <w:rPr>
          <w:rStyle w:val="a5"/>
          <w:sz w:val="18"/>
          <w:szCs w:val="18"/>
        </w:rPr>
        <w:footnoteRef/>
      </w:r>
      <w:r>
        <w:rPr>
          <w:rFonts w:hint="cs"/>
          <w:sz w:val="18"/>
          <w:szCs w:val="18"/>
          <w:rtl/>
        </w:rPr>
        <w:t xml:space="preserve"> </w:t>
      </w:r>
      <w:r w:rsidRPr="00B110A2">
        <w:rPr>
          <w:rFonts w:hint="cs"/>
          <w:sz w:val="18"/>
          <w:szCs w:val="18"/>
          <w:rtl/>
        </w:rPr>
        <w:t xml:space="preserve">לכאורה דברי </w:t>
      </w:r>
      <w:r w:rsidRPr="00B110A2">
        <w:rPr>
          <w:rFonts w:hint="cs"/>
          <w:b/>
          <w:bCs/>
          <w:sz w:val="18"/>
          <w:szCs w:val="18"/>
          <w:rtl/>
        </w:rPr>
        <w:t>הרשב"א</w:t>
      </w:r>
      <w:r w:rsidRPr="00B110A2">
        <w:rPr>
          <w:rFonts w:hint="cs"/>
          <w:sz w:val="18"/>
          <w:szCs w:val="18"/>
          <w:rtl/>
        </w:rPr>
        <w:t xml:space="preserve"> קשים, שהרי בגמרא חולין נאמר שרק אם טוען ברי יכול לתלות את החציצה בעסק אך הרשב"א לא הצריך שהיא תטען ברי! </w:t>
      </w:r>
      <w:r>
        <w:rPr>
          <w:sz w:val="18"/>
          <w:szCs w:val="18"/>
          <w:rtl/>
        </w:rPr>
        <w:br/>
      </w:r>
      <w:r w:rsidRPr="00B110A2">
        <w:rPr>
          <w:rFonts w:hint="cs"/>
          <w:sz w:val="18"/>
          <w:szCs w:val="18"/>
          <w:rtl/>
        </w:rPr>
        <w:t xml:space="preserve">מתרץ </w:t>
      </w:r>
      <w:r>
        <w:rPr>
          <w:rFonts w:hint="cs"/>
          <w:b/>
          <w:bCs/>
          <w:sz w:val="18"/>
          <w:szCs w:val="18"/>
          <w:rtl/>
        </w:rPr>
        <w:t>ה</w:t>
      </w:r>
      <w:r w:rsidRPr="00B110A2">
        <w:rPr>
          <w:rFonts w:hint="cs"/>
          <w:b/>
          <w:bCs/>
          <w:sz w:val="18"/>
          <w:szCs w:val="18"/>
          <w:rtl/>
        </w:rPr>
        <w:t>תפארת למשה</w:t>
      </w:r>
      <w:r w:rsidRPr="00B110A2">
        <w:rPr>
          <w:rFonts w:hint="cs"/>
          <w:sz w:val="18"/>
          <w:szCs w:val="18"/>
          <w:rtl/>
        </w:rPr>
        <w:t xml:space="preserve"> </w:t>
      </w:r>
      <w:r w:rsidRPr="00B110A2">
        <w:rPr>
          <w:sz w:val="18"/>
          <w:szCs w:val="18"/>
          <w:rtl/>
        </w:rPr>
        <w:t>–</w:t>
      </w:r>
      <w:r w:rsidRPr="00B110A2">
        <w:rPr>
          <w:rFonts w:hint="cs"/>
          <w:sz w:val="18"/>
          <w:szCs w:val="18"/>
          <w:rtl/>
        </w:rPr>
        <w:t xml:space="preserve"> חפיפה לפני הטבילה הוי כטענת ברי, שהרי ברור הדבר שהחציצה לא באה לה לפני הטבילה.</w:t>
      </w:r>
    </w:p>
  </w:footnote>
  <w:footnote w:id="731">
    <w:p w:rsidR="005953C5" w:rsidRDefault="005953C5" w:rsidP="00620060">
      <w:pPr>
        <w:pStyle w:val="a3"/>
      </w:pPr>
      <w:r w:rsidRPr="00BE014C">
        <w:rPr>
          <w:rStyle w:val="a5"/>
          <w:sz w:val="18"/>
          <w:szCs w:val="18"/>
        </w:rPr>
        <w:footnoteRef/>
      </w:r>
      <w:r w:rsidRPr="00BE014C">
        <w:rPr>
          <w:sz w:val="18"/>
          <w:szCs w:val="18"/>
          <w:rtl/>
        </w:rPr>
        <w:t xml:space="preserve"> </w:t>
      </w:r>
      <w:r w:rsidRPr="00BE014C">
        <w:rPr>
          <w:rFonts w:hint="cs"/>
          <w:sz w:val="18"/>
          <w:szCs w:val="18"/>
          <w:rtl/>
        </w:rPr>
        <w:t xml:space="preserve">אע"פ שהגמרא בחולין לא מדברת בהכרח בחציצה הנמצאת בבית הסתרים, </w:t>
      </w:r>
      <w:r w:rsidRPr="00BE014C">
        <w:rPr>
          <w:rFonts w:hint="cs"/>
          <w:b/>
          <w:bCs/>
          <w:sz w:val="18"/>
          <w:szCs w:val="18"/>
          <w:rtl/>
        </w:rPr>
        <w:t>הרוקח</w:t>
      </w:r>
      <w:r w:rsidRPr="00BE014C">
        <w:rPr>
          <w:rFonts w:hint="cs"/>
          <w:sz w:val="18"/>
          <w:szCs w:val="18"/>
          <w:rtl/>
        </w:rPr>
        <w:t xml:space="preserve"> אינו מחלק.</w:t>
      </w:r>
    </w:p>
  </w:footnote>
  <w:footnote w:id="732">
    <w:p w:rsidR="005953C5" w:rsidRDefault="005953C5" w:rsidP="00620060">
      <w:pPr>
        <w:pStyle w:val="a3"/>
      </w:pPr>
      <w:r w:rsidRPr="00FC222F">
        <w:rPr>
          <w:rStyle w:val="a5"/>
          <w:sz w:val="18"/>
          <w:szCs w:val="18"/>
        </w:rPr>
        <w:footnoteRef/>
      </w:r>
      <w:r w:rsidRPr="00FC222F">
        <w:rPr>
          <w:sz w:val="18"/>
          <w:szCs w:val="18"/>
          <w:rtl/>
        </w:rPr>
        <w:t xml:space="preserve"> </w:t>
      </w:r>
      <w:r w:rsidRPr="00FC222F">
        <w:rPr>
          <w:rFonts w:hint="cs"/>
          <w:sz w:val="18"/>
          <w:szCs w:val="18"/>
          <w:rtl/>
        </w:rPr>
        <w:t xml:space="preserve">שיטתו מבוארת </w:t>
      </w:r>
      <w:r>
        <w:rPr>
          <w:rFonts w:hint="cs"/>
          <w:sz w:val="18"/>
          <w:szCs w:val="18"/>
          <w:rtl/>
        </w:rPr>
        <w:t>לע</w:t>
      </w:r>
      <w:r w:rsidRPr="00FC222F">
        <w:rPr>
          <w:rFonts w:hint="cs"/>
          <w:sz w:val="18"/>
          <w:szCs w:val="18"/>
          <w:rtl/>
        </w:rPr>
        <w:t>יל בסימן קצח</w:t>
      </w:r>
      <w:r>
        <w:rPr>
          <w:rFonts w:hint="cs"/>
          <w:sz w:val="18"/>
          <w:szCs w:val="18"/>
          <w:rtl/>
        </w:rPr>
        <w:t>,</w:t>
      </w:r>
      <w:r w:rsidRPr="00FC222F">
        <w:rPr>
          <w:rFonts w:hint="cs"/>
          <w:sz w:val="18"/>
          <w:szCs w:val="18"/>
          <w:rtl/>
        </w:rPr>
        <w:t xml:space="preserve"> במחלוקת הראשונים האם יש לגרוס "ולית הלכתא ככל הני שמעתתא", עיי"ש.</w:t>
      </w:r>
    </w:p>
  </w:footnote>
  <w:footnote w:id="733">
    <w:p w:rsidR="005953C5" w:rsidRDefault="005953C5" w:rsidP="00620060">
      <w:pPr>
        <w:pStyle w:val="a3"/>
        <w:rPr>
          <w:rtl/>
        </w:rPr>
      </w:pPr>
      <w:r w:rsidRPr="00D22929">
        <w:rPr>
          <w:rStyle w:val="a5"/>
          <w:sz w:val="18"/>
          <w:szCs w:val="18"/>
        </w:rPr>
        <w:footnoteRef/>
      </w:r>
      <w:r w:rsidRPr="00D22929">
        <w:rPr>
          <w:sz w:val="18"/>
          <w:szCs w:val="18"/>
          <w:rtl/>
        </w:rPr>
        <w:t xml:space="preserve"> </w:t>
      </w:r>
      <w:r w:rsidRPr="00D22929">
        <w:rPr>
          <w:rFonts w:hint="cs"/>
          <w:sz w:val="18"/>
          <w:szCs w:val="18"/>
          <w:rtl/>
        </w:rPr>
        <w:t>קטע זה מובא בגמרא לפני, ההעתקה כאן לתועלת המעיין בלבד.</w:t>
      </w:r>
    </w:p>
  </w:footnote>
  <w:footnote w:id="734">
    <w:p w:rsidR="005953C5" w:rsidRDefault="005953C5" w:rsidP="00620060">
      <w:pPr>
        <w:pStyle w:val="a3"/>
      </w:pPr>
      <w:r w:rsidRPr="00384398">
        <w:rPr>
          <w:rStyle w:val="a5"/>
          <w:sz w:val="18"/>
          <w:szCs w:val="18"/>
        </w:rPr>
        <w:footnoteRef/>
      </w:r>
      <w:r w:rsidRPr="00384398">
        <w:rPr>
          <w:sz w:val="18"/>
          <w:szCs w:val="18"/>
          <w:rtl/>
        </w:rPr>
        <w:t xml:space="preserve"> </w:t>
      </w:r>
      <w:r w:rsidRPr="00384398">
        <w:rPr>
          <w:rFonts w:hint="cs"/>
          <w:sz w:val="18"/>
          <w:szCs w:val="18"/>
          <w:rtl/>
        </w:rPr>
        <w:t>שיטה נוספת מ</w:t>
      </w:r>
      <w:r>
        <w:rPr>
          <w:rFonts w:hint="cs"/>
          <w:sz w:val="18"/>
          <w:szCs w:val="18"/>
          <w:rtl/>
        </w:rPr>
        <w:t>ו</w:t>
      </w:r>
      <w:r w:rsidRPr="00384398">
        <w:rPr>
          <w:rFonts w:hint="cs"/>
          <w:sz w:val="18"/>
          <w:szCs w:val="18"/>
          <w:rtl/>
        </w:rPr>
        <w:t xml:space="preserve">באת בתוספות פסחים </w:t>
      </w:r>
      <w:r w:rsidRPr="00384398">
        <w:rPr>
          <w:rFonts w:hint="cs"/>
          <w:sz w:val="16"/>
          <w:szCs w:val="16"/>
          <w:rtl/>
        </w:rPr>
        <w:t xml:space="preserve">(ז: ד"ה על הטבילה) </w:t>
      </w:r>
      <w:r w:rsidRPr="00384398">
        <w:rPr>
          <w:sz w:val="18"/>
          <w:szCs w:val="18"/>
          <w:rtl/>
        </w:rPr>
        <w:t>–</w:t>
      </w:r>
      <w:r w:rsidRPr="00384398">
        <w:rPr>
          <w:rFonts w:hint="cs"/>
          <w:sz w:val="18"/>
          <w:szCs w:val="18"/>
          <w:rtl/>
        </w:rPr>
        <w:t xml:space="preserve"> בכל הטבילות יש לברך לאחר הטבילה. טעמם, משום שלפני הטבילה אין לברך שמא מחמת פחד המים יימנע ולא יטבול. לאחר הטבילה אין לברך בעודו ערום משום שליבו רואה את הערווה, אלא יברך לאחר הטבילה לכשיתלבש.</w:t>
      </w:r>
    </w:p>
  </w:footnote>
  <w:footnote w:id="735">
    <w:p w:rsidR="005953C5" w:rsidRDefault="005953C5" w:rsidP="00620060">
      <w:pPr>
        <w:pStyle w:val="a3"/>
      </w:pPr>
      <w:r w:rsidRPr="00A7305D">
        <w:rPr>
          <w:rStyle w:val="a5"/>
          <w:sz w:val="18"/>
          <w:szCs w:val="18"/>
        </w:rPr>
        <w:footnoteRef/>
      </w:r>
      <w:r w:rsidRPr="00A7305D">
        <w:rPr>
          <w:sz w:val="18"/>
          <w:szCs w:val="18"/>
          <w:rtl/>
        </w:rPr>
        <w:t xml:space="preserve"> </w:t>
      </w:r>
      <w:r w:rsidRPr="00A7305D">
        <w:rPr>
          <w:rFonts w:hint="cs"/>
          <w:sz w:val="18"/>
          <w:szCs w:val="18"/>
          <w:rtl/>
        </w:rPr>
        <w:t>תוספות מעירים שלמרות שכך הלכה, אין למחות בנשים המברכות לאחר הטבילה.</w:t>
      </w:r>
    </w:p>
  </w:footnote>
  <w:footnote w:id="736">
    <w:p w:rsidR="005953C5" w:rsidRDefault="005953C5" w:rsidP="00620060">
      <w:pPr>
        <w:pStyle w:val="a3"/>
      </w:pPr>
      <w:r w:rsidRPr="00207363">
        <w:rPr>
          <w:rStyle w:val="a5"/>
          <w:sz w:val="18"/>
          <w:szCs w:val="18"/>
        </w:rPr>
        <w:footnoteRef/>
      </w:r>
      <w:r w:rsidRPr="00207363">
        <w:rPr>
          <w:sz w:val="18"/>
          <w:szCs w:val="18"/>
          <w:rtl/>
        </w:rPr>
        <w:t xml:space="preserve"> </w:t>
      </w:r>
      <w:r w:rsidRPr="00207363">
        <w:rPr>
          <w:rFonts w:hint="cs"/>
          <w:sz w:val="18"/>
          <w:szCs w:val="18"/>
          <w:rtl/>
        </w:rPr>
        <w:t xml:space="preserve">כך כתב </w:t>
      </w:r>
      <w:r w:rsidRPr="00207363">
        <w:rPr>
          <w:rFonts w:hint="cs"/>
          <w:b/>
          <w:bCs/>
          <w:sz w:val="18"/>
          <w:szCs w:val="18"/>
          <w:rtl/>
        </w:rPr>
        <w:t>הר"ן</w:t>
      </w:r>
      <w:r w:rsidRPr="00207363">
        <w:rPr>
          <w:rFonts w:hint="cs"/>
          <w:sz w:val="18"/>
          <w:szCs w:val="18"/>
          <w:rtl/>
        </w:rPr>
        <w:t xml:space="preserve">. אמנם </w:t>
      </w:r>
      <w:r w:rsidRPr="00207363">
        <w:rPr>
          <w:rFonts w:hint="cs"/>
          <w:b/>
          <w:bCs/>
          <w:sz w:val="18"/>
          <w:szCs w:val="18"/>
          <w:rtl/>
        </w:rPr>
        <w:t>הרי"ף</w:t>
      </w:r>
      <w:r w:rsidRPr="00207363">
        <w:rPr>
          <w:rFonts w:hint="cs"/>
          <w:sz w:val="18"/>
          <w:szCs w:val="18"/>
          <w:rtl/>
        </w:rPr>
        <w:t xml:space="preserve"> עצמו לא כתב כן, ומשמע מלשונו שבעל קרי יברך לאחר הטבילה. אך אעפ"כ ס"ל שמחמת בעל קרי אין לתקן </w:t>
      </w:r>
      <w:r>
        <w:rPr>
          <w:rFonts w:hint="cs"/>
          <w:sz w:val="18"/>
          <w:szCs w:val="18"/>
          <w:rtl/>
        </w:rPr>
        <w:t xml:space="preserve">כך </w:t>
      </w:r>
      <w:r w:rsidRPr="00207363">
        <w:rPr>
          <w:rFonts w:hint="cs"/>
          <w:sz w:val="18"/>
          <w:szCs w:val="18"/>
          <w:rtl/>
        </w:rPr>
        <w:t>בכל חייבי טבילה.</w:t>
      </w:r>
    </w:p>
  </w:footnote>
  <w:footnote w:id="737">
    <w:p w:rsidR="005953C5" w:rsidRDefault="005953C5" w:rsidP="00620060">
      <w:pPr>
        <w:pStyle w:val="a3"/>
      </w:pPr>
      <w:r w:rsidRPr="006F4E7C">
        <w:rPr>
          <w:rStyle w:val="a5"/>
          <w:sz w:val="18"/>
          <w:szCs w:val="18"/>
        </w:rPr>
        <w:footnoteRef/>
      </w:r>
      <w:r w:rsidRPr="006F4E7C">
        <w:rPr>
          <w:sz w:val="18"/>
          <w:szCs w:val="18"/>
          <w:rtl/>
        </w:rPr>
        <w:t xml:space="preserve"> </w:t>
      </w:r>
      <w:r w:rsidRPr="006F4E7C">
        <w:rPr>
          <w:rFonts w:hint="cs"/>
          <w:sz w:val="18"/>
          <w:szCs w:val="18"/>
          <w:rtl/>
        </w:rPr>
        <w:t>לא ברור מדוע עצה זו מהני להפסיק בין הלב לערווה, דמיא שנא מחלוק שלא מהני אם אינה מניחה ידיה למטה מליבה?</w:t>
      </w:r>
    </w:p>
  </w:footnote>
  <w:footnote w:id="738">
    <w:p w:rsidR="005953C5" w:rsidRDefault="005953C5" w:rsidP="00620060">
      <w:pPr>
        <w:pStyle w:val="a3"/>
        <w:rPr>
          <w:rtl/>
        </w:rPr>
      </w:pPr>
      <w:r w:rsidRPr="0046219C">
        <w:rPr>
          <w:rStyle w:val="a5"/>
          <w:sz w:val="18"/>
          <w:szCs w:val="18"/>
        </w:rPr>
        <w:footnoteRef/>
      </w:r>
      <w:r w:rsidRPr="0046219C">
        <w:rPr>
          <w:sz w:val="18"/>
          <w:szCs w:val="18"/>
          <w:rtl/>
        </w:rPr>
        <w:t xml:space="preserve"> </w:t>
      </w:r>
      <w:r w:rsidRPr="0046219C">
        <w:rPr>
          <w:rFonts w:hint="cs"/>
          <w:sz w:val="18"/>
          <w:szCs w:val="18"/>
          <w:rtl/>
        </w:rPr>
        <w:t xml:space="preserve">ואע"פ שגם </w:t>
      </w:r>
      <w:r w:rsidRPr="0046219C">
        <w:rPr>
          <w:rFonts w:hint="cs"/>
          <w:b/>
          <w:bCs/>
          <w:sz w:val="18"/>
          <w:szCs w:val="18"/>
          <w:rtl/>
        </w:rPr>
        <w:t xml:space="preserve">המחבר </w:t>
      </w:r>
      <w:r w:rsidRPr="0046219C">
        <w:rPr>
          <w:rFonts w:hint="cs"/>
          <w:sz w:val="18"/>
          <w:szCs w:val="18"/>
          <w:rtl/>
        </w:rPr>
        <w:t xml:space="preserve">כתב שתעכור את המים, </w:t>
      </w:r>
      <w:r w:rsidRPr="0046219C">
        <w:rPr>
          <w:rFonts w:hint="cs"/>
          <w:b/>
          <w:bCs/>
          <w:sz w:val="18"/>
          <w:szCs w:val="18"/>
          <w:rtl/>
        </w:rPr>
        <w:t>הט"ז והש"ך</w:t>
      </w:r>
      <w:r w:rsidRPr="0046219C">
        <w:rPr>
          <w:rFonts w:hint="cs"/>
          <w:sz w:val="18"/>
          <w:szCs w:val="18"/>
          <w:rtl/>
        </w:rPr>
        <w:t xml:space="preserve"> פירוש שכוונתו מטעם ליבה רואה את ערוותה. </w:t>
      </w:r>
      <w:r>
        <w:rPr>
          <w:sz w:val="18"/>
          <w:szCs w:val="18"/>
          <w:rtl/>
        </w:rPr>
        <w:br/>
      </w:r>
      <w:r w:rsidRPr="0046219C">
        <w:rPr>
          <w:rFonts w:hint="cs"/>
          <w:sz w:val="18"/>
          <w:szCs w:val="18"/>
          <w:rtl/>
        </w:rPr>
        <w:t xml:space="preserve">ולפי"ז תמה </w:t>
      </w:r>
      <w:r w:rsidRPr="0046219C">
        <w:rPr>
          <w:rFonts w:hint="cs"/>
          <w:b/>
          <w:bCs/>
          <w:sz w:val="18"/>
          <w:szCs w:val="18"/>
          <w:rtl/>
        </w:rPr>
        <w:t>הט"ז</w:t>
      </w:r>
      <w:r w:rsidRPr="0046219C">
        <w:rPr>
          <w:rFonts w:hint="cs"/>
          <w:sz w:val="18"/>
          <w:szCs w:val="18"/>
          <w:rtl/>
        </w:rPr>
        <w:t xml:space="preserve"> על </w:t>
      </w:r>
      <w:r w:rsidRPr="0046219C">
        <w:rPr>
          <w:rFonts w:hint="cs"/>
          <w:b/>
          <w:bCs/>
          <w:sz w:val="18"/>
          <w:szCs w:val="18"/>
          <w:rtl/>
        </w:rPr>
        <w:t xml:space="preserve">המחבר </w:t>
      </w:r>
      <w:r w:rsidRPr="0046219C">
        <w:rPr>
          <w:rFonts w:hint="cs"/>
          <w:sz w:val="18"/>
          <w:szCs w:val="18"/>
          <w:rtl/>
        </w:rPr>
        <w:t>שהרי באו"ח פסק כאו"ח שאין באשה משום ליבה רואה את ערוותה.</w:t>
      </w:r>
    </w:p>
  </w:footnote>
  <w:footnote w:id="739">
    <w:p w:rsidR="005953C5" w:rsidRDefault="005953C5" w:rsidP="00620060">
      <w:pPr>
        <w:pStyle w:val="a3"/>
        <w:rPr>
          <w:rtl/>
        </w:rPr>
      </w:pPr>
      <w:r w:rsidRPr="00C8521B">
        <w:rPr>
          <w:rStyle w:val="a5"/>
          <w:sz w:val="18"/>
          <w:szCs w:val="18"/>
        </w:rPr>
        <w:footnoteRef/>
      </w:r>
      <w:r w:rsidRPr="00C8521B">
        <w:rPr>
          <w:sz w:val="18"/>
          <w:szCs w:val="18"/>
          <w:rtl/>
        </w:rPr>
        <w:t xml:space="preserve"> </w:t>
      </w:r>
      <w:r w:rsidRPr="00C8521B">
        <w:rPr>
          <w:rFonts w:hint="cs"/>
          <w:b/>
          <w:bCs/>
          <w:sz w:val="18"/>
          <w:szCs w:val="18"/>
          <w:rtl/>
        </w:rPr>
        <w:t>הט"ז</w:t>
      </w:r>
      <w:r w:rsidRPr="00C8521B">
        <w:rPr>
          <w:rFonts w:hint="cs"/>
          <w:sz w:val="18"/>
          <w:szCs w:val="18"/>
          <w:rtl/>
        </w:rPr>
        <w:t xml:space="preserve"> מוסיף בדעת </w:t>
      </w:r>
      <w:r w:rsidRPr="00C8521B">
        <w:rPr>
          <w:rFonts w:hint="cs"/>
          <w:b/>
          <w:bCs/>
          <w:sz w:val="18"/>
          <w:szCs w:val="18"/>
          <w:rtl/>
        </w:rPr>
        <w:t>האו"ח</w:t>
      </w:r>
      <w:r w:rsidRPr="00C8521B">
        <w:rPr>
          <w:rFonts w:hint="cs"/>
          <w:sz w:val="18"/>
          <w:szCs w:val="18"/>
          <w:rtl/>
        </w:rPr>
        <w:t xml:space="preserve"> הסבור שאין באשה איסור מצד ליבה רואה את ערוותה, שמכל מקום יש גילוי ערווה כשהיא ערומה. לעומתו, </w:t>
      </w:r>
      <w:r w:rsidRPr="00C8521B">
        <w:rPr>
          <w:rFonts w:hint="cs"/>
          <w:b/>
          <w:bCs/>
          <w:sz w:val="18"/>
          <w:szCs w:val="18"/>
          <w:rtl/>
        </w:rPr>
        <w:t>הב"ח</w:t>
      </w:r>
      <w:r w:rsidRPr="00C8521B">
        <w:rPr>
          <w:rFonts w:hint="cs"/>
          <w:sz w:val="18"/>
          <w:szCs w:val="18"/>
          <w:rtl/>
        </w:rPr>
        <w:t xml:space="preserve"> הבין בדעת </w:t>
      </w:r>
      <w:r w:rsidRPr="00C8521B">
        <w:rPr>
          <w:rFonts w:hint="cs"/>
          <w:b/>
          <w:bCs/>
          <w:sz w:val="18"/>
          <w:szCs w:val="18"/>
          <w:rtl/>
        </w:rPr>
        <w:t>האו"ח</w:t>
      </w:r>
      <w:r w:rsidRPr="00C8521B">
        <w:rPr>
          <w:rFonts w:hint="cs"/>
          <w:sz w:val="18"/>
          <w:szCs w:val="18"/>
          <w:rtl/>
        </w:rPr>
        <w:t xml:space="preserve"> שאין כלל בעייה מצד גילוי ערווה באשה ערומה, ולכן דחה את </w:t>
      </w:r>
      <w:r w:rsidRPr="00C8521B">
        <w:rPr>
          <w:rFonts w:hint="cs"/>
          <w:b/>
          <w:bCs/>
          <w:sz w:val="18"/>
          <w:szCs w:val="18"/>
          <w:rtl/>
        </w:rPr>
        <w:t>האו"ח</w:t>
      </w:r>
      <w:r w:rsidRPr="00C8521B">
        <w:rPr>
          <w:rFonts w:hint="cs"/>
          <w:sz w:val="18"/>
          <w:szCs w:val="18"/>
          <w:rtl/>
        </w:rPr>
        <w:t>. ועיין עוד בדברי הט"ז שהאריך.</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559979755"/>
      <w:docPartObj>
        <w:docPartGallery w:val="Page Numbers (Top of Page)"/>
        <w:docPartUnique/>
      </w:docPartObj>
    </w:sdtPr>
    <w:sdtEndPr/>
    <w:sdtContent>
      <w:p w:rsidR="005953C5" w:rsidRDefault="005953C5">
        <w:pPr>
          <w:pStyle w:val="a7"/>
          <w:jc w:val="right"/>
          <w:rPr>
            <w:rtl/>
            <w:cs/>
          </w:rPr>
        </w:pPr>
        <w:r>
          <w:fldChar w:fldCharType="begin"/>
        </w:r>
        <w:r>
          <w:rPr>
            <w:rtl/>
            <w:cs/>
          </w:rPr>
          <w:instrText>PAGE   \* MERGEFORMAT</w:instrText>
        </w:r>
        <w:r>
          <w:fldChar w:fldCharType="separate"/>
        </w:r>
        <w:r w:rsidR="00930B16" w:rsidRPr="00930B16">
          <w:rPr>
            <w:noProof/>
            <w:rtl/>
            <w:lang w:val="he-IL"/>
          </w:rPr>
          <w:t>37</w:t>
        </w:r>
        <w:r>
          <w:fldChar w:fldCharType="end"/>
        </w:r>
      </w:p>
    </w:sdtContent>
  </w:sdt>
  <w:p w:rsidR="005953C5" w:rsidRDefault="005953C5">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41908"/>
    <w:multiLevelType w:val="hybridMultilevel"/>
    <w:tmpl w:val="1D5817D4"/>
    <w:lvl w:ilvl="0" w:tplc="1882AC7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CA4DEB"/>
    <w:multiLevelType w:val="hybridMultilevel"/>
    <w:tmpl w:val="6DEEB590"/>
    <w:lvl w:ilvl="0" w:tplc="DB1C584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730C08"/>
    <w:multiLevelType w:val="hybridMultilevel"/>
    <w:tmpl w:val="8BD00D62"/>
    <w:lvl w:ilvl="0" w:tplc="C9DEC56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E61895"/>
    <w:multiLevelType w:val="hybridMultilevel"/>
    <w:tmpl w:val="660EA028"/>
    <w:lvl w:ilvl="0" w:tplc="13D41DD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4C0F62"/>
    <w:multiLevelType w:val="hybridMultilevel"/>
    <w:tmpl w:val="356A6A18"/>
    <w:lvl w:ilvl="0" w:tplc="2F728B9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8C0B9F"/>
    <w:multiLevelType w:val="hybridMultilevel"/>
    <w:tmpl w:val="79E8148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4102300E"/>
    <w:multiLevelType w:val="hybridMultilevel"/>
    <w:tmpl w:val="ECA4E2E8"/>
    <w:lvl w:ilvl="0" w:tplc="7C46FD10">
      <w:start w:val="2"/>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737D4A"/>
    <w:multiLevelType w:val="hybridMultilevel"/>
    <w:tmpl w:val="D396B41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5D37B9B"/>
    <w:multiLevelType w:val="hybridMultilevel"/>
    <w:tmpl w:val="30A80A48"/>
    <w:lvl w:ilvl="0" w:tplc="EBACCCE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40074E"/>
    <w:multiLevelType w:val="hybridMultilevel"/>
    <w:tmpl w:val="9940D1C2"/>
    <w:lvl w:ilvl="0" w:tplc="AF643C3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9A37AD3"/>
    <w:multiLevelType w:val="hybridMultilevel"/>
    <w:tmpl w:val="910E2EC2"/>
    <w:lvl w:ilvl="0" w:tplc="F00CA8B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FE10AAA"/>
    <w:multiLevelType w:val="hybridMultilevel"/>
    <w:tmpl w:val="EDFA2F6E"/>
    <w:lvl w:ilvl="0" w:tplc="8AB821B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0E500C1"/>
    <w:multiLevelType w:val="hybridMultilevel"/>
    <w:tmpl w:val="D92C0DE4"/>
    <w:lvl w:ilvl="0" w:tplc="D14CFF9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A2315F4"/>
    <w:multiLevelType w:val="hybridMultilevel"/>
    <w:tmpl w:val="CDF4A0C8"/>
    <w:lvl w:ilvl="0" w:tplc="0F021480">
      <w:start w:val="2"/>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BF86510"/>
    <w:multiLevelType w:val="hybridMultilevel"/>
    <w:tmpl w:val="DD742D94"/>
    <w:lvl w:ilvl="0" w:tplc="F55C4F6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0A00016"/>
    <w:multiLevelType w:val="hybridMultilevel"/>
    <w:tmpl w:val="4186147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7"/>
  </w:num>
  <w:num w:numId="2">
    <w:abstractNumId w:val="12"/>
  </w:num>
  <w:num w:numId="3">
    <w:abstractNumId w:val="2"/>
  </w:num>
  <w:num w:numId="4">
    <w:abstractNumId w:val="8"/>
  </w:num>
  <w:num w:numId="5">
    <w:abstractNumId w:val="1"/>
  </w:num>
  <w:num w:numId="6">
    <w:abstractNumId w:val="3"/>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3"/>
  </w:num>
  <w:num w:numId="10">
    <w:abstractNumId w:val="14"/>
  </w:num>
  <w:num w:numId="11">
    <w:abstractNumId w:val="0"/>
  </w:num>
  <w:num w:numId="12">
    <w:abstractNumId w:val="4"/>
  </w:num>
  <w:num w:numId="13">
    <w:abstractNumId w:val="9"/>
  </w:num>
  <w:num w:numId="14">
    <w:abstractNumId w:val="10"/>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060"/>
    <w:rsid w:val="00506BD0"/>
    <w:rsid w:val="005953C5"/>
    <w:rsid w:val="005D6582"/>
    <w:rsid w:val="00620060"/>
    <w:rsid w:val="00930B16"/>
    <w:rsid w:val="009C7F49"/>
    <w:rsid w:val="00E11391"/>
    <w:rsid w:val="00EA2E90"/>
    <w:rsid w:val="00EC332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0060"/>
    <w:pPr>
      <w:bidi/>
    </w:pPr>
  </w:style>
  <w:style w:type="paragraph" w:styleId="1">
    <w:name w:val="heading 1"/>
    <w:basedOn w:val="a"/>
    <w:next w:val="a"/>
    <w:link w:val="10"/>
    <w:uiPriority w:val="9"/>
    <w:qFormat/>
    <w:rsid w:val="006200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2006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620060"/>
    <w:rPr>
      <w:rFonts w:asciiTheme="majorHAnsi" w:eastAsiaTheme="majorEastAsia" w:hAnsiTheme="majorHAnsi" w:cstheme="majorBidi"/>
      <w:b/>
      <w:bCs/>
      <w:color w:val="365F91" w:themeColor="accent1" w:themeShade="BF"/>
      <w:sz w:val="28"/>
      <w:szCs w:val="28"/>
    </w:rPr>
  </w:style>
  <w:style w:type="character" w:customStyle="1" w:styleId="20">
    <w:name w:val="כותרת 2 תו"/>
    <w:basedOn w:val="a0"/>
    <w:link w:val="2"/>
    <w:uiPriority w:val="9"/>
    <w:rsid w:val="00620060"/>
    <w:rPr>
      <w:rFonts w:asciiTheme="majorHAnsi" w:eastAsiaTheme="majorEastAsia" w:hAnsiTheme="majorHAnsi" w:cstheme="majorBidi"/>
      <w:b/>
      <w:bCs/>
      <w:color w:val="4F81BD" w:themeColor="accent1"/>
      <w:sz w:val="26"/>
      <w:szCs w:val="26"/>
    </w:rPr>
  </w:style>
  <w:style w:type="paragraph" w:styleId="a3">
    <w:name w:val="footnote text"/>
    <w:basedOn w:val="a"/>
    <w:link w:val="a4"/>
    <w:uiPriority w:val="99"/>
    <w:unhideWhenUsed/>
    <w:rsid w:val="00620060"/>
    <w:pPr>
      <w:spacing w:after="0" w:line="240" w:lineRule="auto"/>
    </w:pPr>
    <w:rPr>
      <w:sz w:val="20"/>
      <w:szCs w:val="20"/>
    </w:rPr>
  </w:style>
  <w:style w:type="character" w:customStyle="1" w:styleId="a4">
    <w:name w:val="טקסט הערת שוליים תו"/>
    <w:basedOn w:val="a0"/>
    <w:link w:val="a3"/>
    <w:uiPriority w:val="99"/>
    <w:rsid w:val="00620060"/>
    <w:rPr>
      <w:sz w:val="20"/>
      <w:szCs w:val="20"/>
    </w:rPr>
  </w:style>
  <w:style w:type="character" w:styleId="a5">
    <w:name w:val="footnote reference"/>
    <w:basedOn w:val="a0"/>
    <w:uiPriority w:val="99"/>
    <w:semiHidden/>
    <w:unhideWhenUsed/>
    <w:rsid w:val="00620060"/>
    <w:rPr>
      <w:vertAlign w:val="superscript"/>
    </w:rPr>
  </w:style>
  <w:style w:type="paragraph" w:styleId="a6">
    <w:name w:val="No Spacing"/>
    <w:uiPriority w:val="1"/>
    <w:qFormat/>
    <w:rsid w:val="00620060"/>
    <w:pPr>
      <w:bidi/>
      <w:spacing w:after="0" w:line="240" w:lineRule="auto"/>
    </w:pPr>
  </w:style>
  <w:style w:type="paragraph" w:styleId="a7">
    <w:name w:val="header"/>
    <w:basedOn w:val="a"/>
    <w:link w:val="a8"/>
    <w:uiPriority w:val="99"/>
    <w:unhideWhenUsed/>
    <w:rsid w:val="00620060"/>
    <w:pPr>
      <w:tabs>
        <w:tab w:val="center" w:pos="4153"/>
        <w:tab w:val="right" w:pos="8306"/>
      </w:tabs>
      <w:spacing w:after="0" w:line="240" w:lineRule="auto"/>
    </w:pPr>
  </w:style>
  <w:style w:type="character" w:customStyle="1" w:styleId="a8">
    <w:name w:val="כותרת עליונה תו"/>
    <w:basedOn w:val="a0"/>
    <w:link w:val="a7"/>
    <w:uiPriority w:val="99"/>
    <w:rsid w:val="00620060"/>
  </w:style>
  <w:style w:type="paragraph" w:styleId="a9">
    <w:name w:val="footer"/>
    <w:basedOn w:val="a"/>
    <w:link w:val="aa"/>
    <w:uiPriority w:val="99"/>
    <w:unhideWhenUsed/>
    <w:rsid w:val="00620060"/>
    <w:pPr>
      <w:tabs>
        <w:tab w:val="center" w:pos="4153"/>
        <w:tab w:val="right" w:pos="8306"/>
      </w:tabs>
      <w:spacing w:after="0" w:line="240" w:lineRule="auto"/>
    </w:pPr>
  </w:style>
  <w:style w:type="character" w:customStyle="1" w:styleId="aa">
    <w:name w:val="כותרת תחתונה תו"/>
    <w:basedOn w:val="a0"/>
    <w:link w:val="a9"/>
    <w:uiPriority w:val="99"/>
    <w:rsid w:val="00620060"/>
  </w:style>
  <w:style w:type="paragraph" w:styleId="ab">
    <w:name w:val="Balloon Text"/>
    <w:basedOn w:val="a"/>
    <w:link w:val="ac"/>
    <w:uiPriority w:val="99"/>
    <w:semiHidden/>
    <w:unhideWhenUsed/>
    <w:rsid w:val="00620060"/>
    <w:pPr>
      <w:spacing w:after="0" w:line="240" w:lineRule="auto"/>
    </w:pPr>
    <w:rPr>
      <w:rFonts w:ascii="Tahoma" w:hAnsi="Tahoma" w:cs="Tahoma"/>
      <w:sz w:val="16"/>
      <w:szCs w:val="16"/>
    </w:rPr>
  </w:style>
  <w:style w:type="character" w:customStyle="1" w:styleId="ac">
    <w:name w:val="טקסט בלונים תו"/>
    <w:basedOn w:val="a0"/>
    <w:link w:val="ab"/>
    <w:uiPriority w:val="99"/>
    <w:semiHidden/>
    <w:rsid w:val="00620060"/>
    <w:rPr>
      <w:rFonts w:ascii="Tahoma" w:hAnsi="Tahoma" w:cs="Tahoma"/>
      <w:sz w:val="16"/>
      <w:szCs w:val="16"/>
    </w:rPr>
  </w:style>
  <w:style w:type="paragraph" w:styleId="ad">
    <w:name w:val="List Paragraph"/>
    <w:basedOn w:val="a"/>
    <w:uiPriority w:val="34"/>
    <w:qFormat/>
    <w:rsid w:val="00620060"/>
    <w:pPr>
      <w:ind w:left="720"/>
      <w:contextualSpacing/>
    </w:pPr>
  </w:style>
  <w:style w:type="character" w:styleId="Hyperlink">
    <w:name w:val="Hyperlink"/>
    <w:basedOn w:val="a0"/>
    <w:uiPriority w:val="99"/>
    <w:semiHidden/>
    <w:unhideWhenUsed/>
    <w:rsid w:val="0062006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0060"/>
    <w:pPr>
      <w:bidi/>
    </w:pPr>
  </w:style>
  <w:style w:type="paragraph" w:styleId="1">
    <w:name w:val="heading 1"/>
    <w:basedOn w:val="a"/>
    <w:next w:val="a"/>
    <w:link w:val="10"/>
    <w:uiPriority w:val="9"/>
    <w:qFormat/>
    <w:rsid w:val="006200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2006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620060"/>
    <w:rPr>
      <w:rFonts w:asciiTheme="majorHAnsi" w:eastAsiaTheme="majorEastAsia" w:hAnsiTheme="majorHAnsi" w:cstheme="majorBidi"/>
      <w:b/>
      <w:bCs/>
      <w:color w:val="365F91" w:themeColor="accent1" w:themeShade="BF"/>
      <w:sz w:val="28"/>
      <w:szCs w:val="28"/>
    </w:rPr>
  </w:style>
  <w:style w:type="character" w:customStyle="1" w:styleId="20">
    <w:name w:val="כותרת 2 תו"/>
    <w:basedOn w:val="a0"/>
    <w:link w:val="2"/>
    <w:uiPriority w:val="9"/>
    <w:rsid w:val="00620060"/>
    <w:rPr>
      <w:rFonts w:asciiTheme="majorHAnsi" w:eastAsiaTheme="majorEastAsia" w:hAnsiTheme="majorHAnsi" w:cstheme="majorBidi"/>
      <w:b/>
      <w:bCs/>
      <w:color w:val="4F81BD" w:themeColor="accent1"/>
      <w:sz w:val="26"/>
      <w:szCs w:val="26"/>
    </w:rPr>
  </w:style>
  <w:style w:type="paragraph" w:styleId="a3">
    <w:name w:val="footnote text"/>
    <w:basedOn w:val="a"/>
    <w:link w:val="a4"/>
    <w:uiPriority w:val="99"/>
    <w:unhideWhenUsed/>
    <w:rsid w:val="00620060"/>
    <w:pPr>
      <w:spacing w:after="0" w:line="240" w:lineRule="auto"/>
    </w:pPr>
    <w:rPr>
      <w:sz w:val="20"/>
      <w:szCs w:val="20"/>
    </w:rPr>
  </w:style>
  <w:style w:type="character" w:customStyle="1" w:styleId="a4">
    <w:name w:val="טקסט הערת שוליים תו"/>
    <w:basedOn w:val="a0"/>
    <w:link w:val="a3"/>
    <w:uiPriority w:val="99"/>
    <w:rsid w:val="00620060"/>
    <w:rPr>
      <w:sz w:val="20"/>
      <w:szCs w:val="20"/>
    </w:rPr>
  </w:style>
  <w:style w:type="character" w:styleId="a5">
    <w:name w:val="footnote reference"/>
    <w:basedOn w:val="a0"/>
    <w:uiPriority w:val="99"/>
    <w:semiHidden/>
    <w:unhideWhenUsed/>
    <w:rsid w:val="00620060"/>
    <w:rPr>
      <w:vertAlign w:val="superscript"/>
    </w:rPr>
  </w:style>
  <w:style w:type="paragraph" w:styleId="a6">
    <w:name w:val="No Spacing"/>
    <w:uiPriority w:val="1"/>
    <w:qFormat/>
    <w:rsid w:val="00620060"/>
    <w:pPr>
      <w:bidi/>
      <w:spacing w:after="0" w:line="240" w:lineRule="auto"/>
    </w:pPr>
  </w:style>
  <w:style w:type="paragraph" w:styleId="a7">
    <w:name w:val="header"/>
    <w:basedOn w:val="a"/>
    <w:link w:val="a8"/>
    <w:uiPriority w:val="99"/>
    <w:unhideWhenUsed/>
    <w:rsid w:val="00620060"/>
    <w:pPr>
      <w:tabs>
        <w:tab w:val="center" w:pos="4153"/>
        <w:tab w:val="right" w:pos="8306"/>
      </w:tabs>
      <w:spacing w:after="0" w:line="240" w:lineRule="auto"/>
    </w:pPr>
  </w:style>
  <w:style w:type="character" w:customStyle="1" w:styleId="a8">
    <w:name w:val="כותרת עליונה תו"/>
    <w:basedOn w:val="a0"/>
    <w:link w:val="a7"/>
    <w:uiPriority w:val="99"/>
    <w:rsid w:val="00620060"/>
  </w:style>
  <w:style w:type="paragraph" w:styleId="a9">
    <w:name w:val="footer"/>
    <w:basedOn w:val="a"/>
    <w:link w:val="aa"/>
    <w:uiPriority w:val="99"/>
    <w:unhideWhenUsed/>
    <w:rsid w:val="00620060"/>
    <w:pPr>
      <w:tabs>
        <w:tab w:val="center" w:pos="4153"/>
        <w:tab w:val="right" w:pos="8306"/>
      </w:tabs>
      <w:spacing w:after="0" w:line="240" w:lineRule="auto"/>
    </w:pPr>
  </w:style>
  <w:style w:type="character" w:customStyle="1" w:styleId="aa">
    <w:name w:val="כותרת תחתונה תו"/>
    <w:basedOn w:val="a0"/>
    <w:link w:val="a9"/>
    <w:uiPriority w:val="99"/>
    <w:rsid w:val="00620060"/>
  </w:style>
  <w:style w:type="paragraph" w:styleId="ab">
    <w:name w:val="Balloon Text"/>
    <w:basedOn w:val="a"/>
    <w:link w:val="ac"/>
    <w:uiPriority w:val="99"/>
    <w:semiHidden/>
    <w:unhideWhenUsed/>
    <w:rsid w:val="00620060"/>
    <w:pPr>
      <w:spacing w:after="0" w:line="240" w:lineRule="auto"/>
    </w:pPr>
    <w:rPr>
      <w:rFonts w:ascii="Tahoma" w:hAnsi="Tahoma" w:cs="Tahoma"/>
      <w:sz w:val="16"/>
      <w:szCs w:val="16"/>
    </w:rPr>
  </w:style>
  <w:style w:type="character" w:customStyle="1" w:styleId="ac">
    <w:name w:val="טקסט בלונים תו"/>
    <w:basedOn w:val="a0"/>
    <w:link w:val="ab"/>
    <w:uiPriority w:val="99"/>
    <w:semiHidden/>
    <w:rsid w:val="00620060"/>
    <w:rPr>
      <w:rFonts w:ascii="Tahoma" w:hAnsi="Tahoma" w:cs="Tahoma"/>
      <w:sz w:val="16"/>
      <w:szCs w:val="16"/>
    </w:rPr>
  </w:style>
  <w:style w:type="paragraph" w:styleId="ad">
    <w:name w:val="List Paragraph"/>
    <w:basedOn w:val="a"/>
    <w:uiPriority w:val="34"/>
    <w:qFormat/>
    <w:rsid w:val="00620060"/>
    <w:pPr>
      <w:ind w:left="720"/>
      <w:contextualSpacing/>
    </w:pPr>
  </w:style>
  <w:style w:type="character" w:styleId="Hyperlink">
    <w:name w:val="Hyperlink"/>
    <w:basedOn w:val="a0"/>
    <w:uiPriority w:val="99"/>
    <w:semiHidden/>
    <w:unhideWhenUsed/>
    <w:rsid w:val="0062006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reldo22@gmail.com"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he.wikipedia.org/wiki/%D7%9E%D7%A9%D7%A4%D7%97%D7%94_(%D7%98%D7%A7%D7%A1%D7%95%D7%A0%D7%95%D7%9E%D7%99%D7%94)" TargetMode="External"/><Relationship Id="rId3" Type="http://schemas.openxmlformats.org/officeDocument/2006/relationships/hyperlink" Target="https://he.wikipedia.org/wiki/%D7%A9%D7%99%D7%A2%D7%A8" TargetMode="External"/><Relationship Id="rId7" Type="http://schemas.openxmlformats.org/officeDocument/2006/relationships/hyperlink" Target="https://he.wikipedia.org/wiki/%D7%A4%D7%A9%D7%AA%D7%94" TargetMode="External"/><Relationship Id="rId2" Type="http://schemas.openxmlformats.org/officeDocument/2006/relationships/hyperlink" Target="https://he.wikipedia.org/wiki/%D7%A1%D7%99%D7%91" TargetMode="External"/><Relationship Id="rId1" Type="http://schemas.openxmlformats.org/officeDocument/2006/relationships/hyperlink" Target="https://he.wikipedia.org/wiki/%D7%9B%D7%95%D7%AA%D7%A0%D7%94" TargetMode="External"/><Relationship Id="rId6" Type="http://schemas.openxmlformats.org/officeDocument/2006/relationships/hyperlink" Target="https://he.wikipedia.org/wiki/%D7%A1%D7%95%D7%92_(%D7%98%D7%A7%D7%A1%D7%95%D7%A0%D7%95%D7%9E%D7%99%D7%94)" TargetMode="External"/><Relationship Id="rId5" Type="http://schemas.openxmlformats.org/officeDocument/2006/relationships/hyperlink" Target="https://he.wikipedia.org/wiki/%D7%9B%D7%91%D7%A9" TargetMode="External"/><Relationship Id="rId4" Type="http://schemas.openxmlformats.org/officeDocument/2006/relationships/hyperlink" Target="https://he.wikipedia.org/wiki/%D7%91%D7%A2%D7%9C%D7%99_%D7%97%D7%99%D7%99%D7%9D" TargetMode="External"/><Relationship Id="rId9" Type="http://schemas.openxmlformats.org/officeDocument/2006/relationships/hyperlink" Target="https://he.wikipedia.org/wiki/%D7%A4%D7%A9%D7%AA%D7%99%D7%99%D7%9D"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341</Pages>
  <Words>135800</Words>
  <Characters>679000</Characters>
  <Application>Microsoft Office Word</Application>
  <DocSecurity>0</DocSecurity>
  <Lines>5658</Lines>
  <Paragraphs>1626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813174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‏‏משתמש Windows</dc:creator>
  <cp:lastModifiedBy>‏‏משתמש Windows</cp:lastModifiedBy>
  <cp:revision>4</cp:revision>
  <dcterms:created xsi:type="dcterms:W3CDTF">2019-08-01T20:51:00Z</dcterms:created>
  <dcterms:modified xsi:type="dcterms:W3CDTF">2019-08-01T21:10:00Z</dcterms:modified>
</cp:coreProperties>
</file>